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footer4.xml" ContentType="application/vnd.openxmlformats-officedocument.wordprocessingml.footer+xml"/>
  <Override PartName="/word/header96.xml" ContentType="application/vnd.openxmlformats-officedocument.wordprocessingml.header+xml"/>
  <Override PartName="/word/footer5.xml" ContentType="application/vnd.openxmlformats-officedocument.wordprocessingml.footer+xml"/>
  <Override PartName="/word/header9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4D99" w:rsidRPr="00B34D99" w:rsidRDefault="00B34D99" w:rsidP="00B34D99">
      <w:pPr>
        <w:shd w:val="pct25" w:color="auto" w:fill="auto"/>
        <w:bidi/>
        <w:rPr>
          <w:lang w:bidi="he-IL"/>
        </w:rPr>
      </w:pPr>
    </w:p>
    <w:p w:rsidR="00B34D99" w:rsidRPr="00B34D99" w:rsidRDefault="00B34D99" w:rsidP="00B34D99">
      <w:pPr>
        <w:shd w:val="pct25" w:color="auto" w:fill="auto"/>
        <w:bidi/>
        <w:spacing w:after="0" w:line="240" w:lineRule="auto"/>
        <w:jc w:val="center"/>
        <w:rPr>
          <w:rFonts w:cs="Guttman Adii-Light"/>
          <w:sz w:val="40"/>
          <w:szCs w:val="40"/>
          <w:rtl/>
          <w:lang w:bidi="he-IL"/>
        </w:rPr>
      </w:pPr>
    </w:p>
    <w:p w:rsidR="00B34D99" w:rsidRPr="00B34D99" w:rsidRDefault="00B34D99" w:rsidP="00B34D99">
      <w:pPr>
        <w:shd w:val="pct25" w:color="auto" w:fill="auto"/>
        <w:bidi/>
        <w:spacing w:after="0" w:line="240" w:lineRule="auto"/>
        <w:jc w:val="center"/>
        <w:rPr>
          <w:rFonts w:cs="Guttman Drogolin"/>
          <w:sz w:val="40"/>
          <w:szCs w:val="40"/>
          <w:rtl/>
          <w:lang w:bidi="he-IL"/>
        </w:rPr>
      </w:pPr>
      <w:r w:rsidRPr="00B34D99">
        <w:rPr>
          <w:rFonts w:cs="Guttman Drogolin" w:hint="cs"/>
          <w:sz w:val="40"/>
          <w:szCs w:val="40"/>
          <w:rtl/>
          <w:lang w:bidi="he-IL"/>
        </w:rPr>
        <w:t>שיעורי</w:t>
      </w:r>
    </w:p>
    <w:p w:rsidR="00B34D99" w:rsidRDefault="00B34D99" w:rsidP="00B34D99">
      <w:pPr>
        <w:shd w:val="pct25" w:color="auto" w:fill="auto"/>
        <w:bidi/>
        <w:spacing w:after="0" w:line="240" w:lineRule="auto"/>
        <w:jc w:val="center"/>
        <w:rPr>
          <w:rFonts w:cs="Guttman Drogolin"/>
          <w:b/>
          <w:bCs/>
          <w:sz w:val="160"/>
          <w:szCs w:val="160"/>
          <w:rtl/>
          <w:lang w:bidi="he-IL"/>
        </w:rPr>
      </w:pPr>
      <w:r w:rsidRPr="00B34D99">
        <w:rPr>
          <w:rFonts w:cs="Guttman Drogolin" w:hint="cs"/>
          <w:b/>
          <w:bCs/>
          <w:sz w:val="160"/>
          <w:szCs w:val="160"/>
          <w:rtl/>
          <w:lang w:bidi="he-IL"/>
        </w:rPr>
        <w:t>שערי</w:t>
      </w:r>
    </w:p>
    <w:p w:rsidR="00B34D99" w:rsidRPr="00B34D99" w:rsidRDefault="00B34D99" w:rsidP="00B34D99">
      <w:pPr>
        <w:shd w:val="pct25" w:color="auto" w:fill="auto"/>
        <w:bidi/>
        <w:jc w:val="center"/>
        <w:rPr>
          <w:rFonts w:cs="Guttman Drogolin"/>
          <w:b/>
          <w:bCs/>
          <w:sz w:val="160"/>
          <w:szCs w:val="160"/>
          <w:rtl/>
          <w:lang w:bidi="he-IL"/>
        </w:rPr>
      </w:pPr>
      <w:r>
        <w:rPr>
          <w:rFonts w:cs="Guttman Drogolin" w:hint="cs"/>
          <w:b/>
          <w:bCs/>
          <w:sz w:val="160"/>
          <w:szCs w:val="160"/>
          <w:rtl/>
          <w:lang w:bidi="he-IL"/>
        </w:rPr>
        <w:t>איסור והיתר</w:t>
      </w:r>
    </w:p>
    <w:p w:rsidR="00B34D99" w:rsidRPr="00B34D99" w:rsidRDefault="00B34D99" w:rsidP="00B34D99">
      <w:pPr>
        <w:shd w:val="pct25" w:color="auto" w:fill="auto"/>
        <w:bidi/>
        <w:jc w:val="center"/>
        <w:rPr>
          <w:rFonts w:cs="Guttman Adii-Light"/>
          <w:b/>
          <w:bCs/>
          <w:sz w:val="48"/>
          <w:szCs w:val="48"/>
          <w:rtl/>
          <w:lang w:bidi="he-IL"/>
        </w:rPr>
      </w:pPr>
    </w:p>
    <w:p w:rsidR="00B34D99" w:rsidRPr="00B34D99" w:rsidRDefault="00B34D99" w:rsidP="00265433">
      <w:pPr>
        <w:shd w:val="pct25" w:color="auto" w:fill="auto"/>
        <w:bidi/>
        <w:spacing w:after="0"/>
        <w:jc w:val="center"/>
        <w:rPr>
          <w:rFonts w:cs="Guttman Drogolin"/>
          <w:b/>
          <w:bCs/>
          <w:sz w:val="48"/>
          <w:szCs w:val="48"/>
          <w:rtl/>
          <w:lang w:bidi="he-IL"/>
        </w:rPr>
      </w:pPr>
      <w:r w:rsidRPr="00B34D99">
        <w:rPr>
          <w:rFonts w:cs="Guttman Drogolin" w:hint="cs"/>
          <w:b/>
          <w:bCs/>
          <w:sz w:val="48"/>
          <w:szCs w:val="48"/>
          <w:rtl/>
          <w:lang w:bidi="he-IL"/>
        </w:rPr>
        <w:t>חבורות שנמסרו</w:t>
      </w:r>
    </w:p>
    <w:p w:rsidR="00B34D99" w:rsidRDefault="00265433" w:rsidP="00265433">
      <w:pPr>
        <w:shd w:val="pct25" w:color="auto" w:fill="auto"/>
        <w:bidi/>
        <w:spacing w:after="0"/>
        <w:jc w:val="center"/>
        <w:rPr>
          <w:rFonts w:cs="Guttman Drogolin"/>
          <w:b/>
          <w:bCs/>
          <w:sz w:val="48"/>
          <w:szCs w:val="48"/>
          <w:rtl/>
          <w:lang w:bidi="he-IL"/>
        </w:rPr>
      </w:pPr>
      <w:r>
        <w:rPr>
          <w:rFonts w:cs="Guttman Drogolin" w:hint="cs"/>
          <w:b/>
          <w:bCs/>
          <w:sz w:val="48"/>
          <w:szCs w:val="48"/>
          <w:rtl/>
          <w:lang w:bidi="he-IL"/>
        </w:rPr>
        <w:t>מ</w:t>
      </w:r>
      <w:r w:rsidR="00B34D99">
        <w:rPr>
          <w:rFonts w:cs="Guttman Drogolin" w:hint="cs"/>
          <w:b/>
          <w:bCs/>
          <w:sz w:val="48"/>
          <w:szCs w:val="48"/>
          <w:rtl/>
          <w:lang w:bidi="he-IL"/>
        </w:rPr>
        <w:t>זמן חו</w:t>
      </w:r>
      <w:r w:rsidR="00B34D99" w:rsidRPr="00B34D99">
        <w:rPr>
          <w:rFonts w:cs="Guttman Drogolin" w:hint="cs"/>
          <w:b/>
          <w:bCs/>
          <w:sz w:val="48"/>
          <w:szCs w:val="48"/>
          <w:rtl/>
          <w:lang w:bidi="he-IL"/>
        </w:rPr>
        <w:t>רף</w:t>
      </w:r>
      <w:r w:rsidR="00B34D99">
        <w:rPr>
          <w:rFonts w:cs="Guttman Drogolin" w:hint="cs"/>
          <w:b/>
          <w:bCs/>
          <w:sz w:val="48"/>
          <w:szCs w:val="48"/>
          <w:rtl/>
          <w:lang w:bidi="he-IL"/>
        </w:rPr>
        <w:t xml:space="preserve"> </w:t>
      </w:r>
      <w:r w:rsidR="00B34D99" w:rsidRPr="00B34D99">
        <w:rPr>
          <w:rFonts w:cs="Guttman Drogolin" w:hint="cs"/>
          <w:b/>
          <w:bCs/>
          <w:sz w:val="48"/>
          <w:szCs w:val="48"/>
          <w:rtl/>
          <w:lang w:bidi="he-IL"/>
        </w:rPr>
        <w:t>תשע"</w:t>
      </w:r>
      <w:r w:rsidR="00B34D99">
        <w:rPr>
          <w:rFonts w:cs="Guttman Drogolin" w:hint="cs"/>
          <w:b/>
          <w:bCs/>
          <w:sz w:val="48"/>
          <w:szCs w:val="48"/>
          <w:rtl/>
          <w:lang w:bidi="he-IL"/>
        </w:rPr>
        <w:t>ו</w:t>
      </w:r>
    </w:p>
    <w:p w:rsidR="00265433" w:rsidRPr="00B34D99" w:rsidRDefault="00265433" w:rsidP="00064B82">
      <w:pPr>
        <w:shd w:val="pct25" w:color="auto" w:fill="auto"/>
        <w:bidi/>
        <w:spacing w:after="0"/>
        <w:jc w:val="center"/>
        <w:rPr>
          <w:rFonts w:cs="Guttman Drogolin"/>
          <w:b/>
          <w:bCs/>
          <w:sz w:val="48"/>
          <w:szCs w:val="48"/>
          <w:rtl/>
          <w:lang w:bidi="he-IL"/>
        </w:rPr>
      </w:pPr>
      <w:r>
        <w:rPr>
          <w:rFonts w:cs="Guttman Drogolin" w:hint="cs"/>
          <w:b/>
          <w:bCs/>
          <w:sz w:val="48"/>
          <w:szCs w:val="48"/>
          <w:rtl/>
          <w:lang w:bidi="he-IL"/>
        </w:rPr>
        <w:t xml:space="preserve">עד סוף זמן </w:t>
      </w:r>
      <w:r w:rsidR="00064B82">
        <w:rPr>
          <w:rFonts w:cs="Guttman Drogolin" w:hint="cs"/>
          <w:b/>
          <w:bCs/>
          <w:sz w:val="48"/>
          <w:szCs w:val="48"/>
          <w:rtl/>
          <w:lang w:bidi="he-IL"/>
        </w:rPr>
        <w:t>אלול</w:t>
      </w:r>
      <w:r>
        <w:rPr>
          <w:rFonts w:cs="Guttman Drogolin" w:hint="cs"/>
          <w:b/>
          <w:bCs/>
          <w:sz w:val="48"/>
          <w:szCs w:val="48"/>
          <w:rtl/>
          <w:lang w:bidi="he-IL"/>
        </w:rPr>
        <w:t xml:space="preserve"> תשע"ז</w:t>
      </w:r>
    </w:p>
    <w:p w:rsidR="00B34D99" w:rsidRPr="00B34D99" w:rsidRDefault="00B34D99" w:rsidP="00265433">
      <w:pPr>
        <w:shd w:val="pct25" w:color="auto" w:fill="auto"/>
        <w:bidi/>
        <w:spacing w:after="0"/>
        <w:jc w:val="center"/>
        <w:rPr>
          <w:rFonts w:cs="Guttman Drogolin"/>
          <w:b/>
          <w:bCs/>
          <w:sz w:val="48"/>
          <w:szCs w:val="48"/>
          <w:rtl/>
          <w:lang w:bidi="he-IL"/>
        </w:rPr>
      </w:pPr>
      <w:r w:rsidRPr="00B34D99">
        <w:rPr>
          <w:rFonts w:cs="Guttman Drogolin" w:hint="cs"/>
          <w:b/>
          <w:bCs/>
          <w:sz w:val="48"/>
          <w:szCs w:val="48"/>
          <w:rtl/>
          <w:lang w:bidi="he-IL"/>
        </w:rPr>
        <w:t>לפני חבורת ת"ח</w:t>
      </w:r>
    </w:p>
    <w:p w:rsidR="00B34D99" w:rsidRPr="00B34D99" w:rsidRDefault="00B34D99" w:rsidP="00265433">
      <w:pPr>
        <w:shd w:val="pct25" w:color="auto" w:fill="auto"/>
        <w:bidi/>
        <w:spacing w:after="0"/>
        <w:jc w:val="center"/>
        <w:rPr>
          <w:rFonts w:cs="Guttman Drogolin"/>
          <w:b/>
          <w:bCs/>
          <w:sz w:val="48"/>
          <w:szCs w:val="48"/>
          <w:rtl/>
          <w:lang w:bidi="he-IL"/>
        </w:rPr>
      </w:pPr>
      <w:r w:rsidRPr="00B34D99">
        <w:rPr>
          <w:rFonts w:cs="Guttman Drogolin" w:hint="cs"/>
          <w:b/>
          <w:bCs/>
          <w:sz w:val="48"/>
          <w:szCs w:val="48"/>
          <w:rtl/>
          <w:lang w:bidi="he-IL"/>
        </w:rPr>
        <w:t>בישיבת מיר בעיה"ק ירושלים</w:t>
      </w:r>
    </w:p>
    <w:p w:rsidR="00B34D99" w:rsidRPr="00B34D99" w:rsidRDefault="00B34D99" w:rsidP="00B34D99">
      <w:pPr>
        <w:shd w:val="pct25" w:color="auto" w:fill="auto"/>
        <w:bidi/>
        <w:jc w:val="center"/>
        <w:rPr>
          <w:rFonts w:cs="Guttman Drogolin"/>
          <w:b/>
          <w:bCs/>
          <w:sz w:val="48"/>
          <w:szCs w:val="48"/>
          <w:rtl/>
          <w:lang w:bidi="he-IL"/>
        </w:rPr>
      </w:pPr>
    </w:p>
    <w:p w:rsidR="00B34D99" w:rsidRPr="00B34D99" w:rsidRDefault="00B34D99" w:rsidP="00B34D99">
      <w:pPr>
        <w:shd w:val="pct25" w:color="auto" w:fill="auto"/>
        <w:bidi/>
        <w:jc w:val="center"/>
        <w:rPr>
          <w:rFonts w:cs="Guttman Drogolin"/>
          <w:b/>
          <w:bCs/>
          <w:sz w:val="48"/>
          <w:szCs w:val="48"/>
          <w:lang w:bidi="he-IL"/>
        </w:rPr>
      </w:pPr>
    </w:p>
    <w:p w:rsidR="00B34D99" w:rsidRPr="00B34D99" w:rsidRDefault="00B34D99" w:rsidP="00B34D99">
      <w:pPr>
        <w:shd w:val="pct25" w:color="auto" w:fill="auto"/>
        <w:bidi/>
        <w:spacing w:after="0"/>
        <w:jc w:val="center"/>
        <w:rPr>
          <w:rFonts w:cs="Guttman Adii-Light"/>
          <w:b/>
          <w:bCs/>
          <w:sz w:val="36"/>
          <w:szCs w:val="36"/>
          <w:rtl/>
          <w:lang w:bidi="he-IL"/>
        </w:rPr>
      </w:pPr>
      <w:r w:rsidRPr="00B34D99">
        <w:rPr>
          <w:rFonts w:cs="Guttman Drogolin" w:hint="cs"/>
          <w:b/>
          <w:bCs/>
          <w:sz w:val="36"/>
          <w:szCs w:val="36"/>
          <w:rtl/>
          <w:lang w:bidi="he-IL"/>
        </w:rPr>
        <w:t>בעזרת החונן לאדם דעת</w:t>
      </w:r>
    </w:p>
    <w:p w:rsidR="00B34D99" w:rsidRPr="00B34D99" w:rsidRDefault="00B34D99" w:rsidP="00B34D99">
      <w:pPr>
        <w:shd w:val="pct25" w:color="auto" w:fill="auto"/>
        <w:bidi/>
        <w:spacing w:line="480" w:lineRule="auto"/>
        <w:jc w:val="center"/>
        <w:rPr>
          <w:rFonts w:cs="Guttman Adii"/>
          <w:b/>
          <w:bCs/>
          <w:sz w:val="16"/>
          <w:szCs w:val="16"/>
          <w:rtl/>
          <w:lang w:bidi="he-IL"/>
        </w:rPr>
      </w:pPr>
      <w:r w:rsidRPr="00B34D99">
        <w:rPr>
          <w:rFonts w:cs="Guttman Adii" w:hint="cs"/>
          <w:b/>
          <w:bCs/>
          <w:sz w:val="36"/>
          <w:szCs w:val="36"/>
          <w:rtl/>
          <w:lang w:bidi="he-IL"/>
        </w:rPr>
        <w:t>אברהם מאיר מרילס</w:t>
      </w:r>
    </w:p>
    <w:p w:rsidR="00B34D99" w:rsidRDefault="00B34D99" w:rsidP="00805C36">
      <w:pPr>
        <w:keepNext/>
        <w:tabs>
          <w:tab w:val="left" w:pos="3818"/>
          <w:tab w:val="center" w:pos="4680"/>
        </w:tabs>
        <w:bidi/>
        <w:jc w:val="center"/>
        <w:rPr>
          <w:rFonts w:cs="Guttman Mantova-Decor"/>
          <w:sz w:val="48"/>
          <w:szCs w:val="48"/>
          <w:rtl/>
          <w:lang w:bidi="he-IL"/>
        </w:rPr>
      </w:pPr>
    </w:p>
    <w:p w:rsidR="00271CE1" w:rsidRDefault="00271CE1" w:rsidP="00271CE1">
      <w:pPr>
        <w:keepNext/>
        <w:tabs>
          <w:tab w:val="left" w:pos="3818"/>
          <w:tab w:val="center" w:pos="4680"/>
        </w:tabs>
        <w:bidi/>
        <w:jc w:val="center"/>
        <w:rPr>
          <w:rFonts w:cs="Guttman Mantova-Decor"/>
          <w:sz w:val="48"/>
          <w:szCs w:val="48"/>
          <w:rtl/>
          <w:lang w:bidi="he-IL"/>
        </w:rPr>
        <w:sectPr w:rsidR="00271CE1" w:rsidSect="00A93851">
          <w:footerReference w:type="default" r:id="rId8"/>
          <w:pgSz w:w="11907" w:h="16839" w:code="9"/>
          <w:pgMar w:top="1440" w:right="1440" w:bottom="1440" w:left="1440" w:header="720" w:footer="720" w:gutter="0"/>
          <w:cols w:space="720"/>
          <w:bidi/>
          <w:docGrid w:linePitch="360"/>
        </w:sectPr>
      </w:pPr>
    </w:p>
    <w:sdt>
      <w:sdtPr>
        <w:rPr>
          <w:rFonts w:asciiTheme="minorHAnsi" w:eastAsiaTheme="minorHAnsi" w:hAnsiTheme="minorHAnsi" w:cs="Guttman Mantova"/>
          <w:b w:val="0"/>
          <w:bCs w:val="0"/>
          <w:color w:val="auto"/>
          <w:sz w:val="22"/>
          <w:szCs w:val="22"/>
          <w:u w:val="single"/>
          <w:rtl/>
          <w:lang w:eastAsia="en-US"/>
        </w:rPr>
        <w:id w:val="-777943437"/>
        <w:docPartObj>
          <w:docPartGallery w:val="Table of Contents"/>
          <w:docPartUnique/>
        </w:docPartObj>
      </w:sdtPr>
      <w:sdtEndPr>
        <w:rPr>
          <w:rFonts w:cstheme="minorBidi"/>
          <w:noProof/>
          <w:u w:val="none"/>
          <w:rtl w:val="0"/>
        </w:rPr>
      </w:sdtEndPr>
      <w:sdtContent>
        <w:p w:rsidR="00B34D99" w:rsidRPr="00685CA8" w:rsidRDefault="00154D74" w:rsidP="00154D74">
          <w:pPr>
            <w:pStyle w:val="TOCHeading"/>
            <w:bidi/>
            <w:rPr>
              <w:rFonts w:cs="Guttman Mantova"/>
              <w:color w:val="auto"/>
              <w:u w:val="single"/>
              <w:lang w:bidi="he-IL"/>
            </w:rPr>
          </w:pPr>
          <w:r w:rsidRPr="00685CA8">
            <w:rPr>
              <w:rFonts w:cs="Guttman Mantova" w:hint="cs"/>
              <w:color w:val="auto"/>
              <w:u w:val="single"/>
              <w:rtl/>
              <w:lang w:bidi="he-IL"/>
            </w:rPr>
            <w:t>הסוגיא שבמס' פסחים דף מ"ג עד דף מ"ה</w:t>
          </w:r>
        </w:p>
        <w:p w:rsidR="001171C7" w:rsidRDefault="00B34D99">
          <w:pPr>
            <w:pStyle w:val="TOC1"/>
            <w:rPr>
              <w:rFonts w:eastAsiaTheme="minorEastAsia" w:cstheme="minorBidi"/>
              <w:b w:val="0"/>
              <w:bCs w:val="0"/>
              <w:rtl/>
            </w:rPr>
          </w:pPr>
          <w:r>
            <w:fldChar w:fldCharType="begin"/>
          </w:r>
          <w:r>
            <w:instrText xml:space="preserve"> TOC \o "1-3" \h \z \u </w:instrText>
          </w:r>
          <w:r>
            <w:fldChar w:fldCharType="separate"/>
          </w:r>
          <w:hyperlink w:anchor="_Toc496175269" w:history="1">
            <w:r w:rsidR="001171C7" w:rsidRPr="00D35CC1">
              <w:rPr>
                <w:rStyle w:val="Hyperlink"/>
                <w:rFonts w:cs="Guttman Drogolin"/>
                <w:rtl/>
              </w:rPr>
              <w:t>הקדמה – בדין שיעור אכילה במאכלות אסורות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Toc496175269 \h</w:instrText>
            </w:r>
            <w:r w:rsidR="001171C7">
              <w:rPr>
                <w:webHidden/>
                <w:rtl/>
              </w:rPr>
              <w:instrText xml:space="preserve"> </w:instrText>
            </w:r>
            <w:r w:rsidR="001171C7">
              <w:rPr>
                <w:webHidden/>
                <w:rtl/>
              </w:rPr>
            </w:r>
            <w:r w:rsidR="001171C7">
              <w:rPr>
                <w:webHidden/>
                <w:rtl/>
              </w:rPr>
              <w:fldChar w:fldCharType="separate"/>
            </w:r>
            <w:r w:rsidR="006A6D13">
              <w:rPr>
                <w:webHidden/>
                <w:rtl/>
              </w:rPr>
              <w:t>1</w:t>
            </w:r>
            <w:r w:rsidR="001171C7">
              <w:rPr>
                <w:webHidden/>
                <w:rtl/>
              </w:rPr>
              <w:fldChar w:fldCharType="end"/>
            </w:r>
          </w:hyperlink>
        </w:p>
        <w:p w:rsidR="001171C7" w:rsidRDefault="007978F4">
          <w:pPr>
            <w:pStyle w:val="TOC1"/>
            <w:rPr>
              <w:rFonts w:eastAsiaTheme="minorEastAsia" w:cstheme="minorBidi"/>
              <w:b w:val="0"/>
              <w:bCs w:val="0"/>
              <w:rtl/>
            </w:rPr>
          </w:pPr>
          <w:hyperlink w:anchor="_Toc496175270" w:history="1">
            <w:r w:rsidR="001171C7" w:rsidRPr="00D35CC1">
              <w:rPr>
                <w:rStyle w:val="Hyperlink"/>
                <w:rFonts w:cs="Guttman Drogolin"/>
                <w:rtl/>
              </w:rPr>
              <w:t>הסוגיא של היתר מצטרף לאיסור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Toc496175270 \h</w:instrText>
            </w:r>
            <w:r w:rsidR="001171C7">
              <w:rPr>
                <w:webHidden/>
                <w:rtl/>
              </w:rPr>
              <w:instrText xml:space="preserve"> </w:instrText>
            </w:r>
            <w:r w:rsidR="001171C7">
              <w:rPr>
                <w:webHidden/>
                <w:rtl/>
              </w:rPr>
            </w:r>
            <w:r w:rsidR="001171C7">
              <w:rPr>
                <w:webHidden/>
                <w:rtl/>
              </w:rPr>
              <w:fldChar w:fldCharType="separate"/>
            </w:r>
            <w:r w:rsidR="006A6D13">
              <w:rPr>
                <w:webHidden/>
                <w:rtl/>
              </w:rPr>
              <w:t>2</w:t>
            </w:r>
            <w:r w:rsidR="001171C7">
              <w:rPr>
                <w:webHidden/>
                <w:rtl/>
              </w:rPr>
              <w:fldChar w:fldCharType="end"/>
            </w:r>
          </w:hyperlink>
        </w:p>
        <w:p w:rsidR="001171C7" w:rsidRDefault="007978F4">
          <w:pPr>
            <w:pStyle w:val="TOC1"/>
            <w:rPr>
              <w:rFonts w:eastAsiaTheme="minorEastAsia" w:cstheme="minorBidi"/>
              <w:b w:val="0"/>
              <w:bCs w:val="0"/>
              <w:rtl/>
            </w:rPr>
          </w:pPr>
          <w:hyperlink w:anchor="_Toc496175271" w:history="1">
            <w:r w:rsidR="001171C7" w:rsidRPr="00D35CC1">
              <w:rPr>
                <w:rStyle w:val="Hyperlink"/>
                <w:rFonts w:cs="Guttman Drogolin"/>
                <w:rtl/>
              </w:rPr>
              <w:t>יישוב שיטת רש"י מקושיות התוס'</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Toc496175271 \h</w:instrText>
            </w:r>
            <w:r w:rsidR="001171C7">
              <w:rPr>
                <w:webHidden/>
                <w:rtl/>
              </w:rPr>
              <w:instrText xml:space="preserve"> </w:instrText>
            </w:r>
            <w:r w:rsidR="001171C7">
              <w:rPr>
                <w:webHidden/>
                <w:rtl/>
              </w:rPr>
            </w:r>
            <w:r w:rsidR="001171C7">
              <w:rPr>
                <w:webHidden/>
                <w:rtl/>
              </w:rPr>
              <w:fldChar w:fldCharType="separate"/>
            </w:r>
            <w:r w:rsidR="006A6D13">
              <w:rPr>
                <w:webHidden/>
                <w:rtl/>
              </w:rPr>
              <w:t>4</w:t>
            </w:r>
            <w:r w:rsidR="001171C7">
              <w:rPr>
                <w:webHidden/>
                <w:rtl/>
              </w:rPr>
              <w:fldChar w:fldCharType="end"/>
            </w:r>
          </w:hyperlink>
        </w:p>
        <w:p w:rsidR="001171C7" w:rsidRDefault="007978F4">
          <w:pPr>
            <w:pStyle w:val="TOC1"/>
            <w:rPr>
              <w:rFonts w:eastAsiaTheme="minorEastAsia" w:cstheme="minorBidi"/>
              <w:b w:val="0"/>
              <w:bCs w:val="0"/>
              <w:rtl/>
            </w:rPr>
          </w:pPr>
          <w:hyperlink w:anchor="_Toc496175272" w:history="1">
            <w:r w:rsidR="001171C7" w:rsidRPr="00D35CC1">
              <w:rPr>
                <w:rStyle w:val="Hyperlink"/>
                <w:rFonts w:cs="Guttman Drogolin"/>
                <w:rtl/>
              </w:rPr>
              <w:t>קושיית הגמ' ממקפה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Toc496175272 \h</w:instrText>
            </w:r>
            <w:r w:rsidR="001171C7">
              <w:rPr>
                <w:webHidden/>
                <w:rtl/>
              </w:rPr>
              <w:instrText xml:space="preserve"> </w:instrText>
            </w:r>
            <w:r w:rsidR="001171C7">
              <w:rPr>
                <w:webHidden/>
                <w:rtl/>
              </w:rPr>
            </w:r>
            <w:r w:rsidR="001171C7">
              <w:rPr>
                <w:webHidden/>
                <w:rtl/>
              </w:rPr>
              <w:fldChar w:fldCharType="separate"/>
            </w:r>
            <w:r w:rsidR="006A6D13">
              <w:rPr>
                <w:webHidden/>
                <w:rtl/>
              </w:rPr>
              <w:t>6</w:t>
            </w:r>
            <w:r w:rsidR="001171C7">
              <w:rPr>
                <w:webHidden/>
                <w:rtl/>
              </w:rPr>
              <w:fldChar w:fldCharType="end"/>
            </w:r>
          </w:hyperlink>
        </w:p>
        <w:p w:rsidR="001171C7" w:rsidRDefault="007978F4">
          <w:pPr>
            <w:pStyle w:val="TOC1"/>
            <w:rPr>
              <w:rFonts w:eastAsiaTheme="minorEastAsia" w:cstheme="minorBidi"/>
              <w:b w:val="0"/>
              <w:bCs w:val="0"/>
              <w:rtl/>
            </w:rPr>
          </w:pPr>
          <w:hyperlink w:anchor="_Toc496175273" w:history="1">
            <w:r w:rsidR="001171C7" w:rsidRPr="00D35CC1">
              <w:rPr>
                <w:rStyle w:val="Hyperlink"/>
                <w:rFonts w:cs="Guttman Drogolin"/>
                <w:rtl/>
              </w:rPr>
              <w:t>שיטת רש"י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Toc496175273 \h</w:instrText>
            </w:r>
            <w:r w:rsidR="001171C7">
              <w:rPr>
                <w:webHidden/>
                <w:rtl/>
              </w:rPr>
              <w:instrText xml:space="preserve"> </w:instrText>
            </w:r>
            <w:r w:rsidR="001171C7">
              <w:rPr>
                <w:webHidden/>
                <w:rtl/>
              </w:rPr>
            </w:r>
            <w:r w:rsidR="001171C7">
              <w:rPr>
                <w:webHidden/>
                <w:rtl/>
              </w:rPr>
              <w:fldChar w:fldCharType="separate"/>
            </w:r>
            <w:r w:rsidR="006A6D13">
              <w:rPr>
                <w:webHidden/>
                <w:rtl/>
              </w:rPr>
              <w:t>6</w:t>
            </w:r>
            <w:r w:rsidR="001171C7">
              <w:rPr>
                <w:webHidden/>
                <w:rtl/>
              </w:rPr>
              <w:fldChar w:fldCharType="end"/>
            </w:r>
          </w:hyperlink>
        </w:p>
        <w:p w:rsidR="001171C7" w:rsidRDefault="007978F4">
          <w:pPr>
            <w:pStyle w:val="TOC1"/>
            <w:rPr>
              <w:rFonts w:eastAsiaTheme="minorEastAsia" w:cstheme="minorBidi"/>
              <w:b w:val="0"/>
              <w:bCs w:val="0"/>
              <w:rtl/>
            </w:rPr>
          </w:pPr>
          <w:hyperlink w:anchor="_Toc496175274" w:history="1">
            <w:r w:rsidR="001171C7" w:rsidRPr="00D35CC1">
              <w:rPr>
                <w:rStyle w:val="Hyperlink"/>
                <w:rFonts w:cs="Guttman Drogolin"/>
                <w:rtl/>
              </w:rPr>
              <w:t>שיטת התוס'</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Toc496175274 \h</w:instrText>
            </w:r>
            <w:r w:rsidR="001171C7">
              <w:rPr>
                <w:webHidden/>
                <w:rtl/>
              </w:rPr>
              <w:instrText xml:space="preserve"> </w:instrText>
            </w:r>
            <w:r w:rsidR="001171C7">
              <w:rPr>
                <w:webHidden/>
                <w:rtl/>
              </w:rPr>
            </w:r>
            <w:r w:rsidR="001171C7">
              <w:rPr>
                <w:webHidden/>
                <w:rtl/>
              </w:rPr>
              <w:fldChar w:fldCharType="separate"/>
            </w:r>
            <w:r w:rsidR="006A6D13">
              <w:rPr>
                <w:webHidden/>
                <w:rtl/>
              </w:rPr>
              <w:t>7</w:t>
            </w:r>
            <w:r w:rsidR="001171C7">
              <w:rPr>
                <w:webHidden/>
                <w:rtl/>
              </w:rPr>
              <w:fldChar w:fldCharType="end"/>
            </w:r>
          </w:hyperlink>
        </w:p>
        <w:p w:rsidR="001171C7" w:rsidRDefault="007978F4">
          <w:pPr>
            <w:pStyle w:val="TOC1"/>
            <w:rPr>
              <w:rFonts w:eastAsiaTheme="minorEastAsia" w:cstheme="minorBidi"/>
              <w:b w:val="0"/>
              <w:bCs w:val="0"/>
              <w:rtl/>
            </w:rPr>
          </w:pPr>
          <w:hyperlink w:anchor="_Toc496175275" w:history="1">
            <w:r w:rsidR="00AF5AFC">
              <w:rPr>
                <w:rStyle w:val="Hyperlink"/>
                <w:rFonts w:cs="Guttman Drogolin"/>
                <w:rtl/>
              </w:rPr>
              <w:t xml:space="preserve">למה לא </w:t>
            </w:r>
            <w:r w:rsidR="001171C7" w:rsidRPr="00D35CC1">
              <w:rPr>
                <w:rStyle w:val="Hyperlink"/>
                <w:rFonts w:cs="Guttman Drogolin"/>
                <w:rtl/>
              </w:rPr>
              <w:t>אמרו בגמ' שאינו בטל משום דטעם כעיקר מדאורייתא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Toc496175275 \h</w:instrText>
            </w:r>
            <w:r w:rsidR="001171C7">
              <w:rPr>
                <w:webHidden/>
                <w:rtl/>
              </w:rPr>
              <w:instrText xml:space="preserve"> </w:instrText>
            </w:r>
            <w:r w:rsidR="001171C7">
              <w:rPr>
                <w:webHidden/>
                <w:rtl/>
              </w:rPr>
            </w:r>
            <w:r w:rsidR="001171C7">
              <w:rPr>
                <w:webHidden/>
                <w:rtl/>
              </w:rPr>
              <w:fldChar w:fldCharType="separate"/>
            </w:r>
            <w:r w:rsidR="006A6D13">
              <w:rPr>
                <w:webHidden/>
                <w:rtl/>
              </w:rPr>
              <w:t>8</w:t>
            </w:r>
            <w:r w:rsidR="001171C7">
              <w:rPr>
                <w:webHidden/>
                <w:rtl/>
              </w:rPr>
              <w:fldChar w:fldCharType="end"/>
            </w:r>
          </w:hyperlink>
        </w:p>
        <w:p w:rsidR="001171C7" w:rsidRDefault="007978F4">
          <w:pPr>
            <w:pStyle w:val="TOC1"/>
            <w:rPr>
              <w:rFonts w:eastAsiaTheme="minorEastAsia" w:cstheme="minorBidi"/>
              <w:b w:val="0"/>
              <w:bCs w:val="0"/>
              <w:rtl/>
            </w:rPr>
          </w:pPr>
          <w:hyperlink w:anchor="_Toc496175276" w:history="1">
            <w:r w:rsidR="001171C7" w:rsidRPr="00D35CC1">
              <w:rPr>
                <w:rStyle w:val="Hyperlink"/>
                <w:rFonts w:cs="Guttman Drogolin"/>
                <w:rtl/>
              </w:rPr>
              <w:t>ביאור הנידון אם כזית בכדי אכילת פרס דאורייתא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Toc496175276 \h</w:instrText>
            </w:r>
            <w:r w:rsidR="001171C7">
              <w:rPr>
                <w:webHidden/>
                <w:rtl/>
              </w:rPr>
              <w:instrText xml:space="preserve"> </w:instrText>
            </w:r>
            <w:r w:rsidR="001171C7">
              <w:rPr>
                <w:webHidden/>
                <w:rtl/>
              </w:rPr>
            </w:r>
            <w:r w:rsidR="001171C7">
              <w:rPr>
                <w:webHidden/>
                <w:rtl/>
              </w:rPr>
              <w:fldChar w:fldCharType="separate"/>
            </w:r>
            <w:r w:rsidR="006A6D13">
              <w:rPr>
                <w:webHidden/>
                <w:rtl/>
              </w:rPr>
              <w:t>9</w:t>
            </w:r>
            <w:r w:rsidR="001171C7">
              <w:rPr>
                <w:webHidden/>
                <w:rtl/>
              </w:rPr>
              <w:fldChar w:fldCharType="end"/>
            </w:r>
          </w:hyperlink>
        </w:p>
        <w:p w:rsidR="001171C7" w:rsidRDefault="007978F4">
          <w:pPr>
            <w:pStyle w:val="TOC1"/>
            <w:rPr>
              <w:rFonts w:eastAsiaTheme="minorEastAsia" w:cstheme="minorBidi"/>
              <w:b w:val="0"/>
              <w:bCs w:val="0"/>
              <w:rtl/>
            </w:rPr>
          </w:pPr>
          <w:hyperlink w:anchor="_Toc496175277" w:history="1">
            <w:r w:rsidR="001171C7" w:rsidRPr="00D35CC1">
              <w:rPr>
                <w:rStyle w:val="Hyperlink"/>
                <w:rFonts w:cs="Guttman Drogolin"/>
                <w:rtl/>
              </w:rPr>
              <w:t>ביאור דברי הגמ' במס' נזיר בהא דנפישי חולין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Toc496175277 \h</w:instrText>
            </w:r>
            <w:r w:rsidR="001171C7">
              <w:rPr>
                <w:webHidden/>
                <w:rtl/>
              </w:rPr>
              <w:instrText xml:space="preserve"> </w:instrText>
            </w:r>
            <w:r w:rsidR="001171C7">
              <w:rPr>
                <w:webHidden/>
                <w:rtl/>
              </w:rPr>
            </w:r>
            <w:r w:rsidR="001171C7">
              <w:rPr>
                <w:webHidden/>
                <w:rtl/>
              </w:rPr>
              <w:fldChar w:fldCharType="separate"/>
            </w:r>
            <w:r w:rsidR="006A6D13">
              <w:rPr>
                <w:webHidden/>
                <w:rtl/>
              </w:rPr>
              <w:t>9</w:t>
            </w:r>
            <w:r w:rsidR="001171C7">
              <w:rPr>
                <w:webHidden/>
                <w:rtl/>
              </w:rPr>
              <w:fldChar w:fldCharType="end"/>
            </w:r>
          </w:hyperlink>
        </w:p>
        <w:p w:rsidR="001171C7" w:rsidRDefault="007978F4">
          <w:pPr>
            <w:pStyle w:val="TOC1"/>
            <w:rPr>
              <w:rFonts w:eastAsiaTheme="minorEastAsia" w:cstheme="minorBidi"/>
              <w:b w:val="0"/>
              <w:bCs w:val="0"/>
              <w:rtl/>
            </w:rPr>
          </w:pPr>
          <w:hyperlink w:anchor="_Toc496175278" w:history="1">
            <w:r w:rsidR="001171C7" w:rsidRPr="00D35CC1">
              <w:rPr>
                <w:rStyle w:val="Hyperlink"/>
                <w:rFonts w:cs="Guttman Drogolin"/>
                <w:rtl/>
              </w:rPr>
              <w:t>למה אין אוסרים בהא דקופות ומדוכות מדין חצי שיעור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Toc496175278 \h</w:instrText>
            </w:r>
            <w:r w:rsidR="001171C7">
              <w:rPr>
                <w:webHidden/>
                <w:rtl/>
              </w:rPr>
              <w:instrText xml:space="preserve"> </w:instrText>
            </w:r>
            <w:r w:rsidR="001171C7">
              <w:rPr>
                <w:webHidden/>
                <w:rtl/>
              </w:rPr>
            </w:r>
            <w:r w:rsidR="001171C7">
              <w:rPr>
                <w:webHidden/>
                <w:rtl/>
              </w:rPr>
              <w:fldChar w:fldCharType="separate"/>
            </w:r>
            <w:r w:rsidR="006A6D13">
              <w:rPr>
                <w:webHidden/>
                <w:rtl/>
              </w:rPr>
              <w:t>10</w:t>
            </w:r>
            <w:r w:rsidR="001171C7">
              <w:rPr>
                <w:webHidden/>
                <w:rtl/>
              </w:rPr>
              <w:fldChar w:fldCharType="end"/>
            </w:r>
          </w:hyperlink>
        </w:p>
        <w:p w:rsidR="001171C7" w:rsidRDefault="007978F4">
          <w:pPr>
            <w:pStyle w:val="TOC1"/>
            <w:rPr>
              <w:rFonts w:eastAsiaTheme="minorEastAsia" w:cstheme="minorBidi"/>
              <w:b w:val="0"/>
              <w:bCs w:val="0"/>
              <w:rtl/>
            </w:rPr>
          </w:pPr>
          <w:hyperlink w:anchor="_Toc496175279" w:history="1">
            <w:r w:rsidR="001171C7" w:rsidRPr="00D35CC1">
              <w:rPr>
                <w:rStyle w:val="Hyperlink"/>
                <w:rFonts w:cs="Guttman Drogolin"/>
                <w:rtl/>
              </w:rPr>
              <w:t>בביאור הקושיא מב' מדוכות ומב' קופות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Toc496175279 \h</w:instrText>
            </w:r>
            <w:r w:rsidR="001171C7">
              <w:rPr>
                <w:webHidden/>
                <w:rtl/>
              </w:rPr>
              <w:instrText xml:space="preserve"> </w:instrText>
            </w:r>
            <w:r w:rsidR="001171C7">
              <w:rPr>
                <w:webHidden/>
                <w:rtl/>
              </w:rPr>
            </w:r>
            <w:r w:rsidR="001171C7">
              <w:rPr>
                <w:webHidden/>
                <w:rtl/>
              </w:rPr>
              <w:fldChar w:fldCharType="separate"/>
            </w:r>
            <w:r w:rsidR="006A6D13">
              <w:rPr>
                <w:webHidden/>
                <w:rtl/>
              </w:rPr>
              <w:t>12</w:t>
            </w:r>
            <w:r w:rsidR="001171C7">
              <w:rPr>
                <w:webHidden/>
                <w:rtl/>
              </w:rPr>
              <w:fldChar w:fldCharType="end"/>
            </w:r>
          </w:hyperlink>
        </w:p>
        <w:p w:rsidR="001171C7" w:rsidRDefault="007978F4">
          <w:pPr>
            <w:pStyle w:val="TOC1"/>
            <w:rPr>
              <w:rFonts w:eastAsiaTheme="minorEastAsia" w:cstheme="minorBidi"/>
              <w:b w:val="0"/>
              <w:bCs w:val="0"/>
              <w:rtl/>
            </w:rPr>
          </w:pPr>
          <w:hyperlink w:anchor="_Toc496175280" w:history="1">
            <w:r w:rsidR="001171C7" w:rsidRPr="00D35CC1">
              <w:rPr>
                <w:rStyle w:val="Hyperlink"/>
                <w:rFonts w:cs="Guttman Drogolin"/>
                <w:rtl/>
              </w:rPr>
              <w:t>מהו החידוש של צירוף יין לחודי'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Toc496175280 \h</w:instrText>
            </w:r>
            <w:r w:rsidR="001171C7">
              <w:rPr>
                <w:webHidden/>
                <w:rtl/>
              </w:rPr>
              <w:instrText xml:space="preserve"> </w:instrText>
            </w:r>
            <w:r w:rsidR="001171C7">
              <w:rPr>
                <w:webHidden/>
                <w:rtl/>
              </w:rPr>
            </w:r>
            <w:r w:rsidR="001171C7">
              <w:rPr>
                <w:webHidden/>
                <w:rtl/>
              </w:rPr>
              <w:fldChar w:fldCharType="separate"/>
            </w:r>
            <w:r w:rsidR="006A6D13">
              <w:rPr>
                <w:webHidden/>
                <w:rtl/>
              </w:rPr>
              <w:t>13</w:t>
            </w:r>
            <w:r w:rsidR="001171C7">
              <w:rPr>
                <w:webHidden/>
                <w:rtl/>
              </w:rPr>
              <w:fldChar w:fldCharType="end"/>
            </w:r>
          </w:hyperlink>
        </w:p>
        <w:p w:rsidR="001171C7" w:rsidRDefault="007978F4">
          <w:pPr>
            <w:pStyle w:val="TOC1"/>
            <w:rPr>
              <w:rFonts w:eastAsiaTheme="minorEastAsia" w:cstheme="minorBidi"/>
              <w:b w:val="0"/>
              <w:bCs w:val="0"/>
              <w:rtl/>
            </w:rPr>
          </w:pPr>
          <w:hyperlink w:anchor="_Toc496175281" w:history="1">
            <w:r w:rsidR="001171C7" w:rsidRPr="00D35CC1">
              <w:rPr>
                <w:rStyle w:val="Hyperlink"/>
                <w:rFonts w:cs="Guttman Drogolin"/>
                <w:rtl/>
              </w:rPr>
              <w:t>קושיית הגמ' דמנין לי' לר"ע דטעם כעיקר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Toc496175281 \h</w:instrText>
            </w:r>
            <w:r w:rsidR="001171C7">
              <w:rPr>
                <w:webHidden/>
                <w:rtl/>
              </w:rPr>
              <w:instrText xml:space="preserve"> </w:instrText>
            </w:r>
            <w:r w:rsidR="001171C7">
              <w:rPr>
                <w:webHidden/>
                <w:rtl/>
              </w:rPr>
            </w:r>
            <w:r w:rsidR="001171C7">
              <w:rPr>
                <w:webHidden/>
                <w:rtl/>
              </w:rPr>
              <w:fldChar w:fldCharType="separate"/>
            </w:r>
            <w:r w:rsidR="006A6D13">
              <w:rPr>
                <w:webHidden/>
                <w:rtl/>
              </w:rPr>
              <w:t>14</w:t>
            </w:r>
            <w:r w:rsidR="001171C7">
              <w:rPr>
                <w:webHidden/>
                <w:rtl/>
              </w:rPr>
              <w:fldChar w:fldCharType="end"/>
            </w:r>
          </w:hyperlink>
        </w:p>
        <w:p w:rsidR="001171C7" w:rsidRDefault="007978F4">
          <w:pPr>
            <w:pStyle w:val="TOC1"/>
            <w:rPr>
              <w:rFonts w:eastAsiaTheme="minorEastAsia" w:cstheme="minorBidi"/>
              <w:b w:val="0"/>
              <w:bCs w:val="0"/>
              <w:rtl/>
            </w:rPr>
          </w:pPr>
          <w:hyperlink w:anchor="_Toc496175282" w:history="1">
            <w:r w:rsidR="001171C7" w:rsidRPr="00D35CC1">
              <w:rPr>
                <w:rStyle w:val="Hyperlink"/>
                <w:rFonts w:cs="Guttman Drogolin"/>
                <w:rtl/>
              </w:rPr>
              <w:t>הלימוד מבשר בחלב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Toc496175282 \h</w:instrText>
            </w:r>
            <w:r w:rsidR="001171C7">
              <w:rPr>
                <w:webHidden/>
                <w:rtl/>
              </w:rPr>
              <w:instrText xml:space="preserve"> </w:instrText>
            </w:r>
            <w:r w:rsidR="001171C7">
              <w:rPr>
                <w:webHidden/>
                <w:rtl/>
              </w:rPr>
            </w:r>
            <w:r w:rsidR="001171C7">
              <w:rPr>
                <w:webHidden/>
                <w:rtl/>
              </w:rPr>
              <w:fldChar w:fldCharType="separate"/>
            </w:r>
            <w:r w:rsidR="006A6D13">
              <w:rPr>
                <w:webHidden/>
                <w:rtl/>
              </w:rPr>
              <w:t>14</w:t>
            </w:r>
            <w:r w:rsidR="001171C7">
              <w:rPr>
                <w:webHidden/>
                <w:rtl/>
              </w:rPr>
              <w:fldChar w:fldCharType="end"/>
            </w:r>
          </w:hyperlink>
        </w:p>
        <w:p w:rsidR="001171C7" w:rsidRDefault="007978F4">
          <w:pPr>
            <w:pStyle w:val="TOC1"/>
            <w:rPr>
              <w:rFonts w:eastAsiaTheme="minorEastAsia" w:cstheme="minorBidi"/>
              <w:b w:val="0"/>
              <w:bCs w:val="0"/>
              <w:rtl/>
            </w:rPr>
          </w:pPr>
          <w:hyperlink w:anchor="_Toc496175283" w:history="1">
            <w:r w:rsidR="001171C7" w:rsidRPr="00D35CC1">
              <w:rPr>
                <w:rStyle w:val="Hyperlink"/>
                <w:rFonts w:cs="Guttman Drogolin"/>
                <w:rtl/>
              </w:rPr>
              <w:t>תרו לי' כולי יומא בחלבא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Toc496175283 \h</w:instrText>
            </w:r>
            <w:r w:rsidR="001171C7">
              <w:rPr>
                <w:webHidden/>
                <w:rtl/>
              </w:rPr>
              <w:instrText xml:space="preserve"> </w:instrText>
            </w:r>
            <w:r w:rsidR="001171C7">
              <w:rPr>
                <w:webHidden/>
                <w:rtl/>
              </w:rPr>
            </w:r>
            <w:r w:rsidR="001171C7">
              <w:rPr>
                <w:webHidden/>
                <w:rtl/>
              </w:rPr>
              <w:fldChar w:fldCharType="separate"/>
            </w:r>
            <w:r w:rsidR="006A6D13">
              <w:rPr>
                <w:webHidden/>
                <w:rtl/>
              </w:rPr>
              <w:t>15</w:t>
            </w:r>
            <w:r w:rsidR="001171C7">
              <w:rPr>
                <w:webHidden/>
                <w:rtl/>
              </w:rPr>
              <w:fldChar w:fldCharType="end"/>
            </w:r>
          </w:hyperlink>
        </w:p>
        <w:p w:rsidR="001171C7" w:rsidRDefault="007978F4">
          <w:pPr>
            <w:pStyle w:val="TOC1"/>
            <w:rPr>
              <w:rFonts w:eastAsiaTheme="minorEastAsia" w:cstheme="minorBidi"/>
              <w:b w:val="0"/>
              <w:bCs w:val="0"/>
              <w:rtl/>
            </w:rPr>
          </w:pPr>
          <w:hyperlink w:anchor="_Toc496175284" w:history="1">
            <w:r w:rsidR="001171C7" w:rsidRPr="00D35CC1">
              <w:rPr>
                <w:rStyle w:val="Hyperlink"/>
                <w:rFonts w:cs="Guttman Drogolin"/>
                <w:rtl/>
              </w:rPr>
              <w:t>גיעולי נכרים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Toc496175284 \h</w:instrText>
            </w:r>
            <w:r w:rsidR="001171C7">
              <w:rPr>
                <w:webHidden/>
                <w:rtl/>
              </w:rPr>
              <w:instrText xml:space="preserve"> </w:instrText>
            </w:r>
            <w:r w:rsidR="001171C7">
              <w:rPr>
                <w:webHidden/>
                <w:rtl/>
              </w:rPr>
            </w:r>
            <w:r w:rsidR="001171C7">
              <w:rPr>
                <w:webHidden/>
                <w:rtl/>
              </w:rPr>
              <w:fldChar w:fldCharType="separate"/>
            </w:r>
            <w:r w:rsidR="006A6D13">
              <w:rPr>
                <w:webHidden/>
                <w:rtl/>
              </w:rPr>
              <w:t>15</w:t>
            </w:r>
            <w:r w:rsidR="001171C7">
              <w:rPr>
                <w:webHidden/>
                <w:rtl/>
              </w:rPr>
              <w:fldChar w:fldCharType="end"/>
            </w:r>
          </w:hyperlink>
        </w:p>
        <w:p w:rsidR="001171C7" w:rsidRDefault="007978F4">
          <w:pPr>
            <w:pStyle w:val="TOC1"/>
            <w:rPr>
              <w:rFonts w:eastAsiaTheme="minorEastAsia" w:cstheme="minorBidi"/>
              <w:b w:val="0"/>
              <w:bCs w:val="0"/>
              <w:rtl/>
            </w:rPr>
          </w:pPr>
          <w:hyperlink w:anchor="_Toc496175285" w:history="1">
            <w:r w:rsidR="001171C7" w:rsidRPr="00D35CC1">
              <w:rPr>
                <w:rStyle w:val="Hyperlink"/>
                <w:rFonts w:cs="Guttman Drogolin"/>
                <w:rtl/>
              </w:rPr>
              <w:t>עוד בהא דאין טעם כעיקר אומר שנהפך ההיתר להיות אסור ומ"מ האיסורים אינם מתבטלים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Toc496175285 \h</w:instrText>
            </w:r>
            <w:r w:rsidR="001171C7">
              <w:rPr>
                <w:webHidden/>
                <w:rtl/>
              </w:rPr>
              <w:instrText xml:space="preserve"> </w:instrText>
            </w:r>
            <w:r w:rsidR="001171C7">
              <w:rPr>
                <w:webHidden/>
                <w:rtl/>
              </w:rPr>
            </w:r>
            <w:r w:rsidR="001171C7">
              <w:rPr>
                <w:webHidden/>
                <w:rtl/>
              </w:rPr>
              <w:fldChar w:fldCharType="separate"/>
            </w:r>
            <w:r w:rsidR="006A6D13">
              <w:rPr>
                <w:webHidden/>
                <w:rtl/>
              </w:rPr>
              <w:t>17</w:t>
            </w:r>
            <w:r w:rsidR="001171C7">
              <w:rPr>
                <w:webHidden/>
                <w:rtl/>
              </w:rPr>
              <w:fldChar w:fldCharType="end"/>
            </w:r>
          </w:hyperlink>
        </w:p>
        <w:p w:rsidR="001171C7" w:rsidRDefault="007978F4">
          <w:pPr>
            <w:pStyle w:val="TOC1"/>
            <w:rPr>
              <w:rFonts w:eastAsiaTheme="minorEastAsia" w:cstheme="minorBidi"/>
              <w:b w:val="0"/>
              <w:bCs w:val="0"/>
              <w:rtl/>
            </w:rPr>
          </w:pPr>
          <w:hyperlink w:anchor="_Toc496175286" w:history="1">
            <w:r w:rsidR="001171C7" w:rsidRPr="00D35CC1">
              <w:rPr>
                <w:rStyle w:val="Hyperlink"/>
                <w:rFonts w:cs="Guttman Drogolin"/>
                <w:rtl/>
              </w:rPr>
              <w:t>הלימוד מחטאת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Toc496175286 \h</w:instrText>
            </w:r>
            <w:r w:rsidR="001171C7">
              <w:rPr>
                <w:webHidden/>
                <w:rtl/>
              </w:rPr>
              <w:instrText xml:space="preserve"> </w:instrText>
            </w:r>
            <w:r w:rsidR="001171C7">
              <w:rPr>
                <w:webHidden/>
                <w:rtl/>
              </w:rPr>
            </w:r>
            <w:r w:rsidR="001171C7">
              <w:rPr>
                <w:webHidden/>
                <w:rtl/>
              </w:rPr>
              <w:fldChar w:fldCharType="separate"/>
            </w:r>
            <w:r w:rsidR="006A6D13">
              <w:rPr>
                <w:webHidden/>
                <w:rtl/>
              </w:rPr>
              <w:t>17</w:t>
            </w:r>
            <w:r w:rsidR="001171C7">
              <w:rPr>
                <w:webHidden/>
                <w:rtl/>
              </w:rPr>
              <w:fldChar w:fldCharType="end"/>
            </w:r>
          </w:hyperlink>
        </w:p>
        <w:p w:rsidR="001171C7" w:rsidRDefault="007978F4">
          <w:pPr>
            <w:pStyle w:val="TOC1"/>
            <w:rPr>
              <w:rFonts w:eastAsiaTheme="minorEastAsia" w:cstheme="minorBidi"/>
              <w:b w:val="0"/>
              <w:bCs w:val="0"/>
              <w:rtl/>
            </w:rPr>
          </w:pPr>
          <w:hyperlink w:anchor="_Toc496175287" w:history="1">
            <w:r w:rsidR="001171C7" w:rsidRPr="00D35CC1">
              <w:rPr>
                <w:rStyle w:val="Hyperlink"/>
                <w:rFonts w:cs="Guttman Drogolin"/>
                <w:rtl/>
              </w:rPr>
              <w:t>ישוב הקושיא הרביעית של התוס' אשיטת רש"י בדין היתר מצטרף לאיסור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Toc496175287 \h</w:instrText>
            </w:r>
            <w:r w:rsidR="001171C7">
              <w:rPr>
                <w:webHidden/>
                <w:rtl/>
              </w:rPr>
              <w:instrText xml:space="preserve"> </w:instrText>
            </w:r>
            <w:r w:rsidR="001171C7">
              <w:rPr>
                <w:webHidden/>
                <w:rtl/>
              </w:rPr>
            </w:r>
            <w:r w:rsidR="001171C7">
              <w:rPr>
                <w:webHidden/>
                <w:rtl/>
              </w:rPr>
              <w:fldChar w:fldCharType="separate"/>
            </w:r>
            <w:r w:rsidR="006A6D13">
              <w:rPr>
                <w:webHidden/>
                <w:rtl/>
              </w:rPr>
              <w:t>18</w:t>
            </w:r>
            <w:r w:rsidR="001171C7">
              <w:rPr>
                <w:webHidden/>
                <w:rtl/>
              </w:rPr>
              <w:fldChar w:fldCharType="end"/>
            </w:r>
          </w:hyperlink>
        </w:p>
        <w:p w:rsidR="001171C7" w:rsidRDefault="007978F4">
          <w:pPr>
            <w:pStyle w:val="TOC1"/>
            <w:rPr>
              <w:rFonts w:eastAsiaTheme="minorEastAsia" w:cstheme="minorBidi"/>
              <w:b w:val="0"/>
              <w:bCs w:val="0"/>
              <w:rtl/>
            </w:rPr>
          </w:pPr>
          <w:hyperlink w:anchor="_Toc496175288" w:history="1">
            <w:r w:rsidR="001171C7" w:rsidRPr="00D35CC1">
              <w:rPr>
                <w:rStyle w:val="Hyperlink"/>
                <w:rFonts w:cs="Guttman Drogolin"/>
                <w:rtl/>
              </w:rPr>
              <w:t>המתבאר מסוף הסוגיא בדין היתר מצטרף לאיסור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Toc496175288 \h</w:instrText>
            </w:r>
            <w:r w:rsidR="001171C7">
              <w:rPr>
                <w:webHidden/>
                <w:rtl/>
              </w:rPr>
              <w:instrText xml:space="preserve"> </w:instrText>
            </w:r>
            <w:r w:rsidR="001171C7">
              <w:rPr>
                <w:webHidden/>
                <w:rtl/>
              </w:rPr>
            </w:r>
            <w:r w:rsidR="001171C7">
              <w:rPr>
                <w:webHidden/>
                <w:rtl/>
              </w:rPr>
              <w:fldChar w:fldCharType="separate"/>
            </w:r>
            <w:r w:rsidR="006A6D13">
              <w:rPr>
                <w:webHidden/>
                <w:rtl/>
              </w:rPr>
              <w:t>18</w:t>
            </w:r>
            <w:r w:rsidR="001171C7">
              <w:rPr>
                <w:webHidden/>
                <w:rtl/>
              </w:rPr>
              <w:fldChar w:fldCharType="end"/>
            </w:r>
          </w:hyperlink>
        </w:p>
        <w:p w:rsidR="001171C7" w:rsidRDefault="007978F4">
          <w:pPr>
            <w:pStyle w:val="TOC1"/>
            <w:rPr>
              <w:rFonts w:eastAsiaTheme="minorEastAsia" w:cstheme="minorBidi"/>
              <w:b w:val="0"/>
              <w:bCs w:val="0"/>
              <w:rtl/>
            </w:rPr>
          </w:pPr>
          <w:hyperlink w:anchor="_Toc496175289" w:history="1">
            <w:r w:rsidR="001171C7" w:rsidRPr="00D35CC1">
              <w:rPr>
                <w:rStyle w:val="Hyperlink"/>
                <w:rFonts w:cs="Guttman Drogolin"/>
                <w:rtl/>
              </w:rPr>
              <w:t>השיטות של טעם כעיקר והיתר מצטרף לאיסור למסקנת הגמ'</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Toc496175289 \h</w:instrText>
            </w:r>
            <w:r w:rsidR="001171C7">
              <w:rPr>
                <w:webHidden/>
                <w:rtl/>
              </w:rPr>
              <w:instrText xml:space="preserve"> </w:instrText>
            </w:r>
            <w:r w:rsidR="001171C7">
              <w:rPr>
                <w:webHidden/>
                <w:rtl/>
              </w:rPr>
            </w:r>
            <w:r w:rsidR="001171C7">
              <w:rPr>
                <w:webHidden/>
                <w:rtl/>
              </w:rPr>
              <w:fldChar w:fldCharType="separate"/>
            </w:r>
            <w:r w:rsidR="006A6D13">
              <w:rPr>
                <w:webHidden/>
                <w:rtl/>
              </w:rPr>
              <w:t>18</w:t>
            </w:r>
            <w:r w:rsidR="001171C7">
              <w:rPr>
                <w:webHidden/>
                <w:rtl/>
              </w:rPr>
              <w:fldChar w:fldCharType="end"/>
            </w:r>
          </w:hyperlink>
        </w:p>
        <w:p w:rsidR="001171C7" w:rsidRDefault="007978F4">
          <w:pPr>
            <w:pStyle w:val="TOC1"/>
            <w:rPr>
              <w:rStyle w:val="Hyperlink"/>
              <w:rtl/>
            </w:rPr>
          </w:pPr>
          <w:hyperlink w:anchor="_Toc496175290" w:history="1">
            <w:r w:rsidR="001171C7" w:rsidRPr="00D35CC1">
              <w:rPr>
                <w:rStyle w:val="Hyperlink"/>
                <w:rFonts w:cs="Guttman Drogolin"/>
                <w:rtl/>
              </w:rPr>
              <w:t>עוד כמה הערות בסוגיין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Toc496175290 \h</w:instrText>
            </w:r>
            <w:r w:rsidR="001171C7">
              <w:rPr>
                <w:webHidden/>
                <w:rtl/>
              </w:rPr>
              <w:instrText xml:space="preserve"> </w:instrText>
            </w:r>
            <w:r w:rsidR="001171C7">
              <w:rPr>
                <w:webHidden/>
                <w:rtl/>
              </w:rPr>
            </w:r>
            <w:r w:rsidR="001171C7">
              <w:rPr>
                <w:webHidden/>
                <w:rtl/>
              </w:rPr>
              <w:fldChar w:fldCharType="separate"/>
            </w:r>
            <w:r w:rsidR="006A6D13">
              <w:rPr>
                <w:webHidden/>
                <w:rtl/>
              </w:rPr>
              <w:t>19</w:t>
            </w:r>
            <w:r w:rsidR="001171C7">
              <w:rPr>
                <w:webHidden/>
                <w:rtl/>
              </w:rPr>
              <w:fldChar w:fldCharType="end"/>
            </w:r>
          </w:hyperlink>
        </w:p>
        <w:p w:rsidR="001171C7" w:rsidRPr="00685CA8" w:rsidRDefault="001171C7" w:rsidP="001171C7">
          <w:pPr>
            <w:pStyle w:val="TOC1"/>
            <w:spacing w:before="240"/>
            <w:rPr>
              <w:rStyle w:val="Hyperlink"/>
              <w:sz w:val="24"/>
              <w:szCs w:val="24"/>
              <w:rtl/>
            </w:rPr>
          </w:pPr>
          <w:r w:rsidRPr="00685CA8">
            <w:rPr>
              <w:rFonts w:hint="cs"/>
              <w:sz w:val="28"/>
              <w:szCs w:val="28"/>
              <w:u w:val="single"/>
              <w:rtl/>
            </w:rPr>
            <w:t>חולין דף צ"ח</w:t>
          </w:r>
        </w:p>
        <w:p w:rsidR="001171C7" w:rsidRDefault="007978F4">
          <w:pPr>
            <w:pStyle w:val="TOC1"/>
            <w:rPr>
              <w:rFonts w:eastAsiaTheme="minorEastAsia" w:cstheme="minorBidi"/>
              <w:b w:val="0"/>
              <w:bCs w:val="0"/>
              <w:rtl/>
            </w:rPr>
          </w:pPr>
          <w:hyperlink w:anchor="_Toc496175291" w:history="1">
            <w:r w:rsidR="001171C7" w:rsidRPr="00D35CC1">
              <w:rPr>
                <w:rStyle w:val="Hyperlink"/>
                <w:rFonts w:cs="Guttman Drogolin"/>
                <w:rtl/>
              </w:rPr>
              <w:t>בדין ביצה מעוף טמא, והא דהוו מיא דביעא בעלמא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Toc496175291 \h</w:instrText>
            </w:r>
            <w:r w:rsidR="001171C7">
              <w:rPr>
                <w:webHidden/>
                <w:rtl/>
              </w:rPr>
              <w:instrText xml:space="preserve"> </w:instrText>
            </w:r>
            <w:r w:rsidR="001171C7">
              <w:rPr>
                <w:webHidden/>
                <w:rtl/>
              </w:rPr>
            </w:r>
            <w:r w:rsidR="001171C7">
              <w:rPr>
                <w:webHidden/>
                <w:rtl/>
              </w:rPr>
              <w:fldChar w:fldCharType="separate"/>
            </w:r>
            <w:r w:rsidR="006A6D13">
              <w:rPr>
                <w:webHidden/>
                <w:rtl/>
              </w:rPr>
              <w:t>23</w:t>
            </w:r>
            <w:r w:rsidR="001171C7">
              <w:rPr>
                <w:webHidden/>
                <w:rtl/>
              </w:rPr>
              <w:fldChar w:fldCharType="end"/>
            </w:r>
          </w:hyperlink>
        </w:p>
        <w:p w:rsidR="001171C7" w:rsidRDefault="007978F4">
          <w:pPr>
            <w:pStyle w:val="TOC1"/>
            <w:rPr>
              <w:rFonts w:eastAsiaTheme="minorEastAsia" w:cstheme="minorBidi"/>
              <w:b w:val="0"/>
              <w:bCs w:val="0"/>
              <w:rtl/>
            </w:rPr>
          </w:pPr>
          <w:hyperlink w:anchor="_Toc496175292" w:history="1">
            <w:r w:rsidR="001171C7" w:rsidRPr="00D35CC1">
              <w:rPr>
                <w:rStyle w:val="Hyperlink"/>
                <w:rFonts w:cs="Guttman Drogolin"/>
                <w:rtl/>
              </w:rPr>
              <w:t>ההוא כזיתא דתרבא וכו'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Toc496175292 \h</w:instrText>
            </w:r>
            <w:r w:rsidR="001171C7">
              <w:rPr>
                <w:webHidden/>
                <w:rtl/>
              </w:rPr>
              <w:instrText xml:space="preserve"> </w:instrText>
            </w:r>
            <w:r w:rsidR="001171C7">
              <w:rPr>
                <w:webHidden/>
                <w:rtl/>
              </w:rPr>
            </w:r>
            <w:r w:rsidR="001171C7">
              <w:rPr>
                <w:webHidden/>
                <w:rtl/>
              </w:rPr>
              <w:fldChar w:fldCharType="separate"/>
            </w:r>
            <w:r w:rsidR="006A6D13">
              <w:rPr>
                <w:webHidden/>
                <w:rtl/>
              </w:rPr>
              <w:t>24</w:t>
            </w:r>
            <w:r w:rsidR="001171C7">
              <w:rPr>
                <w:webHidden/>
                <w:rtl/>
              </w:rPr>
              <w:fldChar w:fldCharType="end"/>
            </w:r>
          </w:hyperlink>
        </w:p>
        <w:p w:rsidR="001171C7" w:rsidRDefault="007978F4">
          <w:pPr>
            <w:pStyle w:val="TOC1"/>
            <w:rPr>
              <w:rFonts w:eastAsiaTheme="minorEastAsia" w:cstheme="minorBidi"/>
              <w:b w:val="0"/>
              <w:bCs w:val="0"/>
              <w:rtl/>
            </w:rPr>
          </w:pPr>
          <w:hyperlink w:anchor="_Toc496175293" w:history="1">
            <w:r w:rsidR="001171C7" w:rsidRPr="00D35CC1">
              <w:rPr>
                <w:rStyle w:val="Hyperlink"/>
                <w:rFonts w:cs="Guttman Drogolin"/>
                <w:rtl/>
              </w:rPr>
              <w:t>ההוא פלגא דזיתא דתרבא וכו'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Toc496175293 \h</w:instrText>
            </w:r>
            <w:r w:rsidR="001171C7">
              <w:rPr>
                <w:webHidden/>
                <w:rtl/>
              </w:rPr>
              <w:instrText xml:space="preserve"> </w:instrText>
            </w:r>
            <w:r w:rsidR="001171C7">
              <w:rPr>
                <w:webHidden/>
                <w:rtl/>
              </w:rPr>
            </w:r>
            <w:r w:rsidR="001171C7">
              <w:rPr>
                <w:webHidden/>
                <w:rtl/>
              </w:rPr>
              <w:fldChar w:fldCharType="separate"/>
            </w:r>
            <w:r w:rsidR="006A6D13">
              <w:rPr>
                <w:webHidden/>
                <w:rtl/>
              </w:rPr>
              <w:t>25</w:t>
            </w:r>
            <w:r w:rsidR="001171C7">
              <w:rPr>
                <w:webHidden/>
                <w:rtl/>
              </w:rPr>
              <w:fldChar w:fldCharType="end"/>
            </w:r>
          </w:hyperlink>
        </w:p>
        <w:p w:rsidR="001171C7" w:rsidRDefault="007978F4">
          <w:pPr>
            <w:pStyle w:val="TOC1"/>
            <w:rPr>
              <w:rFonts w:eastAsiaTheme="minorEastAsia" w:cstheme="minorBidi"/>
              <w:b w:val="0"/>
              <w:bCs w:val="0"/>
              <w:rtl/>
            </w:rPr>
          </w:pPr>
          <w:hyperlink w:anchor="_Toc496175294" w:history="1">
            <w:r w:rsidR="001171C7" w:rsidRPr="00D35CC1">
              <w:rPr>
                <w:rStyle w:val="Hyperlink"/>
                <w:rFonts w:cs="Guttman Drogolin"/>
                <w:rtl/>
              </w:rPr>
              <w:t>ביאור השיטה דביצה צריך שיעור ס"א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Toc496175294 \h</w:instrText>
            </w:r>
            <w:r w:rsidR="001171C7">
              <w:rPr>
                <w:webHidden/>
                <w:rtl/>
              </w:rPr>
              <w:instrText xml:space="preserve"> </w:instrText>
            </w:r>
            <w:r w:rsidR="001171C7">
              <w:rPr>
                <w:webHidden/>
                <w:rtl/>
              </w:rPr>
            </w:r>
            <w:r w:rsidR="001171C7">
              <w:rPr>
                <w:webHidden/>
                <w:rtl/>
              </w:rPr>
              <w:fldChar w:fldCharType="separate"/>
            </w:r>
            <w:r w:rsidR="006A6D13">
              <w:rPr>
                <w:webHidden/>
                <w:rtl/>
              </w:rPr>
              <w:t>28</w:t>
            </w:r>
            <w:r w:rsidR="001171C7">
              <w:rPr>
                <w:webHidden/>
                <w:rtl/>
              </w:rPr>
              <w:fldChar w:fldCharType="end"/>
            </w:r>
          </w:hyperlink>
        </w:p>
        <w:p w:rsidR="001171C7" w:rsidRDefault="007978F4">
          <w:pPr>
            <w:pStyle w:val="TOC1"/>
            <w:rPr>
              <w:rFonts w:eastAsiaTheme="minorEastAsia" w:cstheme="minorBidi"/>
              <w:b w:val="0"/>
              <w:bCs w:val="0"/>
              <w:rtl/>
            </w:rPr>
          </w:pPr>
          <w:hyperlink w:anchor="_Toc496175295" w:history="1">
            <w:r w:rsidR="001171C7" w:rsidRPr="00D35CC1">
              <w:rPr>
                <w:rStyle w:val="Hyperlink"/>
                <w:rFonts w:cs="Guttman Drogolin"/>
                <w:rtl/>
              </w:rPr>
              <w:t>אבא לא שיער במ"ז וכו'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Toc496175295 \h</w:instrText>
            </w:r>
            <w:r w:rsidR="001171C7">
              <w:rPr>
                <w:webHidden/>
                <w:rtl/>
              </w:rPr>
              <w:instrText xml:space="preserve"> </w:instrText>
            </w:r>
            <w:r w:rsidR="001171C7">
              <w:rPr>
                <w:webHidden/>
                <w:rtl/>
              </w:rPr>
            </w:r>
            <w:r w:rsidR="001171C7">
              <w:rPr>
                <w:webHidden/>
                <w:rtl/>
              </w:rPr>
              <w:fldChar w:fldCharType="separate"/>
            </w:r>
            <w:r w:rsidR="006A6D13">
              <w:rPr>
                <w:webHidden/>
                <w:rtl/>
              </w:rPr>
              <w:t>28</w:t>
            </w:r>
            <w:r w:rsidR="001171C7">
              <w:rPr>
                <w:webHidden/>
                <w:rtl/>
              </w:rPr>
              <w:fldChar w:fldCharType="end"/>
            </w:r>
          </w:hyperlink>
        </w:p>
        <w:p w:rsidR="001171C7" w:rsidRDefault="007978F4">
          <w:pPr>
            <w:pStyle w:val="TOC1"/>
            <w:rPr>
              <w:rFonts w:eastAsiaTheme="minorEastAsia" w:cstheme="minorBidi"/>
              <w:b w:val="0"/>
              <w:bCs w:val="0"/>
              <w:rtl/>
            </w:rPr>
          </w:pPr>
          <w:hyperlink w:anchor="_Toc496175296" w:history="1">
            <w:r w:rsidR="001171C7" w:rsidRPr="00D35CC1">
              <w:rPr>
                <w:rStyle w:val="Hyperlink"/>
                <w:rFonts w:cs="Guttman Drogolin"/>
                <w:rtl/>
              </w:rPr>
              <w:t>קושיית הרשב"א באיסור דמין במינו במשהו אליבא דרש"י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Toc496175296 \h</w:instrText>
            </w:r>
            <w:r w:rsidR="001171C7">
              <w:rPr>
                <w:webHidden/>
                <w:rtl/>
              </w:rPr>
              <w:instrText xml:space="preserve"> </w:instrText>
            </w:r>
            <w:r w:rsidR="001171C7">
              <w:rPr>
                <w:webHidden/>
                <w:rtl/>
              </w:rPr>
            </w:r>
            <w:r w:rsidR="001171C7">
              <w:rPr>
                <w:webHidden/>
                <w:rtl/>
              </w:rPr>
              <w:fldChar w:fldCharType="separate"/>
            </w:r>
            <w:r w:rsidR="006A6D13">
              <w:rPr>
                <w:webHidden/>
                <w:rtl/>
              </w:rPr>
              <w:t>28</w:t>
            </w:r>
            <w:r w:rsidR="001171C7">
              <w:rPr>
                <w:webHidden/>
                <w:rtl/>
              </w:rPr>
              <w:fldChar w:fldCharType="end"/>
            </w:r>
          </w:hyperlink>
        </w:p>
        <w:p w:rsidR="001171C7" w:rsidRDefault="007978F4">
          <w:pPr>
            <w:pStyle w:val="TOC1"/>
            <w:rPr>
              <w:rFonts w:eastAsiaTheme="minorEastAsia" w:cstheme="minorBidi"/>
              <w:b w:val="0"/>
              <w:bCs w:val="0"/>
              <w:rtl/>
            </w:rPr>
          </w:pPr>
          <w:hyperlink w:anchor="_Toc496175297" w:history="1">
            <w:r w:rsidR="001171C7" w:rsidRPr="00D35CC1">
              <w:rPr>
                <w:rStyle w:val="Hyperlink"/>
                <w:rFonts w:cs="Guttman Drogolin"/>
                <w:rtl/>
              </w:rPr>
              <w:t>שיעור ששים ומאה וסוגיית זרוע בשילה – שיטת רש"י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Toc496175297 \h</w:instrText>
            </w:r>
            <w:r w:rsidR="001171C7">
              <w:rPr>
                <w:webHidden/>
                <w:rtl/>
              </w:rPr>
              <w:instrText xml:space="preserve"> </w:instrText>
            </w:r>
            <w:r w:rsidR="001171C7">
              <w:rPr>
                <w:webHidden/>
                <w:rtl/>
              </w:rPr>
            </w:r>
            <w:r w:rsidR="001171C7">
              <w:rPr>
                <w:webHidden/>
                <w:rtl/>
              </w:rPr>
              <w:fldChar w:fldCharType="separate"/>
            </w:r>
            <w:r w:rsidR="006A6D13">
              <w:rPr>
                <w:webHidden/>
                <w:rtl/>
              </w:rPr>
              <w:t>29</w:t>
            </w:r>
            <w:r w:rsidR="001171C7">
              <w:rPr>
                <w:webHidden/>
                <w:rtl/>
              </w:rPr>
              <w:fldChar w:fldCharType="end"/>
            </w:r>
          </w:hyperlink>
        </w:p>
        <w:p w:rsidR="001171C7" w:rsidRDefault="007978F4">
          <w:pPr>
            <w:pStyle w:val="TOC1"/>
            <w:rPr>
              <w:rFonts w:eastAsiaTheme="minorEastAsia" w:cstheme="minorBidi"/>
              <w:b w:val="0"/>
              <w:bCs w:val="0"/>
              <w:rtl/>
            </w:rPr>
          </w:pPr>
          <w:hyperlink w:anchor="_Toc496175298" w:history="1">
            <w:r w:rsidR="001171C7" w:rsidRPr="00D35CC1">
              <w:rPr>
                <w:rStyle w:val="Hyperlink"/>
                <w:rFonts w:cs="Guttman Drogolin"/>
                <w:rtl/>
              </w:rPr>
              <w:t>דינא דזרוע בשילה חידוש הוא – ובדינא דאין מבטלין איסור לכתחילה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Toc496175298 \h</w:instrText>
            </w:r>
            <w:r w:rsidR="001171C7">
              <w:rPr>
                <w:webHidden/>
                <w:rtl/>
              </w:rPr>
              <w:instrText xml:space="preserve"> </w:instrText>
            </w:r>
            <w:r w:rsidR="001171C7">
              <w:rPr>
                <w:webHidden/>
                <w:rtl/>
              </w:rPr>
            </w:r>
            <w:r w:rsidR="001171C7">
              <w:rPr>
                <w:webHidden/>
                <w:rtl/>
              </w:rPr>
              <w:fldChar w:fldCharType="separate"/>
            </w:r>
            <w:r w:rsidR="006A6D13">
              <w:rPr>
                <w:webHidden/>
                <w:rtl/>
              </w:rPr>
              <w:t>32</w:t>
            </w:r>
            <w:r w:rsidR="001171C7">
              <w:rPr>
                <w:webHidden/>
                <w:rtl/>
              </w:rPr>
              <w:fldChar w:fldCharType="end"/>
            </w:r>
          </w:hyperlink>
        </w:p>
        <w:p w:rsidR="001171C7" w:rsidRDefault="007978F4">
          <w:pPr>
            <w:pStyle w:val="TOC1"/>
            <w:rPr>
              <w:rFonts w:eastAsiaTheme="minorEastAsia" w:cstheme="minorBidi"/>
              <w:b w:val="0"/>
              <w:bCs w:val="0"/>
              <w:rtl/>
            </w:rPr>
          </w:pPr>
          <w:hyperlink w:anchor="_Toc496175299" w:history="1">
            <w:r w:rsidR="001171C7" w:rsidRPr="00D35CC1">
              <w:rPr>
                <w:rStyle w:val="Hyperlink"/>
                <w:rFonts w:cs="Guttman Drogolin"/>
                <w:rtl/>
              </w:rPr>
              <w:t>בדברי רבא שלא נצרכה אלא ליתן טעם כעיקר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Toc496175299 \h</w:instrText>
            </w:r>
            <w:r w:rsidR="001171C7">
              <w:rPr>
                <w:webHidden/>
                <w:rtl/>
              </w:rPr>
              <w:instrText xml:space="preserve"> </w:instrText>
            </w:r>
            <w:r w:rsidR="001171C7">
              <w:rPr>
                <w:webHidden/>
                <w:rtl/>
              </w:rPr>
            </w:r>
            <w:r w:rsidR="001171C7">
              <w:rPr>
                <w:webHidden/>
                <w:rtl/>
              </w:rPr>
              <w:fldChar w:fldCharType="separate"/>
            </w:r>
            <w:r w:rsidR="006A6D13">
              <w:rPr>
                <w:webHidden/>
                <w:rtl/>
              </w:rPr>
              <w:t>33</w:t>
            </w:r>
            <w:r w:rsidR="001171C7">
              <w:rPr>
                <w:webHidden/>
                <w:rtl/>
              </w:rPr>
              <w:fldChar w:fldCharType="end"/>
            </w:r>
          </w:hyperlink>
        </w:p>
        <w:p w:rsidR="001171C7" w:rsidRDefault="007978F4">
          <w:pPr>
            <w:pStyle w:val="TOC1"/>
            <w:rPr>
              <w:rFonts w:eastAsiaTheme="minorEastAsia" w:cstheme="minorBidi"/>
              <w:b w:val="0"/>
              <w:bCs w:val="0"/>
              <w:rtl/>
            </w:rPr>
          </w:pPr>
          <w:hyperlink w:anchor="_Toc496175300" w:history="1">
            <w:r w:rsidR="001171C7" w:rsidRPr="00D35CC1">
              <w:rPr>
                <w:rStyle w:val="Hyperlink"/>
                <w:rFonts w:cs="Guttman Drogolin"/>
                <w:rtl/>
              </w:rPr>
              <w:t>שיטת רש"י בביאור המימרא של רבא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Toc496175300 \h</w:instrText>
            </w:r>
            <w:r w:rsidR="001171C7">
              <w:rPr>
                <w:webHidden/>
                <w:rtl/>
              </w:rPr>
              <w:instrText xml:space="preserve"> </w:instrText>
            </w:r>
            <w:r w:rsidR="001171C7">
              <w:rPr>
                <w:webHidden/>
                <w:rtl/>
              </w:rPr>
            </w:r>
            <w:r w:rsidR="001171C7">
              <w:rPr>
                <w:webHidden/>
                <w:rtl/>
              </w:rPr>
              <w:fldChar w:fldCharType="separate"/>
            </w:r>
            <w:r w:rsidR="006A6D13">
              <w:rPr>
                <w:webHidden/>
                <w:rtl/>
              </w:rPr>
              <w:t>34</w:t>
            </w:r>
            <w:r w:rsidR="001171C7">
              <w:rPr>
                <w:webHidden/>
                <w:rtl/>
              </w:rPr>
              <w:fldChar w:fldCharType="end"/>
            </w:r>
          </w:hyperlink>
        </w:p>
        <w:p w:rsidR="001171C7" w:rsidRDefault="007978F4">
          <w:pPr>
            <w:pStyle w:val="TOC1"/>
            <w:rPr>
              <w:rFonts w:eastAsiaTheme="minorEastAsia" w:cstheme="minorBidi"/>
              <w:b w:val="0"/>
              <w:bCs w:val="0"/>
              <w:rtl/>
            </w:rPr>
          </w:pPr>
          <w:hyperlink w:anchor="_Toc496175301" w:history="1">
            <w:r w:rsidR="001171C7" w:rsidRPr="00D35CC1">
              <w:rPr>
                <w:rStyle w:val="Hyperlink"/>
                <w:rFonts w:cs="Guttman Drogolin"/>
                <w:rtl/>
              </w:rPr>
              <w:t>גדרי טעמו ולא ממשו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Toc496175301 \h</w:instrText>
            </w:r>
            <w:r w:rsidR="001171C7">
              <w:rPr>
                <w:webHidden/>
                <w:rtl/>
              </w:rPr>
              <w:instrText xml:space="preserve"> </w:instrText>
            </w:r>
            <w:r w:rsidR="001171C7">
              <w:rPr>
                <w:webHidden/>
                <w:rtl/>
              </w:rPr>
            </w:r>
            <w:r w:rsidR="001171C7">
              <w:rPr>
                <w:webHidden/>
                <w:rtl/>
              </w:rPr>
              <w:fldChar w:fldCharType="separate"/>
            </w:r>
            <w:r w:rsidR="006A6D13">
              <w:rPr>
                <w:webHidden/>
                <w:rtl/>
              </w:rPr>
              <w:t>36</w:t>
            </w:r>
            <w:r w:rsidR="001171C7">
              <w:rPr>
                <w:webHidden/>
                <w:rtl/>
              </w:rPr>
              <w:fldChar w:fldCharType="end"/>
            </w:r>
          </w:hyperlink>
        </w:p>
        <w:p w:rsidR="001171C7" w:rsidRDefault="007978F4">
          <w:pPr>
            <w:pStyle w:val="TOC1"/>
            <w:rPr>
              <w:rFonts w:eastAsiaTheme="minorEastAsia" w:cstheme="minorBidi"/>
              <w:b w:val="0"/>
              <w:bCs w:val="0"/>
              <w:rtl/>
            </w:rPr>
          </w:pPr>
          <w:hyperlink w:anchor="_Toc496175302" w:history="1">
            <w:r w:rsidR="001171C7" w:rsidRPr="00D35CC1">
              <w:rPr>
                <w:rStyle w:val="Hyperlink"/>
                <w:rFonts w:cs="Guttman Drogolin"/>
                <w:rtl/>
              </w:rPr>
              <w:t>ראיות מן הש"ס בדין טעם כעיקר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Toc496175302 \h</w:instrText>
            </w:r>
            <w:r w:rsidR="001171C7">
              <w:rPr>
                <w:webHidden/>
                <w:rtl/>
              </w:rPr>
              <w:instrText xml:space="preserve"> </w:instrText>
            </w:r>
            <w:r w:rsidR="001171C7">
              <w:rPr>
                <w:webHidden/>
                <w:rtl/>
              </w:rPr>
            </w:r>
            <w:r w:rsidR="001171C7">
              <w:rPr>
                <w:webHidden/>
                <w:rtl/>
              </w:rPr>
              <w:fldChar w:fldCharType="separate"/>
            </w:r>
            <w:r w:rsidR="006A6D13">
              <w:rPr>
                <w:webHidden/>
                <w:rtl/>
              </w:rPr>
              <w:t>36</w:t>
            </w:r>
            <w:r w:rsidR="001171C7">
              <w:rPr>
                <w:webHidden/>
                <w:rtl/>
              </w:rPr>
              <w:fldChar w:fldCharType="end"/>
            </w:r>
          </w:hyperlink>
        </w:p>
        <w:p w:rsidR="001171C7" w:rsidRDefault="007978F4">
          <w:pPr>
            <w:pStyle w:val="TOC1"/>
            <w:rPr>
              <w:rFonts w:eastAsiaTheme="minorEastAsia" w:cstheme="minorBidi"/>
              <w:b w:val="0"/>
              <w:bCs w:val="0"/>
              <w:rtl/>
            </w:rPr>
          </w:pPr>
          <w:hyperlink w:anchor="_Toc496175303" w:history="1">
            <w:r w:rsidR="001171C7" w:rsidRPr="00D35CC1">
              <w:rPr>
                <w:rStyle w:val="Hyperlink"/>
                <w:rFonts w:cs="Guttman Drogolin"/>
                <w:rtl/>
              </w:rPr>
              <w:t>כמה שאלות בסוף דברי התוס'</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Toc496175303 \h</w:instrText>
            </w:r>
            <w:r w:rsidR="001171C7">
              <w:rPr>
                <w:webHidden/>
                <w:rtl/>
              </w:rPr>
              <w:instrText xml:space="preserve"> </w:instrText>
            </w:r>
            <w:r w:rsidR="001171C7">
              <w:rPr>
                <w:webHidden/>
                <w:rtl/>
              </w:rPr>
            </w:r>
            <w:r w:rsidR="001171C7">
              <w:rPr>
                <w:webHidden/>
                <w:rtl/>
              </w:rPr>
              <w:fldChar w:fldCharType="separate"/>
            </w:r>
            <w:r w:rsidR="006A6D13">
              <w:rPr>
                <w:webHidden/>
                <w:rtl/>
              </w:rPr>
              <w:t>39</w:t>
            </w:r>
            <w:r w:rsidR="001171C7">
              <w:rPr>
                <w:webHidden/>
                <w:rtl/>
              </w:rPr>
              <w:fldChar w:fldCharType="end"/>
            </w:r>
          </w:hyperlink>
        </w:p>
        <w:p w:rsidR="001171C7" w:rsidRDefault="007978F4">
          <w:pPr>
            <w:pStyle w:val="TOC1"/>
            <w:rPr>
              <w:rFonts w:eastAsiaTheme="minorEastAsia" w:cstheme="minorBidi"/>
              <w:b w:val="0"/>
              <w:bCs w:val="0"/>
              <w:rtl/>
            </w:rPr>
          </w:pPr>
          <w:hyperlink w:anchor="_Toc496175304" w:history="1">
            <w:r w:rsidR="001171C7" w:rsidRPr="00D35CC1">
              <w:rPr>
                <w:rStyle w:val="Hyperlink"/>
                <w:rFonts w:cs="Guttman Drogolin"/>
                <w:rtl/>
              </w:rPr>
              <w:t>עוד בשיטת רש"י בדין טעם כעיקר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Toc496175304 \h</w:instrText>
            </w:r>
            <w:r w:rsidR="001171C7">
              <w:rPr>
                <w:webHidden/>
                <w:rtl/>
              </w:rPr>
              <w:instrText xml:space="preserve"> </w:instrText>
            </w:r>
            <w:r w:rsidR="001171C7">
              <w:rPr>
                <w:webHidden/>
                <w:rtl/>
              </w:rPr>
            </w:r>
            <w:r w:rsidR="001171C7">
              <w:rPr>
                <w:webHidden/>
                <w:rtl/>
              </w:rPr>
              <w:fldChar w:fldCharType="separate"/>
            </w:r>
            <w:r w:rsidR="006A6D13">
              <w:rPr>
                <w:webHidden/>
                <w:rtl/>
              </w:rPr>
              <w:t>40</w:t>
            </w:r>
            <w:r w:rsidR="001171C7">
              <w:rPr>
                <w:webHidden/>
                <w:rtl/>
              </w:rPr>
              <w:fldChar w:fldCharType="end"/>
            </w:r>
          </w:hyperlink>
        </w:p>
        <w:p w:rsidR="001171C7" w:rsidRDefault="007978F4">
          <w:pPr>
            <w:pStyle w:val="TOC1"/>
            <w:rPr>
              <w:rFonts w:eastAsiaTheme="minorEastAsia" w:cstheme="minorBidi"/>
              <w:b w:val="0"/>
              <w:bCs w:val="0"/>
              <w:rtl/>
            </w:rPr>
          </w:pPr>
          <w:hyperlink w:anchor="_Toc496175305" w:history="1">
            <w:r w:rsidR="001171C7" w:rsidRPr="00D35CC1">
              <w:rPr>
                <w:rStyle w:val="Hyperlink"/>
                <w:rFonts w:cs="Guttman Drogolin"/>
                <w:rtl/>
              </w:rPr>
              <w:t>עוד בשיטת ר"י מאורליינ"ש</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Toc496175305 \h</w:instrText>
            </w:r>
            <w:r w:rsidR="001171C7">
              <w:rPr>
                <w:webHidden/>
                <w:rtl/>
              </w:rPr>
              <w:instrText xml:space="preserve"> </w:instrText>
            </w:r>
            <w:r w:rsidR="001171C7">
              <w:rPr>
                <w:webHidden/>
                <w:rtl/>
              </w:rPr>
            </w:r>
            <w:r w:rsidR="001171C7">
              <w:rPr>
                <w:webHidden/>
                <w:rtl/>
              </w:rPr>
              <w:fldChar w:fldCharType="separate"/>
            </w:r>
            <w:r w:rsidR="006A6D13">
              <w:rPr>
                <w:webHidden/>
                <w:rtl/>
              </w:rPr>
              <w:t>41</w:t>
            </w:r>
            <w:r w:rsidR="001171C7">
              <w:rPr>
                <w:webHidden/>
                <w:rtl/>
              </w:rPr>
              <w:fldChar w:fldCharType="end"/>
            </w:r>
          </w:hyperlink>
        </w:p>
        <w:p w:rsidR="001171C7" w:rsidRDefault="007978F4">
          <w:pPr>
            <w:pStyle w:val="TOC1"/>
            <w:rPr>
              <w:rFonts w:eastAsiaTheme="minorEastAsia" w:cstheme="minorBidi"/>
              <w:b w:val="0"/>
              <w:bCs w:val="0"/>
              <w:rtl/>
            </w:rPr>
          </w:pPr>
          <w:hyperlink w:anchor="_Toc496175306" w:history="1">
            <w:r w:rsidR="001171C7" w:rsidRPr="00D35CC1">
              <w:rPr>
                <w:rStyle w:val="Hyperlink"/>
                <w:rFonts w:cs="Guttman Drogolin"/>
                <w:rtl/>
              </w:rPr>
              <w:t>ספק חסרון ידיעה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Toc496175306 \h</w:instrText>
            </w:r>
            <w:r w:rsidR="001171C7">
              <w:rPr>
                <w:webHidden/>
                <w:rtl/>
              </w:rPr>
              <w:instrText xml:space="preserve"> </w:instrText>
            </w:r>
            <w:r w:rsidR="001171C7">
              <w:rPr>
                <w:webHidden/>
                <w:rtl/>
              </w:rPr>
            </w:r>
            <w:r w:rsidR="001171C7">
              <w:rPr>
                <w:webHidden/>
                <w:rtl/>
              </w:rPr>
              <w:fldChar w:fldCharType="separate"/>
            </w:r>
            <w:r w:rsidR="006A6D13">
              <w:rPr>
                <w:webHidden/>
                <w:rtl/>
              </w:rPr>
              <w:t>42</w:t>
            </w:r>
            <w:r w:rsidR="001171C7">
              <w:rPr>
                <w:webHidden/>
                <w:rtl/>
              </w:rPr>
              <w:fldChar w:fldCharType="end"/>
            </w:r>
          </w:hyperlink>
        </w:p>
        <w:p w:rsidR="001171C7" w:rsidRDefault="007978F4">
          <w:pPr>
            <w:pStyle w:val="TOC1"/>
            <w:rPr>
              <w:rFonts w:eastAsiaTheme="minorEastAsia" w:cstheme="minorBidi"/>
              <w:b w:val="0"/>
              <w:bCs w:val="0"/>
              <w:rtl/>
            </w:rPr>
          </w:pPr>
          <w:hyperlink w:anchor="_Toc496175307" w:history="1">
            <w:r w:rsidR="001171C7" w:rsidRPr="00D35CC1">
              <w:rPr>
                <w:rStyle w:val="Hyperlink"/>
                <w:rFonts w:cs="Guttman Drogolin"/>
                <w:rtl/>
              </w:rPr>
              <w:t>דברים היוצאים מסוגיא שטעם כעיקר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Toc496175307 \h</w:instrText>
            </w:r>
            <w:r w:rsidR="001171C7">
              <w:rPr>
                <w:webHidden/>
                <w:rtl/>
              </w:rPr>
              <w:instrText xml:space="preserve"> </w:instrText>
            </w:r>
            <w:r w:rsidR="001171C7">
              <w:rPr>
                <w:webHidden/>
                <w:rtl/>
              </w:rPr>
            </w:r>
            <w:r w:rsidR="001171C7">
              <w:rPr>
                <w:webHidden/>
                <w:rtl/>
              </w:rPr>
              <w:fldChar w:fldCharType="separate"/>
            </w:r>
            <w:r w:rsidR="006A6D13">
              <w:rPr>
                <w:webHidden/>
                <w:rtl/>
              </w:rPr>
              <w:t>44</w:t>
            </w:r>
            <w:r w:rsidR="001171C7">
              <w:rPr>
                <w:webHidden/>
                <w:rtl/>
              </w:rPr>
              <w:fldChar w:fldCharType="end"/>
            </w:r>
          </w:hyperlink>
        </w:p>
        <w:p w:rsidR="001171C7" w:rsidRDefault="007978F4">
          <w:pPr>
            <w:pStyle w:val="TOC1"/>
            <w:rPr>
              <w:rFonts w:eastAsiaTheme="minorEastAsia" w:cstheme="minorBidi"/>
              <w:b w:val="0"/>
              <w:bCs w:val="0"/>
              <w:rtl/>
            </w:rPr>
          </w:pPr>
          <w:hyperlink w:anchor="_Toc496175308" w:history="1">
            <w:r w:rsidR="001171C7" w:rsidRPr="00D35CC1">
              <w:rPr>
                <w:rStyle w:val="Hyperlink"/>
                <w:rFonts w:cs="Guttman Drogolin"/>
                <w:rtl/>
              </w:rPr>
              <w:t>הלכה למעשה בדין טעם כעיקר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Toc496175308 \h</w:instrText>
            </w:r>
            <w:r w:rsidR="001171C7">
              <w:rPr>
                <w:webHidden/>
                <w:rtl/>
              </w:rPr>
              <w:instrText xml:space="preserve"> </w:instrText>
            </w:r>
            <w:r w:rsidR="001171C7">
              <w:rPr>
                <w:webHidden/>
                <w:rtl/>
              </w:rPr>
            </w:r>
            <w:r w:rsidR="001171C7">
              <w:rPr>
                <w:webHidden/>
                <w:rtl/>
              </w:rPr>
              <w:fldChar w:fldCharType="separate"/>
            </w:r>
            <w:r w:rsidR="006A6D13">
              <w:rPr>
                <w:webHidden/>
                <w:rtl/>
              </w:rPr>
              <w:t>45</w:t>
            </w:r>
            <w:r w:rsidR="001171C7">
              <w:rPr>
                <w:webHidden/>
                <w:rtl/>
              </w:rPr>
              <w:fldChar w:fldCharType="end"/>
            </w:r>
          </w:hyperlink>
        </w:p>
        <w:p w:rsidR="001171C7" w:rsidRPr="00685CA8" w:rsidRDefault="001171C7" w:rsidP="001171C7">
          <w:pPr>
            <w:pStyle w:val="TOC1"/>
            <w:spacing w:before="240"/>
            <w:rPr>
              <w:rStyle w:val="Hyperlink"/>
              <w:color w:val="auto"/>
              <w:sz w:val="28"/>
              <w:szCs w:val="28"/>
              <w:rtl/>
            </w:rPr>
          </w:pPr>
          <w:r w:rsidRPr="00685CA8">
            <w:rPr>
              <w:rStyle w:val="Hyperlink"/>
              <w:rFonts w:hint="cs"/>
              <w:color w:val="auto"/>
              <w:sz w:val="28"/>
              <w:szCs w:val="28"/>
              <w:rtl/>
            </w:rPr>
            <w:t>חולין דף צ"ט</w:t>
          </w:r>
        </w:p>
        <w:p w:rsidR="001171C7" w:rsidRDefault="007978F4">
          <w:pPr>
            <w:pStyle w:val="TOC1"/>
            <w:rPr>
              <w:rFonts w:eastAsiaTheme="minorEastAsia" w:cstheme="minorBidi"/>
              <w:b w:val="0"/>
              <w:bCs w:val="0"/>
              <w:rtl/>
            </w:rPr>
          </w:pPr>
          <w:hyperlink w:anchor="_Toc496175309" w:history="1">
            <w:r w:rsidR="001171C7" w:rsidRPr="00D35CC1">
              <w:rPr>
                <w:rStyle w:val="Hyperlink"/>
                <w:rFonts w:cs="Guttman Drogolin"/>
                <w:rtl/>
              </w:rPr>
              <w:t>בדין מקום חתך</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Toc496175309 \h</w:instrText>
            </w:r>
            <w:r w:rsidR="001171C7">
              <w:rPr>
                <w:webHidden/>
                <w:rtl/>
              </w:rPr>
              <w:instrText xml:space="preserve"> </w:instrText>
            </w:r>
            <w:r w:rsidR="001171C7">
              <w:rPr>
                <w:webHidden/>
                <w:rtl/>
              </w:rPr>
            </w:r>
            <w:r w:rsidR="001171C7">
              <w:rPr>
                <w:webHidden/>
                <w:rtl/>
              </w:rPr>
              <w:fldChar w:fldCharType="separate"/>
            </w:r>
            <w:r w:rsidR="006A6D13">
              <w:rPr>
                <w:webHidden/>
                <w:rtl/>
              </w:rPr>
              <w:t>46</w:t>
            </w:r>
            <w:r w:rsidR="001171C7">
              <w:rPr>
                <w:webHidden/>
                <w:rtl/>
              </w:rPr>
              <w:fldChar w:fldCharType="end"/>
            </w:r>
          </w:hyperlink>
        </w:p>
        <w:p w:rsidR="001171C7" w:rsidRDefault="007978F4">
          <w:pPr>
            <w:pStyle w:val="TOC1"/>
            <w:rPr>
              <w:rFonts w:eastAsiaTheme="minorEastAsia" w:cstheme="minorBidi"/>
              <w:b w:val="0"/>
              <w:bCs w:val="0"/>
              <w:rtl/>
            </w:rPr>
          </w:pPr>
          <w:hyperlink w:anchor="_Toc496175310" w:history="1">
            <w:r w:rsidR="001171C7" w:rsidRPr="00D35CC1">
              <w:rPr>
                <w:rStyle w:val="Hyperlink"/>
                <w:rFonts w:cs="Guttman Drogolin"/>
                <w:rtl/>
              </w:rPr>
              <w:t>המשך דברי הגמ'</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Toc496175310 \h</w:instrText>
            </w:r>
            <w:r w:rsidR="001171C7">
              <w:rPr>
                <w:webHidden/>
                <w:rtl/>
              </w:rPr>
              <w:instrText xml:space="preserve"> </w:instrText>
            </w:r>
            <w:r w:rsidR="001171C7">
              <w:rPr>
                <w:webHidden/>
                <w:rtl/>
              </w:rPr>
            </w:r>
            <w:r w:rsidR="001171C7">
              <w:rPr>
                <w:webHidden/>
                <w:rtl/>
              </w:rPr>
              <w:fldChar w:fldCharType="separate"/>
            </w:r>
            <w:r w:rsidR="006A6D13">
              <w:rPr>
                <w:webHidden/>
                <w:rtl/>
              </w:rPr>
              <w:t>47</w:t>
            </w:r>
            <w:r w:rsidR="001171C7">
              <w:rPr>
                <w:webHidden/>
                <w:rtl/>
              </w:rPr>
              <w:fldChar w:fldCharType="end"/>
            </w:r>
          </w:hyperlink>
        </w:p>
        <w:p w:rsidR="001171C7" w:rsidRDefault="007978F4">
          <w:pPr>
            <w:pStyle w:val="TOC1"/>
            <w:rPr>
              <w:rFonts w:eastAsiaTheme="minorEastAsia" w:cstheme="minorBidi"/>
              <w:b w:val="0"/>
              <w:bCs w:val="0"/>
              <w:rtl/>
            </w:rPr>
          </w:pPr>
          <w:hyperlink w:anchor="_Toc496175311" w:history="1">
            <w:r w:rsidR="001171C7" w:rsidRPr="00D35CC1">
              <w:rPr>
                <w:rStyle w:val="Hyperlink"/>
                <w:rFonts w:cs="Guttman Drogolin"/>
                <w:rtl/>
              </w:rPr>
              <w:t>בדין מחמץ, והא דאוסר מחמץ עד ק' משום טעם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Toc496175311 \h</w:instrText>
            </w:r>
            <w:r w:rsidR="001171C7">
              <w:rPr>
                <w:webHidden/>
                <w:rtl/>
              </w:rPr>
              <w:instrText xml:space="preserve"> </w:instrText>
            </w:r>
            <w:r w:rsidR="001171C7">
              <w:rPr>
                <w:webHidden/>
                <w:rtl/>
              </w:rPr>
            </w:r>
            <w:r w:rsidR="001171C7">
              <w:rPr>
                <w:webHidden/>
                <w:rtl/>
              </w:rPr>
              <w:fldChar w:fldCharType="separate"/>
            </w:r>
            <w:r w:rsidR="006A6D13">
              <w:rPr>
                <w:webHidden/>
                <w:rtl/>
              </w:rPr>
              <w:t>48</w:t>
            </w:r>
            <w:r w:rsidR="001171C7">
              <w:rPr>
                <w:webHidden/>
                <w:rtl/>
              </w:rPr>
              <w:fldChar w:fldCharType="end"/>
            </w:r>
          </w:hyperlink>
        </w:p>
        <w:p w:rsidR="001171C7" w:rsidRDefault="007978F4">
          <w:pPr>
            <w:pStyle w:val="TOC1"/>
            <w:rPr>
              <w:rFonts w:eastAsiaTheme="minorEastAsia" w:cstheme="minorBidi"/>
              <w:b w:val="0"/>
              <w:bCs w:val="0"/>
              <w:rtl/>
            </w:rPr>
          </w:pPr>
          <w:hyperlink w:anchor="_Toc496175312" w:history="1">
            <w:r w:rsidR="001171C7" w:rsidRPr="00D35CC1">
              <w:rPr>
                <w:rStyle w:val="Hyperlink"/>
                <w:rFonts w:cs="Guttman Drogolin"/>
                <w:rtl/>
              </w:rPr>
              <w:t>מין במינו באיסור דרבנן אליבא דר' יהודה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Toc496175312 \h</w:instrText>
            </w:r>
            <w:r w:rsidR="001171C7">
              <w:rPr>
                <w:webHidden/>
                <w:rtl/>
              </w:rPr>
              <w:instrText xml:space="preserve"> </w:instrText>
            </w:r>
            <w:r w:rsidR="001171C7">
              <w:rPr>
                <w:webHidden/>
                <w:rtl/>
              </w:rPr>
            </w:r>
            <w:r w:rsidR="001171C7">
              <w:rPr>
                <w:webHidden/>
                <w:rtl/>
              </w:rPr>
              <w:fldChar w:fldCharType="separate"/>
            </w:r>
            <w:r w:rsidR="006A6D13">
              <w:rPr>
                <w:webHidden/>
                <w:rtl/>
              </w:rPr>
              <w:t>50</w:t>
            </w:r>
            <w:r w:rsidR="001171C7">
              <w:rPr>
                <w:webHidden/>
                <w:rtl/>
              </w:rPr>
              <w:fldChar w:fldCharType="end"/>
            </w:r>
          </w:hyperlink>
        </w:p>
        <w:p w:rsidR="001171C7" w:rsidRDefault="007978F4">
          <w:pPr>
            <w:pStyle w:val="TOC1"/>
            <w:rPr>
              <w:rFonts w:eastAsiaTheme="minorEastAsia" w:cstheme="minorBidi"/>
              <w:b w:val="0"/>
              <w:bCs w:val="0"/>
              <w:rtl/>
            </w:rPr>
          </w:pPr>
          <w:hyperlink w:anchor="_Toc496175313" w:history="1">
            <w:r w:rsidR="001171C7" w:rsidRPr="00D35CC1">
              <w:rPr>
                <w:rStyle w:val="Hyperlink"/>
                <w:rFonts w:cs="Guttman Drogolin"/>
                <w:rtl/>
              </w:rPr>
              <w:t>בביאור המחלוקת אם יש בגידין בנותן טעם או אין בגידין בנותן טעם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Toc496175313 \h</w:instrText>
            </w:r>
            <w:r w:rsidR="001171C7">
              <w:rPr>
                <w:webHidden/>
                <w:rtl/>
              </w:rPr>
              <w:instrText xml:space="preserve"> </w:instrText>
            </w:r>
            <w:r w:rsidR="001171C7">
              <w:rPr>
                <w:webHidden/>
                <w:rtl/>
              </w:rPr>
            </w:r>
            <w:r w:rsidR="001171C7">
              <w:rPr>
                <w:webHidden/>
                <w:rtl/>
              </w:rPr>
              <w:fldChar w:fldCharType="separate"/>
            </w:r>
            <w:r w:rsidR="006A6D13">
              <w:rPr>
                <w:webHidden/>
                <w:rtl/>
              </w:rPr>
              <w:t>50</w:t>
            </w:r>
            <w:r w:rsidR="001171C7">
              <w:rPr>
                <w:webHidden/>
                <w:rtl/>
              </w:rPr>
              <w:fldChar w:fldCharType="end"/>
            </w:r>
          </w:hyperlink>
        </w:p>
        <w:p w:rsidR="001171C7" w:rsidRDefault="007978F4">
          <w:pPr>
            <w:pStyle w:val="TOC1"/>
            <w:rPr>
              <w:rFonts w:eastAsiaTheme="minorEastAsia" w:cstheme="minorBidi"/>
              <w:b w:val="0"/>
              <w:bCs w:val="0"/>
              <w:rtl/>
            </w:rPr>
          </w:pPr>
          <w:hyperlink w:anchor="_Toc496175314" w:history="1">
            <w:r w:rsidR="001171C7" w:rsidRPr="00D35CC1">
              <w:rPr>
                <w:rStyle w:val="Hyperlink"/>
                <w:rFonts w:cs="Guttman Drogolin"/>
                <w:rtl/>
              </w:rPr>
              <w:t>בדינא דביטול יבש יבש ועיקר הכלל דאזלינן בתר רובא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Toc496175314 \h</w:instrText>
            </w:r>
            <w:r w:rsidR="001171C7">
              <w:rPr>
                <w:webHidden/>
                <w:rtl/>
              </w:rPr>
              <w:instrText xml:space="preserve"> </w:instrText>
            </w:r>
            <w:r w:rsidR="001171C7">
              <w:rPr>
                <w:webHidden/>
                <w:rtl/>
              </w:rPr>
            </w:r>
            <w:r w:rsidR="001171C7">
              <w:rPr>
                <w:webHidden/>
                <w:rtl/>
              </w:rPr>
              <w:fldChar w:fldCharType="separate"/>
            </w:r>
            <w:r w:rsidR="006A6D13">
              <w:rPr>
                <w:webHidden/>
                <w:rtl/>
              </w:rPr>
              <w:t>51</w:t>
            </w:r>
            <w:r w:rsidR="001171C7">
              <w:rPr>
                <w:webHidden/>
                <w:rtl/>
              </w:rPr>
              <w:fldChar w:fldCharType="end"/>
            </w:r>
          </w:hyperlink>
        </w:p>
        <w:p w:rsidR="001171C7" w:rsidRDefault="007978F4">
          <w:pPr>
            <w:pStyle w:val="TOC1"/>
            <w:rPr>
              <w:rFonts w:eastAsiaTheme="minorEastAsia" w:cstheme="minorBidi"/>
              <w:b w:val="0"/>
              <w:bCs w:val="0"/>
              <w:rtl/>
            </w:rPr>
          </w:pPr>
          <w:hyperlink w:anchor="_Toc496175315" w:history="1">
            <w:r w:rsidR="001171C7" w:rsidRPr="00D35CC1">
              <w:rPr>
                <w:rStyle w:val="Hyperlink"/>
                <w:rFonts w:cs="Guttman Drogolin"/>
                <w:rtl/>
              </w:rPr>
              <w:t>שיעור הביטול ביבש ביבש לאחר שנתבשל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Toc496175315 \h</w:instrText>
            </w:r>
            <w:r w:rsidR="001171C7">
              <w:rPr>
                <w:webHidden/>
                <w:rtl/>
              </w:rPr>
              <w:instrText xml:space="preserve"> </w:instrText>
            </w:r>
            <w:r w:rsidR="001171C7">
              <w:rPr>
                <w:webHidden/>
                <w:rtl/>
              </w:rPr>
            </w:r>
            <w:r w:rsidR="001171C7">
              <w:rPr>
                <w:webHidden/>
                <w:rtl/>
              </w:rPr>
              <w:fldChar w:fldCharType="separate"/>
            </w:r>
            <w:r w:rsidR="006A6D13">
              <w:rPr>
                <w:webHidden/>
                <w:rtl/>
              </w:rPr>
              <w:t>54</w:t>
            </w:r>
            <w:r w:rsidR="001171C7">
              <w:rPr>
                <w:webHidden/>
                <w:rtl/>
              </w:rPr>
              <w:fldChar w:fldCharType="end"/>
            </w:r>
          </w:hyperlink>
        </w:p>
        <w:p w:rsidR="001171C7" w:rsidRDefault="007978F4">
          <w:pPr>
            <w:pStyle w:val="TOC1"/>
            <w:rPr>
              <w:rFonts w:eastAsiaTheme="minorEastAsia" w:cstheme="minorBidi"/>
              <w:b w:val="0"/>
              <w:bCs w:val="0"/>
              <w:rtl/>
            </w:rPr>
          </w:pPr>
          <w:hyperlink w:anchor="_Toc496175316" w:history="1">
            <w:r w:rsidR="001171C7" w:rsidRPr="00D35CC1">
              <w:rPr>
                <w:rStyle w:val="Hyperlink"/>
                <w:rFonts w:cs="Guttman Drogolin"/>
                <w:rtl/>
              </w:rPr>
              <w:t>שיעור ביטול יבש יבש במין במינו, ובמין בשאינו מינו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Toc496175316 \h</w:instrText>
            </w:r>
            <w:r w:rsidR="001171C7">
              <w:rPr>
                <w:webHidden/>
                <w:rtl/>
              </w:rPr>
              <w:instrText xml:space="preserve"> </w:instrText>
            </w:r>
            <w:r w:rsidR="001171C7">
              <w:rPr>
                <w:webHidden/>
                <w:rtl/>
              </w:rPr>
            </w:r>
            <w:r w:rsidR="001171C7">
              <w:rPr>
                <w:webHidden/>
                <w:rtl/>
              </w:rPr>
              <w:fldChar w:fldCharType="separate"/>
            </w:r>
            <w:r w:rsidR="006A6D13">
              <w:rPr>
                <w:webHidden/>
                <w:rtl/>
              </w:rPr>
              <w:t>56</w:t>
            </w:r>
            <w:r w:rsidR="001171C7">
              <w:rPr>
                <w:webHidden/>
                <w:rtl/>
              </w:rPr>
              <w:fldChar w:fldCharType="end"/>
            </w:r>
          </w:hyperlink>
        </w:p>
        <w:p w:rsidR="001171C7" w:rsidRDefault="007978F4">
          <w:pPr>
            <w:pStyle w:val="TOC1"/>
            <w:rPr>
              <w:rFonts w:eastAsiaTheme="minorEastAsia" w:cstheme="minorBidi"/>
              <w:b w:val="0"/>
              <w:bCs w:val="0"/>
              <w:rtl/>
            </w:rPr>
          </w:pPr>
          <w:hyperlink w:anchor="_Toc496175317" w:history="1">
            <w:r w:rsidR="001171C7" w:rsidRPr="00D35CC1">
              <w:rPr>
                <w:rStyle w:val="Hyperlink"/>
                <w:rFonts w:cs="Guttman Drogolin"/>
                <w:rtl/>
              </w:rPr>
              <w:t>שיטת הרשב"א בביטול יבש ביבש</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Toc496175317 \h</w:instrText>
            </w:r>
            <w:r w:rsidR="001171C7">
              <w:rPr>
                <w:webHidden/>
                <w:rtl/>
              </w:rPr>
              <w:instrText xml:space="preserve"> </w:instrText>
            </w:r>
            <w:r w:rsidR="001171C7">
              <w:rPr>
                <w:webHidden/>
                <w:rtl/>
              </w:rPr>
            </w:r>
            <w:r w:rsidR="001171C7">
              <w:rPr>
                <w:webHidden/>
                <w:rtl/>
              </w:rPr>
              <w:fldChar w:fldCharType="separate"/>
            </w:r>
            <w:r w:rsidR="006A6D13">
              <w:rPr>
                <w:webHidden/>
                <w:rtl/>
              </w:rPr>
              <w:t>57</w:t>
            </w:r>
            <w:r w:rsidR="001171C7">
              <w:rPr>
                <w:webHidden/>
                <w:rtl/>
              </w:rPr>
              <w:fldChar w:fldCharType="end"/>
            </w:r>
          </w:hyperlink>
        </w:p>
        <w:p w:rsidR="001171C7" w:rsidRDefault="007978F4">
          <w:pPr>
            <w:pStyle w:val="TOC1"/>
            <w:rPr>
              <w:rFonts w:eastAsiaTheme="minorEastAsia" w:cstheme="minorBidi"/>
              <w:b w:val="0"/>
              <w:bCs w:val="0"/>
              <w:rtl/>
            </w:rPr>
          </w:pPr>
          <w:hyperlink w:anchor="_Toc496175318" w:history="1">
            <w:r w:rsidR="001171C7" w:rsidRPr="00D35CC1">
              <w:rPr>
                <w:rStyle w:val="Hyperlink"/>
                <w:rFonts w:cs="Guttman Drogolin"/>
                <w:rtl/>
              </w:rPr>
              <w:t>עוד כמה הערות בדברי הרא"ש</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Toc496175318 \h</w:instrText>
            </w:r>
            <w:r w:rsidR="001171C7">
              <w:rPr>
                <w:webHidden/>
                <w:rtl/>
              </w:rPr>
              <w:instrText xml:space="preserve"> </w:instrText>
            </w:r>
            <w:r w:rsidR="001171C7">
              <w:rPr>
                <w:webHidden/>
                <w:rtl/>
              </w:rPr>
            </w:r>
            <w:r w:rsidR="001171C7">
              <w:rPr>
                <w:webHidden/>
                <w:rtl/>
              </w:rPr>
              <w:fldChar w:fldCharType="separate"/>
            </w:r>
            <w:r w:rsidR="006A6D13">
              <w:rPr>
                <w:webHidden/>
                <w:rtl/>
              </w:rPr>
              <w:t>59</w:t>
            </w:r>
            <w:r w:rsidR="001171C7">
              <w:rPr>
                <w:webHidden/>
                <w:rtl/>
              </w:rPr>
              <w:fldChar w:fldCharType="end"/>
            </w:r>
          </w:hyperlink>
        </w:p>
        <w:p w:rsidR="001171C7" w:rsidRPr="00A9751F" w:rsidRDefault="001171C7" w:rsidP="001171C7">
          <w:pPr>
            <w:pStyle w:val="TOC1"/>
            <w:spacing w:before="240"/>
            <w:rPr>
              <w:rStyle w:val="Hyperlink"/>
              <w:color w:val="auto"/>
              <w:sz w:val="28"/>
              <w:szCs w:val="28"/>
              <w:rtl/>
            </w:rPr>
          </w:pPr>
          <w:r>
            <w:rPr>
              <w:rStyle w:val="Hyperlink"/>
              <w:rFonts w:hint="cs"/>
              <w:color w:val="auto"/>
              <w:sz w:val="28"/>
              <w:szCs w:val="28"/>
              <w:rtl/>
            </w:rPr>
            <w:t>חולין דף ק'</w:t>
          </w:r>
        </w:p>
        <w:p w:rsidR="001171C7" w:rsidRDefault="007978F4">
          <w:pPr>
            <w:pStyle w:val="TOC1"/>
            <w:rPr>
              <w:rFonts w:eastAsiaTheme="minorEastAsia" w:cstheme="minorBidi"/>
              <w:b w:val="0"/>
              <w:bCs w:val="0"/>
              <w:rtl/>
            </w:rPr>
          </w:pPr>
          <w:hyperlink w:anchor="_Toc496175319" w:history="1">
            <w:r w:rsidR="001171C7" w:rsidRPr="00D35CC1">
              <w:rPr>
                <w:rStyle w:val="Hyperlink"/>
                <w:rFonts w:cs="Guttman Drogolin"/>
                <w:rtl/>
              </w:rPr>
              <w:t>בגדר דין ברי'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Toc496175319 \h</w:instrText>
            </w:r>
            <w:r w:rsidR="001171C7">
              <w:rPr>
                <w:webHidden/>
                <w:rtl/>
              </w:rPr>
              <w:instrText xml:space="preserve"> </w:instrText>
            </w:r>
            <w:r w:rsidR="001171C7">
              <w:rPr>
                <w:webHidden/>
                <w:rtl/>
              </w:rPr>
            </w:r>
            <w:r w:rsidR="001171C7">
              <w:rPr>
                <w:webHidden/>
                <w:rtl/>
              </w:rPr>
              <w:fldChar w:fldCharType="separate"/>
            </w:r>
            <w:r w:rsidR="006A6D13">
              <w:rPr>
                <w:webHidden/>
                <w:rtl/>
              </w:rPr>
              <w:t>60</w:t>
            </w:r>
            <w:r w:rsidR="001171C7">
              <w:rPr>
                <w:webHidden/>
                <w:rtl/>
              </w:rPr>
              <w:fldChar w:fldCharType="end"/>
            </w:r>
          </w:hyperlink>
        </w:p>
        <w:p w:rsidR="001171C7" w:rsidRDefault="007978F4">
          <w:pPr>
            <w:pStyle w:val="TOC1"/>
            <w:rPr>
              <w:rFonts w:eastAsiaTheme="minorEastAsia" w:cstheme="minorBidi"/>
              <w:b w:val="0"/>
              <w:bCs w:val="0"/>
              <w:rtl/>
            </w:rPr>
          </w:pPr>
          <w:hyperlink w:anchor="_Toc496175320" w:history="1">
            <w:r w:rsidR="001171C7" w:rsidRPr="00D35CC1">
              <w:rPr>
                <w:rStyle w:val="Hyperlink"/>
                <w:rFonts w:cs="Guttman Drogolin"/>
                <w:rtl/>
              </w:rPr>
              <w:t>כמה הערות בדין ברי'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Toc496175320 \h</w:instrText>
            </w:r>
            <w:r w:rsidR="001171C7">
              <w:rPr>
                <w:webHidden/>
                <w:rtl/>
              </w:rPr>
              <w:instrText xml:space="preserve"> </w:instrText>
            </w:r>
            <w:r w:rsidR="001171C7">
              <w:rPr>
                <w:webHidden/>
                <w:rtl/>
              </w:rPr>
            </w:r>
            <w:r w:rsidR="001171C7">
              <w:rPr>
                <w:webHidden/>
                <w:rtl/>
              </w:rPr>
              <w:fldChar w:fldCharType="separate"/>
            </w:r>
            <w:r w:rsidR="006A6D13">
              <w:rPr>
                <w:webHidden/>
                <w:rtl/>
              </w:rPr>
              <w:t>62</w:t>
            </w:r>
            <w:r w:rsidR="001171C7">
              <w:rPr>
                <w:webHidden/>
                <w:rtl/>
              </w:rPr>
              <w:fldChar w:fldCharType="end"/>
            </w:r>
          </w:hyperlink>
        </w:p>
        <w:p w:rsidR="001171C7" w:rsidRDefault="007978F4">
          <w:pPr>
            <w:pStyle w:val="TOC1"/>
            <w:rPr>
              <w:rFonts w:eastAsiaTheme="minorEastAsia" w:cstheme="minorBidi"/>
              <w:b w:val="0"/>
              <w:bCs w:val="0"/>
              <w:rtl/>
            </w:rPr>
          </w:pPr>
          <w:hyperlink w:anchor="_Toc496175321" w:history="1">
            <w:r w:rsidR="001171C7" w:rsidRPr="00D35CC1">
              <w:rPr>
                <w:rStyle w:val="Hyperlink"/>
                <w:rFonts w:cs="Guttman Drogolin"/>
                <w:rtl/>
              </w:rPr>
              <w:t>בדברי הראשונים אי ביצה הוי ברי'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Toc496175321 \h</w:instrText>
            </w:r>
            <w:r w:rsidR="001171C7">
              <w:rPr>
                <w:webHidden/>
                <w:rtl/>
              </w:rPr>
              <w:instrText xml:space="preserve"> </w:instrText>
            </w:r>
            <w:r w:rsidR="001171C7">
              <w:rPr>
                <w:webHidden/>
                <w:rtl/>
              </w:rPr>
            </w:r>
            <w:r w:rsidR="001171C7">
              <w:rPr>
                <w:webHidden/>
                <w:rtl/>
              </w:rPr>
              <w:fldChar w:fldCharType="separate"/>
            </w:r>
            <w:r w:rsidR="006A6D13">
              <w:rPr>
                <w:webHidden/>
                <w:rtl/>
              </w:rPr>
              <w:t>64</w:t>
            </w:r>
            <w:r w:rsidR="001171C7">
              <w:rPr>
                <w:webHidden/>
                <w:rtl/>
              </w:rPr>
              <w:fldChar w:fldCharType="end"/>
            </w:r>
          </w:hyperlink>
        </w:p>
        <w:p w:rsidR="001171C7" w:rsidRDefault="007978F4">
          <w:pPr>
            <w:pStyle w:val="TOC1"/>
            <w:rPr>
              <w:rFonts w:eastAsiaTheme="minorEastAsia" w:cstheme="minorBidi"/>
              <w:b w:val="0"/>
              <w:bCs w:val="0"/>
              <w:rtl/>
            </w:rPr>
          </w:pPr>
          <w:hyperlink w:anchor="_Toc496175322" w:history="1">
            <w:r w:rsidR="001171C7" w:rsidRPr="00D35CC1">
              <w:rPr>
                <w:rStyle w:val="Hyperlink"/>
                <w:rFonts w:cs="Guttman Drogolin"/>
                <w:rtl/>
              </w:rPr>
              <w:t>ביטול ברי' בשיעור אחת בתשע מאות ששים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Toc496175322 \h</w:instrText>
            </w:r>
            <w:r w:rsidR="001171C7">
              <w:rPr>
                <w:webHidden/>
                <w:rtl/>
              </w:rPr>
              <w:instrText xml:space="preserve"> </w:instrText>
            </w:r>
            <w:r w:rsidR="001171C7">
              <w:rPr>
                <w:webHidden/>
                <w:rtl/>
              </w:rPr>
            </w:r>
            <w:r w:rsidR="001171C7">
              <w:rPr>
                <w:webHidden/>
                <w:rtl/>
              </w:rPr>
              <w:fldChar w:fldCharType="separate"/>
            </w:r>
            <w:r w:rsidR="006A6D13">
              <w:rPr>
                <w:webHidden/>
                <w:rtl/>
              </w:rPr>
              <w:t>64</w:t>
            </w:r>
            <w:r w:rsidR="001171C7">
              <w:rPr>
                <w:webHidden/>
                <w:rtl/>
              </w:rPr>
              <w:fldChar w:fldCharType="end"/>
            </w:r>
          </w:hyperlink>
        </w:p>
        <w:p w:rsidR="001171C7" w:rsidRDefault="007978F4">
          <w:pPr>
            <w:pStyle w:val="TOC1"/>
            <w:rPr>
              <w:rFonts w:eastAsiaTheme="minorEastAsia" w:cstheme="minorBidi"/>
              <w:b w:val="0"/>
              <w:bCs w:val="0"/>
              <w:rtl/>
            </w:rPr>
          </w:pPr>
          <w:hyperlink w:anchor="_Toc496175323" w:history="1">
            <w:r w:rsidR="001171C7" w:rsidRPr="00D35CC1">
              <w:rPr>
                <w:rStyle w:val="Hyperlink"/>
                <w:rFonts w:cs="Guttman Drogolin"/>
                <w:rtl/>
              </w:rPr>
              <w:t>ביטול ברי' לשיטת ר' שמעון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Toc496175323 \h</w:instrText>
            </w:r>
            <w:r w:rsidR="001171C7">
              <w:rPr>
                <w:webHidden/>
                <w:rtl/>
              </w:rPr>
              <w:instrText xml:space="preserve"> </w:instrText>
            </w:r>
            <w:r w:rsidR="001171C7">
              <w:rPr>
                <w:webHidden/>
                <w:rtl/>
              </w:rPr>
            </w:r>
            <w:r w:rsidR="001171C7">
              <w:rPr>
                <w:webHidden/>
                <w:rtl/>
              </w:rPr>
              <w:fldChar w:fldCharType="separate"/>
            </w:r>
            <w:r w:rsidR="006A6D13">
              <w:rPr>
                <w:webHidden/>
                <w:rtl/>
              </w:rPr>
              <w:t>65</w:t>
            </w:r>
            <w:r w:rsidR="001171C7">
              <w:rPr>
                <w:webHidden/>
                <w:rtl/>
              </w:rPr>
              <w:fldChar w:fldCharType="end"/>
            </w:r>
          </w:hyperlink>
        </w:p>
        <w:p w:rsidR="001171C7" w:rsidRDefault="007978F4">
          <w:pPr>
            <w:pStyle w:val="TOC1"/>
            <w:rPr>
              <w:rFonts w:eastAsiaTheme="minorEastAsia" w:cstheme="minorBidi"/>
              <w:b w:val="0"/>
              <w:bCs w:val="0"/>
              <w:rtl/>
            </w:rPr>
          </w:pPr>
          <w:hyperlink w:anchor="_Toc496175324" w:history="1">
            <w:r w:rsidR="001171C7" w:rsidRPr="00D35CC1">
              <w:rPr>
                <w:rStyle w:val="Hyperlink"/>
                <w:rFonts w:cs="Guttman Drogolin"/>
                <w:rtl/>
              </w:rPr>
              <w:t>בדין חתיכה הראוי' להתכבד בה לפני האורחים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Toc496175324 \h</w:instrText>
            </w:r>
            <w:r w:rsidR="001171C7">
              <w:rPr>
                <w:webHidden/>
                <w:rtl/>
              </w:rPr>
              <w:instrText xml:space="preserve"> </w:instrText>
            </w:r>
            <w:r w:rsidR="001171C7">
              <w:rPr>
                <w:webHidden/>
                <w:rtl/>
              </w:rPr>
            </w:r>
            <w:r w:rsidR="001171C7">
              <w:rPr>
                <w:webHidden/>
                <w:rtl/>
              </w:rPr>
              <w:fldChar w:fldCharType="separate"/>
            </w:r>
            <w:r w:rsidR="006A6D13">
              <w:rPr>
                <w:webHidden/>
                <w:rtl/>
              </w:rPr>
              <w:t>66</w:t>
            </w:r>
            <w:r w:rsidR="001171C7">
              <w:rPr>
                <w:webHidden/>
                <w:rtl/>
              </w:rPr>
              <w:fldChar w:fldCharType="end"/>
            </w:r>
          </w:hyperlink>
        </w:p>
        <w:p w:rsidR="001171C7" w:rsidRDefault="007978F4">
          <w:pPr>
            <w:pStyle w:val="TOC1"/>
            <w:rPr>
              <w:rFonts w:eastAsiaTheme="minorEastAsia" w:cstheme="minorBidi"/>
              <w:b w:val="0"/>
              <w:bCs w:val="0"/>
              <w:rtl/>
            </w:rPr>
          </w:pPr>
          <w:hyperlink w:anchor="_Toc496175325" w:history="1">
            <w:r w:rsidR="001171C7" w:rsidRPr="00D35CC1">
              <w:rPr>
                <w:rStyle w:val="Hyperlink"/>
                <w:rFonts w:cs="Guttman Drogolin"/>
                <w:rtl/>
              </w:rPr>
              <w:t>בדין חתיכה הראוי' להתכבד בה לפני מקצת בני אדם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Toc496175325 \h</w:instrText>
            </w:r>
            <w:r w:rsidR="001171C7">
              <w:rPr>
                <w:webHidden/>
                <w:rtl/>
              </w:rPr>
              <w:instrText xml:space="preserve"> </w:instrText>
            </w:r>
            <w:r w:rsidR="001171C7">
              <w:rPr>
                <w:webHidden/>
                <w:rtl/>
              </w:rPr>
            </w:r>
            <w:r w:rsidR="001171C7">
              <w:rPr>
                <w:webHidden/>
                <w:rtl/>
              </w:rPr>
              <w:fldChar w:fldCharType="separate"/>
            </w:r>
            <w:r w:rsidR="006A6D13">
              <w:rPr>
                <w:webHidden/>
                <w:rtl/>
              </w:rPr>
              <w:t>68</w:t>
            </w:r>
            <w:r w:rsidR="001171C7">
              <w:rPr>
                <w:webHidden/>
                <w:rtl/>
              </w:rPr>
              <w:fldChar w:fldCharType="end"/>
            </w:r>
          </w:hyperlink>
        </w:p>
        <w:p w:rsidR="001171C7" w:rsidRDefault="007978F4">
          <w:pPr>
            <w:pStyle w:val="TOC1"/>
            <w:rPr>
              <w:rFonts w:eastAsiaTheme="minorEastAsia" w:cstheme="minorBidi"/>
              <w:b w:val="0"/>
              <w:bCs w:val="0"/>
              <w:rtl/>
            </w:rPr>
          </w:pPr>
          <w:hyperlink w:anchor="_Toc496175326" w:history="1">
            <w:r w:rsidR="001171C7" w:rsidRPr="00D35CC1">
              <w:rPr>
                <w:rStyle w:val="Hyperlink"/>
                <w:rFonts w:cs="Guttman Drogolin"/>
                <w:rtl/>
              </w:rPr>
              <w:t>בדין חתיכה הראוי' להתכבד בה אבל עדיין חסר תיקון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Toc496175326 \h</w:instrText>
            </w:r>
            <w:r w:rsidR="001171C7">
              <w:rPr>
                <w:webHidden/>
                <w:rtl/>
              </w:rPr>
              <w:instrText xml:space="preserve"> </w:instrText>
            </w:r>
            <w:r w:rsidR="001171C7">
              <w:rPr>
                <w:webHidden/>
                <w:rtl/>
              </w:rPr>
            </w:r>
            <w:r w:rsidR="001171C7">
              <w:rPr>
                <w:webHidden/>
                <w:rtl/>
              </w:rPr>
              <w:fldChar w:fldCharType="separate"/>
            </w:r>
            <w:r w:rsidR="006A6D13">
              <w:rPr>
                <w:webHidden/>
                <w:rtl/>
              </w:rPr>
              <w:t>68</w:t>
            </w:r>
            <w:r w:rsidR="001171C7">
              <w:rPr>
                <w:webHidden/>
                <w:rtl/>
              </w:rPr>
              <w:fldChar w:fldCharType="end"/>
            </w:r>
          </w:hyperlink>
        </w:p>
        <w:p w:rsidR="001171C7" w:rsidRDefault="007978F4">
          <w:pPr>
            <w:pStyle w:val="TOC1"/>
            <w:rPr>
              <w:rFonts w:eastAsiaTheme="minorEastAsia" w:cstheme="minorBidi"/>
              <w:b w:val="0"/>
              <w:bCs w:val="0"/>
              <w:rtl/>
            </w:rPr>
          </w:pPr>
          <w:hyperlink w:anchor="_Toc496175327" w:history="1">
            <w:r w:rsidR="001171C7" w:rsidRPr="00D35CC1">
              <w:rPr>
                <w:rStyle w:val="Hyperlink"/>
                <w:rFonts w:cs="Guttman Drogolin"/>
                <w:rtl/>
              </w:rPr>
              <w:t>בדין חתיכה שאינה אסורה אלא משום שקיבלה טעם איסור, והקדמה לדין חענ"ן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Toc496175327 \h</w:instrText>
            </w:r>
            <w:r w:rsidR="001171C7">
              <w:rPr>
                <w:webHidden/>
                <w:rtl/>
              </w:rPr>
              <w:instrText xml:space="preserve"> </w:instrText>
            </w:r>
            <w:r w:rsidR="001171C7">
              <w:rPr>
                <w:webHidden/>
                <w:rtl/>
              </w:rPr>
            </w:r>
            <w:r w:rsidR="001171C7">
              <w:rPr>
                <w:webHidden/>
                <w:rtl/>
              </w:rPr>
              <w:fldChar w:fldCharType="separate"/>
            </w:r>
            <w:r w:rsidR="006A6D13">
              <w:rPr>
                <w:webHidden/>
                <w:rtl/>
              </w:rPr>
              <w:t>69</w:t>
            </w:r>
            <w:r w:rsidR="001171C7">
              <w:rPr>
                <w:webHidden/>
                <w:rtl/>
              </w:rPr>
              <w:fldChar w:fldCharType="end"/>
            </w:r>
          </w:hyperlink>
        </w:p>
        <w:p w:rsidR="001171C7" w:rsidRDefault="007978F4">
          <w:pPr>
            <w:pStyle w:val="TOC1"/>
            <w:rPr>
              <w:rFonts w:eastAsiaTheme="minorEastAsia" w:cstheme="minorBidi"/>
              <w:b w:val="0"/>
              <w:bCs w:val="0"/>
              <w:rtl/>
            </w:rPr>
          </w:pPr>
          <w:hyperlink w:anchor="_Toc496175328" w:history="1">
            <w:r w:rsidR="001171C7" w:rsidRPr="00D35CC1">
              <w:rPr>
                <w:rStyle w:val="Hyperlink"/>
                <w:rFonts w:cs="Guttman Drogolin"/>
                <w:rtl/>
              </w:rPr>
              <w:t>סוגיית הגמרא, ובדין סלק</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Toc496175328 \h</w:instrText>
            </w:r>
            <w:r w:rsidR="001171C7">
              <w:rPr>
                <w:webHidden/>
                <w:rtl/>
              </w:rPr>
              <w:instrText xml:space="preserve"> </w:instrText>
            </w:r>
            <w:r w:rsidR="001171C7">
              <w:rPr>
                <w:webHidden/>
                <w:rtl/>
              </w:rPr>
            </w:r>
            <w:r w:rsidR="001171C7">
              <w:rPr>
                <w:webHidden/>
                <w:rtl/>
              </w:rPr>
              <w:fldChar w:fldCharType="separate"/>
            </w:r>
            <w:r w:rsidR="006A6D13">
              <w:rPr>
                <w:webHidden/>
                <w:rtl/>
              </w:rPr>
              <w:t>70</w:t>
            </w:r>
            <w:r w:rsidR="001171C7">
              <w:rPr>
                <w:webHidden/>
                <w:rtl/>
              </w:rPr>
              <w:fldChar w:fldCharType="end"/>
            </w:r>
          </w:hyperlink>
        </w:p>
        <w:p w:rsidR="001171C7" w:rsidRDefault="007978F4">
          <w:pPr>
            <w:pStyle w:val="TOC1"/>
            <w:rPr>
              <w:rFonts w:eastAsiaTheme="minorEastAsia" w:cstheme="minorBidi"/>
              <w:b w:val="0"/>
              <w:bCs w:val="0"/>
              <w:rtl/>
            </w:rPr>
          </w:pPr>
          <w:hyperlink w:anchor="_Toc496175329" w:history="1">
            <w:r w:rsidR="001171C7" w:rsidRPr="00D35CC1">
              <w:rPr>
                <w:rStyle w:val="Hyperlink"/>
                <w:rFonts w:cs="Guttman Drogolin"/>
                <w:rtl/>
              </w:rPr>
              <w:t>הקדמה: נקודות למחשבה בסוגיין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Toc496175329 \h</w:instrText>
            </w:r>
            <w:r w:rsidR="001171C7">
              <w:rPr>
                <w:webHidden/>
                <w:rtl/>
              </w:rPr>
              <w:instrText xml:space="preserve"> </w:instrText>
            </w:r>
            <w:r w:rsidR="001171C7">
              <w:rPr>
                <w:webHidden/>
                <w:rtl/>
              </w:rPr>
            </w:r>
            <w:r w:rsidR="001171C7">
              <w:rPr>
                <w:webHidden/>
                <w:rtl/>
              </w:rPr>
              <w:fldChar w:fldCharType="separate"/>
            </w:r>
            <w:r w:rsidR="006A6D13">
              <w:rPr>
                <w:webHidden/>
                <w:rtl/>
              </w:rPr>
              <w:t>71</w:t>
            </w:r>
            <w:r w:rsidR="001171C7">
              <w:rPr>
                <w:webHidden/>
                <w:rtl/>
              </w:rPr>
              <w:fldChar w:fldCharType="end"/>
            </w:r>
          </w:hyperlink>
        </w:p>
        <w:p w:rsidR="001171C7" w:rsidRDefault="007978F4">
          <w:pPr>
            <w:pStyle w:val="TOC1"/>
            <w:rPr>
              <w:rFonts w:eastAsiaTheme="minorEastAsia" w:cstheme="minorBidi"/>
              <w:b w:val="0"/>
              <w:bCs w:val="0"/>
              <w:rtl/>
            </w:rPr>
          </w:pPr>
          <w:hyperlink w:anchor="_Toc496175330" w:history="1">
            <w:r w:rsidR="001171C7" w:rsidRPr="00D35CC1">
              <w:rPr>
                <w:rStyle w:val="Hyperlink"/>
                <w:rFonts w:cs="Guttman Drogolin"/>
                <w:rtl/>
              </w:rPr>
              <w:t>בביאור המחלוקת שבין רבב"ח לרב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Toc496175330 \h</w:instrText>
            </w:r>
            <w:r w:rsidR="001171C7">
              <w:rPr>
                <w:webHidden/>
                <w:rtl/>
              </w:rPr>
              <w:instrText xml:space="preserve"> </w:instrText>
            </w:r>
            <w:r w:rsidR="001171C7">
              <w:rPr>
                <w:webHidden/>
                <w:rtl/>
              </w:rPr>
            </w:r>
            <w:r w:rsidR="001171C7">
              <w:rPr>
                <w:webHidden/>
                <w:rtl/>
              </w:rPr>
              <w:fldChar w:fldCharType="separate"/>
            </w:r>
            <w:r w:rsidR="006A6D13">
              <w:rPr>
                <w:webHidden/>
                <w:rtl/>
              </w:rPr>
              <w:t>73</w:t>
            </w:r>
            <w:r w:rsidR="001171C7">
              <w:rPr>
                <w:webHidden/>
                <w:rtl/>
              </w:rPr>
              <w:fldChar w:fldCharType="end"/>
            </w:r>
          </w:hyperlink>
        </w:p>
        <w:p w:rsidR="001171C7" w:rsidRDefault="007978F4">
          <w:pPr>
            <w:pStyle w:val="TOC1"/>
            <w:rPr>
              <w:rFonts w:eastAsiaTheme="minorEastAsia" w:cstheme="minorBidi"/>
              <w:b w:val="0"/>
              <w:bCs w:val="0"/>
              <w:rtl/>
            </w:rPr>
          </w:pPr>
          <w:hyperlink w:anchor="_Toc496175331" w:history="1">
            <w:r w:rsidR="001171C7" w:rsidRPr="00D35CC1">
              <w:rPr>
                <w:rStyle w:val="Hyperlink"/>
                <w:rFonts w:cs="Guttman Drogolin"/>
                <w:rtl/>
              </w:rPr>
              <w:t>שיטת ר"ת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Toc496175331 \h</w:instrText>
            </w:r>
            <w:r w:rsidR="001171C7">
              <w:rPr>
                <w:webHidden/>
                <w:rtl/>
              </w:rPr>
              <w:instrText xml:space="preserve"> </w:instrText>
            </w:r>
            <w:r w:rsidR="001171C7">
              <w:rPr>
                <w:webHidden/>
                <w:rtl/>
              </w:rPr>
            </w:r>
            <w:r w:rsidR="001171C7">
              <w:rPr>
                <w:webHidden/>
                <w:rtl/>
              </w:rPr>
              <w:fldChar w:fldCharType="separate"/>
            </w:r>
            <w:r w:rsidR="006A6D13">
              <w:rPr>
                <w:webHidden/>
                <w:rtl/>
              </w:rPr>
              <w:t>73</w:t>
            </w:r>
            <w:r w:rsidR="001171C7">
              <w:rPr>
                <w:webHidden/>
                <w:rtl/>
              </w:rPr>
              <w:fldChar w:fldCharType="end"/>
            </w:r>
          </w:hyperlink>
        </w:p>
        <w:p w:rsidR="001171C7" w:rsidRDefault="007978F4">
          <w:pPr>
            <w:pStyle w:val="TOC1"/>
            <w:rPr>
              <w:rFonts w:eastAsiaTheme="minorEastAsia" w:cstheme="minorBidi"/>
              <w:b w:val="0"/>
              <w:bCs w:val="0"/>
              <w:rtl/>
            </w:rPr>
          </w:pPr>
          <w:hyperlink w:anchor="_Toc496175332" w:history="1">
            <w:r w:rsidR="001171C7" w:rsidRPr="00D35CC1">
              <w:rPr>
                <w:rStyle w:val="Hyperlink"/>
                <w:rFonts w:cs="Guttman Drogolin"/>
                <w:rtl/>
              </w:rPr>
              <w:t>שאלת התוס' מתערובת יין ומים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Toc496175332 \h</w:instrText>
            </w:r>
            <w:r w:rsidR="001171C7">
              <w:rPr>
                <w:webHidden/>
                <w:rtl/>
              </w:rPr>
              <w:instrText xml:space="preserve"> </w:instrText>
            </w:r>
            <w:r w:rsidR="001171C7">
              <w:rPr>
                <w:webHidden/>
                <w:rtl/>
              </w:rPr>
            </w:r>
            <w:r w:rsidR="001171C7">
              <w:rPr>
                <w:webHidden/>
                <w:rtl/>
              </w:rPr>
              <w:fldChar w:fldCharType="separate"/>
            </w:r>
            <w:r w:rsidR="006A6D13">
              <w:rPr>
                <w:webHidden/>
                <w:rtl/>
              </w:rPr>
              <w:t>75</w:t>
            </w:r>
            <w:r w:rsidR="001171C7">
              <w:rPr>
                <w:webHidden/>
                <w:rtl/>
              </w:rPr>
              <w:fldChar w:fldCharType="end"/>
            </w:r>
          </w:hyperlink>
        </w:p>
        <w:p w:rsidR="001171C7" w:rsidRDefault="007978F4">
          <w:pPr>
            <w:pStyle w:val="TOC1"/>
            <w:rPr>
              <w:rFonts w:eastAsiaTheme="minorEastAsia" w:cstheme="minorBidi"/>
              <w:b w:val="0"/>
              <w:bCs w:val="0"/>
              <w:rtl/>
            </w:rPr>
          </w:pPr>
          <w:hyperlink w:anchor="_Toc496175333" w:history="1">
            <w:r w:rsidR="001171C7" w:rsidRPr="00D35CC1">
              <w:rPr>
                <w:rStyle w:val="Hyperlink"/>
                <w:rFonts w:cs="Guttman Drogolin"/>
                <w:rtl/>
              </w:rPr>
              <w:t>עוד בדעת ר"ת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Toc496175333 \h</w:instrText>
            </w:r>
            <w:r w:rsidR="001171C7">
              <w:rPr>
                <w:webHidden/>
                <w:rtl/>
              </w:rPr>
              <w:instrText xml:space="preserve"> </w:instrText>
            </w:r>
            <w:r w:rsidR="001171C7">
              <w:rPr>
                <w:webHidden/>
                <w:rtl/>
              </w:rPr>
            </w:r>
            <w:r w:rsidR="001171C7">
              <w:rPr>
                <w:webHidden/>
                <w:rtl/>
              </w:rPr>
              <w:fldChar w:fldCharType="separate"/>
            </w:r>
            <w:r w:rsidR="006A6D13">
              <w:rPr>
                <w:webHidden/>
                <w:rtl/>
              </w:rPr>
              <w:t>76</w:t>
            </w:r>
            <w:r w:rsidR="001171C7">
              <w:rPr>
                <w:webHidden/>
                <w:rtl/>
              </w:rPr>
              <w:fldChar w:fldCharType="end"/>
            </w:r>
          </w:hyperlink>
        </w:p>
        <w:p w:rsidR="001171C7" w:rsidRDefault="007978F4">
          <w:pPr>
            <w:pStyle w:val="TOC1"/>
            <w:rPr>
              <w:rFonts w:eastAsiaTheme="minorEastAsia" w:cstheme="minorBidi"/>
              <w:b w:val="0"/>
              <w:bCs w:val="0"/>
              <w:rtl/>
            </w:rPr>
          </w:pPr>
          <w:hyperlink w:anchor="_Toc496175334" w:history="1">
            <w:r w:rsidR="001171C7" w:rsidRPr="00D35CC1">
              <w:rPr>
                <w:rStyle w:val="Hyperlink"/>
                <w:rFonts w:cs="Guttman Drogolin"/>
                <w:rtl/>
              </w:rPr>
              <w:t>הערת רע"א בקושיא של הגעלת כלי מדין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Toc496175334 \h</w:instrText>
            </w:r>
            <w:r w:rsidR="001171C7">
              <w:rPr>
                <w:webHidden/>
                <w:rtl/>
              </w:rPr>
              <w:instrText xml:space="preserve"> </w:instrText>
            </w:r>
            <w:r w:rsidR="001171C7">
              <w:rPr>
                <w:webHidden/>
                <w:rtl/>
              </w:rPr>
            </w:r>
            <w:r w:rsidR="001171C7">
              <w:rPr>
                <w:webHidden/>
                <w:rtl/>
              </w:rPr>
              <w:fldChar w:fldCharType="separate"/>
            </w:r>
            <w:r w:rsidR="006A6D13">
              <w:rPr>
                <w:webHidden/>
                <w:rtl/>
              </w:rPr>
              <w:t>77</w:t>
            </w:r>
            <w:r w:rsidR="001171C7">
              <w:rPr>
                <w:webHidden/>
                <w:rtl/>
              </w:rPr>
              <w:fldChar w:fldCharType="end"/>
            </w:r>
          </w:hyperlink>
        </w:p>
        <w:p w:rsidR="001171C7" w:rsidRDefault="007978F4">
          <w:pPr>
            <w:pStyle w:val="TOC1"/>
            <w:rPr>
              <w:rFonts w:eastAsiaTheme="minorEastAsia" w:cstheme="minorBidi"/>
              <w:b w:val="0"/>
              <w:bCs w:val="0"/>
              <w:rtl/>
            </w:rPr>
          </w:pPr>
          <w:hyperlink w:anchor="_Toc496175335" w:history="1">
            <w:r w:rsidR="001171C7" w:rsidRPr="00D35CC1">
              <w:rPr>
                <w:rStyle w:val="Hyperlink"/>
                <w:rFonts w:cs="Guttman Drogolin"/>
                <w:rtl/>
              </w:rPr>
              <w:t>שיטת ר' אפרים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Toc496175335 \h</w:instrText>
            </w:r>
            <w:r w:rsidR="001171C7">
              <w:rPr>
                <w:webHidden/>
                <w:rtl/>
              </w:rPr>
              <w:instrText xml:space="preserve"> </w:instrText>
            </w:r>
            <w:r w:rsidR="001171C7">
              <w:rPr>
                <w:webHidden/>
                <w:rtl/>
              </w:rPr>
            </w:r>
            <w:r w:rsidR="001171C7">
              <w:rPr>
                <w:webHidden/>
                <w:rtl/>
              </w:rPr>
              <w:fldChar w:fldCharType="separate"/>
            </w:r>
            <w:r w:rsidR="006A6D13">
              <w:rPr>
                <w:webHidden/>
                <w:rtl/>
              </w:rPr>
              <w:t>78</w:t>
            </w:r>
            <w:r w:rsidR="001171C7">
              <w:rPr>
                <w:webHidden/>
                <w:rtl/>
              </w:rPr>
              <w:fldChar w:fldCharType="end"/>
            </w:r>
          </w:hyperlink>
        </w:p>
        <w:p w:rsidR="001171C7" w:rsidRDefault="007978F4">
          <w:pPr>
            <w:pStyle w:val="TOC1"/>
            <w:rPr>
              <w:rFonts w:eastAsiaTheme="minorEastAsia" w:cstheme="minorBidi"/>
              <w:b w:val="0"/>
              <w:bCs w:val="0"/>
              <w:rtl/>
            </w:rPr>
          </w:pPr>
          <w:hyperlink w:anchor="_Toc496175336" w:history="1">
            <w:r w:rsidR="001171C7" w:rsidRPr="00D35CC1">
              <w:rPr>
                <w:rStyle w:val="Hyperlink"/>
                <w:rFonts w:cs="Guttman Drogolin"/>
                <w:rtl/>
              </w:rPr>
              <w:t>ראיית רבינו אפרים מההוא זיתא דתרבא, ובדין סופו להתפשט</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Toc496175336 \h</w:instrText>
            </w:r>
            <w:r w:rsidR="001171C7">
              <w:rPr>
                <w:webHidden/>
                <w:rtl/>
              </w:rPr>
              <w:instrText xml:space="preserve"> </w:instrText>
            </w:r>
            <w:r w:rsidR="001171C7">
              <w:rPr>
                <w:webHidden/>
                <w:rtl/>
              </w:rPr>
            </w:r>
            <w:r w:rsidR="001171C7">
              <w:rPr>
                <w:webHidden/>
                <w:rtl/>
              </w:rPr>
              <w:fldChar w:fldCharType="separate"/>
            </w:r>
            <w:r w:rsidR="006A6D13">
              <w:rPr>
                <w:webHidden/>
                <w:rtl/>
              </w:rPr>
              <w:t>80</w:t>
            </w:r>
            <w:r w:rsidR="001171C7">
              <w:rPr>
                <w:webHidden/>
                <w:rtl/>
              </w:rPr>
              <w:fldChar w:fldCharType="end"/>
            </w:r>
          </w:hyperlink>
        </w:p>
        <w:p w:rsidR="001171C7" w:rsidRDefault="007978F4">
          <w:pPr>
            <w:pStyle w:val="TOC1"/>
            <w:rPr>
              <w:rFonts w:eastAsiaTheme="minorEastAsia" w:cstheme="minorBidi"/>
              <w:b w:val="0"/>
              <w:bCs w:val="0"/>
              <w:rtl/>
            </w:rPr>
          </w:pPr>
          <w:hyperlink w:anchor="_Toc496175337" w:history="1">
            <w:r w:rsidR="001171C7" w:rsidRPr="00D35CC1">
              <w:rPr>
                <w:rStyle w:val="Hyperlink"/>
                <w:rFonts w:cs="Guttman Drogolin"/>
                <w:rtl/>
              </w:rPr>
              <w:t>דיני התפשטות הטעם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Toc496175337 \h</w:instrText>
            </w:r>
            <w:r w:rsidR="001171C7">
              <w:rPr>
                <w:webHidden/>
                <w:rtl/>
              </w:rPr>
              <w:instrText xml:space="preserve"> </w:instrText>
            </w:r>
            <w:r w:rsidR="001171C7">
              <w:rPr>
                <w:webHidden/>
                <w:rtl/>
              </w:rPr>
            </w:r>
            <w:r w:rsidR="001171C7">
              <w:rPr>
                <w:webHidden/>
                <w:rtl/>
              </w:rPr>
              <w:fldChar w:fldCharType="separate"/>
            </w:r>
            <w:r w:rsidR="006A6D13">
              <w:rPr>
                <w:webHidden/>
                <w:rtl/>
              </w:rPr>
              <w:t>80</w:t>
            </w:r>
            <w:r w:rsidR="001171C7">
              <w:rPr>
                <w:webHidden/>
                <w:rtl/>
              </w:rPr>
              <w:fldChar w:fldCharType="end"/>
            </w:r>
          </w:hyperlink>
        </w:p>
        <w:p w:rsidR="001171C7" w:rsidRPr="00A9751F" w:rsidRDefault="001171C7" w:rsidP="001171C7">
          <w:pPr>
            <w:pStyle w:val="TOC1"/>
            <w:spacing w:before="240"/>
            <w:rPr>
              <w:rStyle w:val="Hyperlink"/>
              <w:color w:val="auto"/>
              <w:sz w:val="28"/>
              <w:szCs w:val="28"/>
              <w:rtl/>
            </w:rPr>
          </w:pPr>
          <w:r>
            <w:rPr>
              <w:rStyle w:val="Hyperlink"/>
              <w:rFonts w:hint="cs"/>
              <w:color w:val="auto"/>
              <w:sz w:val="28"/>
              <w:szCs w:val="28"/>
              <w:rtl/>
            </w:rPr>
            <w:t>חולין דף ק"ח</w:t>
          </w:r>
        </w:p>
        <w:p w:rsidR="001171C7" w:rsidRDefault="007978F4">
          <w:pPr>
            <w:pStyle w:val="TOC1"/>
            <w:rPr>
              <w:rFonts w:eastAsiaTheme="minorEastAsia" w:cstheme="minorBidi"/>
              <w:b w:val="0"/>
              <w:bCs w:val="0"/>
              <w:rtl/>
            </w:rPr>
          </w:pPr>
          <w:hyperlink w:anchor="_Toc496175338" w:history="1">
            <w:r w:rsidR="001171C7" w:rsidRPr="00D35CC1">
              <w:rPr>
                <w:rStyle w:val="Hyperlink"/>
                <w:rFonts w:cs="Guttman Drogolin"/>
                <w:rtl/>
              </w:rPr>
              <w:t>מחלוקת אביי ורבא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Toc496175338 \h</w:instrText>
            </w:r>
            <w:r w:rsidR="001171C7">
              <w:rPr>
                <w:webHidden/>
                <w:rtl/>
              </w:rPr>
              <w:instrText xml:space="preserve"> </w:instrText>
            </w:r>
            <w:r w:rsidR="001171C7">
              <w:rPr>
                <w:webHidden/>
                <w:rtl/>
              </w:rPr>
            </w:r>
            <w:r w:rsidR="001171C7">
              <w:rPr>
                <w:webHidden/>
                <w:rtl/>
              </w:rPr>
              <w:fldChar w:fldCharType="separate"/>
            </w:r>
            <w:r w:rsidR="006A6D13">
              <w:rPr>
                <w:webHidden/>
                <w:rtl/>
              </w:rPr>
              <w:t>83</w:t>
            </w:r>
            <w:r w:rsidR="001171C7">
              <w:rPr>
                <w:webHidden/>
                <w:rtl/>
              </w:rPr>
              <w:fldChar w:fldCharType="end"/>
            </w:r>
          </w:hyperlink>
        </w:p>
        <w:p w:rsidR="001171C7" w:rsidRDefault="007978F4">
          <w:pPr>
            <w:pStyle w:val="TOC1"/>
            <w:rPr>
              <w:rFonts w:eastAsiaTheme="minorEastAsia" w:cstheme="minorBidi"/>
              <w:b w:val="0"/>
              <w:bCs w:val="0"/>
              <w:rtl/>
            </w:rPr>
          </w:pPr>
          <w:hyperlink w:anchor="_Toc496175339" w:history="1">
            <w:r w:rsidR="001171C7" w:rsidRPr="00D35CC1">
              <w:rPr>
                <w:rStyle w:val="Hyperlink"/>
                <w:rFonts w:cs="Guttman Drogolin"/>
                <w:rtl/>
              </w:rPr>
              <w:t>חלב נבילה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Toc496175339 \h</w:instrText>
            </w:r>
            <w:r w:rsidR="001171C7">
              <w:rPr>
                <w:webHidden/>
                <w:rtl/>
              </w:rPr>
              <w:instrText xml:space="preserve"> </w:instrText>
            </w:r>
            <w:r w:rsidR="001171C7">
              <w:rPr>
                <w:webHidden/>
                <w:rtl/>
              </w:rPr>
            </w:r>
            <w:r w:rsidR="001171C7">
              <w:rPr>
                <w:webHidden/>
                <w:rtl/>
              </w:rPr>
              <w:fldChar w:fldCharType="separate"/>
            </w:r>
            <w:r w:rsidR="006A6D13">
              <w:rPr>
                <w:webHidden/>
                <w:rtl/>
              </w:rPr>
              <w:t>84</w:t>
            </w:r>
            <w:r w:rsidR="001171C7">
              <w:rPr>
                <w:webHidden/>
                <w:rtl/>
              </w:rPr>
              <w:fldChar w:fldCharType="end"/>
            </w:r>
          </w:hyperlink>
        </w:p>
        <w:p w:rsidR="001171C7" w:rsidRDefault="007978F4">
          <w:pPr>
            <w:pStyle w:val="TOC1"/>
            <w:rPr>
              <w:rFonts w:eastAsiaTheme="minorEastAsia" w:cstheme="minorBidi"/>
              <w:b w:val="0"/>
              <w:bCs w:val="0"/>
              <w:rtl/>
            </w:rPr>
          </w:pPr>
          <w:hyperlink w:anchor="_Toc496175340" w:history="1">
            <w:r w:rsidR="001171C7" w:rsidRPr="00D35CC1">
              <w:rPr>
                <w:rStyle w:val="Hyperlink"/>
                <w:rFonts w:cs="Guttman Drogolin"/>
                <w:rtl/>
              </w:rPr>
              <w:t>בדין חענ"ן בתבלין שבלעו דם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Toc496175340 \h</w:instrText>
            </w:r>
            <w:r w:rsidR="001171C7">
              <w:rPr>
                <w:webHidden/>
                <w:rtl/>
              </w:rPr>
              <w:instrText xml:space="preserve"> </w:instrText>
            </w:r>
            <w:r w:rsidR="001171C7">
              <w:rPr>
                <w:webHidden/>
                <w:rtl/>
              </w:rPr>
            </w:r>
            <w:r w:rsidR="001171C7">
              <w:rPr>
                <w:webHidden/>
                <w:rtl/>
              </w:rPr>
              <w:fldChar w:fldCharType="separate"/>
            </w:r>
            <w:r w:rsidR="006A6D13">
              <w:rPr>
                <w:webHidden/>
                <w:rtl/>
              </w:rPr>
              <w:t>85</w:t>
            </w:r>
            <w:r w:rsidR="001171C7">
              <w:rPr>
                <w:webHidden/>
                <w:rtl/>
              </w:rPr>
              <w:fldChar w:fldCharType="end"/>
            </w:r>
          </w:hyperlink>
        </w:p>
        <w:p w:rsidR="001171C7" w:rsidRDefault="007978F4">
          <w:pPr>
            <w:pStyle w:val="TOC1"/>
            <w:rPr>
              <w:rFonts w:eastAsiaTheme="minorEastAsia" w:cstheme="minorBidi"/>
              <w:b w:val="0"/>
              <w:bCs w:val="0"/>
              <w:rtl/>
            </w:rPr>
          </w:pPr>
          <w:hyperlink w:anchor="_Toc496175341" w:history="1">
            <w:r w:rsidR="001171C7" w:rsidRPr="00D35CC1">
              <w:rPr>
                <w:rStyle w:val="Hyperlink"/>
                <w:rFonts w:cs="Guttman Drogolin"/>
                <w:rtl/>
              </w:rPr>
              <w:t>כמה נקודות בדינא דאפשר לסוחטו אסור או מותר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Toc496175341 \h</w:instrText>
            </w:r>
            <w:r w:rsidR="001171C7">
              <w:rPr>
                <w:webHidden/>
                <w:rtl/>
              </w:rPr>
              <w:instrText xml:space="preserve"> </w:instrText>
            </w:r>
            <w:r w:rsidR="001171C7">
              <w:rPr>
                <w:webHidden/>
                <w:rtl/>
              </w:rPr>
            </w:r>
            <w:r w:rsidR="001171C7">
              <w:rPr>
                <w:webHidden/>
                <w:rtl/>
              </w:rPr>
              <w:fldChar w:fldCharType="separate"/>
            </w:r>
            <w:r w:rsidR="006A6D13">
              <w:rPr>
                <w:webHidden/>
                <w:rtl/>
              </w:rPr>
              <w:t>86</w:t>
            </w:r>
            <w:r w:rsidR="001171C7">
              <w:rPr>
                <w:webHidden/>
                <w:rtl/>
              </w:rPr>
              <w:fldChar w:fldCharType="end"/>
            </w:r>
          </w:hyperlink>
        </w:p>
        <w:p w:rsidR="001171C7" w:rsidRDefault="007978F4">
          <w:pPr>
            <w:pStyle w:val="TOC1"/>
            <w:rPr>
              <w:rFonts w:eastAsiaTheme="minorEastAsia" w:cstheme="minorBidi"/>
              <w:b w:val="0"/>
              <w:bCs w:val="0"/>
              <w:rtl/>
            </w:rPr>
          </w:pPr>
          <w:hyperlink w:anchor="_Toc496175342" w:history="1">
            <w:r w:rsidR="001171C7" w:rsidRPr="00D35CC1">
              <w:rPr>
                <w:rStyle w:val="Hyperlink"/>
                <w:rFonts w:cs="Guttman Drogolin"/>
                <w:rtl/>
              </w:rPr>
              <w:t>תמצית דברי התוס' בד"ה אמאי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Toc496175342 \h</w:instrText>
            </w:r>
            <w:r w:rsidR="001171C7">
              <w:rPr>
                <w:webHidden/>
                <w:rtl/>
              </w:rPr>
              <w:instrText xml:space="preserve"> </w:instrText>
            </w:r>
            <w:r w:rsidR="001171C7">
              <w:rPr>
                <w:webHidden/>
                <w:rtl/>
              </w:rPr>
            </w:r>
            <w:r w:rsidR="001171C7">
              <w:rPr>
                <w:webHidden/>
                <w:rtl/>
              </w:rPr>
              <w:fldChar w:fldCharType="separate"/>
            </w:r>
            <w:r w:rsidR="006A6D13">
              <w:rPr>
                <w:webHidden/>
                <w:rtl/>
              </w:rPr>
              <w:t>87</w:t>
            </w:r>
            <w:r w:rsidR="001171C7">
              <w:rPr>
                <w:webHidden/>
                <w:rtl/>
              </w:rPr>
              <w:fldChar w:fldCharType="end"/>
            </w:r>
          </w:hyperlink>
        </w:p>
        <w:p w:rsidR="001171C7" w:rsidRDefault="007978F4">
          <w:pPr>
            <w:pStyle w:val="TOC1"/>
            <w:rPr>
              <w:rFonts w:eastAsiaTheme="minorEastAsia" w:cstheme="minorBidi"/>
              <w:b w:val="0"/>
              <w:bCs w:val="0"/>
              <w:rtl/>
            </w:rPr>
          </w:pPr>
          <w:hyperlink w:anchor="_Toc496175343" w:history="1">
            <w:r w:rsidR="001171C7" w:rsidRPr="00D35CC1">
              <w:rPr>
                <w:rStyle w:val="Hyperlink"/>
                <w:rFonts w:cs="Guttman Drogolin"/>
                <w:rtl/>
              </w:rPr>
              <w:t>רש"י דף ק"ח ע"א ד"ה אמאי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Toc496175343 \h</w:instrText>
            </w:r>
            <w:r w:rsidR="001171C7">
              <w:rPr>
                <w:webHidden/>
                <w:rtl/>
              </w:rPr>
              <w:instrText xml:space="preserve"> </w:instrText>
            </w:r>
            <w:r w:rsidR="001171C7">
              <w:rPr>
                <w:webHidden/>
                <w:rtl/>
              </w:rPr>
            </w:r>
            <w:r w:rsidR="001171C7">
              <w:rPr>
                <w:webHidden/>
                <w:rtl/>
              </w:rPr>
              <w:fldChar w:fldCharType="separate"/>
            </w:r>
            <w:r w:rsidR="006A6D13">
              <w:rPr>
                <w:webHidden/>
                <w:rtl/>
              </w:rPr>
              <w:t>88</w:t>
            </w:r>
            <w:r w:rsidR="001171C7">
              <w:rPr>
                <w:webHidden/>
                <w:rtl/>
              </w:rPr>
              <w:fldChar w:fldCharType="end"/>
            </w:r>
          </w:hyperlink>
        </w:p>
        <w:p w:rsidR="001171C7" w:rsidRDefault="007978F4">
          <w:pPr>
            <w:pStyle w:val="TOC1"/>
            <w:rPr>
              <w:rFonts w:eastAsiaTheme="minorEastAsia" w:cstheme="minorBidi"/>
              <w:b w:val="0"/>
              <w:bCs w:val="0"/>
              <w:rtl/>
            </w:rPr>
          </w:pPr>
          <w:hyperlink w:anchor="_Toc496175344" w:history="1">
            <w:r w:rsidR="001171C7" w:rsidRPr="00D35CC1">
              <w:rPr>
                <w:rStyle w:val="Hyperlink"/>
                <w:rFonts w:cs="Guttman Drogolin"/>
                <w:rtl/>
              </w:rPr>
              <w:t>בביאור המחלוקת אם אפשר לסוחטו מותר או אסור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Toc496175344 \h</w:instrText>
            </w:r>
            <w:r w:rsidR="001171C7">
              <w:rPr>
                <w:webHidden/>
                <w:rtl/>
              </w:rPr>
              <w:instrText xml:space="preserve"> </w:instrText>
            </w:r>
            <w:r w:rsidR="001171C7">
              <w:rPr>
                <w:webHidden/>
                <w:rtl/>
              </w:rPr>
            </w:r>
            <w:r w:rsidR="001171C7">
              <w:rPr>
                <w:webHidden/>
                <w:rtl/>
              </w:rPr>
              <w:fldChar w:fldCharType="separate"/>
            </w:r>
            <w:r w:rsidR="006A6D13">
              <w:rPr>
                <w:webHidden/>
                <w:rtl/>
              </w:rPr>
              <w:t>88</w:t>
            </w:r>
            <w:r w:rsidR="001171C7">
              <w:rPr>
                <w:webHidden/>
                <w:rtl/>
              </w:rPr>
              <w:fldChar w:fldCharType="end"/>
            </w:r>
          </w:hyperlink>
        </w:p>
        <w:p w:rsidR="001171C7" w:rsidRDefault="007978F4">
          <w:pPr>
            <w:pStyle w:val="TOC1"/>
            <w:rPr>
              <w:rFonts w:eastAsiaTheme="minorEastAsia" w:cstheme="minorBidi"/>
              <w:b w:val="0"/>
              <w:bCs w:val="0"/>
              <w:rtl/>
            </w:rPr>
          </w:pPr>
          <w:hyperlink w:anchor="_Toc496175345" w:history="1">
            <w:r w:rsidR="001171C7" w:rsidRPr="00D35CC1">
              <w:rPr>
                <w:rStyle w:val="Hyperlink"/>
                <w:rFonts w:cs="Guttman Drogolin"/>
                <w:rtl/>
              </w:rPr>
              <w:t>בדין טעימת קפילא כשיש חלב נבילה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Toc496175345 \h</w:instrText>
            </w:r>
            <w:r w:rsidR="001171C7">
              <w:rPr>
                <w:webHidden/>
                <w:rtl/>
              </w:rPr>
              <w:instrText xml:space="preserve"> </w:instrText>
            </w:r>
            <w:r w:rsidR="001171C7">
              <w:rPr>
                <w:webHidden/>
                <w:rtl/>
              </w:rPr>
            </w:r>
            <w:r w:rsidR="001171C7">
              <w:rPr>
                <w:webHidden/>
                <w:rtl/>
              </w:rPr>
              <w:fldChar w:fldCharType="separate"/>
            </w:r>
            <w:r w:rsidR="006A6D13">
              <w:rPr>
                <w:webHidden/>
                <w:rtl/>
              </w:rPr>
              <w:t>91</w:t>
            </w:r>
            <w:r w:rsidR="001171C7">
              <w:rPr>
                <w:webHidden/>
                <w:rtl/>
              </w:rPr>
              <w:fldChar w:fldCharType="end"/>
            </w:r>
          </w:hyperlink>
        </w:p>
        <w:p w:rsidR="001171C7" w:rsidRDefault="007978F4">
          <w:pPr>
            <w:pStyle w:val="TOC1"/>
            <w:rPr>
              <w:rFonts w:eastAsiaTheme="minorEastAsia" w:cstheme="minorBidi"/>
              <w:b w:val="0"/>
              <w:bCs w:val="0"/>
              <w:rtl/>
            </w:rPr>
          </w:pPr>
          <w:hyperlink w:anchor="_Toc496175346" w:history="1">
            <w:r w:rsidR="001171C7" w:rsidRPr="00D35CC1">
              <w:rPr>
                <w:rStyle w:val="Hyperlink"/>
                <w:rFonts w:cs="Guttman Drogolin"/>
                <w:rtl/>
              </w:rPr>
              <w:t>בביאור המחלוקת אי מצרפינן חצי זית בשר וחצי זית חלב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Toc496175346 \h</w:instrText>
            </w:r>
            <w:r w:rsidR="001171C7">
              <w:rPr>
                <w:webHidden/>
                <w:rtl/>
              </w:rPr>
              <w:instrText xml:space="preserve"> </w:instrText>
            </w:r>
            <w:r w:rsidR="001171C7">
              <w:rPr>
                <w:webHidden/>
                <w:rtl/>
              </w:rPr>
            </w:r>
            <w:r w:rsidR="001171C7">
              <w:rPr>
                <w:webHidden/>
                <w:rtl/>
              </w:rPr>
              <w:fldChar w:fldCharType="separate"/>
            </w:r>
            <w:r w:rsidR="006A6D13">
              <w:rPr>
                <w:webHidden/>
                <w:rtl/>
              </w:rPr>
              <w:t>92</w:t>
            </w:r>
            <w:r w:rsidR="001171C7">
              <w:rPr>
                <w:webHidden/>
                <w:rtl/>
              </w:rPr>
              <w:fldChar w:fldCharType="end"/>
            </w:r>
          </w:hyperlink>
        </w:p>
        <w:p w:rsidR="001171C7" w:rsidRDefault="007978F4">
          <w:pPr>
            <w:pStyle w:val="TOC1"/>
            <w:rPr>
              <w:rFonts w:eastAsiaTheme="minorEastAsia" w:cstheme="minorBidi"/>
              <w:b w:val="0"/>
              <w:bCs w:val="0"/>
              <w:rtl/>
            </w:rPr>
          </w:pPr>
          <w:hyperlink w:anchor="_Toc496175347" w:history="1">
            <w:r w:rsidR="001171C7" w:rsidRPr="00D35CC1">
              <w:rPr>
                <w:rStyle w:val="Hyperlink"/>
                <w:rFonts w:cs="Guttman Drogolin"/>
                <w:rtl/>
              </w:rPr>
              <w:t>שיעור בישול הנצרך לאיסור בישול בב"ח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Toc496175347 \h</w:instrText>
            </w:r>
            <w:r w:rsidR="001171C7">
              <w:rPr>
                <w:webHidden/>
                <w:rtl/>
              </w:rPr>
              <w:instrText xml:space="preserve"> </w:instrText>
            </w:r>
            <w:r w:rsidR="001171C7">
              <w:rPr>
                <w:webHidden/>
                <w:rtl/>
              </w:rPr>
            </w:r>
            <w:r w:rsidR="001171C7">
              <w:rPr>
                <w:webHidden/>
                <w:rtl/>
              </w:rPr>
              <w:fldChar w:fldCharType="separate"/>
            </w:r>
            <w:r w:rsidR="006A6D13">
              <w:rPr>
                <w:webHidden/>
                <w:rtl/>
              </w:rPr>
              <w:t>93</w:t>
            </w:r>
            <w:r w:rsidR="001171C7">
              <w:rPr>
                <w:webHidden/>
                <w:rtl/>
              </w:rPr>
              <w:fldChar w:fldCharType="end"/>
            </w:r>
          </w:hyperlink>
        </w:p>
        <w:p w:rsidR="001171C7" w:rsidRDefault="007978F4">
          <w:pPr>
            <w:pStyle w:val="TOC1"/>
            <w:rPr>
              <w:rFonts w:eastAsiaTheme="minorEastAsia" w:cstheme="minorBidi"/>
              <w:b w:val="0"/>
              <w:bCs w:val="0"/>
              <w:rtl/>
            </w:rPr>
          </w:pPr>
          <w:hyperlink w:anchor="_Toc496175348" w:history="1">
            <w:r w:rsidR="001171C7" w:rsidRPr="00D35CC1">
              <w:rPr>
                <w:rStyle w:val="Hyperlink"/>
                <w:rFonts w:cs="Guttman Drogolin"/>
                <w:rtl/>
              </w:rPr>
              <w:t>מיבלע בלע מיפלט לא פלט</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Toc496175348 \h</w:instrText>
            </w:r>
            <w:r w:rsidR="001171C7">
              <w:rPr>
                <w:webHidden/>
                <w:rtl/>
              </w:rPr>
              <w:instrText xml:space="preserve"> </w:instrText>
            </w:r>
            <w:r w:rsidR="001171C7">
              <w:rPr>
                <w:webHidden/>
                <w:rtl/>
              </w:rPr>
            </w:r>
            <w:r w:rsidR="001171C7">
              <w:rPr>
                <w:webHidden/>
                <w:rtl/>
              </w:rPr>
              <w:fldChar w:fldCharType="separate"/>
            </w:r>
            <w:r w:rsidR="006A6D13">
              <w:rPr>
                <w:webHidden/>
                <w:rtl/>
              </w:rPr>
              <w:t>93</w:t>
            </w:r>
            <w:r w:rsidR="001171C7">
              <w:rPr>
                <w:webHidden/>
                <w:rtl/>
              </w:rPr>
              <w:fldChar w:fldCharType="end"/>
            </w:r>
          </w:hyperlink>
        </w:p>
        <w:p w:rsidR="001171C7" w:rsidRDefault="007978F4">
          <w:pPr>
            <w:pStyle w:val="TOC1"/>
            <w:rPr>
              <w:rFonts w:eastAsiaTheme="minorEastAsia" w:cstheme="minorBidi"/>
              <w:b w:val="0"/>
              <w:bCs w:val="0"/>
              <w:rtl/>
            </w:rPr>
          </w:pPr>
          <w:hyperlink w:anchor="_Toc496175349" w:history="1">
            <w:r w:rsidR="001171C7" w:rsidRPr="00D35CC1">
              <w:rPr>
                <w:rStyle w:val="Hyperlink"/>
                <w:rFonts w:cs="Guttman Drogolin"/>
                <w:rtl/>
              </w:rPr>
              <w:t>מחלוקת ר' יהודה וחכמים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Toc496175349 \h</w:instrText>
            </w:r>
            <w:r w:rsidR="001171C7">
              <w:rPr>
                <w:webHidden/>
                <w:rtl/>
              </w:rPr>
              <w:instrText xml:space="preserve"> </w:instrText>
            </w:r>
            <w:r w:rsidR="001171C7">
              <w:rPr>
                <w:webHidden/>
                <w:rtl/>
              </w:rPr>
            </w:r>
            <w:r w:rsidR="001171C7">
              <w:rPr>
                <w:webHidden/>
                <w:rtl/>
              </w:rPr>
              <w:fldChar w:fldCharType="separate"/>
            </w:r>
            <w:r w:rsidR="006A6D13">
              <w:rPr>
                <w:webHidden/>
                <w:rtl/>
              </w:rPr>
              <w:t>93</w:t>
            </w:r>
            <w:r w:rsidR="001171C7">
              <w:rPr>
                <w:webHidden/>
                <w:rtl/>
              </w:rPr>
              <w:fldChar w:fldCharType="end"/>
            </w:r>
          </w:hyperlink>
        </w:p>
        <w:p w:rsidR="001171C7" w:rsidRDefault="007978F4">
          <w:pPr>
            <w:pStyle w:val="TOC1"/>
            <w:rPr>
              <w:rFonts w:eastAsiaTheme="minorEastAsia" w:cstheme="minorBidi"/>
              <w:b w:val="0"/>
              <w:bCs w:val="0"/>
              <w:rtl/>
            </w:rPr>
          </w:pPr>
          <w:hyperlink w:anchor="_Toc496175350" w:history="1">
            <w:r w:rsidR="001171C7" w:rsidRPr="00D35CC1">
              <w:rPr>
                <w:rStyle w:val="Hyperlink"/>
                <w:rFonts w:cs="Guttman Drogolin"/>
                <w:rtl/>
              </w:rPr>
              <w:t>גדר הדין של חענ"ן בשאר איסורים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Toc496175350 \h</w:instrText>
            </w:r>
            <w:r w:rsidR="001171C7">
              <w:rPr>
                <w:webHidden/>
                <w:rtl/>
              </w:rPr>
              <w:instrText xml:space="preserve"> </w:instrText>
            </w:r>
            <w:r w:rsidR="001171C7">
              <w:rPr>
                <w:webHidden/>
                <w:rtl/>
              </w:rPr>
            </w:r>
            <w:r w:rsidR="001171C7">
              <w:rPr>
                <w:webHidden/>
                <w:rtl/>
              </w:rPr>
              <w:fldChar w:fldCharType="separate"/>
            </w:r>
            <w:r w:rsidR="006A6D13">
              <w:rPr>
                <w:webHidden/>
                <w:rtl/>
              </w:rPr>
              <w:t>94</w:t>
            </w:r>
            <w:r w:rsidR="001171C7">
              <w:rPr>
                <w:webHidden/>
                <w:rtl/>
              </w:rPr>
              <w:fldChar w:fldCharType="end"/>
            </w:r>
          </w:hyperlink>
        </w:p>
        <w:p w:rsidR="001171C7" w:rsidRDefault="007978F4">
          <w:pPr>
            <w:pStyle w:val="TOC1"/>
            <w:rPr>
              <w:rFonts w:eastAsiaTheme="minorEastAsia" w:cstheme="minorBidi"/>
              <w:b w:val="0"/>
              <w:bCs w:val="0"/>
              <w:rtl/>
            </w:rPr>
          </w:pPr>
          <w:hyperlink w:anchor="_Toc496175351" w:history="1">
            <w:r w:rsidR="001171C7" w:rsidRPr="00D35CC1">
              <w:rPr>
                <w:rStyle w:val="Hyperlink"/>
                <w:rFonts w:cs="Guttman Drogolin"/>
                <w:rtl/>
              </w:rPr>
              <w:t>תמצית דברי הר"ן שבסוף פרק כל הבשר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Toc496175351 \h</w:instrText>
            </w:r>
            <w:r w:rsidR="001171C7">
              <w:rPr>
                <w:webHidden/>
                <w:rtl/>
              </w:rPr>
              <w:instrText xml:space="preserve"> </w:instrText>
            </w:r>
            <w:r w:rsidR="001171C7">
              <w:rPr>
                <w:webHidden/>
                <w:rtl/>
              </w:rPr>
            </w:r>
            <w:r w:rsidR="001171C7">
              <w:rPr>
                <w:webHidden/>
                <w:rtl/>
              </w:rPr>
              <w:fldChar w:fldCharType="separate"/>
            </w:r>
            <w:r w:rsidR="006A6D13">
              <w:rPr>
                <w:webHidden/>
                <w:rtl/>
              </w:rPr>
              <w:t>95</w:t>
            </w:r>
            <w:r w:rsidR="001171C7">
              <w:rPr>
                <w:webHidden/>
                <w:rtl/>
              </w:rPr>
              <w:fldChar w:fldCharType="end"/>
            </w:r>
          </w:hyperlink>
        </w:p>
        <w:p w:rsidR="001171C7" w:rsidRDefault="007978F4">
          <w:pPr>
            <w:pStyle w:val="TOC1"/>
            <w:rPr>
              <w:rFonts w:eastAsiaTheme="minorEastAsia" w:cstheme="minorBidi"/>
              <w:b w:val="0"/>
              <w:bCs w:val="0"/>
              <w:rtl/>
            </w:rPr>
          </w:pPr>
          <w:hyperlink w:anchor="_Toc496175352" w:history="1">
            <w:r w:rsidR="001171C7" w:rsidRPr="00D35CC1">
              <w:rPr>
                <w:rStyle w:val="Hyperlink"/>
                <w:rFonts w:cs="Guttman Drogolin"/>
                <w:rtl/>
              </w:rPr>
              <w:t>דינים העולים לשיטת הר"ן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Toc496175352 \h</w:instrText>
            </w:r>
            <w:r w:rsidR="001171C7">
              <w:rPr>
                <w:webHidden/>
                <w:rtl/>
              </w:rPr>
              <w:instrText xml:space="preserve"> </w:instrText>
            </w:r>
            <w:r w:rsidR="001171C7">
              <w:rPr>
                <w:webHidden/>
                <w:rtl/>
              </w:rPr>
            </w:r>
            <w:r w:rsidR="001171C7">
              <w:rPr>
                <w:webHidden/>
                <w:rtl/>
              </w:rPr>
              <w:fldChar w:fldCharType="separate"/>
            </w:r>
            <w:r w:rsidR="006A6D13">
              <w:rPr>
                <w:webHidden/>
                <w:rtl/>
              </w:rPr>
              <w:t>97</w:t>
            </w:r>
            <w:r w:rsidR="001171C7">
              <w:rPr>
                <w:webHidden/>
                <w:rtl/>
              </w:rPr>
              <w:fldChar w:fldCharType="end"/>
            </w:r>
          </w:hyperlink>
        </w:p>
        <w:p w:rsidR="001171C7" w:rsidRDefault="007978F4">
          <w:pPr>
            <w:pStyle w:val="TOC1"/>
            <w:rPr>
              <w:rFonts w:eastAsiaTheme="minorEastAsia" w:cstheme="minorBidi"/>
              <w:b w:val="0"/>
              <w:bCs w:val="0"/>
              <w:rtl/>
            </w:rPr>
          </w:pPr>
          <w:hyperlink w:anchor="_Toc496175353" w:history="1">
            <w:r w:rsidR="001171C7" w:rsidRPr="00D35CC1">
              <w:rPr>
                <w:rStyle w:val="Hyperlink"/>
                <w:rFonts w:cs="Guttman Drogolin"/>
                <w:rtl/>
              </w:rPr>
              <w:t>הערות רע"א בדברי הר"ן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Toc496175353 \h</w:instrText>
            </w:r>
            <w:r w:rsidR="001171C7">
              <w:rPr>
                <w:webHidden/>
                <w:rtl/>
              </w:rPr>
              <w:instrText xml:space="preserve"> </w:instrText>
            </w:r>
            <w:r w:rsidR="001171C7">
              <w:rPr>
                <w:webHidden/>
                <w:rtl/>
              </w:rPr>
            </w:r>
            <w:r w:rsidR="001171C7">
              <w:rPr>
                <w:webHidden/>
                <w:rtl/>
              </w:rPr>
              <w:fldChar w:fldCharType="separate"/>
            </w:r>
            <w:r w:rsidR="006A6D13">
              <w:rPr>
                <w:webHidden/>
                <w:rtl/>
              </w:rPr>
              <w:t>98</w:t>
            </w:r>
            <w:r w:rsidR="001171C7">
              <w:rPr>
                <w:webHidden/>
                <w:rtl/>
              </w:rPr>
              <w:fldChar w:fldCharType="end"/>
            </w:r>
          </w:hyperlink>
        </w:p>
        <w:p w:rsidR="001171C7" w:rsidRDefault="007978F4">
          <w:pPr>
            <w:pStyle w:val="TOC1"/>
            <w:rPr>
              <w:rFonts w:eastAsiaTheme="minorEastAsia" w:cstheme="minorBidi"/>
              <w:b w:val="0"/>
              <w:bCs w:val="0"/>
              <w:rtl/>
            </w:rPr>
          </w:pPr>
          <w:hyperlink w:anchor="_Toc496175354" w:history="1">
            <w:r w:rsidR="001171C7" w:rsidRPr="00D35CC1">
              <w:rPr>
                <w:rStyle w:val="Hyperlink"/>
                <w:rFonts w:asciiTheme="majorHAnsi" w:eastAsiaTheme="majorEastAsia" w:hAnsiTheme="majorHAnsi" w:cs="Guttman Drogolin"/>
                <w:rtl/>
              </w:rPr>
              <w:t>עוד הערה אחת בסוגיא שבדף ק</w:t>
            </w:r>
            <w:r w:rsidR="001171C7" w:rsidRPr="00D35CC1">
              <w:rPr>
                <w:rStyle w:val="Hyperlink"/>
                <w:rFonts w:asciiTheme="majorHAnsi" w:eastAsiaTheme="majorEastAsia" w:hAnsiTheme="majorHAnsi" w:cs="Guttman Drogolin"/>
                <w:rtl/>
                <w:lang w:bidi="ar-SA"/>
              </w:rPr>
              <w:t>"</w:t>
            </w:r>
            <w:r w:rsidR="001171C7" w:rsidRPr="00D35CC1">
              <w:rPr>
                <w:rStyle w:val="Hyperlink"/>
                <w:rFonts w:asciiTheme="majorHAnsi" w:eastAsiaTheme="majorEastAsia" w:hAnsiTheme="majorHAnsi" w:cs="Guttman Drogolin"/>
                <w:rtl/>
              </w:rPr>
              <w:t>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Toc496175354 \h</w:instrText>
            </w:r>
            <w:r w:rsidR="001171C7">
              <w:rPr>
                <w:webHidden/>
                <w:rtl/>
              </w:rPr>
              <w:instrText xml:space="preserve"> </w:instrText>
            </w:r>
            <w:r w:rsidR="001171C7">
              <w:rPr>
                <w:webHidden/>
                <w:rtl/>
              </w:rPr>
            </w:r>
            <w:r w:rsidR="001171C7">
              <w:rPr>
                <w:webHidden/>
                <w:rtl/>
              </w:rPr>
              <w:fldChar w:fldCharType="separate"/>
            </w:r>
            <w:r w:rsidR="006A6D13">
              <w:rPr>
                <w:webHidden/>
                <w:rtl/>
              </w:rPr>
              <w:t>101</w:t>
            </w:r>
            <w:r w:rsidR="001171C7">
              <w:rPr>
                <w:webHidden/>
                <w:rtl/>
              </w:rPr>
              <w:fldChar w:fldCharType="end"/>
            </w:r>
          </w:hyperlink>
        </w:p>
        <w:p w:rsidR="001171C7" w:rsidRPr="00DE79C4" w:rsidRDefault="001171C7" w:rsidP="001171C7">
          <w:pPr>
            <w:pStyle w:val="TOC1"/>
            <w:keepNext/>
            <w:spacing w:before="240"/>
            <w:rPr>
              <w:rStyle w:val="Hyperlink"/>
              <w:color w:val="auto"/>
              <w:sz w:val="28"/>
              <w:szCs w:val="28"/>
              <w:rtl/>
            </w:rPr>
          </w:pPr>
          <w:r>
            <w:rPr>
              <w:rStyle w:val="Hyperlink"/>
              <w:rFonts w:hint="cs"/>
              <w:color w:val="auto"/>
              <w:sz w:val="28"/>
              <w:szCs w:val="28"/>
              <w:rtl/>
            </w:rPr>
            <w:t>חולין דף צ"ו</w:t>
          </w:r>
        </w:p>
        <w:p w:rsidR="001171C7" w:rsidRDefault="007978F4">
          <w:pPr>
            <w:pStyle w:val="TOC1"/>
            <w:rPr>
              <w:rFonts w:eastAsiaTheme="minorEastAsia" w:cstheme="minorBidi"/>
              <w:b w:val="0"/>
              <w:bCs w:val="0"/>
              <w:rtl/>
            </w:rPr>
          </w:pPr>
          <w:hyperlink w:anchor="_Toc496175355" w:history="1">
            <w:r w:rsidR="001171C7" w:rsidRPr="00D35CC1">
              <w:rPr>
                <w:rStyle w:val="Hyperlink"/>
                <w:rFonts w:asciiTheme="majorHAnsi" w:eastAsiaTheme="majorEastAsia" w:hAnsiTheme="majorHAnsi" w:cs="Guttman Drogolin"/>
                <w:rtl/>
              </w:rPr>
              <w:t>בהא דמשערין גיד בירך כבשר בלפת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Toc496175355 \h</w:instrText>
            </w:r>
            <w:r w:rsidR="001171C7">
              <w:rPr>
                <w:webHidden/>
                <w:rtl/>
              </w:rPr>
              <w:instrText xml:space="preserve"> </w:instrText>
            </w:r>
            <w:r w:rsidR="001171C7">
              <w:rPr>
                <w:webHidden/>
                <w:rtl/>
              </w:rPr>
            </w:r>
            <w:r w:rsidR="001171C7">
              <w:rPr>
                <w:webHidden/>
                <w:rtl/>
              </w:rPr>
              <w:fldChar w:fldCharType="separate"/>
            </w:r>
            <w:r w:rsidR="006A6D13">
              <w:rPr>
                <w:webHidden/>
                <w:rtl/>
              </w:rPr>
              <w:t>101</w:t>
            </w:r>
            <w:r w:rsidR="001171C7">
              <w:rPr>
                <w:webHidden/>
                <w:rtl/>
              </w:rPr>
              <w:fldChar w:fldCharType="end"/>
            </w:r>
          </w:hyperlink>
        </w:p>
        <w:p w:rsidR="001171C7" w:rsidRDefault="007978F4">
          <w:pPr>
            <w:pStyle w:val="TOC1"/>
            <w:rPr>
              <w:rFonts w:eastAsiaTheme="minorEastAsia" w:cstheme="minorBidi"/>
              <w:b w:val="0"/>
              <w:bCs w:val="0"/>
              <w:rtl/>
            </w:rPr>
          </w:pPr>
          <w:hyperlink w:anchor="_Toc496175356" w:history="1">
            <w:r w:rsidR="001171C7" w:rsidRPr="00D35CC1">
              <w:rPr>
                <w:rStyle w:val="Hyperlink"/>
                <w:rFonts w:asciiTheme="majorHAnsi" w:eastAsiaTheme="majorEastAsia" w:hAnsiTheme="majorHAnsi" w:cs="Guttman Drogolin"/>
                <w:rtl/>
              </w:rPr>
              <w:t>אם משערים רק הגיד בששים או גם כדי קליפה מסביב לגיד</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Toc496175356 \h</w:instrText>
            </w:r>
            <w:r w:rsidR="001171C7">
              <w:rPr>
                <w:webHidden/>
                <w:rtl/>
              </w:rPr>
              <w:instrText xml:space="preserve"> </w:instrText>
            </w:r>
            <w:r w:rsidR="001171C7">
              <w:rPr>
                <w:webHidden/>
                <w:rtl/>
              </w:rPr>
            </w:r>
            <w:r w:rsidR="001171C7">
              <w:rPr>
                <w:webHidden/>
                <w:rtl/>
              </w:rPr>
              <w:fldChar w:fldCharType="separate"/>
            </w:r>
            <w:r w:rsidR="006A6D13">
              <w:rPr>
                <w:webHidden/>
                <w:rtl/>
              </w:rPr>
              <w:t>102</w:t>
            </w:r>
            <w:r w:rsidR="001171C7">
              <w:rPr>
                <w:webHidden/>
                <w:rtl/>
              </w:rPr>
              <w:fldChar w:fldCharType="end"/>
            </w:r>
          </w:hyperlink>
        </w:p>
        <w:p w:rsidR="001171C7" w:rsidRDefault="007978F4">
          <w:pPr>
            <w:pStyle w:val="TOC1"/>
            <w:rPr>
              <w:rFonts w:eastAsiaTheme="minorEastAsia" w:cstheme="minorBidi"/>
              <w:b w:val="0"/>
              <w:bCs w:val="0"/>
              <w:rtl/>
            </w:rPr>
          </w:pPr>
          <w:hyperlink w:anchor="_Toc496175357" w:history="1">
            <w:r w:rsidR="001171C7" w:rsidRPr="00D35CC1">
              <w:rPr>
                <w:rStyle w:val="Hyperlink"/>
                <w:rFonts w:asciiTheme="majorHAnsi" w:eastAsiaTheme="majorEastAsia" w:hAnsiTheme="majorHAnsi" w:cs="Guttman Drogolin"/>
                <w:rtl/>
              </w:rPr>
              <w:t>עוד במחלוקת רש"י ור"י בחתיכה מקצתה בתוך הרוטב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Toc496175357 \h</w:instrText>
            </w:r>
            <w:r w:rsidR="001171C7">
              <w:rPr>
                <w:webHidden/>
                <w:rtl/>
              </w:rPr>
              <w:instrText xml:space="preserve"> </w:instrText>
            </w:r>
            <w:r w:rsidR="001171C7">
              <w:rPr>
                <w:webHidden/>
                <w:rtl/>
              </w:rPr>
            </w:r>
            <w:r w:rsidR="001171C7">
              <w:rPr>
                <w:webHidden/>
                <w:rtl/>
              </w:rPr>
              <w:fldChar w:fldCharType="separate"/>
            </w:r>
            <w:r w:rsidR="006A6D13">
              <w:rPr>
                <w:webHidden/>
                <w:rtl/>
              </w:rPr>
              <w:t>102</w:t>
            </w:r>
            <w:r w:rsidR="001171C7">
              <w:rPr>
                <w:webHidden/>
                <w:rtl/>
              </w:rPr>
              <w:fldChar w:fldCharType="end"/>
            </w:r>
          </w:hyperlink>
        </w:p>
        <w:p w:rsidR="001171C7" w:rsidRDefault="007978F4">
          <w:pPr>
            <w:pStyle w:val="TOC1"/>
            <w:rPr>
              <w:rFonts w:eastAsiaTheme="minorEastAsia" w:cstheme="minorBidi"/>
              <w:b w:val="0"/>
              <w:bCs w:val="0"/>
              <w:rtl/>
            </w:rPr>
          </w:pPr>
          <w:hyperlink w:anchor="_Toc496175358" w:history="1">
            <w:r w:rsidR="001171C7" w:rsidRPr="00D35CC1">
              <w:rPr>
                <w:rStyle w:val="Hyperlink"/>
                <w:rFonts w:asciiTheme="majorHAnsi" w:eastAsiaTheme="majorEastAsia" w:hAnsiTheme="majorHAnsi" w:cs="Guttman Drogolin"/>
                <w:rtl/>
              </w:rPr>
              <w:t>איסור דבוק</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Toc496175358 \h</w:instrText>
            </w:r>
            <w:r w:rsidR="001171C7">
              <w:rPr>
                <w:webHidden/>
                <w:rtl/>
              </w:rPr>
              <w:instrText xml:space="preserve"> </w:instrText>
            </w:r>
            <w:r w:rsidR="001171C7">
              <w:rPr>
                <w:webHidden/>
                <w:rtl/>
              </w:rPr>
            </w:r>
            <w:r w:rsidR="001171C7">
              <w:rPr>
                <w:webHidden/>
                <w:rtl/>
              </w:rPr>
              <w:fldChar w:fldCharType="separate"/>
            </w:r>
            <w:r w:rsidR="006A6D13">
              <w:rPr>
                <w:webHidden/>
                <w:rtl/>
              </w:rPr>
              <w:t>103</w:t>
            </w:r>
            <w:r w:rsidR="001171C7">
              <w:rPr>
                <w:webHidden/>
                <w:rtl/>
              </w:rPr>
              <w:fldChar w:fldCharType="end"/>
            </w:r>
          </w:hyperlink>
        </w:p>
        <w:p w:rsidR="001171C7" w:rsidRDefault="007978F4">
          <w:pPr>
            <w:pStyle w:val="TOC1"/>
            <w:rPr>
              <w:rFonts w:eastAsiaTheme="minorEastAsia" w:cstheme="minorBidi"/>
              <w:b w:val="0"/>
              <w:bCs w:val="0"/>
              <w:rtl/>
            </w:rPr>
          </w:pPr>
          <w:hyperlink w:anchor="_Toc496175359" w:history="1">
            <w:r w:rsidR="001171C7" w:rsidRPr="00D35CC1">
              <w:rPr>
                <w:rStyle w:val="Hyperlink"/>
                <w:rFonts w:asciiTheme="majorHAnsi" w:eastAsiaTheme="majorEastAsia" w:hAnsiTheme="majorHAnsi" w:cs="Guttman Drogolin"/>
                <w:rtl/>
              </w:rPr>
              <w:t>שיעור האיסור של צלי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Toc496175359 \h</w:instrText>
            </w:r>
            <w:r w:rsidR="001171C7">
              <w:rPr>
                <w:webHidden/>
                <w:rtl/>
              </w:rPr>
              <w:instrText xml:space="preserve"> </w:instrText>
            </w:r>
            <w:r w:rsidR="001171C7">
              <w:rPr>
                <w:webHidden/>
                <w:rtl/>
              </w:rPr>
            </w:r>
            <w:r w:rsidR="001171C7">
              <w:rPr>
                <w:webHidden/>
                <w:rtl/>
              </w:rPr>
              <w:fldChar w:fldCharType="separate"/>
            </w:r>
            <w:r w:rsidR="006A6D13">
              <w:rPr>
                <w:webHidden/>
                <w:rtl/>
              </w:rPr>
              <w:t>103</w:t>
            </w:r>
            <w:r w:rsidR="001171C7">
              <w:rPr>
                <w:webHidden/>
                <w:rtl/>
              </w:rPr>
              <w:fldChar w:fldCharType="end"/>
            </w:r>
          </w:hyperlink>
        </w:p>
        <w:p w:rsidR="00E4340F" w:rsidRPr="00DE79C4" w:rsidRDefault="00E4340F" w:rsidP="00E4340F">
          <w:pPr>
            <w:pStyle w:val="TOC1"/>
            <w:spacing w:before="240"/>
            <w:rPr>
              <w:rStyle w:val="Hyperlink"/>
              <w:color w:val="auto"/>
              <w:sz w:val="28"/>
              <w:szCs w:val="28"/>
              <w:rtl/>
            </w:rPr>
          </w:pPr>
          <w:r>
            <w:rPr>
              <w:rStyle w:val="Hyperlink"/>
              <w:rFonts w:hint="cs"/>
              <w:color w:val="auto"/>
              <w:sz w:val="28"/>
              <w:szCs w:val="28"/>
              <w:rtl/>
            </w:rPr>
            <w:t>חולין דף צ"ז</w:t>
          </w:r>
        </w:p>
        <w:p w:rsidR="001171C7" w:rsidRDefault="007978F4">
          <w:pPr>
            <w:pStyle w:val="TOC1"/>
            <w:rPr>
              <w:rFonts w:eastAsiaTheme="minorEastAsia" w:cstheme="minorBidi"/>
              <w:b w:val="0"/>
              <w:bCs w:val="0"/>
              <w:rtl/>
            </w:rPr>
          </w:pPr>
          <w:hyperlink w:anchor="_Toc496175360" w:history="1">
            <w:r w:rsidR="001171C7" w:rsidRPr="00D35CC1">
              <w:rPr>
                <w:rStyle w:val="Hyperlink"/>
                <w:rFonts w:asciiTheme="majorHAnsi" w:eastAsiaTheme="majorEastAsia" w:hAnsiTheme="majorHAnsi" w:cs="Guttman Drogolin"/>
                <w:rtl/>
              </w:rPr>
              <w:t>סוגיית הגמ' דכילכית באילפס, וביאור הלשון דנותן טעם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Toc496175360 \h</w:instrText>
            </w:r>
            <w:r w:rsidR="001171C7">
              <w:rPr>
                <w:webHidden/>
                <w:rtl/>
              </w:rPr>
              <w:instrText xml:space="preserve"> </w:instrText>
            </w:r>
            <w:r w:rsidR="001171C7">
              <w:rPr>
                <w:webHidden/>
                <w:rtl/>
              </w:rPr>
            </w:r>
            <w:r w:rsidR="001171C7">
              <w:rPr>
                <w:webHidden/>
                <w:rtl/>
              </w:rPr>
              <w:fldChar w:fldCharType="separate"/>
            </w:r>
            <w:r w:rsidR="006A6D13">
              <w:rPr>
                <w:webHidden/>
                <w:rtl/>
              </w:rPr>
              <w:t>105</w:t>
            </w:r>
            <w:r w:rsidR="001171C7">
              <w:rPr>
                <w:webHidden/>
                <w:rtl/>
              </w:rPr>
              <w:fldChar w:fldCharType="end"/>
            </w:r>
          </w:hyperlink>
        </w:p>
        <w:p w:rsidR="001171C7" w:rsidRDefault="007978F4">
          <w:pPr>
            <w:pStyle w:val="TOC1"/>
            <w:rPr>
              <w:rFonts w:eastAsiaTheme="minorEastAsia" w:cstheme="minorBidi"/>
              <w:b w:val="0"/>
              <w:bCs w:val="0"/>
              <w:rtl/>
            </w:rPr>
          </w:pPr>
          <w:hyperlink w:anchor="_Toc496175361" w:history="1">
            <w:r w:rsidR="001171C7" w:rsidRPr="00D35CC1">
              <w:rPr>
                <w:rStyle w:val="Hyperlink"/>
                <w:rFonts w:asciiTheme="majorHAnsi" w:eastAsiaTheme="majorEastAsia" w:hAnsiTheme="majorHAnsi" w:cs="Guttman Drogolin"/>
                <w:rtl/>
              </w:rPr>
              <w:t>רוטב נבלה בבלוע בכלי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Toc496175361 \h</w:instrText>
            </w:r>
            <w:r w:rsidR="001171C7">
              <w:rPr>
                <w:webHidden/>
                <w:rtl/>
              </w:rPr>
              <w:instrText xml:space="preserve"> </w:instrText>
            </w:r>
            <w:r w:rsidR="001171C7">
              <w:rPr>
                <w:webHidden/>
                <w:rtl/>
              </w:rPr>
            </w:r>
            <w:r w:rsidR="001171C7">
              <w:rPr>
                <w:webHidden/>
                <w:rtl/>
              </w:rPr>
              <w:fldChar w:fldCharType="separate"/>
            </w:r>
            <w:r w:rsidR="006A6D13">
              <w:rPr>
                <w:webHidden/>
                <w:rtl/>
              </w:rPr>
              <w:t>105</w:t>
            </w:r>
            <w:r w:rsidR="001171C7">
              <w:rPr>
                <w:webHidden/>
                <w:rtl/>
              </w:rPr>
              <w:fldChar w:fldCharType="end"/>
            </w:r>
          </w:hyperlink>
        </w:p>
        <w:p w:rsidR="001171C7" w:rsidRDefault="007978F4">
          <w:pPr>
            <w:pStyle w:val="TOC1"/>
            <w:rPr>
              <w:rFonts w:eastAsiaTheme="minorEastAsia" w:cstheme="minorBidi"/>
              <w:b w:val="0"/>
              <w:bCs w:val="0"/>
              <w:rtl/>
            </w:rPr>
          </w:pPr>
          <w:hyperlink w:anchor="_Toc496175362" w:history="1">
            <w:r w:rsidR="001171C7" w:rsidRPr="00D35CC1">
              <w:rPr>
                <w:rStyle w:val="Hyperlink"/>
                <w:rFonts w:asciiTheme="majorHAnsi" w:eastAsiaTheme="majorEastAsia" w:hAnsiTheme="majorHAnsi" w:cs="Guttman Drogolin"/>
                <w:rtl/>
              </w:rPr>
              <w:t>באיסורא דלא יבשל בה חלב וחולין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Toc496175362 \h</w:instrText>
            </w:r>
            <w:r w:rsidR="001171C7">
              <w:rPr>
                <w:webHidden/>
                <w:rtl/>
              </w:rPr>
              <w:instrText xml:space="preserve"> </w:instrText>
            </w:r>
            <w:r w:rsidR="001171C7">
              <w:rPr>
                <w:webHidden/>
                <w:rtl/>
              </w:rPr>
            </w:r>
            <w:r w:rsidR="001171C7">
              <w:rPr>
                <w:webHidden/>
                <w:rtl/>
              </w:rPr>
              <w:fldChar w:fldCharType="separate"/>
            </w:r>
            <w:r w:rsidR="006A6D13">
              <w:rPr>
                <w:webHidden/>
                <w:rtl/>
              </w:rPr>
              <w:t>106</w:t>
            </w:r>
            <w:r w:rsidR="001171C7">
              <w:rPr>
                <w:webHidden/>
                <w:rtl/>
              </w:rPr>
              <w:fldChar w:fldCharType="end"/>
            </w:r>
          </w:hyperlink>
        </w:p>
        <w:p w:rsidR="001171C7" w:rsidRDefault="007978F4">
          <w:pPr>
            <w:pStyle w:val="TOC1"/>
            <w:rPr>
              <w:rFonts w:eastAsiaTheme="minorEastAsia" w:cstheme="minorBidi"/>
              <w:b w:val="0"/>
              <w:bCs w:val="0"/>
              <w:rtl/>
            </w:rPr>
          </w:pPr>
          <w:hyperlink w:anchor="_Toc496175363" w:history="1">
            <w:r w:rsidR="001171C7" w:rsidRPr="00D35CC1">
              <w:rPr>
                <w:rStyle w:val="Hyperlink"/>
                <w:rFonts w:asciiTheme="majorHAnsi" w:eastAsiaTheme="majorEastAsia" w:hAnsiTheme="majorHAnsi" w:cs="Guttman Drogolin"/>
                <w:rtl/>
              </w:rPr>
              <w:t>בדין טעימת קפילא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Toc496175363 \h</w:instrText>
            </w:r>
            <w:r w:rsidR="001171C7">
              <w:rPr>
                <w:webHidden/>
                <w:rtl/>
              </w:rPr>
              <w:instrText xml:space="preserve"> </w:instrText>
            </w:r>
            <w:r w:rsidR="001171C7">
              <w:rPr>
                <w:webHidden/>
                <w:rtl/>
              </w:rPr>
            </w:r>
            <w:r w:rsidR="001171C7">
              <w:rPr>
                <w:webHidden/>
                <w:rtl/>
              </w:rPr>
              <w:fldChar w:fldCharType="separate"/>
            </w:r>
            <w:r w:rsidR="006A6D13">
              <w:rPr>
                <w:webHidden/>
                <w:rtl/>
              </w:rPr>
              <w:t>106</w:t>
            </w:r>
            <w:r w:rsidR="001171C7">
              <w:rPr>
                <w:webHidden/>
                <w:rtl/>
              </w:rPr>
              <w:fldChar w:fldCharType="end"/>
            </w:r>
          </w:hyperlink>
        </w:p>
        <w:p w:rsidR="001171C7" w:rsidRDefault="007978F4">
          <w:pPr>
            <w:pStyle w:val="TOC1"/>
            <w:rPr>
              <w:rFonts w:eastAsiaTheme="minorEastAsia" w:cstheme="minorBidi"/>
              <w:b w:val="0"/>
              <w:bCs w:val="0"/>
              <w:rtl/>
            </w:rPr>
          </w:pPr>
          <w:hyperlink w:anchor="_Toc496175364" w:history="1">
            <w:r w:rsidR="001171C7" w:rsidRPr="00D35CC1">
              <w:rPr>
                <w:rStyle w:val="Hyperlink"/>
                <w:rFonts w:asciiTheme="majorHAnsi" w:eastAsiaTheme="majorEastAsia" w:hAnsiTheme="majorHAnsi" w:cs="Guttman Drogolin"/>
                <w:rtl/>
              </w:rPr>
              <w:t>מתי סמכינן אקפילא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Toc496175364 \h</w:instrText>
            </w:r>
            <w:r w:rsidR="001171C7">
              <w:rPr>
                <w:webHidden/>
                <w:rtl/>
              </w:rPr>
              <w:instrText xml:space="preserve"> </w:instrText>
            </w:r>
            <w:r w:rsidR="001171C7">
              <w:rPr>
                <w:webHidden/>
                <w:rtl/>
              </w:rPr>
            </w:r>
            <w:r w:rsidR="001171C7">
              <w:rPr>
                <w:webHidden/>
                <w:rtl/>
              </w:rPr>
              <w:fldChar w:fldCharType="separate"/>
            </w:r>
            <w:r w:rsidR="006A6D13">
              <w:rPr>
                <w:webHidden/>
                <w:rtl/>
              </w:rPr>
              <w:t>107</w:t>
            </w:r>
            <w:r w:rsidR="001171C7">
              <w:rPr>
                <w:webHidden/>
                <w:rtl/>
              </w:rPr>
              <w:fldChar w:fldCharType="end"/>
            </w:r>
          </w:hyperlink>
        </w:p>
        <w:p w:rsidR="001171C7" w:rsidRDefault="007978F4">
          <w:pPr>
            <w:pStyle w:val="TOC1"/>
            <w:rPr>
              <w:rFonts w:eastAsiaTheme="minorEastAsia" w:cstheme="minorBidi"/>
              <w:b w:val="0"/>
              <w:bCs w:val="0"/>
              <w:rtl/>
            </w:rPr>
          </w:pPr>
          <w:hyperlink w:anchor="_Toc496175365" w:history="1">
            <w:r w:rsidR="001171C7" w:rsidRPr="00D35CC1">
              <w:rPr>
                <w:rStyle w:val="Hyperlink"/>
                <w:rFonts w:asciiTheme="majorHAnsi" w:eastAsiaTheme="majorEastAsia" w:hAnsiTheme="majorHAnsi" w:cs="Guttman Drogolin"/>
                <w:rtl/>
              </w:rPr>
              <w:t>הערה בדברי התוס' ד"ה אמר רבא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Toc496175365 \h</w:instrText>
            </w:r>
            <w:r w:rsidR="001171C7">
              <w:rPr>
                <w:webHidden/>
                <w:rtl/>
              </w:rPr>
              <w:instrText xml:space="preserve"> </w:instrText>
            </w:r>
            <w:r w:rsidR="001171C7">
              <w:rPr>
                <w:webHidden/>
                <w:rtl/>
              </w:rPr>
            </w:r>
            <w:r w:rsidR="001171C7">
              <w:rPr>
                <w:webHidden/>
                <w:rtl/>
              </w:rPr>
              <w:fldChar w:fldCharType="separate"/>
            </w:r>
            <w:r w:rsidR="006A6D13">
              <w:rPr>
                <w:webHidden/>
                <w:rtl/>
              </w:rPr>
              <w:t>108</w:t>
            </w:r>
            <w:r w:rsidR="001171C7">
              <w:rPr>
                <w:webHidden/>
                <w:rtl/>
              </w:rPr>
              <w:fldChar w:fldCharType="end"/>
            </w:r>
          </w:hyperlink>
        </w:p>
        <w:p w:rsidR="001171C7" w:rsidRDefault="007978F4">
          <w:pPr>
            <w:pStyle w:val="TOC1"/>
            <w:rPr>
              <w:rFonts w:eastAsiaTheme="minorEastAsia" w:cstheme="minorBidi"/>
              <w:b w:val="0"/>
              <w:bCs w:val="0"/>
              <w:rtl/>
            </w:rPr>
          </w:pPr>
          <w:hyperlink w:anchor="_Toc496175366" w:history="1">
            <w:r w:rsidR="001171C7" w:rsidRPr="00D35CC1">
              <w:rPr>
                <w:rStyle w:val="Hyperlink"/>
                <w:rFonts w:asciiTheme="majorHAnsi" w:eastAsiaTheme="majorEastAsia" w:hAnsiTheme="majorHAnsi" w:cs="Guttman Drogolin"/>
                <w:rtl/>
              </w:rPr>
              <w:t>מליח כרותח וכבוש כמבושל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Toc496175366 \h</w:instrText>
            </w:r>
            <w:r w:rsidR="001171C7">
              <w:rPr>
                <w:webHidden/>
                <w:rtl/>
              </w:rPr>
              <w:instrText xml:space="preserve"> </w:instrText>
            </w:r>
            <w:r w:rsidR="001171C7">
              <w:rPr>
                <w:webHidden/>
                <w:rtl/>
              </w:rPr>
            </w:r>
            <w:r w:rsidR="001171C7">
              <w:rPr>
                <w:webHidden/>
                <w:rtl/>
              </w:rPr>
              <w:fldChar w:fldCharType="separate"/>
            </w:r>
            <w:r w:rsidR="006A6D13">
              <w:rPr>
                <w:webHidden/>
                <w:rtl/>
              </w:rPr>
              <w:t>109</w:t>
            </w:r>
            <w:r w:rsidR="001171C7">
              <w:rPr>
                <w:webHidden/>
                <w:rtl/>
              </w:rPr>
              <w:fldChar w:fldCharType="end"/>
            </w:r>
          </w:hyperlink>
        </w:p>
        <w:p w:rsidR="001171C7" w:rsidRDefault="007978F4">
          <w:pPr>
            <w:pStyle w:val="TOC1"/>
            <w:rPr>
              <w:rFonts w:eastAsiaTheme="minorEastAsia" w:cstheme="minorBidi"/>
              <w:b w:val="0"/>
              <w:bCs w:val="0"/>
              <w:rtl/>
            </w:rPr>
          </w:pPr>
          <w:hyperlink w:anchor="_Toc496175367" w:history="1">
            <w:r w:rsidR="001171C7" w:rsidRPr="00D35CC1">
              <w:rPr>
                <w:rStyle w:val="Hyperlink"/>
                <w:rFonts w:asciiTheme="majorHAnsi" w:eastAsiaTheme="majorEastAsia" w:hAnsiTheme="majorHAnsi" w:cs="Guttman Drogolin"/>
                <w:rtl/>
              </w:rPr>
              <w:t>בהא דמשערין בקדרה או במה שבלע הקדרה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Toc496175367 \h</w:instrText>
            </w:r>
            <w:r w:rsidR="001171C7">
              <w:rPr>
                <w:webHidden/>
                <w:rtl/>
              </w:rPr>
              <w:instrText xml:space="preserve"> </w:instrText>
            </w:r>
            <w:r w:rsidR="001171C7">
              <w:rPr>
                <w:webHidden/>
                <w:rtl/>
              </w:rPr>
            </w:r>
            <w:r w:rsidR="001171C7">
              <w:rPr>
                <w:webHidden/>
                <w:rtl/>
              </w:rPr>
              <w:fldChar w:fldCharType="separate"/>
            </w:r>
            <w:r w:rsidR="006A6D13">
              <w:rPr>
                <w:webHidden/>
                <w:rtl/>
              </w:rPr>
              <w:t>110</w:t>
            </w:r>
            <w:r w:rsidR="001171C7">
              <w:rPr>
                <w:webHidden/>
                <w:rtl/>
              </w:rPr>
              <w:fldChar w:fldCharType="end"/>
            </w:r>
          </w:hyperlink>
        </w:p>
        <w:p w:rsidR="001171C7" w:rsidRDefault="007978F4">
          <w:pPr>
            <w:pStyle w:val="TOC1"/>
            <w:rPr>
              <w:rFonts w:eastAsiaTheme="minorEastAsia" w:cstheme="minorBidi"/>
              <w:b w:val="0"/>
              <w:bCs w:val="0"/>
              <w:rtl/>
            </w:rPr>
          </w:pPr>
          <w:hyperlink w:anchor="_Toc496175368" w:history="1">
            <w:r w:rsidR="001171C7" w:rsidRPr="00D35CC1">
              <w:rPr>
                <w:rStyle w:val="Hyperlink"/>
                <w:rFonts w:asciiTheme="majorHAnsi" w:eastAsiaTheme="majorEastAsia" w:hAnsiTheme="majorHAnsi" w:cs="Guttman Drogolin"/>
                <w:rtl/>
              </w:rPr>
              <w:t>בדין משערין בעצמות – המשך בדין משערין בקדירה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Toc496175368 \h</w:instrText>
            </w:r>
            <w:r w:rsidR="001171C7">
              <w:rPr>
                <w:webHidden/>
                <w:rtl/>
              </w:rPr>
              <w:instrText xml:space="preserve"> </w:instrText>
            </w:r>
            <w:r w:rsidR="001171C7">
              <w:rPr>
                <w:webHidden/>
                <w:rtl/>
              </w:rPr>
            </w:r>
            <w:r w:rsidR="001171C7">
              <w:rPr>
                <w:webHidden/>
                <w:rtl/>
              </w:rPr>
              <w:fldChar w:fldCharType="separate"/>
            </w:r>
            <w:r w:rsidR="006A6D13">
              <w:rPr>
                <w:webHidden/>
                <w:rtl/>
              </w:rPr>
              <w:t>112</w:t>
            </w:r>
            <w:r w:rsidR="001171C7">
              <w:rPr>
                <w:webHidden/>
                <w:rtl/>
              </w:rPr>
              <w:fldChar w:fldCharType="end"/>
            </w:r>
          </w:hyperlink>
        </w:p>
        <w:p w:rsidR="001171C7" w:rsidRDefault="007978F4">
          <w:pPr>
            <w:pStyle w:val="TOC1"/>
            <w:rPr>
              <w:rFonts w:eastAsiaTheme="minorEastAsia" w:cstheme="minorBidi"/>
              <w:b w:val="0"/>
              <w:bCs w:val="0"/>
              <w:rtl/>
            </w:rPr>
          </w:pPr>
          <w:hyperlink w:anchor="_Toc496175369" w:history="1">
            <w:r w:rsidR="001171C7" w:rsidRPr="00D35CC1">
              <w:rPr>
                <w:rStyle w:val="Hyperlink"/>
                <w:rFonts w:asciiTheme="majorHAnsi" w:eastAsiaTheme="majorEastAsia" w:hAnsiTheme="majorHAnsi" w:cs="Guttman Drogolin"/>
                <w:rtl/>
              </w:rPr>
              <w:t>בדין צירוף הכחל לשיעור ששים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Toc496175369 \h</w:instrText>
            </w:r>
            <w:r w:rsidR="001171C7">
              <w:rPr>
                <w:webHidden/>
                <w:rtl/>
              </w:rPr>
              <w:instrText xml:space="preserve"> </w:instrText>
            </w:r>
            <w:r w:rsidR="001171C7">
              <w:rPr>
                <w:webHidden/>
                <w:rtl/>
              </w:rPr>
            </w:r>
            <w:r w:rsidR="001171C7">
              <w:rPr>
                <w:webHidden/>
                <w:rtl/>
              </w:rPr>
              <w:fldChar w:fldCharType="separate"/>
            </w:r>
            <w:r w:rsidR="006A6D13">
              <w:rPr>
                <w:webHidden/>
                <w:rtl/>
              </w:rPr>
              <w:t>113</w:t>
            </w:r>
            <w:r w:rsidR="001171C7">
              <w:rPr>
                <w:webHidden/>
                <w:rtl/>
              </w:rPr>
              <w:fldChar w:fldCharType="end"/>
            </w:r>
          </w:hyperlink>
        </w:p>
        <w:p w:rsidR="001171C7" w:rsidRDefault="007978F4">
          <w:pPr>
            <w:pStyle w:val="TOC1"/>
            <w:rPr>
              <w:rFonts w:eastAsiaTheme="minorEastAsia" w:cstheme="minorBidi"/>
              <w:b w:val="0"/>
              <w:bCs w:val="0"/>
              <w:rtl/>
            </w:rPr>
          </w:pPr>
          <w:hyperlink w:anchor="_Toc496175370" w:history="1">
            <w:r w:rsidR="001171C7" w:rsidRPr="00D35CC1">
              <w:rPr>
                <w:rStyle w:val="Hyperlink"/>
                <w:rFonts w:asciiTheme="majorHAnsi" w:eastAsiaTheme="majorEastAsia" w:hAnsiTheme="majorHAnsi" w:cs="Guttman Drogolin"/>
                <w:rtl/>
              </w:rPr>
              <w:t>בדין לשער במאי דנפיק מיני'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Toc496175370 \h</w:instrText>
            </w:r>
            <w:r w:rsidR="001171C7">
              <w:rPr>
                <w:webHidden/>
                <w:rtl/>
              </w:rPr>
              <w:instrText xml:space="preserve"> </w:instrText>
            </w:r>
            <w:r w:rsidR="001171C7">
              <w:rPr>
                <w:webHidden/>
                <w:rtl/>
              </w:rPr>
            </w:r>
            <w:r w:rsidR="001171C7">
              <w:rPr>
                <w:webHidden/>
                <w:rtl/>
              </w:rPr>
              <w:fldChar w:fldCharType="separate"/>
            </w:r>
            <w:r w:rsidR="006A6D13">
              <w:rPr>
                <w:webHidden/>
                <w:rtl/>
              </w:rPr>
              <w:t>113</w:t>
            </w:r>
            <w:r w:rsidR="001171C7">
              <w:rPr>
                <w:webHidden/>
                <w:rtl/>
              </w:rPr>
              <w:fldChar w:fldCharType="end"/>
            </w:r>
          </w:hyperlink>
        </w:p>
        <w:p w:rsidR="00E4340F" w:rsidRPr="00DE79C4" w:rsidRDefault="00E4340F" w:rsidP="00E4340F">
          <w:pPr>
            <w:pStyle w:val="TOC1"/>
            <w:spacing w:before="240"/>
            <w:rPr>
              <w:rStyle w:val="Hyperlink"/>
              <w:color w:val="auto"/>
              <w:sz w:val="28"/>
              <w:szCs w:val="28"/>
              <w:rtl/>
            </w:rPr>
          </w:pPr>
          <w:r>
            <w:rPr>
              <w:rStyle w:val="Hyperlink"/>
              <w:rFonts w:hint="cs"/>
              <w:color w:val="auto"/>
              <w:sz w:val="28"/>
              <w:szCs w:val="28"/>
              <w:rtl/>
            </w:rPr>
            <w:t>עבודה זרה דף ס"ה</w:t>
          </w:r>
        </w:p>
        <w:p w:rsidR="001171C7" w:rsidRDefault="007978F4">
          <w:pPr>
            <w:pStyle w:val="TOC1"/>
            <w:rPr>
              <w:rFonts w:eastAsiaTheme="minorEastAsia" w:cstheme="minorBidi"/>
              <w:b w:val="0"/>
              <w:bCs w:val="0"/>
              <w:rtl/>
            </w:rPr>
          </w:pPr>
          <w:hyperlink w:anchor="_Toc496175371" w:history="1">
            <w:r w:rsidR="001171C7" w:rsidRPr="00D35CC1">
              <w:rPr>
                <w:rStyle w:val="Hyperlink"/>
                <w:rFonts w:asciiTheme="majorHAnsi" w:eastAsiaTheme="majorEastAsia" w:hAnsiTheme="majorHAnsi" w:cs="Guttman Drogolin"/>
                <w:rtl/>
              </w:rPr>
              <w:t>בדין טכ"ע באיסורי הנאה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Toc496175371 \h</w:instrText>
            </w:r>
            <w:r w:rsidR="001171C7">
              <w:rPr>
                <w:webHidden/>
                <w:rtl/>
              </w:rPr>
              <w:instrText xml:space="preserve"> </w:instrText>
            </w:r>
            <w:r w:rsidR="001171C7">
              <w:rPr>
                <w:webHidden/>
                <w:rtl/>
              </w:rPr>
            </w:r>
            <w:r w:rsidR="001171C7">
              <w:rPr>
                <w:webHidden/>
                <w:rtl/>
              </w:rPr>
              <w:fldChar w:fldCharType="separate"/>
            </w:r>
            <w:r w:rsidR="006A6D13">
              <w:rPr>
                <w:webHidden/>
                <w:rtl/>
              </w:rPr>
              <w:t>115</w:t>
            </w:r>
            <w:r w:rsidR="001171C7">
              <w:rPr>
                <w:webHidden/>
                <w:rtl/>
              </w:rPr>
              <w:fldChar w:fldCharType="end"/>
            </w:r>
          </w:hyperlink>
        </w:p>
        <w:p w:rsidR="001171C7" w:rsidRDefault="007978F4">
          <w:pPr>
            <w:pStyle w:val="TOC1"/>
            <w:rPr>
              <w:rFonts w:eastAsiaTheme="minorEastAsia" w:cstheme="minorBidi"/>
              <w:b w:val="0"/>
              <w:bCs w:val="0"/>
              <w:rtl/>
            </w:rPr>
          </w:pPr>
          <w:hyperlink w:anchor="_Toc496175372" w:history="1">
            <w:r w:rsidR="001171C7" w:rsidRPr="00D35CC1">
              <w:rPr>
                <w:rStyle w:val="Hyperlink"/>
                <w:rFonts w:asciiTheme="majorHAnsi" w:eastAsiaTheme="majorEastAsia" w:hAnsiTheme="majorHAnsi" w:cs="Guttman Drogolin"/>
                <w:rtl/>
              </w:rPr>
              <w:t>בדיני ביטול בשעטנז ובב"ח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Toc496175372 \h</w:instrText>
            </w:r>
            <w:r w:rsidR="001171C7">
              <w:rPr>
                <w:webHidden/>
                <w:rtl/>
              </w:rPr>
              <w:instrText xml:space="preserve"> </w:instrText>
            </w:r>
            <w:r w:rsidR="001171C7">
              <w:rPr>
                <w:webHidden/>
                <w:rtl/>
              </w:rPr>
            </w:r>
            <w:r w:rsidR="001171C7">
              <w:rPr>
                <w:webHidden/>
                <w:rtl/>
              </w:rPr>
              <w:fldChar w:fldCharType="separate"/>
            </w:r>
            <w:r w:rsidR="006A6D13">
              <w:rPr>
                <w:webHidden/>
                <w:rtl/>
              </w:rPr>
              <w:t>115</w:t>
            </w:r>
            <w:r w:rsidR="001171C7">
              <w:rPr>
                <w:webHidden/>
                <w:rtl/>
              </w:rPr>
              <w:fldChar w:fldCharType="end"/>
            </w:r>
          </w:hyperlink>
        </w:p>
        <w:p w:rsidR="00E4340F" w:rsidRPr="00DE79C4" w:rsidRDefault="00E4340F" w:rsidP="00E4340F">
          <w:pPr>
            <w:pStyle w:val="TOC1"/>
            <w:spacing w:before="240"/>
            <w:rPr>
              <w:rStyle w:val="Hyperlink"/>
              <w:color w:val="auto"/>
              <w:sz w:val="28"/>
              <w:szCs w:val="28"/>
              <w:rtl/>
            </w:rPr>
          </w:pPr>
          <w:r>
            <w:rPr>
              <w:rStyle w:val="Hyperlink"/>
              <w:rFonts w:hint="cs"/>
              <w:color w:val="auto"/>
              <w:sz w:val="28"/>
              <w:szCs w:val="28"/>
              <w:rtl/>
            </w:rPr>
            <w:t>עבודה זרה דף ס"ו</w:t>
          </w:r>
        </w:p>
        <w:p w:rsidR="001171C7" w:rsidRDefault="007978F4">
          <w:pPr>
            <w:pStyle w:val="TOC1"/>
            <w:rPr>
              <w:rFonts w:eastAsiaTheme="minorEastAsia" w:cstheme="minorBidi"/>
              <w:b w:val="0"/>
              <w:bCs w:val="0"/>
              <w:rtl/>
            </w:rPr>
          </w:pPr>
          <w:hyperlink w:anchor="_Toc496175373" w:history="1">
            <w:r w:rsidR="001171C7" w:rsidRPr="00D35CC1">
              <w:rPr>
                <w:rStyle w:val="Hyperlink"/>
                <w:rFonts w:asciiTheme="majorHAnsi" w:eastAsiaTheme="majorEastAsia" w:hAnsiTheme="majorHAnsi" w:cs="Guttman Drogolin"/>
                <w:rtl/>
              </w:rPr>
              <w:t>נטל"פ באיסור משהו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Toc496175373 \h</w:instrText>
            </w:r>
            <w:r w:rsidR="001171C7">
              <w:rPr>
                <w:webHidden/>
                <w:rtl/>
              </w:rPr>
              <w:instrText xml:space="preserve"> </w:instrText>
            </w:r>
            <w:r w:rsidR="001171C7">
              <w:rPr>
                <w:webHidden/>
                <w:rtl/>
              </w:rPr>
            </w:r>
            <w:r w:rsidR="001171C7">
              <w:rPr>
                <w:webHidden/>
                <w:rtl/>
              </w:rPr>
              <w:fldChar w:fldCharType="separate"/>
            </w:r>
            <w:r w:rsidR="006A6D13">
              <w:rPr>
                <w:webHidden/>
                <w:rtl/>
              </w:rPr>
              <w:t>118</w:t>
            </w:r>
            <w:r w:rsidR="001171C7">
              <w:rPr>
                <w:webHidden/>
                <w:rtl/>
              </w:rPr>
              <w:fldChar w:fldCharType="end"/>
            </w:r>
          </w:hyperlink>
        </w:p>
        <w:p w:rsidR="001171C7" w:rsidRDefault="007978F4">
          <w:pPr>
            <w:pStyle w:val="TOC1"/>
            <w:rPr>
              <w:rFonts w:eastAsiaTheme="minorEastAsia" w:cstheme="minorBidi"/>
              <w:b w:val="0"/>
              <w:bCs w:val="0"/>
              <w:rtl/>
            </w:rPr>
          </w:pPr>
          <w:hyperlink w:anchor="_Toc496175374" w:history="1">
            <w:r w:rsidR="001171C7" w:rsidRPr="00D35CC1">
              <w:rPr>
                <w:rStyle w:val="Hyperlink"/>
                <w:rFonts w:asciiTheme="majorHAnsi" w:eastAsiaTheme="majorEastAsia" w:hAnsiTheme="majorHAnsi" w:cs="Guttman Drogolin"/>
                <w:rtl/>
              </w:rPr>
              <w:t>צירוף טעמים לאיסור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Toc496175374 \h</w:instrText>
            </w:r>
            <w:r w:rsidR="001171C7">
              <w:rPr>
                <w:webHidden/>
                <w:rtl/>
              </w:rPr>
              <w:instrText xml:space="preserve"> </w:instrText>
            </w:r>
            <w:r w:rsidR="001171C7">
              <w:rPr>
                <w:webHidden/>
                <w:rtl/>
              </w:rPr>
            </w:r>
            <w:r w:rsidR="001171C7">
              <w:rPr>
                <w:webHidden/>
                <w:rtl/>
              </w:rPr>
              <w:fldChar w:fldCharType="separate"/>
            </w:r>
            <w:r w:rsidR="006A6D13">
              <w:rPr>
                <w:webHidden/>
                <w:rtl/>
              </w:rPr>
              <w:t>120</w:t>
            </w:r>
            <w:r w:rsidR="001171C7">
              <w:rPr>
                <w:webHidden/>
                <w:rtl/>
              </w:rPr>
              <w:fldChar w:fldCharType="end"/>
            </w:r>
          </w:hyperlink>
        </w:p>
        <w:p w:rsidR="001171C7" w:rsidRDefault="007978F4">
          <w:pPr>
            <w:pStyle w:val="TOC1"/>
            <w:rPr>
              <w:rFonts w:eastAsiaTheme="minorEastAsia" w:cstheme="minorBidi"/>
              <w:b w:val="0"/>
              <w:bCs w:val="0"/>
              <w:rtl/>
            </w:rPr>
          </w:pPr>
          <w:hyperlink w:anchor="_Toc496175375" w:history="1">
            <w:r w:rsidR="001171C7" w:rsidRPr="00D35CC1">
              <w:rPr>
                <w:rStyle w:val="Hyperlink"/>
                <w:rFonts w:asciiTheme="majorHAnsi" w:eastAsiaTheme="majorEastAsia" w:hAnsiTheme="majorHAnsi" w:cs="Guttman Drogolin"/>
                <w:rtl/>
              </w:rPr>
              <w:t>טעמי' חמרא וריחי' חלא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Toc496175375 \h</w:instrText>
            </w:r>
            <w:r w:rsidR="001171C7">
              <w:rPr>
                <w:webHidden/>
                <w:rtl/>
              </w:rPr>
              <w:instrText xml:space="preserve"> </w:instrText>
            </w:r>
            <w:r w:rsidR="001171C7">
              <w:rPr>
                <w:webHidden/>
                <w:rtl/>
              </w:rPr>
            </w:r>
            <w:r w:rsidR="001171C7">
              <w:rPr>
                <w:webHidden/>
                <w:rtl/>
              </w:rPr>
              <w:fldChar w:fldCharType="separate"/>
            </w:r>
            <w:r w:rsidR="006A6D13">
              <w:rPr>
                <w:webHidden/>
                <w:rtl/>
              </w:rPr>
              <w:t>121</w:t>
            </w:r>
            <w:r w:rsidR="001171C7">
              <w:rPr>
                <w:webHidden/>
                <w:rtl/>
              </w:rPr>
              <w:fldChar w:fldCharType="end"/>
            </w:r>
          </w:hyperlink>
        </w:p>
        <w:p w:rsidR="001171C7" w:rsidRDefault="007978F4">
          <w:pPr>
            <w:pStyle w:val="TOC1"/>
            <w:rPr>
              <w:rFonts w:eastAsiaTheme="minorEastAsia" w:cstheme="minorBidi"/>
              <w:b w:val="0"/>
              <w:bCs w:val="0"/>
              <w:rtl/>
            </w:rPr>
          </w:pPr>
          <w:hyperlink w:anchor="_Toc496175376" w:history="1">
            <w:r w:rsidR="001171C7" w:rsidRPr="00D35CC1">
              <w:rPr>
                <w:rStyle w:val="Hyperlink"/>
                <w:rFonts w:asciiTheme="majorHAnsi" w:eastAsiaTheme="majorEastAsia" w:hAnsiTheme="majorHAnsi" w:cs="Guttman Drogolin"/>
                <w:rtl/>
              </w:rPr>
              <w:t>ריחא מילתא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Toc496175376 \h</w:instrText>
            </w:r>
            <w:r w:rsidR="001171C7">
              <w:rPr>
                <w:webHidden/>
                <w:rtl/>
              </w:rPr>
              <w:instrText xml:space="preserve"> </w:instrText>
            </w:r>
            <w:r w:rsidR="001171C7">
              <w:rPr>
                <w:webHidden/>
                <w:rtl/>
              </w:rPr>
            </w:r>
            <w:r w:rsidR="001171C7">
              <w:rPr>
                <w:webHidden/>
                <w:rtl/>
              </w:rPr>
              <w:fldChar w:fldCharType="separate"/>
            </w:r>
            <w:r w:rsidR="006A6D13">
              <w:rPr>
                <w:webHidden/>
                <w:rtl/>
              </w:rPr>
              <w:t>121</w:t>
            </w:r>
            <w:r w:rsidR="001171C7">
              <w:rPr>
                <w:webHidden/>
                <w:rtl/>
              </w:rPr>
              <w:fldChar w:fldCharType="end"/>
            </w:r>
          </w:hyperlink>
        </w:p>
        <w:p w:rsidR="001171C7" w:rsidRDefault="007978F4">
          <w:pPr>
            <w:pStyle w:val="TOC1"/>
            <w:rPr>
              <w:rFonts w:eastAsiaTheme="minorEastAsia" w:cstheme="minorBidi"/>
              <w:b w:val="0"/>
              <w:bCs w:val="0"/>
              <w:rtl/>
            </w:rPr>
          </w:pPr>
          <w:hyperlink w:anchor="_Toc496175377" w:history="1">
            <w:r w:rsidR="001171C7" w:rsidRPr="00D35CC1">
              <w:rPr>
                <w:rStyle w:val="Hyperlink"/>
                <w:rFonts w:asciiTheme="majorHAnsi" w:eastAsiaTheme="majorEastAsia" w:hAnsiTheme="majorHAnsi" w:cs="Guttman Drogolin"/>
                <w:rtl/>
              </w:rPr>
              <w:t>למה אין בבת תיהא משום איסור הנאה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Toc496175377 \h</w:instrText>
            </w:r>
            <w:r w:rsidR="001171C7">
              <w:rPr>
                <w:webHidden/>
                <w:rtl/>
              </w:rPr>
              <w:instrText xml:space="preserve"> </w:instrText>
            </w:r>
            <w:r w:rsidR="001171C7">
              <w:rPr>
                <w:webHidden/>
                <w:rtl/>
              </w:rPr>
            </w:r>
            <w:r w:rsidR="001171C7">
              <w:rPr>
                <w:webHidden/>
                <w:rtl/>
              </w:rPr>
              <w:fldChar w:fldCharType="separate"/>
            </w:r>
            <w:r w:rsidR="006A6D13">
              <w:rPr>
                <w:webHidden/>
                <w:rtl/>
              </w:rPr>
              <w:t>124</w:t>
            </w:r>
            <w:r w:rsidR="001171C7">
              <w:rPr>
                <w:webHidden/>
                <w:rtl/>
              </w:rPr>
              <w:fldChar w:fldCharType="end"/>
            </w:r>
          </w:hyperlink>
        </w:p>
        <w:p w:rsidR="001171C7" w:rsidRDefault="007978F4">
          <w:pPr>
            <w:pStyle w:val="TOC1"/>
            <w:rPr>
              <w:rFonts w:eastAsiaTheme="minorEastAsia" w:cstheme="minorBidi"/>
              <w:b w:val="0"/>
              <w:bCs w:val="0"/>
              <w:rtl/>
            </w:rPr>
          </w:pPr>
          <w:hyperlink w:anchor="_Toc496175378" w:history="1">
            <w:r w:rsidR="001171C7" w:rsidRPr="00D35CC1">
              <w:rPr>
                <w:rStyle w:val="Hyperlink"/>
                <w:rFonts w:asciiTheme="majorHAnsi" w:eastAsiaTheme="majorEastAsia" w:hAnsiTheme="majorHAnsi" w:cs="Guttman Drogolin"/>
                <w:rtl/>
              </w:rPr>
              <w:t>שיטת הרי"ף בסוגיין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Toc496175378 \h</w:instrText>
            </w:r>
            <w:r w:rsidR="001171C7">
              <w:rPr>
                <w:webHidden/>
                <w:rtl/>
              </w:rPr>
              <w:instrText xml:space="preserve"> </w:instrText>
            </w:r>
            <w:r w:rsidR="001171C7">
              <w:rPr>
                <w:webHidden/>
                <w:rtl/>
              </w:rPr>
            </w:r>
            <w:r w:rsidR="001171C7">
              <w:rPr>
                <w:webHidden/>
                <w:rtl/>
              </w:rPr>
              <w:fldChar w:fldCharType="separate"/>
            </w:r>
            <w:r w:rsidR="006A6D13">
              <w:rPr>
                <w:webHidden/>
                <w:rtl/>
              </w:rPr>
              <w:t>125</w:t>
            </w:r>
            <w:r w:rsidR="001171C7">
              <w:rPr>
                <w:webHidden/>
                <w:rtl/>
              </w:rPr>
              <w:fldChar w:fldCharType="end"/>
            </w:r>
          </w:hyperlink>
        </w:p>
        <w:p w:rsidR="001171C7" w:rsidRDefault="007978F4">
          <w:pPr>
            <w:pStyle w:val="TOC1"/>
            <w:rPr>
              <w:rFonts w:eastAsiaTheme="minorEastAsia" w:cstheme="minorBidi"/>
              <w:b w:val="0"/>
              <w:bCs w:val="0"/>
              <w:rtl/>
            </w:rPr>
          </w:pPr>
          <w:hyperlink w:anchor="_Toc496175379" w:history="1">
            <w:r w:rsidR="001171C7" w:rsidRPr="00D35CC1">
              <w:rPr>
                <w:rStyle w:val="Hyperlink"/>
                <w:rFonts w:asciiTheme="majorHAnsi" w:eastAsiaTheme="majorEastAsia" w:hAnsiTheme="majorHAnsi" w:cs="Guttman Drogolin"/>
                <w:rtl/>
              </w:rPr>
              <w:t>בענין זיעה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Toc496175379 \h</w:instrText>
            </w:r>
            <w:r w:rsidR="001171C7">
              <w:rPr>
                <w:webHidden/>
                <w:rtl/>
              </w:rPr>
              <w:instrText xml:space="preserve"> </w:instrText>
            </w:r>
            <w:r w:rsidR="001171C7">
              <w:rPr>
                <w:webHidden/>
                <w:rtl/>
              </w:rPr>
            </w:r>
            <w:r w:rsidR="001171C7">
              <w:rPr>
                <w:webHidden/>
                <w:rtl/>
              </w:rPr>
              <w:fldChar w:fldCharType="separate"/>
            </w:r>
            <w:r w:rsidR="006A6D13">
              <w:rPr>
                <w:webHidden/>
                <w:rtl/>
              </w:rPr>
              <w:t>128</w:t>
            </w:r>
            <w:r w:rsidR="001171C7">
              <w:rPr>
                <w:webHidden/>
                <w:rtl/>
              </w:rPr>
              <w:fldChar w:fldCharType="end"/>
            </w:r>
          </w:hyperlink>
        </w:p>
        <w:p w:rsidR="001171C7" w:rsidRDefault="007978F4">
          <w:pPr>
            <w:pStyle w:val="TOC1"/>
            <w:rPr>
              <w:rFonts w:eastAsiaTheme="minorEastAsia" w:cstheme="minorBidi"/>
              <w:b w:val="0"/>
              <w:bCs w:val="0"/>
              <w:rtl/>
            </w:rPr>
          </w:pPr>
          <w:hyperlink w:anchor="_Toc496175380" w:history="1">
            <w:r w:rsidR="001171C7" w:rsidRPr="00D35CC1">
              <w:rPr>
                <w:rStyle w:val="Hyperlink"/>
                <w:rFonts w:asciiTheme="majorHAnsi" w:eastAsiaTheme="majorEastAsia" w:hAnsiTheme="majorHAnsi" w:cs="Guttman Drogolin"/>
                <w:rtl/>
              </w:rPr>
              <w:t>ספיקו של הרא"ש</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Toc496175380 \h</w:instrText>
            </w:r>
            <w:r w:rsidR="001171C7">
              <w:rPr>
                <w:webHidden/>
                <w:rtl/>
              </w:rPr>
              <w:instrText xml:space="preserve"> </w:instrText>
            </w:r>
            <w:r w:rsidR="001171C7">
              <w:rPr>
                <w:webHidden/>
                <w:rtl/>
              </w:rPr>
            </w:r>
            <w:r w:rsidR="001171C7">
              <w:rPr>
                <w:webHidden/>
                <w:rtl/>
              </w:rPr>
              <w:fldChar w:fldCharType="separate"/>
            </w:r>
            <w:r w:rsidR="006A6D13">
              <w:rPr>
                <w:webHidden/>
                <w:rtl/>
              </w:rPr>
              <w:t>130</w:t>
            </w:r>
            <w:r w:rsidR="001171C7">
              <w:rPr>
                <w:webHidden/>
                <w:rtl/>
              </w:rPr>
              <w:fldChar w:fldCharType="end"/>
            </w:r>
          </w:hyperlink>
        </w:p>
        <w:p w:rsidR="001171C7" w:rsidRDefault="007978F4">
          <w:pPr>
            <w:pStyle w:val="TOC1"/>
            <w:rPr>
              <w:rFonts w:eastAsiaTheme="minorEastAsia" w:cstheme="minorBidi"/>
              <w:b w:val="0"/>
              <w:bCs w:val="0"/>
              <w:rtl/>
            </w:rPr>
          </w:pPr>
          <w:hyperlink w:anchor="_Toc496175381" w:history="1">
            <w:r w:rsidR="001171C7" w:rsidRPr="00D35CC1">
              <w:rPr>
                <w:rStyle w:val="Hyperlink"/>
                <w:rFonts w:asciiTheme="majorHAnsi" w:eastAsiaTheme="majorEastAsia" w:hAnsiTheme="majorHAnsi" w:cs="Guttman Drogolin"/>
                <w:rtl/>
              </w:rPr>
              <w:t>מו"מ בפוסקים בדעת הרא"ש</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Toc496175381 \h</w:instrText>
            </w:r>
            <w:r w:rsidR="001171C7">
              <w:rPr>
                <w:webHidden/>
                <w:rtl/>
              </w:rPr>
              <w:instrText xml:space="preserve"> </w:instrText>
            </w:r>
            <w:r w:rsidR="001171C7">
              <w:rPr>
                <w:webHidden/>
                <w:rtl/>
              </w:rPr>
            </w:r>
            <w:r w:rsidR="001171C7">
              <w:rPr>
                <w:webHidden/>
                <w:rtl/>
              </w:rPr>
              <w:fldChar w:fldCharType="separate"/>
            </w:r>
            <w:r w:rsidR="006A6D13">
              <w:rPr>
                <w:webHidden/>
                <w:rtl/>
              </w:rPr>
              <w:t>130</w:t>
            </w:r>
            <w:r w:rsidR="001171C7">
              <w:rPr>
                <w:webHidden/>
                <w:rtl/>
              </w:rPr>
              <w:fldChar w:fldCharType="end"/>
            </w:r>
          </w:hyperlink>
        </w:p>
        <w:p w:rsidR="001171C7" w:rsidRDefault="007978F4">
          <w:pPr>
            <w:pStyle w:val="TOC1"/>
            <w:rPr>
              <w:rFonts w:eastAsiaTheme="minorEastAsia" w:cstheme="minorBidi"/>
              <w:b w:val="0"/>
              <w:bCs w:val="0"/>
              <w:rtl/>
            </w:rPr>
          </w:pPr>
          <w:hyperlink w:anchor="_Toc496175382" w:history="1">
            <w:r w:rsidR="001171C7" w:rsidRPr="00D35CC1">
              <w:rPr>
                <w:rStyle w:val="Hyperlink"/>
                <w:rFonts w:asciiTheme="majorHAnsi" w:eastAsiaTheme="majorEastAsia" w:hAnsiTheme="majorHAnsi" w:cs="Guttman Drogolin"/>
                <w:rtl/>
              </w:rPr>
              <w:t>זיעה באוכלין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Toc496175382 \h</w:instrText>
            </w:r>
            <w:r w:rsidR="001171C7">
              <w:rPr>
                <w:webHidden/>
                <w:rtl/>
              </w:rPr>
              <w:instrText xml:space="preserve"> </w:instrText>
            </w:r>
            <w:r w:rsidR="001171C7">
              <w:rPr>
                <w:webHidden/>
                <w:rtl/>
              </w:rPr>
            </w:r>
            <w:r w:rsidR="001171C7">
              <w:rPr>
                <w:webHidden/>
                <w:rtl/>
              </w:rPr>
              <w:fldChar w:fldCharType="separate"/>
            </w:r>
            <w:r w:rsidR="006A6D13">
              <w:rPr>
                <w:webHidden/>
                <w:rtl/>
              </w:rPr>
              <w:t>131</w:t>
            </w:r>
            <w:r w:rsidR="001171C7">
              <w:rPr>
                <w:webHidden/>
                <w:rtl/>
              </w:rPr>
              <w:fldChar w:fldCharType="end"/>
            </w:r>
          </w:hyperlink>
        </w:p>
        <w:p w:rsidR="001171C7" w:rsidRDefault="007978F4">
          <w:pPr>
            <w:pStyle w:val="TOC1"/>
            <w:rPr>
              <w:rFonts w:eastAsiaTheme="minorEastAsia" w:cstheme="minorBidi"/>
              <w:b w:val="0"/>
              <w:bCs w:val="0"/>
              <w:rtl/>
            </w:rPr>
          </w:pPr>
          <w:hyperlink w:anchor="_Toc496175383" w:history="1">
            <w:r w:rsidR="001171C7" w:rsidRPr="00D35CC1">
              <w:rPr>
                <w:rStyle w:val="Hyperlink"/>
                <w:rFonts w:asciiTheme="majorHAnsi" w:eastAsiaTheme="majorEastAsia" w:hAnsiTheme="majorHAnsi" w:cs="Guttman Drogolin"/>
                <w:rtl/>
              </w:rPr>
              <w:t>דוגמות מעשיות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Toc496175383 \h</w:instrText>
            </w:r>
            <w:r w:rsidR="001171C7">
              <w:rPr>
                <w:webHidden/>
                <w:rtl/>
              </w:rPr>
              <w:instrText xml:space="preserve"> </w:instrText>
            </w:r>
            <w:r w:rsidR="001171C7">
              <w:rPr>
                <w:webHidden/>
                <w:rtl/>
              </w:rPr>
            </w:r>
            <w:r w:rsidR="001171C7">
              <w:rPr>
                <w:webHidden/>
                <w:rtl/>
              </w:rPr>
              <w:fldChar w:fldCharType="separate"/>
            </w:r>
            <w:r w:rsidR="006A6D13">
              <w:rPr>
                <w:webHidden/>
                <w:rtl/>
              </w:rPr>
              <w:t>131</w:t>
            </w:r>
            <w:r w:rsidR="001171C7">
              <w:rPr>
                <w:webHidden/>
                <w:rtl/>
              </w:rPr>
              <w:fldChar w:fldCharType="end"/>
            </w:r>
          </w:hyperlink>
        </w:p>
        <w:p w:rsidR="001171C7" w:rsidRDefault="007978F4">
          <w:pPr>
            <w:pStyle w:val="TOC1"/>
            <w:rPr>
              <w:rFonts w:eastAsiaTheme="minorEastAsia" w:cstheme="minorBidi"/>
              <w:b w:val="0"/>
              <w:bCs w:val="0"/>
              <w:rtl/>
            </w:rPr>
          </w:pPr>
          <w:hyperlink w:anchor="_Toc496175384" w:history="1">
            <w:r w:rsidR="001171C7" w:rsidRPr="00D35CC1">
              <w:rPr>
                <w:rStyle w:val="Hyperlink"/>
                <w:rFonts w:cs="Guttman Drogolin"/>
                <w:rtl/>
              </w:rPr>
              <w:t>ואלו כמה דוגמות מעשיות שיש לדון בהם משום זיעה: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Toc496175384 \h</w:instrText>
            </w:r>
            <w:r w:rsidR="001171C7">
              <w:rPr>
                <w:webHidden/>
                <w:rtl/>
              </w:rPr>
              <w:instrText xml:space="preserve"> </w:instrText>
            </w:r>
            <w:r w:rsidR="001171C7">
              <w:rPr>
                <w:webHidden/>
                <w:rtl/>
              </w:rPr>
            </w:r>
            <w:r w:rsidR="001171C7">
              <w:rPr>
                <w:webHidden/>
                <w:rtl/>
              </w:rPr>
              <w:fldChar w:fldCharType="separate"/>
            </w:r>
            <w:r w:rsidR="006A6D13">
              <w:rPr>
                <w:webHidden/>
                <w:rtl/>
              </w:rPr>
              <w:t>131</w:t>
            </w:r>
            <w:r w:rsidR="001171C7">
              <w:rPr>
                <w:webHidden/>
                <w:rtl/>
              </w:rPr>
              <w:fldChar w:fldCharType="end"/>
            </w:r>
          </w:hyperlink>
        </w:p>
        <w:p w:rsidR="00E4340F" w:rsidRPr="008B2255" w:rsidRDefault="00E4340F" w:rsidP="00E4340F">
          <w:pPr>
            <w:pStyle w:val="TOC1"/>
            <w:spacing w:before="240"/>
            <w:rPr>
              <w:rStyle w:val="Hyperlink"/>
              <w:color w:val="auto"/>
              <w:sz w:val="28"/>
              <w:szCs w:val="28"/>
              <w:rtl/>
            </w:rPr>
          </w:pPr>
          <w:r>
            <w:rPr>
              <w:rStyle w:val="Hyperlink"/>
              <w:rFonts w:hint="cs"/>
              <w:color w:val="auto"/>
              <w:sz w:val="28"/>
              <w:szCs w:val="28"/>
              <w:rtl/>
            </w:rPr>
            <w:t>עבודה זרה דף ס"ז</w:t>
          </w:r>
        </w:p>
        <w:p w:rsidR="001171C7" w:rsidRDefault="007978F4">
          <w:pPr>
            <w:pStyle w:val="TOC1"/>
            <w:rPr>
              <w:rFonts w:eastAsiaTheme="minorEastAsia" w:cstheme="minorBidi"/>
              <w:b w:val="0"/>
              <w:bCs w:val="0"/>
              <w:rtl/>
            </w:rPr>
          </w:pPr>
          <w:hyperlink w:anchor="_Toc496175385" w:history="1">
            <w:r w:rsidR="001171C7" w:rsidRPr="00D35CC1">
              <w:rPr>
                <w:rStyle w:val="Hyperlink"/>
                <w:rFonts w:cs="Guttman Drogolin"/>
                <w:rtl/>
              </w:rPr>
              <w:t>בענין השביח ולבסוף פגם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Toc496175385 \h</w:instrText>
            </w:r>
            <w:r w:rsidR="001171C7">
              <w:rPr>
                <w:webHidden/>
                <w:rtl/>
              </w:rPr>
              <w:instrText xml:space="preserve"> </w:instrText>
            </w:r>
            <w:r w:rsidR="001171C7">
              <w:rPr>
                <w:webHidden/>
                <w:rtl/>
              </w:rPr>
            </w:r>
            <w:r w:rsidR="001171C7">
              <w:rPr>
                <w:webHidden/>
                <w:rtl/>
              </w:rPr>
              <w:fldChar w:fldCharType="separate"/>
            </w:r>
            <w:r w:rsidR="006A6D13">
              <w:rPr>
                <w:webHidden/>
                <w:rtl/>
              </w:rPr>
              <w:t>132</w:t>
            </w:r>
            <w:r w:rsidR="001171C7">
              <w:rPr>
                <w:webHidden/>
                <w:rtl/>
              </w:rPr>
              <w:fldChar w:fldCharType="end"/>
            </w:r>
          </w:hyperlink>
        </w:p>
        <w:p w:rsidR="001171C7" w:rsidRDefault="007978F4">
          <w:pPr>
            <w:pStyle w:val="TOC1"/>
            <w:rPr>
              <w:rFonts w:eastAsiaTheme="minorEastAsia" w:cstheme="minorBidi"/>
              <w:b w:val="0"/>
              <w:bCs w:val="0"/>
              <w:rtl/>
            </w:rPr>
          </w:pPr>
          <w:hyperlink w:anchor="_Toc496175386" w:history="1">
            <w:r w:rsidR="001171C7" w:rsidRPr="00D35CC1">
              <w:rPr>
                <w:rStyle w:val="Hyperlink"/>
                <w:rFonts w:cs="Guttman Drogolin"/>
                <w:rtl/>
              </w:rPr>
              <w:t>ב' הלשונות של ר"ל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Toc496175386 \h</w:instrText>
            </w:r>
            <w:r w:rsidR="001171C7">
              <w:rPr>
                <w:webHidden/>
                <w:rtl/>
              </w:rPr>
              <w:instrText xml:space="preserve"> </w:instrText>
            </w:r>
            <w:r w:rsidR="001171C7">
              <w:rPr>
                <w:webHidden/>
                <w:rtl/>
              </w:rPr>
            </w:r>
            <w:r w:rsidR="001171C7">
              <w:rPr>
                <w:webHidden/>
                <w:rtl/>
              </w:rPr>
              <w:fldChar w:fldCharType="separate"/>
            </w:r>
            <w:r w:rsidR="006A6D13">
              <w:rPr>
                <w:webHidden/>
                <w:rtl/>
              </w:rPr>
              <w:t>133</w:t>
            </w:r>
            <w:r w:rsidR="001171C7">
              <w:rPr>
                <w:webHidden/>
                <w:rtl/>
              </w:rPr>
              <w:fldChar w:fldCharType="end"/>
            </w:r>
          </w:hyperlink>
        </w:p>
        <w:p w:rsidR="001171C7" w:rsidRDefault="007978F4">
          <w:pPr>
            <w:pStyle w:val="TOC1"/>
            <w:rPr>
              <w:rFonts w:eastAsiaTheme="minorEastAsia" w:cstheme="minorBidi"/>
              <w:b w:val="0"/>
              <w:bCs w:val="0"/>
              <w:rtl/>
            </w:rPr>
          </w:pPr>
          <w:hyperlink w:anchor="_Toc496175387" w:history="1">
            <w:r w:rsidR="001171C7" w:rsidRPr="00D35CC1">
              <w:rPr>
                <w:rStyle w:val="Hyperlink"/>
                <w:rFonts w:cs="Guttman Drogolin"/>
                <w:rtl/>
              </w:rPr>
              <w:t>פגם פורתא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Toc496175387 \h</w:instrText>
            </w:r>
            <w:r w:rsidR="001171C7">
              <w:rPr>
                <w:webHidden/>
                <w:rtl/>
              </w:rPr>
              <w:instrText xml:space="preserve"> </w:instrText>
            </w:r>
            <w:r w:rsidR="001171C7">
              <w:rPr>
                <w:webHidden/>
                <w:rtl/>
              </w:rPr>
            </w:r>
            <w:r w:rsidR="001171C7">
              <w:rPr>
                <w:webHidden/>
                <w:rtl/>
              </w:rPr>
              <w:fldChar w:fldCharType="separate"/>
            </w:r>
            <w:r w:rsidR="006A6D13">
              <w:rPr>
                <w:webHidden/>
                <w:rtl/>
              </w:rPr>
              <w:t>133</w:t>
            </w:r>
            <w:r w:rsidR="001171C7">
              <w:rPr>
                <w:webHidden/>
                <w:rtl/>
              </w:rPr>
              <w:fldChar w:fldCharType="end"/>
            </w:r>
          </w:hyperlink>
        </w:p>
        <w:p w:rsidR="001171C7" w:rsidRDefault="007978F4">
          <w:pPr>
            <w:pStyle w:val="TOC1"/>
            <w:rPr>
              <w:rFonts w:eastAsiaTheme="minorEastAsia" w:cstheme="minorBidi"/>
              <w:b w:val="0"/>
              <w:bCs w:val="0"/>
              <w:rtl/>
            </w:rPr>
          </w:pPr>
          <w:hyperlink w:anchor="_Toc496175388" w:history="1">
            <w:r w:rsidR="001171C7" w:rsidRPr="00D35CC1">
              <w:rPr>
                <w:rStyle w:val="Hyperlink"/>
                <w:rFonts w:cs="Guttman Drogolin"/>
                <w:rtl/>
              </w:rPr>
              <w:t>בדין נטל"פ</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Toc496175388 \h</w:instrText>
            </w:r>
            <w:r w:rsidR="001171C7">
              <w:rPr>
                <w:webHidden/>
                <w:rtl/>
              </w:rPr>
              <w:instrText xml:space="preserve"> </w:instrText>
            </w:r>
            <w:r w:rsidR="001171C7">
              <w:rPr>
                <w:webHidden/>
                <w:rtl/>
              </w:rPr>
            </w:r>
            <w:r w:rsidR="001171C7">
              <w:rPr>
                <w:webHidden/>
                <w:rtl/>
              </w:rPr>
              <w:fldChar w:fldCharType="separate"/>
            </w:r>
            <w:r w:rsidR="006A6D13">
              <w:rPr>
                <w:webHidden/>
                <w:rtl/>
              </w:rPr>
              <w:t>134</w:t>
            </w:r>
            <w:r w:rsidR="001171C7">
              <w:rPr>
                <w:webHidden/>
                <w:rtl/>
              </w:rPr>
              <w:fldChar w:fldCharType="end"/>
            </w:r>
          </w:hyperlink>
        </w:p>
        <w:p w:rsidR="001171C7" w:rsidRDefault="007978F4">
          <w:pPr>
            <w:pStyle w:val="TOC1"/>
            <w:rPr>
              <w:rFonts w:eastAsiaTheme="minorEastAsia" w:cstheme="minorBidi"/>
              <w:b w:val="0"/>
              <w:bCs w:val="0"/>
              <w:rtl/>
            </w:rPr>
          </w:pPr>
          <w:hyperlink w:anchor="_Toc496175389" w:history="1">
            <w:r w:rsidR="001171C7" w:rsidRPr="00D35CC1">
              <w:rPr>
                <w:rStyle w:val="Hyperlink"/>
                <w:rFonts w:cs="Guttman Drogolin"/>
                <w:rtl/>
              </w:rPr>
              <w:t>נטל"פ בבב"ח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Toc496175389 \h</w:instrText>
            </w:r>
            <w:r w:rsidR="001171C7">
              <w:rPr>
                <w:webHidden/>
                <w:rtl/>
              </w:rPr>
              <w:instrText xml:space="preserve"> </w:instrText>
            </w:r>
            <w:r w:rsidR="001171C7">
              <w:rPr>
                <w:webHidden/>
                <w:rtl/>
              </w:rPr>
            </w:r>
            <w:r w:rsidR="001171C7">
              <w:rPr>
                <w:webHidden/>
                <w:rtl/>
              </w:rPr>
              <w:fldChar w:fldCharType="separate"/>
            </w:r>
            <w:r w:rsidR="006A6D13">
              <w:rPr>
                <w:webHidden/>
                <w:rtl/>
              </w:rPr>
              <w:t>136</w:t>
            </w:r>
            <w:r w:rsidR="001171C7">
              <w:rPr>
                <w:webHidden/>
                <w:rtl/>
              </w:rPr>
              <w:fldChar w:fldCharType="end"/>
            </w:r>
          </w:hyperlink>
        </w:p>
        <w:p w:rsidR="001171C7" w:rsidRDefault="007978F4">
          <w:pPr>
            <w:pStyle w:val="TOC1"/>
            <w:rPr>
              <w:rFonts w:eastAsiaTheme="minorEastAsia" w:cstheme="minorBidi"/>
              <w:b w:val="0"/>
              <w:bCs w:val="0"/>
              <w:rtl/>
            </w:rPr>
          </w:pPr>
          <w:hyperlink w:anchor="_Toc496175390" w:history="1">
            <w:r w:rsidR="001171C7" w:rsidRPr="00D35CC1">
              <w:rPr>
                <w:rStyle w:val="Hyperlink"/>
                <w:rFonts w:cs="Guttman Drogolin"/>
                <w:rtl/>
              </w:rPr>
              <w:t>שיטת המ"ד במס' פסחים שאין לומדים טכ"ע מגיעולי נכרים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Toc496175390 \h</w:instrText>
            </w:r>
            <w:r w:rsidR="001171C7">
              <w:rPr>
                <w:webHidden/>
                <w:rtl/>
              </w:rPr>
              <w:instrText xml:space="preserve"> </w:instrText>
            </w:r>
            <w:r w:rsidR="001171C7">
              <w:rPr>
                <w:webHidden/>
                <w:rtl/>
              </w:rPr>
            </w:r>
            <w:r w:rsidR="001171C7">
              <w:rPr>
                <w:webHidden/>
                <w:rtl/>
              </w:rPr>
              <w:fldChar w:fldCharType="separate"/>
            </w:r>
            <w:r w:rsidR="006A6D13">
              <w:rPr>
                <w:webHidden/>
                <w:rtl/>
              </w:rPr>
              <w:t>138</w:t>
            </w:r>
            <w:r w:rsidR="001171C7">
              <w:rPr>
                <w:webHidden/>
                <w:rtl/>
              </w:rPr>
              <w:fldChar w:fldCharType="end"/>
            </w:r>
          </w:hyperlink>
        </w:p>
        <w:p w:rsidR="001171C7" w:rsidRDefault="007978F4">
          <w:pPr>
            <w:pStyle w:val="TOC1"/>
            <w:rPr>
              <w:rFonts w:eastAsiaTheme="minorEastAsia" w:cstheme="minorBidi"/>
              <w:b w:val="0"/>
              <w:bCs w:val="0"/>
              <w:rtl/>
            </w:rPr>
          </w:pPr>
          <w:hyperlink w:anchor="_Toc496175391" w:history="1">
            <w:r w:rsidR="001171C7" w:rsidRPr="00D35CC1">
              <w:rPr>
                <w:rStyle w:val="Hyperlink"/>
                <w:rFonts w:cs="Guttman Drogolin"/>
                <w:rtl/>
              </w:rPr>
              <w:t>הזמן של בן יומא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Toc496175391 \h</w:instrText>
            </w:r>
            <w:r w:rsidR="001171C7">
              <w:rPr>
                <w:webHidden/>
                <w:rtl/>
              </w:rPr>
              <w:instrText xml:space="preserve"> </w:instrText>
            </w:r>
            <w:r w:rsidR="001171C7">
              <w:rPr>
                <w:webHidden/>
                <w:rtl/>
              </w:rPr>
            </w:r>
            <w:r w:rsidR="001171C7">
              <w:rPr>
                <w:webHidden/>
                <w:rtl/>
              </w:rPr>
              <w:fldChar w:fldCharType="separate"/>
            </w:r>
            <w:r w:rsidR="006A6D13">
              <w:rPr>
                <w:webHidden/>
                <w:rtl/>
              </w:rPr>
              <w:t>139</w:t>
            </w:r>
            <w:r w:rsidR="001171C7">
              <w:rPr>
                <w:webHidden/>
                <w:rtl/>
              </w:rPr>
              <w:fldChar w:fldCharType="end"/>
            </w:r>
          </w:hyperlink>
        </w:p>
        <w:p w:rsidR="001171C7" w:rsidRDefault="007978F4">
          <w:pPr>
            <w:pStyle w:val="TOC1"/>
            <w:rPr>
              <w:rFonts w:eastAsiaTheme="minorEastAsia" w:cstheme="minorBidi"/>
              <w:b w:val="0"/>
              <w:bCs w:val="0"/>
              <w:rtl/>
            </w:rPr>
          </w:pPr>
          <w:hyperlink w:anchor="_Toc496175392" w:history="1">
            <w:r w:rsidR="001171C7" w:rsidRPr="00D35CC1">
              <w:rPr>
                <w:rStyle w:val="Hyperlink"/>
                <w:rFonts w:cs="Guttman Drogolin"/>
                <w:rtl/>
              </w:rPr>
              <w:t>בישל מים תוך הזמן של בת יומא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Toc496175392 \h</w:instrText>
            </w:r>
            <w:r w:rsidR="001171C7">
              <w:rPr>
                <w:webHidden/>
                <w:rtl/>
              </w:rPr>
              <w:instrText xml:space="preserve"> </w:instrText>
            </w:r>
            <w:r w:rsidR="001171C7">
              <w:rPr>
                <w:webHidden/>
                <w:rtl/>
              </w:rPr>
            </w:r>
            <w:r w:rsidR="001171C7">
              <w:rPr>
                <w:webHidden/>
                <w:rtl/>
              </w:rPr>
              <w:fldChar w:fldCharType="separate"/>
            </w:r>
            <w:r w:rsidR="006A6D13">
              <w:rPr>
                <w:webHidden/>
                <w:rtl/>
              </w:rPr>
              <w:t>140</w:t>
            </w:r>
            <w:r w:rsidR="001171C7">
              <w:rPr>
                <w:webHidden/>
                <w:rtl/>
              </w:rPr>
              <w:fldChar w:fldCharType="end"/>
            </w:r>
          </w:hyperlink>
        </w:p>
        <w:p w:rsidR="001171C7" w:rsidRDefault="007978F4">
          <w:pPr>
            <w:pStyle w:val="TOC1"/>
            <w:rPr>
              <w:rFonts w:eastAsiaTheme="minorEastAsia" w:cstheme="minorBidi"/>
              <w:b w:val="0"/>
              <w:bCs w:val="0"/>
              <w:rtl/>
            </w:rPr>
          </w:pPr>
          <w:hyperlink w:anchor="_Toc496175393" w:history="1">
            <w:r w:rsidR="001171C7" w:rsidRPr="00D35CC1">
              <w:rPr>
                <w:rStyle w:val="Hyperlink"/>
                <w:rFonts w:cs="Guttman Drogolin"/>
                <w:rtl/>
              </w:rPr>
              <w:t>הטעם שאסרו כלי שאינו בן יומו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Toc496175393 \h</w:instrText>
            </w:r>
            <w:r w:rsidR="001171C7">
              <w:rPr>
                <w:webHidden/>
                <w:rtl/>
              </w:rPr>
              <w:instrText xml:space="preserve"> </w:instrText>
            </w:r>
            <w:r w:rsidR="001171C7">
              <w:rPr>
                <w:webHidden/>
                <w:rtl/>
              </w:rPr>
            </w:r>
            <w:r w:rsidR="001171C7">
              <w:rPr>
                <w:webHidden/>
                <w:rtl/>
              </w:rPr>
              <w:fldChar w:fldCharType="separate"/>
            </w:r>
            <w:r w:rsidR="006A6D13">
              <w:rPr>
                <w:webHidden/>
                <w:rtl/>
              </w:rPr>
              <w:t>141</w:t>
            </w:r>
            <w:r w:rsidR="001171C7">
              <w:rPr>
                <w:webHidden/>
                <w:rtl/>
              </w:rPr>
              <w:fldChar w:fldCharType="end"/>
            </w:r>
          </w:hyperlink>
        </w:p>
        <w:p w:rsidR="00E4340F" w:rsidRPr="008B2255" w:rsidRDefault="00E4340F" w:rsidP="00E4340F">
          <w:pPr>
            <w:pStyle w:val="TOC1"/>
            <w:spacing w:before="240"/>
            <w:rPr>
              <w:rStyle w:val="Hyperlink"/>
              <w:color w:val="auto"/>
              <w:sz w:val="28"/>
              <w:szCs w:val="28"/>
              <w:rtl/>
            </w:rPr>
          </w:pPr>
          <w:r>
            <w:rPr>
              <w:rStyle w:val="Hyperlink"/>
              <w:rFonts w:hint="cs"/>
              <w:color w:val="auto"/>
              <w:sz w:val="28"/>
              <w:szCs w:val="28"/>
              <w:rtl/>
            </w:rPr>
            <w:t>עבודה זרה דף ס"ח</w:t>
          </w:r>
        </w:p>
        <w:p w:rsidR="001171C7" w:rsidRDefault="007978F4">
          <w:pPr>
            <w:pStyle w:val="TOC1"/>
            <w:rPr>
              <w:rFonts w:eastAsiaTheme="minorEastAsia" w:cstheme="minorBidi"/>
              <w:b w:val="0"/>
              <w:bCs w:val="0"/>
              <w:rtl/>
            </w:rPr>
          </w:pPr>
          <w:hyperlink w:anchor="_Toc496175394" w:history="1">
            <w:r w:rsidR="001171C7" w:rsidRPr="00D35CC1">
              <w:rPr>
                <w:rStyle w:val="Hyperlink"/>
                <w:rFonts w:cs="Guttman Drogolin"/>
                <w:rtl/>
              </w:rPr>
              <w:t>המשך ביאור שיטת הרא"ה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Toc496175394 \h</w:instrText>
            </w:r>
            <w:r w:rsidR="001171C7">
              <w:rPr>
                <w:webHidden/>
                <w:rtl/>
              </w:rPr>
              <w:instrText xml:space="preserve"> </w:instrText>
            </w:r>
            <w:r w:rsidR="001171C7">
              <w:rPr>
                <w:webHidden/>
                <w:rtl/>
              </w:rPr>
            </w:r>
            <w:r w:rsidR="001171C7">
              <w:rPr>
                <w:webHidden/>
                <w:rtl/>
              </w:rPr>
              <w:fldChar w:fldCharType="separate"/>
            </w:r>
            <w:r w:rsidR="006A6D13">
              <w:rPr>
                <w:webHidden/>
                <w:rtl/>
              </w:rPr>
              <w:t>142</w:t>
            </w:r>
            <w:r w:rsidR="001171C7">
              <w:rPr>
                <w:webHidden/>
                <w:rtl/>
              </w:rPr>
              <w:fldChar w:fldCharType="end"/>
            </w:r>
          </w:hyperlink>
        </w:p>
        <w:p w:rsidR="001171C7" w:rsidRDefault="007978F4">
          <w:pPr>
            <w:pStyle w:val="TOC1"/>
            <w:rPr>
              <w:rFonts w:eastAsiaTheme="minorEastAsia" w:cstheme="minorBidi"/>
              <w:b w:val="0"/>
              <w:bCs w:val="0"/>
              <w:rtl/>
            </w:rPr>
          </w:pPr>
          <w:hyperlink w:anchor="_Toc496175395" w:history="1">
            <w:r w:rsidR="001171C7" w:rsidRPr="00D35CC1">
              <w:rPr>
                <w:rStyle w:val="Hyperlink"/>
                <w:rFonts w:cs="Guttman Drogolin"/>
                <w:rtl/>
              </w:rPr>
              <w:t>חידוש בשיטת הר"ן בהיתירא דנטל"פ</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Toc496175395 \h</w:instrText>
            </w:r>
            <w:r w:rsidR="001171C7">
              <w:rPr>
                <w:webHidden/>
                <w:rtl/>
              </w:rPr>
              <w:instrText xml:space="preserve"> </w:instrText>
            </w:r>
            <w:r w:rsidR="001171C7">
              <w:rPr>
                <w:webHidden/>
                <w:rtl/>
              </w:rPr>
            </w:r>
            <w:r w:rsidR="001171C7">
              <w:rPr>
                <w:webHidden/>
                <w:rtl/>
              </w:rPr>
              <w:fldChar w:fldCharType="separate"/>
            </w:r>
            <w:r w:rsidR="006A6D13">
              <w:rPr>
                <w:webHidden/>
                <w:rtl/>
              </w:rPr>
              <w:t>142</w:t>
            </w:r>
            <w:r w:rsidR="001171C7">
              <w:rPr>
                <w:webHidden/>
                <w:rtl/>
              </w:rPr>
              <w:fldChar w:fldCharType="end"/>
            </w:r>
          </w:hyperlink>
        </w:p>
        <w:p w:rsidR="001171C7" w:rsidRDefault="007978F4">
          <w:pPr>
            <w:pStyle w:val="TOC1"/>
            <w:rPr>
              <w:rFonts w:eastAsiaTheme="minorEastAsia" w:cstheme="minorBidi"/>
              <w:b w:val="0"/>
              <w:bCs w:val="0"/>
              <w:rtl/>
            </w:rPr>
          </w:pPr>
          <w:hyperlink w:anchor="_Toc496175396" w:history="1">
            <w:r w:rsidR="001171C7" w:rsidRPr="00D35CC1">
              <w:rPr>
                <w:rStyle w:val="Hyperlink"/>
                <w:rFonts w:cs="Guttman Drogolin"/>
                <w:rtl/>
              </w:rPr>
              <w:t>ביאור דעת המתירים בהשביח ולבסוף פגם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Toc496175396 \h</w:instrText>
            </w:r>
            <w:r w:rsidR="001171C7">
              <w:rPr>
                <w:webHidden/>
                <w:rtl/>
              </w:rPr>
              <w:instrText xml:space="preserve"> </w:instrText>
            </w:r>
            <w:r w:rsidR="001171C7">
              <w:rPr>
                <w:webHidden/>
                <w:rtl/>
              </w:rPr>
            </w:r>
            <w:r w:rsidR="001171C7">
              <w:rPr>
                <w:webHidden/>
                <w:rtl/>
              </w:rPr>
              <w:fldChar w:fldCharType="separate"/>
            </w:r>
            <w:r w:rsidR="006A6D13">
              <w:rPr>
                <w:webHidden/>
                <w:rtl/>
              </w:rPr>
              <w:t>144</w:t>
            </w:r>
            <w:r w:rsidR="001171C7">
              <w:rPr>
                <w:webHidden/>
                <w:rtl/>
              </w:rPr>
              <w:fldChar w:fldCharType="end"/>
            </w:r>
          </w:hyperlink>
        </w:p>
        <w:p w:rsidR="001171C7" w:rsidRDefault="007978F4">
          <w:pPr>
            <w:pStyle w:val="TOC1"/>
            <w:rPr>
              <w:rFonts w:eastAsiaTheme="minorEastAsia" w:cstheme="minorBidi"/>
              <w:b w:val="0"/>
              <w:bCs w:val="0"/>
              <w:rtl/>
            </w:rPr>
          </w:pPr>
          <w:hyperlink w:anchor="_Toc496175397" w:history="1">
            <w:r w:rsidR="001171C7" w:rsidRPr="00D35CC1">
              <w:rPr>
                <w:rStyle w:val="Hyperlink"/>
                <w:rFonts w:cs="Guttman Drogolin"/>
                <w:rtl/>
              </w:rPr>
              <w:t>ההוא עכברא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Toc496175397 \h</w:instrText>
            </w:r>
            <w:r w:rsidR="001171C7">
              <w:rPr>
                <w:webHidden/>
                <w:rtl/>
              </w:rPr>
              <w:instrText xml:space="preserve"> </w:instrText>
            </w:r>
            <w:r w:rsidR="001171C7">
              <w:rPr>
                <w:webHidden/>
                <w:rtl/>
              </w:rPr>
            </w:r>
            <w:r w:rsidR="001171C7">
              <w:rPr>
                <w:webHidden/>
                <w:rtl/>
              </w:rPr>
              <w:fldChar w:fldCharType="separate"/>
            </w:r>
            <w:r w:rsidR="006A6D13">
              <w:rPr>
                <w:webHidden/>
                <w:rtl/>
              </w:rPr>
              <w:t>144</w:t>
            </w:r>
            <w:r w:rsidR="001171C7">
              <w:rPr>
                <w:webHidden/>
                <w:rtl/>
              </w:rPr>
              <w:fldChar w:fldCharType="end"/>
            </w:r>
          </w:hyperlink>
        </w:p>
        <w:p w:rsidR="001171C7" w:rsidRDefault="007978F4">
          <w:pPr>
            <w:pStyle w:val="TOC1"/>
            <w:rPr>
              <w:rFonts w:eastAsiaTheme="minorEastAsia" w:cstheme="minorBidi"/>
              <w:b w:val="0"/>
              <w:bCs w:val="0"/>
              <w:rtl/>
            </w:rPr>
          </w:pPr>
          <w:hyperlink w:anchor="_Toc496175398" w:history="1">
            <w:r w:rsidR="001171C7" w:rsidRPr="00D35CC1">
              <w:rPr>
                <w:rStyle w:val="Hyperlink"/>
                <w:rFonts w:cs="Guttman Drogolin"/>
                <w:rtl/>
              </w:rPr>
              <w:t>אימרטוטי אימטט</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Toc496175398 \h</w:instrText>
            </w:r>
            <w:r w:rsidR="001171C7">
              <w:rPr>
                <w:webHidden/>
                <w:rtl/>
              </w:rPr>
              <w:instrText xml:space="preserve"> </w:instrText>
            </w:r>
            <w:r w:rsidR="001171C7">
              <w:rPr>
                <w:webHidden/>
                <w:rtl/>
              </w:rPr>
            </w:r>
            <w:r w:rsidR="001171C7">
              <w:rPr>
                <w:webHidden/>
                <w:rtl/>
              </w:rPr>
              <w:fldChar w:fldCharType="separate"/>
            </w:r>
            <w:r w:rsidR="006A6D13">
              <w:rPr>
                <w:webHidden/>
                <w:rtl/>
              </w:rPr>
              <w:t>146</w:t>
            </w:r>
            <w:r w:rsidR="001171C7">
              <w:rPr>
                <w:webHidden/>
                <w:rtl/>
              </w:rPr>
              <w:fldChar w:fldCharType="end"/>
            </w:r>
          </w:hyperlink>
        </w:p>
        <w:p w:rsidR="00E4340F" w:rsidRPr="008B2255" w:rsidRDefault="00E4340F" w:rsidP="00E4340F">
          <w:pPr>
            <w:pStyle w:val="TOC1"/>
            <w:keepNext/>
            <w:spacing w:before="240"/>
            <w:rPr>
              <w:rStyle w:val="Hyperlink"/>
              <w:color w:val="auto"/>
              <w:sz w:val="28"/>
              <w:szCs w:val="28"/>
              <w:rtl/>
            </w:rPr>
          </w:pPr>
          <w:r>
            <w:rPr>
              <w:rStyle w:val="Hyperlink"/>
              <w:rFonts w:hint="cs"/>
              <w:color w:val="auto"/>
              <w:sz w:val="28"/>
              <w:szCs w:val="28"/>
              <w:rtl/>
            </w:rPr>
            <w:t>חולין דף קי"א ע"ב</w:t>
          </w:r>
        </w:p>
        <w:p w:rsidR="001171C7" w:rsidRDefault="007978F4">
          <w:pPr>
            <w:pStyle w:val="TOC1"/>
            <w:rPr>
              <w:rFonts w:eastAsiaTheme="minorEastAsia" w:cstheme="minorBidi"/>
              <w:b w:val="0"/>
              <w:bCs w:val="0"/>
              <w:rtl/>
            </w:rPr>
          </w:pPr>
          <w:hyperlink w:anchor="_Toc496175399" w:history="1">
            <w:r w:rsidR="001171C7" w:rsidRPr="00D35CC1">
              <w:rPr>
                <w:rStyle w:val="Hyperlink"/>
                <w:rFonts w:cs="Guttman Drogolin"/>
                <w:rtl/>
              </w:rPr>
              <w:t>יסוד ההיתר של נ"ט בר נ"ט</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Toc496175399 \h</w:instrText>
            </w:r>
            <w:r w:rsidR="001171C7">
              <w:rPr>
                <w:webHidden/>
                <w:rtl/>
              </w:rPr>
              <w:instrText xml:space="preserve"> </w:instrText>
            </w:r>
            <w:r w:rsidR="001171C7">
              <w:rPr>
                <w:webHidden/>
                <w:rtl/>
              </w:rPr>
            </w:r>
            <w:r w:rsidR="001171C7">
              <w:rPr>
                <w:webHidden/>
                <w:rtl/>
              </w:rPr>
              <w:fldChar w:fldCharType="separate"/>
            </w:r>
            <w:r w:rsidR="006A6D13">
              <w:rPr>
                <w:webHidden/>
                <w:rtl/>
              </w:rPr>
              <w:t>147</w:t>
            </w:r>
            <w:r w:rsidR="001171C7">
              <w:rPr>
                <w:webHidden/>
                <w:rtl/>
              </w:rPr>
              <w:fldChar w:fldCharType="end"/>
            </w:r>
          </w:hyperlink>
        </w:p>
        <w:p w:rsidR="001171C7" w:rsidRDefault="007978F4">
          <w:pPr>
            <w:pStyle w:val="TOC1"/>
            <w:rPr>
              <w:rFonts w:eastAsiaTheme="minorEastAsia" w:cstheme="minorBidi"/>
              <w:b w:val="0"/>
              <w:bCs w:val="0"/>
              <w:rtl/>
            </w:rPr>
          </w:pPr>
          <w:hyperlink w:anchor="_Toc496175400" w:history="1">
            <w:r w:rsidR="001171C7" w:rsidRPr="00D35CC1">
              <w:rPr>
                <w:rStyle w:val="Hyperlink"/>
                <w:rFonts w:cs="Guttman Drogolin"/>
                <w:rtl/>
              </w:rPr>
              <w:t>מהו נ"ט בר נ"ט</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Toc496175400 \h</w:instrText>
            </w:r>
            <w:r w:rsidR="001171C7">
              <w:rPr>
                <w:webHidden/>
                <w:rtl/>
              </w:rPr>
              <w:instrText xml:space="preserve"> </w:instrText>
            </w:r>
            <w:r w:rsidR="001171C7">
              <w:rPr>
                <w:webHidden/>
                <w:rtl/>
              </w:rPr>
            </w:r>
            <w:r w:rsidR="001171C7">
              <w:rPr>
                <w:webHidden/>
                <w:rtl/>
              </w:rPr>
              <w:fldChar w:fldCharType="separate"/>
            </w:r>
            <w:r w:rsidR="006A6D13">
              <w:rPr>
                <w:webHidden/>
                <w:rtl/>
              </w:rPr>
              <w:t>147</w:t>
            </w:r>
            <w:r w:rsidR="001171C7">
              <w:rPr>
                <w:webHidden/>
                <w:rtl/>
              </w:rPr>
              <w:fldChar w:fldCharType="end"/>
            </w:r>
          </w:hyperlink>
        </w:p>
        <w:p w:rsidR="001171C7" w:rsidRDefault="007978F4">
          <w:pPr>
            <w:pStyle w:val="TOC1"/>
            <w:rPr>
              <w:rFonts w:eastAsiaTheme="minorEastAsia" w:cstheme="minorBidi"/>
              <w:b w:val="0"/>
              <w:bCs w:val="0"/>
              <w:rtl/>
            </w:rPr>
          </w:pPr>
          <w:hyperlink w:anchor="_Toc496175401" w:history="1">
            <w:r w:rsidR="001171C7" w:rsidRPr="00D35CC1">
              <w:rPr>
                <w:rStyle w:val="Hyperlink"/>
                <w:rFonts w:cs="Guttman Drogolin"/>
                <w:rtl/>
              </w:rPr>
              <w:t>מהו החילוק שבין דגים שעלו בקערה לצנון שחתכו בסכין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Toc496175401 \h</w:instrText>
            </w:r>
            <w:r w:rsidR="001171C7">
              <w:rPr>
                <w:webHidden/>
                <w:rtl/>
              </w:rPr>
              <w:instrText xml:space="preserve"> </w:instrText>
            </w:r>
            <w:r w:rsidR="001171C7">
              <w:rPr>
                <w:webHidden/>
                <w:rtl/>
              </w:rPr>
            </w:r>
            <w:r w:rsidR="001171C7">
              <w:rPr>
                <w:webHidden/>
                <w:rtl/>
              </w:rPr>
              <w:fldChar w:fldCharType="separate"/>
            </w:r>
            <w:r w:rsidR="006A6D13">
              <w:rPr>
                <w:webHidden/>
                <w:rtl/>
              </w:rPr>
              <w:t>149</w:t>
            </w:r>
            <w:r w:rsidR="001171C7">
              <w:rPr>
                <w:webHidden/>
                <w:rtl/>
              </w:rPr>
              <w:fldChar w:fldCharType="end"/>
            </w:r>
          </w:hyperlink>
        </w:p>
        <w:p w:rsidR="001171C7" w:rsidRDefault="007978F4">
          <w:pPr>
            <w:pStyle w:val="TOC1"/>
            <w:rPr>
              <w:rFonts w:eastAsiaTheme="minorEastAsia" w:cstheme="minorBidi"/>
              <w:b w:val="0"/>
              <w:bCs w:val="0"/>
              <w:rtl/>
            </w:rPr>
          </w:pPr>
          <w:hyperlink w:anchor="_Toc496175402" w:history="1">
            <w:r w:rsidR="001171C7" w:rsidRPr="00D35CC1">
              <w:rPr>
                <w:rStyle w:val="Hyperlink"/>
                <w:rFonts w:cs="Guttman Drogolin"/>
                <w:rtl/>
              </w:rPr>
              <w:t>הדחת קערות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Toc496175402 \h</w:instrText>
            </w:r>
            <w:r w:rsidR="001171C7">
              <w:rPr>
                <w:webHidden/>
                <w:rtl/>
              </w:rPr>
              <w:instrText xml:space="preserve"> </w:instrText>
            </w:r>
            <w:r w:rsidR="001171C7">
              <w:rPr>
                <w:webHidden/>
                <w:rtl/>
              </w:rPr>
            </w:r>
            <w:r w:rsidR="001171C7">
              <w:rPr>
                <w:webHidden/>
                <w:rtl/>
              </w:rPr>
              <w:fldChar w:fldCharType="separate"/>
            </w:r>
            <w:r w:rsidR="006A6D13">
              <w:rPr>
                <w:webHidden/>
                <w:rtl/>
              </w:rPr>
              <w:t>151</w:t>
            </w:r>
            <w:r w:rsidR="001171C7">
              <w:rPr>
                <w:webHidden/>
                <w:rtl/>
              </w:rPr>
              <w:fldChar w:fldCharType="end"/>
            </w:r>
          </w:hyperlink>
        </w:p>
        <w:p w:rsidR="001171C7" w:rsidRDefault="007978F4">
          <w:pPr>
            <w:pStyle w:val="TOC1"/>
            <w:rPr>
              <w:rFonts w:eastAsiaTheme="minorEastAsia" w:cstheme="minorBidi"/>
              <w:b w:val="0"/>
              <w:bCs w:val="0"/>
              <w:rtl/>
            </w:rPr>
          </w:pPr>
          <w:hyperlink w:anchor="_Toc496175403" w:history="1">
            <w:r w:rsidR="001171C7" w:rsidRPr="00D35CC1">
              <w:rPr>
                <w:rStyle w:val="Hyperlink"/>
                <w:rFonts w:cs="Guttman Drogolin"/>
                <w:rtl/>
              </w:rPr>
              <w:t>עוד נידונים בדין נ"ט בר נ"ט</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Toc496175403 \h</w:instrText>
            </w:r>
            <w:r w:rsidR="001171C7">
              <w:rPr>
                <w:webHidden/>
                <w:rtl/>
              </w:rPr>
              <w:instrText xml:space="preserve"> </w:instrText>
            </w:r>
            <w:r w:rsidR="001171C7">
              <w:rPr>
                <w:webHidden/>
                <w:rtl/>
              </w:rPr>
            </w:r>
            <w:r w:rsidR="001171C7">
              <w:rPr>
                <w:webHidden/>
                <w:rtl/>
              </w:rPr>
              <w:fldChar w:fldCharType="separate"/>
            </w:r>
            <w:r w:rsidR="006A6D13">
              <w:rPr>
                <w:webHidden/>
                <w:rtl/>
              </w:rPr>
              <w:t>153</w:t>
            </w:r>
            <w:r w:rsidR="001171C7">
              <w:rPr>
                <w:webHidden/>
                <w:rtl/>
              </w:rPr>
              <w:fldChar w:fldCharType="end"/>
            </w:r>
          </w:hyperlink>
        </w:p>
        <w:p w:rsidR="001171C7" w:rsidRDefault="007978F4">
          <w:pPr>
            <w:pStyle w:val="TOC1"/>
            <w:rPr>
              <w:rFonts w:eastAsiaTheme="minorEastAsia" w:cstheme="minorBidi"/>
              <w:b w:val="0"/>
              <w:bCs w:val="0"/>
              <w:rtl/>
            </w:rPr>
          </w:pPr>
          <w:hyperlink w:anchor="_Toc496175404" w:history="1">
            <w:r w:rsidR="001171C7" w:rsidRPr="00D35CC1">
              <w:rPr>
                <w:rStyle w:val="Hyperlink"/>
                <w:rFonts w:cs="Guttman Drogolin"/>
                <w:rtl/>
              </w:rPr>
              <w:t>נ"ט בר נ"ט דאיסורא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Toc496175404 \h</w:instrText>
            </w:r>
            <w:r w:rsidR="001171C7">
              <w:rPr>
                <w:webHidden/>
                <w:rtl/>
              </w:rPr>
              <w:instrText xml:space="preserve"> </w:instrText>
            </w:r>
            <w:r w:rsidR="001171C7">
              <w:rPr>
                <w:webHidden/>
                <w:rtl/>
              </w:rPr>
            </w:r>
            <w:r w:rsidR="001171C7">
              <w:rPr>
                <w:webHidden/>
                <w:rtl/>
              </w:rPr>
              <w:fldChar w:fldCharType="separate"/>
            </w:r>
            <w:r w:rsidR="006A6D13">
              <w:rPr>
                <w:webHidden/>
                <w:rtl/>
              </w:rPr>
              <w:t>153</w:t>
            </w:r>
            <w:r w:rsidR="001171C7">
              <w:rPr>
                <w:webHidden/>
                <w:rtl/>
              </w:rPr>
              <w:fldChar w:fldCharType="end"/>
            </w:r>
          </w:hyperlink>
        </w:p>
        <w:p w:rsidR="001171C7" w:rsidRDefault="007978F4">
          <w:pPr>
            <w:pStyle w:val="TOC1"/>
            <w:rPr>
              <w:rFonts w:eastAsiaTheme="minorEastAsia" w:cstheme="minorBidi"/>
              <w:b w:val="0"/>
              <w:bCs w:val="0"/>
              <w:rtl/>
            </w:rPr>
          </w:pPr>
          <w:hyperlink w:anchor="_Toc496175405" w:history="1">
            <w:r w:rsidR="001171C7" w:rsidRPr="00D35CC1">
              <w:rPr>
                <w:rStyle w:val="Hyperlink"/>
                <w:rFonts w:cs="Guttman Drogolin"/>
                <w:rtl/>
              </w:rPr>
              <w:t>דבר חריף עם דוחקא דסכינא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Toc496175405 \h</w:instrText>
            </w:r>
            <w:r w:rsidR="001171C7">
              <w:rPr>
                <w:webHidden/>
                <w:rtl/>
              </w:rPr>
              <w:instrText xml:space="preserve"> </w:instrText>
            </w:r>
            <w:r w:rsidR="001171C7">
              <w:rPr>
                <w:webHidden/>
                <w:rtl/>
              </w:rPr>
            </w:r>
            <w:r w:rsidR="001171C7">
              <w:rPr>
                <w:webHidden/>
                <w:rtl/>
              </w:rPr>
              <w:fldChar w:fldCharType="separate"/>
            </w:r>
            <w:r w:rsidR="006A6D13">
              <w:rPr>
                <w:webHidden/>
                <w:rtl/>
              </w:rPr>
              <w:t>155</w:t>
            </w:r>
            <w:r w:rsidR="001171C7">
              <w:rPr>
                <w:webHidden/>
                <w:rtl/>
              </w:rPr>
              <w:fldChar w:fldCharType="end"/>
            </w:r>
          </w:hyperlink>
        </w:p>
        <w:p w:rsidR="001171C7" w:rsidRDefault="007978F4">
          <w:pPr>
            <w:pStyle w:val="TOC1"/>
            <w:rPr>
              <w:rFonts w:eastAsiaTheme="minorEastAsia" w:cstheme="minorBidi"/>
              <w:b w:val="0"/>
              <w:bCs w:val="0"/>
              <w:rtl/>
            </w:rPr>
          </w:pPr>
          <w:hyperlink w:anchor="_Toc496175406" w:history="1">
            <w:r w:rsidR="001171C7" w:rsidRPr="00D35CC1">
              <w:rPr>
                <w:rStyle w:val="Hyperlink"/>
                <w:rFonts w:cs="Guttman Drogolin"/>
                <w:rtl/>
              </w:rPr>
              <w:t>אם דבר חריף מחליא לשבח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Toc496175406 \h</w:instrText>
            </w:r>
            <w:r w:rsidR="001171C7">
              <w:rPr>
                <w:webHidden/>
                <w:rtl/>
              </w:rPr>
              <w:instrText xml:space="preserve"> </w:instrText>
            </w:r>
            <w:r w:rsidR="001171C7">
              <w:rPr>
                <w:webHidden/>
                <w:rtl/>
              </w:rPr>
            </w:r>
            <w:r w:rsidR="001171C7">
              <w:rPr>
                <w:webHidden/>
                <w:rtl/>
              </w:rPr>
              <w:fldChar w:fldCharType="separate"/>
            </w:r>
            <w:r w:rsidR="006A6D13">
              <w:rPr>
                <w:webHidden/>
                <w:rtl/>
              </w:rPr>
              <w:t>155</w:t>
            </w:r>
            <w:r w:rsidR="001171C7">
              <w:rPr>
                <w:webHidden/>
                <w:rtl/>
              </w:rPr>
              <w:fldChar w:fldCharType="end"/>
            </w:r>
          </w:hyperlink>
        </w:p>
        <w:p w:rsidR="00E4340F" w:rsidRPr="008B2255" w:rsidRDefault="00E4340F" w:rsidP="00E4340F">
          <w:pPr>
            <w:pStyle w:val="TOC1"/>
            <w:spacing w:before="240"/>
            <w:rPr>
              <w:rStyle w:val="Hyperlink"/>
              <w:color w:val="auto"/>
              <w:sz w:val="28"/>
              <w:szCs w:val="28"/>
              <w:rtl/>
            </w:rPr>
          </w:pPr>
          <w:r>
            <w:rPr>
              <w:rStyle w:val="Hyperlink"/>
              <w:rFonts w:hint="cs"/>
              <w:color w:val="auto"/>
              <w:sz w:val="28"/>
              <w:szCs w:val="28"/>
              <w:rtl/>
            </w:rPr>
            <w:t>חולין ריש פרק כל הבשר</w:t>
          </w:r>
        </w:p>
        <w:p w:rsidR="001171C7" w:rsidRDefault="007978F4">
          <w:pPr>
            <w:pStyle w:val="TOC1"/>
            <w:rPr>
              <w:rFonts w:eastAsiaTheme="minorEastAsia" w:cstheme="minorBidi"/>
              <w:b w:val="0"/>
              <w:bCs w:val="0"/>
              <w:rtl/>
            </w:rPr>
          </w:pPr>
          <w:hyperlink w:anchor="_Toc496175407" w:history="1">
            <w:r w:rsidR="001171C7" w:rsidRPr="00D35CC1">
              <w:rPr>
                <w:rStyle w:val="Hyperlink"/>
                <w:rFonts w:cs="Guttman Drogolin"/>
                <w:rtl/>
              </w:rPr>
              <w:t>סוגי בשר שונים באיסור בשר בחלב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Toc496175407 \h</w:instrText>
            </w:r>
            <w:r w:rsidR="001171C7">
              <w:rPr>
                <w:webHidden/>
                <w:rtl/>
              </w:rPr>
              <w:instrText xml:space="preserve"> </w:instrText>
            </w:r>
            <w:r w:rsidR="001171C7">
              <w:rPr>
                <w:webHidden/>
                <w:rtl/>
              </w:rPr>
            </w:r>
            <w:r w:rsidR="001171C7">
              <w:rPr>
                <w:webHidden/>
                <w:rtl/>
              </w:rPr>
              <w:fldChar w:fldCharType="separate"/>
            </w:r>
            <w:r w:rsidR="006A6D13">
              <w:rPr>
                <w:webHidden/>
                <w:rtl/>
              </w:rPr>
              <w:t>159</w:t>
            </w:r>
            <w:r w:rsidR="001171C7">
              <w:rPr>
                <w:webHidden/>
                <w:rtl/>
              </w:rPr>
              <w:fldChar w:fldCharType="end"/>
            </w:r>
          </w:hyperlink>
        </w:p>
        <w:p w:rsidR="001171C7" w:rsidRDefault="007978F4">
          <w:pPr>
            <w:pStyle w:val="TOC1"/>
            <w:rPr>
              <w:rFonts w:eastAsiaTheme="minorEastAsia" w:cstheme="minorBidi"/>
              <w:b w:val="0"/>
              <w:bCs w:val="0"/>
              <w:rtl/>
            </w:rPr>
          </w:pPr>
          <w:hyperlink w:anchor="_Toc496175408" w:history="1">
            <w:r w:rsidR="001171C7" w:rsidRPr="00D35CC1">
              <w:rPr>
                <w:rStyle w:val="Hyperlink"/>
                <w:rFonts w:cs="Guttman Drogolin"/>
                <w:rtl/>
              </w:rPr>
              <w:t>בביאור איסור העלאה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Toc496175408 \h</w:instrText>
            </w:r>
            <w:r w:rsidR="001171C7">
              <w:rPr>
                <w:webHidden/>
                <w:rtl/>
              </w:rPr>
              <w:instrText xml:space="preserve"> </w:instrText>
            </w:r>
            <w:r w:rsidR="001171C7">
              <w:rPr>
                <w:webHidden/>
                <w:rtl/>
              </w:rPr>
            </w:r>
            <w:r w:rsidR="001171C7">
              <w:rPr>
                <w:webHidden/>
                <w:rtl/>
              </w:rPr>
              <w:fldChar w:fldCharType="separate"/>
            </w:r>
            <w:r w:rsidR="006A6D13">
              <w:rPr>
                <w:webHidden/>
                <w:rtl/>
              </w:rPr>
              <w:t>160</w:t>
            </w:r>
            <w:r w:rsidR="001171C7">
              <w:rPr>
                <w:webHidden/>
                <w:rtl/>
              </w:rPr>
              <w:fldChar w:fldCharType="end"/>
            </w:r>
          </w:hyperlink>
        </w:p>
        <w:p w:rsidR="001171C7" w:rsidRDefault="007978F4">
          <w:pPr>
            <w:pStyle w:val="TOC1"/>
            <w:rPr>
              <w:rFonts w:eastAsiaTheme="minorEastAsia" w:cstheme="minorBidi"/>
              <w:b w:val="0"/>
              <w:bCs w:val="0"/>
              <w:rtl/>
            </w:rPr>
          </w:pPr>
          <w:hyperlink w:anchor="_Toc496175409" w:history="1">
            <w:r w:rsidR="001171C7" w:rsidRPr="00D35CC1">
              <w:rPr>
                <w:rStyle w:val="Hyperlink"/>
                <w:rFonts w:cs="Guttman Drogolin"/>
                <w:rtl/>
              </w:rPr>
              <w:t>עוד כמה הערות בסוגיא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Toc496175409 \h</w:instrText>
            </w:r>
            <w:r w:rsidR="001171C7">
              <w:rPr>
                <w:webHidden/>
                <w:rtl/>
              </w:rPr>
              <w:instrText xml:space="preserve"> </w:instrText>
            </w:r>
            <w:r w:rsidR="001171C7">
              <w:rPr>
                <w:webHidden/>
                <w:rtl/>
              </w:rPr>
            </w:r>
            <w:r w:rsidR="001171C7">
              <w:rPr>
                <w:webHidden/>
                <w:rtl/>
              </w:rPr>
              <w:fldChar w:fldCharType="separate"/>
            </w:r>
            <w:r w:rsidR="006A6D13">
              <w:rPr>
                <w:webHidden/>
                <w:rtl/>
              </w:rPr>
              <w:t>162</w:t>
            </w:r>
            <w:r w:rsidR="001171C7">
              <w:rPr>
                <w:webHidden/>
                <w:rtl/>
              </w:rPr>
              <w:fldChar w:fldCharType="end"/>
            </w:r>
          </w:hyperlink>
        </w:p>
        <w:p w:rsidR="001171C7" w:rsidRDefault="007978F4">
          <w:pPr>
            <w:pStyle w:val="TOC1"/>
            <w:rPr>
              <w:rFonts w:eastAsiaTheme="minorEastAsia" w:cstheme="minorBidi"/>
              <w:b w:val="0"/>
              <w:bCs w:val="0"/>
              <w:rtl/>
            </w:rPr>
          </w:pPr>
          <w:hyperlink w:anchor="_Toc496175410" w:history="1">
            <w:r w:rsidR="001171C7" w:rsidRPr="00D35CC1">
              <w:rPr>
                <w:rStyle w:val="Hyperlink"/>
                <w:rFonts w:cs="Guttman Drogolin"/>
                <w:rtl/>
              </w:rPr>
              <w:t>בגדר החיוב להמתין בין אכילת בשר לאכילת חלב, ודין קינוח הדחה ונט"י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Toc496175410 \h</w:instrText>
            </w:r>
            <w:r w:rsidR="001171C7">
              <w:rPr>
                <w:webHidden/>
                <w:rtl/>
              </w:rPr>
              <w:instrText xml:space="preserve"> </w:instrText>
            </w:r>
            <w:r w:rsidR="001171C7">
              <w:rPr>
                <w:webHidden/>
                <w:rtl/>
              </w:rPr>
            </w:r>
            <w:r w:rsidR="001171C7">
              <w:rPr>
                <w:webHidden/>
                <w:rtl/>
              </w:rPr>
              <w:fldChar w:fldCharType="separate"/>
            </w:r>
            <w:r w:rsidR="006A6D13">
              <w:rPr>
                <w:webHidden/>
                <w:rtl/>
              </w:rPr>
              <w:t>164</w:t>
            </w:r>
            <w:r w:rsidR="001171C7">
              <w:rPr>
                <w:webHidden/>
                <w:rtl/>
              </w:rPr>
              <w:fldChar w:fldCharType="end"/>
            </w:r>
          </w:hyperlink>
        </w:p>
        <w:p w:rsidR="00E4340F" w:rsidRPr="00043E0A" w:rsidRDefault="00E4340F" w:rsidP="00E4340F">
          <w:pPr>
            <w:pStyle w:val="TOC1"/>
            <w:spacing w:before="240"/>
            <w:rPr>
              <w:rStyle w:val="Hyperlink"/>
              <w:color w:val="auto"/>
              <w:sz w:val="28"/>
              <w:szCs w:val="28"/>
              <w:rtl/>
            </w:rPr>
          </w:pPr>
          <w:r>
            <w:rPr>
              <w:rStyle w:val="Hyperlink"/>
              <w:rFonts w:hint="cs"/>
              <w:color w:val="auto"/>
              <w:sz w:val="28"/>
              <w:szCs w:val="28"/>
              <w:rtl/>
            </w:rPr>
            <w:t>חולין דף ק"ז ע"ב / יו"ד סי' פ"ח</w:t>
          </w:r>
        </w:p>
        <w:p w:rsidR="001171C7" w:rsidRDefault="007978F4">
          <w:pPr>
            <w:pStyle w:val="TOC1"/>
            <w:rPr>
              <w:rFonts w:eastAsiaTheme="minorEastAsia" w:cstheme="minorBidi"/>
              <w:b w:val="0"/>
              <w:bCs w:val="0"/>
              <w:rtl/>
            </w:rPr>
          </w:pPr>
          <w:hyperlink w:anchor="_Toc496175411" w:history="1">
            <w:r w:rsidR="001171C7" w:rsidRPr="00D35CC1">
              <w:rPr>
                <w:rStyle w:val="Hyperlink"/>
                <w:rFonts w:cs="Guttman Drogolin"/>
                <w:rtl/>
              </w:rPr>
              <w:t>אכילת שומן של בשר, ואכילת תבשיל שיש בה בשר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Toc496175411 \h</w:instrText>
            </w:r>
            <w:r w:rsidR="001171C7">
              <w:rPr>
                <w:webHidden/>
                <w:rtl/>
              </w:rPr>
              <w:instrText xml:space="preserve"> </w:instrText>
            </w:r>
            <w:r w:rsidR="001171C7">
              <w:rPr>
                <w:webHidden/>
                <w:rtl/>
              </w:rPr>
            </w:r>
            <w:r w:rsidR="001171C7">
              <w:rPr>
                <w:webHidden/>
                <w:rtl/>
              </w:rPr>
              <w:fldChar w:fldCharType="separate"/>
            </w:r>
            <w:r w:rsidR="006A6D13">
              <w:rPr>
                <w:webHidden/>
                <w:rtl/>
              </w:rPr>
              <w:t>166</w:t>
            </w:r>
            <w:r w:rsidR="001171C7">
              <w:rPr>
                <w:webHidden/>
                <w:rtl/>
              </w:rPr>
              <w:fldChar w:fldCharType="end"/>
            </w:r>
          </w:hyperlink>
        </w:p>
        <w:p w:rsidR="001171C7" w:rsidRDefault="007978F4">
          <w:pPr>
            <w:pStyle w:val="TOC1"/>
            <w:rPr>
              <w:rFonts w:eastAsiaTheme="minorEastAsia" w:cstheme="minorBidi"/>
              <w:b w:val="0"/>
              <w:bCs w:val="0"/>
              <w:rtl/>
            </w:rPr>
          </w:pPr>
          <w:hyperlink w:anchor="_Toc496175412" w:history="1">
            <w:r w:rsidR="001171C7" w:rsidRPr="00D35CC1">
              <w:rPr>
                <w:rStyle w:val="Hyperlink"/>
                <w:rFonts w:cs="Guttman Drogolin"/>
                <w:rtl/>
              </w:rPr>
              <w:t>הערה במתני' שבדף ק"ז ע"ב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Toc496175412 \h</w:instrText>
            </w:r>
            <w:r w:rsidR="001171C7">
              <w:rPr>
                <w:webHidden/>
                <w:rtl/>
              </w:rPr>
              <w:instrText xml:space="preserve"> </w:instrText>
            </w:r>
            <w:r w:rsidR="001171C7">
              <w:rPr>
                <w:webHidden/>
                <w:rtl/>
              </w:rPr>
            </w:r>
            <w:r w:rsidR="001171C7">
              <w:rPr>
                <w:webHidden/>
                <w:rtl/>
              </w:rPr>
              <w:fldChar w:fldCharType="separate"/>
            </w:r>
            <w:r w:rsidR="006A6D13">
              <w:rPr>
                <w:webHidden/>
                <w:rtl/>
              </w:rPr>
              <w:t>168</w:t>
            </w:r>
            <w:r w:rsidR="001171C7">
              <w:rPr>
                <w:webHidden/>
                <w:rtl/>
              </w:rPr>
              <w:fldChar w:fldCharType="end"/>
            </w:r>
          </w:hyperlink>
        </w:p>
        <w:p w:rsidR="001171C7" w:rsidRDefault="007978F4">
          <w:pPr>
            <w:pStyle w:val="TOC1"/>
            <w:rPr>
              <w:rFonts w:eastAsiaTheme="minorEastAsia" w:cstheme="minorBidi"/>
              <w:b w:val="0"/>
              <w:bCs w:val="0"/>
              <w:rtl/>
            </w:rPr>
          </w:pPr>
          <w:hyperlink w:anchor="_Toc496175413" w:history="1">
            <w:r w:rsidR="001171C7" w:rsidRPr="00D35CC1">
              <w:rPr>
                <w:rStyle w:val="Hyperlink"/>
                <w:rFonts w:cs="Guttman Drogolin"/>
                <w:rtl/>
              </w:rPr>
              <w:t>מהו הפי' של מכירין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Toc496175413 \h</w:instrText>
            </w:r>
            <w:r w:rsidR="001171C7">
              <w:rPr>
                <w:webHidden/>
                <w:rtl/>
              </w:rPr>
              <w:instrText xml:space="preserve"> </w:instrText>
            </w:r>
            <w:r w:rsidR="001171C7">
              <w:rPr>
                <w:webHidden/>
                <w:rtl/>
              </w:rPr>
            </w:r>
            <w:r w:rsidR="001171C7">
              <w:rPr>
                <w:webHidden/>
                <w:rtl/>
              </w:rPr>
              <w:fldChar w:fldCharType="separate"/>
            </w:r>
            <w:r w:rsidR="006A6D13">
              <w:rPr>
                <w:webHidden/>
                <w:rtl/>
              </w:rPr>
              <w:t>168</w:t>
            </w:r>
            <w:r w:rsidR="001171C7">
              <w:rPr>
                <w:webHidden/>
                <w:rtl/>
              </w:rPr>
              <w:fldChar w:fldCharType="end"/>
            </w:r>
          </w:hyperlink>
        </w:p>
        <w:p w:rsidR="001171C7" w:rsidRDefault="007978F4">
          <w:pPr>
            <w:pStyle w:val="TOC1"/>
            <w:rPr>
              <w:rFonts w:eastAsiaTheme="minorEastAsia" w:cstheme="minorBidi"/>
              <w:b w:val="0"/>
              <w:bCs w:val="0"/>
              <w:rtl/>
            </w:rPr>
          </w:pPr>
          <w:hyperlink w:anchor="_Toc496175414" w:history="1">
            <w:r w:rsidR="001171C7" w:rsidRPr="00D35CC1">
              <w:rPr>
                <w:rStyle w:val="Hyperlink"/>
                <w:rFonts w:cs="Guttman Drogolin"/>
                <w:rtl/>
              </w:rPr>
              <w:t>בענין ההיתר לאכול עם היכר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Toc496175414 \h</w:instrText>
            </w:r>
            <w:r w:rsidR="001171C7">
              <w:rPr>
                <w:webHidden/>
                <w:rtl/>
              </w:rPr>
              <w:instrText xml:space="preserve"> </w:instrText>
            </w:r>
            <w:r w:rsidR="001171C7">
              <w:rPr>
                <w:webHidden/>
                <w:rtl/>
              </w:rPr>
            </w:r>
            <w:r w:rsidR="001171C7">
              <w:rPr>
                <w:webHidden/>
                <w:rtl/>
              </w:rPr>
              <w:fldChar w:fldCharType="separate"/>
            </w:r>
            <w:r w:rsidR="006A6D13">
              <w:rPr>
                <w:webHidden/>
                <w:rtl/>
              </w:rPr>
              <w:t>169</w:t>
            </w:r>
            <w:r w:rsidR="001171C7">
              <w:rPr>
                <w:webHidden/>
                <w:rtl/>
              </w:rPr>
              <w:fldChar w:fldCharType="end"/>
            </w:r>
          </w:hyperlink>
        </w:p>
        <w:p w:rsidR="001171C7" w:rsidRDefault="007978F4">
          <w:pPr>
            <w:pStyle w:val="TOC1"/>
            <w:rPr>
              <w:rFonts w:eastAsiaTheme="minorEastAsia" w:cstheme="minorBidi"/>
              <w:b w:val="0"/>
              <w:bCs w:val="0"/>
              <w:rtl/>
            </w:rPr>
          </w:pPr>
          <w:hyperlink w:anchor="_Toc496175415" w:history="1">
            <w:r w:rsidR="001171C7" w:rsidRPr="00D35CC1">
              <w:rPr>
                <w:rStyle w:val="Hyperlink"/>
                <w:rFonts w:cs="Guttman Drogolin"/>
                <w:rtl/>
              </w:rPr>
              <w:t>אם מי שאכל בשר מותר לו לישב ליד שולחן שאוכלים עליו גבינה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Toc496175415 \h</w:instrText>
            </w:r>
            <w:r w:rsidR="001171C7">
              <w:rPr>
                <w:webHidden/>
                <w:rtl/>
              </w:rPr>
              <w:instrText xml:space="preserve"> </w:instrText>
            </w:r>
            <w:r w:rsidR="001171C7">
              <w:rPr>
                <w:webHidden/>
                <w:rtl/>
              </w:rPr>
            </w:r>
            <w:r w:rsidR="001171C7">
              <w:rPr>
                <w:webHidden/>
                <w:rtl/>
              </w:rPr>
              <w:fldChar w:fldCharType="separate"/>
            </w:r>
            <w:r w:rsidR="006A6D13">
              <w:rPr>
                <w:webHidden/>
                <w:rtl/>
              </w:rPr>
              <w:t>171</w:t>
            </w:r>
            <w:r w:rsidR="001171C7">
              <w:rPr>
                <w:webHidden/>
                <w:rtl/>
              </w:rPr>
              <w:fldChar w:fldCharType="end"/>
            </w:r>
          </w:hyperlink>
        </w:p>
        <w:p w:rsidR="00E4340F" w:rsidRPr="00043E0A" w:rsidRDefault="00E4340F" w:rsidP="00E4340F">
          <w:pPr>
            <w:pStyle w:val="TOC1"/>
            <w:spacing w:before="240"/>
            <w:rPr>
              <w:rStyle w:val="Hyperlink"/>
              <w:color w:val="auto"/>
              <w:sz w:val="28"/>
              <w:szCs w:val="28"/>
              <w:rtl/>
            </w:rPr>
          </w:pPr>
          <w:r>
            <w:rPr>
              <w:rStyle w:val="Hyperlink"/>
              <w:rFonts w:hint="cs"/>
              <w:color w:val="auto"/>
              <w:sz w:val="28"/>
              <w:szCs w:val="28"/>
              <w:rtl/>
            </w:rPr>
            <w:t>יו"ד סי' פ"ט</w:t>
          </w:r>
        </w:p>
        <w:p w:rsidR="001171C7" w:rsidRDefault="007978F4">
          <w:pPr>
            <w:pStyle w:val="TOC1"/>
            <w:rPr>
              <w:rFonts w:eastAsiaTheme="minorEastAsia" w:cstheme="minorBidi"/>
              <w:b w:val="0"/>
              <w:bCs w:val="0"/>
              <w:rtl/>
            </w:rPr>
          </w:pPr>
          <w:hyperlink w:anchor="_Toc496175416" w:history="1">
            <w:r w:rsidR="001171C7" w:rsidRPr="00D35CC1">
              <w:rPr>
                <w:rStyle w:val="Hyperlink"/>
                <w:rFonts w:cs="Guttman Drogolin"/>
                <w:rtl/>
              </w:rPr>
              <w:t>השיטות וההלכה בחיוב המתנה בין בשר לחלב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Toc496175416 \h</w:instrText>
            </w:r>
            <w:r w:rsidR="001171C7">
              <w:rPr>
                <w:webHidden/>
                <w:rtl/>
              </w:rPr>
              <w:instrText xml:space="preserve"> </w:instrText>
            </w:r>
            <w:r w:rsidR="001171C7">
              <w:rPr>
                <w:webHidden/>
                <w:rtl/>
              </w:rPr>
            </w:r>
            <w:r w:rsidR="001171C7">
              <w:rPr>
                <w:webHidden/>
                <w:rtl/>
              </w:rPr>
              <w:fldChar w:fldCharType="separate"/>
            </w:r>
            <w:r w:rsidR="006A6D13">
              <w:rPr>
                <w:webHidden/>
                <w:rtl/>
              </w:rPr>
              <w:t>174</w:t>
            </w:r>
            <w:r w:rsidR="001171C7">
              <w:rPr>
                <w:webHidden/>
                <w:rtl/>
              </w:rPr>
              <w:fldChar w:fldCharType="end"/>
            </w:r>
          </w:hyperlink>
        </w:p>
        <w:p w:rsidR="001171C7" w:rsidRDefault="007978F4">
          <w:pPr>
            <w:pStyle w:val="TOC1"/>
            <w:rPr>
              <w:rFonts w:eastAsiaTheme="minorEastAsia" w:cstheme="minorBidi"/>
              <w:b w:val="0"/>
              <w:bCs w:val="0"/>
              <w:rtl/>
            </w:rPr>
          </w:pPr>
          <w:hyperlink w:anchor="_Toc496175417" w:history="1">
            <w:r w:rsidR="001171C7" w:rsidRPr="00D35CC1">
              <w:rPr>
                <w:rStyle w:val="Hyperlink"/>
                <w:rFonts w:cs="Guttman Drogolin"/>
                <w:rtl/>
              </w:rPr>
              <w:t>ביאורים בשיעור זמן דשש שעות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Toc496175417 \h</w:instrText>
            </w:r>
            <w:r w:rsidR="001171C7">
              <w:rPr>
                <w:webHidden/>
                <w:rtl/>
              </w:rPr>
              <w:instrText xml:space="preserve"> </w:instrText>
            </w:r>
            <w:r w:rsidR="001171C7">
              <w:rPr>
                <w:webHidden/>
                <w:rtl/>
              </w:rPr>
            </w:r>
            <w:r w:rsidR="001171C7">
              <w:rPr>
                <w:webHidden/>
                <w:rtl/>
              </w:rPr>
              <w:fldChar w:fldCharType="separate"/>
            </w:r>
            <w:r w:rsidR="006A6D13">
              <w:rPr>
                <w:webHidden/>
                <w:rtl/>
              </w:rPr>
              <w:t>175</w:t>
            </w:r>
            <w:r w:rsidR="001171C7">
              <w:rPr>
                <w:webHidden/>
                <w:rtl/>
              </w:rPr>
              <w:fldChar w:fldCharType="end"/>
            </w:r>
          </w:hyperlink>
        </w:p>
        <w:p w:rsidR="001171C7" w:rsidRDefault="007978F4">
          <w:pPr>
            <w:pStyle w:val="TOC1"/>
            <w:rPr>
              <w:rFonts w:eastAsiaTheme="minorEastAsia" w:cstheme="minorBidi"/>
              <w:b w:val="0"/>
              <w:bCs w:val="0"/>
              <w:rtl/>
            </w:rPr>
          </w:pPr>
          <w:hyperlink w:anchor="_Toc496175418" w:history="1">
            <w:r w:rsidR="001171C7" w:rsidRPr="00D35CC1">
              <w:rPr>
                <w:rStyle w:val="Hyperlink"/>
                <w:rFonts w:cs="Guttman Drogolin"/>
                <w:rtl/>
              </w:rPr>
              <w:t>הדין כשיש משהו בין השיניים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Toc496175418 \h</w:instrText>
            </w:r>
            <w:r w:rsidR="001171C7">
              <w:rPr>
                <w:webHidden/>
                <w:rtl/>
              </w:rPr>
              <w:instrText xml:space="preserve"> </w:instrText>
            </w:r>
            <w:r w:rsidR="001171C7">
              <w:rPr>
                <w:webHidden/>
                <w:rtl/>
              </w:rPr>
            </w:r>
            <w:r w:rsidR="001171C7">
              <w:rPr>
                <w:webHidden/>
                <w:rtl/>
              </w:rPr>
              <w:fldChar w:fldCharType="separate"/>
            </w:r>
            <w:r w:rsidR="006A6D13">
              <w:rPr>
                <w:webHidden/>
                <w:rtl/>
              </w:rPr>
              <w:t>177</w:t>
            </w:r>
            <w:r w:rsidR="001171C7">
              <w:rPr>
                <w:webHidden/>
                <w:rtl/>
              </w:rPr>
              <w:fldChar w:fldCharType="end"/>
            </w:r>
          </w:hyperlink>
        </w:p>
        <w:p w:rsidR="001171C7" w:rsidRDefault="007978F4">
          <w:pPr>
            <w:pStyle w:val="TOC1"/>
            <w:rPr>
              <w:rFonts w:eastAsiaTheme="minorEastAsia" w:cstheme="minorBidi"/>
              <w:b w:val="0"/>
              <w:bCs w:val="0"/>
              <w:rtl/>
            </w:rPr>
          </w:pPr>
          <w:hyperlink w:anchor="_Toc496175419" w:history="1">
            <w:r w:rsidR="001171C7" w:rsidRPr="00D35CC1">
              <w:rPr>
                <w:rStyle w:val="Hyperlink"/>
                <w:rFonts w:cs="Guttman Drogolin"/>
                <w:rtl/>
              </w:rPr>
              <w:t>ספק אם עבר שיעור זמן כדי להתיר אכילת גבינה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Toc496175419 \h</w:instrText>
            </w:r>
            <w:r w:rsidR="001171C7">
              <w:rPr>
                <w:webHidden/>
                <w:rtl/>
              </w:rPr>
              <w:instrText xml:space="preserve"> </w:instrText>
            </w:r>
            <w:r w:rsidR="001171C7">
              <w:rPr>
                <w:webHidden/>
                <w:rtl/>
              </w:rPr>
            </w:r>
            <w:r w:rsidR="001171C7">
              <w:rPr>
                <w:webHidden/>
                <w:rtl/>
              </w:rPr>
              <w:fldChar w:fldCharType="separate"/>
            </w:r>
            <w:r w:rsidR="006A6D13">
              <w:rPr>
                <w:webHidden/>
                <w:rtl/>
              </w:rPr>
              <w:t>177</w:t>
            </w:r>
            <w:r w:rsidR="001171C7">
              <w:rPr>
                <w:webHidden/>
                <w:rtl/>
              </w:rPr>
              <w:fldChar w:fldCharType="end"/>
            </w:r>
          </w:hyperlink>
        </w:p>
        <w:p w:rsidR="001171C7" w:rsidRDefault="007978F4">
          <w:pPr>
            <w:pStyle w:val="TOC1"/>
            <w:rPr>
              <w:rFonts w:eastAsiaTheme="minorEastAsia" w:cstheme="minorBidi"/>
              <w:b w:val="0"/>
              <w:bCs w:val="0"/>
              <w:rtl/>
            </w:rPr>
          </w:pPr>
          <w:hyperlink w:anchor="_Toc496175420" w:history="1">
            <w:r w:rsidR="001171C7" w:rsidRPr="00D35CC1">
              <w:rPr>
                <w:rStyle w:val="Hyperlink"/>
                <w:rFonts w:cs="Guttman Drogolin"/>
                <w:rtl/>
              </w:rPr>
              <w:t>המתנה מגבינה לבשר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Toc496175420 \h</w:instrText>
            </w:r>
            <w:r w:rsidR="001171C7">
              <w:rPr>
                <w:webHidden/>
                <w:rtl/>
              </w:rPr>
              <w:instrText xml:space="preserve"> </w:instrText>
            </w:r>
            <w:r w:rsidR="001171C7">
              <w:rPr>
                <w:webHidden/>
                <w:rtl/>
              </w:rPr>
            </w:r>
            <w:r w:rsidR="001171C7">
              <w:rPr>
                <w:webHidden/>
                <w:rtl/>
              </w:rPr>
              <w:fldChar w:fldCharType="separate"/>
            </w:r>
            <w:r w:rsidR="006A6D13">
              <w:rPr>
                <w:webHidden/>
                <w:rtl/>
              </w:rPr>
              <w:t>177</w:t>
            </w:r>
            <w:r w:rsidR="001171C7">
              <w:rPr>
                <w:webHidden/>
                <w:rtl/>
              </w:rPr>
              <w:fldChar w:fldCharType="end"/>
            </w:r>
          </w:hyperlink>
        </w:p>
        <w:p w:rsidR="001171C7" w:rsidRDefault="007978F4">
          <w:pPr>
            <w:pStyle w:val="TOC1"/>
            <w:rPr>
              <w:rFonts w:eastAsiaTheme="minorEastAsia" w:cstheme="minorBidi"/>
              <w:b w:val="0"/>
              <w:bCs w:val="0"/>
              <w:rtl/>
            </w:rPr>
          </w:pPr>
          <w:hyperlink w:anchor="_Toc496175421" w:history="1">
            <w:r w:rsidR="001171C7" w:rsidRPr="00D35CC1">
              <w:rPr>
                <w:rStyle w:val="Hyperlink"/>
                <w:rFonts w:cs="Guttman Drogolin"/>
                <w:rtl/>
              </w:rPr>
              <w:t>פרטי דינים בתבשיל של בשר ותבשיל של גבינה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Toc496175421 \h</w:instrText>
            </w:r>
            <w:r w:rsidR="001171C7">
              <w:rPr>
                <w:webHidden/>
                <w:rtl/>
              </w:rPr>
              <w:instrText xml:space="preserve"> </w:instrText>
            </w:r>
            <w:r w:rsidR="001171C7">
              <w:rPr>
                <w:webHidden/>
                <w:rtl/>
              </w:rPr>
            </w:r>
            <w:r w:rsidR="001171C7">
              <w:rPr>
                <w:webHidden/>
                <w:rtl/>
              </w:rPr>
              <w:fldChar w:fldCharType="separate"/>
            </w:r>
            <w:r w:rsidR="006A6D13">
              <w:rPr>
                <w:webHidden/>
                <w:rtl/>
              </w:rPr>
              <w:t>179</w:t>
            </w:r>
            <w:r w:rsidR="001171C7">
              <w:rPr>
                <w:webHidden/>
                <w:rtl/>
              </w:rPr>
              <w:fldChar w:fldCharType="end"/>
            </w:r>
          </w:hyperlink>
        </w:p>
        <w:p w:rsidR="001171C7" w:rsidRDefault="007978F4">
          <w:pPr>
            <w:pStyle w:val="TOC1"/>
            <w:rPr>
              <w:rFonts w:eastAsiaTheme="minorEastAsia" w:cstheme="minorBidi"/>
              <w:b w:val="0"/>
              <w:bCs w:val="0"/>
              <w:rtl/>
            </w:rPr>
          </w:pPr>
          <w:hyperlink w:anchor="_Toc496175422" w:history="1">
            <w:r w:rsidR="001171C7" w:rsidRPr="00D35CC1">
              <w:rPr>
                <w:rStyle w:val="Hyperlink"/>
                <w:rFonts w:cs="Guttman Drogolin"/>
                <w:rtl/>
              </w:rPr>
              <w:t>תבשיל שנתבשל בקדירה של בשר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Toc496175422 \h</w:instrText>
            </w:r>
            <w:r w:rsidR="001171C7">
              <w:rPr>
                <w:webHidden/>
                <w:rtl/>
              </w:rPr>
              <w:instrText xml:space="preserve"> </w:instrText>
            </w:r>
            <w:r w:rsidR="001171C7">
              <w:rPr>
                <w:webHidden/>
                <w:rtl/>
              </w:rPr>
            </w:r>
            <w:r w:rsidR="001171C7">
              <w:rPr>
                <w:webHidden/>
                <w:rtl/>
              </w:rPr>
              <w:fldChar w:fldCharType="separate"/>
            </w:r>
            <w:r w:rsidR="006A6D13">
              <w:rPr>
                <w:webHidden/>
                <w:rtl/>
              </w:rPr>
              <w:t>180</w:t>
            </w:r>
            <w:r w:rsidR="001171C7">
              <w:rPr>
                <w:webHidden/>
                <w:rtl/>
              </w:rPr>
              <w:fldChar w:fldCharType="end"/>
            </w:r>
          </w:hyperlink>
        </w:p>
        <w:p w:rsidR="001171C7" w:rsidRDefault="007978F4">
          <w:pPr>
            <w:pStyle w:val="TOC1"/>
            <w:rPr>
              <w:rFonts w:eastAsiaTheme="minorEastAsia" w:cstheme="minorBidi"/>
              <w:b w:val="0"/>
              <w:bCs w:val="0"/>
              <w:rtl/>
            </w:rPr>
          </w:pPr>
          <w:hyperlink w:anchor="_Toc496175423" w:history="1">
            <w:r w:rsidR="001171C7" w:rsidRPr="00D35CC1">
              <w:rPr>
                <w:rStyle w:val="Hyperlink"/>
                <w:rFonts w:cs="Guttman Drogolin"/>
                <w:rtl/>
              </w:rPr>
              <w:t>מה נקרא תבשיל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Toc496175423 \h</w:instrText>
            </w:r>
            <w:r w:rsidR="001171C7">
              <w:rPr>
                <w:webHidden/>
                <w:rtl/>
              </w:rPr>
              <w:instrText xml:space="preserve"> </w:instrText>
            </w:r>
            <w:r w:rsidR="001171C7">
              <w:rPr>
                <w:webHidden/>
                <w:rtl/>
              </w:rPr>
            </w:r>
            <w:r w:rsidR="001171C7">
              <w:rPr>
                <w:webHidden/>
                <w:rtl/>
              </w:rPr>
              <w:fldChar w:fldCharType="separate"/>
            </w:r>
            <w:r w:rsidR="006A6D13">
              <w:rPr>
                <w:webHidden/>
                <w:rtl/>
              </w:rPr>
              <w:t>181</w:t>
            </w:r>
            <w:r w:rsidR="001171C7">
              <w:rPr>
                <w:webHidden/>
                <w:rtl/>
              </w:rPr>
              <w:fldChar w:fldCharType="end"/>
            </w:r>
          </w:hyperlink>
        </w:p>
        <w:p w:rsidR="001171C7" w:rsidRDefault="007978F4">
          <w:pPr>
            <w:pStyle w:val="TOC1"/>
            <w:rPr>
              <w:rFonts w:eastAsiaTheme="minorEastAsia" w:cstheme="minorBidi"/>
              <w:b w:val="0"/>
              <w:bCs w:val="0"/>
              <w:rtl/>
            </w:rPr>
          </w:pPr>
          <w:hyperlink w:anchor="_Toc496175424" w:history="1">
            <w:r w:rsidR="001171C7" w:rsidRPr="00D35CC1">
              <w:rPr>
                <w:rStyle w:val="Hyperlink"/>
                <w:rFonts w:cs="Guttman Drogolin"/>
                <w:rtl/>
              </w:rPr>
              <w:t>חיוב קינוח הדחה ונט"י למעשה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Toc496175424 \h</w:instrText>
            </w:r>
            <w:r w:rsidR="001171C7">
              <w:rPr>
                <w:webHidden/>
                <w:rtl/>
              </w:rPr>
              <w:instrText xml:space="preserve"> </w:instrText>
            </w:r>
            <w:r w:rsidR="001171C7">
              <w:rPr>
                <w:webHidden/>
                <w:rtl/>
              </w:rPr>
            </w:r>
            <w:r w:rsidR="001171C7">
              <w:rPr>
                <w:webHidden/>
                <w:rtl/>
              </w:rPr>
              <w:fldChar w:fldCharType="separate"/>
            </w:r>
            <w:r w:rsidR="006A6D13">
              <w:rPr>
                <w:webHidden/>
                <w:rtl/>
              </w:rPr>
              <w:t>181</w:t>
            </w:r>
            <w:r w:rsidR="001171C7">
              <w:rPr>
                <w:webHidden/>
                <w:rtl/>
              </w:rPr>
              <w:fldChar w:fldCharType="end"/>
            </w:r>
          </w:hyperlink>
        </w:p>
        <w:p w:rsidR="001171C7" w:rsidRDefault="007978F4">
          <w:pPr>
            <w:pStyle w:val="TOC1"/>
            <w:rPr>
              <w:rFonts w:eastAsiaTheme="minorEastAsia" w:cstheme="minorBidi"/>
              <w:b w:val="0"/>
              <w:bCs w:val="0"/>
              <w:rtl/>
            </w:rPr>
          </w:pPr>
          <w:hyperlink w:anchor="_Toc496175425" w:history="1">
            <w:r w:rsidR="001171C7" w:rsidRPr="00D35CC1">
              <w:rPr>
                <w:rStyle w:val="Hyperlink"/>
                <w:rFonts w:cs="Guttman Drogolin"/>
                <w:rtl/>
              </w:rPr>
              <w:t>בירך על מאכל של גבינה תוך ו' שעות ונזכר מיד קודם שאכל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Toc496175425 \h</w:instrText>
            </w:r>
            <w:r w:rsidR="001171C7">
              <w:rPr>
                <w:webHidden/>
                <w:rtl/>
              </w:rPr>
              <w:instrText xml:space="preserve"> </w:instrText>
            </w:r>
            <w:r w:rsidR="001171C7">
              <w:rPr>
                <w:webHidden/>
                <w:rtl/>
              </w:rPr>
            </w:r>
            <w:r w:rsidR="001171C7">
              <w:rPr>
                <w:webHidden/>
                <w:rtl/>
              </w:rPr>
              <w:fldChar w:fldCharType="separate"/>
            </w:r>
            <w:r w:rsidR="006A6D13">
              <w:rPr>
                <w:webHidden/>
                <w:rtl/>
              </w:rPr>
              <w:t>182</w:t>
            </w:r>
            <w:r w:rsidR="001171C7">
              <w:rPr>
                <w:webHidden/>
                <w:rtl/>
              </w:rPr>
              <w:fldChar w:fldCharType="end"/>
            </w:r>
          </w:hyperlink>
        </w:p>
        <w:p w:rsidR="001171C7" w:rsidRDefault="007978F4">
          <w:pPr>
            <w:pStyle w:val="TOC1"/>
            <w:rPr>
              <w:rFonts w:eastAsiaTheme="minorEastAsia" w:cstheme="minorBidi"/>
              <w:b w:val="0"/>
              <w:bCs w:val="0"/>
              <w:rtl/>
            </w:rPr>
          </w:pPr>
          <w:hyperlink w:anchor="_Toc496175426" w:history="1">
            <w:r w:rsidR="001171C7" w:rsidRPr="00D35CC1">
              <w:rPr>
                <w:rStyle w:val="Hyperlink"/>
                <w:rFonts w:cs="Guttman Drogolin"/>
                <w:rtl/>
              </w:rPr>
              <w:t>אכילת גבינה על אותה מפה שאכלו עליו בשר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Toc496175426 \h</w:instrText>
            </w:r>
            <w:r w:rsidR="001171C7">
              <w:rPr>
                <w:webHidden/>
                <w:rtl/>
              </w:rPr>
              <w:instrText xml:space="preserve"> </w:instrText>
            </w:r>
            <w:r w:rsidR="001171C7">
              <w:rPr>
                <w:webHidden/>
                <w:rtl/>
              </w:rPr>
            </w:r>
            <w:r w:rsidR="001171C7">
              <w:rPr>
                <w:webHidden/>
                <w:rtl/>
              </w:rPr>
              <w:fldChar w:fldCharType="separate"/>
            </w:r>
            <w:r w:rsidR="006A6D13">
              <w:rPr>
                <w:webHidden/>
                <w:rtl/>
              </w:rPr>
              <w:t>182</w:t>
            </w:r>
            <w:r w:rsidR="001171C7">
              <w:rPr>
                <w:webHidden/>
                <w:rtl/>
              </w:rPr>
              <w:fldChar w:fldCharType="end"/>
            </w:r>
          </w:hyperlink>
        </w:p>
        <w:p w:rsidR="001171C7" w:rsidRDefault="007978F4">
          <w:pPr>
            <w:pStyle w:val="TOC1"/>
            <w:rPr>
              <w:rFonts w:eastAsiaTheme="minorEastAsia" w:cstheme="minorBidi"/>
              <w:b w:val="0"/>
              <w:bCs w:val="0"/>
              <w:rtl/>
            </w:rPr>
          </w:pPr>
          <w:hyperlink w:anchor="_Toc496175427" w:history="1">
            <w:r w:rsidR="001171C7" w:rsidRPr="00D35CC1">
              <w:rPr>
                <w:rStyle w:val="Hyperlink"/>
                <w:rFonts w:cs="Guttman Drogolin"/>
                <w:rtl/>
              </w:rPr>
              <w:t>שאריות של לחם מסעודה בשרית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Toc496175427 \h</w:instrText>
            </w:r>
            <w:r w:rsidR="001171C7">
              <w:rPr>
                <w:webHidden/>
                <w:rtl/>
              </w:rPr>
              <w:instrText xml:space="preserve"> </w:instrText>
            </w:r>
            <w:r w:rsidR="001171C7">
              <w:rPr>
                <w:webHidden/>
                <w:rtl/>
              </w:rPr>
            </w:r>
            <w:r w:rsidR="001171C7">
              <w:rPr>
                <w:webHidden/>
                <w:rtl/>
              </w:rPr>
              <w:fldChar w:fldCharType="separate"/>
            </w:r>
            <w:r w:rsidR="006A6D13">
              <w:rPr>
                <w:webHidden/>
                <w:rtl/>
              </w:rPr>
              <w:t>182</w:t>
            </w:r>
            <w:r w:rsidR="001171C7">
              <w:rPr>
                <w:webHidden/>
                <w:rtl/>
              </w:rPr>
              <w:fldChar w:fldCharType="end"/>
            </w:r>
          </w:hyperlink>
        </w:p>
        <w:p w:rsidR="001171C7" w:rsidRDefault="007978F4">
          <w:pPr>
            <w:pStyle w:val="TOC1"/>
            <w:rPr>
              <w:rFonts w:eastAsiaTheme="minorEastAsia" w:cstheme="minorBidi"/>
              <w:b w:val="0"/>
              <w:bCs w:val="0"/>
              <w:rtl/>
            </w:rPr>
          </w:pPr>
          <w:hyperlink w:anchor="_Toc496175428" w:history="1">
            <w:r w:rsidR="001171C7" w:rsidRPr="00D35CC1">
              <w:rPr>
                <w:rStyle w:val="Hyperlink"/>
                <w:rFonts w:cs="Guttman Drogolin"/>
                <w:rtl/>
              </w:rPr>
              <w:t>בדין סכין שחתך בו גבינה או בשר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Toc496175428 \h</w:instrText>
            </w:r>
            <w:r w:rsidR="001171C7">
              <w:rPr>
                <w:webHidden/>
                <w:rtl/>
              </w:rPr>
              <w:instrText xml:space="preserve"> </w:instrText>
            </w:r>
            <w:r w:rsidR="001171C7">
              <w:rPr>
                <w:webHidden/>
                <w:rtl/>
              </w:rPr>
            </w:r>
            <w:r w:rsidR="001171C7">
              <w:rPr>
                <w:webHidden/>
                <w:rtl/>
              </w:rPr>
              <w:fldChar w:fldCharType="separate"/>
            </w:r>
            <w:r w:rsidR="006A6D13">
              <w:rPr>
                <w:webHidden/>
                <w:rtl/>
              </w:rPr>
              <w:t>186</w:t>
            </w:r>
            <w:r w:rsidR="001171C7">
              <w:rPr>
                <w:webHidden/>
                <w:rtl/>
              </w:rPr>
              <w:fldChar w:fldCharType="end"/>
            </w:r>
          </w:hyperlink>
        </w:p>
        <w:p w:rsidR="00E4340F" w:rsidRPr="00043E0A" w:rsidRDefault="00E4340F" w:rsidP="00E4340F">
          <w:pPr>
            <w:pStyle w:val="TOC1"/>
            <w:spacing w:before="240"/>
            <w:rPr>
              <w:rStyle w:val="Hyperlink"/>
              <w:color w:val="auto"/>
              <w:sz w:val="28"/>
              <w:szCs w:val="28"/>
              <w:rtl/>
            </w:rPr>
          </w:pPr>
          <w:r>
            <w:rPr>
              <w:rStyle w:val="Hyperlink"/>
              <w:rFonts w:hint="cs"/>
              <w:color w:val="auto"/>
              <w:sz w:val="28"/>
              <w:szCs w:val="28"/>
              <w:rtl/>
            </w:rPr>
            <w:t>חולין דף קט"ז ע"ב</w:t>
          </w:r>
        </w:p>
        <w:p w:rsidR="001171C7" w:rsidRDefault="007978F4">
          <w:pPr>
            <w:pStyle w:val="TOC1"/>
            <w:rPr>
              <w:rFonts w:eastAsiaTheme="minorEastAsia" w:cstheme="minorBidi"/>
              <w:b w:val="0"/>
              <w:bCs w:val="0"/>
              <w:rtl/>
            </w:rPr>
          </w:pPr>
          <w:hyperlink w:anchor="_Toc496175429" w:history="1">
            <w:r w:rsidR="001171C7" w:rsidRPr="00D35CC1">
              <w:rPr>
                <w:rStyle w:val="Hyperlink"/>
                <w:rFonts w:cs="Guttman Drogolin"/>
                <w:rtl/>
              </w:rPr>
              <w:t>דיני חלב שבתוך קיבה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Toc496175429 \h</w:instrText>
            </w:r>
            <w:r w:rsidR="001171C7">
              <w:rPr>
                <w:webHidden/>
                <w:rtl/>
              </w:rPr>
              <w:instrText xml:space="preserve"> </w:instrText>
            </w:r>
            <w:r w:rsidR="001171C7">
              <w:rPr>
                <w:webHidden/>
                <w:rtl/>
              </w:rPr>
            </w:r>
            <w:r w:rsidR="001171C7">
              <w:rPr>
                <w:webHidden/>
                <w:rtl/>
              </w:rPr>
              <w:fldChar w:fldCharType="separate"/>
            </w:r>
            <w:r w:rsidR="006A6D13">
              <w:rPr>
                <w:webHidden/>
                <w:rtl/>
              </w:rPr>
              <w:t>187</w:t>
            </w:r>
            <w:r w:rsidR="001171C7">
              <w:rPr>
                <w:webHidden/>
                <w:rtl/>
              </w:rPr>
              <w:fldChar w:fldCharType="end"/>
            </w:r>
          </w:hyperlink>
        </w:p>
        <w:p w:rsidR="001171C7" w:rsidRDefault="007978F4">
          <w:pPr>
            <w:pStyle w:val="TOC1"/>
            <w:rPr>
              <w:rFonts w:eastAsiaTheme="minorEastAsia" w:cstheme="minorBidi"/>
              <w:b w:val="0"/>
              <w:bCs w:val="0"/>
              <w:rtl/>
            </w:rPr>
          </w:pPr>
          <w:hyperlink w:anchor="_Toc496175430" w:history="1">
            <w:r w:rsidR="001171C7" w:rsidRPr="00D35CC1">
              <w:rPr>
                <w:rStyle w:val="Hyperlink"/>
                <w:rFonts w:cs="Guttman Drogolin"/>
                <w:rtl/>
              </w:rPr>
              <w:t>דיני מעמיד</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Toc496175430 \h</w:instrText>
            </w:r>
            <w:r w:rsidR="001171C7">
              <w:rPr>
                <w:webHidden/>
                <w:rtl/>
              </w:rPr>
              <w:instrText xml:space="preserve"> </w:instrText>
            </w:r>
            <w:r w:rsidR="001171C7">
              <w:rPr>
                <w:webHidden/>
                <w:rtl/>
              </w:rPr>
            </w:r>
            <w:r w:rsidR="001171C7">
              <w:rPr>
                <w:webHidden/>
                <w:rtl/>
              </w:rPr>
              <w:fldChar w:fldCharType="separate"/>
            </w:r>
            <w:r w:rsidR="006A6D13">
              <w:rPr>
                <w:webHidden/>
                <w:rtl/>
              </w:rPr>
              <w:t>188</w:t>
            </w:r>
            <w:r w:rsidR="001171C7">
              <w:rPr>
                <w:webHidden/>
                <w:rtl/>
              </w:rPr>
              <w:fldChar w:fldCharType="end"/>
            </w:r>
          </w:hyperlink>
        </w:p>
        <w:p w:rsidR="001171C7" w:rsidRDefault="007978F4">
          <w:pPr>
            <w:pStyle w:val="TOC1"/>
            <w:rPr>
              <w:rFonts w:eastAsiaTheme="minorEastAsia" w:cstheme="minorBidi"/>
              <w:b w:val="0"/>
              <w:bCs w:val="0"/>
              <w:rtl/>
            </w:rPr>
          </w:pPr>
          <w:hyperlink w:anchor="_Toc496175431" w:history="1">
            <w:r w:rsidR="001171C7" w:rsidRPr="00D35CC1">
              <w:rPr>
                <w:rStyle w:val="Hyperlink"/>
                <w:rFonts w:cs="Guttman Drogolin"/>
                <w:rtl/>
              </w:rPr>
              <w:t>דברי רש"י בדין נ"ט בר נ"ט</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Toc496175431 \h</w:instrText>
            </w:r>
            <w:r w:rsidR="001171C7">
              <w:rPr>
                <w:webHidden/>
                <w:rtl/>
              </w:rPr>
              <w:instrText xml:space="preserve"> </w:instrText>
            </w:r>
            <w:r w:rsidR="001171C7">
              <w:rPr>
                <w:webHidden/>
                <w:rtl/>
              </w:rPr>
            </w:r>
            <w:r w:rsidR="001171C7">
              <w:rPr>
                <w:webHidden/>
                <w:rtl/>
              </w:rPr>
              <w:fldChar w:fldCharType="separate"/>
            </w:r>
            <w:r w:rsidR="006A6D13">
              <w:rPr>
                <w:webHidden/>
                <w:rtl/>
              </w:rPr>
              <w:t>188</w:t>
            </w:r>
            <w:r w:rsidR="001171C7">
              <w:rPr>
                <w:webHidden/>
                <w:rtl/>
              </w:rPr>
              <w:fldChar w:fldCharType="end"/>
            </w:r>
          </w:hyperlink>
        </w:p>
        <w:p w:rsidR="00E4340F" w:rsidRPr="001E30A3" w:rsidRDefault="00E4340F" w:rsidP="00E4340F">
          <w:pPr>
            <w:pStyle w:val="TOC1"/>
            <w:spacing w:before="240"/>
            <w:rPr>
              <w:rStyle w:val="Hyperlink"/>
              <w:color w:val="auto"/>
              <w:sz w:val="28"/>
              <w:szCs w:val="28"/>
              <w:rtl/>
            </w:rPr>
          </w:pPr>
          <w:r>
            <w:rPr>
              <w:rStyle w:val="Hyperlink"/>
              <w:rFonts w:hint="cs"/>
              <w:color w:val="auto"/>
              <w:sz w:val="28"/>
              <w:szCs w:val="28"/>
              <w:rtl/>
            </w:rPr>
            <w:t>יו"ד סי' פ"ז</w:t>
          </w:r>
        </w:p>
        <w:p w:rsidR="001171C7" w:rsidRDefault="007978F4">
          <w:pPr>
            <w:pStyle w:val="TOC1"/>
            <w:rPr>
              <w:rFonts w:eastAsiaTheme="minorEastAsia" w:cstheme="minorBidi"/>
              <w:b w:val="0"/>
              <w:bCs w:val="0"/>
              <w:rtl/>
            </w:rPr>
          </w:pPr>
          <w:hyperlink w:anchor="_Toc496175432" w:history="1">
            <w:r w:rsidR="001171C7" w:rsidRPr="00D35CC1">
              <w:rPr>
                <w:rStyle w:val="Hyperlink"/>
                <w:rFonts w:cs="Guttman Drogolin"/>
                <w:rtl/>
              </w:rPr>
              <w:t>בישול בשר בחלב לאיבוד</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Toc496175432 \h</w:instrText>
            </w:r>
            <w:r w:rsidR="001171C7">
              <w:rPr>
                <w:webHidden/>
                <w:rtl/>
              </w:rPr>
              <w:instrText xml:space="preserve"> </w:instrText>
            </w:r>
            <w:r w:rsidR="001171C7">
              <w:rPr>
                <w:webHidden/>
                <w:rtl/>
              </w:rPr>
            </w:r>
            <w:r w:rsidR="001171C7">
              <w:rPr>
                <w:webHidden/>
                <w:rtl/>
              </w:rPr>
              <w:fldChar w:fldCharType="separate"/>
            </w:r>
            <w:r w:rsidR="006A6D13">
              <w:rPr>
                <w:webHidden/>
                <w:rtl/>
              </w:rPr>
              <w:t>190</w:t>
            </w:r>
            <w:r w:rsidR="001171C7">
              <w:rPr>
                <w:webHidden/>
                <w:rtl/>
              </w:rPr>
              <w:fldChar w:fldCharType="end"/>
            </w:r>
          </w:hyperlink>
        </w:p>
        <w:p w:rsidR="001171C7" w:rsidRDefault="007978F4">
          <w:pPr>
            <w:pStyle w:val="TOC1"/>
            <w:rPr>
              <w:rFonts w:eastAsiaTheme="minorEastAsia" w:cstheme="minorBidi"/>
              <w:b w:val="0"/>
              <w:bCs w:val="0"/>
              <w:rtl/>
            </w:rPr>
          </w:pPr>
          <w:hyperlink w:anchor="_Toc496175433" w:history="1">
            <w:r w:rsidR="001171C7" w:rsidRPr="00D35CC1">
              <w:rPr>
                <w:rStyle w:val="Hyperlink"/>
                <w:rFonts w:cs="Guttman Drogolin"/>
                <w:rtl/>
              </w:rPr>
              <w:t>בישול אחר כבוש</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Toc496175433 \h</w:instrText>
            </w:r>
            <w:r w:rsidR="001171C7">
              <w:rPr>
                <w:webHidden/>
                <w:rtl/>
              </w:rPr>
              <w:instrText xml:space="preserve"> </w:instrText>
            </w:r>
            <w:r w:rsidR="001171C7">
              <w:rPr>
                <w:webHidden/>
                <w:rtl/>
              </w:rPr>
            </w:r>
            <w:r w:rsidR="001171C7">
              <w:rPr>
                <w:webHidden/>
                <w:rtl/>
              </w:rPr>
              <w:fldChar w:fldCharType="separate"/>
            </w:r>
            <w:r w:rsidR="006A6D13">
              <w:rPr>
                <w:webHidden/>
                <w:rtl/>
              </w:rPr>
              <w:t>191</w:t>
            </w:r>
            <w:r w:rsidR="001171C7">
              <w:rPr>
                <w:webHidden/>
                <w:rtl/>
              </w:rPr>
              <w:fldChar w:fldCharType="end"/>
            </w:r>
          </w:hyperlink>
        </w:p>
        <w:p w:rsidR="001171C7" w:rsidRDefault="007978F4">
          <w:pPr>
            <w:pStyle w:val="TOC1"/>
            <w:rPr>
              <w:rFonts w:eastAsiaTheme="minorEastAsia" w:cstheme="minorBidi"/>
              <w:b w:val="0"/>
              <w:bCs w:val="0"/>
              <w:rtl/>
            </w:rPr>
          </w:pPr>
          <w:hyperlink w:anchor="_Toc496175434" w:history="1">
            <w:r w:rsidR="001171C7" w:rsidRPr="00D35CC1">
              <w:rPr>
                <w:rStyle w:val="Hyperlink"/>
                <w:rFonts w:cs="Guttman Drogolin"/>
                <w:rtl/>
              </w:rPr>
              <w:t>הערה בסוגי בישול השונים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Toc496175434 \h</w:instrText>
            </w:r>
            <w:r w:rsidR="001171C7">
              <w:rPr>
                <w:webHidden/>
                <w:rtl/>
              </w:rPr>
              <w:instrText xml:space="preserve"> </w:instrText>
            </w:r>
            <w:r w:rsidR="001171C7">
              <w:rPr>
                <w:webHidden/>
                <w:rtl/>
              </w:rPr>
            </w:r>
            <w:r w:rsidR="001171C7">
              <w:rPr>
                <w:webHidden/>
                <w:rtl/>
              </w:rPr>
              <w:fldChar w:fldCharType="separate"/>
            </w:r>
            <w:r w:rsidR="006A6D13">
              <w:rPr>
                <w:webHidden/>
                <w:rtl/>
              </w:rPr>
              <w:t>192</w:t>
            </w:r>
            <w:r w:rsidR="001171C7">
              <w:rPr>
                <w:webHidden/>
                <w:rtl/>
              </w:rPr>
              <w:fldChar w:fldCharType="end"/>
            </w:r>
          </w:hyperlink>
        </w:p>
        <w:p w:rsidR="001171C7" w:rsidRDefault="007978F4">
          <w:pPr>
            <w:pStyle w:val="TOC1"/>
            <w:rPr>
              <w:rFonts w:eastAsiaTheme="minorEastAsia" w:cstheme="minorBidi"/>
              <w:b w:val="0"/>
              <w:bCs w:val="0"/>
              <w:rtl/>
            </w:rPr>
          </w:pPr>
          <w:hyperlink w:anchor="_Toc496175435" w:history="1">
            <w:r w:rsidR="001171C7" w:rsidRPr="00D35CC1">
              <w:rPr>
                <w:rStyle w:val="Hyperlink"/>
                <w:rFonts w:cs="Guttman Drogolin"/>
                <w:rtl/>
              </w:rPr>
              <w:t>אם יש איסור בב"ח בחלב או בשר בהמה טמאה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Toc496175435 \h</w:instrText>
            </w:r>
            <w:r w:rsidR="001171C7">
              <w:rPr>
                <w:webHidden/>
                <w:rtl/>
              </w:rPr>
              <w:instrText xml:space="preserve"> </w:instrText>
            </w:r>
            <w:r w:rsidR="001171C7">
              <w:rPr>
                <w:webHidden/>
                <w:rtl/>
              </w:rPr>
            </w:r>
            <w:r w:rsidR="001171C7">
              <w:rPr>
                <w:webHidden/>
                <w:rtl/>
              </w:rPr>
              <w:fldChar w:fldCharType="separate"/>
            </w:r>
            <w:r w:rsidR="006A6D13">
              <w:rPr>
                <w:webHidden/>
                <w:rtl/>
              </w:rPr>
              <w:t>192</w:t>
            </w:r>
            <w:r w:rsidR="001171C7">
              <w:rPr>
                <w:webHidden/>
                <w:rtl/>
              </w:rPr>
              <w:fldChar w:fldCharType="end"/>
            </w:r>
          </w:hyperlink>
        </w:p>
        <w:p w:rsidR="001171C7" w:rsidRDefault="007978F4">
          <w:pPr>
            <w:pStyle w:val="TOC1"/>
            <w:rPr>
              <w:rFonts w:eastAsiaTheme="minorEastAsia" w:cstheme="minorBidi"/>
              <w:b w:val="0"/>
              <w:bCs w:val="0"/>
              <w:rtl/>
            </w:rPr>
          </w:pPr>
          <w:hyperlink w:anchor="_Toc496175436" w:history="1">
            <w:r w:rsidR="001171C7" w:rsidRPr="00D35CC1">
              <w:rPr>
                <w:rStyle w:val="Hyperlink"/>
                <w:rFonts w:cs="Guttman Drogolin"/>
                <w:rtl/>
              </w:rPr>
              <w:t>ביאור לשון הרמ"א בסע' 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Toc496175436 \h</w:instrText>
            </w:r>
            <w:r w:rsidR="001171C7">
              <w:rPr>
                <w:webHidden/>
                <w:rtl/>
              </w:rPr>
              <w:instrText xml:space="preserve"> </w:instrText>
            </w:r>
            <w:r w:rsidR="001171C7">
              <w:rPr>
                <w:webHidden/>
                <w:rtl/>
              </w:rPr>
            </w:r>
            <w:r w:rsidR="001171C7">
              <w:rPr>
                <w:webHidden/>
                <w:rtl/>
              </w:rPr>
              <w:fldChar w:fldCharType="separate"/>
            </w:r>
            <w:r w:rsidR="006A6D13">
              <w:rPr>
                <w:webHidden/>
                <w:rtl/>
              </w:rPr>
              <w:t>194</w:t>
            </w:r>
            <w:r w:rsidR="001171C7">
              <w:rPr>
                <w:webHidden/>
                <w:rtl/>
              </w:rPr>
              <w:fldChar w:fldCharType="end"/>
            </w:r>
          </w:hyperlink>
        </w:p>
        <w:p w:rsidR="001171C7" w:rsidRDefault="007978F4">
          <w:pPr>
            <w:pStyle w:val="TOC1"/>
            <w:rPr>
              <w:rFonts w:eastAsiaTheme="minorEastAsia" w:cstheme="minorBidi"/>
              <w:b w:val="0"/>
              <w:bCs w:val="0"/>
              <w:rtl/>
            </w:rPr>
          </w:pPr>
          <w:hyperlink w:anchor="_Toc496175437" w:history="1">
            <w:r w:rsidR="001171C7" w:rsidRPr="00D35CC1">
              <w:rPr>
                <w:rStyle w:val="Hyperlink"/>
                <w:rFonts w:cs="Guttman Drogolin"/>
                <w:rtl/>
              </w:rPr>
              <w:t>דיני מראית העין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Toc496175437 \h</w:instrText>
            </w:r>
            <w:r w:rsidR="001171C7">
              <w:rPr>
                <w:webHidden/>
                <w:rtl/>
              </w:rPr>
              <w:instrText xml:space="preserve"> </w:instrText>
            </w:r>
            <w:r w:rsidR="001171C7">
              <w:rPr>
                <w:webHidden/>
                <w:rtl/>
              </w:rPr>
            </w:r>
            <w:r w:rsidR="001171C7">
              <w:rPr>
                <w:webHidden/>
                <w:rtl/>
              </w:rPr>
              <w:fldChar w:fldCharType="separate"/>
            </w:r>
            <w:r w:rsidR="006A6D13">
              <w:rPr>
                <w:webHidden/>
                <w:rtl/>
              </w:rPr>
              <w:t>194</w:t>
            </w:r>
            <w:r w:rsidR="001171C7">
              <w:rPr>
                <w:webHidden/>
                <w:rtl/>
              </w:rPr>
              <w:fldChar w:fldCharType="end"/>
            </w:r>
          </w:hyperlink>
        </w:p>
        <w:p w:rsidR="001171C7" w:rsidRDefault="007978F4">
          <w:pPr>
            <w:pStyle w:val="TOC1"/>
            <w:rPr>
              <w:rFonts w:eastAsiaTheme="minorEastAsia" w:cstheme="minorBidi"/>
              <w:b w:val="0"/>
              <w:bCs w:val="0"/>
              <w:rtl/>
            </w:rPr>
          </w:pPr>
          <w:hyperlink w:anchor="_Toc496175438" w:history="1">
            <w:r w:rsidR="001171C7" w:rsidRPr="00D35CC1">
              <w:rPr>
                <w:rStyle w:val="Hyperlink"/>
                <w:rFonts w:cs="Guttman Drogolin"/>
                <w:rtl/>
              </w:rPr>
              <w:t>מראית העין באיסורים מדרבנן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Toc496175438 \h</w:instrText>
            </w:r>
            <w:r w:rsidR="001171C7">
              <w:rPr>
                <w:webHidden/>
                <w:rtl/>
              </w:rPr>
              <w:instrText xml:space="preserve"> </w:instrText>
            </w:r>
            <w:r w:rsidR="001171C7">
              <w:rPr>
                <w:webHidden/>
                <w:rtl/>
              </w:rPr>
            </w:r>
            <w:r w:rsidR="001171C7">
              <w:rPr>
                <w:webHidden/>
                <w:rtl/>
              </w:rPr>
              <w:fldChar w:fldCharType="separate"/>
            </w:r>
            <w:r w:rsidR="006A6D13">
              <w:rPr>
                <w:webHidden/>
                <w:rtl/>
              </w:rPr>
              <w:t>195</w:t>
            </w:r>
            <w:r w:rsidR="001171C7">
              <w:rPr>
                <w:webHidden/>
                <w:rtl/>
              </w:rPr>
              <w:fldChar w:fldCharType="end"/>
            </w:r>
          </w:hyperlink>
        </w:p>
        <w:p w:rsidR="001171C7" w:rsidRDefault="007978F4">
          <w:pPr>
            <w:pStyle w:val="TOC1"/>
            <w:rPr>
              <w:rFonts w:eastAsiaTheme="minorEastAsia" w:cstheme="minorBidi"/>
              <w:b w:val="0"/>
              <w:bCs w:val="0"/>
              <w:rtl/>
            </w:rPr>
          </w:pPr>
          <w:hyperlink w:anchor="_Toc496175439" w:history="1">
            <w:r w:rsidR="001171C7" w:rsidRPr="00D35CC1">
              <w:rPr>
                <w:rStyle w:val="Hyperlink"/>
                <w:rFonts w:cs="Guttman Drogolin"/>
                <w:rtl/>
              </w:rPr>
              <w:t>בהא דמהני היכר להתיר מראית העין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Toc496175439 \h</w:instrText>
            </w:r>
            <w:r w:rsidR="001171C7">
              <w:rPr>
                <w:webHidden/>
                <w:rtl/>
              </w:rPr>
              <w:instrText xml:space="preserve"> </w:instrText>
            </w:r>
            <w:r w:rsidR="001171C7">
              <w:rPr>
                <w:webHidden/>
                <w:rtl/>
              </w:rPr>
            </w:r>
            <w:r w:rsidR="001171C7">
              <w:rPr>
                <w:webHidden/>
                <w:rtl/>
              </w:rPr>
              <w:fldChar w:fldCharType="separate"/>
            </w:r>
            <w:r w:rsidR="006A6D13">
              <w:rPr>
                <w:webHidden/>
                <w:rtl/>
              </w:rPr>
              <w:t>196</w:t>
            </w:r>
            <w:r w:rsidR="001171C7">
              <w:rPr>
                <w:webHidden/>
                <w:rtl/>
              </w:rPr>
              <w:fldChar w:fldCharType="end"/>
            </w:r>
          </w:hyperlink>
        </w:p>
        <w:p w:rsidR="001171C7" w:rsidRDefault="007978F4">
          <w:pPr>
            <w:pStyle w:val="TOC1"/>
            <w:rPr>
              <w:rFonts w:eastAsiaTheme="minorEastAsia" w:cstheme="minorBidi"/>
              <w:b w:val="0"/>
              <w:bCs w:val="0"/>
              <w:rtl/>
            </w:rPr>
          </w:pPr>
          <w:hyperlink w:anchor="_Toc496175440" w:history="1">
            <w:r w:rsidR="001171C7" w:rsidRPr="00D35CC1">
              <w:rPr>
                <w:rStyle w:val="Hyperlink"/>
                <w:rFonts w:cs="Guttman Drogolin"/>
                <w:rtl/>
              </w:rPr>
              <w:t>תחליפי חלב ובשר של היום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Toc496175440 \h</w:instrText>
            </w:r>
            <w:r w:rsidR="001171C7">
              <w:rPr>
                <w:webHidden/>
                <w:rtl/>
              </w:rPr>
              <w:instrText xml:space="preserve"> </w:instrText>
            </w:r>
            <w:r w:rsidR="001171C7">
              <w:rPr>
                <w:webHidden/>
                <w:rtl/>
              </w:rPr>
            </w:r>
            <w:r w:rsidR="001171C7">
              <w:rPr>
                <w:webHidden/>
                <w:rtl/>
              </w:rPr>
              <w:fldChar w:fldCharType="separate"/>
            </w:r>
            <w:r w:rsidR="006A6D13">
              <w:rPr>
                <w:webHidden/>
                <w:rtl/>
              </w:rPr>
              <w:t>197</w:t>
            </w:r>
            <w:r w:rsidR="001171C7">
              <w:rPr>
                <w:webHidden/>
                <w:rtl/>
              </w:rPr>
              <w:fldChar w:fldCharType="end"/>
            </w:r>
          </w:hyperlink>
        </w:p>
        <w:p w:rsidR="001171C7" w:rsidRDefault="007978F4">
          <w:pPr>
            <w:pStyle w:val="TOC1"/>
            <w:rPr>
              <w:rFonts w:eastAsiaTheme="minorEastAsia" w:cstheme="minorBidi"/>
              <w:b w:val="0"/>
              <w:bCs w:val="0"/>
              <w:rtl/>
            </w:rPr>
          </w:pPr>
          <w:hyperlink w:anchor="_Toc496175441" w:history="1">
            <w:r w:rsidR="001171C7" w:rsidRPr="00D35CC1">
              <w:rPr>
                <w:rStyle w:val="Hyperlink"/>
                <w:rFonts w:cs="Guttman Drogolin"/>
                <w:rtl/>
              </w:rPr>
              <w:t>הערה בדין אכילת גבינה אחרי אכילת ביצה שיש לה דין בשר עוף</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Toc496175441 \h</w:instrText>
            </w:r>
            <w:r w:rsidR="001171C7">
              <w:rPr>
                <w:webHidden/>
                <w:rtl/>
              </w:rPr>
              <w:instrText xml:space="preserve"> </w:instrText>
            </w:r>
            <w:r w:rsidR="001171C7">
              <w:rPr>
                <w:webHidden/>
                <w:rtl/>
              </w:rPr>
            </w:r>
            <w:r w:rsidR="001171C7">
              <w:rPr>
                <w:webHidden/>
                <w:rtl/>
              </w:rPr>
              <w:fldChar w:fldCharType="separate"/>
            </w:r>
            <w:r w:rsidR="006A6D13">
              <w:rPr>
                <w:webHidden/>
                <w:rtl/>
              </w:rPr>
              <w:t>198</w:t>
            </w:r>
            <w:r w:rsidR="001171C7">
              <w:rPr>
                <w:webHidden/>
                <w:rtl/>
              </w:rPr>
              <w:fldChar w:fldCharType="end"/>
            </w:r>
          </w:hyperlink>
        </w:p>
        <w:p w:rsidR="001171C7" w:rsidRDefault="007978F4">
          <w:pPr>
            <w:pStyle w:val="TOC1"/>
            <w:rPr>
              <w:rFonts w:eastAsiaTheme="minorEastAsia" w:cstheme="minorBidi"/>
              <w:b w:val="0"/>
              <w:bCs w:val="0"/>
              <w:rtl/>
            </w:rPr>
          </w:pPr>
          <w:hyperlink w:anchor="_Toc496175442" w:history="1">
            <w:r w:rsidR="001171C7" w:rsidRPr="00D35CC1">
              <w:rPr>
                <w:rStyle w:val="Hyperlink"/>
                <w:rFonts w:cs="Guttman Drogolin"/>
                <w:rtl/>
              </w:rPr>
              <w:t>בדין מעושן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Toc496175442 \h</w:instrText>
            </w:r>
            <w:r w:rsidR="001171C7">
              <w:rPr>
                <w:webHidden/>
                <w:rtl/>
              </w:rPr>
              <w:instrText xml:space="preserve"> </w:instrText>
            </w:r>
            <w:r w:rsidR="001171C7">
              <w:rPr>
                <w:webHidden/>
                <w:rtl/>
              </w:rPr>
            </w:r>
            <w:r w:rsidR="001171C7">
              <w:rPr>
                <w:webHidden/>
                <w:rtl/>
              </w:rPr>
              <w:fldChar w:fldCharType="separate"/>
            </w:r>
            <w:r w:rsidR="006A6D13">
              <w:rPr>
                <w:webHidden/>
                <w:rtl/>
              </w:rPr>
              <w:t>198</w:t>
            </w:r>
            <w:r w:rsidR="001171C7">
              <w:rPr>
                <w:webHidden/>
                <w:rtl/>
              </w:rPr>
              <w:fldChar w:fldCharType="end"/>
            </w:r>
          </w:hyperlink>
        </w:p>
        <w:p w:rsidR="001171C7" w:rsidRDefault="007978F4">
          <w:pPr>
            <w:pStyle w:val="TOC1"/>
            <w:rPr>
              <w:rFonts w:eastAsiaTheme="minorEastAsia" w:cstheme="minorBidi"/>
              <w:b w:val="0"/>
              <w:bCs w:val="0"/>
              <w:rtl/>
            </w:rPr>
          </w:pPr>
          <w:hyperlink w:anchor="_Toc496175443" w:history="1">
            <w:r w:rsidR="001171C7" w:rsidRPr="00D35CC1">
              <w:rPr>
                <w:rStyle w:val="Hyperlink"/>
                <w:rFonts w:cs="Guttman Drogolin"/>
                <w:rtl/>
              </w:rPr>
              <w:t>דברי המחבר בסע' 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Toc496175443 \h</w:instrText>
            </w:r>
            <w:r w:rsidR="001171C7">
              <w:rPr>
                <w:webHidden/>
                <w:rtl/>
              </w:rPr>
              <w:instrText xml:space="preserve"> </w:instrText>
            </w:r>
            <w:r w:rsidR="001171C7">
              <w:rPr>
                <w:webHidden/>
                <w:rtl/>
              </w:rPr>
            </w:r>
            <w:r w:rsidR="001171C7">
              <w:rPr>
                <w:webHidden/>
                <w:rtl/>
              </w:rPr>
              <w:fldChar w:fldCharType="separate"/>
            </w:r>
            <w:r w:rsidR="006A6D13">
              <w:rPr>
                <w:webHidden/>
                <w:rtl/>
              </w:rPr>
              <w:t>199</w:t>
            </w:r>
            <w:r w:rsidR="001171C7">
              <w:rPr>
                <w:webHidden/>
                <w:rtl/>
              </w:rPr>
              <w:fldChar w:fldCharType="end"/>
            </w:r>
          </w:hyperlink>
        </w:p>
        <w:p w:rsidR="001171C7" w:rsidRDefault="007978F4">
          <w:pPr>
            <w:pStyle w:val="TOC1"/>
            <w:rPr>
              <w:rFonts w:eastAsiaTheme="minorEastAsia" w:cstheme="minorBidi"/>
              <w:b w:val="0"/>
              <w:bCs w:val="0"/>
              <w:rtl/>
            </w:rPr>
          </w:pPr>
          <w:hyperlink w:anchor="_Toc496175444" w:history="1">
            <w:r w:rsidR="001171C7" w:rsidRPr="00D35CC1">
              <w:rPr>
                <w:rStyle w:val="Hyperlink"/>
                <w:rFonts w:cs="Guttman Drogolin"/>
                <w:rtl/>
              </w:rPr>
              <w:t>האיסור לחתות בגחלים מתחת לקדירה שבלוע בה בב"ח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Toc496175444 \h</w:instrText>
            </w:r>
            <w:r w:rsidR="001171C7">
              <w:rPr>
                <w:webHidden/>
                <w:rtl/>
              </w:rPr>
              <w:instrText xml:space="preserve"> </w:instrText>
            </w:r>
            <w:r w:rsidR="001171C7">
              <w:rPr>
                <w:webHidden/>
                <w:rtl/>
              </w:rPr>
            </w:r>
            <w:r w:rsidR="001171C7">
              <w:rPr>
                <w:webHidden/>
                <w:rtl/>
              </w:rPr>
              <w:fldChar w:fldCharType="separate"/>
            </w:r>
            <w:r w:rsidR="006A6D13">
              <w:rPr>
                <w:webHidden/>
                <w:rtl/>
              </w:rPr>
              <w:t>199</w:t>
            </w:r>
            <w:r w:rsidR="001171C7">
              <w:rPr>
                <w:webHidden/>
                <w:rtl/>
              </w:rPr>
              <w:fldChar w:fldCharType="end"/>
            </w:r>
          </w:hyperlink>
        </w:p>
        <w:p w:rsidR="001171C7" w:rsidRDefault="007978F4">
          <w:pPr>
            <w:pStyle w:val="TOC1"/>
            <w:rPr>
              <w:rFonts w:eastAsiaTheme="minorEastAsia" w:cstheme="minorBidi"/>
              <w:b w:val="0"/>
              <w:bCs w:val="0"/>
              <w:rtl/>
            </w:rPr>
          </w:pPr>
          <w:hyperlink w:anchor="_Toc496175445" w:history="1">
            <w:r w:rsidR="001171C7" w:rsidRPr="00D35CC1">
              <w:rPr>
                <w:rStyle w:val="Hyperlink"/>
                <w:rFonts w:cs="Guttman Drogolin"/>
                <w:rtl/>
              </w:rPr>
              <w:t>עירוב מים שהדיחו בהם כלי בשר עם מים של כלי חלב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Toc496175445 \h</w:instrText>
            </w:r>
            <w:r w:rsidR="001171C7">
              <w:rPr>
                <w:webHidden/>
                <w:rtl/>
              </w:rPr>
              <w:instrText xml:space="preserve"> </w:instrText>
            </w:r>
            <w:r w:rsidR="001171C7">
              <w:rPr>
                <w:webHidden/>
                <w:rtl/>
              </w:rPr>
            </w:r>
            <w:r w:rsidR="001171C7">
              <w:rPr>
                <w:webHidden/>
                <w:rtl/>
              </w:rPr>
              <w:fldChar w:fldCharType="separate"/>
            </w:r>
            <w:r w:rsidR="006A6D13">
              <w:rPr>
                <w:webHidden/>
                <w:rtl/>
              </w:rPr>
              <w:t>201</w:t>
            </w:r>
            <w:r w:rsidR="001171C7">
              <w:rPr>
                <w:webHidden/>
                <w:rtl/>
              </w:rPr>
              <w:fldChar w:fldCharType="end"/>
            </w:r>
          </w:hyperlink>
        </w:p>
        <w:p w:rsidR="001171C7" w:rsidRDefault="007978F4">
          <w:pPr>
            <w:pStyle w:val="TOC1"/>
            <w:rPr>
              <w:rFonts w:eastAsiaTheme="minorEastAsia" w:cstheme="minorBidi"/>
              <w:b w:val="0"/>
              <w:bCs w:val="0"/>
              <w:rtl/>
            </w:rPr>
          </w:pPr>
          <w:hyperlink w:anchor="_Toc496175446" w:history="1">
            <w:r w:rsidR="001171C7" w:rsidRPr="00D35CC1">
              <w:rPr>
                <w:rStyle w:val="Hyperlink"/>
                <w:rFonts w:cs="Guttman Drogolin"/>
                <w:rtl/>
              </w:rPr>
              <w:t>לבשל בכלי שעושין בו מים לחפיפת הראש</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Toc496175446 \h</w:instrText>
            </w:r>
            <w:r w:rsidR="001171C7">
              <w:rPr>
                <w:webHidden/>
                <w:rtl/>
              </w:rPr>
              <w:instrText xml:space="preserve"> </w:instrText>
            </w:r>
            <w:r w:rsidR="001171C7">
              <w:rPr>
                <w:webHidden/>
                <w:rtl/>
              </w:rPr>
            </w:r>
            <w:r w:rsidR="001171C7">
              <w:rPr>
                <w:webHidden/>
                <w:rtl/>
              </w:rPr>
              <w:fldChar w:fldCharType="separate"/>
            </w:r>
            <w:r w:rsidR="006A6D13">
              <w:rPr>
                <w:webHidden/>
                <w:rtl/>
              </w:rPr>
              <w:t>202</w:t>
            </w:r>
            <w:r w:rsidR="001171C7">
              <w:rPr>
                <w:webHidden/>
                <w:rtl/>
              </w:rPr>
              <w:fldChar w:fldCharType="end"/>
            </w:r>
          </w:hyperlink>
        </w:p>
        <w:p w:rsidR="001171C7" w:rsidRDefault="007978F4">
          <w:pPr>
            <w:pStyle w:val="TOC1"/>
            <w:rPr>
              <w:rFonts w:eastAsiaTheme="minorEastAsia" w:cstheme="minorBidi"/>
              <w:b w:val="0"/>
              <w:bCs w:val="0"/>
              <w:rtl/>
            </w:rPr>
          </w:pPr>
          <w:hyperlink w:anchor="_Toc496175447" w:history="1">
            <w:r w:rsidR="001171C7" w:rsidRPr="00D35CC1">
              <w:rPr>
                <w:rStyle w:val="Hyperlink"/>
                <w:rFonts w:cs="Guttman Drogolin"/>
                <w:rtl/>
              </w:rPr>
              <w:t>בשר בחלב בעצמות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Toc496175447 \h</w:instrText>
            </w:r>
            <w:r w:rsidR="001171C7">
              <w:rPr>
                <w:webHidden/>
                <w:rtl/>
              </w:rPr>
              <w:instrText xml:space="preserve"> </w:instrText>
            </w:r>
            <w:r w:rsidR="001171C7">
              <w:rPr>
                <w:webHidden/>
                <w:rtl/>
              </w:rPr>
            </w:r>
            <w:r w:rsidR="001171C7">
              <w:rPr>
                <w:webHidden/>
                <w:rtl/>
              </w:rPr>
              <w:fldChar w:fldCharType="separate"/>
            </w:r>
            <w:r w:rsidR="006A6D13">
              <w:rPr>
                <w:webHidden/>
                <w:rtl/>
              </w:rPr>
              <w:t>202</w:t>
            </w:r>
            <w:r w:rsidR="001171C7">
              <w:rPr>
                <w:webHidden/>
                <w:rtl/>
              </w:rPr>
              <w:fldChar w:fldCharType="end"/>
            </w:r>
          </w:hyperlink>
        </w:p>
        <w:p w:rsidR="001171C7" w:rsidRDefault="007978F4">
          <w:pPr>
            <w:pStyle w:val="TOC1"/>
            <w:rPr>
              <w:rFonts w:eastAsiaTheme="minorEastAsia" w:cstheme="minorBidi"/>
              <w:b w:val="0"/>
              <w:bCs w:val="0"/>
              <w:rtl/>
            </w:rPr>
          </w:pPr>
          <w:hyperlink w:anchor="_Toc496175448" w:history="1">
            <w:r w:rsidR="001171C7" w:rsidRPr="00D35CC1">
              <w:rPr>
                <w:rStyle w:val="Hyperlink"/>
                <w:rFonts w:cs="Guttman Drogolin"/>
                <w:rtl/>
              </w:rPr>
              <w:t>הערה בהגעלת כלי מדין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Toc496175448 \h</w:instrText>
            </w:r>
            <w:r w:rsidR="001171C7">
              <w:rPr>
                <w:webHidden/>
                <w:rtl/>
              </w:rPr>
              <w:instrText xml:space="preserve"> </w:instrText>
            </w:r>
            <w:r w:rsidR="001171C7">
              <w:rPr>
                <w:webHidden/>
                <w:rtl/>
              </w:rPr>
            </w:r>
            <w:r w:rsidR="001171C7">
              <w:rPr>
                <w:webHidden/>
                <w:rtl/>
              </w:rPr>
              <w:fldChar w:fldCharType="separate"/>
            </w:r>
            <w:r w:rsidR="006A6D13">
              <w:rPr>
                <w:webHidden/>
                <w:rtl/>
              </w:rPr>
              <w:t>203</w:t>
            </w:r>
            <w:r w:rsidR="001171C7">
              <w:rPr>
                <w:webHidden/>
                <w:rtl/>
              </w:rPr>
              <w:fldChar w:fldCharType="end"/>
            </w:r>
          </w:hyperlink>
        </w:p>
        <w:p w:rsidR="001171C7" w:rsidRDefault="007978F4">
          <w:pPr>
            <w:pStyle w:val="TOC1"/>
            <w:rPr>
              <w:rFonts w:eastAsiaTheme="minorEastAsia" w:cstheme="minorBidi"/>
              <w:b w:val="0"/>
              <w:bCs w:val="0"/>
              <w:rtl/>
            </w:rPr>
          </w:pPr>
          <w:hyperlink w:anchor="_Toc496175449" w:history="1">
            <w:r w:rsidR="001171C7" w:rsidRPr="00D35CC1">
              <w:rPr>
                <w:rStyle w:val="Hyperlink"/>
                <w:rFonts w:cs="Guttman Drogolin"/>
                <w:rtl/>
              </w:rPr>
              <w:t>צ"ע בדברי רע"א בסע' 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Toc496175449 \h</w:instrText>
            </w:r>
            <w:r w:rsidR="001171C7">
              <w:rPr>
                <w:webHidden/>
                <w:rtl/>
              </w:rPr>
              <w:instrText xml:space="preserve"> </w:instrText>
            </w:r>
            <w:r w:rsidR="001171C7">
              <w:rPr>
                <w:webHidden/>
                <w:rtl/>
              </w:rPr>
            </w:r>
            <w:r w:rsidR="001171C7">
              <w:rPr>
                <w:webHidden/>
                <w:rtl/>
              </w:rPr>
              <w:fldChar w:fldCharType="separate"/>
            </w:r>
            <w:r w:rsidR="006A6D13">
              <w:rPr>
                <w:webHidden/>
                <w:rtl/>
              </w:rPr>
              <w:t>203</w:t>
            </w:r>
            <w:r w:rsidR="001171C7">
              <w:rPr>
                <w:webHidden/>
                <w:rtl/>
              </w:rPr>
              <w:fldChar w:fldCharType="end"/>
            </w:r>
          </w:hyperlink>
        </w:p>
        <w:p w:rsidR="001171C7" w:rsidRDefault="007978F4">
          <w:pPr>
            <w:pStyle w:val="TOC1"/>
            <w:rPr>
              <w:rFonts w:eastAsiaTheme="minorEastAsia" w:cstheme="minorBidi"/>
              <w:b w:val="0"/>
              <w:bCs w:val="0"/>
              <w:rtl/>
            </w:rPr>
          </w:pPr>
          <w:hyperlink w:anchor="_Toc496175450" w:history="1">
            <w:r w:rsidR="001171C7" w:rsidRPr="00D35CC1">
              <w:rPr>
                <w:rStyle w:val="Hyperlink"/>
                <w:rFonts w:cs="Guttman Drogolin"/>
                <w:rtl/>
              </w:rPr>
              <w:t>השיטות בקצרה הדין חלב הנמצא בקיבה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Toc496175450 \h</w:instrText>
            </w:r>
            <w:r w:rsidR="001171C7">
              <w:rPr>
                <w:webHidden/>
                <w:rtl/>
              </w:rPr>
              <w:instrText xml:space="preserve"> </w:instrText>
            </w:r>
            <w:r w:rsidR="001171C7">
              <w:rPr>
                <w:webHidden/>
                <w:rtl/>
              </w:rPr>
            </w:r>
            <w:r w:rsidR="001171C7">
              <w:rPr>
                <w:webHidden/>
                <w:rtl/>
              </w:rPr>
              <w:fldChar w:fldCharType="separate"/>
            </w:r>
            <w:r w:rsidR="006A6D13">
              <w:rPr>
                <w:webHidden/>
                <w:rtl/>
              </w:rPr>
              <w:t>203</w:t>
            </w:r>
            <w:r w:rsidR="001171C7">
              <w:rPr>
                <w:webHidden/>
                <w:rtl/>
              </w:rPr>
              <w:fldChar w:fldCharType="end"/>
            </w:r>
          </w:hyperlink>
        </w:p>
        <w:p w:rsidR="001171C7" w:rsidRDefault="007978F4">
          <w:pPr>
            <w:pStyle w:val="TOC1"/>
            <w:rPr>
              <w:rFonts w:eastAsiaTheme="minorEastAsia" w:cstheme="minorBidi"/>
              <w:b w:val="0"/>
              <w:bCs w:val="0"/>
              <w:rtl/>
            </w:rPr>
          </w:pPr>
          <w:hyperlink w:anchor="_Toc496175451" w:history="1">
            <w:r w:rsidR="001171C7" w:rsidRPr="00D35CC1">
              <w:rPr>
                <w:rStyle w:val="Hyperlink"/>
                <w:rFonts w:cs="Guttman Drogolin"/>
                <w:rtl/>
              </w:rPr>
              <w:t>השיטות בקצרה בדין מעמיד</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Toc496175451 \h</w:instrText>
            </w:r>
            <w:r w:rsidR="001171C7">
              <w:rPr>
                <w:webHidden/>
                <w:rtl/>
              </w:rPr>
              <w:instrText xml:space="preserve"> </w:instrText>
            </w:r>
            <w:r w:rsidR="001171C7">
              <w:rPr>
                <w:webHidden/>
                <w:rtl/>
              </w:rPr>
            </w:r>
            <w:r w:rsidR="001171C7">
              <w:rPr>
                <w:webHidden/>
                <w:rtl/>
              </w:rPr>
              <w:fldChar w:fldCharType="separate"/>
            </w:r>
            <w:r w:rsidR="006A6D13">
              <w:rPr>
                <w:webHidden/>
                <w:rtl/>
              </w:rPr>
              <w:t>204</w:t>
            </w:r>
            <w:r w:rsidR="001171C7">
              <w:rPr>
                <w:webHidden/>
                <w:rtl/>
              </w:rPr>
              <w:fldChar w:fldCharType="end"/>
            </w:r>
          </w:hyperlink>
        </w:p>
        <w:p w:rsidR="001171C7" w:rsidRDefault="007978F4">
          <w:pPr>
            <w:pStyle w:val="TOC1"/>
            <w:rPr>
              <w:rFonts w:eastAsiaTheme="minorEastAsia" w:cstheme="minorBidi"/>
              <w:b w:val="0"/>
              <w:bCs w:val="0"/>
              <w:rtl/>
            </w:rPr>
          </w:pPr>
          <w:hyperlink w:anchor="_Toc496175452" w:history="1">
            <w:r w:rsidR="001171C7" w:rsidRPr="00D35CC1">
              <w:rPr>
                <w:rStyle w:val="Hyperlink"/>
                <w:rFonts w:cs="Guttman Drogolin"/>
                <w:rtl/>
              </w:rPr>
              <w:t>חלב הקיבה שנמלח בעורו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Toc496175452 \h</w:instrText>
            </w:r>
            <w:r w:rsidR="001171C7">
              <w:rPr>
                <w:webHidden/>
                <w:rtl/>
              </w:rPr>
              <w:instrText xml:space="preserve"> </w:instrText>
            </w:r>
            <w:r w:rsidR="001171C7">
              <w:rPr>
                <w:webHidden/>
                <w:rtl/>
              </w:rPr>
            </w:r>
            <w:r w:rsidR="001171C7">
              <w:rPr>
                <w:webHidden/>
                <w:rtl/>
              </w:rPr>
              <w:fldChar w:fldCharType="separate"/>
            </w:r>
            <w:r w:rsidR="006A6D13">
              <w:rPr>
                <w:webHidden/>
                <w:rtl/>
              </w:rPr>
              <w:t>204</w:t>
            </w:r>
            <w:r w:rsidR="001171C7">
              <w:rPr>
                <w:webHidden/>
                <w:rtl/>
              </w:rPr>
              <w:fldChar w:fldCharType="end"/>
            </w:r>
          </w:hyperlink>
        </w:p>
        <w:p w:rsidR="001171C7" w:rsidRDefault="007978F4">
          <w:pPr>
            <w:pStyle w:val="TOC1"/>
            <w:rPr>
              <w:rFonts w:eastAsiaTheme="minorEastAsia" w:cstheme="minorBidi"/>
              <w:b w:val="0"/>
              <w:bCs w:val="0"/>
              <w:rtl/>
            </w:rPr>
          </w:pPr>
          <w:hyperlink w:anchor="_Toc496175453" w:history="1">
            <w:r w:rsidR="001171C7" w:rsidRPr="00D35CC1">
              <w:rPr>
                <w:rStyle w:val="Hyperlink"/>
                <w:rFonts w:cs="Guttman Drogolin"/>
                <w:rtl/>
              </w:rPr>
              <w:t>עור שהתייבש ונעשה כעץ</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Toc496175453 \h</w:instrText>
            </w:r>
            <w:r w:rsidR="001171C7">
              <w:rPr>
                <w:webHidden/>
                <w:rtl/>
              </w:rPr>
              <w:instrText xml:space="preserve"> </w:instrText>
            </w:r>
            <w:r w:rsidR="001171C7">
              <w:rPr>
                <w:webHidden/>
                <w:rtl/>
              </w:rPr>
            </w:r>
            <w:r w:rsidR="001171C7">
              <w:rPr>
                <w:webHidden/>
                <w:rtl/>
              </w:rPr>
              <w:fldChar w:fldCharType="separate"/>
            </w:r>
            <w:r w:rsidR="006A6D13">
              <w:rPr>
                <w:webHidden/>
                <w:rtl/>
              </w:rPr>
              <w:t>205</w:t>
            </w:r>
            <w:r w:rsidR="001171C7">
              <w:rPr>
                <w:webHidden/>
                <w:rtl/>
              </w:rPr>
              <w:fldChar w:fldCharType="end"/>
            </w:r>
          </w:hyperlink>
        </w:p>
        <w:p w:rsidR="001171C7" w:rsidRDefault="007978F4">
          <w:pPr>
            <w:pStyle w:val="TOC1"/>
            <w:rPr>
              <w:rFonts w:eastAsiaTheme="minorEastAsia" w:cstheme="minorBidi"/>
              <w:b w:val="0"/>
              <w:bCs w:val="0"/>
              <w:rtl/>
            </w:rPr>
          </w:pPr>
          <w:hyperlink w:anchor="_Toc496175454" w:history="1">
            <w:r w:rsidR="001171C7" w:rsidRPr="00D35CC1">
              <w:rPr>
                <w:rStyle w:val="Hyperlink"/>
                <w:rFonts w:cs="Guttman Drogolin"/>
                <w:rtl/>
              </w:rPr>
              <w:t>חענ"ן בעור הקיבה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Toc496175454 \h</w:instrText>
            </w:r>
            <w:r w:rsidR="001171C7">
              <w:rPr>
                <w:webHidden/>
                <w:rtl/>
              </w:rPr>
              <w:instrText xml:space="preserve"> </w:instrText>
            </w:r>
            <w:r w:rsidR="001171C7">
              <w:rPr>
                <w:webHidden/>
                <w:rtl/>
              </w:rPr>
            </w:r>
            <w:r w:rsidR="001171C7">
              <w:rPr>
                <w:webHidden/>
                <w:rtl/>
              </w:rPr>
              <w:fldChar w:fldCharType="separate"/>
            </w:r>
            <w:r w:rsidR="006A6D13">
              <w:rPr>
                <w:webHidden/>
                <w:rtl/>
              </w:rPr>
              <w:t>207</w:t>
            </w:r>
            <w:r w:rsidR="001171C7">
              <w:rPr>
                <w:webHidden/>
                <w:rtl/>
              </w:rPr>
              <w:fldChar w:fldCharType="end"/>
            </w:r>
          </w:hyperlink>
        </w:p>
        <w:p w:rsidR="001171C7" w:rsidRDefault="007978F4">
          <w:pPr>
            <w:pStyle w:val="TOC1"/>
            <w:rPr>
              <w:rFonts w:eastAsiaTheme="minorEastAsia" w:cstheme="minorBidi"/>
              <w:b w:val="0"/>
              <w:bCs w:val="0"/>
              <w:rtl/>
            </w:rPr>
          </w:pPr>
          <w:hyperlink w:anchor="_Toc496175455" w:history="1">
            <w:r w:rsidR="001171C7" w:rsidRPr="00D35CC1">
              <w:rPr>
                <w:rStyle w:val="Hyperlink"/>
                <w:rFonts w:cs="Guttman Drogolin"/>
                <w:rtl/>
              </w:rPr>
              <w:t>חקירה בדין מעמיד, ובדין ענזימים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Toc496175455 \h</w:instrText>
            </w:r>
            <w:r w:rsidR="001171C7">
              <w:rPr>
                <w:webHidden/>
                <w:rtl/>
              </w:rPr>
              <w:instrText xml:space="preserve"> </w:instrText>
            </w:r>
            <w:r w:rsidR="001171C7">
              <w:rPr>
                <w:webHidden/>
                <w:rtl/>
              </w:rPr>
            </w:r>
            <w:r w:rsidR="001171C7">
              <w:rPr>
                <w:webHidden/>
                <w:rtl/>
              </w:rPr>
              <w:fldChar w:fldCharType="separate"/>
            </w:r>
            <w:r w:rsidR="006A6D13">
              <w:rPr>
                <w:webHidden/>
                <w:rtl/>
              </w:rPr>
              <w:t>207</w:t>
            </w:r>
            <w:r w:rsidR="001171C7">
              <w:rPr>
                <w:webHidden/>
                <w:rtl/>
              </w:rPr>
              <w:fldChar w:fldCharType="end"/>
            </w:r>
          </w:hyperlink>
        </w:p>
        <w:p w:rsidR="001171C7" w:rsidRDefault="007978F4">
          <w:pPr>
            <w:pStyle w:val="TOC1"/>
            <w:rPr>
              <w:rFonts w:eastAsiaTheme="minorEastAsia" w:cstheme="minorBidi"/>
              <w:b w:val="0"/>
              <w:bCs w:val="0"/>
              <w:rtl/>
            </w:rPr>
          </w:pPr>
          <w:hyperlink w:anchor="_Toc496175456" w:history="1">
            <w:r w:rsidR="001171C7" w:rsidRPr="00D35CC1">
              <w:rPr>
                <w:rStyle w:val="Hyperlink"/>
                <w:rFonts w:cs="Guttman Drogolin"/>
                <w:rtl/>
              </w:rPr>
              <w:t>בשר נבילה בחלב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Toc496175456 \h</w:instrText>
            </w:r>
            <w:r w:rsidR="001171C7">
              <w:rPr>
                <w:webHidden/>
                <w:rtl/>
              </w:rPr>
              <w:instrText xml:space="preserve"> </w:instrText>
            </w:r>
            <w:r w:rsidR="001171C7">
              <w:rPr>
                <w:webHidden/>
                <w:rtl/>
              </w:rPr>
            </w:r>
            <w:r w:rsidR="001171C7">
              <w:rPr>
                <w:webHidden/>
                <w:rtl/>
              </w:rPr>
              <w:fldChar w:fldCharType="separate"/>
            </w:r>
            <w:r w:rsidR="006A6D13">
              <w:rPr>
                <w:webHidden/>
                <w:rtl/>
              </w:rPr>
              <w:t>208</w:t>
            </w:r>
            <w:r w:rsidR="001171C7">
              <w:rPr>
                <w:webHidden/>
                <w:rtl/>
              </w:rPr>
              <w:fldChar w:fldCharType="end"/>
            </w:r>
          </w:hyperlink>
        </w:p>
        <w:p w:rsidR="00E4340F" w:rsidRPr="001E30A3" w:rsidRDefault="00E4340F" w:rsidP="00E4340F">
          <w:pPr>
            <w:pStyle w:val="TOC1"/>
            <w:spacing w:before="240"/>
            <w:rPr>
              <w:rStyle w:val="Hyperlink"/>
              <w:color w:val="auto"/>
              <w:sz w:val="28"/>
              <w:szCs w:val="28"/>
              <w:rtl/>
            </w:rPr>
          </w:pPr>
          <w:r>
            <w:rPr>
              <w:rStyle w:val="Hyperlink"/>
              <w:rFonts w:hint="cs"/>
              <w:color w:val="auto"/>
              <w:sz w:val="28"/>
              <w:szCs w:val="28"/>
              <w:rtl/>
            </w:rPr>
            <w:t>יו"ד סי' צ"ב סע' א' - ד'</w:t>
          </w:r>
        </w:p>
        <w:p w:rsidR="001171C7" w:rsidRDefault="007978F4">
          <w:pPr>
            <w:pStyle w:val="TOC1"/>
            <w:rPr>
              <w:rFonts w:eastAsiaTheme="minorEastAsia" w:cstheme="minorBidi"/>
              <w:b w:val="0"/>
              <w:bCs w:val="0"/>
              <w:rtl/>
            </w:rPr>
          </w:pPr>
          <w:hyperlink w:anchor="_Toc496175457" w:history="1">
            <w:r w:rsidR="001171C7" w:rsidRPr="00D35CC1">
              <w:rPr>
                <w:rStyle w:val="Hyperlink"/>
                <w:rFonts w:cs="Guttman Drogolin"/>
                <w:rtl/>
              </w:rPr>
              <w:t>מאי נפק"מ שיש חלב נבילה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Toc496175457 \h</w:instrText>
            </w:r>
            <w:r w:rsidR="001171C7">
              <w:rPr>
                <w:webHidden/>
                <w:rtl/>
              </w:rPr>
              <w:instrText xml:space="preserve"> </w:instrText>
            </w:r>
            <w:r w:rsidR="001171C7">
              <w:rPr>
                <w:webHidden/>
                <w:rtl/>
              </w:rPr>
            </w:r>
            <w:r w:rsidR="001171C7">
              <w:rPr>
                <w:webHidden/>
                <w:rtl/>
              </w:rPr>
              <w:fldChar w:fldCharType="separate"/>
            </w:r>
            <w:r w:rsidR="006A6D13">
              <w:rPr>
                <w:webHidden/>
                <w:rtl/>
              </w:rPr>
              <w:t>211</w:t>
            </w:r>
            <w:r w:rsidR="001171C7">
              <w:rPr>
                <w:webHidden/>
                <w:rtl/>
              </w:rPr>
              <w:fldChar w:fldCharType="end"/>
            </w:r>
          </w:hyperlink>
        </w:p>
        <w:p w:rsidR="001171C7" w:rsidRDefault="007978F4">
          <w:pPr>
            <w:pStyle w:val="TOC1"/>
            <w:rPr>
              <w:rFonts w:eastAsiaTheme="minorEastAsia" w:cstheme="minorBidi"/>
              <w:b w:val="0"/>
              <w:bCs w:val="0"/>
              <w:rtl/>
            </w:rPr>
          </w:pPr>
          <w:hyperlink w:anchor="_Toc496175458" w:history="1">
            <w:r w:rsidR="001171C7" w:rsidRPr="00D35CC1">
              <w:rPr>
                <w:rStyle w:val="Hyperlink"/>
                <w:rFonts w:cs="Guttman Drogolin"/>
                <w:rtl/>
              </w:rPr>
              <w:t>בדין חתיכה שמקצתה בתוך הרוטב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Toc496175458 \h</w:instrText>
            </w:r>
            <w:r w:rsidR="001171C7">
              <w:rPr>
                <w:webHidden/>
                <w:rtl/>
              </w:rPr>
              <w:instrText xml:space="preserve"> </w:instrText>
            </w:r>
            <w:r w:rsidR="001171C7">
              <w:rPr>
                <w:webHidden/>
                <w:rtl/>
              </w:rPr>
            </w:r>
            <w:r w:rsidR="001171C7">
              <w:rPr>
                <w:webHidden/>
                <w:rtl/>
              </w:rPr>
              <w:fldChar w:fldCharType="separate"/>
            </w:r>
            <w:r w:rsidR="006A6D13">
              <w:rPr>
                <w:webHidden/>
                <w:rtl/>
              </w:rPr>
              <w:t>213</w:t>
            </w:r>
            <w:r w:rsidR="001171C7">
              <w:rPr>
                <w:webHidden/>
                <w:rtl/>
              </w:rPr>
              <w:fldChar w:fldCharType="end"/>
            </w:r>
          </w:hyperlink>
        </w:p>
        <w:p w:rsidR="001171C7" w:rsidRDefault="007978F4">
          <w:pPr>
            <w:pStyle w:val="TOC1"/>
            <w:rPr>
              <w:rFonts w:eastAsiaTheme="minorEastAsia" w:cstheme="minorBidi"/>
              <w:b w:val="0"/>
              <w:bCs w:val="0"/>
              <w:rtl/>
            </w:rPr>
          </w:pPr>
          <w:hyperlink w:anchor="_Toc496175459" w:history="1">
            <w:r w:rsidR="001171C7" w:rsidRPr="00D35CC1">
              <w:rPr>
                <w:rStyle w:val="Hyperlink"/>
                <w:rFonts w:cs="Guttman Drogolin"/>
                <w:rtl/>
              </w:rPr>
              <w:t>בדעת המרדכי אליבא דרש"י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Toc496175459 \h</w:instrText>
            </w:r>
            <w:r w:rsidR="001171C7">
              <w:rPr>
                <w:webHidden/>
                <w:rtl/>
              </w:rPr>
              <w:instrText xml:space="preserve"> </w:instrText>
            </w:r>
            <w:r w:rsidR="001171C7">
              <w:rPr>
                <w:webHidden/>
                <w:rtl/>
              </w:rPr>
            </w:r>
            <w:r w:rsidR="001171C7">
              <w:rPr>
                <w:webHidden/>
                <w:rtl/>
              </w:rPr>
              <w:fldChar w:fldCharType="separate"/>
            </w:r>
            <w:r w:rsidR="006A6D13">
              <w:rPr>
                <w:webHidden/>
                <w:rtl/>
              </w:rPr>
              <w:t>213</w:t>
            </w:r>
            <w:r w:rsidR="001171C7">
              <w:rPr>
                <w:webHidden/>
                <w:rtl/>
              </w:rPr>
              <w:fldChar w:fldCharType="end"/>
            </w:r>
          </w:hyperlink>
        </w:p>
        <w:p w:rsidR="001171C7" w:rsidRDefault="007978F4">
          <w:pPr>
            <w:pStyle w:val="TOC1"/>
            <w:rPr>
              <w:rFonts w:eastAsiaTheme="minorEastAsia" w:cstheme="minorBidi"/>
              <w:b w:val="0"/>
              <w:bCs w:val="0"/>
              <w:rtl/>
            </w:rPr>
          </w:pPr>
          <w:hyperlink w:anchor="_Toc496175460" w:history="1">
            <w:r w:rsidR="001171C7" w:rsidRPr="00D35CC1">
              <w:rPr>
                <w:rStyle w:val="Hyperlink"/>
                <w:rFonts w:cs="Guttman Drogolin"/>
                <w:rtl/>
              </w:rPr>
              <w:t>שיטת המחבר בדין חתיכה שמקצתה בתוך הרוטב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Toc496175460 \h</w:instrText>
            </w:r>
            <w:r w:rsidR="001171C7">
              <w:rPr>
                <w:webHidden/>
                <w:rtl/>
              </w:rPr>
              <w:instrText xml:space="preserve"> </w:instrText>
            </w:r>
            <w:r w:rsidR="001171C7">
              <w:rPr>
                <w:webHidden/>
                <w:rtl/>
              </w:rPr>
            </w:r>
            <w:r w:rsidR="001171C7">
              <w:rPr>
                <w:webHidden/>
                <w:rtl/>
              </w:rPr>
              <w:fldChar w:fldCharType="separate"/>
            </w:r>
            <w:r w:rsidR="006A6D13">
              <w:rPr>
                <w:webHidden/>
                <w:rtl/>
              </w:rPr>
              <w:t>216</w:t>
            </w:r>
            <w:r w:rsidR="001171C7">
              <w:rPr>
                <w:webHidden/>
                <w:rtl/>
              </w:rPr>
              <w:fldChar w:fldCharType="end"/>
            </w:r>
          </w:hyperlink>
        </w:p>
        <w:p w:rsidR="001171C7" w:rsidRDefault="007978F4">
          <w:pPr>
            <w:pStyle w:val="TOC1"/>
            <w:rPr>
              <w:rFonts w:eastAsiaTheme="minorEastAsia" w:cstheme="minorBidi"/>
              <w:b w:val="0"/>
              <w:bCs w:val="0"/>
              <w:rtl/>
            </w:rPr>
          </w:pPr>
          <w:hyperlink w:anchor="_Toc496175461" w:history="1">
            <w:r w:rsidR="001171C7" w:rsidRPr="00D35CC1">
              <w:rPr>
                <w:rStyle w:val="Hyperlink"/>
                <w:rFonts w:cs="Guttman Drogolin"/>
                <w:rtl/>
              </w:rPr>
              <w:t>שיטת הרמ"א בדין חתיכה שמקצתה בתוך הרוטב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Toc496175461 \h</w:instrText>
            </w:r>
            <w:r w:rsidR="001171C7">
              <w:rPr>
                <w:webHidden/>
                <w:rtl/>
              </w:rPr>
              <w:instrText xml:space="preserve"> </w:instrText>
            </w:r>
            <w:r w:rsidR="001171C7">
              <w:rPr>
                <w:webHidden/>
                <w:rtl/>
              </w:rPr>
            </w:r>
            <w:r w:rsidR="001171C7">
              <w:rPr>
                <w:webHidden/>
                <w:rtl/>
              </w:rPr>
              <w:fldChar w:fldCharType="separate"/>
            </w:r>
            <w:r w:rsidR="006A6D13">
              <w:rPr>
                <w:webHidden/>
                <w:rtl/>
              </w:rPr>
              <w:t>217</w:t>
            </w:r>
            <w:r w:rsidR="001171C7">
              <w:rPr>
                <w:webHidden/>
                <w:rtl/>
              </w:rPr>
              <w:fldChar w:fldCharType="end"/>
            </w:r>
          </w:hyperlink>
        </w:p>
        <w:p w:rsidR="001171C7" w:rsidRDefault="007978F4">
          <w:pPr>
            <w:pStyle w:val="TOC1"/>
            <w:rPr>
              <w:rFonts w:eastAsiaTheme="minorEastAsia" w:cstheme="minorBidi"/>
              <w:b w:val="0"/>
              <w:bCs w:val="0"/>
              <w:rtl/>
            </w:rPr>
          </w:pPr>
          <w:hyperlink w:anchor="_Toc496175462" w:history="1">
            <w:r w:rsidR="001171C7" w:rsidRPr="00D35CC1">
              <w:rPr>
                <w:rStyle w:val="Hyperlink"/>
                <w:rFonts w:cs="Guttman Drogolin"/>
                <w:rtl/>
              </w:rPr>
              <w:t>בדין ניעור מתחילה ועד סוף</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Toc496175462 \h</w:instrText>
            </w:r>
            <w:r w:rsidR="001171C7">
              <w:rPr>
                <w:webHidden/>
                <w:rtl/>
              </w:rPr>
              <w:instrText xml:space="preserve"> </w:instrText>
            </w:r>
            <w:r w:rsidR="001171C7">
              <w:rPr>
                <w:webHidden/>
                <w:rtl/>
              </w:rPr>
            </w:r>
            <w:r w:rsidR="001171C7">
              <w:rPr>
                <w:webHidden/>
                <w:rtl/>
              </w:rPr>
              <w:fldChar w:fldCharType="separate"/>
            </w:r>
            <w:r w:rsidR="006A6D13">
              <w:rPr>
                <w:webHidden/>
                <w:rtl/>
              </w:rPr>
              <w:t>217</w:t>
            </w:r>
            <w:r w:rsidR="001171C7">
              <w:rPr>
                <w:webHidden/>
                <w:rtl/>
              </w:rPr>
              <w:fldChar w:fldCharType="end"/>
            </w:r>
          </w:hyperlink>
        </w:p>
        <w:p w:rsidR="001171C7" w:rsidRDefault="007978F4">
          <w:pPr>
            <w:pStyle w:val="TOC1"/>
            <w:rPr>
              <w:rFonts w:eastAsiaTheme="minorEastAsia" w:cstheme="minorBidi"/>
              <w:b w:val="0"/>
              <w:bCs w:val="0"/>
              <w:rtl/>
            </w:rPr>
          </w:pPr>
          <w:hyperlink w:anchor="_Toc496175463" w:history="1">
            <w:r w:rsidR="001171C7" w:rsidRPr="00D35CC1">
              <w:rPr>
                <w:rStyle w:val="Hyperlink"/>
                <w:rFonts w:cs="Guttman Drogolin"/>
                <w:rtl/>
              </w:rPr>
              <w:t>אם יש איסור בישול בניעור הקדירה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Toc496175463 \h</w:instrText>
            </w:r>
            <w:r w:rsidR="001171C7">
              <w:rPr>
                <w:webHidden/>
                <w:rtl/>
              </w:rPr>
              <w:instrText xml:space="preserve"> </w:instrText>
            </w:r>
            <w:r w:rsidR="001171C7">
              <w:rPr>
                <w:webHidden/>
                <w:rtl/>
              </w:rPr>
            </w:r>
            <w:r w:rsidR="001171C7">
              <w:rPr>
                <w:webHidden/>
                <w:rtl/>
              </w:rPr>
              <w:fldChar w:fldCharType="separate"/>
            </w:r>
            <w:r w:rsidR="006A6D13">
              <w:rPr>
                <w:webHidden/>
                <w:rtl/>
              </w:rPr>
              <w:t>219</w:t>
            </w:r>
            <w:r w:rsidR="001171C7">
              <w:rPr>
                <w:webHidden/>
                <w:rtl/>
              </w:rPr>
              <w:fldChar w:fldCharType="end"/>
            </w:r>
          </w:hyperlink>
        </w:p>
        <w:p w:rsidR="001171C7" w:rsidRDefault="007978F4">
          <w:pPr>
            <w:pStyle w:val="TOC1"/>
            <w:rPr>
              <w:rFonts w:eastAsiaTheme="minorEastAsia" w:cstheme="minorBidi"/>
              <w:b w:val="0"/>
              <w:bCs w:val="0"/>
              <w:rtl/>
            </w:rPr>
          </w:pPr>
          <w:hyperlink w:anchor="_Toc496175464" w:history="1">
            <w:r w:rsidR="001171C7" w:rsidRPr="00D35CC1">
              <w:rPr>
                <w:rStyle w:val="Hyperlink"/>
                <w:rFonts w:cs="Guttman Drogolin"/>
                <w:rtl/>
              </w:rPr>
              <w:t>סיכום השיטות להלכה בדין חענ"ן בשאר איסורים, ובמחלוקת רש"י ור"י בחתיכה שמקצתה ברוטב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Toc496175464 \h</w:instrText>
            </w:r>
            <w:r w:rsidR="001171C7">
              <w:rPr>
                <w:webHidden/>
                <w:rtl/>
              </w:rPr>
              <w:instrText xml:space="preserve"> </w:instrText>
            </w:r>
            <w:r w:rsidR="001171C7">
              <w:rPr>
                <w:webHidden/>
                <w:rtl/>
              </w:rPr>
            </w:r>
            <w:r w:rsidR="001171C7">
              <w:rPr>
                <w:webHidden/>
                <w:rtl/>
              </w:rPr>
              <w:fldChar w:fldCharType="separate"/>
            </w:r>
            <w:r w:rsidR="006A6D13">
              <w:rPr>
                <w:webHidden/>
                <w:rtl/>
              </w:rPr>
              <w:t>220</w:t>
            </w:r>
            <w:r w:rsidR="001171C7">
              <w:rPr>
                <w:webHidden/>
                <w:rtl/>
              </w:rPr>
              <w:fldChar w:fldCharType="end"/>
            </w:r>
          </w:hyperlink>
        </w:p>
        <w:p w:rsidR="001171C7" w:rsidRDefault="007978F4">
          <w:pPr>
            <w:pStyle w:val="TOC1"/>
            <w:rPr>
              <w:rFonts w:eastAsiaTheme="minorEastAsia" w:cstheme="minorBidi"/>
              <w:b w:val="0"/>
              <w:bCs w:val="0"/>
              <w:rtl/>
            </w:rPr>
          </w:pPr>
          <w:hyperlink w:anchor="_Toc496175465" w:history="1">
            <w:r w:rsidR="001171C7" w:rsidRPr="00D35CC1">
              <w:rPr>
                <w:rStyle w:val="Hyperlink"/>
                <w:rFonts w:cs="Guttman Drogolin"/>
                <w:rtl/>
              </w:rPr>
              <w:t>חענ"ן בלח בלח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Toc496175465 \h</w:instrText>
            </w:r>
            <w:r w:rsidR="001171C7">
              <w:rPr>
                <w:webHidden/>
                <w:rtl/>
              </w:rPr>
              <w:instrText xml:space="preserve"> </w:instrText>
            </w:r>
            <w:r w:rsidR="001171C7">
              <w:rPr>
                <w:webHidden/>
                <w:rtl/>
              </w:rPr>
            </w:r>
            <w:r w:rsidR="001171C7">
              <w:rPr>
                <w:webHidden/>
                <w:rtl/>
              </w:rPr>
              <w:fldChar w:fldCharType="separate"/>
            </w:r>
            <w:r w:rsidR="006A6D13">
              <w:rPr>
                <w:webHidden/>
                <w:rtl/>
              </w:rPr>
              <w:t>221</w:t>
            </w:r>
            <w:r w:rsidR="001171C7">
              <w:rPr>
                <w:webHidden/>
                <w:rtl/>
              </w:rPr>
              <w:fldChar w:fldCharType="end"/>
            </w:r>
          </w:hyperlink>
        </w:p>
        <w:p w:rsidR="001171C7" w:rsidRDefault="007978F4">
          <w:pPr>
            <w:pStyle w:val="TOC1"/>
            <w:rPr>
              <w:rFonts w:eastAsiaTheme="minorEastAsia" w:cstheme="minorBidi"/>
              <w:b w:val="0"/>
              <w:bCs w:val="0"/>
              <w:rtl/>
            </w:rPr>
          </w:pPr>
          <w:hyperlink w:anchor="_Toc496175466" w:history="1">
            <w:r w:rsidR="001171C7" w:rsidRPr="00D35CC1">
              <w:rPr>
                <w:rStyle w:val="Hyperlink"/>
                <w:rFonts w:cs="Guttman Drogolin"/>
                <w:rtl/>
              </w:rPr>
              <w:t>חענ"ן כשאינו ידוע על איזה חתיכה נפל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Toc496175466 \h</w:instrText>
            </w:r>
            <w:r w:rsidR="001171C7">
              <w:rPr>
                <w:webHidden/>
                <w:rtl/>
              </w:rPr>
              <w:instrText xml:space="preserve"> </w:instrText>
            </w:r>
            <w:r w:rsidR="001171C7">
              <w:rPr>
                <w:webHidden/>
                <w:rtl/>
              </w:rPr>
            </w:r>
            <w:r w:rsidR="001171C7">
              <w:rPr>
                <w:webHidden/>
                <w:rtl/>
              </w:rPr>
              <w:fldChar w:fldCharType="separate"/>
            </w:r>
            <w:r w:rsidR="006A6D13">
              <w:rPr>
                <w:webHidden/>
                <w:rtl/>
              </w:rPr>
              <w:t>221</w:t>
            </w:r>
            <w:r w:rsidR="001171C7">
              <w:rPr>
                <w:webHidden/>
                <w:rtl/>
              </w:rPr>
              <w:fldChar w:fldCharType="end"/>
            </w:r>
          </w:hyperlink>
        </w:p>
        <w:p w:rsidR="001171C7" w:rsidRDefault="007978F4">
          <w:pPr>
            <w:pStyle w:val="TOC1"/>
            <w:rPr>
              <w:rFonts w:eastAsiaTheme="minorEastAsia" w:cstheme="minorBidi"/>
              <w:b w:val="0"/>
              <w:bCs w:val="0"/>
              <w:rtl/>
            </w:rPr>
          </w:pPr>
          <w:hyperlink w:anchor="_Toc496175467" w:history="1">
            <w:r w:rsidR="001171C7" w:rsidRPr="00D35CC1">
              <w:rPr>
                <w:rStyle w:val="Hyperlink"/>
                <w:rFonts w:cs="Guttman Drogolin"/>
                <w:rtl/>
              </w:rPr>
              <w:t>שיטת הראב"ד בדין חענ"ן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Toc496175467 \h</w:instrText>
            </w:r>
            <w:r w:rsidR="001171C7">
              <w:rPr>
                <w:webHidden/>
                <w:rtl/>
              </w:rPr>
              <w:instrText xml:space="preserve"> </w:instrText>
            </w:r>
            <w:r w:rsidR="001171C7">
              <w:rPr>
                <w:webHidden/>
                <w:rtl/>
              </w:rPr>
            </w:r>
            <w:r w:rsidR="001171C7">
              <w:rPr>
                <w:webHidden/>
                <w:rtl/>
              </w:rPr>
              <w:fldChar w:fldCharType="separate"/>
            </w:r>
            <w:r w:rsidR="006A6D13">
              <w:rPr>
                <w:webHidden/>
                <w:rtl/>
              </w:rPr>
              <w:t>222</w:t>
            </w:r>
            <w:r w:rsidR="001171C7">
              <w:rPr>
                <w:webHidden/>
                <w:rtl/>
              </w:rPr>
              <w:fldChar w:fldCharType="end"/>
            </w:r>
          </w:hyperlink>
        </w:p>
        <w:p w:rsidR="001171C7" w:rsidRDefault="007978F4">
          <w:pPr>
            <w:pStyle w:val="TOC1"/>
            <w:rPr>
              <w:rFonts w:eastAsiaTheme="minorEastAsia" w:cstheme="minorBidi"/>
              <w:b w:val="0"/>
              <w:bCs w:val="0"/>
              <w:rtl/>
            </w:rPr>
          </w:pPr>
          <w:hyperlink w:anchor="_Toc496175468" w:history="1">
            <w:r w:rsidR="001171C7" w:rsidRPr="00D35CC1">
              <w:rPr>
                <w:rStyle w:val="Hyperlink"/>
                <w:rFonts w:cs="Guttman Drogolin"/>
                <w:rtl/>
              </w:rPr>
              <w:t>חענ"ן באיסור משהו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Toc496175468 \h</w:instrText>
            </w:r>
            <w:r w:rsidR="001171C7">
              <w:rPr>
                <w:webHidden/>
                <w:rtl/>
              </w:rPr>
              <w:instrText xml:space="preserve"> </w:instrText>
            </w:r>
            <w:r w:rsidR="001171C7">
              <w:rPr>
                <w:webHidden/>
                <w:rtl/>
              </w:rPr>
            </w:r>
            <w:r w:rsidR="001171C7">
              <w:rPr>
                <w:webHidden/>
                <w:rtl/>
              </w:rPr>
              <w:fldChar w:fldCharType="separate"/>
            </w:r>
            <w:r w:rsidR="006A6D13">
              <w:rPr>
                <w:webHidden/>
                <w:rtl/>
              </w:rPr>
              <w:t>224</w:t>
            </w:r>
            <w:r w:rsidR="001171C7">
              <w:rPr>
                <w:webHidden/>
                <w:rtl/>
              </w:rPr>
              <w:fldChar w:fldCharType="end"/>
            </w:r>
          </w:hyperlink>
        </w:p>
        <w:p w:rsidR="00E4340F" w:rsidRPr="00D639A4" w:rsidRDefault="00E4340F" w:rsidP="00E4340F">
          <w:pPr>
            <w:pStyle w:val="TOC1"/>
            <w:spacing w:before="240"/>
            <w:rPr>
              <w:rStyle w:val="Hyperlink"/>
              <w:color w:val="auto"/>
              <w:sz w:val="28"/>
              <w:szCs w:val="28"/>
              <w:rtl/>
            </w:rPr>
          </w:pPr>
          <w:r>
            <w:rPr>
              <w:rStyle w:val="Hyperlink"/>
              <w:rFonts w:hint="cs"/>
              <w:color w:val="auto"/>
              <w:sz w:val="28"/>
              <w:szCs w:val="28"/>
              <w:rtl/>
            </w:rPr>
            <w:t>יורה דעה סי' ק"ו</w:t>
          </w:r>
        </w:p>
        <w:p w:rsidR="001171C7" w:rsidRDefault="007978F4">
          <w:pPr>
            <w:pStyle w:val="TOC1"/>
            <w:rPr>
              <w:rFonts w:eastAsiaTheme="minorEastAsia" w:cstheme="minorBidi"/>
              <w:b w:val="0"/>
              <w:bCs w:val="0"/>
              <w:rtl/>
            </w:rPr>
          </w:pPr>
          <w:hyperlink w:anchor="_Toc496175469" w:history="1">
            <w:r w:rsidR="001171C7" w:rsidRPr="00D35CC1">
              <w:rPr>
                <w:rStyle w:val="Hyperlink"/>
                <w:rFonts w:cs="Guttman Drogolin"/>
                <w:rtl/>
              </w:rPr>
              <w:t>חתיכה שנאסרה ע"י נתינת טעם אם חוזר להיתירו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Toc496175469 \h</w:instrText>
            </w:r>
            <w:r w:rsidR="001171C7">
              <w:rPr>
                <w:webHidden/>
                <w:rtl/>
              </w:rPr>
              <w:instrText xml:space="preserve"> </w:instrText>
            </w:r>
            <w:r w:rsidR="001171C7">
              <w:rPr>
                <w:webHidden/>
                <w:rtl/>
              </w:rPr>
            </w:r>
            <w:r w:rsidR="001171C7">
              <w:rPr>
                <w:webHidden/>
                <w:rtl/>
              </w:rPr>
              <w:fldChar w:fldCharType="separate"/>
            </w:r>
            <w:r w:rsidR="006A6D13">
              <w:rPr>
                <w:webHidden/>
                <w:rtl/>
              </w:rPr>
              <w:t>225</w:t>
            </w:r>
            <w:r w:rsidR="001171C7">
              <w:rPr>
                <w:webHidden/>
                <w:rtl/>
              </w:rPr>
              <w:fldChar w:fldCharType="end"/>
            </w:r>
          </w:hyperlink>
        </w:p>
        <w:p w:rsidR="001171C7" w:rsidRDefault="007978F4">
          <w:pPr>
            <w:pStyle w:val="TOC1"/>
            <w:rPr>
              <w:rFonts w:eastAsiaTheme="minorEastAsia" w:cstheme="minorBidi"/>
              <w:b w:val="0"/>
              <w:bCs w:val="0"/>
              <w:rtl/>
            </w:rPr>
          </w:pPr>
          <w:hyperlink w:anchor="_Toc496175470" w:history="1">
            <w:r w:rsidR="001171C7" w:rsidRPr="00D35CC1">
              <w:rPr>
                <w:rStyle w:val="Hyperlink"/>
                <w:rFonts w:cs="Guttman Drogolin"/>
                <w:rtl/>
              </w:rPr>
              <w:t>עוד בדעת הט"ז בביאור השיטה שלא אומרים חענ"ן באיסור משהו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Toc496175470 \h</w:instrText>
            </w:r>
            <w:r w:rsidR="001171C7">
              <w:rPr>
                <w:webHidden/>
                <w:rtl/>
              </w:rPr>
              <w:instrText xml:space="preserve"> </w:instrText>
            </w:r>
            <w:r w:rsidR="001171C7">
              <w:rPr>
                <w:webHidden/>
                <w:rtl/>
              </w:rPr>
            </w:r>
            <w:r w:rsidR="001171C7">
              <w:rPr>
                <w:webHidden/>
                <w:rtl/>
              </w:rPr>
              <w:fldChar w:fldCharType="separate"/>
            </w:r>
            <w:r w:rsidR="006A6D13">
              <w:rPr>
                <w:webHidden/>
                <w:rtl/>
              </w:rPr>
              <w:t>228</w:t>
            </w:r>
            <w:r w:rsidR="001171C7">
              <w:rPr>
                <w:webHidden/>
                <w:rtl/>
              </w:rPr>
              <w:fldChar w:fldCharType="end"/>
            </w:r>
          </w:hyperlink>
        </w:p>
        <w:p w:rsidR="001171C7" w:rsidRDefault="007978F4">
          <w:pPr>
            <w:pStyle w:val="TOC1"/>
            <w:rPr>
              <w:rFonts w:eastAsiaTheme="minorEastAsia" w:cstheme="minorBidi"/>
              <w:b w:val="0"/>
              <w:bCs w:val="0"/>
              <w:rtl/>
            </w:rPr>
          </w:pPr>
          <w:hyperlink w:anchor="_Toc496175471" w:history="1">
            <w:r w:rsidR="001171C7" w:rsidRPr="00D35CC1">
              <w:rPr>
                <w:rStyle w:val="Hyperlink"/>
                <w:rFonts w:cs="Guttman Drogolin"/>
                <w:rtl/>
              </w:rPr>
              <w:t>חענ"ן בשאר דברים האוסרים ביותר בששים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Toc496175471 \h</w:instrText>
            </w:r>
            <w:r w:rsidR="001171C7">
              <w:rPr>
                <w:webHidden/>
                <w:rtl/>
              </w:rPr>
              <w:instrText xml:space="preserve"> </w:instrText>
            </w:r>
            <w:r w:rsidR="001171C7">
              <w:rPr>
                <w:webHidden/>
                <w:rtl/>
              </w:rPr>
            </w:r>
            <w:r w:rsidR="001171C7">
              <w:rPr>
                <w:webHidden/>
                <w:rtl/>
              </w:rPr>
              <w:fldChar w:fldCharType="separate"/>
            </w:r>
            <w:r w:rsidR="006A6D13">
              <w:rPr>
                <w:webHidden/>
                <w:rtl/>
              </w:rPr>
              <w:t>228</w:t>
            </w:r>
            <w:r w:rsidR="001171C7">
              <w:rPr>
                <w:webHidden/>
                <w:rtl/>
              </w:rPr>
              <w:fldChar w:fldCharType="end"/>
            </w:r>
          </w:hyperlink>
        </w:p>
        <w:p w:rsidR="001171C7" w:rsidRDefault="007978F4">
          <w:pPr>
            <w:pStyle w:val="TOC1"/>
            <w:rPr>
              <w:rFonts w:eastAsiaTheme="minorEastAsia" w:cstheme="minorBidi"/>
              <w:b w:val="0"/>
              <w:bCs w:val="0"/>
              <w:rtl/>
            </w:rPr>
          </w:pPr>
          <w:hyperlink w:anchor="_Toc496175472" w:history="1">
            <w:r w:rsidR="001171C7" w:rsidRPr="00D35CC1">
              <w:rPr>
                <w:rStyle w:val="Hyperlink"/>
                <w:rFonts w:cs="Guttman Drogolin"/>
                <w:rtl/>
              </w:rPr>
              <w:t>הערות לסיכום בדברי הראשונים בחענ"ן בשאר איסורים ובאיסור משהו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Toc496175472 \h</w:instrText>
            </w:r>
            <w:r w:rsidR="001171C7">
              <w:rPr>
                <w:webHidden/>
                <w:rtl/>
              </w:rPr>
              <w:instrText xml:space="preserve"> </w:instrText>
            </w:r>
            <w:r w:rsidR="001171C7">
              <w:rPr>
                <w:webHidden/>
                <w:rtl/>
              </w:rPr>
            </w:r>
            <w:r w:rsidR="001171C7">
              <w:rPr>
                <w:webHidden/>
                <w:rtl/>
              </w:rPr>
              <w:fldChar w:fldCharType="separate"/>
            </w:r>
            <w:r w:rsidR="006A6D13">
              <w:rPr>
                <w:webHidden/>
                <w:rtl/>
              </w:rPr>
              <w:t>229</w:t>
            </w:r>
            <w:r w:rsidR="001171C7">
              <w:rPr>
                <w:webHidden/>
                <w:rtl/>
              </w:rPr>
              <w:fldChar w:fldCharType="end"/>
            </w:r>
          </w:hyperlink>
        </w:p>
        <w:p w:rsidR="00E4340F" w:rsidRPr="00D639A4" w:rsidRDefault="00E4340F" w:rsidP="00E4340F">
          <w:pPr>
            <w:pStyle w:val="TOC1"/>
            <w:spacing w:before="240"/>
            <w:rPr>
              <w:rStyle w:val="Hyperlink"/>
              <w:color w:val="auto"/>
              <w:sz w:val="28"/>
              <w:szCs w:val="28"/>
              <w:rtl/>
            </w:rPr>
          </w:pPr>
          <w:r>
            <w:rPr>
              <w:rStyle w:val="Hyperlink"/>
              <w:rFonts w:hint="cs"/>
              <w:color w:val="auto"/>
              <w:sz w:val="28"/>
              <w:szCs w:val="28"/>
              <w:rtl/>
            </w:rPr>
            <w:t>יורה דעה סי' צ"ב סע' ה - עד הסוף</w:t>
          </w:r>
        </w:p>
        <w:p w:rsidR="001171C7" w:rsidRDefault="007978F4">
          <w:pPr>
            <w:pStyle w:val="TOC1"/>
            <w:rPr>
              <w:rFonts w:eastAsiaTheme="minorEastAsia" w:cstheme="minorBidi"/>
              <w:b w:val="0"/>
              <w:bCs w:val="0"/>
              <w:rtl/>
            </w:rPr>
          </w:pPr>
          <w:hyperlink w:anchor="_Toc496175473" w:history="1">
            <w:r w:rsidR="001171C7" w:rsidRPr="00D35CC1">
              <w:rPr>
                <w:rStyle w:val="Hyperlink"/>
                <w:rFonts w:cs="Guttman Drogolin"/>
                <w:rtl/>
              </w:rPr>
              <w:t>הקדמה לדינים המוזכרים בסע' ה' – ז'</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Toc496175473 \h</w:instrText>
            </w:r>
            <w:r w:rsidR="001171C7">
              <w:rPr>
                <w:webHidden/>
                <w:rtl/>
              </w:rPr>
              <w:instrText xml:space="preserve"> </w:instrText>
            </w:r>
            <w:r w:rsidR="001171C7">
              <w:rPr>
                <w:webHidden/>
                <w:rtl/>
              </w:rPr>
            </w:r>
            <w:r w:rsidR="001171C7">
              <w:rPr>
                <w:webHidden/>
                <w:rtl/>
              </w:rPr>
              <w:fldChar w:fldCharType="separate"/>
            </w:r>
            <w:r w:rsidR="006A6D13">
              <w:rPr>
                <w:webHidden/>
                <w:rtl/>
              </w:rPr>
              <w:t>230</w:t>
            </w:r>
            <w:r w:rsidR="001171C7">
              <w:rPr>
                <w:webHidden/>
                <w:rtl/>
              </w:rPr>
              <w:fldChar w:fldCharType="end"/>
            </w:r>
          </w:hyperlink>
        </w:p>
        <w:p w:rsidR="001171C7" w:rsidRDefault="007978F4">
          <w:pPr>
            <w:pStyle w:val="TOC1"/>
            <w:rPr>
              <w:rFonts w:eastAsiaTheme="minorEastAsia" w:cstheme="minorBidi"/>
              <w:b w:val="0"/>
              <w:bCs w:val="0"/>
              <w:rtl/>
            </w:rPr>
          </w:pPr>
          <w:hyperlink w:anchor="_Toc496175474" w:history="1">
            <w:r w:rsidR="001171C7" w:rsidRPr="00D35CC1">
              <w:rPr>
                <w:rStyle w:val="Hyperlink"/>
                <w:rFonts w:cs="Guttman Drogolin"/>
                <w:rtl/>
              </w:rPr>
              <w:t>השיטות בדין טיפת חלב שנפל על הקדרה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Toc496175474 \h</w:instrText>
            </w:r>
            <w:r w:rsidR="001171C7">
              <w:rPr>
                <w:webHidden/>
                <w:rtl/>
              </w:rPr>
              <w:instrText xml:space="preserve"> </w:instrText>
            </w:r>
            <w:r w:rsidR="001171C7">
              <w:rPr>
                <w:webHidden/>
                <w:rtl/>
              </w:rPr>
            </w:r>
            <w:r w:rsidR="001171C7">
              <w:rPr>
                <w:webHidden/>
                <w:rtl/>
              </w:rPr>
              <w:fldChar w:fldCharType="separate"/>
            </w:r>
            <w:r w:rsidR="006A6D13">
              <w:rPr>
                <w:webHidden/>
                <w:rtl/>
              </w:rPr>
              <w:t>232</w:t>
            </w:r>
            <w:r w:rsidR="001171C7">
              <w:rPr>
                <w:webHidden/>
                <w:rtl/>
              </w:rPr>
              <w:fldChar w:fldCharType="end"/>
            </w:r>
          </w:hyperlink>
        </w:p>
        <w:p w:rsidR="001171C7" w:rsidRDefault="007978F4">
          <w:pPr>
            <w:pStyle w:val="TOC1"/>
            <w:rPr>
              <w:rFonts w:eastAsiaTheme="minorEastAsia" w:cstheme="minorBidi"/>
              <w:b w:val="0"/>
              <w:bCs w:val="0"/>
              <w:rtl/>
            </w:rPr>
          </w:pPr>
          <w:hyperlink w:anchor="_Toc496175475" w:history="1">
            <w:r w:rsidR="001171C7" w:rsidRPr="00D35CC1">
              <w:rPr>
                <w:rStyle w:val="Hyperlink"/>
                <w:rFonts w:cs="Guttman Drogolin"/>
                <w:rtl/>
              </w:rPr>
              <w:t>בהא דמצרפינן כל הקדירה לבטל הטיפה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Toc496175475 \h</w:instrText>
            </w:r>
            <w:r w:rsidR="001171C7">
              <w:rPr>
                <w:webHidden/>
                <w:rtl/>
              </w:rPr>
              <w:instrText xml:space="preserve"> </w:instrText>
            </w:r>
            <w:r w:rsidR="001171C7">
              <w:rPr>
                <w:webHidden/>
                <w:rtl/>
              </w:rPr>
            </w:r>
            <w:r w:rsidR="001171C7">
              <w:rPr>
                <w:webHidden/>
                <w:rtl/>
              </w:rPr>
              <w:fldChar w:fldCharType="separate"/>
            </w:r>
            <w:r w:rsidR="006A6D13">
              <w:rPr>
                <w:webHidden/>
                <w:rtl/>
              </w:rPr>
              <w:t>234</w:t>
            </w:r>
            <w:r w:rsidR="001171C7">
              <w:rPr>
                <w:webHidden/>
                <w:rtl/>
              </w:rPr>
              <w:fldChar w:fldCharType="end"/>
            </w:r>
          </w:hyperlink>
        </w:p>
        <w:p w:rsidR="001171C7" w:rsidRDefault="007978F4">
          <w:pPr>
            <w:pStyle w:val="TOC1"/>
            <w:rPr>
              <w:rFonts w:eastAsiaTheme="minorEastAsia" w:cstheme="minorBidi"/>
              <w:b w:val="0"/>
              <w:bCs w:val="0"/>
              <w:rtl/>
            </w:rPr>
          </w:pPr>
          <w:hyperlink w:anchor="_Toc496175476" w:history="1">
            <w:r w:rsidR="001171C7" w:rsidRPr="00D35CC1">
              <w:rPr>
                <w:rStyle w:val="Hyperlink"/>
                <w:rFonts w:cs="Guttman Drogolin"/>
                <w:rtl/>
              </w:rPr>
              <w:t>עוד בדעת הסמ"ק</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Toc496175476 \h</w:instrText>
            </w:r>
            <w:r w:rsidR="001171C7">
              <w:rPr>
                <w:webHidden/>
                <w:rtl/>
              </w:rPr>
              <w:instrText xml:space="preserve"> </w:instrText>
            </w:r>
            <w:r w:rsidR="001171C7">
              <w:rPr>
                <w:webHidden/>
                <w:rtl/>
              </w:rPr>
            </w:r>
            <w:r w:rsidR="001171C7">
              <w:rPr>
                <w:webHidden/>
                <w:rtl/>
              </w:rPr>
              <w:fldChar w:fldCharType="separate"/>
            </w:r>
            <w:r w:rsidR="006A6D13">
              <w:rPr>
                <w:webHidden/>
                <w:rtl/>
              </w:rPr>
              <w:t>236</w:t>
            </w:r>
            <w:r w:rsidR="001171C7">
              <w:rPr>
                <w:webHidden/>
                <w:rtl/>
              </w:rPr>
              <w:fldChar w:fldCharType="end"/>
            </w:r>
          </w:hyperlink>
        </w:p>
        <w:p w:rsidR="001171C7" w:rsidRDefault="007978F4">
          <w:pPr>
            <w:pStyle w:val="TOC1"/>
            <w:rPr>
              <w:rFonts w:eastAsiaTheme="minorEastAsia" w:cstheme="minorBidi"/>
              <w:b w:val="0"/>
              <w:bCs w:val="0"/>
              <w:rtl/>
            </w:rPr>
          </w:pPr>
          <w:hyperlink w:anchor="_Toc496175477" w:history="1">
            <w:r w:rsidR="001171C7" w:rsidRPr="00D35CC1">
              <w:rPr>
                <w:rStyle w:val="Hyperlink"/>
                <w:rFonts w:cs="Guttman Drogolin"/>
                <w:rtl/>
              </w:rPr>
              <w:t>דינו של הכלי כשנפל הטיפה כנגד הרוטב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Toc496175477 \h</w:instrText>
            </w:r>
            <w:r w:rsidR="001171C7">
              <w:rPr>
                <w:webHidden/>
                <w:rtl/>
              </w:rPr>
              <w:instrText xml:space="preserve"> </w:instrText>
            </w:r>
            <w:r w:rsidR="001171C7">
              <w:rPr>
                <w:webHidden/>
                <w:rtl/>
              </w:rPr>
            </w:r>
            <w:r w:rsidR="001171C7">
              <w:rPr>
                <w:webHidden/>
                <w:rtl/>
              </w:rPr>
              <w:fldChar w:fldCharType="separate"/>
            </w:r>
            <w:r w:rsidR="006A6D13">
              <w:rPr>
                <w:webHidden/>
                <w:rtl/>
              </w:rPr>
              <w:t>236</w:t>
            </w:r>
            <w:r w:rsidR="001171C7">
              <w:rPr>
                <w:webHidden/>
                <w:rtl/>
              </w:rPr>
              <w:fldChar w:fldCharType="end"/>
            </w:r>
          </w:hyperlink>
        </w:p>
        <w:p w:rsidR="001171C7" w:rsidRDefault="007978F4">
          <w:pPr>
            <w:pStyle w:val="TOC1"/>
            <w:rPr>
              <w:rFonts w:eastAsiaTheme="minorEastAsia" w:cstheme="minorBidi"/>
              <w:b w:val="0"/>
              <w:bCs w:val="0"/>
              <w:rtl/>
            </w:rPr>
          </w:pPr>
          <w:hyperlink w:anchor="_Toc496175478" w:history="1">
            <w:r w:rsidR="001171C7" w:rsidRPr="00D35CC1">
              <w:rPr>
                <w:rStyle w:val="Hyperlink"/>
                <w:rFonts w:cs="Guttman Drogolin"/>
                <w:rtl/>
              </w:rPr>
              <w:t>הא דבעינן לנער לאידך גיסא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Toc496175478 \h</w:instrText>
            </w:r>
            <w:r w:rsidR="001171C7">
              <w:rPr>
                <w:webHidden/>
                <w:rtl/>
              </w:rPr>
              <w:instrText xml:space="preserve"> </w:instrText>
            </w:r>
            <w:r w:rsidR="001171C7">
              <w:rPr>
                <w:webHidden/>
                <w:rtl/>
              </w:rPr>
            </w:r>
            <w:r w:rsidR="001171C7">
              <w:rPr>
                <w:webHidden/>
                <w:rtl/>
              </w:rPr>
              <w:fldChar w:fldCharType="separate"/>
            </w:r>
            <w:r w:rsidR="006A6D13">
              <w:rPr>
                <w:webHidden/>
                <w:rtl/>
              </w:rPr>
              <w:t>237</w:t>
            </w:r>
            <w:r w:rsidR="001171C7">
              <w:rPr>
                <w:webHidden/>
                <w:rtl/>
              </w:rPr>
              <w:fldChar w:fldCharType="end"/>
            </w:r>
          </w:hyperlink>
        </w:p>
        <w:p w:rsidR="001171C7" w:rsidRDefault="007978F4">
          <w:pPr>
            <w:pStyle w:val="TOC1"/>
            <w:rPr>
              <w:rFonts w:eastAsiaTheme="minorEastAsia" w:cstheme="minorBidi"/>
              <w:b w:val="0"/>
              <w:bCs w:val="0"/>
              <w:rtl/>
            </w:rPr>
          </w:pPr>
          <w:hyperlink w:anchor="_Toc496175479" w:history="1">
            <w:r w:rsidR="001171C7" w:rsidRPr="00D35CC1">
              <w:rPr>
                <w:rStyle w:val="Hyperlink"/>
                <w:rFonts w:cs="Guttman Drogolin"/>
                <w:rtl/>
              </w:rPr>
              <w:t>שיטת המחבר בסע' ז'</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Toc496175479 \h</w:instrText>
            </w:r>
            <w:r w:rsidR="001171C7">
              <w:rPr>
                <w:webHidden/>
                <w:rtl/>
              </w:rPr>
              <w:instrText xml:space="preserve"> </w:instrText>
            </w:r>
            <w:r w:rsidR="001171C7">
              <w:rPr>
                <w:webHidden/>
                <w:rtl/>
              </w:rPr>
            </w:r>
            <w:r w:rsidR="001171C7">
              <w:rPr>
                <w:webHidden/>
                <w:rtl/>
              </w:rPr>
              <w:fldChar w:fldCharType="separate"/>
            </w:r>
            <w:r w:rsidR="006A6D13">
              <w:rPr>
                <w:webHidden/>
                <w:rtl/>
              </w:rPr>
              <w:t>238</w:t>
            </w:r>
            <w:r w:rsidR="001171C7">
              <w:rPr>
                <w:webHidden/>
                <w:rtl/>
              </w:rPr>
              <w:fldChar w:fldCharType="end"/>
            </w:r>
          </w:hyperlink>
        </w:p>
        <w:p w:rsidR="001171C7" w:rsidRDefault="007978F4">
          <w:pPr>
            <w:pStyle w:val="TOC1"/>
            <w:rPr>
              <w:rFonts w:eastAsiaTheme="minorEastAsia" w:cstheme="minorBidi"/>
              <w:b w:val="0"/>
              <w:bCs w:val="0"/>
              <w:rtl/>
            </w:rPr>
          </w:pPr>
          <w:hyperlink w:anchor="_Toc496175480" w:history="1">
            <w:r w:rsidR="001171C7" w:rsidRPr="00D35CC1">
              <w:rPr>
                <w:rStyle w:val="Hyperlink"/>
                <w:rFonts w:cs="Guttman Drogolin"/>
                <w:rtl/>
              </w:rPr>
              <w:t>נפל הטיפה ע"ג הכיסוי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Toc496175480 \h</w:instrText>
            </w:r>
            <w:r w:rsidR="001171C7">
              <w:rPr>
                <w:webHidden/>
                <w:rtl/>
              </w:rPr>
              <w:instrText xml:space="preserve"> </w:instrText>
            </w:r>
            <w:r w:rsidR="001171C7">
              <w:rPr>
                <w:webHidden/>
                <w:rtl/>
              </w:rPr>
            </w:r>
            <w:r w:rsidR="001171C7">
              <w:rPr>
                <w:webHidden/>
                <w:rtl/>
              </w:rPr>
              <w:fldChar w:fldCharType="separate"/>
            </w:r>
            <w:r w:rsidR="006A6D13">
              <w:rPr>
                <w:webHidden/>
                <w:rtl/>
              </w:rPr>
              <w:t>238</w:t>
            </w:r>
            <w:r w:rsidR="001171C7">
              <w:rPr>
                <w:webHidden/>
                <w:rtl/>
              </w:rPr>
              <w:fldChar w:fldCharType="end"/>
            </w:r>
          </w:hyperlink>
        </w:p>
        <w:p w:rsidR="001171C7" w:rsidRDefault="007978F4">
          <w:pPr>
            <w:pStyle w:val="TOC1"/>
            <w:rPr>
              <w:rFonts w:eastAsiaTheme="minorEastAsia" w:cstheme="minorBidi"/>
              <w:b w:val="0"/>
              <w:bCs w:val="0"/>
              <w:rtl/>
            </w:rPr>
          </w:pPr>
          <w:hyperlink w:anchor="_Toc496175481" w:history="1">
            <w:r w:rsidR="001171C7" w:rsidRPr="00D35CC1">
              <w:rPr>
                <w:rStyle w:val="Hyperlink"/>
                <w:rFonts w:cs="Guttman Drogolin"/>
                <w:rtl/>
              </w:rPr>
              <w:t>טיפה הנופלת על הריקן בקדרה מכוסה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Toc496175481 \h</w:instrText>
            </w:r>
            <w:r w:rsidR="001171C7">
              <w:rPr>
                <w:webHidden/>
                <w:rtl/>
              </w:rPr>
              <w:instrText xml:space="preserve"> </w:instrText>
            </w:r>
            <w:r w:rsidR="001171C7">
              <w:rPr>
                <w:webHidden/>
                <w:rtl/>
              </w:rPr>
            </w:r>
            <w:r w:rsidR="001171C7">
              <w:rPr>
                <w:webHidden/>
                <w:rtl/>
              </w:rPr>
              <w:fldChar w:fldCharType="separate"/>
            </w:r>
            <w:r w:rsidR="006A6D13">
              <w:rPr>
                <w:webHidden/>
                <w:rtl/>
              </w:rPr>
              <w:t>240</w:t>
            </w:r>
            <w:r w:rsidR="001171C7">
              <w:rPr>
                <w:webHidden/>
                <w:rtl/>
              </w:rPr>
              <w:fldChar w:fldCharType="end"/>
            </w:r>
          </w:hyperlink>
        </w:p>
        <w:p w:rsidR="001171C7" w:rsidRDefault="007978F4">
          <w:pPr>
            <w:pStyle w:val="TOC1"/>
            <w:rPr>
              <w:rFonts w:eastAsiaTheme="minorEastAsia" w:cstheme="minorBidi"/>
              <w:b w:val="0"/>
              <w:bCs w:val="0"/>
              <w:rtl/>
            </w:rPr>
          </w:pPr>
          <w:hyperlink w:anchor="_Toc496175482" w:history="1">
            <w:r w:rsidR="001171C7" w:rsidRPr="00D35CC1">
              <w:rPr>
                <w:rStyle w:val="Hyperlink"/>
                <w:rFonts w:cs="Guttman Drogolin"/>
                <w:rtl/>
              </w:rPr>
              <w:t>זיעה ההולכת לצדדין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Toc496175482 \h</w:instrText>
            </w:r>
            <w:r w:rsidR="001171C7">
              <w:rPr>
                <w:webHidden/>
                <w:rtl/>
              </w:rPr>
              <w:instrText xml:space="preserve"> </w:instrText>
            </w:r>
            <w:r w:rsidR="001171C7">
              <w:rPr>
                <w:webHidden/>
                <w:rtl/>
              </w:rPr>
            </w:r>
            <w:r w:rsidR="001171C7">
              <w:rPr>
                <w:webHidden/>
                <w:rtl/>
              </w:rPr>
              <w:fldChar w:fldCharType="separate"/>
            </w:r>
            <w:r w:rsidR="006A6D13">
              <w:rPr>
                <w:webHidden/>
                <w:rtl/>
              </w:rPr>
              <w:t>240</w:t>
            </w:r>
            <w:r w:rsidR="001171C7">
              <w:rPr>
                <w:webHidden/>
                <w:rtl/>
              </w:rPr>
              <w:fldChar w:fldCharType="end"/>
            </w:r>
          </w:hyperlink>
        </w:p>
        <w:p w:rsidR="001171C7" w:rsidRDefault="007978F4">
          <w:pPr>
            <w:pStyle w:val="TOC1"/>
            <w:rPr>
              <w:rFonts w:eastAsiaTheme="minorEastAsia" w:cstheme="minorBidi"/>
              <w:b w:val="0"/>
              <w:bCs w:val="0"/>
              <w:rtl/>
            </w:rPr>
          </w:pPr>
          <w:hyperlink w:anchor="_Toc496175483" w:history="1">
            <w:r w:rsidR="001171C7" w:rsidRPr="00D35CC1">
              <w:rPr>
                <w:rStyle w:val="Hyperlink"/>
                <w:rFonts w:cs="Guttman Drogolin"/>
                <w:rtl/>
              </w:rPr>
              <w:t>זיעה צוננת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Toc496175483 \h</w:instrText>
            </w:r>
            <w:r w:rsidR="001171C7">
              <w:rPr>
                <w:webHidden/>
                <w:rtl/>
              </w:rPr>
              <w:instrText xml:space="preserve"> </w:instrText>
            </w:r>
            <w:r w:rsidR="001171C7">
              <w:rPr>
                <w:webHidden/>
                <w:rtl/>
              </w:rPr>
            </w:r>
            <w:r w:rsidR="001171C7">
              <w:rPr>
                <w:webHidden/>
                <w:rtl/>
              </w:rPr>
              <w:fldChar w:fldCharType="separate"/>
            </w:r>
            <w:r w:rsidR="006A6D13">
              <w:rPr>
                <w:webHidden/>
                <w:rtl/>
              </w:rPr>
              <w:t>240</w:t>
            </w:r>
            <w:r w:rsidR="001171C7">
              <w:rPr>
                <w:webHidden/>
                <w:rtl/>
              </w:rPr>
              <w:fldChar w:fldCharType="end"/>
            </w:r>
          </w:hyperlink>
        </w:p>
        <w:p w:rsidR="001171C7" w:rsidRDefault="007978F4">
          <w:pPr>
            <w:pStyle w:val="TOC1"/>
            <w:rPr>
              <w:rFonts w:eastAsiaTheme="minorEastAsia" w:cstheme="minorBidi"/>
              <w:b w:val="0"/>
              <w:bCs w:val="0"/>
              <w:rtl/>
            </w:rPr>
          </w:pPr>
          <w:hyperlink w:anchor="_Toc496175484" w:history="1">
            <w:r w:rsidR="001171C7" w:rsidRPr="00D35CC1">
              <w:rPr>
                <w:rStyle w:val="Hyperlink"/>
                <w:rFonts w:cs="Guttman Drogolin"/>
                <w:rtl/>
              </w:rPr>
              <w:t>קדירה למעלה מקדירה ויש זיעה ביניהם האם אוסרת גם התחתון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Toc496175484 \h</w:instrText>
            </w:r>
            <w:r w:rsidR="001171C7">
              <w:rPr>
                <w:webHidden/>
                <w:rtl/>
              </w:rPr>
              <w:instrText xml:space="preserve"> </w:instrText>
            </w:r>
            <w:r w:rsidR="001171C7">
              <w:rPr>
                <w:webHidden/>
                <w:rtl/>
              </w:rPr>
            </w:r>
            <w:r w:rsidR="001171C7">
              <w:rPr>
                <w:webHidden/>
                <w:rtl/>
              </w:rPr>
              <w:fldChar w:fldCharType="separate"/>
            </w:r>
            <w:r w:rsidR="006A6D13">
              <w:rPr>
                <w:webHidden/>
                <w:rtl/>
              </w:rPr>
              <w:t>241</w:t>
            </w:r>
            <w:r w:rsidR="001171C7">
              <w:rPr>
                <w:webHidden/>
                <w:rtl/>
              </w:rPr>
              <w:fldChar w:fldCharType="end"/>
            </w:r>
          </w:hyperlink>
        </w:p>
        <w:p w:rsidR="001171C7" w:rsidRDefault="007978F4">
          <w:pPr>
            <w:pStyle w:val="TOC1"/>
            <w:rPr>
              <w:rFonts w:eastAsiaTheme="minorEastAsia" w:cstheme="minorBidi"/>
              <w:b w:val="0"/>
              <w:bCs w:val="0"/>
              <w:rtl/>
            </w:rPr>
          </w:pPr>
          <w:hyperlink w:anchor="_Toc496175485" w:history="1">
            <w:r w:rsidR="001171C7" w:rsidRPr="00D35CC1">
              <w:rPr>
                <w:rStyle w:val="Hyperlink"/>
                <w:rFonts w:cs="Guttman Drogolin"/>
                <w:rtl/>
              </w:rPr>
              <w:t>בדין גרירה שצריכים כשנטף חלב על הכלי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Toc496175485 \h</w:instrText>
            </w:r>
            <w:r w:rsidR="001171C7">
              <w:rPr>
                <w:webHidden/>
                <w:rtl/>
              </w:rPr>
              <w:instrText xml:space="preserve"> </w:instrText>
            </w:r>
            <w:r w:rsidR="001171C7">
              <w:rPr>
                <w:webHidden/>
                <w:rtl/>
              </w:rPr>
            </w:r>
            <w:r w:rsidR="001171C7">
              <w:rPr>
                <w:webHidden/>
                <w:rtl/>
              </w:rPr>
              <w:fldChar w:fldCharType="separate"/>
            </w:r>
            <w:r w:rsidR="006A6D13">
              <w:rPr>
                <w:webHidden/>
                <w:rtl/>
              </w:rPr>
              <w:t>241</w:t>
            </w:r>
            <w:r w:rsidR="001171C7">
              <w:rPr>
                <w:webHidden/>
                <w:rtl/>
              </w:rPr>
              <w:fldChar w:fldCharType="end"/>
            </w:r>
          </w:hyperlink>
        </w:p>
        <w:p w:rsidR="001171C7" w:rsidRDefault="007978F4">
          <w:pPr>
            <w:pStyle w:val="TOC1"/>
            <w:rPr>
              <w:rFonts w:eastAsiaTheme="minorEastAsia" w:cstheme="minorBidi"/>
              <w:b w:val="0"/>
              <w:bCs w:val="0"/>
              <w:rtl/>
            </w:rPr>
          </w:pPr>
          <w:hyperlink w:anchor="_Toc496175486" w:history="1">
            <w:r w:rsidR="001171C7" w:rsidRPr="00D35CC1">
              <w:rPr>
                <w:rStyle w:val="Hyperlink"/>
                <w:rFonts w:cs="Guttman Drogolin"/>
                <w:rtl/>
              </w:rPr>
              <w:t>הערה בדין כף</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Toc496175486 \h</w:instrText>
            </w:r>
            <w:r w:rsidR="001171C7">
              <w:rPr>
                <w:webHidden/>
                <w:rtl/>
              </w:rPr>
              <w:instrText xml:space="preserve"> </w:instrText>
            </w:r>
            <w:r w:rsidR="001171C7">
              <w:rPr>
                <w:webHidden/>
                <w:rtl/>
              </w:rPr>
            </w:r>
            <w:r w:rsidR="001171C7">
              <w:rPr>
                <w:webHidden/>
                <w:rtl/>
              </w:rPr>
              <w:fldChar w:fldCharType="separate"/>
            </w:r>
            <w:r w:rsidR="006A6D13">
              <w:rPr>
                <w:webHidden/>
                <w:rtl/>
              </w:rPr>
              <w:t>242</w:t>
            </w:r>
            <w:r w:rsidR="001171C7">
              <w:rPr>
                <w:webHidden/>
                <w:rtl/>
              </w:rPr>
              <w:fldChar w:fldCharType="end"/>
            </w:r>
          </w:hyperlink>
        </w:p>
        <w:p w:rsidR="00E4340F" w:rsidRPr="00D639A4" w:rsidRDefault="00E4340F" w:rsidP="00E4340F">
          <w:pPr>
            <w:pStyle w:val="TOC1"/>
            <w:spacing w:before="240"/>
            <w:rPr>
              <w:rStyle w:val="Hyperlink"/>
              <w:color w:val="auto"/>
              <w:sz w:val="28"/>
              <w:szCs w:val="28"/>
              <w:rtl/>
            </w:rPr>
          </w:pPr>
          <w:r>
            <w:rPr>
              <w:rStyle w:val="Hyperlink"/>
              <w:rFonts w:hint="cs"/>
              <w:color w:val="auto"/>
              <w:sz w:val="28"/>
              <w:szCs w:val="28"/>
              <w:rtl/>
            </w:rPr>
            <w:t>יורה דעה סי' צ"ג</w:t>
          </w:r>
        </w:p>
        <w:p w:rsidR="001171C7" w:rsidRDefault="007978F4">
          <w:pPr>
            <w:pStyle w:val="TOC1"/>
            <w:rPr>
              <w:rFonts w:eastAsiaTheme="minorEastAsia" w:cstheme="minorBidi"/>
              <w:b w:val="0"/>
              <w:bCs w:val="0"/>
              <w:rtl/>
            </w:rPr>
          </w:pPr>
          <w:hyperlink w:anchor="_Toc496175487" w:history="1">
            <w:r w:rsidR="001171C7" w:rsidRPr="00D35CC1">
              <w:rPr>
                <w:rStyle w:val="Hyperlink"/>
                <w:rFonts w:cs="Guttman Drogolin"/>
                <w:rtl/>
              </w:rPr>
              <w:t>קדירה שבישל בה בשר ואחר מעל"ע בישל בה חלב – לבשל בה ירקות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Toc496175487 \h</w:instrText>
            </w:r>
            <w:r w:rsidR="001171C7">
              <w:rPr>
                <w:webHidden/>
                <w:rtl/>
              </w:rPr>
              <w:instrText xml:space="preserve"> </w:instrText>
            </w:r>
            <w:r w:rsidR="001171C7">
              <w:rPr>
                <w:webHidden/>
                <w:rtl/>
              </w:rPr>
            </w:r>
            <w:r w:rsidR="001171C7">
              <w:rPr>
                <w:webHidden/>
                <w:rtl/>
              </w:rPr>
              <w:fldChar w:fldCharType="separate"/>
            </w:r>
            <w:r w:rsidR="006A6D13">
              <w:rPr>
                <w:webHidden/>
                <w:rtl/>
              </w:rPr>
              <w:t>242</w:t>
            </w:r>
            <w:r w:rsidR="001171C7">
              <w:rPr>
                <w:webHidden/>
                <w:rtl/>
              </w:rPr>
              <w:fldChar w:fldCharType="end"/>
            </w:r>
          </w:hyperlink>
        </w:p>
        <w:p w:rsidR="001171C7" w:rsidRDefault="007978F4">
          <w:pPr>
            <w:pStyle w:val="TOC1"/>
            <w:rPr>
              <w:rFonts w:eastAsiaTheme="minorEastAsia" w:cstheme="minorBidi"/>
              <w:b w:val="0"/>
              <w:bCs w:val="0"/>
              <w:rtl/>
            </w:rPr>
          </w:pPr>
          <w:hyperlink w:anchor="_Toc496175488" w:history="1">
            <w:r w:rsidR="001171C7" w:rsidRPr="00D35CC1">
              <w:rPr>
                <w:rStyle w:val="Hyperlink"/>
                <w:rFonts w:asciiTheme="majorHAnsi" w:eastAsiaTheme="majorEastAsia" w:hAnsiTheme="majorHAnsi" w:cs="Guttman Drogolin"/>
                <w:rtl/>
              </w:rPr>
              <w:t>דברי הטור בשם בעל העיטור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Toc496175488 \h</w:instrText>
            </w:r>
            <w:r w:rsidR="001171C7">
              <w:rPr>
                <w:webHidden/>
                <w:rtl/>
              </w:rPr>
              <w:instrText xml:space="preserve"> </w:instrText>
            </w:r>
            <w:r w:rsidR="001171C7">
              <w:rPr>
                <w:webHidden/>
                <w:rtl/>
              </w:rPr>
            </w:r>
            <w:r w:rsidR="001171C7">
              <w:rPr>
                <w:webHidden/>
                <w:rtl/>
              </w:rPr>
              <w:fldChar w:fldCharType="separate"/>
            </w:r>
            <w:r w:rsidR="006A6D13">
              <w:rPr>
                <w:webHidden/>
                <w:rtl/>
              </w:rPr>
              <w:t>243</w:t>
            </w:r>
            <w:r w:rsidR="001171C7">
              <w:rPr>
                <w:webHidden/>
                <w:rtl/>
              </w:rPr>
              <w:fldChar w:fldCharType="end"/>
            </w:r>
          </w:hyperlink>
        </w:p>
        <w:p w:rsidR="001171C7" w:rsidRDefault="007978F4">
          <w:pPr>
            <w:pStyle w:val="TOC1"/>
            <w:rPr>
              <w:rFonts w:eastAsiaTheme="minorEastAsia" w:cstheme="minorBidi"/>
              <w:b w:val="0"/>
              <w:bCs w:val="0"/>
              <w:rtl/>
            </w:rPr>
          </w:pPr>
          <w:hyperlink w:anchor="_Toc496175489" w:history="1">
            <w:r w:rsidR="001171C7" w:rsidRPr="00D35CC1">
              <w:rPr>
                <w:rStyle w:val="Hyperlink"/>
                <w:rFonts w:asciiTheme="majorHAnsi" w:eastAsiaTheme="majorEastAsia" w:hAnsiTheme="majorHAnsi" w:cs="Guttman Drogolin"/>
                <w:rtl/>
              </w:rPr>
              <w:t>שיטת הרשב"א בבישל בה ירקות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Toc496175489 \h</w:instrText>
            </w:r>
            <w:r w:rsidR="001171C7">
              <w:rPr>
                <w:webHidden/>
                <w:rtl/>
              </w:rPr>
              <w:instrText xml:space="preserve"> </w:instrText>
            </w:r>
            <w:r w:rsidR="001171C7">
              <w:rPr>
                <w:webHidden/>
                <w:rtl/>
              </w:rPr>
            </w:r>
            <w:r w:rsidR="001171C7">
              <w:rPr>
                <w:webHidden/>
                <w:rtl/>
              </w:rPr>
              <w:fldChar w:fldCharType="separate"/>
            </w:r>
            <w:r w:rsidR="006A6D13">
              <w:rPr>
                <w:webHidden/>
                <w:rtl/>
              </w:rPr>
              <w:t>243</w:t>
            </w:r>
            <w:r w:rsidR="001171C7">
              <w:rPr>
                <w:webHidden/>
                <w:rtl/>
              </w:rPr>
              <w:fldChar w:fldCharType="end"/>
            </w:r>
          </w:hyperlink>
        </w:p>
        <w:p w:rsidR="001171C7" w:rsidRDefault="007978F4">
          <w:pPr>
            <w:pStyle w:val="TOC1"/>
            <w:rPr>
              <w:rFonts w:eastAsiaTheme="minorEastAsia" w:cstheme="minorBidi"/>
              <w:b w:val="0"/>
              <w:bCs w:val="0"/>
              <w:rtl/>
            </w:rPr>
          </w:pPr>
          <w:hyperlink w:anchor="_Toc496175490" w:history="1">
            <w:r w:rsidR="001171C7" w:rsidRPr="00D35CC1">
              <w:rPr>
                <w:rStyle w:val="Hyperlink"/>
                <w:rFonts w:asciiTheme="majorHAnsi" w:eastAsiaTheme="majorEastAsia" w:hAnsiTheme="majorHAnsi" w:cs="Guttman Drogolin"/>
                <w:rtl/>
              </w:rPr>
              <w:t>בענין כיסוי הקדרה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Toc496175490 \h</w:instrText>
            </w:r>
            <w:r w:rsidR="001171C7">
              <w:rPr>
                <w:webHidden/>
                <w:rtl/>
              </w:rPr>
              <w:instrText xml:space="preserve"> </w:instrText>
            </w:r>
            <w:r w:rsidR="001171C7">
              <w:rPr>
                <w:webHidden/>
                <w:rtl/>
              </w:rPr>
            </w:r>
            <w:r w:rsidR="001171C7">
              <w:rPr>
                <w:webHidden/>
                <w:rtl/>
              </w:rPr>
              <w:fldChar w:fldCharType="separate"/>
            </w:r>
            <w:r w:rsidR="006A6D13">
              <w:rPr>
                <w:webHidden/>
                <w:rtl/>
              </w:rPr>
              <w:t>244</w:t>
            </w:r>
            <w:r w:rsidR="001171C7">
              <w:rPr>
                <w:webHidden/>
                <w:rtl/>
              </w:rPr>
              <w:fldChar w:fldCharType="end"/>
            </w:r>
          </w:hyperlink>
        </w:p>
        <w:p w:rsidR="001171C7" w:rsidRDefault="007978F4">
          <w:pPr>
            <w:pStyle w:val="TOC1"/>
            <w:rPr>
              <w:rFonts w:eastAsiaTheme="minorEastAsia" w:cstheme="minorBidi"/>
              <w:b w:val="0"/>
              <w:bCs w:val="0"/>
              <w:rtl/>
            </w:rPr>
          </w:pPr>
          <w:hyperlink w:anchor="_Toc496175491" w:history="1">
            <w:r w:rsidR="001171C7" w:rsidRPr="00D35CC1">
              <w:rPr>
                <w:rStyle w:val="Hyperlink"/>
                <w:rFonts w:cs="Guttman Drogolin"/>
                <w:rtl/>
              </w:rPr>
              <w:t>עוד בדעת הרשב"א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Toc496175491 \h</w:instrText>
            </w:r>
            <w:r w:rsidR="001171C7">
              <w:rPr>
                <w:webHidden/>
                <w:rtl/>
              </w:rPr>
              <w:instrText xml:space="preserve"> </w:instrText>
            </w:r>
            <w:r w:rsidR="001171C7">
              <w:rPr>
                <w:webHidden/>
                <w:rtl/>
              </w:rPr>
            </w:r>
            <w:r w:rsidR="001171C7">
              <w:rPr>
                <w:webHidden/>
                <w:rtl/>
              </w:rPr>
              <w:fldChar w:fldCharType="separate"/>
            </w:r>
            <w:r w:rsidR="006A6D13">
              <w:rPr>
                <w:webHidden/>
                <w:rtl/>
              </w:rPr>
              <w:t>245</w:t>
            </w:r>
            <w:r w:rsidR="001171C7">
              <w:rPr>
                <w:webHidden/>
                <w:rtl/>
              </w:rPr>
              <w:fldChar w:fldCharType="end"/>
            </w:r>
          </w:hyperlink>
        </w:p>
        <w:p w:rsidR="001171C7" w:rsidRDefault="007978F4">
          <w:pPr>
            <w:pStyle w:val="TOC1"/>
            <w:rPr>
              <w:rFonts w:eastAsiaTheme="minorEastAsia" w:cstheme="minorBidi"/>
              <w:b w:val="0"/>
              <w:bCs w:val="0"/>
              <w:rtl/>
            </w:rPr>
          </w:pPr>
          <w:hyperlink w:anchor="_Toc496175492" w:history="1">
            <w:r w:rsidR="001171C7" w:rsidRPr="00D35CC1">
              <w:rPr>
                <w:rStyle w:val="Hyperlink"/>
                <w:rFonts w:cs="Guttman Drogolin"/>
                <w:rtl/>
              </w:rPr>
              <w:t>בקושיית הדרכ"מ על המנהג להחמיר בכיסוי שאינו בן יומו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Toc496175492 \h</w:instrText>
            </w:r>
            <w:r w:rsidR="001171C7">
              <w:rPr>
                <w:webHidden/>
                <w:rtl/>
              </w:rPr>
              <w:instrText xml:space="preserve"> </w:instrText>
            </w:r>
            <w:r w:rsidR="001171C7">
              <w:rPr>
                <w:webHidden/>
                <w:rtl/>
              </w:rPr>
            </w:r>
            <w:r w:rsidR="001171C7">
              <w:rPr>
                <w:webHidden/>
                <w:rtl/>
              </w:rPr>
              <w:fldChar w:fldCharType="separate"/>
            </w:r>
            <w:r w:rsidR="006A6D13">
              <w:rPr>
                <w:webHidden/>
                <w:rtl/>
              </w:rPr>
              <w:t>245</w:t>
            </w:r>
            <w:r w:rsidR="001171C7">
              <w:rPr>
                <w:webHidden/>
                <w:rtl/>
              </w:rPr>
              <w:fldChar w:fldCharType="end"/>
            </w:r>
          </w:hyperlink>
        </w:p>
        <w:p w:rsidR="00E4340F" w:rsidRPr="00D639A4" w:rsidRDefault="00E4340F" w:rsidP="00E4340F">
          <w:pPr>
            <w:pStyle w:val="TOC1"/>
            <w:keepNext/>
            <w:spacing w:before="240"/>
            <w:rPr>
              <w:rStyle w:val="Hyperlink"/>
              <w:color w:val="auto"/>
              <w:sz w:val="28"/>
              <w:szCs w:val="28"/>
              <w:rtl/>
            </w:rPr>
          </w:pPr>
          <w:r>
            <w:rPr>
              <w:rStyle w:val="Hyperlink"/>
              <w:rFonts w:hint="cs"/>
              <w:color w:val="auto"/>
              <w:sz w:val="28"/>
              <w:szCs w:val="28"/>
              <w:rtl/>
            </w:rPr>
            <w:lastRenderedPageBreak/>
            <w:t>יורה דעה סי' צ"ד</w:t>
          </w:r>
        </w:p>
        <w:p w:rsidR="001171C7" w:rsidRDefault="007978F4">
          <w:pPr>
            <w:pStyle w:val="TOC1"/>
            <w:rPr>
              <w:rFonts w:eastAsiaTheme="minorEastAsia" w:cstheme="minorBidi"/>
              <w:b w:val="0"/>
              <w:bCs w:val="0"/>
              <w:rtl/>
            </w:rPr>
          </w:pPr>
          <w:hyperlink w:anchor="_Toc496175493" w:history="1">
            <w:r w:rsidR="001171C7" w:rsidRPr="00D35CC1">
              <w:rPr>
                <w:rStyle w:val="Hyperlink"/>
                <w:rFonts w:cs="Guttman Drogolin"/>
                <w:rtl/>
              </w:rPr>
              <w:t>בדין חם מקצתו חם כולו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Toc496175493 \h</w:instrText>
            </w:r>
            <w:r w:rsidR="001171C7">
              <w:rPr>
                <w:webHidden/>
                <w:rtl/>
              </w:rPr>
              <w:instrText xml:space="preserve"> </w:instrText>
            </w:r>
            <w:r w:rsidR="001171C7">
              <w:rPr>
                <w:webHidden/>
                <w:rtl/>
              </w:rPr>
            </w:r>
            <w:r w:rsidR="001171C7">
              <w:rPr>
                <w:webHidden/>
                <w:rtl/>
              </w:rPr>
              <w:fldChar w:fldCharType="separate"/>
            </w:r>
            <w:r w:rsidR="006A6D13">
              <w:rPr>
                <w:webHidden/>
                <w:rtl/>
              </w:rPr>
              <w:t>247</w:t>
            </w:r>
            <w:r w:rsidR="001171C7">
              <w:rPr>
                <w:webHidden/>
                <w:rtl/>
              </w:rPr>
              <w:fldChar w:fldCharType="end"/>
            </w:r>
          </w:hyperlink>
        </w:p>
        <w:p w:rsidR="001171C7" w:rsidRDefault="007978F4">
          <w:pPr>
            <w:pStyle w:val="TOC1"/>
            <w:rPr>
              <w:rFonts w:eastAsiaTheme="minorEastAsia" w:cstheme="minorBidi"/>
              <w:b w:val="0"/>
              <w:bCs w:val="0"/>
              <w:rtl/>
            </w:rPr>
          </w:pPr>
          <w:hyperlink w:anchor="_Toc496175494" w:history="1">
            <w:r w:rsidR="001171C7" w:rsidRPr="00D35CC1">
              <w:rPr>
                <w:rStyle w:val="Hyperlink"/>
                <w:rFonts w:cs="Guttman Drogolin"/>
                <w:rtl/>
              </w:rPr>
              <w:t>אם צריכים פעמיים ששים כשהכניס הכף פעמיים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Toc496175494 \h</w:instrText>
            </w:r>
            <w:r w:rsidR="001171C7">
              <w:rPr>
                <w:webHidden/>
                <w:rtl/>
              </w:rPr>
              <w:instrText xml:space="preserve"> </w:instrText>
            </w:r>
            <w:r w:rsidR="001171C7">
              <w:rPr>
                <w:webHidden/>
                <w:rtl/>
              </w:rPr>
            </w:r>
            <w:r w:rsidR="001171C7">
              <w:rPr>
                <w:webHidden/>
                <w:rtl/>
              </w:rPr>
              <w:fldChar w:fldCharType="separate"/>
            </w:r>
            <w:r w:rsidR="006A6D13">
              <w:rPr>
                <w:webHidden/>
                <w:rtl/>
              </w:rPr>
              <w:t>248</w:t>
            </w:r>
            <w:r w:rsidR="001171C7">
              <w:rPr>
                <w:webHidden/>
                <w:rtl/>
              </w:rPr>
              <w:fldChar w:fldCharType="end"/>
            </w:r>
          </w:hyperlink>
        </w:p>
        <w:p w:rsidR="001171C7" w:rsidRDefault="007978F4">
          <w:pPr>
            <w:pStyle w:val="TOC1"/>
            <w:rPr>
              <w:rFonts w:eastAsiaTheme="minorEastAsia" w:cstheme="minorBidi"/>
              <w:b w:val="0"/>
              <w:bCs w:val="0"/>
              <w:rtl/>
            </w:rPr>
          </w:pPr>
          <w:hyperlink w:anchor="_Toc496175495" w:history="1">
            <w:r w:rsidR="001171C7" w:rsidRPr="00D35CC1">
              <w:rPr>
                <w:rStyle w:val="Hyperlink"/>
                <w:rFonts w:cs="Guttman Drogolin"/>
                <w:rtl/>
              </w:rPr>
              <w:t>בדברי הש"ך בסי' צ"ד ס"ק ד'</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Toc496175495 \h</w:instrText>
            </w:r>
            <w:r w:rsidR="001171C7">
              <w:rPr>
                <w:webHidden/>
                <w:rtl/>
              </w:rPr>
              <w:instrText xml:space="preserve"> </w:instrText>
            </w:r>
            <w:r w:rsidR="001171C7">
              <w:rPr>
                <w:webHidden/>
                <w:rtl/>
              </w:rPr>
            </w:r>
            <w:r w:rsidR="001171C7">
              <w:rPr>
                <w:webHidden/>
                <w:rtl/>
              </w:rPr>
              <w:fldChar w:fldCharType="separate"/>
            </w:r>
            <w:r w:rsidR="006A6D13">
              <w:rPr>
                <w:webHidden/>
                <w:rtl/>
              </w:rPr>
              <w:t>249</w:t>
            </w:r>
            <w:r w:rsidR="001171C7">
              <w:rPr>
                <w:webHidden/>
                <w:rtl/>
              </w:rPr>
              <w:fldChar w:fldCharType="end"/>
            </w:r>
          </w:hyperlink>
        </w:p>
        <w:p w:rsidR="001171C7" w:rsidRDefault="007978F4">
          <w:pPr>
            <w:pStyle w:val="TOC1"/>
            <w:rPr>
              <w:rFonts w:eastAsiaTheme="minorEastAsia" w:cstheme="minorBidi"/>
              <w:b w:val="0"/>
              <w:bCs w:val="0"/>
              <w:rtl/>
            </w:rPr>
          </w:pPr>
          <w:hyperlink w:anchor="_Toc496175496" w:history="1">
            <w:r w:rsidR="001171C7" w:rsidRPr="00D35CC1">
              <w:rPr>
                <w:rStyle w:val="Hyperlink"/>
                <w:rFonts w:cs="Guttman Drogolin"/>
                <w:rtl/>
              </w:rPr>
              <w:t>ביאור שיטת הרמ"א בטעם להקל כשהכניס כף פעמיים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Toc496175496 \h</w:instrText>
            </w:r>
            <w:r w:rsidR="001171C7">
              <w:rPr>
                <w:webHidden/>
                <w:rtl/>
              </w:rPr>
              <w:instrText xml:space="preserve"> </w:instrText>
            </w:r>
            <w:r w:rsidR="001171C7">
              <w:rPr>
                <w:webHidden/>
                <w:rtl/>
              </w:rPr>
            </w:r>
            <w:r w:rsidR="001171C7">
              <w:rPr>
                <w:webHidden/>
                <w:rtl/>
              </w:rPr>
              <w:fldChar w:fldCharType="separate"/>
            </w:r>
            <w:r w:rsidR="006A6D13">
              <w:rPr>
                <w:webHidden/>
                <w:rtl/>
              </w:rPr>
              <w:t>250</w:t>
            </w:r>
            <w:r w:rsidR="001171C7">
              <w:rPr>
                <w:webHidden/>
                <w:rtl/>
              </w:rPr>
              <w:fldChar w:fldCharType="end"/>
            </w:r>
          </w:hyperlink>
        </w:p>
        <w:p w:rsidR="001171C7" w:rsidRDefault="007978F4">
          <w:pPr>
            <w:pStyle w:val="TOC1"/>
            <w:rPr>
              <w:rFonts w:eastAsiaTheme="minorEastAsia" w:cstheme="minorBidi"/>
              <w:b w:val="0"/>
              <w:bCs w:val="0"/>
              <w:rtl/>
            </w:rPr>
          </w:pPr>
          <w:hyperlink w:anchor="_Toc496175497" w:history="1">
            <w:r w:rsidR="001171C7" w:rsidRPr="00D35CC1">
              <w:rPr>
                <w:rStyle w:val="Hyperlink"/>
                <w:rFonts w:cs="Guttman Drogolin"/>
                <w:rtl/>
              </w:rPr>
              <w:t>האם קיי"ל להקל כטעמו של התרוה"ד</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Toc496175497 \h</w:instrText>
            </w:r>
            <w:r w:rsidR="001171C7">
              <w:rPr>
                <w:webHidden/>
                <w:rtl/>
              </w:rPr>
              <w:instrText xml:space="preserve"> </w:instrText>
            </w:r>
            <w:r w:rsidR="001171C7">
              <w:rPr>
                <w:webHidden/>
                <w:rtl/>
              </w:rPr>
            </w:r>
            <w:r w:rsidR="001171C7">
              <w:rPr>
                <w:webHidden/>
                <w:rtl/>
              </w:rPr>
              <w:fldChar w:fldCharType="separate"/>
            </w:r>
            <w:r w:rsidR="006A6D13">
              <w:rPr>
                <w:webHidden/>
                <w:rtl/>
              </w:rPr>
              <w:t>250</w:t>
            </w:r>
            <w:r w:rsidR="001171C7">
              <w:rPr>
                <w:webHidden/>
                <w:rtl/>
              </w:rPr>
              <w:fldChar w:fldCharType="end"/>
            </w:r>
          </w:hyperlink>
        </w:p>
        <w:p w:rsidR="001171C7" w:rsidRDefault="007978F4">
          <w:pPr>
            <w:pStyle w:val="TOC1"/>
            <w:rPr>
              <w:rFonts w:eastAsiaTheme="minorEastAsia" w:cstheme="minorBidi"/>
              <w:b w:val="0"/>
              <w:bCs w:val="0"/>
              <w:rtl/>
            </w:rPr>
          </w:pPr>
          <w:hyperlink w:anchor="_Toc496175498" w:history="1">
            <w:r w:rsidR="001171C7" w:rsidRPr="00D35CC1">
              <w:rPr>
                <w:rStyle w:val="Hyperlink"/>
                <w:rFonts w:cs="Guttman Drogolin"/>
                <w:rtl/>
              </w:rPr>
              <w:t>הנאה מן הקדרה שנאסרה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Toc496175498 \h</w:instrText>
            </w:r>
            <w:r w:rsidR="001171C7">
              <w:rPr>
                <w:webHidden/>
                <w:rtl/>
              </w:rPr>
              <w:instrText xml:space="preserve"> </w:instrText>
            </w:r>
            <w:r w:rsidR="001171C7">
              <w:rPr>
                <w:webHidden/>
                <w:rtl/>
              </w:rPr>
            </w:r>
            <w:r w:rsidR="001171C7">
              <w:rPr>
                <w:webHidden/>
                <w:rtl/>
              </w:rPr>
              <w:fldChar w:fldCharType="separate"/>
            </w:r>
            <w:r w:rsidR="006A6D13">
              <w:rPr>
                <w:webHidden/>
                <w:rtl/>
              </w:rPr>
              <w:t>252</w:t>
            </w:r>
            <w:r w:rsidR="001171C7">
              <w:rPr>
                <w:webHidden/>
                <w:rtl/>
              </w:rPr>
              <w:fldChar w:fldCharType="end"/>
            </w:r>
          </w:hyperlink>
        </w:p>
        <w:p w:rsidR="001171C7" w:rsidRDefault="007978F4">
          <w:pPr>
            <w:pStyle w:val="TOC1"/>
            <w:rPr>
              <w:rFonts w:eastAsiaTheme="minorEastAsia" w:cstheme="minorBidi"/>
              <w:b w:val="0"/>
              <w:bCs w:val="0"/>
              <w:rtl/>
            </w:rPr>
          </w:pPr>
          <w:hyperlink w:anchor="_Toc496175499" w:history="1">
            <w:r w:rsidR="001171C7" w:rsidRPr="00D35CC1">
              <w:rPr>
                <w:rStyle w:val="Hyperlink"/>
                <w:rFonts w:cs="Guttman Drogolin"/>
                <w:rtl/>
              </w:rPr>
              <w:t>אם יש איסור להאכיל בב"ח לאחרים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Toc496175499 \h</w:instrText>
            </w:r>
            <w:r w:rsidR="001171C7">
              <w:rPr>
                <w:webHidden/>
                <w:rtl/>
              </w:rPr>
              <w:instrText xml:space="preserve"> </w:instrText>
            </w:r>
            <w:r w:rsidR="001171C7">
              <w:rPr>
                <w:webHidden/>
                <w:rtl/>
              </w:rPr>
            </w:r>
            <w:r w:rsidR="001171C7">
              <w:rPr>
                <w:webHidden/>
                <w:rtl/>
              </w:rPr>
              <w:fldChar w:fldCharType="separate"/>
            </w:r>
            <w:r w:rsidR="006A6D13">
              <w:rPr>
                <w:webHidden/>
                <w:rtl/>
              </w:rPr>
              <w:t>253</w:t>
            </w:r>
            <w:r w:rsidR="001171C7">
              <w:rPr>
                <w:webHidden/>
                <w:rtl/>
              </w:rPr>
              <w:fldChar w:fldCharType="end"/>
            </w:r>
          </w:hyperlink>
        </w:p>
        <w:p w:rsidR="001171C7" w:rsidRDefault="007978F4">
          <w:pPr>
            <w:pStyle w:val="TOC1"/>
            <w:rPr>
              <w:rFonts w:eastAsiaTheme="minorEastAsia" w:cstheme="minorBidi"/>
              <w:b w:val="0"/>
              <w:bCs w:val="0"/>
              <w:rtl/>
            </w:rPr>
          </w:pPr>
          <w:hyperlink w:anchor="_Toc496175500" w:history="1">
            <w:r w:rsidR="001171C7" w:rsidRPr="00D35CC1">
              <w:rPr>
                <w:rStyle w:val="Hyperlink"/>
                <w:rFonts w:cs="Guttman Drogolin"/>
                <w:rtl/>
              </w:rPr>
              <w:t>מילי דהקדמה לסי' צ"ד סע' 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Toc496175500 \h</w:instrText>
            </w:r>
            <w:r w:rsidR="001171C7">
              <w:rPr>
                <w:webHidden/>
                <w:rtl/>
              </w:rPr>
              <w:instrText xml:space="preserve"> </w:instrText>
            </w:r>
            <w:r w:rsidR="001171C7">
              <w:rPr>
                <w:webHidden/>
                <w:rtl/>
              </w:rPr>
            </w:r>
            <w:r w:rsidR="001171C7">
              <w:rPr>
                <w:webHidden/>
                <w:rtl/>
              </w:rPr>
              <w:fldChar w:fldCharType="separate"/>
            </w:r>
            <w:r w:rsidR="006A6D13">
              <w:rPr>
                <w:webHidden/>
                <w:rtl/>
              </w:rPr>
              <w:t>254</w:t>
            </w:r>
            <w:r w:rsidR="001171C7">
              <w:rPr>
                <w:webHidden/>
                <w:rtl/>
              </w:rPr>
              <w:fldChar w:fldCharType="end"/>
            </w:r>
          </w:hyperlink>
        </w:p>
        <w:p w:rsidR="001171C7" w:rsidRDefault="007978F4">
          <w:pPr>
            <w:pStyle w:val="TOC1"/>
            <w:rPr>
              <w:rFonts w:eastAsiaTheme="minorEastAsia" w:cstheme="minorBidi"/>
              <w:b w:val="0"/>
              <w:bCs w:val="0"/>
              <w:rtl/>
            </w:rPr>
          </w:pPr>
          <w:hyperlink w:anchor="_Toc496175501" w:history="1">
            <w:r w:rsidR="001171C7" w:rsidRPr="00D35CC1">
              <w:rPr>
                <w:rStyle w:val="Hyperlink"/>
                <w:rFonts w:cs="Guttman Drogolin"/>
                <w:rtl/>
              </w:rPr>
              <w:t>ביאור דברי השו"ע והרמ"א בסי' צ"ד סע' 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Toc496175501 \h</w:instrText>
            </w:r>
            <w:r w:rsidR="001171C7">
              <w:rPr>
                <w:webHidden/>
                <w:rtl/>
              </w:rPr>
              <w:instrText xml:space="preserve"> </w:instrText>
            </w:r>
            <w:r w:rsidR="001171C7">
              <w:rPr>
                <w:webHidden/>
                <w:rtl/>
              </w:rPr>
            </w:r>
            <w:r w:rsidR="001171C7">
              <w:rPr>
                <w:webHidden/>
                <w:rtl/>
              </w:rPr>
              <w:fldChar w:fldCharType="separate"/>
            </w:r>
            <w:r w:rsidR="006A6D13">
              <w:rPr>
                <w:webHidden/>
                <w:rtl/>
              </w:rPr>
              <w:t>255</w:t>
            </w:r>
            <w:r w:rsidR="001171C7">
              <w:rPr>
                <w:webHidden/>
                <w:rtl/>
              </w:rPr>
              <w:fldChar w:fldCharType="end"/>
            </w:r>
          </w:hyperlink>
        </w:p>
        <w:p w:rsidR="001171C7" w:rsidRDefault="007978F4">
          <w:pPr>
            <w:pStyle w:val="TOC1"/>
            <w:rPr>
              <w:rFonts w:eastAsiaTheme="minorEastAsia" w:cstheme="minorBidi"/>
              <w:b w:val="0"/>
              <w:bCs w:val="0"/>
              <w:rtl/>
            </w:rPr>
          </w:pPr>
          <w:hyperlink w:anchor="_Toc496175502" w:history="1">
            <w:r w:rsidR="001171C7" w:rsidRPr="00D35CC1">
              <w:rPr>
                <w:rStyle w:val="Hyperlink"/>
                <w:rFonts w:cs="Guttman Drogolin"/>
                <w:rtl/>
              </w:rPr>
              <w:t>עוד הערה בסי' צ"ד סע' 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Toc496175502 \h</w:instrText>
            </w:r>
            <w:r w:rsidR="001171C7">
              <w:rPr>
                <w:webHidden/>
                <w:rtl/>
              </w:rPr>
              <w:instrText xml:space="preserve"> </w:instrText>
            </w:r>
            <w:r w:rsidR="001171C7">
              <w:rPr>
                <w:webHidden/>
                <w:rtl/>
              </w:rPr>
            </w:r>
            <w:r w:rsidR="001171C7">
              <w:rPr>
                <w:webHidden/>
                <w:rtl/>
              </w:rPr>
              <w:fldChar w:fldCharType="separate"/>
            </w:r>
            <w:r w:rsidR="006A6D13">
              <w:rPr>
                <w:webHidden/>
                <w:rtl/>
              </w:rPr>
              <w:t>257</w:t>
            </w:r>
            <w:r w:rsidR="001171C7">
              <w:rPr>
                <w:webHidden/>
                <w:rtl/>
              </w:rPr>
              <w:fldChar w:fldCharType="end"/>
            </w:r>
          </w:hyperlink>
        </w:p>
        <w:p w:rsidR="001171C7" w:rsidRDefault="007978F4">
          <w:pPr>
            <w:pStyle w:val="TOC1"/>
            <w:rPr>
              <w:rFonts w:eastAsiaTheme="minorEastAsia" w:cstheme="minorBidi"/>
              <w:b w:val="0"/>
              <w:bCs w:val="0"/>
              <w:rtl/>
            </w:rPr>
          </w:pPr>
          <w:hyperlink w:anchor="_Toc496175503" w:history="1">
            <w:r w:rsidR="001171C7" w:rsidRPr="00D35CC1">
              <w:rPr>
                <w:rStyle w:val="Hyperlink"/>
                <w:rFonts w:cs="Guttman Drogolin"/>
                <w:rtl/>
              </w:rPr>
              <w:t>סי' צ"ד סע' 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Toc496175503 \h</w:instrText>
            </w:r>
            <w:r w:rsidR="001171C7">
              <w:rPr>
                <w:webHidden/>
                <w:rtl/>
              </w:rPr>
              <w:instrText xml:space="preserve"> </w:instrText>
            </w:r>
            <w:r w:rsidR="001171C7">
              <w:rPr>
                <w:webHidden/>
                <w:rtl/>
              </w:rPr>
            </w:r>
            <w:r w:rsidR="001171C7">
              <w:rPr>
                <w:webHidden/>
                <w:rtl/>
              </w:rPr>
              <w:fldChar w:fldCharType="separate"/>
            </w:r>
            <w:r w:rsidR="006A6D13">
              <w:rPr>
                <w:webHidden/>
                <w:rtl/>
              </w:rPr>
              <w:t>257</w:t>
            </w:r>
            <w:r w:rsidR="001171C7">
              <w:rPr>
                <w:webHidden/>
                <w:rtl/>
              </w:rPr>
              <w:fldChar w:fldCharType="end"/>
            </w:r>
          </w:hyperlink>
        </w:p>
        <w:p w:rsidR="001171C7" w:rsidRDefault="007978F4">
          <w:pPr>
            <w:pStyle w:val="TOC1"/>
            <w:rPr>
              <w:rFonts w:eastAsiaTheme="minorEastAsia" w:cstheme="minorBidi"/>
              <w:b w:val="0"/>
              <w:bCs w:val="0"/>
              <w:rtl/>
            </w:rPr>
          </w:pPr>
          <w:hyperlink w:anchor="_Toc496175504" w:history="1">
            <w:r w:rsidR="001171C7" w:rsidRPr="00D35CC1">
              <w:rPr>
                <w:rStyle w:val="Hyperlink"/>
                <w:rFonts w:cs="Guttman Drogolin"/>
                <w:rtl/>
              </w:rPr>
              <w:t>בדברי סה"ת בבישל ירקות תוך הזמן של מעל"ע</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Toc496175504 \h</w:instrText>
            </w:r>
            <w:r w:rsidR="001171C7">
              <w:rPr>
                <w:webHidden/>
                <w:rtl/>
              </w:rPr>
              <w:instrText xml:space="preserve"> </w:instrText>
            </w:r>
            <w:r w:rsidR="001171C7">
              <w:rPr>
                <w:webHidden/>
                <w:rtl/>
              </w:rPr>
            </w:r>
            <w:r w:rsidR="001171C7">
              <w:rPr>
                <w:webHidden/>
                <w:rtl/>
              </w:rPr>
              <w:fldChar w:fldCharType="separate"/>
            </w:r>
            <w:r w:rsidR="006A6D13">
              <w:rPr>
                <w:webHidden/>
                <w:rtl/>
              </w:rPr>
              <w:t>259</w:t>
            </w:r>
            <w:r w:rsidR="001171C7">
              <w:rPr>
                <w:webHidden/>
                <w:rtl/>
              </w:rPr>
              <w:fldChar w:fldCharType="end"/>
            </w:r>
          </w:hyperlink>
        </w:p>
        <w:p w:rsidR="001171C7" w:rsidRDefault="007978F4">
          <w:pPr>
            <w:pStyle w:val="TOC1"/>
            <w:rPr>
              <w:rFonts w:eastAsiaTheme="minorEastAsia" w:cstheme="minorBidi"/>
              <w:b w:val="0"/>
              <w:bCs w:val="0"/>
              <w:rtl/>
            </w:rPr>
          </w:pPr>
          <w:hyperlink w:anchor="_Toc496175505" w:history="1">
            <w:r w:rsidR="001171C7" w:rsidRPr="00D35CC1">
              <w:rPr>
                <w:rStyle w:val="Hyperlink"/>
                <w:rFonts w:cs="Guttman Drogolin"/>
                <w:rtl/>
              </w:rPr>
              <w:t>עוד נקודה בסי' צ"ד סע' 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Toc496175505 \h</w:instrText>
            </w:r>
            <w:r w:rsidR="001171C7">
              <w:rPr>
                <w:webHidden/>
                <w:rtl/>
              </w:rPr>
              <w:instrText xml:space="preserve"> </w:instrText>
            </w:r>
            <w:r w:rsidR="001171C7">
              <w:rPr>
                <w:webHidden/>
                <w:rtl/>
              </w:rPr>
            </w:r>
            <w:r w:rsidR="001171C7">
              <w:rPr>
                <w:webHidden/>
                <w:rtl/>
              </w:rPr>
              <w:fldChar w:fldCharType="separate"/>
            </w:r>
            <w:r w:rsidR="006A6D13">
              <w:rPr>
                <w:webHidden/>
                <w:rtl/>
              </w:rPr>
              <w:t>262</w:t>
            </w:r>
            <w:r w:rsidR="001171C7">
              <w:rPr>
                <w:webHidden/>
                <w:rtl/>
              </w:rPr>
              <w:fldChar w:fldCharType="end"/>
            </w:r>
          </w:hyperlink>
        </w:p>
        <w:p w:rsidR="001171C7" w:rsidRDefault="007978F4">
          <w:pPr>
            <w:pStyle w:val="TOC1"/>
            <w:rPr>
              <w:rFonts w:eastAsiaTheme="minorEastAsia" w:cstheme="minorBidi"/>
              <w:b w:val="0"/>
              <w:bCs w:val="0"/>
              <w:rtl/>
            </w:rPr>
          </w:pPr>
          <w:hyperlink w:anchor="_Toc496175506" w:history="1">
            <w:r w:rsidR="001171C7" w:rsidRPr="00D35CC1">
              <w:rPr>
                <w:rStyle w:val="Hyperlink"/>
                <w:rFonts w:cs="Guttman Drogolin"/>
                <w:rtl/>
              </w:rPr>
              <w:t>עוד בדברי הש"ך בסי' צ"ד ס"ק כ"ב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Toc496175506 \h</w:instrText>
            </w:r>
            <w:r w:rsidR="001171C7">
              <w:rPr>
                <w:webHidden/>
                <w:rtl/>
              </w:rPr>
              <w:instrText xml:space="preserve"> </w:instrText>
            </w:r>
            <w:r w:rsidR="001171C7">
              <w:rPr>
                <w:webHidden/>
                <w:rtl/>
              </w:rPr>
            </w:r>
            <w:r w:rsidR="001171C7">
              <w:rPr>
                <w:webHidden/>
                <w:rtl/>
              </w:rPr>
              <w:fldChar w:fldCharType="separate"/>
            </w:r>
            <w:r w:rsidR="006A6D13">
              <w:rPr>
                <w:webHidden/>
                <w:rtl/>
              </w:rPr>
              <w:t>262</w:t>
            </w:r>
            <w:r w:rsidR="001171C7">
              <w:rPr>
                <w:webHidden/>
                <w:rtl/>
              </w:rPr>
              <w:fldChar w:fldCharType="end"/>
            </w:r>
          </w:hyperlink>
        </w:p>
        <w:p w:rsidR="001171C7" w:rsidRDefault="007978F4">
          <w:pPr>
            <w:pStyle w:val="TOC1"/>
            <w:rPr>
              <w:rFonts w:eastAsiaTheme="minorEastAsia" w:cstheme="minorBidi"/>
              <w:b w:val="0"/>
              <w:bCs w:val="0"/>
              <w:rtl/>
            </w:rPr>
          </w:pPr>
          <w:hyperlink w:anchor="_Toc496175507" w:history="1">
            <w:r w:rsidR="001171C7" w:rsidRPr="00D35CC1">
              <w:rPr>
                <w:rStyle w:val="Hyperlink"/>
                <w:rFonts w:cs="Guttman Drogolin"/>
                <w:rtl/>
              </w:rPr>
              <w:t>דוחקא דסכינא בדבר רותח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Toc496175507 \h</w:instrText>
            </w:r>
            <w:r w:rsidR="001171C7">
              <w:rPr>
                <w:webHidden/>
                <w:rtl/>
              </w:rPr>
              <w:instrText xml:space="preserve"> </w:instrText>
            </w:r>
            <w:r w:rsidR="001171C7">
              <w:rPr>
                <w:webHidden/>
                <w:rtl/>
              </w:rPr>
            </w:r>
            <w:r w:rsidR="001171C7">
              <w:rPr>
                <w:webHidden/>
                <w:rtl/>
              </w:rPr>
              <w:fldChar w:fldCharType="separate"/>
            </w:r>
            <w:r w:rsidR="006A6D13">
              <w:rPr>
                <w:webHidden/>
                <w:rtl/>
              </w:rPr>
              <w:t>263</w:t>
            </w:r>
            <w:r w:rsidR="001171C7">
              <w:rPr>
                <w:webHidden/>
                <w:rtl/>
              </w:rPr>
              <w:fldChar w:fldCharType="end"/>
            </w:r>
          </w:hyperlink>
        </w:p>
        <w:p w:rsidR="001171C7" w:rsidRDefault="007978F4">
          <w:pPr>
            <w:pStyle w:val="TOC1"/>
            <w:rPr>
              <w:rFonts w:eastAsiaTheme="minorEastAsia" w:cstheme="minorBidi"/>
              <w:b w:val="0"/>
              <w:bCs w:val="0"/>
              <w:rtl/>
            </w:rPr>
          </w:pPr>
          <w:hyperlink w:anchor="_Toc496175508" w:history="1">
            <w:r w:rsidR="001171C7" w:rsidRPr="00D35CC1">
              <w:rPr>
                <w:rStyle w:val="Hyperlink"/>
                <w:rFonts w:asciiTheme="majorHAnsi" w:eastAsiaTheme="majorEastAsia" w:hAnsiTheme="majorHAnsi" w:cs="Guttman Drogolin"/>
                <w:rtl/>
              </w:rPr>
              <w:t>כחו של כלי להלפיט לתוך מאכל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Toc496175508 \h</w:instrText>
            </w:r>
            <w:r w:rsidR="001171C7">
              <w:rPr>
                <w:webHidden/>
                <w:rtl/>
              </w:rPr>
              <w:instrText xml:space="preserve"> </w:instrText>
            </w:r>
            <w:r w:rsidR="001171C7">
              <w:rPr>
                <w:webHidden/>
                <w:rtl/>
              </w:rPr>
            </w:r>
            <w:r w:rsidR="001171C7">
              <w:rPr>
                <w:webHidden/>
                <w:rtl/>
              </w:rPr>
              <w:fldChar w:fldCharType="separate"/>
            </w:r>
            <w:r w:rsidR="006A6D13">
              <w:rPr>
                <w:webHidden/>
                <w:rtl/>
              </w:rPr>
              <w:t>264</w:t>
            </w:r>
            <w:r w:rsidR="001171C7">
              <w:rPr>
                <w:webHidden/>
                <w:rtl/>
              </w:rPr>
              <w:fldChar w:fldCharType="end"/>
            </w:r>
          </w:hyperlink>
        </w:p>
        <w:p w:rsidR="001171C7" w:rsidRDefault="007978F4">
          <w:pPr>
            <w:pStyle w:val="TOC1"/>
            <w:rPr>
              <w:rFonts w:eastAsiaTheme="minorEastAsia" w:cstheme="minorBidi"/>
              <w:b w:val="0"/>
              <w:bCs w:val="0"/>
              <w:rtl/>
            </w:rPr>
          </w:pPr>
          <w:hyperlink w:anchor="_Toc496175509" w:history="1">
            <w:r w:rsidR="001171C7" w:rsidRPr="00D35CC1">
              <w:rPr>
                <w:rStyle w:val="Hyperlink"/>
                <w:rFonts w:asciiTheme="majorHAnsi" w:eastAsiaTheme="majorEastAsia" w:hAnsiTheme="majorHAnsi" w:cs="Guttman Drogolin"/>
                <w:rtl/>
              </w:rPr>
              <w:t>ביאור ההיתר של סעיף ט'</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Toc496175509 \h</w:instrText>
            </w:r>
            <w:r w:rsidR="001171C7">
              <w:rPr>
                <w:webHidden/>
                <w:rtl/>
              </w:rPr>
              <w:instrText xml:space="preserve"> </w:instrText>
            </w:r>
            <w:r w:rsidR="001171C7">
              <w:rPr>
                <w:webHidden/>
                <w:rtl/>
              </w:rPr>
            </w:r>
            <w:r w:rsidR="001171C7">
              <w:rPr>
                <w:webHidden/>
                <w:rtl/>
              </w:rPr>
              <w:fldChar w:fldCharType="separate"/>
            </w:r>
            <w:r w:rsidR="006A6D13">
              <w:rPr>
                <w:webHidden/>
                <w:rtl/>
              </w:rPr>
              <w:t>264</w:t>
            </w:r>
            <w:r w:rsidR="001171C7">
              <w:rPr>
                <w:webHidden/>
                <w:rtl/>
              </w:rPr>
              <w:fldChar w:fldCharType="end"/>
            </w:r>
          </w:hyperlink>
        </w:p>
        <w:p w:rsidR="00E4340F" w:rsidRPr="00D639A4" w:rsidRDefault="00E4340F" w:rsidP="00E4340F">
          <w:pPr>
            <w:pStyle w:val="TOC1"/>
            <w:spacing w:before="240"/>
            <w:rPr>
              <w:rStyle w:val="Hyperlink"/>
              <w:color w:val="auto"/>
              <w:sz w:val="28"/>
              <w:szCs w:val="28"/>
              <w:rtl/>
            </w:rPr>
          </w:pPr>
          <w:r>
            <w:rPr>
              <w:rStyle w:val="Hyperlink"/>
              <w:rFonts w:hint="cs"/>
              <w:color w:val="auto"/>
              <w:sz w:val="28"/>
              <w:szCs w:val="28"/>
              <w:rtl/>
            </w:rPr>
            <w:t>יורה דעה סי' צ"ה</w:t>
          </w:r>
        </w:p>
        <w:p w:rsidR="001171C7" w:rsidRDefault="007978F4">
          <w:pPr>
            <w:pStyle w:val="TOC1"/>
            <w:rPr>
              <w:rFonts w:eastAsiaTheme="minorEastAsia" w:cstheme="minorBidi"/>
              <w:b w:val="0"/>
              <w:bCs w:val="0"/>
              <w:rtl/>
            </w:rPr>
          </w:pPr>
          <w:hyperlink w:anchor="_Toc496175510" w:history="1">
            <w:r w:rsidR="001171C7" w:rsidRPr="00D35CC1">
              <w:rPr>
                <w:rStyle w:val="Hyperlink"/>
                <w:rFonts w:cs="Guttman Drogolin"/>
                <w:rtl/>
              </w:rPr>
              <w:t>נקודות שדנו שבהם הפוסקים בדינא דנ"ט בר נ"ט</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Toc496175510 \h</w:instrText>
            </w:r>
            <w:r w:rsidR="001171C7">
              <w:rPr>
                <w:webHidden/>
                <w:rtl/>
              </w:rPr>
              <w:instrText xml:space="preserve"> </w:instrText>
            </w:r>
            <w:r w:rsidR="001171C7">
              <w:rPr>
                <w:webHidden/>
                <w:rtl/>
              </w:rPr>
            </w:r>
            <w:r w:rsidR="001171C7">
              <w:rPr>
                <w:webHidden/>
                <w:rtl/>
              </w:rPr>
              <w:fldChar w:fldCharType="separate"/>
            </w:r>
            <w:r w:rsidR="006A6D13">
              <w:rPr>
                <w:webHidden/>
                <w:rtl/>
              </w:rPr>
              <w:t>265</w:t>
            </w:r>
            <w:r w:rsidR="001171C7">
              <w:rPr>
                <w:webHidden/>
                <w:rtl/>
              </w:rPr>
              <w:fldChar w:fldCharType="end"/>
            </w:r>
          </w:hyperlink>
        </w:p>
        <w:p w:rsidR="001171C7" w:rsidRDefault="007978F4">
          <w:pPr>
            <w:pStyle w:val="TOC1"/>
            <w:rPr>
              <w:rFonts w:eastAsiaTheme="minorEastAsia" w:cstheme="minorBidi"/>
              <w:b w:val="0"/>
              <w:bCs w:val="0"/>
              <w:rtl/>
            </w:rPr>
          </w:pPr>
          <w:hyperlink w:anchor="_Toc496175511" w:history="1">
            <w:r w:rsidR="001171C7" w:rsidRPr="00D35CC1">
              <w:rPr>
                <w:rStyle w:val="Hyperlink"/>
                <w:rFonts w:cs="Guttman Drogolin"/>
                <w:rtl/>
              </w:rPr>
              <w:t>נ"ט בר נ"ט באיסורא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Toc496175511 \h</w:instrText>
            </w:r>
            <w:r w:rsidR="001171C7">
              <w:rPr>
                <w:webHidden/>
                <w:rtl/>
              </w:rPr>
              <w:instrText xml:space="preserve"> </w:instrText>
            </w:r>
            <w:r w:rsidR="001171C7">
              <w:rPr>
                <w:webHidden/>
                <w:rtl/>
              </w:rPr>
            </w:r>
            <w:r w:rsidR="001171C7">
              <w:rPr>
                <w:webHidden/>
                <w:rtl/>
              </w:rPr>
              <w:fldChar w:fldCharType="separate"/>
            </w:r>
            <w:r w:rsidR="006A6D13">
              <w:rPr>
                <w:webHidden/>
                <w:rtl/>
              </w:rPr>
              <w:t>265</w:t>
            </w:r>
            <w:r w:rsidR="001171C7">
              <w:rPr>
                <w:webHidden/>
                <w:rtl/>
              </w:rPr>
              <w:fldChar w:fldCharType="end"/>
            </w:r>
          </w:hyperlink>
        </w:p>
        <w:p w:rsidR="001171C7" w:rsidRDefault="007978F4">
          <w:pPr>
            <w:pStyle w:val="TOC1"/>
            <w:rPr>
              <w:rFonts w:eastAsiaTheme="minorEastAsia" w:cstheme="minorBidi"/>
              <w:b w:val="0"/>
              <w:bCs w:val="0"/>
              <w:rtl/>
            </w:rPr>
          </w:pPr>
          <w:hyperlink w:anchor="_Toc496175512" w:history="1">
            <w:r w:rsidR="001171C7" w:rsidRPr="00D35CC1">
              <w:rPr>
                <w:rStyle w:val="Hyperlink"/>
                <w:rFonts w:cs="Guttman Drogolin"/>
                <w:rtl/>
              </w:rPr>
              <w:t>נ"ט בר נ"ט באוכלין, וכן כשיש כלי אבל הוא אחרון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Toc496175512 \h</w:instrText>
            </w:r>
            <w:r w:rsidR="001171C7">
              <w:rPr>
                <w:webHidden/>
                <w:rtl/>
              </w:rPr>
              <w:instrText xml:space="preserve"> </w:instrText>
            </w:r>
            <w:r w:rsidR="001171C7">
              <w:rPr>
                <w:webHidden/>
                <w:rtl/>
              </w:rPr>
            </w:r>
            <w:r w:rsidR="001171C7">
              <w:rPr>
                <w:webHidden/>
                <w:rtl/>
              </w:rPr>
              <w:fldChar w:fldCharType="separate"/>
            </w:r>
            <w:r w:rsidR="006A6D13">
              <w:rPr>
                <w:webHidden/>
                <w:rtl/>
              </w:rPr>
              <w:t>265</w:t>
            </w:r>
            <w:r w:rsidR="001171C7">
              <w:rPr>
                <w:webHidden/>
                <w:rtl/>
              </w:rPr>
              <w:fldChar w:fldCharType="end"/>
            </w:r>
          </w:hyperlink>
        </w:p>
        <w:p w:rsidR="001171C7" w:rsidRDefault="007978F4">
          <w:pPr>
            <w:pStyle w:val="TOC1"/>
            <w:rPr>
              <w:rFonts w:eastAsiaTheme="minorEastAsia" w:cstheme="minorBidi"/>
              <w:b w:val="0"/>
              <w:bCs w:val="0"/>
              <w:rtl/>
            </w:rPr>
          </w:pPr>
          <w:hyperlink w:anchor="_Toc496175513" w:history="1">
            <w:r w:rsidR="001171C7" w:rsidRPr="00D35CC1">
              <w:rPr>
                <w:rStyle w:val="Hyperlink"/>
                <w:rFonts w:cs="Guttman Drogolin"/>
                <w:rtl/>
              </w:rPr>
              <w:t>אי אמרינן לי' להיתירא דנ"ט בר נ"ט בכח 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Toc496175513 \h</w:instrText>
            </w:r>
            <w:r w:rsidR="001171C7">
              <w:rPr>
                <w:webHidden/>
                <w:rtl/>
              </w:rPr>
              <w:instrText xml:space="preserve"> </w:instrText>
            </w:r>
            <w:r w:rsidR="001171C7">
              <w:rPr>
                <w:webHidden/>
                <w:rtl/>
              </w:rPr>
            </w:r>
            <w:r w:rsidR="001171C7">
              <w:rPr>
                <w:webHidden/>
                <w:rtl/>
              </w:rPr>
              <w:fldChar w:fldCharType="separate"/>
            </w:r>
            <w:r w:rsidR="006A6D13">
              <w:rPr>
                <w:webHidden/>
                <w:rtl/>
              </w:rPr>
              <w:t>266</w:t>
            </w:r>
            <w:r w:rsidR="001171C7">
              <w:rPr>
                <w:webHidden/>
                <w:rtl/>
              </w:rPr>
              <w:fldChar w:fldCharType="end"/>
            </w:r>
          </w:hyperlink>
        </w:p>
        <w:p w:rsidR="001171C7" w:rsidRDefault="007978F4">
          <w:pPr>
            <w:pStyle w:val="TOC1"/>
            <w:rPr>
              <w:rFonts w:eastAsiaTheme="minorEastAsia" w:cstheme="minorBidi"/>
              <w:b w:val="0"/>
              <w:bCs w:val="0"/>
              <w:rtl/>
            </w:rPr>
          </w:pPr>
          <w:hyperlink w:anchor="_Toc496175514" w:history="1">
            <w:r w:rsidR="001171C7" w:rsidRPr="00D35CC1">
              <w:rPr>
                <w:rStyle w:val="Hyperlink"/>
                <w:rFonts w:cs="Guttman Drogolin"/>
                <w:rtl/>
              </w:rPr>
              <w:t>נתבשלו או נצלו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Toc496175514 \h</w:instrText>
            </w:r>
            <w:r w:rsidR="001171C7">
              <w:rPr>
                <w:webHidden/>
                <w:rtl/>
              </w:rPr>
              <w:instrText xml:space="preserve"> </w:instrText>
            </w:r>
            <w:r w:rsidR="001171C7">
              <w:rPr>
                <w:webHidden/>
                <w:rtl/>
              </w:rPr>
            </w:r>
            <w:r w:rsidR="001171C7">
              <w:rPr>
                <w:webHidden/>
                <w:rtl/>
              </w:rPr>
              <w:fldChar w:fldCharType="separate"/>
            </w:r>
            <w:r w:rsidR="006A6D13">
              <w:rPr>
                <w:webHidden/>
                <w:rtl/>
              </w:rPr>
              <w:t>267</w:t>
            </w:r>
            <w:r w:rsidR="001171C7">
              <w:rPr>
                <w:webHidden/>
                <w:rtl/>
              </w:rPr>
              <w:fldChar w:fldCharType="end"/>
            </w:r>
          </w:hyperlink>
        </w:p>
        <w:p w:rsidR="001171C7" w:rsidRDefault="007978F4">
          <w:pPr>
            <w:pStyle w:val="TOC1"/>
            <w:rPr>
              <w:rFonts w:eastAsiaTheme="minorEastAsia" w:cstheme="minorBidi"/>
              <w:b w:val="0"/>
              <w:bCs w:val="0"/>
              <w:rtl/>
            </w:rPr>
          </w:pPr>
          <w:hyperlink w:anchor="_Toc496175515" w:history="1">
            <w:r w:rsidR="001171C7" w:rsidRPr="00D35CC1">
              <w:rPr>
                <w:rStyle w:val="Hyperlink"/>
                <w:rFonts w:cs="Guttman Drogolin"/>
                <w:rtl/>
              </w:rPr>
              <w:t>נ"ט בר נ"ט לכתחילה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Toc496175515 \h</w:instrText>
            </w:r>
            <w:r w:rsidR="001171C7">
              <w:rPr>
                <w:webHidden/>
                <w:rtl/>
              </w:rPr>
              <w:instrText xml:space="preserve"> </w:instrText>
            </w:r>
            <w:r w:rsidR="001171C7">
              <w:rPr>
                <w:webHidden/>
                <w:rtl/>
              </w:rPr>
            </w:r>
            <w:r w:rsidR="001171C7">
              <w:rPr>
                <w:webHidden/>
                <w:rtl/>
              </w:rPr>
              <w:fldChar w:fldCharType="separate"/>
            </w:r>
            <w:r w:rsidR="006A6D13">
              <w:rPr>
                <w:webHidden/>
                <w:rtl/>
              </w:rPr>
              <w:t>268</w:t>
            </w:r>
            <w:r w:rsidR="001171C7">
              <w:rPr>
                <w:webHidden/>
                <w:rtl/>
              </w:rPr>
              <w:fldChar w:fldCharType="end"/>
            </w:r>
          </w:hyperlink>
        </w:p>
        <w:p w:rsidR="001171C7" w:rsidRDefault="007978F4">
          <w:pPr>
            <w:pStyle w:val="TOC1"/>
            <w:rPr>
              <w:rFonts w:eastAsiaTheme="minorEastAsia" w:cstheme="minorBidi"/>
              <w:b w:val="0"/>
              <w:bCs w:val="0"/>
              <w:rtl/>
            </w:rPr>
          </w:pPr>
          <w:hyperlink w:anchor="_Toc496175516" w:history="1">
            <w:r w:rsidR="001171C7" w:rsidRPr="00D35CC1">
              <w:rPr>
                <w:rStyle w:val="Hyperlink"/>
                <w:rFonts w:cs="Guttman Drogolin"/>
                <w:rtl/>
              </w:rPr>
              <w:t>הדין למעשה בנתבשלו ונצלו, וכן לענין נ"ט בר נ"ט לכתחילה ובדיעבד</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Toc496175516 \h</w:instrText>
            </w:r>
            <w:r w:rsidR="001171C7">
              <w:rPr>
                <w:webHidden/>
                <w:rtl/>
              </w:rPr>
              <w:instrText xml:space="preserve"> </w:instrText>
            </w:r>
            <w:r w:rsidR="001171C7">
              <w:rPr>
                <w:webHidden/>
                <w:rtl/>
              </w:rPr>
            </w:r>
            <w:r w:rsidR="001171C7">
              <w:rPr>
                <w:webHidden/>
                <w:rtl/>
              </w:rPr>
              <w:fldChar w:fldCharType="separate"/>
            </w:r>
            <w:r w:rsidR="006A6D13">
              <w:rPr>
                <w:webHidden/>
                <w:rtl/>
              </w:rPr>
              <w:t>268</w:t>
            </w:r>
            <w:r w:rsidR="001171C7">
              <w:rPr>
                <w:webHidden/>
                <w:rtl/>
              </w:rPr>
              <w:fldChar w:fldCharType="end"/>
            </w:r>
          </w:hyperlink>
        </w:p>
        <w:p w:rsidR="001171C7" w:rsidRDefault="007978F4">
          <w:pPr>
            <w:pStyle w:val="TOC1"/>
            <w:rPr>
              <w:rFonts w:eastAsiaTheme="minorEastAsia" w:cstheme="minorBidi"/>
              <w:b w:val="0"/>
              <w:bCs w:val="0"/>
              <w:rtl/>
            </w:rPr>
          </w:pPr>
          <w:hyperlink w:anchor="_Toc496175517" w:history="1">
            <w:r w:rsidR="001171C7" w:rsidRPr="00D35CC1">
              <w:rPr>
                <w:rStyle w:val="Hyperlink"/>
                <w:rFonts w:cs="Guttman Drogolin"/>
                <w:rtl/>
              </w:rPr>
              <w:t>נ"ט בר נ"ט שאינו ב"י לכתחילה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Toc496175517 \h</w:instrText>
            </w:r>
            <w:r w:rsidR="001171C7">
              <w:rPr>
                <w:webHidden/>
                <w:rtl/>
              </w:rPr>
              <w:instrText xml:space="preserve"> </w:instrText>
            </w:r>
            <w:r w:rsidR="001171C7">
              <w:rPr>
                <w:webHidden/>
                <w:rtl/>
              </w:rPr>
            </w:r>
            <w:r w:rsidR="001171C7">
              <w:rPr>
                <w:webHidden/>
                <w:rtl/>
              </w:rPr>
              <w:fldChar w:fldCharType="separate"/>
            </w:r>
            <w:r w:rsidR="006A6D13">
              <w:rPr>
                <w:webHidden/>
                <w:rtl/>
              </w:rPr>
              <w:t>269</w:t>
            </w:r>
            <w:r w:rsidR="001171C7">
              <w:rPr>
                <w:webHidden/>
                <w:rtl/>
              </w:rPr>
              <w:fldChar w:fldCharType="end"/>
            </w:r>
          </w:hyperlink>
        </w:p>
        <w:p w:rsidR="001171C7" w:rsidRDefault="007978F4">
          <w:pPr>
            <w:pStyle w:val="TOC1"/>
            <w:rPr>
              <w:rFonts w:eastAsiaTheme="minorEastAsia" w:cstheme="minorBidi"/>
              <w:b w:val="0"/>
              <w:bCs w:val="0"/>
              <w:rtl/>
            </w:rPr>
          </w:pPr>
          <w:hyperlink w:anchor="_Toc496175518" w:history="1">
            <w:r w:rsidR="001171C7" w:rsidRPr="00D35CC1">
              <w:rPr>
                <w:rStyle w:val="Hyperlink"/>
                <w:rFonts w:cs="Guttman Drogolin"/>
                <w:rtl/>
              </w:rPr>
              <w:t>דגים שעלו בקערה – לענין החשש סכנה דבשר ודגים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Toc496175518 \h</w:instrText>
            </w:r>
            <w:r w:rsidR="001171C7">
              <w:rPr>
                <w:webHidden/>
                <w:rtl/>
              </w:rPr>
              <w:instrText xml:space="preserve"> </w:instrText>
            </w:r>
            <w:r w:rsidR="001171C7">
              <w:rPr>
                <w:webHidden/>
                <w:rtl/>
              </w:rPr>
            </w:r>
            <w:r w:rsidR="001171C7">
              <w:rPr>
                <w:webHidden/>
                <w:rtl/>
              </w:rPr>
              <w:fldChar w:fldCharType="separate"/>
            </w:r>
            <w:r w:rsidR="006A6D13">
              <w:rPr>
                <w:webHidden/>
                <w:rtl/>
              </w:rPr>
              <w:t>269</w:t>
            </w:r>
            <w:r w:rsidR="001171C7">
              <w:rPr>
                <w:webHidden/>
                <w:rtl/>
              </w:rPr>
              <w:fldChar w:fldCharType="end"/>
            </w:r>
          </w:hyperlink>
        </w:p>
        <w:p w:rsidR="001171C7" w:rsidRDefault="007978F4">
          <w:pPr>
            <w:pStyle w:val="TOC1"/>
            <w:rPr>
              <w:rFonts w:eastAsiaTheme="minorEastAsia" w:cstheme="minorBidi"/>
              <w:b w:val="0"/>
              <w:bCs w:val="0"/>
              <w:rtl/>
            </w:rPr>
          </w:pPr>
          <w:hyperlink w:anchor="_Toc496175519" w:history="1">
            <w:r w:rsidR="001171C7" w:rsidRPr="00D35CC1">
              <w:rPr>
                <w:rStyle w:val="Hyperlink"/>
                <w:rFonts w:cs="Guttman Drogolin"/>
                <w:rtl/>
              </w:rPr>
              <w:t>הקולא של הרמ"א להניח המאכל דנ"ט בר נ"ט דנתבשלו בכלי של המין השני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Toc496175519 \h</w:instrText>
            </w:r>
            <w:r w:rsidR="001171C7">
              <w:rPr>
                <w:webHidden/>
                <w:rtl/>
              </w:rPr>
              <w:instrText xml:space="preserve"> </w:instrText>
            </w:r>
            <w:r w:rsidR="001171C7">
              <w:rPr>
                <w:webHidden/>
                <w:rtl/>
              </w:rPr>
            </w:r>
            <w:r w:rsidR="001171C7">
              <w:rPr>
                <w:webHidden/>
                <w:rtl/>
              </w:rPr>
              <w:fldChar w:fldCharType="separate"/>
            </w:r>
            <w:r w:rsidR="006A6D13">
              <w:rPr>
                <w:webHidden/>
                <w:rtl/>
              </w:rPr>
              <w:t>271</w:t>
            </w:r>
            <w:r w:rsidR="001171C7">
              <w:rPr>
                <w:webHidden/>
                <w:rtl/>
              </w:rPr>
              <w:fldChar w:fldCharType="end"/>
            </w:r>
          </w:hyperlink>
        </w:p>
        <w:p w:rsidR="001171C7" w:rsidRDefault="007978F4">
          <w:pPr>
            <w:pStyle w:val="TOC1"/>
            <w:rPr>
              <w:rFonts w:eastAsiaTheme="minorEastAsia" w:cstheme="minorBidi"/>
              <w:b w:val="0"/>
              <w:bCs w:val="0"/>
              <w:rtl/>
            </w:rPr>
          </w:pPr>
          <w:hyperlink w:anchor="_Toc496175520" w:history="1">
            <w:r w:rsidR="001171C7" w:rsidRPr="00D35CC1">
              <w:rPr>
                <w:rStyle w:val="Hyperlink"/>
                <w:rFonts w:cs="Guttman Drogolin"/>
                <w:rtl/>
              </w:rPr>
              <w:t>בהא דדבר חריף מחליא לשבח אבל אינו משפיע על הכלי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Toc496175520 \h</w:instrText>
            </w:r>
            <w:r w:rsidR="001171C7">
              <w:rPr>
                <w:webHidden/>
                <w:rtl/>
              </w:rPr>
              <w:instrText xml:space="preserve"> </w:instrText>
            </w:r>
            <w:r w:rsidR="001171C7">
              <w:rPr>
                <w:webHidden/>
                <w:rtl/>
              </w:rPr>
            </w:r>
            <w:r w:rsidR="001171C7">
              <w:rPr>
                <w:webHidden/>
                <w:rtl/>
              </w:rPr>
              <w:fldChar w:fldCharType="separate"/>
            </w:r>
            <w:r w:rsidR="006A6D13">
              <w:rPr>
                <w:webHidden/>
                <w:rtl/>
              </w:rPr>
              <w:t>272</w:t>
            </w:r>
            <w:r w:rsidR="001171C7">
              <w:rPr>
                <w:webHidden/>
                <w:rtl/>
              </w:rPr>
              <w:fldChar w:fldCharType="end"/>
            </w:r>
          </w:hyperlink>
        </w:p>
        <w:p w:rsidR="001171C7" w:rsidRDefault="007978F4">
          <w:pPr>
            <w:pStyle w:val="TOC1"/>
            <w:rPr>
              <w:rFonts w:eastAsiaTheme="minorEastAsia" w:cstheme="minorBidi"/>
              <w:b w:val="0"/>
              <w:bCs w:val="0"/>
              <w:rtl/>
            </w:rPr>
          </w:pPr>
          <w:hyperlink w:anchor="_Toc496175521" w:history="1">
            <w:r w:rsidR="001171C7" w:rsidRPr="00D35CC1">
              <w:rPr>
                <w:rStyle w:val="Hyperlink"/>
                <w:rFonts w:cs="Guttman Drogolin"/>
                <w:rtl/>
              </w:rPr>
              <w:t>בהא שהחמיר הרמ"א בנ"ט בר נ"ט בדבר חריף</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Toc496175521 \h</w:instrText>
            </w:r>
            <w:r w:rsidR="001171C7">
              <w:rPr>
                <w:webHidden/>
                <w:rtl/>
              </w:rPr>
              <w:instrText xml:space="preserve"> </w:instrText>
            </w:r>
            <w:r w:rsidR="001171C7">
              <w:rPr>
                <w:webHidden/>
                <w:rtl/>
              </w:rPr>
            </w:r>
            <w:r w:rsidR="001171C7">
              <w:rPr>
                <w:webHidden/>
                <w:rtl/>
              </w:rPr>
              <w:fldChar w:fldCharType="separate"/>
            </w:r>
            <w:r w:rsidR="006A6D13">
              <w:rPr>
                <w:webHidden/>
                <w:rtl/>
              </w:rPr>
              <w:t>272</w:t>
            </w:r>
            <w:r w:rsidR="001171C7">
              <w:rPr>
                <w:webHidden/>
                <w:rtl/>
              </w:rPr>
              <w:fldChar w:fldCharType="end"/>
            </w:r>
          </w:hyperlink>
        </w:p>
        <w:p w:rsidR="001171C7" w:rsidRDefault="007978F4">
          <w:pPr>
            <w:pStyle w:val="TOC1"/>
            <w:rPr>
              <w:rFonts w:eastAsiaTheme="minorEastAsia" w:cstheme="minorBidi"/>
              <w:b w:val="0"/>
              <w:bCs w:val="0"/>
              <w:rtl/>
            </w:rPr>
          </w:pPr>
          <w:hyperlink w:anchor="_Toc496175522" w:history="1">
            <w:r w:rsidR="001171C7" w:rsidRPr="00D35CC1">
              <w:rPr>
                <w:rStyle w:val="Hyperlink"/>
                <w:rFonts w:cs="Guttman Drogolin"/>
                <w:rtl/>
              </w:rPr>
              <w:t>רוב דבר חריף</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Toc496175522 \h</w:instrText>
            </w:r>
            <w:r w:rsidR="001171C7">
              <w:rPr>
                <w:webHidden/>
                <w:rtl/>
              </w:rPr>
              <w:instrText xml:space="preserve"> </w:instrText>
            </w:r>
            <w:r w:rsidR="001171C7">
              <w:rPr>
                <w:webHidden/>
                <w:rtl/>
              </w:rPr>
            </w:r>
            <w:r w:rsidR="001171C7">
              <w:rPr>
                <w:webHidden/>
                <w:rtl/>
              </w:rPr>
              <w:fldChar w:fldCharType="separate"/>
            </w:r>
            <w:r w:rsidR="006A6D13">
              <w:rPr>
                <w:webHidden/>
                <w:rtl/>
              </w:rPr>
              <w:t>273</w:t>
            </w:r>
            <w:r w:rsidR="001171C7">
              <w:rPr>
                <w:webHidden/>
                <w:rtl/>
              </w:rPr>
              <w:fldChar w:fldCharType="end"/>
            </w:r>
          </w:hyperlink>
        </w:p>
        <w:p w:rsidR="001171C7" w:rsidRDefault="007978F4">
          <w:pPr>
            <w:pStyle w:val="TOC1"/>
            <w:rPr>
              <w:rFonts w:eastAsiaTheme="minorEastAsia" w:cstheme="minorBidi"/>
              <w:b w:val="0"/>
              <w:bCs w:val="0"/>
              <w:rtl/>
            </w:rPr>
          </w:pPr>
          <w:hyperlink w:anchor="_Toc496175523" w:history="1">
            <w:r w:rsidR="001171C7" w:rsidRPr="00D35CC1">
              <w:rPr>
                <w:rStyle w:val="Hyperlink"/>
                <w:rFonts w:cs="Guttman Drogolin"/>
                <w:rtl/>
              </w:rPr>
              <w:t>שיטת המחבר בהדחת קערות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Toc496175523 \h</w:instrText>
            </w:r>
            <w:r w:rsidR="001171C7">
              <w:rPr>
                <w:webHidden/>
                <w:rtl/>
              </w:rPr>
              <w:instrText xml:space="preserve"> </w:instrText>
            </w:r>
            <w:r w:rsidR="001171C7">
              <w:rPr>
                <w:webHidden/>
                <w:rtl/>
              </w:rPr>
            </w:r>
            <w:r w:rsidR="001171C7">
              <w:rPr>
                <w:webHidden/>
                <w:rtl/>
              </w:rPr>
              <w:fldChar w:fldCharType="separate"/>
            </w:r>
            <w:r w:rsidR="006A6D13">
              <w:rPr>
                <w:webHidden/>
                <w:rtl/>
              </w:rPr>
              <w:t>273</w:t>
            </w:r>
            <w:r w:rsidR="001171C7">
              <w:rPr>
                <w:webHidden/>
                <w:rtl/>
              </w:rPr>
              <w:fldChar w:fldCharType="end"/>
            </w:r>
          </w:hyperlink>
        </w:p>
        <w:p w:rsidR="001171C7" w:rsidRDefault="007978F4">
          <w:pPr>
            <w:pStyle w:val="TOC1"/>
            <w:rPr>
              <w:rFonts w:eastAsiaTheme="minorEastAsia" w:cstheme="minorBidi"/>
              <w:b w:val="0"/>
              <w:bCs w:val="0"/>
              <w:rtl/>
            </w:rPr>
          </w:pPr>
          <w:hyperlink w:anchor="_Toc496175524" w:history="1">
            <w:r w:rsidR="001171C7" w:rsidRPr="00D35CC1">
              <w:rPr>
                <w:rStyle w:val="Hyperlink"/>
                <w:rFonts w:cs="Guttman Drogolin"/>
                <w:rtl/>
              </w:rPr>
              <w:t>חומרת הרמ"א במים שיש בה טעם בכלי שאינו בן יומו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Toc496175524 \h</w:instrText>
            </w:r>
            <w:r w:rsidR="001171C7">
              <w:rPr>
                <w:webHidden/>
                <w:rtl/>
              </w:rPr>
              <w:instrText xml:space="preserve"> </w:instrText>
            </w:r>
            <w:r w:rsidR="001171C7">
              <w:rPr>
                <w:webHidden/>
                <w:rtl/>
              </w:rPr>
            </w:r>
            <w:r w:rsidR="001171C7">
              <w:rPr>
                <w:webHidden/>
                <w:rtl/>
              </w:rPr>
              <w:fldChar w:fldCharType="separate"/>
            </w:r>
            <w:r w:rsidR="006A6D13">
              <w:rPr>
                <w:webHidden/>
                <w:rtl/>
              </w:rPr>
              <w:t>274</w:t>
            </w:r>
            <w:r w:rsidR="001171C7">
              <w:rPr>
                <w:webHidden/>
                <w:rtl/>
              </w:rPr>
              <w:fldChar w:fldCharType="end"/>
            </w:r>
          </w:hyperlink>
        </w:p>
        <w:p w:rsidR="001171C7" w:rsidRDefault="007978F4">
          <w:pPr>
            <w:pStyle w:val="TOC1"/>
            <w:rPr>
              <w:rFonts w:eastAsiaTheme="minorEastAsia" w:cstheme="minorBidi"/>
              <w:b w:val="0"/>
              <w:bCs w:val="0"/>
              <w:rtl/>
            </w:rPr>
          </w:pPr>
          <w:hyperlink w:anchor="_Toc496175525" w:history="1">
            <w:r w:rsidR="001171C7" w:rsidRPr="00D35CC1">
              <w:rPr>
                <w:rStyle w:val="Hyperlink"/>
                <w:rFonts w:cs="Guttman Drogolin"/>
                <w:rtl/>
              </w:rPr>
              <w:t>עוד בדין מים שנתבשלו בכלי שאינו בן יומו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Toc496175525 \h</w:instrText>
            </w:r>
            <w:r w:rsidR="001171C7">
              <w:rPr>
                <w:webHidden/>
                <w:rtl/>
              </w:rPr>
              <w:instrText xml:space="preserve"> </w:instrText>
            </w:r>
            <w:r w:rsidR="001171C7">
              <w:rPr>
                <w:webHidden/>
                <w:rtl/>
              </w:rPr>
            </w:r>
            <w:r w:rsidR="001171C7">
              <w:rPr>
                <w:webHidden/>
                <w:rtl/>
              </w:rPr>
              <w:fldChar w:fldCharType="separate"/>
            </w:r>
            <w:r w:rsidR="006A6D13">
              <w:rPr>
                <w:webHidden/>
                <w:rtl/>
              </w:rPr>
              <w:t>275</w:t>
            </w:r>
            <w:r w:rsidR="001171C7">
              <w:rPr>
                <w:webHidden/>
                <w:rtl/>
              </w:rPr>
              <w:fldChar w:fldCharType="end"/>
            </w:r>
          </w:hyperlink>
        </w:p>
        <w:p w:rsidR="001171C7" w:rsidRDefault="007978F4">
          <w:pPr>
            <w:pStyle w:val="TOC1"/>
            <w:rPr>
              <w:rFonts w:eastAsiaTheme="minorEastAsia" w:cstheme="minorBidi"/>
              <w:b w:val="0"/>
              <w:bCs w:val="0"/>
              <w:rtl/>
            </w:rPr>
          </w:pPr>
          <w:hyperlink w:anchor="_Toc496175526" w:history="1">
            <w:r w:rsidR="001171C7" w:rsidRPr="00D35CC1">
              <w:rPr>
                <w:rStyle w:val="Hyperlink"/>
                <w:rFonts w:cs="Guttman Drogolin"/>
                <w:rtl/>
              </w:rPr>
              <w:t>כלל דברי המחבר ברמ"א בדינא דהדחת קערות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Toc496175526 \h</w:instrText>
            </w:r>
            <w:r w:rsidR="001171C7">
              <w:rPr>
                <w:webHidden/>
                <w:rtl/>
              </w:rPr>
              <w:instrText xml:space="preserve"> </w:instrText>
            </w:r>
            <w:r w:rsidR="001171C7">
              <w:rPr>
                <w:webHidden/>
                <w:rtl/>
              </w:rPr>
            </w:r>
            <w:r w:rsidR="001171C7">
              <w:rPr>
                <w:webHidden/>
                <w:rtl/>
              </w:rPr>
              <w:fldChar w:fldCharType="separate"/>
            </w:r>
            <w:r w:rsidR="006A6D13">
              <w:rPr>
                <w:webHidden/>
                <w:rtl/>
              </w:rPr>
              <w:t>275</w:t>
            </w:r>
            <w:r w:rsidR="001171C7">
              <w:rPr>
                <w:webHidden/>
                <w:rtl/>
              </w:rPr>
              <w:fldChar w:fldCharType="end"/>
            </w:r>
          </w:hyperlink>
        </w:p>
        <w:p w:rsidR="001171C7" w:rsidRDefault="007978F4">
          <w:pPr>
            <w:pStyle w:val="TOC1"/>
            <w:rPr>
              <w:rFonts w:eastAsiaTheme="minorEastAsia" w:cstheme="minorBidi"/>
              <w:b w:val="0"/>
              <w:bCs w:val="0"/>
              <w:rtl/>
            </w:rPr>
          </w:pPr>
          <w:hyperlink w:anchor="_Toc496175527" w:history="1">
            <w:r w:rsidR="001171C7" w:rsidRPr="00D35CC1">
              <w:rPr>
                <w:rStyle w:val="Hyperlink"/>
                <w:rFonts w:cs="Guttman Drogolin"/>
                <w:rtl/>
              </w:rPr>
              <w:t>הדחת קערות כשא' מהם אינו בן יומו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Toc496175527 \h</w:instrText>
            </w:r>
            <w:r w:rsidR="001171C7">
              <w:rPr>
                <w:webHidden/>
                <w:rtl/>
              </w:rPr>
              <w:instrText xml:space="preserve"> </w:instrText>
            </w:r>
            <w:r w:rsidR="001171C7">
              <w:rPr>
                <w:webHidden/>
                <w:rtl/>
              </w:rPr>
            </w:r>
            <w:r w:rsidR="001171C7">
              <w:rPr>
                <w:webHidden/>
                <w:rtl/>
              </w:rPr>
              <w:fldChar w:fldCharType="separate"/>
            </w:r>
            <w:r w:rsidR="006A6D13">
              <w:rPr>
                <w:webHidden/>
                <w:rtl/>
              </w:rPr>
              <w:t>276</w:t>
            </w:r>
            <w:r w:rsidR="001171C7">
              <w:rPr>
                <w:webHidden/>
                <w:rtl/>
              </w:rPr>
              <w:fldChar w:fldCharType="end"/>
            </w:r>
          </w:hyperlink>
        </w:p>
        <w:p w:rsidR="001171C7" w:rsidRDefault="007978F4">
          <w:pPr>
            <w:pStyle w:val="TOC1"/>
            <w:rPr>
              <w:rFonts w:eastAsiaTheme="minorEastAsia" w:cstheme="minorBidi"/>
              <w:b w:val="0"/>
              <w:bCs w:val="0"/>
              <w:rtl/>
            </w:rPr>
          </w:pPr>
          <w:hyperlink w:anchor="_Toc496175528" w:history="1">
            <w:r w:rsidR="001171C7" w:rsidRPr="00D35CC1">
              <w:rPr>
                <w:rStyle w:val="Hyperlink"/>
                <w:rFonts w:cs="Guttman Drogolin"/>
                <w:rtl/>
              </w:rPr>
              <w:t>עירוי ע"ג כלים של בשר וחלב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Toc496175528 \h</w:instrText>
            </w:r>
            <w:r w:rsidR="001171C7">
              <w:rPr>
                <w:webHidden/>
                <w:rtl/>
              </w:rPr>
              <w:instrText xml:space="preserve"> </w:instrText>
            </w:r>
            <w:r w:rsidR="001171C7">
              <w:rPr>
                <w:webHidden/>
                <w:rtl/>
              </w:rPr>
            </w:r>
            <w:r w:rsidR="001171C7">
              <w:rPr>
                <w:webHidden/>
                <w:rtl/>
              </w:rPr>
              <w:fldChar w:fldCharType="separate"/>
            </w:r>
            <w:r w:rsidR="006A6D13">
              <w:rPr>
                <w:webHidden/>
                <w:rtl/>
              </w:rPr>
              <w:t>277</w:t>
            </w:r>
            <w:r w:rsidR="001171C7">
              <w:rPr>
                <w:webHidden/>
                <w:rtl/>
              </w:rPr>
              <w:fldChar w:fldCharType="end"/>
            </w:r>
          </w:hyperlink>
        </w:p>
        <w:p w:rsidR="001171C7" w:rsidRDefault="007978F4">
          <w:pPr>
            <w:pStyle w:val="TOC1"/>
            <w:rPr>
              <w:rFonts w:eastAsiaTheme="minorEastAsia" w:cstheme="minorBidi"/>
              <w:b w:val="0"/>
              <w:bCs w:val="0"/>
              <w:rtl/>
            </w:rPr>
          </w:pPr>
          <w:hyperlink w:anchor="_Toc496175529" w:history="1">
            <w:r w:rsidR="001171C7" w:rsidRPr="00D35CC1">
              <w:rPr>
                <w:rStyle w:val="Hyperlink"/>
                <w:rFonts w:cs="Guttman Drogolin"/>
                <w:rtl/>
              </w:rPr>
              <w:t>אם יש אפר בתוך מי ההדחה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Toc496175529 \h</w:instrText>
            </w:r>
            <w:r w:rsidR="001171C7">
              <w:rPr>
                <w:webHidden/>
                <w:rtl/>
              </w:rPr>
              <w:instrText xml:space="preserve"> </w:instrText>
            </w:r>
            <w:r w:rsidR="001171C7">
              <w:rPr>
                <w:webHidden/>
                <w:rtl/>
              </w:rPr>
            </w:r>
            <w:r w:rsidR="001171C7">
              <w:rPr>
                <w:webHidden/>
                <w:rtl/>
              </w:rPr>
              <w:fldChar w:fldCharType="separate"/>
            </w:r>
            <w:r w:rsidR="006A6D13">
              <w:rPr>
                <w:webHidden/>
                <w:rtl/>
              </w:rPr>
              <w:t>277</w:t>
            </w:r>
            <w:r w:rsidR="001171C7">
              <w:rPr>
                <w:webHidden/>
                <w:rtl/>
              </w:rPr>
              <w:fldChar w:fldCharType="end"/>
            </w:r>
          </w:hyperlink>
        </w:p>
        <w:p w:rsidR="00B8771A" w:rsidRPr="00D639A4" w:rsidRDefault="00B8771A" w:rsidP="00B8771A">
          <w:pPr>
            <w:pStyle w:val="TOC1"/>
            <w:spacing w:before="240"/>
            <w:rPr>
              <w:rStyle w:val="Hyperlink"/>
              <w:color w:val="auto"/>
              <w:sz w:val="28"/>
              <w:szCs w:val="28"/>
              <w:rtl/>
            </w:rPr>
          </w:pPr>
          <w:r>
            <w:rPr>
              <w:rStyle w:val="Hyperlink"/>
              <w:rFonts w:hint="cs"/>
              <w:color w:val="auto"/>
              <w:sz w:val="28"/>
              <w:szCs w:val="28"/>
              <w:rtl/>
            </w:rPr>
            <w:t>יורה דעה סי' צ"ו</w:t>
          </w:r>
        </w:p>
        <w:p w:rsidR="001171C7" w:rsidRDefault="007978F4">
          <w:pPr>
            <w:pStyle w:val="TOC1"/>
            <w:rPr>
              <w:rFonts w:eastAsiaTheme="minorEastAsia" w:cstheme="minorBidi"/>
              <w:b w:val="0"/>
              <w:bCs w:val="0"/>
              <w:rtl/>
            </w:rPr>
          </w:pPr>
          <w:hyperlink w:anchor="_Toc496175530" w:history="1">
            <w:r w:rsidR="001171C7" w:rsidRPr="00D35CC1">
              <w:rPr>
                <w:rStyle w:val="Hyperlink"/>
                <w:rFonts w:cs="Guttman Drogolin"/>
                <w:rtl/>
              </w:rPr>
              <w:t>הא דדבר חריף בולע ע"י דוחקא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Toc496175530 \h</w:instrText>
            </w:r>
            <w:r w:rsidR="001171C7">
              <w:rPr>
                <w:webHidden/>
                <w:rtl/>
              </w:rPr>
              <w:instrText xml:space="preserve"> </w:instrText>
            </w:r>
            <w:r w:rsidR="001171C7">
              <w:rPr>
                <w:webHidden/>
                <w:rtl/>
              </w:rPr>
            </w:r>
            <w:r w:rsidR="001171C7">
              <w:rPr>
                <w:webHidden/>
                <w:rtl/>
              </w:rPr>
              <w:fldChar w:fldCharType="separate"/>
            </w:r>
            <w:r w:rsidR="006A6D13">
              <w:rPr>
                <w:webHidden/>
                <w:rtl/>
              </w:rPr>
              <w:t>280</w:t>
            </w:r>
            <w:r w:rsidR="001171C7">
              <w:rPr>
                <w:webHidden/>
                <w:rtl/>
              </w:rPr>
              <w:fldChar w:fldCharType="end"/>
            </w:r>
          </w:hyperlink>
        </w:p>
        <w:p w:rsidR="001171C7" w:rsidRDefault="007978F4">
          <w:pPr>
            <w:pStyle w:val="TOC1"/>
            <w:rPr>
              <w:rFonts w:eastAsiaTheme="minorEastAsia" w:cstheme="minorBidi"/>
              <w:b w:val="0"/>
              <w:bCs w:val="0"/>
              <w:rtl/>
            </w:rPr>
          </w:pPr>
          <w:hyperlink w:anchor="_Toc496175531" w:history="1">
            <w:r w:rsidR="001171C7" w:rsidRPr="00D35CC1">
              <w:rPr>
                <w:rStyle w:val="Hyperlink"/>
                <w:rFonts w:cs="Guttman Drogolin"/>
                <w:rtl/>
              </w:rPr>
              <w:t>עד כמה חודר הבליעה לתוך הדבר חריף ע"י דוחקא דסכינא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Toc496175531 \h</w:instrText>
            </w:r>
            <w:r w:rsidR="001171C7">
              <w:rPr>
                <w:webHidden/>
                <w:rtl/>
              </w:rPr>
              <w:instrText xml:space="preserve"> </w:instrText>
            </w:r>
            <w:r w:rsidR="001171C7">
              <w:rPr>
                <w:webHidden/>
                <w:rtl/>
              </w:rPr>
            </w:r>
            <w:r w:rsidR="001171C7">
              <w:rPr>
                <w:webHidden/>
                <w:rtl/>
              </w:rPr>
              <w:fldChar w:fldCharType="separate"/>
            </w:r>
            <w:r w:rsidR="006A6D13">
              <w:rPr>
                <w:webHidden/>
                <w:rtl/>
              </w:rPr>
              <w:t>280</w:t>
            </w:r>
            <w:r w:rsidR="001171C7">
              <w:rPr>
                <w:webHidden/>
                <w:rtl/>
              </w:rPr>
              <w:fldChar w:fldCharType="end"/>
            </w:r>
          </w:hyperlink>
        </w:p>
        <w:p w:rsidR="001171C7" w:rsidRDefault="007978F4">
          <w:pPr>
            <w:pStyle w:val="TOC1"/>
            <w:rPr>
              <w:rFonts w:eastAsiaTheme="minorEastAsia" w:cstheme="minorBidi"/>
              <w:b w:val="0"/>
              <w:bCs w:val="0"/>
              <w:rtl/>
            </w:rPr>
          </w:pPr>
          <w:hyperlink w:anchor="_Toc496175532" w:history="1">
            <w:r w:rsidR="001171C7" w:rsidRPr="00D35CC1">
              <w:rPr>
                <w:rStyle w:val="Hyperlink"/>
                <w:rFonts w:cs="Guttman Drogolin"/>
                <w:rtl/>
              </w:rPr>
              <w:t>בהא דמהני טעימה בדבר חריף</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Toc496175532 \h</w:instrText>
            </w:r>
            <w:r w:rsidR="001171C7">
              <w:rPr>
                <w:webHidden/>
                <w:rtl/>
              </w:rPr>
              <w:instrText xml:space="preserve"> </w:instrText>
            </w:r>
            <w:r w:rsidR="001171C7">
              <w:rPr>
                <w:webHidden/>
                <w:rtl/>
              </w:rPr>
            </w:r>
            <w:r w:rsidR="001171C7">
              <w:rPr>
                <w:webHidden/>
                <w:rtl/>
              </w:rPr>
              <w:fldChar w:fldCharType="separate"/>
            </w:r>
            <w:r w:rsidR="006A6D13">
              <w:rPr>
                <w:webHidden/>
                <w:rtl/>
              </w:rPr>
              <w:t>281</w:t>
            </w:r>
            <w:r w:rsidR="001171C7">
              <w:rPr>
                <w:webHidden/>
                <w:rtl/>
              </w:rPr>
              <w:fldChar w:fldCharType="end"/>
            </w:r>
          </w:hyperlink>
        </w:p>
        <w:p w:rsidR="001171C7" w:rsidRDefault="007978F4">
          <w:pPr>
            <w:pStyle w:val="TOC1"/>
            <w:rPr>
              <w:rFonts w:eastAsiaTheme="minorEastAsia" w:cstheme="minorBidi"/>
              <w:b w:val="0"/>
              <w:bCs w:val="0"/>
              <w:rtl/>
            </w:rPr>
          </w:pPr>
          <w:hyperlink w:anchor="_Toc496175533" w:history="1">
            <w:r w:rsidR="001171C7" w:rsidRPr="00D35CC1">
              <w:rPr>
                <w:rStyle w:val="Hyperlink"/>
                <w:rFonts w:cs="Guttman Drogolin"/>
                <w:rtl/>
              </w:rPr>
              <w:t>בהא דדבר חריף מחליא לשבח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Toc496175533 \h</w:instrText>
            </w:r>
            <w:r w:rsidR="001171C7">
              <w:rPr>
                <w:webHidden/>
                <w:rtl/>
              </w:rPr>
              <w:instrText xml:space="preserve"> </w:instrText>
            </w:r>
            <w:r w:rsidR="001171C7">
              <w:rPr>
                <w:webHidden/>
                <w:rtl/>
              </w:rPr>
            </w:r>
            <w:r w:rsidR="001171C7">
              <w:rPr>
                <w:webHidden/>
                <w:rtl/>
              </w:rPr>
              <w:fldChar w:fldCharType="separate"/>
            </w:r>
            <w:r w:rsidR="006A6D13">
              <w:rPr>
                <w:webHidden/>
                <w:rtl/>
              </w:rPr>
              <w:t>282</w:t>
            </w:r>
            <w:r w:rsidR="001171C7">
              <w:rPr>
                <w:webHidden/>
                <w:rtl/>
              </w:rPr>
              <w:fldChar w:fldCharType="end"/>
            </w:r>
          </w:hyperlink>
        </w:p>
        <w:p w:rsidR="001171C7" w:rsidRDefault="007978F4">
          <w:pPr>
            <w:pStyle w:val="TOC1"/>
            <w:rPr>
              <w:rFonts w:eastAsiaTheme="minorEastAsia" w:cstheme="minorBidi"/>
              <w:b w:val="0"/>
              <w:bCs w:val="0"/>
              <w:rtl/>
            </w:rPr>
          </w:pPr>
          <w:hyperlink w:anchor="_Toc496175534" w:history="1">
            <w:r w:rsidR="001171C7" w:rsidRPr="00D35CC1">
              <w:rPr>
                <w:rStyle w:val="Hyperlink"/>
                <w:rFonts w:cs="Guttman Drogolin"/>
                <w:rtl/>
              </w:rPr>
              <w:t>דבר חריף מהו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Toc496175534 \h</w:instrText>
            </w:r>
            <w:r w:rsidR="001171C7">
              <w:rPr>
                <w:webHidden/>
                <w:rtl/>
              </w:rPr>
              <w:instrText xml:space="preserve"> </w:instrText>
            </w:r>
            <w:r w:rsidR="001171C7">
              <w:rPr>
                <w:webHidden/>
                <w:rtl/>
              </w:rPr>
            </w:r>
            <w:r w:rsidR="001171C7">
              <w:rPr>
                <w:webHidden/>
                <w:rtl/>
              </w:rPr>
              <w:fldChar w:fldCharType="separate"/>
            </w:r>
            <w:r w:rsidR="006A6D13">
              <w:rPr>
                <w:webHidden/>
                <w:rtl/>
              </w:rPr>
              <w:t>283</w:t>
            </w:r>
            <w:r w:rsidR="001171C7">
              <w:rPr>
                <w:webHidden/>
                <w:rtl/>
              </w:rPr>
              <w:fldChar w:fldCharType="end"/>
            </w:r>
          </w:hyperlink>
        </w:p>
        <w:p w:rsidR="001171C7" w:rsidRDefault="007978F4">
          <w:pPr>
            <w:pStyle w:val="TOC1"/>
            <w:rPr>
              <w:rFonts w:eastAsiaTheme="minorEastAsia" w:cstheme="minorBidi"/>
              <w:b w:val="0"/>
              <w:bCs w:val="0"/>
              <w:rtl/>
            </w:rPr>
          </w:pPr>
          <w:hyperlink w:anchor="_Toc496175535" w:history="1">
            <w:r w:rsidR="001171C7" w:rsidRPr="00D35CC1">
              <w:rPr>
                <w:rStyle w:val="Hyperlink"/>
                <w:rFonts w:cs="Guttman Drogolin"/>
                <w:rtl/>
              </w:rPr>
              <w:t>היוצא מכל הנ"ל בדינא דדבר חריף</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Toc496175535 \h</w:instrText>
            </w:r>
            <w:r w:rsidR="001171C7">
              <w:rPr>
                <w:webHidden/>
                <w:rtl/>
              </w:rPr>
              <w:instrText xml:space="preserve"> </w:instrText>
            </w:r>
            <w:r w:rsidR="001171C7">
              <w:rPr>
                <w:webHidden/>
                <w:rtl/>
              </w:rPr>
            </w:r>
            <w:r w:rsidR="001171C7">
              <w:rPr>
                <w:webHidden/>
                <w:rtl/>
              </w:rPr>
              <w:fldChar w:fldCharType="separate"/>
            </w:r>
            <w:r w:rsidR="006A6D13">
              <w:rPr>
                <w:webHidden/>
                <w:rtl/>
              </w:rPr>
              <w:t>283</w:t>
            </w:r>
            <w:r w:rsidR="001171C7">
              <w:rPr>
                <w:webHidden/>
                <w:rtl/>
              </w:rPr>
              <w:fldChar w:fldCharType="end"/>
            </w:r>
          </w:hyperlink>
        </w:p>
        <w:p w:rsidR="001171C7" w:rsidRDefault="007978F4">
          <w:pPr>
            <w:pStyle w:val="TOC1"/>
            <w:rPr>
              <w:rFonts w:eastAsiaTheme="minorEastAsia" w:cstheme="minorBidi"/>
              <w:b w:val="0"/>
              <w:bCs w:val="0"/>
              <w:rtl/>
            </w:rPr>
          </w:pPr>
          <w:hyperlink w:anchor="_Toc496175536" w:history="1">
            <w:r w:rsidR="001171C7" w:rsidRPr="00D35CC1">
              <w:rPr>
                <w:rStyle w:val="Hyperlink"/>
                <w:rFonts w:cs="Guttman Drogolin"/>
                <w:rtl/>
              </w:rPr>
              <w:t>גדרי דוחקא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Toc496175536 \h</w:instrText>
            </w:r>
            <w:r w:rsidR="001171C7">
              <w:rPr>
                <w:webHidden/>
                <w:rtl/>
              </w:rPr>
              <w:instrText xml:space="preserve"> </w:instrText>
            </w:r>
            <w:r w:rsidR="001171C7">
              <w:rPr>
                <w:webHidden/>
                <w:rtl/>
              </w:rPr>
            </w:r>
            <w:r w:rsidR="001171C7">
              <w:rPr>
                <w:webHidden/>
                <w:rtl/>
              </w:rPr>
              <w:fldChar w:fldCharType="separate"/>
            </w:r>
            <w:r w:rsidR="006A6D13">
              <w:rPr>
                <w:webHidden/>
                <w:rtl/>
              </w:rPr>
              <w:t>285</w:t>
            </w:r>
            <w:r w:rsidR="001171C7">
              <w:rPr>
                <w:webHidden/>
                <w:rtl/>
              </w:rPr>
              <w:fldChar w:fldCharType="end"/>
            </w:r>
          </w:hyperlink>
        </w:p>
        <w:p w:rsidR="001171C7" w:rsidRDefault="007978F4">
          <w:pPr>
            <w:pStyle w:val="TOC1"/>
            <w:rPr>
              <w:rFonts w:eastAsiaTheme="minorEastAsia" w:cstheme="minorBidi"/>
              <w:b w:val="0"/>
              <w:bCs w:val="0"/>
              <w:rtl/>
            </w:rPr>
          </w:pPr>
          <w:hyperlink w:anchor="_Toc496175537" w:history="1">
            <w:r w:rsidR="001171C7" w:rsidRPr="00D35CC1">
              <w:rPr>
                <w:rStyle w:val="Hyperlink"/>
                <w:rFonts w:cs="Guttman Drogolin"/>
                <w:rtl/>
              </w:rPr>
              <w:t>האם קיי"ל להחמיר כל החומרות דדבר חריף, ובדברי הבית מאיר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Toc496175537 \h</w:instrText>
            </w:r>
            <w:r w:rsidR="001171C7">
              <w:rPr>
                <w:webHidden/>
                <w:rtl/>
              </w:rPr>
              <w:instrText xml:space="preserve"> </w:instrText>
            </w:r>
            <w:r w:rsidR="001171C7">
              <w:rPr>
                <w:webHidden/>
                <w:rtl/>
              </w:rPr>
            </w:r>
            <w:r w:rsidR="001171C7">
              <w:rPr>
                <w:webHidden/>
                <w:rtl/>
              </w:rPr>
              <w:fldChar w:fldCharType="separate"/>
            </w:r>
            <w:r w:rsidR="006A6D13">
              <w:rPr>
                <w:webHidden/>
                <w:rtl/>
              </w:rPr>
              <w:t>286</w:t>
            </w:r>
            <w:r w:rsidR="001171C7">
              <w:rPr>
                <w:webHidden/>
                <w:rtl/>
              </w:rPr>
              <w:fldChar w:fldCharType="end"/>
            </w:r>
          </w:hyperlink>
        </w:p>
        <w:p w:rsidR="001171C7" w:rsidRDefault="007978F4">
          <w:pPr>
            <w:pStyle w:val="TOC1"/>
            <w:rPr>
              <w:rFonts w:eastAsiaTheme="minorEastAsia" w:cstheme="minorBidi"/>
              <w:b w:val="0"/>
              <w:bCs w:val="0"/>
              <w:rtl/>
            </w:rPr>
          </w:pPr>
          <w:hyperlink w:anchor="_Toc496175538" w:history="1">
            <w:r w:rsidR="001171C7" w:rsidRPr="00D35CC1">
              <w:rPr>
                <w:rStyle w:val="Hyperlink"/>
                <w:rFonts w:cs="Guttman Drogolin"/>
                <w:rtl/>
              </w:rPr>
              <w:t>דברי הבית מאיר בחתך בסכין שרוב תשמישתו בצונן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Toc496175538 \h</w:instrText>
            </w:r>
            <w:r w:rsidR="001171C7">
              <w:rPr>
                <w:webHidden/>
                <w:rtl/>
              </w:rPr>
              <w:instrText xml:space="preserve"> </w:instrText>
            </w:r>
            <w:r w:rsidR="001171C7">
              <w:rPr>
                <w:webHidden/>
                <w:rtl/>
              </w:rPr>
            </w:r>
            <w:r w:rsidR="001171C7">
              <w:rPr>
                <w:webHidden/>
                <w:rtl/>
              </w:rPr>
              <w:fldChar w:fldCharType="separate"/>
            </w:r>
            <w:r w:rsidR="006A6D13">
              <w:rPr>
                <w:webHidden/>
                <w:rtl/>
              </w:rPr>
              <w:t>287</w:t>
            </w:r>
            <w:r w:rsidR="001171C7">
              <w:rPr>
                <w:webHidden/>
                <w:rtl/>
              </w:rPr>
              <w:fldChar w:fldCharType="end"/>
            </w:r>
          </w:hyperlink>
        </w:p>
        <w:p w:rsidR="001171C7" w:rsidRDefault="007978F4">
          <w:pPr>
            <w:pStyle w:val="TOC1"/>
            <w:rPr>
              <w:rFonts w:eastAsiaTheme="minorEastAsia" w:cstheme="minorBidi"/>
              <w:b w:val="0"/>
              <w:bCs w:val="0"/>
              <w:rtl/>
            </w:rPr>
          </w:pPr>
          <w:hyperlink w:anchor="_Toc496175539" w:history="1">
            <w:r w:rsidR="001171C7" w:rsidRPr="00D35CC1">
              <w:rPr>
                <w:rStyle w:val="Hyperlink"/>
                <w:rFonts w:cs="Guttman Drogolin"/>
                <w:rtl/>
              </w:rPr>
              <w:t>גדרי החומרא דלא אומרים נ"ט בר נ"ט בדבר חריף</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Toc496175539 \h</w:instrText>
            </w:r>
            <w:r w:rsidR="001171C7">
              <w:rPr>
                <w:webHidden/>
                <w:rtl/>
              </w:rPr>
              <w:instrText xml:space="preserve"> </w:instrText>
            </w:r>
            <w:r w:rsidR="001171C7">
              <w:rPr>
                <w:webHidden/>
                <w:rtl/>
              </w:rPr>
            </w:r>
            <w:r w:rsidR="001171C7">
              <w:rPr>
                <w:webHidden/>
                <w:rtl/>
              </w:rPr>
              <w:fldChar w:fldCharType="separate"/>
            </w:r>
            <w:r w:rsidR="006A6D13">
              <w:rPr>
                <w:webHidden/>
                <w:rtl/>
              </w:rPr>
              <w:t>287</w:t>
            </w:r>
            <w:r w:rsidR="001171C7">
              <w:rPr>
                <w:webHidden/>
                <w:rtl/>
              </w:rPr>
              <w:fldChar w:fldCharType="end"/>
            </w:r>
          </w:hyperlink>
        </w:p>
        <w:p w:rsidR="001171C7" w:rsidRDefault="007978F4">
          <w:pPr>
            <w:pStyle w:val="TOC1"/>
            <w:rPr>
              <w:rFonts w:eastAsiaTheme="minorEastAsia" w:cstheme="minorBidi"/>
              <w:b w:val="0"/>
              <w:bCs w:val="0"/>
              <w:rtl/>
            </w:rPr>
          </w:pPr>
          <w:hyperlink w:anchor="_Toc496175540" w:history="1">
            <w:r w:rsidR="001171C7" w:rsidRPr="00D35CC1">
              <w:rPr>
                <w:rStyle w:val="Hyperlink"/>
                <w:rFonts w:cs="Guttman Drogolin"/>
                <w:rtl/>
              </w:rPr>
              <w:t>חתך דבר חריף בסכין של איסור, ושוב בישלו בתבשיל שיש ס' כנגדו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Toc496175540 \h</w:instrText>
            </w:r>
            <w:r w:rsidR="001171C7">
              <w:rPr>
                <w:webHidden/>
                <w:rtl/>
              </w:rPr>
              <w:instrText xml:space="preserve"> </w:instrText>
            </w:r>
            <w:r w:rsidR="001171C7">
              <w:rPr>
                <w:webHidden/>
                <w:rtl/>
              </w:rPr>
            </w:r>
            <w:r w:rsidR="001171C7">
              <w:rPr>
                <w:webHidden/>
                <w:rtl/>
              </w:rPr>
              <w:fldChar w:fldCharType="separate"/>
            </w:r>
            <w:r w:rsidR="006A6D13">
              <w:rPr>
                <w:webHidden/>
                <w:rtl/>
              </w:rPr>
              <w:t>290</w:t>
            </w:r>
            <w:r w:rsidR="001171C7">
              <w:rPr>
                <w:webHidden/>
                <w:rtl/>
              </w:rPr>
              <w:fldChar w:fldCharType="end"/>
            </w:r>
          </w:hyperlink>
        </w:p>
        <w:p w:rsidR="001171C7" w:rsidRDefault="007978F4">
          <w:pPr>
            <w:pStyle w:val="TOC1"/>
            <w:rPr>
              <w:rFonts w:eastAsiaTheme="minorEastAsia" w:cstheme="minorBidi"/>
              <w:b w:val="0"/>
              <w:bCs w:val="0"/>
              <w:rtl/>
            </w:rPr>
          </w:pPr>
          <w:hyperlink w:anchor="_Toc496175541" w:history="1">
            <w:r w:rsidR="001171C7" w:rsidRPr="00D35CC1">
              <w:rPr>
                <w:rStyle w:val="Hyperlink"/>
                <w:rFonts w:cs="Guttman Drogolin"/>
                <w:rtl/>
              </w:rPr>
              <w:t>מהו דבר חריף</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Toc496175541 \h</w:instrText>
            </w:r>
            <w:r w:rsidR="001171C7">
              <w:rPr>
                <w:webHidden/>
                <w:rtl/>
              </w:rPr>
              <w:instrText xml:space="preserve"> </w:instrText>
            </w:r>
            <w:r w:rsidR="001171C7">
              <w:rPr>
                <w:webHidden/>
                <w:rtl/>
              </w:rPr>
            </w:r>
            <w:r w:rsidR="001171C7">
              <w:rPr>
                <w:webHidden/>
                <w:rtl/>
              </w:rPr>
              <w:fldChar w:fldCharType="separate"/>
            </w:r>
            <w:r w:rsidR="006A6D13">
              <w:rPr>
                <w:webHidden/>
                <w:rtl/>
              </w:rPr>
              <w:t>290</w:t>
            </w:r>
            <w:r w:rsidR="001171C7">
              <w:rPr>
                <w:webHidden/>
                <w:rtl/>
              </w:rPr>
              <w:fldChar w:fldCharType="end"/>
            </w:r>
          </w:hyperlink>
        </w:p>
        <w:p w:rsidR="001171C7" w:rsidRDefault="007978F4">
          <w:pPr>
            <w:pStyle w:val="TOC1"/>
            <w:rPr>
              <w:rFonts w:eastAsiaTheme="minorEastAsia" w:cstheme="minorBidi"/>
              <w:b w:val="0"/>
              <w:bCs w:val="0"/>
              <w:rtl/>
            </w:rPr>
          </w:pPr>
          <w:hyperlink w:anchor="_Toc496175542" w:history="1">
            <w:r w:rsidR="001171C7" w:rsidRPr="00D35CC1">
              <w:rPr>
                <w:rStyle w:val="Hyperlink"/>
                <w:rFonts w:cs="Guttman Drogolin"/>
                <w:rtl/>
              </w:rPr>
              <w:t>בדין לימוני"ש</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Toc496175542 \h</w:instrText>
            </w:r>
            <w:r w:rsidR="001171C7">
              <w:rPr>
                <w:webHidden/>
                <w:rtl/>
              </w:rPr>
              <w:instrText xml:space="preserve"> </w:instrText>
            </w:r>
            <w:r w:rsidR="001171C7">
              <w:rPr>
                <w:webHidden/>
                <w:rtl/>
              </w:rPr>
            </w:r>
            <w:r w:rsidR="001171C7">
              <w:rPr>
                <w:webHidden/>
                <w:rtl/>
              </w:rPr>
              <w:fldChar w:fldCharType="separate"/>
            </w:r>
            <w:r w:rsidR="006A6D13">
              <w:rPr>
                <w:webHidden/>
                <w:rtl/>
              </w:rPr>
              <w:t>291</w:t>
            </w:r>
            <w:r w:rsidR="001171C7">
              <w:rPr>
                <w:webHidden/>
                <w:rtl/>
              </w:rPr>
              <w:fldChar w:fldCharType="end"/>
            </w:r>
          </w:hyperlink>
        </w:p>
        <w:p w:rsidR="00B8771A" w:rsidRPr="00D639A4" w:rsidRDefault="00B8771A" w:rsidP="00B8771A">
          <w:pPr>
            <w:pStyle w:val="TOC1"/>
            <w:spacing w:before="240"/>
            <w:rPr>
              <w:rStyle w:val="Hyperlink"/>
              <w:color w:val="auto"/>
              <w:sz w:val="28"/>
              <w:szCs w:val="28"/>
              <w:rtl/>
            </w:rPr>
          </w:pPr>
          <w:r>
            <w:rPr>
              <w:rStyle w:val="Hyperlink"/>
              <w:rFonts w:hint="cs"/>
              <w:color w:val="auto"/>
              <w:sz w:val="28"/>
              <w:szCs w:val="28"/>
              <w:rtl/>
            </w:rPr>
            <w:t>יורה דעה סי' צ"ז</w:t>
          </w:r>
        </w:p>
        <w:p w:rsidR="001171C7" w:rsidRDefault="007978F4">
          <w:pPr>
            <w:pStyle w:val="TOC1"/>
            <w:rPr>
              <w:rFonts w:eastAsiaTheme="minorEastAsia" w:cstheme="minorBidi"/>
              <w:b w:val="0"/>
              <w:bCs w:val="0"/>
              <w:rtl/>
            </w:rPr>
          </w:pPr>
          <w:hyperlink w:anchor="_Toc496175543" w:history="1">
            <w:r w:rsidR="001171C7" w:rsidRPr="00D35CC1">
              <w:rPr>
                <w:rStyle w:val="Hyperlink"/>
                <w:rFonts w:cs="Guttman Drogolin"/>
                <w:rtl/>
              </w:rPr>
              <w:t>האיסור ללוש פת עם חלב או בשר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Toc496175543 \h</w:instrText>
            </w:r>
            <w:r w:rsidR="001171C7">
              <w:rPr>
                <w:webHidden/>
                <w:rtl/>
              </w:rPr>
              <w:instrText xml:space="preserve"> </w:instrText>
            </w:r>
            <w:r w:rsidR="001171C7">
              <w:rPr>
                <w:webHidden/>
                <w:rtl/>
              </w:rPr>
            </w:r>
            <w:r w:rsidR="001171C7">
              <w:rPr>
                <w:webHidden/>
                <w:rtl/>
              </w:rPr>
              <w:fldChar w:fldCharType="separate"/>
            </w:r>
            <w:r w:rsidR="006A6D13">
              <w:rPr>
                <w:webHidden/>
                <w:rtl/>
              </w:rPr>
              <w:t>293</w:t>
            </w:r>
            <w:r w:rsidR="001171C7">
              <w:rPr>
                <w:webHidden/>
                <w:rtl/>
              </w:rPr>
              <w:fldChar w:fldCharType="end"/>
            </w:r>
          </w:hyperlink>
        </w:p>
        <w:p w:rsidR="001171C7" w:rsidRDefault="007978F4">
          <w:pPr>
            <w:pStyle w:val="TOC1"/>
            <w:rPr>
              <w:rFonts w:eastAsiaTheme="minorEastAsia" w:cstheme="minorBidi"/>
              <w:b w:val="0"/>
              <w:bCs w:val="0"/>
              <w:rtl/>
            </w:rPr>
          </w:pPr>
          <w:hyperlink w:anchor="_Toc496175544" w:history="1">
            <w:r w:rsidR="001171C7" w:rsidRPr="00D35CC1">
              <w:rPr>
                <w:rStyle w:val="Hyperlink"/>
                <w:rFonts w:cs="Guttman Drogolin"/>
                <w:rtl/>
              </w:rPr>
              <w:t>דברים המתירים לחם חלבי או בשרי, והוכחה לצד א' בחקירה הנ"ל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Toc496175544 \h</w:instrText>
            </w:r>
            <w:r w:rsidR="001171C7">
              <w:rPr>
                <w:webHidden/>
                <w:rtl/>
              </w:rPr>
              <w:instrText xml:space="preserve"> </w:instrText>
            </w:r>
            <w:r w:rsidR="001171C7">
              <w:rPr>
                <w:webHidden/>
                <w:rtl/>
              </w:rPr>
            </w:r>
            <w:r w:rsidR="001171C7">
              <w:rPr>
                <w:webHidden/>
                <w:rtl/>
              </w:rPr>
              <w:fldChar w:fldCharType="separate"/>
            </w:r>
            <w:r w:rsidR="006A6D13">
              <w:rPr>
                <w:webHidden/>
                <w:rtl/>
              </w:rPr>
              <w:t>293</w:t>
            </w:r>
            <w:r w:rsidR="001171C7">
              <w:rPr>
                <w:webHidden/>
                <w:rtl/>
              </w:rPr>
              <w:fldChar w:fldCharType="end"/>
            </w:r>
          </w:hyperlink>
        </w:p>
        <w:p w:rsidR="001171C7" w:rsidRDefault="007978F4">
          <w:pPr>
            <w:pStyle w:val="TOC1"/>
            <w:rPr>
              <w:rFonts w:eastAsiaTheme="minorEastAsia" w:cstheme="minorBidi"/>
              <w:b w:val="0"/>
              <w:bCs w:val="0"/>
              <w:rtl/>
            </w:rPr>
          </w:pPr>
          <w:hyperlink w:anchor="_Toc496175545" w:history="1">
            <w:r w:rsidR="001171C7" w:rsidRPr="00D35CC1">
              <w:rPr>
                <w:rStyle w:val="Hyperlink"/>
                <w:rFonts w:cs="Guttman Drogolin"/>
                <w:rtl/>
              </w:rPr>
              <w:t>באיזה מאכלים גזרו, ובזמן חלות האיסור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Toc496175545 \h</w:instrText>
            </w:r>
            <w:r w:rsidR="001171C7">
              <w:rPr>
                <w:webHidden/>
                <w:rtl/>
              </w:rPr>
              <w:instrText xml:space="preserve"> </w:instrText>
            </w:r>
            <w:r w:rsidR="001171C7">
              <w:rPr>
                <w:webHidden/>
                <w:rtl/>
              </w:rPr>
            </w:r>
            <w:r w:rsidR="001171C7">
              <w:rPr>
                <w:webHidden/>
                <w:rtl/>
              </w:rPr>
              <w:fldChar w:fldCharType="separate"/>
            </w:r>
            <w:r w:rsidR="006A6D13">
              <w:rPr>
                <w:webHidden/>
                <w:rtl/>
              </w:rPr>
              <w:t>294</w:t>
            </w:r>
            <w:r w:rsidR="001171C7">
              <w:rPr>
                <w:webHidden/>
                <w:rtl/>
              </w:rPr>
              <w:fldChar w:fldCharType="end"/>
            </w:r>
          </w:hyperlink>
        </w:p>
        <w:p w:rsidR="001171C7" w:rsidRDefault="007978F4">
          <w:pPr>
            <w:pStyle w:val="TOC1"/>
            <w:rPr>
              <w:rFonts w:eastAsiaTheme="minorEastAsia" w:cstheme="minorBidi"/>
              <w:b w:val="0"/>
              <w:bCs w:val="0"/>
              <w:rtl/>
            </w:rPr>
          </w:pPr>
          <w:hyperlink w:anchor="_Toc496175546" w:history="1">
            <w:r w:rsidR="001171C7" w:rsidRPr="00D35CC1">
              <w:rPr>
                <w:rStyle w:val="Hyperlink"/>
                <w:rFonts w:cs="Guttman Drogolin"/>
                <w:rtl/>
              </w:rPr>
              <w:t>בגדר החשש בפת חלבי או בשרי, ובאיזה סוגי לחם החמירו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Toc496175546 \h</w:instrText>
            </w:r>
            <w:r w:rsidR="001171C7">
              <w:rPr>
                <w:webHidden/>
                <w:rtl/>
              </w:rPr>
              <w:instrText xml:space="preserve"> </w:instrText>
            </w:r>
            <w:r w:rsidR="001171C7">
              <w:rPr>
                <w:webHidden/>
                <w:rtl/>
              </w:rPr>
            </w:r>
            <w:r w:rsidR="001171C7">
              <w:rPr>
                <w:webHidden/>
                <w:rtl/>
              </w:rPr>
              <w:fldChar w:fldCharType="separate"/>
            </w:r>
            <w:r w:rsidR="006A6D13">
              <w:rPr>
                <w:webHidden/>
                <w:rtl/>
              </w:rPr>
              <w:t>295</w:t>
            </w:r>
            <w:r w:rsidR="001171C7">
              <w:rPr>
                <w:webHidden/>
                <w:rtl/>
              </w:rPr>
              <w:fldChar w:fldCharType="end"/>
            </w:r>
          </w:hyperlink>
        </w:p>
        <w:p w:rsidR="001171C7" w:rsidRDefault="007978F4">
          <w:pPr>
            <w:pStyle w:val="TOC1"/>
            <w:rPr>
              <w:rFonts w:eastAsiaTheme="minorEastAsia" w:cstheme="minorBidi"/>
              <w:b w:val="0"/>
              <w:bCs w:val="0"/>
              <w:rtl/>
            </w:rPr>
          </w:pPr>
          <w:hyperlink w:anchor="_Toc496175547" w:history="1">
            <w:r w:rsidR="001171C7" w:rsidRPr="00D35CC1">
              <w:rPr>
                <w:rStyle w:val="Hyperlink"/>
                <w:rFonts w:cs="Guttman Drogolin"/>
                <w:rtl/>
              </w:rPr>
              <w:t>נ"ט בר נ"ט לכתחילה בלחם חלבי או בשרי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Toc496175547 \h</w:instrText>
            </w:r>
            <w:r w:rsidR="001171C7">
              <w:rPr>
                <w:webHidden/>
                <w:rtl/>
              </w:rPr>
              <w:instrText xml:space="preserve"> </w:instrText>
            </w:r>
            <w:r w:rsidR="001171C7">
              <w:rPr>
                <w:webHidden/>
                <w:rtl/>
              </w:rPr>
            </w:r>
            <w:r w:rsidR="001171C7">
              <w:rPr>
                <w:webHidden/>
                <w:rtl/>
              </w:rPr>
              <w:fldChar w:fldCharType="separate"/>
            </w:r>
            <w:r w:rsidR="006A6D13">
              <w:rPr>
                <w:webHidden/>
                <w:rtl/>
              </w:rPr>
              <w:t>296</w:t>
            </w:r>
            <w:r w:rsidR="001171C7">
              <w:rPr>
                <w:webHidden/>
                <w:rtl/>
              </w:rPr>
              <w:fldChar w:fldCharType="end"/>
            </w:r>
          </w:hyperlink>
        </w:p>
        <w:p w:rsidR="001171C7" w:rsidRDefault="007978F4">
          <w:pPr>
            <w:pStyle w:val="TOC1"/>
            <w:rPr>
              <w:rFonts w:eastAsiaTheme="minorEastAsia" w:cstheme="minorBidi"/>
              <w:b w:val="0"/>
              <w:bCs w:val="0"/>
              <w:rtl/>
            </w:rPr>
          </w:pPr>
          <w:hyperlink w:anchor="_Toc496175548" w:history="1">
            <w:r w:rsidR="001171C7" w:rsidRPr="00D35CC1">
              <w:rPr>
                <w:rStyle w:val="Hyperlink"/>
                <w:rFonts w:cs="Guttman Drogolin"/>
                <w:rtl/>
              </w:rPr>
              <w:t>עוד בדין שינוי צורת פת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Toc496175548 \h</w:instrText>
            </w:r>
            <w:r w:rsidR="001171C7">
              <w:rPr>
                <w:webHidden/>
                <w:rtl/>
              </w:rPr>
              <w:instrText xml:space="preserve"> </w:instrText>
            </w:r>
            <w:r w:rsidR="001171C7">
              <w:rPr>
                <w:webHidden/>
                <w:rtl/>
              </w:rPr>
            </w:r>
            <w:r w:rsidR="001171C7">
              <w:rPr>
                <w:webHidden/>
                <w:rtl/>
              </w:rPr>
              <w:fldChar w:fldCharType="separate"/>
            </w:r>
            <w:r w:rsidR="006A6D13">
              <w:rPr>
                <w:webHidden/>
                <w:rtl/>
              </w:rPr>
              <w:t>296</w:t>
            </w:r>
            <w:r w:rsidR="001171C7">
              <w:rPr>
                <w:webHidden/>
                <w:rtl/>
              </w:rPr>
              <w:fldChar w:fldCharType="end"/>
            </w:r>
          </w:hyperlink>
        </w:p>
        <w:p w:rsidR="001171C7" w:rsidRDefault="007978F4">
          <w:pPr>
            <w:pStyle w:val="TOC1"/>
            <w:rPr>
              <w:rFonts w:eastAsiaTheme="minorEastAsia" w:cstheme="minorBidi"/>
              <w:b w:val="0"/>
              <w:bCs w:val="0"/>
              <w:rtl/>
            </w:rPr>
          </w:pPr>
          <w:hyperlink w:anchor="_Toc496175549" w:history="1">
            <w:r w:rsidR="001171C7" w:rsidRPr="00D35CC1">
              <w:rPr>
                <w:rStyle w:val="Hyperlink"/>
                <w:rFonts w:cs="Guttman Drogolin"/>
                <w:rtl/>
              </w:rPr>
              <w:t>כמה דוגמות מעשיות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Toc496175549 \h</w:instrText>
            </w:r>
            <w:r w:rsidR="001171C7">
              <w:rPr>
                <w:webHidden/>
                <w:rtl/>
              </w:rPr>
              <w:instrText xml:space="preserve"> </w:instrText>
            </w:r>
            <w:r w:rsidR="001171C7">
              <w:rPr>
                <w:webHidden/>
                <w:rtl/>
              </w:rPr>
            </w:r>
            <w:r w:rsidR="001171C7">
              <w:rPr>
                <w:webHidden/>
                <w:rtl/>
              </w:rPr>
              <w:fldChar w:fldCharType="separate"/>
            </w:r>
            <w:r w:rsidR="006A6D13">
              <w:rPr>
                <w:webHidden/>
                <w:rtl/>
              </w:rPr>
              <w:t>297</w:t>
            </w:r>
            <w:r w:rsidR="001171C7">
              <w:rPr>
                <w:webHidden/>
                <w:rtl/>
              </w:rPr>
              <w:fldChar w:fldCharType="end"/>
            </w:r>
          </w:hyperlink>
        </w:p>
        <w:p w:rsidR="00B8771A" w:rsidRPr="00D639A4" w:rsidRDefault="00B8771A" w:rsidP="00B8771A">
          <w:pPr>
            <w:pStyle w:val="TOC1"/>
            <w:keepNext/>
            <w:spacing w:before="240"/>
            <w:rPr>
              <w:rStyle w:val="Hyperlink"/>
              <w:color w:val="auto"/>
              <w:sz w:val="28"/>
              <w:szCs w:val="28"/>
              <w:rtl/>
            </w:rPr>
          </w:pPr>
          <w:r>
            <w:rPr>
              <w:rStyle w:val="Hyperlink"/>
              <w:rFonts w:hint="cs"/>
              <w:color w:val="auto"/>
              <w:sz w:val="28"/>
              <w:szCs w:val="28"/>
              <w:rtl/>
            </w:rPr>
            <w:lastRenderedPageBreak/>
            <w:t>יורה דעה סי' צ"ח</w:t>
          </w:r>
        </w:p>
        <w:p w:rsidR="001171C7" w:rsidRDefault="007978F4">
          <w:pPr>
            <w:pStyle w:val="TOC1"/>
            <w:rPr>
              <w:rFonts w:eastAsiaTheme="minorEastAsia" w:cstheme="minorBidi"/>
              <w:b w:val="0"/>
              <w:bCs w:val="0"/>
              <w:rtl/>
            </w:rPr>
          </w:pPr>
          <w:hyperlink w:anchor="_Toc496175550" w:history="1">
            <w:r w:rsidR="001171C7" w:rsidRPr="00D35CC1">
              <w:rPr>
                <w:rStyle w:val="Hyperlink"/>
                <w:rFonts w:cs="Guttman Drogolin"/>
                <w:rtl/>
              </w:rPr>
              <w:t>ביאורים בנאמנות דקפילא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Toc496175550 \h</w:instrText>
            </w:r>
            <w:r w:rsidR="001171C7">
              <w:rPr>
                <w:webHidden/>
                <w:rtl/>
              </w:rPr>
              <w:instrText xml:space="preserve"> </w:instrText>
            </w:r>
            <w:r w:rsidR="001171C7">
              <w:rPr>
                <w:webHidden/>
                <w:rtl/>
              </w:rPr>
            </w:r>
            <w:r w:rsidR="001171C7">
              <w:rPr>
                <w:webHidden/>
                <w:rtl/>
              </w:rPr>
              <w:fldChar w:fldCharType="separate"/>
            </w:r>
            <w:r w:rsidR="006A6D13">
              <w:rPr>
                <w:webHidden/>
                <w:rtl/>
              </w:rPr>
              <w:t>299</w:t>
            </w:r>
            <w:r w:rsidR="001171C7">
              <w:rPr>
                <w:webHidden/>
                <w:rtl/>
              </w:rPr>
              <w:fldChar w:fldCharType="end"/>
            </w:r>
          </w:hyperlink>
        </w:p>
        <w:p w:rsidR="001171C7" w:rsidRDefault="007978F4">
          <w:pPr>
            <w:pStyle w:val="TOC1"/>
            <w:rPr>
              <w:rFonts w:eastAsiaTheme="minorEastAsia" w:cstheme="minorBidi"/>
              <w:b w:val="0"/>
              <w:bCs w:val="0"/>
              <w:rtl/>
            </w:rPr>
          </w:pPr>
          <w:hyperlink w:anchor="_Toc496175551" w:history="1">
            <w:r w:rsidR="001171C7" w:rsidRPr="00D35CC1">
              <w:rPr>
                <w:rStyle w:val="Hyperlink"/>
                <w:rFonts w:cs="Guttman Drogolin"/>
                <w:rtl/>
              </w:rPr>
              <w:t>הדין למעשה בטעימת קפילא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Toc496175551 \h</w:instrText>
            </w:r>
            <w:r w:rsidR="001171C7">
              <w:rPr>
                <w:webHidden/>
                <w:rtl/>
              </w:rPr>
              <w:instrText xml:space="preserve"> </w:instrText>
            </w:r>
            <w:r w:rsidR="001171C7">
              <w:rPr>
                <w:webHidden/>
                <w:rtl/>
              </w:rPr>
            </w:r>
            <w:r w:rsidR="001171C7">
              <w:rPr>
                <w:webHidden/>
                <w:rtl/>
              </w:rPr>
              <w:fldChar w:fldCharType="separate"/>
            </w:r>
            <w:r w:rsidR="006A6D13">
              <w:rPr>
                <w:webHidden/>
                <w:rtl/>
              </w:rPr>
              <w:t>300</w:t>
            </w:r>
            <w:r w:rsidR="001171C7">
              <w:rPr>
                <w:webHidden/>
                <w:rtl/>
              </w:rPr>
              <w:fldChar w:fldCharType="end"/>
            </w:r>
          </w:hyperlink>
        </w:p>
        <w:p w:rsidR="001171C7" w:rsidRDefault="007978F4">
          <w:pPr>
            <w:pStyle w:val="TOC1"/>
            <w:rPr>
              <w:rFonts w:eastAsiaTheme="minorEastAsia" w:cstheme="minorBidi"/>
              <w:b w:val="0"/>
              <w:bCs w:val="0"/>
              <w:rtl/>
            </w:rPr>
          </w:pPr>
          <w:hyperlink w:anchor="_Toc496175552" w:history="1">
            <w:r w:rsidR="001171C7" w:rsidRPr="00D35CC1">
              <w:rPr>
                <w:rStyle w:val="Hyperlink"/>
                <w:rFonts w:cs="Guttman Drogolin"/>
                <w:rtl/>
              </w:rPr>
              <w:t>אם חלב (בציר"ה) בבשר חשוב מין בשאינו מינו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Toc496175552 \h</w:instrText>
            </w:r>
            <w:r w:rsidR="001171C7">
              <w:rPr>
                <w:webHidden/>
                <w:rtl/>
              </w:rPr>
              <w:instrText xml:space="preserve"> </w:instrText>
            </w:r>
            <w:r w:rsidR="001171C7">
              <w:rPr>
                <w:webHidden/>
                <w:rtl/>
              </w:rPr>
            </w:r>
            <w:r w:rsidR="001171C7">
              <w:rPr>
                <w:webHidden/>
                <w:rtl/>
              </w:rPr>
              <w:fldChar w:fldCharType="separate"/>
            </w:r>
            <w:r w:rsidR="006A6D13">
              <w:rPr>
                <w:webHidden/>
                <w:rtl/>
              </w:rPr>
              <w:t>301</w:t>
            </w:r>
            <w:r w:rsidR="001171C7">
              <w:rPr>
                <w:webHidden/>
                <w:rtl/>
              </w:rPr>
              <w:fldChar w:fldCharType="end"/>
            </w:r>
          </w:hyperlink>
        </w:p>
        <w:p w:rsidR="001171C7" w:rsidRDefault="007978F4">
          <w:pPr>
            <w:pStyle w:val="TOC1"/>
            <w:rPr>
              <w:rFonts w:eastAsiaTheme="minorEastAsia" w:cstheme="minorBidi"/>
              <w:b w:val="0"/>
              <w:bCs w:val="0"/>
              <w:rtl/>
            </w:rPr>
          </w:pPr>
          <w:hyperlink w:anchor="_Toc496175553" w:history="1">
            <w:r w:rsidR="001171C7" w:rsidRPr="00D35CC1">
              <w:rPr>
                <w:rStyle w:val="Hyperlink"/>
                <w:rFonts w:cs="Guttman Drogolin"/>
                <w:rtl/>
              </w:rPr>
              <w:t>עוד ב' הערות בטעימת קפילא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Toc496175553 \h</w:instrText>
            </w:r>
            <w:r w:rsidR="001171C7">
              <w:rPr>
                <w:webHidden/>
                <w:rtl/>
              </w:rPr>
              <w:instrText xml:space="preserve"> </w:instrText>
            </w:r>
            <w:r w:rsidR="001171C7">
              <w:rPr>
                <w:webHidden/>
                <w:rtl/>
              </w:rPr>
            </w:r>
            <w:r w:rsidR="001171C7">
              <w:rPr>
                <w:webHidden/>
                <w:rtl/>
              </w:rPr>
              <w:fldChar w:fldCharType="separate"/>
            </w:r>
            <w:r w:rsidR="006A6D13">
              <w:rPr>
                <w:webHidden/>
                <w:rtl/>
              </w:rPr>
              <w:t>302</w:t>
            </w:r>
            <w:r w:rsidR="001171C7">
              <w:rPr>
                <w:webHidden/>
                <w:rtl/>
              </w:rPr>
              <w:fldChar w:fldCharType="end"/>
            </w:r>
          </w:hyperlink>
        </w:p>
        <w:p w:rsidR="001171C7" w:rsidRDefault="007978F4">
          <w:pPr>
            <w:pStyle w:val="TOC1"/>
            <w:rPr>
              <w:rFonts w:eastAsiaTheme="minorEastAsia" w:cstheme="minorBidi"/>
              <w:b w:val="0"/>
              <w:bCs w:val="0"/>
              <w:rtl/>
            </w:rPr>
          </w:pPr>
          <w:hyperlink w:anchor="_Toc496175554" w:history="1">
            <w:r w:rsidR="001171C7" w:rsidRPr="00D35CC1">
              <w:rPr>
                <w:rStyle w:val="Hyperlink"/>
                <w:rFonts w:cs="Guttman Drogolin"/>
                <w:rtl/>
              </w:rPr>
              <w:t>עוד נקודה בענינא דטעימה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Toc496175554 \h</w:instrText>
            </w:r>
            <w:r w:rsidR="001171C7">
              <w:rPr>
                <w:webHidden/>
                <w:rtl/>
              </w:rPr>
              <w:instrText xml:space="preserve"> </w:instrText>
            </w:r>
            <w:r w:rsidR="001171C7">
              <w:rPr>
                <w:webHidden/>
                <w:rtl/>
              </w:rPr>
            </w:r>
            <w:r w:rsidR="001171C7">
              <w:rPr>
                <w:webHidden/>
                <w:rtl/>
              </w:rPr>
              <w:fldChar w:fldCharType="separate"/>
            </w:r>
            <w:r w:rsidR="006A6D13">
              <w:rPr>
                <w:webHidden/>
                <w:rtl/>
              </w:rPr>
              <w:t>303</w:t>
            </w:r>
            <w:r w:rsidR="001171C7">
              <w:rPr>
                <w:webHidden/>
                <w:rtl/>
              </w:rPr>
              <w:fldChar w:fldCharType="end"/>
            </w:r>
          </w:hyperlink>
        </w:p>
        <w:p w:rsidR="001171C7" w:rsidRDefault="007978F4">
          <w:pPr>
            <w:pStyle w:val="TOC1"/>
            <w:rPr>
              <w:rFonts w:eastAsiaTheme="minorEastAsia" w:cstheme="minorBidi"/>
              <w:b w:val="0"/>
              <w:bCs w:val="0"/>
              <w:rtl/>
            </w:rPr>
          </w:pPr>
          <w:hyperlink w:anchor="_Toc496175555" w:history="1">
            <w:r w:rsidR="001171C7" w:rsidRPr="00D35CC1">
              <w:rPr>
                <w:rStyle w:val="Hyperlink"/>
                <w:rFonts w:cs="Guttman Drogolin"/>
                <w:rtl/>
              </w:rPr>
              <w:t>אי בטעם כעיקר אזלינן בתר שם או בתר טעם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Toc496175555 \h</w:instrText>
            </w:r>
            <w:r w:rsidR="001171C7">
              <w:rPr>
                <w:webHidden/>
                <w:rtl/>
              </w:rPr>
              <w:instrText xml:space="preserve"> </w:instrText>
            </w:r>
            <w:r w:rsidR="001171C7">
              <w:rPr>
                <w:webHidden/>
                <w:rtl/>
              </w:rPr>
            </w:r>
            <w:r w:rsidR="001171C7">
              <w:rPr>
                <w:webHidden/>
                <w:rtl/>
              </w:rPr>
              <w:fldChar w:fldCharType="separate"/>
            </w:r>
            <w:r w:rsidR="006A6D13">
              <w:rPr>
                <w:webHidden/>
                <w:rtl/>
              </w:rPr>
              <w:t>303</w:t>
            </w:r>
            <w:r w:rsidR="001171C7">
              <w:rPr>
                <w:webHidden/>
                <w:rtl/>
              </w:rPr>
              <w:fldChar w:fldCharType="end"/>
            </w:r>
          </w:hyperlink>
        </w:p>
        <w:p w:rsidR="001171C7" w:rsidRDefault="007978F4">
          <w:pPr>
            <w:pStyle w:val="TOC1"/>
            <w:rPr>
              <w:rFonts w:eastAsiaTheme="minorEastAsia" w:cstheme="minorBidi"/>
              <w:b w:val="0"/>
              <w:bCs w:val="0"/>
              <w:rtl/>
            </w:rPr>
          </w:pPr>
          <w:hyperlink w:anchor="_Toc496175556" w:history="1">
            <w:r w:rsidR="001171C7" w:rsidRPr="00D35CC1">
              <w:rPr>
                <w:rStyle w:val="Hyperlink"/>
                <w:rFonts w:cs="Guttman Drogolin"/>
                <w:rtl/>
              </w:rPr>
              <w:t>בחידושו של הרשב"א בספק ששים והתערב במינו ובשאינו מינו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Toc496175556 \h</w:instrText>
            </w:r>
            <w:r w:rsidR="001171C7">
              <w:rPr>
                <w:webHidden/>
                <w:rtl/>
              </w:rPr>
              <w:instrText xml:space="preserve"> </w:instrText>
            </w:r>
            <w:r w:rsidR="001171C7">
              <w:rPr>
                <w:webHidden/>
                <w:rtl/>
              </w:rPr>
            </w:r>
            <w:r w:rsidR="001171C7">
              <w:rPr>
                <w:webHidden/>
                <w:rtl/>
              </w:rPr>
              <w:fldChar w:fldCharType="separate"/>
            </w:r>
            <w:r w:rsidR="006A6D13">
              <w:rPr>
                <w:webHidden/>
                <w:rtl/>
              </w:rPr>
              <w:t>305</w:t>
            </w:r>
            <w:r w:rsidR="001171C7">
              <w:rPr>
                <w:webHidden/>
                <w:rtl/>
              </w:rPr>
              <w:fldChar w:fldCharType="end"/>
            </w:r>
          </w:hyperlink>
        </w:p>
        <w:p w:rsidR="001171C7" w:rsidRDefault="007978F4">
          <w:pPr>
            <w:pStyle w:val="TOC1"/>
            <w:rPr>
              <w:rFonts w:eastAsiaTheme="minorEastAsia" w:cstheme="minorBidi"/>
              <w:b w:val="0"/>
              <w:bCs w:val="0"/>
              <w:rtl/>
            </w:rPr>
          </w:pPr>
          <w:hyperlink w:anchor="_Toc496175557" w:history="1">
            <w:r w:rsidR="001171C7" w:rsidRPr="00D35CC1">
              <w:rPr>
                <w:rStyle w:val="Hyperlink"/>
                <w:rFonts w:cs="Guttman Drogolin"/>
                <w:rtl/>
              </w:rPr>
              <w:t>ספק חסרון ידיעה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Toc496175557 \h</w:instrText>
            </w:r>
            <w:r w:rsidR="001171C7">
              <w:rPr>
                <w:webHidden/>
                <w:rtl/>
              </w:rPr>
              <w:instrText xml:space="preserve"> </w:instrText>
            </w:r>
            <w:r w:rsidR="001171C7">
              <w:rPr>
                <w:webHidden/>
                <w:rtl/>
              </w:rPr>
            </w:r>
            <w:r w:rsidR="001171C7">
              <w:rPr>
                <w:webHidden/>
                <w:rtl/>
              </w:rPr>
              <w:fldChar w:fldCharType="separate"/>
            </w:r>
            <w:r w:rsidR="006A6D13">
              <w:rPr>
                <w:webHidden/>
                <w:rtl/>
              </w:rPr>
              <w:t>306</w:t>
            </w:r>
            <w:r w:rsidR="001171C7">
              <w:rPr>
                <w:webHidden/>
                <w:rtl/>
              </w:rPr>
              <w:fldChar w:fldCharType="end"/>
            </w:r>
          </w:hyperlink>
        </w:p>
        <w:p w:rsidR="001171C7" w:rsidRDefault="007978F4">
          <w:pPr>
            <w:pStyle w:val="TOC1"/>
            <w:rPr>
              <w:rFonts w:eastAsiaTheme="minorEastAsia" w:cstheme="minorBidi"/>
              <w:b w:val="0"/>
              <w:bCs w:val="0"/>
              <w:rtl/>
            </w:rPr>
          </w:pPr>
          <w:hyperlink w:anchor="_Toc496175558" w:history="1">
            <w:r w:rsidR="001171C7" w:rsidRPr="00D35CC1">
              <w:rPr>
                <w:rStyle w:val="Hyperlink"/>
                <w:rFonts w:cs="Guttman Drogolin"/>
                <w:rtl/>
              </w:rPr>
              <w:t>בענין הא דמשערינן בכל הכלי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Toc496175558 \h</w:instrText>
            </w:r>
            <w:r w:rsidR="001171C7">
              <w:rPr>
                <w:webHidden/>
                <w:rtl/>
              </w:rPr>
              <w:instrText xml:space="preserve"> </w:instrText>
            </w:r>
            <w:r w:rsidR="001171C7">
              <w:rPr>
                <w:webHidden/>
                <w:rtl/>
              </w:rPr>
            </w:r>
            <w:r w:rsidR="001171C7">
              <w:rPr>
                <w:webHidden/>
                <w:rtl/>
              </w:rPr>
              <w:fldChar w:fldCharType="separate"/>
            </w:r>
            <w:r w:rsidR="006A6D13">
              <w:rPr>
                <w:webHidden/>
                <w:rtl/>
              </w:rPr>
              <w:t>308</w:t>
            </w:r>
            <w:r w:rsidR="001171C7">
              <w:rPr>
                <w:webHidden/>
                <w:rtl/>
              </w:rPr>
              <w:fldChar w:fldCharType="end"/>
            </w:r>
          </w:hyperlink>
        </w:p>
        <w:p w:rsidR="001171C7" w:rsidRDefault="007978F4">
          <w:pPr>
            <w:pStyle w:val="TOC1"/>
            <w:rPr>
              <w:rFonts w:eastAsiaTheme="minorEastAsia" w:cstheme="minorBidi"/>
              <w:b w:val="0"/>
              <w:bCs w:val="0"/>
              <w:rtl/>
            </w:rPr>
          </w:pPr>
          <w:hyperlink w:anchor="_Toc496175559" w:history="1">
            <w:r w:rsidR="001171C7" w:rsidRPr="00D35CC1">
              <w:rPr>
                <w:rStyle w:val="Hyperlink"/>
                <w:rFonts w:cs="Guttman Drogolin"/>
                <w:rtl/>
              </w:rPr>
              <w:t>הוכר האיסור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Toc496175559 \h</w:instrText>
            </w:r>
            <w:r w:rsidR="001171C7">
              <w:rPr>
                <w:webHidden/>
                <w:rtl/>
              </w:rPr>
              <w:instrText xml:space="preserve"> </w:instrText>
            </w:r>
            <w:r w:rsidR="001171C7">
              <w:rPr>
                <w:webHidden/>
                <w:rtl/>
              </w:rPr>
            </w:r>
            <w:r w:rsidR="001171C7">
              <w:rPr>
                <w:webHidden/>
                <w:rtl/>
              </w:rPr>
              <w:fldChar w:fldCharType="separate"/>
            </w:r>
            <w:r w:rsidR="006A6D13">
              <w:rPr>
                <w:webHidden/>
                <w:rtl/>
              </w:rPr>
              <w:t>309</w:t>
            </w:r>
            <w:r w:rsidR="001171C7">
              <w:rPr>
                <w:webHidden/>
                <w:rtl/>
              </w:rPr>
              <w:fldChar w:fldCharType="end"/>
            </w:r>
          </w:hyperlink>
        </w:p>
        <w:p w:rsidR="001171C7" w:rsidRDefault="007978F4">
          <w:pPr>
            <w:pStyle w:val="TOC1"/>
            <w:rPr>
              <w:rFonts w:eastAsiaTheme="minorEastAsia" w:cstheme="minorBidi"/>
              <w:b w:val="0"/>
              <w:bCs w:val="0"/>
              <w:rtl/>
            </w:rPr>
          </w:pPr>
          <w:hyperlink w:anchor="_Toc496175560" w:history="1">
            <w:r w:rsidR="001171C7" w:rsidRPr="00D35CC1">
              <w:rPr>
                <w:rStyle w:val="Hyperlink"/>
                <w:rFonts w:cs="Guttman Drogolin"/>
                <w:rtl/>
              </w:rPr>
              <w:t>בדין צינון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Toc496175560 \h</w:instrText>
            </w:r>
            <w:r w:rsidR="001171C7">
              <w:rPr>
                <w:webHidden/>
                <w:rtl/>
              </w:rPr>
              <w:instrText xml:space="preserve"> </w:instrText>
            </w:r>
            <w:r w:rsidR="001171C7">
              <w:rPr>
                <w:webHidden/>
                <w:rtl/>
              </w:rPr>
            </w:r>
            <w:r w:rsidR="001171C7">
              <w:rPr>
                <w:webHidden/>
                <w:rtl/>
              </w:rPr>
              <w:fldChar w:fldCharType="separate"/>
            </w:r>
            <w:r w:rsidR="006A6D13">
              <w:rPr>
                <w:webHidden/>
                <w:rtl/>
              </w:rPr>
              <w:t>310</w:t>
            </w:r>
            <w:r w:rsidR="001171C7">
              <w:rPr>
                <w:webHidden/>
                <w:rtl/>
              </w:rPr>
              <w:fldChar w:fldCharType="end"/>
            </w:r>
          </w:hyperlink>
        </w:p>
        <w:p w:rsidR="001171C7" w:rsidRDefault="007978F4">
          <w:pPr>
            <w:pStyle w:val="TOC1"/>
            <w:rPr>
              <w:rFonts w:eastAsiaTheme="minorEastAsia" w:cstheme="minorBidi"/>
              <w:b w:val="0"/>
              <w:bCs w:val="0"/>
              <w:rtl/>
            </w:rPr>
          </w:pPr>
          <w:hyperlink w:anchor="_Toc496175561" w:history="1">
            <w:r w:rsidR="001171C7" w:rsidRPr="00D35CC1">
              <w:rPr>
                <w:rStyle w:val="Hyperlink"/>
                <w:rFonts w:cs="Guttman Drogolin"/>
                <w:rtl/>
              </w:rPr>
              <w:t>צינון בדליכא ששים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Toc496175561 \h</w:instrText>
            </w:r>
            <w:r w:rsidR="001171C7">
              <w:rPr>
                <w:webHidden/>
                <w:rtl/>
              </w:rPr>
              <w:instrText xml:space="preserve"> </w:instrText>
            </w:r>
            <w:r w:rsidR="001171C7">
              <w:rPr>
                <w:webHidden/>
                <w:rtl/>
              </w:rPr>
            </w:r>
            <w:r w:rsidR="001171C7">
              <w:rPr>
                <w:webHidden/>
                <w:rtl/>
              </w:rPr>
              <w:fldChar w:fldCharType="separate"/>
            </w:r>
            <w:r w:rsidR="006A6D13">
              <w:rPr>
                <w:webHidden/>
                <w:rtl/>
              </w:rPr>
              <w:t>310</w:t>
            </w:r>
            <w:r w:rsidR="001171C7">
              <w:rPr>
                <w:webHidden/>
                <w:rtl/>
              </w:rPr>
              <w:fldChar w:fldCharType="end"/>
            </w:r>
          </w:hyperlink>
        </w:p>
        <w:p w:rsidR="001171C7" w:rsidRDefault="007978F4">
          <w:pPr>
            <w:pStyle w:val="TOC1"/>
            <w:rPr>
              <w:rFonts w:eastAsiaTheme="minorEastAsia" w:cstheme="minorBidi"/>
              <w:b w:val="0"/>
              <w:bCs w:val="0"/>
              <w:rtl/>
            </w:rPr>
          </w:pPr>
          <w:hyperlink w:anchor="_Toc496175562" w:history="1">
            <w:r w:rsidR="001171C7" w:rsidRPr="00D35CC1">
              <w:rPr>
                <w:rStyle w:val="Hyperlink"/>
                <w:rFonts w:cs="Guttman Drogolin"/>
                <w:rtl/>
              </w:rPr>
              <w:t>נפל החתיכה לתוך הרוטב פעמיים, והדין למעשה בחענ"ן בבלוע בכלי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Toc496175562 \h</w:instrText>
            </w:r>
            <w:r w:rsidR="001171C7">
              <w:rPr>
                <w:webHidden/>
                <w:rtl/>
              </w:rPr>
              <w:instrText xml:space="preserve"> </w:instrText>
            </w:r>
            <w:r w:rsidR="001171C7">
              <w:rPr>
                <w:webHidden/>
                <w:rtl/>
              </w:rPr>
            </w:r>
            <w:r w:rsidR="001171C7">
              <w:rPr>
                <w:webHidden/>
                <w:rtl/>
              </w:rPr>
              <w:fldChar w:fldCharType="separate"/>
            </w:r>
            <w:r w:rsidR="006A6D13">
              <w:rPr>
                <w:webHidden/>
                <w:rtl/>
              </w:rPr>
              <w:t>311</w:t>
            </w:r>
            <w:r w:rsidR="001171C7">
              <w:rPr>
                <w:webHidden/>
                <w:rtl/>
              </w:rPr>
              <w:fldChar w:fldCharType="end"/>
            </w:r>
          </w:hyperlink>
        </w:p>
        <w:p w:rsidR="001171C7" w:rsidRDefault="007978F4">
          <w:pPr>
            <w:pStyle w:val="TOC1"/>
            <w:rPr>
              <w:rFonts w:eastAsiaTheme="minorEastAsia" w:cstheme="minorBidi"/>
              <w:b w:val="0"/>
              <w:bCs w:val="0"/>
              <w:rtl/>
            </w:rPr>
          </w:pPr>
          <w:hyperlink w:anchor="_Toc496175563" w:history="1">
            <w:r w:rsidR="001171C7" w:rsidRPr="00D35CC1">
              <w:rPr>
                <w:rStyle w:val="Hyperlink"/>
                <w:rFonts w:cs="Guttman Drogolin"/>
                <w:rtl/>
              </w:rPr>
              <w:t>קושיא בדעת הש"ך ס"ק כ"א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Toc496175563 \h</w:instrText>
            </w:r>
            <w:r w:rsidR="001171C7">
              <w:rPr>
                <w:webHidden/>
                <w:rtl/>
              </w:rPr>
              <w:instrText xml:space="preserve"> </w:instrText>
            </w:r>
            <w:r w:rsidR="001171C7">
              <w:rPr>
                <w:webHidden/>
                <w:rtl/>
              </w:rPr>
            </w:r>
            <w:r w:rsidR="001171C7">
              <w:rPr>
                <w:webHidden/>
                <w:rtl/>
              </w:rPr>
              <w:fldChar w:fldCharType="separate"/>
            </w:r>
            <w:r w:rsidR="006A6D13">
              <w:rPr>
                <w:webHidden/>
                <w:rtl/>
              </w:rPr>
              <w:t>311</w:t>
            </w:r>
            <w:r w:rsidR="001171C7">
              <w:rPr>
                <w:webHidden/>
                <w:rtl/>
              </w:rPr>
              <w:fldChar w:fldCharType="end"/>
            </w:r>
          </w:hyperlink>
        </w:p>
        <w:p w:rsidR="001171C7" w:rsidRDefault="007978F4">
          <w:pPr>
            <w:pStyle w:val="TOC1"/>
            <w:rPr>
              <w:rFonts w:eastAsiaTheme="minorEastAsia" w:cstheme="minorBidi"/>
              <w:b w:val="0"/>
              <w:bCs w:val="0"/>
              <w:rtl/>
            </w:rPr>
          </w:pPr>
          <w:hyperlink w:anchor="_Toc496175564" w:history="1">
            <w:r w:rsidR="001171C7" w:rsidRPr="00D35CC1">
              <w:rPr>
                <w:rStyle w:val="Hyperlink"/>
                <w:rFonts w:cs="Guttman Drogolin"/>
                <w:rtl/>
              </w:rPr>
              <w:t>דברים דעבידי לטעמא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Toc496175564 \h</w:instrText>
            </w:r>
            <w:r w:rsidR="001171C7">
              <w:rPr>
                <w:webHidden/>
                <w:rtl/>
              </w:rPr>
              <w:instrText xml:space="preserve"> </w:instrText>
            </w:r>
            <w:r w:rsidR="001171C7">
              <w:rPr>
                <w:webHidden/>
                <w:rtl/>
              </w:rPr>
            </w:r>
            <w:r w:rsidR="001171C7">
              <w:rPr>
                <w:webHidden/>
                <w:rtl/>
              </w:rPr>
              <w:fldChar w:fldCharType="separate"/>
            </w:r>
            <w:r w:rsidR="006A6D13">
              <w:rPr>
                <w:webHidden/>
                <w:rtl/>
              </w:rPr>
              <w:t>312</w:t>
            </w:r>
            <w:r w:rsidR="001171C7">
              <w:rPr>
                <w:webHidden/>
                <w:rtl/>
              </w:rPr>
              <w:fldChar w:fldCharType="end"/>
            </w:r>
          </w:hyperlink>
        </w:p>
        <w:p w:rsidR="001171C7" w:rsidRDefault="007978F4">
          <w:pPr>
            <w:pStyle w:val="TOC1"/>
            <w:rPr>
              <w:rFonts w:eastAsiaTheme="minorEastAsia" w:cstheme="minorBidi"/>
              <w:b w:val="0"/>
              <w:bCs w:val="0"/>
              <w:rtl/>
            </w:rPr>
          </w:pPr>
          <w:hyperlink w:anchor="_Toc496175565" w:history="1">
            <w:r w:rsidR="001171C7" w:rsidRPr="00D35CC1">
              <w:rPr>
                <w:rStyle w:val="Hyperlink"/>
                <w:rFonts w:cs="Guttman Drogolin"/>
                <w:rtl/>
              </w:rPr>
              <w:t>ביטול תבלין בתבלין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Toc496175565 \h</w:instrText>
            </w:r>
            <w:r w:rsidR="001171C7">
              <w:rPr>
                <w:webHidden/>
                <w:rtl/>
              </w:rPr>
              <w:instrText xml:space="preserve"> </w:instrText>
            </w:r>
            <w:r w:rsidR="001171C7">
              <w:rPr>
                <w:webHidden/>
                <w:rtl/>
              </w:rPr>
            </w:r>
            <w:r w:rsidR="001171C7">
              <w:rPr>
                <w:webHidden/>
                <w:rtl/>
              </w:rPr>
              <w:fldChar w:fldCharType="separate"/>
            </w:r>
            <w:r w:rsidR="006A6D13">
              <w:rPr>
                <w:webHidden/>
                <w:rtl/>
              </w:rPr>
              <w:t>312</w:t>
            </w:r>
            <w:r w:rsidR="001171C7">
              <w:rPr>
                <w:webHidden/>
                <w:rtl/>
              </w:rPr>
              <w:fldChar w:fldCharType="end"/>
            </w:r>
          </w:hyperlink>
        </w:p>
        <w:p w:rsidR="001171C7" w:rsidRDefault="007978F4">
          <w:pPr>
            <w:pStyle w:val="TOC1"/>
            <w:rPr>
              <w:rFonts w:eastAsiaTheme="minorEastAsia" w:cstheme="minorBidi"/>
              <w:b w:val="0"/>
              <w:bCs w:val="0"/>
              <w:rtl/>
            </w:rPr>
          </w:pPr>
          <w:hyperlink w:anchor="_Toc496175566" w:history="1">
            <w:r w:rsidR="001171C7" w:rsidRPr="00D35CC1">
              <w:rPr>
                <w:rStyle w:val="Hyperlink"/>
                <w:rFonts w:cs="Guttman Drogolin"/>
                <w:rtl/>
              </w:rPr>
              <w:t>האם איסורים מבטלין זא"ז</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Toc496175566 \h</w:instrText>
            </w:r>
            <w:r w:rsidR="001171C7">
              <w:rPr>
                <w:webHidden/>
                <w:rtl/>
              </w:rPr>
              <w:instrText xml:space="preserve"> </w:instrText>
            </w:r>
            <w:r w:rsidR="001171C7">
              <w:rPr>
                <w:webHidden/>
                <w:rtl/>
              </w:rPr>
            </w:r>
            <w:r w:rsidR="001171C7">
              <w:rPr>
                <w:webHidden/>
                <w:rtl/>
              </w:rPr>
              <w:fldChar w:fldCharType="separate"/>
            </w:r>
            <w:r w:rsidR="006A6D13">
              <w:rPr>
                <w:webHidden/>
                <w:rtl/>
              </w:rPr>
              <w:t>313</w:t>
            </w:r>
            <w:r w:rsidR="001171C7">
              <w:rPr>
                <w:webHidden/>
                <w:rtl/>
              </w:rPr>
              <w:fldChar w:fldCharType="end"/>
            </w:r>
          </w:hyperlink>
        </w:p>
        <w:p w:rsidR="00B8771A" w:rsidRPr="00D639A4" w:rsidRDefault="00B8771A" w:rsidP="00B8771A">
          <w:pPr>
            <w:pStyle w:val="TOC1"/>
            <w:spacing w:before="240"/>
            <w:rPr>
              <w:rStyle w:val="Hyperlink"/>
              <w:color w:val="auto"/>
              <w:sz w:val="28"/>
              <w:szCs w:val="28"/>
              <w:rtl/>
            </w:rPr>
          </w:pPr>
          <w:r>
            <w:rPr>
              <w:rStyle w:val="Hyperlink"/>
              <w:rFonts w:hint="cs"/>
              <w:color w:val="auto"/>
              <w:sz w:val="28"/>
              <w:szCs w:val="28"/>
              <w:rtl/>
            </w:rPr>
            <w:t>יורה דעה סי' צ"ט</w:t>
          </w:r>
        </w:p>
        <w:p w:rsidR="001171C7" w:rsidRDefault="007978F4">
          <w:pPr>
            <w:pStyle w:val="TOC1"/>
            <w:rPr>
              <w:rFonts w:eastAsiaTheme="minorEastAsia" w:cstheme="minorBidi"/>
              <w:b w:val="0"/>
              <w:bCs w:val="0"/>
              <w:rtl/>
            </w:rPr>
          </w:pPr>
          <w:hyperlink w:anchor="_Toc496175567" w:history="1">
            <w:r w:rsidR="001171C7" w:rsidRPr="00D35CC1">
              <w:rPr>
                <w:rStyle w:val="Hyperlink"/>
                <w:rFonts w:cs="Guttman Drogolin"/>
                <w:rtl/>
              </w:rPr>
              <w:t>בדין צירוף עצמות וקדירה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Toc496175567 \h</w:instrText>
            </w:r>
            <w:r w:rsidR="001171C7">
              <w:rPr>
                <w:webHidden/>
                <w:rtl/>
              </w:rPr>
              <w:instrText xml:space="preserve"> </w:instrText>
            </w:r>
            <w:r w:rsidR="001171C7">
              <w:rPr>
                <w:webHidden/>
                <w:rtl/>
              </w:rPr>
            </w:r>
            <w:r w:rsidR="001171C7">
              <w:rPr>
                <w:webHidden/>
                <w:rtl/>
              </w:rPr>
              <w:fldChar w:fldCharType="separate"/>
            </w:r>
            <w:r w:rsidR="006A6D13">
              <w:rPr>
                <w:webHidden/>
                <w:rtl/>
              </w:rPr>
              <w:t>315</w:t>
            </w:r>
            <w:r w:rsidR="001171C7">
              <w:rPr>
                <w:webHidden/>
                <w:rtl/>
              </w:rPr>
              <w:fldChar w:fldCharType="end"/>
            </w:r>
          </w:hyperlink>
        </w:p>
        <w:p w:rsidR="001171C7" w:rsidRDefault="007978F4">
          <w:pPr>
            <w:pStyle w:val="TOC1"/>
            <w:rPr>
              <w:rFonts w:eastAsiaTheme="minorEastAsia" w:cstheme="minorBidi"/>
              <w:b w:val="0"/>
              <w:bCs w:val="0"/>
              <w:rtl/>
            </w:rPr>
          </w:pPr>
          <w:hyperlink w:anchor="_Toc496175568" w:history="1">
            <w:r w:rsidR="001171C7" w:rsidRPr="00D35CC1">
              <w:rPr>
                <w:rStyle w:val="Hyperlink"/>
                <w:rFonts w:cs="Guttman Drogolin"/>
                <w:rtl/>
              </w:rPr>
              <w:t>עצמות שנתבשלו עם איסור או עם היתר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Toc496175568 \h</w:instrText>
            </w:r>
            <w:r w:rsidR="001171C7">
              <w:rPr>
                <w:webHidden/>
                <w:rtl/>
              </w:rPr>
              <w:instrText xml:space="preserve"> </w:instrText>
            </w:r>
            <w:r w:rsidR="001171C7">
              <w:rPr>
                <w:webHidden/>
                <w:rtl/>
              </w:rPr>
            </w:r>
            <w:r w:rsidR="001171C7">
              <w:rPr>
                <w:webHidden/>
                <w:rtl/>
              </w:rPr>
              <w:fldChar w:fldCharType="separate"/>
            </w:r>
            <w:r w:rsidR="006A6D13">
              <w:rPr>
                <w:webHidden/>
                <w:rtl/>
              </w:rPr>
              <w:t>315</w:t>
            </w:r>
            <w:r w:rsidR="001171C7">
              <w:rPr>
                <w:webHidden/>
                <w:rtl/>
              </w:rPr>
              <w:fldChar w:fldCharType="end"/>
            </w:r>
          </w:hyperlink>
        </w:p>
        <w:p w:rsidR="001171C7" w:rsidRDefault="007978F4">
          <w:pPr>
            <w:pStyle w:val="TOC1"/>
            <w:rPr>
              <w:rFonts w:eastAsiaTheme="minorEastAsia" w:cstheme="minorBidi"/>
              <w:b w:val="0"/>
              <w:bCs w:val="0"/>
              <w:rtl/>
            </w:rPr>
          </w:pPr>
          <w:hyperlink w:anchor="_Toc496175569" w:history="1">
            <w:r w:rsidR="001171C7" w:rsidRPr="00D35CC1">
              <w:rPr>
                <w:rStyle w:val="Hyperlink"/>
                <w:rFonts w:cs="Guttman Drogolin"/>
                <w:rtl/>
              </w:rPr>
              <w:t>למה אין החפצא דאיסורא עצמה עולה לחשבון ששים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Toc496175569 \h</w:instrText>
            </w:r>
            <w:r w:rsidR="001171C7">
              <w:rPr>
                <w:webHidden/>
                <w:rtl/>
              </w:rPr>
              <w:instrText xml:space="preserve"> </w:instrText>
            </w:r>
            <w:r w:rsidR="001171C7">
              <w:rPr>
                <w:webHidden/>
                <w:rtl/>
              </w:rPr>
            </w:r>
            <w:r w:rsidR="001171C7">
              <w:rPr>
                <w:webHidden/>
                <w:rtl/>
              </w:rPr>
              <w:fldChar w:fldCharType="separate"/>
            </w:r>
            <w:r w:rsidR="006A6D13">
              <w:rPr>
                <w:webHidden/>
                <w:rtl/>
              </w:rPr>
              <w:t>316</w:t>
            </w:r>
            <w:r w:rsidR="001171C7">
              <w:rPr>
                <w:webHidden/>
                <w:rtl/>
              </w:rPr>
              <w:fldChar w:fldCharType="end"/>
            </w:r>
          </w:hyperlink>
        </w:p>
        <w:p w:rsidR="001171C7" w:rsidRDefault="007978F4">
          <w:pPr>
            <w:pStyle w:val="TOC1"/>
            <w:rPr>
              <w:rFonts w:eastAsiaTheme="minorEastAsia" w:cstheme="minorBidi"/>
              <w:b w:val="0"/>
              <w:bCs w:val="0"/>
              <w:rtl/>
            </w:rPr>
          </w:pPr>
          <w:hyperlink w:anchor="_Toc496175570" w:history="1">
            <w:r w:rsidR="001171C7" w:rsidRPr="00D35CC1">
              <w:rPr>
                <w:rStyle w:val="Hyperlink"/>
                <w:rFonts w:cs="Guttman Drogolin"/>
                <w:rtl/>
              </w:rPr>
              <w:t>משערים במאי דבלע קדרה ורע"א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Toc496175570 \h</w:instrText>
            </w:r>
            <w:r w:rsidR="001171C7">
              <w:rPr>
                <w:webHidden/>
                <w:rtl/>
              </w:rPr>
              <w:instrText xml:space="preserve"> </w:instrText>
            </w:r>
            <w:r w:rsidR="001171C7">
              <w:rPr>
                <w:webHidden/>
                <w:rtl/>
              </w:rPr>
            </w:r>
            <w:r w:rsidR="001171C7">
              <w:rPr>
                <w:webHidden/>
                <w:rtl/>
              </w:rPr>
              <w:fldChar w:fldCharType="separate"/>
            </w:r>
            <w:r w:rsidR="006A6D13">
              <w:rPr>
                <w:webHidden/>
                <w:rtl/>
              </w:rPr>
              <w:t>316</w:t>
            </w:r>
            <w:r w:rsidR="001171C7">
              <w:rPr>
                <w:webHidden/>
                <w:rtl/>
              </w:rPr>
              <w:fldChar w:fldCharType="end"/>
            </w:r>
          </w:hyperlink>
        </w:p>
        <w:p w:rsidR="001171C7" w:rsidRDefault="007978F4">
          <w:pPr>
            <w:pStyle w:val="TOC1"/>
            <w:rPr>
              <w:rFonts w:eastAsiaTheme="minorEastAsia" w:cstheme="minorBidi"/>
              <w:b w:val="0"/>
              <w:bCs w:val="0"/>
              <w:rtl/>
            </w:rPr>
          </w:pPr>
          <w:hyperlink w:anchor="_Toc496175571" w:history="1">
            <w:r w:rsidR="001171C7" w:rsidRPr="00D35CC1">
              <w:rPr>
                <w:rStyle w:val="Hyperlink"/>
                <w:rFonts w:cs="Guttman Drogolin"/>
                <w:rtl/>
              </w:rPr>
              <w:t>אם הדין דאין מבטלין איסור לכתחילה הוא דין מדאורייתא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Toc496175571 \h</w:instrText>
            </w:r>
            <w:r w:rsidR="001171C7">
              <w:rPr>
                <w:webHidden/>
                <w:rtl/>
              </w:rPr>
              <w:instrText xml:space="preserve"> </w:instrText>
            </w:r>
            <w:r w:rsidR="001171C7">
              <w:rPr>
                <w:webHidden/>
                <w:rtl/>
              </w:rPr>
            </w:r>
            <w:r w:rsidR="001171C7">
              <w:rPr>
                <w:webHidden/>
                <w:rtl/>
              </w:rPr>
              <w:fldChar w:fldCharType="separate"/>
            </w:r>
            <w:r w:rsidR="006A6D13">
              <w:rPr>
                <w:webHidden/>
                <w:rtl/>
              </w:rPr>
              <w:t>317</w:t>
            </w:r>
            <w:r w:rsidR="001171C7">
              <w:rPr>
                <w:webHidden/>
                <w:rtl/>
              </w:rPr>
              <w:fldChar w:fldCharType="end"/>
            </w:r>
          </w:hyperlink>
        </w:p>
        <w:p w:rsidR="001171C7" w:rsidRDefault="007978F4">
          <w:pPr>
            <w:pStyle w:val="TOC1"/>
            <w:rPr>
              <w:rFonts w:eastAsiaTheme="minorEastAsia" w:cstheme="minorBidi"/>
              <w:b w:val="0"/>
              <w:bCs w:val="0"/>
              <w:rtl/>
            </w:rPr>
          </w:pPr>
          <w:hyperlink w:anchor="_Toc496175572" w:history="1">
            <w:r w:rsidR="001171C7" w:rsidRPr="00D35CC1">
              <w:rPr>
                <w:rStyle w:val="Hyperlink"/>
                <w:rFonts w:cs="Guttman Drogolin"/>
                <w:rtl/>
              </w:rPr>
              <w:t>גדר הדין דאין מבטלין איסור לכתחילה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Toc496175572 \h</w:instrText>
            </w:r>
            <w:r w:rsidR="001171C7">
              <w:rPr>
                <w:webHidden/>
                <w:rtl/>
              </w:rPr>
              <w:instrText xml:space="preserve"> </w:instrText>
            </w:r>
            <w:r w:rsidR="001171C7">
              <w:rPr>
                <w:webHidden/>
                <w:rtl/>
              </w:rPr>
            </w:r>
            <w:r w:rsidR="001171C7">
              <w:rPr>
                <w:webHidden/>
                <w:rtl/>
              </w:rPr>
              <w:fldChar w:fldCharType="separate"/>
            </w:r>
            <w:r w:rsidR="006A6D13">
              <w:rPr>
                <w:webHidden/>
                <w:rtl/>
              </w:rPr>
              <w:t>317</w:t>
            </w:r>
            <w:r w:rsidR="001171C7">
              <w:rPr>
                <w:webHidden/>
                <w:rtl/>
              </w:rPr>
              <w:fldChar w:fldCharType="end"/>
            </w:r>
          </w:hyperlink>
        </w:p>
        <w:p w:rsidR="001171C7" w:rsidRDefault="007978F4">
          <w:pPr>
            <w:pStyle w:val="TOC1"/>
            <w:rPr>
              <w:rFonts w:eastAsiaTheme="minorEastAsia" w:cstheme="minorBidi"/>
              <w:b w:val="0"/>
              <w:bCs w:val="0"/>
              <w:rtl/>
            </w:rPr>
          </w:pPr>
          <w:hyperlink w:anchor="_Toc496175573" w:history="1">
            <w:r w:rsidR="001171C7" w:rsidRPr="00D35CC1">
              <w:rPr>
                <w:rStyle w:val="Hyperlink"/>
                <w:rFonts w:cs="Guttman Drogolin"/>
                <w:rtl/>
              </w:rPr>
              <w:t>האם מבטלין איסור דרבנן לכתחילה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Toc496175573 \h</w:instrText>
            </w:r>
            <w:r w:rsidR="001171C7">
              <w:rPr>
                <w:webHidden/>
                <w:rtl/>
              </w:rPr>
              <w:instrText xml:space="preserve"> </w:instrText>
            </w:r>
            <w:r w:rsidR="001171C7">
              <w:rPr>
                <w:webHidden/>
                <w:rtl/>
              </w:rPr>
            </w:r>
            <w:r w:rsidR="001171C7">
              <w:rPr>
                <w:webHidden/>
                <w:rtl/>
              </w:rPr>
              <w:fldChar w:fldCharType="separate"/>
            </w:r>
            <w:r w:rsidR="006A6D13">
              <w:rPr>
                <w:webHidden/>
                <w:rtl/>
              </w:rPr>
              <w:t>319</w:t>
            </w:r>
            <w:r w:rsidR="001171C7">
              <w:rPr>
                <w:webHidden/>
                <w:rtl/>
              </w:rPr>
              <w:fldChar w:fldCharType="end"/>
            </w:r>
          </w:hyperlink>
        </w:p>
        <w:p w:rsidR="001171C7" w:rsidRDefault="007978F4">
          <w:pPr>
            <w:pStyle w:val="TOC1"/>
            <w:rPr>
              <w:rFonts w:eastAsiaTheme="minorEastAsia" w:cstheme="minorBidi"/>
              <w:b w:val="0"/>
              <w:bCs w:val="0"/>
              <w:rtl/>
            </w:rPr>
          </w:pPr>
          <w:hyperlink w:anchor="_Toc496175574" w:history="1">
            <w:r w:rsidR="001171C7" w:rsidRPr="00D35CC1">
              <w:rPr>
                <w:rStyle w:val="Hyperlink"/>
                <w:rFonts w:cs="Guttman Drogolin"/>
                <w:rtl/>
              </w:rPr>
              <w:t>ביטול איסור ע"י נכרי, ולתועלת ישראל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Toc496175574 \h</w:instrText>
            </w:r>
            <w:r w:rsidR="001171C7">
              <w:rPr>
                <w:webHidden/>
                <w:rtl/>
              </w:rPr>
              <w:instrText xml:space="preserve"> </w:instrText>
            </w:r>
            <w:r w:rsidR="001171C7">
              <w:rPr>
                <w:webHidden/>
                <w:rtl/>
              </w:rPr>
            </w:r>
            <w:r w:rsidR="001171C7">
              <w:rPr>
                <w:webHidden/>
                <w:rtl/>
              </w:rPr>
              <w:fldChar w:fldCharType="separate"/>
            </w:r>
            <w:r w:rsidR="006A6D13">
              <w:rPr>
                <w:webHidden/>
                <w:rtl/>
              </w:rPr>
              <w:t>321</w:t>
            </w:r>
            <w:r w:rsidR="001171C7">
              <w:rPr>
                <w:webHidden/>
                <w:rtl/>
              </w:rPr>
              <w:fldChar w:fldCharType="end"/>
            </w:r>
          </w:hyperlink>
        </w:p>
        <w:p w:rsidR="001171C7" w:rsidRDefault="007978F4">
          <w:pPr>
            <w:pStyle w:val="TOC1"/>
            <w:rPr>
              <w:rFonts w:eastAsiaTheme="minorEastAsia" w:cstheme="minorBidi"/>
              <w:b w:val="0"/>
              <w:bCs w:val="0"/>
              <w:rtl/>
            </w:rPr>
          </w:pPr>
          <w:hyperlink w:anchor="_Toc496175575" w:history="1">
            <w:r w:rsidR="001171C7" w:rsidRPr="00D35CC1">
              <w:rPr>
                <w:rStyle w:val="Hyperlink"/>
                <w:rFonts w:cs="Guttman Drogolin"/>
                <w:rtl/>
              </w:rPr>
              <w:t>בדין אינו מכוין לבטל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Toc496175575 \h</w:instrText>
            </w:r>
            <w:r w:rsidR="001171C7">
              <w:rPr>
                <w:webHidden/>
                <w:rtl/>
              </w:rPr>
              <w:instrText xml:space="preserve"> </w:instrText>
            </w:r>
            <w:r w:rsidR="001171C7">
              <w:rPr>
                <w:webHidden/>
                <w:rtl/>
              </w:rPr>
            </w:r>
            <w:r w:rsidR="001171C7">
              <w:rPr>
                <w:webHidden/>
                <w:rtl/>
              </w:rPr>
              <w:fldChar w:fldCharType="separate"/>
            </w:r>
            <w:r w:rsidR="006A6D13">
              <w:rPr>
                <w:webHidden/>
                <w:rtl/>
              </w:rPr>
              <w:t>321</w:t>
            </w:r>
            <w:r w:rsidR="001171C7">
              <w:rPr>
                <w:webHidden/>
                <w:rtl/>
              </w:rPr>
              <w:fldChar w:fldCharType="end"/>
            </w:r>
          </w:hyperlink>
        </w:p>
        <w:p w:rsidR="001171C7" w:rsidRDefault="007978F4">
          <w:pPr>
            <w:pStyle w:val="TOC1"/>
            <w:rPr>
              <w:rFonts w:eastAsiaTheme="minorEastAsia" w:cstheme="minorBidi"/>
              <w:b w:val="0"/>
              <w:bCs w:val="0"/>
              <w:rtl/>
            </w:rPr>
          </w:pPr>
          <w:hyperlink w:anchor="_Toc496175576" w:history="1">
            <w:r w:rsidR="001171C7" w:rsidRPr="00D35CC1">
              <w:rPr>
                <w:rStyle w:val="Hyperlink"/>
                <w:rFonts w:cs="Guttman Drogolin"/>
                <w:rtl/>
              </w:rPr>
              <w:t>כמה נידונים בהיתירא דאין כוונתו לבטל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Toc496175576 \h</w:instrText>
            </w:r>
            <w:r w:rsidR="001171C7">
              <w:rPr>
                <w:webHidden/>
                <w:rtl/>
              </w:rPr>
              <w:instrText xml:space="preserve"> </w:instrText>
            </w:r>
            <w:r w:rsidR="001171C7">
              <w:rPr>
                <w:webHidden/>
                <w:rtl/>
              </w:rPr>
            </w:r>
            <w:r w:rsidR="001171C7">
              <w:rPr>
                <w:webHidden/>
                <w:rtl/>
              </w:rPr>
              <w:fldChar w:fldCharType="separate"/>
            </w:r>
            <w:r w:rsidR="006A6D13">
              <w:rPr>
                <w:webHidden/>
                <w:rtl/>
              </w:rPr>
              <w:t>323</w:t>
            </w:r>
            <w:r w:rsidR="001171C7">
              <w:rPr>
                <w:webHidden/>
                <w:rtl/>
              </w:rPr>
              <w:fldChar w:fldCharType="end"/>
            </w:r>
          </w:hyperlink>
        </w:p>
        <w:p w:rsidR="001171C7" w:rsidRDefault="007978F4">
          <w:pPr>
            <w:pStyle w:val="TOC1"/>
            <w:rPr>
              <w:rFonts w:eastAsiaTheme="minorEastAsia" w:cstheme="minorBidi"/>
              <w:b w:val="0"/>
              <w:bCs w:val="0"/>
              <w:rtl/>
            </w:rPr>
          </w:pPr>
          <w:hyperlink w:anchor="_Toc496175577" w:history="1">
            <w:r w:rsidR="001171C7" w:rsidRPr="00D35CC1">
              <w:rPr>
                <w:rStyle w:val="Hyperlink"/>
                <w:rFonts w:cs="Guttman Drogolin"/>
                <w:rtl/>
              </w:rPr>
              <w:t>עוד נקודה בדין חשבתי שמותר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Toc496175577 \h</w:instrText>
            </w:r>
            <w:r w:rsidR="001171C7">
              <w:rPr>
                <w:webHidden/>
                <w:rtl/>
              </w:rPr>
              <w:instrText xml:space="preserve"> </w:instrText>
            </w:r>
            <w:r w:rsidR="001171C7">
              <w:rPr>
                <w:webHidden/>
                <w:rtl/>
              </w:rPr>
            </w:r>
            <w:r w:rsidR="001171C7">
              <w:rPr>
                <w:webHidden/>
                <w:rtl/>
              </w:rPr>
              <w:fldChar w:fldCharType="separate"/>
            </w:r>
            <w:r w:rsidR="006A6D13">
              <w:rPr>
                <w:webHidden/>
                <w:rtl/>
              </w:rPr>
              <w:t>324</w:t>
            </w:r>
            <w:r w:rsidR="001171C7">
              <w:rPr>
                <w:webHidden/>
                <w:rtl/>
              </w:rPr>
              <w:fldChar w:fldCharType="end"/>
            </w:r>
          </w:hyperlink>
        </w:p>
        <w:p w:rsidR="001171C7" w:rsidRDefault="007978F4">
          <w:pPr>
            <w:pStyle w:val="TOC1"/>
            <w:rPr>
              <w:rFonts w:eastAsiaTheme="minorEastAsia" w:cstheme="minorBidi"/>
              <w:b w:val="0"/>
              <w:bCs w:val="0"/>
              <w:rtl/>
            </w:rPr>
          </w:pPr>
          <w:hyperlink w:anchor="_Toc496175578" w:history="1">
            <w:r w:rsidR="001171C7" w:rsidRPr="00D35CC1">
              <w:rPr>
                <w:rStyle w:val="Hyperlink"/>
                <w:rFonts w:cs="Guttman Drogolin"/>
                <w:rtl/>
              </w:rPr>
              <w:t>דברי הט"ז ס"ק י' בשם רש"ל בקנס למי שנתבטל בשבילו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Toc496175578 \h</w:instrText>
            </w:r>
            <w:r w:rsidR="001171C7">
              <w:rPr>
                <w:webHidden/>
                <w:rtl/>
              </w:rPr>
              <w:instrText xml:space="preserve"> </w:instrText>
            </w:r>
            <w:r w:rsidR="001171C7">
              <w:rPr>
                <w:webHidden/>
                <w:rtl/>
              </w:rPr>
            </w:r>
            <w:r w:rsidR="001171C7">
              <w:rPr>
                <w:webHidden/>
                <w:rtl/>
              </w:rPr>
              <w:fldChar w:fldCharType="separate"/>
            </w:r>
            <w:r w:rsidR="006A6D13">
              <w:rPr>
                <w:webHidden/>
                <w:rtl/>
              </w:rPr>
              <w:t>325</w:t>
            </w:r>
            <w:r w:rsidR="001171C7">
              <w:rPr>
                <w:webHidden/>
                <w:rtl/>
              </w:rPr>
              <w:fldChar w:fldCharType="end"/>
            </w:r>
          </w:hyperlink>
        </w:p>
        <w:p w:rsidR="001171C7" w:rsidRDefault="007978F4">
          <w:pPr>
            <w:pStyle w:val="TOC1"/>
            <w:rPr>
              <w:rFonts w:eastAsiaTheme="minorEastAsia" w:cstheme="minorBidi"/>
              <w:b w:val="0"/>
              <w:bCs w:val="0"/>
              <w:rtl/>
            </w:rPr>
          </w:pPr>
          <w:hyperlink w:anchor="_Toc496175579" w:history="1">
            <w:r w:rsidR="001171C7" w:rsidRPr="00D35CC1">
              <w:rPr>
                <w:rStyle w:val="Hyperlink"/>
                <w:rFonts w:cs="Guttman Drogolin"/>
                <w:rtl/>
              </w:rPr>
              <w:t>ביטול איסור לכחתילה באיסורי הנאה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Toc496175579 \h</w:instrText>
            </w:r>
            <w:r w:rsidR="001171C7">
              <w:rPr>
                <w:webHidden/>
                <w:rtl/>
              </w:rPr>
              <w:instrText xml:space="preserve"> </w:instrText>
            </w:r>
            <w:r w:rsidR="001171C7">
              <w:rPr>
                <w:webHidden/>
                <w:rtl/>
              </w:rPr>
            </w:r>
            <w:r w:rsidR="001171C7">
              <w:rPr>
                <w:webHidden/>
                <w:rtl/>
              </w:rPr>
              <w:fldChar w:fldCharType="separate"/>
            </w:r>
            <w:r w:rsidR="006A6D13">
              <w:rPr>
                <w:webHidden/>
                <w:rtl/>
              </w:rPr>
              <w:t>325</w:t>
            </w:r>
            <w:r w:rsidR="001171C7">
              <w:rPr>
                <w:webHidden/>
                <w:rtl/>
              </w:rPr>
              <w:fldChar w:fldCharType="end"/>
            </w:r>
          </w:hyperlink>
        </w:p>
        <w:p w:rsidR="001171C7" w:rsidRDefault="007978F4">
          <w:pPr>
            <w:pStyle w:val="TOC1"/>
            <w:rPr>
              <w:rFonts w:eastAsiaTheme="minorEastAsia" w:cstheme="minorBidi"/>
              <w:b w:val="0"/>
              <w:bCs w:val="0"/>
              <w:rtl/>
            </w:rPr>
          </w:pPr>
          <w:hyperlink w:anchor="_Toc496175580" w:history="1">
            <w:r w:rsidR="001171C7" w:rsidRPr="00D35CC1">
              <w:rPr>
                <w:rStyle w:val="Hyperlink"/>
                <w:rFonts w:cs="Guttman Drogolin"/>
                <w:rtl/>
              </w:rPr>
              <w:t>בדברי הרמב"ם בביטול איסור דרבנן לכתחילה, ובדין ביטול בשר בחלב לכתחילה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Toc496175580 \h</w:instrText>
            </w:r>
            <w:r w:rsidR="001171C7">
              <w:rPr>
                <w:webHidden/>
                <w:rtl/>
              </w:rPr>
              <w:instrText xml:space="preserve"> </w:instrText>
            </w:r>
            <w:r w:rsidR="001171C7">
              <w:rPr>
                <w:webHidden/>
                <w:rtl/>
              </w:rPr>
            </w:r>
            <w:r w:rsidR="001171C7">
              <w:rPr>
                <w:webHidden/>
                <w:rtl/>
              </w:rPr>
              <w:fldChar w:fldCharType="separate"/>
            </w:r>
            <w:r w:rsidR="006A6D13">
              <w:rPr>
                <w:webHidden/>
                <w:rtl/>
              </w:rPr>
              <w:t>325</w:t>
            </w:r>
            <w:r w:rsidR="001171C7">
              <w:rPr>
                <w:webHidden/>
                <w:rtl/>
              </w:rPr>
              <w:fldChar w:fldCharType="end"/>
            </w:r>
          </w:hyperlink>
        </w:p>
        <w:p w:rsidR="001171C7" w:rsidRDefault="007978F4">
          <w:pPr>
            <w:pStyle w:val="TOC1"/>
            <w:rPr>
              <w:rFonts w:eastAsiaTheme="minorEastAsia" w:cstheme="minorBidi"/>
              <w:b w:val="0"/>
              <w:bCs w:val="0"/>
              <w:rtl/>
            </w:rPr>
          </w:pPr>
          <w:hyperlink w:anchor="_Toc496175581" w:history="1">
            <w:r w:rsidR="001171C7" w:rsidRPr="00D35CC1">
              <w:rPr>
                <w:rStyle w:val="Hyperlink"/>
                <w:rFonts w:cs="Guttman Drogolin"/>
                <w:rtl/>
              </w:rPr>
              <w:t>הערה בדין דאין מבטלין איסור לכתחילה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Toc496175581 \h</w:instrText>
            </w:r>
            <w:r w:rsidR="001171C7">
              <w:rPr>
                <w:webHidden/>
                <w:rtl/>
              </w:rPr>
              <w:instrText xml:space="preserve"> </w:instrText>
            </w:r>
            <w:r w:rsidR="001171C7">
              <w:rPr>
                <w:webHidden/>
                <w:rtl/>
              </w:rPr>
            </w:r>
            <w:r w:rsidR="001171C7">
              <w:rPr>
                <w:webHidden/>
                <w:rtl/>
              </w:rPr>
              <w:fldChar w:fldCharType="separate"/>
            </w:r>
            <w:r w:rsidR="006A6D13">
              <w:rPr>
                <w:webHidden/>
                <w:rtl/>
              </w:rPr>
              <w:t>327</w:t>
            </w:r>
            <w:r w:rsidR="001171C7">
              <w:rPr>
                <w:webHidden/>
                <w:rtl/>
              </w:rPr>
              <w:fldChar w:fldCharType="end"/>
            </w:r>
          </w:hyperlink>
        </w:p>
        <w:p w:rsidR="001171C7" w:rsidRDefault="007978F4">
          <w:pPr>
            <w:pStyle w:val="TOC1"/>
            <w:rPr>
              <w:rFonts w:eastAsiaTheme="minorEastAsia" w:cstheme="minorBidi"/>
              <w:b w:val="0"/>
              <w:bCs w:val="0"/>
              <w:rtl/>
            </w:rPr>
          </w:pPr>
          <w:hyperlink w:anchor="_Toc496175582" w:history="1">
            <w:r w:rsidR="001171C7" w:rsidRPr="00D35CC1">
              <w:rPr>
                <w:rStyle w:val="Hyperlink"/>
                <w:rFonts w:cs="Guttman Drogolin"/>
                <w:rtl/>
              </w:rPr>
              <w:t>בדין חוזר וניעור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Toc496175582 \h</w:instrText>
            </w:r>
            <w:r w:rsidR="001171C7">
              <w:rPr>
                <w:webHidden/>
                <w:rtl/>
              </w:rPr>
              <w:instrText xml:space="preserve"> </w:instrText>
            </w:r>
            <w:r w:rsidR="001171C7">
              <w:rPr>
                <w:webHidden/>
                <w:rtl/>
              </w:rPr>
            </w:r>
            <w:r w:rsidR="001171C7">
              <w:rPr>
                <w:webHidden/>
                <w:rtl/>
              </w:rPr>
              <w:fldChar w:fldCharType="separate"/>
            </w:r>
            <w:r w:rsidR="006A6D13">
              <w:rPr>
                <w:webHidden/>
                <w:rtl/>
              </w:rPr>
              <w:t>327</w:t>
            </w:r>
            <w:r w:rsidR="001171C7">
              <w:rPr>
                <w:webHidden/>
                <w:rtl/>
              </w:rPr>
              <w:fldChar w:fldCharType="end"/>
            </w:r>
          </w:hyperlink>
        </w:p>
        <w:p w:rsidR="001171C7" w:rsidRDefault="007978F4">
          <w:pPr>
            <w:pStyle w:val="TOC1"/>
            <w:rPr>
              <w:rFonts w:eastAsiaTheme="minorEastAsia" w:cstheme="minorBidi"/>
              <w:b w:val="0"/>
              <w:bCs w:val="0"/>
              <w:rtl/>
            </w:rPr>
          </w:pPr>
          <w:hyperlink w:anchor="_Toc496175583" w:history="1">
            <w:r w:rsidR="001171C7" w:rsidRPr="00D35CC1">
              <w:rPr>
                <w:rStyle w:val="Hyperlink"/>
                <w:rFonts w:cs="Guttman Drogolin"/>
                <w:rtl/>
              </w:rPr>
              <w:t>חוזר וניעור בביטול יבש ביבש מין במינו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Toc496175583 \h</w:instrText>
            </w:r>
            <w:r w:rsidR="001171C7">
              <w:rPr>
                <w:webHidden/>
                <w:rtl/>
              </w:rPr>
              <w:instrText xml:space="preserve"> </w:instrText>
            </w:r>
            <w:r w:rsidR="001171C7">
              <w:rPr>
                <w:webHidden/>
                <w:rtl/>
              </w:rPr>
            </w:r>
            <w:r w:rsidR="001171C7">
              <w:rPr>
                <w:webHidden/>
                <w:rtl/>
              </w:rPr>
              <w:fldChar w:fldCharType="separate"/>
            </w:r>
            <w:r w:rsidR="006A6D13">
              <w:rPr>
                <w:webHidden/>
                <w:rtl/>
              </w:rPr>
              <w:t>329</w:t>
            </w:r>
            <w:r w:rsidR="001171C7">
              <w:rPr>
                <w:webHidden/>
                <w:rtl/>
              </w:rPr>
              <w:fldChar w:fldCharType="end"/>
            </w:r>
          </w:hyperlink>
        </w:p>
        <w:p w:rsidR="001171C7" w:rsidRDefault="007978F4">
          <w:pPr>
            <w:pStyle w:val="TOC1"/>
            <w:rPr>
              <w:rFonts w:eastAsiaTheme="minorEastAsia" w:cstheme="minorBidi"/>
              <w:b w:val="0"/>
              <w:bCs w:val="0"/>
              <w:rtl/>
            </w:rPr>
          </w:pPr>
          <w:hyperlink w:anchor="_Toc496175584" w:history="1">
            <w:r w:rsidR="001171C7" w:rsidRPr="00D35CC1">
              <w:rPr>
                <w:rStyle w:val="Hyperlink"/>
                <w:rFonts w:cs="Guttman Drogolin"/>
                <w:rtl/>
              </w:rPr>
              <w:t>כלי שתשמישתו בשפע</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Toc496175584 \h</w:instrText>
            </w:r>
            <w:r w:rsidR="001171C7">
              <w:rPr>
                <w:webHidden/>
                <w:rtl/>
              </w:rPr>
              <w:instrText xml:space="preserve"> </w:instrText>
            </w:r>
            <w:r w:rsidR="001171C7">
              <w:rPr>
                <w:webHidden/>
                <w:rtl/>
              </w:rPr>
            </w:r>
            <w:r w:rsidR="001171C7">
              <w:rPr>
                <w:webHidden/>
                <w:rtl/>
              </w:rPr>
              <w:fldChar w:fldCharType="separate"/>
            </w:r>
            <w:r w:rsidR="006A6D13">
              <w:rPr>
                <w:webHidden/>
                <w:rtl/>
              </w:rPr>
              <w:t>329</w:t>
            </w:r>
            <w:r w:rsidR="001171C7">
              <w:rPr>
                <w:webHidden/>
                <w:rtl/>
              </w:rPr>
              <w:fldChar w:fldCharType="end"/>
            </w:r>
          </w:hyperlink>
        </w:p>
        <w:p w:rsidR="00B8771A" w:rsidRPr="00D639A4" w:rsidRDefault="00B8771A" w:rsidP="00B8771A">
          <w:pPr>
            <w:pStyle w:val="TOC1"/>
            <w:spacing w:before="240"/>
            <w:rPr>
              <w:rStyle w:val="Hyperlink"/>
              <w:color w:val="auto"/>
              <w:sz w:val="28"/>
              <w:szCs w:val="28"/>
              <w:rtl/>
            </w:rPr>
          </w:pPr>
          <w:r>
            <w:rPr>
              <w:rStyle w:val="Hyperlink"/>
              <w:rFonts w:hint="cs"/>
              <w:color w:val="auto"/>
              <w:sz w:val="28"/>
              <w:szCs w:val="28"/>
              <w:rtl/>
            </w:rPr>
            <w:t>יורה דעה סי' ק'</w:t>
          </w:r>
        </w:p>
        <w:p w:rsidR="001171C7" w:rsidRDefault="007978F4">
          <w:pPr>
            <w:pStyle w:val="TOC1"/>
            <w:rPr>
              <w:rFonts w:eastAsiaTheme="minorEastAsia" w:cstheme="minorBidi"/>
              <w:b w:val="0"/>
              <w:bCs w:val="0"/>
              <w:rtl/>
            </w:rPr>
          </w:pPr>
          <w:hyperlink w:anchor="_Toc496175585" w:history="1">
            <w:r w:rsidR="001171C7" w:rsidRPr="00D35CC1">
              <w:rPr>
                <w:rStyle w:val="Hyperlink"/>
                <w:rFonts w:cs="Guttman Drogolin"/>
                <w:rtl/>
              </w:rPr>
              <w:t>השיטות בברי'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Toc496175585 \h</w:instrText>
            </w:r>
            <w:r w:rsidR="001171C7">
              <w:rPr>
                <w:webHidden/>
                <w:rtl/>
              </w:rPr>
              <w:instrText xml:space="preserve"> </w:instrText>
            </w:r>
            <w:r w:rsidR="001171C7">
              <w:rPr>
                <w:webHidden/>
                <w:rtl/>
              </w:rPr>
            </w:r>
            <w:r w:rsidR="001171C7">
              <w:rPr>
                <w:webHidden/>
                <w:rtl/>
              </w:rPr>
              <w:fldChar w:fldCharType="separate"/>
            </w:r>
            <w:r w:rsidR="006A6D13">
              <w:rPr>
                <w:webHidden/>
                <w:rtl/>
              </w:rPr>
              <w:t>332</w:t>
            </w:r>
            <w:r w:rsidR="001171C7">
              <w:rPr>
                <w:webHidden/>
                <w:rtl/>
              </w:rPr>
              <w:fldChar w:fldCharType="end"/>
            </w:r>
          </w:hyperlink>
        </w:p>
        <w:p w:rsidR="001171C7" w:rsidRDefault="007978F4">
          <w:pPr>
            <w:pStyle w:val="TOC1"/>
            <w:rPr>
              <w:rFonts w:eastAsiaTheme="minorEastAsia" w:cstheme="minorBidi"/>
              <w:b w:val="0"/>
              <w:bCs w:val="0"/>
              <w:rtl/>
            </w:rPr>
          </w:pPr>
          <w:hyperlink w:anchor="_Toc496175586" w:history="1">
            <w:r w:rsidR="001171C7" w:rsidRPr="00D35CC1">
              <w:rPr>
                <w:rStyle w:val="Hyperlink"/>
                <w:rFonts w:cs="Guttman Drogolin"/>
                <w:rtl/>
              </w:rPr>
              <w:t>האם יש נפק"מ בין השיטות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Toc496175586 \h</w:instrText>
            </w:r>
            <w:r w:rsidR="001171C7">
              <w:rPr>
                <w:webHidden/>
                <w:rtl/>
              </w:rPr>
              <w:instrText xml:space="preserve"> </w:instrText>
            </w:r>
            <w:r w:rsidR="001171C7">
              <w:rPr>
                <w:webHidden/>
                <w:rtl/>
              </w:rPr>
            </w:r>
            <w:r w:rsidR="001171C7">
              <w:rPr>
                <w:webHidden/>
                <w:rtl/>
              </w:rPr>
              <w:fldChar w:fldCharType="separate"/>
            </w:r>
            <w:r w:rsidR="006A6D13">
              <w:rPr>
                <w:webHidden/>
                <w:rtl/>
              </w:rPr>
              <w:t>332</w:t>
            </w:r>
            <w:r w:rsidR="001171C7">
              <w:rPr>
                <w:webHidden/>
                <w:rtl/>
              </w:rPr>
              <w:fldChar w:fldCharType="end"/>
            </w:r>
          </w:hyperlink>
        </w:p>
        <w:p w:rsidR="001171C7" w:rsidRDefault="007978F4">
          <w:pPr>
            <w:pStyle w:val="TOC1"/>
            <w:rPr>
              <w:rFonts w:eastAsiaTheme="minorEastAsia" w:cstheme="minorBidi"/>
              <w:b w:val="0"/>
              <w:bCs w:val="0"/>
              <w:rtl/>
            </w:rPr>
          </w:pPr>
          <w:hyperlink w:anchor="_Toc496175587" w:history="1">
            <w:r w:rsidR="001171C7" w:rsidRPr="00D35CC1">
              <w:rPr>
                <w:rStyle w:val="Hyperlink"/>
                <w:rFonts w:cs="Guttman Drogolin"/>
                <w:rtl/>
              </w:rPr>
              <w:t>גיד שנימוח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Toc496175587 \h</w:instrText>
            </w:r>
            <w:r w:rsidR="001171C7">
              <w:rPr>
                <w:webHidden/>
                <w:rtl/>
              </w:rPr>
              <w:instrText xml:space="preserve"> </w:instrText>
            </w:r>
            <w:r w:rsidR="001171C7">
              <w:rPr>
                <w:webHidden/>
                <w:rtl/>
              </w:rPr>
            </w:r>
            <w:r w:rsidR="001171C7">
              <w:rPr>
                <w:webHidden/>
                <w:rtl/>
              </w:rPr>
              <w:fldChar w:fldCharType="separate"/>
            </w:r>
            <w:r w:rsidR="006A6D13">
              <w:rPr>
                <w:webHidden/>
                <w:rtl/>
              </w:rPr>
              <w:t>333</w:t>
            </w:r>
            <w:r w:rsidR="001171C7">
              <w:rPr>
                <w:webHidden/>
                <w:rtl/>
              </w:rPr>
              <w:fldChar w:fldCharType="end"/>
            </w:r>
          </w:hyperlink>
        </w:p>
        <w:p w:rsidR="001171C7" w:rsidRDefault="007978F4">
          <w:pPr>
            <w:pStyle w:val="TOC1"/>
            <w:rPr>
              <w:rFonts w:eastAsiaTheme="minorEastAsia" w:cstheme="minorBidi"/>
              <w:b w:val="0"/>
              <w:bCs w:val="0"/>
              <w:rtl/>
            </w:rPr>
          </w:pPr>
          <w:hyperlink w:anchor="_Toc496175588" w:history="1">
            <w:r w:rsidR="001171C7" w:rsidRPr="00D35CC1">
              <w:rPr>
                <w:rStyle w:val="Hyperlink"/>
                <w:rFonts w:cs="Guttman Drogolin"/>
                <w:rtl/>
              </w:rPr>
              <w:t>ג' תולעים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Toc496175588 \h</w:instrText>
            </w:r>
            <w:r w:rsidR="001171C7">
              <w:rPr>
                <w:webHidden/>
                <w:rtl/>
              </w:rPr>
              <w:instrText xml:space="preserve"> </w:instrText>
            </w:r>
            <w:r w:rsidR="001171C7">
              <w:rPr>
                <w:webHidden/>
                <w:rtl/>
              </w:rPr>
            </w:r>
            <w:r w:rsidR="001171C7">
              <w:rPr>
                <w:webHidden/>
                <w:rtl/>
              </w:rPr>
              <w:fldChar w:fldCharType="separate"/>
            </w:r>
            <w:r w:rsidR="006A6D13">
              <w:rPr>
                <w:webHidden/>
                <w:rtl/>
              </w:rPr>
              <w:t>334</w:t>
            </w:r>
            <w:r w:rsidR="001171C7">
              <w:rPr>
                <w:webHidden/>
                <w:rtl/>
              </w:rPr>
              <w:fldChar w:fldCharType="end"/>
            </w:r>
          </w:hyperlink>
        </w:p>
        <w:p w:rsidR="00B8771A" w:rsidRPr="00D639A4" w:rsidRDefault="00B8771A" w:rsidP="00B8771A">
          <w:pPr>
            <w:pStyle w:val="TOC1"/>
            <w:spacing w:before="240"/>
            <w:rPr>
              <w:rStyle w:val="Hyperlink"/>
              <w:color w:val="auto"/>
              <w:sz w:val="28"/>
              <w:szCs w:val="28"/>
              <w:rtl/>
            </w:rPr>
          </w:pPr>
          <w:r>
            <w:rPr>
              <w:rStyle w:val="Hyperlink"/>
              <w:rFonts w:hint="cs"/>
              <w:color w:val="auto"/>
              <w:sz w:val="28"/>
              <w:szCs w:val="28"/>
              <w:rtl/>
            </w:rPr>
            <w:t>יורה דעה סי' ק"א</w:t>
          </w:r>
        </w:p>
        <w:p w:rsidR="001171C7" w:rsidRDefault="007978F4">
          <w:pPr>
            <w:pStyle w:val="TOC1"/>
            <w:rPr>
              <w:rFonts w:eastAsiaTheme="minorEastAsia" w:cstheme="minorBidi"/>
              <w:b w:val="0"/>
              <w:bCs w:val="0"/>
              <w:rtl/>
            </w:rPr>
          </w:pPr>
          <w:hyperlink w:anchor="_Toc496175589" w:history="1">
            <w:r w:rsidR="001171C7" w:rsidRPr="00D35CC1">
              <w:rPr>
                <w:rStyle w:val="Hyperlink"/>
                <w:rFonts w:cs="Guttman Drogolin"/>
                <w:rtl/>
              </w:rPr>
              <w:t>גדר הדין שחתיכה הראוי' להתכבד בה לפני האורחים לא בטלה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Toc496175589 \h</w:instrText>
            </w:r>
            <w:r w:rsidR="001171C7">
              <w:rPr>
                <w:webHidden/>
                <w:rtl/>
              </w:rPr>
              <w:instrText xml:space="preserve"> </w:instrText>
            </w:r>
            <w:r w:rsidR="001171C7">
              <w:rPr>
                <w:webHidden/>
                <w:rtl/>
              </w:rPr>
            </w:r>
            <w:r w:rsidR="001171C7">
              <w:rPr>
                <w:webHidden/>
                <w:rtl/>
              </w:rPr>
              <w:fldChar w:fldCharType="separate"/>
            </w:r>
            <w:r w:rsidR="006A6D13">
              <w:rPr>
                <w:webHidden/>
                <w:rtl/>
              </w:rPr>
              <w:t>335</w:t>
            </w:r>
            <w:r w:rsidR="001171C7">
              <w:rPr>
                <w:webHidden/>
                <w:rtl/>
              </w:rPr>
              <w:fldChar w:fldCharType="end"/>
            </w:r>
          </w:hyperlink>
        </w:p>
        <w:p w:rsidR="001171C7" w:rsidRDefault="007978F4">
          <w:pPr>
            <w:pStyle w:val="TOC1"/>
            <w:rPr>
              <w:rFonts w:eastAsiaTheme="minorEastAsia" w:cstheme="minorBidi"/>
              <w:b w:val="0"/>
              <w:bCs w:val="0"/>
              <w:rtl/>
            </w:rPr>
          </w:pPr>
          <w:hyperlink w:anchor="_Toc496175590" w:history="1">
            <w:r w:rsidR="001171C7" w:rsidRPr="00D35CC1">
              <w:rPr>
                <w:rStyle w:val="Hyperlink"/>
                <w:rFonts w:cs="Guttman Drogolin"/>
                <w:rtl/>
              </w:rPr>
              <w:t>אם יש קשר בין הדין דחענ"ן לדין חתיכה הראוי' להתכבד</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Toc496175590 \h</w:instrText>
            </w:r>
            <w:r w:rsidR="001171C7">
              <w:rPr>
                <w:webHidden/>
                <w:rtl/>
              </w:rPr>
              <w:instrText xml:space="preserve"> </w:instrText>
            </w:r>
            <w:r w:rsidR="001171C7">
              <w:rPr>
                <w:webHidden/>
                <w:rtl/>
              </w:rPr>
            </w:r>
            <w:r w:rsidR="001171C7">
              <w:rPr>
                <w:webHidden/>
                <w:rtl/>
              </w:rPr>
              <w:fldChar w:fldCharType="separate"/>
            </w:r>
            <w:r w:rsidR="006A6D13">
              <w:rPr>
                <w:webHidden/>
                <w:rtl/>
              </w:rPr>
              <w:t>335</w:t>
            </w:r>
            <w:r w:rsidR="001171C7">
              <w:rPr>
                <w:webHidden/>
                <w:rtl/>
              </w:rPr>
              <w:fldChar w:fldCharType="end"/>
            </w:r>
          </w:hyperlink>
        </w:p>
        <w:p w:rsidR="001171C7" w:rsidRDefault="007978F4">
          <w:pPr>
            <w:pStyle w:val="TOC1"/>
            <w:rPr>
              <w:rFonts w:eastAsiaTheme="minorEastAsia" w:cstheme="minorBidi"/>
              <w:b w:val="0"/>
              <w:bCs w:val="0"/>
              <w:rtl/>
            </w:rPr>
          </w:pPr>
          <w:hyperlink w:anchor="_Toc496175591" w:history="1">
            <w:r w:rsidR="001171C7" w:rsidRPr="00D35CC1">
              <w:rPr>
                <w:rStyle w:val="Hyperlink"/>
                <w:rFonts w:cs="Guttman Drogolin"/>
                <w:rtl/>
              </w:rPr>
              <w:t>חהר"ל בתרי דרבנן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Toc496175591 \h</w:instrText>
            </w:r>
            <w:r w:rsidR="001171C7">
              <w:rPr>
                <w:webHidden/>
                <w:rtl/>
              </w:rPr>
              <w:instrText xml:space="preserve"> </w:instrText>
            </w:r>
            <w:r w:rsidR="001171C7">
              <w:rPr>
                <w:webHidden/>
                <w:rtl/>
              </w:rPr>
            </w:r>
            <w:r w:rsidR="001171C7">
              <w:rPr>
                <w:webHidden/>
                <w:rtl/>
              </w:rPr>
              <w:fldChar w:fldCharType="separate"/>
            </w:r>
            <w:r w:rsidR="006A6D13">
              <w:rPr>
                <w:webHidden/>
                <w:rtl/>
              </w:rPr>
              <w:t>336</w:t>
            </w:r>
            <w:r w:rsidR="001171C7">
              <w:rPr>
                <w:webHidden/>
                <w:rtl/>
              </w:rPr>
              <w:fldChar w:fldCharType="end"/>
            </w:r>
          </w:hyperlink>
        </w:p>
        <w:p w:rsidR="001171C7" w:rsidRDefault="007978F4">
          <w:pPr>
            <w:pStyle w:val="TOC1"/>
            <w:rPr>
              <w:rFonts w:eastAsiaTheme="minorEastAsia" w:cstheme="minorBidi"/>
              <w:b w:val="0"/>
              <w:bCs w:val="0"/>
              <w:rtl/>
            </w:rPr>
          </w:pPr>
          <w:hyperlink w:anchor="_Toc496175592" w:history="1">
            <w:r w:rsidR="001171C7" w:rsidRPr="00D35CC1">
              <w:rPr>
                <w:rStyle w:val="Hyperlink"/>
                <w:rFonts w:cs="Guttman Drogolin"/>
                <w:rtl/>
              </w:rPr>
              <w:t>סי' ק"א סעיף ג'</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Toc496175592 \h</w:instrText>
            </w:r>
            <w:r w:rsidR="001171C7">
              <w:rPr>
                <w:webHidden/>
                <w:rtl/>
              </w:rPr>
              <w:instrText xml:space="preserve"> </w:instrText>
            </w:r>
            <w:r w:rsidR="001171C7">
              <w:rPr>
                <w:webHidden/>
                <w:rtl/>
              </w:rPr>
            </w:r>
            <w:r w:rsidR="001171C7">
              <w:rPr>
                <w:webHidden/>
                <w:rtl/>
              </w:rPr>
              <w:fldChar w:fldCharType="separate"/>
            </w:r>
            <w:r w:rsidR="006A6D13">
              <w:rPr>
                <w:webHidden/>
                <w:rtl/>
              </w:rPr>
              <w:t>338</w:t>
            </w:r>
            <w:r w:rsidR="001171C7">
              <w:rPr>
                <w:webHidden/>
                <w:rtl/>
              </w:rPr>
              <w:fldChar w:fldCharType="end"/>
            </w:r>
          </w:hyperlink>
        </w:p>
        <w:p w:rsidR="001171C7" w:rsidRDefault="007978F4">
          <w:pPr>
            <w:pStyle w:val="TOC1"/>
            <w:rPr>
              <w:rFonts w:eastAsiaTheme="minorEastAsia" w:cstheme="minorBidi"/>
              <w:b w:val="0"/>
              <w:bCs w:val="0"/>
              <w:rtl/>
            </w:rPr>
          </w:pPr>
          <w:hyperlink w:anchor="_Toc496175593" w:history="1">
            <w:r w:rsidR="001171C7" w:rsidRPr="00D35CC1">
              <w:rPr>
                <w:rStyle w:val="Hyperlink"/>
                <w:rFonts w:cs="Guttman Drogolin"/>
                <w:rtl/>
              </w:rPr>
              <w:t>גדרי חתיכה הראוי' להתכבד</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Toc496175593 \h</w:instrText>
            </w:r>
            <w:r w:rsidR="001171C7">
              <w:rPr>
                <w:webHidden/>
                <w:rtl/>
              </w:rPr>
              <w:instrText xml:space="preserve"> </w:instrText>
            </w:r>
            <w:r w:rsidR="001171C7">
              <w:rPr>
                <w:webHidden/>
                <w:rtl/>
              </w:rPr>
            </w:r>
            <w:r w:rsidR="001171C7">
              <w:rPr>
                <w:webHidden/>
                <w:rtl/>
              </w:rPr>
              <w:fldChar w:fldCharType="separate"/>
            </w:r>
            <w:r w:rsidR="006A6D13">
              <w:rPr>
                <w:webHidden/>
                <w:rtl/>
              </w:rPr>
              <w:t>338</w:t>
            </w:r>
            <w:r w:rsidR="001171C7">
              <w:rPr>
                <w:webHidden/>
                <w:rtl/>
              </w:rPr>
              <w:fldChar w:fldCharType="end"/>
            </w:r>
          </w:hyperlink>
        </w:p>
        <w:p w:rsidR="001171C7" w:rsidRDefault="007978F4">
          <w:pPr>
            <w:pStyle w:val="TOC1"/>
            <w:rPr>
              <w:rFonts w:eastAsiaTheme="minorEastAsia" w:cstheme="minorBidi"/>
              <w:b w:val="0"/>
              <w:bCs w:val="0"/>
              <w:rtl/>
            </w:rPr>
          </w:pPr>
          <w:hyperlink w:anchor="_Toc496175594" w:history="1">
            <w:r w:rsidR="001171C7" w:rsidRPr="00D35CC1">
              <w:rPr>
                <w:rStyle w:val="Hyperlink"/>
                <w:rFonts w:cs="Guttman Drogolin"/>
                <w:rtl/>
              </w:rPr>
              <w:t>סי' ק"א סעיף ד'</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Toc496175594 \h</w:instrText>
            </w:r>
            <w:r w:rsidR="001171C7">
              <w:rPr>
                <w:webHidden/>
                <w:rtl/>
              </w:rPr>
              <w:instrText xml:space="preserve"> </w:instrText>
            </w:r>
            <w:r w:rsidR="001171C7">
              <w:rPr>
                <w:webHidden/>
                <w:rtl/>
              </w:rPr>
            </w:r>
            <w:r w:rsidR="001171C7">
              <w:rPr>
                <w:webHidden/>
                <w:rtl/>
              </w:rPr>
              <w:fldChar w:fldCharType="separate"/>
            </w:r>
            <w:r w:rsidR="006A6D13">
              <w:rPr>
                <w:webHidden/>
                <w:rtl/>
              </w:rPr>
              <w:t>338</w:t>
            </w:r>
            <w:r w:rsidR="001171C7">
              <w:rPr>
                <w:webHidden/>
                <w:rtl/>
              </w:rPr>
              <w:fldChar w:fldCharType="end"/>
            </w:r>
          </w:hyperlink>
        </w:p>
        <w:p w:rsidR="001171C7" w:rsidRDefault="007978F4">
          <w:pPr>
            <w:pStyle w:val="TOC1"/>
            <w:rPr>
              <w:rFonts w:eastAsiaTheme="minorEastAsia" w:cstheme="minorBidi"/>
              <w:b w:val="0"/>
              <w:bCs w:val="0"/>
              <w:rtl/>
            </w:rPr>
          </w:pPr>
          <w:hyperlink w:anchor="_Toc496175595" w:history="1">
            <w:r w:rsidR="001171C7" w:rsidRPr="00D35CC1">
              <w:rPr>
                <w:rStyle w:val="Hyperlink"/>
                <w:rFonts w:cs="Guttman Drogolin"/>
                <w:rtl/>
              </w:rPr>
              <w:t>סי' ק"א סעיף 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Toc496175595 \h</w:instrText>
            </w:r>
            <w:r w:rsidR="001171C7">
              <w:rPr>
                <w:webHidden/>
                <w:rtl/>
              </w:rPr>
              <w:instrText xml:space="preserve"> </w:instrText>
            </w:r>
            <w:r w:rsidR="001171C7">
              <w:rPr>
                <w:webHidden/>
                <w:rtl/>
              </w:rPr>
            </w:r>
            <w:r w:rsidR="001171C7">
              <w:rPr>
                <w:webHidden/>
                <w:rtl/>
              </w:rPr>
              <w:fldChar w:fldCharType="separate"/>
            </w:r>
            <w:r w:rsidR="006A6D13">
              <w:rPr>
                <w:webHidden/>
                <w:rtl/>
              </w:rPr>
              <w:t>339</w:t>
            </w:r>
            <w:r w:rsidR="001171C7">
              <w:rPr>
                <w:webHidden/>
                <w:rtl/>
              </w:rPr>
              <w:fldChar w:fldCharType="end"/>
            </w:r>
          </w:hyperlink>
        </w:p>
        <w:p w:rsidR="001171C7" w:rsidRDefault="007978F4">
          <w:pPr>
            <w:pStyle w:val="TOC1"/>
            <w:rPr>
              <w:rFonts w:eastAsiaTheme="minorEastAsia" w:cstheme="minorBidi"/>
              <w:b w:val="0"/>
              <w:bCs w:val="0"/>
              <w:rtl/>
            </w:rPr>
          </w:pPr>
          <w:hyperlink w:anchor="_Toc496175596" w:history="1">
            <w:r w:rsidR="001171C7" w:rsidRPr="00D35CC1">
              <w:rPr>
                <w:rStyle w:val="Hyperlink"/>
                <w:rFonts w:cs="Guttman Drogolin"/>
                <w:rtl/>
              </w:rPr>
              <w:t>סי' ק"א סעיף 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Toc496175596 \h</w:instrText>
            </w:r>
            <w:r w:rsidR="001171C7">
              <w:rPr>
                <w:webHidden/>
                <w:rtl/>
              </w:rPr>
              <w:instrText xml:space="preserve"> </w:instrText>
            </w:r>
            <w:r w:rsidR="001171C7">
              <w:rPr>
                <w:webHidden/>
                <w:rtl/>
              </w:rPr>
            </w:r>
            <w:r w:rsidR="001171C7">
              <w:rPr>
                <w:webHidden/>
                <w:rtl/>
              </w:rPr>
              <w:fldChar w:fldCharType="separate"/>
            </w:r>
            <w:r w:rsidR="006A6D13">
              <w:rPr>
                <w:webHidden/>
                <w:rtl/>
              </w:rPr>
              <w:t>339</w:t>
            </w:r>
            <w:r w:rsidR="001171C7">
              <w:rPr>
                <w:webHidden/>
                <w:rtl/>
              </w:rPr>
              <w:fldChar w:fldCharType="end"/>
            </w:r>
          </w:hyperlink>
        </w:p>
        <w:p w:rsidR="00B8771A" w:rsidRPr="00D639A4" w:rsidRDefault="00B8771A" w:rsidP="00B8771A">
          <w:pPr>
            <w:pStyle w:val="TOC1"/>
            <w:spacing w:before="240"/>
            <w:rPr>
              <w:rStyle w:val="Hyperlink"/>
              <w:color w:val="auto"/>
              <w:sz w:val="28"/>
              <w:szCs w:val="28"/>
              <w:rtl/>
            </w:rPr>
          </w:pPr>
          <w:r>
            <w:rPr>
              <w:rStyle w:val="Hyperlink"/>
              <w:rFonts w:hint="cs"/>
              <w:color w:val="auto"/>
              <w:sz w:val="28"/>
              <w:szCs w:val="28"/>
              <w:rtl/>
            </w:rPr>
            <w:t>יורה דעה סי' ק"ב</w:t>
          </w:r>
        </w:p>
        <w:p w:rsidR="001171C7" w:rsidRDefault="007978F4">
          <w:pPr>
            <w:pStyle w:val="TOC1"/>
            <w:rPr>
              <w:rFonts w:eastAsiaTheme="minorEastAsia" w:cstheme="minorBidi"/>
              <w:b w:val="0"/>
              <w:bCs w:val="0"/>
              <w:rtl/>
            </w:rPr>
          </w:pPr>
          <w:hyperlink w:anchor="_Toc496175597" w:history="1">
            <w:r w:rsidR="001171C7" w:rsidRPr="00D35CC1">
              <w:rPr>
                <w:rStyle w:val="Hyperlink"/>
                <w:rFonts w:cs="Guttman Drogolin"/>
                <w:rtl/>
              </w:rPr>
              <w:t>הטעם שדבר שיש לו מתירין לא בטל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Toc496175597 \h</w:instrText>
            </w:r>
            <w:r w:rsidR="001171C7">
              <w:rPr>
                <w:webHidden/>
                <w:rtl/>
              </w:rPr>
              <w:instrText xml:space="preserve"> </w:instrText>
            </w:r>
            <w:r w:rsidR="001171C7">
              <w:rPr>
                <w:webHidden/>
                <w:rtl/>
              </w:rPr>
            </w:r>
            <w:r w:rsidR="001171C7">
              <w:rPr>
                <w:webHidden/>
                <w:rtl/>
              </w:rPr>
              <w:fldChar w:fldCharType="separate"/>
            </w:r>
            <w:r w:rsidR="006A6D13">
              <w:rPr>
                <w:webHidden/>
                <w:rtl/>
              </w:rPr>
              <w:t>340</w:t>
            </w:r>
            <w:r w:rsidR="001171C7">
              <w:rPr>
                <w:webHidden/>
                <w:rtl/>
              </w:rPr>
              <w:fldChar w:fldCharType="end"/>
            </w:r>
          </w:hyperlink>
        </w:p>
        <w:p w:rsidR="001171C7" w:rsidRDefault="007978F4">
          <w:pPr>
            <w:pStyle w:val="TOC1"/>
            <w:rPr>
              <w:rFonts w:eastAsiaTheme="minorEastAsia" w:cstheme="minorBidi"/>
              <w:b w:val="0"/>
              <w:bCs w:val="0"/>
              <w:rtl/>
            </w:rPr>
          </w:pPr>
          <w:hyperlink w:anchor="_Toc496175598" w:history="1">
            <w:r w:rsidR="001171C7" w:rsidRPr="00D35CC1">
              <w:rPr>
                <w:rStyle w:val="Hyperlink"/>
                <w:rFonts w:cs="Guttman Drogolin"/>
                <w:rtl/>
              </w:rPr>
              <w:t>דבר שיש לו מתירין ע"י מעשה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Toc496175598 \h</w:instrText>
            </w:r>
            <w:r w:rsidR="001171C7">
              <w:rPr>
                <w:webHidden/>
                <w:rtl/>
              </w:rPr>
              <w:instrText xml:space="preserve"> </w:instrText>
            </w:r>
            <w:r w:rsidR="001171C7">
              <w:rPr>
                <w:webHidden/>
                <w:rtl/>
              </w:rPr>
            </w:r>
            <w:r w:rsidR="001171C7">
              <w:rPr>
                <w:webHidden/>
                <w:rtl/>
              </w:rPr>
              <w:fldChar w:fldCharType="separate"/>
            </w:r>
            <w:r w:rsidR="006A6D13">
              <w:rPr>
                <w:webHidden/>
                <w:rtl/>
              </w:rPr>
              <w:t>342</w:t>
            </w:r>
            <w:r w:rsidR="001171C7">
              <w:rPr>
                <w:webHidden/>
                <w:rtl/>
              </w:rPr>
              <w:fldChar w:fldCharType="end"/>
            </w:r>
          </w:hyperlink>
        </w:p>
        <w:p w:rsidR="001171C7" w:rsidRDefault="007978F4">
          <w:pPr>
            <w:pStyle w:val="TOC1"/>
            <w:rPr>
              <w:rFonts w:eastAsiaTheme="minorEastAsia" w:cstheme="minorBidi"/>
              <w:b w:val="0"/>
              <w:bCs w:val="0"/>
              <w:rtl/>
            </w:rPr>
          </w:pPr>
          <w:hyperlink w:anchor="_Toc496175599" w:history="1">
            <w:r w:rsidR="001171C7" w:rsidRPr="00D35CC1">
              <w:rPr>
                <w:rStyle w:val="Hyperlink"/>
                <w:rFonts w:cs="Guttman Drogolin"/>
                <w:rtl/>
              </w:rPr>
              <w:t>דבר שיש לו מתירין ויש איסור אחר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Toc496175599 \h</w:instrText>
            </w:r>
            <w:r w:rsidR="001171C7">
              <w:rPr>
                <w:webHidden/>
                <w:rtl/>
              </w:rPr>
              <w:instrText xml:space="preserve"> </w:instrText>
            </w:r>
            <w:r w:rsidR="001171C7">
              <w:rPr>
                <w:webHidden/>
                <w:rtl/>
              </w:rPr>
            </w:r>
            <w:r w:rsidR="001171C7">
              <w:rPr>
                <w:webHidden/>
                <w:rtl/>
              </w:rPr>
              <w:fldChar w:fldCharType="separate"/>
            </w:r>
            <w:r w:rsidR="006A6D13">
              <w:rPr>
                <w:webHidden/>
                <w:rtl/>
              </w:rPr>
              <w:t>344</w:t>
            </w:r>
            <w:r w:rsidR="001171C7">
              <w:rPr>
                <w:webHidden/>
                <w:rtl/>
              </w:rPr>
              <w:fldChar w:fldCharType="end"/>
            </w:r>
          </w:hyperlink>
        </w:p>
        <w:p w:rsidR="001171C7" w:rsidRDefault="007978F4">
          <w:pPr>
            <w:pStyle w:val="TOC1"/>
            <w:rPr>
              <w:rFonts w:eastAsiaTheme="minorEastAsia" w:cstheme="minorBidi"/>
              <w:b w:val="0"/>
              <w:bCs w:val="0"/>
              <w:rtl/>
            </w:rPr>
          </w:pPr>
          <w:hyperlink w:anchor="_Toc496175600" w:history="1">
            <w:r w:rsidR="001171C7" w:rsidRPr="00D35CC1">
              <w:rPr>
                <w:rStyle w:val="Hyperlink"/>
                <w:rFonts w:cs="Guttman Drogolin"/>
                <w:rtl/>
              </w:rPr>
              <w:t>דבר שיש לו מתירין ע"י אחר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Toc496175600 \h</w:instrText>
            </w:r>
            <w:r w:rsidR="001171C7">
              <w:rPr>
                <w:webHidden/>
                <w:rtl/>
              </w:rPr>
              <w:instrText xml:space="preserve"> </w:instrText>
            </w:r>
            <w:r w:rsidR="001171C7">
              <w:rPr>
                <w:webHidden/>
                <w:rtl/>
              </w:rPr>
            </w:r>
            <w:r w:rsidR="001171C7">
              <w:rPr>
                <w:webHidden/>
                <w:rtl/>
              </w:rPr>
              <w:fldChar w:fldCharType="separate"/>
            </w:r>
            <w:r w:rsidR="006A6D13">
              <w:rPr>
                <w:webHidden/>
                <w:rtl/>
              </w:rPr>
              <w:t>344</w:t>
            </w:r>
            <w:r w:rsidR="001171C7">
              <w:rPr>
                <w:webHidden/>
                <w:rtl/>
              </w:rPr>
              <w:fldChar w:fldCharType="end"/>
            </w:r>
          </w:hyperlink>
        </w:p>
        <w:p w:rsidR="001171C7" w:rsidRDefault="007978F4">
          <w:pPr>
            <w:pStyle w:val="TOC1"/>
            <w:rPr>
              <w:rFonts w:eastAsiaTheme="minorEastAsia" w:cstheme="minorBidi"/>
              <w:b w:val="0"/>
              <w:bCs w:val="0"/>
              <w:rtl/>
            </w:rPr>
          </w:pPr>
          <w:hyperlink w:anchor="_Toc496175601" w:history="1">
            <w:r w:rsidR="001171C7" w:rsidRPr="00D35CC1">
              <w:rPr>
                <w:rStyle w:val="Hyperlink"/>
                <w:rFonts w:cs="Guttman Drogolin"/>
                <w:rtl/>
              </w:rPr>
              <w:t>אם חמץ חשוב דבר שיש לו מתירין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Toc496175601 \h</w:instrText>
            </w:r>
            <w:r w:rsidR="001171C7">
              <w:rPr>
                <w:webHidden/>
                <w:rtl/>
              </w:rPr>
              <w:instrText xml:space="preserve"> </w:instrText>
            </w:r>
            <w:r w:rsidR="001171C7">
              <w:rPr>
                <w:webHidden/>
                <w:rtl/>
              </w:rPr>
            </w:r>
            <w:r w:rsidR="001171C7">
              <w:rPr>
                <w:webHidden/>
                <w:rtl/>
              </w:rPr>
              <w:fldChar w:fldCharType="separate"/>
            </w:r>
            <w:r w:rsidR="006A6D13">
              <w:rPr>
                <w:webHidden/>
                <w:rtl/>
              </w:rPr>
              <w:t>344</w:t>
            </w:r>
            <w:r w:rsidR="001171C7">
              <w:rPr>
                <w:webHidden/>
                <w:rtl/>
              </w:rPr>
              <w:fldChar w:fldCharType="end"/>
            </w:r>
          </w:hyperlink>
        </w:p>
        <w:p w:rsidR="001171C7" w:rsidRDefault="007978F4">
          <w:pPr>
            <w:pStyle w:val="TOC1"/>
            <w:rPr>
              <w:rFonts w:eastAsiaTheme="minorEastAsia" w:cstheme="minorBidi"/>
              <w:b w:val="0"/>
              <w:bCs w:val="0"/>
              <w:rtl/>
            </w:rPr>
          </w:pPr>
          <w:hyperlink w:anchor="_Toc496175602" w:history="1">
            <w:r w:rsidR="001171C7" w:rsidRPr="00D35CC1">
              <w:rPr>
                <w:rStyle w:val="Hyperlink"/>
                <w:rFonts w:cs="Guttman Drogolin"/>
                <w:rtl/>
              </w:rPr>
              <w:t>דבר שיש לו מתירין אבל עתיד להתקלקל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Toc496175602 \h</w:instrText>
            </w:r>
            <w:r w:rsidR="001171C7">
              <w:rPr>
                <w:webHidden/>
                <w:rtl/>
              </w:rPr>
              <w:instrText xml:space="preserve"> </w:instrText>
            </w:r>
            <w:r w:rsidR="001171C7">
              <w:rPr>
                <w:webHidden/>
                <w:rtl/>
              </w:rPr>
            </w:r>
            <w:r w:rsidR="001171C7">
              <w:rPr>
                <w:webHidden/>
                <w:rtl/>
              </w:rPr>
              <w:fldChar w:fldCharType="separate"/>
            </w:r>
            <w:r w:rsidR="006A6D13">
              <w:rPr>
                <w:webHidden/>
                <w:rtl/>
              </w:rPr>
              <w:t>345</w:t>
            </w:r>
            <w:r w:rsidR="001171C7">
              <w:rPr>
                <w:webHidden/>
                <w:rtl/>
              </w:rPr>
              <w:fldChar w:fldCharType="end"/>
            </w:r>
          </w:hyperlink>
        </w:p>
        <w:p w:rsidR="001171C7" w:rsidRDefault="007978F4">
          <w:pPr>
            <w:pStyle w:val="TOC1"/>
            <w:rPr>
              <w:rFonts w:eastAsiaTheme="minorEastAsia" w:cstheme="minorBidi"/>
              <w:b w:val="0"/>
              <w:bCs w:val="0"/>
              <w:rtl/>
            </w:rPr>
          </w:pPr>
          <w:hyperlink w:anchor="_Toc496175603" w:history="1">
            <w:r w:rsidR="001171C7" w:rsidRPr="00D35CC1">
              <w:rPr>
                <w:rStyle w:val="Hyperlink"/>
                <w:rFonts w:cs="Guttman Drogolin"/>
                <w:rtl/>
              </w:rPr>
              <w:t>דבר שיש לו מתירין שחוזר לאיסורו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Toc496175603 \h</w:instrText>
            </w:r>
            <w:r w:rsidR="001171C7">
              <w:rPr>
                <w:webHidden/>
                <w:rtl/>
              </w:rPr>
              <w:instrText xml:space="preserve"> </w:instrText>
            </w:r>
            <w:r w:rsidR="001171C7">
              <w:rPr>
                <w:webHidden/>
                <w:rtl/>
              </w:rPr>
            </w:r>
            <w:r w:rsidR="001171C7">
              <w:rPr>
                <w:webHidden/>
                <w:rtl/>
              </w:rPr>
              <w:fldChar w:fldCharType="separate"/>
            </w:r>
            <w:r w:rsidR="006A6D13">
              <w:rPr>
                <w:webHidden/>
                <w:rtl/>
              </w:rPr>
              <w:t>346</w:t>
            </w:r>
            <w:r w:rsidR="001171C7">
              <w:rPr>
                <w:webHidden/>
                <w:rtl/>
              </w:rPr>
              <w:fldChar w:fldCharType="end"/>
            </w:r>
          </w:hyperlink>
        </w:p>
        <w:p w:rsidR="001171C7" w:rsidRDefault="007978F4">
          <w:pPr>
            <w:pStyle w:val="TOC1"/>
            <w:rPr>
              <w:rFonts w:eastAsiaTheme="minorEastAsia" w:cstheme="minorBidi"/>
              <w:b w:val="0"/>
              <w:bCs w:val="0"/>
              <w:rtl/>
            </w:rPr>
          </w:pPr>
          <w:hyperlink w:anchor="_Toc496175604" w:history="1">
            <w:r w:rsidR="001171C7" w:rsidRPr="00D35CC1">
              <w:rPr>
                <w:rStyle w:val="Hyperlink"/>
                <w:rFonts w:cs="Guttman Drogolin"/>
                <w:rtl/>
              </w:rPr>
              <w:t>חידושו של הצל"ח בדינא דדשיל"מ</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Toc496175604 \h</w:instrText>
            </w:r>
            <w:r w:rsidR="001171C7">
              <w:rPr>
                <w:webHidden/>
                <w:rtl/>
              </w:rPr>
              <w:instrText xml:space="preserve"> </w:instrText>
            </w:r>
            <w:r w:rsidR="001171C7">
              <w:rPr>
                <w:webHidden/>
                <w:rtl/>
              </w:rPr>
            </w:r>
            <w:r w:rsidR="001171C7">
              <w:rPr>
                <w:webHidden/>
                <w:rtl/>
              </w:rPr>
              <w:fldChar w:fldCharType="separate"/>
            </w:r>
            <w:r w:rsidR="006A6D13">
              <w:rPr>
                <w:webHidden/>
                <w:rtl/>
              </w:rPr>
              <w:t>346</w:t>
            </w:r>
            <w:r w:rsidR="001171C7">
              <w:rPr>
                <w:webHidden/>
                <w:rtl/>
              </w:rPr>
              <w:fldChar w:fldCharType="end"/>
            </w:r>
          </w:hyperlink>
        </w:p>
        <w:p w:rsidR="001171C7" w:rsidRDefault="007978F4">
          <w:pPr>
            <w:pStyle w:val="TOC1"/>
            <w:rPr>
              <w:rFonts w:eastAsiaTheme="minorEastAsia" w:cstheme="minorBidi"/>
              <w:b w:val="0"/>
              <w:bCs w:val="0"/>
              <w:rtl/>
            </w:rPr>
          </w:pPr>
          <w:hyperlink w:anchor="_Toc496175605" w:history="1">
            <w:r w:rsidR="001171C7" w:rsidRPr="00D35CC1">
              <w:rPr>
                <w:rStyle w:val="Hyperlink"/>
                <w:rFonts w:cs="Guttman Drogolin"/>
                <w:rtl/>
              </w:rPr>
              <w:t>דבר שיש לו מתירין בשאר דיני תורה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Toc496175605 \h</w:instrText>
            </w:r>
            <w:r w:rsidR="001171C7">
              <w:rPr>
                <w:webHidden/>
                <w:rtl/>
              </w:rPr>
              <w:instrText xml:space="preserve"> </w:instrText>
            </w:r>
            <w:r w:rsidR="001171C7">
              <w:rPr>
                <w:webHidden/>
                <w:rtl/>
              </w:rPr>
            </w:r>
            <w:r w:rsidR="001171C7">
              <w:rPr>
                <w:webHidden/>
                <w:rtl/>
              </w:rPr>
              <w:fldChar w:fldCharType="separate"/>
            </w:r>
            <w:r w:rsidR="006A6D13">
              <w:rPr>
                <w:webHidden/>
                <w:rtl/>
              </w:rPr>
              <w:t>348</w:t>
            </w:r>
            <w:r w:rsidR="001171C7">
              <w:rPr>
                <w:webHidden/>
                <w:rtl/>
              </w:rPr>
              <w:fldChar w:fldCharType="end"/>
            </w:r>
          </w:hyperlink>
        </w:p>
        <w:p w:rsidR="001171C7" w:rsidRDefault="007978F4">
          <w:pPr>
            <w:pStyle w:val="TOC1"/>
            <w:rPr>
              <w:rFonts w:eastAsiaTheme="minorEastAsia" w:cstheme="minorBidi"/>
              <w:b w:val="0"/>
              <w:bCs w:val="0"/>
              <w:rtl/>
            </w:rPr>
          </w:pPr>
          <w:hyperlink w:anchor="_Toc496175606" w:history="1">
            <w:r w:rsidR="001171C7" w:rsidRPr="00D35CC1">
              <w:rPr>
                <w:rStyle w:val="Hyperlink"/>
                <w:rFonts w:cs="Guttman Drogolin"/>
                <w:rtl/>
              </w:rPr>
              <w:t>חזותא וטעמא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Toc496175606 \h</w:instrText>
            </w:r>
            <w:r w:rsidR="001171C7">
              <w:rPr>
                <w:webHidden/>
                <w:rtl/>
              </w:rPr>
              <w:instrText xml:space="preserve"> </w:instrText>
            </w:r>
            <w:r w:rsidR="001171C7">
              <w:rPr>
                <w:webHidden/>
                <w:rtl/>
              </w:rPr>
            </w:r>
            <w:r w:rsidR="001171C7">
              <w:rPr>
                <w:webHidden/>
                <w:rtl/>
              </w:rPr>
              <w:fldChar w:fldCharType="separate"/>
            </w:r>
            <w:r w:rsidR="006A6D13">
              <w:rPr>
                <w:webHidden/>
                <w:rtl/>
              </w:rPr>
              <w:t>348</w:t>
            </w:r>
            <w:r w:rsidR="001171C7">
              <w:rPr>
                <w:webHidden/>
                <w:rtl/>
              </w:rPr>
              <w:fldChar w:fldCharType="end"/>
            </w:r>
          </w:hyperlink>
        </w:p>
        <w:p w:rsidR="001171C7" w:rsidRDefault="007978F4">
          <w:pPr>
            <w:pStyle w:val="TOC1"/>
            <w:rPr>
              <w:rFonts w:eastAsiaTheme="minorEastAsia" w:cstheme="minorBidi"/>
              <w:b w:val="0"/>
              <w:bCs w:val="0"/>
              <w:rtl/>
            </w:rPr>
          </w:pPr>
          <w:hyperlink w:anchor="_Toc496175607" w:history="1">
            <w:r w:rsidR="001171C7" w:rsidRPr="00D35CC1">
              <w:rPr>
                <w:rStyle w:val="Hyperlink"/>
                <w:rFonts w:cs="Guttman Drogolin"/>
                <w:rtl/>
              </w:rPr>
              <w:t>ביצת ספק טריפה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Toc496175607 \h</w:instrText>
            </w:r>
            <w:r w:rsidR="001171C7">
              <w:rPr>
                <w:webHidden/>
                <w:rtl/>
              </w:rPr>
              <w:instrText xml:space="preserve"> </w:instrText>
            </w:r>
            <w:r w:rsidR="001171C7">
              <w:rPr>
                <w:webHidden/>
                <w:rtl/>
              </w:rPr>
            </w:r>
            <w:r w:rsidR="001171C7">
              <w:rPr>
                <w:webHidden/>
                <w:rtl/>
              </w:rPr>
              <w:fldChar w:fldCharType="separate"/>
            </w:r>
            <w:r w:rsidR="006A6D13">
              <w:rPr>
                <w:webHidden/>
                <w:rtl/>
              </w:rPr>
              <w:t>349</w:t>
            </w:r>
            <w:r w:rsidR="001171C7">
              <w:rPr>
                <w:webHidden/>
                <w:rtl/>
              </w:rPr>
              <w:fldChar w:fldCharType="end"/>
            </w:r>
          </w:hyperlink>
        </w:p>
        <w:p w:rsidR="001171C7" w:rsidRDefault="007978F4">
          <w:pPr>
            <w:pStyle w:val="TOC1"/>
            <w:rPr>
              <w:rFonts w:eastAsiaTheme="minorEastAsia" w:cstheme="minorBidi"/>
              <w:b w:val="0"/>
              <w:bCs w:val="0"/>
              <w:rtl/>
            </w:rPr>
          </w:pPr>
          <w:hyperlink w:anchor="_Toc496175608" w:history="1">
            <w:r w:rsidR="001171C7" w:rsidRPr="00D35CC1">
              <w:rPr>
                <w:rStyle w:val="Hyperlink"/>
                <w:rFonts w:cs="Guttman Drogolin"/>
                <w:rtl/>
              </w:rPr>
              <w:t>כלי הבלוע איסור שנתערב בכלים אחרים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Toc496175608 \h</w:instrText>
            </w:r>
            <w:r w:rsidR="001171C7">
              <w:rPr>
                <w:webHidden/>
                <w:rtl/>
              </w:rPr>
              <w:instrText xml:space="preserve"> </w:instrText>
            </w:r>
            <w:r w:rsidR="001171C7">
              <w:rPr>
                <w:webHidden/>
                <w:rtl/>
              </w:rPr>
            </w:r>
            <w:r w:rsidR="001171C7">
              <w:rPr>
                <w:webHidden/>
                <w:rtl/>
              </w:rPr>
              <w:fldChar w:fldCharType="separate"/>
            </w:r>
            <w:r w:rsidR="006A6D13">
              <w:rPr>
                <w:webHidden/>
                <w:rtl/>
              </w:rPr>
              <w:t>349</w:t>
            </w:r>
            <w:r w:rsidR="001171C7">
              <w:rPr>
                <w:webHidden/>
                <w:rtl/>
              </w:rPr>
              <w:fldChar w:fldCharType="end"/>
            </w:r>
          </w:hyperlink>
        </w:p>
        <w:p w:rsidR="001171C7" w:rsidRDefault="007978F4">
          <w:pPr>
            <w:pStyle w:val="TOC1"/>
            <w:rPr>
              <w:rFonts w:eastAsiaTheme="minorEastAsia" w:cstheme="minorBidi"/>
              <w:b w:val="0"/>
              <w:bCs w:val="0"/>
              <w:rtl/>
            </w:rPr>
          </w:pPr>
          <w:hyperlink w:anchor="_Toc496175609" w:history="1">
            <w:r w:rsidR="001171C7" w:rsidRPr="00D35CC1">
              <w:rPr>
                <w:rStyle w:val="Hyperlink"/>
                <w:rFonts w:cs="Guttman Drogolin"/>
                <w:rtl/>
              </w:rPr>
              <w:t>דבר שיש לו מתירין כשנאסר משום טעם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Toc496175609 \h</w:instrText>
            </w:r>
            <w:r w:rsidR="001171C7">
              <w:rPr>
                <w:webHidden/>
                <w:rtl/>
              </w:rPr>
              <w:instrText xml:space="preserve"> </w:instrText>
            </w:r>
            <w:r w:rsidR="001171C7">
              <w:rPr>
                <w:webHidden/>
                <w:rtl/>
              </w:rPr>
            </w:r>
            <w:r w:rsidR="001171C7">
              <w:rPr>
                <w:webHidden/>
                <w:rtl/>
              </w:rPr>
              <w:fldChar w:fldCharType="separate"/>
            </w:r>
            <w:r w:rsidR="006A6D13">
              <w:rPr>
                <w:webHidden/>
                <w:rtl/>
              </w:rPr>
              <w:t>352</w:t>
            </w:r>
            <w:r w:rsidR="001171C7">
              <w:rPr>
                <w:webHidden/>
                <w:rtl/>
              </w:rPr>
              <w:fldChar w:fldCharType="end"/>
            </w:r>
          </w:hyperlink>
        </w:p>
        <w:p w:rsidR="001171C7" w:rsidRDefault="007978F4">
          <w:pPr>
            <w:pStyle w:val="TOC1"/>
            <w:rPr>
              <w:rFonts w:eastAsiaTheme="minorEastAsia" w:cstheme="minorBidi"/>
              <w:b w:val="0"/>
              <w:bCs w:val="0"/>
              <w:rtl/>
            </w:rPr>
          </w:pPr>
          <w:hyperlink w:anchor="_Toc496175610" w:history="1">
            <w:r w:rsidR="001171C7" w:rsidRPr="00D35CC1">
              <w:rPr>
                <w:rStyle w:val="Hyperlink"/>
                <w:rFonts w:cs="Guttman Drogolin"/>
                <w:rtl/>
              </w:rPr>
              <w:t>דבר שיש לו מתירין שאינו אסור מחמת עצמו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Toc496175610 \h</w:instrText>
            </w:r>
            <w:r w:rsidR="001171C7">
              <w:rPr>
                <w:webHidden/>
                <w:rtl/>
              </w:rPr>
              <w:instrText xml:space="preserve"> </w:instrText>
            </w:r>
            <w:r w:rsidR="001171C7">
              <w:rPr>
                <w:webHidden/>
                <w:rtl/>
              </w:rPr>
            </w:r>
            <w:r w:rsidR="001171C7">
              <w:rPr>
                <w:webHidden/>
                <w:rtl/>
              </w:rPr>
              <w:fldChar w:fldCharType="separate"/>
            </w:r>
            <w:r w:rsidR="006A6D13">
              <w:rPr>
                <w:webHidden/>
                <w:rtl/>
              </w:rPr>
              <w:t>353</w:t>
            </w:r>
            <w:r w:rsidR="001171C7">
              <w:rPr>
                <w:webHidden/>
                <w:rtl/>
              </w:rPr>
              <w:fldChar w:fldCharType="end"/>
            </w:r>
          </w:hyperlink>
        </w:p>
        <w:p w:rsidR="001171C7" w:rsidRDefault="007978F4">
          <w:pPr>
            <w:pStyle w:val="TOC1"/>
            <w:rPr>
              <w:rFonts w:eastAsiaTheme="minorEastAsia" w:cstheme="minorBidi"/>
              <w:b w:val="0"/>
              <w:bCs w:val="0"/>
              <w:rtl/>
            </w:rPr>
          </w:pPr>
          <w:hyperlink w:anchor="_Toc496175611" w:history="1">
            <w:r w:rsidR="001171C7" w:rsidRPr="00D35CC1">
              <w:rPr>
                <w:rStyle w:val="Hyperlink"/>
                <w:rFonts w:cs="Guttman Drogolin"/>
                <w:rtl/>
              </w:rPr>
              <w:t>דבר שיש לו מתירין כשהאיסור נולד בתערובת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Toc496175611 \h</w:instrText>
            </w:r>
            <w:r w:rsidR="001171C7">
              <w:rPr>
                <w:webHidden/>
                <w:rtl/>
              </w:rPr>
              <w:instrText xml:space="preserve"> </w:instrText>
            </w:r>
            <w:r w:rsidR="001171C7">
              <w:rPr>
                <w:webHidden/>
                <w:rtl/>
              </w:rPr>
            </w:r>
            <w:r w:rsidR="001171C7">
              <w:rPr>
                <w:webHidden/>
                <w:rtl/>
              </w:rPr>
              <w:fldChar w:fldCharType="separate"/>
            </w:r>
            <w:r w:rsidR="006A6D13">
              <w:rPr>
                <w:webHidden/>
                <w:rtl/>
              </w:rPr>
              <w:t>354</w:t>
            </w:r>
            <w:r w:rsidR="001171C7">
              <w:rPr>
                <w:webHidden/>
                <w:rtl/>
              </w:rPr>
              <w:fldChar w:fldCharType="end"/>
            </w:r>
          </w:hyperlink>
        </w:p>
        <w:p w:rsidR="001171C7" w:rsidRDefault="007978F4">
          <w:pPr>
            <w:pStyle w:val="TOC1"/>
            <w:rPr>
              <w:rFonts w:eastAsiaTheme="minorEastAsia" w:cstheme="minorBidi"/>
              <w:b w:val="0"/>
              <w:bCs w:val="0"/>
              <w:rtl/>
            </w:rPr>
          </w:pPr>
          <w:hyperlink w:anchor="_Toc496175612" w:history="1">
            <w:r w:rsidR="001171C7" w:rsidRPr="00D35CC1">
              <w:rPr>
                <w:rStyle w:val="Hyperlink"/>
                <w:rFonts w:cs="Guttman Drogolin"/>
                <w:rtl/>
              </w:rPr>
              <w:t>דבר שיש לו היתר שחוזר לאיסורו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Toc496175612 \h</w:instrText>
            </w:r>
            <w:r w:rsidR="001171C7">
              <w:rPr>
                <w:webHidden/>
                <w:rtl/>
              </w:rPr>
              <w:instrText xml:space="preserve"> </w:instrText>
            </w:r>
            <w:r w:rsidR="001171C7">
              <w:rPr>
                <w:webHidden/>
                <w:rtl/>
              </w:rPr>
            </w:r>
            <w:r w:rsidR="001171C7">
              <w:rPr>
                <w:webHidden/>
                <w:rtl/>
              </w:rPr>
              <w:fldChar w:fldCharType="separate"/>
            </w:r>
            <w:r w:rsidR="006A6D13">
              <w:rPr>
                <w:webHidden/>
                <w:rtl/>
              </w:rPr>
              <w:t>354</w:t>
            </w:r>
            <w:r w:rsidR="001171C7">
              <w:rPr>
                <w:webHidden/>
                <w:rtl/>
              </w:rPr>
              <w:fldChar w:fldCharType="end"/>
            </w:r>
          </w:hyperlink>
        </w:p>
        <w:p w:rsidR="001171C7" w:rsidRDefault="007978F4">
          <w:pPr>
            <w:pStyle w:val="TOC1"/>
            <w:rPr>
              <w:rFonts w:eastAsiaTheme="minorEastAsia" w:cstheme="minorBidi"/>
              <w:b w:val="0"/>
              <w:bCs w:val="0"/>
              <w:rtl/>
            </w:rPr>
          </w:pPr>
          <w:hyperlink w:anchor="_Toc496175613" w:history="1">
            <w:r w:rsidR="001171C7" w:rsidRPr="00D35CC1">
              <w:rPr>
                <w:rStyle w:val="Hyperlink"/>
                <w:rFonts w:cs="Guttman Drogolin"/>
                <w:rtl/>
              </w:rPr>
              <w:t>נידונים שדנו בהם משום דשיל"מ</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Toc496175613 \h</w:instrText>
            </w:r>
            <w:r w:rsidR="001171C7">
              <w:rPr>
                <w:webHidden/>
                <w:rtl/>
              </w:rPr>
              <w:instrText xml:space="preserve"> </w:instrText>
            </w:r>
            <w:r w:rsidR="001171C7">
              <w:rPr>
                <w:webHidden/>
                <w:rtl/>
              </w:rPr>
            </w:r>
            <w:r w:rsidR="001171C7">
              <w:rPr>
                <w:webHidden/>
                <w:rtl/>
              </w:rPr>
              <w:fldChar w:fldCharType="separate"/>
            </w:r>
            <w:r w:rsidR="006A6D13">
              <w:rPr>
                <w:webHidden/>
                <w:rtl/>
              </w:rPr>
              <w:t>356</w:t>
            </w:r>
            <w:r w:rsidR="001171C7">
              <w:rPr>
                <w:webHidden/>
                <w:rtl/>
              </w:rPr>
              <w:fldChar w:fldCharType="end"/>
            </w:r>
          </w:hyperlink>
        </w:p>
        <w:p w:rsidR="00B8771A" w:rsidRPr="00D639A4" w:rsidRDefault="00B8771A" w:rsidP="00B8771A">
          <w:pPr>
            <w:pStyle w:val="TOC1"/>
            <w:spacing w:before="240"/>
            <w:rPr>
              <w:rStyle w:val="Hyperlink"/>
              <w:color w:val="auto"/>
              <w:sz w:val="28"/>
              <w:szCs w:val="28"/>
              <w:rtl/>
            </w:rPr>
          </w:pPr>
          <w:r>
            <w:rPr>
              <w:rStyle w:val="Hyperlink"/>
              <w:rFonts w:hint="cs"/>
              <w:color w:val="auto"/>
              <w:sz w:val="28"/>
              <w:szCs w:val="28"/>
              <w:rtl/>
            </w:rPr>
            <w:t>יורה דעה סי' ק"ג וק"ד</w:t>
          </w:r>
        </w:p>
        <w:p w:rsidR="001171C7" w:rsidRDefault="007978F4">
          <w:pPr>
            <w:pStyle w:val="TOC1"/>
            <w:rPr>
              <w:rFonts w:eastAsiaTheme="minorEastAsia" w:cstheme="minorBidi"/>
              <w:b w:val="0"/>
              <w:bCs w:val="0"/>
              <w:rtl/>
            </w:rPr>
          </w:pPr>
          <w:hyperlink w:anchor="_Toc496175614" w:history="1">
            <w:r w:rsidR="001171C7" w:rsidRPr="00D35CC1">
              <w:rPr>
                <w:rStyle w:val="Hyperlink"/>
                <w:rFonts w:cs="Guttman Drogolin"/>
                <w:rtl/>
              </w:rPr>
              <w:t>הקדמה לדין נטל"פ</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Toc496175614 \h</w:instrText>
            </w:r>
            <w:r w:rsidR="001171C7">
              <w:rPr>
                <w:webHidden/>
                <w:rtl/>
              </w:rPr>
              <w:instrText xml:space="preserve"> </w:instrText>
            </w:r>
            <w:r w:rsidR="001171C7">
              <w:rPr>
                <w:webHidden/>
                <w:rtl/>
              </w:rPr>
            </w:r>
            <w:r w:rsidR="001171C7">
              <w:rPr>
                <w:webHidden/>
                <w:rtl/>
              </w:rPr>
              <w:fldChar w:fldCharType="separate"/>
            </w:r>
            <w:r w:rsidR="006A6D13">
              <w:rPr>
                <w:webHidden/>
                <w:rtl/>
              </w:rPr>
              <w:t>357</w:t>
            </w:r>
            <w:r w:rsidR="001171C7">
              <w:rPr>
                <w:webHidden/>
                <w:rtl/>
              </w:rPr>
              <w:fldChar w:fldCharType="end"/>
            </w:r>
          </w:hyperlink>
        </w:p>
        <w:p w:rsidR="001171C7" w:rsidRDefault="007978F4">
          <w:pPr>
            <w:pStyle w:val="TOC1"/>
            <w:rPr>
              <w:rFonts w:eastAsiaTheme="minorEastAsia" w:cstheme="minorBidi"/>
              <w:b w:val="0"/>
              <w:bCs w:val="0"/>
              <w:rtl/>
            </w:rPr>
          </w:pPr>
          <w:hyperlink w:anchor="_Toc496175615" w:history="1">
            <w:r w:rsidR="001171C7" w:rsidRPr="00D35CC1">
              <w:rPr>
                <w:rStyle w:val="Hyperlink"/>
                <w:rFonts w:cs="Guttman Drogolin"/>
                <w:rtl/>
              </w:rPr>
              <w:t>ברי' פגומה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Toc496175615 \h</w:instrText>
            </w:r>
            <w:r w:rsidR="001171C7">
              <w:rPr>
                <w:webHidden/>
                <w:rtl/>
              </w:rPr>
              <w:instrText xml:space="preserve"> </w:instrText>
            </w:r>
            <w:r w:rsidR="001171C7">
              <w:rPr>
                <w:webHidden/>
                <w:rtl/>
              </w:rPr>
            </w:r>
            <w:r w:rsidR="001171C7">
              <w:rPr>
                <w:webHidden/>
                <w:rtl/>
              </w:rPr>
              <w:fldChar w:fldCharType="separate"/>
            </w:r>
            <w:r w:rsidR="006A6D13">
              <w:rPr>
                <w:webHidden/>
                <w:rtl/>
              </w:rPr>
              <w:t>357</w:t>
            </w:r>
            <w:r w:rsidR="001171C7">
              <w:rPr>
                <w:webHidden/>
                <w:rtl/>
              </w:rPr>
              <w:fldChar w:fldCharType="end"/>
            </w:r>
          </w:hyperlink>
        </w:p>
        <w:p w:rsidR="001171C7" w:rsidRDefault="007978F4">
          <w:pPr>
            <w:pStyle w:val="TOC1"/>
            <w:rPr>
              <w:rFonts w:eastAsiaTheme="minorEastAsia" w:cstheme="minorBidi"/>
              <w:b w:val="0"/>
              <w:bCs w:val="0"/>
              <w:rtl/>
            </w:rPr>
          </w:pPr>
          <w:hyperlink w:anchor="_Toc496175616" w:history="1">
            <w:r w:rsidR="001171C7" w:rsidRPr="00D35CC1">
              <w:rPr>
                <w:rStyle w:val="Hyperlink"/>
                <w:rFonts w:cs="Guttman Drogolin"/>
                <w:rtl/>
              </w:rPr>
              <w:t>נותן טעם לא לשבח ולא לפגם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Toc496175616 \h</w:instrText>
            </w:r>
            <w:r w:rsidR="001171C7">
              <w:rPr>
                <w:webHidden/>
                <w:rtl/>
              </w:rPr>
              <w:instrText xml:space="preserve"> </w:instrText>
            </w:r>
            <w:r w:rsidR="001171C7">
              <w:rPr>
                <w:webHidden/>
                <w:rtl/>
              </w:rPr>
            </w:r>
            <w:r w:rsidR="001171C7">
              <w:rPr>
                <w:webHidden/>
                <w:rtl/>
              </w:rPr>
              <w:fldChar w:fldCharType="separate"/>
            </w:r>
            <w:r w:rsidR="006A6D13">
              <w:rPr>
                <w:webHidden/>
                <w:rtl/>
              </w:rPr>
              <w:t>358</w:t>
            </w:r>
            <w:r w:rsidR="001171C7">
              <w:rPr>
                <w:webHidden/>
                <w:rtl/>
              </w:rPr>
              <w:fldChar w:fldCharType="end"/>
            </w:r>
          </w:hyperlink>
        </w:p>
        <w:p w:rsidR="001171C7" w:rsidRDefault="007978F4">
          <w:pPr>
            <w:pStyle w:val="TOC1"/>
            <w:rPr>
              <w:rFonts w:eastAsiaTheme="minorEastAsia" w:cstheme="minorBidi"/>
              <w:b w:val="0"/>
              <w:bCs w:val="0"/>
              <w:rtl/>
            </w:rPr>
          </w:pPr>
          <w:hyperlink w:anchor="_Toc496175617" w:history="1">
            <w:r w:rsidR="001171C7" w:rsidRPr="00D35CC1">
              <w:rPr>
                <w:rStyle w:val="Hyperlink"/>
                <w:rFonts w:cs="Guttman Drogolin"/>
                <w:rtl/>
              </w:rPr>
              <w:t>מאכל שאינו פגום מעצמו כלל אבל פוגם תבשיל אחר, ושוב נכנס טעמו לתוך כלי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Toc496175617 \h</w:instrText>
            </w:r>
            <w:r w:rsidR="001171C7">
              <w:rPr>
                <w:webHidden/>
                <w:rtl/>
              </w:rPr>
              <w:instrText xml:space="preserve"> </w:instrText>
            </w:r>
            <w:r w:rsidR="001171C7">
              <w:rPr>
                <w:webHidden/>
                <w:rtl/>
              </w:rPr>
            </w:r>
            <w:r w:rsidR="001171C7">
              <w:rPr>
                <w:webHidden/>
                <w:rtl/>
              </w:rPr>
              <w:fldChar w:fldCharType="separate"/>
            </w:r>
            <w:r w:rsidR="006A6D13">
              <w:rPr>
                <w:webHidden/>
                <w:rtl/>
              </w:rPr>
              <w:t>358</w:t>
            </w:r>
            <w:r w:rsidR="001171C7">
              <w:rPr>
                <w:webHidden/>
                <w:rtl/>
              </w:rPr>
              <w:fldChar w:fldCharType="end"/>
            </w:r>
          </w:hyperlink>
        </w:p>
        <w:p w:rsidR="001171C7" w:rsidRDefault="007978F4">
          <w:pPr>
            <w:pStyle w:val="TOC1"/>
            <w:rPr>
              <w:rFonts w:eastAsiaTheme="minorEastAsia" w:cstheme="minorBidi"/>
              <w:b w:val="0"/>
              <w:bCs w:val="0"/>
              <w:rtl/>
            </w:rPr>
          </w:pPr>
          <w:hyperlink w:anchor="_Toc496175618" w:history="1">
            <w:r w:rsidR="001171C7" w:rsidRPr="00D35CC1">
              <w:rPr>
                <w:rStyle w:val="Hyperlink"/>
                <w:rFonts w:cs="Guttman Drogolin"/>
                <w:rtl/>
              </w:rPr>
              <w:t>השביח ולבסוף פגם, ופגם ולבסוף השביח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Toc496175618 \h</w:instrText>
            </w:r>
            <w:r w:rsidR="001171C7">
              <w:rPr>
                <w:webHidden/>
                <w:rtl/>
              </w:rPr>
              <w:instrText xml:space="preserve"> </w:instrText>
            </w:r>
            <w:r w:rsidR="001171C7">
              <w:rPr>
                <w:webHidden/>
                <w:rtl/>
              </w:rPr>
            </w:r>
            <w:r w:rsidR="001171C7">
              <w:rPr>
                <w:webHidden/>
                <w:rtl/>
              </w:rPr>
              <w:fldChar w:fldCharType="separate"/>
            </w:r>
            <w:r w:rsidR="006A6D13">
              <w:rPr>
                <w:webHidden/>
                <w:rtl/>
              </w:rPr>
              <w:t>360</w:t>
            </w:r>
            <w:r w:rsidR="001171C7">
              <w:rPr>
                <w:webHidden/>
                <w:rtl/>
              </w:rPr>
              <w:fldChar w:fldCharType="end"/>
            </w:r>
          </w:hyperlink>
        </w:p>
        <w:p w:rsidR="001171C7" w:rsidRDefault="007978F4">
          <w:pPr>
            <w:pStyle w:val="TOC1"/>
            <w:rPr>
              <w:rFonts w:eastAsiaTheme="minorEastAsia" w:cstheme="minorBidi"/>
              <w:b w:val="0"/>
              <w:bCs w:val="0"/>
              <w:rtl/>
            </w:rPr>
          </w:pPr>
          <w:hyperlink w:anchor="_Toc496175619" w:history="1">
            <w:r w:rsidR="001171C7" w:rsidRPr="00D35CC1">
              <w:rPr>
                <w:rStyle w:val="Hyperlink"/>
                <w:rFonts w:cs="Guttman Drogolin"/>
                <w:rtl/>
              </w:rPr>
              <w:t>מה בכלל נותן טעם לפגם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Toc496175619 \h</w:instrText>
            </w:r>
            <w:r w:rsidR="001171C7">
              <w:rPr>
                <w:webHidden/>
                <w:rtl/>
              </w:rPr>
              <w:instrText xml:space="preserve"> </w:instrText>
            </w:r>
            <w:r w:rsidR="001171C7">
              <w:rPr>
                <w:webHidden/>
                <w:rtl/>
              </w:rPr>
            </w:r>
            <w:r w:rsidR="001171C7">
              <w:rPr>
                <w:webHidden/>
                <w:rtl/>
              </w:rPr>
              <w:fldChar w:fldCharType="separate"/>
            </w:r>
            <w:r w:rsidR="006A6D13">
              <w:rPr>
                <w:webHidden/>
                <w:rtl/>
              </w:rPr>
              <w:t>360</w:t>
            </w:r>
            <w:r w:rsidR="001171C7">
              <w:rPr>
                <w:webHidden/>
                <w:rtl/>
              </w:rPr>
              <w:fldChar w:fldCharType="end"/>
            </w:r>
          </w:hyperlink>
        </w:p>
        <w:p w:rsidR="001171C7" w:rsidRDefault="007978F4">
          <w:pPr>
            <w:pStyle w:val="TOC1"/>
            <w:rPr>
              <w:rFonts w:eastAsiaTheme="minorEastAsia" w:cstheme="minorBidi"/>
              <w:b w:val="0"/>
              <w:bCs w:val="0"/>
              <w:rtl/>
            </w:rPr>
          </w:pPr>
          <w:hyperlink w:anchor="_Toc496175620" w:history="1">
            <w:r w:rsidR="001171C7" w:rsidRPr="00D35CC1">
              <w:rPr>
                <w:rStyle w:val="Hyperlink"/>
                <w:rFonts w:cs="Guttman Drogolin"/>
                <w:rtl/>
              </w:rPr>
              <w:t>מה נחשב 'אינו בן יומו'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Toc496175620 \h</w:instrText>
            </w:r>
            <w:r w:rsidR="001171C7">
              <w:rPr>
                <w:webHidden/>
                <w:rtl/>
              </w:rPr>
              <w:instrText xml:space="preserve"> </w:instrText>
            </w:r>
            <w:r w:rsidR="001171C7">
              <w:rPr>
                <w:webHidden/>
                <w:rtl/>
              </w:rPr>
            </w:r>
            <w:r w:rsidR="001171C7">
              <w:rPr>
                <w:webHidden/>
                <w:rtl/>
              </w:rPr>
              <w:fldChar w:fldCharType="separate"/>
            </w:r>
            <w:r w:rsidR="006A6D13">
              <w:rPr>
                <w:webHidden/>
                <w:rtl/>
              </w:rPr>
              <w:t>360</w:t>
            </w:r>
            <w:r w:rsidR="001171C7">
              <w:rPr>
                <w:webHidden/>
                <w:rtl/>
              </w:rPr>
              <w:fldChar w:fldCharType="end"/>
            </w:r>
          </w:hyperlink>
        </w:p>
        <w:p w:rsidR="001171C7" w:rsidRDefault="007978F4">
          <w:pPr>
            <w:pStyle w:val="TOC1"/>
            <w:rPr>
              <w:rFonts w:eastAsiaTheme="minorEastAsia" w:cstheme="minorBidi"/>
              <w:b w:val="0"/>
              <w:bCs w:val="0"/>
              <w:rtl/>
            </w:rPr>
          </w:pPr>
          <w:hyperlink w:anchor="_Toc496175621" w:history="1">
            <w:r w:rsidR="001171C7" w:rsidRPr="00D35CC1">
              <w:rPr>
                <w:rStyle w:val="Hyperlink"/>
                <w:rFonts w:cs="Guttman Drogolin"/>
                <w:rtl/>
              </w:rPr>
              <w:t>דבר חריף בתוך תבשיל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Toc496175621 \h</w:instrText>
            </w:r>
            <w:r w:rsidR="001171C7">
              <w:rPr>
                <w:webHidden/>
                <w:rtl/>
              </w:rPr>
              <w:instrText xml:space="preserve"> </w:instrText>
            </w:r>
            <w:r w:rsidR="001171C7">
              <w:rPr>
                <w:webHidden/>
                <w:rtl/>
              </w:rPr>
            </w:r>
            <w:r w:rsidR="001171C7">
              <w:rPr>
                <w:webHidden/>
                <w:rtl/>
              </w:rPr>
              <w:fldChar w:fldCharType="separate"/>
            </w:r>
            <w:r w:rsidR="006A6D13">
              <w:rPr>
                <w:webHidden/>
                <w:rtl/>
              </w:rPr>
              <w:t>361</w:t>
            </w:r>
            <w:r w:rsidR="001171C7">
              <w:rPr>
                <w:webHidden/>
                <w:rtl/>
              </w:rPr>
              <w:fldChar w:fldCharType="end"/>
            </w:r>
          </w:hyperlink>
        </w:p>
        <w:p w:rsidR="001171C7" w:rsidRDefault="007978F4">
          <w:pPr>
            <w:pStyle w:val="TOC1"/>
            <w:rPr>
              <w:rFonts w:eastAsiaTheme="minorEastAsia" w:cstheme="minorBidi"/>
              <w:b w:val="0"/>
              <w:bCs w:val="0"/>
              <w:rtl/>
            </w:rPr>
          </w:pPr>
          <w:hyperlink w:anchor="_Toc496175622" w:history="1">
            <w:r w:rsidR="001171C7" w:rsidRPr="00D35CC1">
              <w:rPr>
                <w:rStyle w:val="Hyperlink"/>
                <w:rFonts w:cs="Guttman Drogolin"/>
                <w:rtl/>
              </w:rPr>
              <w:t>חענ"ן בבליעות של בב"ח בתוך מאכל היתר אליבא דר' אפרים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Toc496175622 \h</w:instrText>
            </w:r>
            <w:r w:rsidR="001171C7">
              <w:rPr>
                <w:webHidden/>
                <w:rtl/>
              </w:rPr>
              <w:instrText xml:space="preserve"> </w:instrText>
            </w:r>
            <w:r w:rsidR="001171C7">
              <w:rPr>
                <w:webHidden/>
                <w:rtl/>
              </w:rPr>
            </w:r>
            <w:r w:rsidR="001171C7">
              <w:rPr>
                <w:webHidden/>
                <w:rtl/>
              </w:rPr>
              <w:fldChar w:fldCharType="separate"/>
            </w:r>
            <w:r w:rsidR="006A6D13">
              <w:rPr>
                <w:webHidden/>
                <w:rtl/>
              </w:rPr>
              <w:t>361</w:t>
            </w:r>
            <w:r w:rsidR="001171C7">
              <w:rPr>
                <w:webHidden/>
                <w:rtl/>
              </w:rPr>
              <w:fldChar w:fldCharType="end"/>
            </w:r>
          </w:hyperlink>
        </w:p>
        <w:p w:rsidR="001171C7" w:rsidRDefault="007978F4">
          <w:pPr>
            <w:pStyle w:val="TOC1"/>
            <w:rPr>
              <w:rFonts w:eastAsiaTheme="minorEastAsia" w:cstheme="minorBidi"/>
              <w:b w:val="0"/>
              <w:bCs w:val="0"/>
              <w:rtl/>
            </w:rPr>
          </w:pPr>
          <w:hyperlink w:anchor="_Toc496175623" w:history="1">
            <w:r w:rsidR="001171C7" w:rsidRPr="00D35CC1">
              <w:rPr>
                <w:rStyle w:val="Hyperlink"/>
                <w:rFonts w:cs="Guttman Drogolin"/>
                <w:rtl/>
              </w:rPr>
              <w:t>בישל מים תוך מעל"ע</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Toc496175623 \h</w:instrText>
            </w:r>
            <w:r w:rsidR="001171C7">
              <w:rPr>
                <w:webHidden/>
                <w:rtl/>
              </w:rPr>
              <w:instrText xml:space="preserve"> </w:instrText>
            </w:r>
            <w:r w:rsidR="001171C7">
              <w:rPr>
                <w:webHidden/>
                <w:rtl/>
              </w:rPr>
            </w:r>
            <w:r w:rsidR="001171C7">
              <w:rPr>
                <w:webHidden/>
                <w:rtl/>
              </w:rPr>
              <w:fldChar w:fldCharType="separate"/>
            </w:r>
            <w:r w:rsidR="006A6D13">
              <w:rPr>
                <w:webHidden/>
                <w:rtl/>
              </w:rPr>
              <w:t>362</w:t>
            </w:r>
            <w:r w:rsidR="001171C7">
              <w:rPr>
                <w:webHidden/>
                <w:rtl/>
              </w:rPr>
              <w:fldChar w:fldCharType="end"/>
            </w:r>
          </w:hyperlink>
        </w:p>
        <w:p w:rsidR="001171C7" w:rsidRDefault="007978F4">
          <w:pPr>
            <w:pStyle w:val="TOC1"/>
            <w:rPr>
              <w:rFonts w:eastAsiaTheme="minorEastAsia" w:cstheme="minorBidi"/>
              <w:b w:val="0"/>
              <w:bCs w:val="0"/>
              <w:rtl/>
            </w:rPr>
          </w:pPr>
          <w:hyperlink w:anchor="_Toc496175624" w:history="1">
            <w:r w:rsidR="001171C7" w:rsidRPr="00D35CC1">
              <w:rPr>
                <w:rStyle w:val="Hyperlink"/>
                <w:rFonts w:cs="Guttman Drogolin"/>
                <w:rtl/>
              </w:rPr>
              <w:t>עוד הערה בדינא דבישל מים תוך מעל"ע</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Toc496175624 \h</w:instrText>
            </w:r>
            <w:r w:rsidR="001171C7">
              <w:rPr>
                <w:webHidden/>
                <w:rtl/>
              </w:rPr>
              <w:instrText xml:space="preserve"> </w:instrText>
            </w:r>
            <w:r w:rsidR="001171C7">
              <w:rPr>
                <w:webHidden/>
                <w:rtl/>
              </w:rPr>
            </w:r>
            <w:r w:rsidR="001171C7">
              <w:rPr>
                <w:webHidden/>
                <w:rtl/>
              </w:rPr>
              <w:fldChar w:fldCharType="separate"/>
            </w:r>
            <w:r w:rsidR="006A6D13">
              <w:rPr>
                <w:webHidden/>
                <w:rtl/>
              </w:rPr>
              <w:t>364</w:t>
            </w:r>
            <w:r w:rsidR="001171C7">
              <w:rPr>
                <w:webHidden/>
                <w:rtl/>
              </w:rPr>
              <w:fldChar w:fldCharType="end"/>
            </w:r>
          </w:hyperlink>
        </w:p>
        <w:p w:rsidR="001171C7" w:rsidRDefault="007978F4">
          <w:pPr>
            <w:pStyle w:val="TOC1"/>
            <w:rPr>
              <w:rFonts w:eastAsiaTheme="minorEastAsia" w:cstheme="minorBidi"/>
              <w:b w:val="0"/>
              <w:bCs w:val="0"/>
              <w:rtl/>
            </w:rPr>
          </w:pPr>
          <w:hyperlink w:anchor="_Toc496175625" w:history="1">
            <w:r w:rsidR="001171C7" w:rsidRPr="00D35CC1">
              <w:rPr>
                <w:rStyle w:val="Hyperlink"/>
                <w:rFonts w:cs="Guttman Drogolin"/>
                <w:rtl/>
              </w:rPr>
              <w:t>אם יש איסור דרבנן בנבילה שאינה ראוי' לגר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Toc496175625 \h</w:instrText>
            </w:r>
            <w:r w:rsidR="001171C7">
              <w:rPr>
                <w:webHidden/>
                <w:rtl/>
              </w:rPr>
              <w:instrText xml:space="preserve"> </w:instrText>
            </w:r>
            <w:r w:rsidR="001171C7">
              <w:rPr>
                <w:webHidden/>
                <w:rtl/>
              </w:rPr>
            </w:r>
            <w:r w:rsidR="001171C7">
              <w:rPr>
                <w:webHidden/>
                <w:rtl/>
              </w:rPr>
              <w:fldChar w:fldCharType="separate"/>
            </w:r>
            <w:r w:rsidR="006A6D13">
              <w:rPr>
                <w:webHidden/>
                <w:rtl/>
              </w:rPr>
              <w:t>364</w:t>
            </w:r>
            <w:r w:rsidR="001171C7">
              <w:rPr>
                <w:webHidden/>
                <w:rtl/>
              </w:rPr>
              <w:fldChar w:fldCharType="end"/>
            </w:r>
          </w:hyperlink>
        </w:p>
        <w:p w:rsidR="001171C7" w:rsidRDefault="007978F4">
          <w:pPr>
            <w:pStyle w:val="TOC1"/>
            <w:rPr>
              <w:rFonts w:eastAsiaTheme="minorEastAsia" w:cstheme="minorBidi"/>
              <w:b w:val="0"/>
              <w:bCs w:val="0"/>
              <w:rtl/>
            </w:rPr>
          </w:pPr>
          <w:hyperlink w:anchor="_Toc496175626" w:history="1">
            <w:r w:rsidR="001171C7" w:rsidRPr="00D35CC1">
              <w:rPr>
                <w:rStyle w:val="Hyperlink"/>
                <w:rFonts w:cs="Guttman Drogolin"/>
                <w:rtl/>
              </w:rPr>
              <w:t>מאכלות האסורות הפגומים מתחילת ברייתן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Toc496175626 \h</w:instrText>
            </w:r>
            <w:r w:rsidR="001171C7">
              <w:rPr>
                <w:webHidden/>
                <w:rtl/>
              </w:rPr>
              <w:instrText xml:space="preserve"> </w:instrText>
            </w:r>
            <w:r w:rsidR="001171C7">
              <w:rPr>
                <w:webHidden/>
                <w:rtl/>
              </w:rPr>
            </w:r>
            <w:r w:rsidR="001171C7">
              <w:rPr>
                <w:webHidden/>
                <w:rtl/>
              </w:rPr>
              <w:fldChar w:fldCharType="separate"/>
            </w:r>
            <w:r w:rsidR="006A6D13">
              <w:rPr>
                <w:webHidden/>
                <w:rtl/>
              </w:rPr>
              <w:t>365</w:t>
            </w:r>
            <w:r w:rsidR="001171C7">
              <w:rPr>
                <w:webHidden/>
                <w:rtl/>
              </w:rPr>
              <w:fldChar w:fldCharType="end"/>
            </w:r>
          </w:hyperlink>
        </w:p>
        <w:p w:rsidR="001171C7" w:rsidRDefault="007978F4">
          <w:pPr>
            <w:pStyle w:val="TOC1"/>
            <w:rPr>
              <w:rFonts w:eastAsiaTheme="minorEastAsia" w:cstheme="minorBidi"/>
              <w:b w:val="0"/>
              <w:bCs w:val="0"/>
              <w:rtl/>
            </w:rPr>
          </w:pPr>
          <w:hyperlink w:anchor="_Toc496175627" w:history="1">
            <w:r w:rsidR="001171C7" w:rsidRPr="00D35CC1">
              <w:rPr>
                <w:rStyle w:val="Hyperlink"/>
                <w:rFonts w:cs="Guttman Drogolin"/>
                <w:rtl/>
              </w:rPr>
              <w:t>מחלוקת הט"ז והרמ"א בעכבר שהתפרק לתוך תבשיל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Toc496175627 \h</w:instrText>
            </w:r>
            <w:r w:rsidR="001171C7">
              <w:rPr>
                <w:webHidden/>
                <w:rtl/>
              </w:rPr>
              <w:instrText xml:space="preserve"> </w:instrText>
            </w:r>
            <w:r w:rsidR="001171C7">
              <w:rPr>
                <w:webHidden/>
                <w:rtl/>
              </w:rPr>
            </w:r>
            <w:r w:rsidR="001171C7">
              <w:rPr>
                <w:webHidden/>
                <w:rtl/>
              </w:rPr>
              <w:fldChar w:fldCharType="separate"/>
            </w:r>
            <w:r w:rsidR="006A6D13">
              <w:rPr>
                <w:webHidden/>
                <w:rtl/>
              </w:rPr>
              <w:t>367</w:t>
            </w:r>
            <w:r w:rsidR="001171C7">
              <w:rPr>
                <w:webHidden/>
                <w:rtl/>
              </w:rPr>
              <w:fldChar w:fldCharType="end"/>
            </w:r>
          </w:hyperlink>
        </w:p>
        <w:p w:rsidR="001171C7" w:rsidRDefault="007978F4">
          <w:pPr>
            <w:pStyle w:val="TOC1"/>
            <w:rPr>
              <w:rFonts w:eastAsiaTheme="minorEastAsia" w:cstheme="minorBidi"/>
              <w:b w:val="0"/>
              <w:bCs w:val="0"/>
              <w:rtl/>
            </w:rPr>
          </w:pPr>
          <w:hyperlink w:anchor="_Toc496175628" w:history="1">
            <w:r w:rsidR="001171C7" w:rsidRPr="00D35CC1">
              <w:rPr>
                <w:rStyle w:val="Hyperlink"/>
                <w:rFonts w:cs="Guttman Drogolin"/>
                <w:rtl/>
              </w:rPr>
              <w:t>טעם של דברים המאוסים בשאר משקין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Toc496175628 \h</w:instrText>
            </w:r>
            <w:r w:rsidR="001171C7">
              <w:rPr>
                <w:webHidden/>
                <w:rtl/>
              </w:rPr>
              <w:instrText xml:space="preserve"> </w:instrText>
            </w:r>
            <w:r w:rsidR="001171C7">
              <w:rPr>
                <w:webHidden/>
                <w:rtl/>
              </w:rPr>
            </w:r>
            <w:r w:rsidR="001171C7">
              <w:rPr>
                <w:webHidden/>
                <w:rtl/>
              </w:rPr>
              <w:fldChar w:fldCharType="separate"/>
            </w:r>
            <w:r w:rsidR="006A6D13">
              <w:rPr>
                <w:webHidden/>
                <w:rtl/>
              </w:rPr>
              <w:t>367</w:t>
            </w:r>
            <w:r w:rsidR="001171C7">
              <w:rPr>
                <w:webHidden/>
                <w:rtl/>
              </w:rPr>
              <w:fldChar w:fldCharType="end"/>
            </w:r>
          </w:hyperlink>
        </w:p>
        <w:p w:rsidR="001171C7" w:rsidRDefault="007978F4">
          <w:pPr>
            <w:pStyle w:val="TOC1"/>
            <w:rPr>
              <w:rFonts w:eastAsiaTheme="minorEastAsia" w:cstheme="minorBidi"/>
              <w:b w:val="0"/>
              <w:bCs w:val="0"/>
              <w:rtl/>
            </w:rPr>
          </w:pPr>
          <w:hyperlink w:anchor="_Toc496175629" w:history="1">
            <w:r w:rsidR="001171C7" w:rsidRPr="00D35CC1">
              <w:rPr>
                <w:rStyle w:val="Hyperlink"/>
                <w:rFonts w:cs="Guttman Drogolin"/>
                <w:rtl/>
              </w:rPr>
              <w:t>דינם של שאר דברים המאוסים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Toc496175629 \h</w:instrText>
            </w:r>
            <w:r w:rsidR="001171C7">
              <w:rPr>
                <w:webHidden/>
                <w:rtl/>
              </w:rPr>
              <w:instrText xml:space="preserve"> </w:instrText>
            </w:r>
            <w:r w:rsidR="001171C7">
              <w:rPr>
                <w:webHidden/>
                <w:rtl/>
              </w:rPr>
            </w:r>
            <w:r w:rsidR="001171C7">
              <w:rPr>
                <w:webHidden/>
                <w:rtl/>
              </w:rPr>
              <w:fldChar w:fldCharType="separate"/>
            </w:r>
            <w:r w:rsidR="006A6D13">
              <w:rPr>
                <w:webHidden/>
                <w:rtl/>
              </w:rPr>
              <w:t>368</w:t>
            </w:r>
            <w:r w:rsidR="001171C7">
              <w:rPr>
                <w:webHidden/>
                <w:rtl/>
              </w:rPr>
              <w:fldChar w:fldCharType="end"/>
            </w:r>
          </w:hyperlink>
        </w:p>
        <w:p w:rsidR="001171C7" w:rsidRDefault="007978F4">
          <w:pPr>
            <w:pStyle w:val="TOC1"/>
            <w:rPr>
              <w:rFonts w:eastAsiaTheme="minorEastAsia" w:cstheme="minorBidi"/>
              <w:b w:val="0"/>
              <w:bCs w:val="0"/>
              <w:rtl/>
            </w:rPr>
          </w:pPr>
          <w:hyperlink w:anchor="_Toc496175630" w:history="1">
            <w:r w:rsidR="001171C7" w:rsidRPr="00D35CC1">
              <w:rPr>
                <w:rStyle w:val="Hyperlink"/>
                <w:rFonts w:cs="Guttman Drogolin"/>
                <w:rtl/>
              </w:rPr>
              <w:t>שיטת הר"ן בדברים המאוסים שנימוחו ונתערבו לתוך תבשיל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Toc496175630 \h</w:instrText>
            </w:r>
            <w:r w:rsidR="001171C7">
              <w:rPr>
                <w:webHidden/>
                <w:rtl/>
              </w:rPr>
              <w:instrText xml:space="preserve"> </w:instrText>
            </w:r>
            <w:r w:rsidR="001171C7">
              <w:rPr>
                <w:webHidden/>
                <w:rtl/>
              </w:rPr>
            </w:r>
            <w:r w:rsidR="001171C7">
              <w:rPr>
                <w:webHidden/>
                <w:rtl/>
              </w:rPr>
              <w:fldChar w:fldCharType="separate"/>
            </w:r>
            <w:r w:rsidR="006A6D13">
              <w:rPr>
                <w:webHidden/>
                <w:rtl/>
              </w:rPr>
              <w:t>368</w:t>
            </w:r>
            <w:r w:rsidR="001171C7">
              <w:rPr>
                <w:webHidden/>
                <w:rtl/>
              </w:rPr>
              <w:fldChar w:fldCharType="end"/>
            </w:r>
          </w:hyperlink>
        </w:p>
        <w:p w:rsidR="00B8771A" w:rsidRPr="00FE3C48" w:rsidRDefault="00B8771A" w:rsidP="00B8771A">
          <w:pPr>
            <w:pStyle w:val="TOC1"/>
            <w:spacing w:before="240"/>
            <w:rPr>
              <w:rStyle w:val="Hyperlink"/>
              <w:color w:val="auto"/>
              <w:sz w:val="28"/>
              <w:szCs w:val="28"/>
              <w:rtl/>
            </w:rPr>
          </w:pPr>
          <w:r>
            <w:rPr>
              <w:rStyle w:val="Hyperlink"/>
              <w:rFonts w:hint="cs"/>
              <w:color w:val="auto"/>
              <w:sz w:val="28"/>
              <w:szCs w:val="28"/>
              <w:rtl/>
            </w:rPr>
            <w:t>יורה דעה סי' ק"ז</w:t>
          </w:r>
        </w:p>
        <w:p w:rsidR="001171C7" w:rsidRDefault="007978F4">
          <w:pPr>
            <w:pStyle w:val="TOC1"/>
            <w:rPr>
              <w:rFonts w:eastAsiaTheme="minorEastAsia" w:cstheme="minorBidi"/>
              <w:b w:val="0"/>
              <w:bCs w:val="0"/>
              <w:rtl/>
            </w:rPr>
          </w:pPr>
          <w:hyperlink w:anchor="_Toc496175631" w:history="1">
            <w:r w:rsidR="001171C7" w:rsidRPr="00D35CC1">
              <w:rPr>
                <w:rStyle w:val="Hyperlink"/>
                <w:rFonts w:cs="Guttman Drogolin"/>
                <w:rtl/>
              </w:rPr>
              <w:t>בנידון של דג טמא שנמצא בתוך תערובת של דגים טהורים שהתבשלו ביחד בתוך מחבת 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Toc496175631 \h</w:instrText>
            </w:r>
            <w:r w:rsidR="001171C7">
              <w:rPr>
                <w:webHidden/>
                <w:rtl/>
              </w:rPr>
              <w:instrText xml:space="preserve"> </w:instrText>
            </w:r>
            <w:r w:rsidR="001171C7">
              <w:rPr>
                <w:webHidden/>
                <w:rtl/>
              </w:rPr>
            </w:r>
            <w:r w:rsidR="001171C7">
              <w:rPr>
                <w:webHidden/>
                <w:rtl/>
              </w:rPr>
              <w:fldChar w:fldCharType="separate"/>
            </w:r>
            <w:r w:rsidR="006A6D13">
              <w:rPr>
                <w:webHidden/>
                <w:rtl/>
              </w:rPr>
              <w:t>370</w:t>
            </w:r>
            <w:r w:rsidR="001171C7">
              <w:rPr>
                <w:webHidden/>
                <w:rtl/>
              </w:rPr>
              <w:fldChar w:fldCharType="end"/>
            </w:r>
          </w:hyperlink>
        </w:p>
        <w:p w:rsidR="001171C7" w:rsidRDefault="007978F4">
          <w:pPr>
            <w:pStyle w:val="TOC1"/>
            <w:rPr>
              <w:rFonts w:eastAsiaTheme="minorEastAsia" w:cstheme="minorBidi"/>
              <w:b w:val="0"/>
              <w:bCs w:val="0"/>
              <w:rtl/>
            </w:rPr>
          </w:pPr>
          <w:hyperlink w:anchor="_Toc496175632" w:history="1">
            <w:r w:rsidR="001171C7" w:rsidRPr="00D35CC1">
              <w:rPr>
                <w:rStyle w:val="Hyperlink"/>
                <w:rFonts w:cs="Guttman Drogolin"/>
                <w:rtl/>
              </w:rPr>
              <w:t>הדין במצא זבוב במרק</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Toc496175632 \h</w:instrText>
            </w:r>
            <w:r w:rsidR="001171C7">
              <w:rPr>
                <w:webHidden/>
                <w:rtl/>
              </w:rPr>
              <w:instrText xml:space="preserve"> </w:instrText>
            </w:r>
            <w:r w:rsidR="001171C7">
              <w:rPr>
                <w:webHidden/>
                <w:rtl/>
              </w:rPr>
            </w:r>
            <w:r w:rsidR="001171C7">
              <w:rPr>
                <w:webHidden/>
                <w:rtl/>
              </w:rPr>
              <w:fldChar w:fldCharType="separate"/>
            </w:r>
            <w:r w:rsidR="006A6D13">
              <w:rPr>
                <w:webHidden/>
                <w:rtl/>
              </w:rPr>
              <w:t>372</w:t>
            </w:r>
            <w:r w:rsidR="001171C7">
              <w:rPr>
                <w:webHidden/>
                <w:rtl/>
              </w:rPr>
              <w:fldChar w:fldCharType="end"/>
            </w:r>
          </w:hyperlink>
        </w:p>
        <w:p w:rsidR="00B8771A" w:rsidRPr="00FE3C48" w:rsidRDefault="00B8771A" w:rsidP="00B8771A">
          <w:pPr>
            <w:pStyle w:val="TOC1"/>
            <w:spacing w:before="240"/>
            <w:rPr>
              <w:rStyle w:val="Hyperlink"/>
              <w:color w:val="auto"/>
              <w:sz w:val="28"/>
              <w:szCs w:val="28"/>
              <w:rtl/>
            </w:rPr>
          </w:pPr>
          <w:r>
            <w:rPr>
              <w:rStyle w:val="Hyperlink"/>
              <w:rFonts w:hint="cs"/>
              <w:color w:val="auto"/>
              <w:sz w:val="28"/>
              <w:szCs w:val="28"/>
              <w:rtl/>
            </w:rPr>
            <w:t>יורה דעה סי' ק"ח</w:t>
          </w:r>
        </w:p>
        <w:p w:rsidR="001171C7" w:rsidRDefault="007978F4">
          <w:pPr>
            <w:pStyle w:val="TOC1"/>
            <w:rPr>
              <w:rFonts w:eastAsiaTheme="minorEastAsia" w:cstheme="minorBidi"/>
              <w:b w:val="0"/>
              <w:bCs w:val="0"/>
              <w:rtl/>
            </w:rPr>
          </w:pPr>
          <w:hyperlink w:anchor="_Toc496175633" w:history="1">
            <w:r w:rsidR="001171C7" w:rsidRPr="00D35CC1">
              <w:rPr>
                <w:rStyle w:val="Hyperlink"/>
                <w:rFonts w:cs="Guttman Drogolin"/>
                <w:rtl/>
              </w:rPr>
              <w:t>תמצית הסוגיא דריחא מילתא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Toc496175633 \h</w:instrText>
            </w:r>
            <w:r w:rsidR="001171C7">
              <w:rPr>
                <w:webHidden/>
                <w:rtl/>
              </w:rPr>
              <w:instrText xml:space="preserve"> </w:instrText>
            </w:r>
            <w:r w:rsidR="001171C7">
              <w:rPr>
                <w:webHidden/>
                <w:rtl/>
              </w:rPr>
            </w:r>
            <w:r w:rsidR="001171C7">
              <w:rPr>
                <w:webHidden/>
                <w:rtl/>
              </w:rPr>
              <w:fldChar w:fldCharType="separate"/>
            </w:r>
            <w:r w:rsidR="006A6D13">
              <w:rPr>
                <w:webHidden/>
                <w:rtl/>
              </w:rPr>
              <w:t>373</w:t>
            </w:r>
            <w:r w:rsidR="001171C7">
              <w:rPr>
                <w:webHidden/>
                <w:rtl/>
              </w:rPr>
              <w:fldChar w:fldCharType="end"/>
            </w:r>
          </w:hyperlink>
        </w:p>
        <w:p w:rsidR="001171C7" w:rsidRDefault="007978F4">
          <w:pPr>
            <w:pStyle w:val="TOC1"/>
            <w:rPr>
              <w:rFonts w:eastAsiaTheme="minorEastAsia" w:cstheme="minorBidi"/>
              <w:b w:val="0"/>
              <w:bCs w:val="0"/>
              <w:rtl/>
            </w:rPr>
          </w:pPr>
          <w:hyperlink w:anchor="_Toc496175634" w:history="1">
            <w:r w:rsidR="001171C7" w:rsidRPr="00D35CC1">
              <w:rPr>
                <w:rStyle w:val="Hyperlink"/>
                <w:rFonts w:cs="Guttman Drogolin"/>
                <w:rtl/>
              </w:rPr>
              <w:t>תנור גדול, ותנור סתום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Toc496175634 \h</w:instrText>
            </w:r>
            <w:r w:rsidR="001171C7">
              <w:rPr>
                <w:webHidden/>
                <w:rtl/>
              </w:rPr>
              <w:instrText xml:space="preserve"> </w:instrText>
            </w:r>
            <w:r w:rsidR="001171C7">
              <w:rPr>
                <w:webHidden/>
                <w:rtl/>
              </w:rPr>
            </w:r>
            <w:r w:rsidR="001171C7">
              <w:rPr>
                <w:webHidden/>
                <w:rtl/>
              </w:rPr>
              <w:fldChar w:fldCharType="separate"/>
            </w:r>
            <w:r w:rsidR="006A6D13">
              <w:rPr>
                <w:webHidden/>
                <w:rtl/>
              </w:rPr>
              <w:t>374</w:t>
            </w:r>
            <w:r w:rsidR="001171C7">
              <w:rPr>
                <w:webHidden/>
                <w:rtl/>
              </w:rPr>
              <w:fldChar w:fldCharType="end"/>
            </w:r>
          </w:hyperlink>
        </w:p>
        <w:p w:rsidR="001171C7" w:rsidRDefault="007978F4">
          <w:pPr>
            <w:pStyle w:val="TOC1"/>
            <w:rPr>
              <w:rFonts w:eastAsiaTheme="minorEastAsia" w:cstheme="minorBidi"/>
              <w:b w:val="0"/>
              <w:bCs w:val="0"/>
              <w:rtl/>
            </w:rPr>
          </w:pPr>
          <w:hyperlink w:anchor="_Toc496175635" w:history="1">
            <w:r w:rsidR="001171C7" w:rsidRPr="00D35CC1">
              <w:rPr>
                <w:rStyle w:val="Hyperlink"/>
                <w:rFonts w:cs="Guttman Drogolin"/>
                <w:rtl/>
              </w:rPr>
              <w:t>היתירא דכעין ב' קדירות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Toc496175635 \h</w:instrText>
            </w:r>
            <w:r w:rsidR="001171C7">
              <w:rPr>
                <w:webHidden/>
                <w:rtl/>
              </w:rPr>
              <w:instrText xml:space="preserve"> </w:instrText>
            </w:r>
            <w:r w:rsidR="001171C7">
              <w:rPr>
                <w:webHidden/>
                <w:rtl/>
              </w:rPr>
            </w:r>
            <w:r w:rsidR="001171C7">
              <w:rPr>
                <w:webHidden/>
                <w:rtl/>
              </w:rPr>
              <w:fldChar w:fldCharType="separate"/>
            </w:r>
            <w:r w:rsidR="006A6D13">
              <w:rPr>
                <w:webHidden/>
                <w:rtl/>
              </w:rPr>
              <w:t>375</w:t>
            </w:r>
            <w:r w:rsidR="001171C7">
              <w:rPr>
                <w:webHidden/>
                <w:rtl/>
              </w:rPr>
              <w:fldChar w:fldCharType="end"/>
            </w:r>
          </w:hyperlink>
        </w:p>
        <w:p w:rsidR="001171C7" w:rsidRDefault="007978F4">
          <w:pPr>
            <w:pStyle w:val="TOC1"/>
            <w:rPr>
              <w:rFonts w:eastAsiaTheme="minorEastAsia" w:cstheme="minorBidi"/>
              <w:b w:val="0"/>
              <w:bCs w:val="0"/>
              <w:rtl/>
            </w:rPr>
          </w:pPr>
          <w:hyperlink w:anchor="_Toc496175636" w:history="1">
            <w:r w:rsidR="001171C7" w:rsidRPr="00D35CC1">
              <w:rPr>
                <w:rStyle w:val="Hyperlink"/>
                <w:rFonts w:cs="Guttman Drogolin"/>
                <w:rtl/>
              </w:rPr>
              <w:t>עוד נושאים בדינא דריחא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Toc496175636 \h</w:instrText>
            </w:r>
            <w:r w:rsidR="001171C7">
              <w:rPr>
                <w:webHidden/>
                <w:rtl/>
              </w:rPr>
              <w:instrText xml:space="preserve"> </w:instrText>
            </w:r>
            <w:r w:rsidR="001171C7">
              <w:rPr>
                <w:webHidden/>
                <w:rtl/>
              </w:rPr>
            </w:r>
            <w:r w:rsidR="001171C7">
              <w:rPr>
                <w:webHidden/>
                <w:rtl/>
              </w:rPr>
              <w:fldChar w:fldCharType="separate"/>
            </w:r>
            <w:r w:rsidR="006A6D13">
              <w:rPr>
                <w:webHidden/>
                <w:rtl/>
              </w:rPr>
              <w:t>376</w:t>
            </w:r>
            <w:r w:rsidR="001171C7">
              <w:rPr>
                <w:webHidden/>
                <w:rtl/>
              </w:rPr>
              <w:fldChar w:fldCharType="end"/>
            </w:r>
          </w:hyperlink>
        </w:p>
        <w:p w:rsidR="001171C7" w:rsidRDefault="007978F4">
          <w:pPr>
            <w:pStyle w:val="TOC1"/>
            <w:rPr>
              <w:rFonts w:eastAsiaTheme="minorEastAsia" w:cstheme="minorBidi"/>
              <w:b w:val="0"/>
              <w:bCs w:val="0"/>
              <w:rtl/>
            </w:rPr>
          </w:pPr>
          <w:hyperlink w:anchor="_Toc496175637" w:history="1">
            <w:r w:rsidR="001171C7" w:rsidRPr="00D35CC1">
              <w:rPr>
                <w:rStyle w:val="Hyperlink"/>
                <w:rFonts w:cs="Guttman Drogolin"/>
                <w:rtl/>
              </w:rPr>
              <w:t>ריחא בפשטידא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Toc496175637 \h</w:instrText>
            </w:r>
            <w:r w:rsidR="001171C7">
              <w:rPr>
                <w:webHidden/>
                <w:rtl/>
              </w:rPr>
              <w:instrText xml:space="preserve"> </w:instrText>
            </w:r>
            <w:r w:rsidR="001171C7">
              <w:rPr>
                <w:webHidden/>
                <w:rtl/>
              </w:rPr>
            </w:r>
            <w:r w:rsidR="001171C7">
              <w:rPr>
                <w:webHidden/>
                <w:rtl/>
              </w:rPr>
              <w:fldChar w:fldCharType="separate"/>
            </w:r>
            <w:r w:rsidR="006A6D13">
              <w:rPr>
                <w:webHidden/>
                <w:rtl/>
              </w:rPr>
              <w:t>377</w:t>
            </w:r>
            <w:r w:rsidR="001171C7">
              <w:rPr>
                <w:webHidden/>
                <w:rtl/>
              </w:rPr>
              <w:fldChar w:fldCharType="end"/>
            </w:r>
          </w:hyperlink>
        </w:p>
        <w:p w:rsidR="001171C7" w:rsidRDefault="007978F4">
          <w:pPr>
            <w:pStyle w:val="TOC1"/>
            <w:rPr>
              <w:rFonts w:eastAsiaTheme="minorEastAsia" w:cstheme="minorBidi"/>
              <w:b w:val="0"/>
              <w:bCs w:val="0"/>
              <w:rtl/>
            </w:rPr>
          </w:pPr>
          <w:hyperlink w:anchor="_Toc496175638" w:history="1">
            <w:r w:rsidR="001171C7" w:rsidRPr="00D35CC1">
              <w:rPr>
                <w:rStyle w:val="Hyperlink"/>
                <w:rFonts w:cs="Guttman Drogolin"/>
                <w:rtl/>
              </w:rPr>
              <w:t>ריחא בדאיכא ששים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Toc496175638 \h</w:instrText>
            </w:r>
            <w:r w:rsidR="001171C7">
              <w:rPr>
                <w:webHidden/>
                <w:rtl/>
              </w:rPr>
              <w:instrText xml:space="preserve"> </w:instrText>
            </w:r>
            <w:r w:rsidR="001171C7">
              <w:rPr>
                <w:webHidden/>
                <w:rtl/>
              </w:rPr>
            </w:r>
            <w:r w:rsidR="001171C7">
              <w:rPr>
                <w:webHidden/>
                <w:rtl/>
              </w:rPr>
              <w:fldChar w:fldCharType="separate"/>
            </w:r>
            <w:r w:rsidR="006A6D13">
              <w:rPr>
                <w:webHidden/>
                <w:rtl/>
              </w:rPr>
              <w:t>377</w:t>
            </w:r>
            <w:r w:rsidR="001171C7">
              <w:rPr>
                <w:webHidden/>
                <w:rtl/>
              </w:rPr>
              <w:fldChar w:fldCharType="end"/>
            </w:r>
          </w:hyperlink>
        </w:p>
        <w:p w:rsidR="001171C7" w:rsidRDefault="007978F4">
          <w:pPr>
            <w:pStyle w:val="TOC1"/>
            <w:rPr>
              <w:rFonts w:eastAsiaTheme="minorEastAsia" w:cstheme="minorBidi"/>
              <w:b w:val="0"/>
              <w:bCs w:val="0"/>
              <w:rtl/>
            </w:rPr>
          </w:pPr>
          <w:hyperlink w:anchor="_Toc496175639" w:history="1">
            <w:r w:rsidR="001171C7" w:rsidRPr="00D35CC1">
              <w:rPr>
                <w:rStyle w:val="Hyperlink"/>
                <w:rFonts w:cs="Guttman Drogolin"/>
                <w:rtl/>
              </w:rPr>
              <w:t>כלי שאינו בן יומו כשא"א בענין אחר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Toc496175639 \h</w:instrText>
            </w:r>
            <w:r w:rsidR="001171C7">
              <w:rPr>
                <w:webHidden/>
                <w:rtl/>
              </w:rPr>
              <w:instrText xml:space="preserve"> </w:instrText>
            </w:r>
            <w:r w:rsidR="001171C7">
              <w:rPr>
                <w:webHidden/>
                <w:rtl/>
              </w:rPr>
            </w:r>
            <w:r w:rsidR="001171C7">
              <w:rPr>
                <w:webHidden/>
                <w:rtl/>
              </w:rPr>
              <w:fldChar w:fldCharType="separate"/>
            </w:r>
            <w:r w:rsidR="006A6D13">
              <w:rPr>
                <w:webHidden/>
                <w:rtl/>
              </w:rPr>
              <w:t>377</w:t>
            </w:r>
            <w:r w:rsidR="001171C7">
              <w:rPr>
                <w:webHidden/>
                <w:rtl/>
              </w:rPr>
              <w:fldChar w:fldCharType="end"/>
            </w:r>
          </w:hyperlink>
        </w:p>
        <w:p w:rsidR="001171C7" w:rsidRDefault="007978F4">
          <w:pPr>
            <w:pStyle w:val="TOC1"/>
            <w:rPr>
              <w:rFonts w:eastAsiaTheme="minorEastAsia" w:cstheme="minorBidi"/>
              <w:b w:val="0"/>
              <w:bCs w:val="0"/>
              <w:rtl/>
            </w:rPr>
          </w:pPr>
          <w:hyperlink w:anchor="_Toc496175640" w:history="1">
            <w:r w:rsidR="001171C7" w:rsidRPr="00D35CC1">
              <w:rPr>
                <w:rStyle w:val="Hyperlink"/>
                <w:rFonts w:cs="Guttman Drogolin"/>
                <w:rtl/>
              </w:rPr>
              <w:t>בכל המקרים של זיעה המוזכרים בגמ' ובפוסקים למה לא חשו לזיעה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Toc496175640 \h</w:instrText>
            </w:r>
            <w:r w:rsidR="001171C7">
              <w:rPr>
                <w:webHidden/>
                <w:rtl/>
              </w:rPr>
              <w:instrText xml:space="preserve"> </w:instrText>
            </w:r>
            <w:r w:rsidR="001171C7">
              <w:rPr>
                <w:webHidden/>
                <w:rtl/>
              </w:rPr>
            </w:r>
            <w:r w:rsidR="001171C7">
              <w:rPr>
                <w:webHidden/>
                <w:rtl/>
              </w:rPr>
              <w:fldChar w:fldCharType="separate"/>
            </w:r>
            <w:r w:rsidR="006A6D13">
              <w:rPr>
                <w:webHidden/>
                <w:rtl/>
              </w:rPr>
              <w:t>378</w:t>
            </w:r>
            <w:r w:rsidR="001171C7">
              <w:rPr>
                <w:webHidden/>
                <w:rtl/>
              </w:rPr>
              <w:fldChar w:fldCharType="end"/>
            </w:r>
          </w:hyperlink>
        </w:p>
        <w:p w:rsidR="00B8771A" w:rsidRPr="00FE3C48" w:rsidRDefault="00B8771A" w:rsidP="00B8771A">
          <w:pPr>
            <w:pStyle w:val="TOC1"/>
            <w:spacing w:before="240"/>
            <w:rPr>
              <w:rStyle w:val="Hyperlink"/>
              <w:color w:val="auto"/>
              <w:sz w:val="28"/>
              <w:szCs w:val="28"/>
              <w:rtl/>
            </w:rPr>
          </w:pPr>
          <w:r>
            <w:rPr>
              <w:rStyle w:val="Hyperlink"/>
              <w:rFonts w:hint="cs"/>
              <w:color w:val="auto"/>
              <w:sz w:val="28"/>
              <w:szCs w:val="28"/>
              <w:rtl/>
            </w:rPr>
            <w:t>יורה דעה סי' ק"ט</w:t>
          </w:r>
        </w:p>
        <w:p w:rsidR="001171C7" w:rsidRDefault="007978F4">
          <w:pPr>
            <w:pStyle w:val="TOC1"/>
            <w:rPr>
              <w:rFonts w:eastAsiaTheme="minorEastAsia" w:cstheme="minorBidi"/>
              <w:b w:val="0"/>
              <w:bCs w:val="0"/>
              <w:rtl/>
            </w:rPr>
          </w:pPr>
          <w:hyperlink w:anchor="_Toc496175641" w:history="1">
            <w:r w:rsidR="001171C7" w:rsidRPr="00D35CC1">
              <w:rPr>
                <w:rStyle w:val="Hyperlink"/>
                <w:rFonts w:cs="Guttman Drogolin"/>
                <w:rtl/>
              </w:rPr>
              <w:t>תמצית השיטות המוזכרות במחבר ורמ"א בדין ביטול יבש ביבש</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Toc496175641 \h</w:instrText>
            </w:r>
            <w:r w:rsidR="001171C7">
              <w:rPr>
                <w:webHidden/>
                <w:rtl/>
              </w:rPr>
              <w:instrText xml:space="preserve"> </w:instrText>
            </w:r>
            <w:r w:rsidR="001171C7">
              <w:rPr>
                <w:webHidden/>
                <w:rtl/>
              </w:rPr>
            </w:r>
            <w:r w:rsidR="001171C7">
              <w:rPr>
                <w:webHidden/>
                <w:rtl/>
              </w:rPr>
              <w:fldChar w:fldCharType="separate"/>
            </w:r>
            <w:r w:rsidR="006A6D13">
              <w:rPr>
                <w:webHidden/>
                <w:rtl/>
              </w:rPr>
              <w:t>379</w:t>
            </w:r>
            <w:r w:rsidR="001171C7">
              <w:rPr>
                <w:webHidden/>
                <w:rtl/>
              </w:rPr>
              <w:fldChar w:fldCharType="end"/>
            </w:r>
          </w:hyperlink>
        </w:p>
        <w:p w:rsidR="001171C7" w:rsidRDefault="007978F4">
          <w:pPr>
            <w:pStyle w:val="TOC1"/>
            <w:rPr>
              <w:rFonts w:eastAsiaTheme="minorEastAsia" w:cstheme="minorBidi"/>
              <w:b w:val="0"/>
              <w:bCs w:val="0"/>
              <w:rtl/>
            </w:rPr>
          </w:pPr>
          <w:hyperlink w:anchor="_Toc496175642" w:history="1">
            <w:r w:rsidR="001171C7" w:rsidRPr="00D35CC1">
              <w:rPr>
                <w:rStyle w:val="Hyperlink"/>
                <w:rFonts w:cs="Guttman Drogolin"/>
                <w:rtl/>
              </w:rPr>
              <w:t>היכי משכחת לה לדין ביטול יבש ביבש במין בשאינו מינו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Toc496175642 \h</w:instrText>
            </w:r>
            <w:r w:rsidR="001171C7">
              <w:rPr>
                <w:webHidden/>
                <w:rtl/>
              </w:rPr>
              <w:instrText xml:space="preserve"> </w:instrText>
            </w:r>
            <w:r w:rsidR="001171C7">
              <w:rPr>
                <w:webHidden/>
                <w:rtl/>
              </w:rPr>
            </w:r>
            <w:r w:rsidR="001171C7">
              <w:rPr>
                <w:webHidden/>
                <w:rtl/>
              </w:rPr>
              <w:fldChar w:fldCharType="separate"/>
            </w:r>
            <w:r w:rsidR="006A6D13">
              <w:rPr>
                <w:webHidden/>
                <w:rtl/>
              </w:rPr>
              <w:t>379</w:t>
            </w:r>
            <w:r w:rsidR="001171C7">
              <w:rPr>
                <w:webHidden/>
                <w:rtl/>
              </w:rPr>
              <w:fldChar w:fldCharType="end"/>
            </w:r>
          </w:hyperlink>
        </w:p>
        <w:p w:rsidR="001171C7" w:rsidRDefault="007978F4">
          <w:pPr>
            <w:pStyle w:val="TOC1"/>
            <w:rPr>
              <w:rFonts w:eastAsiaTheme="minorEastAsia" w:cstheme="minorBidi"/>
              <w:b w:val="0"/>
              <w:bCs w:val="0"/>
              <w:rtl/>
            </w:rPr>
          </w:pPr>
          <w:hyperlink w:anchor="_Toc496175643" w:history="1">
            <w:r w:rsidR="001171C7" w:rsidRPr="00D35CC1">
              <w:rPr>
                <w:rStyle w:val="Hyperlink"/>
                <w:rFonts w:cs="Guttman Drogolin"/>
                <w:rtl/>
              </w:rPr>
              <w:t>רוב מנין או רוב בנין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Toc496175643 \h</w:instrText>
            </w:r>
            <w:r w:rsidR="001171C7">
              <w:rPr>
                <w:webHidden/>
                <w:rtl/>
              </w:rPr>
              <w:instrText xml:space="preserve"> </w:instrText>
            </w:r>
            <w:r w:rsidR="001171C7">
              <w:rPr>
                <w:webHidden/>
                <w:rtl/>
              </w:rPr>
            </w:r>
            <w:r w:rsidR="001171C7">
              <w:rPr>
                <w:webHidden/>
                <w:rtl/>
              </w:rPr>
              <w:fldChar w:fldCharType="separate"/>
            </w:r>
            <w:r w:rsidR="006A6D13">
              <w:rPr>
                <w:webHidden/>
                <w:rtl/>
              </w:rPr>
              <w:t>379</w:t>
            </w:r>
            <w:r w:rsidR="001171C7">
              <w:rPr>
                <w:webHidden/>
                <w:rtl/>
              </w:rPr>
              <w:fldChar w:fldCharType="end"/>
            </w:r>
          </w:hyperlink>
        </w:p>
        <w:p w:rsidR="001171C7" w:rsidRDefault="007978F4">
          <w:pPr>
            <w:pStyle w:val="TOC1"/>
            <w:rPr>
              <w:rFonts w:eastAsiaTheme="minorEastAsia" w:cstheme="minorBidi"/>
              <w:b w:val="0"/>
              <w:bCs w:val="0"/>
              <w:rtl/>
            </w:rPr>
          </w:pPr>
          <w:hyperlink w:anchor="_Toc496175644" w:history="1">
            <w:r w:rsidR="001171C7" w:rsidRPr="00D35CC1">
              <w:rPr>
                <w:rStyle w:val="Hyperlink"/>
                <w:rFonts w:cs="Guttman Drogolin"/>
                <w:rtl/>
              </w:rPr>
              <w:t>אם יש ביטול ברוב בלי ידיעה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Toc496175644 \h</w:instrText>
            </w:r>
            <w:r w:rsidR="001171C7">
              <w:rPr>
                <w:webHidden/>
                <w:rtl/>
              </w:rPr>
              <w:instrText xml:space="preserve"> </w:instrText>
            </w:r>
            <w:r w:rsidR="001171C7">
              <w:rPr>
                <w:webHidden/>
                <w:rtl/>
              </w:rPr>
            </w:r>
            <w:r w:rsidR="001171C7">
              <w:rPr>
                <w:webHidden/>
                <w:rtl/>
              </w:rPr>
              <w:fldChar w:fldCharType="separate"/>
            </w:r>
            <w:r w:rsidR="006A6D13">
              <w:rPr>
                <w:webHidden/>
                <w:rtl/>
              </w:rPr>
              <w:t>379</w:t>
            </w:r>
            <w:r w:rsidR="001171C7">
              <w:rPr>
                <w:webHidden/>
                <w:rtl/>
              </w:rPr>
              <w:fldChar w:fldCharType="end"/>
            </w:r>
          </w:hyperlink>
        </w:p>
        <w:p w:rsidR="00B8771A" w:rsidRPr="00FE3C48" w:rsidRDefault="00B8771A" w:rsidP="00B8771A">
          <w:pPr>
            <w:pStyle w:val="TOC1"/>
            <w:spacing w:before="240"/>
            <w:rPr>
              <w:rStyle w:val="Hyperlink"/>
              <w:color w:val="auto"/>
              <w:sz w:val="28"/>
              <w:szCs w:val="28"/>
              <w:rtl/>
            </w:rPr>
          </w:pPr>
          <w:r>
            <w:rPr>
              <w:rStyle w:val="Hyperlink"/>
              <w:rFonts w:hint="cs"/>
              <w:color w:val="auto"/>
              <w:sz w:val="28"/>
              <w:szCs w:val="28"/>
              <w:rtl/>
            </w:rPr>
            <w:t>יורה דעה סי' צ"א וק"ה</w:t>
          </w:r>
        </w:p>
        <w:p w:rsidR="001171C7" w:rsidRDefault="007978F4">
          <w:pPr>
            <w:pStyle w:val="TOC1"/>
            <w:rPr>
              <w:rFonts w:eastAsiaTheme="minorEastAsia" w:cstheme="minorBidi"/>
              <w:b w:val="0"/>
              <w:bCs w:val="0"/>
              <w:rtl/>
            </w:rPr>
          </w:pPr>
          <w:hyperlink w:anchor="_Toc496175645" w:history="1">
            <w:r w:rsidR="001171C7" w:rsidRPr="00D35CC1">
              <w:rPr>
                <w:rStyle w:val="Hyperlink"/>
                <w:rFonts w:cs="Guttman Drogolin"/>
                <w:rtl/>
              </w:rPr>
              <w:t>דיני כבוש</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Toc496175645 \h</w:instrText>
            </w:r>
            <w:r w:rsidR="001171C7">
              <w:rPr>
                <w:webHidden/>
                <w:rtl/>
              </w:rPr>
              <w:instrText xml:space="preserve"> </w:instrText>
            </w:r>
            <w:r w:rsidR="001171C7">
              <w:rPr>
                <w:webHidden/>
                <w:rtl/>
              </w:rPr>
            </w:r>
            <w:r w:rsidR="001171C7">
              <w:rPr>
                <w:webHidden/>
                <w:rtl/>
              </w:rPr>
              <w:fldChar w:fldCharType="separate"/>
            </w:r>
            <w:r w:rsidR="006A6D13">
              <w:rPr>
                <w:webHidden/>
                <w:rtl/>
              </w:rPr>
              <w:t>380</w:t>
            </w:r>
            <w:r w:rsidR="001171C7">
              <w:rPr>
                <w:webHidden/>
                <w:rtl/>
              </w:rPr>
              <w:fldChar w:fldCharType="end"/>
            </w:r>
          </w:hyperlink>
        </w:p>
        <w:p w:rsidR="001171C7" w:rsidRDefault="007978F4">
          <w:pPr>
            <w:pStyle w:val="TOC1"/>
            <w:rPr>
              <w:rFonts w:eastAsiaTheme="minorEastAsia" w:cstheme="minorBidi"/>
              <w:b w:val="0"/>
              <w:bCs w:val="0"/>
              <w:rtl/>
            </w:rPr>
          </w:pPr>
          <w:hyperlink w:anchor="_Toc496175646" w:history="1">
            <w:r w:rsidR="001171C7" w:rsidRPr="00D35CC1">
              <w:rPr>
                <w:rStyle w:val="Hyperlink"/>
                <w:rFonts w:cs="Guttman Drogolin"/>
                <w:rtl/>
              </w:rPr>
              <w:t>גדרי כבוש</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Toc496175646 \h</w:instrText>
            </w:r>
            <w:r w:rsidR="001171C7">
              <w:rPr>
                <w:webHidden/>
                <w:rtl/>
              </w:rPr>
              <w:instrText xml:space="preserve"> </w:instrText>
            </w:r>
            <w:r w:rsidR="001171C7">
              <w:rPr>
                <w:webHidden/>
                <w:rtl/>
              </w:rPr>
            </w:r>
            <w:r w:rsidR="001171C7">
              <w:rPr>
                <w:webHidden/>
                <w:rtl/>
              </w:rPr>
              <w:fldChar w:fldCharType="separate"/>
            </w:r>
            <w:r w:rsidR="006A6D13">
              <w:rPr>
                <w:webHidden/>
                <w:rtl/>
              </w:rPr>
              <w:t>380</w:t>
            </w:r>
            <w:r w:rsidR="001171C7">
              <w:rPr>
                <w:webHidden/>
                <w:rtl/>
              </w:rPr>
              <w:fldChar w:fldCharType="end"/>
            </w:r>
          </w:hyperlink>
        </w:p>
        <w:p w:rsidR="001171C7" w:rsidRDefault="007978F4">
          <w:pPr>
            <w:pStyle w:val="TOC1"/>
            <w:rPr>
              <w:rFonts w:eastAsiaTheme="minorEastAsia" w:cstheme="minorBidi"/>
              <w:b w:val="0"/>
              <w:bCs w:val="0"/>
              <w:rtl/>
            </w:rPr>
          </w:pPr>
          <w:hyperlink w:anchor="_Toc496175647" w:history="1">
            <w:r w:rsidR="001171C7" w:rsidRPr="00D35CC1">
              <w:rPr>
                <w:rStyle w:val="Hyperlink"/>
                <w:rFonts w:cs="Guttman Drogolin"/>
                <w:rtl/>
              </w:rPr>
              <w:t>כבוש בכלים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Toc496175647 \h</w:instrText>
            </w:r>
            <w:r w:rsidR="001171C7">
              <w:rPr>
                <w:webHidden/>
                <w:rtl/>
              </w:rPr>
              <w:instrText xml:space="preserve"> </w:instrText>
            </w:r>
            <w:r w:rsidR="001171C7">
              <w:rPr>
                <w:webHidden/>
                <w:rtl/>
              </w:rPr>
            </w:r>
            <w:r w:rsidR="001171C7">
              <w:rPr>
                <w:webHidden/>
                <w:rtl/>
              </w:rPr>
              <w:fldChar w:fldCharType="separate"/>
            </w:r>
            <w:r w:rsidR="006A6D13">
              <w:rPr>
                <w:webHidden/>
                <w:rtl/>
              </w:rPr>
              <w:t>382</w:t>
            </w:r>
            <w:r w:rsidR="001171C7">
              <w:rPr>
                <w:webHidden/>
                <w:rtl/>
              </w:rPr>
              <w:fldChar w:fldCharType="end"/>
            </w:r>
          </w:hyperlink>
        </w:p>
        <w:p w:rsidR="001171C7" w:rsidRDefault="007978F4">
          <w:pPr>
            <w:pStyle w:val="TOC1"/>
            <w:rPr>
              <w:rFonts w:eastAsiaTheme="minorEastAsia" w:cstheme="minorBidi"/>
              <w:b w:val="0"/>
              <w:bCs w:val="0"/>
              <w:rtl/>
            </w:rPr>
          </w:pPr>
          <w:hyperlink w:anchor="_Toc496175648" w:history="1">
            <w:r w:rsidR="001171C7" w:rsidRPr="00D35CC1">
              <w:rPr>
                <w:rStyle w:val="Hyperlink"/>
                <w:rFonts w:cs="Guttman Drogolin"/>
                <w:rtl/>
              </w:rPr>
              <w:t>ספק כבוש</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Toc496175648 \h</w:instrText>
            </w:r>
            <w:r w:rsidR="001171C7">
              <w:rPr>
                <w:webHidden/>
                <w:rtl/>
              </w:rPr>
              <w:instrText xml:space="preserve"> </w:instrText>
            </w:r>
            <w:r w:rsidR="001171C7">
              <w:rPr>
                <w:webHidden/>
                <w:rtl/>
              </w:rPr>
            </w:r>
            <w:r w:rsidR="001171C7">
              <w:rPr>
                <w:webHidden/>
                <w:rtl/>
              </w:rPr>
              <w:fldChar w:fldCharType="separate"/>
            </w:r>
            <w:r w:rsidR="006A6D13">
              <w:rPr>
                <w:webHidden/>
                <w:rtl/>
              </w:rPr>
              <w:t>382</w:t>
            </w:r>
            <w:r w:rsidR="001171C7">
              <w:rPr>
                <w:webHidden/>
                <w:rtl/>
              </w:rPr>
              <w:fldChar w:fldCharType="end"/>
            </w:r>
          </w:hyperlink>
        </w:p>
        <w:p w:rsidR="001171C7" w:rsidRDefault="007978F4">
          <w:pPr>
            <w:pStyle w:val="TOC1"/>
            <w:rPr>
              <w:rFonts w:eastAsiaTheme="minorEastAsia" w:cstheme="minorBidi"/>
              <w:b w:val="0"/>
              <w:bCs w:val="0"/>
              <w:rtl/>
            </w:rPr>
          </w:pPr>
          <w:hyperlink w:anchor="_Toc496175649" w:history="1">
            <w:r w:rsidR="001171C7" w:rsidRPr="00D35CC1">
              <w:rPr>
                <w:rStyle w:val="Hyperlink"/>
                <w:rFonts w:cs="Guttman Drogolin"/>
                <w:rtl/>
              </w:rPr>
              <w:t>חיוב הדחה כשנגעו מאכלים זה בזה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Toc496175649 \h</w:instrText>
            </w:r>
            <w:r w:rsidR="001171C7">
              <w:rPr>
                <w:webHidden/>
                <w:rtl/>
              </w:rPr>
              <w:instrText xml:space="preserve"> </w:instrText>
            </w:r>
            <w:r w:rsidR="001171C7">
              <w:rPr>
                <w:webHidden/>
                <w:rtl/>
              </w:rPr>
            </w:r>
            <w:r w:rsidR="001171C7">
              <w:rPr>
                <w:webHidden/>
                <w:rtl/>
              </w:rPr>
              <w:fldChar w:fldCharType="separate"/>
            </w:r>
            <w:r w:rsidR="006A6D13">
              <w:rPr>
                <w:webHidden/>
                <w:rtl/>
              </w:rPr>
              <w:t>383</w:t>
            </w:r>
            <w:r w:rsidR="001171C7">
              <w:rPr>
                <w:webHidden/>
                <w:rtl/>
              </w:rPr>
              <w:fldChar w:fldCharType="end"/>
            </w:r>
          </w:hyperlink>
        </w:p>
        <w:p w:rsidR="001171C7" w:rsidRDefault="007978F4">
          <w:pPr>
            <w:pStyle w:val="TOC1"/>
            <w:rPr>
              <w:rFonts w:eastAsiaTheme="minorEastAsia" w:cstheme="minorBidi"/>
              <w:b w:val="0"/>
              <w:bCs w:val="0"/>
              <w:rtl/>
            </w:rPr>
          </w:pPr>
          <w:hyperlink w:anchor="_Toc496175650" w:history="1">
            <w:r w:rsidR="001171C7" w:rsidRPr="00D35CC1">
              <w:rPr>
                <w:rStyle w:val="Hyperlink"/>
                <w:rFonts w:cs="Guttman Drogolin"/>
                <w:rtl/>
              </w:rPr>
              <w:t>איזה נגיעה חייבת בהדחה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Toc496175650 \h</w:instrText>
            </w:r>
            <w:r w:rsidR="001171C7">
              <w:rPr>
                <w:webHidden/>
                <w:rtl/>
              </w:rPr>
              <w:instrText xml:space="preserve"> </w:instrText>
            </w:r>
            <w:r w:rsidR="001171C7">
              <w:rPr>
                <w:webHidden/>
                <w:rtl/>
              </w:rPr>
            </w:r>
            <w:r w:rsidR="001171C7">
              <w:rPr>
                <w:webHidden/>
                <w:rtl/>
              </w:rPr>
              <w:fldChar w:fldCharType="separate"/>
            </w:r>
            <w:r w:rsidR="006A6D13">
              <w:rPr>
                <w:webHidden/>
                <w:rtl/>
              </w:rPr>
              <w:t>384</w:t>
            </w:r>
            <w:r w:rsidR="001171C7">
              <w:rPr>
                <w:webHidden/>
                <w:rtl/>
              </w:rPr>
              <w:fldChar w:fldCharType="end"/>
            </w:r>
          </w:hyperlink>
        </w:p>
        <w:p w:rsidR="001171C7" w:rsidRDefault="007978F4">
          <w:pPr>
            <w:pStyle w:val="TOC1"/>
            <w:rPr>
              <w:rFonts w:eastAsiaTheme="minorEastAsia" w:cstheme="minorBidi"/>
              <w:b w:val="0"/>
              <w:bCs w:val="0"/>
              <w:rtl/>
            </w:rPr>
          </w:pPr>
          <w:hyperlink w:anchor="_Toc496175651" w:history="1">
            <w:r w:rsidR="001171C7" w:rsidRPr="00D35CC1">
              <w:rPr>
                <w:rStyle w:val="Hyperlink"/>
                <w:rFonts w:cs="Guttman Drogolin"/>
                <w:rtl/>
              </w:rPr>
              <w:t>עד כמה מתפשט טעם בצלי'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Toc496175651 \h</w:instrText>
            </w:r>
            <w:r w:rsidR="001171C7">
              <w:rPr>
                <w:webHidden/>
                <w:rtl/>
              </w:rPr>
              <w:instrText xml:space="preserve"> </w:instrText>
            </w:r>
            <w:r w:rsidR="001171C7">
              <w:rPr>
                <w:webHidden/>
                <w:rtl/>
              </w:rPr>
            </w:r>
            <w:r w:rsidR="001171C7">
              <w:rPr>
                <w:webHidden/>
                <w:rtl/>
              </w:rPr>
              <w:fldChar w:fldCharType="separate"/>
            </w:r>
            <w:r w:rsidR="006A6D13">
              <w:rPr>
                <w:webHidden/>
                <w:rtl/>
              </w:rPr>
              <w:t>386</w:t>
            </w:r>
            <w:r w:rsidR="001171C7">
              <w:rPr>
                <w:webHidden/>
                <w:rtl/>
              </w:rPr>
              <w:fldChar w:fldCharType="end"/>
            </w:r>
          </w:hyperlink>
        </w:p>
        <w:p w:rsidR="001171C7" w:rsidRDefault="007978F4">
          <w:pPr>
            <w:pStyle w:val="TOC1"/>
            <w:rPr>
              <w:rFonts w:eastAsiaTheme="minorEastAsia" w:cstheme="minorBidi"/>
              <w:b w:val="0"/>
              <w:bCs w:val="0"/>
              <w:rtl/>
            </w:rPr>
          </w:pPr>
          <w:hyperlink w:anchor="_Toc496175652" w:history="1">
            <w:r w:rsidR="001171C7" w:rsidRPr="00D35CC1">
              <w:rPr>
                <w:rStyle w:val="Hyperlink"/>
                <w:rFonts w:cs="Guttman Drogolin"/>
                <w:rtl/>
              </w:rPr>
              <w:t>במחלוקת אי תתאה גבר או עילאה גבר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Toc496175652 \h</w:instrText>
            </w:r>
            <w:r w:rsidR="001171C7">
              <w:rPr>
                <w:webHidden/>
                <w:rtl/>
              </w:rPr>
              <w:instrText xml:space="preserve"> </w:instrText>
            </w:r>
            <w:r w:rsidR="001171C7">
              <w:rPr>
                <w:webHidden/>
                <w:rtl/>
              </w:rPr>
            </w:r>
            <w:r w:rsidR="001171C7">
              <w:rPr>
                <w:webHidden/>
                <w:rtl/>
              </w:rPr>
              <w:fldChar w:fldCharType="separate"/>
            </w:r>
            <w:r w:rsidR="006A6D13">
              <w:rPr>
                <w:webHidden/>
                <w:rtl/>
              </w:rPr>
              <w:t>388</w:t>
            </w:r>
            <w:r w:rsidR="001171C7">
              <w:rPr>
                <w:webHidden/>
                <w:rtl/>
              </w:rPr>
              <w:fldChar w:fldCharType="end"/>
            </w:r>
          </w:hyperlink>
        </w:p>
        <w:p w:rsidR="001171C7" w:rsidRDefault="007978F4">
          <w:pPr>
            <w:pStyle w:val="TOC1"/>
            <w:rPr>
              <w:rFonts w:eastAsiaTheme="minorEastAsia" w:cstheme="minorBidi"/>
              <w:b w:val="0"/>
              <w:bCs w:val="0"/>
              <w:rtl/>
            </w:rPr>
          </w:pPr>
          <w:hyperlink w:anchor="_Toc496175653" w:history="1">
            <w:r w:rsidR="001171C7" w:rsidRPr="00D35CC1">
              <w:rPr>
                <w:rStyle w:val="Hyperlink"/>
                <w:rFonts w:cs="Guttman Drogolin"/>
                <w:rtl/>
              </w:rPr>
              <w:t>מה חשוב תתאה או עילאה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Toc496175653 \h</w:instrText>
            </w:r>
            <w:r w:rsidR="001171C7">
              <w:rPr>
                <w:webHidden/>
                <w:rtl/>
              </w:rPr>
              <w:instrText xml:space="preserve"> </w:instrText>
            </w:r>
            <w:r w:rsidR="001171C7">
              <w:rPr>
                <w:webHidden/>
                <w:rtl/>
              </w:rPr>
            </w:r>
            <w:r w:rsidR="001171C7">
              <w:rPr>
                <w:webHidden/>
                <w:rtl/>
              </w:rPr>
              <w:fldChar w:fldCharType="separate"/>
            </w:r>
            <w:r w:rsidR="006A6D13">
              <w:rPr>
                <w:webHidden/>
                <w:rtl/>
              </w:rPr>
              <w:t>390</w:t>
            </w:r>
            <w:r w:rsidR="001171C7">
              <w:rPr>
                <w:webHidden/>
                <w:rtl/>
              </w:rPr>
              <w:fldChar w:fldCharType="end"/>
            </w:r>
          </w:hyperlink>
        </w:p>
        <w:p w:rsidR="001171C7" w:rsidRDefault="007978F4">
          <w:pPr>
            <w:pStyle w:val="TOC1"/>
            <w:rPr>
              <w:rFonts w:eastAsiaTheme="minorEastAsia" w:cstheme="minorBidi"/>
              <w:b w:val="0"/>
              <w:bCs w:val="0"/>
              <w:rtl/>
            </w:rPr>
          </w:pPr>
          <w:hyperlink w:anchor="_Toc496175654" w:history="1">
            <w:r w:rsidR="001171C7" w:rsidRPr="00D35CC1">
              <w:rPr>
                <w:rStyle w:val="Hyperlink"/>
                <w:rFonts w:cs="Guttman Drogolin"/>
                <w:rtl/>
              </w:rPr>
              <w:t>בגירסת הגמ' ש'ביטול את מקומו סגי'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Toc496175654 \h</w:instrText>
            </w:r>
            <w:r w:rsidR="001171C7">
              <w:rPr>
                <w:webHidden/>
                <w:rtl/>
              </w:rPr>
              <w:instrText xml:space="preserve"> </w:instrText>
            </w:r>
            <w:r w:rsidR="001171C7">
              <w:rPr>
                <w:webHidden/>
                <w:rtl/>
              </w:rPr>
            </w:r>
            <w:r w:rsidR="001171C7">
              <w:rPr>
                <w:webHidden/>
                <w:rtl/>
              </w:rPr>
              <w:fldChar w:fldCharType="separate"/>
            </w:r>
            <w:r w:rsidR="006A6D13">
              <w:rPr>
                <w:webHidden/>
                <w:rtl/>
              </w:rPr>
              <w:t>390</w:t>
            </w:r>
            <w:r w:rsidR="001171C7">
              <w:rPr>
                <w:webHidden/>
                <w:rtl/>
              </w:rPr>
              <w:fldChar w:fldCharType="end"/>
            </w:r>
          </w:hyperlink>
        </w:p>
        <w:p w:rsidR="001171C7" w:rsidRDefault="007978F4">
          <w:pPr>
            <w:pStyle w:val="TOC1"/>
            <w:rPr>
              <w:rFonts w:eastAsiaTheme="minorEastAsia" w:cstheme="minorBidi"/>
              <w:b w:val="0"/>
              <w:bCs w:val="0"/>
              <w:rtl/>
            </w:rPr>
          </w:pPr>
          <w:hyperlink w:anchor="_Toc496175655" w:history="1">
            <w:r w:rsidR="001171C7" w:rsidRPr="00D35CC1">
              <w:rPr>
                <w:rStyle w:val="Hyperlink"/>
                <w:rFonts w:cs="Guttman Drogolin"/>
                <w:rtl/>
              </w:rPr>
              <w:t>הראי' מסכו בשמן של תרומה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Toc496175655 \h</w:instrText>
            </w:r>
            <w:r w:rsidR="001171C7">
              <w:rPr>
                <w:webHidden/>
                <w:rtl/>
              </w:rPr>
              <w:instrText xml:space="preserve"> </w:instrText>
            </w:r>
            <w:r w:rsidR="001171C7">
              <w:rPr>
                <w:webHidden/>
                <w:rtl/>
              </w:rPr>
            </w:r>
            <w:r w:rsidR="001171C7">
              <w:rPr>
                <w:webHidden/>
                <w:rtl/>
              </w:rPr>
              <w:fldChar w:fldCharType="separate"/>
            </w:r>
            <w:r w:rsidR="006A6D13">
              <w:rPr>
                <w:webHidden/>
                <w:rtl/>
              </w:rPr>
              <w:t>390</w:t>
            </w:r>
            <w:r w:rsidR="001171C7">
              <w:rPr>
                <w:webHidden/>
                <w:rtl/>
              </w:rPr>
              <w:fldChar w:fldCharType="end"/>
            </w:r>
          </w:hyperlink>
        </w:p>
        <w:p w:rsidR="001171C7" w:rsidRDefault="007978F4">
          <w:pPr>
            <w:pStyle w:val="TOC1"/>
            <w:rPr>
              <w:rFonts w:eastAsiaTheme="minorEastAsia" w:cstheme="minorBidi"/>
              <w:b w:val="0"/>
              <w:bCs w:val="0"/>
              <w:rtl/>
            </w:rPr>
          </w:pPr>
          <w:hyperlink w:anchor="_Toc496175656" w:history="1">
            <w:r w:rsidR="001171C7" w:rsidRPr="00D35CC1">
              <w:rPr>
                <w:rStyle w:val="Hyperlink"/>
                <w:rFonts w:cs="Guttman Drogolin"/>
                <w:rtl/>
              </w:rPr>
              <w:t>בדין כדי קליפה בחם לתוך צונן למ"ד תתאה גבר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Toc496175656 \h</w:instrText>
            </w:r>
            <w:r w:rsidR="001171C7">
              <w:rPr>
                <w:webHidden/>
                <w:rtl/>
              </w:rPr>
              <w:instrText xml:space="preserve"> </w:instrText>
            </w:r>
            <w:r w:rsidR="001171C7">
              <w:rPr>
                <w:webHidden/>
                <w:rtl/>
              </w:rPr>
            </w:r>
            <w:r w:rsidR="001171C7">
              <w:rPr>
                <w:webHidden/>
                <w:rtl/>
              </w:rPr>
              <w:fldChar w:fldCharType="separate"/>
            </w:r>
            <w:r w:rsidR="006A6D13">
              <w:rPr>
                <w:webHidden/>
                <w:rtl/>
              </w:rPr>
              <w:t>391</w:t>
            </w:r>
            <w:r w:rsidR="001171C7">
              <w:rPr>
                <w:webHidden/>
                <w:rtl/>
              </w:rPr>
              <w:fldChar w:fldCharType="end"/>
            </w:r>
          </w:hyperlink>
        </w:p>
        <w:p w:rsidR="001171C7" w:rsidRDefault="007978F4">
          <w:pPr>
            <w:pStyle w:val="TOC1"/>
            <w:rPr>
              <w:rFonts w:eastAsiaTheme="minorEastAsia" w:cstheme="minorBidi"/>
              <w:b w:val="0"/>
              <w:bCs w:val="0"/>
              <w:rtl/>
            </w:rPr>
          </w:pPr>
          <w:hyperlink w:anchor="_Toc496175657" w:history="1">
            <w:r w:rsidR="001171C7" w:rsidRPr="00D35CC1">
              <w:rPr>
                <w:rStyle w:val="Hyperlink"/>
                <w:rFonts w:cs="Guttman Drogolin"/>
                <w:rtl/>
              </w:rPr>
              <w:t>חילוקים בין בישול בשבת להעברת טעם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Toc496175657 \h</w:instrText>
            </w:r>
            <w:r w:rsidR="001171C7">
              <w:rPr>
                <w:webHidden/>
                <w:rtl/>
              </w:rPr>
              <w:instrText xml:space="preserve"> </w:instrText>
            </w:r>
            <w:r w:rsidR="001171C7">
              <w:rPr>
                <w:webHidden/>
                <w:rtl/>
              </w:rPr>
            </w:r>
            <w:r w:rsidR="001171C7">
              <w:rPr>
                <w:webHidden/>
                <w:rtl/>
              </w:rPr>
              <w:fldChar w:fldCharType="separate"/>
            </w:r>
            <w:r w:rsidR="006A6D13">
              <w:rPr>
                <w:webHidden/>
                <w:rtl/>
              </w:rPr>
              <w:t>394</w:t>
            </w:r>
            <w:r w:rsidR="001171C7">
              <w:rPr>
                <w:webHidden/>
                <w:rtl/>
              </w:rPr>
              <w:fldChar w:fldCharType="end"/>
            </w:r>
          </w:hyperlink>
        </w:p>
        <w:p w:rsidR="001171C7" w:rsidRDefault="007978F4">
          <w:pPr>
            <w:pStyle w:val="TOC1"/>
            <w:rPr>
              <w:rFonts w:eastAsiaTheme="minorEastAsia" w:cstheme="minorBidi"/>
              <w:b w:val="0"/>
              <w:bCs w:val="0"/>
              <w:rtl/>
            </w:rPr>
          </w:pPr>
          <w:hyperlink w:anchor="_Toc496175658" w:history="1">
            <w:r w:rsidR="001171C7" w:rsidRPr="00D35CC1">
              <w:rPr>
                <w:rStyle w:val="Hyperlink"/>
                <w:rFonts w:cs="Guttman Drogolin"/>
                <w:rtl/>
              </w:rPr>
              <w:t>עוד בשיטת הרשב"ם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Toc496175658 \h</w:instrText>
            </w:r>
            <w:r w:rsidR="001171C7">
              <w:rPr>
                <w:webHidden/>
                <w:rtl/>
              </w:rPr>
              <w:instrText xml:space="preserve"> </w:instrText>
            </w:r>
            <w:r w:rsidR="001171C7">
              <w:rPr>
                <w:webHidden/>
                <w:rtl/>
              </w:rPr>
            </w:r>
            <w:r w:rsidR="001171C7">
              <w:rPr>
                <w:webHidden/>
                <w:rtl/>
              </w:rPr>
              <w:fldChar w:fldCharType="separate"/>
            </w:r>
            <w:r w:rsidR="006A6D13">
              <w:rPr>
                <w:webHidden/>
                <w:rtl/>
              </w:rPr>
              <w:t>394</w:t>
            </w:r>
            <w:r w:rsidR="001171C7">
              <w:rPr>
                <w:webHidden/>
                <w:rtl/>
              </w:rPr>
              <w:fldChar w:fldCharType="end"/>
            </w:r>
          </w:hyperlink>
        </w:p>
        <w:p w:rsidR="001171C7" w:rsidRDefault="007978F4">
          <w:pPr>
            <w:pStyle w:val="TOC1"/>
            <w:rPr>
              <w:rFonts w:eastAsiaTheme="minorEastAsia" w:cstheme="minorBidi"/>
              <w:b w:val="0"/>
              <w:bCs w:val="0"/>
              <w:rtl/>
            </w:rPr>
          </w:pPr>
          <w:hyperlink w:anchor="_Toc496175659" w:history="1">
            <w:r w:rsidR="001171C7" w:rsidRPr="00D35CC1">
              <w:rPr>
                <w:rStyle w:val="Hyperlink"/>
                <w:rFonts w:cs="Guttman Drogolin"/>
                <w:rtl/>
              </w:rPr>
              <w:t>כלי שלישי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Toc496175659 \h</w:instrText>
            </w:r>
            <w:r w:rsidR="001171C7">
              <w:rPr>
                <w:webHidden/>
                <w:rtl/>
              </w:rPr>
              <w:instrText xml:space="preserve"> </w:instrText>
            </w:r>
            <w:r w:rsidR="001171C7">
              <w:rPr>
                <w:webHidden/>
                <w:rtl/>
              </w:rPr>
            </w:r>
            <w:r w:rsidR="001171C7">
              <w:rPr>
                <w:webHidden/>
                <w:rtl/>
              </w:rPr>
              <w:fldChar w:fldCharType="separate"/>
            </w:r>
            <w:r w:rsidR="006A6D13">
              <w:rPr>
                <w:webHidden/>
                <w:rtl/>
              </w:rPr>
              <w:t>394</w:t>
            </w:r>
            <w:r w:rsidR="001171C7">
              <w:rPr>
                <w:webHidden/>
                <w:rtl/>
              </w:rPr>
              <w:fldChar w:fldCharType="end"/>
            </w:r>
          </w:hyperlink>
        </w:p>
        <w:p w:rsidR="001171C7" w:rsidRDefault="007978F4">
          <w:pPr>
            <w:pStyle w:val="TOC1"/>
            <w:rPr>
              <w:rFonts w:eastAsiaTheme="minorEastAsia" w:cstheme="minorBidi"/>
              <w:b w:val="0"/>
              <w:bCs w:val="0"/>
              <w:rtl/>
            </w:rPr>
          </w:pPr>
          <w:hyperlink w:anchor="_Toc496175660" w:history="1">
            <w:r w:rsidR="001171C7" w:rsidRPr="00D35CC1">
              <w:rPr>
                <w:rStyle w:val="Hyperlink"/>
                <w:rFonts w:cs="Guttman Drogolin"/>
                <w:rtl/>
              </w:rPr>
              <w:t>סוגיית הגמרא במס' שבת דף מ"ב ע"א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Toc496175660 \h</w:instrText>
            </w:r>
            <w:r w:rsidR="001171C7">
              <w:rPr>
                <w:webHidden/>
                <w:rtl/>
              </w:rPr>
              <w:instrText xml:space="preserve"> </w:instrText>
            </w:r>
            <w:r w:rsidR="001171C7">
              <w:rPr>
                <w:webHidden/>
                <w:rtl/>
              </w:rPr>
            </w:r>
            <w:r w:rsidR="001171C7">
              <w:rPr>
                <w:webHidden/>
                <w:rtl/>
              </w:rPr>
              <w:fldChar w:fldCharType="separate"/>
            </w:r>
            <w:r w:rsidR="006A6D13">
              <w:rPr>
                <w:webHidden/>
                <w:rtl/>
              </w:rPr>
              <w:t>395</w:t>
            </w:r>
            <w:r w:rsidR="001171C7">
              <w:rPr>
                <w:webHidden/>
                <w:rtl/>
              </w:rPr>
              <w:fldChar w:fldCharType="end"/>
            </w:r>
          </w:hyperlink>
        </w:p>
        <w:p w:rsidR="001171C7" w:rsidRDefault="007978F4">
          <w:pPr>
            <w:pStyle w:val="TOC1"/>
            <w:rPr>
              <w:rFonts w:eastAsiaTheme="minorEastAsia" w:cstheme="minorBidi"/>
              <w:b w:val="0"/>
              <w:bCs w:val="0"/>
              <w:rtl/>
            </w:rPr>
          </w:pPr>
          <w:hyperlink w:anchor="_Toc496175661" w:history="1">
            <w:r w:rsidR="001171C7" w:rsidRPr="00D35CC1">
              <w:rPr>
                <w:rStyle w:val="Hyperlink"/>
                <w:rFonts w:cs="Guttman Drogolin"/>
                <w:rtl/>
              </w:rPr>
              <w:t>עוד בשיטת הרשב"ם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Toc496175661 \h</w:instrText>
            </w:r>
            <w:r w:rsidR="001171C7">
              <w:rPr>
                <w:webHidden/>
                <w:rtl/>
              </w:rPr>
              <w:instrText xml:space="preserve"> </w:instrText>
            </w:r>
            <w:r w:rsidR="001171C7">
              <w:rPr>
                <w:webHidden/>
                <w:rtl/>
              </w:rPr>
            </w:r>
            <w:r w:rsidR="001171C7">
              <w:rPr>
                <w:webHidden/>
                <w:rtl/>
              </w:rPr>
              <w:fldChar w:fldCharType="separate"/>
            </w:r>
            <w:r w:rsidR="006A6D13">
              <w:rPr>
                <w:webHidden/>
                <w:rtl/>
              </w:rPr>
              <w:t>397</w:t>
            </w:r>
            <w:r w:rsidR="001171C7">
              <w:rPr>
                <w:webHidden/>
                <w:rtl/>
              </w:rPr>
              <w:fldChar w:fldCharType="end"/>
            </w:r>
          </w:hyperlink>
        </w:p>
        <w:p w:rsidR="001171C7" w:rsidRDefault="007978F4">
          <w:pPr>
            <w:pStyle w:val="TOC1"/>
            <w:rPr>
              <w:rFonts w:eastAsiaTheme="minorEastAsia" w:cstheme="minorBidi"/>
              <w:b w:val="0"/>
              <w:bCs w:val="0"/>
              <w:rtl/>
            </w:rPr>
          </w:pPr>
          <w:hyperlink w:anchor="_Toc496175662" w:history="1">
            <w:r w:rsidR="001171C7" w:rsidRPr="00D35CC1">
              <w:rPr>
                <w:rStyle w:val="Hyperlink"/>
                <w:rFonts w:cs="Guttman Drogolin"/>
                <w:rtl/>
              </w:rPr>
              <w:t>כלי שני בהעברת טעם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Toc496175662 \h</w:instrText>
            </w:r>
            <w:r w:rsidR="001171C7">
              <w:rPr>
                <w:webHidden/>
                <w:rtl/>
              </w:rPr>
              <w:instrText xml:space="preserve"> </w:instrText>
            </w:r>
            <w:r w:rsidR="001171C7">
              <w:rPr>
                <w:webHidden/>
                <w:rtl/>
              </w:rPr>
            </w:r>
            <w:r w:rsidR="001171C7">
              <w:rPr>
                <w:webHidden/>
                <w:rtl/>
              </w:rPr>
              <w:fldChar w:fldCharType="separate"/>
            </w:r>
            <w:r w:rsidR="006A6D13">
              <w:rPr>
                <w:webHidden/>
                <w:rtl/>
              </w:rPr>
              <w:t>397</w:t>
            </w:r>
            <w:r w:rsidR="001171C7">
              <w:rPr>
                <w:webHidden/>
                <w:rtl/>
              </w:rPr>
              <w:fldChar w:fldCharType="end"/>
            </w:r>
          </w:hyperlink>
        </w:p>
        <w:p w:rsidR="001171C7" w:rsidRDefault="007978F4">
          <w:pPr>
            <w:pStyle w:val="TOC1"/>
            <w:rPr>
              <w:rFonts w:eastAsiaTheme="minorEastAsia" w:cstheme="minorBidi"/>
              <w:b w:val="0"/>
              <w:bCs w:val="0"/>
              <w:rtl/>
            </w:rPr>
          </w:pPr>
          <w:hyperlink w:anchor="_Toc496175663" w:history="1">
            <w:r w:rsidR="001171C7" w:rsidRPr="00D35CC1">
              <w:rPr>
                <w:rStyle w:val="Hyperlink"/>
                <w:rFonts w:cs="Guttman Drogolin"/>
                <w:rtl/>
              </w:rPr>
              <w:t>עוד בדבר גוש</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Toc496175663 \h</w:instrText>
            </w:r>
            <w:r w:rsidR="001171C7">
              <w:rPr>
                <w:webHidden/>
                <w:rtl/>
              </w:rPr>
              <w:instrText xml:space="preserve"> </w:instrText>
            </w:r>
            <w:r w:rsidR="001171C7">
              <w:rPr>
                <w:webHidden/>
                <w:rtl/>
              </w:rPr>
            </w:r>
            <w:r w:rsidR="001171C7">
              <w:rPr>
                <w:webHidden/>
                <w:rtl/>
              </w:rPr>
              <w:fldChar w:fldCharType="separate"/>
            </w:r>
            <w:r w:rsidR="006A6D13">
              <w:rPr>
                <w:webHidden/>
                <w:rtl/>
              </w:rPr>
              <w:t>398</w:t>
            </w:r>
            <w:r w:rsidR="001171C7">
              <w:rPr>
                <w:webHidden/>
                <w:rtl/>
              </w:rPr>
              <w:fldChar w:fldCharType="end"/>
            </w:r>
          </w:hyperlink>
        </w:p>
        <w:p w:rsidR="001171C7" w:rsidRDefault="007978F4">
          <w:pPr>
            <w:pStyle w:val="TOC1"/>
            <w:rPr>
              <w:rFonts w:eastAsiaTheme="minorEastAsia" w:cstheme="minorBidi"/>
              <w:b w:val="0"/>
              <w:bCs w:val="0"/>
              <w:rtl/>
            </w:rPr>
          </w:pPr>
          <w:hyperlink w:anchor="_Toc496175664" w:history="1">
            <w:r w:rsidR="001171C7" w:rsidRPr="00D35CC1">
              <w:rPr>
                <w:rStyle w:val="Hyperlink"/>
                <w:rFonts w:cs="Guttman Drogolin"/>
                <w:rtl/>
              </w:rPr>
              <w:t>בענין שיעור יד סולדת בו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Toc496175664 \h</w:instrText>
            </w:r>
            <w:r w:rsidR="001171C7">
              <w:rPr>
                <w:webHidden/>
                <w:rtl/>
              </w:rPr>
              <w:instrText xml:space="preserve"> </w:instrText>
            </w:r>
            <w:r w:rsidR="001171C7">
              <w:rPr>
                <w:webHidden/>
                <w:rtl/>
              </w:rPr>
            </w:r>
            <w:r w:rsidR="001171C7">
              <w:rPr>
                <w:webHidden/>
                <w:rtl/>
              </w:rPr>
              <w:fldChar w:fldCharType="separate"/>
            </w:r>
            <w:r w:rsidR="006A6D13">
              <w:rPr>
                <w:webHidden/>
                <w:rtl/>
              </w:rPr>
              <w:t>399</w:t>
            </w:r>
            <w:r w:rsidR="001171C7">
              <w:rPr>
                <w:webHidden/>
                <w:rtl/>
              </w:rPr>
              <w:fldChar w:fldCharType="end"/>
            </w:r>
          </w:hyperlink>
        </w:p>
        <w:p w:rsidR="001171C7" w:rsidRDefault="007978F4">
          <w:pPr>
            <w:pStyle w:val="TOC1"/>
            <w:rPr>
              <w:rFonts w:eastAsiaTheme="minorEastAsia" w:cstheme="minorBidi"/>
              <w:b w:val="0"/>
              <w:bCs w:val="0"/>
              <w:rtl/>
            </w:rPr>
          </w:pPr>
          <w:hyperlink w:anchor="_Toc496175665" w:history="1">
            <w:r w:rsidR="001171C7" w:rsidRPr="00D35CC1">
              <w:rPr>
                <w:rStyle w:val="Hyperlink"/>
                <w:rFonts w:cs="Guttman Drogolin"/>
                <w:rtl/>
              </w:rPr>
              <w:t>חם בצד צונן מה דינו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Toc496175665 \h</w:instrText>
            </w:r>
            <w:r w:rsidR="001171C7">
              <w:rPr>
                <w:webHidden/>
                <w:rtl/>
              </w:rPr>
              <w:instrText xml:space="preserve"> </w:instrText>
            </w:r>
            <w:r w:rsidR="001171C7">
              <w:rPr>
                <w:webHidden/>
                <w:rtl/>
              </w:rPr>
            </w:r>
            <w:r w:rsidR="001171C7">
              <w:rPr>
                <w:webHidden/>
                <w:rtl/>
              </w:rPr>
              <w:fldChar w:fldCharType="separate"/>
            </w:r>
            <w:r w:rsidR="006A6D13">
              <w:rPr>
                <w:webHidden/>
                <w:rtl/>
              </w:rPr>
              <w:t>400</w:t>
            </w:r>
            <w:r w:rsidR="001171C7">
              <w:rPr>
                <w:webHidden/>
                <w:rtl/>
              </w:rPr>
              <w:fldChar w:fldCharType="end"/>
            </w:r>
          </w:hyperlink>
        </w:p>
        <w:p w:rsidR="001171C7" w:rsidRDefault="007978F4">
          <w:pPr>
            <w:pStyle w:val="TOC1"/>
            <w:rPr>
              <w:rFonts w:eastAsiaTheme="minorEastAsia" w:cstheme="minorBidi"/>
              <w:b w:val="0"/>
              <w:bCs w:val="0"/>
              <w:rtl/>
            </w:rPr>
          </w:pPr>
          <w:hyperlink w:anchor="_Toc496175666" w:history="1">
            <w:r w:rsidR="001171C7" w:rsidRPr="00D35CC1">
              <w:rPr>
                <w:rStyle w:val="Hyperlink"/>
                <w:rFonts w:cs="Guttman Drogolin"/>
                <w:rtl/>
              </w:rPr>
              <w:t>סוף דברי הרמ"א בסי' ק"ה סע' ג'</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Toc496175666 \h</w:instrText>
            </w:r>
            <w:r w:rsidR="001171C7">
              <w:rPr>
                <w:webHidden/>
                <w:rtl/>
              </w:rPr>
              <w:instrText xml:space="preserve"> </w:instrText>
            </w:r>
            <w:r w:rsidR="001171C7">
              <w:rPr>
                <w:webHidden/>
                <w:rtl/>
              </w:rPr>
            </w:r>
            <w:r w:rsidR="001171C7">
              <w:rPr>
                <w:webHidden/>
                <w:rtl/>
              </w:rPr>
              <w:fldChar w:fldCharType="separate"/>
            </w:r>
            <w:r w:rsidR="006A6D13">
              <w:rPr>
                <w:webHidden/>
                <w:rtl/>
              </w:rPr>
              <w:t>401</w:t>
            </w:r>
            <w:r w:rsidR="001171C7">
              <w:rPr>
                <w:webHidden/>
                <w:rtl/>
              </w:rPr>
              <w:fldChar w:fldCharType="end"/>
            </w:r>
          </w:hyperlink>
        </w:p>
        <w:p w:rsidR="001171C7" w:rsidRDefault="007978F4">
          <w:pPr>
            <w:pStyle w:val="TOC1"/>
            <w:rPr>
              <w:rFonts w:eastAsiaTheme="minorEastAsia" w:cstheme="minorBidi"/>
              <w:b w:val="0"/>
              <w:bCs w:val="0"/>
              <w:rtl/>
            </w:rPr>
          </w:pPr>
          <w:hyperlink w:anchor="_Toc496175667" w:history="1">
            <w:r w:rsidR="001171C7" w:rsidRPr="00D35CC1">
              <w:rPr>
                <w:rStyle w:val="Hyperlink"/>
                <w:rFonts w:cs="Guttman Drogolin"/>
                <w:rtl/>
              </w:rPr>
              <w:t>בדין כף שהוציא משקין מכלי ראשון על ידה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Toc496175667 \h</w:instrText>
            </w:r>
            <w:r w:rsidR="001171C7">
              <w:rPr>
                <w:webHidden/>
                <w:rtl/>
              </w:rPr>
              <w:instrText xml:space="preserve"> </w:instrText>
            </w:r>
            <w:r w:rsidR="001171C7">
              <w:rPr>
                <w:webHidden/>
                <w:rtl/>
              </w:rPr>
            </w:r>
            <w:r w:rsidR="001171C7">
              <w:rPr>
                <w:webHidden/>
                <w:rtl/>
              </w:rPr>
              <w:fldChar w:fldCharType="separate"/>
            </w:r>
            <w:r w:rsidR="006A6D13">
              <w:rPr>
                <w:webHidden/>
                <w:rtl/>
              </w:rPr>
              <w:t>401</w:t>
            </w:r>
            <w:r w:rsidR="001171C7">
              <w:rPr>
                <w:webHidden/>
                <w:rtl/>
              </w:rPr>
              <w:fldChar w:fldCharType="end"/>
            </w:r>
          </w:hyperlink>
        </w:p>
        <w:p w:rsidR="001171C7" w:rsidRDefault="007978F4">
          <w:pPr>
            <w:pStyle w:val="TOC1"/>
            <w:rPr>
              <w:rFonts w:eastAsiaTheme="minorEastAsia" w:cstheme="minorBidi"/>
              <w:b w:val="0"/>
              <w:bCs w:val="0"/>
              <w:rtl/>
            </w:rPr>
          </w:pPr>
          <w:hyperlink w:anchor="_Toc496175668" w:history="1">
            <w:r w:rsidR="001171C7" w:rsidRPr="00D35CC1">
              <w:rPr>
                <w:rStyle w:val="Hyperlink"/>
                <w:rFonts w:cs="Guttman Drogolin"/>
                <w:rtl/>
              </w:rPr>
              <w:t>בדברי הרמ"א בסי' צ"ב סע' ז'</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Toc496175668 \h</w:instrText>
            </w:r>
            <w:r w:rsidR="001171C7">
              <w:rPr>
                <w:webHidden/>
                <w:rtl/>
              </w:rPr>
              <w:instrText xml:space="preserve"> </w:instrText>
            </w:r>
            <w:r w:rsidR="001171C7">
              <w:rPr>
                <w:webHidden/>
                <w:rtl/>
              </w:rPr>
            </w:r>
            <w:r w:rsidR="001171C7">
              <w:rPr>
                <w:webHidden/>
                <w:rtl/>
              </w:rPr>
              <w:fldChar w:fldCharType="separate"/>
            </w:r>
            <w:r w:rsidR="006A6D13">
              <w:rPr>
                <w:webHidden/>
                <w:rtl/>
              </w:rPr>
              <w:t>402</w:t>
            </w:r>
            <w:r w:rsidR="001171C7">
              <w:rPr>
                <w:webHidden/>
                <w:rtl/>
              </w:rPr>
              <w:fldChar w:fldCharType="end"/>
            </w:r>
          </w:hyperlink>
        </w:p>
        <w:p w:rsidR="001171C7" w:rsidRDefault="007978F4">
          <w:pPr>
            <w:pStyle w:val="TOC1"/>
            <w:rPr>
              <w:rFonts w:eastAsiaTheme="minorEastAsia" w:cstheme="minorBidi"/>
              <w:b w:val="0"/>
              <w:bCs w:val="0"/>
              <w:rtl/>
            </w:rPr>
          </w:pPr>
          <w:hyperlink w:anchor="_Toc496175669" w:history="1">
            <w:r w:rsidR="001171C7" w:rsidRPr="00D35CC1">
              <w:rPr>
                <w:rStyle w:val="Hyperlink"/>
                <w:rFonts w:cs="Guttman Drogolin"/>
                <w:rtl/>
              </w:rPr>
              <w:t>בדברי החמודי דניאל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Toc496175669 \h</w:instrText>
            </w:r>
            <w:r w:rsidR="001171C7">
              <w:rPr>
                <w:webHidden/>
                <w:rtl/>
              </w:rPr>
              <w:instrText xml:space="preserve"> </w:instrText>
            </w:r>
            <w:r w:rsidR="001171C7">
              <w:rPr>
                <w:webHidden/>
                <w:rtl/>
              </w:rPr>
            </w:r>
            <w:r w:rsidR="001171C7">
              <w:rPr>
                <w:webHidden/>
                <w:rtl/>
              </w:rPr>
              <w:fldChar w:fldCharType="separate"/>
            </w:r>
            <w:r w:rsidR="006A6D13">
              <w:rPr>
                <w:webHidden/>
                <w:rtl/>
              </w:rPr>
              <w:t>403</w:t>
            </w:r>
            <w:r w:rsidR="001171C7">
              <w:rPr>
                <w:webHidden/>
                <w:rtl/>
              </w:rPr>
              <w:fldChar w:fldCharType="end"/>
            </w:r>
          </w:hyperlink>
        </w:p>
        <w:p w:rsidR="001171C7" w:rsidRDefault="007978F4">
          <w:pPr>
            <w:pStyle w:val="TOC1"/>
            <w:rPr>
              <w:rFonts w:eastAsiaTheme="minorEastAsia" w:cstheme="minorBidi"/>
              <w:b w:val="0"/>
              <w:bCs w:val="0"/>
              <w:rtl/>
            </w:rPr>
          </w:pPr>
          <w:hyperlink w:anchor="_Toc496175670" w:history="1">
            <w:r w:rsidR="001171C7" w:rsidRPr="00D35CC1">
              <w:rPr>
                <w:rStyle w:val="Hyperlink"/>
                <w:rFonts w:cs="Guttman Drogolin"/>
                <w:rtl/>
              </w:rPr>
              <w:t>סי' צ"ד סע' ז'</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Toc496175670 \h</w:instrText>
            </w:r>
            <w:r w:rsidR="001171C7">
              <w:rPr>
                <w:webHidden/>
                <w:rtl/>
              </w:rPr>
              <w:instrText xml:space="preserve"> </w:instrText>
            </w:r>
            <w:r w:rsidR="001171C7">
              <w:rPr>
                <w:webHidden/>
                <w:rtl/>
              </w:rPr>
            </w:r>
            <w:r w:rsidR="001171C7">
              <w:rPr>
                <w:webHidden/>
                <w:rtl/>
              </w:rPr>
              <w:fldChar w:fldCharType="separate"/>
            </w:r>
            <w:r w:rsidR="006A6D13">
              <w:rPr>
                <w:webHidden/>
                <w:rtl/>
              </w:rPr>
              <w:t>403</w:t>
            </w:r>
            <w:r w:rsidR="001171C7">
              <w:rPr>
                <w:webHidden/>
                <w:rtl/>
              </w:rPr>
              <w:fldChar w:fldCharType="end"/>
            </w:r>
          </w:hyperlink>
        </w:p>
        <w:p w:rsidR="001171C7" w:rsidRDefault="007978F4">
          <w:pPr>
            <w:pStyle w:val="TOC1"/>
            <w:rPr>
              <w:rFonts w:eastAsiaTheme="minorEastAsia" w:cstheme="minorBidi"/>
              <w:b w:val="0"/>
              <w:bCs w:val="0"/>
              <w:rtl/>
            </w:rPr>
          </w:pPr>
          <w:hyperlink w:anchor="_Toc496175671" w:history="1">
            <w:r w:rsidR="001171C7" w:rsidRPr="00D35CC1">
              <w:rPr>
                <w:rStyle w:val="Hyperlink"/>
                <w:rFonts w:cs="Guttman Drogolin"/>
                <w:rtl/>
              </w:rPr>
              <w:t>בביאור שיטת ר"ת בהא שבחם לתוך צונן צריכים להסיר כדי קליפה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Toc496175671 \h</w:instrText>
            </w:r>
            <w:r w:rsidR="001171C7">
              <w:rPr>
                <w:webHidden/>
                <w:rtl/>
              </w:rPr>
              <w:instrText xml:space="preserve"> </w:instrText>
            </w:r>
            <w:r w:rsidR="001171C7">
              <w:rPr>
                <w:webHidden/>
                <w:rtl/>
              </w:rPr>
            </w:r>
            <w:r w:rsidR="001171C7">
              <w:rPr>
                <w:webHidden/>
                <w:rtl/>
              </w:rPr>
              <w:fldChar w:fldCharType="separate"/>
            </w:r>
            <w:r w:rsidR="006A6D13">
              <w:rPr>
                <w:webHidden/>
                <w:rtl/>
              </w:rPr>
              <w:t>404</w:t>
            </w:r>
            <w:r w:rsidR="001171C7">
              <w:rPr>
                <w:webHidden/>
                <w:rtl/>
              </w:rPr>
              <w:fldChar w:fldCharType="end"/>
            </w:r>
          </w:hyperlink>
        </w:p>
        <w:p w:rsidR="001171C7" w:rsidRDefault="007978F4">
          <w:pPr>
            <w:pStyle w:val="TOC1"/>
            <w:rPr>
              <w:rFonts w:eastAsiaTheme="minorEastAsia" w:cstheme="minorBidi"/>
              <w:b w:val="0"/>
              <w:bCs w:val="0"/>
              <w:rtl/>
            </w:rPr>
          </w:pPr>
          <w:hyperlink w:anchor="_Toc496175672" w:history="1">
            <w:r w:rsidR="001171C7" w:rsidRPr="00D35CC1">
              <w:rPr>
                <w:rStyle w:val="Hyperlink"/>
                <w:rFonts w:cs="Guttman Drogolin"/>
                <w:rtl/>
              </w:rPr>
              <w:t>סתירה בין רמ"א סי' צ"ב סע' ז' וסי' צ"ה סע' ג'</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Toc496175672 \h</w:instrText>
            </w:r>
            <w:r w:rsidR="001171C7">
              <w:rPr>
                <w:webHidden/>
                <w:rtl/>
              </w:rPr>
              <w:instrText xml:space="preserve"> </w:instrText>
            </w:r>
            <w:r w:rsidR="001171C7">
              <w:rPr>
                <w:webHidden/>
                <w:rtl/>
              </w:rPr>
            </w:r>
            <w:r w:rsidR="001171C7">
              <w:rPr>
                <w:webHidden/>
                <w:rtl/>
              </w:rPr>
              <w:fldChar w:fldCharType="separate"/>
            </w:r>
            <w:r w:rsidR="006A6D13">
              <w:rPr>
                <w:webHidden/>
                <w:rtl/>
              </w:rPr>
              <w:t>406</w:t>
            </w:r>
            <w:r w:rsidR="001171C7">
              <w:rPr>
                <w:webHidden/>
                <w:rtl/>
              </w:rPr>
              <w:fldChar w:fldCharType="end"/>
            </w:r>
          </w:hyperlink>
        </w:p>
        <w:p w:rsidR="001171C7" w:rsidRDefault="007978F4">
          <w:pPr>
            <w:pStyle w:val="TOC1"/>
            <w:rPr>
              <w:rFonts w:eastAsiaTheme="minorEastAsia" w:cstheme="minorBidi"/>
              <w:b w:val="0"/>
              <w:bCs w:val="0"/>
              <w:rtl/>
            </w:rPr>
          </w:pPr>
          <w:hyperlink w:anchor="_Toc496175673" w:history="1">
            <w:r w:rsidR="001171C7" w:rsidRPr="00D35CC1">
              <w:rPr>
                <w:rStyle w:val="Hyperlink"/>
                <w:rFonts w:cs="Guttman Drogolin"/>
                <w:rtl/>
              </w:rPr>
              <w:t>עירוי הנזחל מכלי שעל גבי האש</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Toc496175673 \h</w:instrText>
            </w:r>
            <w:r w:rsidR="001171C7">
              <w:rPr>
                <w:webHidden/>
                <w:rtl/>
              </w:rPr>
              <w:instrText xml:space="preserve"> </w:instrText>
            </w:r>
            <w:r w:rsidR="001171C7">
              <w:rPr>
                <w:webHidden/>
                <w:rtl/>
              </w:rPr>
            </w:r>
            <w:r w:rsidR="001171C7">
              <w:rPr>
                <w:webHidden/>
                <w:rtl/>
              </w:rPr>
              <w:fldChar w:fldCharType="separate"/>
            </w:r>
            <w:r w:rsidR="006A6D13">
              <w:rPr>
                <w:webHidden/>
                <w:rtl/>
              </w:rPr>
              <w:t>406</w:t>
            </w:r>
            <w:r w:rsidR="001171C7">
              <w:rPr>
                <w:webHidden/>
                <w:rtl/>
              </w:rPr>
              <w:fldChar w:fldCharType="end"/>
            </w:r>
          </w:hyperlink>
        </w:p>
        <w:p w:rsidR="001171C7" w:rsidRDefault="007978F4">
          <w:pPr>
            <w:pStyle w:val="TOC1"/>
            <w:rPr>
              <w:rFonts w:eastAsiaTheme="minorEastAsia" w:cstheme="minorBidi"/>
              <w:b w:val="0"/>
              <w:bCs w:val="0"/>
              <w:rtl/>
            </w:rPr>
          </w:pPr>
          <w:hyperlink w:anchor="_Toc496175674" w:history="1">
            <w:r w:rsidR="001171C7" w:rsidRPr="00D35CC1">
              <w:rPr>
                <w:rStyle w:val="Hyperlink"/>
                <w:rFonts w:cs="Guttman Drogolin"/>
                <w:rtl/>
              </w:rPr>
              <w:t>כללי דין צלי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Toc496175674 \h</w:instrText>
            </w:r>
            <w:r w:rsidR="001171C7">
              <w:rPr>
                <w:webHidden/>
                <w:rtl/>
              </w:rPr>
              <w:instrText xml:space="preserve"> </w:instrText>
            </w:r>
            <w:r w:rsidR="001171C7">
              <w:rPr>
                <w:webHidden/>
                <w:rtl/>
              </w:rPr>
            </w:r>
            <w:r w:rsidR="001171C7">
              <w:rPr>
                <w:webHidden/>
                <w:rtl/>
              </w:rPr>
              <w:fldChar w:fldCharType="separate"/>
            </w:r>
            <w:r w:rsidR="006A6D13">
              <w:rPr>
                <w:webHidden/>
                <w:rtl/>
              </w:rPr>
              <w:t>406</w:t>
            </w:r>
            <w:r w:rsidR="001171C7">
              <w:rPr>
                <w:webHidden/>
                <w:rtl/>
              </w:rPr>
              <w:fldChar w:fldCharType="end"/>
            </w:r>
          </w:hyperlink>
        </w:p>
        <w:p w:rsidR="001171C7" w:rsidRDefault="007978F4">
          <w:pPr>
            <w:pStyle w:val="TOC1"/>
            <w:rPr>
              <w:rFonts w:eastAsiaTheme="minorEastAsia" w:cstheme="minorBidi"/>
              <w:b w:val="0"/>
              <w:bCs w:val="0"/>
              <w:rtl/>
            </w:rPr>
          </w:pPr>
          <w:hyperlink w:anchor="_Toc496175675" w:history="1">
            <w:r w:rsidR="001171C7" w:rsidRPr="00D35CC1">
              <w:rPr>
                <w:rStyle w:val="Hyperlink"/>
                <w:rFonts w:cs="Guttman Drogolin"/>
                <w:rtl/>
              </w:rPr>
              <w:t>נפל איסור שמן על מקום שאינו ידוע שבחתיכה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Toc496175675 \h</w:instrText>
            </w:r>
            <w:r w:rsidR="001171C7">
              <w:rPr>
                <w:webHidden/>
                <w:rtl/>
              </w:rPr>
              <w:instrText xml:space="preserve"> </w:instrText>
            </w:r>
            <w:r w:rsidR="001171C7">
              <w:rPr>
                <w:webHidden/>
                <w:rtl/>
              </w:rPr>
            </w:r>
            <w:r w:rsidR="001171C7">
              <w:rPr>
                <w:webHidden/>
                <w:rtl/>
              </w:rPr>
              <w:fldChar w:fldCharType="separate"/>
            </w:r>
            <w:r w:rsidR="006A6D13">
              <w:rPr>
                <w:webHidden/>
                <w:rtl/>
              </w:rPr>
              <w:t>407</w:t>
            </w:r>
            <w:r w:rsidR="001171C7">
              <w:rPr>
                <w:webHidden/>
                <w:rtl/>
              </w:rPr>
              <w:fldChar w:fldCharType="end"/>
            </w:r>
          </w:hyperlink>
        </w:p>
        <w:p w:rsidR="001171C7" w:rsidRDefault="007978F4">
          <w:pPr>
            <w:pStyle w:val="TOC1"/>
            <w:rPr>
              <w:rFonts w:eastAsiaTheme="minorEastAsia" w:cstheme="minorBidi"/>
              <w:b w:val="0"/>
              <w:bCs w:val="0"/>
              <w:rtl/>
            </w:rPr>
          </w:pPr>
          <w:hyperlink w:anchor="_Toc496175676" w:history="1">
            <w:r w:rsidR="001171C7" w:rsidRPr="00D35CC1">
              <w:rPr>
                <w:rStyle w:val="Hyperlink"/>
                <w:rFonts w:cs="Guttman Drogolin"/>
                <w:rtl/>
              </w:rPr>
              <w:t>בדין פיטום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Toc496175676 \h</w:instrText>
            </w:r>
            <w:r w:rsidR="001171C7">
              <w:rPr>
                <w:webHidden/>
                <w:rtl/>
              </w:rPr>
              <w:instrText xml:space="preserve"> </w:instrText>
            </w:r>
            <w:r w:rsidR="001171C7">
              <w:rPr>
                <w:webHidden/>
                <w:rtl/>
              </w:rPr>
            </w:r>
            <w:r w:rsidR="001171C7">
              <w:rPr>
                <w:webHidden/>
                <w:rtl/>
              </w:rPr>
              <w:fldChar w:fldCharType="separate"/>
            </w:r>
            <w:r w:rsidR="006A6D13">
              <w:rPr>
                <w:webHidden/>
                <w:rtl/>
              </w:rPr>
              <w:t>408</w:t>
            </w:r>
            <w:r w:rsidR="001171C7">
              <w:rPr>
                <w:webHidden/>
                <w:rtl/>
              </w:rPr>
              <w:fldChar w:fldCharType="end"/>
            </w:r>
          </w:hyperlink>
        </w:p>
        <w:p w:rsidR="001171C7" w:rsidRDefault="007978F4">
          <w:pPr>
            <w:pStyle w:val="TOC1"/>
            <w:rPr>
              <w:rFonts w:eastAsiaTheme="minorEastAsia" w:cstheme="minorBidi"/>
              <w:b w:val="0"/>
              <w:bCs w:val="0"/>
              <w:rtl/>
            </w:rPr>
          </w:pPr>
          <w:hyperlink w:anchor="_Toc496175677" w:history="1">
            <w:r w:rsidR="001171C7" w:rsidRPr="00D35CC1">
              <w:rPr>
                <w:rStyle w:val="Hyperlink"/>
                <w:rFonts w:cs="Guttman Drogolin"/>
                <w:rtl/>
              </w:rPr>
              <w:t>אין בליעה עובר מחתיכה לחתיכה בלי רוטב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Toc496175677 \h</w:instrText>
            </w:r>
            <w:r w:rsidR="001171C7">
              <w:rPr>
                <w:webHidden/>
                <w:rtl/>
              </w:rPr>
              <w:instrText xml:space="preserve"> </w:instrText>
            </w:r>
            <w:r w:rsidR="001171C7">
              <w:rPr>
                <w:webHidden/>
                <w:rtl/>
              </w:rPr>
            </w:r>
            <w:r w:rsidR="001171C7">
              <w:rPr>
                <w:webHidden/>
                <w:rtl/>
              </w:rPr>
              <w:fldChar w:fldCharType="separate"/>
            </w:r>
            <w:r w:rsidR="006A6D13">
              <w:rPr>
                <w:webHidden/>
                <w:rtl/>
              </w:rPr>
              <w:t>409</w:t>
            </w:r>
            <w:r w:rsidR="001171C7">
              <w:rPr>
                <w:webHidden/>
                <w:rtl/>
              </w:rPr>
              <w:fldChar w:fldCharType="end"/>
            </w:r>
          </w:hyperlink>
        </w:p>
        <w:p w:rsidR="001171C7" w:rsidRDefault="007978F4">
          <w:pPr>
            <w:pStyle w:val="TOC1"/>
            <w:rPr>
              <w:rFonts w:eastAsiaTheme="minorEastAsia" w:cstheme="minorBidi"/>
              <w:b w:val="0"/>
              <w:bCs w:val="0"/>
              <w:rtl/>
            </w:rPr>
          </w:pPr>
          <w:hyperlink w:anchor="_Toc496175678" w:history="1">
            <w:r w:rsidR="001171C7" w:rsidRPr="00D35CC1">
              <w:rPr>
                <w:rStyle w:val="Hyperlink"/>
                <w:rFonts w:cs="Guttman Drogolin"/>
                <w:rtl/>
              </w:rPr>
              <w:t>איזה כמות רוטב מעביר טעם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Toc496175678 \h</w:instrText>
            </w:r>
            <w:r w:rsidR="001171C7">
              <w:rPr>
                <w:webHidden/>
                <w:rtl/>
              </w:rPr>
              <w:instrText xml:space="preserve"> </w:instrText>
            </w:r>
            <w:r w:rsidR="001171C7">
              <w:rPr>
                <w:webHidden/>
                <w:rtl/>
              </w:rPr>
            </w:r>
            <w:r w:rsidR="001171C7">
              <w:rPr>
                <w:webHidden/>
                <w:rtl/>
              </w:rPr>
              <w:fldChar w:fldCharType="separate"/>
            </w:r>
            <w:r w:rsidR="006A6D13">
              <w:rPr>
                <w:webHidden/>
                <w:rtl/>
              </w:rPr>
              <w:t>409</w:t>
            </w:r>
            <w:r w:rsidR="001171C7">
              <w:rPr>
                <w:webHidden/>
                <w:rtl/>
              </w:rPr>
              <w:fldChar w:fldCharType="end"/>
            </w:r>
          </w:hyperlink>
        </w:p>
        <w:p w:rsidR="001171C7" w:rsidRDefault="007978F4">
          <w:pPr>
            <w:pStyle w:val="TOC1"/>
            <w:rPr>
              <w:rFonts w:eastAsiaTheme="minorEastAsia" w:cstheme="minorBidi"/>
              <w:b w:val="0"/>
              <w:bCs w:val="0"/>
              <w:rtl/>
            </w:rPr>
          </w:pPr>
          <w:hyperlink w:anchor="_Toc496175679" w:history="1">
            <w:r w:rsidR="001171C7" w:rsidRPr="00D35CC1">
              <w:rPr>
                <w:rStyle w:val="Hyperlink"/>
                <w:rFonts w:cs="Guttman Drogolin"/>
                <w:rtl/>
              </w:rPr>
              <w:t>האם בליעות עוברים מכלי או לתוך כלי בלי רוטב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Toc496175679 \h</w:instrText>
            </w:r>
            <w:r w:rsidR="001171C7">
              <w:rPr>
                <w:webHidden/>
                <w:rtl/>
              </w:rPr>
              <w:instrText xml:space="preserve"> </w:instrText>
            </w:r>
            <w:r w:rsidR="001171C7">
              <w:rPr>
                <w:webHidden/>
                <w:rtl/>
              </w:rPr>
            </w:r>
            <w:r w:rsidR="001171C7">
              <w:rPr>
                <w:webHidden/>
                <w:rtl/>
              </w:rPr>
              <w:fldChar w:fldCharType="separate"/>
            </w:r>
            <w:r w:rsidR="006A6D13">
              <w:rPr>
                <w:webHidden/>
                <w:rtl/>
              </w:rPr>
              <w:t>410</w:t>
            </w:r>
            <w:r w:rsidR="001171C7">
              <w:rPr>
                <w:webHidden/>
                <w:rtl/>
              </w:rPr>
              <w:fldChar w:fldCharType="end"/>
            </w:r>
          </w:hyperlink>
        </w:p>
        <w:p w:rsidR="001171C7" w:rsidRDefault="007978F4">
          <w:pPr>
            <w:pStyle w:val="TOC1"/>
            <w:rPr>
              <w:rFonts w:eastAsiaTheme="minorEastAsia" w:cstheme="minorBidi"/>
              <w:b w:val="0"/>
              <w:bCs w:val="0"/>
              <w:rtl/>
            </w:rPr>
          </w:pPr>
          <w:hyperlink w:anchor="_Toc496175680" w:history="1">
            <w:r w:rsidR="001171C7" w:rsidRPr="00D35CC1">
              <w:rPr>
                <w:rStyle w:val="Hyperlink"/>
                <w:rFonts w:cs="Guttman Drogolin"/>
                <w:rtl/>
              </w:rPr>
              <w:t>אם הנאסר אוסר בב"ח, ובדברי הרש"ל המובא בש"ך ס"ק כ"ב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Toc496175680 \h</w:instrText>
            </w:r>
            <w:r w:rsidR="001171C7">
              <w:rPr>
                <w:webHidden/>
                <w:rtl/>
              </w:rPr>
              <w:instrText xml:space="preserve"> </w:instrText>
            </w:r>
            <w:r w:rsidR="001171C7">
              <w:rPr>
                <w:webHidden/>
                <w:rtl/>
              </w:rPr>
            </w:r>
            <w:r w:rsidR="001171C7">
              <w:rPr>
                <w:webHidden/>
                <w:rtl/>
              </w:rPr>
              <w:fldChar w:fldCharType="separate"/>
            </w:r>
            <w:r w:rsidR="006A6D13">
              <w:rPr>
                <w:webHidden/>
                <w:rtl/>
              </w:rPr>
              <w:t>410</w:t>
            </w:r>
            <w:r w:rsidR="001171C7">
              <w:rPr>
                <w:webHidden/>
                <w:rtl/>
              </w:rPr>
              <w:fldChar w:fldCharType="end"/>
            </w:r>
          </w:hyperlink>
        </w:p>
        <w:p w:rsidR="001171C7" w:rsidRDefault="007978F4">
          <w:pPr>
            <w:pStyle w:val="TOC1"/>
            <w:rPr>
              <w:rFonts w:eastAsiaTheme="minorEastAsia" w:cstheme="minorBidi"/>
              <w:b w:val="0"/>
              <w:bCs w:val="0"/>
              <w:rtl/>
            </w:rPr>
          </w:pPr>
          <w:hyperlink w:anchor="_Toc496175681" w:history="1">
            <w:r w:rsidR="001171C7" w:rsidRPr="00D35CC1">
              <w:rPr>
                <w:rStyle w:val="Hyperlink"/>
                <w:rFonts w:cs="Guttman Drogolin"/>
                <w:rtl/>
              </w:rPr>
              <w:t>עוד בענין העברת בליעה מכלי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Toc496175681 \h</w:instrText>
            </w:r>
            <w:r w:rsidR="001171C7">
              <w:rPr>
                <w:webHidden/>
                <w:rtl/>
              </w:rPr>
              <w:instrText xml:space="preserve"> </w:instrText>
            </w:r>
            <w:r w:rsidR="001171C7">
              <w:rPr>
                <w:webHidden/>
                <w:rtl/>
              </w:rPr>
            </w:r>
            <w:r w:rsidR="001171C7">
              <w:rPr>
                <w:webHidden/>
                <w:rtl/>
              </w:rPr>
              <w:fldChar w:fldCharType="separate"/>
            </w:r>
            <w:r w:rsidR="006A6D13">
              <w:rPr>
                <w:webHidden/>
                <w:rtl/>
              </w:rPr>
              <w:t>412</w:t>
            </w:r>
            <w:r w:rsidR="001171C7">
              <w:rPr>
                <w:webHidden/>
                <w:rtl/>
              </w:rPr>
              <w:fldChar w:fldCharType="end"/>
            </w:r>
          </w:hyperlink>
        </w:p>
        <w:p w:rsidR="00685CA8" w:rsidRPr="00FE3C48" w:rsidRDefault="00685CA8" w:rsidP="00685CA8">
          <w:pPr>
            <w:pStyle w:val="TOC1"/>
            <w:spacing w:before="240"/>
            <w:rPr>
              <w:rStyle w:val="Hyperlink"/>
              <w:color w:val="auto"/>
              <w:sz w:val="28"/>
              <w:szCs w:val="28"/>
              <w:rtl/>
            </w:rPr>
          </w:pPr>
          <w:r>
            <w:rPr>
              <w:rStyle w:val="Hyperlink"/>
              <w:rFonts w:hint="cs"/>
              <w:color w:val="auto"/>
              <w:sz w:val="28"/>
              <w:szCs w:val="28"/>
              <w:rtl/>
            </w:rPr>
            <w:t>מליחה</w:t>
          </w:r>
        </w:p>
        <w:p w:rsidR="001171C7" w:rsidRDefault="007978F4">
          <w:pPr>
            <w:pStyle w:val="TOC1"/>
            <w:rPr>
              <w:rFonts w:eastAsiaTheme="minorEastAsia" w:cstheme="minorBidi"/>
              <w:b w:val="0"/>
              <w:bCs w:val="0"/>
              <w:rtl/>
            </w:rPr>
          </w:pPr>
          <w:hyperlink w:anchor="_Toc496175682" w:history="1">
            <w:r w:rsidR="001171C7" w:rsidRPr="00D35CC1">
              <w:rPr>
                <w:rStyle w:val="Hyperlink"/>
                <w:rFonts w:cs="Guttman Drogolin"/>
                <w:rtl/>
              </w:rPr>
              <w:t>בדין שמליח אינו כרותח אלא כשאינו נאכל מחמת מלחו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Toc496175682 \h</w:instrText>
            </w:r>
            <w:r w:rsidR="001171C7">
              <w:rPr>
                <w:webHidden/>
                <w:rtl/>
              </w:rPr>
              <w:instrText xml:space="preserve"> </w:instrText>
            </w:r>
            <w:r w:rsidR="001171C7">
              <w:rPr>
                <w:webHidden/>
                <w:rtl/>
              </w:rPr>
            </w:r>
            <w:r w:rsidR="001171C7">
              <w:rPr>
                <w:webHidden/>
                <w:rtl/>
              </w:rPr>
              <w:fldChar w:fldCharType="separate"/>
            </w:r>
            <w:r w:rsidR="006A6D13">
              <w:rPr>
                <w:webHidden/>
                <w:rtl/>
              </w:rPr>
              <w:t>412</w:t>
            </w:r>
            <w:r w:rsidR="001171C7">
              <w:rPr>
                <w:webHidden/>
                <w:rtl/>
              </w:rPr>
              <w:fldChar w:fldCharType="end"/>
            </w:r>
          </w:hyperlink>
        </w:p>
        <w:p w:rsidR="001171C7" w:rsidRDefault="007978F4">
          <w:pPr>
            <w:pStyle w:val="TOC1"/>
            <w:rPr>
              <w:rFonts w:eastAsiaTheme="minorEastAsia" w:cstheme="minorBidi"/>
              <w:b w:val="0"/>
              <w:bCs w:val="0"/>
              <w:rtl/>
            </w:rPr>
          </w:pPr>
          <w:hyperlink w:anchor="_Toc496175683" w:history="1">
            <w:r w:rsidR="001171C7" w:rsidRPr="00D35CC1">
              <w:rPr>
                <w:rStyle w:val="Hyperlink"/>
                <w:rFonts w:cs="Guttman Drogolin"/>
                <w:rtl/>
              </w:rPr>
              <w:t>הא דבבר גוזלא דנפל לכדא לכמכא בעי קליפה אם הוא לצלי, ועוד בדינא דתתאה גבר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Toc496175683 \h</w:instrText>
            </w:r>
            <w:r w:rsidR="001171C7">
              <w:rPr>
                <w:webHidden/>
                <w:rtl/>
              </w:rPr>
              <w:instrText xml:space="preserve"> </w:instrText>
            </w:r>
            <w:r w:rsidR="001171C7">
              <w:rPr>
                <w:webHidden/>
                <w:rtl/>
              </w:rPr>
            </w:r>
            <w:r w:rsidR="001171C7">
              <w:rPr>
                <w:webHidden/>
                <w:rtl/>
              </w:rPr>
              <w:fldChar w:fldCharType="separate"/>
            </w:r>
            <w:r w:rsidR="006A6D13">
              <w:rPr>
                <w:webHidden/>
                <w:rtl/>
              </w:rPr>
              <w:t>413</w:t>
            </w:r>
            <w:r w:rsidR="001171C7">
              <w:rPr>
                <w:webHidden/>
                <w:rtl/>
              </w:rPr>
              <w:fldChar w:fldCharType="end"/>
            </w:r>
          </w:hyperlink>
        </w:p>
        <w:p w:rsidR="001171C7" w:rsidRDefault="007978F4">
          <w:pPr>
            <w:pStyle w:val="TOC1"/>
            <w:rPr>
              <w:rFonts w:eastAsiaTheme="minorEastAsia" w:cstheme="minorBidi"/>
              <w:b w:val="0"/>
              <w:bCs w:val="0"/>
              <w:rtl/>
            </w:rPr>
          </w:pPr>
          <w:hyperlink w:anchor="_Toc496175684" w:history="1">
            <w:r w:rsidR="001171C7" w:rsidRPr="00D35CC1">
              <w:rPr>
                <w:rStyle w:val="Hyperlink"/>
                <w:rFonts w:cs="Guttman Drogolin"/>
                <w:rtl/>
              </w:rPr>
              <w:t>השיטות בשיעור זמן של מליח כרותח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Toc496175684 \h</w:instrText>
            </w:r>
            <w:r w:rsidR="001171C7">
              <w:rPr>
                <w:webHidden/>
                <w:rtl/>
              </w:rPr>
              <w:instrText xml:space="preserve"> </w:instrText>
            </w:r>
            <w:r w:rsidR="001171C7">
              <w:rPr>
                <w:webHidden/>
                <w:rtl/>
              </w:rPr>
            </w:r>
            <w:r w:rsidR="001171C7">
              <w:rPr>
                <w:webHidden/>
                <w:rtl/>
              </w:rPr>
              <w:fldChar w:fldCharType="separate"/>
            </w:r>
            <w:r w:rsidR="006A6D13">
              <w:rPr>
                <w:webHidden/>
                <w:rtl/>
              </w:rPr>
              <w:t>415</w:t>
            </w:r>
            <w:r w:rsidR="001171C7">
              <w:rPr>
                <w:webHidden/>
                <w:rtl/>
              </w:rPr>
              <w:fldChar w:fldCharType="end"/>
            </w:r>
          </w:hyperlink>
        </w:p>
        <w:p w:rsidR="001171C7" w:rsidRDefault="007978F4">
          <w:pPr>
            <w:pStyle w:val="TOC1"/>
            <w:rPr>
              <w:rFonts w:eastAsiaTheme="minorEastAsia" w:cstheme="minorBidi"/>
              <w:b w:val="0"/>
              <w:bCs w:val="0"/>
              <w:rtl/>
            </w:rPr>
          </w:pPr>
          <w:hyperlink w:anchor="_Toc496175685" w:history="1">
            <w:r w:rsidR="001171C7" w:rsidRPr="00D35CC1">
              <w:rPr>
                <w:rStyle w:val="Hyperlink"/>
                <w:rFonts w:cs="Guttman Drogolin"/>
                <w:rtl/>
              </w:rPr>
              <w:t>עוד בשיטת רש"י בשיעור מלח לדין מליח כרותח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Toc496175685 \h</w:instrText>
            </w:r>
            <w:r w:rsidR="001171C7">
              <w:rPr>
                <w:webHidden/>
                <w:rtl/>
              </w:rPr>
              <w:instrText xml:space="preserve"> </w:instrText>
            </w:r>
            <w:r w:rsidR="001171C7">
              <w:rPr>
                <w:webHidden/>
                <w:rtl/>
              </w:rPr>
            </w:r>
            <w:r w:rsidR="001171C7">
              <w:rPr>
                <w:webHidden/>
                <w:rtl/>
              </w:rPr>
              <w:fldChar w:fldCharType="separate"/>
            </w:r>
            <w:r w:rsidR="006A6D13">
              <w:rPr>
                <w:webHidden/>
                <w:rtl/>
              </w:rPr>
              <w:t>415</w:t>
            </w:r>
            <w:r w:rsidR="001171C7">
              <w:rPr>
                <w:webHidden/>
                <w:rtl/>
              </w:rPr>
              <w:fldChar w:fldCharType="end"/>
            </w:r>
          </w:hyperlink>
        </w:p>
        <w:p w:rsidR="001171C7" w:rsidRDefault="007978F4">
          <w:pPr>
            <w:pStyle w:val="TOC1"/>
            <w:rPr>
              <w:rFonts w:eastAsiaTheme="minorEastAsia" w:cstheme="minorBidi"/>
              <w:b w:val="0"/>
              <w:bCs w:val="0"/>
              <w:rtl/>
            </w:rPr>
          </w:pPr>
          <w:hyperlink w:anchor="_Toc496175686" w:history="1">
            <w:r w:rsidR="001171C7" w:rsidRPr="00D35CC1">
              <w:rPr>
                <w:rStyle w:val="Hyperlink"/>
                <w:rFonts w:cs="Guttman Drogolin"/>
                <w:rtl/>
              </w:rPr>
              <w:t>ככר שחתך עלי' בשר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Toc496175686 \h</w:instrText>
            </w:r>
            <w:r w:rsidR="001171C7">
              <w:rPr>
                <w:webHidden/>
                <w:rtl/>
              </w:rPr>
              <w:instrText xml:space="preserve"> </w:instrText>
            </w:r>
            <w:r w:rsidR="001171C7">
              <w:rPr>
                <w:webHidden/>
                <w:rtl/>
              </w:rPr>
            </w:r>
            <w:r w:rsidR="001171C7">
              <w:rPr>
                <w:webHidden/>
                <w:rtl/>
              </w:rPr>
              <w:fldChar w:fldCharType="separate"/>
            </w:r>
            <w:r w:rsidR="006A6D13">
              <w:rPr>
                <w:webHidden/>
                <w:rtl/>
              </w:rPr>
              <w:t>416</w:t>
            </w:r>
            <w:r w:rsidR="001171C7">
              <w:rPr>
                <w:webHidden/>
                <w:rtl/>
              </w:rPr>
              <w:fldChar w:fldCharType="end"/>
            </w:r>
          </w:hyperlink>
        </w:p>
        <w:p w:rsidR="001171C7" w:rsidRDefault="007978F4">
          <w:pPr>
            <w:pStyle w:val="TOC1"/>
            <w:rPr>
              <w:rFonts w:eastAsiaTheme="minorEastAsia" w:cstheme="minorBidi"/>
              <w:b w:val="0"/>
              <w:bCs w:val="0"/>
              <w:rtl/>
            </w:rPr>
          </w:pPr>
          <w:hyperlink w:anchor="_Toc496175687" w:history="1">
            <w:r w:rsidR="001171C7" w:rsidRPr="00D35CC1">
              <w:rPr>
                <w:rStyle w:val="Hyperlink"/>
                <w:rFonts w:cs="Guttman Drogolin"/>
                <w:rtl/>
              </w:rPr>
              <w:t>דברי התוס' בלימוד דצירן ורוטבן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Toc496175687 \h</w:instrText>
            </w:r>
            <w:r w:rsidR="001171C7">
              <w:rPr>
                <w:webHidden/>
                <w:rtl/>
              </w:rPr>
              <w:instrText xml:space="preserve"> </w:instrText>
            </w:r>
            <w:r w:rsidR="001171C7">
              <w:rPr>
                <w:webHidden/>
                <w:rtl/>
              </w:rPr>
            </w:r>
            <w:r w:rsidR="001171C7">
              <w:rPr>
                <w:webHidden/>
                <w:rtl/>
              </w:rPr>
              <w:fldChar w:fldCharType="separate"/>
            </w:r>
            <w:r w:rsidR="006A6D13">
              <w:rPr>
                <w:webHidden/>
                <w:rtl/>
              </w:rPr>
              <w:t>416</w:t>
            </w:r>
            <w:r w:rsidR="001171C7">
              <w:rPr>
                <w:webHidden/>
                <w:rtl/>
              </w:rPr>
              <w:fldChar w:fldCharType="end"/>
            </w:r>
          </w:hyperlink>
        </w:p>
        <w:p w:rsidR="001171C7" w:rsidRDefault="007978F4">
          <w:pPr>
            <w:pStyle w:val="TOC1"/>
            <w:rPr>
              <w:rFonts w:eastAsiaTheme="minorEastAsia" w:cstheme="minorBidi"/>
              <w:b w:val="0"/>
              <w:bCs w:val="0"/>
              <w:rtl/>
            </w:rPr>
          </w:pPr>
          <w:hyperlink w:anchor="_Toc496175688" w:history="1">
            <w:r w:rsidR="001171C7" w:rsidRPr="00D35CC1">
              <w:rPr>
                <w:rStyle w:val="Hyperlink"/>
                <w:rFonts w:cs="Guttman Drogolin"/>
                <w:rtl/>
              </w:rPr>
              <w:t>בדין בשר טריפה ובשר שחוטה שנמלחו ביחד</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Toc496175688 \h</w:instrText>
            </w:r>
            <w:r w:rsidR="001171C7">
              <w:rPr>
                <w:webHidden/>
                <w:rtl/>
              </w:rPr>
              <w:instrText xml:space="preserve"> </w:instrText>
            </w:r>
            <w:r w:rsidR="001171C7">
              <w:rPr>
                <w:webHidden/>
                <w:rtl/>
              </w:rPr>
            </w:r>
            <w:r w:rsidR="001171C7">
              <w:rPr>
                <w:webHidden/>
                <w:rtl/>
              </w:rPr>
              <w:fldChar w:fldCharType="separate"/>
            </w:r>
            <w:r w:rsidR="006A6D13">
              <w:rPr>
                <w:webHidden/>
                <w:rtl/>
              </w:rPr>
              <w:t>417</w:t>
            </w:r>
            <w:r w:rsidR="001171C7">
              <w:rPr>
                <w:webHidden/>
                <w:rtl/>
              </w:rPr>
              <w:fldChar w:fldCharType="end"/>
            </w:r>
          </w:hyperlink>
        </w:p>
        <w:p w:rsidR="001171C7" w:rsidRDefault="007978F4">
          <w:pPr>
            <w:pStyle w:val="TOC1"/>
            <w:rPr>
              <w:rFonts w:eastAsiaTheme="minorEastAsia" w:cstheme="minorBidi"/>
              <w:b w:val="0"/>
              <w:bCs w:val="0"/>
              <w:rtl/>
            </w:rPr>
          </w:pPr>
          <w:hyperlink w:anchor="_Toc496175689" w:history="1">
            <w:r w:rsidR="001171C7" w:rsidRPr="00D35CC1">
              <w:rPr>
                <w:rStyle w:val="Hyperlink"/>
                <w:rFonts w:cs="Guttman Drogolin"/>
                <w:rtl/>
              </w:rPr>
              <w:t>בדין תתאה ועילאה גבר במליחה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Toc496175689 \h</w:instrText>
            </w:r>
            <w:r w:rsidR="001171C7">
              <w:rPr>
                <w:webHidden/>
                <w:rtl/>
              </w:rPr>
              <w:instrText xml:space="preserve"> </w:instrText>
            </w:r>
            <w:r w:rsidR="001171C7">
              <w:rPr>
                <w:webHidden/>
                <w:rtl/>
              </w:rPr>
            </w:r>
            <w:r w:rsidR="001171C7">
              <w:rPr>
                <w:webHidden/>
                <w:rtl/>
              </w:rPr>
              <w:fldChar w:fldCharType="separate"/>
            </w:r>
            <w:r w:rsidR="006A6D13">
              <w:rPr>
                <w:webHidden/>
                <w:rtl/>
              </w:rPr>
              <w:t>417</w:t>
            </w:r>
            <w:r w:rsidR="001171C7">
              <w:rPr>
                <w:webHidden/>
                <w:rtl/>
              </w:rPr>
              <w:fldChar w:fldCharType="end"/>
            </w:r>
          </w:hyperlink>
        </w:p>
        <w:p w:rsidR="001171C7" w:rsidRDefault="007978F4">
          <w:pPr>
            <w:pStyle w:val="TOC1"/>
            <w:rPr>
              <w:rFonts w:eastAsiaTheme="minorEastAsia" w:cstheme="minorBidi"/>
              <w:b w:val="0"/>
              <w:bCs w:val="0"/>
              <w:rtl/>
            </w:rPr>
          </w:pPr>
          <w:hyperlink w:anchor="_Toc496175690" w:history="1">
            <w:r w:rsidR="001171C7" w:rsidRPr="00D35CC1">
              <w:rPr>
                <w:rStyle w:val="Hyperlink"/>
                <w:rFonts w:cs="Guttman Drogolin"/>
                <w:rtl/>
              </w:rPr>
              <w:t>דעת השו"ע רמ"א ונו"כ בזמן שמליח כרותח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Toc496175690 \h</w:instrText>
            </w:r>
            <w:r w:rsidR="001171C7">
              <w:rPr>
                <w:webHidden/>
                <w:rtl/>
              </w:rPr>
              <w:instrText xml:space="preserve"> </w:instrText>
            </w:r>
            <w:r w:rsidR="001171C7">
              <w:rPr>
                <w:webHidden/>
                <w:rtl/>
              </w:rPr>
            </w:r>
            <w:r w:rsidR="001171C7">
              <w:rPr>
                <w:webHidden/>
                <w:rtl/>
              </w:rPr>
              <w:fldChar w:fldCharType="separate"/>
            </w:r>
            <w:r w:rsidR="006A6D13">
              <w:rPr>
                <w:webHidden/>
                <w:rtl/>
              </w:rPr>
              <w:t>418</w:t>
            </w:r>
            <w:r w:rsidR="001171C7">
              <w:rPr>
                <w:webHidden/>
                <w:rtl/>
              </w:rPr>
              <w:fldChar w:fldCharType="end"/>
            </w:r>
          </w:hyperlink>
        </w:p>
        <w:p w:rsidR="001171C7" w:rsidRDefault="007978F4">
          <w:pPr>
            <w:pStyle w:val="TOC1"/>
            <w:rPr>
              <w:rFonts w:eastAsiaTheme="minorEastAsia" w:cstheme="minorBidi"/>
              <w:b w:val="0"/>
              <w:bCs w:val="0"/>
              <w:rtl/>
            </w:rPr>
          </w:pPr>
          <w:hyperlink w:anchor="_Toc496175691" w:history="1">
            <w:r w:rsidR="001171C7" w:rsidRPr="00D35CC1">
              <w:rPr>
                <w:rStyle w:val="Hyperlink"/>
                <w:rFonts w:cs="Guttman Drogolin"/>
                <w:rtl/>
              </w:rPr>
              <w:t>חומרת הרמ"א בדין אינו נאכל מחמת מלחו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Toc496175691 \h</w:instrText>
            </w:r>
            <w:r w:rsidR="001171C7">
              <w:rPr>
                <w:webHidden/>
                <w:rtl/>
              </w:rPr>
              <w:instrText xml:space="preserve"> </w:instrText>
            </w:r>
            <w:r w:rsidR="001171C7">
              <w:rPr>
                <w:webHidden/>
                <w:rtl/>
              </w:rPr>
            </w:r>
            <w:r w:rsidR="001171C7">
              <w:rPr>
                <w:webHidden/>
                <w:rtl/>
              </w:rPr>
              <w:fldChar w:fldCharType="separate"/>
            </w:r>
            <w:r w:rsidR="006A6D13">
              <w:rPr>
                <w:webHidden/>
                <w:rtl/>
              </w:rPr>
              <w:t>418</w:t>
            </w:r>
            <w:r w:rsidR="001171C7">
              <w:rPr>
                <w:webHidden/>
                <w:rtl/>
              </w:rPr>
              <w:fldChar w:fldCharType="end"/>
            </w:r>
          </w:hyperlink>
        </w:p>
        <w:p w:rsidR="001171C7" w:rsidRDefault="007978F4">
          <w:pPr>
            <w:pStyle w:val="TOC1"/>
            <w:rPr>
              <w:rFonts w:eastAsiaTheme="minorEastAsia" w:cstheme="minorBidi"/>
              <w:b w:val="0"/>
              <w:bCs w:val="0"/>
              <w:rtl/>
            </w:rPr>
          </w:pPr>
          <w:hyperlink w:anchor="_Toc496175692" w:history="1">
            <w:r w:rsidR="001171C7" w:rsidRPr="00D35CC1">
              <w:rPr>
                <w:rStyle w:val="Hyperlink"/>
                <w:rFonts w:cs="Guttman Drogolin"/>
                <w:rtl/>
              </w:rPr>
              <w:t>יבש, יבש גמור, וצלול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Toc496175692 \h</w:instrText>
            </w:r>
            <w:r w:rsidR="001171C7">
              <w:rPr>
                <w:webHidden/>
                <w:rtl/>
              </w:rPr>
              <w:instrText xml:space="preserve"> </w:instrText>
            </w:r>
            <w:r w:rsidR="001171C7">
              <w:rPr>
                <w:webHidden/>
                <w:rtl/>
              </w:rPr>
            </w:r>
            <w:r w:rsidR="001171C7">
              <w:rPr>
                <w:webHidden/>
                <w:rtl/>
              </w:rPr>
              <w:fldChar w:fldCharType="separate"/>
            </w:r>
            <w:r w:rsidR="006A6D13">
              <w:rPr>
                <w:webHidden/>
                <w:rtl/>
              </w:rPr>
              <w:t>419</w:t>
            </w:r>
            <w:r w:rsidR="001171C7">
              <w:rPr>
                <w:webHidden/>
                <w:rtl/>
              </w:rPr>
              <w:fldChar w:fldCharType="end"/>
            </w:r>
          </w:hyperlink>
        </w:p>
        <w:p w:rsidR="001171C7" w:rsidRDefault="007978F4">
          <w:pPr>
            <w:pStyle w:val="TOC1"/>
            <w:rPr>
              <w:rFonts w:eastAsiaTheme="minorEastAsia" w:cstheme="minorBidi"/>
              <w:b w:val="0"/>
              <w:bCs w:val="0"/>
              <w:rtl/>
            </w:rPr>
          </w:pPr>
          <w:hyperlink w:anchor="_Toc496175693" w:history="1">
            <w:r w:rsidR="001171C7" w:rsidRPr="00D35CC1">
              <w:rPr>
                <w:rStyle w:val="Hyperlink"/>
                <w:rFonts w:cs="Guttman Drogolin"/>
                <w:rtl/>
              </w:rPr>
              <w:t>הדין למעשה בצלי שנפל לכותח הנאכל מחמת מלחו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Toc496175693 \h</w:instrText>
            </w:r>
            <w:r w:rsidR="001171C7">
              <w:rPr>
                <w:webHidden/>
                <w:rtl/>
              </w:rPr>
              <w:instrText xml:space="preserve"> </w:instrText>
            </w:r>
            <w:r w:rsidR="001171C7">
              <w:rPr>
                <w:webHidden/>
                <w:rtl/>
              </w:rPr>
            </w:r>
            <w:r w:rsidR="001171C7">
              <w:rPr>
                <w:webHidden/>
                <w:rtl/>
              </w:rPr>
              <w:fldChar w:fldCharType="separate"/>
            </w:r>
            <w:r w:rsidR="006A6D13">
              <w:rPr>
                <w:webHidden/>
                <w:rtl/>
              </w:rPr>
              <w:t>419</w:t>
            </w:r>
            <w:r w:rsidR="001171C7">
              <w:rPr>
                <w:webHidden/>
                <w:rtl/>
              </w:rPr>
              <w:fldChar w:fldCharType="end"/>
            </w:r>
          </w:hyperlink>
        </w:p>
        <w:p w:rsidR="001171C7" w:rsidRDefault="007978F4">
          <w:pPr>
            <w:pStyle w:val="TOC1"/>
            <w:rPr>
              <w:rFonts w:eastAsiaTheme="minorEastAsia" w:cstheme="minorBidi"/>
              <w:b w:val="0"/>
              <w:bCs w:val="0"/>
              <w:rtl/>
            </w:rPr>
          </w:pPr>
          <w:hyperlink w:anchor="_Toc496175694" w:history="1">
            <w:r w:rsidR="001171C7" w:rsidRPr="00D35CC1">
              <w:rPr>
                <w:rStyle w:val="Hyperlink"/>
                <w:rFonts w:cs="Guttman Drogolin"/>
                <w:rtl/>
              </w:rPr>
              <w:t>עוד הערה בדין פילי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Toc496175694 \h</w:instrText>
            </w:r>
            <w:r w:rsidR="001171C7">
              <w:rPr>
                <w:webHidden/>
                <w:rtl/>
              </w:rPr>
              <w:instrText xml:space="preserve"> </w:instrText>
            </w:r>
            <w:r w:rsidR="001171C7">
              <w:rPr>
                <w:webHidden/>
                <w:rtl/>
              </w:rPr>
            </w:r>
            <w:r w:rsidR="001171C7">
              <w:rPr>
                <w:webHidden/>
                <w:rtl/>
              </w:rPr>
              <w:fldChar w:fldCharType="separate"/>
            </w:r>
            <w:r w:rsidR="006A6D13">
              <w:rPr>
                <w:webHidden/>
                <w:rtl/>
              </w:rPr>
              <w:t>421</w:t>
            </w:r>
            <w:r w:rsidR="001171C7">
              <w:rPr>
                <w:webHidden/>
                <w:rtl/>
              </w:rPr>
              <w:fldChar w:fldCharType="end"/>
            </w:r>
          </w:hyperlink>
        </w:p>
        <w:p w:rsidR="001171C7" w:rsidRDefault="007978F4">
          <w:pPr>
            <w:pStyle w:val="TOC1"/>
            <w:rPr>
              <w:rFonts w:eastAsiaTheme="minorEastAsia" w:cstheme="minorBidi"/>
              <w:b w:val="0"/>
              <w:bCs w:val="0"/>
              <w:rtl/>
            </w:rPr>
          </w:pPr>
          <w:hyperlink w:anchor="_Toc496175695" w:history="1">
            <w:r w:rsidR="001171C7" w:rsidRPr="00D35CC1">
              <w:rPr>
                <w:rStyle w:val="Hyperlink"/>
                <w:rFonts w:cs="Guttman Drogolin"/>
                <w:rtl/>
              </w:rPr>
              <w:t>עד כמה מתפשט טעם ע"י מליחה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Toc496175695 \h</w:instrText>
            </w:r>
            <w:r w:rsidR="001171C7">
              <w:rPr>
                <w:webHidden/>
                <w:rtl/>
              </w:rPr>
              <w:instrText xml:space="preserve"> </w:instrText>
            </w:r>
            <w:r w:rsidR="001171C7">
              <w:rPr>
                <w:webHidden/>
                <w:rtl/>
              </w:rPr>
            </w:r>
            <w:r w:rsidR="001171C7">
              <w:rPr>
                <w:webHidden/>
                <w:rtl/>
              </w:rPr>
              <w:fldChar w:fldCharType="separate"/>
            </w:r>
            <w:r w:rsidR="006A6D13">
              <w:rPr>
                <w:webHidden/>
                <w:rtl/>
              </w:rPr>
              <w:t>421</w:t>
            </w:r>
            <w:r w:rsidR="001171C7">
              <w:rPr>
                <w:webHidden/>
                <w:rtl/>
              </w:rPr>
              <w:fldChar w:fldCharType="end"/>
            </w:r>
          </w:hyperlink>
        </w:p>
        <w:p w:rsidR="001171C7" w:rsidRDefault="007978F4">
          <w:pPr>
            <w:pStyle w:val="TOC1"/>
            <w:rPr>
              <w:rFonts w:eastAsiaTheme="minorEastAsia" w:cstheme="minorBidi"/>
              <w:b w:val="0"/>
              <w:bCs w:val="0"/>
              <w:rtl/>
            </w:rPr>
          </w:pPr>
          <w:hyperlink w:anchor="_Toc496175696" w:history="1">
            <w:r w:rsidR="001171C7" w:rsidRPr="00D35CC1">
              <w:rPr>
                <w:rStyle w:val="Hyperlink"/>
                <w:rFonts w:cs="Guttman Drogolin"/>
                <w:rtl/>
              </w:rPr>
              <w:t>בענין העברת בליעה שמינה מחתיכה לחתיכה במליחה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Toc496175696 \h</w:instrText>
            </w:r>
            <w:r w:rsidR="001171C7">
              <w:rPr>
                <w:webHidden/>
                <w:rtl/>
              </w:rPr>
              <w:instrText xml:space="preserve"> </w:instrText>
            </w:r>
            <w:r w:rsidR="001171C7">
              <w:rPr>
                <w:webHidden/>
                <w:rtl/>
              </w:rPr>
            </w:r>
            <w:r w:rsidR="001171C7">
              <w:rPr>
                <w:webHidden/>
                <w:rtl/>
              </w:rPr>
              <w:fldChar w:fldCharType="separate"/>
            </w:r>
            <w:r w:rsidR="006A6D13">
              <w:rPr>
                <w:webHidden/>
                <w:rtl/>
              </w:rPr>
              <w:t>422</w:t>
            </w:r>
            <w:r w:rsidR="001171C7">
              <w:rPr>
                <w:webHidden/>
                <w:rtl/>
              </w:rPr>
              <w:fldChar w:fldCharType="end"/>
            </w:r>
          </w:hyperlink>
        </w:p>
        <w:p w:rsidR="001171C7" w:rsidRDefault="007978F4">
          <w:pPr>
            <w:pStyle w:val="TOC1"/>
            <w:rPr>
              <w:rFonts w:eastAsiaTheme="minorEastAsia" w:cstheme="minorBidi"/>
              <w:b w:val="0"/>
              <w:bCs w:val="0"/>
              <w:rtl/>
            </w:rPr>
          </w:pPr>
          <w:hyperlink w:anchor="_Toc496175697" w:history="1">
            <w:r w:rsidR="001171C7" w:rsidRPr="00D35CC1">
              <w:rPr>
                <w:rStyle w:val="Hyperlink"/>
                <w:rFonts w:cs="Guttman Drogolin"/>
                <w:rtl/>
              </w:rPr>
              <w:t>שיטת הרמ"א בנמלחו כמה חתיכות ביחד</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Toc496175697 \h</w:instrText>
            </w:r>
            <w:r w:rsidR="001171C7">
              <w:rPr>
                <w:webHidden/>
                <w:rtl/>
              </w:rPr>
              <w:instrText xml:space="preserve"> </w:instrText>
            </w:r>
            <w:r w:rsidR="001171C7">
              <w:rPr>
                <w:webHidden/>
                <w:rtl/>
              </w:rPr>
            </w:r>
            <w:r w:rsidR="001171C7">
              <w:rPr>
                <w:webHidden/>
                <w:rtl/>
              </w:rPr>
              <w:fldChar w:fldCharType="separate"/>
            </w:r>
            <w:r w:rsidR="006A6D13">
              <w:rPr>
                <w:webHidden/>
                <w:rtl/>
              </w:rPr>
              <w:t>423</w:t>
            </w:r>
            <w:r w:rsidR="001171C7">
              <w:rPr>
                <w:webHidden/>
                <w:rtl/>
              </w:rPr>
              <w:fldChar w:fldCharType="end"/>
            </w:r>
          </w:hyperlink>
        </w:p>
        <w:p w:rsidR="001171C7" w:rsidRDefault="007978F4">
          <w:pPr>
            <w:pStyle w:val="TOC1"/>
            <w:rPr>
              <w:rFonts w:eastAsiaTheme="minorEastAsia" w:cstheme="minorBidi"/>
              <w:b w:val="0"/>
              <w:bCs w:val="0"/>
              <w:rtl/>
            </w:rPr>
          </w:pPr>
          <w:hyperlink w:anchor="_Toc496175698" w:history="1">
            <w:r w:rsidR="001171C7" w:rsidRPr="00D35CC1">
              <w:rPr>
                <w:rStyle w:val="Hyperlink"/>
                <w:rFonts w:cs="Guttman Drogolin"/>
                <w:rtl/>
              </w:rPr>
              <w:t>ביאור דברי הב"י במחלוקת מהר"ם ור' נתנאל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Toc496175698 \h</w:instrText>
            </w:r>
            <w:r w:rsidR="001171C7">
              <w:rPr>
                <w:webHidden/>
                <w:rtl/>
              </w:rPr>
              <w:instrText xml:space="preserve"> </w:instrText>
            </w:r>
            <w:r w:rsidR="001171C7">
              <w:rPr>
                <w:webHidden/>
                <w:rtl/>
              </w:rPr>
            </w:r>
            <w:r w:rsidR="001171C7">
              <w:rPr>
                <w:webHidden/>
                <w:rtl/>
              </w:rPr>
              <w:fldChar w:fldCharType="separate"/>
            </w:r>
            <w:r w:rsidR="006A6D13">
              <w:rPr>
                <w:webHidden/>
                <w:rtl/>
              </w:rPr>
              <w:t>424</w:t>
            </w:r>
            <w:r w:rsidR="001171C7">
              <w:rPr>
                <w:webHidden/>
                <w:rtl/>
              </w:rPr>
              <w:fldChar w:fldCharType="end"/>
            </w:r>
          </w:hyperlink>
        </w:p>
        <w:p w:rsidR="001171C7" w:rsidRDefault="007978F4">
          <w:pPr>
            <w:pStyle w:val="TOC1"/>
            <w:rPr>
              <w:rFonts w:eastAsiaTheme="minorEastAsia" w:cstheme="minorBidi"/>
              <w:b w:val="0"/>
              <w:bCs w:val="0"/>
              <w:rtl/>
            </w:rPr>
          </w:pPr>
          <w:hyperlink w:anchor="_Toc496175699" w:history="1">
            <w:r w:rsidR="001171C7" w:rsidRPr="00D35CC1">
              <w:rPr>
                <w:rStyle w:val="Hyperlink"/>
                <w:rFonts w:cs="Guttman Drogolin"/>
                <w:rtl/>
              </w:rPr>
              <w:t>כללי פעפוע במאכל כחוש ושמן לפי המנהג</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Toc496175699 \h</w:instrText>
            </w:r>
            <w:r w:rsidR="001171C7">
              <w:rPr>
                <w:webHidden/>
                <w:rtl/>
              </w:rPr>
              <w:instrText xml:space="preserve"> </w:instrText>
            </w:r>
            <w:r w:rsidR="001171C7">
              <w:rPr>
                <w:webHidden/>
                <w:rtl/>
              </w:rPr>
            </w:r>
            <w:r w:rsidR="001171C7">
              <w:rPr>
                <w:webHidden/>
                <w:rtl/>
              </w:rPr>
              <w:fldChar w:fldCharType="separate"/>
            </w:r>
            <w:r w:rsidR="006A6D13">
              <w:rPr>
                <w:webHidden/>
                <w:rtl/>
              </w:rPr>
              <w:t>425</w:t>
            </w:r>
            <w:r w:rsidR="001171C7">
              <w:rPr>
                <w:webHidden/>
                <w:rtl/>
              </w:rPr>
              <w:fldChar w:fldCharType="end"/>
            </w:r>
          </w:hyperlink>
        </w:p>
        <w:p w:rsidR="001171C7" w:rsidRDefault="007978F4">
          <w:pPr>
            <w:pStyle w:val="TOC1"/>
            <w:rPr>
              <w:rFonts w:eastAsiaTheme="minorEastAsia" w:cstheme="minorBidi"/>
              <w:b w:val="0"/>
              <w:bCs w:val="0"/>
              <w:rtl/>
            </w:rPr>
          </w:pPr>
          <w:hyperlink w:anchor="_Toc496175700" w:history="1">
            <w:r w:rsidR="001171C7" w:rsidRPr="00D35CC1">
              <w:rPr>
                <w:rStyle w:val="Hyperlink"/>
                <w:rFonts w:cs="Guttman Drogolin"/>
                <w:rtl/>
              </w:rPr>
              <w:t>בדין תתאה ועילאה במליחה למעשה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Toc496175700 \h</w:instrText>
            </w:r>
            <w:r w:rsidR="001171C7">
              <w:rPr>
                <w:webHidden/>
                <w:rtl/>
              </w:rPr>
              <w:instrText xml:space="preserve"> </w:instrText>
            </w:r>
            <w:r w:rsidR="001171C7">
              <w:rPr>
                <w:webHidden/>
                <w:rtl/>
              </w:rPr>
            </w:r>
            <w:r w:rsidR="001171C7">
              <w:rPr>
                <w:webHidden/>
                <w:rtl/>
              </w:rPr>
              <w:fldChar w:fldCharType="separate"/>
            </w:r>
            <w:r w:rsidR="006A6D13">
              <w:rPr>
                <w:webHidden/>
                <w:rtl/>
              </w:rPr>
              <w:t>425</w:t>
            </w:r>
            <w:r w:rsidR="001171C7">
              <w:rPr>
                <w:webHidden/>
                <w:rtl/>
              </w:rPr>
              <w:fldChar w:fldCharType="end"/>
            </w:r>
          </w:hyperlink>
        </w:p>
        <w:p w:rsidR="001171C7" w:rsidRDefault="007978F4">
          <w:pPr>
            <w:pStyle w:val="TOC1"/>
            <w:rPr>
              <w:rFonts w:eastAsiaTheme="minorEastAsia" w:cstheme="minorBidi"/>
              <w:b w:val="0"/>
              <w:bCs w:val="0"/>
              <w:rtl/>
            </w:rPr>
          </w:pPr>
          <w:hyperlink w:anchor="_Toc496175701" w:history="1">
            <w:r w:rsidR="001171C7" w:rsidRPr="00D35CC1">
              <w:rPr>
                <w:rStyle w:val="Hyperlink"/>
                <w:rFonts w:cs="Guttman Drogolin"/>
                <w:rtl/>
              </w:rPr>
              <w:t>מליחה בכלים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Toc496175701 \h</w:instrText>
            </w:r>
            <w:r w:rsidR="001171C7">
              <w:rPr>
                <w:webHidden/>
                <w:rtl/>
              </w:rPr>
              <w:instrText xml:space="preserve"> </w:instrText>
            </w:r>
            <w:r w:rsidR="001171C7">
              <w:rPr>
                <w:webHidden/>
                <w:rtl/>
              </w:rPr>
            </w:r>
            <w:r w:rsidR="001171C7">
              <w:rPr>
                <w:webHidden/>
                <w:rtl/>
              </w:rPr>
              <w:fldChar w:fldCharType="separate"/>
            </w:r>
            <w:r w:rsidR="006A6D13">
              <w:rPr>
                <w:webHidden/>
                <w:rtl/>
              </w:rPr>
              <w:t>426</w:t>
            </w:r>
            <w:r w:rsidR="001171C7">
              <w:rPr>
                <w:webHidden/>
                <w:rtl/>
              </w:rPr>
              <w:fldChar w:fldCharType="end"/>
            </w:r>
          </w:hyperlink>
        </w:p>
        <w:p w:rsidR="001171C7" w:rsidRDefault="007978F4">
          <w:pPr>
            <w:pStyle w:val="TOC1"/>
            <w:rPr>
              <w:rFonts w:eastAsiaTheme="minorEastAsia" w:cstheme="minorBidi"/>
              <w:b w:val="0"/>
              <w:bCs w:val="0"/>
              <w:rtl/>
            </w:rPr>
          </w:pPr>
          <w:hyperlink w:anchor="_Toc496175702" w:history="1">
            <w:r w:rsidR="001171C7" w:rsidRPr="00D35CC1">
              <w:rPr>
                <w:rStyle w:val="Hyperlink"/>
                <w:rFonts w:cs="Guttman Drogolin"/>
                <w:rtl/>
              </w:rPr>
              <w:t>מלח שבלע דם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Toc496175702 \h</w:instrText>
            </w:r>
            <w:r w:rsidR="001171C7">
              <w:rPr>
                <w:webHidden/>
                <w:rtl/>
              </w:rPr>
              <w:instrText xml:space="preserve"> </w:instrText>
            </w:r>
            <w:r w:rsidR="001171C7">
              <w:rPr>
                <w:webHidden/>
                <w:rtl/>
              </w:rPr>
            </w:r>
            <w:r w:rsidR="001171C7">
              <w:rPr>
                <w:webHidden/>
                <w:rtl/>
              </w:rPr>
              <w:fldChar w:fldCharType="separate"/>
            </w:r>
            <w:r w:rsidR="006A6D13">
              <w:rPr>
                <w:webHidden/>
                <w:rtl/>
              </w:rPr>
              <w:t>426</w:t>
            </w:r>
            <w:r w:rsidR="001171C7">
              <w:rPr>
                <w:webHidden/>
                <w:rtl/>
              </w:rPr>
              <w:fldChar w:fldCharType="end"/>
            </w:r>
          </w:hyperlink>
        </w:p>
        <w:p w:rsidR="00B8771A" w:rsidRPr="00FE3C48" w:rsidRDefault="00B8771A" w:rsidP="00B8771A">
          <w:pPr>
            <w:pStyle w:val="TOC1"/>
            <w:spacing w:before="240"/>
            <w:rPr>
              <w:rStyle w:val="Hyperlink"/>
              <w:color w:val="auto"/>
              <w:sz w:val="28"/>
              <w:szCs w:val="28"/>
              <w:rtl/>
            </w:rPr>
          </w:pPr>
          <w:r>
            <w:rPr>
              <w:rStyle w:val="Hyperlink"/>
              <w:rFonts w:hint="cs"/>
              <w:color w:val="auto"/>
              <w:sz w:val="28"/>
              <w:szCs w:val="28"/>
              <w:rtl/>
            </w:rPr>
            <w:t>פסחים דף ל' / או"ח סי' תמ"ז</w:t>
          </w:r>
        </w:p>
        <w:p w:rsidR="001171C7" w:rsidRDefault="007978F4">
          <w:pPr>
            <w:pStyle w:val="TOC1"/>
            <w:rPr>
              <w:rFonts w:eastAsiaTheme="minorEastAsia" w:cstheme="minorBidi"/>
              <w:b w:val="0"/>
              <w:bCs w:val="0"/>
              <w:rtl/>
            </w:rPr>
          </w:pPr>
          <w:hyperlink w:anchor="_Toc496175703" w:history="1">
            <w:r w:rsidR="001171C7" w:rsidRPr="00D35CC1">
              <w:rPr>
                <w:rStyle w:val="Hyperlink"/>
                <w:rFonts w:cs="Guttman Drogolin"/>
                <w:rtl/>
              </w:rPr>
              <w:t>שיטת רב, שמואל, ור' יוחנן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Toc496175703 \h</w:instrText>
            </w:r>
            <w:r w:rsidR="001171C7">
              <w:rPr>
                <w:webHidden/>
                <w:rtl/>
              </w:rPr>
              <w:instrText xml:space="preserve"> </w:instrText>
            </w:r>
            <w:r w:rsidR="001171C7">
              <w:rPr>
                <w:webHidden/>
                <w:rtl/>
              </w:rPr>
            </w:r>
            <w:r w:rsidR="001171C7">
              <w:rPr>
                <w:webHidden/>
                <w:rtl/>
              </w:rPr>
              <w:fldChar w:fldCharType="separate"/>
            </w:r>
            <w:r w:rsidR="006A6D13">
              <w:rPr>
                <w:webHidden/>
                <w:rtl/>
              </w:rPr>
              <w:t>427</w:t>
            </w:r>
            <w:r w:rsidR="001171C7">
              <w:rPr>
                <w:webHidden/>
                <w:rtl/>
              </w:rPr>
              <w:fldChar w:fldCharType="end"/>
            </w:r>
          </w:hyperlink>
        </w:p>
        <w:p w:rsidR="001171C7" w:rsidRDefault="007978F4">
          <w:pPr>
            <w:pStyle w:val="TOC1"/>
            <w:rPr>
              <w:rFonts w:eastAsiaTheme="minorEastAsia" w:cstheme="minorBidi"/>
              <w:b w:val="0"/>
              <w:bCs w:val="0"/>
              <w:rtl/>
            </w:rPr>
          </w:pPr>
          <w:hyperlink w:anchor="_Toc496175704" w:history="1">
            <w:r w:rsidR="001171C7" w:rsidRPr="00D35CC1">
              <w:rPr>
                <w:rStyle w:val="Hyperlink"/>
                <w:rFonts w:cs="Guttman Drogolin"/>
                <w:rtl/>
              </w:rPr>
              <w:t>שיטת רבא – דעת הרמב"ן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Toc496175704 \h</w:instrText>
            </w:r>
            <w:r w:rsidR="001171C7">
              <w:rPr>
                <w:webHidden/>
                <w:rtl/>
              </w:rPr>
              <w:instrText xml:space="preserve"> </w:instrText>
            </w:r>
            <w:r w:rsidR="001171C7">
              <w:rPr>
                <w:webHidden/>
                <w:rtl/>
              </w:rPr>
            </w:r>
            <w:r w:rsidR="001171C7">
              <w:rPr>
                <w:webHidden/>
                <w:rtl/>
              </w:rPr>
              <w:fldChar w:fldCharType="separate"/>
            </w:r>
            <w:r w:rsidR="006A6D13">
              <w:rPr>
                <w:webHidden/>
                <w:rtl/>
              </w:rPr>
              <w:t>427</w:t>
            </w:r>
            <w:r w:rsidR="001171C7">
              <w:rPr>
                <w:webHidden/>
                <w:rtl/>
              </w:rPr>
              <w:fldChar w:fldCharType="end"/>
            </w:r>
          </w:hyperlink>
        </w:p>
        <w:p w:rsidR="001171C7" w:rsidRDefault="007978F4">
          <w:pPr>
            <w:pStyle w:val="TOC1"/>
            <w:rPr>
              <w:rFonts w:eastAsiaTheme="minorEastAsia" w:cstheme="minorBidi"/>
              <w:b w:val="0"/>
              <w:bCs w:val="0"/>
              <w:rtl/>
            </w:rPr>
          </w:pPr>
          <w:hyperlink w:anchor="_Toc496175705" w:history="1">
            <w:r w:rsidR="001171C7" w:rsidRPr="00D35CC1">
              <w:rPr>
                <w:rStyle w:val="Hyperlink"/>
                <w:rFonts w:cs="Guttman Drogolin"/>
                <w:rtl/>
              </w:rPr>
              <w:t>עוד ביאורים בשיטת רבא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Toc496175705 \h</w:instrText>
            </w:r>
            <w:r w:rsidR="001171C7">
              <w:rPr>
                <w:webHidden/>
                <w:rtl/>
              </w:rPr>
              <w:instrText xml:space="preserve"> </w:instrText>
            </w:r>
            <w:r w:rsidR="001171C7">
              <w:rPr>
                <w:webHidden/>
                <w:rtl/>
              </w:rPr>
            </w:r>
            <w:r w:rsidR="001171C7">
              <w:rPr>
                <w:webHidden/>
                <w:rtl/>
              </w:rPr>
              <w:fldChar w:fldCharType="separate"/>
            </w:r>
            <w:r w:rsidR="006A6D13">
              <w:rPr>
                <w:webHidden/>
                <w:rtl/>
              </w:rPr>
              <w:t>429</w:t>
            </w:r>
            <w:r w:rsidR="001171C7">
              <w:rPr>
                <w:webHidden/>
                <w:rtl/>
              </w:rPr>
              <w:fldChar w:fldCharType="end"/>
            </w:r>
          </w:hyperlink>
        </w:p>
        <w:p w:rsidR="001171C7" w:rsidRDefault="007978F4">
          <w:pPr>
            <w:pStyle w:val="TOC1"/>
            <w:rPr>
              <w:rFonts w:eastAsiaTheme="minorEastAsia" w:cstheme="minorBidi"/>
              <w:b w:val="0"/>
              <w:bCs w:val="0"/>
              <w:rtl/>
            </w:rPr>
          </w:pPr>
          <w:hyperlink w:anchor="_Toc496175706" w:history="1">
            <w:r w:rsidR="001171C7" w:rsidRPr="00D35CC1">
              <w:rPr>
                <w:rStyle w:val="Hyperlink"/>
                <w:rFonts w:cs="Guttman Drogolin"/>
                <w:rtl/>
              </w:rPr>
              <w:t>חמץ מו' שעות עד הערב</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Toc496175706 \h</w:instrText>
            </w:r>
            <w:r w:rsidR="001171C7">
              <w:rPr>
                <w:webHidden/>
                <w:rtl/>
              </w:rPr>
              <w:instrText xml:space="preserve"> </w:instrText>
            </w:r>
            <w:r w:rsidR="001171C7">
              <w:rPr>
                <w:webHidden/>
                <w:rtl/>
              </w:rPr>
            </w:r>
            <w:r w:rsidR="001171C7">
              <w:rPr>
                <w:webHidden/>
                <w:rtl/>
              </w:rPr>
              <w:fldChar w:fldCharType="separate"/>
            </w:r>
            <w:r w:rsidR="006A6D13">
              <w:rPr>
                <w:webHidden/>
                <w:rtl/>
              </w:rPr>
              <w:t>430</w:t>
            </w:r>
            <w:r w:rsidR="001171C7">
              <w:rPr>
                <w:webHidden/>
                <w:rtl/>
              </w:rPr>
              <w:fldChar w:fldCharType="end"/>
            </w:r>
          </w:hyperlink>
        </w:p>
        <w:p w:rsidR="001171C7" w:rsidRDefault="007978F4">
          <w:pPr>
            <w:pStyle w:val="TOC1"/>
            <w:rPr>
              <w:rFonts w:eastAsiaTheme="minorEastAsia" w:cstheme="minorBidi"/>
              <w:b w:val="0"/>
              <w:bCs w:val="0"/>
              <w:rtl/>
            </w:rPr>
          </w:pPr>
          <w:hyperlink w:anchor="_Toc496175707" w:history="1">
            <w:r w:rsidR="001171C7" w:rsidRPr="00D35CC1">
              <w:rPr>
                <w:rStyle w:val="Hyperlink"/>
                <w:rFonts w:cs="Guttman Drogolin"/>
                <w:rtl/>
              </w:rPr>
              <w:t>ביטול יבש ביבש בחמץ בפסח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Toc496175707 \h</w:instrText>
            </w:r>
            <w:r w:rsidR="001171C7">
              <w:rPr>
                <w:webHidden/>
                <w:rtl/>
              </w:rPr>
              <w:instrText xml:space="preserve"> </w:instrText>
            </w:r>
            <w:r w:rsidR="001171C7">
              <w:rPr>
                <w:webHidden/>
                <w:rtl/>
              </w:rPr>
            </w:r>
            <w:r w:rsidR="001171C7">
              <w:rPr>
                <w:webHidden/>
                <w:rtl/>
              </w:rPr>
              <w:fldChar w:fldCharType="separate"/>
            </w:r>
            <w:r w:rsidR="006A6D13">
              <w:rPr>
                <w:webHidden/>
                <w:rtl/>
              </w:rPr>
              <w:t>430</w:t>
            </w:r>
            <w:r w:rsidR="001171C7">
              <w:rPr>
                <w:webHidden/>
                <w:rtl/>
              </w:rPr>
              <w:fldChar w:fldCharType="end"/>
            </w:r>
          </w:hyperlink>
        </w:p>
        <w:p w:rsidR="001171C7" w:rsidRDefault="007978F4">
          <w:pPr>
            <w:pStyle w:val="TOC1"/>
            <w:rPr>
              <w:rFonts w:eastAsiaTheme="minorEastAsia" w:cstheme="minorBidi"/>
              <w:b w:val="0"/>
              <w:bCs w:val="0"/>
              <w:rtl/>
            </w:rPr>
          </w:pPr>
          <w:hyperlink w:anchor="_Toc496175708" w:history="1">
            <w:r w:rsidR="001171C7" w:rsidRPr="00D35CC1">
              <w:rPr>
                <w:rStyle w:val="Hyperlink"/>
                <w:rFonts w:cs="Guttman Drogolin"/>
                <w:rtl/>
              </w:rPr>
              <w:t>אם חמץ בפסח חוזר וניעור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Toc496175708 \h</w:instrText>
            </w:r>
            <w:r w:rsidR="001171C7">
              <w:rPr>
                <w:webHidden/>
                <w:rtl/>
              </w:rPr>
              <w:instrText xml:space="preserve"> </w:instrText>
            </w:r>
            <w:r w:rsidR="001171C7">
              <w:rPr>
                <w:webHidden/>
                <w:rtl/>
              </w:rPr>
            </w:r>
            <w:r w:rsidR="001171C7">
              <w:rPr>
                <w:webHidden/>
                <w:rtl/>
              </w:rPr>
              <w:fldChar w:fldCharType="separate"/>
            </w:r>
            <w:r w:rsidR="006A6D13">
              <w:rPr>
                <w:webHidden/>
                <w:rtl/>
              </w:rPr>
              <w:t>431</w:t>
            </w:r>
            <w:r w:rsidR="001171C7">
              <w:rPr>
                <w:webHidden/>
                <w:rtl/>
              </w:rPr>
              <w:fldChar w:fldCharType="end"/>
            </w:r>
          </w:hyperlink>
        </w:p>
        <w:p w:rsidR="001171C7" w:rsidRDefault="007978F4">
          <w:pPr>
            <w:pStyle w:val="TOC1"/>
            <w:rPr>
              <w:rFonts w:eastAsiaTheme="minorEastAsia" w:cstheme="minorBidi"/>
              <w:b w:val="0"/>
              <w:bCs w:val="0"/>
              <w:rtl/>
            </w:rPr>
          </w:pPr>
          <w:hyperlink w:anchor="_Toc496175709" w:history="1">
            <w:r w:rsidR="001171C7" w:rsidRPr="00D35CC1">
              <w:rPr>
                <w:rStyle w:val="Hyperlink"/>
                <w:rFonts w:cs="Guttman Drogolin"/>
                <w:rtl/>
              </w:rPr>
              <w:t>היכי קיי"ל לדינא בחמץ בפסח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Toc496175709 \h</w:instrText>
            </w:r>
            <w:r w:rsidR="001171C7">
              <w:rPr>
                <w:webHidden/>
                <w:rtl/>
              </w:rPr>
              <w:instrText xml:space="preserve"> </w:instrText>
            </w:r>
            <w:r w:rsidR="001171C7">
              <w:rPr>
                <w:webHidden/>
                <w:rtl/>
              </w:rPr>
            </w:r>
            <w:r w:rsidR="001171C7">
              <w:rPr>
                <w:webHidden/>
                <w:rtl/>
              </w:rPr>
              <w:fldChar w:fldCharType="separate"/>
            </w:r>
            <w:r w:rsidR="006A6D13">
              <w:rPr>
                <w:webHidden/>
                <w:rtl/>
              </w:rPr>
              <w:t>432</w:t>
            </w:r>
            <w:r w:rsidR="001171C7">
              <w:rPr>
                <w:webHidden/>
                <w:rtl/>
              </w:rPr>
              <w:fldChar w:fldCharType="end"/>
            </w:r>
          </w:hyperlink>
        </w:p>
        <w:p w:rsidR="001171C7" w:rsidRDefault="007978F4">
          <w:pPr>
            <w:pStyle w:val="TOC1"/>
            <w:rPr>
              <w:rFonts w:eastAsiaTheme="minorEastAsia" w:cstheme="minorBidi"/>
              <w:b w:val="0"/>
              <w:bCs w:val="0"/>
              <w:rtl/>
            </w:rPr>
          </w:pPr>
          <w:hyperlink w:anchor="_Toc496175710" w:history="1">
            <w:r w:rsidR="001171C7" w:rsidRPr="00D35CC1">
              <w:rPr>
                <w:rStyle w:val="Hyperlink"/>
                <w:rFonts w:cs="Guttman Drogolin"/>
                <w:rtl/>
              </w:rPr>
              <w:t>אם הא דחמץ הוי דשיל"מ נתקבלה להלכה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Toc496175710 \h</w:instrText>
            </w:r>
            <w:r w:rsidR="001171C7">
              <w:rPr>
                <w:webHidden/>
                <w:rtl/>
              </w:rPr>
              <w:instrText xml:space="preserve"> </w:instrText>
            </w:r>
            <w:r w:rsidR="001171C7">
              <w:rPr>
                <w:webHidden/>
                <w:rtl/>
              </w:rPr>
            </w:r>
            <w:r w:rsidR="001171C7">
              <w:rPr>
                <w:webHidden/>
                <w:rtl/>
              </w:rPr>
              <w:fldChar w:fldCharType="separate"/>
            </w:r>
            <w:r w:rsidR="006A6D13">
              <w:rPr>
                <w:webHidden/>
                <w:rtl/>
              </w:rPr>
              <w:t>433</w:t>
            </w:r>
            <w:r w:rsidR="001171C7">
              <w:rPr>
                <w:webHidden/>
                <w:rtl/>
              </w:rPr>
              <w:fldChar w:fldCharType="end"/>
            </w:r>
          </w:hyperlink>
        </w:p>
        <w:p w:rsidR="001171C7" w:rsidRDefault="007978F4">
          <w:pPr>
            <w:pStyle w:val="TOC1"/>
            <w:rPr>
              <w:rFonts w:eastAsiaTheme="minorEastAsia" w:cstheme="minorBidi"/>
              <w:b w:val="0"/>
              <w:bCs w:val="0"/>
              <w:rtl/>
            </w:rPr>
          </w:pPr>
          <w:hyperlink w:anchor="_Toc496175711" w:history="1">
            <w:r w:rsidR="001171C7" w:rsidRPr="00D35CC1">
              <w:rPr>
                <w:rStyle w:val="Hyperlink"/>
                <w:rFonts w:cs="Guttman Drogolin"/>
                <w:rtl/>
              </w:rPr>
              <w:t>אם הא דחמץ הוי דשיל"מ נתקבלה להלכה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Toc496175711 \h</w:instrText>
            </w:r>
            <w:r w:rsidR="001171C7">
              <w:rPr>
                <w:webHidden/>
                <w:rtl/>
              </w:rPr>
              <w:instrText xml:space="preserve"> </w:instrText>
            </w:r>
            <w:r w:rsidR="001171C7">
              <w:rPr>
                <w:webHidden/>
                <w:rtl/>
              </w:rPr>
            </w:r>
            <w:r w:rsidR="001171C7">
              <w:rPr>
                <w:webHidden/>
                <w:rtl/>
              </w:rPr>
              <w:fldChar w:fldCharType="separate"/>
            </w:r>
            <w:r w:rsidR="006A6D13">
              <w:rPr>
                <w:webHidden/>
                <w:rtl/>
              </w:rPr>
              <w:t>434</w:t>
            </w:r>
            <w:r w:rsidR="001171C7">
              <w:rPr>
                <w:webHidden/>
                <w:rtl/>
              </w:rPr>
              <w:fldChar w:fldCharType="end"/>
            </w:r>
          </w:hyperlink>
        </w:p>
        <w:p w:rsidR="001171C7" w:rsidRDefault="007978F4">
          <w:pPr>
            <w:pStyle w:val="TOC1"/>
            <w:rPr>
              <w:rFonts w:eastAsiaTheme="minorEastAsia" w:cstheme="minorBidi"/>
              <w:b w:val="0"/>
              <w:bCs w:val="0"/>
              <w:rtl/>
            </w:rPr>
          </w:pPr>
          <w:hyperlink w:anchor="_Toc496175712" w:history="1">
            <w:r w:rsidR="001171C7" w:rsidRPr="00D35CC1">
              <w:rPr>
                <w:rStyle w:val="Hyperlink"/>
                <w:rFonts w:cs="Guttman Drogolin"/>
                <w:rtl/>
              </w:rPr>
              <w:t>ביטול יבש ביבש</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Toc496175712 \h</w:instrText>
            </w:r>
            <w:r w:rsidR="001171C7">
              <w:rPr>
                <w:webHidden/>
                <w:rtl/>
              </w:rPr>
              <w:instrText xml:space="preserve"> </w:instrText>
            </w:r>
            <w:r w:rsidR="001171C7">
              <w:rPr>
                <w:webHidden/>
                <w:rtl/>
              </w:rPr>
            </w:r>
            <w:r w:rsidR="001171C7">
              <w:rPr>
                <w:webHidden/>
                <w:rtl/>
              </w:rPr>
              <w:fldChar w:fldCharType="separate"/>
            </w:r>
            <w:r w:rsidR="006A6D13">
              <w:rPr>
                <w:webHidden/>
                <w:rtl/>
              </w:rPr>
              <w:t>435</w:t>
            </w:r>
            <w:r w:rsidR="001171C7">
              <w:rPr>
                <w:webHidden/>
                <w:rtl/>
              </w:rPr>
              <w:fldChar w:fldCharType="end"/>
            </w:r>
          </w:hyperlink>
        </w:p>
        <w:p w:rsidR="001171C7" w:rsidRDefault="007978F4">
          <w:pPr>
            <w:pStyle w:val="TOC1"/>
            <w:rPr>
              <w:rFonts w:eastAsiaTheme="minorEastAsia" w:cstheme="minorBidi"/>
              <w:b w:val="0"/>
              <w:bCs w:val="0"/>
              <w:rtl/>
            </w:rPr>
          </w:pPr>
          <w:hyperlink w:anchor="_Toc496175713" w:history="1">
            <w:r w:rsidR="001171C7" w:rsidRPr="00D35CC1">
              <w:rPr>
                <w:rStyle w:val="Hyperlink"/>
                <w:rFonts w:cs="Guttman Drogolin"/>
                <w:rtl/>
              </w:rPr>
              <w:t>בדין נטל"פ בפסח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Toc496175713 \h</w:instrText>
            </w:r>
            <w:r w:rsidR="001171C7">
              <w:rPr>
                <w:webHidden/>
                <w:rtl/>
              </w:rPr>
              <w:instrText xml:space="preserve"> </w:instrText>
            </w:r>
            <w:r w:rsidR="001171C7">
              <w:rPr>
                <w:webHidden/>
                <w:rtl/>
              </w:rPr>
            </w:r>
            <w:r w:rsidR="001171C7">
              <w:rPr>
                <w:webHidden/>
                <w:rtl/>
              </w:rPr>
              <w:fldChar w:fldCharType="separate"/>
            </w:r>
            <w:r w:rsidR="006A6D13">
              <w:rPr>
                <w:webHidden/>
                <w:rtl/>
              </w:rPr>
              <w:t>435</w:t>
            </w:r>
            <w:r w:rsidR="001171C7">
              <w:rPr>
                <w:webHidden/>
                <w:rtl/>
              </w:rPr>
              <w:fldChar w:fldCharType="end"/>
            </w:r>
          </w:hyperlink>
        </w:p>
        <w:p w:rsidR="001171C7" w:rsidRDefault="007978F4">
          <w:pPr>
            <w:pStyle w:val="TOC1"/>
            <w:rPr>
              <w:rFonts w:eastAsiaTheme="minorEastAsia" w:cstheme="minorBidi"/>
              <w:b w:val="0"/>
              <w:bCs w:val="0"/>
              <w:rtl/>
            </w:rPr>
          </w:pPr>
          <w:hyperlink w:anchor="_Toc496175714" w:history="1">
            <w:r w:rsidR="001171C7" w:rsidRPr="00D35CC1">
              <w:rPr>
                <w:rStyle w:val="Hyperlink"/>
                <w:rFonts w:cs="Guttman Drogolin"/>
                <w:rtl/>
              </w:rPr>
              <w:t>בדין חמץ שעבר עליו הפסח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Toc496175714 \h</w:instrText>
            </w:r>
            <w:r w:rsidR="001171C7">
              <w:rPr>
                <w:webHidden/>
                <w:rtl/>
              </w:rPr>
              <w:instrText xml:space="preserve"> </w:instrText>
            </w:r>
            <w:r w:rsidR="001171C7">
              <w:rPr>
                <w:webHidden/>
                <w:rtl/>
              </w:rPr>
            </w:r>
            <w:r w:rsidR="001171C7">
              <w:rPr>
                <w:webHidden/>
                <w:rtl/>
              </w:rPr>
              <w:fldChar w:fldCharType="separate"/>
            </w:r>
            <w:r w:rsidR="006A6D13">
              <w:rPr>
                <w:webHidden/>
                <w:rtl/>
              </w:rPr>
              <w:t>436</w:t>
            </w:r>
            <w:r w:rsidR="001171C7">
              <w:rPr>
                <w:webHidden/>
                <w:rtl/>
              </w:rPr>
              <w:fldChar w:fldCharType="end"/>
            </w:r>
          </w:hyperlink>
        </w:p>
        <w:p w:rsidR="00B8771A" w:rsidRPr="00FE3C48" w:rsidRDefault="00B8771A" w:rsidP="00B8771A">
          <w:pPr>
            <w:pStyle w:val="TOC1"/>
            <w:spacing w:before="240"/>
            <w:rPr>
              <w:rStyle w:val="Hyperlink"/>
              <w:color w:val="auto"/>
              <w:sz w:val="28"/>
              <w:szCs w:val="28"/>
              <w:rtl/>
            </w:rPr>
          </w:pPr>
          <w:r>
            <w:rPr>
              <w:rStyle w:val="Hyperlink"/>
              <w:rFonts w:hint="cs"/>
              <w:color w:val="auto"/>
              <w:sz w:val="28"/>
              <w:szCs w:val="28"/>
              <w:rtl/>
            </w:rPr>
            <w:t>טבילת כלים / יו"ד סי' ק"כ</w:t>
          </w:r>
        </w:p>
        <w:p w:rsidR="001171C7" w:rsidRDefault="007978F4">
          <w:pPr>
            <w:pStyle w:val="TOC1"/>
            <w:rPr>
              <w:rFonts w:eastAsiaTheme="minorEastAsia" w:cstheme="minorBidi"/>
              <w:b w:val="0"/>
              <w:bCs w:val="0"/>
              <w:rtl/>
            </w:rPr>
          </w:pPr>
          <w:hyperlink w:anchor="_Toc496175715" w:history="1">
            <w:r w:rsidR="001171C7" w:rsidRPr="00D35CC1">
              <w:rPr>
                <w:rStyle w:val="Hyperlink"/>
                <w:rFonts w:cs="Guttman Drogolin"/>
                <w:rtl/>
              </w:rPr>
              <w:t>אם יש חיוב של טבילת כלים מדאורייתא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Toc496175715 \h</w:instrText>
            </w:r>
            <w:r w:rsidR="001171C7">
              <w:rPr>
                <w:webHidden/>
                <w:rtl/>
              </w:rPr>
              <w:instrText xml:space="preserve"> </w:instrText>
            </w:r>
            <w:r w:rsidR="001171C7">
              <w:rPr>
                <w:webHidden/>
                <w:rtl/>
              </w:rPr>
            </w:r>
            <w:r w:rsidR="001171C7">
              <w:rPr>
                <w:webHidden/>
                <w:rtl/>
              </w:rPr>
              <w:fldChar w:fldCharType="separate"/>
            </w:r>
            <w:r w:rsidR="006A6D13">
              <w:rPr>
                <w:webHidden/>
                <w:rtl/>
              </w:rPr>
              <w:t>438</w:t>
            </w:r>
            <w:r w:rsidR="001171C7">
              <w:rPr>
                <w:webHidden/>
                <w:rtl/>
              </w:rPr>
              <w:fldChar w:fldCharType="end"/>
            </w:r>
          </w:hyperlink>
        </w:p>
        <w:p w:rsidR="001171C7" w:rsidRDefault="007978F4">
          <w:pPr>
            <w:pStyle w:val="TOC1"/>
            <w:rPr>
              <w:rFonts w:eastAsiaTheme="minorEastAsia" w:cstheme="minorBidi"/>
              <w:b w:val="0"/>
              <w:bCs w:val="0"/>
              <w:rtl/>
            </w:rPr>
          </w:pPr>
          <w:hyperlink w:anchor="_Toc496175716" w:history="1">
            <w:r w:rsidR="001171C7" w:rsidRPr="00D35CC1">
              <w:rPr>
                <w:rStyle w:val="Hyperlink"/>
                <w:rFonts w:cs="Guttman Drogolin"/>
                <w:rtl/>
              </w:rPr>
              <w:t>גדר החיוב של טבילת כלים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Toc496175716 \h</w:instrText>
            </w:r>
            <w:r w:rsidR="001171C7">
              <w:rPr>
                <w:webHidden/>
                <w:rtl/>
              </w:rPr>
              <w:instrText xml:space="preserve"> </w:instrText>
            </w:r>
            <w:r w:rsidR="001171C7">
              <w:rPr>
                <w:webHidden/>
                <w:rtl/>
              </w:rPr>
            </w:r>
            <w:r w:rsidR="001171C7">
              <w:rPr>
                <w:webHidden/>
                <w:rtl/>
              </w:rPr>
              <w:fldChar w:fldCharType="separate"/>
            </w:r>
            <w:r w:rsidR="006A6D13">
              <w:rPr>
                <w:webHidden/>
                <w:rtl/>
              </w:rPr>
              <w:t>438</w:t>
            </w:r>
            <w:r w:rsidR="001171C7">
              <w:rPr>
                <w:webHidden/>
                <w:rtl/>
              </w:rPr>
              <w:fldChar w:fldCharType="end"/>
            </w:r>
          </w:hyperlink>
        </w:p>
        <w:p w:rsidR="001171C7" w:rsidRDefault="007978F4">
          <w:pPr>
            <w:pStyle w:val="TOC1"/>
            <w:rPr>
              <w:rFonts w:eastAsiaTheme="minorEastAsia" w:cstheme="minorBidi"/>
              <w:b w:val="0"/>
              <w:bCs w:val="0"/>
              <w:rtl/>
            </w:rPr>
          </w:pPr>
          <w:hyperlink w:anchor="_Toc496175717" w:history="1">
            <w:r w:rsidR="001171C7" w:rsidRPr="00D35CC1">
              <w:rPr>
                <w:rStyle w:val="Hyperlink"/>
                <w:rFonts w:cs="Guttman Drogolin"/>
                <w:rtl/>
              </w:rPr>
              <w:t>עוד בגדר החיוב של טבילת כלים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Toc496175717 \h</w:instrText>
            </w:r>
            <w:r w:rsidR="001171C7">
              <w:rPr>
                <w:webHidden/>
                <w:rtl/>
              </w:rPr>
              <w:instrText xml:space="preserve"> </w:instrText>
            </w:r>
            <w:r w:rsidR="001171C7">
              <w:rPr>
                <w:webHidden/>
                <w:rtl/>
              </w:rPr>
            </w:r>
            <w:r w:rsidR="001171C7">
              <w:rPr>
                <w:webHidden/>
                <w:rtl/>
              </w:rPr>
              <w:fldChar w:fldCharType="separate"/>
            </w:r>
            <w:r w:rsidR="006A6D13">
              <w:rPr>
                <w:webHidden/>
                <w:rtl/>
              </w:rPr>
              <w:t>440</w:t>
            </w:r>
            <w:r w:rsidR="001171C7">
              <w:rPr>
                <w:webHidden/>
                <w:rtl/>
              </w:rPr>
              <w:fldChar w:fldCharType="end"/>
            </w:r>
          </w:hyperlink>
        </w:p>
        <w:p w:rsidR="001171C7" w:rsidRDefault="007978F4">
          <w:pPr>
            <w:pStyle w:val="TOC1"/>
            <w:rPr>
              <w:rFonts w:eastAsiaTheme="minorEastAsia" w:cstheme="minorBidi"/>
              <w:b w:val="0"/>
              <w:bCs w:val="0"/>
              <w:rtl/>
            </w:rPr>
          </w:pPr>
          <w:hyperlink w:anchor="_Toc496175718" w:history="1">
            <w:r w:rsidR="001171C7" w:rsidRPr="00D35CC1">
              <w:rPr>
                <w:rStyle w:val="Hyperlink"/>
                <w:rFonts w:cs="Guttman Drogolin"/>
                <w:rtl/>
              </w:rPr>
              <w:t>כלי קוניא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Toc496175718 \h</w:instrText>
            </w:r>
            <w:r w:rsidR="001171C7">
              <w:rPr>
                <w:webHidden/>
                <w:rtl/>
              </w:rPr>
              <w:instrText xml:space="preserve"> </w:instrText>
            </w:r>
            <w:r w:rsidR="001171C7">
              <w:rPr>
                <w:webHidden/>
                <w:rtl/>
              </w:rPr>
            </w:r>
            <w:r w:rsidR="001171C7">
              <w:rPr>
                <w:webHidden/>
                <w:rtl/>
              </w:rPr>
              <w:fldChar w:fldCharType="separate"/>
            </w:r>
            <w:r w:rsidR="006A6D13">
              <w:rPr>
                <w:webHidden/>
                <w:rtl/>
              </w:rPr>
              <w:t>441</w:t>
            </w:r>
            <w:r w:rsidR="001171C7">
              <w:rPr>
                <w:webHidden/>
                <w:rtl/>
              </w:rPr>
              <w:fldChar w:fldCharType="end"/>
            </w:r>
          </w:hyperlink>
        </w:p>
        <w:p w:rsidR="001171C7" w:rsidRDefault="007978F4">
          <w:pPr>
            <w:pStyle w:val="TOC1"/>
            <w:rPr>
              <w:rFonts w:eastAsiaTheme="minorEastAsia" w:cstheme="minorBidi"/>
              <w:b w:val="0"/>
              <w:bCs w:val="0"/>
              <w:rtl/>
            </w:rPr>
          </w:pPr>
          <w:hyperlink w:anchor="_Toc496175719" w:history="1">
            <w:r w:rsidR="001171C7" w:rsidRPr="00D35CC1">
              <w:rPr>
                <w:rStyle w:val="Hyperlink"/>
                <w:rFonts w:cs="Guttman Drogolin"/>
                <w:rtl/>
              </w:rPr>
              <w:t>בגדרי החיוב דכלי מתכות וכלי זכוכית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Toc496175719 \h</w:instrText>
            </w:r>
            <w:r w:rsidR="001171C7">
              <w:rPr>
                <w:webHidden/>
                <w:rtl/>
              </w:rPr>
              <w:instrText xml:space="preserve"> </w:instrText>
            </w:r>
            <w:r w:rsidR="001171C7">
              <w:rPr>
                <w:webHidden/>
                <w:rtl/>
              </w:rPr>
            </w:r>
            <w:r w:rsidR="001171C7">
              <w:rPr>
                <w:webHidden/>
                <w:rtl/>
              </w:rPr>
              <w:fldChar w:fldCharType="separate"/>
            </w:r>
            <w:r w:rsidR="006A6D13">
              <w:rPr>
                <w:webHidden/>
                <w:rtl/>
              </w:rPr>
              <w:t>442</w:t>
            </w:r>
            <w:r w:rsidR="001171C7">
              <w:rPr>
                <w:webHidden/>
                <w:rtl/>
              </w:rPr>
              <w:fldChar w:fldCharType="end"/>
            </w:r>
          </w:hyperlink>
        </w:p>
        <w:p w:rsidR="001171C7" w:rsidRDefault="007978F4">
          <w:pPr>
            <w:pStyle w:val="TOC1"/>
            <w:rPr>
              <w:rFonts w:eastAsiaTheme="minorEastAsia" w:cstheme="minorBidi"/>
              <w:b w:val="0"/>
              <w:bCs w:val="0"/>
              <w:rtl/>
            </w:rPr>
          </w:pPr>
          <w:hyperlink w:anchor="_Toc496175720" w:history="1">
            <w:r w:rsidR="001171C7" w:rsidRPr="00D35CC1">
              <w:rPr>
                <w:rStyle w:val="Hyperlink"/>
                <w:rFonts w:cs="Guttman Drogolin"/>
                <w:rtl/>
              </w:rPr>
              <w:t>אופן אחיזת הכלי בשעת טבילת כלים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Toc496175720 \h</w:instrText>
            </w:r>
            <w:r w:rsidR="001171C7">
              <w:rPr>
                <w:webHidden/>
                <w:rtl/>
              </w:rPr>
              <w:instrText xml:space="preserve"> </w:instrText>
            </w:r>
            <w:r w:rsidR="001171C7">
              <w:rPr>
                <w:webHidden/>
                <w:rtl/>
              </w:rPr>
            </w:r>
            <w:r w:rsidR="001171C7">
              <w:rPr>
                <w:webHidden/>
                <w:rtl/>
              </w:rPr>
              <w:fldChar w:fldCharType="separate"/>
            </w:r>
            <w:r w:rsidR="006A6D13">
              <w:rPr>
                <w:webHidden/>
                <w:rtl/>
              </w:rPr>
              <w:t>444</w:t>
            </w:r>
            <w:r w:rsidR="001171C7">
              <w:rPr>
                <w:webHidden/>
                <w:rtl/>
              </w:rPr>
              <w:fldChar w:fldCharType="end"/>
            </w:r>
          </w:hyperlink>
        </w:p>
        <w:p w:rsidR="001171C7" w:rsidRDefault="007978F4">
          <w:pPr>
            <w:pStyle w:val="TOC1"/>
            <w:rPr>
              <w:rFonts w:eastAsiaTheme="minorEastAsia" w:cstheme="minorBidi"/>
              <w:b w:val="0"/>
              <w:bCs w:val="0"/>
              <w:rtl/>
            </w:rPr>
          </w:pPr>
          <w:hyperlink w:anchor="_Toc496175721" w:history="1">
            <w:r w:rsidR="001171C7" w:rsidRPr="00D35CC1">
              <w:rPr>
                <w:rStyle w:val="Hyperlink"/>
                <w:rFonts w:cs="Guttman Drogolin"/>
                <w:rtl/>
              </w:rPr>
              <w:t>בדין הגעלה קודם טבילה אי מעכבת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Toc496175721 \h</w:instrText>
            </w:r>
            <w:r w:rsidR="001171C7">
              <w:rPr>
                <w:webHidden/>
                <w:rtl/>
              </w:rPr>
              <w:instrText xml:space="preserve"> </w:instrText>
            </w:r>
            <w:r w:rsidR="001171C7">
              <w:rPr>
                <w:webHidden/>
                <w:rtl/>
              </w:rPr>
            </w:r>
            <w:r w:rsidR="001171C7">
              <w:rPr>
                <w:webHidden/>
                <w:rtl/>
              </w:rPr>
              <w:fldChar w:fldCharType="separate"/>
            </w:r>
            <w:r w:rsidR="006A6D13">
              <w:rPr>
                <w:webHidden/>
                <w:rtl/>
              </w:rPr>
              <w:t>447</w:t>
            </w:r>
            <w:r w:rsidR="001171C7">
              <w:rPr>
                <w:webHidden/>
                <w:rtl/>
              </w:rPr>
              <w:fldChar w:fldCharType="end"/>
            </w:r>
          </w:hyperlink>
        </w:p>
        <w:p w:rsidR="001171C7" w:rsidRDefault="007978F4">
          <w:pPr>
            <w:pStyle w:val="TOC1"/>
            <w:rPr>
              <w:rFonts w:eastAsiaTheme="minorEastAsia" w:cstheme="minorBidi"/>
              <w:b w:val="0"/>
              <w:bCs w:val="0"/>
              <w:rtl/>
            </w:rPr>
          </w:pPr>
          <w:hyperlink w:anchor="_Toc496175722" w:history="1">
            <w:r w:rsidR="001171C7" w:rsidRPr="00D35CC1">
              <w:rPr>
                <w:rStyle w:val="Hyperlink"/>
                <w:rFonts w:cs="Guttman Drogolin"/>
                <w:rtl/>
              </w:rPr>
              <w:t>הערה בדברי רע"א בשם מג"א כשהטביל כלי חרס ולאחר מכן ציפהו מתכת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Toc496175722 \h</w:instrText>
            </w:r>
            <w:r w:rsidR="001171C7">
              <w:rPr>
                <w:webHidden/>
                <w:rtl/>
              </w:rPr>
              <w:instrText xml:space="preserve"> </w:instrText>
            </w:r>
            <w:r w:rsidR="001171C7">
              <w:rPr>
                <w:webHidden/>
                <w:rtl/>
              </w:rPr>
            </w:r>
            <w:r w:rsidR="001171C7">
              <w:rPr>
                <w:webHidden/>
                <w:rtl/>
              </w:rPr>
              <w:fldChar w:fldCharType="separate"/>
            </w:r>
            <w:r w:rsidR="006A6D13">
              <w:rPr>
                <w:webHidden/>
                <w:rtl/>
              </w:rPr>
              <w:t>448</w:t>
            </w:r>
            <w:r w:rsidR="001171C7">
              <w:rPr>
                <w:webHidden/>
                <w:rtl/>
              </w:rPr>
              <w:fldChar w:fldCharType="end"/>
            </w:r>
          </w:hyperlink>
        </w:p>
        <w:p w:rsidR="001171C7" w:rsidRDefault="007978F4">
          <w:pPr>
            <w:pStyle w:val="TOC1"/>
            <w:rPr>
              <w:rFonts w:eastAsiaTheme="minorEastAsia" w:cstheme="minorBidi"/>
              <w:b w:val="0"/>
              <w:bCs w:val="0"/>
              <w:rtl/>
            </w:rPr>
          </w:pPr>
          <w:hyperlink w:anchor="_Toc496175723" w:history="1">
            <w:r w:rsidR="001171C7" w:rsidRPr="00D35CC1">
              <w:rPr>
                <w:rStyle w:val="Hyperlink"/>
                <w:rFonts w:cs="Guttman Drogolin"/>
                <w:rtl/>
              </w:rPr>
              <w:t>גדרי כלי סעודה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Toc496175723 \h</w:instrText>
            </w:r>
            <w:r w:rsidR="001171C7">
              <w:rPr>
                <w:webHidden/>
                <w:rtl/>
              </w:rPr>
              <w:instrText xml:space="preserve"> </w:instrText>
            </w:r>
            <w:r w:rsidR="001171C7">
              <w:rPr>
                <w:webHidden/>
                <w:rtl/>
              </w:rPr>
            </w:r>
            <w:r w:rsidR="001171C7">
              <w:rPr>
                <w:webHidden/>
                <w:rtl/>
              </w:rPr>
              <w:fldChar w:fldCharType="separate"/>
            </w:r>
            <w:r w:rsidR="006A6D13">
              <w:rPr>
                <w:webHidden/>
                <w:rtl/>
              </w:rPr>
              <w:t>448</w:t>
            </w:r>
            <w:r w:rsidR="001171C7">
              <w:rPr>
                <w:webHidden/>
                <w:rtl/>
              </w:rPr>
              <w:fldChar w:fldCharType="end"/>
            </w:r>
          </w:hyperlink>
        </w:p>
        <w:p w:rsidR="001171C7" w:rsidRDefault="007978F4">
          <w:pPr>
            <w:pStyle w:val="TOC1"/>
            <w:rPr>
              <w:rFonts w:eastAsiaTheme="minorEastAsia" w:cstheme="minorBidi"/>
              <w:b w:val="0"/>
              <w:bCs w:val="0"/>
              <w:rtl/>
            </w:rPr>
          </w:pPr>
          <w:hyperlink w:anchor="_Toc496175724" w:history="1">
            <w:r w:rsidR="001171C7" w:rsidRPr="00D35CC1">
              <w:rPr>
                <w:rStyle w:val="Hyperlink"/>
                <w:rFonts w:cs="Guttman Drogolin"/>
                <w:rtl/>
              </w:rPr>
              <w:t>כלי קוניא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Toc496175724 \h</w:instrText>
            </w:r>
            <w:r w:rsidR="001171C7">
              <w:rPr>
                <w:webHidden/>
                <w:rtl/>
              </w:rPr>
              <w:instrText xml:space="preserve"> </w:instrText>
            </w:r>
            <w:r w:rsidR="001171C7">
              <w:rPr>
                <w:webHidden/>
                <w:rtl/>
              </w:rPr>
            </w:r>
            <w:r w:rsidR="001171C7">
              <w:rPr>
                <w:webHidden/>
                <w:rtl/>
              </w:rPr>
              <w:fldChar w:fldCharType="separate"/>
            </w:r>
            <w:r w:rsidR="006A6D13">
              <w:rPr>
                <w:webHidden/>
                <w:rtl/>
              </w:rPr>
              <w:t>451</w:t>
            </w:r>
            <w:r w:rsidR="001171C7">
              <w:rPr>
                <w:webHidden/>
                <w:rtl/>
              </w:rPr>
              <w:fldChar w:fldCharType="end"/>
            </w:r>
          </w:hyperlink>
        </w:p>
        <w:p w:rsidR="001171C7" w:rsidRDefault="007978F4">
          <w:pPr>
            <w:pStyle w:val="TOC1"/>
            <w:rPr>
              <w:rFonts w:eastAsiaTheme="minorEastAsia" w:cstheme="minorBidi"/>
              <w:b w:val="0"/>
              <w:bCs w:val="0"/>
              <w:rtl/>
            </w:rPr>
          </w:pPr>
          <w:hyperlink w:anchor="_Toc496175725" w:history="1">
            <w:r w:rsidR="001171C7" w:rsidRPr="00D35CC1">
              <w:rPr>
                <w:rStyle w:val="Hyperlink"/>
                <w:rFonts w:cs="Guttman Drogolin"/>
                <w:rtl/>
              </w:rPr>
              <w:t>כלים שאינם כלי סעודה ומשתמש בהם שימוש עראי לסעודה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Toc496175725 \h</w:instrText>
            </w:r>
            <w:r w:rsidR="001171C7">
              <w:rPr>
                <w:webHidden/>
                <w:rtl/>
              </w:rPr>
              <w:instrText xml:space="preserve"> </w:instrText>
            </w:r>
            <w:r w:rsidR="001171C7">
              <w:rPr>
                <w:webHidden/>
                <w:rtl/>
              </w:rPr>
            </w:r>
            <w:r w:rsidR="001171C7">
              <w:rPr>
                <w:webHidden/>
                <w:rtl/>
              </w:rPr>
              <w:fldChar w:fldCharType="separate"/>
            </w:r>
            <w:r w:rsidR="006A6D13">
              <w:rPr>
                <w:webHidden/>
                <w:rtl/>
              </w:rPr>
              <w:t>452</w:t>
            </w:r>
            <w:r w:rsidR="001171C7">
              <w:rPr>
                <w:webHidden/>
                <w:rtl/>
              </w:rPr>
              <w:fldChar w:fldCharType="end"/>
            </w:r>
          </w:hyperlink>
        </w:p>
        <w:p w:rsidR="001171C7" w:rsidRDefault="007978F4">
          <w:pPr>
            <w:pStyle w:val="TOC1"/>
            <w:rPr>
              <w:rFonts w:eastAsiaTheme="minorEastAsia" w:cstheme="minorBidi"/>
              <w:b w:val="0"/>
              <w:bCs w:val="0"/>
              <w:rtl/>
            </w:rPr>
          </w:pPr>
          <w:hyperlink w:anchor="_Toc496175726" w:history="1">
            <w:r w:rsidR="001171C7" w:rsidRPr="00D35CC1">
              <w:rPr>
                <w:rStyle w:val="Hyperlink"/>
                <w:rFonts w:cs="Guttman Drogolin"/>
                <w:rtl/>
              </w:rPr>
              <w:t>כלי סחורה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Toc496175726 \h</w:instrText>
            </w:r>
            <w:r w:rsidR="001171C7">
              <w:rPr>
                <w:webHidden/>
                <w:rtl/>
              </w:rPr>
              <w:instrText xml:space="preserve"> </w:instrText>
            </w:r>
            <w:r w:rsidR="001171C7">
              <w:rPr>
                <w:webHidden/>
                <w:rtl/>
              </w:rPr>
            </w:r>
            <w:r w:rsidR="001171C7">
              <w:rPr>
                <w:webHidden/>
                <w:rtl/>
              </w:rPr>
              <w:fldChar w:fldCharType="separate"/>
            </w:r>
            <w:r w:rsidR="006A6D13">
              <w:rPr>
                <w:webHidden/>
                <w:rtl/>
              </w:rPr>
              <w:t>453</w:t>
            </w:r>
            <w:r w:rsidR="001171C7">
              <w:rPr>
                <w:webHidden/>
                <w:rtl/>
              </w:rPr>
              <w:fldChar w:fldCharType="end"/>
            </w:r>
          </w:hyperlink>
        </w:p>
        <w:p w:rsidR="001171C7" w:rsidRDefault="007978F4">
          <w:pPr>
            <w:pStyle w:val="TOC1"/>
            <w:rPr>
              <w:rFonts w:eastAsiaTheme="minorEastAsia" w:cstheme="minorBidi"/>
              <w:b w:val="0"/>
              <w:bCs w:val="0"/>
              <w:rtl/>
            </w:rPr>
          </w:pPr>
          <w:hyperlink w:anchor="_Toc496175727" w:history="1">
            <w:r w:rsidR="001171C7" w:rsidRPr="00D35CC1">
              <w:rPr>
                <w:rStyle w:val="Hyperlink"/>
                <w:rFonts w:cs="Guttman Drogolin"/>
                <w:rtl/>
              </w:rPr>
              <w:t>טבילה בסכין לחתוך בה קלפים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Toc496175727 \h</w:instrText>
            </w:r>
            <w:r w:rsidR="001171C7">
              <w:rPr>
                <w:webHidden/>
                <w:rtl/>
              </w:rPr>
              <w:instrText xml:space="preserve"> </w:instrText>
            </w:r>
            <w:r w:rsidR="001171C7">
              <w:rPr>
                <w:webHidden/>
                <w:rtl/>
              </w:rPr>
            </w:r>
            <w:r w:rsidR="001171C7">
              <w:rPr>
                <w:webHidden/>
                <w:rtl/>
              </w:rPr>
              <w:fldChar w:fldCharType="separate"/>
            </w:r>
            <w:r w:rsidR="006A6D13">
              <w:rPr>
                <w:webHidden/>
                <w:rtl/>
              </w:rPr>
              <w:t>454</w:t>
            </w:r>
            <w:r w:rsidR="001171C7">
              <w:rPr>
                <w:webHidden/>
                <w:rtl/>
              </w:rPr>
              <w:fldChar w:fldCharType="end"/>
            </w:r>
          </w:hyperlink>
        </w:p>
        <w:p w:rsidR="001171C7" w:rsidRDefault="007978F4">
          <w:pPr>
            <w:pStyle w:val="TOC1"/>
            <w:rPr>
              <w:rFonts w:eastAsiaTheme="minorEastAsia" w:cstheme="minorBidi"/>
              <w:b w:val="0"/>
              <w:bCs w:val="0"/>
              <w:rtl/>
            </w:rPr>
          </w:pPr>
          <w:hyperlink w:anchor="_Toc496175728" w:history="1">
            <w:r w:rsidR="001171C7" w:rsidRPr="00D35CC1">
              <w:rPr>
                <w:rStyle w:val="Hyperlink"/>
                <w:rFonts w:cs="Guttman Drogolin"/>
                <w:rtl/>
              </w:rPr>
              <w:t>כלי של שותפות ישראל עם עכו"ם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Toc496175728 \h</w:instrText>
            </w:r>
            <w:r w:rsidR="001171C7">
              <w:rPr>
                <w:webHidden/>
                <w:rtl/>
              </w:rPr>
              <w:instrText xml:space="preserve"> </w:instrText>
            </w:r>
            <w:r w:rsidR="001171C7">
              <w:rPr>
                <w:webHidden/>
                <w:rtl/>
              </w:rPr>
            </w:r>
            <w:r w:rsidR="001171C7">
              <w:rPr>
                <w:webHidden/>
                <w:rtl/>
              </w:rPr>
              <w:fldChar w:fldCharType="separate"/>
            </w:r>
            <w:r w:rsidR="006A6D13">
              <w:rPr>
                <w:webHidden/>
                <w:rtl/>
              </w:rPr>
              <w:t>461</w:t>
            </w:r>
            <w:r w:rsidR="001171C7">
              <w:rPr>
                <w:webHidden/>
                <w:rtl/>
              </w:rPr>
              <w:fldChar w:fldCharType="end"/>
            </w:r>
          </w:hyperlink>
        </w:p>
        <w:p w:rsidR="001171C7" w:rsidRDefault="007978F4">
          <w:pPr>
            <w:pStyle w:val="TOC1"/>
            <w:rPr>
              <w:rFonts w:eastAsiaTheme="minorEastAsia" w:cstheme="minorBidi"/>
              <w:b w:val="0"/>
              <w:bCs w:val="0"/>
              <w:rtl/>
            </w:rPr>
          </w:pPr>
          <w:hyperlink w:anchor="_Toc496175729" w:history="1">
            <w:r w:rsidR="001171C7" w:rsidRPr="00D35CC1">
              <w:rPr>
                <w:rStyle w:val="Hyperlink"/>
                <w:rFonts w:cs="Guttman Drogolin"/>
                <w:rtl/>
              </w:rPr>
              <w:t>קטן בטבילת כלים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Toc496175729 \h</w:instrText>
            </w:r>
            <w:r w:rsidR="001171C7">
              <w:rPr>
                <w:webHidden/>
                <w:rtl/>
              </w:rPr>
              <w:instrText xml:space="preserve"> </w:instrText>
            </w:r>
            <w:r w:rsidR="001171C7">
              <w:rPr>
                <w:webHidden/>
                <w:rtl/>
              </w:rPr>
            </w:r>
            <w:r w:rsidR="001171C7">
              <w:rPr>
                <w:webHidden/>
                <w:rtl/>
              </w:rPr>
              <w:fldChar w:fldCharType="separate"/>
            </w:r>
            <w:r w:rsidR="006A6D13">
              <w:rPr>
                <w:webHidden/>
                <w:rtl/>
              </w:rPr>
              <w:t>462</w:t>
            </w:r>
            <w:r w:rsidR="001171C7">
              <w:rPr>
                <w:webHidden/>
                <w:rtl/>
              </w:rPr>
              <w:fldChar w:fldCharType="end"/>
            </w:r>
          </w:hyperlink>
        </w:p>
        <w:p w:rsidR="001171C7" w:rsidRDefault="007978F4">
          <w:pPr>
            <w:pStyle w:val="TOC1"/>
            <w:rPr>
              <w:rFonts w:eastAsiaTheme="minorEastAsia" w:cstheme="minorBidi"/>
              <w:b w:val="0"/>
              <w:bCs w:val="0"/>
              <w:rtl/>
            </w:rPr>
          </w:pPr>
          <w:hyperlink w:anchor="_Toc496175730" w:history="1">
            <w:r w:rsidR="001171C7" w:rsidRPr="00D35CC1">
              <w:rPr>
                <w:rStyle w:val="Hyperlink"/>
                <w:rFonts w:cs="Guttman Drogolin"/>
                <w:rtl/>
              </w:rPr>
              <w:t>משכנתא, ודין אומן קונה בשבת כלי לענין חיוב טבילת כלים הנקנים מן העכו"ם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Toc496175730 \h</w:instrText>
            </w:r>
            <w:r w:rsidR="001171C7">
              <w:rPr>
                <w:webHidden/>
                <w:rtl/>
              </w:rPr>
              <w:instrText xml:space="preserve"> </w:instrText>
            </w:r>
            <w:r w:rsidR="001171C7">
              <w:rPr>
                <w:webHidden/>
                <w:rtl/>
              </w:rPr>
            </w:r>
            <w:r w:rsidR="001171C7">
              <w:rPr>
                <w:webHidden/>
                <w:rtl/>
              </w:rPr>
              <w:fldChar w:fldCharType="separate"/>
            </w:r>
            <w:r w:rsidR="006A6D13">
              <w:rPr>
                <w:webHidden/>
                <w:rtl/>
              </w:rPr>
              <w:t>463</w:t>
            </w:r>
            <w:r w:rsidR="001171C7">
              <w:rPr>
                <w:webHidden/>
                <w:rtl/>
              </w:rPr>
              <w:fldChar w:fldCharType="end"/>
            </w:r>
          </w:hyperlink>
        </w:p>
        <w:p w:rsidR="00B8771A" w:rsidRPr="00FE3C48" w:rsidRDefault="00B8771A" w:rsidP="00B8771A">
          <w:pPr>
            <w:pStyle w:val="TOC1"/>
            <w:spacing w:before="240"/>
            <w:rPr>
              <w:rStyle w:val="Hyperlink"/>
              <w:color w:val="auto"/>
              <w:sz w:val="28"/>
              <w:szCs w:val="28"/>
              <w:rtl/>
            </w:rPr>
          </w:pPr>
          <w:r>
            <w:rPr>
              <w:rStyle w:val="Hyperlink"/>
              <w:rFonts w:hint="cs"/>
              <w:color w:val="auto"/>
              <w:sz w:val="28"/>
              <w:szCs w:val="28"/>
              <w:rtl/>
            </w:rPr>
            <w:t>הכשר כלים - עבודה זרה דף ע"ה - ע"ו</w:t>
          </w:r>
        </w:p>
        <w:p w:rsidR="001171C7" w:rsidRDefault="007978F4">
          <w:pPr>
            <w:pStyle w:val="TOC1"/>
            <w:rPr>
              <w:rFonts w:eastAsiaTheme="minorEastAsia" w:cstheme="minorBidi"/>
              <w:b w:val="0"/>
              <w:bCs w:val="0"/>
              <w:rtl/>
            </w:rPr>
          </w:pPr>
          <w:hyperlink w:anchor="_Toc496175731" w:history="1">
            <w:r w:rsidR="001171C7" w:rsidRPr="00D35CC1">
              <w:rPr>
                <w:rStyle w:val="Hyperlink"/>
                <w:rFonts w:cs="Guttman Drogolin"/>
                <w:rtl/>
              </w:rPr>
              <w:t>הכשר הסכין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Toc496175731 \h</w:instrText>
            </w:r>
            <w:r w:rsidR="001171C7">
              <w:rPr>
                <w:webHidden/>
                <w:rtl/>
              </w:rPr>
              <w:instrText xml:space="preserve"> </w:instrText>
            </w:r>
            <w:r w:rsidR="001171C7">
              <w:rPr>
                <w:webHidden/>
                <w:rtl/>
              </w:rPr>
            </w:r>
            <w:r w:rsidR="001171C7">
              <w:rPr>
                <w:webHidden/>
                <w:rtl/>
              </w:rPr>
              <w:fldChar w:fldCharType="separate"/>
            </w:r>
            <w:r w:rsidR="006A6D13">
              <w:rPr>
                <w:webHidden/>
                <w:rtl/>
              </w:rPr>
              <w:t>465</w:t>
            </w:r>
            <w:r w:rsidR="001171C7">
              <w:rPr>
                <w:webHidden/>
                <w:rtl/>
              </w:rPr>
              <w:fldChar w:fldCharType="end"/>
            </w:r>
          </w:hyperlink>
        </w:p>
        <w:p w:rsidR="001171C7" w:rsidRDefault="007978F4">
          <w:pPr>
            <w:pStyle w:val="TOC1"/>
            <w:rPr>
              <w:rFonts w:eastAsiaTheme="minorEastAsia" w:cstheme="minorBidi"/>
              <w:b w:val="0"/>
              <w:bCs w:val="0"/>
              <w:rtl/>
            </w:rPr>
          </w:pPr>
          <w:hyperlink w:anchor="_Toc496175732" w:history="1">
            <w:r w:rsidR="001171C7" w:rsidRPr="00D35CC1">
              <w:rPr>
                <w:rStyle w:val="Hyperlink"/>
                <w:rFonts w:cs="Guttman Drogolin"/>
                <w:rtl/>
              </w:rPr>
              <w:t>דיני הדחה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Toc496175732 \h</w:instrText>
            </w:r>
            <w:r w:rsidR="001171C7">
              <w:rPr>
                <w:webHidden/>
                <w:rtl/>
              </w:rPr>
              <w:instrText xml:space="preserve"> </w:instrText>
            </w:r>
            <w:r w:rsidR="001171C7">
              <w:rPr>
                <w:webHidden/>
                <w:rtl/>
              </w:rPr>
            </w:r>
            <w:r w:rsidR="001171C7">
              <w:rPr>
                <w:webHidden/>
                <w:rtl/>
              </w:rPr>
              <w:fldChar w:fldCharType="separate"/>
            </w:r>
            <w:r w:rsidR="006A6D13">
              <w:rPr>
                <w:webHidden/>
                <w:rtl/>
              </w:rPr>
              <w:t>467</w:t>
            </w:r>
            <w:r w:rsidR="001171C7">
              <w:rPr>
                <w:webHidden/>
                <w:rtl/>
              </w:rPr>
              <w:fldChar w:fldCharType="end"/>
            </w:r>
          </w:hyperlink>
        </w:p>
        <w:p w:rsidR="001171C7" w:rsidRDefault="007978F4">
          <w:pPr>
            <w:pStyle w:val="TOC1"/>
            <w:rPr>
              <w:rFonts w:eastAsiaTheme="minorEastAsia" w:cstheme="minorBidi"/>
              <w:b w:val="0"/>
              <w:bCs w:val="0"/>
              <w:rtl/>
            </w:rPr>
          </w:pPr>
          <w:hyperlink w:anchor="_Toc496175733" w:history="1">
            <w:r w:rsidR="001171C7" w:rsidRPr="00D35CC1">
              <w:rPr>
                <w:rStyle w:val="Hyperlink"/>
                <w:rFonts w:cs="Guttman Drogolin"/>
                <w:rtl/>
              </w:rPr>
              <w:t>גדרי הגזירה דהכשר כלי שאינו בן יומו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Toc496175733 \h</w:instrText>
            </w:r>
            <w:r w:rsidR="001171C7">
              <w:rPr>
                <w:webHidden/>
                <w:rtl/>
              </w:rPr>
              <w:instrText xml:space="preserve"> </w:instrText>
            </w:r>
            <w:r w:rsidR="001171C7">
              <w:rPr>
                <w:webHidden/>
                <w:rtl/>
              </w:rPr>
            </w:r>
            <w:r w:rsidR="001171C7">
              <w:rPr>
                <w:webHidden/>
                <w:rtl/>
              </w:rPr>
              <w:fldChar w:fldCharType="separate"/>
            </w:r>
            <w:r w:rsidR="006A6D13">
              <w:rPr>
                <w:webHidden/>
                <w:rtl/>
              </w:rPr>
              <w:t>467</w:t>
            </w:r>
            <w:r w:rsidR="001171C7">
              <w:rPr>
                <w:webHidden/>
                <w:rtl/>
              </w:rPr>
              <w:fldChar w:fldCharType="end"/>
            </w:r>
          </w:hyperlink>
        </w:p>
        <w:p w:rsidR="001171C7" w:rsidRDefault="007978F4">
          <w:pPr>
            <w:pStyle w:val="TOC1"/>
            <w:rPr>
              <w:rFonts w:eastAsiaTheme="minorEastAsia" w:cstheme="minorBidi"/>
              <w:b w:val="0"/>
              <w:bCs w:val="0"/>
              <w:rtl/>
            </w:rPr>
          </w:pPr>
          <w:hyperlink w:anchor="_Toc496175734" w:history="1">
            <w:r w:rsidR="001171C7" w:rsidRPr="00D35CC1">
              <w:rPr>
                <w:rStyle w:val="Hyperlink"/>
                <w:rFonts w:cs="Guttman Drogolin"/>
                <w:rtl/>
              </w:rPr>
              <w:t>קושיית הגמ' בסתירה שבין המתני' שבמס' זבחים למתני' כאן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Toc496175734 \h</w:instrText>
            </w:r>
            <w:r w:rsidR="001171C7">
              <w:rPr>
                <w:webHidden/>
                <w:rtl/>
              </w:rPr>
              <w:instrText xml:space="preserve"> </w:instrText>
            </w:r>
            <w:r w:rsidR="001171C7">
              <w:rPr>
                <w:webHidden/>
                <w:rtl/>
              </w:rPr>
            </w:r>
            <w:r w:rsidR="001171C7">
              <w:rPr>
                <w:webHidden/>
                <w:rtl/>
              </w:rPr>
              <w:fldChar w:fldCharType="separate"/>
            </w:r>
            <w:r w:rsidR="006A6D13">
              <w:rPr>
                <w:webHidden/>
                <w:rtl/>
              </w:rPr>
              <w:t>468</w:t>
            </w:r>
            <w:r w:rsidR="001171C7">
              <w:rPr>
                <w:webHidden/>
                <w:rtl/>
              </w:rPr>
              <w:fldChar w:fldCharType="end"/>
            </w:r>
          </w:hyperlink>
        </w:p>
        <w:p w:rsidR="001171C7" w:rsidRDefault="007978F4">
          <w:pPr>
            <w:pStyle w:val="TOC1"/>
            <w:rPr>
              <w:rFonts w:eastAsiaTheme="minorEastAsia" w:cstheme="minorBidi"/>
              <w:b w:val="0"/>
              <w:bCs w:val="0"/>
              <w:rtl/>
            </w:rPr>
          </w:pPr>
          <w:hyperlink w:anchor="_Toc496175735" w:history="1">
            <w:r w:rsidR="001171C7" w:rsidRPr="00D35CC1">
              <w:rPr>
                <w:rStyle w:val="Hyperlink"/>
                <w:rFonts w:cs="Guttman Drogolin"/>
                <w:rtl/>
              </w:rPr>
              <w:t>הגעלת יורה גדולה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Toc496175735 \h</w:instrText>
            </w:r>
            <w:r w:rsidR="001171C7">
              <w:rPr>
                <w:webHidden/>
                <w:rtl/>
              </w:rPr>
              <w:instrText xml:space="preserve"> </w:instrText>
            </w:r>
            <w:r w:rsidR="001171C7">
              <w:rPr>
                <w:webHidden/>
                <w:rtl/>
              </w:rPr>
            </w:r>
            <w:r w:rsidR="001171C7">
              <w:rPr>
                <w:webHidden/>
                <w:rtl/>
              </w:rPr>
              <w:fldChar w:fldCharType="separate"/>
            </w:r>
            <w:r w:rsidR="006A6D13">
              <w:rPr>
                <w:webHidden/>
                <w:rtl/>
              </w:rPr>
              <w:t>472</w:t>
            </w:r>
            <w:r w:rsidR="001171C7">
              <w:rPr>
                <w:webHidden/>
                <w:rtl/>
              </w:rPr>
              <w:fldChar w:fldCharType="end"/>
            </w:r>
          </w:hyperlink>
        </w:p>
        <w:p w:rsidR="00B8771A" w:rsidRPr="00FE3C48" w:rsidRDefault="00B8771A" w:rsidP="00B8771A">
          <w:pPr>
            <w:pStyle w:val="TOC1"/>
            <w:spacing w:before="240"/>
            <w:rPr>
              <w:rStyle w:val="Hyperlink"/>
              <w:color w:val="auto"/>
              <w:sz w:val="28"/>
              <w:szCs w:val="28"/>
              <w:rtl/>
            </w:rPr>
          </w:pPr>
          <w:r>
            <w:rPr>
              <w:rStyle w:val="Hyperlink"/>
              <w:rFonts w:hint="cs"/>
              <w:color w:val="auto"/>
              <w:sz w:val="28"/>
              <w:szCs w:val="28"/>
              <w:rtl/>
            </w:rPr>
            <w:t>פסחים דף ל'</w:t>
          </w:r>
        </w:p>
        <w:p w:rsidR="001171C7" w:rsidRDefault="007978F4">
          <w:pPr>
            <w:pStyle w:val="TOC1"/>
            <w:rPr>
              <w:rFonts w:eastAsiaTheme="minorEastAsia" w:cstheme="minorBidi"/>
              <w:b w:val="0"/>
              <w:bCs w:val="0"/>
              <w:rtl/>
            </w:rPr>
          </w:pPr>
          <w:hyperlink w:anchor="_Toc496175736" w:history="1">
            <w:r w:rsidR="001171C7" w:rsidRPr="00D35CC1">
              <w:rPr>
                <w:rStyle w:val="Hyperlink"/>
                <w:rFonts w:cs="Guttman Drogolin"/>
                <w:rtl/>
              </w:rPr>
              <w:t>שיטת רב דקדרות בפסח ישברו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Toc496175736 \h</w:instrText>
            </w:r>
            <w:r w:rsidR="001171C7">
              <w:rPr>
                <w:webHidden/>
                <w:rtl/>
              </w:rPr>
              <w:instrText xml:space="preserve"> </w:instrText>
            </w:r>
            <w:r w:rsidR="001171C7">
              <w:rPr>
                <w:webHidden/>
                <w:rtl/>
              </w:rPr>
            </w:r>
            <w:r w:rsidR="001171C7">
              <w:rPr>
                <w:webHidden/>
                <w:rtl/>
              </w:rPr>
              <w:fldChar w:fldCharType="separate"/>
            </w:r>
            <w:r w:rsidR="006A6D13">
              <w:rPr>
                <w:webHidden/>
                <w:rtl/>
              </w:rPr>
              <w:t>473</w:t>
            </w:r>
            <w:r w:rsidR="001171C7">
              <w:rPr>
                <w:webHidden/>
                <w:rtl/>
              </w:rPr>
              <w:fldChar w:fldCharType="end"/>
            </w:r>
          </w:hyperlink>
        </w:p>
        <w:p w:rsidR="001171C7" w:rsidRDefault="007978F4">
          <w:pPr>
            <w:pStyle w:val="TOC1"/>
            <w:rPr>
              <w:rFonts w:eastAsiaTheme="minorEastAsia" w:cstheme="minorBidi"/>
              <w:b w:val="0"/>
              <w:bCs w:val="0"/>
              <w:rtl/>
            </w:rPr>
          </w:pPr>
          <w:hyperlink w:anchor="_Toc496175737" w:history="1">
            <w:r w:rsidR="001171C7" w:rsidRPr="00D35CC1">
              <w:rPr>
                <w:rStyle w:val="Hyperlink"/>
                <w:rFonts w:cs="Guttman Drogolin"/>
                <w:rtl/>
              </w:rPr>
              <w:t>הערה בדברי התוס' ד"ה דילמא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Toc496175737 \h</w:instrText>
            </w:r>
            <w:r w:rsidR="001171C7">
              <w:rPr>
                <w:webHidden/>
                <w:rtl/>
              </w:rPr>
              <w:instrText xml:space="preserve"> </w:instrText>
            </w:r>
            <w:r w:rsidR="001171C7">
              <w:rPr>
                <w:webHidden/>
                <w:rtl/>
              </w:rPr>
            </w:r>
            <w:r w:rsidR="001171C7">
              <w:rPr>
                <w:webHidden/>
                <w:rtl/>
              </w:rPr>
              <w:fldChar w:fldCharType="separate"/>
            </w:r>
            <w:r w:rsidR="006A6D13">
              <w:rPr>
                <w:webHidden/>
                <w:rtl/>
              </w:rPr>
              <w:t>477</w:t>
            </w:r>
            <w:r w:rsidR="001171C7">
              <w:rPr>
                <w:webHidden/>
                <w:rtl/>
              </w:rPr>
              <w:fldChar w:fldCharType="end"/>
            </w:r>
          </w:hyperlink>
        </w:p>
        <w:p w:rsidR="001171C7" w:rsidRDefault="007978F4">
          <w:pPr>
            <w:pStyle w:val="TOC1"/>
            <w:rPr>
              <w:rFonts w:eastAsiaTheme="minorEastAsia" w:cstheme="minorBidi"/>
              <w:b w:val="0"/>
              <w:bCs w:val="0"/>
              <w:rtl/>
            </w:rPr>
          </w:pPr>
          <w:hyperlink w:anchor="_Toc496175738" w:history="1">
            <w:r w:rsidR="001171C7" w:rsidRPr="00D35CC1">
              <w:rPr>
                <w:rStyle w:val="Hyperlink"/>
                <w:rFonts w:cs="Guttman Drogolin"/>
                <w:rtl/>
              </w:rPr>
              <w:t>בהא דהתורה העידה על כלי חרס שאינו יוצא מידי דופיו לעולם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Toc496175738 \h</w:instrText>
            </w:r>
            <w:r w:rsidR="001171C7">
              <w:rPr>
                <w:webHidden/>
                <w:rtl/>
              </w:rPr>
              <w:instrText xml:space="preserve"> </w:instrText>
            </w:r>
            <w:r w:rsidR="001171C7">
              <w:rPr>
                <w:webHidden/>
                <w:rtl/>
              </w:rPr>
            </w:r>
            <w:r w:rsidR="001171C7">
              <w:rPr>
                <w:webHidden/>
                <w:rtl/>
              </w:rPr>
              <w:fldChar w:fldCharType="separate"/>
            </w:r>
            <w:r w:rsidR="006A6D13">
              <w:rPr>
                <w:webHidden/>
                <w:rtl/>
              </w:rPr>
              <w:t>478</w:t>
            </w:r>
            <w:r w:rsidR="001171C7">
              <w:rPr>
                <w:webHidden/>
                <w:rtl/>
              </w:rPr>
              <w:fldChar w:fldCharType="end"/>
            </w:r>
          </w:hyperlink>
        </w:p>
        <w:p w:rsidR="001171C7" w:rsidRDefault="007978F4">
          <w:pPr>
            <w:pStyle w:val="TOC1"/>
            <w:rPr>
              <w:rFonts w:eastAsiaTheme="minorEastAsia" w:cstheme="minorBidi"/>
              <w:b w:val="0"/>
              <w:bCs w:val="0"/>
              <w:rtl/>
            </w:rPr>
          </w:pPr>
          <w:hyperlink w:anchor="_Toc496175739" w:history="1">
            <w:r w:rsidR="001171C7" w:rsidRPr="00D35CC1">
              <w:rPr>
                <w:rStyle w:val="Hyperlink"/>
                <w:rFonts w:cs="Guttman Drogolin"/>
                <w:rtl/>
              </w:rPr>
              <w:t>הכשר כלי זכוכית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Toc496175739 \h</w:instrText>
            </w:r>
            <w:r w:rsidR="001171C7">
              <w:rPr>
                <w:webHidden/>
                <w:rtl/>
              </w:rPr>
              <w:instrText xml:space="preserve"> </w:instrText>
            </w:r>
            <w:r w:rsidR="001171C7">
              <w:rPr>
                <w:webHidden/>
                <w:rtl/>
              </w:rPr>
            </w:r>
            <w:r w:rsidR="001171C7">
              <w:rPr>
                <w:webHidden/>
                <w:rtl/>
              </w:rPr>
              <w:fldChar w:fldCharType="separate"/>
            </w:r>
            <w:r w:rsidR="006A6D13">
              <w:rPr>
                <w:webHidden/>
                <w:rtl/>
              </w:rPr>
              <w:t>478</w:t>
            </w:r>
            <w:r w:rsidR="001171C7">
              <w:rPr>
                <w:webHidden/>
                <w:rtl/>
              </w:rPr>
              <w:fldChar w:fldCharType="end"/>
            </w:r>
          </w:hyperlink>
        </w:p>
        <w:p w:rsidR="001171C7" w:rsidRDefault="007978F4">
          <w:pPr>
            <w:pStyle w:val="TOC1"/>
            <w:rPr>
              <w:rFonts w:eastAsiaTheme="minorEastAsia" w:cstheme="minorBidi"/>
              <w:b w:val="0"/>
              <w:bCs w:val="0"/>
              <w:rtl/>
            </w:rPr>
          </w:pPr>
          <w:hyperlink w:anchor="_Toc496175740" w:history="1">
            <w:r w:rsidR="001171C7" w:rsidRPr="00D35CC1">
              <w:rPr>
                <w:rStyle w:val="Hyperlink"/>
                <w:rFonts w:cs="Guttman Drogolin"/>
                <w:rtl/>
              </w:rPr>
              <w:t>אם יש חיוב להגעיל היורה שמגעילים בה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Toc496175740 \h</w:instrText>
            </w:r>
            <w:r w:rsidR="001171C7">
              <w:rPr>
                <w:webHidden/>
                <w:rtl/>
              </w:rPr>
              <w:instrText xml:space="preserve"> </w:instrText>
            </w:r>
            <w:r w:rsidR="001171C7">
              <w:rPr>
                <w:webHidden/>
                <w:rtl/>
              </w:rPr>
            </w:r>
            <w:r w:rsidR="001171C7">
              <w:rPr>
                <w:webHidden/>
                <w:rtl/>
              </w:rPr>
              <w:fldChar w:fldCharType="separate"/>
            </w:r>
            <w:r w:rsidR="006A6D13">
              <w:rPr>
                <w:webHidden/>
                <w:rtl/>
              </w:rPr>
              <w:t>480</w:t>
            </w:r>
            <w:r w:rsidR="001171C7">
              <w:rPr>
                <w:webHidden/>
                <w:rtl/>
              </w:rPr>
              <w:fldChar w:fldCharType="end"/>
            </w:r>
          </w:hyperlink>
        </w:p>
        <w:p w:rsidR="001171C7" w:rsidRDefault="007978F4">
          <w:pPr>
            <w:pStyle w:val="TOC1"/>
            <w:rPr>
              <w:rFonts w:eastAsiaTheme="minorEastAsia" w:cstheme="minorBidi"/>
              <w:b w:val="0"/>
              <w:bCs w:val="0"/>
              <w:rtl/>
            </w:rPr>
          </w:pPr>
          <w:hyperlink w:anchor="_Toc496175741" w:history="1">
            <w:r w:rsidR="001171C7" w:rsidRPr="00D35CC1">
              <w:rPr>
                <w:rStyle w:val="Hyperlink"/>
                <w:rFonts w:cs="Guttman Drogolin"/>
                <w:rtl/>
              </w:rPr>
              <w:t>איך להגעיל כלי ולא לחשוש שהבליעות יחזרו לתוך הכלי ויאסרנה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Toc496175741 \h</w:instrText>
            </w:r>
            <w:r w:rsidR="001171C7">
              <w:rPr>
                <w:webHidden/>
                <w:rtl/>
              </w:rPr>
              <w:instrText xml:space="preserve"> </w:instrText>
            </w:r>
            <w:r w:rsidR="001171C7">
              <w:rPr>
                <w:webHidden/>
                <w:rtl/>
              </w:rPr>
            </w:r>
            <w:r w:rsidR="001171C7">
              <w:rPr>
                <w:webHidden/>
                <w:rtl/>
              </w:rPr>
              <w:fldChar w:fldCharType="separate"/>
            </w:r>
            <w:r w:rsidR="006A6D13">
              <w:rPr>
                <w:webHidden/>
                <w:rtl/>
              </w:rPr>
              <w:t>481</w:t>
            </w:r>
            <w:r w:rsidR="001171C7">
              <w:rPr>
                <w:webHidden/>
                <w:rtl/>
              </w:rPr>
              <w:fldChar w:fldCharType="end"/>
            </w:r>
          </w:hyperlink>
        </w:p>
        <w:p w:rsidR="001171C7" w:rsidRDefault="007978F4">
          <w:pPr>
            <w:pStyle w:val="TOC1"/>
            <w:rPr>
              <w:rFonts w:eastAsiaTheme="minorEastAsia" w:cstheme="minorBidi"/>
              <w:b w:val="0"/>
              <w:bCs w:val="0"/>
              <w:rtl/>
            </w:rPr>
          </w:pPr>
          <w:hyperlink w:anchor="_Toc496175742" w:history="1">
            <w:r w:rsidR="001171C7" w:rsidRPr="00D35CC1">
              <w:rPr>
                <w:rStyle w:val="Hyperlink"/>
                <w:rFonts w:cs="Guttman Drogolin"/>
                <w:rtl/>
              </w:rPr>
              <w:t>סתירת דברי הראשונים דהא דחמץ שמו עליו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Toc496175742 \h</w:instrText>
            </w:r>
            <w:r w:rsidR="001171C7">
              <w:rPr>
                <w:webHidden/>
                <w:rtl/>
              </w:rPr>
              <w:instrText xml:space="preserve"> </w:instrText>
            </w:r>
            <w:r w:rsidR="001171C7">
              <w:rPr>
                <w:webHidden/>
                <w:rtl/>
              </w:rPr>
            </w:r>
            <w:r w:rsidR="001171C7">
              <w:rPr>
                <w:webHidden/>
                <w:rtl/>
              </w:rPr>
              <w:fldChar w:fldCharType="separate"/>
            </w:r>
            <w:r w:rsidR="006A6D13">
              <w:rPr>
                <w:webHidden/>
                <w:rtl/>
              </w:rPr>
              <w:t>481</w:t>
            </w:r>
            <w:r w:rsidR="001171C7">
              <w:rPr>
                <w:webHidden/>
                <w:rtl/>
              </w:rPr>
              <w:fldChar w:fldCharType="end"/>
            </w:r>
          </w:hyperlink>
        </w:p>
        <w:p w:rsidR="001171C7" w:rsidRDefault="007978F4">
          <w:pPr>
            <w:pStyle w:val="TOC1"/>
            <w:rPr>
              <w:rFonts w:eastAsiaTheme="minorEastAsia" w:cstheme="minorBidi"/>
              <w:b w:val="0"/>
              <w:bCs w:val="0"/>
              <w:rtl/>
            </w:rPr>
          </w:pPr>
          <w:hyperlink w:anchor="_Toc496175743" w:history="1">
            <w:r w:rsidR="001171C7" w:rsidRPr="00D35CC1">
              <w:rPr>
                <w:rStyle w:val="Hyperlink"/>
                <w:rFonts w:cs="Guttman Drogolin"/>
                <w:rtl/>
              </w:rPr>
              <w:t>העלאת רתיחות בהגעלה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Toc496175743 \h</w:instrText>
            </w:r>
            <w:r w:rsidR="001171C7">
              <w:rPr>
                <w:webHidden/>
                <w:rtl/>
              </w:rPr>
              <w:instrText xml:space="preserve"> </w:instrText>
            </w:r>
            <w:r w:rsidR="001171C7">
              <w:rPr>
                <w:webHidden/>
                <w:rtl/>
              </w:rPr>
            </w:r>
            <w:r w:rsidR="001171C7">
              <w:rPr>
                <w:webHidden/>
                <w:rtl/>
              </w:rPr>
              <w:fldChar w:fldCharType="separate"/>
            </w:r>
            <w:r w:rsidR="006A6D13">
              <w:rPr>
                <w:webHidden/>
                <w:rtl/>
              </w:rPr>
              <w:t>483</w:t>
            </w:r>
            <w:r w:rsidR="001171C7">
              <w:rPr>
                <w:webHidden/>
                <w:rtl/>
              </w:rPr>
              <w:fldChar w:fldCharType="end"/>
            </w:r>
          </w:hyperlink>
        </w:p>
        <w:p w:rsidR="001171C7" w:rsidRDefault="007978F4">
          <w:pPr>
            <w:pStyle w:val="TOC1"/>
            <w:rPr>
              <w:rFonts w:eastAsiaTheme="minorEastAsia" w:cstheme="minorBidi"/>
              <w:b w:val="0"/>
              <w:bCs w:val="0"/>
              <w:rtl/>
            </w:rPr>
          </w:pPr>
          <w:hyperlink w:anchor="_Toc496175744" w:history="1">
            <w:r w:rsidR="001171C7" w:rsidRPr="00D35CC1">
              <w:rPr>
                <w:rStyle w:val="Hyperlink"/>
                <w:rFonts w:cs="Guttman Drogolin"/>
                <w:rtl/>
              </w:rPr>
              <w:t>כלי קוניא</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Toc496175744 \h</w:instrText>
            </w:r>
            <w:r w:rsidR="001171C7">
              <w:rPr>
                <w:webHidden/>
                <w:rtl/>
              </w:rPr>
              <w:instrText xml:space="preserve"> </w:instrText>
            </w:r>
            <w:r w:rsidR="001171C7">
              <w:rPr>
                <w:webHidden/>
                <w:rtl/>
              </w:rPr>
            </w:r>
            <w:r w:rsidR="001171C7">
              <w:rPr>
                <w:webHidden/>
                <w:rtl/>
              </w:rPr>
              <w:fldChar w:fldCharType="separate"/>
            </w:r>
            <w:r w:rsidR="006A6D13">
              <w:rPr>
                <w:webHidden/>
                <w:rtl/>
              </w:rPr>
              <w:t>484</w:t>
            </w:r>
            <w:r w:rsidR="001171C7">
              <w:rPr>
                <w:webHidden/>
                <w:rtl/>
              </w:rPr>
              <w:fldChar w:fldCharType="end"/>
            </w:r>
          </w:hyperlink>
        </w:p>
        <w:p w:rsidR="00B8771A" w:rsidRPr="003043CD" w:rsidRDefault="00B8771A" w:rsidP="00B8771A">
          <w:pPr>
            <w:pStyle w:val="TOC1"/>
            <w:spacing w:before="240"/>
            <w:rPr>
              <w:rStyle w:val="Hyperlink"/>
              <w:color w:val="auto"/>
              <w:sz w:val="28"/>
              <w:szCs w:val="28"/>
              <w:rtl/>
            </w:rPr>
          </w:pPr>
          <w:r>
            <w:rPr>
              <w:rStyle w:val="Hyperlink"/>
              <w:rFonts w:hint="cs"/>
              <w:color w:val="auto"/>
              <w:sz w:val="28"/>
              <w:szCs w:val="28"/>
              <w:rtl/>
            </w:rPr>
            <w:t>או"ח סי' תנ"ב</w:t>
          </w:r>
        </w:p>
        <w:p w:rsidR="001171C7" w:rsidRDefault="007978F4">
          <w:pPr>
            <w:pStyle w:val="TOC1"/>
            <w:rPr>
              <w:rFonts w:eastAsiaTheme="minorEastAsia" w:cstheme="minorBidi"/>
              <w:b w:val="0"/>
              <w:bCs w:val="0"/>
              <w:rtl/>
            </w:rPr>
          </w:pPr>
          <w:hyperlink w:anchor="_Toc496175745" w:history="1">
            <w:r w:rsidR="001171C7" w:rsidRPr="00D35CC1">
              <w:rPr>
                <w:rStyle w:val="Hyperlink"/>
                <w:rFonts w:cs="Guttman Drogolin"/>
                <w:rtl/>
              </w:rPr>
              <w:t>אם זמן היתר הוא משעה חמישית או משעה ששית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Toc496175745 \h</w:instrText>
            </w:r>
            <w:r w:rsidR="001171C7">
              <w:rPr>
                <w:webHidden/>
                <w:rtl/>
              </w:rPr>
              <w:instrText xml:space="preserve"> </w:instrText>
            </w:r>
            <w:r w:rsidR="001171C7">
              <w:rPr>
                <w:webHidden/>
                <w:rtl/>
              </w:rPr>
            </w:r>
            <w:r w:rsidR="001171C7">
              <w:rPr>
                <w:webHidden/>
                <w:rtl/>
              </w:rPr>
              <w:fldChar w:fldCharType="separate"/>
            </w:r>
            <w:r w:rsidR="006A6D13">
              <w:rPr>
                <w:webHidden/>
                <w:rtl/>
              </w:rPr>
              <w:t>486</w:t>
            </w:r>
            <w:r w:rsidR="001171C7">
              <w:rPr>
                <w:webHidden/>
                <w:rtl/>
              </w:rPr>
              <w:fldChar w:fldCharType="end"/>
            </w:r>
          </w:hyperlink>
        </w:p>
        <w:p w:rsidR="001171C7" w:rsidRDefault="007978F4">
          <w:pPr>
            <w:pStyle w:val="TOC1"/>
            <w:rPr>
              <w:rFonts w:eastAsiaTheme="minorEastAsia" w:cstheme="minorBidi"/>
              <w:b w:val="0"/>
              <w:bCs w:val="0"/>
              <w:rtl/>
            </w:rPr>
          </w:pPr>
          <w:hyperlink w:anchor="_Toc496175746" w:history="1">
            <w:r w:rsidR="001171C7" w:rsidRPr="00D35CC1">
              <w:rPr>
                <w:rStyle w:val="Hyperlink"/>
                <w:rFonts w:cs="Guttman Drogolin"/>
                <w:rtl/>
              </w:rPr>
              <w:t>מהו התהליך של הגעלה לכתחילה, ובדין הכשר היורה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Toc496175746 \h</w:instrText>
            </w:r>
            <w:r w:rsidR="001171C7">
              <w:rPr>
                <w:webHidden/>
                <w:rtl/>
              </w:rPr>
              <w:instrText xml:space="preserve"> </w:instrText>
            </w:r>
            <w:r w:rsidR="001171C7">
              <w:rPr>
                <w:webHidden/>
                <w:rtl/>
              </w:rPr>
            </w:r>
            <w:r w:rsidR="001171C7">
              <w:rPr>
                <w:webHidden/>
                <w:rtl/>
              </w:rPr>
              <w:fldChar w:fldCharType="separate"/>
            </w:r>
            <w:r w:rsidR="006A6D13">
              <w:rPr>
                <w:webHidden/>
                <w:rtl/>
              </w:rPr>
              <w:t>487</w:t>
            </w:r>
            <w:r w:rsidR="001171C7">
              <w:rPr>
                <w:webHidden/>
                <w:rtl/>
              </w:rPr>
              <w:fldChar w:fldCharType="end"/>
            </w:r>
          </w:hyperlink>
        </w:p>
        <w:p w:rsidR="001171C7" w:rsidRDefault="007978F4">
          <w:pPr>
            <w:pStyle w:val="TOC1"/>
            <w:rPr>
              <w:rFonts w:eastAsiaTheme="minorEastAsia" w:cstheme="minorBidi"/>
              <w:b w:val="0"/>
              <w:bCs w:val="0"/>
              <w:rtl/>
            </w:rPr>
          </w:pPr>
          <w:hyperlink w:anchor="_Toc496175747" w:history="1">
            <w:r w:rsidR="001171C7" w:rsidRPr="00D35CC1">
              <w:rPr>
                <w:rStyle w:val="Hyperlink"/>
                <w:rFonts w:cs="Guttman Drogolin"/>
                <w:rtl/>
              </w:rPr>
              <w:t>חוזר וניעור בהגעלת כלים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Toc496175747 \h</w:instrText>
            </w:r>
            <w:r w:rsidR="001171C7">
              <w:rPr>
                <w:webHidden/>
                <w:rtl/>
              </w:rPr>
              <w:instrText xml:space="preserve"> </w:instrText>
            </w:r>
            <w:r w:rsidR="001171C7">
              <w:rPr>
                <w:webHidden/>
                <w:rtl/>
              </w:rPr>
            </w:r>
            <w:r w:rsidR="001171C7">
              <w:rPr>
                <w:webHidden/>
                <w:rtl/>
              </w:rPr>
              <w:fldChar w:fldCharType="separate"/>
            </w:r>
            <w:r w:rsidR="006A6D13">
              <w:rPr>
                <w:webHidden/>
                <w:rtl/>
              </w:rPr>
              <w:t>488</w:t>
            </w:r>
            <w:r w:rsidR="001171C7">
              <w:rPr>
                <w:webHidden/>
                <w:rtl/>
              </w:rPr>
              <w:fldChar w:fldCharType="end"/>
            </w:r>
          </w:hyperlink>
        </w:p>
        <w:p w:rsidR="001171C7" w:rsidRDefault="007978F4">
          <w:pPr>
            <w:pStyle w:val="TOC1"/>
            <w:rPr>
              <w:rFonts w:eastAsiaTheme="minorEastAsia" w:cstheme="minorBidi"/>
              <w:b w:val="0"/>
              <w:bCs w:val="0"/>
              <w:rtl/>
            </w:rPr>
          </w:pPr>
          <w:hyperlink w:anchor="_Toc496175748" w:history="1">
            <w:r w:rsidR="001171C7" w:rsidRPr="00D35CC1">
              <w:rPr>
                <w:rStyle w:val="Hyperlink"/>
                <w:rFonts w:cs="Guttman Drogolin"/>
                <w:rtl/>
              </w:rPr>
              <w:t>בדין הגעלת כלים שאינם בני יומן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Toc496175748 \h</w:instrText>
            </w:r>
            <w:r w:rsidR="001171C7">
              <w:rPr>
                <w:webHidden/>
                <w:rtl/>
              </w:rPr>
              <w:instrText xml:space="preserve"> </w:instrText>
            </w:r>
            <w:r w:rsidR="001171C7">
              <w:rPr>
                <w:webHidden/>
                <w:rtl/>
              </w:rPr>
            </w:r>
            <w:r w:rsidR="001171C7">
              <w:rPr>
                <w:webHidden/>
                <w:rtl/>
              </w:rPr>
              <w:fldChar w:fldCharType="separate"/>
            </w:r>
            <w:r w:rsidR="006A6D13">
              <w:rPr>
                <w:webHidden/>
                <w:rtl/>
              </w:rPr>
              <w:t>489</w:t>
            </w:r>
            <w:r w:rsidR="001171C7">
              <w:rPr>
                <w:webHidden/>
                <w:rtl/>
              </w:rPr>
              <w:fldChar w:fldCharType="end"/>
            </w:r>
          </w:hyperlink>
        </w:p>
        <w:p w:rsidR="001171C7" w:rsidRDefault="007978F4">
          <w:pPr>
            <w:pStyle w:val="TOC1"/>
            <w:rPr>
              <w:rFonts w:eastAsiaTheme="minorEastAsia" w:cstheme="minorBidi"/>
              <w:b w:val="0"/>
              <w:bCs w:val="0"/>
              <w:rtl/>
            </w:rPr>
          </w:pPr>
          <w:hyperlink w:anchor="_Toc496175749" w:history="1">
            <w:r w:rsidR="001171C7" w:rsidRPr="00D35CC1">
              <w:rPr>
                <w:rStyle w:val="Hyperlink"/>
                <w:rFonts w:cs="Guttman Drogolin"/>
                <w:rtl/>
              </w:rPr>
              <w:t>נגיעת כלי בכלי בשעת הגעלה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Toc496175749 \h</w:instrText>
            </w:r>
            <w:r w:rsidR="001171C7">
              <w:rPr>
                <w:webHidden/>
                <w:rtl/>
              </w:rPr>
              <w:instrText xml:space="preserve"> </w:instrText>
            </w:r>
            <w:r w:rsidR="001171C7">
              <w:rPr>
                <w:webHidden/>
                <w:rtl/>
              </w:rPr>
            </w:r>
            <w:r w:rsidR="001171C7">
              <w:rPr>
                <w:webHidden/>
                <w:rtl/>
              </w:rPr>
              <w:fldChar w:fldCharType="separate"/>
            </w:r>
            <w:r w:rsidR="006A6D13">
              <w:rPr>
                <w:webHidden/>
                <w:rtl/>
              </w:rPr>
              <w:t>490</w:t>
            </w:r>
            <w:r w:rsidR="001171C7">
              <w:rPr>
                <w:webHidden/>
                <w:rtl/>
              </w:rPr>
              <w:fldChar w:fldCharType="end"/>
            </w:r>
          </w:hyperlink>
        </w:p>
        <w:p w:rsidR="001171C7" w:rsidRDefault="007978F4">
          <w:pPr>
            <w:pStyle w:val="TOC1"/>
            <w:rPr>
              <w:rFonts w:eastAsiaTheme="minorEastAsia" w:cstheme="minorBidi"/>
              <w:b w:val="0"/>
              <w:bCs w:val="0"/>
              <w:rtl/>
            </w:rPr>
          </w:pPr>
          <w:hyperlink w:anchor="_Toc496175750" w:history="1">
            <w:r w:rsidR="001171C7" w:rsidRPr="00D35CC1">
              <w:rPr>
                <w:rStyle w:val="Hyperlink"/>
                <w:rFonts w:cs="Guttman Drogolin"/>
                <w:rtl/>
              </w:rPr>
              <w:t>חמי טבריה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Toc496175750 \h</w:instrText>
            </w:r>
            <w:r w:rsidR="001171C7">
              <w:rPr>
                <w:webHidden/>
                <w:rtl/>
              </w:rPr>
              <w:instrText xml:space="preserve"> </w:instrText>
            </w:r>
            <w:r w:rsidR="001171C7">
              <w:rPr>
                <w:webHidden/>
                <w:rtl/>
              </w:rPr>
            </w:r>
            <w:r w:rsidR="001171C7">
              <w:rPr>
                <w:webHidden/>
                <w:rtl/>
              </w:rPr>
              <w:fldChar w:fldCharType="separate"/>
            </w:r>
            <w:r w:rsidR="006A6D13">
              <w:rPr>
                <w:webHidden/>
                <w:rtl/>
              </w:rPr>
              <w:t>490</w:t>
            </w:r>
            <w:r w:rsidR="001171C7">
              <w:rPr>
                <w:webHidden/>
                <w:rtl/>
              </w:rPr>
              <w:fldChar w:fldCharType="end"/>
            </w:r>
          </w:hyperlink>
        </w:p>
        <w:p w:rsidR="001171C7" w:rsidRDefault="007978F4">
          <w:pPr>
            <w:pStyle w:val="TOC1"/>
            <w:rPr>
              <w:rFonts w:eastAsiaTheme="minorEastAsia" w:cstheme="minorBidi"/>
              <w:b w:val="0"/>
              <w:bCs w:val="0"/>
              <w:rtl/>
            </w:rPr>
          </w:pPr>
          <w:hyperlink w:anchor="_Toc496175751" w:history="1">
            <w:r w:rsidR="001171C7" w:rsidRPr="00D35CC1">
              <w:rPr>
                <w:rStyle w:val="Hyperlink"/>
                <w:rFonts w:cs="Guttman Drogolin"/>
                <w:rtl/>
              </w:rPr>
              <w:t>באיזה משקין אפשר להגעיל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Toc496175751 \h</w:instrText>
            </w:r>
            <w:r w:rsidR="001171C7">
              <w:rPr>
                <w:webHidden/>
                <w:rtl/>
              </w:rPr>
              <w:instrText xml:space="preserve"> </w:instrText>
            </w:r>
            <w:r w:rsidR="001171C7">
              <w:rPr>
                <w:webHidden/>
                <w:rtl/>
              </w:rPr>
            </w:r>
            <w:r w:rsidR="001171C7">
              <w:rPr>
                <w:webHidden/>
                <w:rtl/>
              </w:rPr>
              <w:fldChar w:fldCharType="separate"/>
            </w:r>
            <w:r w:rsidR="006A6D13">
              <w:rPr>
                <w:webHidden/>
                <w:rtl/>
              </w:rPr>
              <w:t>491</w:t>
            </w:r>
            <w:r w:rsidR="001171C7">
              <w:rPr>
                <w:webHidden/>
                <w:rtl/>
              </w:rPr>
              <w:fldChar w:fldCharType="end"/>
            </w:r>
          </w:hyperlink>
        </w:p>
        <w:p w:rsidR="00B8771A" w:rsidRPr="003043CD" w:rsidRDefault="00B8771A" w:rsidP="00B8771A">
          <w:pPr>
            <w:pStyle w:val="TOC1"/>
            <w:keepNext/>
            <w:spacing w:before="240"/>
            <w:rPr>
              <w:rStyle w:val="Hyperlink"/>
              <w:color w:val="auto"/>
              <w:sz w:val="28"/>
              <w:szCs w:val="28"/>
              <w:rtl/>
            </w:rPr>
          </w:pPr>
          <w:r>
            <w:rPr>
              <w:rStyle w:val="Hyperlink"/>
              <w:rFonts w:hint="cs"/>
              <w:color w:val="auto"/>
              <w:sz w:val="28"/>
              <w:szCs w:val="28"/>
              <w:rtl/>
            </w:rPr>
            <w:lastRenderedPageBreak/>
            <w:t>יו"ד סי' קכ"א</w:t>
          </w:r>
        </w:p>
        <w:p w:rsidR="001171C7" w:rsidRDefault="007978F4">
          <w:pPr>
            <w:pStyle w:val="TOC1"/>
            <w:rPr>
              <w:rFonts w:eastAsiaTheme="minorEastAsia" w:cstheme="minorBidi"/>
              <w:b w:val="0"/>
              <w:bCs w:val="0"/>
              <w:rtl/>
            </w:rPr>
          </w:pPr>
          <w:hyperlink w:anchor="_Toc496175752" w:history="1">
            <w:r w:rsidR="001171C7" w:rsidRPr="00D35CC1">
              <w:rPr>
                <w:rStyle w:val="Hyperlink"/>
                <w:rFonts w:cs="Guttman Drogolin"/>
                <w:rtl/>
              </w:rPr>
              <w:t>בדין להגעיל דוקא כלי שאינו בן יומו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Toc496175752 \h</w:instrText>
            </w:r>
            <w:r w:rsidR="001171C7">
              <w:rPr>
                <w:webHidden/>
                <w:rtl/>
              </w:rPr>
              <w:instrText xml:space="preserve"> </w:instrText>
            </w:r>
            <w:r w:rsidR="001171C7">
              <w:rPr>
                <w:webHidden/>
                <w:rtl/>
              </w:rPr>
            </w:r>
            <w:r w:rsidR="001171C7">
              <w:rPr>
                <w:webHidden/>
                <w:rtl/>
              </w:rPr>
              <w:fldChar w:fldCharType="separate"/>
            </w:r>
            <w:r w:rsidR="006A6D13">
              <w:rPr>
                <w:webHidden/>
                <w:rtl/>
              </w:rPr>
              <w:t>493</w:t>
            </w:r>
            <w:r w:rsidR="001171C7">
              <w:rPr>
                <w:webHidden/>
                <w:rtl/>
              </w:rPr>
              <w:fldChar w:fldCharType="end"/>
            </w:r>
          </w:hyperlink>
        </w:p>
        <w:p w:rsidR="001171C7" w:rsidRDefault="007978F4">
          <w:pPr>
            <w:pStyle w:val="TOC1"/>
            <w:rPr>
              <w:rFonts w:eastAsiaTheme="minorEastAsia" w:cstheme="minorBidi"/>
              <w:b w:val="0"/>
              <w:bCs w:val="0"/>
              <w:rtl/>
            </w:rPr>
          </w:pPr>
          <w:hyperlink w:anchor="_Toc496175753" w:history="1">
            <w:r w:rsidR="001171C7" w:rsidRPr="00D35CC1">
              <w:rPr>
                <w:rStyle w:val="Hyperlink"/>
                <w:rFonts w:cs="Guttman Drogolin"/>
                <w:rtl/>
              </w:rPr>
              <w:t>דין הכשר המחבת, ודין הגעלת כלי חלבי או בשרי שתשמישתו ע"י האור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Toc496175753 \h</w:instrText>
            </w:r>
            <w:r w:rsidR="001171C7">
              <w:rPr>
                <w:webHidden/>
                <w:rtl/>
              </w:rPr>
              <w:instrText xml:space="preserve"> </w:instrText>
            </w:r>
            <w:r w:rsidR="001171C7">
              <w:rPr>
                <w:webHidden/>
                <w:rtl/>
              </w:rPr>
            </w:r>
            <w:r w:rsidR="001171C7">
              <w:rPr>
                <w:webHidden/>
                <w:rtl/>
              </w:rPr>
              <w:fldChar w:fldCharType="separate"/>
            </w:r>
            <w:r w:rsidR="006A6D13">
              <w:rPr>
                <w:webHidden/>
                <w:rtl/>
              </w:rPr>
              <w:t>493</w:t>
            </w:r>
            <w:r w:rsidR="001171C7">
              <w:rPr>
                <w:webHidden/>
                <w:rtl/>
              </w:rPr>
              <w:fldChar w:fldCharType="end"/>
            </w:r>
          </w:hyperlink>
        </w:p>
        <w:p w:rsidR="001171C7" w:rsidRDefault="007978F4">
          <w:pPr>
            <w:pStyle w:val="TOC1"/>
            <w:rPr>
              <w:rFonts w:eastAsiaTheme="minorEastAsia" w:cstheme="minorBidi"/>
              <w:b w:val="0"/>
              <w:bCs w:val="0"/>
              <w:rtl/>
            </w:rPr>
          </w:pPr>
          <w:hyperlink w:anchor="_Toc496175754" w:history="1">
            <w:r w:rsidR="001171C7" w:rsidRPr="00D35CC1">
              <w:rPr>
                <w:rStyle w:val="Hyperlink"/>
                <w:rFonts w:cs="Guttman Drogolin"/>
                <w:rtl/>
              </w:rPr>
              <w:t>ביאור שיטת הפר"ח דבשר וחלב דינם כחמץ לענין הכשר כלים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Toc496175754 \h</w:instrText>
            </w:r>
            <w:r w:rsidR="001171C7">
              <w:rPr>
                <w:webHidden/>
                <w:rtl/>
              </w:rPr>
              <w:instrText xml:space="preserve"> </w:instrText>
            </w:r>
            <w:r w:rsidR="001171C7">
              <w:rPr>
                <w:webHidden/>
                <w:rtl/>
              </w:rPr>
            </w:r>
            <w:r w:rsidR="001171C7">
              <w:rPr>
                <w:webHidden/>
                <w:rtl/>
              </w:rPr>
              <w:fldChar w:fldCharType="separate"/>
            </w:r>
            <w:r w:rsidR="006A6D13">
              <w:rPr>
                <w:webHidden/>
                <w:rtl/>
              </w:rPr>
              <w:t>495</w:t>
            </w:r>
            <w:r w:rsidR="001171C7">
              <w:rPr>
                <w:webHidden/>
                <w:rtl/>
              </w:rPr>
              <w:fldChar w:fldCharType="end"/>
            </w:r>
          </w:hyperlink>
        </w:p>
        <w:p w:rsidR="001171C7" w:rsidRDefault="007978F4">
          <w:pPr>
            <w:pStyle w:val="TOC1"/>
            <w:rPr>
              <w:rFonts w:eastAsiaTheme="minorEastAsia" w:cstheme="minorBidi"/>
              <w:b w:val="0"/>
              <w:bCs w:val="0"/>
              <w:rtl/>
            </w:rPr>
          </w:pPr>
          <w:hyperlink w:anchor="_Toc496175755" w:history="1">
            <w:r w:rsidR="001171C7" w:rsidRPr="00D35CC1">
              <w:rPr>
                <w:rStyle w:val="Hyperlink"/>
                <w:rFonts w:cs="Guttman Drogolin"/>
                <w:rtl/>
              </w:rPr>
              <w:t>הגעיל כלי הטעון ליבון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Toc496175755 \h</w:instrText>
            </w:r>
            <w:r w:rsidR="001171C7">
              <w:rPr>
                <w:webHidden/>
                <w:rtl/>
              </w:rPr>
              <w:instrText xml:space="preserve"> </w:instrText>
            </w:r>
            <w:r w:rsidR="001171C7">
              <w:rPr>
                <w:webHidden/>
                <w:rtl/>
              </w:rPr>
            </w:r>
            <w:r w:rsidR="001171C7">
              <w:rPr>
                <w:webHidden/>
                <w:rtl/>
              </w:rPr>
              <w:fldChar w:fldCharType="separate"/>
            </w:r>
            <w:r w:rsidR="006A6D13">
              <w:rPr>
                <w:webHidden/>
                <w:rtl/>
              </w:rPr>
              <w:t>497</w:t>
            </w:r>
            <w:r w:rsidR="001171C7">
              <w:rPr>
                <w:webHidden/>
                <w:rtl/>
              </w:rPr>
              <w:fldChar w:fldCharType="end"/>
            </w:r>
          </w:hyperlink>
        </w:p>
        <w:p w:rsidR="001171C7" w:rsidRDefault="007978F4">
          <w:pPr>
            <w:pStyle w:val="TOC1"/>
            <w:rPr>
              <w:rFonts w:eastAsiaTheme="minorEastAsia" w:cstheme="minorBidi"/>
              <w:b w:val="0"/>
              <w:bCs w:val="0"/>
              <w:rtl/>
            </w:rPr>
          </w:pPr>
          <w:hyperlink w:anchor="_Toc496175756" w:history="1">
            <w:r w:rsidR="001171C7" w:rsidRPr="00D35CC1">
              <w:rPr>
                <w:rStyle w:val="Hyperlink"/>
                <w:rFonts w:cs="Guttman Drogolin"/>
                <w:rtl/>
              </w:rPr>
              <w:t>אם מותר להשתמש צונן כלי שבלע איסור וצריך הכשר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Toc496175756 \h</w:instrText>
            </w:r>
            <w:r w:rsidR="001171C7">
              <w:rPr>
                <w:webHidden/>
                <w:rtl/>
              </w:rPr>
              <w:instrText xml:space="preserve"> </w:instrText>
            </w:r>
            <w:r w:rsidR="001171C7">
              <w:rPr>
                <w:webHidden/>
                <w:rtl/>
              </w:rPr>
            </w:r>
            <w:r w:rsidR="001171C7">
              <w:rPr>
                <w:webHidden/>
                <w:rtl/>
              </w:rPr>
              <w:fldChar w:fldCharType="separate"/>
            </w:r>
            <w:r w:rsidR="006A6D13">
              <w:rPr>
                <w:webHidden/>
                <w:rtl/>
              </w:rPr>
              <w:t>498</w:t>
            </w:r>
            <w:r w:rsidR="001171C7">
              <w:rPr>
                <w:webHidden/>
                <w:rtl/>
              </w:rPr>
              <w:fldChar w:fldCharType="end"/>
            </w:r>
          </w:hyperlink>
        </w:p>
        <w:p w:rsidR="001171C7" w:rsidRDefault="007978F4">
          <w:pPr>
            <w:pStyle w:val="TOC1"/>
            <w:rPr>
              <w:rFonts w:eastAsiaTheme="minorEastAsia" w:cstheme="minorBidi"/>
              <w:b w:val="0"/>
              <w:bCs w:val="0"/>
              <w:rtl/>
            </w:rPr>
          </w:pPr>
          <w:hyperlink w:anchor="_Toc496175757" w:history="1">
            <w:r w:rsidR="001171C7" w:rsidRPr="00D35CC1">
              <w:rPr>
                <w:rStyle w:val="Hyperlink"/>
                <w:rFonts w:cs="Guttman Drogolin"/>
                <w:rtl/>
              </w:rPr>
              <w:t>חם מקצתו חם כולו, ובדין הכשר מקצת כלי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Toc496175757 \h</w:instrText>
            </w:r>
            <w:r w:rsidR="001171C7">
              <w:rPr>
                <w:webHidden/>
                <w:rtl/>
              </w:rPr>
              <w:instrText xml:space="preserve"> </w:instrText>
            </w:r>
            <w:r w:rsidR="001171C7">
              <w:rPr>
                <w:webHidden/>
                <w:rtl/>
              </w:rPr>
            </w:r>
            <w:r w:rsidR="001171C7">
              <w:rPr>
                <w:webHidden/>
                <w:rtl/>
              </w:rPr>
              <w:fldChar w:fldCharType="separate"/>
            </w:r>
            <w:r w:rsidR="006A6D13">
              <w:rPr>
                <w:webHidden/>
                <w:rtl/>
              </w:rPr>
              <w:t>499</w:t>
            </w:r>
            <w:r w:rsidR="001171C7">
              <w:rPr>
                <w:webHidden/>
                <w:rtl/>
              </w:rPr>
              <w:fldChar w:fldCharType="end"/>
            </w:r>
          </w:hyperlink>
        </w:p>
        <w:p w:rsidR="001171C7" w:rsidRDefault="007978F4">
          <w:pPr>
            <w:pStyle w:val="TOC1"/>
            <w:rPr>
              <w:rFonts w:eastAsiaTheme="minorEastAsia" w:cstheme="minorBidi"/>
              <w:b w:val="0"/>
              <w:bCs w:val="0"/>
              <w:rtl/>
            </w:rPr>
          </w:pPr>
          <w:hyperlink w:anchor="_Toc496175758" w:history="1">
            <w:r w:rsidR="001171C7" w:rsidRPr="00D35CC1">
              <w:rPr>
                <w:rStyle w:val="Hyperlink"/>
                <w:rFonts w:cs="Guttman Drogolin"/>
                <w:rtl/>
              </w:rPr>
              <w:t>דיני הכשר הסכין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Toc496175758 \h</w:instrText>
            </w:r>
            <w:r w:rsidR="001171C7">
              <w:rPr>
                <w:webHidden/>
                <w:rtl/>
              </w:rPr>
              <w:instrText xml:space="preserve"> </w:instrText>
            </w:r>
            <w:r w:rsidR="001171C7">
              <w:rPr>
                <w:webHidden/>
                <w:rtl/>
              </w:rPr>
            </w:r>
            <w:r w:rsidR="001171C7">
              <w:rPr>
                <w:webHidden/>
                <w:rtl/>
              </w:rPr>
              <w:fldChar w:fldCharType="separate"/>
            </w:r>
            <w:r w:rsidR="006A6D13">
              <w:rPr>
                <w:webHidden/>
                <w:rtl/>
              </w:rPr>
              <w:t>502</w:t>
            </w:r>
            <w:r w:rsidR="001171C7">
              <w:rPr>
                <w:webHidden/>
                <w:rtl/>
              </w:rPr>
              <w:fldChar w:fldCharType="end"/>
            </w:r>
          </w:hyperlink>
        </w:p>
        <w:p w:rsidR="00B8771A" w:rsidRPr="003043CD" w:rsidRDefault="00B8771A" w:rsidP="00B8771A">
          <w:pPr>
            <w:pStyle w:val="TOC1"/>
            <w:spacing w:before="240"/>
            <w:rPr>
              <w:rStyle w:val="Hyperlink"/>
              <w:color w:val="auto"/>
              <w:sz w:val="28"/>
              <w:szCs w:val="28"/>
              <w:rtl/>
            </w:rPr>
          </w:pPr>
          <w:r>
            <w:rPr>
              <w:rStyle w:val="Hyperlink"/>
              <w:rFonts w:hint="cs"/>
              <w:color w:val="auto"/>
              <w:sz w:val="28"/>
              <w:szCs w:val="28"/>
              <w:rtl/>
            </w:rPr>
            <w:t>או"ח סי' תנ"א</w:t>
          </w:r>
        </w:p>
        <w:p w:rsidR="001171C7" w:rsidRDefault="007978F4">
          <w:pPr>
            <w:pStyle w:val="TOC1"/>
            <w:rPr>
              <w:rFonts w:eastAsiaTheme="minorEastAsia" w:cstheme="minorBidi"/>
              <w:b w:val="0"/>
              <w:bCs w:val="0"/>
              <w:rtl/>
            </w:rPr>
          </w:pPr>
          <w:hyperlink w:anchor="_Toc496175759" w:history="1">
            <w:r w:rsidR="001171C7" w:rsidRPr="00D35CC1">
              <w:rPr>
                <w:rStyle w:val="Hyperlink"/>
                <w:rFonts w:cs="Guttman Drogolin"/>
                <w:rtl/>
              </w:rPr>
              <w:t>קדרות בפסח הבלועים הרבה חמץ</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Toc496175759 \h</w:instrText>
            </w:r>
            <w:r w:rsidR="001171C7">
              <w:rPr>
                <w:webHidden/>
                <w:rtl/>
              </w:rPr>
              <w:instrText xml:space="preserve"> </w:instrText>
            </w:r>
            <w:r w:rsidR="001171C7">
              <w:rPr>
                <w:webHidden/>
                <w:rtl/>
              </w:rPr>
            </w:r>
            <w:r w:rsidR="001171C7">
              <w:rPr>
                <w:webHidden/>
                <w:rtl/>
              </w:rPr>
              <w:fldChar w:fldCharType="separate"/>
            </w:r>
            <w:r w:rsidR="006A6D13">
              <w:rPr>
                <w:webHidden/>
                <w:rtl/>
              </w:rPr>
              <w:t>503</w:t>
            </w:r>
            <w:r w:rsidR="001171C7">
              <w:rPr>
                <w:webHidden/>
                <w:rtl/>
              </w:rPr>
              <w:fldChar w:fldCharType="end"/>
            </w:r>
          </w:hyperlink>
        </w:p>
        <w:p w:rsidR="001171C7" w:rsidRDefault="007978F4">
          <w:pPr>
            <w:pStyle w:val="TOC1"/>
            <w:rPr>
              <w:rFonts w:eastAsiaTheme="minorEastAsia" w:cstheme="minorBidi"/>
              <w:b w:val="0"/>
              <w:bCs w:val="0"/>
              <w:rtl/>
            </w:rPr>
          </w:pPr>
          <w:hyperlink w:anchor="_Toc496175760" w:history="1">
            <w:r w:rsidR="001171C7" w:rsidRPr="00D35CC1">
              <w:rPr>
                <w:rStyle w:val="Hyperlink"/>
                <w:rFonts w:cs="Guttman Drogolin"/>
                <w:rtl/>
              </w:rPr>
              <w:t>הדין להצניע כלי חמץ בפסח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Toc496175760 \h</w:instrText>
            </w:r>
            <w:r w:rsidR="001171C7">
              <w:rPr>
                <w:webHidden/>
                <w:rtl/>
              </w:rPr>
              <w:instrText xml:space="preserve"> </w:instrText>
            </w:r>
            <w:r w:rsidR="001171C7">
              <w:rPr>
                <w:webHidden/>
                <w:rtl/>
              </w:rPr>
            </w:r>
            <w:r w:rsidR="001171C7">
              <w:rPr>
                <w:webHidden/>
                <w:rtl/>
              </w:rPr>
              <w:fldChar w:fldCharType="separate"/>
            </w:r>
            <w:r w:rsidR="006A6D13">
              <w:rPr>
                <w:webHidden/>
                <w:rtl/>
              </w:rPr>
              <w:t>504</w:t>
            </w:r>
            <w:r w:rsidR="001171C7">
              <w:rPr>
                <w:webHidden/>
                <w:rtl/>
              </w:rPr>
              <w:fldChar w:fldCharType="end"/>
            </w:r>
          </w:hyperlink>
        </w:p>
        <w:p w:rsidR="001171C7" w:rsidRDefault="007978F4">
          <w:pPr>
            <w:pStyle w:val="TOC1"/>
            <w:rPr>
              <w:rFonts w:eastAsiaTheme="minorEastAsia" w:cstheme="minorBidi"/>
              <w:b w:val="0"/>
              <w:bCs w:val="0"/>
              <w:rtl/>
            </w:rPr>
          </w:pPr>
          <w:hyperlink w:anchor="_Toc496175761" w:history="1">
            <w:r w:rsidR="001171C7" w:rsidRPr="00D35CC1">
              <w:rPr>
                <w:rStyle w:val="Hyperlink"/>
                <w:rFonts w:cs="Guttman Drogolin"/>
                <w:rtl/>
              </w:rPr>
              <w:t>כלי שני ואינו בן יומו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Toc496175761 \h</w:instrText>
            </w:r>
            <w:r w:rsidR="001171C7">
              <w:rPr>
                <w:webHidden/>
                <w:rtl/>
              </w:rPr>
              <w:instrText xml:space="preserve"> </w:instrText>
            </w:r>
            <w:r w:rsidR="001171C7">
              <w:rPr>
                <w:webHidden/>
                <w:rtl/>
              </w:rPr>
            </w:r>
            <w:r w:rsidR="001171C7">
              <w:rPr>
                <w:webHidden/>
                <w:rtl/>
              </w:rPr>
              <w:fldChar w:fldCharType="separate"/>
            </w:r>
            <w:r w:rsidR="006A6D13">
              <w:rPr>
                <w:webHidden/>
                <w:rtl/>
              </w:rPr>
              <w:t>506</w:t>
            </w:r>
            <w:r w:rsidR="001171C7">
              <w:rPr>
                <w:webHidden/>
                <w:rtl/>
              </w:rPr>
              <w:fldChar w:fldCharType="end"/>
            </w:r>
          </w:hyperlink>
        </w:p>
        <w:p w:rsidR="001171C7" w:rsidRDefault="007978F4">
          <w:pPr>
            <w:pStyle w:val="TOC1"/>
            <w:rPr>
              <w:rFonts w:eastAsiaTheme="minorEastAsia" w:cstheme="minorBidi"/>
              <w:b w:val="0"/>
              <w:bCs w:val="0"/>
              <w:rtl/>
            </w:rPr>
          </w:pPr>
          <w:hyperlink w:anchor="_Toc496175762" w:history="1">
            <w:r w:rsidR="001171C7" w:rsidRPr="00D35CC1">
              <w:rPr>
                <w:rStyle w:val="Hyperlink"/>
                <w:rFonts w:cs="Guttman Drogolin"/>
                <w:rtl/>
              </w:rPr>
              <w:t>הכשר סכינים לפסח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Toc496175762 \h</w:instrText>
            </w:r>
            <w:r w:rsidR="001171C7">
              <w:rPr>
                <w:webHidden/>
                <w:rtl/>
              </w:rPr>
              <w:instrText xml:space="preserve"> </w:instrText>
            </w:r>
            <w:r w:rsidR="001171C7">
              <w:rPr>
                <w:webHidden/>
                <w:rtl/>
              </w:rPr>
            </w:r>
            <w:r w:rsidR="001171C7">
              <w:rPr>
                <w:webHidden/>
                <w:rtl/>
              </w:rPr>
              <w:fldChar w:fldCharType="separate"/>
            </w:r>
            <w:r w:rsidR="006A6D13">
              <w:rPr>
                <w:webHidden/>
                <w:rtl/>
              </w:rPr>
              <w:t>506</w:t>
            </w:r>
            <w:r w:rsidR="001171C7">
              <w:rPr>
                <w:webHidden/>
                <w:rtl/>
              </w:rPr>
              <w:fldChar w:fldCharType="end"/>
            </w:r>
          </w:hyperlink>
        </w:p>
        <w:p w:rsidR="001171C7" w:rsidRDefault="007978F4">
          <w:pPr>
            <w:pStyle w:val="TOC1"/>
            <w:rPr>
              <w:rFonts w:eastAsiaTheme="minorEastAsia" w:cstheme="minorBidi"/>
              <w:b w:val="0"/>
              <w:bCs w:val="0"/>
              <w:rtl/>
            </w:rPr>
          </w:pPr>
          <w:hyperlink w:anchor="_Toc496175763" w:history="1">
            <w:r w:rsidR="001171C7" w:rsidRPr="00D35CC1">
              <w:rPr>
                <w:rStyle w:val="Hyperlink"/>
                <w:rFonts w:cs="Guttman Drogolin"/>
                <w:rtl/>
              </w:rPr>
              <w:t>הערה בדינא דרוב תשמישתו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Toc496175763 \h</w:instrText>
            </w:r>
            <w:r w:rsidR="001171C7">
              <w:rPr>
                <w:webHidden/>
                <w:rtl/>
              </w:rPr>
              <w:instrText xml:space="preserve"> </w:instrText>
            </w:r>
            <w:r w:rsidR="001171C7">
              <w:rPr>
                <w:webHidden/>
                <w:rtl/>
              </w:rPr>
            </w:r>
            <w:r w:rsidR="001171C7">
              <w:rPr>
                <w:webHidden/>
                <w:rtl/>
              </w:rPr>
              <w:fldChar w:fldCharType="separate"/>
            </w:r>
            <w:r w:rsidR="006A6D13">
              <w:rPr>
                <w:webHidden/>
                <w:rtl/>
              </w:rPr>
              <w:t>507</w:t>
            </w:r>
            <w:r w:rsidR="001171C7">
              <w:rPr>
                <w:webHidden/>
                <w:rtl/>
              </w:rPr>
              <w:fldChar w:fldCharType="end"/>
            </w:r>
          </w:hyperlink>
        </w:p>
        <w:p w:rsidR="001171C7" w:rsidRDefault="007978F4">
          <w:pPr>
            <w:pStyle w:val="TOC1"/>
            <w:rPr>
              <w:rFonts w:eastAsiaTheme="minorEastAsia" w:cstheme="minorBidi"/>
              <w:b w:val="0"/>
              <w:bCs w:val="0"/>
              <w:rtl/>
            </w:rPr>
          </w:pPr>
          <w:hyperlink w:anchor="_Toc496175764" w:history="1">
            <w:r w:rsidR="001171C7" w:rsidRPr="00D35CC1">
              <w:rPr>
                <w:rStyle w:val="Hyperlink"/>
                <w:rFonts w:cs="Guttman Drogolin"/>
                <w:rtl/>
              </w:rPr>
              <w:t>להכשיר כלי מבשר לחלב או להיפך</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Toc496175764 \h</w:instrText>
            </w:r>
            <w:r w:rsidR="001171C7">
              <w:rPr>
                <w:webHidden/>
                <w:rtl/>
              </w:rPr>
              <w:instrText xml:space="preserve"> </w:instrText>
            </w:r>
            <w:r w:rsidR="001171C7">
              <w:rPr>
                <w:webHidden/>
                <w:rtl/>
              </w:rPr>
            </w:r>
            <w:r w:rsidR="001171C7">
              <w:rPr>
                <w:webHidden/>
                <w:rtl/>
              </w:rPr>
              <w:fldChar w:fldCharType="separate"/>
            </w:r>
            <w:r w:rsidR="006A6D13">
              <w:rPr>
                <w:webHidden/>
                <w:rtl/>
              </w:rPr>
              <w:t>508</w:t>
            </w:r>
            <w:r w:rsidR="001171C7">
              <w:rPr>
                <w:webHidden/>
                <w:rtl/>
              </w:rPr>
              <w:fldChar w:fldCharType="end"/>
            </w:r>
          </w:hyperlink>
        </w:p>
        <w:p w:rsidR="001171C7" w:rsidRDefault="007978F4">
          <w:pPr>
            <w:pStyle w:val="TOC1"/>
            <w:rPr>
              <w:rFonts w:eastAsiaTheme="minorEastAsia" w:cstheme="minorBidi"/>
              <w:b w:val="0"/>
              <w:bCs w:val="0"/>
              <w:rtl/>
            </w:rPr>
          </w:pPr>
          <w:hyperlink w:anchor="_Toc496175765" w:history="1">
            <w:r w:rsidR="001171C7" w:rsidRPr="00D35CC1">
              <w:rPr>
                <w:rStyle w:val="Hyperlink"/>
                <w:rFonts w:cs="Guttman Drogolin"/>
                <w:rtl/>
              </w:rPr>
              <w:t>הכשר החצובה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Toc496175765 \h</w:instrText>
            </w:r>
            <w:r w:rsidR="001171C7">
              <w:rPr>
                <w:webHidden/>
                <w:rtl/>
              </w:rPr>
              <w:instrText xml:space="preserve"> </w:instrText>
            </w:r>
            <w:r w:rsidR="001171C7">
              <w:rPr>
                <w:webHidden/>
                <w:rtl/>
              </w:rPr>
            </w:r>
            <w:r w:rsidR="001171C7">
              <w:rPr>
                <w:webHidden/>
                <w:rtl/>
              </w:rPr>
              <w:fldChar w:fldCharType="separate"/>
            </w:r>
            <w:r w:rsidR="006A6D13">
              <w:rPr>
                <w:webHidden/>
                <w:rtl/>
              </w:rPr>
              <w:t>509</w:t>
            </w:r>
            <w:r w:rsidR="001171C7">
              <w:rPr>
                <w:webHidden/>
                <w:rtl/>
              </w:rPr>
              <w:fldChar w:fldCharType="end"/>
            </w:r>
          </w:hyperlink>
        </w:p>
        <w:p w:rsidR="001171C7" w:rsidRDefault="007978F4">
          <w:pPr>
            <w:pStyle w:val="TOC1"/>
            <w:rPr>
              <w:rFonts w:eastAsiaTheme="minorEastAsia" w:cstheme="minorBidi"/>
              <w:b w:val="0"/>
              <w:bCs w:val="0"/>
              <w:rtl/>
            </w:rPr>
          </w:pPr>
          <w:hyperlink w:anchor="_Toc496175766" w:history="1">
            <w:r w:rsidR="001171C7" w:rsidRPr="00D35CC1">
              <w:rPr>
                <w:rStyle w:val="Hyperlink"/>
                <w:rFonts w:cs="Guttman Drogolin"/>
                <w:rtl/>
              </w:rPr>
              <w:t>בענין ליבון קל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Toc496175766 \h</w:instrText>
            </w:r>
            <w:r w:rsidR="001171C7">
              <w:rPr>
                <w:webHidden/>
                <w:rtl/>
              </w:rPr>
              <w:instrText xml:space="preserve"> </w:instrText>
            </w:r>
            <w:r w:rsidR="001171C7">
              <w:rPr>
                <w:webHidden/>
                <w:rtl/>
              </w:rPr>
            </w:r>
            <w:r w:rsidR="001171C7">
              <w:rPr>
                <w:webHidden/>
                <w:rtl/>
              </w:rPr>
              <w:fldChar w:fldCharType="separate"/>
            </w:r>
            <w:r w:rsidR="006A6D13">
              <w:rPr>
                <w:webHidden/>
                <w:rtl/>
              </w:rPr>
              <w:t>510</w:t>
            </w:r>
            <w:r w:rsidR="001171C7">
              <w:rPr>
                <w:webHidden/>
                <w:rtl/>
              </w:rPr>
              <w:fldChar w:fldCharType="end"/>
            </w:r>
          </w:hyperlink>
        </w:p>
        <w:p w:rsidR="001171C7" w:rsidRDefault="007978F4">
          <w:pPr>
            <w:pStyle w:val="TOC1"/>
            <w:rPr>
              <w:rFonts w:eastAsiaTheme="minorEastAsia" w:cstheme="minorBidi"/>
              <w:b w:val="0"/>
              <w:bCs w:val="0"/>
              <w:rtl/>
            </w:rPr>
          </w:pPr>
          <w:hyperlink w:anchor="_Toc496175767" w:history="1">
            <w:r w:rsidR="001171C7" w:rsidRPr="00D35CC1">
              <w:rPr>
                <w:rStyle w:val="Hyperlink"/>
                <w:rFonts w:cs="Guttman Drogolin"/>
                <w:rtl/>
              </w:rPr>
              <w:t>בענין ליבון חמור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Toc496175767 \h</w:instrText>
            </w:r>
            <w:r w:rsidR="001171C7">
              <w:rPr>
                <w:webHidden/>
                <w:rtl/>
              </w:rPr>
              <w:instrText xml:space="preserve"> </w:instrText>
            </w:r>
            <w:r w:rsidR="001171C7">
              <w:rPr>
                <w:webHidden/>
                <w:rtl/>
              </w:rPr>
            </w:r>
            <w:r w:rsidR="001171C7">
              <w:rPr>
                <w:webHidden/>
                <w:rtl/>
              </w:rPr>
              <w:fldChar w:fldCharType="separate"/>
            </w:r>
            <w:r w:rsidR="006A6D13">
              <w:rPr>
                <w:webHidden/>
                <w:rtl/>
              </w:rPr>
              <w:t>511</w:t>
            </w:r>
            <w:r w:rsidR="001171C7">
              <w:rPr>
                <w:webHidden/>
                <w:rtl/>
              </w:rPr>
              <w:fldChar w:fldCharType="end"/>
            </w:r>
          </w:hyperlink>
        </w:p>
        <w:p w:rsidR="001171C7" w:rsidRDefault="007978F4">
          <w:pPr>
            <w:pStyle w:val="TOC1"/>
            <w:rPr>
              <w:rFonts w:eastAsiaTheme="minorEastAsia" w:cstheme="minorBidi"/>
              <w:b w:val="0"/>
              <w:bCs w:val="0"/>
              <w:rtl/>
            </w:rPr>
          </w:pPr>
          <w:hyperlink w:anchor="_Toc496175768" w:history="1">
            <w:r w:rsidR="001171C7" w:rsidRPr="00D35CC1">
              <w:rPr>
                <w:rStyle w:val="Hyperlink"/>
                <w:rFonts w:cs="Guttman Drogolin"/>
                <w:rtl/>
              </w:rPr>
              <w:t>דיני שאר החומרים לענין הכשר כלים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Toc496175768 \h</w:instrText>
            </w:r>
            <w:r w:rsidR="001171C7">
              <w:rPr>
                <w:webHidden/>
                <w:rtl/>
              </w:rPr>
              <w:instrText xml:space="preserve"> </w:instrText>
            </w:r>
            <w:r w:rsidR="001171C7">
              <w:rPr>
                <w:webHidden/>
                <w:rtl/>
              </w:rPr>
            </w:r>
            <w:r w:rsidR="001171C7">
              <w:rPr>
                <w:webHidden/>
                <w:rtl/>
              </w:rPr>
              <w:fldChar w:fldCharType="separate"/>
            </w:r>
            <w:r w:rsidR="006A6D13">
              <w:rPr>
                <w:webHidden/>
                <w:rtl/>
              </w:rPr>
              <w:t>512</w:t>
            </w:r>
            <w:r w:rsidR="001171C7">
              <w:rPr>
                <w:webHidden/>
                <w:rtl/>
              </w:rPr>
              <w:fldChar w:fldCharType="end"/>
            </w:r>
          </w:hyperlink>
        </w:p>
        <w:p w:rsidR="001171C7" w:rsidRDefault="007978F4">
          <w:pPr>
            <w:pStyle w:val="TOC1"/>
            <w:rPr>
              <w:rFonts w:eastAsiaTheme="minorEastAsia" w:cstheme="minorBidi"/>
              <w:b w:val="0"/>
              <w:bCs w:val="0"/>
              <w:rtl/>
            </w:rPr>
          </w:pPr>
          <w:hyperlink w:anchor="_Toc496175769" w:history="1">
            <w:r w:rsidR="001171C7" w:rsidRPr="00D35CC1">
              <w:rPr>
                <w:rStyle w:val="Hyperlink"/>
                <w:rFonts w:cs="Guttman Drogolin"/>
                <w:rtl/>
              </w:rPr>
              <w:t>הכשר המחבת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Toc496175769 \h</w:instrText>
            </w:r>
            <w:r w:rsidR="001171C7">
              <w:rPr>
                <w:webHidden/>
                <w:rtl/>
              </w:rPr>
              <w:instrText xml:space="preserve"> </w:instrText>
            </w:r>
            <w:r w:rsidR="001171C7">
              <w:rPr>
                <w:webHidden/>
                <w:rtl/>
              </w:rPr>
            </w:r>
            <w:r w:rsidR="001171C7">
              <w:rPr>
                <w:webHidden/>
                <w:rtl/>
              </w:rPr>
              <w:fldChar w:fldCharType="separate"/>
            </w:r>
            <w:r w:rsidR="006A6D13">
              <w:rPr>
                <w:webHidden/>
                <w:rtl/>
              </w:rPr>
              <w:t>513</w:t>
            </w:r>
            <w:r w:rsidR="001171C7">
              <w:rPr>
                <w:webHidden/>
                <w:rtl/>
              </w:rPr>
              <w:fldChar w:fldCharType="end"/>
            </w:r>
          </w:hyperlink>
        </w:p>
        <w:p w:rsidR="001171C7" w:rsidRDefault="007978F4">
          <w:pPr>
            <w:pStyle w:val="TOC1"/>
            <w:rPr>
              <w:rFonts w:eastAsiaTheme="minorEastAsia" w:cstheme="minorBidi"/>
              <w:b w:val="0"/>
              <w:bCs w:val="0"/>
              <w:rtl/>
            </w:rPr>
          </w:pPr>
          <w:hyperlink w:anchor="_Toc496175770" w:history="1">
            <w:r w:rsidR="001171C7" w:rsidRPr="00D35CC1">
              <w:rPr>
                <w:rStyle w:val="Hyperlink"/>
                <w:rFonts w:cs="Guttman Drogolin"/>
                <w:rtl/>
              </w:rPr>
              <w:t>ידות הכלים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Toc496175770 \h</w:instrText>
            </w:r>
            <w:r w:rsidR="001171C7">
              <w:rPr>
                <w:webHidden/>
                <w:rtl/>
              </w:rPr>
              <w:instrText xml:space="preserve"> </w:instrText>
            </w:r>
            <w:r w:rsidR="001171C7">
              <w:rPr>
                <w:webHidden/>
                <w:rtl/>
              </w:rPr>
            </w:r>
            <w:r w:rsidR="001171C7">
              <w:rPr>
                <w:webHidden/>
                <w:rtl/>
              </w:rPr>
              <w:fldChar w:fldCharType="separate"/>
            </w:r>
            <w:r w:rsidR="006A6D13">
              <w:rPr>
                <w:webHidden/>
                <w:rtl/>
              </w:rPr>
              <w:t>514</w:t>
            </w:r>
            <w:r w:rsidR="001171C7">
              <w:rPr>
                <w:webHidden/>
                <w:rtl/>
              </w:rPr>
              <w:fldChar w:fldCharType="end"/>
            </w:r>
          </w:hyperlink>
        </w:p>
        <w:p w:rsidR="001171C7" w:rsidRDefault="007978F4">
          <w:pPr>
            <w:pStyle w:val="TOC1"/>
            <w:rPr>
              <w:rFonts w:eastAsiaTheme="minorEastAsia" w:cstheme="minorBidi"/>
              <w:b w:val="0"/>
              <w:bCs w:val="0"/>
              <w:rtl/>
            </w:rPr>
          </w:pPr>
          <w:hyperlink w:anchor="_Toc496175771" w:history="1">
            <w:r w:rsidR="001171C7" w:rsidRPr="00D35CC1">
              <w:rPr>
                <w:rStyle w:val="Hyperlink"/>
                <w:rFonts w:cs="Guttman Drogolin"/>
                <w:rtl/>
              </w:rPr>
              <w:t>כלי שיש בה טלאי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Toc496175771 \h</w:instrText>
            </w:r>
            <w:r w:rsidR="001171C7">
              <w:rPr>
                <w:webHidden/>
                <w:rtl/>
              </w:rPr>
              <w:instrText xml:space="preserve"> </w:instrText>
            </w:r>
            <w:r w:rsidR="001171C7">
              <w:rPr>
                <w:webHidden/>
                <w:rtl/>
              </w:rPr>
            </w:r>
            <w:r w:rsidR="001171C7">
              <w:rPr>
                <w:webHidden/>
                <w:rtl/>
              </w:rPr>
              <w:fldChar w:fldCharType="separate"/>
            </w:r>
            <w:r w:rsidR="006A6D13">
              <w:rPr>
                <w:webHidden/>
                <w:rtl/>
              </w:rPr>
              <w:t>517</w:t>
            </w:r>
            <w:r w:rsidR="001171C7">
              <w:rPr>
                <w:webHidden/>
                <w:rtl/>
              </w:rPr>
              <w:fldChar w:fldCharType="end"/>
            </w:r>
          </w:hyperlink>
        </w:p>
        <w:p w:rsidR="001171C7" w:rsidRDefault="007978F4">
          <w:pPr>
            <w:pStyle w:val="TOC1"/>
            <w:rPr>
              <w:rFonts w:eastAsiaTheme="minorEastAsia" w:cstheme="minorBidi"/>
              <w:b w:val="0"/>
              <w:bCs w:val="0"/>
              <w:rtl/>
            </w:rPr>
          </w:pPr>
          <w:hyperlink w:anchor="_Toc496175772" w:history="1">
            <w:r w:rsidR="001171C7" w:rsidRPr="00D35CC1">
              <w:rPr>
                <w:rStyle w:val="Hyperlink"/>
                <w:rFonts w:cs="Guttman Drogolin"/>
                <w:rtl/>
              </w:rPr>
              <w:t>רושם וציורים בכלי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Toc496175772 \h</w:instrText>
            </w:r>
            <w:r w:rsidR="001171C7">
              <w:rPr>
                <w:webHidden/>
                <w:rtl/>
              </w:rPr>
              <w:instrText xml:space="preserve"> </w:instrText>
            </w:r>
            <w:r w:rsidR="001171C7">
              <w:rPr>
                <w:webHidden/>
                <w:rtl/>
              </w:rPr>
            </w:r>
            <w:r w:rsidR="001171C7">
              <w:rPr>
                <w:webHidden/>
                <w:rtl/>
              </w:rPr>
              <w:fldChar w:fldCharType="separate"/>
            </w:r>
            <w:r w:rsidR="006A6D13">
              <w:rPr>
                <w:webHidden/>
                <w:rtl/>
              </w:rPr>
              <w:t>517</w:t>
            </w:r>
            <w:r w:rsidR="001171C7">
              <w:rPr>
                <w:webHidden/>
                <w:rtl/>
              </w:rPr>
              <w:fldChar w:fldCharType="end"/>
            </w:r>
          </w:hyperlink>
        </w:p>
        <w:p w:rsidR="001171C7" w:rsidRDefault="007978F4">
          <w:pPr>
            <w:pStyle w:val="TOC1"/>
            <w:rPr>
              <w:rFonts w:eastAsiaTheme="minorEastAsia" w:cstheme="minorBidi"/>
              <w:b w:val="0"/>
              <w:bCs w:val="0"/>
              <w:rtl/>
            </w:rPr>
          </w:pPr>
          <w:hyperlink w:anchor="_Toc496175773" w:history="1">
            <w:r w:rsidR="001171C7" w:rsidRPr="00D35CC1">
              <w:rPr>
                <w:rStyle w:val="Hyperlink"/>
                <w:rFonts w:cs="Guttman Drogolin"/>
                <w:rtl/>
              </w:rPr>
              <w:t>הכשר כלים ע"י זיעה (אדים – מכשיר קיטור)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Toc496175773 \h</w:instrText>
            </w:r>
            <w:r w:rsidR="001171C7">
              <w:rPr>
                <w:webHidden/>
                <w:rtl/>
              </w:rPr>
              <w:instrText xml:space="preserve"> </w:instrText>
            </w:r>
            <w:r w:rsidR="001171C7">
              <w:rPr>
                <w:webHidden/>
                <w:rtl/>
              </w:rPr>
            </w:r>
            <w:r w:rsidR="001171C7">
              <w:rPr>
                <w:webHidden/>
                <w:rtl/>
              </w:rPr>
              <w:fldChar w:fldCharType="separate"/>
            </w:r>
            <w:r w:rsidR="006A6D13">
              <w:rPr>
                <w:webHidden/>
                <w:rtl/>
              </w:rPr>
              <w:t>518</w:t>
            </w:r>
            <w:r w:rsidR="001171C7">
              <w:rPr>
                <w:webHidden/>
                <w:rtl/>
              </w:rPr>
              <w:fldChar w:fldCharType="end"/>
            </w:r>
          </w:hyperlink>
        </w:p>
        <w:p w:rsidR="001171C7" w:rsidRDefault="007978F4">
          <w:pPr>
            <w:pStyle w:val="TOC1"/>
            <w:rPr>
              <w:rFonts w:eastAsiaTheme="minorEastAsia" w:cstheme="minorBidi"/>
              <w:b w:val="0"/>
              <w:bCs w:val="0"/>
              <w:rtl/>
            </w:rPr>
          </w:pPr>
          <w:hyperlink w:anchor="_Toc496175774" w:history="1">
            <w:r w:rsidR="001171C7" w:rsidRPr="00D35CC1">
              <w:rPr>
                <w:rStyle w:val="Hyperlink"/>
                <w:rFonts w:cs="Guttman Drogolin"/>
                <w:rtl/>
              </w:rPr>
              <w:t>בענין הכיסוי שעל החררה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Toc496175774 \h</w:instrText>
            </w:r>
            <w:r w:rsidR="001171C7">
              <w:rPr>
                <w:webHidden/>
                <w:rtl/>
              </w:rPr>
              <w:instrText xml:space="preserve"> </w:instrText>
            </w:r>
            <w:r w:rsidR="001171C7">
              <w:rPr>
                <w:webHidden/>
                <w:rtl/>
              </w:rPr>
            </w:r>
            <w:r w:rsidR="001171C7">
              <w:rPr>
                <w:webHidden/>
                <w:rtl/>
              </w:rPr>
              <w:fldChar w:fldCharType="separate"/>
            </w:r>
            <w:r w:rsidR="006A6D13">
              <w:rPr>
                <w:webHidden/>
                <w:rtl/>
              </w:rPr>
              <w:t>518</w:t>
            </w:r>
            <w:r w:rsidR="001171C7">
              <w:rPr>
                <w:webHidden/>
                <w:rtl/>
              </w:rPr>
              <w:fldChar w:fldCharType="end"/>
            </w:r>
          </w:hyperlink>
        </w:p>
        <w:p w:rsidR="001171C7" w:rsidRDefault="007978F4">
          <w:pPr>
            <w:pStyle w:val="TOC1"/>
            <w:rPr>
              <w:rFonts w:eastAsiaTheme="minorEastAsia" w:cstheme="minorBidi"/>
              <w:b w:val="0"/>
              <w:bCs w:val="0"/>
              <w:rtl/>
            </w:rPr>
          </w:pPr>
          <w:hyperlink w:anchor="_Toc496175775" w:history="1">
            <w:r w:rsidR="001171C7" w:rsidRPr="00D35CC1">
              <w:rPr>
                <w:rStyle w:val="Hyperlink"/>
                <w:rFonts w:cs="Guttman Drogolin"/>
                <w:rtl/>
              </w:rPr>
              <w:t>דין המדוכה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Toc496175775 \h</w:instrText>
            </w:r>
            <w:r w:rsidR="001171C7">
              <w:rPr>
                <w:webHidden/>
                <w:rtl/>
              </w:rPr>
              <w:instrText xml:space="preserve"> </w:instrText>
            </w:r>
            <w:r w:rsidR="001171C7">
              <w:rPr>
                <w:webHidden/>
                <w:rtl/>
              </w:rPr>
            </w:r>
            <w:r w:rsidR="001171C7">
              <w:rPr>
                <w:webHidden/>
                <w:rtl/>
              </w:rPr>
              <w:fldChar w:fldCharType="separate"/>
            </w:r>
            <w:r w:rsidR="006A6D13">
              <w:rPr>
                <w:webHidden/>
                <w:rtl/>
              </w:rPr>
              <w:t>520</w:t>
            </w:r>
            <w:r w:rsidR="001171C7">
              <w:rPr>
                <w:webHidden/>
                <w:rtl/>
              </w:rPr>
              <w:fldChar w:fldCharType="end"/>
            </w:r>
          </w:hyperlink>
        </w:p>
        <w:p w:rsidR="001171C7" w:rsidRDefault="007978F4">
          <w:pPr>
            <w:pStyle w:val="TOC1"/>
            <w:rPr>
              <w:rFonts w:eastAsiaTheme="minorEastAsia" w:cstheme="minorBidi"/>
              <w:b w:val="0"/>
              <w:bCs w:val="0"/>
              <w:rtl/>
            </w:rPr>
          </w:pPr>
          <w:hyperlink w:anchor="_Toc496175776" w:history="1">
            <w:r w:rsidR="001171C7" w:rsidRPr="00D35CC1">
              <w:rPr>
                <w:rStyle w:val="Hyperlink"/>
                <w:rFonts w:cs="Guttman Drogolin"/>
                <w:rtl/>
              </w:rPr>
              <w:t>הגעלה ע"י הכנסת אבן רותחת למים חמין שלא ע"ג האש</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Toc496175776 \h</w:instrText>
            </w:r>
            <w:r w:rsidR="001171C7">
              <w:rPr>
                <w:webHidden/>
                <w:rtl/>
              </w:rPr>
              <w:instrText xml:space="preserve"> </w:instrText>
            </w:r>
            <w:r w:rsidR="001171C7">
              <w:rPr>
                <w:webHidden/>
                <w:rtl/>
              </w:rPr>
            </w:r>
            <w:r w:rsidR="001171C7">
              <w:rPr>
                <w:webHidden/>
                <w:rtl/>
              </w:rPr>
              <w:fldChar w:fldCharType="separate"/>
            </w:r>
            <w:r w:rsidR="006A6D13">
              <w:rPr>
                <w:webHidden/>
                <w:rtl/>
              </w:rPr>
              <w:t>520</w:t>
            </w:r>
            <w:r w:rsidR="001171C7">
              <w:rPr>
                <w:webHidden/>
                <w:rtl/>
              </w:rPr>
              <w:fldChar w:fldCharType="end"/>
            </w:r>
          </w:hyperlink>
        </w:p>
        <w:p w:rsidR="001171C7" w:rsidRDefault="007978F4">
          <w:pPr>
            <w:pStyle w:val="TOC1"/>
            <w:rPr>
              <w:rFonts w:eastAsiaTheme="minorEastAsia" w:cstheme="minorBidi"/>
              <w:b w:val="0"/>
              <w:bCs w:val="0"/>
              <w:rtl/>
            </w:rPr>
          </w:pPr>
          <w:hyperlink w:anchor="_Toc496175777" w:history="1">
            <w:r w:rsidR="001171C7" w:rsidRPr="00D35CC1">
              <w:rPr>
                <w:rStyle w:val="Hyperlink"/>
                <w:rFonts w:cs="Guttman Drogolin"/>
                <w:rtl/>
              </w:rPr>
              <w:t>הכשר מפות ומגבות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Toc496175777 \h</w:instrText>
            </w:r>
            <w:r w:rsidR="001171C7">
              <w:rPr>
                <w:webHidden/>
                <w:rtl/>
              </w:rPr>
              <w:instrText xml:space="preserve"> </w:instrText>
            </w:r>
            <w:r w:rsidR="001171C7">
              <w:rPr>
                <w:webHidden/>
                <w:rtl/>
              </w:rPr>
            </w:r>
            <w:r w:rsidR="001171C7">
              <w:rPr>
                <w:webHidden/>
                <w:rtl/>
              </w:rPr>
              <w:fldChar w:fldCharType="separate"/>
            </w:r>
            <w:r w:rsidR="006A6D13">
              <w:rPr>
                <w:webHidden/>
                <w:rtl/>
              </w:rPr>
              <w:t>520</w:t>
            </w:r>
            <w:r w:rsidR="001171C7">
              <w:rPr>
                <w:webHidden/>
                <w:rtl/>
              </w:rPr>
              <w:fldChar w:fldCharType="end"/>
            </w:r>
          </w:hyperlink>
        </w:p>
        <w:p w:rsidR="001171C7" w:rsidRDefault="007978F4">
          <w:pPr>
            <w:pStyle w:val="TOC1"/>
            <w:rPr>
              <w:rFonts w:eastAsiaTheme="minorEastAsia" w:cstheme="minorBidi"/>
              <w:b w:val="0"/>
              <w:bCs w:val="0"/>
              <w:rtl/>
            </w:rPr>
          </w:pPr>
          <w:hyperlink w:anchor="_Toc496175778" w:history="1">
            <w:r w:rsidR="001171C7" w:rsidRPr="00D35CC1">
              <w:rPr>
                <w:rStyle w:val="Hyperlink"/>
                <w:rFonts w:cs="Guttman Drogolin"/>
                <w:rtl/>
              </w:rPr>
              <w:t>דין הרחת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Toc496175778 \h</w:instrText>
            </w:r>
            <w:r w:rsidR="001171C7">
              <w:rPr>
                <w:webHidden/>
                <w:rtl/>
              </w:rPr>
              <w:instrText xml:space="preserve"> </w:instrText>
            </w:r>
            <w:r w:rsidR="001171C7">
              <w:rPr>
                <w:webHidden/>
                <w:rtl/>
              </w:rPr>
            </w:r>
            <w:r w:rsidR="001171C7">
              <w:rPr>
                <w:webHidden/>
                <w:rtl/>
              </w:rPr>
              <w:fldChar w:fldCharType="separate"/>
            </w:r>
            <w:r w:rsidR="006A6D13">
              <w:rPr>
                <w:webHidden/>
                <w:rtl/>
              </w:rPr>
              <w:t>522</w:t>
            </w:r>
            <w:r w:rsidR="001171C7">
              <w:rPr>
                <w:webHidden/>
                <w:rtl/>
              </w:rPr>
              <w:fldChar w:fldCharType="end"/>
            </w:r>
          </w:hyperlink>
        </w:p>
        <w:p w:rsidR="001171C7" w:rsidRDefault="007978F4">
          <w:pPr>
            <w:pStyle w:val="TOC1"/>
            <w:rPr>
              <w:rFonts w:eastAsiaTheme="minorEastAsia" w:cstheme="minorBidi"/>
              <w:b w:val="0"/>
              <w:bCs w:val="0"/>
              <w:rtl/>
            </w:rPr>
          </w:pPr>
          <w:hyperlink w:anchor="_Toc496175779" w:history="1">
            <w:r w:rsidR="001171C7" w:rsidRPr="00D35CC1">
              <w:rPr>
                <w:rStyle w:val="Hyperlink"/>
                <w:rFonts w:cs="Guttman Drogolin"/>
                <w:rtl/>
              </w:rPr>
              <w:t>שולחנות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Toc496175779 \h</w:instrText>
            </w:r>
            <w:r w:rsidR="001171C7">
              <w:rPr>
                <w:webHidden/>
                <w:rtl/>
              </w:rPr>
              <w:instrText xml:space="preserve"> </w:instrText>
            </w:r>
            <w:r w:rsidR="001171C7">
              <w:rPr>
                <w:webHidden/>
                <w:rtl/>
              </w:rPr>
            </w:r>
            <w:r w:rsidR="001171C7">
              <w:rPr>
                <w:webHidden/>
                <w:rtl/>
              </w:rPr>
              <w:fldChar w:fldCharType="separate"/>
            </w:r>
            <w:r w:rsidR="006A6D13">
              <w:rPr>
                <w:webHidden/>
                <w:rtl/>
              </w:rPr>
              <w:t>523</w:t>
            </w:r>
            <w:r w:rsidR="001171C7">
              <w:rPr>
                <w:webHidden/>
                <w:rtl/>
              </w:rPr>
              <w:fldChar w:fldCharType="end"/>
            </w:r>
          </w:hyperlink>
        </w:p>
        <w:p w:rsidR="001171C7" w:rsidRDefault="007978F4">
          <w:pPr>
            <w:pStyle w:val="TOC1"/>
            <w:rPr>
              <w:rFonts w:eastAsiaTheme="minorEastAsia" w:cstheme="minorBidi"/>
              <w:b w:val="0"/>
              <w:bCs w:val="0"/>
              <w:rtl/>
            </w:rPr>
          </w:pPr>
          <w:hyperlink w:anchor="_Toc496175780" w:history="1">
            <w:r w:rsidR="001171C7" w:rsidRPr="00D35CC1">
              <w:rPr>
                <w:rStyle w:val="Hyperlink"/>
                <w:rFonts w:cs="Guttman Drogolin"/>
                <w:rtl/>
              </w:rPr>
              <w:t>הכשר כלי חרס ע"י מילוי ועירוי ג' ימים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Toc496175780 \h</w:instrText>
            </w:r>
            <w:r w:rsidR="001171C7">
              <w:rPr>
                <w:webHidden/>
                <w:rtl/>
              </w:rPr>
              <w:instrText xml:space="preserve"> </w:instrText>
            </w:r>
            <w:r w:rsidR="001171C7">
              <w:rPr>
                <w:webHidden/>
                <w:rtl/>
              </w:rPr>
            </w:r>
            <w:r w:rsidR="001171C7">
              <w:rPr>
                <w:webHidden/>
                <w:rtl/>
              </w:rPr>
              <w:fldChar w:fldCharType="separate"/>
            </w:r>
            <w:r w:rsidR="006A6D13">
              <w:rPr>
                <w:webHidden/>
                <w:rtl/>
              </w:rPr>
              <w:t>525</w:t>
            </w:r>
            <w:r w:rsidR="001171C7">
              <w:rPr>
                <w:webHidden/>
                <w:rtl/>
              </w:rPr>
              <w:fldChar w:fldCharType="end"/>
            </w:r>
          </w:hyperlink>
        </w:p>
        <w:p w:rsidR="001171C7" w:rsidRDefault="007978F4">
          <w:pPr>
            <w:pStyle w:val="TOC1"/>
            <w:rPr>
              <w:rFonts w:eastAsiaTheme="minorEastAsia" w:cstheme="minorBidi"/>
              <w:b w:val="0"/>
              <w:bCs w:val="0"/>
              <w:rtl/>
            </w:rPr>
          </w:pPr>
          <w:hyperlink w:anchor="_Toc496175781" w:history="1">
            <w:r w:rsidR="001171C7" w:rsidRPr="00D35CC1">
              <w:rPr>
                <w:rStyle w:val="Hyperlink"/>
                <w:rFonts w:cs="Guttman Drogolin"/>
                <w:rtl/>
              </w:rPr>
              <w:t>היכי קיי"ל לענין כלי חרס שהשתמש בה בצונן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Toc496175781 \h</w:instrText>
            </w:r>
            <w:r w:rsidR="001171C7">
              <w:rPr>
                <w:webHidden/>
                <w:rtl/>
              </w:rPr>
              <w:instrText xml:space="preserve"> </w:instrText>
            </w:r>
            <w:r w:rsidR="001171C7">
              <w:rPr>
                <w:webHidden/>
                <w:rtl/>
              </w:rPr>
            </w:r>
            <w:r w:rsidR="001171C7">
              <w:rPr>
                <w:webHidden/>
                <w:rtl/>
              </w:rPr>
              <w:fldChar w:fldCharType="separate"/>
            </w:r>
            <w:r w:rsidR="006A6D13">
              <w:rPr>
                <w:webHidden/>
                <w:rtl/>
              </w:rPr>
              <w:t>526</w:t>
            </w:r>
            <w:r w:rsidR="001171C7">
              <w:rPr>
                <w:webHidden/>
                <w:rtl/>
              </w:rPr>
              <w:fldChar w:fldCharType="end"/>
            </w:r>
          </w:hyperlink>
        </w:p>
        <w:p w:rsidR="001171C7" w:rsidRDefault="007978F4">
          <w:pPr>
            <w:pStyle w:val="TOC1"/>
            <w:rPr>
              <w:rFonts w:eastAsiaTheme="minorEastAsia" w:cstheme="minorBidi"/>
              <w:b w:val="0"/>
              <w:bCs w:val="0"/>
              <w:rtl/>
            </w:rPr>
          </w:pPr>
          <w:hyperlink w:anchor="_Toc496175782" w:history="1">
            <w:r w:rsidR="001171C7" w:rsidRPr="00D35CC1">
              <w:rPr>
                <w:rStyle w:val="Hyperlink"/>
                <w:rFonts w:cs="Guttman Drogolin"/>
                <w:rtl/>
              </w:rPr>
              <w:t>הכשר התנור לפסח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Toc496175782 \h</w:instrText>
            </w:r>
            <w:r w:rsidR="001171C7">
              <w:rPr>
                <w:webHidden/>
                <w:rtl/>
              </w:rPr>
              <w:instrText xml:space="preserve"> </w:instrText>
            </w:r>
            <w:r w:rsidR="001171C7">
              <w:rPr>
                <w:webHidden/>
                <w:rtl/>
              </w:rPr>
            </w:r>
            <w:r w:rsidR="001171C7">
              <w:rPr>
                <w:webHidden/>
                <w:rtl/>
              </w:rPr>
              <w:fldChar w:fldCharType="separate"/>
            </w:r>
            <w:r w:rsidR="006A6D13">
              <w:rPr>
                <w:webHidden/>
                <w:rtl/>
              </w:rPr>
              <w:t>527</w:t>
            </w:r>
            <w:r w:rsidR="001171C7">
              <w:rPr>
                <w:webHidden/>
                <w:rtl/>
              </w:rPr>
              <w:fldChar w:fldCharType="end"/>
            </w:r>
          </w:hyperlink>
        </w:p>
        <w:p w:rsidR="001171C7" w:rsidRDefault="007978F4">
          <w:pPr>
            <w:pStyle w:val="TOC1"/>
            <w:rPr>
              <w:rFonts w:eastAsiaTheme="minorEastAsia" w:cstheme="minorBidi"/>
              <w:b w:val="0"/>
              <w:bCs w:val="0"/>
              <w:rtl/>
            </w:rPr>
          </w:pPr>
          <w:hyperlink w:anchor="_Toc496175783" w:history="1">
            <w:r w:rsidR="001171C7" w:rsidRPr="00D35CC1">
              <w:rPr>
                <w:rStyle w:val="Hyperlink"/>
                <w:rFonts w:cs="Guttman Drogolin"/>
                <w:rtl/>
              </w:rPr>
              <w:t>כלי שתיי', וכלי זכוכית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Toc496175783 \h</w:instrText>
            </w:r>
            <w:r w:rsidR="001171C7">
              <w:rPr>
                <w:webHidden/>
                <w:rtl/>
              </w:rPr>
              <w:instrText xml:space="preserve"> </w:instrText>
            </w:r>
            <w:r w:rsidR="001171C7">
              <w:rPr>
                <w:webHidden/>
                <w:rtl/>
              </w:rPr>
            </w:r>
            <w:r w:rsidR="001171C7">
              <w:rPr>
                <w:webHidden/>
                <w:rtl/>
              </w:rPr>
              <w:fldChar w:fldCharType="separate"/>
            </w:r>
            <w:r w:rsidR="006A6D13">
              <w:rPr>
                <w:webHidden/>
                <w:rtl/>
              </w:rPr>
              <w:t>529</w:t>
            </w:r>
            <w:r w:rsidR="001171C7">
              <w:rPr>
                <w:webHidden/>
                <w:rtl/>
              </w:rPr>
              <w:fldChar w:fldCharType="end"/>
            </w:r>
          </w:hyperlink>
        </w:p>
        <w:p w:rsidR="001171C7" w:rsidRDefault="007978F4">
          <w:pPr>
            <w:pStyle w:val="TOC1"/>
            <w:rPr>
              <w:rFonts w:eastAsiaTheme="minorEastAsia" w:cstheme="minorBidi"/>
              <w:b w:val="0"/>
              <w:bCs w:val="0"/>
              <w:rtl/>
            </w:rPr>
          </w:pPr>
          <w:hyperlink w:anchor="_Toc496175784" w:history="1">
            <w:r w:rsidR="001171C7" w:rsidRPr="00D35CC1">
              <w:rPr>
                <w:rStyle w:val="Hyperlink"/>
                <w:rFonts w:cs="Guttman Drogolin"/>
                <w:rtl/>
              </w:rPr>
              <w:t>הגעלת כלים חדשים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Toc496175784 \h</w:instrText>
            </w:r>
            <w:r w:rsidR="001171C7">
              <w:rPr>
                <w:webHidden/>
                <w:rtl/>
              </w:rPr>
              <w:instrText xml:space="preserve"> </w:instrText>
            </w:r>
            <w:r w:rsidR="001171C7">
              <w:rPr>
                <w:webHidden/>
                <w:rtl/>
              </w:rPr>
            </w:r>
            <w:r w:rsidR="001171C7">
              <w:rPr>
                <w:webHidden/>
                <w:rtl/>
              </w:rPr>
              <w:fldChar w:fldCharType="separate"/>
            </w:r>
            <w:r w:rsidR="006A6D13">
              <w:rPr>
                <w:webHidden/>
                <w:rtl/>
              </w:rPr>
              <w:t>530</w:t>
            </w:r>
            <w:r w:rsidR="001171C7">
              <w:rPr>
                <w:webHidden/>
                <w:rtl/>
              </w:rPr>
              <w:fldChar w:fldCharType="end"/>
            </w:r>
          </w:hyperlink>
        </w:p>
        <w:p w:rsidR="001171C7" w:rsidRDefault="007978F4">
          <w:pPr>
            <w:pStyle w:val="TOC1"/>
            <w:rPr>
              <w:rFonts w:eastAsiaTheme="minorEastAsia" w:cstheme="minorBidi"/>
              <w:b w:val="0"/>
              <w:bCs w:val="0"/>
              <w:rtl/>
            </w:rPr>
          </w:pPr>
          <w:hyperlink w:anchor="_Toc496175785" w:history="1">
            <w:r w:rsidR="001171C7" w:rsidRPr="00D35CC1">
              <w:rPr>
                <w:rStyle w:val="Hyperlink"/>
                <w:rFonts w:cs="Guttman Drogolin"/>
                <w:rtl/>
              </w:rPr>
              <w:t>הגעלת טבעות הנשים לפסח</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Toc496175785 \h</w:instrText>
            </w:r>
            <w:r w:rsidR="001171C7">
              <w:rPr>
                <w:webHidden/>
                <w:rtl/>
              </w:rPr>
              <w:instrText xml:space="preserve"> </w:instrText>
            </w:r>
            <w:r w:rsidR="001171C7">
              <w:rPr>
                <w:webHidden/>
                <w:rtl/>
              </w:rPr>
            </w:r>
            <w:r w:rsidR="001171C7">
              <w:rPr>
                <w:webHidden/>
                <w:rtl/>
              </w:rPr>
              <w:fldChar w:fldCharType="separate"/>
            </w:r>
            <w:r w:rsidR="006A6D13">
              <w:rPr>
                <w:webHidden/>
                <w:rtl/>
              </w:rPr>
              <w:t>531</w:t>
            </w:r>
            <w:r w:rsidR="001171C7">
              <w:rPr>
                <w:webHidden/>
                <w:rtl/>
              </w:rPr>
              <w:fldChar w:fldCharType="end"/>
            </w:r>
          </w:hyperlink>
        </w:p>
        <w:p w:rsidR="00B8771A" w:rsidRPr="003043CD" w:rsidRDefault="00B8771A" w:rsidP="00B8771A">
          <w:pPr>
            <w:pStyle w:val="TOC1"/>
            <w:spacing w:before="240"/>
            <w:rPr>
              <w:rStyle w:val="Hyperlink"/>
              <w:color w:val="auto"/>
              <w:sz w:val="28"/>
              <w:szCs w:val="28"/>
              <w:rtl/>
            </w:rPr>
          </w:pPr>
          <w:r>
            <w:rPr>
              <w:rStyle w:val="Hyperlink"/>
              <w:rFonts w:hint="cs"/>
              <w:color w:val="auto"/>
              <w:sz w:val="28"/>
              <w:szCs w:val="28"/>
              <w:rtl/>
            </w:rPr>
            <w:t>יורה דעה סי' קכ"ב</w:t>
          </w:r>
        </w:p>
        <w:p w:rsidR="001171C7" w:rsidRDefault="007978F4">
          <w:pPr>
            <w:pStyle w:val="TOC1"/>
            <w:rPr>
              <w:rFonts w:eastAsiaTheme="minorEastAsia" w:cstheme="minorBidi"/>
              <w:b w:val="0"/>
              <w:bCs w:val="0"/>
              <w:rtl/>
            </w:rPr>
          </w:pPr>
          <w:hyperlink w:anchor="_Toc496175786" w:history="1">
            <w:r w:rsidR="001171C7" w:rsidRPr="00D35CC1">
              <w:rPr>
                <w:rStyle w:val="Hyperlink"/>
                <w:rFonts w:cs="Guttman Drogolin"/>
                <w:rtl/>
              </w:rPr>
              <w:t>בדין סתם כלים אינן בני יומן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Toc496175786 \h</w:instrText>
            </w:r>
            <w:r w:rsidR="001171C7">
              <w:rPr>
                <w:webHidden/>
                <w:rtl/>
              </w:rPr>
              <w:instrText xml:space="preserve"> </w:instrText>
            </w:r>
            <w:r w:rsidR="001171C7">
              <w:rPr>
                <w:webHidden/>
                <w:rtl/>
              </w:rPr>
            </w:r>
            <w:r w:rsidR="001171C7">
              <w:rPr>
                <w:webHidden/>
                <w:rtl/>
              </w:rPr>
              <w:fldChar w:fldCharType="separate"/>
            </w:r>
            <w:r w:rsidR="006A6D13">
              <w:rPr>
                <w:webHidden/>
                <w:rtl/>
              </w:rPr>
              <w:t>532</w:t>
            </w:r>
            <w:r w:rsidR="001171C7">
              <w:rPr>
                <w:webHidden/>
                <w:rtl/>
              </w:rPr>
              <w:fldChar w:fldCharType="end"/>
            </w:r>
          </w:hyperlink>
        </w:p>
        <w:p w:rsidR="001171C7" w:rsidRDefault="007978F4">
          <w:pPr>
            <w:pStyle w:val="TOC1"/>
            <w:rPr>
              <w:rFonts w:eastAsiaTheme="minorEastAsia" w:cstheme="minorBidi"/>
              <w:b w:val="0"/>
              <w:bCs w:val="0"/>
              <w:rtl/>
            </w:rPr>
          </w:pPr>
          <w:hyperlink w:anchor="_Toc496175787" w:history="1">
            <w:r w:rsidR="001171C7" w:rsidRPr="00D35CC1">
              <w:rPr>
                <w:rStyle w:val="Hyperlink"/>
                <w:rFonts w:cs="Guttman Drogolin"/>
                <w:rtl/>
              </w:rPr>
              <w:t>חימם מים בכלי שאינו בן יומו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Toc496175787 \h</w:instrText>
            </w:r>
            <w:r w:rsidR="001171C7">
              <w:rPr>
                <w:webHidden/>
                <w:rtl/>
              </w:rPr>
              <w:instrText xml:space="preserve"> </w:instrText>
            </w:r>
            <w:r w:rsidR="001171C7">
              <w:rPr>
                <w:webHidden/>
                <w:rtl/>
              </w:rPr>
            </w:r>
            <w:r w:rsidR="001171C7">
              <w:rPr>
                <w:webHidden/>
                <w:rtl/>
              </w:rPr>
              <w:fldChar w:fldCharType="separate"/>
            </w:r>
            <w:r w:rsidR="006A6D13">
              <w:rPr>
                <w:webHidden/>
                <w:rtl/>
              </w:rPr>
              <w:t>534</w:t>
            </w:r>
            <w:r w:rsidR="001171C7">
              <w:rPr>
                <w:webHidden/>
                <w:rtl/>
              </w:rPr>
              <w:fldChar w:fldCharType="end"/>
            </w:r>
          </w:hyperlink>
        </w:p>
        <w:p w:rsidR="001171C7" w:rsidRDefault="007978F4">
          <w:pPr>
            <w:pStyle w:val="TOC1"/>
            <w:rPr>
              <w:rFonts w:eastAsiaTheme="minorEastAsia" w:cstheme="minorBidi"/>
              <w:b w:val="0"/>
              <w:bCs w:val="0"/>
              <w:rtl/>
            </w:rPr>
          </w:pPr>
          <w:hyperlink w:anchor="_Toc496175788" w:history="1">
            <w:r w:rsidR="001171C7" w:rsidRPr="00D35CC1">
              <w:rPr>
                <w:rStyle w:val="Hyperlink"/>
                <w:rFonts w:cs="Guttman Drogolin"/>
                <w:rtl/>
              </w:rPr>
              <w:t>אם מותר לומר לנכרי לבשל לו מאכלים בכלים של שאינן בני יומן</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Toc496175788 \h</w:instrText>
            </w:r>
            <w:r w:rsidR="001171C7">
              <w:rPr>
                <w:webHidden/>
                <w:rtl/>
              </w:rPr>
              <w:instrText xml:space="preserve"> </w:instrText>
            </w:r>
            <w:r w:rsidR="001171C7">
              <w:rPr>
                <w:webHidden/>
                <w:rtl/>
              </w:rPr>
            </w:r>
            <w:r w:rsidR="001171C7">
              <w:rPr>
                <w:webHidden/>
                <w:rtl/>
              </w:rPr>
              <w:fldChar w:fldCharType="separate"/>
            </w:r>
            <w:r w:rsidR="006A6D13">
              <w:rPr>
                <w:webHidden/>
                <w:rtl/>
              </w:rPr>
              <w:t>534</w:t>
            </w:r>
            <w:r w:rsidR="001171C7">
              <w:rPr>
                <w:webHidden/>
                <w:rtl/>
              </w:rPr>
              <w:fldChar w:fldCharType="end"/>
            </w:r>
          </w:hyperlink>
        </w:p>
        <w:p w:rsidR="00B8771A" w:rsidRPr="003043CD" w:rsidRDefault="00B8771A" w:rsidP="00B8771A">
          <w:pPr>
            <w:pStyle w:val="TOC1"/>
            <w:spacing w:before="240"/>
            <w:rPr>
              <w:rStyle w:val="Hyperlink"/>
              <w:color w:val="auto"/>
              <w:sz w:val="28"/>
              <w:szCs w:val="28"/>
              <w:rtl/>
            </w:rPr>
          </w:pPr>
          <w:r>
            <w:rPr>
              <w:rStyle w:val="Hyperlink"/>
              <w:rFonts w:hint="cs"/>
              <w:color w:val="auto"/>
              <w:sz w:val="28"/>
              <w:szCs w:val="28"/>
              <w:rtl/>
            </w:rPr>
            <w:t>חלב, חמאה, וגבינת עכו"ם</w:t>
          </w:r>
        </w:p>
        <w:p w:rsidR="001171C7" w:rsidRDefault="007978F4">
          <w:pPr>
            <w:pStyle w:val="TOC1"/>
            <w:rPr>
              <w:rFonts w:eastAsiaTheme="minorEastAsia" w:cstheme="minorBidi"/>
              <w:b w:val="0"/>
              <w:bCs w:val="0"/>
              <w:rtl/>
            </w:rPr>
          </w:pPr>
          <w:hyperlink w:anchor="_Toc496175789" w:history="1">
            <w:r w:rsidR="001171C7" w:rsidRPr="00D35CC1">
              <w:rPr>
                <w:rStyle w:val="Hyperlink"/>
                <w:rFonts w:asciiTheme="majorHAnsi" w:eastAsiaTheme="majorEastAsia" w:hAnsiTheme="majorHAnsi" w:cs="Guttman Drogolin"/>
                <w:rtl/>
              </w:rPr>
              <w:t>טעם וגדר האיסור של חלב וגבינת עכו"ם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Toc496175789 \h</w:instrText>
            </w:r>
            <w:r w:rsidR="001171C7">
              <w:rPr>
                <w:webHidden/>
                <w:rtl/>
              </w:rPr>
              <w:instrText xml:space="preserve"> </w:instrText>
            </w:r>
            <w:r w:rsidR="001171C7">
              <w:rPr>
                <w:webHidden/>
                <w:rtl/>
              </w:rPr>
            </w:r>
            <w:r w:rsidR="001171C7">
              <w:rPr>
                <w:webHidden/>
                <w:rtl/>
              </w:rPr>
              <w:fldChar w:fldCharType="separate"/>
            </w:r>
            <w:r w:rsidR="006A6D13">
              <w:rPr>
                <w:webHidden/>
                <w:rtl/>
              </w:rPr>
              <w:t>535</w:t>
            </w:r>
            <w:r w:rsidR="001171C7">
              <w:rPr>
                <w:webHidden/>
                <w:rtl/>
              </w:rPr>
              <w:fldChar w:fldCharType="end"/>
            </w:r>
          </w:hyperlink>
        </w:p>
        <w:p w:rsidR="001171C7" w:rsidRDefault="007978F4">
          <w:pPr>
            <w:pStyle w:val="TOC1"/>
            <w:rPr>
              <w:rFonts w:eastAsiaTheme="minorEastAsia" w:cstheme="minorBidi"/>
              <w:b w:val="0"/>
              <w:bCs w:val="0"/>
              <w:rtl/>
            </w:rPr>
          </w:pPr>
          <w:hyperlink w:anchor="_Toc496175790" w:history="1">
            <w:r w:rsidR="001171C7" w:rsidRPr="00D35CC1">
              <w:rPr>
                <w:rStyle w:val="Hyperlink"/>
                <w:rFonts w:asciiTheme="majorHAnsi" w:eastAsiaTheme="majorEastAsia" w:hAnsiTheme="majorHAnsi" w:cs="Guttman Drogolin"/>
                <w:rtl/>
              </w:rPr>
              <w:t>שיטות הראשונים למעשה בדין גבינת עכו"ם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Toc496175790 \h</w:instrText>
            </w:r>
            <w:r w:rsidR="001171C7">
              <w:rPr>
                <w:webHidden/>
                <w:rtl/>
              </w:rPr>
              <w:instrText xml:space="preserve"> </w:instrText>
            </w:r>
            <w:r w:rsidR="001171C7">
              <w:rPr>
                <w:webHidden/>
                <w:rtl/>
              </w:rPr>
            </w:r>
            <w:r w:rsidR="001171C7">
              <w:rPr>
                <w:webHidden/>
                <w:rtl/>
              </w:rPr>
              <w:fldChar w:fldCharType="separate"/>
            </w:r>
            <w:r w:rsidR="006A6D13">
              <w:rPr>
                <w:webHidden/>
                <w:rtl/>
              </w:rPr>
              <w:t>539</w:t>
            </w:r>
            <w:r w:rsidR="001171C7">
              <w:rPr>
                <w:webHidden/>
                <w:rtl/>
              </w:rPr>
              <w:fldChar w:fldCharType="end"/>
            </w:r>
          </w:hyperlink>
        </w:p>
        <w:p w:rsidR="001171C7" w:rsidRDefault="007978F4">
          <w:pPr>
            <w:pStyle w:val="TOC1"/>
            <w:rPr>
              <w:rFonts w:eastAsiaTheme="minorEastAsia" w:cstheme="minorBidi"/>
              <w:b w:val="0"/>
              <w:bCs w:val="0"/>
              <w:rtl/>
            </w:rPr>
          </w:pPr>
          <w:hyperlink w:anchor="_Toc496175791" w:history="1">
            <w:r w:rsidR="001171C7" w:rsidRPr="00D35CC1">
              <w:rPr>
                <w:rStyle w:val="Hyperlink"/>
                <w:rFonts w:asciiTheme="majorHAnsi" w:eastAsiaTheme="majorEastAsia" w:hAnsiTheme="majorHAnsi" w:cs="Guttman Drogolin"/>
                <w:rtl/>
              </w:rPr>
              <w:t>חמאת עכו"ם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Toc496175791 \h</w:instrText>
            </w:r>
            <w:r w:rsidR="001171C7">
              <w:rPr>
                <w:webHidden/>
                <w:rtl/>
              </w:rPr>
              <w:instrText xml:space="preserve"> </w:instrText>
            </w:r>
            <w:r w:rsidR="001171C7">
              <w:rPr>
                <w:webHidden/>
                <w:rtl/>
              </w:rPr>
            </w:r>
            <w:r w:rsidR="001171C7">
              <w:rPr>
                <w:webHidden/>
                <w:rtl/>
              </w:rPr>
              <w:fldChar w:fldCharType="separate"/>
            </w:r>
            <w:r w:rsidR="006A6D13">
              <w:rPr>
                <w:webHidden/>
                <w:rtl/>
              </w:rPr>
              <w:t>540</w:t>
            </w:r>
            <w:r w:rsidR="001171C7">
              <w:rPr>
                <w:webHidden/>
                <w:rtl/>
              </w:rPr>
              <w:fldChar w:fldCharType="end"/>
            </w:r>
          </w:hyperlink>
        </w:p>
        <w:p w:rsidR="001171C7" w:rsidRDefault="007978F4">
          <w:pPr>
            <w:pStyle w:val="TOC1"/>
            <w:rPr>
              <w:rFonts w:eastAsiaTheme="minorEastAsia" w:cstheme="minorBidi"/>
              <w:b w:val="0"/>
              <w:bCs w:val="0"/>
              <w:rtl/>
            </w:rPr>
          </w:pPr>
          <w:hyperlink w:anchor="_Toc496175792" w:history="1">
            <w:r w:rsidR="001171C7" w:rsidRPr="00D35CC1">
              <w:rPr>
                <w:rStyle w:val="Hyperlink"/>
                <w:rFonts w:asciiTheme="majorHAnsi" w:eastAsiaTheme="majorEastAsia" w:hAnsiTheme="majorHAnsi" w:cs="Guttman Drogolin"/>
                <w:rtl/>
              </w:rPr>
              <w:t>טיהור חמאת עכו"ם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Toc496175792 \h</w:instrText>
            </w:r>
            <w:r w:rsidR="001171C7">
              <w:rPr>
                <w:webHidden/>
                <w:rtl/>
              </w:rPr>
              <w:instrText xml:space="preserve"> </w:instrText>
            </w:r>
            <w:r w:rsidR="001171C7">
              <w:rPr>
                <w:webHidden/>
                <w:rtl/>
              </w:rPr>
            </w:r>
            <w:r w:rsidR="001171C7">
              <w:rPr>
                <w:webHidden/>
                <w:rtl/>
              </w:rPr>
              <w:fldChar w:fldCharType="separate"/>
            </w:r>
            <w:r w:rsidR="006A6D13">
              <w:rPr>
                <w:webHidden/>
                <w:rtl/>
              </w:rPr>
              <w:t>541</w:t>
            </w:r>
            <w:r w:rsidR="001171C7">
              <w:rPr>
                <w:webHidden/>
                <w:rtl/>
              </w:rPr>
              <w:fldChar w:fldCharType="end"/>
            </w:r>
          </w:hyperlink>
        </w:p>
        <w:p w:rsidR="001171C7" w:rsidRDefault="007978F4">
          <w:pPr>
            <w:pStyle w:val="TOC1"/>
            <w:rPr>
              <w:rFonts w:eastAsiaTheme="minorEastAsia" w:cstheme="minorBidi"/>
              <w:b w:val="0"/>
              <w:bCs w:val="0"/>
              <w:rtl/>
            </w:rPr>
          </w:pPr>
          <w:hyperlink w:anchor="_Toc496175793" w:history="1">
            <w:r w:rsidR="001171C7" w:rsidRPr="00D35CC1">
              <w:rPr>
                <w:rStyle w:val="Hyperlink"/>
                <w:rFonts w:asciiTheme="majorHAnsi" w:eastAsiaTheme="majorEastAsia" w:hAnsiTheme="majorHAnsi" w:cs="Guttman Drogolin"/>
                <w:rtl/>
              </w:rPr>
              <w:t>אי מהני ראיית ישראל לגבינת עכו"ם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Toc496175793 \h</w:instrText>
            </w:r>
            <w:r w:rsidR="001171C7">
              <w:rPr>
                <w:webHidden/>
                <w:rtl/>
              </w:rPr>
              <w:instrText xml:space="preserve"> </w:instrText>
            </w:r>
            <w:r w:rsidR="001171C7">
              <w:rPr>
                <w:webHidden/>
                <w:rtl/>
              </w:rPr>
            </w:r>
            <w:r w:rsidR="001171C7">
              <w:rPr>
                <w:webHidden/>
                <w:rtl/>
              </w:rPr>
              <w:fldChar w:fldCharType="separate"/>
            </w:r>
            <w:r w:rsidR="006A6D13">
              <w:rPr>
                <w:webHidden/>
                <w:rtl/>
              </w:rPr>
              <w:t>542</w:t>
            </w:r>
            <w:r w:rsidR="001171C7">
              <w:rPr>
                <w:webHidden/>
                <w:rtl/>
              </w:rPr>
              <w:fldChar w:fldCharType="end"/>
            </w:r>
          </w:hyperlink>
        </w:p>
        <w:p w:rsidR="001171C7" w:rsidRDefault="007978F4">
          <w:pPr>
            <w:pStyle w:val="TOC1"/>
            <w:rPr>
              <w:rFonts w:eastAsiaTheme="minorEastAsia" w:cstheme="minorBidi"/>
              <w:b w:val="0"/>
              <w:bCs w:val="0"/>
              <w:rtl/>
            </w:rPr>
          </w:pPr>
          <w:hyperlink w:anchor="_Toc496175794" w:history="1">
            <w:r w:rsidR="001171C7" w:rsidRPr="00D35CC1">
              <w:rPr>
                <w:rStyle w:val="Hyperlink"/>
                <w:rFonts w:asciiTheme="majorHAnsi" w:eastAsiaTheme="majorEastAsia" w:hAnsiTheme="majorHAnsi" w:cs="Guttman Drogolin"/>
                <w:rtl/>
              </w:rPr>
              <w:t>השגחה על החלב בזמן שאין בהמה טמאה בעדר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Toc496175794 \h</w:instrText>
            </w:r>
            <w:r w:rsidR="001171C7">
              <w:rPr>
                <w:webHidden/>
                <w:rtl/>
              </w:rPr>
              <w:instrText xml:space="preserve"> </w:instrText>
            </w:r>
            <w:r w:rsidR="001171C7">
              <w:rPr>
                <w:webHidden/>
                <w:rtl/>
              </w:rPr>
            </w:r>
            <w:r w:rsidR="001171C7">
              <w:rPr>
                <w:webHidden/>
                <w:rtl/>
              </w:rPr>
              <w:fldChar w:fldCharType="separate"/>
            </w:r>
            <w:r w:rsidR="006A6D13">
              <w:rPr>
                <w:webHidden/>
                <w:rtl/>
              </w:rPr>
              <w:t>543</w:t>
            </w:r>
            <w:r w:rsidR="001171C7">
              <w:rPr>
                <w:webHidden/>
                <w:rtl/>
              </w:rPr>
              <w:fldChar w:fldCharType="end"/>
            </w:r>
          </w:hyperlink>
        </w:p>
        <w:p w:rsidR="001171C7" w:rsidRDefault="007978F4">
          <w:pPr>
            <w:pStyle w:val="TOC1"/>
            <w:rPr>
              <w:rFonts w:eastAsiaTheme="minorEastAsia" w:cstheme="minorBidi"/>
              <w:b w:val="0"/>
              <w:bCs w:val="0"/>
              <w:rtl/>
            </w:rPr>
          </w:pPr>
          <w:hyperlink w:anchor="_Toc496175795" w:history="1">
            <w:r w:rsidR="001171C7" w:rsidRPr="00D35CC1">
              <w:rPr>
                <w:rStyle w:val="Hyperlink"/>
                <w:rFonts w:asciiTheme="majorHAnsi" w:eastAsiaTheme="majorEastAsia" w:hAnsiTheme="majorHAnsi" w:cs="Guttman Drogolin"/>
                <w:rtl/>
              </w:rPr>
              <w:t>חלב שבפיקוח ממשלתי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Toc496175795 \h</w:instrText>
            </w:r>
            <w:r w:rsidR="001171C7">
              <w:rPr>
                <w:webHidden/>
                <w:rtl/>
              </w:rPr>
              <w:instrText xml:space="preserve"> </w:instrText>
            </w:r>
            <w:r w:rsidR="001171C7">
              <w:rPr>
                <w:webHidden/>
                <w:rtl/>
              </w:rPr>
            </w:r>
            <w:r w:rsidR="001171C7">
              <w:rPr>
                <w:webHidden/>
                <w:rtl/>
              </w:rPr>
              <w:fldChar w:fldCharType="separate"/>
            </w:r>
            <w:r w:rsidR="006A6D13">
              <w:rPr>
                <w:webHidden/>
                <w:rtl/>
              </w:rPr>
              <w:t>544</w:t>
            </w:r>
            <w:r w:rsidR="001171C7">
              <w:rPr>
                <w:webHidden/>
                <w:rtl/>
              </w:rPr>
              <w:fldChar w:fldCharType="end"/>
            </w:r>
          </w:hyperlink>
        </w:p>
        <w:p w:rsidR="001171C7" w:rsidRDefault="007978F4">
          <w:pPr>
            <w:pStyle w:val="TOC1"/>
            <w:rPr>
              <w:rFonts w:eastAsiaTheme="minorEastAsia" w:cstheme="minorBidi"/>
              <w:b w:val="0"/>
              <w:bCs w:val="0"/>
              <w:rtl/>
            </w:rPr>
          </w:pPr>
          <w:hyperlink w:anchor="_Toc496175796" w:history="1">
            <w:r w:rsidR="001171C7" w:rsidRPr="00D35CC1">
              <w:rPr>
                <w:rStyle w:val="Hyperlink"/>
                <w:rFonts w:asciiTheme="majorHAnsi" w:eastAsiaTheme="majorEastAsia" w:hAnsiTheme="majorHAnsi" w:cs="Guttman Drogolin"/>
                <w:rtl/>
              </w:rPr>
              <w:t>אבקת חלב עכו"ם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Toc496175796 \h</w:instrText>
            </w:r>
            <w:r w:rsidR="001171C7">
              <w:rPr>
                <w:webHidden/>
                <w:rtl/>
              </w:rPr>
              <w:instrText xml:space="preserve"> </w:instrText>
            </w:r>
            <w:r w:rsidR="001171C7">
              <w:rPr>
                <w:webHidden/>
                <w:rtl/>
              </w:rPr>
            </w:r>
            <w:r w:rsidR="001171C7">
              <w:rPr>
                <w:webHidden/>
                <w:rtl/>
              </w:rPr>
              <w:fldChar w:fldCharType="separate"/>
            </w:r>
            <w:r w:rsidR="006A6D13">
              <w:rPr>
                <w:webHidden/>
                <w:rtl/>
              </w:rPr>
              <w:t>544</w:t>
            </w:r>
            <w:r w:rsidR="001171C7">
              <w:rPr>
                <w:webHidden/>
                <w:rtl/>
              </w:rPr>
              <w:fldChar w:fldCharType="end"/>
            </w:r>
          </w:hyperlink>
        </w:p>
        <w:p w:rsidR="001171C7" w:rsidRDefault="007978F4">
          <w:pPr>
            <w:pStyle w:val="TOC1"/>
            <w:rPr>
              <w:rFonts w:eastAsiaTheme="minorEastAsia" w:cstheme="minorBidi"/>
              <w:b w:val="0"/>
              <w:bCs w:val="0"/>
              <w:rtl/>
            </w:rPr>
          </w:pPr>
          <w:hyperlink w:anchor="_Toc496175797" w:history="1">
            <w:r w:rsidR="001171C7" w:rsidRPr="00D35CC1">
              <w:rPr>
                <w:rStyle w:val="Hyperlink"/>
                <w:rFonts w:asciiTheme="majorHAnsi" w:eastAsiaTheme="majorEastAsia" w:hAnsiTheme="majorHAnsi" w:cs="Guttman Drogolin"/>
                <w:rtl/>
              </w:rPr>
              <w:t>הערה בדעת הגרמ"פ בחלב שיש לו פיקוח ממשלתי</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Toc496175797 \h</w:instrText>
            </w:r>
            <w:r w:rsidR="001171C7">
              <w:rPr>
                <w:webHidden/>
                <w:rtl/>
              </w:rPr>
              <w:instrText xml:space="preserve"> </w:instrText>
            </w:r>
            <w:r w:rsidR="001171C7">
              <w:rPr>
                <w:webHidden/>
                <w:rtl/>
              </w:rPr>
            </w:r>
            <w:r w:rsidR="001171C7">
              <w:rPr>
                <w:webHidden/>
                <w:rtl/>
              </w:rPr>
              <w:fldChar w:fldCharType="separate"/>
            </w:r>
            <w:r w:rsidR="006A6D13">
              <w:rPr>
                <w:webHidden/>
                <w:rtl/>
              </w:rPr>
              <w:t>545</w:t>
            </w:r>
            <w:r w:rsidR="001171C7">
              <w:rPr>
                <w:webHidden/>
                <w:rtl/>
              </w:rPr>
              <w:fldChar w:fldCharType="end"/>
            </w:r>
          </w:hyperlink>
        </w:p>
        <w:p w:rsidR="001171C7" w:rsidRDefault="007978F4">
          <w:pPr>
            <w:pStyle w:val="TOC1"/>
            <w:rPr>
              <w:rFonts w:eastAsiaTheme="minorEastAsia" w:cstheme="minorBidi"/>
              <w:b w:val="0"/>
              <w:bCs w:val="0"/>
              <w:rtl/>
            </w:rPr>
          </w:pPr>
          <w:hyperlink w:anchor="_Toc496175798" w:history="1">
            <w:r w:rsidR="001171C7" w:rsidRPr="00D35CC1">
              <w:rPr>
                <w:rStyle w:val="Hyperlink"/>
                <w:rFonts w:asciiTheme="majorHAnsi" w:eastAsiaTheme="majorEastAsia" w:hAnsiTheme="majorHAnsi" w:cs="Guttman Drogolin"/>
                <w:rtl/>
              </w:rPr>
              <w:t>סיכום בגדר הגזירה של חלב עכו"ם להלכה</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Toc496175798 \h</w:instrText>
            </w:r>
            <w:r w:rsidR="001171C7">
              <w:rPr>
                <w:webHidden/>
                <w:rtl/>
              </w:rPr>
              <w:instrText xml:space="preserve"> </w:instrText>
            </w:r>
            <w:r w:rsidR="001171C7">
              <w:rPr>
                <w:webHidden/>
                <w:rtl/>
              </w:rPr>
            </w:r>
            <w:r w:rsidR="001171C7">
              <w:rPr>
                <w:webHidden/>
                <w:rtl/>
              </w:rPr>
              <w:fldChar w:fldCharType="separate"/>
            </w:r>
            <w:r w:rsidR="006A6D13">
              <w:rPr>
                <w:webHidden/>
                <w:rtl/>
              </w:rPr>
              <w:t>545</w:t>
            </w:r>
            <w:r w:rsidR="001171C7">
              <w:rPr>
                <w:webHidden/>
                <w:rtl/>
              </w:rPr>
              <w:fldChar w:fldCharType="end"/>
            </w:r>
          </w:hyperlink>
        </w:p>
        <w:p w:rsidR="001171C7" w:rsidRDefault="007978F4">
          <w:pPr>
            <w:pStyle w:val="TOC1"/>
            <w:rPr>
              <w:rFonts w:eastAsiaTheme="minorEastAsia" w:cstheme="minorBidi"/>
              <w:b w:val="0"/>
              <w:bCs w:val="0"/>
              <w:rtl/>
            </w:rPr>
          </w:pPr>
          <w:hyperlink w:anchor="_Toc496175799" w:history="1">
            <w:r w:rsidR="001171C7" w:rsidRPr="00D35CC1">
              <w:rPr>
                <w:rStyle w:val="Hyperlink"/>
                <w:rFonts w:asciiTheme="majorHAnsi" w:eastAsiaTheme="majorEastAsia" w:hAnsiTheme="majorHAnsi" w:cs="Guttman Drogolin"/>
                <w:rtl/>
              </w:rPr>
              <w:t>גדר הגזירה של גבינת עכו"ם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Toc496175799 \h</w:instrText>
            </w:r>
            <w:r w:rsidR="001171C7">
              <w:rPr>
                <w:webHidden/>
                <w:rtl/>
              </w:rPr>
              <w:instrText xml:space="preserve"> </w:instrText>
            </w:r>
            <w:r w:rsidR="001171C7">
              <w:rPr>
                <w:webHidden/>
                <w:rtl/>
              </w:rPr>
            </w:r>
            <w:r w:rsidR="001171C7">
              <w:rPr>
                <w:webHidden/>
                <w:rtl/>
              </w:rPr>
              <w:fldChar w:fldCharType="separate"/>
            </w:r>
            <w:r w:rsidR="006A6D13">
              <w:rPr>
                <w:webHidden/>
                <w:rtl/>
              </w:rPr>
              <w:t>546</w:t>
            </w:r>
            <w:r w:rsidR="001171C7">
              <w:rPr>
                <w:webHidden/>
                <w:rtl/>
              </w:rPr>
              <w:fldChar w:fldCharType="end"/>
            </w:r>
          </w:hyperlink>
        </w:p>
        <w:p w:rsidR="001171C7" w:rsidRDefault="007978F4">
          <w:pPr>
            <w:pStyle w:val="TOC1"/>
            <w:rPr>
              <w:rFonts w:eastAsiaTheme="minorEastAsia" w:cstheme="minorBidi"/>
              <w:b w:val="0"/>
              <w:bCs w:val="0"/>
              <w:rtl/>
            </w:rPr>
          </w:pPr>
          <w:hyperlink w:anchor="_Toc496175800" w:history="1">
            <w:r w:rsidR="001171C7" w:rsidRPr="00D35CC1">
              <w:rPr>
                <w:rStyle w:val="Hyperlink"/>
                <w:rFonts w:asciiTheme="majorHAnsi" w:eastAsiaTheme="majorEastAsia" w:hAnsiTheme="majorHAnsi" w:cs="Guttman Drogolin"/>
                <w:rtl/>
              </w:rPr>
              <w:t>גבינת קוטג'</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Toc496175800 \h</w:instrText>
            </w:r>
            <w:r w:rsidR="001171C7">
              <w:rPr>
                <w:webHidden/>
                <w:rtl/>
              </w:rPr>
              <w:instrText xml:space="preserve"> </w:instrText>
            </w:r>
            <w:r w:rsidR="001171C7">
              <w:rPr>
                <w:webHidden/>
                <w:rtl/>
              </w:rPr>
            </w:r>
            <w:r w:rsidR="001171C7">
              <w:rPr>
                <w:webHidden/>
                <w:rtl/>
              </w:rPr>
              <w:fldChar w:fldCharType="separate"/>
            </w:r>
            <w:r w:rsidR="006A6D13">
              <w:rPr>
                <w:webHidden/>
                <w:rtl/>
              </w:rPr>
              <w:t>547</w:t>
            </w:r>
            <w:r w:rsidR="001171C7">
              <w:rPr>
                <w:webHidden/>
                <w:rtl/>
              </w:rPr>
              <w:fldChar w:fldCharType="end"/>
            </w:r>
          </w:hyperlink>
        </w:p>
        <w:p w:rsidR="00B8771A" w:rsidRPr="003043CD" w:rsidRDefault="00B8771A" w:rsidP="00B8771A">
          <w:pPr>
            <w:pStyle w:val="TOC1"/>
            <w:spacing w:before="240"/>
            <w:rPr>
              <w:rStyle w:val="Hyperlink"/>
              <w:color w:val="auto"/>
              <w:sz w:val="28"/>
              <w:szCs w:val="28"/>
              <w:rtl/>
            </w:rPr>
          </w:pPr>
          <w:r>
            <w:rPr>
              <w:rStyle w:val="Hyperlink"/>
              <w:rFonts w:hint="cs"/>
              <w:color w:val="auto"/>
              <w:sz w:val="28"/>
              <w:szCs w:val="28"/>
              <w:rtl/>
            </w:rPr>
            <w:t>פת עכו"ם</w:t>
          </w:r>
        </w:p>
        <w:p w:rsidR="001171C7" w:rsidRDefault="007978F4">
          <w:pPr>
            <w:pStyle w:val="TOC1"/>
            <w:rPr>
              <w:rFonts w:eastAsiaTheme="minorEastAsia" w:cstheme="minorBidi"/>
              <w:b w:val="0"/>
              <w:bCs w:val="0"/>
              <w:rtl/>
            </w:rPr>
          </w:pPr>
          <w:hyperlink w:anchor="_Toc496175801" w:history="1">
            <w:r w:rsidR="001171C7" w:rsidRPr="00D35CC1">
              <w:rPr>
                <w:rStyle w:val="Hyperlink"/>
                <w:rFonts w:cs="Guttman Drogolin"/>
                <w:rtl/>
              </w:rPr>
              <w:t>הטעם שגזרו על פת עכו"ם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Toc496175801 \h</w:instrText>
            </w:r>
            <w:r w:rsidR="001171C7">
              <w:rPr>
                <w:webHidden/>
                <w:rtl/>
              </w:rPr>
              <w:instrText xml:space="preserve"> </w:instrText>
            </w:r>
            <w:r w:rsidR="001171C7">
              <w:rPr>
                <w:webHidden/>
                <w:rtl/>
              </w:rPr>
            </w:r>
            <w:r w:rsidR="001171C7">
              <w:rPr>
                <w:webHidden/>
                <w:rtl/>
              </w:rPr>
              <w:fldChar w:fldCharType="separate"/>
            </w:r>
            <w:r w:rsidR="006A6D13">
              <w:rPr>
                <w:webHidden/>
                <w:rtl/>
              </w:rPr>
              <w:t>550</w:t>
            </w:r>
            <w:r w:rsidR="001171C7">
              <w:rPr>
                <w:webHidden/>
                <w:rtl/>
              </w:rPr>
              <w:fldChar w:fldCharType="end"/>
            </w:r>
          </w:hyperlink>
        </w:p>
        <w:p w:rsidR="001171C7" w:rsidRDefault="007978F4">
          <w:pPr>
            <w:pStyle w:val="TOC1"/>
            <w:rPr>
              <w:rFonts w:eastAsiaTheme="minorEastAsia" w:cstheme="minorBidi"/>
              <w:b w:val="0"/>
              <w:bCs w:val="0"/>
              <w:rtl/>
            </w:rPr>
          </w:pPr>
          <w:hyperlink w:anchor="_Toc496175802" w:history="1">
            <w:r w:rsidR="001171C7" w:rsidRPr="00D35CC1">
              <w:rPr>
                <w:rStyle w:val="Hyperlink"/>
                <w:rFonts w:cs="Guttman Drogolin"/>
                <w:rtl/>
              </w:rPr>
              <w:t>החילוק שבין גזירת פת עכו"ם לגזירת בישול עכו"ם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Toc496175802 \h</w:instrText>
            </w:r>
            <w:r w:rsidR="001171C7">
              <w:rPr>
                <w:webHidden/>
                <w:rtl/>
              </w:rPr>
              <w:instrText xml:space="preserve"> </w:instrText>
            </w:r>
            <w:r w:rsidR="001171C7">
              <w:rPr>
                <w:webHidden/>
                <w:rtl/>
              </w:rPr>
            </w:r>
            <w:r w:rsidR="001171C7">
              <w:rPr>
                <w:webHidden/>
                <w:rtl/>
              </w:rPr>
              <w:fldChar w:fldCharType="separate"/>
            </w:r>
            <w:r w:rsidR="006A6D13">
              <w:rPr>
                <w:webHidden/>
                <w:rtl/>
              </w:rPr>
              <w:t>551</w:t>
            </w:r>
            <w:r w:rsidR="001171C7">
              <w:rPr>
                <w:webHidden/>
                <w:rtl/>
              </w:rPr>
              <w:fldChar w:fldCharType="end"/>
            </w:r>
          </w:hyperlink>
        </w:p>
        <w:p w:rsidR="001171C7" w:rsidRDefault="007978F4">
          <w:pPr>
            <w:pStyle w:val="TOC1"/>
            <w:rPr>
              <w:rFonts w:eastAsiaTheme="minorEastAsia" w:cstheme="minorBidi"/>
              <w:b w:val="0"/>
              <w:bCs w:val="0"/>
              <w:rtl/>
            </w:rPr>
          </w:pPr>
          <w:hyperlink w:anchor="_Toc496175803" w:history="1">
            <w:r w:rsidR="001171C7" w:rsidRPr="00D35CC1">
              <w:rPr>
                <w:rStyle w:val="Hyperlink"/>
                <w:rFonts w:cs="Guttman Drogolin"/>
                <w:rtl/>
              </w:rPr>
              <w:t>האם התירו האיסור של פת עכו"ם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Toc496175803 \h</w:instrText>
            </w:r>
            <w:r w:rsidR="001171C7">
              <w:rPr>
                <w:webHidden/>
                <w:rtl/>
              </w:rPr>
              <w:instrText xml:space="preserve"> </w:instrText>
            </w:r>
            <w:r w:rsidR="001171C7">
              <w:rPr>
                <w:webHidden/>
                <w:rtl/>
              </w:rPr>
            </w:r>
            <w:r w:rsidR="001171C7">
              <w:rPr>
                <w:webHidden/>
                <w:rtl/>
              </w:rPr>
              <w:fldChar w:fldCharType="separate"/>
            </w:r>
            <w:r w:rsidR="006A6D13">
              <w:rPr>
                <w:webHidden/>
                <w:rtl/>
              </w:rPr>
              <w:t>552</w:t>
            </w:r>
            <w:r w:rsidR="001171C7">
              <w:rPr>
                <w:webHidden/>
                <w:rtl/>
              </w:rPr>
              <w:fldChar w:fldCharType="end"/>
            </w:r>
          </w:hyperlink>
        </w:p>
        <w:p w:rsidR="00CF274C" w:rsidRPr="003043CD" w:rsidRDefault="00CF274C" w:rsidP="00CF274C">
          <w:pPr>
            <w:pStyle w:val="TOC1"/>
            <w:spacing w:before="240"/>
            <w:rPr>
              <w:rStyle w:val="Hyperlink"/>
              <w:color w:val="auto"/>
              <w:sz w:val="28"/>
              <w:szCs w:val="28"/>
              <w:rtl/>
            </w:rPr>
          </w:pPr>
          <w:r>
            <w:rPr>
              <w:rStyle w:val="Hyperlink"/>
              <w:rFonts w:hint="cs"/>
              <w:color w:val="auto"/>
              <w:sz w:val="28"/>
              <w:szCs w:val="28"/>
              <w:rtl/>
            </w:rPr>
            <w:t>בישול עכו"ם</w:t>
          </w:r>
        </w:p>
        <w:p w:rsidR="001171C7" w:rsidRDefault="007978F4">
          <w:pPr>
            <w:pStyle w:val="TOC1"/>
            <w:rPr>
              <w:rFonts w:eastAsiaTheme="minorEastAsia" w:cstheme="minorBidi"/>
              <w:b w:val="0"/>
              <w:bCs w:val="0"/>
              <w:rtl/>
            </w:rPr>
          </w:pPr>
          <w:hyperlink w:anchor="_Toc496175804" w:history="1">
            <w:r w:rsidR="001171C7" w:rsidRPr="00D35CC1">
              <w:rPr>
                <w:rStyle w:val="Hyperlink"/>
                <w:rFonts w:cs="Guttman Drogolin"/>
                <w:rtl/>
              </w:rPr>
              <w:t>אי בעינן נשתנה מברייתו ע"י האור</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Toc496175804 \h</w:instrText>
            </w:r>
            <w:r w:rsidR="001171C7">
              <w:rPr>
                <w:webHidden/>
                <w:rtl/>
              </w:rPr>
              <w:instrText xml:space="preserve"> </w:instrText>
            </w:r>
            <w:r w:rsidR="001171C7">
              <w:rPr>
                <w:webHidden/>
                <w:rtl/>
              </w:rPr>
            </w:r>
            <w:r w:rsidR="001171C7">
              <w:rPr>
                <w:webHidden/>
                <w:rtl/>
              </w:rPr>
              <w:fldChar w:fldCharType="separate"/>
            </w:r>
            <w:r w:rsidR="006A6D13">
              <w:rPr>
                <w:webHidden/>
                <w:rtl/>
              </w:rPr>
              <w:t>554</w:t>
            </w:r>
            <w:r w:rsidR="001171C7">
              <w:rPr>
                <w:webHidden/>
                <w:rtl/>
              </w:rPr>
              <w:fldChar w:fldCharType="end"/>
            </w:r>
          </w:hyperlink>
        </w:p>
        <w:p w:rsidR="001171C7" w:rsidRDefault="007978F4">
          <w:pPr>
            <w:pStyle w:val="TOC1"/>
            <w:rPr>
              <w:rFonts w:eastAsiaTheme="minorEastAsia" w:cstheme="minorBidi"/>
              <w:b w:val="0"/>
              <w:bCs w:val="0"/>
              <w:rtl/>
            </w:rPr>
          </w:pPr>
          <w:hyperlink w:anchor="_Toc496175805" w:history="1">
            <w:r w:rsidR="001171C7" w:rsidRPr="00D35CC1">
              <w:rPr>
                <w:rStyle w:val="Hyperlink"/>
                <w:rFonts w:cs="Guttman Drogolin"/>
                <w:rtl/>
              </w:rPr>
              <w:t>אם יש במליחה משום בישול עכו"ם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Toc496175805 \h</w:instrText>
            </w:r>
            <w:r w:rsidR="001171C7">
              <w:rPr>
                <w:webHidden/>
                <w:rtl/>
              </w:rPr>
              <w:instrText xml:space="preserve"> </w:instrText>
            </w:r>
            <w:r w:rsidR="001171C7">
              <w:rPr>
                <w:webHidden/>
                <w:rtl/>
              </w:rPr>
            </w:r>
            <w:r w:rsidR="001171C7">
              <w:rPr>
                <w:webHidden/>
                <w:rtl/>
              </w:rPr>
              <w:fldChar w:fldCharType="separate"/>
            </w:r>
            <w:r w:rsidR="006A6D13">
              <w:rPr>
                <w:webHidden/>
                <w:rtl/>
              </w:rPr>
              <w:t>555</w:t>
            </w:r>
            <w:r w:rsidR="001171C7">
              <w:rPr>
                <w:webHidden/>
                <w:rtl/>
              </w:rPr>
              <w:fldChar w:fldCharType="end"/>
            </w:r>
          </w:hyperlink>
        </w:p>
        <w:p w:rsidR="001171C7" w:rsidRDefault="007978F4">
          <w:pPr>
            <w:pStyle w:val="TOC1"/>
            <w:rPr>
              <w:rFonts w:eastAsiaTheme="minorEastAsia" w:cstheme="minorBidi"/>
              <w:b w:val="0"/>
              <w:bCs w:val="0"/>
              <w:rtl/>
            </w:rPr>
          </w:pPr>
          <w:hyperlink w:anchor="_Toc496175806" w:history="1">
            <w:r w:rsidR="001171C7" w:rsidRPr="00D35CC1">
              <w:rPr>
                <w:rStyle w:val="Hyperlink"/>
                <w:rFonts w:cs="Guttman Drogolin"/>
                <w:rtl/>
              </w:rPr>
              <w:t>תערובת שהעיקר נאכל כמות שהוא חי, ואם הרוב פת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Toc496175806 \h</w:instrText>
            </w:r>
            <w:r w:rsidR="001171C7">
              <w:rPr>
                <w:webHidden/>
                <w:rtl/>
              </w:rPr>
              <w:instrText xml:space="preserve"> </w:instrText>
            </w:r>
            <w:r w:rsidR="001171C7">
              <w:rPr>
                <w:webHidden/>
                <w:rtl/>
              </w:rPr>
            </w:r>
            <w:r w:rsidR="001171C7">
              <w:rPr>
                <w:webHidden/>
                <w:rtl/>
              </w:rPr>
              <w:fldChar w:fldCharType="separate"/>
            </w:r>
            <w:r w:rsidR="006A6D13">
              <w:rPr>
                <w:webHidden/>
                <w:rtl/>
              </w:rPr>
              <w:t>555</w:t>
            </w:r>
            <w:r w:rsidR="001171C7">
              <w:rPr>
                <w:webHidden/>
                <w:rtl/>
              </w:rPr>
              <w:fldChar w:fldCharType="end"/>
            </w:r>
          </w:hyperlink>
        </w:p>
        <w:p w:rsidR="001171C7" w:rsidRDefault="007978F4">
          <w:pPr>
            <w:pStyle w:val="TOC1"/>
            <w:rPr>
              <w:rFonts w:eastAsiaTheme="minorEastAsia" w:cstheme="minorBidi"/>
              <w:b w:val="0"/>
              <w:bCs w:val="0"/>
              <w:rtl/>
            </w:rPr>
          </w:pPr>
          <w:hyperlink w:anchor="_Toc496175807" w:history="1">
            <w:r w:rsidR="001171C7" w:rsidRPr="00D35CC1">
              <w:rPr>
                <w:rStyle w:val="Hyperlink"/>
                <w:rFonts w:cs="Guttman Drogolin"/>
                <w:rtl/>
              </w:rPr>
              <w:t>מאכל שאינו עולה על שולחן מלכים ללפת בו את הפת</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Toc496175807 \h</w:instrText>
            </w:r>
            <w:r w:rsidR="001171C7">
              <w:rPr>
                <w:webHidden/>
                <w:rtl/>
              </w:rPr>
              <w:instrText xml:space="preserve"> </w:instrText>
            </w:r>
            <w:r w:rsidR="001171C7">
              <w:rPr>
                <w:webHidden/>
                <w:rtl/>
              </w:rPr>
            </w:r>
            <w:r w:rsidR="001171C7">
              <w:rPr>
                <w:webHidden/>
                <w:rtl/>
              </w:rPr>
              <w:fldChar w:fldCharType="separate"/>
            </w:r>
            <w:r w:rsidR="006A6D13">
              <w:rPr>
                <w:webHidden/>
                <w:rtl/>
              </w:rPr>
              <w:t>555</w:t>
            </w:r>
            <w:r w:rsidR="001171C7">
              <w:rPr>
                <w:webHidden/>
                <w:rtl/>
              </w:rPr>
              <w:fldChar w:fldCharType="end"/>
            </w:r>
          </w:hyperlink>
        </w:p>
        <w:p w:rsidR="001171C7" w:rsidRDefault="007978F4">
          <w:pPr>
            <w:pStyle w:val="TOC1"/>
            <w:rPr>
              <w:rFonts w:eastAsiaTheme="minorEastAsia" w:cstheme="minorBidi"/>
              <w:b w:val="0"/>
              <w:bCs w:val="0"/>
              <w:rtl/>
            </w:rPr>
          </w:pPr>
          <w:hyperlink w:anchor="_Toc496175808" w:history="1">
            <w:r w:rsidR="001171C7" w:rsidRPr="00D35CC1">
              <w:rPr>
                <w:rStyle w:val="Hyperlink"/>
                <w:rFonts w:cs="Guttman Drogolin"/>
                <w:rtl/>
              </w:rPr>
              <w:t>בישל העכו"ם שלא בכוונת בישול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Toc496175808 \h</w:instrText>
            </w:r>
            <w:r w:rsidR="001171C7">
              <w:rPr>
                <w:webHidden/>
                <w:rtl/>
              </w:rPr>
              <w:instrText xml:space="preserve"> </w:instrText>
            </w:r>
            <w:r w:rsidR="001171C7">
              <w:rPr>
                <w:webHidden/>
                <w:rtl/>
              </w:rPr>
            </w:r>
            <w:r w:rsidR="001171C7">
              <w:rPr>
                <w:webHidden/>
                <w:rtl/>
              </w:rPr>
              <w:fldChar w:fldCharType="separate"/>
            </w:r>
            <w:r w:rsidR="006A6D13">
              <w:rPr>
                <w:webHidden/>
                <w:rtl/>
              </w:rPr>
              <w:t>556</w:t>
            </w:r>
            <w:r w:rsidR="001171C7">
              <w:rPr>
                <w:webHidden/>
                <w:rtl/>
              </w:rPr>
              <w:fldChar w:fldCharType="end"/>
            </w:r>
          </w:hyperlink>
        </w:p>
        <w:p w:rsidR="001171C7" w:rsidRDefault="007978F4">
          <w:pPr>
            <w:pStyle w:val="TOC1"/>
            <w:rPr>
              <w:rFonts w:eastAsiaTheme="minorEastAsia" w:cstheme="minorBidi"/>
              <w:b w:val="0"/>
              <w:bCs w:val="0"/>
              <w:rtl/>
            </w:rPr>
          </w:pPr>
          <w:hyperlink w:anchor="_Toc496175809" w:history="1">
            <w:r w:rsidR="001171C7" w:rsidRPr="00D35CC1">
              <w:rPr>
                <w:rStyle w:val="Hyperlink"/>
                <w:rFonts w:cs="Guttman Drogolin"/>
                <w:rtl/>
              </w:rPr>
              <w:t>עיונים בדין נאכל כמות שהוא חי ובדין עולה על שולחן מלכים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Toc496175809 \h</w:instrText>
            </w:r>
            <w:r w:rsidR="001171C7">
              <w:rPr>
                <w:webHidden/>
                <w:rtl/>
              </w:rPr>
              <w:instrText xml:space="preserve"> </w:instrText>
            </w:r>
            <w:r w:rsidR="001171C7">
              <w:rPr>
                <w:webHidden/>
                <w:rtl/>
              </w:rPr>
            </w:r>
            <w:r w:rsidR="001171C7">
              <w:rPr>
                <w:webHidden/>
                <w:rtl/>
              </w:rPr>
              <w:fldChar w:fldCharType="separate"/>
            </w:r>
            <w:r w:rsidR="006A6D13">
              <w:rPr>
                <w:webHidden/>
                <w:rtl/>
              </w:rPr>
              <w:t>558</w:t>
            </w:r>
            <w:r w:rsidR="001171C7">
              <w:rPr>
                <w:webHidden/>
                <w:rtl/>
              </w:rPr>
              <w:fldChar w:fldCharType="end"/>
            </w:r>
          </w:hyperlink>
        </w:p>
        <w:p w:rsidR="001171C7" w:rsidRDefault="007978F4">
          <w:pPr>
            <w:pStyle w:val="TOC1"/>
            <w:rPr>
              <w:rFonts w:eastAsiaTheme="minorEastAsia" w:cstheme="minorBidi"/>
              <w:b w:val="0"/>
              <w:bCs w:val="0"/>
              <w:rtl/>
            </w:rPr>
          </w:pPr>
          <w:hyperlink w:anchor="_Toc496175810" w:history="1">
            <w:r w:rsidR="001171C7" w:rsidRPr="00D35CC1">
              <w:rPr>
                <w:rStyle w:val="Hyperlink"/>
                <w:rFonts w:cs="Guttman Drogolin"/>
                <w:rtl/>
              </w:rPr>
              <w:t>אם בישול עכו"ם אוסר בטעמו</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Toc496175810 \h</w:instrText>
            </w:r>
            <w:r w:rsidR="001171C7">
              <w:rPr>
                <w:webHidden/>
                <w:rtl/>
              </w:rPr>
              <w:instrText xml:space="preserve"> </w:instrText>
            </w:r>
            <w:r w:rsidR="001171C7">
              <w:rPr>
                <w:webHidden/>
                <w:rtl/>
              </w:rPr>
            </w:r>
            <w:r w:rsidR="001171C7">
              <w:rPr>
                <w:webHidden/>
                <w:rtl/>
              </w:rPr>
              <w:fldChar w:fldCharType="separate"/>
            </w:r>
            <w:r w:rsidR="006A6D13">
              <w:rPr>
                <w:webHidden/>
                <w:rtl/>
              </w:rPr>
              <w:t>559</w:t>
            </w:r>
            <w:r w:rsidR="001171C7">
              <w:rPr>
                <w:webHidden/>
                <w:rtl/>
              </w:rPr>
              <w:fldChar w:fldCharType="end"/>
            </w:r>
          </w:hyperlink>
        </w:p>
        <w:p w:rsidR="001171C7" w:rsidRDefault="007978F4">
          <w:pPr>
            <w:pStyle w:val="TOC1"/>
            <w:rPr>
              <w:rFonts w:eastAsiaTheme="minorEastAsia" w:cstheme="minorBidi"/>
              <w:b w:val="0"/>
              <w:bCs w:val="0"/>
              <w:rtl/>
            </w:rPr>
          </w:pPr>
          <w:hyperlink w:anchor="_Toc496175811" w:history="1">
            <w:r w:rsidR="001171C7" w:rsidRPr="00D35CC1">
              <w:rPr>
                <w:rStyle w:val="Hyperlink"/>
                <w:rFonts w:cs="Guttman Drogolin"/>
                <w:rtl/>
              </w:rPr>
              <w:t>למה היום אין פת פלטר נאסר משום בישול עכו"ם (ובדין פת של ישראל)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Toc496175811 \h</w:instrText>
            </w:r>
            <w:r w:rsidR="001171C7">
              <w:rPr>
                <w:webHidden/>
                <w:rtl/>
              </w:rPr>
              <w:instrText xml:space="preserve"> </w:instrText>
            </w:r>
            <w:r w:rsidR="001171C7">
              <w:rPr>
                <w:webHidden/>
                <w:rtl/>
              </w:rPr>
            </w:r>
            <w:r w:rsidR="001171C7">
              <w:rPr>
                <w:webHidden/>
                <w:rtl/>
              </w:rPr>
              <w:fldChar w:fldCharType="separate"/>
            </w:r>
            <w:r w:rsidR="006A6D13">
              <w:rPr>
                <w:webHidden/>
                <w:rtl/>
              </w:rPr>
              <w:t>560</w:t>
            </w:r>
            <w:r w:rsidR="001171C7">
              <w:rPr>
                <w:webHidden/>
                <w:rtl/>
              </w:rPr>
              <w:fldChar w:fldCharType="end"/>
            </w:r>
          </w:hyperlink>
        </w:p>
        <w:p w:rsidR="00CF274C" w:rsidRPr="003043CD" w:rsidRDefault="00CF274C" w:rsidP="00CF274C">
          <w:pPr>
            <w:pStyle w:val="TOC1"/>
            <w:spacing w:before="240"/>
            <w:rPr>
              <w:rStyle w:val="Hyperlink"/>
              <w:color w:val="auto"/>
              <w:sz w:val="28"/>
              <w:szCs w:val="28"/>
              <w:rtl/>
            </w:rPr>
          </w:pPr>
          <w:r>
            <w:rPr>
              <w:rStyle w:val="Hyperlink"/>
              <w:rFonts w:hint="cs"/>
              <w:color w:val="auto"/>
              <w:sz w:val="28"/>
              <w:szCs w:val="28"/>
              <w:rtl/>
            </w:rPr>
            <w:t>יורה דעה סי' קי"ב</w:t>
          </w:r>
        </w:p>
        <w:p w:rsidR="001171C7" w:rsidRDefault="007978F4">
          <w:pPr>
            <w:pStyle w:val="TOC1"/>
            <w:rPr>
              <w:rFonts w:eastAsiaTheme="minorEastAsia" w:cstheme="minorBidi"/>
              <w:b w:val="0"/>
              <w:bCs w:val="0"/>
              <w:rtl/>
            </w:rPr>
          </w:pPr>
          <w:hyperlink w:anchor="_Toc496175812" w:history="1">
            <w:r w:rsidR="001171C7" w:rsidRPr="00D35CC1">
              <w:rPr>
                <w:rStyle w:val="Hyperlink"/>
                <w:rFonts w:asciiTheme="majorHAnsi" w:eastAsiaTheme="majorEastAsia" w:hAnsiTheme="majorHAnsi" w:cs="Guttman Drogolin"/>
                <w:rtl/>
              </w:rPr>
              <w:t>עיסת ישראל שנאפה ע"י עכו"ם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Toc496175812 \h</w:instrText>
            </w:r>
            <w:r w:rsidR="001171C7">
              <w:rPr>
                <w:webHidden/>
                <w:rtl/>
              </w:rPr>
              <w:instrText xml:space="preserve"> </w:instrText>
            </w:r>
            <w:r w:rsidR="001171C7">
              <w:rPr>
                <w:webHidden/>
                <w:rtl/>
              </w:rPr>
            </w:r>
            <w:r w:rsidR="001171C7">
              <w:rPr>
                <w:webHidden/>
                <w:rtl/>
              </w:rPr>
              <w:fldChar w:fldCharType="separate"/>
            </w:r>
            <w:r w:rsidR="006A6D13">
              <w:rPr>
                <w:webHidden/>
                <w:rtl/>
              </w:rPr>
              <w:t>562</w:t>
            </w:r>
            <w:r w:rsidR="001171C7">
              <w:rPr>
                <w:webHidden/>
                <w:rtl/>
              </w:rPr>
              <w:fldChar w:fldCharType="end"/>
            </w:r>
          </w:hyperlink>
        </w:p>
        <w:p w:rsidR="001171C7" w:rsidRDefault="007978F4">
          <w:pPr>
            <w:pStyle w:val="TOC1"/>
            <w:rPr>
              <w:rFonts w:eastAsiaTheme="minorEastAsia" w:cstheme="minorBidi"/>
              <w:b w:val="0"/>
              <w:bCs w:val="0"/>
              <w:rtl/>
            </w:rPr>
          </w:pPr>
          <w:hyperlink w:anchor="_Toc496175813" w:history="1">
            <w:r w:rsidR="001171C7" w:rsidRPr="00D35CC1">
              <w:rPr>
                <w:rStyle w:val="Hyperlink"/>
                <w:rFonts w:asciiTheme="majorHAnsi" w:eastAsiaTheme="majorEastAsia" w:hAnsiTheme="majorHAnsi" w:cs="Guttman Drogolin"/>
                <w:rtl/>
              </w:rPr>
              <w:t>פת של מומר ישראל</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Toc496175813 \h</w:instrText>
            </w:r>
            <w:r w:rsidR="001171C7">
              <w:rPr>
                <w:webHidden/>
                <w:rtl/>
              </w:rPr>
              <w:instrText xml:space="preserve"> </w:instrText>
            </w:r>
            <w:r w:rsidR="001171C7">
              <w:rPr>
                <w:webHidden/>
                <w:rtl/>
              </w:rPr>
            </w:r>
            <w:r w:rsidR="001171C7">
              <w:rPr>
                <w:webHidden/>
                <w:rtl/>
              </w:rPr>
              <w:fldChar w:fldCharType="separate"/>
            </w:r>
            <w:r w:rsidR="006A6D13">
              <w:rPr>
                <w:webHidden/>
                <w:rtl/>
              </w:rPr>
              <w:t>564</w:t>
            </w:r>
            <w:r w:rsidR="001171C7">
              <w:rPr>
                <w:webHidden/>
                <w:rtl/>
              </w:rPr>
              <w:fldChar w:fldCharType="end"/>
            </w:r>
          </w:hyperlink>
        </w:p>
        <w:p w:rsidR="001171C7" w:rsidRDefault="007978F4">
          <w:pPr>
            <w:pStyle w:val="TOC1"/>
            <w:rPr>
              <w:rFonts w:eastAsiaTheme="minorEastAsia" w:cstheme="minorBidi"/>
              <w:b w:val="0"/>
              <w:bCs w:val="0"/>
              <w:rtl/>
            </w:rPr>
          </w:pPr>
          <w:hyperlink w:anchor="_Toc496175814" w:history="1">
            <w:r w:rsidR="001171C7" w:rsidRPr="00D35CC1">
              <w:rPr>
                <w:rStyle w:val="Hyperlink"/>
                <w:rFonts w:asciiTheme="majorHAnsi" w:eastAsiaTheme="majorEastAsia" w:hAnsiTheme="majorHAnsi" w:cs="Guttman Drogolin"/>
                <w:rtl/>
              </w:rPr>
              <w:t>סוגי מאפים שונים אי הוו בכלל פת עכו"ם</w:t>
            </w:r>
            <w:r w:rsidR="001171C7">
              <w:rPr>
                <w:webHidden/>
                <w:rtl/>
              </w:rPr>
              <w:tab/>
            </w:r>
            <w:r w:rsidR="001171C7">
              <w:rPr>
                <w:webHidden/>
                <w:rtl/>
              </w:rPr>
              <w:fldChar w:fldCharType="begin"/>
            </w:r>
            <w:r w:rsidR="001171C7">
              <w:rPr>
                <w:webHidden/>
                <w:rtl/>
              </w:rPr>
              <w:instrText xml:space="preserve"> </w:instrText>
            </w:r>
            <w:r w:rsidR="001171C7">
              <w:rPr>
                <w:webHidden/>
              </w:rPr>
              <w:instrText xml:space="preserve">PAGEREF </w:instrText>
            </w:r>
            <w:r w:rsidR="001171C7">
              <w:rPr>
                <w:webHidden/>
                <w:rtl/>
              </w:rPr>
              <w:instrText>_</w:instrText>
            </w:r>
            <w:r w:rsidR="001171C7">
              <w:rPr>
                <w:webHidden/>
              </w:rPr>
              <w:instrText>Toc496175814 \h</w:instrText>
            </w:r>
            <w:r w:rsidR="001171C7">
              <w:rPr>
                <w:webHidden/>
                <w:rtl/>
              </w:rPr>
              <w:instrText xml:space="preserve"> </w:instrText>
            </w:r>
            <w:r w:rsidR="001171C7">
              <w:rPr>
                <w:webHidden/>
                <w:rtl/>
              </w:rPr>
            </w:r>
            <w:r w:rsidR="001171C7">
              <w:rPr>
                <w:webHidden/>
                <w:rtl/>
              </w:rPr>
              <w:fldChar w:fldCharType="separate"/>
            </w:r>
            <w:r w:rsidR="006A6D13">
              <w:rPr>
                <w:webHidden/>
                <w:rtl/>
              </w:rPr>
              <w:t>564</w:t>
            </w:r>
            <w:r w:rsidR="001171C7">
              <w:rPr>
                <w:webHidden/>
                <w:rtl/>
              </w:rPr>
              <w:fldChar w:fldCharType="end"/>
            </w:r>
          </w:hyperlink>
        </w:p>
        <w:p w:rsidR="00B34D99" w:rsidRDefault="00B34D99">
          <w:r>
            <w:rPr>
              <w:b/>
              <w:bCs/>
              <w:noProof/>
            </w:rPr>
            <w:fldChar w:fldCharType="end"/>
          </w:r>
        </w:p>
      </w:sdtContent>
    </w:sdt>
    <w:p w:rsidR="003277BA" w:rsidRDefault="003277BA" w:rsidP="00805C36">
      <w:pPr>
        <w:keepNext/>
        <w:tabs>
          <w:tab w:val="left" w:pos="3818"/>
          <w:tab w:val="center" w:pos="4680"/>
        </w:tabs>
        <w:bidi/>
        <w:jc w:val="center"/>
        <w:rPr>
          <w:rFonts w:cs="Guttman Mantova-Decor"/>
          <w:sz w:val="48"/>
          <w:szCs w:val="48"/>
          <w:rtl/>
          <w:lang w:bidi="he-IL"/>
        </w:rPr>
        <w:sectPr w:rsidR="003277BA" w:rsidSect="00DC7FF4">
          <w:headerReference w:type="default" r:id="rId9"/>
          <w:footerReference w:type="default" r:id="rId10"/>
          <w:pgSz w:w="11907" w:h="16839" w:code="9"/>
          <w:pgMar w:top="1440" w:right="1440" w:bottom="1440" w:left="1440" w:header="720" w:footer="720" w:gutter="0"/>
          <w:pgNumType w:fmt="hebrew1" w:start="1"/>
          <w:cols w:space="720"/>
          <w:bidi/>
          <w:docGrid w:linePitch="360"/>
        </w:sectPr>
      </w:pPr>
    </w:p>
    <w:p w:rsidR="00960A0E" w:rsidRPr="00882F11" w:rsidRDefault="00960A0E" w:rsidP="00805C36">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 xml:space="preserve">שיעור </w:t>
      </w:r>
      <w:r w:rsidR="00805C36" w:rsidRPr="00882F11">
        <w:rPr>
          <w:rFonts w:cs="Guttman Drogolin" w:hint="cs"/>
          <w:b/>
          <w:bCs/>
          <w:sz w:val="48"/>
          <w:szCs w:val="48"/>
          <w:rtl/>
          <w:lang w:bidi="he-IL"/>
        </w:rPr>
        <w:t>א</w:t>
      </w:r>
      <w:r w:rsidRPr="00882F11">
        <w:rPr>
          <w:rFonts w:cs="Guttman Drogolin" w:hint="cs"/>
          <w:b/>
          <w:bCs/>
          <w:sz w:val="48"/>
          <w:szCs w:val="48"/>
          <w:rtl/>
          <w:lang w:bidi="he-IL"/>
        </w:rPr>
        <w:t>'</w:t>
      </w:r>
    </w:p>
    <w:p w:rsidR="00882F11" w:rsidRDefault="00882F11" w:rsidP="0078079C">
      <w:pPr>
        <w:pStyle w:val="Heading1"/>
        <w:bidi/>
        <w:spacing w:before="0" w:line="360" w:lineRule="auto"/>
        <w:jc w:val="center"/>
        <w:rPr>
          <w:rFonts w:cs="Guttman Drogolin"/>
          <w:color w:val="auto"/>
          <w:sz w:val="24"/>
          <w:szCs w:val="24"/>
          <w:u w:val="single"/>
          <w:rtl/>
          <w:lang w:bidi="he-IL"/>
        </w:rPr>
        <w:sectPr w:rsidR="00882F11" w:rsidSect="00882F11">
          <w:headerReference w:type="default" r:id="rId11"/>
          <w:footerReference w:type="default" r:id="rId12"/>
          <w:pgSz w:w="11907" w:h="16839" w:code="9"/>
          <w:pgMar w:top="1440" w:right="1440" w:bottom="1440" w:left="1440" w:header="720" w:footer="720" w:gutter="0"/>
          <w:pgNumType w:start="1"/>
          <w:cols w:space="720"/>
          <w:bidi/>
          <w:docGrid w:linePitch="360"/>
        </w:sectPr>
      </w:pPr>
    </w:p>
    <w:p w:rsidR="00960A0E" w:rsidRPr="00882F11" w:rsidRDefault="00974A64" w:rsidP="0078079C">
      <w:pPr>
        <w:pStyle w:val="Heading1"/>
        <w:bidi/>
        <w:spacing w:before="0" w:line="360" w:lineRule="auto"/>
        <w:jc w:val="center"/>
        <w:rPr>
          <w:rFonts w:cs="Guttman Drogolin"/>
          <w:color w:val="auto"/>
          <w:sz w:val="22"/>
          <w:szCs w:val="22"/>
          <w:u w:val="single"/>
          <w:rtl/>
          <w:lang w:bidi="he-IL"/>
        </w:rPr>
      </w:pPr>
      <w:bookmarkStart w:id="0" w:name="_Toc496175269"/>
      <w:r w:rsidRPr="00882F11">
        <w:rPr>
          <w:rFonts w:cs="Guttman Drogolin" w:hint="cs"/>
          <w:color w:val="auto"/>
          <w:sz w:val="22"/>
          <w:szCs w:val="22"/>
          <w:u w:val="single"/>
          <w:rtl/>
          <w:lang w:bidi="he-IL"/>
        </w:rPr>
        <w:lastRenderedPageBreak/>
        <w:t xml:space="preserve">הקדמה </w:t>
      </w:r>
      <w:r w:rsidRPr="00882F11">
        <w:rPr>
          <w:rFonts w:cs="Guttman Drogolin"/>
          <w:color w:val="auto"/>
          <w:sz w:val="22"/>
          <w:szCs w:val="22"/>
          <w:u w:val="single"/>
          <w:rtl/>
          <w:lang w:bidi="he-IL"/>
        </w:rPr>
        <w:t>–</w:t>
      </w:r>
      <w:r w:rsidRPr="00882F11">
        <w:rPr>
          <w:rFonts w:cs="Guttman Drogolin" w:hint="cs"/>
          <w:color w:val="auto"/>
          <w:sz w:val="22"/>
          <w:szCs w:val="22"/>
          <w:u w:val="single"/>
          <w:rtl/>
          <w:lang w:bidi="he-IL"/>
        </w:rPr>
        <w:t xml:space="preserve"> בדין שיעור אכילה במאכלות אסורות</w:t>
      </w:r>
      <w:bookmarkEnd w:id="0"/>
    </w:p>
    <w:p w:rsidR="0065014A" w:rsidRPr="00882F11" w:rsidRDefault="003F36BD" w:rsidP="00685CA8">
      <w:pPr>
        <w:tabs>
          <w:tab w:val="left" w:pos="4002"/>
        </w:tabs>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טעם כעיקר</w:instrText>
      </w:r>
      <w:r w:rsidRPr="00882F11">
        <w:rPr>
          <w:rFonts w:cs="Guttman Drogolin"/>
          <w:rtl/>
        </w:rPr>
        <w:instrText>:</w:instrText>
      </w:r>
      <w:r w:rsidRPr="00882F11">
        <w:rPr>
          <w:rFonts w:cs="Guttman Drogolin" w:hint="cs"/>
          <w:rtl/>
          <w:lang w:bidi="he-IL"/>
        </w:rPr>
        <w:instrText>הקדמה</w:instrText>
      </w:r>
      <w:r w:rsidRPr="00882F11">
        <w:rPr>
          <w:rFonts w:cs="Guttman Drogolin"/>
        </w:rPr>
        <w:instrText xml:space="preserve">" </w:instrText>
      </w:r>
      <w:r w:rsidRPr="00882F11">
        <w:rPr>
          <w:rFonts w:cs="Guttman Drogolin"/>
          <w:rtl/>
          <w:lang w:bidi="he-IL"/>
        </w:rPr>
        <w:fldChar w:fldCharType="end"/>
      </w:r>
      <w:r w:rsidR="00974A64" w:rsidRPr="00882F11">
        <w:rPr>
          <w:rFonts w:cs="Guttman Drogolin" w:hint="cs"/>
          <w:rtl/>
          <w:lang w:bidi="he-IL"/>
        </w:rPr>
        <w:t xml:space="preserve">בתורה מבואר כמה סוגי מאכלים שאסור לאוכלם מדאורייתא, כגון חלב, ונבילה, ועוד. אמנם לא כתוב בהדיא כמה צריך לאכול מן המאכל האסור כדי לעבור על האיסור. אלא שבזה יש לנו גמ' במס' סוכה (ו' ע"א) ועירובין (ד' ע"א) שאומר לנו שנאמרה הלל"מ שרוב שיעורי אכילה בתורה הם בכזית. </w:t>
      </w:r>
      <w:r w:rsidR="000A7833" w:rsidRPr="00882F11">
        <w:rPr>
          <w:rFonts w:cs="Guttman Drogolin" w:hint="cs"/>
          <w:rtl/>
          <w:lang w:bidi="he-IL"/>
        </w:rPr>
        <w:t xml:space="preserve">ונחלקו ר' שמעון וחכמים במס' מכות דף י"ז ע"א </w:t>
      </w: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חצי שיעור</w:instrText>
      </w:r>
      <w:r w:rsidRPr="00882F11">
        <w:rPr>
          <w:rFonts w:cs="Guttman Drogolin"/>
          <w:rtl/>
        </w:rPr>
        <w:instrText>:</w:instrText>
      </w:r>
      <w:r w:rsidRPr="00882F11">
        <w:rPr>
          <w:rFonts w:cs="Guttman Drogolin" w:hint="cs"/>
          <w:rtl/>
          <w:lang w:bidi="he-IL"/>
        </w:rPr>
        <w:instrText>הקדמה</w:instrText>
      </w:r>
      <w:r w:rsidRPr="00882F11">
        <w:rPr>
          <w:rFonts w:cs="Guttman Drogolin"/>
        </w:rPr>
        <w:instrText xml:space="preserve">" </w:instrText>
      </w:r>
      <w:r w:rsidRPr="00882F11">
        <w:rPr>
          <w:rFonts w:cs="Guttman Drogolin"/>
          <w:rtl/>
          <w:lang w:bidi="he-IL"/>
        </w:rPr>
        <w:fldChar w:fldCharType="end"/>
      </w:r>
      <w:r w:rsidR="00685CA8">
        <w:rPr>
          <w:rFonts w:cs="Guttman Drogolin" w:hint="cs"/>
          <w:rtl/>
          <w:lang w:bidi="he-IL"/>
        </w:rPr>
        <w:t>על מה נאמר השיעור כזית, דשיטת ר' שמעון שלא נאמר שיעור כזית אלא לענין חיוב קרבן, ושיטת רבנן שנאמר גם לענין חיוב מלקות</w:t>
      </w:r>
      <w:r w:rsidR="000A7833" w:rsidRPr="00882F11">
        <w:rPr>
          <w:rFonts w:cs="Guttman Drogolin" w:hint="cs"/>
          <w:rtl/>
          <w:lang w:bidi="he-IL"/>
        </w:rPr>
        <w:t xml:space="preserve">. וע"ש בריטב"א ב' פירושים בשיטת ר' שמעון, או משום דהכי אגמרי', שלא נאמר ההלל"מ דשיעור כזית אלא בחיוב קרבן ולא במלקות, </w:t>
      </w:r>
      <w:r w:rsidR="0065014A" w:rsidRPr="00882F11">
        <w:rPr>
          <w:rFonts w:cs="Guttman Drogolin" w:hint="cs"/>
          <w:rtl/>
          <w:lang w:bidi="he-IL"/>
        </w:rPr>
        <w:t xml:space="preserve">ובשם ר' מאיר פי' שלענין מלקות כיון שמזיד הוא אחשבי', משא"כ לענין קרבן דהוי שוגג. </w:t>
      </w:r>
    </w:p>
    <w:p w:rsidR="0034699B" w:rsidRPr="00882F11" w:rsidRDefault="0065014A" w:rsidP="00685CA8">
      <w:pPr>
        <w:tabs>
          <w:tab w:val="left" w:pos="4002"/>
        </w:tabs>
        <w:bidi/>
        <w:jc w:val="both"/>
        <w:rPr>
          <w:rFonts w:cs="Guttman Drogolin"/>
          <w:rtl/>
          <w:lang w:bidi="he-IL"/>
        </w:rPr>
      </w:pPr>
      <w:r w:rsidRPr="00882F11">
        <w:rPr>
          <w:rFonts w:cs="Guttman Drogolin" w:hint="cs"/>
          <w:rtl/>
          <w:lang w:bidi="he-IL"/>
        </w:rPr>
        <w:t xml:space="preserve">ועכ"פ לענין קרבן </w:t>
      </w:r>
      <w:r w:rsidR="00685CA8">
        <w:rPr>
          <w:rFonts w:cs="Guttman Drogolin" w:hint="cs"/>
          <w:rtl/>
          <w:lang w:bidi="he-IL"/>
        </w:rPr>
        <w:t>אליבא דכו"ע</w:t>
      </w:r>
      <w:r w:rsidRPr="00882F11">
        <w:rPr>
          <w:rFonts w:cs="Guttman Drogolin" w:hint="cs"/>
          <w:rtl/>
          <w:lang w:bidi="he-IL"/>
        </w:rPr>
        <w:t xml:space="preserve"> וכן לענין מלקות אליבא דרבנן אינו חייב אא"כ אוכל כזית. ויש לחקור בביאור דין זה, האם ר"ל שלעולם יש שם אכילה אפילו בפחות מכזית, רק שחידשה תורה דבעינן אכילה חשובה שיש בה שיעור. או"ד שנתחדש ההלכה שאינו חשוב </w:t>
      </w:r>
      <w:r w:rsidR="009D371B" w:rsidRPr="00882F11">
        <w:rPr>
          <w:rFonts w:cs="Guttman Drogolin" w:hint="cs"/>
          <w:rtl/>
          <w:lang w:bidi="he-IL"/>
        </w:rPr>
        <w:t xml:space="preserve">מעשה </w:t>
      </w:r>
      <w:r w:rsidRPr="00882F11">
        <w:rPr>
          <w:rFonts w:cs="Guttman Drogolin" w:hint="cs"/>
          <w:rtl/>
          <w:lang w:bidi="he-IL"/>
        </w:rPr>
        <w:t xml:space="preserve">אכילה </w:t>
      </w:r>
      <w:r w:rsidR="009D371B" w:rsidRPr="00882F11">
        <w:rPr>
          <w:rFonts w:cs="Guttman Drogolin" w:hint="cs"/>
          <w:rtl/>
          <w:lang w:bidi="he-IL"/>
        </w:rPr>
        <w:t xml:space="preserve">כלל </w:t>
      </w:r>
      <w:r w:rsidRPr="00882F11">
        <w:rPr>
          <w:rFonts w:cs="Guttman Drogolin" w:hint="cs"/>
          <w:rtl/>
          <w:lang w:bidi="he-IL"/>
        </w:rPr>
        <w:t xml:space="preserve">אא"כ אוכל כזית. </w:t>
      </w:r>
      <w:r w:rsidR="00D2785F" w:rsidRPr="00882F11">
        <w:rPr>
          <w:rFonts w:cs="Guttman Drogolin" w:hint="cs"/>
          <w:rtl/>
          <w:lang w:bidi="he-IL"/>
        </w:rPr>
        <w:t xml:space="preserve">ולכאורה הפשטות של הסוגיא של מס' סוכה </w:t>
      </w:r>
      <w:r w:rsidR="00CC0E47" w:rsidRPr="00882F11">
        <w:rPr>
          <w:rFonts w:cs="Guttman Drogolin" w:hint="cs"/>
          <w:rtl/>
          <w:lang w:bidi="he-IL"/>
        </w:rPr>
        <w:t xml:space="preserve">הוא כמו הצד הראשון, </w:t>
      </w:r>
      <w:r w:rsidR="00D2785F" w:rsidRPr="00882F11">
        <w:rPr>
          <w:rFonts w:cs="Guttman Drogolin" w:hint="cs"/>
          <w:rtl/>
          <w:lang w:bidi="he-IL"/>
        </w:rPr>
        <w:t>ש</w:t>
      </w:r>
      <w:r w:rsidR="00CC0E47" w:rsidRPr="00882F11">
        <w:rPr>
          <w:rFonts w:cs="Guttman Drogolin" w:hint="cs"/>
          <w:rtl/>
          <w:lang w:bidi="he-IL"/>
        </w:rPr>
        <w:t>שם מבואר ש</w:t>
      </w:r>
      <w:r w:rsidR="00D2785F" w:rsidRPr="00882F11">
        <w:rPr>
          <w:rFonts w:cs="Guttman Drogolin" w:hint="cs"/>
          <w:rtl/>
          <w:lang w:bidi="he-IL"/>
        </w:rPr>
        <w:t xml:space="preserve">הוא בכלל 'שיעורין' הלכה למשה מסיני. וכן לכאורה מבואר משיטת ר' שמעון לפי הפירוש הראשון של הריטב"א, שאם אינו חייב קרבן כיון דליכא שם אכילה אפחות מכזית, למה יהי' חייב מלקות אפחות מכשיעור, הא לא אכל. ומאידך הרי אנחנו מוצאים מחלוקת בין ר' יוחנן לר"ל במס' יומא דף ע"ד ע"א אם חצי שיעור אסור מן התורה או לא. ור"ל סבר שאינו אסור מן התורה </w:t>
      </w:r>
      <w:r w:rsidR="006D77B2" w:rsidRPr="00882F11">
        <w:rPr>
          <w:rFonts w:cs="Guttman Drogolin" w:hint="cs"/>
          <w:rtl/>
          <w:lang w:bidi="he-IL"/>
        </w:rPr>
        <w:t>משום ד</w:t>
      </w:r>
      <w:r w:rsidR="00D2785F" w:rsidRPr="00882F11">
        <w:rPr>
          <w:rFonts w:cs="Guttman Drogolin" w:hint="cs"/>
          <w:rtl/>
          <w:lang w:bidi="he-IL"/>
        </w:rPr>
        <w:t>"אכילה</w:t>
      </w:r>
      <w:r w:rsidR="00D2785F" w:rsidRPr="00882F11">
        <w:rPr>
          <w:rFonts w:cs="Guttman Drogolin"/>
          <w:rtl/>
          <w:lang w:bidi="he-IL"/>
        </w:rPr>
        <w:t xml:space="preserve"> </w:t>
      </w:r>
      <w:r w:rsidR="00D2785F" w:rsidRPr="00882F11">
        <w:rPr>
          <w:rFonts w:cs="Guttman Drogolin" w:hint="cs"/>
          <w:rtl/>
          <w:lang w:bidi="he-IL"/>
        </w:rPr>
        <w:t>אמר</w:t>
      </w:r>
      <w:r w:rsidR="00D2785F" w:rsidRPr="00882F11">
        <w:rPr>
          <w:rFonts w:cs="Guttman Drogolin"/>
          <w:rtl/>
          <w:lang w:bidi="he-IL"/>
        </w:rPr>
        <w:t xml:space="preserve"> </w:t>
      </w:r>
      <w:r w:rsidR="00D2785F" w:rsidRPr="00882F11">
        <w:rPr>
          <w:rFonts w:cs="Guttman Drogolin" w:hint="cs"/>
          <w:rtl/>
          <w:lang w:bidi="he-IL"/>
        </w:rPr>
        <w:t>רחמנא</w:t>
      </w:r>
      <w:r w:rsidR="00D2785F" w:rsidRPr="00882F11">
        <w:rPr>
          <w:rFonts w:cs="Guttman Drogolin"/>
          <w:rtl/>
          <w:lang w:bidi="he-IL"/>
        </w:rPr>
        <w:t xml:space="preserve"> </w:t>
      </w:r>
      <w:r w:rsidR="00D2785F" w:rsidRPr="00882F11">
        <w:rPr>
          <w:rFonts w:cs="Guttman Drogolin" w:hint="cs"/>
          <w:rtl/>
          <w:lang w:bidi="he-IL"/>
        </w:rPr>
        <w:t>וליכא"</w:t>
      </w:r>
      <w:r w:rsidR="00C00F82" w:rsidRPr="00882F11">
        <w:rPr>
          <w:rStyle w:val="FootnoteReference"/>
          <w:rFonts w:cs="Guttman Drogolin"/>
          <w:rtl/>
          <w:lang w:bidi="he-IL"/>
        </w:rPr>
        <w:footnoteReference w:id="1"/>
      </w:r>
      <w:r w:rsidR="006D77B2" w:rsidRPr="00882F11">
        <w:rPr>
          <w:rFonts w:cs="Guttman Drogolin" w:hint="cs"/>
          <w:rtl/>
          <w:lang w:bidi="he-IL"/>
        </w:rPr>
        <w:t xml:space="preserve">. ומשמע שאם לא </w:t>
      </w:r>
      <w:r w:rsidR="006D77B2" w:rsidRPr="00882F11">
        <w:rPr>
          <w:rFonts w:cs="Guttman Drogolin" w:hint="cs"/>
          <w:rtl/>
          <w:lang w:bidi="he-IL"/>
        </w:rPr>
        <w:lastRenderedPageBreak/>
        <w:t>אכל כשיעור אין עליו שם אכילה. וכן ראיתי לשון כמה אחרונים</w:t>
      </w:r>
      <w:r w:rsidR="003E0DD6" w:rsidRPr="00882F11">
        <w:rPr>
          <w:rStyle w:val="FootnoteReference"/>
          <w:rFonts w:cs="Guttman Drogolin"/>
          <w:rtl/>
          <w:lang w:bidi="he-IL"/>
        </w:rPr>
        <w:footnoteReference w:id="2"/>
      </w:r>
      <w:r w:rsidR="006D77B2" w:rsidRPr="00882F11">
        <w:rPr>
          <w:rFonts w:cs="Guttman Drogolin" w:hint="cs"/>
          <w:rtl/>
          <w:lang w:bidi="he-IL"/>
        </w:rPr>
        <w:t xml:space="preserve"> שלשונם משמע שאין עליו שם אכילה בפחות מכשיעור.</w:t>
      </w:r>
      <w:r w:rsidR="00C00F82" w:rsidRPr="00882F11">
        <w:rPr>
          <w:rFonts w:cs="Guttman Drogolin" w:hint="cs"/>
          <w:rtl/>
          <w:lang w:bidi="he-IL"/>
        </w:rPr>
        <w:t xml:space="preserve"> וע"כ לפי הצד הזה הא דאמרינן שכזית הוי בכלל שיעורין ר"ל שנתחדש שאם ליכא שיעור ליכא שם איסור איסור אכילה. ומ"מ אפילו </w:t>
      </w:r>
      <w:r w:rsidR="00680794">
        <w:rPr>
          <w:rFonts w:cs="Guttman Drogolin" w:hint="cs"/>
          <w:rtl/>
          <w:lang w:bidi="he-IL"/>
        </w:rPr>
        <w:t>לשיטת</w:t>
      </w:r>
      <w:r w:rsidR="00C00F82" w:rsidRPr="00882F11">
        <w:rPr>
          <w:rFonts w:cs="Guttman Drogolin" w:hint="cs"/>
          <w:rtl/>
          <w:lang w:bidi="he-IL"/>
        </w:rPr>
        <w:t xml:space="preserve">ם יש לחלק בין זה לכגון מעביר פחות מד' אמות ברה"ר שאינו אסור מן התורה אפילו לר' יוחנן, משום שחוסר שיעור באכילה שונה מחוסר שיעור במעביר ד"א ברה"ר. שבאכילה בפחות מכשיעור לא חסר בשם אכילה אלא שיעורה, ולכן כיון שכשמוסיף עלה יש שיעור יש איסור חצי שיעור מדאורייתא. משא"כ במעביר ד"א ברה"ר שהחסרון שיעור אינו עושהו אך ורק חסר שיעור, אלא שאין כאן אפילו מקצת </w:t>
      </w:r>
      <w:r w:rsidR="0034699B" w:rsidRPr="00882F11">
        <w:rPr>
          <w:rFonts w:cs="Guttman Drogolin" w:hint="cs"/>
          <w:rtl/>
          <w:lang w:bidi="he-IL"/>
        </w:rPr>
        <w:t>ואינו אסור כלל</w:t>
      </w:r>
      <w:r w:rsidR="00C00F82" w:rsidRPr="00882F11">
        <w:rPr>
          <w:rFonts w:cs="Guttman Drogolin" w:hint="cs"/>
          <w:rtl/>
          <w:lang w:bidi="he-IL"/>
        </w:rPr>
        <w:t>.</w:t>
      </w:r>
      <w:r w:rsidR="0034699B" w:rsidRPr="00882F11">
        <w:rPr>
          <w:rFonts w:cs="Guttman Drogolin" w:hint="cs"/>
          <w:rtl/>
          <w:lang w:bidi="he-IL"/>
        </w:rPr>
        <w:t xml:space="preserve"> </w:t>
      </w:r>
    </w:p>
    <w:p w:rsidR="009632A6" w:rsidRPr="00882F11" w:rsidRDefault="00890400" w:rsidP="000F4A70">
      <w:pPr>
        <w:tabs>
          <w:tab w:val="left" w:pos="4002"/>
        </w:tabs>
        <w:bidi/>
        <w:jc w:val="both"/>
        <w:rPr>
          <w:rFonts w:cs="Guttman Drogolin"/>
          <w:rtl/>
          <w:lang w:bidi="he-IL"/>
        </w:rPr>
      </w:pPr>
      <w:r w:rsidRPr="00882F11">
        <w:rPr>
          <w:rFonts w:cs="Guttman Drogolin" w:hint="cs"/>
          <w:rtl/>
          <w:lang w:bidi="he-IL"/>
        </w:rPr>
        <w:t xml:space="preserve">ויש לנו עוד נידון </w:t>
      </w:r>
      <w:r w:rsidR="001B055B" w:rsidRPr="00882F11">
        <w:rPr>
          <w:rFonts w:cs="Guttman Drogolin" w:hint="cs"/>
          <w:rtl/>
          <w:lang w:bidi="he-IL"/>
        </w:rPr>
        <w:t xml:space="preserve">שדנין בה כאן בהמשך הסוגיא והוא דינא דטעם כעיקר. ודינא דטעם כעיקר ר"ל שיש איסור אפילו כשאוכל דבר שהוא בעצם מאכל המותרת בכה"ג שיש בה גם טעם של איסור, וכגון אם בישל ירקות עם נבילה באופן שכשאוכל הירקות הרי הוא טועם טעם של נבילה. ודנו האם, ובאיזה ענין טעם הוי כעיקר מדאורייתא. </w:t>
      </w:r>
      <w:r w:rsidR="000F4A70">
        <w:rPr>
          <w:rFonts w:cs="Guttman Drogolin"/>
          <w:rtl/>
          <w:lang w:bidi="he-IL"/>
        </w:rPr>
        <w:fldChar w:fldCharType="begin"/>
      </w:r>
      <w:r w:rsidR="000F4A70">
        <w:instrText xml:space="preserve"> XE "</w:instrText>
      </w:r>
      <w:r w:rsidR="000F4A70" w:rsidRPr="006360E2">
        <w:rPr>
          <w:rFonts w:hint="cs"/>
          <w:rtl/>
          <w:lang w:bidi="he-IL"/>
        </w:rPr>
        <w:instrText>טעם כעיקר</w:instrText>
      </w:r>
      <w:r w:rsidR="000F4A70" w:rsidRPr="006360E2">
        <w:rPr>
          <w:rtl/>
        </w:rPr>
        <w:instrText>:</w:instrText>
      </w:r>
      <w:r w:rsidR="000F4A70" w:rsidRPr="006360E2">
        <w:rPr>
          <w:rFonts w:hint="cs"/>
          <w:rtl/>
          <w:lang w:bidi="he-IL"/>
        </w:rPr>
        <w:instrText>למה לא תלוי בדין חצי שיעור</w:instrText>
      </w:r>
      <w:r w:rsidR="000F4A70">
        <w:instrText xml:space="preserve">" </w:instrText>
      </w:r>
      <w:r w:rsidR="000F4A70">
        <w:rPr>
          <w:rFonts w:cs="Guttman Drogolin"/>
          <w:rtl/>
          <w:lang w:bidi="he-IL"/>
        </w:rPr>
        <w:fldChar w:fldCharType="end"/>
      </w:r>
      <w:r w:rsidR="001B055B" w:rsidRPr="00882F11">
        <w:rPr>
          <w:rFonts w:cs="Guttman Drogolin" w:hint="cs"/>
          <w:rtl/>
          <w:lang w:bidi="he-IL"/>
        </w:rPr>
        <w:t xml:space="preserve">ולכאורה יל"ע מהו כל הספק, שהרי אם אוכל כזית של הירקות הרי ודאי אינו אוכל כזית של הנבילה, ומאידך הרי משהו של נבילה יש, דהא טועם טעם נבילה, ולכאורה א"כ הי' צריך להיות תלוי במחלוקת ר"י ור"ל אם חצי שיעור אסור מן התורה או לא. </w:t>
      </w:r>
    </w:p>
    <w:p w:rsidR="005D4EC1" w:rsidRPr="00882F11" w:rsidRDefault="003F36BD" w:rsidP="00EC4B81">
      <w:pPr>
        <w:tabs>
          <w:tab w:val="left" w:pos="4002"/>
        </w:tabs>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טעם כעיקר</w:instrText>
      </w:r>
      <w:r w:rsidRPr="00882F11">
        <w:rPr>
          <w:rFonts w:cs="Guttman Drogolin"/>
          <w:rtl/>
        </w:rPr>
        <w:instrText>:</w:instrText>
      </w:r>
      <w:r w:rsidRPr="00882F11">
        <w:rPr>
          <w:rFonts w:cs="Guttman Drogolin" w:hint="cs"/>
          <w:rtl/>
          <w:lang w:bidi="he-IL"/>
        </w:rPr>
        <w:instrText>הקדמה של</w:instrText>
      </w:r>
      <w:r w:rsidR="00EC4B81" w:rsidRPr="00882F11">
        <w:rPr>
          <w:rFonts w:cs="Guttman Drogolin" w:hint="cs"/>
          <w:rtl/>
          <w:lang w:bidi="he-IL"/>
        </w:rPr>
        <w:instrText xml:space="preserve"> המחלוקת אי</w:instrText>
      </w:r>
      <w:r w:rsidRPr="00882F11">
        <w:rPr>
          <w:rFonts w:cs="Guttman Drogolin" w:hint="cs"/>
          <w:rtl/>
          <w:lang w:bidi="he-IL"/>
        </w:rPr>
        <w:instrText xml:space="preserve"> אמרינן 'נהפך'</w:instrText>
      </w:r>
      <w:r w:rsidRPr="00882F11">
        <w:rPr>
          <w:rFonts w:cs="Guttman Drogolin"/>
        </w:rPr>
        <w:instrText xml:space="preserve">" </w:instrText>
      </w:r>
      <w:r w:rsidRPr="00882F11">
        <w:rPr>
          <w:rFonts w:cs="Guttman Drogolin"/>
          <w:rtl/>
          <w:lang w:bidi="he-IL"/>
        </w:rPr>
        <w:fldChar w:fldCharType="end"/>
      </w:r>
      <w:r w:rsidR="009632A6" w:rsidRPr="00882F11">
        <w:rPr>
          <w:rFonts w:cs="Guttman Drogolin" w:hint="cs"/>
          <w:rtl/>
          <w:lang w:bidi="he-IL"/>
        </w:rPr>
        <w:t>והנה שיטת רש"י בהמשך הסוגיא היא דלמ"ד טעם כעיקר מדאורייתא יוצא שאין כאן אך ורק</w:t>
      </w:r>
      <w:r w:rsidR="00581B96" w:rsidRPr="00882F11">
        <w:rPr>
          <w:rFonts w:cs="Guttman Drogolin" w:hint="cs"/>
          <w:rtl/>
          <w:lang w:bidi="he-IL"/>
        </w:rPr>
        <w:t xml:space="preserve"> איסור משום הטעם, אלא גם נהפך ה</w:t>
      </w:r>
      <w:r w:rsidR="009632A6" w:rsidRPr="00882F11">
        <w:rPr>
          <w:rFonts w:cs="Guttman Drogolin" w:hint="cs"/>
          <w:rtl/>
          <w:lang w:bidi="he-IL"/>
        </w:rPr>
        <w:t xml:space="preserve">היתר להיות איסור (ובקיצור קוראים למוסג זה 'נהפך'). וכוונתו </w:t>
      </w:r>
      <w:r w:rsidR="009632A6" w:rsidRPr="00882F11">
        <w:rPr>
          <w:rFonts w:cs="Guttman Drogolin" w:hint="cs"/>
          <w:rtl/>
          <w:lang w:bidi="he-IL"/>
        </w:rPr>
        <w:lastRenderedPageBreak/>
        <w:t xml:space="preserve">דלמ"ד </w:t>
      </w:r>
      <w:r w:rsidR="004D3E6E" w:rsidRPr="00882F11">
        <w:rPr>
          <w:rFonts w:cs="Guttman Drogolin" w:hint="cs"/>
          <w:rtl/>
          <w:lang w:bidi="he-IL"/>
        </w:rPr>
        <w:t>טעם כעיקר</w:t>
      </w:r>
      <w:r w:rsidR="009632A6" w:rsidRPr="00882F11">
        <w:rPr>
          <w:rFonts w:cs="Guttman Drogolin" w:hint="cs"/>
          <w:rtl/>
          <w:lang w:bidi="he-IL"/>
        </w:rPr>
        <w:t xml:space="preserve"> מדאורייתא אין גדר האיסור משום שאוכל טעם איסור, רק גדר האיסור משום שאוכל מאכל שיש לו טעם איסור</w:t>
      </w:r>
      <w:r w:rsidR="00497137">
        <w:rPr>
          <w:rStyle w:val="FootnoteReference"/>
          <w:rFonts w:cs="Guttman Drogolin"/>
          <w:rtl/>
          <w:lang w:bidi="he-IL"/>
        </w:rPr>
        <w:footnoteReference w:id="3"/>
      </w:r>
      <w:r w:rsidR="009632A6" w:rsidRPr="00882F11">
        <w:rPr>
          <w:rFonts w:cs="Guttman Drogolin" w:hint="cs"/>
          <w:rtl/>
          <w:lang w:bidi="he-IL"/>
        </w:rPr>
        <w:t xml:space="preserve">. ולכן </w:t>
      </w:r>
      <w:r w:rsidR="005D4EC1" w:rsidRPr="00882F11">
        <w:rPr>
          <w:rFonts w:cs="Guttman Drogolin" w:hint="cs"/>
          <w:rtl/>
          <w:lang w:bidi="he-IL"/>
        </w:rPr>
        <w:t>ל</w:t>
      </w:r>
      <w:r w:rsidR="009632A6" w:rsidRPr="00882F11">
        <w:rPr>
          <w:rFonts w:cs="Guttman Drogolin" w:hint="cs"/>
          <w:rtl/>
          <w:lang w:bidi="he-IL"/>
        </w:rPr>
        <w:t xml:space="preserve">דוגמא הירקות עצמן הם מאכלות אסורות כיון שהן מאכלות שיש להן טעם איסור. ובקו"ש (אות קע"ה) רצה לחדש עוד יותר מזה, והוא דלמ"ד דאמרינן </w:t>
      </w:r>
      <w:r w:rsidR="004D3E6E" w:rsidRPr="00882F11">
        <w:rPr>
          <w:rFonts w:cs="Guttman Drogolin" w:hint="cs"/>
          <w:rtl/>
          <w:lang w:bidi="he-IL"/>
        </w:rPr>
        <w:t>טעם כעיקר</w:t>
      </w:r>
      <w:r w:rsidR="009632A6" w:rsidRPr="00882F11">
        <w:rPr>
          <w:rFonts w:cs="Guttman Drogolin" w:hint="cs"/>
          <w:rtl/>
          <w:lang w:bidi="he-IL"/>
        </w:rPr>
        <w:t xml:space="preserve"> מדאורייתא ונהפך ההיתר להיות איסור, יוצא שבכל המאכלות האסורות לא אסרה תורה המאכ</w:t>
      </w:r>
      <w:r w:rsidR="00653E64" w:rsidRPr="00882F11">
        <w:rPr>
          <w:rFonts w:cs="Guttman Drogolin" w:hint="cs"/>
          <w:rtl/>
          <w:lang w:bidi="he-IL"/>
        </w:rPr>
        <w:t>ל</w:t>
      </w:r>
      <w:r w:rsidR="009632A6" w:rsidRPr="00882F11">
        <w:rPr>
          <w:rFonts w:cs="Guttman Drogolin" w:hint="cs"/>
          <w:rtl/>
          <w:lang w:bidi="he-IL"/>
        </w:rPr>
        <w:t xml:space="preserve"> מצד עצמו, רק אסר אותו כיון שיש בה טעם איסור. ויוצא שגם הנבילה עצמה הטעם שאסור לאכלו אינו משום היותו נבילה בעצם, רק משום שיש לו טעם נבילה. ולכאורה לולא דבריו הי' אפשר לומר קצת באופן אחר, </w:t>
      </w:r>
      <w:r w:rsidR="00974C15" w:rsidRPr="00882F11">
        <w:rPr>
          <w:rFonts w:cs="Guttman Drogolin" w:hint="cs"/>
          <w:rtl/>
          <w:lang w:bidi="he-IL"/>
        </w:rPr>
        <w:t>והוא דלעולם כשאוכל נבילה ודאי עובר משום שאוכל חפצא של נבילה ולא רק משום שיש בה טעם נבילה. אבל התחדש עוד יותר מזה מדינא ד</w:t>
      </w:r>
      <w:r w:rsidR="004D3E6E" w:rsidRPr="00882F11">
        <w:rPr>
          <w:rFonts w:cs="Guttman Drogolin" w:hint="cs"/>
          <w:rtl/>
          <w:lang w:bidi="he-IL"/>
        </w:rPr>
        <w:t>טעם כעיקר</w:t>
      </w:r>
      <w:r w:rsidR="00974C15" w:rsidRPr="00882F11">
        <w:rPr>
          <w:rFonts w:cs="Guttman Drogolin" w:hint="cs"/>
          <w:rtl/>
          <w:lang w:bidi="he-IL"/>
        </w:rPr>
        <w:t xml:space="preserve"> שאפילו מאכל שיש בו טעם איסור הרי הוא חפצא דאיסורא. ונפק"מ ב</w:t>
      </w:r>
      <w:r w:rsidR="005D4EC1" w:rsidRPr="00882F11">
        <w:rPr>
          <w:rFonts w:cs="Guttman Drogolin" w:hint="cs"/>
          <w:rtl/>
          <w:lang w:bidi="he-IL"/>
        </w:rPr>
        <w:t>ין הפירושים שאילו הי' שייך שלא יהי' לנבילה טעם נבילה, לפי ה</w:t>
      </w:r>
      <w:r w:rsidR="00856800" w:rsidRPr="00882F11">
        <w:rPr>
          <w:rFonts w:cs="Guttman Drogolin" w:hint="cs"/>
          <w:rtl/>
          <w:lang w:bidi="he-IL"/>
        </w:rPr>
        <w:t>קו"ש</w:t>
      </w:r>
      <w:r w:rsidR="005D4EC1" w:rsidRPr="00882F11">
        <w:rPr>
          <w:rFonts w:cs="Guttman Drogolin" w:hint="cs"/>
          <w:rtl/>
          <w:lang w:bidi="he-IL"/>
        </w:rPr>
        <w:t xml:space="preserve"> הי' צריך להיות מותר, אבל לפי הפירוש השני עדיין יהא אסור. ועכ"פ לב' הפירושים הנ"ל במ"ד דאמרינן 'נהפך' מובן היטב הנידון של </w:t>
      </w:r>
      <w:r w:rsidR="004D3E6E" w:rsidRPr="00882F11">
        <w:rPr>
          <w:rFonts w:cs="Guttman Drogolin" w:hint="cs"/>
          <w:rtl/>
          <w:lang w:bidi="he-IL"/>
        </w:rPr>
        <w:t>טעם כעיקר</w:t>
      </w:r>
      <w:r w:rsidR="005D4EC1" w:rsidRPr="00882F11">
        <w:rPr>
          <w:rFonts w:cs="Guttman Drogolin" w:hint="cs"/>
          <w:rtl/>
          <w:lang w:bidi="he-IL"/>
        </w:rPr>
        <w:t xml:space="preserve"> אי הוי מדאורייתא או לא, שהוא נידון אם דבר מאכל שיש לו טעם איסור נהפך להיות כולו חפצא דאיסורא באופן שאוכל אפילו כזית של הדבר היתר כבר עבר, או לא.</w:t>
      </w:r>
    </w:p>
    <w:p w:rsidR="00476893" w:rsidRPr="00882F11" w:rsidRDefault="005D4EC1" w:rsidP="000F4A70">
      <w:pPr>
        <w:tabs>
          <w:tab w:val="left" w:pos="4002"/>
        </w:tabs>
        <w:bidi/>
        <w:jc w:val="both"/>
        <w:rPr>
          <w:rFonts w:cs="Guttman Drogolin"/>
          <w:rtl/>
          <w:lang w:bidi="he-IL"/>
        </w:rPr>
      </w:pPr>
      <w:r w:rsidRPr="00882F11">
        <w:rPr>
          <w:rFonts w:cs="Guttman Drogolin" w:hint="cs"/>
          <w:rtl/>
          <w:lang w:bidi="he-IL"/>
        </w:rPr>
        <w:t>אמנם יש ראשונים שחולקים על שיטת רש"י וכמו שנר</w:t>
      </w:r>
      <w:r w:rsidR="003666C3" w:rsidRPr="00882F11">
        <w:rPr>
          <w:rFonts w:cs="Guttman Drogolin" w:hint="cs"/>
          <w:rtl/>
          <w:lang w:bidi="he-IL"/>
        </w:rPr>
        <w:t>א</w:t>
      </w:r>
      <w:r w:rsidRPr="00882F11">
        <w:rPr>
          <w:rFonts w:cs="Guttman Drogolin" w:hint="cs"/>
          <w:rtl/>
          <w:lang w:bidi="he-IL"/>
        </w:rPr>
        <w:t>ה בעזהי"ת בהמשך הדברים.</w:t>
      </w:r>
      <w:r w:rsidR="003666C3" w:rsidRPr="00882F11">
        <w:rPr>
          <w:rFonts w:cs="Guttman Drogolin" w:hint="cs"/>
          <w:rtl/>
          <w:lang w:bidi="he-IL"/>
        </w:rPr>
        <w:t xml:space="preserve"> ולדידהו עדיין יל"ע מהו הנידון של </w:t>
      </w:r>
      <w:r w:rsidR="004D3E6E" w:rsidRPr="00882F11">
        <w:rPr>
          <w:rFonts w:cs="Guttman Drogolin" w:hint="cs"/>
          <w:rtl/>
          <w:lang w:bidi="he-IL"/>
        </w:rPr>
        <w:t>טעם כעיקר</w:t>
      </w:r>
      <w:r w:rsidR="003666C3" w:rsidRPr="00882F11">
        <w:rPr>
          <w:rFonts w:cs="Guttman Drogolin" w:hint="cs"/>
          <w:rtl/>
          <w:lang w:bidi="he-IL"/>
        </w:rPr>
        <w:t xml:space="preserve">. </w:t>
      </w:r>
      <w:r w:rsidR="000F4A70">
        <w:rPr>
          <w:rFonts w:cs="Guttman Drogolin" w:hint="cs"/>
          <w:rtl/>
          <w:lang w:bidi="he-IL"/>
        </w:rPr>
        <w:t>ויש ליישב דבר זה בב' אנפי. חדא דהנה</w:t>
      </w:r>
      <w:r w:rsidR="003666C3" w:rsidRPr="00882F11">
        <w:rPr>
          <w:rFonts w:cs="Guttman Drogolin" w:hint="cs"/>
          <w:rtl/>
          <w:lang w:bidi="he-IL"/>
        </w:rPr>
        <w:t xml:space="preserve"> לכאורה מבואר מכמה ראשונים </w:t>
      </w:r>
      <w:r w:rsidR="000F4A70">
        <w:rPr>
          <w:rFonts w:cs="Guttman Drogolin" w:hint="cs"/>
          <w:rtl/>
          <w:lang w:bidi="he-IL"/>
        </w:rPr>
        <w:t xml:space="preserve">דאלמלא הגזה"כ דטעם כעיקר הו"א </w:t>
      </w:r>
      <w:r w:rsidR="003666C3" w:rsidRPr="00882F11">
        <w:rPr>
          <w:rFonts w:cs="Guttman Drogolin" w:hint="cs"/>
          <w:rtl/>
          <w:lang w:bidi="he-IL"/>
        </w:rPr>
        <w:t xml:space="preserve">שכיון שאינו אלא טעם ולא ממשו של האיסור, הי' ס"ד שאין כאן איסור כלל, </w:t>
      </w:r>
      <w:r w:rsidR="00322CF9" w:rsidRPr="00882F11">
        <w:rPr>
          <w:rFonts w:cs="Guttman Drogolin" w:hint="cs"/>
          <w:rtl/>
          <w:lang w:bidi="he-IL"/>
        </w:rPr>
        <w:t>זאת אומרת</w:t>
      </w:r>
      <w:r w:rsidR="003666C3" w:rsidRPr="00882F11">
        <w:rPr>
          <w:rFonts w:cs="Guttman Drogolin" w:hint="cs"/>
          <w:rtl/>
          <w:lang w:bidi="he-IL"/>
        </w:rPr>
        <w:t xml:space="preserve"> שאין כאן חצי שיעור של החפצא דאיסורא עצמה, רק טעם בעלמא, וסד"א שאין כאן איסור</w:t>
      </w:r>
      <w:r w:rsidR="00322CF9" w:rsidRPr="00882F11">
        <w:rPr>
          <w:rFonts w:cs="Guttman Drogolin" w:hint="cs"/>
          <w:rtl/>
          <w:lang w:bidi="he-IL"/>
        </w:rPr>
        <w:t xml:space="preserve"> כלל</w:t>
      </w:r>
      <w:r w:rsidR="003666C3" w:rsidRPr="00882F11">
        <w:rPr>
          <w:rFonts w:cs="Guttman Drogolin" w:hint="cs"/>
          <w:rtl/>
          <w:lang w:bidi="he-IL"/>
        </w:rPr>
        <w:t>. וקמ"ל שיש כאן איסור כיון שאוכל דבר עם טעם איסור.</w:t>
      </w:r>
      <w:r w:rsidR="000F4A70">
        <w:rPr>
          <w:rFonts w:cs="Guttman Drogolin" w:hint="cs"/>
          <w:rtl/>
          <w:lang w:bidi="he-IL"/>
        </w:rPr>
        <w:t xml:space="preserve"> אלא שזה לא מיישב אלא לשיטת ר' יוחנן דחצי שיעור אסור מן התורה, ולכן עדיין תיקשי לר"ל מא"ל. אלא שיש עוד לומר ש</w:t>
      </w:r>
      <w:r w:rsidR="00322CF9" w:rsidRPr="00882F11">
        <w:rPr>
          <w:rFonts w:cs="Guttman Drogolin" w:hint="cs"/>
          <w:rtl/>
          <w:lang w:bidi="he-IL"/>
        </w:rPr>
        <w:t xml:space="preserve">יש חידוש נוסף בדין טעם </w:t>
      </w:r>
      <w:r w:rsidR="00322CF9" w:rsidRPr="00882F11">
        <w:rPr>
          <w:rFonts w:cs="Guttman Drogolin" w:hint="cs"/>
          <w:rtl/>
          <w:lang w:bidi="he-IL"/>
        </w:rPr>
        <w:lastRenderedPageBreak/>
        <w:t>(וי"א שאינו מבוסס על הדין של טעם כעיקר רק כלל אחר יש - ויש אומרים גם להיפך, ואכמ"ל)</w:t>
      </w:r>
      <w:r w:rsidR="003666C3" w:rsidRPr="00882F11">
        <w:rPr>
          <w:rFonts w:cs="Guttman Drogolin" w:hint="cs"/>
          <w:rtl/>
          <w:lang w:bidi="he-IL"/>
        </w:rPr>
        <w:t xml:space="preserve"> </w:t>
      </w:r>
      <w:r w:rsidR="00322CF9" w:rsidRPr="00882F11">
        <w:rPr>
          <w:rFonts w:cs="Guttman Drogolin" w:hint="cs"/>
          <w:rtl/>
          <w:lang w:bidi="he-IL"/>
        </w:rPr>
        <w:t>והוא שהרי אם יש תערובת של איסור והיתר יש לנו כלל של ביטול ברוב. ולכן בכגון תערובת של שני דברים שטעמם שוה (מה שקוראים תערובת של מין במינו</w:t>
      </w:r>
      <w:r w:rsidR="00C44726" w:rsidRPr="00882F11">
        <w:rPr>
          <w:rFonts w:cs="Guttman Drogolin" w:hint="cs"/>
          <w:rtl/>
          <w:lang w:bidi="he-IL"/>
        </w:rPr>
        <w:t xml:space="preserve">) רק שא' מהם איסור וא' מהם היתר, הדין הוא (למ"ד מין במינו בטל ואכמ"ל בזה) שמותר לאכול את כל התערובת. והיינו דאע"ג שאין ספק שבמציאות הרי הוא אוכל הדבר איסור, שהרי הוא מעורב בתוך התערובת, מ"מ נאמרה ההלכה שהרוב מבטל את המיעוט ואין לתערובת אלא דינו של הרוב. ולמדו דבר זה מגזה"כ דאחרי רבים להטות. ומ"מ הנ"מ כשטעמם שוה, אבל כשמרגיש טעם האיסור בתוך התערובת, הרי זה מונע ממנו הביטול ועדיין איסורו עליו. </w:t>
      </w:r>
      <w:r w:rsidRPr="00882F11">
        <w:rPr>
          <w:rFonts w:cs="Guttman Drogolin" w:hint="cs"/>
          <w:rtl/>
          <w:lang w:bidi="he-IL"/>
        </w:rPr>
        <w:t xml:space="preserve">   </w:t>
      </w:r>
      <w:r w:rsidR="009632A6" w:rsidRPr="00882F11">
        <w:rPr>
          <w:rFonts w:cs="Guttman Drogolin" w:hint="cs"/>
          <w:rtl/>
          <w:lang w:bidi="he-IL"/>
        </w:rPr>
        <w:t xml:space="preserve">  </w:t>
      </w:r>
      <w:r w:rsidR="00C00F82" w:rsidRPr="00882F11">
        <w:rPr>
          <w:rFonts w:cs="Guttman Drogolin" w:hint="cs"/>
          <w:rtl/>
          <w:lang w:bidi="he-IL"/>
        </w:rPr>
        <w:t xml:space="preserve">  </w:t>
      </w:r>
      <w:r w:rsidR="006D77B2" w:rsidRPr="00882F11">
        <w:rPr>
          <w:rFonts w:cs="Guttman Drogolin" w:hint="cs"/>
          <w:rtl/>
          <w:lang w:bidi="he-IL"/>
        </w:rPr>
        <w:t xml:space="preserve"> </w:t>
      </w:r>
      <w:r w:rsidR="00D2785F" w:rsidRPr="00882F11">
        <w:rPr>
          <w:rFonts w:cs="Guttman Drogolin" w:hint="cs"/>
          <w:rtl/>
          <w:lang w:bidi="he-IL"/>
        </w:rPr>
        <w:t xml:space="preserve"> </w:t>
      </w:r>
    </w:p>
    <w:p w:rsidR="00C44726" w:rsidRPr="00882F11" w:rsidRDefault="00C44726" w:rsidP="0078079C">
      <w:pPr>
        <w:pStyle w:val="Heading1"/>
        <w:bidi/>
        <w:spacing w:before="0" w:line="360" w:lineRule="auto"/>
        <w:jc w:val="center"/>
        <w:rPr>
          <w:rFonts w:cs="Guttman Drogolin"/>
          <w:color w:val="auto"/>
          <w:sz w:val="24"/>
          <w:szCs w:val="24"/>
          <w:u w:val="single"/>
          <w:rtl/>
          <w:lang w:bidi="he-IL"/>
        </w:rPr>
      </w:pPr>
      <w:bookmarkStart w:id="1" w:name="_Toc496175270"/>
      <w:r w:rsidRPr="00882F11">
        <w:rPr>
          <w:rFonts w:cs="Guttman Drogolin" w:hint="cs"/>
          <w:color w:val="auto"/>
          <w:sz w:val="24"/>
          <w:szCs w:val="24"/>
          <w:u w:val="single"/>
          <w:rtl/>
          <w:lang w:bidi="he-IL"/>
        </w:rPr>
        <w:t>הסוגיא של היתר מצטרף לאיסור</w:t>
      </w:r>
      <w:bookmarkEnd w:id="1"/>
    </w:p>
    <w:p w:rsidR="00B931F4" w:rsidRPr="00882F11" w:rsidRDefault="00EC4B81" w:rsidP="00C44726">
      <w:pPr>
        <w:tabs>
          <w:tab w:val="left" w:pos="1183"/>
        </w:tabs>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היתר מצטרף לאיסור</w:instrText>
      </w:r>
      <w:r w:rsidRPr="00882F11">
        <w:rPr>
          <w:rFonts w:cs="Guttman Drogolin"/>
          <w:rtl/>
        </w:rPr>
        <w:instrText>:</w:instrText>
      </w:r>
      <w:r w:rsidRPr="00882F11">
        <w:rPr>
          <w:rFonts w:cs="Guttman Drogolin" w:hint="cs"/>
          <w:rtl/>
          <w:lang w:bidi="he-IL"/>
        </w:rPr>
        <w:instrText>הקדמה</w:instrText>
      </w:r>
      <w:r w:rsidRPr="00882F11">
        <w:rPr>
          <w:rFonts w:cs="Guttman Drogolin"/>
        </w:rPr>
        <w:instrText xml:space="preserve">" </w:instrText>
      </w:r>
      <w:r w:rsidRPr="00882F11">
        <w:rPr>
          <w:rFonts w:cs="Guttman Drogolin"/>
          <w:rtl/>
          <w:lang w:bidi="he-IL"/>
        </w:rPr>
        <w:fldChar w:fldCharType="end"/>
      </w:r>
      <w:r w:rsidR="00C44726" w:rsidRPr="00882F11">
        <w:rPr>
          <w:rFonts w:cs="Guttman Drogolin" w:hint="cs"/>
          <w:rtl/>
          <w:lang w:bidi="he-IL"/>
        </w:rPr>
        <w:t>במס' פסחים בסוף דף מ"ג ע"ב אמר ר' אבהו בשם ר' יוחנן שבכל איסורים שבתורה אין היתר מצטרף לאיסור חוץ מאיסורי נזיר מגזה"כ דמשרת. וזעירי הוסיף גם האיסור של הקטרת שאור</w:t>
      </w:r>
      <w:r w:rsidR="005C4ED0" w:rsidRPr="00882F11">
        <w:rPr>
          <w:rFonts w:cs="Guttman Drogolin" w:hint="cs"/>
          <w:rtl/>
          <w:lang w:bidi="he-IL"/>
        </w:rPr>
        <w:t xml:space="preserve"> אליבא דר"א, ומסיק הגמ' דכוונתו בזה לאפוקי מדאביי </w:t>
      </w:r>
      <w:r w:rsidR="009D371B" w:rsidRPr="00882F11">
        <w:rPr>
          <w:rFonts w:cs="Guttman Drogolin" w:hint="cs"/>
          <w:rtl/>
          <w:lang w:bidi="he-IL"/>
        </w:rPr>
        <w:t xml:space="preserve">דסבר שיש הקטרה פחותה מכזית, </w:t>
      </w:r>
      <w:r w:rsidR="005C4ED0" w:rsidRPr="00882F11">
        <w:rPr>
          <w:rFonts w:cs="Guttman Drogolin" w:hint="cs"/>
          <w:rtl/>
          <w:lang w:bidi="he-IL"/>
        </w:rPr>
        <w:t xml:space="preserve">ובאמת גם בחמץ בפסח היתר מצטרף לאיסור אליבא דר"א. ונחלקו רש"י ותוס' בביאור הכלל של היתר מצטרף לאיסור. רש"י למד שהיתר מצטרף לאיסור אפילו אם אין האיסור וההיתר מעורבים, ולכן הרי הוא נלמד אליבא דר"א בלימוד של 'מקצתו' בהקטרת שאור. </w:t>
      </w:r>
      <w:r w:rsidR="00B931F4" w:rsidRPr="00882F11">
        <w:rPr>
          <w:rFonts w:cs="Guttman Drogolin" w:hint="cs"/>
          <w:rtl/>
          <w:lang w:bidi="he-IL"/>
        </w:rPr>
        <w:t xml:space="preserve">והתוס' סוברים שאינו עובר אא"כ הוא בתערובת, ובהקטרת שאור הרי הוא בכלל הלימוד של 'עירובו'. </w:t>
      </w:r>
    </w:p>
    <w:p w:rsidR="000A7A11" w:rsidRPr="00882F11" w:rsidRDefault="000F4A70" w:rsidP="000F4A70">
      <w:pPr>
        <w:tabs>
          <w:tab w:val="left" w:pos="1183"/>
        </w:tabs>
        <w:bidi/>
        <w:jc w:val="both"/>
        <w:rPr>
          <w:rFonts w:cs="Guttman Drogolin"/>
          <w:rtl/>
          <w:lang w:bidi="he-IL"/>
        </w:rPr>
      </w:pPr>
      <w:r>
        <w:rPr>
          <w:rFonts w:cs="Guttman Drogolin"/>
          <w:rtl/>
          <w:lang w:bidi="he-IL"/>
        </w:rPr>
        <w:fldChar w:fldCharType="begin"/>
      </w:r>
      <w:r>
        <w:instrText xml:space="preserve"> XE "</w:instrText>
      </w:r>
      <w:r w:rsidRPr="00A904F8">
        <w:rPr>
          <w:rFonts w:hint="cs"/>
          <w:rtl/>
          <w:lang w:bidi="he-IL"/>
        </w:rPr>
        <w:instrText>היתר מצטרף לאיסור</w:instrText>
      </w:r>
      <w:r w:rsidRPr="00A904F8">
        <w:rPr>
          <w:rtl/>
        </w:rPr>
        <w:instrText>:</w:instrText>
      </w:r>
      <w:r w:rsidRPr="00A904F8">
        <w:rPr>
          <w:rFonts w:hint="cs"/>
          <w:rtl/>
          <w:lang w:bidi="he-IL"/>
        </w:rPr>
        <w:instrText>מחלוקת רש</w:instrText>
      </w:r>
      <w:r>
        <w:rPr>
          <w:rFonts w:eastAsiaTheme="minorEastAsia"/>
          <w:lang w:bidi="he-IL"/>
        </w:rPr>
        <w:instrText>\</w:instrText>
      </w:r>
      <w:r w:rsidRPr="00A904F8">
        <w:rPr>
          <w:rFonts w:hint="cs"/>
          <w:rtl/>
          <w:lang w:bidi="he-IL"/>
        </w:rPr>
        <w:instrText>"י ותוספות בדינו</w:instrText>
      </w:r>
      <w:r>
        <w:instrText xml:space="preserve">" </w:instrText>
      </w:r>
      <w:r>
        <w:rPr>
          <w:rFonts w:cs="Guttman Drogolin"/>
          <w:rtl/>
          <w:lang w:bidi="he-IL"/>
        </w:rPr>
        <w:fldChar w:fldCharType="end"/>
      </w:r>
      <w:r w:rsidR="00B931F4" w:rsidRPr="00882F11">
        <w:rPr>
          <w:rFonts w:cs="Guttman Drogolin" w:hint="cs"/>
          <w:rtl/>
          <w:lang w:bidi="he-IL"/>
        </w:rPr>
        <w:t xml:space="preserve">וביארו האחרונים (ע' קו"ש, וקה"י במס' ע"ז סי' כ"ו) שרש"י ותוס' נחלקו ביסוד הדין של היתר מצטרף לאיסור. דהנה אלמלא הלימוד של היתר מצטרף לאיסור, הדין הוא שהכזית שצריך לאכול כדי להתחייב במאכלות האסורות </w:t>
      </w:r>
      <w:r w:rsidR="00744980" w:rsidRPr="00882F11">
        <w:rPr>
          <w:rFonts w:cs="Guttman Drogolin" w:hint="cs"/>
          <w:rtl/>
          <w:lang w:bidi="he-IL"/>
        </w:rPr>
        <w:t>הוא</w:t>
      </w:r>
      <w:r w:rsidR="00B931F4" w:rsidRPr="00882F11">
        <w:rPr>
          <w:rFonts w:cs="Guttman Drogolin" w:hint="cs"/>
          <w:rtl/>
          <w:lang w:bidi="he-IL"/>
        </w:rPr>
        <w:t xml:space="preserve"> כזית מן האיסור</w:t>
      </w:r>
      <w:r w:rsidR="00744980" w:rsidRPr="00882F11">
        <w:rPr>
          <w:rFonts w:cs="Guttman Drogolin" w:hint="cs"/>
          <w:rtl/>
          <w:lang w:bidi="he-IL"/>
        </w:rPr>
        <w:t xml:space="preserve"> עצמו</w:t>
      </w:r>
      <w:r w:rsidR="00B931F4" w:rsidRPr="00882F11">
        <w:rPr>
          <w:rFonts w:cs="Guttman Drogolin" w:hint="cs"/>
          <w:rtl/>
          <w:lang w:bidi="he-IL"/>
        </w:rPr>
        <w:t>, ו</w:t>
      </w:r>
      <w:r w:rsidR="00744980" w:rsidRPr="00882F11">
        <w:rPr>
          <w:rFonts w:cs="Guttman Drogolin" w:hint="cs"/>
          <w:rtl/>
          <w:lang w:bidi="he-IL"/>
        </w:rPr>
        <w:t>לא מהני זה שאכל</w:t>
      </w:r>
      <w:r w:rsidR="00B931F4" w:rsidRPr="00882F11">
        <w:rPr>
          <w:rFonts w:cs="Guttman Drogolin" w:hint="cs"/>
          <w:rtl/>
          <w:lang w:bidi="he-IL"/>
        </w:rPr>
        <w:t xml:space="preserve"> </w:t>
      </w:r>
      <w:r w:rsidR="00744980" w:rsidRPr="00882F11">
        <w:rPr>
          <w:rFonts w:cs="Guttman Drogolin" w:hint="cs"/>
          <w:rtl/>
          <w:lang w:bidi="he-IL"/>
        </w:rPr>
        <w:t xml:space="preserve">סה"כ </w:t>
      </w:r>
      <w:r w:rsidR="00780AA6" w:rsidRPr="00882F11">
        <w:rPr>
          <w:rFonts w:cs="Guttman Drogolin" w:hint="cs"/>
          <w:rtl/>
          <w:lang w:bidi="he-IL"/>
        </w:rPr>
        <w:t xml:space="preserve">כזית </w:t>
      </w:r>
      <w:r w:rsidR="009D371B" w:rsidRPr="00882F11">
        <w:rPr>
          <w:rFonts w:cs="Guttman Drogolin" w:hint="cs"/>
          <w:rtl/>
          <w:lang w:bidi="he-IL"/>
        </w:rPr>
        <w:t>ביחד עם מאכלים אחרים</w:t>
      </w:r>
      <w:r w:rsidR="00744980" w:rsidRPr="00882F11">
        <w:rPr>
          <w:rFonts w:cs="Guttman Drogolin" w:hint="cs"/>
          <w:rtl/>
          <w:lang w:bidi="he-IL"/>
        </w:rPr>
        <w:t xml:space="preserve">. ובזה קמ"ל קרא </w:t>
      </w:r>
      <w:r w:rsidR="00744980" w:rsidRPr="00882F11">
        <w:rPr>
          <w:rFonts w:cs="Guttman Drogolin" w:hint="cs"/>
          <w:rtl/>
          <w:lang w:bidi="he-IL"/>
        </w:rPr>
        <w:lastRenderedPageBreak/>
        <w:t xml:space="preserve">דמשרת דעכ"פ באיסורי נזיר אמרינן דהיתר מצטרף לאיסור. ובביאור מה שחידשה תורה לכאורה הדבר תלוי במש"נ לעיל, שאם </w:t>
      </w:r>
      <w:r>
        <w:rPr>
          <w:rFonts w:cs="Guttman Drogolin" w:hint="cs"/>
          <w:rtl/>
          <w:lang w:bidi="he-IL"/>
        </w:rPr>
        <w:t xml:space="preserve">גדר </w:t>
      </w:r>
      <w:r w:rsidR="00744980" w:rsidRPr="00882F11">
        <w:rPr>
          <w:rFonts w:cs="Guttman Drogolin" w:hint="cs"/>
          <w:rtl/>
          <w:lang w:bidi="he-IL"/>
        </w:rPr>
        <w:t xml:space="preserve">הדין </w:t>
      </w:r>
      <w:r>
        <w:rPr>
          <w:rFonts w:cs="Guttman Drogolin" w:hint="cs"/>
          <w:rtl/>
          <w:lang w:bidi="he-IL"/>
        </w:rPr>
        <w:t xml:space="preserve">של </w:t>
      </w:r>
      <w:r w:rsidR="00744980" w:rsidRPr="00882F11">
        <w:rPr>
          <w:rFonts w:cs="Guttman Drogolin" w:hint="cs"/>
          <w:rtl/>
          <w:lang w:bidi="he-IL"/>
        </w:rPr>
        <w:t>שיעור כזית משום שפחות משיעור כזית אין עליו שם מעשה אכילה, א"כ חידשה תורה בנזיר שהרי הוא עובר כיון שהי' האכילת הענבים חלק של מעשה אכילה, ולכן כיון שאכל גם דברים אחרים עם הענבים</w:t>
      </w:r>
      <w:r w:rsidR="000A7A11" w:rsidRPr="00882F11">
        <w:rPr>
          <w:rFonts w:cs="Guttman Drogolin" w:hint="cs"/>
          <w:rtl/>
          <w:lang w:bidi="he-IL"/>
        </w:rPr>
        <w:t xml:space="preserve"> והי' סה"כ כזית, הצטרף ההיתר עם האיסור לייצר מעשה אכילה, וכיון שהי' אכילת הענבים חלק של מעשה אכילה הרי הוא חייב</w:t>
      </w:r>
      <w:r w:rsidR="00A35944" w:rsidRPr="00882F11">
        <w:rPr>
          <w:rStyle w:val="FootnoteReference"/>
          <w:rFonts w:cs="Guttman Drogolin"/>
          <w:rtl/>
          <w:lang w:bidi="he-IL"/>
        </w:rPr>
        <w:footnoteReference w:id="4"/>
      </w:r>
      <w:r w:rsidR="000A7A11" w:rsidRPr="00882F11">
        <w:rPr>
          <w:rFonts w:cs="Guttman Drogolin" w:hint="cs"/>
          <w:rtl/>
          <w:lang w:bidi="he-IL"/>
        </w:rPr>
        <w:t xml:space="preserve">. ולפי' השני הנ"ל כוונת הפסוק הוא שלעולם גם לפחות מכשיעור יש שם אכילה, רק </w:t>
      </w:r>
      <w:r w:rsidR="00856800" w:rsidRPr="00882F11">
        <w:rPr>
          <w:rFonts w:cs="Guttman Drogolin" w:hint="cs"/>
          <w:rtl/>
          <w:lang w:bidi="he-IL"/>
        </w:rPr>
        <w:t xml:space="preserve">שצריכים אכילה </w:t>
      </w:r>
      <w:r w:rsidR="000A7A11" w:rsidRPr="00882F11">
        <w:rPr>
          <w:rFonts w:cs="Guttman Drogolin" w:hint="cs"/>
          <w:rtl/>
          <w:lang w:bidi="he-IL"/>
        </w:rPr>
        <w:t>חש</w:t>
      </w:r>
      <w:r w:rsidR="00856800" w:rsidRPr="00882F11">
        <w:rPr>
          <w:rFonts w:cs="Guttman Drogolin" w:hint="cs"/>
          <w:rtl/>
          <w:lang w:bidi="he-IL"/>
        </w:rPr>
        <w:t>ו</w:t>
      </w:r>
      <w:r w:rsidR="000A7A11" w:rsidRPr="00882F11">
        <w:rPr>
          <w:rFonts w:cs="Guttman Drogolin" w:hint="cs"/>
          <w:rtl/>
          <w:lang w:bidi="he-IL"/>
        </w:rPr>
        <w:t>ב</w:t>
      </w:r>
      <w:r w:rsidR="00856800" w:rsidRPr="00882F11">
        <w:rPr>
          <w:rFonts w:cs="Guttman Drogolin" w:hint="cs"/>
          <w:rtl/>
          <w:lang w:bidi="he-IL"/>
        </w:rPr>
        <w:t>ה</w:t>
      </w:r>
      <w:r w:rsidR="000A7A11" w:rsidRPr="00882F11">
        <w:rPr>
          <w:rFonts w:cs="Guttman Drogolin" w:hint="cs"/>
          <w:rtl/>
          <w:lang w:bidi="he-IL"/>
        </w:rPr>
        <w:t xml:space="preserve">, ואלמלא הגזה"כ בעינן חשיבות של המאכל עצמו, אבל לאחר שחידשה תורה שהיתר מצטרף לאיסור, יכול ליחשב מעשה אכילה חשובה גם ע"י מאכלים אחרים. </w:t>
      </w:r>
    </w:p>
    <w:p w:rsidR="00597C35" w:rsidRPr="00882F11" w:rsidRDefault="000A7A11" w:rsidP="000F4A70">
      <w:pPr>
        <w:tabs>
          <w:tab w:val="left" w:pos="1183"/>
        </w:tabs>
        <w:bidi/>
        <w:jc w:val="both"/>
        <w:rPr>
          <w:rFonts w:cs="Guttman Drogolin"/>
          <w:rtl/>
          <w:lang w:bidi="he-IL"/>
        </w:rPr>
      </w:pPr>
      <w:r w:rsidRPr="00882F11">
        <w:rPr>
          <w:rFonts w:cs="Guttman Drogolin" w:hint="cs"/>
          <w:rtl/>
          <w:lang w:bidi="he-IL"/>
        </w:rPr>
        <w:t xml:space="preserve">אמנם הביאור הזה אינו אלא לשיטת רש"י, שלדידי' חידשה תורה שמצטרף </w:t>
      </w:r>
      <w:r w:rsidR="00A35944" w:rsidRPr="00882F11">
        <w:rPr>
          <w:rFonts w:cs="Guttman Drogolin" w:hint="cs"/>
          <w:rtl/>
          <w:lang w:bidi="he-IL"/>
        </w:rPr>
        <w:t>היתר ל</w:t>
      </w:r>
      <w:r w:rsidRPr="00882F11">
        <w:rPr>
          <w:rFonts w:cs="Guttman Drogolin" w:hint="cs"/>
          <w:rtl/>
          <w:lang w:bidi="he-IL"/>
        </w:rPr>
        <w:t xml:space="preserve">איסור כדי שיהא מעשה אכילה של כזית, אבל כתבו האחרונים הנ"ל שהתוס' ע"כ חולקים על זה, </w:t>
      </w:r>
      <w:r w:rsidR="00942C5F" w:rsidRPr="00882F11">
        <w:rPr>
          <w:rFonts w:cs="Guttman Drogolin" w:hint="cs"/>
          <w:rtl/>
          <w:lang w:bidi="he-IL"/>
        </w:rPr>
        <w:t xml:space="preserve">דהא </w:t>
      </w:r>
      <w:r w:rsidRPr="00882F11">
        <w:rPr>
          <w:rFonts w:cs="Guttman Drogolin" w:hint="cs"/>
          <w:rtl/>
          <w:lang w:bidi="he-IL"/>
        </w:rPr>
        <w:t xml:space="preserve">מצרכי דוקא ע"י תערובת. ולכן ביארו שהתוס' אינם סוברים שהיתר מצטרף לאיסור הינו השלמה למעשה האכילה, אלא הרי הוא נותן דינו של המאכל האסור לכל התערובת. ובמילים אחרים היינו שלתוס' הוי החידוש של היתר מצטרף לאיסור חידוש בחפצא של התערובת, ולא דין במעשה האכילה כמו לשיטת רש"י. ונראה שדבר זה בולט יותר, </w:t>
      </w:r>
      <w:r w:rsidR="000F4A70">
        <w:rPr>
          <w:rFonts w:cs="Guttman Drogolin"/>
          <w:rtl/>
          <w:lang w:bidi="he-IL"/>
        </w:rPr>
        <w:fldChar w:fldCharType="begin"/>
      </w:r>
      <w:r w:rsidR="000F4A70">
        <w:instrText xml:space="preserve"> XE "</w:instrText>
      </w:r>
      <w:r w:rsidR="000F4A70" w:rsidRPr="00DE6B66">
        <w:rPr>
          <w:rFonts w:hint="cs"/>
          <w:rtl/>
          <w:lang w:bidi="he-IL"/>
        </w:rPr>
        <w:instrText>היתר מצטרף לאיסור</w:instrText>
      </w:r>
      <w:r w:rsidR="000F4A70" w:rsidRPr="00DE6B66">
        <w:rPr>
          <w:rtl/>
        </w:rPr>
        <w:instrText>:</w:instrText>
      </w:r>
      <w:r w:rsidR="000F4A70" w:rsidRPr="00DE6B66">
        <w:rPr>
          <w:rFonts w:hint="cs"/>
          <w:rtl/>
          <w:lang w:bidi="he-IL"/>
        </w:rPr>
        <w:instrText>הכרח לשיטת רש</w:instrText>
      </w:r>
      <w:r w:rsidR="000F4A70">
        <w:rPr>
          <w:rFonts w:eastAsiaTheme="minorEastAsia"/>
          <w:lang w:bidi="he-IL"/>
        </w:rPr>
        <w:instrText>\</w:instrText>
      </w:r>
      <w:r w:rsidR="000F4A70" w:rsidRPr="00DE6B66">
        <w:rPr>
          <w:rFonts w:hint="cs"/>
          <w:rtl/>
          <w:lang w:bidi="he-IL"/>
        </w:rPr>
        <w:instrText>"י דהוי אפילו שלא ע</w:instrText>
      </w:r>
      <w:r w:rsidR="000F4A70">
        <w:rPr>
          <w:rFonts w:eastAsiaTheme="minorEastAsia"/>
          <w:lang w:bidi="he-IL"/>
        </w:rPr>
        <w:instrText>\</w:instrText>
      </w:r>
      <w:r w:rsidR="000F4A70" w:rsidRPr="00DE6B66">
        <w:rPr>
          <w:rFonts w:hint="cs"/>
          <w:rtl/>
          <w:lang w:bidi="he-IL"/>
        </w:rPr>
        <w:instrText>"י תערובת</w:instrText>
      </w:r>
      <w:r w:rsidR="000F4A70">
        <w:instrText xml:space="preserve">" </w:instrText>
      </w:r>
      <w:r w:rsidR="000F4A70">
        <w:rPr>
          <w:rFonts w:cs="Guttman Drogolin"/>
          <w:rtl/>
          <w:lang w:bidi="he-IL"/>
        </w:rPr>
        <w:fldChar w:fldCharType="end"/>
      </w:r>
      <w:r w:rsidRPr="00882F11">
        <w:rPr>
          <w:rFonts w:cs="Guttman Drogolin" w:hint="cs"/>
          <w:rtl/>
          <w:lang w:bidi="he-IL"/>
        </w:rPr>
        <w:t>דהנה הנחל"ד ועוד אחרונים כתבו שרש"י הי' מוכרח לפרש כשיטתו</w:t>
      </w:r>
      <w:r w:rsidR="000F4A70">
        <w:rPr>
          <w:rStyle w:val="FootnoteReference"/>
          <w:rFonts w:cs="Guttman Drogolin"/>
          <w:rtl/>
          <w:lang w:bidi="he-IL"/>
        </w:rPr>
        <w:footnoteReference w:id="5"/>
      </w:r>
      <w:r w:rsidRPr="00882F11">
        <w:rPr>
          <w:rFonts w:cs="Guttman Drogolin" w:hint="cs"/>
          <w:rtl/>
          <w:lang w:bidi="he-IL"/>
        </w:rPr>
        <w:t xml:space="preserve">, שהרי לשיטת </w:t>
      </w:r>
      <w:r w:rsidRPr="00882F11">
        <w:rPr>
          <w:rFonts w:cs="Guttman Drogolin" w:hint="cs"/>
          <w:rtl/>
          <w:lang w:bidi="he-IL"/>
        </w:rPr>
        <w:lastRenderedPageBreak/>
        <w:t xml:space="preserve">התוס' הדין של היתר מצטרף לאיסור נאמר כששרה פתו ביין ואוכל חלק השרוי, דאילו חלק הפת שלא הי' שרוי ביין אינו מעורב עמו. </w:t>
      </w:r>
      <w:r w:rsidR="000F4A70">
        <w:rPr>
          <w:rFonts w:cs="Guttman Drogolin" w:hint="cs"/>
          <w:rtl/>
          <w:lang w:bidi="he-IL"/>
        </w:rPr>
        <w:t>לשיטת רש"י הרי אי אפשר לומר כן, שהרי</w:t>
      </w:r>
      <w:r w:rsidRPr="00882F11">
        <w:rPr>
          <w:rFonts w:cs="Guttman Drogolin" w:hint="cs"/>
          <w:rtl/>
          <w:lang w:bidi="he-IL"/>
        </w:rPr>
        <w:t xml:space="preserve"> רש"י סבר דע"י דינא ד</w:t>
      </w:r>
      <w:r w:rsidR="004D3E6E" w:rsidRPr="00882F11">
        <w:rPr>
          <w:rFonts w:cs="Guttman Drogolin" w:hint="cs"/>
          <w:rtl/>
          <w:lang w:bidi="he-IL"/>
        </w:rPr>
        <w:t>טעם כעיקר</w:t>
      </w:r>
      <w:r w:rsidR="00254C2D" w:rsidRPr="00882F11">
        <w:rPr>
          <w:rFonts w:cs="Guttman Drogolin" w:hint="cs"/>
          <w:rtl/>
          <w:lang w:bidi="he-IL"/>
        </w:rPr>
        <w:t xml:space="preserve"> נה</w:t>
      </w:r>
      <w:r w:rsidRPr="00882F11">
        <w:rPr>
          <w:rFonts w:cs="Guttman Drogolin" w:hint="cs"/>
          <w:rtl/>
          <w:lang w:bidi="he-IL"/>
        </w:rPr>
        <w:t xml:space="preserve">פך ההיתר להיות איסור, וא"כ איזה נפק"מ יש בדינא דהיתר מצטרף לאיסור </w:t>
      </w:r>
      <w:r w:rsidR="00597C35" w:rsidRPr="00882F11">
        <w:rPr>
          <w:rFonts w:cs="Guttman Drogolin" w:hint="cs"/>
          <w:rtl/>
          <w:lang w:bidi="he-IL"/>
        </w:rPr>
        <w:t xml:space="preserve">הא הוי כולו איסור מדין </w:t>
      </w:r>
      <w:r w:rsidR="004D3E6E" w:rsidRPr="00882F11">
        <w:rPr>
          <w:rFonts w:cs="Guttman Drogolin" w:hint="cs"/>
          <w:rtl/>
          <w:lang w:bidi="he-IL"/>
        </w:rPr>
        <w:t>טעם כעיקר</w:t>
      </w:r>
      <w:r w:rsidR="00254C2D" w:rsidRPr="00882F11">
        <w:rPr>
          <w:rFonts w:cs="Guttman Drogolin" w:hint="cs"/>
          <w:rtl/>
          <w:lang w:bidi="he-IL"/>
        </w:rPr>
        <w:t xml:space="preserve"> (וע"ש שתלוי הוכחה זו לפי ה</w:t>
      </w:r>
      <w:r w:rsidR="00597C35" w:rsidRPr="00882F11">
        <w:rPr>
          <w:rFonts w:cs="Guttman Drogolin" w:hint="cs"/>
          <w:rtl/>
          <w:lang w:bidi="he-IL"/>
        </w:rPr>
        <w:t>שיטות</w:t>
      </w:r>
      <w:r w:rsidR="00254C2D" w:rsidRPr="00882F11">
        <w:rPr>
          <w:rFonts w:cs="Guttman Drogolin" w:hint="cs"/>
          <w:rtl/>
          <w:lang w:bidi="he-IL"/>
        </w:rPr>
        <w:t>,</w:t>
      </w:r>
      <w:r w:rsidR="00597C35" w:rsidRPr="00882F11">
        <w:rPr>
          <w:rFonts w:cs="Guttman Drogolin" w:hint="cs"/>
          <w:rtl/>
          <w:lang w:bidi="he-IL"/>
        </w:rPr>
        <w:t xml:space="preserve"> ואכמ"ל בזה). </w:t>
      </w:r>
      <w:r w:rsidR="000F4A70">
        <w:rPr>
          <w:rFonts w:cs="Guttman Drogolin" w:hint="cs"/>
          <w:rtl/>
          <w:lang w:bidi="he-IL"/>
        </w:rPr>
        <w:t>ולמתבונן</w:t>
      </w:r>
      <w:r w:rsidR="00597C35" w:rsidRPr="00882F11">
        <w:rPr>
          <w:rFonts w:cs="Guttman Drogolin" w:hint="cs"/>
          <w:rtl/>
          <w:lang w:bidi="he-IL"/>
        </w:rPr>
        <w:t xml:space="preserve"> היינו שהרי דינא דהיתר מצטרף לאיסור אליבא דתוס' הוא דינא ד</w:t>
      </w:r>
      <w:r w:rsidR="004D3E6E" w:rsidRPr="00882F11">
        <w:rPr>
          <w:rFonts w:cs="Guttman Drogolin" w:hint="cs"/>
          <w:rtl/>
          <w:lang w:bidi="he-IL"/>
        </w:rPr>
        <w:t>טעם כעיקר</w:t>
      </w:r>
      <w:r w:rsidR="00597C35" w:rsidRPr="00882F11">
        <w:rPr>
          <w:rFonts w:cs="Guttman Drogolin" w:hint="cs"/>
          <w:rtl/>
          <w:lang w:bidi="he-IL"/>
        </w:rPr>
        <w:t xml:space="preserve"> אליבא דרש"י דסבר שנהפך ההיתר להיות איסור. וכל זה שייך רק אליבא דתוס' דסבר שהיתר מצטרף לאיסור הוא דין בחפצא של התערובת, אבל לרש"י יש גדר אחר לדינא דהיתר מצטרף לאיסור, וכמש"נ.</w:t>
      </w:r>
    </w:p>
    <w:p w:rsidR="005B249F" w:rsidRPr="00882F11" w:rsidRDefault="00597C35" w:rsidP="000F4A70">
      <w:pPr>
        <w:tabs>
          <w:tab w:val="left" w:pos="1183"/>
        </w:tabs>
        <w:bidi/>
        <w:jc w:val="both"/>
        <w:rPr>
          <w:rFonts w:cs="Guttman Drogolin"/>
          <w:rtl/>
          <w:lang w:bidi="he-IL"/>
        </w:rPr>
      </w:pPr>
      <w:r w:rsidRPr="00882F11">
        <w:rPr>
          <w:rFonts w:cs="Guttman Drogolin" w:hint="cs"/>
          <w:rtl/>
          <w:lang w:bidi="he-IL"/>
        </w:rPr>
        <w:t>ובחי' ר' שמואל שם במס' פ</w:t>
      </w:r>
      <w:r w:rsidR="007B52E7" w:rsidRPr="00882F11">
        <w:rPr>
          <w:rFonts w:cs="Guttman Drogolin" w:hint="cs"/>
          <w:rtl/>
          <w:lang w:bidi="he-IL"/>
        </w:rPr>
        <w:t>ס</w:t>
      </w:r>
      <w:r w:rsidRPr="00882F11">
        <w:rPr>
          <w:rFonts w:cs="Guttman Drogolin" w:hint="cs"/>
          <w:rtl/>
          <w:lang w:bidi="he-IL"/>
        </w:rPr>
        <w:t>חים ר"ל שגם התוס' סוברים בגדר הדין דהיתר מצטרף לאיסור כמו רש"י. ור"ל דלעולם הדין של היתר מצטר</w:t>
      </w:r>
      <w:r w:rsidR="00AF7BB8" w:rsidRPr="00882F11">
        <w:rPr>
          <w:rFonts w:cs="Guttman Drogolin" w:hint="cs"/>
          <w:rtl/>
          <w:lang w:bidi="he-IL"/>
        </w:rPr>
        <w:t>ף</w:t>
      </w:r>
      <w:r w:rsidRPr="00882F11">
        <w:rPr>
          <w:rFonts w:cs="Guttman Drogolin" w:hint="cs"/>
          <w:rtl/>
          <w:lang w:bidi="he-IL"/>
        </w:rPr>
        <w:t xml:space="preserve"> לאיסור הוא חידוש במעשה האכילה, </w:t>
      </w:r>
      <w:r w:rsidR="000F4A70">
        <w:rPr>
          <w:rFonts w:cs="Guttman Drogolin" w:hint="cs"/>
          <w:rtl/>
          <w:lang w:bidi="he-IL"/>
        </w:rPr>
        <w:t>רק</w:t>
      </w:r>
      <w:r w:rsidRPr="00882F11">
        <w:rPr>
          <w:rFonts w:cs="Guttman Drogolin" w:hint="cs"/>
          <w:rtl/>
          <w:lang w:bidi="he-IL"/>
        </w:rPr>
        <w:t xml:space="preserve"> </w:t>
      </w:r>
      <w:r w:rsidR="000F4A70">
        <w:rPr>
          <w:rFonts w:cs="Guttman Drogolin" w:hint="cs"/>
          <w:rtl/>
          <w:lang w:bidi="he-IL"/>
        </w:rPr>
        <w:t>ש</w:t>
      </w:r>
      <w:r w:rsidRPr="00882F11">
        <w:rPr>
          <w:rFonts w:cs="Guttman Drogolin" w:hint="cs"/>
          <w:rtl/>
          <w:lang w:bidi="he-IL"/>
        </w:rPr>
        <w:t>התוס' סוברים שאין ההיתר מצטרף לאיסור במעשה האכילה אא"כ הוי הכל בתערובת אחת</w:t>
      </w:r>
      <w:r w:rsidR="007B52E7" w:rsidRPr="00882F11">
        <w:rPr>
          <w:rStyle w:val="FootnoteReference"/>
          <w:rFonts w:cs="Guttman Drogolin"/>
          <w:rtl/>
          <w:lang w:bidi="he-IL"/>
        </w:rPr>
        <w:footnoteReference w:id="6"/>
      </w:r>
      <w:r w:rsidRPr="00882F11">
        <w:rPr>
          <w:rFonts w:cs="Guttman Drogolin" w:hint="cs"/>
          <w:rtl/>
          <w:lang w:bidi="he-IL"/>
        </w:rPr>
        <w:t>. אמנם מצאתי סמך גדול לדברי שאר האחרונים</w:t>
      </w:r>
      <w:r w:rsidR="00D32F8D" w:rsidRPr="00882F11">
        <w:rPr>
          <w:rStyle w:val="FootnoteReference"/>
          <w:rFonts w:cs="Guttman Drogolin"/>
          <w:rtl/>
          <w:lang w:bidi="he-IL"/>
        </w:rPr>
        <w:footnoteReference w:id="7"/>
      </w:r>
      <w:r w:rsidRPr="00882F11">
        <w:rPr>
          <w:rFonts w:cs="Guttman Drogolin" w:hint="cs"/>
          <w:rtl/>
          <w:lang w:bidi="he-IL"/>
        </w:rPr>
        <w:t xml:space="preserve">. דהנה בסוגיא שבהמשך קאמר הגמ' </w:t>
      </w:r>
      <w:r w:rsidR="00485ADB" w:rsidRPr="00882F11">
        <w:rPr>
          <w:rFonts w:cs="Guttman Drogolin" w:hint="cs"/>
          <w:rtl/>
          <w:lang w:bidi="he-IL"/>
        </w:rPr>
        <w:t xml:space="preserve">דבדאיכא כזית </w:t>
      </w:r>
      <w:r w:rsidR="00E91626" w:rsidRPr="00882F11">
        <w:rPr>
          <w:rFonts w:cs="Guttman Drogolin" w:hint="cs"/>
          <w:rtl/>
          <w:lang w:bidi="he-IL"/>
        </w:rPr>
        <w:t>בכדי אכילת פרס</w:t>
      </w:r>
      <w:r w:rsidR="00485ADB" w:rsidRPr="00882F11">
        <w:rPr>
          <w:rFonts w:cs="Guttman Drogolin" w:hint="cs"/>
          <w:rtl/>
          <w:lang w:bidi="he-IL"/>
        </w:rPr>
        <w:t xml:space="preserve"> אסור מדאורייתא אע"פ שאין היתר מצטרף לאיסור. </w:t>
      </w:r>
      <w:r w:rsidR="000F4A70">
        <w:rPr>
          <w:rFonts w:cs="Guttman Drogolin" w:hint="cs"/>
          <w:rtl/>
          <w:lang w:bidi="he-IL"/>
        </w:rPr>
        <w:t>ו</w:t>
      </w:r>
      <w:r w:rsidR="00485ADB" w:rsidRPr="00882F11">
        <w:rPr>
          <w:rFonts w:cs="Guttman Drogolin" w:hint="cs"/>
          <w:rtl/>
          <w:lang w:bidi="he-IL"/>
        </w:rPr>
        <w:t xml:space="preserve">שואלת הגמ' שאם זה נכון למה נחלקו רבנן אר"א בכותח הבבלי. וביאור </w:t>
      </w:r>
      <w:r w:rsidR="000F4A70">
        <w:rPr>
          <w:rFonts w:cs="Guttman Drogolin" w:hint="cs"/>
          <w:rtl/>
          <w:lang w:bidi="he-IL"/>
        </w:rPr>
        <w:t>שאילת</w:t>
      </w:r>
      <w:r w:rsidR="00485ADB" w:rsidRPr="00882F11">
        <w:rPr>
          <w:rFonts w:cs="Guttman Drogolin" w:hint="cs"/>
          <w:rtl/>
          <w:lang w:bidi="he-IL"/>
        </w:rPr>
        <w:t xml:space="preserve"> הגמ'</w:t>
      </w:r>
      <w:r w:rsidR="000F4A70">
        <w:rPr>
          <w:rFonts w:cs="Guttman Drogolin" w:hint="cs"/>
          <w:rtl/>
          <w:lang w:bidi="he-IL"/>
        </w:rPr>
        <w:t>,</w:t>
      </w:r>
      <w:r w:rsidR="00485ADB" w:rsidRPr="00882F11">
        <w:rPr>
          <w:rFonts w:cs="Guttman Drogolin" w:hint="cs"/>
          <w:rtl/>
          <w:lang w:bidi="he-IL"/>
        </w:rPr>
        <w:t xml:space="preserve"> שהרי עיקר המחלוקת בין ר"א וחכמים הוא בדינא דהיתר מצטרף לאיסור, אבל אם כזית </w:t>
      </w:r>
      <w:r w:rsidR="00E91626" w:rsidRPr="00882F11">
        <w:rPr>
          <w:rFonts w:cs="Guttman Drogolin" w:hint="cs"/>
          <w:rtl/>
          <w:lang w:bidi="he-IL"/>
        </w:rPr>
        <w:t>בכדי אכילת פרס</w:t>
      </w:r>
      <w:r w:rsidR="00485ADB" w:rsidRPr="00882F11">
        <w:rPr>
          <w:rFonts w:cs="Guttman Drogolin" w:hint="cs"/>
          <w:rtl/>
          <w:lang w:bidi="he-IL"/>
        </w:rPr>
        <w:t xml:space="preserve"> דאורייתא דל מהכא דינא דהיתר </w:t>
      </w:r>
      <w:r w:rsidR="00485ADB" w:rsidRPr="00882F11">
        <w:rPr>
          <w:rFonts w:cs="Guttman Drogolin" w:hint="cs"/>
          <w:rtl/>
          <w:lang w:bidi="he-IL"/>
        </w:rPr>
        <w:lastRenderedPageBreak/>
        <w:t>מצטרף לאיסור ותיפו"ל מ</w:t>
      </w:r>
      <w:r w:rsidR="000F4A70">
        <w:rPr>
          <w:rFonts w:cs="Guttman Drogolin" w:hint="cs"/>
          <w:rtl/>
          <w:lang w:bidi="he-IL"/>
        </w:rPr>
        <w:t>ש</w:t>
      </w:r>
      <w:r w:rsidR="00485ADB" w:rsidRPr="00882F11">
        <w:rPr>
          <w:rFonts w:cs="Guttman Drogolin" w:hint="cs"/>
          <w:rtl/>
          <w:lang w:bidi="he-IL"/>
        </w:rPr>
        <w:t xml:space="preserve">ום דינא דכבא"פ </w:t>
      </w:r>
      <w:r w:rsidR="00716180" w:rsidRPr="00882F11">
        <w:rPr>
          <w:rFonts w:cs="Guttman Drogolin" w:hint="cs"/>
          <w:rtl/>
          <w:lang w:bidi="he-IL"/>
        </w:rPr>
        <w:t>דאורייתא</w:t>
      </w:r>
      <w:r w:rsidR="00485ADB" w:rsidRPr="00882F11">
        <w:rPr>
          <w:rFonts w:cs="Guttman Drogolin" w:hint="cs"/>
          <w:rtl/>
          <w:lang w:bidi="he-IL"/>
        </w:rPr>
        <w:t xml:space="preserve">. והשאלה המתבקשת שם בסוגיא היא דדלמא הא דכותח הבבלי מיירי בדליכא כזית </w:t>
      </w:r>
      <w:r w:rsidR="00E91626" w:rsidRPr="00882F11">
        <w:rPr>
          <w:rFonts w:cs="Guttman Drogolin" w:hint="cs"/>
          <w:rtl/>
          <w:lang w:bidi="he-IL"/>
        </w:rPr>
        <w:t>בכדי אכילת פרס</w:t>
      </w:r>
      <w:r w:rsidR="00485ADB" w:rsidRPr="00882F11">
        <w:rPr>
          <w:rFonts w:cs="Guttman Drogolin" w:hint="cs"/>
          <w:rtl/>
          <w:lang w:bidi="he-IL"/>
        </w:rPr>
        <w:t>, ומ"מ לוק</w:t>
      </w:r>
      <w:r w:rsidR="00254C2D" w:rsidRPr="00882F11">
        <w:rPr>
          <w:rFonts w:cs="Guttman Drogolin" w:hint="cs"/>
          <w:rtl/>
          <w:lang w:bidi="he-IL"/>
        </w:rPr>
        <w:t>ה</w:t>
      </w:r>
      <w:r w:rsidR="00485ADB" w:rsidRPr="00882F11">
        <w:rPr>
          <w:rFonts w:cs="Guttman Drogolin" w:hint="cs"/>
          <w:rtl/>
          <w:lang w:bidi="he-IL"/>
        </w:rPr>
        <w:t xml:space="preserve"> לר"א מדין היתר מצטרף לאיסור. וקושיא זו הקשה בתוס' הרא"ש ומעיקרא ר"ל דחז"ל ידעו ד</w:t>
      </w:r>
      <w:r w:rsidR="00856800" w:rsidRPr="00882F11">
        <w:rPr>
          <w:rFonts w:cs="Guttman Drogolin" w:hint="cs"/>
          <w:rtl/>
          <w:lang w:bidi="he-IL"/>
        </w:rPr>
        <w:t xml:space="preserve">בכותח הבבלי בדר"כ יש כזית </w:t>
      </w:r>
      <w:r w:rsidR="00E91626" w:rsidRPr="00882F11">
        <w:rPr>
          <w:rFonts w:cs="Guttman Drogolin" w:hint="cs"/>
          <w:rtl/>
          <w:lang w:bidi="he-IL"/>
        </w:rPr>
        <w:t>בכדי אכילת פרס</w:t>
      </w:r>
      <w:r w:rsidR="00485ADB" w:rsidRPr="00882F11">
        <w:rPr>
          <w:rFonts w:cs="Guttman Drogolin" w:hint="cs"/>
          <w:rtl/>
          <w:lang w:bidi="he-IL"/>
        </w:rPr>
        <w:t xml:space="preserve"> אבל כתב על זה שהוא דחוק. </w:t>
      </w:r>
      <w:r w:rsidR="00E62329" w:rsidRPr="00882F11">
        <w:rPr>
          <w:rFonts w:cs="Guttman Drogolin" w:hint="cs"/>
          <w:rtl/>
          <w:lang w:bidi="he-IL"/>
        </w:rPr>
        <w:t>ומשו"ה חידש התוס' הרא"ש דע"כ יש בה כזית מכא"פ, שאם אין בה כזית מכא"פ גם היתר מצטרף לאיסור לא אמרינן. וכתב על זה התוס' הרא"ש "וסברא גדולה היא</w:t>
      </w:r>
      <w:r w:rsidR="0015146C" w:rsidRPr="00882F11">
        <w:rPr>
          <w:rFonts w:cs="Guttman Drogolin" w:hint="cs"/>
          <w:rtl/>
          <w:lang w:bidi="he-IL"/>
        </w:rPr>
        <w:t xml:space="preserve"> </w:t>
      </w:r>
      <w:r w:rsidR="00E62329" w:rsidRPr="00882F11">
        <w:rPr>
          <w:rFonts w:cs="Guttman Drogolin" w:hint="cs"/>
          <w:rtl/>
          <w:lang w:bidi="he-IL"/>
        </w:rPr>
        <w:t xml:space="preserve">דאין להחמיר בהיתר מצטרף לאיסור יותר משאם היה אוכל כל התערובת". וסברא זו הרי לא שייכת כלל אם גדר הדין של היתר מצטרף לאיסור </w:t>
      </w:r>
      <w:r w:rsidR="005B249F" w:rsidRPr="00882F11">
        <w:rPr>
          <w:rFonts w:cs="Guttman Drogolin" w:hint="cs"/>
          <w:rtl/>
          <w:lang w:bidi="he-IL"/>
        </w:rPr>
        <w:t xml:space="preserve">הוא דין במעשה האכילה, דהא א"כ זהו גופא החידוש של היתר מצטרף לאיסור שאינו אוכל כשיעור ומ"מ משלים השיעור. רק אם הוא דין בתערובת י"ל שאין לתערובת דין להתחייב ביחד עם האיסור אא"כ הי' חייב על האיסור בלבד. </w:t>
      </w:r>
    </w:p>
    <w:p w:rsidR="005B249F" w:rsidRPr="00882F11" w:rsidRDefault="005B249F" w:rsidP="003431F3">
      <w:pPr>
        <w:tabs>
          <w:tab w:val="left" w:pos="1183"/>
        </w:tabs>
        <w:bidi/>
        <w:jc w:val="both"/>
        <w:rPr>
          <w:rFonts w:cs="Guttman Drogolin"/>
          <w:rtl/>
          <w:lang w:bidi="he-IL"/>
        </w:rPr>
      </w:pPr>
      <w:r w:rsidRPr="00882F11">
        <w:rPr>
          <w:rFonts w:cs="Guttman Drogolin" w:hint="cs"/>
          <w:rtl/>
          <w:lang w:bidi="he-IL"/>
        </w:rPr>
        <w:t xml:space="preserve">ויש להוסיף, שבעיקר שיטת התוס' מדויקים דבריהם שאין התערובת </w:t>
      </w:r>
      <w:r w:rsidR="003431F3">
        <w:rPr>
          <w:rFonts w:cs="Guttman Drogolin" w:hint="cs"/>
          <w:rtl/>
          <w:lang w:bidi="he-IL"/>
        </w:rPr>
        <w:t>הנצרכת</w:t>
      </w:r>
      <w:r w:rsidRPr="00882F11">
        <w:rPr>
          <w:rFonts w:cs="Guttman Drogolin" w:hint="cs"/>
          <w:rtl/>
          <w:lang w:bidi="he-IL"/>
        </w:rPr>
        <w:t xml:space="preserve"> לדין היתר מצטרף לאיסור צריך להיות מתערב לגמרי, שרק לאביי הוא דאמרו כן</w:t>
      </w:r>
      <w:r w:rsidR="00F250D4" w:rsidRPr="00882F11">
        <w:rPr>
          <w:rFonts w:cs="Guttman Drogolin" w:hint="cs"/>
          <w:rtl/>
          <w:lang w:bidi="he-IL"/>
        </w:rPr>
        <w:t xml:space="preserve"> ומשום דלדידי' החידוש של 'עירובו' הוא שאינו מתבטל, אבל משום דינא דהמל"א לא בעינן כה"ג</w:t>
      </w:r>
      <w:r w:rsidRPr="00882F11">
        <w:rPr>
          <w:rFonts w:cs="Guttman Drogolin" w:hint="cs"/>
          <w:rtl/>
          <w:lang w:bidi="he-IL"/>
        </w:rPr>
        <w:t xml:space="preserve">. וכן דברים יותר מפורשים בתוס' בדף מ"ד ע"א ד"ה מקום, שפירשו הא דמקפה שהתערב בה שום ושמן בתרומה אבל הרי הוא בעין, וע"ש במהרש"א שהדגיש שמ"מ </w:t>
      </w:r>
      <w:r w:rsidR="003431F3">
        <w:rPr>
          <w:rFonts w:cs="Guttman Drogolin" w:hint="cs"/>
          <w:rtl/>
          <w:lang w:bidi="he-IL"/>
        </w:rPr>
        <w:t>נחשב</w:t>
      </w:r>
      <w:r w:rsidRPr="00882F11">
        <w:rPr>
          <w:rFonts w:cs="Guttman Drogolin" w:hint="cs"/>
          <w:rtl/>
          <w:lang w:bidi="he-IL"/>
        </w:rPr>
        <w:t xml:space="preserve"> ב</w:t>
      </w:r>
      <w:r w:rsidR="003431F3">
        <w:rPr>
          <w:rFonts w:cs="Guttman Drogolin" w:hint="cs"/>
          <w:rtl/>
          <w:lang w:bidi="he-IL"/>
        </w:rPr>
        <w:t>'</w:t>
      </w:r>
      <w:r w:rsidRPr="00882F11">
        <w:rPr>
          <w:rFonts w:cs="Guttman Drogolin" w:hint="cs"/>
          <w:rtl/>
          <w:lang w:bidi="he-IL"/>
        </w:rPr>
        <w:t>תערובת</w:t>
      </w:r>
      <w:r w:rsidR="003431F3">
        <w:rPr>
          <w:rFonts w:cs="Guttman Drogolin" w:hint="cs"/>
          <w:rtl/>
          <w:lang w:bidi="he-IL"/>
        </w:rPr>
        <w:t>'</w:t>
      </w:r>
      <w:r w:rsidRPr="00882F11">
        <w:rPr>
          <w:rFonts w:cs="Guttman Drogolin" w:hint="cs"/>
          <w:rtl/>
          <w:lang w:bidi="he-IL"/>
        </w:rPr>
        <w:t xml:space="preserve"> דהא לשיטת התוס' לא אמרינן היתר מצטרף לאיסור אא"כ הוא בתערובת וכמש"נ. והיינו משום שאין כאן ענין של ביטול, רק </w:t>
      </w:r>
      <w:r w:rsidR="00D32F8D" w:rsidRPr="00882F11">
        <w:rPr>
          <w:rFonts w:cs="Guttman Drogolin" w:hint="cs"/>
          <w:rtl/>
          <w:lang w:bidi="he-IL"/>
        </w:rPr>
        <w:t>התערובת עושהו</w:t>
      </w:r>
      <w:r w:rsidRPr="00882F11">
        <w:rPr>
          <w:rFonts w:cs="Guttman Drogolin" w:hint="cs"/>
          <w:rtl/>
          <w:lang w:bidi="he-IL"/>
        </w:rPr>
        <w:t xml:space="preserve"> כמאכל א', ולכן אפילו אם ניכר</w:t>
      </w:r>
      <w:r w:rsidR="003431F3">
        <w:rPr>
          <w:rFonts w:cs="Guttman Drogolin" w:hint="cs"/>
          <w:rtl/>
          <w:lang w:bidi="he-IL"/>
        </w:rPr>
        <w:t>,</w:t>
      </w:r>
      <w:r w:rsidRPr="00882F11">
        <w:rPr>
          <w:rFonts w:cs="Guttman Drogolin" w:hint="cs"/>
          <w:rtl/>
          <w:lang w:bidi="he-IL"/>
        </w:rPr>
        <w:t xml:space="preserve"> כיון שמעורבין שייך לומר החידוש של היתר מצטרף לאיסור. </w:t>
      </w:r>
    </w:p>
    <w:p w:rsidR="005B249F" w:rsidRPr="00882F11" w:rsidRDefault="005B249F" w:rsidP="0078079C">
      <w:pPr>
        <w:pStyle w:val="Heading1"/>
        <w:bidi/>
        <w:spacing w:before="0" w:line="360" w:lineRule="auto"/>
        <w:jc w:val="center"/>
        <w:rPr>
          <w:rFonts w:cs="Guttman Drogolin"/>
          <w:color w:val="auto"/>
          <w:sz w:val="24"/>
          <w:szCs w:val="24"/>
          <w:u w:val="single"/>
          <w:rtl/>
          <w:lang w:bidi="he-IL"/>
        </w:rPr>
      </w:pPr>
      <w:bookmarkStart w:id="2" w:name="_Toc496175271"/>
      <w:r w:rsidRPr="00882F11">
        <w:rPr>
          <w:rFonts w:cs="Guttman Drogolin" w:hint="cs"/>
          <w:color w:val="auto"/>
          <w:sz w:val="24"/>
          <w:szCs w:val="24"/>
          <w:u w:val="single"/>
          <w:rtl/>
          <w:lang w:bidi="he-IL"/>
        </w:rPr>
        <w:lastRenderedPageBreak/>
        <w:t>יישוב שיטת רש"י מקושיות התוס'</w:t>
      </w:r>
      <w:bookmarkEnd w:id="2"/>
    </w:p>
    <w:p w:rsidR="00134AFD" w:rsidRPr="00882F11" w:rsidRDefault="00673A6D" w:rsidP="003431F3">
      <w:pPr>
        <w:tabs>
          <w:tab w:val="left" w:pos="1183"/>
        </w:tabs>
        <w:bidi/>
        <w:jc w:val="both"/>
        <w:rPr>
          <w:rFonts w:cs="Guttman Drogolin"/>
          <w:rtl/>
          <w:lang w:bidi="he-IL"/>
        </w:rPr>
      </w:pPr>
      <w:r>
        <w:rPr>
          <w:rFonts w:cs="Guttman Drogolin"/>
          <w:rtl/>
          <w:lang w:bidi="he-IL"/>
        </w:rPr>
        <w:fldChar w:fldCharType="begin"/>
      </w:r>
      <w:r>
        <w:instrText xml:space="preserve"> XE "</w:instrText>
      </w:r>
      <w:r w:rsidRPr="009B7055">
        <w:rPr>
          <w:rFonts w:hint="cs"/>
          <w:rtl/>
          <w:lang w:bidi="he-IL"/>
        </w:rPr>
        <w:instrText>היתר מצטרף לאיסור</w:instrText>
      </w:r>
      <w:r w:rsidRPr="009B7055">
        <w:rPr>
          <w:rtl/>
        </w:rPr>
        <w:instrText>:</w:instrText>
      </w:r>
      <w:r w:rsidRPr="009B7055">
        <w:rPr>
          <w:rFonts w:hint="cs"/>
          <w:rtl/>
          <w:lang w:bidi="he-IL"/>
        </w:rPr>
        <w:instrText>מחלוקת רש</w:instrText>
      </w:r>
      <w:r>
        <w:rPr>
          <w:rFonts w:eastAsiaTheme="minorEastAsia"/>
          <w:lang w:bidi="he-IL"/>
        </w:rPr>
        <w:instrText>\</w:instrText>
      </w:r>
      <w:r w:rsidRPr="009B7055">
        <w:rPr>
          <w:rFonts w:hint="cs"/>
          <w:rtl/>
          <w:lang w:bidi="he-IL"/>
        </w:rPr>
        <w:instrText>"י ותוספות בדינו</w:instrText>
      </w:r>
      <w:r>
        <w:instrText xml:space="preserve">" </w:instrText>
      </w:r>
      <w:r>
        <w:rPr>
          <w:rFonts w:cs="Guttman Drogolin"/>
          <w:rtl/>
          <w:lang w:bidi="he-IL"/>
        </w:rPr>
        <w:fldChar w:fldCharType="end"/>
      </w:r>
      <w:r w:rsidR="005B249F" w:rsidRPr="00882F11">
        <w:rPr>
          <w:rFonts w:cs="Guttman Drogolin" w:hint="cs"/>
          <w:rtl/>
          <w:lang w:bidi="he-IL"/>
        </w:rPr>
        <w:t>התוס' הקשו על דברי רש"י ד' קושיות. חדא שלדברי רש"י הוי זעירי דלא כאביי ודלא כרבא. והיינו שיש מחלוקת אביי ורבא במס' מנחות דף נ"ח ע"א בביאור הברייתא שמרבה הקטרת 'מקצתו' ו</w:t>
      </w:r>
      <w:r w:rsidR="00F250D4" w:rsidRPr="00882F11">
        <w:rPr>
          <w:rFonts w:cs="Guttman Drogolin" w:hint="cs"/>
          <w:rtl/>
          <w:lang w:bidi="he-IL"/>
        </w:rPr>
        <w:t>'</w:t>
      </w:r>
      <w:r w:rsidR="005B249F" w:rsidRPr="00882F11">
        <w:rPr>
          <w:rFonts w:cs="Guttman Drogolin" w:hint="cs"/>
          <w:rtl/>
          <w:lang w:bidi="he-IL"/>
        </w:rPr>
        <w:t xml:space="preserve">עירובו' של שאור וכמו שהביאו התוס' לעיל בד"ה אין. ומבואר שם שאביי סבר שיש קומץ פחות מב' זיתים ויש הקטרה פחותה מכזית, ולכן מקצתו היינו פחות מכזית, וממילא עירובו היינו לרבות שלא יתבטל שאור ברוב. ורבא סבר שאין קומץ פחות מב' זיתים ואין הקטרה פחותה מכזית. ולכן מקצתו היינו ע"כ כזית. והתוס' פירשו שרבא סבר </w:t>
      </w:r>
      <w:r w:rsidR="00134AFD" w:rsidRPr="00882F11">
        <w:rPr>
          <w:rFonts w:cs="Guttman Drogolin" w:hint="cs"/>
          <w:rtl/>
          <w:lang w:bidi="he-IL"/>
        </w:rPr>
        <w:t xml:space="preserve">שהפי' של עירובו אחרת היא מלאביי, דלרבא בא לרבות שגם היתר מצטרף לאיסור. וא"כ לרבא מקצתו מרבה כזית א' אליבא דרבא, ופחות מכזית אפילו בלי צירוף אליבא דאביי, וא"כ הוי זעירי שפי' </w:t>
      </w:r>
      <w:r w:rsidR="003431F3">
        <w:rPr>
          <w:rFonts w:cs="Guttman Drogolin" w:hint="cs"/>
          <w:rtl/>
          <w:lang w:bidi="he-IL"/>
        </w:rPr>
        <w:t>שמ'מקצתו' למידין</w:t>
      </w:r>
      <w:r w:rsidR="00134AFD" w:rsidRPr="00882F11">
        <w:rPr>
          <w:rFonts w:cs="Guttman Drogolin" w:hint="cs"/>
          <w:rtl/>
          <w:lang w:bidi="he-IL"/>
        </w:rPr>
        <w:t xml:space="preserve"> היתר מצטרף לאיסור </w:t>
      </w:r>
      <w:r w:rsidR="003431F3">
        <w:rPr>
          <w:rFonts w:cs="Guttman Drogolin" w:hint="cs"/>
          <w:rtl/>
          <w:lang w:bidi="he-IL"/>
        </w:rPr>
        <w:t xml:space="preserve">הרי הוא </w:t>
      </w:r>
      <w:r w:rsidR="00134AFD" w:rsidRPr="00882F11">
        <w:rPr>
          <w:rFonts w:cs="Guttman Drogolin" w:hint="cs"/>
          <w:rtl/>
          <w:lang w:bidi="he-IL"/>
        </w:rPr>
        <w:t>דלא כמאן</w:t>
      </w:r>
      <w:r w:rsidR="00134AFD" w:rsidRPr="00882F11">
        <w:rPr>
          <w:rStyle w:val="FootnoteReference"/>
          <w:rFonts w:cs="Guttman Drogolin"/>
          <w:rtl/>
          <w:lang w:bidi="he-IL"/>
        </w:rPr>
        <w:footnoteReference w:id="8"/>
      </w:r>
      <w:r w:rsidR="00134AFD" w:rsidRPr="00882F11">
        <w:rPr>
          <w:rFonts w:cs="Guttman Drogolin" w:hint="cs"/>
          <w:rtl/>
          <w:lang w:bidi="he-IL"/>
        </w:rPr>
        <w:t xml:space="preserve">. והנחל"ד </w:t>
      </w:r>
      <w:r w:rsidR="003431F3">
        <w:rPr>
          <w:rFonts w:cs="Guttman Drogolin" w:hint="cs"/>
          <w:rtl/>
          <w:lang w:bidi="he-IL"/>
        </w:rPr>
        <w:t xml:space="preserve">כתב </w:t>
      </w:r>
      <w:r w:rsidR="00134AFD" w:rsidRPr="00882F11">
        <w:rPr>
          <w:rFonts w:cs="Guttman Drogolin" w:hint="cs"/>
          <w:rtl/>
          <w:lang w:bidi="he-IL"/>
        </w:rPr>
        <w:t xml:space="preserve">דלרש"י י"ל דאה"נ וזעירי חלק אדאביי ורבא, שמי </w:t>
      </w:r>
      <w:r w:rsidR="003431F3">
        <w:rPr>
          <w:rFonts w:cs="Guttman Drogolin" w:hint="cs"/>
          <w:rtl/>
          <w:lang w:bidi="he-IL"/>
        </w:rPr>
        <w:t>מעכב על זעירי</w:t>
      </w:r>
      <w:r w:rsidR="00134AFD" w:rsidRPr="00882F11">
        <w:rPr>
          <w:rFonts w:cs="Guttman Drogolin" w:hint="cs"/>
          <w:rtl/>
          <w:lang w:bidi="he-IL"/>
        </w:rPr>
        <w:t xml:space="preserve"> מלחלוק עליהם. וכמובן דבר זה דחוק שא"כ למה השמיט הגמ' שבמס' מנחות את פירושו של זעירי. </w:t>
      </w:r>
      <w:r w:rsidR="00CB06A1" w:rsidRPr="00882F11">
        <w:rPr>
          <w:rFonts w:cs="Guttman Drogolin" w:hint="cs"/>
          <w:rtl/>
          <w:lang w:bidi="he-IL"/>
        </w:rPr>
        <w:t>וכן צ"ע למה אמרו בגמ' לאפוקי מדאביי ולא לאפוקי מדאביי ודרבא.</w:t>
      </w:r>
      <w:r w:rsidR="003431F3">
        <w:rPr>
          <w:rFonts w:cs="Guttman Drogolin" w:hint="cs"/>
          <w:rtl/>
          <w:lang w:bidi="he-IL"/>
        </w:rPr>
        <w:t xml:space="preserve"> ולכאורה כל זה נכלל קושיית התוס'.</w:t>
      </w:r>
    </w:p>
    <w:p w:rsidR="00875BC7" w:rsidRPr="00882F11" w:rsidRDefault="00134AFD" w:rsidP="003431F3">
      <w:pPr>
        <w:tabs>
          <w:tab w:val="left" w:pos="1183"/>
        </w:tabs>
        <w:bidi/>
        <w:jc w:val="both"/>
        <w:rPr>
          <w:rFonts w:cs="Guttman Drogolin"/>
          <w:rtl/>
          <w:lang w:bidi="he-IL"/>
        </w:rPr>
      </w:pPr>
      <w:r w:rsidRPr="00882F11">
        <w:rPr>
          <w:rFonts w:cs="Guttman Drogolin" w:hint="cs"/>
          <w:rtl/>
          <w:lang w:bidi="he-IL"/>
        </w:rPr>
        <w:t xml:space="preserve">ועוד הקשו התוס' דא"כ גם רבנן דר"א יסברו היתר מצטרף לאיסור, דהא כיון שדורשים כי כל, ליהוי כי כל לדין היתר מצטרף לאיסור. וכוונתם, דבשלמא לדידהו הא הדין של היתר מצטרף לאיסור הוא דינא דעירובו, וזהו החידוש השני ולכן צריכים </w:t>
      </w:r>
      <w:r w:rsidR="00856800" w:rsidRPr="00882F11">
        <w:rPr>
          <w:rFonts w:cs="Guttman Drogolin" w:hint="cs"/>
          <w:rtl/>
          <w:lang w:bidi="he-IL"/>
        </w:rPr>
        <w:t xml:space="preserve">לדרוש גם כל וגם כי כל, ולכן </w:t>
      </w:r>
      <w:r w:rsidR="003431F3">
        <w:rPr>
          <w:rFonts w:cs="Guttman Drogolin" w:hint="cs"/>
          <w:rtl/>
          <w:lang w:bidi="he-IL"/>
        </w:rPr>
        <w:t>כיון ש</w:t>
      </w:r>
      <w:r w:rsidR="00856800" w:rsidRPr="00882F11">
        <w:rPr>
          <w:rFonts w:cs="Guttman Drogolin" w:hint="cs"/>
          <w:rtl/>
          <w:lang w:bidi="he-IL"/>
        </w:rPr>
        <w:t>רבנ</w:t>
      </w:r>
      <w:r w:rsidRPr="00882F11">
        <w:rPr>
          <w:rFonts w:cs="Guttman Drogolin" w:hint="cs"/>
          <w:rtl/>
          <w:lang w:bidi="he-IL"/>
        </w:rPr>
        <w:t xml:space="preserve">ן </w:t>
      </w:r>
      <w:r w:rsidR="003431F3">
        <w:rPr>
          <w:rFonts w:cs="Guttman Drogolin" w:hint="cs"/>
          <w:rtl/>
          <w:lang w:bidi="he-IL"/>
        </w:rPr>
        <w:t xml:space="preserve">לא </w:t>
      </w:r>
      <w:r w:rsidRPr="00882F11">
        <w:rPr>
          <w:rFonts w:cs="Guttman Drogolin" w:hint="cs"/>
          <w:rtl/>
          <w:lang w:bidi="he-IL"/>
        </w:rPr>
        <w:t>דרשי</w:t>
      </w:r>
      <w:r w:rsidR="003431F3">
        <w:rPr>
          <w:rFonts w:cs="Guttman Drogolin" w:hint="cs"/>
          <w:rtl/>
          <w:lang w:bidi="he-IL"/>
        </w:rPr>
        <w:t xml:space="preserve"> אלא כי כל לית להו היתר מצטרף לאיסור</w:t>
      </w:r>
      <w:r w:rsidRPr="00882F11">
        <w:rPr>
          <w:rFonts w:cs="Guttman Drogolin" w:hint="cs"/>
          <w:rtl/>
          <w:lang w:bidi="he-IL"/>
        </w:rPr>
        <w:t xml:space="preserve">. אבל לרש"י </w:t>
      </w:r>
      <w:r w:rsidR="003431F3">
        <w:rPr>
          <w:rFonts w:cs="Guttman Drogolin" w:hint="cs"/>
          <w:rtl/>
          <w:lang w:bidi="he-IL"/>
        </w:rPr>
        <w:t>שדרש</w:t>
      </w:r>
      <w:r w:rsidRPr="00882F11">
        <w:rPr>
          <w:rFonts w:cs="Guttman Drogolin" w:hint="cs"/>
          <w:rtl/>
          <w:lang w:bidi="he-IL"/>
        </w:rPr>
        <w:t xml:space="preserve"> ממקצתו </w:t>
      </w:r>
      <w:r w:rsidR="003431F3">
        <w:rPr>
          <w:rFonts w:cs="Guttman Drogolin" w:hint="cs"/>
          <w:rtl/>
          <w:lang w:bidi="he-IL"/>
        </w:rPr>
        <w:t>דהיתר מצטרף לאיסור משמע שזהו החידוש הראשון, וא"כ כיון דרבנן דרשי כי כל הו"ל למילף היתר מצטרף לאיסור.</w:t>
      </w:r>
      <w:r w:rsidRPr="00882F11">
        <w:rPr>
          <w:rFonts w:cs="Guttman Drogolin" w:hint="cs"/>
          <w:rtl/>
          <w:lang w:bidi="he-IL"/>
        </w:rPr>
        <w:t xml:space="preserve"> וע' בנחל"ד שתי' שיתכן שלעולם </w:t>
      </w:r>
      <w:r w:rsidR="003431F3">
        <w:rPr>
          <w:rFonts w:cs="Guttman Drogolin" w:hint="cs"/>
          <w:rtl/>
          <w:lang w:bidi="he-IL"/>
        </w:rPr>
        <w:lastRenderedPageBreak/>
        <w:t xml:space="preserve">גם לרש"י </w:t>
      </w:r>
      <w:r w:rsidRPr="00882F11">
        <w:rPr>
          <w:rFonts w:cs="Guttman Drogolin" w:hint="cs"/>
          <w:rtl/>
          <w:lang w:bidi="he-IL"/>
        </w:rPr>
        <w:t xml:space="preserve">הלימוד היותר פשוט הוא דין עירובו, רק בסדר </w:t>
      </w:r>
      <w:r w:rsidR="00856800" w:rsidRPr="00882F11">
        <w:rPr>
          <w:rFonts w:cs="Guttman Drogolin" w:hint="cs"/>
          <w:rtl/>
          <w:lang w:bidi="he-IL"/>
        </w:rPr>
        <w:t>הדברים כתבוהו בסוף כיון שרצו לומ</w:t>
      </w:r>
      <w:r w:rsidRPr="00882F11">
        <w:rPr>
          <w:rFonts w:cs="Guttman Drogolin" w:hint="cs"/>
          <w:rtl/>
          <w:lang w:bidi="he-IL"/>
        </w:rPr>
        <w:t>ר שאפילו במקצתו אם הוא עירובו חייב. וע"ש דוגמא לזה שיתכן שהלימוד הראשון אינו הלימוד הפשוט יותר.</w:t>
      </w:r>
    </w:p>
    <w:p w:rsidR="00FA5137" w:rsidRPr="00882F11" w:rsidRDefault="00875BC7" w:rsidP="00CB06A1">
      <w:pPr>
        <w:tabs>
          <w:tab w:val="left" w:pos="1183"/>
        </w:tabs>
        <w:bidi/>
        <w:jc w:val="both"/>
        <w:rPr>
          <w:rFonts w:cs="Guttman Drogolin"/>
          <w:rtl/>
          <w:lang w:bidi="he-IL"/>
        </w:rPr>
      </w:pPr>
      <w:r w:rsidRPr="00882F11">
        <w:rPr>
          <w:rFonts w:cs="Guttman Drogolin" w:hint="cs"/>
          <w:rtl/>
          <w:lang w:bidi="he-IL"/>
        </w:rPr>
        <w:t>ועוד הקשו שלשיטת רש"י מנין לנו דין תערובת חמץ כיון שצריכם לו לקרא להיתר מצטרף לאיסור</w:t>
      </w:r>
      <w:r w:rsidR="003431F3">
        <w:rPr>
          <w:rFonts w:cs="Guttman Drogolin" w:hint="cs"/>
          <w:rtl/>
          <w:lang w:bidi="he-IL"/>
        </w:rPr>
        <w:t xml:space="preserve"> היכא שאינו מעורב</w:t>
      </w:r>
      <w:r w:rsidRPr="00882F11">
        <w:rPr>
          <w:rFonts w:cs="Guttman Drogolin" w:hint="cs"/>
          <w:rtl/>
          <w:lang w:bidi="he-IL"/>
        </w:rPr>
        <w:t xml:space="preserve">. וכוונתם מבוארת יותר בתוס' הרא"ש, שהם סוברים שלדידהו זהו גופא החידוש של עירובו, דהיתר מצטרף לאיסור. אבל לרש"י אין זה הפירוש בעירובו. </w:t>
      </w:r>
      <w:r w:rsidR="004571E6" w:rsidRPr="00882F11">
        <w:rPr>
          <w:rFonts w:cs="Guttman Drogolin" w:hint="cs"/>
          <w:rtl/>
          <w:lang w:bidi="he-IL"/>
        </w:rPr>
        <w:t xml:space="preserve">ונראה שר"ל שהרי לרש"י עירובו דברייתא דהקטרת שאור היינו לענין ביטול ברוב, ולכן לכאורה גם כאן יהא הפירוש של עירובו לענין ביטול. אמנם באמת רש"י כבר פי' בהמשך הסוגיא דתערובת חמץ היינו נמי היתר מצטרף לאיסור. ולכאורה היינו משום (וכ"כ הנחל"ד) דאע"ג שרש"י סבר דהיתר מצטרף לאיסור אפילו כשאינו מעורב, מ"מ גם במעורב היתר מצטרף לאיסור. (ונראה שמשו"ה נקטו לשון תערובת </w:t>
      </w:r>
      <w:r w:rsidR="00856800" w:rsidRPr="00882F11">
        <w:rPr>
          <w:rFonts w:cs="Guttman Drogolin" w:hint="cs"/>
          <w:rtl/>
          <w:lang w:bidi="he-IL"/>
        </w:rPr>
        <w:t xml:space="preserve">חמץ כדי לחדש לנו חידוש זה גופא </w:t>
      </w:r>
      <w:r w:rsidR="004571E6" w:rsidRPr="00882F11">
        <w:rPr>
          <w:rFonts w:cs="Guttman Drogolin" w:hint="cs"/>
          <w:rtl/>
          <w:lang w:bidi="he-IL"/>
        </w:rPr>
        <w:t xml:space="preserve">אע"ג שאינו חידוש שצריך קרא). וע"כ מיירי בכה"ג דליכא טעם כעיקר, דא"כ תיפו"ל משום שנהפך וכנ"ל, רק שהאיסור בעין וכמש"כ התוס'. וכי תימא </w:t>
      </w:r>
      <w:r w:rsidR="00942C5F" w:rsidRPr="00882F11">
        <w:rPr>
          <w:rFonts w:cs="Guttman Drogolin" w:hint="cs"/>
          <w:rtl/>
          <w:lang w:bidi="he-IL"/>
        </w:rPr>
        <w:t xml:space="preserve">דהא </w:t>
      </w:r>
      <w:r w:rsidR="004571E6" w:rsidRPr="00882F11">
        <w:rPr>
          <w:rFonts w:cs="Guttman Drogolin" w:hint="cs"/>
          <w:rtl/>
          <w:lang w:bidi="he-IL"/>
        </w:rPr>
        <w:t>לרש"י לומדים הדין שאין תערובת מתבטל קודם לדין היתר מצטרף לאיסור (שמשו"ה אין הדין כן אלא לר"א) וא"כ למה מרבינן היתר מצטרף לאיסור ולא שאינו מתבטל</w:t>
      </w:r>
      <w:r w:rsidR="004571E6" w:rsidRPr="00882F11">
        <w:rPr>
          <w:rStyle w:val="FootnoteReference"/>
          <w:rFonts w:cs="Guttman Drogolin"/>
          <w:rtl/>
          <w:lang w:bidi="he-IL"/>
        </w:rPr>
        <w:footnoteReference w:id="9"/>
      </w:r>
      <w:r w:rsidR="004571E6" w:rsidRPr="00882F11">
        <w:rPr>
          <w:rFonts w:cs="Guttman Drogolin" w:hint="cs"/>
          <w:rtl/>
          <w:lang w:bidi="he-IL"/>
        </w:rPr>
        <w:t xml:space="preserve">. ע' בנחל"ד שתי' דע"כ הסתמא הוא שחמץ מיירי במין בשאינו מינו </w:t>
      </w:r>
      <w:r w:rsidR="00B70F5F" w:rsidRPr="00882F11">
        <w:rPr>
          <w:rFonts w:cs="Guttman Drogolin" w:hint="cs"/>
          <w:rtl/>
          <w:lang w:bidi="he-IL"/>
        </w:rPr>
        <w:t>ו</w:t>
      </w:r>
      <w:r w:rsidR="004571E6" w:rsidRPr="00882F11">
        <w:rPr>
          <w:rFonts w:cs="Guttman Drogolin" w:hint="cs"/>
          <w:rtl/>
          <w:lang w:bidi="he-IL"/>
        </w:rPr>
        <w:t>לכן אינו מתבטל. ולכן בחמץ הדין הוא לרבו</w:t>
      </w:r>
      <w:r w:rsidR="00AF7BB8" w:rsidRPr="00882F11">
        <w:rPr>
          <w:rFonts w:cs="Guttman Drogolin" w:hint="cs"/>
          <w:rtl/>
          <w:lang w:bidi="he-IL"/>
        </w:rPr>
        <w:t>ת דהיתר מצטרף</w:t>
      </w:r>
      <w:r w:rsidR="004571E6" w:rsidRPr="00882F11">
        <w:rPr>
          <w:rFonts w:cs="Guttman Drogolin" w:hint="cs"/>
          <w:rtl/>
          <w:lang w:bidi="he-IL"/>
        </w:rPr>
        <w:t xml:space="preserve"> לאיסור</w:t>
      </w:r>
      <w:r w:rsidR="00F7452A" w:rsidRPr="00882F11">
        <w:rPr>
          <w:rStyle w:val="FootnoteReference"/>
          <w:rFonts w:cs="Guttman Drogolin"/>
          <w:rtl/>
          <w:lang w:bidi="he-IL"/>
        </w:rPr>
        <w:footnoteReference w:id="10"/>
      </w:r>
      <w:r w:rsidR="004571E6" w:rsidRPr="00882F11">
        <w:rPr>
          <w:rFonts w:cs="Guttman Drogolin" w:hint="cs"/>
          <w:rtl/>
          <w:lang w:bidi="he-IL"/>
        </w:rPr>
        <w:t>.</w:t>
      </w:r>
    </w:p>
    <w:p w:rsidR="00EC2DF8" w:rsidRPr="00882F11" w:rsidRDefault="00EC2DF8" w:rsidP="00EC2DF8">
      <w:pPr>
        <w:tabs>
          <w:tab w:val="left" w:pos="1183"/>
        </w:tabs>
        <w:bidi/>
        <w:jc w:val="both"/>
        <w:rPr>
          <w:rFonts w:cs="Guttman Drogolin"/>
          <w:sz w:val="24"/>
          <w:szCs w:val="24"/>
          <w:rtl/>
          <w:lang w:bidi="he-IL"/>
        </w:rPr>
      </w:pPr>
    </w:p>
    <w:p w:rsidR="00F260B0" w:rsidRPr="00882F11" w:rsidRDefault="00F260B0" w:rsidP="00F260B0">
      <w:pPr>
        <w:tabs>
          <w:tab w:val="left" w:pos="1183"/>
        </w:tabs>
        <w:bidi/>
        <w:jc w:val="both"/>
        <w:rPr>
          <w:rFonts w:cs="Guttman Drogolin"/>
          <w:sz w:val="24"/>
          <w:szCs w:val="24"/>
          <w:rtl/>
          <w:lang w:bidi="he-IL"/>
        </w:rPr>
        <w:sectPr w:rsidR="00F260B0" w:rsidRPr="00882F11" w:rsidSect="00882F11">
          <w:type w:val="continuous"/>
          <w:pgSz w:w="11907" w:h="16839" w:code="9"/>
          <w:pgMar w:top="1440" w:right="1440" w:bottom="1440" w:left="1440" w:header="720" w:footer="720" w:gutter="0"/>
          <w:pgNumType w:start="1"/>
          <w:cols w:num="2" w:space="720"/>
          <w:bidi/>
          <w:docGrid w:linePitch="360"/>
        </w:sectPr>
      </w:pPr>
    </w:p>
    <w:p w:rsidR="00EC2DF8" w:rsidRPr="00882F11" w:rsidRDefault="00EC2DF8" w:rsidP="00EC2DF8">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ב'</w:t>
      </w:r>
    </w:p>
    <w:p w:rsidR="00882F11" w:rsidRDefault="00882F11" w:rsidP="0078079C">
      <w:pPr>
        <w:pStyle w:val="Heading1"/>
        <w:bidi/>
        <w:spacing w:before="0" w:line="360" w:lineRule="auto"/>
        <w:jc w:val="center"/>
        <w:rPr>
          <w:rFonts w:cs="Guttman Drogolin"/>
          <w:color w:val="auto"/>
          <w:sz w:val="24"/>
          <w:szCs w:val="24"/>
          <w:u w:val="single"/>
          <w:rtl/>
          <w:lang w:bidi="he-IL"/>
        </w:rPr>
        <w:sectPr w:rsidR="00882F11" w:rsidSect="00882F11">
          <w:headerReference w:type="default" r:id="rId13"/>
          <w:pgSz w:w="11907" w:h="16839" w:code="9"/>
          <w:pgMar w:top="1440" w:right="1440" w:bottom="1440" w:left="1440" w:header="720" w:footer="720" w:gutter="0"/>
          <w:cols w:space="720"/>
          <w:bidi/>
          <w:docGrid w:linePitch="360"/>
        </w:sectPr>
      </w:pPr>
    </w:p>
    <w:p w:rsidR="00EC2DF8" w:rsidRPr="00882F11" w:rsidRDefault="00EC2DF8" w:rsidP="0078079C">
      <w:pPr>
        <w:pStyle w:val="Heading1"/>
        <w:bidi/>
        <w:spacing w:before="0" w:line="360" w:lineRule="auto"/>
        <w:jc w:val="center"/>
        <w:rPr>
          <w:rFonts w:cs="Guttman Drogolin"/>
          <w:color w:val="auto"/>
          <w:sz w:val="24"/>
          <w:szCs w:val="24"/>
          <w:u w:val="single"/>
          <w:rtl/>
          <w:lang w:bidi="he-IL"/>
        </w:rPr>
      </w:pPr>
      <w:bookmarkStart w:id="3" w:name="_Toc496175272"/>
      <w:r w:rsidRPr="00882F11">
        <w:rPr>
          <w:rFonts w:cs="Guttman Drogolin" w:hint="cs"/>
          <w:color w:val="auto"/>
          <w:sz w:val="24"/>
          <w:szCs w:val="24"/>
          <w:u w:val="single"/>
          <w:rtl/>
          <w:lang w:bidi="he-IL"/>
        </w:rPr>
        <w:lastRenderedPageBreak/>
        <w:t>קושיית הגמ' ממקפה</w:t>
      </w:r>
      <w:bookmarkEnd w:id="3"/>
    </w:p>
    <w:p w:rsidR="00476893" w:rsidRPr="00882F11" w:rsidRDefault="00EC2DF8" w:rsidP="003431F3">
      <w:pPr>
        <w:tabs>
          <w:tab w:val="left" w:pos="1183"/>
        </w:tabs>
        <w:bidi/>
        <w:jc w:val="both"/>
        <w:rPr>
          <w:rFonts w:cs="Guttman Drogolin"/>
          <w:rtl/>
          <w:lang w:bidi="he-IL"/>
        </w:rPr>
      </w:pPr>
      <w:r w:rsidRPr="00882F11">
        <w:rPr>
          <w:rFonts w:cs="Guttman Drogolin" w:hint="cs"/>
          <w:rtl/>
          <w:lang w:bidi="he-IL"/>
        </w:rPr>
        <w:t xml:space="preserve">הגמרא שואלת </w:t>
      </w:r>
      <w:r w:rsidR="003431F3">
        <w:rPr>
          <w:rFonts w:cs="Guttman Drogolin" w:hint="cs"/>
          <w:rtl/>
          <w:lang w:bidi="he-IL"/>
        </w:rPr>
        <w:t>על זה ש</w:t>
      </w:r>
      <w:r w:rsidRPr="00882F11">
        <w:rPr>
          <w:rFonts w:cs="Guttman Drogolin" w:hint="cs"/>
          <w:rtl/>
          <w:lang w:bidi="he-IL"/>
        </w:rPr>
        <w:t xml:space="preserve">אמרו שאין דין היתר מצטרף לאיסור בכל </w:t>
      </w:r>
      <w:r w:rsidR="00A0542F">
        <w:rPr>
          <w:rFonts w:cs="Guttman Drogolin" w:hint="cs"/>
          <w:rtl/>
          <w:lang w:bidi="he-IL"/>
        </w:rPr>
        <w:t>ה</w:t>
      </w:r>
      <w:r w:rsidRPr="00882F11">
        <w:rPr>
          <w:rFonts w:cs="Guttman Drogolin" w:hint="cs"/>
          <w:rtl/>
          <w:lang w:bidi="he-IL"/>
        </w:rPr>
        <w:t xml:space="preserve">תורה כולה ממתני' שמס' טבול יום </w:t>
      </w:r>
      <w:r w:rsidR="00B53DCA" w:rsidRPr="00882F11">
        <w:rPr>
          <w:rFonts w:cs="Guttman Drogolin" w:hint="cs"/>
          <w:rtl/>
          <w:lang w:bidi="he-IL"/>
        </w:rPr>
        <w:t xml:space="preserve">(פ"ב מ"ג) </w:t>
      </w:r>
      <w:r w:rsidRPr="00882F11">
        <w:rPr>
          <w:rFonts w:cs="Guttman Drogolin" w:hint="cs"/>
          <w:rtl/>
          <w:lang w:bidi="he-IL"/>
        </w:rPr>
        <w:t>"המקפה</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תרומה</w:t>
      </w:r>
      <w:r w:rsidRPr="00882F11">
        <w:rPr>
          <w:rFonts w:cs="Guttman Drogolin"/>
          <w:rtl/>
          <w:lang w:bidi="he-IL"/>
        </w:rPr>
        <w:t xml:space="preserve"> </w:t>
      </w:r>
      <w:r w:rsidRPr="00882F11">
        <w:rPr>
          <w:rFonts w:cs="Guttman Drogolin" w:hint="cs"/>
          <w:rtl/>
          <w:lang w:bidi="he-IL"/>
        </w:rPr>
        <w:t>והשום</w:t>
      </w:r>
      <w:r w:rsidRPr="00882F11">
        <w:rPr>
          <w:rFonts w:cs="Guttman Drogolin"/>
          <w:rtl/>
          <w:lang w:bidi="he-IL"/>
        </w:rPr>
        <w:t xml:space="preserve"> </w:t>
      </w:r>
      <w:r w:rsidRPr="00882F11">
        <w:rPr>
          <w:rFonts w:cs="Guttman Drogolin" w:hint="cs"/>
          <w:rtl/>
          <w:lang w:bidi="he-IL"/>
        </w:rPr>
        <w:t>והשמן</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חולין</w:t>
      </w:r>
      <w:r w:rsidRPr="00882F11">
        <w:rPr>
          <w:rFonts w:cs="Guttman Drogolin"/>
          <w:rtl/>
          <w:lang w:bidi="he-IL"/>
        </w:rPr>
        <w:t xml:space="preserve"> </w:t>
      </w:r>
      <w:r w:rsidRPr="00882F11">
        <w:rPr>
          <w:rFonts w:cs="Guttman Drogolin" w:hint="cs"/>
          <w:rtl/>
          <w:lang w:bidi="he-IL"/>
        </w:rPr>
        <w:t>ונגע</w:t>
      </w:r>
      <w:r w:rsidRPr="00882F11">
        <w:rPr>
          <w:rFonts w:cs="Guttman Drogolin"/>
          <w:rtl/>
          <w:lang w:bidi="he-IL"/>
        </w:rPr>
        <w:t xml:space="preserve"> </w:t>
      </w:r>
      <w:r w:rsidRPr="00882F11">
        <w:rPr>
          <w:rFonts w:cs="Guttman Drogolin" w:hint="cs"/>
          <w:rtl/>
          <w:lang w:bidi="he-IL"/>
        </w:rPr>
        <w:t>טבול</w:t>
      </w:r>
      <w:r w:rsidRPr="00882F11">
        <w:rPr>
          <w:rFonts w:cs="Guttman Drogolin"/>
          <w:rtl/>
          <w:lang w:bidi="he-IL"/>
        </w:rPr>
        <w:t xml:space="preserve"> </w:t>
      </w:r>
      <w:r w:rsidRPr="00882F11">
        <w:rPr>
          <w:rFonts w:cs="Guttman Drogolin" w:hint="cs"/>
          <w:rtl/>
          <w:lang w:bidi="he-IL"/>
        </w:rPr>
        <w:t>יום</w:t>
      </w:r>
      <w:r w:rsidRPr="00882F11">
        <w:rPr>
          <w:rFonts w:cs="Guttman Drogolin"/>
          <w:rtl/>
          <w:lang w:bidi="he-IL"/>
        </w:rPr>
        <w:t xml:space="preserve"> </w:t>
      </w:r>
      <w:r w:rsidR="00B76699" w:rsidRPr="00882F11">
        <w:rPr>
          <w:rFonts w:cs="Guttman Drogolin" w:hint="cs"/>
          <w:rtl/>
          <w:lang w:bidi="he-IL"/>
        </w:rPr>
        <w:t xml:space="preserve">[שאינו פוסל אלא תרומה ולא חולין] </w:t>
      </w:r>
      <w:r w:rsidRPr="00882F11">
        <w:rPr>
          <w:rFonts w:cs="Guttman Drogolin" w:hint="cs"/>
          <w:rtl/>
          <w:lang w:bidi="he-IL"/>
        </w:rPr>
        <w:t>במקצתן</w:t>
      </w:r>
      <w:r w:rsidRPr="00882F11">
        <w:rPr>
          <w:rFonts w:cs="Guttman Drogolin"/>
          <w:rtl/>
          <w:lang w:bidi="he-IL"/>
        </w:rPr>
        <w:t xml:space="preserve"> </w:t>
      </w:r>
      <w:r w:rsidRPr="00882F11">
        <w:rPr>
          <w:rFonts w:cs="Guttman Drogolin" w:hint="cs"/>
          <w:rtl/>
          <w:lang w:bidi="he-IL"/>
        </w:rPr>
        <w:t>פסל</w:t>
      </w:r>
      <w:r w:rsidRPr="00882F11">
        <w:rPr>
          <w:rFonts w:cs="Guttman Drogolin"/>
          <w:rtl/>
          <w:lang w:bidi="he-IL"/>
        </w:rPr>
        <w:t xml:space="preserve"> </w:t>
      </w:r>
      <w:r w:rsidRPr="00882F11">
        <w:rPr>
          <w:rFonts w:cs="Guttman Drogolin" w:hint="cs"/>
          <w:rtl/>
          <w:lang w:bidi="he-IL"/>
        </w:rPr>
        <w:t>את</w:t>
      </w:r>
      <w:r w:rsidRPr="00882F11">
        <w:rPr>
          <w:rFonts w:cs="Guttman Drogolin"/>
          <w:rtl/>
          <w:lang w:bidi="he-IL"/>
        </w:rPr>
        <w:t xml:space="preserve"> </w:t>
      </w:r>
      <w:r w:rsidRPr="00882F11">
        <w:rPr>
          <w:rFonts w:cs="Guttman Drogolin" w:hint="cs"/>
          <w:rtl/>
          <w:lang w:bidi="he-IL"/>
        </w:rPr>
        <w:t>כולן</w:t>
      </w:r>
      <w:r w:rsidRPr="00882F11">
        <w:rPr>
          <w:rFonts w:cs="Guttman Drogolin"/>
          <w:rtl/>
          <w:lang w:bidi="he-IL"/>
        </w:rPr>
        <w:t xml:space="preserve"> </w:t>
      </w:r>
      <w:r w:rsidRPr="00882F11">
        <w:rPr>
          <w:rFonts w:cs="Guttman Drogolin" w:hint="cs"/>
          <w:rtl/>
          <w:lang w:bidi="he-IL"/>
        </w:rPr>
        <w:t>המקפה</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חולין</w:t>
      </w:r>
      <w:r w:rsidRPr="00882F11">
        <w:rPr>
          <w:rFonts w:cs="Guttman Drogolin"/>
          <w:rtl/>
          <w:lang w:bidi="he-IL"/>
        </w:rPr>
        <w:t xml:space="preserve"> </w:t>
      </w:r>
      <w:r w:rsidRPr="00882F11">
        <w:rPr>
          <w:rFonts w:cs="Guttman Drogolin" w:hint="cs"/>
          <w:rtl/>
          <w:lang w:bidi="he-IL"/>
        </w:rPr>
        <w:t>והשום</w:t>
      </w:r>
      <w:r w:rsidRPr="00882F11">
        <w:rPr>
          <w:rFonts w:cs="Guttman Drogolin"/>
          <w:rtl/>
          <w:lang w:bidi="he-IL"/>
        </w:rPr>
        <w:t xml:space="preserve"> </w:t>
      </w:r>
      <w:r w:rsidRPr="00882F11">
        <w:rPr>
          <w:rFonts w:cs="Guttman Drogolin" w:hint="cs"/>
          <w:rtl/>
          <w:lang w:bidi="he-IL"/>
        </w:rPr>
        <w:t>והשמן</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תרומה</w:t>
      </w:r>
      <w:r w:rsidRPr="00882F11">
        <w:rPr>
          <w:rFonts w:cs="Guttman Drogolin"/>
          <w:rtl/>
          <w:lang w:bidi="he-IL"/>
        </w:rPr>
        <w:t xml:space="preserve"> </w:t>
      </w:r>
      <w:r w:rsidRPr="00882F11">
        <w:rPr>
          <w:rFonts w:cs="Guttman Drogolin" w:hint="cs"/>
          <w:rtl/>
          <w:lang w:bidi="he-IL"/>
        </w:rPr>
        <w:t>ונגע</w:t>
      </w:r>
      <w:r w:rsidRPr="00882F11">
        <w:rPr>
          <w:rFonts w:cs="Guttman Drogolin"/>
          <w:rtl/>
          <w:lang w:bidi="he-IL"/>
        </w:rPr>
        <w:t xml:space="preserve"> </w:t>
      </w:r>
      <w:r w:rsidRPr="00882F11">
        <w:rPr>
          <w:rFonts w:cs="Guttman Drogolin" w:hint="cs"/>
          <w:rtl/>
          <w:lang w:bidi="he-IL"/>
        </w:rPr>
        <w:t>טבול</w:t>
      </w:r>
      <w:r w:rsidRPr="00882F11">
        <w:rPr>
          <w:rFonts w:cs="Guttman Drogolin"/>
          <w:rtl/>
          <w:lang w:bidi="he-IL"/>
        </w:rPr>
        <w:t xml:space="preserve"> </w:t>
      </w:r>
      <w:r w:rsidRPr="00882F11">
        <w:rPr>
          <w:rFonts w:cs="Guttman Drogolin" w:hint="cs"/>
          <w:rtl/>
          <w:lang w:bidi="he-IL"/>
        </w:rPr>
        <w:t>יום</w:t>
      </w:r>
      <w:r w:rsidRPr="00882F11">
        <w:rPr>
          <w:rFonts w:cs="Guttman Drogolin"/>
          <w:rtl/>
          <w:lang w:bidi="he-IL"/>
        </w:rPr>
        <w:t xml:space="preserve"> </w:t>
      </w:r>
      <w:r w:rsidRPr="00882F11">
        <w:rPr>
          <w:rFonts w:cs="Guttman Drogolin" w:hint="cs"/>
          <w:rtl/>
          <w:lang w:bidi="he-IL"/>
        </w:rPr>
        <w:t>במקצתן</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פסל</w:t>
      </w:r>
      <w:r w:rsidRPr="00882F11">
        <w:rPr>
          <w:rFonts w:cs="Guttman Drogolin"/>
          <w:rtl/>
          <w:lang w:bidi="he-IL"/>
        </w:rPr>
        <w:t xml:space="preserve"> </w:t>
      </w:r>
      <w:r w:rsidRPr="00882F11">
        <w:rPr>
          <w:rFonts w:cs="Guttman Drogolin" w:hint="cs"/>
          <w:rtl/>
          <w:lang w:bidi="he-IL"/>
        </w:rPr>
        <w:t>אלא</w:t>
      </w:r>
      <w:r w:rsidRPr="00882F11">
        <w:rPr>
          <w:rFonts w:cs="Guttman Drogolin"/>
          <w:rtl/>
          <w:lang w:bidi="he-IL"/>
        </w:rPr>
        <w:t xml:space="preserve"> </w:t>
      </w:r>
      <w:r w:rsidRPr="00882F11">
        <w:rPr>
          <w:rFonts w:cs="Guttman Drogolin" w:hint="cs"/>
          <w:rtl/>
          <w:lang w:bidi="he-IL"/>
        </w:rPr>
        <w:t>מקום</w:t>
      </w:r>
      <w:r w:rsidRPr="00882F11">
        <w:rPr>
          <w:rFonts w:cs="Guttman Drogolin"/>
          <w:rtl/>
          <w:lang w:bidi="he-IL"/>
        </w:rPr>
        <w:t xml:space="preserve"> </w:t>
      </w:r>
      <w:r w:rsidRPr="00882F11">
        <w:rPr>
          <w:rFonts w:cs="Guttman Drogolin" w:hint="cs"/>
          <w:rtl/>
          <w:lang w:bidi="he-IL"/>
        </w:rPr>
        <w:t>מגעו</w:t>
      </w:r>
      <w:r w:rsidRPr="00882F11">
        <w:rPr>
          <w:rFonts w:cs="Guttman Drogolin"/>
          <w:rtl/>
          <w:lang w:bidi="he-IL"/>
        </w:rPr>
        <w:t xml:space="preserve"> </w:t>
      </w:r>
      <w:r w:rsidRPr="00882F11">
        <w:rPr>
          <w:rFonts w:cs="Guttman Drogolin" w:hint="cs"/>
          <w:rtl/>
          <w:lang w:bidi="he-IL"/>
        </w:rPr>
        <w:t>בלבד" ושואלת הגמ' "מקום מגעו</w:t>
      </w:r>
      <w:r w:rsidRPr="00882F11">
        <w:rPr>
          <w:rFonts w:cs="Guttman Drogolin"/>
          <w:rtl/>
          <w:lang w:bidi="he-IL"/>
        </w:rPr>
        <w:t xml:space="preserve"> </w:t>
      </w:r>
      <w:r w:rsidRPr="00882F11">
        <w:rPr>
          <w:rFonts w:cs="Guttman Drogolin" w:hint="cs"/>
          <w:rtl/>
          <w:lang w:bidi="he-IL"/>
        </w:rPr>
        <w:t>אמאי</w:t>
      </w:r>
      <w:r w:rsidRPr="00882F11">
        <w:rPr>
          <w:rFonts w:cs="Guttman Drogolin"/>
          <w:rtl/>
          <w:lang w:bidi="he-IL"/>
        </w:rPr>
        <w:t xml:space="preserve"> </w:t>
      </w:r>
      <w:r w:rsidRPr="00882F11">
        <w:rPr>
          <w:rFonts w:cs="Guttman Drogolin" w:hint="cs"/>
          <w:rtl/>
          <w:lang w:bidi="he-IL"/>
        </w:rPr>
        <w:t>פסולה</w:t>
      </w:r>
      <w:r w:rsidRPr="00882F11">
        <w:rPr>
          <w:rFonts w:cs="Guttman Drogolin"/>
          <w:rtl/>
          <w:lang w:bidi="he-IL"/>
        </w:rPr>
        <w:t xml:space="preserve"> </w:t>
      </w:r>
      <w:r w:rsidRPr="00882F11">
        <w:rPr>
          <w:rFonts w:cs="Guttman Drogolin" w:hint="cs"/>
          <w:rtl/>
          <w:lang w:bidi="he-IL"/>
        </w:rPr>
        <w:t>הא</w:t>
      </w:r>
      <w:r w:rsidRPr="00882F11">
        <w:rPr>
          <w:rFonts w:cs="Guttman Drogolin"/>
          <w:rtl/>
          <w:lang w:bidi="he-IL"/>
        </w:rPr>
        <w:t xml:space="preserve"> </w:t>
      </w:r>
      <w:r w:rsidRPr="00882F11">
        <w:rPr>
          <w:rFonts w:cs="Guttman Drogolin" w:hint="cs"/>
          <w:rtl/>
          <w:lang w:bidi="he-IL"/>
        </w:rPr>
        <w:t>בטלי</w:t>
      </w:r>
      <w:r w:rsidRPr="00882F11">
        <w:rPr>
          <w:rFonts w:cs="Guttman Drogolin"/>
          <w:rtl/>
          <w:lang w:bidi="he-IL"/>
        </w:rPr>
        <w:t xml:space="preserve"> </w:t>
      </w:r>
      <w:r w:rsidRPr="00882F11">
        <w:rPr>
          <w:rFonts w:cs="Guttman Drogolin" w:hint="cs"/>
          <w:rtl/>
          <w:lang w:bidi="he-IL"/>
        </w:rPr>
        <w:t>להו</w:t>
      </w:r>
      <w:r w:rsidRPr="00882F11">
        <w:rPr>
          <w:rFonts w:cs="Guttman Drogolin"/>
          <w:rtl/>
          <w:lang w:bidi="he-IL"/>
        </w:rPr>
        <w:t xml:space="preserve"> </w:t>
      </w:r>
      <w:r w:rsidRPr="00882F11">
        <w:rPr>
          <w:rFonts w:cs="Guttman Drogolin" w:hint="cs"/>
          <w:rtl/>
          <w:lang w:bidi="he-IL"/>
        </w:rPr>
        <w:t>תבלין</w:t>
      </w:r>
      <w:r w:rsidRPr="00882F11">
        <w:rPr>
          <w:rFonts w:cs="Guttman Drogolin"/>
          <w:rtl/>
          <w:lang w:bidi="he-IL"/>
        </w:rPr>
        <w:t xml:space="preserve"> </w:t>
      </w:r>
      <w:r w:rsidRPr="00882F11">
        <w:rPr>
          <w:rFonts w:cs="Guttman Drogolin" w:hint="cs"/>
          <w:rtl/>
          <w:lang w:bidi="he-IL"/>
        </w:rPr>
        <w:t>ברוב"</w:t>
      </w:r>
      <w:r w:rsidRPr="00882F11">
        <w:rPr>
          <w:rFonts w:cs="Guttman Drogolin"/>
          <w:rtl/>
          <w:lang w:bidi="he-IL"/>
        </w:rPr>
        <w:t xml:space="preserve"> </w:t>
      </w:r>
      <w:r w:rsidRPr="00882F11">
        <w:rPr>
          <w:rFonts w:cs="Guttman Drogolin" w:hint="cs"/>
          <w:rtl/>
          <w:lang w:bidi="he-IL"/>
        </w:rPr>
        <w:t>ואמר</w:t>
      </w:r>
      <w:r w:rsidRPr="00882F11">
        <w:rPr>
          <w:rFonts w:cs="Guttman Drogolin"/>
          <w:rtl/>
          <w:lang w:bidi="he-IL"/>
        </w:rPr>
        <w:t xml:space="preserve"> </w:t>
      </w:r>
      <w:r w:rsidRPr="00882F11">
        <w:rPr>
          <w:rFonts w:cs="Guttman Drogolin" w:hint="cs"/>
          <w:rtl/>
          <w:lang w:bidi="he-IL"/>
        </w:rPr>
        <w:t>רבה</w:t>
      </w:r>
      <w:r w:rsidRPr="00882F11">
        <w:rPr>
          <w:rFonts w:cs="Guttman Drogolin"/>
          <w:rtl/>
          <w:lang w:bidi="he-IL"/>
        </w:rPr>
        <w:t xml:space="preserve"> </w:t>
      </w:r>
      <w:r w:rsidRPr="00882F11">
        <w:rPr>
          <w:rFonts w:cs="Guttman Drogolin" w:hint="cs"/>
          <w:rtl/>
          <w:lang w:bidi="he-IL"/>
        </w:rPr>
        <w:t>בר</w:t>
      </w:r>
      <w:r w:rsidRPr="00882F11">
        <w:rPr>
          <w:rFonts w:cs="Guttman Drogolin"/>
          <w:rtl/>
          <w:lang w:bidi="he-IL"/>
        </w:rPr>
        <w:t xml:space="preserve"> </w:t>
      </w:r>
      <w:r w:rsidRPr="00882F11">
        <w:rPr>
          <w:rFonts w:cs="Guttman Drogolin" w:hint="cs"/>
          <w:rtl/>
          <w:lang w:bidi="he-IL"/>
        </w:rPr>
        <w:t>בר</w:t>
      </w:r>
      <w:r w:rsidRPr="00882F11">
        <w:rPr>
          <w:rFonts w:cs="Guttman Drogolin"/>
          <w:rtl/>
          <w:lang w:bidi="he-IL"/>
        </w:rPr>
        <w:t xml:space="preserve"> </w:t>
      </w:r>
      <w:r w:rsidRPr="00882F11">
        <w:rPr>
          <w:rFonts w:cs="Guttman Drogolin" w:hint="cs"/>
          <w:rtl/>
          <w:lang w:bidi="he-IL"/>
        </w:rPr>
        <w:t>חנה</w:t>
      </w:r>
      <w:r w:rsidRPr="00882F11">
        <w:rPr>
          <w:rFonts w:cs="Guttman Drogolin"/>
          <w:rtl/>
          <w:lang w:bidi="he-IL"/>
        </w:rPr>
        <w:t xml:space="preserve"> </w:t>
      </w:r>
      <w:r w:rsidRPr="00882F11">
        <w:rPr>
          <w:rFonts w:cs="Guttman Drogolin" w:hint="cs"/>
          <w:rtl/>
          <w:lang w:bidi="he-IL"/>
        </w:rPr>
        <w:t>"מה</w:t>
      </w:r>
      <w:r w:rsidRPr="00882F11">
        <w:rPr>
          <w:rFonts w:cs="Guttman Drogolin"/>
          <w:rtl/>
          <w:lang w:bidi="he-IL"/>
        </w:rPr>
        <w:t xml:space="preserve"> </w:t>
      </w:r>
      <w:r w:rsidRPr="00882F11">
        <w:rPr>
          <w:rFonts w:cs="Guttman Drogolin" w:hint="cs"/>
          <w:rtl/>
          <w:lang w:bidi="he-IL"/>
        </w:rPr>
        <w:t>טעם</w:t>
      </w:r>
      <w:r w:rsidRPr="00882F11">
        <w:rPr>
          <w:rFonts w:cs="Guttman Drogolin"/>
          <w:rtl/>
          <w:lang w:bidi="he-IL"/>
        </w:rPr>
        <w:t xml:space="preserve"> </w:t>
      </w:r>
      <w:r w:rsidRPr="00882F11">
        <w:rPr>
          <w:rFonts w:cs="Guttman Drogolin" w:hint="cs"/>
          <w:rtl/>
          <w:lang w:bidi="he-IL"/>
        </w:rPr>
        <w:t>הואיל</w:t>
      </w:r>
      <w:r w:rsidRPr="00882F11">
        <w:rPr>
          <w:rFonts w:cs="Guttman Drogolin"/>
          <w:rtl/>
          <w:lang w:bidi="he-IL"/>
        </w:rPr>
        <w:t xml:space="preserve"> </w:t>
      </w:r>
      <w:r w:rsidRPr="00882F11">
        <w:rPr>
          <w:rFonts w:cs="Guttman Drogolin" w:hint="cs"/>
          <w:rtl/>
          <w:lang w:bidi="he-IL"/>
        </w:rPr>
        <w:t>וזר</w:t>
      </w:r>
      <w:r w:rsidRPr="00882F11">
        <w:rPr>
          <w:rFonts w:cs="Guttman Drogolin"/>
          <w:rtl/>
          <w:lang w:bidi="he-IL"/>
        </w:rPr>
        <w:t xml:space="preserve"> </w:t>
      </w:r>
      <w:r w:rsidRPr="00882F11">
        <w:rPr>
          <w:rFonts w:cs="Guttman Drogolin" w:hint="cs"/>
          <w:rtl/>
          <w:lang w:bidi="he-IL"/>
        </w:rPr>
        <w:t>לוקה</w:t>
      </w:r>
      <w:r w:rsidRPr="00882F11">
        <w:rPr>
          <w:rFonts w:cs="Guttman Drogolin"/>
          <w:rtl/>
          <w:lang w:bidi="he-IL"/>
        </w:rPr>
        <w:t xml:space="preserve"> </w:t>
      </w:r>
      <w:r w:rsidRPr="00882F11">
        <w:rPr>
          <w:rFonts w:cs="Guttman Drogolin" w:hint="cs"/>
          <w:rtl/>
          <w:lang w:bidi="he-IL"/>
        </w:rPr>
        <w:t>עליהן</w:t>
      </w:r>
      <w:r w:rsidRPr="00882F11">
        <w:rPr>
          <w:rFonts w:cs="Guttman Drogolin"/>
          <w:rtl/>
          <w:lang w:bidi="he-IL"/>
        </w:rPr>
        <w:t xml:space="preserve"> </w:t>
      </w:r>
      <w:r w:rsidRPr="00882F11">
        <w:rPr>
          <w:rFonts w:cs="Guttman Drogolin" w:hint="cs"/>
          <w:rtl/>
          <w:lang w:bidi="he-IL"/>
        </w:rPr>
        <w:t>בכזית</w:t>
      </w:r>
      <w:r w:rsidR="00D840FA" w:rsidRPr="00882F11">
        <w:rPr>
          <w:rFonts w:cs="Guttman Drogolin" w:hint="cs"/>
          <w:rtl/>
          <w:lang w:bidi="he-IL"/>
        </w:rPr>
        <w:t xml:space="preserve">". והגמ' רצתה מעיקרא להוכיח מזה שע"כ היתר מצטרף לאיסור אפילו באיסורי תרומה. והגמ' דוחה דשאני התם דאיכא כזית בכדי אכילת פרס. ויש מחלוקת רש"י ותוס' במהלך הסוגיא, ויש גם כמה קושיות בראשונים ובאחרונים וכמו שיתבאר. </w:t>
      </w:r>
    </w:p>
    <w:p w:rsidR="00D840FA" w:rsidRPr="00882F11" w:rsidRDefault="00D840FA" w:rsidP="0078079C">
      <w:pPr>
        <w:pStyle w:val="Heading1"/>
        <w:bidi/>
        <w:spacing w:before="0" w:line="360" w:lineRule="auto"/>
        <w:jc w:val="center"/>
        <w:rPr>
          <w:rFonts w:cs="Guttman Drogolin"/>
          <w:color w:val="auto"/>
          <w:sz w:val="24"/>
          <w:szCs w:val="24"/>
          <w:u w:val="single"/>
          <w:rtl/>
          <w:lang w:bidi="he-IL"/>
        </w:rPr>
      </w:pPr>
      <w:bookmarkStart w:id="4" w:name="_Toc496175273"/>
      <w:r w:rsidRPr="00882F11">
        <w:rPr>
          <w:rFonts w:cs="Guttman Drogolin" w:hint="cs"/>
          <w:color w:val="auto"/>
          <w:sz w:val="24"/>
          <w:szCs w:val="24"/>
          <w:u w:val="single"/>
          <w:rtl/>
          <w:lang w:bidi="he-IL"/>
        </w:rPr>
        <w:t>שיטת רש"י</w:t>
      </w:r>
      <w:bookmarkEnd w:id="4"/>
    </w:p>
    <w:p w:rsidR="00D840FA" w:rsidRPr="00882F11" w:rsidRDefault="00D840FA" w:rsidP="00A0542F">
      <w:pPr>
        <w:tabs>
          <w:tab w:val="left" w:pos="1183"/>
        </w:tabs>
        <w:bidi/>
        <w:jc w:val="both"/>
        <w:rPr>
          <w:rFonts w:cs="Guttman Drogolin"/>
          <w:rtl/>
          <w:lang w:bidi="he-IL"/>
        </w:rPr>
      </w:pPr>
      <w:r w:rsidRPr="00882F11">
        <w:rPr>
          <w:rFonts w:cs="Guttman Drogolin" w:hint="cs"/>
          <w:rtl/>
          <w:lang w:bidi="he-IL"/>
        </w:rPr>
        <w:t xml:space="preserve">רש"י למד דהא דמקפה מיירי בכה"ג שהכל מעורב ונעשה </w:t>
      </w:r>
      <w:r w:rsidR="00B53DCA" w:rsidRPr="00882F11">
        <w:rPr>
          <w:rFonts w:cs="Guttman Drogolin" w:hint="cs"/>
          <w:rtl/>
          <w:lang w:bidi="he-IL"/>
        </w:rPr>
        <w:t>מדומע</w:t>
      </w:r>
      <w:r w:rsidRPr="00882F11">
        <w:rPr>
          <w:rFonts w:cs="Guttman Drogolin" w:hint="cs"/>
          <w:rtl/>
          <w:lang w:bidi="he-IL"/>
        </w:rPr>
        <w:t xml:space="preserve"> (</w:t>
      </w:r>
      <w:r w:rsidR="00B53DCA" w:rsidRPr="00882F11">
        <w:rPr>
          <w:rFonts w:cs="Guttman Drogolin" w:hint="cs"/>
          <w:rtl/>
          <w:lang w:bidi="he-IL"/>
        </w:rPr>
        <w:t>מדומע</w:t>
      </w:r>
      <w:r w:rsidRPr="00882F11">
        <w:rPr>
          <w:rFonts w:cs="Guttman Drogolin" w:hint="cs"/>
          <w:rtl/>
          <w:lang w:bidi="he-IL"/>
        </w:rPr>
        <w:t xml:space="preserve"> הוא שם לתערובת תרומה וחולין). ולכן מעיקרא ס"ד שהתרומה בטילה ברוב כמו כל תערובת. ודוחה הגמ' דשאני התם שזר לוקה אכזית. וכתב רש"י שכוונת הגמ' </w:t>
      </w:r>
      <w:r w:rsidR="00B53DCA" w:rsidRPr="00882F11">
        <w:rPr>
          <w:rFonts w:cs="Guttman Drogolin" w:hint="cs"/>
          <w:rtl/>
          <w:lang w:bidi="he-IL"/>
        </w:rPr>
        <w:t>לו</w:t>
      </w:r>
      <w:r w:rsidR="00856800" w:rsidRPr="00882F11">
        <w:rPr>
          <w:rFonts w:cs="Guttman Drogolin" w:hint="cs"/>
          <w:rtl/>
          <w:lang w:bidi="he-IL"/>
        </w:rPr>
        <w:t>מ</w:t>
      </w:r>
      <w:r w:rsidR="00B53DCA" w:rsidRPr="00882F11">
        <w:rPr>
          <w:rFonts w:cs="Guttman Drogolin" w:hint="cs"/>
          <w:rtl/>
          <w:lang w:bidi="he-IL"/>
        </w:rPr>
        <w:t>ר ש</w:t>
      </w:r>
      <w:r w:rsidRPr="00882F11">
        <w:rPr>
          <w:rFonts w:cs="Guttman Drogolin" w:hint="cs"/>
          <w:rtl/>
          <w:lang w:bidi="he-IL"/>
        </w:rPr>
        <w:t xml:space="preserve">דימוע דאורייתא. </w:t>
      </w:r>
      <w:r w:rsidR="00A0542F">
        <w:rPr>
          <w:rFonts w:cs="Guttman Drogolin" w:hint="cs"/>
          <w:rtl/>
          <w:lang w:bidi="he-IL"/>
        </w:rPr>
        <w:t xml:space="preserve">וכן פי' שהס"ד של הגמ' הוא שדימוע לאו דאורייתא. </w:t>
      </w:r>
      <w:r w:rsidRPr="00882F11">
        <w:rPr>
          <w:rFonts w:cs="Guttman Drogolin" w:hint="cs"/>
          <w:rtl/>
          <w:lang w:bidi="he-IL"/>
        </w:rPr>
        <w:t xml:space="preserve">ויש ב' מהלכים בכוונת רש"י בזה. </w:t>
      </w:r>
      <w:r w:rsidR="00A0542F">
        <w:rPr>
          <w:rFonts w:cs="Guttman Drogolin" w:hint="cs"/>
          <w:rtl/>
          <w:lang w:bidi="he-IL"/>
        </w:rPr>
        <w:t xml:space="preserve">חדא, דהנה </w:t>
      </w:r>
      <w:r w:rsidR="00B53DCA" w:rsidRPr="00882F11">
        <w:rPr>
          <w:rFonts w:cs="Guttman Drogolin" w:hint="cs"/>
          <w:rtl/>
          <w:lang w:bidi="he-IL"/>
        </w:rPr>
        <w:t>יש חומרא מיוחדת</w:t>
      </w:r>
      <w:r w:rsidRPr="00882F11">
        <w:rPr>
          <w:rFonts w:cs="Guttman Drogolin" w:hint="cs"/>
          <w:rtl/>
          <w:lang w:bidi="he-IL"/>
        </w:rPr>
        <w:t xml:space="preserve"> </w:t>
      </w:r>
      <w:r w:rsidR="00B53DCA" w:rsidRPr="00882F11">
        <w:rPr>
          <w:rFonts w:cs="Guttman Drogolin" w:hint="cs"/>
          <w:rtl/>
          <w:lang w:bidi="he-IL"/>
        </w:rPr>
        <w:t>ב</w:t>
      </w:r>
      <w:r w:rsidRPr="00882F11">
        <w:rPr>
          <w:rFonts w:cs="Guttman Drogolin" w:hint="cs"/>
          <w:rtl/>
          <w:lang w:bidi="he-IL"/>
        </w:rPr>
        <w:t xml:space="preserve">מדומע </w:t>
      </w:r>
      <w:r w:rsidR="00B53DCA" w:rsidRPr="00882F11">
        <w:rPr>
          <w:rFonts w:cs="Guttman Drogolin" w:hint="cs"/>
          <w:rtl/>
          <w:lang w:bidi="he-IL"/>
        </w:rPr>
        <w:t xml:space="preserve">שאינו בשאר תערובת או"ה, </w:t>
      </w:r>
      <w:r w:rsidRPr="00882F11">
        <w:rPr>
          <w:rFonts w:cs="Guttman Drogolin" w:hint="cs"/>
          <w:rtl/>
          <w:lang w:bidi="he-IL"/>
        </w:rPr>
        <w:t>ולדוגמא בשאר איסורים תערובת איסור והיתר בטל בששים, ואילו מדומע הוא בא' במאה. ונראה ששיטת רש"</w:t>
      </w:r>
      <w:r w:rsidR="00B53DCA" w:rsidRPr="00882F11">
        <w:rPr>
          <w:rFonts w:cs="Guttman Drogolin" w:hint="cs"/>
          <w:rtl/>
          <w:lang w:bidi="he-IL"/>
        </w:rPr>
        <w:t xml:space="preserve">י בכמה מקומות בש"ס שהדין מדומע </w:t>
      </w:r>
      <w:r w:rsidRPr="00882F11">
        <w:rPr>
          <w:rFonts w:cs="Guttman Drogolin" w:hint="cs"/>
          <w:rtl/>
          <w:lang w:bidi="he-IL"/>
        </w:rPr>
        <w:lastRenderedPageBreak/>
        <w:t>הוא דין דאורייתא, דיעוין בגליון הש"ס במס' ב"מ נ"ג ע"א שנראה שרע"א דקדק כן מרש"י במס' מנחות. וכן מדייקים גם משיטת רש"י במס' תמורה</w:t>
      </w:r>
      <w:r w:rsidR="00F250D4" w:rsidRPr="00882F11">
        <w:rPr>
          <w:rFonts w:cs="Guttman Drogolin" w:hint="cs"/>
          <w:rtl/>
          <w:lang w:bidi="he-IL"/>
        </w:rPr>
        <w:t xml:space="preserve"> (ד' ע"א)</w:t>
      </w:r>
      <w:r w:rsidRPr="00882F11">
        <w:rPr>
          <w:rFonts w:cs="Guttman Drogolin" w:hint="cs"/>
          <w:rtl/>
          <w:lang w:bidi="he-IL"/>
        </w:rPr>
        <w:t>. וא"כ י"ל שזהו ג"כ שיטת רש"י בסוגיין, שכאן הגמ' חזר בעצמו ממאי דקס"ד מעיקרא שדין דימוע אינו אלא מדרבנן</w:t>
      </w:r>
      <w:r w:rsidR="000D6D6C" w:rsidRPr="00882F11">
        <w:rPr>
          <w:rStyle w:val="FootnoteReference"/>
          <w:rFonts w:cs="Guttman Drogolin"/>
          <w:rtl/>
          <w:lang w:bidi="he-IL"/>
        </w:rPr>
        <w:footnoteReference w:id="11"/>
      </w:r>
      <w:r w:rsidRPr="00882F11">
        <w:rPr>
          <w:rFonts w:cs="Guttman Drogolin" w:hint="cs"/>
          <w:rtl/>
          <w:lang w:bidi="he-IL"/>
        </w:rPr>
        <w:t xml:space="preserve"> וסבר שהדין דימוע הוא מדאורייתא</w:t>
      </w:r>
      <w:r w:rsidR="00A0542F" w:rsidRPr="00882F11">
        <w:rPr>
          <w:rStyle w:val="FootnoteReference"/>
          <w:rFonts w:cs="Guttman Drogolin"/>
          <w:rtl/>
          <w:lang w:bidi="he-IL"/>
        </w:rPr>
        <w:footnoteReference w:id="12"/>
      </w:r>
      <w:r w:rsidR="00A0542F">
        <w:rPr>
          <w:rFonts w:cs="Guttman Drogolin" w:hint="cs"/>
          <w:rtl/>
          <w:lang w:bidi="he-IL"/>
        </w:rPr>
        <w:t xml:space="preserve">. </w:t>
      </w:r>
      <w:r w:rsidRPr="00882F11">
        <w:rPr>
          <w:rFonts w:cs="Guttman Drogolin" w:hint="cs"/>
          <w:rtl/>
          <w:lang w:bidi="he-IL"/>
        </w:rPr>
        <w:t xml:space="preserve">ואע"ג שאנחנו מוצאים בתוספתא ועוד שהחומרא של מדומע לא נאמר אלא בתערובת מין במינו, והכא הרי מיירי במין בשאינו מינו, נראה שיטת רש"י במס' חולין דף צ"ט ע"א </w:t>
      </w:r>
      <w:r w:rsidR="001E5AE6" w:rsidRPr="00882F11">
        <w:rPr>
          <w:rFonts w:cs="Guttman Drogolin" w:hint="cs"/>
          <w:rtl/>
          <w:lang w:bidi="he-IL"/>
        </w:rPr>
        <w:t>שהדין מדומע נאמר אפילו במין בשאינו מינו אם האיסור בעין ואינו רק טעם</w:t>
      </w:r>
      <w:r w:rsidR="00CB06A1" w:rsidRPr="00882F11">
        <w:rPr>
          <w:rStyle w:val="FootnoteReference"/>
          <w:rFonts w:cs="Guttman Drogolin"/>
          <w:rtl/>
          <w:lang w:bidi="he-IL"/>
        </w:rPr>
        <w:footnoteReference w:id="13"/>
      </w:r>
      <w:r w:rsidR="001E5AE6" w:rsidRPr="00882F11">
        <w:rPr>
          <w:rFonts w:cs="Guttman Drogolin" w:hint="cs"/>
          <w:rtl/>
          <w:lang w:bidi="he-IL"/>
        </w:rPr>
        <w:t xml:space="preserve">. </w:t>
      </w:r>
    </w:p>
    <w:p w:rsidR="008745D3" w:rsidRPr="00882F11" w:rsidRDefault="001E5AE6" w:rsidP="00A0542F">
      <w:pPr>
        <w:tabs>
          <w:tab w:val="left" w:pos="1183"/>
        </w:tabs>
        <w:bidi/>
        <w:jc w:val="both"/>
        <w:rPr>
          <w:rFonts w:cs="Guttman Drogolin"/>
          <w:rtl/>
          <w:lang w:bidi="he-IL"/>
        </w:rPr>
      </w:pPr>
      <w:r w:rsidRPr="00882F11">
        <w:rPr>
          <w:rFonts w:cs="Guttman Drogolin" w:hint="cs"/>
          <w:rtl/>
          <w:lang w:bidi="he-IL"/>
        </w:rPr>
        <w:t xml:space="preserve">וא"כ נראה לומר שהטעם בכל הסוגיא שאין התרומה בטילה משום חומרא מיוחדת שיש בתערובת תרומה וחולין. </w:t>
      </w:r>
      <w:r w:rsidR="008745D3" w:rsidRPr="00882F11">
        <w:rPr>
          <w:rFonts w:cs="Guttman Drogolin" w:hint="cs"/>
          <w:rtl/>
          <w:lang w:bidi="he-IL"/>
        </w:rPr>
        <w:t>וא"כ לכאורה הא דקאמר הגמ' "מה</w:t>
      </w:r>
      <w:r w:rsidR="008745D3" w:rsidRPr="00882F11">
        <w:rPr>
          <w:rFonts w:cs="Guttman Drogolin"/>
          <w:rtl/>
          <w:lang w:bidi="he-IL"/>
        </w:rPr>
        <w:t xml:space="preserve"> </w:t>
      </w:r>
      <w:r w:rsidR="008745D3" w:rsidRPr="00882F11">
        <w:rPr>
          <w:rFonts w:cs="Guttman Drogolin" w:hint="cs"/>
          <w:rtl/>
          <w:lang w:bidi="he-IL"/>
        </w:rPr>
        <w:t>טעם</w:t>
      </w:r>
      <w:r w:rsidR="008745D3" w:rsidRPr="00882F11">
        <w:rPr>
          <w:rFonts w:cs="Guttman Drogolin"/>
          <w:rtl/>
          <w:lang w:bidi="he-IL"/>
        </w:rPr>
        <w:t xml:space="preserve"> </w:t>
      </w:r>
      <w:r w:rsidR="008745D3" w:rsidRPr="00882F11">
        <w:rPr>
          <w:rFonts w:cs="Guttman Drogolin" w:hint="cs"/>
          <w:rtl/>
          <w:lang w:bidi="he-IL"/>
        </w:rPr>
        <w:t>הואיל</w:t>
      </w:r>
      <w:r w:rsidR="008745D3" w:rsidRPr="00882F11">
        <w:rPr>
          <w:rFonts w:cs="Guttman Drogolin"/>
          <w:rtl/>
          <w:lang w:bidi="he-IL"/>
        </w:rPr>
        <w:t xml:space="preserve"> </w:t>
      </w:r>
      <w:r w:rsidR="008745D3" w:rsidRPr="00882F11">
        <w:rPr>
          <w:rFonts w:cs="Guttman Drogolin" w:hint="cs"/>
          <w:rtl/>
          <w:lang w:bidi="he-IL"/>
        </w:rPr>
        <w:t>וזר</w:t>
      </w:r>
      <w:r w:rsidR="008745D3" w:rsidRPr="00882F11">
        <w:rPr>
          <w:rFonts w:cs="Guttman Drogolin"/>
          <w:rtl/>
          <w:lang w:bidi="he-IL"/>
        </w:rPr>
        <w:t xml:space="preserve"> </w:t>
      </w:r>
      <w:r w:rsidR="008745D3" w:rsidRPr="00882F11">
        <w:rPr>
          <w:rFonts w:cs="Guttman Drogolin" w:hint="cs"/>
          <w:rtl/>
          <w:lang w:bidi="he-IL"/>
        </w:rPr>
        <w:t>לוקה</w:t>
      </w:r>
      <w:r w:rsidR="008745D3" w:rsidRPr="00882F11">
        <w:rPr>
          <w:rFonts w:cs="Guttman Drogolin"/>
          <w:rtl/>
          <w:lang w:bidi="he-IL"/>
        </w:rPr>
        <w:t xml:space="preserve"> </w:t>
      </w:r>
      <w:r w:rsidR="008745D3" w:rsidRPr="00882F11">
        <w:rPr>
          <w:rFonts w:cs="Guttman Drogolin" w:hint="cs"/>
          <w:rtl/>
          <w:lang w:bidi="he-IL"/>
        </w:rPr>
        <w:t>עליהן</w:t>
      </w:r>
      <w:r w:rsidR="008745D3" w:rsidRPr="00882F11">
        <w:rPr>
          <w:rFonts w:cs="Guttman Drogolin"/>
          <w:rtl/>
          <w:lang w:bidi="he-IL"/>
        </w:rPr>
        <w:t xml:space="preserve"> </w:t>
      </w:r>
      <w:r w:rsidR="008745D3" w:rsidRPr="00882F11">
        <w:rPr>
          <w:rFonts w:cs="Guttman Drogolin" w:hint="cs"/>
          <w:rtl/>
          <w:lang w:bidi="he-IL"/>
        </w:rPr>
        <w:t>בכזית"</w:t>
      </w:r>
      <w:r w:rsidR="003F1038" w:rsidRPr="00882F11">
        <w:rPr>
          <w:rFonts w:cs="Guttman Drogolin" w:hint="cs"/>
          <w:rtl/>
          <w:lang w:bidi="he-IL"/>
        </w:rPr>
        <w:t>,</w:t>
      </w:r>
      <w:r w:rsidR="00A0542F">
        <w:rPr>
          <w:rFonts w:cs="Guttman Drogolin" w:hint="cs"/>
          <w:rtl/>
          <w:lang w:bidi="he-IL"/>
        </w:rPr>
        <w:t xml:space="preserve"> הוא לאו דוקא, שאין עיקר הטעם שלא בטל משום שיעור כזית או משום שמקבל מלקות, רק משום שדימוע דאורייתא וכנ"ל ומאידך, הראי' שהיתר מצטרף לאיסור אינו מזה שלא בטל בעצם, רק משום שמ"מ אמרו בהדיא שזר לוקה עליו בכזית</w:t>
      </w:r>
      <w:r w:rsidR="008745D3" w:rsidRPr="00882F11">
        <w:rPr>
          <w:rFonts w:cs="Guttman Drogolin" w:hint="cs"/>
          <w:rtl/>
          <w:lang w:bidi="he-IL"/>
        </w:rPr>
        <w:t>.</w:t>
      </w:r>
      <w:r w:rsidR="00A0542F">
        <w:rPr>
          <w:rFonts w:cs="Guttman Drogolin" w:hint="cs"/>
          <w:rtl/>
          <w:lang w:bidi="he-IL"/>
        </w:rPr>
        <w:t xml:space="preserve"> וכל זה דחוק קצת.</w:t>
      </w:r>
    </w:p>
    <w:p w:rsidR="008E431D" w:rsidRPr="00882F11" w:rsidRDefault="00A0542F" w:rsidP="00AF5AFC">
      <w:pPr>
        <w:tabs>
          <w:tab w:val="left" w:pos="1183"/>
        </w:tabs>
        <w:bidi/>
        <w:jc w:val="both"/>
        <w:rPr>
          <w:rFonts w:cs="Guttman Drogolin"/>
          <w:rtl/>
          <w:lang w:bidi="he-IL"/>
        </w:rPr>
      </w:pPr>
      <w:r>
        <w:rPr>
          <w:rFonts w:cs="Guttman Drogolin" w:hint="cs"/>
          <w:rtl/>
          <w:lang w:bidi="he-IL"/>
        </w:rPr>
        <w:t>ו</w:t>
      </w:r>
      <w:r w:rsidR="008745D3" w:rsidRPr="00882F11">
        <w:rPr>
          <w:rFonts w:cs="Guttman Drogolin" w:hint="cs"/>
          <w:rtl/>
          <w:lang w:bidi="he-IL"/>
        </w:rPr>
        <w:t xml:space="preserve">ראיתי בשיעורי הגר"ש </w:t>
      </w:r>
      <w:r>
        <w:rPr>
          <w:rFonts w:cs="Guttman Drogolin" w:hint="cs"/>
          <w:rtl/>
          <w:lang w:bidi="he-IL"/>
        </w:rPr>
        <w:t xml:space="preserve">רוזובסקי </w:t>
      </w:r>
      <w:r w:rsidR="008745D3" w:rsidRPr="00882F11">
        <w:rPr>
          <w:rFonts w:cs="Guttman Drogolin" w:hint="cs"/>
          <w:rtl/>
          <w:lang w:bidi="he-IL"/>
        </w:rPr>
        <w:t>(סטנסיל) דלא ניחא לי' ב</w:t>
      </w:r>
      <w:r>
        <w:rPr>
          <w:rFonts w:cs="Guttman Drogolin" w:hint="cs"/>
          <w:rtl/>
          <w:lang w:bidi="he-IL"/>
        </w:rPr>
        <w:t xml:space="preserve">פי' </w:t>
      </w:r>
      <w:r w:rsidR="008745D3" w:rsidRPr="00882F11">
        <w:rPr>
          <w:rFonts w:cs="Guttman Drogolin" w:hint="cs"/>
          <w:rtl/>
          <w:lang w:bidi="he-IL"/>
        </w:rPr>
        <w:t>זה, ש</w:t>
      </w:r>
      <w:r w:rsidR="00CB06A1" w:rsidRPr="00882F11">
        <w:rPr>
          <w:rFonts w:cs="Guttman Drogolin" w:hint="cs"/>
          <w:rtl/>
          <w:lang w:bidi="he-IL"/>
        </w:rPr>
        <w:t>ה</w:t>
      </w:r>
      <w:r w:rsidR="008745D3" w:rsidRPr="00882F11">
        <w:rPr>
          <w:rFonts w:cs="Guttman Drogolin" w:hint="cs"/>
          <w:rtl/>
          <w:lang w:bidi="he-IL"/>
        </w:rPr>
        <w:t>משמע</w:t>
      </w:r>
      <w:r w:rsidR="00CB06A1" w:rsidRPr="00882F11">
        <w:rPr>
          <w:rFonts w:cs="Guttman Drogolin" w:hint="cs"/>
          <w:rtl/>
          <w:lang w:bidi="he-IL"/>
        </w:rPr>
        <w:t>ות הפשוטה בדברי הגמ' היא</w:t>
      </w:r>
      <w:r w:rsidR="008745D3" w:rsidRPr="00882F11">
        <w:rPr>
          <w:rFonts w:cs="Guttman Drogolin" w:hint="cs"/>
          <w:rtl/>
          <w:lang w:bidi="he-IL"/>
        </w:rPr>
        <w:t xml:space="preserve"> דהא דזר לוקה עליו הוא </w:t>
      </w:r>
      <w:r w:rsidR="00CB06A1" w:rsidRPr="00882F11">
        <w:rPr>
          <w:rFonts w:cs="Guttman Drogolin" w:hint="cs"/>
          <w:rtl/>
          <w:lang w:bidi="he-IL"/>
        </w:rPr>
        <w:t>נתינת טעם בהא</w:t>
      </w:r>
      <w:r w:rsidR="008745D3" w:rsidRPr="00882F11">
        <w:rPr>
          <w:rFonts w:cs="Guttman Drogolin" w:hint="cs"/>
          <w:rtl/>
          <w:lang w:bidi="he-IL"/>
        </w:rPr>
        <w:t xml:space="preserve"> דלא בטל. וכן </w:t>
      </w:r>
      <w:r w:rsidR="00CB06A1" w:rsidRPr="00882F11">
        <w:rPr>
          <w:rFonts w:cs="Guttman Drogolin" w:hint="cs"/>
          <w:rtl/>
          <w:lang w:bidi="he-IL"/>
        </w:rPr>
        <w:t>ה</w:t>
      </w:r>
      <w:r w:rsidR="008745D3" w:rsidRPr="00882F11">
        <w:rPr>
          <w:rFonts w:cs="Guttman Drogolin" w:hint="cs"/>
          <w:rtl/>
          <w:lang w:bidi="he-IL"/>
        </w:rPr>
        <w:t>קשה הא דהוי מין בשאינו מינו</w:t>
      </w:r>
      <w:r w:rsidR="00CB06A1" w:rsidRPr="00882F11">
        <w:rPr>
          <w:rFonts w:cs="Guttman Drogolin" w:hint="cs"/>
          <w:rtl/>
          <w:lang w:bidi="he-IL"/>
        </w:rPr>
        <w:t xml:space="preserve"> (אלא שיש לזה תי' הנ"ל)</w:t>
      </w:r>
      <w:r w:rsidR="008745D3" w:rsidRPr="00882F11">
        <w:rPr>
          <w:rFonts w:cs="Guttman Drogolin" w:hint="cs"/>
          <w:rtl/>
          <w:lang w:bidi="he-IL"/>
        </w:rPr>
        <w:t>. ולכן נקט הגר"ש ביאור אחר בדברי רש"י, והוא דלעולם מצד דיני דימוע הי' צר</w:t>
      </w:r>
      <w:r w:rsidR="00333F75" w:rsidRPr="00882F11">
        <w:rPr>
          <w:rFonts w:cs="Guttman Drogolin" w:hint="cs"/>
          <w:rtl/>
          <w:lang w:bidi="he-IL"/>
        </w:rPr>
        <w:t>י</w:t>
      </w:r>
      <w:r w:rsidR="008745D3" w:rsidRPr="00882F11">
        <w:rPr>
          <w:rFonts w:cs="Guttman Drogolin" w:hint="cs"/>
          <w:rtl/>
          <w:lang w:bidi="he-IL"/>
        </w:rPr>
        <w:t xml:space="preserve">ך להתבטל, </w:t>
      </w:r>
      <w:r w:rsidR="00AF5AFC">
        <w:rPr>
          <w:rFonts w:cs="Guttman Drogolin"/>
          <w:rtl/>
          <w:lang w:bidi="he-IL"/>
        </w:rPr>
        <w:fldChar w:fldCharType="begin"/>
      </w:r>
      <w:r w:rsidR="00AF5AFC">
        <w:instrText xml:space="preserve"> XE "</w:instrText>
      </w:r>
      <w:r w:rsidR="00AF5AFC" w:rsidRPr="00514F89">
        <w:rPr>
          <w:rFonts w:hint="cs"/>
          <w:rtl/>
          <w:lang w:bidi="he-IL"/>
        </w:rPr>
        <w:instrText>היתר מצטרף לאיסור</w:instrText>
      </w:r>
      <w:r w:rsidR="00AF5AFC" w:rsidRPr="00514F89">
        <w:rPr>
          <w:rtl/>
        </w:rPr>
        <w:instrText>:</w:instrText>
      </w:r>
      <w:r w:rsidR="00AF5AFC" w:rsidRPr="00514F89">
        <w:rPr>
          <w:rFonts w:hint="cs"/>
          <w:rtl/>
          <w:lang w:bidi="he-IL"/>
        </w:rPr>
        <w:instrText>אם יש כח בדינו למנוע ביטול</w:instrText>
      </w:r>
      <w:r w:rsidR="00AF5AFC">
        <w:instrText xml:space="preserve">" </w:instrText>
      </w:r>
      <w:r w:rsidR="00AF5AFC">
        <w:rPr>
          <w:rFonts w:cs="Guttman Drogolin"/>
          <w:rtl/>
          <w:lang w:bidi="he-IL"/>
        </w:rPr>
        <w:fldChar w:fldCharType="end"/>
      </w:r>
      <w:r w:rsidR="008745D3" w:rsidRPr="00882F11">
        <w:rPr>
          <w:rFonts w:cs="Guttman Drogolin" w:hint="cs"/>
          <w:rtl/>
          <w:lang w:bidi="he-IL"/>
        </w:rPr>
        <w:t xml:space="preserve">רק זה גופא דאמרינן </w:t>
      </w:r>
      <w:r w:rsidR="008745D3" w:rsidRPr="00882F11">
        <w:rPr>
          <w:rFonts w:cs="Guttman Drogolin" w:hint="cs"/>
          <w:rtl/>
          <w:lang w:bidi="he-IL"/>
        </w:rPr>
        <w:lastRenderedPageBreak/>
        <w:t xml:space="preserve">היתר מצטרף לאיסור </w:t>
      </w:r>
      <w:r w:rsidR="00AF5AFC">
        <w:rPr>
          <w:rFonts w:cs="Guttman Drogolin" w:hint="cs"/>
          <w:rtl/>
          <w:lang w:bidi="he-IL"/>
        </w:rPr>
        <w:t>הוא טעם</w:t>
      </w:r>
      <w:r w:rsidR="0037451B">
        <w:rPr>
          <w:rStyle w:val="FootnoteReference"/>
          <w:rFonts w:cs="Guttman Drogolin"/>
          <w:rtl/>
          <w:lang w:bidi="he-IL"/>
        </w:rPr>
        <w:footnoteReference w:id="14"/>
      </w:r>
      <w:r w:rsidR="008745D3" w:rsidRPr="00882F11">
        <w:rPr>
          <w:rFonts w:cs="Guttman Drogolin" w:hint="cs"/>
          <w:rtl/>
          <w:lang w:bidi="he-IL"/>
        </w:rPr>
        <w:t xml:space="preserve"> שאינו בטל</w:t>
      </w:r>
      <w:r w:rsidR="0060561C" w:rsidRPr="00882F11">
        <w:rPr>
          <w:rStyle w:val="FootnoteReference"/>
          <w:rFonts w:cs="Guttman Drogolin"/>
          <w:rtl/>
          <w:lang w:bidi="he-IL"/>
        </w:rPr>
        <w:footnoteReference w:id="15"/>
      </w:r>
      <w:r w:rsidR="008745D3" w:rsidRPr="00882F11">
        <w:rPr>
          <w:rFonts w:cs="Guttman Drogolin" w:hint="cs"/>
          <w:rtl/>
          <w:lang w:bidi="he-IL"/>
        </w:rPr>
        <w:t>.</w:t>
      </w:r>
      <w:r w:rsidR="003F1038" w:rsidRPr="00882F11">
        <w:rPr>
          <w:rFonts w:cs="Guttman Drogolin" w:hint="cs"/>
          <w:rtl/>
          <w:lang w:bidi="he-IL"/>
        </w:rPr>
        <w:t xml:space="preserve"> ולכן שפיר צריכים לחידוש שזר לוקה עליו, דרק בגלל זה אינו בטל. ויש בזה חידוש, שלכאורה עד כמה שהוא בטל קודם שמצטרף לאיסור שוב לא אמרינן שהיתר מצטרף לאיסור, דהא ליכא איסורא להצטרף אליו. וכן לכאורה מבואר מדברי הראשונים שביארו הכלל דלא אמרינן </w:t>
      </w:r>
      <w:r w:rsidR="00A471DF" w:rsidRPr="00882F11">
        <w:rPr>
          <w:rFonts w:cs="Guttman Drogolin" w:hint="cs"/>
          <w:rtl/>
          <w:lang w:bidi="he-IL"/>
        </w:rPr>
        <w:t>היתר מצטרף לאיסור</w:t>
      </w:r>
      <w:r w:rsidR="003F1038" w:rsidRPr="00882F11">
        <w:rPr>
          <w:rFonts w:cs="Guttman Drogolin" w:hint="cs"/>
          <w:rtl/>
          <w:lang w:bidi="he-IL"/>
        </w:rPr>
        <w:t xml:space="preserve"> כשיש רוב </w:t>
      </w:r>
      <w:r w:rsidR="00A471DF" w:rsidRPr="00882F11">
        <w:rPr>
          <w:rFonts w:cs="Guttman Drogolin" w:hint="cs"/>
          <w:rtl/>
          <w:lang w:bidi="he-IL"/>
        </w:rPr>
        <w:t>ה</w:t>
      </w:r>
      <w:r w:rsidR="003F1038" w:rsidRPr="00882F11">
        <w:rPr>
          <w:rFonts w:cs="Guttman Drogolin" w:hint="cs"/>
          <w:rtl/>
          <w:lang w:bidi="he-IL"/>
        </w:rPr>
        <w:t xml:space="preserve">יתר משום דהוי מין במינו ובטל, ובמין בשאינו מינו אמירנן </w:t>
      </w:r>
      <w:r w:rsidR="00A471DF" w:rsidRPr="00882F11">
        <w:rPr>
          <w:rFonts w:cs="Guttman Drogolin" w:hint="cs"/>
          <w:rtl/>
          <w:lang w:bidi="he-IL"/>
        </w:rPr>
        <w:t>היתר מצטרף לאיסור</w:t>
      </w:r>
      <w:r w:rsidR="003F1038" w:rsidRPr="00882F11">
        <w:rPr>
          <w:rFonts w:cs="Guttman Drogolin" w:hint="cs"/>
          <w:rtl/>
          <w:lang w:bidi="he-IL"/>
        </w:rPr>
        <w:t xml:space="preserve"> אע"ג דליכא רוב היתר </w:t>
      </w:r>
      <w:r w:rsidR="00A471DF" w:rsidRPr="00882F11">
        <w:rPr>
          <w:rFonts w:cs="Guttman Drogolin" w:hint="cs"/>
          <w:rtl/>
          <w:lang w:bidi="he-IL"/>
        </w:rPr>
        <w:t xml:space="preserve">כיון שלא בטל אפילו ברוב </w:t>
      </w:r>
      <w:r w:rsidR="003F1038" w:rsidRPr="00882F11">
        <w:rPr>
          <w:rFonts w:cs="Guttman Drogolin" w:hint="cs"/>
          <w:rtl/>
          <w:lang w:bidi="he-IL"/>
        </w:rPr>
        <w:t>(ודבר זה יתבאר יותר בהמשך). אמנם לפי הביאור הזה יוצא שאם ע"י הצירוף ילקה זה עצמו מונע את הביטול אע"ג שלא י</w:t>
      </w:r>
      <w:r w:rsidR="00A471DF" w:rsidRPr="00882F11">
        <w:rPr>
          <w:rFonts w:cs="Guttman Drogolin" w:hint="cs"/>
          <w:rtl/>
          <w:lang w:bidi="he-IL"/>
        </w:rPr>
        <w:t>ל</w:t>
      </w:r>
      <w:r w:rsidR="003F1038" w:rsidRPr="00882F11">
        <w:rPr>
          <w:rFonts w:cs="Guttman Drogolin" w:hint="cs"/>
          <w:rtl/>
          <w:lang w:bidi="he-IL"/>
        </w:rPr>
        <w:t xml:space="preserve">קה קודם שיצטרף. </w:t>
      </w:r>
    </w:p>
    <w:p w:rsidR="002238EA" w:rsidRPr="00882F11" w:rsidRDefault="008E431D" w:rsidP="00AF5AFC">
      <w:pPr>
        <w:tabs>
          <w:tab w:val="left" w:pos="1183"/>
        </w:tabs>
        <w:bidi/>
        <w:jc w:val="both"/>
        <w:rPr>
          <w:rFonts w:cs="Guttman Drogolin"/>
          <w:rtl/>
          <w:lang w:bidi="he-IL"/>
        </w:rPr>
      </w:pPr>
      <w:r w:rsidRPr="00882F11">
        <w:rPr>
          <w:rFonts w:cs="Guttman Drogolin" w:hint="cs"/>
          <w:rtl/>
          <w:lang w:bidi="he-IL"/>
        </w:rPr>
        <w:t>ו</w:t>
      </w:r>
      <w:r w:rsidR="00AF5AFC">
        <w:rPr>
          <w:rFonts w:cs="Guttman Drogolin" w:hint="cs"/>
          <w:rtl/>
          <w:lang w:bidi="he-IL"/>
        </w:rPr>
        <w:t>יש</w:t>
      </w:r>
      <w:r w:rsidRPr="00882F11">
        <w:rPr>
          <w:rFonts w:cs="Guttman Drogolin" w:hint="cs"/>
          <w:rtl/>
          <w:lang w:bidi="he-IL"/>
        </w:rPr>
        <w:t xml:space="preserve"> נפק"מ</w:t>
      </w:r>
      <w:r w:rsidR="00AF5AFC">
        <w:rPr>
          <w:rFonts w:cs="Guttman Drogolin" w:hint="cs"/>
          <w:rtl/>
          <w:lang w:bidi="he-IL"/>
        </w:rPr>
        <w:t xml:space="preserve"> בפירושים השונים בדעת רש"י</w:t>
      </w:r>
      <w:r w:rsidRPr="00882F11">
        <w:rPr>
          <w:rFonts w:cs="Guttman Drogolin" w:hint="cs"/>
          <w:rtl/>
          <w:lang w:bidi="he-IL"/>
        </w:rPr>
        <w:t xml:space="preserve"> גם בביאור המשך הגמ', </w:t>
      </w:r>
      <w:r w:rsidR="003F1038" w:rsidRPr="00882F11">
        <w:rPr>
          <w:rFonts w:cs="Guttman Drogolin" w:hint="cs"/>
          <w:rtl/>
          <w:lang w:bidi="he-IL"/>
        </w:rPr>
        <w:t>דהנה הגמ' רצתה להוכיח מ</w:t>
      </w:r>
      <w:r w:rsidR="00A471DF" w:rsidRPr="00882F11">
        <w:rPr>
          <w:rFonts w:cs="Guttman Drogolin" w:hint="cs"/>
          <w:rtl/>
          <w:lang w:bidi="he-IL"/>
        </w:rPr>
        <w:t>הא דמקפה</w:t>
      </w:r>
      <w:r w:rsidR="003F1038" w:rsidRPr="00882F11">
        <w:rPr>
          <w:rFonts w:cs="Guttman Drogolin" w:hint="cs"/>
          <w:rtl/>
          <w:lang w:bidi="he-IL"/>
        </w:rPr>
        <w:t xml:space="preserve"> ד</w:t>
      </w:r>
      <w:r w:rsidR="00A471DF" w:rsidRPr="00882F11">
        <w:rPr>
          <w:rFonts w:cs="Guttman Drogolin" w:hint="cs"/>
          <w:rtl/>
          <w:lang w:bidi="he-IL"/>
        </w:rPr>
        <w:t>היתר מצטרף לאיסור</w:t>
      </w:r>
      <w:r w:rsidR="003F1038" w:rsidRPr="00882F11">
        <w:rPr>
          <w:rFonts w:cs="Guttman Drogolin" w:hint="cs"/>
          <w:rtl/>
          <w:lang w:bidi="he-IL"/>
        </w:rPr>
        <w:t xml:space="preserve">, והגמ' דוחה שאין זה הטעם רק משום דאיכא כזית </w:t>
      </w:r>
      <w:r w:rsidR="00E91626" w:rsidRPr="00882F11">
        <w:rPr>
          <w:rFonts w:cs="Guttman Drogolin" w:hint="cs"/>
          <w:rtl/>
          <w:lang w:bidi="he-IL"/>
        </w:rPr>
        <w:t>בכדי אכילת פרס</w:t>
      </w:r>
      <w:r w:rsidR="003F1038" w:rsidRPr="00882F11">
        <w:rPr>
          <w:rFonts w:cs="Guttman Drogolin" w:hint="cs"/>
          <w:rtl/>
          <w:lang w:bidi="he-IL"/>
        </w:rPr>
        <w:t xml:space="preserve">. </w:t>
      </w:r>
      <w:r w:rsidR="002238EA" w:rsidRPr="00882F11">
        <w:rPr>
          <w:rFonts w:cs="Guttman Drogolin" w:hint="cs"/>
          <w:rtl/>
          <w:lang w:bidi="he-IL"/>
        </w:rPr>
        <w:t xml:space="preserve">והנה אם התרומה לא בטילה משום דדימוע דאורייתא וכמו הפירוש הראשון הנ"ל, פירוש דברי הגמ' </w:t>
      </w:r>
      <w:r w:rsidR="00A471DF" w:rsidRPr="00882F11">
        <w:rPr>
          <w:rFonts w:cs="Guttman Drogolin" w:hint="cs"/>
          <w:rtl/>
          <w:lang w:bidi="he-IL"/>
        </w:rPr>
        <w:t xml:space="preserve">הוא </w:t>
      </w:r>
      <w:r w:rsidR="002238EA" w:rsidRPr="00882F11">
        <w:rPr>
          <w:rFonts w:cs="Guttman Drogolin" w:hint="cs"/>
          <w:rtl/>
          <w:lang w:bidi="he-IL"/>
        </w:rPr>
        <w:t>כפשוט</w:t>
      </w:r>
      <w:r w:rsidR="00A471DF" w:rsidRPr="00882F11">
        <w:rPr>
          <w:rFonts w:cs="Guttman Drogolin" w:hint="cs"/>
          <w:rtl/>
          <w:lang w:bidi="he-IL"/>
        </w:rPr>
        <w:t>ו</w:t>
      </w:r>
      <w:r w:rsidR="002238EA" w:rsidRPr="00882F11">
        <w:rPr>
          <w:rFonts w:cs="Guttman Drogolin" w:hint="cs"/>
          <w:rtl/>
          <w:lang w:bidi="he-IL"/>
        </w:rPr>
        <w:t>, דהטעם שלוקה</w:t>
      </w:r>
      <w:r w:rsidR="000D6D6C" w:rsidRPr="00882F11">
        <w:rPr>
          <w:rFonts w:cs="Guttman Drogolin" w:hint="cs"/>
          <w:rtl/>
          <w:lang w:bidi="he-IL"/>
        </w:rPr>
        <w:t xml:space="preserve"> אינו משום שהמל"א אלא</w:t>
      </w:r>
      <w:r w:rsidR="002238EA" w:rsidRPr="00882F11">
        <w:rPr>
          <w:rFonts w:cs="Guttman Drogolin" w:hint="cs"/>
          <w:rtl/>
          <w:lang w:bidi="he-IL"/>
        </w:rPr>
        <w:t xml:space="preserve"> משום שאוכל כזית של איסור שאינה בטילה בכדי אכילת פרס. אבל אם כמו הפירוש השני הנ"ל, כיון שלשיטת רש"י לא אמרינן </w:t>
      </w:r>
      <w:r w:rsidR="004D3E6E" w:rsidRPr="00882F11">
        <w:rPr>
          <w:rFonts w:cs="Guttman Drogolin" w:hint="cs"/>
          <w:rtl/>
          <w:lang w:bidi="he-IL"/>
        </w:rPr>
        <w:t>טעם כעיקר</w:t>
      </w:r>
      <w:r w:rsidR="002238EA" w:rsidRPr="00882F11">
        <w:rPr>
          <w:rFonts w:cs="Guttman Drogolin" w:hint="cs"/>
          <w:rtl/>
          <w:lang w:bidi="he-IL"/>
        </w:rPr>
        <w:t xml:space="preserve"> בשלב הזה של הגמ' (וכמו שיתבאר בסמוך) צ"ע מאי אהני לן הא דכזית </w:t>
      </w:r>
      <w:r w:rsidR="00E91626" w:rsidRPr="00882F11">
        <w:rPr>
          <w:rFonts w:cs="Guttman Drogolin" w:hint="cs"/>
          <w:rtl/>
          <w:lang w:bidi="he-IL"/>
        </w:rPr>
        <w:t>בכדי אכילת פרס</w:t>
      </w:r>
      <w:r w:rsidR="002238EA" w:rsidRPr="00882F11">
        <w:rPr>
          <w:rFonts w:cs="Guttman Drogolin" w:hint="cs"/>
          <w:rtl/>
          <w:lang w:bidi="he-IL"/>
        </w:rPr>
        <w:t xml:space="preserve"> דאורייתא, הא האיסור בטילה היא מדאורייתא. וע"כ לפי המהלך הזה כוונת הגמ' לומר דכיון שכזית בכדי אכילת פרס </w:t>
      </w:r>
      <w:r w:rsidR="002238EA" w:rsidRPr="00882F11">
        <w:rPr>
          <w:rFonts w:cs="Guttman Drogolin" w:hint="cs"/>
          <w:rtl/>
          <w:lang w:bidi="he-IL"/>
        </w:rPr>
        <w:lastRenderedPageBreak/>
        <w:t>דאורייתא ולוקין עליו, אין האיסור בטילה בהיתר</w:t>
      </w:r>
      <w:r w:rsidR="00B73A77" w:rsidRPr="00882F11">
        <w:rPr>
          <w:rStyle w:val="FootnoteReference"/>
          <w:rFonts w:cs="Guttman Drogolin"/>
          <w:rtl/>
          <w:lang w:bidi="he-IL"/>
        </w:rPr>
        <w:footnoteReference w:id="16"/>
      </w:r>
      <w:r w:rsidR="002238EA" w:rsidRPr="00882F11">
        <w:rPr>
          <w:rFonts w:cs="Guttman Drogolin" w:hint="cs"/>
          <w:rtl/>
          <w:lang w:bidi="he-IL"/>
        </w:rPr>
        <w:t>.</w:t>
      </w:r>
    </w:p>
    <w:p w:rsidR="002238EA" w:rsidRPr="00882F11" w:rsidRDefault="002238EA" w:rsidP="0078079C">
      <w:pPr>
        <w:pStyle w:val="Heading1"/>
        <w:bidi/>
        <w:spacing w:before="0" w:line="360" w:lineRule="auto"/>
        <w:jc w:val="center"/>
        <w:rPr>
          <w:rFonts w:cs="Guttman Drogolin"/>
          <w:color w:val="auto"/>
          <w:sz w:val="24"/>
          <w:szCs w:val="24"/>
          <w:u w:val="single"/>
          <w:rtl/>
          <w:lang w:bidi="he-IL"/>
        </w:rPr>
      </w:pPr>
      <w:bookmarkStart w:id="5" w:name="_Toc496175274"/>
      <w:r w:rsidRPr="00882F11">
        <w:rPr>
          <w:rFonts w:cs="Guttman Drogolin" w:hint="cs"/>
          <w:color w:val="auto"/>
          <w:sz w:val="24"/>
          <w:szCs w:val="24"/>
          <w:u w:val="single"/>
          <w:rtl/>
          <w:lang w:bidi="he-IL"/>
        </w:rPr>
        <w:t>שיטת התוס'</w:t>
      </w:r>
      <w:bookmarkEnd w:id="5"/>
    </w:p>
    <w:p w:rsidR="002238EA" w:rsidRPr="00882F11" w:rsidRDefault="002238EA" w:rsidP="00A471DF">
      <w:pPr>
        <w:tabs>
          <w:tab w:val="left" w:pos="1183"/>
        </w:tabs>
        <w:bidi/>
        <w:jc w:val="both"/>
        <w:rPr>
          <w:rFonts w:cs="Guttman Drogolin"/>
          <w:rtl/>
          <w:lang w:bidi="he-IL"/>
        </w:rPr>
      </w:pPr>
      <w:r w:rsidRPr="00882F11">
        <w:rPr>
          <w:rFonts w:cs="Guttman Drogolin" w:hint="cs"/>
          <w:rtl/>
          <w:lang w:bidi="he-IL"/>
        </w:rPr>
        <w:t>כל זה הוא לשיטת רש"י וסייעתו, אבל התוס' נקטו שאין כוונת הגמ' בקושיא ד</w:t>
      </w:r>
      <w:r w:rsidR="00A471DF" w:rsidRPr="00882F11">
        <w:rPr>
          <w:rFonts w:cs="Guttman Drogolin" w:hint="cs"/>
          <w:rtl/>
          <w:lang w:bidi="he-IL"/>
        </w:rPr>
        <w:t>ת</w:t>
      </w:r>
      <w:r w:rsidR="00AF5AFC">
        <w:rPr>
          <w:rFonts w:cs="Guttman Drogolin" w:hint="cs"/>
          <w:rtl/>
          <w:lang w:bidi="he-IL"/>
        </w:rPr>
        <w:t>הא בטילה ברוב מ</w:t>
      </w:r>
      <w:r w:rsidRPr="00882F11">
        <w:rPr>
          <w:rFonts w:cs="Guttman Drogolin" w:hint="cs"/>
          <w:rtl/>
          <w:lang w:bidi="he-IL"/>
        </w:rPr>
        <w:t xml:space="preserve">דין ביטול ברוב של כה"ת כולה, </w:t>
      </w:r>
      <w:r w:rsidR="00490924" w:rsidRPr="00882F11">
        <w:rPr>
          <w:rFonts w:cs="Guttman Drogolin" w:hint="cs"/>
          <w:rtl/>
          <w:lang w:bidi="he-IL"/>
        </w:rPr>
        <w:t>רק מיירי בתרומה שהיא בעין, וכוונת הגמ' ב"הא</w:t>
      </w:r>
      <w:r w:rsidR="00490924" w:rsidRPr="00882F11">
        <w:rPr>
          <w:rFonts w:cs="Guttman Drogolin"/>
          <w:rtl/>
          <w:lang w:bidi="he-IL"/>
        </w:rPr>
        <w:t xml:space="preserve"> </w:t>
      </w:r>
      <w:r w:rsidR="00490924" w:rsidRPr="00882F11">
        <w:rPr>
          <w:rFonts w:cs="Guttman Drogolin" w:hint="cs"/>
          <w:rtl/>
          <w:lang w:bidi="he-IL"/>
        </w:rPr>
        <w:t>בטלי</w:t>
      </w:r>
      <w:r w:rsidR="00490924" w:rsidRPr="00882F11">
        <w:rPr>
          <w:rFonts w:cs="Guttman Drogolin"/>
          <w:rtl/>
          <w:lang w:bidi="he-IL"/>
        </w:rPr>
        <w:t xml:space="preserve"> </w:t>
      </w:r>
      <w:r w:rsidR="00490924" w:rsidRPr="00882F11">
        <w:rPr>
          <w:rFonts w:cs="Guttman Drogolin" w:hint="cs"/>
          <w:rtl/>
          <w:lang w:bidi="he-IL"/>
        </w:rPr>
        <w:t>להו</w:t>
      </w:r>
      <w:r w:rsidR="00490924" w:rsidRPr="00882F11">
        <w:rPr>
          <w:rFonts w:cs="Guttman Drogolin"/>
          <w:rtl/>
          <w:lang w:bidi="he-IL"/>
        </w:rPr>
        <w:t xml:space="preserve"> </w:t>
      </w:r>
      <w:r w:rsidR="00490924" w:rsidRPr="00882F11">
        <w:rPr>
          <w:rFonts w:cs="Guttman Drogolin" w:hint="cs"/>
          <w:rtl/>
          <w:lang w:bidi="he-IL"/>
        </w:rPr>
        <w:t>תבלין</w:t>
      </w:r>
      <w:r w:rsidR="00490924" w:rsidRPr="00882F11">
        <w:rPr>
          <w:rFonts w:cs="Guttman Drogolin"/>
          <w:rtl/>
          <w:lang w:bidi="he-IL"/>
        </w:rPr>
        <w:t xml:space="preserve"> </w:t>
      </w:r>
      <w:r w:rsidR="00490924" w:rsidRPr="00882F11">
        <w:rPr>
          <w:rFonts w:cs="Guttman Drogolin" w:hint="cs"/>
          <w:rtl/>
          <w:lang w:bidi="he-IL"/>
        </w:rPr>
        <w:t>ברוב" לו</w:t>
      </w:r>
      <w:r w:rsidR="00A471DF" w:rsidRPr="00882F11">
        <w:rPr>
          <w:rFonts w:cs="Guttman Drogolin" w:hint="cs"/>
          <w:rtl/>
          <w:lang w:bidi="he-IL"/>
        </w:rPr>
        <w:t>מ</w:t>
      </w:r>
      <w:r w:rsidR="00490924" w:rsidRPr="00882F11">
        <w:rPr>
          <w:rFonts w:cs="Guttman Drogolin" w:hint="cs"/>
          <w:rtl/>
          <w:lang w:bidi="he-IL"/>
        </w:rPr>
        <w:t>ר דכיון שאין כאן אוכל שיעור כביצה, הא אינו מקבל טומאה אלא מדרבנן, וא"כ כיון שהיא בטילה וטפילה למקפה שיש בה רוב חולין, אין עליו דין קבלת טומאה כלל. ועל זה מיישב הגמ' שהטעם שמ"מ מק</w:t>
      </w:r>
      <w:r w:rsidR="00F770B3" w:rsidRPr="00882F11">
        <w:rPr>
          <w:rFonts w:cs="Guttman Drogolin" w:hint="cs"/>
          <w:rtl/>
          <w:lang w:bidi="he-IL"/>
        </w:rPr>
        <w:t>ב</w:t>
      </w:r>
      <w:r w:rsidR="00490924" w:rsidRPr="00882F11">
        <w:rPr>
          <w:rFonts w:cs="Guttman Drogolin" w:hint="cs"/>
          <w:rtl/>
          <w:lang w:bidi="he-IL"/>
        </w:rPr>
        <w:t xml:space="preserve">ל טומאה משום שלוקה עליו בכזית. וס"ד </w:t>
      </w:r>
      <w:r w:rsidR="00AF5AFC">
        <w:rPr>
          <w:rFonts w:cs="Guttman Drogolin" w:hint="cs"/>
          <w:rtl/>
          <w:lang w:bidi="he-IL"/>
        </w:rPr>
        <w:t xml:space="preserve">שלוקה </w:t>
      </w:r>
      <w:r w:rsidR="00490924" w:rsidRPr="00882F11">
        <w:rPr>
          <w:rFonts w:cs="Guttman Drogolin" w:hint="cs"/>
          <w:rtl/>
          <w:lang w:bidi="he-IL"/>
        </w:rPr>
        <w:t>משום ד</w:t>
      </w:r>
      <w:r w:rsidR="00A471DF" w:rsidRPr="00882F11">
        <w:rPr>
          <w:rFonts w:cs="Guttman Drogolin" w:hint="cs"/>
          <w:rtl/>
          <w:lang w:bidi="he-IL"/>
        </w:rPr>
        <w:t>היתר מצטרף לאיסור</w:t>
      </w:r>
      <w:r w:rsidR="00490924" w:rsidRPr="00882F11">
        <w:rPr>
          <w:rFonts w:cs="Guttman Drogolin" w:hint="cs"/>
          <w:rtl/>
          <w:lang w:bidi="he-IL"/>
        </w:rPr>
        <w:t xml:space="preserve">, ודחתה הגמ' שאינה אלא משום דאיכא כזית </w:t>
      </w:r>
      <w:r w:rsidR="00E91626" w:rsidRPr="00882F11">
        <w:rPr>
          <w:rFonts w:cs="Guttman Drogolin" w:hint="cs"/>
          <w:rtl/>
          <w:lang w:bidi="he-IL"/>
        </w:rPr>
        <w:t>בכדי אכילת פרס</w:t>
      </w:r>
      <w:r w:rsidR="00490924" w:rsidRPr="00882F11">
        <w:rPr>
          <w:rFonts w:cs="Guttman Drogolin" w:hint="cs"/>
          <w:rtl/>
          <w:lang w:bidi="he-IL"/>
        </w:rPr>
        <w:t>.</w:t>
      </w:r>
    </w:p>
    <w:p w:rsidR="0046702D" w:rsidRPr="00882F11" w:rsidRDefault="00F770B3" w:rsidP="00AF5AFC">
      <w:pPr>
        <w:tabs>
          <w:tab w:val="left" w:pos="1183"/>
        </w:tabs>
        <w:bidi/>
        <w:jc w:val="both"/>
        <w:rPr>
          <w:rFonts w:cs="Guttman Drogolin"/>
          <w:rtl/>
          <w:lang w:bidi="he-IL"/>
        </w:rPr>
      </w:pPr>
      <w:r w:rsidRPr="00882F11">
        <w:rPr>
          <w:rFonts w:cs="Guttman Drogolin" w:hint="cs"/>
          <w:rtl/>
          <w:lang w:bidi="he-IL"/>
        </w:rPr>
        <w:t>ו</w:t>
      </w:r>
      <w:r w:rsidR="00AF5AFC">
        <w:rPr>
          <w:rFonts w:cs="Guttman Drogolin" w:hint="cs"/>
          <w:rtl/>
          <w:lang w:bidi="he-IL"/>
        </w:rPr>
        <w:t xml:space="preserve">שיטת התוס' </w:t>
      </w:r>
      <w:r w:rsidRPr="00882F11">
        <w:rPr>
          <w:rFonts w:cs="Guttman Drogolin" w:hint="cs"/>
          <w:rtl/>
          <w:lang w:bidi="he-IL"/>
        </w:rPr>
        <w:t>יל"ע מאי אהני לן הא ד</w:t>
      </w:r>
      <w:r w:rsidR="00A471DF" w:rsidRPr="00882F11">
        <w:rPr>
          <w:rFonts w:cs="Guttman Drogolin" w:hint="cs"/>
          <w:rtl/>
          <w:lang w:bidi="he-IL"/>
        </w:rPr>
        <w:t>היתר מצטרף לאיסור</w:t>
      </w:r>
      <w:r w:rsidRPr="00882F11">
        <w:rPr>
          <w:rFonts w:cs="Guttman Drogolin" w:hint="cs"/>
          <w:rtl/>
          <w:lang w:bidi="he-IL"/>
        </w:rPr>
        <w:t xml:space="preserve"> א"נ כזית בכדי אכילת פרס, דהא לדידהו הרי התרומה מ"מ לא היתה בטילה דהא בעין הוא. וכן למעשה </w:t>
      </w:r>
      <w:r w:rsidR="000D6D6C" w:rsidRPr="00882F11">
        <w:rPr>
          <w:rFonts w:cs="Guttman Drogolin" w:hint="cs"/>
          <w:rtl/>
          <w:lang w:bidi="he-IL"/>
        </w:rPr>
        <w:t xml:space="preserve">אפילו אם המל"א </w:t>
      </w:r>
      <w:r w:rsidRPr="00882F11">
        <w:rPr>
          <w:rFonts w:cs="Guttman Drogolin" w:hint="cs"/>
          <w:rtl/>
          <w:lang w:bidi="he-IL"/>
        </w:rPr>
        <w:t xml:space="preserve">אין באיסור בפני עצמו כדי ללקות עליו, וא"כ למה תהני הנהו סברות לומר שלא תהא בטילה לשאר המקפה ויקבל טומאה. ולכאורה הי' אפשר לומר דכיון שע"י א' מן הדינים האלו סוף סוף יתחייב מלקות על האיסור המעורב בה, אמרינן שיש חשיבות לאיסור ולכן לא בטל למקפה ומקבל טומאה. אבל בתוס' הרא"ש לכאורה מבואר ביאור אחר, שכתב </w:t>
      </w:r>
      <w:r w:rsidR="00902E1D" w:rsidRPr="00882F11">
        <w:rPr>
          <w:rFonts w:cs="Guttman Drogolin" w:hint="cs"/>
          <w:rtl/>
          <w:lang w:bidi="he-IL"/>
        </w:rPr>
        <w:t xml:space="preserve">"וכיון דלענין חיובא אנו עושים המקפה שסביב השום והשמן כאלו הוא תרומה ללקות עליה הה"נ לענין טומאה מצטרף החולין עם התרומה להשלימו לכביצה". והיינו </w:t>
      </w:r>
      <w:r w:rsidR="00902E1D" w:rsidRPr="00882F11">
        <w:rPr>
          <w:rFonts w:cs="Guttman Drogolin" w:hint="cs"/>
          <w:rtl/>
          <w:lang w:bidi="he-IL"/>
        </w:rPr>
        <w:lastRenderedPageBreak/>
        <w:t xml:space="preserve">שלעולם אין הטעם משום שיש חשיבות מיוחדת לפחות מכשיעור, רק שחשוב כאילו יש כאן שיעור ע"י דינא דהיתר מצטרף איסור. </w:t>
      </w:r>
      <w:r w:rsidR="0046702D" w:rsidRPr="00882F11">
        <w:rPr>
          <w:rFonts w:cs="Guttman Drogolin" w:hint="cs"/>
          <w:rtl/>
          <w:lang w:bidi="he-IL"/>
        </w:rPr>
        <w:t>ולכאורה זהו התוס' הרא"ש לשיטתו שהדגשנו לעיל</w:t>
      </w:r>
      <w:r w:rsidR="00AF5AFC">
        <w:rPr>
          <w:rFonts w:cs="Guttman Drogolin" w:hint="cs"/>
          <w:rtl/>
          <w:lang w:bidi="he-IL"/>
        </w:rPr>
        <w:t>,</w:t>
      </w:r>
      <w:r w:rsidR="0046702D" w:rsidRPr="00882F11">
        <w:rPr>
          <w:rFonts w:cs="Guttman Drogolin" w:hint="cs"/>
          <w:rtl/>
          <w:lang w:bidi="he-IL"/>
        </w:rPr>
        <w:t xml:space="preserve"> שהדין של היתר מצטרף לאיסור הוא דין בחפ</w:t>
      </w:r>
      <w:r w:rsidR="00A471DF" w:rsidRPr="00882F11">
        <w:rPr>
          <w:rFonts w:cs="Guttman Drogolin" w:hint="cs"/>
          <w:rtl/>
          <w:lang w:bidi="he-IL"/>
        </w:rPr>
        <w:t>צ</w:t>
      </w:r>
      <w:r w:rsidR="0046702D" w:rsidRPr="00882F11">
        <w:rPr>
          <w:rFonts w:cs="Guttman Drogolin" w:hint="cs"/>
          <w:rtl/>
          <w:lang w:bidi="he-IL"/>
        </w:rPr>
        <w:t>א של התערובת, שאם הוא דין במעשה האכילה איך אפשר לומר שיש כאן שיעור</w:t>
      </w:r>
      <w:r w:rsidR="00A471DF" w:rsidRPr="00882F11">
        <w:rPr>
          <w:rFonts w:cs="Guttman Drogolin" w:hint="cs"/>
          <w:rtl/>
          <w:lang w:bidi="he-IL"/>
        </w:rPr>
        <w:t xml:space="preserve"> בתערובת</w:t>
      </w:r>
      <w:r w:rsidR="0046702D" w:rsidRPr="00882F11">
        <w:rPr>
          <w:rFonts w:cs="Guttman Drogolin" w:hint="cs"/>
          <w:rtl/>
          <w:lang w:bidi="he-IL"/>
        </w:rPr>
        <w:t>.</w:t>
      </w:r>
    </w:p>
    <w:p w:rsidR="00B76699" w:rsidRPr="00882F11" w:rsidRDefault="0046702D" w:rsidP="00AF5AFC">
      <w:pPr>
        <w:tabs>
          <w:tab w:val="left" w:pos="1183"/>
        </w:tabs>
        <w:bidi/>
        <w:jc w:val="both"/>
        <w:rPr>
          <w:rFonts w:cs="Guttman Drogolin"/>
          <w:rtl/>
          <w:lang w:bidi="he-IL"/>
        </w:rPr>
      </w:pPr>
      <w:r w:rsidRPr="00882F11">
        <w:rPr>
          <w:rFonts w:cs="Guttman Drogolin" w:hint="cs"/>
          <w:rtl/>
          <w:lang w:bidi="he-IL"/>
        </w:rPr>
        <w:t xml:space="preserve">ועפ"ז יש לבאר גם הא דמהני </w:t>
      </w:r>
      <w:r w:rsidR="00AF5AFC">
        <w:rPr>
          <w:rFonts w:cs="Guttman Drogolin" w:hint="cs"/>
          <w:rtl/>
          <w:lang w:bidi="he-IL"/>
        </w:rPr>
        <w:t>הא דאיכא</w:t>
      </w:r>
      <w:r w:rsidRPr="00882F11">
        <w:rPr>
          <w:rFonts w:cs="Guttman Drogolin" w:hint="cs"/>
          <w:rtl/>
          <w:lang w:bidi="he-IL"/>
        </w:rPr>
        <w:t xml:space="preserve"> כזית בכדי אכילת פרס לומר שמקבל טומאה. ולזה כבר התייחס התוס' במס' נזיר דף ל"ו ע"ב, ותי' </w:t>
      </w:r>
      <w:r w:rsidR="005D4FBE" w:rsidRPr="00882F11">
        <w:rPr>
          <w:rFonts w:cs="Guttman Drogolin" w:hint="cs"/>
          <w:rtl/>
          <w:lang w:bidi="he-IL"/>
        </w:rPr>
        <w:t>דכיון שלענין מלקות מהני ההיתר לעבור אאכילת האיסור, דהא אין אדם אוכל את האיסור בכה"ג לחודי', הרי הוא מצטרף ע</w:t>
      </w:r>
      <w:r w:rsidR="00B76699" w:rsidRPr="00882F11">
        <w:rPr>
          <w:rFonts w:cs="Guttman Drogolin" w:hint="cs"/>
          <w:rtl/>
          <w:lang w:bidi="he-IL"/>
        </w:rPr>
        <w:t>ם</w:t>
      </w:r>
      <w:r w:rsidR="005D4FBE" w:rsidRPr="00882F11">
        <w:rPr>
          <w:rFonts w:cs="Guttman Drogolin" w:hint="cs"/>
          <w:rtl/>
          <w:lang w:bidi="he-IL"/>
        </w:rPr>
        <w:t xml:space="preserve"> האיסור לומר שיש בה שיעור והרי הוא מקבל טומאה</w:t>
      </w:r>
      <w:r w:rsidR="005D4FBE" w:rsidRPr="00882F11">
        <w:rPr>
          <w:rStyle w:val="FootnoteReference"/>
          <w:rFonts w:cs="Guttman Drogolin"/>
          <w:rtl/>
          <w:lang w:bidi="he-IL"/>
        </w:rPr>
        <w:footnoteReference w:id="17"/>
      </w:r>
      <w:r w:rsidR="005D4FBE" w:rsidRPr="00882F11">
        <w:rPr>
          <w:rFonts w:cs="Guttman Drogolin" w:hint="cs"/>
          <w:rtl/>
          <w:lang w:bidi="he-IL"/>
        </w:rPr>
        <w:t xml:space="preserve">. </w:t>
      </w:r>
      <w:r w:rsidR="004D3E6E" w:rsidRPr="00882F11">
        <w:rPr>
          <w:rFonts w:cs="Guttman Drogolin" w:hint="cs"/>
          <w:rtl/>
          <w:lang w:bidi="he-IL"/>
        </w:rPr>
        <w:t>ו</w:t>
      </w:r>
      <w:r w:rsidR="00B76699" w:rsidRPr="00882F11">
        <w:rPr>
          <w:rFonts w:cs="Guttman Drogolin" w:hint="cs"/>
          <w:rtl/>
          <w:lang w:bidi="he-IL"/>
        </w:rPr>
        <w:t xml:space="preserve">כן נראה לכאורה כוונת התוס' הרא"ש כאן בסוגיא. ולכאורה ביאור הדברים, שבתערובת שיש בה כזית </w:t>
      </w:r>
      <w:r w:rsidR="00E91626" w:rsidRPr="00882F11">
        <w:rPr>
          <w:rFonts w:cs="Guttman Drogolin" w:hint="cs"/>
          <w:rtl/>
          <w:lang w:bidi="he-IL"/>
        </w:rPr>
        <w:t>בכדי אכילת פרס</w:t>
      </w:r>
      <w:r w:rsidR="00B76699" w:rsidRPr="00882F11">
        <w:rPr>
          <w:rFonts w:cs="Guttman Drogolin" w:hint="cs"/>
          <w:rtl/>
          <w:lang w:bidi="he-IL"/>
        </w:rPr>
        <w:t xml:space="preserve"> (עכ"פ בכה"ג שאין הדרך לאכול האיסור לחודי'), אינו עובר </w:t>
      </w:r>
      <w:r w:rsidR="00AF5AFC">
        <w:rPr>
          <w:rFonts w:cs="Guttman Drogolin" w:hint="cs"/>
          <w:rtl/>
          <w:lang w:bidi="he-IL"/>
        </w:rPr>
        <w:t xml:space="preserve">רק </w:t>
      </w:r>
      <w:r w:rsidR="00B76699" w:rsidRPr="00882F11">
        <w:rPr>
          <w:rFonts w:cs="Guttman Drogolin" w:hint="cs"/>
          <w:rtl/>
          <w:lang w:bidi="he-IL"/>
        </w:rPr>
        <w:t>מש</w:t>
      </w:r>
      <w:r w:rsidR="00AF5AFC">
        <w:rPr>
          <w:rFonts w:cs="Guttman Drogolin" w:hint="cs"/>
          <w:rtl/>
          <w:lang w:bidi="he-IL"/>
        </w:rPr>
        <w:t xml:space="preserve">ום שאוכל את האיסור, וההיתר הוא </w:t>
      </w:r>
      <w:r w:rsidR="00B76699" w:rsidRPr="00882F11">
        <w:rPr>
          <w:rFonts w:cs="Guttman Drogolin" w:hint="cs"/>
          <w:rtl/>
          <w:lang w:bidi="he-IL"/>
        </w:rPr>
        <w:t>כ</w:t>
      </w:r>
      <w:r w:rsidR="00AF5AFC">
        <w:rPr>
          <w:rFonts w:cs="Guttman Drogolin" w:hint="cs"/>
          <w:rtl/>
          <w:lang w:bidi="he-IL"/>
        </w:rPr>
        <w:t>מ</w:t>
      </w:r>
      <w:r w:rsidR="00B76699" w:rsidRPr="00882F11">
        <w:rPr>
          <w:rFonts w:cs="Guttman Drogolin" w:hint="cs"/>
          <w:rtl/>
          <w:lang w:bidi="he-IL"/>
        </w:rPr>
        <w:t>אן דליתא, א</w:t>
      </w:r>
      <w:r w:rsidR="004D3E6E" w:rsidRPr="00882F11">
        <w:rPr>
          <w:rFonts w:cs="Guttman Drogolin" w:hint="cs"/>
          <w:rtl/>
          <w:lang w:bidi="he-IL"/>
        </w:rPr>
        <w:t xml:space="preserve">לא גדר האיסור הוא בזה שאוכל את </w:t>
      </w:r>
      <w:r w:rsidR="00B76699" w:rsidRPr="00882F11">
        <w:rPr>
          <w:rFonts w:cs="Guttman Drogolin" w:hint="cs"/>
          <w:rtl/>
          <w:lang w:bidi="he-IL"/>
        </w:rPr>
        <w:t xml:space="preserve">כל </w:t>
      </w:r>
      <w:r w:rsidR="004D3E6E" w:rsidRPr="00882F11">
        <w:rPr>
          <w:rFonts w:cs="Guttman Drogolin" w:hint="cs"/>
          <w:rtl/>
          <w:lang w:bidi="he-IL"/>
        </w:rPr>
        <w:t>התערובת, ו</w:t>
      </w:r>
      <w:r w:rsidR="00B76699" w:rsidRPr="00882F11">
        <w:rPr>
          <w:rFonts w:cs="Guttman Drogolin" w:hint="cs"/>
          <w:rtl/>
          <w:lang w:bidi="he-IL"/>
        </w:rPr>
        <w:t>כיון שיש ב</w:t>
      </w:r>
      <w:r w:rsidR="004D3E6E" w:rsidRPr="00882F11">
        <w:rPr>
          <w:rFonts w:cs="Guttman Drogolin" w:hint="cs"/>
          <w:rtl/>
          <w:lang w:bidi="he-IL"/>
        </w:rPr>
        <w:t>תערובת</w:t>
      </w:r>
      <w:r w:rsidR="00B76699" w:rsidRPr="00882F11">
        <w:rPr>
          <w:rFonts w:cs="Guttman Drogolin" w:hint="cs"/>
          <w:rtl/>
          <w:lang w:bidi="he-IL"/>
        </w:rPr>
        <w:t xml:space="preserve"> איסור</w:t>
      </w:r>
      <w:r w:rsidR="004D3E6E" w:rsidRPr="00882F11">
        <w:rPr>
          <w:rFonts w:cs="Guttman Drogolin" w:hint="cs"/>
          <w:rtl/>
          <w:lang w:bidi="he-IL"/>
        </w:rPr>
        <w:t xml:space="preserve"> חייב</w:t>
      </w:r>
      <w:r w:rsidR="00B76699" w:rsidRPr="00882F11">
        <w:rPr>
          <w:rFonts w:cs="Guttman Drogolin" w:hint="cs"/>
          <w:rtl/>
          <w:lang w:bidi="he-IL"/>
        </w:rPr>
        <w:t>.</w:t>
      </w:r>
      <w:r w:rsidR="00902E1D" w:rsidRPr="00882F11">
        <w:rPr>
          <w:rFonts w:cs="Guttman Drogolin" w:hint="cs"/>
          <w:rtl/>
          <w:lang w:bidi="he-IL"/>
        </w:rPr>
        <w:t xml:space="preserve"> </w:t>
      </w:r>
    </w:p>
    <w:p w:rsidR="00B76699" w:rsidRPr="00882F11" w:rsidRDefault="00F770B3" w:rsidP="00AF5AFC">
      <w:pPr>
        <w:pStyle w:val="Heading1"/>
        <w:bidi/>
        <w:spacing w:before="0" w:line="240" w:lineRule="auto"/>
        <w:jc w:val="center"/>
        <w:rPr>
          <w:rFonts w:cs="Guttman Drogolin"/>
          <w:color w:val="auto"/>
          <w:sz w:val="24"/>
          <w:szCs w:val="24"/>
          <w:u w:val="single"/>
          <w:rtl/>
          <w:lang w:bidi="he-IL"/>
        </w:rPr>
      </w:pPr>
      <w:r w:rsidRPr="00882F11">
        <w:rPr>
          <w:rFonts w:cs="Guttman Drogolin" w:hint="cs"/>
          <w:rtl/>
          <w:lang w:bidi="he-IL"/>
        </w:rPr>
        <w:t xml:space="preserve"> </w:t>
      </w:r>
      <w:bookmarkStart w:id="6" w:name="_Toc496175275"/>
      <w:r w:rsidR="00B76699" w:rsidRPr="00882F11">
        <w:rPr>
          <w:rFonts w:cs="Guttman Drogolin" w:hint="cs"/>
          <w:color w:val="auto"/>
          <w:sz w:val="24"/>
          <w:szCs w:val="24"/>
          <w:u w:val="single"/>
          <w:rtl/>
          <w:lang w:bidi="he-IL"/>
        </w:rPr>
        <w:t xml:space="preserve">למה לא אמרו בגמ' שאינו </w:t>
      </w:r>
      <w:r w:rsidR="00651E58" w:rsidRPr="00882F11">
        <w:rPr>
          <w:rFonts w:cs="Guttman Drogolin" w:hint="cs"/>
          <w:color w:val="auto"/>
          <w:sz w:val="24"/>
          <w:szCs w:val="24"/>
          <w:u w:val="single"/>
          <w:rtl/>
          <w:lang w:bidi="he-IL"/>
        </w:rPr>
        <w:t>ב</w:t>
      </w:r>
      <w:r w:rsidR="00B76699" w:rsidRPr="00882F11">
        <w:rPr>
          <w:rFonts w:cs="Guttman Drogolin" w:hint="cs"/>
          <w:color w:val="auto"/>
          <w:sz w:val="24"/>
          <w:szCs w:val="24"/>
          <w:u w:val="single"/>
          <w:rtl/>
          <w:lang w:bidi="he-IL"/>
        </w:rPr>
        <w:t>טל משום ד</w:t>
      </w:r>
      <w:r w:rsidR="004D3E6E" w:rsidRPr="00882F11">
        <w:rPr>
          <w:rFonts w:cs="Guttman Drogolin" w:hint="cs"/>
          <w:color w:val="auto"/>
          <w:sz w:val="24"/>
          <w:szCs w:val="24"/>
          <w:u w:val="single"/>
          <w:rtl/>
          <w:lang w:bidi="he-IL"/>
        </w:rPr>
        <w:t>טעם כעיקר</w:t>
      </w:r>
      <w:r w:rsidR="00B76699" w:rsidRPr="00882F11">
        <w:rPr>
          <w:rFonts w:cs="Guttman Drogolin" w:hint="cs"/>
          <w:color w:val="auto"/>
          <w:sz w:val="24"/>
          <w:szCs w:val="24"/>
          <w:u w:val="single"/>
          <w:rtl/>
          <w:lang w:bidi="he-IL"/>
        </w:rPr>
        <w:t xml:space="preserve"> מדאורייתא</w:t>
      </w:r>
      <w:bookmarkEnd w:id="6"/>
    </w:p>
    <w:p w:rsidR="00651E58" w:rsidRPr="00882F11" w:rsidRDefault="00F927B0" w:rsidP="006D31BE">
      <w:pPr>
        <w:tabs>
          <w:tab w:val="left" w:pos="1183"/>
        </w:tabs>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היתר מצטרף לאיסור</w:instrText>
      </w:r>
      <w:r w:rsidRPr="00882F11">
        <w:rPr>
          <w:rFonts w:cs="Guttman Drogolin"/>
          <w:rtl/>
        </w:rPr>
        <w:instrText>:</w:instrText>
      </w:r>
      <w:r w:rsidRPr="00882F11">
        <w:rPr>
          <w:rFonts w:cs="Guttman Drogolin" w:hint="cs"/>
          <w:rtl/>
          <w:lang w:bidi="he-IL"/>
        </w:rPr>
        <w:instrText>למה בעינן לי' אם ט</w:instrText>
      </w:r>
      <w:r w:rsidR="006D31BE" w:rsidRPr="00882F11">
        <w:rPr>
          <w:rFonts w:cs="Guttman Drogolin" w:hint="cs"/>
          <w:rtl/>
          <w:lang w:bidi="he-IL"/>
        </w:rPr>
        <w:instrText>עם כעיקר</w:instrText>
      </w:r>
      <w:r w:rsidRPr="00882F11">
        <w:rPr>
          <w:rFonts w:cs="Guttman Drogolin" w:hint="cs"/>
          <w:rtl/>
          <w:lang w:bidi="he-IL"/>
        </w:rPr>
        <w:instrText xml:space="preserve"> מדאורייתא</w:instrText>
      </w:r>
      <w:r w:rsidRPr="00882F11">
        <w:rPr>
          <w:rFonts w:cs="Guttman Drogolin"/>
        </w:rPr>
        <w:instrText xml:space="preserve">" </w:instrText>
      </w:r>
      <w:r w:rsidRPr="00882F11">
        <w:rPr>
          <w:rFonts w:cs="Guttman Drogolin"/>
          <w:rtl/>
          <w:lang w:bidi="he-IL"/>
        </w:rPr>
        <w:fldChar w:fldCharType="end"/>
      </w:r>
      <w:r w:rsidR="00B76699" w:rsidRPr="00882F11">
        <w:rPr>
          <w:rFonts w:cs="Guttman Drogolin" w:hint="cs"/>
          <w:rtl/>
          <w:lang w:bidi="he-IL"/>
        </w:rPr>
        <w:t>בתוס' ר"פ על אתר הקשה על פירש"י</w:t>
      </w:r>
      <w:r w:rsidR="003F1B07" w:rsidRPr="00882F11">
        <w:rPr>
          <w:rStyle w:val="FootnoteReference"/>
          <w:rFonts w:cs="Guttman Drogolin"/>
          <w:rtl/>
          <w:lang w:bidi="he-IL"/>
        </w:rPr>
        <w:footnoteReference w:id="18"/>
      </w:r>
      <w:r w:rsidR="00E6301E">
        <w:rPr>
          <w:rFonts w:cs="Guttman Drogolin" w:hint="cs"/>
          <w:rtl/>
          <w:lang w:bidi="he-IL"/>
        </w:rPr>
        <w:t xml:space="preserve">, </w:t>
      </w:r>
      <w:r w:rsidR="00B76699" w:rsidRPr="00882F11">
        <w:rPr>
          <w:rFonts w:cs="Guttman Drogolin" w:hint="cs"/>
          <w:rtl/>
          <w:lang w:bidi="he-IL"/>
        </w:rPr>
        <w:t xml:space="preserve">למה </w:t>
      </w:r>
      <w:r w:rsidR="004D3E6E" w:rsidRPr="00882F11">
        <w:rPr>
          <w:rFonts w:cs="Guttman Drogolin" w:hint="cs"/>
          <w:rtl/>
          <w:lang w:bidi="he-IL"/>
        </w:rPr>
        <w:t xml:space="preserve">הסוגיא </w:t>
      </w:r>
      <w:r w:rsidR="00B76699" w:rsidRPr="00882F11">
        <w:rPr>
          <w:rFonts w:cs="Guttman Drogolin" w:hint="cs"/>
          <w:rtl/>
          <w:lang w:bidi="he-IL"/>
        </w:rPr>
        <w:t>מ</w:t>
      </w:r>
      <w:r w:rsidR="004D3E6E" w:rsidRPr="00882F11">
        <w:rPr>
          <w:rFonts w:cs="Guttman Drogolin" w:hint="cs"/>
          <w:rtl/>
          <w:lang w:bidi="he-IL"/>
        </w:rPr>
        <w:t>ת</w:t>
      </w:r>
      <w:r w:rsidR="00B76699" w:rsidRPr="00882F11">
        <w:rPr>
          <w:rFonts w:cs="Guttman Drogolin" w:hint="cs"/>
          <w:rtl/>
          <w:lang w:bidi="he-IL"/>
        </w:rPr>
        <w:t>על</w:t>
      </w:r>
      <w:r w:rsidR="004D3E6E" w:rsidRPr="00882F11">
        <w:rPr>
          <w:rFonts w:cs="Guttman Drogolin" w:hint="cs"/>
          <w:rtl/>
          <w:lang w:bidi="he-IL"/>
        </w:rPr>
        <w:t>מת</w:t>
      </w:r>
      <w:r w:rsidR="00B76699" w:rsidRPr="00882F11">
        <w:rPr>
          <w:rFonts w:cs="Guttman Drogolin" w:hint="cs"/>
          <w:rtl/>
          <w:lang w:bidi="he-IL"/>
        </w:rPr>
        <w:t xml:space="preserve"> מדי</w:t>
      </w:r>
      <w:r w:rsidR="004D3E6E" w:rsidRPr="00882F11">
        <w:rPr>
          <w:rFonts w:cs="Guttman Drogolin" w:hint="cs"/>
          <w:rtl/>
          <w:lang w:bidi="he-IL"/>
        </w:rPr>
        <w:t>ן</w:t>
      </w:r>
      <w:r w:rsidR="00B76699" w:rsidRPr="00882F11">
        <w:rPr>
          <w:rFonts w:cs="Guttman Drogolin" w:hint="cs"/>
          <w:rtl/>
          <w:lang w:bidi="he-IL"/>
        </w:rPr>
        <w:t xml:space="preserve"> </w:t>
      </w:r>
      <w:r w:rsidR="004D3E6E" w:rsidRPr="00882F11">
        <w:rPr>
          <w:rFonts w:cs="Guttman Drogolin" w:hint="cs"/>
          <w:rtl/>
          <w:lang w:bidi="he-IL"/>
        </w:rPr>
        <w:t>טעם כעיקר</w:t>
      </w:r>
      <w:r w:rsidR="00B76699" w:rsidRPr="00882F11">
        <w:rPr>
          <w:rFonts w:cs="Guttman Drogolin" w:hint="cs"/>
          <w:rtl/>
          <w:lang w:bidi="he-IL"/>
        </w:rPr>
        <w:t xml:space="preserve">. </w:t>
      </w:r>
      <w:r w:rsidR="00651E58" w:rsidRPr="00882F11">
        <w:rPr>
          <w:rFonts w:cs="Guttman Drogolin" w:hint="cs"/>
          <w:rtl/>
          <w:lang w:bidi="he-IL"/>
        </w:rPr>
        <w:t>ואע"ג ש</w:t>
      </w:r>
      <w:r w:rsidR="004D3E6E" w:rsidRPr="00882F11">
        <w:rPr>
          <w:rFonts w:cs="Guttman Drogolin" w:hint="cs"/>
          <w:rtl/>
          <w:lang w:bidi="he-IL"/>
        </w:rPr>
        <w:t xml:space="preserve">כאן בסוף הסוגיא </w:t>
      </w:r>
      <w:r w:rsidR="00651E58" w:rsidRPr="00882F11">
        <w:rPr>
          <w:rFonts w:cs="Guttman Drogolin" w:hint="cs"/>
          <w:rtl/>
          <w:lang w:bidi="he-IL"/>
        </w:rPr>
        <w:t>שיטת רש"י היא שלמסקנא טעם כעיקר לאו דאורייתא, מ"מ לאביי כו"ע מודו ד</w:t>
      </w:r>
      <w:r w:rsidR="004D3E6E" w:rsidRPr="00882F11">
        <w:rPr>
          <w:rFonts w:cs="Guttman Drogolin" w:hint="cs"/>
          <w:rtl/>
          <w:lang w:bidi="he-IL"/>
        </w:rPr>
        <w:t>טעם כעיקר</w:t>
      </w:r>
      <w:r w:rsidR="00651E58" w:rsidRPr="00882F11">
        <w:rPr>
          <w:rFonts w:cs="Guttman Drogolin" w:hint="cs"/>
          <w:rtl/>
          <w:lang w:bidi="he-IL"/>
        </w:rPr>
        <w:t xml:space="preserve"> דאורייתא כדמבואר במס' חו</w:t>
      </w:r>
      <w:r w:rsidR="004D3E6E" w:rsidRPr="00882F11">
        <w:rPr>
          <w:rFonts w:cs="Guttman Drogolin" w:hint="cs"/>
          <w:rtl/>
          <w:lang w:bidi="he-IL"/>
        </w:rPr>
        <w:t>לין דף ק"ח ע"א, והכא לדעת אביי ק</w:t>
      </w:r>
      <w:r w:rsidR="00651E58" w:rsidRPr="00882F11">
        <w:rPr>
          <w:rFonts w:cs="Guttman Drogolin" w:hint="cs"/>
          <w:rtl/>
          <w:lang w:bidi="he-IL"/>
        </w:rPr>
        <w:t>א איירינן.</w:t>
      </w:r>
      <w:r w:rsidR="00036D6B" w:rsidRPr="00882F11">
        <w:rPr>
          <w:rFonts w:cs="Guttman Drogolin" w:hint="cs"/>
          <w:rtl/>
          <w:lang w:bidi="he-IL"/>
        </w:rPr>
        <w:t xml:space="preserve"> וכן לא </w:t>
      </w:r>
      <w:r w:rsidR="00036D6B" w:rsidRPr="00882F11">
        <w:rPr>
          <w:rFonts w:cs="Guttman Drogolin" w:hint="cs"/>
          <w:rtl/>
          <w:lang w:bidi="he-IL"/>
        </w:rPr>
        <w:lastRenderedPageBreak/>
        <w:t>כתב כן אלא לרבנן דכותח הבבלי, ולכאורה סוגיין דהכא אליבא דר"ע שמפורש לשיטתו דאמרינן טכ"ע דאורייתא.</w:t>
      </w:r>
      <w:r w:rsidR="00651E58" w:rsidRPr="00882F11">
        <w:rPr>
          <w:rFonts w:cs="Guttman Drogolin" w:hint="cs"/>
          <w:rtl/>
          <w:lang w:bidi="he-IL"/>
        </w:rPr>
        <w:t xml:space="preserve"> </w:t>
      </w:r>
      <w:r w:rsidR="00B76699" w:rsidRPr="00882F11">
        <w:rPr>
          <w:rFonts w:cs="Guttman Drogolin" w:hint="cs"/>
          <w:rtl/>
          <w:lang w:bidi="he-IL"/>
        </w:rPr>
        <w:t xml:space="preserve">וקושיא זו בעצם מתחלקת לשתים, חדא שהרי לשיטת רש"י מיירי בתערובת גמור, ועל זה מקשה הגמ' דליבטל ברובא כמו שאר ביטול ברוב </w:t>
      </w:r>
      <w:r w:rsidR="000D6D6C" w:rsidRPr="00882F11">
        <w:rPr>
          <w:rFonts w:cs="Guttman Drogolin" w:hint="cs"/>
          <w:rtl/>
          <w:lang w:bidi="he-IL"/>
        </w:rPr>
        <w:t>דתערובת. ועל זה קשה, דלמה קס"ד ד</w:t>
      </w:r>
      <w:r w:rsidR="00B76699" w:rsidRPr="00882F11">
        <w:rPr>
          <w:rFonts w:cs="Guttman Drogolin" w:hint="cs"/>
          <w:rtl/>
          <w:lang w:bidi="he-IL"/>
        </w:rPr>
        <w:t>בטל, הא הוי מין בשאינו מינו ו</w:t>
      </w:r>
      <w:r w:rsidR="004D3E6E" w:rsidRPr="00882F11">
        <w:rPr>
          <w:rFonts w:cs="Guttman Drogolin" w:hint="cs"/>
          <w:rtl/>
          <w:lang w:bidi="he-IL"/>
        </w:rPr>
        <w:t>טעם כעיקר</w:t>
      </w:r>
      <w:r w:rsidR="00E6301E">
        <w:rPr>
          <w:rFonts w:cs="Guttman Drogolin" w:hint="cs"/>
          <w:rtl/>
          <w:lang w:bidi="he-IL"/>
        </w:rPr>
        <w:t xml:space="preserve"> </w:t>
      </w:r>
      <w:r w:rsidR="00B76699" w:rsidRPr="00882F11">
        <w:rPr>
          <w:rFonts w:cs="Guttman Drogolin" w:hint="cs"/>
          <w:rtl/>
          <w:lang w:bidi="he-IL"/>
        </w:rPr>
        <w:t>דאורייתא</w:t>
      </w:r>
      <w:r w:rsidR="00651E58" w:rsidRPr="00882F11">
        <w:rPr>
          <w:rFonts w:cs="Guttman Drogolin" w:hint="cs"/>
          <w:rtl/>
          <w:lang w:bidi="he-IL"/>
        </w:rPr>
        <w:t xml:space="preserve"> וזה מונע דין ביטול</w:t>
      </w:r>
      <w:r w:rsidR="00B76699" w:rsidRPr="00882F11">
        <w:rPr>
          <w:rFonts w:cs="Guttman Drogolin" w:hint="cs"/>
          <w:rtl/>
          <w:lang w:bidi="he-IL"/>
        </w:rPr>
        <w:t xml:space="preserve">. </w:t>
      </w:r>
      <w:r w:rsidR="00651E58" w:rsidRPr="00882F11">
        <w:rPr>
          <w:rFonts w:cs="Guttman Drogolin" w:hint="cs"/>
          <w:rtl/>
          <w:lang w:bidi="he-IL"/>
        </w:rPr>
        <w:t xml:space="preserve">ועוד קשה </w:t>
      </w:r>
      <w:r w:rsidR="00B76699" w:rsidRPr="00882F11">
        <w:rPr>
          <w:rFonts w:cs="Guttman Drogolin" w:hint="cs"/>
          <w:rtl/>
          <w:lang w:bidi="he-IL"/>
        </w:rPr>
        <w:t xml:space="preserve">דלמה </w:t>
      </w:r>
      <w:r w:rsidR="00651E58" w:rsidRPr="00882F11">
        <w:rPr>
          <w:rFonts w:cs="Guttman Drogolin" w:hint="cs"/>
          <w:rtl/>
          <w:lang w:bidi="he-IL"/>
        </w:rPr>
        <w:t>הקשו בטעם הדבר שלוקה אכזית, תיפו"ל משום ד</w:t>
      </w:r>
      <w:r w:rsidR="004D3E6E" w:rsidRPr="00882F11">
        <w:rPr>
          <w:rFonts w:cs="Guttman Drogolin" w:hint="cs"/>
          <w:rtl/>
          <w:lang w:bidi="he-IL"/>
        </w:rPr>
        <w:t>טעם כעיקר</w:t>
      </w:r>
      <w:bookmarkStart w:id="7" w:name="_Ref448397287"/>
      <w:r w:rsidR="005D56DB" w:rsidRPr="00882F11">
        <w:rPr>
          <w:rStyle w:val="FootnoteReference"/>
          <w:rFonts w:cs="Guttman Drogolin"/>
          <w:rtl/>
          <w:lang w:bidi="he-IL"/>
        </w:rPr>
        <w:footnoteReference w:id="19"/>
      </w:r>
      <w:bookmarkEnd w:id="7"/>
      <w:r w:rsidR="00651E58" w:rsidRPr="00882F11">
        <w:rPr>
          <w:rFonts w:cs="Guttman Drogolin" w:hint="cs"/>
          <w:rtl/>
          <w:lang w:bidi="he-IL"/>
        </w:rPr>
        <w:t xml:space="preserve">. </w:t>
      </w:r>
      <w:r w:rsidR="00B76699" w:rsidRPr="00882F11">
        <w:rPr>
          <w:rFonts w:cs="Guttman Drogolin" w:hint="cs"/>
          <w:rtl/>
          <w:lang w:bidi="he-IL"/>
        </w:rPr>
        <w:t>והנה הר"ש בטבו"י כתב בזה דלא מהני דינא ד</w:t>
      </w:r>
      <w:r w:rsidR="004D3E6E" w:rsidRPr="00882F11">
        <w:rPr>
          <w:rFonts w:cs="Guttman Drogolin" w:hint="cs"/>
          <w:rtl/>
          <w:lang w:bidi="he-IL"/>
        </w:rPr>
        <w:t>טעם כעיקר</w:t>
      </w:r>
      <w:r w:rsidR="00B76699" w:rsidRPr="00882F11">
        <w:rPr>
          <w:rFonts w:cs="Guttman Drogolin" w:hint="cs"/>
          <w:rtl/>
          <w:lang w:bidi="he-IL"/>
        </w:rPr>
        <w:t xml:space="preserve"> לענין טומאה</w:t>
      </w:r>
      <w:r w:rsidR="00651E58" w:rsidRPr="00882F11">
        <w:rPr>
          <w:rFonts w:cs="Guttman Drogolin" w:hint="cs"/>
          <w:rtl/>
          <w:lang w:bidi="he-IL"/>
        </w:rPr>
        <w:t>. וכוונתו ד</w:t>
      </w:r>
      <w:r w:rsidR="004D3E6E" w:rsidRPr="00882F11">
        <w:rPr>
          <w:rFonts w:cs="Guttman Drogolin" w:hint="cs"/>
          <w:rtl/>
          <w:lang w:bidi="he-IL"/>
        </w:rPr>
        <w:t>טעם כעיקר</w:t>
      </w:r>
      <w:r w:rsidR="00651E58" w:rsidRPr="00882F11">
        <w:rPr>
          <w:rFonts w:cs="Guttman Drogolin" w:hint="cs"/>
          <w:rtl/>
          <w:lang w:bidi="he-IL"/>
        </w:rPr>
        <w:t xml:space="preserve"> הוא חידוש של איסור אכילה, אבל בעצם אין כאן </w:t>
      </w:r>
      <w:r w:rsidR="004D3E6E" w:rsidRPr="00882F11">
        <w:rPr>
          <w:rFonts w:cs="Guttman Drogolin" w:hint="cs"/>
          <w:rtl/>
          <w:lang w:bidi="he-IL"/>
        </w:rPr>
        <w:t xml:space="preserve">בפועל </w:t>
      </w:r>
      <w:r w:rsidR="00651E58" w:rsidRPr="00882F11">
        <w:rPr>
          <w:rFonts w:cs="Guttman Drogolin" w:hint="cs"/>
          <w:rtl/>
          <w:lang w:bidi="he-IL"/>
        </w:rPr>
        <w:t>האיסור ההוא, ולכן לענין טומאה הרי לא מהני לומר שמקבל טומאה. ואי לענין הא דמקשה הגמ' למה לוקה, בזה סבר הר"ש כשיטות שסוברות שאינו לוקה ע"י דינא ד</w:t>
      </w:r>
      <w:r w:rsidR="004D3E6E" w:rsidRPr="00882F11">
        <w:rPr>
          <w:rFonts w:cs="Guttman Drogolin" w:hint="cs"/>
          <w:rtl/>
          <w:lang w:bidi="he-IL"/>
        </w:rPr>
        <w:t>טעם כעיקר</w:t>
      </w:r>
      <w:r w:rsidR="00651E58" w:rsidRPr="00882F11">
        <w:rPr>
          <w:rFonts w:cs="Guttman Drogolin" w:hint="cs"/>
          <w:rtl/>
          <w:lang w:bidi="he-IL"/>
        </w:rPr>
        <w:t>.</w:t>
      </w:r>
    </w:p>
    <w:p w:rsidR="004F3EC2" w:rsidRPr="00882F11" w:rsidRDefault="00651E58" w:rsidP="00E6301E">
      <w:pPr>
        <w:tabs>
          <w:tab w:val="left" w:pos="1183"/>
        </w:tabs>
        <w:bidi/>
        <w:jc w:val="both"/>
        <w:rPr>
          <w:rFonts w:cs="Guttman Drogolin"/>
          <w:rtl/>
          <w:lang w:bidi="he-IL"/>
        </w:rPr>
      </w:pPr>
      <w:r w:rsidRPr="00882F11">
        <w:rPr>
          <w:rFonts w:cs="Guttman Drogolin" w:hint="cs"/>
          <w:rtl/>
          <w:lang w:bidi="he-IL"/>
        </w:rPr>
        <w:t xml:space="preserve">אמנם לפירש"י אי אפשר לומר כן, דהא רש"י סבר דעד כמה דאמרינן </w:t>
      </w:r>
      <w:r w:rsidR="004D3E6E" w:rsidRPr="00882F11">
        <w:rPr>
          <w:rFonts w:cs="Guttman Drogolin" w:hint="cs"/>
          <w:rtl/>
          <w:lang w:bidi="he-IL"/>
        </w:rPr>
        <w:t>טעם כעיקר</w:t>
      </w:r>
      <w:r w:rsidRPr="00882F11">
        <w:rPr>
          <w:rFonts w:cs="Guttman Drogolin" w:hint="cs"/>
          <w:rtl/>
          <w:lang w:bidi="he-IL"/>
        </w:rPr>
        <w:t xml:space="preserve">, נהפך </w:t>
      </w:r>
      <w:r w:rsidR="00036D6B" w:rsidRPr="00882F11">
        <w:rPr>
          <w:rFonts w:cs="Guttman Drogolin" w:hint="cs"/>
          <w:rtl/>
          <w:lang w:bidi="he-IL"/>
        </w:rPr>
        <w:t>ההיתר</w:t>
      </w:r>
      <w:r w:rsidRPr="00882F11">
        <w:rPr>
          <w:rFonts w:cs="Guttman Drogolin" w:hint="cs"/>
          <w:rtl/>
          <w:lang w:bidi="he-IL"/>
        </w:rPr>
        <w:t xml:space="preserve"> להיות </w:t>
      </w:r>
      <w:r w:rsidR="00036D6B" w:rsidRPr="00882F11">
        <w:rPr>
          <w:rFonts w:cs="Guttman Drogolin" w:hint="cs"/>
          <w:rtl/>
          <w:lang w:bidi="he-IL"/>
        </w:rPr>
        <w:t>איסור</w:t>
      </w:r>
      <w:r w:rsidRPr="00882F11">
        <w:rPr>
          <w:rFonts w:cs="Guttman Drogolin" w:hint="cs"/>
          <w:rtl/>
          <w:lang w:bidi="he-IL"/>
        </w:rPr>
        <w:t>, ולכן באמת לקי עלי'. וא"כ הדרה קושיא לדוכתי'</w:t>
      </w:r>
      <w:r w:rsidRPr="00882F11">
        <w:rPr>
          <w:rStyle w:val="FootnoteReference"/>
          <w:rFonts w:cs="Guttman Drogolin"/>
          <w:rtl/>
          <w:lang w:bidi="he-IL"/>
        </w:rPr>
        <w:footnoteReference w:id="20"/>
      </w:r>
      <w:r w:rsidRPr="00882F11">
        <w:rPr>
          <w:rFonts w:cs="Guttman Drogolin" w:hint="cs"/>
          <w:rtl/>
          <w:lang w:bidi="he-IL"/>
        </w:rPr>
        <w:t xml:space="preserve">. וכתב הנחל"ד דע"כ לשיטת רש"י </w:t>
      </w:r>
      <w:r w:rsidR="00036D6B" w:rsidRPr="00882F11">
        <w:rPr>
          <w:rFonts w:cs="Guttman Drogolin" w:hint="cs"/>
          <w:rtl/>
          <w:lang w:bidi="he-IL"/>
        </w:rPr>
        <w:t>צריכים לומר ש</w:t>
      </w:r>
      <w:r w:rsidR="00E6301E">
        <w:rPr>
          <w:rFonts w:cs="Guttman Drogolin" w:hint="cs"/>
          <w:rtl/>
          <w:lang w:bidi="he-IL"/>
        </w:rPr>
        <w:t>עדיין</w:t>
      </w:r>
      <w:r w:rsidRPr="00882F11">
        <w:rPr>
          <w:rFonts w:cs="Guttman Drogolin" w:hint="cs"/>
          <w:rtl/>
          <w:lang w:bidi="he-IL"/>
        </w:rPr>
        <w:t xml:space="preserve"> לא ידעו הדין ד</w:t>
      </w:r>
      <w:r w:rsidR="004D3E6E" w:rsidRPr="00882F11">
        <w:rPr>
          <w:rFonts w:cs="Guttman Drogolin" w:hint="cs"/>
          <w:rtl/>
          <w:lang w:bidi="he-IL"/>
        </w:rPr>
        <w:t>טעם כעיקר</w:t>
      </w:r>
      <w:r w:rsidR="00E6301E">
        <w:rPr>
          <w:rFonts w:cs="Guttman Drogolin" w:hint="cs"/>
          <w:rtl/>
          <w:lang w:bidi="he-IL"/>
        </w:rPr>
        <w:t xml:space="preserve"> </w:t>
      </w:r>
      <w:r w:rsidRPr="00882F11">
        <w:rPr>
          <w:rFonts w:cs="Guttman Drogolin" w:hint="cs"/>
          <w:rtl/>
          <w:lang w:bidi="he-IL"/>
        </w:rPr>
        <w:t xml:space="preserve">דאורייתא, ואה"נ ואחר שחידשנו דין </w:t>
      </w:r>
      <w:r w:rsidR="004D3E6E" w:rsidRPr="00882F11">
        <w:rPr>
          <w:rFonts w:cs="Guttman Drogolin" w:hint="cs"/>
          <w:rtl/>
          <w:lang w:bidi="he-IL"/>
        </w:rPr>
        <w:t>טעם כעיקר</w:t>
      </w:r>
      <w:r w:rsidRPr="00882F11">
        <w:rPr>
          <w:rFonts w:cs="Guttman Drogolin" w:hint="cs"/>
          <w:rtl/>
          <w:lang w:bidi="he-IL"/>
        </w:rPr>
        <w:t xml:space="preserve"> פשוט שלוקה עליו בכזית. וע"ש שהביא כן מדברי התוס' במס' נזיר דף ל"ז ע"א ד"ה </w:t>
      </w:r>
      <w:r w:rsidR="00D46C50" w:rsidRPr="00882F11">
        <w:rPr>
          <w:rFonts w:cs="Guttman Drogolin" w:hint="cs"/>
          <w:rtl/>
          <w:lang w:bidi="he-IL"/>
        </w:rPr>
        <w:t>שרה.</w:t>
      </w:r>
    </w:p>
    <w:p w:rsidR="00F770B3" w:rsidRPr="00882F11" w:rsidRDefault="004F3EC2" w:rsidP="00036D6B">
      <w:pPr>
        <w:tabs>
          <w:tab w:val="left" w:pos="1183"/>
        </w:tabs>
        <w:bidi/>
        <w:jc w:val="both"/>
        <w:rPr>
          <w:rFonts w:cs="Guttman Drogolin"/>
          <w:rtl/>
          <w:lang w:bidi="he-IL"/>
        </w:rPr>
      </w:pPr>
      <w:r w:rsidRPr="00882F11">
        <w:rPr>
          <w:rFonts w:cs="Guttman Drogolin" w:hint="cs"/>
          <w:rtl/>
          <w:lang w:bidi="he-IL"/>
        </w:rPr>
        <w:t xml:space="preserve">ומ"מ יש מקום עיון בסוגיא, דהא ניחא שיטת הנחל"ד בביאור השו"ת של הגמ', אבל מ"מ יל"ע למה פליגי רבנן עלי' דר"א בכותח הבבלי, דנהי נמי דלית להו כללא דהיתר מצטרף לאיסור, מ"מ </w:t>
      </w:r>
      <w:r w:rsidRPr="00882F11">
        <w:rPr>
          <w:rFonts w:cs="Guttman Drogolin" w:hint="cs"/>
          <w:rtl/>
          <w:lang w:bidi="he-IL"/>
        </w:rPr>
        <w:lastRenderedPageBreak/>
        <w:t xml:space="preserve">תיפו"ל משום טעם כעיקר. </w:t>
      </w:r>
      <w:r w:rsidR="00036D6B" w:rsidRPr="00882F11">
        <w:rPr>
          <w:rFonts w:cs="Guttman Drogolin" w:hint="cs"/>
          <w:rtl/>
          <w:lang w:bidi="he-IL"/>
        </w:rPr>
        <w:t>ולקמן בסוף הסוגיא (שיעור ד') נאריך בזה בס"ד.</w:t>
      </w:r>
    </w:p>
    <w:p w:rsidR="00490924" w:rsidRPr="00882F11" w:rsidRDefault="00490924" w:rsidP="0078079C">
      <w:pPr>
        <w:pStyle w:val="Heading1"/>
        <w:bidi/>
        <w:spacing w:before="0" w:line="360" w:lineRule="auto"/>
        <w:jc w:val="center"/>
        <w:rPr>
          <w:rFonts w:cs="Guttman Drogolin"/>
          <w:color w:val="auto"/>
          <w:sz w:val="20"/>
          <w:szCs w:val="20"/>
          <w:u w:val="single"/>
          <w:rtl/>
          <w:lang w:bidi="he-IL"/>
        </w:rPr>
      </w:pPr>
      <w:bookmarkStart w:id="8" w:name="_Toc496175276"/>
      <w:r w:rsidRPr="00882F11">
        <w:rPr>
          <w:rFonts w:cs="Guttman Drogolin" w:hint="cs"/>
          <w:color w:val="auto"/>
          <w:sz w:val="20"/>
          <w:szCs w:val="20"/>
          <w:u w:val="single"/>
          <w:rtl/>
          <w:lang w:bidi="he-IL"/>
        </w:rPr>
        <w:t xml:space="preserve">ביאור הנידון אם כזית </w:t>
      </w:r>
      <w:r w:rsidR="00E91626" w:rsidRPr="00882F11">
        <w:rPr>
          <w:rFonts w:cs="Guttman Drogolin" w:hint="cs"/>
          <w:color w:val="auto"/>
          <w:sz w:val="20"/>
          <w:szCs w:val="20"/>
          <w:u w:val="single"/>
          <w:rtl/>
          <w:lang w:bidi="he-IL"/>
        </w:rPr>
        <w:t>בכדי אכילת פרס</w:t>
      </w:r>
      <w:r w:rsidRPr="00882F11">
        <w:rPr>
          <w:rFonts w:cs="Guttman Drogolin" w:hint="cs"/>
          <w:color w:val="auto"/>
          <w:sz w:val="20"/>
          <w:szCs w:val="20"/>
          <w:u w:val="single"/>
          <w:rtl/>
          <w:lang w:bidi="he-IL"/>
        </w:rPr>
        <w:t xml:space="preserve"> דאורייתא</w:t>
      </w:r>
      <w:bookmarkEnd w:id="8"/>
    </w:p>
    <w:p w:rsidR="002B0F7F" w:rsidRPr="00882F11" w:rsidRDefault="00E6301E" w:rsidP="00D46C50">
      <w:pPr>
        <w:tabs>
          <w:tab w:val="left" w:pos="1183"/>
        </w:tabs>
        <w:bidi/>
        <w:jc w:val="both"/>
        <w:rPr>
          <w:rFonts w:cs="Guttman Drogolin"/>
          <w:rtl/>
          <w:lang w:bidi="he-IL"/>
        </w:rPr>
      </w:pPr>
      <w:r>
        <w:rPr>
          <w:rFonts w:cs="Guttman Drogolin"/>
          <w:rtl/>
          <w:lang w:bidi="he-IL"/>
        </w:rPr>
        <w:fldChar w:fldCharType="begin"/>
      </w:r>
      <w:r>
        <w:instrText xml:space="preserve"> XE "</w:instrText>
      </w:r>
      <w:r w:rsidRPr="00415372">
        <w:rPr>
          <w:rFonts w:hint="cs"/>
          <w:rtl/>
          <w:lang w:bidi="he-IL"/>
        </w:rPr>
        <w:instrText>כזית בכדי אכילת פרס</w:instrText>
      </w:r>
      <w:r w:rsidRPr="00415372">
        <w:rPr>
          <w:rtl/>
        </w:rPr>
        <w:instrText>:</w:instrText>
      </w:r>
      <w:r w:rsidRPr="00415372">
        <w:rPr>
          <w:rFonts w:hint="cs"/>
          <w:rtl/>
          <w:lang w:bidi="he-IL"/>
        </w:rPr>
        <w:instrText>בתערובת</w:instrText>
      </w:r>
      <w:r>
        <w:instrText xml:space="preserve">" </w:instrText>
      </w:r>
      <w:r>
        <w:rPr>
          <w:rFonts w:cs="Guttman Drogolin"/>
          <w:rtl/>
          <w:lang w:bidi="he-IL"/>
        </w:rPr>
        <w:fldChar w:fldCharType="end"/>
      </w:r>
      <w:r w:rsidR="00D46C50" w:rsidRPr="00882F11">
        <w:rPr>
          <w:rFonts w:cs="Guttman Drogolin" w:hint="cs"/>
          <w:rtl/>
          <w:lang w:bidi="he-IL"/>
        </w:rPr>
        <w:t xml:space="preserve">והנה כשהשיב ר' דימי לאביי שאין הטעם במקפה משום דהיתר מצטרף לאיסור רק משום דכזית </w:t>
      </w:r>
      <w:r w:rsidR="00E91626" w:rsidRPr="00882F11">
        <w:rPr>
          <w:rFonts w:cs="Guttman Drogolin" w:hint="cs"/>
          <w:rtl/>
          <w:lang w:bidi="he-IL"/>
        </w:rPr>
        <w:t>בכדי אכילת פרס</w:t>
      </w:r>
      <w:r w:rsidR="00D46C50" w:rsidRPr="00882F11">
        <w:rPr>
          <w:rFonts w:cs="Guttman Drogolin" w:hint="cs"/>
          <w:rtl/>
          <w:lang w:bidi="he-IL"/>
        </w:rPr>
        <w:t xml:space="preserve"> דאורייתא, קא מתמה אביי, וכי כזית בכדי אכילת פרס דאורייתא. ומשמע שאין זה הלכה פשוטה. </w:t>
      </w:r>
      <w:r w:rsidR="008A1C65" w:rsidRPr="00882F11">
        <w:rPr>
          <w:rFonts w:cs="Guttman Drogolin" w:hint="cs"/>
          <w:rtl/>
          <w:lang w:bidi="he-IL"/>
        </w:rPr>
        <w:t>וכן הגמ' בהמשך רצתה ל</w:t>
      </w:r>
      <w:r w:rsidR="003A617C" w:rsidRPr="00882F11">
        <w:rPr>
          <w:rFonts w:cs="Guttman Drogolin" w:hint="cs"/>
          <w:rtl/>
          <w:lang w:bidi="he-IL"/>
        </w:rPr>
        <w:t xml:space="preserve">הביא ראיות שבאמת אין כזית </w:t>
      </w:r>
      <w:r w:rsidR="00E91626" w:rsidRPr="00882F11">
        <w:rPr>
          <w:rFonts w:cs="Guttman Drogolin" w:hint="cs"/>
          <w:rtl/>
          <w:lang w:bidi="he-IL"/>
        </w:rPr>
        <w:t>בכדי אכילת פרס</w:t>
      </w:r>
      <w:r w:rsidR="003A617C" w:rsidRPr="00882F11">
        <w:rPr>
          <w:rFonts w:cs="Guttman Drogolin" w:hint="cs"/>
          <w:rtl/>
          <w:lang w:bidi="he-IL"/>
        </w:rPr>
        <w:t xml:space="preserve"> דאורייתא. </w:t>
      </w:r>
      <w:r w:rsidR="00D46C50" w:rsidRPr="00882F11">
        <w:rPr>
          <w:rFonts w:cs="Guttman Drogolin" w:hint="cs"/>
          <w:rtl/>
          <w:lang w:bidi="he-IL"/>
        </w:rPr>
        <w:t xml:space="preserve">והקשו הראשונים דהא מתני' היא במס' כריתות </w:t>
      </w:r>
      <w:r w:rsidR="00820E08" w:rsidRPr="00882F11">
        <w:rPr>
          <w:rFonts w:cs="Guttman Drogolin" w:hint="cs"/>
          <w:rtl/>
          <w:lang w:bidi="he-IL"/>
        </w:rPr>
        <w:t xml:space="preserve">(דף י"א) </w:t>
      </w:r>
      <w:r w:rsidR="00D46C50" w:rsidRPr="00882F11">
        <w:rPr>
          <w:rFonts w:cs="Guttman Drogolin" w:hint="cs"/>
          <w:rtl/>
          <w:lang w:bidi="he-IL"/>
        </w:rPr>
        <w:t xml:space="preserve">שאם אכל ב' חצאי זיתים תוך זמן של כדי אכילת פרס חייב, וא"כ מאי קמתמה אביי. </w:t>
      </w:r>
      <w:r w:rsidR="002B0F7F" w:rsidRPr="00882F11">
        <w:rPr>
          <w:rFonts w:cs="Guttman Drogolin" w:hint="cs"/>
          <w:rtl/>
          <w:lang w:bidi="he-IL"/>
        </w:rPr>
        <w:t>ותי' התוס' במס' נזיר (ל"ו ע"ב ד"ה וכזית) ועוד ראשונים דלא קמ</w:t>
      </w:r>
      <w:r w:rsidR="00820E08" w:rsidRPr="00882F11">
        <w:rPr>
          <w:rFonts w:cs="Guttman Drogolin" w:hint="cs"/>
          <w:rtl/>
          <w:lang w:bidi="he-IL"/>
        </w:rPr>
        <w:t>ת</w:t>
      </w:r>
      <w:r w:rsidR="002B0F7F" w:rsidRPr="00882F11">
        <w:rPr>
          <w:rFonts w:cs="Guttman Drogolin" w:hint="cs"/>
          <w:rtl/>
          <w:lang w:bidi="he-IL"/>
        </w:rPr>
        <w:t xml:space="preserve">מה אביי אלא על זה דסבר דכזית </w:t>
      </w:r>
      <w:r w:rsidR="00E91626" w:rsidRPr="00882F11">
        <w:rPr>
          <w:rFonts w:cs="Guttman Drogolin" w:hint="cs"/>
          <w:rtl/>
          <w:lang w:bidi="he-IL"/>
        </w:rPr>
        <w:t>בכדי אכילת פרס</w:t>
      </w:r>
      <w:r w:rsidR="002B0F7F" w:rsidRPr="00882F11">
        <w:rPr>
          <w:rFonts w:cs="Guttman Drogolin" w:hint="cs"/>
          <w:rtl/>
          <w:lang w:bidi="he-IL"/>
        </w:rPr>
        <w:t xml:space="preserve"> דאורייתא אפילו אם הוא בתערובת. ולעולם שלא בתערובת פשיטא דהוי מדאורייתא וכדבמתני' הנ"ל.</w:t>
      </w:r>
    </w:p>
    <w:p w:rsidR="00DB6B59" w:rsidRPr="00882F11" w:rsidRDefault="00820E08" w:rsidP="0006171B">
      <w:pPr>
        <w:tabs>
          <w:tab w:val="left" w:pos="1183"/>
        </w:tabs>
        <w:bidi/>
        <w:jc w:val="both"/>
        <w:rPr>
          <w:rFonts w:cs="Guttman Drogolin"/>
          <w:rtl/>
          <w:lang w:bidi="he-IL"/>
        </w:rPr>
      </w:pPr>
      <w:r w:rsidRPr="00882F11">
        <w:rPr>
          <w:rFonts w:cs="Guttman Drogolin" w:hint="cs"/>
          <w:rtl/>
          <w:lang w:bidi="he-IL"/>
        </w:rPr>
        <w:t>ויל"ע מהו הטעם שע"י תערובת גרע טפ</w:t>
      </w:r>
      <w:r w:rsidR="002B0F7F" w:rsidRPr="00882F11">
        <w:rPr>
          <w:rFonts w:cs="Guttman Drogolin" w:hint="cs"/>
          <w:rtl/>
          <w:lang w:bidi="he-IL"/>
        </w:rPr>
        <w:t>י</w:t>
      </w:r>
      <w:r w:rsidRPr="00882F11">
        <w:rPr>
          <w:rFonts w:cs="Guttman Drogolin" w:hint="cs"/>
          <w:rtl/>
          <w:lang w:bidi="he-IL"/>
        </w:rPr>
        <w:t>, הא סוף סוף אוכל שיעור של האיסור בזמן של כדי אכילת פרס</w:t>
      </w:r>
      <w:r w:rsidR="002B0F7F" w:rsidRPr="00882F11">
        <w:rPr>
          <w:rFonts w:cs="Guttman Drogolin" w:hint="cs"/>
          <w:rtl/>
          <w:lang w:bidi="he-IL"/>
        </w:rPr>
        <w:t xml:space="preserve">. </w:t>
      </w:r>
      <w:r w:rsidR="00DB6B59" w:rsidRPr="00882F11">
        <w:rPr>
          <w:rFonts w:cs="Guttman Drogolin" w:hint="cs"/>
          <w:rtl/>
          <w:lang w:bidi="he-IL"/>
        </w:rPr>
        <w:t xml:space="preserve">וראיתי בחזו"א </w:t>
      </w:r>
      <w:r w:rsidR="0006171B" w:rsidRPr="00882F11">
        <w:rPr>
          <w:rFonts w:cs="Guttman Drogolin" w:hint="cs"/>
          <w:rtl/>
          <w:lang w:bidi="he-IL"/>
        </w:rPr>
        <w:t xml:space="preserve">(יו"ד רסי' כ"ד) </w:t>
      </w:r>
      <w:r w:rsidR="00DB6B59" w:rsidRPr="00882F11">
        <w:rPr>
          <w:rFonts w:cs="Guttman Drogolin" w:hint="cs"/>
          <w:rtl/>
          <w:lang w:bidi="he-IL"/>
        </w:rPr>
        <w:t>שביאר משום דלא אמרינן הצירוף של כדי אכילת פר</w:t>
      </w:r>
      <w:r w:rsidRPr="00882F11">
        <w:rPr>
          <w:rFonts w:cs="Guttman Drogolin" w:hint="cs"/>
          <w:rtl/>
          <w:lang w:bidi="he-IL"/>
        </w:rPr>
        <w:t>ס</w:t>
      </w:r>
      <w:r w:rsidR="00DB6B59" w:rsidRPr="00882F11">
        <w:rPr>
          <w:rFonts w:cs="Guttman Drogolin" w:hint="cs"/>
          <w:rtl/>
          <w:lang w:bidi="he-IL"/>
        </w:rPr>
        <w:t xml:space="preserve"> אא"כ ליכא הפסק, אבל כשיש הפסק לא. ויל"ע לפי דבריו מה יהא הדין באכל חצי זית שלא ע"י תערובת, ועוד חצי זית היתר, ולאחר מכן עוד חצי זית של איסור שלא ע"י תערובת, האם יהא חייב לפי ההסבר הזה. ולפום ריהטא לא יתחייב, דהא גם כאן יש הפסק. אמנם אולי י"ל שאפילו לפי הביאור הזה מצטרף, דשאני כה"ג דאיכא למימר דל המעשה אכילת היתר מהכא והוי כמאן דליתא. רק באכילת היתר ואיסור ביחד שאי אפשר לומר דל מעשה זו דהא זהו המעשה אכילת איסור אמרינן דע"כ הוי מפסיק.</w:t>
      </w:r>
    </w:p>
    <w:p w:rsidR="00DB6B59" w:rsidRPr="00882F11" w:rsidRDefault="00DB6B59" w:rsidP="00DB6B59">
      <w:pPr>
        <w:tabs>
          <w:tab w:val="left" w:pos="1183"/>
        </w:tabs>
        <w:bidi/>
        <w:jc w:val="both"/>
        <w:rPr>
          <w:rFonts w:cs="Guttman Drogolin"/>
          <w:rtl/>
          <w:lang w:bidi="he-IL"/>
        </w:rPr>
      </w:pPr>
      <w:r w:rsidRPr="00882F11">
        <w:rPr>
          <w:rFonts w:cs="Guttman Drogolin" w:hint="cs"/>
          <w:rtl/>
          <w:lang w:bidi="he-IL"/>
        </w:rPr>
        <w:t xml:space="preserve">ומ"מ לשונם של התוס' במס' נזיר הנ"ל לא משמע שהוא מטעם זה, רק משום דכיון שהוא ע"י תערובת הרי הוא בטל. ור"ל דכיון שהאיסור הוא ביחד עם היתר, הרי זה מחליש את האיסור לענין </w:t>
      </w:r>
      <w:r w:rsidRPr="00882F11">
        <w:rPr>
          <w:rFonts w:cs="Guttman Drogolin" w:hint="cs"/>
          <w:rtl/>
          <w:lang w:bidi="he-IL"/>
        </w:rPr>
        <w:lastRenderedPageBreak/>
        <w:t xml:space="preserve">זה שאינו מצטרף </w:t>
      </w:r>
      <w:r w:rsidR="00E91626" w:rsidRPr="00882F11">
        <w:rPr>
          <w:rFonts w:cs="Guttman Drogolin" w:hint="cs"/>
          <w:rtl/>
          <w:lang w:bidi="he-IL"/>
        </w:rPr>
        <w:t>בכדי אכילת פרס</w:t>
      </w:r>
      <w:r w:rsidRPr="00882F11">
        <w:rPr>
          <w:rFonts w:cs="Guttman Drogolin" w:hint="cs"/>
          <w:rtl/>
          <w:lang w:bidi="he-IL"/>
        </w:rPr>
        <w:t>, רק האוכלו בבת אחת עובר.</w:t>
      </w:r>
    </w:p>
    <w:p w:rsidR="00DB6B59" w:rsidRPr="00882F11" w:rsidRDefault="00DB6B59" w:rsidP="00DB6B59">
      <w:pPr>
        <w:tabs>
          <w:tab w:val="left" w:pos="1183"/>
        </w:tabs>
        <w:bidi/>
        <w:jc w:val="both"/>
        <w:rPr>
          <w:rFonts w:cs="Guttman Drogolin"/>
          <w:rtl/>
          <w:lang w:bidi="he-IL"/>
        </w:rPr>
      </w:pPr>
      <w:r w:rsidRPr="00882F11">
        <w:rPr>
          <w:rFonts w:cs="Guttman Drogolin" w:hint="cs"/>
          <w:rtl/>
          <w:lang w:bidi="he-IL"/>
        </w:rPr>
        <w:t>והנה מסתימת לשון רש"י נראה</w:t>
      </w:r>
      <w:r w:rsidR="008A1C65" w:rsidRPr="00882F11">
        <w:rPr>
          <w:rStyle w:val="FootnoteReference"/>
          <w:rFonts w:cs="Guttman Drogolin"/>
          <w:rtl/>
          <w:lang w:bidi="he-IL"/>
        </w:rPr>
        <w:footnoteReference w:id="21"/>
      </w:r>
      <w:r w:rsidRPr="00882F11">
        <w:rPr>
          <w:rFonts w:cs="Guttman Drogolin" w:hint="cs"/>
          <w:rtl/>
          <w:lang w:bidi="he-IL"/>
        </w:rPr>
        <w:t xml:space="preserve"> שאינו בדין כזית </w:t>
      </w:r>
      <w:r w:rsidR="00E91626" w:rsidRPr="00882F11">
        <w:rPr>
          <w:rFonts w:cs="Guttman Drogolin" w:hint="cs"/>
          <w:rtl/>
          <w:lang w:bidi="he-IL"/>
        </w:rPr>
        <w:t>בכדי אכילת פרס</w:t>
      </w:r>
      <w:r w:rsidRPr="00882F11">
        <w:rPr>
          <w:rFonts w:cs="Guttman Drogolin" w:hint="cs"/>
          <w:rtl/>
          <w:lang w:bidi="he-IL"/>
        </w:rPr>
        <w:t xml:space="preserve"> ע"י תערובת דוקא. ונראה שאם הביאור בהא דפירש"י דימוע דאורייתא אינו משום שדימוע דאורייתא בעצם, רק משום הדין של </w:t>
      </w:r>
      <w:r w:rsidR="00A471DF" w:rsidRPr="00882F11">
        <w:rPr>
          <w:rFonts w:cs="Guttman Drogolin" w:hint="cs"/>
          <w:rtl/>
          <w:lang w:bidi="he-IL"/>
        </w:rPr>
        <w:t>היתר מצטרף לאיסור</w:t>
      </w:r>
      <w:r w:rsidRPr="00882F11">
        <w:rPr>
          <w:rFonts w:cs="Guttman Drogolin" w:hint="cs"/>
          <w:rtl/>
          <w:lang w:bidi="he-IL"/>
        </w:rPr>
        <w:t xml:space="preserve"> או כזית </w:t>
      </w:r>
      <w:r w:rsidR="00E91626" w:rsidRPr="00882F11">
        <w:rPr>
          <w:rFonts w:cs="Guttman Drogolin" w:hint="cs"/>
          <w:rtl/>
          <w:lang w:bidi="he-IL"/>
        </w:rPr>
        <w:t>בכדי אכילת פרס</w:t>
      </w:r>
      <w:r w:rsidRPr="00882F11">
        <w:rPr>
          <w:rFonts w:cs="Guttman Drogolin" w:hint="cs"/>
          <w:rtl/>
          <w:lang w:bidi="he-IL"/>
        </w:rPr>
        <w:t xml:space="preserve"> שמונע הביטול, י"ל דמשו"ה לא הי' רש"י צריך לומר דהוי משום כזית </w:t>
      </w:r>
      <w:r w:rsidR="00E91626" w:rsidRPr="00882F11">
        <w:rPr>
          <w:rFonts w:cs="Guttman Drogolin" w:hint="cs"/>
          <w:rtl/>
          <w:lang w:bidi="he-IL"/>
        </w:rPr>
        <w:t>בכדי אכילת פרס</w:t>
      </w:r>
      <w:r w:rsidRPr="00882F11">
        <w:rPr>
          <w:rFonts w:cs="Guttman Drogolin" w:hint="cs"/>
          <w:rtl/>
          <w:lang w:bidi="he-IL"/>
        </w:rPr>
        <w:t xml:space="preserve"> ע"י תערובת דוקא, רק הוי חידוש שכזית </w:t>
      </w:r>
      <w:r w:rsidR="00E91626" w:rsidRPr="00882F11">
        <w:rPr>
          <w:rFonts w:cs="Guttman Drogolin" w:hint="cs"/>
          <w:rtl/>
          <w:lang w:bidi="he-IL"/>
        </w:rPr>
        <w:t>בכדי אכילת פרס</w:t>
      </w:r>
      <w:r w:rsidRPr="00882F11">
        <w:rPr>
          <w:rFonts w:cs="Guttman Drogolin" w:hint="cs"/>
          <w:rtl/>
          <w:lang w:bidi="he-IL"/>
        </w:rPr>
        <w:t xml:space="preserve"> מונע הביטול.</w:t>
      </w:r>
    </w:p>
    <w:p w:rsidR="00DB6B59" w:rsidRPr="00882F11" w:rsidRDefault="00DB6B59" w:rsidP="0078079C">
      <w:pPr>
        <w:pStyle w:val="Heading1"/>
        <w:bidi/>
        <w:spacing w:before="0" w:line="360" w:lineRule="auto"/>
        <w:jc w:val="center"/>
        <w:rPr>
          <w:rFonts w:cs="Guttman Drogolin"/>
          <w:color w:val="auto"/>
          <w:sz w:val="22"/>
          <w:szCs w:val="22"/>
          <w:u w:val="single"/>
          <w:rtl/>
          <w:lang w:bidi="he-IL"/>
        </w:rPr>
      </w:pPr>
      <w:bookmarkStart w:id="9" w:name="_Toc496175277"/>
      <w:r w:rsidRPr="00882F11">
        <w:rPr>
          <w:rFonts w:cs="Guttman Drogolin" w:hint="cs"/>
          <w:color w:val="auto"/>
          <w:sz w:val="22"/>
          <w:szCs w:val="22"/>
          <w:u w:val="single"/>
          <w:rtl/>
          <w:lang w:bidi="he-IL"/>
        </w:rPr>
        <w:t xml:space="preserve">ביאור דברי הגמ' במס' </w:t>
      </w:r>
      <w:r w:rsidR="00E738AB" w:rsidRPr="00882F11">
        <w:rPr>
          <w:rFonts w:cs="Guttman Drogolin" w:hint="cs"/>
          <w:color w:val="auto"/>
          <w:sz w:val="22"/>
          <w:szCs w:val="22"/>
          <w:u w:val="single"/>
          <w:rtl/>
          <w:lang w:bidi="he-IL"/>
        </w:rPr>
        <w:t>נזיר</w:t>
      </w:r>
      <w:r w:rsidRPr="00882F11">
        <w:rPr>
          <w:rFonts w:cs="Guttman Drogolin" w:hint="cs"/>
          <w:color w:val="auto"/>
          <w:sz w:val="22"/>
          <w:szCs w:val="22"/>
          <w:u w:val="single"/>
          <w:rtl/>
          <w:lang w:bidi="he-IL"/>
        </w:rPr>
        <w:t xml:space="preserve"> בהא דנפישי חולין</w:t>
      </w:r>
      <w:bookmarkEnd w:id="9"/>
    </w:p>
    <w:p w:rsidR="004A104F" w:rsidRPr="00882F11" w:rsidRDefault="00E6301E" w:rsidP="00E738AB">
      <w:pPr>
        <w:tabs>
          <w:tab w:val="left" w:pos="1183"/>
        </w:tabs>
        <w:bidi/>
        <w:jc w:val="both"/>
        <w:rPr>
          <w:rFonts w:cs="Guttman Drogolin"/>
          <w:rtl/>
          <w:lang w:bidi="he-IL"/>
        </w:rPr>
      </w:pPr>
      <w:r>
        <w:rPr>
          <w:rFonts w:cs="Guttman Drogolin"/>
          <w:rtl/>
          <w:lang w:bidi="he-IL"/>
        </w:rPr>
        <w:fldChar w:fldCharType="begin"/>
      </w:r>
      <w:r>
        <w:instrText xml:space="preserve"> XE "</w:instrText>
      </w:r>
      <w:r w:rsidRPr="00153720">
        <w:rPr>
          <w:rFonts w:hint="cs"/>
          <w:rtl/>
          <w:lang w:bidi="he-IL"/>
        </w:rPr>
        <w:instrText>היתר מצטרף לאיסור</w:instrText>
      </w:r>
      <w:r w:rsidRPr="00153720">
        <w:rPr>
          <w:rtl/>
        </w:rPr>
        <w:instrText>:</w:instrText>
      </w:r>
      <w:r w:rsidRPr="00153720">
        <w:rPr>
          <w:rFonts w:hint="cs"/>
          <w:rtl/>
          <w:lang w:bidi="he-IL"/>
        </w:rPr>
        <w:instrText>כשיש רוב היתר</w:instrText>
      </w:r>
      <w:r>
        <w:instrText xml:space="preserve">" </w:instrText>
      </w:r>
      <w:r>
        <w:rPr>
          <w:rFonts w:cs="Guttman Drogolin"/>
          <w:rtl/>
          <w:lang w:bidi="he-IL"/>
        </w:rPr>
        <w:fldChar w:fldCharType="end"/>
      </w:r>
      <w:r w:rsidR="00DB6B59" w:rsidRPr="00882F11">
        <w:rPr>
          <w:rFonts w:cs="Guttman Drogolin" w:hint="cs"/>
          <w:rtl/>
          <w:lang w:bidi="he-IL"/>
        </w:rPr>
        <w:t xml:space="preserve">במס' נזיר יש תוספת </w:t>
      </w:r>
      <w:r w:rsidR="005D54F3" w:rsidRPr="00882F11">
        <w:rPr>
          <w:rFonts w:cs="Guttman Drogolin" w:hint="cs"/>
          <w:rtl/>
          <w:lang w:bidi="he-IL"/>
        </w:rPr>
        <w:t>ד</w:t>
      </w:r>
      <w:r w:rsidR="00DB6B59" w:rsidRPr="00882F11">
        <w:rPr>
          <w:rFonts w:cs="Guttman Drogolin" w:hint="cs"/>
          <w:rtl/>
          <w:lang w:bidi="he-IL"/>
        </w:rPr>
        <w:t xml:space="preserve">ליכא בסוגיא שלפנינו, והוא שהקושיא מב' </w:t>
      </w:r>
      <w:r w:rsidR="00E738AB" w:rsidRPr="00882F11">
        <w:rPr>
          <w:rFonts w:cs="Guttman Drogolin" w:hint="cs"/>
          <w:rtl/>
          <w:lang w:bidi="he-IL"/>
        </w:rPr>
        <w:t>ק</w:t>
      </w:r>
      <w:r w:rsidR="00DB6B59" w:rsidRPr="00882F11">
        <w:rPr>
          <w:rFonts w:cs="Guttman Drogolin" w:hint="cs"/>
          <w:rtl/>
          <w:lang w:bidi="he-IL"/>
        </w:rPr>
        <w:t xml:space="preserve">ופות ליכא למ"ד </w:t>
      </w:r>
      <w:r w:rsidR="00A471DF" w:rsidRPr="00882F11">
        <w:rPr>
          <w:rFonts w:cs="Guttman Drogolin" w:hint="cs"/>
          <w:rtl/>
          <w:lang w:bidi="he-IL"/>
        </w:rPr>
        <w:t>היתר מצטרף לאיסור</w:t>
      </w:r>
      <w:r w:rsidR="00DB6B59" w:rsidRPr="00882F11">
        <w:rPr>
          <w:rFonts w:cs="Guttman Drogolin" w:hint="cs"/>
          <w:rtl/>
          <w:lang w:bidi="he-IL"/>
        </w:rPr>
        <w:t xml:space="preserve"> ומשום דלא אמרינן </w:t>
      </w:r>
      <w:r w:rsidR="00A471DF" w:rsidRPr="00882F11">
        <w:rPr>
          <w:rFonts w:cs="Guttman Drogolin" w:hint="cs"/>
          <w:rtl/>
          <w:lang w:bidi="he-IL"/>
        </w:rPr>
        <w:t>היתר מצטרף לאיסור</w:t>
      </w:r>
      <w:r w:rsidR="00DB6B59" w:rsidRPr="00882F11">
        <w:rPr>
          <w:rFonts w:cs="Guttman Drogolin" w:hint="cs"/>
          <w:rtl/>
          <w:lang w:bidi="he-IL"/>
        </w:rPr>
        <w:t xml:space="preserve"> בכה"ג דנפישי חולין. ונחלקו הראשונים בביאור כלל זה. יש שמבארים </w:t>
      </w:r>
      <w:r w:rsidR="00F51587" w:rsidRPr="00882F11">
        <w:rPr>
          <w:rFonts w:cs="Guttman Drogolin" w:hint="cs"/>
          <w:rtl/>
          <w:lang w:bidi="he-IL"/>
        </w:rPr>
        <w:t xml:space="preserve">הטעם דכיון שיש רוב חולין הרי הוא בטל. וא"כ אין הדין כן אלא במין במינו, אבל במין בשאינו מינו, כיון דאמרינן </w:t>
      </w:r>
      <w:r w:rsidR="004D3E6E" w:rsidRPr="00882F11">
        <w:rPr>
          <w:rFonts w:cs="Guttman Drogolin" w:hint="cs"/>
          <w:rtl/>
          <w:lang w:bidi="he-IL"/>
        </w:rPr>
        <w:t>טעם כעיקר</w:t>
      </w:r>
      <w:r w:rsidR="00F51587" w:rsidRPr="00882F11">
        <w:rPr>
          <w:rFonts w:cs="Guttman Drogolin" w:hint="cs"/>
          <w:rtl/>
          <w:lang w:bidi="he-IL"/>
        </w:rPr>
        <w:t xml:space="preserve"> אמרינן שההיתר מצטרף לאיסור אע"ג דנפישי חולין. והר"ש בטבו"י הביא לפרש כן, אבל הקשה על זה דא"כ</w:t>
      </w:r>
      <w:r w:rsidR="004A104F" w:rsidRPr="00882F11">
        <w:rPr>
          <w:rFonts w:cs="Guttman Drogolin" w:hint="cs"/>
          <w:rtl/>
          <w:lang w:bidi="he-IL"/>
        </w:rPr>
        <w:t xml:space="preserve"> יוצא דהא דקופות ו</w:t>
      </w:r>
      <w:r w:rsidR="00E443FA" w:rsidRPr="00882F11">
        <w:rPr>
          <w:rFonts w:cs="Guttman Drogolin" w:hint="cs"/>
          <w:rtl/>
          <w:lang w:bidi="he-IL"/>
        </w:rPr>
        <w:t>מדוכות</w:t>
      </w:r>
      <w:r w:rsidR="004A104F" w:rsidRPr="00882F11">
        <w:rPr>
          <w:rFonts w:cs="Guttman Drogolin" w:hint="cs"/>
          <w:rtl/>
          <w:lang w:bidi="he-IL"/>
        </w:rPr>
        <w:t xml:space="preserve"> מיירי במין במינו, וא"כ מהו ההו"א שכזית </w:t>
      </w:r>
      <w:r w:rsidR="00E91626" w:rsidRPr="00882F11">
        <w:rPr>
          <w:rFonts w:cs="Guttman Drogolin" w:hint="cs"/>
          <w:rtl/>
          <w:lang w:bidi="he-IL"/>
        </w:rPr>
        <w:t>בכדי אכילת פרס</w:t>
      </w:r>
      <w:r w:rsidR="004A104F" w:rsidRPr="00882F11">
        <w:rPr>
          <w:rFonts w:cs="Guttman Drogolin" w:hint="cs"/>
          <w:rtl/>
          <w:lang w:bidi="he-IL"/>
        </w:rPr>
        <w:t xml:space="preserve"> דאורייתא, הא אין טעם לומר כן אלא במין בשאינו מינו, אבל במין במינו קיי"ל בעלמא שדינו ליבטל ברוב. והמהלך השני שם בר"ש הוא לומר שלעולם הגמ' שלנו סבר שאין מין במינו בטל ברוב אם יש כזית </w:t>
      </w:r>
      <w:r w:rsidR="00E91626" w:rsidRPr="00882F11">
        <w:rPr>
          <w:rFonts w:cs="Guttman Drogolin" w:hint="cs"/>
          <w:rtl/>
          <w:lang w:bidi="he-IL"/>
        </w:rPr>
        <w:t>בכדי אכילת פרס</w:t>
      </w:r>
      <w:r w:rsidR="004A104F" w:rsidRPr="00882F11">
        <w:rPr>
          <w:rFonts w:cs="Guttman Drogolin" w:hint="cs"/>
          <w:rtl/>
          <w:lang w:bidi="he-IL"/>
        </w:rPr>
        <w:t xml:space="preserve">, ובזה חלק אמה שמצאנו </w:t>
      </w:r>
      <w:r w:rsidR="00E738AB" w:rsidRPr="00882F11">
        <w:rPr>
          <w:rFonts w:cs="Guttman Drogolin" w:hint="cs"/>
          <w:rtl/>
          <w:lang w:bidi="he-IL"/>
        </w:rPr>
        <w:t>בעלמא ש</w:t>
      </w:r>
      <w:r w:rsidR="004A104F" w:rsidRPr="00882F11">
        <w:rPr>
          <w:rFonts w:cs="Guttman Drogolin" w:hint="cs"/>
          <w:rtl/>
          <w:lang w:bidi="he-IL"/>
        </w:rPr>
        <w:t xml:space="preserve">מין במינו בטל ברוב. וצ"ע מהו הטעם בזה דהא אחרי רבים להטות כתיב. ואין לומר שזהו ע"פ יסוד דברי התוס' רי"ד שבמס' ב"ב דף ל"א דסבר שלא אומרים ביטול ברוב ביבש ביבש עד כמה שאכל את כל התערובת ואם אכל כל התערובת חייב קרבן, הא ליתא שהרי כתב הגראב"ו דע"כ מודה התוס' רי"ד שאין הדין כן בתערובת לח </w:t>
      </w:r>
      <w:r w:rsidR="004A104F" w:rsidRPr="00882F11">
        <w:rPr>
          <w:rFonts w:cs="Guttman Drogolin" w:hint="cs"/>
          <w:rtl/>
          <w:lang w:bidi="he-IL"/>
        </w:rPr>
        <w:lastRenderedPageBreak/>
        <w:t>בלח, דהא בכל לח בלח יש משהו של האיסור בתערובת ומ"מ התורה התירה</w:t>
      </w:r>
      <w:bookmarkStart w:id="10" w:name="_Ref443998392"/>
      <w:r w:rsidR="00E738AB" w:rsidRPr="00882F11">
        <w:rPr>
          <w:rStyle w:val="FootnoteReference"/>
          <w:rFonts w:cs="Guttman Drogolin"/>
          <w:rtl/>
          <w:lang w:bidi="he-IL"/>
        </w:rPr>
        <w:footnoteReference w:id="22"/>
      </w:r>
      <w:bookmarkEnd w:id="10"/>
      <w:r w:rsidR="004A104F" w:rsidRPr="00882F11">
        <w:rPr>
          <w:rFonts w:cs="Guttman Drogolin" w:hint="cs"/>
          <w:rtl/>
          <w:lang w:bidi="he-IL"/>
        </w:rPr>
        <w:t xml:space="preserve">. וכאן הרי הוי דומה ללח בלח כיון שדנו הראשונים לומר שיש כאן משום טעם כעיקר וכמש"כ הש"ך בסי' ק"ט. ומה שחייבים לומר דכיון שיש כזית </w:t>
      </w:r>
      <w:r w:rsidR="00E91626" w:rsidRPr="00882F11">
        <w:rPr>
          <w:rFonts w:cs="Guttman Drogolin" w:hint="cs"/>
          <w:rtl/>
          <w:lang w:bidi="he-IL"/>
        </w:rPr>
        <w:t>בכדי אכילת פרס</w:t>
      </w:r>
      <w:r w:rsidR="004A104F" w:rsidRPr="00882F11">
        <w:rPr>
          <w:rFonts w:cs="Guttman Drogolin" w:hint="cs"/>
          <w:rtl/>
          <w:lang w:bidi="he-IL"/>
        </w:rPr>
        <w:t xml:space="preserve"> הרי זה דבר חשוב שלא מתבטל, דומיא דמה שמצאנו בברי' וחתיכה הראוי' להתכבד, רק שאלו סברות מדרבנן וכאן בדאורייתא מיירי</w:t>
      </w:r>
      <w:bookmarkStart w:id="11" w:name="_Ref500856390"/>
      <w:r w:rsidR="0037451B">
        <w:rPr>
          <w:rStyle w:val="FootnoteReference"/>
          <w:rFonts w:cs="Guttman Drogolin"/>
          <w:rtl/>
          <w:lang w:bidi="he-IL"/>
        </w:rPr>
        <w:footnoteReference w:id="23"/>
      </w:r>
      <w:bookmarkEnd w:id="11"/>
      <w:r w:rsidR="004A104F" w:rsidRPr="00882F11">
        <w:rPr>
          <w:rFonts w:cs="Guttman Drogolin" w:hint="cs"/>
          <w:rtl/>
          <w:lang w:bidi="he-IL"/>
        </w:rPr>
        <w:t>.</w:t>
      </w:r>
    </w:p>
    <w:p w:rsidR="00490924" w:rsidRPr="00882F11" w:rsidRDefault="004A104F" w:rsidP="000D6D6C">
      <w:pPr>
        <w:tabs>
          <w:tab w:val="left" w:pos="1183"/>
        </w:tabs>
        <w:bidi/>
        <w:jc w:val="both"/>
        <w:rPr>
          <w:rFonts w:cs="Guttman Drogolin"/>
          <w:rtl/>
          <w:lang w:bidi="he-IL"/>
        </w:rPr>
      </w:pPr>
      <w:r w:rsidRPr="00882F11">
        <w:rPr>
          <w:rFonts w:cs="Guttman Drogolin" w:hint="cs"/>
          <w:rtl/>
          <w:lang w:bidi="he-IL"/>
        </w:rPr>
        <w:t xml:space="preserve">ומ"מ התוס' כאן סוברים שהדין רביי' שנאמר במס' נזיר הוא דין אפילו בתערובת של מין בשאינו מינו ואין </w:t>
      </w:r>
      <w:r w:rsidR="004F3EC2" w:rsidRPr="00882F11">
        <w:rPr>
          <w:rFonts w:cs="Guttman Drogolin" w:hint="cs"/>
          <w:rtl/>
          <w:lang w:bidi="he-IL"/>
        </w:rPr>
        <w:t xml:space="preserve">הטעם </w:t>
      </w:r>
      <w:r w:rsidRPr="00882F11">
        <w:rPr>
          <w:rFonts w:cs="Guttman Drogolin" w:hint="cs"/>
          <w:rtl/>
          <w:lang w:bidi="he-IL"/>
        </w:rPr>
        <w:t>משום דין ביטול. וכן ע"כ צריכים לומר לשיטת רש"י אם ננקוט כמו הצד שהבאנו לעיל שבכל תרומה מדאורייתא אינו בטל משום דדימוע דאורייתא ע"כ אין הטעם מש</w:t>
      </w:r>
      <w:r w:rsidR="000D6D6C" w:rsidRPr="00882F11">
        <w:rPr>
          <w:rFonts w:cs="Guttman Drogolin" w:hint="cs"/>
          <w:rtl/>
          <w:lang w:bidi="he-IL"/>
        </w:rPr>
        <w:t>ום ביטול דהא מ"מ אינו בטל. ויל"ע</w:t>
      </w:r>
      <w:r w:rsidRPr="00882F11">
        <w:rPr>
          <w:rFonts w:cs="Guttman Drogolin" w:hint="cs"/>
          <w:rtl/>
          <w:lang w:bidi="he-IL"/>
        </w:rPr>
        <w:t xml:space="preserve"> מהו הטעם שלא </w:t>
      </w:r>
      <w:r w:rsidR="004F3EC2" w:rsidRPr="00882F11">
        <w:rPr>
          <w:rFonts w:cs="Guttman Drogolin" w:hint="cs"/>
          <w:rtl/>
          <w:lang w:bidi="he-IL"/>
        </w:rPr>
        <w:t xml:space="preserve">מצטרף היתר לאיסור אא"כ יש רוב היתר, דמאי שנא. ונראה שדבר זה יכול להתבאר בין לרש"י ובין לתוס'. התוס' יבארו דעד כאן לא נותנין לכל התערובת </w:t>
      </w:r>
      <w:r w:rsidR="000D6D6C" w:rsidRPr="00882F11">
        <w:rPr>
          <w:rFonts w:cs="Guttman Drogolin" w:hint="cs"/>
          <w:rtl/>
          <w:lang w:bidi="he-IL"/>
        </w:rPr>
        <w:t>ו</w:t>
      </w:r>
      <w:r w:rsidR="004F3EC2" w:rsidRPr="00882F11">
        <w:rPr>
          <w:rFonts w:cs="Guttman Drogolin" w:hint="cs"/>
          <w:rtl/>
          <w:lang w:bidi="he-IL"/>
        </w:rPr>
        <w:t>דינו של האיסור המעורב בו אא"כ הוא עכ"פ אינו המיעוט, אבל כשהוא המיעוט אינו מספיק חשוב לתת דין של איסור לכל התערובת. ולשיטת רש"י י"ל דעד כאן לא אמרינן שיש כאן אכילה חשובה להתחייב עליו אלא כשעיקר מעשה האכילה הוא בחפצא של איסור, דבזה אמרינן שהמיעוט נותן לו חשיבות של שיעור אכילה, אבל כשעיקר האכילה הוא בדבר היתר, בזה אמרינן דאדרבה עיקר אכילתו בדבר היתר ולא יצטרף היתר לאיסור.</w:t>
      </w:r>
      <w:r w:rsidRPr="00882F11">
        <w:rPr>
          <w:rFonts w:cs="Guttman Drogolin" w:hint="cs"/>
          <w:rtl/>
          <w:lang w:bidi="he-IL"/>
        </w:rPr>
        <w:t xml:space="preserve"> </w:t>
      </w:r>
      <w:r w:rsidR="00DB6B59" w:rsidRPr="00882F11">
        <w:rPr>
          <w:rFonts w:cs="Guttman Drogolin" w:hint="cs"/>
          <w:rtl/>
          <w:lang w:bidi="he-IL"/>
        </w:rPr>
        <w:t xml:space="preserve">    </w:t>
      </w:r>
      <w:r w:rsidR="00490924" w:rsidRPr="00882F11">
        <w:rPr>
          <w:rFonts w:cs="Guttman Drogolin" w:hint="cs"/>
          <w:rtl/>
          <w:lang w:bidi="he-IL"/>
        </w:rPr>
        <w:t xml:space="preserve"> </w:t>
      </w:r>
    </w:p>
    <w:p w:rsidR="00490924" w:rsidRPr="00882F11" w:rsidRDefault="00490924" w:rsidP="0078079C">
      <w:pPr>
        <w:pStyle w:val="Heading1"/>
        <w:bidi/>
        <w:spacing w:before="0" w:line="360" w:lineRule="auto"/>
        <w:jc w:val="center"/>
        <w:rPr>
          <w:rFonts w:cs="Guttman Drogolin"/>
          <w:color w:val="auto"/>
          <w:sz w:val="18"/>
          <w:szCs w:val="18"/>
          <w:u w:val="single"/>
          <w:rtl/>
          <w:lang w:bidi="he-IL"/>
        </w:rPr>
      </w:pPr>
      <w:bookmarkStart w:id="12" w:name="_Toc496175278"/>
      <w:r w:rsidRPr="00882F11">
        <w:rPr>
          <w:rFonts w:cs="Guttman Drogolin" w:hint="cs"/>
          <w:color w:val="auto"/>
          <w:sz w:val="18"/>
          <w:szCs w:val="18"/>
          <w:u w:val="single"/>
          <w:rtl/>
          <w:lang w:bidi="he-IL"/>
        </w:rPr>
        <w:t>למה אין אוסרים בהא דקופות ו</w:t>
      </w:r>
      <w:r w:rsidR="00E443FA" w:rsidRPr="00882F11">
        <w:rPr>
          <w:rFonts w:cs="Guttman Drogolin" w:hint="cs"/>
          <w:color w:val="auto"/>
          <w:sz w:val="18"/>
          <w:szCs w:val="18"/>
          <w:u w:val="single"/>
          <w:rtl/>
          <w:lang w:bidi="he-IL"/>
        </w:rPr>
        <w:t>מדוכות</w:t>
      </w:r>
      <w:r w:rsidRPr="00882F11">
        <w:rPr>
          <w:rFonts w:cs="Guttman Drogolin" w:hint="cs"/>
          <w:color w:val="auto"/>
          <w:sz w:val="18"/>
          <w:szCs w:val="18"/>
          <w:u w:val="single"/>
          <w:rtl/>
          <w:lang w:bidi="he-IL"/>
        </w:rPr>
        <w:t xml:space="preserve"> מדין חצי שיעור</w:t>
      </w:r>
      <w:bookmarkEnd w:id="12"/>
    </w:p>
    <w:p w:rsidR="001E5AE6" w:rsidRPr="00882F11" w:rsidRDefault="00AF0613" w:rsidP="00B71D94">
      <w:pPr>
        <w:tabs>
          <w:tab w:val="left" w:pos="1183"/>
        </w:tabs>
        <w:bidi/>
        <w:jc w:val="both"/>
        <w:rPr>
          <w:rFonts w:cs="Guttman Drogolin"/>
          <w:rtl/>
          <w:lang w:bidi="he-IL"/>
        </w:rPr>
      </w:pPr>
      <w:r w:rsidRPr="00882F11">
        <w:rPr>
          <w:rFonts w:cs="Guttman Drogolin" w:hint="cs"/>
          <w:rtl/>
          <w:lang w:bidi="he-IL"/>
        </w:rPr>
        <w:t xml:space="preserve">והגמ' רצתה להוכיח דע"כ אין כזית </w:t>
      </w:r>
      <w:r w:rsidR="00E91626" w:rsidRPr="00882F11">
        <w:rPr>
          <w:rFonts w:cs="Guttman Drogolin" w:hint="cs"/>
          <w:rtl/>
          <w:lang w:bidi="he-IL"/>
        </w:rPr>
        <w:t>בכדי אכילת פרס</w:t>
      </w:r>
      <w:r w:rsidRPr="00882F11">
        <w:rPr>
          <w:rFonts w:cs="Guttman Drogolin" w:hint="cs"/>
          <w:rtl/>
          <w:lang w:bidi="he-IL"/>
        </w:rPr>
        <w:t xml:space="preserve"> דאורייתא מהא ד</w:t>
      </w:r>
      <w:r w:rsidR="00E443FA" w:rsidRPr="00882F11">
        <w:rPr>
          <w:rFonts w:cs="Guttman Drogolin" w:hint="cs"/>
          <w:rtl/>
          <w:lang w:bidi="he-IL"/>
        </w:rPr>
        <w:t>מדוכות</w:t>
      </w:r>
      <w:r w:rsidRPr="00882F11">
        <w:rPr>
          <w:rFonts w:cs="Guttman Drogolin" w:hint="cs"/>
          <w:rtl/>
          <w:lang w:bidi="he-IL"/>
        </w:rPr>
        <w:t xml:space="preserve"> וקופות, דאילו הי' </w:t>
      </w:r>
      <w:r w:rsidRPr="00882F11">
        <w:rPr>
          <w:rFonts w:cs="Guttman Drogolin" w:hint="cs"/>
          <w:rtl/>
          <w:lang w:bidi="he-IL"/>
        </w:rPr>
        <w:lastRenderedPageBreak/>
        <w:t xml:space="preserve">דאורייתא לא הי' אפשר לומר הכלל ד'שאני אומר' (פי' דהוא קולא שבאיסורי דרבנן אמרינן תלינן הקלקול במקולקל, ולכן תרומה לתוך תרומה נפל ולא לתוך חולין וכדומה). ונשאלת השאלה דאפילו את"ל דכזית </w:t>
      </w:r>
      <w:r w:rsidR="00E91626" w:rsidRPr="00882F11">
        <w:rPr>
          <w:rFonts w:cs="Guttman Drogolin" w:hint="cs"/>
          <w:rtl/>
          <w:lang w:bidi="he-IL"/>
        </w:rPr>
        <w:t>בכדי אכילת פרס</w:t>
      </w:r>
      <w:r w:rsidRPr="00882F11">
        <w:rPr>
          <w:rFonts w:cs="Guttman Drogolin" w:hint="cs"/>
          <w:rtl/>
          <w:lang w:bidi="he-IL"/>
        </w:rPr>
        <w:t xml:space="preserve"> לאו דאורייתא היא, תיפו"ל משום שיש חצי שיעור מן האיסור בתוך התערובת, וכיון שלר' יוחנן חצי שיעור אסור מן התורה, הרי אי אפשר לומר שאני אומר ולא צריכים לתרומת תבלין או תרומה</w:t>
      </w:r>
      <w:r w:rsidR="008745D3" w:rsidRPr="00882F11">
        <w:rPr>
          <w:rFonts w:cs="Guttman Drogolin" w:hint="cs"/>
          <w:rtl/>
          <w:lang w:bidi="he-IL"/>
        </w:rPr>
        <w:t xml:space="preserve"> </w:t>
      </w:r>
      <w:r w:rsidRPr="00882F11">
        <w:rPr>
          <w:rFonts w:cs="Guttman Drogolin" w:hint="cs"/>
          <w:rtl/>
          <w:lang w:bidi="he-IL"/>
        </w:rPr>
        <w:t>בזה"ז דרבנן. קושיא זו הקשה בתוס' הרא"ש ועוד ראשונים, ויש מתרצים דאה"נ וסוגיא זו הוי אליבא דר"ל דסבר חצי שיעור אינו אסור מדאורייתא</w:t>
      </w:r>
      <w:r w:rsidR="008F02B0" w:rsidRPr="00882F11">
        <w:rPr>
          <w:rStyle w:val="FootnoteReference"/>
          <w:rFonts w:cs="Guttman Drogolin"/>
          <w:rtl/>
          <w:lang w:bidi="he-IL"/>
        </w:rPr>
        <w:footnoteReference w:id="24"/>
      </w:r>
      <w:r w:rsidRPr="00882F11">
        <w:rPr>
          <w:rFonts w:cs="Guttman Drogolin" w:hint="cs"/>
          <w:rtl/>
          <w:lang w:bidi="he-IL"/>
        </w:rPr>
        <w:t xml:space="preserve">. </w:t>
      </w:r>
      <w:r w:rsidR="00E443FA" w:rsidRPr="00882F11">
        <w:rPr>
          <w:rFonts w:cs="Guttman Drogolin" w:hint="cs"/>
          <w:rtl/>
          <w:lang w:bidi="he-IL"/>
        </w:rPr>
        <w:t>והתוס' הרא"ש דקדק מלשון רש"י (בד"ה היכי אמרינן</w:t>
      </w:r>
      <w:r w:rsidR="00EC4B81" w:rsidRPr="00882F11">
        <w:rPr>
          <w:rFonts w:cs="Guttman Drogolin" w:hint="cs"/>
          <w:rtl/>
          <w:lang w:bidi="he-IL"/>
        </w:rPr>
        <w:t>)</w:t>
      </w:r>
      <w:r w:rsidR="00EC4B81" w:rsidRPr="00882F11">
        <w:rPr>
          <w:rFonts w:cs="Guttman Drogolin"/>
          <w:rtl/>
          <w:lang w:bidi="he-IL"/>
        </w:rPr>
        <w:fldChar w:fldCharType="begin"/>
      </w:r>
      <w:r w:rsidR="00EC4B81" w:rsidRPr="00882F11">
        <w:rPr>
          <w:rFonts w:cs="Guttman Drogolin"/>
        </w:rPr>
        <w:instrText xml:space="preserve"> XE "</w:instrText>
      </w:r>
      <w:r w:rsidR="00EC4B81" w:rsidRPr="00882F11">
        <w:rPr>
          <w:rFonts w:cs="Guttman Drogolin" w:hint="cs"/>
          <w:rtl/>
          <w:lang w:bidi="he-IL"/>
        </w:rPr>
        <w:instrText>שאני אומר וכו'</w:instrText>
      </w:r>
      <w:r w:rsidR="00EC4B81" w:rsidRPr="00882F11">
        <w:rPr>
          <w:rFonts w:cs="Guttman Drogolin"/>
          <w:rtl/>
        </w:rPr>
        <w:instrText>:</w:instrText>
      </w:r>
      <w:r w:rsidR="00EC4B81" w:rsidRPr="00882F11">
        <w:rPr>
          <w:rFonts w:cs="Guttman Drogolin" w:hint="cs"/>
          <w:rtl/>
          <w:lang w:bidi="he-IL"/>
        </w:rPr>
        <w:instrText>אי אמרינן לי' אפילו באיסור דאורייתא</w:instrText>
      </w:r>
      <w:r w:rsidR="00EC4B81" w:rsidRPr="00882F11">
        <w:rPr>
          <w:rFonts w:cs="Guttman Drogolin"/>
        </w:rPr>
        <w:instrText xml:space="preserve">" </w:instrText>
      </w:r>
      <w:r w:rsidR="00EC4B81" w:rsidRPr="00882F11">
        <w:rPr>
          <w:rFonts w:cs="Guttman Drogolin"/>
          <w:rtl/>
          <w:lang w:bidi="he-IL"/>
        </w:rPr>
        <w:fldChar w:fldCharType="end"/>
      </w:r>
      <w:r w:rsidR="00E443FA" w:rsidRPr="00882F11">
        <w:rPr>
          <w:rFonts w:cs="Guttman Drogolin" w:hint="cs"/>
          <w:rtl/>
          <w:lang w:bidi="he-IL"/>
        </w:rPr>
        <w:t xml:space="preserve"> שאומרים הכלל דשאני אומר אפילו אם יש איסור מדאורייתא אם אינו איסור שחייבין עליו מיתה, ולכן אפילו אם יש חצי שיעור האסור מן התורה אומרים שאני אומר. </w:t>
      </w:r>
      <w:r w:rsidRPr="00882F11">
        <w:rPr>
          <w:rFonts w:cs="Guttman Drogolin" w:hint="cs"/>
          <w:rtl/>
          <w:lang w:bidi="he-IL"/>
        </w:rPr>
        <w:t xml:space="preserve">אמנם יש מתרצים </w:t>
      </w:r>
      <w:r w:rsidR="00B71D94" w:rsidRPr="00882F11">
        <w:rPr>
          <w:rFonts w:cs="Guttman Drogolin"/>
          <w:rtl/>
          <w:lang w:bidi="he-IL"/>
        </w:rPr>
        <w:fldChar w:fldCharType="begin"/>
      </w:r>
      <w:r w:rsidR="00B71D94" w:rsidRPr="00882F11">
        <w:rPr>
          <w:rFonts w:cs="Guttman Drogolin"/>
        </w:rPr>
        <w:instrText xml:space="preserve"> XE "</w:instrText>
      </w:r>
      <w:r w:rsidR="00B71D94" w:rsidRPr="00882F11">
        <w:rPr>
          <w:rFonts w:cs="Guttman Drogolin" w:hint="cs"/>
          <w:rtl/>
          <w:lang w:bidi="he-IL"/>
        </w:rPr>
        <w:instrText>חצי שיעור</w:instrText>
      </w:r>
      <w:r w:rsidR="00B71D94" w:rsidRPr="00882F11">
        <w:rPr>
          <w:rFonts w:cs="Guttman Drogolin"/>
          <w:rtl/>
        </w:rPr>
        <w:instrText>:</w:instrText>
      </w:r>
      <w:r w:rsidR="00B71D94" w:rsidRPr="00882F11">
        <w:rPr>
          <w:rFonts w:cs="Guttman Drogolin" w:hint="cs"/>
          <w:rtl/>
          <w:lang w:bidi="he-IL"/>
        </w:rPr>
        <w:instrText>ע</w:instrText>
      </w:r>
      <w:r w:rsidR="00B71D94" w:rsidRPr="00882F11">
        <w:rPr>
          <w:rFonts w:eastAsiaTheme="minorEastAsia" w:cs="Guttman Drogolin"/>
          <w:lang w:bidi="he-IL"/>
        </w:rPr>
        <w:instrText>\</w:instrText>
      </w:r>
      <w:r w:rsidR="00B71D94" w:rsidRPr="00882F11">
        <w:rPr>
          <w:rFonts w:cs="Guttman Drogolin" w:hint="cs"/>
          <w:rtl/>
          <w:lang w:bidi="he-IL"/>
        </w:rPr>
        <w:instrText>"י תערובת</w:instrText>
      </w:r>
      <w:r w:rsidR="00B71D94" w:rsidRPr="00882F11">
        <w:rPr>
          <w:rFonts w:cs="Guttman Drogolin"/>
        </w:rPr>
        <w:instrText xml:space="preserve">" </w:instrText>
      </w:r>
      <w:r w:rsidR="00B71D94" w:rsidRPr="00882F11">
        <w:rPr>
          <w:rFonts w:cs="Guttman Drogolin"/>
          <w:rtl/>
          <w:lang w:bidi="he-IL"/>
        </w:rPr>
        <w:fldChar w:fldCharType="end"/>
      </w:r>
      <w:r w:rsidRPr="00882F11">
        <w:rPr>
          <w:rFonts w:cs="Guttman Drogolin" w:hint="cs"/>
          <w:rtl/>
          <w:lang w:bidi="he-IL"/>
        </w:rPr>
        <w:t>שהוא משום שאפילו אם חצי שיעור אסור מן התור</w:t>
      </w:r>
      <w:r w:rsidR="007139B9" w:rsidRPr="00882F11">
        <w:rPr>
          <w:rFonts w:cs="Guttman Drogolin" w:hint="cs"/>
          <w:rtl/>
          <w:lang w:bidi="he-IL"/>
        </w:rPr>
        <w:t>ה</w:t>
      </w:r>
      <w:r w:rsidRPr="00882F11">
        <w:rPr>
          <w:rFonts w:cs="Guttman Drogolin" w:hint="cs"/>
          <w:rtl/>
          <w:lang w:bidi="he-IL"/>
        </w:rPr>
        <w:t xml:space="preserve">, הנ"מ בעיני', אבל ע"י תעובת גם ר' יוחנן מודה שחצי שיעור אינו אסור אלא מדרבנן. </w:t>
      </w:r>
    </w:p>
    <w:p w:rsidR="00AF0613" w:rsidRPr="00882F11" w:rsidRDefault="00AF0613" w:rsidP="001727E9">
      <w:pPr>
        <w:tabs>
          <w:tab w:val="left" w:pos="1183"/>
        </w:tabs>
        <w:bidi/>
        <w:jc w:val="both"/>
        <w:rPr>
          <w:rFonts w:cs="Guttman Drogolin"/>
          <w:rtl/>
          <w:lang w:bidi="he-IL"/>
        </w:rPr>
      </w:pPr>
      <w:r w:rsidRPr="00882F11">
        <w:rPr>
          <w:rFonts w:cs="Guttman Drogolin" w:hint="cs"/>
          <w:rtl/>
          <w:lang w:bidi="he-IL"/>
        </w:rPr>
        <w:t xml:space="preserve">ויש לבאר מהו הטעם בכלל זה. ואולי הי' עולה </w:t>
      </w:r>
      <w:r w:rsidR="00827E30" w:rsidRPr="00882F11">
        <w:rPr>
          <w:rFonts w:cs="Guttman Drogolin" w:hint="cs"/>
          <w:rtl/>
          <w:lang w:bidi="he-IL"/>
        </w:rPr>
        <w:t xml:space="preserve">על </w:t>
      </w:r>
      <w:r w:rsidRPr="00882F11">
        <w:rPr>
          <w:rFonts w:cs="Guttman Drogolin" w:hint="cs"/>
          <w:rtl/>
          <w:lang w:bidi="he-IL"/>
        </w:rPr>
        <w:t xml:space="preserve">הדעת לומר שהרי במס' יומא מבואר שטעמו של ר' יוחנן שחצי שיעור אסור מן התורה משום </w:t>
      </w:r>
      <w:r w:rsidR="007139B9" w:rsidRPr="00882F11">
        <w:rPr>
          <w:rFonts w:cs="Guttman Drogolin" w:hint="cs"/>
          <w:rtl/>
          <w:lang w:bidi="he-IL"/>
        </w:rPr>
        <w:t>דחזי ל</w:t>
      </w:r>
      <w:r w:rsidRPr="00882F11">
        <w:rPr>
          <w:rFonts w:cs="Guttman Drogolin" w:hint="cs"/>
          <w:rtl/>
          <w:lang w:bidi="he-IL"/>
        </w:rPr>
        <w:t>אצטרופי</w:t>
      </w:r>
      <w:r w:rsidR="007139B9" w:rsidRPr="00882F11">
        <w:rPr>
          <w:rFonts w:cs="Guttman Drogolin" w:hint="cs"/>
          <w:rtl/>
          <w:lang w:bidi="he-IL"/>
        </w:rPr>
        <w:t>, וא"כ כיון דליכא בתערובת שיעור כזית בכדי אכילת פרס, הרי אי אפשר לצרף ע"י התער</w:t>
      </w:r>
      <w:r w:rsidR="007139B9" w:rsidRPr="00882F11">
        <w:rPr>
          <w:rFonts w:cs="Guttman Drogolin" w:hint="cs"/>
          <w:strike/>
          <w:rtl/>
          <w:lang w:bidi="he-IL"/>
        </w:rPr>
        <w:t>ו</w:t>
      </w:r>
      <w:r w:rsidR="007139B9" w:rsidRPr="00882F11">
        <w:rPr>
          <w:rFonts w:cs="Guttman Drogolin" w:hint="cs"/>
          <w:rtl/>
          <w:lang w:bidi="he-IL"/>
        </w:rPr>
        <w:t xml:space="preserve">בת לשיעור כזית </w:t>
      </w:r>
      <w:r w:rsidR="00E91626" w:rsidRPr="00882F11">
        <w:rPr>
          <w:rFonts w:cs="Guttman Drogolin" w:hint="cs"/>
          <w:rtl/>
          <w:lang w:bidi="he-IL"/>
        </w:rPr>
        <w:t>בכדי אכילת פרס</w:t>
      </w:r>
      <w:r w:rsidR="000554CE" w:rsidRPr="00882F11">
        <w:rPr>
          <w:rFonts w:cs="Guttman Drogolin" w:hint="cs"/>
          <w:rtl/>
          <w:lang w:bidi="he-IL"/>
        </w:rPr>
        <w:t xml:space="preserve"> ולכן לא נימא שאסור מן התורה</w:t>
      </w:r>
      <w:r w:rsidR="007139B9" w:rsidRPr="00882F11">
        <w:rPr>
          <w:rFonts w:cs="Guttman Drogolin" w:hint="cs"/>
          <w:rtl/>
          <w:lang w:bidi="he-IL"/>
        </w:rPr>
        <w:t>. אמנם לכאורה קשה לומר כן, דהא שפיר חזי לאצטרופי לאיסור שאינו בתערובת</w:t>
      </w:r>
      <w:r w:rsidR="007139B9" w:rsidRPr="00882F11">
        <w:rPr>
          <w:rStyle w:val="FootnoteReference"/>
          <w:rFonts w:cs="Guttman Drogolin"/>
          <w:rtl/>
          <w:lang w:bidi="he-IL"/>
        </w:rPr>
        <w:footnoteReference w:id="25"/>
      </w:r>
      <w:r w:rsidR="007139B9" w:rsidRPr="00882F11">
        <w:rPr>
          <w:rFonts w:cs="Guttman Drogolin" w:hint="cs"/>
          <w:rtl/>
          <w:lang w:bidi="he-IL"/>
        </w:rPr>
        <w:t xml:space="preserve">. וא"כ לכאורה צריכים לומר </w:t>
      </w:r>
      <w:r w:rsidR="001727E9">
        <w:rPr>
          <w:rFonts w:cs="Guttman Drogolin" w:hint="cs"/>
          <w:rtl/>
          <w:lang w:bidi="he-IL"/>
        </w:rPr>
        <w:t>דכיון</w:t>
      </w:r>
      <w:r w:rsidR="007139B9" w:rsidRPr="00882F11">
        <w:rPr>
          <w:rFonts w:cs="Guttman Drogolin" w:hint="cs"/>
          <w:rtl/>
          <w:lang w:bidi="he-IL"/>
        </w:rPr>
        <w:t xml:space="preserve"> דהוי ע"י תערובת איקליש איסורא, ולכן עד כאן ל</w:t>
      </w:r>
      <w:r w:rsidR="000554CE" w:rsidRPr="00882F11">
        <w:rPr>
          <w:rFonts w:cs="Guttman Drogolin" w:hint="cs"/>
          <w:rtl/>
          <w:lang w:bidi="he-IL"/>
        </w:rPr>
        <w:t>א מרבינן משום דחזי לאצרופי אלא כ</w:t>
      </w:r>
      <w:r w:rsidR="007139B9" w:rsidRPr="00882F11">
        <w:rPr>
          <w:rFonts w:cs="Guttman Drogolin" w:hint="cs"/>
          <w:rtl/>
          <w:lang w:bidi="he-IL"/>
        </w:rPr>
        <w:t xml:space="preserve">שהוא </w:t>
      </w:r>
      <w:r w:rsidR="007139B9" w:rsidRPr="00882F11">
        <w:rPr>
          <w:rFonts w:cs="Guttman Drogolin" w:hint="cs"/>
          <w:rtl/>
          <w:lang w:bidi="he-IL"/>
        </w:rPr>
        <w:lastRenderedPageBreak/>
        <w:t xml:space="preserve">בעיני', אבל בתערבות לא שמענו. </w:t>
      </w:r>
      <w:r w:rsidR="006A5119" w:rsidRPr="00882F11">
        <w:rPr>
          <w:rFonts w:cs="Guttman Drogolin" w:hint="cs"/>
          <w:rtl/>
          <w:lang w:bidi="he-IL"/>
        </w:rPr>
        <w:t>(ע' עוד בביאור קושיית הגמ' מב' קופות ומב' מדוכות בשיעור הבא).</w:t>
      </w:r>
    </w:p>
    <w:p w:rsidR="00E84BEF" w:rsidRPr="00882F11" w:rsidRDefault="00E84BEF" w:rsidP="00E84BEF">
      <w:pPr>
        <w:tabs>
          <w:tab w:val="left" w:pos="1183"/>
        </w:tabs>
        <w:bidi/>
        <w:jc w:val="both"/>
        <w:rPr>
          <w:rFonts w:cs="Guttman Drogolin"/>
          <w:rtl/>
          <w:lang w:bidi="he-IL"/>
        </w:rPr>
        <w:sectPr w:rsidR="00E84BEF" w:rsidRPr="00882F11" w:rsidSect="00882F11">
          <w:type w:val="continuous"/>
          <w:pgSz w:w="11907" w:h="16839" w:code="9"/>
          <w:pgMar w:top="1440" w:right="1440" w:bottom="1440" w:left="1440" w:header="720" w:footer="720" w:gutter="0"/>
          <w:cols w:num="2" w:space="720"/>
          <w:bidi/>
          <w:docGrid w:linePitch="360"/>
        </w:sectPr>
      </w:pPr>
    </w:p>
    <w:p w:rsidR="00E84BEF" w:rsidRPr="00882F11" w:rsidRDefault="00E84BEF" w:rsidP="00E84BEF">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ג'</w:t>
      </w:r>
    </w:p>
    <w:p w:rsidR="00882F11" w:rsidRDefault="00882F11" w:rsidP="0078079C">
      <w:pPr>
        <w:pStyle w:val="Heading1"/>
        <w:bidi/>
        <w:spacing w:before="0" w:line="360" w:lineRule="auto"/>
        <w:jc w:val="center"/>
        <w:rPr>
          <w:rFonts w:cs="Guttman Drogolin"/>
          <w:color w:val="auto"/>
          <w:sz w:val="24"/>
          <w:szCs w:val="24"/>
          <w:u w:val="single"/>
          <w:rtl/>
          <w:lang w:bidi="he-IL"/>
        </w:rPr>
        <w:sectPr w:rsidR="00882F11" w:rsidSect="00882F11">
          <w:pgSz w:w="11907" w:h="16839" w:code="9"/>
          <w:pgMar w:top="1440" w:right="1440" w:bottom="1440" w:left="1440" w:header="720" w:footer="720" w:gutter="0"/>
          <w:cols w:space="720"/>
          <w:bidi/>
          <w:docGrid w:linePitch="360"/>
        </w:sectPr>
      </w:pPr>
    </w:p>
    <w:p w:rsidR="00E84BEF" w:rsidRPr="00882F11" w:rsidRDefault="00E84BEF" w:rsidP="0078079C">
      <w:pPr>
        <w:pStyle w:val="Heading1"/>
        <w:bidi/>
        <w:spacing w:before="0" w:line="360" w:lineRule="auto"/>
        <w:jc w:val="center"/>
        <w:rPr>
          <w:rFonts w:cs="Guttman Drogolin"/>
          <w:color w:val="auto"/>
          <w:sz w:val="24"/>
          <w:szCs w:val="24"/>
          <w:u w:val="single"/>
          <w:rtl/>
          <w:lang w:bidi="he-IL"/>
        </w:rPr>
      </w:pPr>
      <w:bookmarkStart w:id="13" w:name="_Toc496175279"/>
      <w:r w:rsidRPr="00882F11">
        <w:rPr>
          <w:rFonts w:cs="Guttman Drogolin" w:hint="cs"/>
          <w:color w:val="auto"/>
          <w:sz w:val="24"/>
          <w:szCs w:val="24"/>
          <w:u w:val="single"/>
          <w:rtl/>
          <w:lang w:bidi="he-IL"/>
        </w:rPr>
        <w:lastRenderedPageBreak/>
        <w:t>בביאור</w:t>
      </w:r>
      <w:r w:rsidRPr="00882F11">
        <w:rPr>
          <w:rFonts w:cs="Guttman Drogolin"/>
          <w:color w:val="auto"/>
          <w:sz w:val="24"/>
          <w:szCs w:val="24"/>
          <w:u w:val="single"/>
          <w:rtl/>
          <w:lang w:bidi="he-IL"/>
        </w:rPr>
        <w:t xml:space="preserve"> </w:t>
      </w:r>
      <w:r w:rsidRPr="00882F11">
        <w:rPr>
          <w:rFonts w:cs="Guttman Drogolin" w:hint="cs"/>
          <w:color w:val="auto"/>
          <w:sz w:val="24"/>
          <w:szCs w:val="24"/>
          <w:u w:val="single"/>
          <w:rtl/>
          <w:lang w:bidi="he-IL"/>
        </w:rPr>
        <w:t>הקושיא</w:t>
      </w:r>
      <w:r w:rsidRPr="00882F11">
        <w:rPr>
          <w:rFonts w:cs="Guttman Drogolin"/>
          <w:color w:val="auto"/>
          <w:sz w:val="24"/>
          <w:szCs w:val="24"/>
          <w:u w:val="single"/>
          <w:rtl/>
          <w:lang w:bidi="he-IL"/>
        </w:rPr>
        <w:t xml:space="preserve"> </w:t>
      </w:r>
      <w:r w:rsidRPr="00882F11">
        <w:rPr>
          <w:rFonts w:cs="Guttman Drogolin" w:hint="cs"/>
          <w:color w:val="auto"/>
          <w:sz w:val="24"/>
          <w:szCs w:val="24"/>
          <w:u w:val="single"/>
          <w:rtl/>
          <w:lang w:bidi="he-IL"/>
        </w:rPr>
        <w:t>מב</w:t>
      </w:r>
      <w:r w:rsidRPr="00882F11">
        <w:rPr>
          <w:rFonts w:cs="Guttman Drogolin"/>
          <w:color w:val="auto"/>
          <w:sz w:val="24"/>
          <w:szCs w:val="24"/>
          <w:u w:val="single"/>
          <w:rtl/>
          <w:lang w:bidi="he-IL"/>
        </w:rPr>
        <w:t xml:space="preserve">' </w:t>
      </w:r>
      <w:r w:rsidRPr="00882F11">
        <w:rPr>
          <w:rFonts w:cs="Guttman Drogolin" w:hint="cs"/>
          <w:color w:val="auto"/>
          <w:sz w:val="24"/>
          <w:szCs w:val="24"/>
          <w:u w:val="single"/>
          <w:rtl/>
          <w:lang w:bidi="he-IL"/>
        </w:rPr>
        <w:t>מדוכות</w:t>
      </w:r>
      <w:r w:rsidRPr="00882F11">
        <w:rPr>
          <w:rFonts w:cs="Guttman Drogolin"/>
          <w:color w:val="auto"/>
          <w:sz w:val="24"/>
          <w:szCs w:val="24"/>
          <w:u w:val="single"/>
          <w:rtl/>
          <w:lang w:bidi="he-IL"/>
        </w:rPr>
        <w:t xml:space="preserve"> </w:t>
      </w:r>
      <w:r w:rsidRPr="00882F11">
        <w:rPr>
          <w:rFonts w:cs="Guttman Drogolin" w:hint="cs"/>
          <w:color w:val="auto"/>
          <w:sz w:val="24"/>
          <w:szCs w:val="24"/>
          <w:u w:val="single"/>
          <w:rtl/>
          <w:lang w:bidi="he-IL"/>
        </w:rPr>
        <w:t>ומב</w:t>
      </w:r>
      <w:r w:rsidRPr="00882F11">
        <w:rPr>
          <w:rFonts w:cs="Guttman Drogolin"/>
          <w:color w:val="auto"/>
          <w:sz w:val="24"/>
          <w:szCs w:val="24"/>
          <w:u w:val="single"/>
          <w:rtl/>
          <w:lang w:bidi="he-IL"/>
        </w:rPr>
        <w:t xml:space="preserve">' </w:t>
      </w:r>
      <w:r w:rsidRPr="00882F11">
        <w:rPr>
          <w:rFonts w:cs="Guttman Drogolin" w:hint="cs"/>
          <w:color w:val="auto"/>
          <w:sz w:val="24"/>
          <w:szCs w:val="24"/>
          <w:u w:val="single"/>
          <w:rtl/>
          <w:lang w:bidi="he-IL"/>
        </w:rPr>
        <w:t>קופות</w:t>
      </w:r>
      <w:bookmarkEnd w:id="13"/>
    </w:p>
    <w:p w:rsidR="00E84BEF" w:rsidRPr="00882F11" w:rsidRDefault="00E84BEF" w:rsidP="001727E9">
      <w:pPr>
        <w:tabs>
          <w:tab w:val="left" w:pos="1183"/>
        </w:tabs>
        <w:bidi/>
        <w:jc w:val="both"/>
        <w:rPr>
          <w:rFonts w:cs="Guttman Drogolin"/>
          <w:rtl/>
          <w:lang w:bidi="he-IL"/>
        </w:rPr>
      </w:pPr>
      <w:r w:rsidRPr="00882F11">
        <w:rPr>
          <w:rFonts w:cs="Guttman Drogolin" w:hint="cs"/>
          <w:rtl/>
          <w:lang w:bidi="he-IL"/>
        </w:rPr>
        <w:t>הגמ</w:t>
      </w:r>
      <w:r w:rsidRPr="00882F11">
        <w:rPr>
          <w:rFonts w:cs="Guttman Drogolin"/>
          <w:rtl/>
          <w:lang w:bidi="he-IL"/>
        </w:rPr>
        <w:t xml:space="preserve">' </w:t>
      </w:r>
      <w:r w:rsidRPr="00882F11">
        <w:rPr>
          <w:rFonts w:cs="Guttman Drogolin" w:hint="cs"/>
          <w:rtl/>
          <w:lang w:bidi="he-IL"/>
        </w:rPr>
        <w:t>רצתה</w:t>
      </w:r>
      <w:r w:rsidRPr="00882F11">
        <w:rPr>
          <w:rFonts w:cs="Guttman Drogolin"/>
          <w:rtl/>
          <w:lang w:bidi="he-IL"/>
        </w:rPr>
        <w:t xml:space="preserve"> </w:t>
      </w:r>
      <w:r w:rsidRPr="00882F11">
        <w:rPr>
          <w:rFonts w:cs="Guttman Drogolin" w:hint="cs"/>
          <w:rtl/>
          <w:lang w:bidi="he-IL"/>
        </w:rPr>
        <w:t>להוכיח</w:t>
      </w:r>
      <w:r w:rsidRPr="00882F11">
        <w:rPr>
          <w:rFonts w:cs="Guttman Drogolin"/>
          <w:rtl/>
          <w:lang w:bidi="he-IL"/>
        </w:rPr>
        <w:t xml:space="preserve"> </w:t>
      </w:r>
      <w:r w:rsidRPr="00882F11">
        <w:rPr>
          <w:rFonts w:cs="Guttman Drogolin" w:hint="cs"/>
          <w:rtl/>
          <w:lang w:bidi="he-IL"/>
        </w:rPr>
        <w:t>דע</w:t>
      </w:r>
      <w:r w:rsidRPr="00882F11">
        <w:rPr>
          <w:rFonts w:cs="Guttman Drogolin"/>
          <w:rtl/>
          <w:lang w:bidi="he-IL"/>
        </w:rPr>
        <w:t>"</w:t>
      </w:r>
      <w:r w:rsidRPr="00882F11">
        <w:rPr>
          <w:rFonts w:cs="Guttman Drogolin" w:hint="cs"/>
          <w:rtl/>
          <w:lang w:bidi="he-IL"/>
        </w:rPr>
        <w:t>כ</w:t>
      </w:r>
      <w:r w:rsidRPr="00882F11">
        <w:rPr>
          <w:rFonts w:cs="Guttman Drogolin"/>
          <w:rtl/>
          <w:lang w:bidi="he-IL"/>
        </w:rPr>
        <w:t xml:space="preserve"> </w:t>
      </w:r>
      <w:r w:rsidRPr="00882F11">
        <w:rPr>
          <w:rFonts w:cs="Guttman Drogolin" w:hint="cs"/>
          <w:rtl/>
          <w:lang w:bidi="he-IL"/>
        </w:rPr>
        <w:t>אין</w:t>
      </w:r>
      <w:r w:rsidRPr="00882F11">
        <w:rPr>
          <w:rFonts w:cs="Guttman Drogolin"/>
          <w:rtl/>
          <w:lang w:bidi="he-IL"/>
        </w:rPr>
        <w:t xml:space="preserve"> </w:t>
      </w:r>
      <w:r w:rsidRPr="00882F11">
        <w:rPr>
          <w:rFonts w:cs="Guttman Drogolin" w:hint="cs"/>
          <w:rtl/>
          <w:lang w:bidi="he-IL"/>
        </w:rPr>
        <w:t>כזית</w:t>
      </w:r>
      <w:r w:rsidRPr="00882F11">
        <w:rPr>
          <w:rFonts w:cs="Guttman Drogolin"/>
          <w:rtl/>
          <w:lang w:bidi="he-IL"/>
        </w:rPr>
        <w:t xml:space="preserve"> </w:t>
      </w:r>
      <w:r w:rsidR="00E91626" w:rsidRPr="00882F11">
        <w:rPr>
          <w:rFonts w:cs="Guttman Drogolin" w:hint="cs"/>
          <w:rtl/>
          <w:lang w:bidi="he-IL"/>
        </w:rPr>
        <w:t>בכדי אכילת פרס</w:t>
      </w:r>
      <w:r w:rsidRPr="00882F11">
        <w:rPr>
          <w:rFonts w:cs="Guttman Drogolin"/>
          <w:rtl/>
          <w:lang w:bidi="he-IL"/>
        </w:rPr>
        <w:t xml:space="preserve"> </w:t>
      </w:r>
      <w:r w:rsidRPr="00882F11">
        <w:rPr>
          <w:rFonts w:cs="Guttman Drogolin" w:hint="cs"/>
          <w:rtl/>
          <w:lang w:bidi="he-IL"/>
        </w:rPr>
        <w:t>דאורייתא</w:t>
      </w:r>
      <w:r w:rsidRPr="00882F11">
        <w:rPr>
          <w:rFonts w:cs="Guttman Drogolin"/>
          <w:rtl/>
          <w:lang w:bidi="he-IL"/>
        </w:rPr>
        <w:t xml:space="preserve"> </w:t>
      </w:r>
      <w:r w:rsidRPr="00882F11">
        <w:rPr>
          <w:rFonts w:cs="Guttman Drogolin" w:hint="cs"/>
          <w:rtl/>
          <w:lang w:bidi="he-IL"/>
        </w:rPr>
        <w:t>מהא</w:t>
      </w:r>
      <w:r w:rsidRPr="00882F11">
        <w:rPr>
          <w:rFonts w:cs="Guttman Drogolin"/>
          <w:rtl/>
          <w:lang w:bidi="he-IL"/>
        </w:rPr>
        <w:t xml:space="preserve"> </w:t>
      </w:r>
      <w:r w:rsidRPr="00882F11">
        <w:rPr>
          <w:rFonts w:cs="Guttman Drogolin" w:hint="cs"/>
          <w:rtl/>
          <w:lang w:bidi="he-IL"/>
        </w:rPr>
        <w:t>דב</w:t>
      </w:r>
      <w:r w:rsidRPr="00882F11">
        <w:rPr>
          <w:rFonts w:cs="Guttman Drogolin"/>
          <w:rtl/>
          <w:lang w:bidi="he-IL"/>
        </w:rPr>
        <w:t xml:space="preserve">' </w:t>
      </w:r>
      <w:r w:rsidRPr="00882F11">
        <w:rPr>
          <w:rFonts w:cs="Guttman Drogolin" w:hint="cs"/>
          <w:rtl/>
          <w:lang w:bidi="he-IL"/>
        </w:rPr>
        <w:t>קופות</w:t>
      </w:r>
      <w:r w:rsidRPr="00882F11">
        <w:rPr>
          <w:rFonts w:cs="Guttman Drogolin"/>
          <w:rtl/>
          <w:lang w:bidi="he-IL"/>
        </w:rPr>
        <w:t xml:space="preserve"> </w:t>
      </w:r>
      <w:r w:rsidRPr="00882F11">
        <w:rPr>
          <w:rFonts w:cs="Guttman Drogolin" w:hint="cs"/>
          <w:rtl/>
          <w:lang w:bidi="he-IL"/>
        </w:rPr>
        <w:t>וב</w:t>
      </w:r>
      <w:r w:rsidRPr="00882F11">
        <w:rPr>
          <w:rFonts w:cs="Guttman Drogolin"/>
          <w:rtl/>
          <w:lang w:bidi="he-IL"/>
        </w:rPr>
        <w:t xml:space="preserve">' </w:t>
      </w:r>
      <w:r w:rsidRPr="00882F11">
        <w:rPr>
          <w:rFonts w:cs="Guttman Drogolin" w:hint="cs"/>
          <w:rtl/>
          <w:lang w:bidi="he-IL"/>
        </w:rPr>
        <w:t>מדוכות</w:t>
      </w:r>
      <w:r w:rsidRPr="00882F11">
        <w:rPr>
          <w:rFonts w:cs="Guttman Drogolin"/>
          <w:rtl/>
          <w:lang w:bidi="he-IL"/>
        </w:rPr>
        <w:t xml:space="preserve">, </w:t>
      </w:r>
      <w:r w:rsidRPr="00882F11">
        <w:rPr>
          <w:rFonts w:cs="Guttman Drogolin" w:hint="cs"/>
          <w:rtl/>
          <w:lang w:bidi="he-IL"/>
        </w:rPr>
        <w:t>והגמ</w:t>
      </w:r>
      <w:r w:rsidRPr="00882F11">
        <w:rPr>
          <w:rFonts w:cs="Guttman Drogolin"/>
          <w:rtl/>
          <w:lang w:bidi="he-IL"/>
        </w:rPr>
        <w:t xml:space="preserve">' </w:t>
      </w:r>
      <w:r w:rsidRPr="00882F11">
        <w:rPr>
          <w:rFonts w:cs="Guttman Drogolin" w:hint="cs"/>
          <w:rtl/>
          <w:lang w:bidi="he-IL"/>
        </w:rPr>
        <w:t>דוחה</w:t>
      </w:r>
      <w:r w:rsidRPr="00882F11">
        <w:rPr>
          <w:rFonts w:cs="Guttman Drogolin"/>
          <w:rtl/>
          <w:lang w:bidi="he-IL"/>
        </w:rPr>
        <w:t xml:space="preserve"> </w:t>
      </w:r>
      <w:r w:rsidRPr="00882F11">
        <w:rPr>
          <w:rFonts w:cs="Guttman Drogolin" w:hint="cs"/>
          <w:rtl/>
          <w:lang w:bidi="he-IL"/>
        </w:rPr>
        <w:t>את</w:t>
      </w:r>
      <w:r w:rsidRPr="00882F11">
        <w:rPr>
          <w:rFonts w:cs="Guttman Drogolin"/>
          <w:rtl/>
          <w:lang w:bidi="he-IL"/>
        </w:rPr>
        <w:t xml:space="preserve"> </w:t>
      </w:r>
      <w:r w:rsidRPr="00882F11">
        <w:rPr>
          <w:rFonts w:cs="Guttman Drogolin" w:hint="cs"/>
          <w:rtl/>
          <w:lang w:bidi="he-IL"/>
        </w:rPr>
        <w:t>שניהם</w:t>
      </w:r>
      <w:r w:rsidRPr="00882F11">
        <w:rPr>
          <w:rFonts w:cs="Guttman Drogolin"/>
          <w:rtl/>
          <w:lang w:bidi="he-IL"/>
        </w:rPr>
        <w:t xml:space="preserve"> </w:t>
      </w:r>
      <w:r w:rsidRPr="00882F11">
        <w:rPr>
          <w:rFonts w:cs="Guttman Drogolin" w:hint="cs"/>
          <w:rtl/>
          <w:lang w:bidi="he-IL"/>
        </w:rPr>
        <w:t>דמיירי</w:t>
      </w:r>
      <w:r w:rsidRPr="00882F11">
        <w:rPr>
          <w:rFonts w:cs="Guttman Drogolin"/>
          <w:rtl/>
          <w:lang w:bidi="he-IL"/>
        </w:rPr>
        <w:t xml:space="preserve"> </w:t>
      </w:r>
      <w:r w:rsidRPr="00882F11">
        <w:rPr>
          <w:rFonts w:cs="Guttman Drogolin" w:hint="cs"/>
          <w:rtl/>
          <w:lang w:bidi="he-IL"/>
        </w:rPr>
        <w:t>בתרומה</w:t>
      </w:r>
      <w:r w:rsidRPr="00882F11">
        <w:rPr>
          <w:rFonts w:cs="Guttman Drogolin"/>
          <w:rtl/>
          <w:lang w:bidi="he-IL"/>
        </w:rPr>
        <w:t xml:space="preserve"> </w:t>
      </w:r>
      <w:r w:rsidRPr="00882F11">
        <w:rPr>
          <w:rFonts w:cs="Guttman Drogolin" w:hint="cs"/>
          <w:rtl/>
          <w:lang w:bidi="he-IL"/>
        </w:rPr>
        <w:t>דרבנן</w:t>
      </w:r>
      <w:r w:rsidRPr="00882F11">
        <w:rPr>
          <w:rFonts w:cs="Guttman Drogolin"/>
          <w:rtl/>
          <w:lang w:bidi="he-IL"/>
        </w:rPr>
        <w:t xml:space="preserve"> </w:t>
      </w:r>
      <w:r w:rsidRPr="00882F11">
        <w:rPr>
          <w:rFonts w:cs="Guttman Drogolin" w:hint="cs"/>
          <w:rtl/>
          <w:lang w:bidi="he-IL"/>
        </w:rPr>
        <w:t>או</w:t>
      </w:r>
      <w:r w:rsidRPr="00882F11">
        <w:rPr>
          <w:rFonts w:cs="Guttman Drogolin"/>
          <w:rtl/>
          <w:lang w:bidi="he-IL"/>
        </w:rPr>
        <w:t xml:space="preserve"> </w:t>
      </w:r>
      <w:r w:rsidRPr="00882F11">
        <w:rPr>
          <w:rFonts w:cs="Guttman Drogolin" w:hint="cs"/>
          <w:rtl/>
          <w:lang w:bidi="he-IL"/>
        </w:rPr>
        <w:t>משום</w:t>
      </w:r>
      <w:r w:rsidRPr="00882F11">
        <w:rPr>
          <w:rFonts w:cs="Guttman Drogolin"/>
          <w:rtl/>
          <w:lang w:bidi="he-IL"/>
        </w:rPr>
        <w:t xml:space="preserve"> </w:t>
      </w:r>
      <w:r w:rsidRPr="00882F11">
        <w:rPr>
          <w:rFonts w:cs="Guttman Drogolin" w:hint="cs"/>
          <w:rtl/>
          <w:lang w:bidi="he-IL"/>
        </w:rPr>
        <w:t>דהוי</w:t>
      </w:r>
      <w:r w:rsidRPr="00882F11">
        <w:rPr>
          <w:rFonts w:cs="Guttman Drogolin"/>
          <w:rtl/>
          <w:lang w:bidi="he-IL"/>
        </w:rPr>
        <w:t xml:space="preserve"> </w:t>
      </w:r>
      <w:r w:rsidRPr="00882F11">
        <w:rPr>
          <w:rFonts w:cs="Guttman Drogolin" w:hint="cs"/>
          <w:rtl/>
          <w:lang w:bidi="he-IL"/>
        </w:rPr>
        <w:t>תרומת</w:t>
      </w:r>
      <w:r w:rsidRPr="00882F11">
        <w:rPr>
          <w:rFonts w:cs="Guttman Drogolin"/>
          <w:rtl/>
          <w:lang w:bidi="he-IL"/>
        </w:rPr>
        <w:t xml:space="preserve"> </w:t>
      </w:r>
      <w:r w:rsidRPr="00882F11">
        <w:rPr>
          <w:rFonts w:cs="Guttman Drogolin" w:hint="cs"/>
          <w:rtl/>
          <w:lang w:bidi="he-IL"/>
        </w:rPr>
        <w:t>תבלין</w:t>
      </w:r>
      <w:r w:rsidRPr="00882F11">
        <w:rPr>
          <w:rFonts w:cs="Guttman Drogolin"/>
          <w:rtl/>
          <w:lang w:bidi="he-IL"/>
        </w:rPr>
        <w:t xml:space="preserve"> </w:t>
      </w:r>
      <w:r w:rsidRPr="00882F11">
        <w:rPr>
          <w:rFonts w:cs="Guttman Drogolin" w:hint="cs"/>
          <w:rtl/>
          <w:lang w:bidi="he-IL"/>
        </w:rPr>
        <w:t>או</w:t>
      </w:r>
      <w:r w:rsidRPr="00882F11">
        <w:rPr>
          <w:rFonts w:cs="Guttman Drogolin"/>
          <w:rtl/>
          <w:lang w:bidi="he-IL"/>
        </w:rPr>
        <w:t xml:space="preserve"> </w:t>
      </w:r>
      <w:r w:rsidRPr="00882F11">
        <w:rPr>
          <w:rFonts w:cs="Guttman Drogolin" w:hint="cs"/>
          <w:rtl/>
          <w:lang w:bidi="he-IL"/>
        </w:rPr>
        <w:t>משום</w:t>
      </w:r>
      <w:r w:rsidRPr="00882F11">
        <w:rPr>
          <w:rFonts w:cs="Guttman Drogolin"/>
          <w:rtl/>
          <w:lang w:bidi="he-IL"/>
        </w:rPr>
        <w:t xml:space="preserve"> </w:t>
      </w:r>
      <w:r w:rsidRPr="00882F11">
        <w:rPr>
          <w:rFonts w:cs="Guttman Drogolin" w:hint="cs"/>
          <w:rtl/>
          <w:lang w:bidi="he-IL"/>
        </w:rPr>
        <w:t>דהוי</w:t>
      </w:r>
      <w:r w:rsidRPr="00882F11">
        <w:rPr>
          <w:rFonts w:cs="Guttman Drogolin"/>
          <w:rtl/>
          <w:lang w:bidi="he-IL"/>
        </w:rPr>
        <w:t xml:space="preserve"> </w:t>
      </w:r>
      <w:r w:rsidRPr="00882F11">
        <w:rPr>
          <w:rFonts w:cs="Guttman Drogolin" w:hint="cs"/>
          <w:rtl/>
          <w:lang w:bidi="he-IL"/>
        </w:rPr>
        <w:t>תרומה</w:t>
      </w:r>
      <w:r w:rsidRPr="00882F11">
        <w:rPr>
          <w:rFonts w:cs="Guttman Drogolin"/>
          <w:rtl/>
          <w:lang w:bidi="he-IL"/>
        </w:rPr>
        <w:t xml:space="preserve"> </w:t>
      </w:r>
      <w:r w:rsidRPr="00882F11">
        <w:rPr>
          <w:rFonts w:cs="Guttman Drogolin" w:hint="cs"/>
          <w:rtl/>
          <w:lang w:bidi="he-IL"/>
        </w:rPr>
        <w:t>בזה</w:t>
      </w:r>
      <w:r w:rsidRPr="00882F11">
        <w:rPr>
          <w:rFonts w:cs="Guttman Drogolin"/>
          <w:rtl/>
          <w:lang w:bidi="he-IL"/>
        </w:rPr>
        <w:t>"</w:t>
      </w:r>
      <w:r w:rsidRPr="00882F11">
        <w:rPr>
          <w:rFonts w:cs="Guttman Drogolin" w:hint="cs"/>
          <w:rtl/>
          <w:lang w:bidi="he-IL"/>
        </w:rPr>
        <w:t>ז</w:t>
      </w:r>
      <w:r w:rsidRPr="00882F11">
        <w:rPr>
          <w:rFonts w:cs="Guttman Drogolin"/>
          <w:rtl/>
          <w:lang w:bidi="he-IL"/>
        </w:rPr>
        <w:t xml:space="preserve">. </w:t>
      </w:r>
      <w:r w:rsidRPr="00882F11">
        <w:rPr>
          <w:rFonts w:cs="Guttman Drogolin" w:hint="cs"/>
          <w:rtl/>
          <w:lang w:bidi="he-IL"/>
        </w:rPr>
        <w:t>והנה</w:t>
      </w:r>
      <w:r w:rsidRPr="00882F11">
        <w:rPr>
          <w:rFonts w:cs="Guttman Drogolin"/>
          <w:rtl/>
          <w:lang w:bidi="he-IL"/>
        </w:rPr>
        <w:t xml:space="preserve"> </w:t>
      </w:r>
      <w:r w:rsidRPr="00882F11">
        <w:rPr>
          <w:rFonts w:cs="Guttman Drogolin" w:hint="cs"/>
          <w:rtl/>
          <w:lang w:bidi="he-IL"/>
        </w:rPr>
        <w:t>זה</w:t>
      </w:r>
      <w:r w:rsidRPr="00882F11">
        <w:rPr>
          <w:rFonts w:cs="Guttman Drogolin"/>
          <w:rtl/>
          <w:lang w:bidi="he-IL"/>
        </w:rPr>
        <w:t xml:space="preserve"> </w:t>
      </w:r>
      <w:r w:rsidRPr="00882F11">
        <w:rPr>
          <w:rFonts w:cs="Guttman Drogolin" w:hint="cs"/>
          <w:rtl/>
          <w:lang w:bidi="he-IL"/>
        </w:rPr>
        <w:t>פשוט</w:t>
      </w:r>
      <w:r w:rsidRPr="00882F11">
        <w:rPr>
          <w:rFonts w:cs="Guttman Drogolin"/>
          <w:rtl/>
          <w:lang w:bidi="he-IL"/>
        </w:rPr>
        <w:t xml:space="preserve"> </w:t>
      </w:r>
      <w:r w:rsidRPr="00882F11">
        <w:rPr>
          <w:rFonts w:cs="Guttman Drogolin" w:hint="cs"/>
          <w:rtl/>
          <w:lang w:bidi="he-IL"/>
        </w:rPr>
        <w:t>שהביאור</w:t>
      </w:r>
      <w:r w:rsidRPr="00882F11">
        <w:rPr>
          <w:rFonts w:cs="Guttman Drogolin"/>
          <w:rtl/>
          <w:lang w:bidi="he-IL"/>
        </w:rPr>
        <w:t xml:space="preserve"> </w:t>
      </w:r>
      <w:r w:rsidRPr="00882F11">
        <w:rPr>
          <w:rFonts w:cs="Guttman Drogolin" w:hint="cs"/>
          <w:rtl/>
          <w:lang w:bidi="he-IL"/>
        </w:rPr>
        <w:t>בקושיית</w:t>
      </w:r>
      <w:r w:rsidRPr="00882F11">
        <w:rPr>
          <w:rFonts w:cs="Guttman Drogolin"/>
          <w:rtl/>
          <w:lang w:bidi="he-IL"/>
        </w:rPr>
        <w:t xml:space="preserve"> </w:t>
      </w:r>
      <w:r w:rsidRPr="00882F11">
        <w:rPr>
          <w:rFonts w:cs="Guttman Drogolin" w:hint="cs"/>
          <w:rtl/>
          <w:lang w:bidi="he-IL"/>
        </w:rPr>
        <w:t>הגמ</w:t>
      </w:r>
      <w:r w:rsidRPr="00882F11">
        <w:rPr>
          <w:rFonts w:cs="Guttman Drogolin"/>
          <w:rtl/>
          <w:lang w:bidi="he-IL"/>
        </w:rPr>
        <w:t xml:space="preserve">' </w:t>
      </w:r>
      <w:r w:rsidRPr="00882F11">
        <w:rPr>
          <w:rFonts w:cs="Guttman Drogolin" w:hint="cs"/>
          <w:rtl/>
          <w:lang w:bidi="he-IL"/>
        </w:rPr>
        <w:t>משום</w:t>
      </w:r>
      <w:r w:rsidRPr="00882F11">
        <w:rPr>
          <w:rFonts w:cs="Guttman Drogolin"/>
          <w:rtl/>
          <w:lang w:bidi="he-IL"/>
        </w:rPr>
        <w:t xml:space="preserve"> </w:t>
      </w:r>
      <w:r w:rsidRPr="00882F11">
        <w:rPr>
          <w:rFonts w:cs="Guttman Drogolin" w:hint="cs"/>
          <w:rtl/>
          <w:lang w:bidi="he-IL"/>
        </w:rPr>
        <w:t>שהכלל</w:t>
      </w:r>
      <w:r w:rsidRPr="00882F11">
        <w:rPr>
          <w:rFonts w:cs="Guttman Drogolin"/>
          <w:rtl/>
          <w:lang w:bidi="he-IL"/>
        </w:rPr>
        <w:t xml:space="preserve"> </w:t>
      </w:r>
      <w:r w:rsidRPr="00882F11">
        <w:rPr>
          <w:rFonts w:cs="Guttman Drogolin" w:hint="cs"/>
          <w:rtl/>
          <w:lang w:bidi="he-IL"/>
        </w:rPr>
        <w:t>ד'שאני</w:t>
      </w:r>
      <w:r w:rsidRPr="00882F11">
        <w:rPr>
          <w:rFonts w:cs="Guttman Drogolin"/>
          <w:rtl/>
          <w:lang w:bidi="he-IL"/>
        </w:rPr>
        <w:t xml:space="preserve"> </w:t>
      </w:r>
      <w:r w:rsidRPr="00882F11">
        <w:rPr>
          <w:rFonts w:cs="Guttman Drogolin" w:hint="cs"/>
          <w:rtl/>
          <w:lang w:bidi="he-IL"/>
        </w:rPr>
        <w:t>אומר'</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אמרינן</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יש</w:t>
      </w:r>
      <w:r w:rsidRPr="00882F11">
        <w:rPr>
          <w:rFonts w:cs="Guttman Drogolin"/>
          <w:rtl/>
          <w:lang w:bidi="he-IL"/>
        </w:rPr>
        <w:t xml:space="preserve"> </w:t>
      </w:r>
      <w:r w:rsidRPr="00882F11">
        <w:rPr>
          <w:rFonts w:cs="Guttman Drogolin" w:hint="cs"/>
          <w:rtl/>
          <w:lang w:bidi="he-IL"/>
        </w:rPr>
        <w:t>כאן</w:t>
      </w:r>
      <w:r w:rsidRPr="00882F11">
        <w:rPr>
          <w:rFonts w:cs="Guttman Drogolin"/>
          <w:rtl/>
          <w:lang w:bidi="he-IL"/>
        </w:rPr>
        <w:t xml:space="preserve"> </w:t>
      </w:r>
      <w:r w:rsidRPr="00882F11">
        <w:rPr>
          <w:rFonts w:cs="Guttman Drogolin" w:hint="cs"/>
          <w:rtl/>
          <w:lang w:bidi="he-IL"/>
        </w:rPr>
        <w:t>תרומה</w:t>
      </w:r>
      <w:r w:rsidRPr="00882F11">
        <w:rPr>
          <w:rFonts w:cs="Guttman Drogolin"/>
          <w:rtl/>
          <w:lang w:bidi="he-IL"/>
        </w:rPr>
        <w:t xml:space="preserve"> </w:t>
      </w:r>
      <w:r w:rsidRPr="00882F11">
        <w:rPr>
          <w:rFonts w:cs="Guttman Drogolin" w:hint="cs"/>
          <w:rtl/>
          <w:lang w:bidi="he-IL"/>
        </w:rPr>
        <w:t>דאורייתא</w:t>
      </w:r>
      <w:r w:rsidRPr="00882F11">
        <w:rPr>
          <w:rFonts w:cs="Guttman Drogolin"/>
          <w:rtl/>
          <w:lang w:bidi="he-IL"/>
        </w:rPr>
        <w:t xml:space="preserve">, </w:t>
      </w:r>
      <w:r w:rsidRPr="00882F11">
        <w:rPr>
          <w:rFonts w:cs="Guttman Drogolin" w:hint="cs"/>
          <w:rtl/>
          <w:lang w:bidi="he-IL"/>
        </w:rPr>
        <w:t>ולמ</w:t>
      </w:r>
      <w:r w:rsidRPr="00882F11">
        <w:rPr>
          <w:rFonts w:cs="Guttman Drogolin"/>
          <w:rtl/>
          <w:lang w:bidi="he-IL"/>
        </w:rPr>
        <w:t>"</w:t>
      </w:r>
      <w:r w:rsidRPr="00882F11">
        <w:rPr>
          <w:rFonts w:cs="Guttman Drogolin" w:hint="cs"/>
          <w:rtl/>
          <w:lang w:bidi="he-IL"/>
        </w:rPr>
        <w:t>ד</w:t>
      </w:r>
      <w:r w:rsidRPr="00882F11">
        <w:rPr>
          <w:rFonts w:cs="Guttman Drogolin"/>
          <w:rtl/>
          <w:lang w:bidi="he-IL"/>
        </w:rPr>
        <w:t xml:space="preserve"> </w:t>
      </w:r>
      <w:r w:rsidRPr="00882F11">
        <w:rPr>
          <w:rFonts w:cs="Guttman Drogolin" w:hint="cs"/>
          <w:rtl/>
          <w:lang w:bidi="he-IL"/>
        </w:rPr>
        <w:t>כזית</w:t>
      </w:r>
      <w:r w:rsidRPr="00882F11">
        <w:rPr>
          <w:rFonts w:cs="Guttman Drogolin"/>
          <w:rtl/>
          <w:lang w:bidi="he-IL"/>
        </w:rPr>
        <w:t xml:space="preserve"> </w:t>
      </w:r>
      <w:r w:rsidRPr="00882F11">
        <w:rPr>
          <w:rFonts w:cs="Guttman Drogolin" w:hint="cs"/>
          <w:rtl/>
          <w:lang w:bidi="he-IL"/>
        </w:rPr>
        <w:t>בכדי</w:t>
      </w:r>
      <w:r w:rsidRPr="00882F11">
        <w:rPr>
          <w:rFonts w:cs="Guttman Drogolin"/>
          <w:rtl/>
          <w:lang w:bidi="he-IL"/>
        </w:rPr>
        <w:t xml:space="preserve"> </w:t>
      </w:r>
      <w:r w:rsidRPr="00882F11">
        <w:rPr>
          <w:rFonts w:cs="Guttman Drogolin" w:hint="cs"/>
          <w:rtl/>
          <w:lang w:bidi="he-IL"/>
        </w:rPr>
        <w:t>אכילת</w:t>
      </w:r>
      <w:r w:rsidRPr="00882F11">
        <w:rPr>
          <w:rFonts w:cs="Guttman Drogolin"/>
          <w:rtl/>
          <w:lang w:bidi="he-IL"/>
        </w:rPr>
        <w:t xml:space="preserve"> </w:t>
      </w:r>
      <w:r w:rsidRPr="00882F11">
        <w:rPr>
          <w:rFonts w:cs="Guttman Drogolin" w:hint="cs"/>
          <w:rtl/>
          <w:lang w:bidi="he-IL"/>
        </w:rPr>
        <w:t>פרס</w:t>
      </w:r>
      <w:r w:rsidRPr="00882F11">
        <w:rPr>
          <w:rFonts w:cs="Guttman Drogolin"/>
          <w:rtl/>
          <w:lang w:bidi="he-IL"/>
        </w:rPr>
        <w:t xml:space="preserve"> </w:t>
      </w:r>
      <w:r w:rsidRPr="00882F11">
        <w:rPr>
          <w:rFonts w:cs="Guttman Drogolin" w:hint="cs"/>
          <w:rtl/>
          <w:lang w:bidi="he-IL"/>
        </w:rPr>
        <w:t>דאורייתא</w:t>
      </w:r>
      <w:r w:rsidRPr="00882F11">
        <w:rPr>
          <w:rFonts w:cs="Guttman Drogolin"/>
          <w:rtl/>
          <w:lang w:bidi="he-IL"/>
        </w:rPr>
        <w:t xml:space="preserve"> </w:t>
      </w:r>
      <w:r w:rsidRPr="00882F11">
        <w:rPr>
          <w:rFonts w:cs="Guttman Drogolin" w:hint="cs"/>
          <w:rtl/>
          <w:lang w:bidi="he-IL"/>
        </w:rPr>
        <w:t>הרי</w:t>
      </w:r>
      <w:r w:rsidRPr="00882F11">
        <w:rPr>
          <w:rFonts w:cs="Guttman Drogolin"/>
          <w:rtl/>
          <w:lang w:bidi="he-IL"/>
        </w:rPr>
        <w:t xml:space="preserve"> </w:t>
      </w:r>
      <w:r w:rsidRPr="00882F11">
        <w:rPr>
          <w:rFonts w:cs="Guttman Drogolin" w:hint="cs"/>
          <w:rtl/>
          <w:lang w:bidi="he-IL"/>
        </w:rPr>
        <w:t>יש</w:t>
      </w:r>
      <w:r w:rsidRPr="00882F11">
        <w:rPr>
          <w:rFonts w:cs="Guttman Drogolin"/>
          <w:rtl/>
          <w:lang w:bidi="he-IL"/>
        </w:rPr>
        <w:t xml:space="preserve"> </w:t>
      </w:r>
      <w:r w:rsidRPr="00882F11">
        <w:rPr>
          <w:rFonts w:cs="Guttman Drogolin" w:hint="cs"/>
          <w:rtl/>
          <w:lang w:bidi="he-IL"/>
        </w:rPr>
        <w:t>כאן</w:t>
      </w:r>
      <w:r w:rsidRPr="00882F11">
        <w:rPr>
          <w:rFonts w:cs="Guttman Drogolin"/>
          <w:rtl/>
          <w:lang w:bidi="he-IL"/>
        </w:rPr>
        <w:t xml:space="preserve"> </w:t>
      </w:r>
      <w:r w:rsidRPr="00882F11">
        <w:rPr>
          <w:rFonts w:cs="Guttman Drogolin" w:hint="cs"/>
          <w:rtl/>
          <w:lang w:bidi="he-IL"/>
        </w:rPr>
        <w:t>כאן</w:t>
      </w:r>
      <w:r w:rsidRPr="00882F11">
        <w:rPr>
          <w:rFonts w:cs="Guttman Drogolin"/>
          <w:rtl/>
          <w:lang w:bidi="he-IL"/>
        </w:rPr>
        <w:t xml:space="preserve"> </w:t>
      </w:r>
      <w:r w:rsidRPr="00882F11">
        <w:rPr>
          <w:rFonts w:cs="Guttman Drogolin" w:hint="cs"/>
          <w:rtl/>
          <w:lang w:bidi="he-IL"/>
        </w:rPr>
        <w:t>תרומה</w:t>
      </w:r>
      <w:r w:rsidRPr="00882F11">
        <w:rPr>
          <w:rFonts w:cs="Guttman Drogolin"/>
          <w:rtl/>
          <w:lang w:bidi="he-IL"/>
        </w:rPr>
        <w:t xml:space="preserve"> </w:t>
      </w:r>
      <w:r w:rsidRPr="00882F11">
        <w:rPr>
          <w:rFonts w:cs="Guttman Drogolin" w:hint="cs"/>
          <w:rtl/>
          <w:lang w:bidi="he-IL"/>
        </w:rPr>
        <w:t>גמורה</w:t>
      </w:r>
      <w:r w:rsidRPr="00882F11">
        <w:rPr>
          <w:rFonts w:cs="Guttman Drogolin"/>
          <w:rtl/>
          <w:lang w:bidi="he-IL"/>
        </w:rPr>
        <w:t xml:space="preserve"> </w:t>
      </w:r>
      <w:r w:rsidRPr="00882F11">
        <w:rPr>
          <w:rFonts w:cs="Guttman Drogolin" w:hint="cs"/>
          <w:rtl/>
          <w:lang w:bidi="he-IL"/>
        </w:rPr>
        <w:t>מדאורייתא</w:t>
      </w:r>
      <w:r w:rsidRPr="00882F11">
        <w:rPr>
          <w:rFonts w:cs="Guttman Drogolin"/>
          <w:rtl/>
          <w:lang w:bidi="he-IL"/>
        </w:rPr>
        <w:t xml:space="preserve"> </w:t>
      </w:r>
      <w:r w:rsidRPr="00882F11">
        <w:rPr>
          <w:rFonts w:cs="Guttman Drogolin" w:hint="cs"/>
          <w:rtl/>
          <w:lang w:bidi="he-IL"/>
        </w:rPr>
        <w:t>ולמה</w:t>
      </w:r>
      <w:r w:rsidRPr="00882F11">
        <w:rPr>
          <w:rFonts w:cs="Guttman Drogolin"/>
          <w:rtl/>
          <w:lang w:bidi="he-IL"/>
        </w:rPr>
        <w:t xml:space="preserve"> </w:t>
      </w:r>
      <w:r w:rsidRPr="00882F11">
        <w:rPr>
          <w:rFonts w:cs="Guttman Drogolin" w:hint="cs"/>
          <w:rtl/>
          <w:lang w:bidi="he-IL"/>
        </w:rPr>
        <w:t>אמרינן</w:t>
      </w:r>
      <w:r w:rsidRPr="00882F11">
        <w:rPr>
          <w:rFonts w:cs="Guttman Drogolin"/>
          <w:rtl/>
          <w:lang w:bidi="he-IL"/>
        </w:rPr>
        <w:t xml:space="preserve"> </w:t>
      </w:r>
      <w:r w:rsidRPr="00882F11">
        <w:rPr>
          <w:rFonts w:cs="Guttman Drogolin" w:hint="cs"/>
          <w:rtl/>
          <w:lang w:bidi="he-IL"/>
        </w:rPr>
        <w:t>שאני</w:t>
      </w:r>
      <w:r w:rsidRPr="00882F11">
        <w:rPr>
          <w:rFonts w:cs="Guttman Drogolin"/>
          <w:rtl/>
          <w:lang w:bidi="he-IL"/>
        </w:rPr>
        <w:t xml:space="preserve"> </w:t>
      </w:r>
      <w:r w:rsidRPr="00882F11">
        <w:rPr>
          <w:rFonts w:cs="Guttman Drogolin" w:hint="cs"/>
          <w:rtl/>
          <w:lang w:bidi="he-IL"/>
        </w:rPr>
        <w:t>אומר</w:t>
      </w:r>
      <w:r w:rsidRPr="00882F11">
        <w:rPr>
          <w:rFonts w:cs="Guttman Drogolin"/>
          <w:rtl/>
          <w:lang w:bidi="he-IL"/>
        </w:rPr>
        <w:t>.</w:t>
      </w:r>
    </w:p>
    <w:p w:rsidR="006A5119" w:rsidRPr="00882F11" w:rsidRDefault="00E84BEF" w:rsidP="001727E9">
      <w:pPr>
        <w:tabs>
          <w:tab w:val="left" w:pos="1183"/>
        </w:tabs>
        <w:bidi/>
        <w:jc w:val="both"/>
        <w:rPr>
          <w:rFonts w:cs="Guttman Drogolin"/>
          <w:rtl/>
          <w:lang w:bidi="he-IL"/>
        </w:rPr>
      </w:pPr>
      <w:r w:rsidRPr="00882F11">
        <w:rPr>
          <w:rFonts w:cs="Guttman Drogolin" w:hint="cs"/>
          <w:rtl/>
          <w:lang w:bidi="he-IL"/>
        </w:rPr>
        <w:t xml:space="preserve">והנה כאן כמו בכל הסוגיא צריך להיות </w:t>
      </w:r>
      <w:r w:rsidR="001727E9">
        <w:rPr>
          <w:rFonts w:cs="Guttman Drogolin" w:hint="cs"/>
          <w:rtl/>
          <w:lang w:bidi="he-IL"/>
        </w:rPr>
        <w:t>ש</w:t>
      </w:r>
      <w:r w:rsidRPr="00882F11">
        <w:rPr>
          <w:rFonts w:cs="Guttman Drogolin" w:hint="cs"/>
          <w:rtl/>
          <w:lang w:bidi="he-IL"/>
        </w:rPr>
        <w:t>מצד א' אין האיסור בטל, ומצד שני לא יכול להיות שהוא חייב משום דינא ד</w:t>
      </w:r>
      <w:r w:rsidR="00BF430F" w:rsidRPr="00882F11">
        <w:rPr>
          <w:rFonts w:cs="Guttman Drogolin" w:hint="cs"/>
          <w:rtl/>
          <w:lang w:bidi="he-IL"/>
        </w:rPr>
        <w:t>טעם כעיקר</w:t>
      </w:r>
      <w:r w:rsidRPr="00882F11">
        <w:rPr>
          <w:rFonts w:cs="Guttman Drogolin" w:hint="cs"/>
          <w:rtl/>
          <w:lang w:bidi="he-IL"/>
        </w:rPr>
        <w:t xml:space="preserve">, דא"כ למה לי </w:t>
      </w:r>
      <w:r w:rsidR="00E91626" w:rsidRPr="00882F11">
        <w:rPr>
          <w:rFonts w:cs="Guttman Drogolin" w:hint="cs"/>
          <w:rtl/>
          <w:lang w:bidi="he-IL"/>
        </w:rPr>
        <w:t>היתר מצטרף לאיסור</w:t>
      </w:r>
      <w:r w:rsidRPr="00882F11">
        <w:rPr>
          <w:rFonts w:cs="Guttman Drogolin" w:hint="cs"/>
          <w:rtl/>
          <w:lang w:bidi="he-IL"/>
        </w:rPr>
        <w:t xml:space="preserve"> או כזית </w:t>
      </w:r>
      <w:r w:rsidR="00E91626" w:rsidRPr="00882F11">
        <w:rPr>
          <w:rFonts w:cs="Guttman Drogolin" w:hint="cs"/>
          <w:rtl/>
          <w:lang w:bidi="he-IL"/>
        </w:rPr>
        <w:t>בכדי אכילת פרס</w:t>
      </w:r>
      <w:r w:rsidRPr="00882F11">
        <w:rPr>
          <w:rFonts w:cs="Guttman Drogolin" w:hint="cs"/>
          <w:rtl/>
          <w:lang w:bidi="he-IL"/>
        </w:rPr>
        <w:t xml:space="preserve"> דאורייתא, תיפו"ל משום ד</w:t>
      </w:r>
      <w:r w:rsidR="00BF430F" w:rsidRPr="00882F11">
        <w:rPr>
          <w:rFonts w:cs="Guttman Drogolin" w:hint="cs"/>
          <w:rtl/>
          <w:lang w:bidi="he-IL"/>
        </w:rPr>
        <w:t>טעם כעיקר</w:t>
      </w:r>
      <w:r w:rsidRPr="00882F11">
        <w:rPr>
          <w:rFonts w:cs="Guttman Drogolin" w:hint="cs"/>
          <w:rtl/>
          <w:lang w:bidi="he-IL"/>
        </w:rPr>
        <w:t xml:space="preserve">. ולעיל </w:t>
      </w:r>
      <w:r w:rsidR="00F96D29" w:rsidRPr="00882F11">
        <w:rPr>
          <w:rFonts w:cs="Guttman Drogolin" w:hint="cs"/>
          <w:rtl/>
          <w:lang w:bidi="he-IL"/>
        </w:rPr>
        <w:t>בסוגיא ד</w:t>
      </w:r>
      <w:r w:rsidR="006A5119" w:rsidRPr="00882F11">
        <w:rPr>
          <w:rFonts w:cs="Guttman Drogolin" w:hint="cs"/>
          <w:rtl/>
          <w:lang w:bidi="he-IL"/>
        </w:rPr>
        <w:t xml:space="preserve">מקפה </w:t>
      </w:r>
      <w:r w:rsidRPr="00882F11">
        <w:rPr>
          <w:rFonts w:cs="Guttman Drogolin" w:hint="cs"/>
          <w:rtl/>
          <w:lang w:bidi="he-IL"/>
        </w:rPr>
        <w:t xml:space="preserve">מתבאר כמה מהלכים </w:t>
      </w:r>
      <w:r w:rsidR="006A5119" w:rsidRPr="00882F11">
        <w:rPr>
          <w:rFonts w:cs="Guttman Drogolin" w:hint="cs"/>
          <w:rtl/>
          <w:lang w:bidi="he-IL"/>
        </w:rPr>
        <w:t>למה אין התרומה בטילה מדאורייתא</w:t>
      </w:r>
      <w:r w:rsidRPr="00882F11">
        <w:rPr>
          <w:rFonts w:cs="Guttman Drogolin" w:hint="cs"/>
          <w:rtl/>
          <w:lang w:bidi="he-IL"/>
        </w:rPr>
        <w:t>. רש"י ביאר שהתרומה שבמקפה אינה בט</w:t>
      </w:r>
      <w:r w:rsidR="001727E9">
        <w:rPr>
          <w:rFonts w:cs="Guttman Drogolin" w:hint="cs"/>
          <w:rtl/>
          <w:lang w:bidi="he-IL"/>
        </w:rPr>
        <w:t>י</w:t>
      </w:r>
      <w:r w:rsidRPr="00882F11">
        <w:rPr>
          <w:rFonts w:cs="Guttman Drogolin" w:hint="cs"/>
          <w:rtl/>
          <w:lang w:bidi="he-IL"/>
        </w:rPr>
        <w:t>לה משום שדימוע דאורייתא</w:t>
      </w:r>
      <w:r w:rsidR="006A5119" w:rsidRPr="00882F11">
        <w:rPr>
          <w:rFonts w:cs="Guttman Drogolin" w:hint="cs"/>
          <w:rtl/>
          <w:lang w:bidi="he-IL"/>
        </w:rPr>
        <w:t xml:space="preserve">. </w:t>
      </w:r>
      <w:r w:rsidRPr="00882F11">
        <w:rPr>
          <w:rFonts w:cs="Guttman Drogolin" w:hint="cs"/>
          <w:rtl/>
          <w:lang w:bidi="he-IL"/>
        </w:rPr>
        <w:t>והבאנו ב' ביאורים בשיטת רש"י, או משום שבאמת יש כלל שאפילו מדאורייתא אין תרומה בטילה ברוב, שדיני מדומע אליבא דרש"י הם דינים דאורייתא</w:t>
      </w:r>
      <w:r w:rsidR="006A5119" w:rsidRPr="00882F11">
        <w:rPr>
          <w:rFonts w:cs="Guttman Drogolin" w:hint="cs"/>
          <w:rtl/>
          <w:lang w:bidi="he-IL"/>
        </w:rPr>
        <w:t xml:space="preserve">, אבל מ"מ לא הי' לוקה אא"כ </w:t>
      </w:r>
      <w:r w:rsidR="00E91626" w:rsidRPr="00882F11">
        <w:rPr>
          <w:rFonts w:cs="Guttman Drogolin" w:hint="cs"/>
          <w:rtl/>
          <w:lang w:bidi="he-IL"/>
        </w:rPr>
        <w:t>היתר מצטרף לאיסור</w:t>
      </w:r>
      <w:r w:rsidR="006A5119" w:rsidRPr="00882F11">
        <w:rPr>
          <w:rFonts w:cs="Guttman Drogolin" w:hint="cs"/>
          <w:rtl/>
          <w:lang w:bidi="he-IL"/>
        </w:rPr>
        <w:t xml:space="preserve"> או </w:t>
      </w:r>
      <w:r w:rsidR="00E91626" w:rsidRPr="00882F11">
        <w:rPr>
          <w:rFonts w:cs="Guttman Drogolin" w:hint="cs"/>
          <w:rtl/>
          <w:lang w:bidi="he-IL"/>
        </w:rPr>
        <w:t>כזית בכדי אכילת פרס דאור</w:t>
      </w:r>
      <w:r w:rsidR="009C586C" w:rsidRPr="00882F11">
        <w:rPr>
          <w:rFonts w:cs="Guttman Drogolin" w:hint="cs"/>
          <w:rtl/>
          <w:lang w:bidi="he-IL"/>
        </w:rPr>
        <w:t>יי</w:t>
      </w:r>
      <w:r w:rsidR="00E91626" w:rsidRPr="00882F11">
        <w:rPr>
          <w:rFonts w:cs="Guttman Drogolin" w:hint="cs"/>
          <w:rtl/>
          <w:lang w:bidi="he-IL"/>
        </w:rPr>
        <w:t>תא</w:t>
      </w:r>
      <w:r w:rsidR="006A5119" w:rsidRPr="00882F11">
        <w:rPr>
          <w:rFonts w:cs="Guttman Drogolin" w:hint="cs"/>
          <w:rtl/>
          <w:lang w:bidi="he-IL"/>
        </w:rPr>
        <w:t>.</w:t>
      </w:r>
      <w:r w:rsidRPr="00882F11">
        <w:rPr>
          <w:rFonts w:cs="Guttman Drogolin" w:hint="cs"/>
          <w:rtl/>
          <w:lang w:bidi="he-IL"/>
        </w:rPr>
        <w:t xml:space="preserve"> או"ד שאין דין מדאורייתא שאין תרומה בטלה (עכ"פ במין בשאינו מינו)</w:t>
      </w:r>
      <w:r w:rsidR="006A5119" w:rsidRPr="00882F11">
        <w:rPr>
          <w:rFonts w:cs="Guttman Drogolin" w:hint="cs"/>
          <w:rtl/>
          <w:lang w:bidi="he-IL"/>
        </w:rPr>
        <w:t>, וכוונת הגמ' דמשום דינא ד</w:t>
      </w:r>
      <w:r w:rsidR="00E91626" w:rsidRPr="00882F11">
        <w:rPr>
          <w:rFonts w:cs="Guttman Drogolin" w:hint="cs"/>
          <w:rtl/>
          <w:lang w:bidi="he-IL"/>
        </w:rPr>
        <w:t>היתר מצטרף לאיסור</w:t>
      </w:r>
      <w:r w:rsidR="006A5119" w:rsidRPr="00882F11">
        <w:rPr>
          <w:rFonts w:cs="Guttman Drogolin" w:hint="cs"/>
          <w:rtl/>
          <w:lang w:bidi="he-IL"/>
        </w:rPr>
        <w:t xml:space="preserve"> א"נ כזית </w:t>
      </w:r>
      <w:r w:rsidR="00E91626" w:rsidRPr="00882F11">
        <w:rPr>
          <w:rFonts w:cs="Guttman Drogolin" w:hint="cs"/>
          <w:rtl/>
          <w:lang w:bidi="he-IL"/>
        </w:rPr>
        <w:t>בכדי אכילת פרס</w:t>
      </w:r>
      <w:r w:rsidR="006A5119" w:rsidRPr="00882F11">
        <w:rPr>
          <w:rFonts w:cs="Guttman Drogolin" w:hint="cs"/>
          <w:rtl/>
          <w:lang w:bidi="he-IL"/>
        </w:rPr>
        <w:t xml:space="preserve"> דאורייתא אמרינן שאינו בטל</w:t>
      </w:r>
      <w:r w:rsidR="00206027" w:rsidRPr="00882F11">
        <w:rPr>
          <w:rStyle w:val="FootnoteReference"/>
          <w:rFonts w:cs="Guttman Drogolin"/>
          <w:rtl/>
          <w:lang w:bidi="he-IL"/>
        </w:rPr>
        <w:footnoteReference w:id="26"/>
      </w:r>
      <w:r w:rsidR="006A5119" w:rsidRPr="00882F11">
        <w:rPr>
          <w:rFonts w:cs="Guttman Drogolin" w:hint="cs"/>
          <w:rtl/>
          <w:lang w:bidi="he-IL"/>
        </w:rPr>
        <w:t xml:space="preserve">. ולענין </w:t>
      </w:r>
      <w:r w:rsidR="00BF430F" w:rsidRPr="00882F11">
        <w:rPr>
          <w:rFonts w:cs="Guttman Drogolin" w:hint="cs"/>
          <w:rtl/>
          <w:lang w:bidi="he-IL"/>
        </w:rPr>
        <w:t>טעם כעיקר</w:t>
      </w:r>
      <w:r w:rsidR="006A5119" w:rsidRPr="00882F11">
        <w:rPr>
          <w:rFonts w:cs="Guttman Drogolin" w:hint="cs"/>
          <w:rtl/>
          <w:lang w:bidi="he-IL"/>
        </w:rPr>
        <w:t xml:space="preserve"> ביארנו בשם הנחל"ד לשיטת רש"י דסבר שאם </w:t>
      </w:r>
      <w:r w:rsidR="00BF430F" w:rsidRPr="00882F11">
        <w:rPr>
          <w:rFonts w:cs="Guttman Drogolin" w:hint="cs"/>
          <w:rtl/>
          <w:lang w:bidi="he-IL"/>
        </w:rPr>
        <w:t>טעם כעיקר</w:t>
      </w:r>
      <w:r w:rsidR="006A5119" w:rsidRPr="00882F11">
        <w:rPr>
          <w:rFonts w:cs="Guttman Drogolin" w:hint="cs"/>
          <w:rtl/>
          <w:lang w:bidi="he-IL"/>
        </w:rPr>
        <w:t xml:space="preserve"> מדאורייתא נהפך האיסור להיות היתר דע"כ הסוגיא עדיין לא ידעה הדין של </w:t>
      </w:r>
      <w:r w:rsidR="00BF430F" w:rsidRPr="00882F11">
        <w:rPr>
          <w:rFonts w:cs="Guttman Drogolin" w:hint="cs"/>
          <w:rtl/>
          <w:lang w:bidi="he-IL"/>
        </w:rPr>
        <w:t>טעם כעיקר</w:t>
      </w:r>
      <w:r w:rsidR="006A5119" w:rsidRPr="00882F11">
        <w:rPr>
          <w:rFonts w:cs="Guttman Drogolin" w:hint="cs"/>
          <w:rtl/>
          <w:lang w:bidi="he-IL"/>
        </w:rPr>
        <w:t>. ולאלו הס</w:t>
      </w:r>
      <w:r w:rsidR="00F96D29" w:rsidRPr="00882F11">
        <w:rPr>
          <w:rFonts w:cs="Guttman Drogolin" w:hint="cs"/>
          <w:rtl/>
          <w:lang w:bidi="he-IL"/>
        </w:rPr>
        <w:t>ו</w:t>
      </w:r>
      <w:r w:rsidR="006A5119" w:rsidRPr="00882F11">
        <w:rPr>
          <w:rFonts w:cs="Guttman Drogolin" w:hint="cs"/>
          <w:rtl/>
          <w:lang w:bidi="he-IL"/>
        </w:rPr>
        <w:t xml:space="preserve">ברים שאינו לוקה משום דין </w:t>
      </w:r>
      <w:r w:rsidR="00BF430F" w:rsidRPr="00882F11">
        <w:rPr>
          <w:rFonts w:cs="Guttman Drogolin" w:hint="cs"/>
          <w:rtl/>
          <w:lang w:bidi="he-IL"/>
        </w:rPr>
        <w:t>טעם כעיקר</w:t>
      </w:r>
      <w:r w:rsidR="006A5119" w:rsidRPr="00882F11">
        <w:rPr>
          <w:rFonts w:cs="Guttman Drogolin" w:hint="cs"/>
          <w:rtl/>
          <w:lang w:bidi="he-IL"/>
        </w:rPr>
        <w:t xml:space="preserve"> הא שפיר י"ל ד</w:t>
      </w:r>
      <w:r w:rsidR="00BF430F" w:rsidRPr="00882F11">
        <w:rPr>
          <w:rFonts w:cs="Guttman Drogolin" w:hint="cs"/>
          <w:rtl/>
          <w:lang w:bidi="he-IL"/>
        </w:rPr>
        <w:t>טעם כעיקר</w:t>
      </w:r>
      <w:r w:rsidR="00A53BF0" w:rsidRPr="00882F11">
        <w:rPr>
          <w:rFonts w:cs="Guttman Drogolin" w:hint="cs"/>
          <w:rtl/>
          <w:lang w:bidi="he-IL"/>
        </w:rPr>
        <w:t xml:space="preserve"> אבל מ"מ אינו לוק</w:t>
      </w:r>
      <w:r w:rsidR="006A5119" w:rsidRPr="00882F11">
        <w:rPr>
          <w:rFonts w:cs="Guttman Drogolin" w:hint="cs"/>
          <w:rtl/>
          <w:lang w:bidi="he-IL"/>
        </w:rPr>
        <w:t xml:space="preserve">ה אא"כ </w:t>
      </w:r>
      <w:r w:rsidR="00E91626" w:rsidRPr="00882F11">
        <w:rPr>
          <w:rFonts w:cs="Guttman Drogolin" w:hint="cs"/>
          <w:rtl/>
          <w:lang w:bidi="he-IL"/>
        </w:rPr>
        <w:t xml:space="preserve">היתר מצטרף </w:t>
      </w:r>
      <w:r w:rsidR="00E91626" w:rsidRPr="00882F11">
        <w:rPr>
          <w:rFonts w:cs="Guttman Drogolin" w:hint="cs"/>
          <w:rtl/>
          <w:lang w:bidi="he-IL"/>
        </w:rPr>
        <w:lastRenderedPageBreak/>
        <w:t>לאיסור</w:t>
      </w:r>
      <w:r w:rsidR="006A5119" w:rsidRPr="00882F11">
        <w:rPr>
          <w:rFonts w:cs="Guttman Drogolin" w:hint="cs"/>
          <w:rtl/>
          <w:lang w:bidi="he-IL"/>
        </w:rPr>
        <w:t xml:space="preserve"> או"ד </w:t>
      </w:r>
      <w:r w:rsidR="00E91626" w:rsidRPr="00882F11">
        <w:rPr>
          <w:rFonts w:cs="Guttman Drogolin" w:hint="cs"/>
          <w:rtl/>
          <w:lang w:bidi="he-IL"/>
        </w:rPr>
        <w:t>כזית בכדי אכילת פרס דאור</w:t>
      </w:r>
      <w:r w:rsidR="009C586C" w:rsidRPr="00882F11">
        <w:rPr>
          <w:rFonts w:cs="Guttman Drogolin" w:hint="cs"/>
          <w:rtl/>
          <w:lang w:bidi="he-IL"/>
        </w:rPr>
        <w:t>יי</w:t>
      </w:r>
      <w:r w:rsidR="00E91626" w:rsidRPr="00882F11">
        <w:rPr>
          <w:rFonts w:cs="Guttman Drogolin" w:hint="cs"/>
          <w:rtl/>
          <w:lang w:bidi="he-IL"/>
        </w:rPr>
        <w:t>תא</w:t>
      </w:r>
      <w:r w:rsidR="006A5119" w:rsidRPr="00882F11">
        <w:rPr>
          <w:rFonts w:cs="Guttman Drogolin" w:hint="cs"/>
          <w:rtl/>
          <w:lang w:bidi="he-IL"/>
        </w:rPr>
        <w:t xml:space="preserve">. ולשיטת התוס' הא התרומה בעין ולכן לא בטילה. </w:t>
      </w:r>
    </w:p>
    <w:p w:rsidR="00D80EE3" w:rsidRPr="00882F11" w:rsidRDefault="006A5119" w:rsidP="001727E9">
      <w:pPr>
        <w:tabs>
          <w:tab w:val="left" w:pos="1183"/>
        </w:tabs>
        <w:bidi/>
        <w:jc w:val="both"/>
        <w:rPr>
          <w:rFonts w:cs="Guttman Drogolin"/>
          <w:rtl/>
          <w:lang w:bidi="he-IL"/>
        </w:rPr>
      </w:pPr>
      <w:r w:rsidRPr="00882F11">
        <w:rPr>
          <w:rFonts w:cs="Guttman Drogolin" w:hint="cs"/>
          <w:rtl/>
          <w:lang w:bidi="he-IL"/>
        </w:rPr>
        <w:t xml:space="preserve">ומיני' יש לבאר הקושיא של הגמ' מב' מדוכות ומב' קופות. </w:t>
      </w:r>
      <w:r w:rsidR="00E84BEF" w:rsidRPr="00882F11">
        <w:rPr>
          <w:rFonts w:cs="Guttman Drogolin" w:hint="cs"/>
          <w:rtl/>
          <w:lang w:bidi="he-IL"/>
        </w:rPr>
        <w:t>ו</w:t>
      </w:r>
      <w:r w:rsidR="00043ABF" w:rsidRPr="00882F11">
        <w:rPr>
          <w:rFonts w:cs="Guttman Drogolin" w:hint="cs"/>
          <w:rtl/>
          <w:lang w:bidi="he-IL"/>
        </w:rPr>
        <w:t xml:space="preserve">הנה לפי הביאור הראשון בשיטת רש"י </w:t>
      </w:r>
      <w:r w:rsidR="00976EF8" w:rsidRPr="00882F11">
        <w:rPr>
          <w:rFonts w:cs="Guttman Drogolin" w:hint="cs"/>
          <w:rtl/>
          <w:lang w:bidi="he-IL"/>
        </w:rPr>
        <w:t>הקשו מבני החבורה שליט"א ש</w:t>
      </w:r>
      <w:r w:rsidR="00043ABF" w:rsidRPr="00882F11">
        <w:rPr>
          <w:rFonts w:cs="Guttman Drogolin" w:hint="cs"/>
          <w:rtl/>
          <w:lang w:bidi="he-IL"/>
        </w:rPr>
        <w:t>לכאורה קושיית הגמ' תמוה ביותר, דאיזה</w:t>
      </w:r>
      <w:r w:rsidR="00043ABF" w:rsidRPr="00882F11">
        <w:rPr>
          <w:rFonts w:cs="Guttman Drogolin"/>
          <w:rtl/>
          <w:lang w:bidi="he-IL"/>
        </w:rPr>
        <w:t xml:space="preserve"> </w:t>
      </w:r>
      <w:r w:rsidR="00043ABF" w:rsidRPr="00882F11">
        <w:rPr>
          <w:rFonts w:cs="Guttman Drogolin" w:hint="cs"/>
          <w:rtl/>
          <w:lang w:bidi="he-IL"/>
        </w:rPr>
        <w:t>קושיא</w:t>
      </w:r>
      <w:r w:rsidR="00043ABF" w:rsidRPr="00882F11">
        <w:rPr>
          <w:rFonts w:cs="Guttman Drogolin"/>
          <w:rtl/>
          <w:lang w:bidi="he-IL"/>
        </w:rPr>
        <w:t xml:space="preserve"> </w:t>
      </w:r>
      <w:r w:rsidR="00043ABF" w:rsidRPr="00882F11">
        <w:rPr>
          <w:rFonts w:cs="Guttman Drogolin" w:hint="cs"/>
          <w:rtl/>
          <w:lang w:bidi="he-IL"/>
        </w:rPr>
        <w:t>יש</w:t>
      </w:r>
      <w:r w:rsidR="00043ABF" w:rsidRPr="00882F11">
        <w:rPr>
          <w:rFonts w:cs="Guttman Drogolin"/>
          <w:rtl/>
          <w:lang w:bidi="he-IL"/>
        </w:rPr>
        <w:t xml:space="preserve"> </w:t>
      </w:r>
      <w:r w:rsidR="00043ABF" w:rsidRPr="00882F11">
        <w:rPr>
          <w:rFonts w:cs="Guttman Drogolin" w:hint="cs"/>
          <w:rtl/>
          <w:lang w:bidi="he-IL"/>
        </w:rPr>
        <w:t>מב</w:t>
      </w:r>
      <w:r w:rsidR="00043ABF" w:rsidRPr="00882F11">
        <w:rPr>
          <w:rFonts w:cs="Guttman Drogolin"/>
          <w:rtl/>
          <w:lang w:bidi="he-IL"/>
        </w:rPr>
        <w:t xml:space="preserve">' </w:t>
      </w:r>
      <w:r w:rsidR="00043ABF" w:rsidRPr="00882F11">
        <w:rPr>
          <w:rFonts w:cs="Guttman Drogolin" w:hint="cs"/>
          <w:rtl/>
          <w:lang w:bidi="he-IL"/>
        </w:rPr>
        <w:t>קופות</w:t>
      </w:r>
      <w:r w:rsidR="00043ABF" w:rsidRPr="00882F11">
        <w:rPr>
          <w:rFonts w:cs="Guttman Drogolin"/>
          <w:rtl/>
          <w:lang w:bidi="he-IL"/>
        </w:rPr>
        <w:t xml:space="preserve"> </w:t>
      </w:r>
      <w:r w:rsidR="00043ABF" w:rsidRPr="00882F11">
        <w:rPr>
          <w:rFonts w:cs="Guttman Drogolin" w:hint="cs"/>
          <w:rtl/>
          <w:lang w:bidi="he-IL"/>
        </w:rPr>
        <w:t>למ</w:t>
      </w:r>
      <w:r w:rsidR="00043ABF" w:rsidRPr="00882F11">
        <w:rPr>
          <w:rFonts w:cs="Guttman Drogolin"/>
          <w:rtl/>
          <w:lang w:bidi="he-IL"/>
        </w:rPr>
        <w:t>"</w:t>
      </w:r>
      <w:r w:rsidR="00043ABF" w:rsidRPr="00882F11">
        <w:rPr>
          <w:rFonts w:cs="Guttman Drogolin" w:hint="cs"/>
          <w:rtl/>
          <w:lang w:bidi="he-IL"/>
        </w:rPr>
        <w:t>ד</w:t>
      </w:r>
      <w:r w:rsidR="00043ABF" w:rsidRPr="00882F11">
        <w:rPr>
          <w:rFonts w:cs="Guttman Drogolin"/>
          <w:rtl/>
          <w:lang w:bidi="he-IL"/>
        </w:rPr>
        <w:t xml:space="preserve"> </w:t>
      </w:r>
      <w:r w:rsidR="00043ABF" w:rsidRPr="00882F11">
        <w:rPr>
          <w:rFonts w:cs="Guttman Drogolin" w:hint="cs"/>
          <w:rtl/>
          <w:lang w:bidi="he-IL"/>
        </w:rPr>
        <w:t>כזית</w:t>
      </w:r>
      <w:r w:rsidR="00043ABF" w:rsidRPr="00882F11">
        <w:rPr>
          <w:rFonts w:cs="Guttman Drogolin"/>
          <w:rtl/>
          <w:lang w:bidi="he-IL"/>
        </w:rPr>
        <w:t xml:space="preserve"> </w:t>
      </w:r>
      <w:r w:rsidR="00E91626" w:rsidRPr="00882F11">
        <w:rPr>
          <w:rFonts w:cs="Guttman Drogolin" w:hint="cs"/>
          <w:rtl/>
          <w:lang w:bidi="he-IL"/>
        </w:rPr>
        <w:t>בכדי אכילת פרס</w:t>
      </w:r>
      <w:r w:rsidR="00043ABF" w:rsidRPr="00882F11">
        <w:rPr>
          <w:rFonts w:cs="Guttman Drogolin"/>
          <w:rtl/>
          <w:lang w:bidi="he-IL"/>
        </w:rPr>
        <w:t xml:space="preserve"> </w:t>
      </w:r>
      <w:r w:rsidR="00043ABF" w:rsidRPr="00882F11">
        <w:rPr>
          <w:rFonts w:cs="Guttman Drogolin" w:hint="cs"/>
          <w:rtl/>
          <w:lang w:bidi="he-IL"/>
        </w:rPr>
        <w:t>דאורייתא</w:t>
      </w:r>
      <w:r w:rsidR="00043ABF" w:rsidRPr="00882F11">
        <w:rPr>
          <w:rFonts w:cs="Guttman Drogolin"/>
          <w:rtl/>
          <w:lang w:bidi="he-IL"/>
        </w:rPr>
        <w:t xml:space="preserve">, </w:t>
      </w:r>
      <w:r w:rsidR="00043ABF" w:rsidRPr="00882F11">
        <w:rPr>
          <w:rFonts w:cs="Guttman Drogolin" w:hint="cs"/>
          <w:rtl/>
          <w:lang w:bidi="he-IL"/>
        </w:rPr>
        <w:t>הא</w:t>
      </w:r>
      <w:r w:rsidR="00043ABF" w:rsidRPr="00882F11">
        <w:rPr>
          <w:rFonts w:cs="Guttman Drogolin"/>
          <w:rtl/>
          <w:lang w:bidi="he-IL"/>
        </w:rPr>
        <w:t xml:space="preserve"> </w:t>
      </w:r>
      <w:r w:rsidR="00043ABF" w:rsidRPr="00882F11">
        <w:rPr>
          <w:rFonts w:cs="Guttman Drogolin" w:hint="cs"/>
          <w:rtl/>
          <w:lang w:bidi="he-IL"/>
        </w:rPr>
        <w:t>אפילו</w:t>
      </w:r>
      <w:r w:rsidR="00043ABF" w:rsidRPr="00882F11">
        <w:rPr>
          <w:rFonts w:cs="Guttman Drogolin"/>
          <w:rtl/>
          <w:lang w:bidi="he-IL"/>
        </w:rPr>
        <w:t xml:space="preserve"> </w:t>
      </w:r>
      <w:r w:rsidR="00043ABF" w:rsidRPr="00882F11">
        <w:rPr>
          <w:rFonts w:cs="Guttman Drogolin" w:hint="cs"/>
          <w:rtl/>
          <w:lang w:bidi="he-IL"/>
        </w:rPr>
        <w:t>אם</w:t>
      </w:r>
      <w:r w:rsidR="00043ABF" w:rsidRPr="00882F11">
        <w:rPr>
          <w:rFonts w:cs="Guttman Drogolin"/>
          <w:rtl/>
          <w:lang w:bidi="he-IL"/>
        </w:rPr>
        <w:t xml:space="preserve"> </w:t>
      </w:r>
      <w:r w:rsidR="00043ABF" w:rsidRPr="00882F11">
        <w:rPr>
          <w:rFonts w:cs="Guttman Drogolin" w:hint="cs"/>
          <w:rtl/>
          <w:lang w:bidi="he-IL"/>
        </w:rPr>
        <w:t>כזית</w:t>
      </w:r>
      <w:r w:rsidR="00043ABF" w:rsidRPr="00882F11">
        <w:rPr>
          <w:rFonts w:cs="Guttman Drogolin"/>
          <w:rtl/>
          <w:lang w:bidi="he-IL"/>
        </w:rPr>
        <w:t xml:space="preserve"> </w:t>
      </w:r>
      <w:r w:rsidR="00E91626" w:rsidRPr="00882F11">
        <w:rPr>
          <w:rFonts w:cs="Guttman Drogolin" w:hint="cs"/>
          <w:rtl/>
          <w:lang w:bidi="he-IL"/>
        </w:rPr>
        <w:t>בכדי אכילת פרס</w:t>
      </w:r>
      <w:r w:rsidR="00043ABF" w:rsidRPr="00882F11">
        <w:rPr>
          <w:rFonts w:cs="Guttman Drogolin"/>
          <w:rtl/>
          <w:lang w:bidi="he-IL"/>
        </w:rPr>
        <w:t xml:space="preserve"> </w:t>
      </w:r>
      <w:r w:rsidR="00043ABF" w:rsidRPr="00882F11">
        <w:rPr>
          <w:rFonts w:cs="Guttman Drogolin" w:hint="cs"/>
          <w:rtl/>
          <w:lang w:bidi="he-IL"/>
        </w:rPr>
        <w:t>לאו</w:t>
      </w:r>
      <w:r w:rsidR="00043ABF" w:rsidRPr="00882F11">
        <w:rPr>
          <w:rFonts w:cs="Guttman Drogolin"/>
          <w:rtl/>
          <w:lang w:bidi="he-IL"/>
        </w:rPr>
        <w:t xml:space="preserve"> </w:t>
      </w:r>
      <w:r w:rsidR="00043ABF" w:rsidRPr="00882F11">
        <w:rPr>
          <w:rFonts w:cs="Guttman Drogolin" w:hint="cs"/>
          <w:rtl/>
          <w:lang w:bidi="he-IL"/>
        </w:rPr>
        <w:t>דאורייתא,</w:t>
      </w:r>
      <w:r w:rsidR="00043ABF" w:rsidRPr="00882F11">
        <w:rPr>
          <w:rFonts w:cs="Guttman Drogolin"/>
          <w:rtl/>
          <w:lang w:bidi="he-IL"/>
        </w:rPr>
        <w:t xml:space="preserve"> </w:t>
      </w:r>
      <w:r w:rsidR="00043ABF" w:rsidRPr="00882F11">
        <w:rPr>
          <w:rFonts w:cs="Guttman Drogolin" w:hint="cs"/>
          <w:rtl/>
          <w:lang w:bidi="he-IL"/>
        </w:rPr>
        <w:t>תיפו</w:t>
      </w:r>
      <w:r w:rsidR="00043ABF" w:rsidRPr="00882F11">
        <w:rPr>
          <w:rFonts w:cs="Guttman Drogolin"/>
          <w:rtl/>
          <w:lang w:bidi="he-IL"/>
        </w:rPr>
        <w:t>"</w:t>
      </w:r>
      <w:r w:rsidR="00043ABF" w:rsidRPr="00882F11">
        <w:rPr>
          <w:rFonts w:cs="Guttman Drogolin" w:hint="cs"/>
          <w:rtl/>
          <w:lang w:bidi="he-IL"/>
        </w:rPr>
        <w:t>ל</w:t>
      </w:r>
      <w:r w:rsidR="00043ABF" w:rsidRPr="00882F11">
        <w:rPr>
          <w:rFonts w:cs="Guttman Drogolin"/>
          <w:rtl/>
          <w:lang w:bidi="he-IL"/>
        </w:rPr>
        <w:t xml:space="preserve"> </w:t>
      </w:r>
      <w:r w:rsidR="00043ABF" w:rsidRPr="00882F11">
        <w:rPr>
          <w:rFonts w:cs="Guttman Drogolin" w:hint="cs"/>
          <w:rtl/>
          <w:lang w:bidi="he-IL"/>
        </w:rPr>
        <w:t>משום</w:t>
      </w:r>
      <w:r w:rsidR="00043ABF" w:rsidRPr="00882F11">
        <w:rPr>
          <w:rFonts w:cs="Guttman Drogolin"/>
          <w:rtl/>
          <w:lang w:bidi="he-IL"/>
        </w:rPr>
        <w:t xml:space="preserve"> </w:t>
      </w:r>
      <w:r w:rsidR="00043ABF" w:rsidRPr="00882F11">
        <w:rPr>
          <w:rFonts w:cs="Guttman Drogolin" w:hint="cs"/>
          <w:rtl/>
          <w:lang w:bidi="he-IL"/>
        </w:rPr>
        <w:t>שדימוע</w:t>
      </w:r>
      <w:r w:rsidR="00043ABF" w:rsidRPr="00882F11">
        <w:rPr>
          <w:rFonts w:cs="Guttman Drogolin"/>
          <w:rtl/>
          <w:lang w:bidi="he-IL"/>
        </w:rPr>
        <w:t xml:space="preserve"> </w:t>
      </w:r>
      <w:r w:rsidR="00043ABF" w:rsidRPr="00882F11">
        <w:rPr>
          <w:rFonts w:cs="Guttman Drogolin" w:hint="cs"/>
          <w:rtl/>
          <w:lang w:bidi="he-IL"/>
        </w:rPr>
        <w:t>דאורייתא, וכיון שדינא דאורייתא הוא אי אפשר לומר 'שאני אומר'</w:t>
      </w:r>
      <w:r w:rsidR="00043ABF" w:rsidRPr="00882F11">
        <w:rPr>
          <w:rFonts w:cs="Guttman Drogolin"/>
          <w:rtl/>
          <w:lang w:bidi="he-IL"/>
        </w:rPr>
        <w:t xml:space="preserve">. </w:t>
      </w:r>
      <w:r w:rsidR="00043ABF" w:rsidRPr="00882F11">
        <w:rPr>
          <w:rFonts w:cs="Guttman Drogolin" w:hint="cs"/>
          <w:rtl/>
          <w:lang w:bidi="he-IL"/>
        </w:rPr>
        <w:t>ומפורש</w:t>
      </w:r>
      <w:r w:rsidR="00043ABF" w:rsidRPr="00882F11">
        <w:rPr>
          <w:rFonts w:cs="Guttman Drogolin"/>
          <w:rtl/>
          <w:lang w:bidi="he-IL"/>
        </w:rPr>
        <w:t xml:space="preserve"> </w:t>
      </w:r>
      <w:r w:rsidR="00043ABF" w:rsidRPr="00882F11">
        <w:rPr>
          <w:rFonts w:cs="Guttman Drogolin" w:hint="cs"/>
          <w:rtl/>
          <w:lang w:bidi="he-IL"/>
        </w:rPr>
        <w:t>במס</w:t>
      </w:r>
      <w:r w:rsidR="00043ABF" w:rsidRPr="00882F11">
        <w:rPr>
          <w:rFonts w:cs="Guttman Drogolin"/>
          <w:rtl/>
          <w:lang w:bidi="he-IL"/>
        </w:rPr>
        <w:t xml:space="preserve">' </w:t>
      </w:r>
      <w:r w:rsidR="00F96D29" w:rsidRPr="00882F11">
        <w:rPr>
          <w:rFonts w:cs="Guttman Drogolin" w:hint="cs"/>
          <w:rtl/>
          <w:lang w:bidi="he-IL"/>
        </w:rPr>
        <w:t>נזיר</w:t>
      </w:r>
      <w:r w:rsidR="00043ABF" w:rsidRPr="00882F11">
        <w:rPr>
          <w:rFonts w:cs="Guttman Drogolin"/>
          <w:rtl/>
          <w:lang w:bidi="he-IL"/>
        </w:rPr>
        <w:t xml:space="preserve"> </w:t>
      </w:r>
      <w:r w:rsidR="00043ABF" w:rsidRPr="00882F11">
        <w:rPr>
          <w:rFonts w:cs="Guttman Drogolin" w:hint="cs"/>
          <w:rtl/>
          <w:lang w:bidi="he-IL"/>
        </w:rPr>
        <w:t>שלמ</w:t>
      </w:r>
      <w:r w:rsidR="00043ABF" w:rsidRPr="00882F11">
        <w:rPr>
          <w:rFonts w:cs="Guttman Drogolin"/>
          <w:rtl/>
          <w:lang w:bidi="he-IL"/>
        </w:rPr>
        <w:t>"</w:t>
      </w:r>
      <w:r w:rsidR="00043ABF" w:rsidRPr="00882F11">
        <w:rPr>
          <w:rFonts w:cs="Guttman Drogolin" w:hint="cs"/>
          <w:rtl/>
          <w:lang w:bidi="he-IL"/>
        </w:rPr>
        <w:t>ד</w:t>
      </w:r>
      <w:r w:rsidR="00043ABF" w:rsidRPr="00882F11">
        <w:rPr>
          <w:rFonts w:cs="Guttman Drogolin"/>
          <w:rtl/>
          <w:lang w:bidi="he-IL"/>
        </w:rPr>
        <w:t xml:space="preserve"> </w:t>
      </w:r>
      <w:r w:rsidR="00E91626" w:rsidRPr="00882F11">
        <w:rPr>
          <w:rFonts w:cs="Guttman Drogolin" w:hint="cs"/>
          <w:rtl/>
          <w:lang w:bidi="he-IL"/>
        </w:rPr>
        <w:t xml:space="preserve">היתר מצטרף </w:t>
      </w:r>
      <w:r w:rsidR="00043ABF" w:rsidRPr="00882F11">
        <w:rPr>
          <w:rFonts w:cs="Guttman Drogolin" w:hint="cs"/>
          <w:rtl/>
          <w:lang w:bidi="he-IL"/>
        </w:rPr>
        <w:t>לאיסור</w:t>
      </w:r>
      <w:r w:rsidR="00043ABF" w:rsidRPr="00882F11">
        <w:rPr>
          <w:rFonts w:cs="Guttman Drogolin"/>
          <w:rtl/>
          <w:lang w:bidi="he-IL"/>
        </w:rPr>
        <w:t xml:space="preserve"> </w:t>
      </w:r>
      <w:r w:rsidR="00043ABF" w:rsidRPr="00882F11">
        <w:rPr>
          <w:rFonts w:cs="Guttman Drogolin" w:hint="cs"/>
          <w:rtl/>
          <w:lang w:bidi="he-IL"/>
        </w:rPr>
        <w:t>ניחא</w:t>
      </w:r>
      <w:r w:rsidR="00043ABF" w:rsidRPr="00882F11">
        <w:rPr>
          <w:rFonts w:cs="Guttman Drogolin"/>
          <w:rtl/>
          <w:lang w:bidi="he-IL"/>
        </w:rPr>
        <w:t xml:space="preserve"> </w:t>
      </w:r>
      <w:r w:rsidR="00043ABF" w:rsidRPr="00882F11">
        <w:rPr>
          <w:rFonts w:cs="Guttman Drogolin" w:hint="cs"/>
          <w:rtl/>
          <w:lang w:bidi="he-IL"/>
        </w:rPr>
        <w:t>בהא</w:t>
      </w:r>
      <w:r w:rsidR="00043ABF" w:rsidRPr="00882F11">
        <w:rPr>
          <w:rFonts w:cs="Guttman Drogolin"/>
          <w:rtl/>
          <w:lang w:bidi="he-IL"/>
        </w:rPr>
        <w:t xml:space="preserve"> </w:t>
      </w:r>
      <w:r w:rsidR="00043ABF" w:rsidRPr="00882F11">
        <w:rPr>
          <w:rFonts w:cs="Guttman Drogolin" w:hint="cs"/>
          <w:rtl/>
          <w:lang w:bidi="he-IL"/>
        </w:rPr>
        <w:t>דקופות</w:t>
      </w:r>
      <w:r w:rsidR="00043ABF" w:rsidRPr="00882F11">
        <w:rPr>
          <w:rFonts w:cs="Guttman Drogolin"/>
          <w:rtl/>
          <w:lang w:bidi="he-IL"/>
        </w:rPr>
        <w:t xml:space="preserve"> </w:t>
      </w:r>
      <w:r w:rsidR="00043ABF" w:rsidRPr="00882F11">
        <w:rPr>
          <w:rFonts w:cs="Guttman Drogolin" w:hint="cs"/>
          <w:rtl/>
          <w:lang w:bidi="he-IL"/>
        </w:rPr>
        <w:t>עכ</w:t>
      </w:r>
      <w:r w:rsidR="00043ABF" w:rsidRPr="00882F11">
        <w:rPr>
          <w:rFonts w:cs="Guttman Drogolin"/>
          <w:rtl/>
          <w:lang w:bidi="he-IL"/>
        </w:rPr>
        <w:t>"</w:t>
      </w:r>
      <w:r w:rsidR="00043ABF" w:rsidRPr="00882F11">
        <w:rPr>
          <w:rFonts w:cs="Guttman Drogolin" w:hint="cs"/>
          <w:rtl/>
          <w:lang w:bidi="he-IL"/>
        </w:rPr>
        <w:t>פ</w:t>
      </w:r>
      <w:r w:rsidR="00043ABF" w:rsidRPr="00882F11">
        <w:rPr>
          <w:rFonts w:cs="Guttman Drogolin"/>
          <w:rtl/>
          <w:lang w:bidi="he-IL"/>
        </w:rPr>
        <w:t>. (</w:t>
      </w:r>
      <w:r w:rsidR="00043ABF" w:rsidRPr="00882F11">
        <w:rPr>
          <w:rFonts w:cs="Guttman Drogolin" w:hint="cs"/>
          <w:rtl/>
          <w:lang w:bidi="he-IL"/>
        </w:rPr>
        <w:t>ועצם</w:t>
      </w:r>
      <w:r w:rsidR="00043ABF" w:rsidRPr="00882F11">
        <w:rPr>
          <w:rFonts w:cs="Guttman Drogolin"/>
          <w:rtl/>
          <w:lang w:bidi="he-IL"/>
        </w:rPr>
        <w:t xml:space="preserve"> </w:t>
      </w:r>
      <w:r w:rsidR="00043ABF" w:rsidRPr="00882F11">
        <w:rPr>
          <w:rFonts w:cs="Guttman Drogolin" w:hint="cs"/>
          <w:rtl/>
          <w:lang w:bidi="he-IL"/>
        </w:rPr>
        <w:t>זה</w:t>
      </w:r>
      <w:r w:rsidR="00043ABF" w:rsidRPr="00882F11">
        <w:rPr>
          <w:rFonts w:cs="Guttman Drogolin"/>
          <w:rtl/>
          <w:lang w:bidi="he-IL"/>
        </w:rPr>
        <w:t xml:space="preserve"> </w:t>
      </w:r>
      <w:r w:rsidR="00043ABF" w:rsidRPr="00882F11">
        <w:rPr>
          <w:rFonts w:cs="Guttman Drogolin" w:hint="cs"/>
          <w:rtl/>
          <w:lang w:bidi="he-IL"/>
        </w:rPr>
        <w:t>שדימוע</w:t>
      </w:r>
      <w:r w:rsidR="00043ABF" w:rsidRPr="00882F11">
        <w:rPr>
          <w:rFonts w:cs="Guttman Drogolin"/>
          <w:rtl/>
          <w:lang w:bidi="he-IL"/>
        </w:rPr>
        <w:t xml:space="preserve"> </w:t>
      </w:r>
      <w:r w:rsidR="00043ABF" w:rsidRPr="00882F11">
        <w:rPr>
          <w:rFonts w:cs="Guttman Drogolin" w:hint="cs"/>
          <w:rtl/>
          <w:lang w:bidi="he-IL"/>
        </w:rPr>
        <w:t>דאורייתא</w:t>
      </w:r>
      <w:r w:rsidR="00043ABF" w:rsidRPr="00882F11">
        <w:rPr>
          <w:rFonts w:cs="Guttman Drogolin"/>
          <w:rtl/>
          <w:lang w:bidi="he-IL"/>
        </w:rPr>
        <w:t xml:space="preserve"> </w:t>
      </w:r>
      <w:r w:rsidR="00043ABF" w:rsidRPr="00882F11">
        <w:rPr>
          <w:rFonts w:cs="Guttman Drogolin" w:hint="cs"/>
          <w:rtl/>
          <w:lang w:bidi="he-IL"/>
        </w:rPr>
        <w:t>אליבא</w:t>
      </w:r>
      <w:r w:rsidR="00043ABF" w:rsidRPr="00882F11">
        <w:rPr>
          <w:rFonts w:cs="Guttman Drogolin"/>
          <w:rtl/>
          <w:lang w:bidi="he-IL"/>
        </w:rPr>
        <w:t xml:space="preserve"> </w:t>
      </w:r>
      <w:r w:rsidR="00043ABF" w:rsidRPr="00882F11">
        <w:rPr>
          <w:rFonts w:cs="Guttman Drogolin" w:hint="cs"/>
          <w:rtl/>
          <w:lang w:bidi="he-IL"/>
        </w:rPr>
        <w:t>דרש</w:t>
      </w:r>
      <w:r w:rsidR="00043ABF" w:rsidRPr="00882F11">
        <w:rPr>
          <w:rFonts w:cs="Guttman Drogolin"/>
          <w:rtl/>
          <w:lang w:bidi="he-IL"/>
        </w:rPr>
        <w:t>"</w:t>
      </w:r>
      <w:r w:rsidR="00043ABF" w:rsidRPr="00882F11">
        <w:rPr>
          <w:rFonts w:cs="Guttman Drogolin" w:hint="cs"/>
          <w:rtl/>
          <w:lang w:bidi="he-IL"/>
        </w:rPr>
        <w:t>י</w:t>
      </w:r>
      <w:r w:rsidR="00043ABF" w:rsidRPr="00882F11">
        <w:rPr>
          <w:rFonts w:cs="Guttman Drogolin"/>
          <w:rtl/>
          <w:lang w:bidi="he-IL"/>
        </w:rPr>
        <w:t xml:space="preserve"> </w:t>
      </w:r>
      <w:r w:rsidR="00043ABF" w:rsidRPr="00882F11">
        <w:rPr>
          <w:rFonts w:cs="Guttman Drogolin" w:hint="cs"/>
          <w:rtl/>
          <w:lang w:bidi="he-IL"/>
        </w:rPr>
        <w:t>לא</w:t>
      </w:r>
      <w:r w:rsidR="00043ABF" w:rsidRPr="00882F11">
        <w:rPr>
          <w:rFonts w:cs="Guttman Drogolin"/>
          <w:rtl/>
          <w:lang w:bidi="he-IL"/>
        </w:rPr>
        <w:t xml:space="preserve"> </w:t>
      </w:r>
      <w:r w:rsidR="00043ABF" w:rsidRPr="00882F11">
        <w:rPr>
          <w:rFonts w:cs="Guttman Drogolin" w:hint="cs"/>
          <w:rtl/>
          <w:lang w:bidi="he-IL"/>
        </w:rPr>
        <w:t>קשה</w:t>
      </w:r>
      <w:r w:rsidR="00043ABF" w:rsidRPr="00882F11">
        <w:rPr>
          <w:rFonts w:cs="Guttman Drogolin"/>
          <w:rtl/>
          <w:lang w:bidi="he-IL"/>
        </w:rPr>
        <w:t xml:space="preserve"> </w:t>
      </w:r>
      <w:r w:rsidR="00043ABF" w:rsidRPr="00882F11">
        <w:rPr>
          <w:rFonts w:cs="Guttman Drogolin" w:hint="cs"/>
          <w:rtl/>
          <w:lang w:bidi="he-IL"/>
        </w:rPr>
        <w:t>שי</w:t>
      </w:r>
      <w:r w:rsidR="00043ABF" w:rsidRPr="00882F11">
        <w:rPr>
          <w:rFonts w:cs="Guttman Drogolin"/>
          <w:rtl/>
          <w:lang w:bidi="he-IL"/>
        </w:rPr>
        <w:t>"</w:t>
      </w:r>
      <w:r w:rsidR="00043ABF" w:rsidRPr="00882F11">
        <w:rPr>
          <w:rFonts w:cs="Guttman Drogolin" w:hint="cs"/>
          <w:rtl/>
          <w:lang w:bidi="he-IL"/>
        </w:rPr>
        <w:t>ל</w:t>
      </w:r>
      <w:r w:rsidR="00043ABF" w:rsidRPr="00882F11">
        <w:rPr>
          <w:rFonts w:cs="Guttman Drogolin"/>
          <w:rtl/>
          <w:lang w:bidi="he-IL"/>
        </w:rPr>
        <w:t xml:space="preserve"> </w:t>
      </w:r>
      <w:r w:rsidR="00043ABF" w:rsidRPr="00882F11">
        <w:rPr>
          <w:rFonts w:cs="Guttman Drogolin" w:hint="cs"/>
          <w:rtl/>
          <w:lang w:bidi="he-IL"/>
        </w:rPr>
        <w:t>דהכא</w:t>
      </w:r>
      <w:r w:rsidR="00043ABF" w:rsidRPr="00882F11">
        <w:rPr>
          <w:rFonts w:cs="Guttman Drogolin"/>
          <w:rtl/>
          <w:lang w:bidi="he-IL"/>
        </w:rPr>
        <w:t xml:space="preserve"> </w:t>
      </w:r>
      <w:r w:rsidR="00043ABF" w:rsidRPr="00882F11">
        <w:rPr>
          <w:rFonts w:cs="Guttman Drogolin" w:hint="cs"/>
          <w:rtl/>
          <w:lang w:bidi="he-IL"/>
        </w:rPr>
        <w:t>מיירי</w:t>
      </w:r>
      <w:r w:rsidR="00043ABF" w:rsidRPr="00882F11">
        <w:rPr>
          <w:rFonts w:cs="Guttman Drogolin"/>
          <w:rtl/>
          <w:lang w:bidi="he-IL"/>
        </w:rPr>
        <w:t xml:space="preserve"> </w:t>
      </w:r>
      <w:r w:rsidR="00043ABF" w:rsidRPr="00882F11">
        <w:rPr>
          <w:rFonts w:cs="Guttman Drogolin" w:hint="cs"/>
          <w:rtl/>
          <w:lang w:bidi="he-IL"/>
        </w:rPr>
        <w:t>במין</w:t>
      </w:r>
      <w:r w:rsidR="00043ABF" w:rsidRPr="00882F11">
        <w:rPr>
          <w:rFonts w:cs="Guttman Drogolin"/>
          <w:rtl/>
          <w:lang w:bidi="he-IL"/>
        </w:rPr>
        <w:t xml:space="preserve"> </w:t>
      </w:r>
      <w:r w:rsidR="00043ABF" w:rsidRPr="00882F11">
        <w:rPr>
          <w:rFonts w:cs="Guttman Drogolin" w:hint="cs"/>
          <w:rtl/>
          <w:lang w:bidi="he-IL"/>
        </w:rPr>
        <w:t>בשאינו</w:t>
      </w:r>
      <w:r w:rsidR="00043ABF" w:rsidRPr="00882F11">
        <w:rPr>
          <w:rFonts w:cs="Guttman Drogolin"/>
          <w:rtl/>
          <w:lang w:bidi="he-IL"/>
        </w:rPr>
        <w:t xml:space="preserve"> </w:t>
      </w:r>
      <w:r w:rsidR="00043ABF" w:rsidRPr="00882F11">
        <w:rPr>
          <w:rFonts w:cs="Guttman Drogolin" w:hint="cs"/>
          <w:rtl/>
          <w:lang w:bidi="he-IL"/>
        </w:rPr>
        <w:t>מינו</w:t>
      </w:r>
      <w:r w:rsidR="00043ABF" w:rsidRPr="00882F11">
        <w:rPr>
          <w:rFonts w:cs="Guttman Drogolin"/>
          <w:rtl/>
          <w:lang w:bidi="he-IL"/>
        </w:rPr>
        <w:t xml:space="preserve"> </w:t>
      </w:r>
      <w:r w:rsidR="00043ABF" w:rsidRPr="00882F11">
        <w:rPr>
          <w:rFonts w:cs="Guttman Drogolin" w:hint="cs"/>
          <w:rtl/>
          <w:lang w:bidi="he-IL"/>
        </w:rPr>
        <w:t>וכמו</w:t>
      </w:r>
      <w:r w:rsidR="00043ABF" w:rsidRPr="00882F11">
        <w:rPr>
          <w:rFonts w:cs="Guttman Drogolin"/>
          <w:rtl/>
          <w:lang w:bidi="he-IL"/>
        </w:rPr>
        <w:t xml:space="preserve"> </w:t>
      </w:r>
      <w:r w:rsidR="00043ABF" w:rsidRPr="00882F11">
        <w:rPr>
          <w:rFonts w:cs="Guttman Drogolin" w:hint="cs"/>
          <w:rtl/>
          <w:lang w:bidi="he-IL"/>
        </w:rPr>
        <w:t>שפירשו</w:t>
      </w:r>
      <w:r w:rsidR="00043ABF" w:rsidRPr="00882F11">
        <w:rPr>
          <w:rFonts w:cs="Guttman Drogolin"/>
          <w:rtl/>
          <w:lang w:bidi="he-IL"/>
        </w:rPr>
        <w:t xml:space="preserve"> </w:t>
      </w:r>
      <w:r w:rsidR="00043ABF" w:rsidRPr="00882F11">
        <w:rPr>
          <w:rFonts w:cs="Guttman Drogolin" w:hint="cs"/>
          <w:rtl/>
          <w:lang w:bidi="he-IL"/>
        </w:rPr>
        <w:t>התוס</w:t>
      </w:r>
      <w:r w:rsidR="00043ABF" w:rsidRPr="00882F11">
        <w:rPr>
          <w:rFonts w:cs="Guttman Drogolin"/>
          <w:rtl/>
          <w:lang w:bidi="he-IL"/>
        </w:rPr>
        <w:t xml:space="preserve">' </w:t>
      </w:r>
      <w:r w:rsidR="00043ABF" w:rsidRPr="00882F11">
        <w:rPr>
          <w:rFonts w:cs="Guttman Drogolin" w:hint="cs"/>
          <w:rtl/>
          <w:lang w:bidi="he-IL"/>
        </w:rPr>
        <w:t>שבזה</w:t>
      </w:r>
      <w:r w:rsidR="00043ABF" w:rsidRPr="00882F11">
        <w:rPr>
          <w:rFonts w:cs="Guttman Drogolin"/>
          <w:rtl/>
          <w:lang w:bidi="he-IL"/>
        </w:rPr>
        <w:t xml:space="preserve"> </w:t>
      </w:r>
      <w:r w:rsidR="00043ABF" w:rsidRPr="00882F11">
        <w:rPr>
          <w:rFonts w:cs="Guttman Drogolin" w:hint="cs"/>
          <w:rtl/>
          <w:lang w:bidi="he-IL"/>
        </w:rPr>
        <w:t>ליכא</w:t>
      </w:r>
      <w:r w:rsidR="00043ABF" w:rsidRPr="00882F11">
        <w:rPr>
          <w:rFonts w:cs="Guttman Drogolin"/>
          <w:rtl/>
          <w:lang w:bidi="he-IL"/>
        </w:rPr>
        <w:t xml:space="preserve"> </w:t>
      </w:r>
      <w:r w:rsidR="00043ABF" w:rsidRPr="00882F11">
        <w:rPr>
          <w:rFonts w:cs="Guttman Drogolin" w:hint="cs"/>
          <w:rtl/>
          <w:lang w:bidi="he-IL"/>
        </w:rPr>
        <w:t>דינא</w:t>
      </w:r>
      <w:r w:rsidR="00043ABF" w:rsidRPr="00882F11">
        <w:rPr>
          <w:rFonts w:cs="Guttman Drogolin"/>
          <w:rtl/>
          <w:lang w:bidi="he-IL"/>
        </w:rPr>
        <w:t xml:space="preserve"> </w:t>
      </w:r>
      <w:r w:rsidR="00043ABF" w:rsidRPr="00882F11">
        <w:rPr>
          <w:rFonts w:cs="Guttman Drogolin" w:hint="cs"/>
          <w:rtl/>
          <w:lang w:bidi="he-IL"/>
        </w:rPr>
        <w:t>דדימוע</w:t>
      </w:r>
      <w:r w:rsidR="00043ABF" w:rsidRPr="00882F11">
        <w:rPr>
          <w:rFonts w:cs="Guttman Drogolin"/>
          <w:rtl/>
          <w:lang w:bidi="he-IL"/>
        </w:rPr>
        <w:t xml:space="preserve">). </w:t>
      </w:r>
      <w:r w:rsidR="00043ABF" w:rsidRPr="00882F11">
        <w:rPr>
          <w:rFonts w:cs="Guttman Drogolin" w:hint="cs"/>
          <w:rtl/>
          <w:lang w:bidi="he-IL"/>
        </w:rPr>
        <w:t xml:space="preserve">ולכאורה </w:t>
      </w:r>
      <w:r w:rsidR="00A53BF0" w:rsidRPr="00882F11">
        <w:rPr>
          <w:rFonts w:cs="Guttman Drogolin" w:hint="cs"/>
          <w:rtl/>
          <w:lang w:bidi="he-IL"/>
        </w:rPr>
        <w:t xml:space="preserve">יש לדייק </w:t>
      </w:r>
      <w:r w:rsidR="00043ABF" w:rsidRPr="00882F11">
        <w:rPr>
          <w:rFonts w:cs="Guttman Drogolin" w:hint="cs"/>
          <w:rtl/>
          <w:lang w:bidi="he-IL"/>
        </w:rPr>
        <w:t xml:space="preserve">התשובה </w:t>
      </w:r>
      <w:r w:rsidR="00A53BF0" w:rsidRPr="00882F11">
        <w:rPr>
          <w:rFonts w:cs="Guttman Drogolin" w:hint="cs"/>
          <w:rtl/>
          <w:lang w:bidi="he-IL"/>
        </w:rPr>
        <w:t>מ</w:t>
      </w:r>
      <w:r w:rsidR="00043ABF" w:rsidRPr="00882F11">
        <w:rPr>
          <w:rFonts w:cs="Guttman Drogolin" w:hint="cs"/>
          <w:rtl/>
          <w:lang w:bidi="he-IL"/>
        </w:rPr>
        <w:t>עצם דברי רש"י, שהרי כתב רש"י בד"ה היכי</w:t>
      </w:r>
      <w:r w:rsidR="00043ABF" w:rsidRPr="00882F11">
        <w:rPr>
          <w:rFonts w:cs="Guttman Drogolin"/>
          <w:rtl/>
          <w:lang w:bidi="he-IL"/>
        </w:rPr>
        <w:t xml:space="preserve"> </w:t>
      </w:r>
      <w:r w:rsidR="00043ABF" w:rsidRPr="00882F11">
        <w:rPr>
          <w:rFonts w:cs="Guttman Drogolin" w:hint="cs"/>
          <w:rtl/>
          <w:lang w:bidi="he-IL"/>
        </w:rPr>
        <w:t>אמרינן</w:t>
      </w:r>
      <w:r w:rsidR="00043ABF" w:rsidRPr="00882F11">
        <w:rPr>
          <w:rFonts w:cs="Guttman Drogolin"/>
          <w:rtl/>
          <w:lang w:bidi="he-IL"/>
        </w:rPr>
        <w:t xml:space="preserve"> </w:t>
      </w:r>
      <w:r w:rsidR="00043ABF" w:rsidRPr="00882F11">
        <w:rPr>
          <w:rFonts w:cs="Guttman Drogolin" w:hint="cs"/>
          <w:rtl/>
          <w:lang w:bidi="he-IL"/>
        </w:rPr>
        <w:t>שאני</w:t>
      </w:r>
      <w:r w:rsidR="00043ABF" w:rsidRPr="00882F11">
        <w:rPr>
          <w:rFonts w:cs="Guttman Drogolin"/>
          <w:rtl/>
          <w:lang w:bidi="he-IL"/>
        </w:rPr>
        <w:t xml:space="preserve"> </w:t>
      </w:r>
      <w:r w:rsidR="00043ABF" w:rsidRPr="00882F11">
        <w:rPr>
          <w:rFonts w:cs="Guttman Drogolin" w:hint="cs"/>
          <w:rtl/>
          <w:lang w:bidi="he-IL"/>
        </w:rPr>
        <w:t>אומר</w:t>
      </w:r>
      <w:r w:rsidR="00043ABF" w:rsidRPr="00882F11">
        <w:rPr>
          <w:rFonts w:cs="Guttman Drogolin"/>
          <w:rtl/>
          <w:lang w:bidi="he-IL"/>
        </w:rPr>
        <w:t xml:space="preserve"> </w:t>
      </w:r>
      <w:r w:rsidR="00043ABF" w:rsidRPr="00882F11">
        <w:rPr>
          <w:rFonts w:cs="Guttman Drogolin" w:hint="cs"/>
          <w:rtl/>
          <w:lang w:bidi="he-IL"/>
        </w:rPr>
        <w:t>"ותלינן</w:t>
      </w:r>
      <w:r w:rsidR="00043ABF" w:rsidRPr="00882F11">
        <w:rPr>
          <w:rFonts w:cs="Guttman Drogolin"/>
          <w:rtl/>
          <w:lang w:bidi="he-IL"/>
        </w:rPr>
        <w:t xml:space="preserve"> </w:t>
      </w:r>
      <w:r w:rsidR="00043ABF" w:rsidRPr="00882F11">
        <w:rPr>
          <w:rFonts w:cs="Guttman Drogolin" w:hint="cs"/>
          <w:rtl/>
          <w:lang w:bidi="he-IL"/>
        </w:rPr>
        <w:t>לקולא</w:t>
      </w:r>
      <w:r w:rsidR="00043ABF" w:rsidRPr="00882F11">
        <w:rPr>
          <w:rFonts w:cs="Guttman Drogolin"/>
          <w:rtl/>
          <w:lang w:bidi="he-IL"/>
        </w:rPr>
        <w:t xml:space="preserve"> </w:t>
      </w:r>
      <w:r w:rsidR="00043ABF" w:rsidRPr="00882F11">
        <w:rPr>
          <w:rFonts w:cs="Guttman Drogolin" w:hint="cs"/>
          <w:rtl/>
          <w:lang w:bidi="he-IL"/>
        </w:rPr>
        <w:t>בעון</w:t>
      </w:r>
      <w:r w:rsidR="00043ABF" w:rsidRPr="00882F11">
        <w:rPr>
          <w:rFonts w:cs="Guttman Drogolin"/>
          <w:rtl/>
          <w:lang w:bidi="he-IL"/>
        </w:rPr>
        <w:t xml:space="preserve"> </w:t>
      </w:r>
      <w:r w:rsidR="00043ABF" w:rsidRPr="00882F11">
        <w:rPr>
          <w:rFonts w:cs="Guttman Drogolin" w:hint="cs"/>
          <w:rtl/>
          <w:lang w:bidi="he-IL"/>
        </w:rPr>
        <w:t>מיתה", ודקדק</w:t>
      </w:r>
      <w:r w:rsidR="00043ABF" w:rsidRPr="00882F11">
        <w:rPr>
          <w:rFonts w:cs="Guttman Drogolin"/>
          <w:rtl/>
          <w:lang w:bidi="he-IL"/>
        </w:rPr>
        <w:t xml:space="preserve"> </w:t>
      </w:r>
      <w:r w:rsidR="00043ABF" w:rsidRPr="00882F11">
        <w:rPr>
          <w:rFonts w:cs="Guttman Drogolin" w:hint="cs"/>
          <w:rtl/>
          <w:lang w:bidi="he-IL"/>
        </w:rPr>
        <w:t>בתוס'</w:t>
      </w:r>
      <w:r w:rsidR="00043ABF" w:rsidRPr="00882F11">
        <w:rPr>
          <w:rFonts w:cs="Guttman Drogolin"/>
          <w:rtl/>
          <w:lang w:bidi="he-IL"/>
        </w:rPr>
        <w:t xml:space="preserve"> </w:t>
      </w:r>
      <w:r w:rsidR="00043ABF" w:rsidRPr="00882F11">
        <w:rPr>
          <w:rFonts w:cs="Guttman Drogolin" w:hint="cs"/>
          <w:rtl/>
          <w:lang w:bidi="he-IL"/>
        </w:rPr>
        <w:t>הרא</w:t>
      </w:r>
      <w:r w:rsidR="00043ABF" w:rsidRPr="00882F11">
        <w:rPr>
          <w:rFonts w:cs="Guttman Drogolin"/>
          <w:rtl/>
          <w:lang w:bidi="he-IL"/>
        </w:rPr>
        <w:t>"</w:t>
      </w:r>
      <w:r w:rsidR="00043ABF" w:rsidRPr="00882F11">
        <w:rPr>
          <w:rFonts w:cs="Guttman Drogolin" w:hint="cs"/>
          <w:rtl/>
          <w:lang w:bidi="he-IL"/>
        </w:rPr>
        <w:t>ש</w:t>
      </w:r>
      <w:r w:rsidR="00043ABF" w:rsidRPr="00882F11">
        <w:rPr>
          <w:rFonts w:cs="Guttman Drogolin"/>
          <w:rtl/>
          <w:lang w:bidi="he-IL"/>
        </w:rPr>
        <w:t xml:space="preserve"> </w:t>
      </w:r>
      <w:r w:rsidR="00043ABF" w:rsidRPr="00882F11">
        <w:rPr>
          <w:rFonts w:cs="Guttman Drogolin" w:hint="cs"/>
          <w:rtl/>
          <w:lang w:bidi="he-IL"/>
        </w:rPr>
        <w:t>מדבריו שאומרים</w:t>
      </w:r>
      <w:r w:rsidR="00043ABF" w:rsidRPr="00882F11">
        <w:rPr>
          <w:rFonts w:cs="Guttman Drogolin"/>
          <w:rtl/>
          <w:lang w:bidi="he-IL"/>
        </w:rPr>
        <w:t xml:space="preserve"> </w:t>
      </w:r>
      <w:r w:rsidR="00043ABF" w:rsidRPr="00882F11">
        <w:rPr>
          <w:rFonts w:cs="Guttman Drogolin" w:hint="cs"/>
          <w:rtl/>
          <w:lang w:bidi="he-IL"/>
        </w:rPr>
        <w:t>שאני</w:t>
      </w:r>
      <w:r w:rsidR="00043ABF" w:rsidRPr="00882F11">
        <w:rPr>
          <w:rFonts w:cs="Guttman Drogolin"/>
          <w:rtl/>
          <w:lang w:bidi="he-IL"/>
        </w:rPr>
        <w:t xml:space="preserve"> </w:t>
      </w:r>
      <w:r w:rsidR="00043ABF" w:rsidRPr="00882F11">
        <w:rPr>
          <w:rFonts w:cs="Guttman Drogolin" w:hint="cs"/>
          <w:rtl/>
          <w:lang w:bidi="he-IL"/>
        </w:rPr>
        <w:t>אומר</w:t>
      </w:r>
      <w:r w:rsidR="00043ABF" w:rsidRPr="00882F11">
        <w:rPr>
          <w:rFonts w:cs="Guttman Drogolin"/>
          <w:rtl/>
          <w:lang w:bidi="he-IL"/>
        </w:rPr>
        <w:t xml:space="preserve"> </w:t>
      </w:r>
      <w:r w:rsidR="00043ABF" w:rsidRPr="00882F11">
        <w:rPr>
          <w:rFonts w:cs="Guttman Drogolin" w:hint="cs"/>
          <w:rtl/>
          <w:lang w:bidi="he-IL"/>
        </w:rPr>
        <w:t>אפילו</w:t>
      </w:r>
      <w:r w:rsidR="00043ABF" w:rsidRPr="00882F11">
        <w:rPr>
          <w:rFonts w:cs="Guttman Drogolin"/>
          <w:rtl/>
          <w:lang w:bidi="he-IL"/>
        </w:rPr>
        <w:t xml:space="preserve"> </w:t>
      </w:r>
      <w:r w:rsidR="00043ABF" w:rsidRPr="00882F11">
        <w:rPr>
          <w:rFonts w:cs="Guttman Drogolin" w:hint="cs"/>
          <w:rtl/>
          <w:lang w:bidi="he-IL"/>
        </w:rPr>
        <w:t>באיסורים</w:t>
      </w:r>
      <w:r w:rsidR="00043ABF" w:rsidRPr="00882F11">
        <w:rPr>
          <w:rFonts w:cs="Guttman Drogolin"/>
          <w:rtl/>
          <w:lang w:bidi="he-IL"/>
        </w:rPr>
        <w:t xml:space="preserve"> </w:t>
      </w:r>
      <w:r w:rsidR="00043ABF" w:rsidRPr="00882F11">
        <w:rPr>
          <w:rFonts w:cs="Guttman Drogolin" w:hint="cs"/>
          <w:rtl/>
          <w:lang w:bidi="he-IL"/>
        </w:rPr>
        <w:t>דאורייתא</w:t>
      </w:r>
      <w:r w:rsidR="00043ABF" w:rsidRPr="00882F11">
        <w:rPr>
          <w:rFonts w:cs="Guttman Drogolin"/>
          <w:rtl/>
          <w:lang w:bidi="he-IL"/>
        </w:rPr>
        <w:t xml:space="preserve">, </w:t>
      </w:r>
      <w:r w:rsidR="00043ABF" w:rsidRPr="00882F11">
        <w:rPr>
          <w:rFonts w:cs="Guttman Drogolin" w:hint="cs"/>
          <w:rtl/>
          <w:lang w:bidi="he-IL"/>
        </w:rPr>
        <w:t>דרק</w:t>
      </w:r>
      <w:r w:rsidR="00043ABF" w:rsidRPr="00882F11">
        <w:rPr>
          <w:rFonts w:cs="Guttman Drogolin"/>
          <w:rtl/>
          <w:lang w:bidi="he-IL"/>
        </w:rPr>
        <w:t xml:space="preserve"> </w:t>
      </w:r>
      <w:r w:rsidR="00043ABF" w:rsidRPr="00882F11">
        <w:rPr>
          <w:rFonts w:cs="Guttman Drogolin" w:hint="cs"/>
          <w:rtl/>
          <w:lang w:bidi="he-IL"/>
        </w:rPr>
        <w:t>באיסורים</w:t>
      </w:r>
      <w:r w:rsidR="00043ABF" w:rsidRPr="00882F11">
        <w:rPr>
          <w:rFonts w:cs="Guttman Drogolin"/>
          <w:rtl/>
          <w:lang w:bidi="he-IL"/>
        </w:rPr>
        <w:t xml:space="preserve"> </w:t>
      </w:r>
      <w:r w:rsidR="00043ABF" w:rsidRPr="00882F11">
        <w:rPr>
          <w:rFonts w:cs="Guttman Drogolin" w:hint="cs"/>
          <w:rtl/>
          <w:lang w:bidi="he-IL"/>
        </w:rPr>
        <w:t>שיש</w:t>
      </w:r>
      <w:r w:rsidR="00043ABF" w:rsidRPr="00882F11">
        <w:rPr>
          <w:rFonts w:cs="Guttman Drogolin"/>
          <w:rtl/>
          <w:lang w:bidi="he-IL"/>
        </w:rPr>
        <w:t xml:space="preserve"> </w:t>
      </w:r>
      <w:r w:rsidR="00043ABF" w:rsidRPr="00882F11">
        <w:rPr>
          <w:rFonts w:cs="Guttman Drogolin" w:hint="cs"/>
          <w:rtl/>
          <w:lang w:bidi="he-IL"/>
        </w:rPr>
        <w:t>בהם</w:t>
      </w:r>
      <w:r w:rsidR="00043ABF" w:rsidRPr="00882F11">
        <w:rPr>
          <w:rFonts w:cs="Guttman Drogolin"/>
          <w:rtl/>
          <w:lang w:bidi="he-IL"/>
        </w:rPr>
        <w:t xml:space="preserve"> </w:t>
      </w:r>
      <w:r w:rsidR="00043ABF" w:rsidRPr="00882F11">
        <w:rPr>
          <w:rFonts w:cs="Guttman Drogolin" w:hint="cs"/>
          <w:rtl/>
          <w:lang w:bidi="he-IL"/>
        </w:rPr>
        <w:t>עונש</w:t>
      </w:r>
      <w:r w:rsidR="00043ABF" w:rsidRPr="00882F11">
        <w:rPr>
          <w:rFonts w:cs="Guttman Drogolin"/>
          <w:rtl/>
          <w:lang w:bidi="he-IL"/>
        </w:rPr>
        <w:t xml:space="preserve"> </w:t>
      </w:r>
      <w:r w:rsidR="00043ABF" w:rsidRPr="00882F11">
        <w:rPr>
          <w:rFonts w:cs="Guttman Drogolin" w:hint="cs"/>
          <w:rtl/>
          <w:lang w:bidi="he-IL"/>
        </w:rPr>
        <w:t>מיתה</w:t>
      </w:r>
      <w:r w:rsidR="00043ABF" w:rsidRPr="00882F11">
        <w:rPr>
          <w:rFonts w:cs="Guttman Drogolin"/>
          <w:rtl/>
          <w:lang w:bidi="he-IL"/>
        </w:rPr>
        <w:t xml:space="preserve"> </w:t>
      </w:r>
      <w:r w:rsidR="00043ABF" w:rsidRPr="00882F11">
        <w:rPr>
          <w:rFonts w:cs="Guttman Drogolin" w:hint="cs"/>
          <w:rtl/>
          <w:lang w:bidi="he-IL"/>
        </w:rPr>
        <w:t>לא</w:t>
      </w:r>
      <w:r w:rsidR="00043ABF" w:rsidRPr="00882F11">
        <w:rPr>
          <w:rFonts w:cs="Guttman Drogolin"/>
          <w:rtl/>
          <w:lang w:bidi="he-IL"/>
        </w:rPr>
        <w:t xml:space="preserve"> </w:t>
      </w:r>
      <w:r w:rsidR="00043ABF" w:rsidRPr="00882F11">
        <w:rPr>
          <w:rFonts w:cs="Guttman Drogolin" w:hint="cs"/>
          <w:rtl/>
          <w:lang w:bidi="he-IL"/>
        </w:rPr>
        <w:t>אומרים</w:t>
      </w:r>
      <w:r w:rsidR="00043ABF" w:rsidRPr="00882F11">
        <w:rPr>
          <w:rFonts w:cs="Guttman Drogolin"/>
          <w:rtl/>
          <w:lang w:bidi="he-IL"/>
        </w:rPr>
        <w:t xml:space="preserve"> </w:t>
      </w:r>
      <w:r w:rsidR="00043ABF" w:rsidRPr="00882F11">
        <w:rPr>
          <w:rFonts w:cs="Guttman Drogolin" w:hint="cs"/>
          <w:rtl/>
          <w:lang w:bidi="he-IL"/>
        </w:rPr>
        <w:t>שאני</w:t>
      </w:r>
      <w:r w:rsidR="00043ABF" w:rsidRPr="00882F11">
        <w:rPr>
          <w:rFonts w:cs="Guttman Drogolin"/>
          <w:rtl/>
          <w:lang w:bidi="he-IL"/>
        </w:rPr>
        <w:t xml:space="preserve"> </w:t>
      </w:r>
      <w:r w:rsidR="00043ABF" w:rsidRPr="00882F11">
        <w:rPr>
          <w:rFonts w:cs="Guttman Drogolin" w:hint="cs"/>
          <w:rtl/>
          <w:lang w:bidi="he-IL"/>
        </w:rPr>
        <w:t>אומר</w:t>
      </w:r>
      <w:r w:rsidR="00043ABF" w:rsidRPr="00882F11">
        <w:rPr>
          <w:rFonts w:cs="Guttman Drogolin"/>
          <w:rtl/>
          <w:lang w:bidi="he-IL"/>
        </w:rPr>
        <w:t xml:space="preserve">. </w:t>
      </w:r>
      <w:r w:rsidR="00043ABF" w:rsidRPr="00882F11">
        <w:rPr>
          <w:rFonts w:cs="Guttman Drogolin" w:hint="cs"/>
          <w:rtl/>
          <w:lang w:bidi="he-IL"/>
        </w:rPr>
        <w:t>וא</w:t>
      </w:r>
      <w:r w:rsidR="00043ABF" w:rsidRPr="00882F11">
        <w:rPr>
          <w:rFonts w:cs="Guttman Drogolin"/>
          <w:rtl/>
          <w:lang w:bidi="he-IL"/>
        </w:rPr>
        <w:t>"</w:t>
      </w:r>
      <w:r w:rsidR="00043ABF" w:rsidRPr="00882F11">
        <w:rPr>
          <w:rFonts w:cs="Guttman Drogolin" w:hint="cs"/>
          <w:rtl/>
          <w:lang w:bidi="he-IL"/>
        </w:rPr>
        <w:t>כ</w:t>
      </w:r>
      <w:r w:rsidR="00043ABF" w:rsidRPr="00882F11">
        <w:rPr>
          <w:rFonts w:cs="Guttman Drogolin"/>
          <w:rtl/>
          <w:lang w:bidi="he-IL"/>
        </w:rPr>
        <w:t xml:space="preserve"> </w:t>
      </w:r>
      <w:r w:rsidR="00043ABF" w:rsidRPr="00882F11">
        <w:rPr>
          <w:rFonts w:cs="Guttman Drogolin" w:hint="cs"/>
          <w:rtl/>
          <w:lang w:bidi="he-IL"/>
        </w:rPr>
        <w:t>ניחא</w:t>
      </w:r>
      <w:r w:rsidR="00043ABF" w:rsidRPr="00882F11">
        <w:rPr>
          <w:rFonts w:cs="Guttman Drogolin"/>
          <w:rtl/>
          <w:lang w:bidi="he-IL"/>
        </w:rPr>
        <w:t xml:space="preserve"> </w:t>
      </w:r>
      <w:r w:rsidR="00043ABF" w:rsidRPr="00882F11">
        <w:rPr>
          <w:rFonts w:cs="Guttman Drogolin" w:hint="cs"/>
          <w:rtl/>
          <w:lang w:bidi="he-IL"/>
        </w:rPr>
        <w:t>שאפילו</w:t>
      </w:r>
      <w:r w:rsidR="00043ABF" w:rsidRPr="00882F11">
        <w:rPr>
          <w:rFonts w:cs="Guttman Drogolin"/>
          <w:rtl/>
          <w:lang w:bidi="he-IL"/>
        </w:rPr>
        <w:t xml:space="preserve"> </w:t>
      </w:r>
      <w:r w:rsidR="00043ABF" w:rsidRPr="00882F11">
        <w:rPr>
          <w:rFonts w:cs="Guttman Drogolin" w:hint="cs"/>
          <w:rtl/>
          <w:lang w:bidi="he-IL"/>
        </w:rPr>
        <w:t>אם</w:t>
      </w:r>
      <w:r w:rsidR="00043ABF" w:rsidRPr="00882F11">
        <w:rPr>
          <w:rFonts w:cs="Guttman Drogolin"/>
          <w:rtl/>
          <w:lang w:bidi="he-IL"/>
        </w:rPr>
        <w:t xml:space="preserve"> </w:t>
      </w:r>
      <w:r w:rsidR="00043ABF" w:rsidRPr="00882F11">
        <w:rPr>
          <w:rFonts w:cs="Guttman Drogolin" w:hint="cs"/>
          <w:rtl/>
          <w:lang w:bidi="he-IL"/>
        </w:rPr>
        <w:t>דימוע</w:t>
      </w:r>
      <w:r w:rsidR="00043ABF" w:rsidRPr="00882F11">
        <w:rPr>
          <w:rFonts w:cs="Guttman Drogolin"/>
          <w:rtl/>
          <w:lang w:bidi="he-IL"/>
        </w:rPr>
        <w:t xml:space="preserve"> </w:t>
      </w:r>
      <w:r w:rsidR="00043ABF" w:rsidRPr="00882F11">
        <w:rPr>
          <w:rFonts w:cs="Guttman Drogolin" w:hint="cs"/>
          <w:rtl/>
          <w:lang w:bidi="he-IL"/>
        </w:rPr>
        <w:t>דאורייתא</w:t>
      </w:r>
      <w:r w:rsidR="00043ABF" w:rsidRPr="00882F11">
        <w:rPr>
          <w:rFonts w:cs="Guttman Drogolin"/>
          <w:rtl/>
          <w:lang w:bidi="he-IL"/>
        </w:rPr>
        <w:t xml:space="preserve"> </w:t>
      </w:r>
      <w:r w:rsidR="00043ABF" w:rsidRPr="00882F11">
        <w:rPr>
          <w:rFonts w:cs="Guttman Drogolin" w:hint="cs"/>
          <w:rtl/>
          <w:lang w:bidi="he-IL"/>
        </w:rPr>
        <w:t>י</w:t>
      </w:r>
      <w:r w:rsidR="00043ABF" w:rsidRPr="00882F11">
        <w:rPr>
          <w:rFonts w:cs="Guttman Drogolin"/>
          <w:rtl/>
          <w:lang w:bidi="he-IL"/>
        </w:rPr>
        <w:t>"</w:t>
      </w:r>
      <w:r w:rsidR="00043ABF" w:rsidRPr="00882F11">
        <w:rPr>
          <w:rFonts w:cs="Guttman Drogolin" w:hint="cs"/>
          <w:rtl/>
          <w:lang w:bidi="he-IL"/>
        </w:rPr>
        <w:t>ל</w:t>
      </w:r>
      <w:r w:rsidR="00043ABF" w:rsidRPr="00882F11">
        <w:rPr>
          <w:rFonts w:cs="Guttman Drogolin"/>
          <w:rtl/>
          <w:lang w:bidi="he-IL"/>
        </w:rPr>
        <w:t xml:space="preserve"> </w:t>
      </w:r>
      <w:r w:rsidR="00043ABF" w:rsidRPr="00882F11">
        <w:rPr>
          <w:rFonts w:cs="Guttman Drogolin" w:hint="cs"/>
          <w:rtl/>
          <w:lang w:bidi="he-IL"/>
        </w:rPr>
        <w:t>שאינו</w:t>
      </w:r>
      <w:r w:rsidR="00043ABF" w:rsidRPr="00882F11">
        <w:rPr>
          <w:rFonts w:cs="Guttman Drogolin"/>
          <w:rtl/>
          <w:lang w:bidi="he-IL"/>
        </w:rPr>
        <w:t xml:space="preserve"> </w:t>
      </w:r>
      <w:r w:rsidR="00043ABF" w:rsidRPr="00882F11">
        <w:rPr>
          <w:rFonts w:cs="Guttman Drogolin" w:hint="cs"/>
          <w:rtl/>
          <w:lang w:bidi="he-IL"/>
        </w:rPr>
        <w:t>בעון</w:t>
      </w:r>
      <w:r w:rsidR="00043ABF" w:rsidRPr="00882F11">
        <w:rPr>
          <w:rFonts w:cs="Guttman Drogolin"/>
          <w:rtl/>
          <w:lang w:bidi="he-IL"/>
        </w:rPr>
        <w:t xml:space="preserve"> </w:t>
      </w:r>
      <w:r w:rsidR="00043ABF" w:rsidRPr="00882F11">
        <w:rPr>
          <w:rFonts w:cs="Guttman Drogolin" w:hint="cs"/>
          <w:rtl/>
          <w:lang w:bidi="he-IL"/>
        </w:rPr>
        <w:t>מיתה</w:t>
      </w:r>
      <w:r w:rsidR="00043ABF" w:rsidRPr="00882F11">
        <w:rPr>
          <w:rStyle w:val="FootnoteReference"/>
          <w:rFonts w:cs="Guttman Drogolin"/>
          <w:rtl/>
          <w:lang w:bidi="he-IL"/>
        </w:rPr>
        <w:footnoteReference w:id="27"/>
      </w:r>
      <w:r w:rsidR="00043ABF" w:rsidRPr="00882F11">
        <w:rPr>
          <w:rFonts w:cs="Guttman Drogolin" w:hint="cs"/>
          <w:rtl/>
          <w:lang w:bidi="he-IL"/>
        </w:rPr>
        <w:t>.</w:t>
      </w:r>
      <w:r w:rsidR="00043ABF" w:rsidRPr="00882F11">
        <w:rPr>
          <w:rFonts w:cs="Guttman Drogolin"/>
          <w:rtl/>
          <w:lang w:bidi="he-IL"/>
        </w:rPr>
        <w:t xml:space="preserve"> </w:t>
      </w:r>
      <w:r w:rsidR="00D80EE3" w:rsidRPr="00882F11">
        <w:rPr>
          <w:rFonts w:cs="Guttman Drogolin" w:hint="cs"/>
          <w:rtl/>
          <w:lang w:bidi="he-IL"/>
        </w:rPr>
        <w:t xml:space="preserve">וע"ש שהתוס' הרא"ש ביאר שרש"י כתב כן כדי ליישב למה אינו קשה אפילו למ"ד </w:t>
      </w:r>
      <w:r w:rsidR="00E91626" w:rsidRPr="00882F11">
        <w:rPr>
          <w:rFonts w:cs="Guttman Drogolin" w:hint="cs"/>
          <w:rtl/>
          <w:lang w:bidi="he-IL"/>
        </w:rPr>
        <w:t>כזית בכדי אכילת פרס</w:t>
      </w:r>
      <w:r w:rsidR="00D80EE3" w:rsidRPr="00882F11">
        <w:rPr>
          <w:rFonts w:cs="Guttman Drogolin" w:hint="cs"/>
          <w:rtl/>
          <w:lang w:bidi="he-IL"/>
        </w:rPr>
        <w:t xml:space="preserve"> לאו דאורייתא ומשום שיש חצי שיעור ואליבא דר' יוחנן דחצי שיעור אסור מדאורייתא. וע' </w:t>
      </w:r>
      <w:r w:rsidR="00E84BEF" w:rsidRPr="00882F11">
        <w:rPr>
          <w:rFonts w:cs="Guttman Drogolin" w:hint="cs"/>
          <w:rtl/>
          <w:lang w:bidi="he-IL"/>
        </w:rPr>
        <w:t>לעיל</w:t>
      </w:r>
      <w:r w:rsidR="00E84BEF" w:rsidRPr="00882F11">
        <w:rPr>
          <w:rFonts w:cs="Guttman Drogolin"/>
          <w:rtl/>
          <w:lang w:bidi="he-IL"/>
        </w:rPr>
        <w:t xml:space="preserve"> </w:t>
      </w:r>
      <w:r w:rsidR="00D80EE3" w:rsidRPr="00882F11">
        <w:rPr>
          <w:rFonts w:cs="Guttman Drogolin" w:hint="cs"/>
          <w:rtl/>
          <w:lang w:bidi="he-IL"/>
        </w:rPr>
        <w:t>שהבאנו עוד תירוצים להא</w:t>
      </w:r>
      <w:r w:rsidR="00E84BEF" w:rsidRPr="00882F11">
        <w:rPr>
          <w:rFonts w:cs="Guttman Drogolin"/>
          <w:rtl/>
          <w:lang w:bidi="he-IL"/>
        </w:rPr>
        <w:t xml:space="preserve"> </w:t>
      </w:r>
      <w:r w:rsidR="00E84BEF" w:rsidRPr="00882F11">
        <w:rPr>
          <w:rFonts w:cs="Guttman Drogolin" w:hint="cs"/>
          <w:rtl/>
          <w:lang w:bidi="he-IL"/>
        </w:rPr>
        <w:t>דחצי</w:t>
      </w:r>
      <w:r w:rsidR="00E84BEF" w:rsidRPr="00882F11">
        <w:rPr>
          <w:rFonts w:cs="Guttman Drogolin"/>
          <w:rtl/>
          <w:lang w:bidi="he-IL"/>
        </w:rPr>
        <w:t xml:space="preserve"> </w:t>
      </w:r>
      <w:r w:rsidR="00E84BEF" w:rsidRPr="00882F11">
        <w:rPr>
          <w:rFonts w:cs="Guttman Drogolin" w:hint="cs"/>
          <w:rtl/>
          <w:lang w:bidi="he-IL"/>
        </w:rPr>
        <w:t>שיעור</w:t>
      </w:r>
      <w:r w:rsidR="00E84BEF" w:rsidRPr="00882F11">
        <w:rPr>
          <w:rFonts w:cs="Guttman Drogolin"/>
          <w:rtl/>
          <w:lang w:bidi="he-IL"/>
        </w:rPr>
        <w:t xml:space="preserve"> </w:t>
      </w:r>
      <w:r w:rsidR="00E84BEF" w:rsidRPr="00882F11">
        <w:rPr>
          <w:rFonts w:cs="Guttman Drogolin" w:hint="cs"/>
          <w:rtl/>
          <w:lang w:bidi="he-IL"/>
        </w:rPr>
        <w:t>אסור</w:t>
      </w:r>
      <w:r w:rsidR="00E84BEF" w:rsidRPr="00882F11">
        <w:rPr>
          <w:rFonts w:cs="Guttman Drogolin"/>
          <w:rtl/>
          <w:lang w:bidi="he-IL"/>
        </w:rPr>
        <w:t xml:space="preserve"> </w:t>
      </w:r>
      <w:r w:rsidR="00E84BEF" w:rsidRPr="00882F11">
        <w:rPr>
          <w:rFonts w:cs="Guttman Drogolin" w:hint="cs"/>
          <w:rtl/>
          <w:lang w:bidi="he-IL"/>
        </w:rPr>
        <w:t>מן</w:t>
      </w:r>
      <w:r w:rsidR="00E84BEF" w:rsidRPr="00882F11">
        <w:rPr>
          <w:rFonts w:cs="Guttman Drogolin"/>
          <w:rtl/>
          <w:lang w:bidi="he-IL"/>
        </w:rPr>
        <w:t xml:space="preserve"> </w:t>
      </w:r>
      <w:r w:rsidR="00E84BEF" w:rsidRPr="00882F11">
        <w:rPr>
          <w:rFonts w:cs="Guttman Drogolin" w:hint="cs"/>
          <w:rtl/>
          <w:lang w:bidi="he-IL"/>
        </w:rPr>
        <w:t>התורה</w:t>
      </w:r>
      <w:r w:rsidR="00E84BEF" w:rsidRPr="00882F11">
        <w:rPr>
          <w:rFonts w:cs="Guttman Drogolin"/>
          <w:rtl/>
          <w:lang w:bidi="he-IL"/>
        </w:rPr>
        <w:t xml:space="preserve"> </w:t>
      </w:r>
      <w:r w:rsidR="00E84BEF" w:rsidRPr="00882F11">
        <w:rPr>
          <w:rFonts w:cs="Guttman Drogolin" w:hint="cs"/>
          <w:rtl/>
          <w:lang w:bidi="he-IL"/>
        </w:rPr>
        <w:t>אליבא</w:t>
      </w:r>
      <w:r w:rsidR="00E84BEF" w:rsidRPr="00882F11">
        <w:rPr>
          <w:rFonts w:cs="Guttman Drogolin"/>
          <w:rtl/>
          <w:lang w:bidi="he-IL"/>
        </w:rPr>
        <w:t xml:space="preserve"> </w:t>
      </w:r>
      <w:r w:rsidR="00E84BEF" w:rsidRPr="00882F11">
        <w:rPr>
          <w:rFonts w:cs="Guttman Drogolin" w:hint="cs"/>
          <w:rtl/>
          <w:lang w:bidi="he-IL"/>
        </w:rPr>
        <w:t>ר</w:t>
      </w:r>
      <w:r w:rsidR="00E84BEF" w:rsidRPr="00882F11">
        <w:rPr>
          <w:rFonts w:cs="Guttman Drogolin"/>
          <w:rtl/>
          <w:lang w:bidi="he-IL"/>
        </w:rPr>
        <w:t xml:space="preserve">' </w:t>
      </w:r>
      <w:r w:rsidR="00E84BEF" w:rsidRPr="00882F11">
        <w:rPr>
          <w:rFonts w:cs="Guttman Drogolin" w:hint="cs"/>
          <w:rtl/>
          <w:lang w:bidi="he-IL"/>
        </w:rPr>
        <w:t>יוחנן</w:t>
      </w:r>
      <w:r w:rsidR="00E84BEF" w:rsidRPr="00882F11">
        <w:rPr>
          <w:rFonts w:cs="Guttman Drogolin"/>
          <w:rtl/>
          <w:lang w:bidi="he-IL"/>
        </w:rPr>
        <w:t xml:space="preserve">. </w:t>
      </w:r>
      <w:r w:rsidR="00D80EE3" w:rsidRPr="00882F11">
        <w:rPr>
          <w:rFonts w:cs="Guttman Drogolin" w:hint="cs"/>
          <w:rtl/>
          <w:lang w:bidi="he-IL"/>
        </w:rPr>
        <w:t>ומ"מ עצם דבר זה קשה למה נתלה שתרומה לתוך תרומה נפלה בספיקא דאורייתא.</w:t>
      </w:r>
      <w:r w:rsidR="00A53BF0" w:rsidRPr="00882F11">
        <w:rPr>
          <w:rFonts w:cs="Guttman Drogolin" w:hint="cs"/>
          <w:rtl/>
          <w:lang w:bidi="he-IL"/>
        </w:rPr>
        <w:t xml:space="preserve"> ולכאורה צריכים לומר שהוא משום שיש חזקת היתר. ואכמ"ל בזה.</w:t>
      </w:r>
      <w:r w:rsidR="00D80EE3" w:rsidRPr="00882F11">
        <w:rPr>
          <w:rFonts w:cs="Guttman Drogolin" w:hint="cs"/>
          <w:rtl/>
          <w:lang w:bidi="he-IL"/>
        </w:rPr>
        <w:t xml:space="preserve"> ומ"מ לפי הביאור </w:t>
      </w:r>
      <w:r w:rsidR="001727E9">
        <w:rPr>
          <w:rFonts w:cs="Guttman Drogolin" w:hint="cs"/>
          <w:rtl/>
          <w:lang w:bidi="he-IL"/>
        </w:rPr>
        <w:t>השני הנ"ל</w:t>
      </w:r>
      <w:r w:rsidR="00D80EE3" w:rsidRPr="00882F11">
        <w:rPr>
          <w:rFonts w:cs="Guttman Drogolin" w:hint="cs"/>
          <w:rtl/>
          <w:lang w:bidi="he-IL"/>
        </w:rPr>
        <w:t xml:space="preserve"> בשיטת רש"י הגמ' מו</w:t>
      </w:r>
      <w:r w:rsidR="00A53BF0" w:rsidRPr="00882F11">
        <w:rPr>
          <w:rFonts w:cs="Guttman Drogolin" w:hint="cs"/>
          <w:rtl/>
          <w:lang w:bidi="he-IL"/>
        </w:rPr>
        <w:t>ב</w:t>
      </w:r>
      <w:r w:rsidR="00D80EE3" w:rsidRPr="00882F11">
        <w:rPr>
          <w:rFonts w:cs="Guttman Drogolin" w:hint="cs"/>
          <w:rtl/>
          <w:lang w:bidi="he-IL"/>
        </w:rPr>
        <w:t>ן היטב, שהטעם שאינו בטל הוא משום דינא ד</w:t>
      </w:r>
      <w:r w:rsidR="00E91626" w:rsidRPr="00882F11">
        <w:rPr>
          <w:rFonts w:cs="Guttman Drogolin" w:hint="cs"/>
          <w:rtl/>
          <w:lang w:bidi="he-IL"/>
        </w:rPr>
        <w:t xml:space="preserve">כזית בכדי </w:t>
      </w:r>
      <w:r w:rsidR="00E91626" w:rsidRPr="00882F11">
        <w:rPr>
          <w:rFonts w:cs="Guttman Drogolin" w:hint="cs"/>
          <w:rtl/>
          <w:lang w:bidi="he-IL"/>
        </w:rPr>
        <w:lastRenderedPageBreak/>
        <w:t>אכילת פרס דאור</w:t>
      </w:r>
      <w:r w:rsidR="009C586C" w:rsidRPr="00882F11">
        <w:rPr>
          <w:rFonts w:cs="Guttman Drogolin" w:hint="cs"/>
          <w:rtl/>
          <w:lang w:bidi="he-IL"/>
        </w:rPr>
        <w:t>יי</w:t>
      </w:r>
      <w:r w:rsidR="00E91626" w:rsidRPr="00882F11">
        <w:rPr>
          <w:rFonts w:cs="Guttman Drogolin" w:hint="cs"/>
          <w:rtl/>
          <w:lang w:bidi="he-IL"/>
        </w:rPr>
        <w:t>תא</w:t>
      </w:r>
      <w:r w:rsidR="00D80EE3" w:rsidRPr="00882F11">
        <w:rPr>
          <w:rFonts w:cs="Guttman Drogolin" w:hint="cs"/>
          <w:rtl/>
          <w:lang w:bidi="he-IL"/>
        </w:rPr>
        <w:t>, ולעולם אין כלל שסתם תרומה לא בטילה בחולין.</w:t>
      </w:r>
    </w:p>
    <w:p w:rsidR="00701E71" w:rsidRPr="00882F11" w:rsidRDefault="00701E71" w:rsidP="00D80EE3">
      <w:pPr>
        <w:tabs>
          <w:tab w:val="left" w:pos="1183"/>
        </w:tabs>
        <w:bidi/>
        <w:jc w:val="both"/>
        <w:rPr>
          <w:rFonts w:cs="Guttman Drogolin"/>
          <w:rtl/>
          <w:lang w:bidi="he-IL"/>
        </w:rPr>
      </w:pPr>
      <w:r w:rsidRPr="00882F11">
        <w:rPr>
          <w:rFonts w:cs="Guttman Drogolin" w:hint="cs"/>
          <w:rtl/>
          <w:lang w:bidi="he-IL"/>
        </w:rPr>
        <w:t>ו</w:t>
      </w:r>
      <w:r w:rsidR="007817BC" w:rsidRPr="00882F11">
        <w:rPr>
          <w:rFonts w:cs="Guttman Drogolin" w:hint="cs"/>
          <w:rtl/>
          <w:lang w:bidi="he-IL"/>
        </w:rPr>
        <w:t>הנה בגמ' דמס' נזיר מבואר שלמ"ד ה</w:t>
      </w:r>
      <w:r w:rsidRPr="00882F11">
        <w:rPr>
          <w:rFonts w:cs="Guttman Drogolin" w:hint="cs"/>
          <w:rtl/>
          <w:lang w:bidi="he-IL"/>
        </w:rPr>
        <w:t>מל"א לא קשה הא דב' קופות כיון שרבו חולין. ובשיעור הקודם הבאנו לבאר בזה בב' אנפי, או דכוונת הגמ' לומר שכיון שרבו חולין האיסור בטל, ומיירי במין במינו, ולעולם במין בשאינו מינו אפילו רבו חולין אמרינן שהיתר מצטרף לאיסור. א"נ הדין דרבו חולין אינו דין בביטול, רק דין ב</w:t>
      </w:r>
      <w:r w:rsidR="00E91626" w:rsidRPr="00882F11">
        <w:rPr>
          <w:rFonts w:cs="Guttman Drogolin" w:hint="cs"/>
          <w:rtl/>
          <w:lang w:bidi="he-IL"/>
        </w:rPr>
        <w:t>היתר מצטרף לאיסור</w:t>
      </w:r>
      <w:r w:rsidR="008623F9">
        <w:rPr>
          <w:rFonts w:cs="Guttman Drogolin" w:hint="cs"/>
          <w:rtl/>
          <w:lang w:bidi="he-IL"/>
        </w:rPr>
        <w:t xml:space="preserve">, שלא נאמר  הדין </w:t>
      </w:r>
      <w:r w:rsidR="00E91626" w:rsidRPr="00882F11">
        <w:rPr>
          <w:rFonts w:cs="Guttman Drogolin" w:hint="cs"/>
          <w:rtl/>
          <w:lang w:bidi="he-IL"/>
        </w:rPr>
        <w:t>היתר מצטרף לאיסור</w:t>
      </w:r>
      <w:r w:rsidRPr="00882F11">
        <w:rPr>
          <w:rFonts w:cs="Guttman Drogolin" w:hint="cs"/>
          <w:rtl/>
          <w:lang w:bidi="he-IL"/>
        </w:rPr>
        <w:t xml:space="preserve"> אם יש רוב היתר אע"פ שאין האיסור בטל. ולכן אפילו אם הוא מין בשא"מ אם יש רוב חולין אין </w:t>
      </w:r>
      <w:r w:rsidR="00E91626" w:rsidRPr="00882F11">
        <w:rPr>
          <w:rFonts w:cs="Guttman Drogolin" w:hint="cs"/>
          <w:rtl/>
          <w:lang w:bidi="he-IL"/>
        </w:rPr>
        <w:t>היתר מצטרף לאיסור</w:t>
      </w:r>
      <w:r w:rsidRPr="00882F11">
        <w:rPr>
          <w:rFonts w:cs="Guttman Drogolin" w:hint="cs"/>
          <w:rtl/>
          <w:lang w:bidi="he-IL"/>
        </w:rPr>
        <w:t>.</w:t>
      </w:r>
    </w:p>
    <w:p w:rsidR="007B52E7" w:rsidRPr="00882F11" w:rsidRDefault="00701E71" w:rsidP="008623F9">
      <w:pPr>
        <w:tabs>
          <w:tab w:val="left" w:pos="1183"/>
        </w:tabs>
        <w:bidi/>
        <w:jc w:val="both"/>
        <w:rPr>
          <w:rFonts w:cs="Guttman Drogolin"/>
          <w:rtl/>
          <w:lang w:bidi="he-IL"/>
        </w:rPr>
      </w:pPr>
      <w:r w:rsidRPr="00882F11">
        <w:rPr>
          <w:rFonts w:cs="Guttman Drogolin" w:hint="cs"/>
          <w:rtl/>
          <w:lang w:bidi="he-IL"/>
        </w:rPr>
        <w:t xml:space="preserve">וע' בר"ש במס' טבו"י שהקשה לפי זה ממנ"פ, אם הדין </w:t>
      </w:r>
      <w:r w:rsidR="00E91626" w:rsidRPr="00882F11">
        <w:rPr>
          <w:rFonts w:cs="Guttman Drogolin" w:hint="cs"/>
          <w:rtl/>
          <w:lang w:bidi="he-IL"/>
        </w:rPr>
        <w:t>היתר מצטרף לאיסור</w:t>
      </w:r>
      <w:r w:rsidRPr="00882F11">
        <w:rPr>
          <w:rFonts w:cs="Guttman Drogolin" w:hint="cs"/>
          <w:rtl/>
          <w:lang w:bidi="he-IL"/>
        </w:rPr>
        <w:t xml:space="preserve"> לא נאמר ברבו חולין אפילו בכה"ג שאין האיסור בטל, צ"ע במקפה ומדוכות למה רצו לומר ש</w:t>
      </w:r>
      <w:r w:rsidR="00E91626" w:rsidRPr="00882F11">
        <w:rPr>
          <w:rFonts w:cs="Guttman Drogolin" w:hint="cs"/>
          <w:rtl/>
          <w:lang w:bidi="he-IL"/>
        </w:rPr>
        <w:t>היתר מצטרף לאיסור</w:t>
      </w:r>
      <w:r w:rsidRPr="00882F11">
        <w:rPr>
          <w:rFonts w:cs="Guttman Drogolin" w:hint="cs"/>
          <w:rtl/>
          <w:lang w:bidi="he-IL"/>
        </w:rPr>
        <w:t xml:space="preserve">, הא בתרוייהו יש רוב היתר (ושם במס' נזיר לא אמרו דניחא משום דרבו חולין אלא בקופות ולא במדוכות). ואם הדין רביי' משום שע"י זה הוא בטל, צ"ע למה בב' קופות אינו בטל לגמרי כיון שמין במינו בטל ברוב. ושם בר"ש הביא ב' תירוצים. </w:t>
      </w:r>
      <w:r w:rsidR="008623F9">
        <w:rPr>
          <w:rFonts w:cs="Guttman Drogolin" w:hint="cs"/>
          <w:rtl/>
          <w:lang w:bidi="he-IL"/>
        </w:rPr>
        <w:t>א' למ"ד דברביי' לא אמרינן משום דבטל, וא' למ"ד שהוא דין בהיתר מצטרף לאיסור. למ"ד</w:t>
      </w:r>
      <w:r w:rsidRPr="00882F11">
        <w:rPr>
          <w:rFonts w:cs="Guttman Drogolin" w:hint="cs"/>
          <w:rtl/>
          <w:lang w:bidi="he-IL"/>
        </w:rPr>
        <w:t xml:space="preserve"> </w:t>
      </w:r>
      <w:r w:rsidR="00976EF8" w:rsidRPr="00882F11">
        <w:rPr>
          <w:rFonts w:cs="Guttman Drogolin" w:hint="cs"/>
          <w:rtl/>
          <w:lang w:bidi="he-IL"/>
        </w:rPr>
        <w:t xml:space="preserve">שהדין רביי' הוא דין בביטול </w:t>
      </w:r>
      <w:r w:rsidR="008623F9">
        <w:rPr>
          <w:rFonts w:cs="Guttman Drogolin" w:hint="cs"/>
          <w:rtl/>
          <w:lang w:bidi="he-IL"/>
        </w:rPr>
        <w:t>פי' ד</w:t>
      </w:r>
      <w:r w:rsidR="00976EF8" w:rsidRPr="00882F11">
        <w:rPr>
          <w:rFonts w:cs="Guttman Drogolin" w:hint="cs"/>
          <w:rtl/>
          <w:lang w:bidi="he-IL"/>
        </w:rPr>
        <w:t xml:space="preserve">הא דקופות </w:t>
      </w:r>
      <w:r w:rsidR="007B52E7" w:rsidRPr="00882F11">
        <w:rPr>
          <w:rFonts w:cs="Guttman Drogolin" w:hint="cs"/>
          <w:rtl/>
          <w:lang w:bidi="he-IL"/>
        </w:rPr>
        <w:t xml:space="preserve">וכן מדוכות </w:t>
      </w:r>
      <w:r w:rsidR="00976EF8" w:rsidRPr="00882F11">
        <w:rPr>
          <w:rFonts w:cs="Guttman Drogolin" w:hint="cs"/>
          <w:rtl/>
          <w:lang w:bidi="he-IL"/>
        </w:rPr>
        <w:t xml:space="preserve">מיירי במין במינו, ומ"מ </w:t>
      </w:r>
      <w:r w:rsidR="00E91626" w:rsidRPr="00882F11">
        <w:rPr>
          <w:rFonts w:cs="Guttman Drogolin" w:hint="cs"/>
          <w:rtl/>
          <w:lang w:bidi="he-IL"/>
        </w:rPr>
        <w:t>כזית בכדי אכילת פרס</w:t>
      </w:r>
      <w:r w:rsidRPr="00882F11">
        <w:rPr>
          <w:rFonts w:cs="Guttman Drogolin" w:hint="cs"/>
          <w:rtl/>
          <w:lang w:bidi="he-IL"/>
        </w:rPr>
        <w:t xml:space="preserve"> אינו בטל אפילו אם הוא מין במינו</w:t>
      </w:r>
      <w:r w:rsidR="00976EF8" w:rsidRPr="00882F11">
        <w:rPr>
          <w:rFonts w:cs="Guttman Drogolin" w:hint="cs"/>
          <w:rtl/>
          <w:lang w:bidi="he-IL"/>
        </w:rPr>
        <w:t>, וע"ש שלפי זה קשה מהמבואר במס' זבחים שהדין של מין במינו הוא להתבטל ברוב.</w:t>
      </w:r>
      <w:r w:rsidR="00F96D29" w:rsidRPr="00882F11">
        <w:rPr>
          <w:rFonts w:cs="Guttman Drogolin" w:hint="cs"/>
          <w:rtl/>
          <w:lang w:bidi="he-IL"/>
        </w:rPr>
        <w:t xml:space="preserve"> </w:t>
      </w:r>
      <w:r w:rsidR="007B52E7" w:rsidRPr="00882F11">
        <w:rPr>
          <w:rFonts w:cs="Guttman Drogolin" w:hint="cs"/>
          <w:rtl/>
          <w:lang w:bidi="he-IL"/>
        </w:rPr>
        <w:t>וע' גם בחי' ר' דוד מזה. וע' תוס</w:t>
      </w:r>
      <w:r w:rsidR="007B52E7" w:rsidRPr="00882F11">
        <w:rPr>
          <w:rFonts w:cs="Guttman Drogolin"/>
          <w:rtl/>
          <w:lang w:bidi="he-IL"/>
        </w:rPr>
        <w:t xml:space="preserve">' </w:t>
      </w:r>
      <w:r w:rsidR="007B52E7" w:rsidRPr="00882F11">
        <w:rPr>
          <w:rFonts w:cs="Guttman Drogolin" w:hint="cs"/>
          <w:rtl/>
          <w:lang w:bidi="he-IL"/>
        </w:rPr>
        <w:t>במס</w:t>
      </w:r>
      <w:r w:rsidR="007B52E7" w:rsidRPr="00882F11">
        <w:rPr>
          <w:rFonts w:cs="Guttman Drogolin"/>
          <w:rtl/>
          <w:lang w:bidi="he-IL"/>
        </w:rPr>
        <w:t xml:space="preserve">' </w:t>
      </w:r>
      <w:r w:rsidR="007B52E7" w:rsidRPr="00882F11">
        <w:rPr>
          <w:rFonts w:cs="Guttman Drogolin" w:hint="cs"/>
          <w:rtl/>
          <w:lang w:bidi="he-IL"/>
        </w:rPr>
        <w:t>נזיר</w:t>
      </w:r>
      <w:r w:rsidR="007B52E7" w:rsidRPr="00882F11">
        <w:rPr>
          <w:rFonts w:cs="Guttman Drogolin"/>
          <w:rtl/>
          <w:lang w:bidi="he-IL"/>
        </w:rPr>
        <w:t xml:space="preserve"> </w:t>
      </w:r>
      <w:r w:rsidR="007B52E7" w:rsidRPr="00882F11">
        <w:rPr>
          <w:rFonts w:cs="Guttman Drogolin" w:hint="cs"/>
          <w:rtl/>
          <w:lang w:bidi="he-IL"/>
        </w:rPr>
        <w:t>דף</w:t>
      </w:r>
      <w:r w:rsidR="007B52E7" w:rsidRPr="00882F11">
        <w:rPr>
          <w:rFonts w:cs="Guttman Drogolin"/>
          <w:rtl/>
          <w:lang w:bidi="he-IL"/>
        </w:rPr>
        <w:t xml:space="preserve"> </w:t>
      </w:r>
      <w:r w:rsidR="007B52E7" w:rsidRPr="00882F11">
        <w:rPr>
          <w:rFonts w:cs="Guttman Drogolin" w:hint="cs"/>
          <w:rtl/>
          <w:lang w:bidi="he-IL"/>
        </w:rPr>
        <w:t>ל</w:t>
      </w:r>
      <w:r w:rsidR="007B52E7" w:rsidRPr="00882F11">
        <w:rPr>
          <w:rFonts w:cs="Guttman Drogolin"/>
          <w:rtl/>
          <w:lang w:bidi="he-IL"/>
        </w:rPr>
        <w:t>"</w:t>
      </w:r>
      <w:r w:rsidR="007B52E7" w:rsidRPr="00882F11">
        <w:rPr>
          <w:rFonts w:cs="Guttman Drogolin" w:hint="cs"/>
          <w:rtl/>
          <w:lang w:bidi="he-IL"/>
        </w:rPr>
        <w:t>ו</w:t>
      </w:r>
      <w:r w:rsidR="007B52E7" w:rsidRPr="00882F11">
        <w:rPr>
          <w:rFonts w:cs="Guttman Drogolin"/>
          <w:rtl/>
          <w:lang w:bidi="he-IL"/>
        </w:rPr>
        <w:t xml:space="preserve"> </w:t>
      </w:r>
      <w:r w:rsidR="007B52E7" w:rsidRPr="00882F11">
        <w:rPr>
          <w:rFonts w:cs="Guttman Drogolin" w:hint="cs"/>
          <w:rtl/>
          <w:lang w:bidi="he-IL"/>
        </w:rPr>
        <w:t>ע</w:t>
      </w:r>
      <w:r w:rsidR="007B52E7" w:rsidRPr="00882F11">
        <w:rPr>
          <w:rFonts w:cs="Guttman Drogolin"/>
          <w:rtl/>
          <w:lang w:bidi="he-IL"/>
        </w:rPr>
        <w:t>"</w:t>
      </w:r>
      <w:r w:rsidR="007B52E7" w:rsidRPr="00882F11">
        <w:rPr>
          <w:rFonts w:cs="Guttman Drogolin" w:hint="cs"/>
          <w:rtl/>
          <w:lang w:bidi="he-IL"/>
        </w:rPr>
        <w:t>ב</w:t>
      </w:r>
      <w:r w:rsidR="007B52E7" w:rsidRPr="00882F11">
        <w:rPr>
          <w:rFonts w:cs="Guttman Drogolin"/>
          <w:rtl/>
          <w:lang w:bidi="he-IL"/>
        </w:rPr>
        <w:t xml:space="preserve"> </w:t>
      </w:r>
      <w:r w:rsidR="007B52E7" w:rsidRPr="00882F11">
        <w:rPr>
          <w:rFonts w:cs="Guttman Drogolin" w:hint="cs"/>
          <w:rtl/>
          <w:lang w:bidi="he-IL"/>
        </w:rPr>
        <w:t>שתי</w:t>
      </w:r>
      <w:r w:rsidR="007B52E7" w:rsidRPr="00882F11">
        <w:rPr>
          <w:rFonts w:cs="Guttman Drogolin"/>
          <w:rtl/>
          <w:lang w:bidi="he-IL"/>
        </w:rPr>
        <w:t xml:space="preserve">' </w:t>
      </w:r>
      <w:r w:rsidR="007B52E7" w:rsidRPr="00882F11">
        <w:rPr>
          <w:rFonts w:cs="Guttman Drogolin" w:hint="cs"/>
          <w:rtl/>
          <w:lang w:bidi="he-IL"/>
        </w:rPr>
        <w:t>הא</w:t>
      </w:r>
      <w:r w:rsidR="007B52E7" w:rsidRPr="00882F11">
        <w:rPr>
          <w:rFonts w:cs="Guttman Drogolin"/>
          <w:rtl/>
          <w:lang w:bidi="he-IL"/>
        </w:rPr>
        <w:t xml:space="preserve"> </w:t>
      </w:r>
      <w:r w:rsidR="007B52E7" w:rsidRPr="00882F11">
        <w:rPr>
          <w:rFonts w:cs="Guttman Drogolin" w:hint="cs"/>
          <w:rtl/>
          <w:lang w:bidi="he-IL"/>
        </w:rPr>
        <w:t>דבטלה</w:t>
      </w:r>
      <w:r w:rsidR="007B52E7" w:rsidRPr="00882F11">
        <w:rPr>
          <w:rFonts w:cs="Guttman Drogolin"/>
          <w:rtl/>
          <w:lang w:bidi="he-IL"/>
        </w:rPr>
        <w:t xml:space="preserve"> </w:t>
      </w:r>
      <w:r w:rsidR="007B52E7" w:rsidRPr="00882F11">
        <w:rPr>
          <w:rFonts w:cs="Guttman Drogolin" w:hint="cs"/>
          <w:rtl/>
          <w:lang w:bidi="he-IL"/>
        </w:rPr>
        <w:t>ברובא ומותר מדאורייתא (דאילו מדרבנן תערובת</w:t>
      </w:r>
      <w:r w:rsidR="007B52E7" w:rsidRPr="00882F11">
        <w:rPr>
          <w:rFonts w:cs="Guttman Drogolin"/>
          <w:rtl/>
          <w:lang w:bidi="he-IL"/>
        </w:rPr>
        <w:t xml:space="preserve"> </w:t>
      </w:r>
      <w:r w:rsidR="007B52E7" w:rsidRPr="00882F11">
        <w:rPr>
          <w:rFonts w:cs="Guttman Drogolin" w:hint="cs"/>
          <w:rtl/>
          <w:lang w:bidi="he-IL"/>
        </w:rPr>
        <w:t>לח</w:t>
      </w:r>
      <w:r w:rsidR="007B52E7" w:rsidRPr="00882F11">
        <w:rPr>
          <w:rFonts w:cs="Guttman Drogolin"/>
          <w:rtl/>
          <w:lang w:bidi="he-IL"/>
        </w:rPr>
        <w:t xml:space="preserve"> </w:t>
      </w:r>
      <w:r w:rsidR="007B52E7" w:rsidRPr="00882F11">
        <w:rPr>
          <w:rFonts w:cs="Guttman Drogolin" w:hint="cs"/>
          <w:rtl/>
          <w:lang w:bidi="he-IL"/>
        </w:rPr>
        <w:t>בלח</w:t>
      </w:r>
      <w:r w:rsidR="007B52E7" w:rsidRPr="00882F11">
        <w:rPr>
          <w:rFonts w:cs="Guttman Drogolin"/>
          <w:rtl/>
          <w:lang w:bidi="he-IL"/>
        </w:rPr>
        <w:t xml:space="preserve"> </w:t>
      </w:r>
      <w:r w:rsidR="00F96D29" w:rsidRPr="00882F11">
        <w:rPr>
          <w:rFonts w:cs="Guttman Drogolin" w:hint="cs"/>
          <w:rtl/>
          <w:lang w:bidi="he-IL"/>
        </w:rPr>
        <w:t>צ</w:t>
      </w:r>
      <w:r w:rsidR="007B52E7" w:rsidRPr="00882F11">
        <w:rPr>
          <w:rFonts w:cs="Guttman Drogolin" w:hint="cs"/>
          <w:rtl/>
          <w:lang w:bidi="he-IL"/>
        </w:rPr>
        <w:t>ר</w:t>
      </w:r>
      <w:r w:rsidR="00F96D29" w:rsidRPr="00882F11">
        <w:rPr>
          <w:rFonts w:cs="Guttman Drogolin" w:hint="cs"/>
          <w:rtl/>
          <w:lang w:bidi="he-IL"/>
        </w:rPr>
        <w:t>י</w:t>
      </w:r>
      <w:r w:rsidR="007B52E7" w:rsidRPr="00882F11">
        <w:rPr>
          <w:rFonts w:cs="Guttman Drogolin" w:hint="cs"/>
          <w:rtl/>
          <w:lang w:bidi="he-IL"/>
        </w:rPr>
        <w:t>ך</w:t>
      </w:r>
      <w:r w:rsidR="007B52E7" w:rsidRPr="00882F11">
        <w:rPr>
          <w:rFonts w:cs="Guttman Drogolin"/>
          <w:rtl/>
          <w:lang w:bidi="he-IL"/>
        </w:rPr>
        <w:t xml:space="preserve"> </w:t>
      </w:r>
      <w:r w:rsidR="007B52E7" w:rsidRPr="00882F11">
        <w:rPr>
          <w:rFonts w:cs="Guttman Drogolin" w:hint="cs"/>
          <w:rtl/>
          <w:lang w:bidi="he-IL"/>
        </w:rPr>
        <w:t>ששים)</w:t>
      </w:r>
      <w:r w:rsidR="007B52E7" w:rsidRPr="00882F11">
        <w:rPr>
          <w:rFonts w:cs="Guttman Drogolin"/>
          <w:rtl/>
          <w:lang w:bidi="he-IL"/>
        </w:rPr>
        <w:t xml:space="preserve"> </w:t>
      </w:r>
      <w:r w:rsidR="007B52E7" w:rsidRPr="00882F11">
        <w:rPr>
          <w:rFonts w:cs="Guttman Drogolin" w:hint="cs"/>
          <w:rtl/>
          <w:lang w:bidi="he-IL"/>
        </w:rPr>
        <w:t>ע"פ יסוד דכדי</w:t>
      </w:r>
      <w:r w:rsidR="007B52E7" w:rsidRPr="00882F11">
        <w:rPr>
          <w:rFonts w:cs="Guttman Drogolin"/>
          <w:rtl/>
          <w:lang w:bidi="he-IL"/>
        </w:rPr>
        <w:t xml:space="preserve"> </w:t>
      </w:r>
      <w:r w:rsidR="007B52E7" w:rsidRPr="00882F11">
        <w:rPr>
          <w:rFonts w:cs="Guttman Drogolin" w:hint="cs"/>
          <w:rtl/>
          <w:lang w:bidi="he-IL"/>
        </w:rPr>
        <w:t>להקל</w:t>
      </w:r>
      <w:r w:rsidR="007B52E7" w:rsidRPr="00882F11">
        <w:rPr>
          <w:rFonts w:cs="Guttman Drogolin"/>
          <w:rtl/>
          <w:lang w:bidi="he-IL"/>
        </w:rPr>
        <w:t xml:space="preserve"> </w:t>
      </w:r>
      <w:r w:rsidR="007B52E7" w:rsidRPr="00882F11">
        <w:rPr>
          <w:rFonts w:cs="Guttman Drogolin" w:hint="cs"/>
          <w:rtl/>
          <w:lang w:bidi="he-IL"/>
        </w:rPr>
        <w:t>ולומר</w:t>
      </w:r>
      <w:r w:rsidR="007B52E7" w:rsidRPr="00882F11">
        <w:rPr>
          <w:rFonts w:cs="Guttman Drogolin"/>
          <w:rtl/>
          <w:lang w:bidi="he-IL"/>
        </w:rPr>
        <w:t xml:space="preserve"> </w:t>
      </w:r>
      <w:r w:rsidR="007B52E7" w:rsidRPr="00882F11">
        <w:rPr>
          <w:rFonts w:cs="Guttman Drogolin" w:hint="cs"/>
          <w:rtl/>
          <w:lang w:bidi="he-IL"/>
        </w:rPr>
        <w:t>שאני</w:t>
      </w:r>
      <w:r w:rsidR="007B52E7" w:rsidRPr="00882F11">
        <w:rPr>
          <w:rFonts w:cs="Guttman Drogolin"/>
          <w:rtl/>
          <w:lang w:bidi="he-IL"/>
        </w:rPr>
        <w:t xml:space="preserve"> </w:t>
      </w:r>
      <w:r w:rsidR="007B52E7" w:rsidRPr="00882F11">
        <w:rPr>
          <w:rFonts w:cs="Guttman Drogolin" w:hint="cs"/>
          <w:rtl/>
          <w:lang w:bidi="he-IL"/>
        </w:rPr>
        <w:t>אומר</w:t>
      </w:r>
      <w:r w:rsidR="007B52E7" w:rsidRPr="00882F11">
        <w:rPr>
          <w:rFonts w:cs="Guttman Drogolin"/>
          <w:rtl/>
          <w:lang w:bidi="he-IL"/>
        </w:rPr>
        <w:t xml:space="preserve"> </w:t>
      </w:r>
      <w:r w:rsidR="007B52E7" w:rsidRPr="00882F11">
        <w:rPr>
          <w:rFonts w:cs="Guttman Drogolin" w:hint="cs"/>
          <w:rtl/>
          <w:lang w:bidi="he-IL"/>
        </w:rPr>
        <w:t>בעינן</w:t>
      </w:r>
      <w:r w:rsidR="007B52E7" w:rsidRPr="00882F11">
        <w:rPr>
          <w:rFonts w:cs="Guttman Drogolin"/>
          <w:rtl/>
          <w:lang w:bidi="he-IL"/>
        </w:rPr>
        <w:t xml:space="preserve"> </w:t>
      </w:r>
      <w:r w:rsidR="007B52E7" w:rsidRPr="00882F11">
        <w:rPr>
          <w:rFonts w:cs="Guttman Drogolin" w:hint="cs"/>
          <w:rtl/>
          <w:lang w:bidi="he-IL"/>
        </w:rPr>
        <w:t>תרי</w:t>
      </w:r>
      <w:r w:rsidR="007B52E7" w:rsidRPr="00882F11">
        <w:rPr>
          <w:rFonts w:cs="Guttman Drogolin"/>
          <w:rtl/>
          <w:lang w:bidi="he-IL"/>
        </w:rPr>
        <w:t xml:space="preserve"> </w:t>
      </w:r>
      <w:r w:rsidR="007B52E7" w:rsidRPr="00882F11">
        <w:rPr>
          <w:rFonts w:cs="Guttman Drogolin" w:hint="cs"/>
          <w:rtl/>
          <w:lang w:bidi="he-IL"/>
        </w:rPr>
        <w:t>טעמי</w:t>
      </w:r>
      <w:r w:rsidR="007B52E7" w:rsidRPr="00882F11">
        <w:rPr>
          <w:rFonts w:cs="Guttman Drogolin"/>
          <w:rtl/>
          <w:lang w:bidi="he-IL"/>
        </w:rPr>
        <w:t xml:space="preserve"> </w:t>
      </w:r>
      <w:r w:rsidR="007B52E7" w:rsidRPr="00882F11">
        <w:rPr>
          <w:rFonts w:cs="Guttman Drogolin" w:hint="cs"/>
          <w:rtl/>
          <w:lang w:bidi="he-IL"/>
        </w:rPr>
        <w:t>להתיר</w:t>
      </w:r>
      <w:r w:rsidR="007B52E7" w:rsidRPr="00882F11">
        <w:rPr>
          <w:rFonts w:cs="Guttman Drogolin"/>
          <w:rtl/>
          <w:lang w:bidi="he-IL"/>
        </w:rPr>
        <w:t>.</w:t>
      </w:r>
    </w:p>
    <w:p w:rsidR="00701E71" w:rsidRPr="00882F11" w:rsidRDefault="008623F9" w:rsidP="008623F9">
      <w:pPr>
        <w:tabs>
          <w:tab w:val="left" w:pos="1183"/>
        </w:tabs>
        <w:bidi/>
        <w:jc w:val="both"/>
        <w:rPr>
          <w:rFonts w:cs="Guttman Drogolin"/>
          <w:rtl/>
          <w:lang w:bidi="he-IL"/>
        </w:rPr>
      </w:pPr>
      <w:r>
        <w:rPr>
          <w:rFonts w:cs="Guttman Drogolin" w:hint="cs"/>
          <w:rtl/>
          <w:lang w:bidi="he-IL"/>
        </w:rPr>
        <w:t>ולמ"ד</w:t>
      </w:r>
      <w:r w:rsidR="00976EF8" w:rsidRPr="00882F11">
        <w:rPr>
          <w:rFonts w:cs="Guttman Drogolin" w:hint="cs"/>
          <w:rtl/>
          <w:lang w:bidi="he-IL"/>
        </w:rPr>
        <w:t xml:space="preserve"> שהדין של רוב הוא דין ב</w:t>
      </w:r>
      <w:r w:rsidR="00E91626" w:rsidRPr="00882F11">
        <w:rPr>
          <w:rFonts w:cs="Guttman Drogolin" w:hint="cs"/>
          <w:rtl/>
          <w:lang w:bidi="he-IL"/>
        </w:rPr>
        <w:t>היתר מצטרף לאיסור</w:t>
      </w:r>
      <w:r w:rsidR="00976EF8" w:rsidRPr="00882F11">
        <w:rPr>
          <w:rFonts w:cs="Guttman Drogolin" w:hint="cs"/>
          <w:rtl/>
          <w:lang w:bidi="he-IL"/>
        </w:rPr>
        <w:t xml:space="preserve">, ולגבי הא שאמרו </w:t>
      </w:r>
      <w:r w:rsidR="00E91626" w:rsidRPr="00882F11">
        <w:rPr>
          <w:rFonts w:cs="Guttman Drogolin" w:hint="cs"/>
          <w:rtl/>
          <w:lang w:bidi="he-IL"/>
        </w:rPr>
        <w:t>היתר מצטרף לאיסור</w:t>
      </w:r>
      <w:r w:rsidR="00976EF8" w:rsidRPr="00882F11">
        <w:rPr>
          <w:rFonts w:cs="Guttman Drogolin" w:hint="cs"/>
          <w:rtl/>
          <w:lang w:bidi="he-IL"/>
        </w:rPr>
        <w:t xml:space="preserve"> אפילו במקפה ובמדוכות פי' דעד כאן לא אמרו שברוב היתר לא אמרינן </w:t>
      </w:r>
      <w:r w:rsidR="00E91626" w:rsidRPr="00882F11">
        <w:rPr>
          <w:rFonts w:cs="Guttman Drogolin" w:hint="cs"/>
          <w:rtl/>
          <w:lang w:bidi="he-IL"/>
        </w:rPr>
        <w:t>היתר מצטרף לאיסור</w:t>
      </w:r>
      <w:r w:rsidR="00976EF8" w:rsidRPr="00882F11">
        <w:rPr>
          <w:rFonts w:cs="Guttman Drogolin" w:hint="cs"/>
          <w:rtl/>
          <w:lang w:bidi="he-IL"/>
        </w:rPr>
        <w:t xml:space="preserve"> אלא כשאינו דרך נתינת טעם, אבל דר</w:t>
      </w:r>
      <w:r w:rsidR="007B52E7" w:rsidRPr="00882F11">
        <w:rPr>
          <w:rFonts w:cs="Guttman Drogolin" w:hint="cs"/>
          <w:rtl/>
          <w:lang w:bidi="he-IL"/>
        </w:rPr>
        <w:t>ך</w:t>
      </w:r>
      <w:r w:rsidR="00976EF8" w:rsidRPr="00882F11">
        <w:rPr>
          <w:rFonts w:cs="Guttman Drogolin" w:hint="cs"/>
          <w:rtl/>
          <w:lang w:bidi="he-IL"/>
        </w:rPr>
        <w:t xml:space="preserve"> נתינת </w:t>
      </w:r>
      <w:r w:rsidR="00976EF8" w:rsidRPr="00882F11">
        <w:rPr>
          <w:rFonts w:cs="Guttman Drogolin" w:hint="cs"/>
          <w:rtl/>
          <w:lang w:bidi="he-IL"/>
        </w:rPr>
        <w:lastRenderedPageBreak/>
        <w:t xml:space="preserve">טעם </w:t>
      </w:r>
      <w:r w:rsidR="00E91626" w:rsidRPr="00882F11">
        <w:rPr>
          <w:rFonts w:cs="Guttman Drogolin" w:hint="cs"/>
          <w:rtl/>
          <w:lang w:bidi="he-IL"/>
        </w:rPr>
        <w:t>היתר מצטרף לאיסור</w:t>
      </w:r>
      <w:r w:rsidR="00976EF8" w:rsidRPr="00882F11">
        <w:rPr>
          <w:rFonts w:cs="Guttman Drogolin" w:hint="cs"/>
          <w:rtl/>
          <w:lang w:bidi="he-IL"/>
        </w:rPr>
        <w:t xml:space="preserve"> אפילו כשיש רוב היתר</w:t>
      </w:r>
      <w:r w:rsidR="007B52E7" w:rsidRPr="00882F11">
        <w:rPr>
          <w:rFonts w:cs="Guttman Drogolin" w:hint="cs"/>
          <w:rtl/>
          <w:lang w:bidi="he-IL"/>
        </w:rPr>
        <w:t>, והא דקופות ומדוכות מיירי בדרך נתינת טעם</w:t>
      </w:r>
      <w:r w:rsidR="00976EF8" w:rsidRPr="00882F11">
        <w:rPr>
          <w:rFonts w:cs="Guttman Drogolin" w:hint="cs"/>
          <w:rtl/>
          <w:lang w:bidi="he-IL"/>
        </w:rPr>
        <w:t>. ונלעוק"ד ביאור כוונתו, דדינא ד</w:t>
      </w:r>
      <w:r w:rsidR="00E91626" w:rsidRPr="00882F11">
        <w:rPr>
          <w:rFonts w:cs="Guttman Drogolin" w:hint="cs"/>
          <w:rtl/>
          <w:lang w:bidi="he-IL"/>
        </w:rPr>
        <w:t>היתר מצטרף לאיסור</w:t>
      </w:r>
      <w:r w:rsidR="00976EF8" w:rsidRPr="00882F11">
        <w:rPr>
          <w:rFonts w:cs="Guttman Drogolin" w:hint="cs"/>
          <w:rtl/>
          <w:lang w:bidi="he-IL"/>
        </w:rPr>
        <w:t xml:space="preserve"> לא נאמר אלא כשהאיסור הוא חלק חשוב של התערובת. ולכן אם יש רוב </w:t>
      </w:r>
      <w:r>
        <w:rPr>
          <w:rFonts w:cs="Guttman Drogolin" w:hint="cs"/>
          <w:rtl/>
          <w:lang w:bidi="he-IL"/>
        </w:rPr>
        <w:t xml:space="preserve">איסור </w:t>
      </w:r>
      <w:r w:rsidR="00976EF8" w:rsidRPr="00882F11">
        <w:rPr>
          <w:rFonts w:cs="Guttman Drogolin" w:hint="cs"/>
          <w:rtl/>
          <w:lang w:bidi="he-IL"/>
        </w:rPr>
        <w:t xml:space="preserve">או </w:t>
      </w:r>
      <w:r>
        <w:rPr>
          <w:rFonts w:cs="Guttman Drogolin" w:hint="cs"/>
          <w:rtl/>
          <w:lang w:bidi="he-IL"/>
        </w:rPr>
        <w:t xml:space="preserve">אפילו </w:t>
      </w:r>
      <w:r w:rsidR="00976EF8" w:rsidRPr="00882F11">
        <w:rPr>
          <w:rFonts w:cs="Guttman Drogolin" w:hint="cs"/>
          <w:rtl/>
          <w:lang w:bidi="he-IL"/>
        </w:rPr>
        <w:t>מחצה על מחצה פשוט ש</w:t>
      </w:r>
      <w:r w:rsidR="00E91626" w:rsidRPr="00882F11">
        <w:rPr>
          <w:rFonts w:cs="Guttman Drogolin" w:hint="cs"/>
          <w:rtl/>
          <w:lang w:bidi="he-IL"/>
        </w:rPr>
        <w:t>היתר מצטרף לאיסור</w:t>
      </w:r>
      <w:r w:rsidR="00976EF8" w:rsidRPr="00882F11">
        <w:rPr>
          <w:rFonts w:cs="Guttman Drogolin" w:hint="cs"/>
          <w:rtl/>
          <w:lang w:bidi="he-IL"/>
        </w:rPr>
        <w:t>. אבל אפילו אם הוא המיעוט, אם הוא הדרך לתת דבר זה לטעם בתבשיל הרי זה ג"כ עושהו חלק חשוב של התערובת ואמרינו ד</w:t>
      </w:r>
      <w:r w:rsidR="00E91626" w:rsidRPr="00882F11">
        <w:rPr>
          <w:rFonts w:cs="Guttman Drogolin" w:hint="cs"/>
          <w:rtl/>
          <w:lang w:bidi="he-IL"/>
        </w:rPr>
        <w:t>היתר מצטרף לאיסור</w:t>
      </w:r>
      <w:r w:rsidR="00976EF8" w:rsidRPr="00882F11">
        <w:rPr>
          <w:rFonts w:cs="Guttman Drogolin" w:hint="cs"/>
          <w:rtl/>
          <w:lang w:bidi="he-IL"/>
        </w:rPr>
        <w:t>. משא"כ כשאינו 'דרך' נתינת טעם, אע"ג שנותן טעם (</w:t>
      </w:r>
      <w:r w:rsidR="007B52E7" w:rsidRPr="00882F11">
        <w:rPr>
          <w:rFonts w:cs="Guttman Drogolin" w:hint="cs"/>
          <w:rtl/>
          <w:lang w:bidi="he-IL"/>
        </w:rPr>
        <w:t>דהא לפי התי' הזה גם ב' קופות</w:t>
      </w:r>
      <w:r w:rsidR="00976EF8" w:rsidRPr="00882F11">
        <w:rPr>
          <w:rFonts w:cs="Guttman Drogolin" w:hint="cs"/>
          <w:rtl/>
          <w:lang w:bidi="he-IL"/>
        </w:rPr>
        <w:t xml:space="preserve"> חייב להיות במין בשאינו מינו, </w:t>
      </w:r>
      <w:r>
        <w:rPr>
          <w:rFonts w:cs="Guttman Drogolin" w:hint="cs"/>
          <w:rtl/>
          <w:lang w:bidi="he-IL"/>
        </w:rPr>
        <w:t>ד</w:t>
      </w:r>
      <w:r w:rsidR="00976EF8" w:rsidRPr="00882F11">
        <w:rPr>
          <w:rFonts w:cs="Guttman Drogolin" w:hint="cs"/>
          <w:rtl/>
          <w:lang w:bidi="he-IL"/>
        </w:rPr>
        <w:t>אל"כ יהא בטל), מ"מ כיון שאי</w:t>
      </w:r>
      <w:r>
        <w:rPr>
          <w:rFonts w:cs="Guttman Drogolin" w:hint="cs"/>
          <w:rtl/>
          <w:lang w:bidi="he-IL"/>
        </w:rPr>
        <w:t>נ</w:t>
      </w:r>
      <w:r w:rsidR="00976EF8" w:rsidRPr="00882F11">
        <w:rPr>
          <w:rFonts w:cs="Guttman Drogolin" w:hint="cs"/>
          <w:rtl/>
          <w:lang w:bidi="he-IL"/>
        </w:rPr>
        <w:t xml:space="preserve">ן חלק חשוב של התבשיל אין </w:t>
      </w:r>
      <w:r w:rsidR="00E91626" w:rsidRPr="00882F11">
        <w:rPr>
          <w:rFonts w:cs="Guttman Drogolin" w:hint="cs"/>
          <w:rtl/>
          <w:lang w:bidi="he-IL"/>
        </w:rPr>
        <w:t>היתר מצטרף לאיסור</w:t>
      </w:r>
      <w:r w:rsidR="00976EF8" w:rsidRPr="00882F11">
        <w:rPr>
          <w:rFonts w:cs="Guttman Drogolin" w:hint="cs"/>
          <w:rtl/>
          <w:lang w:bidi="he-IL"/>
        </w:rPr>
        <w:t xml:space="preserve">. </w:t>
      </w:r>
      <w:r w:rsidR="00D817F1" w:rsidRPr="00882F11">
        <w:rPr>
          <w:rFonts w:cs="Guttman Drogolin" w:hint="cs"/>
          <w:rtl/>
          <w:lang w:bidi="he-IL"/>
        </w:rPr>
        <w:t>ו</w:t>
      </w:r>
      <w:r w:rsidR="00976EF8" w:rsidRPr="00882F11">
        <w:rPr>
          <w:rFonts w:cs="Guttman Drogolin" w:hint="cs"/>
          <w:rtl/>
          <w:lang w:bidi="he-IL"/>
        </w:rPr>
        <w:t xml:space="preserve">לכאורה הסבר זה לא </w:t>
      </w:r>
      <w:r w:rsidR="00F96D29" w:rsidRPr="00882F11">
        <w:rPr>
          <w:rFonts w:cs="Guttman Drogolin" w:hint="cs"/>
          <w:rtl/>
          <w:lang w:bidi="he-IL"/>
        </w:rPr>
        <w:t xml:space="preserve">מובן </w:t>
      </w:r>
      <w:r w:rsidR="00976EF8" w:rsidRPr="00882F11">
        <w:rPr>
          <w:rFonts w:cs="Guttman Drogolin" w:hint="cs"/>
          <w:rtl/>
          <w:lang w:bidi="he-IL"/>
        </w:rPr>
        <w:t>אלא לפי מה שביארנו כמה פעמים בשיטת התוס' בדינא ד</w:t>
      </w:r>
      <w:r w:rsidR="00E91626" w:rsidRPr="00882F11">
        <w:rPr>
          <w:rFonts w:cs="Guttman Drogolin" w:hint="cs"/>
          <w:rtl/>
          <w:lang w:bidi="he-IL"/>
        </w:rPr>
        <w:t>היתר מצטרף לאיסור</w:t>
      </w:r>
      <w:r w:rsidR="00976EF8" w:rsidRPr="00882F11">
        <w:rPr>
          <w:rFonts w:cs="Guttman Drogolin" w:hint="cs"/>
          <w:rtl/>
          <w:lang w:bidi="he-IL"/>
        </w:rPr>
        <w:t>, ד</w:t>
      </w:r>
      <w:r w:rsidR="00E91626" w:rsidRPr="00882F11">
        <w:rPr>
          <w:rFonts w:cs="Guttman Drogolin" w:hint="cs"/>
          <w:rtl/>
          <w:lang w:bidi="he-IL"/>
        </w:rPr>
        <w:t>היתר מצטרף לאיסור</w:t>
      </w:r>
      <w:r w:rsidR="00976EF8" w:rsidRPr="00882F11">
        <w:rPr>
          <w:rFonts w:cs="Guttman Drogolin" w:hint="cs"/>
          <w:rtl/>
          <w:lang w:bidi="he-IL"/>
        </w:rPr>
        <w:t xml:space="preserve"> הוא חלות בתערובת, אבל אם הוא דין במעשה האכילה, הא אפילו אוכל כל א' לבדו </w:t>
      </w:r>
      <w:r w:rsidR="00E91626" w:rsidRPr="00882F11">
        <w:rPr>
          <w:rFonts w:cs="Guttman Drogolin" w:hint="cs"/>
          <w:rtl/>
          <w:lang w:bidi="he-IL"/>
        </w:rPr>
        <w:t>היתר מצטרף לאיסור</w:t>
      </w:r>
      <w:r w:rsidR="00976EF8" w:rsidRPr="00882F11">
        <w:rPr>
          <w:rFonts w:cs="Guttman Drogolin" w:hint="cs"/>
          <w:rtl/>
          <w:lang w:bidi="he-IL"/>
        </w:rPr>
        <w:t xml:space="preserve">, ולמה יהא זה שאינו דרך נתינת טעם גרע. </w:t>
      </w:r>
    </w:p>
    <w:p w:rsidR="00E84BEF" w:rsidRPr="00882F11" w:rsidRDefault="007B52E7" w:rsidP="004A5060">
      <w:pPr>
        <w:tabs>
          <w:tab w:val="left" w:pos="1183"/>
        </w:tabs>
        <w:bidi/>
        <w:jc w:val="both"/>
        <w:rPr>
          <w:rFonts w:cs="Guttman Drogolin"/>
          <w:rtl/>
          <w:lang w:bidi="he-IL"/>
        </w:rPr>
      </w:pPr>
      <w:r w:rsidRPr="00882F11">
        <w:rPr>
          <w:rFonts w:cs="Guttman Drogolin" w:hint="cs"/>
          <w:rtl/>
          <w:lang w:bidi="he-IL"/>
        </w:rPr>
        <w:t xml:space="preserve">וע' בחי' ר' דוד שהקשה שאם הא דקופות מיירי במין בשאינו מינו, ויש כזית </w:t>
      </w:r>
      <w:r w:rsidR="00E91626" w:rsidRPr="00882F11">
        <w:rPr>
          <w:rFonts w:cs="Guttman Drogolin" w:hint="cs"/>
          <w:rtl/>
          <w:lang w:bidi="he-IL"/>
        </w:rPr>
        <w:t>בכדי אכילת פרס</w:t>
      </w:r>
      <w:r w:rsidRPr="00882F11">
        <w:rPr>
          <w:rFonts w:cs="Guttman Drogolin" w:hint="cs"/>
          <w:rtl/>
          <w:lang w:bidi="he-IL"/>
        </w:rPr>
        <w:t>, צ"ע היכי ס"ד שיהי' מ"ד שלא בטל, הא תיפו"ל משום טעמא. ולמהלך של הנחל"ד ניחא, אבל לשאר המהלכים עדיין צ"ע.</w:t>
      </w:r>
    </w:p>
    <w:p w:rsidR="007B52E7" w:rsidRPr="00882F11" w:rsidRDefault="007B52E7" w:rsidP="0078079C">
      <w:pPr>
        <w:pStyle w:val="Heading1"/>
        <w:bidi/>
        <w:spacing w:before="0" w:line="360" w:lineRule="auto"/>
        <w:jc w:val="center"/>
        <w:rPr>
          <w:rFonts w:cs="Guttman Drogolin"/>
          <w:color w:val="auto"/>
          <w:sz w:val="24"/>
          <w:szCs w:val="24"/>
          <w:u w:val="single"/>
          <w:rtl/>
          <w:lang w:bidi="he-IL"/>
        </w:rPr>
      </w:pPr>
      <w:bookmarkStart w:id="14" w:name="_Toc496175280"/>
      <w:r w:rsidRPr="00882F11">
        <w:rPr>
          <w:rFonts w:cs="Guttman Drogolin" w:hint="cs"/>
          <w:color w:val="auto"/>
          <w:sz w:val="24"/>
          <w:szCs w:val="24"/>
          <w:u w:val="single"/>
          <w:rtl/>
          <w:lang w:bidi="he-IL"/>
        </w:rPr>
        <w:t>מהו החידוש של צ</w:t>
      </w:r>
      <w:r w:rsidR="00667E8E" w:rsidRPr="00882F11">
        <w:rPr>
          <w:rFonts w:cs="Guttman Drogolin" w:hint="cs"/>
          <w:color w:val="auto"/>
          <w:sz w:val="24"/>
          <w:szCs w:val="24"/>
          <w:u w:val="single"/>
          <w:rtl/>
          <w:lang w:bidi="he-IL"/>
        </w:rPr>
        <w:t>י</w:t>
      </w:r>
      <w:r w:rsidRPr="00882F11">
        <w:rPr>
          <w:rFonts w:cs="Guttman Drogolin" w:hint="cs"/>
          <w:color w:val="auto"/>
          <w:sz w:val="24"/>
          <w:szCs w:val="24"/>
          <w:u w:val="single"/>
          <w:rtl/>
          <w:lang w:bidi="he-IL"/>
        </w:rPr>
        <w:t>רוף יין לחודי'</w:t>
      </w:r>
      <w:bookmarkEnd w:id="14"/>
    </w:p>
    <w:p w:rsidR="00F772C3" w:rsidRPr="00882F11" w:rsidRDefault="00667E8E" w:rsidP="008623F9">
      <w:pPr>
        <w:tabs>
          <w:tab w:val="left" w:pos="1183"/>
        </w:tabs>
        <w:bidi/>
        <w:jc w:val="both"/>
        <w:rPr>
          <w:rFonts w:cs="Guttman Drogolin"/>
          <w:rtl/>
          <w:lang w:bidi="he-IL"/>
        </w:rPr>
      </w:pPr>
      <w:r w:rsidRPr="00882F11">
        <w:rPr>
          <w:rFonts w:cs="Guttman Drogolin" w:hint="cs"/>
          <w:rtl/>
          <w:lang w:bidi="he-IL"/>
        </w:rPr>
        <w:t>בהמשך הגמ' שאלו איך אפשר לומר דגזה"כ של משרת הוא ל</w:t>
      </w:r>
      <w:r w:rsidR="00E91626" w:rsidRPr="00882F11">
        <w:rPr>
          <w:rFonts w:cs="Guttman Drogolin" w:hint="cs"/>
          <w:rtl/>
          <w:lang w:bidi="he-IL"/>
        </w:rPr>
        <w:t>היתר מצטרף לאיסור</w:t>
      </w:r>
      <w:r w:rsidRPr="00882F11">
        <w:rPr>
          <w:rFonts w:cs="Guttman Drogolin" w:hint="cs"/>
          <w:rtl/>
          <w:lang w:bidi="he-IL"/>
        </w:rPr>
        <w:t xml:space="preserve">, הא חזינן בברייתא שהוא כדי ללמוד הדין של </w:t>
      </w:r>
      <w:r w:rsidR="00BF430F" w:rsidRPr="00882F11">
        <w:rPr>
          <w:rFonts w:cs="Guttman Drogolin" w:hint="cs"/>
          <w:rtl/>
          <w:lang w:bidi="he-IL"/>
        </w:rPr>
        <w:t>טעם כעיקר</w:t>
      </w:r>
      <w:r w:rsidRPr="00882F11">
        <w:rPr>
          <w:rFonts w:cs="Guttman Drogolin" w:hint="cs"/>
          <w:rtl/>
          <w:lang w:bidi="he-IL"/>
        </w:rPr>
        <w:t xml:space="preserve">. </w:t>
      </w:r>
      <w:r w:rsidR="00994184" w:rsidRPr="00882F11">
        <w:rPr>
          <w:rFonts w:cs="Guttman Drogolin" w:hint="cs"/>
          <w:rtl/>
          <w:lang w:bidi="he-IL"/>
        </w:rPr>
        <w:t xml:space="preserve">ומתרצת הגמ' שהברייתא הוא אליבא דרבנן, אבל לר"ע משרת הוא </w:t>
      </w:r>
      <w:r w:rsidR="008623F9">
        <w:rPr>
          <w:rFonts w:cs="Guttman Drogolin" w:hint="cs"/>
          <w:rtl/>
          <w:lang w:bidi="he-IL"/>
        </w:rPr>
        <w:t>להיתר מצטרף לאיסור ולא לטעם כעיקר</w:t>
      </w:r>
      <w:r w:rsidR="00994184" w:rsidRPr="00882F11">
        <w:rPr>
          <w:rFonts w:cs="Guttman Drogolin" w:hint="cs"/>
          <w:rtl/>
          <w:lang w:bidi="he-IL"/>
        </w:rPr>
        <w:t>. ואז הגמ' רוצה לדעת מאיפה יודעים שיש כזה שיטת ר"ע. ומעיקרא רצתה הגמ' ליישב שהוא ממתני' שב</w:t>
      </w:r>
      <w:r w:rsidR="008623F9">
        <w:rPr>
          <w:rFonts w:cs="Guttman Drogolin" w:hint="cs"/>
          <w:rtl/>
          <w:lang w:bidi="he-IL"/>
        </w:rPr>
        <w:t>מ</w:t>
      </w:r>
      <w:r w:rsidR="00994184" w:rsidRPr="00882F11">
        <w:rPr>
          <w:rFonts w:cs="Guttman Drogolin" w:hint="cs"/>
          <w:rtl/>
          <w:lang w:bidi="he-IL"/>
        </w:rPr>
        <w:t>ס' נזיר שכתוב בה "רבי</w:t>
      </w:r>
      <w:r w:rsidR="00994184" w:rsidRPr="00882F11">
        <w:rPr>
          <w:rFonts w:cs="Guttman Drogolin"/>
          <w:rtl/>
          <w:lang w:bidi="he-IL"/>
        </w:rPr>
        <w:t xml:space="preserve"> </w:t>
      </w:r>
      <w:r w:rsidR="00994184" w:rsidRPr="00882F11">
        <w:rPr>
          <w:rFonts w:cs="Guttman Drogolin" w:hint="cs"/>
          <w:rtl/>
          <w:lang w:bidi="he-IL"/>
        </w:rPr>
        <w:t>עקיבא</w:t>
      </w:r>
      <w:r w:rsidR="00994184" w:rsidRPr="00882F11">
        <w:rPr>
          <w:rFonts w:cs="Guttman Drogolin"/>
          <w:rtl/>
          <w:lang w:bidi="he-IL"/>
        </w:rPr>
        <w:t xml:space="preserve"> </w:t>
      </w:r>
      <w:r w:rsidR="00994184" w:rsidRPr="00882F11">
        <w:rPr>
          <w:rFonts w:cs="Guttman Drogolin" w:hint="cs"/>
          <w:rtl/>
          <w:lang w:bidi="he-IL"/>
        </w:rPr>
        <w:t>אומר</w:t>
      </w:r>
      <w:r w:rsidR="00994184" w:rsidRPr="00882F11">
        <w:rPr>
          <w:rFonts w:cs="Guttman Drogolin"/>
          <w:rtl/>
          <w:lang w:bidi="he-IL"/>
        </w:rPr>
        <w:t xml:space="preserve"> </w:t>
      </w:r>
      <w:r w:rsidR="00994184" w:rsidRPr="00882F11">
        <w:rPr>
          <w:rFonts w:cs="Guttman Drogolin" w:hint="cs"/>
          <w:rtl/>
          <w:lang w:bidi="he-IL"/>
        </w:rPr>
        <w:t>נזיר</w:t>
      </w:r>
      <w:r w:rsidR="00994184" w:rsidRPr="00882F11">
        <w:rPr>
          <w:rFonts w:cs="Guttman Drogolin"/>
          <w:rtl/>
          <w:lang w:bidi="he-IL"/>
        </w:rPr>
        <w:t xml:space="preserve"> </w:t>
      </w:r>
      <w:r w:rsidR="00994184" w:rsidRPr="00882F11">
        <w:rPr>
          <w:rFonts w:cs="Guttman Drogolin" w:hint="cs"/>
          <w:rtl/>
          <w:lang w:bidi="he-IL"/>
        </w:rPr>
        <w:t>ששרה</w:t>
      </w:r>
      <w:r w:rsidR="00994184" w:rsidRPr="00882F11">
        <w:rPr>
          <w:rFonts w:cs="Guttman Drogolin"/>
          <w:rtl/>
          <w:lang w:bidi="he-IL"/>
        </w:rPr>
        <w:t xml:space="preserve"> </w:t>
      </w:r>
      <w:r w:rsidR="00994184" w:rsidRPr="00882F11">
        <w:rPr>
          <w:rFonts w:cs="Guttman Drogolin" w:hint="cs"/>
          <w:rtl/>
          <w:lang w:bidi="he-IL"/>
        </w:rPr>
        <w:t>פתו</w:t>
      </w:r>
      <w:r w:rsidR="00994184" w:rsidRPr="00882F11">
        <w:rPr>
          <w:rFonts w:cs="Guttman Drogolin"/>
          <w:rtl/>
          <w:lang w:bidi="he-IL"/>
        </w:rPr>
        <w:t xml:space="preserve"> </w:t>
      </w:r>
      <w:r w:rsidR="00994184" w:rsidRPr="00882F11">
        <w:rPr>
          <w:rFonts w:cs="Guttman Drogolin" w:hint="cs"/>
          <w:rtl/>
          <w:lang w:bidi="he-IL"/>
        </w:rPr>
        <w:t>ביין</w:t>
      </w:r>
      <w:r w:rsidR="00994184" w:rsidRPr="00882F11">
        <w:rPr>
          <w:rFonts w:cs="Guttman Drogolin"/>
          <w:rtl/>
          <w:lang w:bidi="he-IL"/>
        </w:rPr>
        <w:t xml:space="preserve"> </w:t>
      </w:r>
      <w:r w:rsidR="00994184" w:rsidRPr="00882F11">
        <w:rPr>
          <w:rFonts w:cs="Guttman Drogolin" w:hint="cs"/>
          <w:rtl/>
          <w:lang w:bidi="he-IL"/>
        </w:rPr>
        <w:t>ויש</w:t>
      </w:r>
      <w:r w:rsidR="00994184" w:rsidRPr="00882F11">
        <w:rPr>
          <w:rFonts w:cs="Guttman Drogolin"/>
          <w:rtl/>
          <w:lang w:bidi="he-IL"/>
        </w:rPr>
        <w:t xml:space="preserve"> </w:t>
      </w:r>
      <w:r w:rsidR="00994184" w:rsidRPr="00882F11">
        <w:rPr>
          <w:rFonts w:cs="Guttman Drogolin" w:hint="cs"/>
          <w:rtl/>
          <w:lang w:bidi="he-IL"/>
        </w:rPr>
        <w:t>בו</w:t>
      </w:r>
      <w:r w:rsidR="00994184" w:rsidRPr="00882F11">
        <w:rPr>
          <w:rFonts w:cs="Guttman Drogolin"/>
          <w:rtl/>
          <w:lang w:bidi="he-IL"/>
        </w:rPr>
        <w:t xml:space="preserve"> </w:t>
      </w:r>
      <w:r w:rsidR="00994184" w:rsidRPr="00882F11">
        <w:rPr>
          <w:rFonts w:cs="Guttman Drogolin" w:hint="cs"/>
          <w:rtl/>
          <w:lang w:bidi="he-IL"/>
        </w:rPr>
        <w:t>לצרף</w:t>
      </w:r>
      <w:r w:rsidR="00994184" w:rsidRPr="00882F11">
        <w:rPr>
          <w:rFonts w:cs="Guttman Drogolin"/>
          <w:rtl/>
          <w:lang w:bidi="he-IL"/>
        </w:rPr>
        <w:t xml:space="preserve"> </w:t>
      </w:r>
      <w:r w:rsidR="00994184" w:rsidRPr="00882F11">
        <w:rPr>
          <w:rFonts w:cs="Guttman Drogolin" w:hint="cs"/>
          <w:rtl/>
          <w:lang w:bidi="he-IL"/>
        </w:rPr>
        <w:t>כדי</w:t>
      </w:r>
      <w:r w:rsidR="00994184" w:rsidRPr="00882F11">
        <w:rPr>
          <w:rFonts w:cs="Guttman Drogolin"/>
          <w:rtl/>
          <w:lang w:bidi="he-IL"/>
        </w:rPr>
        <w:t xml:space="preserve"> </w:t>
      </w:r>
      <w:r w:rsidR="00994184" w:rsidRPr="00882F11">
        <w:rPr>
          <w:rFonts w:cs="Guttman Drogolin" w:hint="cs"/>
          <w:rtl/>
          <w:lang w:bidi="he-IL"/>
        </w:rPr>
        <w:t>כזית</w:t>
      </w:r>
      <w:r w:rsidR="00994184" w:rsidRPr="00882F11">
        <w:rPr>
          <w:rFonts w:cs="Guttman Drogolin"/>
          <w:rtl/>
          <w:lang w:bidi="he-IL"/>
        </w:rPr>
        <w:t xml:space="preserve"> </w:t>
      </w:r>
      <w:r w:rsidR="00994184" w:rsidRPr="00882F11">
        <w:rPr>
          <w:rFonts w:cs="Guttman Drogolin" w:hint="cs"/>
          <w:rtl/>
          <w:lang w:bidi="he-IL"/>
        </w:rPr>
        <w:t xml:space="preserve">חייב". והגמ' דוחה דיתכן שלעולם אין </w:t>
      </w:r>
      <w:r w:rsidR="00E91626" w:rsidRPr="00882F11">
        <w:rPr>
          <w:rFonts w:cs="Guttman Drogolin" w:hint="cs"/>
          <w:rtl/>
          <w:lang w:bidi="he-IL"/>
        </w:rPr>
        <w:t>היתר מצטרף לאיסור</w:t>
      </w:r>
      <w:r w:rsidR="00994184" w:rsidRPr="00882F11">
        <w:rPr>
          <w:rFonts w:cs="Guttman Drogolin" w:hint="cs"/>
          <w:rtl/>
          <w:lang w:bidi="he-IL"/>
        </w:rPr>
        <w:t xml:space="preserve">, ואינו מצרף מן היין עם הפת, רק מהיין לחודי'. </w:t>
      </w:r>
      <w:r w:rsidR="002964BF" w:rsidRPr="00882F11">
        <w:rPr>
          <w:rFonts w:cs="Guttman Drogolin" w:hint="cs"/>
          <w:rtl/>
          <w:lang w:bidi="he-IL"/>
        </w:rPr>
        <w:t>וכי תימא דא"כ מאי קמ"ל, הגמ' כאן אומרת דקמ"ל "דאע"ג דתערובת".</w:t>
      </w:r>
      <w:r w:rsidR="003B182E" w:rsidRPr="00882F11">
        <w:rPr>
          <w:rFonts w:cs="Guttman Drogolin" w:hint="cs"/>
          <w:rtl/>
          <w:lang w:bidi="he-IL"/>
        </w:rPr>
        <w:t xml:space="preserve"> ובנזיר תי' בענין אחר והוא דקמ"ל שהשיעור הוא </w:t>
      </w:r>
      <w:r w:rsidR="003B182E" w:rsidRPr="00882F11">
        <w:rPr>
          <w:rFonts w:cs="Guttman Drogolin" w:hint="cs"/>
          <w:rtl/>
          <w:lang w:bidi="he-IL"/>
        </w:rPr>
        <w:lastRenderedPageBreak/>
        <w:t>כזית ולא רביעית.</w:t>
      </w:r>
      <w:r w:rsidR="00F96D29" w:rsidRPr="00882F11">
        <w:rPr>
          <w:rFonts w:cs="Guttman Drogolin" w:hint="cs"/>
          <w:rtl/>
          <w:lang w:bidi="he-IL"/>
        </w:rPr>
        <w:t xml:space="preserve"> </w:t>
      </w:r>
      <w:r w:rsidR="00FC21E1" w:rsidRPr="00882F11">
        <w:rPr>
          <w:rFonts w:cs="Guttman Drogolin" w:hint="cs"/>
          <w:rtl/>
          <w:lang w:bidi="he-IL"/>
        </w:rPr>
        <w:t>והנה כמה מבני החבורה הקשו שלכאורה הגמ' כאן היא סתירה גלוי' לדברי רש"י שבדף מ"ג ע"ב, ששם בד"ה אין היתר מצטרף לאיסור כתב</w:t>
      </w:r>
      <w:r w:rsidR="002964BF" w:rsidRPr="00882F11">
        <w:rPr>
          <w:rFonts w:cs="Guttman Drogolin" w:hint="cs"/>
          <w:rtl/>
          <w:lang w:bidi="he-IL"/>
        </w:rPr>
        <w:t xml:space="preserve"> </w:t>
      </w:r>
      <w:r w:rsidR="00FC21E1" w:rsidRPr="00882F11">
        <w:rPr>
          <w:rFonts w:cs="Guttman Drogolin" w:hint="cs"/>
          <w:rtl/>
          <w:lang w:bidi="he-IL"/>
        </w:rPr>
        <w:t>רש"י דע"כ ילפינן מגזה"כ דמשרת דינא ד</w:t>
      </w:r>
      <w:r w:rsidR="00E91626" w:rsidRPr="00882F11">
        <w:rPr>
          <w:rFonts w:cs="Guttman Drogolin" w:hint="cs"/>
          <w:rtl/>
          <w:lang w:bidi="he-IL"/>
        </w:rPr>
        <w:t>היתר מצטרף לאיסור</w:t>
      </w:r>
      <w:r w:rsidR="00FC21E1" w:rsidRPr="00882F11">
        <w:rPr>
          <w:rFonts w:cs="Guttman Drogolin" w:hint="cs"/>
          <w:rtl/>
          <w:lang w:bidi="he-IL"/>
        </w:rPr>
        <w:t xml:space="preserve"> שאם הא </w:t>
      </w:r>
      <w:r w:rsidR="00172EEA" w:rsidRPr="00882F11">
        <w:rPr>
          <w:rFonts w:cs="Guttman Drogolin" w:hint="cs"/>
          <w:rtl/>
          <w:lang w:bidi="he-IL"/>
        </w:rPr>
        <w:t>דמשרת מיירי בדאיכא</w:t>
      </w:r>
      <w:r w:rsidR="00FC21E1" w:rsidRPr="00882F11">
        <w:rPr>
          <w:rFonts w:cs="Guttman Drogolin"/>
          <w:rtl/>
          <w:lang w:bidi="he-IL"/>
        </w:rPr>
        <w:t xml:space="preserve"> </w:t>
      </w:r>
      <w:r w:rsidR="00FC21E1" w:rsidRPr="00882F11">
        <w:rPr>
          <w:rFonts w:cs="Guttman Drogolin" w:hint="cs"/>
          <w:rtl/>
          <w:lang w:bidi="he-IL"/>
        </w:rPr>
        <w:t>מיין</w:t>
      </w:r>
      <w:r w:rsidR="00FC21E1" w:rsidRPr="00882F11">
        <w:rPr>
          <w:rFonts w:cs="Guttman Drogolin"/>
          <w:rtl/>
          <w:lang w:bidi="he-IL"/>
        </w:rPr>
        <w:t xml:space="preserve"> </w:t>
      </w:r>
      <w:r w:rsidR="00FC21E1" w:rsidRPr="00882F11">
        <w:rPr>
          <w:rFonts w:cs="Guttman Drogolin" w:hint="cs"/>
          <w:rtl/>
          <w:lang w:bidi="he-IL"/>
        </w:rPr>
        <w:t>לחודה</w:t>
      </w:r>
      <w:r w:rsidR="00FC21E1" w:rsidRPr="00882F11">
        <w:rPr>
          <w:rFonts w:cs="Guttman Drogolin"/>
          <w:rtl/>
          <w:lang w:bidi="he-IL"/>
        </w:rPr>
        <w:t xml:space="preserve"> </w:t>
      </w:r>
      <w:r w:rsidR="00FC21E1" w:rsidRPr="00882F11">
        <w:rPr>
          <w:rFonts w:cs="Guttman Drogolin" w:hint="cs"/>
          <w:rtl/>
          <w:lang w:bidi="he-IL"/>
        </w:rPr>
        <w:t>כזית</w:t>
      </w:r>
      <w:r w:rsidR="00FC21E1" w:rsidRPr="00882F11">
        <w:rPr>
          <w:rFonts w:cs="Guttman Drogolin"/>
          <w:rtl/>
          <w:lang w:bidi="he-IL"/>
        </w:rPr>
        <w:t xml:space="preserve"> </w:t>
      </w:r>
      <w:r w:rsidR="00FC21E1" w:rsidRPr="00882F11">
        <w:rPr>
          <w:rFonts w:cs="Guttman Drogolin" w:hint="cs"/>
          <w:rtl/>
          <w:lang w:bidi="he-IL"/>
        </w:rPr>
        <w:t>למה</w:t>
      </w:r>
      <w:r w:rsidR="00FC21E1" w:rsidRPr="00882F11">
        <w:rPr>
          <w:rFonts w:cs="Guttman Drogolin"/>
          <w:rtl/>
          <w:lang w:bidi="he-IL"/>
        </w:rPr>
        <w:t xml:space="preserve"> </w:t>
      </w:r>
      <w:r w:rsidR="00FC21E1" w:rsidRPr="00882F11">
        <w:rPr>
          <w:rFonts w:cs="Guttman Drogolin" w:hint="cs"/>
          <w:rtl/>
          <w:lang w:bidi="he-IL"/>
        </w:rPr>
        <w:t>לי</w:t>
      </w:r>
      <w:r w:rsidR="00FC21E1" w:rsidRPr="00882F11">
        <w:rPr>
          <w:rFonts w:cs="Guttman Drogolin"/>
          <w:rtl/>
          <w:lang w:bidi="he-IL"/>
        </w:rPr>
        <w:t xml:space="preserve"> </w:t>
      </w:r>
      <w:r w:rsidR="00FC21E1" w:rsidRPr="00882F11">
        <w:rPr>
          <w:rFonts w:cs="Guttman Drogolin" w:hint="cs"/>
          <w:rtl/>
          <w:lang w:bidi="he-IL"/>
        </w:rPr>
        <w:t>קרא</w:t>
      </w:r>
      <w:r w:rsidR="00172EEA" w:rsidRPr="00882F11">
        <w:rPr>
          <w:rFonts w:cs="Guttman Drogolin" w:hint="cs"/>
          <w:rtl/>
          <w:lang w:bidi="he-IL"/>
        </w:rPr>
        <w:t>. ולכאורה צ"ע דהא איכא החידוש של אע"ג שתערובת וכמש"כ כאן בגמ'</w:t>
      </w:r>
      <w:r w:rsidR="00862B08" w:rsidRPr="00882F11">
        <w:rPr>
          <w:rStyle w:val="FootnoteReference"/>
          <w:rFonts w:cs="Guttman Drogolin"/>
          <w:rtl/>
          <w:lang w:bidi="he-IL"/>
        </w:rPr>
        <w:footnoteReference w:id="28"/>
      </w:r>
      <w:r w:rsidR="00172EEA" w:rsidRPr="00882F11">
        <w:rPr>
          <w:rFonts w:cs="Guttman Drogolin" w:hint="cs"/>
          <w:rtl/>
          <w:lang w:bidi="he-IL"/>
        </w:rPr>
        <w:t xml:space="preserve">. ולכאורה איכא למימר שאמנם יש חידוש שאפשר להשמיענו במתני', מ"מ לא הי' מסתבר שזהו חידוש כ"כ גדול שצריכים לזה פסוק. ובס' דבר שמואל ראיתי שהביא עוד תי' לקושיא זו בשם ח"א, והוא שעכשיו רצו לומר דלא אמרינן </w:t>
      </w:r>
      <w:r w:rsidR="00E91626" w:rsidRPr="00882F11">
        <w:rPr>
          <w:rFonts w:cs="Guttman Drogolin" w:hint="cs"/>
          <w:rtl/>
          <w:lang w:bidi="he-IL"/>
        </w:rPr>
        <w:t>היתר מצטרף לאיסור</w:t>
      </w:r>
      <w:r w:rsidR="00172EEA" w:rsidRPr="00882F11">
        <w:rPr>
          <w:rFonts w:cs="Guttman Drogolin" w:hint="cs"/>
          <w:rtl/>
          <w:lang w:bidi="he-IL"/>
        </w:rPr>
        <w:t xml:space="preserve"> והגזה"כ דמשרת הוא ל</w:t>
      </w:r>
      <w:r w:rsidR="00BF430F" w:rsidRPr="00882F11">
        <w:rPr>
          <w:rFonts w:cs="Guttman Drogolin" w:hint="cs"/>
          <w:rtl/>
          <w:lang w:bidi="he-IL"/>
        </w:rPr>
        <w:t>טעם כעיקר</w:t>
      </w:r>
      <w:r w:rsidR="00172EEA" w:rsidRPr="00882F11">
        <w:rPr>
          <w:rFonts w:cs="Guttman Drogolin" w:hint="cs"/>
          <w:rtl/>
          <w:lang w:bidi="he-IL"/>
        </w:rPr>
        <w:t xml:space="preserve">. והחידוש של ר"ע הוא שחייבים אפילו על היין שבלוע ואינו בעין, וזהו גופא מאי דקמ"ל מתני' דאמרינן </w:t>
      </w:r>
      <w:r w:rsidR="00BF430F" w:rsidRPr="00882F11">
        <w:rPr>
          <w:rFonts w:cs="Guttman Drogolin" w:hint="cs"/>
          <w:rtl/>
          <w:lang w:bidi="he-IL"/>
        </w:rPr>
        <w:t>טעם כעיקר</w:t>
      </w:r>
      <w:r w:rsidR="00172EEA" w:rsidRPr="00882F11">
        <w:rPr>
          <w:rFonts w:cs="Guttman Drogolin" w:hint="cs"/>
          <w:rtl/>
          <w:lang w:bidi="he-IL"/>
        </w:rPr>
        <w:t xml:space="preserve">, וזהו כוונת הגמ' דאע"ג שבתערובת וכן משמע מלשון רש"י. אבל רש"י בדף מ"ג ע"ב מיירי לפי האמת שר"ע למד </w:t>
      </w:r>
      <w:r w:rsidR="00BF430F" w:rsidRPr="00882F11">
        <w:rPr>
          <w:rFonts w:cs="Guttman Drogolin" w:hint="cs"/>
          <w:rtl/>
          <w:lang w:bidi="he-IL"/>
        </w:rPr>
        <w:t>טעם כעיקר</w:t>
      </w:r>
      <w:r w:rsidR="00172EEA" w:rsidRPr="00882F11">
        <w:rPr>
          <w:rFonts w:cs="Guttman Drogolin" w:hint="cs"/>
          <w:rtl/>
          <w:lang w:bidi="he-IL"/>
        </w:rPr>
        <w:t xml:space="preserve"> מ</w:t>
      </w:r>
      <w:r w:rsidR="00395EEC">
        <w:rPr>
          <w:rFonts w:cs="Guttman Drogolin" w:hint="cs"/>
          <w:rtl/>
          <w:lang w:bidi="he-IL"/>
        </w:rPr>
        <w:t xml:space="preserve">גיעולי נכרים, ולכן ליכא חידושא בהא דיין לחודי', ולכן ע"כ מיירי </w:t>
      </w:r>
      <w:r w:rsidR="00172EEA" w:rsidRPr="00882F11">
        <w:rPr>
          <w:rFonts w:cs="Guttman Drogolin" w:hint="cs"/>
          <w:rtl/>
          <w:lang w:bidi="he-IL"/>
        </w:rPr>
        <w:t>הפסוק ב</w:t>
      </w:r>
      <w:r w:rsidR="00E91626" w:rsidRPr="00882F11">
        <w:rPr>
          <w:rFonts w:cs="Guttman Drogolin" w:hint="cs"/>
          <w:rtl/>
          <w:lang w:bidi="he-IL"/>
        </w:rPr>
        <w:t>היתר מצטרף לאיסור</w:t>
      </w:r>
      <w:r w:rsidR="00172EEA" w:rsidRPr="00882F11">
        <w:rPr>
          <w:rFonts w:cs="Guttman Drogolin" w:hint="cs"/>
          <w:rtl/>
          <w:lang w:bidi="he-IL"/>
        </w:rPr>
        <w:t>. אלא שלפי הפירוש הזה ידענו כבר מתחילת הסוגיא מדינא ד</w:t>
      </w:r>
      <w:r w:rsidR="00BF430F" w:rsidRPr="00882F11">
        <w:rPr>
          <w:rFonts w:cs="Guttman Drogolin" w:hint="cs"/>
          <w:rtl/>
          <w:lang w:bidi="he-IL"/>
        </w:rPr>
        <w:t>טעם כעיקר</w:t>
      </w:r>
      <w:r w:rsidR="00172EEA" w:rsidRPr="00882F11">
        <w:rPr>
          <w:rFonts w:cs="Guttman Drogolin" w:hint="cs"/>
          <w:rtl/>
          <w:lang w:bidi="he-IL"/>
        </w:rPr>
        <w:t>, וזהו דלא כמש"כ הנחל"ד שלשיטת רש"י עדיין לא ידענו מדינא ד</w:t>
      </w:r>
      <w:r w:rsidR="00BF430F" w:rsidRPr="00882F11">
        <w:rPr>
          <w:rFonts w:cs="Guttman Drogolin" w:hint="cs"/>
          <w:rtl/>
          <w:lang w:bidi="he-IL"/>
        </w:rPr>
        <w:t>טעם כעיקר</w:t>
      </w:r>
      <w:r w:rsidR="00172EEA" w:rsidRPr="00882F11">
        <w:rPr>
          <w:rFonts w:cs="Guttman Drogolin" w:hint="cs"/>
          <w:rtl/>
          <w:lang w:bidi="he-IL"/>
        </w:rPr>
        <w:t xml:space="preserve"> בתחילת הסוגיא.</w:t>
      </w:r>
    </w:p>
    <w:p w:rsidR="00D60CA3" w:rsidRPr="00882F11" w:rsidRDefault="00F772C3" w:rsidP="00395EEC">
      <w:pPr>
        <w:tabs>
          <w:tab w:val="left" w:pos="1183"/>
        </w:tabs>
        <w:bidi/>
        <w:jc w:val="both"/>
        <w:rPr>
          <w:rFonts w:cs="Guttman Drogolin"/>
          <w:rtl/>
          <w:lang w:bidi="he-IL"/>
        </w:rPr>
      </w:pPr>
      <w:r w:rsidRPr="00882F11">
        <w:rPr>
          <w:rFonts w:cs="Guttman Drogolin" w:hint="cs"/>
          <w:rtl/>
          <w:lang w:bidi="he-IL"/>
        </w:rPr>
        <w:t xml:space="preserve">ובעצם זה שכתב הגמ' דלמא מיין לחודי' לכאורה צ"ע, דהא עד כמה דאמרינן </w:t>
      </w:r>
      <w:r w:rsidR="00BF430F" w:rsidRPr="00882F11">
        <w:rPr>
          <w:rFonts w:cs="Guttman Drogolin" w:hint="cs"/>
          <w:rtl/>
          <w:lang w:bidi="he-IL"/>
        </w:rPr>
        <w:t>טעם כעיקר</w:t>
      </w:r>
      <w:r w:rsidRPr="00882F11">
        <w:rPr>
          <w:rFonts w:cs="Guttman Drogolin" w:hint="cs"/>
          <w:rtl/>
          <w:lang w:bidi="he-IL"/>
        </w:rPr>
        <w:t xml:space="preserve"> הא אינו צריך להיות מיין לחודי', ואפילו אם הוא מיין ביחד</w:t>
      </w:r>
      <w:r w:rsidR="00395EEC">
        <w:rPr>
          <w:rFonts w:cs="Guttman Drogolin" w:hint="cs"/>
          <w:rtl/>
          <w:lang w:bidi="he-IL"/>
        </w:rPr>
        <w:t xml:space="preserve"> עם הפת סגי, דהא לשיטת רש"י נהפך</w:t>
      </w:r>
      <w:r w:rsidRPr="00882F11">
        <w:rPr>
          <w:rFonts w:cs="Guttman Drogolin" w:hint="cs"/>
          <w:rtl/>
          <w:lang w:bidi="he-IL"/>
        </w:rPr>
        <w:t xml:space="preserve"> הפת להיות איסור. וראיתי בחי' ר' דוד שהתייחס לקושיא זו, ותי' דאה"נ ולרש"י יין לחודי' ר"ל יין עם הפת שהוא בלוע בו, וכוונת הגמ' בפת עם יין ר"ל עם הפת שלא בלע יין. ולפום ריהטא לא </w:t>
      </w:r>
      <w:r w:rsidR="00395EEC" w:rsidRPr="00882F11">
        <w:rPr>
          <w:rFonts w:cs="Guttman Drogolin" w:hint="cs"/>
          <w:rtl/>
          <w:lang w:bidi="he-IL"/>
        </w:rPr>
        <w:t xml:space="preserve">כ"כ </w:t>
      </w:r>
      <w:r w:rsidRPr="00882F11">
        <w:rPr>
          <w:rFonts w:cs="Guttman Drogolin" w:hint="cs"/>
          <w:rtl/>
          <w:lang w:bidi="he-IL"/>
        </w:rPr>
        <w:t xml:space="preserve">משמע כן ברש"י, שהרי </w:t>
      </w:r>
      <w:r w:rsidR="00D60CA3" w:rsidRPr="00882F11">
        <w:rPr>
          <w:rFonts w:cs="Guttman Drogolin" w:hint="cs"/>
          <w:rtl/>
          <w:lang w:bidi="he-IL"/>
        </w:rPr>
        <w:t xml:space="preserve">כתב לבאר שענין הצירוף הוא משום שבלוע בפת, ולכאורה כוונתו כתוס' שמצרף היין שבתוך הפת, ולפי הר' דוד הא יש צירוף של היין עם הפת שבלע היין. וכן רש"י כתב </w:t>
      </w:r>
      <w:r w:rsidR="00D60CA3" w:rsidRPr="00882F11">
        <w:rPr>
          <w:rFonts w:cs="Guttman Drogolin" w:hint="cs"/>
          <w:rtl/>
          <w:lang w:bidi="he-IL"/>
        </w:rPr>
        <w:lastRenderedPageBreak/>
        <w:t>איך משערין כזית יין, ואם הוא מן הפת הא צריכים לש</w:t>
      </w:r>
      <w:r w:rsidR="001509DE" w:rsidRPr="00882F11">
        <w:rPr>
          <w:rFonts w:cs="Guttman Drogolin" w:hint="cs"/>
          <w:rtl/>
          <w:lang w:bidi="he-IL"/>
        </w:rPr>
        <w:t>ע</w:t>
      </w:r>
      <w:r w:rsidR="00D60CA3" w:rsidRPr="00882F11">
        <w:rPr>
          <w:rFonts w:cs="Guttman Drogolin" w:hint="cs"/>
          <w:rtl/>
          <w:lang w:bidi="he-IL"/>
        </w:rPr>
        <w:t xml:space="preserve">ר הפת בכזית ולא היין. וצ"ע. </w:t>
      </w:r>
    </w:p>
    <w:p w:rsidR="003B182E" w:rsidRPr="00882F11" w:rsidRDefault="0019464E" w:rsidP="00395EEC">
      <w:pPr>
        <w:tabs>
          <w:tab w:val="left" w:pos="1183"/>
        </w:tabs>
        <w:bidi/>
        <w:jc w:val="both"/>
        <w:rPr>
          <w:rFonts w:cs="Guttman Drogolin"/>
          <w:rtl/>
          <w:lang w:bidi="he-IL"/>
        </w:rPr>
      </w:pPr>
      <w:r>
        <w:rPr>
          <w:rFonts w:cs="Guttman Drogolin"/>
          <w:rtl/>
          <w:lang w:bidi="he-IL"/>
        </w:rPr>
        <w:fldChar w:fldCharType="begin"/>
      </w:r>
      <w:r>
        <w:instrText xml:space="preserve"> XE "</w:instrText>
      </w:r>
      <w:r w:rsidRPr="00552108">
        <w:rPr>
          <w:rFonts w:hint="cs"/>
          <w:rtl/>
          <w:lang w:bidi="he-IL"/>
        </w:rPr>
        <w:instrText>היתר מצטרף לאיסור</w:instrText>
      </w:r>
      <w:r w:rsidRPr="00552108">
        <w:rPr>
          <w:rtl/>
        </w:rPr>
        <w:instrText>:</w:instrText>
      </w:r>
      <w:r w:rsidRPr="00552108">
        <w:rPr>
          <w:rFonts w:hint="cs"/>
          <w:rtl/>
          <w:lang w:bidi="he-IL"/>
        </w:rPr>
        <w:instrText>הכרח לרש</w:instrText>
      </w:r>
      <w:r>
        <w:rPr>
          <w:rFonts w:eastAsiaTheme="minorEastAsia"/>
          <w:lang w:bidi="he-IL"/>
        </w:rPr>
        <w:instrText>\</w:instrText>
      </w:r>
      <w:r w:rsidRPr="00552108">
        <w:rPr>
          <w:rFonts w:hint="cs"/>
          <w:rtl/>
          <w:lang w:bidi="he-IL"/>
        </w:rPr>
        <w:instrText>"י דהוי אפילו שלא ע</w:instrText>
      </w:r>
      <w:r>
        <w:rPr>
          <w:rFonts w:eastAsiaTheme="minorEastAsia"/>
          <w:lang w:bidi="he-IL"/>
        </w:rPr>
        <w:instrText>\</w:instrText>
      </w:r>
      <w:r w:rsidRPr="00552108">
        <w:rPr>
          <w:rFonts w:hint="cs"/>
          <w:rtl/>
          <w:lang w:bidi="he-IL"/>
        </w:rPr>
        <w:instrText>"י תערובת</w:instrText>
      </w:r>
      <w:r>
        <w:instrText xml:space="preserve">" </w:instrText>
      </w:r>
      <w:r>
        <w:rPr>
          <w:rFonts w:cs="Guttman Drogolin"/>
          <w:rtl/>
          <w:lang w:bidi="he-IL"/>
        </w:rPr>
        <w:fldChar w:fldCharType="end"/>
      </w:r>
      <w:r w:rsidR="00D60CA3" w:rsidRPr="00882F11">
        <w:rPr>
          <w:rFonts w:cs="Guttman Drogolin" w:hint="cs"/>
          <w:rtl/>
          <w:lang w:bidi="he-IL"/>
        </w:rPr>
        <w:t xml:space="preserve">ורציתי לעורר בעצם דבר זה שלרש"י </w:t>
      </w:r>
      <w:r w:rsidR="00E91626" w:rsidRPr="00882F11">
        <w:rPr>
          <w:rFonts w:cs="Guttman Drogolin" w:hint="cs"/>
          <w:rtl/>
          <w:lang w:bidi="he-IL"/>
        </w:rPr>
        <w:t>היתר מצטרף לאיסור</w:t>
      </w:r>
      <w:r w:rsidR="00D60CA3" w:rsidRPr="00882F11">
        <w:rPr>
          <w:rFonts w:cs="Guttman Drogolin" w:hint="cs"/>
          <w:rtl/>
          <w:lang w:bidi="he-IL"/>
        </w:rPr>
        <w:t xml:space="preserve"> דמשרת מיירי בצירף החלק של הפת הבלוע עם החלק שאינו בלוע, שמקודם אמרנו שלפי זה ע"כ צריכים לומר כשיטת רש"י בדינא ד</w:t>
      </w:r>
      <w:r w:rsidR="00E91626" w:rsidRPr="00882F11">
        <w:rPr>
          <w:rFonts w:cs="Guttman Drogolin" w:hint="cs"/>
          <w:rtl/>
          <w:lang w:bidi="he-IL"/>
        </w:rPr>
        <w:t>היתר מצטרף לאיסור</w:t>
      </w:r>
      <w:r w:rsidR="00D60CA3" w:rsidRPr="00882F11">
        <w:rPr>
          <w:rFonts w:cs="Guttman Drogolin" w:hint="cs"/>
          <w:rtl/>
          <w:lang w:bidi="he-IL"/>
        </w:rPr>
        <w:t xml:space="preserve"> שהוא אפילו שלא ע"י תערובת, דאילו בתערובת תיפו"ל משום </w:t>
      </w:r>
      <w:r w:rsidR="00395EEC">
        <w:rPr>
          <w:rFonts w:cs="Guttman Drogolin" w:hint="cs"/>
          <w:rtl/>
          <w:lang w:bidi="he-IL"/>
        </w:rPr>
        <w:t>דטעם כעיקר ונהפך ההיתר להיות איסור</w:t>
      </w:r>
      <w:r w:rsidR="00D60CA3" w:rsidRPr="00882F11">
        <w:rPr>
          <w:rFonts w:cs="Guttman Drogolin" w:hint="cs"/>
          <w:rtl/>
          <w:lang w:bidi="he-IL"/>
        </w:rPr>
        <w:t xml:space="preserve">. אמנם לכאורה יש לדחות, שהרי לשיטת התוס' אפילו דבר שהוא בעין בתוך התערובת יכול להיות חשוב כבתערובת וכמוכח מדברי התוס' בדף מ"ד ע"א. וא"כ לכאורה אפשר לומר שאם יש ב' חלקים של לחם, א' בלוע וא' אינו בלוע </w:t>
      </w:r>
      <w:r w:rsidR="00395EEC">
        <w:rPr>
          <w:rFonts w:cs="Guttman Drogolin" w:hint="cs"/>
          <w:rtl/>
          <w:lang w:bidi="he-IL"/>
        </w:rPr>
        <w:t xml:space="preserve">מ"מ </w:t>
      </w:r>
      <w:r w:rsidR="00D60CA3" w:rsidRPr="00882F11">
        <w:rPr>
          <w:rFonts w:cs="Guttman Drogolin" w:hint="cs"/>
          <w:rtl/>
          <w:lang w:bidi="he-IL"/>
        </w:rPr>
        <w:t xml:space="preserve">הכל יחשב כ'תערובת' אפילו </w:t>
      </w:r>
      <w:r w:rsidR="00680794">
        <w:rPr>
          <w:rFonts w:cs="Guttman Drogolin" w:hint="cs"/>
          <w:rtl/>
          <w:lang w:bidi="he-IL"/>
        </w:rPr>
        <w:t>לשיטת</w:t>
      </w:r>
      <w:r w:rsidR="00D60CA3" w:rsidRPr="00882F11">
        <w:rPr>
          <w:rFonts w:cs="Guttman Drogolin" w:hint="cs"/>
          <w:rtl/>
          <w:lang w:bidi="he-IL"/>
        </w:rPr>
        <w:t xml:space="preserve"> התוס' דבעינן תערובת. ויש לדחות שלתוס' לא יחשב תערובת כיון </w:t>
      </w:r>
      <w:r w:rsidR="00395EEC">
        <w:rPr>
          <w:rFonts w:cs="Guttman Drogolin" w:hint="cs"/>
          <w:rtl/>
          <w:lang w:bidi="he-IL"/>
        </w:rPr>
        <w:t>שכל א' נמצא בצד בפני עצמו</w:t>
      </w:r>
      <w:r w:rsidR="00D60CA3" w:rsidRPr="00882F11">
        <w:rPr>
          <w:rFonts w:cs="Guttman Drogolin" w:hint="cs"/>
          <w:rtl/>
          <w:lang w:bidi="he-IL"/>
        </w:rPr>
        <w:t>.</w:t>
      </w:r>
    </w:p>
    <w:p w:rsidR="003B182E" w:rsidRPr="00882F11" w:rsidRDefault="003B182E" w:rsidP="0078079C">
      <w:pPr>
        <w:pStyle w:val="Heading1"/>
        <w:bidi/>
        <w:spacing w:before="0" w:line="360" w:lineRule="auto"/>
        <w:jc w:val="center"/>
        <w:rPr>
          <w:rFonts w:cs="Guttman Drogolin"/>
          <w:color w:val="auto"/>
          <w:sz w:val="24"/>
          <w:szCs w:val="24"/>
          <w:u w:val="single"/>
          <w:rtl/>
          <w:lang w:bidi="he-IL"/>
        </w:rPr>
      </w:pPr>
      <w:bookmarkStart w:id="15" w:name="_Toc496175281"/>
      <w:r w:rsidRPr="00882F11">
        <w:rPr>
          <w:rFonts w:cs="Guttman Drogolin" w:hint="cs"/>
          <w:color w:val="auto"/>
          <w:sz w:val="24"/>
          <w:szCs w:val="24"/>
          <w:u w:val="single"/>
          <w:rtl/>
          <w:lang w:bidi="he-IL"/>
        </w:rPr>
        <w:t>קושיית הגמ' דמנין לי' לר"ע ד</w:t>
      </w:r>
      <w:r w:rsidR="00BF430F" w:rsidRPr="00882F11">
        <w:rPr>
          <w:rFonts w:cs="Guttman Drogolin" w:hint="cs"/>
          <w:color w:val="auto"/>
          <w:sz w:val="24"/>
          <w:szCs w:val="24"/>
          <w:u w:val="single"/>
          <w:rtl/>
          <w:lang w:bidi="he-IL"/>
        </w:rPr>
        <w:t>טעם כעיקר</w:t>
      </w:r>
      <w:bookmarkEnd w:id="15"/>
    </w:p>
    <w:p w:rsidR="004B4684" w:rsidRPr="00882F11" w:rsidRDefault="003B182E" w:rsidP="0019464E">
      <w:pPr>
        <w:tabs>
          <w:tab w:val="left" w:pos="1183"/>
        </w:tabs>
        <w:bidi/>
        <w:jc w:val="both"/>
        <w:rPr>
          <w:rFonts w:cs="Guttman Drogolin"/>
          <w:rtl/>
          <w:lang w:bidi="he-IL"/>
        </w:rPr>
      </w:pPr>
      <w:r w:rsidRPr="00882F11">
        <w:rPr>
          <w:rFonts w:cs="Guttman Drogolin" w:hint="cs"/>
          <w:rtl/>
          <w:lang w:bidi="he-IL"/>
        </w:rPr>
        <w:t xml:space="preserve">אחרי שהגמ' מוכיחה דר"ע אית לי' </w:t>
      </w:r>
      <w:r w:rsidR="00E91626" w:rsidRPr="00882F11">
        <w:rPr>
          <w:rFonts w:cs="Guttman Drogolin" w:hint="cs"/>
          <w:rtl/>
          <w:lang w:bidi="he-IL"/>
        </w:rPr>
        <w:t>היתר מצטרף לאיסור</w:t>
      </w:r>
      <w:r w:rsidRPr="00882F11">
        <w:rPr>
          <w:rFonts w:cs="Guttman Drogolin" w:hint="cs"/>
          <w:rtl/>
          <w:lang w:bidi="he-IL"/>
        </w:rPr>
        <w:t>, שואלת הגמ' דכיון שמשרת הוא ל</w:t>
      </w:r>
      <w:r w:rsidR="00E91626" w:rsidRPr="00882F11">
        <w:rPr>
          <w:rFonts w:cs="Guttman Drogolin" w:hint="cs"/>
          <w:rtl/>
          <w:lang w:bidi="he-IL"/>
        </w:rPr>
        <w:t>היתר מצ</w:t>
      </w:r>
      <w:r w:rsidR="0019464E">
        <w:rPr>
          <w:rFonts w:cs="Guttman Drogolin" w:hint="cs"/>
          <w:rtl/>
          <w:lang w:bidi="he-IL"/>
        </w:rPr>
        <w:t>ע</w:t>
      </w:r>
      <w:r w:rsidR="00E91626" w:rsidRPr="00882F11">
        <w:rPr>
          <w:rFonts w:cs="Guttman Drogolin" w:hint="cs"/>
          <w:rtl/>
          <w:lang w:bidi="he-IL"/>
        </w:rPr>
        <w:t>טרף לאיסור</w:t>
      </w:r>
      <w:r w:rsidRPr="00882F11">
        <w:rPr>
          <w:rFonts w:cs="Guttman Drogolin" w:hint="cs"/>
          <w:rtl/>
          <w:lang w:bidi="he-IL"/>
        </w:rPr>
        <w:t>, מנא לי' באמת ד</w:t>
      </w:r>
      <w:r w:rsidR="00BF430F" w:rsidRPr="00882F11">
        <w:rPr>
          <w:rFonts w:cs="Guttman Drogolin" w:hint="cs"/>
          <w:rtl/>
          <w:lang w:bidi="he-IL"/>
        </w:rPr>
        <w:t>טעם כעיקר</w:t>
      </w:r>
      <w:r w:rsidRPr="00882F11">
        <w:rPr>
          <w:rFonts w:cs="Guttman Drogolin" w:hint="cs"/>
          <w:rtl/>
          <w:lang w:bidi="he-IL"/>
        </w:rPr>
        <w:t xml:space="preserve">. ולכאורה צ"ע דדלמא </w:t>
      </w:r>
      <w:r w:rsidR="00BF430F" w:rsidRPr="00882F11">
        <w:rPr>
          <w:rFonts w:cs="Guttman Drogolin" w:hint="cs"/>
          <w:rtl/>
          <w:lang w:bidi="he-IL"/>
        </w:rPr>
        <w:t>טעם כעיקר</w:t>
      </w:r>
      <w:r w:rsidRPr="00882F11">
        <w:rPr>
          <w:rFonts w:cs="Guttman Drogolin" w:hint="cs"/>
          <w:rtl/>
          <w:lang w:bidi="he-IL"/>
        </w:rPr>
        <w:t xml:space="preserve"> לית לי'. ומדייקים מזה הראשונים</w:t>
      </w:r>
      <w:r w:rsidR="0019464E">
        <w:rPr>
          <w:rFonts w:cs="Guttman Drogolin" w:hint="cs"/>
          <w:rtl/>
          <w:lang w:bidi="he-IL"/>
        </w:rPr>
        <w:t xml:space="preserve"> (ע' תוס' במס' נזיר ל"ז ע"א ד"ה טעם)</w:t>
      </w:r>
      <w:r w:rsidR="0019464E">
        <w:rPr>
          <w:rStyle w:val="FootnoteReference"/>
          <w:rFonts w:cs="Guttman Drogolin"/>
          <w:rtl/>
          <w:lang w:bidi="he-IL"/>
        </w:rPr>
        <w:footnoteReference w:id="29"/>
      </w:r>
      <w:r w:rsidR="0019464E">
        <w:rPr>
          <w:rFonts w:cs="Guttman Drogolin" w:hint="cs"/>
          <w:rtl/>
          <w:lang w:bidi="he-IL"/>
        </w:rPr>
        <w:t>.</w:t>
      </w:r>
      <w:r w:rsidRPr="00882F11">
        <w:rPr>
          <w:rFonts w:cs="Guttman Drogolin" w:hint="cs"/>
          <w:rtl/>
          <w:lang w:bidi="he-IL"/>
        </w:rPr>
        <w:t xml:space="preserve"> </w:t>
      </w:r>
      <w:r w:rsidR="0019464E">
        <w:rPr>
          <w:rFonts w:cs="Guttman Drogolin"/>
          <w:rtl/>
          <w:lang w:bidi="he-IL"/>
        </w:rPr>
        <w:fldChar w:fldCharType="begin"/>
      </w:r>
      <w:r w:rsidR="0019464E">
        <w:instrText xml:space="preserve"> XE "</w:instrText>
      </w:r>
      <w:r w:rsidR="0019464E" w:rsidRPr="00AB4430">
        <w:rPr>
          <w:rFonts w:hint="cs"/>
          <w:rtl/>
          <w:lang w:bidi="he-IL"/>
        </w:rPr>
        <w:instrText>טעם כעיקר</w:instrText>
      </w:r>
      <w:r w:rsidR="0019464E" w:rsidRPr="00AB4430">
        <w:rPr>
          <w:rtl/>
        </w:rPr>
        <w:instrText>:</w:instrText>
      </w:r>
      <w:r w:rsidR="0019464E" w:rsidRPr="00AB4430">
        <w:rPr>
          <w:rFonts w:hint="cs"/>
          <w:rtl/>
          <w:lang w:bidi="he-IL"/>
        </w:rPr>
        <w:instrText>אם הוא דין יותר פשוט מדין המל</w:instrText>
      </w:r>
      <w:r w:rsidR="0019464E">
        <w:rPr>
          <w:rFonts w:eastAsiaTheme="minorEastAsia"/>
          <w:lang w:bidi="he-IL"/>
        </w:rPr>
        <w:instrText>\</w:instrText>
      </w:r>
      <w:r w:rsidR="0019464E" w:rsidRPr="00AB4430">
        <w:rPr>
          <w:rFonts w:hint="cs"/>
          <w:rtl/>
          <w:lang w:bidi="he-IL"/>
        </w:rPr>
        <w:instrText>"א</w:instrText>
      </w:r>
      <w:r w:rsidR="0019464E">
        <w:instrText xml:space="preserve">" </w:instrText>
      </w:r>
      <w:r w:rsidR="0019464E">
        <w:rPr>
          <w:rFonts w:cs="Guttman Drogolin"/>
          <w:rtl/>
          <w:lang w:bidi="he-IL"/>
        </w:rPr>
        <w:fldChar w:fldCharType="end"/>
      </w:r>
      <w:r w:rsidR="0019464E">
        <w:rPr>
          <w:rFonts w:cs="Guttman Drogolin"/>
          <w:rtl/>
          <w:lang w:bidi="he-IL"/>
        </w:rPr>
        <w:fldChar w:fldCharType="begin"/>
      </w:r>
      <w:r w:rsidR="0019464E">
        <w:instrText xml:space="preserve"> XE "</w:instrText>
      </w:r>
      <w:r w:rsidR="0019464E" w:rsidRPr="00612738">
        <w:rPr>
          <w:rFonts w:hint="cs"/>
          <w:rtl/>
          <w:lang w:bidi="he-IL"/>
        </w:rPr>
        <w:instrText>היתר מצטרף לאיסור</w:instrText>
      </w:r>
      <w:r w:rsidR="0019464E" w:rsidRPr="00612738">
        <w:rPr>
          <w:rtl/>
        </w:rPr>
        <w:instrText>:</w:instrText>
      </w:r>
      <w:r w:rsidR="0019464E" w:rsidRPr="00612738">
        <w:rPr>
          <w:rFonts w:hint="cs"/>
          <w:rtl/>
          <w:lang w:bidi="he-IL"/>
        </w:rPr>
        <w:instrText>אם הוא דין יותר פשוט מדין טכ</w:instrText>
      </w:r>
      <w:r w:rsidR="0019464E">
        <w:rPr>
          <w:rFonts w:eastAsiaTheme="minorEastAsia"/>
          <w:lang w:bidi="he-IL"/>
        </w:rPr>
        <w:instrText>\</w:instrText>
      </w:r>
      <w:r w:rsidR="0019464E" w:rsidRPr="00612738">
        <w:rPr>
          <w:rFonts w:hint="cs"/>
          <w:rtl/>
          <w:lang w:bidi="he-IL"/>
        </w:rPr>
        <w:instrText>"ע</w:instrText>
      </w:r>
      <w:r w:rsidR="0019464E">
        <w:instrText xml:space="preserve">" </w:instrText>
      </w:r>
      <w:r w:rsidR="0019464E">
        <w:rPr>
          <w:rFonts w:cs="Guttman Drogolin"/>
          <w:rtl/>
          <w:lang w:bidi="he-IL"/>
        </w:rPr>
        <w:fldChar w:fldCharType="end"/>
      </w:r>
      <w:r w:rsidRPr="00882F11">
        <w:rPr>
          <w:rFonts w:cs="Guttman Drogolin" w:hint="cs"/>
          <w:rtl/>
          <w:lang w:bidi="he-IL"/>
        </w:rPr>
        <w:t xml:space="preserve">דע"כ פשוט יותר לדרוש </w:t>
      </w:r>
      <w:r w:rsidR="00BF430F" w:rsidRPr="00882F11">
        <w:rPr>
          <w:rFonts w:cs="Guttman Drogolin" w:hint="cs"/>
          <w:rtl/>
          <w:lang w:bidi="he-IL"/>
        </w:rPr>
        <w:t>טעם כעיקר</w:t>
      </w:r>
      <w:r w:rsidRPr="00882F11">
        <w:rPr>
          <w:rFonts w:cs="Guttman Drogolin" w:hint="cs"/>
          <w:rtl/>
          <w:lang w:bidi="he-IL"/>
        </w:rPr>
        <w:t xml:space="preserve"> מ</w:t>
      </w:r>
      <w:r w:rsidR="00E91626" w:rsidRPr="00882F11">
        <w:rPr>
          <w:rFonts w:cs="Guttman Drogolin" w:hint="cs"/>
          <w:rtl/>
          <w:lang w:bidi="he-IL"/>
        </w:rPr>
        <w:t>היתר מצטרף לאיסור</w:t>
      </w:r>
      <w:r w:rsidRPr="00882F11">
        <w:rPr>
          <w:rFonts w:cs="Guttman Drogolin" w:hint="cs"/>
          <w:rtl/>
          <w:lang w:bidi="he-IL"/>
        </w:rPr>
        <w:t>. וביארו התוס' במס' נזיר הטעם משום שב</w:t>
      </w:r>
      <w:r w:rsidR="00BF430F" w:rsidRPr="00882F11">
        <w:rPr>
          <w:rFonts w:cs="Guttman Drogolin" w:hint="cs"/>
          <w:rtl/>
          <w:lang w:bidi="he-IL"/>
        </w:rPr>
        <w:t>טעם כעיקר</w:t>
      </w:r>
      <w:r w:rsidRPr="00882F11">
        <w:rPr>
          <w:rFonts w:cs="Guttman Drogolin" w:hint="cs"/>
          <w:rtl/>
          <w:lang w:bidi="he-IL"/>
        </w:rPr>
        <w:t xml:space="preserve"> עכ"פ יש שיעור של האיסור, משא"כ ב</w:t>
      </w:r>
      <w:r w:rsidR="00E91626" w:rsidRPr="00882F11">
        <w:rPr>
          <w:rFonts w:cs="Guttman Drogolin" w:hint="cs"/>
          <w:rtl/>
          <w:lang w:bidi="he-IL"/>
        </w:rPr>
        <w:t>היתר מצטרף לאיסור</w:t>
      </w:r>
      <w:r w:rsidRPr="00882F11">
        <w:rPr>
          <w:rFonts w:cs="Guttman Drogolin" w:hint="cs"/>
          <w:rtl/>
          <w:lang w:bidi="he-IL"/>
        </w:rPr>
        <w:t>. וראיתי מי שהעיר ש</w:t>
      </w:r>
      <w:r w:rsidR="0019464E">
        <w:rPr>
          <w:rFonts w:cs="Guttman Drogolin" w:hint="cs"/>
          <w:rtl/>
          <w:lang w:bidi="he-IL"/>
        </w:rPr>
        <w:t>ד</w:t>
      </w:r>
      <w:r w:rsidRPr="00882F11">
        <w:rPr>
          <w:rFonts w:cs="Guttman Drogolin" w:hint="cs"/>
          <w:rtl/>
          <w:lang w:bidi="he-IL"/>
        </w:rPr>
        <w:t>בר זה ליתי' אלא לשיטות הסוברות שב</w:t>
      </w:r>
      <w:r w:rsidR="0019464E">
        <w:rPr>
          <w:rFonts w:cs="Guttman Drogolin" w:hint="cs"/>
          <w:rtl/>
          <w:lang w:bidi="he-IL"/>
        </w:rPr>
        <w:t>טעם כעיקר</w:t>
      </w:r>
      <w:r w:rsidRPr="00882F11">
        <w:rPr>
          <w:rFonts w:cs="Guttman Drogolin" w:hint="cs"/>
          <w:rtl/>
          <w:lang w:bidi="he-IL"/>
        </w:rPr>
        <w:t xml:space="preserve"> לא אמרינן נהפך, אבל למ"ד דאמרינן נהפך הא אינו צריך כזית של איסור כדי לעבור</w:t>
      </w:r>
      <w:r w:rsidR="004B4684" w:rsidRPr="00882F11">
        <w:rPr>
          <w:rFonts w:cs="Guttman Drogolin" w:hint="cs"/>
          <w:rtl/>
          <w:lang w:bidi="he-IL"/>
        </w:rPr>
        <w:t xml:space="preserve">, וא"כ הדרה קושיא לדוכתי', מנ"ל דר"ע אית </w:t>
      </w:r>
      <w:r w:rsidR="00BF430F" w:rsidRPr="00882F11">
        <w:rPr>
          <w:rFonts w:cs="Guttman Drogolin" w:hint="cs"/>
          <w:rtl/>
          <w:lang w:bidi="he-IL"/>
        </w:rPr>
        <w:t>טעם כעיקר</w:t>
      </w:r>
      <w:r w:rsidR="004B4684" w:rsidRPr="00882F11">
        <w:rPr>
          <w:rFonts w:cs="Guttman Drogolin" w:hint="cs"/>
          <w:rtl/>
          <w:lang w:bidi="he-IL"/>
        </w:rPr>
        <w:t>. ותי' א' מבני החבורה שליט"א שי"ל דאי אמרינן נהפך ג"כ יש שיעור, דהא האיסור אינו הטעם עצמו רק המאכל שיש לה טעם.</w:t>
      </w:r>
    </w:p>
    <w:p w:rsidR="004B4684" w:rsidRPr="00882F11" w:rsidRDefault="004B4684" w:rsidP="0078079C">
      <w:pPr>
        <w:pStyle w:val="Heading1"/>
        <w:bidi/>
        <w:spacing w:before="0" w:line="360" w:lineRule="auto"/>
        <w:jc w:val="center"/>
        <w:rPr>
          <w:rFonts w:cs="Guttman Drogolin"/>
          <w:color w:val="auto"/>
          <w:sz w:val="24"/>
          <w:szCs w:val="24"/>
          <w:u w:val="single"/>
          <w:rtl/>
          <w:lang w:bidi="he-IL"/>
        </w:rPr>
      </w:pPr>
      <w:bookmarkStart w:id="16" w:name="_Toc496175282"/>
      <w:r w:rsidRPr="00882F11">
        <w:rPr>
          <w:rFonts w:cs="Guttman Drogolin" w:hint="cs"/>
          <w:color w:val="auto"/>
          <w:sz w:val="24"/>
          <w:szCs w:val="24"/>
          <w:u w:val="single"/>
          <w:rtl/>
          <w:lang w:bidi="he-IL"/>
        </w:rPr>
        <w:lastRenderedPageBreak/>
        <w:t>הלימוד מבשר בחלב</w:t>
      </w:r>
      <w:bookmarkEnd w:id="16"/>
    </w:p>
    <w:p w:rsidR="009817A8" w:rsidRPr="00882F11" w:rsidRDefault="009817A8" w:rsidP="0019464E">
      <w:pPr>
        <w:tabs>
          <w:tab w:val="left" w:pos="1183"/>
        </w:tabs>
        <w:bidi/>
        <w:jc w:val="both"/>
        <w:rPr>
          <w:rFonts w:cs="Guttman Drogolin"/>
          <w:rtl/>
          <w:lang w:bidi="he-IL"/>
        </w:rPr>
      </w:pPr>
      <w:r w:rsidRPr="00882F11">
        <w:rPr>
          <w:rFonts w:cs="Guttman Drogolin" w:hint="cs"/>
          <w:rtl/>
          <w:lang w:bidi="he-IL"/>
        </w:rPr>
        <w:t xml:space="preserve">מעיקרא רצתה הגמ' לומר שלומדים את הדין </w:t>
      </w:r>
      <w:r w:rsidR="00BF430F" w:rsidRPr="00882F11">
        <w:rPr>
          <w:rFonts w:cs="Guttman Drogolin" w:hint="cs"/>
          <w:rtl/>
          <w:lang w:bidi="he-IL"/>
        </w:rPr>
        <w:t>טעם כעיקר</w:t>
      </w:r>
      <w:r w:rsidRPr="00882F11">
        <w:rPr>
          <w:rFonts w:cs="Guttman Drogolin" w:hint="cs"/>
          <w:rtl/>
          <w:lang w:bidi="he-IL"/>
        </w:rPr>
        <w:t xml:space="preserve"> מאיסור בב"ח. וכוונת הגמ' דמוכח שאין האיסור של בב"ח משום שיש חלב בעין שהוא מעורב עם בשר בעין. דהרי דרך בישול אסרה תורה. ור"ל שהגדר של האיסור של בב"ח היא גופא בזה שאוכל בשר שבלוע בה טעם חלב או חלב שבלוע בה טעם בשר. וכיון שכן הא מוכח ד</w:t>
      </w:r>
      <w:r w:rsidR="0019464E">
        <w:rPr>
          <w:rFonts w:cs="Guttman Drogolin" w:hint="cs"/>
          <w:rtl/>
          <w:lang w:bidi="he-IL"/>
        </w:rPr>
        <w:t>עכ"פ בב"ח שטעם מילתא היא, שהרי ב</w:t>
      </w:r>
      <w:r w:rsidRPr="00882F11">
        <w:rPr>
          <w:rFonts w:cs="Guttman Drogolin" w:hint="cs"/>
          <w:rtl/>
          <w:lang w:bidi="he-IL"/>
        </w:rPr>
        <w:t>לי טעם לא שייך האיסור של בב"ח. וגם לפי מאי דדחינן כן הוא, רק דסבר הגמ' כאן דאי אפשר למילף מיני' כיון דבב"ח חידוש הוא. וכוונת הגמ' שאם גדר האיסור משום טעם, למה חייב להיות שקיבל את הטעם דרך בישול, הי' צריך להיות הדין שאפילו עם קיבל טעם דרך הדין של כבוש כמבושל. ולכן סבר הגמ' שאי אפשר ללמוד ממנו.</w:t>
      </w:r>
    </w:p>
    <w:p w:rsidR="00982168" w:rsidRPr="00882F11" w:rsidRDefault="00F927B0" w:rsidP="00982168">
      <w:pPr>
        <w:tabs>
          <w:tab w:val="left" w:pos="1183"/>
        </w:tabs>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בשר בחלב</w:instrText>
      </w:r>
      <w:r w:rsidRPr="00882F11">
        <w:rPr>
          <w:rFonts w:cs="Guttman Drogolin"/>
          <w:rtl/>
        </w:rPr>
        <w:instrText>:</w:instrText>
      </w:r>
      <w:r w:rsidRPr="00882F11">
        <w:rPr>
          <w:rFonts w:cs="Guttman Drogolin" w:hint="cs"/>
          <w:rtl/>
          <w:lang w:bidi="he-IL"/>
        </w:rPr>
        <w:instrText>אם צריך לדין ביטול ברוב</w:instrText>
      </w:r>
      <w:r w:rsidRPr="00882F11">
        <w:rPr>
          <w:rFonts w:cs="Guttman Drogolin"/>
        </w:rPr>
        <w:instrText xml:space="preserve">" </w:instrText>
      </w:r>
      <w:r w:rsidRPr="00882F11">
        <w:rPr>
          <w:rFonts w:cs="Guttman Drogolin"/>
          <w:rtl/>
          <w:lang w:bidi="he-IL"/>
        </w:rPr>
        <w:fldChar w:fldCharType="end"/>
      </w:r>
      <w:r w:rsidR="009817A8" w:rsidRPr="00882F11">
        <w:rPr>
          <w:rFonts w:cs="Guttman Drogolin" w:hint="cs"/>
          <w:rtl/>
          <w:lang w:bidi="he-IL"/>
        </w:rPr>
        <w:t>ובשו"ת רע"א סי' ר"ז</w:t>
      </w:r>
      <w:r w:rsidR="00982168" w:rsidRPr="00882F11">
        <w:rPr>
          <w:rFonts w:cs="Guttman Drogolin" w:hint="cs"/>
          <w:rtl/>
          <w:lang w:bidi="he-IL"/>
        </w:rPr>
        <w:t xml:space="preserve"> כתב עוד יותר מזה, והוא שהאיסור של בב"ח הוא כ"כ משום הטעם שאין ענין לבטל הבעין של החלב כלל מדין אחרי רבים להטות. ונפק"מ שאין איסור לבטל איסור לכתחילה בזה שמוסיף בשר או חלב באופן שהמין השני אינו נותן טעם, דהא אין האיסור משום הבעין רק משום הטעם, וכשאין טעם ממילא ליכא איסורא. והוכיח כן מדברי הרא"ש במס' נדה. שהרי התוס' שם בדף ס"א הקשה למה באי</w:t>
      </w:r>
      <w:r w:rsidR="00DC7847" w:rsidRPr="00882F11">
        <w:rPr>
          <w:rFonts w:cs="Guttman Drogolin" w:hint="cs"/>
          <w:rtl/>
          <w:lang w:bidi="he-IL"/>
        </w:rPr>
        <w:t>ס</w:t>
      </w:r>
      <w:r w:rsidR="00982168" w:rsidRPr="00882F11">
        <w:rPr>
          <w:rFonts w:cs="Guttman Drogolin" w:hint="cs"/>
          <w:rtl/>
          <w:lang w:bidi="he-IL"/>
        </w:rPr>
        <w:t xml:space="preserve">ור כלאים אין הצמר מבטל את הפשטים או להיפך באופן שלא יהא איסור כלאים. ותי' שלא אומרים הדין של ביטול היכא שעיקר האיסור הוא התערובת. והקשה שם הרא"ש דא"כ למה אומרים דין ביטול בב"ח, הא גם התם האיסור הוא התערובת. ותי' משום שדרך בישול אסרה תורה. וסבר רע"א שאם הי' איסור גם משום הבעין, הא עדיין תיקשי למה יהא בטל בתערובת. וע"כ כנ"ל </w:t>
      </w:r>
      <w:r w:rsidR="00982168" w:rsidRPr="00882F11">
        <w:rPr>
          <w:rFonts w:cs="Guttman Drogolin" w:hint="cs"/>
          <w:rtl/>
          <w:lang w:bidi="he-IL"/>
        </w:rPr>
        <w:lastRenderedPageBreak/>
        <w:t xml:space="preserve">שאין איסור מצד הבעין כלל, רק משום הטעם של א' באידך. </w:t>
      </w:r>
    </w:p>
    <w:p w:rsidR="00982168" w:rsidRPr="00882F11" w:rsidRDefault="00982168" w:rsidP="0078079C">
      <w:pPr>
        <w:pStyle w:val="Heading1"/>
        <w:bidi/>
        <w:spacing w:before="0" w:line="360" w:lineRule="auto"/>
        <w:jc w:val="center"/>
        <w:rPr>
          <w:rFonts w:cs="Guttman Drogolin"/>
          <w:color w:val="auto"/>
          <w:sz w:val="24"/>
          <w:szCs w:val="24"/>
          <w:u w:val="single"/>
          <w:rtl/>
          <w:lang w:bidi="he-IL"/>
        </w:rPr>
      </w:pPr>
      <w:bookmarkStart w:id="17" w:name="_Toc496175283"/>
      <w:r w:rsidRPr="00882F11">
        <w:rPr>
          <w:rFonts w:cs="Guttman Drogolin" w:hint="cs"/>
          <w:color w:val="auto"/>
          <w:sz w:val="24"/>
          <w:szCs w:val="24"/>
          <w:u w:val="single"/>
          <w:rtl/>
          <w:lang w:bidi="he-IL"/>
        </w:rPr>
        <w:t>תרו לי' כולי יומא בחלבא</w:t>
      </w:r>
      <w:bookmarkEnd w:id="17"/>
    </w:p>
    <w:p w:rsidR="00B00711" w:rsidRPr="00882F11" w:rsidRDefault="007817BC" w:rsidP="0019464E">
      <w:pPr>
        <w:tabs>
          <w:tab w:val="left" w:pos="1183"/>
        </w:tabs>
        <w:bidi/>
        <w:jc w:val="both"/>
        <w:rPr>
          <w:rFonts w:cs="Guttman Drogolin"/>
          <w:rtl/>
          <w:lang w:bidi="he-IL"/>
        </w:rPr>
      </w:pPr>
      <w:r w:rsidRPr="00882F11">
        <w:rPr>
          <w:rFonts w:cs="Guttman Drogolin" w:hint="cs"/>
          <w:rtl/>
          <w:lang w:bidi="he-IL"/>
        </w:rPr>
        <w:t>האופן השני שמבואר בגמ' שאפשר</w:t>
      </w:r>
      <w:r w:rsidR="00982168" w:rsidRPr="00882F11">
        <w:rPr>
          <w:rFonts w:cs="Guttman Drogolin" w:hint="cs"/>
          <w:rtl/>
          <w:lang w:bidi="he-IL"/>
        </w:rPr>
        <w:t xml:space="preserve"> </w:t>
      </w:r>
      <w:r w:rsidR="0019464E">
        <w:rPr>
          <w:rFonts w:cs="Guttman Drogolin" w:hint="cs"/>
          <w:rtl/>
          <w:lang w:bidi="he-IL"/>
        </w:rPr>
        <w:t>להעביר</w:t>
      </w:r>
      <w:r w:rsidR="00982168" w:rsidRPr="00882F11">
        <w:rPr>
          <w:rFonts w:cs="Guttman Drogolin" w:hint="cs"/>
          <w:rtl/>
          <w:lang w:bidi="he-IL"/>
        </w:rPr>
        <w:t xml:space="preserve"> טעם </w:t>
      </w:r>
      <w:r w:rsidR="0019464E">
        <w:rPr>
          <w:rFonts w:cs="Guttman Drogolin" w:hint="cs"/>
          <w:rtl/>
          <w:lang w:bidi="he-IL"/>
        </w:rPr>
        <w:t>הוא ע"י זה ד</w:t>
      </w:r>
      <w:r w:rsidR="00982168" w:rsidRPr="00882F11">
        <w:rPr>
          <w:rFonts w:cs="Guttman Drogolin" w:hint="cs"/>
          <w:rtl/>
          <w:lang w:bidi="he-IL"/>
        </w:rPr>
        <w:t xml:space="preserve">'תרו לי' כולי יומא בחלבא'. וכוונת הדברים </w:t>
      </w:r>
      <w:r w:rsidR="0019464E">
        <w:rPr>
          <w:rFonts w:cs="Guttman Drogolin" w:hint="cs"/>
          <w:rtl/>
          <w:lang w:bidi="he-IL"/>
        </w:rPr>
        <w:t>לכאורה ל</w:t>
      </w:r>
      <w:r w:rsidR="00982168" w:rsidRPr="00882F11">
        <w:rPr>
          <w:rFonts w:cs="Guttman Drogolin" w:hint="cs"/>
          <w:rtl/>
          <w:lang w:bidi="he-IL"/>
        </w:rPr>
        <w:t>דינא דכבוש כמבושל</w:t>
      </w:r>
      <w:r w:rsidR="0019464E">
        <w:rPr>
          <w:rFonts w:cs="Guttman Drogolin" w:hint="cs"/>
          <w:rtl/>
          <w:lang w:bidi="he-IL"/>
        </w:rPr>
        <w:t>,</w:t>
      </w:r>
      <w:r w:rsidR="00982168" w:rsidRPr="00882F11">
        <w:rPr>
          <w:rFonts w:cs="Guttman Drogolin" w:hint="cs"/>
          <w:rtl/>
          <w:lang w:bidi="he-IL"/>
        </w:rPr>
        <w:t xml:space="preserve"> </w:t>
      </w:r>
      <w:r w:rsidR="0019464E" w:rsidRPr="00882F11">
        <w:rPr>
          <w:rFonts w:cs="Guttman Drogolin" w:hint="cs"/>
          <w:rtl/>
          <w:lang w:bidi="he-IL"/>
        </w:rPr>
        <w:t>שע</w:t>
      </w:r>
      <w:r w:rsidR="0019464E">
        <w:rPr>
          <w:rFonts w:cs="Guttman Drogolin" w:hint="cs"/>
          <w:rtl/>
          <w:lang w:bidi="he-IL"/>
        </w:rPr>
        <w:t>ל ידו אפשר להעביר טעם</w:t>
      </w:r>
      <w:r w:rsidR="0019464E" w:rsidRPr="00882F11">
        <w:rPr>
          <w:rFonts w:cs="Guttman Drogolin" w:hint="cs"/>
          <w:rtl/>
          <w:lang w:bidi="he-IL"/>
        </w:rPr>
        <w:t xml:space="preserve"> </w:t>
      </w:r>
      <w:r w:rsidR="00B00711" w:rsidRPr="00882F11">
        <w:rPr>
          <w:rFonts w:cs="Guttman Drogolin" w:hint="cs"/>
          <w:rtl/>
          <w:lang w:bidi="he-IL"/>
        </w:rPr>
        <w:t>רק שאין טעם זה אוסר בב"ח</w:t>
      </w:r>
      <w:r w:rsidR="009305E8" w:rsidRPr="00882F11">
        <w:rPr>
          <w:rFonts w:cs="Guttman Drogolin"/>
          <w:rtl/>
          <w:lang w:bidi="he-IL"/>
        </w:rPr>
        <w:fldChar w:fldCharType="begin"/>
      </w:r>
      <w:r w:rsidR="009305E8" w:rsidRPr="00882F11">
        <w:rPr>
          <w:rFonts w:cs="Guttman Drogolin"/>
        </w:rPr>
        <w:instrText xml:space="preserve"> XE "</w:instrText>
      </w:r>
      <w:r w:rsidR="009305E8" w:rsidRPr="00882F11">
        <w:rPr>
          <w:rFonts w:cs="Guttman Drogolin" w:hint="cs"/>
          <w:rtl/>
          <w:lang w:bidi="he-IL"/>
        </w:rPr>
        <w:instrText>כבוש</w:instrText>
      </w:r>
      <w:r w:rsidR="009305E8" w:rsidRPr="00882F11">
        <w:rPr>
          <w:rFonts w:cs="Guttman Drogolin"/>
          <w:rtl/>
        </w:rPr>
        <w:instrText>:</w:instrText>
      </w:r>
      <w:r w:rsidR="009305E8" w:rsidRPr="00882F11">
        <w:rPr>
          <w:rFonts w:cs="Guttman Drogolin" w:hint="cs"/>
          <w:rtl/>
          <w:lang w:bidi="he-IL"/>
        </w:rPr>
        <w:instrText>בבשר בחלב</w:instrText>
      </w:r>
      <w:r w:rsidR="009305E8" w:rsidRPr="00882F11">
        <w:rPr>
          <w:rFonts w:cs="Guttman Drogolin"/>
        </w:rPr>
        <w:instrText xml:space="preserve">" </w:instrText>
      </w:r>
      <w:r w:rsidR="009305E8" w:rsidRPr="00882F11">
        <w:rPr>
          <w:rFonts w:cs="Guttman Drogolin"/>
          <w:rtl/>
          <w:lang w:bidi="he-IL"/>
        </w:rPr>
        <w:fldChar w:fldCharType="end"/>
      </w:r>
      <w:r w:rsidR="00B00711" w:rsidRPr="00882F11">
        <w:rPr>
          <w:rFonts w:cs="Guttman Drogolin" w:hint="cs"/>
          <w:rtl/>
          <w:lang w:bidi="he-IL"/>
        </w:rPr>
        <w:t>. והוכיח מכאן הגר"א ברסי' ק"ה ש</w:t>
      </w:r>
      <w:r w:rsidR="009305E8" w:rsidRPr="00882F11">
        <w:rPr>
          <w:rFonts w:cs="Guttman Drogolin" w:hint="cs"/>
          <w:rtl/>
          <w:lang w:bidi="he-IL"/>
        </w:rPr>
        <w:t>בשא</w:t>
      </w:r>
      <w:r w:rsidRPr="00882F11">
        <w:rPr>
          <w:rFonts w:cs="Guttman Drogolin" w:hint="cs"/>
          <w:rtl/>
          <w:lang w:bidi="he-IL"/>
        </w:rPr>
        <w:t xml:space="preserve">ר איסורים </w:t>
      </w:r>
      <w:r w:rsidR="00B00711" w:rsidRPr="00882F11">
        <w:rPr>
          <w:rFonts w:cs="Guttman Drogolin" w:hint="cs"/>
          <w:rtl/>
          <w:lang w:bidi="he-IL"/>
        </w:rPr>
        <w:t>הטעם שע"י כבוש הוא אוסר מדאורייתא</w:t>
      </w:r>
      <w:r w:rsidR="0019464E">
        <w:rPr>
          <w:rFonts w:cs="Guttman Drogolin" w:hint="cs"/>
          <w:rtl/>
          <w:lang w:bidi="he-IL"/>
        </w:rPr>
        <w:t xml:space="preserve"> דהא החידוש בבב"ח הוא בדאורייתא</w:t>
      </w:r>
      <w:r w:rsidR="009305E8" w:rsidRPr="00882F11">
        <w:rPr>
          <w:rFonts w:cs="Guttman Drogolin"/>
          <w:rtl/>
          <w:lang w:bidi="he-IL"/>
        </w:rPr>
        <w:fldChar w:fldCharType="begin"/>
      </w:r>
      <w:r w:rsidR="009305E8" w:rsidRPr="00882F11">
        <w:rPr>
          <w:rFonts w:cs="Guttman Drogolin"/>
        </w:rPr>
        <w:instrText xml:space="preserve"> XE "</w:instrText>
      </w:r>
      <w:r w:rsidR="009305E8" w:rsidRPr="00882F11">
        <w:rPr>
          <w:rFonts w:cs="Guttman Drogolin" w:hint="cs"/>
          <w:rtl/>
          <w:lang w:bidi="he-IL"/>
        </w:rPr>
        <w:instrText>כבוש</w:instrText>
      </w:r>
      <w:r w:rsidR="009305E8" w:rsidRPr="00882F11">
        <w:rPr>
          <w:rFonts w:cs="Guttman Drogolin"/>
          <w:rtl/>
        </w:rPr>
        <w:instrText>:</w:instrText>
      </w:r>
      <w:r w:rsidR="0019464E">
        <w:rPr>
          <w:rFonts w:cs="Guttman Drogolin" w:hint="cs"/>
          <w:rtl/>
          <w:lang w:bidi="he-IL"/>
        </w:rPr>
        <w:instrText xml:space="preserve">אם </w:instrText>
      </w:r>
      <w:r w:rsidR="009305E8" w:rsidRPr="00882F11">
        <w:rPr>
          <w:rFonts w:cs="Guttman Drogolin" w:hint="cs"/>
          <w:rtl/>
          <w:lang w:bidi="he-IL"/>
        </w:rPr>
        <w:instrText>עושה טעם כעיקר מדאורייתא בשאר איסורים</w:instrText>
      </w:r>
      <w:r w:rsidR="009305E8" w:rsidRPr="00882F11">
        <w:rPr>
          <w:rFonts w:cs="Guttman Drogolin"/>
        </w:rPr>
        <w:instrText xml:space="preserve">" </w:instrText>
      </w:r>
      <w:r w:rsidR="009305E8" w:rsidRPr="00882F11">
        <w:rPr>
          <w:rFonts w:cs="Guttman Drogolin"/>
          <w:rtl/>
          <w:lang w:bidi="he-IL"/>
        </w:rPr>
        <w:fldChar w:fldCharType="end"/>
      </w:r>
      <w:r w:rsidR="009F0CB9" w:rsidRPr="00882F11">
        <w:rPr>
          <w:rStyle w:val="FootnoteReference"/>
          <w:rFonts w:cs="Guttman Drogolin"/>
          <w:rtl/>
          <w:lang w:bidi="he-IL"/>
        </w:rPr>
        <w:footnoteReference w:id="30"/>
      </w:r>
      <w:r w:rsidR="00B00711" w:rsidRPr="00882F11">
        <w:rPr>
          <w:rFonts w:cs="Guttman Drogolin" w:hint="cs"/>
          <w:rtl/>
          <w:lang w:bidi="he-IL"/>
        </w:rPr>
        <w:t xml:space="preserve">. אלא שיש להעיר שהרי ההגהות מיי' (דפוס קושטא פט"ו הל"א) כתב שמרש"י בכל הש"ס מבואר שלא נאמר הדין דכבוש כמבושל אא"כ הוא כבוש בחומץ, שהרי כל פעם </w:t>
      </w:r>
      <w:r w:rsidR="0019464E">
        <w:rPr>
          <w:rFonts w:cs="Guttman Drogolin" w:hint="cs"/>
          <w:rtl/>
          <w:lang w:bidi="he-IL"/>
        </w:rPr>
        <w:t>פירש"י דכבוש היינו כבוש בחומץ</w:t>
      </w:r>
      <w:r w:rsidR="00B00711" w:rsidRPr="00882F11">
        <w:rPr>
          <w:rFonts w:cs="Guttman Drogolin" w:hint="cs"/>
          <w:rtl/>
          <w:lang w:bidi="he-IL"/>
        </w:rPr>
        <w:t>. ולכאורה לדידי' תיקשי מהכא דאמרינן כבוש כמבושל בחלב</w:t>
      </w:r>
      <w:r w:rsidR="00B00711" w:rsidRPr="00882F11">
        <w:rPr>
          <w:rStyle w:val="FootnoteReference"/>
          <w:rFonts w:cs="Guttman Drogolin"/>
          <w:rtl/>
          <w:lang w:bidi="he-IL"/>
        </w:rPr>
        <w:footnoteReference w:id="31"/>
      </w:r>
      <w:r w:rsidR="00B00711" w:rsidRPr="00882F11">
        <w:rPr>
          <w:rFonts w:cs="Guttman Drogolin" w:hint="cs"/>
          <w:rtl/>
          <w:lang w:bidi="he-IL"/>
        </w:rPr>
        <w:t>.</w:t>
      </w:r>
      <w:r w:rsidR="00982168" w:rsidRPr="00882F11">
        <w:rPr>
          <w:rFonts w:cs="Guttman Drogolin" w:hint="cs"/>
          <w:rtl/>
          <w:lang w:bidi="he-IL"/>
        </w:rPr>
        <w:t xml:space="preserve"> </w:t>
      </w:r>
    </w:p>
    <w:p w:rsidR="00B00711" w:rsidRPr="00882F11" w:rsidRDefault="00B00711" w:rsidP="00B00711">
      <w:pPr>
        <w:tabs>
          <w:tab w:val="left" w:pos="1183"/>
        </w:tabs>
        <w:bidi/>
        <w:jc w:val="both"/>
        <w:rPr>
          <w:rFonts w:cs="Guttman Drogolin"/>
          <w:rtl/>
          <w:lang w:bidi="he-IL"/>
        </w:rPr>
      </w:pPr>
      <w:r w:rsidRPr="00882F11">
        <w:rPr>
          <w:rFonts w:cs="Guttman Drogolin" w:hint="cs"/>
          <w:rtl/>
          <w:lang w:bidi="he-IL"/>
        </w:rPr>
        <w:t xml:space="preserve">ומצאתי דבר חידוש כאן בתור"פ. שכתב שהמנהג בימיו שהיו שורין הבשר קודם מליחה במים יותר מכ"ד שעות, ותמה על זה הר"פ מהכא דמבואר דכה"ג בולע, וא"כ יהא הבשר אסור משום שבלע דם. </w:t>
      </w:r>
      <w:r w:rsidR="0019464E">
        <w:rPr>
          <w:rFonts w:cs="Guttman Drogolin"/>
          <w:rtl/>
          <w:lang w:bidi="he-IL"/>
        </w:rPr>
        <w:fldChar w:fldCharType="begin"/>
      </w:r>
      <w:r w:rsidR="0019464E">
        <w:instrText xml:space="preserve"> XE "</w:instrText>
      </w:r>
      <w:r w:rsidR="0019464E" w:rsidRPr="00FF531A">
        <w:rPr>
          <w:rFonts w:hint="cs"/>
          <w:rtl/>
          <w:lang w:bidi="he-IL"/>
        </w:rPr>
        <w:instrText>כבוש</w:instrText>
      </w:r>
      <w:r w:rsidR="0019464E" w:rsidRPr="00FF531A">
        <w:rPr>
          <w:rtl/>
        </w:rPr>
        <w:instrText>:</w:instrText>
      </w:r>
      <w:r w:rsidR="0019464E" w:rsidRPr="00FF531A">
        <w:rPr>
          <w:rFonts w:hint="cs"/>
          <w:rtl/>
          <w:lang w:bidi="he-IL"/>
        </w:rPr>
        <w:instrText>אם אוסר בזמן מעל</w:instrText>
      </w:r>
      <w:r w:rsidR="0019464E">
        <w:rPr>
          <w:rFonts w:eastAsiaTheme="minorEastAsia"/>
          <w:lang w:bidi="he-IL"/>
        </w:rPr>
        <w:instrText>\</w:instrText>
      </w:r>
      <w:r w:rsidR="0019464E" w:rsidRPr="00FF531A">
        <w:rPr>
          <w:rFonts w:hint="cs"/>
          <w:rtl/>
          <w:lang w:bidi="he-IL"/>
        </w:rPr>
        <w:instrText>"ע</w:instrText>
      </w:r>
      <w:r w:rsidR="0019464E">
        <w:instrText xml:space="preserve">" </w:instrText>
      </w:r>
      <w:r w:rsidR="0019464E">
        <w:rPr>
          <w:rFonts w:cs="Guttman Drogolin"/>
          <w:rtl/>
          <w:lang w:bidi="he-IL"/>
        </w:rPr>
        <w:fldChar w:fldCharType="end"/>
      </w:r>
      <w:r w:rsidRPr="00882F11">
        <w:rPr>
          <w:rFonts w:cs="Guttman Drogolin" w:hint="cs"/>
          <w:rtl/>
          <w:lang w:bidi="he-IL"/>
        </w:rPr>
        <w:t>ובאמת לדידן מבואר בשו"ע (יו"ד סי' ס"ט סע' א' וט"ו) שכה"ג באמת אוסר ושלכן אין לשרות בשר עם דם במים לכ"ד שעות. ומ"מ הר"פ אמר חידוש. דהא דאמרינן כבוש כמבושל, היינו רק בכה"ג שידעינן באמת שהטעים א' את השני. אבל סתמא דמילתא לא חיישינן שנתן טעם. ולכן בסוגיין מיירי בהטעימו לקפילא ואמר שיש טעם, שבשאר איסורין הרי זה אסור מדאורייתא, דהא בסתמא אין טעם. וע"ש עוד לתרץ שיש משקים הבולעים בכבוש אבל מים אינו מבליע. ואולי זהו כרש"י, וחומץ דנקט בכל מקום לאו דוקא רק לאפוקי מים</w:t>
      </w:r>
      <w:r w:rsidR="00617A8A" w:rsidRPr="00882F11">
        <w:rPr>
          <w:rStyle w:val="FootnoteReference"/>
          <w:rFonts w:cs="Guttman Drogolin"/>
          <w:rtl/>
          <w:lang w:bidi="he-IL"/>
        </w:rPr>
        <w:footnoteReference w:id="32"/>
      </w:r>
      <w:r w:rsidRPr="00882F11">
        <w:rPr>
          <w:rFonts w:cs="Guttman Drogolin" w:hint="cs"/>
          <w:rtl/>
          <w:lang w:bidi="he-IL"/>
        </w:rPr>
        <w:t xml:space="preserve">.    </w:t>
      </w:r>
      <w:r w:rsidR="00982168" w:rsidRPr="00882F11">
        <w:rPr>
          <w:rFonts w:cs="Guttman Drogolin" w:hint="cs"/>
          <w:rtl/>
          <w:lang w:bidi="he-IL"/>
        </w:rPr>
        <w:t xml:space="preserve"> </w:t>
      </w:r>
      <w:r w:rsidR="009817A8" w:rsidRPr="00882F11">
        <w:rPr>
          <w:rFonts w:cs="Guttman Drogolin" w:hint="cs"/>
          <w:rtl/>
          <w:lang w:bidi="he-IL"/>
        </w:rPr>
        <w:t xml:space="preserve">   </w:t>
      </w:r>
      <w:r w:rsidR="004B4684" w:rsidRPr="00882F11">
        <w:rPr>
          <w:rFonts w:cs="Guttman Drogolin" w:hint="cs"/>
          <w:rtl/>
          <w:lang w:bidi="he-IL"/>
        </w:rPr>
        <w:t xml:space="preserve"> </w:t>
      </w:r>
      <w:r w:rsidR="003B182E" w:rsidRPr="00882F11">
        <w:rPr>
          <w:rFonts w:cs="Guttman Drogolin" w:hint="cs"/>
          <w:rtl/>
          <w:lang w:bidi="he-IL"/>
        </w:rPr>
        <w:t xml:space="preserve">  </w:t>
      </w:r>
      <w:r w:rsidR="00D60CA3" w:rsidRPr="00882F11">
        <w:rPr>
          <w:rFonts w:cs="Guttman Drogolin" w:hint="cs"/>
          <w:rtl/>
          <w:lang w:bidi="he-IL"/>
        </w:rPr>
        <w:t xml:space="preserve">   </w:t>
      </w:r>
      <w:r w:rsidR="00172EEA" w:rsidRPr="00882F11">
        <w:rPr>
          <w:rFonts w:cs="Guttman Drogolin" w:hint="cs"/>
          <w:rtl/>
          <w:lang w:bidi="he-IL"/>
        </w:rPr>
        <w:t xml:space="preserve"> </w:t>
      </w:r>
      <w:r w:rsidR="00994184" w:rsidRPr="00882F11">
        <w:rPr>
          <w:rFonts w:cs="Guttman Drogolin" w:hint="cs"/>
          <w:rtl/>
          <w:lang w:bidi="he-IL"/>
        </w:rPr>
        <w:t xml:space="preserve"> </w:t>
      </w:r>
    </w:p>
    <w:p w:rsidR="00B00711" w:rsidRPr="00882F11" w:rsidRDefault="00B00711" w:rsidP="0078079C">
      <w:pPr>
        <w:pStyle w:val="Heading1"/>
        <w:bidi/>
        <w:spacing w:before="0" w:line="360" w:lineRule="auto"/>
        <w:jc w:val="center"/>
        <w:rPr>
          <w:rFonts w:cs="Guttman Drogolin"/>
          <w:color w:val="auto"/>
          <w:sz w:val="24"/>
          <w:szCs w:val="24"/>
          <w:u w:val="single"/>
          <w:rtl/>
          <w:lang w:bidi="he-IL"/>
        </w:rPr>
      </w:pPr>
      <w:bookmarkStart w:id="18" w:name="_Toc496175284"/>
      <w:r w:rsidRPr="00882F11">
        <w:rPr>
          <w:rFonts w:cs="Guttman Drogolin" w:hint="cs"/>
          <w:color w:val="auto"/>
          <w:sz w:val="24"/>
          <w:szCs w:val="24"/>
          <w:u w:val="single"/>
          <w:rtl/>
          <w:lang w:bidi="he-IL"/>
        </w:rPr>
        <w:lastRenderedPageBreak/>
        <w:t>גיעולי נכרים</w:t>
      </w:r>
      <w:bookmarkEnd w:id="18"/>
    </w:p>
    <w:p w:rsidR="007B52E7" w:rsidRPr="00882F11" w:rsidRDefault="0019464E" w:rsidP="00A0725B">
      <w:pPr>
        <w:bidi/>
        <w:jc w:val="both"/>
        <w:rPr>
          <w:rFonts w:cs="Guttman Drogolin"/>
          <w:rtl/>
          <w:lang w:bidi="he-IL"/>
        </w:rPr>
      </w:pPr>
      <w:r>
        <w:rPr>
          <w:rFonts w:cs="Guttman Drogolin"/>
          <w:rtl/>
          <w:lang w:bidi="he-IL"/>
        </w:rPr>
        <w:fldChar w:fldCharType="begin"/>
      </w:r>
      <w:r>
        <w:instrText xml:space="preserve"> XE "</w:instrText>
      </w:r>
      <w:r w:rsidRPr="003F1FF0">
        <w:rPr>
          <w:rFonts w:hint="cs"/>
          <w:rtl/>
          <w:lang w:bidi="he-IL"/>
        </w:rPr>
        <w:instrText>הכשר כלים</w:instrText>
      </w:r>
      <w:r w:rsidRPr="003F1FF0">
        <w:rPr>
          <w:rtl/>
        </w:rPr>
        <w:instrText>:</w:instrText>
      </w:r>
      <w:r w:rsidRPr="003F1FF0">
        <w:rPr>
          <w:rFonts w:hint="cs"/>
          <w:rtl/>
          <w:lang w:bidi="he-IL"/>
        </w:rPr>
        <w:instrText>אם חיובה הוי מקור לדין טכ</w:instrText>
      </w:r>
      <w:r>
        <w:rPr>
          <w:rFonts w:eastAsiaTheme="minorEastAsia"/>
          <w:lang w:bidi="he-IL"/>
        </w:rPr>
        <w:instrText>\</w:instrText>
      </w:r>
      <w:r w:rsidRPr="003F1FF0">
        <w:rPr>
          <w:rFonts w:hint="cs"/>
          <w:rtl/>
          <w:lang w:bidi="he-IL"/>
        </w:rPr>
        <w:instrText>"ע</w:instrText>
      </w:r>
      <w:r>
        <w:instrText xml:space="preserve">" </w:instrText>
      </w:r>
      <w:r>
        <w:rPr>
          <w:rFonts w:cs="Guttman Drogolin"/>
          <w:rtl/>
          <w:lang w:bidi="he-IL"/>
        </w:rPr>
        <w:fldChar w:fldCharType="end"/>
      </w:r>
      <w:r w:rsidR="00B00711" w:rsidRPr="00882F11">
        <w:rPr>
          <w:rFonts w:cs="Guttman Drogolin" w:hint="cs"/>
          <w:rtl/>
          <w:lang w:bidi="he-IL"/>
        </w:rPr>
        <w:t>מסקנת הגמ' שר"ע למד הדין של טעם כעיקר מדינא דגיעולי נכרים. ור"ל ש</w:t>
      </w:r>
      <w:r w:rsidR="00A0725B" w:rsidRPr="00882F11">
        <w:rPr>
          <w:rFonts w:cs="Guttman Drogolin" w:hint="cs"/>
          <w:rtl/>
          <w:lang w:bidi="he-IL"/>
        </w:rPr>
        <w:t>בפ' מטות כשכלל ישראל נצח את מדין ולקח את כליהם צותה התורה שיש להכשירו קודם שישתמש בו. וטעם הה</w:t>
      </w:r>
      <w:r w:rsidR="007817BC" w:rsidRPr="00882F11">
        <w:rPr>
          <w:rFonts w:cs="Guttman Drogolin" w:hint="cs"/>
          <w:rtl/>
          <w:lang w:bidi="he-IL"/>
        </w:rPr>
        <w:t>כ</w:t>
      </w:r>
      <w:r w:rsidR="00A0725B" w:rsidRPr="00882F11">
        <w:rPr>
          <w:rFonts w:cs="Guttman Drogolin" w:hint="cs"/>
          <w:rtl/>
          <w:lang w:bidi="he-IL"/>
        </w:rPr>
        <w:t>שר הוא משום טעם האיסור הבלוע ב</w:t>
      </w:r>
      <w:r w:rsidR="00921589">
        <w:rPr>
          <w:rFonts w:cs="Guttman Drogolin" w:hint="cs"/>
          <w:rtl/>
          <w:lang w:bidi="he-IL"/>
        </w:rPr>
        <w:t>כ</w:t>
      </w:r>
      <w:r w:rsidR="00A0725B" w:rsidRPr="00882F11">
        <w:rPr>
          <w:rFonts w:cs="Guttman Drogolin" w:hint="cs"/>
          <w:rtl/>
          <w:lang w:bidi="he-IL"/>
        </w:rPr>
        <w:t>לי, הרי דחזינן ש</w:t>
      </w:r>
      <w:r w:rsidR="00BF430F" w:rsidRPr="00882F11">
        <w:rPr>
          <w:rFonts w:cs="Guttman Drogolin" w:hint="cs"/>
          <w:rtl/>
          <w:lang w:bidi="he-IL"/>
        </w:rPr>
        <w:t>טעם כעיקר</w:t>
      </w:r>
      <w:r w:rsidR="00A0725B" w:rsidRPr="00882F11">
        <w:rPr>
          <w:rFonts w:cs="Guttman Drogolin" w:hint="cs"/>
          <w:rtl/>
          <w:lang w:bidi="he-IL"/>
        </w:rPr>
        <w:t>. והגמ' אומרת שרבנן שלא לומדים מגיעולי נכרים (ולכן למדו ממשרת) סוברים</w:t>
      </w:r>
      <w:r w:rsidR="00921589">
        <w:rPr>
          <w:rFonts w:cs="Guttman Drogolin" w:hint="cs"/>
          <w:rtl/>
          <w:lang w:bidi="he-IL"/>
        </w:rPr>
        <w:t xml:space="preserve"> שאי אפשר ללמוד מגיעולי נכרים, ד</w:t>
      </w:r>
      <w:r w:rsidR="00A0725B" w:rsidRPr="00882F11">
        <w:rPr>
          <w:rFonts w:cs="Guttman Drogolin" w:hint="cs"/>
          <w:rtl/>
          <w:lang w:bidi="he-IL"/>
        </w:rPr>
        <w:t>התם חידוש הוא, דהא בעלמא נטל"פ מותר, והכא אסור. ויוצא מן הגמ' שיסוד המחלוקת היא אם הטעם הב</w:t>
      </w:r>
      <w:r w:rsidR="007817BC" w:rsidRPr="00882F11">
        <w:rPr>
          <w:rFonts w:cs="Guttman Drogolin" w:hint="cs"/>
          <w:rtl/>
          <w:lang w:bidi="he-IL"/>
        </w:rPr>
        <w:t>לוע בקדירה בת יומא ג"כ הוי לפגם</w:t>
      </w:r>
      <w:r w:rsidR="00A0725B" w:rsidRPr="00882F11">
        <w:rPr>
          <w:rFonts w:cs="Guttman Drogolin" w:hint="cs"/>
          <w:rtl/>
          <w:lang w:bidi="he-IL"/>
        </w:rPr>
        <w:t xml:space="preserve">. שר"ע סבר דלא הוי לפגם, </w:t>
      </w:r>
      <w:r w:rsidR="007817BC" w:rsidRPr="00882F11">
        <w:rPr>
          <w:rFonts w:cs="Guttman Drogolin" w:hint="cs"/>
          <w:rtl/>
          <w:lang w:bidi="he-IL"/>
        </w:rPr>
        <w:t>וכיון</w:t>
      </w:r>
      <w:r w:rsidR="00A0725B" w:rsidRPr="00882F11">
        <w:rPr>
          <w:rFonts w:cs="Guttman Drogolin" w:hint="cs"/>
          <w:rtl/>
          <w:lang w:bidi="he-IL"/>
        </w:rPr>
        <w:t xml:space="preserve"> שהתורה לא אסרה אלא קדירות בני יומן אין כאן חידוש ואפשר ללמוד ממנו לכל איסורים שבתורה. אבל רבנן סוברים שגם הטעם הבלוע בקדירה בת יומא נפגם קצת, ולכן הוי חידוש ואין למידין ממנו.</w:t>
      </w:r>
    </w:p>
    <w:p w:rsidR="000C2539" w:rsidRPr="00882F11" w:rsidRDefault="009305E8" w:rsidP="00A0725B">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טעם כעיקר</w:instrText>
      </w:r>
      <w:r w:rsidRPr="00882F11">
        <w:rPr>
          <w:rFonts w:cs="Guttman Drogolin"/>
          <w:rtl/>
        </w:rPr>
        <w:instrText>:</w:instrText>
      </w:r>
      <w:r w:rsidR="00F927B0" w:rsidRPr="00882F11">
        <w:rPr>
          <w:rFonts w:cs="Guttman Drogolin" w:hint="cs"/>
          <w:rtl/>
          <w:lang w:bidi="he-IL"/>
        </w:rPr>
        <w:instrText>אי דרבנן מהו הביאור ב</w:instrText>
      </w:r>
      <w:r w:rsidRPr="00882F11">
        <w:rPr>
          <w:rFonts w:cs="Guttman Drogolin" w:hint="cs"/>
          <w:rtl/>
          <w:lang w:bidi="he-IL"/>
        </w:rPr>
        <w:instrText>חיוב של הכשר כלים מדאו'</w:instrText>
      </w:r>
      <w:r w:rsidRPr="00882F11">
        <w:rPr>
          <w:rFonts w:cs="Guttman Drogolin"/>
        </w:rPr>
        <w:instrText xml:space="preserve">" </w:instrText>
      </w:r>
      <w:r w:rsidRPr="00882F11">
        <w:rPr>
          <w:rFonts w:cs="Guttman Drogolin"/>
          <w:rtl/>
          <w:lang w:bidi="he-IL"/>
        </w:rPr>
        <w:fldChar w:fldCharType="end"/>
      </w:r>
      <w:r w:rsidR="00A0725B" w:rsidRPr="00882F11">
        <w:rPr>
          <w:rFonts w:cs="Guttman Drogolin" w:hint="cs"/>
          <w:rtl/>
          <w:lang w:bidi="he-IL"/>
        </w:rPr>
        <w:t xml:space="preserve">והנה כאן הבן שואל, דנהי נמי שהדין של גיעולי נכרים הוי חידוש, מ"מ איך אפשר לומר שאין טעם כעיקר, הא זהו גופא הדין של גיעולי נכרים שהטעם אוסר, </w:t>
      </w:r>
      <w:r w:rsidR="00921589">
        <w:rPr>
          <w:rFonts w:cs="Guttman Drogolin" w:hint="cs"/>
          <w:rtl/>
          <w:lang w:bidi="he-IL"/>
        </w:rPr>
        <w:t xml:space="preserve">ובגיעולי נכרים בלעו הכלים מכל האסורים, </w:t>
      </w:r>
      <w:r w:rsidR="00A0725B" w:rsidRPr="00882F11">
        <w:rPr>
          <w:rFonts w:cs="Guttman Drogolin" w:hint="cs"/>
          <w:rtl/>
          <w:lang w:bidi="he-IL"/>
        </w:rPr>
        <w:t>ואין צורך ללמוד ממנו למקום אחר לכאורה, דהא זהו עצמו הדין של גיעולי נכרים. קושיא זו הקשה</w:t>
      </w:r>
      <w:r w:rsidR="00921589">
        <w:rPr>
          <w:rFonts w:cs="Guttman Drogolin" w:hint="cs"/>
          <w:rtl/>
          <w:lang w:bidi="he-IL"/>
        </w:rPr>
        <w:t xml:space="preserve"> בחי'</w:t>
      </w:r>
      <w:r w:rsidR="00A0725B" w:rsidRPr="00882F11">
        <w:rPr>
          <w:rFonts w:cs="Guttman Drogolin" w:hint="cs"/>
          <w:rtl/>
          <w:lang w:bidi="he-IL"/>
        </w:rPr>
        <w:t xml:space="preserve"> ר' דוד כאן, וכן הרא"ה בבדק הבית (ב"ד ש"א</w:t>
      </w:r>
      <w:r w:rsidR="000C2539" w:rsidRPr="00882F11">
        <w:rPr>
          <w:rFonts w:cs="Guttman Drogolin" w:hint="cs"/>
          <w:rtl/>
          <w:lang w:bidi="he-IL"/>
        </w:rPr>
        <w:t xml:space="preserve"> </w:t>
      </w:r>
      <w:r w:rsidR="000C2539" w:rsidRPr="00882F11">
        <w:rPr>
          <w:rFonts w:cs="Guttman Drogolin"/>
          <w:rtl/>
          <w:lang w:bidi="he-IL"/>
        </w:rPr>
        <w:t>–</w:t>
      </w:r>
      <w:r w:rsidR="000C2539" w:rsidRPr="00882F11">
        <w:rPr>
          <w:rFonts w:cs="Guttman Drogolin" w:hint="cs"/>
          <w:rtl/>
          <w:lang w:bidi="he-IL"/>
        </w:rPr>
        <w:t xml:space="preserve"> עמ' צ"ט בהוצאת מה"ק</w:t>
      </w:r>
      <w:r w:rsidR="00A0725B" w:rsidRPr="00882F11">
        <w:rPr>
          <w:rFonts w:cs="Guttman Drogolin" w:hint="cs"/>
          <w:rtl/>
          <w:lang w:bidi="he-IL"/>
        </w:rPr>
        <w:t xml:space="preserve">) בשם הרמב"ן. וכתב ר' דוד שלעולם אם הטעם נבלע ישר מן האיסור לתוך הכלי גם אם אין </w:t>
      </w:r>
      <w:r w:rsidR="00BF430F" w:rsidRPr="00882F11">
        <w:rPr>
          <w:rFonts w:cs="Guttman Drogolin" w:hint="cs"/>
          <w:rtl/>
          <w:lang w:bidi="he-IL"/>
        </w:rPr>
        <w:t>טעם כעיקר</w:t>
      </w:r>
      <w:r w:rsidR="00A0725B" w:rsidRPr="00882F11">
        <w:rPr>
          <w:rFonts w:cs="Guttman Drogolin" w:hint="cs"/>
          <w:rtl/>
          <w:lang w:bidi="he-IL"/>
        </w:rPr>
        <w:t xml:space="preserve"> הרי זה אוסר, שכך גזר רחמנא שטעם כזה בכלי אוסר. אבל אם נכנס הטעם לאוכל, הא אין טעם כעיקר ולכן המאכל הוא מותר</w:t>
      </w:r>
      <w:r w:rsidR="00037E72" w:rsidRPr="00882F11">
        <w:rPr>
          <w:rFonts w:cs="Guttman Drogolin" w:hint="cs"/>
          <w:rtl/>
          <w:lang w:bidi="he-IL"/>
        </w:rPr>
        <w:t>. וא"כ אפילו אם נב</w:t>
      </w:r>
      <w:r w:rsidR="00A0725B" w:rsidRPr="00882F11">
        <w:rPr>
          <w:rFonts w:cs="Guttman Drogolin" w:hint="cs"/>
          <w:rtl/>
          <w:lang w:bidi="he-IL"/>
        </w:rPr>
        <w:t>לע לאחר מכן בכלי אין צריך להכשירו.</w:t>
      </w:r>
      <w:r w:rsidR="000C2539" w:rsidRPr="00882F11">
        <w:rPr>
          <w:rFonts w:cs="Guttman Drogolin" w:hint="cs"/>
          <w:rtl/>
          <w:lang w:bidi="he-IL"/>
        </w:rPr>
        <w:t xml:space="preserve"> ויתכן שזהו ג"כ כוונת הרמב"ן המובא בבדק הבית ע"ש לשונו.</w:t>
      </w:r>
      <w:r w:rsidR="00A95C62" w:rsidRPr="00882F11">
        <w:rPr>
          <w:rFonts w:cs="Guttman Drogolin" w:hint="cs"/>
          <w:rtl/>
          <w:lang w:bidi="he-IL"/>
        </w:rPr>
        <w:t xml:space="preserve"> וע' בחי' רע"א שמעצמו תמה על סברא כזאת (ולא הביא מדברי הראשונים) שאיך נחלק בין טעם שיצא מן החתיכה לטעם שיצא מן הכלי. וע"ש בבדק הבית שהרמב"ן הי' באמת מדמה איסור זה לאיסור טבילת כלים. </w:t>
      </w:r>
    </w:p>
    <w:p w:rsidR="00776871" w:rsidRPr="00882F11" w:rsidRDefault="00921589" w:rsidP="00921589">
      <w:pPr>
        <w:bidi/>
        <w:jc w:val="both"/>
        <w:rPr>
          <w:rFonts w:cs="Guttman Drogolin"/>
          <w:rtl/>
          <w:lang w:bidi="he-IL"/>
        </w:rPr>
      </w:pPr>
      <w:r>
        <w:rPr>
          <w:rFonts w:cs="Guttman Drogolin"/>
          <w:rtl/>
          <w:lang w:bidi="he-IL"/>
        </w:rPr>
        <w:lastRenderedPageBreak/>
        <w:fldChar w:fldCharType="begin"/>
      </w:r>
      <w:r>
        <w:instrText xml:space="preserve"> XE "</w:instrText>
      </w:r>
      <w:r w:rsidRPr="00914667">
        <w:rPr>
          <w:rFonts w:hint="cs"/>
          <w:rtl/>
          <w:lang w:bidi="he-IL"/>
        </w:rPr>
        <w:instrText>אין מבטלין איסור לכתחילה</w:instrText>
      </w:r>
      <w:r w:rsidRPr="00914667">
        <w:rPr>
          <w:rtl/>
        </w:rPr>
        <w:instrText>:</w:instrText>
      </w:r>
      <w:r w:rsidRPr="00914667">
        <w:rPr>
          <w:rFonts w:hint="cs"/>
          <w:rtl/>
          <w:lang w:bidi="he-IL"/>
        </w:rPr>
        <w:instrText>אם הוא מדאורייתא - מקור</w:instrText>
      </w:r>
      <w:r>
        <w:instrText xml:space="preserve">" </w:instrText>
      </w:r>
      <w:r>
        <w:rPr>
          <w:rFonts w:cs="Guttman Drogolin"/>
          <w:rtl/>
          <w:lang w:bidi="he-IL"/>
        </w:rPr>
        <w:fldChar w:fldCharType="end"/>
      </w:r>
      <w:r w:rsidR="00785D6B" w:rsidRPr="00882F11">
        <w:rPr>
          <w:rFonts w:cs="Guttman Drogolin" w:hint="cs"/>
          <w:rtl/>
          <w:lang w:bidi="he-IL"/>
        </w:rPr>
        <w:t>ומצאתי בפמ"ג (יו"ד סי' צ"ג שפ"ד ס"ק ג') שכתב תי' אחר לקושיא זו. והוא דאע"ג ד</w:t>
      </w:r>
      <w:r w:rsidR="00BF430F" w:rsidRPr="00882F11">
        <w:rPr>
          <w:rFonts w:cs="Guttman Drogolin" w:hint="cs"/>
          <w:rtl/>
          <w:lang w:bidi="he-IL"/>
        </w:rPr>
        <w:t>טעם כעיקר</w:t>
      </w:r>
      <w:r w:rsidR="00785D6B" w:rsidRPr="00882F11">
        <w:rPr>
          <w:rFonts w:cs="Guttman Drogolin" w:hint="cs"/>
          <w:rtl/>
          <w:lang w:bidi="he-IL"/>
        </w:rPr>
        <w:t xml:space="preserve"> לאו דאורייתא, הנ"מ לענין הטעם, אבל תמיד יש משהו של איסור וצריכים לבטל אותו מדינא דביטול ברוב. ולכן אע"ג שגם זה מותר דהא אמרינן שברובא בטיל עד כמה דליכא טעם, אבל נפק"מ לענין ביטול איסור לכתחילה, ור"ל שהתורה צותה להגעיל כלי מדין כדי שלא נבטל איסור לכתחילה. ואם כנין דברים יתכן שיש לנו גם רווח במקום אחר. דהנה שיטת הראב"ד והרא"ה שהדין של אין מבטלין איסור לכתחילה הוא דין דאורייתא. אמנם לא ידוע לנו מקור לדבר זה</w:t>
      </w:r>
      <w:r>
        <w:rPr>
          <w:rStyle w:val="FootnoteReference"/>
          <w:rFonts w:cs="Guttman Drogolin"/>
          <w:rtl/>
          <w:lang w:bidi="he-IL"/>
        </w:rPr>
        <w:footnoteReference w:id="33"/>
      </w:r>
      <w:r w:rsidR="00785D6B" w:rsidRPr="00882F11">
        <w:rPr>
          <w:rFonts w:cs="Guttman Drogolin" w:hint="cs"/>
          <w:rtl/>
          <w:lang w:bidi="he-IL"/>
        </w:rPr>
        <w:t>. ולפי זה לכאורה י"ל שהמקור מגיעולי נכרים. אי ילפינן הדין ד</w:t>
      </w:r>
      <w:r w:rsidR="00BF430F" w:rsidRPr="00882F11">
        <w:rPr>
          <w:rFonts w:cs="Guttman Drogolin" w:hint="cs"/>
          <w:rtl/>
          <w:lang w:bidi="he-IL"/>
        </w:rPr>
        <w:t>טעם כעיקר</w:t>
      </w:r>
      <w:r w:rsidR="00785D6B" w:rsidRPr="00882F11">
        <w:rPr>
          <w:rFonts w:cs="Guttman Drogolin" w:hint="cs"/>
          <w:rtl/>
          <w:lang w:bidi="he-IL"/>
        </w:rPr>
        <w:t xml:space="preserve"> ממקום אחר. ויש לע' אם זה </w:t>
      </w:r>
      <w:r>
        <w:rPr>
          <w:rFonts w:cs="Guttman Drogolin" w:hint="cs"/>
          <w:rtl/>
          <w:lang w:bidi="he-IL"/>
        </w:rPr>
        <w:t>תואם</w:t>
      </w:r>
      <w:r w:rsidR="00785D6B" w:rsidRPr="00882F11">
        <w:rPr>
          <w:rFonts w:cs="Guttman Drogolin" w:hint="cs"/>
          <w:rtl/>
          <w:lang w:bidi="he-IL"/>
        </w:rPr>
        <w:t xml:space="preserve"> לפי השיטות, ואכמ"ל בזה.  </w:t>
      </w:r>
    </w:p>
    <w:p w:rsidR="00776871" w:rsidRPr="00882F11" w:rsidRDefault="00776871" w:rsidP="00776871">
      <w:pPr>
        <w:bidi/>
        <w:jc w:val="both"/>
        <w:rPr>
          <w:rFonts w:cs="Guttman Drogolin"/>
          <w:rtl/>
          <w:lang w:bidi="he-IL"/>
        </w:rPr>
        <w:sectPr w:rsidR="00776871" w:rsidRPr="00882F11" w:rsidSect="00882F11">
          <w:type w:val="continuous"/>
          <w:pgSz w:w="11907" w:h="16839" w:code="9"/>
          <w:pgMar w:top="1440" w:right="1440" w:bottom="1440" w:left="1440" w:header="720" w:footer="720" w:gutter="0"/>
          <w:cols w:num="2" w:space="720"/>
          <w:bidi/>
          <w:docGrid w:linePitch="360"/>
        </w:sectPr>
      </w:pPr>
    </w:p>
    <w:p w:rsidR="00776871" w:rsidRPr="00882F11" w:rsidRDefault="00776871" w:rsidP="00776871">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ד'</w:t>
      </w:r>
    </w:p>
    <w:p w:rsidR="00882F11" w:rsidRDefault="00882F11" w:rsidP="00882F11">
      <w:pPr>
        <w:pStyle w:val="Heading1"/>
        <w:bidi/>
        <w:spacing w:before="0" w:line="240" w:lineRule="auto"/>
        <w:jc w:val="center"/>
        <w:rPr>
          <w:rFonts w:cs="Guttman Drogolin"/>
          <w:color w:val="auto"/>
          <w:sz w:val="22"/>
          <w:szCs w:val="22"/>
          <w:u w:val="single"/>
          <w:rtl/>
          <w:lang w:bidi="he-IL"/>
        </w:rPr>
        <w:sectPr w:rsidR="00882F11" w:rsidSect="00882F11">
          <w:headerReference w:type="default" r:id="rId14"/>
          <w:pgSz w:w="11907" w:h="16839" w:code="9"/>
          <w:pgMar w:top="1440" w:right="1440" w:bottom="1440" w:left="1440" w:header="720" w:footer="720" w:gutter="0"/>
          <w:cols w:space="720"/>
          <w:bidi/>
          <w:docGrid w:linePitch="360"/>
        </w:sectPr>
      </w:pPr>
    </w:p>
    <w:p w:rsidR="00776871" w:rsidRPr="00882F11" w:rsidRDefault="00DC2516" w:rsidP="00882F11">
      <w:pPr>
        <w:pStyle w:val="Heading1"/>
        <w:bidi/>
        <w:spacing w:before="0" w:line="240" w:lineRule="auto"/>
        <w:jc w:val="center"/>
        <w:rPr>
          <w:rFonts w:cs="Guttman Drogolin"/>
          <w:color w:val="auto"/>
          <w:sz w:val="22"/>
          <w:szCs w:val="22"/>
          <w:u w:val="single"/>
          <w:rtl/>
          <w:lang w:bidi="he-IL"/>
        </w:rPr>
      </w:pPr>
      <w:bookmarkStart w:id="19" w:name="_Toc496175285"/>
      <w:r w:rsidRPr="00882F11">
        <w:rPr>
          <w:rFonts w:cs="Guttman Drogolin" w:hint="cs"/>
          <w:color w:val="auto"/>
          <w:sz w:val="22"/>
          <w:szCs w:val="22"/>
          <w:u w:val="single"/>
          <w:rtl/>
          <w:lang w:bidi="he-IL"/>
        </w:rPr>
        <w:lastRenderedPageBreak/>
        <w:t>עוד</w:t>
      </w:r>
      <w:r w:rsidR="00E23CA2" w:rsidRPr="00882F11">
        <w:rPr>
          <w:rFonts w:cs="Guttman Drogolin" w:hint="cs"/>
          <w:color w:val="auto"/>
          <w:sz w:val="22"/>
          <w:szCs w:val="22"/>
          <w:u w:val="single"/>
          <w:rtl/>
          <w:lang w:bidi="he-IL"/>
        </w:rPr>
        <w:t xml:space="preserve"> </w:t>
      </w:r>
      <w:r w:rsidRPr="00882F11">
        <w:rPr>
          <w:rFonts w:cs="Guttman Drogolin" w:hint="cs"/>
          <w:color w:val="auto"/>
          <w:sz w:val="22"/>
          <w:szCs w:val="22"/>
          <w:u w:val="single"/>
          <w:rtl/>
          <w:lang w:bidi="he-IL"/>
        </w:rPr>
        <w:t xml:space="preserve">בהא </w:t>
      </w:r>
      <w:r w:rsidR="00394AD7" w:rsidRPr="00882F11">
        <w:rPr>
          <w:rFonts w:cs="Guttman Drogolin" w:hint="cs"/>
          <w:color w:val="auto"/>
          <w:sz w:val="22"/>
          <w:szCs w:val="22"/>
          <w:u w:val="single"/>
          <w:rtl/>
          <w:lang w:bidi="he-IL"/>
        </w:rPr>
        <w:t xml:space="preserve">דאין טעם כעיקר אומר שנהפך ההיתר להיות אסור ומ"מ </w:t>
      </w:r>
      <w:r w:rsidR="004A5060" w:rsidRPr="00882F11">
        <w:rPr>
          <w:rFonts w:cs="Guttman Drogolin" w:hint="cs"/>
          <w:color w:val="auto"/>
          <w:sz w:val="22"/>
          <w:szCs w:val="22"/>
          <w:u w:val="single"/>
          <w:rtl/>
          <w:lang w:bidi="he-IL"/>
        </w:rPr>
        <w:t>ה</w:t>
      </w:r>
      <w:r w:rsidR="00394AD7" w:rsidRPr="00882F11">
        <w:rPr>
          <w:rFonts w:cs="Guttman Drogolin" w:hint="cs"/>
          <w:color w:val="auto"/>
          <w:sz w:val="22"/>
          <w:szCs w:val="22"/>
          <w:u w:val="single"/>
          <w:rtl/>
          <w:lang w:bidi="he-IL"/>
        </w:rPr>
        <w:t xml:space="preserve">איסורים </w:t>
      </w:r>
      <w:r w:rsidRPr="00882F11">
        <w:rPr>
          <w:rFonts w:cs="Guttman Drogolin" w:hint="cs"/>
          <w:color w:val="auto"/>
          <w:sz w:val="22"/>
          <w:szCs w:val="22"/>
          <w:u w:val="single"/>
          <w:rtl/>
          <w:lang w:bidi="he-IL"/>
        </w:rPr>
        <w:t xml:space="preserve">אינם </w:t>
      </w:r>
      <w:r w:rsidR="00394AD7" w:rsidRPr="00882F11">
        <w:rPr>
          <w:rFonts w:cs="Guttman Drogolin" w:hint="cs"/>
          <w:color w:val="auto"/>
          <w:sz w:val="22"/>
          <w:szCs w:val="22"/>
          <w:u w:val="single"/>
          <w:rtl/>
          <w:lang w:bidi="he-IL"/>
        </w:rPr>
        <w:t>מת</w:t>
      </w:r>
      <w:r w:rsidRPr="00882F11">
        <w:rPr>
          <w:rFonts w:cs="Guttman Drogolin" w:hint="cs"/>
          <w:color w:val="auto"/>
          <w:sz w:val="22"/>
          <w:szCs w:val="22"/>
          <w:u w:val="single"/>
          <w:rtl/>
          <w:lang w:bidi="he-IL"/>
        </w:rPr>
        <w:t>בטלים</w:t>
      </w:r>
      <w:bookmarkEnd w:id="19"/>
      <w:r w:rsidRPr="00882F11">
        <w:rPr>
          <w:rFonts w:cs="Guttman Drogolin" w:hint="cs"/>
          <w:color w:val="auto"/>
          <w:sz w:val="22"/>
          <w:szCs w:val="22"/>
          <w:u w:val="single"/>
          <w:rtl/>
          <w:lang w:bidi="he-IL"/>
        </w:rPr>
        <w:t xml:space="preserve"> </w:t>
      </w:r>
    </w:p>
    <w:p w:rsidR="00E75826" w:rsidRPr="00882F11" w:rsidRDefault="00F927B0" w:rsidP="006D31BE">
      <w:pPr>
        <w:bidi/>
        <w:jc w:val="both"/>
        <w:rPr>
          <w:rFonts w:cs="Guttman Drogolin"/>
          <w:rtl/>
          <w:lang w:bidi="he-IL"/>
        </w:rPr>
      </w:pPr>
      <w:r w:rsidRPr="00882F11">
        <w:rPr>
          <w:rFonts w:cs="Guttman Drogolin"/>
          <w:rtl/>
        </w:rPr>
        <w:fldChar w:fldCharType="begin"/>
      </w:r>
      <w:r w:rsidRPr="00882F11">
        <w:rPr>
          <w:rFonts w:cs="Guttman Drogolin"/>
        </w:rPr>
        <w:instrText xml:space="preserve"> XE "</w:instrText>
      </w:r>
      <w:r w:rsidRPr="00882F11">
        <w:rPr>
          <w:rFonts w:cs="Guttman Drogolin" w:hint="cs"/>
          <w:rtl/>
          <w:lang w:bidi="he-IL"/>
        </w:rPr>
        <w:instrText>טעם כעיקר</w:instrText>
      </w:r>
      <w:r w:rsidRPr="00882F11">
        <w:rPr>
          <w:rFonts w:cs="Guttman Drogolin"/>
          <w:rtl/>
        </w:rPr>
        <w:instrText>:</w:instrText>
      </w:r>
      <w:r w:rsidRPr="00882F11">
        <w:rPr>
          <w:rFonts w:cs="Guttman Drogolin" w:hint="cs"/>
          <w:rtl/>
          <w:lang w:bidi="he-IL"/>
        </w:rPr>
        <w:instrText xml:space="preserve">הקדמה של המחלוקת אי אמרינן </w:instrText>
      </w:r>
      <w:r w:rsidRPr="00882F11">
        <w:rPr>
          <w:rFonts w:cs="Guttman Drogolin" w:hint="cs"/>
          <w:rtl/>
        </w:rPr>
        <w:instrText>'</w:instrText>
      </w:r>
      <w:r w:rsidRPr="00882F11">
        <w:rPr>
          <w:rFonts w:cs="Guttman Drogolin" w:hint="cs"/>
          <w:rtl/>
          <w:lang w:bidi="he-IL"/>
        </w:rPr>
        <w:instrText>נהפך</w:instrText>
      </w:r>
      <w:r w:rsidRPr="00882F11">
        <w:rPr>
          <w:rFonts w:cs="Guttman Drogolin" w:hint="cs"/>
          <w:rtl/>
        </w:rPr>
        <w:instrText>'</w:instrText>
      </w:r>
      <w:r w:rsidRPr="00882F11">
        <w:rPr>
          <w:rFonts w:cs="Guttman Drogolin"/>
        </w:rPr>
        <w:instrText xml:space="preserve">" </w:instrText>
      </w:r>
      <w:r w:rsidRPr="00882F11">
        <w:rPr>
          <w:rFonts w:cs="Guttman Drogolin"/>
          <w:rtl/>
        </w:rPr>
        <w:fldChar w:fldCharType="end"/>
      </w:r>
      <w:r w:rsidRPr="00882F11">
        <w:rPr>
          <w:rFonts w:cs="Guttman Drogolin"/>
          <w:rtl/>
        </w:rPr>
        <w:fldChar w:fldCharType="begin"/>
      </w:r>
      <w:r w:rsidRPr="00882F11">
        <w:rPr>
          <w:rFonts w:cs="Guttman Drogolin"/>
        </w:rPr>
        <w:instrText xml:space="preserve"> XE "</w:instrText>
      </w:r>
      <w:r w:rsidRPr="00882F11">
        <w:rPr>
          <w:rFonts w:cs="Guttman Drogolin" w:hint="cs"/>
          <w:rtl/>
          <w:lang w:bidi="he-IL"/>
        </w:rPr>
        <w:instrText xml:space="preserve">היתר מצטרף </w:instrText>
      </w:r>
      <w:r w:rsidR="006D31BE" w:rsidRPr="00882F11">
        <w:rPr>
          <w:rFonts w:cs="Guttman Drogolin" w:hint="cs"/>
          <w:rtl/>
          <w:lang w:bidi="he-IL"/>
        </w:rPr>
        <w:instrText>ל</w:instrText>
      </w:r>
      <w:r w:rsidRPr="00882F11">
        <w:rPr>
          <w:rFonts w:cs="Guttman Drogolin" w:hint="cs"/>
          <w:rtl/>
          <w:lang w:bidi="he-IL"/>
        </w:rPr>
        <w:instrText>איסור</w:instrText>
      </w:r>
      <w:r w:rsidRPr="00882F11">
        <w:rPr>
          <w:rFonts w:cs="Guttman Drogolin"/>
          <w:rtl/>
        </w:rPr>
        <w:instrText>:</w:instrText>
      </w:r>
      <w:r w:rsidRPr="00882F11">
        <w:rPr>
          <w:rFonts w:cs="Guttman Drogolin" w:hint="cs"/>
          <w:rtl/>
          <w:lang w:bidi="he-IL"/>
        </w:rPr>
        <w:instrText>מהו החידוש שבו אם ט</w:instrText>
      </w:r>
      <w:r w:rsidR="006D31BE" w:rsidRPr="00882F11">
        <w:rPr>
          <w:rFonts w:cs="Guttman Drogolin" w:hint="cs"/>
          <w:rtl/>
          <w:lang w:bidi="he-IL"/>
        </w:rPr>
        <w:instrText>עם כעיקר מדאור</w:instrText>
      </w:r>
      <w:r w:rsidRPr="00882F11">
        <w:rPr>
          <w:rFonts w:cs="Guttman Drogolin" w:hint="cs"/>
          <w:rtl/>
          <w:lang w:bidi="he-IL"/>
        </w:rPr>
        <w:instrText>ייתא</w:instrText>
      </w:r>
      <w:r w:rsidRPr="00882F11">
        <w:rPr>
          <w:rFonts w:cs="Guttman Drogolin"/>
        </w:rPr>
        <w:instrText xml:space="preserve">" </w:instrText>
      </w:r>
      <w:r w:rsidRPr="00882F11">
        <w:rPr>
          <w:rFonts w:cs="Guttman Drogolin"/>
          <w:rtl/>
        </w:rPr>
        <w:fldChar w:fldCharType="end"/>
      </w:r>
      <w:r w:rsidR="00C94526" w:rsidRPr="00882F11">
        <w:rPr>
          <w:rFonts w:cs="Guttman Drogolin" w:hint="cs"/>
          <w:rtl/>
          <w:lang w:bidi="he-IL"/>
        </w:rPr>
        <w:t xml:space="preserve">כבר הזכרנו כמה פעמים א' מן הקושיות היסודיות של הסוגיא, שאם אומרים </w:t>
      </w:r>
      <w:r w:rsidR="00BF430F" w:rsidRPr="00882F11">
        <w:rPr>
          <w:rFonts w:cs="Guttman Drogolin" w:hint="cs"/>
          <w:rtl/>
          <w:lang w:bidi="he-IL"/>
        </w:rPr>
        <w:t>טעם כעיקר</w:t>
      </w:r>
      <w:r w:rsidR="00C94526" w:rsidRPr="00882F11">
        <w:rPr>
          <w:rFonts w:cs="Guttman Drogolin" w:hint="cs"/>
          <w:rtl/>
          <w:lang w:bidi="he-IL"/>
        </w:rPr>
        <w:t xml:space="preserve"> מדאורייתא, למה בעינן לי' לדין </w:t>
      </w:r>
      <w:r w:rsidR="00415CE7" w:rsidRPr="00882F11">
        <w:rPr>
          <w:rFonts w:cs="Guttman Drogolin" w:hint="cs"/>
          <w:rtl/>
          <w:lang w:bidi="he-IL"/>
        </w:rPr>
        <w:t>היתר מצטרף לאיסור</w:t>
      </w:r>
      <w:r w:rsidR="00C94526" w:rsidRPr="00882F11">
        <w:rPr>
          <w:rFonts w:cs="Guttman Drogolin" w:hint="cs"/>
          <w:rtl/>
          <w:lang w:bidi="he-IL"/>
        </w:rPr>
        <w:t xml:space="preserve"> או </w:t>
      </w:r>
      <w:r w:rsidR="00BF430F" w:rsidRPr="00882F11">
        <w:rPr>
          <w:rFonts w:cs="Guttman Drogolin" w:hint="cs"/>
          <w:rtl/>
          <w:lang w:bidi="he-IL"/>
        </w:rPr>
        <w:t>כזית בכדי אכילת פרס</w:t>
      </w:r>
      <w:r w:rsidR="00C94526" w:rsidRPr="00882F11">
        <w:rPr>
          <w:rFonts w:cs="Guttman Drogolin" w:hint="cs"/>
          <w:rtl/>
          <w:lang w:bidi="he-IL"/>
        </w:rPr>
        <w:t xml:space="preserve"> </w:t>
      </w:r>
      <w:r w:rsidR="00716180" w:rsidRPr="00882F11">
        <w:rPr>
          <w:rFonts w:cs="Guttman Drogolin" w:hint="cs"/>
          <w:rtl/>
          <w:lang w:bidi="he-IL"/>
        </w:rPr>
        <w:t>דאורייתא</w:t>
      </w:r>
      <w:r w:rsidR="00C94526" w:rsidRPr="00882F11">
        <w:rPr>
          <w:rFonts w:cs="Guttman Drogolin" w:hint="cs"/>
          <w:rtl/>
          <w:lang w:bidi="he-IL"/>
        </w:rPr>
        <w:t xml:space="preserve">. ואי לא אמרינן </w:t>
      </w:r>
      <w:r w:rsidR="00BF430F" w:rsidRPr="00882F11">
        <w:rPr>
          <w:rFonts w:cs="Guttman Drogolin" w:hint="cs"/>
          <w:rtl/>
          <w:lang w:bidi="he-IL"/>
        </w:rPr>
        <w:t>טעם כעיקר</w:t>
      </w:r>
      <w:r w:rsidR="00C94526" w:rsidRPr="00882F11">
        <w:rPr>
          <w:rFonts w:cs="Guttman Drogolin" w:hint="cs"/>
          <w:rtl/>
          <w:lang w:bidi="he-IL"/>
        </w:rPr>
        <w:t xml:space="preserve"> מדאורייתא, למה אין האיסור בטל. ולמ"ד שאפילו אם </w:t>
      </w:r>
      <w:r w:rsidR="00BF430F" w:rsidRPr="00882F11">
        <w:rPr>
          <w:rFonts w:cs="Guttman Drogolin" w:hint="cs"/>
          <w:rtl/>
          <w:lang w:bidi="he-IL"/>
        </w:rPr>
        <w:t>טעם כעיקר</w:t>
      </w:r>
      <w:r w:rsidR="00C94526" w:rsidRPr="00882F11">
        <w:rPr>
          <w:rFonts w:cs="Guttman Drogolin" w:hint="cs"/>
          <w:rtl/>
          <w:lang w:bidi="he-IL"/>
        </w:rPr>
        <w:t xml:space="preserve"> דאורייתא מ"מ אין ההיתר נהפך להיות אסור ניחא, אבל לרש"י וסייעתו </w:t>
      </w:r>
      <w:r w:rsidR="00D07AB5" w:rsidRPr="00882F11">
        <w:rPr>
          <w:rFonts w:cs="Guttman Drogolin" w:hint="cs"/>
          <w:rtl/>
          <w:lang w:bidi="he-IL"/>
        </w:rPr>
        <w:t>דסברי שנהפך</w:t>
      </w:r>
      <w:r w:rsidR="00C94526" w:rsidRPr="00882F11">
        <w:rPr>
          <w:rFonts w:cs="Guttman Drogolin" w:hint="cs"/>
          <w:rtl/>
          <w:lang w:bidi="he-IL"/>
        </w:rPr>
        <w:t xml:space="preserve"> ההיתר להיות אסור מא"ל. והבאנו כמה דרכים בזה לעיל. ויש להזכיר גם דרכו של הנחל"ד בנידון זה. והוא דאע"ג דסבר הגמ' ש</w:t>
      </w:r>
      <w:r w:rsidR="00BF430F" w:rsidRPr="00882F11">
        <w:rPr>
          <w:rFonts w:cs="Guttman Drogolin" w:hint="cs"/>
          <w:rtl/>
          <w:lang w:bidi="he-IL"/>
        </w:rPr>
        <w:t>טעם כעיקר</w:t>
      </w:r>
      <w:r w:rsidR="00C94526" w:rsidRPr="00882F11">
        <w:rPr>
          <w:rFonts w:cs="Guttman Drogolin" w:hint="cs"/>
          <w:rtl/>
          <w:lang w:bidi="he-IL"/>
        </w:rPr>
        <w:t xml:space="preserve"> לאו דאורייתא, מ"מ טעמו וממשו הוי דאורייתא, וכל הנהו דסוגיין מיירי בטעמו וממשו. וע"ש שלפי זה שרה פתו ביין הוי טעמו וממשו ולא טעמו בלא ממשו, ודלא כמש"כ הפר"ח. וע' גם ברע"א שחלק על הפר"ח בזה. והכוונה בזה דטעמו ולא ממשו לא בטילה מדאורייתא אפילו בלי החידוש של </w:t>
      </w:r>
      <w:r w:rsidR="00BF430F" w:rsidRPr="00882F11">
        <w:rPr>
          <w:rFonts w:cs="Guttman Drogolin" w:hint="cs"/>
          <w:rtl/>
          <w:lang w:bidi="he-IL"/>
        </w:rPr>
        <w:t>טעם כעיקר</w:t>
      </w:r>
      <w:r w:rsidR="00C94526" w:rsidRPr="00882F11">
        <w:rPr>
          <w:rFonts w:cs="Guttman Drogolin" w:hint="cs"/>
          <w:rtl/>
          <w:lang w:bidi="he-IL"/>
        </w:rPr>
        <w:t xml:space="preserve"> מדאורייתא. אמנם אע"ג שאינה בטילה מ"מ לא אמרינן נהפך, דהא נהפך הרי הוא בכלל החידוש של </w:t>
      </w:r>
      <w:r w:rsidR="00BF430F" w:rsidRPr="00882F11">
        <w:rPr>
          <w:rFonts w:cs="Guttman Drogolin" w:hint="cs"/>
          <w:rtl/>
          <w:lang w:bidi="he-IL"/>
        </w:rPr>
        <w:t>טעם כעיקר</w:t>
      </w:r>
      <w:r w:rsidR="00C94526" w:rsidRPr="00882F11">
        <w:rPr>
          <w:rFonts w:cs="Guttman Drogolin" w:hint="cs"/>
          <w:rtl/>
          <w:lang w:bidi="he-IL"/>
        </w:rPr>
        <w:t xml:space="preserve">, וכאן מיירי בלי החידוש של </w:t>
      </w:r>
      <w:r w:rsidR="00BF430F" w:rsidRPr="00882F11">
        <w:rPr>
          <w:rFonts w:cs="Guttman Drogolin" w:hint="cs"/>
          <w:rtl/>
          <w:lang w:bidi="he-IL"/>
        </w:rPr>
        <w:t>טעם כעיקר</w:t>
      </w:r>
      <w:r w:rsidR="00C94526" w:rsidRPr="00882F11">
        <w:rPr>
          <w:rFonts w:cs="Guttman Drogolin" w:hint="cs"/>
          <w:rtl/>
          <w:lang w:bidi="he-IL"/>
        </w:rPr>
        <w:t>.</w:t>
      </w:r>
    </w:p>
    <w:p w:rsidR="00E75826" w:rsidRPr="00882F11" w:rsidRDefault="00E75826" w:rsidP="0078079C">
      <w:pPr>
        <w:pStyle w:val="Heading1"/>
        <w:bidi/>
        <w:spacing w:before="0" w:line="360" w:lineRule="auto"/>
        <w:jc w:val="center"/>
        <w:rPr>
          <w:rFonts w:cs="Guttman Drogolin"/>
          <w:color w:val="auto"/>
          <w:sz w:val="24"/>
          <w:szCs w:val="24"/>
          <w:u w:val="single"/>
          <w:rtl/>
          <w:lang w:bidi="he-IL"/>
        </w:rPr>
      </w:pPr>
      <w:bookmarkStart w:id="20" w:name="_Toc496175286"/>
      <w:r w:rsidRPr="00882F11">
        <w:rPr>
          <w:rFonts w:cs="Guttman Drogolin" w:hint="cs"/>
          <w:color w:val="auto"/>
          <w:sz w:val="24"/>
          <w:szCs w:val="24"/>
          <w:u w:val="single"/>
          <w:rtl/>
          <w:lang w:bidi="he-IL"/>
        </w:rPr>
        <w:t>הלימוד מחטאת</w:t>
      </w:r>
      <w:bookmarkEnd w:id="20"/>
    </w:p>
    <w:p w:rsidR="00E75826" w:rsidRPr="00882F11" w:rsidRDefault="00E75826" w:rsidP="00E75826">
      <w:pPr>
        <w:bidi/>
        <w:jc w:val="both"/>
        <w:rPr>
          <w:rFonts w:cs="Guttman Drogolin"/>
          <w:rtl/>
          <w:lang w:bidi="he-IL"/>
        </w:rPr>
      </w:pPr>
      <w:r w:rsidRPr="00882F11">
        <w:rPr>
          <w:rFonts w:cs="Guttman Drogolin" w:hint="cs"/>
          <w:rtl/>
          <w:lang w:bidi="he-IL"/>
        </w:rPr>
        <w:t xml:space="preserve">הגמ' הסיקה שנחלקו רבנן ור"ע בדין גיעולי נכרים, דרבנן סברי דגיעולי נכרים חידוש הוא ולכן אין למידין ממנו </w:t>
      </w:r>
      <w:r w:rsidR="00BF430F" w:rsidRPr="00882F11">
        <w:rPr>
          <w:rFonts w:cs="Guttman Drogolin" w:hint="cs"/>
          <w:rtl/>
          <w:lang w:bidi="he-IL"/>
        </w:rPr>
        <w:t>טעם כעיקר</w:t>
      </w:r>
      <w:r w:rsidRPr="00882F11">
        <w:rPr>
          <w:rFonts w:cs="Guttman Drogolin" w:hint="cs"/>
          <w:rtl/>
          <w:lang w:bidi="he-IL"/>
        </w:rPr>
        <w:t xml:space="preserve">, וממילא לומדים </w:t>
      </w:r>
      <w:r w:rsidR="00BF430F" w:rsidRPr="00882F11">
        <w:rPr>
          <w:rFonts w:cs="Guttman Drogolin" w:hint="cs"/>
          <w:rtl/>
          <w:lang w:bidi="he-IL"/>
        </w:rPr>
        <w:t>טעם כעיקר</w:t>
      </w:r>
      <w:r w:rsidRPr="00882F11">
        <w:rPr>
          <w:rFonts w:cs="Guttman Drogolin" w:hint="cs"/>
          <w:rtl/>
          <w:lang w:bidi="he-IL"/>
        </w:rPr>
        <w:t xml:space="preserve"> מגזה"כ דמשרת. ור"ע סבר שלמידין דין </w:t>
      </w:r>
      <w:r w:rsidR="00BF430F" w:rsidRPr="00882F11">
        <w:rPr>
          <w:rFonts w:cs="Guttman Drogolin" w:hint="cs"/>
          <w:rtl/>
          <w:lang w:bidi="he-IL"/>
        </w:rPr>
        <w:t>טעם כעיקר</w:t>
      </w:r>
      <w:r w:rsidRPr="00882F11">
        <w:rPr>
          <w:rFonts w:cs="Guttman Drogolin" w:hint="cs"/>
          <w:rtl/>
          <w:lang w:bidi="he-IL"/>
        </w:rPr>
        <w:t xml:space="preserve"> מגיעולי נכרים, ומשום דסבר דגיעולי נכרים לאו חידוש הוא. ולכן ילפינן ממשרת דין </w:t>
      </w:r>
      <w:r w:rsidR="00415CE7" w:rsidRPr="00882F11">
        <w:rPr>
          <w:rFonts w:cs="Guttman Drogolin" w:hint="cs"/>
          <w:rtl/>
          <w:lang w:bidi="he-IL"/>
        </w:rPr>
        <w:t>היתר מצטרף לאיסור</w:t>
      </w:r>
      <w:r w:rsidRPr="00882F11">
        <w:rPr>
          <w:rFonts w:cs="Guttman Drogolin" w:hint="cs"/>
          <w:rtl/>
          <w:lang w:bidi="he-IL"/>
        </w:rPr>
        <w:t xml:space="preserve">. ושואלת על זה הגמ', דא"כ, כמו דרבנן לומדים ממשרת דין </w:t>
      </w:r>
      <w:r w:rsidR="00BF430F" w:rsidRPr="00882F11">
        <w:rPr>
          <w:rFonts w:cs="Guttman Drogolin" w:hint="cs"/>
          <w:rtl/>
          <w:lang w:bidi="he-IL"/>
        </w:rPr>
        <w:t>טעם כעיקר</w:t>
      </w:r>
      <w:r w:rsidRPr="00882F11">
        <w:rPr>
          <w:rFonts w:cs="Guttman Drogolin" w:hint="cs"/>
          <w:rtl/>
          <w:lang w:bidi="he-IL"/>
        </w:rPr>
        <w:t xml:space="preserve">, ולמדו מזה לכל התורה כולה, הה"נ לר"ע נימא שלומדים מגזה"כ דמשרת </w:t>
      </w:r>
      <w:r w:rsidR="00415CE7" w:rsidRPr="00882F11">
        <w:rPr>
          <w:rFonts w:cs="Guttman Drogolin" w:hint="cs"/>
          <w:rtl/>
          <w:lang w:bidi="he-IL"/>
        </w:rPr>
        <w:t>היתר מצטרף לאיסור</w:t>
      </w:r>
      <w:r w:rsidRPr="00882F11">
        <w:rPr>
          <w:rFonts w:cs="Guttman Drogolin" w:hint="cs"/>
          <w:rtl/>
          <w:lang w:bidi="he-IL"/>
        </w:rPr>
        <w:t xml:space="preserve"> בכל התורה כולה. ואומרת הגמ' דלר"ע אין לומדים ממשרת לכל התורה כולה משום שחטאת ונזיר הוו ב' כתובים הבאים כא' ואין מלמדין.</w:t>
      </w:r>
    </w:p>
    <w:p w:rsidR="00B04471" w:rsidRPr="00882F11" w:rsidRDefault="00E75826" w:rsidP="00921589">
      <w:pPr>
        <w:bidi/>
        <w:jc w:val="both"/>
        <w:rPr>
          <w:rFonts w:cs="Guttman Drogolin"/>
          <w:rtl/>
          <w:lang w:bidi="he-IL"/>
        </w:rPr>
      </w:pPr>
      <w:r w:rsidRPr="00882F11">
        <w:rPr>
          <w:rFonts w:cs="Guttman Drogolin" w:hint="cs"/>
          <w:rtl/>
          <w:lang w:bidi="he-IL"/>
        </w:rPr>
        <w:lastRenderedPageBreak/>
        <w:t>וקודם כל יש לבאר למה ר' עקיבא נקט דחטאת ל</w:t>
      </w:r>
      <w:r w:rsidR="00415CE7" w:rsidRPr="00882F11">
        <w:rPr>
          <w:rFonts w:cs="Guttman Drogolin" w:hint="cs"/>
          <w:rtl/>
          <w:lang w:bidi="he-IL"/>
        </w:rPr>
        <w:t>היתר מצטרף לאיסור</w:t>
      </w:r>
      <w:r w:rsidRPr="00882F11">
        <w:rPr>
          <w:rFonts w:cs="Guttman Drogolin" w:hint="cs"/>
          <w:rtl/>
          <w:lang w:bidi="he-IL"/>
        </w:rPr>
        <w:t xml:space="preserve"> אתא, ולכן הוו ב' כתובים הבאים כא' ואין מלמדים, ו</w:t>
      </w:r>
      <w:r w:rsidR="00BF430F" w:rsidRPr="00882F11">
        <w:rPr>
          <w:rFonts w:cs="Guttman Drogolin" w:hint="cs"/>
          <w:rtl/>
          <w:lang w:bidi="he-IL"/>
        </w:rPr>
        <w:t>טעם כעיקר</w:t>
      </w:r>
      <w:r w:rsidRPr="00882F11">
        <w:rPr>
          <w:rFonts w:cs="Guttman Drogolin" w:hint="cs"/>
          <w:rtl/>
          <w:lang w:bidi="he-IL"/>
        </w:rPr>
        <w:t xml:space="preserve"> לומדים מגיעולי נכרים לכל התורה כולה, לימא ההיפך, דחטאת ל</w:t>
      </w:r>
      <w:r w:rsidR="00BF430F" w:rsidRPr="00882F11">
        <w:rPr>
          <w:rFonts w:cs="Guttman Drogolin" w:hint="cs"/>
          <w:rtl/>
          <w:lang w:bidi="he-IL"/>
        </w:rPr>
        <w:t>טעם כעיקר</w:t>
      </w:r>
      <w:r w:rsidRPr="00882F11">
        <w:rPr>
          <w:rFonts w:cs="Guttman Drogolin" w:hint="cs"/>
          <w:rtl/>
          <w:lang w:bidi="he-IL"/>
        </w:rPr>
        <w:t>, ולכן הוו גיעולי</w:t>
      </w:r>
      <w:r w:rsidR="00A0725B" w:rsidRPr="00882F11">
        <w:rPr>
          <w:rFonts w:cs="Guttman Drogolin" w:hint="cs"/>
          <w:rtl/>
          <w:lang w:bidi="he-IL"/>
        </w:rPr>
        <w:t xml:space="preserve"> </w:t>
      </w:r>
      <w:r w:rsidRPr="00882F11">
        <w:rPr>
          <w:rFonts w:cs="Guttman Drogolin" w:hint="cs"/>
          <w:rtl/>
          <w:lang w:bidi="he-IL"/>
        </w:rPr>
        <w:t>נכרים וחטאת ב' כתובים הבאים כא' ואין מלמדין, ו</w:t>
      </w:r>
      <w:r w:rsidR="00415CE7" w:rsidRPr="00882F11">
        <w:rPr>
          <w:rFonts w:cs="Guttman Drogolin" w:hint="cs"/>
          <w:rtl/>
          <w:lang w:bidi="he-IL"/>
        </w:rPr>
        <w:t>היתר מצטרף לאיסור</w:t>
      </w:r>
      <w:r w:rsidRPr="00882F11">
        <w:rPr>
          <w:rFonts w:cs="Guttman Drogolin"/>
          <w:lang w:bidi="he-IL"/>
        </w:rPr>
        <w:t xml:space="preserve"> </w:t>
      </w:r>
      <w:r w:rsidRPr="00882F11">
        <w:rPr>
          <w:rFonts w:cs="Guttman Drogolin" w:hint="cs"/>
          <w:rtl/>
          <w:lang w:bidi="he-IL"/>
        </w:rPr>
        <w:t>בכל התורה כולה.</w:t>
      </w:r>
      <w:r w:rsidR="00921589" w:rsidRPr="00921589">
        <w:rPr>
          <w:rFonts w:cs="Guttman Drogolin"/>
          <w:rtl/>
          <w:lang w:bidi="he-IL"/>
        </w:rPr>
        <w:t xml:space="preserve"> </w:t>
      </w:r>
      <w:r w:rsidR="00921589">
        <w:rPr>
          <w:rFonts w:cs="Guttman Drogolin"/>
          <w:rtl/>
          <w:lang w:bidi="he-IL"/>
        </w:rPr>
        <w:fldChar w:fldCharType="begin"/>
      </w:r>
      <w:r w:rsidR="00921589">
        <w:instrText xml:space="preserve"> XE "</w:instrText>
      </w:r>
      <w:r w:rsidR="00921589" w:rsidRPr="00AB4430">
        <w:rPr>
          <w:rFonts w:hint="cs"/>
          <w:rtl/>
          <w:lang w:bidi="he-IL"/>
        </w:rPr>
        <w:instrText>טעם כעיקר</w:instrText>
      </w:r>
      <w:r w:rsidR="00921589" w:rsidRPr="00AB4430">
        <w:rPr>
          <w:rtl/>
        </w:rPr>
        <w:instrText>:</w:instrText>
      </w:r>
      <w:r w:rsidR="00921589" w:rsidRPr="00AB4430">
        <w:rPr>
          <w:rFonts w:hint="cs"/>
          <w:rtl/>
          <w:lang w:bidi="he-IL"/>
        </w:rPr>
        <w:instrText>אם הוא דין יותר פשוט מדין המל</w:instrText>
      </w:r>
      <w:r w:rsidR="00921589">
        <w:rPr>
          <w:rFonts w:eastAsiaTheme="minorEastAsia"/>
          <w:lang w:bidi="he-IL"/>
        </w:rPr>
        <w:instrText>\</w:instrText>
      </w:r>
      <w:r w:rsidR="00921589" w:rsidRPr="00AB4430">
        <w:rPr>
          <w:rFonts w:hint="cs"/>
          <w:rtl/>
          <w:lang w:bidi="he-IL"/>
        </w:rPr>
        <w:instrText>"א</w:instrText>
      </w:r>
      <w:r w:rsidR="00921589">
        <w:instrText xml:space="preserve">" </w:instrText>
      </w:r>
      <w:r w:rsidR="00921589">
        <w:rPr>
          <w:rFonts w:cs="Guttman Drogolin"/>
          <w:rtl/>
          <w:lang w:bidi="he-IL"/>
        </w:rPr>
        <w:fldChar w:fldCharType="end"/>
      </w:r>
      <w:r w:rsidR="00921589">
        <w:rPr>
          <w:rFonts w:cs="Guttman Drogolin"/>
          <w:rtl/>
          <w:lang w:bidi="he-IL"/>
        </w:rPr>
        <w:fldChar w:fldCharType="begin"/>
      </w:r>
      <w:r w:rsidR="00921589">
        <w:instrText xml:space="preserve"> XE "</w:instrText>
      </w:r>
      <w:r w:rsidR="00921589" w:rsidRPr="00612738">
        <w:rPr>
          <w:rFonts w:hint="cs"/>
          <w:rtl/>
          <w:lang w:bidi="he-IL"/>
        </w:rPr>
        <w:instrText>היתר מצטרף לאיסור</w:instrText>
      </w:r>
      <w:r w:rsidR="00921589" w:rsidRPr="00612738">
        <w:rPr>
          <w:rtl/>
        </w:rPr>
        <w:instrText>:</w:instrText>
      </w:r>
      <w:r w:rsidR="00921589" w:rsidRPr="00612738">
        <w:rPr>
          <w:rFonts w:hint="cs"/>
          <w:rtl/>
          <w:lang w:bidi="he-IL"/>
        </w:rPr>
        <w:instrText>אם הוא דין יותר פשוט מדין טכ</w:instrText>
      </w:r>
      <w:r w:rsidR="00921589">
        <w:rPr>
          <w:rFonts w:eastAsiaTheme="minorEastAsia"/>
          <w:lang w:bidi="he-IL"/>
        </w:rPr>
        <w:instrText>\</w:instrText>
      </w:r>
      <w:r w:rsidR="00921589" w:rsidRPr="00612738">
        <w:rPr>
          <w:rFonts w:hint="cs"/>
          <w:rtl/>
          <w:lang w:bidi="he-IL"/>
        </w:rPr>
        <w:instrText>"ע</w:instrText>
      </w:r>
      <w:r w:rsidR="00921589">
        <w:instrText xml:space="preserve">" </w:instrText>
      </w:r>
      <w:r w:rsidR="00921589">
        <w:rPr>
          <w:rFonts w:cs="Guttman Drogolin"/>
          <w:rtl/>
          <w:lang w:bidi="he-IL"/>
        </w:rPr>
        <w:fldChar w:fldCharType="end"/>
      </w:r>
      <w:r w:rsidRPr="00882F11">
        <w:rPr>
          <w:rFonts w:cs="Guttman Drogolin" w:hint="cs"/>
          <w:rtl/>
          <w:lang w:bidi="he-IL"/>
        </w:rPr>
        <w:t xml:space="preserve"> וע' בחי' הר"ן שכתב בזה על דרך הפשט, </w:t>
      </w:r>
      <w:r w:rsidR="00B04471" w:rsidRPr="00882F11">
        <w:rPr>
          <w:rFonts w:cs="Guttman Drogolin" w:hint="cs"/>
          <w:rtl/>
          <w:lang w:bidi="he-IL"/>
        </w:rPr>
        <w:t xml:space="preserve">שהרי מוכח לעיל </w:t>
      </w:r>
      <w:r w:rsidR="00921589">
        <w:rPr>
          <w:rFonts w:cs="Guttman Drogolin" w:hint="cs"/>
          <w:rtl/>
          <w:lang w:bidi="he-IL"/>
        </w:rPr>
        <w:t>ש</w:t>
      </w:r>
      <w:r w:rsidR="00B04471" w:rsidRPr="00882F11">
        <w:rPr>
          <w:rFonts w:cs="Guttman Drogolin" w:hint="cs"/>
          <w:rtl/>
          <w:lang w:bidi="he-IL"/>
        </w:rPr>
        <w:t xml:space="preserve">יותר פשוט לומר </w:t>
      </w:r>
      <w:r w:rsidR="00BF430F" w:rsidRPr="00882F11">
        <w:rPr>
          <w:rFonts w:cs="Guttman Drogolin" w:hint="cs"/>
          <w:rtl/>
          <w:lang w:bidi="he-IL"/>
        </w:rPr>
        <w:t>טעם כעיקר</w:t>
      </w:r>
      <w:r w:rsidR="00B04471" w:rsidRPr="00882F11">
        <w:rPr>
          <w:rFonts w:cs="Guttman Drogolin" w:hint="cs"/>
          <w:rtl/>
          <w:lang w:bidi="he-IL"/>
        </w:rPr>
        <w:t xml:space="preserve"> מ</w:t>
      </w:r>
      <w:r w:rsidR="00415CE7" w:rsidRPr="00882F11">
        <w:rPr>
          <w:rFonts w:cs="Guttman Drogolin" w:hint="cs"/>
          <w:rtl/>
          <w:lang w:bidi="he-IL"/>
        </w:rPr>
        <w:t>היתר מצטרף לאיסור</w:t>
      </w:r>
      <w:r w:rsidR="00B04471" w:rsidRPr="00882F11">
        <w:rPr>
          <w:rFonts w:cs="Guttman Drogolin" w:hint="cs"/>
          <w:rtl/>
          <w:lang w:bidi="he-IL"/>
        </w:rPr>
        <w:t xml:space="preserve">, </w:t>
      </w:r>
      <w:r w:rsidR="00921589">
        <w:rPr>
          <w:rFonts w:cs="Guttman Drogolin" w:hint="cs"/>
          <w:rtl/>
          <w:lang w:bidi="he-IL"/>
        </w:rPr>
        <w:t>ו</w:t>
      </w:r>
      <w:r w:rsidR="00B04471" w:rsidRPr="00882F11">
        <w:rPr>
          <w:rFonts w:cs="Guttman Drogolin" w:hint="cs"/>
          <w:rtl/>
          <w:lang w:bidi="he-IL"/>
        </w:rPr>
        <w:t xml:space="preserve">משו"ה הקשו בגמ' אר"ע </w:t>
      </w:r>
      <w:r w:rsidR="00BF430F" w:rsidRPr="00882F11">
        <w:rPr>
          <w:rFonts w:cs="Guttman Drogolin" w:hint="cs"/>
          <w:rtl/>
          <w:lang w:bidi="he-IL"/>
        </w:rPr>
        <w:t>טעם כעיקר</w:t>
      </w:r>
      <w:r w:rsidR="00B04471" w:rsidRPr="00882F11">
        <w:rPr>
          <w:rFonts w:cs="Guttman Drogolin" w:hint="cs"/>
          <w:rtl/>
          <w:lang w:bidi="he-IL"/>
        </w:rPr>
        <w:t xml:space="preserve"> מנ"ל, ולא רצו לומר דלית לי', </w:t>
      </w:r>
      <w:r w:rsidR="00921589">
        <w:rPr>
          <w:rFonts w:cs="Guttman Drogolin" w:hint="cs"/>
          <w:rtl/>
          <w:lang w:bidi="he-IL"/>
        </w:rPr>
        <w:t>ד</w:t>
      </w:r>
      <w:r w:rsidR="00B04471" w:rsidRPr="00882F11">
        <w:rPr>
          <w:rFonts w:cs="Guttman Drogolin" w:hint="cs"/>
          <w:rtl/>
          <w:lang w:bidi="he-IL"/>
        </w:rPr>
        <w:t>כיון שלמד ממשרת ל</w:t>
      </w:r>
      <w:r w:rsidR="00415CE7" w:rsidRPr="00882F11">
        <w:rPr>
          <w:rFonts w:cs="Guttman Drogolin" w:hint="cs"/>
          <w:rtl/>
          <w:lang w:bidi="he-IL"/>
        </w:rPr>
        <w:t>היתר מצטרף לאיסור</w:t>
      </w:r>
      <w:r w:rsidR="00B04471" w:rsidRPr="00882F11">
        <w:rPr>
          <w:rFonts w:cs="Guttman Drogolin" w:hint="cs"/>
          <w:rtl/>
          <w:lang w:bidi="he-IL"/>
        </w:rPr>
        <w:t xml:space="preserve">, ע"כ אית לי' </w:t>
      </w:r>
      <w:r w:rsidR="00BF430F" w:rsidRPr="00882F11">
        <w:rPr>
          <w:rFonts w:cs="Guttman Drogolin" w:hint="cs"/>
          <w:rtl/>
          <w:lang w:bidi="he-IL"/>
        </w:rPr>
        <w:t>טעם כעיקר</w:t>
      </w:r>
      <w:r w:rsidR="00B04471" w:rsidRPr="00882F11">
        <w:rPr>
          <w:rFonts w:cs="Guttman Drogolin" w:hint="cs"/>
          <w:rtl/>
          <w:lang w:bidi="he-IL"/>
        </w:rPr>
        <w:t xml:space="preserve"> ממקו"א. וא"כ כיון שאפשר לומר שיש ב' כתובים ב</w:t>
      </w:r>
      <w:r w:rsidR="00BF430F" w:rsidRPr="00882F11">
        <w:rPr>
          <w:rFonts w:cs="Guttman Drogolin" w:hint="cs"/>
          <w:rtl/>
          <w:lang w:bidi="he-IL"/>
        </w:rPr>
        <w:t>טעם כעיקר</w:t>
      </w:r>
      <w:r w:rsidR="00B04471" w:rsidRPr="00882F11">
        <w:rPr>
          <w:rFonts w:cs="Guttman Drogolin" w:hint="cs"/>
          <w:rtl/>
          <w:lang w:bidi="he-IL"/>
        </w:rPr>
        <w:t>, ויש ב' כתובים ב</w:t>
      </w:r>
      <w:r w:rsidR="00415CE7" w:rsidRPr="00882F11">
        <w:rPr>
          <w:rFonts w:cs="Guttman Drogolin" w:hint="cs"/>
          <w:rtl/>
          <w:lang w:bidi="he-IL"/>
        </w:rPr>
        <w:t>היתר מצטרף לאיסור</w:t>
      </w:r>
      <w:r w:rsidR="00B04471" w:rsidRPr="00882F11">
        <w:rPr>
          <w:rFonts w:cs="Guttman Drogolin" w:hint="cs"/>
          <w:rtl/>
          <w:lang w:bidi="he-IL"/>
        </w:rPr>
        <w:t>, עדיף לומר שיש ב' כתובים ב</w:t>
      </w:r>
      <w:r w:rsidR="00415CE7" w:rsidRPr="00882F11">
        <w:rPr>
          <w:rFonts w:cs="Guttman Drogolin" w:hint="cs"/>
          <w:rtl/>
          <w:lang w:bidi="he-IL"/>
        </w:rPr>
        <w:t>היתר מצטרף לאיסור</w:t>
      </w:r>
      <w:r w:rsidR="00B04471" w:rsidRPr="00882F11">
        <w:rPr>
          <w:rFonts w:cs="Guttman Drogolin" w:hint="cs"/>
          <w:rtl/>
          <w:lang w:bidi="he-IL"/>
        </w:rPr>
        <w:t xml:space="preserve"> כדי שנוכל לומר </w:t>
      </w:r>
      <w:r w:rsidR="00BF430F" w:rsidRPr="00882F11">
        <w:rPr>
          <w:rFonts w:cs="Guttman Drogolin" w:hint="cs"/>
          <w:rtl/>
          <w:lang w:bidi="he-IL"/>
        </w:rPr>
        <w:t>טעם כעיקר</w:t>
      </w:r>
      <w:r w:rsidR="00B04471" w:rsidRPr="00882F11">
        <w:rPr>
          <w:rFonts w:cs="Guttman Drogolin" w:hint="cs"/>
          <w:rtl/>
          <w:lang w:bidi="he-IL"/>
        </w:rPr>
        <w:t xml:space="preserve"> בכל התורה כולה, ממה שנימא ב' כתובים ב</w:t>
      </w:r>
      <w:r w:rsidR="00415CE7" w:rsidRPr="00882F11">
        <w:rPr>
          <w:rFonts w:cs="Guttman Drogolin" w:hint="cs"/>
          <w:rtl/>
          <w:lang w:bidi="he-IL"/>
        </w:rPr>
        <w:t>היתר מצטרף לאיסור</w:t>
      </w:r>
      <w:r w:rsidR="00B04471" w:rsidRPr="00882F11">
        <w:rPr>
          <w:rFonts w:cs="Guttman Drogolin" w:hint="cs"/>
          <w:rtl/>
          <w:lang w:bidi="he-IL"/>
        </w:rPr>
        <w:t>, ו</w:t>
      </w:r>
      <w:r w:rsidR="00BF430F" w:rsidRPr="00882F11">
        <w:rPr>
          <w:rFonts w:cs="Guttman Drogolin" w:hint="cs"/>
          <w:rtl/>
          <w:lang w:bidi="he-IL"/>
        </w:rPr>
        <w:t>טעם כעיקר</w:t>
      </w:r>
      <w:r w:rsidR="00B04471" w:rsidRPr="00882F11">
        <w:rPr>
          <w:rFonts w:cs="Guttman Drogolin" w:hint="cs"/>
          <w:rtl/>
          <w:lang w:bidi="he-IL"/>
        </w:rPr>
        <w:t xml:space="preserve"> בכה"ת כולה.</w:t>
      </w:r>
    </w:p>
    <w:p w:rsidR="00A0725B" w:rsidRPr="00882F11" w:rsidRDefault="00B04471" w:rsidP="00394AD7">
      <w:pPr>
        <w:bidi/>
        <w:jc w:val="both"/>
        <w:rPr>
          <w:rFonts w:cs="Guttman Drogolin"/>
          <w:rtl/>
          <w:lang w:bidi="he-IL"/>
        </w:rPr>
      </w:pPr>
      <w:r w:rsidRPr="00882F11">
        <w:rPr>
          <w:rFonts w:cs="Guttman Drogolin" w:hint="cs"/>
          <w:rtl/>
          <w:lang w:bidi="he-IL"/>
        </w:rPr>
        <w:t>והנה יעוין ברש"י במס' זבחים</w:t>
      </w:r>
      <w:r w:rsidR="0044313A" w:rsidRPr="00882F11">
        <w:rPr>
          <w:rFonts w:cs="Guttman Drogolin" w:hint="cs"/>
          <w:rtl/>
          <w:lang w:bidi="he-IL"/>
        </w:rPr>
        <w:t xml:space="preserve"> </w:t>
      </w:r>
      <w:r w:rsidR="007467C9" w:rsidRPr="00882F11">
        <w:rPr>
          <w:rFonts w:cs="Guttman Drogolin" w:hint="cs"/>
          <w:rtl/>
          <w:lang w:bidi="he-IL"/>
        </w:rPr>
        <w:t xml:space="preserve">צ"ז ע"ב ד"ה עד שיבלע </w:t>
      </w:r>
      <w:r w:rsidR="0044313A" w:rsidRPr="00882F11">
        <w:rPr>
          <w:rFonts w:cs="Guttman Drogolin" w:hint="cs"/>
          <w:rtl/>
          <w:lang w:bidi="he-IL"/>
        </w:rPr>
        <w:t>שכתב</w:t>
      </w:r>
      <w:r w:rsidR="007467C9" w:rsidRPr="00882F11">
        <w:rPr>
          <w:rFonts w:cs="Guttman Drogolin" w:hint="cs"/>
          <w:rtl/>
          <w:lang w:bidi="he-IL"/>
        </w:rPr>
        <w:t xml:space="preserve"> "ומכאן</w:t>
      </w:r>
      <w:r w:rsidR="007467C9" w:rsidRPr="00882F11">
        <w:rPr>
          <w:rFonts w:cs="Guttman Drogolin"/>
          <w:rtl/>
          <w:lang w:bidi="he-IL"/>
        </w:rPr>
        <w:t xml:space="preserve"> </w:t>
      </w:r>
      <w:r w:rsidR="007467C9" w:rsidRPr="00882F11">
        <w:rPr>
          <w:rFonts w:cs="Guttman Drogolin" w:hint="cs"/>
          <w:rtl/>
          <w:lang w:bidi="he-IL"/>
        </w:rPr>
        <w:t>אנו</w:t>
      </w:r>
      <w:r w:rsidR="007467C9" w:rsidRPr="00882F11">
        <w:rPr>
          <w:rFonts w:cs="Guttman Drogolin"/>
          <w:rtl/>
          <w:lang w:bidi="he-IL"/>
        </w:rPr>
        <w:t xml:space="preserve"> </w:t>
      </w:r>
      <w:r w:rsidR="007467C9" w:rsidRPr="00882F11">
        <w:rPr>
          <w:rFonts w:cs="Guttman Drogolin" w:hint="cs"/>
          <w:rtl/>
          <w:lang w:bidi="he-IL"/>
        </w:rPr>
        <w:t>למידים</w:t>
      </w:r>
      <w:r w:rsidR="007467C9" w:rsidRPr="00882F11">
        <w:rPr>
          <w:rFonts w:cs="Guttman Drogolin"/>
          <w:rtl/>
          <w:lang w:bidi="he-IL"/>
        </w:rPr>
        <w:t xml:space="preserve"> </w:t>
      </w:r>
      <w:r w:rsidR="007467C9" w:rsidRPr="00882F11">
        <w:rPr>
          <w:rFonts w:cs="Guttman Drogolin" w:hint="cs"/>
          <w:rtl/>
          <w:lang w:bidi="he-IL"/>
        </w:rPr>
        <w:t>היתר</w:t>
      </w:r>
      <w:r w:rsidR="007467C9" w:rsidRPr="00882F11">
        <w:rPr>
          <w:rFonts w:cs="Guttman Drogolin"/>
          <w:rtl/>
          <w:lang w:bidi="he-IL"/>
        </w:rPr>
        <w:t xml:space="preserve"> </w:t>
      </w:r>
      <w:r w:rsidR="007467C9" w:rsidRPr="00882F11">
        <w:rPr>
          <w:rFonts w:cs="Guttman Drogolin" w:hint="cs"/>
          <w:rtl/>
          <w:lang w:bidi="he-IL"/>
        </w:rPr>
        <w:t>מצטרף</w:t>
      </w:r>
      <w:r w:rsidR="007467C9" w:rsidRPr="00882F11">
        <w:rPr>
          <w:rFonts w:cs="Guttman Drogolin"/>
          <w:rtl/>
          <w:lang w:bidi="he-IL"/>
        </w:rPr>
        <w:t xml:space="preserve"> </w:t>
      </w:r>
      <w:r w:rsidR="007467C9" w:rsidRPr="00882F11">
        <w:rPr>
          <w:rFonts w:cs="Guttman Drogolin" w:hint="cs"/>
          <w:rtl/>
          <w:lang w:bidi="he-IL"/>
        </w:rPr>
        <w:t>לאיסור</w:t>
      </w:r>
      <w:r w:rsidR="007467C9" w:rsidRPr="00882F11">
        <w:rPr>
          <w:rFonts w:cs="Guttman Drogolin"/>
          <w:rtl/>
          <w:lang w:bidi="he-IL"/>
        </w:rPr>
        <w:t xml:space="preserve"> </w:t>
      </w:r>
      <w:r w:rsidR="007467C9" w:rsidRPr="00882F11">
        <w:rPr>
          <w:rFonts w:cs="Guttman Drogolin" w:hint="cs"/>
          <w:rtl/>
          <w:lang w:bidi="he-IL"/>
        </w:rPr>
        <w:t>בקדשים</w:t>
      </w:r>
      <w:r w:rsidR="007467C9" w:rsidRPr="00882F11">
        <w:rPr>
          <w:rFonts w:cs="Guttman Drogolin"/>
          <w:rtl/>
          <w:lang w:bidi="he-IL"/>
        </w:rPr>
        <w:t xml:space="preserve"> </w:t>
      </w:r>
      <w:r w:rsidR="007467C9" w:rsidRPr="00882F11">
        <w:rPr>
          <w:rFonts w:cs="Guttman Drogolin" w:hint="cs"/>
          <w:rtl/>
          <w:lang w:bidi="he-IL"/>
        </w:rPr>
        <w:t>ואין</w:t>
      </w:r>
      <w:r w:rsidR="007467C9" w:rsidRPr="00882F11">
        <w:rPr>
          <w:rFonts w:cs="Guttman Drogolin"/>
          <w:rtl/>
          <w:lang w:bidi="he-IL"/>
        </w:rPr>
        <w:t xml:space="preserve"> </w:t>
      </w:r>
      <w:r w:rsidR="007467C9" w:rsidRPr="00882F11">
        <w:rPr>
          <w:rFonts w:cs="Guttman Drogolin" w:hint="cs"/>
          <w:rtl/>
          <w:lang w:bidi="he-IL"/>
        </w:rPr>
        <w:t>ללמוד</w:t>
      </w:r>
      <w:r w:rsidR="007467C9" w:rsidRPr="00882F11">
        <w:rPr>
          <w:rFonts w:cs="Guttman Drogolin"/>
          <w:rtl/>
          <w:lang w:bidi="he-IL"/>
        </w:rPr>
        <w:t xml:space="preserve"> </w:t>
      </w:r>
      <w:r w:rsidR="007467C9" w:rsidRPr="00882F11">
        <w:rPr>
          <w:rFonts w:cs="Guttman Drogolin" w:hint="cs"/>
          <w:rtl/>
          <w:lang w:bidi="he-IL"/>
        </w:rPr>
        <w:t>מכאן</w:t>
      </w:r>
      <w:r w:rsidR="007467C9" w:rsidRPr="00882F11">
        <w:rPr>
          <w:rFonts w:cs="Guttman Drogolin"/>
          <w:rtl/>
          <w:lang w:bidi="he-IL"/>
        </w:rPr>
        <w:t xml:space="preserve"> </w:t>
      </w:r>
      <w:r w:rsidR="007467C9" w:rsidRPr="00882F11">
        <w:rPr>
          <w:rFonts w:cs="Guttman Drogolin" w:hint="cs"/>
          <w:rtl/>
          <w:lang w:bidi="he-IL"/>
        </w:rPr>
        <w:t>טעם</w:t>
      </w:r>
      <w:r w:rsidR="007467C9" w:rsidRPr="00882F11">
        <w:rPr>
          <w:rFonts w:cs="Guttman Drogolin"/>
          <w:rtl/>
          <w:lang w:bidi="he-IL"/>
        </w:rPr>
        <w:t xml:space="preserve"> </w:t>
      </w:r>
      <w:r w:rsidR="007467C9" w:rsidRPr="00882F11">
        <w:rPr>
          <w:rFonts w:cs="Guttman Drogolin" w:hint="cs"/>
          <w:rtl/>
          <w:lang w:bidi="he-IL"/>
        </w:rPr>
        <w:t>כעיקר</w:t>
      </w:r>
      <w:r w:rsidR="007467C9" w:rsidRPr="00882F11">
        <w:rPr>
          <w:rFonts w:cs="Guttman Drogolin"/>
          <w:rtl/>
          <w:lang w:bidi="he-IL"/>
        </w:rPr>
        <w:t xml:space="preserve"> </w:t>
      </w:r>
      <w:r w:rsidR="007467C9" w:rsidRPr="00882F11">
        <w:rPr>
          <w:rFonts w:cs="Guttman Drogolin" w:hint="cs"/>
          <w:rtl/>
          <w:lang w:bidi="he-IL"/>
        </w:rPr>
        <w:t>שאין</w:t>
      </w:r>
      <w:r w:rsidR="007467C9" w:rsidRPr="00882F11">
        <w:rPr>
          <w:rFonts w:cs="Guttman Drogolin"/>
          <w:rtl/>
          <w:lang w:bidi="he-IL"/>
        </w:rPr>
        <w:t xml:space="preserve"> </w:t>
      </w:r>
      <w:r w:rsidR="007467C9" w:rsidRPr="00882F11">
        <w:rPr>
          <w:rFonts w:cs="Guttman Drogolin" w:hint="cs"/>
          <w:rtl/>
          <w:lang w:bidi="he-IL"/>
        </w:rPr>
        <w:t>זה</w:t>
      </w:r>
      <w:r w:rsidR="007467C9" w:rsidRPr="00882F11">
        <w:rPr>
          <w:rFonts w:cs="Guttman Drogolin"/>
          <w:rtl/>
          <w:lang w:bidi="he-IL"/>
        </w:rPr>
        <w:t xml:space="preserve"> </w:t>
      </w:r>
      <w:r w:rsidR="007467C9" w:rsidRPr="00882F11">
        <w:rPr>
          <w:rFonts w:cs="Guttman Drogolin" w:hint="cs"/>
          <w:rtl/>
          <w:lang w:bidi="he-IL"/>
        </w:rPr>
        <w:t>טעם</w:t>
      </w:r>
      <w:r w:rsidR="007467C9" w:rsidRPr="00882F11">
        <w:rPr>
          <w:rFonts w:cs="Guttman Drogolin"/>
          <w:rtl/>
          <w:lang w:bidi="he-IL"/>
        </w:rPr>
        <w:t xml:space="preserve"> </w:t>
      </w:r>
      <w:r w:rsidR="007467C9" w:rsidRPr="00882F11">
        <w:rPr>
          <w:rFonts w:cs="Guttman Drogolin" w:hint="cs"/>
          <w:rtl/>
          <w:lang w:bidi="he-IL"/>
        </w:rPr>
        <w:t>אלא</w:t>
      </w:r>
      <w:r w:rsidR="007467C9" w:rsidRPr="00882F11">
        <w:rPr>
          <w:rFonts w:cs="Guttman Drogolin"/>
          <w:rtl/>
          <w:lang w:bidi="he-IL"/>
        </w:rPr>
        <w:t xml:space="preserve"> </w:t>
      </w:r>
      <w:r w:rsidR="007467C9" w:rsidRPr="00882F11">
        <w:rPr>
          <w:rFonts w:cs="Guttman Drogolin" w:hint="cs"/>
          <w:rtl/>
          <w:lang w:bidi="he-IL"/>
        </w:rPr>
        <w:t>ממש"</w:t>
      </w:r>
      <w:r w:rsidR="0044313A" w:rsidRPr="00882F11">
        <w:rPr>
          <w:rFonts w:cs="Guttman Drogolin" w:hint="cs"/>
          <w:rtl/>
          <w:lang w:bidi="he-IL"/>
        </w:rPr>
        <w:t xml:space="preserve">. ולכאורה הי' עולה על הדעת שרש"י נותן עוד טעם למה אי אפשר לומר שגזה"כ דחטאת מחדש דין </w:t>
      </w:r>
      <w:r w:rsidR="00BF430F" w:rsidRPr="00882F11">
        <w:rPr>
          <w:rFonts w:cs="Guttman Drogolin" w:hint="cs"/>
          <w:rtl/>
          <w:lang w:bidi="he-IL"/>
        </w:rPr>
        <w:t>טעם כעיקר</w:t>
      </w:r>
      <w:r w:rsidR="0044313A" w:rsidRPr="00882F11">
        <w:rPr>
          <w:rFonts w:cs="Guttman Drogolin" w:hint="cs"/>
          <w:rtl/>
          <w:lang w:bidi="he-IL"/>
        </w:rPr>
        <w:t>, ומשום דלא מיירי בטעם אלא בממשו. אמנם יעוין בקה"י סי' ל"ט שביאר על דרך הפשט שרש"י בא ליישב קושיא אחרת. והוא שאמנם אפשר לבחור ב</w:t>
      </w:r>
      <w:r w:rsidR="00415CE7" w:rsidRPr="00882F11">
        <w:rPr>
          <w:rFonts w:cs="Guttman Drogolin" w:hint="cs"/>
          <w:rtl/>
          <w:lang w:bidi="he-IL"/>
        </w:rPr>
        <w:t>היתר מצטרף לאיסור</w:t>
      </w:r>
      <w:r w:rsidR="0044313A" w:rsidRPr="00882F11">
        <w:rPr>
          <w:rFonts w:cs="Guttman Drogolin" w:hint="cs"/>
          <w:rtl/>
          <w:lang w:bidi="he-IL"/>
        </w:rPr>
        <w:t xml:space="preserve"> במקום </w:t>
      </w:r>
      <w:r w:rsidR="00BF430F" w:rsidRPr="00882F11">
        <w:rPr>
          <w:rFonts w:cs="Guttman Drogolin" w:hint="cs"/>
          <w:rtl/>
          <w:lang w:bidi="he-IL"/>
        </w:rPr>
        <w:t>טעם כעיקר</w:t>
      </w:r>
      <w:r w:rsidR="0044313A" w:rsidRPr="00882F11">
        <w:rPr>
          <w:rFonts w:cs="Guttman Drogolin" w:hint="cs"/>
          <w:rtl/>
          <w:lang w:bidi="he-IL"/>
        </w:rPr>
        <w:t xml:space="preserve">, אבל אפילו אם יחדש לן </w:t>
      </w:r>
      <w:r w:rsidR="00394AD7" w:rsidRPr="00882F11">
        <w:rPr>
          <w:rFonts w:cs="Guttman Drogolin" w:hint="cs"/>
          <w:rtl/>
          <w:lang w:bidi="he-IL"/>
        </w:rPr>
        <w:t>המל"א</w:t>
      </w:r>
      <w:r w:rsidR="0044313A" w:rsidRPr="00882F11">
        <w:rPr>
          <w:rFonts w:cs="Guttman Drogolin" w:hint="cs"/>
          <w:rtl/>
          <w:lang w:bidi="he-IL"/>
        </w:rPr>
        <w:t xml:space="preserve"> הא לכאורה ממילא שמעת מינה גם ד</w:t>
      </w:r>
      <w:r w:rsidR="00BF430F" w:rsidRPr="00882F11">
        <w:rPr>
          <w:rFonts w:cs="Guttman Drogolin" w:hint="cs"/>
          <w:rtl/>
          <w:lang w:bidi="he-IL"/>
        </w:rPr>
        <w:t>טעם כעיקר</w:t>
      </w:r>
      <w:r w:rsidR="0044313A" w:rsidRPr="00882F11">
        <w:rPr>
          <w:rFonts w:cs="Guttman Drogolin" w:hint="cs"/>
          <w:rtl/>
          <w:lang w:bidi="he-IL"/>
        </w:rPr>
        <w:t>, דהא מנין לנו איסור בתוך החתיכה אא"כ נתן בו טעם. ובזה מיישב רש</w:t>
      </w:r>
      <w:r w:rsidR="00921589">
        <w:rPr>
          <w:rFonts w:cs="Guttman Drogolin" w:hint="cs"/>
          <w:rtl/>
          <w:lang w:bidi="he-IL"/>
        </w:rPr>
        <w:t>"</w:t>
      </w:r>
      <w:r w:rsidR="0044313A" w:rsidRPr="00882F11">
        <w:rPr>
          <w:rFonts w:cs="Guttman Drogolin" w:hint="cs"/>
          <w:rtl/>
          <w:lang w:bidi="he-IL"/>
        </w:rPr>
        <w:t xml:space="preserve">י שאין זה נכון, ולעולם יכול להיות שאין </w:t>
      </w:r>
      <w:r w:rsidR="00BF430F" w:rsidRPr="00882F11">
        <w:rPr>
          <w:rFonts w:cs="Guttman Drogolin" w:hint="cs"/>
          <w:rtl/>
          <w:lang w:bidi="he-IL"/>
        </w:rPr>
        <w:t>טעם כעיקר</w:t>
      </w:r>
      <w:r w:rsidR="0044313A" w:rsidRPr="00882F11">
        <w:rPr>
          <w:rFonts w:cs="Guttman Drogolin" w:hint="cs"/>
          <w:rtl/>
          <w:lang w:bidi="he-IL"/>
        </w:rPr>
        <w:t xml:space="preserve"> ומ"מ יש כאן איסור בתוך החתיכה ומשום שיש ממשו של איסור בתוך החתיכה. ודבר זה מובן היטב ע"פ דרכו של הנחל"ד הנ"ל, שאמנם אין טעם כעיקר, הנ"מ בטעמו בלא ממשו, אבל </w:t>
      </w:r>
      <w:r w:rsidR="0044313A" w:rsidRPr="00882F11">
        <w:rPr>
          <w:rFonts w:cs="Guttman Drogolin" w:hint="cs"/>
          <w:rtl/>
          <w:lang w:bidi="he-IL"/>
        </w:rPr>
        <w:lastRenderedPageBreak/>
        <w:t>טעמו וממשו אינו בטל מדאורייתא אפילו אלמלא הלימוד ד</w:t>
      </w:r>
      <w:r w:rsidR="00BF430F" w:rsidRPr="00882F11">
        <w:rPr>
          <w:rFonts w:cs="Guttman Drogolin" w:hint="cs"/>
          <w:rtl/>
          <w:lang w:bidi="he-IL"/>
        </w:rPr>
        <w:t>טעם כעיקר</w:t>
      </w:r>
      <w:r w:rsidR="0044313A" w:rsidRPr="00882F11">
        <w:rPr>
          <w:rFonts w:cs="Guttman Drogolin" w:hint="cs"/>
          <w:rtl/>
          <w:lang w:bidi="he-IL"/>
        </w:rPr>
        <w:t xml:space="preserve">.  </w:t>
      </w:r>
      <w:r w:rsidR="00A0725B" w:rsidRPr="00882F11">
        <w:rPr>
          <w:rFonts w:cs="Guttman Drogolin" w:hint="cs"/>
          <w:rtl/>
          <w:lang w:bidi="he-IL"/>
        </w:rPr>
        <w:t xml:space="preserve"> </w:t>
      </w:r>
    </w:p>
    <w:p w:rsidR="00DC2516" w:rsidRPr="00882F11" w:rsidRDefault="00DC2516" w:rsidP="00882F11">
      <w:pPr>
        <w:pStyle w:val="Heading1"/>
        <w:bidi/>
        <w:spacing w:before="0" w:line="240" w:lineRule="auto"/>
        <w:jc w:val="center"/>
        <w:rPr>
          <w:rFonts w:cs="Guttman Drogolin"/>
          <w:color w:val="auto"/>
          <w:sz w:val="24"/>
          <w:szCs w:val="24"/>
          <w:u w:val="single"/>
          <w:rtl/>
          <w:lang w:bidi="he-IL"/>
        </w:rPr>
      </w:pPr>
      <w:bookmarkStart w:id="21" w:name="_Toc496175287"/>
      <w:r w:rsidRPr="00882F11">
        <w:rPr>
          <w:rFonts w:cs="Guttman Drogolin" w:hint="cs"/>
          <w:color w:val="auto"/>
          <w:sz w:val="24"/>
          <w:szCs w:val="24"/>
          <w:u w:val="single"/>
          <w:rtl/>
          <w:lang w:bidi="he-IL"/>
        </w:rPr>
        <w:t xml:space="preserve">ישוב הקושיא הרביעית של התוס' אשיטת רש"י בדין </w:t>
      </w:r>
      <w:r w:rsidR="00415CE7" w:rsidRPr="00882F11">
        <w:rPr>
          <w:rFonts w:cs="Guttman Drogolin" w:hint="cs"/>
          <w:color w:val="auto"/>
          <w:sz w:val="24"/>
          <w:szCs w:val="24"/>
          <w:u w:val="single"/>
          <w:rtl/>
          <w:lang w:bidi="he-IL"/>
        </w:rPr>
        <w:t>היתר מצטרף לאיסור</w:t>
      </w:r>
      <w:bookmarkEnd w:id="21"/>
    </w:p>
    <w:p w:rsidR="00D06247" w:rsidRPr="00882F11" w:rsidRDefault="00DD7E31" w:rsidP="004F6F70">
      <w:pPr>
        <w:bidi/>
        <w:jc w:val="both"/>
        <w:rPr>
          <w:rFonts w:cs="Guttman Drogolin"/>
          <w:rtl/>
          <w:lang w:bidi="he-IL"/>
        </w:rPr>
      </w:pPr>
      <w:r w:rsidRPr="00882F11">
        <w:rPr>
          <w:rFonts w:cs="Guttman Drogolin" w:hint="cs"/>
          <w:rtl/>
          <w:lang w:bidi="he-IL"/>
        </w:rPr>
        <w:t xml:space="preserve">יעוין לעיל בדף מ"ג ע"ב שהוכיחו התוס' מסוגיין דע"כ הדין של </w:t>
      </w:r>
      <w:r w:rsidR="00415CE7" w:rsidRPr="00882F11">
        <w:rPr>
          <w:rFonts w:cs="Guttman Drogolin" w:hint="cs"/>
          <w:rtl/>
          <w:lang w:bidi="he-IL"/>
        </w:rPr>
        <w:t>היתר מצטרף לאיסור</w:t>
      </w:r>
      <w:r w:rsidRPr="00882F11">
        <w:rPr>
          <w:rFonts w:cs="Guttman Drogolin" w:hint="cs"/>
          <w:rtl/>
          <w:lang w:bidi="he-IL"/>
        </w:rPr>
        <w:t xml:space="preserve"> לא נאמר אלא בתערובת. וז"ל התוס' שם "ולקמן</w:t>
      </w:r>
      <w:r w:rsidRPr="00882F11">
        <w:rPr>
          <w:rFonts w:cs="Guttman Drogolin"/>
          <w:rtl/>
          <w:lang w:bidi="he-IL"/>
        </w:rPr>
        <w:t xml:space="preserve"> </w:t>
      </w:r>
      <w:r w:rsidRPr="00882F11">
        <w:rPr>
          <w:rFonts w:cs="Guttman Drogolin" w:hint="cs"/>
          <w:rtl/>
          <w:lang w:bidi="he-IL"/>
        </w:rPr>
        <w:t>גבי</w:t>
      </w:r>
      <w:r w:rsidRPr="00882F11">
        <w:rPr>
          <w:rFonts w:cs="Guttman Drogolin"/>
          <w:rtl/>
          <w:lang w:bidi="he-IL"/>
        </w:rPr>
        <w:t xml:space="preserve"> </w:t>
      </w:r>
      <w:r w:rsidRPr="00882F11">
        <w:rPr>
          <w:rFonts w:cs="Guttman Drogolin" w:hint="cs"/>
          <w:rtl/>
          <w:lang w:bidi="he-IL"/>
        </w:rPr>
        <w:t>חטאת</w:t>
      </w:r>
      <w:r w:rsidRPr="00882F11">
        <w:rPr>
          <w:rFonts w:cs="Guttman Drogolin"/>
          <w:rtl/>
          <w:lang w:bidi="he-IL"/>
        </w:rPr>
        <w:t xml:space="preserve"> </w:t>
      </w:r>
      <w:r w:rsidRPr="00882F11">
        <w:rPr>
          <w:rFonts w:cs="Guttman Drogolin" w:hint="cs"/>
          <w:rtl/>
          <w:lang w:bidi="he-IL"/>
        </w:rPr>
        <w:t>משמע</w:t>
      </w:r>
      <w:r w:rsidRPr="00882F11">
        <w:rPr>
          <w:rFonts w:cs="Guttman Drogolin"/>
          <w:rtl/>
          <w:lang w:bidi="he-IL"/>
        </w:rPr>
        <w:t xml:space="preserve"> </w:t>
      </w:r>
      <w:r w:rsidRPr="00882F11">
        <w:rPr>
          <w:rFonts w:cs="Guttman Drogolin" w:hint="cs"/>
          <w:rtl/>
          <w:lang w:bidi="he-IL"/>
        </w:rPr>
        <w:t>דאין</w:t>
      </w:r>
      <w:r w:rsidRPr="00882F11">
        <w:rPr>
          <w:rFonts w:cs="Guttman Drogolin"/>
          <w:rtl/>
          <w:lang w:bidi="he-IL"/>
        </w:rPr>
        <w:t xml:space="preserve"> </w:t>
      </w:r>
      <w:r w:rsidRPr="00882F11">
        <w:rPr>
          <w:rFonts w:cs="Guttman Drogolin" w:hint="cs"/>
          <w:rtl/>
          <w:lang w:bidi="he-IL"/>
        </w:rPr>
        <w:t>היתר</w:t>
      </w:r>
      <w:r w:rsidRPr="00882F11">
        <w:rPr>
          <w:rFonts w:cs="Guttman Drogolin"/>
          <w:rtl/>
          <w:lang w:bidi="he-IL"/>
        </w:rPr>
        <w:t xml:space="preserve"> </w:t>
      </w:r>
      <w:r w:rsidRPr="00882F11">
        <w:rPr>
          <w:rFonts w:cs="Guttman Drogolin" w:hint="cs"/>
          <w:rtl/>
          <w:lang w:bidi="he-IL"/>
        </w:rPr>
        <w:t>מצטרף</w:t>
      </w:r>
      <w:r w:rsidRPr="00882F11">
        <w:rPr>
          <w:rFonts w:cs="Guttman Drogolin"/>
          <w:rtl/>
          <w:lang w:bidi="he-IL"/>
        </w:rPr>
        <w:t xml:space="preserve"> </w:t>
      </w:r>
      <w:r w:rsidRPr="00882F11">
        <w:rPr>
          <w:rFonts w:cs="Guttman Drogolin" w:hint="cs"/>
          <w:rtl/>
          <w:lang w:bidi="he-IL"/>
        </w:rPr>
        <w:t>לאיסור</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שיתערב</w:t>
      </w:r>
      <w:r w:rsidRPr="00882F11">
        <w:rPr>
          <w:rFonts w:cs="Guttman Drogolin"/>
          <w:rtl/>
          <w:lang w:bidi="he-IL"/>
        </w:rPr>
        <w:t xml:space="preserve"> </w:t>
      </w:r>
      <w:r w:rsidRPr="00882F11">
        <w:rPr>
          <w:rFonts w:cs="Guttman Drogolin" w:hint="cs"/>
          <w:rtl/>
          <w:lang w:bidi="he-IL"/>
        </w:rPr>
        <w:t>האיסור</w:t>
      </w:r>
      <w:r w:rsidRPr="00882F11">
        <w:rPr>
          <w:rFonts w:cs="Guttman Drogolin"/>
          <w:rtl/>
          <w:lang w:bidi="he-IL"/>
        </w:rPr>
        <w:t xml:space="preserve"> </w:t>
      </w:r>
      <w:r w:rsidRPr="00882F11">
        <w:rPr>
          <w:rFonts w:cs="Guttman Drogolin" w:hint="cs"/>
          <w:rtl/>
          <w:lang w:bidi="he-IL"/>
        </w:rPr>
        <w:t>וההיתר</w:t>
      </w:r>
      <w:r w:rsidRPr="00882F11">
        <w:rPr>
          <w:rFonts w:cs="Guttman Drogolin"/>
          <w:rtl/>
          <w:lang w:bidi="he-IL"/>
        </w:rPr>
        <w:t xml:space="preserve"> </w:t>
      </w:r>
      <w:r w:rsidRPr="00882F11">
        <w:rPr>
          <w:rFonts w:cs="Guttman Drogolin" w:hint="cs"/>
          <w:rtl/>
          <w:lang w:bidi="he-IL"/>
        </w:rPr>
        <w:t>יחד</w:t>
      </w:r>
      <w:r w:rsidRPr="00882F11">
        <w:rPr>
          <w:rFonts w:cs="Guttman Drogolin"/>
          <w:rtl/>
          <w:lang w:bidi="he-IL"/>
        </w:rPr>
        <w:t xml:space="preserve"> </w:t>
      </w:r>
      <w:r w:rsidRPr="00882F11">
        <w:rPr>
          <w:rFonts w:cs="Guttman Drogolin" w:hint="cs"/>
          <w:rtl/>
          <w:lang w:bidi="he-IL"/>
        </w:rPr>
        <w:t>דהא</w:t>
      </w:r>
      <w:r w:rsidRPr="00882F11">
        <w:rPr>
          <w:rFonts w:cs="Guttman Drogolin"/>
          <w:rtl/>
          <w:lang w:bidi="he-IL"/>
        </w:rPr>
        <w:t xml:space="preserve"> </w:t>
      </w:r>
      <w:r w:rsidRPr="00882F11">
        <w:rPr>
          <w:rFonts w:cs="Guttman Drogolin" w:hint="cs"/>
          <w:rtl/>
          <w:lang w:bidi="he-IL"/>
        </w:rPr>
        <w:t>אמר</w:t>
      </w:r>
      <w:r w:rsidRPr="00882F11">
        <w:rPr>
          <w:rFonts w:cs="Guttman Drogolin"/>
          <w:rtl/>
          <w:lang w:bidi="he-IL"/>
        </w:rPr>
        <w:t xml:space="preserve"> </w:t>
      </w:r>
      <w:r w:rsidRPr="00882F11">
        <w:rPr>
          <w:rFonts w:cs="Guttman Drogolin" w:hint="cs"/>
          <w:rtl/>
          <w:lang w:bidi="he-IL"/>
        </w:rPr>
        <w:t>עד</w:t>
      </w:r>
      <w:r w:rsidRPr="00882F11">
        <w:rPr>
          <w:rFonts w:cs="Guttman Drogolin"/>
          <w:rtl/>
          <w:lang w:bidi="he-IL"/>
        </w:rPr>
        <w:t xml:space="preserve"> </w:t>
      </w:r>
      <w:r w:rsidRPr="00882F11">
        <w:rPr>
          <w:rFonts w:cs="Guttman Drogolin" w:hint="cs"/>
          <w:rtl/>
          <w:lang w:bidi="he-IL"/>
        </w:rPr>
        <w:t>שיבלע</w:t>
      </w:r>
      <w:r w:rsidRPr="00882F11">
        <w:rPr>
          <w:rFonts w:cs="Guttman Drogolin"/>
          <w:rtl/>
          <w:lang w:bidi="he-IL"/>
        </w:rPr>
        <w:t xml:space="preserve"> </w:t>
      </w:r>
      <w:r w:rsidRPr="00882F11">
        <w:rPr>
          <w:rFonts w:cs="Guttman Drogolin" w:hint="cs"/>
          <w:rtl/>
          <w:lang w:bidi="he-IL"/>
        </w:rPr>
        <w:t>בבשרה</w:t>
      </w:r>
      <w:r w:rsidR="00D06247" w:rsidRPr="00882F11">
        <w:rPr>
          <w:rFonts w:cs="Guttman Drogolin" w:hint="cs"/>
          <w:rtl/>
          <w:lang w:bidi="he-IL"/>
        </w:rPr>
        <w:t xml:space="preserve">". והנה רש"י כאן הרי התייחס בהדיא לנקודה זו ופי' שהדין של </w:t>
      </w:r>
      <w:r w:rsidR="00415CE7" w:rsidRPr="00882F11">
        <w:rPr>
          <w:rFonts w:cs="Guttman Drogolin" w:hint="cs"/>
          <w:rtl/>
          <w:lang w:bidi="he-IL"/>
        </w:rPr>
        <w:t>היתר מצטרף לאיסור</w:t>
      </w:r>
      <w:r w:rsidR="00D06247" w:rsidRPr="00882F11">
        <w:rPr>
          <w:rFonts w:cs="Guttman Drogolin" w:hint="cs"/>
          <w:rtl/>
          <w:lang w:bidi="he-IL"/>
        </w:rPr>
        <w:t xml:space="preserve"> של הסוגיא מיירי בכה"ג שאוכל חלק מן הקרבן שבלע מהקרבן השני, וחלק שלא בלע. ונראה שכוונת התוס' להוכיח מן הלשון ד'עד שיבלע' שמשמע שצ"ל ע"י תערובת. ורש"י לכאורה מבאר שע"י תערובת לאו דוקא, והעיקר שיהא בו חלק איסור וחלק היתר. ולענין ההו"א דלא בעינן עד שיבלע, לכאורה י"ל לשיטת התוס' דס"ד שיהא הדין של </w:t>
      </w:r>
      <w:r w:rsidR="00415CE7" w:rsidRPr="00882F11">
        <w:rPr>
          <w:rFonts w:cs="Guttman Drogolin" w:hint="cs"/>
          <w:rtl/>
          <w:lang w:bidi="he-IL"/>
        </w:rPr>
        <w:t>היתר מצטרף לאיסור</w:t>
      </w:r>
      <w:r w:rsidR="00D06247" w:rsidRPr="00882F11">
        <w:rPr>
          <w:rFonts w:cs="Guttman Drogolin" w:hint="cs"/>
          <w:rtl/>
          <w:lang w:bidi="he-IL"/>
        </w:rPr>
        <w:t xml:space="preserve"> אפילו אינו בתערובת. אמנם לשיטת רש"י מבארים האחרונים דמעיקרא סבר שהקדשים פוסלים זה את זה בנגיעה אע"פ שלא נבלע א' בשני, דומ</w:t>
      </w:r>
      <w:r w:rsidR="004F6F70" w:rsidRPr="00882F11">
        <w:rPr>
          <w:rFonts w:cs="Guttman Drogolin" w:hint="cs"/>
          <w:rtl/>
          <w:lang w:bidi="he-IL"/>
        </w:rPr>
        <w:t>י</w:t>
      </w:r>
      <w:r w:rsidR="00D06247" w:rsidRPr="00882F11">
        <w:rPr>
          <w:rFonts w:cs="Guttman Drogolin" w:hint="cs"/>
          <w:rtl/>
          <w:lang w:bidi="he-IL"/>
        </w:rPr>
        <w:t xml:space="preserve">א דקבלת טומאה. ויתכן שגם התוס' כך למדו. </w:t>
      </w:r>
    </w:p>
    <w:p w:rsidR="00D06247" w:rsidRPr="00882F11" w:rsidRDefault="00415CE7" w:rsidP="0078079C">
      <w:pPr>
        <w:pStyle w:val="Heading1"/>
        <w:bidi/>
        <w:spacing w:before="0" w:line="360" w:lineRule="auto"/>
        <w:jc w:val="center"/>
        <w:rPr>
          <w:rFonts w:cs="Guttman Drogolin"/>
          <w:color w:val="auto"/>
          <w:sz w:val="20"/>
          <w:szCs w:val="20"/>
          <w:u w:val="single"/>
          <w:rtl/>
          <w:lang w:bidi="he-IL"/>
        </w:rPr>
      </w:pPr>
      <w:bookmarkStart w:id="22" w:name="_Toc496175288"/>
      <w:r w:rsidRPr="00882F11">
        <w:rPr>
          <w:rFonts w:cs="Guttman Drogolin" w:hint="cs"/>
          <w:color w:val="auto"/>
          <w:sz w:val="20"/>
          <w:szCs w:val="20"/>
          <w:u w:val="single"/>
          <w:rtl/>
          <w:lang w:bidi="he-IL"/>
        </w:rPr>
        <w:t>המתבאר מסוף הסוגיא בדין היתר מצטרף לאיסור</w:t>
      </w:r>
      <w:bookmarkEnd w:id="22"/>
    </w:p>
    <w:p w:rsidR="00DC2516" w:rsidRPr="00882F11" w:rsidRDefault="00415CE7" w:rsidP="00921589">
      <w:pPr>
        <w:bidi/>
        <w:jc w:val="both"/>
        <w:rPr>
          <w:rFonts w:cs="Guttman Drogolin"/>
          <w:rtl/>
          <w:lang w:bidi="he-IL"/>
        </w:rPr>
      </w:pPr>
      <w:r w:rsidRPr="00882F11">
        <w:rPr>
          <w:rFonts w:cs="Guttman Drogolin" w:hint="cs"/>
          <w:rtl/>
          <w:lang w:bidi="he-IL"/>
        </w:rPr>
        <w:t>בסוף הסוגיא שואל ר' אשי לר' כהנא מן הברייתא ש</w:t>
      </w:r>
      <w:r w:rsidR="00921589">
        <w:rPr>
          <w:rFonts w:cs="Guttman Drogolin" w:hint="cs"/>
          <w:rtl/>
          <w:lang w:bidi="he-IL"/>
        </w:rPr>
        <w:t>ל</w:t>
      </w:r>
      <w:r w:rsidRPr="00882F11">
        <w:rPr>
          <w:rFonts w:cs="Guttman Drogolin" w:hint="cs"/>
          <w:rtl/>
          <w:lang w:bidi="he-IL"/>
        </w:rPr>
        <w:t>מד מן הפסוק שמצרפין גפן וזג לשיעור כזית, ואם בנזיר ילפינן דהיתר מצטרף לאיסור, למה בעינן לי' לגזה"כ זה, שאם היתר מצטרף לאיסור כ"ש שאיסור מצטרף לאיסור</w:t>
      </w:r>
      <w:r w:rsidRPr="00882F11">
        <w:rPr>
          <w:rStyle w:val="FootnoteReference"/>
          <w:rFonts w:cs="Guttman Drogolin"/>
          <w:rtl/>
          <w:lang w:bidi="he-IL"/>
        </w:rPr>
        <w:footnoteReference w:id="34"/>
      </w:r>
      <w:r w:rsidRPr="00882F11">
        <w:rPr>
          <w:rFonts w:cs="Guttman Drogolin" w:hint="cs"/>
          <w:rtl/>
          <w:lang w:bidi="he-IL"/>
        </w:rPr>
        <w:t>.</w:t>
      </w:r>
      <w:r w:rsidR="00D06247" w:rsidRPr="00882F11">
        <w:rPr>
          <w:rFonts w:cs="Guttman Drogolin" w:hint="cs"/>
          <w:rtl/>
          <w:lang w:bidi="he-IL"/>
        </w:rPr>
        <w:t xml:space="preserve"> </w:t>
      </w:r>
      <w:r w:rsidRPr="00882F11">
        <w:rPr>
          <w:rFonts w:cs="Guttman Drogolin" w:hint="cs"/>
          <w:rtl/>
          <w:lang w:bidi="he-IL"/>
        </w:rPr>
        <w:t>ומתרצת הגמ' שבברייתא חידשו דין צירוף אפילו בזה אחר זה, ו</w:t>
      </w:r>
      <w:r w:rsidR="00C5379A" w:rsidRPr="00882F11">
        <w:rPr>
          <w:rFonts w:cs="Guttman Drogolin" w:hint="cs"/>
          <w:rtl/>
          <w:lang w:bidi="he-IL"/>
        </w:rPr>
        <w:t>היתר מצטרף לאיסור</w:t>
      </w:r>
      <w:r w:rsidRPr="00882F11">
        <w:rPr>
          <w:rFonts w:cs="Guttman Drogolin" w:hint="cs"/>
          <w:rtl/>
          <w:lang w:bidi="he-IL"/>
        </w:rPr>
        <w:t xml:space="preserve"> ליכא אלא בבת אחת. והנה לשיטת רש"י חזינן מכאן חידוש</w:t>
      </w:r>
      <w:r w:rsidR="00F7452A" w:rsidRPr="00882F11">
        <w:rPr>
          <w:rFonts w:cs="Guttman Drogolin" w:hint="cs"/>
          <w:rtl/>
          <w:lang w:bidi="he-IL"/>
        </w:rPr>
        <w:t xml:space="preserve">, דאע"פ שהדין </w:t>
      </w:r>
      <w:r w:rsidR="00C5379A" w:rsidRPr="00882F11">
        <w:rPr>
          <w:rFonts w:cs="Guttman Drogolin" w:hint="cs"/>
          <w:rtl/>
          <w:lang w:bidi="he-IL"/>
        </w:rPr>
        <w:t>היתר מצטרף לאיסור</w:t>
      </w:r>
      <w:r w:rsidR="00F7452A" w:rsidRPr="00882F11">
        <w:rPr>
          <w:rFonts w:cs="Guttman Drogolin" w:hint="cs"/>
          <w:rtl/>
          <w:lang w:bidi="he-IL"/>
        </w:rPr>
        <w:t xml:space="preserve"> הוא דין במעשה האכילה, מ"מ לא מהני אא"כ אכלו בבת אחת. והביאור בזה דלא יתכן שיהא חשיבות למעשה אכילת איסור ע"י אכילת היתר אא"כ אכל את שניהם בבת אחת, אבל בזה אחר זה אע"ג שיכול </w:t>
      </w:r>
      <w:r w:rsidR="00F7452A" w:rsidRPr="00882F11">
        <w:rPr>
          <w:rFonts w:cs="Guttman Drogolin" w:hint="cs"/>
          <w:rtl/>
          <w:lang w:bidi="he-IL"/>
        </w:rPr>
        <w:lastRenderedPageBreak/>
        <w:t>להצטרף, לא יתן א' חשיבות לחבירו. ושיטת התוס' ראיתי בנחל"ד שהתקשה בהו"א לפי דבריהם</w:t>
      </w:r>
      <w:r w:rsidR="000C48B0" w:rsidRPr="00882F11">
        <w:rPr>
          <w:rFonts w:cs="Guttman Drogolin" w:hint="cs"/>
          <w:rtl/>
          <w:lang w:bidi="he-IL"/>
        </w:rPr>
        <w:t xml:space="preserve">, שאם </w:t>
      </w:r>
      <w:r w:rsidR="00C5379A" w:rsidRPr="00882F11">
        <w:rPr>
          <w:rFonts w:cs="Guttman Drogolin" w:hint="cs"/>
          <w:rtl/>
          <w:lang w:bidi="he-IL"/>
        </w:rPr>
        <w:t>היתר מצטרף לאיסור</w:t>
      </w:r>
      <w:r w:rsidR="000C48B0" w:rsidRPr="00882F11">
        <w:rPr>
          <w:rFonts w:cs="Guttman Drogolin" w:hint="cs"/>
          <w:rtl/>
          <w:lang w:bidi="he-IL"/>
        </w:rPr>
        <w:t xml:space="preserve"> לא נאמר אלא בתערובת, למה קס"ד שיש קושיא מנזיר דמיירי בזה אחר זה. דבשלמא לרש"י י"ל דס"ד שגם ב</w:t>
      </w:r>
      <w:r w:rsidR="00C5379A" w:rsidRPr="00882F11">
        <w:rPr>
          <w:rFonts w:cs="Guttman Drogolin" w:hint="cs"/>
          <w:rtl/>
          <w:lang w:bidi="he-IL"/>
        </w:rPr>
        <w:t>היתר מצטרף לאיסור</w:t>
      </w:r>
      <w:r w:rsidR="000C48B0" w:rsidRPr="00882F11">
        <w:rPr>
          <w:rFonts w:cs="Guttman Drogolin" w:hint="cs"/>
          <w:rtl/>
          <w:lang w:bidi="he-IL"/>
        </w:rPr>
        <w:t xml:space="preserve"> אמרינן שמצטרף אפילו בזה אחר זה, אבל לתוס' הרי ליכא למימר הכי. ולכאורה צריכים לומר </w:t>
      </w:r>
      <w:r w:rsidR="00921589">
        <w:rPr>
          <w:rFonts w:cs="Guttman Drogolin" w:hint="cs"/>
          <w:rtl/>
          <w:lang w:bidi="he-IL"/>
        </w:rPr>
        <w:t>ל</w:t>
      </w:r>
      <w:r w:rsidR="000C48B0" w:rsidRPr="00882F11">
        <w:rPr>
          <w:rFonts w:cs="Guttman Drogolin" w:hint="cs"/>
          <w:rtl/>
          <w:lang w:bidi="he-IL"/>
        </w:rPr>
        <w:t xml:space="preserve">שיטת התוס' </w:t>
      </w:r>
      <w:r w:rsidR="00F4187D" w:rsidRPr="00882F11">
        <w:rPr>
          <w:rFonts w:cs="Guttman Drogolin" w:hint="cs"/>
          <w:rtl/>
          <w:lang w:bidi="he-IL"/>
        </w:rPr>
        <w:t>ש</w:t>
      </w:r>
      <w:r w:rsidR="00921589">
        <w:rPr>
          <w:rFonts w:cs="Guttman Drogolin" w:hint="cs"/>
          <w:rtl/>
          <w:lang w:bidi="he-IL"/>
        </w:rPr>
        <w:t>רק</w:t>
      </w:r>
      <w:r w:rsidR="00F4187D" w:rsidRPr="00882F11">
        <w:rPr>
          <w:rFonts w:cs="Guttman Drogolin" w:hint="cs"/>
          <w:rtl/>
          <w:lang w:bidi="he-IL"/>
        </w:rPr>
        <w:t xml:space="preserve"> למסקנת הגמ' </w:t>
      </w:r>
      <w:r w:rsidR="00921589">
        <w:rPr>
          <w:rFonts w:cs="Guttman Drogolin" w:hint="cs"/>
          <w:rtl/>
          <w:lang w:bidi="he-IL"/>
        </w:rPr>
        <w:t xml:space="preserve">אמרינן </w:t>
      </w:r>
      <w:r w:rsidR="00F4187D" w:rsidRPr="00882F11">
        <w:rPr>
          <w:rFonts w:cs="Guttman Drogolin" w:hint="cs"/>
          <w:rtl/>
          <w:lang w:bidi="he-IL"/>
        </w:rPr>
        <w:t>שבנזיר מצטרף אפילו בזה אחר זה, אבל להו"א חשבו שגם גפן וזג לא מצטרפי אלא ביחד (דאין לומר דס"ד דלא בעינן תערבות כדי להצטרף, דהא התוס' הב</w:t>
      </w:r>
      <w:r w:rsidR="00921589">
        <w:rPr>
          <w:rFonts w:cs="Guttman Drogolin" w:hint="cs"/>
          <w:rtl/>
          <w:lang w:bidi="he-IL"/>
        </w:rPr>
        <w:t>יאו ראי' דבעינן צירוף מן הגמ' ה</w:t>
      </w:r>
      <w:r w:rsidR="00F4187D" w:rsidRPr="00882F11">
        <w:rPr>
          <w:rFonts w:cs="Guttman Drogolin" w:hint="cs"/>
          <w:rtl/>
          <w:lang w:bidi="he-IL"/>
        </w:rPr>
        <w:t>ק</w:t>
      </w:r>
      <w:r w:rsidR="00921589">
        <w:rPr>
          <w:rFonts w:cs="Guttman Drogolin" w:hint="cs"/>
          <w:rtl/>
          <w:lang w:bidi="he-IL"/>
        </w:rPr>
        <w:t>ו</w:t>
      </w:r>
      <w:r w:rsidR="00F4187D" w:rsidRPr="00882F11">
        <w:rPr>
          <w:rFonts w:cs="Guttman Drogolin" w:hint="cs"/>
          <w:rtl/>
          <w:lang w:bidi="he-IL"/>
        </w:rPr>
        <w:t>דם, וע"כ כבר ידע מזה הגמ'). וע' בנחל"ד שהתייחס לתי' כזה ואמר עליו שהוא דחוק.</w:t>
      </w:r>
    </w:p>
    <w:p w:rsidR="00F4187D" w:rsidRPr="00882F11" w:rsidRDefault="00F4187D" w:rsidP="00882F11">
      <w:pPr>
        <w:pStyle w:val="Heading1"/>
        <w:bidi/>
        <w:spacing w:before="0" w:line="240" w:lineRule="auto"/>
        <w:jc w:val="center"/>
        <w:rPr>
          <w:rFonts w:cs="Guttman Drogolin"/>
          <w:color w:val="auto"/>
          <w:sz w:val="24"/>
          <w:szCs w:val="24"/>
          <w:u w:val="single"/>
          <w:rtl/>
          <w:lang w:bidi="he-IL"/>
        </w:rPr>
      </w:pPr>
      <w:bookmarkStart w:id="23" w:name="_Toc496175289"/>
      <w:r w:rsidRPr="00882F11">
        <w:rPr>
          <w:rFonts w:cs="Guttman Drogolin" w:hint="cs"/>
          <w:color w:val="auto"/>
          <w:sz w:val="24"/>
          <w:szCs w:val="24"/>
          <w:u w:val="single"/>
          <w:rtl/>
          <w:lang w:bidi="he-IL"/>
        </w:rPr>
        <w:t xml:space="preserve">השיטות של </w:t>
      </w:r>
      <w:r w:rsidR="00BF430F" w:rsidRPr="00882F11">
        <w:rPr>
          <w:rFonts w:cs="Guttman Drogolin" w:hint="cs"/>
          <w:color w:val="auto"/>
          <w:sz w:val="24"/>
          <w:szCs w:val="24"/>
          <w:u w:val="single"/>
          <w:rtl/>
          <w:lang w:bidi="he-IL"/>
        </w:rPr>
        <w:t>טעם כעיקר</w:t>
      </w:r>
      <w:r w:rsidRPr="00882F11">
        <w:rPr>
          <w:rFonts w:cs="Guttman Drogolin" w:hint="cs"/>
          <w:color w:val="auto"/>
          <w:sz w:val="24"/>
          <w:szCs w:val="24"/>
          <w:u w:val="single"/>
          <w:rtl/>
          <w:lang w:bidi="he-IL"/>
        </w:rPr>
        <w:t xml:space="preserve"> ו</w:t>
      </w:r>
      <w:r w:rsidR="00C5379A" w:rsidRPr="00882F11">
        <w:rPr>
          <w:rFonts w:cs="Guttman Drogolin" w:hint="cs"/>
          <w:color w:val="auto"/>
          <w:sz w:val="24"/>
          <w:szCs w:val="24"/>
          <w:u w:val="single"/>
          <w:rtl/>
          <w:lang w:bidi="he-IL"/>
        </w:rPr>
        <w:t>היתר מצטרף לאיסור</w:t>
      </w:r>
      <w:r w:rsidRPr="00882F11">
        <w:rPr>
          <w:rFonts w:cs="Guttman Drogolin" w:hint="cs"/>
          <w:color w:val="auto"/>
          <w:sz w:val="24"/>
          <w:szCs w:val="24"/>
          <w:u w:val="single"/>
          <w:rtl/>
          <w:lang w:bidi="he-IL"/>
        </w:rPr>
        <w:t xml:space="preserve"> למסקנת הגמ'</w:t>
      </w:r>
      <w:bookmarkEnd w:id="23"/>
    </w:p>
    <w:p w:rsidR="00F4187D" w:rsidRPr="00882F11" w:rsidRDefault="00F4187D" w:rsidP="00F4187D">
      <w:pPr>
        <w:bidi/>
        <w:jc w:val="both"/>
        <w:rPr>
          <w:rFonts w:cs="Guttman Drogolin"/>
          <w:rtl/>
          <w:lang w:bidi="he-IL"/>
        </w:rPr>
      </w:pPr>
      <w:r w:rsidRPr="00882F11">
        <w:rPr>
          <w:rFonts w:cs="Guttman Drogolin" w:hint="cs"/>
          <w:rtl/>
          <w:lang w:bidi="he-IL"/>
        </w:rPr>
        <w:t xml:space="preserve">יוצא לפי מסקנת הגמ' דר"ע סבר דאמרינן </w:t>
      </w:r>
      <w:r w:rsidR="00BF430F" w:rsidRPr="00882F11">
        <w:rPr>
          <w:rFonts w:cs="Guttman Drogolin" w:hint="cs"/>
          <w:rtl/>
          <w:lang w:bidi="he-IL"/>
        </w:rPr>
        <w:t>טעם כעיקר</w:t>
      </w:r>
      <w:r w:rsidRPr="00882F11">
        <w:rPr>
          <w:rFonts w:cs="Guttman Drogolin" w:hint="cs"/>
          <w:rtl/>
          <w:lang w:bidi="he-IL"/>
        </w:rPr>
        <w:t xml:space="preserve"> בכל התורה כולה וילפינן דבר זה מגיעולי נכרים כיון דסבר דגיעולי נכרים לאו חידוש הוא. ולענין </w:t>
      </w:r>
      <w:r w:rsidR="00C5379A" w:rsidRPr="00882F11">
        <w:rPr>
          <w:rFonts w:cs="Guttman Drogolin" w:hint="cs"/>
          <w:rtl/>
          <w:lang w:bidi="he-IL"/>
        </w:rPr>
        <w:t>היתר מצטרף לאיסור</w:t>
      </w:r>
      <w:r w:rsidRPr="00882F11">
        <w:rPr>
          <w:rFonts w:cs="Guttman Drogolin" w:hint="cs"/>
          <w:rtl/>
          <w:lang w:bidi="he-IL"/>
        </w:rPr>
        <w:t xml:space="preserve"> ילפינן דמצטרפי בנזיר וחטאת אבל לא לכל התורה כולה כיון דהו"ל ב' כתובים הבאים כא' ואין מלמדים. </w:t>
      </w:r>
      <w:r w:rsidR="004952BC" w:rsidRPr="00882F11">
        <w:rPr>
          <w:rFonts w:cs="Guttman Drogolin" w:hint="cs"/>
          <w:rtl/>
          <w:lang w:bidi="he-IL"/>
        </w:rPr>
        <w:t xml:space="preserve">ורבנן של הברייתא שחולקים על ר' עקיבא סוברים שאין למידין </w:t>
      </w:r>
      <w:r w:rsidR="00BF430F" w:rsidRPr="00882F11">
        <w:rPr>
          <w:rFonts w:cs="Guttman Drogolin" w:hint="cs"/>
          <w:rtl/>
          <w:lang w:bidi="he-IL"/>
        </w:rPr>
        <w:t>טעם כעיקר</w:t>
      </w:r>
      <w:r w:rsidR="008D3A9B" w:rsidRPr="00882F11">
        <w:rPr>
          <w:rFonts w:cs="Guttman Drogolin" w:hint="cs"/>
          <w:rtl/>
          <w:lang w:bidi="he-IL"/>
        </w:rPr>
        <w:t xml:space="preserve"> מגיעולי נכרים כיון דחידוש הו</w:t>
      </w:r>
      <w:r w:rsidR="004952BC" w:rsidRPr="00882F11">
        <w:rPr>
          <w:rFonts w:cs="Guttman Drogolin" w:hint="cs"/>
          <w:rtl/>
          <w:lang w:bidi="he-IL"/>
        </w:rPr>
        <w:t xml:space="preserve">א, ולכן ע"כ למידין דין </w:t>
      </w:r>
      <w:r w:rsidR="00BF430F" w:rsidRPr="00882F11">
        <w:rPr>
          <w:rFonts w:cs="Guttman Drogolin" w:hint="cs"/>
          <w:rtl/>
          <w:lang w:bidi="he-IL"/>
        </w:rPr>
        <w:t>טעם כעיקר</w:t>
      </w:r>
      <w:r w:rsidR="004952BC" w:rsidRPr="00882F11">
        <w:rPr>
          <w:rFonts w:cs="Guttman Drogolin" w:hint="cs"/>
          <w:rtl/>
          <w:lang w:bidi="he-IL"/>
        </w:rPr>
        <w:t xml:space="preserve"> מ</w:t>
      </w:r>
      <w:r w:rsidR="008D3A9B" w:rsidRPr="00882F11">
        <w:rPr>
          <w:rFonts w:cs="Guttman Drogolin" w:hint="cs"/>
          <w:rtl/>
          <w:lang w:bidi="he-IL"/>
        </w:rPr>
        <w:t xml:space="preserve">גזה"כ דמשרת. ובנזיר אין </w:t>
      </w:r>
      <w:r w:rsidR="00C5379A" w:rsidRPr="00882F11">
        <w:rPr>
          <w:rFonts w:cs="Guttman Drogolin" w:hint="cs"/>
          <w:rtl/>
          <w:lang w:bidi="he-IL"/>
        </w:rPr>
        <w:t>היתר מצטרף לאיסור</w:t>
      </w:r>
      <w:r w:rsidR="008D3A9B" w:rsidRPr="00882F11">
        <w:rPr>
          <w:rFonts w:cs="Guttman Drogolin" w:hint="cs"/>
          <w:rtl/>
          <w:lang w:bidi="he-IL"/>
        </w:rPr>
        <w:t xml:space="preserve">, רק בחטאת מכח גזה"כ. ור"א דכותח הבבלי סבר שבכותח הבבלי </w:t>
      </w:r>
      <w:r w:rsidR="00C5379A" w:rsidRPr="00882F11">
        <w:rPr>
          <w:rFonts w:cs="Guttman Drogolin" w:hint="cs"/>
          <w:rtl/>
          <w:lang w:bidi="he-IL"/>
        </w:rPr>
        <w:t>היתר מצטרף לאיסור</w:t>
      </w:r>
      <w:r w:rsidR="008D3A9B" w:rsidRPr="00882F11">
        <w:rPr>
          <w:rFonts w:cs="Guttman Drogolin" w:hint="cs"/>
          <w:rtl/>
          <w:lang w:bidi="he-IL"/>
        </w:rPr>
        <w:t xml:space="preserve"> ולכן לוקה עליו בכזית, ורבנן פליגי עלי'.</w:t>
      </w:r>
    </w:p>
    <w:p w:rsidR="008D3A9B" w:rsidRPr="00882F11" w:rsidRDefault="008D3A9B" w:rsidP="00F90025">
      <w:pPr>
        <w:bidi/>
        <w:jc w:val="both"/>
        <w:rPr>
          <w:rFonts w:cs="Guttman Drogolin"/>
          <w:rtl/>
          <w:lang w:bidi="he-IL"/>
        </w:rPr>
      </w:pPr>
      <w:r w:rsidRPr="00882F11">
        <w:rPr>
          <w:rFonts w:cs="Guttman Drogolin" w:hint="cs"/>
          <w:rtl/>
          <w:lang w:bidi="he-IL"/>
        </w:rPr>
        <w:t xml:space="preserve">והנה צ"ע בדעת רבנן, למה לא יהא חייב אכזית מכותח הבבלי, דנהי נמי דלית להו </w:t>
      </w:r>
      <w:r w:rsidR="00C5379A" w:rsidRPr="00882F11">
        <w:rPr>
          <w:rFonts w:cs="Guttman Drogolin" w:hint="cs"/>
          <w:rtl/>
          <w:lang w:bidi="he-IL"/>
        </w:rPr>
        <w:t>היתר מצטרף לאיסור</w:t>
      </w:r>
      <w:r w:rsidRPr="00882F11">
        <w:rPr>
          <w:rFonts w:cs="Guttman Drogolin" w:hint="cs"/>
          <w:rtl/>
          <w:lang w:bidi="he-IL"/>
        </w:rPr>
        <w:t xml:space="preserve">, מ"מ הרי יש בה חמץ שטעמו נרגש, וא"כ יתחייב מדין </w:t>
      </w:r>
      <w:r w:rsidR="00BF430F" w:rsidRPr="00882F11">
        <w:rPr>
          <w:rFonts w:cs="Guttman Drogolin" w:hint="cs"/>
          <w:rtl/>
          <w:lang w:bidi="he-IL"/>
        </w:rPr>
        <w:t>טעם כעיקר</w:t>
      </w:r>
      <w:r w:rsidRPr="00882F11">
        <w:rPr>
          <w:rFonts w:cs="Guttman Drogolin" w:hint="cs"/>
          <w:rtl/>
          <w:lang w:bidi="he-IL"/>
        </w:rPr>
        <w:t>. וע' ב</w:t>
      </w:r>
      <w:r w:rsidR="00F90025" w:rsidRPr="00882F11">
        <w:rPr>
          <w:rFonts w:cs="Guttman Drogolin" w:hint="cs"/>
          <w:rtl/>
          <w:lang w:bidi="he-IL"/>
        </w:rPr>
        <w:t xml:space="preserve">חי' </w:t>
      </w:r>
      <w:r w:rsidRPr="00882F11">
        <w:rPr>
          <w:rFonts w:cs="Guttman Drogolin" w:hint="cs"/>
          <w:rtl/>
          <w:lang w:bidi="he-IL"/>
        </w:rPr>
        <w:t>ר"ן שכתב בזה</w:t>
      </w:r>
      <w:r w:rsidR="00F90025" w:rsidRPr="00882F11">
        <w:rPr>
          <w:rFonts w:cs="Guttman Drogolin" w:hint="cs"/>
          <w:rtl/>
          <w:lang w:bidi="he-IL"/>
        </w:rPr>
        <w:t xml:space="preserve"> דאע"ג ש</w:t>
      </w:r>
      <w:r w:rsidR="00BF430F" w:rsidRPr="00882F11">
        <w:rPr>
          <w:rFonts w:cs="Guttman Drogolin" w:hint="cs"/>
          <w:rtl/>
          <w:lang w:bidi="he-IL"/>
        </w:rPr>
        <w:t>טעם כעיקר</w:t>
      </w:r>
      <w:r w:rsidR="00F90025" w:rsidRPr="00882F11">
        <w:rPr>
          <w:rFonts w:cs="Guttman Drogolin" w:hint="cs"/>
          <w:rtl/>
          <w:lang w:bidi="he-IL"/>
        </w:rPr>
        <w:t xml:space="preserve"> הרי הגמ' בדף מ"ד ע"א כתב בביאור שיטת רבנן שאין בה כזית </w:t>
      </w:r>
      <w:r w:rsidR="00BF430F" w:rsidRPr="00882F11">
        <w:rPr>
          <w:rFonts w:cs="Guttman Drogolin" w:hint="cs"/>
          <w:rtl/>
          <w:lang w:bidi="he-IL"/>
        </w:rPr>
        <w:t xml:space="preserve">בכדי אכילת </w:t>
      </w:r>
      <w:r w:rsidR="00BF430F" w:rsidRPr="00882F11">
        <w:rPr>
          <w:rFonts w:cs="Guttman Drogolin" w:hint="cs"/>
          <w:rtl/>
          <w:lang w:bidi="he-IL"/>
        </w:rPr>
        <w:lastRenderedPageBreak/>
        <w:t>פרס</w:t>
      </w:r>
      <w:r w:rsidR="00F90025" w:rsidRPr="00882F11">
        <w:rPr>
          <w:rFonts w:cs="Guttman Drogolin" w:hint="cs"/>
          <w:rtl/>
          <w:lang w:bidi="he-IL"/>
        </w:rPr>
        <w:t>, ולכן אינו חייב</w:t>
      </w:r>
      <w:r w:rsidR="007717EB" w:rsidRPr="00882F11">
        <w:rPr>
          <w:rStyle w:val="FootnoteReference"/>
          <w:rFonts w:cs="Guttman Drogolin"/>
          <w:rtl/>
          <w:lang w:bidi="he-IL"/>
        </w:rPr>
        <w:footnoteReference w:id="35"/>
      </w:r>
      <w:r w:rsidR="00F90025" w:rsidRPr="00882F11">
        <w:rPr>
          <w:rFonts w:cs="Guttman Drogolin" w:hint="cs"/>
          <w:rtl/>
          <w:lang w:bidi="he-IL"/>
        </w:rPr>
        <w:t xml:space="preserve">. אמנם כמובן תי' זה לא שייך אלא לשיטה שסוברת שאפילו אי אמרינן </w:t>
      </w:r>
      <w:r w:rsidR="00BF430F" w:rsidRPr="00882F11">
        <w:rPr>
          <w:rFonts w:cs="Guttman Drogolin" w:hint="cs"/>
          <w:rtl/>
          <w:lang w:bidi="he-IL"/>
        </w:rPr>
        <w:t>טעם כעיקר</w:t>
      </w:r>
      <w:r w:rsidR="00F90025" w:rsidRPr="00882F11">
        <w:rPr>
          <w:rFonts w:cs="Guttman Drogolin" w:hint="cs"/>
          <w:rtl/>
          <w:lang w:bidi="he-IL"/>
        </w:rPr>
        <w:t xml:space="preserve"> מדאורייתא מ"מ אין ההיתר נהפך להיות איסור, אבל למ"ד שאם </w:t>
      </w:r>
      <w:r w:rsidR="00BF430F" w:rsidRPr="00882F11">
        <w:rPr>
          <w:rFonts w:cs="Guttman Drogolin" w:hint="cs"/>
          <w:rtl/>
          <w:lang w:bidi="he-IL"/>
        </w:rPr>
        <w:t>טעם כעיקר</w:t>
      </w:r>
      <w:r w:rsidR="00F90025" w:rsidRPr="00882F11">
        <w:rPr>
          <w:rFonts w:cs="Guttman Drogolin" w:hint="cs"/>
          <w:rtl/>
          <w:lang w:bidi="he-IL"/>
        </w:rPr>
        <w:t xml:space="preserve"> נהפך ההיתר להיות איסור מא"ל. ומכח קושיא זו כתב רש"י דע"כ רבנן דכותח הבבלי לית להו דינא ד</w:t>
      </w:r>
      <w:r w:rsidR="00BF430F" w:rsidRPr="00882F11">
        <w:rPr>
          <w:rFonts w:cs="Guttman Drogolin" w:hint="cs"/>
          <w:rtl/>
          <w:lang w:bidi="he-IL"/>
        </w:rPr>
        <w:t>טעם כעיקר</w:t>
      </w:r>
      <w:r w:rsidR="00F90025" w:rsidRPr="00882F11">
        <w:rPr>
          <w:rFonts w:cs="Guttman Drogolin" w:hint="cs"/>
          <w:rtl/>
          <w:lang w:bidi="he-IL"/>
        </w:rPr>
        <w:t>. ולע</w:t>
      </w:r>
      <w:r w:rsidR="00037E72" w:rsidRPr="00882F11">
        <w:rPr>
          <w:rFonts w:cs="Guttman Drogolin" w:hint="cs"/>
          <w:rtl/>
          <w:lang w:bidi="he-IL"/>
        </w:rPr>
        <w:t>נין הלימודים סבר דמשרת הוא לדינא דהמל"א</w:t>
      </w:r>
      <w:r w:rsidR="00F90025" w:rsidRPr="00882F11">
        <w:rPr>
          <w:rFonts w:cs="Guttman Drogolin" w:hint="cs"/>
          <w:rtl/>
          <w:lang w:bidi="he-IL"/>
        </w:rPr>
        <w:t xml:space="preserve"> ואין ללמוד מגיעולי נכרים כיון דחידוש הוא. ו</w:t>
      </w:r>
      <w:r w:rsidR="00037E72" w:rsidRPr="00882F11">
        <w:rPr>
          <w:rFonts w:cs="Guttman Drogolin" w:hint="cs"/>
          <w:rtl/>
          <w:lang w:bidi="he-IL"/>
        </w:rPr>
        <w:t xml:space="preserve">לא </w:t>
      </w:r>
      <w:r w:rsidR="00F90025" w:rsidRPr="00882F11">
        <w:rPr>
          <w:rFonts w:cs="Guttman Drogolin" w:hint="cs"/>
          <w:rtl/>
          <w:lang w:bidi="he-IL"/>
        </w:rPr>
        <w:t>פי' להדיא מה למד ר"א מגזה"כ דחטאת, אבל המהרש"א העיר דע"כ סבר דחטאת הוא ג"כ ל</w:t>
      </w:r>
      <w:r w:rsidR="00C5379A" w:rsidRPr="00882F11">
        <w:rPr>
          <w:rFonts w:cs="Guttman Drogolin" w:hint="cs"/>
          <w:rtl/>
          <w:lang w:bidi="he-IL"/>
        </w:rPr>
        <w:t>היתר מצטרף לאיסור</w:t>
      </w:r>
      <w:r w:rsidR="00F90025" w:rsidRPr="00882F11">
        <w:rPr>
          <w:rFonts w:cs="Guttman Drogolin" w:hint="cs"/>
          <w:rtl/>
          <w:lang w:bidi="he-IL"/>
        </w:rPr>
        <w:t>, שאם הי' ל</w:t>
      </w:r>
      <w:r w:rsidR="00BF430F" w:rsidRPr="00882F11">
        <w:rPr>
          <w:rFonts w:cs="Guttman Drogolin" w:hint="cs"/>
          <w:rtl/>
          <w:lang w:bidi="he-IL"/>
        </w:rPr>
        <w:t>טעם כעיקר</w:t>
      </w:r>
      <w:r w:rsidR="00F90025" w:rsidRPr="00882F11">
        <w:rPr>
          <w:rFonts w:cs="Guttman Drogolin" w:hint="cs"/>
          <w:rtl/>
          <w:lang w:bidi="he-IL"/>
        </w:rPr>
        <w:t xml:space="preserve">, אע"ג שגם לפי זה לא הי' </w:t>
      </w:r>
      <w:r w:rsidR="00BF430F" w:rsidRPr="00882F11">
        <w:rPr>
          <w:rFonts w:cs="Guttman Drogolin" w:hint="cs"/>
          <w:rtl/>
          <w:lang w:bidi="he-IL"/>
        </w:rPr>
        <w:t>טעם כעיקר</w:t>
      </w:r>
      <w:r w:rsidR="00F90025" w:rsidRPr="00882F11">
        <w:rPr>
          <w:rFonts w:cs="Guttman Drogolin" w:hint="cs"/>
          <w:rtl/>
          <w:lang w:bidi="he-IL"/>
        </w:rPr>
        <w:t xml:space="preserve"> בכל התורה כולה כיון דחולין מקדשים לא גמרינן, מ"מ כיון דליכא ב' כתובים ב</w:t>
      </w:r>
      <w:r w:rsidR="00C5379A" w:rsidRPr="00882F11">
        <w:rPr>
          <w:rFonts w:cs="Guttman Drogolin" w:hint="cs"/>
          <w:rtl/>
          <w:lang w:bidi="he-IL"/>
        </w:rPr>
        <w:t>היתר מצטרף לאיסור</w:t>
      </w:r>
      <w:r w:rsidR="00F90025" w:rsidRPr="00882F11">
        <w:rPr>
          <w:rFonts w:cs="Guttman Drogolin" w:hint="cs"/>
          <w:rtl/>
          <w:lang w:bidi="he-IL"/>
        </w:rPr>
        <w:t xml:space="preserve"> הי' צריך להיות הדין דלומדים ממשרת </w:t>
      </w:r>
      <w:r w:rsidR="00C5379A" w:rsidRPr="00882F11">
        <w:rPr>
          <w:rFonts w:cs="Guttman Drogolin" w:hint="cs"/>
          <w:rtl/>
          <w:lang w:bidi="he-IL"/>
        </w:rPr>
        <w:t>היתר מצטרף לאיסור</w:t>
      </w:r>
      <w:r w:rsidR="00F90025" w:rsidRPr="00882F11">
        <w:rPr>
          <w:rFonts w:cs="Guttman Drogolin" w:hint="cs"/>
          <w:rtl/>
          <w:lang w:bidi="he-IL"/>
        </w:rPr>
        <w:t xml:space="preserve"> בכל התורה כולה וכמו שהקשה הגמ' לשיטת ר"ע.</w:t>
      </w:r>
      <w:r w:rsidR="00037E72" w:rsidRPr="00882F11">
        <w:rPr>
          <w:rFonts w:cs="Guttman Drogolin" w:hint="cs"/>
          <w:rtl/>
          <w:lang w:bidi="he-IL"/>
        </w:rPr>
        <w:t xml:space="preserve"> וכיון דידעינן דרבנן</w:t>
      </w:r>
      <w:r w:rsidR="00F90025" w:rsidRPr="00882F11">
        <w:rPr>
          <w:rFonts w:cs="Guttman Drogolin" w:hint="cs"/>
          <w:rtl/>
          <w:lang w:bidi="he-IL"/>
        </w:rPr>
        <w:t xml:space="preserve"> לא מחייבי </w:t>
      </w:r>
      <w:r w:rsidR="00037E72" w:rsidRPr="00882F11">
        <w:rPr>
          <w:rFonts w:cs="Guttman Drogolin" w:hint="cs"/>
          <w:rtl/>
          <w:lang w:bidi="he-IL"/>
        </w:rPr>
        <w:t>אכזית מכותח הבבלי, ע"כ לית להו ב</w:t>
      </w:r>
      <w:r w:rsidR="00F90025" w:rsidRPr="00882F11">
        <w:rPr>
          <w:rFonts w:cs="Guttman Drogolin" w:hint="cs"/>
          <w:rtl/>
          <w:lang w:bidi="he-IL"/>
        </w:rPr>
        <w:t xml:space="preserve">חמץ דין </w:t>
      </w:r>
      <w:r w:rsidR="00C5379A" w:rsidRPr="00882F11">
        <w:rPr>
          <w:rFonts w:cs="Guttman Drogolin" w:hint="cs"/>
          <w:rtl/>
          <w:lang w:bidi="he-IL"/>
        </w:rPr>
        <w:t>היתר מצטרף לאיסור</w:t>
      </w:r>
      <w:r w:rsidR="00F90025" w:rsidRPr="00882F11">
        <w:rPr>
          <w:rFonts w:cs="Guttman Drogolin" w:hint="cs"/>
          <w:rtl/>
          <w:lang w:bidi="he-IL"/>
        </w:rPr>
        <w:t>. ולכן ע"כ חטאת הוא ל</w:t>
      </w:r>
      <w:r w:rsidR="00C5379A" w:rsidRPr="00882F11">
        <w:rPr>
          <w:rFonts w:cs="Guttman Drogolin" w:hint="cs"/>
          <w:rtl/>
          <w:lang w:bidi="he-IL"/>
        </w:rPr>
        <w:t>היתר מצטרף לאיסור</w:t>
      </w:r>
      <w:bookmarkStart w:id="24" w:name="_Ref497030998"/>
      <w:r w:rsidR="00F90025" w:rsidRPr="00882F11">
        <w:rPr>
          <w:rStyle w:val="FootnoteReference"/>
          <w:rFonts w:cs="Guttman Drogolin"/>
          <w:rtl/>
          <w:lang w:bidi="he-IL"/>
        </w:rPr>
        <w:footnoteReference w:id="36"/>
      </w:r>
      <w:bookmarkEnd w:id="24"/>
      <w:r w:rsidR="00F90025" w:rsidRPr="00882F11">
        <w:rPr>
          <w:rFonts w:cs="Guttman Drogolin" w:hint="cs"/>
          <w:rtl/>
          <w:lang w:bidi="he-IL"/>
        </w:rPr>
        <w:t xml:space="preserve">.  </w:t>
      </w:r>
    </w:p>
    <w:p w:rsidR="00916940" w:rsidRPr="00882F11" w:rsidRDefault="00DF48A6" w:rsidP="00DF48A6">
      <w:pPr>
        <w:bidi/>
        <w:jc w:val="both"/>
        <w:rPr>
          <w:rFonts w:cs="Guttman Drogolin"/>
          <w:rtl/>
          <w:lang w:bidi="he-IL"/>
        </w:rPr>
      </w:pPr>
      <w:r>
        <w:rPr>
          <w:rFonts w:cs="Guttman Drogolin"/>
          <w:rtl/>
          <w:lang w:bidi="he-IL"/>
        </w:rPr>
        <w:fldChar w:fldCharType="begin"/>
      </w:r>
      <w:r>
        <w:instrText xml:space="preserve"> XE "</w:instrText>
      </w:r>
      <w:r w:rsidRPr="00AB3A4D">
        <w:rPr>
          <w:rFonts w:hint="cs"/>
          <w:rtl/>
          <w:lang w:bidi="he-IL"/>
        </w:rPr>
        <w:instrText>טעם כעיקר</w:instrText>
      </w:r>
      <w:r w:rsidRPr="00AB3A4D">
        <w:rPr>
          <w:rtl/>
        </w:rPr>
        <w:instrText>:</w:instrText>
      </w:r>
      <w:r>
        <w:rPr>
          <w:rFonts w:hint="cs"/>
          <w:rtl/>
          <w:lang w:bidi="he-IL"/>
        </w:rPr>
        <w:instrText>תערובת של טעם שיוצר טעם חדש</w:instrText>
      </w:r>
      <w:r>
        <w:instrText xml:space="preserve">" </w:instrText>
      </w:r>
      <w:r>
        <w:rPr>
          <w:rFonts w:cs="Guttman Drogolin"/>
          <w:rtl/>
          <w:lang w:bidi="he-IL"/>
        </w:rPr>
        <w:fldChar w:fldCharType="end"/>
      </w:r>
      <w:r w:rsidR="00037E72" w:rsidRPr="00882F11">
        <w:rPr>
          <w:rFonts w:cs="Guttman Drogolin" w:hint="cs"/>
          <w:rtl/>
          <w:lang w:bidi="he-IL"/>
        </w:rPr>
        <w:t>ויש לזה תירוצים אחרים. הרז"ה</w:t>
      </w:r>
      <w:r w:rsidR="00916940" w:rsidRPr="00882F11">
        <w:rPr>
          <w:rFonts w:cs="Guttman Drogolin" w:hint="cs"/>
          <w:rtl/>
          <w:lang w:bidi="he-IL"/>
        </w:rPr>
        <w:t xml:space="preserve"> על אתר חידש ש</w:t>
      </w:r>
      <w:r w:rsidR="00CD60CB">
        <w:rPr>
          <w:rFonts w:cs="Guttman Drogolin" w:hint="cs"/>
          <w:rtl/>
          <w:lang w:bidi="he-IL"/>
        </w:rPr>
        <w:t xml:space="preserve">אפילו </w:t>
      </w:r>
      <w:r w:rsidR="00916940" w:rsidRPr="00882F11">
        <w:rPr>
          <w:rFonts w:cs="Guttman Drogolin" w:hint="cs"/>
          <w:rtl/>
          <w:lang w:bidi="he-IL"/>
        </w:rPr>
        <w:t>אם האיסור גורם שינוי טעם שמורגש,</w:t>
      </w:r>
      <w:r w:rsidR="00CD60CB">
        <w:rPr>
          <w:rFonts w:cs="Guttman Drogolin" w:hint="cs"/>
          <w:rtl/>
          <w:lang w:bidi="he-IL"/>
        </w:rPr>
        <w:t xml:space="preserve"> מ"מ</w:t>
      </w:r>
      <w:r w:rsidR="00916940" w:rsidRPr="00882F11">
        <w:rPr>
          <w:rFonts w:cs="Guttman Drogolin" w:hint="cs"/>
          <w:rtl/>
          <w:lang w:bidi="he-IL"/>
        </w:rPr>
        <w:t xml:space="preserve"> עדיין לא אמרינן בזה </w:t>
      </w:r>
      <w:r w:rsidR="00BF430F" w:rsidRPr="00882F11">
        <w:rPr>
          <w:rFonts w:cs="Guttman Drogolin" w:hint="cs"/>
          <w:rtl/>
          <w:lang w:bidi="he-IL"/>
        </w:rPr>
        <w:t>טעם כעיקר</w:t>
      </w:r>
      <w:r w:rsidR="00916940" w:rsidRPr="00882F11">
        <w:rPr>
          <w:rFonts w:cs="Guttman Drogolin" w:hint="cs"/>
          <w:rtl/>
          <w:lang w:bidi="he-IL"/>
        </w:rPr>
        <w:t xml:space="preserve"> מדאורייתא</w:t>
      </w:r>
      <w:r>
        <w:rPr>
          <w:rFonts w:cs="Guttman Drogolin" w:hint="cs"/>
          <w:rtl/>
          <w:lang w:bidi="he-IL"/>
        </w:rPr>
        <w:t xml:space="preserve"> אא"כ מרגיש הטעם של המאכל של איסור בלבד. ולכן בכותח הבבלי</w:t>
      </w:r>
      <w:r w:rsidR="00916940" w:rsidRPr="00882F11">
        <w:rPr>
          <w:rFonts w:cs="Guttman Drogolin" w:hint="cs"/>
          <w:rtl/>
          <w:lang w:bidi="he-IL"/>
        </w:rPr>
        <w:t xml:space="preserve">, כיון שתערובת הטעמים גורם שמרגיש טעם חדש ולא טעם חמץ, לא אמרינן </w:t>
      </w:r>
      <w:r w:rsidR="00BF430F" w:rsidRPr="00882F11">
        <w:rPr>
          <w:rFonts w:cs="Guttman Drogolin" w:hint="cs"/>
          <w:rtl/>
          <w:lang w:bidi="he-IL"/>
        </w:rPr>
        <w:t>טעם כעיקר</w:t>
      </w:r>
      <w:r w:rsidR="00916940" w:rsidRPr="00882F11">
        <w:rPr>
          <w:rFonts w:cs="Guttman Drogolin" w:hint="cs"/>
          <w:rtl/>
          <w:lang w:bidi="he-IL"/>
        </w:rPr>
        <w:t xml:space="preserve"> מדאורייתא.</w:t>
      </w:r>
    </w:p>
    <w:p w:rsidR="00BB3CA5" w:rsidRPr="00882F11" w:rsidRDefault="00DF48A6" w:rsidP="00DF48A6">
      <w:pPr>
        <w:bidi/>
        <w:jc w:val="both"/>
        <w:rPr>
          <w:rFonts w:cs="Guttman Drogolin"/>
          <w:rtl/>
          <w:lang w:bidi="he-IL"/>
        </w:rPr>
      </w:pPr>
      <w:r>
        <w:rPr>
          <w:rFonts w:cs="Guttman Drogolin"/>
          <w:rtl/>
          <w:lang w:bidi="he-IL"/>
        </w:rPr>
        <w:fldChar w:fldCharType="begin"/>
      </w:r>
      <w:r>
        <w:instrText xml:space="preserve"> XE "</w:instrText>
      </w:r>
      <w:r w:rsidRPr="00AB3A4D">
        <w:rPr>
          <w:rFonts w:hint="cs"/>
          <w:rtl/>
          <w:lang w:bidi="he-IL"/>
        </w:rPr>
        <w:instrText>טעם כעיקר</w:instrText>
      </w:r>
      <w:r w:rsidRPr="00AB3A4D">
        <w:rPr>
          <w:rtl/>
        </w:rPr>
        <w:instrText>:</w:instrText>
      </w:r>
      <w:r w:rsidRPr="00AB3A4D">
        <w:rPr>
          <w:rFonts w:hint="cs"/>
          <w:rtl/>
          <w:lang w:bidi="he-IL"/>
        </w:rPr>
        <w:instrText>קיוהא</w:instrText>
      </w:r>
      <w:r>
        <w:instrText xml:space="preserve">" </w:instrText>
      </w:r>
      <w:r>
        <w:rPr>
          <w:rFonts w:cs="Guttman Drogolin"/>
          <w:rtl/>
          <w:lang w:bidi="he-IL"/>
        </w:rPr>
        <w:fldChar w:fldCharType="end"/>
      </w:r>
      <w:r w:rsidR="00BB3CA5" w:rsidRPr="00882F11">
        <w:rPr>
          <w:rFonts w:cs="Guttman Drogolin" w:hint="cs"/>
          <w:rtl/>
          <w:lang w:bidi="he-IL"/>
        </w:rPr>
        <w:t>והטור כתב תי' אחר לקושיא זו.</w:t>
      </w:r>
      <w:r w:rsidR="00B60485" w:rsidRPr="00882F11">
        <w:rPr>
          <w:rFonts w:cs="Guttman Drogolin" w:hint="cs"/>
          <w:rtl/>
          <w:lang w:bidi="he-IL"/>
        </w:rPr>
        <w:t xml:space="preserve"> שבאו"ח סי' תמ"ב כתב הטור שבכותח הבבלי ליכא אלא קיוהא ולא טעם, ואפילו למ"ד </w:t>
      </w:r>
      <w:r w:rsidR="00BF430F" w:rsidRPr="00882F11">
        <w:rPr>
          <w:rFonts w:cs="Guttman Drogolin" w:hint="cs"/>
          <w:rtl/>
          <w:lang w:bidi="he-IL"/>
        </w:rPr>
        <w:t>טעם כעיקר</w:t>
      </w:r>
      <w:r w:rsidR="00B60485" w:rsidRPr="00882F11">
        <w:rPr>
          <w:rFonts w:cs="Guttman Drogolin" w:hint="cs"/>
          <w:rtl/>
          <w:lang w:bidi="he-IL"/>
        </w:rPr>
        <w:t xml:space="preserve"> דאורייתא מ"מ הנ"מ טעם אבל קיוהא לא. ובנחל"ד פירש שאמנם אין כאן אלא קיוהא בעלמא ולא טעם ולא אומרים </w:t>
      </w:r>
      <w:r w:rsidR="00BF430F" w:rsidRPr="00882F11">
        <w:rPr>
          <w:rFonts w:cs="Guttman Drogolin" w:hint="cs"/>
          <w:rtl/>
          <w:lang w:bidi="he-IL"/>
        </w:rPr>
        <w:t>טעם כעיקר</w:t>
      </w:r>
      <w:r w:rsidR="00B60485" w:rsidRPr="00882F11">
        <w:rPr>
          <w:rFonts w:cs="Guttman Drogolin" w:hint="cs"/>
          <w:rtl/>
          <w:lang w:bidi="he-IL"/>
        </w:rPr>
        <w:t xml:space="preserve"> בקיוהא </w:t>
      </w:r>
      <w:r w:rsidR="00B60485" w:rsidRPr="00882F11">
        <w:rPr>
          <w:rFonts w:cs="Guttman Drogolin" w:hint="cs"/>
          <w:rtl/>
          <w:lang w:bidi="he-IL"/>
        </w:rPr>
        <w:lastRenderedPageBreak/>
        <w:t xml:space="preserve">בעלמא, מ"מ כלפי מה שהבאנו לעיל שטעמו וממשו לא בטל מדאורייתא אפילו אלמלא הריבוי של </w:t>
      </w:r>
      <w:r w:rsidR="00BF430F" w:rsidRPr="00882F11">
        <w:rPr>
          <w:rFonts w:cs="Guttman Drogolin" w:hint="cs"/>
          <w:rtl/>
          <w:lang w:bidi="he-IL"/>
        </w:rPr>
        <w:t>טעם כעיקר</w:t>
      </w:r>
      <w:r>
        <w:rPr>
          <w:rFonts w:cs="Guttman Drogolin" w:hint="cs"/>
          <w:rtl/>
          <w:lang w:bidi="he-IL"/>
        </w:rPr>
        <w:t>,</w:t>
      </w:r>
      <w:r w:rsidR="00B60485" w:rsidRPr="00882F11">
        <w:rPr>
          <w:rFonts w:cs="Guttman Drogolin" w:hint="cs"/>
          <w:rtl/>
          <w:lang w:bidi="he-IL"/>
        </w:rPr>
        <w:t xml:space="preserve"> </w:t>
      </w:r>
      <w:r>
        <w:rPr>
          <w:rFonts w:cs="Guttman Drogolin" w:hint="cs"/>
          <w:rtl/>
          <w:lang w:bidi="he-IL"/>
        </w:rPr>
        <w:t>ל</w:t>
      </w:r>
      <w:r w:rsidR="00B60485" w:rsidRPr="00882F11">
        <w:rPr>
          <w:rFonts w:cs="Guttman Drogolin" w:hint="cs"/>
          <w:rtl/>
          <w:lang w:bidi="he-IL"/>
        </w:rPr>
        <w:t>זה שפיר מהני קיוהא ג"כ לומר שאינו בטל. ולכן לשיטת הטור שפיר אפשר לומר ד</w:t>
      </w:r>
      <w:r w:rsidR="00BF430F" w:rsidRPr="00882F11">
        <w:rPr>
          <w:rFonts w:cs="Guttman Drogolin" w:hint="cs"/>
          <w:rtl/>
          <w:lang w:bidi="he-IL"/>
        </w:rPr>
        <w:t>טעם כעיקר</w:t>
      </w:r>
      <w:r w:rsidR="00B60485" w:rsidRPr="00882F11">
        <w:rPr>
          <w:rFonts w:cs="Guttman Drogolin" w:hint="cs"/>
          <w:rtl/>
          <w:lang w:bidi="he-IL"/>
        </w:rPr>
        <w:t xml:space="preserve"> מדאורייתא וכן נהפך ההיתר להיות איסור ומ"מ אין לוקין אכזית מכותח הבבלי.  </w:t>
      </w:r>
    </w:p>
    <w:p w:rsidR="00B60485" w:rsidRPr="00882F11" w:rsidRDefault="00B60485" w:rsidP="00B60485">
      <w:pPr>
        <w:bidi/>
        <w:jc w:val="both"/>
        <w:rPr>
          <w:rFonts w:cs="Guttman Drogolin"/>
          <w:rtl/>
          <w:lang w:bidi="he-IL"/>
        </w:rPr>
      </w:pPr>
      <w:r w:rsidRPr="00882F11">
        <w:rPr>
          <w:rFonts w:cs="Guttman Drogolin" w:hint="cs"/>
          <w:rtl/>
          <w:lang w:bidi="he-IL"/>
        </w:rPr>
        <w:t xml:space="preserve">ובהמשך נראה עוד כמה שיטות מדין </w:t>
      </w:r>
      <w:r w:rsidR="00BF430F" w:rsidRPr="00882F11">
        <w:rPr>
          <w:rFonts w:cs="Guttman Drogolin" w:hint="cs"/>
          <w:rtl/>
          <w:lang w:bidi="he-IL"/>
        </w:rPr>
        <w:t>טעם כעיקר</w:t>
      </w:r>
      <w:r w:rsidRPr="00882F11">
        <w:rPr>
          <w:rFonts w:cs="Guttman Drogolin" w:hint="cs"/>
          <w:rtl/>
          <w:lang w:bidi="he-IL"/>
        </w:rPr>
        <w:t xml:space="preserve"> והראיות של הראשונים מן הש"ס לכאן ולכאן.</w:t>
      </w:r>
    </w:p>
    <w:p w:rsidR="00B60485" w:rsidRPr="00882F11" w:rsidRDefault="00B60485" w:rsidP="0078079C">
      <w:pPr>
        <w:pStyle w:val="Heading1"/>
        <w:bidi/>
        <w:spacing w:before="0" w:line="360" w:lineRule="auto"/>
        <w:jc w:val="center"/>
        <w:rPr>
          <w:rFonts w:cs="Guttman Drogolin"/>
          <w:color w:val="auto"/>
          <w:sz w:val="24"/>
          <w:szCs w:val="24"/>
          <w:u w:val="single"/>
          <w:rtl/>
          <w:lang w:bidi="he-IL"/>
        </w:rPr>
      </w:pPr>
      <w:bookmarkStart w:id="25" w:name="_Toc496175290"/>
      <w:r w:rsidRPr="00882F11">
        <w:rPr>
          <w:rFonts w:cs="Guttman Drogolin" w:hint="cs"/>
          <w:color w:val="auto"/>
          <w:sz w:val="24"/>
          <w:szCs w:val="24"/>
          <w:u w:val="single"/>
          <w:rtl/>
          <w:lang w:bidi="he-IL"/>
        </w:rPr>
        <w:t>עוד כמה הערות בסוגיין</w:t>
      </w:r>
      <w:bookmarkEnd w:id="25"/>
    </w:p>
    <w:p w:rsidR="00916940" w:rsidRPr="00882F11" w:rsidRDefault="00DF48A6" w:rsidP="00DF48A6">
      <w:pPr>
        <w:bidi/>
        <w:jc w:val="both"/>
        <w:rPr>
          <w:rFonts w:cs="Guttman Drogolin"/>
          <w:rtl/>
          <w:lang w:bidi="he-IL"/>
        </w:rPr>
      </w:pPr>
      <w:r>
        <w:rPr>
          <w:rFonts w:cs="Guttman Drogolin"/>
          <w:rtl/>
          <w:lang w:bidi="he-IL"/>
        </w:rPr>
        <w:fldChar w:fldCharType="begin"/>
      </w:r>
      <w:r>
        <w:instrText xml:space="preserve"> XE "</w:instrText>
      </w:r>
      <w:r w:rsidRPr="00CA3382">
        <w:rPr>
          <w:rFonts w:hint="cs"/>
          <w:rtl/>
          <w:lang w:bidi="he-IL"/>
        </w:rPr>
        <w:instrText>ביטול יבש ביבש</w:instrText>
      </w:r>
      <w:r w:rsidRPr="00CA3382">
        <w:rPr>
          <w:rtl/>
        </w:rPr>
        <w:instrText>:</w:instrText>
      </w:r>
      <w:r w:rsidRPr="00CA3382">
        <w:rPr>
          <w:rFonts w:cs="Arial"/>
          <w:rtl/>
          <w:lang w:bidi="he-IL"/>
        </w:rPr>
        <w:instrText>אם קמח הוי לח בלח או יבש ביבש</w:instrText>
      </w:r>
      <w:r>
        <w:instrText xml:space="preserve">" </w:instrText>
      </w:r>
      <w:r>
        <w:rPr>
          <w:rFonts w:cs="Guttman Drogolin"/>
          <w:rtl/>
          <w:lang w:bidi="he-IL"/>
        </w:rPr>
        <w:fldChar w:fldCharType="end"/>
      </w:r>
      <w:r w:rsidR="00916940" w:rsidRPr="00882F11">
        <w:rPr>
          <w:rFonts w:cs="Guttman Drogolin" w:hint="cs"/>
          <w:rtl/>
          <w:lang w:bidi="he-IL"/>
        </w:rPr>
        <w:t xml:space="preserve">בתוס' שבסוף </w:t>
      </w:r>
      <w:r>
        <w:rPr>
          <w:rFonts w:cs="Guttman Drogolin" w:hint="cs"/>
          <w:rtl/>
          <w:lang w:bidi="he-IL"/>
        </w:rPr>
        <w:t xml:space="preserve">דף </w:t>
      </w:r>
      <w:r w:rsidR="00916940" w:rsidRPr="00882F11">
        <w:rPr>
          <w:rFonts w:cs="Guttman Drogolin" w:hint="cs"/>
          <w:rtl/>
          <w:lang w:bidi="he-IL"/>
        </w:rPr>
        <w:t>מ"ד ע"א מבואר שבקמח בקמח מין בשאינו מינו הרי זה אסור מדאורייתא. ולמד הש"ך ביו</w:t>
      </w:r>
      <w:r w:rsidR="00037E72" w:rsidRPr="00882F11">
        <w:rPr>
          <w:rFonts w:cs="Guttman Drogolin" w:hint="cs"/>
          <w:rtl/>
          <w:lang w:bidi="he-IL"/>
        </w:rPr>
        <w:t>"ד</w:t>
      </w:r>
      <w:r w:rsidR="00916940" w:rsidRPr="00882F11">
        <w:rPr>
          <w:rFonts w:cs="Guttman Drogolin" w:hint="cs"/>
          <w:rtl/>
          <w:lang w:bidi="he-IL"/>
        </w:rPr>
        <w:t xml:space="preserve"> סי' ק"ט ס"ק י' שאמנם ב</w:t>
      </w:r>
      <w:r>
        <w:rPr>
          <w:rFonts w:cs="Guttman Drogolin" w:hint="cs"/>
          <w:rtl/>
          <w:lang w:bidi="he-IL"/>
        </w:rPr>
        <w:t>ד</w:t>
      </w:r>
      <w:r w:rsidR="00916940" w:rsidRPr="00882F11">
        <w:rPr>
          <w:rFonts w:cs="Guttman Drogolin" w:hint="cs"/>
          <w:rtl/>
          <w:lang w:bidi="he-IL"/>
        </w:rPr>
        <w:t>רך כלל בתערובת יבש ביבש מין בשאינו מינו בטל מדאורייתא (רק החמירו מדרבנן) מ"מ קמח בקמח יש לו דין לח בלח. והחוו"ד שם חלק עליו, שאין לתערובת קמח בקמח דין תערובת לח בלח רק דין של תערובת יבש ביבש. ומ"מ אם מרגיש טעם א' באידך אפי</w:t>
      </w:r>
      <w:r>
        <w:rPr>
          <w:rFonts w:cs="Guttman Drogolin" w:hint="cs"/>
          <w:rtl/>
          <w:lang w:bidi="he-IL"/>
        </w:rPr>
        <w:t>ל</w:t>
      </w:r>
      <w:r w:rsidR="00916940" w:rsidRPr="00882F11">
        <w:rPr>
          <w:rFonts w:cs="Guttman Drogolin" w:hint="cs"/>
          <w:rtl/>
          <w:lang w:bidi="he-IL"/>
        </w:rPr>
        <w:t xml:space="preserve">ו בתערובת יבש ביבש אינו בטל מדאורייתא. ובעזהי"ת </w:t>
      </w:r>
      <w:r>
        <w:rPr>
          <w:rFonts w:cs="Guttman Drogolin" w:hint="cs"/>
          <w:rtl/>
          <w:lang w:bidi="he-IL"/>
        </w:rPr>
        <w:t>כשנלמד הסוגיא של ביטול יבש ביבש</w:t>
      </w:r>
      <w:r w:rsidR="00916940" w:rsidRPr="00882F11">
        <w:rPr>
          <w:rFonts w:cs="Guttman Drogolin" w:hint="cs"/>
          <w:rtl/>
          <w:lang w:bidi="he-IL"/>
        </w:rPr>
        <w:t xml:space="preserve"> נעיין בזה יותר</w:t>
      </w:r>
      <w:r w:rsidR="00281004" w:rsidRPr="00882F11">
        <w:rPr>
          <w:rStyle w:val="FootnoteReference"/>
          <w:rFonts w:cs="Guttman Drogolin"/>
          <w:rtl/>
          <w:lang w:bidi="he-IL"/>
        </w:rPr>
        <w:footnoteReference w:id="37"/>
      </w:r>
      <w:r w:rsidR="00916940" w:rsidRPr="00882F11">
        <w:rPr>
          <w:rFonts w:cs="Guttman Drogolin" w:hint="cs"/>
          <w:rtl/>
          <w:lang w:bidi="he-IL"/>
        </w:rPr>
        <w:t xml:space="preserve">.   </w:t>
      </w:r>
    </w:p>
    <w:p w:rsidR="00B60485" w:rsidRPr="00882F11" w:rsidRDefault="00DF48A6" w:rsidP="00DF48A6">
      <w:pPr>
        <w:bidi/>
        <w:jc w:val="both"/>
        <w:rPr>
          <w:rFonts w:cs="Guttman Drogolin"/>
          <w:rtl/>
          <w:lang w:bidi="he-IL"/>
        </w:rPr>
      </w:pPr>
      <w:r>
        <w:rPr>
          <w:rFonts w:cs="Guttman Drogolin"/>
          <w:rtl/>
          <w:lang w:bidi="he-IL"/>
        </w:rPr>
        <w:fldChar w:fldCharType="begin"/>
      </w:r>
      <w:r>
        <w:instrText xml:space="preserve"> XE "</w:instrText>
      </w:r>
      <w:r w:rsidRPr="002778A0">
        <w:rPr>
          <w:rFonts w:hint="cs"/>
          <w:rtl/>
          <w:lang w:bidi="he-IL"/>
        </w:rPr>
        <w:instrText>ב' כתובים הבאים כא'</w:instrText>
      </w:r>
      <w:r w:rsidRPr="002778A0">
        <w:rPr>
          <w:rtl/>
        </w:rPr>
        <w:instrText>:</w:instrText>
      </w:r>
      <w:r w:rsidRPr="002778A0">
        <w:rPr>
          <w:rFonts w:hint="cs"/>
          <w:rtl/>
          <w:lang w:bidi="he-IL"/>
        </w:rPr>
        <w:instrText>אם מלמדים, והטעם</w:instrText>
      </w:r>
      <w:r>
        <w:instrText xml:space="preserve">" </w:instrText>
      </w:r>
      <w:r>
        <w:rPr>
          <w:rFonts w:cs="Guttman Drogolin"/>
          <w:rtl/>
          <w:lang w:bidi="he-IL"/>
        </w:rPr>
        <w:fldChar w:fldCharType="end"/>
      </w:r>
      <w:r w:rsidR="00B60485" w:rsidRPr="00882F11">
        <w:rPr>
          <w:rFonts w:cs="Guttman Drogolin" w:hint="cs"/>
          <w:rtl/>
          <w:lang w:bidi="he-IL"/>
        </w:rPr>
        <w:t>כל דברי הגמ' כאן הם כמ"ד ב' כת</w:t>
      </w:r>
      <w:r>
        <w:rPr>
          <w:rFonts w:cs="Guttman Drogolin" w:hint="cs"/>
          <w:rtl/>
          <w:lang w:bidi="he-IL"/>
        </w:rPr>
        <w:t>ו</w:t>
      </w:r>
      <w:r w:rsidR="00B60485" w:rsidRPr="00882F11">
        <w:rPr>
          <w:rFonts w:cs="Guttman Drogolin" w:hint="cs"/>
          <w:rtl/>
          <w:lang w:bidi="he-IL"/>
        </w:rPr>
        <w:t>בין הבאין כא' אין מלמדין. ולכן עדיין נשאר לנו שאלה למ"ד ב' כתובים הבאים כא' מלמדים איך יפרנס הסוגיא שלנו. וצ"ע</w:t>
      </w:r>
      <w:r w:rsidR="00FB0FC0" w:rsidRPr="00882F11">
        <w:rPr>
          <w:rStyle w:val="FootnoteReference"/>
          <w:rFonts w:cs="Guttman Drogolin"/>
          <w:rtl/>
          <w:lang w:bidi="he-IL"/>
        </w:rPr>
        <w:footnoteReference w:id="38"/>
      </w:r>
      <w:r w:rsidR="00B60485" w:rsidRPr="00882F11">
        <w:rPr>
          <w:rFonts w:cs="Guttman Drogolin" w:hint="cs"/>
          <w:rtl/>
          <w:lang w:bidi="he-IL"/>
        </w:rPr>
        <w:t>. ובעיקר השיטה דב' כתבוים הבאים כא' מלמדים צ"ע, שהרי רש"י כאן ביאר המ"ד דב' כתובים הבאים כא' מלמדים שהטעם בזה משום שאם כוונת התורה ללמד לכה"ת למה כתב רחמנא את שניהם, לילף א' מאידך. וא"כ לכאורה צ"ע מה יאמר המ"ד מלמדים כלפי סברא זו, דלמה באמת כתב את שניהם, ולמה כשכבר י</w:t>
      </w:r>
      <w:r w:rsidR="00E431A4" w:rsidRPr="00882F11">
        <w:rPr>
          <w:rFonts w:cs="Guttman Drogolin" w:hint="cs"/>
          <w:rtl/>
          <w:lang w:bidi="he-IL"/>
        </w:rPr>
        <w:t>ש</w:t>
      </w:r>
      <w:r w:rsidR="00B60485" w:rsidRPr="00882F11">
        <w:rPr>
          <w:rFonts w:cs="Guttman Drogolin" w:hint="cs"/>
          <w:rtl/>
          <w:lang w:bidi="he-IL"/>
        </w:rPr>
        <w:t xml:space="preserve"> ג' כתובים אין מלמדים לדעתו. ועל דרך הפשט </w:t>
      </w:r>
      <w:r w:rsidR="00B60485" w:rsidRPr="00882F11">
        <w:rPr>
          <w:rFonts w:cs="Guttman Drogolin" w:hint="cs"/>
          <w:rtl/>
          <w:lang w:bidi="he-IL"/>
        </w:rPr>
        <w:lastRenderedPageBreak/>
        <w:t>לכאורה י"ל דהמ"ד מלמדים סבר דיתכן שיש סברא למה התורה כתבה את שניהם. ויל"ע בזה.</w:t>
      </w:r>
    </w:p>
    <w:p w:rsidR="00A352AD" w:rsidRPr="00882F11" w:rsidRDefault="00DF48A6" w:rsidP="00DF48A6">
      <w:pPr>
        <w:bidi/>
        <w:jc w:val="both"/>
        <w:rPr>
          <w:rFonts w:cs="Guttman Drogolin"/>
          <w:rtl/>
          <w:lang w:bidi="he-IL"/>
        </w:rPr>
      </w:pPr>
      <w:r>
        <w:rPr>
          <w:rFonts w:cs="Guttman Drogolin"/>
          <w:rtl/>
          <w:lang w:bidi="he-IL"/>
        </w:rPr>
        <w:fldChar w:fldCharType="begin"/>
      </w:r>
      <w:r>
        <w:instrText xml:space="preserve"> XE "</w:instrText>
      </w:r>
      <w:r w:rsidRPr="005C2D77">
        <w:rPr>
          <w:rFonts w:hint="cs"/>
          <w:rtl/>
          <w:lang w:bidi="he-IL"/>
        </w:rPr>
        <w:instrText>ברכות הנהנין</w:instrText>
      </w:r>
      <w:r w:rsidRPr="005C2D77">
        <w:rPr>
          <w:rtl/>
        </w:rPr>
        <w:instrText>:</w:instrText>
      </w:r>
      <w:r w:rsidRPr="005C2D77">
        <w:rPr>
          <w:rFonts w:hint="cs"/>
          <w:rtl/>
          <w:lang w:bidi="he-IL"/>
        </w:rPr>
        <w:instrText>שיעור זמן השתי' בשתי' חמה</w:instrText>
      </w:r>
      <w:r>
        <w:instrText xml:space="preserve">" </w:instrText>
      </w:r>
      <w:r>
        <w:rPr>
          <w:rFonts w:cs="Guttman Drogolin"/>
          <w:rtl/>
          <w:lang w:bidi="he-IL"/>
        </w:rPr>
        <w:fldChar w:fldCharType="end"/>
      </w:r>
      <w:r w:rsidR="00B60485" w:rsidRPr="00882F11">
        <w:rPr>
          <w:rFonts w:cs="Guttman Drogolin" w:hint="cs"/>
          <w:rtl/>
          <w:lang w:bidi="he-IL"/>
        </w:rPr>
        <w:t xml:space="preserve">עוד ע' </w:t>
      </w:r>
      <w:r w:rsidR="00A352AD" w:rsidRPr="00882F11">
        <w:rPr>
          <w:rFonts w:cs="Guttman Drogolin" w:hint="cs"/>
          <w:rtl/>
          <w:lang w:bidi="he-IL"/>
        </w:rPr>
        <w:t xml:space="preserve">בקהלת יעקב (לבעל המשכנ"י) שהעיר מסוגיא שלנו דהנה המ"ב ברסי' ר"י הביא מחלוקת הפוסקים במי ששותה תה או קפה חם ואינו שותה את הכל בכדי שתיית רביעית או </w:t>
      </w:r>
      <w:r w:rsidR="00BF430F" w:rsidRPr="00882F11">
        <w:rPr>
          <w:rFonts w:cs="Guttman Drogolin" w:hint="cs"/>
          <w:rtl/>
          <w:lang w:bidi="he-IL"/>
        </w:rPr>
        <w:t>בכדי אכילת פרס</w:t>
      </w:r>
      <w:r w:rsidR="00A352AD" w:rsidRPr="00882F11">
        <w:rPr>
          <w:rFonts w:cs="Guttman Drogolin" w:hint="cs"/>
          <w:rtl/>
          <w:lang w:bidi="he-IL"/>
        </w:rPr>
        <w:t xml:space="preserve"> (שיש מחלוקת מהו השיעור בשתיית משקין) כיון שהוא משקה חם, הא</w:t>
      </w:r>
      <w:r>
        <w:rPr>
          <w:rFonts w:cs="Guttman Drogolin" w:hint="cs"/>
          <w:rtl/>
          <w:lang w:bidi="he-IL"/>
        </w:rPr>
        <w:t>ם</w:t>
      </w:r>
      <w:r w:rsidR="00A352AD" w:rsidRPr="00882F11">
        <w:rPr>
          <w:rFonts w:cs="Guttman Drogolin" w:hint="cs"/>
          <w:rtl/>
          <w:lang w:bidi="he-IL"/>
        </w:rPr>
        <w:t xml:space="preserve"> מברך עליהם ברכה אחרונה כיון שזהו דרך שתייתן ולכן יש זמן יותר גדול. והוכיח הקהלת יעקב מן הסוגיא שאינו מברך, שהרי בכותח הבבלי מבואר שאינו חייב באכילת כזית מן החמץ כיון שאינו יכול לאכלו </w:t>
      </w:r>
      <w:r w:rsidR="00BF430F" w:rsidRPr="00882F11">
        <w:rPr>
          <w:rFonts w:cs="Guttman Drogolin" w:hint="cs"/>
          <w:rtl/>
          <w:lang w:bidi="he-IL"/>
        </w:rPr>
        <w:t>בכדי אכילת פרס</w:t>
      </w:r>
      <w:r w:rsidR="00A352AD" w:rsidRPr="00882F11">
        <w:rPr>
          <w:rFonts w:cs="Guttman Drogolin" w:hint="cs"/>
          <w:rtl/>
          <w:lang w:bidi="he-IL"/>
        </w:rPr>
        <w:t xml:space="preserve">, אע"ג שכן הוא דרך אכילתו והאוכלו </w:t>
      </w:r>
      <w:r w:rsidR="00BF430F" w:rsidRPr="00882F11">
        <w:rPr>
          <w:rFonts w:cs="Guttman Drogolin" w:hint="cs"/>
          <w:rtl/>
          <w:lang w:bidi="he-IL"/>
        </w:rPr>
        <w:t>בכדי אכילת פרס</w:t>
      </w:r>
      <w:r w:rsidR="00A352AD" w:rsidRPr="00882F11">
        <w:rPr>
          <w:rFonts w:cs="Guttman Drogolin" w:hint="cs"/>
          <w:rtl/>
          <w:lang w:bidi="he-IL"/>
        </w:rPr>
        <w:t xml:space="preserve"> הוי שלא כדרך אכילתו ופטור. וע"כ שהוא שיעור קבוע ואם לא אכל </w:t>
      </w:r>
      <w:r w:rsidR="00BF430F" w:rsidRPr="00882F11">
        <w:rPr>
          <w:rFonts w:cs="Guttman Drogolin" w:hint="cs"/>
          <w:rtl/>
          <w:lang w:bidi="he-IL"/>
        </w:rPr>
        <w:t>בכדי אכילת פרס</w:t>
      </w:r>
      <w:r w:rsidR="00A352AD" w:rsidRPr="00882F11">
        <w:rPr>
          <w:rFonts w:cs="Guttman Drogolin" w:hint="cs"/>
          <w:rtl/>
          <w:lang w:bidi="he-IL"/>
        </w:rPr>
        <w:t xml:space="preserve"> לא עבר, וכן אינו חייב לברך, אע"ג שאין הדרך לאכול מאכל כזו </w:t>
      </w:r>
      <w:r w:rsidR="00BF430F" w:rsidRPr="00882F11">
        <w:rPr>
          <w:rFonts w:cs="Guttman Drogolin" w:hint="cs"/>
          <w:rtl/>
          <w:lang w:bidi="he-IL"/>
        </w:rPr>
        <w:t>בכדי אכילת פרס</w:t>
      </w:r>
      <w:r w:rsidR="00A352AD" w:rsidRPr="00882F11">
        <w:rPr>
          <w:rFonts w:cs="Guttman Drogolin" w:hint="cs"/>
          <w:rtl/>
          <w:lang w:bidi="he-IL"/>
        </w:rPr>
        <w:t xml:space="preserve">. ולולא דבריו לכאורה הי' אפשר לחלק, דבשלמא בכותח הבבלי הדרך הוא באמת לאכול כזית משניהם ביחד </w:t>
      </w:r>
      <w:r w:rsidR="00BF430F" w:rsidRPr="00882F11">
        <w:rPr>
          <w:rFonts w:cs="Guttman Drogolin" w:hint="cs"/>
          <w:rtl/>
          <w:lang w:bidi="he-IL"/>
        </w:rPr>
        <w:t>בכדי אכילת פרס</w:t>
      </w:r>
      <w:r w:rsidR="00A352AD" w:rsidRPr="00882F11">
        <w:rPr>
          <w:rFonts w:cs="Guttman Drogolin" w:hint="cs"/>
          <w:rtl/>
          <w:lang w:bidi="he-IL"/>
        </w:rPr>
        <w:t>, ולכן לא אזלינן אלא בתר שיעור זה, ולא אזלינן בתר החלק שהוא אסור באכילה</w:t>
      </w:r>
      <w:r>
        <w:rPr>
          <w:rFonts w:cs="Guttman Drogolin" w:hint="cs"/>
          <w:rtl/>
          <w:lang w:bidi="he-IL"/>
        </w:rPr>
        <w:t xml:space="preserve"> בפני עצמו</w:t>
      </w:r>
      <w:r w:rsidR="00A352AD" w:rsidRPr="00882F11">
        <w:rPr>
          <w:rFonts w:cs="Guttman Drogolin" w:hint="cs"/>
          <w:rtl/>
          <w:lang w:bidi="he-IL"/>
        </w:rPr>
        <w:t xml:space="preserve">. אבל בתה אין הדרך לשתות את עיקר המשקה בכדי שתיית רביעית, ולכן עדיין אפשר לומר </w:t>
      </w:r>
      <w:r>
        <w:rPr>
          <w:rFonts w:cs="Guttman Drogolin" w:hint="cs"/>
          <w:rtl/>
          <w:lang w:bidi="he-IL"/>
        </w:rPr>
        <w:t>שעובר אפילו אחרי שיעור כדי שתיית רביעית,</w:t>
      </w:r>
      <w:r w:rsidR="00A352AD" w:rsidRPr="00882F11">
        <w:rPr>
          <w:rFonts w:cs="Guttman Drogolin" w:hint="cs"/>
          <w:rtl/>
          <w:lang w:bidi="he-IL"/>
        </w:rPr>
        <w:t xml:space="preserve"> וכן חייב בברכה אחרונה ובלבד שישתנו כדרכו.</w:t>
      </w:r>
    </w:p>
    <w:p w:rsidR="000F358F" w:rsidRPr="00882F11" w:rsidRDefault="00DF48A6" w:rsidP="00DF48A6">
      <w:pPr>
        <w:bidi/>
        <w:jc w:val="both"/>
        <w:rPr>
          <w:rFonts w:cs="Guttman Drogolin"/>
          <w:rtl/>
          <w:lang w:bidi="he-IL"/>
        </w:rPr>
      </w:pPr>
      <w:r>
        <w:rPr>
          <w:rFonts w:cs="Guttman Drogolin"/>
          <w:rtl/>
          <w:lang w:bidi="he-IL"/>
        </w:rPr>
        <w:fldChar w:fldCharType="begin"/>
      </w:r>
      <w:r>
        <w:instrText xml:space="preserve"> XE "</w:instrText>
      </w:r>
      <w:r w:rsidRPr="005C2D77">
        <w:rPr>
          <w:rFonts w:hint="cs"/>
          <w:rtl/>
          <w:lang w:bidi="he-IL"/>
        </w:rPr>
        <w:instrText>ברכות הנהנין</w:instrText>
      </w:r>
      <w:r w:rsidRPr="005C2D77">
        <w:rPr>
          <w:rtl/>
        </w:rPr>
        <w:instrText>:</w:instrText>
      </w:r>
      <w:r>
        <w:rPr>
          <w:rFonts w:hint="cs"/>
          <w:rtl/>
          <w:lang w:bidi="he-IL"/>
        </w:rPr>
        <w:instrText>אכל במהירות יותר מן הרגיל אם חייב לברך</w:instrText>
      </w:r>
      <w:r>
        <w:instrText xml:space="preserve">" </w:instrText>
      </w:r>
      <w:r>
        <w:rPr>
          <w:rFonts w:cs="Guttman Drogolin"/>
          <w:rtl/>
          <w:lang w:bidi="he-IL"/>
        </w:rPr>
        <w:fldChar w:fldCharType="end"/>
      </w:r>
      <w:r w:rsidR="00A352AD" w:rsidRPr="00882F11">
        <w:rPr>
          <w:rFonts w:cs="Guttman Drogolin" w:hint="cs"/>
          <w:rtl/>
          <w:lang w:bidi="he-IL"/>
        </w:rPr>
        <w:t>והמ"ב כת</w:t>
      </w:r>
      <w:r>
        <w:rPr>
          <w:rFonts w:cs="Guttman Drogolin" w:hint="cs"/>
          <w:rtl/>
          <w:lang w:bidi="he-IL"/>
        </w:rPr>
        <w:t>ב שם שכדי שלא ליכנס לספק ברכות ו</w:t>
      </w:r>
      <w:r w:rsidR="00A352AD" w:rsidRPr="00882F11">
        <w:rPr>
          <w:rFonts w:cs="Guttman Drogolin" w:hint="cs"/>
          <w:rtl/>
          <w:lang w:bidi="he-IL"/>
        </w:rPr>
        <w:t xml:space="preserve">עדיף להשאיר רביעית לבסוף שאינו כ"כ </w:t>
      </w:r>
      <w:r>
        <w:rPr>
          <w:rFonts w:cs="Guttman Drogolin" w:hint="cs"/>
          <w:rtl/>
          <w:lang w:bidi="he-IL"/>
        </w:rPr>
        <w:t xml:space="preserve">חם </w:t>
      </w:r>
      <w:r w:rsidR="00A352AD" w:rsidRPr="00882F11">
        <w:rPr>
          <w:rFonts w:cs="Guttman Drogolin" w:hint="cs"/>
          <w:rtl/>
          <w:lang w:bidi="he-IL"/>
        </w:rPr>
        <w:t xml:space="preserve">ויכול לשתותו בתוך הזמן ולברך. וע' בשעה"צ שמקור דברי המ"ב מבאר היטב בסי' ר"ד סע' ז', ושם הביא מברכ"י להעיר שמסוגיין לכאורה י"ל דלא מהני עצה זו, דכיון שאין הדרך לשתות אותו הכי ג"כ לא יברך, וכמו שאמרו בכותח הבבלי שאינו עובר אפילו אם אכלו </w:t>
      </w:r>
      <w:r w:rsidR="00BF430F" w:rsidRPr="00882F11">
        <w:rPr>
          <w:rFonts w:cs="Guttman Drogolin" w:hint="cs"/>
          <w:rtl/>
          <w:lang w:bidi="he-IL"/>
        </w:rPr>
        <w:t>בכדי אכילת פרס</w:t>
      </w:r>
      <w:r w:rsidR="00A352AD" w:rsidRPr="00882F11">
        <w:rPr>
          <w:rFonts w:cs="Guttman Drogolin" w:hint="cs"/>
          <w:rtl/>
          <w:lang w:bidi="he-IL"/>
        </w:rPr>
        <w:t xml:space="preserve"> כיון שאין זה דרך אכילתו</w:t>
      </w:r>
      <w:r w:rsidR="004A5060" w:rsidRPr="00882F11">
        <w:rPr>
          <w:rStyle w:val="FootnoteReference"/>
          <w:rFonts w:cs="Guttman Drogolin"/>
          <w:rtl/>
          <w:lang w:bidi="he-IL"/>
        </w:rPr>
        <w:footnoteReference w:id="39"/>
      </w:r>
      <w:r w:rsidR="00A352AD" w:rsidRPr="00882F11">
        <w:rPr>
          <w:rFonts w:cs="Guttman Drogolin" w:hint="cs"/>
          <w:rtl/>
          <w:lang w:bidi="he-IL"/>
        </w:rPr>
        <w:t>. ולולא דבריו לכאורה י"ל שאין שתיית קפה אחרי שהצטנן כ"כ שלא כדרך שתייתו שאינו חייב בברכה אחרונה. וצ"ע.</w:t>
      </w:r>
    </w:p>
    <w:p w:rsidR="0018757E" w:rsidRPr="00882F11" w:rsidRDefault="0018757E" w:rsidP="0018757E">
      <w:pPr>
        <w:tabs>
          <w:tab w:val="left" w:pos="1183"/>
        </w:tabs>
        <w:bidi/>
        <w:jc w:val="both"/>
        <w:rPr>
          <w:rFonts w:cs="Guttman Drogolin"/>
          <w:b/>
          <w:bCs/>
          <w:sz w:val="28"/>
          <w:szCs w:val="28"/>
          <w:rtl/>
          <w:lang w:bidi="he-IL"/>
        </w:rPr>
      </w:pPr>
      <w:r w:rsidRPr="00882F11">
        <w:rPr>
          <w:rFonts w:cs="Guttman Drogolin" w:hint="cs"/>
          <w:b/>
          <w:bCs/>
          <w:sz w:val="28"/>
          <w:szCs w:val="28"/>
          <w:rtl/>
          <w:lang w:bidi="he-IL"/>
        </w:rPr>
        <w:lastRenderedPageBreak/>
        <w:t xml:space="preserve">דברים שנתחדשו בחזרה </w:t>
      </w:r>
    </w:p>
    <w:p w:rsidR="0018757E" w:rsidRPr="00882F11" w:rsidRDefault="0018757E" w:rsidP="00497FC3">
      <w:pPr>
        <w:keepNext/>
        <w:tabs>
          <w:tab w:val="left" w:pos="1183"/>
        </w:tabs>
        <w:bidi/>
        <w:jc w:val="both"/>
        <w:rPr>
          <w:rFonts w:cs="Guttman Drogolin"/>
          <w:b/>
          <w:bCs/>
          <w:rtl/>
          <w:lang w:bidi="he-IL"/>
        </w:rPr>
      </w:pPr>
      <w:r w:rsidRPr="00882F11">
        <w:rPr>
          <w:rFonts w:cs="Guttman Drogolin" w:hint="cs"/>
          <w:b/>
          <w:bCs/>
          <w:rtl/>
          <w:lang w:bidi="he-IL"/>
        </w:rPr>
        <w:t xml:space="preserve">מ"ג ע"ב </w:t>
      </w:r>
    </w:p>
    <w:p w:rsidR="0018757E" w:rsidRPr="00882F11" w:rsidRDefault="0018757E" w:rsidP="0018757E">
      <w:pPr>
        <w:tabs>
          <w:tab w:val="left" w:pos="1183"/>
        </w:tabs>
        <w:bidi/>
        <w:jc w:val="both"/>
        <w:rPr>
          <w:rFonts w:cs="Guttman Drogolin"/>
          <w:rtl/>
          <w:lang w:bidi="he-IL"/>
        </w:rPr>
      </w:pPr>
      <w:r w:rsidRPr="00882F11">
        <w:rPr>
          <w:rFonts w:cs="Guttman Drogolin" w:hint="cs"/>
          <w:rtl/>
          <w:lang w:bidi="he-IL"/>
        </w:rPr>
        <w:t xml:space="preserve">תוד"ה כמאן: "דאמשהו דאיסור לחודיה מיחייב" </w:t>
      </w:r>
      <w:r w:rsidRPr="00882F11">
        <w:rPr>
          <w:rFonts w:cs="Guttman Drogolin"/>
          <w:rtl/>
          <w:lang w:bidi="he-IL"/>
        </w:rPr>
        <w:t>–</w:t>
      </w:r>
      <w:r w:rsidRPr="00882F11">
        <w:rPr>
          <w:rFonts w:cs="Guttman Drogolin" w:hint="cs"/>
          <w:rtl/>
          <w:lang w:bidi="he-IL"/>
        </w:rPr>
        <w:t xml:space="preserve"> לכאורה הי' אפשר לדחות שאינו חייב אהקטרת משהו אא"כ הוא בפני עצמו, אבל ע"י תערובת לא. וכ"כ התוס' במס' ע"ז דף ס"ח ע"א בדעת ר"ש שמחייב מלקות אכלשהו שאין זה אלא בפני עצמו אבל ע"י תערובת בעינן הכלל של היתר מצטרף לאיסור. </w:t>
      </w:r>
      <w:r w:rsidR="00C052CA" w:rsidRPr="00882F11">
        <w:rPr>
          <w:rFonts w:cs="Guttman Drogolin" w:hint="cs"/>
          <w:rtl/>
          <w:lang w:bidi="he-IL"/>
        </w:rPr>
        <w:t>שו"</w:t>
      </w:r>
      <w:r w:rsidR="00E7798F" w:rsidRPr="00882F11">
        <w:rPr>
          <w:rFonts w:cs="Guttman Drogolin" w:hint="cs"/>
          <w:rtl/>
          <w:lang w:bidi="he-IL"/>
        </w:rPr>
        <w:t>ר הערה זו בתוס'</w:t>
      </w:r>
      <w:r w:rsidR="00C052CA" w:rsidRPr="00882F11">
        <w:rPr>
          <w:rFonts w:cs="Guttman Drogolin" w:hint="cs"/>
          <w:rtl/>
          <w:lang w:bidi="he-IL"/>
        </w:rPr>
        <w:t xml:space="preserve"> במס' נזיר דף ל"ח ע"א.</w:t>
      </w:r>
    </w:p>
    <w:p w:rsidR="0018757E" w:rsidRPr="00882F11" w:rsidRDefault="0018757E" w:rsidP="0018757E">
      <w:pPr>
        <w:tabs>
          <w:tab w:val="left" w:pos="1183"/>
        </w:tabs>
        <w:bidi/>
        <w:jc w:val="both"/>
        <w:rPr>
          <w:rFonts w:cs="Guttman Drogolin"/>
          <w:rtl/>
          <w:lang w:bidi="he-IL"/>
        </w:rPr>
      </w:pPr>
      <w:r w:rsidRPr="00882F11">
        <w:rPr>
          <w:rFonts w:cs="Guttman Drogolin" w:hint="cs"/>
          <w:rtl/>
          <w:lang w:bidi="he-IL"/>
        </w:rPr>
        <w:t xml:space="preserve">שם "עד שיבלע בבשרה" </w:t>
      </w:r>
      <w:r w:rsidRPr="00882F11">
        <w:rPr>
          <w:rFonts w:cs="Guttman Drogolin"/>
          <w:rtl/>
          <w:lang w:bidi="he-IL"/>
        </w:rPr>
        <w:t>–</w:t>
      </w:r>
      <w:r w:rsidRPr="00882F11">
        <w:rPr>
          <w:rFonts w:cs="Guttman Drogolin" w:hint="cs"/>
          <w:rtl/>
          <w:lang w:bidi="he-IL"/>
        </w:rPr>
        <w:t xml:space="preserve"> ע' מש"כ בגמ' שם.</w:t>
      </w:r>
    </w:p>
    <w:p w:rsidR="0018757E" w:rsidRPr="00882F11" w:rsidRDefault="0018757E" w:rsidP="00497FC3">
      <w:pPr>
        <w:keepNext/>
        <w:tabs>
          <w:tab w:val="left" w:pos="1183"/>
        </w:tabs>
        <w:bidi/>
        <w:jc w:val="both"/>
        <w:rPr>
          <w:rFonts w:cs="Guttman Drogolin"/>
          <w:b/>
          <w:bCs/>
          <w:rtl/>
          <w:lang w:bidi="he-IL"/>
        </w:rPr>
      </w:pPr>
      <w:r w:rsidRPr="00882F11">
        <w:rPr>
          <w:rFonts w:cs="Guttman Drogolin" w:hint="cs"/>
          <w:b/>
          <w:bCs/>
          <w:rtl/>
          <w:lang w:bidi="he-IL"/>
        </w:rPr>
        <w:t>מ"ד ע"א</w:t>
      </w:r>
    </w:p>
    <w:p w:rsidR="0018757E" w:rsidRPr="00882F11" w:rsidRDefault="0018757E" w:rsidP="00DF48A6">
      <w:pPr>
        <w:tabs>
          <w:tab w:val="left" w:pos="1183"/>
        </w:tabs>
        <w:bidi/>
        <w:jc w:val="both"/>
        <w:rPr>
          <w:rFonts w:cs="Guttman Drogolin"/>
          <w:rtl/>
          <w:lang w:bidi="he-IL"/>
        </w:rPr>
      </w:pPr>
      <w:r w:rsidRPr="00882F11">
        <w:rPr>
          <w:rFonts w:cs="Guttman Drogolin" w:hint="cs"/>
          <w:rtl/>
          <w:lang w:bidi="he-IL"/>
        </w:rPr>
        <w:t xml:space="preserve">וכזית בכדי אכילת פרס דאורייתא וכו' אמאי פליגי רבנן עליה דר"א בכותח הבבלי </w:t>
      </w:r>
      <w:r w:rsidRPr="00882F11">
        <w:rPr>
          <w:rFonts w:cs="Guttman Drogolin"/>
          <w:rtl/>
          <w:lang w:bidi="he-IL"/>
        </w:rPr>
        <w:t>–</w:t>
      </w:r>
      <w:r w:rsidRPr="00882F11">
        <w:rPr>
          <w:rFonts w:cs="Guttman Drogolin" w:hint="cs"/>
          <w:rtl/>
          <w:lang w:bidi="he-IL"/>
        </w:rPr>
        <w:t xml:space="preserve"> הנה כמה ראשונים </w:t>
      </w:r>
      <w:r w:rsidR="003F1B07" w:rsidRPr="00882F11">
        <w:rPr>
          <w:rFonts w:cs="Guttman Drogolin" w:hint="cs"/>
          <w:rtl/>
          <w:lang w:bidi="he-IL"/>
        </w:rPr>
        <w:t xml:space="preserve">(ע' כגון תוס' במס' נזיר על אתר) </w:t>
      </w:r>
      <w:r w:rsidRPr="00882F11">
        <w:rPr>
          <w:rFonts w:cs="Guttman Drogolin" w:hint="cs"/>
          <w:rtl/>
          <w:lang w:bidi="he-IL"/>
        </w:rPr>
        <w:t>ביארו הקושיא משום דהכא הוי ע"י תערובת. ומפירש"י לא משמע הכי. וצ"ע דהא מתני' במס' כריתות היא</w:t>
      </w:r>
      <w:r w:rsidR="00394AD7" w:rsidRPr="00882F11">
        <w:rPr>
          <w:rFonts w:cs="Guttman Drogolin" w:hint="cs"/>
          <w:rtl/>
          <w:lang w:bidi="he-IL"/>
        </w:rPr>
        <w:t>,</w:t>
      </w:r>
      <w:r w:rsidRPr="00882F11">
        <w:rPr>
          <w:rFonts w:cs="Guttman Drogolin" w:hint="cs"/>
          <w:rtl/>
          <w:lang w:bidi="he-IL"/>
        </w:rPr>
        <w:t xml:space="preserve"> ורש"י עצמו כתב כן בדיבור הקודם. ולכאור</w:t>
      </w:r>
      <w:r w:rsidR="00394AD7" w:rsidRPr="00882F11">
        <w:rPr>
          <w:rFonts w:cs="Guttman Drogolin" w:hint="cs"/>
          <w:rtl/>
          <w:lang w:bidi="he-IL"/>
        </w:rPr>
        <w:t xml:space="preserve">ה י"ל לפירש"י שכוונת אביי לומר </w:t>
      </w:r>
      <w:r w:rsidRPr="00882F11">
        <w:rPr>
          <w:rFonts w:cs="Guttman Drogolin" w:hint="cs"/>
          <w:rtl/>
          <w:lang w:bidi="he-IL"/>
        </w:rPr>
        <w:t>בדרך תמיה, כלומר עד כמה שאתה ע"כ מודה דכזי</w:t>
      </w:r>
      <w:r w:rsidR="00394AD7" w:rsidRPr="00882F11">
        <w:rPr>
          <w:rFonts w:cs="Guttman Drogolin" w:hint="cs"/>
          <w:rtl/>
          <w:lang w:bidi="he-IL"/>
        </w:rPr>
        <w:t>ת</w:t>
      </w:r>
      <w:r w:rsidRPr="00882F11">
        <w:rPr>
          <w:rFonts w:cs="Guttman Drogolin" w:hint="cs"/>
          <w:rtl/>
          <w:lang w:bidi="he-IL"/>
        </w:rPr>
        <w:t xml:space="preserve"> בכא"פ דאורייתא, דהא מתני' במס' כריתות היא, אמאי פליגי רבנן עלי' דר"א בכותח הבבלי. ובאמת לאלו המפרשים דהוי ס"ד אמיתי שאולי ע"י תערובת שאני מהו הקושיא דאמאי פליגי עלי' וכו', דהא כמו דס"ד שכה"ג לא אמרינן כזית בכא"פ דאורייתא, אולי באמת הכי סברי רבנן דכותח הבבלי. וכי תימא דהא ר"א סבר שהחיוב משום היתר מצטרף לאיסור, וע"כ לדידי' אינו דאורייתא, וקשה לומר דפליגי בתרתי, אולי י"ל דלעולם סבר ר"א שאין המל"א, ונחלקו אם כזית בכא"פ ע"י תערובת דאורייתא. וצע"ק.</w:t>
      </w:r>
      <w:r w:rsidR="00485AA2" w:rsidRPr="00882F11">
        <w:rPr>
          <w:rFonts w:cs="Guttman Drogolin" w:hint="cs"/>
          <w:rtl/>
          <w:lang w:bidi="he-IL"/>
        </w:rPr>
        <w:t xml:space="preserve"> וראיתי בת</w:t>
      </w:r>
      <w:r w:rsidR="00394AD7" w:rsidRPr="00882F11">
        <w:rPr>
          <w:rFonts w:cs="Guttman Drogolin" w:hint="cs"/>
          <w:rtl/>
          <w:lang w:bidi="he-IL"/>
        </w:rPr>
        <w:t>ו</w:t>
      </w:r>
      <w:r w:rsidR="00485AA2" w:rsidRPr="00882F11">
        <w:rPr>
          <w:rFonts w:cs="Guttman Drogolin" w:hint="cs"/>
          <w:rtl/>
          <w:lang w:bidi="he-IL"/>
        </w:rPr>
        <w:t xml:space="preserve">ס' במס' נזיר ל"ו ע"ב ד"ה אי שכנראה התייחסו לזה וביארו שאין לומר כן כיון שלא אשכחן תנאי דפליגי בזה.  </w:t>
      </w:r>
      <w:r w:rsidRPr="00882F11">
        <w:rPr>
          <w:rFonts w:cs="Guttman Drogolin" w:hint="cs"/>
          <w:rtl/>
          <w:lang w:bidi="he-IL"/>
        </w:rPr>
        <w:t xml:space="preserve"> </w:t>
      </w:r>
    </w:p>
    <w:p w:rsidR="00F25236" w:rsidRPr="00882F11" w:rsidRDefault="00C16682" w:rsidP="00ED13D2">
      <w:pPr>
        <w:tabs>
          <w:tab w:val="left" w:pos="1183"/>
        </w:tabs>
        <w:bidi/>
        <w:jc w:val="both"/>
        <w:rPr>
          <w:rFonts w:cs="Guttman Drogolin"/>
          <w:rtl/>
          <w:lang w:bidi="he-IL"/>
        </w:rPr>
      </w:pPr>
      <w:r w:rsidRPr="00882F11">
        <w:rPr>
          <w:rFonts w:cs="Guttman Drogolin" w:hint="cs"/>
          <w:rtl/>
          <w:lang w:bidi="he-IL"/>
        </w:rPr>
        <w:lastRenderedPageBreak/>
        <w:t xml:space="preserve">הר"ש בטבו"י הביא </w:t>
      </w:r>
      <w:r w:rsidR="00ED13D2" w:rsidRPr="00882F11">
        <w:rPr>
          <w:rFonts w:cs="Guttman Drogolin" w:hint="cs"/>
          <w:rtl/>
          <w:lang w:bidi="he-IL"/>
        </w:rPr>
        <w:t>המחלוקת אם הא דבדנפישי חולין לא אמרינן המל"א אם היינו משום שברובא בטיל או דהוא דין בהמל"א. ואם הוא משום ביטול קשה למה בכזית בכא"פ ניחא, הא גם איהו בטיל ברובא. ובתי' אחד כתב שלעולם אין כזית בכא"פ בטל ברוב מדאורייתא אפילו במין במינו, ומה שמבואר לכאורה</w:t>
      </w:r>
      <w:r w:rsidR="00DF48A6">
        <w:rPr>
          <w:rFonts w:cs="Guttman Drogolin" w:hint="cs"/>
          <w:rtl/>
          <w:lang w:bidi="he-IL"/>
        </w:rPr>
        <w:t xml:space="preserve"> בזבחים ע"ח ע"א שמין במינו בטל </w:t>
      </w:r>
      <w:r w:rsidR="00ED13D2" w:rsidRPr="00882F11">
        <w:rPr>
          <w:rFonts w:cs="Guttman Drogolin" w:hint="cs"/>
          <w:rtl/>
          <w:lang w:bidi="he-IL"/>
        </w:rPr>
        <w:t xml:space="preserve">ברוב מדאורייתא אפילו כשיש כזית בכא"פ, היינו בדבר הנימוח, אבל בחיטין ושעורין דהאי לחודי' קאי והאי לחודי' קאי לא בטל מדאורייתא. </w:t>
      </w:r>
      <w:r w:rsidR="009472EF" w:rsidRPr="00882F11">
        <w:rPr>
          <w:rFonts w:cs="Guttman Drogolin" w:hint="cs"/>
          <w:rtl/>
          <w:lang w:bidi="he-IL"/>
        </w:rPr>
        <w:t>ולכאורה כוונתו לחלק בין לח בלח ליבש ביבש, שביבש ביבש אם אכל שיעור איסור עובר ממנ"פ וכשיטת התוס' רי"ד במס' ב"ב, אבל בלח בלח גם התוס' רי"ד מודה.</w:t>
      </w:r>
      <w:r w:rsidR="00ED13D2" w:rsidRPr="00882F11">
        <w:rPr>
          <w:rFonts w:cs="Guttman Drogolin" w:hint="cs"/>
          <w:rtl/>
          <w:lang w:bidi="he-IL"/>
        </w:rPr>
        <w:t xml:space="preserve">  </w:t>
      </w:r>
    </w:p>
    <w:p w:rsidR="00C16682" w:rsidRPr="00882F11" w:rsidRDefault="00F25236" w:rsidP="00DF48A6">
      <w:pPr>
        <w:tabs>
          <w:tab w:val="left" w:pos="1183"/>
        </w:tabs>
        <w:bidi/>
        <w:jc w:val="both"/>
        <w:rPr>
          <w:rFonts w:cs="Guttman Drogolin"/>
          <w:rtl/>
          <w:lang w:bidi="he-IL"/>
        </w:rPr>
      </w:pPr>
      <w:r w:rsidRPr="00882F11">
        <w:rPr>
          <w:rFonts w:cs="Guttman Drogolin" w:hint="cs"/>
          <w:rtl/>
          <w:lang w:bidi="he-IL"/>
        </w:rPr>
        <w:t xml:space="preserve">שם בר"ש כתב דלקי מגזה"כ דמשרת בכה"ת כולה אטעם כעיקר ולא אמרינן שאינו אלא עשה משום דהוי גילוי מילתא בעלמא. והנה אם החידוש של טכ"ע הוא שיש איסור לאכול מאכל שיש לו טעם איסור אע"ג שאינו אוכל את גוף האיסור, שזהו לכאורה הפי' למ"ד נהפך ההיתר להיות איסור, לכאורה ה'גילוי מילתא בעלמא' הוא שמגלים שלא המאכל עצמו אסור אלא כל דבר שיש טעמו. אבל לשיטת הר"ש עצמו דבעינן שיעור של טעם ניחא טפי, דהוי גילוי שגם הטעם יש לו שם חפצא דאיסורא וממילא לוקה עליו כמו המאכל עצמו.  </w:t>
      </w:r>
      <w:r w:rsidR="00ED13D2" w:rsidRPr="00882F11">
        <w:rPr>
          <w:rFonts w:cs="Guttman Drogolin" w:hint="cs"/>
          <w:rtl/>
          <w:lang w:bidi="he-IL"/>
        </w:rPr>
        <w:t xml:space="preserve"> </w:t>
      </w:r>
    </w:p>
    <w:p w:rsidR="00394AD7" w:rsidRPr="00882F11" w:rsidRDefault="00394AD7" w:rsidP="00C16682">
      <w:pPr>
        <w:tabs>
          <w:tab w:val="left" w:pos="1183"/>
        </w:tabs>
        <w:bidi/>
        <w:jc w:val="both"/>
        <w:rPr>
          <w:rFonts w:cs="Guttman Drogolin"/>
          <w:rtl/>
          <w:lang w:bidi="he-IL"/>
        </w:rPr>
      </w:pPr>
      <w:r w:rsidRPr="00882F11">
        <w:rPr>
          <w:rFonts w:cs="Guttman Drogolin" w:hint="cs"/>
          <w:rtl/>
          <w:lang w:bidi="he-IL"/>
        </w:rPr>
        <w:t>"אלא מאי וכו'" ע' בתוס' דלא גרסינן לי' משום דא"כ מאי ס"ד לאקשויי. ולכאורה יש להקשות עוד יותר מזה, שגם התי' של הגמ' אינו מתרץ.</w:t>
      </w:r>
    </w:p>
    <w:p w:rsidR="00394AD7" w:rsidRPr="00882F11" w:rsidRDefault="00394AD7" w:rsidP="00394AD7">
      <w:pPr>
        <w:tabs>
          <w:tab w:val="left" w:pos="1183"/>
        </w:tabs>
        <w:bidi/>
        <w:jc w:val="both"/>
        <w:rPr>
          <w:rFonts w:cs="Guttman Drogolin"/>
          <w:rtl/>
          <w:lang w:bidi="he-IL"/>
        </w:rPr>
      </w:pPr>
      <w:r w:rsidRPr="00882F11">
        <w:rPr>
          <w:rFonts w:cs="Guttman Drogolin" w:hint="cs"/>
          <w:rtl/>
          <w:lang w:bidi="he-IL"/>
        </w:rPr>
        <w:t xml:space="preserve">"ואי אמרת כזית בכדי אכילת פרס דאורייתא וכו'" ע' תוס' במס' נזיר שפי' דלא מסתבר דמיירי </w:t>
      </w:r>
      <w:r w:rsidR="0078079C" w:rsidRPr="00882F11">
        <w:rPr>
          <w:rFonts w:cs="Guttman Drogolin" w:hint="cs"/>
          <w:rtl/>
          <w:lang w:bidi="he-IL"/>
        </w:rPr>
        <w:t>בפחות מכזית בכא"פ. ותמה אני בזה שהרי פי' כגון פלפלין וזנגביל, ולכאורה דבר פשוט הוא דכבא"פ של פלפלין נטל"פ וא</w:t>
      </w:r>
      <w:r w:rsidR="00DF48A6">
        <w:rPr>
          <w:rFonts w:cs="Guttman Drogolin" w:hint="cs"/>
          <w:rtl/>
          <w:lang w:bidi="he-IL"/>
        </w:rPr>
        <w:t>י</w:t>
      </w:r>
      <w:r w:rsidR="0078079C" w:rsidRPr="00882F11">
        <w:rPr>
          <w:rFonts w:cs="Guttman Drogolin" w:hint="cs"/>
          <w:rtl/>
          <w:lang w:bidi="he-IL"/>
        </w:rPr>
        <w:t xml:space="preserve">נו דאו'. ואולי י"ל שכוונת רש"י שהי' זנגביל ופלפלין ביחד </w:t>
      </w:r>
      <w:r w:rsidR="00DF48A6">
        <w:rPr>
          <w:rFonts w:cs="Guttman Drogolin" w:hint="cs"/>
          <w:rtl/>
          <w:lang w:bidi="he-IL"/>
        </w:rPr>
        <w:t xml:space="preserve">עם מאכלים אחרים </w:t>
      </w:r>
      <w:r w:rsidR="0078079C" w:rsidRPr="00882F11">
        <w:rPr>
          <w:rFonts w:cs="Guttman Drogolin" w:hint="cs"/>
          <w:rtl/>
          <w:lang w:bidi="he-IL"/>
        </w:rPr>
        <w:t>ואינו נטל"פ. וצ"ע.</w:t>
      </w:r>
    </w:p>
    <w:p w:rsidR="00C16682" w:rsidRPr="00882F11" w:rsidRDefault="00C16682" w:rsidP="00DF48A6">
      <w:pPr>
        <w:tabs>
          <w:tab w:val="left" w:pos="1183"/>
        </w:tabs>
        <w:bidi/>
        <w:jc w:val="both"/>
        <w:rPr>
          <w:rFonts w:cs="Guttman Drogolin"/>
          <w:rtl/>
          <w:lang w:bidi="he-IL"/>
        </w:rPr>
      </w:pPr>
      <w:r w:rsidRPr="00882F11">
        <w:rPr>
          <w:rFonts w:cs="Guttman Drogolin" w:hint="cs"/>
          <w:rtl/>
          <w:lang w:bidi="he-IL"/>
        </w:rPr>
        <w:t xml:space="preserve">תוד"ה דאיכא: "ויש לומר וכו'" </w:t>
      </w:r>
      <w:r w:rsidRPr="00882F11">
        <w:rPr>
          <w:rFonts w:cs="Guttman Drogolin"/>
          <w:rtl/>
          <w:lang w:bidi="he-IL"/>
        </w:rPr>
        <w:t>–</w:t>
      </w:r>
      <w:r w:rsidRPr="00882F11">
        <w:rPr>
          <w:rFonts w:cs="Guttman Drogolin" w:hint="cs"/>
          <w:rtl/>
          <w:lang w:bidi="he-IL"/>
        </w:rPr>
        <w:t xml:space="preserve"> ע' ר"ש בטבול יום שכתבו תי' אחר, והוא שאע"ג שבדרך הרגיל אין </w:t>
      </w:r>
      <w:r w:rsidR="00DF48A6">
        <w:rPr>
          <w:rFonts w:cs="Guttman Drogolin" w:hint="cs"/>
          <w:rtl/>
          <w:lang w:bidi="he-IL"/>
        </w:rPr>
        <w:t xml:space="preserve">שיעור </w:t>
      </w:r>
      <w:r w:rsidRPr="00882F11">
        <w:rPr>
          <w:rFonts w:cs="Guttman Drogolin" w:hint="cs"/>
          <w:rtl/>
          <w:lang w:bidi="he-IL"/>
        </w:rPr>
        <w:t xml:space="preserve">כזית בכא"פ, מ"מ אם אוכל הרבה בבת </w:t>
      </w:r>
      <w:r w:rsidRPr="00882F11">
        <w:rPr>
          <w:rFonts w:cs="Guttman Drogolin" w:hint="cs"/>
          <w:rtl/>
          <w:lang w:bidi="he-IL"/>
        </w:rPr>
        <w:lastRenderedPageBreak/>
        <w:t xml:space="preserve">אחת יהי' כזית </w:t>
      </w:r>
      <w:r w:rsidR="00DF48A6">
        <w:rPr>
          <w:rFonts w:cs="Guttman Drogolin" w:hint="cs"/>
          <w:rtl/>
          <w:lang w:bidi="he-IL"/>
        </w:rPr>
        <w:t>בכא"פ, ובמקפה לא אמרינן 'אי דקשרי</w:t>
      </w:r>
      <w:r w:rsidRPr="00882F11">
        <w:rPr>
          <w:rFonts w:cs="Guttman Drogolin" w:hint="cs"/>
          <w:rtl/>
          <w:lang w:bidi="he-IL"/>
        </w:rPr>
        <w:t>ף וכו'".</w:t>
      </w:r>
    </w:p>
    <w:p w:rsidR="0018757E" w:rsidRPr="00882F11" w:rsidRDefault="0018757E" w:rsidP="00C16682">
      <w:pPr>
        <w:tabs>
          <w:tab w:val="left" w:pos="1183"/>
        </w:tabs>
        <w:bidi/>
        <w:spacing w:after="0"/>
        <w:jc w:val="both"/>
        <w:rPr>
          <w:rFonts w:cs="Guttman Drogolin"/>
          <w:rtl/>
          <w:lang w:bidi="he-IL"/>
        </w:rPr>
      </w:pPr>
      <w:r w:rsidRPr="00882F11">
        <w:rPr>
          <w:rFonts w:cs="Guttman Drogolin" w:hint="cs"/>
          <w:rtl/>
          <w:lang w:bidi="he-IL"/>
        </w:rPr>
        <w:t xml:space="preserve">תוד"ה אלא: "דגמר מנזיר" </w:t>
      </w:r>
      <w:r w:rsidRPr="00882F11">
        <w:rPr>
          <w:rFonts w:cs="Guttman Drogolin"/>
          <w:rtl/>
          <w:lang w:bidi="he-IL"/>
        </w:rPr>
        <w:t>–</w:t>
      </w:r>
      <w:r w:rsidRPr="00882F11">
        <w:rPr>
          <w:rFonts w:cs="Guttman Drogolin" w:hint="cs"/>
          <w:rtl/>
          <w:lang w:bidi="he-IL"/>
        </w:rPr>
        <w:t xml:space="preserve"> וע"כ היינו משום שלא דריש 'כל', שלדידי' אמנם אין לומר דהא איכא שאור בל תקטירו, דלאביי אינו להיתר מצטרף לאיסור וכמש"כ התוס' לעיל בד"ה כמאן, מ"מ הא איכא גם חמץ והוו ב' כתובים הבאין כא' ואין מלמדין.</w:t>
      </w:r>
    </w:p>
    <w:p w:rsidR="0018757E" w:rsidRPr="00882F11" w:rsidRDefault="0018757E" w:rsidP="0018757E">
      <w:pPr>
        <w:tabs>
          <w:tab w:val="left" w:pos="1183"/>
        </w:tabs>
        <w:bidi/>
        <w:jc w:val="both"/>
        <w:rPr>
          <w:rFonts w:cs="Guttman Drogolin"/>
          <w:rtl/>
          <w:lang w:bidi="he-IL"/>
        </w:rPr>
      </w:pPr>
      <w:r w:rsidRPr="00882F11">
        <w:rPr>
          <w:rFonts w:cs="Guttman Drogolin" w:hint="cs"/>
          <w:rtl/>
          <w:lang w:bidi="he-IL"/>
        </w:rPr>
        <w:t>ולתירוצם השני הוי דוקא משום דדרשינן כל, שממשרת לומדים עיקר הדין של המל"א וזה הוי לכו"ע אליבא דאביי בכה"ת כולה, רק נחלקו אי דרשינן מ'כל' לרבות אפילו כשיש רוב היתר, דר"א דריש ולכן אמרינן המל"א אפילו כשיש רוב היתר, ורבנן לא דרשי ולכן רק בדלא נפיש היתירא מותר.</w:t>
      </w:r>
    </w:p>
    <w:p w:rsidR="006D61BF" w:rsidRPr="00882F11" w:rsidRDefault="006D61BF" w:rsidP="006D61BF">
      <w:pPr>
        <w:tabs>
          <w:tab w:val="left" w:pos="1183"/>
        </w:tabs>
        <w:bidi/>
        <w:jc w:val="both"/>
        <w:rPr>
          <w:rFonts w:cs="Guttman Drogolin"/>
          <w:rtl/>
          <w:lang w:bidi="he-IL"/>
        </w:rPr>
      </w:pPr>
      <w:r w:rsidRPr="00882F11">
        <w:rPr>
          <w:rFonts w:cs="Guttman Drogolin" w:hint="cs"/>
          <w:rtl/>
          <w:lang w:bidi="he-IL"/>
        </w:rPr>
        <w:t xml:space="preserve">ובתוס' במס' נזיר כתבו שתלוי במחלוקת ר"א ורבנן אי דרשינן כל. ולכאורה צ"ע לדידהו </w:t>
      </w:r>
      <w:r w:rsidR="00621BAD" w:rsidRPr="00882F11">
        <w:rPr>
          <w:rFonts w:cs="Guttman Drogolin" w:hint="cs"/>
          <w:rtl/>
          <w:lang w:bidi="he-IL"/>
        </w:rPr>
        <w:t>שאם המל"א בכל התורה כולה ילפינן מ'כל', משרת למה לי. ואולי ס"ד עכשיו דמשרת ליתן טכ"ע, וקושיית הגמ' שבהמשך "והאי משרת להכי וכו'" הוא שלא אליבא דאביי (שלא כדברי הראשונים שכבתו שהוא לאביי).</w:t>
      </w:r>
      <w:r w:rsidR="00D46191" w:rsidRPr="00882F11">
        <w:rPr>
          <w:rFonts w:cs="Guttman Drogolin" w:hint="cs"/>
          <w:rtl/>
          <w:lang w:bidi="he-IL"/>
        </w:rPr>
        <w:t xml:space="preserve"> ובפי' הרא"ש שם בסוף הסוגיא מבואר שלומד מצד השוה של נזיר וחטאת. </w:t>
      </w:r>
    </w:p>
    <w:p w:rsidR="00252A8C" w:rsidRPr="00882F11" w:rsidRDefault="0018757E" w:rsidP="0018757E">
      <w:pPr>
        <w:tabs>
          <w:tab w:val="left" w:pos="1183"/>
        </w:tabs>
        <w:bidi/>
        <w:jc w:val="both"/>
        <w:rPr>
          <w:rFonts w:cs="Guttman Drogolin"/>
          <w:rtl/>
          <w:lang w:bidi="he-IL"/>
        </w:rPr>
      </w:pPr>
      <w:r w:rsidRPr="00882F11">
        <w:rPr>
          <w:rFonts w:cs="Guttman Drogolin" w:hint="cs"/>
          <w:rtl/>
          <w:lang w:bidi="he-IL"/>
        </w:rPr>
        <w:t>מקשין העולם בכגון כותח הבבלי ומקפה של תרומה היכי דמי, אם טכ"ע דאורייתא תיפו"ל משום טכ"ע, ואם טכ"ע לאו דאורייתא ליבטל ולא ליצטרף. ולכאורה י"ל דהנה לענין המל"א אפילו אי בעינן תערובת מ"מ לא בעינן תערובת גמור כגון לח בלח שיש בה משום טכ"ע. ולכן י"ל דמיירי בכה"ג שיש חמץ בעין מעורב בו אבל אינו נותן טעם בכולו, ולכן ליכא ביטול כיון שיש היכר טעם, אבל טכ"ע ג"כ ליכא כיון שאינו עירוב גמור. ונראה שהתוס' סוברים שאם הוא בעין הי' צריך להיות ניכר ואינו מדומע כלל. וזהו הטעם שבאמת לשיטת התוס' אינו מדומע. אבל אולי י"ל שאינו ניכר באופן שאינו מדומע רק באופן שיש היכר טעם אבל אינו נותן טעם בכולו.</w:t>
      </w:r>
      <w:r w:rsidR="00B25096" w:rsidRPr="00882F11">
        <w:rPr>
          <w:rFonts w:cs="Guttman Drogolin" w:hint="cs"/>
          <w:rtl/>
          <w:lang w:bidi="he-IL"/>
        </w:rPr>
        <w:t xml:space="preserve"> (וע' מש"כ לעיל </w:t>
      </w:r>
      <w:r w:rsidR="00B25096" w:rsidRPr="00882F11">
        <w:rPr>
          <w:rFonts w:cs="Guttman Drogolin" w:hint="cs"/>
          <w:rtl/>
          <w:lang w:bidi="he-IL"/>
        </w:rPr>
        <w:lastRenderedPageBreak/>
        <w:t xml:space="preserve">בהערה </w:t>
      </w:r>
      <w:r w:rsidR="00B25096" w:rsidRPr="00882F11">
        <w:rPr>
          <w:rFonts w:cs="Guttman Drogolin"/>
          <w:rtl/>
          <w:lang w:bidi="he-IL"/>
        </w:rPr>
        <w:fldChar w:fldCharType="begin"/>
      </w:r>
      <w:r w:rsidR="00B25096" w:rsidRPr="00882F11">
        <w:rPr>
          <w:rFonts w:cs="Guttman Drogolin"/>
          <w:rtl/>
          <w:lang w:bidi="he-IL"/>
        </w:rPr>
        <w:instrText xml:space="preserve"> </w:instrText>
      </w:r>
      <w:r w:rsidR="00B25096" w:rsidRPr="00882F11">
        <w:rPr>
          <w:rFonts w:cs="Guttman Drogolin" w:hint="cs"/>
          <w:lang w:bidi="he-IL"/>
        </w:rPr>
        <w:instrText>NOTEREF</w:instrText>
      </w:r>
      <w:r w:rsidR="00B25096" w:rsidRPr="00882F11">
        <w:rPr>
          <w:rFonts w:cs="Guttman Drogolin" w:hint="cs"/>
          <w:rtl/>
          <w:lang w:bidi="he-IL"/>
        </w:rPr>
        <w:instrText xml:space="preserve"> _</w:instrText>
      </w:r>
      <w:r w:rsidR="00B25096" w:rsidRPr="00882F11">
        <w:rPr>
          <w:rFonts w:cs="Guttman Drogolin" w:hint="cs"/>
          <w:lang w:bidi="he-IL"/>
        </w:rPr>
        <w:instrText>Ref448397287 \h</w:instrText>
      </w:r>
      <w:r w:rsidR="00B25096" w:rsidRPr="00882F11">
        <w:rPr>
          <w:rFonts w:cs="Guttman Drogolin"/>
          <w:rtl/>
          <w:lang w:bidi="he-IL"/>
        </w:rPr>
        <w:instrText xml:space="preserve"> </w:instrText>
      </w:r>
      <w:r w:rsidR="00882F11">
        <w:rPr>
          <w:rFonts w:cs="Guttman Drogolin"/>
          <w:rtl/>
          <w:lang w:bidi="he-IL"/>
        </w:rPr>
        <w:instrText xml:space="preserve"> \* </w:instrText>
      </w:r>
      <w:r w:rsidR="00882F11">
        <w:rPr>
          <w:rFonts w:cs="Guttman Drogolin"/>
          <w:lang w:bidi="he-IL"/>
        </w:rPr>
        <w:instrText xml:space="preserve">MERGEFORMAT </w:instrText>
      </w:r>
      <w:r w:rsidR="00B25096" w:rsidRPr="00882F11">
        <w:rPr>
          <w:rFonts w:cs="Guttman Drogolin"/>
          <w:rtl/>
          <w:lang w:bidi="he-IL"/>
        </w:rPr>
      </w:r>
      <w:r w:rsidR="00B25096" w:rsidRPr="00882F11">
        <w:rPr>
          <w:rFonts w:cs="Guttman Drogolin"/>
          <w:rtl/>
          <w:lang w:bidi="he-IL"/>
        </w:rPr>
        <w:fldChar w:fldCharType="separate"/>
      </w:r>
      <w:r w:rsidR="000C3DFF">
        <w:rPr>
          <w:rFonts w:cs="Guttman Drogolin"/>
          <w:rtl/>
          <w:lang w:bidi="he-IL"/>
        </w:rPr>
        <w:t>19</w:t>
      </w:r>
      <w:r w:rsidR="00B25096" w:rsidRPr="00882F11">
        <w:rPr>
          <w:rFonts w:cs="Guttman Drogolin"/>
          <w:rtl/>
          <w:lang w:bidi="he-IL"/>
        </w:rPr>
        <w:fldChar w:fldCharType="end"/>
      </w:r>
      <w:r w:rsidR="00B25096" w:rsidRPr="00882F11">
        <w:rPr>
          <w:rFonts w:cs="Guttman Drogolin" w:hint="cs"/>
          <w:rtl/>
          <w:lang w:bidi="he-IL"/>
        </w:rPr>
        <w:t xml:space="preserve"> להעיר שלכאורה י"ל שגם לשיטת התוס' יש טעם לומר טכ"ע). </w:t>
      </w:r>
    </w:p>
    <w:p w:rsidR="0018757E" w:rsidRPr="00882F11" w:rsidRDefault="00252A8C" w:rsidP="00DF48A6">
      <w:pPr>
        <w:tabs>
          <w:tab w:val="left" w:pos="1183"/>
        </w:tabs>
        <w:bidi/>
        <w:jc w:val="both"/>
        <w:rPr>
          <w:rFonts w:cs="Guttman Drogolin"/>
          <w:rtl/>
          <w:lang w:bidi="he-IL"/>
        </w:rPr>
      </w:pPr>
      <w:r w:rsidRPr="00882F11">
        <w:rPr>
          <w:rFonts w:cs="Guttman Drogolin" w:hint="cs"/>
          <w:rtl/>
          <w:lang w:bidi="he-IL"/>
        </w:rPr>
        <w:t>במס' נזיר מקשה הגמ' "ולאביי מעיקרא קא קשיא ליה מאי דקאמר וכו' כל הלי</w:t>
      </w:r>
      <w:r w:rsidR="00DF48A6">
        <w:rPr>
          <w:rFonts w:cs="Guttman Drogolin" w:hint="cs"/>
          <w:rtl/>
          <w:lang w:bidi="he-IL"/>
        </w:rPr>
        <w:t>ן</w:t>
      </w:r>
      <w:r w:rsidRPr="00882F11">
        <w:rPr>
          <w:rFonts w:cs="Guttman Drogolin" w:hint="cs"/>
          <w:rtl/>
          <w:lang w:bidi="he-IL"/>
        </w:rPr>
        <w:t xml:space="preserve"> תיובתא" וע"ש בתוס' שפירשו שקשה שמעיקרא ר"ל שלומדים ממשרת לכה"ת כולה ועכשיו שואל שלא נלמד המל"א ממשרת כלל כיון שהוא לטכ"ע. ולכאורה צ"ע לפמש"כ התוס' בנזיר ל"ו ע"ב אי שהלימוד לכה"ת כולה מ'כל'. ולכאורה י"ל שכוונת התוס' שממשרת לא היינו לומדים לכה"ת כולה, אבל אחרי שיש גם גזה"כ של כל לומדים לכה"ת כולה.</w:t>
      </w:r>
      <w:r w:rsidR="0018757E" w:rsidRPr="00882F11">
        <w:rPr>
          <w:rFonts w:cs="Guttman Drogolin" w:hint="cs"/>
          <w:rtl/>
          <w:lang w:bidi="he-IL"/>
        </w:rPr>
        <w:t xml:space="preserve">    </w:t>
      </w:r>
    </w:p>
    <w:p w:rsidR="0018757E" w:rsidRPr="00882F11" w:rsidRDefault="0018757E" w:rsidP="00497FC3">
      <w:pPr>
        <w:keepNext/>
        <w:tabs>
          <w:tab w:val="left" w:pos="1183"/>
        </w:tabs>
        <w:bidi/>
        <w:jc w:val="both"/>
        <w:rPr>
          <w:rFonts w:cs="Guttman Drogolin"/>
          <w:b/>
          <w:bCs/>
          <w:rtl/>
          <w:lang w:bidi="he-IL"/>
        </w:rPr>
      </w:pPr>
      <w:r w:rsidRPr="00882F11">
        <w:rPr>
          <w:rFonts w:cs="Guttman Drogolin" w:hint="cs"/>
          <w:b/>
          <w:bCs/>
          <w:rtl/>
          <w:lang w:bidi="he-IL"/>
        </w:rPr>
        <w:t>מ"ד ע"ב</w:t>
      </w:r>
    </w:p>
    <w:p w:rsidR="007166C2" w:rsidRPr="00882F11" w:rsidRDefault="00DF48A6" w:rsidP="00DF48A6">
      <w:pPr>
        <w:tabs>
          <w:tab w:val="left" w:pos="1183"/>
        </w:tabs>
        <w:bidi/>
        <w:jc w:val="both"/>
        <w:rPr>
          <w:rFonts w:cs="Guttman Drogolin"/>
          <w:rtl/>
          <w:lang w:bidi="he-IL"/>
        </w:rPr>
      </w:pPr>
      <w:r>
        <w:rPr>
          <w:rFonts w:cs="Guttman Drogolin" w:hint="cs"/>
          <w:rtl/>
          <w:lang w:bidi="he-IL"/>
        </w:rPr>
        <w:t>"שרה ענבים במים</w:t>
      </w:r>
      <w:r w:rsidR="007166C2" w:rsidRPr="00882F11">
        <w:rPr>
          <w:rFonts w:cs="Guttman Drogolin" w:hint="cs"/>
          <w:rtl/>
          <w:lang w:bidi="he-IL"/>
        </w:rPr>
        <w:t xml:space="preserve">" </w:t>
      </w:r>
      <w:r w:rsidR="007166C2" w:rsidRPr="00882F11">
        <w:rPr>
          <w:rFonts w:cs="Guttman Drogolin"/>
          <w:rtl/>
          <w:lang w:bidi="he-IL"/>
        </w:rPr>
        <w:t>–</w:t>
      </w:r>
      <w:r w:rsidR="007166C2" w:rsidRPr="00882F11">
        <w:rPr>
          <w:rFonts w:cs="Guttman Drogolin" w:hint="cs"/>
          <w:rtl/>
          <w:lang w:bidi="he-IL"/>
        </w:rPr>
        <w:t xml:space="preserve"> ע' בתוס' במס' נזיר דלא גרסינן דתניא כיון שא"כ איך אפשר לומר כזית בכא"פ דאורייתא, והסיק ולפי מאי דפרישית ניחא, בהגהות הר"ב רנשבורג פי' שכוונתם לדבריהם לעיל ל"ו ע"ב ד"ה וכזית. ור"ל שהרשב"ם פי' דס"ד דטכ"ע דאורייתא רק לא אומרים נהפך. וכאן התוס' אומרים דס"ד דלא אמרינן טכ"ע. וכמדומה לי שכן פי' גם בנחל"ד.  </w:t>
      </w:r>
    </w:p>
    <w:p w:rsidR="0018757E" w:rsidRPr="00882F11" w:rsidRDefault="0018757E" w:rsidP="0018757E">
      <w:pPr>
        <w:tabs>
          <w:tab w:val="left" w:pos="1183"/>
        </w:tabs>
        <w:bidi/>
        <w:jc w:val="both"/>
        <w:rPr>
          <w:rFonts w:cs="Guttman Drogolin"/>
          <w:rtl/>
          <w:lang w:bidi="he-IL"/>
        </w:rPr>
      </w:pPr>
      <w:r w:rsidRPr="00882F11">
        <w:rPr>
          <w:rFonts w:cs="Guttman Drogolin" w:hint="cs"/>
          <w:rtl/>
          <w:lang w:bidi="he-IL"/>
        </w:rPr>
        <w:t xml:space="preserve">שאם שרה ענבים במים ויש בהן טעם יין חייב </w:t>
      </w:r>
      <w:r w:rsidRPr="00882F11">
        <w:rPr>
          <w:rFonts w:cs="Guttman Drogolin"/>
          <w:rtl/>
          <w:lang w:bidi="he-IL"/>
        </w:rPr>
        <w:t>–</w:t>
      </w:r>
      <w:r w:rsidRPr="00882F11">
        <w:rPr>
          <w:rFonts w:cs="Guttman Drogolin" w:hint="cs"/>
          <w:rtl/>
          <w:lang w:bidi="he-IL"/>
        </w:rPr>
        <w:t xml:space="preserve"> לשון חייב משמע שלא כשיטת ר"י מאורליינ"ש שסבר שטכ"ע דאורייתא רק לאיסור עשה.</w:t>
      </w:r>
    </w:p>
    <w:p w:rsidR="0018757E" w:rsidRPr="00882F11" w:rsidRDefault="0018757E" w:rsidP="0018757E">
      <w:pPr>
        <w:tabs>
          <w:tab w:val="left" w:pos="1183"/>
        </w:tabs>
        <w:bidi/>
        <w:jc w:val="both"/>
        <w:rPr>
          <w:rFonts w:cs="Guttman Drogolin"/>
          <w:rtl/>
          <w:lang w:bidi="he-IL"/>
        </w:rPr>
      </w:pPr>
      <w:r w:rsidRPr="00882F11">
        <w:rPr>
          <w:rFonts w:cs="Guttman Drogolin" w:hint="cs"/>
          <w:rtl/>
          <w:lang w:bidi="he-IL"/>
        </w:rPr>
        <w:t xml:space="preserve">דלמא מיין לחודי' </w:t>
      </w:r>
      <w:r w:rsidRPr="00882F11">
        <w:rPr>
          <w:rFonts w:cs="Guttman Drogolin"/>
          <w:rtl/>
          <w:lang w:bidi="he-IL"/>
        </w:rPr>
        <w:t>–</w:t>
      </w:r>
      <w:r w:rsidRPr="00882F11">
        <w:rPr>
          <w:rFonts w:cs="Guttman Drogolin" w:hint="cs"/>
          <w:rtl/>
          <w:lang w:bidi="he-IL"/>
        </w:rPr>
        <w:t xml:space="preserve"> צ"ע כיון דפשיטא לי' לגמ' דסבר ר"ע טכ"ע דאורייתא,</w:t>
      </w:r>
      <w:r w:rsidR="008226E0" w:rsidRPr="00882F11">
        <w:rPr>
          <w:rFonts w:cs="Guttman Drogolin" w:hint="cs"/>
          <w:rtl/>
          <w:lang w:bidi="he-IL"/>
        </w:rPr>
        <w:t xml:space="preserve"> </w:t>
      </w:r>
      <w:r w:rsidRPr="00882F11">
        <w:rPr>
          <w:rFonts w:cs="Guttman Drogolin" w:hint="cs"/>
          <w:rtl/>
          <w:lang w:bidi="he-IL"/>
        </w:rPr>
        <w:t>האיך אפשר לומר צירוף לענין יין למאן דאמר דאמרינן נהפך ויש לאו בטכ"ע.</w:t>
      </w:r>
    </w:p>
    <w:p w:rsidR="0018757E" w:rsidRPr="00882F11" w:rsidRDefault="0018757E" w:rsidP="0018757E">
      <w:pPr>
        <w:tabs>
          <w:tab w:val="left" w:pos="1183"/>
        </w:tabs>
        <w:bidi/>
        <w:jc w:val="both"/>
        <w:rPr>
          <w:rFonts w:cs="Guttman Drogolin"/>
          <w:rtl/>
          <w:lang w:bidi="he-IL"/>
        </w:rPr>
      </w:pPr>
      <w:r w:rsidRPr="00882F11">
        <w:rPr>
          <w:rFonts w:cs="Guttman Drogolin" w:hint="cs"/>
          <w:rtl/>
          <w:lang w:bidi="he-IL"/>
        </w:rPr>
        <w:t xml:space="preserve">כלאים נמי וכו' </w:t>
      </w:r>
      <w:r w:rsidRPr="00882F11">
        <w:rPr>
          <w:rFonts w:cs="Guttman Drogolin"/>
          <w:rtl/>
          <w:lang w:bidi="he-IL"/>
        </w:rPr>
        <w:t>–</w:t>
      </w:r>
      <w:r w:rsidRPr="00882F11">
        <w:rPr>
          <w:rFonts w:cs="Guttman Drogolin" w:hint="cs"/>
          <w:rtl/>
          <w:lang w:bidi="he-IL"/>
        </w:rPr>
        <w:t xml:space="preserve"> יש בזה מידת חידוש לפי מה שיסד לנו במשנת ר' אהרן למס' יבמות ששונה האיסור כלאים מאיסור בב"ח, שבב"ח החלב והבשר אוסרים א' לשני, ואילו בכלאים אין אוסרים א' לשני רק שיש איסור שיהיו שניהם ביחד. ומ"מ אינו קושיא כיון שכל א' לבדו מותר וביחד אסורים באיזה אופן שיהי'. </w:t>
      </w:r>
    </w:p>
    <w:p w:rsidR="0018757E" w:rsidRPr="00882F11" w:rsidRDefault="0018757E" w:rsidP="0018757E">
      <w:pPr>
        <w:tabs>
          <w:tab w:val="left" w:pos="1183"/>
        </w:tabs>
        <w:bidi/>
        <w:jc w:val="both"/>
        <w:rPr>
          <w:rFonts w:cs="Guttman Drogolin"/>
          <w:rtl/>
          <w:lang w:bidi="he-IL"/>
        </w:rPr>
      </w:pPr>
      <w:r w:rsidRPr="00882F11">
        <w:rPr>
          <w:rFonts w:cs="Guttman Drogolin" w:hint="cs"/>
          <w:rtl/>
          <w:lang w:bidi="he-IL"/>
        </w:rPr>
        <w:t xml:space="preserve">תוד"ה ורבנן: "ור"ע סבר וכו' לא פגמה כלל" - ע' בדבריהם במס' ע"ז ס"ז ע"ב שיש עוד מהלך שגם </w:t>
      </w:r>
      <w:r w:rsidRPr="00882F11">
        <w:rPr>
          <w:rFonts w:cs="Guttman Drogolin" w:hint="cs"/>
          <w:rtl/>
          <w:lang w:bidi="he-IL"/>
        </w:rPr>
        <w:lastRenderedPageBreak/>
        <w:t xml:space="preserve">ר"ע סבר פגמה פורתא רק שאינו מחלק בין פגמה פורתא ללא פגמה. </w:t>
      </w:r>
    </w:p>
    <w:p w:rsidR="0018757E" w:rsidRPr="00882F11" w:rsidRDefault="0018757E" w:rsidP="00497FC3">
      <w:pPr>
        <w:keepNext/>
        <w:tabs>
          <w:tab w:val="left" w:pos="1183"/>
        </w:tabs>
        <w:bidi/>
        <w:jc w:val="both"/>
        <w:rPr>
          <w:rFonts w:cs="Guttman Drogolin"/>
          <w:b/>
          <w:bCs/>
          <w:rtl/>
          <w:lang w:bidi="he-IL"/>
        </w:rPr>
      </w:pPr>
      <w:r w:rsidRPr="00882F11">
        <w:rPr>
          <w:rFonts w:cs="Guttman Drogolin" w:hint="cs"/>
          <w:b/>
          <w:bCs/>
          <w:rtl/>
          <w:lang w:bidi="he-IL"/>
        </w:rPr>
        <w:t>מ"ה ע"א</w:t>
      </w:r>
    </w:p>
    <w:p w:rsidR="0018757E" w:rsidRPr="00882F11" w:rsidRDefault="0018757E" w:rsidP="004E5B09">
      <w:pPr>
        <w:tabs>
          <w:tab w:val="left" w:pos="1183"/>
        </w:tabs>
        <w:bidi/>
        <w:jc w:val="both"/>
        <w:rPr>
          <w:rFonts w:cs="Guttman Drogolin"/>
          <w:rtl/>
          <w:lang w:bidi="he-IL"/>
        </w:rPr>
      </w:pPr>
      <w:r w:rsidRPr="00882F11">
        <w:rPr>
          <w:rFonts w:cs="Guttman Drogolin" w:hint="cs"/>
          <w:rtl/>
          <w:lang w:bidi="he-IL"/>
        </w:rPr>
        <w:t xml:space="preserve">עד שיבלע בבשר </w:t>
      </w:r>
      <w:r w:rsidRPr="00882F11">
        <w:rPr>
          <w:rFonts w:cs="Guttman Drogolin"/>
          <w:rtl/>
          <w:lang w:bidi="he-IL"/>
        </w:rPr>
        <w:t>–</w:t>
      </w:r>
      <w:r w:rsidRPr="00882F11">
        <w:rPr>
          <w:rFonts w:cs="Guttman Drogolin" w:hint="cs"/>
          <w:rtl/>
          <w:lang w:bidi="he-IL"/>
        </w:rPr>
        <w:t xml:space="preserve"> התוס' לעיל בדף מ"ג ע"ב פירשו שמכאן דבעינן מעורב להיתר מצטרף לאיסור. ולכאורה כוונתם דהא ד'יכול אפילו לא בלעה' היינו דסד"א שחייב בהמל"א אפילו שלא ע"י תערובת, וקמ"ל דבעינן ע"י תערובת, שזהו ה</w:t>
      </w:r>
      <w:r w:rsidR="004E5B09" w:rsidRPr="00882F11">
        <w:rPr>
          <w:rFonts w:cs="Guttman Drogolin" w:hint="cs"/>
          <w:rtl/>
          <w:lang w:bidi="he-IL"/>
        </w:rPr>
        <w:t>ל</w:t>
      </w:r>
      <w:r w:rsidRPr="00882F11">
        <w:rPr>
          <w:rFonts w:cs="Guttman Drogolin" w:hint="cs"/>
          <w:rtl/>
          <w:lang w:bidi="he-IL"/>
        </w:rPr>
        <w:t xml:space="preserve">ימוד של עד דיבלע בבשרה. ולכאורה לשיטת רש"י שפיר י"ל שהס"ד לא היתה משום המל"א כלל רק משום שהנגיעה פוסלת כמו בטומאה וטהרה, וקמ"ל שאינו אסור אא"כ יש בה מבליעת השני. ולתוס' צ"ל דאע"ג דהוו נזיר וחטאת ב' כתובים הבאין כא' ואין מלמדין, מ"מ אחרי שנתחדש בא' מהם דבעינן בלע הוי גילוי מילתא בעלמא לכולהו. </w:t>
      </w:r>
    </w:p>
    <w:p w:rsidR="0018757E" w:rsidRPr="00882F11" w:rsidRDefault="0018757E" w:rsidP="00DF48A6">
      <w:pPr>
        <w:tabs>
          <w:tab w:val="left" w:pos="1183"/>
        </w:tabs>
        <w:bidi/>
        <w:jc w:val="both"/>
        <w:rPr>
          <w:rFonts w:cs="Guttman Drogolin"/>
          <w:rtl/>
          <w:lang w:bidi="he-IL"/>
        </w:rPr>
      </w:pPr>
      <w:r w:rsidRPr="00882F11">
        <w:rPr>
          <w:rFonts w:cs="Guttman Drogolin" w:hint="cs"/>
          <w:rtl/>
          <w:lang w:bidi="he-IL"/>
        </w:rPr>
        <w:t xml:space="preserve">אינו מבואר בגמ' לאביי דסבר לכה"פ לר"ע דילפינן דהמל"א בכל התורה כולה למה לא הוו חטאת ונזיר ב' כתובים הבאין כא' ואין מלמדין. </w:t>
      </w:r>
      <w:r w:rsidR="00E7222B" w:rsidRPr="00882F11">
        <w:rPr>
          <w:rFonts w:cs="Guttman Drogolin" w:hint="cs"/>
          <w:rtl/>
          <w:lang w:bidi="he-IL"/>
        </w:rPr>
        <w:t xml:space="preserve">והתוס' במס' נזיר ל"ז ע"א ד"ה </w:t>
      </w:r>
      <w:r w:rsidR="00DF48A6">
        <w:rPr>
          <w:rFonts w:cs="Guttman Drogolin" w:hint="cs"/>
          <w:rtl/>
          <w:lang w:bidi="he-IL"/>
        </w:rPr>
        <w:t>אלא</w:t>
      </w:r>
      <w:r w:rsidR="00E7222B" w:rsidRPr="00882F11">
        <w:rPr>
          <w:rFonts w:cs="Guttman Drogolin" w:hint="cs"/>
          <w:rtl/>
          <w:lang w:bidi="he-IL"/>
        </w:rPr>
        <w:t xml:space="preserve"> כתבו בביאור דברי הגמ' שאביי הדר בי' ולית לי' המל"א בכה"ת כולה.</w:t>
      </w:r>
      <w:r w:rsidRPr="00882F11">
        <w:rPr>
          <w:rFonts w:cs="Guttman Drogolin" w:hint="cs"/>
          <w:rtl/>
          <w:lang w:bidi="he-IL"/>
        </w:rPr>
        <w:t xml:space="preserve"> </w:t>
      </w:r>
      <w:r w:rsidR="00862B08" w:rsidRPr="00882F11">
        <w:rPr>
          <w:rFonts w:cs="Guttman Drogolin" w:hint="cs"/>
          <w:rtl/>
          <w:lang w:bidi="he-IL"/>
        </w:rPr>
        <w:t>ובפי' הרא"ש שם בסוף הסוגיא מבואר שאביי סבר כסברת הגמ' המוזכר רק במס' נזיר (הביאו גם התוס') שיש צירכותא גם בנזיר ולא הוו ב' כתובים הבאים כא' שאין מלמדין.</w:t>
      </w:r>
    </w:p>
    <w:p w:rsidR="0018757E" w:rsidRPr="00882F11" w:rsidRDefault="0018757E" w:rsidP="00E7798F">
      <w:pPr>
        <w:tabs>
          <w:tab w:val="left" w:pos="1183"/>
        </w:tabs>
        <w:bidi/>
        <w:jc w:val="both"/>
        <w:rPr>
          <w:rFonts w:cs="Guttman Drogolin"/>
          <w:rtl/>
          <w:lang w:bidi="he-IL"/>
        </w:rPr>
      </w:pPr>
      <w:r w:rsidRPr="00882F11">
        <w:rPr>
          <w:rFonts w:cs="Guttman Drogolin" w:hint="cs"/>
          <w:rtl/>
          <w:lang w:bidi="he-IL"/>
        </w:rPr>
        <w:t xml:space="preserve">תוד"ה משום: "אמאי לא קאמר נזיר וחמץ וכו'" </w:t>
      </w:r>
      <w:r w:rsidRPr="00882F11">
        <w:rPr>
          <w:rFonts w:cs="Guttman Drogolin"/>
          <w:rtl/>
          <w:lang w:bidi="he-IL"/>
        </w:rPr>
        <w:t>–</w:t>
      </w:r>
      <w:r w:rsidRPr="00882F11">
        <w:rPr>
          <w:rFonts w:cs="Guttman Drogolin" w:hint="cs"/>
          <w:rtl/>
          <w:lang w:bidi="he-IL"/>
        </w:rPr>
        <w:t xml:space="preserve"> התוס' לעיל בדף מ"ד ע"א ד"ה אלא כתבו דהנהו מיצרך צריכי, חד לעיקר </w:t>
      </w:r>
      <w:r w:rsidR="00E7798F" w:rsidRPr="00882F11">
        <w:rPr>
          <w:rFonts w:cs="Guttman Drogolin" w:hint="cs"/>
          <w:rtl/>
          <w:lang w:bidi="he-IL"/>
        </w:rPr>
        <w:t>ד</w:t>
      </w:r>
      <w:r w:rsidRPr="00882F11">
        <w:rPr>
          <w:rFonts w:cs="Guttman Drogolin" w:hint="cs"/>
          <w:rtl/>
          <w:lang w:bidi="he-IL"/>
        </w:rPr>
        <w:t xml:space="preserve">ין המל"א וחד שאומרים כן אפילו כשיש רוב היתר. וזה אין לומר בנזיר וחטאת שהרי אי אפשר ללמוד מחטאת הדין השני של רוב היתר. וצ"ע. </w:t>
      </w:r>
    </w:p>
    <w:p w:rsidR="00BB07C9" w:rsidRPr="00882F11" w:rsidRDefault="00BB07C9" w:rsidP="00BB07C9">
      <w:pPr>
        <w:bidi/>
        <w:jc w:val="both"/>
        <w:rPr>
          <w:rFonts w:cs="Guttman Drogolin"/>
          <w:rtl/>
          <w:lang w:bidi="he-IL"/>
        </w:rPr>
      </w:pPr>
    </w:p>
    <w:p w:rsidR="0018757E" w:rsidRPr="00882F11" w:rsidRDefault="0018757E" w:rsidP="0018757E">
      <w:pPr>
        <w:bidi/>
        <w:jc w:val="both"/>
        <w:rPr>
          <w:rFonts w:cs="Guttman Drogolin"/>
          <w:rtl/>
          <w:lang w:bidi="he-IL"/>
        </w:rPr>
        <w:sectPr w:rsidR="0018757E" w:rsidRPr="00882F11" w:rsidSect="00882F11">
          <w:type w:val="continuous"/>
          <w:pgSz w:w="11907" w:h="16839" w:code="9"/>
          <w:pgMar w:top="1440" w:right="1440" w:bottom="1440" w:left="1440" w:header="720" w:footer="720" w:gutter="0"/>
          <w:cols w:num="2" w:space="720"/>
          <w:bidi/>
          <w:docGrid w:linePitch="360"/>
        </w:sectPr>
      </w:pPr>
    </w:p>
    <w:p w:rsidR="00BB07C9" w:rsidRPr="00882F11" w:rsidRDefault="00BB07C9" w:rsidP="00BB07C9">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ה'</w:t>
      </w:r>
    </w:p>
    <w:p w:rsidR="00F844F3" w:rsidRDefault="00F844F3" w:rsidP="00882F11">
      <w:pPr>
        <w:pStyle w:val="Heading1"/>
        <w:bidi/>
        <w:spacing w:before="0" w:line="240" w:lineRule="auto"/>
        <w:jc w:val="center"/>
        <w:rPr>
          <w:rFonts w:cs="Guttman Drogolin"/>
          <w:color w:val="auto"/>
          <w:sz w:val="24"/>
          <w:szCs w:val="24"/>
          <w:u w:val="single"/>
          <w:rtl/>
          <w:lang w:bidi="he-IL"/>
        </w:rPr>
        <w:sectPr w:rsidR="00F844F3" w:rsidSect="00F844F3">
          <w:headerReference w:type="default" r:id="rId15"/>
          <w:pgSz w:w="11907" w:h="16839" w:code="9"/>
          <w:pgMar w:top="1440" w:right="1440" w:bottom="1440" w:left="1440" w:header="720" w:footer="720" w:gutter="0"/>
          <w:cols w:space="720"/>
          <w:bidi/>
          <w:docGrid w:linePitch="360"/>
        </w:sectPr>
      </w:pPr>
    </w:p>
    <w:p w:rsidR="00BB07C9" w:rsidRPr="00882F11" w:rsidRDefault="00BB07C9" w:rsidP="00882F11">
      <w:pPr>
        <w:pStyle w:val="Heading1"/>
        <w:bidi/>
        <w:spacing w:before="0" w:line="240" w:lineRule="auto"/>
        <w:jc w:val="center"/>
        <w:rPr>
          <w:rFonts w:cs="Guttman Drogolin"/>
          <w:color w:val="auto"/>
          <w:sz w:val="24"/>
          <w:szCs w:val="24"/>
          <w:u w:val="single"/>
          <w:rtl/>
          <w:lang w:bidi="he-IL"/>
        </w:rPr>
      </w:pPr>
      <w:bookmarkStart w:id="26" w:name="_Toc496175291"/>
      <w:r w:rsidRPr="00882F11">
        <w:rPr>
          <w:rFonts w:cs="Guttman Drogolin" w:hint="cs"/>
          <w:color w:val="auto"/>
          <w:sz w:val="24"/>
          <w:szCs w:val="24"/>
          <w:u w:val="single"/>
          <w:rtl/>
          <w:lang w:bidi="he-IL"/>
        </w:rPr>
        <w:lastRenderedPageBreak/>
        <w:t>בדין ביצה מעוף טמא, והא דהוו מיא דביעא בעלמא</w:t>
      </w:r>
      <w:bookmarkEnd w:id="26"/>
    </w:p>
    <w:p w:rsidR="00F63B01" w:rsidRPr="00882F11" w:rsidRDefault="000212E8" w:rsidP="008822AB">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ביטול בששים</w:instrText>
      </w:r>
      <w:r w:rsidRPr="00882F11">
        <w:rPr>
          <w:rFonts w:cs="Guttman Drogolin"/>
          <w:rtl/>
        </w:rPr>
        <w:instrText>:</w:instrText>
      </w:r>
      <w:r w:rsidRPr="00882F11">
        <w:rPr>
          <w:rFonts w:cs="Guttman Drogolin" w:hint="cs"/>
          <w:rtl/>
          <w:lang w:bidi="he-IL"/>
        </w:rPr>
        <w:instrText>בביצה</w:instrText>
      </w:r>
      <w:r w:rsidRPr="00882F11">
        <w:rPr>
          <w:rFonts w:cs="Guttman Drogolin"/>
        </w:rPr>
        <w:instrText xml:space="preserve">" </w:instrText>
      </w:r>
      <w:r w:rsidRPr="00882F11">
        <w:rPr>
          <w:rFonts w:cs="Guttman Drogolin"/>
          <w:rtl/>
          <w:lang w:bidi="he-IL"/>
        </w:rPr>
        <w:fldChar w:fldCharType="end"/>
      </w:r>
      <w:r w:rsidR="008822AB">
        <w:rPr>
          <w:rFonts w:cs="Guttman Drogolin"/>
          <w:rtl/>
          <w:lang w:bidi="he-IL"/>
        </w:rPr>
        <w:fldChar w:fldCharType="begin"/>
      </w:r>
      <w:r w:rsidR="008822AB">
        <w:instrText xml:space="preserve"> XE "</w:instrText>
      </w:r>
      <w:r w:rsidR="008822AB" w:rsidRPr="002E2FEC">
        <w:rPr>
          <w:rFonts w:hint="cs"/>
          <w:rtl/>
          <w:lang w:bidi="he-IL"/>
        </w:rPr>
        <w:instrText>ביצה</w:instrText>
      </w:r>
      <w:r w:rsidR="008822AB" w:rsidRPr="002E2FEC">
        <w:rPr>
          <w:rtl/>
        </w:rPr>
        <w:instrText>:</w:instrText>
      </w:r>
      <w:r w:rsidR="008822AB" w:rsidRPr="002E2FEC">
        <w:rPr>
          <w:rFonts w:hint="cs"/>
          <w:rtl/>
          <w:lang w:bidi="he-IL"/>
        </w:rPr>
        <w:instrText>אם צריך ששים</w:instrText>
      </w:r>
      <w:r w:rsidR="008822AB">
        <w:instrText xml:space="preserve">" </w:instrText>
      </w:r>
      <w:r w:rsidR="008822AB">
        <w:rPr>
          <w:rFonts w:cs="Guttman Drogolin"/>
          <w:rtl/>
          <w:lang w:bidi="he-IL"/>
        </w:rPr>
        <w:fldChar w:fldCharType="end"/>
      </w:r>
      <w:r w:rsidR="0047697D" w:rsidRPr="00882F11">
        <w:rPr>
          <w:rFonts w:cs="Guttman Drogolin" w:hint="cs"/>
          <w:rtl/>
          <w:lang w:bidi="he-IL"/>
        </w:rPr>
        <w:t>מבואר בגמ'</w:t>
      </w:r>
      <w:r w:rsidR="006C52A1" w:rsidRPr="00882F11">
        <w:rPr>
          <w:rFonts w:cs="Guttman Drogolin" w:hint="cs"/>
          <w:rtl/>
          <w:lang w:bidi="he-IL"/>
        </w:rPr>
        <w:t xml:space="preserve"> דלעיל שביצה בטלה בששים כנגדו. ונראה להקדים מהו זה השיעור ששים. ועיקר היסוד שלו שאם יש </w:t>
      </w:r>
      <w:r w:rsidR="008822AB">
        <w:rPr>
          <w:rFonts w:cs="Guttman Drogolin" w:hint="cs"/>
          <w:rtl/>
          <w:lang w:bidi="he-IL"/>
        </w:rPr>
        <w:t xml:space="preserve">תערובת לח בלח בשיעור </w:t>
      </w:r>
      <w:r w:rsidR="006C52A1" w:rsidRPr="00882F11">
        <w:rPr>
          <w:rFonts w:cs="Guttman Drogolin" w:hint="cs"/>
          <w:rtl/>
          <w:lang w:bidi="he-IL"/>
        </w:rPr>
        <w:t>ששים של היתר כנגד האיסור, אע"ג דמיירי במין בשאינו מינו, מ"מ בשיעור זה אפשר להקל ולסמוך שלא יהא ב</w:t>
      </w:r>
      <w:r w:rsidR="008822AB">
        <w:rPr>
          <w:rFonts w:cs="Guttman Drogolin" w:hint="cs"/>
          <w:rtl/>
          <w:lang w:bidi="he-IL"/>
        </w:rPr>
        <w:t>ו</w:t>
      </w:r>
      <w:r w:rsidR="006C52A1" w:rsidRPr="00882F11">
        <w:rPr>
          <w:rFonts w:cs="Guttman Drogolin" w:hint="cs"/>
          <w:rtl/>
          <w:lang w:bidi="he-IL"/>
        </w:rPr>
        <w:t xml:space="preserve"> טעם איסור. ובהמשך הסוגיות נראה שיש </w:t>
      </w:r>
      <w:r w:rsidR="008822AB">
        <w:rPr>
          <w:rFonts w:cs="Guttman Drogolin" w:hint="cs"/>
          <w:rtl/>
          <w:lang w:bidi="he-IL"/>
        </w:rPr>
        <w:t xml:space="preserve">גם </w:t>
      </w:r>
      <w:r w:rsidR="006C52A1" w:rsidRPr="00882F11">
        <w:rPr>
          <w:rFonts w:cs="Guttman Drogolin" w:hint="cs"/>
          <w:rtl/>
          <w:lang w:bidi="he-IL"/>
        </w:rPr>
        <w:t>מושג של שיעור ביטול ששים בעצם. ואכמ"ל בזה. ומ"מ כיון שהשיעור ששים מבוסס על זה שאם הוא פחות מששים צריכים לחשוש שהוא נותן טעם, ע"כ חזינן שיש לחשוש מטעם איסור היוצא מביצה של איסור. ולכן שאל ר' אידי בר אבין את אביי בזה דהא אמרי אינשי 'כי מיא דביעי בעלמא'</w:t>
      </w:r>
      <w:r w:rsidR="00CB026A" w:rsidRPr="00882F11">
        <w:rPr>
          <w:rFonts w:cs="Guttman Drogolin" w:hint="cs"/>
          <w:rtl/>
          <w:lang w:bidi="he-IL"/>
        </w:rPr>
        <w:t>, ור"ל שכך היו אומרים אנשים לתאר דבר שאין לו טעם לומר שהוא כמו המים של ה</w:t>
      </w:r>
      <w:r w:rsidR="00B92D44" w:rsidRPr="00882F11">
        <w:rPr>
          <w:rFonts w:cs="Guttman Drogolin" w:hint="cs"/>
          <w:rtl/>
          <w:lang w:bidi="he-IL"/>
        </w:rPr>
        <w:t>ב</w:t>
      </w:r>
      <w:r w:rsidR="00CB026A" w:rsidRPr="00882F11">
        <w:rPr>
          <w:rFonts w:cs="Guttman Drogolin" w:hint="cs"/>
          <w:rtl/>
          <w:lang w:bidi="he-IL"/>
        </w:rPr>
        <w:t>יצים. והיינו סימן שאין הביצים נותנים טעם. וא"כ למה צריכים ששים כנגדו. ומתרצת הגמ' שהגמ' שהצריך ששים מיירי בביצה שיש בה אפ</w:t>
      </w:r>
      <w:r w:rsidR="00B92D44" w:rsidRPr="00882F11">
        <w:rPr>
          <w:rFonts w:cs="Guttman Drogolin" w:hint="cs"/>
          <w:rtl/>
          <w:lang w:bidi="he-IL"/>
        </w:rPr>
        <w:t>רוח, ולעולם ביצה מעוף טמא דלית ל</w:t>
      </w:r>
      <w:r w:rsidR="00CB026A" w:rsidRPr="00882F11">
        <w:rPr>
          <w:rFonts w:cs="Guttman Drogolin" w:hint="cs"/>
          <w:rtl/>
          <w:lang w:bidi="he-IL"/>
        </w:rPr>
        <w:t>י' אלא חלבון וחלמון אינו נותן טעם ואינו צריך ששים.</w:t>
      </w:r>
      <w:r w:rsidR="00F63B01" w:rsidRPr="00882F11">
        <w:rPr>
          <w:rFonts w:cs="Guttman Drogolin" w:hint="cs"/>
          <w:rtl/>
          <w:lang w:bidi="he-IL"/>
        </w:rPr>
        <w:t xml:space="preserve"> ובהמשך הגמ' רצו לדחות אוקימתא זו, ושלעולם ביצה אוסרת, מ"מ הגמ' דוחה את דחיי'. והמשמעות הפשוטה של הגמ' שבאמת סתם ביצה אינו צריך ששים לבטלו, רק ביצת אפרוח. אבל יש ראשונים שנוקטים שמכיון שלבסוף רצו לומר שאין הוכחה דמיירי בביצה שיש בה אפרוח, הכי קיי"ל ולא אזלינן בתר לשון בני אדם וגם ביצה ממש אוסרת. והרמ"א באמת החמיר כמו שיטה זו שלא במקום הפסד מרובה.</w:t>
      </w:r>
    </w:p>
    <w:p w:rsidR="00F63B01" w:rsidRPr="00882F11" w:rsidRDefault="00F63B01" w:rsidP="00F63B01">
      <w:pPr>
        <w:bidi/>
        <w:jc w:val="both"/>
        <w:rPr>
          <w:rFonts w:cs="Guttman Drogolin"/>
          <w:rtl/>
          <w:lang w:bidi="he-IL"/>
        </w:rPr>
      </w:pPr>
      <w:r w:rsidRPr="00882F11">
        <w:rPr>
          <w:rFonts w:cs="Guttman Drogolin" w:hint="cs"/>
          <w:rtl/>
          <w:lang w:bidi="he-IL"/>
        </w:rPr>
        <w:t xml:space="preserve">ויל"ע מהו הטעם שאין הביצה נותנת טעם לאסור. והנה התוס' ועוד ראשונים מביאים מן הירושלמי דהא דאמרינן בגמ' שביצת עוף טמא אינו צריך ששים, היינו כשאינה קלופה, אבל קלופה צריך ששים. ונראה לכאורה מזה שהטעם שביצה אינה אוסרת אינו בגלל שאין לחלבון וחלמון של הביצה טעם להפליט בעצם, רק משום שיש דבר המפריד בין הביצה לתבשיל שהוא הקליפה, ולכן אין </w:t>
      </w:r>
      <w:r w:rsidRPr="00882F11">
        <w:rPr>
          <w:rFonts w:cs="Guttman Drogolin" w:hint="cs"/>
          <w:rtl/>
          <w:lang w:bidi="he-IL"/>
        </w:rPr>
        <w:lastRenderedPageBreak/>
        <w:t>הטעם יוצא מן הביצה לתבשיל. וכי תימא דא"כ למה שונה ביצה שיש בה אפרוח, הא גם לה יש קליפה המפרידה בין הטעם האוסר לתבשיל. תי' בזה הרמב"ן דכיון שיש בה אפרוח כבר השתנה הקליפה באופן שטעם יכול לעבור דרכו.</w:t>
      </w:r>
    </w:p>
    <w:p w:rsidR="00F63B01" w:rsidRPr="00882F11" w:rsidRDefault="00F63B01" w:rsidP="000024CF">
      <w:pPr>
        <w:bidi/>
        <w:jc w:val="both"/>
        <w:rPr>
          <w:rFonts w:cs="Guttman Drogolin"/>
          <w:rtl/>
          <w:lang w:bidi="he-IL"/>
        </w:rPr>
      </w:pPr>
      <w:r w:rsidRPr="00882F11">
        <w:rPr>
          <w:rFonts w:cs="Guttman Drogolin" w:hint="cs"/>
          <w:rtl/>
          <w:lang w:bidi="he-IL"/>
        </w:rPr>
        <w:t>והנה הרמב"ן בסוף דבריו הבין מסתימת לשון הבבלי שהביצה אינה אוסרת אפילו אם היא קלופה. ולכ</w:t>
      </w:r>
      <w:r w:rsidR="008822AB">
        <w:rPr>
          <w:rFonts w:cs="Guttman Drogolin" w:hint="cs"/>
          <w:rtl/>
          <w:lang w:bidi="he-IL"/>
        </w:rPr>
        <w:t>א</w:t>
      </w:r>
      <w:r w:rsidRPr="00882F11">
        <w:rPr>
          <w:rFonts w:cs="Guttman Drogolin" w:hint="cs"/>
          <w:rtl/>
          <w:lang w:bidi="he-IL"/>
        </w:rPr>
        <w:t xml:space="preserve">ורה הי' אפשר לומר לפי זה שהטעם שאין ביצה אוסרת אינו משום הקליפה, רק משום שאין לחלבון וחלמון טעם. אמנם מן הרמב"ן מבואר שאין זה הטעם, רק משום </w:t>
      </w:r>
      <w:r w:rsidR="008822AB">
        <w:rPr>
          <w:rFonts w:cs="Guttman Drogolin" w:hint="cs"/>
          <w:rtl/>
          <w:lang w:bidi="he-IL"/>
        </w:rPr>
        <w:t>שה</w:t>
      </w:r>
      <w:r w:rsidRPr="00882F11">
        <w:rPr>
          <w:rFonts w:cs="Guttman Drogolin" w:hint="cs"/>
          <w:rtl/>
          <w:lang w:bidi="he-IL"/>
        </w:rPr>
        <w:t xml:space="preserve">החום </w:t>
      </w:r>
      <w:r w:rsidR="008822AB">
        <w:rPr>
          <w:rFonts w:cs="Guttman Drogolin" w:hint="cs"/>
          <w:rtl/>
          <w:lang w:bidi="he-IL"/>
        </w:rPr>
        <w:t>גורם ש</w:t>
      </w:r>
      <w:r w:rsidRPr="00882F11">
        <w:rPr>
          <w:rFonts w:cs="Guttman Drogolin" w:hint="cs"/>
          <w:rtl/>
          <w:lang w:bidi="he-IL"/>
        </w:rPr>
        <w:t xml:space="preserve">הביצה </w:t>
      </w:r>
      <w:r w:rsidR="008822AB">
        <w:rPr>
          <w:rFonts w:cs="Guttman Drogolin" w:hint="cs"/>
          <w:rtl/>
          <w:lang w:bidi="he-IL"/>
        </w:rPr>
        <w:t>תהא '</w:t>
      </w:r>
      <w:r w:rsidRPr="00882F11">
        <w:rPr>
          <w:rFonts w:cs="Guttman Drogolin" w:hint="cs"/>
          <w:rtl/>
          <w:lang w:bidi="he-IL"/>
        </w:rPr>
        <w:t>סולדת</w:t>
      </w:r>
      <w:r w:rsidR="008822AB">
        <w:rPr>
          <w:rFonts w:cs="Guttman Drogolin" w:hint="cs"/>
          <w:rtl/>
          <w:lang w:bidi="he-IL"/>
        </w:rPr>
        <w:t xml:space="preserve">' ולכן </w:t>
      </w:r>
      <w:r w:rsidRPr="00882F11">
        <w:rPr>
          <w:rFonts w:cs="Guttman Drogolin" w:hint="cs"/>
          <w:rtl/>
          <w:lang w:bidi="he-IL"/>
        </w:rPr>
        <w:t>אינה נותנת טעם. (ויש להסתפק מהו הכוונה של סולדת. בהערות לרמב"ן ציינו לדברי הגמ' שבמס' גיטין דף נ"ז ע"א דמיירי בביצה וכתב שביצה סולד ופירש"י שם שהוא מתייבש. וא"כ י"ל שזהו ג"כ כוונת הרמב"ן שהוא מתייבש ומשו"ה אינו נותן טעם. א"נ י"ל שכוונתו לגמ' שבמס' שבת דף מ' ע"ב ששם פירש"י סולדת שהולכת אחור, וא"כ י"ל שכוונת הרמב"ן שמכח החום הרי הטעם חוזרת אחור ואי</w:t>
      </w:r>
      <w:r w:rsidR="000024CF">
        <w:rPr>
          <w:rFonts w:cs="Guttman Drogolin" w:hint="cs"/>
          <w:rtl/>
          <w:lang w:bidi="he-IL"/>
        </w:rPr>
        <w:t>נ</w:t>
      </w:r>
      <w:r w:rsidRPr="00882F11">
        <w:rPr>
          <w:rFonts w:cs="Guttman Drogolin" w:hint="cs"/>
          <w:rtl/>
          <w:lang w:bidi="he-IL"/>
        </w:rPr>
        <w:t>ה אוסרת</w:t>
      </w:r>
      <w:r w:rsidR="000024CF">
        <w:rPr>
          <w:rFonts w:cs="Guttman Drogolin" w:hint="cs"/>
          <w:rtl/>
          <w:lang w:bidi="he-IL"/>
        </w:rPr>
        <w:t>.</w:t>
      </w:r>
      <w:r w:rsidRPr="00882F11">
        <w:rPr>
          <w:rFonts w:cs="Guttman Drogolin" w:hint="cs"/>
          <w:rtl/>
          <w:lang w:bidi="he-IL"/>
        </w:rPr>
        <w:t xml:space="preserve"> וצ"ע). ולכאורה נראה שלעולם גם לפי הצד הזה סבר הרמב"ן שיש לחלבון וחלמון טעם, רק שגם במקרה כזה יש דבר המפריד ומונע טעם מלעבור. ולכאורה נפק"מ שאם הביצה היתה כבושה או מלוחה וליכא חום, יהא הדין שביצה קלופה אוסרת אפילו למסקנת דברי הרמב"ן. ומ"מ </w:t>
      </w:r>
      <w:r w:rsidR="000024CF">
        <w:rPr>
          <w:rFonts w:cs="Guttman Drogolin" w:hint="cs"/>
          <w:rtl/>
          <w:lang w:bidi="he-IL"/>
        </w:rPr>
        <w:t>מבואר</w:t>
      </w:r>
      <w:r w:rsidRPr="00882F11">
        <w:rPr>
          <w:rFonts w:cs="Guttman Drogolin" w:hint="cs"/>
          <w:rtl/>
          <w:lang w:bidi="he-IL"/>
        </w:rPr>
        <w:t xml:space="preserve"> שלעולם החילוק בין ביצה לשארי הדברים הוא משום שיש דבר המונע טעם מלעבור.</w:t>
      </w:r>
    </w:p>
    <w:p w:rsidR="00F63B01" w:rsidRPr="00882F11" w:rsidRDefault="000024CF" w:rsidP="00F63B01">
      <w:pPr>
        <w:bidi/>
        <w:jc w:val="both"/>
        <w:rPr>
          <w:rFonts w:cs="Guttman Drogolin"/>
          <w:rtl/>
          <w:lang w:bidi="he-IL"/>
        </w:rPr>
      </w:pPr>
      <w:r>
        <w:rPr>
          <w:rFonts w:cs="Guttman Drogolin" w:hint="cs"/>
          <w:rtl/>
          <w:lang w:bidi="he-IL"/>
        </w:rPr>
        <w:t>ו</w:t>
      </w:r>
      <w:r w:rsidR="00F63B01" w:rsidRPr="00882F11">
        <w:rPr>
          <w:rFonts w:cs="Guttman Drogolin" w:hint="cs"/>
          <w:rtl/>
          <w:lang w:bidi="he-IL"/>
        </w:rPr>
        <w:t xml:space="preserve">הנה רש"י בדף צ"ח ע"א ד"ה אפרוח פי' הטעם שאוסר כשיש אפרוח בפנים משום "שהבשר נותן טעם". ולשון זה לא משמע כביאורו של הרמב"ן, רק שיש חילוק בין הפנים של סתם ביצה לפנים של ביצה שיש בה אפרוח, שאפרוח נותן טעם וחלבון וחלמון אינם נותנים טעם. וכן ראיתי שמדייקים מדברי התוס' דלא כרמב"ן, שהרי התוס' כתבו שלאו דוקא כשיש בה אפרוח צריכים </w:t>
      </w:r>
      <w:r w:rsidR="00F63B01" w:rsidRPr="00882F11">
        <w:rPr>
          <w:rFonts w:cs="Guttman Drogolin" w:hint="cs"/>
          <w:rtl/>
          <w:lang w:bidi="he-IL"/>
        </w:rPr>
        <w:lastRenderedPageBreak/>
        <w:t>ששים, אלא אפילו אם נמצ</w:t>
      </w:r>
      <w:r w:rsidR="00B92D44" w:rsidRPr="00882F11">
        <w:rPr>
          <w:rFonts w:cs="Guttman Drogolin" w:hint="cs"/>
          <w:rtl/>
          <w:lang w:bidi="he-IL"/>
        </w:rPr>
        <w:t>א בה דם צריך ששים כיון דשדא בה ת</w:t>
      </w:r>
      <w:r w:rsidR="00F63B01" w:rsidRPr="00882F11">
        <w:rPr>
          <w:rFonts w:cs="Guttman Drogolin" w:hint="cs"/>
          <w:rtl/>
          <w:lang w:bidi="he-IL"/>
        </w:rPr>
        <w:t>יכלא בכולה. ולכאורה לא שמענו שגם אם יש דם הק</w:t>
      </w:r>
      <w:r w:rsidR="00B92D44" w:rsidRPr="00882F11">
        <w:rPr>
          <w:rFonts w:cs="Guttman Drogolin" w:hint="cs"/>
          <w:rtl/>
          <w:lang w:bidi="he-IL"/>
        </w:rPr>
        <w:t>ליפה משתנה באופן שטעם עובר דרכו.</w:t>
      </w:r>
      <w:r w:rsidR="00F63B01" w:rsidRPr="00882F11">
        <w:rPr>
          <w:rFonts w:cs="Guttman Drogolin" w:hint="cs"/>
          <w:rtl/>
          <w:lang w:bidi="he-IL"/>
        </w:rPr>
        <w:t xml:space="preserve"> וא"כ לכאורה י"ל שהתוס' סוברים כמו רש"י, שהטעם שזה אסור וזה לא משום שלזה יש טעם ולזה לא.</w:t>
      </w:r>
      <w:r w:rsidR="00501A02">
        <w:rPr>
          <w:rFonts w:cs="Guttman Drogolin" w:hint="cs"/>
          <w:rtl/>
          <w:lang w:bidi="he-IL"/>
        </w:rPr>
        <w:t xml:space="preserve"> וכן משמע מהא ד</w:t>
      </w:r>
      <w:r w:rsidR="00B92D44" w:rsidRPr="00882F11">
        <w:rPr>
          <w:rFonts w:cs="Guttman Drogolin" w:hint="cs"/>
          <w:rtl/>
          <w:lang w:bidi="he-IL"/>
        </w:rPr>
        <w:t>נתנו טעם משום דשדי תיכלא</w:t>
      </w:r>
      <w:r w:rsidR="00F63B01" w:rsidRPr="00882F11">
        <w:rPr>
          <w:rFonts w:cs="Guttman Drogolin" w:hint="cs"/>
          <w:rtl/>
          <w:lang w:bidi="he-IL"/>
        </w:rPr>
        <w:t xml:space="preserve"> ומשמע מדברי רש"י ותוס' שהחילוק בין ביצה לשארי הדברים משום שלחלבון וחלמון אין טעם, רק לדברים אחרים. ויש בזה לכאורה נפק"מ בביאור המימרא ד</w:t>
      </w:r>
      <w:r w:rsidR="00501A02">
        <w:rPr>
          <w:rFonts w:cs="Guttman Drogolin" w:hint="cs"/>
          <w:rtl/>
          <w:lang w:bidi="he-IL"/>
        </w:rPr>
        <w:t>'</w:t>
      </w:r>
      <w:r w:rsidR="00F63B01" w:rsidRPr="00882F11">
        <w:rPr>
          <w:rFonts w:cs="Guttman Drogolin" w:hint="cs"/>
          <w:rtl/>
          <w:lang w:bidi="he-IL"/>
        </w:rPr>
        <w:t>כי מיא דביעי בעלמא</w:t>
      </w:r>
      <w:r w:rsidR="00501A02">
        <w:rPr>
          <w:rFonts w:cs="Guttman Drogolin" w:hint="cs"/>
          <w:rtl/>
          <w:lang w:bidi="he-IL"/>
        </w:rPr>
        <w:t>'</w:t>
      </w:r>
      <w:r w:rsidR="00F63B01" w:rsidRPr="00882F11">
        <w:rPr>
          <w:rFonts w:cs="Guttman Drogolin" w:hint="cs"/>
          <w:rtl/>
          <w:lang w:bidi="he-IL"/>
        </w:rPr>
        <w:t>. דלפי הפירוש הראשון י"ל שכוונת המימרא למים שבישלו בה את הביצים. אבל לפי' השני אפשר לומר שכוונת המימרא לחלבון הביצה עצמה.</w:t>
      </w:r>
    </w:p>
    <w:p w:rsidR="00F63B01" w:rsidRPr="00882F11" w:rsidRDefault="00F63B01" w:rsidP="00501A02">
      <w:pPr>
        <w:bidi/>
        <w:jc w:val="both"/>
        <w:rPr>
          <w:rFonts w:cs="Guttman Drogolin"/>
          <w:rtl/>
          <w:lang w:bidi="he-IL"/>
        </w:rPr>
      </w:pPr>
      <w:r w:rsidRPr="00882F11">
        <w:rPr>
          <w:rFonts w:cs="Guttman Drogolin" w:hint="cs"/>
          <w:rtl/>
          <w:lang w:bidi="he-IL"/>
        </w:rPr>
        <w:t>אלא דהנה התוס' עצמם כתבו לחלק בין קלופה לשאינה קלופה. ואם כל הטעם לחלק בין זה לזה משום שלזה יש טעם ולזה אין, מאי שנא קלופה מ</w:t>
      </w:r>
      <w:r w:rsidR="00501A02">
        <w:rPr>
          <w:rFonts w:cs="Guttman Drogolin" w:hint="cs"/>
          <w:rtl/>
          <w:lang w:bidi="he-IL"/>
        </w:rPr>
        <w:t>ש</w:t>
      </w:r>
      <w:r w:rsidRPr="00882F11">
        <w:rPr>
          <w:rFonts w:cs="Guttman Drogolin" w:hint="cs"/>
          <w:rtl/>
          <w:lang w:bidi="he-IL"/>
        </w:rPr>
        <w:t>אינה קלופה. וע"כ צריכים לומר שלעולם תרוייהו איתנהו בי', דעיקר החילוק בין ביצה לשארי הדברים הוא משום שזה טעמו קלוש וזה טעמו חזק. רק שגם טעם קלוש יכול לאסור וצריך ששים. אבל טעם קלוש שצריך לעבור דרך קליפה אין לה כח לאסור</w:t>
      </w:r>
      <w:r w:rsidR="00501A02">
        <w:rPr>
          <w:rStyle w:val="FootnoteReference"/>
          <w:rFonts w:cs="Guttman Drogolin"/>
          <w:rtl/>
          <w:lang w:bidi="he-IL"/>
        </w:rPr>
        <w:footnoteReference w:id="40"/>
      </w:r>
      <w:r w:rsidRPr="00882F11">
        <w:rPr>
          <w:rFonts w:cs="Guttman Drogolin" w:hint="cs"/>
          <w:rtl/>
          <w:lang w:bidi="he-IL"/>
        </w:rPr>
        <w:t>. וזהו בהדיא דלא כרמב"ן, שהרי הרמב"ן הי' צריך לומר שבביצת אפרוח הטעם לאסור משום חלישת הקליפה. ויוצא מחלוקת בין הרמב"ן לרש"י ותוס' לענין החילוק בין ביצה לשארי הדברים, שלתוס' הוא תלוי בקלישת טעם הפנים, ולרמב"ן תלוי בקליפה המפרידה.</w:t>
      </w:r>
    </w:p>
    <w:p w:rsidR="00F63B01" w:rsidRPr="00882F11" w:rsidRDefault="00F63B01" w:rsidP="00F63B01">
      <w:pPr>
        <w:bidi/>
        <w:jc w:val="both"/>
        <w:rPr>
          <w:rFonts w:cs="Guttman Drogolin"/>
          <w:rtl/>
          <w:lang w:bidi="he-IL"/>
        </w:rPr>
      </w:pPr>
      <w:r w:rsidRPr="00882F11">
        <w:rPr>
          <w:rFonts w:cs="Guttman Drogolin" w:hint="cs"/>
          <w:rtl/>
          <w:lang w:bidi="he-IL"/>
        </w:rPr>
        <w:t xml:space="preserve">ונחלקו האחרונים מה הדין בכגון ביצה שאיסורה במשהו, כגון איסור שיש לה מתירין, האם ביצה יאסור אותו או לא. ולרמב"ן לכאורה יהא הדין </w:t>
      </w:r>
      <w:r w:rsidRPr="00882F11">
        <w:rPr>
          <w:rFonts w:cs="Guttman Drogolin" w:hint="cs"/>
          <w:rtl/>
          <w:lang w:bidi="he-IL"/>
        </w:rPr>
        <w:lastRenderedPageBreak/>
        <w:t>שאינו אוסר, דהא הטעם להתיר משום שאין הטעם עובר את הקליפה. וכן משמע שם ברמב"ן שאין טעם עובר כלל. אבל לרש"י ותוס' י"ל שלעולם משהו עובר, רק שאינו מספיק לאסור. ולכן בדבר שאינו צריך טעם ואוסר במשהו לעולם יהא אסור. וכן משמע מאו"ז (עבודה זרה סי' רנ"ג) ומן המאירי בסוגיין ע"ש לשונו</w:t>
      </w:r>
      <w:r w:rsidR="00677067">
        <w:rPr>
          <w:rStyle w:val="FootnoteReference"/>
          <w:rFonts w:cs="Guttman Drogolin"/>
          <w:rtl/>
          <w:lang w:bidi="he-IL"/>
        </w:rPr>
        <w:footnoteReference w:id="41"/>
      </w:r>
      <w:r w:rsidRPr="00882F11">
        <w:rPr>
          <w:rFonts w:cs="Guttman Drogolin" w:hint="cs"/>
          <w:rtl/>
          <w:lang w:bidi="he-IL"/>
        </w:rPr>
        <w:t>.</w:t>
      </w:r>
    </w:p>
    <w:p w:rsidR="00F63B01" w:rsidRPr="00882F11" w:rsidRDefault="00F63B01" w:rsidP="0078079C">
      <w:pPr>
        <w:pStyle w:val="Heading1"/>
        <w:bidi/>
        <w:spacing w:before="0" w:line="360" w:lineRule="auto"/>
        <w:jc w:val="center"/>
        <w:rPr>
          <w:rFonts w:cs="Guttman Drogolin"/>
          <w:color w:val="auto"/>
          <w:sz w:val="24"/>
          <w:szCs w:val="24"/>
          <w:u w:val="single"/>
          <w:rtl/>
          <w:lang w:bidi="he-IL"/>
        </w:rPr>
      </w:pPr>
      <w:bookmarkStart w:id="27" w:name="_Toc496175292"/>
      <w:r w:rsidRPr="00882F11">
        <w:rPr>
          <w:rFonts w:cs="Guttman Drogolin" w:hint="cs"/>
          <w:color w:val="auto"/>
          <w:sz w:val="24"/>
          <w:szCs w:val="24"/>
          <w:u w:val="single"/>
          <w:rtl/>
          <w:lang w:bidi="he-IL"/>
        </w:rPr>
        <w:t>ההוא כזיתא דתרבא וכו'</w:t>
      </w:r>
      <w:bookmarkEnd w:id="27"/>
    </w:p>
    <w:p w:rsidR="00376606" w:rsidRPr="00882F11" w:rsidRDefault="00602A49" w:rsidP="00602A49">
      <w:pPr>
        <w:bidi/>
        <w:jc w:val="both"/>
        <w:rPr>
          <w:rFonts w:cs="Guttman Drogolin"/>
          <w:rtl/>
          <w:lang w:bidi="he-IL"/>
        </w:rPr>
      </w:pPr>
      <w:r>
        <w:rPr>
          <w:rFonts w:cs="Guttman Drogolin" w:hint="cs"/>
          <w:rtl/>
          <w:lang w:bidi="he-IL"/>
        </w:rPr>
        <w:t>איתא בגמ' "</w:t>
      </w:r>
      <w:r w:rsidRPr="00602A49">
        <w:rPr>
          <w:rFonts w:cs="Guttman Drogolin"/>
          <w:rtl/>
          <w:lang w:bidi="he-IL"/>
        </w:rPr>
        <w:t>ההוא כזיתא תרבא דנפל בדיקולא דבשרא, סבר רב אסי לשעוריה במאי דבלע דיקולא, אמרי ליה רבנן לרב אשי אטו דהיתרא בלע, דאיסורא לא בלע</w:t>
      </w:r>
      <w:r>
        <w:rPr>
          <w:rFonts w:cs="Guttman Drogolin" w:hint="cs"/>
          <w:rtl/>
          <w:lang w:bidi="he-IL"/>
        </w:rPr>
        <w:t>".</w:t>
      </w:r>
      <w:r w:rsidRPr="00602A49">
        <w:rPr>
          <w:rFonts w:cs="Guttman Drogolin"/>
          <w:rtl/>
          <w:lang w:bidi="he-IL"/>
        </w:rPr>
        <w:t xml:space="preserve"> </w:t>
      </w:r>
      <w:r>
        <w:rPr>
          <w:rFonts w:cs="Guttman Drogolin" w:hint="cs"/>
          <w:rtl/>
          <w:lang w:bidi="he-IL"/>
        </w:rPr>
        <w:t>ופי</w:t>
      </w:r>
      <w:r w:rsidR="00647D28" w:rsidRPr="00882F11">
        <w:rPr>
          <w:rFonts w:cs="Guttman Drogolin" w:hint="cs"/>
          <w:rtl/>
          <w:lang w:bidi="he-IL"/>
        </w:rPr>
        <w:t>רש"י ד</w:t>
      </w:r>
      <w:r>
        <w:rPr>
          <w:rFonts w:cs="Guttman Drogolin" w:hint="cs"/>
          <w:rtl/>
          <w:lang w:bidi="he-IL"/>
        </w:rPr>
        <w:t xml:space="preserve">דיקולא היינו </w:t>
      </w:r>
      <w:r w:rsidR="0025530F" w:rsidRPr="00882F11">
        <w:rPr>
          <w:rFonts w:cs="Guttman Drogolin" w:hint="cs"/>
          <w:rtl/>
          <w:lang w:bidi="he-IL"/>
        </w:rPr>
        <w:t>כלי שמבשלין בה בשר, וע' בתוס' איך זה נכנס בלשון דיקולא.</w:t>
      </w:r>
      <w:r w:rsidR="00376606" w:rsidRPr="00882F11">
        <w:rPr>
          <w:rFonts w:cs="Guttman Drogolin" w:hint="cs"/>
          <w:rtl/>
          <w:lang w:bidi="he-IL"/>
        </w:rPr>
        <w:t xml:space="preserve"> ו</w:t>
      </w:r>
      <w:r>
        <w:rPr>
          <w:rFonts w:cs="Guttman Drogolin" w:hint="cs"/>
          <w:rtl/>
          <w:lang w:bidi="he-IL"/>
        </w:rPr>
        <w:t xml:space="preserve">ביאר </w:t>
      </w:r>
      <w:r w:rsidR="00376606" w:rsidRPr="00882F11">
        <w:rPr>
          <w:rFonts w:cs="Guttman Drogolin" w:hint="cs"/>
          <w:rtl/>
          <w:lang w:bidi="he-IL"/>
        </w:rPr>
        <w:t xml:space="preserve">הרשב"א ביאר שרש"י הי' מוכרח לפרש </w:t>
      </w:r>
      <w:r>
        <w:rPr>
          <w:rFonts w:cs="Guttman Drogolin" w:hint="cs"/>
          <w:rtl/>
          <w:lang w:bidi="he-IL"/>
        </w:rPr>
        <w:t xml:space="preserve">כן ולא פי' שדיקולא הוא </w:t>
      </w:r>
      <w:r w:rsidR="00B92D44" w:rsidRPr="00882F11">
        <w:rPr>
          <w:rFonts w:cs="Guttman Drogolin" w:hint="cs"/>
          <w:rtl/>
          <w:lang w:bidi="he-IL"/>
        </w:rPr>
        <w:t>סל העשוי מעץ (שהוא הפשטות של לש</w:t>
      </w:r>
      <w:r w:rsidR="00376606" w:rsidRPr="00882F11">
        <w:rPr>
          <w:rFonts w:cs="Guttman Drogolin" w:hint="cs"/>
          <w:rtl/>
          <w:lang w:bidi="he-IL"/>
        </w:rPr>
        <w:t>ון דיקולא)</w:t>
      </w:r>
      <w:r w:rsidR="0025530F" w:rsidRPr="00882F11">
        <w:rPr>
          <w:rFonts w:cs="Guttman Drogolin" w:hint="cs"/>
          <w:rtl/>
          <w:lang w:bidi="he-IL"/>
        </w:rPr>
        <w:t xml:space="preserve"> </w:t>
      </w:r>
      <w:r w:rsidR="00376606" w:rsidRPr="00882F11">
        <w:rPr>
          <w:rFonts w:cs="Guttman Drogolin" w:hint="cs"/>
          <w:rtl/>
          <w:lang w:bidi="he-IL"/>
        </w:rPr>
        <w:t xml:space="preserve">משום שלדידי' ע"כ צריך להיות דמיירי ע"י בישול. וא"א לומר דמיירי במליחה, משום דסבר רש"י דלא מהני להתיר ס' במליחה כיון שאין האיסור מפעפע בכולו כדי להתיר. וכן אין לומר דמיירי בביטול החתיכות עצמן, שהרי יש כאן מין במינו, ושיטת רש"י דקיי"ל שמין במינו לא בטל (והוא דין אחר ולא שייך לדיני </w:t>
      </w:r>
      <w:r w:rsidR="00BF430F" w:rsidRPr="00882F11">
        <w:rPr>
          <w:rFonts w:cs="Guttman Drogolin" w:hint="cs"/>
          <w:rtl/>
          <w:lang w:bidi="he-IL"/>
        </w:rPr>
        <w:t>טעם כעיקר</w:t>
      </w:r>
      <w:r w:rsidR="00376606" w:rsidRPr="00882F11">
        <w:rPr>
          <w:rFonts w:cs="Guttman Drogolin" w:hint="cs"/>
          <w:rtl/>
          <w:lang w:bidi="he-IL"/>
        </w:rPr>
        <w:t>).</w:t>
      </w:r>
    </w:p>
    <w:p w:rsidR="00376606" w:rsidRPr="00882F11" w:rsidRDefault="00602A49" w:rsidP="00602A49">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ביטול בששים</w:instrText>
      </w:r>
      <w:r w:rsidRPr="00882F11">
        <w:rPr>
          <w:rFonts w:cs="Guttman Drogolin"/>
          <w:rtl/>
        </w:rPr>
        <w:instrText>:</w:instrText>
      </w:r>
      <w:r>
        <w:rPr>
          <w:rFonts w:cs="Guttman Drogolin" w:hint="cs"/>
          <w:rtl/>
          <w:lang w:bidi="he-IL"/>
        </w:rPr>
        <w:instrText>אי אזלינן בתר שיעור האיסור וההיתר שלפנינו</w:instrText>
      </w:r>
      <w:r w:rsidRPr="00882F11">
        <w:rPr>
          <w:rFonts w:cs="Guttman Drogolin"/>
        </w:rPr>
        <w:instrText xml:space="preserve">" </w:instrText>
      </w:r>
      <w:r w:rsidRPr="00882F11">
        <w:rPr>
          <w:rFonts w:cs="Guttman Drogolin"/>
          <w:rtl/>
          <w:lang w:bidi="he-IL"/>
        </w:rPr>
        <w:fldChar w:fldCharType="end"/>
      </w:r>
      <w:r w:rsidR="000212E8" w:rsidRPr="00882F11">
        <w:rPr>
          <w:rFonts w:cs="Guttman Drogolin"/>
          <w:rtl/>
          <w:lang w:bidi="he-IL"/>
        </w:rPr>
        <w:fldChar w:fldCharType="begin"/>
      </w:r>
      <w:r w:rsidR="000212E8" w:rsidRPr="00882F11">
        <w:rPr>
          <w:rFonts w:cs="Guttman Drogolin"/>
        </w:rPr>
        <w:instrText xml:space="preserve"> XE "</w:instrText>
      </w:r>
      <w:r w:rsidR="000212E8" w:rsidRPr="00882F11">
        <w:rPr>
          <w:rFonts w:cs="Guttman Drogolin" w:hint="cs"/>
          <w:rtl/>
          <w:lang w:bidi="he-IL"/>
        </w:rPr>
        <w:instrText>ביטול בששים</w:instrText>
      </w:r>
      <w:r w:rsidR="000212E8" w:rsidRPr="00882F11">
        <w:rPr>
          <w:rFonts w:cs="Guttman Drogolin"/>
          <w:rtl/>
        </w:rPr>
        <w:instrText>:</w:instrText>
      </w:r>
      <w:r w:rsidR="000212E8" w:rsidRPr="00882F11">
        <w:rPr>
          <w:rFonts w:cs="Guttman Drogolin" w:hint="cs"/>
          <w:rtl/>
          <w:lang w:bidi="he-IL"/>
        </w:rPr>
        <w:instrText>צירוף הבלוע בקדרה לשיעור ששים</w:instrText>
      </w:r>
      <w:r w:rsidR="000212E8" w:rsidRPr="00882F11">
        <w:rPr>
          <w:rFonts w:cs="Guttman Drogolin"/>
        </w:rPr>
        <w:instrText xml:space="preserve">" </w:instrText>
      </w:r>
      <w:r w:rsidR="000212E8" w:rsidRPr="00882F11">
        <w:rPr>
          <w:rFonts w:cs="Guttman Drogolin"/>
          <w:rtl/>
          <w:lang w:bidi="he-IL"/>
        </w:rPr>
        <w:fldChar w:fldCharType="end"/>
      </w:r>
      <w:r w:rsidR="0025530F" w:rsidRPr="00882F11">
        <w:rPr>
          <w:rFonts w:cs="Guttman Drogolin" w:hint="cs"/>
          <w:rtl/>
          <w:lang w:bidi="he-IL"/>
        </w:rPr>
        <w:t>ו</w:t>
      </w:r>
      <w:r w:rsidR="00376606" w:rsidRPr="00882F11">
        <w:rPr>
          <w:rFonts w:cs="Guttman Drogolin" w:hint="cs"/>
          <w:rtl/>
          <w:lang w:bidi="he-IL"/>
        </w:rPr>
        <w:t>רש"י פי' דמיירי באופן ש</w:t>
      </w:r>
      <w:r w:rsidR="00647D28" w:rsidRPr="00882F11">
        <w:rPr>
          <w:rFonts w:cs="Guttman Drogolin" w:hint="cs"/>
          <w:rtl/>
          <w:lang w:bidi="he-IL"/>
        </w:rPr>
        <w:t>עכשיו אין שיעור בהיתר לבטל את האיסור</w:t>
      </w:r>
      <w:r w:rsidR="0025530F" w:rsidRPr="00882F11">
        <w:rPr>
          <w:rFonts w:cs="Guttman Drogolin" w:hint="cs"/>
          <w:rtl/>
          <w:lang w:bidi="he-IL"/>
        </w:rPr>
        <w:t>. ומ"מ ס"ד שיכול הו</w:t>
      </w:r>
      <w:r w:rsidR="00B92D44" w:rsidRPr="00882F11">
        <w:rPr>
          <w:rFonts w:cs="Guttman Drogolin" w:hint="cs"/>
          <w:rtl/>
          <w:lang w:bidi="he-IL"/>
        </w:rPr>
        <w:t>א לבטל האיסור ע"י צירוף ההיתר ש</w:t>
      </w:r>
      <w:r w:rsidR="0025530F" w:rsidRPr="00882F11">
        <w:rPr>
          <w:rFonts w:cs="Guttman Drogolin" w:hint="cs"/>
          <w:rtl/>
          <w:lang w:bidi="he-IL"/>
        </w:rPr>
        <w:t>ב</w:t>
      </w:r>
      <w:r w:rsidR="00B92D44" w:rsidRPr="00882F11">
        <w:rPr>
          <w:rFonts w:cs="Guttman Drogolin" w:hint="cs"/>
          <w:rtl/>
          <w:lang w:bidi="he-IL"/>
        </w:rPr>
        <w:t>ל</w:t>
      </w:r>
      <w:r w:rsidR="0025530F" w:rsidRPr="00882F11">
        <w:rPr>
          <w:rFonts w:cs="Guttman Drogolin" w:hint="cs"/>
          <w:rtl/>
          <w:lang w:bidi="he-IL"/>
        </w:rPr>
        <w:t xml:space="preserve">ע הקדירה. וקס"ד שיש טעם לומר שבלע מספיק היתר לעומת האיסור כדי להתיר. ובזה דחו רבנן שמה"ת שיש בדפנות של הקדירה רק היתר כדי לבטל את האיסור, הא כמו שבלע היתר בלע גם איסור. והריטב"א התקשה לפירש"י שאם כדבריו מאי </w:t>
      </w:r>
      <w:r w:rsidR="0025530F" w:rsidRPr="00882F11">
        <w:rPr>
          <w:rFonts w:cs="Guttman Drogolin" w:hint="cs"/>
          <w:rtl/>
          <w:lang w:bidi="he-IL"/>
        </w:rPr>
        <w:lastRenderedPageBreak/>
        <w:t>קס"ד לגמ' מעיקרא. ופי' שמעשה שהי' שידעו כמה בשר של היתר הי' אע"פ שלא ידעו כמה איסור הי' מעיקרא. והי' מספיק היתר מעיקרא לבטל השיעור איסור שיש לנו עכשיו לפנינו. ולכן סבר ר' אשי למימר שאין לנו לדון אלא במה שעינינו רואות</w:t>
      </w:r>
      <w:r w:rsidR="00376606" w:rsidRPr="00882F11">
        <w:rPr>
          <w:rFonts w:cs="Guttman Drogolin" w:hint="cs"/>
          <w:rtl/>
          <w:lang w:bidi="he-IL"/>
        </w:rPr>
        <w:t xml:space="preserve">, וכיון שאנחנו יודעים </w:t>
      </w:r>
      <w:r>
        <w:rPr>
          <w:rFonts w:cs="Guttman Drogolin" w:hint="cs"/>
          <w:rtl/>
          <w:lang w:bidi="he-IL"/>
        </w:rPr>
        <w:t>ש</w:t>
      </w:r>
      <w:r w:rsidR="00376606" w:rsidRPr="00882F11">
        <w:rPr>
          <w:rFonts w:cs="Guttman Drogolin" w:hint="cs"/>
          <w:rtl/>
          <w:lang w:bidi="he-IL"/>
        </w:rPr>
        <w:t xml:space="preserve">מעיקרא הי' שיעור כדי לבטל, וגם עכשיו אין אנו יודעים </w:t>
      </w:r>
      <w:r>
        <w:rPr>
          <w:rFonts w:cs="Guttman Drogolin" w:hint="cs"/>
          <w:rtl/>
          <w:lang w:bidi="he-IL"/>
        </w:rPr>
        <w:t xml:space="preserve">דליכא שיעור לבטל, </w:t>
      </w:r>
      <w:r w:rsidR="00376606" w:rsidRPr="00882F11">
        <w:rPr>
          <w:rFonts w:cs="Guttman Drogolin" w:hint="cs"/>
          <w:rtl/>
          <w:lang w:bidi="he-IL"/>
        </w:rPr>
        <w:t xml:space="preserve">יתכן שיש במה שבלע הקדירה כדי להתיר האיסור, אפשר להקל ולבטל ע"פ השיעור היתר שהי' מעיקרא. ורבנן דוחים, שיש הסתברות שהקדירה בלעה לפי חשבון, וכיון שבלע שיעור מן ההיתר כמו שעינינו רואות, יש לנו לומר שבלע גם מן האיסור. ולכן אנחנו חייבים לומר שגם מעיקרא לא הי' שיעור בהיתר לבטל את האיסור כיון שגם חתיכת האיסור הי' יותר גדול. </w:t>
      </w:r>
    </w:p>
    <w:p w:rsidR="00BB07C9" w:rsidRPr="00882F11" w:rsidRDefault="00376606" w:rsidP="00376606">
      <w:pPr>
        <w:bidi/>
        <w:jc w:val="both"/>
        <w:rPr>
          <w:rFonts w:cs="Guttman Drogolin"/>
          <w:rtl/>
          <w:lang w:bidi="he-IL"/>
        </w:rPr>
      </w:pPr>
      <w:r w:rsidRPr="00882F11">
        <w:rPr>
          <w:rFonts w:cs="Guttman Drogolin" w:hint="cs"/>
          <w:rtl/>
          <w:lang w:bidi="he-IL"/>
        </w:rPr>
        <w:t>ומשמעות הריטב"א שזהו רק קולא מדרבנן, ע"ש כ</w:t>
      </w:r>
      <w:r w:rsidR="00602A49">
        <w:rPr>
          <w:rFonts w:cs="Guttman Drogolin" w:hint="cs"/>
          <w:rtl/>
          <w:lang w:bidi="he-IL"/>
        </w:rPr>
        <w:t>מה טעמים שאפשר להקל בזה. ומשמע שמ</w:t>
      </w:r>
      <w:r w:rsidRPr="00882F11">
        <w:rPr>
          <w:rFonts w:cs="Guttman Drogolin" w:hint="cs"/>
          <w:rtl/>
          <w:lang w:bidi="he-IL"/>
        </w:rPr>
        <w:t>עיקר הדין לא היינו הולכים אחר הידוע בלבד. אבל הרמב"ן כתב כעין פי' זה רק במליחה ולא בבישול משום שהבין דמיירי בסל מלשון דיקולא וכנ"ל (וצ"ע שהרי הרמב"ן סבר שאין החלב מפעפע באופן שאפשר לבטל בששים. וע' במאירי), והרמב"ן לא הדגיש דקס"ד הכי רק משום שהוא קולא בדין דרבנן. ומשמע דמעיקר הדין אמרינן הכי. וחזינן שמעיקר הדין יש לנו להקל ע"פ הידוע אע"פ שע"פ האינו יודע הי' אסור. אפילו לריטב"א י"ל שהוא דין מעיקר הדין רק שיש לנו כלל שאומר שכמו שבלע היתרא בלע איסורא, אבל אלמלא כלל זה אפשר לומר מעיקר הדין מותר, והא דהדגיש שהוא קולא מדרבנן י"ל משום שסבר דמעיקרא ג"כ ידענו מכלל זה רק דס"ד שאפשר להקל בדינים דרבנן.</w:t>
      </w:r>
      <w:r w:rsidR="00F63B01" w:rsidRPr="00882F11">
        <w:rPr>
          <w:rFonts w:cs="Guttman Drogolin" w:hint="cs"/>
          <w:rtl/>
          <w:lang w:bidi="he-IL"/>
        </w:rPr>
        <w:t xml:space="preserve">   </w:t>
      </w:r>
      <w:r w:rsidR="006C52A1" w:rsidRPr="00882F11">
        <w:rPr>
          <w:rFonts w:cs="Guttman Drogolin" w:hint="cs"/>
          <w:rtl/>
          <w:lang w:bidi="he-IL"/>
        </w:rPr>
        <w:t xml:space="preserve"> </w:t>
      </w:r>
    </w:p>
    <w:p w:rsidR="00BB07C9" w:rsidRPr="00882F11" w:rsidRDefault="00BB07C9" w:rsidP="0078079C">
      <w:pPr>
        <w:pStyle w:val="Heading1"/>
        <w:bidi/>
        <w:spacing w:before="0" w:line="360" w:lineRule="auto"/>
        <w:jc w:val="center"/>
        <w:rPr>
          <w:rFonts w:cs="Guttman Drogolin"/>
          <w:color w:val="auto"/>
          <w:sz w:val="24"/>
          <w:szCs w:val="24"/>
          <w:u w:val="single"/>
          <w:rtl/>
          <w:lang w:bidi="he-IL"/>
        </w:rPr>
      </w:pPr>
      <w:bookmarkStart w:id="28" w:name="_Toc496175293"/>
      <w:r w:rsidRPr="00882F11">
        <w:rPr>
          <w:rFonts w:cs="Guttman Drogolin" w:hint="cs"/>
          <w:color w:val="auto"/>
          <w:sz w:val="24"/>
          <w:szCs w:val="24"/>
          <w:u w:val="single"/>
          <w:rtl/>
          <w:lang w:bidi="he-IL"/>
        </w:rPr>
        <w:t xml:space="preserve">ההוא פלגא דזיתא </w:t>
      </w:r>
      <w:r w:rsidR="006C3130" w:rsidRPr="00882F11">
        <w:rPr>
          <w:rFonts w:cs="Guttman Drogolin" w:hint="cs"/>
          <w:color w:val="auto"/>
          <w:sz w:val="24"/>
          <w:szCs w:val="24"/>
          <w:u w:val="single"/>
          <w:rtl/>
          <w:lang w:bidi="he-IL"/>
        </w:rPr>
        <w:t xml:space="preserve">דתרבא </w:t>
      </w:r>
      <w:r w:rsidRPr="00882F11">
        <w:rPr>
          <w:rFonts w:cs="Guttman Drogolin" w:hint="cs"/>
          <w:color w:val="auto"/>
          <w:sz w:val="24"/>
          <w:szCs w:val="24"/>
          <w:u w:val="single"/>
          <w:rtl/>
          <w:lang w:bidi="he-IL"/>
        </w:rPr>
        <w:t>וכו'</w:t>
      </w:r>
      <w:bookmarkEnd w:id="28"/>
    </w:p>
    <w:p w:rsidR="00C47103" w:rsidRPr="00882F11" w:rsidRDefault="00DF0959" w:rsidP="00602A49">
      <w:pPr>
        <w:bidi/>
        <w:jc w:val="both"/>
        <w:rPr>
          <w:rFonts w:cs="Guttman Drogolin"/>
          <w:rtl/>
          <w:lang w:bidi="he-IL"/>
        </w:rPr>
      </w:pPr>
      <w:r w:rsidRPr="00882F11">
        <w:rPr>
          <w:rFonts w:cs="Guttman Drogolin" w:hint="cs"/>
          <w:rtl/>
          <w:lang w:bidi="he-IL"/>
        </w:rPr>
        <w:t>בגמ' מבואר שרצה ר' אשי להתיר חצי זית חלב שנפל לשלשים חצאי ביצים של היתר. ואמרו לו</w:t>
      </w:r>
      <w:r w:rsidR="00C47103" w:rsidRPr="00882F11">
        <w:rPr>
          <w:rFonts w:cs="Guttman Drogolin" w:hint="cs"/>
          <w:rtl/>
          <w:lang w:bidi="he-IL"/>
        </w:rPr>
        <w:t xml:space="preserve"> שאין לו לזלזל בשיעורים דרב</w:t>
      </w:r>
      <w:r w:rsidR="00B92D44" w:rsidRPr="00882F11">
        <w:rPr>
          <w:rFonts w:cs="Guttman Drogolin" w:hint="cs"/>
          <w:rtl/>
          <w:lang w:bidi="he-IL"/>
        </w:rPr>
        <w:t>נ</w:t>
      </w:r>
      <w:r w:rsidR="00C47103" w:rsidRPr="00882F11">
        <w:rPr>
          <w:rFonts w:cs="Guttman Drogolin" w:hint="cs"/>
          <w:rtl/>
          <w:lang w:bidi="he-IL"/>
        </w:rPr>
        <w:t>ן, ועוד דהרי ר' יוחנן סבר דחצי שיעור אסור מן התורה. ותמ</w:t>
      </w:r>
      <w:r w:rsidR="00602A49">
        <w:rPr>
          <w:rFonts w:cs="Guttman Drogolin" w:hint="cs"/>
          <w:rtl/>
          <w:lang w:bidi="he-IL"/>
        </w:rPr>
        <w:t>ה רע"א שמשמעת הגמ' היא שלשיטת ר"ל דסבר חצי שיעור אסור מדרבנן</w:t>
      </w:r>
      <w:r w:rsidR="00C47103" w:rsidRPr="00882F11">
        <w:rPr>
          <w:rFonts w:cs="Guttman Drogolin" w:hint="cs"/>
          <w:rtl/>
          <w:lang w:bidi="he-IL"/>
        </w:rPr>
        <w:t xml:space="preserve"> אין כאן איסור מן </w:t>
      </w:r>
      <w:r w:rsidR="00C47103" w:rsidRPr="00882F11">
        <w:rPr>
          <w:rFonts w:cs="Guttman Drogolin" w:hint="cs"/>
          <w:rtl/>
          <w:lang w:bidi="he-IL"/>
        </w:rPr>
        <w:lastRenderedPageBreak/>
        <w:t xml:space="preserve">התורה. וצ"ע דהא </w:t>
      </w:r>
      <w:r w:rsidR="00BF430F" w:rsidRPr="00882F11">
        <w:rPr>
          <w:rFonts w:cs="Guttman Drogolin" w:hint="cs"/>
          <w:rtl/>
          <w:lang w:bidi="he-IL"/>
        </w:rPr>
        <w:t>טעם כעיקר</w:t>
      </w:r>
      <w:r w:rsidR="00602A49">
        <w:rPr>
          <w:rFonts w:cs="Guttman Drogolin" w:hint="cs"/>
          <w:rtl/>
          <w:lang w:bidi="he-IL"/>
        </w:rPr>
        <w:t xml:space="preserve"> </w:t>
      </w:r>
      <w:r w:rsidR="00C47103" w:rsidRPr="00882F11">
        <w:rPr>
          <w:rFonts w:cs="Guttman Drogolin" w:hint="cs"/>
          <w:rtl/>
          <w:lang w:bidi="he-IL"/>
        </w:rPr>
        <w:t>דאורייתא.</w:t>
      </w:r>
      <w:r w:rsidRPr="00882F11">
        <w:rPr>
          <w:rFonts w:cs="Guttman Drogolin" w:hint="cs"/>
          <w:rtl/>
          <w:lang w:bidi="he-IL"/>
        </w:rPr>
        <w:t xml:space="preserve"> </w:t>
      </w:r>
      <w:r w:rsidR="00C47103" w:rsidRPr="00882F11">
        <w:rPr>
          <w:rFonts w:cs="Guttman Drogolin" w:hint="cs"/>
          <w:rtl/>
          <w:lang w:bidi="he-IL"/>
        </w:rPr>
        <w:t>ולאלו הסוברים דאע"ג ש</w:t>
      </w:r>
      <w:r w:rsidR="00BF430F" w:rsidRPr="00882F11">
        <w:rPr>
          <w:rFonts w:cs="Guttman Drogolin" w:hint="cs"/>
          <w:rtl/>
          <w:lang w:bidi="he-IL"/>
        </w:rPr>
        <w:t>טעם כעיקר</w:t>
      </w:r>
      <w:r w:rsidR="00602A49">
        <w:rPr>
          <w:rFonts w:cs="Guttman Drogolin" w:hint="cs"/>
          <w:rtl/>
          <w:lang w:bidi="he-IL"/>
        </w:rPr>
        <w:t xml:space="preserve"> </w:t>
      </w:r>
      <w:r w:rsidR="00C47103" w:rsidRPr="00882F11">
        <w:rPr>
          <w:rFonts w:cs="Guttman Drogolin" w:hint="cs"/>
          <w:rtl/>
          <w:lang w:bidi="he-IL"/>
        </w:rPr>
        <w:t>דאורייתא אפ"ה אינו עובר אא"כ אוכל שיעור טעם, הכא דליכא סה"כ אלא חצי זית לא יעבור אליבא דר"ל אע"ג ש</w:t>
      </w:r>
      <w:r w:rsidR="00BF430F" w:rsidRPr="00882F11">
        <w:rPr>
          <w:rFonts w:cs="Guttman Drogolin" w:hint="cs"/>
          <w:rtl/>
          <w:lang w:bidi="he-IL"/>
        </w:rPr>
        <w:t>טעם כעיקר</w:t>
      </w:r>
      <w:r w:rsidR="00C47103" w:rsidRPr="00882F11">
        <w:rPr>
          <w:rFonts w:cs="Guttman Drogolin" w:hint="cs"/>
          <w:rtl/>
          <w:lang w:bidi="he-IL"/>
        </w:rPr>
        <w:t xml:space="preserve"> מדאורייתא, דלא יהא טעמו גדול מעיקרו. אבל למ"ד ד</w:t>
      </w:r>
      <w:r w:rsidR="00BF430F" w:rsidRPr="00882F11">
        <w:rPr>
          <w:rFonts w:cs="Guttman Drogolin" w:hint="cs"/>
          <w:rtl/>
          <w:lang w:bidi="he-IL"/>
        </w:rPr>
        <w:t>טעם כעיקר</w:t>
      </w:r>
      <w:r w:rsidR="00C47103" w:rsidRPr="00882F11">
        <w:rPr>
          <w:rFonts w:cs="Guttman Drogolin" w:hint="cs"/>
          <w:rtl/>
          <w:lang w:bidi="he-IL"/>
        </w:rPr>
        <w:t xml:space="preserve"> דאורייתא ונהפך ההיתר להיות איסור, עדיין תיקשי, דהא כיון שנהפך גם ההיתר להיות איסור שפיר יש כאן שיעור אפילו אליבא דר' יוחנן. ובשלמא לשיטת רש"י לא קשה, דאע"ג דסבר שנה</w:t>
      </w:r>
      <w:r w:rsidR="00602A49">
        <w:rPr>
          <w:rFonts w:cs="Guttman Drogolin" w:hint="cs"/>
          <w:rtl/>
          <w:lang w:bidi="he-IL"/>
        </w:rPr>
        <w:t>פ</w:t>
      </w:r>
      <w:r w:rsidR="00C47103" w:rsidRPr="00882F11">
        <w:rPr>
          <w:rFonts w:cs="Guttman Drogolin" w:hint="cs"/>
          <w:rtl/>
          <w:lang w:bidi="he-IL"/>
        </w:rPr>
        <w:t xml:space="preserve">ך ההיתר להיות איסור למ"ד </w:t>
      </w:r>
      <w:r w:rsidR="00BF430F" w:rsidRPr="00882F11">
        <w:rPr>
          <w:rFonts w:cs="Guttman Drogolin" w:hint="cs"/>
          <w:rtl/>
          <w:lang w:bidi="he-IL"/>
        </w:rPr>
        <w:t>טעם כעיקר</w:t>
      </w:r>
      <w:r w:rsidR="00C47103" w:rsidRPr="00882F11">
        <w:rPr>
          <w:rFonts w:cs="Guttman Drogolin" w:hint="cs"/>
          <w:rtl/>
          <w:lang w:bidi="he-IL"/>
        </w:rPr>
        <w:t xml:space="preserve"> </w:t>
      </w:r>
      <w:r w:rsidR="00716180" w:rsidRPr="00882F11">
        <w:rPr>
          <w:rFonts w:cs="Guttman Drogolin" w:hint="cs"/>
          <w:rtl/>
          <w:lang w:bidi="he-IL"/>
        </w:rPr>
        <w:t>דאורייתא</w:t>
      </w:r>
      <w:r w:rsidR="00C47103" w:rsidRPr="00882F11">
        <w:rPr>
          <w:rFonts w:cs="Guttman Drogolin" w:hint="cs"/>
          <w:rtl/>
          <w:lang w:bidi="he-IL"/>
        </w:rPr>
        <w:t xml:space="preserve">, מ"מ הרי רש"י בסוף הסוגיא במס' פסחים סבר דרבנן דכותח הבבלי לא סברי דאמרינן </w:t>
      </w:r>
      <w:r w:rsidR="00BF430F" w:rsidRPr="00882F11">
        <w:rPr>
          <w:rFonts w:cs="Guttman Drogolin" w:hint="cs"/>
          <w:rtl/>
          <w:lang w:bidi="he-IL"/>
        </w:rPr>
        <w:t>טעם כעיקר</w:t>
      </w:r>
      <w:r w:rsidR="00C47103" w:rsidRPr="00882F11">
        <w:rPr>
          <w:rFonts w:cs="Guttman Drogolin" w:hint="cs"/>
          <w:rtl/>
          <w:lang w:bidi="he-IL"/>
        </w:rPr>
        <w:t xml:space="preserve"> והכי קיי"ל. וא"כ לא קשה מידי בסוגיא דידן די"ל שהוא אליבא דהלכתא דקיי"ל בה </w:t>
      </w:r>
      <w:r w:rsidR="00BF430F" w:rsidRPr="00882F11">
        <w:rPr>
          <w:rFonts w:cs="Guttman Drogolin" w:hint="cs"/>
          <w:rtl/>
          <w:lang w:bidi="he-IL"/>
        </w:rPr>
        <w:t>טעם כעיקר</w:t>
      </w:r>
      <w:r w:rsidR="00C47103" w:rsidRPr="00882F11">
        <w:rPr>
          <w:rFonts w:cs="Guttman Drogolin" w:hint="cs"/>
          <w:rtl/>
          <w:lang w:bidi="he-IL"/>
        </w:rPr>
        <w:t xml:space="preserve"> לאו דאורייתא. אבל לר"ת דסבר דקיי"ל ד</w:t>
      </w:r>
      <w:r w:rsidR="00BF430F" w:rsidRPr="00882F11">
        <w:rPr>
          <w:rFonts w:cs="Guttman Drogolin" w:hint="cs"/>
          <w:rtl/>
          <w:lang w:bidi="he-IL"/>
        </w:rPr>
        <w:t>טעם כעיקר</w:t>
      </w:r>
      <w:r w:rsidR="00C47103" w:rsidRPr="00882F11">
        <w:rPr>
          <w:rFonts w:cs="Guttman Drogolin" w:hint="cs"/>
          <w:rtl/>
          <w:lang w:bidi="he-IL"/>
        </w:rPr>
        <w:t xml:space="preserve"> </w:t>
      </w:r>
      <w:r w:rsidR="00716180" w:rsidRPr="00882F11">
        <w:rPr>
          <w:rFonts w:cs="Guttman Drogolin" w:hint="cs"/>
          <w:rtl/>
          <w:lang w:bidi="he-IL"/>
        </w:rPr>
        <w:t>דאורייתא</w:t>
      </w:r>
      <w:r w:rsidR="00C47103" w:rsidRPr="00882F11">
        <w:rPr>
          <w:rFonts w:cs="Guttman Drogolin" w:hint="cs"/>
          <w:rtl/>
          <w:lang w:bidi="he-IL"/>
        </w:rPr>
        <w:t xml:space="preserve">, וכן סבר שאם </w:t>
      </w:r>
      <w:r w:rsidR="00BF430F" w:rsidRPr="00882F11">
        <w:rPr>
          <w:rFonts w:cs="Guttman Drogolin" w:hint="cs"/>
          <w:rtl/>
          <w:lang w:bidi="he-IL"/>
        </w:rPr>
        <w:t>טעם כעיקר</w:t>
      </w:r>
      <w:r w:rsidR="00C47103" w:rsidRPr="00882F11">
        <w:rPr>
          <w:rFonts w:cs="Guttman Drogolin" w:hint="cs"/>
          <w:rtl/>
          <w:lang w:bidi="he-IL"/>
        </w:rPr>
        <w:t xml:space="preserve"> אז גם ההיתר נהפך להיות איסור מא"ל. ורע"א השאיר קושיא זו בצ"ע.</w:t>
      </w:r>
    </w:p>
    <w:p w:rsidR="006B6356" w:rsidRPr="00882F11" w:rsidRDefault="00624C82" w:rsidP="006B6356">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טעם כעיקר</w:instrText>
      </w:r>
      <w:r w:rsidRPr="00882F11">
        <w:rPr>
          <w:rFonts w:cs="Guttman Drogolin"/>
          <w:rtl/>
        </w:rPr>
        <w:instrText>:</w:instrText>
      </w:r>
      <w:r w:rsidRPr="00882F11">
        <w:rPr>
          <w:rFonts w:cs="Guttman Drogolin" w:hint="cs"/>
          <w:rtl/>
          <w:lang w:bidi="he-IL"/>
        </w:rPr>
        <w:instrText>שיטת ר' חיים כהן - ביאורו</w:instrText>
      </w:r>
      <w:r w:rsidRPr="00882F11">
        <w:rPr>
          <w:rFonts w:cs="Guttman Drogolin"/>
        </w:rPr>
        <w:instrText xml:space="preserve">" </w:instrText>
      </w:r>
      <w:r w:rsidRPr="00882F11">
        <w:rPr>
          <w:rFonts w:cs="Guttman Drogolin"/>
          <w:rtl/>
          <w:lang w:bidi="he-IL"/>
        </w:rPr>
        <w:fldChar w:fldCharType="end"/>
      </w:r>
      <w:r w:rsidR="00386C0E">
        <w:rPr>
          <w:rFonts w:cs="Guttman Drogolin" w:hint="cs"/>
          <w:rtl/>
          <w:lang w:bidi="he-IL"/>
        </w:rPr>
        <w:t>ו</w:t>
      </w:r>
      <w:r w:rsidR="00C47103" w:rsidRPr="00882F11">
        <w:rPr>
          <w:rFonts w:cs="Guttman Drogolin" w:hint="cs"/>
          <w:rtl/>
          <w:lang w:bidi="he-IL"/>
        </w:rPr>
        <w:t xml:space="preserve">הנה הרא"ש כאן באות ל"א </w:t>
      </w:r>
      <w:r w:rsidR="006B6356" w:rsidRPr="00882F11">
        <w:rPr>
          <w:rFonts w:cs="Guttman Drogolin" w:hint="cs"/>
          <w:rtl/>
          <w:lang w:bidi="he-IL"/>
        </w:rPr>
        <w:t xml:space="preserve">הביא שיטת רבינו חיים </w:t>
      </w:r>
      <w:r w:rsidR="001E1327" w:rsidRPr="00882F11">
        <w:rPr>
          <w:rFonts w:cs="Guttman Drogolin" w:hint="cs"/>
          <w:rtl/>
          <w:lang w:bidi="he-IL"/>
        </w:rPr>
        <w:t xml:space="preserve">כהן </w:t>
      </w:r>
      <w:r w:rsidR="006B6356" w:rsidRPr="00882F11">
        <w:rPr>
          <w:rFonts w:cs="Guttman Drogolin" w:hint="cs"/>
          <w:rtl/>
          <w:lang w:bidi="he-IL"/>
        </w:rPr>
        <w:t xml:space="preserve">שאמנם נהפך ההיתר להיות איסור, מ"מ לא אמרינן </w:t>
      </w:r>
      <w:r w:rsidR="00BF430F" w:rsidRPr="00882F11">
        <w:rPr>
          <w:rFonts w:cs="Guttman Drogolin" w:hint="cs"/>
          <w:rtl/>
          <w:lang w:bidi="he-IL"/>
        </w:rPr>
        <w:t>טעם כעיקר</w:t>
      </w:r>
      <w:r w:rsidR="006B6356" w:rsidRPr="00882F11">
        <w:rPr>
          <w:rFonts w:cs="Guttman Drogolin" w:hint="cs"/>
          <w:rtl/>
          <w:lang w:bidi="he-IL"/>
        </w:rPr>
        <w:t xml:space="preserve"> אא"כ יש בה כזית </w:t>
      </w:r>
      <w:r w:rsidR="00BF430F" w:rsidRPr="00882F11">
        <w:rPr>
          <w:rFonts w:cs="Guttman Drogolin" w:hint="cs"/>
          <w:rtl/>
          <w:lang w:bidi="he-IL"/>
        </w:rPr>
        <w:t>בכדי אכילת פרס</w:t>
      </w:r>
      <w:r w:rsidR="00395EEC">
        <w:rPr>
          <w:rFonts w:cs="Guttman Drogolin" w:hint="cs"/>
          <w:rtl/>
          <w:lang w:bidi="he-IL"/>
        </w:rPr>
        <w:t xml:space="preserve"> "כיון שיש כ"כ מן האיסור שב</w:t>
      </w:r>
      <w:r w:rsidR="006B6356" w:rsidRPr="00882F11">
        <w:rPr>
          <w:rFonts w:cs="Guttman Drogolin" w:hint="cs"/>
          <w:rtl/>
          <w:lang w:bidi="he-IL"/>
        </w:rPr>
        <w:t xml:space="preserve">תוך אכילת פרס אוכל כזית נעשה כולו איסור. וע' ב"י בסי' צ"ח שהעיר שלא ידוע לנו מי שחולק עליו בזה. ובחזו"א יו"ד סי' כ"ד ס"ק ה' הוכיח מכח הגמ' כאן דע"כ ליכא למ"ד </w:t>
      </w:r>
      <w:r w:rsidR="00BF430F" w:rsidRPr="00882F11">
        <w:rPr>
          <w:rFonts w:cs="Guttman Drogolin" w:hint="cs"/>
          <w:rtl/>
          <w:lang w:bidi="he-IL"/>
        </w:rPr>
        <w:t>טעם כעיקר</w:t>
      </w:r>
      <w:r w:rsidR="006B6356" w:rsidRPr="00882F11">
        <w:rPr>
          <w:rFonts w:cs="Guttman Drogolin" w:hint="cs"/>
          <w:rtl/>
          <w:lang w:bidi="he-IL"/>
        </w:rPr>
        <w:t xml:space="preserve"> ונהפך ההיתר להיות איסור אם לא נפל בה כזית </w:t>
      </w:r>
      <w:r w:rsidR="00BF430F" w:rsidRPr="00882F11">
        <w:rPr>
          <w:rFonts w:cs="Guttman Drogolin" w:hint="cs"/>
          <w:rtl/>
          <w:lang w:bidi="he-IL"/>
        </w:rPr>
        <w:t>בכדי אכילת פרס</w:t>
      </w:r>
      <w:r w:rsidR="006B6356" w:rsidRPr="00882F11">
        <w:rPr>
          <w:rFonts w:cs="Guttman Drogolin" w:hint="cs"/>
          <w:rtl/>
          <w:lang w:bidi="he-IL"/>
        </w:rPr>
        <w:t xml:space="preserve">, ולכן גם לר"ת בעינן לי' לכזית ובלי זה אינו עובר מדאורייתא אליבא דר"ל. </w:t>
      </w:r>
    </w:p>
    <w:p w:rsidR="00E71B8F" w:rsidRPr="00882F11" w:rsidRDefault="006B6356" w:rsidP="00513BFA">
      <w:pPr>
        <w:bidi/>
        <w:jc w:val="both"/>
        <w:rPr>
          <w:rFonts w:cs="Guttman Drogolin"/>
          <w:rtl/>
          <w:lang w:bidi="he-IL"/>
        </w:rPr>
      </w:pPr>
      <w:r w:rsidRPr="00882F11">
        <w:rPr>
          <w:rFonts w:cs="Guttman Drogolin" w:hint="cs"/>
          <w:rtl/>
          <w:lang w:bidi="he-IL"/>
        </w:rPr>
        <w:t xml:space="preserve">ושיטת ר' חיים </w:t>
      </w:r>
      <w:r w:rsidR="001E1327" w:rsidRPr="00882F11">
        <w:rPr>
          <w:rFonts w:cs="Guttman Drogolin" w:hint="cs"/>
          <w:rtl/>
          <w:lang w:bidi="he-IL"/>
        </w:rPr>
        <w:t xml:space="preserve">כהן </w:t>
      </w:r>
      <w:r w:rsidRPr="00882F11">
        <w:rPr>
          <w:rFonts w:cs="Guttman Drogolin" w:hint="cs"/>
          <w:rtl/>
          <w:lang w:bidi="he-IL"/>
        </w:rPr>
        <w:t xml:space="preserve">טעמא </w:t>
      </w:r>
      <w:r w:rsidR="00395EEC">
        <w:rPr>
          <w:rFonts w:cs="Guttman Drogolin" w:hint="cs"/>
          <w:rtl/>
          <w:lang w:bidi="he-IL"/>
        </w:rPr>
        <w:t>ב</w:t>
      </w:r>
      <w:r w:rsidRPr="00882F11">
        <w:rPr>
          <w:rFonts w:cs="Guttman Drogolin" w:hint="cs"/>
          <w:rtl/>
          <w:lang w:bidi="he-IL"/>
        </w:rPr>
        <w:t xml:space="preserve">עי, דלכאורה למה צריך כזית של טעם כדי לאסור מדין </w:t>
      </w:r>
      <w:r w:rsidR="00BF430F" w:rsidRPr="00882F11">
        <w:rPr>
          <w:rFonts w:cs="Guttman Drogolin" w:hint="cs"/>
          <w:rtl/>
          <w:lang w:bidi="he-IL"/>
        </w:rPr>
        <w:t>טעם כעיקר</w:t>
      </w:r>
      <w:r w:rsidR="00386C0E">
        <w:rPr>
          <w:rFonts w:cs="Guttman Drogolin" w:hint="cs"/>
          <w:rtl/>
          <w:lang w:bidi="he-IL"/>
        </w:rPr>
        <w:t xml:space="preserve">, הא לכאורה ביאור </w:t>
      </w:r>
      <w:r w:rsidRPr="00882F11">
        <w:rPr>
          <w:rFonts w:cs="Guttman Drogolin" w:hint="cs"/>
          <w:rtl/>
          <w:lang w:bidi="he-IL"/>
        </w:rPr>
        <w:t>השיטה שסובר</w:t>
      </w:r>
      <w:r w:rsidR="00386C0E">
        <w:rPr>
          <w:rFonts w:cs="Guttman Drogolin" w:hint="cs"/>
          <w:rtl/>
          <w:lang w:bidi="he-IL"/>
        </w:rPr>
        <w:t>ת</w:t>
      </w:r>
      <w:r w:rsidRPr="00882F11">
        <w:rPr>
          <w:rFonts w:cs="Guttman Drogolin" w:hint="cs"/>
          <w:rtl/>
          <w:lang w:bidi="he-IL"/>
        </w:rPr>
        <w:t xml:space="preserve"> שנהפך ההיתר להיות איסור הוא משום שכל מאכל שיש בה טעם איסור הרי הוא בעצמו חפצא של איסור. ולכן כיון שטועם איסור מה איכפת לן אם הטעם הוא משום נפילת כזית או חצי זית. </w:t>
      </w:r>
      <w:r w:rsidR="00E71B8F" w:rsidRPr="00882F11">
        <w:rPr>
          <w:rFonts w:cs="Guttman Drogolin" w:hint="cs"/>
          <w:rtl/>
          <w:lang w:bidi="he-IL"/>
        </w:rPr>
        <w:t xml:space="preserve">ובמנחת כהן כתב שהוא משום דבעינן טעם חשוב, ורק בשיעורא דכזית לכל פרס יש </w:t>
      </w:r>
      <w:r w:rsidR="00513BFA">
        <w:rPr>
          <w:rFonts w:cs="Guttman Drogolin" w:hint="cs"/>
          <w:rtl/>
          <w:lang w:bidi="he-IL"/>
        </w:rPr>
        <w:t>טעם מספיק חשוב כדי</w:t>
      </w:r>
      <w:r w:rsidR="00E71B8F" w:rsidRPr="00882F11">
        <w:rPr>
          <w:rFonts w:cs="Guttman Drogolin" w:hint="cs"/>
          <w:rtl/>
          <w:lang w:bidi="he-IL"/>
        </w:rPr>
        <w:t xml:space="preserve"> לאסור. ולכאורה יוצא לשיטתו שאין צורך </w:t>
      </w:r>
      <w:r w:rsidR="00E71B8F" w:rsidRPr="00882F11">
        <w:rPr>
          <w:rFonts w:cs="Guttman Drogolin" w:hint="cs"/>
          <w:rtl/>
          <w:lang w:bidi="he-IL"/>
        </w:rPr>
        <w:lastRenderedPageBreak/>
        <w:t xml:space="preserve">בכזית בעצם, ואפילו חצי זית בחצי פרס ג"כ יהא דאורייתא. ואינו במשמע, רק משמע שהוא דין בשיעור כזית ממש.  </w:t>
      </w:r>
    </w:p>
    <w:p w:rsidR="003C0FAA" w:rsidRPr="00882F11" w:rsidRDefault="006B6356" w:rsidP="00513BFA">
      <w:pPr>
        <w:bidi/>
        <w:jc w:val="both"/>
        <w:rPr>
          <w:rFonts w:cs="Guttman Drogolin"/>
          <w:rtl/>
          <w:lang w:bidi="he-IL"/>
        </w:rPr>
      </w:pPr>
      <w:r w:rsidRPr="00882F11">
        <w:rPr>
          <w:rFonts w:cs="Guttman Drogolin" w:hint="cs"/>
          <w:rtl/>
          <w:lang w:bidi="he-IL"/>
        </w:rPr>
        <w:t>ומצאתי לחי' רבינו חיים הלוי (פט"ו מהל' מאכ"א ד"ה</w:t>
      </w:r>
      <w:r w:rsidR="003E0DD6" w:rsidRPr="00882F11">
        <w:rPr>
          <w:rFonts w:cs="Guttman Drogolin" w:hint="cs"/>
          <w:rtl/>
          <w:lang w:bidi="he-IL"/>
        </w:rPr>
        <w:t xml:space="preserve"> ולפ"ז</w:t>
      </w:r>
      <w:r w:rsidRPr="00882F11">
        <w:rPr>
          <w:rFonts w:cs="Guttman Drogolin" w:hint="cs"/>
          <w:rtl/>
          <w:lang w:bidi="he-IL"/>
        </w:rPr>
        <w:t>) שכתב</w:t>
      </w:r>
      <w:r w:rsidR="003E0DD6" w:rsidRPr="00882F11">
        <w:rPr>
          <w:rFonts w:cs="Guttman Drogolin" w:hint="cs"/>
          <w:rtl/>
          <w:lang w:bidi="he-IL"/>
        </w:rPr>
        <w:t xml:space="preserve"> </w:t>
      </w:r>
      <w:r w:rsidR="00E71B8F" w:rsidRPr="00882F11">
        <w:rPr>
          <w:rFonts w:cs="Guttman Drogolin" w:hint="cs"/>
          <w:rtl/>
          <w:lang w:bidi="he-IL"/>
        </w:rPr>
        <w:t>בטע</w:t>
      </w:r>
      <w:r w:rsidR="00513BFA">
        <w:rPr>
          <w:rFonts w:cs="Guttman Drogolin" w:hint="cs"/>
          <w:rtl/>
          <w:lang w:bidi="he-IL"/>
        </w:rPr>
        <w:t>ם ד</w:t>
      </w:r>
      <w:r w:rsidR="00E71B8F" w:rsidRPr="00882F11">
        <w:rPr>
          <w:rFonts w:cs="Guttman Drogolin" w:hint="cs"/>
          <w:rtl/>
          <w:lang w:bidi="he-IL"/>
        </w:rPr>
        <w:t xml:space="preserve">בעינן שיעור כזית לומר </w:t>
      </w:r>
      <w:r w:rsidR="00BF430F" w:rsidRPr="00882F11">
        <w:rPr>
          <w:rFonts w:cs="Guttman Drogolin" w:hint="cs"/>
          <w:rtl/>
          <w:lang w:bidi="he-IL"/>
        </w:rPr>
        <w:t>טעם כעיקר</w:t>
      </w:r>
      <w:r w:rsidR="003E0DD6" w:rsidRPr="00882F11">
        <w:rPr>
          <w:rFonts w:cs="Guttman Drogolin" w:hint="cs"/>
          <w:rtl/>
          <w:lang w:bidi="he-IL"/>
        </w:rPr>
        <w:t xml:space="preserve"> "דבעינן בי' דין אכילה לעצם חלות השם טכע"ק, א"כ גם אם חסר בי' שיעורא דאכילה ג"כ לא חלה בי' עצם השם של טכע"ק, ול"ד לח"ש דכה"ת כולה, דשם איסור שעל החפץ ממילא הוא, והדין שיעורין הוא לענין אזהרת אכילתו, משא"כ הכא דבלא דין אכילה אין זה טכע"ק כלל, א"כ ממילא דגם בחסרון שיעורי' ג"כ לא חלה </w:t>
      </w:r>
      <w:r w:rsidR="00E71B8F" w:rsidRPr="00882F11">
        <w:rPr>
          <w:rFonts w:cs="Guttman Drogolin" w:hint="cs"/>
          <w:rtl/>
          <w:lang w:bidi="he-IL"/>
        </w:rPr>
        <w:t xml:space="preserve">בי' שמא </w:t>
      </w:r>
      <w:r w:rsidR="003E0DD6" w:rsidRPr="00882F11">
        <w:rPr>
          <w:rFonts w:cs="Guttman Drogolin" w:hint="cs"/>
          <w:rtl/>
          <w:lang w:bidi="he-IL"/>
        </w:rPr>
        <w:t>דטכע"ק"</w:t>
      </w:r>
      <w:r w:rsidR="00E71B8F" w:rsidRPr="00882F11">
        <w:rPr>
          <w:rFonts w:cs="Guttman Drogolin" w:hint="cs"/>
          <w:rtl/>
          <w:lang w:bidi="he-IL"/>
        </w:rPr>
        <w:t xml:space="preserve">. וראיתי מי שכתב בזה גם סברא אחרת, והוא שאין הענין של </w:t>
      </w:r>
      <w:r w:rsidR="00BF430F" w:rsidRPr="00882F11">
        <w:rPr>
          <w:rFonts w:cs="Guttman Drogolin" w:hint="cs"/>
          <w:rtl/>
          <w:lang w:bidi="he-IL"/>
        </w:rPr>
        <w:t>טעם כעיקר</w:t>
      </w:r>
      <w:r w:rsidR="00E71B8F" w:rsidRPr="00882F11">
        <w:rPr>
          <w:rFonts w:cs="Guttman Drogolin" w:hint="cs"/>
          <w:rtl/>
          <w:lang w:bidi="he-IL"/>
        </w:rPr>
        <w:t xml:space="preserve"> משום שטועם טעם איסור במאכליו, רק משום שיש לו תערובת שאפשר על ידו לעבור אאיסור של אכילת כזית מן האיסור. ובזה אמרינן דכיון שיכול לעבור ע"י אכילת כזית מעצם האיסור, אמ</w:t>
      </w:r>
      <w:r w:rsidR="0015146C" w:rsidRPr="00882F11">
        <w:rPr>
          <w:rFonts w:cs="Guttman Drogolin" w:hint="cs"/>
          <w:rtl/>
          <w:lang w:bidi="he-IL"/>
        </w:rPr>
        <w:t>רינן שלכל התערובת יש את הדין הזה, וע"י אכילת כל כזית ממנו עבר, אבל בתערובת שאי אפשר לעבור אאכילת כזית מעצם האיסור, א"א לעבור ג"כ אטעמו</w:t>
      </w:r>
      <w:r w:rsidR="0015146C" w:rsidRPr="00882F11">
        <w:rPr>
          <w:rStyle w:val="FootnoteReference"/>
          <w:rFonts w:cs="Guttman Drogolin"/>
          <w:rtl/>
          <w:lang w:bidi="he-IL"/>
        </w:rPr>
        <w:footnoteReference w:id="42"/>
      </w:r>
      <w:r w:rsidR="0015146C" w:rsidRPr="00882F11">
        <w:rPr>
          <w:rFonts w:cs="Guttman Drogolin" w:hint="cs"/>
          <w:rtl/>
          <w:lang w:bidi="he-IL"/>
        </w:rPr>
        <w:t>. ונפק"מ בין הפירושים</w:t>
      </w:r>
      <w:r w:rsidR="001E1327" w:rsidRPr="00882F11">
        <w:rPr>
          <w:rFonts w:cs="Guttman Drogolin" w:hint="cs"/>
          <w:rtl/>
          <w:lang w:bidi="he-IL"/>
        </w:rPr>
        <w:t xml:space="preserve"> </w:t>
      </w:r>
      <w:r w:rsidR="003C0FAA" w:rsidRPr="00882F11">
        <w:rPr>
          <w:rFonts w:cs="Guttman Drogolin" w:hint="cs"/>
          <w:rtl/>
          <w:lang w:bidi="he-IL"/>
        </w:rPr>
        <w:t>בכגון כותח הבבלי</w:t>
      </w:r>
      <w:r w:rsidR="0015146C" w:rsidRPr="00882F11">
        <w:rPr>
          <w:rFonts w:cs="Guttman Drogolin" w:hint="cs"/>
          <w:rtl/>
          <w:lang w:bidi="he-IL"/>
        </w:rPr>
        <w:t>. שאם כביאורו של המנח"כ</w:t>
      </w:r>
      <w:r w:rsidR="003C0FAA" w:rsidRPr="00882F11">
        <w:rPr>
          <w:rFonts w:cs="Guttman Drogolin" w:hint="cs"/>
          <w:rtl/>
          <w:lang w:bidi="he-IL"/>
        </w:rPr>
        <w:t xml:space="preserve"> לכאורה שפיר י"ל שעובר משום ד</w:t>
      </w:r>
      <w:r w:rsidR="00BF430F" w:rsidRPr="00882F11">
        <w:rPr>
          <w:rFonts w:cs="Guttman Drogolin" w:hint="cs"/>
          <w:rtl/>
          <w:lang w:bidi="he-IL"/>
        </w:rPr>
        <w:t>טעם כעיקר</w:t>
      </w:r>
      <w:r w:rsidR="003C0FAA" w:rsidRPr="00882F11">
        <w:rPr>
          <w:rFonts w:cs="Guttman Drogolin" w:hint="cs"/>
          <w:rtl/>
          <w:lang w:bidi="he-IL"/>
        </w:rPr>
        <w:t xml:space="preserve"> ונהפך כולו להיות איסור, </w:t>
      </w:r>
      <w:r w:rsidR="00942C5F" w:rsidRPr="00882F11">
        <w:rPr>
          <w:rFonts w:cs="Guttman Drogolin" w:hint="cs"/>
          <w:rtl/>
          <w:lang w:bidi="he-IL"/>
        </w:rPr>
        <w:t xml:space="preserve">דהא </w:t>
      </w:r>
      <w:r w:rsidR="003C0FAA" w:rsidRPr="00882F11">
        <w:rPr>
          <w:rFonts w:cs="Guttman Drogolin" w:hint="cs"/>
          <w:rtl/>
          <w:lang w:bidi="he-IL"/>
        </w:rPr>
        <w:t xml:space="preserve">יש כזית לכל פרס. אבל לפי הביאור האחרון לכאורה לא יעבור, דכיון שאינו יכול לבא לידי אכילת כזית </w:t>
      </w:r>
      <w:r w:rsidR="00BF430F" w:rsidRPr="00882F11">
        <w:rPr>
          <w:rFonts w:cs="Guttman Drogolin" w:hint="cs"/>
          <w:rtl/>
          <w:lang w:bidi="he-IL"/>
        </w:rPr>
        <w:t>בכדי אכילת פרס</w:t>
      </w:r>
      <w:r w:rsidR="003C0FAA" w:rsidRPr="00882F11">
        <w:rPr>
          <w:rFonts w:cs="Guttman Drogolin" w:hint="cs"/>
          <w:rtl/>
          <w:lang w:bidi="he-IL"/>
        </w:rPr>
        <w:t xml:space="preserve"> בעבירה, דהא אי אכיל לי' באפי נפשי' הוי שלא כדרך אכילתו, א"כ לא יהא בו דין </w:t>
      </w:r>
      <w:r w:rsidR="00BF430F" w:rsidRPr="00882F11">
        <w:rPr>
          <w:rFonts w:cs="Guttman Drogolin" w:hint="cs"/>
          <w:rtl/>
          <w:lang w:bidi="he-IL"/>
        </w:rPr>
        <w:t>טעם כעיקר</w:t>
      </w:r>
      <w:r w:rsidR="003C0FAA" w:rsidRPr="00882F11">
        <w:rPr>
          <w:rFonts w:cs="Guttman Drogolin" w:hint="cs"/>
          <w:rtl/>
          <w:lang w:bidi="he-IL"/>
        </w:rPr>
        <w:t xml:space="preserve"> ונהפך. וא"כ כיון שחזינן מרש"י שלמ"ד </w:t>
      </w:r>
      <w:r w:rsidR="00BF430F" w:rsidRPr="00882F11">
        <w:rPr>
          <w:rFonts w:cs="Guttman Drogolin" w:hint="cs"/>
          <w:rtl/>
          <w:lang w:bidi="he-IL"/>
        </w:rPr>
        <w:t>טעם כעיקר</w:t>
      </w:r>
      <w:r w:rsidR="003C0FAA" w:rsidRPr="00882F11">
        <w:rPr>
          <w:rFonts w:cs="Guttman Drogolin" w:hint="cs"/>
          <w:rtl/>
          <w:lang w:bidi="he-IL"/>
        </w:rPr>
        <w:t xml:space="preserve"> דאורייתא ע"כ הא דכותח הבבלי ג"כ לוקין עליו, ולכן הי' מוכרח לומר דע"כ רבנן דכותח הבבלי סוברים ש</w:t>
      </w:r>
      <w:r w:rsidR="00BF430F" w:rsidRPr="00882F11">
        <w:rPr>
          <w:rFonts w:cs="Guttman Drogolin" w:hint="cs"/>
          <w:rtl/>
          <w:lang w:bidi="he-IL"/>
        </w:rPr>
        <w:t>טעם כעיקר</w:t>
      </w:r>
      <w:r w:rsidR="001E1327" w:rsidRPr="00882F11">
        <w:rPr>
          <w:rFonts w:cs="Guttman Drogolin" w:hint="cs"/>
          <w:rtl/>
          <w:lang w:bidi="he-IL"/>
        </w:rPr>
        <w:t xml:space="preserve"> לאו דאורייתא. ע"כ צריכים לומר </w:t>
      </w:r>
      <w:r w:rsidR="003C0FAA" w:rsidRPr="00882F11">
        <w:rPr>
          <w:rFonts w:cs="Guttman Drogolin" w:hint="cs"/>
          <w:rtl/>
          <w:lang w:bidi="he-IL"/>
        </w:rPr>
        <w:t>כ</w:t>
      </w:r>
      <w:r w:rsidR="001E1327" w:rsidRPr="00882F11">
        <w:rPr>
          <w:rFonts w:cs="Guttman Drogolin" w:hint="cs"/>
          <w:rtl/>
          <w:lang w:bidi="he-IL"/>
        </w:rPr>
        <w:t>ב</w:t>
      </w:r>
      <w:r w:rsidR="003C0FAA" w:rsidRPr="00882F11">
        <w:rPr>
          <w:rFonts w:cs="Guttman Drogolin" w:hint="cs"/>
          <w:rtl/>
          <w:lang w:bidi="he-IL"/>
        </w:rPr>
        <w:t>יאורו של המנח"כ. ואולי ר' חיים אינו סובר כמו רש"י בנקודה זו, ולרש"י עצמו הא קיי"ל ד</w:t>
      </w:r>
      <w:r w:rsidR="00BF430F" w:rsidRPr="00882F11">
        <w:rPr>
          <w:rFonts w:cs="Guttman Drogolin" w:hint="cs"/>
          <w:rtl/>
          <w:lang w:bidi="he-IL"/>
        </w:rPr>
        <w:t>טעם כעיקר</w:t>
      </w:r>
      <w:r w:rsidR="003C0FAA" w:rsidRPr="00882F11">
        <w:rPr>
          <w:rFonts w:cs="Guttman Drogolin" w:hint="cs"/>
          <w:rtl/>
          <w:lang w:bidi="he-IL"/>
        </w:rPr>
        <w:t xml:space="preserve"> לאו דאורייתא. ויל"ע בזה יותר בהמשך הדברים.</w:t>
      </w:r>
    </w:p>
    <w:p w:rsidR="00974764" w:rsidRPr="00882F11" w:rsidRDefault="00513BFA" w:rsidP="00513BFA">
      <w:pPr>
        <w:bidi/>
        <w:jc w:val="both"/>
        <w:rPr>
          <w:rFonts w:cs="Guttman Drogolin"/>
          <w:rtl/>
          <w:lang w:bidi="he-IL"/>
        </w:rPr>
      </w:pPr>
      <w:r>
        <w:rPr>
          <w:rFonts w:cs="Guttman Drogolin" w:hint="cs"/>
          <w:rtl/>
          <w:lang w:bidi="he-IL"/>
        </w:rPr>
        <w:lastRenderedPageBreak/>
        <w:t xml:space="preserve">ומ"מ לענין סוגיא דידן הא ניחא לשיטת ר' חיים כהן, אבל </w:t>
      </w:r>
      <w:r w:rsidR="00E36BF6" w:rsidRPr="00882F11">
        <w:rPr>
          <w:rFonts w:cs="Guttman Drogolin" w:hint="cs"/>
          <w:rtl/>
          <w:lang w:bidi="he-IL"/>
        </w:rPr>
        <w:t>מהרא"ש ב</w:t>
      </w:r>
      <w:r w:rsidR="001E1327" w:rsidRPr="00882F11">
        <w:rPr>
          <w:rFonts w:cs="Guttman Drogolin" w:hint="cs"/>
          <w:rtl/>
          <w:lang w:bidi="he-IL"/>
        </w:rPr>
        <w:t xml:space="preserve">סוף </w:t>
      </w:r>
      <w:r w:rsidR="00E36BF6" w:rsidRPr="00882F11">
        <w:rPr>
          <w:rFonts w:cs="Guttman Drogolin" w:hint="cs"/>
          <w:rtl/>
          <w:lang w:bidi="he-IL"/>
        </w:rPr>
        <w:t xml:space="preserve">הלכות חלה מבואר דסבירא לי' אליבא דר"ת דאמרנן נהפך אפילו אם לא נפל כזית </w:t>
      </w:r>
      <w:r w:rsidR="00BF430F" w:rsidRPr="00882F11">
        <w:rPr>
          <w:rFonts w:cs="Guttman Drogolin" w:hint="cs"/>
          <w:rtl/>
          <w:lang w:bidi="he-IL"/>
        </w:rPr>
        <w:t>בכדי אכילת פרס</w:t>
      </w:r>
      <w:r w:rsidR="00E36BF6" w:rsidRPr="00882F11">
        <w:rPr>
          <w:rFonts w:cs="Guttman Drogolin" w:hint="cs"/>
          <w:rtl/>
          <w:lang w:bidi="he-IL"/>
        </w:rPr>
        <w:t>, וא"כ לדידי' עדיין תיקשי. ו</w:t>
      </w:r>
      <w:r w:rsidR="00A322AD" w:rsidRPr="00882F11">
        <w:rPr>
          <w:rFonts w:cs="Guttman Drogolin" w:hint="cs"/>
          <w:rtl/>
          <w:lang w:bidi="he-IL"/>
        </w:rPr>
        <w:t>נראה שיש ב</w:t>
      </w:r>
      <w:r w:rsidR="003C0FAA" w:rsidRPr="00882F11">
        <w:rPr>
          <w:rFonts w:cs="Guttman Drogolin" w:hint="cs"/>
          <w:rtl/>
          <w:lang w:bidi="he-IL"/>
        </w:rPr>
        <w:t xml:space="preserve">זה ג"כ תי' אחר. דהנה הבאנו לעיל שיש מי שאומר שאפילו למ"ד חצי שיעור אסור מן התורה, מ"מ אם הוא ע"י תערובת אינו אסור מדאורייתא. </w:t>
      </w:r>
      <w:r w:rsidR="00C3081C" w:rsidRPr="00882F11">
        <w:rPr>
          <w:rFonts w:cs="Guttman Drogolin" w:hint="cs"/>
          <w:rtl/>
          <w:lang w:bidi="he-IL"/>
        </w:rPr>
        <w:t xml:space="preserve">וביארו שמשו"ה לא הי' קשה בהא דקופות שיש מ"ד שכזית </w:t>
      </w:r>
      <w:r w:rsidR="00BF430F" w:rsidRPr="00882F11">
        <w:rPr>
          <w:rFonts w:cs="Guttman Drogolin" w:hint="cs"/>
          <w:rtl/>
          <w:lang w:bidi="he-IL"/>
        </w:rPr>
        <w:t>בכדי אכילת פרס</w:t>
      </w:r>
      <w:r w:rsidR="00C3081C" w:rsidRPr="00882F11">
        <w:rPr>
          <w:rFonts w:cs="Guttman Drogolin" w:hint="cs"/>
          <w:rtl/>
          <w:lang w:bidi="he-IL"/>
        </w:rPr>
        <w:t xml:space="preserve"> לאו </w:t>
      </w:r>
      <w:r w:rsidR="00716180" w:rsidRPr="00882F11">
        <w:rPr>
          <w:rFonts w:cs="Guttman Drogolin" w:hint="cs"/>
          <w:rtl/>
          <w:lang w:bidi="he-IL"/>
        </w:rPr>
        <w:t>דאורייתא</w:t>
      </w:r>
      <w:r w:rsidR="00C3081C" w:rsidRPr="00882F11">
        <w:rPr>
          <w:rFonts w:cs="Guttman Drogolin" w:hint="cs"/>
          <w:rtl/>
          <w:lang w:bidi="he-IL"/>
        </w:rPr>
        <w:t xml:space="preserve"> ולא אמרינן דהרי חצי שיעור אסור מן התורה. </w:t>
      </w:r>
      <w:r w:rsidR="00624C82" w:rsidRPr="00882F11">
        <w:rPr>
          <w:rFonts w:cs="Guttman Drogolin"/>
          <w:rtl/>
          <w:lang w:bidi="he-IL"/>
        </w:rPr>
        <w:fldChar w:fldCharType="begin"/>
      </w:r>
      <w:r w:rsidR="00624C82" w:rsidRPr="00882F11">
        <w:rPr>
          <w:rFonts w:cs="Guttman Drogolin"/>
        </w:rPr>
        <w:instrText xml:space="preserve"> XE "</w:instrText>
      </w:r>
      <w:r w:rsidR="00624C82" w:rsidRPr="00882F11">
        <w:rPr>
          <w:rFonts w:cs="Guttman Drogolin" w:hint="cs"/>
          <w:rtl/>
          <w:lang w:bidi="he-IL"/>
        </w:rPr>
        <w:instrText>חצי שיעור</w:instrText>
      </w:r>
      <w:r w:rsidR="00624C82" w:rsidRPr="00882F11">
        <w:rPr>
          <w:rFonts w:cs="Guttman Drogolin"/>
          <w:rtl/>
        </w:rPr>
        <w:instrText>:</w:instrText>
      </w:r>
      <w:r w:rsidR="00624C82" w:rsidRPr="00882F11">
        <w:rPr>
          <w:rFonts w:cs="Guttman Drogolin" w:hint="cs"/>
          <w:rtl/>
          <w:lang w:bidi="he-IL"/>
        </w:rPr>
        <w:instrText>ע</w:instrText>
      </w:r>
      <w:r w:rsidR="00624C82" w:rsidRPr="00882F11">
        <w:rPr>
          <w:rFonts w:eastAsiaTheme="minorEastAsia" w:cs="Guttman Drogolin"/>
          <w:lang w:bidi="he-IL"/>
        </w:rPr>
        <w:instrText>\</w:instrText>
      </w:r>
      <w:r w:rsidR="00624C82" w:rsidRPr="00882F11">
        <w:rPr>
          <w:rFonts w:cs="Guttman Drogolin" w:hint="cs"/>
          <w:rtl/>
          <w:lang w:bidi="he-IL"/>
        </w:rPr>
        <w:instrText>"י תערובת - דברי הר</w:instrText>
      </w:r>
      <w:r w:rsidR="00624C82" w:rsidRPr="00882F11">
        <w:rPr>
          <w:rFonts w:eastAsiaTheme="minorEastAsia" w:cs="Guttman Drogolin"/>
          <w:lang w:bidi="he-IL"/>
        </w:rPr>
        <w:instrText>\</w:instrText>
      </w:r>
      <w:r w:rsidR="00624C82" w:rsidRPr="00882F11">
        <w:rPr>
          <w:rFonts w:cs="Guttman Drogolin" w:hint="cs"/>
          <w:rtl/>
          <w:lang w:bidi="he-IL"/>
        </w:rPr>
        <w:instrText>"ש בנידון</w:instrText>
      </w:r>
      <w:r w:rsidR="00624C82" w:rsidRPr="00882F11">
        <w:rPr>
          <w:rFonts w:cs="Guttman Drogolin"/>
        </w:rPr>
        <w:instrText xml:space="preserve">" </w:instrText>
      </w:r>
      <w:r w:rsidR="00624C82" w:rsidRPr="00882F11">
        <w:rPr>
          <w:rFonts w:cs="Guttman Drogolin"/>
          <w:rtl/>
          <w:lang w:bidi="he-IL"/>
        </w:rPr>
        <w:fldChar w:fldCharType="end"/>
      </w:r>
      <w:r w:rsidR="00C3081C" w:rsidRPr="00882F11">
        <w:rPr>
          <w:rFonts w:cs="Guttman Drogolin" w:hint="cs"/>
          <w:rtl/>
          <w:lang w:bidi="he-IL"/>
        </w:rPr>
        <w:t xml:space="preserve">והר"ש בטבו"י דחה סברא זו מכח הגמ' כאן, דהרי הכא מיירי בחצי שיעור ע"י תערובת, </w:t>
      </w:r>
      <w:r w:rsidR="004E46F4" w:rsidRPr="00882F11">
        <w:rPr>
          <w:rFonts w:cs="Guttman Drogolin" w:hint="cs"/>
          <w:rtl/>
          <w:lang w:bidi="he-IL"/>
        </w:rPr>
        <w:t>ו</w:t>
      </w:r>
      <w:r w:rsidR="00C3081C" w:rsidRPr="00882F11">
        <w:rPr>
          <w:rFonts w:cs="Guttman Drogolin" w:hint="cs"/>
          <w:rtl/>
          <w:lang w:bidi="he-IL"/>
        </w:rPr>
        <w:t>מ"מ קאמר הגמ' דאי אפשר להקל כיון שר' יוחנן סבר דחצי שיעור אסור מן התורה. ורע"א תמה על דברי הר"ש, שהרי לפי</w:t>
      </w:r>
      <w:r>
        <w:rPr>
          <w:rFonts w:cs="Guttman Drogolin" w:hint="cs"/>
          <w:rtl/>
          <w:lang w:bidi="he-IL"/>
        </w:rPr>
        <w:t xml:space="preserve"> דבריו גם אילו הי' נופל כזית של</w:t>
      </w:r>
      <w:r w:rsidR="00C3081C" w:rsidRPr="00882F11">
        <w:rPr>
          <w:rFonts w:cs="Guttman Drogolin" w:hint="cs"/>
          <w:rtl/>
          <w:lang w:bidi="he-IL"/>
        </w:rPr>
        <w:t>ם לתוך שלשים חצאי זיתים ג"כ לא הי' צריך להיות מדאורייתא כיון שסוף כל סוף ליכא בתערובת כזית של איסור בתוך כדי אכילת פרס, וא"</w:t>
      </w:r>
      <w:r w:rsidR="00A66853" w:rsidRPr="00882F11">
        <w:rPr>
          <w:rFonts w:cs="Guttman Drogolin" w:hint="cs"/>
          <w:rtl/>
          <w:lang w:bidi="he-IL"/>
        </w:rPr>
        <w:t>כ למה אמרו חצי זית אפי</w:t>
      </w:r>
      <w:r w:rsidR="00974764" w:rsidRPr="00882F11">
        <w:rPr>
          <w:rFonts w:cs="Guttman Drogolin" w:hint="cs"/>
          <w:rtl/>
          <w:lang w:bidi="he-IL"/>
        </w:rPr>
        <w:t>ל</w:t>
      </w:r>
      <w:r w:rsidR="00A66853" w:rsidRPr="00882F11">
        <w:rPr>
          <w:rFonts w:cs="Guttman Drogolin" w:hint="cs"/>
          <w:rtl/>
          <w:lang w:bidi="he-IL"/>
        </w:rPr>
        <w:t>ו זית שלם. והוכיח מזה רע"א דע"כ אין קושיית הגמ' משום החצי זית שיש בתערובת עכשיו, רק משום חומרת החצי זית שהי' בשעת נפילה לתערובת שאנחנו רוצים עכשיו לבטלו</w:t>
      </w:r>
      <w:r w:rsidR="00783E7D" w:rsidRPr="00882F11">
        <w:rPr>
          <w:rStyle w:val="FootnoteReference"/>
          <w:rFonts w:cs="Guttman Drogolin"/>
          <w:rtl/>
          <w:lang w:bidi="he-IL"/>
        </w:rPr>
        <w:footnoteReference w:id="43"/>
      </w:r>
      <w:r w:rsidR="00974764" w:rsidRPr="00882F11">
        <w:rPr>
          <w:rFonts w:cs="Guttman Drogolin" w:hint="cs"/>
          <w:rtl/>
          <w:lang w:bidi="he-IL"/>
        </w:rPr>
        <w:t>, וזה הרי לא הי' בתערובת</w:t>
      </w:r>
      <w:r w:rsidR="00A66853" w:rsidRPr="00882F11">
        <w:rPr>
          <w:rFonts w:cs="Guttman Drogolin" w:hint="cs"/>
          <w:rtl/>
          <w:lang w:bidi="he-IL"/>
        </w:rPr>
        <w:t>.</w:t>
      </w:r>
      <w:r w:rsidR="00974764" w:rsidRPr="00882F11">
        <w:rPr>
          <w:rFonts w:cs="Guttman Drogolin" w:hint="cs"/>
          <w:rtl/>
          <w:lang w:bidi="he-IL"/>
        </w:rPr>
        <w:t xml:space="preserve"> ולכן נשאר רע"א בצ"ע ב</w:t>
      </w:r>
      <w:r w:rsidR="00E36BF6" w:rsidRPr="00882F11">
        <w:rPr>
          <w:rFonts w:cs="Guttman Drogolin" w:hint="cs"/>
          <w:rtl/>
          <w:lang w:bidi="he-IL"/>
        </w:rPr>
        <w:t>ה</w:t>
      </w:r>
      <w:r w:rsidR="00974764" w:rsidRPr="00882F11">
        <w:rPr>
          <w:rFonts w:cs="Guttman Drogolin" w:hint="cs"/>
          <w:rtl/>
          <w:lang w:bidi="he-IL"/>
        </w:rPr>
        <w:t>וכחת הר"ש.</w:t>
      </w:r>
    </w:p>
    <w:p w:rsidR="00804A99" w:rsidRPr="00882F11" w:rsidRDefault="00974764" w:rsidP="00974764">
      <w:pPr>
        <w:bidi/>
        <w:jc w:val="both"/>
        <w:rPr>
          <w:rFonts w:cs="Guttman Drogolin"/>
          <w:rtl/>
          <w:lang w:bidi="he-IL"/>
        </w:rPr>
      </w:pPr>
      <w:r w:rsidRPr="00882F11">
        <w:rPr>
          <w:rFonts w:cs="Guttman Drogolin" w:hint="cs"/>
          <w:rtl/>
          <w:lang w:bidi="he-IL"/>
        </w:rPr>
        <w:t>ונראה לעוק"ד להביא ראי' לפירושו של רע"א מדברי התוס' במס' ביצה דף ד' ע"ב.</w:t>
      </w:r>
      <w:r w:rsidR="00BD165E" w:rsidRPr="00882F11">
        <w:rPr>
          <w:rFonts w:cs="Guttman Drogolin" w:hint="cs"/>
          <w:rtl/>
          <w:lang w:bidi="he-IL"/>
        </w:rPr>
        <w:t xml:space="preserve"> </w:t>
      </w:r>
      <w:r w:rsidR="00513BFA">
        <w:rPr>
          <w:rFonts w:cs="Guttman Drogolin" w:hint="cs"/>
          <w:rtl/>
          <w:lang w:bidi="he-IL"/>
        </w:rPr>
        <w:t>ד</w:t>
      </w:r>
      <w:r w:rsidRPr="00882F11">
        <w:rPr>
          <w:rFonts w:cs="Guttman Drogolin" w:hint="cs"/>
          <w:rtl/>
          <w:lang w:bidi="he-IL"/>
        </w:rPr>
        <w:t xml:space="preserve">שיטת התוס' שם שמותר לבטל </w:t>
      </w:r>
      <w:r w:rsidR="00BD165E" w:rsidRPr="00882F11">
        <w:rPr>
          <w:rFonts w:cs="Guttman Drogolin" w:hint="cs"/>
          <w:rtl/>
          <w:lang w:bidi="he-IL"/>
        </w:rPr>
        <w:t>איסור דרבנן לכתחילה. אמנם הנ"מ באיסור דרבנן שאין לו עיקר מן התורה, אבל יש לו עיקר מן התורה אין מבטלין לכתחילה. וה</w:t>
      </w:r>
      <w:r w:rsidR="00804A99" w:rsidRPr="00882F11">
        <w:rPr>
          <w:rFonts w:cs="Guttman Drogolin" w:hint="cs"/>
          <w:rtl/>
          <w:lang w:bidi="he-IL"/>
        </w:rPr>
        <w:t>ו</w:t>
      </w:r>
      <w:r w:rsidR="00BD165E" w:rsidRPr="00882F11">
        <w:rPr>
          <w:rFonts w:cs="Guttman Drogolin" w:hint="cs"/>
          <w:rtl/>
          <w:lang w:bidi="he-IL"/>
        </w:rPr>
        <w:t>כיחו את זה מן הסוגיא שלנו, שלא הקילו בחצי זית של חלב שנכנס לתער</w:t>
      </w:r>
      <w:r w:rsidR="00804A99" w:rsidRPr="00882F11">
        <w:rPr>
          <w:rFonts w:cs="Guttman Drogolin" w:hint="cs"/>
          <w:rtl/>
          <w:lang w:bidi="he-IL"/>
        </w:rPr>
        <w:t>ו</w:t>
      </w:r>
      <w:r w:rsidR="00BD165E" w:rsidRPr="00882F11">
        <w:rPr>
          <w:rFonts w:cs="Guttman Drogolin" w:hint="cs"/>
          <w:rtl/>
          <w:lang w:bidi="he-IL"/>
        </w:rPr>
        <w:t>בת</w:t>
      </w:r>
      <w:r w:rsidR="00804A99" w:rsidRPr="00882F11">
        <w:rPr>
          <w:rFonts w:cs="Guttman Drogolin" w:hint="cs"/>
          <w:rtl/>
          <w:lang w:bidi="he-IL"/>
        </w:rPr>
        <w:t xml:space="preserve"> לבטל האיסור לכתחילה. וע"ש בצל"ח שתמה על דבריהם, דהא בסוגיין הסיקו שהוא אסור מדאורייתא משום שחצי שיעור אסור מן התורה. ושם בהגהות מהר"ץ חיות תי', שלעולם למסקנת הגמ' התערובת אינו אסור אלא מדרבנן ומשום </w:t>
      </w:r>
      <w:r w:rsidR="00804A99" w:rsidRPr="00882F11">
        <w:rPr>
          <w:rFonts w:cs="Guttman Drogolin" w:hint="cs"/>
          <w:rtl/>
          <w:lang w:bidi="he-IL"/>
        </w:rPr>
        <w:lastRenderedPageBreak/>
        <w:t>שחצי שיעור ע"י תערובת אינו אסור אלא מדרבנן וכנ"ל, וכוונת הגמ' שהאיסור אנחנו רוצים לבטל הוא דאורייתא, וכביאורו של רע"א הנ"ל.</w:t>
      </w:r>
    </w:p>
    <w:p w:rsidR="00E36BF6" w:rsidRPr="00882F11" w:rsidRDefault="00804A99" w:rsidP="00513BFA">
      <w:pPr>
        <w:bidi/>
        <w:jc w:val="both"/>
        <w:rPr>
          <w:rFonts w:cs="Guttman Drogolin"/>
          <w:rtl/>
          <w:lang w:bidi="he-IL"/>
        </w:rPr>
      </w:pPr>
      <w:r w:rsidRPr="00882F11">
        <w:rPr>
          <w:rFonts w:cs="Guttman Drogolin" w:hint="cs"/>
          <w:rtl/>
          <w:lang w:bidi="he-IL"/>
        </w:rPr>
        <w:t>ויש לזה עוד מקור מדברי הגר"א. שהרי בביאור</w:t>
      </w:r>
      <w:r w:rsidR="00B92D44" w:rsidRPr="00882F11">
        <w:rPr>
          <w:rFonts w:cs="Guttman Drogolin" w:hint="cs"/>
          <w:rtl/>
          <w:lang w:bidi="he-IL"/>
        </w:rPr>
        <w:t xml:space="preserve"> הגר"א מ</w:t>
      </w:r>
      <w:r w:rsidR="00B21853" w:rsidRPr="00882F11">
        <w:rPr>
          <w:rFonts w:cs="Guttman Drogolin" w:hint="cs"/>
          <w:rtl/>
          <w:lang w:bidi="he-IL"/>
        </w:rPr>
        <w:t>יו"ד רסי' צ"ח הוכיח מסוגיין דע"כ ח</w:t>
      </w:r>
      <w:r w:rsidR="00D560D8" w:rsidRPr="00882F11">
        <w:rPr>
          <w:rFonts w:cs="Guttman Drogolin" w:hint="cs"/>
          <w:rtl/>
          <w:lang w:bidi="he-IL"/>
        </w:rPr>
        <w:t>ל</w:t>
      </w:r>
      <w:r w:rsidR="00B21853" w:rsidRPr="00882F11">
        <w:rPr>
          <w:rFonts w:cs="Guttman Drogolin" w:hint="cs"/>
          <w:rtl/>
          <w:lang w:bidi="he-IL"/>
        </w:rPr>
        <w:t>ב ובשר לא הוי מין בשאינו מינו רק מין במינו.</w:t>
      </w:r>
      <w:r w:rsidR="00D560D8" w:rsidRPr="00882F11">
        <w:rPr>
          <w:rFonts w:cs="Guttman Drogolin" w:hint="cs"/>
          <w:rtl/>
          <w:lang w:bidi="he-IL"/>
        </w:rPr>
        <w:t xml:space="preserve"> וטעמ</w:t>
      </w:r>
      <w:r w:rsidR="00513BFA">
        <w:rPr>
          <w:rFonts w:cs="Guttman Drogolin" w:hint="cs"/>
          <w:rtl/>
          <w:lang w:bidi="he-IL"/>
        </w:rPr>
        <w:t>א</w:t>
      </w:r>
      <w:r w:rsidR="00D560D8" w:rsidRPr="00882F11">
        <w:rPr>
          <w:rFonts w:cs="Guttman Drogolin" w:hint="cs"/>
          <w:rtl/>
          <w:lang w:bidi="he-IL"/>
        </w:rPr>
        <w:t xml:space="preserve"> דילי' משום דאילו הי' איסור דאורייתא לא היו מקילים </w:t>
      </w:r>
      <w:r w:rsidR="00E36BF6" w:rsidRPr="00882F11">
        <w:rPr>
          <w:rFonts w:cs="Guttman Drogolin" w:hint="cs"/>
          <w:rtl/>
          <w:lang w:bidi="he-IL"/>
        </w:rPr>
        <w:t>אפילו מעיקרא לבטלו בשלשים. ושוב לדעת הגר"א צ"ע שאם הוא מין במינו מאי אהני לן שחצי שיעור אסור מן התורה, הא מדאורייתא ברובא בטיל. וע"כ גם הגר"א יפרש כנ"ל.</w:t>
      </w:r>
    </w:p>
    <w:p w:rsidR="00E36BF6" w:rsidRPr="00882F11" w:rsidRDefault="00E36BF6" w:rsidP="00E36BF6">
      <w:pPr>
        <w:bidi/>
        <w:jc w:val="both"/>
        <w:rPr>
          <w:rFonts w:cs="Guttman Drogolin"/>
          <w:rtl/>
          <w:lang w:bidi="he-IL"/>
        </w:rPr>
      </w:pPr>
      <w:r w:rsidRPr="00882F11">
        <w:rPr>
          <w:rFonts w:cs="Guttman Drogolin" w:hint="cs"/>
          <w:rtl/>
          <w:lang w:bidi="he-IL"/>
        </w:rPr>
        <w:t xml:space="preserve">ועכ"פ לפי דברי הסוברים דחלב ובשר הוו מין במינו ג"כ מיושב הקושיא למ"ד </w:t>
      </w:r>
      <w:r w:rsidR="00BF430F" w:rsidRPr="00882F11">
        <w:rPr>
          <w:rFonts w:cs="Guttman Drogolin" w:hint="cs"/>
          <w:rtl/>
          <w:lang w:bidi="he-IL"/>
        </w:rPr>
        <w:t>טעם כעיקר</w:t>
      </w:r>
      <w:r w:rsidRPr="00882F11">
        <w:rPr>
          <w:rFonts w:cs="Guttman Drogolin" w:hint="cs"/>
          <w:rtl/>
          <w:lang w:bidi="he-IL"/>
        </w:rPr>
        <w:t xml:space="preserve"> דאורייתא ואמרינן נהפך, דלעולם אין התערובת אסור מדאורייתא כיון שהוא מין במינו. וכוונת הגמ' בהא דחצי שיעור אסור מן התורה היינו שמחמירים על האיסור שנפל בה שאנחנו רוצים עכשיו לבטלו וכמש"כ הגרע"א. </w:t>
      </w:r>
    </w:p>
    <w:p w:rsidR="00513BFA" w:rsidRDefault="00E36BF6" w:rsidP="0047697D">
      <w:pPr>
        <w:bidi/>
        <w:jc w:val="both"/>
        <w:rPr>
          <w:rFonts w:cs="Guttman Drogolin"/>
          <w:rtl/>
          <w:lang w:bidi="he-IL"/>
        </w:rPr>
      </w:pPr>
      <w:r w:rsidRPr="00882F11">
        <w:rPr>
          <w:rFonts w:cs="Guttman Drogolin" w:hint="cs"/>
          <w:rtl/>
          <w:lang w:bidi="he-IL"/>
        </w:rPr>
        <w:t>ולענין הקושיא של רע"א האמת היא שאיני יודע אם הבנתי אותו כראוי. שקושייתו היא למה אמרו פלגא דזיתא, הא אפילו זית שלם כיון שסוף סו</w:t>
      </w:r>
      <w:r w:rsidR="00783E7D" w:rsidRPr="00882F11">
        <w:rPr>
          <w:rFonts w:cs="Guttman Drogolin" w:hint="cs"/>
          <w:rtl/>
          <w:lang w:bidi="he-IL"/>
        </w:rPr>
        <w:t>ף</w:t>
      </w:r>
      <w:r w:rsidRPr="00882F11">
        <w:rPr>
          <w:rFonts w:cs="Guttman Drogolin" w:hint="cs"/>
          <w:rtl/>
          <w:lang w:bidi="he-IL"/>
        </w:rPr>
        <w:t xml:space="preserve"> בתערובת לא יהי' כזית </w:t>
      </w:r>
      <w:r w:rsidR="00BF430F" w:rsidRPr="00882F11">
        <w:rPr>
          <w:rFonts w:cs="Guttman Drogolin" w:hint="cs"/>
          <w:rtl/>
          <w:lang w:bidi="he-IL"/>
        </w:rPr>
        <w:t>בכדי אכילת פרס</w:t>
      </w:r>
      <w:r w:rsidRPr="00882F11">
        <w:rPr>
          <w:rFonts w:cs="Guttman Drogolin" w:hint="cs"/>
          <w:rtl/>
          <w:lang w:bidi="he-IL"/>
        </w:rPr>
        <w:t>.</w:t>
      </w:r>
      <w:r w:rsidR="00783E7D" w:rsidRPr="00882F11">
        <w:rPr>
          <w:rFonts w:cs="Guttman Drogolin" w:hint="cs"/>
          <w:rtl/>
          <w:lang w:bidi="he-IL"/>
        </w:rPr>
        <w:t xml:space="preserve"> ולכאורה אינו מובן, דאיך אפשר לו לגמ' לומר דנפל בה כזית, הא מעשה שהי' כך הי' שנפל בה חצי זית. ולכאורה כוונתו רע"א שמזה שהדגישו שהי' חצי זית משמע שזהו נפק"מ לדינא, דאל"כ הול"ל לגמ' לומר רק ההוא תרבא שנפל לתוך ל' כמותו. ומ"מ לדעת הר"ש אולי יש מקום לומר דאה"נ ולא הי' צריך להיות חצי זית חלב עד כמה שבתערובת ליכא כזית </w:t>
      </w:r>
      <w:r w:rsidR="00BF430F" w:rsidRPr="00882F11">
        <w:rPr>
          <w:rFonts w:cs="Guttman Drogolin" w:hint="cs"/>
          <w:rtl/>
          <w:lang w:bidi="he-IL"/>
        </w:rPr>
        <w:t>בכדי אכילת פרס</w:t>
      </w:r>
      <w:r w:rsidR="00783E7D" w:rsidRPr="00882F11">
        <w:rPr>
          <w:rFonts w:cs="Guttman Drogolin" w:hint="cs"/>
          <w:rtl/>
          <w:lang w:bidi="he-IL"/>
        </w:rPr>
        <w:t>, אבל מעשה שהי' כך הי' בחצי זית. וצ"ע.</w:t>
      </w:r>
    </w:p>
    <w:p w:rsidR="00BB07C9" w:rsidRPr="00882F11" w:rsidRDefault="00513BFA" w:rsidP="00513BFA">
      <w:pPr>
        <w:bidi/>
        <w:jc w:val="both"/>
        <w:rPr>
          <w:rFonts w:cs="Guttman Drogolin"/>
          <w:rtl/>
          <w:lang w:bidi="he-IL"/>
        </w:rPr>
      </w:pPr>
      <w:r>
        <w:rPr>
          <w:rFonts w:cs="Guttman Drogolin" w:hint="cs"/>
          <w:rtl/>
          <w:lang w:bidi="he-IL"/>
        </w:rPr>
        <w:t xml:space="preserve">ומ"מ כיון שע"פ הנ"ל קושיית הגמ' מן הכזית דמעיקרא ולא מן התערובת, אולי הי' עולה על הדעת לומר דאה"נ ואם יתערב יהא אסור משום דטכ"ע דאורייתא, אבל אין כוונת הגמ' אלא מן הכזית דמעיקרא. אמנם נראה פשוט שרע"א (לשיטתו) ג"כ עמד על זה, רק סבר דזה לבד שהכזית דמעיקרא הוי דרבנן אינו מספיק אם עצם התערובת יהא מדאורייתא, וכ"ש הוא. אמנם </w:t>
      </w:r>
      <w:r>
        <w:rPr>
          <w:rFonts w:cs="Guttman Drogolin" w:hint="cs"/>
          <w:rtl/>
          <w:lang w:bidi="he-IL"/>
        </w:rPr>
        <w:lastRenderedPageBreak/>
        <w:t>עדיין י"ל כמש"כ הגר"א דחלב ובשר ע"כ הוו מין במינו, ולכן ליכא טכ"ע מדאורייתא. ומשו"ה לר"ל ניחא. וע"כ רע"א הקשה למ"ד דחלב ובשר הוו  מין בשא"מ.</w:t>
      </w:r>
      <w:r w:rsidR="00E36BF6" w:rsidRPr="00882F11">
        <w:rPr>
          <w:rFonts w:cs="Guttman Drogolin" w:hint="cs"/>
          <w:rtl/>
          <w:lang w:bidi="he-IL"/>
        </w:rPr>
        <w:t xml:space="preserve">  </w:t>
      </w:r>
      <w:r w:rsidR="00E71B8F" w:rsidRPr="00882F11">
        <w:rPr>
          <w:rFonts w:cs="Guttman Drogolin" w:hint="cs"/>
          <w:rtl/>
          <w:lang w:bidi="he-IL"/>
        </w:rPr>
        <w:t xml:space="preserve"> </w:t>
      </w:r>
      <w:r w:rsidR="006B6356" w:rsidRPr="00882F11">
        <w:rPr>
          <w:rFonts w:cs="Guttman Drogolin" w:hint="cs"/>
          <w:rtl/>
          <w:lang w:bidi="he-IL"/>
        </w:rPr>
        <w:t xml:space="preserve">  </w:t>
      </w:r>
    </w:p>
    <w:p w:rsidR="00FE4985" w:rsidRPr="00882F11" w:rsidRDefault="00FE4985" w:rsidP="00FE4985">
      <w:pPr>
        <w:bidi/>
        <w:jc w:val="both"/>
        <w:rPr>
          <w:rFonts w:cs="Guttman Drogolin"/>
          <w:rtl/>
          <w:lang w:bidi="he-IL"/>
        </w:rPr>
        <w:sectPr w:rsidR="00FE4985" w:rsidRPr="00882F11" w:rsidSect="00F844F3">
          <w:type w:val="continuous"/>
          <w:pgSz w:w="11907" w:h="16839" w:code="9"/>
          <w:pgMar w:top="1440" w:right="1440" w:bottom="1440" w:left="1440" w:header="720" w:footer="720" w:gutter="0"/>
          <w:cols w:num="2" w:space="720"/>
          <w:bidi/>
          <w:docGrid w:linePitch="360"/>
        </w:sectPr>
      </w:pPr>
    </w:p>
    <w:p w:rsidR="00FE4985" w:rsidRPr="00882F11" w:rsidRDefault="00FE4985" w:rsidP="00FE4985">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ו'</w:t>
      </w:r>
    </w:p>
    <w:p w:rsidR="00882F11" w:rsidRDefault="00882F11" w:rsidP="0078079C">
      <w:pPr>
        <w:pStyle w:val="Heading1"/>
        <w:bidi/>
        <w:spacing w:before="0" w:line="360" w:lineRule="auto"/>
        <w:jc w:val="center"/>
        <w:rPr>
          <w:rFonts w:cs="Guttman Drogolin"/>
          <w:color w:val="auto"/>
          <w:sz w:val="24"/>
          <w:szCs w:val="24"/>
          <w:u w:val="single"/>
          <w:rtl/>
          <w:lang w:bidi="he-IL"/>
        </w:rPr>
        <w:sectPr w:rsidR="00882F11" w:rsidSect="00882F11">
          <w:headerReference w:type="default" r:id="rId16"/>
          <w:pgSz w:w="11907" w:h="16839" w:code="9"/>
          <w:pgMar w:top="1440" w:right="1440" w:bottom="1440" w:left="1440" w:header="720" w:footer="720" w:gutter="0"/>
          <w:cols w:space="720"/>
          <w:bidi/>
          <w:docGrid w:linePitch="360"/>
        </w:sectPr>
      </w:pPr>
    </w:p>
    <w:p w:rsidR="00FE4985" w:rsidRPr="00882F11" w:rsidRDefault="00142AD8" w:rsidP="0078079C">
      <w:pPr>
        <w:pStyle w:val="Heading1"/>
        <w:bidi/>
        <w:spacing w:before="0" w:line="360" w:lineRule="auto"/>
        <w:jc w:val="center"/>
        <w:rPr>
          <w:rFonts w:cs="Guttman Drogolin"/>
          <w:color w:val="auto"/>
          <w:sz w:val="24"/>
          <w:szCs w:val="24"/>
          <w:u w:val="single"/>
          <w:rtl/>
          <w:lang w:bidi="he-IL"/>
        </w:rPr>
      </w:pPr>
      <w:bookmarkStart w:id="29" w:name="_Toc496175294"/>
      <w:r w:rsidRPr="00882F11">
        <w:rPr>
          <w:rFonts w:cs="Guttman Drogolin" w:hint="cs"/>
          <w:color w:val="auto"/>
          <w:sz w:val="24"/>
          <w:szCs w:val="24"/>
          <w:u w:val="single"/>
          <w:rtl/>
          <w:lang w:bidi="he-IL"/>
        </w:rPr>
        <w:lastRenderedPageBreak/>
        <w:t>ביאור השיט</w:t>
      </w:r>
      <w:r w:rsidR="00423A9C" w:rsidRPr="00882F11">
        <w:rPr>
          <w:rFonts w:cs="Guttman Drogolin" w:hint="cs"/>
          <w:color w:val="auto"/>
          <w:sz w:val="24"/>
          <w:szCs w:val="24"/>
          <w:u w:val="single"/>
          <w:rtl/>
          <w:lang w:bidi="he-IL"/>
        </w:rPr>
        <w:t>ה</w:t>
      </w:r>
      <w:r w:rsidRPr="00882F11">
        <w:rPr>
          <w:rFonts w:cs="Guttman Drogolin" w:hint="cs"/>
          <w:color w:val="auto"/>
          <w:sz w:val="24"/>
          <w:szCs w:val="24"/>
          <w:u w:val="single"/>
          <w:rtl/>
          <w:lang w:bidi="he-IL"/>
        </w:rPr>
        <w:t xml:space="preserve"> דביצה </w:t>
      </w:r>
      <w:r w:rsidR="00423A9C" w:rsidRPr="00882F11">
        <w:rPr>
          <w:rFonts w:cs="Guttman Drogolin" w:hint="cs"/>
          <w:color w:val="auto"/>
          <w:sz w:val="24"/>
          <w:szCs w:val="24"/>
          <w:u w:val="single"/>
          <w:rtl/>
          <w:lang w:bidi="he-IL"/>
        </w:rPr>
        <w:t xml:space="preserve">צריך שיעור </w:t>
      </w:r>
      <w:r w:rsidRPr="00882F11">
        <w:rPr>
          <w:rFonts w:cs="Guttman Drogolin" w:hint="cs"/>
          <w:color w:val="auto"/>
          <w:sz w:val="24"/>
          <w:szCs w:val="24"/>
          <w:u w:val="single"/>
          <w:rtl/>
          <w:lang w:bidi="he-IL"/>
        </w:rPr>
        <w:t>ס"א</w:t>
      </w:r>
      <w:bookmarkEnd w:id="29"/>
    </w:p>
    <w:p w:rsidR="00847E1A" w:rsidRPr="00882F11" w:rsidRDefault="00220164" w:rsidP="00220164">
      <w:pPr>
        <w:bidi/>
        <w:jc w:val="both"/>
        <w:rPr>
          <w:rFonts w:cs="Guttman Drogolin"/>
          <w:rtl/>
          <w:lang w:bidi="he-IL"/>
        </w:rPr>
      </w:pPr>
      <w:r>
        <w:rPr>
          <w:rFonts w:cs="Guttman Drogolin"/>
          <w:rtl/>
          <w:lang w:bidi="he-IL"/>
        </w:rPr>
        <w:fldChar w:fldCharType="begin"/>
      </w:r>
      <w:r>
        <w:instrText xml:space="preserve"> XE "</w:instrText>
      </w:r>
      <w:r w:rsidRPr="00425A8A">
        <w:rPr>
          <w:rFonts w:hint="cs"/>
          <w:rtl/>
          <w:lang w:bidi="he-IL"/>
        </w:rPr>
        <w:instrText>ביצה</w:instrText>
      </w:r>
      <w:r w:rsidRPr="00425A8A">
        <w:rPr>
          <w:rtl/>
        </w:rPr>
        <w:instrText>:</w:instrText>
      </w:r>
      <w:r w:rsidRPr="00425A8A">
        <w:rPr>
          <w:rFonts w:hint="cs"/>
          <w:rtl/>
          <w:lang w:bidi="he-IL"/>
        </w:rPr>
        <w:instrText>למה צריך שיעור ס</w:instrText>
      </w:r>
      <w:r>
        <w:rPr>
          <w:rFonts w:eastAsiaTheme="minorEastAsia"/>
          <w:lang w:bidi="he-IL"/>
        </w:rPr>
        <w:instrText>\</w:instrText>
      </w:r>
      <w:r w:rsidRPr="00425A8A">
        <w:rPr>
          <w:rFonts w:hint="cs"/>
          <w:rtl/>
          <w:lang w:bidi="he-IL"/>
        </w:rPr>
        <w:instrText>"א</w:instrText>
      </w:r>
      <w:r>
        <w:instrText xml:space="preserve">" </w:instrText>
      </w:r>
      <w:r>
        <w:rPr>
          <w:rFonts w:cs="Guttman Drogolin"/>
          <w:rtl/>
          <w:lang w:bidi="he-IL"/>
        </w:rPr>
        <w:fldChar w:fldCharType="end"/>
      </w:r>
      <w:r w:rsidR="000212E8" w:rsidRPr="00882F11">
        <w:rPr>
          <w:rFonts w:cs="Guttman Drogolin"/>
          <w:rtl/>
          <w:lang w:bidi="he-IL"/>
        </w:rPr>
        <w:fldChar w:fldCharType="begin"/>
      </w:r>
      <w:r w:rsidR="000212E8" w:rsidRPr="00882F11">
        <w:rPr>
          <w:rFonts w:cs="Guttman Drogolin"/>
        </w:rPr>
        <w:instrText xml:space="preserve"> XE "</w:instrText>
      </w:r>
      <w:r w:rsidR="000212E8" w:rsidRPr="00882F11">
        <w:rPr>
          <w:rFonts w:cs="Guttman Drogolin" w:hint="cs"/>
          <w:rtl/>
          <w:lang w:bidi="he-IL"/>
        </w:rPr>
        <w:instrText>ביטול בששים</w:instrText>
      </w:r>
      <w:r w:rsidR="000212E8" w:rsidRPr="00882F11">
        <w:rPr>
          <w:rFonts w:cs="Guttman Drogolin"/>
          <w:rtl/>
        </w:rPr>
        <w:instrText>:</w:instrText>
      </w:r>
      <w:r w:rsidR="000212E8" w:rsidRPr="00882F11">
        <w:rPr>
          <w:rFonts w:cs="Guttman Drogolin" w:hint="cs"/>
          <w:rtl/>
          <w:lang w:bidi="he-IL"/>
        </w:rPr>
        <w:instrText>בביצה</w:instrText>
      </w:r>
      <w:r w:rsidR="000212E8" w:rsidRPr="00882F11">
        <w:rPr>
          <w:rFonts w:cs="Guttman Drogolin"/>
        </w:rPr>
        <w:instrText xml:space="preserve"> </w:instrText>
      </w:r>
      <w:r w:rsidR="000212E8" w:rsidRPr="00882F11">
        <w:rPr>
          <w:rFonts w:cs="Guttman Drogolin"/>
          <w:rtl/>
          <w:lang w:bidi="he-IL"/>
        </w:rPr>
        <w:fldChar w:fldCharType="end"/>
      </w:r>
      <w:r w:rsidR="00847E1A" w:rsidRPr="00882F11">
        <w:rPr>
          <w:rFonts w:cs="Guttman Drogolin" w:hint="cs"/>
          <w:rtl/>
          <w:lang w:bidi="he-IL"/>
        </w:rPr>
        <w:t>מבואר בגמ' שיש שיטה הסוברת שביצה האוסרת את התבשיל אינו מותר כשיש ס' כנגדו רק כשיש ס"א. וע' ברמב"ן בדף צ"ז ע"ב שהביא לשיטה זו ד' טעמים.</w:t>
      </w:r>
    </w:p>
    <w:p w:rsidR="00847E1A" w:rsidRPr="00882F11" w:rsidRDefault="00847E1A" w:rsidP="00220164">
      <w:pPr>
        <w:pStyle w:val="ListParagraph"/>
        <w:numPr>
          <w:ilvl w:val="0"/>
          <w:numId w:val="1"/>
        </w:numPr>
        <w:bidi/>
        <w:ind w:left="13" w:firstLine="0"/>
        <w:jc w:val="both"/>
        <w:rPr>
          <w:rFonts w:cs="Guttman Drogolin"/>
          <w:lang w:bidi="he-IL"/>
        </w:rPr>
      </w:pPr>
      <w:r w:rsidRPr="00882F11">
        <w:rPr>
          <w:rFonts w:cs="Guttman Drogolin" w:hint="cs"/>
          <w:rtl/>
          <w:lang w:bidi="he-IL"/>
        </w:rPr>
        <w:t>שהוא משום שיש לביצה חשיבות ולכן החמירו בה יותר (וכן לכאורה מ</w:t>
      </w:r>
      <w:r w:rsidR="00783DCE" w:rsidRPr="00882F11">
        <w:rPr>
          <w:rFonts w:cs="Guttman Drogolin" w:hint="cs"/>
          <w:rtl/>
          <w:lang w:bidi="he-IL"/>
        </w:rPr>
        <w:t>בואר ברמב"ם, ואע"ג שקראוהו ברי</w:t>
      </w:r>
      <w:r w:rsidR="00220164">
        <w:rPr>
          <w:rFonts w:cs="Guttman Drogolin" w:hint="cs"/>
          <w:rtl/>
          <w:lang w:bidi="he-IL"/>
        </w:rPr>
        <w:t xml:space="preserve">' </w:t>
      </w:r>
      <w:r w:rsidRPr="00882F11">
        <w:rPr>
          <w:rFonts w:cs="Guttman Drogolin" w:hint="cs"/>
          <w:rtl/>
          <w:lang w:bidi="he-IL"/>
        </w:rPr>
        <w:t>אינו ממש וכדמבואר בראשונים שחלקו על הרשב"א כאן בסוגיא).</w:t>
      </w:r>
    </w:p>
    <w:p w:rsidR="00847E1A" w:rsidRPr="00882F11" w:rsidRDefault="00847E1A" w:rsidP="00220164">
      <w:pPr>
        <w:pStyle w:val="ListParagraph"/>
        <w:numPr>
          <w:ilvl w:val="0"/>
          <w:numId w:val="1"/>
        </w:numPr>
        <w:bidi/>
        <w:ind w:left="13" w:firstLine="0"/>
        <w:jc w:val="both"/>
        <w:rPr>
          <w:rFonts w:cs="Guttman Drogolin"/>
          <w:lang w:bidi="he-IL"/>
        </w:rPr>
      </w:pPr>
      <w:r w:rsidRPr="00882F11">
        <w:rPr>
          <w:rFonts w:cs="Guttman Drogolin" w:hint="cs"/>
          <w:rtl/>
          <w:lang w:bidi="he-IL"/>
        </w:rPr>
        <w:t>שבאמת הוא חולק על כל הדין של ס' ומצריך ס"א בכל האיסורין.</w:t>
      </w:r>
    </w:p>
    <w:p w:rsidR="00847E1A" w:rsidRPr="00882F11" w:rsidRDefault="00847E1A" w:rsidP="00220164">
      <w:pPr>
        <w:pStyle w:val="ListParagraph"/>
        <w:numPr>
          <w:ilvl w:val="0"/>
          <w:numId w:val="1"/>
        </w:numPr>
        <w:bidi/>
        <w:ind w:left="13" w:firstLine="0"/>
        <w:jc w:val="both"/>
        <w:rPr>
          <w:rFonts w:cs="Guttman Drogolin"/>
          <w:lang w:bidi="he-IL"/>
        </w:rPr>
      </w:pPr>
      <w:r w:rsidRPr="00882F11">
        <w:rPr>
          <w:rFonts w:cs="Guttman Drogolin" w:hint="cs"/>
          <w:rtl/>
          <w:lang w:bidi="he-IL"/>
        </w:rPr>
        <w:t>שבכל האיסורין לא נאמר הדין שבס' מותר רק בס' ועוד, וכיון שעוד א' בביצים הוא ס"א אמרו שצריך ס"א.</w:t>
      </w:r>
    </w:p>
    <w:p w:rsidR="00847E1A" w:rsidRPr="00882F11" w:rsidRDefault="00847E1A" w:rsidP="00220164">
      <w:pPr>
        <w:pStyle w:val="ListParagraph"/>
        <w:numPr>
          <w:ilvl w:val="0"/>
          <w:numId w:val="1"/>
        </w:numPr>
        <w:bidi/>
        <w:ind w:left="13" w:firstLine="0"/>
        <w:jc w:val="both"/>
        <w:rPr>
          <w:rFonts w:cs="Guttman Drogolin"/>
          <w:lang w:bidi="he-IL"/>
        </w:rPr>
      </w:pPr>
      <w:r w:rsidRPr="00882F11">
        <w:rPr>
          <w:rFonts w:cs="Guttman Drogolin" w:hint="cs"/>
          <w:rtl/>
          <w:lang w:bidi="he-IL"/>
        </w:rPr>
        <w:t>משום שכשיש ביצים של היתר ואיסור, קשה לש</w:t>
      </w:r>
      <w:r w:rsidR="001509DE" w:rsidRPr="00882F11">
        <w:rPr>
          <w:rFonts w:cs="Guttman Drogolin" w:hint="cs"/>
          <w:rtl/>
          <w:lang w:bidi="he-IL"/>
        </w:rPr>
        <w:t>ע</w:t>
      </w:r>
      <w:r w:rsidRPr="00882F11">
        <w:rPr>
          <w:rFonts w:cs="Guttman Drogolin" w:hint="cs"/>
          <w:rtl/>
          <w:lang w:bidi="he-IL"/>
        </w:rPr>
        <w:t>ר ביצים בס' כיון שיש גדולות וקטנות</w:t>
      </w:r>
      <w:r w:rsidR="00220164">
        <w:rPr>
          <w:rFonts w:cs="Guttman Drogolin" w:hint="cs"/>
          <w:rtl/>
          <w:lang w:bidi="he-IL"/>
        </w:rPr>
        <w:t>,</w:t>
      </w:r>
      <w:r w:rsidRPr="00882F11">
        <w:rPr>
          <w:rFonts w:cs="Guttman Drogolin" w:hint="cs"/>
          <w:rtl/>
          <w:lang w:bidi="he-IL"/>
        </w:rPr>
        <w:t xml:space="preserve"> ויתכן שלא י</w:t>
      </w:r>
      <w:r w:rsidR="00220164">
        <w:rPr>
          <w:rFonts w:cs="Guttman Drogolin" w:hint="cs"/>
          <w:rtl/>
          <w:lang w:bidi="he-IL"/>
        </w:rPr>
        <w:t>הא ס' בהיתר לעומת האיסור כיון שב</w:t>
      </w:r>
      <w:r w:rsidRPr="00882F11">
        <w:rPr>
          <w:rFonts w:cs="Guttman Drogolin" w:hint="cs"/>
          <w:rtl/>
          <w:lang w:bidi="he-IL"/>
        </w:rPr>
        <w:t>היתר היו ביצים קטנות והאיסור ביצה גדולה.</w:t>
      </w:r>
    </w:p>
    <w:p w:rsidR="00FE4985" w:rsidRPr="00882F11" w:rsidRDefault="00847E1A" w:rsidP="004A15CD">
      <w:pPr>
        <w:bidi/>
        <w:jc w:val="both"/>
        <w:rPr>
          <w:rFonts w:cs="Guttman Drogolin"/>
          <w:rtl/>
          <w:lang w:bidi="he-IL"/>
        </w:rPr>
      </w:pPr>
      <w:r w:rsidRPr="00882F11">
        <w:rPr>
          <w:rFonts w:cs="Guttman Drogolin" w:hint="cs"/>
          <w:rtl/>
          <w:lang w:bidi="he-IL"/>
        </w:rPr>
        <w:t xml:space="preserve">ולעיל בדף צ"ז ע"ב </w:t>
      </w:r>
      <w:r w:rsidR="004A15CD" w:rsidRPr="00882F11">
        <w:rPr>
          <w:rFonts w:cs="Guttman Drogolin" w:hint="cs"/>
          <w:rtl/>
          <w:lang w:bidi="he-IL"/>
        </w:rPr>
        <w:t>ב</w:t>
      </w:r>
      <w:r w:rsidRPr="00882F11">
        <w:rPr>
          <w:rFonts w:cs="Guttman Drogolin" w:hint="cs"/>
          <w:rtl/>
          <w:lang w:bidi="he-IL"/>
        </w:rPr>
        <w:t xml:space="preserve">תוד"ה </w:t>
      </w:r>
      <w:r w:rsidR="004A15CD" w:rsidRPr="00882F11">
        <w:rPr>
          <w:rFonts w:cs="Guttman Drogolin" w:hint="cs"/>
          <w:rtl/>
          <w:lang w:bidi="he-IL"/>
        </w:rPr>
        <w:t xml:space="preserve">ביצה הקשו בתוס' מהו החידוש שביצה בס', ותי' שיש חידוש כיון שיש ביצה שאינו צריך ס' (כגון ביצה חי' שאין בה אפרוח) יש חידוש שיש ביצה שצריך ס' (פי' שיש בה אפרוח). והקשה שם רע"א דלכאורה קמ"ל שאינו צריך ס"א וכמו השיטה המוזכרת כאן. ולכאורה הי' אפשר לומר שהדבר תלוי בביאורים הנ"ל, שאם הוא דין בכל האיסורים שפיר הקשה, דדלמא גיד שאני וכחל הרי אינו צריך ס'. אבל אם הוא משום שיש גדולים וקטנים, דלמא כאן משמע שאינו ביצה בעוד ביצים רק בתבשיל אחר, וכמו בכחל דלא מיירי בעוד כחלין. אלא שמדברי רע"א שם מבואר שהקשה לפי </w:t>
      </w:r>
      <w:r w:rsidR="00906B8B" w:rsidRPr="00882F11">
        <w:rPr>
          <w:rFonts w:cs="Guttman Drogolin" w:hint="cs"/>
          <w:rtl/>
          <w:lang w:bidi="he-IL"/>
        </w:rPr>
        <w:t>הביאור שיש גדולים וקטנים. ויתכן משום שאותו לשון שיש בדף צ"ח יש גם בדף צ"ז, וכמו ששם מיירי בעוד ביצים הה"נ הכא. וצ"ע.</w:t>
      </w:r>
      <w:r w:rsidRPr="00882F11">
        <w:rPr>
          <w:rFonts w:cs="Guttman Drogolin" w:hint="cs"/>
          <w:rtl/>
          <w:lang w:bidi="he-IL"/>
        </w:rPr>
        <w:t xml:space="preserve"> </w:t>
      </w:r>
    </w:p>
    <w:p w:rsidR="00906B8B" w:rsidRPr="00882F11" w:rsidRDefault="00906B8B" w:rsidP="0078079C">
      <w:pPr>
        <w:pStyle w:val="Heading1"/>
        <w:bidi/>
        <w:spacing w:before="0" w:line="360" w:lineRule="auto"/>
        <w:jc w:val="center"/>
        <w:rPr>
          <w:rFonts w:cs="Guttman Drogolin"/>
          <w:color w:val="auto"/>
          <w:sz w:val="24"/>
          <w:szCs w:val="24"/>
          <w:u w:val="single"/>
          <w:rtl/>
          <w:lang w:bidi="he-IL"/>
        </w:rPr>
      </w:pPr>
      <w:bookmarkStart w:id="30" w:name="_Toc496175295"/>
      <w:r w:rsidRPr="00882F11">
        <w:rPr>
          <w:rFonts w:cs="Guttman Drogolin" w:hint="cs"/>
          <w:color w:val="auto"/>
          <w:sz w:val="24"/>
          <w:szCs w:val="24"/>
          <w:u w:val="single"/>
          <w:rtl/>
          <w:lang w:bidi="he-IL"/>
        </w:rPr>
        <w:lastRenderedPageBreak/>
        <w:t>אבא לא שיער במ"ז וכו'</w:t>
      </w:r>
      <w:bookmarkEnd w:id="30"/>
    </w:p>
    <w:p w:rsidR="00906B8B" w:rsidRPr="00882F11" w:rsidRDefault="00906B8B" w:rsidP="00220164">
      <w:pPr>
        <w:bidi/>
        <w:jc w:val="both"/>
        <w:rPr>
          <w:rFonts w:cs="Guttman Drogolin"/>
          <w:rtl/>
          <w:lang w:bidi="he-IL"/>
        </w:rPr>
      </w:pPr>
      <w:r w:rsidRPr="00882F11">
        <w:rPr>
          <w:rFonts w:cs="Guttman Drogolin" w:hint="cs"/>
          <w:rtl/>
          <w:lang w:bidi="he-IL"/>
        </w:rPr>
        <w:t xml:space="preserve">בסוגיא זו </w:t>
      </w:r>
      <w:r w:rsidR="00220164">
        <w:rPr>
          <w:rFonts w:cs="Guttman Drogolin" w:hint="cs"/>
          <w:rtl/>
          <w:lang w:bidi="he-IL"/>
        </w:rPr>
        <w:t xml:space="preserve">פירש"י </w:t>
      </w:r>
      <w:r w:rsidRPr="00882F11">
        <w:rPr>
          <w:rFonts w:cs="Guttman Drogolin" w:hint="cs"/>
          <w:rtl/>
          <w:lang w:bidi="he-IL"/>
        </w:rPr>
        <w:t xml:space="preserve">ב' פירושים בשיטת רש"י. או דכוונתו להתיר לבטל במ"ז ומ"ה, או שכוונתו שאי אפשר </w:t>
      </w:r>
      <w:r w:rsidR="00220164">
        <w:rPr>
          <w:rFonts w:cs="Guttman Drogolin" w:hint="cs"/>
          <w:rtl/>
          <w:lang w:bidi="he-IL"/>
        </w:rPr>
        <w:t>ל</w:t>
      </w:r>
      <w:r w:rsidRPr="00882F11">
        <w:rPr>
          <w:rFonts w:cs="Guttman Drogolin" w:hint="cs"/>
          <w:rtl/>
          <w:lang w:bidi="he-IL"/>
        </w:rPr>
        <w:t xml:space="preserve">התיר במ"ז ומ"ה. וכתב רש"י שלפי הפירוש שרצה לבטל בפחות מששים ע"כ מיירי בחצי זית. וכן מבואר בעוד ראשונים. ולכאורה זהו ג"כ מקור לפירושו של רע"א שהזכרנו בשיעור הקודם, שלא רצו לבטל כשנפל זית שלם אע"ג שבתערובת ליכא אלא </w:t>
      </w:r>
      <w:r w:rsidR="00220164">
        <w:rPr>
          <w:rFonts w:cs="Guttman Drogolin" w:hint="cs"/>
          <w:rtl/>
          <w:lang w:bidi="he-IL"/>
        </w:rPr>
        <w:t xml:space="preserve">בא' במ"ה או במ"ז והוא </w:t>
      </w:r>
      <w:r w:rsidRPr="00882F11">
        <w:rPr>
          <w:rFonts w:cs="Guttman Drogolin" w:hint="cs"/>
          <w:rtl/>
          <w:lang w:bidi="he-IL"/>
        </w:rPr>
        <w:t xml:space="preserve">פחות מכזית </w:t>
      </w:r>
      <w:r w:rsidR="00BF430F" w:rsidRPr="00882F11">
        <w:rPr>
          <w:rFonts w:cs="Guttman Drogolin" w:hint="cs"/>
          <w:rtl/>
          <w:lang w:bidi="he-IL"/>
        </w:rPr>
        <w:t>בכדי אכילת פרס</w:t>
      </w:r>
      <w:r w:rsidRPr="00882F11">
        <w:rPr>
          <w:rFonts w:cs="Guttman Drogolin" w:hint="cs"/>
          <w:rtl/>
          <w:lang w:bidi="he-IL"/>
        </w:rPr>
        <w:t xml:space="preserve">. וע"כ שהטעם שלא להקל הוא משום שדבר שחייבין עליו מלקות נפל בו מעיקרא ולא איכפת לן זה שעכשיו הוא פחות מבכזית </w:t>
      </w:r>
      <w:r w:rsidR="00BF430F" w:rsidRPr="00882F11">
        <w:rPr>
          <w:rFonts w:cs="Guttman Drogolin" w:hint="cs"/>
          <w:rtl/>
          <w:lang w:bidi="he-IL"/>
        </w:rPr>
        <w:t>בכדי אכילת פרס</w:t>
      </w:r>
      <w:r w:rsidRPr="00882F11">
        <w:rPr>
          <w:rFonts w:cs="Guttman Drogolin" w:hint="cs"/>
          <w:rtl/>
          <w:lang w:bidi="he-IL"/>
        </w:rPr>
        <w:t>. ולפש"כ לעיל לשיטת הר"ש בטבו"י לכאורה אפילו לפי הפירוש הזה יכול להיות דמיירי בכה"ג שנפל בו כזית כיון שסוף סו</w:t>
      </w:r>
      <w:r w:rsidR="00BE2270" w:rsidRPr="00882F11">
        <w:rPr>
          <w:rFonts w:cs="Guttman Drogolin" w:hint="cs"/>
          <w:rtl/>
          <w:lang w:bidi="he-IL"/>
        </w:rPr>
        <w:t>ף</w:t>
      </w:r>
      <w:r w:rsidRPr="00882F11">
        <w:rPr>
          <w:rFonts w:cs="Guttman Drogolin" w:hint="cs"/>
          <w:rtl/>
          <w:lang w:bidi="he-IL"/>
        </w:rPr>
        <w:t xml:space="preserve"> לא יהא בו כזית </w:t>
      </w:r>
      <w:r w:rsidR="00BF430F" w:rsidRPr="00882F11">
        <w:rPr>
          <w:rFonts w:cs="Guttman Drogolin" w:hint="cs"/>
          <w:rtl/>
          <w:lang w:bidi="he-IL"/>
        </w:rPr>
        <w:t>בכדי אכילת פרס</w:t>
      </w:r>
      <w:r w:rsidRPr="00882F11">
        <w:rPr>
          <w:rFonts w:cs="Guttman Drogolin" w:hint="cs"/>
          <w:rtl/>
          <w:lang w:bidi="he-IL"/>
        </w:rPr>
        <w:t xml:space="preserve">. </w:t>
      </w:r>
    </w:p>
    <w:p w:rsidR="0019474C" w:rsidRPr="00882F11" w:rsidRDefault="000212E8" w:rsidP="00882F11">
      <w:pPr>
        <w:pStyle w:val="Heading1"/>
        <w:bidi/>
        <w:spacing w:before="0" w:line="240" w:lineRule="auto"/>
        <w:jc w:val="center"/>
        <w:rPr>
          <w:rFonts w:cs="Guttman Drogolin"/>
          <w:color w:val="auto"/>
          <w:sz w:val="24"/>
          <w:szCs w:val="24"/>
          <w:u w:val="single"/>
          <w:rtl/>
          <w:lang w:bidi="he-IL"/>
        </w:rPr>
      </w:pPr>
      <w:bookmarkStart w:id="31" w:name="_Toc496175296"/>
      <w:r w:rsidRPr="00882F11">
        <w:rPr>
          <w:rFonts w:cs="Guttman Drogolin" w:hint="cs"/>
          <w:color w:val="auto"/>
          <w:sz w:val="24"/>
          <w:szCs w:val="24"/>
          <w:u w:val="single"/>
          <w:rtl/>
          <w:lang w:bidi="he-IL"/>
        </w:rPr>
        <w:t>קושיית הרשב"א באיסור דמין ב</w:t>
      </w:r>
      <w:r w:rsidR="0019474C" w:rsidRPr="00882F11">
        <w:rPr>
          <w:rFonts w:cs="Guttman Drogolin" w:hint="cs"/>
          <w:color w:val="auto"/>
          <w:sz w:val="24"/>
          <w:szCs w:val="24"/>
          <w:u w:val="single"/>
          <w:rtl/>
          <w:lang w:bidi="he-IL"/>
        </w:rPr>
        <w:t>מינו במשהו אליבא דרש"י</w:t>
      </w:r>
      <w:bookmarkEnd w:id="31"/>
    </w:p>
    <w:p w:rsidR="0019474C" w:rsidRPr="00882F11" w:rsidRDefault="000212E8" w:rsidP="00220164">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תערובת מין במינו (פי' בדליכא טכ</w:instrText>
      </w:r>
      <w:r w:rsidRPr="00882F11">
        <w:rPr>
          <w:rFonts w:eastAsiaTheme="minorEastAsia" w:cs="Guttman Drogolin"/>
          <w:lang w:bidi="he-IL"/>
        </w:rPr>
        <w:instrText>\</w:instrText>
      </w:r>
      <w:r w:rsidRPr="00882F11">
        <w:rPr>
          <w:rFonts w:cs="Guttman Drogolin" w:hint="cs"/>
          <w:rtl/>
          <w:lang w:bidi="he-IL"/>
        </w:rPr>
        <w:instrText>"ע)</w:instrText>
      </w:r>
      <w:r w:rsidRPr="00882F11">
        <w:rPr>
          <w:rFonts w:cs="Guttman Drogolin"/>
          <w:rtl/>
        </w:rPr>
        <w:instrText>:</w:instrText>
      </w:r>
      <w:r w:rsidRPr="00882F11">
        <w:rPr>
          <w:rFonts w:cs="Guttman Drogolin" w:hint="cs"/>
          <w:rtl/>
          <w:lang w:bidi="he-IL"/>
        </w:rPr>
        <w:instrText>אם צריך לדין ביטול ברוב</w:instrText>
      </w:r>
      <w:r w:rsidRPr="00882F11">
        <w:rPr>
          <w:rFonts w:cs="Guttman Drogolin"/>
        </w:rPr>
        <w:instrText xml:space="preserve">" </w:instrText>
      </w:r>
      <w:r w:rsidRPr="00882F11">
        <w:rPr>
          <w:rFonts w:cs="Guttman Drogolin"/>
          <w:rtl/>
          <w:lang w:bidi="he-IL"/>
        </w:rPr>
        <w:fldChar w:fldCharType="end"/>
      </w:r>
      <w:r w:rsidR="0019474C" w:rsidRPr="00882F11">
        <w:rPr>
          <w:rFonts w:cs="Guttman Drogolin" w:hint="cs"/>
          <w:rtl/>
          <w:lang w:bidi="he-IL"/>
        </w:rPr>
        <w:t xml:space="preserve">בחי' הרשב"א בסוגיין ד"ה ואי קשיא הקשה </w:t>
      </w:r>
      <w:r w:rsidR="00220164">
        <w:rPr>
          <w:rFonts w:cs="Guttman Drogolin" w:hint="cs"/>
          <w:rtl/>
          <w:lang w:bidi="he-IL"/>
        </w:rPr>
        <w:t>ל</w:t>
      </w:r>
      <w:r w:rsidR="0019474C" w:rsidRPr="00882F11">
        <w:rPr>
          <w:rFonts w:cs="Guttman Drogolin" w:hint="cs"/>
          <w:rtl/>
          <w:lang w:bidi="he-IL"/>
        </w:rPr>
        <w:t xml:space="preserve">רש"י </w:t>
      </w:r>
      <w:r w:rsidR="00220164">
        <w:rPr>
          <w:rFonts w:cs="Guttman Drogolin" w:hint="cs"/>
          <w:rtl/>
          <w:lang w:bidi="he-IL"/>
        </w:rPr>
        <w:t xml:space="preserve">שכתב לקמן דף ק"ט ע"א דקיי"ל כר' יהודה דמין במינו לא בטל לכאורה צ"ע, דמבואר שלר' יהודה גם טעם של מינו אוסר מינו, והרי רש"י סבר דקיי"ל כמ"ד טכ"ע </w:t>
      </w:r>
      <w:r w:rsidR="00D30F96">
        <w:rPr>
          <w:rFonts w:cs="Guttman Drogolin" w:hint="cs"/>
          <w:rtl/>
          <w:lang w:bidi="he-IL"/>
        </w:rPr>
        <w:t>לאו' דאו'.</w:t>
      </w:r>
      <w:r w:rsidR="00220164">
        <w:rPr>
          <w:rFonts w:cs="Guttman Drogolin" w:hint="cs"/>
          <w:rtl/>
          <w:lang w:bidi="he-IL"/>
        </w:rPr>
        <w:t xml:space="preserve"> </w:t>
      </w:r>
      <w:r w:rsidR="00D30F96">
        <w:rPr>
          <w:rFonts w:cs="Guttman Drogolin" w:hint="cs"/>
          <w:rtl/>
          <w:lang w:bidi="he-IL"/>
        </w:rPr>
        <w:t>ו</w:t>
      </w:r>
      <w:r w:rsidR="0019474C" w:rsidRPr="00882F11">
        <w:rPr>
          <w:rFonts w:cs="Guttman Drogolin" w:hint="cs"/>
          <w:rtl/>
          <w:lang w:bidi="he-IL"/>
        </w:rPr>
        <w:t xml:space="preserve">תי' הרשב"א שאפילו אם טעם כעיקר לאו דאורייתא מ"מ אם מין במינו לא בטל גם טעמא לא בטיל. ולכאורה כוונת דבריו כשיטה הסוברת שאפילו טעמו ולא ממשו אינו מותר אלא כשיש רוב ומשום דאמרינן אחרי רבים להטות, אבל כשאי אפשר לבטל מדין אחרי רבים להטות גם טעם אינו מותר. וכן לכאורה הבין רע"א (דו"ח חולין דרוש ח' אות ו') אלא שהקשה על זה דא"כ הרי זה סותר את דברי הרשב"א במקומות אחרות </w:t>
      </w:r>
      <w:r w:rsidR="00D30F96">
        <w:rPr>
          <w:rFonts w:cs="Guttman Drogolin" w:hint="cs"/>
          <w:rtl/>
          <w:lang w:bidi="he-IL"/>
        </w:rPr>
        <w:t xml:space="preserve">שמבואר שם שאם טכ"ע לאו דאורייתא גם ביטול אינו צריך </w:t>
      </w:r>
      <w:r w:rsidR="0019474C" w:rsidRPr="00882F11">
        <w:rPr>
          <w:rFonts w:cs="Guttman Drogolin" w:hint="cs"/>
          <w:rtl/>
          <w:lang w:bidi="he-IL"/>
        </w:rPr>
        <w:t xml:space="preserve">(ע' דף צ"ז ד"ה הא דאיבעי). ולכאורה י"ל באופן אחר קצת, שאפילו את"ל שאין צריך הכלל של ביטול ברוב לטעם כיון שאינו בעין, מ"מ לענין משהו גם דבר שאינו צריך ביטול אוסר. וכן לכאורה משמע מלשון הרשב"א. ויתכן שיש לנו דוגמא לדבר זה </w:t>
      </w:r>
      <w:r w:rsidR="0019474C" w:rsidRPr="00882F11">
        <w:rPr>
          <w:rFonts w:cs="Guttman Drogolin" w:hint="cs"/>
          <w:rtl/>
          <w:lang w:bidi="he-IL"/>
        </w:rPr>
        <w:lastRenderedPageBreak/>
        <w:t>שמה שאנחנו מוצאים שיטה שאמנם נטל"פ אינו אוסר, מ"מ בדברים האוסרים ב</w:t>
      </w:r>
      <w:r w:rsidR="006F1B32">
        <w:rPr>
          <w:rFonts w:cs="Guttman Drogolin" w:hint="cs"/>
          <w:rtl/>
          <w:lang w:bidi="he-IL"/>
        </w:rPr>
        <w:t>מ</w:t>
      </w:r>
      <w:r w:rsidR="0019474C" w:rsidRPr="00882F11">
        <w:rPr>
          <w:rFonts w:cs="Guttman Drogolin" w:hint="cs"/>
          <w:rtl/>
          <w:lang w:bidi="he-IL"/>
        </w:rPr>
        <w:t xml:space="preserve">שהו כגון חמץ בפסח גם נטל"פ אוסר כיון שמשהו מיהא הוי. ויל"ע בזה יותר בהמשך הדברים.     </w:t>
      </w:r>
    </w:p>
    <w:p w:rsidR="00FE4985" w:rsidRPr="00882F11" w:rsidRDefault="00FE4985" w:rsidP="0078079C">
      <w:pPr>
        <w:pStyle w:val="Heading1"/>
        <w:bidi/>
        <w:spacing w:before="0" w:line="360" w:lineRule="auto"/>
        <w:jc w:val="center"/>
        <w:rPr>
          <w:rFonts w:cs="Guttman Drogolin"/>
          <w:color w:val="auto"/>
          <w:sz w:val="18"/>
          <w:szCs w:val="18"/>
          <w:u w:val="single"/>
          <w:rtl/>
          <w:lang w:bidi="he-IL"/>
        </w:rPr>
      </w:pPr>
      <w:bookmarkStart w:id="32" w:name="_Toc496175297"/>
      <w:r w:rsidRPr="00882F11">
        <w:rPr>
          <w:rFonts w:cs="Guttman Drogolin" w:hint="cs"/>
          <w:color w:val="auto"/>
          <w:sz w:val="18"/>
          <w:szCs w:val="18"/>
          <w:u w:val="single"/>
          <w:rtl/>
          <w:lang w:bidi="he-IL"/>
        </w:rPr>
        <w:t xml:space="preserve">שיעור ששים ומאה וסוגיית זרוע בשילה </w:t>
      </w:r>
      <w:r w:rsidRPr="00882F11">
        <w:rPr>
          <w:rFonts w:cs="Guttman Drogolin"/>
          <w:color w:val="auto"/>
          <w:sz w:val="18"/>
          <w:szCs w:val="18"/>
          <w:u w:val="single"/>
          <w:rtl/>
          <w:lang w:bidi="he-IL"/>
        </w:rPr>
        <w:t>–</w:t>
      </w:r>
      <w:r w:rsidRPr="00882F11">
        <w:rPr>
          <w:rFonts w:cs="Guttman Drogolin" w:hint="cs"/>
          <w:color w:val="auto"/>
          <w:sz w:val="18"/>
          <w:szCs w:val="18"/>
          <w:u w:val="single"/>
          <w:rtl/>
          <w:lang w:bidi="he-IL"/>
        </w:rPr>
        <w:t xml:space="preserve"> שיטת רש"י</w:t>
      </w:r>
      <w:bookmarkEnd w:id="32"/>
    </w:p>
    <w:p w:rsidR="000C0EE0" w:rsidRPr="00882F11" w:rsidRDefault="00B37B5F" w:rsidP="00E4023E">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ביטל בששים</w:instrText>
      </w:r>
      <w:r w:rsidRPr="00882F11">
        <w:rPr>
          <w:rFonts w:cs="Guttman Drogolin"/>
          <w:rtl/>
        </w:rPr>
        <w:instrText>:</w:instrText>
      </w:r>
      <w:r w:rsidRPr="00882F11">
        <w:rPr>
          <w:rFonts w:cs="Guttman Drogolin" w:hint="cs"/>
          <w:rtl/>
          <w:lang w:bidi="he-IL"/>
        </w:rPr>
        <w:instrText>או מאה - ביאור המחלוקת</w:instrText>
      </w:r>
      <w:r w:rsidRPr="00882F11">
        <w:rPr>
          <w:rFonts w:cs="Guttman Drogolin"/>
        </w:rPr>
        <w:instrText xml:space="preserve">" </w:instrText>
      </w:r>
      <w:r w:rsidRPr="00882F11">
        <w:rPr>
          <w:rFonts w:cs="Guttman Drogolin"/>
          <w:rtl/>
          <w:lang w:bidi="he-IL"/>
        </w:rPr>
        <w:fldChar w:fldCharType="end"/>
      </w:r>
      <w:r w:rsidR="00FE4985" w:rsidRPr="00882F11">
        <w:rPr>
          <w:rFonts w:cs="Guttman Drogolin" w:hint="cs"/>
          <w:rtl/>
          <w:lang w:bidi="he-IL"/>
        </w:rPr>
        <w:t>בסוף העמוד מביא הגמ' מחלוקת אמוראים בדעת ר</w:t>
      </w:r>
      <w:r w:rsidR="00FE4985" w:rsidRPr="00882F11">
        <w:rPr>
          <w:rFonts w:cs="Guttman Drogolin"/>
          <w:rtl/>
          <w:lang w:bidi="he-IL"/>
        </w:rPr>
        <w:t xml:space="preserve">' </w:t>
      </w:r>
      <w:r w:rsidR="00FE4985" w:rsidRPr="00882F11">
        <w:rPr>
          <w:rFonts w:cs="Guttman Drogolin" w:hint="cs"/>
          <w:rtl/>
          <w:lang w:bidi="he-IL"/>
        </w:rPr>
        <w:t>יהושע</w:t>
      </w:r>
      <w:r w:rsidR="00FE4985" w:rsidRPr="00882F11">
        <w:rPr>
          <w:rFonts w:cs="Guttman Drogolin"/>
          <w:rtl/>
          <w:lang w:bidi="he-IL"/>
        </w:rPr>
        <w:t xml:space="preserve"> </w:t>
      </w:r>
      <w:r w:rsidR="00FE4985" w:rsidRPr="00882F11">
        <w:rPr>
          <w:rFonts w:cs="Guttman Drogolin" w:hint="cs"/>
          <w:rtl/>
          <w:lang w:bidi="he-IL"/>
        </w:rPr>
        <w:t>בן</w:t>
      </w:r>
      <w:r w:rsidR="00FE4985" w:rsidRPr="00882F11">
        <w:rPr>
          <w:rFonts w:cs="Guttman Drogolin"/>
          <w:rtl/>
          <w:lang w:bidi="he-IL"/>
        </w:rPr>
        <w:t xml:space="preserve"> </w:t>
      </w:r>
      <w:r w:rsidR="00FE4985" w:rsidRPr="00882F11">
        <w:rPr>
          <w:rFonts w:cs="Guttman Drogolin" w:hint="cs"/>
          <w:rtl/>
          <w:lang w:bidi="he-IL"/>
        </w:rPr>
        <w:t>לוי</w:t>
      </w:r>
      <w:r w:rsidR="00FE4985" w:rsidRPr="00882F11">
        <w:rPr>
          <w:rFonts w:cs="Guttman Drogolin"/>
          <w:rtl/>
          <w:lang w:bidi="he-IL"/>
        </w:rPr>
        <w:t xml:space="preserve"> </w:t>
      </w:r>
      <w:r w:rsidR="00FE4985" w:rsidRPr="00882F11">
        <w:rPr>
          <w:rFonts w:cs="Guttman Drogolin" w:hint="cs"/>
          <w:rtl/>
          <w:lang w:bidi="he-IL"/>
        </w:rPr>
        <w:t>משום</w:t>
      </w:r>
      <w:r w:rsidR="00FE4985" w:rsidRPr="00882F11">
        <w:rPr>
          <w:rFonts w:cs="Guttman Drogolin"/>
          <w:rtl/>
          <w:lang w:bidi="he-IL"/>
        </w:rPr>
        <w:t xml:space="preserve"> </w:t>
      </w:r>
      <w:r w:rsidR="00FE4985" w:rsidRPr="00882F11">
        <w:rPr>
          <w:rFonts w:cs="Guttman Drogolin" w:hint="cs"/>
          <w:rtl/>
          <w:lang w:bidi="he-IL"/>
        </w:rPr>
        <w:t>בר</w:t>
      </w:r>
      <w:r w:rsidR="00FE4985" w:rsidRPr="00882F11">
        <w:rPr>
          <w:rFonts w:cs="Guttman Drogolin"/>
          <w:rtl/>
          <w:lang w:bidi="he-IL"/>
        </w:rPr>
        <w:t xml:space="preserve"> </w:t>
      </w:r>
      <w:r w:rsidR="00FE4985" w:rsidRPr="00882F11">
        <w:rPr>
          <w:rFonts w:cs="Guttman Drogolin" w:hint="cs"/>
          <w:rtl/>
          <w:lang w:bidi="he-IL"/>
        </w:rPr>
        <w:t xml:space="preserve">קפרא, דר' חייא בר אבא סבר בדעתו שכל איסורין שבתורה בטלין בששים, </w:t>
      </w:r>
      <w:r w:rsidR="00142AD8" w:rsidRPr="00882F11">
        <w:rPr>
          <w:rFonts w:cs="Guttman Drogolin" w:hint="cs"/>
          <w:rtl/>
          <w:lang w:bidi="he-IL"/>
        </w:rPr>
        <w:t xml:space="preserve">ור' אסי סבר שהשיעור הוא במאה. </w:t>
      </w:r>
      <w:r w:rsidR="000C0EE0" w:rsidRPr="00882F11">
        <w:rPr>
          <w:rFonts w:cs="Guttman Drogolin" w:hint="cs"/>
          <w:rtl/>
          <w:lang w:bidi="he-IL"/>
        </w:rPr>
        <w:t xml:space="preserve">ומבואר בגמ' ששניהם למדו שיעור זה מן הפסוק דזרוע בשילה דמיירי באיל שלמים שהנזיר מביא בסוף ימי נזירותו, ויש בה חלק הנאכל לבעלים, וגם הזרוע שאינו נאכל אלא לכהנים. ואע"פ שזר אינו מותר לאכול הזרוע, מ"מ לכמה תנאים הדין הוא שמבשלים שאר האיל ביחד עם הזרוע. ולכאורה צ"ע למה דבר זה יהא מותר </w:t>
      </w:r>
      <w:r w:rsidR="00294A7F" w:rsidRPr="00882F11">
        <w:rPr>
          <w:rFonts w:cs="Guttman Drogolin" w:hint="cs"/>
          <w:rtl/>
          <w:lang w:bidi="he-IL"/>
        </w:rPr>
        <w:t>הא</w:t>
      </w:r>
      <w:r w:rsidR="000C0EE0" w:rsidRPr="00882F11">
        <w:rPr>
          <w:rFonts w:cs="Guttman Drogolin" w:hint="cs"/>
          <w:rtl/>
          <w:lang w:bidi="he-IL"/>
        </w:rPr>
        <w:t xml:space="preserve"> בשר האיל בולע טעם איסור מן הזרוע. ומזה למדו דע"כ אם יש שיעור ס' א</w:t>
      </w:r>
      <w:r w:rsidR="00E4023E">
        <w:rPr>
          <w:rFonts w:cs="Guttman Drogolin" w:hint="cs"/>
          <w:rtl/>
          <w:lang w:bidi="he-IL"/>
        </w:rPr>
        <w:t>ו</w:t>
      </w:r>
      <w:r w:rsidR="000C0EE0" w:rsidRPr="00882F11">
        <w:rPr>
          <w:rFonts w:cs="Guttman Drogolin" w:hint="cs"/>
          <w:rtl/>
          <w:lang w:bidi="he-IL"/>
        </w:rPr>
        <w:t xml:space="preserve"> ק' </w:t>
      </w:r>
      <w:r w:rsidR="00E4023E">
        <w:rPr>
          <w:rFonts w:cs="Guttman Drogolin" w:hint="cs"/>
          <w:rtl/>
          <w:lang w:bidi="he-IL"/>
        </w:rPr>
        <w:t xml:space="preserve">בהיתר </w:t>
      </w:r>
      <w:r w:rsidR="000C0EE0" w:rsidRPr="00882F11">
        <w:rPr>
          <w:rFonts w:cs="Guttman Drogolin" w:hint="cs"/>
          <w:rtl/>
          <w:lang w:bidi="he-IL"/>
        </w:rPr>
        <w:t>כנגד האיסור אין צריך לחשוש. והמחלוקת אם השיעור הוא בס' או בק' תלוי אם העצמות נכנסים לחשבון האיסור וההיתר או לא.</w:t>
      </w:r>
      <w:r w:rsidR="00E4023E">
        <w:rPr>
          <w:rFonts w:cs="Guttman Drogolin" w:hint="cs"/>
          <w:rtl/>
          <w:lang w:bidi="he-IL"/>
        </w:rPr>
        <w:t xml:space="preserve"> ויל"ע מהו יסוד הדין שלמדנו מזרוע בשילה.</w:t>
      </w:r>
    </w:p>
    <w:p w:rsidR="00142AD8" w:rsidRDefault="000C0EE0" w:rsidP="000C61BB">
      <w:pPr>
        <w:bidi/>
        <w:jc w:val="both"/>
        <w:rPr>
          <w:rFonts w:cs="Guttman Drogolin"/>
          <w:rtl/>
          <w:lang w:bidi="he-IL"/>
        </w:rPr>
      </w:pPr>
      <w:r w:rsidRPr="00882F11">
        <w:rPr>
          <w:rFonts w:cs="Guttman Drogolin" w:hint="cs"/>
          <w:rtl/>
          <w:lang w:bidi="he-IL"/>
        </w:rPr>
        <w:t>והנה בשי</w:t>
      </w:r>
      <w:r w:rsidR="00142AD8" w:rsidRPr="00882F11">
        <w:rPr>
          <w:rFonts w:cs="Guttman Drogolin" w:hint="cs"/>
          <w:rtl/>
          <w:lang w:bidi="he-IL"/>
        </w:rPr>
        <w:t xml:space="preserve">עור הקודם הדגשנו שהשיעור של ס' הוא השערה של כמות ההיתר שצריכים כדי להיות בטוחים שאין טעם איסור בהיתר. וזה מבואר מקושיית הגמ' דלמה ביצה צריך ששים כיון דלא יהיב טעמא. וכן מבואר בגמ' דלעיל בתחילת דף צ"ז ע"ב, שאם יש תערובת של מין בשאינו מינו ולית לן קפילא שמותר לסמוך על זה שיש ס'. הרי שיש השערה שאם יש ס' לא חיישינן לטעם, דהא אם יש טעם אסור, דטעמא לא בטיל. </w:t>
      </w:r>
      <w:r w:rsidR="000C61BB">
        <w:rPr>
          <w:rFonts w:cs="Guttman Drogolin" w:hint="cs"/>
          <w:rtl/>
          <w:lang w:bidi="he-IL"/>
        </w:rPr>
        <w:t xml:space="preserve">ולכאורה משו"ה נקטו התוס' </w:t>
      </w:r>
      <w:r w:rsidR="000C61BB" w:rsidRPr="00882F11">
        <w:rPr>
          <w:rFonts w:cs="Guttman Drogolin" w:hint="cs"/>
          <w:rtl/>
          <w:lang w:bidi="he-IL"/>
        </w:rPr>
        <w:t>ועוד הרבה ראשונים שהלימוד מזרוע בשילה אינו אלא אסמכתא בעלמא, ועיקר דין ששים או מאה הוא השערת חז"ל מהו השיעור שצריכים להיות בטוחים שאין בה טעם.</w:t>
      </w:r>
    </w:p>
    <w:p w:rsidR="000C61BB" w:rsidRPr="00882F11" w:rsidRDefault="000C61BB" w:rsidP="000C61BB">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ביטול בששים</w:instrText>
      </w:r>
      <w:r w:rsidRPr="00882F11">
        <w:rPr>
          <w:rFonts w:cs="Guttman Drogolin"/>
          <w:rtl/>
        </w:rPr>
        <w:instrText>:</w:instrText>
      </w:r>
      <w:r w:rsidRPr="00882F11">
        <w:rPr>
          <w:rFonts w:cs="Guttman Drogolin" w:hint="cs"/>
          <w:rtl/>
          <w:lang w:bidi="he-IL"/>
        </w:rPr>
        <w:instrText>שיעור ששים מקרא או מסברא</w:instrText>
      </w:r>
      <w:r w:rsidRPr="00882F11">
        <w:rPr>
          <w:rFonts w:cs="Guttman Drogolin"/>
        </w:rPr>
        <w:instrText xml:space="preserve">" </w:instrText>
      </w:r>
      <w:r w:rsidRPr="00882F11">
        <w:rPr>
          <w:rFonts w:cs="Guttman Drogolin"/>
          <w:rtl/>
          <w:lang w:bidi="he-IL"/>
        </w:rPr>
        <w:fldChar w:fldCharType="end"/>
      </w:r>
      <w:r w:rsidRPr="00882F11">
        <w:rPr>
          <w:rFonts w:cs="Guttman Drogolin" w:hint="cs"/>
          <w:rtl/>
          <w:lang w:bidi="he-IL"/>
        </w:rPr>
        <w:t>אמנם למדו האחרונים בדעת רש"י שהוא סובר שהוא לימוד גמור מזרוע בשילה, וכן נראה שלמד בחי' הריטב"א בדעתו</w:t>
      </w:r>
      <w:r>
        <w:rPr>
          <w:rFonts w:cs="Guttman Drogolin" w:hint="cs"/>
          <w:rtl/>
          <w:lang w:bidi="he-IL"/>
        </w:rPr>
        <w:t>. והביאו שכן מדויק בדברי רש"י</w:t>
      </w:r>
      <w:r w:rsidRPr="00882F11">
        <w:rPr>
          <w:rFonts w:cs="Guttman Drogolin" w:hint="cs"/>
          <w:rtl/>
          <w:lang w:bidi="he-IL"/>
        </w:rPr>
        <w:t xml:space="preserve"> בד' מקומות. א' מהם רש"י כאן בדף צ"ח </w:t>
      </w:r>
      <w:r w:rsidRPr="00882F11">
        <w:rPr>
          <w:rFonts w:cs="Guttman Drogolin" w:hint="cs"/>
          <w:rtl/>
          <w:lang w:bidi="he-IL"/>
        </w:rPr>
        <w:lastRenderedPageBreak/>
        <w:t>ע"א ד"ה ושניהם, ששם הקשה רש"י דאי גמרינן מזרוע בשילה לבטל בס', למה לא ילפינן שבטל בס' גם בדאיכא טעם. ותי' שהוא משום חומרא דרבנן. ואילו הי' כאן לימוד שאינו גמור והכל השערה של חז"ל שאין כאן טעם, אין כאן ב' ענינים, ולמה משמע מרש"י שיש ב' ענינים, א' הנלמד מזרוע בשילה ועוד חומרא דרבנן של טעם. הרי דמשמע שהלימוד דזרוע בשילה אליבא דרש"י הוא לימוד גמור.</w:t>
      </w:r>
      <w:r w:rsidRPr="000C61BB">
        <w:rPr>
          <w:rFonts w:cs="Guttman Drogolin" w:hint="cs"/>
          <w:rtl/>
          <w:lang w:bidi="he-IL"/>
        </w:rPr>
        <w:t xml:space="preserve"> </w:t>
      </w:r>
      <w:r>
        <w:rPr>
          <w:rFonts w:cs="Guttman Drogolin" w:hint="cs"/>
          <w:rtl/>
          <w:lang w:bidi="he-IL"/>
        </w:rPr>
        <w:t>וע</w:t>
      </w:r>
      <w:r w:rsidRPr="00882F11">
        <w:rPr>
          <w:rFonts w:cs="Guttman Drogolin" w:hint="cs"/>
          <w:rtl/>
          <w:lang w:bidi="he-IL"/>
        </w:rPr>
        <w:t>וד ברש"י לקמן דף ק"ח ע"א ד"ה אי חידוש הוא "דכיון דלאו חידוש הוא גמרינן לי' מזרוע בשילה". ואם הוא אסמכתא בעלמא לא הי' צריך להיות כ"כ תלוי אם בשר בחלב חידוש הוא או לא, דהא מ"מ אין כאן ילפותא גמורה. וכה"ג מדויק גם מרש"י שם בד"ה אמר לי' רבא. וכן הנה בגמ' אמרו שהלימוד של ס' או ק' מזרוע בשילה ילפינן אע"ג דזרוע בשילה חידוש הוא כיון שלמידין ממנו חומרא "דמדאורייתא ברובא בטיל". ולכאורה זהו סמך גדול לשיטת התוס' שאין כאן לימוד גמור, שמשמע שזה נכון אפילו למסקנא דמדאורייתא הכי הוי ולא דס"ד הכי. אמנם ברש"י צ"ח ע"ב ד"ה דמדאורייתא הדגיש "כלומר אי לאו מהאי גמרינן ומשוינן ביטול טעם כשאר ביטולי דאורייתא ברובא". וכוונתו לכאורה לבאר דמש"כ בגמ' "מדאורייתא ברובא בטיל" אין זה אלא קודם הלימוד דזרוע בשילה, אבל לאחר הלימוד אין דין רוב מדאורייתא, דהא ילפינן מזרוע בשילה דין אחר. הרי דמשמע שוב מרש"י שהוא לימוד גמור מדאורייתא.</w:t>
      </w:r>
    </w:p>
    <w:p w:rsidR="005048E3" w:rsidRPr="00882F11" w:rsidRDefault="00FD616A" w:rsidP="00294A7F">
      <w:pPr>
        <w:bidi/>
        <w:jc w:val="both"/>
        <w:rPr>
          <w:rFonts w:cs="Guttman Drogolin"/>
          <w:rtl/>
          <w:lang w:bidi="he-IL"/>
        </w:rPr>
      </w:pPr>
      <w:r w:rsidRPr="00882F11">
        <w:rPr>
          <w:rFonts w:cs="Guttman Drogolin" w:hint="cs"/>
          <w:rtl/>
          <w:lang w:bidi="he-IL"/>
        </w:rPr>
        <w:t xml:space="preserve">והנה </w:t>
      </w:r>
      <w:r w:rsidR="001D2DB1" w:rsidRPr="00882F11">
        <w:rPr>
          <w:rFonts w:cs="Guttman Drogolin" w:hint="cs"/>
          <w:rtl/>
          <w:lang w:bidi="he-IL"/>
        </w:rPr>
        <w:t xml:space="preserve">התוס' </w:t>
      </w:r>
      <w:r w:rsidR="005048E3" w:rsidRPr="00882F11">
        <w:rPr>
          <w:rFonts w:cs="Guttman Drogolin" w:hint="cs"/>
          <w:rtl/>
          <w:lang w:bidi="he-IL"/>
        </w:rPr>
        <w:t xml:space="preserve">בד"ה ומאן </w:t>
      </w:r>
      <w:r w:rsidR="001D2DB1" w:rsidRPr="00882F11">
        <w:rPr>
          <w:rFonts w:cs="Guttman Drogolin" w:hint="cs"/>
          <w:rtl/>
          <w:lang w:bidi="he-IL"/>
        </w:rPr>
        <w:t xml:space="preserve">הוכיחו דע"כ אין זה לימוד גמור </w:t>
      </w:r>
      <w:r w:rsidR="005048E3" w:rsidRPr="00882F11">
        <w:rPr>
          <w:rFonts w:cs="Guttman Drogolin" w:hint="cs"/>
          <w:rtl/>
          <w:lang w:bidi="he-IL"/>
        </w:rPr>
        <w:t>דהא איך ילפינן מזרוע בשילה דין ס' וק', הא זרוע בשילה מין במינו הוא ומדאורייתא ברובא בטיל. ו</w:t>
      </w:r>
      <w:r w:rsidRPr="00882F11">
        <w:rPr>
          <w:rFonts w:cs="Guttman Drogolin" w:hint="cs"/>
          <w:rtl/>
          <w:lang w:bidi="he-IL"/>
        </w:rPr>
        <w:t xml:space="preserve">לכאורה </w:t>
      </w:r>
      <w:r w:rsidR="005048E3" w:rsidRPr="00882F11">
        <w:rPr>
          <w:rFonts w:cs="Guttman Drogolin" w:hint="cs"/>
          <w:rtl/>
          <w:lang w:bidi="he-IL"/>
        </w:rPr>
        <w:t>הי' אפשר</w:t>
      </w:r>
      <w:r w:rsidRPr="00882F11">
        <w:rPr>
          <w:rFonts w:cs="Guttman Drogolin" w:hint="cs"/>
          <w:rtl/>
          <w:lang w:bidi="he-IL"/>
        </w:rPr>
        <w:t xml:space="preserve"> לומר בשיטת רש"י דאיהו סבר שהשיעור ששים אינו תלוי בהרגשת טעם כלל, רק מן הפסוק דזרוע בשילה למדנו ד</w:t>
      </w:r>
      <w:r w:rsidR="00294A7F" w:rsidRPr="00882F11">
        <w:rPr>
          <w:rFonts w:cs="Guttman Drogolin" w:hint="cs"/>
          <w:rtl/>
          <w:lang w:bidi="he-IL"/>
        </w:rPr>
        <w:t>ין חדש, שכדי לבטל איסור המעורב בהיתר</w:t>
      </w:r>
      <w:r w:rsidRPr="00882F11">
        <w:rPr>
          <w:rFonts w:cs="Guttman Drogolin" w:hint="cs"/>
          <w:rtl/>
          <w:lang w:bidi="he-IL"/>
        </w:rPr>
        <w:t xml:space="preserve"> צריכים ששים כנגדו, לא שנא אם יש שם טעם או לא. תדע דהא שיטת רש"י בסוף הסוגיא דמס' פסחים (וכן כאן בע"ב) </w:t>
      </w:r>
      <w:r w:rsidR="005048E3" w:rsidRPr="00882F11">
        <w:rPr>
          <w:rFonts w:cs="Guttman Drogolin" w:hint="cs"/>
          <w:rtl/>
          <w:lang w:bidi="he-IL"/>
        </w:rPr>
        <w:t>דקיי"ל ד</w:t>
      </w:r>
      <w:r w:rsidR="00BF430F" w:rsidRPr="00882F11">
        <w:rPr>
          <w:rFonts w:cs="Guttman Drogolin" w:hint="cs"/>
          <w:rtl/>
          <w:lang w:bidi="he-IL"/>
        </w:rPr>
        <w:t>טעם כעיקר</w:t>
      </w:r>
      <w:r w:rsidR="005048E3" w:rsidRPr="00882F11">
        <w:rPr>
          <w:rFonts w:cs="Guttman Drogolin" w:hint="cs"/>
          <w:rtl/>
          <w:lang w:bidi="he-IL"/>
        </w:rPr>
        <w:t xml:space="preserve"> לאו דאורייתא וכרבנן דכותח הבבלי, וא"כ לכאורה שפיר י"ל שהוא שיעור ששים ואינו תלוי בטעם.</w:t>
      </w:r>
    </w:p>
    <w:p w:rsidR="005048E3" w:rsidRPr="00882F11" w:rsidRDefault="005048E3" w:rsidP="00F01B8C">
      <w:pPr>
        <w:bidi/>
        <w:jc w:val="both"/>
        <w:rPr>
          <w:rFonts w:cs="Guttman Drogolin"/>
          <w:rtl/>
          <w:lang w:bidi="he-IL"/>
        </w:rPr>
      </w:pPr>
      <w:r w:rsidRPr="00882F11">
        <w:rPr>
          <w:rFonts w:cs="Guttman Drogolin" w:hint="cs"/>
          <w:rtl/>
          <w:lang w:bidi="he-IL"/>
        </w:rPr>
        <w:lastRenderedPageBreak/>
        <w:t xml:space="preserve">אלא שיש בביאור זה ב' הערות. חדא שהרי כבר הוכחנו מן הגמ' </w:t>
      </w:r>
      <w:r w:rsidR="00F01B8C">
        <w:rPr>
          <w:rFonts w:cs="Guttman Drogolin" w:hint="cs"/>
          <w:rtl/>
          <w:lang w:bidi="he-IL"/>
        </w:rPr>
        <w:t xml:space="preserve">שכשיש שיעור יש אומדנא </w:t>
      </w:r>
      <w:r w:rsidRPr="00882F11">
        <w:rPr>
          <w:rFonts w:cs="Guttman Drogolin" w:hint="cs"/>
          <w:rtl/>
          <w:lang w:bidi="he-IL"/>
        </w:rPr>
        <w:t xml:space="preserve">שאין כאן טעם. וזהו נפק"מ אפילו לרש"י לענין </w:t>
      </w:r>
      <w:r w:rsidR="00BF430F" w:rsidRPr="00882F11">
        <w:rPr>
          <w:rFonts w:cs="Guttman Drogolin" w:hint="cs"/>
          <w:rtl/>
          <w:lang w:bidi="he-IL"/>
        </w:rPr>
        <w:t>טעם כעיקר</w:t>
      </w:r>
      <w:r w:rsidRPr="00882F11">
        <w:rPr>
          <w:rFonts w:cs="Guttman Drogolin" w:hint="cs"/>
          <w:rtl/>
          <w:lang w:bidi="he-IL"/>
        </w:rPr>
        <w:t xml:space="preserve"> מדרבנן. ולפי הביאור הזה בשיטת רש"י לכאורה יוצא שיש ב' דינים בשיעור ששים שאין להם שייכות זה לזה, חדא שיש הוכחה שכבר אין טעם בתערובת. ועוד דין דאורייתא שיש שיעור ביטול לאיסור המעורב בה. </w:t>
      </w:r>
      <w:r w:rsidR="00294A7F" w:rsidRPr="00882F11">
        <w:rPr>
          <w:rFonts w:cs="Guttman Drogolin" w:hint="cs"/>
          <w:rtl/>
          <w:lang w:bidi="he-IL"/>
        </w:rPr>
        <w:t>ולכאורה קצת קשה לומר</w:t>
      </w:r>
      <w:r w:rsidRPr="00882F11">
        <w:rPr>
          <w:rFonts w:cs="Guttman Drogolin" w:hint="cs"/>
          <w:rtl/>
          <w:lang w:bidi="he-IL"/>
        </w:rPr>
        <w:t xml:space="preserve"> ששני</w:t>
      </w:r>
      <w:r w:rsidR="00294A7F" w:rsidRPr="00882F11">
        <w:rPr>
          <w:rFonts w:cs="Guttman Drogolin" w:hint="cs"/>
          <w:rtl/>
          <w:lang w:bidi="he-IL"/>
        </w:rPr>
        <w:t xml:space="preserve"> הדינים האלו הם במ</w:t>
      </w:r>
      <w:r w:rsidRPr="00882F11">
        <w:rPr>
          <w:rFonts w:cs="Guttman Drogolin" w:hint="cs"/>
          <w:rtl/>
          <w:lang w:bidi="he-IL"/>
        </w:rPr>
        <w:t>קרה ב</w:t>
      </w:r>
      <w:r w:rsidR="00294A7F" w:rsidRPr="00882F11">
        <w:rPr>
          <w:rFonts w:cs="Guttman Drogolin" w:hint="cs"/>
          <w:rtl/>
          <w:lang w:bidi="he-IL"/>
        </w:rPr>
        <w:t xml:space="preserve">אותו שיעור של </w:t>
      </w:r>
      <w:r w:rsidRPr="00882F11">
        <w:rPr>
          <w:rFonts w:cs="Guttman Drogolin" w:hint="cs"/>
          <w:rtl/>
          <w:lang w:bidi="he-IL"/>
        </w:rPr>
        <w:t xml:space="preserve">ששים. ועוד שהרי רש"י בדף ק"ח ע"א כתב דילפינן מזרוע בשילה 'דמישתרי כל כמה דליכא טעם' </w:t>
      </w:r>
      <w:r w:rsidRPr="00882F11">
        <w:rPr>
          <w:rFonts w:cs="Guttman Drogolin"/>
          <w:rtl/>
          <w:lang w:bidi="he-IL"/>
        </w:rPr>
        <w:t>–</w:t>
      </w:r>
      <w:r w:rsidRPr="00882F11">
        <w:rPr>
          <w:rFonts w:cs="Guttman Drogolin" w:hint="cs"/>
          <w:rtl/>
          <w:lang w:bidi="he-IL"/>
        </w:rPr>
        <w:t xml:space="preserve"> ואם כנ"ל הא אין הלימוד מזרוע בשילה קשור לטעם.</w:t>
      </w:r>
    </w:p>
    <w:p w:rsidR="00665CE7" w:rsidRPr="00882F11" w:rsidRDefault="00C41F2E" w:rsidP="00C41F2E">
      <w:pPr>
        <w:bidi/>
        <w:jc w:val="both"/>
        <w:rPr>
          <w:rFonts w:cs="Guttman Drogolin"/>
          <w:rtl/>
          <w:lang w:bidi="he-IL"/>
        </w:rPr>
      </w:pPr>
      <w:r>
        <w:rPr>
          <w:rFonts w:cs="Guttman Drogolin"/>
          <w:rtl/>
          <w:lang w:bidi="he-IL"/>
        </w:rPr>
        <w:fldChar w:fldCharType="begin"/>
      </w:r>
      <w:r>
        <w:instrText xml:space="preserve"> XE "</w:instrText>
      </w:r>
      <w:r w:rsidRPr="009540DE">
        <w:rPr>
          <w:rFonts w:hint="cs"/>
          <w:rtl/>
          <w:lang w:bidi="he-IL"/>
        </w:rPr>
        <w:instrText>טעם כעיקר</w:instrText>
      </w:r>
      <w:r w:rsidRPr="009540DE">
        <w:rPr>
          <w:rtl/>
        </w:rPr>
        <w:instrText>:</w:instrText>
      </w:r>
      <w:r w:rsidRPr="009540DE">
        <w:rPr>
          <w:rFonts w:hint="cs"/>
          <w:rtl/>
          <w:lang w:bidi="he-IL"/>
        </w:rPr>
        <w:instrText>במין במינו</w:instrText>
      </w:r>
      <w:r>
        <w:instrText xml:space="preserve">" </w:instrText>
      </w:r>
      <w:r>
        <w:rPr>
          <w:rFonts w:cs="Guttman Drogolin"/>
          <w:rtl/>
          <w:lang w:bidi="he-IL"/>
        </w:rPr>
        <w:fldChar w:fldCharType="end"/>
      </w:r>
      <w:r w:rsidR="005048E3" w:rsidRPr="00882F11">
        <w:rPr>
          <w:rFonts w:cs="Guttman Drogolin" w:hint="cs"/>
          <w:rtl/>
          <w:lang w:bidi="he-IL"/>
        </w:rPr>
        <w:t xml:space="preserve">ולכאורה צריכים לומר באופן אחר. </w:t>
      </w:r>
      <w:r w:rsidR="00665CE7" w:rsidRPr="00882F11">
        <w:rPr>
          <w:rFonts w:cs="Guttman Drogolin" w:hint="cs"/>
          <w:rtl/>
          <w:lang w:bidi="he-IL"/>
        </w:rPr>
        <w:t>והוא ש</w:t>
      </w:r>
      <w:r w:rsidR="00294A7F" w:rsidRPr="00882F11">
        <w:rPr>
          <w:rFonts w:cs="Guttman Drogolin" w:hint="cs"/>
          <w:rtl/>
          <w:lang w:bidi="he-IL"/>
        </w:rPr>
        <w:t>לכאורה יש לומר ששייך טעם גם במי</w:t>
      </w:r>
      <w:r w:rsidR="00665CE7" w:rsidRPr="00882F11">
        <w:rPr>
          <w:rFonts w:cs="Guttman Drogolin" w:hint="cs"/>
          <w:rtl/>
          <w:lang w:bidi="he-IL"/>
        </w:rPr>
        <w:t xml:space="preserve">ן במינו. שהרי לכאורה יש לשאול, וכי אין במין במינו טעמו של איסור, הא טעם של שניהם יש ומאי חזית דאמרינן שטועם הוא טעם של היתר ולא טעם של איסור. ונראה שהדבר תלוי, שיש להסתפק מהו </w:t>
      </w:r>
      <w:r w:rsidR="00294A7F" w:rsidRPr="00882F11">
        <w:rPr>
          <w:rFonts w:cs="Guttman Drogolin" w:hint="cs"/>
          <w:rtl/>
          <w:lang w:bidi="he-IL"/>
        </w:rPr>
        <w:t>האיסור</w:t>
      </w:r>
      <w:r w:rsidR="00665CE7" w:rsidRPr="00882F11">
        <w:rPr>
          <w:rFonts w:cs="Guttman Drogolin" w:hint="cs"/>
          <w:rtl/>
          <w:lang w:bidi="he-IL"/>
        </w:rPr>
        <w:t xml:space="preserve"> של טעם. האם כל הדין טעם </w:t>
      </w:r>
      <w:r>
        <w:rPr>
          <w:rFonts w:cs="Guttman Drogolin" w:hint="cs"/>
          <w:rtl/>
          <w:lang w:bidi="he-IL"/>
        </w:rPr>
        <w:t xml:space="preserve">כשטעמו של המאכל האסור </w:t>
      </w:r>
      <w:r w:rsidR="00665CE7" w:rsidRPr="00882F11">
        <w:rPr>
          <w:rFonts w:cs="Guttman Drogolin" w:hint="cs"/>
          <w:rtl/>
          <w:lang w:bidi="he-IL"/>
        </w:rPr>
        <w:t>ניכר</w:t>
      </w:r>
      <w:r>
        <w:rPr>
          <w:rFonts w:cs="Guttman Drogolin" w:hint="cs"/>
          <w:rtl/>
          <w:lang w:bidi="he-IL"/>
        </w:rPr>
        <w:t xml:space="preserve"> לעצמו</w:t>
      </w:r>
      <w:r w:rsidR="00665CE7" w:rsidRPr="00882F11">
        <w:rPr>
          <w:rFonts w:cs="Guttman Drogolin" w:hint="cs"/>
          <w:rtl/>
          <w:lang w:bidi="he-IL"/>
        </w:rPr>
        <w:t>, וגדר הדין שאיסור אוסר תבשיל כ</w:t>
      </w:r>
      <w:r>
        <w:rPr>
          <w:rFonts w:cs="Guttman Drogolin" w:hint="cs"/>
          <w:rtl/>
          <w:lang w:bidi="he-IL"/>
        </w:rPr>
        <w:t>ש</w:t>
      </w:r>
      <w:r w:rsidR="00665CE7" w:rsidRPr="00882F11">
        <w:rPr>
          <w:rFonts w:cs="Guttman Drogolin" w:hint="cs"/>
          <w:rtl/>
          <w:lang w:bidi="he-IL"/>
        </w:rPr>
        <w:t xml:space="preserve">הוא ניכר </w:t>
      </w:r>
      <w:r>
        <w:rPr>
          <w:rFonts w:cs="Guttman Drogolin" w:hint="cs"/>
          <w:rtl/>
          <w:lang w:bidi="he-IL"/>
        </w:rPr>
        <w:t xml:space="preserve">לעצמו </w:t>
      </w:r>
      <w:r w:rsidR="00665CE7" w:rsidRPr="00882F11">
        <w:rPr>
          <w:rFonts w:cs="Guttman Drogolin" w:hint="cs"/>
          <w:rtl/>
          <w:lang w:bidi="he-IL"/>
        </w:rPr>
        <w:t xml:space="preserve">כיון שמרגישים טעמו, ולכן לא שייך דין טעם במין במינו כיון שאינו מכיר טעמו, דהא הטעם שטועם הוא הטעם שהי' מרגיש גם אלמלא נפילת האיסור. או"ד שהדין טעם </w:t>
      </w:r>
      <w:r w:rsidR="00294A7F" w:rsidRPr="00882F11">
        <w:rPr>
          <w:rFonts w:cs="Guttman Drogolin" w:hint="cs"/>
          <w:rtl/>
          <w:lang w:bidi="he-IL"/>
        </w:rPr>
        <w:t>אינו תלוי בזה שהטעם ניכר</w:t>
      </w:r>
      <w:r>
        <w:rPr>
          <w:rFonts w:cs="Guttman Drogolin" w:hint="cs"/>
          <w:rtl/>
          <w:lang w:bidi="he-IL"/>
        </w:rPr>
        <w:t xml:space="preserve"> לעצמו</w:t>
      </w:r>
      <w:r w:rsidR="00294A7F" w:rsidRPr="00882F11">
        <w:rPr>
          <w:rFonts w:cs="Guttman Drogolin" w:hint="cs"/>
          <w:rtl/>
          <w:lang w:bidi="he-IL"/>
        </w:rPr>
        <w:t xml:space="preserve">, וכל הדין הוא בזה </w:t>
      </w:r>
      <w:r w:rsidR="002B2B93" w:rsidRPr="00882F11">
        <w:rPr>
          <w:rFonts w:cs="Guttman Drogolin" w:hint="cs"/>
          <w:rtl/>
          <w:lang w:bidi="he-IL"/>
        </w:rPr>
        <w:t>ש</w:t>
      </w:r>
      <w:r w:rsidR="00665CE7" w:rsidRPr="00882F11">
        <w:rPr>
          <w:rFonts w:cs="Guttman Drogolin" w:hint="cs"/>
          <w:rtl/>
          <w:lang w:bidi="he-IL"/>
        </w:rPr>
        <w:t xml:space="preserve">טועם טעם של איסור בעצם. ואם זהו הגדר הא שפיר י"ל ששייך דין טעם גם במין במינו, דהא גם במין במינו טועם טעם האיסור ביחד עם הטעם של היתר. </w:t>
      </w:r>
    </w:p>
    <w:p w:rsidR="00370323" w:rsidRPr="00882F11" w:rsidRDefault="00665CE7" w:rsidP="00BE2270">
      <w:pPr>
        <w:bidi/>
        <w:jc w:val="both"/>
        <w:rPr>
          <w:rFonts w:cs="Guttman Drogolin"/>
          <w:rtl/>
          <w:lang w:bidi="he-IL"/>
        </w:rPr>
      </w:pPr>
      <w:r w:rsidRPr="00882F11">
        <w:rPr>
          <w:rFonts w:cs="Guttman Drogolin" w:hint="cs"/>
          <w:rtl/>
          <w:lang w:bidi="he-IL"/>
        </w:rPr>
        <w:t xml:space="preserve">אלא שיש להסתפק מתי אמרינן שהוא טועם איסור במין במינו ומתי לא. ומרש"י לכאורה משמע שהכל תלוי אם הי' מרגיש טעם האיסור אילו הי' מעורב בשאינו מינו. ולכאורה כוונתו בזה, שאם הי' מרגיש הטעם אילו הי' מעורב באינו מינו, חזינן שיש שיעור מספיק של איסור לתת טעם בתבשיל. ולכן אע"ג שהוא מין במינו </w:t>
      </w:r>
      <w:r w:rsidR="002B2B93" w:rsidRPr="00882F11">
        <w:rPr>
          <w:rFonts w:cs="Guttman Drogolin" w:hint="cs"/>
          <w:rtl/>
          <w:lang w:bidi="he-IL"/>
        </w:rPr>
        <w:t xml:space="preserve">ואין הטעם </w:t>
      </w:r>
      <w:r w:rsidR="00C41F2E">
        <w:rPr>
          <w:rFonts w:cs="Guttman Drogolin" w:hint="cs"/>
          <w:rtl/>
          <w:lang w:bidi="he-IL"/>
        </w:rPr>
        <w:t xml:space="preserve">של המאכל האסור </w:t>
      </w:r>
      <w:r w:rsidR="002B2B93" w:rsidRPr="00882F11">
        <w:rPr>
          <w:rFonts w:cs="Guttman Drogolin" w:hint="cs"/>
          <w:rtl/>
          <w:lang w:bidi="he-IL"/>
        </w:rPr>
        <w:t xml:space="preserve">ניכר </w:t>
      </w:r>
      <w:r w:rsidR="00C41F2E">
        <w:rPr>
          <w:rFonts w:cs="Guttman Drogolin" w:hint="cs"/>
          <w:rtl/>
          <w:lang w:bidi="he-IL"/>
        </w:rPr>
        <w:t xml:space="preserve">לעצמו, </w:t>
      </w:r>
      <w:r w:rsidR="002B2B93" w:rsidRPr="00882F11">
        <w:rPr>
          <w:rFonts w:cs="Guttman Drogolin" w:hint="cs"/>
          <w:rtl/>
          <w:lang w:bidi="he-IL"/>
        </w:rPr>
        <w:t xml:space="preserve">מ"מ אמרינן שבכלל הטעם שהוא טועם יש גם טעם איסור, </w:t>
      </w:r>
      <w:r w:rsidR="00C41F2E">
        <w:rPr>
          <w:rFonts w:cs="Guttman Drogolin" w:hint="cs"/>
          <w:rtl/>
          <w:lang w:bidi="he-IL"/>
        </w:rPr>
        <w:t xml:space="preserve">כיון </w:t>
      </w:r>
      <w:r w:rsidR="002B2B93" w:rsidRPr="00882F11">
        <w:rPr>
          <w:rFonts w:cs="Guttman Drogolin" w:hint="cs"/>
          <w:rtl/>
          <w:lang w:bidi="he-IL"/>
        </w:rPr>
        <w:t xml:space="preserve">שגם </w:t>
      </w:r>
      <w:r w:rsidR="00C41F2E">
        <w:rPr>
          <w:rFonts w:cs="Guttman Drogolin" w:hint="cs"/>
          <w:rtl/>
          <w:lang w:bidi="he-IL"/>
        </w:rPr>
        <w:t xml:space="preserve">כמות </w:t>
      </w:r>
      <w:r w:rsidR="002B2B93" w:rsidRPr="00882F11">
        <w:rPr>
          <w:rFonts w:cs="Guttman Drogolin" w:hint="cs"/>
          <w:rtl/>
          <w:lang w:bidi="he-IL"/>
        </w:rPr>
        <w:t xml:space="preserve">האיסור משתתף בנתינת </w:t>
      </w:r>
      <w:r w:rsidR="002B2B93" w:rsidRPr="00882F11">
        <w:rPr>
          <w:rFonts w:cs="Guttman Drogolin" w:hint="cs"/>
          <w:rtl/>
          <w:lang w:bidi="he-IL"/>
        </w:rPr>
        <w:lastRenderedPageBreak/>
        <w:t>הטעם</w:t>
      </w:r>
      <w:r w:rsidRPr="00882F11">
        <w:rPr>
          <w:rFonts w:cs="Guttman Drogolin" w:hint="cs"/>
          <w:rtl/>
          <w:lang w:bidi="he-IL"/>
        </w:rPr>
        <w:t xml:space="preserve">. </w:t>
      </w:r>
      <w:r w:rsidR="00370323" w:rsidRPr="00882F11">
        <w:rPr>
          <w:rFonts w:cs="Guttman Drogolin" w:hint="cs"/>
          <w:rtl/>
          <w:lang w:bidi="he-IL"/>
        </w:rPr>
        <w:t xml:space="preserve">אבל אם באינו מינו בכמות היתר שיש לפנינו לא הי' נותן טעם, ע"כ גם במין במינו אמרינן שאינו טועם איסור, דחזינן שאין בו מספיק טעם להשפיע על טעמו של התבשיל, ולכן אינו אוסר. ואם כנים הדברים מאד מדויקים דברי הגמ' שבדף צ"ז ע"ב שכתב "ומין במינו דליכא למיקם אטעמא". ולכאורה לפי הביאור הראשון באיסורא דטעם, אין הענין דליכא 'למיקם' אטעמא, אלא הענין הוא </w:t>
      </w:r>
      <w:r w:rsidR="002B2B93" w:rsidRPr="00882F11">
        <w:rPr>
          <w:rFonts w:cs="Guttman Drogolin" w:hint="cs"/>
          <w:rtl/>
          <w:lang w:bidi="he-IL"/>
        </w:rPr>
        <w:t>פש</w:t>
      </w:r>
      <w:r w:rsidR="00370323" w:rsidRPr="00882F11">
        <w:rPr>
          <w:rFonts w:cs="Guttman Drogolin" w:hint="cs"/>
          <w:rtl/>
          <w:lang w:bidi="he-IL"/>
        </w:rPr>
        <w:t>וט שאין כאן טעם. אבל לפי הביאור השני הלשון מודקדק היטב, שהרי גם במין במינו יש טעם האוסר אם יש כמות מספיקה של איסור, רק שאנחנו לא יכולים 'למיקם</w:t>
      </w:r>
      <w:r w:rsidR="00BE2270" w:rsidRPr="00882F11">
        <w:rPr>
          <w:rFonts w:cs="Guttman Drogolin" w:hint="cs"/>
          <w:rtl/>
          <w:lang w:bidi="he-IL"/>
        </w:rPr>
        <w:t>'</w:t>
      </w:r>
      <w:r w:rsidR="00370323" w:rsidRPr="00882F11">
        <w:rPr>
          <w:rFonts w:cs="Guttman Drogolin" w:hint="cs"/>
          <w:rtl/>
          <w:lang w:bidi="he-IL"/>
        </w:rPr>
        <w:t xml:space="preserve"> עלי' כיון שגם האיסור וגם ההיתר הוו מאותו טעם.</w:t>
      </w:r>
    </w:p>
    <w:p w:rsidR="001D3CB5" w:rsidRPr="00882F11" w:rsidRDefault="00370323" w:rsidP="00C41F2E">
      <w:pPr>
        <w:bidi/>
        <w:jc w:val="both"/>
        <w:rPr>
          <w:rFonts w:cs="Guttman Drogolin"/>
          <w:rtl/>
          <w:lang w:bidi="he-IL"/>
        </w:rPr>
      </w:pPr>
      <w:r w:rsidRPr="00882F11">
        <w:rPr>
          <w:rFonts w:cs="Guttman Drogolin" w:hint="cs"/>
          <w:rtl/>
          <w:lang w:bidi="he-IL"/>
        </w:rPr>
        <w:t xml:space="preserve">ומזה אפשר להבין הילפותא מזרוע בשילה אליבא דרש"י. דהנה לכאורה הי' אפשר לומר </w:t>
      </w:r>
      <w:r w:rsidR="006F61B6" w:rsidRPr="00882F11">
        <w:rPr>
          <w:rFonts w:cs="Guttman Drogolin" w:hint="cs"/>
          <w:rtl/>
          <w:lang w:bidi="he-IL"/>
        </w:rPr>
        <w:t>שהלימוד של זרוע בשילה</w:t>
      </w:r>
      <w:r w:rsidRPr="00882F11">
        <w:rPr>
          <w:rFonts w:cs="Guttman Drogolin" w:hint="cs"/>
          <w:rtl/>
          <w:lang w:bidi="he-IL"/>
        </w:rPr>
        <w:t xml:space="preserve"> אומרת לנו </w:t>
      </w:r>
      <w:r w:rsidR="002B2B93" w:rsidRPr="00882F11">
        <w:rPr>
          <w:rFonts w:cs="Guttman Drogolin" w:hint="cs"/>
          <w:rtl/>
          <w:lang w:bidi="he-IL"/>
        </w:rPr>
        <w:t>שכשיש</w:t>
      </w:r>
      <w:r w:rsidRPr="00882F11">
        <w:rPr>
          <w:rFonts w:cs="Guttman Drogolin" w:hint="cs"/>
          <w:rtl/>
          <w:lang w:bidi="he-IL"/>
        </w:rPr>
        <w:t xml:space="preserve"> ס' מותר לנו לומר </w:t>
      </w:r>
      <w:r w:rsidR="006F61B6" w:rsidRPr="00882F11">
        <w:rPr>
          <w:rFonts w:cs="Guttman Drogolin" w:hint="cs"/>
          <w:rtl/>
          <w:lang w:bidi="he-IL"/>
        </w:rPr>
        <w:t xml:space="preserve">שאין כאן טעם, ועד ס' עדיין צריכים לחשוש </w:t>
      </w:r>
      <w:r w:rsidR="002B2B93" w:rsidRPr="00882F11">
        <w:rPr>
          <w:rFonts w:cs="Guttman Drogolin" w:hint="cs"/>
          <w:rtl/>
          <w:lang w:bidi="he-IL"/>
        </w:rPr>
        <w:t>אולי יש</w:t>
      </w:r>
      <w:r w:rsidR="006F61B6" w:rsidRPr="00882F11">
        <w:rPr>
          <w:rFonts w:cs="Guttman Drogolin" w:hint="cs"/>
          <w:rtl/>
          <w:lang w:bidi="he-IL"/>
        </w:rPr>
        <w:t xml:space="preserve"> טעם. אלא דא"כ קשה מהו קושיית רש"י שילמדו שכשיש ס' הרי זה מותר אפילו כשיש טעם, הא זהו גופא הלימוד מס' לומר שאין טעם. </w:t>
      </w:r>
      <w:r w:rsidR="00C41F2E">
        <w:rPr>
          <w:rFonts w:cs="Guttman Drogolin" w:hint="cs"/>
          <w:rtl/>
          <w:lang w:bidi="he-IL"/>
        </w:rPr>
        <w:t>ומשמע מרש"י</w:t>
      </w:r>
      <w:r w:rsidR="006F61B6" w:rsidRPr="00882F11">
        <w:rPr>
          <w:rFonts w:cs="Guttman Drogolin" w:hint="cs"/>
          <w:rtl/>
          <w:lang w:bidi="he-IL"/>
        </w:rPr>
        <w:t xml:space="preserve"> שלא חזר בו מזה, רק דסבר דאע"ג דילפינן שיעור ס' אפילו כשיש טעם, מ"מ חז"ל גזרו על התבשיל כשמרגיש בה טעם.</w:t>
      </w:r>
      <w:r w:rsidRPr="00882F11">
        <w:rPr>
          <w:rFonts w:cs="Guttman Drogolin" w:hint="cs"/>
          <w:rtl/>
          <w:lang w:bidi="he-IL"/>
        </w:rPr>
        <w:t xml:space="preserve"> </w:t>
      </w:r>
    </w:p>
    <w:p w:rsidR="00C41F2E" w:rsidRDefault="001D3CB5" w:rsidP="002B2B93">
      <w:pPr>
        <w:bidi/>
        <w:jc w:val="both"/>
        <w:rPr>
          <w:rFonts w:cs="Guttman Drogolin"/>
          <w:rtl/>
          <w:lang w:bidi="he-IL"/>
        </w:rPr>
      </w:pPr>
      <w:r w:rsidRPr="00882F11">
        <w:rPr>
          <w:rFonts w:cs="Guttman Drogolin" w:hint="cs"/>
          <w:rtl/>
          <w:lang w:bidi="he-IL"/>
        </w:rPr>
        <w:t>וחשבתי לומר בזה אחת מהשתים. או שאין כוונת רש"י לומר שחז"ל אסרו את הטעם, רק כוונתו שהי' אפשר להבין הלימוד מזרוע בשילה בב' אופנים, או שהוא השערה כמה היתר צריכים לומר שאין טעם, או שהוא דין קב</w:t>
      </w:r>
      <w:r w:rsidR="002B2B93" w:rsidRPr="00882F11">
        <w:rPr>
          <w:rFonts w:cs="Guttman Drogolin" w:hint="cs"/>
          <w:rtl/>
          <w:lang w:bidi="he-IL"/>
        </w:rPr>
        <w:t>ו</w:t>
      </w:r>
      <w:r w:rsidRPr="00882F11">
        <w:rPr>
          <w:rFonts w:cs="Guttman Drogolin" w:hint="cs"/>
          <w:rtl/>
          <w:lang w:bidi="he-IL"/>
        </w:rPr>
        <w:t>ע שבשיעור ששים האיסור בטל ואין לזה שייכות לעניני טעם. ועל זה כתב רש"י שאמנם הי' אפשר לומר שהוא ענין של ביטול ולא השערה דליכא טעם, אבל החמירו לומר שענינו דליכא טעם, ולעולם בדאיכא טעם אסור. א</w:t>
      </w:r>
      <w:r w:rsidR="002B2B93" w:rsidRPr="00882F11">
        <w:rPr>
          <w:rFonts w:cs="Guttman Drogolin" w:hint="cs"/>
          <w:rtl/>
          <w:lang w:bidi="he-IL"/>
        </w:rPr>
        <w:t>מ</w:t>
      </w:r>
      <w:r w:rsidRPr="00882F11">
        <w:rPr>
          <w:rFonts w:cs="Guttman Drogolin" w:hint="cs"/>
          <w:rtl/>
          <w:lang w:bidi="he-IL"/>
        </w:rPr>
        <w:t xml:space="preserve">נם </w:t>
      </w:r>
      <w:r w:rsidR="002B2B93" w:rsidRPr="00882F11">
        <w:rPr>
          <w:rFonts w:cs="Guttman Drogolin" w:hint="cs"/>
          <w:rtl/>
          <w:lang w:bidi="he-IL"/>
        </w:rPr>
        <w:t>פי' זה נראה דחוק בלשון רש"י.</w:t>
      </w:r>
    </w:p>
    <w:p w:rsidR="001D3CB5" w:rsidRPr="00882F11" w:rsidRDefault="002B2B93" w:rsidP="00C41F2E">
      <w:pPr>
        <w:bidi/>
        <w:jc w:val="both"/>
        <w:rPr>
          <w:rFonts w:cs="Guttman Drogolin"/>
          <w:rtl/>
          <w:lang w:bidi="he-IL"/>
        </w:rPr>
      </w:pPr>
      <w:r w:rsidRPr="00882F11">
        <w:rPr>
          <w:rFonts w:cs="Guttman Drogolin" w:hint="cs"/>
          <w:rtl/>
          <w:lang w:bidi="he-IL"/>
        </w:rPr>
        <w:t>ולכן ל</w:t>
      </w:r>
      <w:r w:rsidR="001D3CB5" w:rsidRPr="00882F11">
        <w:rPr>
          <w:rFonts w:cs="Guttman Drogolin" w:hint="cs"/>
          <w:rtl/>
          <w:lang w:bidi="he-IL"/>
        </w:rPr>
        <w:t>כאורה צריכים לומר שהלימוד של זרוע בשילה הוא שאע"פ שיש טעם הרי הוא בטל בס'. אלא שאין הטעם של הדבר משום שיש שיעור ס' כנגדו בלבד, אלא גדר הדין הוא שבשיע</w:t>
      </w:r>
      <w:r w:rsidRPr="00882F11">
        <w:rPr>
          <w:rFonts w:cs="Guttman Drogolin" w:hint="cs"/>
          <w:rtl/>
          <w:lang w:bidi="he-IL"/>
        </w:rPr>
        <w:t>ור כזה אע"פ שמרגישים את הטעם אין</w:t>
      </w:r>
      <w:r w:rsidR="001D3CB5" w:rsidRPr="00882F11">
        <w:rPr>
          <w:rFonts w:cs="Guttman Drogolin" w:hint="cs"/>
          <w:rtl/>
          <w:lang w:bidi="he-IL"/>
        </w:rPr>
        <w:t xml:space="preserve"> טעם זה חשוב ולכן אינו אוסר. וס"ד דרש"י מעיקרא שהטעם </w:t>
      </w:r>
      <w:r w:rsidR="001D3CB5" w:rsidRPr="00882F11">
        <w:rPr>
          <w:rFonts w:cs="Guttman Drogolin" w:hint="cs"/>
          <w:rtl/>
          <w:lang w:bidi="he-IL"/>
        </w:rPr>
        <w:lastRenderedPageBreak/>
        <w:t xml:space="preserve">שיש איסור כשמרגישים טעם בלמעלה מס' היינו משום שמדאורייתא אינו בטל כיון שיש טעם. </w:t>
      </w:r>
      <w:r w:rsidRPr="00882F11">
        <w:rPr>
          <w:rFonts w:cs="Guttman Drogolin" w:hint="cs"/>
          <w:rtl/>
          <w:lang w:bidi="he-IL"/>
        </w:rPr>
        <w:t xml:space="preserve">ומשו"ה תמה רש"י דהא אפשר לומר שלמידין מן הפסוק שגם זה בטל ומיירי בדאיכא ס' ומ"מ נותן טעם. </w:t>
      </w:r>
      <w:r w:rsidR="001D3CB5" w:rsidRPr="00882F11">
        <w:rPr>
          <w:rFonts w:cs="Guttman Drogolin" w:hint="cs"/>
          <w:rtl/>
          <w:lang w:bidi="he-IL"/>
        </w:rPr>
        <w:t>ותי' רש"י שאפילו אם יש</w:t>
      </w:r>
      <w:r w:rsidRPr="00882F11">
        <w:rPr>
          <w:rFonts w:cs="Guttman Drogolin" w:hint="cs"/>
          <w:rtl/>
          <w:lang w:bidi="he-IL"/>
        </w:rPr>
        <w:t xml:space="preserve"> ביטול לטעם בשיעור זה מדאורייתא</w:t>
      </w:r>
      <w:r w:rsidR="001D3CB5" w:rsidRPr="00882F11">
        <w:rPr>
          <w:rFonts w:cs="Guttman Drogolin" w:hint="cs"/>
          <w:rtl/>
          <w:lang w:bidi="he-IL"/>
        </w:rPr>
        <w:t xml:space="preserve"> </w:t>
      </w:r>
      <w:r w:rsidRPr="00882F11">
        <w:rPr>
          <w:rFonts w:cs="Guttman Drogolin" w:hint="cs"/>
          <w:rtl/>
          <w:lang w:bidi="he-IL"/>
        </w:rPr>
        <w:t xml:space="preserve">משום דאע"ג שהוא מורגש מ"מ קלוש הוא, </w:t>
      </w:r>
      <w:r w:rsidR="001D3CB5" w:rsidRPr="00882F11">
        <w:rPr>
          <w:rFonts w:cs="Guttman Drogolin" w:hint="cs"/>
          <w:rtl/>
          <w:lang w:bidi="he-IL"/>
        </w:rPr>
        <w:t>מ"מ חז"ל החמירו כל זמן שיש טעם מורגש.</w:t>
      </w:r>
      <w:r w:rsidR="00847E1A" w:rsidRPr="00882F11">
        <w:rPr>
          <w:rFonts w:cs="Guttman Drogolin" w:hint="cs"/>
          <w:rtl/>
          <w:lang w:bidi="he-IL"/>
        </w:rPr>
        <w:t xml:space="preserve"> וזהו כוונת רש"י בדף ק"ח ע"א שלמידין מזה זרוע בשילה להתיר היכא דליכא טעם, שכוונתו שכשיש שיעור ס' אמרינן שאין כאן טעם אפילו אם הוא מורגש. </w:t>
      </w:r>
    </w:p>
    <w:p w:rsidR="00CA4584" w:rsidRPr="00882F11" w:rsidRDefault="001D3CB5" w:rsidP="00C41F2E">
      <w:pPr>
        <w:bidi/>
        <w:jc w:val="both"/>
        <w:rPr>
          <w:rFonts w:cs="Guttman Drogolin"/>
          <w:rtl/>
          <w:lang w:bidi="he-IL"/>
        </w:rPr>
      </w:pPr>
      <w:r w:rsidRPr="00882F11">
        <w:rPr>
          <w:rFonts w:cs="Guttman Drogolin" w:hint="cs"/>
          <w:rtl/>
          <w:lang w:bidi="he-IL"/>
        </w:rPr>
        <w:t xml:space="preserve">ומקור לביאור כזה יש </w:t>
      </w:r>
      <w:r w:rsidR="00C41F2E">
        <w:rPr>
          <w:rFonts w:cs="Guttman Drogolin" w:hint="cs"/>
          <w:rtl/>
          <w:lang w:bidi="he-IL"/>
        </w:rPr>
        <w:t>ב</w:t>
      </w:r>
      <w:r w:rsidRPr="00882F11">
        <w:rPr>
          <w:rFonts w:cs="Guttman Drogolin" w:hint="cs"/>
          <w:rtl/>
          <w:lang w:bidi="he-IL"/>
        </w:rPr>
        <w:t xml:space="preserve">ש"ך בסי' צ"ח ס"ק כ"ט בשם האו"ה </w:t>
      </w:r>
      <w:r w:rsidR="002B2B93" w:rsidRPr="00882F11">
        <w:rPr>
          <w:rFonts w:cs="Guttman Drogolin" w:hint="cs"/>
          <w:rtl/>
          <w:lang w:bidi="he-IL"/>
        </w:rPr>
        <w:t xml:space="preserve">שכתב </w:t>
      </w:r>
      <w:r w:rsidRPr="00882F11">
        <w:rPr>
          <w:rFonts w:cs="Guttman Drogolin" w:hint="cs"/>
          <w:rtl/>
          <w:lang w:bidi="he-IL"/>
        </w:rPr>
        <w:t xml:space="preserve">שאפילו אם נותן טעם, אם יש ששים כנגדו אין טעם זה אוסר מדאורייתא. ואע"ג שרע"א שם הביא שיטת הר"ן שהוא אסור מדאורייתא, איכא למימר דהנ"מ בדבר שהוא עשוי לטעם </w:t>
      </w:r>
      <w:r w:rsidR="002B2B93" w:rsidRPr="00882F11">
        <w:rPr>
          <w:rFonts w:cs="Guttman Drogolin" w:hint="cs"/>
          <w:rtl/>
          <w:lang w:bidi="he-IL"/>
        </w:rPr>
        <w:t xml:space="preserve">כגון תבלינים, </w:t>
      </w:r>
      <w:r w:rsidRPr="00882F11">
        <w:rPr>
          <w:rFonts w:cs="Guttman Drogolin" w:hint="cs"/>
          <w:rtl/>
          <w:lang w:bidi="he-IL"/>
        </w:rPr>
        <w:t>ולכן הרי הוא נותן טעם גמור אפילו בדאיכא ששים. אבל דבר דלא עביד לטעם, אם נותן בה טעם יכול להיות שלכו"ע הוא דרבנן.</w:t>
      </w:r>
      <w:r w:rsidR="00665CE7" w:rsidRPr="00882F11">
        <w:rPr>
          <w:rFonts w:cs="Guttman Drogolin" w:hint="cs"/>
          <w:rtl/>
          <w:lang w:bidi="he-IL"/>
        </w:rPr>
        <w:t xml:space="preserve"> </w:t>
      </w:r>
    </w:p>
    <w:p w:rsidR="00CA4584" w:rsidRPr="00882F11" w:rsidRDefault="00CA4584" w:rsidP="00CA4584">
      <w:pPr>
        <w:bidi/>
        <w:jc w:val="both"/>
        <w:rPr>
          <w:rFonts w:cs="Guttman Drogolin"/>
          <w:rtl/>
          <w:lang w:bidi="he-IL"/>
        </w:rPr>
        <w:sectPr w:rsidR="00CA4584" w:rsidRPr="00882F11" w:rsidSect="00882F11">
          <w:type w:val="continuous"/>
          <w:pgSz w:w="11907" w:h="16839" w:code="9"/>
          <w:pgMar w:top="1440" w:right="1440" w:bottom="1440" w:left="1440" w:header="720" w:footer="720" w:gutter="0"/>
          <w:cols w:num="2" w:space="720"/>
          <w:bidi/>
          <w:docGrid w:linePitch="360"/>
        </w:sectPr>
      </w:pPr>
    </w:p>
    <w:p w:rsidR="00CA4584" w:rsidRPr="00882F11" w:rsidRDefault="00CA4584" w:rsidP="00CA4584">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ז'</w:t>
      </w:r>
    </w:p>
    <w:p w:rsidR="00882F11" w:rsidRDefault="00882F11" w:rsidP="0078079C">
      <w:pPr>
        <w:pStyle w:val="Heading1"/>
        <w:bidi/>
        <w:spacing w:before="0" w:line="360" w:lineRule="auto"/>
        <w:jc w:val="center"/>
        <w:rPr>
          <w:rFonts w:cs="Guttman Drogolin"/>
          <w:color w:val="auto"/>
          <w:sz w:val="24"/>
          <w:szCs w:val="24"/>
          <w:u w:val="single"/>
          <w:rtl/>
          <w:lang w:bidi="he-IL"/>
        </w:rPr>
        <w:sectPr w:rsidR="00882F11" w:rsidSect="00882F11">
          <w:headerReference w:type="default" r:id="rId17"/>
          <w:pgSz w:w="11907" w:h="16839" w:code="9"/>
          <w:pgMar w:top="1440" w:right="1440" w:bottom="1440" w:left="1440" w:header="720" w:footer="720" w:gutter="0"/>
          <w:cols w:space="720"/>
          <w:bidi/>
          <w:docGrid w:linePitch="360"/>
        </w:sectPr>
      </w:pPr>
    </w:p>
    <w:p w:rsidR="00CA4584" w:rsidRPr="00882F11" w:rsidRDefault="009C586C" w:rsidP="00882F11">
      <w:pPr>
        <w:pStyle w:val="Heading1"/>
        <w:bidi/>
        <w:spacing w:before="0" w:line="240" w:lineRule="auto"/>
        <w:jc w:val="center"/>
        <w:rPr>
          <w:rFonts w:cs="Guttman Drogolin"/>
          <w:color w:val="auto"/>
          <w:sz w:val="24"/>
          <w:szCs w:val="24"/>
          <w:u w:val="single"/>
          <w:rtl/>
          <w:lang w:bidi="he-IL"/>
        </w:rPr>
      </w:pPr>
      <w:bookmarkStart w:id="33" w:name="_Toc496175298"/>
      <w:r w:rsidRPr="00882F11">
        <w:rPr>
          <w:rFonts w:cs="Guttman Drogolin" w:hint="cs"/>
          <w:color w:val="auto"/>
          <w:sz w:val="24"/>
          <w:szCs w:val="24"/>
          <w:u w:val="single"/>
          <w:rtl/>
          <w:lang w:bidi="he-IL"/>
        </w:rPr>
        <w:lastRenderedPageBreak/>
        <w:t xml:space="preserve">דינא דזרוע בשילה חידוש הוא </w:t>
      </w:r>
      <w:r w:rsidRPr="00882F11">
        <w:rPr>
          <w:rFonts w:cs="Guttman Drogolin"/>
          <w:color w:val="auto"/>
          <w:sz w:val="24"/>
          <w:szCs w:val="24"/>
          <w:u w:val="single"/>
          <w:rtl/>
          <w:lang w:bidi="he-IL"/>
        </w:rPr>
        <w:t>–</w:t>
      </w:r>
      <w:r w:rsidRPr="00882F11">
        <w:rPr>
          <w:rFonts w:cs="Guttman Drogolin" w:hint="cs"/>
          <w:color w:val="auto"/>
          <w:sz w:val="24"/>
          <w:szCs w:val="24"/>
          <w:u w:val="single"/>
          <w:rtl/>
          <w:lang w:bidi="he-IL"/>
        </w:rPr>
        <w:t xml:space="preserve"> ובדינא דאין מבטלין איסור לכתחילה</w:t>
      </w:r>
      <w:bookmarkEnd w:id="33"/>
    </w:p>
    <w:p w:rsidR="008B4109" w:rsidRPr="00882F11" w:rsidRDefault="009C586C" w:rsidP="00687936">
      <w:pPr>
        <w:bidi/>
        <w:jc w:val="both"/>
        <w:rPr>
          <w:rFonts w:cs="Guttman Drogolin"/>
          <w:rtl/>
          <w:lang w:bidi="he-IL"/>
        </w:rPr>
      </w:pPr>
      <w:r w:rsidRPr="00882F11">
        <w:rPr>
          <w:rFonts w:cs="Guttman Drogolin" w:hint="cs"/>
          <w:rtl/>
          <w:lang w:bidi="he-IL"/>
        </w:rPr>
        <w:t>בסוגיא דזרוע בשילה למדו השיעור של ס' וק'. ושואלת הגמ' על זה מברייתא שכתוב שם "זהו</w:t>
      </w:r>
      <w:r w:rsidRPr="00882F11">
        <w:rPr>
          <w:rFonts w:cs="Guttman Drogolin"/>
          <w:rtl/>
          <w:lang w:bidi="he-IL"/>
        </w:rPr>
        <w:t xml:space="preserve"> </w:t>
      </w:r>
      <w:r w:rsidRPr="00882F11">
        <w:rPr>
          <w:rFonts w:cs="Guttman Drogolin" w:hint="cs"/>
          <w:rtl/>
          <w:lang w:bidi="he-IL"/>
        </w:rPr>
        <w:t>[פי' דינא דזרוע בשילה] היתר</w:t>
      </w:r>
      <w:r w:rsidRPr="00882F11">
        <w:rPr>
          <w:rFonts w:cs="Guttman Drogolin"/>
          <w:rtl/>
          <w:lang w:bidi="he-IL"/>
        </w:rPr>
        <w:t xml:space="preserve"> </w:t>
      </w:r>
      <w:r w:rsidRPr="00882F11">
        <w:rPr>
          <w:rFonts w:cs="Guttman Drogolin" w:hint="cs"/>
          <w:rtl/>
          <w:lang w:bidi="he-IL"/>
        </w:rPr>
        <w:t>הבא</w:t>
      </w:r>
      <w:r w:rsidRPr="00882F11">
        <w:rPr>
          <w:rFonts w:cs="Guttman Drogolin"/>
          <w:rtl/>
          <w:lang w:bidi="he-IL"/>
        </w:rPr>
        <w:t xml:space="preserve"> </w:t>
      </w:r>
      <w:r w:rsidRPr="00882F11">
        <w:rPr>
          <w:rFonts w:cs="Guttman Drogolin" w:hint="cs"/>
          <w:rtl/>
          <w:lang w:bidi="he-IL"/>
        </w:rPr>
        <w:t>מכלל</w:t>
      </w:r>
      <w:r w:rsidRPr="00882F11">
        <w:rPr>
          <w:rFonts w:cs="Guttman Drogolin"/>
          <w:rtl/>
          <w:lang w:bidi="he-IL"/>
        </w:rPr>
        <w:t xml:space="preserve"> </w:t>
      </w:r>
      <w:r w:rsidRPr="00882F11">
        <w:rPr>
          <w:rFonts w:cs="Guttman Drogolin" w:hint="cs"/>
          <w:rtl/>
          <w:lang w:bidi="he-IL"/>
        </w:rPr>
        <w:t xml:space="preserve">איסור", וס"ד שכוונת הברייתא לומר שאמנם בזרוע בשילה סמכו על השיעור של ס' ומאה, אבל בשאר איסורים אין לסמוך על זה. (ולכאורה כוונת הגמ' לומר ההיפך ממה שחשבנו מעיקרא, דמעיקרא חשבנו דאלמלא הפסוק דזרוע בשילה הי' בטל ברוב, ועכשיו ס"ד דאפילו ששים לא מהני. ולשיטת התוס' שהלימוד דזרוע בשילה אינו אלא אסמכתא בעלמא הי' אפשר אולי לומר דמעיקרא ידענו שטעם אוסר רק לא ידענו עד איזה שיעור אפשר לסמוך עליו שאין כאן טעם, ולכן </w:t>
      </w:r>
      <w:r w:rsidR="009A3182" w:rsidRPr="00882F11">
        <w:rPr>
          <w:rFonts w:cs="Guttman Drogolin" w:hint="cs"/>
          <w:rtl/>
          <w:lang w:bidi="he-IL"/>
        </w:rPr>
        <w:t xml:space="preserve">לא ידענו אם ששים או פחות או יותר, וקמ"ל שהשיעור הוא ששים, ולכן על זה מקשה דדלמא ששים לא סגי. אלא לרש"י דהוי לימוד גמור צ"ע דמא"ל. ובאמת גם לתוס' </w:t>
      </w:r>
      <w:r w:rsidR="008B4109" w:rsidRPr="00882F11">
        <w:rPr>
          <w:rFonts w:cs="Guttman Drogolin" w:hint="cs"/>
          <w:rtl/>
          <w:lang w:bidi="he-IL"/>
        </w:rPr>
        <w:t xml:space="preserve">הא אמרו בגמ' דחומרא היא כיון שמדאורייתא ברובא בטיל, ולתי' א' בתוס' היינו משום דאפילו במין בשאינו מינו רוב פעמים אין טעם גם בפחות מס'). והגמ' דוחה שכוונת הגמ' להיתר אחר, או למין במינו שדוקא בזרוע בשילה בטל, או </w:t>
      </w:r>
      <w:r w:rsidR="00BF430F" w:rsidRPr="00882F11">
        <w:rPr>
          <w:rFonts w:cs="Guttman Drogolin" w:hint="cs"/>
          <w:rtl/>
          <w:lang w:bidi="he-IL"/>
        </w:rPr>
        <w:t>טעם כעיקר</w:t>
      </w:r>
      <w:r w:rsidR="008B4109" w:rsidRPr="00882F11">
        <w:rPr>
          <w:rFonts w:cs="Guttman Drogolin" w:hint="cs"/>
          <w:rtl/>
          <w:lang w:bidi="he-IL"/>
        </w:rPr>
        <w:t xml:space="preserve">, או למקום החתך. ושואלת הגמ' </w:t>
      </w:r>
      <w:r w:rsidR="00687936">
        <w:rPr>
          <w:rFonts w:cs="Guttman Drogolin" w:hint="cs"/>
          <w:rtl/>
          <w:lang w:bidi="he-IL"/>
        </w:rPr>
        <w:t xml:space="preserve">שאם הכוונה לא' מהנהו היתירי למה לא </w:t>
      </w:r>
      <w:r w:rsidR="008B4109" w:rsidRPr="00882F11">
        <w:rPr>
          <w:rFonts w:cs="Guttman Drogolin" w:hint="cs"/>
          <w:rtl/>
          <w:lang w:bidi="he-IL"/>
        </w:rPr>
        <w:t xml:space="preserve">נילף </w:t>
      </w:r>
      <w:r w:rsidR="00687936">
        <w:rPr>
          <w:rFonts w:cs="Guttman Drogolin" w:hint="cs"/>
          <w:rtl/>
          <w:lang w:bidi="he-IL"/>
        </w:rPr>
        <w:t>מזרוע בשילה</w:t>
      </w:r>
      <w:r w:rsidR="008B4109" w:rsidRPr="00882F11">
        <w:rPr>
          <w:rFonts w:cs="Guttman Drogolin" w:hint="cs"/>
          <w:rtl/>
          <w:lang w:bidi="he-IL"/>
        </w:rPr>
        <w:t xml:space="preserve"> לכה"ת כולה, ומתרצת הגמ' שיש גזה"כ אחרת שמחדשת החומרא, ולומדים מן הגזה"כ ההוא ולא מזרוע בשילה כיון דזרוע בשילה חידוש הוא, ומחידוש לא גמרינן.</w:t>
      </w:r>
    </w:p>
    <w:p w:rsidR="00215EDA" w:rsidRPr="00882F11" w:rsidRDefault="008B4109" w:rsidP="0090663F">
      <w:pPr>
        <w:bidi/>
        <w:jc w:val="both"/>
        <w:rPr>
          <w:rFonts w:cs="Guttman Drogolin"/>
          <w:rtl/>
          <w:lang w:bidi="he-IL"/>
        </w:rPr>
      </w:pPr>
      <w:r w:rsidRPr="00882F11">
        <w:rPr>
          <w:rFonts w:cs="Guttman Drogolin" w:hint="cs"/>
          <w:rtl/>
          <w:lang w:bidi="he-IL"/>
        </w:rPr>
        <w:t xml:space="preserve">והגמ' לא אומרת לנו מהו החידוש שנאמר בזרוע בשילה. ורש"י פי' בד"ה </w:t>
      </w:r>
      <w:r w:rsidR="00967F9C" w:rsidRPr="00882F11">
        <w:rPr>
          <w:rFonts w:cs="Guttman Drogolin" w:hint="cs"/>
          <w:rtl/>
          <w:lang w:bidi="he-IL"/>
        </w:rPr>
        <w:t>חדוש</w:t>
      </w:r>
      <w:r w:rsidR="00967F9C" w:rsidRPr="00882F11">
        <w:rPr>
          <w:rFonts w:cs="Guttman Drogolin"/>
          <w:rtl/>
          <w:lang w:bidi="he-IL"/>
        </w:rPr>
        <w:t xml:space="preserve"> </w:t>
      </w:r>
      <w:r w:rsidR="00967F9C" w:rsidRPr="00882F11">
        <w:rPr>
          <w:rFonts w:cs="Guttman Drogolin" w:hint="cs"/>
          <w:rtl/>
          <w:lang w:bidi="he-IL"/>
        </w:rPr>
        <w:t>הוא</w:t>
      </w:r>
      <w:r w:rsidR="00967F9C" w:rsidRPr="00882F11">
        <w:rPr>
          <w:rFonts w:cs="Guttman Drogolin"/>
          <w:rtl/>
          <w:lang w:bidi="he-IL"/>
        </w:rPr>
        <w:t xml:space="preserve"> </w:t>
      </w:r>
      <w:r w:rsidR="00967F9C" w:rsidRPr="00882F11">
        <w:rPr>
          <w:rFonts w:cs="Guttman Drogolin" w:hint="cs"/>
          <w:rtl/>
          <w:lang w:bidi="he-IL"/>
        </w:rPr>
        <w:t>"דלכתחלה</w:t>
      </w:r>
      <w:r w:rsidR="00967F9C" w:rsidRPr="00882F11">
        <w:rPr>
          <w:rFonts w:cs="Guttman Drogolin"/>
          <w:rtl/>
          <w:lang w:bidi="he-IL"/>
        </w:rPr>
        <w:t xml:space="preserve"> </w:t>
      </w:r>
      <w:r w:rsidR="00967F9C" w:rsidRPr="00882F11">
        <w:rPr>
          <w:rFonts w:cs="Guttman Drogolin" w:hint="cs"/>
          <w:rtl/>
          <w:lang w:bidi="he-IL"/>
        </w:rPr>
        <w:t>(היתר)</w:t>
      </w:r>
      <w:r w:rsidR="00967F9C" w:rsidRPr="00882F11">
        <w:rPr>
          <w:rFonts w:cs="Guttman Drogolin"/>
          <w:rtl/>
          <w:lang w:bidi="he-IL"/>
        </w:rPr>
        <w:t xml:space="preserve"> </w:t>
      </w:r>
      <w:r w:rsidR="00967F9C" w:rsidRPr="00882F11">
        <w:rPr>
          <w:rFonts w:cs="Guttman Drogolin" w:hint="cs"/>
          <w:rtl/>
          <w:lang w:bidi="he-IL"/>
        </w:rPr>
        <w:t>[התיר] לבטל</w:t>
      </w:r>
      <w:r w:rsidR="00967F9C" w:rsidRPr="00882F11">
        <w:rPr>
          <w:rFonts w:cs="Guttman Drogolin"/>
          <w:rtl/>
          <w:lang w:bidi="he-IL"/>
        </w:rPr>
        <w:t xml:space="preserve"> </w:t>
      </w:r>
      <w:r w:rsidR="00967F9C" w:rsidRPr="00882F11">
        <w:rPr>
          <w:rFonts w:cs="Guttman Drogolin" w:hint="cs"/>
          <w:rtl/>
          <w:lang w:bidi="he-IL"/>
        </w:rPr>
        <w:t xml:space="preserve">האיסור". ור"ל שיש בזה חידוש שהתירו לבטל איסור לכתחילה. והנה חידוש זה </w:t>
      </w:r>
      <w:r w:rsidR="00DB4727" w:rsidRPr="00882F11">
        <w:rPr>
          <w:rFonts w:cs="Guttman Drogolin" w:hint="cs"/>
          <w:rtl/>
          <w:lang w:bidi="he-IL"/>
        </w:rPr>
        <w:t>נקטו הראשונים דע"כ ה</w:t>
      </w:r>
      <w:r w:rsidR="00967F9C" w:rsidRPr="00882F11">
        <w:rPr>
          <w:rFonts w:cs="Guttman Drogolin" w:hint="cs"/>
          <w:rtl/>
          <w:lang w:bidi="he-IL"/>
        </w:rPr>
        <w:t xml:space="preserve">וי דין דאורייתא, </w:t>
      </w:r>
      <w:r w:rsidR="00DB4727" w:rsidRPr="00882F11">
        <w:rPr>
          <w:rFonts w:cs="Guttman Drogolin" w:hint="cs"/>
          <w:rtl/>
          <w:lang w:bidi="he-IL"/>
        </w:rPr>
        <w:t>נראה טעמם</w:t>
      </w:r>
      <w:r w:rsidR="00967F9C" w:rsidRPr="00882F11">
        <w:rPr>
          <w:rFonts w:cs="Guttman Drogolin" w:hint="cs"/>
          <w:rtl/>
          <w:lang w:bidi="he-IL"/>
        </w:rPr>
        <w:t xml:space="preserve"> </w:t>
      </w:r>
      <w:r w:rsidR="00DB4727" w:rsidRPr="00882F11">
        <w:rPr>
          <w:rFonts w:cs="Guttman Drogolin" w:hint="cs"/>
          <w:rtl/>
          <w:lang w:bidi="he-IL"/>
        </w:rPr>
        <w:t xml:space="preserve">שאם מדאורייתא אין בה חידוש </w:t>
      </w:r>
      <w:r w:rsidR="00DB4727" w:rsidRPr="00882F11">
        <w:rPr>
          <w:rFonts w:cs="Guttman Drogolin" w:hint="cs"/>
          <w:rtl/>
          <w:lang w:bidi="he-IL"/>
        </w:rPr>
        <w:lastRenderedPageBreak/>
        <w:t xml:space="preserve">קשה לומר שאין למידין ממנו משום </w:t>
      </w:r>
      <w:r w:rsidR="00687936">
        <w:rPr>
          <w:rFonts w:cs="Guttman Drogolin" w:hint="cs"/>
          <w:rtl/>
          <w:lang w:bidi="he-IL"/>
        </w:rPr>
        <w:t xml:space="preserve">חידוש באיסור דרבנן </w:t>
      </w:r>
      <w:r w:rsidR="0090663F">
        <w:rPr>
          <w:rFonts w:cs="Guttman Drogolin" w:hint="cs"/>
          <w:rtl/>
          <w:lang w:bidi="he-IL"/>
        </w:rPr>
        <w:t>שיש בו</w:t>
      </w:r>
      <w:r w:rsidR="00DB4727" w:rsidRPr="00882F11">
        <w:rPr>
          <w:rFonts w:cs="Guttman Drogolin" w:hint="cs"/>
          <w:rtl/>
          <w:lang w:bidi="he-IL"/>
        </w:rPr>
        <w:t xml:space="preserve">. </w:t>
      </w:r>
      <w:r w:rsidR="00667B16" w:rsidRPr="00882F11">
        <w:rPr>
          <w:rFonts w:cs="Guttman Drogolin"/>
          <w:rtl/>
          <w:lang w:bidi="he-IL"/>
        </w:rPr>
        <w:fldChar w:fldCharType="begin"/>
      </w:r>
      <w:r w:rsidR="00667B16" w:rsidRPr="00882F11">
        <w:rPr>
          <w:rFonts w:cs="Guttman Drogolin"/>
        </w:rPr>
        <w:instrText xml:space="preserve"> XE "</w:instrText>
      </w:r>
      <w:r w:rsidR="00667B16" w:rsidRPr="00882F11">
        <w:rPr>
          <w:rFonts w:cs="Guttman Drogolin" w:hint="cs"/>
          <w:rtl/>
          <w:lang w:bidi="he-IL"/>
        </w:rPr>
        <w:instrText>אין מבטלין איסור לכתחילה</w:instrText>
      </w:r>
      <w:r w:rsidR="00667B16" w:rsidRPr="00882F11">
        <w:rPr>
          <w:rFonts w:cs="Guttman Drogolin"/>
          <w:rtl/>
        </w:rPr>
        <w:instrText>:</w:instrText>
      </w:r>
      <w:r w:rsidR="00667B16" w:rsidRPr="00882F11">
        <w:rPr>
          <w:rFonts w:cs="Guttman Drogolin" w:hint="cs"/>
          <w:rtl/>
          <w:lang w:bidi="he-IL"/>
        </w:rPr>
        <w:instrText>אם הוא דין מדאוריייתא</w:instrText>
      </w:r>
      <w:r w:rsidR="00667B16" w:rsidRPr="00882F11">
        <w:rPr>
          <w:rFonts w:cs="Guttman Drogolin"/>
        </w:rPr>
        <w:instrText xml:space="preserve">" </w:instrText>
      </w:r>
      <w:r w:rsidR="00667B16" w:rsidRPr="00882F11">
        <w:rPr>
          <w:rFonts w:cs="Guttman Drogolin"/>
          <w:rtl/>
          <w:lang w:bidi="he-IL"/>
        </w:rPr>
        <w:fldChar w:fldCharType="end"/>
      </w:r>
      <w:r w:rsidR="00DB4727" w:rsidRPr="00882F11">
        <w:rPr>
          <w:rFonts w:cs="Guttman Drogolin" w:hint="cs"/>
          <w:rtl/>
          <w:lang w:bidi="he-IL"/>
        </w:rPr>
        <w:t>וא"כ לכאורה לשיטת רש"י יוצא שהאיסור לבטל איסור לכתחילה הוא איסור דאורייתא. וכן הוא שיטת הראב"ד והרא"ה. והרשב"</w:t>
      </w:r>
      <w:r w:rsidR="004B0288" w:rsidRPr="00882F11">
        <w:rPr>
          <w:rFonts w:cs="Guttman Drogolin" w:hint="cs"/>
          <w:rtl/>
          <w:lang w:bidi="he-IL"/>
        </w:rPr>
        <w:t xml:space="preserve">א הביא בשם התוס' שאין האיסור </w:t>
      </w:r>
      <w:r w:rsidR="0090663F">
        <w:rPr>
          <w:rFonts w:cs="Guttman Drogolin" w:hint="cs"/>
          <w:rtl/>
          <w:lang w:bidi="he-IL"/>
        </w:rPr>
        <w:t xml:space="preserve">לבטל איסור דרבנן </w:t>
      </w:r>
      <w:r w:rsidR="004B0288" w:rsidRPr="00882F11">
        <w:rPr>
          <w:rFonts w:cs="Guttman Drogolin" w:hint="cs"/>
          <w:rtl/>
          <w:lang w:bidi="he-IL"/>
        </w:rPr>
        <w:t>אלא מדרבנן</w:t>
      </w:r>
      <w:r w:rsidR="004B0288" w:rsidRPr="00882F11">
        <w:rPr>
          <w:rStyle w:val="FootnoteReference"/>
          <w:rFonts w:cs="Guttman Drogolin"/>
          <w:rtl/>
          <w:lang w:bidi="he-IL"/>
        </w:rPr>
        <w:footnoteReference w:id="44"/>
      </w:r>
      <w:r w:rsidR="004B0288" w:rsidRPr="00882F11">
        <w:rPr>
          <w:rFonts w:cs="Guttman Drogolin" w:hint="cs"/>
          <w:rtl/>
          <w:lang w:bidi="he-IL"/>
        </w:rPr>
        <w:t>, וכן הוא דעת עוד כמה מן הראשונים. ולשיטתם הדרה קושיא לדוכתי', מהו ה</w:t>
      </w:r>
      <w:r w:rsidR="00215A61" w:rsidRPr="00882F11">
        <w:rPr>
          <w:rFonts w:cs="Guttman Drogolin" w:hint="cs"/>
          <w:rtl/>
          <w:lang w:bidi="he-IL"/>
        </w:rPr>
        <w:t>'</w:t>
      </w:r>
      <w:r w:rsidR="004B0288" w:rsidRPr="00882F11">
        <w:rPr>
          <w:rFonts w:cs="Guttman Drogolin" w:hint="cs"/>
          <w:rtl/>
          <w:lang w:bidi="he-IL"/>
        </w:rPr>
        <w:t>חידוש</w:t>
      </w:r>
      <w:r w:rsidR="00215A61" w:rsidRPr="00882F11">
        <w:rPr>
          <w:rFonts w:cs="Guttman Drogolin" w:hint="cs"/>
          <w:rtl/>
          <w:lang w:bidi="he-IL"/>
        </w:rPr>
        <w:t>'</w:t>
      </w:r>
      <w:r w:rsidR="004B0288" w:rsidRPr="00882F11">
        <w:rPr>
          <w:rFonts w:cs="Guttman Drogolin" w:hint="cs"/>
          <w:rtl/>
          <w:lang w:bidi="he-IL"/>
        </w:rPr>
        <w:t xml:space="preserve"> של זרוע בשילה.</w:t>
      </w:r>
      <w:r w:rsidR="00215EDA" w:rsidRPr="00882F11">
        <w:rPr>
          <w:rFonts w:cs="Guttman Drogolin" w:hint="cs"/>
          <w:rtl/>
          <w:lang w:bidi="he-IL"/>
        </w:rPr>
        <w:t xml:space="preserve"> ובחי' הרשב"א כתב שהחידוש הוא שבזרוע בשילה מצוה לבטלו משא"כ בעלמא שעכ"פ גנאי הוא.</w:t>
      </w:r>
    </w:p>
    <w:p w:rsidR="00BC2102" w:rsidRPr="00882F11" w:rsidRDefault="00215EDA" w:rsidP="00942C5F">
      <w:pPr>
        <w:bidi/>
        <w:jc w:val="both"/>
        <w:rPr>
          <w:rFonts w:cs="Guttman Drogolin"/>
          <w:rtl/>
          <w:lang w:bidi="he-IL"/>
        </w:rPr>
      </w:pPr>
      <w:r w:rsidRPr="00882F11">
        <w:rPr>
          <w:rFonts w:cs="Guttman Drogolin" w:hint="cs"/>
          <w:rtl/>
          <w:lang w:bidi="he-IL"/>
        </w:rPr>
        <w:t>והנה בחידושי הרמב"ן כתב שהחידוש הוא שלא מצאנו שאמרה תורה בשאר מתנות כהונה שיש לבשלם עם חלק הבעלים וכאן הרי התורה אמרה כן. ובאמת זהו דין המפורש בגמ' שעל ידו למדנו את עצם השיעור של ששים או מאה. וא"כ לכאורה צע"ק למה נטו מזה שאר המפרשים ותלו בדלא תניא. ולכאורה נראה דשאר ראשונים לא הבינו כמש"כ הרמב"ן משום דסברי שאמנם יש חידוש</w:t>
      </w:r>
      <w:r w:rsidR="00BC2102" w:rsidRPr="00882F11">
        <w:rPr>
          <w:rFonts w:cs="Guttman Drogolin" w:hint="cs"/>
          <w:rtl/>
          <w:lang w:bidi="he-IL"/>
        </w:rPr>
        <w:t xml:space="preserve"> מדינא דמתנות כהונה לבשל חלק הכהנים עם חלק הבעלים, מ"מ אין זה טעם לומר שלא ללמוד עניני איסור והיתר ממנו. רק אם יש חידוש בדיני איסור והיתר אמרינן דכיון שיש חידוש בזה אי אפשר ללמוד ממנו למקומות אחרות. ונראה שיש לזה ג"כ רמז מלשון הרשב"א, שהרי הרשב"א כתב שהחידוש הוא שיש מצוה לבטל א' בחבירו, משא"כ בעלמא שיש גנאי. ולכאורה צ"ע, דלמה לא קאמר שיש חידוש בזה שמבטלין איסור לכתחילה לבד, ולמה הי' </w:t>
      </w:r>
      <w:r w:rsidR="00400E3A" w:rsidRPr="00882F11">
        <w:rPr>
          <w:rFonts w:cs="Guttman Drogolin" w:hint="cs"/>
          <w:rtl/>
          <w:lang w:bidi="he-IL"/>
        </w:rPr>
        <w:t>צ</w:t>
      </w:r>
      <w:r w:rsidR="00BC2102" w:rsidRPr="00882F11">
        <w:rPr>
          <w:rFonts w:cs="Guttman Drogolin" w:hint="cs"/>
          <w:rtl/>
          <w:lang w:bidi="he-IL"/>
        </w:rPr>
        <w:t>ריך להוס</w:t>
      </w:r>
      <w:r w:rsidR="00942C5F" w:rsidRPr="00882F11">
        <w:rPr>
          <w:rFonts w:cs="Guttman Drogolin" w:hint="cs"/>
          <w:rtl/>
          <w:lang w:bidi="he-IL"/>
        </w:rPr>
        <w:t>י</w:t>
      </w:r>
      <w:r w:rsidR="00BC2102" w:rsidRPr="00882F11">
        <w:rPr>
          <w:rFonts w:cs="Guttman Drogolin" w:hint="cs"/>
          <w:rtl/>
          <w:lang w:bidi="he-IL"/>
        </w:rPr>
        <w:t xml:space="preserve">ף שבעלמא יש בזה גנאי כיון שעכ"פ מותר הוא (וגם עצם הדבר שהוא גנאי לא מובן כ"כ דמה"ת שיהא בזה גנאי כיון שהתורה לא אסרתו). אמנם ע"פ הנ"ל נראה לומר דאילו לא הי' גנאי בשאר איסורים לא היינו אומרים שהוא חידוש ואי אפשר ללמוד ממנו. כרק משום שבשארי האיסורים ג"כ הוא </w:t>
      </w:r>
      <w:r w:rsidR="00BC2102" w:rsidRPr="00882F11">
        <w:rPr>
          <w:rFonts w:cs="Guttman Drogolin" w:hint="cs"/>
          <w:rtl/>
          <w:lang w:bidi="he-IL"/>
        </w:rPr>
        <w:lastRenderedPageBreak/>
        <w:t>גנאי אמרינן שהוא חידוש בדיני או"ה ולכן אין למידין ממנו. והרמב</w:t>
      </w:r>
      <w:r w:rsidR="00942C5F" w:rsidRPr="00882F11">
        <w:rPr>
          <w:rFonts w:cs="Guttman Drogolin" w:hint="cs"/>
          <w:rtl/>
          <w:lang w:bidi="he-IL"/>
        </w:rPr>
        <w:t>"</w:t>
      </w:r>
      <w:r w:rsidR="00BC2102" w:rsidRPr="00882F11">
        <w:rPr>
          <w:rFonts w:cs="Guttman Drogolin" w:hint="cs"/>
          <w:rtl/>
          <w:lang w:bidi="he-IL"/>
        </w:rPr>
        <w:t>ן ע"כ חולק על הנ"ל וסבר שכיון שיש חידוש בעניני מתנות כהונה ג"כ אין לומדים ממנו. ואולי י"ל שגם הרמב"ן הבין שהחידוש הוא בדיני או"ה וזהו החידוש שמבשלים חלק הכהנים עם חלק הבעלים. אמנם לשונו לא כ"כ משמע הכי. וצ"ע.</w:t>
      </w:r>
    </w:p>
    <w:p w:rsidR="00163A73" w:rsidRPr="00882F11" w:rsidRDefault="00667B16" w:rsidP="00982D5D">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אין מבטלין איסור לכתחילה</w:instrText>
      </w:r>
      <w:r w:rsidRPr="00882F11">
        <w:rPr>
          <w:rFonts w:cs="Guttman Drogolin"/>
          <w:rtl/>
        </w:rPr>
        <w:instrText>:</w:instrText>
      </w:r>
      <w:r w:rsidRPr="00882F11">
        <w:rPr>
          <w:rFonts w:cs="Guttman Drogolin" w:hint="cs"/>
          <w:rtl/>
          <w:lang w:bidi="he-IL"/>
        </w:rPr>
        <w:instrText>המקור, אם הוא דין מדאוריייתא</w:instrText>
      </w:r>
      <w:r w:rsidRPr="00882F11">
        <w:rPr>
          <w:rFonts w:cs="Guttman Drogolin"/>
        </w:rPr>
        <w:instrText xml:space="preserve">" </w:instrText>
      </w:r>
      <w:r w:rsidRPr="00882F11">
        <w:rPr>
          <w:rFonts w:cs="Guttman Drogolin"/>
          <w:rtl/>
          <w:lang w:bidi="he-IL"/>
        </w:rPr>
        <w:fldChar w:fldCharType="end"/>
      </w:r>
      <w:r w:rsidR="00BC2102" w:rsidRPr="00882F11">
        <w:rPr>
          <w:rFonts w:cs="Guttman Drogolin" w:hint="cs"/>
          <w:rtl/>
          <w:lang w:bidi="he-IL"/>
        </w:rPr>
        <w:t>ויל"ע להנהו ראשונים הסוברים שיש איסור מדאורייתא לבטל איסור לכתחילה מנא להו איסור זה</w:t>
      </w:r>
      <w:r w:rsidR="001D5D2C">
        <w:rPr>
          <w:rStyle w:val="FootnoteReference"/>
          <w:rFonts w:cs="Guttman Drogolin"/>
          <w:rtl/>
          <w:lang w:bidi="he-IL"/>
        </w:rPr>
        <w:footnoteReference w:id="45"/>
      </w:r>
      <w:r w:rsidR="00BC2102" w:rsidRPr="00882F11">
        <w:rPr>
          <w:rFonts w:cs="Guttman Drogolin" w:hint="cs"/>
          <w:rtl/>
          <w:lang w:bidi="he-IL"/>
        </w:rPr>
        <w:t xml:space="preserve">. ולשון הרא"ה בבד"ה (ב"ד ש"א) "וכן בדין", ומשמע שהוא מסברא. </w:t>
      </w:r>
      <w:r w:rsidR="00163A73" w:rsidRPr="00882F11">
        <w:rPr>
          <w:rFonts w:cs="Guttman Drogolin" w:hint="cs"/>
          <w:rtl/>
          <w:lang w:bidi="he-IL"/>
        </w:rPr>
        <w:t xml:space="preserve">וכן מדברי הרשב"א הנ"ל נראה שהוא איסור מסברא רק דסבר שמדינא אין לאסור אבל מ"מ מסברא דבר מגונה הוא. </w:t>
      </w:r>
      <w:r w:rsidR="00BC2102" w:rsidRPr="00882F11">
        <w:rPr>
          <w:rFonts w:cs="Guttman Drogolin" w:hint="cs"/>
          <w:rtl/>
          <w:lang w:bidi="he-IL"/>
        </w:rPr>
        <w:t xml:space="preserve">ולכאורה כוונתו לומר שהרי התורה אסרה לאכול דבר זה, ואע"ג שהתירה ע"י ביטול, מ"מ כיון שביסודו הוא מן המאכלות אסורות אינו בדין שיסמוך על ביטול לכתחילה. </w:t>
      </w:r>
      <w:r w:rsidR="00163A73" w:rsidRPr="00882F11">
        <w:rPr>
          <w:rFonts w:cs="Guttman Drogolin" w:hint="cs"/>
          <w:rtl/>
          <w:lang w:bidi="he-IL"/>
        </w:rPr>
        <w:t>אלא דהנה לפי זה יל"ע מה יהא הדין אם יש תערובת של איסור והיתר ויש בה ביטול ע"פ דיני דאורייתא ודרבנן</w:t>
      </w:r>
      <w:r w:rsidR="00982D5D">
        <w:rPr>
          <w:rFonts w:cs="Guttman Drogolin" w:hint="cs"/>
          <w:rtl/>
          <w:lang w:bidi="he-IL"/>
        </w:rPr>
        <w:t>,</w:t>
      </w:r>
      <w:r w:rsidR="00163A73" w:rsidRPr="00882F11">
        <w:rPr>
          <w:rFonts w:cs="Guttman Drogolin" w:hint="cs"/>
          <w:rtl/>
          <w:lang w:bidi="he-IL"/>
        </w:rPr>
        <w:t xml:space="preserve"> האם יש הידור למנוע ממנו. וידועים דברי התורת האשם (</w:t>
      </w:r>
      <w:r w:rsidR="00D7625B" w:rsidRPr="00882F11">
        <w:rPr>
          <w:rFonts w:cs="Guttman Drogolin" w:hint="cs"/>
          <w:rtl/>
          <w:lang w:bidi="he-IL"/>
        </w:rPr>
        <w:t>ת"ח</w:t>
      </w:r>
      <w:r w:rsidR="00163A73" w:rsidRPr="00882F11">
        <w:rPr>
          <w:rFonts w:cs="Guttman Drogolin" w:hint="cs"/>
          <w:rtl/>
          <w:lang w:bidi="he-IL"/>
        </w:rPr>
        <w:t xml:space="preserve"> כלל ע"ו דין ב' ס"ק ח', ומובא בפת"ש סי' קט"ז ס"ק י') שמי שמקפיד שלא לאכול דבר שנתבטל בששים הוא כמו מינות. ודבריו מובנים היטב שהרי אותה תורה שאסרה לאכול מאכלות אסורות התיר ע"י</w:t>
      </w:r>
      <w:r w:rsidR="00163A73" w:rsidRPr="00882F11">
        <w:rPr>
          <w:rFonts w:cs="Guttman Drogolin"/>
          <w:lang w:bidi="he-IL"/>
        </w:rPr>
        <w:t xml:space="preserve"> </w:t>
      </w:r>
      <w:r w:rsidR="00163A73" w:rsidRPr="00882F11">
        <w:rPr>
          <w:rFonts w:cs="Guttman Drogolin" w:hint="cs"/>
          <w:rtl/>
          <w:lang w:bidi="he-IL"/>
        </w:rPr>
        <w:t>ששים וכדומה</w:t>
      </w:r>
      <w:r w:rsidR="00163A73" w:rsidRPr="00882F11">
        <w:rPr>
          <w:rStyle w:val="FootnoteReference"/>
          <w:rFonts w:cs="Guttman Drogolin"/>
          <w:rtl/>
          <w:lang w:bidi="he-IL"/>
        </w:rPr>
        <w:footnoteReference w:id="46"/>
      </w:r>
      <w:r w:rsidR="00163A73" w:rsidRPr="00882F11">
        <w:rPr>
          <w:rFonts w:cs="Guttman Drogolin" w:hint="cs"/>
          <w:rtl/>
          <w:lang w:bidi="he-IL"/>
        </w:rPr>
        <w:t>. ולכאורה אם כדבריו צ"ע מאי שנא ביטול איסור לכתחילה שאסור מדאורייתא מסברא. ולכאורה החילוק הוא בין לעשות הביטול לכתחילה ולסמוך על הביטול בדיעבד. אלא שזה צ"ע מסברא</w:t>
      </w:r>
      <w:r w:rsidR="00982D5D">
        <w:rPr>
          <w:rStyle w:val="FootnoteReference"/>
          <w:rFonts w:cs="Guttman Drogolin"/>
          <w:rtl/>
          <w:lang w:bidi="he-IL"/>
        </w:rPr>
        <w:footnoteReference w:id="47"/>
      </w:r>
      <w:r w:rsidR="00163A73" w:rsidRPr="00882F11">
        <w:rPr>
          <w:rFonts w:cs="Guttman Drogolin" w:hint="cs"/>
          <w:rtl/>
          <w:lang w:bidi="he-IL"/>
        </w:rPr>
        <w:t xml:space="preserve">, </w:t>
      </w:r>
      <w:r w:rsidR="00942C5F" w:rsidRPr="00882F11">
        <w:rPr>
          <w:rFonts w:cs="Guttman Drogolin" w:hint="cs"/>
          <w:rtl/>
          <w:lang w:bidi="he-IL"/>
        </w:rPr>
        <w:t xml:space="preserve">דהא </w:t>
      </w:r>
      <w:r w:rsidR="00163A73" w:rsidRPr="00882F11">
        <w:rPr>
          <w:rFonts w:cs="Guttman Drogolin" w:hint="cs"/>
          <w:rtl/>
          <w:lang w:bidi="he-IL"/>
        </w:rPr>
        <w:t>אחרי שהוא בטל מותר הוא ואין ענין שלא לאכלו, ולמה לא נוכל להתירו ע"י ביטול לכתחילה, ומאי שנא משחיטה שהתורה אסרה אבר מן החי קודם שחיטה ונבילה אם אינו שחוט ומ"מ מותר ל</w:t>
      </w:r>
      <w:r w:rsidR="00982D5D">
        <w:rPr>
          <w:rFonts w:cs="Guttman Drogolin" w:hint="cs"/>
          <w:rtl/>
          <w:lang w:bidi="he-IL"/>
        </w:rPr>
        <w:t>התיר</w:t>
      </w:r>
      <w:r w:rsidR="00163A73" w:rsidRPr="00882F11">
        <w:rPr>
          <w:rFonts w:cs="Guttman Drogolin" w:hint="cs"/>
          <w:rtl/>
          <w:lang w:bidi="he-IL"/>
        </w:rPr>
        <w:t xml:space="preserve"> הבשר ע"י שחיטה. וצ"ע.</w:t>
      </w:r>
    </w:p>
    <w:p w:rsidR="0034744E" w:rsidRPr="00882F11" w:rsidRDefault="00F06AF1" w:rsidP="001D5D2C">
      <w:pPr>
        <w:bidi/>
        <w:jc w:val="both"/>
        <w:rPr>
          <w:rFonts w:cs="Guttman Drogolin"/>
          <w:rtl/>
          <w:lang w:bidi="he-IL"/>
        </w:rPr>
      </w:pPr>
      <w:r>
        <w:rPr>
          <w:rFonts w:cs="Guttman Drogolin"/>
          <w:rtl/>
          <w:lang w:bidi="he-IL"/>
        </w:rPr>
        <w:lastRenderedPageBreak/>
        <w:fldChar w:fldCharType="begin"/>
      </w:r>
      <w:r>
        <w:instrText xml:space="preserve"> XE "</w:instrText>
      </w:r>
      <w:r w:rsidRPr="00C574F0">
        <w:rPr>
          <w:rFonts w:hint="cs"/>
          <w:rtl/>
          <w:lang w:bidi="he-IL"/>
        </w:rPr>
        <w:instrText>אין מבטלין איסור לכתחילה</w:instrText>
      </w:r>
      <w:r w:rsidRPr="00C574F0">
        <w:rPr>
          <w:rtl/>
        </w:rPr>
        <w:instrText>:</w:instrText>
      </w:r>
      <w:r w:rsidRPr="00C574F0">
        <w:rPr>
          <w:rFonts w:hint="cs"/>
          <w:rtl/>
          <w:lang w:bidi="he-IL"/>
        </w:rPr>
        <w:instrText>כשאין כוונתו לבטל</w:instrText>
      </w:r>
      <w:r>
        <w:instrText xml:space="preserve">" </w:instrText>
      </w:r>
      <w:r>
        <w:rPr>
          <w:rFonts w:cs="Guttman Drogolin"/>
          <w:rtl/>
          <w:lang w:bidi="he-IL"/>
        </w:rPr>
        <w:fldChar w:fldCharType="end"/>
      </w:r>
      <w:r w:rsidR="00163A73" w:rsidRPr="00882F11">
        <w:rPr>
          <w:rFonts w:cs="Guttman Drogolin" w:hint="cs"/>
          <w:rtl/>
          <w:lang w:bidi="he-IL"/>
        </w:rPr>
        <w:t xml:space="preserve">ומ"מ יש לי שתי הערות על סוגיא זו. קודם דהנה </w:t>
      </w:r>
      <w:r w:rsidR="00670C46" w:rsidRPr="00882F11">
        <w:rPr>
          <w:rFonts w:cs="Guttman Drogolin" w:hint="cs"/>
          <w:rtl/>
          <w:lang w:bidi="he-IL"/>
        </w:rPr>
        <w:t xml:space="preserve">אם </w:t>
      </w:r>
      <w:r w:rsidR="00163A73" w:rsidRPr="00882F11">
        <w:rPr>
          <w:rFonts w:cs="Guttman Drogolin" w:hint="cs"/>
          <w:rtl/>
          <w:lang w:bidi="he-IL"/>
        </w:rPr>
        <w:t>אין כוונתו לבטל האיסור רק לכוו</w:t>
      </w:r>
      <w:r w:rsidR="00670C46" w:rsidRPr="00882F11">
        <w:rPr>
          <w:rFonts w:cs="Guttman Drogolin" w:hint="cs"/>
          <w:rtl/>
          <w:lang w:bidi="he-IL"/>
        </w:rPr>
        <w:t xml:space="preserve">נה אחרת אלא שממילא האיסור </w:t>
      </w:r>
      <w:r w:rsidR="0034744E" w:rsidRPr="00882F11">
        <w:rPr>
          <w:rFonts w:cs="Guttman Drogolin" w:hint="cs"/>
          <w:rtl/>
          <w:lang w:bidi="he-IL"/>
        </w:rPr>
        <w:t>מ</w:t>
      </w:r>
      <w:r w:rsidR="00670C46" w:rsidRPr="00882F11">
        <w:rPr>
          <w:rFonts w:cs="Guttman Drogolin" w:hint="cs"/>
          <w:rtl/>
          <w:lang w:bidi="he-IL"/>
        </w:rPr>
        <w:t>תבטל נחלקו הפוסקים אם יש בכה"ג איסור לבטל איסור לכתחילה או לא.</w:t>
      </w:r>
      <w:r w:rsidR="0034744E" w:rsidRPr="00882F11">
        <w:rPr>
          <w:rFonts w:cs="Guttman Drogolin" w:hint="cs"/>
          <w:rtl/>
          <w:lang w:bidi="he-IL"/>
        </w:rPr>
        <w:t xml:space="preserve"> ולכאורה לדברי המתירים צ"ע דעת </w:t>
      </w:r>
      <w:r>
        <w:rPr>
          <w:rFonts w:cs="Guttman Drogolin" w:hint="cs"/>
          <w:rtl/>
          <w:lang w:bidi="he-IL"/>
        </w:rPr>
        <w:t xml:space="preserve">אלו שלמדו </w:t>
      </w:r>
      <w:r w:rsidR="001D5D2C">
        <w:rPr>
          <w:rFonts w:cs="Guttman Drogolin" w:hint="cs"/>
          <w:rtl/>
          <w:lang w:bidi="he-IL"/>
        </w:rPr>
        <w:t xml:space="preserve">דמסוגיא דזרוע זרוע בשילה </w:t>
      </w:r>
      <w:r w:rsidR="0034744E" w:rsidRPr="00882F11">
        <w:rPr>
          <w:rFonts w:cs="Guttman Drogolin" w:hint="cs"/>
          <w:rtl/>
          <w:lang w:bidi="he-IL"/>
        </w:rPr>
        <w:t>שיש איסור לבטל איסור לכתחילה, דהא כאן הענין הוא לבשל ה</w:t>
      </w:r>
      <w:r w:rsidR="00942C5F" w:rsidRPr="00882F11">
        <w:rPr>
          <w:rFonts w:cs="Guttman Drogolin" w:hint="cs"/>
          <w:rtl/>
          <w:lang w:bidi="he-IL"/>
        </w:rPr>
        <w:t>איל שלם ולאו דוק</w:t>
      </w:r>
      <w:r w:rsidR="0034744E" w:rsidRPr="00882F11">
        <w:rPr>
          <w:rFonts w:cs="Guttman Drogolin" w:hint="cs"/>
          <w:rtl/>
          <w:lang w:bidi="he-IL"/>
        </w:rPr>
        <w:t>א לבטל האיסור לכתחילה, וא"כ יהא מוכח מכאן כדעת האוסרים. אמנם לדעת הרשב"א שזהו גופא מה שנתחדש שיש מצוה לבטל האיסור לכתחילה ניחא שאין זה שלא בכוונה, ואולי י"ל שגם הראב"ד סבר כן רק שהי' קשה לומר שזהו החידוש. וצ"ע</w:t>
      </w:r>
      <w:r w:rsidR="001D5D2C">
        <w:rPr>
          <w:rStyle w:val="FootnoteReference"/>
          <w:rFonts w:cs="Guttman Drogolin"/>
          <w:rtl/>
          <w:lang w:bidi="he-IL"/>
        </w:rPr>
        <w:footnoteReference w:id="48"/>
      </w:r>
      <w:r w:rsidR="0034744E" w:rsidRPr="00882F11">
        <w:rPr>
          <w:rFonts w:cs="Guttman Drogolin" w:hint="cs"/>
          <w:rtl/>
          <w:lang w:bidi="he-IL"/>
        </w:rPr>
        <w:t xml:space="preserve">. </w:t>
      </w:r>
    </w:p>
    <w:p w:rsidR="00670C46" w:rsidRPr="00882F11" w:rsidRDefault="0034744E" w:rsidP="0034744E">
      <w:pPr>
        <w:bidi/>
        <w:jc w:val="both"/>
        <w:rPr>
          <w:rFonts w:cs="Guttman Drogolin"/>
          <w:rtl/>
          <w:lang w:bidi="he-IL"/>
        </w:rPr>
      </w:pPr>
      <w:r w:rsidRPr="00882F11">
        <w:rPr>
          <w:rFonts w:cs="Guttman Drogolin" w:hint="cs"/>
          <w:rtl/>
          <w:lang w:bidi="he-IL"/>
        </w:rPr>
        <w:t>עוד יש להעיר דהנה שיטת הנו"ב היא שכשאיסור נותן טעם בתבשיל אין צורך לדין ביטול איסורים כדי להתיר את התבשיל. ור"ל שלא נתחדש בדין טעם שיש כאן ממשות של איסור שצריך ביטול, רק שאסרו עצם זה שטועם את טעם האיסור. וממילא אם אינו טועם את הטעם האיסור אין איסור לאכלו אפילו בלי הלימוד של אחרי רבים להטות. ולכאורה ע"פ הסוגיא כאן מבואר שלא כדבריו,</w:t>
      </w:r>
      <w:r w:rsidR="00942C5F" w:rsidRPr="00882F11">
        <w:rPr>
          <w:rFonts w:cs="Guttman Drogolin" w:hint="cs"/>
          <w:rtl/>
          <w:lang w:bidi="he-IL"/>
        </w:rPr>
        <w:t xml:space="preserve"> </w:t>
      </w:r>
      <w:r w:rsidRPr="00882F11">
        <w:rPr>
          <w:rFonts w:cs="Guttman Drogolin" w:hint="cs"/>
          <w:rtl/>
          <w:lang w:bidi="he-IL"/>
        </w:rPr>
        <w:t xml:space="preserve">שאם דנו סוגיין משום ביטול איסור לכתחילה אע"ג שמיירי בטעם, ע"כ חזינן שגם לטעם צריך הוא לדין אחרי רבין להטות אחרי שכבר נאסר. וצ"ע.  </w:t>
      </w:r>
      <w:r w:rsidR="00670C46" w:rsidRPr="00882F11">
        <w:rPr>
          <w:rFonts w:cs="Guttman Drogolin" w:hint="cs"/>
          <w:rtl/>
          <w:lang w:bidi="he-IL"/>
        </w:rPr>
        <w:t xml:space="preserve"> </w:t>
      </w:r>
    </w:p>
    <w:p w:rsidR="0034744E" w:rsidRPr="00882F11" w:rsidRDefault="00942C5F" w:rsidP="0078079C">
      <w:pPr>
        <w:pStyle w:val="Heading1"/>
        <w:bidi/>
        <w:spacing w:before="0" w:line="360" w:lineRule="auto"/>
        <w:jc w:val="center"/>
        <w:rPr>
          <w:rFonts w:cs="Guttman Drogolin"/>
          <w:color w:val="auto"/>
          <w:sz w:val="22"/>
          <w:szCs w:val="22"/>
          <w:u w:val="single"/>
          <w:rtl/>
          <w:lang w:bidi="he-IL"/>
        </w:rPr>
      </w:pPr>
      <w:bookmarkStart w:id="34" w:name="_Toc496175299"/>
      <w:r w:rsidRPr="00882F11">
        <w:rPr>
          <w:rFonts w:cs="Guttman Drogolin" w:hint="cs"/>
          <w:color w:val="auto"/>
          <w:sz w:val="22"/>
          <w:szCs w:val="22"/>
          <w:u w:val="single"/>
          <w:rtl/>
          <w:lang w:bidi="he-IL"/>
        </w:rPr>
        <w:t>בדברי רבא שלא נצרכה אלא לי</w:t>
      </w:r>
      <w:r w:rsidR="0034744E" w:rsidRPr="00882F11">
        <w:rPr>
          <w:rFonts w:cs="Guttman Drogolin" w:hint="cs"/>
          <w:color w:val="auto"/>
          <w:sz w:val="22"/>
          <w:szCs w:val="22"/>
          <w:u w:val="single"/>
          <w:rtl/>
          <w:lang w:bidi="he-IL"/>
        </w:rPr>
        <w:t>תן טעם כעיקר</w:t>
      </w:r>
      <w:bookmarkEnd w:id="34"/>
    </w:p>
    <w:p w:rsidR="00340F81" w:rsidRPr="00882F11" w:rsidRDefault="0034744E" w:rsidP="0034744E">
      <w:pPr>
        <w:bidi/>
        <w:jc w:val="both"/>
        <w:rPr>
          <w:rFonts w:cs="Guttman Drogolin"/>
          <w:rtl/>
          <w:lang w:bidi="he-IL"/>
        </w:rPr>
      </w:pPr>
      <w:r w:rsidRPr="00882F11">
        <w:rPr>
          <w:rFonts w:cs="Guttman Drogolin" w:hint="cs"/>
          <w:rtl/>
          <w:lang w:bidi="he-IL"/>
        </w:rPr>
        <w:t xml:space="preserve">בהמשך הגמ' אמר רבא ביאור אחר בברייתא דזהו היתר הבא מכלל איסור, שבעלמא </w:t>
      </w:r>
      <w:r w:rsidR="00677AB3" w:rsidRPr="00882F11">
        <w:rPr>
          <w:rFonts w:cs="Guttman Drogolin" w:hint="cs"/>
          <w:rtl/>
          <w:lang w:bidi="he-IL"/>
        </w:rPr>
        <w:t xml:space="preserve">בקדשים </w:t>
      </w:r>
      <w:r w:rsidRPr="00882F11">
        <w:rPr>
          <w:rFonts w:cs="Guttman Drogolin" w:hint="cs"/>
          <w:rtl/>
          <w:lang w:bidi="he-IL"/>
        </w:rPr>
        <w:t>טעם כעיקר אסור והכא מותר. ולכאורה כאן הבן שואל,</w:t>
      </w:r>
      <w:r w:rsidR="00677AB3" w:rsidRPr="00882F11">
        <w:rPr>
          <w:rFonts w:cs="Guttman Drogolin" w:hint="cs"/>
          <w:rtl/>
          <w:lang w:bidi="he-IL"/>
        </w:rPr>
        <w:t xml:space="preserve"> דהא למדנו מדין זרוע בשילה שמותר ע"י ששים או מאה, ולכאורה היינו משום שבשיעור כזה אין טעם. וא"כ איך אפשר ללמוד ממנו שמותר כשיש טעם, הא בזרוע בשילה עצמו הוכחנו שאין טעם. ונבאר קודם שיטת התוס' </w:t>
      </w:r>
      <w:r w:rsidR="00677AB3" w:rsidRPr="00882F11">
        <w:rPr>
          <w:rFonts w:cs="Guttman Drogolin" w:hint="cs"/>
          <w:rtl/>
          <w:lang w:bidi="he-IL"/>
        </w:rPr>
        <w:lastRenderedPageBreak/>
        <w:t xml:space="preserve">בענין. התוס' מבארים </w:t>
      </w:r>
      <w:r w:rsidR="00340F81" w:rsidRPr="00882F11">
        <w:rPr>
          <w:rFonts w:cs="Guttman Drogolin" w:hint="cs"/>
          <w:rtl/>
          <w:lang w:bidi="he-IL"/>
        </w:rPr>
        <w:t>שמשמעות הכתוב הוא להתיר הזרוע בשילה אפילו בכה"ג שהי' הזרוע ומקצת מן האיל למעלה מן הרוטב ונותן הזרוע טעם למה שלמעלה. ור"ל (ע' מל"ה ולב ארי') שהדין ששים ומאה אינו אלא אסמכתא לכה"ג שכל האיל עם הזרוע הוא שקוע ברוטב, ואין זה אלא אסמכתא וכמש"כ התוס' כבר לעיל. ומ"מ למדנו שהוא מותר כשנתבשל ביחד בכל האופנים ואפילו באופן שחלק ממנו למעלה מן הרוטב וכנ"ל.</w:t>
      </w:r>
    </w:p>
    <w:p w:rsidR="00340F81" w:rsidRPr="00882F11" w:rsidRDefault="00340F81" w:rsidP="00942C5F">
      <w:pPr>
        <w:bidi/>
        <w:jc w:val="both"/>
        <w:rPr>
          <w:rFonts w:cs="Guttman Drogolin"/>
          <w:rtl/>
          <w:lang w:bidi="he-IL"/>
        </w:rPr>
      </w:pPr>
      <w:r w:rsidRPr="00882F11">
        <w:rPr>
          <w:rFonts w:cs="Guttman Drogolin" w:hint="cs"/>
          <w:rtl/>
          <w:lang w:bidi="he-IL"/>
        </w:rPr>
        <w:t>והנה התוס' הדגישו</w:t>
      </w:r>
      <w:r w:rsidR="007C4E71">
        <w:rPr>
          <w:rFonts w:cs="Guttman Drogolin" w:hint="cs"/>
          <w:rtl/>
          <w:lang w:bidi="he-IL"/>
        </w:rPr>
        <w:t xml:space="preserve"> דמה</w:t>
      </w:r>
      <w:r w:rsidRPr="00882F11">
        <w:rPr>
          <w:rFonts w:cs="Guttman Drogolin" w:hint="cs"/>
          <w:rtl/>
          <w:lang w:bidi="he-IL"/>
        </w:rPr>
        <w:t xml:space="preserve"> שהי' צריך להיות</w:t>
      </w:r>
      <w:r w:rsidR="00677AB3" w:rsidRPr="00882F11">
        <w:rPr>
          <w:rFonts w:cs="Guttman Drogolin" w:hint="cs"/>
          <w:rtl/>
          <w:lang w:bidi="he-IL"/>
        </w:rPr>
        <w:t xml:space="preserve"> </w:t>
      </w:r>
      <w:r w:rsidRPr="00882F11">
        <w:rPr>
          <w:rFonts w:cs="Guttman Drogolin" w:hint="cs"/>
          <w:rtl/>
          <w:lang w:bidi="he-IL"/>
        </w:rPr>
        <w:t xml:space="preserve">אסור בעלמא </w:t>
      </w:r>
      <w:r w:rsidR="007C4E71">
        <w:rPr>
          <w:rFonts w:cs="Guttman Drogolin" w:hint="cs"/>
          <w:rtl/>
          <w:lang w:bidi="he-IL"/>
        </w:rPr>
        <w:t xml:space="preserve">הוא </w:t>
      </w:r>
      <w:r w:rsidRPr="00882F11">
        <w:rPr>
          <w:rFonts w:cs="Guttman Drogolin" w:hint="cs"/>
          <w:rtl/>
          <w:lang w:bidi="he-IL"/>
        </w:rPr>
        <w:t xml:space="preserve">בכה"ג שאין רוב במקצת האיל נגד הזרוע. וביארו האחרונים כוונתם בזה משום שאם אין רוב באיסור כנגד ההיתר הא ליכא למימר </w:t>
      </w:r>
      <w:r w:rsidR="00BF430F" w:rsidRPr="00882F11">
        <w:rPr>
          <w:rFonts w:cs="Guttman Drogolin" w:hint="cs"/>
          <w:rtl/>
          <w:lang w:bidi="he-IL"/>
        </w:rPr>
        <w:t>טעם כעיקר</w:t>
      </w:r>
      <w:r w:rsidRPr="00882F11">
        <w:rPr>
          <w:rFonts w:cs="Guttman Drogolin" w:hint="cs"/>
          <w:rtl/>
          <w:lang w:bidi="he-IL"/>
        </w:rPr>
        <w:t xml:space="preserve"> כיון שנד"ד הוי מין במינו. אבל כשיש רוב טעם של איסור </w:t>
      </w:r>
      <w:r w:rsidR="00942C5F" w:rsidRPr="00882F11">
        <w:rPr>
          <w:rFonts w:cs="Guttman Drogolin" w:hint="cs"/>
          <w:rtl/>
          <w:lang w:bidi="he-IL"/>
        </w:rPr>
        <w:t>ש</w:t>
      </w:r>
      <w:r w:rsidRPr="00882F11">
        <w:rPr>
          <w:rFonts w:cs="Guttman Drogolin" w:hint="cs"/>
          <w:rtl/>
          <w:lang w:bidi="he-IL"/>
        </w:rPr>
        <w:t xml:space="preserve">פיר אמרינן </w:t>
      </w:r>
      <w:r w:rsidR="00BF430F" w:rsidRPr="00882F11">
        <w:rPr>
          <w:rFonts w:cs="Guttman Drogolin" w:hint="cs"/>
          <w:rtl/>
          <w:lang w:bidi="he-IL"/>
        </w:rPr>
        <w:t>טעם כעיקר</w:t>
      </w:r>
      <w:r w:rsidRPr="00882F11">
        <w:rPr>
          <w:rFonts w:cs="Guttman Drogolin" w:hint="cs"/>
          <w:rtl/>
          <w:lang w:bidi="he-IL"/>
        </w:rPr>
        <w:t xml:space="preserve"> אפילו במין במינו. אלא דמאידך צ"ע שאם יש רוב איסור למה בעינן לי' לדין </w:t>
      </w:r>
      <w:r w:rsidR="00BF430F" w:rsidRPr="00882F11">
        <w:rPr>
          <w:rFonts w:cs="Guttman Drogolin" w:hint="cs"/>
          <w:rtl/>
          <w:lang w:bidi="he-IL"/>
        </w:rPr>
        <w:t>טעם כעיקר</w:t>
      </w:r>
      <w:r w:rsidRPr="00882F11">
        <w:rPr>
          <w:rFonts w:cs="Guttman Drogolin" w:hint="cs"/>
          <w:rtl/>
          <w:lang w:bidi="he-IL"/>
        </w:rPr>
        <w:t xml:space="preserve">, הא יש לאסור כיון שיש רוב איסור ואי אפשר לומר אחרי רבים להטות. ומכח קושיא זו </w:t>
      </w:r>
      <w:r w:rsidR="00475AAB" w:rsidRPr="00882F11">
        <w:rPr>
          <w:rFonts w:cs="Guttman Drogolin" w:hint="cs"/>
          <w:rtl/>
          <w:lang w:bidi="he-IL"/>
        </w:rPr>
        <w:t xml:space="preserve">הוכיח רע"א (דו"ח חולין דרוש ח' אות ו' </w:t>
      </w:r>
      <w:r w:rsidR="00475AAB" w:rsidRPr="00882F11">
        <w:rPr>
          <w:rFonts w:cs="Guttman Drogolin"/>
          <w:rtl/>
          <w:lang w:bidi="he-IL"/>
        </w:rPr>
        <w:t>–</w:t>
      </w:r>
      <w:r w:rsidR="00475AAB" w:rsidRPr="00882F11">
        <w:rPr>
          <w:rFonts w:cs="Guttman Drogolin" w:hint="cs"/>
          <w:rtl/>
          <w:lang w:bidi="he-IL"/>
        </w:rPr>
        <w:t xml:space="preserve"> מובא בחי' רע"א לדף צ"ז ע"ב)</w:t>
      </w:r>
      <w:r w:rsidRPr="00882F11">
        <w:rPr>
          <w:rFonts w:cs="Guttman Drogolin" w:hint="cs"/>
          <w:rtl/>
          <w:lang w:bidi="he-IL"/>
        </w:rPr>
        <w:t xml:space="preserve"> ועוד כמה אחרונים </w:t>
      </w:r>
      <w:r w:rsidR="007C4E71">
        <w:rPr>
          <w:rFonts w:cs="Guttman Drogolin" w:hint="cs"/>
          <w:rtl/>
          <w:lang w:bidi="he-IL"/>
        </w:rPr>
        <w:t xml:space="preserve">שהתוס' סוברים </w:t>
      </w:r>
      <w:r w:rsidRPr="00882F11">
        <w:rPr>
          <w:rFonts w:cs="Guttman Drogolin" w:hint="cs"/>
          <w:rtl/>
          <w:lang w:bidi="he-IL"/>
        </w:rPr>
        <w:t xml:space="preserve">דאי לא אמרינן </w:t>
      </w:r>
      <w:r w:rsidR="00BF430F" w:rsidRPr="00882F11">
        <w:rPr>
          <w:rFonts w:cs="Guttman Drogolin" w:hint="cs"/>
          <w:rtl/>
          <w:lang w:bidi="he-IL"/>
        </w:rPr>
        <w:t>טעם כעיקר</w:t>
      </w:r>
      <w:r w:rsidRPr="00882F11">
        <w:rPr>
          <w:rFonts w:cs="Guttman Drogolin" w:hint="cs"/>
          <w:rtl/>
          <w:lang w:bidi="he-IL"/>
        </w:rPr>
        <w:t xml:space="preserve"> אין צורך באחרי רבים להטות להתיר טעם. </w:t>
      </w:r>
    </w:p>
    <w:p w:rsidR="0049595B" w:rsidRPr="00882F11" w:rsidRDefault="00667B16" w:rsidP="00340F81">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טעם כעיקר</w:instrText>
      </w:r>
      <w:r w:rsidRPr="00882F11">
        <w:rPr>
          <w:rFonts w:cs="Guttman Drogolin"/>
          <w:rtl/>
        </w:rPr>
        <w:instrText>:</w:instrText>
      </w:r>
      <w:r w:rsidRPr="00882F11">
        <w:rPr>
          <w:rFonts w:cs="Guttman Drogolin" w:hint="cs"/>
          <w:rtl/>
          <w:lang w:bidi="he-IL"/>
        </w:rPr>
        <w:instrText>מהו גדר החידוש שבה</w:instrText>
      </w:r>
      <w:r w:rsidRPr="00882F11">
        <w:rPr>
          <w:rFonts w:cs="Guttman Drogolin"/>
        </w:rPr>
        <w:instrText xml:space="preserve">" </w:instrText>
      </w:r>
      <w:r w:rsidRPr="00882F11">
        <w:rPr>
          <w:rFonts w:cs="Guttman Drogolin"/>
          <w:rtl/>
          <w:lang w:bidi="he-IL"/>
        </w:rPr>
        <w:fldChar w:fldCharType="end"/>
      </w:r>
      <w:r w:rsidR="00340F81" w:rsidRPr="00882F11">
        <w:rPr>
          <w:rFonts w:cs="Guttman Drogolin" w:hint="cs"/>
          <w:rtl/>
          <w:lang w:bidi="he-IL"/>
        </w:rPr>
        <w:t xml:space="preserve">ורצונו לומר דהנה יש לחקור מה נתחדש בדין </w:t>
      </w:r>
      <w:r w:rsidR="00BF430F" w:rsidRPr="00882F11">
        <w:rPr>
          <w:rFonts w:cs="Guttman Drogolin" w:hint="cs"/>
          <w:rtl/>
          <w:lang w:bidi="he-IL"/>
        </w:rPr>
        <w:t>טעם כעיקר</w:t>
      </w:r>
      <w:r w:rsidR="00340F81" w:rsidRPr="00882F11">
        <w:rPr>
          <w:rFonts w:cs="Guttman Drogolin" w:hint="cs"/>
          <w:rtl/>
          <w:lang w:bidi="he-IL"/>
        </w:rPr>
        <w:t xml:space="preserve">. שי"ל שגם לולא הדין של </w:t>
      </w:r>
      <w:r w:rsidR="00BF430F" w:rsidRPr="00882F11">
        <w:rPr>
          <w:rFonts w:cs="Guttman Drogolin" w:hint="cs"/>
          <w:rtl/>
          <w:lang w:bidi="he-IL"/>
        </w:rPr>
        <w:t>טעם כעיקר</w:t>
      </w:r>
      <w:r w:rsidR="00340F81" w:rsidRPr="00882F11">
        <w:rPr>
          <w:rFonts w:cs="Guttman Drogolin" w:hint="cs"/>
          <w:rtl/>
          <w:lang w:bidi="he-IL"/>
        </w:rPr>
        <w:t xml:space="preserve"> היינו אומרים שטעמו של חתיכת איסור הרי הוא חפצא דאיסורא. רק לולא הדין של </w:t>
      </w:r>
      <w:r w:rsidR="00BF430F" w:rsidRPr="00882F11">
        <w:rPr>
          <w:rFonts w:cs="Guttman Drogolin" w:hint="cs"/>
          <w:rtl/>
          <w:lang w:bidi="he-IL"/>
        </w:rPr>
        <w:t>טעם כעיקר</w:t>
      </w:r>
      <w:r w:rsidR="00340F81" w:rsidRPr="00882F11">
        <w:rPr>
          <w:rFonts w:cs="Guttman Drogolin" w:hint="cs"/>
          <w:rtl/>
          <w:lang w:bidi="he-IL"/>
        </w:rPr>
        <w:t xml:space="preserve"> היינו אומרים שהטעם בטל ברוב והי' מותר מגזה"כ דאחרי רבים להטות, קמ"ל שהוא אסור (או משום שבאמת לא נתבטל, או משום שאפילו הוא בטל מ"מ כיון שטועם טעם איסור הרי זה אסור). </w:t>
      </w:r>
      <w:r w:rsidR="0049595B" w:rsidRPr="00882F11">
        <w:rPr>
          <w:rFonts w:cs="Guttman Drogolin" w:hint="cs"/>
          <w:rtl/>
          <w:lang w:bidi="he-IL"/>
        </w:rPr>
        <w:t xml:space="preserve">או"ד שלולא הגזה"כ של </w:t>
      </w:r>
      <w:r w:rsidR="00BF430F" w:rsidRPr="00882F11">
        <w:rPr>
          <w:rFonts w:cs="Guttman Drogolin" w:hint="cs"/>
          <w:rtl/>
          <w:lang w:bidi="he-IL"/>
        </w:rPr>
        <w:t>טעם כעיקר</w:t>
      </w:r>
      <w:r w:rsidR="0049595B" w:rsidRPr="00882F11">
        <w:rPr>
          <w:rFonts w:cs="Guttman Drogolin" w:hint="cs"/>
          <w:rtl/>
          <w:lang w:bidi="he-IL"/>
        </w:rPr>
        <w:t xml:space="preserve"> היינו אומרים שהטעם של החתיכה שונה </w:t>
      </w:r>
      <w:r w:rsidR="00B92D44" w:rsidRPr="00882F11">
        <w:rPr>
          <w:rFonts w:cs="Guttman Drogolin" w:hint="cs"/>
          <w:rtl/>
          <w:lang w:bidi="he-IL"/>
        </w:rPr>
        <w:t>מ</w:t>
      </w:r>
      <w:r w:rsidR="0049595B" w:rsidRPr="00882F11">
        <w:rPr>
          <w:rFonts w:cs="Guttman Drogolin" w:hint="cs"/>
          <w:rtl/>
          <w:lang w:bidi="he-IL"/>
        </w:rPr>
        <w:t>ממשו ואינו חפצא דאיסורא כלל. וקמ"ל קרא שטעם מילתא היא</w:t>
      </w:r>
      <w:r w:rsidR="007C4E71">
        <w:rPr>
          <w:rFonts w:cs="Guttman Drogolin" w:hint="cs"/>
          <w:rtl/>
          <w:lang w:bidi="he-IL"/>
        </w:rPr>
        <w:t>,</w:t>
      </w:r>
      <w:r w:rsidR="0049595B" w:rsidRPr="00882F11">
        <w:rPr>
          <w:rFonts w:cs="Guttman Drogolin" w:hint="cs"/>
          <w:rtl/>
          <w:lang w:bidi="he-IL"/>
        </w:rPr>
        <w:t xml:space="preserve"> והרי הוא חפצא דאיסורא ומשו"ה אוסר. </w:t>
      </w:r>
      <w:r w:rsidR="0049595B" w:rsidRPr="00882F11">
        <w:rPr>
          <w:rFonts w:cs="Guttman Drogolin" w:hint="cs"/>
          <w:rtl/>
          <w:lang w:bidi="he-IL"/>
        </w:rPr>
        <w:lastRenderedPageBreak/>
        <w:t>ודקדק רע"א שהתוס' ס</w:t>
      </w:r>
      <w:r w:rsidR="007C4E71">
        <w:rPr>
          <w:rFonts w:cs="Guttman Drogolin" w:hint="cs"/>
          <w:rtl/>
          <w:lang w:bidi="he-IL"/>
        </w:rPr>
        <w:t>ו</w:t>
      </w:r>
      <w:r w:rsidR="0049595B" w:rsidRPr="00882F11">
        <w:rPr>
          <w:rFonts w:cs="Guttman Drogolin" w:hint="cs"/>
          <w:rtl/>
          <w:lang w:bidi="he-IL"/>
        </w:rPr>
        <w:t>ברי</w:t>
      </w:r>
      <w:r w:rsidR="007C4E71">
        <w:rPr>
          <w:rFonts w:cs="Guttman Drogolin" w:hint="cs"/>
          <w:rtl/>
          <w:lang w:bidi="he-IL"/>
        </w:rPr>
        <w:t>ם</w:t>
      </w:r>
      <w:r w:rsidR="0049595B" w:rsidRPr="00882F11">
        <w:rPr>
          <w:rFonts w:cs="Guttman Drogolin" w:hint="cs"/>
          <w:rtl/>
          <w:lang w:bidi="he-IL"/>
        </w:rPr>
        <w:t xml:space="preserve"> כביאור השני, ולכן סברו דאע"ג שיש כאן רוב טעם, מ"מ לא היינו אוסרים לולא הדין של </w:t>
      </w:r>
      <w:r w:rsidR="00BF430F" w:rsidRPr="00882F11">
        <w:rPr>
          <w:rFonts w:cs="Guttman Drogolin" w:hint="cs"/>
          <w:rtl/>
          <w:lang w:bidi="he-IL"/>
        </w:rPr>
        <w:t>טעם כעיקר</w:t>
      </w:r>
      <w:r w:rsidR="0049595B" w:rsidRPr="00882F11">
        <w:rPr>
          <w:rFonts w:cs="Guttman Drogolin" w:hint="cs"/>
          <w:rtl/>
          <w:lang w:bidi="he-IL"/>
        </w:rPr>
        <w:t>. וכן הוכיח בשו"ת חמד"ש.</w:t>
      </w:r>
    </w:p>
    <w:p w:rsidR="00C16CB9" w:rsidRPr="00882F11" w:rsidRDefault="0049595B" w:rsidP="00C16CB9">
      <w:pPr>
        <w:bidi/>
        <w:jc w:val="both"/>
        <w:rPr>
          <w:rFonts w:cs="Guttman Drogolin"/>
          <w:rtl/>
          <w:lang w:bidi="he-IL"/>
        </w:rPr>
      </w:pPr>
      <w:r w:rsidRPr="00882F11">
        <w:rPr>
          <w:rFonts w:cs="Guttman Drogolin" w:hint="cs"/>
          <w:rtl/>
          <w:lang w:bidi="he-IL"/>
        </w:rPr>
        <w:t xml:space="preserve">ולולא דבריו הייתי אומר אולי בענין אחר, והוא די"ל שאע"ג שיש רוב טעם בחתיכה, יתכן שאם נעשה חשבון של </w:t>
      </w:r>
      <w:r w:rsidR="00C16CB9" w:rsidRPr="00882F11">
        <w:rPr>
          <w:rFonts w:cs="Guttman Drogolin" w:hint="cs"/>
          <w:rtl/>
          <w:lang w:bidi="he-IL"/>
        </w:rPr>
        <w:t>כמות ה</w:t>
      </w:r>
      <w:r w:rsidRPr="00882F11">
        <w:rPr>
          <w:rFonts w:cs="Guttman Drogolin" w:hint="cs"/>
          <w:rtl/>
          <w:lang w:bidi="he-IL"/>
        </w:rPr>
        <w:t xml:space="preserve">איסור לעומת </w:t>
      </w:r>
      <w:r w:rsidR="00C16CB9" w:rsidRPr="00882F11">
        <w:rPr>
          <w:rFonts w:cs="Guttman Drogolin" w:hint="cs"/>
          <w:rtl/>
          <w:lang w:bidi="he-IL"/>
        </w:rPr>
        <w:t>כמות</w:t>
      </w:r>
      <w:r w:rsidRPr="00882F11">
        <w:rPr>
          <w:rFonts w:cs="Guttman Drogolin" w:hint="cs"/>
          <w:rtl/>
          <w:lang w:bidi="he-IL"/>
        </w:rPr>
        <w:t xml:space="preserve"> </w:t>
      </w:r>
      <w:r w:rsidR="00C16CB9" w:rsidRPr="00882F11">
        <w:rPr>
          <w:rFonts w:cs="Guttman Drogolin" w:hint="cs"/>
          <w:rtl/>
          <w:lang w:bidi="he-IL"/>
        </w:rPr>
        <w:t>ההית</w:t>
      </w:r>
      <w:r w:rsidRPr="00882F11">
        <w:rPr>
          <w:rFonts w:cs="Guttman Drogolin" w:hint="cs"/>
          <w:rtl/>
          <w:lang w:bidi="he-IL"/>
        </w:rPr>
        <w:t xml:space="preserve">ר יש יותר היתר מאיסור. והיינו משום דיתכן שהאיסור נותן יותר טעם מן ההיתר לפי חשבון האיסור, ושיעור מסוים של איסור נותן יותר טעם מאותו שיעור של היתר. וכן יתכן שיצא </w:t>
      </w:r>
      <w:r w:rsidR="00C16CB9" w:rsidRPr="00882F11">
        <w:rPr>
          <w:rFonts w:cs="Guttman Drogolin" w:hint="cs"/>
          <w:rtl/>
          <w:lang w:bidi="he-IL"/>
        </w:rPr>
        <w:t xml:space="preserve">יותר </w:t>
      </w:r>
      <w:r w:rsidRPr="00882F11">
        <w:rPr>
          <w:rFonts w:cs="Guttman Drogolin" w:hint="cs"/>
          <w:rtl/>
          <w:lang w:bidi="he-IL"/>
        </w:rPr>
        <w:t xml:space="preserve">טעם מן </w:t>
      </w:r>
      <w:r w:rsidR="00C16CB9" w:rsidRPr="00882F11">
        <w:rPr>
          <w:rFonts w:cs="Guttman Drogolin" w:hint="cs"/>
          <w:rtl/>
          <w:lang w:bidi="he-IL"/>
        </w:rPr>
        <w:t xml:space="preserve">חתיכת </w:t>
      </w:r>
      <w:r w:rsidRPr="00882F11">
        <w:rPr>
          <w:rFonts w:cs="Guttman Drogolin" w:hint="cs"/>
          <w:rtl/>
          <w:lang w:bidi="he-IL"/>
        </w:rPr>
        <w:t>ההיתר</w:t>
      </w:r>
      <w:r w:rsidR="00C16CB9" w:rsidRPr="00882F11">
        <w:rPr>
          <w:rFonts w:cs="Guttman Drogolin" w:hint="cs"/>
          <w:rtl/>
          <w:lang w:bidi="he-IL"/>
        </w:rPr>
        <w:t xml:space="preserve"> לתוך חתיכת האיסור ממה שיצא מחתיכת האיסור לתוך החתיכת היתר. וא"כ י"ל דאע"ג שיש יותר טעם איסור מטעם היתר, ולכן מה שטועם כאן הוא איסור אע"ג דמיירי במין במינו, מ"מ יש יותר כמות של היתר ממה שיש של איסור. ולכן שפיר י"ל שבעלמא צריכים הדין של אחרי רבים להתיר אפילו אם אין </w:t>
      </w:r>
      <w:r w:rsidR="00BF430F" w:rsidRPr="00882F11">
        <w:rPr>
          <w:rFonts w:cs="Guttman Drogolin" w:hint="cs"/>
          <w:rtl/>
          <w:lang w:bidi="he-IL"/>
        </w:rPr>
        <w:t>טעם כעיקר</w:t>
      </w:r>
      <w:r w:rsidR="00C16CB9" w:rsidRPr="00882F11">
        <w:rPr>
          <w:rFonts w:cs="Guttman Drogolin" w:hint="cs"/>
          <w:rtl/>
          <w:lang w:bidi="he-IL"/>
        </w:rPr>
        <w:t>, אבל בנד"ד הי' רוב היתר וכמש"נ.</w:t>
      </w:r>
    </w:p>
    <w:p w:rsidR="00F8175D" w:rsidRPr="00882F11" w:rsidRDefault="00F8175D" w:rsidP="00F8175D">
      <w:pPr>
        <w:bidi/>
        <w:jc w:val="both"/>
        <w:rPr>
          <w:rFonts w:cs="Guttman Drogolin"/>
          <w:rtl/>
          <w:lang w:bidi="he-IL"/>
        </w:rPr>
      </w:pPr>
      <w:r w:rsidRPr="00882F11">
        <w:rPr>
          <w:rFonts w:cs="Guttman Drogolin" w:hint="cs"/>
          <w:rtl/>
          <w:lang w:bidi="he-IL"/>
        </w:rPr>
        <w:t>ומ"מ כל הנ"ל הוא לשיטת התוס' דהא דזרוע בשילה מיירי במין במינו ולכן צ"ל שיש רוב טעם של איסור. אבל יעוין ברא"ש (וכן הוא בתוס' הרא"ש) שפי' דמיירי בחתיכה למעלה מן הרוטב, רק שיש טעם כיון שהשומן נותן טעם בבשר. והיינו דשיטת הרא"ש היא דשומן הוא מין בשאינו מינו בבשר, וע' בנו"כ רסי' צ"ח שדנו אם חלב (עם צירי) הוא טעם שונה מבשר או לא, ושם בשפ"ד השוה שומן עם חלב בזה. ונראין הדברין שבזה נחלקו התוס' והרא"ש כאן</w:t>
      </w:r>
      <w:r w:rsidRPr="00882F11">
        <w:rPr>
          <w:rStyle w:val="FootnoteReference"/>
          <w:rFonts w:cs="Guttman Drogolin"/>
          <w:rtl/>
          <w:lang w:bidi="he-IL"/>
        </w:rPr>
        <w:footnoteReference w:id="49"/>
      </w:r>
      <w:r w:rsidRPr="00882F11">
        <w:rPr>
          <w:rFonts w:cs="Guttman Drogolin" w:hint="cs"/>
          <w:rtl/>
          <w:lang w:bidi="he-IL"/>
        </w:rPr>
        <w:t xml:space="preserve">.  </w:t>
      </w:r>
    </w:p>
    <w:p w:rsidR="00C16CB9" w:rsidRPr="00882F11" w:rsidRDefault="00C16CB9" w:rsidP="0078079C">
      <w:pPr>
        <w:pStyle w:val="Heading1"/>
        <w:bidi/>
        <w:spacing w:before="0" w:line="360" w:lineRule="auto"/>
        <w:jc w:val="center"/>
        <w:rPr>
          <w:rFonts w:cs="Guttman Drogolin"/>
          <w:color w:val="auto"/>
          <w:sz w:val="24"/>
          <w:szCs w:val="24"/>
          <w:u w:val="single"/>
          <w:rtl/>
          <w:lang w:bidi="he-IL"/>
        </w:rPr>
      </w:pPr>
      <w:bookmarkStart w:id="35" w:name="_Toc496175300"/>
      <w:r w:rsidRPr="00882F11">
        <w:rPr>
          <w:rFonts w:cs="Guttman Drogolin" w:hint="cs"/>
          <w:color w:val="auto"/>
          <w:sz w:val="24"/>
          <w:szCs w:val="24"/>
          <w:u w:val="single"/>
          <w:rtl/>
          <w:lang w:bidi="he-IL"/>
        </w:rPr>
        <w:t>שיטת רש"י בביאור המימרא של רבא</w:t>
      </w:r>
      <w:bookmarkEnd w:id="35"/>
    </w:p>
    <w:p w:rsidR="00F8175D" w:rsidRPr="00882F11" w:rsidRDefault="00C16CB9" w:rsidP="007C4E71">
      <w:pPr>
        <w:bidi/>
        <w:jc w:val="both"/>
        <w:rPr>
          <w:rFonts w:cs="Guttman Drogolin"/>
          <w:rtl/>
          <w:lang w:bidi="he-IL"/>
        </w:rPr>
      </w:pPr>
      <w:r w:rsidRPr="00882F11">
        <w:rPr>
          <w:rFonts w:cs="Guttman Drogolin" w:hint="cs"/>
          <w:rtl/>
          <w:lang w:bidi="he-IL"/>
        </w:rPr>
        <w:t>רש"י פירש דמיירי הכא כשטועם טעם האיסור בקדשים אע"פ שיש ששים. ולדידי' לא קשה ה</w:t>
      </w:r>
      <w:r w:rsidR="007C4E71">
        <w:rPr>
          <w:rFonts w:cs="Guttman Drogolin" w:hint="cs"/>
          <w:rtl/>
          <w:lang w:bidi="he-IL"/>
        </w:rPr>
        <w:t xml:space="preserve">א דאיכא </w:t>
      </w:r>
      <w:r w:rsidRPr="00882F11">
        <w:rPr>
          <w:rFonts w:cs="Guttman Drogolin" w:hint="cs"/>
          <w:rtl/>
          <w:lang w:bidi="he-IL"/>
        </w:rPr>
        <w:t>ששים</w:t>
      </w:r>
      <w:r w:rsidR="007C4E71">
        <w:rPr>
          <w:rFonts w:cs="Guttman Drogolin" w:hint="cs"/>
          <w:rtl/>
          <w:lang w:bidi="he-IL"/>
        </w:rPr>
        <w:t xml:space="preserve"> וכנ"ל</w:t>
      </w:r>
      <w:r w:rsidRPr="00882F11">
        <w:rPr>
          <w:rFonts w:cs="Guttman Drogolin" w:hint="cs"/>
          <w:rtl/>
          <w:lang w:bidi="he-IL"/>
        </w:rPr>
        <w:t xml:space="preserve">, שלפי מה שביארנו רש"י מתיר ע"י גזה"כ דזרוע בשילה אע"ג שיכול לטועם את </w:t>
      </w:r>
      <w:r w:rsidR="007C4E71">
        <w:rPr>
          <w:rFonts w:cs="Guttman Drogolin" w:hint="cs"/>
          <w:rtl/>
          <w:lang w:bidi="he-IL"/>
        </w:rPr>
        <w:t>האיסור שב</w:t>
      </w:r>
      <w:r w:rsidRPr="00882F11">
        <w:rPr>
          <w:rFonts w:cs="Guttman Drogolin" w:hint="cs"/>
          <w:rtl/>
          <w:lang w:bidi="he-IL"/>
        </w:rPr>
        <w:t xml:space="preserve">תבשיל ובלבד שיהא ששים, </w:t>
      </w:r>
      <w:r w:rsidRPr="00882F11">
        <w:rPr>
          <w:rFonts w:cs="Guttman Drogolin" w:hint="cs"/>
          <w:rtl/>
          <w:lang w:bidi="he-IL"/>
        </w:rPr>
        <w:lastRenderedPageBreak/>
        <w:t>ולשיטתו שבעלמא קיי"ל ד</w:t>
      </w:r>
      <w:r w:rsidR="00BF430F" w:rsidRPr="00882F11">
        <w:rPr>
          <w:rFonts w:cs="Guttman Drogolin" w:hint="cs"/>
          <w:rtl/>
          <w:lang w:bidi="he-IL"/>
        </w:rPr>
        <w:t>טעם כעיקר</w:t>
      </w:r>
      <w:r w:rsidRPr="00882F11">
        <w:rPr>
          <w:rFonts w:cs="Guttman Drogolin" w:hint="cs"/>
          <w:rtl/>
          <w:lang w:bidi="he-IL"/>
        </w:rPr>
        <w:t xml:space="preserve"> לאו דאורייתא. אלא שלפי הביאור שביארנו לעיל יוצא שכל הנפק"מ של </w:t>
      </w:r>
      <w:r w:rsidR="00BF430F" w:rsidRPr="00882F11">
        <w:rPr>
          <w:rFonts w:cs="Guttman Drogolin" w:hint="cs"/>
          <w:rtl/>
          <w:lang w:bidi="he-IL"/>
        </w:rPr>
        <w:t>טעם כעיקר</w:t>
      </w:r>
      <w:r w:rsidRPr="00882F11">
        <w:rPr>
          <w:rFonts w:cs="Guttman Drogolin" w:hint="cs"/>
          <w:rtl/>
          <w:lang w:bidi="he-IL"/>
        </w:rPr>
        <w:t xml:space="preserve"> אחרי שיש גזה"כ של זרוע בשילה הוא בדאיכא ששים, דהא אפילו בלי גזה"כ ד</w:t>
      </w:r>
      <w:r w:rsidR="00BF430F" w:rsidRPr="00882F11">
        <w:rPr>
          <w:rFonts w:cs="Guttman Drogolin" w:hint="cs"/>
          <w:rtl/>
          <w:lang w:bidi="he-IL"/>
        </w:rPr>
        <w:t>טעם כעיקר</w:t>
      </w:r>
      <w:r w:rsidRPr="00882F11">
        <w:rPr>
          <w:rFonts w:cs="Guttman Drogolin" w:hint="cs"/>
          <w:rtl/>
          <w:lang w:bidi="he-IL"/>
        </w:rPr>
        <w:t xml:space="preserve"> בעינן ששים ולימוד גמור הוא וכנ"ל. וא"כ כל הסוגיא דמס' פסחים שדנו בה אם </w:t>
      </w:r>
      <w:r w:rsidR="00BF430F" w:rsidRPr="00882F11">
        <w:rPr>
          <w:rFonts w:cs="Guttman Drogolin" w:hint="cs"/>
          <w:rtl/>
          <w:lang w:bidi="he-IL"/>
        </w:rPr>
        <w:t>טעם כעיקר</w:t>
      </w:r>
      <w:r w:rsidRPr="00882F11">
        <w:rPr>
          <w:rFonts w:cs="Guttman Drogolin" w:hint="cs"/>
          <w:rtl/>
          <w:lang w:bidi="he-IL"/>
        </w:rPr>
        <w:t xml:space="preserve"> או לא מיירי ביותר מששים, ובחי' הר</w:t>
      </w:r>
      <w:r w:rsidR="00942C5F" w:rsidRPr="00882F11">
        <w:rPr>
          <w:rFonts w:cs="Guttman Drogolin" w:hint="cs"/>
          <w:rtl/>
          <w:lang w:bidi="he-IL"/>
        </w:rPr>
        <w:t>י</w:t>
      </w:r>
      <w:r w:rsidRPr="00882F11">
        <w:rPr>
          <w:rFonts w:cs="Guttman Drogolin" w:hint="cs"/>
          <w:rtl/>
          <w:lang w:bidi="he-IL"/>
        </w:rPr>
        <w:t>טב"א כתב שמשמעות הסוגיא שם דמיירי אפילו בטעם גמור ובדאיכא ששים. ואולי י"ל שהסוגיא דהתם לא סבר הל</w:t>
      </w:r>
      <w:r w:rsidR="00942C5F" w:rsidRPr="00882F11">
        <w:rPr>
          <w:rFonts w:cs="Guttman Drogolin" w:hint="cs"/>
          <w:rtl/>
          <w:lang w:bidi="he-IL"/>
        </w:rPr>
        <w:t>י</w:t>
      </w:r>
      <w:r w:rsidRPr="00882F11">
        <w:rPr>
          <w:rFonts w:cs="Guttman Drogolin" w:hint="cs"/>
          <w:rtl/>
          <w:lang w:bidi="he-IL"/>
        </w:rPr>
        <w:t>מוד דזרוע בשילה, וכן הנהו דלעיל כאן בדף צ"ח ע"א יל"ע מדבריהם למה לא התייחסו לגזה"כ זו. וכן קשה לשיטת רש"י</w:t>
      </w:r>
      <w:r w:rsidR="00F8175D" w:rsidRPr="00882F11">
        <w:rPr>
          <w:rFonts w:cs="Guttman Drogolin" w:hint="cs"/>
          <w:rtl/>
          <w:lang w:bidi="he-IL"/>
        </w:rPr>
        <w:t xml:space="preserve"> דהנה רש"י הרי ביאר שזרוע בשילה הוי מין במינו, וכדמבואר מלשונו לעיל בדף צ"ח ע"א ד"ה ושניהם</w:t>
      </w:r>
      <w:r w:rsidR="00F8175D" w:rsidRPr="00882F11">
        <w:rPr>
          <w:rFonts w:cs="Guttman Drogolin"/>
          <w:rtl/>
          <w:lang w:bidi="he-IL"/>
        </w:rPr>
        <w:t xml:space="preserve"> </w:t>
      </w:r>
      <w:r w:rsidR="00F8175D" w:rsidRPr="00882F11">
        <w:rPr>
          <w:rFonts w:cs="Guttman Drogolin" w:hint="cs"/>
          <w:rtl/>
          <w:lang w:bidi="he-IL"/>
        </w:rPr>
        <w:t>לא</w:t>
      </w:r>
      <w:r w:rsidR="00F8175D" w:rsidRPr="00882F11">
        <w:rPr>
          <w:rFonts w:cs="Guttman Drogolin"/>
          <w:rtl/>
          <w:lang w:bidi="he-IL"/>
        </w:rPr>
        <w:t xml:space="preserve"> </w:t>
      </w:r>
      <w:r w:rsidR="00F8175D" w:rsidRPr="00882F11">
        <w:rPr>
          <w:rFonts w:cs="Guttman Drogolin" w:hint="cs"/>
          <w:rtl/>
          <w:lang w:bidi="he-IL"/>
        </w:rPr>
        <w:t>למדוה. וא"כ יוצא שגם במין במינו אנחנו אוסרים טעם יותר מס', ואיך יתכן דבר זה. ולכאורה י"ל ל</w:t>
      </w:r>
      <w:r w:rsidR="00942C5F" w:rsidRPr="00882F11">
        <w:rPr>
          <w:rFonts w:cs="Guttman Drogolin" w:hint="cs"/>
          <w:rtl/>
          <w:lang w:bidi="he-IL"/>
        </w:rPr>
        <w:t>ש</w:t>
      </w:r>
      <w:r w:rsidR="00F8175D" w:rsidRPr="00882F11">
        <w:rPr>
          <w:rFonts w:cs="Guttman Drogolin" w:hint="cs"/>
          <w:rtl/>
          <w:lang w:bidi="he-IL"/>
        </w:rPr>
        <w:t xml:space="preserve">יטתו שבעלמא ג"כ חיישינן שיש טעם אפילו אם יש ששים, רק שטעם זה מותר מגזיה"כ דזרוע בשילה. ולמ"ד </w:t>
      </w:r>
      <w:r w:rsidR="00BF430F" w:rsidRPr="00882F11">
        <w:rPr>
          <w:rFonts w:cs="Guttman Drogolin" w:hint="cs"/>
          <w:rtl/>
          <w:lang w:bidi="he-IL"/>
        </w:rPr>
        <w:t>טעם כעיקר</w:t>
      </w:r>
      <w:r w:rsidR="00F8175D" w:rsidRPr="00882F11">
        <w:rPr>
          <w:rFonts w:cs="Guttman Drogolin" w:hint="cs"/>
          <w:rtl/>
          <w:lang w:bidi="he-IL"/>
        </w:rPr>
        <w:t xml:space="preserve"> דאורייתא ע"כ גם טעם זה אסור אע"פ שהוא מין במינו, וכן בקדשים לכו"ע וכמו בסוגיין. והתוס' הקשו מכמה מקומות שמבואר מהם שהתירו מין במינו בקדשים. ובשלמא בהא דמנחות י"ל דרש"י סבר שבקמח בקמח לא אמרינן דהוי כלח בלח ולכן אין כאן נתינת טעם. אבל בגמ' דמס' זבחים עדיין צ"ע.</w:t>
      </w:r>
    </w:p>
    <w:p w:rsidR="005B6B25" w:rsidRPr="00882F11" w:rsidRDefault="005B6B25" w:rsidP="007C4E71">
      <w:pPr>
        <w:bidi/>
        <w:jc w:val="both"/>
        <w:rPr>
          <w:rFonts w:cs="Guttman Drogolin"/>
          <w:rtl/>
          <w:lang w:bidi="he-IL"/>
        </w:rPr>
      </w:pPr>
      <w:r w:rsidRPr="00882F11">
        <w:rPr>
          <w:rFonts w:cs="Guttman Drogolin" w:hint="cs"/>
          <w:rtl/>
          <w:lang w:bidi="he-IL"/>
        </w:rPr>
        <w:t xml:space="preserve">עוד יש להעיר בזה שרש"י כתב </w:t>
      </w:r>
      <w:r w:rsidR="007C4E71">
        <w:rPr>
          <w:rFonts w:cs="Guttman Drogolin" w:hint="cs"/>
          <w:rtl/>
          <w:lang w:bidi="he-IL"/>
        </w:rPr>
        <w:t>ד</w:t>
      </w:r>
      <w:r w:rsidRPr="00882F11">
        <w:rPr>
          <w:rFonts w:cs="Guttman Drogolin" w:hint="cs"/>
          <w:rtl/>
          <w:lang w:bidi="he-IL"/>
        </w:rPr>
        <w:t xml:space="preserve">לא אמרינן </w:t>
      </w:r>
      <w:r w:rsidR="00BF430F" w:rsidRPr="00882F11">
        <w:rPr>
          <w:rFonts w:cs="Guttman Drogolin" w:hint="cs"/>
          <w:rtl/>
          <w:lang w:bidi="he-IL"/>
        </w:rPr>
        <w:t>טעם כעיקר</w:t>
      </w:r>
      <w:r w:rsidRPr="00882F11">
        <w:rPr>
          <w:rFonts w:cs="Guttman Drogolin" w:hint="cs"/>
          <w:rtl/>
          <w:lang w:bidi="he-IL"/>
        </w:rPr>
        <w:t xml:space="preserve">, והא דלא ילפינן </w:t>
      </w:r>
      <w:r w:rsidR="007C4E71">
        <w:rPr>
          <w:rFonts w:cs="Guttman Drogolin" w:hint="cs"/>
          <w:rtl/>
          <w:lang w:bidi="he-IL"/>
        </w:rPr>
        <w:t>מ</w:t>
      </w:r>
      <w:r w:rsidRPr="00882F11">
        <w:rPr>
          <w:rFonts w:cs="Guttman Drogolin" w:hint="cs"/>
          <w:rtl/>
          <w:lang w:bidi="he-IL"/>
        </w:rPr>
        <w:t xml:space="preserve">משרת היינו משום דהוו גיעולי נכרים ומשרת ב' כתובים הבאין כא' ואין מלמדין, או דגיעולי נכרים חידוש הוא ומשרת להיתר מצטרף לאיסור. והנה רש"י במס' פסחים לכאורה ג"כ פי' ע"ד הפי' השני הנ"ל. אלא ששם העיר המהרש"א דע"כ הלימוד של חטאת מלמדנו </w:t>
      </w:r>
      <w:r w:rsidRPr="00882F11">
        <w:rPr>
          <w:rFonts w:cs="Guttman Drogolin" w:hint="cs"/>
          <w:rtl/>
          <w:lang w:bidi="he-IL"/>
        </w:rPr>
        <w:lastRenderedPageBreak/>
        <w:t xml:space="preserve">היתר מצטרף לאיסור ולא </w:t>
      </w:r>
      <w:r w:rsidR="00BF430F" w:rsidRPr="00882F11">
        <w:rPr>
          <w:rFonts w:cs="Guttman Drogolin" w:hint="cs"/>
          <w:rtl/>
          <w:lang w:bidi="he-IL"/>
        </w:rPr>
        <w:t>טעם כעיקר</w:t>
      </w:r>
      <w:r w:rsidRPr="00882F11">
        <w:rPr>
          <w:rFonts w:cs="Guttman Drogolin" w:hint="cs"/>
          <w:rtl/>
          <w:lang w:bidi="he-IL"/>
        </w:rPr>
        <w:t>, דהא רבנן הרי חולקים ב</w:t>
      </w:r>
      <w:r w:rsidR="00942C5F" w:rsidRPr="00882F11">
        <w:rPr>
          <w:rFonts w:cs="Guttman Drogolin" w:hint="cs"/>
          <w:rtl/>
          <w:lang w:bidi="he-IL"/>
        </w:rPr>
        <w:t>כ</w:t>
      </w:r>
      <w:r w:rsidRPr="00882F11">
        <w:rPr>
          <w:rFonts w:cs="Guttman Drogolin" w:hint="cs"/>
          <w:rtl/>
          <w:lang w:bidi="he-IL"/>
        </w:rPr>
        <w:t xml:space="preserve">ותח הבבלי וסוברים שאין בזה מלקות, ואם חטאת מלמדנו </w:t>
      </w:r>
      <w:r w:rsidR="00BF430F" w:rsidRPr="00882F11">
        <w:rPr>
          <w:rFonts w:cs="Guttman Drogolin" w:hint="cs"/>
          <w:rtl/>
          <w:lang w:bidi="he-IL"/>
        </w:rPr>
        <w:t>טעם כעיקר</w:t>
      </w:r>
      <w:r w:rsidRPr="00882F11">
        <w:rPr>
          <w:rFonts w:cs="Guttman Drogolin" w:hint="cs"/>
          <w:rtl/>
          <w:lang w:bidi="he-IL"/>
        </w:rPr>
        <w:t xml:space="preserve"> יוצא שנשאר לנו רק פסוק א' בהיתר מצטרף לאיסור והוא גזה"כ דמשרת, וא"כ הו"ל למילף מיני' לכה"ת כולה, ולמה אין חיוב בכותח הבבלי. וא"כ לכאורה צ"ע בסוגיין שהרי מפורש בגמ' שלומדים מחטאת הדין של </w:t>
      </w:r>
      <w:r w:rsidR="00BF430F" w:rsidRPr="00882F11">
        <w:rPr>
          <w:rFonts w:cs="Guttman Drogolin" w:hint="cs"/>
          <w:rtl/>
          <w:lang w:bidi="he-IL"/>
        </w:rPr>
        <w:t>טעם כעיקר</w:t>
      </w:r>
      <w:r w:rsidRPr="00882F11">
        <w:rPr>
          <w:rFonts w:cs="Guttman Drogolin" w:hint="cs"/>
          <w:rtl/>
          <w:lang w:bidi="he-IL"/>
        </w:rPr>
        <w:t>.</w:t>
      </w:r>
    </w:p>
    <w:p w:rsidR="005B6B25" w:rsidRPr="00882F11" w:rsidRDefault="005B6B25" w:rsidP="005B6B25">
      <w:pPr>
        <w:bidi/>
        <w:jc w:val="both"/>
        <w:rPr>
          <w:rFonts w:cs="Guttman Drogolin"/>
          <w:rtl/>
          <w:lang w:bidi="he-IL"/>
        </w:rPr>
      </w:pPr>
      <w:r w:rsidRPr="00882F11">
        <w:rPr>
          <w:rFonts w:cs="Guttman Drogolin" w:hint="cs"/>
          <w:rtl/>
          <w:lang w:bidi="he-IL"/>
        </w:rPr>
        <w:t>והתוס' התקשו בזה שמבואר בגמ' שלנו שלומדים מחטאת דינא ד</w:t>
      </w:r>
      <w:r w:rsidR="00BF430F" w:rsidRPr="00882F11">
        <w:rPr>
          <w:rFonts w:cs="Guttman Drogolin" w:hint="cs"/>
          <w:rtl/>
          <w:lang w:bidi="he-IL"/>
        </w:rPr>
        <w:t>טעם כעיקר</w:t>
      </w:r>
      <w:r w:rsidRPr="00882F11">
        <w:rPr>
          <w:rFonts w:cs="Guttman Drogolin" w:hint="cs"/>
          <w:rtl/>
          <w:lang w:bidi="he-IL"/>
        </w:rPr>
        <w:t xml:space="preserve">, ואילו במס' פסחים מבואר שלמדו ממנו הדין של </w:t>
      </w:r>
      <w:r w:rsidR="00C5379A" w:rsidRPr="00882F11">
        <w:rPr>
          <w:rFonts w:cs="Guttman Drogolin" w:hint="cs"/>
          <w:rtl/>
          <w:lang w:bidi="he-IL"/>
        </w:rPr>
        <w:t>היתר מצטרף לאיסור</w:t>
      </w:r>
      <w:r w:rsidRPr="00882F11">
        <w:rPr>
          <w:rFonts w:cs="Guttman Drogolin" w:hint="cs"/>
          <w:rtl/>
          <w:lang w:bidi="he-IL"/>
        </w:rPr>
        <w:t xml:space="preserve">. ולכן כתב כר"ת שמשנה את הגירסא, או שאפילו לגירסא שלנו עיקר כוונת הגמ' לדין </w:t>
      </w:r>
      <w:r w:rsidR="00C5379A" w:rsidRPr="00882F11">
        <w:rPr>
          <w:rFonts w:cs="Guttman Drogolin" w:hint="cs"/>
          <w:rtl/>
          <w:lang w:bidi="he-IL"/>
        </w:rPr>
        <w:t>היתר מצטרף לאיסור</w:t>
      </w:r>
      <w:r w:rsidRPr="00882F11">
        <w:rPr>
          <w:rFonts w:cs="Guttman Drogolin" w:hint="cs"/>
          <w:rtl/>
          <w:lang w:bidi="he-IL"/>
        </w:rPr>
        <w:t xml:space="preserve">. או"ד שסוגיין כמ"ד במס' נזיר שבאמת לומד מכאן </w:t>
      </w:r>
      <w:r w:rsidR="00BF430F" w:rsidRPr="00882F11">
        <w:rPr>
          <w:rFonts w:cs="Guttman Drogolin" w:hint="cs"/>
          <w:rtl/>
          <w:lang w:bidi="he-IL"/>
        </w:rPr>
        <w:t>טעם כעיקר</w:t>
      </w:r>
      <w:r w:rsidRPr="00882F11">
        <w:rPr>
          <w:rFonts w:cs="Guttman Drogolin" w:hint="cs"/>
          <w:rtl/>
          <w:lang w:bidi="he-IL"/>
        </w:rPr>
        <w:t xml:space="preserve"> ע"ש</w:t>
      </w:r>
      <w:bookmarkStart w:id="36" w:name="_Ref434917041"/>
      <w:r w:rsidR="00FB0FC0" w:rsidRPr="00882F11">
        <w:rPr>
          <w:rStyle w:val="FootnoteReference"/>
          <w:rFonts w:cs="Guttman Drogolin"/>
          <w:rtl/>
          <w:lang w:bidi="he-IL"/>
        </w:rPr>
        <w:footnoteReference w:id="50"/>
      </w:r>
      <w:bookmarkEnd w:id="36"/>
      <w:r w:rsidR="00D0795A" w:rsidRPr="00882F11">
        <w:rPr>
          <w:rFonts w:cs="Guttman Drogolin" w:hint="cs"/>
          <w:rtl/>
          <w:lang w:bidi="he-IL"/>
        </w:rPr>
        <w:t xml:space="preserve"> (וכ"כ שם במס' נזיר בפי' הרא"ש)</w:t>
      </w:r>
      <w:r w:rsidRPr="00882F11">
        <w:rPr>
          <w:rFonts w:cs="Guttman Drogolin" w:hint="cs"/>
          <w:rtl/>
          <w:lang w:bidi="he-IL"/>
        </w:rPr>
        <w:t xml:space="preserve">. אבל מרש"י לא נראה כן וא"כ קשה כנ"ל.  </w:t>
      </w:r>
    </w:p>
    <w:p w:rsidR="0049595B" w:rsidRPr="00882F11" w:rsidRDefault="005B6B25" w:rsidP="005B6B25">
      <w:pPr>
        <w:bidi/>
        <w:jc w:val="both"/>
        <w:rPr>
          <w:rFonts w:cs="Guttman Drogolin"/>
          <w:rtl/>
          <w:lang w:bidi="he-IL"/>
        </w:rPr>
      </w:pPr>
      <w:r w:rsidRPr="00882F11">
        <w:rPr>
          <w:rFonts w:cs="Guttman Drogolin" w:hint="cs"/>
          <w:rtl/>
          <w:lang w:bidi="he-IL"/>
        </w:rPr>
        <w:t xml:space="preserve">אבל האמת היא שאין כוונת רש"י כאן לומר דקיי"ל כרבנן דכותח הבבלי, ולעולם לרבנן דכותח הבבלי שפיר צריכים לומר שחטאת מלמדנו </w:t>
      </w:r>
      <w:r w:rsidR="00C5379A" w:rsidRPr="00882F11">
        <w:rPr>
          <w:rFonts w:cs="Guttman Drogolin" w:hint="cs"/>
          <w:rtl/>
          <w:lang w:bidi="he-IL"/>
        </w:rPr>
        <w:t>היתר מצטרף לאיסור</w:t>
      </w:r>
      <w:r w:rsidRPr="00882F11">
        <w:rPr>
          <w:rFonts w:cs="Guttman Drogolin" w:hint="cs"/>
          <w:rtl/>
          <w:lang w:bidi="he-IL"/>
        </w:rPr>
        <w:t>, רק דרש"י סבר שאע"ג שלפי המבואר במס' פסחים נראה דלשאר תנאי קיי"ל ד</w:t>
      </w:r>
      <w:r w:rsidR="00BF430F" w:rsidRPr="00882F11">
        <w:rPr>
          <w:rFonts w:cs="Guttman Drogolin" w:hint="cs"/>
          <w:rtl/>
          <w:lang w:bidi="he-IL"/>
        </w:rPr>
        <w:t>טעם כעיקר</w:t>
      </w:r>
      <w:r w:rsidRPr="00882F11">
        <w:rPr>
          <w:rFonts w:cs="Guttman Drogolin" w:hint="cs"/>
          <w:rtl/>
          <w:lang w:bidi="he-IL"/>
        </w:rPr>
        <w:t xml:space="preserve"> דאורייתא, האומראי בתראי לא סברי כן להלכה, ויתכן דאה"נ לדידהו </w:t>
      </w:r>
      <w:r w:rsidR="00C5379A" w:rsidRPr="00882F11">
        <w:rPr>
          <w:rFonts w:cs="Guttman Drogolin" w:hint="cs"/>
          <w:rtl/>
          <w:lang w:bidi="he-IL"/>
        </w:rPr>
        <w:t>היתר מצטרף לאיסור</w:t>
      </w:r>
      <w:r w:rsidRPr="00882F11">
        <w:rPr>
          <w:rFonts w:cs="Guttman Drogolin" w:hint="cs"/>
          <w:rtl/>
          <w:lang w:bidi="he-IL"/>
        </w:rPr>
        <w:t xml:space="preserve"> בכה"ת כולה וחייבין אכותח הבבלי. </w:t>
      </w:r>
      <w:r w:rsidR="00F8175D" w:rsidRPr="00882F11">
        <w:rPr>
          <w:rFonts w:cs="Guttman Drogolin" w:hint="cs"/>
          <w:rtl/>
          <w:lang w:bidi="he-IL"/>
        </w:rPr>
        <w:t xml:space="preserve">  </w:t>
      </w:r>
      <w:r w:rsidR="00C16CB9" w:rsidRPr="00882F11">
        <w:rPr>
          <w:rFonts w:cs="Guttman Drogolin" w:hint="cs"/>
          <w:rtl/>
          <w:lang w:bidi="he-IL"/>
        </w:rPr>
        <w:t xml:space="preserve">      </w:t>
      </w:r>
      <w:r w:rsidR="0049595B" w:rsidRPr="00882F11">
        <w:rPr>
          <w:rFonts w:cs="Guttman Drogolin" w:hint="cs"/>
          <w:rtl/>
          <w:lang w:bidi="he-IL"/>
        </w:rPr>
        <w:t xml:space="preserve">   </w:t>
      </w:r>
    </w:p>
    <w:p w:rsidR="003F119A" w:rsidRPr="00882F11" w:rsidRDefault="003F119A" w:rsidP="0049595B">
      <w:pPr>
        <w:bidi/>
        <w:jc w:val="both"/>
        <w:rPr>
          <w:rFonts w:cs="Guttman Drogolin"/>
          <w:rtl/>
          <w:lang w:bidi="he-IL"/>
        </w:rPr>
        <w:sectPr w:rsidR="003F119A" w:rsidRPr="00882F11" w:rsidSect="00882F11">
          <w:type w:val="continuous"/>
          <w:pgSz w:w="11907" w:h="16839" w:code="9"/>
          <w:pgMar w:top="1440" w:right="1440" w:bottom="1440" w:left="1440" w:header="720" w:footer="720" w:gutter="0"/>
          <w:cols w:num="2" w:space="720"/>
          <w:bidi/>
          <w:docGrid w:linePitch="360"/>
        </w:sectPr>
      </w:pPr>
    </w:p>
    <w:p w:rsidR="003F119A" w:rsidRPr="00882F11" w:rsidRDefault="003F119A" w:rsidP="003F119A">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ח'</w:t>
      </w:r>
    </w:p>
    <w:p w:rsidR="00882F11" w:rsidRDefault="00882F11" w:rsidP="00E37262">
      <w:pPr>
        <w:pStyle w:val="Heading1"/>
        <w:bidi/>
        <w:spacing w:before="0" w:line="360" w:lineRule="auto"/>
        <w:jc w:val="center"/>
        <w:rPr>
          <w:rFonts w:cs="Guttman Drogolin"/>
          <w:color w:val="auto"/>
          <w:sz w:val="24"/>
          <w:szCs w:val="24"/>
          <w:u w:val="single"/>
          <w:rtl/>
          <w:lang w:bidi="he-IL"/>
        </w:rPr>
        <w:sectPr w:rsidR="00882F11" w:rsidSect="00882F11">
          <w:pgSz w:w="11907" w:h="16839" w:code="9"/>
          <w:pgMar w:top="1440" w:right="1440" w:bottom="1440" w:left="1440" w:header="720" w:footer="720" w:gutter="0"/>
          <w:cols w:space="720"/>
          <w:bidi/>
          <w:docGrid w:linePitch="360"/>
        </w:sectPr>
      </w:pPr>
    </w:p>
    <w:p w:rsidR="003F119A" w:rsidRPr="00882F11" w:rsidRDefault="003F119A" w:rsidP="00E37262">
      <w:pPr>
        <w:pStyle w:val="Heading1"/>
        <w:bidi/>
        <w:spacing w:before="0" w:line="360" w:lineRule="auto"/>
        <w:jc w:val="center"/>
        <w:rPr>
          <w:rFonts w:cs="Guttman Drogolin"/>
          <w:color w:val="auto"/>
          <w:sz w:val="24"/>
          <w:szCs w:val="24"/>
          <w:u w:val="single"/>
          <w:rtl/>
          <w:lang w:bidi="he-IL"/>
        </w:rPr>
      </w:pPr>
      <w:bookmarkStart w:id="37" w:name="_Toc496175301"/>
      <w:r w:rsidRPr="00882F11">
        <w:rPr>
          <w:rFonts w:cs="Guttman Drogolin" w:hint="cs"/>
          <w:color w:val="auto"/>
          <w:sz w:val="24"/>
          <w:szCs w:val="24"/>
          <w:u w:val="single"/>
          <w:rtl/>
          <w:lang w:bidi="he-IL"/>
        </w:rPr>
        <w:lastRenderedPageBreak/>
        <w:t>גדרי טע</w:t>
      </w:r>
      <w:r w:rsidR="00E37262" w:rsidRPr="00882F11">
        <w:rPr>
          <w:rFonts w:cs="Guttman Drogolin" w:hint="cs"/>
          <w:color w:val="auto"/>
          <w:sz w:val="24"/>
          <w:szCs w:val="24"/>
          <w:u w:val="single"/>
          <w:rtl/>
          <w:lang w:bidi="he-IL"/>
        </w:rPr>
        <w:t>מו</w:t>
      </w:r>
      <w:r w:rsidRPr="00882F11">
        <w:rPr>
          <w:rFonts w:cs="Guttman Drogolin" w:hint="cs"/>
          <w:color w:val="auto"/>
          <w:sz w:val="24"/>
          <w:szCs w:val="24"/>
          <w:u w:val="single"/>
          <w:rtl/>
          <w:lang w:bidi="he-IL"/>
        </w:rPr>
        <w:t xml:space="preserve"> ולא ממשו</w:t>
      </w:r>
      <w:bookmarkEnd w:id="37"/>
    </w:p>
    <w:p w:rsidR="00B97095" w:rsidRPr="00882F11" w:rsidRDefault="00667B16" w:rsidP="003F119A">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טעם כעיקר</w:instrText>
      </w:r>
      <w:r w:rsidRPr="00882F11">
        <w:rPr>
          <w:rFonts w:cs="Guttman Drogolin"/>
          <w:rtl/>
        </w:rPr>
        <w:instrText>:</w:instrText>
      </w:r>
      <w:r w:rsidRPr="00882F11">
        <w:rPr>
          <w:rFonts w:cs="Guttman Drogolin" w:hint="cs"/>
          <w:rtl/>
          <w:lang w:bidi="he-IL"/>
        </w:rPr>
        <w:instrText>גדרי טעמו ולא ממשו</w:instrText>
      </w:r>
      <w:r w:rsidRPr="00882F11">
        <w:rPr>
          <w:rFonts w:cs="Guttman Drogolin"/>
        </w:rPr>
        <w:instrText xml:space="preserve">" </w:instrText>
      </w:r>
      <w:r w:rsidRPr="00882F11">
        <w:rPr>
          <w:rFonts w:cs="Guttman Drogolin"/>
          <w:rtl/>
          <w:lang w:bidi="he-IL"/>
        </w:rPr>
        <w:fldChar w:fldCharType="end"/>
      </w:r>
      <w:r w:rsidR="003F119A" w:rsidRPr="00882F11">
        <w:rPr>
          <w:rFonts w:cs="Guttman Drogolin" w:hint="cs"/>
          <w:rtl/>
          <w:lang w:bidi="he-IL"/>
        </w:rPr>
        <w:t>מדברי חי' הרמב"ן הבנתי ביאור מה נחשב טעמו ולא ממשו. שיש דבר שנחשב טעם בלבד בלי יציאת שום יין. והוסיף שיש דבר שעדיין נחשב טעמו ולא ממשו</w:t>
      </w:r>
      <w:r w:rsidR="00B97095" w:rsidRPr="00882F11">
        <w:rPr>
          <w:rFonts w:cs="Guttman Drogolin" w:hint="cs"/>
          <w:rtl/>
          <w:lang w:bidi="he-IL"/>
        </w:rPr>
        <w:t xml:space="preserve"> אע"פ שנכנס ממשו של יין לתוך המים, והוא בכה"ג "שאבד במיעוטו כגון טיפת יין שנפל למים ואין בו מראה יין דממשו אבד". ונראה הביאור בדבריו שגדר טעמו ולא ממשו היינו כשאין ממשו ניכר בתערובת מצד עוצם מיעוטו (לאפוקי מין במינו שיכול ליחשב ממשו אע"פ שאינו ניכר מהו איסור ומהו היתר, וכדמבואר בר"ש בטבו"י וכן בתוס' הרא"ש במס' פסחים שהם סוברים שכזית </w:t>
      </w:r>
      <w:r w:rsidR="00BF430F" w:rsidRPr="00882F11">
        <w:rPr>
          <w:rFonts w:cs="Guttman Drogolin" w:hint="cs"/>
          <w:rtl/>
          <w:lang w:bidi="he-IL"/>
        </w:rPr>
        <w:t>בכדי אכילת פרס</w:t>
      </w:r>
      <w:r w:rsidR="00340F81" w:rsidRPr="00882F11">
        <w:rPr>
          <w:rFonts w:cs="Guttman Drogolin" w:hint="cs"/>
          <w:rtl/>
          <w:lang w:bidi="he-IL"/>
        </w:rPr>
        <w:t xml:space="preserve"> </w:t>
      </w:r>
      <w:r w:rsidR="00716180" w:rsidRPr="00882F11">
        <w:rPr>
          <w:rFonts w:cs="Guttman Drogolin" w:hint="cs"/>
          <w:rtl/>
          <w:lang w:bidi="he-IL"/>
        </w:rPr>
        <w:t>דאורייתא</w:t>
      </w:r>
      <w:r w:rsidR="00B97095" w:rsidRPr="00882F11">
        <w:rPr>
          <w:rFonts w:cs="Guttman Drogolin" w:hint="cs"/>
          <w:rtl/>
          <w:lang w:bidi="he-IL"/>
        </w:rPr>
        <w:t xml:space="preserve"> אפילו במין במינו). אבל בכגון יין במים, אם ניכר רושם היין במים בראות העינים, הרי זה חשוב טעמו וממשו. ובהמשך הדברים נראה שיש מקומות שנחלקו אם דבר חשוב טעמו וממשו או טעמו ולא ממשו.</w:t>
      </w:r>
    </w:p>
    <w:p w:rsidR="00BF430F" w:rsidRPr="00882F11" w:rsidRDefault="00B97095" w:rsidP="00BF430F">
      <w:pPr>
        <w:bidi/>
        <w:jc w:val="both"/>
        <w:rPr>
          <w:rFonts w:cs="Guttman Drogolin"/>
          <w:rtl/>
          <w:lang w:bidi="he-IL"/>
        </w:rPr>
      </w:pPr>
      <w:r w:rsidRPr="00882F11">
        <w:rPr>
          <w:rFonts w:cs="Guttman Drogolin" w:hint="cs"/>
          <w:rtl/>
          <w:lang w:bidi="he-IL"/>
        </w:rPr>
        <w:t xml:space="preserve">עוד מבואר ברמב"ן שאפילו כשאומרים </w:t>
      </w:r>
      <w:r w:rsidR="00BF430F" w:rsidRPr="00882F11">
        <w:rPr>
          <w:rFonts w:cs="Guttman Drogolin" w:hint="cs"/>
          <w:rtl/>
          <w:lang w:bidi="he-IL"/>
        </w:rPr>
        <w:t>טעם כעיקר</w:t>
      </w:r>
      <w:r w:rsidRPr="00882F11">
        <w:rPr>
          <w:rFonts w:cs="Guttman Drogolin" w:hint="cs"/>
          <w:rtl/>
          <w:lang w:bidi="he-IL"/>
        </w:rPr>
        <w:t xml:space="preserve">, אין ההיתר נהפך להיות איסור, וצריכים שיעור של טעם כדי לעבור. וז"ל שם "שרואין אם נתן אותו איסור טעם גדול בהיתר כאילו נמחה שם ממשו של איסור כזית אסור ולוקין עליו". ונראה שר"ל שבאמת בכמות הטעם שיש בתוך התבשיל לא תמצא שיעור ממנו כדי לעבור. רק המודד הוא אם הטעם </w:t>
      </w:r>
      <w:r w:rsidR="00BF430F" w:rsidRPr="00882F11">
        <w:rPr>
          <w:rFonts w:cs="Guttman Drogolin" w:hint="cs"/>
          <w:rtl/>
          <w:lang w:bidi="he-IL"/>
        </w:rPr>
        <w:t xml:space="preserve">שמרגישים </w:t>
      </w:r>
      <w:r w:rsidRPr="00882F11">
        <w:rPr>
          <w:rFonts w:cs="Guttman Drogolin" w:hint="cs"/>
          <w:rtl/>
          <w:lang w:bidi="he-IL"/>
        </w:rPr>
        <w:t>בתוך התערובת שוה לטעם שהי' נותן כזית אילו הי' מעורב בה.</w:t>
      </w:r>
      <w:r w:rsidR="00BF430F" w:rsidRPr="00882F11">
        <w:rPr>
          <w:rFonts w:cs="Guttman Drogolin" w:hint="cs"/>
          <w:rtl/>
          <w:lang w:bidi="he-IL"/>
        </w:rPr>
        <w:t xml:space="preserve"> </w:t>
      </w:r>
    </w:p>
    <w:p w:rsidR="00BF430F" w:rsidRPr="00882F11" w:rsidRDefault="00BF430F" w:rsidP="0078079C">
      <w:pPr>
        <w:pStyle w:val="Heading1"/>
        <w:bidi/>
        <w:spacing w:before="0" w:line="360" w:lineRule="auto"/>
        <w:jc w:val="center"/>
        <w:rPr>
          <w:rFonts w:cs="Guttman Drogolin"/>
          <w:color w:val="auto"/>
          <w:sz w:val="24"/>
          <w:szCs w:val="24"/>
          <w:u w:val="single"/>
          <w:rtl/>
          <w:lang w:bidi="he-IL"/>
        </w:rPr>
      </w:pPr>
      <w:bookmarkStart w:id="38" w:name="_Toc496175302"/>
      <w:r w:rsidRPr="00882F11">
        <w:rPr>
          <w:rFonts w:cs="Guttman Drogolin" w:hint="cs"/>
          <w:color w:val="auto"/>
          <w:sz w:val="24"/>
          <w:szCs w:val="24"/>
          <w:u w:val="single"/>
          <w:rtl/>
          <w:lang w:bidi="he-IL"/>
        </w:rPr>
        <w:t>ראיות מן הש"ס בדין טעם כעיקר</w:t>
      </w:r>
      <w:bookmarkEnd w:id="38"/>
    </w:p>
    <w:p w:rsidR="00E32C64" w:rsidRPr="00882F11" w:rsidRDefault="007D352B" w:rsidP="00AF6CAF">
      <w:pPr>
        <w:bidi/>
        <w:jc w:val="both"/>
        <w:rPr>
          <w:rFonts w:cs="Guttman Drogolin"/>
          <w:rtl/>
          <w:lang w:bidi="he-IL"/>
        </w:rPr>
      </w:pPr>
      <w:r>
        <w:rPr>
          <w:rFonts w:cs="Guttman Drogolin"/>
          <w:rtl/>
          <w:lang w:bidi="he-IL"/>
        </w:rPr>
        <w:fldChar w:fldCharType="begin"/>
      </w:r>
      <w:r>
        <w:instrText xml:space="preserve"> XE "</w:instrText>
      </w:r>
      <w:r w:rsidRPr="00AE2AA3">
        <w:rPr>
          <w:rFonts w:hint="cs"/>
          <w:rtl/>
          <w:lang w:bidi="he-IL"/>
        </w:rPr>
        <w:instrText>טעם כעיקר</w:instrText>
      </w:r>
      <w:r w:rsidRPr="00AE2AA3">
        <w:rPr>
          <w:rtl/>
        </w:rPr>
        <w:instrText>:</w:instrText>
      </w:r>
      <w:r w:rsidRPr="00AE2AA3">
        <w:rPr>
          <w:rFonts w:hint="cs"/>
          <w:rtl/>
          <w:lang w:bidi="he-IL"/>
        </w:rPr>
        <w:instrText>מראה מקומות בסוגיות הש</w:instrText>
      </w:r>
      <w:r>
        <w:rPr>
          <w:rFonts w:eastAsiaTheme="minorEastAsia"/>
          <w:lang w:bidi="he-IL"/>
        </w:rPr>
        <w:instrText>\</w:instrText>
      </w:r>
      <w:r w:rsidRPr="00AE2AA3">
        <w:rPr>
          <w:rFonts w:hint="cs"/>
          <w:rtl/>
          <w:lang w:bidi="he-IL"/>
        </w:rPr>
        <w:instrText>"ס אי הוי מדאו'</w:instrText>
      </w:r>
      <w:r>
        <w:instrText xml:space="preserve">" </w:instrText>
      </w:r>
      <w:r>
        <w:rPr>
          <w:rFonts w:cs="Guttman Drogolin"/>
          <w:rtl/>
          <w:lang w:bidi="he-IL"/>
        </w:rPr>
        <w:fldChar w:fldCharType="end"/>
      </w:r>
      <w:r w:rsidR="0058114E" w:rsidRPr="00882F11">
        <w:rPr>
          <w:rFonts w:cs="Guttman Drogolin"/>
          <w:rtl/>
          <w:lang w:bidi="he-IL"/>
        </w:rPr>
        <w:fldChar w:fldCharType="begin"/>
      </w:r>
      <w:r w:rsidR="0058114E" w:rsidRPr="00882F11">
        <w:rPr>
          <w:rFonts w:cs="Guttman Drogolin"/>
        </w:rPr>
        <w:instrText xml:space="preserve"> XE "</w:instrText>
      </w:r>
      <w:r w:rsidR="0058114E" w:rsidRPr="00882F11">
        <w:rPr>
          <w:rFonts w:cs="Guttman Drogolin" w:hint="cs"/>
          <w:rtl/>
          <w:lang w:bidi="he-IL"/>
        </w:rPr>
        <w:instrText>טעם כעיקר</w:instrText>
      </w:r>
      <w:r w:rsidR="0058114E" w:rsidRPr="00882F11">
        <w:rPr>
          <w:rFonts w:cs="Guttman Drogolin"/>
          <w:rtl/>
        </w:rPr>
        <w:instrText>:</w:instrText>
      </w:r>
      <w:r w:rsidR="0058114E" w:rsidRPr="00882F11">
        <w:rPr>
          <w:rFonts w:cs="Guttman Drogolin" w:hint="cs"/>
          <w:rtl/>
          <w:lang w:bidi="he-IL"/>
        </w:rPr>
        <w:instrText>שיטות הראשונים</w:instrText>
      </w:r>
      <w:r w:rsidR="0058114E" w:rsidRPr="00882F11">
        <w:rPr>
          <w:rFonts w:cs="Guttman Drogolin"/>
        </w:rPr>
        <w:instrText xml:space="preserve">" </w:instrText>
      </w:r>
      <w:r w:rsidR="0058114E" w:rsidRPr="00882F11">
        <w:rPr>
          <w:rFonts w:cs="Guttman Drogolin"/>
          <w:rtl/>
          <w:lang w:bidi="he-IL"/>
        </w:rPr>
        <w:fldChar w:fldCharType="end"/>
      </w:r>
      <w:r w:rsidR="00BF430F" w:rsidRPr="00882F11">
        <w:rPr>
          <w:rFonts w:cs="Guttman Drogolin" w:hint="cs"/>
          <w:rtl/>
          <w:lang w:bidi="he-IL"/>
        </w:rPr>
        <w:t xml:space="preserve">כמו שרש"י עצמו כבר הדגיש, משמעות הגמ' במס' פסחים לכאורה דטעם כעיקר דאורייתא. אלא שרש"י הוכיח מעוד כמה מקומות בש"ס שאין הדין כן אלא טעם כעיקר דרבנן. וחד מינייהו כאן בסוגיא כיון שהגמ' אומרת רק לענין חטאת דטעם כעיקר </w:t>
      </w:r>
      <w:r w:rsidR="00716180" w:rsidRPr="00882F11">
        <w:rPr>
          <w:rFonts w:cs="Guttman Drogolin" w:hint="cs"/>
          <w:rtl/>
          <w:lang w:bidi="he-IL"/>
        </w:rPr>
        <w:t>דאורייתא</w:t>
      </w:r>
      <w:r w:rsidR="00BF430F" w:rsidRPr="00882F11">
        <w:rPr>
          <w:rFonts w:cs="Guttman Drogolin" w:hint="cs"/>
          <w:rtl/>
          <w:lang w:bidi="he-IL"/>
        </w:rPr>
        <w:t xml:space="preserve">, ומשמע שבחולין אין טעם כעיקר דאורייתא. ועוד הביא מלשונו של ר' </w:t>
      </w:r>
      <w:r w:rsidR="00BF430F" w:rsidRPr="00882F11">
        <w:rPr>
          <w:rFonts w:cs="Guttman Drogolin" w:hint="cs"/>
          <w:rtl/>
          <w:lang w:bidi="he-IL"/>
        </w:rPr>
        <w:lastRenderedPageBreak/>
        <w:t xml:space="preserve">יוחנן במס' ע"ז דטעמו וממשו אסור ואין לוקין עליו, ולכאורה היינו משום דטעם כעיקר לאו דאורייתא. </w:t>
      </w:r>
      <w:r w:rsidR="0080011D" w:rsidRPr="00882F11">
        <w:rPr>
          <w:rFonts w:cs="Guttman Drogolin" w:hint="cs"/>
          <w:rtl/>
          <w:lang w:bidi="he-IL"/>
        </w:rPr>
        <w:t>והראשונים הביאו עוד מקור לזה והוא הגמ' שבדף ק"ח ע"א שאביי רצה להוכיח מאיסור בב"ח ש</w:t>
      </w:r>
      <w:r w:rsidR="00C5379A" w:rsidRPr="00882F11">
        <w:rPr>
          <w:rFonts w:cs="Guttman Drogolin" w:hint="cs"/>
          <w:rtl/>
          <w:lang w:bidi="he-IL"/>
        </w:rPr>
        <w:t>טעם כעיקר</w:t>
      </w:r>
      <w:r w:rsidR="0080011D" w:rsidRPr="00882F11">
        <w:rPr>
          <w:rFonts w:cs="Guttman Drogolin" w:hint="cs"/>
          <w:rtl/>
          <w:lang w:bidi="he-IL"/>
        </w:rPr>
        <w:t xml:space="preserve"> דאורייתא, ורבא דוחה שאין משם ראי' ומשום שדרך בישול אסרה תורה. </w:t>
      </w:r>
      <w:r w:rsidR="00716180" w:rsidRPr="00882F11">
        <w:rPr>
          <w:rFonts w:cs="Guttman Drogolin" w:hint="cs"/>
          <w:rtl/>
          <w:lang w:bidi="he-IL"/>
        </w:rPr>
        <w:t>ומשמע שמסקנת הגמ' שם ד</w:t>
      </w:r>
      <w:r w:rsidR="00C5379A" w:rsidRPr="00882F11">
        <w:rPr>
          <w:rFonts w:cs="Guttman Drogolin" w:hint="cs"/>
          <w:rtl/>
          <w:lang w:bidi="he-IL"/>
        </w:rPr>
        <w:t>טעם כעיקר</w:t>
      </w:r>
      <w:r w:rsidR="00716180" w:rsidRPr="00882F11">
        <w:rPr>
          <w:rFonts w:cs="Guttman Drogolin" w:hint="cs"/>
          <w:rtl/>
          <w:lang w:bidi="he-IL"/>
        </w:rPr>
        <w:t xml:space="preserve"> לאו דאורייתא. </w:t>
      </w:r>
    </w:p>
    <w:p w:rsidR="00E32C64" w:rsidRPr="00882F11" w:rsidRDefault="00E32C64" w:rsidP="007C7B11">
      <w:pPr>
        <w:bidi/>
        <w:jc w:val="both"/>
        <w:rPr>
          <w:rFonts w:cs="Guttman Drogolin"/>
          <w:rtl/>
          <w:lang w:bidi="he-IL"/>
        </w:rPr>
      </w:pPr>
      <w:r w:rsidRPr="00882F11">
        <w:rPr>
          <w:rFonts w:cs="Guttman Drogolin" w:hint="cs"/>
          <w:rtl/>
          <w:lang w:bidi="he-IL"/>
        </w:rPr>
        <w:t xml:space="preserve">ולשיטת הראשונים החולקים ביארו התוס' שכלפי הגמ' כאן אין כוונת הגמ' שרק בקדשים </w:t>
      </w:r>
      <w:r w:rsidR="00C5379A" w:rsidRPr="00882F11">
        <w:rPr>
          <w:rFonts w:cs="Guttman Drogolin" w:hint="cs"/>
          <w:rtl/>
          <w:lang w:bidi="he-IL"/>
        </w:rPr>
        <w:t>טעם כעיקר</w:t>
      </w:r>
      <w:r w:rsidRPr="00882F11">
        <w:rPr>
          <w:rFonts w:cs="Guttman Drogolin" w:hint="cs"/>
          <w:rtl/>
          <w:lang w:bidi="he-IL"/>
        </w:rPr>
        <w:t xml:space="preserve"> דאורייתא אלא גם בשאר איסורים הדין כן. ולענין הגמ' שבדף ק"ח ע"א ביארו התוס' שאין כוונת רבא לומר ד</w:t>
      </w:r>
      <w:r w:rsidR="00C5379A" w:rsidRPr="00882F11">
        <w:rPr>
          <w:rFonts w:cs="Guttman Drogolin" w:hint="cs"/>
          <w:rtl/>
          <w:lang w:bidi="he-IL"/>
        </w:rPr>
        <w:t>טעם כעיקר</w:t>
      </w:r>
      <w:r w:rsidRPr="00882F11">
        <w:rPr>
          <w:rFonts w:cs="Guttman Drogolin" w:hint="cs"/>
          <w:rtl/>
          <w:lang w:bidi="he-IL"/>
        </w:rPr>
        <w:t xml:space="preserve"> לאו דאורייתא, רק שאי אפשר להוכיח כן מן האיסור של בב"ח. והרמב"ן הדגיש שמ"מ כיון שדנו בזה בגמ' חזינן דדין </w:t>
      </w:r>
      <w:r w:rsidR="00C5379A" w:rsidRPr="00882F11">
        <w:rPr>
          <w:rFonts w:cs="Guttman Drogolin" w:hint="cs"/>
          <w:rtl/>
          <w:lang w:bidi="he-IL"/>
        </w:rPr>
        <w:t>טעם כעיקר</w:t>
      </w:r>
      <w:r w:rsidRPr="00882F11">
        <w:rPr>
          <w:rFonts w:cs="Guttman Drogolin" w:hint="cs"/>
          <w:rtl/>
          <w:lang w:bidi="he-IL"/>
        </w:rPr>
        <w:t xml:space="preserve"> לאו מילתא דפשיטא היא, ויתכן שהתוס' סוברים דלעולם מילתא דפשיטא היא, רק המתני' דן בדין בב"ח, ואגב אורחא הביא הגמ' לדון אם יש ראי' ממנו לדין </w:t>
      </w:r>
      <w:r w:rsidR="00C5379A" w:rsidRPr="00882F11">
        <w:rPr>
          <w:rFonts w:cs="Guttman Drogolin" w:hint="cs"/>
          <w:rtl/>
          <w:lang w:bidi="he-IL"/>
        </w:rPr>
        <w:t>טעם כעיקר</w:t>
      </w:r>
      <w:r w:rsidRPr="00882F11">
        <w:rPr>
          <w:rFonts w:cs="Guttman Drogolin" w:hint="cs"/>
          <w:rtl/>
          <w:lang w:bidi="he-IL"/>
        </w:rPr>
        <w:t xml:space="preserve"> ולא לדון בעצן הדין של </w:t>
      </w:r>
      <w:r w:rsidR="00C5379A" w:rsidRPr="00882F11">
        <w:rPr>
          <w:rFonts w:cs="Guttman Drogolin" w:hint="cs"/>
          <w:rtl/>
          <w:lang w:bidi="he-IL"/>
        </w:rPr>
        <w:t>טעם כעיקר</w:t>
      </w:r>
      <w:r w:rsidRPr="00882F11">
        <w:rPr>
          <w:rFonts w:cs="Guttman Drogolin" w:hint="cs"/>
          <w:rtl/>
          <w:lang w:bidi="he-IL"/>
        </w:rPr>
        <w:t xml:space="preserve"> אי דאורייתא היא או לא. </w:t>
      </w:r>
    </w:p>
    <w:p w:rsidR="005C64FE" w:rsidRPr="00882F11" w:rsidRDefault="00E32C64" w:rsidP="00E32C64">
      <w:pPr>
        <w:bidi/>
        <w:jc w:val="both"/>
        <w:rPr>
          <w:rFonts w:cs="Guttman Drogolin"/>
          <w:rtl/>
          <w:lang w:bidi="he-IL"/>
        </w:rPr>
      </w:pPr>
      <w:r w:rsidRPr="00882F11">
        <w:rPr>
          <w:rFonts w:cs="Guttman Drogolin" w:hint="cs"/>
          <w:rtl/>
          <w:lang w:bidi="he-IL"/>
        </w:rPr>
        <w:t xml:space="preserve">ולענין המימרא של ר' יוחנן </w:t>
      </w:r>
      <w:r w:rsidR="005C64FE" w:rsidRPr="00882F11">
        <w:rPr>
          <w:rFonts w:cs="Guttman Drogolin" w:hint="cs"/>
          <w:rtl/>
          <w:lang w:bidi="he-IL"/>
        </w:rPr>
        <w:t>הביאו התוס' כמה תירוצים:</w:t>
      </w:r>
    </w:p>
    <w:p w:rsidR="005C64FE" w:rsidRPr="00882F11" w:rsidRDefault="005C64FE" w:rsidP="007C7B11">
      <w:pPr>
        <w:pStyle w:val="ListParagraph"/>
        <w:numPr>
          <w:ilvl w:val="0"/>
          <w:numId w:val="2"/>
        </w:numPr>
        <w:bidi/>
        <w:ind w:left="13" w:firstLine="0"/>
        <w:jc w:val="both"/>
        <w:rPr>
          <w:rFonts w:cs="Guttman Drogolin"/>
          <w:lang w:bidi="he-IL"/>
        </w:rPr>
      </w:pPr>
      <w:r w:rsidRPr="00882F11">
        <w:rPr>
          <w:rFonts w:cs="Guttman Drogolin" w:hint="cs"/>
          <w:rtl/>
          <w:lang w:bidi="he-IL"/>
        </w:rPr>
        <w:t>שהכוונה בטעמו ולא ממשו הוא למין במינו. וביארו דאע"ג שבמין בבמינו גם טעמו וממשו אין לוקין עליו, כוונת הגמ' בטעמו וממשו היינו כשהאיסור הוא בעין, ואה"נ כשהוא מעורב גם טעמו</w:t>
      </w:r>
      <w:r w:rsidR="007C7B11">
        <w:rPr>
          <w:rFonts w:cs="Guttman Drogolin" w:hint="cs"/>
          <w:rtl/>
          <w:lang w:bidi="he-IL"/>
        </w:rPr>
        <w:t xml:space="preserve"> וממשו אין לוקין עליו, ולא אמרו </w:t>
      </w:r>
      <w:r w:rsidRPr="00882F11">
        <w:rPr>
          <w:rFonts w:cs="Guttman Drogolin" w:hint="cs"/>
          <w:rtl/>
          <w:lang w:bidi="he-IL"/>
        </w:rPr>
        <w:t xml:space="preserve">טעמו ולא ממשו </w:t>
      </w:r>
      <w:r w:rsidR="007C7B11">
        <w:rPr>
          <w:rFonts w:cs="Guttman Drogolin" w:hint="cs"/>
          <w:rtl/>
          <w:lang w:bidi="he-IL"/>
        </w:rPr>
        <w:t xml:space="preserve">לאפוקי טעמו וממשו, רק </w:t>
      </w:r>
      <w:r w:rsidR="00595A3D" w:rsidRPr="00882F11">
        <w:rPr>
          <w:rFonts w:cs="Guttman Drogolin" w:hint="cs"/>
          <w:rtl/>
          <w:lang w:bidi="he-IL"/>
        </w:rPr>
        <w:t xml:space="preserve">מילתא דפסיקא נקט שבכל טעמו ולא ממשו אינו לוקה עליו משא"כ בטעמו וממשו תלוי אם הוא בעין או לא. א"נ </w:t>
      </w:r>
      <w:r w:rsidRPr="00882F11">
        <w:rPr>
          <w:rFonts w:cs="Guttman Drogolin" w:hint="cs"/>
          <w:rtl/>
          <w:lang w:bidi="he-IL"/>
        </w:rPr>
        <w:t xml:space="preserve">לרובתא </w:t>
      </w:r>
      <w:r w:rsidR="00595A3D" w:rsidRPr="00882F11">
        <w:rPr>
          <w:rFonts w:cs="Guttman Drogolin" w:hint="cs"/>
          <w:rtl/>
          <w:lang w:bidi="he-IL"/>
        </w:rPr>
        <w:t xml:space="preserve">נקט, לומר </w:t>
      </w:r>
      <w:r w:rsidRPr="00882F11">
        <w:rPr>
          <w:rFonts w:cs="Guttman Drogolin" w:hint="cs"/>
          <w:rtl/>
          <w:lang w:bidi="he-IL"/>
        </w:rPr>
        <w:t xml:space="preserve">דאע"ג שהוא בלע ממשו מ"מ הרי הוא אסור. ולפי תי' זה אינו מובן כל הצורך מהו החידוש של טעמו וממשו, דלכאורה דבר </w:t>
      </w:r>
      <w:r w:rsidR="007C7B11">
        <w:rPr>
          <w:rFonts w:cs="Guttman Drogolin" w:hint="cs"/>
          <w:rtl/>
          <w:lang w:bidi="he-IL"/>
        </w:rPr>
        <w:t>פ</w:t>
      </w:r>
      <w:r w:rsidRPr="00882F11">
        <w:rPr>
          <w:rFonts w:cs="Guttman Drogolin" w:hint="cs"/>
          <w:rtl/>
          <w:lang w:bidi="he-IL"/>
        </w:rPr>
        <w:t>שוט הוא שאם האיסור הוא בעין שלוקין עליו. ואולי מיירי בדבר שהוא מעורב רק שמכירין אותו כגון ע"י חזותא וקמ"ל דאע"</w:t>
      </w:r>
      <w:r w:rsidR="007C7B11">
        <w:rPr>
          <w:rFonts w:cs="Guttman Drogolin" w:hint="cs"/>
          <w:rtl/>
          <w:lang w:bidi="he-IL"/>
        </w:rPr>
        <w:t xml:space="preserve">פ כן </w:t>
      </w:r>
      <w:r w:rsidR="007C7B11">
        <w:rPr>
          <w:rFonts w:cs="Guttman Drogolin" w:hint="cs"/>
          <w:rtl/>
          <w:lang w:bidi="he-IL"/>
        </w:rPr>
        <w:lastRenderedPageBreak/>
        <w:t>לוקין עליו</w:t>
      </w:r>
      <w:r w:rsidRPr="00882F11">
        <w:rPr>
          <w:rFonts w:cs="Guttman Drogolin" w:hint="cs"/>
          <w:rtl/>
          <w:lang w:bidi="he-IL"/>
        </w:rPr>
        <w:t xml:space="preserve"> וכמו שראינו במס' פסחים</w:t>
      </w:r>
      <w:r w:rsidR="007C7B11">
        <w:rPr>
          <w:rFonts w:cs="Guttman Drogolin" w:hint="cs"/>
          <w:rtl/>
          <w:lang w:bidi="he-IL"/>
        </w:rPr>
        <w:t xml:space="preserve"> בלידוש דכבא"פ דאורייתא</w:t>
      </w:r>
      <w:r w:rsidR="007C7B11">
        <w:rPr>
          <w:rStyle w:val="FootnoteReference"/>
          <w:rFonts w:cs="Guttman Drogolin"/>
          <w:rtl/>
          <w:lang w:bidi="he-IL"/>
        </w:rPr>
        <w:footnoteReference w:id="51"/>
      </w:r>
      <w:r w:rsidRPr="00882F11">
        <w:rPr>
          <w:rFonts w:cs="Guttman Drogolin" w:hint="cs"/>
          <w:rtl/>
          <w:lang w:bidi="he-IL"/>
        </w:rPr>
        <w:t>, אבל לשון התוס' משמא שהוא בעין בפני עצמו ולא רק ניכר בתערובת. וצ"ע.</w:t>
      </w:r>
    </w:p>
    <w:p w:rsidR="001E1327" w:rsidRPr="00882F11" w:rsidRDefault="005C64FE" w:rsidP="007C7B11">
      <w:pPr>
        <w:pStyle w:val="ListParagraph"/>
        <w:numPr>
          <w:ilvl w:val="0"/>
          <w:numId w:val="2"/>
        </w:numPr>
        <w:bidi/>
        <w:ind w:left="13" w:firstLine="0"/>
        <w:jc w:val="both"/>
        <w:rPr>
          <w:rFonts w:cs="Guttman Drogolin"/>
          <w:lang w:bidi="he-IL"/>
        </w:rPr>
      </w:pPr>
      <w:r w:rsidRPr="00882F11">
        <w:rPr>
          <w:rFonts w:cs="Guttman Drogolin" w:hint="cs"/>
          <w:rtl/>
          <w:lang w:bidi="he-IL"/>
        </w:rPr>
        <w:t>שטעמו ולא ממשו היינו בדליכא כזית בכא"פ, וטעמו וממשו היינו בדאיכא כזית בכא"פ. ונחלקו המפרשים בכוונת התוס', י"א שבטעמו וממשו הרי הוא עובר רק כשאוכל שיעור פרס כיון שבתוך הפרס יהי' שיעור כזית של איסור. והיינו שהתוס' סוברים שמדינא ד</w:t>
      </w:r>
      <w:r w:rsidR="00C5379A" w:rsidRPr="00882F11">
        <w:rPr>
          <w:rFonts w:cs="Guttman Drogolin" w:hint="cs"/>
          <w:rtl/>
          <w:lang w:bidi="he-IL"/>
        </w:rPr>
        <w:t>טעם כעיקר</w:t>
      </w:r>
      <w:r w:rsidRPr="00882F11">
        <w:rPr>
          <w:rFonts w:cs="Guttman Drogolin" w:hint="cs"/>
          <w:rtl/>
          <w:lang w:bidi="he-IL"/>
        </w:rPr>
        <w:t xml:space="preserve"> </w:t>
      </w:r>
      <w:r w:rsidR="001B045E" w:rsidRPr="00882F11">
        <w:rPr>
          <w:rFonts w:cs="Guttman Drogolin" w:hint="cs"/>
          <w:rtl/>
          <w:lang w:bidi="he-IL"/>
        </w:rPr>
        <w:t xml:space="preserve">לא אמרינן שנהפך ההיתר להיות איסור, רק שהטעם אסור ואינו בטל, ולכן בדליכא שיעור של כזית בכא"פ אינו לוקה כיון שאינו אוכל כשיעור, אבל בדאיכא כזית בכא"פ </w:t>
      </w:r>
      <w:r w:rsidR="001E1327" w:rsidRPr="00882F11">
        <w:rPr>
          <w:rFonts w:cs="Guttman Drogolin" w:hint="cs"/>
          <w:rtl/>
          <w:lang w:bidi="he-IL"/>
        </w:rPr>
        <w:t>יכול לקבל מלכות כ</w:t>
      </w:r>
      <w:r w:rsidR="007C7B11">
        <w:rPr>
          <w:rFonts w:cs="Guttman Drogolin" w:hint="cs"/>
          <w:rtl/>
          <w:lang w:bidi="he-IL"/>
        </w:rPr>
        <w:t>ש</w:t>
      </w:r>
      <w:r w:rsidR="001E1327" w:rsidRPr="00882F11">
        <w:rPr>
          <w:rFonts w:cs="Guttman Drogolin" w:hint="cs"/>
          <w:rtl/>
          <w:lang w:bidi="he-IL"/>
        </w:rPr>
        <w:t xml:space="preserve">אוכל פרס </w:t>
      </w:r>
      <w:r w:rsidR="007C7B11">
        <w:rPr>
          <w:rFonts w:cs="Guttman Drogolin" w:hint="cs"/>
          <w:rtl/>
          <w:lang w:bidi="he-IL"/>
        </w:rPr>
        <w:t>כיון שע"י כן</w:t>
      </w:r>
      <w:r w:rsidR="001E1327" w:rsidRPr="00882F11">
        <w:rPr>
          <w:rFonts w:cs="Guttman Drogolin" w:hint="cs"/>
          <w:rtl/>
          <w:lang w:bidi="he-IL"/>
        </w:rPr>
        <w:t xml:space="preserve"> אוכל כזית של איסור. ויש מפרשים שכוונתם כשיטת ר' חיים כהן המובאה ברא"ש, דלעולם אמרינן שנהפך ההיתר להיות איסור, רק דלא אמרינן כן אא"כ נפל בה כזית בכא"פ. וע' ליעל שיעור ה' שביארנו שיטה זו.</w:t>
      </w:r>
    </w:p>
    <w:p w:rsidR="00637891" w:rsidRPr="00882F11" w:rsidRDefault="001E1327" w:rsidP="006E3B7D">
      <w:pPr>
        <w:pStyle w:val="ListParagraph"/>
        <w:numPr>
          <w:ilvl w:val="0"/>
          <w:numId w:val="2"/>
        </w:numPr>
        <w:bidi/>
        <w:ind w:left="13" w:firstLine="0"/>
        <w:jc w:val="both"/>
        <w:rPr>
          <w:rFonts w:cs="Guttman Drogolin"/>
          <w:lang w:bidi="he-IL"/>
        </w:rPr>
      </w:pPr>
      <w:r w:rsidRPr="00882F11">
        <w:rPr>
          <w:rFonts w:cs="Guttman Drogolin" w:hint="cs"/>
          <w:rtl/>
          <w:lang w:bidi="he-IL"/>
        </w:rPr>
        <w:t>שיטת הר"י מאורליינ"ש שלעולם טעמו וממשו וטעמו ולא ממשו הוא כדפירש"י, דחד הוי טעם בלבד ומשום ד</w:t>
      </w:r>
      <w:r w:rsidR="00C5379A" w:rsidRPr="00882F11">
        <w:rPr>
          <w:rFonts w:cs="Guttman Drogolin" w:hint="cs"/>
          <w:rtl/>
          <w:lang w:bidi="he-IL"/>
        </w:rPr>
        <w:t>טעם כעיקר</w:t>
      </w:r>
      <w:r w:rsidRPr="00882F11">
        <w:rPr>
          <w:rFonts w:cs="Guttman Drogolin" w:hint="cs"/>
          <w:rtl/>
          <w:lang w:bidi="he-IL"/>
        </w:rPr>
        <w:t>, והשני טעם עם ממש ולכן כיון שאינו בטל עובר על עצם האיסור המעורב. ומ"מ אע"ג ד</w:t>
      </w:r>
      <w:r w:rsidR="00C5379A" w:rsidRPr="00882F11">
        <w:rPr>
          <w:rFonts w:cs="Guttman Drogolin" w:hint="cs"/>
          <w:rtl/>
          <w:lang w:bidi="he-IL"/>
        </w:rPr>
        <w:t>טעם כעיקר</w:t>
      </w:r>
      <w:r w:rsidRPr="00882F11">
        <w:rPr>
          <w:rFonts w:cs="Guttman Drogolin" w:hint="cs"/>
          <w:rtl/>
          <w:lang w:bidi="he-IL"/>
        </w:rPr>
        <w:t xml:space="preserve"> דאורייתא אין לוקה עליו כיון שלומדים </w:t>
      </w:r>
      <w:r w:rsidR="00C5379A" w:rsidRPr="00882F11">
        <w:rPr>
          <w:rFonts w:cs="Guttman Drogolin" w:hint="cs"/>
          <w:rtl/>
          <w:lang w:bidi="he-IL"/>
        </w:rPr>
        <w:t>טעם כעיקר</w:t>
      </w:r>
      <w:r w:rsidRPr="00882F11">
        <w:rPr>
          <w:rFonts w:cs="Guttman Drogolin" w:hint="cs"/>
          <w:rtl/>
          <w:lang w:bidi="he-IL"/>
        </w:rPr>
        <w:t xml:space="preserve"> מגיעולי נכרים שאינו אלא עשה. והתוס' </w:t>
      </w:r>
      <w:r w:rsidR="00595A3D" w:rsidRPr="00882F11">
        <w:rPr>
          <w:rFonts w:cs="Guttman Drogolin" w:hint="cs"/>
          <w:rtl/>
          <w:lang w:bidi="he-IL"/>
        </w:rPr>
        <w:t>הביאו מר"ת שחלק עליו ומשום</w:t>
      </w:r>
      <w:r w:rsidRPr="00882F11">
        <w:rPr>
          <w:rFonts w:cs="Guttman Drogolin" w:hint="cs"/>
          <w:rtl/>
          <w:lang w:bidi="he-IL"/>
        </w:rPr>
        <w:t xml:space="preserve"> שלכאורה היינו צריכים לומר דאהדרי' קרא, ור"ל דכיון שהתורה אסרה כל האיסורים, החידוש של </w:t>
      </w:r>
      <w:r w:rsidR="00C5379A" w:rsidRPr="00882F11">
        <w:rPr>
          <w:rFonts w:cs="Guttman Drogolin" w:hint="cs"/>
          <w:rtl/>
          <w:lang w:bidi="he-IL"/>
        </w:rPr>
        <w:t>טעם כעיקר</w:t>
      </w:r>
      <w:r w:rsidRPr="00882F11">
        <w:rPr>
          <w:rFonts w:cs="Guttman Drogolin" w:hint="cs"/>
          <w:rtl/>
          <w:lang w:bidi="he-IL"/>
        </w:rPr>
        <w:t xml:space="preserve"> אומר שגם הוא בכלל הפסוק האוסר ולכן שפיר לקי עלי'. וע' בגליון הש"ס במס' זבחים דף ע"ח ע"א דרע"א הביא מ</w:t>
      </w:r>
      <w:r w:rsidR="00B92D44" w:rsidRPr="00882F11">
        <w:rPr>
          <w:rFonts w:cs="Guttman Drogolin" w:hint="cs"/>
          <w:rtl/>
          <w:lang w:bidi="he-IL"/>
        </w:rPr>
        <w:t>ש</w:t>
      </w:r>
      <w:r w:rsidRPr="00882F11">
        <w:rPr>
          <w:rFonts w:cs="Guttman Drogolin" w:hint="cs"/>
          <w:rtl/>
          <w:lang w:bidi="he-IL"/>
        </w:rPr>
        <w:t>ם ראי' דלא כר"י מאורליינ"ש.</w:t>
      </w:r>
      <w:r w:rsidR="00B92D44" w:rsidRPr="00882F11">
        <w:rPr>
          <w:rFonts w:cs="Guttman Drogolin" w:hint="cs"/>
          <w:rtl/>
          <w:lang w:bidi="he-IL"/>
        </w:rPr>
        <w:t xml:space="preserve"> וע' מזה עוד בשיעור הבא.</w:t>
      </w:r>
    </w:p>
    <w:p w:rsidR="00F56691" w:rsidRPr="00882F11" w:rsidRDefault="00637891" w:rsidP="007C7B11">
      <w:pPr>
        <w:bidi/>
        <w:jc w:val="both"/>
        <w:rPr>
          <w:rFonts w:cs="Guttman Drogolin"/>
          <w:rtl/>
          <w:lang w:bidi="he-IL"/>
        </w:rPr>
      </w:pPr>
      <w:r w:rsidRPr="00882F11">
        <w:rPr>
          <w:rFonts w:cs="Guttman Drogolin" w:hint="cs"/>
          <w:rtl/>
          <w:lang w:bidi="he-IL"/>
        </w:rPr>
        <w:t>ומאידך, חוץ מן הגמ' שבמס' פסחים יש ראיות מסוגיות הש"ס דקיי"ל ד</w:t>
      </w:r>
      <w:r w:rsidR="00C5379A" w:rsidRPr="00882F11">
        <w:rPr>
          <w:rFonts w:cs="Guttman Drogolin" w:hint="cs"/>
          <w:rtl/>
          <w:lang w:bidi="he-IL"/>
        </w:rPr>
        <w:t>טעם כעיקר</w:t>
      </w:r>
      <w:r w:rsidRPr="00882F11">
        <w:rPr>
          <w:rFonts w:cs="Guttman Drogolin" w:hint="cs"/>
          <w:rtl/>
          <w:lang w:bidi="he-IL"/>
        </w:rPr>
        <w:t xml:space="preserve"> דאורייתא. </w:t>
      </w:r>
      <w:r w:rsidR="007C7B11">
        <w:rPr>
          <w:rFonts w:cs="Guttman Drogolin" w:hint="cs"/>
          <w:rtl/>
          <w:lang w:bidi="he-IL"/>
        </w:rPr>
        <w:t>וא' מה משהביאו הראשונים</w:t>
      </w:r>
      <w:r w:rsidRPr="00882F11">
        <w:rPr>
          <w:rFonts w:cs="Guttman Drogolin" w:hint="cs"/>
          <w:rtl/>
          <w:lang w:bidi="he-IL"/>
        </w:rPr>
        <w:t xml:space="preserve"> מן הגמ' שבמס' זבחים דף ע"ח ע"א</w:t>
      </w:r>
      <w:r w:rsidR="007C7B11">
        <w:rPr>
          <w:rFonts w:cs="Guttman Drogolin" w:hint="cs"/>
          <w:rtl/>
          <w:lang w:bidi="he-IL"/>
        </w:rPr>
        <w:t xml:space="preserve">. וקודם נבאר הסוגיא דהתם. דהנה מעיקרא הביאו המימרא של ר"ל </w:t>
      </w:r>
      <w:r w:rsidRPr="00882F11">
        <w:rPr>
          <w:rFonts w:cs="Guttman Drogolin" w:hint="cs"/>
          <w:rtl/>
          <w:lang w:bidi="he-IL"/>
        </w:rPr>
        <w:t xml:space="preserve"> "הפיגול</w:t>
      </w:r>
      <w:r w:rsidRPr="00882F11">
        <w:rPr>
          <w:rFonts w:cs="Guttman Drogolin"/>
          <w:rtl/>
          <w:lang w:bidi="he-IL"/>
        </w:rPr>
        <w:t xml:space="preserve"> </w:t>
      </w:r>
      <w:r w:rsidRPr="00882F11">
        <w:rPr>
          <w:rFonts w:cs="Guttman Drogolin" w:hint="cs"/>
          <w:rtl/>
          <w:lang w:bidi="he-IL"/>
        </w:rPr>
        <w:t>והנותר</w:t>
      </w:r>
      <w:r w:rsidRPr="00882F11">
        <w:rPr>
          <w:rFonts w:cs="Guttman Drogolin"/>
          <w:rtl/>
          <w:lang w:bidi="he-IL"/>
        </w:rPr>
        <w:t xml:space="preserve"> </w:t>
      </w:r>
      <w:r w:rsidRPr="00882F11">
        <w:rPr>
          <w:rFonts w:cs="Guttman Drogolin" w:hint="cs"/>
          <w:rtl/>
          <w:lang w:bidi="he-IL"/>
        </w:rPr>
        <w:t>והטמא</w:t>
      </w:r>
      <w:r w:rsidRPr="00882F11">
        <w:rPr>
          <w:rFonts w:cs="Guttman Drogolin"/>
          <w:rtl/>
          <w:lang w:bidi="he-IL"/>
        </w:rPr>
        <w:t xml:space="preserve"> </w:t>
      </w:r>
      <w:r w:rsidRPr="00882F11">
        <w:rPr>
          <w:rFonts w:cs="Guttman Drogolin" w:hint="cs"/>
          <w:rtl/>
          <w:lang w:bidi="he-IL"/>
        </w:rPr>
        <w:t>שבללן</w:t>
      </w:r>
      <w:r w:rsidRPr="00882F11">
        <w:rPr>
          <w:rFonts w:cs="Guttman Drogolin"/>
          <w:rtl/>
          <w:lang w:bidi="he-IL"/>
        </w:rPr>
        <w:t xml:space="preserve"> </w:t>
      </w:r>
      <w:r w:rsidRPr="00882F11">
        <w:rPr>
          <w:rFonts w:cs="Guttman Drogolin" w:hint="cs"/>
          <w:rtl/>
          <w:lang w:bidi="he-IL"/>
        </w:rPr>
        <w:t>זה</w:t>
      </w:r>
      <w:r w:rsidRPr="00882F11">
        <w:rPr>
          <w:rFonts w:cs="Guttman Drogolin"/>
          <w:rtl/>
          <w:lang w:bidi="he-IL"/>
        </w:rPr>
        <w:t xml:space="preserve"> </w:t>
      </w:r>
      <w:r w:rsidRPr="00882F11">
        <w:rPr>
          <w:rFonts w:cs="Guttman Drogolin" w:hint="cs"/>
          <w:rtl/>
          <w:lang w:bidi="he-IL"/>
        </w:rPr>
        <w:t>בזה</w:t>
      </w:r>
      <w:r w:rsidRPr="00882F11">
        <w:rPr>
          <w:rFonts w:cs="Guttman Drogolin"/>
          <w:rtl/>
          <w:lang w:bidi="he-IL"/>
        </w:rPr>
        <w:t xml:space="preserve"> </w:t>
      </w:r>
      <w:r w:rsidRPr="00882F11">
        <w:rPr>
          <w:rFonts w:cs="Guttman Drogolin" w:hint="cs"/>
          <w:rtl/>
          <w:lang w:bidi="he-IL"/>
        </w:rPr>
        <w:t>ואכלן</w:t>
      </w:r>
      <w:r w:rsidRPr="00882F11">
        <w:rPr>
          <w:rFonts w:cs="Guttman Drogolin"/>
          <w:rtl/>
          <w:lang w:bidi="he-IL"/>
        </w:rPr>
        <w:t xml:space="preserve"> </w:t>
      </w:r>
      <w:r w:rsidRPr="00882F11">
        <w:rPr>
          <w:rFonts w:cs="Guttman Drogolin" w:hint="cs"/>
          <w:rtl/>
          <w:lang w:bidi="he-IL"/>
        </w:rPr>
        <w:t>פטור</w:t>
      </w:r>
      <w:r w:rsidRPr="00882F11">
        <w:rPr>
          <w:rFonts w:cs="Guttman Drogolin"/>
          <w:rtl/>
          <w:lang w:bidi="he-IL"/>
        </w:rPr>
        <w:t xml:space="preserve"> </w:t>
      </w:r>
      <w:r w:rsidRPr="00882F11">
        <w:rPr>
          <w:rFonts w:cs="Guttman Drogolin" w:hint="cs"/>
          <w:rtl/>
          <w:lang w:bidi="he-IL"/>
        </w:rPr>
        <w:t>א</w:t>
      </w:r>
      <w:r w:rsidR="004F6F70" w:rsidRPr="00882F11">
        <w:rPr>
          <w:rFonts w:cs="Guttman Drogolin" w:hint="cs"/>
          <w:rtl/>
          <w:lang w:bidi="he-IL"/>
        </w:rPr>
        <w:t>"</w:t>
      </w:r>
      <w:r w:rsidRPr="00882F11">
        <w:rPr>
          <w:rFonts w:cs="Guttman Drogolin" w:hint="cs"/>
          <w:rtl/>
          <w:lang w:bidi="he-IL"/>
        </w:rPr>
        <w:t>א</w:t>
      </w:r>
      <w:r w:rsidRPr="00882F11">
        <w:rPr>
          <w:rFonts w:cs="Guttman Drogolin"/>
          <w:rtl/>
          <w:lang w:bidi="he-IL"/>
        </w:rPr>
        <w:t xml:space="preserve"> </w:t>
      </w:r>
      <w:r w:rsidRPr="00882F11">
        <w:rPr>
          <w:rFonts w:cs="Guttman Drogolin" w:hint="cs"/>
          <w:rtl/>
          <w:lang w:bidi="he-IL"/>
        </w:rPr>
        <w:t>שלא</w:t>
      </w:r>
      <w:r w:rsidRPr="00882F11">
        <w:rPr>
          <w:rFonts w:cs="Guttman Drogolin"/>
          <w:rtl/>
          <w:lang w:bidi="he-IL"/>
        </w:rPr>
        <w:t xml:space="preserve"> </w:t>
      </w:r>
      <w:r w:rsidRPr="00882F11">
        <w:rPr>
          <w:rFonts w:cs="Guttman Drogolin" w:hint="cs"/>
          <w:rtl/>
          <w:lang w:bidi="he-IL"/>
        </w:rPr>
        <w:lastRenderedPageBreak/>
        <w:t>ירבה</w:t>
      </w:r>
      <w:r w:rsidRPr="00882F11">
        <w:rPr>
          <w:rFonts w:cs="Guttman Drogolin"/>
          <w:rtl/>
          <w:lang w:bidi="he-IL"/>
        </w:rPr>
        <w:t xml:space="preserve"> </w:t>
      </w:r>
      <w:r w:rsidRPr="00882F11">
        <w:rPr>
          <w:rFonts w:cs="Guttman Drogolin" w:hint="cs"/>
          <w:rtl/>
          <w:lang w:bidi="he-IL"/>
        </w:rPr>
        <w:t>מין</w:t>
      </w:r>
      <w:r w:rsidRPr="00882F11">
        <w:rPr>
          <w:rFonts w:cs="Guttman Drogolin"/>
          <w:rtl/>
          <w:lang w:bidi="he-IL"/>
        </w:rPr>
        <w:t xml:space="preserve"> </w:t>
      </w:r>
      <w:r w:rsidRPr="00882F11">
        <w:rPr>
          <w:rFonts w:cs="Guttman Drogolin" w:hint="cs"/>
          <w:rtl/>
          <w:lang w:bidi="he-IL"/>
        </w:rPr>
        <w:t>על</w:t>
      </w:r>
      <w:r w:rsidRPr="00882F11">
        <w:rPr>
          <w:rFonts w:cs="Guttman Drogolin"/>
          <w:rtl/>
          <w:lang w:bidi="he-IL"/>
        </w:rPr>
        <w:t xml:space="preserve"> </w:t>
      </w:r>
      <w:r w:rsidRPr="00882F11">
        <w:rPr>
          <w:rFonts w:cs="Guttman Drogolin" w:hint="cs"/>
          <w:rtl/>
          <w:lang w:bidi="he-IL"/>
        </w:rPr>
        <w:t>חבירו</w:t>
      </w:r>
      <w:r w:rsidRPr="00882F11">
        <w:rPr>
          <w:rFonts w:cs="Guttman Drogolin"/>
          <w:rtl/>
          <w:lang w:bidi="he-IL"/>
        </w:rPr>
        <w:t xml:space="preserve"> </w:t>
      </w:r>
      <w:r w:rsidRPr="00882F11">
        <w:rPr>
          <w:rFonts w:cs="Guttman Drogolin" w:hint="cs"/>
          <w:rtl/>
          <w:lang w:bidi="he-IL"/>
        </w:rPr>
        <w:t>ויבטלנו</w:t>
      </w:r>
      <w:r w:rsidR="007C7B11">
        <w:rPr>
          <w:rFonts w:cs="Guttman Drogolin" w:hint="cs"/>
          <w:rtl/>
          <w:lang w:bidi="he-IL"/>
        </w:rPr>
        <w:t xml:space="preserve">" ואמרו על זה </w:t>
      </w:r>
      <w:r w:rsidRPr="00882F11">
        <w:rPr>
          <w:rFonts w:cs="Guttman Drogolin"/>
          <w:rtl/>
          <w:lang w:bidi="he-IL"/>
        </w:rPr>
        <w:t xml:space="preserve"> </w:t>
      </w:r>
      <w:r w:rsidR="007C7B11">
        <w:rPr>
          <w:rFonts w:cs="Guttman Drogolin" w:hint="cs"/>
          <w:rtl/>
          <w:lang w:bidi="he-IL"/>
        </w:rPr>
        <w:t>"</w:t>
      </w:r>
      <w:r w:rsidRPr="00882F11">
        <w:rPr>
          <w:rFonts w:cs="Guttman Drogolin" w:hint="cs"/>
          <w:rtl/>
          <w:lang w:bidi="he-IL"/>
        </w:rPr>
        <w:t>שמע</w:t>
      </w:r>
      <w:r w:rsidRPr="00882F11">
        <w:rPr>
          <w:rFonts w:cs="Guttman Drogolin"/>
          <w:rtl/>
          <w:lang w:bidi="he-IL"/>
        </w:rPr>
        <w:t xml:space="preserve"> </w:t>
      </w:r>
      <w:r w:rsidRPr="00882F11">
        <w:rPr>
          <w:rFonts w:cs="Guttman Drogolin" w:hint="cs"/>
          <w:rtl/>
          <w:lang w:bidi="he-IL"/>
        </w:rPr>
        <w:t>מינה</w:t>
      </w:r>
      <w:r w:rsidRPr="00882F11">
        <w:rPr>
          <w:rFonts w:cs="Guttman Drogolin"/>
          <w:rtl/>
          <w:lang w:bidi="he-IL"/>
        </w:rPr>
        <w:t xml:space="preserve"> </w:t>
      </w:r>
      <w:r w:rsidRPr="00882F11">
        <w:rPr>
          <w:rFonts w:cs="Guttman Drogolin" w:hint="cs"/>
          <w:rtl/>
          <w:lang w:bidi="he-IL"/>
        </w:rPr>
        <w:t>תלת</w:t>
      </w:r>
      <w:r w:rsidRPr="00882F11">
        <w:rPr>
          <w:rFonts w:cs="Guttman Drogolin"/>
          <w:rtl/>
          <w:lang w:bidi="he-IL"/>
        </w:rPr>
        <w:t xml:space="preserve"> </w:t>
      </w:r>
      <w:r w:rsidRPr="00882F11">
        <w:rPr>
          <w:rFonts w:cs="Guttman Drogolin" w:hint="cs"/>
          <w:rtl/>
          <w:lang w:bidi="he-IL"/>
        </w:rPr>
        <w:t>ש</w:t>
      </w:r>
      <w:r w:rsidR="00935448" w:rsidRPr="00882F11">
        <w:rPr>
          <w:rFonts w:cs="Guttman Drogolin" w:hint="cs"/>
          <w:rtl/>
          <w:lang w:bidi="he-IL"/>
        </w:rPr>
        <w:t>"</w:t>
      </w:r>
      <w:r w:rsidRPr="00882F11">
        <w:rPr>
          <w:rFonts w:cs="Guttman Drogolin" w:hint="cs"/>
          <w:rtl/>
          <w:lang w:bidi="he-IL"/>
        </w:rPr>
        <w:t>מ</w:t>
      </w:r>
      <w:r w:rsidRPr="00882F11">
        <w:rPr>
          <w:rFonts w:cs="Guttman Drogolin"/>
          <w:rtl/>
          <w:lang w:bidi="he-IL"/>
        </w:rPr>
        <w:t xml:space="preserve"> </w:t>
      </w:r>
      <w:r w:rsidRPr="00882F11">
        <w:rPr>
          <w:rFonts w:cs="Guttman Drogolin" w:hint="cs"/>
          <w:rtl/>
          <w:lang w:bidi="he-IL"/>
        </w:rPr>
        <w:t>וכו' וש</w:t>
      </w:r>
      <w:r w:rsidR="00935448" w:rsidRPr="00882F11">
        <w:rPr>
          <w:rFonts w:cs="Guttman Drogolin" w:hint="cs"/>
          <w:rtl/>
          <w:lang w:bidi="he-IL"/>
        </w:rPr>
        <w:t>"</w:t>
      </w:r>
      <w:r w:rsidRPr="00882F11">
        <w:rPr>
          <w:rFonts w:cs="Guttman Drogolin" w:hint="cs"/>
          <w:rtl/>
          <w:lang w:bidi="he-IL"/>
        </w:rPr>
        <w:t>מ</w:t>
      </w:r>
      <w:r w:rsidRPr="00882F11">
        <w:rPr>
          <w:rFonts w:cs="Guttman Drogolin"/>
          <w:rtl/>
          <w:lang w:bidi="he-IL"/>
        </w:rPr>
        <w:t xml:space="preserve"> </w:t>
      </w:r>
      <w:r w:rsidRPr="00882F11">
        <w:rPr>
          <w:rFonts w:cs="Guttman Drogolin" w:hint="cs"/>
          <w:rtl/>
          <w:lang w:bidi="he-IL"/>
        </w:rPr>
        <w:t>נותן</w:t>
      </w:r>
      <w:r w:rsidRPr="00882F11">
        <w:rPr>
          <w:rFonts w:cs="Guttman Drogolin"/>
          <w:rtl/>
          <w:lang w:bidi="he-IL"/>
        </w:rPr>
        <w:t xml:space="preserve"> </w:t>
      </w:r>
      <w:r w:rsidRPr="00882F11">
        <w:rPr>
          <w:rFonts w:cs="Guttman Drogolin" w:hint="cs"/>
          <w:rtl/>
          <w:lang w:bidi="he-IL"/>
        </w:rPr>
        <w:t>טעם</w:t>
      </w:r>
      <w:r w:rsidRPr="00882F11">
        <w:rPr>
          <w:rFonts w:cs="Guttman Drogolin"/>
          <w:rtl/>
          <w:lang w:bidi="he-IL"/>
        </w:rPr>
        <w:t xml:space="preserve"> </w:t>
      </w:r>
      <w:r w:rsidRPr="00882F11">
        <w:rPr>
          <w:rFonts w:cs="Guttman Drogolin" w:hint="cs"/>
          <w:rtl/>
          <w:lang w:bidi="he-IL"/>
        </w:rPr>
        <w:t>ברוב</w:t>
      </w:r>
      <w:r w:rsidRPr="00882F11">
        <w:rPr>
          <w:rFonts w:cs="Guttman Drogolin"/>
          <w:rtl/>
          <w:lang w:bidi="he-IL"/>
        </w:rPr>
        <w:t xml:space="preserve"> </w:t>
      </w:r>
      <w:r w:rsidRPr="00882F11">
        <w:rPr>
          <w:rFonts w:cs="Guttman Drogolin" w:hint="cs"/>
          <w:rtl/>
          <w:lang w:bidi="he-IL"/>
        </w:rPr>
        <w:t>לאו</w:t>
      </w:r>
      <w:r w:rsidRPr="00882F11">
        <w:rPr>
          <w:rFonts w:cs="Guttman Drogolin"/>
          <w:rtl/>
          <w:lang w:bidi="he-IL"/>
        </w:rPr>
        <w:t xml:space="preserve"> </w:t>
      </w:r>
      <w:r w:rsidRPr="00882F11">
        <w:rPr>
          <w:rFonts w:cs="Guttman Drogolin" w:hint="cs"/>
          <w:rtl/>
          <w:lang w:bidi="he-IL"/>
        </w:rPr>
        <w:t xml:space="preserve">דאורייתא וכו'". </w:t>
      </w:r>
      <w:r w:rsidR="007C7B11">
        <w:rPr>
          <w:rFonts w:cs="Guttman Drogolin" w:hint="cs"/>
          <w:rtl/>
          <w:lang w:bidi="he-IL"/>
        </w:rPr>
        <w:t>ולכאורה ר"ל דאע"ג דאיכא טעמו וממשו הרי הוא בטל. והגמ' מקשה על זה מהא דעשה עיסה מן החיטין ומן האורז שלכאורה מבואר מיני' דנ"ט ברוב דאורייתא. ומכח קושיא זו מסיק הגמ' "אלא מין בשאינו מינו בטעמא וכו'". ומכאן והוכיחו הראשונים דע"כ קיי"ל דטכ"ע דאורייתא.</w:t>
      </w:r>
    </w:p>
    <w:p w:rsidR="00385DD8" w:rsidRDefault="00F56691" w:rsidP="007C7B11">
      <w:pPr>
        <w:bidi/>
        <w:jc w:val="both"/>
        <w:rPr>
          <w:rFonts w:cs="Guttman Drogolin"/>
          <w:rtl/>
          <w:lang w:bidi="he-IL"/>
        </w:rPr>
      </w:pPr>
      <w:r w:rsidRPr="00882F11">
        <w:rPr>
          <w:rFonts w:cs="Guttman Drogolin" w:hint="cs"/>
          <w:rtl/>
          <w:lang w:bidi="he-IL"/>
        </w:rPr>
        <w:t>והנה</w:t>
      </w:r>
      <w:r w:rsidR="00637891" w:rsidRPr="00882F11">
        <w:rPr>
          <w:rFonts w:cs="Guttman Drogolin" w:hint="cs"/>
          <w:rtl/>
          <w:lang w:bidi="he-IL"/>
        </w:rPr>
        <w:t xml:space="preserve"> יש להעיר מזה שמעיקרא </w:t>
      </w:r>
      <w:r w:rsidR="007C7B11" w:rsidRPr="00882F11">
        <w:rPr>
          <w:rFonts w:cs="Guttman Drogolin" w:hint="cs"/>
          <w:rtl/>
          <w:lang w:bidi="he-IL"/>
        </w:rPr>
        <w:t xml:space="preserve">רצתה </w:t>
      </w:r>
      <w:r w:rsidR="00637891" w:rsidRPr="00882F11">
        <w:rPr>
          <w:rFonts w:cs="Guttman Drogolin" w:hint="cs"/>
          <w:rtl/>
          <w:lang w:bidi="he-IL"/>
        </w:rPr>
        <w:t xml:space="preserve">הגמ' להוכיח </w:t>
      </w:r>
      <w:r w:rsidR="007C7B11">
        <w:rPr>
          <w:rFonts w:cs="Guttman Drogolin" w:hint="cs"/>
          <w:rtl/>
          <w:lang w:bidi="he-IL"/>
        </w:rPr>
        <w:t>דנ"ט ברוב לאו דאו' ו</w:t>
      </w:r>
      <w:r w:rsidR="00637891" w:rsidRPr="00882F11">
        <w:rPr>
          <w:rFonts w:cs="Guttman Drogolin" w:hint="cs"/>
          <w:rtl/>
          <w:lang w:bidi="he-IL"/>
        </w:rPr>
        <w:t>לא חילקו בי</w:t>
      </w:r>
      <w:r w:rsidR="007C7B11">
        <w:rPr>
          <w:rFonts w:cs="Guttman Drogolin" w:hint="cs"/>
          <w:rtl/>
          <w:lang w:bidi="he-IL"/>
        </w:rPr>
        <w:t>ן מין במינו למין בשאינו מינו. ו</w:t>
      </w:r>
      <w:r w:rsidR="00637891" w:rsidRPr="00882F11">
        <w:rPr>
          <w:rFonts w:cs="Guttman Drogolin" w:hint="cs"/>
          <w:rtl/>
          <w:lang w:bidi="he-IL"/>
        </w:rPr>
        <w:t xml:space="preserve">לכאורה יש לנו </w:t>
      </w:r>
      <w:r w:rsidR="007C7B11">
        <w:rPr>
          <w:rFonts w:cs="Guttman Drogolin" w:hint="cs"/>
          <w:rtl/>
          <w:lang w:bidi="he-IL"/>
        </w:rPr>
        <w:t xml:space="preserve">מזה </w:t>
      </w:r>
      <w:r w:rsidR="00637891" w:rsidRPr="00882F11">
        <w:rPr>
          <w:rFonts w:cs="Guttman Drogolin" w:hint="cs"/>
          <w:rtl/>
          <w:lang w:bidi="he-IL"/>
        </w:rPr>
        <w:t xml:space="preserve">מקור נאמן להא דהבאנו כמה פעמים שהדין </w:t>
      </w:r>
      <w:r w:rsidR="00C5379A" w:rsidRPr="00882F11">
        <w:rPr>
          <w:rFonts w:cs="Guttman Drogolin" w:hint="cs"/>
          <w:rtl/>
          <w:lang w:bidi="he-IL"/>
        </w:rPr>
        <w:t>טעם כעיקר</w:t>
      </w:r>
      <w:r w:rsidR="00637891" w:rsidRPr="00882F11">
        <w:rPr>
          <w:rFonts w:cs="Guttman Drogolin" w:hint="cs"/>
          <w:rtl/>
          <w:lang w:bidi="he-IL"/>
        </w:rPr>
        <w:t xml:space="preserve"> נאמר אפילו במין במינו, שזהו הרי ההו"א במס' זבחים.</w:t>
      </w:r>
      <w:r w:rsidR="00637891" w:rsidRPr="00882F11">
        <w:rPr>
          <w:rFonts w:cs="Guttman Drogolin"/>
          <w:rtl/>
          <w:lang w:bidi="he-IL"/>
        </w:rPr>
        <w:t xml:space="preserve"> </w:t>
      </w:r>
      <w:r w:rsidR="00942C5F" w:rsidRPr="00882F11">
        <w:rPr>
          <w:rFonts w:cs="Guttman Drogolin" w:hint="cs"/>
          <w:rtl/>
          <w:lang w:bidi="he-IL"/>
        </w:rPr>
        <w:t>אלא שהקש</w:t>
      </w:r>
      <w:r w:rsidRPr="00882F11">
        <w:rPr>
          <w:rFonts w:cs="Guttman Drogolin" w:hint="cs"/>
          <w:rtl/>
          <w:lang w:bidi="he-IL"/>
        </w:rPr>
        <w:t>ה שהרי זהו רק ההו"א של הגמ', אבל הגמ' מסיקה בהדיא לחלק בין מין במינו למין בשאינו מינו. זאת ועוד שאפילו לפי ההו"א פירש"י שלא הי' ס"ד ד</w:t>
      </w:r>
      <w:r w:rsidR="00C5379A" w:rsidRPr="00882F11">
        <w:rPr>
          <w:rFonts w:cs="Guttman Drogolin" w:hint="cs"/>
          <w:rtl/>
          <w:lang w:bidi="he-IL"/>
        </w:rPr>
        <w:t>טעם כעיקר</w:t>
      </w:r>
      <w:r w:rsidRPr="00882F11">
        <w:rPr>
          <w:rFonts w:cs="Guttman Drogolin" w:hint="cs"/>
          <w:rtl/>
          <w:lang w:bidi="he-IL"/>
        </w:rPr>
        <w:t xml:space="preserve"> אסור אפילו במין במינו, רק ס"ד דכמו שהקילו במין במינו הה"נ במין בשאינו מינו, ופיגול ונותר מיירי בב'</w:t>
      </w:r>
      <w:r w:rsidR="00385DD8">
        <w:rPr>
          <w:rFonts w:cs="Guttman Drogolin" w:hint="cs"/>
          <w:rtl/>
          <w:lang w:bidi="he-IL"/>
        </w:rPr>
        <w:t xml:space="preserve"> מינים. וא"כ לכאורה הו</w:t>
      </w:r>
      <w:r w:rsidRPr="00882F11">
        <w:rPr>
          <w:rFonts w:cs="Guttman Drogolin" w:hint="cs"/>
          <w:rtl/>
          <w:lang w:bidi="he-IL"/>
        </w:rPr>
        <w:t>א להיפך דמבואר ד</w:t>
      </w:r>
      <w:r w:rsidR="00C5379A" w:rsidRPr="00882F11">
        <w:rPr>
          <w:rFonts w:cs="Guttman Drogolin" w:hint="cs"/>
          <w:rtl/>
          <w:lang w:bidi="he-IL"/>
        </w:rPr>
        <w:t>טעם כעיקר</w:t>
      </w:r>
      <w:r w:rsidRPr="00882F11">
        <w:rPr>
          <w:rFonts w:cs="Guttman Drogolin" w:hint="cs"/>
          <w:rtl/>
          <w:lang w:bidi="he-IL"/>
        </w:rPr>
        <w:t xml:space="preserve"> אינו אוסר אלא במין בשאינו מינו.</w:t>
      </w:r>
    </w:p>
    <w:p w:rsidR="00141B6E" w:rsidRPr="00882F11" w:rsidRDefault="00F56691" w:rsidP="00385DD8">
      <w:pPr>
        <w:bidi/>
        <w:jc w:val="both"/>
        <w:rPr>
          <w:rFonts w:cs="Guttman Drogolin"/>
          <w:rtl/>
          <w:lang w:bidi="he-IL"/>
        </w:rPr>
      </w:pPr>
      <w:r w:rsidRPr="00882F11">
        <w:rPr>
          <w:rFonts w:cs="Guttman Drogolin" w:hint="cs"/>
          <w:rtl/>
          <w:lang w:bidi="he-IL"/>
        </w:rPr>
        <w:t>אלא שלכאורה הדבר תלוי שלשיטת רש"י מיישבים כמה ראשונים שהגמ' מיירי בטעמו וממשו, ובדין טעמו וממשו ודאי לא אמרינן שהוא דאורייתא אא"כ הוא מין ב</w:t>
      </w:r>
      <w:r w:rsidR="00385DD8">
        <w:rPr>
          <w:rFonts w:cs="Guttman Drogolin" w:hint="cs"/>
          <w:rtl/>
          <w:lang w:bidi="he-IL"/>
        </w:rPr>
        <w:t xml:space="preserve">שאינו </w:t>
      </w:r>
      <w:r w:rsidRPr="00882F11">
        <w:rPr>
          <w:rFonts w:cs="Guttman Drogolin" w:hint="cs"/>
          <w:rtl/>
          <w:lang w:bidi="he-IL"/>
        </w:rPr>
        <w:t xml:space="preserve">מינו, שהרי כל יסודו משום היכר האיסור </w:t>
      </w:r>
      <w:r w:rsidR="00385DD8">
        <w:rPr>
          <w:rFonts w:cs="Guttman Drogolin" w:hint="cs"/>
          <w:rtl/>
          <w:lang w:bidi="he-IL"/>
        </w:rPr>
        <w:t xml:space="preserve">דרך טעם, ואם שניהם אותו </w:t>
      </w:r>
      <w:r w:rsidRPr="00882F11">
        <w:rPr>
          <w:rFonts w:cs="Guttman Drogolin" w:hint="cs"/>
          <w:rtl/>
          <w:lang w:bidi="he-IL"/>
        </w:rPr>
        <w:t>ט</w:t>
      </w:r>
      <w:r w:rsidR="00385DD8">
        <w:rPr>
          <w:rFonts w:cs="Guttman Drogolin" w:hint="cs"/>
          <w:rtl/>
          <w:lang w:bidi="he-IL"/>
        </w:rPr>
        <w:t>ע</w:t>
      </w:r>
      <w:r w:rsidRPr="00882F11">
        <w:rPr>
          <w:rFonts w:cs="Guttman Drogolin" w:hint="cs"/>
          <w:rtl/>
          <w:lang w:bidi="he-IL"/>
        </w:rPr>
        <w:t>ם הא אינו ניכר. משא"כ ב</w:t>
      </w:r>
      <w:r w:rsidR="00C5379A" w:rsidRPr="00882F11">
        <w:rPr>
          <w:rFonts w:cs="Guttman Drogolin" w:hint="cs"/>
          <w:rtl/>
          <w:lang w:bidi="he-IL"/>
        </w:rPr>
        <w:t>טעם כעיקר</w:t>
      </w:r>
      <w:r w:rsidRPr="00882F11">
        <w:rPr>
          <w:rFonts w:cs="Guttman Drogolin" w:hint="cs"/>
          <w:rtl/>
          <w:lang w:bidi="he-IL"/>
        </w:rPr>
        <w:t xml:space="preserve"> עדיין אפשר לומר שהוא נאמר אפילו במין במינו. (ומ"מ קשה דליאסר משום </w:t>
      </w:r>
      <w:r w:rsidR="00C5379A" w:rsidRPr="00882F11">
        <w:rPr>
          <w:rFonts w:cs="Guttman Drogolin" w:hint="cs"/>
          <w:rtl/>
          <w:lang w:bidi="he-IL"/>
        </w:rPr>
        <w:t>טעם כעיקר</w:t>
      </w:r>
      <w:r w:rsidRPr="00882F11">
        <w:rPr>
          <w:rFonts w:cs="Guttman Drogolin" w:hint="cs"/>
          <w:rtl/>
          <w:lang w:bidi="he-IL"/>
        </w:rPr>
        <w:t xml:space="preserve"> כיון שהוא בקדשים </w:t>
      </w:r>
      <w:r w:rsidR="005D0E1E" w:rsidRPr="00882F11">
        <w:rPr>
          <w:rFonts w:cs="Guttman Drogolin" w:hint="cs"/>
          <w:rtl/>
          <w:lang w:bidi="he-IL"/>
        </w:rPr>
        <w:t>ובקדשים מודה רש"י ש</w:t>
      </w:r>
      <w:r w:rsidR="00C5379A" w:rsidRPr="00882F11">
        <w:rPr>
          <w:rFonts w:cs="Guttman Drogolin" w:hint="cs"/>
          <w:rtl/>
          <w:lang w:bidi="he-IL"/>
        </w:rPr>
        <w:t>טעם כעיקר</w:t>
      </w:r>
      <w:r w:rsidR="005D0E1E" w:rsidRPr="00882F11">
        <w:rPr>
          <w:rFonts w:cs="Guttman Drogolin" w:hint="cs"/>
          <w:rtl/>
          <w:lang w:bidi="he-IL"/>
        </w:rPr>
        <w:t xml:space="preserve"> דאורייתא </w:t>
      </w:r>
      <w:r w:rsidRPr="00882F11">
        <w:rPr>
          <w:rFonts w:cs="Guttman Drogolin" w:hint="cs"/>
          <w:rtl/>
          <w:lang w:bidi="he-IL"/>
        </w:rPr>
        <w:t xml:space="preserve">וכמו שהקשו בתוס'). </w:t>
      </w:r>
    </w:p>
    <w:p w:rsidR="00910234" w:rsidRPr="00882F11" w:rsidRDefault="00B07D40" w:rsidP="00385DD8">
      <w:pPr>
        <w:bidi/>
        <w:jc w:val="both"/>
        <w:rPr>
          <w:rFonts w:cs="Guttman Drogolin"/>
          <w:rtl/>
          <w:lang w:bidi="he-IL"/>
        </w:rPr>
      </w:pPr>
      <w:r w:rsidRPr="00882F11">
        <w:rPr>
          <w:rFonts w:cs="Guttman Drogolin" w:hint="cs"/>
          <w:rtl/>
          <w:lang w:bidi="he-IL"/>
        </w:rPr>
        <w:t>ו</w:t>
      </w:r>
      <w:r w:rsidR="00385DD8">
        <w:rPr>
          <w:rFonts w:cs="Guttman Drogolin" w:hint="cs"/>
          <w:rtl/>
          <w:lang w:bidi="he-IL"/>
        </w:rPr>
        <w:t xml:space="preserve">הנה כמו שהבאנו, </w:t>
      </w:r>
      <w:r w:rsidRPr="00882F11">
        <w:rPr>
          <w:rFonts w:cs="Guttman Drogolin" w:hint="cs"/>
          <w:rtl/>
          <w:lang w:bidi="he-IL"/>
        </w:rPr>
        <w:t xml:space="preserve">כמה ראשונים כתבו </w:t>
      </w:r>
      <w:r w:rsidR="00385DD8">
        <w:rPr>
          <w:rFonts w:cs="Guttman Drogolin" w:hint="cs"/>
          <w:rtl/>
          <w:lang w:bidi="he-IL"/>
        </w:rPr>
        <w:t xml:space="preserve">ליישב </w:t>
      </w:r>
      <w:r w:rsidRPr="00882F11">
        <w:rPr>
          <w:rFonts w:cs="Guttman Drogolin" w:hint="cs"/>
          <w:rtl/>
          <w:lang w:bidi="he-IL"/>
        </w:rPr>
        <w:t xml:space="preserve">שיטת רש"י </w:t>
      </w:r>
      <w:r w:rsidR="00385DD8">
        <w:rPr>
          <w:rFonts w:cs="Guttman Drogolin" w:hint="cs"/>
          <w:rtl/>
          <w:lang w:bidi="he-IL"/>
        </w:rPr>
        <w:t>ש</w:t>
      </w:r>
      <w:r w:rsidRPr="00882F11">
        <w:rPr>
          <w:rFonts w:cs="Guttman Drogolin" w:hint="cs"/>
          <w:rtl/>
          <w:lang w:bidi="he-IL"/>
        </w:rPr>
        <w:t>הגמ' מיירי בטעמו וממשו ולא ב</w:t>
      </w:r>
      <w:r w:rsidR="00C5379A" w:rsidRPr="00882F11">
        <w:rPr>
          <w:rFonts w:cs="Guttman Drogolin" w:hint="cs"/>
          <w:rtl/>
          <w:lang w:bidi="he-IL"/>
        </w:rPr>
        <w:t>טעם כעיקר</w:t>
      </w:r>
      <w:r w:rsidRPr="00882F11">
        <w:rPr>
          <w:rFonts w:cs="Guttman Drogolin" w:hint="cs"/>
          <w:rtl/>
          <w:lang w:bidi="he-IL"/>
        </w:rPr>
        <w:t>. והרא"ש הביא תי' זה וחלק עליו, שהרי במציאות הדברים אינו טעמו</w:t>
      </w:r>
      <w:r w:rsidR="00D17421" w:rsidRPr="00882F11">
        <w:rPr>
          <w:rFonts w:cs="Guttman Drogolin" w:hint="cs"/>
          <w:rtl/>
          <w:lang w:bidi="he-IL"/>
        </w:rPr>
        <w:t xml:space="preserve"> </w:t>
      </w:r>
      <w:r w:rsidRPr="00882F11">
        <w:rPr>
          <w:rFonts w:cs="Guttman Drogolin" w:hint="cs"/>
          <w:rtl/>
          <w:lang w:bidi="he-IL"/>
        </w:rPr>
        <w:t xml:space="preserve">וממשו רק טעמו ולא ממשו. וביש"ש סי' מ"ו חלק לומר שאין זה נכון אלא טעמו וממשו הוא. </w:t>
      </w:r>
      <w:r w:rsidR="00D17421" w:rsidRPr="00882F11">
        <w:rPr>
          <w:rFonts w:cs="Guttman Drogolin" w:hint="cs"/>
          <w:rtl/>
          <w:lang w:bidi="he-IL"/>
        </w:rPr>
        <w:t>ויסוד</w:t>
      </w:r>
      <w:r w:rsidR="00FB0FC0" w:rsidRPr="00882F11">
        <w:rPr>
          <w:rFonts w:cs="Guttman Drogolin" w:hint="cs"/>
          <w:rtl/>
          <w:lang w:bidi="he-IL"/>
        </w:rPr>
        <w:t xml:space="preserve"> המחלוקת </w:t>
      </w:r>
      <w:r w:rsidR="00FB0FC0" w:rsidRPr="00882F11">
        <w:rPr>
          <w:rFonts w:cs="Guttman Drogolin" w:hint="cs"/>
          <w:rtl/>
          <w:lang w:bidi="he-IL"/>
        </w:rPr>
        <w:lastRenderedPageBreak/>
        <w:t xml:space="preserve">היא אם הדגן חשוב כממשו אחרי שנטחן ונעשה עיסה ונאפה, שהרא"ש סבר דכיון שעכשיו לא ניכר הדגן כלל דרובו אורז ונראה לחם אורז הרי זה </w:t>
      </w:r>
      <w:r w:rsidR="00910234" w:rsidRPr="00882F11">
        <w:rPr>
          <w:rFonts w:cs="Guttman Drogolin" w:hint="cs"/>
          <w:rtl/>
          <w:lang w:bidi="he-IL"/>
        </w:rPr>
        <w:t xml:space="preserve">כטעמו ולא ממשו. ורש"י והיש"ש סברי דאע"ג שאי אפשר לראות חלק הדגן, מ"מ אלמלא הי' צבע אחר הי' אפשר לראות חלקו החשוב ולכן הוי כטעמו וממשו. </w:t>
      </w:r>
    </w:p>
    <w:p w:rsidR="00910234" w:rsidRPr="00882F11" w:rsidRDefault="00910234" w:rsidP="00385DD8">
      <w:pPr>
        <w:bidi/>
        <w:jc w:val="both"/>
        <w:rPr>
          <w:rFonts w:cs="Guttman Drogolin"/>
          <w:rtl/>
          <w:lang w:bidi="he-IL"/>
        </w:rPr>
      </w:pPr>
      <w:r w:rsidRPr="00882F11">
        <w:rPr>
          <w:rFonts w:cs="Guttman Drogolin" w:hint="cs"/>
          <w:rtl/>
          <w:lang w:bidi="he-IL"/>
        </w:rPr>
        <w:t xml:space="preserve">וע' ברא"ש בסוף הלכות חלה שהביא מהלכות חלה לרמב"ן שהקשה על מתני' זה </w:t>
      </w:r>
      <w:r w:rsidR="00385DD8">
        <w:rPr>
          <w:rFonts w:cs="Guttman Drogolin" w:hint="cs"/>
          <w:rtl/>
          <w:lang w:bidi="he-IL"/>
        </w:rPr>
        <w:t xml:space="preserve">דעשה עיסה וכו' </w:t>
      </w:r>
      <w:r w:rsidRPr="00882F11">
        <w:rPr>
          <w:rFonts w:cs="Guttman Drogolin" w:hint="cs"/>
          <w:rtl/>
          <w:lang w:bidi="he-IL"/>
        </w:rPr>
        <w:t xml:space="preserve">למה יצא ידי חובתו דהא קיי"ל דכזית בכדי אכילת פרס דאורייתא בטעמו וממשו, ומיני' שאם </w:t>
      </w:r>
      <w:r w:rsidR="00385DD8">
        <w:rPr>
          <w:rFonts w:cs="Guttman Drogolin" w:hint="cs"/>
          <w:rtl/>
          <w:lang w:bidi="he-IL"/>
        </w:rPr>
        <w:t>ליכא</w:t>
      </w:r>
      <w:r w:rsidRPr="00882F11">
        <w:rPr>
          <w:rFonts w:cs="Guttman Drogolin" w:hint="cs"/>
          <w:rtl/>
          <w:lang w:bidi="he-IL"/>
        </w:rPr>
        <w:t xml:space="preserve"> כזית בכא"פ לאו דאורייתא היא. ואינו ברור כ"כ מאי קא קשיא לי', דנהי נמי דסבר הרמב"ן שאפילו מדין </w:t>
      </w:r>
      <w:r w:rsidR="00C5379A" w:rsidRPr="00882F11">
        <w:rPr>
          <w:rFonts w:cs="Guttman Drogolin" w:hint="cs"/>
          <w:rtl/>
          <w:lang w:bidi="he-IL"/>
        </w:rPr>
        <w:t>טעם כעיקר</w:t>
      </w:r>
      <w:r w:rsidRPr="00882F11">
        <w:rPr>
          <w:rFonts w:cs="Guttman Drogolin" w:hint="cs"/>
          <w:rtl/>
          <w:lang w:bidi="he-IL"/>
        </w:rPr>
        <w:t xml:space="preserve"> לא אמרינן שנהפך ההיתר להיות איסור, מ"מ מי גילה לרמב"ן שאין כאן כזית בכא"פ. ובהמשך דברי הרא"ש פי' ר' חיים כהן באמת דמיירי בדאיכא כזית בכא"פ. ומלשון הרמב"ן בהלכות חלה נראה דסבר שמשמעות המתני' שיוצא בו ידי חובתו כל זמן שיש טעם בכל ענין, וממילא זה כולל אפילו היכא דליכא שיעור כזית בכא"פ. </w:t>
      </w:r>
    </w:p>
    <w:p w:rsidR="00181B3A" w:rsidRPr="00882F11" w:rsidRDefault="00910234" w:rsidP="00385DD8">
      <w:pPr>
        <w:bidi/>
        <w:jc w:val="both"/>
        <w:rPr>
          <w:rFonts w:cs="Guttman Drogolin"/>
          <w:rtl/>
          <w:lang w:bidi="he-IL"/>
        </w:rPr>
      </w:pPr>
      <w:r w:rsidRPr="00882F11">
        <w:rPr>
          <w:rFonts w:cs="Guttman Drogolin" w:hint="cs"/>
          <w:rtl/>
          <w:lang w:bidi="he-IL"/>
        </w:rPr>
        <w:t xml:space="preserve">ומ"מ תי' בזה הרמב"ן ע"פ הירושלמי שהחטה גוררת את האורז. ונראה הביאור בכוונתו שהרי </w:t>
      </w:r>
      <w:r w:rsidR="00D17421" w:rsidRPr="00882F11">
        <w:rPr>
          <w:rFonts w:cs="Guttman Drogolin" w:hint="cs"/>
          <w:rtl/>
          <w:lang w:bidi="he-IL"/>
        </w:rPr>
        <w:t>הדין שאי</w:t>
      </w:r>
      <w:r w:rsidR="00385DD8">
        <w:rPr>
          <w:rFonts w:cs="Guttman Drogolin" w:hint="cs"/>
          <w:rtl/>
          <w:lang w:bidi="he-IL"/>
        </w:rPr>
        <w:t>ן</w:t>
      </w:r>
      <w:r w:rsidR="00D17421" w:rsidRPr="00882F11">
        <w:rPr>
          <w:rFonts w:cs="Guttman Drogolin" w:hint="cs"/>
          <w:rtl/>
          <w:lang w:bidi="he-IL"/>
        </w:rPr>
        <w:t xml:space="preserve"> חיוב חלה וכן אינו יוצא ידי חובת מצה בפסח אלא בה' מיני דגן מבואר במס' פסחים דף ל"ה ע"א שהוא משום דבעינו דבר הבא לידי חימוץ, והרי הה' מינים באים לידי חימוץ. ובאמת שיטת ר' יוחנן בן נורי שם שגם באורז ודוחן יוצא ידי חובת מצה וכן חייבין עליו כרת משום חמץ, ומבואר שם שיסוד המחלוקת שלהם אם הנעשה בעיסת אורז הוא חימוץ או סרחון, דר' יוחנן בן נורי סבר דהוי חימוץ ולכן בכלל לחם הוא לכל דיני התורה, ורבנן החולקים סוברים </w:t>
      </w:r>
      <w:r w:rsidR="00385DD8">
        <w:rPr>
          <w:rFonts w:cs="Guttman Drogolin" w:hint="cs"/>
          <w:rtl/>
          <w:lang w:bidi="he-IL"/>
        </w:rPr>
        <w:t>דהוי סרחון</w:t>
      </w:r>
      <w:r w:rsidR="00D17421" w:rsidRPr="00882F11">
        <w:rPr>
          <w:rFonts w:cs="Guttman Drogolin" w:hint="cs"/>
          <w:rtl/>
          <w:lang w:bidi="he-IL"/>
        </w:rPr>
        <w:t xml:space="preserve"> ולכן אינו בכלל לחם</w:t>
      </w:r>
      <w:r w:rsidR="00181B3A" w:rsidRPr="00882F11">
        <w:rPr>
          <w:rFonts w:cs="Guttman Drogolin" w:hint="cs"/>
          <w:rtl/>
          <w:lang w:bidi="he-IL"/>
        </w:rPr>
        <w:t>. ומזה אפשר לבאר מהו גרירה, שגרירה מהפכת את הנעשה לאורז להיות חימוץ במקום סרחון. ולכן כשיש טעם חיטה בעיסת אורז יצא ידי חובתו</w:t>
      </w:r>
      <w:r w:rsidR="00942C5F" w:rsidRPr="00882F11">
        <w:rPr>
          <w:rFonts w:cs="Guttman Drogolin" w:hint="cs"/>
          <w:rtl/>
          <w:lang w:bidi="he-IL"/>
        </w:rPr>
        <w:t>,</w:t>
      </w:r>
      <w:r w:rsidR="00181B3A" w:rsidRPr="00882F11">
        <w:rPr>
          <w:rFonts w:cs="Guttman Drogolin" w:hint="cs"/>
          <w:rtl/>
          <w:lang w:bidi="he-IL"/>
        </w:rPr>
        <w:t xml:space="preserve"> ומשום שעצם האורז נהפך להיות מין לחם. ולפום</w:t>
      </w:r>
      <w:r w:rsidR="00D17421" w:rsidRPr="00882F11">
        <w:rPr>
          <w:rFonts w:cs="Guttman Drogolin" w:hint="cs"/>
          <w:rtl/>
          <w:lang w:bidi="he-IL"/>
        </w:rPr>
        <w:t xml:space="preserve"> </w:t>
      </w:r>
      <w:r w:rsidR="00181B3A" w:rsidRPr="00882F11">
        <w:rPr>
          <w:rFonts w:cs="Guttman Drogolin" w:hint="cs"/>
          <w:rtl/>
          <w:lang w:bidi="he-IL"/>
        </w:rPr>
        <w:t xml:space="preserve">ריהטא יוצא שבכל </w:t>
      </w:r>
      <w:r w:rsidR="00181B3A" w:rsidRPr="00882F11">
        <w:rPr>
          <w:rFonts w:cs="Guttman Drogolin" w:hint="cs"/>
          <w:rtl/>
          <w:lang w:bidi="he-IL"/>
        </w:rPr>
        <w:lastRenderedPageBreak/>
        <w:t>המינים שבעולם אם יתחכם אדם לעשות ממנו חימוץ יהא הדין שיש לו דין לחם לחלה ולמצה ולכל דיני התורה.</w:t>
      </w:r>
    </w:p>
    <w:p w:rsidR="00233D55" w:rsidRPr="00882F11" w:rsidRDefault="00181B3A" w:rsidP="00385DD8">
      <w:pPr>
        <w:bidi/>
        <w:jc w:val="both"/>
        <w:rPr>
          <w:rFonts w:cs="Guttman Drogolin"/>
          <w:rtl/>
          <w:lang w:bidi="he-IL"/>
        </w:rPr>
      </w:pPr>
      <w:r w:rsidRPr="00882F11">
        <w:rPr>
          <w:rFonts w:cs="Guttman Drogolin" w:hint="cs"/>
          <w:rtl/>
          <w:lang w:bidi="he-IL"/>
        </w:rPr>
        <w:t>אלא שאי אפשר לומר כן, דהא הגמ' במס' זבחים הנ"ל מוכיחה ממתני' זו דאזלינן בתר טעמא, ואם כנ"ל למה בעינן לי' לדין טעם, הא סוף סו</w:t>
      </w:r>
      <w:r w:rsidR="00942C5F" w:rsidRPr="00882F11">
        <w:rPr>
          <w:rFonts w:cs="Guttman Drogolin" w:hint="cs"/>
          <w:rtl/>
          <w:lang w:bidi="he-IL"/>
        </w:rPr>
        <w:t>ף</w:t>
      </w:r>
      <w:r w:rsidRPr="00882F11">
        <w:rPr>
          <w:rFonts w:cs="Guttman Drogolin" w:hint="cs"/>
          <w:rtl/>
          <w:lang w:bidi="he-IL"/>
        </w:rPr>
        <w:t xml:space="preserve"> נגרר באורז להיות כה' מיני דגן. ולכאורה חזינן מזה </w:t>
      </w:r>
      <w:r w:rsidR="00385DD8">
        <w:rPr>
          <w:rFonts w:cs="Guttman Drogolin" w:hint="cs"/>
          <w:rtl/>
          <w:lang w:bidi="he-IL"/>
        </w:rPr>
        <w:t>דחוץ מזה דבעינן שיבא לידי חימוץ בפועל,</w:t>
      </w:r>
      <w:r w:rsidRPr="00882F11">
        <w:rPr>
          <w:rFonts w:cs="Guttman Drogolin" w:hint="cs"/>
          <w:rtl/>
          <w:lang w:bidi="he-IL"/>
        </w:rPr>
        <w:t xml:space="preserve"> </w:t>
      </w:r>
      <w:r w:rsidR="00385DD8">
        <w:rPr>
          <w:rFonts w:cs="Guttman Drogolin" w:hint="cs"/>
          <w:rtl/>
          <w:lang w:bidi="he-IL"/>
        </w:rPr>
        <w:t xml:space="preserve">צריכים גם מין </w:t>
      </w:r>
      <w:r w:rsidRPr="00882F11">
        <w:rPr>
          <w:rFonts w:cs="Guttman Drogolin" w:hint="cs"/>
          <w:rtl/>
          <w:lang w:bidi="he-IL"/>
        </w:rPr>
        <w:t xml:space="preserve">הבא לידי חימוץ, וזה שהחמיצו אותו ע"י דבר אחר לא סגי. </w:t>
      </w:r>
      <w:r w:rsidR="00233D55" w:rsidRPr="00882F11">
        <w:rPr>
          <w:rFonts w:cs="Guttman Drogolin" w:hint="cs"/>
          <w:rtl/>
          <w:lang w:bidi="he-IL"/>
        </w:rPr>
        <w:t xml:space="preserve">ולכן רק דבר שיש לו שם של ה' מיני דגן יש לו שם לחם כיון שיש להם כח מעצמו לבא לידי חימוץ, אבל זה </w:t>
      </w:r>
      <w:r w:rsidR="00385DD8">
        <w:rPr>
          <w:rFonts w:cs="Guttman Drogolin" w:hint="cs"/>
          <w:rtl/>
          <w:lang w:bidi="he-IL"/>
        </w:rPr>
        <w:t xml:space="preserve">לבד </w:t>
      </w:r>
      <w:r w:rsidR="00233D55" w:rsidRPr="00882F11">
        <w:rPr>
          <w:rFonts w:cs="Guttman Drogolin" w:hint="cs"/>
          <w:rtl/>
          <w:lang w:bidi="he-IL"/>
        </w:rPr>
        <w:t xml:space="preserve">שהחמיצו אותו ע"י גרירה לא מהני. אמנם בצירוף הא דיש טעם וכן שנגרר יש לו שם לחם לכל דיני התורה. כן בסוברים גם הרא"ש וגם הרמב"ן, רק נחלקו איך מצטרפים טעמים אלו. </w:t>
      </w:r>
    </w:p>
    <w:p w:rsidR="00642626" w:rsidRPr="00882F11" w:rsidRDefault="00642626" w:rsidP="00942C5F">
      <w:pPr>
        <w:bidi/>
        <w:jc w:val="both"/>
        <w:rPr>
          <w:rFonts w:cs="Guttman Drogolin"/>
          <w:rtl/>
          <w:lang w:bidi="he-IL"/>
        </w:rPr>
      </w:pPr>
      <w:r w:rsidRPr="00882F11">
        <w:rPr>
          <w:rFonts w:cs="Guttman Drogolin" w:hint="cs"/>
          <w:rtl/>
          <w:lang w:bidi="he-IL"/>
        </w:rPr>
        <w:t xml:space="preserve">סברת הרא"ש שע"י הדין של </w:t>
      </w:r>
      <w:r w:rsidR="00C5379A" w:rsidRPr="00882F11">
        <w:rPr>
          <w:rFonts w:cs="Guttman Drogolin" w:hint="cs"/>
          <w:rtl/>
          <w:lang w:bidi="he-IL"/>
        </w:rPr>
        <w:t>טעם כעיקר</w:t>
      </w:r>
      <w:r w:rsidRPr="00882F11">
        <w:rPr>
          <w:rFonts w:cs="Guttman Drogolin" w:hint="cs"/>
          <w:rtl/>
          <w:lang w:bidi="he-IL"/>
        </w:rPr>
        <w:t xml:space="preserve"> אמרינן נהפך ההיתר להיות איסור. ולכן הה"נ הכא ע"י הדין של </w:t>
      </w:r>
      <w:r w:rsidR="00C5379A" w:rsidRPr="00882F11">
        <w:rPr>
          <w:rFonts w:cs="Guttman Drogolin" w:hint="cs"/>
          <w:rtl/>
          <w:lang w:bidi="he-IL"/>
        </w:rPr>
        <w:t>טעם כעיקר</w:t>
      </w:r>
      <w:r w:rsidRPr="00882F11">
        <w:rPr>
          <w:rFonts w:cs="Guttman Drogolin" w:hint="cs"/>
          <w:rtl/>
          <w:lang w:bidi="he-IL"/>
        </w:rPr>
        <w:t xml:space="preserve"> הוו כל החתיכות אורז כחתיכות חטים. וכיון שכן ודאי יצא ידי חובתו דהא ע"י הדין של </w:t>
      </w:r>
      <w:r w:rsidR="00C5379A" w:rsidRPr="00882F11">
        <w:rPr>
          <w:rFonts w:cs="Guttman Drogolin" w:hint="cs"/>
          <w:rtl/>
          <w:lang w:bidi="he-IL"/>
        </w:rPr>
        <w:t>טעם כעיקר</w:t>
      </w:r>
      <w:r w:rsidRPr="00882F11">
        <w:rPr>
          <w:rFonts w:cs="Guttman Drogolin" w:hint="cs"/>
          <w:rtl/>
          <w:lang w:bidi="he-IL"/>
        </w:rPr>
        <w:t xml:space="preserve"> יש כאן עיסה שכולה דינה כחיטין. ומ"מ סבר הרא"ש דלא סגי ע"י הדין של </w:t>
      </w:r>
      <w:r w:rsidR="00C5379A" w:rsidRPr="00882F11">
        <w:rPr>
          <w:rFonts w:cs="Guttman Drogolin" w:hint="cs"/>
          <w:rtl/>
          <w:lang w:bidi="he-IL"/>
        </w:rPr>
        <w:t>טעם כעיקר</w:t>
      </w:r>
      <w:r w:rsidRPr="00882F11">
        <w:rPr>
          <w:rFonts w:cs="Guttman Drogolin" w:hint="cs"/>
          <w:rtl/>
          <w:lang w:bidi="he-IL"/>
        </w:rPr>
        <w:t xml:space="preserve"> בלבד אלא הי' צריך גם הדין גרירה וכ</w:t>
      </w:r>
      <w:r w:rsidR="00942C5F" w:rsidRPr="00882F11">
        <w:rPr>
          <w:rFonts w:cs="Guttman Drogolin" w:hint="cs"/>
          <w:rtl/>
          <w:lang w:bidi="he-IL"/>
        </w:rPr>
        <w:t>מש"כ ברירושלמי משום שאפילו חיטין</w:t>
      </w:r>
      <w:r w:rsidRPr="00882F11">
        <w:rPr>
          <w:rFonts w:cs="Guttman Drogolin" w:hint="cs"/>
          <w:rtl/>
          <w:lang w:bidi="he-IL"/>
        </w:rPr>
        <w:t xml:space="preserve"> אם אין באים לידי חימו</w:t>
      </w:r>
      <w:r w:rsidR="00942C5F" w:rsidRPr="00882F11">
        <w:rPr>
          <w:rFonts w:cs="Guttman Drogolin" w:hint="cs"/>
          <w:rtl/>
          <w:lang w:bidi="he-IL"/>
        </w:rPr>
        <w:t>ץ</w:t>
      </w:r>
      <w:r w:rsidRPr="00882F11">
        <w:rPr>
          <w:rFonts w:cs="Guttman Drogolin" w:hint="cs"/>
          <w:rtl/>
          <w:lang w:bidi="he-IL"/>
        </w:rPr>
        <w:t xml:space="preserve"> אינו יוצא בהם ידי חובתו. ולכן בעינן לי' לדין גרירה כדי שיבא לידי חימוץ. (והפוסקים דנו ע"פ זה אם אדם יוצא ידי חובתו במצה העשוי מחיטין שהוציאו ממנו הגלוטן</w:t>
      </w:r>
      <w:r w:rsidRPr="00882F11">
        <w:rPr>
          <w:rStyle w:val="FootnoteReference"/>
          <w:rFonts w:cs="Guttman Drogolin"/>
          <w:rtl/>
          <w:lang w:bidi="he-IL"/>
        </w:rPr>
        <w:footnoteReference w:id="52"/>
      </w:r>
      <w:r w:rsidRPr="00882F11">
        <w:rPr>
          <w:rFonts w:cs="Guttman Drogolin" w:hint="cs"/>
          <w:rtl/>
          <w:lang w:bidi="he-IL"/>
        </w:rPr>
        <w:t xml:space="preserve"> שלו).  </w:t>
      </w:r>
    </w:p>
    <w:p w:rsidR="00946CCD" w:rsidRPr="00882F11" w:rsidRDefault="00233D55" w:rsidP="00FE1539">
      <w:pPr>
        <w:bidi/>
        <w:jc w:val="both"/>
        <w:rPr>
          <w:rFonts w:cs="Guttman Drogolin"/>
          <w:rtl/>
          <w:lang w:bidi="he-IL"/>
        </w:rPr>
      </w:pPr>
      <w:r w:rsidRPr="00882F11">
        <w:rPr>
          <w:rFonts w:cs="Guttman Drogolin" w:hint="cs"/>
          <w:rtl/>
          <w:lang w:bidi="he-IL"/>
        </w:rPr>
        <w:t>וז"ל הרמב"ן שם "דאף על גב דחטים גוררין</w:t>
      </w:r>
      <w:r w:rsidR="00642626" w:rsidRPr="00882F11">
        <w:rPr>
          <w:rFonts w:cs="Guttman Drogolin" w:hint="cs"/>
          <w:rtl/>
          <w:lang w:bidi="he-IL"/>
        </w:rPr>
        <w:t xml:space="preserve"> את האורז אי טעמא בטיל דבר שנתבטל מעצמו</w:t>
      </w:r>
      <w:r w:rsidR="00942C5F" w:rsidRPr="00882F11">
        <w:rPr>
          <w:rFonts w:cs="Guttman Drogolin" w:hint="cs"/>
          <w:rtl/>
          <w:lang w:bidi="he-IL"/>
        </w:rPr>
        <w:t xml:space="preserve"> </w:t>
      </w:r>
      <w:r w:rsidR="00642626" w:rsidRPr="00882F11">
        <w:rPr>
          <w:rFonts w:cs="Guttman Drogolin" w:hint="cs"/>
          <w:rtl/>
          <w:lang w:bidi="he-IL"/>
        </w:rPr>
        <w:t>היאך גורר את האחרים"</w:t>
      </w:r>
      <w:r w:rsidRPr="00882F11">
        <w:rPr>
          <w:rFonts w:cs="Guttman Drogolin" w:hint="cs"/>
          <w:rtl/>
          <w:lang w:bidi="he-IL"/>
        </w:rPr>
        <w:t xml:space="preserve"> וכוונתו </w:t>
      </w:r>
      <w:r w:rsidR="00642626" w:rsidRPr="00882F11">
        <w:rPr>
          <w:rFonts w:cs="Guttman Drogolin" w:hint="cs"/>
          <w:rtl/>
          <w:lang w:bidi="he-IL"/>
        </w:rPr>
        <w:t xml:space="preserve">אינה ברורה לעוק"ד, שאם עיקר יסוד הדין שיוצא ידי חובתו הוא משום שנשתנה האורז להיות לחם, מה איכפת לן אם נתבטל או לא. ולכאורה כוונתו </w:t>
      </w:r>
      <w:r w:rsidR="00FE1539">
        <w:rPr>
          <w:rFonts w:cs="Guttman Drogolin" w:hint="cs"/>
          <w:rtl/>
          <w:lang w:bidi="he-IL"/>
        </w:rPr>
        <w:t xml:space="preserve">דזה לבד שנתחמץ לא מספיק, שצריך להיות חימוץ שעל ידי א' מחמשת מיני דגן. ולכן אם נתבטל אין כאן חיטין העושים את החימוץ.אבל אם לא </w:t>
      </w:r>
      <w:r w:rsidR="00FE1539">
        <w:rPr>
          <w:rFonts w:cs="Guttman Drogolin" w:hint="cs"/>
          <w:rtl/>
          <w:lang w:bidi="he-IL"/>
        </w:rPr>
        <w:lastRenderedPageBreak/>
        <w:t xml:space="preserve">נתבטל כיון שעשה גרירה הרי יש לנו חימוץ ע"י חיטין ולכן חייב בחלה ויתא יד"ח מצה. ויוצא </w:t>
      </w:r>
      <w:r w:rsidR="00642626" w:rsidRPr="00882F11">
        <w:rPr>
          <w:rFonts w:cs="Guttman Drogolin" w:hint="cs"/>
          <w:rtl/>
          <w:lang w:bidi="he-IL"/>
        </w:rPr>
        <w:t>שעיקר הטעם שיוצא ידי חובתו לרא"ש הוא משום ד</w:t>
      </w:r>
      <w:r w:rsidR="00C5379A" w:rsidRPr="00882F11">
        <w:rPr>
          <w:rFonts w:cs="Guttman Drogolin" w:hint="cs"/>
          <w:rtl/>
          <w:lang w:bidi="he-IL"/>
        </w:rPr>
        <w:t>טעם כעיקר</w:t>
      </w:r>
      <w:r w:rsidR="00642626" w:rsidRPr="00882F11">
        <w:rPr>
          <w:rFonts w:cs="Guttman Drogolin" w:hint="cs"/>
          <w:rtl/>
          <w:lang w:bidi="he-IL"/>
        </w:rPr>
        <w:t xml:space="preserve"> וע"י זה כולו חיטין, </w:t>
      </w:r>
      <w:r w:rsidR="00FE1539">
        <w:rPr>
          <w:rFonts w:cs="Guttman Drogolin" w:hint="cs"/>
          <w:rtl/>
          <w:lang w:bidi="he-IL"/>
        </w:rPr>
        <w:t xml:space="preserve">רק דחיטין שלא נתחמצו אין דינם כלחם. </w:t>
      </w:r>
      <w:r w:rsidR="00642626" w:rsidRPr="00882F11">
        <w:rPr>
          <w:rFonts w:cs="Guttman Drogolin" w:hint="cs"/>
          <w:rtl/>
          <w:lang w:bidi="he-IL"/>
        </w:rPr>
        <w:t xml:space="preserve">אבל לרמב"ן עיקר הטעם משום גרירה, רק דאפילו </w:t>
      </w:r>
      <w:r w:rsidR="00FE1539">
        <w:rPr>
          <w:rFonts w:cs="Guttman Drogolin" w:hint="cs"/>
          <w:rtl/>
          <w:lang w:bidi="he-IL"/>
        </w:rPr>
        <w:t>חימוץ שע"י גרירה לא מהני אא"כ הוי חימוץ של חיטין.</w:t>
      </w:r>
    </w:p>
    <w:p w:rsidR="006A2622" w:rsidRPr="00882F11" w:rsidRDefault="006A2622" w:rsidP="0078079C">
      <w:pPr>
        <w:pStyle w:val="Heading1"/>
        <w:bidi/>
        <w:spacing w:before="0" w:line="360" w:lineRule="auto"/>
        <w:jc w:val="center"/>
        <w:rPr>
          <w:rFonts w:cs="Guttman Drogolin"/>
          <w:color w:val="auto"/>
          <w:sz w:val="24"/>
          <w:szCs w:val="24"/>
          <w:u w:val="single"/>
          <w:rtl/>
          <w:lang w:bidi="he-IL"/>
        </w:rPr>
      </w:pPr>
      <w:bookmarkStart w:id="39" w:name="_Toc496175303"/>
      <w:r w:rsidRPr="00882F11">
        <w:rPr>
          <w:rFonts w:cs="Guttman Drogolin" w:hint="cs"/>
          <w:color w:val="auto"/>
          <w:sz w:val="24"/>
          <w:szCs w:val="24"/>
          <w:u w:val="single"/>
          <w:rtl/>
          <w:lang w:bidi="he-IL"/>
        </w:rPr>
        <w:t>כמה שאלות בסוף דברי התוס'</w:t>
      </w:r>
      <w:bookmarkEnd w:id="39"/>
    </w:p>
    <w:p w:rsidR="006A2622" w:rsidRPr="00882F11" w:rsidRDefault="006A2622" w:rsidP="00C65865">
      <w:pPr>
        <w:bidi/>
        <w:jc w:val="both"/>
        <w:rPr>
          <w:rFonts w:cs="Guttman Drogolin"/>
          <w:rtl/>
          <w:lang w:bidi="he-IL"/>
        </w:rPr>
      </w:pPr>
      <w:r w:rsidRPr="00882F11">
        <w:rPr>
          <w:rFonts w:cs="Guttman Drogolin" w:hint="cs"/>
          <w:rtl/>
          <w:lang w:bidi="he-IL"/>
        </w:rPr>
        <w:t>התוס' בסוף דבריהם הקשו דכיון ש</w:t>
      </w:r>
      <w:r w:rsidR="00C5379A" w:rsidRPr="00882F11">
        <w:rPr>
          <w:rFonts w:cs="Guttman Drogolin" w:hint="cs"/>
          <w:rtl/>
          <w:lang w:bidi="he-IL"/>
        </w:rPr>
        <w:t>טעם כעיקר</w:t>
      </w:r>
      <w:r w:rsidRPr="00882F11">
        <w:rPr>
          <w:rFonts w:cs="Guttman Drogolin" w:hint="cs"/>
          <w:rtl/>
          <w:lang w:bidi="he-IL"/>
        </w:rPr>
        <w:t xml:space="preserve"> דאורייתא למה בסוגיא דמס' פסחים דף מ"ד ע"א רצו להוכיח מב' קופות דכזית בכא"פ </w:t>
      </w:r>
      <w:r w:rsidR="00C5379A" w:rsidRPr="00882F11">
        <w:rPr>
          <w:rFonts w:cs="Guttman Drogolin" w:hint="cs"/>
          <w:rtl/>
          <w:lang w:bidi="he-IL"/>
        </w:rPr>
        <w:t>דאורייתא</w:t>
      </w:r>
      <w:r w:rsidRPr="00882F11">
        <w:rPr>
          <w:rFonts w:cs="Guttman Drogolin" w:hint="cs"/>
          <w:rtl/>
          <w:lang w:bidi="he-IL"/>
        </w:rPr>
        <w:t xml:space="preserve">, </w:t>
      </w:r>
      <w:r w:rsidR="00C65865">
        <w:rPr>
          <w:rFonts w:cs="Guttman Drogolin" w:hint="cs"/>
          <w:rtl/>
          <w:lang w:bidi="he-IL"/>
        </w:rPr>
        <w:t>אפילו אם כבא"פ לאו דאורייתא מ"מ תיפו"ל משום דטכ"ע</w:t>
      </w:r>
      <w:r w:rsidRPr="00882F11">
        <w:rPr>
          <w:rFonts w:cs="Guttman Drogolin" w:hint="cs"/>
          <w:rtl/>
          <w:lang w:bidi="he-IL"/>
        </w:rPr>
        <w:t>. והקשו האחרונים על דבריהם כמה קושיות. חדא הקשה הנחל"ד למה הקשו רק מסוף הסוגיא ולא בכל הגמ' שלפני במקפה ומדוכות וכותח הבבלי. וע' מש"כ בזה בנחל"ד. ועוד ה</w:t>
      </w:r>
      <w:r w:rsidR="00942C5F" w:rsidRPr="00882F11">
        <w:rPr>
          <w:rFonts w:cs="Guttman Drogolin" w:hint="cs"/>
          <w:rtl/>
          <w:lang w:bidi="he-IL"/>
        </w:rPr>
        <w:t>ק</w:t>
      </w:r>
      <w:r w:rsidRPr="00882F11">
        <w:rPr>
          <w:rFonts w:cs="Guttman Drogolin" w:hint="cs"/>
          <w:rtl/>
          <w:lang w:bidi="he-IL"/>
        </w:rPr>
        <w:t xml:space="preserve">שו שלפי הצד שהבאנו לעיל שלתוס' לא אומרים שההיתר נהפך להיות איסור ע"י הדין של </w:t>
      </w:r>
      <w:r w:rsidR="00C5379A" w:rsidRPr="00882F11">
        <w:rPr>
          <w:rFonts w:cs="Guttman Drogolin" w:hint="cs"/>
          <w:rtl/>
          <w:lang w:bidi="he-IL"/>
        </w:rPr>
        <w:t>טעם כעיקר</w:t>
      </w:r>
      <w:r w:rsidR="00942C5F" w:rsidRPr="00882F11">
        <w:rPr>
          <w:rFonts w:cs="Guttman Drogolin" w:hint="cs"/>
          <w:rtl/>
          <w:lang w:bidi="he-IL"/>
        </w:rPr>
        <w:t xml:space="preserve"> מה</w:t>
      </w:r>
      <w:r w:rsidRPr="00882F11">
        <w:rPr>
          <w:rFonts w:cs="Guttman Drogolin" w:hint="cs"/>
          <w:rtl/>
          <w:lang w:bidi="he-IL"/>
        </w:rPr>
        <w:t>ו כל קושיית התוס', הא על הצד ש</w:t>
      </w:r>
      <w:r w:rsidR="00C65865">
        <w:rPr>
          <w:rFonts w:cs="Guttman Drogolin" w:hint="cs"/>
          <w:rtl/>
          <w:lang w:bidi="he-IL"/>
        </w:rPr>
        <w:t>כ</w:t>
      </w:r>
      <w:r w:rsidRPr="00882F11">
        <w:rPr>
          <w:rFonts w:cs="Guttman Drogolin" w:hint="cs"/>
          <w:rtl/>
          <w:lang w:bidi="he-IL"/>
        </w:rPr>
        <w:t>זית של ממשו בכא"פ לאו דאורייתא לכאורה הה"נ שטעם לאו דאורייתא. ובעצם לכאורה קושיא זו אפשר להק</w:t>
      </w:r>
      <w:r w:rsidR="00942C5F" w:rsidRPr="00882F11">
        <w:rPr>
          <w:rFonts w:cs="Guttman Drogolin" w:hint="cs"/>
          <w:rtl/>
          <w:lang w:bidi="he-IL"/>
        </w:rPr>
        <w:t>ש</w:t>
      </w:r>
      <w:r w:rsidRPr="00882F11">
        <w:rPr>
          <w:rFonts w:cs="Guttman Drogolin" w:hint="cs"/>
          <w:rtl/>
          <w:lang w:bidi="he-IL"/>
        </w:rPr>
        <w:t xml:space="preserve">ות באופן אחר, שאם לא אמרינן נהפך, איך אפשר לומר שיש מ"ד דכזית בכא"פ לאו דאורייתא, הא </w:t>
      </w:r>
      <w:r w:rsidR="00C65865">
        <w:rPr>
          <w:rFonts w:cs="Guttman Drogolin" w:hint="cs"/>
          <w:rtl/>
          <w:lang w:bidi="he-IL"/>
        </w:rPr>
        <w:t>זהו</w:t>
      </w:r>
      <w:r w:rsidRPr="00882F11">
        <w:rPr>
          <w:rFonts w:cs="Guttman Drogolin" w:hint="cs"/>
          <w:rtl/>
          <w:lang w:bidi="he-IL"/>
        </w:rPr>
        <w:t xml:space="preserve"> נגד הדין של </w:t>
      </w:r>
      <w:r w:rsidR="00C5379A" w:rsidRPr="00882F11">
        <w:rPr>
          <w:rFonts w:cs="Guttman Drogolin" w:hint="cs"/>
          <w:rtl/>
          <w:lang w:bidi="he-IL"/>
        </w:rPr>
        <w:t>טעם כעיקר</w:t>
      </w:r>
      <w:r w:rsidRPr="00882F11">
        <w:rPr>
          <w:rFonts w:cs="Guttman Drogolin" w:hint="cs"/>
          <w:rtl/>
          <w:lang w:bidi="he-IL"/>
        </w:rPr>
        <w:t xml:space="preserve">, ודחוק מאד לומר דנפק"מ לדין </w:t>
      </w:r>
      <w:r w:rsidR="00C5379A" w:rsidRPr="00882F11">
        <w:rPr>
          <w:rFonts w:cs="Guttman Drogolin" w:hint="cs"/>
          <w:rtl/>
          <w:lang w:bidi="he-IL"/>
        </w:rPr>
        <w:t>טעם כעיקר</w:t>
      </w:r>
      <w:r w:rsidRPr="00882F11">
        <w:rPr>
          <w:rFonts w:cs="Guttman Drogolin" w:hint="cs"/>
          <w:rtl/>
          <w:lang w:bidi="he-IL"/>
        </w:rPr>
        <w:t xml:space="preserve"> בכה"ג שיש רוב טעם (ע' מש"כ בזה בס' שחיטת חולין עמ' ע"ד).   </w:t>
      </w:r>
    </w:p>
    <w:p w:rsidR="00BE2A87" w:rsidRPr="00882F11" w:rsidRDefault="00BE2A87" w:rsidP="00946CCD">
      <w:pPr>
        <w:bidi/>
        <w:jc w:val="both"/>
        <w:rPr>
          <w:rFonts w:cs="Guttman Drogolin"/>
          <w:rtl/>
          <w:lang w:bidi="he-IL"/>
        </w:rPr>
        <w:sectPr w:rsidR="00BE2A87" w:rsidRPr="00882F11" w:rsidSect="00882F11">
          <w:type w:val="continuous"/>
          <w:pgSz w:w="11907" w:h="16839" w:code="9"/>
          <w:pgMar w:top="1440" w:right="1440" w:bottom="1440" w:left="1440" w:header="720" w:footer="720" w:gutter="0"/>
          <w:cols w:num="2" w:space="720"/>
          <w:bidi/>
          <w:docGrid w:linePitch="360"/>
        </w:sectPr>
      </w:pPr>
    </w:p>
    <w:p w:rsidR="00BE2A87" w:rsidRPr="00882F11" w:rsidRDefault="00BE2A87" w:rsidP="00BE2A87">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ט'</w:t>
      </w:r>
    </w:p>
    <w:p w:rsidR="00882F11" w:rsidRDefault="00882F11" w:rsidP="0078079C">
      <w:pPr>
        <w:pStyle w:val="Heading1"/>
        <w:bidi/>
        <w:spacing w:before="0" w:line="360" w:lineRule="auto"/>
        <w:jc w:val="center"/>
        <w:rPr>
          <w:rFonts w:cs="Guttman Drogolin"/>
          <w:color w:val="auto"/>
          <w:sz w:val="24"/>
          <w:szCs w:val="24"/>
          <w:u w:val="single"/>
          <w:rtl/>
          <w:lang w:bidi="he-IL"/>
        </w:rPr>
        <w:sectPr w:rsidR="00882F11" w:rsidSect="00882F11">
          <w:pgSz w:w="11907" w:h="16839" w:code="9"/>
          <w:pgMar w:top="1440" w:right="1440" w:bottom="1440" w:left="1440" w:header="720" w:footer="720" w:gutter="0"/>
          <w:cols w:space="720"/>
          <w:bidi/>
          <w:docGrid w:linePitch="360"/>
        </w:sectPr>
      </w:pPr>
    </w:p>
    <w:p w:rsidR="00BE2A87" w:rsidRPr="00882F11" w:rsidRDefault="00BE2A87" w:rsidP="0078079C">
      <w:pPr>
        <w:pStyle w:val="Heading1"/>
        <w:bidi/>
        <w:spacing w:before="0" w:line="360" w:lineRule="auto"/>
        <w:jc w:val="center"/>
        <w:rPr>
          <w:rFonts w:cs="Guttman Drogolin"/>
          <w:color w:val="auto"/>
          <w:sz w:val="24"/>
          <w:szCs w:val="24"/>
          <w:u w:val="single"/>
          <w:rtl/>
          <w:lang w:bidi="he-IL"/>
        </w:rPr>
      </w:pPr>
      <w:bookmarkStart w:id="40" w:name="_Toc496175304"/>
      <w:r w:rsidRPr="00882F11">
        <w:rPr>
          <w:rFonts w:cs="Guttman Drogolin" w:hint="cs"/>
          <w:color w:val="auto"/>
          <w:sz w:val="24"/>
          <w:szCs w:val="24"/>
          <w:u w:val="single"/>
          <w:rtl/>
          <w:lang w:bidi="he-IL"/>
        </w:rPr>
        <w:lastRenderedPageBreak/>
        <w:t>עוד בשיטת רש"י בדין טעם כעיקר</w:t>
      </w:r>
      <w:bookmarkEnd w:id="40"/>
    </w:p>
    <w:p w:rsidR="00825E31" w:rsidRPr="00882F11" w:rsidRDefault="0091120E" w:rsidP="00B84AA2">
      <w:pPr>
        <w:bidi/>
        <w:jc w:val="both"/>
        <w:rPr>
          <w:rFonts w:cs="Guttman Drogolin"/>
          <w:rtl/>
          <w:lang w:bidi="he-IL"/>
        </w:rPr>
      </w:pPr>
      <w:r w:rsidRPr="00882F11">
        <w:rPr>
          <w:rFonts w:cs="Guttman Drogolin" w:hint="cs"/>
          <w:rtl/>
          <w:lang w:bidi="he-IL"/>
        </w:rPr>
        <w:t xml:space="preserve">רש"י כאן במס' חולין כתב שהלימוד של </w:t>
      </w:r>
      <w:r w:rsidR="00C5379A" w:rsidRPr="00882F11">
        <w:rPr>
          <w:rFonts w:cs="Guttman Drogolin" w:hint="cs"/>
          <w:rtl/>
          <w:lang w:bidi="he-IL"/>
        </w:rPr>
        <w:t>טעם כעיקר</w:t>
      </w:r>
      <w:r w:rsidRPr="00882F11">
        <w:rPr>
          <w:rFonts w:cs="Guttman Drogolin" w:hint="cs"/>
          <w:rtl/>
          <w:lang w:bidi="he-IL"/>
        </w:rPr>
        <w:t xml:space="preserve"> אינו אלא אסמכתא לאמוראי בתראי. והרמב"ן ועוד ראשונים מביאים מר"ת שהקשה על זה שמשמעות הגמ' במס' פסחים אינו כן. חדא שהרי שואלת הגמ' אליבא דר"ע שלמד ממשרת ש</w:t>
      </w:r>
      <w:r w:rsidR="00C5379A" w:rsidRPr="00882F11">
        <w:rPr>
          <w:rFonts w:cs="Guttman Drogolin" w:hint="cs"/>
          <w:rtl/>
          <w:lang w:bidi="he-IL"/>
        </w:rPr>
        <w:t>היתר מצטרף לאיסור</w:t>
      </w:r>
      <w:r w:rsidRPr="00882F11">
        <w:rPr>
          <w:rFonts w:cs="Guttman Drogolin" w:hint="cs"/>
          <w:rtl/>
          <w:lang w:bidi="he-IL"/>
        </w:rPr>
        <w:t xml:space="preserve"> ד</w:t>
      </w:r>
      <w:r w:rsidR="00C5379A" w:rsidRPr="00882F11">
        <w:rPr>
          <w:rFonts w:cs="Guttman Drogolin" w:hint="cs"/>
          <w:rtl/>
          <w:lang w:bidi="he-IL"/>
        </w:rPr>
        <w:t>טעם כעיקר</w:t>
      </w:r>
      <w:r w:rsidRPr="00882F11">
        <w:rPr>
          <w:rFonts w:cs="Guttman Drogolin" w:hint="cs"/>
          <w:rtl/>
          <w:lang w:bidi="he-IL"/>
        </w:rPr>
        <w:t xml:space="preserve"> מנלן. ומשמע דאילו לא למדנו </w:t>
      </w:r>
      <w:r w:rsidR="00C5379A" w:rsidRPr="00882F11">
        <w:rPr>
          <w:rFonts w:cs="Guttman Drogolin" w:hint="cs"/>
          <w:rtl/>
          <w:lang w:bidi="he-IL"/>
        </w:rPr>
        <w:t>טעם כעיקר</w:t>
      </w:r>
      <w:r w:rsidRPr="00882F11">
        <w:rPr>
          <w:rFonts w:cs="Guttman Drogolin"/>
          <w:lang w:bidi="he-IL"/>
        </w:rPr>
        <w:t xml:space="preserve"> </w:t>
      </w:r>
      <w:r w:rsidRPr="00882F11">
        <w:rPr>
          <w:rFonts w:cs="Guttman Drogolin" w:hint="cs"/>
          <w:rtl/>
          <w:lang w:bidi="he-IL"/>
        </w:rPr>
        <w:t xml:space="preserve">ממקום אחר לא הי' לומד ממשרת </w:t>
      </w:r>
      <w:r w:rsidR="00C5379A" w:rsidRPr="00882F11">
        <w:rPr>
          <w:rFonts w:cs="Guttman Drogolin" w:hint="cs"/>
          <w:rtl/>
          <w:lang w:bidi="he-IL"/>
        </w:rPr>
        <w:t>היתר מצטרף לאיסור</w:t>
      </w:r>
      <w:r w:rsidRPr="00882F11">
        <w:rPr>
          <w:rFonts w:cs="Guttman Drogolin" w:hint="cs"/>
          <w:rtl/>
          <w:lang w:bidi="he-IL"/>
        </w:rPr>
        <w:t xml:space="preserve"> רק </w:t>
      </w:r>
      <w:r w:rsidR="00C5379A" w:rsidRPr="00882F11">
        <w:rPr>
          <w:rFonts w:cs="Guttman Drogolin" w:hint="cs"/>
          <w:rtl/>
          <w:lang w:bidi="he-IL"/>
        </w:rPr>
        <w:t>טעם כעיקר</w:t>
      </w:r>
      <w:r w:rsidRPr="00882F11">
        <w:rPr>
          <w:rFonts w:cs="Guttman Drogolin" w:hint="cs"/>
          <w:rtl/>
          <w:lang w:bidi="he-IL"/>
        </w:rPr>
        <w:t>, ואילו הי' אסמכתא בעלמא הא אין להק</w:t>
      </w:r>
      <w:r w:rsidR="00B84AA2" w:rsidRPr="00882F11">
        <w:rPr>
          <w:rFonts w:cs="Guttman Drogolin" w:hint="cs"/>
          <w:rtl/>
          <w:lang w:bidi="he-IL"/>
        </w:rPr>
        <w:t>ש</w:t>
      </w:r>
      <w:r w:rsidRPr="00882F11">
        <w:rPr>
          <w:rFonts w:cs="Guttman Drogolin" w:hint="cs"/>
          <w:rtl/>
          <w:lang w:bidi="he-IL"/>
        </w:rPr>
        <w:t>ות כן ב</w:t>
      </w:r>
      <w:r w:rsidR="00C5379A" w:rsidRPr="00882F11">
        <w:rPr>
          <w:rFonts w:cs="Guttman Drogolin" w:hint="cs"/>
          <w:rtl/>
          <w:lang w:bidi="he-IL"/>
        </w:rPr>
        <w:t>היתר מצטרף לאיסור</w:t>
      </w:r>
      <w:r w:rsidRPr="00882F11">
        <w:rPr>
          <w:rFonts w:cs="Guttman Drogolin" w:hint="cs"/>
          <w:rtl/>
          <w:lang w:bidi="he-IL"/>
        </w:rPr>
        <w:t>, ד</w:t>
      </w:r>
      <w:r w:rsidR="00C5379A" w:rsidRPr="00882F11">
        <w:rPr>
          <w:rFonts w:cs="Guttman Drogolin" w:hint="cs"/>
          <w:rtl/>
          <w:lang w:bidi="he-IL"/>
        </w:rPr>
        <w:t>היתר מצטרף לאיסור</w:t>
      </w:r>
      <w:r w:rsidRPr="00882F11">
        <w:rPr>
          <w:rFonts w:cs="Guttman Drogolin" w:hint="cs"/>
          <w:rtl/>
          <w:lang w:bidi="he-IL"/>
        </w:rPr>
        <w:t xml:space="preserve"> ודאי </w:t>
      </w:r>
      <w:r w:rsidR="00C5379A" w:rsidRPr="00882F11">
        <w:rPr>
          <w:rFonts w:cs="Guttman Drogolin" w:hint="cs"/>
          <w:rtl/>
          <w:lang w:bidi="he-IL"/>
        </w:rPr>
        <w:t>דאורייתא</w:t>
      </w:r>
      <w:r w:rsidRPr="00882F11">
        <w:rPr>
          <w:rFonts w:cs="Guttman Drogolin" w:hint="cs"/>
          <w:rtl/>
          <w:lang w:bidi="he-IL"/>
        </w:rPr>
        <w:t xml:space="preserve"> היא כיון נפק"מ למלקות. וכן קשה מסוף דברי הגמ' שהקשו למה ר"ע אינו לומד </w:t>
      </w:r>
      <w:r w:rsidR="00C5379A" w:rsidRPr="00882F11">
        <w:rPr>
          <w:rFonts w:cs="Guttman Drogolin" w:hint="cs"/>
          <w:rtl/>
          <w:lang w:bidi="he-IL"/>
        </w:rPr>
        <w:t>היתר מצטרף לאיסור</w:t>
      </w:r>
      <w:r w:rsidRPr="00882F11">
        <w:rPr>
          <w:rFonts w:cs="Guttman Drogolin" w:hint="cs"/>
          <w:rtl/>
          <w:lang w:bidi="he-IL"/>
        </w:rPr>
        <w:t xml:space="preserve"> לכה"ת כולה ממשרת כמו שרבנן לומדים </w:t>
      </w:r>
      <w:r w:rsidR="00C5379A" w:rsidRPr="00882F11">
        <w:rPr>
          <w:rFonts w:cs="Guttman Drogolin" w:hint="cs"/>
          <w:rtl/>
          <w:lang w:bidi="he-IL"/>
        </w:rPr>
        <w:t>טעם כעיקר</w:t>
      </w:r>
      <w:r w:rsidRPr="00882F11">
        <w:rPr>
          <w:rFonts w:cs="Guttman Drogolin" w:hint="cs"/>
          <w:rtl/>
          <w:lang w:bidi="he-IL"/>
        </w:rPr>
        <w:t xml:space="preserve"> לכה"ת ממשרת. ו</w:t>
      </w:r>
      <w:r w:rsidR="000632DD" w:rsidRPr="00882F11">
        <w:rPr>
          <w:rFonts w:cs="Guttman Drogolin" w:hint="cs"/>
          <w:rtl/>
          <w:lang w:bidi="he-IL"/>
        </w:rPr>
        <w:t>כיון שהגמ' משוה הלימודים, הרי כמו שהלימוד ד</w:t>
      </w:r>
      <w:r w:rsidR="00C5379A" w:rsidRPr="00882F11">
        <w:rPr>
          <w:rFonts w:cs="Guttman Drogolin" w:hint="cs"/>
          <w:rtl/>
          <w:lang w:bidi="he-IL"/>
        </w:rPr>
        <w:t>היתר מצטרף לאיסור</w:t>
      </w:r>
      <w:r w:rsidR="000632DD" w:rsidRPr="00882F11">
        <w:rPr>
          <w:rFonts w:cs="Guttman Drogolin" w:hint="cs"/>
          <w:rtl/>
          <w:lang w:bidi="he-IL"/>
        </w:rPr>
        <w:t xml:space="preserve"> ע"כ דאורייתא היא</w:t>
      </w:r>
      <w:r w:rsidR="00E425DA">
        <w:rPr>
          <w:rFonts w:cs="Guttman Drogolin" w:hint="cs"/>
          <w:rtl/>
          <w:lang w:bidi="he-IL"/>
        </w:rPr>
        <w:t>,</w:t>
      </w:r>
      <w:r w:rsidR="000632DD" w:rsidRPr="00882F11">
        <w:rPr>
          <w:rFonts w:cs="Guttman Drogolin" w:hint="cs"/>
          <w:rtl/>
          <w:lang w:bidi="he-IL"/>
        </w:rPr>
        <w:t xml:space="preserve"> דהא לענין מלקות איתמר, הה"נ לענין הלימוד ד</w:t>
      </w:r>
      <w:r w:rsidR="00C5379A" w:rsidRPr="00882F11">
        <w:rPr>
          <w:rFonts w:cs="Guttman Drogolin" w:hint="cs"/>
          <w:rtl/>
          <w:lang w:bidi="he-IL"/>
        </w:rPr>
        <w:t>טעם כעיקר</w:t>
      </w:r>
      <w:r w:rsidR="000632DD" w:rsidRPr="00882F11">
        <w:rPr>
          <w:rFonts w:cs="Guttman Drogolin" w:hint="cs"/>
          <w:rtl/>
          <w:lang w:bidi="he-IL"/>
        </w:rPr>
        <w:t xml:space="preserve">. </w:t>
      </w:r>
    </w:p>
    <w:p w:rsidR="00CE24D6" w:rsidRPr="00882F11" w:rsidRDefault="00825E31" w:rsidP="00E425DA">
      <w:pPr>
        <w:bidi/>
        <w:jc w:val="both"/>
        <w:rPr>
          <w:rFonts w:cs="Guttman Drogolin"/>
          <w:rtl/>
          <w:lang w:bidi="he-IL"/>
        </w:rPr>
      </w:pPr>
      <w:r w:rsidRPr="00882F11">
        <w:rPr>
          <w:rFonts w:cs="Guttman Drogolin" w:hint="cs"/>
          <w:rtl/>
          <w:lang w:bidi="he-IL"/>
        </w:rPr>
        <w:t>והרמב"ן השיב על זה שמה שמבואר מן הסוגיא ד</w:t>
      </w:r>
      <w:r w:rsidR="00C5379A" w:rsidRPr="00882F11">
        <w:rPr>
          <w:rFonts w:cs="Guttman Drogolin" w:hint="cs"/>
          <w:rtl/>
          <w:lang w:bidi="he-IL"/>
        </w:rPr>
        <w:t>טעם כעיקר</w:t>
      </w:r>
      <w:r w:rsidRPr="00882F11">
        <w:rPr>
          <w:rFonts w:cs="Guttman Drogolin" w:hint="cs"/>
          <w:rtl/>
          <w:lang w:bidi="he-IL"/>
        </w:rPr>
        <w:t xml:space="preserve"> הוי לימוד גמור ודין דאורייתא, היינו אליבא דאביי, וסוגיא שמס' פסחים אליבא דאביי היא. אבל לעולם י"ל דר' יוחנן דסבר דטעמו וממשו אין לוקין עליו סבר אליבא דהנהו תנאי ד</w:t>
      </w:r>
      <w:r w:rsidR="00C5379A" w:rsidRPr="00882F11">
        <w:rPr>
          <w:rFonts w:cs="Guttman Drogolin" w:hint="cs"/>
          <w:rtl/>
          <w:lang w:bidi="he-IL"/>
        </w:rPr>
        <w:t>טעם כעיקר</w:t>
      </w:r>
      <w:r w:rsidRPr="00882F11">
        <w:rPr>
          <w:rFonts w:cs="Guttman Drogolin" w:hint="cs"/>
          <w:rtl/>
          <w:lang w:bidi="he-IL"/>
        </w:rPr>
        <w:t xml:space="preserve"> דרבנן. ויסוד </w:t>
      </w:r>
      <w:r w:rsidR="00CE24D6" w:rsidRPr="00882F11">
        <w:rPr>
          <w:rFonts w:cs="Guttman Drogolin" w:hint="cs"/>
          <w:rtl/>
          <w:lang w:bidi="he-IL"/>
        </w:rPr>
        <w:t xml:space="preserve">הדברים </w:t>
      </w:r>
      <w:r w:rsidRPr="00882F11">
        <w:rPr>
          <w:rFonts w:cs="Guttman Drogolin" w:hint="cs"/>
          <w:rtl/>
          <w:lang w:bidi="he-IL"/>
        </w:rPr>
        <w:t>ד</w:t>
      </w:r>
      <w:r w:rsidR="00CE24D6" w:rsidRPr="00882F11">
        <w:rPr>
          <w:rFonts w:cs="Guttman Drogolin" w:hint="cs"/>
          <w:rtl/>
          <w:lang w:bidi="he-IL"/>
        </w:rPr>
        <w:t>קים לי'</w:t>
      </w:r>
      <w:r w:rsidRPr="00882F11">
        <w:rPr>
          <w:rFonts w:cs="Guttman Drogolin" w:hint="cs"/>
          <w:rtl/>
          <w:lang w:bidi="he-IL"/>
        </w:rPr>
        <w:t xml:space="preserve"> </w:t>
      </w:r>
      <w:r w:rsidR="00CE24D6" w:rsidRPr="00882F11">
        <w:rPr>
          <w:rFonts w:cs="Guttman Drogolin" w:hint="cs"/>
          <w:rtl/>
          <w:lang w:bidi="he-IL"/>
        </w:rPr>
        <w:t>לאביי ד</w:t>
      </w:r>
      <w:r w:rsidR="00C5379A" w:rsidRPr="00882F11">
        <w:rPr>
          <w:rFonts w:cs="Guttman Drogolin" w:hint="cs"/>
          <w:rtl/>
          <w:lang w:bidi="he-IL"/>
        </w:rPr>
        <w:t>טעם כעיקר</w:t>
      </w:r>
      <w:r w:rsidR="00CE24D6" w:rsidRPr="00882F11">
        <w:rPr>
          <w:rFonts w:cs="Guttman Drogolin" w:hint="cs"/>
          <w:rtl/>
          <w:lang w:bidi="he-IL"/>
        </w:rPr>
        <w:t xml:space="preserve"> דאורייתא, ולכן הי' מחפש לה מקור מן הכתב. ומעיקרא סבר שהמקור מבשר וחלב, וכשדחה רבא דהתם שאני דחידוש הוא, הביא מקור ממקום אחר כגון משרת או"ד גיעולי נכרים. אבל ר' יוחנן </w:t>
      </w:r>
      <w:r w:rsidR="001F1603" w:rsidRPr="00882F11">
        <w:rPr>
          <w:rFonts w:cs="Guttman Drogolin" w:hint="cs"/>
          <w:rtl/>
          <w:lang w:bidi="he-IL"/>
        </w:rPr>
        <w:t xml:space="preserve">שאמר שטעמו ולא ממשו אין לוקין עליו </w:t>
      </w:r>
      <w:r w:rsidR="00CE24D6" w:rsidRPr="00882F11">
        <w:rPr>
          <w:rFonts w:cs="Guttman Drogolin" w:hint="cs"/>
          <w:rtl/>
          <w:lang w:bidi="he-IL"/>
        </w:rPr>
        <w:t>לא סבירא לי' ד</w:t>
      </w:r>
      <w:r w:rsidR="00C5379A" w:rsidRPr="00882F11">
        <w:rPr>
          <w:rFonts w:cs="Guttman Drogolin" w:hint="cs"/>
          <w:rtl/>
          <w:lang w:bidi="he-IL"/>
        </w:rPr>
        <w:t>טעם כעיקר</w:t>
      </w:r>
      <w:r w:rsidR="00CE24D6" w:rsidRPr="00882F11">
        <w:rPr>
          <w:rFonts w:cs="Guttman Drogolin" w:hint="cs"/>
          <w:rtl/>
          <w:lang w:bidi="he-IL"/>
        </w:rPr>
        <w:t xml:space="preserve"> דאורייתא</w:t>
      </w:r>
      <w:r w:rsidR="001F1603" w:rsidRPr="00882F11">
        <w:rPr>
          <w:rFonts w:cs="Guttman Drogolin" w:hint="cs"/>
          <w:rtl/>
          <w:lang w:bidi="he-IL"/>
        </w:rPr>
        <w:t>,</w:t>
      </w:r>
      <w:r w:rsidR="00CE24D6" w:rsidRPr="00882F11">
        <w:rPr>
          <w:rFonts w:cs="Guttman Drogolin" w:hint="cs"/>
          <w:rtl/>
          <w:lang w:bidi="he-IL"/>
        </w:rPr>
        <w:t xml:space="preserve"> וכל המקורות </w:t>
      </w:r>
      <w:r w:rsidR="00E425DA">
        <w:rPr>
          <w:rFonts w:cs="Guttman Drogolin" w:hint="cs"/>
          <w:rtl/>
          <w:lang w:bidi="he-IL"/>
        </w:rPr>
        <w:t>ש</w:t>
      </w:r>
      <w:r w:rsidR="001F1603" w:rsidRPr="00882F11">
        <w:rPr>
          <w:rFonts w:cs="Guttman Drogolin" w:hint="cs"/>
          <w:rtl/>
          <w:lang w:bidi="he-IL"/>
        </w:rPr>
        <w:t>הביאו שם בגמ' למד מהם ענינים אחרים,</w:t>
      </w:r>
      <w:r w:rsidR="00CE24D6" w:rsidRPr="00882F11">
        <w:rPr>
          <w:rFonts w:cs="Guttman Drogolin" w:hint="cs"/>
          <w:rtl/>
          <w:lang w:bidi="he-IL"/>
        </w:rPr>
        <w:t xml:space="preserve"> וכמו שביאר רש"י.</w:t>
      </w:r>
      <w:r w:rsidR="001F1603" w:rsidRPr="00882F11">
        <w:rPr>
          <w:rFonts w:cs="Guttman Drogolin" w:hint="cs"/>
          <w:rtl/>
          <w:lang w:bidi="he-IL"/>
        </w:rPr>
        <w:t xml:space="preserve"> ואע"ג שר' יוחנן הוא </w:t>
      </w:r>
      <w:r w:rsidR="001F1603" w:rsidRPr="00882F11">
        <w:rPr>
          <w:rFonts w:cs="Guttman Drogolin" w:hint="cs"/>
          <w:rtl/>
          <w:lang w:bidi="he-IL"/>
        </w:rPr>
        <w:lastRenderedPageBreak/>
        <w:t xml:space="preserve">דקאמר בתחילת הסוגיא שממשרת לומדים שבנזיר </w:t>
      </w:r>
      <w:r w:rsidR="00C5379A" w:rsidRPr="00882F11">
        <w:rPr>
          <w:rFonts w:cs="Guttman Drogolin" w:hint="cs"/>
          <w:rtl/>
          <w:lang w:bidi="he-IL"/>
        </w:rPr>
        <w:t>היתר מצטרף לאיסור</w:t>
      </w:r>
      <w:r w:rsidR="001F1603" w:rsidRPr="00882F11">
        <w:rPr>
          <w:rFonts w:cs="Guttman Drogolin" w:hint="cs"/>
          <w:rtl/>
          <w:lang w:bidi="he-IL"/>
        </w:rPr>
        <w:t>, והקשו עליו דהא הוי ל</w:t>
      </w:r>
      <w:r w:rsidR="00C5379A" w:rsidRPr="00882F11">
        <w:rPr>
          <w:rFonts w:cs="Guttman Drogolin" w:hint="cs"/>
          <w:rtl/>
          <w:lang w:bidi="he-IL"/>
        </w:rPr>
        <w:t>טעם כעיקר</w:t>
      </w:r>
      <w:r w:rsidR="001F1603" w:rsidRPr="00882F11">
        <w:rPr>
          <w:rFonts w:cs="Guttman Drogolin" w:hint="cs"/>
          <w:rtl/>
          <w:lang w:bidi="he-IL"/>
        </w:rPr>
        <w:t xml:space="preserve"> ותי' דסבר כר"ע ועדיין הקשו דא"כ מנ"ל ד</w:t>
      </w:r>
      <w:r w:rsidR="00C5379A" w:rsidRPr="00882F11">
        <w:rPr>
          <w:rFonts w:cs="Guttman Drogolin" w:hint="cs"/>
          <w:rtl/>
          <w:lang w:bidi="he-IL"/>
        </w:rPr>
        <w:t>טעם כעיקר</w:t>
      </w:r>
      <w:r w:rsidR="001F1603" w:rsidRPr="00882F11">
        <w:rPr>
          <w:rFonts w:cs="Guttman Drogolin" w:hint="cs"/>
          <w:rtl/>
          <w:lang w:bidi="he-IL"/>
        </w:rPr>
        <w:t xml:space="preserve"> </w:t>
      </w:r>
      <w:r w:rsidR="00C5379A" w:rsidRPr="00882F11">
        <w:rPr>
          <w:rFonts w:cs="Guttman Drogolin" w:hint="cs"/>
          <w:rtl/>
          <w:lang w:bidi="he-IL"/>
        </w:rPr>
        <w:t>דאורייתא</w:t>
      </w:r>
      <w:r w:rsidR="001F1603" w:rsidRPr="00882F11">
        <w:rPr>
          <w:rFonts w:cs="Guttman Drogolin" w:hint="cs"/>
          <w:rtl/>
          <w:lang w:bidi="he-IL"/>
        </w:rPr>
        <w:t xml:space="preserve">, כל זה אליבא דאביי, אבל ר' יוחנן עצמו הי' מתרץ שלעולם </w:t>
      </w:r>
      <w:r w:rsidR="00C5379A" w:rsidRPr="00882F11">
        <w:rPr>
          <w:rFonts w:cs="Guttman Drogolin" w:hint="cs"/>
          <w:rtl/>
          <w:lang w:bidi="he-IL"/>
        </w:rPr>
        <w:t>טעם כעיקר</w:t>
      </w:r>
      <w:r w:rsidR="001F1603" w:rsidRPr="00882F11">
        <w:rPr>
          <w:rFonts w:cs="Guttman Drogolin" w:hint="cs"/>
          <w:rtl/>
          <w:lang w:bidi="he-IL"/>
        </w:rPr>
        <w:t xml:space="preserve"> לאו דאורייתא</w:t>
      </w:r>
      <w:r w:rsidR="00CD0D0F" w:rsidRPr="00882F11">
        <w:rPr>
          <w:rStyle w:val="FootnoteReference"/>
          <w:rFonts w:cs="Guttman Drogolin"/>
          <w:rtl/>
          <w:lang w:bidi="he-IL"/>
        </w:rPr>
        <w:footnoteReference w:id="53"/>
      </w:r>
      <w:r w:rsidR="001F1603" w:rsidRPr="00882F11">
        <w:rPr>
          <w:rFonts w:cs="Guttman Drogolin" w:hint="cs"/>
          <w:rtl/>
          <w:lang w:bidi="he-IL"/>
        </w:rPr>
        <w:t xml:space="preserve">. </w:t>
      </w:r>
    </w:p>
    <w:p w:rsidR="00755290" w:rsidRPr="00882F11" w:rsidRDefault="00CE24D6" w:rsidP="00755290">
      <w:pPr>
        <w:bidi/>
        <w:jc w:val="both"/>
        <w:rPr>
          <w:rFonts w:cs="Guttman Drogolin"/>
          <w:rtl/>
          <w:lang w:bidi="he-IL"/>
        </w:rPr>
      </w:pPr>
      <w:r w:rsidRPr="00882F11">
        <w:rPr>
          <w:rFonts w:cs="Guttman Drogolin" w:hint="cs"/>
          <w:rtl/>
          <w:lang w:bidi="he-IL"/>
        </w:rPr>
        <w:t>ולכאורה קשה, דהנה רע"א הוכיח מדברי התוס' שאלמלא הגזה"כ ד</w:t>
      </w:r>
      <w:r w:rsidR="00C5379A" w:rsidRPr="00882F11">
        <w:rPr>
          <w:rFonts w:cs="Guttman Drogolin" w:hint="cs"/>
          <w:rtl/>
          <w:lang w:bidi="he-IL"/>
        </w:rPr>
        <w:t>טעם כעיקר</w:t>
      </w:r>
      <w:r w:rsidRPr="00882F11">
        <w:rPr>
          <w:rFonts w:cs="Guttman Drogolin" w:hint="cs"/>
          <w:rtl/>
          <w:lang w:bidi="he-IL"/>
        </w:rPr>
        <w:t xml:space="preserve"> הי' טעם מותר אפילו כשיש רוב טעם איסור ולא בעינן לי' להיתירא דאחרי רבים להטות להתיר הטעם. אבל מדברי רש"י כאן בד"ה לטעם כעיקר מבואר אחרת ולעולם אפילו אלמלא הגזה"כ הי' אסור אם לא ניתר מדין ביטול ברוב, שהרי כתב בהדיא שבחולין לא אמרינן </w:t>
      </w:r>
      <w:r w:rsidR="00C5379A" w:rsidRPr="00882F11">
        <w:rPr>
          <w:rFonts w:cs="Guttman Drogolin" w:hint="cs"/>
          <w:rtl/>
          <w:lang w:bidi="he-IL"/>
        </w:rPr>
        <w:t>טעם כעיקר</w:t>
      </w:r>
      <w:r w:rsidRPr="00882F11">
        <w:rPr>
          <w:rFonts w:cs="Guttman Drogolin" w:hint="cs"/>
          <w:rtl/>
          <w:lang w:bidi="he-IL"/>
        </w:rPr>
        <w:t xml:space="preserve"> והוא מותר מן הפסוק דאחרי רבים להטות. וראיתי מי </w:t>
      </w:r>
      <w:r w:rsidR="00755290" w:rsidRPr="00882F11">
        <w:rPr>
          <w:rFonts w:cs="Guttman Drogolin" w:hint="cs"/>
          <w:rtl/>
          <w:lang w:bidi="he-IL"/>
        </w:rPr>
        <w:t xml:space="preserve">שהקשה </w:t>
      </w:r>
      <w:r w:rsidRPr="00882F11">
        <w:rPr>
          <w:rFonts w:cs="Guttman Drogolin" w:hint="cs"/>
          <w:rtl/>
          <w:lang w:bidi="he-IL"/>
        </w:rPr>
        <w:t xml:space="preserve">שהרי הבאנו דע"כ לשיטת רש"י טעמו וממשו </w:t>
      </w:r>
      <w:r w:rsidR="00C5379A" w:rsidRPr="00882F11">
        <w:rPr>
          <w:rFonts w:cs="Guttman Drogolin" w:hint="cs"/>
          <w:rtl/>
          <w:lang w:bidi="he-IL"/>
        </w:rPr>
        <w:t>דאורייתא</w:t>
      </w:r>
      <w:r w:rsidRPr="00882F11">
        <w:rPr>
          <w:rFonts w:cs="Guttman Drogolin" w:hint="cs"/>
          <w:rtl/>
          <w:lang w:bidi="he-IL"/>
        </w:rPr>
        <w:t xml:space="preserve"> אפילו בלי גזה"כ ד</w:t>
      </w:r>
      <w:r w:rsidR="00C5379A" w:rsidRPr="00882F11">
        <w:rPr>
          <w:rFonts w:cs="Guttman Drogolin" w:hint="cs"/>
          <w:rtl/>
          <w:lang w:bidi="he-IL"/>
        </w:rPr>
        <w:t>טעם כעיקר</w:t>
      </w:r>
      <w:r w:rsidRPr="00882F11">
        <w:rPr>
          <w:rFonts w:cs="Guttman Drogolin" w:hint="cs"/>
          <w:rtl/>
          <w:lang w:bidi="he-IL"/>
        </w:rPr>
        <w:t xml:space="preserve"> דהא סבר </w:t>
      </w:r>
      <w:r w:rsidR="00C5379A" w:rsidRPr="00882F11">
        <w:rPr>
          <w:rFonts w:cs="Guttman Drogolin" w:hint="cs"/>
          <w:rtl/>
          <w:lang w:bidi="he-IL"/>
        </w:rPr>
        <w:t>טעם כעיקר</w:t>
      </w:r>
      <w:r w:rsidRPr="00882F11">
        <w:rPr>
          <w:rFonts w:cs="Guttman Drogolin" w:hint="cs"/>
          <w:rtl/>
          <w:lang w:bidi="he-IL"/>
        </w:rPr>
        <w:t xml:space="preserve"> דרבנן ומ"מ בטעמו וממשו לוקין עליו. וביארנו שהוא</w:t>
      </w:r>
      <w:r w:rsidR="00755290" w:rsidRPr="00882F11">
        <w:rPr>
          <w:rFonts w:cs="Guttman Drogolin" w:hint="cs"/>
          <w:rtl/>
          <w:lang w:bidi="he-IL"/>
        </w:rPr>
        <w:t xml:space="preserve"> </w:t>
      </w:r>
      <w:r w:rsidRPr="00882F11">
        <w:rPr>
          <w:rFonts w:cs="Guttman Drogolin" w:hint="cs"/>
          <w:rtl/>
          <w:lang w:bidi="he-IL"/>
        </w:rPr>
        <w:t>משום דהיכר טעם מונע את הביטול.</w:t>
      </w:r>
      <w:r w:rsidR="00755290" w:rsidRPr="00882F11">
        <w:rPr>
          <w:rFonts w:cs="Guttman Drogolin" w:hint="cs"/>
          <w:rtl/>
          <w:lang w:bidi="he-IL"/>
        </w:rPr>
        <w:t xml:space="preserve"> וא"כ לכאורה צ"ע שהרי גם טעם אליבא דרש"י הוי חפצא דאיסורא שצריך היתר דאחרי רבי להטות, וא"כ מאי שנא טעם ולא ממשו שמותר מדין ביטול ברוב ולא אמרינן שהוא אסור משום היכר טעם מטעמו וממשו שאינו בטל משום היכר טעם.</w:t>
      </w:r>
    </w:p>
    <w:p w:rsidR="004D1858" w:rsidRPr="00882F11" w:rsidRDefault="00755290" w:rsidP="00B84AA2">
      <w:pPr>
        <w:bidi/>
        <w:jc w:val="both"/>
        <w:rPr>
          <w:rFonts w:cs="Guttman Drogolin"/>
          <w:rtl/>
          <w:lang w:bidi="he-IL"/>
        </w:rPr>
      </w:pPr>
      <w:r w:rsidRPr="00882F11">
        <w:rPr>
          <w:rFonts w:cs="Guttman Drogolin" w:hint="cs"/>
          <w:rtl/>
          <w:lang w:bidi="he-IL"/>
        </w:rPr>
        <w:t>וע"כ צריכים אנו לחלק בין המהות של אי הביטול דטעמו וממשו להא דטעמו ולא ממשו</w:t>
      </w:r>
      <w:r w:rsidR="00B57BB8" w:rsidRPr="00882F11">
        <w:rPr>
          <w:rFonts w:cs="Guttman Drogolin" w:hint="cs"/>
          <w:rtl/>
          <w:lang w:bidi="he-IL"/>
        </w:rPr>
        <w:t>.</w:t>
      </w:r>
      <w:r w:rsidR="00800DFD" w:rsidRPr="00882F11">
        <w:rPr>
          <w:rFonts w:cs="Guttman Drogolin" w:hint="cs"/>
          <w:rtl/>
          <w:lang w:bidi="he-IL"/>
        </w:rPr>
        <w:t xml:space="preserve"> ו</w:t>
      </w:r>
      <w:r w:rsidR="00B57BB8" w:rsidRPr="00882F11">
        <w:rPr>
          <w:rFonts w:cs="Guttman Drogolin" w:hint="cs"/>
          <w:rtl/>
          <w:lang w:bidi="he-IL"/>
        </w:rPr>
        <w:t>נראה להקדים ד</w:t>
      </w:r>
      <w:r w:rsidR="00800DFD" w:rsidRPr="00882F11">
        <w:rPr>
          <w:rFonts w:cs="Guttman Drogolin" w:hint="cs"/>
          <w:rtl/>
          <w:lang w:bidi="he-IL"/>
        </w:rPr>
        <w:t xml:space="preserve">הנה אלמלא אחרי רבים להטות היינו אומרים שיש לתערובת גם דינו של ההיתר וגם דינו של האיסור, דהא תרוייהו איתנהו בי'. וקמ"ל </w:t>
      </w:r>
      <w:r w:rsidR="00B57BB8" w:rsidRPr="00882F11">
        <w:rPr>
          <w:rFonts w:cs="Guttman Drogolin" w:hint="cs"/>
          <w:rtl/>
          <w:lang w:bidi="he-IL"/>
        </w:rPr>
        <w:t xml:space="preserve">הגזה"כ שאין הדין כן </w:t>
      </w:r>
      <w:r w:rsidR="00800DFD" w:rsidRPr="00882F11">
        <w:rPr>
          <w:rFonts w:cs="Guttman Drogolin" w:hint="cs"/>
          <w:rtl/>
          <w:lang w:bidi="he-IL"/>
        </w:rPr>
        <w:t>ואין לתערובת אלא דינו של הרוב</w:t>
      </w:r>
      <w:r w:rsidR="00B57BB8" w:rsidRPr="00882F11">
        <w:rPr>
          <w:rFonts w:cs="Guttman Drogolin" w:hint="cs"/>
          <w:rtl/>
          <w:lang w:bidi="he-IL"/>
        </w:rPr>
        <w:t>. אמנם מתחלק היכר טעם בזה,</w:t>
      </w:r>
      <w:r w:rsidR="00800DFD" w:rsidRPr="00882F11">
        <w:rPr>
          <w:rFonts w:cs="Guttman Drogolin" w:hint="cs"/>
          <w:rtl/>
          <w:lang w:bidi="he-IL"/>
        </w:rPr>
        <w:t xml:space="preserve"> ש</w:t>
      </w:r>
      <w:r w:rsidR="00B57BB8" w:rsidRPr="00882F11">
        <w:rPr>
          <w:rFonts w:cs="Guttman Drogolin" w:hint="cs"/>
          <w:rtl/>
          <w:lang w:bidi="he-IL"/>
        </w:rPr>
        <w:t xml:space="preserve">הרי </w:t>
      </w:r>
      <w:r w:rsidR="00800DFD" w:rsidRPr="00882F11">
        <w:rPr>
          <w:rFonts w:cs="Guttman Drogolin" w:hint="cs"/>
          <w:rtl/>
          <w:lang w:bidi="he-IL"/>
        </w:rPr>
        <w:t xml:space="preserve">הגדר של טעם </w:t>
      </w:r>
      <w:r w:rsidR="00B57BB8" w:rsidRPr="00882F11">
        <w:rPr>
          <w:rFonts w:cs="Guttman Drogolin" w:hint="cs"/>
          <w:rtl/>
          <w:lang w:bidi="he-IL"/>
        </w:rPr>
        <w:t xml:space="preserve">בלא ממש </w:t>
      </w:r>
      <w:r w:rsidR="00800DFD" w:rsidRPr="00882F11">
        <w:rPr>
          <w:rFonts w:cs="Guttman Drogolin" w:hint="cs"/>
          <w:rtl/>
          <w:lang w:bidi="he-IL"/>
        </w:rPr>
        <w:t>הוא דבר שאינו בעין</w:t>
      </w:r>
      <w:r w:rsidR="00B57BB8" w:rsidRPr="00882F11">
        <w:rPr>
          <w:rFonts w:cs="Guttman Drogolin" w:hint="cs"/>
          <w:rtl/>
          <w:lang w:bidi="he-IL"/>
        </w:rPr>
        <w:t xml:space="preserve"> וכמו </w:t>
      </w:r>
      <w:r w:rsidR="00B57BB8" w:rsidRPr="00882F11">
        <w:rPr>
          <w:rFonts w:cs="Guttman Drogolin" w:hint="cs"/>
          <w:rtl/>
          <w:lang w:bidi="he-IL"/>
        </w:rPr>
        <w:lastRenderedPageBreak/>
        <w:t>שתיאר לנו הרמב"ן</w:t>
      </w:r>
      <w:r w:rsidR="00800DFD" w:rsidRPr="00882F11">
        <w:rPr>
          <w:rFonts w:cs="Guttman Drogolin" w:hint="cs"/>
          <w:rtl/>
          <w:lang w:bidi="he-IL"/>
        </w:rPr>
        <w:t>, והיינו שעכשיו ליכא דבר המסוים שאפשר לומר עליו שהוא החפצא דאיסורא, משא"כ בטעמו וממשו שאמנם האיסור מעורב, וכן אינו יודע איזה חלק אסור ואיזה חלק מותר, מ"מ יש דבר מסוים שהוא האיסור.</w:t>
      </w:r>
      <w:r w:rsidR="00B57BB8" w:rsidRPr="00882F11">
        <w:rPr>
          <w:rFonts w:cs="Guttman Drogolin" w:hint="cs"/>
          <w:rtl/>
          <w:lang w:bidi="he-IL"/>
        </w:rPr>
        <w:t xml:space="preserve"> ולכן כשיש היכר טעם, יש לחלק בין תערובת זו לתערובת זו, שבטעמו וממשו אמרינן דחזר </w:t>
      </w:r>
      <w:r w:rsidR="00B84AA2" w:rsidRPr="00882F11">
        <w:rPr>
          <w:rFonts w:cs="Guttman Drogolin" w:hint="cs"/>
          <w:rtl/>
          <w:lang w:bidi="he-IL"/>
        </w:rPr>
        <w:t>ו</w:t>
      </w:r>
      <w:r w:rsidR="00B57BB8" w:rsidRPr="00882F11">
        <w:rPr>
          <w:rFonts w:cs="Guttman Drogolin" w:hint="cs"/>
          <w:rtl/>
          <w:lang w:bidi="he-IL"/>
        </w:rPr>
        <w:t>ניע</w:t>
      </w:r>
      <w:r w:rsidR="00B84AA2" w:rsidRPr="00882F11">
        <w:rPr>
          <w:rFonts w:cs="Guttman Drogolin" w:hint="cs"/>
          <w:rtl/>
          <w:lang w:bidi="he-IL"/>
        </w:rPr>
        <w:t>ו</w:t>
      </w:r>
      <w:r w:rsidR="00B57BB8" w:rsidRPr="00882F11">
        <w:rPr>
          <w:rFonts w:cs="Guttman Drogolin" w:hint="cs"/>
          <w:rtl/>
          <w:lang w:bidi="he-IL"/>
        </w:rPr>
        <w:t xml:space="preserve">ר הדבר המסוים להיות בעין, ולכן הרי הוא חייב עליו בפני עצמו. משא"כ בטעמו </w:t>
      </w:r>
      <w:r w:rsidR="00B84AA2" w:rsidRPr="00882F11">
        <w:rPr>
          <w:rFonts w:cs="Guttman Drogolin" w:hint="cs"/>
          <w:rtl/>
          <w:lang w:bidi="he-IL"/>
        </w:rPr>
        <w:t>ו</w:t>
      </w:r>
      <w:r w:rsidR="00B57BB8" w:rsidRPr="00882F11">
        <w:rPr>
          <w:rFonts w:cs="Guttman Drogolin" w:hint="cs"/>
          <w:rtl/>
          <w:lang w:bidi="he-IL"/>
        </w:rPr>
        <w:t>לא ממשו, אע"ג שיש היכר טעם מ"מ אין</w:t>
      </w:r>
      <w:r w:rsidR="00B84AA2" w:rsidRPr="00882F11">
        <w:rPr>
          <w:rFonts w:cs="Guttman Drogolin" w:hint="cs"/>
          <w:rtl/>
          <w:lang w:bidi="he-IL"/>
        </w:rPr>
        <w:t xml:space="preserve"> כאן דבר המסוים לומר שהוא חוזר ו</w:t>
      </w:r>
      <w:r w:rsidR="00B57BB8" w:rsidRPr="00882F11">
        <w:rPr>
          <w:rFonts w:cs="Guttman Drogolin" w:hint="cs"/>
          <w:rtl/>
          <w:lang w:bidi="he-IL"/>
        </w:rPr>
        <w:t>ניעור להיות אסור</w:t>
      </w:r>
      <w:r w:rsidR="0076032A" w:rsidRPr="00882F11">
        <w:rPr>
          <w:rFonts w:cs="Guttman Drogolin" w:hint="cs"/>
          <w:rtl/>
          <w:lang w:bidi="he-IL"/>
        </w:rPr>
        <w:t>.</w:t>
      </w:r>
      <w:r w:rsidR="00B57BB8" w:rsidRPr="00882F11">
        <w:rPr>
          <w:rFonts w:cs="Guttman Drogolin" w:hint="cs"/>
          <w:rtl/>
          <w:lang w:bidi="he-IL"/>
        </w:rPr>
        <w:t xml:space="preserve"> ואע"ג שטועמים הדבר האסור, מ"מ</w:t>
      </w:r>
      <w:r w:rsidR="0076032A" w:rsidRPr="00882F11">
        <w:rPr>
          <w:rFonts w:cs="Guttman Drogolin" w:hint="cs"/>
          <w:rtl/>
          <w:lang w:bidi="he-IL"/>
        </w:rPr>
        <w:t xml:space="preserve"> אין לאסור כיון שטעמו בלא ממשו לאו דאורייתא.</w:t>
      </w:r>
    </w:p>
    <w:p w:rsidR="00FD63AA" w:rsidRPr="00882F11" w:rsidRDefault="004D1858" w:rsidP="00E425DA">
      <w:pPr>
        <w:bidi/>
        <w:jc w:val="both"/>
        <w:rPr>
          <w:rFonts w:cs="Guttman Drogolin"/>
          <w:rtl/>
          <w:lang w:bidi="he-IL"/>
        </w:rPr>
      </w:pPr>
      <w:r w:rsidRPr="00882F11">
        <w:rPr>
          <w:rFonts w:cs="Guttman Drogolin" w:hint="cs"/>
          <w:rtl/>
          <w:lang w:bidi="he-IL"/>
        </w:rPr>
        <w:t xml:space="preserve">וראיתי בס' שחיטת חולין שהעיר שאם כנ"ל שגם רש"י </w:t>
      </w:r>
      <w:r w:rsidR="00FD63AA" w:rsidRPr="00882F11">
        <w:rPr>
          <w:rFonts w:cs="Guttman Drogolin" w:hint="cs"/>
          <w:rtl/>
          <w:lang w:bidi="he-IL"/>
        </w:rPr>
        <w:t xml:space="preserve">מודה </w:t>
      </w:r>
      <w:r w:rsidR="00E425DA">
        <w:rPr>
          <w:rFonts w:cs="Guttman Drogolin" w:hint="cs"/>
          <w:rtl/>
          <w:lang w:bidi="he-IL"/>
        </w:rPr>
        <w:t>ש</w:t>
      </w:r>
      <w:r w:rsidR="00FD63AA" w:rsidRPr="00882F11">
        <w:rPr>
          <w:rFonts w:cs="Guttman Drogolin" w:hint="cs"/>
          <w:rtl/>
          <w:lang w:bidi="he-IL"/>
        </w:rPr>
        <w:t xml:space="preserve">לשיטת אביי </w:t>
      </w:r>
      <w:r w:rsidR="00C5379A" w:rsidRPr="00882F11">
        <w:rPr>
          <w:rFonts w:cs="Guttman Drogolin" w:hint="cs"/>
          <w:rtl/>
          <w:lang w:bidi="he-IL"/>
        </w:rPr>
        <w:t>טעם כעיקר</w:t>
      </w:r>
      <w:r w:rsidR="00FD63AA" w:rsidRPr="00882F11">
        <w:rPr>
          <w:rFonts w:cs="Guttman Drogolin" w:hint="cs"/>
          <w:rtl/>
          <w:lang w:bidi="he-IL"/>
        </w:rPr>
        <w:t xml:space="preserve"> דאורייתא, א"כ הדרה קושיא לדוכתי', דמהו הביאור בשיטת רבנן הסוברים שאין חיוב מלקות </w:t>
      </w:r>
      <w:r w:rsidR="00E425DA">
        <w:rPr>
          <w:rFonts w:cs="Guttman Drogolin" w:hint="cs"/>
          <w:rtl/>
          <w:lang w:bidi="he-IL"/>
        </w:rPr>
        <w:t>ב</w:t>
      </w:r>
      <w:r w:rsidR="00FD63AA" w:rsidRPr="00882F11">
        <w:rPr>
          <w:rFonts w:cs="Guttman Drogolin" w:hint="cs"/>
          <w:rtl/>
          <w:lang w:bidi="he-IL"/>
        </w:rPr>
        <w:t>כותח הבבלי. ולעוק"ד נהראה שקושיא</w:t>
      </w:r>
      <w:r w:rsidR="00E425DA">
        <w:rPr>
          <w:rFonts w:cs="Guttman Drogolin" w:hint="cs"/>
          <w:rtl/>
          <w:lang w:bidi="he-IL"/>
        </w:rPr>
        <w:t xml:space="preserve"> זו טעות ביסודה, שנראה פשוט שזה</w:t>
      </w:r>
      <w:r w:rsidR="00FD63AA" w:rsidRPr="00882F11">
        <w:rPr>
          <w:rFonts w:cs="Guttman Drogolin" w:hint="cs"/>
          <w:rtl/>
          <w:lang w:bidi="he-IL"/>
        </w:rPr>
        <w:t xml:space="preserve"> גופא היתה כוונת רש"י בדף מ"ה ע"א שרבנן דכותח הבבלי לית להו </w:t>
      </w:r>
      <w:r w:rsidR="00C5379A" w:rsidRPr="00882F11">
        <w:rPr>
          <w:rFonts w:cs="Guttman Drogolin" w:hint="cs"/>
          <w:rtl/>
          <w:lang w:bidi="he-IL"/>
        </w:rPr>
        <w:t>טעם כעיקר</w:t>
      </w:r>
      <w:r w:rsidR="00FD63AA" w:rsidRPr="00882F11">
        <w:rPr>
          <w:rFonts w:cs="Guttman Drogolin" w:hint="cs"/>
          <w:rtl/>
          <w:lang w:bidi="he-IL"/>
        </w:rPr>
        <w:t xml:space="preserve"> דאורייתא, דלשאר אמוראי גם ר"ע ועוד סוברים ד</w:t>
      </w:r>
      <w:r w:rsidR="00C5379A" w:rsidRPr="00882F11">
        <w:rPr>
          <w:rFonts w:cs="Guttman Drogolin" w:hint="cs"/>
          <w:rtl/>
          <w:lang w:bidi="he-IL"/>
        </w:rPr>
        <w:t>טעם כעיקר</w:t>
      </w:r>
      <w:r w:rsidR="00FD63AA" w:rsidRPr="00882F11">
        <w:rPr>
          <w:rFonts w:cs="Guttman Drogolin" w:hint="cs"/>
          <w:rtl/>
          <w:lang w:bidi="he-IL"/>
        </w:rPr>
        <w:t xml:space="preserve"> לאו דאורייתא ואין זה מבוסס אשיטת רבנן דכותח הבבלי. רק כוונת רש"י לומר שאפילו לאביי דאית לי' </w:t>
      </w:r>
      <w:r w:rsidR="00C5379A" w:rsidRPr="00882F11">
        <w:rPr>
          <w:rFonts w:cs="Guttman Drogolin" w:hint="cs"/>
          <w:rtl/>
          <w:lang w:bidi="he-IL"/>
        </w:rPr>
        <w:t>טעם כעיקר</w:t>
      </w:r>
      <w:r w:rsidR="00FD63AA" w:rsidRPr="00882F11">
        <w:rPr>
          <w:rFonts w:cs="Guttman Drogolin" w:hint="cs"/>
          <w:rtl/>
          <w:lang w:bidi="he-IL"/>
        </w:rPr>
        <w:t xml:space="preserve"> דאורייתא מ"מ מודה שלרבנן דכותח הבבלי אין הדין כן. </w:t>
      </w:r>
    </w:p>
    <w:p w:rsidR="0064625E" w:rsidRPr="00882F11" w:rsidRDefault="00FD63AA" w:rsidP="00E425DA">
      <w:pPr>
        <w:bidi/>
        <w:jc w:val="both"/>
        <w:rPr>
          <w:rFonts w:cs="Guttman Drogolin"/>
          <w:rtl/>
          <w:lang w:bidi="he-IL"/>
        </w:rPr>
      </w:pPr>
      <w:r w:rsidRPr="00882F11">
        <w:rPr>
          <w:rFonts w:cs="Guttman Drogolin" w:hint="cs"/>
          <w:rtl/>
          <w:lang w:bidi="he-IL"/>
        </w:rPr>
        <w:t xml:space="preserve">ונראה לסיים דהנה המהרש"א ועוד אחרונים הקשו </w:t>
      </w:r>
      <w:r w:rsidR="00E425DA">
        <w:rPr>
          <w:rFonts w:cs="Guttman Drogolin" w:hint="cs"/>
          <w:rtl/>
          <w:lang w:bidi="he-IL"/>
        </w:rPr>
        <w:t>דהנה מקשה</w:t>
      </w:r>
      <w:r w:rsidRPr="00882F11">
        <w:rPr>
          <w:rFonts w:cs="Guttman Drogolin" w:hint="cs"/>
          <w:rtl/>
          <w:lang w:bidi="he-IL"/>
        </w:rPr>
        <w:t xml:space="preserve"> הגמ' במס' פסחים בדף מ"ד ע"ב </w:t>
      </w:r>
      <w:r w:rsidR="00E425DA">
        <w:rPr>
          <w:rFonts w:cs="Guttman Drogolin" w:hint="cs"/>
          <w:rtl/>
          <w:lang w:bidi="he-IL"/>
        </w:rPr>
        <w:t>אליבא</w:t>
      </w:r>
      <w:r w:rsidRPr="00882F11">
        <w:rPr>
          <w:rFonts w:cs="Guttman Drogolin" w:hint="cs"/>
          <w:rtl/>
          <w:lang w:bidi="he-IL"/>
        </w:rPr>
        <w:t xml:space="preserve"> דר"ע דאית לי' </w:t>
      </w:r>
      <w:r w:rsidR="00C5379A" w:rsidRPr="00882F11">
        <w:rPr>
          <w:rFonts w:cs="Guttman Drogolin" w:hint="cs"/>
          <w:rtl/>
          <w:lang w:bidi="he-IL"/>
        </w:rPr>
        <w:t>היתר מצטרף לאיסור</w:t>
      </w:r>
      <w:r w:rsidR="00E425DA">
        <w:rPr>
          <w:rFonts w:cs="Guttman Drogolin" w:hint="cs"/>
          <w:rtl/>
          <w:lang w:bidi="he-IL"/>
        </w:rPr>
        <w:t xml:space="preserve"> מגזה"כ </w:t>
      </w:r>
      <w:r w:rsidRPr="00882F11">
        <w:rPr>
          <w:rFonts w:cs="Guttman Drogolin" w:hint="cs"/>
          <w:rtl/>
          <w:lang w:bidi="he-IL"/>
        </w:rPr>
        <w:t xml:space="preserve">משרת </w:t>
      </w:r>
      <w:r w:rsidR="00E425DA">
        <w:rPr>
          <w:rFonts w:cs="Guttman Drogolin" w:hint="cs"/>
          <w:rtl/>
          <w:lang w:bidi="he-IL"/>
        </w:rPr>
        <w:t xml:space="preserve">דא"כ </w:t>
      </w:r>
      <w:r w:rsidR="00C5379A" w:rsidRPr="00882F11">
        <w:rPr>
          <w:rFonts w:cs="Guttman Drogolin" w:hint="cs"/>
          <w:rtl/>
          <w:lang w:bidi="he-IL"/>
        </w:rPr>
        <w:t>טעם כעיקר</w:t>
      </w:r>
      <w:r w:rsidRPr="00882F11">
        <w:rPr>
          <w:rFonts w:cs="Guttman Drogolin" w:hint="cs"/>
          <w:rtl/>
          <w:lang w:bidi="he-IL"/>
        </w:rPr>
        <w:t xml:space="preserve"> מנ"ל, ולכאורה מ</w:t>
      </w:r>
      <w:r w:rsidR="00E425DA">
        <w:rPr>
          <w:rFonts w:cs="Guttman Drogolin" w:hint="cs"/>
          <w:rtl/>
          <w:lang w:bidi="he-IL"/>
        </w:rPr>
        <w:t>בואר מזה</w:t>
      </w:r>
      <w:r w:rsidRPr="00882F11">
        <w:rPr>
          <w:rFonts w:cs="Guttman Drogolin" w:hint="cs"/>
          <w:rtl/>
          <w:lang w:bidi="he-IL"/>
        </w:rPr>
        <w:t xml:space="preserve"> שאם דורשים </w:t>
      </w:r>
      <w:r w:rsidR="00C5379A" w:rsidRPr="00882F11">
        <w:rPr>
          <w:rFonts w:cs="Guttman Drogolin" w:hint="cs"/>
          <w:rtl/>
          <w:lang w:bidi="he-IL"/>
        </w:rPr>
        <w:t>היתר מצטרף לאיסור</w:t>
      </w:r>
      <w:r w:rsidRPr="00882F11">
        <w:rPr>
          <w:rFonts w:cs="Guttman Drogolin" w:hint="cs"/>
          <w:rtl/>
          <w:lang w:bidi="he-IL"/>
        </w:rPr>
        <w:t xml:space="preserve"> ע"כ דרשינן </w:t>
      </w:r>
      <w:r w:rsidR="00C5379A" w:rsidRPr="00882F11">
        <w:rPr>
          <w:rFonts w:cs="Guttman Drogolin" w:hint="cs"/>
          <w:rtl/>
          <w:lang w:bidi="he-IL"/>
        </w:rPr>
        <w:t>טעם כעיקר</w:t>
      </w:r>
      <w:r w:rsidRPr="00882F11">
        <w:rPr>
          <w:rFonts w:cs="Guttman Drogolin" w:hint="cs"/>
          <w:rtl/>
          <w:lang w:bidi="he-IL"/>
        </w:rPr>
        <w:t xml:space="preserve"> ממקו"א. וצ"ע דדלמא סבר כשיטת רבנן דכותח הבבלי </w:t>
      </w:r>
      <w:r w:rsidR="00E425DA">
        <w:rPr>
          <w:rFonts w:cs="Guttman Drogolin" w:hint="cs"/>
          <w:rtl/>
          <w:lang w:bidi="he-IL"/>
        </w:rPr>
        <w:t>ד</w:t>
      </w:r>
      <w:r w:rsidRPr="00882F11">
        <w:rPr>
          <w:rFonts w:cs="Guttman Drogolin" w:hint="cs"/>
          <w:rtl/>
          <w:lang w:bidi="he-IL"/>
        </w:rPr>
        <w:t xml:space="preserve">לית להו </w:t>
      </w:r>
      <w:r w:rsidR="00C5379A" w:rsidRPr="00882F11">
        <w:rPr>
          <w:rFonts w:cs="Guttman Drogolin" w:hint="cs"/>
          <w:rtl/>
          <w:lang w:bidi="he-IL"/>
        </w:rPr>
        <w:t>טעם כעיקר</w:t>
      </w:r>
      <w:r w:rsidRPr="00882F11">
        <w:rPr>
          <w:rFonts w:cs="Guttman Drogolin" w:hint="cs"/>
          <w:rtl/>
          <w:lang w:bidi="he-IL"/>
        </w:rPr>
        <w:t xml:space="preserve"> אפילו לאביי. ונראה ע"פ הנ"ל לומר </w:t>
      </w:r>
      <w:r w:rsidR="0064625E" w:rsidRPr="00882F11">
        <w:rPr>
          <w:rFonts w:cs="Guttman Drogolin" w:hint="cs"/>
          <w:rtl/>
          <w:lang w:bidi="he-IL"/>
        </w:rPr>
        <w:t>שלא הקשו כן אלא אליבא דאביי לשאר התנאים, ומשום דסבר אביי דקיי"ל ד</w:t>
      </w:r>
      <w:r w:rsidR="00C5379A" w:rsidRPr="00882F11">
        <w:rPr>
          <w:rFonts w:cs="Guttman Drogolin" w:hint="cs"/>
          <w:rtl/>
          <w:lang w:bidi="he-IL"/>
        </w:rPr>
        <w:t>טעם כעיקר</w:t>
      </w:r>
      <w:r w:rsidR="0064625E" w:rsidRPr="00882F11">
        <w:rPr>
          <w:rFonts w:cs="Guttman Drogolin" w:hint="cs"/>
          <w:rtl/>
          <w:lang w:bidi="he-IL"/>
        </w:rPr>
        <w:t xml:space="preserve"> דאורייתא וכהנך תנאי. ולא קשה משיטת רבנן, שלדידהו הי' אביי מוכרח לומר ד</w:t>
      </w:r>
      <w:r w:rsidR="00C5379A" w:rsidRPr="00882F11">
        <w:rPr>
          <w:rFonts w:cs="Guttman Drogolin" w:hint="cs"/>
          <w:rtl/>
          <w:lang w:bidi="he-IL"/>
        </w:rPr>
        <w:t>טעם כעיקר</w:t>
      </w:r>
      <w:r w:rsidR="0064625E" w:rsidRPr="00882F11">
        <w:rPr>
          <w:rFonts w:cs="Guttman Drogolin" w:hint="cs"/>
          <w:rtl/>
          <w:lang w:bidi="he-IL"/>
        </w:rPr>
        <w:t xml:space="preserve"> לאו דאורייתא</w:t>
      </w:r>
      <w:r w:rsidR="00E425DA">
        <w:rPr>
          <w:rFonts w:cs="Guttman Drogolin" w:hint="cs"/>
          <w:rtl/>
          <w:lang w:bidi="he-IL"/>
        </w:rPr>
        <w:t>,</w:t>
      </w:r>
      <w:r w:rsidR="0064625E" w:rsidRPr="00882F11">
        <w:rPr>
          <w:rFonts w:cs="Guttman Drogolin" w:hint="cs"/>
          <w:rtl/>
          <w:lang w:bidi="he-IL"/>
        </w:rPr>
        <w:t xml:space="preserve"> ולכן ע"כ דרשי </w:t>
      </w:r>
      <w:r w:rsidR="00C5379A" w:rsidRPr="00882F11">
        <w:rPr>
          <w:rFonts w:cs="Guttman Drogolin" w:hint="cs"/>
          <w:rtl/>
          <w:lang w:bidi="he-IL"/>
        </w:rPr>
        <w:t>היתר מצטרף לאיסור</w:t>
      </w:r>
      <w:r w:rsidR="0064625E" w:rsidRPr="00882F11">
        <w:rPr>
          <w:rFonts w:cs="Guttman Drogolin" w:hint="cs"/>
          <w:rtl/>
          <w:lang w:bidi="he-IL"/>
        </w:rPr>
        <w:t xml:space="preserve"> ולא </w:t>
      </w:r>
      <w:r w:rsidR="00C5379A" w:rsidRPr="00882F11">
        <w:rPr>
          <w:rFonts w:cs="Guttman Drogolin" w:hint="cs"/>
          <w:rtl/>
          <w:lang w:bidi="he-IL"/>
        </w:rPr>
        <w:t>טעם כעיקר</w:t>
      </w:r>
      <w:r w:rsidR="0064625E" w:rsidRPr="00882F11">
        <w:rPr>
          <w:rFonts w:cs="Guttman Drogolin" w:hint="cs"/>
          <w:rtl/>
          <w:lang w:bidi="he-IL"/>
        </w:rPr>
        <w:t>.</w:t>
      </w:r>
      <w:r w:rsidRPr="00882F11">
        <w:rPr>
          <w:rFonts w:cs="Guttman Drogolin" w:hint="cs"/>
          <w:rtl/>
          <w:lang w:bidi="he-IL"/>
        </w:rPr>
        <w:t xml:space="preserve"> </w:t>
      </w:r>
    </w:p>
    <w:p w:rsidR="0064625E" w:rsidRPr="00882F11" w:rsidRDefault="0064625E" w:rsidP="0078079C">
      <w:pPr>
        <w:pStyle w:val="Heading1"/>
        <w:bidi/>
        <w:spacing w:before="0" w:line="360" w:lineRule="auto"/>
        <w:jc w:val="center"/>
        <w:rPr>
          <w:rFonts w:cs="Guttman Drogolin"/>
          <w:color w:val="auto"/>
          <w:sz w:val="24"/>
          <w:szCs w:val="24"/>
          <w:u w:val="single"/>
          <w:rtl/>
          <w:lang w:bidi="he-IL"/>
        </w:rPr>
      </w:pPr>
      <w:bookmarkStart w:id="41" w:name="_Toc496175305"/>
      <w:r w:rsidRPr="00882F11">
        <w:rPr>
          <w:rFonts w:cs="Guttman Drogolin" w:hint="cs"/>
          <w:color w:val="auto"/>
          <w:sz w:val="24"/>
          <w:szCs w:val="24"/>
          <w:u w:val="single"/>
          <w:rtl/>
          <w:lang w:bidi="he-IL"/>
        </w:rPr>
        <w:lastRenderedPageBreak/>
        <w:t>עוד בשיטת ר"י מאורליינ"ש</w:t>
      </w:r>
      <w:bookmarkEnd w:id="41"/>
    </w:p>
    <w:p w:rsidR="003C4CD3" w:rsidRPr="00882F11" w:rsidRDefault="0064625E" w:rsidP="00E425DA">
      <w:pPr>
        <w:bidi/>
        <w:jc w:val="both"/>
        <w:rPr>
          <w:rFonts w:cs="Guttman Drogolin"/>
          <w:lang w:bidi="he-IL"/>
        </w:rPr>
      </w:pPr>
      <w:r w:rsidRPr="00882F11">
        <w:rPr>
          <w:rFonts w:cs="Guttman Drogolin" w:hint="cs"/>
          <w:rtl/>
          <w:lang w:bidi="he-IL"/>
        </w:rPr>
        <w:t>בשיעור הקודם הבאנו שיטת ר"י מאורליינ"ש שסבר דאע"ג ד</w:t>
      </w:r>
      <w:r w:rsidR="00C5379A" w:rsidRPr="00882F11">
        <w:rPr>
          <w:rFonts w:cs="Guttman Drogolin" w:hint="cs"/>
          <w:rtl/>
          <w:lang w:bidi="he-IL"/>
        </w:rPr>
        <w:t>טעם כעיקר</w:t>
      </w:r>
      <w:r w:rsidRPr="00882F11">
        <w:rPr>
          <w:rFonts w:cs="Guttman Drogolin" w:hint="cs"/>
          <w:rtl/>
          <w:lang w:bidi="he-IL"/>
        </w:rPr>
        <w:t xml:space="preserve"> דאורייתא מ"מ אין בה אלא איסור עשה. והיינו שבגדרי טעמו וממשו וכן טעמו ולא ממשו הוא סובר כשיטת רש"י, </w:t>
      </w:r>
      <w:r w:rsidR="00E425DA">
        <w:rPr>
          <w:rFonts w:cs="Guttman Drogolin" w:hint="cs"/>
          <w:rtl/>
          <w:lang w:bidi="he-IL"/>
        </w:rPr>
        <w:t xml:space="preserve">שלמ"ד טכ"ע דאורייתא אמרינן שההיתר נהפך להיות איסור, </w:t>
      </w:r>
      <w:r w:rsidRPr="00882F11">
        <w:rPr>
          <w:rFonts w:cs="Guttman Drogolin" w:hint="cs"/>
          <w:rtl/>
          <w:lang w:bidi="he-IL"/>
        </w:rPr>
        <w:t>רק שחלק עליו בדינו של טעמו בלא ממשו, שלרש"י הוא מדרבנן, ולר"י מאורליינ"ש הוא איסור עשה. וה</w:t>
      </w:r>
      <w:r w:rsidR="00E425DA">
        <w:rPr>
          <w:rFonts w:cs="Guttman Drogolin" w:hint="cs"/>
          <w:rtl/>
          <w:lang w:bidi="he-IL"/>
        </w:rPr>
        <w:t>מ</w:t>
      </w:r>
      <w:r w:rsidRPr="00882F11">
        <w:rPr>
          <w:rFonts w:cs="Guttman Drogolin" w:hint="cs"/>
          <w:rtl/>
          <w:lang w:bidi="he-IL"/>
        </w:rPr>
        <w:t xml:space="preserve">פרשים </w:t>
      </w:r>
      <w:r w:rsidR="00E425DA">
        <w:rPr>
          <w:rFonts w:cs="Guttman Drogolin" w:hint="cs"/>
          <w:rtl/>
          <w:lang w:bidi="he-IL"/>
        </w:rPr>
        <w:t>הקשו כמה קושיות על שיטה זו. חדא, ש</w:t>
      </w:r>
      <w:r w:rsidRPr="00882F11">
        <w:rPr>
          <w:rFonts w:cs="Guttman Drogolin" w:hint="cs"/>
          <w:rtl/>
          <w:lang w:bidi="he-IL"/>
        </w:rPr>
        <w:t>בתוס' הרא"ש במס' פסחים דף מ"ה ע"א הקשה דא"כ למה אמרו לר"ע דמשרת ל</w:t>
      </w:r>
      <w:r w:rsidR="00C5379A" w:rsidRPr="00882F11">
        <w:rPr>
          <w:rFonts w:cs="Guttman Drogolin" w:hint="cs"/>
          <w:rtl/>
          <w:lang w:bidi="he-IL"/>
        </w:rPr>
        <w:t>היתר מצטרף לאיסור</w:t>
      </w:r>
      <w:r w:rsidRPr="00882F11">
        <w:rPr>
          <w:rFonts w:cs="Guttman Drogolin" w:hint="cs"/>
          <w:rtl/>
          <w:lang w:bidi="he-IL"/>
        </w:rPr>
        <w:t xml:space="preserve"> כיון שלומד </w:t>
      </w:r>
      <w:r w:rsidR="00C5379A" w:rsidRPr="00882F11">
        <w:rPr>
          <w:rFonts w:cs="Guttman Drogolin" w:hint="cs"/>
          <w:rtl/>
          <w:lang w:bidi="he-IL"/>
        </w:rPr>
        <w:t>טעם כעיקר</w:t>
      </w:r>
      <w:r w:rsidRPr="00882F11">
        <w:rPr>
          <w:rFonts w:cs="Guttman Drogolin" w:hint="cs"/>
          <w:rtl/>
          <w:lang w:bidi="he-IL"/>
        </w:rPr>
        <w:t xml:space="preserve"> מגיעולי נכרים, הא מגיעולי נכרין לא למדנו אלא עשה</w:t>
      </w:r>
      <w:r w:rsidR="003C4CD3" w:rsidRPr="00882F11">
        <w:rPr>
          <w:rFonts w:cs="Guttman Drogolin" w:hint="cs"/>
          <w:rtl/>
          <w:lang w:bidi="he-IL"/>
        </w:rPr>
        <w:t>, ולילף ממשרת לחיוב מלקות, וע"ש שהוכיח מסוגיות הש"ס שאפילו כשכבר יש לנו מקור לאיסור דאורייתא מ"מ לומדים חיוב מלקות ואין לומדים לימוד אחר. וצ"ע.</w:t>
      </w:r>
    </w:p>
    <w:p w:rsidR="00721876" w:rsidRDefault="00465D22" w:rsidP="00721876">
      <w:pPr>
        <w:bidi/>
        <w:jc w:val="both"/>
        <w:rPr>
          <w:rFonts w:cs="Guttman Drogolin"/>
          <w:rtl/>
          <w:lang w:bidi="he-IL"/>
        </w:rPr>
      </w:pPr>
      <w:r>
        <w:rPr>
          <w:rFonts w:cs="Guttman Drogolin" w:hint="cs"/>
          <w:rtl/>
          <w:lang w:bidi="he-IL"/>
        </w:rPr>
        <w:t xml:space="preserve">וע' </w:t>
      </w:r>
      <w:r w:rsidR="003C4CD3" w:rsidRPr="00882F11">
        <w:rPr>
          <w:rFonts w:cs="Guttman Drogolin" w:hint="cs"/>
          <w:rtl/>
          <w:lang w:bidi="he-IL"/>
        </w:rPr>
        <w:t>עוד במס' זבחים</w:t>
      </w:r>
      <w:r>
        <w:rPr>
          <w:rFonts w:cs="Guttman Drogolin" w:hint="cs"/>
          <w:rtl/>
          <w:lang w:bidi="he-IL"/>
        </w:rPr>
        <w:t xml:space="preserve"> ע"ח ע"א</w:t>
      </w:r>
      <w:r w:rsidR="003C4CD3" w:rsidRPr="00882F11">
        <w:rPr>
          <w:rFonts w:cs="Guttman Drogolin" w:hint="cs"/>
          <w:rtl/>
          <w:lang w:bidi="he-IL"/>
        </w:rPr>
        <w:t xml:space="preserve"> </w:t>
      </w:r>
      <w:r>
        <w:rPr>
          <w:rFonts w:cs="Guttman Drogolin" w:hint="cs"/>
          <w:rtl/>
          <w:lang w:bidi="he-IL"/>
        </w:rPr>
        <w:t>שהגמ' שם הוכיח מדקאמר ר"ל "</w:t>
      </w:r>
      <w:r w:rsidRPr="00465D22">
        <w:rPr>
          <w:rFonts w:cs="Guttman Drogolin"/>
          <w:rtl/>
          <w:lang w:bidi="he-IL"/>
        </w:rPr>
        <w:t>הפיגול והנותר והטמא שבללן זה בזה ואכלן פטור, א"</w:t>
      </w:r>
      <w:r>
        <w:rPr>
          <w:rFonts w:cs="Guttman Drogolin"/>
          <w:rtl/>
          <w:lang w:bidi="he-IL"/>
        </w:rPr>
        <w:t>א שלא ירבה מין על חבירו ויבטלנו</w:t>
      </w:r>
      <w:r>
        <w:rPr>
          <w:rFonts w:cs="Guttman Drogolin" w:hint="cs"/>
          <w:rtl/>
          <w:lang w:bidi="he-IL"/>
        </w:rPr>
        <w:t>" דע"כ סבר שנותן טעם ברוב לאו דאורייתא. ושם בגליון הש"ס הקשה רע"א</w:t>
      </w:r>
      <w:r w:rsidR="00EB3F3B" w:rsidRPr="00882F11">
        <w:rPr>
          <w:rFonts w:cs="Guttman Drogolin" w:hint="cs"/>
          <w:rtl/>
          <w:lang w:bidi="he-IL"/>
        </w:rPr>
        <w:t xml:space="preserve"> דהא ר"ל לא קאמר אלא שפטור ממלקות, ו</w:t>
      </w:r>
      <w:r>
        <w:rPr>
          <w:rFonts w:cs="Guttman Drogolin" w:hint="cs"/>
          <w:rtl/>
          <w:lang w:bidi="he-IL"/>
        </w:rPr>
        <w:t xml:space="preserve">א"כ </w:t>
      </w:r>
      <w:r w:rsidR="00EB3F3B" w:rsidRPr="00882F11">
        <w:rPr>
          <w:rFonts w:cs="Guttman Drogolin" w:hint="cs"/>
          <w:rtl/>
          <w:lang w:bidi="he-IL"/>
        </w:rPr>
        <w:t xml:space="preserve">ר"י מאורליינ"ש </w:t>
      </w:r>
      <w:r>
        <w:rPr>
          <w:rFonts w:cs="Guttman Drogolin" w:hint="cs"/>
          <w:rtl/>
          <w:lang w:bidi="he-IL"/>
        </w:rPr>
        <w:t xml:space="preserve">דסבר שאפי' אם טכ"ע דאורייתא מ"מ ליכא אלא עשה, וא"כ </w:t>
      </w:r>
      <w:r w:rsidR="00EB3F3B" w:rsidRPr="00882F11">
        <w:rPr>
          <w:rFonts w:cs="Guttman Drogolin" w:hint="cs"/>
          <w:rtl/>
          <w:lang w:bidi="he-IL"/>
        </w:rPr>
        <w:t xml:space="preserve">עדיין איכא למימר שנ"ט ברוב דאורייתא רק שאין לוקין עליו. </w:t>
      </w:r>
    </w:p>
    <w:p w:rsidR="00530792" w:rsidRPr="00882F11" w:rsidRDefault="00EB3F3B" w:rsidP="00721876">
      <w:pPr>
        <w:bidi/>
        <w:jc w:val="both"/>
        <w:rPr>
          <w:rFonts w:cs="Guttman Drogolin"/>
          <w:rtl/>
          <w:lang w:bidi="he-IL"/>
        </w:rPr>
      </w:pPr>
      <w:r w:rsidRPr="00882F11">
        <w:rPr>
          <w:rFonts w:cs="Guttman Drogolin" w:hint="cs"/>
          <w:rtl/>
          <w:lang w:bidi="he-IL"/>
        </w:rPr>
        <w:t xml:space="preserve">והנה בעיקר קושיא זו לכאורה יל"ע, דהנה אותו ר' יוחנן דסבר שטעמו וממשו אין לוקין עליו סבר דטעמו וממשו לוקין עליו. ולכאורה צ"ע, דכיון שאין לומדים </w:t>
      </w:r>
      <w:r w:rsidR="00C5379A" w:rsidRPr="00882F11">
        <w:rPr>
          <w:rFonts w:cs="Guttman Drogolin" w:hint="cs"/>
          <w:rtl/>
          <w:lang w:bidi="he-IL"/>
        </w:rPr>
        <w:t>טעם כעיקר</w:t>
      </w:r>
      <w:r w:rsidRPr="00882F11">
        <w:rPr>
          <w:rFonts w:cs="Guttman Drogolin" w:hint="cs"/>
          <w:rtl/>
          <w:lang w:bidi="he-IL"/>
        </w:rPr>
        <w:t xml:space="preserve"> אלא מגיעולי נכרים </w:t>
      </w:r>
      <w:r w:rsidR="00E84333" w:rsidRPr="00882F11">
        <w:rPr>
          <w:rFonts w:cs="Guttman Drogolin" w:hint="cs"/>
          <w:rtl/>
          <w:lang w:bidi="he-IL"/>
        </w:rPr>
        <w:t xml:space="preserve">ואינו אלא עשה, למה לוקין אפילו אטעמו וממשו. והפשוט בזה </w:t>
      </w:r>
      <w:r w:rsidR="00480BE8" w:rsidRPr="00882F11">
        <w:rPr>
          <w:rFonts w:cs="Guttman Drogolin" w:hint="cs"/>
          <w:rtl/>
          <w:lang w:bidi="he-IL"/>
        </w:rPr>
        <w:t xml:space="preserve">(וכ"כ החזו"א יו"ד סי' כ"ד אות ג') </w:t>
      </w:r>
      <w:r w:rsidR="00E84333" w:rsidRPr="00882F11">
        <w:rPr>
          <w:rFonts w:cs="Guttman Drogolin" w:hint="cs"/>
          <w:rtl/>
          <w:lang w:bidi="he-IL"/>
        </w:rPr>
        <w:t>שגם בזה סבר הר"י האורליינ"ש כשיטת רש"י דטעמו וממשו שאני ואינו צריך לי' לגזה"כ ד</w:t>
      </w:r>
      <w:r w:rsidR="00C5379A" w:rsidRPr="00882F11">
        <w:rPr>
          <w:rFonts w:cs="Guttman Drogolin" w:hint="cs"/>
          <w:rtl/>
          <w:lang w:bidi="he-IL"/>
        </w:rPr>
        <w:t>טעם כעיקר</w:t>
      </w:r>
      <w:r w:rsidR="00E84333" w:rsidRPr="00882F11">
        <w:rPr>
          <w:rFonts w:cs="Guttman Drogolin" w:hint="cs"/>
          <w:rtl/>
          <w:lang w:bidi="he-IL"/>
        </w:rPr>
        <w:t xml:space="preserve"> ומשום שמסברא טעמו וממשו לא בטיל. וא"כ לכאורה י"ל דסוגיא דמס' זבחים מיירי בטעמו וממשו וכמו שתירצו הראשונים אליבא דרש"</w:t>
      </w:r>
      <w:r w:rsidR="00530792" w:rsidRPr="00882F11">
        <w:rPr>
          <w:rFonts w:cs="Guttman Drogolin" w:hint="cs"/>
          <w:rtl/>
          <w:lang w:bidi="he-IL"/>
        </w:rPr>
        <w:t>י.</w:t>
      </w:r>
    </w:p>
    <w:p w:rsidR="008827A1" w:rsidRPr="00882F11" w:rsidRDefault="00530792" w:rsidP="00CF4A5D">
      <w:pPr>
        <w:bidi/>
        <w:jc w:val="both"/>
        <w:rPr>
          <w:rFonts w:cs="Guttman Drogolin"/>
          <w:rtl/>
          <w:lang w:bidi="he-IL"/>
        </w:rPr>
      </w:pPr>
      <w:r w:rsidRPr="00882F11">
        <w:rPr>
          <w:rFonts w:cs="Guttman Drogolin" w:hint="cs"/>
          <w:rtl/>
          <w:lang w:bidi="he-IL"/>
        </w:rPr>
        <w:lastRenderedPageBreak/>
        <w:t>וב</w:t>
      </w:r>
      <w:r w:rsidR="008827A1" w:rsidRPr="00882F11">
        <w:rPr>
          <w:rFonts w:cs="Guttman Drogolin" w:hint="cs"/>
          <w:rtl/>
          <w:lang w:bidi="he-IL"/>
        </w:rPr>
        <w:t xml:space="preserve">ס' </w:t>
      </w:r>
      <w:r w:rsidRPr="00882F11">
        <w:rPr>
          <w:rFonts w:cs="Guttman Drogolin" w:hint="cs"/>
          <w:rtl/>
          <w:lang w:bidi="he-IL"/>
        </w:rPr>
        <w:t>שחיטת חולין ראיתי שהביא תי' זה וכתב שלכאורה הוא קושיא ארע"א למה לא תי' כן. דלכאורה ל</w:t>
      </w:r>
      <w:r w:rsidR="00CF4A5D">
        <w:rPr>
          <w:rFonts w:cs="Guttman Drogolin" w:hint="cs"/>
          <w:rtl/>
          <w:lang w:bidi="he-IL"/>
        </w:rPr>
        <w:t xml:space="preserve">א מיבעי </w:t>
      </w:r>
      <w:r w:rsidRPr="00882F11">
        <w:rPr>
          <w:rFonts w:cs="Guttman Drogolin" w:hint="cs"/>
          <w:rtl/>
          <w:lang w:bidi="he-IL"/>
        </w:rPr>
        <w:t xml:space="preserve">לשיטת רש"י </w:t>
      </w:r>
      <w:r w:rsidR="00CF4A5D">
        <w:rPr>
          <w:rFonts w:cs="Guttman Drogolin" w:hint="cs"/>
          <w:rtl/>
          <w:lang w:bidi="he-IL"/>
        </w:rPr>
        <w:t>ד</w:t>
      </w:r>
      <w:r w:rsidRPr="00882F11">
        <w:rPr>
          <w:rFonts w:cs="Guttman Drogolin" w:hint="cs"/>
          <w:rtl/>
          <w:lang w:bidi="he-IL"/>
        </w:rPr>
        <w:t>הוי תי' לקושיא</w:t>
      </w:r>
      <w:r w:rsidR="00CF4A5D">
        <w:rPr>
          <w:rFonts w:cs="Guttman Drogolin" w:hint="cs"/>
          <w:rtl/>
          <w:lang w:bidi="he-IL"/>
        </w:rPr>
        <w:t xml:space="preserve"> זו</w:t>
      </w:r>
      <w:r w:rsidRPr="00882F11">
        <w:rPr>
          <w:rFonts w:cs="Guttman Drogolin" w:hint="cs"/>
          <w:rtl/>
          <w:lang w:bidi="he-IL"/>
        </w:rPr>
        <w:t xml:space="preserve">, אלא </w:t>
      </w:r>
      <w:r w:rsidR="00CF4A5D">
        <w:rPr>
          <w:rFonts w:cs="Guttman Drogolin" w:hint="cs"/>
          <w:rtl/>
          <w:lang w:bidi="he-IL"/>
        </w:rPr>
        <w:t xml:space="preserve">אפילו לחולקים </w:t>
      </w:r>
      <w:r w:rsidRPr="00882F11">
        <w:rPr>
          <w:rFonts w:cs="Guttman Drogolin" w:hint="cs"/>
          <w:rtl/>
          <w:lang w:bidi="he-IL"/>
        </w:rPr>
        <w:t xml:space="preserve">על רש"י לא התקשו אלא </w:t>
      </w:r>
      <w:r w:rsidR="00CF4A5D">
        <w:rPr>
          <w:rFonts w:cs="Guttman Drogolin" w:hint="cs"/>
          <w:rtl/>
          <w:lang w:bidi="he-IL"/>
        </w:rPr>
        <w:t>ב</w:t>
      </w:r>
      <w:r w:rsidRPr="00882F11">
        <w:rPr>
          <w:rFonts w:cs="Guttman Drogolin" w:hint="cs"/>
          <w:rtl/>
          <w:lang w:bidi="he-IL"/>
        </w:rPr>
        <w:t>עיסת אורז וחיטין, אבל בבלל קרבן פיגול ונותר לכאורה פשוט יותר דהוי טעמו ממשו, וכן הי' המחשב</w:t>
      </w:r>
      <w:r w:rsidR="00CF4A5D">
        <w:rPr>
          <w:rFonts w:cs="Guttman Drogolin" w:hint="cs"/>
          <w:rtl/>
          <w:lang w:bidi="he-IL"/>
        </w:rPr>
        <w:t>ה</w:t>
      </w:r>
      <w:r w:rsidRPr="00882F11">
        <w:rPr>
          <w:rFonts w:cs="Guttman Drogolin" w:hint="cs"/>
          <w:rtl/>
          <w:lang w:bidi="he-IL"/>
        </w:rPr>
        <w:t xml:space="preserve"> </w:t>
      </w:r>
      <w:r w:rsidR="00CF4A5D">
        <w:rPr>
          <w:rFonts w:cs="Guttman Drogolin" w:hint="cs"/>
          <w:rtl/>
          <w:lang w:bidi="he-IL"/>
        </w:rPr>
        <w:t>ה</w:t>
      </w:r>
      <w:r w:rsidRPr="00882F11">
        <w:rPr>
          <w:rFonts w:cs="Guttman Drogolin" w:hint="cs"/>
          <w:rtl/>
          <w:lang w:bidi="he-IL"/>
        </w:rPr>
        <w:t xml:space="preserve">ראשונה של השטמ"ק על הגליון אות א'. וכיון שע"כ מודה הר"י מאורליינ"ש בטעמו וממשו וכנ"ל, מה הי' כ"כ המקום לקושיא. </w:t>
      </w:r>
    </w:p>
    <w:p w:rsidR="00754C00" w:rsidRPr="00882F11" w:rsidRDefault="008827A1" w:rsidP="00CF4A5D">
      <w:pPr>
        <w:bidi/>
        <w:jc w:val="both"/>
        <w:rPr>
          <w:rFonts w:cs="Guttman Drogolin"/>
          <w:rtl/>
          <w:lang w:bidi="he-IL"/>
        </w:rPr>
      </w:pPr>
      <w:r w:rsidRPr="00882F11">
        <w:rPr>
          <w:rFonts w:cs="Guttman Drogolin" w:hint="cs"/>
          <w:rtl/>
          <w:lang w:bidi="he-IL"/>
        </w:rPr>
        <w:t xml:space="preserve">ונראה דהנה לכאורה לפי הביאור של הגמ' אליבא דרש"י דמיירי בטעמו </w:t>
      </w:r>
      <w:r w:rsidR="00CF4A5D">
        <w:rPr>
          <w:rFonts w:cs="Guttman Drogolin" w:hint="cs"/>
          <w:rtl/>
          <w:lang w:bidi="he-IL"/>
        </w:rPr>
        <w:t>ו</w:t>
      </w:r>
      <w:r w:rsidRPr="00882F11">
        <w:rPr>
          <w:rFonts w:cs="Guttman Drogolin" w:hint="cs"/>
          <w:rtl/>
          <w:lang w:bidi="he-IL"/>
        </w:rPr>
        <w:t>ממשו יוצא דבר מחודש, שלהו"א של הגמ' דרצו להוכיח דנ"ט ברוב לאו דאורייתא חזינן דאיכא למאן דאמר שאפילו טעמו וממשו לאו דאורייתא, ודלא כמו דפשיטא לי' לר' יוחנן מסברא אפילו בלי הגזה"כ</w:t>
      </w:r>
      <w:r w:rsidR="00E84333" w:rsidRPr="00882F11">
        <w:rPr>
          <w:rFonts w:cs="Guttman Drogolin" w:hint="cs"/>
          <w:rtl/>
          <w:lang w:bidi="he-IL"/>
        </w:rPr>
        <w:t xml:space="preserve"> </w:t>
      </w:r>
      <w:r w:rsidRPr="00882F11">
        <w:rPr>
          <w:rFonts w:cs="Guttman Drogolin" w:hint="cs"/>
          <w:rtl/>
          <w:lang w:bidi="he-IL"/>
        </w:rPr>
        <w:t>ד</w:t>
      </w:r>
      <w:r w:rsidR="00C5379A" w:rsidRPr="00882F11">
        <w:rPr>
          <w:rFonts w:cs="Guttman Drogolin" w:hint="cs"/>
          <w:rtl/>
          <w:lang w:bidi="he-IL"/>
        </w:rPr>
        <w:t>טעם כעיקר</w:t>
      </w:r>
      <w:r w:rsidRPr="00882F11">
        <w:rPr>
          <w:rFonts w:cs="Guttman Drogolin" w:hint="cs"/>
          <w:rtl/>
          <w:lang w:bidi="he-IL"/>
        </w:rPr>
        <w:t>. וצריכים לומר דהי' ס"ד דלית לן מסברא היכר טעם (דקשה לומר דס"ד דכזית בכא"פ בתערובת לאו דאורייתא וכדסבירא לי' לאביי במס' פסחים מ"ד ע"א</w:t>
      </w:r>
      <w:r w:rsidR="00B84AA2" w:rsidRPr="00882F11">
        <w:rPr>
          <w:rFonts w:cs="Guttman Drogolin" w:hint="cs"/>
          <w:rtl/>
          <w:lang w:bidi="he-IL"/>
        </w:rPr>
        <w:t>,</w:t>
      </w:r>
      <w:r w:rsidRPr="00882F11">
        <w:rPr>
          <w:rFonts w:cs="Guttman Drogolin" w:hint="cs"/>
          <w:rtl/>
          <w:lang w:bidi="he-IL"/>
        </w:rPr>
        <w:t xml:space="preserve"> וכמו שביארו הראשונים</w:t>
      </w:r>
      <w:r w:rsidR="00B84AA2" w:rsidRPr="00882F11">
        <w:rPr>
          <w:rFonts w:cs="Guttman Drogolin" w:hint="cs"/>
          <w:rtl/>
          <w:lang w:bidi="he-IL"/>
        </w:rPr>
        <w:t>,</w:t>
      </w:r>
      <w:r w:rsidRPr="00882F11">
        <w:rPr>
          <w:rFonts w:cs="Guttman Drogolin" w:hint="cs"/>
          <w:rtl/>
          <w:lang w:bidi="he-IL"/>
        </w:rPr>
        <w:t xml:space="preserve"> דהא אמרו דנ"ט טעם ברוב לאו דאורייתא ולא דכזית בכא"פ לאו דאורייתא וכלשון הגמ' שבמס' פסחים).</w:t>
      </w:r>
      <w:r w:rsidR="00754C00" w:rsidRPr="00882F11">
        <w:rPr>
          <w:rFonts w:cs="Guttman Drogolin" w:hint="cs"/>
          <w:rtl/>
          <w:lang w:bidi="he-IL"/>
        </w:rPr>
        <w:t xml:space="preserve"> וראיתי בס' שחיטת חולין (עמ' ע"ח) שביאר שמשו"ה הקשה רע"א, דעד כמה שהי' ס"ד </w:t>
      </w:r>
      <w:r w:rsidR="00CF4A5D">
        <w:rPr>
          <w:rFonts w:cs="Guttman Drogolin" w:hint="cs"/>
          <w:rtl/>
          <w:lang w:bidi="he-IL"/>
        </w:rPr>
        <w:t>דלא מהני היכר טעם</w:t>
      </w:r>
      <w:r w:rsidR="00754C00" w:rsidRPr="00882F11">
        <w:rPr>
          <w:rFonts w:cs="Guttman Drogolin" w:hint="cs"/>
          <w:rtl/>
          <w:lang w:bidi="he-IL"/>
        </w:rPr>
        <w:t xml:space="preserve"> אפילו בט</w:t>
      </w:r>
      <w:r w:rsidR="00CF4A5D">
        <w:rPr>
          <w:rFonts w:cs="Guttman Drogolin" w:hint="cs"/>
          <w:rtl/>
          <w:lang w:bidi="he-IL"/>
        </w:rPr>
        <w:t>עמו וממשו, הה"נ שי"ל על דרך זה אם</w:t>
      </w:r>
      <w:r w:rsidR="00754C00" w:rsidRPr="00882F11">
        <w:rPr>
          <w:rFonts w:cs="Guttman Drogolin" w:hint="cs"/>
          <w:rtl/>
          <w:lang w:bidi="he-IL"/>
        </w:rPr>
        <w:t xml:space="preserve"> </w:t>
      </w:r>
      <w:r w:rsidR="00C5379A" w:rsidRPr="00882F11">
        <w:rPr>
          <w:rFonts w:cs="Guttman Drogolin" w:hint="cs"/>
          <w:rtl/>
          <w:lang w:bidi="he-IL"/>
        </w:rPr>
        <w:t>טעם כעיקר</w:t>
      </w:r>
      <w:r w:rsidR="00754C00" w:rsidRPr="00882F11">
        <w:rPr>
          <w:rFonts w:cs="Guttman Drogolin" w:hint="cs"/>
          <w:rtl/>
          <w:lang w:bidi="he-IL"/>
        </w:rPr>
        <w:t xml:space="preserve"> דאורייתא רק שאין עוברים אלא בעשה.</w:t>
      </w:r>
    </w:p>
    <w:p w:rsidR="00754C00" w:rsidRPr="00882F11" w:rsidRDefault="00F14FDC" w:rsidP="00CF4A5D">
      <w:pPr>
        <w:bidi/>
        <w:jc w:val="both"/>
        <w:rPr>
          <w:rFonts w:cs="Guttman Drogolin"/>
          <w:rtl/>
          <w:lang w:bidi="he-IL"/>
        </w:rPr>
      </w:pPr>
      <w:r w:rsidRPr="00882F11">
        <w:rPr>
          <w:rFonts w:cs="Guttman Drogolin" w:hint="cs"/>
          <w:rtl/>
          <w:lang w:bidi="he-IL"/>
        </w:rPr>
        <w:t xml:space="preserve">אמנם </w:t>
      </w:r>
      <w:r w:rsidR="005A7F0E" w:rsidRPr="00882F11">
        <w:rPr>
          <w:rFonts w:cs="Guttman Drogolin" w:hint="cs"/>
          <w:rtl/>
          <w:lang w:bidi="he-IL"/>
        </w:rPr>
        <w:t>נראה ש</w:t>
      </w:r>
      <w:r w:rsidRPr="00882F11">
        <w:rPr>
          <w:rFonts w:cs="Guttman Drogolin" w:hint="cs"/>
          <w:rtl/>
          <w:lang w:bidi="he-IL"/>
        </w:rPr>
        <w:t xml:space="preserve">לשיטת ר"י מאורליינ"ש </w:t>
      </w:r>
      <w:r w:rsidR="005A7F0E" w:rsidRPr="00882F11">
        <w:rPr>
          <w:rFonts w:cs="Guttman Drogolin" w:hint="cs"/>
          <w:rtl/>
          <w:lang w:bidi="he-IL"/>
        </w:rPr>
        <w:t>אפשר</w:t>
      </w:r>
      <w:r w:rsidRPr="00882F11">
        <w:rPr>
          <w:rFonts w:cs="Guttman Drogolin" w:hint="cs"/>
          <w:rtl/>
          <w:lang w:bidi="he-IL"/>
        </w:rPr>
        <w:t xml:space="preserve"> </w:t>
      </w:r>
      <w:r w:rsidR="005A7F0E" w:rsidRPr="00882F11">
        <w:rPr>
          <w:rFonts w:cs="Guttman Drogolin" w:hint="cs"/>
          <w:rtl/>
          <w:lang w:bidi="he-IL"/>
        </w:rPr>
        <w:t xml:space="preserve">לומר </w:t>
      </w:r>
      <w:r w:rsidRPr="00882F11">
        <w:rPr>
          <w:rFonts w:cs="Guttman Drogolin" w:hint="cs"/>
          <w:rtl/>
          <w:lang w:bidi="he-IL"/>
        </w:rPr>
        <w:t>ביאור אחר למה קס"ד הכי</w:t>
      </w:r>
      <w:r w:rsidR="00B67ABF" w:rsidRPr="00882F11">
        <w:rPr>
          <w:rStyle w:val="FootnoteReference"/>
          <w:rFonts w:cs="Guttman Drogolin"/>
          <w:rtl/>
          <w:lang w:bidi="he-IL"/>
        </w:rPr>
        <w:footnoteReference w:id="54"/>
      </w:r>
      <w:r w:rsidRPr="00882F11">
        <w:rPr>
          <w:rFonts w:cs="Guttman Drogolin" w:hint="cs"/>
          <w:rtl/>
          <w:lang w:bidi="he-IL"/>
        </w:rPr>
        <w:t xml:space="preserve">, והוא משום שלדידי' אפילו </w:t>
      </w:r>
      <w:r w:rsidR="00CF4A5D">
        <w:rPr>
          <w:rFonts w:cs="Guttman Drogolin" w:hint="cs"/>
          <w:rtl/>
          <w:lang w:bidi="he-IL"/>
        </w:rPr>
        <w:t>ב</w:t>
      </w:r>
      <w:r w:rsidRPr="00882F11">
        <w:rPr>
          <w:rFonts w:cs="Guttman Drogolin" w:hint="cs"/>
          <w:rtl/>
          <w:lang w:bidi="he-IL"/>
        </w:rPr>
        <w:t xml:space="preserve">טעמו וממשו לא היינו אומרים שהיא מדאורייתא אלמלא הדין של </w:t>
      </w:r>
      <w:r w:rsidR="00C5379A" w:rsidRPr="00882F11">
        <w:rPr>
          <w:rFonts w:cs="Guttman Drogolin" w:hint="cs"/>
          <w:rtl/>
          <w:lang w:bidi="he-IL"/>
        </w:rPr>
        <w:t>טעם כעיקר</w:t>
      </w:r>
      <w:r w:rsidRPr="00882F11">
        <w:rPr>
          <w:rFonts w:cs="Guttman Drogolin" w:hint="cs"/>
          <w:rtl/>
          <w:lang w:bidi="he-IL"/>
        </w:rPr>
        <w:t>. רק דסבירא לי' לר"י מאורליינ"ש שיש לחלק בין הדין שלמדו מ</w:t>
      </w:r>
      <w:r w:rsidR="00C5379A" w:rsidRPr="00882F11">
        <w:rPr>
          <w:rFonts w:cs="Guttman Drogolin" w:hint="cs"/>
          <w:rtl/>
          <w:lang w:bidi="he-IL"/>
        </w:rPr>
        <w:t>טעם כעיקר</w:t>
      </w:r>
      <w:r w:rsidRPr="00882F11">
        <w:rPr>
          <w:rFonts w:cs="Guttman Drogolin" w:hint="cs"/>
          <w:rtl/>
          <w:lang w:bidi="he-IL"/>
        </w:rPr>
        <w:t xml:space="preserve"> בטעמו וממשו לדין דלמדו בטעמו ולא ממשו. שבטעמו ולא ממשו היינו אומרים שטעם אינו חפצא דאיסורא מדאורייתא כלל, ואפילו בלי הדין של אחרי רבים להטות היינו מתירים אפילו רוב טעם וכמו שכתב רע"א בדעת התוס'. אבל בטעמו ממשו הי' צריך הגזה"כ דאחרי רבים להטות כדי להתיר, רק </w:t>
      </w:r>
      <w:r w:rsidRPr="00882F11">
        <w:rPr>
          <w:rFonts w:cs="Guttman Drogolin" w:hint="cs"/>
          <w:rtl/>
          <w:lang w:bidi="he-IL"/>
        </w:rPr>
        <w:lastRenderedPageBreak/>
        <w:t xml:space="preserve">שברוב היינו מתירים אע"פ שיש היכר טעם אלמלא חידוש התורה של </w:t>
      </w:r>
      <w:r w:rsidR="00C5379A" w:rsidRPr="00882F11">
        <w:rPr>
          <w:rFonts w:cs="Guttman Drogolin" w:hint="cs"/>
          <w:rtl/>
          <w:lang w:bidi="he-IL"/>
        </w:rPr>
        <w:t>טעם כעיקר</w:t>
      </w:r>
      <w:r w:rsidRPr="00882F11">
        <w:rPr>
          <w:rFonts w:cs="Guttman Drogolin" w:hint="cs"/>
          <w:rtl/>
          <w:lang w:bidi="he-IL"/>
        </w:rPr>
        <w:t xml:space="preserve">. ולכן אחרי שחידשה תורה הדין של </w:t>
      </w:r>
      <w:r w:rsidR="00C5379A" w:rsidRPr="00882F11">
        <w:rPr>
          <w:rFonts w:cs="Guttman Drogolin" w:hint="cs"/>
          <w:rtl/>
          <w:lang w:bidi="he-IL"/>
        </w:rPr>
        <w:t>טעם כעיקר</w:t>
      </w:r>
      <w:r w:rsidRPr="00882F11">
        <w:rPr>
          <w:rFonts w:cs="Guttman Drogolin" w:hint="cs"/>
          <w:rtl/>
          <w:lang w:bidi="he-IL"/>
        </w:rPr>
        <w:t xml:space="preserve"> ג"כ הדין מתחלק, שבטעמו ו</w:t>
      </w:r>
      <w:r w:rsidR="00CF4A5D">
        <w:rPr>
          <w:rFonts w:cs="Guttman Drogolin" w:hint="cs"/>
          <w:rtl/>
          <w:lang w:bidi="he-IL"/>
        </w:rPr>
        <w:t xml:space="preserve">לא </w:t>
      </w:r>
      <w:r w:rsidRPr="00882F11">
        <w:rPr>
          <w:rFonts w:cs="Guttman Drogolin" w:hint="cs"/>
          <w:rtl/>
          <w:lang w:bidi="he-IL"/>
        </w:rPr>
        <w:t xml:space="preserve">ממשו כיון שאין לנו חפצא </w:t>
      </w:r>
      <w:r w:rsidR="00CF4A5D">
        <w:rPr>
          <w:rFonts w:cs="Guttman Drogolin" w:hint="cs"/>
          <w:rtl/>
          <w:lang w:bidi="he-IL"/>
        </w:rPr>
        <w:t>ד</w:t>
      </w:r>
      <w:r w:rsidRPr="00882F11">
        <w:rPr>
          <w:rFonts w:cs="Guttman Drogolin" w:hint="cs"/>
          <w:rtl/>
          <w:lang w:bidi="he-IL"/>
        </w:rPr>
        <w:t>איסורא בלי גזה"כ ד</w:t>
      </w:r>
      <w:r w:rsidR="00C5379A" w:rsidRPr="00882F11">
        <w:rPr>
          <w:rFonts w:cs="Guttman Drogolin" w:hint="cs"/>
          <w:rtl/>
          <w:lang w:bidi="he-IL"/>
        </w:rPr>
        <w:t>טעם כעיקר</w:t>
      </w:r>
      <w:r w:rsidRPr="00882F11">
        <w:rPr>
          <w:rFonts w:cs="Guttman Drogolin" w:hint="cs"/>
          <w:rtl/>
          <w:lang w:bidi="he-IL"/>
        </w:rPr>
        <w:t xml:space="preserve"> אין לנו לאסור יותר מן האיסור הכתוב בגיעולי נכרים שהוא איסור עשה, אבל בטעמו וממשו שהוא חפצא דאיסורא בפני עצמו שפיר עובר בלאו אחרי שחידשה תורה דטעמא מילתא היא, שלכן אינו מתבטל ויש לו האיסור שהי' בה גם מקודם שהוא איסור לאו. ולכן איכא למימר שלעולם ההו"א היתה דטכ"א לאו דאורייתא ו</w:t>
      </w:r>
      <w:r w:rsidR="00B84AA2" w:rsidRPr="00882F11">
        <w:rPr>
          <w:rFonts w:cs="Guttman Drogolin" w:hint="cs"/>
          <w:rtl/>
          <w:lang w:bidi="he-IL"/>
        </w:rPr>
        <w:t>ל</w:t>
      </w:r>
      <w:r w:rsidRPr="00882F11">
        <w:rPr>
          <w:rFonts w:cs="Guttman Drogolin" w:hint="cs"/>
          <w:rtl/>
          <w:lang w:bidi="he-IL"/>
        </w:rPr>
        <w:t xml:space="preserve">א הי' הו"א שלא אומרים הדין מסברא, וזה שפיר י"ל דאיכא למ"ד דטעם כעיקר לאו דאורייתא, דהא בגמ' ביקשו פסוק על זה.  </w:t>
      </w:r>
    </w:p>
    <w:p w:rsidR="00B97095" w:rsidRPr="00882F11" w:rsidRDefault="00754C00" w:rsidP="00CF4A5D">
      <w:pPr>
        <w:bidi/>
        <w:jc w:val="both"/>
        <w:rPr>
          <w:rFonts w:cs="Guttman Drogolin"/>
          <w:rtl/>
          <w:lang w:bidi="he-IL"/>
        </w:rPr>
      </w:pPr>
      <w:r w:rsidRPr="00882F11">
        <w:rPr>
          <w:rFonts w:cs="Guttman Drogolin" w:hint="cs"/>
          <w:rtl/>
          <w:lang w:bidi="he-IL"/>
        </w:rPr>
        <w:t>ועדיין יל"ע מה יהא הדין בעשה עיסה מן החיטין ומן האורז אליבא דר"י האורליינ"ש</w:t>
      </w:r>
      <w:r w:rsidR="005A7F0E" w:rsidRPr="00882F11">
        <w:rPr>
          <w:rFonts w:cs="Guttman Drogolin" w:hint="cs"/>
          <w:rtl/>
          <w:lang w:bidi="he-IL"/>
        </w:rPr>
        <w:t>, האם הוא כטעמו וממשו וכמו ביארו לשיטת רש"י ואינו חייב אא"כ אוכל כזית מן החיטין. או"ד כיון ד</w:t>
      </w:r>
      <w:r w:rsidR="00C5379A" w:rsidRPr="00882F11">
        <w:rPr>
          <w:rFonts w:cs="Guttman Drogolin" w:hint="cs"/>
          <w:rtl/>
          <w:lang w:bidi="he-IL"/>
        </w:rPr>
        <w:t>טעם כעיקר</w:t>
      </w:r>
      <w:r w:rsidR="005A7F0E" w:rsidRPr="00882F11">
        <w:rPr>
          <w:rFonts w:cs="Guttman Drogolin" w:hint="cs"/>
          <w:rtl/>
          <w:lang w:bidi="he-IL"/>
        </w:rPr>
        <w:t xml:space="preserve"> דאורייתא אע"פ שאינו אלא עשה מ"מ נהפך ההיתר להיות איסור, וכמו שנהפך להיות איסור הה"נ שיוצא בו ידי חובת מצה. </w:t>
      </w:r>
      <w:r w:rsidR="00CF4A5D">
        <w:rPr>
          <w:rFonts w:cs="Guttman Drogolin" w:hint="cs"/>
          <w:rtl/>
          <w:lang w:bidi="he-IL"/>
        </w:rPr>
        <w:t>וה</w:t>
      </w:r>
      <w:r w:rsidR="00480BE8" w:rsidRPr="00882F11">
        <w:rPr>
          <w:rFonts w:cs="Guttman Drogolin" w:hint="cs"/>
          <w:rtl/>
          <w:lang w:bidi="he-IL"/>
        </w:rPr>
        <w:t xml:space="preserve">יותר </w:t>
      </w:r>
      <w:r w:rsidR="00CF4A5D">
        <w:rPr>
          <w:rFonts w:cs="Guttman Drogolin" w:hint="cs"/>
          <w:rtl/>
          <w:lang w:bidi="he-IL"/>
        </w:rPr>
        <w:t>מ</w:t>
      </w:r>
      <w:r w:rsidR="00480BE8" w:rsidRPr="00882F11">
        <w:rPr>
          <w:rFonts w:cs="Guttman Drogolin" w:hint="cs"/>
          <w:rtl/>
          <w:lang w:bidi="he-IL"/>
        </w:rPr>
        <w:t xml:space="preserve">סתבר </w:t>
      </w:r>
      <w:r w:rsidR="00CF4A5D">
        <w:rPr>
          <w:rFonts w:cs="Guttman Drogolin" w:hint="cs"/>
          <w:rtl/>
          <w:lang w:bidi="he-IL"/>
        </w:rPr>
        <w:t xml:space="preserve">הוא שלא </w:t>
      </w:r>
      <w:r w:rsidR="005A7F0E" w:rsidRPr="00882F11">
        <w:rPr>
          <w:rFonts w:cs="Guttman Drogolin" w:hint="cs"/>
          <w:rtl/>
          <w:lang w:bidi="he-IL"/>
        </w:rPr>
        <w:t>נתחדש אלא איסור עשה, ו</w:t>
      </w:r>
      <w:r w:rsidR="00CF4A5D">
        <w:rPr>
          <w:rFonts w:cs="Guttman Drogolin" w:hint="cs"/>
          <w:rtl/>
          <w:lang w:bidi="he-IL"/>
        </w:rPr>
        <w:t xml:space="preserve">לכן </w:t>
      </w:r>
      <w:r w:rsidR="005A7F0E" w:rsidRPr="00882F11">
        <w:rPr>
          <w:rFonts w:cs="Guttman Drogolin" w:hint="cs"/>
          <w:rtl/>
          <w:lang w:bidi="he-IL"/>
        </w:rPr>
        <w:t>מנ"ל לומר דמהני לומר דהוי חפצא של מצה, הא עד כמה דהוי חפצא של מצה ליהוי חפצא של איסור וליח</w:t>
      </w:r>
      <w:r w:rsidR="00EE4458" w:rsidRPr="00882F11">
        <w:rPr>
          <w:rFonts w:cs="Guttman Drogolin" w:hint="cs"/>
          <w:rtl/>
          <w:lang w:bidi="he-IL"/>
        </w:rPr>
        <w:t>י</w:t>
      </w:r>
      <w:r w:rsidR="005A7F0E" w:rsidRPr="00882F11">
        <w:rPr>
          <w:rFonts w:cs="Guttman Drogolin" w:hint="cs"/>
          <w:rtl/>
          <w:lang w:bidi="he-IL"/>
        </w:rPr>
        <w:t>יב מלקות. אמנם לשיטת</w:t>
      </w:r>
      <w:r w:rsidR="00CF4A5D">
        <w:rPr>
          <w:rFonts w:cs="Guttman Drogolin" w:hint="cs"/>
          <w:rtl/>
          <w:lang w:bidi="he-IL"/>
        </w:rPr>
        <w:t xml:space="preserve"> הראב"ד ע"ד הר"י מאורליינ"ש רק </w:t>
      </w:r>
      <w:r w:rsidR="005A7F0E" w:rsidRPr="00882F11">
        <w:rPr>
          <w:rFonts w:cs="Guttman Drogolin" w:hint="cs"/>
          <w:rtl/>
          <w:lang w:bidi="he-IL"/>
        </w:rPr>
        <w:t>טעם שאינו לוקה משום שאין עונשין מן הדין, שפיר י"ל שזהו רק דין בעונשין, אבל בשאר הדינים ל</w:t>
      </w:r>
      <w:r w:rsidR="00CF4A5D">
        <w:rPr>
          <w:rFonts w:cs="Guttman Drogolin" w:hint="cs"/>
          <w:rtl/>
          <w:lang w:bidi="he-IL"/>
        </w:rPr>
        <w:t>ו</w:t>
      </w:r>
      <w:r w:rsidR="005A7F0E" w:rsidRPr="00882F11">
        <w:rPr>
          <w:rFonts w:cs="Guttman Drogolin" w:hint="cs"/>
          <w:rtl/>
          <w:lang w:bidi="he-IL"/>
        </w:rPr>
        <w:t>מדי</w:t>
      </w:r>
      <w:r w:rsidR="00CF4A5D">
        <w:rPr>
          <w:rFonts w:cs="Guttman Drogolin" w:hint="cs"/>
          <w:rtl/>
          <w:lang w:bidi="he-IL"/>
        </w:rPr>
        <w:t>ם</w:t>
      </w:r>
      <w:r w:rsidR="005A7F0E" w:rsidRPr="00882F11">
        <w:rPr>
          <w:rFonts w:cs="Guttman Drogolin" w:hint="cs"/>
          <w:rtl/>
          <w:lang w:bidi="he-IL"/>
        </w:rPr>
        <w:t xml:space="preserve"> שיש לו הדין של העיקר ויוצא ידי חובתו (והעירני לזה </w:t>
      </w:r>
      <w:r w:rsidR="00480BE8" w:rsidRPr="00882F11">
        <w:rPr>
          <w:rFonts w:cs="Guttman Drogolin" w:hint="cs"/>
          <w:rtl/>
          <w:lang w:bidi="he-IL"/>
        </w:rPr>
        <w:t>ת"ח א' מבני החבורה שליט"א)</w:t>
      </w:r>
      <w:r w:rsidR="005A7F0E" w:rsidRPr="00882F11">
        <w:rPr>
          <w:rFonts w:cs="Guttman Drogolin" w:hint="cs"/>
          <w:rtl/>
          <w:lang w:bidi="he-IL"/>
        </w:rPr>
        <w:t>. אלא שהאמת יורה דרכו ובהשגות הראב"ד</w:t>
      </w:r>
      <w:r w:rsidR="00480BE8" w:rsidRPr="00882F11">
        <w:rPr>
          <w:rFonts w:cs="Guttman Drogolin" w:hint="cs"/>
          <w:rtl/>
          <w:lang w:bidi="he-IL"/>
        </w:rPr>
        <w:t xml:space="preserve"> על הרמב"ם (פ"ו מהלכות חו"מ) מבואר שצריך כזית של חיטין לצאת ידי חובתו. וזהו אע"פ שמדויק ברשב"א בשם ראב"ד דסבר שע"י דינא ד</w:t>
      </w:r>
      <w:r w:rsidR="00C5379A" w:rsidRPr="00882F11">
        <w:rPr>
          <w:rFonts w:cs="Guttman Drogolin" w:hint="cs"/>
          <w:rtl/>
          <w:lang w:bidi="he-IL"/>
        </w:rPr>
        <w:t>טעם כעיקר</w:t>
      </w:r>
      <w:r w:rsidR="00480BE8" w:rsidRPr="00882F11">
        <w:rPr>
          <w:rFonts w:cs="Guttman Drogolin" w:hint="cs"/>
          <w:rtl/>
          <w:lang w:bidi="he-IL"/>
        </w:rPr>
        <w:t xml:space="preserve"> נהפך ההיתר להיות איסור. וע"כ הוא משום היסוד המבואר בר"ש בטבו"י שרק באיסורי אכילה התחדש הדין ד</w:t>
      </w:r>
      <w:r w:rsidR="00C5379A" w:rsidRPr="00882F11">
        <w:rPr>
          <w:rFonts w:cs="Guttman Drogolin" w:hint="cs"/>
          <w:rtl/>
          <w:lang w:bidi="he-IL"/>
        </w:rPr>
        <w:t>טעם כעיקר</w:t>
      </w:r>
      <w:r w:rsidR="00480BE8" w:rsidRPr="00882F11">
        <w:rPr>
          <w:rFonts w:cs="Guttman Drogolin" w:hint="cs"/>
          <w:rtl/>
          <w:lang w:bidi="he-IL"/>
        </w:rPr>
        <w:t xml:space="preserve"> ולא לדינים אחרים.</w:t>
      </w:r>
      <w:r w:rsidRPr="00882F11">
        <w:rPr>
          <w:rFonts w:cs="Guttman Drogolin" w:hint="cs"/>
          <w:rtl/>
          <w:lang w:bidi="he-IL"/>
        </w:rPr>
        <w:t xml:space="preserve"> </w:t>
      </w:r>
      <w:r w:rsidR="00F14FDC" w:rsidRPr="00882F11">
        <w:rPr>
          <w:rFonts w:cs="Guttman Drogolin" w:hint="cs"/>
          <w:rtl/>
          <w:lang w:bidi="he-IL"/>
        </w:rPr>
        <w:t xml:space="preserve">  </w:t>
      </w:r>
      <w:r w:rsidR="00EB3F3B" w:rsidRPr="00882F11">
        <w:rPr>
          <w:rFonts w:cs="Guttman Drogolin" w:hint="cs"/>
          <w:rtl/>
          <w:lang w:bidi="he-IL"/>
        </w:rPr>
        <w:t xml:space="preserve"> </w:t>
      </w:r>
      <w:r w:rsidR="003C4CD3" w:rsidRPr="00882F11">
        <w:rPr>
          <w:rFonts w:cs="Guttman Drogolin" w:hint="cs"/>
          <w:rtl/>
          <w:lang w:bidi="he-IL"/>
        </w:rPr>
        <w:t xml:space="preserve">  </w:t>
      </w:r>
      <w:r w:rsidR="0064625E" w:rsidRPr="00882F11">
        <w:rPr>
          <w:rFonts w:cs="Guttman Drogolin" w:hint="cs"/>
          <w:rtl/>
          <w:lang w:bidi="he-IL"/>
        </w:rPr>
        <w:t xml:space="preserve"> </w:t>
      </w:r>
      <w:r w:rsidR="00FD63AA" w:rsidRPr="00882F11">
        <w:rPr>
          <w:rFonts w:cs="Guttman Drogolin" w:hint="cs"/>
          <w:rtl/>
          <w:lang w:bidi="he-IL"/>
        </w:rPr>
        <w:t xml:space="preserve"> </w:t>
      </w:r>
      <w:r w:rsidR="0076032A" w:rsidRPr="00882F11">
        <w:rPr>
          <w:rFonts w:cs="Guttman Drogolin" w:hint="cs"/>
          <w:rtl/>
          <w:lang w:bidi="he-IL"/>
        </w:rPr>
        <w:t xml:space="preserve"> </w:t>
      </w:r>
      <w:r w:rsidR="00800DFD" w:rsidRPr="00882F11">
        <w:rPr>
          <w:rFonts w:cs="Guttman Drogolin" w:hint="cs"/>
          <w:rtl/>
          <w:lang w:bidi="he-IL"/>
        </w:rPr>
        <w:t xml:space="preserve"> </w:t>
      </w:r>
    </w:p>
    <w:p w:rsidR="005A7F0E" w:rsidRPr="00882F11" w:rsidRDefault="005A7F0E" w:rsidP="0078079C">
      <w:pPr>
        <w:pStyle w:val="Heading1"/>
        <w:bidi/>
        <w:spacing w:before="0" w:line="360" w:lineRule="auto"/>
        <w:jc w:val="center"/>
        <w:rPr>
          <w:rFonts w:cs="Guttman Drogolin"/>
          <w:color w:val="auto"/>
          <w:sz w:val="24"/>
          <w:szCs w:val="24"/>
          <w:u w:val="single"/>
          <w:rtl/>
          <w:lang w:bidi="he-IL"/>
        </w:rPr>
      </w:pPr>
      <w:bookmarkStart w:id="42" w:name="_Toc496175306"/>
      <w:r w:rsidRPr="00882F11">
        <w:rPr>
          <w:rFonts w:cs="Guttman Drogolin" w:hint="cs"/>
          <w:color w:val="auto"/>
          <w:sz w:val="24"/>
          <w:szCs w:val="24"/>
          <w:u w:val="single"/>
          <w:rtl/>
          <w:lang w:bidi="he-IL"/>
        </w:rPr>
        <w:lastRenderedPageBreak/>
        <w:t>ספק חסרון ידיעה</w:t>
      </w:r>
      <w:bookmarkEnd w:id="42"/>
    </w:p>
    <w:p w:rsidR="000729EF" w:rsidRPr="00882F11" w:rsidRDefault="0058114E" w:rsidP="00B84AA2">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ספק חסרון ידיעה</w:instrText>
      </w:r>
      <w:r w:rsidRPr="00882F11">
        <w:rPr>
          <w:rFonts w:cs="Guttman Drogolin"/>
          <w:rtl/>
        </w:rPr>
        <w:instrText>:</w:instrText>
      </w:r>
      <w:r w:rsidRPr="00882F11">
        <w:rPr>
          <w:rFonts w:cs="Guttman Drogolin" w:hint="cs"/>
          <w:rtl/>
          <w:lang w:bidi="he-IL"/>
        </w:rPr>
        <w:instrText>בספק אם יש נתינת טעם</w:instrText>
      </w:r>
      <w:r w:rsidRPr="00882F11">
        <w:rPr>
          <w:rFonts w:cs="Guttman Drogolin"/>
        </w:rPr>
        <w:instrText xml:space="preserve">" </w:instrText>
      </w:r>
      <w:r w:rsidRPr="00882F11">
        <w:rPr>
          <w:rFonts w:cs="Guttman Drogolin"/>
          <w:rtl/>
          <w:lang w:bidi="he-IL"/>
        </w:rPr>
        <w:fldChar w:fldCharType="end"/>
      </w:r>
      <w:r w:rsidR="000729EF" w:rsidRPr="00882F11">
        <w:rPr>
          <w:rFonts w:cs="Guttman Drogolin" w:hint="cs"/>
          <w:rtl/>
          <w:lang w:bidi="he-IL"/>
        </w:rPr>
        <w:t xml:space="preserve">למעשה אין לנו כ"כ נפק"מ אם טעם כעיקר </w:t>
      </w:r>
      <w:r w:rsidR="00C5379A" w:rsidRPr="00882F11">
        <w:rPr>
          <w:rFonts w:cs="Guttman Drogolin" w:hint="cs"/>
          <w:rtl/>
          <w:lang w:bidi="he-IL"/>
        </w:rPr>
        <w:t>דאורייתא</w:t>
      </w:r>
      <w:r w:rsidR="000729EF" w:rsidRPr="00882F11">
        <w:rPr>
          <w:rFonts w:cs="Guttman Drogolin" w:hint="cs"/>
          <w:rtl/>
          <w:lang w:bidi="he-IL"/>
        </w:rPr>
        <w:t xml:space="preserve"> או דרבנן</w:t>
      </w:r>
      <w:r w:rsidR="00CF4A5D">
        <w:rPr>
          <w:rFonts w:cs="Guttman Drogolin" w:hint="cs"/>
          <w:rtl/>
          <w:lang w:bidi="he-IL"/>
        </w:rPr>
        <w:t xml:space="preserve"> בזה"ז</w:t>
      </w:r>
      <w:r w:rsidR="000729EF" w:rsidRPr="00882F11">
        <w:rPr>
          <w:rFonts w:cs="Guttman Drogolin" w:hint="cs"/>
          <w:rtl/>
          <w:lang w:bidi="he-IL"/>
        </w:rPr>
        <w:t>, דהא א</w:t>
      </w:r>
      <w:r w:rsidR="00B84AA2" w:rsidRPr="00882F11">
        <w:rPr>
          <w:rFonts w:cs="Guttman Drogolin" w:hint="cs"/>
          <w:rtl/>
          <w:lang w:bidi="he-IL"/>
        </w:rPr>
        <w:t>ין לנו ב"ד הנותן מלקות עד ביאת ג</w:t>
      </w:r>
      <w:r w:rsidR="000729EF" w:rsidRPr="00882F11">
        <w:rPr>
          <w:rFonts w:cs="Guttman Drogolin" w:hint="cs"/>
          <w:rtl/>
          <w:lang w:bidi="he-IL"/>
        </w:rPr>
        <w:t xml:space="preserve">ואל צדק. אבל הראשונים מביאים נפק"מ כשיש ספק ששים, שלמ"ד </w:t>
      </w:r>
      <w:r w:rsidR="00C5379A" w:rsidRPr="00882F11">
        <w:rPr>
          <w:rFonts w:cs="Guttman Drogolin" w:hint="cs"/>
          <w:rtl/>
          <w:lang w:bidi="he-IL"/>
        </w:rPr>
        <w:t>טעם כעיקר</w:t>
      </w:r>
      <w:r w:rsidR="000729EF" w:rsidRPr="00882F11">
        <w:rPr>
          <w:rFonts w:cs="Guttman Drogolin" w:hint="cs"/>
          <w:rtl/>
          <w:lang w:bidi="he-IL"/>
        </w:rPr>
        <w:t xml:space="preserve"> דאורייתא הוי ספיקא דאורייתא ולחומרא, אבל למ"ד </w:t>
      </w:r>
      <w:r w:rsidR="00C5379A" w:rsidRPr="00882F11">
        <w:rPr>
          <w:rFonts w:cs="Guttman Drogolin" w:hint="cs"/>
          <w:rtl/>
          <w:lang w:bidi="he-IL"/>
        </w:rPr>
        <w:t>טעם כעיקר</w:t>
      </w:r>
      <w:r w:rsidR="000729EF" w:rsidRPr="00882F11">
        <w:rPr>
          <w:rFonts w:cs="Guttman Drogolin" w:hint="cs"/>
          <w:rtl/>
          <w:lang w:bidi="he-IL"/>
        </w:rPr>
        <w:t xml:space="preserve"> דרבנן הוי ספיקא דרבנן ולקולא. וכבר העירו מבני החבורה שליט"א שכל זה הוא דלא כביאורם של האחרונים בשיטת רש"י שאפילו אם </w:t>
      </w:r>
      <w:r w:rsidR="00C5379A" w:rsidRPr="00882F11">
        <w:rPr>
          <w:rFonts w:cs="Guttman Drogolin" w:hint="cs"/>
          <w:rtl/>
          <w:lang w:bidi="he-IL"/>
        </w:rPr>
        <w:t>טעם כעיקר</w:t>
      </w:r>
      <w:r w:rsidR="000729EF" w:rsidRPr="00882F11">
        <w:rPr>
          <w:rFonts w:cs="Guttman Drogolin" w:hint="cs"/>
          <w:rtl/>
          <w:lang w:bidi="he-IL"/>
        </w:rPr>
        <w:t xml:space="preserve"> דרבנן מ"מ בעינן ששים מדאורייתא, רק הוא כביאורם של הראשונים ע</w:t>
      </w:r>
      <w:r w:rsidR="00B84AA2" w:rsidRPr="00882F11">
        <w:rPr>
          <w:rFonts w:cs="Guttman Drogolin" w:hint="cs"/>
          <w:rtl/>
          <w:lang w:bidi="he-IL"/>
        </w:rPr>
        <w:t>ל</w:t>
      </w:r>
      <w:r w:rsidR="000729EF" w:rsidRPr="00882F11">
        <w:rPr>
          <w:rFonts w:cs="Guttman Drogolin" w:hint="cs"/>
          <w:rtl/>
          <w:lang w:bidi="he-IL"/>
        </w:rPr>
        <w:t xml:space="preserve"> פי דרכו של רש"י. </w:t>
      </w:r>
    </w:p>
    <w:p w:rsidR="00577304" w:rsidRPr="00882F11" w:rsidRDefault="000729EF" w:rsidP="0037369A">
      <w:pPr>
        <w:bidi/>
        <w:jc w:val="both"/>
        <w:rPr>
          <w:rFonts w:cs="Guttman Drogolin"/>
          <w:rtl/>
          <w:lang w:bidi="he-IL"/>
        </w:rPr>
      </w:pPr>
      <w:r w:rsidRPr="00882F11">
        <w:rPr>
          <w:rFonts w:cs="Guttman Drogolin" w:hint="cs"/>
          <w:rtl/>
          <w:lang w:bidi="he-IL"/>
        </w:rPr>
        <w:t xml:space="preserve">ומ"מ </w:t>
      </w:r>
      <w:r w:rsidR="00577304" w:rsidRPr="00882F11">
        <w:rPr>
          <w:rFonts w:cs="Guttman Drogolin" w:hint="cs"/>
          <w:rtl/>
          <w:lang w:bidi="he-IL"/>
        </w:rPr>
        <w:t xml:space="preserve">כתבו שאפילו אם </w:t>
      </w:r>
      <w:r w:rsidR="00C5379A" w:rsidRPr="00882F11">
        <w:rPr>
          <w:rFonts w:cs="Guttman Drogolin" w:hint="cs"/>
          <w:rtl/>
          <w:lang w:bidi="he-IL"/>
        </w:rPr>
        <w:t>טעם כעיקר</w:t>
      </w:r>
      <w:r w:rsidR="00577304" w:rsidRPr="00882F11">
        <w:rPr>
          <w:rFonts w:cs="Guttman Drogolin" w:hint="cs"/>
          <w:rtl/>
          <w:lang w:bidi="he-IL"/>
        </w:rPr>
        <w:t xml:space="preserve"> דרבנן אין אנו מקילים בספק אלא כגון שנשפך חלק מן התבשיל אחרי שהוציאו ממנו הדבר האסור, ולכן כיון שאין אנו יודעים כמה הי' שם ואי אפשר לשער מותר מספק. אבל אם התבשיל ל</w:t>
      </w:r>
      <w:r w:rsidR="0037369A" w:rsidRPr="00882F11">
        <w:rPr>
          <w:rFonts w:cs="Guttman Drogolin" w:hint="cs"/>
          <w:rtl/>
          <w:lang w:bidi="he-IL"/>
        </w:rPr>
        <w:t>פ</w:t>
      </w:r>
      <w:r w:rsidR="00577304" w:rsidRPr="00882F11">
        <w:rPr>
          <w:rFonts w:cs="Guttman Drogolin" w:hint="cs"/>
          <w:rtl/>
          <w:lang w:bidi="he-IL"/>
        </w:rPr>
        <w:t xml:space="preserve">נינו רק שאין אנו יודעים איך למדוד אם יש שם ששים או לא אסור. ודבר זה קוראים לה ספק חסרון ידיעה שאין לו הקולות של ספק. </w:t>
      </w:r>
    </w:p>
    <w:p w:rsidR="00202520" w:rsidRPr="00882F11" w:rsidRDefault="00577304" w:rsidP="001509DE">
      <w:pPr>
        <w:bidi/>
        <w:jc w:val="both"/>
        <w:rPr>
          <w:rFonts w:cs="Guttman Drogolin"/>
          <w:rtl/>
          <w:lang w:bidi="he-IL"/>
        </w:rPr>
      </w:pPr>
      <w:r w:rsidRPr="00882F11">
        <w:rPr>
          <w:rFonts w:cs="Guttman Drogolin" w:hint="cs"/>
          <w:rtl/>
          <w:lang w:bidi="he-IL"/>
        </w:rPr>
        <w:t>ונחלקו הפוסקים בביאור דין זה. ב</w:t>
      </w:r>
      <w:r w:rsidR="008766CA" w:rsidRPr="00882F11">
        <w:rPr>
          <w:rFonts w:cs="Guttman Drogolin" w:hint="cs"/>
          <w:rtl/>
          <w:lang w:bidi="he-IL"/>
        </w:rPr>
        <w:t xml:space="preserve">יו"ד סי' פ"א מבואר שיטת הרא"ש שבהמה שנעשה ממנו גבינות ונמצא בה טריפה דסירכא </w:t>
      </w:r>
      <w:r w:rsidR="0037369A" w:rsidRPr="00882F11">
        <w:rPr>
          <w:rFonts w:cs="Guttman Drogolin" w:hint="cs"/>
          <w:rtl/>
          <w:lang w:bidi="he-IL"/>
        </w:rPr>
        <w:t>ה</w:t>
      </w:r>
      <w:r w:rsidR="008766CA" w:rsidRPr="00882F11">
        <w:rPr>
          <w:rFonts w:cs="Guttman Drogolin" w:hint="cs"/>
          <w:rtl/>
          <w:lang w:bidi="he-IL"/>
        </w:rPr>
        <w:t>רי זה מותר מדין ספק ספיקא, ספק אם הסירכא היא סימן טריפה וספק אם נטרפה קודם שעשו הגבינות. והקשה השם הט"ז בס"ק ד' דמאי שנא מספק ששים כשהוא ספק חסרון ידיעה שאנו מחמירים שאין לה דין ספק. ותי' שאין מחמירים בספק חסרון ידיעה א</w:t>
      </w:r>
      <w:r w:rsidR="0037369A" w:rsidRPr="00882F11">
        <w:rPr>
          <w:rFonts w:cs="Guttman Drogolin" w:hint="cs"/>
          <w:rtl/>
          <w:lang w:bidi="he-IL"/>
        </w:rPr>
        <w:t>ל</w:t>
      </w:r>
      <w:r w:rsidR="008766CA" w:rsidRPr="00882F11">
        <w:rPr>
          <w:rFonts w:cs="Guttman Drogolin" w:hint="cs"/>
          <w:rtl/>
          <w:lang w:bidi="he-IL"/>
        </w:rPr>
        <w:t>א במקום שיש בעולם מי שהוא בקי ואצלו אינו ספק, אבל ספק לכל העולם הוי ספק. ולכן סירכא שהוא ספק לכל העולם יש לו הקולות של ספיקות ומצטרף לדין ספק ספיק</w:t>
      </w:r>
      <w:r w:rsidR="001509DE" w:rsidRPr="00882F11">
        <w:rPr>
          <w:rFonts w:cs="Guttman Drogolin" w:hint="cs"/>
          <w:rtl/>
          <w:lang w:bidi="he-IL"/>
        </w:rPr>
        <w:t>א. וע"ש בפמ"ג ובית מאיר מש"כ לי</w:t>
      </w:r>
      <w:r w:rsidR="008766CA" w:rsidRPr="00882F11">
        <w:rPr>
          <w:rFonts w:cs="Guttman Drogolin" w:hint="cs"/>
          <w:rtl/>
          <w:lang w:bidi="he-IL"/>
        </w:rPr>
        <w:t>ש</w:t>
      </w:r>
      <w:r w:rsidR="001509DE" w:rsidRPr="00882F11">
        <w:rPr>
          <w:rFonts w:cs="Guttman Drogolin" w:hint="cs"/>
          <w:rtl/>
          <w:lang w:bidi="he-IL"/>
        </w:rPr>
        <w:t>ב</w:t>
      </w:r>
      <w:r w:rsidR="008766CA" w:rsidRPr="00882F11">
        <w:rPr>
          <w:rFonts w:cs="Guttman Drogolin" w:hint="cs"/>
          <w:rtl/>
          <w:lang w:bidi="he-IL"/>
        </w:rPr>
        <w:t xml:space="preserve"> הא דמחמירין לש</w:t>
      </w:r>
      <w:r w:rsidR="001509DE" w:rsidRPr="00882F11">
        <w:rPr>
          <w:rFonts w:cs="Guttman Drogolin" w:hint="cs"/>
          <w:rtl/>
          <w:lang w:bidi="he-IL"/>
        </w:rPr>
        <w:t>ע</w:t>
      </w:r>
      <w:r w:rsidR="008766CA" w:rsidRPr="00882F11">
        <w:rPr>
          <w:rFonts w:cs="Guttman Drogolin" w:hint="cs"/>
          <w:rtl/>
          <w:lang w:bidi="he-IL"/>
        </w:rPr>
        <w:t xml:space="preserve">ר כנגד כל הכחל (ולכאורה הה"נ בכל חתיכת איסור, ואכמ"ל) ולא אמרינן שהוא מותר מספק. </w:t>
      </w:r>
      <w:r w:rsidR="00106EDD" w:rsidRPr="00882F11">
        <w:rPr>
          <w:rFonts w:cs="Guttman Drogolin" w:hint="cs"/>
          <w:rtl/>
          <w:lang w:bidi="he-IL"/>
        </w:rPr>
        <w:t>ומ"מ ע</w:t>
      </w:r>
      <w:r w:rsidR="0037369A" w:rsidRPr="00882F11">
        <w:rPr>
          <w:rFonts w:cs="Guttman Drogolin" w:hint="cs"/>
          <w:rtl/>
          <w:lang w:bidi="he-IL"/>
        </w:rPr>
        <w:t>"</w:t>
      </w:r>
      <w:r w:rsidR="00106EDD" w:rsidRPr="00882F11">
        <w:rPr>
          <w:rFonts w:cs="Guttman Drogolin" w:hint="cs"/>
          <w:rtl/>
          <w:lang w:bidi="he-IL"/>
        </w:rPr>
        <w:t xml:space="preserve">ש בנקוה"כ שחלק עליו וסבר שאפילו בספק חסרון ידיעה שהוא ספק לכל העולם מחמירים שאין לה דין ספק. </w:t>
      </w:r>
    </w:p>
    <w:p w:rsidR="00202520" w:rsidRPr="00882F11" w:rsidRDefault="00202520" w:rsidP="00202520">
      <w:pPr>
        <w:bidi/>
        <w:jc w:val="both"/>
        <w:rPr>
          <w:rFonts w:cs="Guttman Drogolin"/>
          <w:rtl/>
          <w:lang w:bidi="he-IL"/>
        </w:rPr>
        <w:sectPr w:rsidR="00202520" w:rsidRPr="00882F11" w:rsidSect="00882F11">
          <w:type w:val="continuous"/>
          <w:pgSz w:w="11907" w:h="16839" w:code="9"/>
          <w:pgMar w:top="1440" w:right="1440" w:bottom="1440" w:left="1440" w:header="720" w:footer="720" w:gutter="0"/>
          <w:cols w:num="2" w:space="720"/>
          <w:bidi/>
          <w:docGrid w:linePitch="360"/>
        </w:sectPr>
      </w:pPr>
    </w:p>
    <w:p w:rsidR="00202520" w:rsidRPr="00882F11" w:rsidRDefault="00202520" w:rsidP="00202520">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י'</w:t>
      </w:r>
    </w:p>
    <w:p w:rsidR="00882F11" w:rsidRDefault="00882F11" w:rsidP="0078079C">
      <w:pPr>
        <w:pStyle w:val="Heading1"/>
        <w:bidi/>
        <w:spacing w:before="0" w:line="360" w:lineRule="auto"/>
        <w:jc w:val="center"/>
        <w:rPr>
          <w:rFonts w:cs="Guttman Drogolin"/>
          <w:color w:val="auto"/>
          <w:sz w:val="24"/>
          <w:szCs w:val="24"/>
          <w:u w:val="single"/>
          <w:rtl/>
          <w:lang w:bidi="he-IL"/>
        </w:rPr>
        <w:sectPr w:rsidR="00882F11" w:rsidSect="00882F11">
          <w:headerReference w:type="default" r:id="rId18"/>
          <w:pgSz w:w="11907" w:h="16839" w:code="9"/>
          <w:pgMar w:top="1440" w:right="1440" w:bottom="1440" w:left="1440" w:header="720" w:footer="720" w:gutter="0"/>
          <w:cols w:space="720"/>
          <w:bidi/>
          <w:docGrid w:linePitch="360"/>
        </w:sectPr>
      </w:pPr>
    </w:p>
    <w:p w:rsidR="00202520" w:rsidRPr="00882F11" w:rsidRDefault="00AB5796" w:rsidP="0078079C">
      <w:pPr>
        <w:pStyle w:val="Heading1"/>
        <w:bidi/>
        <w:spacing w:before="0" w:line="360" w:lineRule="auto"/>
        <w:jc w:val="center"/>
        <w:rPr>
          <w:rFonts w:cs="Guttman Drogolin"/>
          <w:color w:val="auto"/>
          <w:sz w:val="24"/>
          <w:szCs w:val="24"/>
          <w:u w:val="single"/>
          <w:rtl/>
          <w:lang w:bidi="he-IL"/>
        </w:rPr>
      </w:pPr>
      <w:bookmarkStart w:id="43" w:name="_Toc496175307"/>
      <w:r w:rsidRPr="00882F11">
        <w:rPr>
          <w:rFonts w:cs="Guttman Drogolin" w:hint="cs"/>
          <w:color w:val="auto"/>
          <w:sz w:val="24"/>
          <w:szCs w:val="24"/>
          <w:u w:val="single"/>
          <w:rtl/>
          <w:lang w:bidi="he-IL"/>
        </w:rPr>
        <w:lastRenderedPageBreak/>
        <w:t>דברים היוצאים מסוגיא שטעם כעיקר</w:t>
      </w:r>
      <w:bookmarkEnd w:id="43"/>
    </w:p>
    <w:p w:rsidR="00AB5796" w:rsidRPr="00882F11" w:rsidRDefault="00AB5796" w:rsidP="00CB64D5">
      <w:pPr>
        <w:bidi/>
        <w:jc w:val="both"/>
        <w:rPr>
          <w:rFonts w:cs="Guttman Drogolin"/>
          <w:rtl/>
          <w:lang w:bidi="he-IL"/>
        </w:rPr>
      </w:pPr>
      <w:r w:rsidRPr="00882F11">
        <w:rPr>
          <w:rFonts w:cs="Guttman Drogolin" w:hint="cs"/>
          <w:rtl/>
          <w:lang w:bidi="he-IL"/>
        </w:rPr>
        <w:t>הב"י בסי' צ"ח הביא השיטות בדי</w:t>
      </w:r>
      <w:r w:rsidR="004C4A1A" w:rsidRPr="00882F11">
        <w:rPr>
          <w:rFonts w:cs="Guttman Drogolin" w:hint="cs"/>
          <w:rtl/>
          <w:lang w:bidi="he-IL"/>
        </w:rPr>
        <w:t>ן</w:t>
      </w:r>
      <w:r w:rsidRPr="00882F11">
        <w:rPr>
          <w:rFonts w:cs="Guttman Drogolin" w:hint="cs"/>
          <w:rtl/>
          <w:lang w:bidi="he-IL"/>
        </w:rPr>
        <w:t xml:space="preserve"> </w:t>
      </w:r>
      <w:r w:rsidR="00C5379A" w:rsidRPr="00882F11">
        <w:rPr>
          <w:rFonts w:cs="Guttman Drogolin" w:hint="cs"/>
          <w:rtl/>
          <w:lang w:bidi="he-IL"/>
        </w:rPr>
        <w:t>טעם כעיקר</w:t>
      </w:r>
      <w:r w:rsidRPr="00882F11">
        <w:rPr>
          <w:rFonts w:cs="Guttman Drogolin" w:hint="cs"/>
          <w:rtl/>
          <w:lang w:bidi="he-IL"/>
        </w:rPr>
        <w:t xml:space="preserve"> דאורייתא </w:t>
      </w:r>
      <w:r w:rsidR="00CB64D5">
        <w:rPr>
          <w:rFonts w:cs="Guttman Drogolin" w:hint="cs"/>
          <w:rtl/>
          <w:lang w:bidi="he-IL"/>
        </w:rPr>
        <w:t>ו</w:t>
      </w:r>
      <w:r w:rsidRPr="00882F11">
        <w:rPr>
          <w:rFonts w:cs="Guttman Drogolin" w:hint="cs"/>
          <w:rtl/>
          <w:lang w:bidi="he-IL"/>
        </w:rPr>
        <w:t xml:space="preserve">דרבנן, ובשו"ע סתם </w:t>
      </w:r>
      <w:r w:rsidR="00CB64D5">
        <w:rPr>
          <w:rFonts w:cs="Guttman Drogolin" w:hint="cs"/>
          <w:rtl/>
          <w:lang w:bidi="he-IL"/>
        </w:rPr>
        <w:t>כשיש ספק ו</w:t>
      </w:r>
      <w:r w:rsidRPr="00882F11">
        <w:rPr>
          <w:rFonts w:cs="Guttman Drogolin" w:hint="cs"/>
          <w:rtl/>
          <w:lang w:bidi="he-IL"/>
        </w:rPr>
        <w:t xml:space="preserve">נשפך במין בשאינו מינו אין אנו מקילים משום דהוי ספק דאורייתא וכמ"ד </w:t>
      </w:r>
      <w:r w:rsidR="00C5379A" w:rsidRPr="00882F11">
        <w:rPr>
          <w:rFonts w:cs="Guttman Drogolin" w:hint="cs"/>
          <w:rtl/>
          <w:lang w:bidi="he-IL"/>
        </w:rPr>
        <w:t>טעם כעיקר</w:t>
      </w:r>
      <w:r w:rsidRPr="00882F11">
        <w:rPr>
          <w:rFonts w:cs="Guttman Drogolin" w:hint="cs"/>
          <w:rtl/>
          <w:lang w:bidi="he-IL"/>
        </w:rPr>
        <w:t xml:space="preserve"> דאורייתא.</w:t>
      </w:r>
    </w:p>
    <w:p w:rsidR="003B4CA5" w:rsidRPr="00882F11" w:rsidRDefault="0058114E" w:rsidP="003B4CA5">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טעם כעיקר</w:instrText>
      </w:r>
      <w:r w:rsidRPr="00882F11">
        <w:rPr>
          <w:rFonts w:cs="Guttman Drogolin"/>
          <w:rtl/>
        </w:rPr>
        <w:instrText>:</w:instrText>
      </w:r>
      <w:r w:rsidRPr="00882F11">
        <w:rPr>
          <w:rFonts w:cs="Guttman Drogolin" w:hint="cs"/>
          <w:rtl/>
          <w:lang w:bidi="he-IL"/>
        </w:rPr>
        <w:instrText>אי אזלינן בתר שמא או טעמא</w:instrText>
      </w:r>
      <w:r w:rsidRPr="00882F11">
        <w:rPr>
          <w:rFonts w:cs="Guttman Drogolin"/>
        </w:rPr>
        <w:instrText xml:space="preserve">" </w:instrText>
      </w:r>
      <w:r w:rsidRPr="00882F11">
        <w:rPr>
          <w:rFonts w:cs="Guttman Drogolin"/>
          <w:rtl/>
          <w:lang w:bidi="he-IL"/>
        </w:rPr>
        <w:fldChar w:fldCharType="end"/>
      </w:r>
      <w:r w:rsidRPr="00882F11">
        <w:rPr>
          <w:rFonts w:cs="Guttman Drogolin"/>
          <w:rtl/>
          <w:lang w:bidi="he-IL"/>
        </w:rPr>
        <w:fldChar w:fldCharType="begin"/>
      </w:r>
      <w:r w:rsidRPr="00882F11">
        <w:rPr>
          <w:rFonts w:cs="Guttman Drogolin"/>
        </w:rPr>
        <w:instrText xml:space="preserve"> XE "</w:instrText>
      </w:r>
      <w:r w:rsidRPr="00882F11">
        <w:rPr>
          <w:rFonts w:cs="Guttman Drogolin"/>
          <w:rtl/>
          <w:lang w:bidi="he-IL"/>
        </w:rPr>
        <w:instrText>תערובת מין במינו (פי' בדליכא טכ</w:instrText>
      </w:r>
      <w:r w:rsidRPr="00882F11">
        <w:rPr>
          <w:rFonts w:eastAsiaTheme="minorEastAsia" w:cs="Guttman Drogolin"/>
          <w:lang w:bidi="he-IL"/>
        </w:rPr>
        <w:instrText>\</w:instrText>
      </w:r>
      <w:r w:rsidRPr="00882F11">
        <w:rPr>
          <w:rFonts w:cs="Guttman Drogolin"/>
          <w:rtl/>
          <w:lang w:bidi="he-IL"/>
        </w:rPr>
        <w:instrText>"ע)</w:instrText>
      </w:r>
      <w:r w:rsidRPr="00882F11">
        <w:rPr>
          <w:rFonts w:cs="Guttman Drogolin"/>
          <w:rtl/>
        </w:rPr>
        <w:instrText>:</w:instrText>
      </w:r>
      <w:r w:rsidRPr="00882F11">
        <w:rPr>
          <w:rFonts w:cs="Guttman Drogolin" w:hint="cs"/>
          <w:rtl/>
          <w:lang w:bidi="he-IL"/>
        </w:rPr>
        <w:instrText>אי אזלינן בתר שמא או טעמא</w:instrText>
      </w:r>
      <w:r w:rsidRPr="00882F11">
        <w:rPr>
          <w:rFonts w:cs="Guttman Drogolin"/>
        </w:rPr>
        <w:instrText xml:space="preserve">" </w:instrText>
      </w:r>
      <w:r w:rsidRPr="00882F11">
        <w:rPr>
          <w:rFonts w:cs="Guttman Drogolin"/>
          <w:rtl/>
          <w:lang w:bidi="he-IL"/>
        </w:rPr>
        <w:fldChar w:fldCharType="end"/>
      </w:r>
      <w:r w:rsidR="00AB5796" w:rsidRPr="00882F11">
        <w:rPr>
          <w:rFonts w:cs="Guttman Drogolin" w:hint="cs"/>
          <w:rtl/>
          <w:lang w:bidi="he-IL"/>
        </w:rPr>
        <w:t>והנה הא דמחמירים בדין במינו בשאינו מינו ולא במין במינו לכאורה היינו משום שבמין במינו יש שינוי טעם ומרגיש את טעם באיסור בתוך ההיתר, ואילו במין במינו אין הטעם של האיסור ניכר. אלא דהנה בדין מין במינו אנחנו מוצאים במס' ע"ז דף ס"ו ע"</w:t>
      </w:r>
      <w:r w:rsidR="009C6833" w:rsidRPr="00882F11">
        <w:rPr>
          <w:rFonts w:cs="Guttman Drogolin" w:hint="cs"/>
          <w:rtl/>
          <w:lang w:bidi="he-IL"/>
        </w:rPr>
        <w:t xml:space="preserve">א שנחלקו אביי ורבא איך קובעים מהו מינו ומהו אינו מינו. דרבא סבר דאזלינן בתר שמא, ור"ל שקובעים אם הוא מין במינו או מין בשאינו מינו ע"י השם של המאכל </w:t>
      </w:r>
      <w:r w:rsidR="00CB64D5">
        <w:rPr>
          <w:rFonts w:cs="Guttman Drogolin" w:hint="cs"/>
          <w:rtl/>
          <w:lang w:bidi="he-IL"/>
        </w:rPr>
        <w:t xml:space="preserve">של </w:t>
      </w:r>
      <w:r w:rsidR="009C6833" w:rsidRPr="00882F11">
        <w:rPr>
          <w:rFonts w:cs="Guttman Drogolin" w:hint="cs"/>
          <w:rtl/>
          <w:lang w:bidi="he-IL"/>
        </w:rPr>
        <w:t>איסור ו</w:t>
      </w:r>
      <w:r w:rsidR="00CB64D5">
        <w:rPr>
          <w:rFonts w:cs="Guttman Drogolin" w:hint="cs"/>
          <w:rtl/>
          <w:lang w:bidi="he-IL"/>
        </w:rPr>
        <w:t xml:space="preserve">של </w:t>
      </w:r>
      <w:r w:rsidR="009C6833" w:rsidRPr="00882F11">
        <w:rPr>
          <w:rFonts w:cs="Guttman Drogolin" w:hint="cs"/>
          <w:rtl/>
          <w:lang w:bidi="he-IL"/>
        </w:rPr>
        <w:t>התיר, שאם לתרוייהו יש אותו שם אע"פ שאין טעמם שוה הוו מין במינו, ואם שני שמות להם אע"פ שטעמם שוה הוי מין בשאינו מינו. ונפק"מ לכגון שיטת ר' יהודה דסבר מין</w:t>
      </w:r>
      <w:r w:rsidR="003B4CA5" w:rsidRPr="00882F11">
        <w:rPr>
          <w:rFonts w:cs="Guttman Drogolin" w:hint="cs"/>
          <w:rtl/>
          <w:lang w:bidi="he-IL"/>
        </w:rPr>
        <w:t xml:space="preserve"> במינו לא בטל. וכן אפילו לדידן ד</w:t>
      </w:r>
      <w:r w:rsidR="009C6833" w:rsidRPr="00882F11">
        <w:rPr>
          <w:rFonts w:cs="Guttman Drogolin" w:hint="cs"/>
          <w:rtl/>
          <w:lang w:bidi="he-IL"/>
        </w:rPr>
        <w:t>לא קיי"ל כר' יהודה יש נפק"מ בדבר שיש לו מתירין, שהדין הוא שלא בטל אפילו באל</w:t>
      </w:r>
      <w:r w:rsidR="0083127D" w:rsidRPr="00882F11">
        <w:rPr>
          <w:rFonts w:cs="Guttman Drogolin" w:hint="cs"/>
          <w:rtl/>
          <w:lang w:bidi="he-IL"/>
        </w:rPr>
        <w:t>ף</w:t>
      </w:r>
      <w:r w:rsidR="009C6833" w:rsidRPr="00882F11">
        <w:rPr>
          <w:rFonts w:cs="Guttman Drogolin" w:hint="cs"/>
          <w:rtl/>
          <w:lang w:bidi="he-IL"/>
        </w:rPr>
        <w:t xml:space="preserve"> במין במינו אבל לא במין בשאינו מינו.</w:t>
      </w:r>
      <w:r w:rsidR="003B4CA5" w:rsidRPr="00882F11">
        <w:rPr>
          <w:rFonts w:cs="Guttman Drogolin" w:hint="cs"/>
          <w:rtl/>
          <w:lang w:bidi="he-IL"/>
        </w:rPr>
        <w:t xml:space="preserve"> ולכאורה א"כ הי' עולה על הדעת לומר שלענין הדין של </w:t>
      </w:r>
      <w:r w:rsidR="00C5379A" w:rsidRPr="00882F11">
        <w:rPr>
          <w:rFonts w:cs="Guttman Drogolin" w:hint="cs"/>
          <w:rtl/>
          <w:lang w:bidi="he-IL"/>
        </w:rPr>
        <w:t>טעם כעיקר</w:t>
      </w:r>
      <w:r w:rsidR="003B4CA5" w:rsidRPr="00882F11">
        <w:rPr>
          <w:rFonts w:cs="Guttman Drogolin" w:hint="cs"/>
          <w:rtl/>
          <w:lang w:bidi="he-IL"/>
        </w:rPr>
        <w:t xml:space="preserve"> נמי כיון שתלוי במין במינו או בשאינו מינו גם כן תלוי במחלוקת אביי ורבא. אבל המחשבה הראשונה היא שלענין </w:t>
      </w:r>
      <w:r w:rsidR="00C5379A" w:rsidRPr="00882F11">
        <w:rPr>
          <w:rFonts w:cs="Guttman Drogolin" w:hint="cs"/>
          <w:rtl/>
          <w:lang w:bidi="he-IL"/>
        </w:rPr>
        <w:t>טעם כעיקר</w:t>
      </w:r>
      <w:r w:rsidR="003B4CA5" w:rsidRPr="00882F11">
        <w:rPr>
          <w:rFonts w:cs="Guttman Drogolin" w:hint="cs"/>
          <w:rtl/>
          <w:lang w:bidi="he-IL"/>
        </w:rPr>
        <w:t xml:space="preserve"> לכו"ע אין הדבר תלוי אלא בטעם, דהא יסוד הדין של </w:t>
      </w:r>
      <w:r w:rsidR="00C5379A" w:rsidRPr="00882F11">
        <w:rPr>
          <w:rFonts w:cs="Guttman Drogolin" w:hint="cs"/>
          <w:rtl/>
          <w:lang w:bidi="he-IL"/>
        </w:rPr>
        <w:t>טעם כעיקר</w:t>
      </w:r>
      <w:r w:rsidR="003B4CA5" w:rsidRPr="00882F11">
        <w:rPr>
          <w:rFonts w:cs="Guttman Drogolin" w:hint="cs"/>
          <w:rtl/>
          <w:lang w:bidi="he-IL"/>
        </w:rPr>
        <w:t xml:space="preserve"> הוא משום זה שטועם איסור, אבל אם אינו טועמו מאי איכפת לן דהוי מין בשאינו מינו משום השם שלו. וכן להיפך, אם טועם האיסור לכאורה צריך להיות אסור אע"פ שיש לו דין של מין במינו. ולכן הא דמבואר במס' זבחים דף ע"ח שהדין של טעם חלוק </w:t>
      </w:r>
      <w:r w:rsidR="003B4CA5" w:rsidRPr="00882F11">
        <w:rPr>
          <w:rFonts w:cs="Guttman Drogolin" w:hint="cs"/>
          <w:rtl/>
          <w:lang w:bidi="he-IL"/>
        </w:rPr>
        <w:lastRenderedPageBreak/>
        <w:t xml:space="preserve">בין מין במינו למין בשאינו מינו, אינו אותו ענין המוזכר במס' ע"ז. </w:t>
      </w:r>
    </w:p>
    <w:p w:rsidR="003B4CA5" w:rsidRPr="00882F11" w:rsidRDefault="003B4CA5" w:rsidP="003B4CA5">
      <w:pPr>
        <w:bidi/>
        <w:jc w:val="both"/>
        <w:rPr>
          <w:rFonts w:cs="Guttman Drogolin"/>
          <w:rtl/>
          <w:lang w:bidi="he-IL"/>
        </w:rPr>
      </w:pPr>
      <w:r w:rsidRPr="00882F11">
        <w:rPr>
          <w:rFonts w:cs="Guttman Drogolin" w:hint="cs"/>
          <w:rtl/>
          <w:lang w:bidi="he-IL"/>
        </w:rPr>
        <w:t>וכן לכאורה סבר הש"ך סי' צ"ח ס"ק</w:t>
      </w:r>
      <w:r w:rsidR="00CB64D5">
        <w:rPr>
          <w:rFonts w:cs="Guttman Drogolin" w:hint="cs"/>
          <w:rtl/>
          <w:lang w:bidi="he-IL"/>
        </w:rPr>
        <w:t xml:space="preserve"> ו'</w:t>
      </w:r>
      <w:r w:rsidRPr="00882F11">
        <w:rPr>
          <w:rFonts w:cs="Guttman Drogolin" w:hint="cs"/>
          <w:rtl/>
          <w:lang w:bidi="he-IL"/>
        </w:rPr>
        <w:t xml:space="preserve">. אלא שחלק בזה על הרמ"א שכתב שגם לענין </w:t>
      </w:r>
      <w:r w:rsidR="00C5379A" w:rsidRPr="00882F11">
        <w:rPr>
          <w:rFonts w:cs="Guttman Drogolin" w:hint="cs"/>
          <w:rtl/>
          <w:lang w:bidi="he-IL"/>
        </w:rPr>
        <w:t>טעם כעיקר</w:t>
      </w:r>
      <w:r w:rsidRPr="00882F11">
        <w:rPr>
          <w:rFonts w:cs="Guttman Drogolin" w:hint="cs"/>
          <w:rtl/>
          <w:lang w:bidi="he-IL"/>
        </w:rPr>
        <w:t xml:space="preserve"> הדבר תלוי במחלוקת רבא ואביי, וכיון דקיי"ל כרבא, גם לענין </w:t>
      </w:r>
      <w:r w:rsidR="00C5379A" w:rsidRPr="00882F11">
        <w:rPr>
          <w:rFonts w:cs="Guttman Drogolin" w:hint="cs"/>
          <w:rtl/>
          <w:lang w:bidi="he-IL"/>
        </w:rPr>
        <w:t>טעם כעיקר</w:t>
      </w:r>
      <w:r w:rsidRPr="00882F11">
        <w:rPr>
          <w:rFonts w:cs="Guttman Drogolin" w:hint="cs"/>
          <w:rtl/>
          <w:lang w:bidi="he-IL"/>
        </w:rPr>
        <w:t xml:space="preserve"> אזלינן בתר שמא. אלא שדבר זה קשה וכמש"נ.</w:t>
      </w:r>
    </w:p>
    <w:p w:rsidR="00B67ABF" w:rsidRPr="00882F11" w:rsidRDefault="003B4CA5" w:rsidP="00BD74A6">
      <w:pPr>
        <w:bidi/>
        <w:jc w:val="both"/>
        <w:rPr>
          <w:rFonts w:cs="Guttman Drogolin"/>
          <w:rtl/>
          <w:lang w:bidi="he-IL"/>
        </w:rPr>
      </w:pPr>
      <w:r w:rsidRPr="00882F11">
        <w:rPr>
          <w:rFonts w:cs="Guttman Drogolin" w:hint="cs"/>
          <w:rtl/>
          <w:lang w:bidi="he-IL"/>
        </w:rPr>
        <w:t xml:space="preserve">וראיתי באוסף חידו"ת להגר"א קוטלר שבא ליישב שיטת הרמ"א. ובהקדם ביאר דעד כאן לא אמרינן </w:t>
      </w:r>
      <w:r w:rsidR="00BD74A6" w:rsidRPr="00882F11">
        <w:rPr>
          <w:rFonts w:cs="Guttman Drogolin" w:hint="cs"/>
          <w:rtl/>
          <w:lang w:bidi="he-IL"/>
        </w:rPr>
        <w:t>ד</w:t>
      </w:r>
      <w:r w:rsidR="00C5379A" w:rsidRPr="00882F11">
        <w:rPr>
          <w:rFonts w:cs="Guttman Drogolin" w:hint="cs"/>
          <w:rtl/>
          <w:lang w:bidi="he-IL"/>
        </w:rPr>
        <w:t>טעם כעיקר</w:t>
      </w:r>
      <w:r w:rsidRPr="00882F11">
        <w:rPr>
          <w:rFonts w:cs="Guttman Drogolin" w:hint="cs"/>
          <w:rtl/>
          <w:lang w:bidi="he-IL"/>
        </w:rPr>
        <w:t xml:space="preserve"> דאורייתא אלא</w:t>
      </w:r>
      <w:r w:rsidR="00BD74A6" w:rsidRPr="00882F11">
        <w:rPr>
          <w:rFonts w:cs="Guttman Drogolin" w:hint="cs"/>
          <w:rtl/>
          <w:lang w:bidi="he-IL"/>
        </w:rPr>
        <w:t xml:space="preserve"> בכה"ג שהטעם אינו בטל מדאורייתא מדין אחרי רבים להטות</w:t>
      </w:r>
      <w:r w:rsidR="005F30E9" w:rsidRPr="00882F11">
        <w:rPr>
          <w:rStyle w:val="FootnoteReference"/>
          <w:rFonts w:cs="Guttman Drogolin"/>
          <w:rtl/>
          <w:lang w:bidi="he-IL"/>
        </w:rPr>
        <w:footnoteReference w:id="55"/>
      </w:r>
      <w:r w:rsidR="00BD74A6" w:rsidRPr="00882F11">
        <w:rPr>
          <w:rFonts w:cs="Guttman Drogolin" w:hint="cs"/>
          <w:rtl/>
          <w:lang w:bidi="he-IL"/>
        </w:rPr>
        <w:t xml:space="preserve">. וכתב להוכיח דבר זה מקושיית הגרע"א בגליון הש"ס אשיטת ר"י מאורליינ"ש שהבאנו לעיל, שלדידי' שאפילו אם </w:t>
      </w:r>
      <w:r w:rsidR="00C5379A" w:rsidRPr="00882F11">
        <w:rPr>
          <w:rFonts w:cs="Guttman Drogolin" w:hint="cs"/>
          <w:rtl/>
          <w:lang w:bidi="he-IL"/>
        </w:rPr>
        <w:t>טעם כעיקר</w:t>
      </w:r>
      <w:r w:rsidR="00BD74A6" w:rsidRPr="00882F11">
        <w:rPr>
          <w:rFonts w:cs="Guttman Drogolin" w:hint="cs"/>
          <w:rtl/>
          <w:lang w:bidi="he-IL"/>
        </w:rPr>
        <w:t xml:space="preserve"> דאורייתא אינו אלא עשה, איך הוכיחו מזה שר"ל סבר שאין לוקין עליו ש</w:t>
      </w:r>
      <w:r w:rsidR="00C5379A" w:rsidRPr="00882F11">
        <w:rPr>
          <w:rFonts w:cs="Guttman Drogolin" w:hint="cs"/>
          <w:rtl/>
          <w:lang w:bidi="he-IL"/>
        </w:rPr>
        <w:t>טעם כעיקר</w:t>
      </w:r>
      <w:r w:rsidR="00BD74A6" w:rsidRPr="00882F11">
        <w:rPr>
          <w:rFonts w:cs="Guttman Drogolin" w:hint="cs"/>
          <w:rtl/>
          <w:lang w:bidi="he-IL"/>
        </w:rPr>
        <w:t xml:space="preserve"> אינו דאורייתא, הא יתכן שהוא דאורייתא רק שאין לוקין עליו כיון שאינו אלא עשה. וביאר דע"כ בגזה"כ של </w:t>
      </w:r>
      <w:r w:rsidR="00C5379A" w:rsidRPr="00882F11">
        <w:rPr>
          <w:rFonts w:cs="Guttman Drogolin" w:hint="cs"/>
          <w:rtl/>
          <w:lang w:bidi="he-IL"/>
        </w:rPr>
        <w:t>טעם כעיקר</w:t>
      </w:r>
      <w:r w:rsidR="00BD74A6" w:rsidRPr="00882F11">
        <w:rPr>
          <w:rFonts w:cs="Guttman Drogolin" w:hint="cs"/>
          <w:rtl/>
          <w:lang w:bidi="he-IL"/>
        </w:rPr>
        <w:t xml:space="preserve"> מונח שהטעם לא בטל מדין אחרי רבים להטות, </w:t>
      </w:r>
      <w:r w:rsidR="00B67ABF" w:rsidRPr="00882F11">
        <w:rPr>
          <w:rFonts w:cs="Guttman Drogolin" w:hint="cs"/>
          <w:rtl/>
          <w:lang w:bidi="he-IL"/>
        </w:rPr>
        <w:t xml:space="preserve">ומטעם הנ"ל, שאם הי' בטל לא הי' לו כח לאסור מדין </w:t>
      </w:r>
      <w:r w:rsidR="00C5379A" w:rsidRPr="00882F11">
        <w:rPr>
          <w:rFonts w:cs="Guttman Drogolin" w:hint="cs"/>
          <w:rtl/>
          <w:lang w:bidi="he-IL"/>
        </w:rPr>
        <w:t>טעם כעיקר</w:t>
      </w:r>
      <w:r w:rsidR="00B67ABF" w:rsidRPr="00882F11">
        <w:rPr>
          <w:rFonts w:cs="Guttman Drogolin" w:hint="cs"/>
          <w:rtl/>
          <w:lang w:bidi="he-IL"/>
        </w:rPr>
        <w:t xml:space="preserve">. </w:t>
      </w:r>
      <w:r w:rsidR="00BD74A6" w:rsidRPr="00882F11">
        <w:rPr>
          <w:rFonts w:cs="Guttman Drogolin" w:hint="cs"/>
          <w:rtl/>
          <w:lang w:bidi="he-IL"/>
        </w:rPr>
        <w:t>וכיון שכן</w:t>
      </w:r>
      <w:r w:rsidR="00B67ABF" w:rsidRPr="00882F11">
        <w:rPr>
          <w:rFonts w:cs="Guttman Drogolin" w:hint="cs"/>
          <w:rtl/>
          <w:lang w:bidi="he-IL"/>
        </w:rPr>
        <w:t>,</w:t>
      </w:r>
      <w:r w:rsidR="00BD74A6" w:rsidRPr="00882F11">
        <w:rPr>
          <w:rFonts w:cs="Guttman Drogolin" w:hint="cs"/>
          <w:rtl/>
          <w:lang w:bidi="he-IL"/>
        </w:rPr>
        <w:t xml:space="preserve"> </w:t>
      </w:r>
      <w:r w:rsidR="00B67ABF" w:rsidRPr="00882F11">
        <w:rPr>
          <w:rFonts w:cs="Guttman Drogolin" w:hint="cs"/>
          <w:rtl/>
          <w:lang w:bidi="he-IL"/>
        </w:rPr>
        <w:t xml:space="preserve">בטעמו וממשו, כיון שלא בטל גם הר"י מאוריילנ"ש מודה שחזר לאיסורו ואסור מדאורייתא. </w:t>
      </w:r>
    </w:p>
    <w:p w:rsidR="00060C2C" w:rsidRPr="00882F11" w:rsidRDefault="0058114E" w:rsidP="00E9592C">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טעם כעיקר</w:instrText>
      </w:r>
      <w:r w:rsidRPr="00882F11">
        <w:rPr>
          <w:rFonts w:cs="Guttman Drogolin"/>
          <w:rtl/>
        </w:rPr>
        <w:instrText>:</w:instrText>
      </w:r>
      <w:r w:rsidRPr="00882F11">
        <w:rPr>
          <w:rFonts w:cs="Guttman Drogolin" w:hint="cs"/>
          <w:rtl/>
          <w:lang w:bidi="he-IL"/>
        </w:rPr>
        <w:instrText>ביאור הענין של 'היכר טעם'</w:instrText>
      </w:r>
      <w:r w:rsidRPr="00882F11">
        <w:rPr>
          <w:rFonts w:cs="Guttman Drogolin"/>
        </w:rPr>
        <w:instrText xml:space="preserve">" </w:instrText>
      </w:r>
      <w:r w:rsidRPr="00882F11">
        <w:rPr>
          <w:rFonts w:cs="Guttman Drogolin"/>
          <w:rtl/>
          <w:lang w:bidi="he-IL"/>
        </w:rPr>
        <w:fldChar w:fldCharType="end"/>
      </w:r>
      <w:r w:rsidR="00B67ABF" w:rsidRPr="00882F11">
        <w:rPr>
          <w:rFonts w:cs="Guttman Drogolin" w:hint="cs"/>
          <w:rtl/>
          <w:lang w:bidi="he-IL"/>
        </w:rPr>
        <w:t>והדגיש שם דהנה בעלמא כשיש לך איסור הניכר בתערובת שאינו בטל מדאורייתא, טעמו של דבר משום שע"י זה שהוא ניכר הרי הוא מסתלק מן התערובת וכבר אין לו שייכות לחתיכות המותרות. ולכן בכגון ב' חתיכות של היתר מצבע א', וחתיכה אחת של איסור מצבע אחר, הטעם שאין האיסור בטל משום שאין לך במה לבטלו. אבל ב</w:t>
      </w:r>
      <w:r w:rsidR="00C5379A" w:rsidRPr="00882F11">
        <w:rPr>
          <w:rFonts w:cs="Guttman Drogolin" w:hint="cs"/>
          <w:rtl/>
          <w:lang w:bidi="he-IL"/>
        </w:rPr>
        <w:t>טעם כעיקר</w:t>
      </w:r>
      <w:r w:rsidR="00B67ABF" w:rsidRPr="00882F11">
        <w:rPr>
          <w:rFonts w:cs="Guttman Drogolin" w:hint="cs"/>
          <w:rtl/>
          <w:lang w:bidi="he-IL"/>
        </w:rPr>
        <w:t xml:space="preserve"> אין זה הטעם, דהא ממילא הכל </w:t>
      </w:r>
      <w:r w:rsidR="00B67ABF" w:rsidRPr="00882F11">
        <w:rPr>
          <w:rFonts w:cs="Guttman Drogolin" w:hint="cs"/>
          <w:rtl/>
          <w:lang w:bidi="he-IL"/>
        </w:rPr>
        <w:lastRenderedPageBreak/>
        <w:t>מעורב כחפצא א' ואין היכר הטעם מוציאו מן התערובת שלו.</w:t>
      </w:r>
      <w:r w:rsidR="00AC2A5F" w:rsidRPr="00882F11">
        <w:rPr>
          <w:rFonts w:cs="Guttman Drogolin" w:hint="cs"/>
          <w:rtl/>
          <w:lang w:bidi="he-IL"/>
        </w:rPr>
        <w:t xml:space="preserve"> וזה לבד שהאיסור ניכר ע"י הטעם אין זה סיבה לומר שאינו בטל מגזה"כ דאחרי רבים להטות. ויש לזה ההוכחה מעצם המקור של ביטול ברוב שנאמר בגזה"כ דאחרי רבים להטות, דהא מקור הדבר מיירי בביטול הדיינים ברוב, והרי הדיינים היו ניכרים</w:t>
      </w:r>
      <w:r w:rsidR="004C4A1A" w:rsidRPr="00882F11">
        <w:rPr>
          <w:rFonts w:cs="Guttman Drogolin" w:hint="cs"/>
          <w:rtl/>
          <w:lang w:bidi="he-IL"/>
        </w:rPr>
        <w:t xml:space="preserve"> (ע' לבו</w:t>
      </w:r>
      <w:r w:rsidR="00E9592C" w:rsidRPr="00882F11">
        <w:rPr>
          <w:rFonts w:cs="Guttman Drogolin" w:hint="cs"/>
          <w:rtl/>
          <w:lang w:bidi="he-IL"/>
        </w:rPr>
        <w:t>ש</w:t>
      </w:r>
      <w:r w:rsidR="004C4A1A" w:rsidRPr="00882F11">
        <w:rPr>
          <w:rFonts w:cs="Guttman Drogolin" w:hint="cs"/>
          <w:rtl/>
          <w:lang w:bidi="he-IL"/>
        </w:rPr>
        <w:t xml:space="preserve"> באו"ח סי' תרל"ב שג"כ העיר מזה)</w:t>
      </w:r>
      <w:r w:rsidR="00AC2A5F" w:rsidRPr="00882F11">
        <w:rPr>
          <w:rFonts w:cs="Guttman Drogolin" w:hint="cs"/>
          <w:rtl/>
          <w:lang w:bidi="he-IL"/>
        </w:rPr>
        <w:t>.</w:t>
      </w:r>
      <w:r w:rsidR="00B67ABF" w:rsidRPr="00882F11">
        <w:rPr>
          <w:rFonts w:cs="Guttman Drogolin" w:hint="cs"/>
          <w:rtl/>
          <w:lang w:bidi="he-IL"/>
        </w:rPr>
        <w:t xml:space="preserve"> רק הטעם שאין האיסור בטל כשיש טעם הוא כנ"ל, דגזה"כ הוא שכשיש טעם לא אמרינן ההיתר של אחרי רבים להטות. </w:t>
      </w:r>
    </w:p>
    <w:p w:rsidR="00ED2379" w:rsidRPr="00882F11" w:rsidRDefault="00060C2C" w:rsidP="00ED2379">
      <w:pPr>
        <w:bidi/>
        <w:jc w:val="both"/>
        <w:rPr>
          <w:rFonts w:cs="Guttman Drogolin"/>
          <w:rtl/>
          <w:lang w:bidi="he-IL"/>
        </w:rPr>
      </w:pPr>
      <w:r w:rsidRPr="00882F11">
        <w:rPr>
          <w:rFonts w:cs="Guttman Drogolin" w:hint="cs"/>
          <w:rtl/>
          <w:lang w:bidi="he-IL"/>
        </w:rPr>
        <w:t>וע"פ זה כתב לבאר, דכיון שהמקור ל</w:t>
      </w:r>
      <w:r w:rsidR="00C5379A" w:rsidRPr="00882F11">
        <w:rPr>
          <w:rFonts w:cs="Guttman Drogolin" w:hint="cs"/>
          <w:rtl/>
          <w:lang w:bidi="he-IL"/>
        </w:rPr>
        <w:t>טעם כעיקר</w:t>
      </w:r>
      <w:r w:rsidRPr="00882F11">
        <w:rPr>
          <w:rFonts w:cs="Guttman Drogolin" w:hint="cs"/>
          <w:rtl/>
          <w:lang w:bidi="he-IL"/>
        </w:rPr>
        <w:t xml:space="preserve"> הוא מגזה"כ דמשרת, ושם הרי יש מין בשאינו מינו כ</w:t>
      </w:r>
      <w:r w:rsidR="00ED2379" w:rsidRPr="00882F11">
        <w:rPr>
          <w:rFonts w:cs="Guttman Drogolin" w:hint="cs"/>
          <w:rtl/>
          <w:lang w:bidi="he-IL"/>
        </w:rPr>
        <w:t xml:space="preserve">ענין של </w:t>
      </w:r>
      <w:r w:rsidRPr="00882F11">
        <w:rPr>
          <w:rFonts w:cs="Guttman Drogolin" w:hint="cs"/>
          <w:rtl/>
          <w:lang w:bidi="he-IL"/>
        </w:rPr>
        <w:t xml:space="preserve">הא דרבא ואביי, אמרינן שחידוש התורה היתה דכשיש טעם ליכא ביטול בדבר שדינו כמין בשאינו מינו, ולא בדבר שהוא מין במינו אע"ג שיש בה טעם. </w:t>
      </w:r>
      <w:r w:rsidR="00ED2379" w:rsidRPr="00882F11">
        <w:rPr>
          <w:rFonts w:cs="Guttman Drogolin" w:hint="cs"/>
          <w:rtl/>
          <w:lang w:bidi="he-IL"/>
        </w:rPr>
        <w:t xml:space="preserve">ולכן בדבר שיש לו דין מין במינו משום השם שלו, יוצא דכיון שהטעם בטל לא אמרינן </w:t>
      </w:r>
      <w:r w:rsidR="00C5379A" w:rsidRPr="00882F11">
        <w:rPr>
          <w:rFonts w:cs="Guttman Drogolin" w:hint="cs"/>
          <w:rtl/>
          <w:lang w:bidi="he-IL"/>
        </w:rPr>
        <w:t>טעם כעיקר</w:t>
      </w:r>
      <w:r w:rsidR="00ED2379" w:rsidRPr="00882F11">
        <w:rPr>
          <w:rFonts w:cs="Guttman Drogolin" w:hint="cs"/>
          <w:rtl/>
          <w:lang w:bidi="he-IL"/>
        </w:rPr>
        <w:t xml:space="preserve">. ובזה מיושב חצי משיטת הרמ"א, והיינו למה שלא יהא דין </w:t>
      </w:r>
      <w:r w:rsidR="00C5379A" w:rsidRPr="00882F11">
        <w:rPr>
          <w:rFonts w:cs="Guttman Drogolin" w:hint="cs"/>
          <w:rtl/>
          <w:lang w:bidi="he-IL"/>
        </w:rPr>
        <w:t>טעם כעיקר</w:t>
      </w:r>
      <w:r w:rsidR="00ED2379" w:rsidRPr="00882F11">
        <w:rPr>
          <w:rFonts w:cs="Guttman Drogolin" w:hint="cs"/>
          <w:rtl/>
          <w:lang w:bidi="he-IL"/>
        </w:rPr>
        <w:t xml:space="preserve"> דאורייתא כשדינו כמין במינו אע"ג שמרגיש הטעם, והוא משום דכיון שדינו כמין במינו</w:t>
      </w:r>
      <w:r w:rsidR="00056A13">
        <w:rPr>
          <w:rFonts w:cs="Guttman Drogolin" w:hint="cs"/>
          <w:rtl/>
          <w:lang w:bidi="he-IL"/>
        </w:rPr>
        <w:t>,</w:t>
      </w:r>
      <w:r w:rsidR="00ED2379" w:rsidRPr="00882F11">
        <w:rPr>
          <w:rFonts w:cs="Guttman Drogolin" w:hint="cs"/>
          <w:rtl/>
          <w:lang w:bidi="he-IL"/>
        </w:rPr>
        <w:t xml:space="preserve"> הטעם בטל ולא אמרינן הכלל של </w:t>
      </w:r>
      <w:r w:rsidR="00C5379A" w:rsidRPr="00882F11">
        <w:rPr>
          <w:rFonts w:cs="Guttman Drogolin" w:hint="cs"/>
          <w:rtl/>
          <w:lang w:bidi="he-IL"/>
        </w:rPr>
        <w:t>טעם כעיקר</w:t>
      </w:r>
      <w:r w:rsidR="00ED2379" w:rsidRPr="00882F11">
        <w:rPr>
          <w:rFonts w:cs="Guttman Drogolin" w:hint="cs"/>
          <w:rtl/>
          <w:lang w:bidi="he-IL"/>
        </w:rPr>
        <w:t xml:space="preserve"> דאורייתא.</w:t>
      </w:r>
    </w:p>
    <w:p w:rsidR="00AC2A5F" w:rsidRPr="00882F11" w:rsidRDefault="00ED2379" w:rsidP="00AC2A5F">
      <w:pPr>
        <w:bidi/>
        <w:jc w:val="both"/>
        <w:rPr>
          <w:rFonts w:cs="Guttman Drogolin"/>
          <w:rtl/>
          <w:lang w:bidi="he-IL"/>
        </w:rPr>
      </w:pPr>
      <w:r w:rsidRPr="00882F11">
        <w:rPr>
          <w:rFonts w:cs="Guttman Drogolin" w:hint="cs"/>
          <w:rtl/>
          <w:lang w:bidi="he-IL"/>
        </w:rPr>
        <w:t>והמשיך לבאר גם הקושי השני בדעת הרמ"א, והוא דאע"</w:t>
      </w:r>
      <w:r w:rsidR="00AC2A5F" w:rsidRPr="00882F11">
        <w:rPr>
          <w:rFonts w:cs="Guttman Drogolin" w:hint="cs"/>
          <w:rtl/>
          <w:lang w:bidi="he-IL"/>
        </w:rPr>
        <w:t>ג שאינו יכול להכיר את הטעם, מ"מ הרי טועם טעם איסור</w:t>
      </w:r>
      <w:r w:rsidR="00AC2A5F" w:rsidRPr="00882F11">
        <w:rPr>
          <w:rStyle w:val="FootnoteReference"/>
          <w:rFonts w:cs="Guttman Drogolin"/>
          <w:rtl/>
          <w:lang w:bidi="he-IL"/>
        </w:rPr>
        <w:footnoteReference w:id="56"/>
      </w:r>
      <w:r w:rsidR="00AC2A5F" w:rsidRPr="00882F11">
        <w:rPr>
          <w:rFonts w:cs="Guttman Drogolin" w:hint="cs"/>
          <w:rtl/>
          <w:lang w:bidi="he-IL"/>
        </w:rPr>
        <w:t>, שהרי טעם האיסור וטעם ההיתר שוין, וכמו שטועם את האיסור גם טועם את ההיתר.</w:t>
      </w:r>
      <w:r w:rsidRPr="00882F11">
        <w:rPr>
          <w:rFonts w:cs="Guttman Drogolin" w:hint="cs"/>
          <w:rtl/>
          <w:lang w:bidi="he-IL"/>
        </w:rPr>
        <w:t xml:space="preserve"> </w:t>
      </w:r>
      <w:r w:rsidR="00AC2A5F" w:rsidRPr="00882F11">
        <w:rPr>
          <w:rFonts w:cs="Guttman Drogolin" w:hint="cs"/>
          <w:rtl/>
          <w:lang w:bidi="he-IL"/>
        </w:rPr>
        <w:t>ולכן כיון שהטעם שלו לא בטל כיון שהוא מין ב</w:t>
      </w:r>
      <w:r w:rsidR="00BB463D" w:rsidRPr="00882F11">
        <w:rPr>
          <w:rFonts w:cs="Guttman Drogolin" w:hint="cs"/>
          <w:rtl/>
          <w:lang w:bidi="he-IL"/>
        </w:rPr>
        <w:t xml:space="preserve">שאינו </w:t>
      </w:r>
      <w:r w:rsidR="00AC2A5F" w:rsidRPr="00882F11">
        <w:rPr>
          <w:rFonts w:cs="Guttman Drogolin" w:hint="cs"/>
          <w:rtl/>
          <w:lang w:bidi="he-IL"/>
        </w:rPr>
        <w:t xml:space="preserve">מינו, ונאמר הדין מגזה"כ דמשרת שבמין בשאינו מינו טעמא לא בטיל, הרי עובר אאיסור </w:t>
      </w:r>
      <w:r w:rsidR="00C5379A" w:rsidRPr="00882F11">
        <w:rPr>
          <w:rFonts w:cs="Guttman Drogolin" w:hint="cs"/>
          <w:rtl/>
          <w:lang w:bidi="he-IL"/>
        </w:rPr>
        <w:t>טעם כעיקר</w:t>
      </w:r>
      <w:r w:rsidR="00AC2A5F" w:rsidRPr="00882F11">
        <w:rPr>
          <w:rFonts w:cs="Guttman Drogolin" w:hint="cs"/>
          <w:rtl/>
          <w:lang w:bidi="he-IL"/>
        </w:rPr>
        <w:t xml:space="preserve"> דאורייתא.</w:t>
      </w:r>
    </w:p>
    <w:p w:rsidR="004C4A1A" w:rsidRPr="00882F11" w:rsidRDefault="00AC2A5F" w:rsidP="00AC2A5F">
      <w:pPr>
        <w:bidi/>
        <w:jc w:val="both"/>
        <w:rPr>
          <w:rFonts w:cs="Guttman Drogolin"/>
          <w:rtl/>
          <w:lang w:bidi="he-IL"/>
        </w:rPr>
      </w:pPr>
      <w:r w:rsidRPr="00882F11">
        <w:rPr>
          <w:rFonts w:cs="Guttman Drogolin" w:hint="cs"/>
          <w:rtl/>
          <w:lang w:bidi="he-IL"/>
        </w:rPr>
        <w:t xml:space="preserve">ויעוין בסוף דברי הרשב"א בסוגיין שהביא בשם הראב"ד לשאול למה טעם אוסר כיון שמ"מ יש רוב היתר כנגדו. </w:t>
      </w:r>
      <w:r w:rsidR="004C4A1A" w:rsidRPr="00882F11">
        <w:rPr>
          <w:rFonts w:cs="Guttman Drogolin" w:hint="cs"/>
          <w:rtl/>
          <w:lang w:bidi="he-IL"/>
        </w:rPr>
        <w:t>ותי' דכיון שהאיסור ניכר ע"י הטעם אינו בטל. ונראה שכוונתו לחל</w:t>
      </w:r>
      <w:r w:rsidR="00056A13">
        <w:rPr>
          <w:rFonts w:cs="Guttman Drogolin" w:hint="cs"/>
          <w:rtl/>
          <w:lang w:bidi="he-IL"/>
        </w:rPr>
        <w:t>ו</w:t>
      </w:r>
      <w:r w:rsidR="004C4A1A" w:rsidRPr="00882F11">
        <w:rPr>
          <w:rFonts w:cs="Guttman Drogolin" w:hint="cs"/>
          <w:rtl/>
          <w:lang w:bidi="he-IL"/>
        </w:rPr>
        <w:t xml:space="preserve">ק על הביאור הנ"ל בביטול דבר הניכר, ולעולם אם האיסור ניכר לא נאמר הדין של בטל ברוב אע"פ שאין ההיכר מוציאו מן התערובת. וע' גם בתוס' </w:t>
      </w:r>
      <w:r w:rsidR="004C4A1A" w:rsidRPr="00882F11">
        <w:rPr>
          <w:rFonts w:cs="Guttman Drogolin" w:hint="cs"/>
          <w:rtl/>
          <w:lang w:bidi="he-IL"/>
        </w:rPr>
        <w:lastRenderedPageBreak/>
        <w:t>בדף צ"ה ע"א שלכאורה ג"כ מבואר כה"ג (וע' בפמ"ג באו"ח שם שהעיר מדברי התוס' הללו נגד סברת הלבוש הנ"ל).</w:t>
      </w:r>
    </w:p>
    <w:p w:rsidR="004C4A1A" w:rsidRPr="00882F11" w:rsidRDefault="004C4A1A" w:rsidP="0078079C">
      <w:pPr>
        <w:pStyle w:val="Heading1"/>
        <w:bidi/>
        <w:spacing w:before="0" w:line="360" w:lineRule="auto"/>
        <w:jc w:val="center"/>
        <w:rPr>
          <w:rFonts w:cs="Guttman Drogolin"/>
          <w:color w:val="auto"/>
          <w:sz w:val="24"/>
          <w:szCs w:val="24"/>
          <w:u w:val="single"/>
          <w:rtl/>
          <w:lang w:bidi="he-IL"/>
        </w:rPr>
      </w:pPr>
      <w:bookmarkStart w:id="44" w:name="_Toc496175308"/>
      <w:r w:rsidRPr="00882F11">
        <w:rPr>
          <w:rFonts w:cs="Guttman Drogolin" w:hint="cs"/>
          <w:color w:val="auto"/>
          <w:sz w:val="24"/>
          <w:szCs w:val="24"/>
          <w:u w:val="single"/>
          <w:rtl/>
          <w:lang w:bidi="he-IL"/>
        </w:rPr>
        <w:t xml:space="preserve">הלכה למעשה בדין </w:t>
      </w:r>
      <w:r w:rsidR="00C5379A" w:rsidRPr="00882F11">
        <w:rPr>
          <w:rFonts w:cs="Guttman Drogolin" w:hint="cs"/>
          <w:color w:val="auto"/>
          <w:sz w:val="24"/>
          <w:szCs w:val="24"/>
          <w:u w:val="single"/>
          <w:rtl/>
          <w:lang w:bidi="he-IL"/>
        </w:rPr>
        <w:t>טעם כעיקר</w:t>
      </w:r>
      <w:bookmarkEnd w:id="44"/>
    </w:p>
    <w:p w:rsidR="008464C9" w:rsidRPr="00882F11" w:rsidRDefault="0058114E" w:rsidP="00056A13">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טעם כעיקר</w:instrText>
      </w:r>
      <w:r w:rsidRPr="00882F11">
        <w:rPr>
          <w:rFonts w:cs="Guttman Drogolin"/>
          <w:rtl/>
        </w:rPr>
        <w:instrText>:</w:instrText>
      </w:r>
      <w:r w:rsidRPr="00882F11">
        <w:rPr>
          <w:rFonts w:cs="Guttman Drogolin" w:hint="cs"/>
          <w:rtl/>
          <w:lang w:bidi="he-IL"/>
        </w:rPr>
        <w:instrText>הלכה למעשה</w:instrText>
      </w:r>
      <w:r w:rsidRPr="00882F11">
        <w:rPr>
          <w:rFonts w:cs="Guttman Drogolin"/>
        </w:rPr>
        <w:instrText xml:space="preserve">" </w:instrText>
      </w:r>
      <w:r w:rsidRPr="00882F11">
        <w:rPr>
          <w:rFonts w:cs="Guttman Drogolin"/>
          <w:rtl/>
          <w:lang w:bidi="he-IL"/>
        </w:rPr>
        <w:fldChar w:fldCharType="end"/>
      </w:r>
      <w:r w:rsidR="004C4A1A" w:rsidRPr="00882F11">
        <w:rPr>
          <w:rFonts w:cs="Guttman Drogolin" w:hint="cs"/>
          <w:rtl/>
          <w:lang w:bidi="he-IL"/>
        </w:rPr>
        <w:t xml:space="preserve">כבר הזכרנו ששיטת השו"ע </w:t>
      </w:r>
      <w:r w:rsidR="00056A13">
        <w:rPr>
          <w:rFonts w:cs="Guttman Drogolin" w:hint="cs"/>
          <w:rtl/>
          <w:lang w:bidi="he-IL"/>
        </w:rPr>
        <w:t>ד</w:t>
      </w:r>
      <w:r w:rsidR="004C4A1A" w:rsidRPr="00882F11">
        <w:rPr>
          <w:rFonts w:cs="Guttman Drogolin" w:hint="cs"/>
          <w:rtl/>
          <w:lang w:bidi="he-IL"/>
        </w:rPr>
        <w:t>קיי"ל ד</w:t>
      </w:r>
      <w:r w:rsidR="00C5379A" w:rsidRPr="00882F11">
        <w:rPr>
          <w:rFonts w:cs="Guttman Drogolin" w:hint="cs"/>
          <w:rtl/>
          <w:lang w:bidi="he-IL"/>
        </w:rPr>
        <w:t>טעם כעיקר</w:t>
      </w:r>
      <w:r w:rsidR="004C4A1A" w:rsidRPr="00882F11">
        <w:rPr>
          <w:rFonts w:cs="Guttman Drogolin" w:hint="cs"/>
          <w:rtl/>
          <w:lang w:bidi="he-IL"/>
        </w:rPr>
        <w:t xml:space="preserve"> אסור מדאורייתא, ונפק"מ שאין מקילים בספק ששים היכא דנשפך</w:t>
      </w:r>
      <w:r w:rsidR="00BD1368" w:rsidRPr="00882F11">
        <w:rPr>
          <w:rFonts w:cs="Guttman Drogolin" w:hint="cs"/>
          <w:rtl/>
          <w:lang w:bidi="he-IL"/>
        </w:rPr>
        <w:t xml:space="preserve"> אם המעורב הוא איסור דאורייתא. ובדיני או"ה אין כ"כ נפק"מ אי אמרינן </w:t>
      </w:r>
      <w:r w:rsidR="00056A13">
        <w:rPr>
          <w:rFonts w:cs="Guttman Drogolin" w:hint="cs"/>
          <w:rtl/>
          <w:lang w:bidi="he-IL"/>
        </w:rPr>
        <w:t xml:space="preserve">שע"י דינא דטכ"ע נהפך ההיתר להיות איסור </w:t>
      </w:r>
      <w:r w:rsidR="00BD1368" w:rsidRPr="00882F11">
        <w:rPr>
          <w:rFonts w:cs="Guttman Drogolin" w:hint="cs"/>
          <w:rtl/>
          <w:lang w:bidi="he-IL"/>
        </w:rPr>
        <w:t xml:space="preserve">או לא, וכן אין נפק"מ באיזה ענין אמרינן </w:t>
      </w:r>
      <w:r w:rsidR="00056A13">
        <w:rPr>
          <w:rFonts w:cs="Guttman Drogolin" w:hint="cs"/>
          <w:rtl/>
          <w:lang w:bidi="he-IL"/>
        </w:rPr>
        <w:t>'</w:t>
      </w:r>
      <w:r w:rsidR="00BD1368" w:rsidRPr="00882F11">
        <w:rPr>
          <w:rFonts w:cs="Guttman Drogolin" w:hint="cs"/>
          <w:rtl/>
          <w:lang w:bidi="he-IL"/>
        </w:rPr>
        <w:t>נהפך</w:t>
      </w:r>
      <w:r w:rsidR="00056A13">
        <w:rPr>
          <w:rFonts w:cs="Guttman Drogolin" w:hint="cs"/>
          <w:rtl/>
          <w:lang w:bidi="he-IL"/>
        </w:rPr>
        <w:t>'</w:t>
      </w:r>
      <w:r w:rsidR="00BD1368" w:rsidRPr="00882F11">
        <w:rPr>
          <w:rFonts w:cs="Guttman Drogolin" w:hint="cs"/>
          <w:rtl/>
          <w:lang w:bidi="he-IL"/>
        </w:rPr>
        <w:t>. אמנם יל"ע מה יהא הדין ב</w:t>
      </w:r>
      <w:r w:rsidR="00C5379A" w:rsidRPr="00882F11">
        <w:rPr>
          <w:rFonts w:cs="Guttman Drogolin" w:hint="cs"/>
          <w:rtl/>
          <w:lang w:bidi="he-IL"/>
        </w:rPr>
        <w:t>טעם כעיקר</w:t>
      </w:r>
      <w:r w:rsidR="00056A13">
        <w:rPr>
          <w:rFonts w:cs="Guttman Drogolin" w:hint="cs"/>
          <w:rtl/>
          <w:lang w:bidi="he-IL"/>
        </w:rPr>
        <w:t xml:space="preserve"> באוכ</w:t>
      </w:r>
      <w:r w:rsidR="00BD1368" w:rsidRPr="00882F11">
        <w:rPr>
          <w:rFonts w:cs="Guttman Drogolin" w:hint="cs"/>
          <w:rtl/>
          <w:lang w:bidi="he-IL"/>
        </w:rPr>
        <w:t xml:space="preserve">ל מצה מן החיטין ומן האורז. והנה כבר הזכרנו שבירושלמי לכאורה מבואר שאינו יוצא ידי חובתו בפסח אלא בעירב קמח חיטה עם קמח אורז ומשום שרק בכה"ג אפשר לומר שהחיטה גוררת את האורז ונעשית היא עצמה מן התכונה של חמשת מיני דגן. </w:t>
      </w:r>
      <w:r w:rsidR="004E1A28" w:rsidRPr="00882F11">
        <w:rPr>
          <w:rFonts w:cs="Guttman Drogolin" w:hint="cs"/>
          <w:rtl/>
          <w:lang w:bidi="he-IL"/>
        </w:rPr>
        <w:t xml:space="preserve">אבל הטור באו"ח סי' תנ"ג כתב שגם בעירב מינים אחרים יוצא ידי חובתו. ומקשים האחרונים דלכאורה הוא דלא כמאן, דהא בין לרא"ש ובין לרמב"ן בעינן גם טעם (או טעמו ממשו) וגם גרירה, וכיון ששאר המינים אינם נגררים, למה תהא יוצא ידי חובת מצה בפסח. </w:t>
      </w:r>
      <w:r w:rsidR="001063EE" w:rsidRPr="00882F11">
        <w:rPr>
          <w:rFonts w:cs="Guttman Drogolin" w:hint="cs"/>
          <w:rtl/>
          <w:lang w:bidi="he-IL"/>
        </w:rPr>
        <w:t xml:space="preserve">ותי' בשו"ת בית אפרים שאע"ג שהרא"ש ביאר למה בעינן הטעם של גרירה אע"פ דמהני </w:t>
      </w:r>
      <w:r w:rsidR="00C5379A" w:rsidRPr="00882F11">
        <w:rPr>
          <w:rFonts w:cs="Guttman Drogolin" w:hint="cs"/>
          <w:rtl/>
          <w:lang w:bidi="he-IL"/>
        </w:rPr>
        <w:t>טעם כעיקר</w:t>
      </w:r>
      <w:r w:rsidR="001063EE" w:rsidRPr="00882F11">
        <w:rPr>
          <w:rFonts w:cs="Guttman Drogolin" w:hint="cs"/>
          <w:rtl/>
          <w:lang w:bidi="he-IL"/>
        </w:rPr>
        <w:t xml:space="preserve"> לחייב בחלה, אין זה אלא לפרש שיטת הירושלמי, אבל לענין מעשה סבר שבאמת הבבלי חלק על הירושלמי, דהא לא מוזכר הטעם של גרירה בש"ס בבלי, ולכן כדי לצאת ידי חובת מצה אין צריכים אלא הדין של </w:t>
      </w:r>
      <w:r w:rsidR="00C5379A" w:rsidRPr="00882F11">
        <w:rPr>
          <w:rFonts w:cs="Guttman Drogolin" w:hint="cs"/>
          <w:rtl/>
          <w:lang w:bidi="he-IL"/>
        </w:rPr>
        <w:t>טעם כעיקר</w:t>
      </w:r>
      <w:r w:rsidR="001063EE" w:rsidRPr="00882F11">
        <w:rPr>
          <w:rFonts w:cs="Guttman Drogolin" w:hint="cs"/>
          <w:rtl/>
          <w:lang w:bidi="he-IL"/>
        </w:rPr>
        <w:t xml:space="preserve"> בלבד. ולמעשה במ"ב (סי' תנ"ג סע' ב') </w:t>
      </w:r>
      <w:r w:rsidR="003A5EBF" w:rsidRPr="00882F11">
        <w:rPr>
          <w:rFonts w:cs="Guttman Drogolin" w:hint="cs"/>
          <w:rtl/>
          <w:lang w:bidi="he-IL"/>
        </w:rPr>
        <w:t xml:space="preserve">פסק שבשאר מינים ג"כ יכול לצאת ידי חובת מצה אם יש כזית בכדי אכילת פרס של ה' מיני דגן. ואם יש כזה שיעור דגן פסק שיוצא ידי חובתו אפילו אם לא אכל אלא כזית מן התערובת. וזה כשיטת ר' חיים כהן המובא ברא"ש. </w:t>
      </w:r>
      <w:r w:rsidR="0005035B" w:rsidRPr="00882F11">
        <w:rPr>
          <w:rFonts w:cs="Guttman Drogolin" w:hint="cs"/>
          <w:rtl/>
          <w:lang w:bidi="he-IL"/>
        </w:rPr>
        <w:t>והסיק דהנ"מ בשעה"ד, אבל שלא בשעה"ד אין לצאת חובת מצה בכה"ג אא"כ אכל</w:t>
      </w:r>
      <w:r w:rsidR="008464C9" w:rsidRPr="00882F11">
        <w:rPr>
          <w:rFonts w:cs="Guttman Drogolin" w:hint="cs"/>
          <w:rtl/>
          <w:lang w:bidi="he-IL"/>
        </w:rPr>
        <w:t xml:space="preserve"> כזית מן הדגן. </w:t>
      </w:r>
    </w:p>
    <w:p w:rsidR="00C5379A" w:rsidRPr="00882F11" w:rsidRDefault="008464C9" w:rsidP="00056A13">
      <w:pPr>
        <w:bidi/>
        <w:jc w:val="both"/>
        <w:rPr>
          <w:rFonts w:cs="Guttman Drogolin"/>
          <w:rtl/>
          <w:lang w:bidi="he-IL"/>
        </w:rPr>
      </w:pPr>
      <w:r w:rsidRPr="00882F11">
        <w:rPr>
          <w:rFonts w:cs="Guttman Drogolin" w:hint="cs"/>
          <w:rtl/>
          <w:lang w:bidi="he-IL"/>
        </w:rPr>
        <w:lastRenderedPageBreak/>
        <w:t>והנה גם זה אינו נפק"מ כ"כ גדולה למעשה כיון שנוה</w:t>
      </w:r>
      <w:r w:rsidR="00056A13">
        <w:rPr>
          <w:rFonts w:cs="Guttman Drogolin" w:hint="cs"/>
          <w:rtl/>
          <w:lang w:bidi="he-IL"/>
        </w:rPr>
        <w:t>ג</w:t>
      </w:r>
      <w:r w:rsidRPr="00882F11">
        <w:rPr>
          <w:rFonts w:cs="Guttman Drogolin" w:hint="cs"/>
          <w:rtl/>
          <w:lang w:bidi="he-IL"/>
        </w:rPr>
        <w:t>ים לא לאכול אורז וכן שאר קטניות בפסח (אלא שיש בזה נפק"מ לבני עדות המ</w:t>
      </w:r>
      <w:r w:rsidR="00056A13">
        <w:rPr>
          <w:rFonts w:cs="Guttman Drogolin" w:hint="cs"/>
          <w:rtl/>
          <w:lang w:bidi="he-IL"/>
        </w:rPr>
        <w:t>זרח, ואולי גם אם יש אלו שאינם י</w:t>
      </w:r>
      <w:r w:rsidRPr="00882F11">
        <w:rPr>
          <w:rFonts w:cs="Guttman Drogolin" w:hint="cs"/>
          <w:rtl/>
          <w:lang w:bidi="he-IL"/>
        </w:rPr>
        <w:t>כ</w:t>
      </w:r>
      <w:r w:rsidR="00056A13">
        <w:rPr>
          <w:rFonts w:cs="Guttman Drogolin" w:hint="cs"/>
          <w:rtl/>
          <w:lang w:bidi="he-IL"/>
        </w:rPr>
        <w:t>ו</w:t>
      </w:r>
      <w:r w:rsidRPr="00882F11">
        <w:rPr>
          <w:rFonts w:cs="Guttman Drogolin" w:hint="cs"/>
          <w:rtl/>
          <w:lang w:bidi="he-IL"/>
        </w:rPr>
        <w:t xml:space="preserve">לים לאכול מצה אא"כ יש בה רוב קמח אורז, שאולי לדידי' עדיף שיאכל האורז כדי לקיים מצות עשה דאורייתא. וצ"ע.) אמנם מה שנראה לכאורה שיהי' נפק"מ גדולה למעשה הוא לענין הפרשת חלה. והיינו שלמ"ד שאין ההיתר נהפך להיות איסור אין כ"כ נפק"מ, אבל אם נהפך ההיתר להיות איסור, לכאורה הה"נ שאם יש כגון קמח תירס ויש בה גם קמח חיטה, ויש בה כזית בכא"פ, יהא הדין שאע"פ שאין בקמח חיטה שיעור להתחייב בחלה, מ"מ גם התירס נהפך להיות כחיטה מדין </w:t>
      </w:r>
      <w:r w:rsidR="00C5379A" w:rsidRPr="00882F11">
        <w:rPr>
          <w:rFonts w:cs="Guttman Drogolin" w:hint="cs"/>
          <w:rtl/>
          <w:lang w:bidi="he-IL"/>
        </w:rPr>
        <w:t>טעם כעיקר</w:t>
      </w:r>
      <w:r w:rsidRPr="00882F11">
        <w:rPr>
          <w:rFonts w:cs="Guttman Drogolin" w:hint="cs"/>
          <w:rtl/>
          <w:lang w:bidi="he-IL"/>
        </w:rPr>
        <w:t xml:space="preserve"> והגם הוא יצטרף לשיעור חלה. וראיתי בס' משפטי ארץ (חלה) שהעיר מזה. ובדרך אמונה כתב שאינו חייב ע"י כזית בכא"פ בלבד. והוא מבוסס על דברי החזו"א, אבל לשיטת המ"ב דסבר שבשעה"ד אינו חייב לאכול אלא כזית מתערובת שאר מיני דגן עם דבר שאינו מין דגן, הרי שמעיקר הדין אמרינן נהפך, לכאורה יוצא שמעיקר הדין מצטרף לשיעור חלה</w:t>
      </w:r>
      <w:r w:rsidR="00DD7039" w:rsidRPr="00882F11">
        <w:rPr>
          <w:rStyle w:val="FootnoteReference"/>
          <w:rFonts w:cs="Guttman Drogolin"/>
          <w:rtl/>
          <w:lang w:bidi="he-IL"/>
        </w:rPr>
        <w:footnoteReference w:id="57"/>
      </w:r>
      <w:r w:rsidRPr="00882F11">
        <w:rPr>
          <w:rFonts w:cs="Guttman Drogolin" w:hint="cs"/>
          <w:rtl/>
          <w:lang w:bidi="he-IL"/>
        </w:rPr>
        <w:t xml:space="preserve">. </w:t>
      </w:r>
    </w:p>
    <w:p w:rsidR="00C5379A" w:rsidRPr="00882F11" w:rsidRDefault="00C5379A" w:rsidP="0078079C">
      <w:pPr>
        <w:pStyle w:val="Heading1"/>
        <w:bidi/>
        <w:spacing w:before="0" w:line="360" w:lineRule="auto"/>
        <w:jc w:val="center"/>
        <w:rPr>
          <w:rFonts w:cs="Guttman Drogolin"/>
          <w:color w:val="auto"/>
          <w:sz w:val="24"/>
          <w:szCs w:val="24"/>
          <w:u w:val="single"/>
          <w:rtl/>
          <w:lang w:bidi="he-IL"/>
        </w:rPr>
      </w:pPr>
      <w:bookmarkStart w:id="45" w:name="_Toc496175309"/>
      <w:r w:rsidRPr="00882F11">
        <w:rPr>
          <w:rFonts w:cs="Guttman Drogolin" w:hint="cs"/>
          <w:color w:val="auto"/>
          <w:sz w:val="24"/>
          <w:szCs w:val="24"/>
          <w:u w:val="single"/>
          <w:rtl/>
          <w:lang w:bidi="he-IL"/>
        </w:rPr>
        <w:t>בדין מקום חתך</w:t>
      </w:r>
      <w:bookmarkEnd w:id="45"/>
    </w:p>
    <w:p w:rsidR="00BF5030" w:rsidRPr="00882F11" w:rsidRDefault="00C5379A" w:rsidP="00C5379A">
      <w:pPr>
        <w:bidi/>
        <w:jc w:val="both"/>
        <w:rPr>
          <w:rFonts w:cs="Guttman Drogolin"/>
          <w:rtl/>
          <w:lang w:bidi="he-IL"/>
        </w:rPr>
      </w:pPr>
      <w:r w:rsidRPr="00882F11">
        <w:rPr>
          <w:rFonts w:cs="Guttman Drogolin" w:hint="cs"/>
          <w:rtl/>
          <w:lang w:bidi="he-IL"/>
        </w:rPr>
        <w:t xml:space="preserve">הפירוש השלישי בברייתא דזהו היתר הבא מכלל איסור הוא פירושו של רבינא שהברייתא מיירי בהיתירא דמקום חתך. והיינו שמצאנו בולד שהוציא ידו מן הבהמה קודם שחיטת האם שנאסר מקום החתך, וכאן בזרוע בשילה לא אסרו את מקום החיבור בין הזרוע לשאר האיל. והתוס' למדו שבאמת גם בשאר קדשים לא נאסר מקום החתך, דהא משמעות הפסוק אינו אלא לחלק הנאסר כגון הזרוע, ומשו"ה ליתי' לכל השו"ת כאן שאמרו בשאר הפירושים שבגמ'. </w:t>
      </w:r>
    </w:p>
    <w:p w:rsidR="00BF5030" w:rsidRPr="00882F11" w:rsidRDefault="00BF5030" w:rsidP="00BF5030">
      <w:pPr>
        <w:bidi/>
        <w:jc w:val="both"/>
        <w:rPr>
          <w:rFonts w:cs="Guttman Drogolin"/>
          <w:rtl/>
          <w:lang w:bidi="he-IL"/>
        </w:rPr>
      </w:pPr>
      <w:r w:rsidRPr="00882F11">
        <w:rPr>
          <w:rFonts w:cs="Guttman Drogolin" w:hint="cs"/>
          <w:rtl/>
          <w:lang w:bidi="he-IL"/>
        </w:rPr>
        <w:t xml:space="preserve">אמנם לשון רש"י ד"ה אלא למקום חתך "דבעלמא בכל איסור והיתר המחוברים כגון וכו'". ודקדק בס' תו"ח שחלק על התוס' וסוברים שגם בשאר </w:t>
      </w:r>
      <w:r w:rsidRPr="00882F11">
        <w:rPr>
          <w:rFonts w:cs="Guttman Drogolin" w:hint="cs"/>
          <w:rtl/>
          <w:lang w:bidi="he-IL"/>
        </w:rPr>
        <w:lastRenderedPageBreak/>
        <w:t xml:space="preserve">איסורים נאסר מקום החתך. וביאר שלמדו דבר זה מן הנאמר הולד שהוציא ידו, ולענין קושיית התוס' דא"כ גם זרוע בשילה תילף מיני', תי' דהא זרוע בשילה חידוש הוא ולכן גם אינו לומד מבעלמא. והוסיף שלשיטת התוס' קשה למד אמרו שחידוש זה יש בזרוע בשילה כיון שהוא חידוש שנאמר בכל מקום ולאו דוקא בזרוע בשילה. </w:t>
      </w:r>
    </w:p>
    <w:p w:rsidR="00BF5030" w:rsidRPr="00882F11" w:rsidRDefault="00BF5030" w:rsidP="00BF5030">
      <w:pPr>
        <w:bidi/>
        <w:jc w:val="both"/>
        <w:rPr>
          <w:rFonts w:cs="Guttman Drogolin"/>
          <w:rtl/>
          <w:lang w:bidi="he-IL"/>
        </w:rPr>
      </w:pPr>
      <w:r w:rsidRPr="00882F11">
        <w:rPr>
          <w:rFonts w:cs="Guttman Drogolin" w:hint="cs"/>
          <w:rtl/>
          <w:lang w:bidi="he-IL"/>
        </w:rPr>
        <w:t>ומ"מ חזינן מכל הסוגיא שהאיסור של מקום חתך</w:t>
      </w:r>
      <w:r w:rsidR="00C5379A" w:rsidRPr="00882F11">
        <w:rPr>
          <w:rFonts w:cs="Guttman Drogolin" w:hint="cs"/>
          <w:rtl/>
          <w:lang w:bidi="he-IL"/>
        </w:rPr>
        <w:t xml:space="preserve"> </w:t>
      </w:r>
      <w:r w:rsidR="00056A13">
        <w:rPr>
          <w:rFonts w:cs="Guttman Drogolin" w:hint="cs"/>
          <w:rtl/>
          <w:lang w:bidi="he-IL"/>
        </w:rPr>
        <w:t xml:space="preserve">אינו משום שאין </w:t>
      </w:r>
      <w:r w:rsidRPr="00882F11">
        <w:rPr>
          <w:rFonts w:cs="Guttman Drogolin" w:hint="cs"/>
          <w:rtl/>
          <w:lang w:bidi="he-IL"/>
        </w:rPr>
        <w:t>האבר בבהמה בשעת שחיטה, רק הוא דין באיסורים המחוברים, ותוס' סוברים שהוא איסור מקומי בלבד בולד שהוציא אבר ורש"י סוברים שהוא גם בשאר איסורים. וע' באבי עזרי הל' שאר אבות הטומאה שהביא מן הגרי"ז שהתקשה בזה מסוגית הש"ס</w:t>
      </w:r>
      <w:r w:rsidR="0005035B" w:rsidRPr="00882F11">
        <w:rPr>
          <w:rFonts w:cs="Guttman Drogolin" w:hint="cs"/>
          <w:rtl/>
          <w:lang w:bidi="he-IL"/>
        </w:rPr>
        <w:t xml:space="preserve"> </w:t>
      </w:r>
      <w:r w:rsidRPr="00882F11">
        <w:rPr>
          <w:rFonts w:cs="Guttman Drogolin" w:hint="cs"/>
          <w:rtl/>
          <w:lang w:bidi="he-IL"/>
        </w:rPr>
        <w:t xml:space="preserve">בפ' בהמה הקשה, וע"ש מה שהשיב האבי עזרי בזה. </w:t>
      </w:r>
    </w:p>
    <w:p w:rsidR="00FE4985" w:rsidRPr="00882F11" w:rsidRDefault="00BF5030" w:rsidP="00056A13">
      <w:pPr>
        <w:bidi/>
        <w:jc w:val="both"/>
        <w:rPr>
          <w:rFonts w:cs="Guttman Drogolin"/>
          <w:rtl/>
          <w:lang w:bidi="he-IL"/>
        </w:rPr>
      </w:pPr>
      <w:r w:rsidRPr="00882F11">
        <w:rPr>
          <w:rFonts w:cs="Guttman Drogolin" w:hint="cs"/>
          <w:rtl/>
          <w:lang w:bidi="he-IL"/>
        </w:rPr>
        <w:t>ועוד מקשים האו"ש ועוד למה בעינן ילפותא לא</w:t>
      </w:r>
      <w:r w:rsidR="00056A13">
        <w:rPr>
          <w:rFonts w:cs="Guttman Drogolin" w:hint="cs"/>
          <w:rtl/>
          <w:lang w:bidi="he-IL"/>
        </w:rPr>
        <w:t>יסורא דמקום החתך, הא מולחים את ה</w:t>
      </w:r>
      <w:r w:rsidRPr="00882F11">
        <w:rPr>
          <w:rFonts w:cs="Guttman Drogolin" w:hint="cs"/>
          <w:rtl/>
          <w:lang w:bidi="he-IL"/>
        </w:rPr>
        <w:t xml:space="preserve">איל וא"כ מקום החתך מ"מ בולע כדי קליפה. וע"ש מש"כ בזה. ונראה שהרי </w:t>
      </w:r>
      <w:r w:rsidR="00255181" w:rsidRPr="00882F11">
        <w:rPr>
          <w:rFonts w:cs="Guttman Drogolin" w:hint="cs"/>
          <w:rtl/>
          <w:lang w:bidi="he-IL"/>
        </w:rPr>
        <w:t>הדין של ששים או מאה הוא באיל לעומת הזרוע. ואילו הי' מקום החתך אסור בעצם, הי' צריך שיעור פחות מששים, דהא עכ</w:t>
      </w:r>
      <w:r w:rsidR="00056A13">
        <w:rPr>
          <w:rFonts w:cs="Guttman Drogolin" w:hint="cs"/>
          <w:rtl/>
          <w:lang w:bidi="he-IL"/>
        </w:rPr>
        <w:t>ש</w:t>
      </w:r>
      <w:r w:rsidR="00255181" w:rsidRPr="00882F11">
        <w:rPr>
          <w:rFonts w:cs="Guttman Drogolin" w:hint="cs"/>
          <w:rtl/>
          <w:lang w:bidi="he-IL"/>
        </w:rPr>
        <w:t>יו יש יותר שיעור איסור ופחות שיעור היתר. ולכן נפק"מ טובא לאיסורא ש</w:t>
      </w:r>
      <w:r w:rsidR="00056A13">
        <w:rPr>
          <w:rFonts w:cs="Guttman Drogolin" w:hint="cs"/>
          <w:rtl/>
          <w:lang w:bidi="he-IL"/>
        </w:rPr>
        <w:t xml:space="preserve">ל </w:t>
      </w:r>
      <w:r w:rsidR="00255181" w:rsidRPr="00882F11">
        <w:rPr>
          <w:rFonts w:cs="Guttman Drogolin" w:hint="cs"/>
          <w:rtl/>
          <w:lang w:bidi="he-IL"/>
        </w:rPr>
        <w:t>מקום חתך</w:t>
      </w:r>
      <w:r w:rsidR="00056A13">
        <w:rPr>
          <w:rFonts w:cs="Guttman Drogolin" w:hint="cs"/>
          <w:rtl/>
          <w:lang w:bidi="he-IL"/>
        </w:rPr>
        <w:t>,</w:t>
      </w:r>
      <w:r w:rsidR="00255181" w:rsidRPr="00882F11">
        <w:rPr>
          <w:rFonts w:cs="Guttman Drogolin" w:hint="cs"/>
          <w:rtl/>
          <w:lang w:bidi="he-IL"/>
        </w:rPr>
        <w:t xml:space="preserve"> שרק בגלל שאינו אסור יש שיעור ששים. משא"כ בהא דנאסר במליחה הא ודאי אינו משנה את השיעור הנצרך. (והתעוררתי לזה מדברי התו"ח הנ"ל). ו</w:t>
      </w:r>
      <w:r w:rsidR="00CB4B19" w:rsidRPr="00882F11">
        <w:rPr>
          <w:rFonts w:cs="Guttman Drogolin" w:hint="cs"/>
          <w:rtl/>
          <w:lang w:bidi="he-IL"/>
        </w:rPr>
        <w:t>אפילו</w:t>
      </w:r>
      <w:r w:rsidR="00255181" w:rsidRPr="00882F11">
        <w:rPr>
          <w:rFonts w:cs="Guttman Drogolin" w:hint="cs"/>
          <w:rtl/>
          <w:lang w:bidi="he-IL"/>
        </w:rPr>
        <w:t xml:space="preserve"> לשיטת רוב ראשונים שהלימוד של זרוע בשילה לשיעור ששים או מאה אינו אלא אסמכתא בעלמא, מ"מ י"ל דאה"נ ואין נפק"מ מדאורייתא בהיתירא דמקום חתך, אבל הט</w:t>
      </w:r>
      <w:r w:rsidR="00056A13">
        <w:rPr>
          <w:rFonts w:cs="Guttman Drogolin" w:hint="cs"/>
          <w:rtl/>
          <w:lang w:bidi="he-IL"/>
        </w:rPr>
        <w:t>עם שהדגישו שהוא מותר בעצם הוא ל</w:t>
      </w:r>
      <w:r w:rsidR="00255181" w:rsidRPr="00882F11">
        <w:rPr>
          <w:rFonts w:cs="Guttman Drogolin" w:hint="cs"/>
          <w:rtl/>
          <w:lang w:bidi="he-IL"/>
        </w:rPr>
        <w:t xml:space="preserve">ענין האסמכתא. </w:t>
      </w:r>
      <w:r w:rsidR="00BD1368" w:rsidRPr="00882F11">
        <w:rPr>
          <w:rFonts w:cs="Guttman Drogolin" w:hint="cs"/>
          <w:rtl/>
          <w:lang w:bidi="he-IL"/>
        </w:rPr>
        <w:t xml:space="preserve"> </w:t>
      </w:r>
      <w:r w:rsidR="004C4A1A" w:rsidRPr="00882F11">
        <w:rPr>
          <w:rFonts w:cs="Guttman Drogolin" w:hint="cs"/>
          <w:rtl/>
          <w:lang w:bidi="he-IL"/>
        </w:rPr>
        <w:t xml:space="preserve">  </w:t>
      </w:r>
      <w:r w:rsidR="00AC2A5F" w:rsidRPr="00882F11">
        <w:rPr>
          <w:rFonts w:cs="Guttman Drogolin" w:hint="cs"/>
          <w:rtl/>
          <w:lang w:bidi="he-IL"/>
        </w:rPr>
        <w:t xml:space="preserve"> </w:t>
      </w:r>
    </w:p>
    <w:p w:rsidR="005F30E9" w:rsidRPr="00882F11" w:rsidRDefault="005F30E9" w:rsidP="005F30E9">
      <w:pPr>
        <w:bidi/>
        <w:jc w:val="both"/>
        <w:rPr>
          <w:rFonts w:cs="Guttman Drogolin"/>
          <w:rtl/>
          <w:lang w:bidi="he-IL"/>
        </w:rPr>
        <w:sectPr w:rsidR="005F30E9" w:rsidRPr="00882F11" w:rsidSect="00882F11">
          <w:type w:val="continuous"/>
          <w:pgSz w:w="11907" w:h="16839" w:code="9"/>
          <w:pgMar w:top="1440" w:right="1440" w:bottom="1440" w:left="1440" w:header="720" w:footer="720" w:gutter="0"/>
          <w:cols w:num="2" w:space="720"/>
          <w:bidi/>
          <w:docGrid w:linePitch="360"/>
        </w:sectPr>
      </w:pPr>
    </w:p>
    <w:p w:rsidR="005F30E9" w:rsidRPr="00882F11" w:rsidRDefault="005F30E9" w:rsidP="005F30E9">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י"א</w:t>
      </w:r>
    </w:p>
    <w:p w:rsidR="00102811" w:rsidRDefault="00102811" w:rsidP="0078079C">
      <w:pPr>
        <w:pStyle w:val="Heading1"/>
        <w:bidi/>
        <w:spacing w:before="0" w:line="360" w:lineRule="auto"/>
        <w:jc w:val="center"/>
        <w:rPr>
          <w:rFonts w:cs="Guttman Drogolin"/>
          <w:color w:val="auto"/>
          <w:sz w:val="24"/>
          <w:szCs w:val="24"/>
          <w:u w:val="single"/>
          <w:rtl/>
          <w:lang w:bidi="he-IL"/>
        </w:rPr>
        <w:sectPr w:rsidR="00102811" w:rsidSect="00102811">
          <w:pgSz w:w="11907" w:h="16839" w:code="9"/>
          <w:pgMar w:top="1440" w:right="1440" w:bottom="1440" w:left="1440" w:header="720" w:footer="720" w:gutter="0"/>
          <w:cols w:space="720"/>
          <w:bidi/>
          <w:docGrid w:linePitch="360"/>
        </w:sectPr>
      </w:pPr>
    </w:p>
    <w:p w:rsidR="005F30E9" w:rsidRPr="00882F11" w:rsidRDefault="005F30E9" w:rsidP="0078079C">
      <w:pPr>
        <w:pStyle w:val="Heading1"/>
        <w:bidi/>
        <w:spacing w:before="0" w:line="360" w:lineRule="auto"/>
        <w:jc w:val="center"/>
        <w:rPr>
          <w:rFonts w:cs="Guttman Drogolin"/>
          <w:color w:val="auto"/>
          <w:sz w:val="24"/>
          <w:szCs w:val="24"/>
          <w:u w:val="single"/>
          <w:rtl/>
          <w:lang w:bidi="he-IL"/>
        </w:rPr>
      </w:pPr>
      <w:bookmarkStart w:id="46" w:name="_Toc496175310"/>
      <w:r w:rsidRPr="00882F11">
        <w:rPr>
          <w:rFonts w:cs="Guttman Drogolin" w:hint="cs"/>
          <w:color w:val="auto"/>
          <w:sz w:val="24"/>
          <w:szCs w:val="24"/>
          <w:u w:val="single"/>
          <w:rtl/>
          <w:lang w:bidi="he-IL"/>
        </w:rPr>
        <w:lastRenderedPageBreak/>
        <w:t>ה</w:t>
      </w:r>
      <w:r w:rsidR="00554272" w:rsidRPr="00882F11">
        <w:rPr>
          <w:rFonts w:cs="Guttman Drogolin" w:hint="cs"/>
          <w:color w:val="auto"/>
          <w:sz w:val="24"/>
          <w:szCs w:val="24"/>
          <w:u w:val="single"/>
          <w:rtl/>
          <w:lang w:bidi="he-IL"/>
        </w:rPr>
        <w:t>משך דברי הגמ'</w:t>
      </w:r>
      <w:bookmarkEnd w:id="46"/>
    </w:p>
    <w:p w:rsidR="000E11CC" w:rsidRPr="00882F11" w:rsidRDefault="00554272" w:rsidP="00C64BB6">
      <w:pPr>
        <w:bidi/>
        <w:jc w:val="both"/>
        <w:rPr>
          <w:rFonts w:cs="Guttman Drogolin"/>
          <w:rtl/>
          <w:lang w:bidi="he-IL"/>
        </w:rPr>
      </w:pPr>
      <w:r w:rsidRPr="00882F11">
        <w:rPr>
          <w:rFonts w:cs="Guttman Drogolin" w:hint="cs"/>
          <w:rtl/>
          <w:lang w:bidi="he-IL"/>
        </w:rPr>
        <w:t xml:space="preserve">אחרי שהגמ' מתרצת את התירוץ השלישי בביאור הברייתא ד'זהו היתר הבא מכלל איסור' הגמ' ממשיכה לנסות להוכיח שהשיעור בביטול הוא בששים ולא במאה ממתני' שבמס' ערלה, ששם אומרת לנו המתני' הכללים בביטול תרומה שנפל לתוך חולין. </w:t>
      </w:r>
      <w:r w:rsidR="000E11CC" w:rsidRPr="00882F11">
        <w:rPr>
          <w:rFonts w:cs="Guttman Drogolin" w:hint="cs"/>
          <w:rtl/>
          <w:lang w:bidi="he-IL"/>
        </w:rPr>
        <w:t xml:space="preserve">והיינו שנאמר הדין בתורמה שהוא בטל רק במאה ולא בששים כמו שאר האיסורים, אמנם במתני' שם מבואר שאין הדין כן תמיד, ולפעמים הדין ביטול דתרומה הוא כמו בשאר האיסורים. </w:t>
      </w:r>
      <w:r w:rsidR="00C64BB6" w:rsidRPr="00882F11">
        <w:rPr>
          <w:rFonts w:cs="Guttman Drogolin" w:hint="cs"/>
          <w:rtl/>
          <w:lang w:bidi="he-IL"/>
        </w:rPr>
        <w:t>וכן הוכיחו הראשונים מלשון הגמ' שבדף צ"ז ע"ב "מין</w:t>
      </w:r>
      <w:r w:rsidR="00C64BB6" w:rsidRPr="00882F11">
        <w:rPr>
          <w:rFonts w:cs="Guttman Drogolin"/>
          <w:rtl/>
          <w:lang w:bidi="he-IL"/>
        </w:rPr>
        <w:t xml:space="preserve"> </w:t>
      </w:r>
      <w:r w:rsidR="00C64BB6" w:rsidRPr="00882F11">
        <w:rPr>
          <w:rFonts w:cs="Guttman Drogolin" w:hint="cs"/>
          <w:rtl/>
          <w:lang w:bidi="he-IL"/>
        </w:rPr>
        <w:t>בשאינו</w:t>
      </w:r>
      <w:r w:rsidR="00C64BB6" w:rsidRPr="00882F11">
        <w:rPr>
          <w:rFonts w:cs="Guttman Drogolin"/>
          <w:rtl/>
          <w:lang w:bidi="he-IL"/>
        </w:rPr>
        <w:t xml:space="preserve"> </w:t>
      </w:r>
      <w:r w:rsidR="00C64BB6" w:rsidRPr="00882F11">
        <w:rPr>
          <w:rFonts w:cs="Guttman Drogolin" w:hint="cs"/>
          <w:rtl/>
          <w:lang w:bidi="he-IL"/>
        </w:rPr>
        <w:t>מינו</w:t>
      </w:r>
      <w:r w:rsidR="00C64BB6" w:rsidRPr="00882F11">
        <w:rPr>
          <w:rFonts w:cs="Guttman Drogolin"/>
          <w:rtl/>
          <w:lang w:bidi="he-IL"/>
        </w:rPr>
        <w:t xml:space="preserve"> </w:t>
      </w:r>
      <w:r w:rsidR="00C64BB6" w:rsidRPr="00882F11">
        <w:rPr>
          <w:rFonts w:cs="Guttman Drogolin" w:hint="cs"/>
          <w:rtl/>
          <w:lang w:bidi="he-IL"/>
        </w:rPr>
        <w:t>דהיתרא</w:t>
      </w:r>
      <w:r w:rsidR="00C64BB6" w:rsidRPr="00882F11">
        <w:rPr>
          <w:rFonts w:cs="Guttman Drogolin"/>
          <w:rtl/>
          <w:lang w:bidi="he-IL"/>
        </w:rPr>
        <w:t xml:space="preserve"> </w:t>
      </w:r>
      <w:r w:rsidR="00C64BB6" w:rsidRPr="00882F11">
        <w:rPr>
          <w:rFonts w:cs="Guttman Drogolin" w:hint="cs"/>
          <w:rtl/>
          <w:lang w:bidi="he-IL"/>
        </w:rPr>
        <w:t xml:space="preserve">בטעמא". ומבואר שם בגמ' ש'דהיתירא' ר"ל של תרומה. והרי שיש תרומה הבטילה בטעמא ואינו צריך מאה. </w:t>
      </w:r>
      <w:r w:rsidR="000E11CC" w:rsidRPr="00882F11">
        <w:rPr>
          <w:rFonts w:cs="Guttman Drogolin" w:hint="cs"/>
          <w:rtl/>
          <w:lang w:bidi="he-IL"/>
        </w:rPr>
        <w:t>ופשטות לשון המתני' משמע שהחילוק הוא בין מין במינו למין בשאינו מינו, שבמין במינו החמירו להצריך ק', אבל במין בשאינו מינו הדין הוא להצריך ששים כמו בשאר איסורים. וכן הוא שיטת התוס', הרמב"ן, והרשב"א.</w:t>
      </w:r>
      <w:r w:rsidR="00806F10" w:rsidRPr="00882F11">
        <w:rPr>
          <w:rFonts w:cs="Guttman Drogolin" w:hint="cs"/>
          <w:rtl/>
          <w:lang w:bidi="he-IL"/>
        </w:rPr>
        <w:t xml:space="preserve"> ובתוס' מבואר שהטעם שלא החמירו אלא במין במינו היינו משום שהמקור לשיעור ק' הוא בתרו"מ שהפרישו מין ממינו. ובעצם יש בזה קצת קושי, דבשלמא למה שדייקו הראשונים לשיטת רש"י שהדין מדומע הוא לימוד גמור שפיר י"ל שהלימוד אינו אלא למה שמפורש בקרא דהיינו מין במינו, אבל תוס' ורוב ראשונים סוברים שאינו אלא אסמכתא בעלמא, וא"כ לכאורה מה איכפת לן באסמכתא אם הוא מין במינו או לא. וצע"ק. </w:t>
      </w:r>
      <w:r w:rsidR="000E11CC" w:rsidRPr="00882F11">
        <w:rPr>
          <w:rFonts w:cs="Guttman Drogolin" w:hint="cs"/>
          <w:rtl/>
          <w:lang w:bidi="he-IL"/>
        </w:rPr>
        <w:t xml:space="preserve"> </w:t>
      </w:r>
    </w:p>
    <w:p w:rsidR="00C64BB6" w:rsidRPr="00882F11" w:rsidRDefault="000E11CC" w:rsidP="00C64BB6">
      <w:pPr>
        <w:bidi/>
        <w:jc w:val="both"/>
        <w:rPr>
          <w:rFonts w:cs="Guttman Drogolin"/>
          <w:rtl/>
          <w:lang w:bidi="he-IL"/>
        </w:rPr>
      </w:pPr>
      <w:r w:rsidRPr="00882F11">
        <w:rPr>
          <w:rFonts w:cs="Guttman Drogolin" w:hint="cs"/>
          <w:rtl/>
          <w:lang w:bidi="he-IL"/>
        </w:rPr>
        <w:t>אמנם רש"י כאן פי' דהא דאמרינן שבמין בשאינו מינו דינו להתבטל היכא דליכא טעם, הנ"מ בדליכא אלא טעמו ולא ממשו, אבל בטעמו וממשו החמירו החומרא של ק' גם במין בשאינו מינו.</w:t>
      </w:r>
      <w:r w:rsidR="00554272" w:rsidRPr="00882F11">
        <w:rPr>
          <w:rFonts w:cs="Guttman Drogolin" w:hint="cs"/>
          <w:rtl/>
          <w:lang w:bidi="he-IL"/>
        </w:rPr>
        <w:t xml:space="preserve"> </w:t>
      </w:r>
      <w:r w:rsidR="00C64BB6" w:rsidRPr="00882F11">
        <w:rPr>
          <w:rFonts w:cs="Guttman Drogolin" w:hint="cs"/>
          <w:rtl/>
          <w:lang w:bidi="he-IL"/>
        </w:rPr>
        <w:t xml:space="preserve">והתוס' הבינו בשיטת רש"י שכוונתו להחמיר במין בשא"מ בטעמו וממשו, ואילו במין במינו כוונתו להחמיר גם בטעמו ולא ממשו. וא"כ החילוק המוזכר במתני' הוא בין מין במינו למין </w:t>
      </w:r>
      <w:r w:rsidR="00C64BB6" w:rsidRPr="00882F11">
        <w:rPr>
          <w:rFonts w:cs="Guttman Drogolin" w:hint="cs"/>
          <w:rtl/>
          <w:lang w:bidi="he-IL"/>
        </w:rPr>
        <w:lastRenderedPageBreak/>
        <w:t xml:space="preserve">בשאינו מינו, רק שחילוק זה נאמר רק בטעם בלבד אבל טעמו וממשו צריך מאה בשניהם. ויל"ע מהו המקור לחילוקים כאלו. </w:t>
      </w:r>
    </w:p>
    <w:p w:rsidR="00EF1BD2" w:rsidRPr="00882F11" w:rsidRDefault="00C64BB6" w:rsidP="00B05BB7">
      <w:pPr>
        <w:bidi/>
        <w:jc w:val="both"/>
        <w:rPr>
          <w:rFonts w:cs="Guttman Drogolin"/>
          <w:rtl/>
          <w:lang w:bidi="he-IL"/>
        </w:rPr>
      </w:pPr>
      <w:r w:rsidRPr="00882F11">
        <w:rPr>
          <w:rFonts w:cs="Guttman Drogolin" w:hint="cs"/>
          <w:rtl/>
          <w:lang w:bidi="he-IL"/>
        </w:rPr>
        <w:t>והנה לשון רש"י שם "דכי</w:t>
      </w:r>
      <w:r w:rsidRPr="00882F11">
        <w:rPr>
          <w:rFonts w:cs="Guttman Drogolin"/>
          <w:rtl/>
          <w:lang w:bidi="he-IL"/>
        </w:rPr>
        <w:t xml:space="preserve"> </w:t>
      </w:r>
      <w:r w:rsidRPr="00882F11">
        <w:rPr>
          <w:rFonts w:cs="Guttman Drogolin" w:hint="cs"/>
          <w:rtl/>
          <w:lang w:bidi="he-IL"/>
        </w:rPr>
        <w:t>בעינן</w:t>
      </w:r>
      <w:r w:rsidRPr="00882F11">
        <w:rPr>
          <w:rFonts w:cs="Guttman Drogolin"/>
          <w:rtl/>
          <w:lang w:bidi="he-IL"/>
        </w:rPr>
        <w:t xml:space="preserve"> </w:t>
      </w:r>
      <w:r w:rsidRPr="00882F11">
        <w:rPr>
          <w:rFonts w:cs="Guttman Drogolin" w:hint="cs"/>
          <w:rtl/>
          <w:lang w:bidi="he-IL"/>
        </w:rPr>
        <w:t>אחד</w:t>
      </w:r>
      <w:r w:rsidRPr="00882F11">
        <w:rPr>
          <w:rFonts w:cs="Guttman Drogolin"/>
          <w:rtl/>
          <w:lang w:bidi="he-IL"/>
        </w:rPr>
        <w:t xml:space="preserve"> </w:t>
      </w:r>
      <w:r w:rsidRPr="00882F11">
        <w:rPr>
          <w:rFonts w:cs="Guttman Drogolin" w:hint="cs"/>
          <w:rtl/>
          <w:lang w:bidi="he-IL"/>
        </w:rPr>
        <w:t>ממאה</w:t>
      </w:r>
      <w:r w:rsidRPr="00882F11">
        <w:rPr>
          <w:rFonts w:cs="Guttman Drogolin"/>
          <w:rtl/>
          <w:lang w:bidi="he-IL"/>
        </w:rPr>
        <w:t xml:space="preserve"> </w:t>
      </w:r>
      <w:r w:rsidRPr="00882F11">
        <w:rPr>
          <w:rFonts w:cs="Guttman Drogolin" w:hint="cs"/>
          <w:rtl/>
          <w:lang w:bidi="he-IL"/>
        </w:rPr>
        <w:t>היכא</w:t>
      </w:r>
      <w:r w:rsidRPr="00882F11">
        <w:rPr>
          <w:rFonts w:cs="Guttman Drogolin"/>
          <w:rtl/>
          <w:lang w:bidi="he-IL"/>
        </w:rPr>
        <w:t xml:space="preserve"> </w:t>
      </w:r>
      <w:r w:rsidRPr="00882F11">
        <w:rPr>
          <w:rFonts w:cs="Guttman Drogolin" w:hint="cs"/>
          <w:rtl/>
          <w:lang w:bidi="he-IL"/>
        </w:rPr>
        <w:t>דאיסורא</w:t>
      </w:r>
      <w:r w:rsidRPr="00882F11">
        <w:rPr>
          <w:rFonts w:cs="Guttman Drogolin"/>
          <w:rtl/>
          <w:lang w:bidi="he-IL"/>
        </w:rPr>
        <w:t xml:space="preserve"> </w:t>
      </w:r>
      <w:r w:rsidRPr="00882F11">
        <w:rPr>
          <w:rFonts w:cs="Guttman Drogolin" w:hint="cs"/>
          <w:rtl/>
          <w:lang w:bidi="he-IL"/>
        </w:rPr>
        <w:t>בעיניה</w:t>
      </w:r>
      <w:r w:rsidRPr="00882F11">
        <w:rPr>
          <w:rFonts w:cs="Guttman Drogolin"/>
          <w:rtl/>
          <w:lang w:bidi="he-IL"/>
        </w:rPr>
        <w:t xml:space="preserve"> </w:t>
      </w:r>
      <w:r w:rsidRPr="00882F11">
        <w:rPr>
          <w:rFonts w:cs="Guttman Drogolin" w:hint="cs"/>
          <w:rtl/>
          <w:lang w:bidi="he-IL"/>
        </w:rPr>
        <w:t>הוא</w:t>
      </w:r>
      <w:r w:rsidRPr="00882F11">
        <w:rPr>
          <w:rFonts w:cs="Guttman Drogolin"/>
          <w:rtl/>
          <w:lang w:bidi="he-IL"/>
        </w:rPr>
        <w:t xml:space="preserve"> </w:t>
      </w:r>
      <w:r w:rsidRPr="00882F11">
        <w:rPr>
          <w:rFonts w:cs="Guttman Drogolin" w:hint="cs"/>
          <w:rtl/>
          <w:lang w:bidi="he-IL"/>
        </w:rPr>
        <w:t>כגון</w:t>
      </w:r>
      <w:r w:rsidRPr="00882F11">
        <w:rPr>
          <w:rFonts w:cs="Guttman Drogolin"/>
          <w:rtl/>
          <w:lang w:bidi="he-IL"/>
        </w:rPr>
        <w:t xml:space="preserve"> </w:t>
      </w:r>
      <w:r w:rsidRPr="00882F11">
        <w:rPr>
          <w:rFonts w:cs="Guttman Drogolin" w:hint="cs"/>
          <w:rtl/>
          <w:lang w:bidi="he-IL"/>
        </w:rPr>
        <w:t>חטין</w:t>
      </w:r>
      <w:r w:rsidRPr="00882F11">
        <w:rPr>
          <w:rFonts w:cs="Guttman Drogolin"/>
          <w:rtl/>
          <w:lang w:bidi="he-IL"/>
        </w:rPr>
        <w:t xml:space="preserve"> </w:t>
      </w:r>
      <w:r w:rsidRPr="00882F11">
        <w:rPr>
          <w:rFonts w:cs="Guttman Drogolin" w:hint="cs"/>
          <w:rtl/>
          <w:lang w:bidi="he-IL"/>
        </w:rPr>
        <w:t xml:space="preserve">בחטין וכו'". והעירו האחרונים דהא חטין בחטין מין במינו הוא. והנה לעיל שם בדף צ"ז ע"ב מבואר בחי' הרשב"א עוד פירוש בחילוק של המתני' כאן (בשם התוס', ולפנינו ליתא) והוא שלעולם אין חילוק בין מין במינו למין בשאינו מינו. רק כל החילוק הוא בין טעם ולא ממשו לטעמו וממשו. והא דמשמע מן המתני' שהחילוק הוא בין מין במינו למין בשאינו מינו, </w:t>
      </w:r>
      <w:r w:rsidR="00B05BB7" w:rsidRPr="00882F11">
        <w:rPr>
          <w:rFonts w:cs="Guttman Drogolin" w:hint="cs"/>
          <w:rtl/>
          <w:lang w:bidi="he-IL"/>
        </w:rPr>
        <w:t>ע"כ צריכים לומר שהמתני' דיבר בהוה, אבל לעולם אין עיקר החילוק בין מין במינו למין בשאינו מינו. ויש אחרונים (חת"ס ואור גדול) שרוצים לומר שגם רש"י סבירא לי' לחלק לגמרי בין טעמו וממשו לטעמו ולא ממשו, ושמשו"ה נקט דוגמא של טעמו וממשו כגון חטין בחטין. וכן דקדק באו"ג מדברי רש"י שם בדף צ"ז ע"ב שכתב שהדין הכתוב בגמ' להצריך במין במינו ששים שהוא בין מין</w:t>
      </w:r>
      <w:r w:rsidR="00B05BB7" w:rsidRPr="00882F11">
        <w:rPr>
          <w:rFonts w:cs="Guttman Drogolin"/>
          <w:rtl/>
          <w:lang w:bidi="he-IL"/>
        </w:rPr>
        <w:t xml:space="preserve"> </w:t>
      </w:r>
      <w:r w:rsidR="00B05BB7" w:rsidRPr="00882F11">
        <w:rPr>
          <w:rFonts w:cs="Guttman Drogolin" w:hint="cs"/>
          <w:rtl/>
          <w:lang w:bidi="he-IL"/>
        </w:rPr>
        <w:t>במינו</w:t>
      </w:r>
      <w:r w:rsidR="00B05BB7" w:rsidRPr="00882F11">
        <w:rPr>
          <w:rFonts w:cs="Guttman Drogolin"/>
          <w:rtl/>
          <w:lang w:bidi="he-IL"/>
        </w:rPr>
        <w:t xml:space="preserve"> </w:t>
      </w:r>
      <w:r w:rsidR="00B05BB7" w:rsidRPr="00882F11">
        <w:rPr>
          <w:rFonts w:cs="Guttman Drogolin" w:hint="cs"/>
          <w:rtl/>
          <w:lang w:bidi="he-IL"/>
        </w:rPr>
        <w:t>דהית</w:t>
      </w:r>
      <w:r w:rsidR="00EF1BD2" w:rsidRPr="00882F11">
        <w:rPr>
          <w:rFonts w:cs="Guttman Drogolin" w:hint="cs"/>
          <w:rtl/>
          <w:lang w:bidi="he-IL"/>
        </w:rPr>
        <w:t>י</w:t>
      </w:r>
      <w:r w:rsidR="00B05BB7" w:rsidRPr="00882F11">
        <w:rPr>
          <w:rFonts w:cs="Guttman Drogolin" w:hint="cs"/>
          <w:rtl/>
          <w:lang w:bidi="he-IL"/>
        </w:rPr>
        <w:t>רא</w:t>
      </w:r>
      <w:r w:rsidR="00B05BB7" w:rsidRPr="00882F11">
        <w:rPr>
          <w:rFonts w:cs="Guttman Drogolin"/>
          <w:rtl/>
          <w:lang w:bidi="he-IL"/>
        </w:rPr>
        <w:t xml:space="preserve"> </w:t>
      </w:r>
      <w:r w:rsidR="00B05BB7" w:rsidRPr="00882F11">
        <w:rPr>
          <w:rFonts w:cs="Guttman Drogolin" w:hint="cs"/>
          <w:rtl/>
          <w:lang w:bidi="he-IL"/>
        </w:rPr>
        <w:t>ובין</w:t>
      </w:r>
      <w:r w:rsidR="00B05BB7" w:rsidRPr="00882F11">
        <w:rPr>
          <w:rFonts w:cs="Guttman Drogolin"/>
          <w:rtl/>
          <w:lang w:bidi="he-IL"/>
        </w:rPr>
        <w:t xml:space="preserve"> </w:t>
      </w:r>
      <w:r w:rsidR="00B05BB7" w:rsidRPr="00882F11">
        <w:rPr>
          <w:rFonts w:cs="Guttman Drogolin" w:hint="cs"/>
          <w:rtl/>
          <w:lang w:bidi="he-IL"/>
        </w:rPr>
        <w:t>מין במינו דאיסורא.</w:t>
      </w:r>
      <w:r w:rsidR="00EF1BD2" w:rsidRPr="00882F11">
        <w:rPr>
          <w:rFonts w:cs="Guttman Drogolin" w:hint="cs"/>
          <w:rtl/>
          <w:lang w:bidi="he-IL"/>
        </w:rPr>
        <w:t xml:space="preserve"> ולכאורה מין במינו דהיתירא היינו תרומה וכנ"ל, ולכאורה הי' צריך להיות הדין שיתבטל בק' וכחומרא דנאמרה בתרומה בעלמא. ומדייקים דע"כ סבר כשיטת התוס' המוזכר ברשב"א הנ"ל. </w:t>
      </w:r>
    </w:p>
    <w:p w:rsidR="0061232C" w:rsidRPr="00882F11" w:rsidRDefault="00EF1BD2" w:rsidP="0061232C">
      <w:pPr>
        <w:bidi/>
        <w:jc w:val="both"/>
        <w:rPr>
          <w:rFonts w:cs="Guttman Drogolin"/>
          <w:rtl/>
          <w:lang w:bidi="he-IL"/>
        </w:rPr>
      </w:pPr>
      <w:r w:rsidRPr="00882F11">
        <w:rPr>
          <w:rFonts w:cs="Guttman Drogolin" w:hint="cs"/>
          <w:rtl/>
          <w:lang w:bidi="he-IL"/>
        </w:rPr>
        <w:t>אלא שלכאורה יש להעיר שלשונו של רש"י בדף צ"ט ע"א "אבל</w:t>
      </w:r>
      <w:r w:rsidRPr="00882F11">
        <w:rPr>
          <w:rFonts w:cs="Guttman Drogolin"/>
          <w:rtl/>
          <w:lang w:bidi="he-IL"/>
        </w:rPr>
        <w:t xml:space="preserve"> </w:t>
      </w:r>
      <w:r w:rsidRPr="00882F11">
        <w:rPr>
          <w:rFonts w:cs="Guttman Drogolin" w:hint="cs"/>
          <w:rtl/>
          <w:lang w:bidi="he-IL"/>
        </w:rPr>
        <w:t>מין</w:t>
      </w:r>
      <w:r w:rsidRPr="00882F11">
        <w:rPr>
          <w:rFonts w:cs="Guttman Drogolin"/>
          <w:rtl/>
          <w:lang w:bidi="he-IL"/>
        </w:rPr>
        <w:t xml:space="preserve"> </w:t>
      </w:r>
      <w:r w:rsidRPr="00882F11">
        <w:rPr>
          <w:rFonts w:cs="Guttman Drogolin" w:hint="cs"/>
          <w:rtl/>
          <w:lang w:bidi="he-IL"/>
        </w:rPr>
        <w:t>ומינו</w:t>
      </w:r>
      <w:r w:rsidRPr="00882F11">
        <w:rPr>
          <w:rFonts w:cs="Guttman Drogolin"/>
          <w:rtl/>
          <w:lang w:bidi="he-IL"/>
        </w:rPr>
        <w:t xml:space="preserve"> </w:t>
      </w:r>
      <w:r w:rsidRPr="00882F11">
        <w:rPr>
          <w:rFonts w:cs="Guttman Drogolin" w:hint="cs"/>
          <w:rtl/>
          <w:lang w:bidi="he-IL"/>
        </w:rPr>
        <w:t>לעולם</w:t>
      </w:r>
      <w:r w:rsidRPr="00882F11">
        <w:rPr>
          <w:rFonts w:cs="Guttman Drogolin"/>
          <w:rtl/>
          <w:lang w:bidi="he-IL"/>
        </w:rPr>
        <w:t xml:space="preserve"> </w:t>
      </w:r>
      <w:r w:rsidRPr="00882F11">
        <w:rPr>
          <w:rFonts w:cs="Guttman Drogolin" w:hint="cs"/>
          <w:rtl/>
          <w:lang w:bidi="he-IL"/>
        </w:rPr>
        <w:t>להחמיר". ולכאורה אם כדברי הרשב"א בשם התוס' הנ"ל אין זה עיקר החילוק, ואע"ג שאפילו לרשב"א כן כתוב במתני' שם, הא רש"י שמפרש הו"ל לפרושי טפי. ו</w:t>
      </w:r>
      <w:r w:rsidR="008F6C31" w:rsidRPr="00882F11">
        <w:rPr>
          <w:rFonts w:cs="Guttman Drogolin" w:hint="cs"/>
          <w:rtl/>
          <w:lang w:bidi="he-IL"/>
        </w:rPr>
        <w:t xml:space="preserve">אי להא דחיטין בחיטין, י"ל שאין זה אלא דוגמא של טעמו וממשו בעלמא שדינו בק', ואע"ג שגם בטעמו ולא ממשו דינו בק' אם הוא מין במינו לדעת התוס' לשיטת רש"י, מ"מ נקטי' לדוגמא של טעמו וממשו. </w:t>
      </w:r>
      <w:r w:rsidR="0061232C" w:rsidRPr="00882F11">
        <w:rPr>
          <w:rFonts w:cs="Guttman Drogolin" w:hint="cs"/>
          <w:rtl/>
          <w:lang w:bidi="he-IL"/>
        </w:rPr>
        <w:t xml:space="preserve">ואי לדברי רש"י הנ"ל לענין הא דמין דמינו דהיתירא, י"ל שאין כוונת הגמ' לדין </w:t>
      </w:r>
      <w:r w:rsidR="0061232C" w:rsidRPr="00882F11">
        <w:rPr>
          <w:rFonts w:cs="Guttman Drogolin" w:hint="cs"/>
          <w:rtl/>
          <w:lang w:bidi="he-IL"/>
        </w:rPr>
        <w:lastRenderedPageBreak/>
        <w:t>'דהיתירא' המוזכר בגמ', רק לדין דהיתירא בעלמא וכגון של בשר או של חלב.</w:t>
      </w:r>
    </w:p>
    <w:p w:rsidR="002E4F63" w:rsidRPr="00882F11" w:rsidRDefault="002E4F63" w:rsidP="002E4F63">
      <w:pPr>
        <w:bidi/>
        <w:jc w:val="both"/>
        <w:rPr>
          <w:rFonts w:cs="Guttman Drogolin"/>
          <w:rtl/>
          <w:lang w:bidi="he-IL"/>
        </w:rPr>
      </w:pPr>
      <w:r w:rsidRPr="00882F11">
        <w:rPr>
          <w:rFonts w:cs="Guttman Drogolin" w:hint="cs"/>
          <w:rtl/>
          <w:lang w:bidi="he-IL"/>
        </w:rPr>
        <w:t>ואני אוסיף להביא עוד חידוש שמצאתי בדינא דמדמע ממשנת ר' אהרן ל</w:t>
      </w:r>
      <w:r w:rsidR="001B3FC8">
        <w:rPr>
          <w:rFonts w:cs="Guttman Drogolin" w:hint="cs"/>
          <w:rtl/>
          <w:lang w:bidi="he-IL"/>
        </w:rPr>
        <w:t>מס' ב"ק. ששם ביאר הגרא"ק שאין ה</w:t>
      </w:r>
      <w:r w:rsidRPr="00882F11">
        <w:rPr>
          <w:rFonts w:cs="Guttman Drogolin" w:hint="cs"/>
          <w:rtl/>
          <w:lang w:bidi="he-IL"/>
        </w:rPr>
        <w:t xml:space="preserve">איסור של מדמע משום שיש כאן תרומה מעורב ואי אפשר לאכול את החולין מבלי לאכול את התרומה, רק נתחדש שאם התורמה נפל לתוכו הרי זה אוסר גם את חולין, ונהפך החולין להיות חפצא דאיסורא. ומזה תי' למה חייב מי שמזיק ע"י זה שמשמע חולין של חבירו, הא אינו אלא גרמא בזה שאינו יכול לאכו להחולין מבלי לאכול התרומה, אבל לעולם עצם החולין מותר לזרים. ולפי דבריו מיושב, שהרי פגם את עצם החולין בנתינת תרומה בתוכו. וע"ש שהוכיח כיסוד זה ג"כ מן הירושלמי. </w:t>
      </w:r>
    </w:p>
    <w:p w:rsidR="0061232C" w:rsidRPr="00882F11" w:rsidRDefault="0061232C" w:rsidP="0078079C">
      <w:pPr>
        <w:pStyle w:val="Heading1"/>
        <w:bidi/>
        <w:spacing w:before="0" w:line="360" w:lineRule="auto"/>
        <w:jc w:val="center"/>
        <w:rPr>
          <w:rFonts w:cs="Guttman Drogolin"/>
          <w:color w:val="auto"/>
          <w:sz w:val="24"/>
          <w:szCs w:val="24"/>
          <w:u w:val="single"/>
          <w:rtl/>
          <w:lang w:bidi="he-IL"/>
        </w:rPr>
      </w:pPr>
      <w:bookmarkStart w:id="47" w:name="_Toc496175311"/>
      <w:r w:rsidRPr="00882F11">
        <w:rPr>
          <w:rFonts w:cs="Guttman Drogolin" w:hint="cs"/>
          <w:color w:val="auto"/>
          <w:sz w:val="24"/>
          <w:szCs w:val="24"/>
          <w:u w:val="single"/>
          <w:rtl/>
          <w:lang w:bidi="he-IL"/>
        </w:rPr>
        <w:t>בדין מחמץ, והא דאוסר מחמץ עד ק' משום טעם</w:t>
      </w:r>
      <w:bookmarkEnd w:id="47"/>
    </w:p>
    <w:p w:rsidR="00924558" w:rsidRPr="00882F11" w:rsidRDefault="00E72590" w:rsidP="00746AB5">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מחמץ</w:instrText>
      </w:r>
      <w:r w:rsidRPr="00882F11">
        <w:rPr>
          <w:rFonts w:cs="Guttman Drogolin"/>
          <w:rtl/>
        </w:rPr>
        <w:instrText>:</w:instrText>
      </w:r>
      <w:r w:rsidRPr="00882F11">
        <w:rPr>
          <w:rFonts w:cs="Guttman Drogolin" w:hint="cs"/>
          <w:rtl/>
          <w:lang w:bidi="he-IL"/>
        </w:rPr>
        <w:instrText>גדר הדין</w:instrText>
      </w:r>
      <w:r w:rsidRPr="00882F11">
        <w:rPr>
          <w:rFonts w:cs="Guttman Drogolin"/>
        </w:rPr>
        <w:instrText xml:space="preserve">" </w:instrText>
      </w:r>
      <w:r w:rsidRPr="00882F11">
        <w:rPr>
          <w:rFonts w:cs="Guttman Drogolin"/>
          <w:rtl/>
          <w:lang w:bidi="he-IL"/>
        </w:rPr>
        <w:fldChar w:fldCharType="end"/>
      </w:r>
      <w:r w:rsidR="0061232C" w:rsidRPr="00882F11">
        <w:rPr>
          <w:rFonts w:cs="Guttman Drogolin" w:hint="cs"/>
          <w:rtl/>
          <w:lang w:bidi="he-IL"/>
        </w:rPr>
        <w:t xml:space="preserve">והגמ' מבאר שאין ראי' מן המתני' שבמס' ערלה לדין ששים, ומשום שלעולם י"ל שבעלמא צריכים ק', והא דבדלית לי' ק"א מותר בדליכא טעם היינו דליכא ק"א אבל יש ק'. ורש"י פי' </w:t>
      </w:r>
      <w:r w:rsidR="000127A4" w:rsidRPr="00882F11">
        <w:rPr>
          <w:rFonts w:cs="Guttman Drogolin" w:hint="cs"/>
          <w:rtl/>
          <w:lang w:bidi="he-IL"/>
        </w:rPr>
        <w:t>דסבירא לי' לגמ' שההיתר של תרומה מצריך ק"א</w:t>
      </w:r>
      <w:r w:rsidR="006C09EF" w:rsidRPr="00882F11">
        <w:rPr>
          <w:rFonts w:cs="Guttman Drogolin" w:hint="cs"/>
          <w:rtl/>
          <w:lang w:bidi="he-IL"/>
        </w:rPr>
        <w:t xml:space="preserve"> </w:t>
      </w:r>
      <w:r w:rsidR="000127A4" w:rsidRPr="00882F11">
        <w:rPr>
          <w:rFonts w:cs="Guttman Drogolin" w:hint="cs"/>
          <w:rtl/>
          <w:lang w:bidi="he-IL"/>
        </w:rPr>
        <w:t xml:space="preserve">חוץ מן האיסור, ובמין בשאינו מינו שלא נאמר חומרא זו אינו צריך אלא ק' מלבד האיסור. והגמ' שואלת דהא ברישא לא החמירו במין בשאינו מינו אלא להצריך ק"א עם האיסור, וא"כ איזה קולא יש במין בשאינו מינו. </w:t>
      </w:r>
      <w:r w:rsidR="006C09EF" w:rsidRPr="00882F11">
        <w:rPr>
          <w:rFonts w:cs="Guttman Drogolin" w:hint="cs"/>
          <w:rtl/>
          <w:lang w:bidi="he-IL"/>
        </w:rPr>
        <w:t xml:space="preserve">והתוס' תמהו על פירושו, דהא מה"ת שיהא הק"א של הרישא שונה מן הסיפא, דהא בסיפא הכוונה לק"א חוץ מן האיסור ולמה ס"ד שיתפרש הרישא בק"א עם האיסור. והוא לכאורה תמיה רבתי. </w:t>
      </w:r>
      <w:r w:rsidR="00924558" w:rsidRPr="00882F11">
        <w:rPr>
          <w:rFonts w:cs="Guttman Drogolin" w:hint="cs"/>
          <w:rtl/>
          <w:lang w:bidi="he-IL"/>
        </w:rPr>
        <w:t>ועוד הקשו התוס' שלכאורה לשיטת רש"י יוצא מסקנת הגמ' שתרו</w:t>
      </w:r>
      <w:r w:rsidR="00E9592C" w:rsidRPr="00882F11">
        <w:rPr>
          <w:rFonts w:cs="Guttman Drogolin" w:hint="cs"/>
          <w:rtl/>
          <w:lang w:bidi="he-IL"/>
        </w:rPr>
        <w:t>מ</w:t>
      </w:r>
      <w:r w:rsidR="00924558" w:rsidRPr="00882F11">
        <w:rPr>
          <w:rFonts w:cs="Guttman Drogolin" w:hint="cs"/>
          <w:rtl/>
          <w:lang w:bidi="he-IL"/>
        </w:rPr>
        <w:t>ה אינה בטילה אלא בק"א, ובעלמא הא למידין דבר זה מתרומת מעשר שדינו להתבטל בק"א עם האיסור. וקושיא זו קשה ביותר לשיטת רש"י כפי שביארוהו האחרונים דסבר שהדין של מדומע הוא לימוד גמור מדאורייתא.</w:t>
      </w:r>
    </w:p>
    <w:p w:rsidR="00924558" w:rsidRPr="00882F11" w:rsidRDefault="00924558" w:rsidP="00E9592C">
      <w:pPr>
        <w:bidi/>
        <w:jc w:val="both"/>
        <w:rPr>
          <w:rFonts w:cs="Guttman Drogolin"/>
          <w:rtl/>
          <w:lang w:bidi="he-IL"/>
        </w:rPr>
      </w:pPr>
      <w:r w:rsidRPr="00882F11">
        <w:rPr>
          <w:rFonts w:cs="Guttman Drogolin" w:hint="cs"/>
          <w:rtl/>
          <w:lang w:bidi="he-IL"/>
        </w:rPr>
        <w:t xml:space="preserve">והנה בהאי קושיא בתרא לכאורה יל"ע, דהנה הדרשה מן הפסוק היא שאם אחרי שהפרישו את </w:t>
      </w:r>
      <w:r w:rsidRPr="00882F11">
        <w:rPr>
          <w:rFonts w:cs="Guttman Drogolin" w:hint="cs"/>
          <w:rtl/>
          <w:lang w:bidi="he-IL"/>
        </w:rPr>
        <w:lastRenderedPageBreak/>
        <w:t>התרומת מעשר היא נפלה לתוך הפירות שהפרישוהו ממנו, הרי זה אוסר. ולכאורה יל"ע דהא אין מפרישין התרומת מעשה אלא מן המעשר, ולא מן הפירות שכבר הפרישו ממנו המעשר. וא"כ אם למידין מן הפסוק היינו צריכים ללמוד שהשיעור הוא בא' בי' ולא בא' בק'. אלא הפ</w:t>
      </w:r>
      <w:r w:rsidR="00E9592C" w:rsidRPr="00882F11">
        <w:rPr>
          <w:rFonts w:cs="Guttman Drogolin" w:hint="cs"/>
          <w:rtl/>
          <w:lang w:bidi="he-IL"/>
        </w:rPr>
        <w:t>ש</w:t>
      </w:r>
      <w:r w:rsidRPr="00882F11">
        <w:rPr>
          <w:rFonts w:cs="Guttman Drogolin" w:hint="cs"/>
          <w:rtl/>
          <w:lang w:bidi="he-IL"/>
        </w:rPr>
        <w:t>וט בזה הוא שכוונת הפסוק שנפל לתוך כל הפירות שהיו טבולים למעשר ותרומת מעשר מעיקרא. אלא דא"כ עדיין קשה, דהא אותם פירות היו טבולים מעיקרא גם לתרומה גדולה, וא"כ ליהוי השיעור קצת יותר מק', דהא התרומת מעש</w:t>
      </w:r>
      <w:r w:rsidR="00E9592C" w:rsidRPr="00882F11">
        <w:rPr>
          <w:rFonts w:cs="Guttman Drogolin" w:hint="cs"/>
          <w:rtl/>
          <w:lang w:bidi="he-IL"/>
        </w:rPr>
        <w:t>ר</w:t>
      </w:r>
      <w:r w:rsidRPr="00882F11">
        <w:rPr>
          <w:rFonts w:cs="Guttman Drogolin" w:hint="cs"/>
          <w:rtl/>
          <w:lang w:bidi="he-IL"/>
        </w:rPr>
        <w:t xml:space="preserve"> הוי קצת פחות מא' מק' מן הפירות שהיו טבו</w:t>
      </w:r>
      <w:r w:rsidR="00E9592C" w:rsidRPr="00882F11">
        <w:rPr>
          <w:rFonts w:cs="Guttman Drogolin" w:hint="cs"/>
          <w:rtl/>
          <w:lang w:bidi="he-IL"/>
        </w:rPr>
        <w:t>ל</w:t>
      </w:r>
      <w:r w:rsidRPr="00882F11">
        <w:rPr>
          <w:rFonts w:cs="Guttman Drogolin" w:hint="cs"/>
          <w:rtl/>
          <w:lang w:bidi="he-IL"/>
        </w:rPr>
        <w:t>ים מעיקרא. והפשוט בזה שכוונת הפ</w:t>
      </w:r>
      <w:r w:rsidR="00E9592C" w:rsidRPr="00882F11">
        <w:rPr>
          <w:rFonts w:cs="Guttman Drogolin" w:hint="cs"/>
          <w:rtl/>
          <w:lang w:bidi="he-IL"/>
        </w:rPr>
        <w:t>סוק שהוא נפל לתוך הפירות שהיו מ</w:t>
      </w:r>
      <w:r w:rsidRPr="00882F11">
        <w:rPr>
          <w:rFonts w:cs="Guttman Drogolin" w:hint="cs"/>
          <w:rtl/>
          <w:lang w:bidi="he-IL"/>
        </w:rPr>
        <w:t>ותרים לזר, והתרומה שכבר הפרישו אסור לזר. ויתכן שיש בזה הרבה תירוצים. אבל שלרש"י אולי י"ל שלמדו את השיעור להיות בק"א כיון שלמידין שנפל לתוך השיעור פירות שהיו מעיקרא, וא"כ שפיר הוי שיעורו בק"א. ודחוק.</w:t>
      </w:r>
    </w:p>
    <w:p w:rsidR="00902FC1" w:rsidRPr="00882F11" w:rsidRDefault="00AA05F0" w:rsidP="008A402C">
      <w:pPr>
        <w:bidi/>
        <w:jc w:val="both"/>
        <w:rPr>
          <w:rFonts w:cs="Guttman Drogolin"/>
          <w:rtl/>
          <w:lang w:bidi="he-IL"/>
        </w:rPr>
      </w:pPr>
      <w:r w:rsidRPr="00882F11">
        <w:rPr>
          <w:rFonts w:cs="Guttman Drogolin" w:hint="cs"/>
          <w:rtl/>
          <w:lang w:bidi="he-IL"/>
        </w:rPr>
        <w:t>והנה התוס' ביארו שההוכחה שהי' לרש"י לפרש כשפירושו הוא מכח קושיית הגמ' לבסוף "וכי</w:t>
      </w:r>
      <w:r w:rsidRPr="00882F11">
        <w:rPr>
          <w:rFonts w:cs="Guttman Drogolin"/>
          <w:rtl/>
          <w:lang w:bidi="he-IL"/>
        </w:rPr>
        <w:t xml:space="preserve"> </w:t>
      </w:r>
      <w:r w:rsidRPr="00882F11">
        <w:rPr>
          <w:rFonts w:cs="Guttman Drogolin" w:hint="cs"/>
          <w:rtl/>
          <w:lang w:bidi="he-IL"/>
        </w:rPr>
        <w:t>יש</w:t>
      </w:r>
      <w:r w:rsidRPr="00882F11">
        <w:rPr>
          <w:rFonts w:cs="Guttman Drogolin"/>
          <w:rtl/>
          <w:lang w:bidi="he-IL"/>
        </w:rPr>
        <w:t xml:space="preserve"> </w:t>
      </w:r>
      <w:r w:rsidRPr="00882F11">
        <w:rPr>
          <w:rFonts w:cs="Guttman Drogolin" w:hint="cs"/>
          <w:rtl/>
          <w:lang w:bidi="he-IL"/>
        </w:rPr>
        <w:t>בו</w:t>
      </w:r>
      <w:r w:rsidRPr="00882F11">
        <w:rPr>
          <w:rFonts w:cs="Guttman Drogolin"/>
          <w:rtl/>
          <w:lang w:bidi="he-IL"/>
        </w:rPr>
        <w:t xml:space="preserve"> </w:t>
      </w:r>
      <w:r w:rsidRPr="00882F11">
        <w:rPr>
          <w:rFonts w:cs="Guttman Drogolin" w:hint="cs"/>
          <w:rtl/>
          <w:lang w:bidi="he-IL"/>
        </w:rPr>
        <w:t>כדי</w:t>
      </w:r>
      <w:r w:rsidRPr="00882F11">
        <w:rPr>
          <w:rFonts w:cs="Guttman Drogolin"/>
          <w:rtl/>
          <w:lang w:bidi="he-IL"/>
        </w:rPr>
        <w:t xml:space="preserve"> </w:t>
      </w:r>
      <w:r w:rsidRPr="00882F11">
        <w:rPr>
          <w:rFonts w:cs="Guttman Drogolin" w:hint="cs"/>
          <w:rtl/>
          <w:lang w:bidi="he-IL"/>
        </w:rPr>
        <w:t>לחמץ</w:t>
      </w:r>
      <w:r w:rsidRPr="00882F11">
        <w:rPr>
          <w:rFonts w:cs="Guttman Drogolin"/>
          <w:rtl/>
          <w:lang w:bidi="he-IL"/>
        </w:rPr>
        <w:t xml:space="preserve"> </w:t>
      </w:r>
      <w:r w:rsidRPr="00882F11">
        <w:rPr>
          <w:rFonts w:cs="Guttman Drogolin" w:hint="cs"/>
          <w:rtl/>
          <w:lang w:bidi="he-IL"/>
        </w:rPr>
        <w:t>במאה</w:t>
      </w:r>
      <w:r w:rsidRPr="00882F11">
        <w:rPr>
          <w:rFonts w:cs="Guttman Drogolin"/>
          <w:rtl/>
          <w:lang w:bidi="he-IL"/>
        </w:rPr>
        <w:t xml:space="preserve"> </w:t>
      </w:r>
      <w:r w:rsidRPr="00882F11">
        <w:rPr>
          <w:rFonts w:cs="Guttman Drogolin" w:hint="cs"/>
          <w:rtl/>
          <w:lang w:bidi="he-IL"/>
        </w:rPr>
        <w:t>וחד</w:t>
      </w:r>
      <w:r w:rsidRPr="00882F11">
        <w:rPr>
          <w:rFonts w:cs="Guttman Drogolin"/>
          <w:rtl/>
          <w:lang w:bidi="he-IL"/>
        </w:rPr>
        <w:t xml:space="preserve"> </w:t>
      </w:r>
      <w:r w:rsidRPr="00882F11">
        <w:rPr>
          <w:rFonts w:cs="Guttman Drogolin" w:hint="cs"/>
          <w:rtl/>
          <w:lang w:bidi="he-IL"/>
        </w:rPr>
        <w:t>אמאי</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 xml:space="preserve">בטיל". וכוונתם בזה </w:t>
      </w:r>
      <w:r w:rsidR="00D154F0" w:rsidRPr="00882F11">
        <w:rPr>
          <w:rFonts w:cs="Guttman Drogolin" w:hint="cs"/>
          <w:rtl/>
          <w:lang w:bidi="he-IL"/>
        </w:rPr>
        <w:t xml:space="preserve">(כמו שביאר המהרש"א) </w:t>
      </w:r>
      <w:r w:rsidR="00FD3138" w:rsidRPr="00882F11">
        <w:rPr>
          <w:rFonts w:cs="Guttman Drogolin" w:hint="cs"/>
          <w:rtl/>
          <w:lang w:bidi="he-IL"/>
        </w:rPr>
        <w:t>שהי' קשה לרש"י למה הי' קשה לגמ' רק עכשיו למסקנת הגמ' האיך הי' כ"כ טעם ולא מעיקרא.</w:t>
      </w:r>
      <w:r w:rsidR="00D154F0" w:rsidRPr="00882F11">
        <w:rPr>
          <w:rFonts w:cs="Guttman Drogolin" w:hint="cs"/>
          <w:rtl/>
          <w:lang w:bidi="he-IL"/>
        </w:rPr>
        <w:t xml:space="preserve"> </w:t>
      </w:r>
      <w:r w:rsidR="00FD3138" w:rsidRPr="00882F11">
        <w:rPr>
          <w:rFonts w:cs="Guttman Drogolin" w:hint="cs"/>
          <w:rtl/>
          <w:lang w:bidi="he-IL"/>
        </w:rPr>
        <w:t xml:space="preserve">וסבר רש"י שלא הי' קשה לגמ' אלא שיהי' </w:t>
      </w:r>
      <w:r w:rsidR="000E3057" w:rsidRPr="00882F11">
        <w:rPr>
          <w:rFonts w:cs="Guttman Drogolin" w:hint="cs"/>
          <w:rtl/>
          <w:lang w:bidi="he-IL"/>
        </w:rPr>
        <w:t>טעם בק"א, אבל בק' לא. ולכאורה הטעם בזה משום שלא מצאנו אלא מי שחושש לס' או לק', אבל ק"א לא מצאנו. ולכן היו מוכרחים מעיקרא לומר דק"א</w:t>
      </w:r>
      <w:r w:rsidR="00D154F0" w:rsidRPr="00882F11">
        <w:rPr>
          <w:rFonts w:cs="Guttman Drogolin" w:hint="cs"/>
          <w:rtl/>
          <w:lang w:bidi="he-IL"/>
        </w:rPr>
        <w:t xml:space="preserve"> </w:t>
      </w:r>
      <w:r w:rsidR="000E3057" w:rsidRPr="00882F11">
        <w:rPr>
          <w:rFonts w:cs="Guttman Drogolin" w:hint="cs"/>
          <w:rtl/>
          <w:lang w:bidi="he-IL"/>
        </w:rPr>
        <w:t>דרישא היינו עם האיסור, דהא מבואר במתני' ששייך טעם ב"ק"א". ורק למסקנא שהיו מוכרחים לומר שהוא ק"א בלי האיסור הקשו בגמ' דא"כ היאך יש טעם.</w:t>
      </w:r>
      <w:r w:rsidR="00924558" w:rsidRPr="00882F11">
        <w:rPr>
          <w:rFonts w:cs="Guttman Drogolin" w:hint="cs"/>
          <w:rtl/>
          <w:lang w:bidi="he-IL"/>
        </w:rPr>
        <w:t xml:space="preserve"> </w:t>
      </w:r>
      <w:r w:rsidR="00D154F0" w:rsidRPr="00882F11">
        <w:rPr>
          <w:rFonts w:cs="Guttman Drogolin" w:hint="cs"/>
          <w:rtl/>
          <w:lang w:bidi="he-IL"/>
        </w:rPr>
        <w:t xml:space="preserve">והתוס' סוברים שאין כוונת הקושיא כהמשך של </w:t>
      </w:r>
      <w:r w:rsidR="00902FC1" w:rsidRPr="00882F11">
        <w:rPr>
          <w:rFonts w:cs="Guttman Drogolin" w:hint="cs"/>
          <w:rtl/>
          <w:lang w:bidi="he-IL"/>
        </w:rPr>
        <w:t>הסוגיא דלעיל</w:t>
      </w:r>
      <w:r w:rsidR="00D154F0" w:rsidRPr="00882F11">
        <w:rPr>
          <w:rFonts w:cs="Guttman Drogolin" w:hint="cs"/>
          <w:rtl/>
          <w:lang w:bidi="he-IL"/>
        </w:rPr>
        <w:t>,</w:t>
      </w:r>
      <w:r w:rsidR="00902FC1" w:rsidRPr="00882F11">
        <w:rPr>
          <w:rFonts w:cs="Guttman Drogolin" w:hint="cs"/>
          <w:rtl/>
          <w:lang w:bidi="he-IL"/>
        </w:rPr>
        <w:t xml:space="preserve"> רק שאלה בפני עצמה היא, דלמה יש לאסור משום מחמץ כלל הא אין טעם השאור של תרומה עובר לעיסת חולין. ובביאור קושיית הגמ' הוסיפו וכתבו "דלא</w:t>
      </w:r>
      <w:r w:rsidR="00902FC1" w:rsidRPr="00882F11">
        <w:rPr>
          <w:rFonts w:cs="Guttman Drogolin"/>
          <w:rtl/>
          <w:lang w:bidi="he-IL"/>
        </w:rPr>
        <w:t xml:space="preserve"> </w:t>
      </w:r>
      <w:r w:rsidR="00902FC1" w:rsidRPr="00882F11">
        <w:rPr>
          <w:rFonts w:cs="Guttman Drogolin" w:hint="cs"/>
          <w:rtl/>
          <w:lang w:bidi="he-IL"/>
        </w:rPr>
        <w:t>הוי</w:t>
      </w:r>
      <w:r w:rsidR="00902FC1" w:rsidRPr="00882F11">
        <w:rPr>
          <w:rFonts w:cs="Guttman Drogolin"/>
          <w:rtl/>
          <w:lang w:bidi="he-IL"/>
        </w:rPr>
        <w:t xml:space="preserve"> </w:t>
      </w:r>
      <w:r w:rsidR="00902FC1" w:rsidRPr="00882F11">
        <w:rPr>
          <w:rFonts w:cs="Guttman Drogolin" w:hint="cs"/>
          <w:rtl/>
          <w:lang w:bidi="he-IL"/>
        </w:rPr>
        <w:t>אלא</w:t>
      </w:r>
      <w:r w:rsidR="00902FC1" w:rsidRPr="00882F11">
        <w:rPr>
          <w:rFonts w:cs="Guttman Drogolin"/>
          <w:rtl/>
          <w:lang w:bidi="he-IL"/>
        </w:rPr>
        <w:t xml:space="preserve"> </w:t>
      </w:r>
      <w:r w:rsidR="00902FC1" w:rsidRPr="00882F11">
        <w:rPr>
          <w:rFonts w:cs="Guttman Drogolin" w:hint="cs"/>
          <w:rtl/>
          <w:lang w:bidi="he-IL"/>
        </w:rPr>
        <w:t>כמו</w:t>
      </w:r>
      <w:r w:rsidR="00902FC1" w:rsidRPr="00882F11">
        <w:rPr>
          <w:rFonts w:cs="Guttman Drogolin"/>
          <w:rtl/>
          <w:lang w:bidi="he-IL"/>
        </w:rPr>
        <w:t xml:space="preserve"> </w:t>
      </w:r>
      <w:r w:rsidR="00902FC1" w:rsidRPr="00882F11">
        <w:rPr>
          <w:rFonts w:cs="Guttman Drogolin" w:hint="cs"/>
          <w:rtl/>
          <w:lang w:bidi="he-IL"/>
        </w:rPr>
        <w:t>העמדה</w:t>
      </w:r>
      <w:r w:rsidR="00902FC1" w:rsidRPr="00882F11">
        <w:rPr>
          <w:rFonts w:cs="Guttman Drogolin"/>
          <w:rtl/>
          <w:lang w:bidi="he-IL"/>
        </w:rPr>
        <w:t xml:space="preserve"> </w:t>
      </w:r>
      <w:r w:rsidR="00902FC1" w:rsidRPr="00882F11">
        <w:rPr>
          <w:rFonts w:cs="Guttman Drogolin" w:hint="cs"/>
          <w:rtl/>
          <w:lang w:bidi="he-IL"/>
        </w:rPr>
        <w:t>דחלב</w:t>
      </w:r>
      <w:r w:rsidR="00902FC1" w:rsidRPr="00882F11">
        <w:rPr>
          <w:rFonts w:cs="Guttman Drogolin"/>
          <w:rtl/>
          <w:lang w:bidi="he-IL"/>
        </w:rPr>
        <w:t xml:space="preserve"> </w:t>
      </w:r>
      <w:r w:rsidR="00902FC1" w:rsidRPr="00882F11">
        <w:rPr>
          <w:rFonts w:cs="Guttman Drogolin" w:hint="cs"/>
          <w:rtl/>
          <w:lang w:bidi="he-IL"/>
        </w:rPr>
        <w:t>בעלמא</w:t>
      </w:r>
      <w:r w:rsidR="00902FC1" w:rsidRPr="00882F11">
        <w:rPr>
          <w:rFonts w:cs="Guttman Drogolin"/>
          <w:rtl/>
          <w:lang w:bidi="he-IL"/>
        </w:rPr>
        <w:t xml:space="preserve"> </w:t>
      </w:r>
      <w:r w:rsidR="00902FC1" w:rsidRPr="00882F11">
        <w:rPr>
          <w:rFonts w:cs="Guttman Drogolin" w:hint="cs"/>
          <w:rtl/>
          <w:lang w:bidi="he-IL"/>
        </w:rPr>
        <w:t>דתנן</w:t>
      </w:r>
      <w:r w:rsidR="00902FC1" w:rsidRPr="00882F11">
        <w:rPr>
          <w:rFonts w:cs="Guttman Drogolin"/>
          <w:rtl/>
          <w:lang w:bidi="he-IL"/>
        </w:rPr>
        <w:t xml:space="preserve"> </w:t>
      </w:r>
      <w:r w:rsidR="00902FC1" w:rsidRPr="00882F11">
        <w:rPr>
          <w:rFonts w:cs="Guttman Drogolin" w:hint="cs"/>
          <w:rtl/>
          <w:lang w:bidi="he-IL"/>
        </w:rPr>
        <w:t>בפרק</w:t>
      </w:r>
      <w:r w:rsidR="00902FC1" w:rsidRPr="00882F11">
        <w:rPr>
          <w:rFonts w:cs="Guttman Drogolin"/>
          <w:rtl/>
          <w:lang w:bidi="he-IL"/>
        </w:rPr>
        <w:t xml:space="preserve"> </w:t>
      </w:r>
      <w:r w:rsidR="00902FC1" w:rsidRPr="00882F11">
        <w:rPr>
          <w:rFonts w:cs="Guttman Drogolin" w:hint="cs"/>
          <w:rtl/>
          <w:lang w:bidi="he-IL"/>
        </w:rPr>
        <w:t>כל</w:t>
      </w:r>
      <w:r w:rsidR="00902FC1" w:rsidRPr="00882F11">
        <w:rPr>
          <w:rFonts w:cs="Guttman Drogolin"/>
          <w:rtl/>
          <w:lang w:bidi="he-IL"/>
        </w:rPr>
        <w:t xml:space="preserve"> </w:t>
      </w:r>
      <w:r w:rsidR="00902FC1" w:rsidRPr="00882F11">
        <w:rPr>
          <w:rFonts w:cs="Guttman Drogolin" w:hint="cs"/>
          <w:rtl/>
          <w:lang w:bidi="he-IL"/>
        </w:rPr>
        <w:t>הבשר</w:t>
      </w:r>
      <w:r w:rsidR="00902FC1" w:rsidRPr="00882F11">
        <w:rPr>
          <w:rFonts w:cs="Guttman Drogolin"/>
          <w:rtl/>
          <w:lang w:bidi="he-IL"/>
        </w:rPr>
        <w:t xml:space="preserve"> (</w:t>
      </w:r>
      <w:r w:rsidR="00902FC1" w:rsidRPr="00882F11">
        <w:rPr>
          <w:rFonts w:cs="Guttman Drogolin" w:hint="cs"/>
          <w:rtl/>
          <w:lang w:bidi="he-IL"/>
        </w:rPr>
        <w:t>לקמן</w:t>
      </w:r>
      <w:r w:rsidR="00902FC1" w:rsidRPr="00882F11">
        <w:rPr>
          <w:rFonts w:cs="Guttman Drogolin"/>
          <w:rtl/>
          <w:lang w:bidi="he-IL"/>
        </w:rPr>
        <w:t xml:space="preserve"> </w:t>
      </w:r>
      <w:r w:rsidR="00902FC1" w:rsidRPr="00882F11">
        <w:rPr>
          <w:rFonts w:cs="Guttman Drogolin" w:hint="cs"/>
          <w:rtl/>
          <w:lang w:bidi="he-IL"/>
        </w:rPr>
        <w:t>דף</w:t>
      </w:r>
      <w:r w:rsidR="00902FC1" w:rsidRPr="00882F11">
        <w:rPr>
          <w:rFonts w:cs="Guttman Drogolin"/>
          <w:rtl/>
          <w:lang w:bidi="he-IL"/>
        </w:rPr>
        <w:t xml:space="preserve"> </w:t>
      </w:r>
      <w:r w:rsidR="00902FC1" w:rsidRPr="00882F11">
        <w:rPr>
          <w:rFonts w:cs="Guttman Drogolin" w:hint="cs"/>
          <w:rtl/>
          <w:lang w:bidi="he-IL"/>
        </w:rPr>
        <w:t>קט</w:t>
      </w:r>
      <w:r w:rsidR="0019474C" w:rsidRPr="00882F11">
        <w:rPr>
          <w:rFonts w:cs="Guttman Drogolin" w:hint="cs"/>
          <w:rtl/>
          <w:lang w:bidi="he-IL"/>
        </w:rPr>
        <w:t>"</w:t>
      </w:r>
      <w:r w:rsidR="00902FC1" w:rsidRPr="00882F11">
        <w:rPr>
          <w:rFonts w:cs="Guttman Drogolin" w:hint="cs"/>
          <w:rtl/>
          <w:lang w:bidi="he-IL"/>
        </w:rPr>
        <w:t>ז</w:t>
      </w:r>
      <w:r w:rsidR="0019474C" w:rsidRPr="00882F11">
        <w:rPr>
          <w:rFonts w:cs="Guttman Drogolin" w:hint="cs"/>
          <w:rtl/>
          <w:lang w:bidi="he-IL"/>
        </w:rPr>
        <w:t xml:space="preserve"> ע"א</w:t>
      </w:r>
      <w:r w:rsidR="00902FC1" w:rsidRPr="00882F11">
        <w:rPr>
          <w:rFonts w:cs="Guttman Drogolin"/>
          <w:rtl/>
          <w:lang w:bidi="he-IL"/>
        </w:rPr>
        <w:t xml:space="preserve">) </w:t>
      </w:r>
      <w:r w:rsidR="00902FC1" w:rsidRPr="00882F11">
        <w:rPr>
          <w:rFonts w:cs="Guttman Drogolin" w:hint="cs"/>
          <w:rtl/>
          <w:lang w:bidi="he-IL"/>
        </w:rPr>
        <w:t>המעמיד</w:t>
      </w:r>
      <w:r w:rsidR="00902FC1" w:rsidRPr="00882F11">
        <w:rPr>
          <w:rFonts w:cs="Guttman Drogolin"/>
          <w:rtl/>
          <w:lang w:bidi="he-IL"/>
        </w:rPr>
        <w:t xml:space="preserve"> </w:t>
      </w:r>
      <w:r w:rsidR="00902FC1" w:rsidRPr="00882F11">
        <w:rPr>
          <w:rFonts w:cs="Guttman Drogolin" w:hint="cs"/>
          <w:rtl/>
          <w:lang w:bidi="he-IL"/>
        </w:rPr>
        <w:t>בעור</w:t>
      </w:r>
      <w:r w:rsidR="00902FC1" w:rsidRPr="00882F11">
        <w:rPr>
          <w:rFonts w:cs="Guttman Drogolin"/>
          <w:rtl/>
          <w:lang w:bidi="he-IL"/>
        </w:rPr>
        <w:t xml:space="preserve"> </w:t>
      </w:r>
      <w:r w:rsidR="00902FC1" w:rsidRPr="00882F11">
        <w:rPr>
          <w:rFonts w:cs="Guttman Drogolin" w:hint="cs"/>
          <w:rtl/>
          <w:lang w:bidi="he-IL"/>
        </w:rPr>
        <w:t>הקבה</w:t>
      </w:r>
      <w:r w:rsidR="00902FC1" w:rsidRPr="00882F11">
        <w:rPr>
          <w:rFonts w:cs="Guttman Drogolin"/>
          <w:rtl/>
          <w:lang w:bidi="he-IL"/>
        </w:rPr>
        <w:t xml:space="preserve"> </w:t>
      </w:r>
      <w:r w:rsidR="00902FC1" w:rsidRPr="00882F11">
        <w:rPr>
          <w:rFonts w:cs="Guttman Drogolin" w:hint="cs"/>
          <w:rtl/>
          <w:lang w:bidi="he-IL"/>
        </w:rPr>
        <w:t>אם</w:t>
      </w:r>
      <w:r w:rsidR="00902FC1" w:rsidRPr="00882F11">
        <w:rPr>
          <w:rFonts w:cs="Guttman Drogolin"/>
          <w:rtl/>
          <w:lang w:bidi="he-IL"/>
        </w:rPr>
        <w:t xml:space="preserve"> </w:t>
      </w:r>
      <w:r w:rsidR="00902FC1" w:rsidRPr="00882F11">
        <w:rPr>
          <w:rFonts w:cs="Guttman Drogolin" w:hint="cs"/>
          <w:rtl/>
          <w:lang w:bidi="he-IL"/>
        </w:rPr>
        <w:t>יש</w:t>
      </w:r>
      <w:r w:rsidR="00902FC1" w:rsidRPr="00882F11">
        <w:rPr>
          <w:rFonts w:cs="Guttman Drogolin"/>
          <w:rtl/>
          <w:lang w:bidi="he-IL"/>
        </w:rPr>
        <w:t xml:space="preserve"> </w:t>
      </w:r>
      <w:r w:rsidR="00902FC1" w:rsidRPr="00882F11">
        <w:rPr>
          <w:rFonts w:cs="Guttman Drogolin" w:hint="cs"/>
          <w:rtl/>
          <w:lang w:bidi="he-IL"/>
        </w:rPr>
        <w:t>בה</w:t>
      </w:r>
      <w:r w:rsidR="00902FC1" w:rsidRPr="00882F11">
        <w:rPr>
          <w:rFonts w:cs="Guttman Drogolin"/>
          <w:rtl/>
          <w:lang w:bidi="he-IL"/>
        </w:rPr>
        <w:t xml:space="preserve"> </w:t>
      </w:r>
      <w:r w:rsidR="00902FC1" w:rsidRPr="00882F11">
        <w:rPr>
          <w:rFonts w:cs="Guttman Drogolin" w:hint="cs"/>
          <w:rtl/>
          <w:lang w:bidi="he-IL"/>
        </w:rPr>
        <w:t>בנותן</w:t>
      </w:r>
      <w:r w:rsidR="00902FC1" w:rsidRPr="00882F11">
        <w:rPr>
          <w:rFonts w:cs="Guttman Drogolin"/>
          <w:rtl/>
          <w:lang w:bidi="he-IL"/>
        </w:rPr>
        <w:t xml:space="preserve"> </w:t>
      </w:r>
      <w:r w:rsidR="00902FC1" w:rsidRPr="00882F11">
        <w:rPr>
          <w:rFonts w:cs="Guttman Drogolin" w:hint="cs"/>
          <w:rtl/>
          <w:lang w:bidi="he-IL"/>
        </w:rPr>
        <w:t>טעם</w:t>
      </w:r>
      <w:r w:rsidR="00902FC1" w:rsidRPr="00882F11">
        <w:rPr>
          <w:rFonts w:cs="Guttman Drogolin"/>
          <w:rtl/>
          <w:lang w:bidi="he-IL"/>
        </w:rPr>
        <w:t xml:space="preserve"> </w:t>
      </w:r>
      <w:r w:rsidR="00902FC1" w:rsidRPr="00882F11">
        <w:rPr>
          <w:rFonts w:cs="Guttman Drogolin" w:hint="cs"/>
          <w:rtl/>
          <w:lang w:bidi="he-IL"/>
        </w:rPr>
        <w:t>אסורה</w:t>
      </w:r>
      <w:r w:rsidR="00902FC1" w:rsidRPr="00882F11">
        <w:rPr>
          <w:rFonts w:cs="Guttman Drogolin"/>
          <w:rtl/>
          <w:lang w:bidi="he-IL"/>
        </w:rPr>
        <w:t xml:space="preserve"> </w:t>
      </w:r>
      <w:r w:rsidR="00902FC1" w:rsidRPr="00882F11">
        <w:rPr>
          <w:rFonts w:cs="Guttman Drogolin" w:hint="cs"/>
          <w:rtl/>
          <w:lang w:bidi="he-IL"/>
        </w:rPr>
        <w:t>משמע</w:t>
      </w:r>
      <w:r w:rsidR="00902FC1" w:rsidRPr="00882F11">
        <w:rPr>
          <w:rFonts w:cs="Guttman Drogolin"/>
          <w:rtl/>
          <w:lang w:bidi="he-IL"/>
        </w:rPr>
        <w:t xml:space="preserve"> </w:t>
      </w:r>
      <w:r w:rsidR="00902FC1" w:rsidRPr="00882F11">
        <w:rPr>
          <w:rFonts w:cs="Guttman Drogolin" w:hint="cs"/>
          <w:rtl/>
          <w:lang w:bidi="he-IL"/>
        </w:rPr>
        <w:t>הא</w:t>
      </w:r>
      <w:r w:rsidR="00902FC1" w:rsidRPr="00882F11">
        <w:rPr>
          <w:rFonts w:cs="Guttman Drogolin"/>
          <w:rtl/>
          <w:lang w:bidi="he-IL"/>
        </w:rPr>
        <w:t xml:space="preserve"> </w:t>
      </w:r>
      <w:r w:rsidR="00902FC1" w:rsidRPr="00882F11">
        <w:rPr>
          <w:rFonts w:cs="Guttman Drogolin" w:hint="cs"/>
          <w:rtl/>
          <w:lang w:bidi="he-IL"/>
        </w:rPr>
        <w:t>ליכא</w:t>
      </w:r>
      <w:r w:rsidR="00902FC1" w:rsidRPr="00882F11">
        <w:rPr>
          <w:rFonts w:cs="Guttman Drogolin"/>
          <w:rtl/>
          <w:lang w:bidi="he-IL"/>
        </w:rPr>
        <w:t xml:space="preserve"> </w:t>
      </w:r>
      <w:r w:rsidR="00902FC1" w:rsidRPr="00882F11">
        <w:rPr>
          <w:rFonts w:cs="Guttman Drogolin" w:hint="cs"/>
          <w:rtl/>
          <w:lang w:bidi="he-IL"/>
        </w:rPr>
        <w:t>נותן</w:t>
      </w:r>
      <w:r w:rsidR="00902FC1" w:rsidRPr="00882F11">
        <w:rPr>
          <w:rFonts w:cs="Guttman Drogolin"/>
          <w:rtl/>
          <w:lang w:bidi="he-IL"/>
        </w:rPr>
        <w:t xml:space="preserve"> </w:t>
      </w:r>
      <w:r w:rsidR="00902FC1" w:rsidRPr="00882F11">
        <w:rPr>
          <w:rFonts w:cs="Guttman Drogolin" w:hint="cs"/>
          <w:rtl/>
          <w:lang w:bidi="he-IL"/>
        </w:rPr>
        <w:t>טעם</w:t>
      </w:r>
      <w:r w:rsidR="00902FC1" w:rsidRPr="00882F11">
        <w:rPr>
          <w:rFonts w:cs="Guttman Drogolin"/>
          <w:rtl/>
          <w:lang w:bidi="he-IL"/>
        </w:rPr>
        <w:t xml:space="preserve"> </w:t>
      </w:r>
      <w:r w:rsidR="00902FC1" w:rsidRPr="00882F11">
        <w:rPr>
          <w:rFonts w:cs="Guttman Drogolin" w:hint="cs"/>
          <w:rtl/>
          <w:lang w:bidi="he-IL"/>
        </w:rPr>
        <w:t>שרי</w:t>
      </w:r>
      <w:r w:rsidR="00902FC1" w:rsidRPr="00882F11">
        <w:rPr>
          <w:rFonts w:cs="Guttman Drogolin"/>
          <w:rtl/>
          <w:lang w:bidi="he-IL"/>
        </w:rPr>
        <w:t xml:space="preserve"> </w:t>
      </w:r>
      <w:r w:rsidR="00902FC1" w:rsidRPr="00882F11">
        <w:rPr>
          <w:rFonts w:cs="Guttman Drogolin" w:hint="cs"/>
          <w:rtl/>
          <w:lang w:bidi="he-IL"/>
        </w:rPr>
        <w:t>אע</w:t>
      </w:r>
      <w:r w:rsidR="00935448" w:rsidRPr="00882F11">
        <w:rPr>
          <w:rFonts w:cs="Guttman Drogolin" w:hint="cs"/>
          <w:rtl/>
          <w:lang w:bidi="he-IL"/>
        </w:rPr>
        <w:t>"</w:t>
      </w:r>
      <w:r w:rsidR="00902FC1" w:rsidRPr="00882F11">
        <w:rPr>
          <w:rFonts w:cs="Guttman Drogolin" w:hint="cs"/>
          <w:rtl/>
          <w:lang w:bidi="he-IL"/>
        </w:rPr>
        <w:t>פ</w:t>
      </w:r>
      <w:r w:rsidR="00902FC1" w:rsidRPr="00882F11">
        <w:rPr>
          <w:rFonts w:cs="Guttman Drogolin"/>
          <w:rtl/>
          <w:lang w:bidi="he-IL"/>
        </w:rPr>
        <w:t xml:space="preserve"> </w:t>
      </w:r>
      <w:r w:rsidR="00902FC1" w:rsidRPr="00882F11">
        <w:rPr>
          <w:rFonts w:cs="Guttman Drogolin" w:hint="cs"/>
          <w:rtl/>
          <w:lang w:bidi="he-IL"/>
        </w:rPr>
        <w:t>שהעמיד</w:t>
      </w:r>
      <w:r w:rsidR="00902FC1" w:rsidRPr="00882F11">
        <w:rPr>
          <w:rFonts w:cs="Guttman Drogolin"/>
          <w:rtl/>
          <w:lang w:bidi="he-IL"/>
        </w:rPr>
        <w:t xml:space="preserve"> </w:t>
      </w:r>
      <w:r w:rsidR="00902FC1" w:rsidRPr="00882F11">
        <w:rPr>
          <w:rFonts w:cs="Guttman Drogolin" w:hint="cs"/>
          <w:rtl/>
          <w:lang w:bidi="he-IL"/>
        </w:rPr>
        <w:t>החלב</w:t>
      </w:r>
      <w:r w:rsidR="00902FC1" w:rsidRPr="00882F11">
        <w:rPr>
          <w:rFonts w:cs="Guttman Drogolin"/>
          <w:rtl/>
          <w:lang w:bidi="he-IL"/>
        </w:rPr>
        <w:t xml:space="preserve"> </w:t>
      </w:r>
      <w:r w:rsidR="00902FC1" w:rsidRPr="00882F11">
        <w:rPr>
          <w:rFonts w:cs="Guttman Drogolin" w:hint="cs"/>
          <w:rtl/>
          <w:lang w:bidi="he-IL"/>
        </w:rPr>
        <w:t>משום</w:t>
      </w:r>
      <w:r w:rsidR="00902FC1" w:rsidRPr="00882F11">
        <w:rPr>
          <w:rFonts w:cs="Guttman Drogolin"/>
          <w:rtl/>
          <w:lang w:bidi="he-IL"/>
        </w:rPr>
        <w:t xml:space="preserve"> </w:t>
      </w:r>
      <w:r w:rsidR="00902FC1" w:rsidRPr="00882F11">
        <w:rPr>
          <w:rFonts w:cs="Guttman Drogolin" w:hint="cs"/>
          <w:rtl/>
          <w:lang w:bidi="he-IL"/>
        </w:rPr>
        <w:t>דהעמדה</w:t>
      </w:r>
      <w:r w:rsidR="00902FC1" w:rsidRPr="00882F11">
        <w:rPr>
          <w:rFonts w:cs="Guttman Drogolin"/>
          <w:rtl/>
          <w:lang w:bidi="he-IL"/>
        </w:rPr>
        <w:t xml:space="preserve"> </w:t>
      </w:r>
      <w:r w:rsidR="00902FC1" w:rsidRPr="00882F11">
        <w:rPr>
          <w:rFonts w:cs="Guttman Drogolin" w:hint="cs"/>
          <w:rtl/>
          <w:lang w:bidi="he-IL"/>
        </w:rPr>
        <w:t>לא</w:t>
      </w:r>
      <w:r w:rsidR="00902FC1" w:rsidRPr="00882F11">
        <w:rPr>
          <w:rFonts w:cs="Guttman Drogolin"/>
          <w:rtl/>
          <w:lang w:bidi="he-IL"/>
        </w:rPr>
        <w:t xml:space="preserve"> </w:t>
      </w:r>
      <w:r w:rsidR="00902FC1" w:rsidRPr="00882F11">
        <w:rPr>
          <w:rFonts w:cs="Guttman Drogolin" w:hint="cs"/>
          <w:rtl/>
          <w:lang w:bidi="he-IL"/>
        </w:rPr>
        <w:t>חשיבא</w:t>
      </w:r>
      <w:r w:rsidR="00902FC1" w:rsidRPr="00882F11">
        <w:rPr>
          <w:rFonts w:cs="Guttman Drogolin"/>
          <w:rtl/>
          <w:lang w:bidi="he-IL"/>
        </w:rPr>
        <w:t xml:space="preserve"> </w:t>
      </w:r>
      <w:r w:rsidR="00902FC1" w:rsidRPr="00882F11">
        <w:rPr>
          <w:rFonts w:cs="Guttman Drogolin" w:hint="cs"/>
          <w:rtl/>
          <w:lang w:bidi="he-IL"/>
        </w:rPr>
        <w:t>טעמא</w:t>
      </w:r>
      <w:r w:rsidR="00902FC1" w:rsidRPr="00882F11">
        <w:rPr>
          <w:rFonts w:cs="Guttman Drogolin"/>
          <w:rtl/>
          <w:lang w:bidi="he-IL"/>
        </w:rPr>
        <w:t xml:space="preserve"> </w:t>
      </w:r>
      <w:r w:rsidR="00902FC1" w:rsidRPr="00882F11">
        <w:rPr>
          <w:rFonts w:cs="Guttman Drogolin" w:hint="cs"/>
          <w:rtl/>
          <w:lang w:bidi="he-IL"/>
        </w:rPr>
        <w:lastRenderedPageBreak/>
        <w:t>והוא</w:t>
      </w:r>
      <w:r w:rsidR="00902FC1" w:rsidRPr="00882F11">
        <w:rPr>
          <w:rFonts w:cs="Guttman Drogolin"/>
          <w:rtl/>
          <w:lang w:bidi="he-IL"/>
        </w:rPr>
        <w:t xml:space="preserve"> </w:t>
      </w:r>
      <w:r w:rsidR="00902FC1" w:rsidRPr="00882F11">
        <w:rPr>
          <w:rFonts w:cs="Guttman Drogolin" w:hint="cs"/>
          <w:rtl/>
          <w:lang w:bidi="he-IL"/>
        </w:rPr>
        <w:t>הדין</w:t>
      </w:r>
      <w:r w:rsidR="00902FC1" w:rsidRPr="00882F11">
        <w:rPr>
          <w:rFonts w:cs="Guttman Drogolin"/>
          <w:rtl/>
          <w:lang w:bidi="he-IL"/>
        </w:rPr>
        <w:t xml:space="preserve"> </w:t>
      </w:r>
      <w:r w:rsidR="00902FC1" w:rsidRPr="00882F11">
        <w:rPr>
          <w:rFonts w:cs="Guttman Drogolin" w:hint="cs"/>
          <w:rtl/>
          <w:lang w:bidi="he-IL"/>
        </w:rPr>
        <w:t>חימוץ". והיינו שהתייחסו לזה שלכאורה יש טעם לאסור ולא רק משום טעם החיך שיש בדבר והוא משום שינוי צורת המאכל כמו במעמיד. אלא שכתבו דלא יתכן שתהא אסור משום זה כיון שמעמיד עצמו אינו אוסר וכדחזינן בבשר בחלב.</w:t>
      </w:r>
    </w:p>
    <w:p w:rsidR="004B07CA" w:rsidRPr="00882F11" w:rsidRDefault="00D535F5" w:rsidP="00C31D5B">
      <w:pPr>
        <w:bidi/>
        <w:jc w:val="both"/>
        <w:rPr>
          <w:rFonts w:cs="Guttman Drogolin"/>
          <w:rtl/>
          <w:lang w:bidi="he-IL"/>
        </w:rPr>
      </w:pPr>
      <w:r>
        <w:rPr>
          <w:rFonts w:cs="Guttman Drogolin"/>
          <w:rtl/>
          <w:lang w:bidi="he-IL"/>
        </w:rPr>
        <w:fldChar w:fldCharType="begin"/>
      </w:r>
      <w:r>
        <w:instrText xml:space="preserve"> XE "</w:instrText>
      </w:r>
      <w:r w:rsidRPr="00A37E80">
        <w:rPr>
          <w:rFonts w:hint="cs"/>
          <w:rtl/>
          <w:lang w:bidi="he-IL"/>
        </w:rPr>
        <w:instrText>מעמיד</w:instrText>
      </w:r>
      <w:r w:rsidRPr="00A37E80">
        <w:rPr>
          <w:rtl/>
        </w:rPr>
        <w:instrText>:</w:instrText>
      </w:r>
      <w:r w:rsidRPr="00A37E80">
        <w:rPr>
          <w:rFonts w:hint="cs"/>
          <w:rtl/>
          <w:lang w:bidi="he-IL"/>
        </w:rPr>
        <w:instrText>השואה למחמץ</w:instrText>
      </w:r>
      <w:r>
        <w:instrText xml:space="preserve">" </w:instrText>
      </w:r>
      <w:r>
        <w:rPr>
          <w:rFonts w:cs="Guttman Drogolin"/>
          <w:rtl/>
          <w:lang w:bidi="he-IL"/>
        </w:rPr>
        <w:fldChar w:fldCharType="end"/>
      </w:r>
      <w:r w:rsidR="00902FC1" w:rsidRPr="00882F11">
        <w:rPr>
          <w:rFonts w:cs="Guttman Drogolin" w:hint="cs"/>
          <w:rtl/>
          <w:lang w:bidi="he-IL"/>
        </w:rPr>
        <w:t>והנה זה עצמו שמעמיד אינו אוסר שיטת הר"י מגאש, והיא שיטת השו"ע ביו"ד סי' פ"ז, שבאמת בשאר איס</w:t>
      </w:r>
      <w:r w:rsidR="00E9592C" w:rsidRPr="00882F11">
        <w:rPr>
          <w:rFonts w:cs="Guttman Drogolin" w:hint="cs"/>
          <w:rtl/>
          <w:lang w:bidi="he-IL"/>
        </w:rPr>
        <w:t>ו</w:t>
      </w:r>
      <w:r w:rsidR="00902FC1" w:rsidRPr="00882F11">
        <w:rPr>
          <w:rFonts w:cs="Guttman Drogolin" w:hint="cs"/>
          <w:rtl/>
          <w:lang w:bidi="he-IL"/>
        </w:rPr>
        <w:t xml:space="preserve">רים מעמיד אוסר, ורק בבב"ח לא אסרו מעמיד כיון שאין להם כח מעצמם לאסור. </w:t>
      </w:r>
      <w:r w:rsidR="0041712E" w:rsidRPr="00882F11">
        <w:rPr>
          <w:rFonts w:cs="Guttman Drogolin" w:hint="cs"/>
          <w:rtl/>
          <w:lang w:bidi="he-IL"/>
        </w:rPr>
        <w:t xml:space="preserve">וא"כ לכאורה גם במחמץ של תרומה הי' צריך להיות אסור כיון שאוסר בפני עצמו. </w:t>
      </w:r>
      <w:r w:rsidR="00BC76C1" w:rsidRPr="00882F11">
        <w:rPr>
          <w:rFonts w:cs="Guttman Drogolin" w:hint="cs"/>
          <w:rtl/>
          <w:lang w:bidi="he-IL"/>
        </w:rPr>
        <w:t xml:space="preserve">והנה שיטת ר"ת </w:t>
      </w:r>
      <w:r w:rsidR="00C31D5B" w:rsidRPr="00882F11">
        <w:rPr>
          <w:rFonts w:cs="Guttman Drogolin" w:hint="cs"/>
          <w:rtl/>
          <w:lang w:bidi="he-IL"/>
        </w:rPr>
        <w:t xml:space="preserve">בס' הישר </w:t>
      </w:r>
      <w:r w:rsidR="00BC76C1" w:rsidRPr="00882F11">
        <w:rPr>
          <w:rFonts w:cs="Guttman Drogolin" w:hint="cs"/>
          <w:rtl/>
          <w:lang w:bidi="he-IL"/>
        </w:rPr>
        <w:t>היא שאין מעמיד אוסר בשום איסור ודלא כשיטת הר"י מגאש</w:t>
      </w:r>
      <w:r w:rsidR="00C31D5B" w:rsidRPr="00882F11">
        <w:rPr>
          <w:rFonts w:cs="Guttman Drogolin" w:hint="cs"/>
          <w:rtl/>
          <w:lang w:bidi="he-IL"/>
        </w:rPr>
        <w:t xml:space="preserve"> (לשיטתו הא דאסרו גבינת עכו"ם היינו משום חשש טעם ולא רק משום חשש מעמיד, ואכמ"ל בזה)</w:t>
      </w:r>
      <w:r w:rsidR="00BC76C1" w:rsidRPr="00882F11">
        <w:rPr>
          <w:rFonts w:cs="Guttman Drogolin" w:hint="cs"/>
          <w:rtl/>
          <w:lang w:bidi="he-IL"/>
        </w:rPr>
        <w:t>.</w:t>
      </w:r>
      <w:r w:rsidR="00C31D5B" w:rsidRPr="00882F11">
        <w:rPr>
          <w:rFonts w:cs="Guttman Drogolin" w:hint="cs"/>
          <w:rtl/>
          <w:lang w:bidi="he-IL"/>
        </w:rPr>
        <w:t xml:space="preserve"> </w:t>
      </w:r>
      <w:r w:rsidR="004B07CA" w:rsidRPr="00882F11">
        <w:rPr>
          <w:rFonts w:cs="Guttman Drogolin" w:hint="cs"/>
          <w:rtl/>
          <w:lang w:bidi="he-IL"/>
        </w:rPr>
        <w:t>ולכאורה אם כשיטת ר"ת הרי דברי התוס' מובנים היטב, שלא יהא אסור משום מעמיד דהא ליכא איסור מעמיד. וכן נקט בס' מנח"כ שזהו שיטת התוס'.</w:t>
      </w:r>
    </w:p>
    <w:p w:rsidR="00CB26D3" w:rsidRPr="00882F11" w:rsidRDefault="004B07CA" w:rsidP="00CB26D3">
      <w:pPr>
        <w:bidi/>
        <w:jc w:val="both"/>
        <w:rPr>
          <w:rFonts w:cs="Guttman Drogolin"/>
          <w:rtl/>
          <w:lang w:bidi="he-IL"/>
        </w:rPr>
      </w:pPr>
      <w:r w:rsidRPr="00882F11">
        <w:rPr>
          <w:rFonts w:cs="Guttman Drogolin" w:hint="cs"/>
          <w:rtl/>
          <w:lang w:bidi="he-IL"/>
        </w:rPr>
        <w:t xml:space="preserve">אמנם לכאורה יש מקום לומר </w:t>
      </w:r>
      <w:r w:rsidR="00CB26D3" w:rsidRPr="00882F11">
        <w:rPr>
          <w:rFonts w:cs="Guttman Drogolin" w:hint="cs"/>
          <w:rtl/>
          <w:lang w:bidi="he-IL"/>
        </w:rPr>
        <w:t>שגם התוס' סוברים כשיטת הר"י מיגש. והיינו שדקדוק כוונת התוס' היא לומר שאין שינוי צורת המאכל בכלל טעם, דהו"א שאין טעם תלוי דוקא בטעם החיך, רק כל שינוי הנרגש בשעת אכילת המאכל הרי הוא בכלל טעם. וזה שפיר חזינן לקמן שאינו בכלל טעם, דא"כ היינו</w:t>
      </w:r>
      <w:r w:rsidR="00E9592C" w:rsidRPr="00882F11">
        <w:rPr>
          <w:rFonts w:cs="Guttman Drogolin" w:hint="cs"/>
          <w:rtl/>
          <w:lang w:bidi="he-IL"/>
        </w:rPr>
        <w:t xml:space="preserve"> </w:t>
      </w:r>
      <w:r w:rsidR="00CB26D3" w:rsidRPr="00882F11">
        <w:rPr>
          <w:rFonts w:cs="Guttman Drogolin" w:hint="cs"/>
          <w:rtl/>
          <w:lang w:bidi="he-IL"/>
        </w:rPr>
        <w:t>אוסרים גם בבב"ח, רק מטעם אחר יש לאסור במעמיד והוא משום שמעמיד אותו, וטעם זה יש לומר שקיים רק במעמיד ולא במחמץ.</w:t>
      </w:r>
    </w:p>
    <w:p w:rsidR="00C17A11" w:rsidRPr="00882F11" w:rsidRDefault="00CB26D3" w:rsidP="00B94DE2">
      <w:pPr>
        <w:bidi/>
        <w:jc w:val="both"/>
        <w:rPr>
          <w:rFonts w:cs="Guttman Drogolin"/>
          <w:rtl/>
          <w:lang w:bidi="he-IL"/>
        </w:rPr>
      </w:pPr>
      <w:r w:rsidRPr="00882F11">
        <w:rPr>
          <w:rFonts w:cs="Guttman Drogolin" w:hint="cs"/>
          <w:rtl/>
          <w:lang w:bidi="he-IL"/>
        </w:rPr>
        <w:t xml:space="preserve">והנה במנח"כ הוכיח מן הגמ' שטעם האיסור של מחמץ הוא משום טעם החיך ולא שינוי צורת </w:t>
      </w:r>
      <w:r w:rsidRPr="00882F11">
        <w:rPr>
          <w:rFonts w:cs="Guttman Drogolin" w:hint="cs"/>
          <w:rtl/>
          <w:lang w:bidi="he-IL"/>
        </w:rPr>
        <w:lastRenderedPageBreak/>
        <w:t xml:space="preserve">המאכל, דהא הגמ' מקשה למה תהא מחמץ אוסר </w:t>
      </w:r>
      <w:r w:rsidR="00B94DE2" w:rsidRPr="00882F11">
        <w:rPr>
          <w:rFonts w:cs="Guttman Drogolin" w:hint="cs"/>
          <w:rtl/>
          <w:lang w:bidi="he-IL"/>
        </w:rPr>
        <w:t>כיון שאינו נותן טעם בשיעור כזה. הרי שלכאורה מפורש בגמ' שאין הטעם שאסור משום שניכר פעות החימוץ של השאור. אלא שהעיר שם במנח"כ שלכאורה מדברי הרמב"ם בפיהמ"ש למס' ערלה (פ"ב מ"ד, וכן משמע מדבריו ביד החזקה פט"ז מהלכות מאכ"א) יוצא מפורש שטעם האיסור משום שניכר פעולתו, ולדידי' לכאורה קשה מסוגיין. וביאר שם במנח"כ שהרמב"ם וסייעתו ילמדו פשט אחר בגמ', והוא שאמנם מעיקרא ס"ד שטעם האיסור של מחמץ משום טעם החיך, אבל כוונת הגמ' במסקנא ד'שאני שאור שחימוצו קשה'</w:t>
      </w:r>
      <w:r w:rsidRPr="00882F11">
        <w:rPr>
          <w:rFonts w:cs="Guttman Drogolin" w:hint="cs"/>
          <w:rtl/>
          <w:lang w:bidi="he-IL"/>
        </w:rPr>
        <w:t xml:space="preserve"> </w:t>
      </w:r>
      <w:r w:rsidR="00B94DE2" w:rsidRPr="00882F11">
        <w:rPr>
          <w:rFonts w:cs="Guttman Drogolin" w:hint="cs"/>
          <w:rtl/>
          <w:lang w:bidi="he-IL"/>
        </w:rPr>
        <w:t>הוא לומר שאין טעם האיסור של שאור משום טעמו אלא משום פעולתו הניכרת</w:t>
      </w:r>
      <w:r w:rsidR="00B94DE2" w:rsidRPr="00882F11">
        <w:rPr>
          <w:rStyle w:val="FootnoteReference"/>
          <w:rFonts w:cs="Guttman Drogolin"/>
          <w:rtl/>
          <w:lang w:bidi="he-IL"/>
        </w:rPr>
        <w:footnoteReference w:id="58"/>
      </w:r>
      <w:r w:rsidR="00B94DE2" w:rsidRPr="00882F11">
        <w:rPr>
          <w:rFonts w:cs="Guttman Drogolin" w:hint="cs"/>
          <w:rtl/>
          <w:lang w:bidi="he-IL"/>
        </w:rPr>
        <w:t>.</w:t>
      </w:r>
    </w:p>
    <w:p w:rsidR="00D55E20" w:rsidRPr="00882F11" w:rsidRDefault="00C17A11" w:rsidP="00C17A11">
      <w:pPr>
        <w:bidi/>
        <w:jc w:val="both"/>
        <w:rPr>
          <w:rFonts w:cs="Guttman Drogolin"/>
          <w:rtl/>
          <w:lang w:bidi="he-IL"/>
        </w:rPr>
      </w:pPr>
      <w:r w:rsidRPr="00882F11">
        <w:rPr>
          <w:rFonts w:cs="Guttman Drogolin" w:hint="cs"/>
          <w:rtl/>
          <w:lang w:bidi="he-IL"/>
        </w:rPr>
        <w:t>וע"פ הנ"ל חשבתי לומר דבר חידוש. דהנה שיטת רוב האחרונים שהאיסור של מעמיד אינו אלא מדרבנן. אמנם המג"א בסי' תמ"ב ס"ק ט' רצה לומר בדעת הטור שהוא איסור מדאורייתא, שהרי הטור כתב שכיון שהחמץ בעין ע"י זה שהעמיד דבר אחר חייבים לבער אותו. ולפי הנ"ל י"ל שאפילו לשיטת הרמב"ם שטעם האיסור של מחמץ משום שניכר פעולתו, אין זה טעם חדש לאסור חוץ מן הדין של טכ"ע</w:t>
      </w:r>
      <w:r w:rsidR="00410B98" w:rsidRPr="00882F11">
        <w:rPr>
          <w:rStyle w:val="FootnoteReference"/>
          <w:rFonts w:cs="Guttman Drogolin"/>
          <w:rtl/>
          <w:lang w:bidi="he-IL"/>
        </w:rPr>
        <w:footnoteReference w:id="59"/>
      </w:r>
      <w:r w:rsidRPr="00882F11">
        <w:rPr>
          <w:rFonts w:cs="Guttman Drogolin" w:hint="cs"/>
          <w:rtl/>
          <w:lang w:bidi="he-IL"/>
        </w:rPr>
        <w:t>, רק שכיון שניכר פעולתו הרי הוא בכלל טעם</w:t>
      </w:r>
      <w:r w:rsidR="00CF178F" w:rsidRPr="00882F11">
        <w:rPr>
          <w:rStyle w:val="FootnoteReference"/>
          <w:rFonts w:cs="Guttman Drogolin"/>
          <w:rtl/>
          <w:lang w:bidi="he-IL"/>
        </w:rPr>
        <w:footnoteReference w:id="60"/>
      </w:r>
      <w:r w:rsidRPr="00882F11">
        <w:rPr>
          <w:rFonts w:cs="Guttman Drogolin" w:hint="cs"/>
          <w:rtl/>
          <w:lang w:bidi="he-IL"/>
        </w:rPr>
        <w:t>, ודלא כמו שהוכיחו התוס' מן הסוגיא דלקמן</w:t>
      </w:r>
      <w:r w:rsidR="004D27E6" w:rsidRPr="00882F11">
        <w:rPr>
          <w:rFonts w:cs="Guttman Drogolin" w:hint="cs"/>
          <w:rtl/>
          <w:lang w:bidi="he-IL"/>
        </w:rPr>
        <w:t>, וממילא יהא אסור מדאורייתא כשיטת השו"ע דקיי"ל דטכ"ע דאורייתא</w:t>
      </w:r>
      <w:r w:rsidRPr="00882F11">
        <w:rPr>
          <w:rFonts w:cs="Guttman Drogolin" w:hint="cs"/>
          <w:rtl/>
          <w:lang w:bidi="he-IL"/>
        </w:rPr>
        <w:t xml:space="preserve">. וכי תימא דא"כ עדיין תיקשי ממתני' דלקמן שאינו אוסר עור קיבת בהמה להעמיד חלב אא"כ יש נתינת טעם, לכאורה י"ל דכיון שאינו טעם דרך בישול אינו אוסר. וביאור הדבר, שאמנם גם חלב כבוש בבשר אסור מדרבנן, היינו </w:t>
      </w:r>
      <w:r w:rsidRPr="00882F11">
        <w:rPr>
          <w:rFonts w:cs="Guttman Drogolin" w:hint="cs"/>
          <w:rtl/>
          <w:lang w:bidi="he-IL"/>
        </w:rPr>
        <w:lastRenderedPageBreak/>
        <w:t>משום שאע"פ שאינו דרך בישול מ"מ הרי הוא טעם של חיך שהוא מן הסוג שאסרה תורה בבב"ח. אבל שינוי מהות כמו ע"י מעמיד או מחמץ לעולם לא יהא אסור בבב"ח. והתוס' חולקים וסוברים שאילו הי' לו דין טעם בשאר איסורים הי' לנו לאסור גם בבב"ח. ואם כנים הדברים יהא מיושב גם הגמ' שבמס' חולין דף ו' ע"א, דאיתא שם "</w:t>
      </w:r>
      <w:r w:rsidR="004D27E6" w:rsidRPr="00882F11">
        <w:rPr>
          <w:rFonts w:cs="Guttman Drogolin" w:hint="cs"/>
          <w:rtl/>
          <w:lang w:bidi="he-IL"/>
        </w:rPr>
        <w:t>שאני</w:t>
      </w:r>
      <w:r w:rsidR="004D27E6" w:rsidRPr="00882F11">
        <w:rPr>
          <w:rFonts w:cs="Guttman Drogolin"/>
          <w:rtl/>
          <w:lang w:bidi="he-IL"/>
        </w:rPr>
        <w:t xml:space="preserve"> </w:t>
      </w:r>
      <w:r w:rsidR="004D27E6" w:rsidRPr="00882F11">
        <w:rPr>
          <w:rFonts w:cs="Guttman Drogolin" w:hint="cs"/>
          <w:rtl/>
          <w:lang w:bidi="he-IL"/>
        </w:rPr>
        <w:t>שאור</w:t>
      </w:r>
      <w:r w:rsidR="004D27E6" w:rsidRPr="00882F11">
        <w:rPr>
          <w:rFonts w:cs="Guttman Drogolin"/>
          <w:rtl/>
          <w:lang w:bidi="he-IL"/>
        </w:rPr>
        <w:t xml:space="preserve"> </w:t>
      </w:r>
      <w:r w:rsidR="004D27E6" w:rsidRPr="00882F11">
        <w:rPr>
          <w:rFonts w:cs="Guttman Drogolin" w:hint="cs"/>
          <w:rtl/>
          <w:lang w:bidi="he-IL"/>
        </w:rPr>
        <w:t>ותבלין</w:t>
      </w:r>
      <w:r w:rsidR="004D27E6" w:rsidRPr="00882F11">
        <w:rPr>
          <w:rFonts w:cs="Guttman Drogolin"/>
          <w:rtl/>
          <w:lang w:bidi="he-IL"/>
        </w:rPr>
        <w:t xml:space="preserve"> </w:t>
      </w:r>
      <w:r w:rsidR="004D27E6" w:rsidRPr="00882F11">
        <w:rPr>
          <w:rFonts w:cs="Guttman Drogolin" w:hint="cs"/>
          <w:rtl/>
          <w:lang w:bidi="he-IL"/>
        </w:rPr>
        <w:t>דלטעמא</w:t>
      </w:r>
      <w:r w:rsidR="004D27E6" w:rsidRPr="00882F11">
        <w:rPr>
          <w:rFonts w:cs="Guttman Drogolin"/>
          <w:rtl/>
          <w:lang w:bidi="he-IL"/>
        </w:rPr>
        <w:t xml:space="preserve"> </w:t>
      </w:r>
      <w:r w:rsidR="004D27E6" w:rsidRPr="00882F11">
        <w:rPr>
          <w:rFonts w:cs="Guttman Drogolin" w:hint="cs"/>
          <w:rtl/>
          <w:lang w:bidi="he-IL"/>
        </w:rPr>
        <w:t>עביד</w:t>
      </w:r>
      <w:r w:rsidR="004D27E6" w:rsidRPr="00882F11">
        <w:rPr>
          <w:rFonts w:cs="Guttman Drogolin"/>
          <w:rtl/>
          <w:lang w:bidi="he-IL"/>
        </w:rPr>
        <w:t xml:space="preserve"> </w:t>
      </w:r>
      <w:r w:rsidR="004D27E6" w:rsidRPr="00882F11">
        <w:rPr>
          <w:rFonts w:cs="Guttman Drogolin" w:hint="cs"/>
          <w:rtl/>
          <w:lang w:bidi="he-IL"/>
        </w:rPr>
        <w:t>וטעמא</w:t>
      </w:r>
      <w:r w:rsidR="004D27E6" w:rsidRPr="00882F11">
        <w:rPr>
          <w:rFonts w:cs="Guttman Drogolin"/>
          <w:rtl/>
          <w:lang w:bidi="he-IL"/>
        </w:rPr>
        <w:t xml:space="preserve"> </w:t>
      </w:r>
      <w:r w:rsidR="004D27E6" w:rsidRPr="00882F11">
        <w:rPr>
          <w:rFonts w:cs="Guttman Drogolin" w:hint="cs"/>
          <w:rtl/>
          <w:lang w:bidi="he-IL"/>
        </w:rPr>
        <w:t>לא</w:t>
      </w:r>
      <w:r w:rsidR="004D27E6" w:rsidRPr="00882F11">
        <w:rPr>
          <w:rFonts w:cs="Guttman Drogolin"/>
          <w:rtl/>
          <w:lang w:bidi="he-IL"/>
        </w:rPr>
        <w:t xml:space="preserve"> </w:t>
      </w:r>
      <w:r w:rsidR="004D27E6" w:rsidRPr="00882F11">
        <w:rPr>
          <w:rFonts w:cs="Guttman Drogolin" w:hint="cs"/>
          <w:rtl/>
          <w:lang w:bidi="he-IL"/>
        </w:rPr>
        <w:t>בטיל" שלכאורה משמע מיני' שטעם האיסור של שאור משום טעמו ולא משום היכר פעולתו. אבל לפי הנ"ל י"ל שהיכר פעולתו אסור משום שחשוב כטעמו ומובן היטב הגמ' הנ"ל.</w:t>
      </w:r>
    </w:p>
    <w:p w:rsidR="00BC1B9F" w:rsidRPr="00882F11" w:rsidRDefault="00BC1B9F" w:rsidP="00BC1B9F">
      <w:pPr>
        <w:bidi/>
        <w:jc w:val="both"/>
        <w:rPr>
          <w:rFonts w:cs="Guttman Drogolin"/>
          <w:rtl/>
          <w:lang w:bidi="he-IL"/>
        </w:rPr>
      </w:pPr>
      <w:r w:rsidRPr="00882F11">
        <w:rPr>
          <w:rFonts w:cs="Guttman Drogolin" w:hint="cs"/>
          <w:rtl/>
          <w:lang w:bidi="he-IL"/>
        </w:rPr>
        <w:t xml:space="preserve">ואסיים עם מש"כ הריטב"א, והוא שהטעם שאין מחמץ אוסר משום היכר פעולתו אין זה משום שאין לאסור משום היכר פעולתו, רק משום שהשאור אינו מחמץ אלא החלק הראשון שלידו, והשאר הוא משום שהחולין עצמו מתעורר עם כח לחמץ את שלידו, ויוצא שאין השאור עושה אלא חלק קטן של החימוץ אבל עיקר החימוץ הוא ע"י היתר. </w:t>
      </w:r>
    </w:p>
    <w:p w:rsidR="00D55E20" w:rsidRPr="00882F11" w:rsidRDefault="00D55E20" w:rsidP="0078079C">
      <w:pPr>
        <w:pStyle w:val="Heading1"/>
        <w:bidi/>
        <w:spacing w:before="0" w:line="360" w:lineRule="auto"/>
        <w:jc w:val="center"/>
        <w:rPr>
          <w:rFonts w:cs="Guttman Drogolin"/>
          <w:color w:val="auto"/>
          <w:sz w:val="24"/>
          <w:szCs w:val="24"/>
          <w:u w:val="single"/>
          <w:rtl/>
          <w:lang w:bidi="he-IL"/>
        </w:rPr>
      </w:pPr>
      <w:bookmarkStart w:id="48" w:name="_Toc496175312"/>
      <w:r w:rsidRPr="00882F11">
        <w:rPr>
          <w:rFonts w:cs="Guttman Drogolin" w:hint="cs"/>
          <w:color w:val="auto"/>
          <w:sz w:val="24"/>
          <w:szCs w:val="24"/>
          <w:u w:val="single"/>
          <w:rtl/>
          <w:lang w:bidi="he-IL"/>
        </w:rPr>
        <w:t>מין במינו באיסור דרבנן אליבא דר' יהודה</w:t>
      </w:r>
      <w:bookmarkEnd w:id="48"/>
    </w:p>
    <w:p w:rsidR="00BC1B9F" w:rsidRPr="00882F11" w:rsidRDefault="00E72590" w:rsidP="00D55E20">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מין במינו</w:instrText>
      </w:r>
      <w:r w:rsidRPr="00882F11">
        <w:rPr>
          <w:rFonts w:cs="Guttman Drogolin"/>
          <w:rtl/>
        </w:rPr>
        <w:instrText>:</w:instrText>
      </w:r>
      <w:r w:rsidRPr="00882F11">
        <w:rPr>
          <w:rFonts w:cs="Guttman Drogolin" w:hint="cs"/>
          <w:rtl/>
          <w:lang w:bidi="he-IL"/>
        </w:rPr>
        <w:instrText>באיסור דרבנן</w:instrText>
      </w:r>
      <w:r w:rsidRPr="00882F11">
        <w:rPr>
          <w:rFonts w:cs="Guttman Drogolin"/>
        </w:rPr>
        <w:instrText xml:space="preserve">" </w:instrText>
      </w:r>
      <w:r w:rsidRPr="00882F11">
        <w:rPr>
          <w:rFonts w:cs="Guttman Drogolin"/>
          <w:rtl/>
          <w:lang w:bidi="he-IL"/>
        </w:rPr>
        <w:fldChar w:fldCharType="end"/>
      </w:r>
      <w:r w:rsidR="00D55E20" w:rsidRPr="00882F11">
        <w:rPr>
          <w:rFonts w:cs="Guttman Drogolin" w:hint="cs"/>
          <w:rtl/>
          <w:lang w:bidi="he-IL"/>
        </w:rPr>
        <w:t>בסוף הסוגיא שואלת הגמ' למה בציר צריכים שיעור לאסור אליבא דר' יהודה, הא ר' יהודה סבר דמין במינו לא בטל. ומתרצת הגמ' דשאני ציר דזיעה בעלמא הוא. והתוס' מבארים שאין ציר דגים אסור אלא מדרבנן, וע' בחי' הרשב"א שעשה מזה כלל שלא אמר ר' יהודה שמין</w:t>
      </w:r>
      <w:r w:rsidR="00BC1B9F" w:rsidRPr="00882F11">
        <w:rPr>
          <w:rFonts w:cs="Guttman Drogolin" w:hint="cs"/>
          <w:rtl/>
          <w:lang w:bidi="he-IL"/>
        </w:rPr>
        <w:t xml:space="preserve"> במינו לא בטל אלא באיסורים דאורייתא אבל לא בדרבנן. אמנם יעוין בריטב"א שכתב שיתכן שגם איסורים דרבנן אוסרים במשהו אליבא דר' יהודה, אבל זיעה איסור קלוש הוא ולכן אינו אוסר במשהו אליבא דר' יהודה.</w:t>
      </w:r>
    </w:p>
    <w:p w:rsidR="00BC1B9F" w:rsidRPr="00882F11" w:rsidRDefault="00BC1B9F" w:rsidP="0078079C">
      <w:pPr>
        <w:pStyle w:val="Heading1"/>
        <w:bidi/>
        <w:spacing w:before="0" w:line="360" w:lineRule="auto"/>
        <w:jc w:val="center"/>
        <w:rPr>
          <w:rFonts w:cs="Guttman Drogolin"/>
          <w:color w:val="auto"/>
          <w:sz w:val="24"/>
          <w:szCs w:val="24"/>
          <w:u w:val="single"/>
          <w:rtl/>
          <w:lang w:bidi="he-IL"/>
        </w:rPr>
      </w:pPr>
      <w:bookmarkStart w:id="49" w:name="_Toc496175313"/>
      <w:r w:rsidRPr="00882F11">
        <w:rPr>
          <w:rFonts w:cs="Guttman Drogolin" w:hint="cs"/>
          <w:color w:val="auto"/>
          <w:sz w:val="24"/>
          <w:szCs w:val="24"/>
          <w:u w:val="single"/>
          <w:rtl/>
          <w:lang w:bidi="he-IL"/>
        </w:rPr>
        <w:lastRenderedPageBreak/>
        <w:t>בביאור המחלוקת אם יש בגידין בנותן טעם או אין בגידין בנותן טעם</w:t>
      </w:r>
      <w:bookmarkEnd w:id="49"/>
    </w:p>
    <w:p w:rsidR="00CB04D2" w:rsidRPr="00882F11" w:rsidRDefault="00E72590" w:rsidP="00732A21">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טעם כעיקר</w:instrText>
      </w:r>
      <w:r w:rsidRPr="00882F11">
        <w:rPr>
          <w:rFonts w:cs="Guttman Drogolin"/>
          <w:rtl/>
        </w:rPr>
        <w:instrText>:</w:instrText>
      </w:r>
      <w:r w:rsidRPr="00882F11">
        <w:rPr>
          <w:rFonts w:cs="Guttman Drogolin" w:hint="cs"/>
          <w:rtl/>
          <w:lang w:bidi="he-IL"/>
        </w:rPr>
        <w:instrText>בדין אם יש בגידין בניתן טעם</w:instrText>
      </w:r>
      <w:r w:rsidRPr="00882F11">
        <w:rPr>
          <w:rFonts w:cs="Guttman Drogolin"/>
        </w:rPr>
        <w:instrText xml:space="preserve">" </w:instrText>
      </w:r>
      <w:r w:rsidRPr="00882F11">
        <w:rPr>
          <w:rFonts w:cs="Guttman Drogolin"/>
          <w:rtl/>
          <w:lang w:bidi="he-IL"/>
        </w:rPr>
        <w:fldChar w:fldCharType="end"/>
      </w: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אם יש בגידין בנותן טעם</w:instrText>
      </w:r>
      <w:r w:rsidRPr="00882F11">
        <w:rPr>
          <w:rFonts w:cs="Guttman Drogolin"/>
          <w:rtl/>
        </w:rPr>
        <w:instrText>:</w:instrText>
      </w:r>
      <w:r w:rsidRPr="00882F11">
        <w:rPr>
          <w:rFonts w:cs="Guttman Drogolin" w:hint="cs"/>
          <w:rtl/>
          <w:lang w:bidi="he-IL"/>
        </w:rPr>
        <w:instrText>ביור המחלוקת</w:instrText>
      </w:r>
      <w:r w:rsidRPr="00882F11">
        <w:rPr>
          <w:rFonts w:cs="Guttman Drogolin"/>
        </w:rPr>
        <w:instrText xml:space="preserve">" </w:instrText>
      </w:r>
      <w:r w:rsidRPr="00882F11">
        <w:rPr>
          <w:rFonts w:cs="Guttman Drogolin"/>
          <w:rtl/>
          <w:lang w:bidi="he-IL"/>
        </w:rPr>
        <w:fldChar w:fldCharType="end"/>
      </w:r>
      <w:r w:rsidR="00BC1B9F" w:rsidRPr="00882F11">
        <w:rPr>
          <w:rFonts w:cs="Guttman Drogolin" w:hint="cs"/>
          <w:rtl/>
          <w:lang w:bidi="he-IL"/>
        </w:rPr>
        <w:t>מבואר בגמ' שיש מחלוקת עם יש בגידין בנ"ט או לא</w:t>
      </w:r>
      <w:r w:rsidR="0019474C" w:rsidRPr="00882F11">
        <w:rPr>
          <w:rFonts w:cs="Guttman Drogolin" w:hint="cs"/>
          <w:rtl/>
          <w:lang w:bidi="he-IL"/>
        </w:rPr>
        <w:t>. ובמתני' שלנו מבואר שיש בגידין</w:t>
      </w:r>
      <w:r w:rsidR="00BC1B9F" w:rsidRPr="00882F11">
        <w:rPr>
          <w:rFonts w:cs="Guttman Drogolin" w:hint="cs"/>
          <w:rtl/>
          <w:lang w:bidi="he-IL"/>
        </w:rPr>
        <w:t xml:space="preserve"> בנ"ט, אבל קיי"ל שאין בגידין בנ"ט. ויעוין ברשב"א לעיל בדף צ"ב ע"ב שהעיר שלכאורה איך יתכן שיש בזה מחלוקת הא זהו מחלוקת במציאות. והמקובל לומר בזה הוא שיש טעם לגידין, רק שטעם קלוש הוא, ונחלקו אם לטעם קלוש כזה יש דין טעם לאסור או לא. ולכאורה בזה יש ליישב עוד דבר, והוא דשיטת הרשב"א היא </w:t>
      </w:r>
      <w:r w:rsidR="0067429F" w:rsidRPr="00882F11">
        <w:rPr>
          <w:rFonts w:cs="Guttman Drogolin" w:hint="cs"/>
          <w:rtl/>
          <w:lang w:bidi="he-IL"/>
        </w:rPr>
        <w:t>דהא דאין גידין אוסרין הנ"מ כשאין בתערובת אלא טעם, אבל אם נימוח עצם הגיד צריכים ששים.</w:t>
      </w:r>
      <w:r w:rsidR="00732A21" w:rsidRPr="00882F11">
        <w:rPr>
          <w:rFonts w:cs="Guttman Drogolin" w:hint="cs"/>
          <w:rtl/>
          <w:lang w:bidi="he-IL"/>
        </w:rPr>
        <w:t xml:space="preserve"> ולפי הנ"ל י"ל שיש היכר טעם אפילו בגידין למ"ד אין בגידין בנ"ט, דהא טעם קלוש יש. ולכן בטעמו וממשו עדיין יהא אסור משום שניכר ע"י הטעם. אבל טעם בלבד ואינו אוסר כיון שהוא טעם קלוש</w:t>
      </w:r>
      <w:r w:rsidR="00766845" w:rsidRPr="00882F11">
        <w:rPr>
          <w:rStyle w:val="FootnoteReference"/>
          <w:rFonts w:cs="Guttman Drogolin"/>
          <w:rtl/>
          <w:lang w:bidi="he-IL"/>
        </w:rPr>
        <w:footnoteReference w:id="61"/>
      </w:r>
      <w:r w:rsidR="00732A21" w:rsidRPr="00882F11">
        <w:rPr>
          <w:rFonts w:cs="Guttman Drogolin" w:hint="cs"/>
          <w:rtl/>
          <w:lang w:bidi="he-IL"/>
        </w:rPr>
        <w:t>.</w:t>
      </w:r>
    </w:p>
    <w:p w:rsidR="00CB04D2" w:rsidRPr="00882F11" w:rsidRDefault="00CB04D2" w:rsidP="00CB04D2">
      <w:pPr>
        <w:bidi/>
        <w:jc w:val="both"/>
        <w:rPr>
          <w:rFonts w:cs="Guttman Drogolin"/>
          <w:b/>
          <w:bCs/>
          <w:u w:val="single"/>
          <w:rtl/>
          <w:lang w:bidi="he-IL"/>
        </w:rPr>
      </w:pPr>
      <w:r w:rsidRPr="00882F11">
        <w:rPr>
          <w:rFonts w:cs="Guttman Drogolin" w:hint="cs"/>
          <w:b/>
          <w:bCs/>
          <w:u w:val="single"/>
          <w:rtl/>
          <w:lang w:bidi="he-IL"/>
        </w:rPr>
        <w:t>מראה מקומות לסוגיא של ביטול יבש ביבש</w:t>
      </w:r>
    </w:p>
    <w:p w:rsidR="00CB04D2" w:rsidRPr="00882F11" w:rsidRDefault="00CB04D2" w:rsidP="00CB04D2">
      <w:pPr>
        <w:bidi/>
        <w:spacing w:after="0"/>
        <w:jc w:val="both"/>
        <w:rPr>
          <w:rFonts w:cs="Guttman Drogolin"/>
          <w:rtl/>
          <w:lang w:bidi="he-IL"/>
        </w:rPr>
      </w:pPr>
      <w:r w:rsidRPr="00882F11">
        <w:rPr>
          <w:rFonts w:cs="Guttman Drogolin" w:hint="cs"/>
          <w:rtl/>
          <w:lang w:bidi="he-IL"/>
        </w:rPr>
        <w:t>רא"ש אות ל"ז</w:t>
      </w:r>
    </w:p>
    <w:p w:rsidR="00883D95" w:rsidRPr="00882F11" w:rsidRDefault="00883D95" w:rsidP="009D7B8E">
      <w:pPr>
        <w:bidi/>
        <w:spacing w:after="0"/>
        <w:jc w:val="both"/>
        <w:rPr>
          <w:rFonts w:cs="Guttman Drogolin"/>
          <w:rtl/>
          <w:lang w:bidi="he-IL"/>
        </w:rPr>
      </w:pPr>
      <w:r w:rsidRPr="00882F11">
        <w:rPr>
          <w:rFonts w:cs="Guttman Drogolin" w:hint="cs"/>
          <w:rtl/>
          <w:lang w:bidi="he-IL"/>
        </w:rPr>
        <w:t>רשב"א בתוה"ב</w:t>
      </w:r>
      <w:r w:rsidR="009D7B8E" w:rsidRPr="00882F11">
        <w:rPr>
          <w:rFonts w:cs="Guttman Drogolin" w:hint="cs"/>
          <w:rtl/>
          <w:lang w:bidi="he-IL"/>
        </w:rPr>
        <w:t xml:space="preserve"> ב"ד ש"א </w:t>
      </w:r>
      <w:r w:rsidR="009D7B8E" w:rsidRPr="00882F11">
        <w:rPr>
          <w:rFonts w:cs="Guttman Drogolin"/>
          <w:rtl/>
          <w:lang w:bidi="he-IL"/>
        </w:rPr>
        <w:t>–</w:t>
      </w:r>
      <w:r w:rsidR="009D7B8E" w:rsidRPr="00882F11">
        <w:rPr>
          <w:rFonts w:cs="Guttman Drogolin" w:hint="cs"/>
          <w:rtl/>
          <w:lang w:bidi="he-IL"/>
        </w:rPr>
        <w:t xml:space="preserve"> עמוד י"ז ע"א בדפוס ישן)</w:t>
      </w:r>
    </w:p>
    <w:p w:rsidR="00883D95" w:rsidRPr="00882F11" w:rsidRDefault="00883D95" w:rsidP="00883D95">
      <w:pPr>
        <w:bidi/>
        <w:spacing w:after="0"/>
        <w:jc w:val="both"/>
        <w:rPr>
          <w:rFonts w:cs="Guttman Drogolin"/>
          <w:rtl/>
          <w:lang w:bidi="he-IL"/>
        </w:rPr>
      </w:pPr>
      <w:r w:rsidRPr="00882F11">
        <w:rPr>
          <w:rFonts w:cs="Guttman Drogolin" w:hint="cs"/>
          <w:rtl/>
          <w:lang w:bidi="he-IL"/>
        </w:rPr>
        <w:t>שו"ת הרשב"א</w:t>
      </w:r>
      <w:r w:rsidR="009D7B8E" w:rsidRPr="00882F11">
        <w:rPr>
          <w:rFonts w:cs="Guttman Drogolin" w:hint="cs"/>
          <w:rtl/>
          <w:lang w:bidi="he-IL"/>
        </w:rPr>
        <w:t xml:space="preserve"> סי' רע"ב</w:t>
      </w:r>
    </w:p>
    <w:p w:rsidR="0061232C" w:rsidRPr="00882F11" w:rsidRDefault="00F566A6" w:rsidP="00F566A6">
      <w:pPr>
        <w:bidi/>
        <w:spacing w:after="0"/>
        <w:jc w:val="both"/>
        <w:rPr>
          <w:rFonts w:cs="Guttman Drogolin"/>
          <w:rtl/>
          <w:lang w:bidi="he-IL"/>
        </w:rPr>
      </w:pPr>
      <w:r w:rsidRPr="00882F11">
        <w:rPr>
          <w:rFonts w:cs="Guttman Drogolin" w:hint="cs"/>
          <w:rtl/>
          <w:lang w:bidi="he-IL"/>
        </w:rPr>
        <w:t>תוס' רי"ד במס' ב"ב דף ל"א</w:t>
      </w:r>
      <w:r w:rsidR="00883D95" w:rsidRPr="00882F11">
        <w:rPr>
          <w:rFonts w:cs="Guttman Drogolin" w:hint="cs"/>
          <w:rtl/>
          <w:lang w:bidi="he-IL"/>
        </w:rPr>
        <w:t xml:space="preserve"> ע"</w:t>
      </w:r>
      <w:r w:rsidRPr="00882F11">
        <w:rPr>
          <w:rFonts w:cs="Guttman Drogolin" w:hint="cs"/>
          <w:rtl/>
          <w:lang w:bidi="he-IL"/>
        </w:rPr>
        <w:t>ב</w:t>
      </w:r>
      <w:r w:rsidR="0067429F" w:rsidRPr="00882F11">
        <w:rPr>
          <w:rFonts w:cs="Guttman Drogolin" w:hint="cs"/>
          <w:rtl/>
          <w:lang w:bidi="he-IL"/>
        </w:rPr>
        <w:t xml:space="preserve"> </w:t>
      </w:r>
      <w:r w:rsidR="00BC1B9F" w:rsidRPr="00882F11">
        <w:rPr>
          <w:rFonts w:cs="Guttman Drogolin" w:hint="cs"/>
          <w:rtl/>
          <w:lang w:bidi="he-IL"/>
        </w:rPr>
        <w:t xml:space="preserve"> </w:t>
      </w:r>
      <w:r w:rsidR="00C17A11" w:rsidRPr="00882F11">
        <w:rPr>
          <w:rFonts w:cs="Guttman Drogolin" w:hint="cs"/>
          <w:rtl/>
          <w:lang w:bidi="he-IL"/>
        </w:rPr>
        <w:t xml:space="preserve"> </w:t>
      </w:r>
      <w:r w:rsidR="00B94DE2" w:rsidRPr="00882F11">
        <w:rPr>
          <w:rFonts w:cs="Guttman Drogolin" w:hint="cs"/>
          <w:rtl/>
          <w:lang w:bidi="he-IL"/>
        </w:rPr>
        <w:t xml:space="preserve"> </w:t>
      </w:r>
      <w:r w:rsidR="00CB26D3" w:rsidRPr="00882F11">
        <w:rPr>
          <w:rFonts w:cs="Guttman Drogolin" w:hint="cs"/>
          <w:rtl/>
          <w:lang w:bidi="he-IL"/>
        </w:rPr>
        <w:t xml:space="preserve"> </w:t>
      </w:r>
      <w:r w:rsidR="00BC76C1" w:rsidRPr="00882F11">
        <w:rPr>
          <w:rFonts w:cs="Guttman Drogolin" w:hint="cs"/>
          <w:rtl/>
          <w:lang w:bidi="he-IL"/>
        </w:rPr>
        <w:t xml:space="preserve">  </w:t>
      </w:r>
      <w:r w:rsidR="0041712E" w:rsidRPr="00882F11">
        <w:rPr>
          <w:rFonts w:cs="Guttman Drogolin" w:hint="cs"/>
          <w:rtl/>
          <w:lang w:bidi="he-IL"/>
        </w:rPr>
        <w:t xml:space="preserve"> </w:t>
      </w:r>
      <w:r w:rsidR="00902FC1" w:rsidRPr="00882F11">
        <w:rPr>
          <w:rFonts w:cs="Guttman Drogolin" w:hint="cs"/>
          <w:rtl/>
          <w:lang w:bidi="he-IL"/>
        </w:rPr>
        <w:t xml:space="preserve">   </w:t>
      </w:r>
      <w:r w:rsidR="00902FC1" w:rsidRPr="00882F11">
        <w:rPr>
          <w:rFonts w:cs="Guttman Drogolin"/>
          <w:rtl/>
          <w:lang w:bidi="he-IL"/>
        </w:rPr>
        <w:t xml:space="preserve"> </w:t>
      </w:r>
      <w:r w:rsidR="00D154F0" w:rsidRPr="00882F11">
        <w:rPr>
          <w:rFonts w:cs="Guttman Drogolin" w:hint="cs"/>
          <w:rtl/>
          <w:lang w:bidi="he-IL"/>
        </w:rPr>
        <w:t xml:space="preserve"> </w:t>
      </w:r>
      <w:r w:rsidR="00924558" w:rsidRPr="00882F11">
        <w:rPr>
          <w:rFonts w:cs="Guttman Drogolin" w:hint="cs"/>
          <w:rtl/>
          <w:lang w:bidi="he-IL"/>
        </w:rPr>
        <w:t xml:space="preserve"> </w:t>
      </w:r>
      <w:r w:rsidR="006C09EF" w:rsidRPr="00882F11">
        <w:rPr>
          <w:rFonts w:cs="Guttman Drogolin" w:hint="cs"/>
          <w:rtl/>
          <w:lang w:bidi="he-IL"/>
        </w:rPr>
        <w:t xml:space="preserve">  </w:t>
      </w:r>
      <w:r w:rsidR="000127A4" w:rsidRPr="00882F11">
        <w:rPr>
          <w:rFonts w:cs="Guttman Drogolin" w:hint="cs"/>
          <w:rtl/>
          <w:lang w:bidi="he-IL"/>
        </w:rPr>
        <w:t xml:space="preserve"> </w:t>
      </w:r>
      <w:r w:rsidR="000E3057" w:rsidRPr="00882F11">
        <w:rPr>
          <w:rFonts w:cs="Guttman Drogolin" w:hint="cs"/>
          <w:rtl/>
          <w:lang w:bidi="he-IL"/>
        </w:rPr>
        <w:t xml:space="preserve"> </w:t>
      </w:r>
    </w:p>
    <w:p w:rsidR="00C64BB6" w:rsidRPr="00882F11" w:rsidRDefault="009D7B8E" w:rsidP="0061232C">
      <w:pPr>
        <w:bidi/>
        <w:jc w:val="both"/>
        <w:rPr>
          <w:rFonts w:cs="Guttman Drogolin"/>
          <w:rtl/>
          <w:lang w:bidi="he-IL"/>
        </w:rPr>
      </w:pPr>
      <w:r w:rsidRPr="00882F11">
        <w:rPr>
          <w:rFonts w:cs="Guttman Drogolin" w:hint="cs"/>
          <w:sz w:val="18"/>
          <w:szCs w:val="18"/>
          <w:rtl/>
          <w:lang w:bidi="he-IL"/>
        </w:rPr>
        <w:t>פת"ש רסי' ק"ט</w:t>
      </w:r>
      <w:r w:rsidR="008F6C31" w:rsidRPr="00882F11">
        <w:rPr>
          <w:rFonts w:cs="Guttman Drogolin" w:hint="cs"/>
          <w:rtl/>
          <w:lang w:bidi="he-IL"/>
        </w:rPr>
        <w:t xml:space="preserve"> </w:t>
      </w:r>
      <w:r w:rsidR="00EF1BD2" w:rsidRPr="00882F11">
        <w:rPr>
          <w:rFonts w:cs="Guttman Drogolin" w:hint="cs"/>
          <w:rtl/>
          <w:lang w:bidi="he-IL"/>
        </w:rPr>
        <w:t xml:space="preserve"> </w:t>
      </w:r>
      <w:r w:rsidR="00C64BB6" w:rsidRPr="00882F11">
        <w:rPr>
          <w:rFonts w:cs="Guttman Drogolin"/>
          <w:rtl/>
          <w:lang w:bidi="he-IL"/>
        </w:rPr>
        <w:t xml:space="preserve"> </w:t>
      </w:r>
      <w:r w:rsidR="00C64BB6" w:rsidRPr="00882F11">
        <w:rPr>
          <w:rFonts w:cs="Guttman Drogolin" w:hint="cs"/>
          <w:rtl/>
          <w:lang w:bidi="he-IL"/>
        </w:rPr>
        <w:t xml:space="preserve">   </w:t>
      </w:r>
    </w:p>
    <w:p w:rsidR="0053411E" w:rsidRPr="00882F11" w:rsidRDefault="0053411E" w:rsidP="000E11CC">
      <w:pPr>
        <w:bidi/>
        <w:jc w:val="both"/>
        <w:rPr>
          <w:rFonts w:cs="Guttman Drogolin"/>
          <w:rtl/>
          <w:lang w:bidi="he-IL"/>
        </w:rPr>
        <w:sectPr w:rsidR="0053411E" w:rsidRPr="00882F11" w:rsidSect="00102811">
          <w:type w:val="continuous"/>
          <w:pgSz w:w="11907" w:h="16839" w:code="9"/>
          <w:pgMar w:top="1440" w:right="1440" w:bottom="1440" w:left="1440" w:header="720" w:footer="720" w:gutter="0"/>
          <w:cols w:num="2" w:space="720"/>
          <w:bidi/>
          <w:docGrid w:linePitch="360"/>
        </w:sectPr>
      </w:pPr>
    </w:p>
    <w:p w:rsidR="0053411E" w:rsidRPr="00882F11" w:rsidRDefault="0053411E" w:rsidP="0053411E">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י"ב</w:t>
      </w:r>
    </w:p>
    <w:p w:rsidR="00102811" w:rsidRDefault="00102811" w:rsidP="00102811">
      <w:pPr>
        <w:pStyle w:val="Heading1"/>
        <w:bidi/>
        <w:spacing w:before="0" w:line="240" w:lineRule="auto"/>
        <w:jc w:val="center"/>
        <w:rPr>
          <w:rFonts w:cs="Guttman Drogolin"/>
          <w:color w:val="auto"/>
          <w:sz w:val="24"/>
          <w:szCs w:val="24"/>
          <w:u w:val="single"/>
          <w:rtl/>
          <w:lang w:bidi="he-IL"/>
        </w:rPr>
        <w:sectPr w:rsidR="00102811" w:rsidSect="00102811">
          <w:headerReference w:type="default" r:id="rId19"/>
          <w:pgSz w:w="11907" w:h="16839" w:code="9"/>
          <w:pgMar w:top="1440" w:right="1440" w:bottom="1440" w:left="1440" w:header="720" w:footer="720" w:gutter="0"/>
          <w:cols w:space="720"/>
          <w:bidi/>
          <w:docGrid w:linePitch="360"/>
        </w:sectPr>
      </w:pPr>
    </w:p>
    <w:p w:rsidR="0053411E" w:rsidRPr="00882F11" w:rsidRDefault="0053411E" w:rsidP="00102811">
      <w:pPr>
        <w:pStyle w:val="Heading1"/>
        <w:bidi/>
        <w:spacing w:before="0" w:line="240" w:lineRule="auto"/>
        <w:jc w:val="center"/>
        <w:rPr>
          <w:rFonts w:cs="Guttman Drogolin"/>
          <w:color w:val="auto"/>
          <w:sz w:val="24"/>
          <w:szCs w:val="24"/>
          <w:u w:val="single"/>
          <w:rtl/>
          <w:lang w:bidi="he-IL"/>
        </w:rPr>
      </w:pPr>
      <w:bookmarkStart w:id="50" w:name="_Toc496175314"/>
      <w:r w:rsidRPr="00882F11">
        <w:rPr>
          <w:rFonts w:cs="Guttman Drogolin" w:hint="cs"/>
          <w:color w:val="auto"/>
          <w:sz w:val="24"/>
          <w:szCs w:val="24"/>
          <w:u w:val="single"/>
          <w:rtl/>
          <w:lang w:bidi="he-IL"/>
        </w:rPr>
        <w:lastRenderedPageBreak/>
        <w:t>בדינא דביטול יבש יבש ועיקר הכלל דאזלינן בתר רובא</w:t>
      </w:r>
      <w:bookmarkEnd w:id="50"/>
    </w:p>
    <w:p w:rsidR="005F30E9" w:rsidRPr="00882F11" w:rsidRDefault="00F13E10" w:rsidP="0053411E">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ביטול יבש ביבש</w:instrText>
      </w:r>
      <w:r w:rsidRPr="00882F11">
        <w:rPr>
          <w:rFonts w:cs="Guttman Drogolin"/>
          <w:rtl/>
        </w:rPr>
        <w:instrText>:</w:instrText>
      </w:r>
      <w:r w:rsidRPr="00882F11">
        <w:rPr>
          <w:rFonts w:cs="Guttman Drogolin" w:hint="cs"/>
          <w:rtl/>
          <w:lang w:bidi="he-IL"/>
        </w:rPr>
        <w:instrText>סוגיית הגמרא</w:instrText>
      </w:r>
      <w:r w:rsidRPr="00882F11">
        <w:rPr>
          <w:rFonts w:cs="Guttman Drogolin"/>
        </w:rPr>
        <w:instrText xml:space="preserve">" </w:instrText>
      </w:r>
      <w:r w:rsidRPr="00882F11">
        <w:rPr>
          <w:rFonts w:cs="Guttman Drogolin"/>
          <w:rtl/>
          <w:lang w:bidi="he-IL"/>
        </w:rPr>
        <w:fldChar w:fldCharType="end"/>
      </w: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ביט</w:instrText>
      </w:r>
      <w:r w:rsidR="00DF48A6">
        <w:rPr>
          <w:rFonts w:cs="Guttman Drogolin" w:hint="cs"/>
          <w:rtl/>
          <w:lang w:bidi="he-IL"/>
        </w:rPr>
        <w:instrText>ו</w:instrText>
      </w:r>
      <w:r w:rsidRPr="00882F11">
        <w:rPr>
          <w:rFonts w:cs="Guttman Drogolin" w:hint="cs"/>
          <w:rtl/>
          <w:lang w:bidi="he-IL"/>
        </w:rPr>
        <w:instrText>ל יבש ביבש</w:instrText>
      </w:r>
      <w:r w:rsidRPr="00882F11">
        <w:rPr>
          <w:rFonts w:cs="Guttman Drogolin"/>
        </w:rPr>
        <w:instrText>" \t "</w:instrText>
      </w:r>
      <w:r w:rsidRPr="00882F11">
        <w:rPr>
          <w:rFonts w:cs="Guttman Drogolin" w:hint="cs"/>
          <w:i/>
          <w:rtl/>
          <w:lang w:bidi="he-IL"/>
        </w:rPr>
        <w:instrText>ע' גם ביטול ברוב</w:instrText>
      </w:r>
      <w:r w:rsidRPr="00882F11">
        <w:rPr>
          <w:rFonts w:cs="Guttman Drogolin"/>
        </w:rPr>
        <w:instrText xml:space="preserve">" </w:instrText>
      </w:r>
      <w:r w:rsidRPr="00882F11">
        <w:rPr>
          <w:rFonts w:cs="Guttman Drogolin"/>
          <w:rtl/>
          <w:lang w:bidi="he-IL"/>
        </w:rPr>
        <w:fldChar w:fldCharType="end"/>
      </w: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ביט</w:instrText>
      </w:r>
      <w:r w:rsidR="00DF48A6">
        <w:rPr>
          <w:rFonts w:cs="Guttman Drogolin" w:hint="cs"/>
          <w:rtl/>
          <w:lang w:bidi="he-IL"/>
        </w:rPr>
        <w:instrText>ו</w:instrText>
      </w:r>
      <w:r w:rsidRPr="00882F11">
        <w:rPr>
          <w:rFonts w:cs="Guttman Drogolin" w:hint="cs"/>
          <w:rtl/>
          <w:lang w:bidi="he-IL"/>
        </w:rPr>
        <w:instrText>ל ברוב</w:instrText>
      </w:r>
      <w:r w:rsidRPr="00882F11">
        <w:rPr>
          <w:rFonts w:cs="Guttman Drogolin"/>
        </w:rPr>
        <w:instrText>" \t "</w:instrText>
      </w:r>
      <w:r w:rsidRPr="00882F11">
        <w:rPr>
          <w:rFonts w:cs="Guttman Drogolin" w:hint="cs"/>
          <w:i/>
          <w:rtl/>
          <w:lang w:bidi="he-IL"/>
        </w:rPr>
        <w:instrText>ע' גם ביטול יבש ביבש</w:instrText>
      </w:r>
      <w:r w:rsidRPr="00882F11">
        <w:rPr>
          <w:rFonts w:cs="Guttman Drogolin"/>
        </w:rPr>
        <w:instrText xml:space="preserve">" </w:instrText>
      </w:r>
      <w:r w:rsidRPr="00882F11">
        <w:rPr>
          <w:rFonts w:cs="Guttman Drogolin"/>
          <w:rtl/>
          <w:lang w:bidi="he-IL"/>
        </w:rPr>
        <w:fldChar w:fldCharType="end"/>
      </w:r>
      <w:r w:rsidR="0053411E" w:rsidRPr="00882F11">
        <w:rPr>
          <w:rFonts w:cs="Guttman Drogolin" w:hint="cs"/>
          <w:rtl/>
          <w:lang w:bidi="he-IL"/>
        </w:rPr>
        <w:t>הג</w:t>
      </w:r>
      <w:r w:rsidR="00E8665E" w:rsidRPr="00882F11">
        <w:rPr>
          <w:rFonts w:cs="Guttman Drogolin" w:hint="cs"/>
          <w:rtl/>
          <w:lang w:bidi="he-IL"/>
        </w:rPr>
        <w:t>מ</w:t>
      </w:r>
      <w:r w:rsidR="0053411E" w:rsidRPr="00882F11">
        <w:rPr>
          <w:rFonts w:cs="Guttman Drogolin" w:hint="cs"/>
          <w:rtl/>
          <w:lang w:bidi="he-IL"/>
        </w:rPr>
        <w:t xml:space="preserve">' בסוף דף צ"ט ע"ב שואלת על המתני' שכתב שאם ניכר הגיד כולן אסורות דלמה שיהא הדין כן, ליבטל ברובא. וחזינן מכאן שיש דין ביטול אפילו בתערובת של יבש ביבש. </w:t>
      </w:r>
    </w:p>
    <w:p w:rsidR="0053411E" w:rsidRPr="00882F11" w:rsidRDefault="0053411E" w:rsidP="0053411E">
      <w:pPr>
        <w:bidi/>
        <w:jc w:val="both"/>
        <w:rPr>
          <w:rFonts w:cs="Guttman Drogolin"/>
          <w:rtl/>
          <w:lang w:bidi="he-IL"/>
        </w:rPr>
      </w:pPr>
      <w:r w:rsidRPr="00882F11">
        <w:rPr>
          <w:rFonts w:cs="Guttman Drogolin" w:hint="cs"/>
          <w:rtl/>
          <w:lang w:bidi="he-IL"/>
        </w:rPr>
        <w:t>והנה לכאורה יש ב' דינים של רוב הנלמדים מן הגזה"כ דאחרי רבים להטות שאין לא' שייכות אם השני: א) הכלל דאזלינן בתר רובא, ב) הדין של ביטול ברוב.</w:t>
      </w:r>
    </w:p>
    <w:p w:rsidR="0053411E" w:rsidRPr="00882F11" w:rsidRDefault="00F13E10" w:rsidP="00655EB3">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ביטול ברוב</w:instrText>
      </w:r>
      <w:r w:rsidRPr="00882F11">
        <w:rPr>
          <w:rFonts w:cs="Guttman Drogolin"/>
          <w:rtl/>
        </w:rPr>
        <w:instrText>:</w:instrText>
      </w:r>
      <w:r w:rsidRPr="00882F11">
        <w:rPr>
          <w:rFonts w:cs="Guttman Drogolin" w:hint="cs"/>
          <w:rtl/>
          <w:lang w:bidi="he-IL"/>
        </w:rPr>
        <w:instrText>ב' עניני רוב</w:instrText>
      </w:r>
      <w:r w:rsidRPr="00882F11">
        <w:rPr>
          <w:rFonts w:cs="Guttman Drogolin"/>
        </w:rPr>
        <w:instrText xml:space="preserve">" </w:instrText>
      </w:r>
      <w:r w:rsidRPr="00882F11">
        <w:rPr>
          <w:rFonts w:cs="Guttman Drogolin"/>
          <w:rtl/>
          <w:lang w:bidi="he-IL"/>
        </w:rPr>
        <w:fldChar w:fldCharType="end"/>
      </w:r>
      <w:r w:rsidR="0053411E" w:rsidRPr="00882F11">
        <w:rPr>
          <w:rFonts w:cs="Guttman Drogolin" w:hint="cs"/>
          <w:rtl/>
          <w:lang w:bidi="he-IL"/>
        </w:rPr>
        <w:t>הכלל דאזלינן בתר רובא: ביאור הענין דאזלינן בתר רובא הוא לכאורה ענין של הסתברות, שאם יש ט' חנויות מוכרות בשר שחוטה וא' מוכרת בשר נבילה, ויש לנו חתיכה לפנינו ואין אנו יודעים אם החתיכה הגיע מן החנויות הכשרות או מן החנות של נבלה, מסתבר לומר שהחתכה יצא מרוב החנויו</w:t>
      </w:r>
      <w:r w:rsidR="00181D07" w:rsidRPr="00882F11">
        <w:rPr>
          <w:rFonts w:cs="Guttman Drogolin" w:hint="cs"/>
          <w:rtl/>
          <w:lang w:bidi="he-IL"/>
        </w:rPr>
        <w:t>ת</w:t>
      </w:r>
      <w:r w:rsidR="0053411E" w:rsidRPr="00882F11">
        <w:rPr>
          <w:rFonts w:cs="Guttman Drogolin" w:hint="cs"/>
          <w:rtl/>
          <w:lang w:bidi="he-IL"/>
        </w:rPr>
        <w:t xml:space="preserve"> ולכן הרי הוא חתיכה כשרה. ובעצם לכאורה הי' אפשר לומר שהוא דין </w:t>
      </w:r>
      <w:r w:rsidR="005E7B05" w:rsidRPr="00882F11">
        <w:rPr>
          <w:rFonts w:cs="Guttman Drogolin" w:hint="cs"/>
          <w:rtl/>
          <w:lang w:bidi="he-IL"/>
        </w:rPr>
        <w:t>מ</w:t>
      </w:r>
      <w:r w:rsidR="0053411E" w:rsidRPr="00882F11">
        <w:rPr>
          <w:rFonts w:cs="Guttman Drogolin" w:hint="cs"/>
          <w:rtl/>
          <w:lang w:bidi="he-IL"/>
        </w:rPr>
        <w:t>סברא שלא צריכים לה גזה"כ. אבל נראה שהטעם שצריכים גזה"כ משום שאמנ</w:t>
      </w:r>
      <w:r w:rsidR="00DC0F3F" w:rsidRPr="00882F11">
        <w:rPr>
          <w:rFonts w:cs="Guttman Drogolin" w:hint="cs"/>
          <w:rtl/>
          <w:lang w:bidi="he-IL"/>
        </w:rPr>
        <w:t>ם</w:t>
      </w:r>
      <w:r w:rsidR="0053411E" w:rsidRPr="00882F11">
        <w:rPr>
          <w:rFonts w:cs="Guttman Drogolin" w:hint="cs"/>
          <w:rtl/>
          <w:lang w:bidi="he-IL"/>
        </w:rPr>
        <w:t xml:space="preserve"> יש הסתברות שהגיע החתיכה מן הרוב, מ"מ מנלן שיש בזה מספיק הסתברות שאפשר לסמוך עליו. ובזה קמ"ל הגזה"כ דאחרי רבים להטות </w:t>
      </w:r>
      <w:r w:rsidR="00A432F1" w:rsidRPr="00882F11">
        <w:rPr>
          <w:rFonts w:cs="Guttman Drogolin" w:hint="cs"/>
          <w:rtl/>
          <w:lang w:bidi="he-IL"/>
        </w:rPr>
        <w:t>שיש בזה מספיק הסתברות שאפשר</w:t>
      </w:r>
      <w:r w:rsidR="008826D5" w:rsidRPr="00882F11">
        <w:rPr>
          <w:rFonts w:cs="Guttman Drogolin" w:hint="cs"/>
          <w:rtl/>
          <w:lang w:bidi="he-IL"/>
        </w:rPr>
        <w:t xml:space="preserve"> לסמוך עליו. ויסוד הדברים יוצא</w:t>
      </w:r>
      <w:r w:rsidR="00A432F1" w:rsidRPr="00882F11">
        <w:rPr>
          <w:rFonts w:cs="Guttman Drogolin" w:hint="cs"/>
          <w:rtl/>
          <w:lang w:bidi="he-IL"/>
        </w:rPr>
        <w:t xml:space="preserve"> גם מתוס' שבדף י"א ע"א, ששם מקשים התוס' דאחר ויש גזה"כ שסומכים על חזקה, ויש לנו כלל דרובא וחזקה רובא עדיף, </w:t>
      </w:r>
      <w:r w:rsidR="000635A6" w:rsidRPr="00882F11">
        <w:rPr>
          <w:rFonts w:cs="Guttman Drogolin" w:hint="cs"/>
          <w:rtl/>
          <w:lang w:bidi="he-IL"/>
        </w:rPr>
        <w:t>למה לי גזה"כ דרוב</w:t>
      </w:r>
      <w:r w:rsidR="00A71C19" w:rsidRPr="00882F11">
        <w:rPr>
          <w:rFonts w:cs="Guttman Drogolin" w:hint="cs"/>
          <w:rtl/>
          <w:lang w:bidi="he-IL"/>
        </w:rPr>
        <w:t xml:space="preserve">, תיפו"ל </w:t>
      </w:r>
      <w:r w:rsidR="000635A6" w:rsidRPr="00882F11">
        <w:rPr>
          <w:rFonts w:cs="Guttman Drogolin" w:hint="cs"/>
          <w:rtl/>
          <w:lang w:bidi="he-IL"/>
        </w:rPr>
        <w:t xml:space="preserve">ק"ו </w:t>
      </w:r>
      <w:r w:rsidR="00A71C19" w:rsidRPr="00882F11">
        <w:rPr>
          <w:rFonts w:cs="Guttman Drogolin" w:hint="cs"/>
          <w:rtl/>
          <w:lang w:bidi="he-IL"/>
        </w:rPr>
        <w:t>מ</w:t>
      </w:r>
      <w:r w:rsidR="000635A6" w:rsidRPr="00882F11">
        <w:rPr>
          <w:rFonts w:cs="Guttman Drogolin" w:hint="cs"/>
          <w:rtl/>
          <w:lang w:bidi="he-IL"/>
        </w:rPr>
        <w:t>חזקה. והיינו כנ"ל שיש הסתברות בדין רוב שהמציאות ה</w:t>
      </w:r>
      <w:r w:rsidR="00DC0F3F" w:rsidRPr="00882F11">
        <w:rPr>
          <w:rFonts w:cs="Guttman Drogolin" w:hint="cs"/>
          <w:rtl/>
          <w:lang w:bidi="he-IL"/>
        </w:rPr>
        <w:t>ו</w:t>
      </w:r>
      <w:r w:rsidR="000635A6" w:rsidRPr="00882F11">
        <w:rPr>
          <w:rFonts w:cs="Guttman Drogolin" w:hint="cs"/>
          <w:rtl/>
          <w:lang w:bidi="he-IL"/>
        </w:rPr>
        <w:t>א כמו שאומר</w:t>
      </w:r>
      <w:r w:rsidR="00D9162C" w:rsidRPr="00882F11">
        <w:rPr>
          <w:rFonts w:cs="Guttman Drogolin" w:hint="cs"/>
          <w:rtl/>
          <w:lang w:bidi="he-IL"/>
        </w:rPr>
        <w:t xml:space="preserve"> לנו הרוב, ויש יותר טעם לסמוך על</w:t>
      </w:r>
      <w:r w:rsidR="000635A6" w:rsidRPr="00882F11">
        <w:rPr>
          <w:rFonts w:cs="Guttman Drogolin" w:hint="cs"/>
          <w:rtl/>
          <w:lang w:bidi="he-IL"/>
        </w:rPr>
        <w:t xml:space="preserve"> ההסתברות של רוב ממה שיש לסמוך על ההסתברות של חזקה, ולכן ס"ד לתוס' ללמוד רוב מחזקה.</w:t>
      </w:r>
    </w:p>
    <w:p w:rsidR="00BC0462" w:rsidRPr="00882F11" w:rsidRDefault="000635A6" w:rsidP="00873B46">
      <w:pPr>
        <w:bidi/>
        <w:jc w:val="both"/>
        <w:rPr>
          <w:rFonts w:cs="Guttman Drogolin"/>
          <w:rtl/>
          <w:lang w:bidi="he-IL"/>
        </w:rPr>
      </w:pPr>
      <w:r w:rsidRPr="00882F11">
        <w:rPr>
          <w:rFonts w:cs="Guttman Drogolin" w:hint="cs"/>
          <w:rtl/>
          <w:lang w:bidi="he-IL"/>
        </w:rPr>
        <w:t>הדין של ביטול ברוב: כאן אין ענין של הסתברות כלל, דהא אין לנו שום ספק שבכגון תערובת לח בלח אם אוכל האיסור שנימוח או לא, דהא פשי</w:t>
      </w:r>
      <w:r w:rsidR="00A35168" w:rsidRPr="00882F11">
        <w:rPr>
          <w:rFonts w:cs="Guttman Drogolin" w:hint="cs"/>
          <w:rtl/>
          <w:lang w:bidi="he-IL"/>
        </w:rPr>
        <w:t>ט</w:t>
      </w:r>
      <w:r w:rsidRPr="00882F11">
        <w:rPr>
          <w:rFonts w:cs="Guttman Drogolin" w:hint="cs"/>
          <w:rtl/>
          <w:lang w:bidi="he-IL"/>
        </w:rPr>
        <w:t>א</w:t>
      </w:r>
      <w:r w:rsidR="00624135" w:rsidRPr="00882F11">
        <w:rPr>
          <w:rFonts w:cs="Guttman Drogolin" w:hint="cs"/>
          <w:rtl/>
          <w:lang w:bidi="he-IL"/>
        </w:rPr>
        <w:t xml:space="preserve"> שאוכל א</w:t>
      </w:r>
      <w:r w:rsidR="00BC0462" w:rsidRPr="00882F11">
        <w:rPr>
          <w:rFonts w:cs="Guttman Drogolin" w:hint="cs"/>
          <w:rtl/>
          <w:lang w:bidi="he-IL"/>
        </w:rPr>
        <w:t>ת</w:t>
      </w:r>
      <w:r w:rsidR="00A71C19" w:rsidRPr="00882F11">
        <w:rPr>
          <w:rFonts w:cs="Guttman Drogolin" w:hint="cs"/>
          <w:rtl/>
          <w:lang w:bidi="he-IL"/>
        </w:rPr>
        <w:t xml:space="preserve"> שני הדברים ביחד. רק מ"מ נאמר ה</w:t>
      </w:r>
      <w:r w:rsidR="00624135" w:rsidRPr="00882F11">
        <w:rPr>
          <w:rFonts w:cs="Guttman Drogolin" w:hint="cs"/>
          <w:rtl/>
          <w:lang w:bidi="he-IL"/>
        </w:rPr>
        <w:t>דין של ביט</w:t>
      </w:r>
      <w:r w:rsidR="00F7126E" w:rsidRPr="00882F11">
        <w:rPr>
          <w:rFonts w:cs="Guttman Drogolin" w:hint="cs"/>
          <w:rtl/>
          <w:lang w:bidi="he-IL"/>
        </w:rPr>
        <w:t>ו</w:t>
      </w:r>
      <w:r w:rsidR="00624135" w:rsidRPr="00882F11">
        <w:rPr>
          <w:rFonts w:cs="Guttman Drogolin" w:hint="cs"/>
          <w:rtl/>
          <w:lang w:bidi="he-IL"/>
        </w:rPr>
        <w:t xml:space="preserve">ל ברוב שמחדש שנותנין לתערובת של </w:t>
      </w:r>
      <w:r w:rsidR="00624135" w:rsidRPr="00882F11">
        <w:rPr>
          <w:rFonts w:cs="Guttman Drogolin" w:hint="cs"/>
          <w:rtl/>
          <w:lang w:bidi="he-IL"/>
        </w:rPr>
        <w:lastRenderedPageBreak/>
        <w:t>שני מינים דינו של ה</w:t>
      </w:r>
      <w:r w:rsidR="00BC0462" w:rsidRPr="00882F11">
        <w:rPr>
          <w:rFonts w:cs="Guttman Drogolin" w:hint="cs"/>
          <w:rtl/>
          <w:lang w:bidi="he-IL"/>
        </w:rPr>
        <w:t>מ</w:t>
      </w:r>
      <w:r w:rsidR="00624135" w:rsidRPr="00882F11">
        <w:rPr>
          <w:rFonts w:cs="Guttman Drogolin" w:hint="cs"/>
          <w:rtl/>
          <w:lang w:bidi="he-IL"/>
        </w:rPr>
        <w:t xml:space="preserve">ין שהוא הרוב. </w:t>
      </w:r>
      <w:r w:rsidR="00873B46" w:rsidRPr="00882F11">
        <w:rPr>
          <w:rFonts w:cs="Guttman Drogolin" w:hint="cs"/>
          <w:rtl/>
          <w:lang w:bidi="he-IL"/>
        </w:rPr>
        <w:t xml:space="preserve">וכיון שהרוב הוא היתר, הוי כולו היתר ומותר לאכול גם את המיעוט שהוא האסור. </w:t>
      </w:r>
      <w:r w:rsidR="00624135" w:rsidRPr="00882F11">
        <w:rPr>
          <w:rFonts w:cs="Guttman Drogolin" w:hint="cs"/>
          <w:rtl/>
          <w:lang w:bidi="he-IL"/>
        </w:rPr>
        <w:t>ו</w:t>
      </w:r>
      <w:r w:rsidR="00873B46" w:rsidRPr="00882F11">
        <w:rPr>
          <w:rFonts w:cs="Guttman Drogolin" w:hint="cs"/>
          <w:rtl/>
          <w:lang w:bidi="he-IL"/>
        </w:rPr>
        <w:t>הד</w:t>
      </w:r>
      <w:r w:rsidR="008E6A87" w:rsidRPr="00882F11">
        <w:rPr>
          <w:rFonts w:cs="Guttman Drogolin" w:hint="cs"/>
          <w:rtl/>
          <w:lang w:bidi="he-IL"/>
        </w:rPr>
        <w:t xml:space="preserve">ין של ביטול פשיטא שאי אפשר </w:t>
      </w:r>
      <w:r w:rsidR="00624135" w:rsidRPr="00882F11">
        <w:rPr>
          <w:rFonts w:cs="Guttman Drogolin" w:hint="cs"/>
          <w:rtl/>
          <w:lang w:bidi="he-IL"/>
        </w:rPr>
        <w:t>ללמוד אותו מן הגזה"כ דחזקה</w:t>
      </w:r>
      <w:r w:rsidR="00873B46" w:rsidRPr="00882F11">
        <w:rPr>
          <w:rFonts w:cs="Guttman Drogolin" w:hint="cs"/>
          <w:rtl/>
          <w:lang w:bidi="he-IL"/>
        </w:rPr>
        <w:t>, דענין אחר הוא וכמש"נ.</w:t>
      </w:r>
    </w:p>
    <w:p w:rsidR="00615A4A" w:rsidRPr="00882F11" w:rsidRDefault="00BC0462" w:rsidP="00581B96">
      <w:pPr>
        <w:bidi/>
        <w:jc w:val="both"/>
        <w:rPr>
          <w:rFonts w:cs="Guttman Drogolin"/>
          <w:rtl/>
          <w:lang w:bidi="he-IL"/>
        </w:rPr>
      </w:pPr>
      <w:r w:rsidRPr="00882F11">
        <w:rPr>
          <w:rFonts w:cs="Guttman Drogolin" w:hint="cs"/>
          <w:rtl/>
          <w:lang w:bidi="he-IL"/>
        </w:rPr>
        <w:t>ו</w:t>
      </w:r>
      <w:r w:rsidR="00F13E10" w:rsidRPr="00882F11">
        <w:rPr>
          <w:rFonts w:cs="Guttman Drogolin"/>
          <w:rtl/>
          <w:lang w:bidi="he-IL"/>
        </w:rPr>
        <w:fldChar w:fldCharType="begin"/>
      </w:r>
      <w:r w:rsidR="00F13E10" w:rsidRPr="00882F11">
        <w:rPr>
          <w:rFonts w:cs="Guttman Drogolin"/>
        </w:rPr>
        <w:instrText xml:space="preserve"> XE "</w:instrText>
      </w:r>
      <w:r w:rsidR="00F13E10" w:rsidRPr="00882F11">
        <w:rPr>
          <w:rFonts w:cs="Guttman Drogolin" w:hint="cs"/>
          <w:rtl/>
          <w:lang w:bidi="he-IL"/>
        </w:rPr>
        <w:instrText>ביטול ברוב</w:instrText>
      </w:r>
      <w:r w:rsidR="00F13E10" w:rsidRPr="00882F11">
        <w:rPr>
          <w:rFonts w:cs="Guttman Drogolin"/>
          <w:rtl/>
        </w:rPr>
        <w:instrText>:</w:instrText>
      </w:r>
      <w:r w:rsidR="00F13E10" w:rsidRPr="00882F11">
        <w:rPr>
          <w:rFonts w:cs="Guttman Drogolin" w:hint="cs"/>
          <w:rtl/>
          <w:lang w:bidi="he-IL"/>
        </w:rPr>
        <w:instrText>המקור מן התורה</w:instrText>
      </w:r>
      <w:r w:rsidR="00F13E10" w:rsidRPr="00882F11">
        <w:rPr>
          <w:rFonts w:cs="Guttman Drogolin"/>
        </w:rPr>
        <w:instrText xml:space="preserve">" </w:instrText>
      </w:r>
      <w:r w:rsidR="00F13E10" w:rsidRPr="00882F11">
        <w:rPr>
          <w:rFonts w:cs="Guttman Drogolin"/>
          <w:rtl/>
          <w:lang w:bidi="he-IL"/>
        </w:rPr>
        <w:fldChar w:fldCharType="end"/>
      </w:r>
      <w:r w:rsidRPr="00882F11">
        <w:rPr>
          <w:rFonts w:cs="Guttman Drogolin" w:hint="cs"/>
          <w:rtl/>
          <w:lang w:bidi="he-IL"/>
        </w:rPr>
        <w:t>כיון שכן נשאלת</w:t>
      </w:r>
      <w:r w:rsidR="00A71C19" w:rsidRPr="00882F11">
        <w:rPr>
          <w:rFonts w:cs="Guttman Drogolin" w:hint="cs"/>
          <w:rtl/>
          <w:lang w:bidi="he-IL"/>
        </w:rPr>
        <w:t xml:space="preserve"> השאלה איך באמת למדו את שני הדינ</w:t>
      </w:r>
      <w:r w:rsidRPr="00882F11">
        <w:rPr>
          <w:rFonts w:cs="Guttman Drogolin" w:hint="cs"/>
          <w:rtl/>
          <w:lang w:bidi="he-IL"/>
        </w:rPr>
        <w:t>ים האלו מן הגזה"כ דאחרי רבים להטות. ומפורסמים דברי הגר"ח בכתבי התלמידים</w:t>
      </w:r>
      <w:r w:rsidR="00873B46" w:rsidRPr="00882F11">
        <w:rPr>
          <w:rFonts w:cs="Guttman Drogolin" w:hint="cs"/>
          <w:rtl/>
          <w:lang w:bidi="he-IL"/>
        </w:rPr>
        <w:t xml:space="preserve"> </w:t>
      </w:r>
      <w:r w:rsidRPr="00882F11">
        <w:rPr>
          <w:rFonts w:cs="Guttman Drogolin" w:hint="cs"/>
          <w:rtl/>
          <w:lang w:bidi="he-IL"/>
        </w:rPr>
        <w:t>בזה</w:t>
      </w:r>
      <w:r w:rsidR="00A4275C" w:rsidRPr="00882F11">
        <w:rPr>
          <w:rFonts w:cs="Guttman Drogolin" w:hint="cs"/>
          <w:rtl/>
          <w:lang w:bidi="he-IL"/>
        </w:rPr>
        <w:t xml:space="preserve"> (וכן הוא גם בחי' ושיעורי ר' ברוך בער ח"ג ב"ק סי' י"א) </w:t>
      </w:r>
      <w:r w:rsidRPr="00882F11">
        <w:rPr>
          <w:rFonts w:cs="Guttman Drogolin" w:hint="cs"/>
          <w:rtl/>
          <w:lang w:bidi="he-IL"/>
        </w:rPr>
        <w:t>. והוא שהרי הגזה"כ דאחרי רבים להטות נאמר בב"ד.</w:t>
      </w:r>
      <w:r w:rsidR="00A4275C" w:rsidRPr="00882F11">
        <w:rPr>
          <w:rFonts w:cs="Guttman Drogolin" w:hint="cs"/>
          <w:rtl/>
          <w:lang w:bidi="he-IL"/>
        </w:rPr>
        <w:t xml:space="preserve"> וכדי לפסוק בב"ד צריכים ב' דברים, חדא שיפס</w:t>
      </w:r>
      <w:r w:rsidR="00DC0F3F" w:rsidRPr="00882F11">
        <w:rPr>
          <w:rFonts w:cs="Guttman Drogolin" w:hint="cs"/>
          <w:rtl/>
          <w:lang w:bidi="he-IL"/>
        </w:rPr>
        <w:t xml:space="preserve">קו את הדין האמיתי. ובזה אמרינן </w:t>
      </w:r>
      <w:r w:rsidR="00A4275C" w:rsidRPr="00882F11">
        <w:rPr>
          <w:rFonts w:cs="Guttman Drogolin" w:hint="cs"/>
          <w:rtl/>
          <w:lang w:bidi="he-IL"/>
        </w:rPr>
        <w:t xml:space="preserve">שכיון שרוב הדייני סוברים כך אמרינן שמסתמא האמת אתם. אבל יש עוד דין </w:t>
      </w:r>
      <w:r w:rsidR="00F7126E" w:rsidRPr="00882F11">
        <w:rPr>
          <w:rFonts w:cs="Guttman Drogolin" w:hint="cs"/>
          <w:rtl/>
          <w:lang w:bidi="he-IL"/>
        </w:rPr>
        <w:t>ש</w:t>
      </w:r>
      <w:r w:rsidR="00A4275C" w:rsidRPr="00882F11">
        <w:rPr>
          <w:rFonts w:cs="Guttman Drogolin" w:hint="cs"/>
          <w:rtl/>
          <w:lang w:bidi="he-IL"/>
        </w:rPr>
        <w:t>יהא פסק דין של ב"ד של ג' או של ע"א, ולכאורה לזה לא מהני הא דמסתבר שהאמת עם הרוב, דהא עדיין לא כולם פוסקים כן וחסר במנין הדיינים. ולזה צריכים לדין של ביטול ברוב, דכיון שכולה בכלל הב"ד ויש ורוב הסוברים חייב או פטור, אמרינן שמיעוט הדיינים בטלים ברוב, ולכן יש ב"ד שלם של ג' או ע"א. ולכן יש לנו מקור לב' עניני רוב, הדין של הלוך אחר הרוב ידעינן</w:t>
      </w:r>
      <w:r w:rsidR="00615A4A" w:rsidRPr="00882F11">
        <w:rPr>
          <w:rFonts w:cs="Guttman Drogolin" w:hint="cs"/>
          <w:rtl/>
          <w:lang w:bidi="he-IL"/>
        </w:rPr>
        <w:t xml:space="preserve"> מזה דאמרינן שהאמת עם הכרעתם של הרוב, ואילו הדין של ביטול רוב למידין מזה שיש ב"ד שלם המחייבין או פוטרין אע"פ שאין כולם סוברים כן. וע"ש שלפי זה מיושב</w:t>
      </w:r>
      <w:r w:rsidR="00A71C19" w:rsidRPr="00882F11">
        <w:rPr>
          <w:rFonts w:cs="Guttman Drogolin" w:hint="cs"/>
          <w:rtl/>
          <w:lang w:bidi="he-IL"/>
        </w:rPr>
        <w:t>ת</w:t>
      </w:r>
      <w:r w:rsidR="00615A4A" w:rsidRPr="00882F11">
        <w:rPr>
          <w:rFonts w:cs="Guttman Drogolin" w:hint="cs"/>
          <w:rtl/>
          <w:lang w:bidi="he-IL"/>
        </w:rPr>
        <w:t xml:space="preserve"> קושיית התומים, שהפוסקים נוקטים שמותר לו לאדם לומר קים לי כהמיעוט בדיני ממונות, </w:t>
      </w:r>
      <w:r w:rsidR="00604064" w:rsidRPr="00882F11">
        <w:rPr>
          <w:rFonts w:cs="Guttman Drogolin" w:hint="cs"/>
          <w:rtl/>
          <w:lang w:bidi="he-IL"/>
        </w:rPr>
        <w:t>והקשה התומים דלמה יהא הדין כן, הא בדיינים אזלינן בתר רובא. וע"פ הנ"ל ניחא, דעד כאן לא אזלינן בתר רוב בדיינים אלא בב"ד שהמיעוט כמי שאינו דהא המיעוט בטל ברוב. אבל ברוב דעות דליכא למימר שיש ביטול נשאר הדין שיש רוב ובזה שפיר י"ל שאין הולכין בממון אחר הרוב.</w:t>
      </w:r>
    </w:p>
    <w:p w:rsidR="00A55C25" w:rsidRPr="00882F11" w:rsidRDefault="00604064" w:rsidP="00F7126E">
      <w:pPr>
        <w:bidi/>
        <w:jc w:val="both"/>
        <w:rPr>
          <w:rFonts w:cs="Guttman Drogolin"/>
          <w:rtl/>
          <w:lang w:bidi="he-IL"/>
        </w:rPr>
      </w:pPr>
      <w:r w:rsidRPr="00882F11">
        <w:rPr>
          <w:rFonts w:cs="Guttman Drogolin" w:hint="cs"/>
          <w:rtl/>
          <w:lang w:bidi="he-IL"/>
        </w:rPr>
        <w:t>והנה לכאורה בתערובת לח בלח פשוט שחידו</w:t>
      </w:r>
      <w:r w:rsidR="00DC0F3F" w:rsidRPr="00882F11">
        <w:rPr>
          <w:rFonts w:cs="Guttman Drogolin" w:hint="cs"/>
          <w:rtl/>
          <w:lang w:bidi="he-IL"/>
        </w:rPr>
        <w:t>ש</w:t>
      </w:r>
      <w:r w:rsidRPr="00882F11">
        <w:rPr>
          <w:rFonts w:cs="Guttman Drogolin" w:hint="cs"/>
          <w:rtl/>
          <w:lang w:bidi="he-IL"/>
        </w:rPr>
        <w:t xml:space="preserve"> התורה הוא שהאיסור בטל ומותר לאכול כל התערובת. ובכל דפריש הטעם להתיר משום דינא </w:t>
      </w:r>
      <w:r w:rsidRPr="00882F11">
        <w:rPr>
          <w:rFonts w:cs="Guttman Drogolin" w:hint="cs"/>
          <w:rtl/>
          <w:lang w:bidi="he-IL"/>
        </w:rPr>
        <w:lastRenderedPageBreak/>
        <w:t>דהלוך אחר הרוב. אבל בביטול יבש ביבש יל"ע מהו גדר ההיתר, האם הוא משום דין ביטול ברוב או משום דין הלוך אחר הרוב. ולכאורה נפק"מ גדולה בין הצדדין הוא כשאוכל כל התערובת, שעם הוא מותר מדין ביטול, הא שפיר מותר לאכול את כל התערובת, דהא האיסור בטל ומותר. אבל אם הוא מדין הלוך אחר הרוב י"ל דעד כאן לא מתירין אלא כשיש צד שלא אכל האיסור, דהא בכה"ג יש הסתברות שאינו אוכל איסור. אבל כשאכל את כל החתיכות</w:t>
      </w:r>
      <w:r w:rsidR="00DF418F" w:rsidRPr="00882F11">
        <w:rPr>
          <w:rFonts w:cs="Guttman Drogolin" w:hint="cs"/>
          <w:rtl/>
          <w:lang w:bidi="he-IL"/>
        </w:rPr>
        <w:t xml:space="preserve"> כבר ליכא שום הסתברות, דהא ודאי אכל איסור. והנה תוס' כאן בסוף דבריהם הסתפקו אם מותר לאדם א' לאכול את כל התערובת. אמנם אינו מפורש בדבריו שיש בזה איסור דאורייתא. וכיון שהתוס' הסתפקו אם הדין כן או לא, אינו משמע שזהו גופא מקום הספק שלהם אם גדר הביטול של יבש ביבש הוא משום הלוך אחר הרוב או מדין ביטול, רק ספק מקומי אם אסרו כה"ג או לא. אלא שעדיין אפשר לפרש דבריהם בב' אופנים. שי"ל שהתוס' סוברים שהדין בביטול יבש ביבש הוא דין של ביטול. ומ"מ הסתפקו התוס' לומר שאולי מ"מ החמירו שלא לאכול את כולם משום דמיחזי כאוכל חפצא דאיסורא כיון שסוף כל סוף אכל החפצא שהי' חפצא דאיסורא. </w:t>
      </w:r>
      <w:r w:rsidR="00A55C25" w:rsidRPr="00882F11">
        <w:rPr>
          <w:rFonts w:cs="Guttman Drogolin" w:hint="cs"/>
          <w:rtl/>
          <w:lang w:bidi="he-IL"/>
        </w:rPr>
        <w:t>וכן איכא למימר לאידך גיסא, שלעולם הדין של ביטול יבש ביבש הוא דין של הלוך אחר הרוב, רק שמ"מ יש צד שיהא מותר לאוכל את כולם לאדם א', והוא משום שכל מעשה אכילה לעצמה מותרת כיון שאפשר לתלות המעשה אכילה ההוא ברוב, ולא איכפת לן בזה שס</w:t>
      </w:r>
      <w:r w:rsidR="00DC0F3F" w:rsidRPr="00882F11">
        <w:rPr>
          <w:rFonts w:cs="Guttman Drogolin" w:hint="cs"/>
          <w:rtl/>
          <w:lang w:bidi="he-IL"/>
        </w:rPr>
        <w:t>ו</w:t>
      </w:r>
      <w:r w:rsidR="00A55C25" w:rsidRPr="00882F11">
        <w:rPr>
          <w:rFonts w:cs="Guttman Drogolin" w:hint="cs"/>
          <w:rtl/>
          <w:lang w:bidi="he-IL"/>
        </w:rPr>
        <w:t>ף סוף ודאי אכל איסור, דהא כל מעשה אכילה לעצ</w:t>
      </w:r>
      <w:r w:rsidR="00F7126E" w:rsidRPr="00882F11">
        <w:rPr>
          <w:rFonts w:cs="Guttman Drogolin" w:hint="cs"/>
          <w:rtl/>
          <w:lang w:bidi="he-IL"/>
        </w:rPr>
        <w:t>מ</w:t>
      </w:r>
      <w:r w:rsidR="00A55C25" w:rsidRPr="00882F11">
        <w:rPr>
          <w:rFonts w:cs="Guttman Drogolin" w:hint="cs"/>
          <w:rtl/>
          <w:lang w:bidi="he-IL"/>
        </w:rPr>
        <w:t xml:space="preserve">ה תלה בצדק ברוב, ויוצא שכל פעם שאכל הי' לו על מה לסמוך ולכן הוא מותר. </w:t>
      </w:r>
    </w:p>
    <w:p w:rsidR="007F793B" w:rsidRPr="00882F11" w:rsidRDefault="00F13E10" w:rsidP="00DC0F3F">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ביטול יבש ביבש</w:instrText>
      </w:r>
      <w:r w:rsidRPr="00882F11">
        <w:rPr>
          <w:rFonts w:cs="Guttman Drogolin"/>
          <w:rtl/>
        </w:rPr>
        <w:instrText>:</w:instrText>
      </w:r>
      <w:r w:rsidRPr="00882F11">
        <w:rPr>
          <w:rFonts w:cs="Guttman Drogolin" w:hint="cs"/>
          <w:rtl/>
          <w:lang w:bidi="he-IL"/>
        </w:rPr>
        <w:instrText>גדר הדין</w:instrText>
      </w:r>
      <w:r w:rsidRPr="00882F11">
        <w:rPr>
          <w:rFonts w:cs="Guttman Drogolin"/>
        </w:rPr>
        <w:instrText xml:space="preserve">" </w:instrText>
      </w:r>
      <w:r w:rsidRPr="00882F11">
        <w:rPr>
          <w:rFonts w:cs="Guttman Drogolin"/>
          <w:rtl/>
          <w:lang w:bidi="he-IL"/>
        </w:rPr>
        <w:fldChar w:fldCharType="end"/>
      </w:r>
      <w:r w:rsidR="00C259AB" w:rsidRPr="00882F11">
        <w:rPr>
          <w:rFonts w:cs="Guttman Drogolin"/>
          <w:rtl/>
          <w:lang w:bidi="he-IL"/>
        </w:rPr>
        <w:fldChar w:fldCharType="begin"/>
      </w:r>
      <w:r w:rsidR="00C259AB" w:rsidRPr="00882F11">
        <w:rPr>
          <w:rFonts w:cs="Guttman Drogolin"/>
        </w:rPr>
        <w:instrText xml:space="preserve"> XE "</w:instrText>
      </w:r>
      <w:r w:rsidR="00C259AB" w:rsidRPr="00882F11">
        <w:rPr>
          <w:rFonts w:cs="Guttman Drogolin" w:hint="cs"/>
          <w:rtl/>
          <w:lang w:bidi="he-IL"/>
        </w:rPr>
        <w:instrText>ביטול יבש ביבש</w:instrText>
      </w:r>
      <w:r w:rsidR="00C259AB" w:rsidRPr="00882F11">
        <w:rPr>
          <w:rFonts w:cs="Guttman Drogolin"/>
          <w:rtl/>
        </w:rPr>
        <w:instrText>:</w:instrText>
      </w:r>
      <w:r w:rsidR="00C259AB" w:rsidRPr="00882F11">
        <w:rPr>
          <w:rFonts w:cs="Guttman Drogolin" w:hint="cs"/>
          <w:rtl/>
          <w:lang w:bidi="he-IL"/>
        </w:rPr>
        <w:instrText>שיטת התוס' רי</w:instrText>
      </w:r>
      <w:r w:rsidR="00C259AB" w:rsidRPr="00882F11">
        <w:rPr>
          <w:rFonts w:eastAsiaTheme="minorEastAsia" w:cs="Guttman Drogolin"/>
          <w:lang w:bidi="he-IL"/>
        </w:rPr>
        <w:instrText>\</w:instrText>
      </w:r>
      <w:r w:rsidR="00C259AB" w:rsidRPr="00882F11">
        <w:rPr>
          <w:rFonts w:cs="Guttman Drogolin" w:hint="cs"/>
          <w:rtl/>
          <w:lang w:bidi="he-IL"/>
        </w:rPr>
        <w:instrText>"ד</w:instrText>
      </w:r>
      <w:r w:rsidR="00C259AB" w:rsidRPr="00882F11">
        <w:rPr>
          <w:rFonts w:cs="Guttman Drogolin"/>
        </w:rPr>
        <w:instrText xml:space="preserve">" </w:instrText>
      </w:r>
      <w:r w:rsidR="00C259AB" w:rsidRPr="00882F11">
        <w:rPr>
          <w:rFonts w:cs="Guttman Drogolin"/>
          <w:rtl/>
          <w:lang w:bidi="he-IL"/>
        </w:rPr>
        <w:fldChar w:fldCharType="end"/>
      </w:r>
      <w:r w:rsidR="00A71C19" w:rsidRPr="00882F11">
        <w:rPr>
          <w:rFonts w:cs="Guttman Drogolin" w:hint="cs"/>
          <w:rtl/>
          <w:lang w:bidi="he-IL"/>
        </w:rPr>
        <w:t xml:space="preserve">והנה </w:t>
      </w:r>
      <w:r w:rsidR="00A55C25" w:rsidRPr="00882F11">
        <w:rPr>
          <w:rFonts w:cs="Guttman Drogolin" w:hint="cs"/>
          <w:rtl/>
          <w:lang w:bidi="he-IL"/>
        </w:rPr>
        <w:t>מפורסמים דברי התוס רי"ד</w:t>
      </w:r>
      <w:r w:rsidR="00A55C25" w:rsidRPr="00882F11">
        <w:rPr>
          <w:rFonts w:cs="Guttman Drogolin"/>
          <w:lang w:bidi="he-IL"/>
        </w:rPr>
        <w:t xml:space="preserve"> </w:t>
      </w:r>
      <w:r w:rsidR="00A55C25" w:rsidRPr="00882F11">
        <w:rPr>
          <w:rFonts w:cs="Guttman Drogolin" w:hint="cs"/>
          <w:rtl/>
          <w:lang w:bidi="he-IL"/>
        </w:rPr>
        <w:t>במס' ב"ב דף ל"א ע"ב (וכן הוא בדף צ"ב ע"ב, וכן עוד כמה מקומות בספרי הרי"ד)</w:t>
      </w:r>
      <w:r w:rsidR="00A36E41" w:rsidRPr="00882F11">
        <w:rPr>
          <w:rFonts w:cs="Guttman Drogolin" w:hint="cs"/>
          <w:rtl/>
          <w:lang w:bidi="he-IL"/>
        </w:rPr>
        <w:t xml:space="preserve"> שסבר שאמנם מותר לאכול חתיכה שנתבטלה ב</w:t>
      </w:r>
      <w:r w:rsidR="00DC0F3F" w:rsidRPr="00882F11">
        <w:rPr>
          <w:rFonts w:cs="Guttman Drogolin" w:hint="cs"/>
          <w:rtl/>
          <w:lang w:bidi="he-IL"/>
        </w:rPr>
        <w:t>ר</w:t>
      </w:r>
      <w:r w:rsidR="00A36E41" w:rsidRPr="00882F11">
        <w:rPr>
          <w:rFonts w:cs="Guttman Drogolin" w:hint="cs"/>
          <w:rtl/>
          <w:lang w:bidi="he-IL"/>
        </w:rPr>
        <w:t>ו</w:t>
      </w:r>
      <w:r w:rsidR="00DC0F3F" w:rsidRPr="00882F11">
        <w:rPr>
          <w:rFonts w:cs="Guttman Drogolin" w:hint="cs"/>
          <w:rtl/>
          <w:lang w:bidi="he-IL"/>
        </w:rPr>
        <w:t>ב מגזה"כ ד</w:t>
      </w:r>
      <w:r w:rsidR="00A36E41" w:rsidRPr="00882F11">
        <w:rPr>
          <w:rFonts w:cs="Guttman Drogolin" w:hint="cs"/>
          <w:rtl/>
          <w:lang w:bidi="he-IL"/>
        </w:rPr>
        <w:t>אחרי רבים להטות, מ"מ אם אכל את כל התערובת חייב חטאת. ובפשוטו הב</w:t>
      </w:r>
      <w:r w:rsidR="00DC0F3F" w:rsidRPr="00882F11">
        <w:rPr>
          <w:rFonts w:cs="Guttman Drogolin" w:hint="cs"/>
          <w:rtl/>
          <w:lang w:bidi="he-IL"/>
        </w:rPr>
        <w:t>יאור בזה שההיתר</w:t>
      </w:r>
      <w:r w:rsidR="00867DDC" w:rsidRPr="00882F11">
        <w:rPr>
          <w:rFonts w:cs="Guttman Drogolin" w:hint="cs"/>
          <w:rtl/>
          <w:lang w:bidi="he-IL"/>
        </w:rPr>
        <w:t xml:space="preserve"> </w:t>
      </w:r>
      <w:r w:rsidR="00DC0F3F" w:rsidRPr="00882F11">
        <w:rPr>
          <w:rFonts w:cs="Guttman Drogolin" w:hint="cs"/>
          <w:rtl/>
          <w:lang w:bidi="he-IL"/>
        </w:rPr>
        <w:t>של ביטול יבש ביב</w:t>
      </w:r>
      <w:r w:rsidR="00A36E41" w:rsidRPr="00882F11">
        <w:rPr>
          <w:rFonts w:cs="Guttman Drogolin" w:hint="cs"/>
          <w:rtl/>
          <w:lang w:bidi="he-IL"/>
        </w:rPr>
        <w:t xml:space="preserve">ש אינו מדין ביטול אלא משום דינא דהלוך אחר הרוב. וכיון שכן יוצא שאם אכל את כולן כבר אין במה לתלות וממילא עבר על </w:t>
      </w:r>
      <w:r w:rsidR="00A36E41" w:rsidRPr="00882F11">
        <w:rPr>
          <w:rFonts w:cs="Guttman Drogolin" w:hint="cs"/>
          <w:rtl/>
          <w:lang w:bidi="he-IL"/>
        </w:rPr>
        <w:lastRenderedPageBreak/>
        <w:t xml:space="preserve">איסור וחייב חטאת. וכן למד בקו"ש שם במס' ב"ב. </w:t>
      </w:r>
      <w:r w:rsidR="00DF6312" w:rsidRPr="00882F11">
        <w:rPr>
          <w:rFonts w:cs="Guttman Drogolin" w:hint="cs"/>
          <w:rtl/>
          <w:lang w:bidi="he-IL"/>
        </w:rPr>
        <w:t>אלא שהקשה על זה מגמ' במס' זבחים דף ע"ג ע"א, ששם מקשה הגמ'</w:t>
      </w:r>
      <w:r w:rsidR="007F793B" w:rsidRPr="00882F11">
        <w:rPr>
          <w:rFonts w:cs="Guttman Drogolin" w:hint="cs"/>
          <w:rtl/>
          <w:lang w:bidi="he-IL"/>
        </w:rPr>
        <w:t xml:space="preserve"> בבעל חי שנפסל לג</w:t>
      </w:r>
      <w:r w:rsidR="00DC0F3F" w:rsidRPr="00882F11">
        <w:rPr>
          <w:rFonts w:cs="Guttman Drogolin" w:hint="cs"/>
          <w:rtl/>
          <w:lang w:bidi="he-IL"/>
        </w:rPr>
        <w:t>ב</w:t>
      </w:r>
      <w:r w:rsidR="007F793B" w:rsidRPr="00882F11">
        <w:rPr>
          <w:rFonts w:cs="Guttman Drogolin" w:hint="cs"/>
          <w:rtl/>
          <w:lang w:bidi="he-IL"/>
        </w:rPr>
        <w:t>י מזבח שנתערב</w:t>
      </w:r>
      <w:r w:rsidR="00DF6312" w:rsidRPr="00882F11">
        <w:rPr>
          <w:rFonts w:cs="Guttman Drogolin" w:hint="cs"/>
          <w:rtl/>
          <w:lang w:bidi="he-IL"/>
        </w:rPr>
        <w:t xml:space="preserve"> </w:t>
      </w:r>
      <w:r w:rsidR="007F793B" w:rsidRPr="00882F11">
        <w:rPr>
          <w:rFonts w:cs="Guttman Drogolin" w:hint="cs"/>
          <w:rtl/>
          <w:lang w:bidi="he-IL"/>
        </w:rPr>
        <w:t>בבהמות כשרות שיתבטל הפסול ברובא. ומתרצת הגמ' דכיון שהוא בעל חי אינו מתבטל. ושוב מקשה הגמ' דעדיי</w:t>
      </w:r>
      <w:r w:rsidR="00DC0F3F" w:rsidRPr="00882F11">
        <w:rPr>
          <w:rFonts w:cs="Guttman Drogolin" w:hint="cs"/>
          <w:rtl/>
          <w:lang w:bidi="he-IL"/>
        </w:rPr>
        <w:t>ן</w:t>
      </w:r>
      <w:r w:rsidR="007F793B" w:rsidRPr="00882F11">
        <w:rPr>
          <w:rFonts w:cs="Guttman Drogolin" w:hint="cs"/>
          <w:rtl/>
          <w:lang w:bidi="he-IL"/>
        </w:rPr>
        <w:t xml:space="preserve"> תיקשי דלכבישנהו וניידינהו ולימא כל דפריש מרובא פריש. וע"ש מה שמתרצת הגמ' לזה. ועכ"פ מבואר בהדיא בגמ' שיש ב' כללים שונים, א' מהם ביטול של חתיכות </w:t>
      </w:r>
      <w:r w:rsidR="00DC0F3F" w:rsidRPr="00882F11">
        <w:rPr>
          <w:rFonts w:cs="Guttman Drogolin" w:hint="cs"/>
          <w:rtl/>
          <w:lang w:bidi="he-IL"/>
        </w:rPr>
        <w:t xml:space="preserve">שונות (פי' ביטול </w:t>
      </w:r>
      <w:r w:rsidR="00867DDC" w:rsidRPr="00882F11">
        <w:rPr>
          <w:rFonts w:cs="Guttman Drogolin" w:hint="cs"/>
          <w:rtl/>
          <w:lang w:bidi="he-IL"/>
        </w:rPr>
        <w:t>י</w:t>
      </w:r>
      <w:r w:rsidR="00DC0F3F" w:rsidRPr="00882F11">
        <w:rPr>
          <w:rFonts w:cs="Guttman Drogolin" w:hint="cs"/>
          <w:rtl/>
          <w:lang w:bidi="he-IL"/>
        </w:rPr>
        <w:t>בש ביבש) ועוד כ</w:t>
      </w:r>
      <w:r w:rsidR="007F793B" w:rsidRPr="00882F11">
        <w:rPr>
          <w:rFonts w:cs="Guttman Drogolin" w:hint="cs"/>
          <w:rtl/>
          <w:lang w:bidi="he-IL"/>
        </w:rPr>
        <w:t xml:space="preserve">לל של כל דפריש מרובא פריש. ולדברי התוס' רי"ד הא הכל כלל א' וכמש"נ. וע"ש בפסקי הרי"ד למס' זבחים על אותו גמ' גופא שחזר הרי"ד על היסוד שלו שאם אכל את שלשתן הרי הוא חייב חטאת. </w:t>
      </w:r>
    </w:p>
    <w:p w:rsidR="00511E36" w:rsidRPr="00882F11" w:rsidRDefault="007F793B" w:rsidP="00867DDC">
      <w:pPr>
        <w:bidi/>
        <w:jc w:val="both"/>
        <w:rPr>
          <w:rFonts w:cs="Guttman Drogolin"/>
          <w:rtl/>
          <w:lang w:bidi="he-IL"/>
        </w:rPr>
      </w:pPr>
      <w:r w:rsidRPr="00882F11">
        <w:rPr>
          <w:rFonts w:cs="Guttman Drogolin" w:hint="cs"/>
          <w:rtl/>
          <w:lang w:bidi="he-IL"/>
        </w:rPr>
        <w:t xml:space="preserve">והנה באמת לא ירדתי לגמרי לסוף דעתו של הגראב"ו, דהא זה פשוט שאין הדין של ביטול ברוב אותו כלל ממש של כל דפריש מרובא פריש. דהא בגמ' שלנו גופא אמרו שאין יבש מתבטל ביבש היכא דהוי ברי' או חתיכה הראוי' להתכבד. </w:t>
      </w:r>
      <w:r w:rsidR="00DC0F3F" w:rsidRPr="00882F11">
        <w:rPr>
          <w:rFonts w:cs="Guttman Drogolin" w:hint="cs"/>
          <w:rtl/>
          <w:lang w:bidi="he-IL"/>
        </w:rPr>
        <w:t>וא</w:t>
      </w:r>
      <w:r w:rsidR="00CF2182" w:rsidRPr="00882F11">
        <w:rPr>
          <w:rFonts w:cs="Guttman Drogolin" w:hint="cs"/>
          <w:rtl/>
          <w:lang w:bidi="he-IL"/>
        </w:rPr>
        <w:t xml:space="preserve">ילו בכללא דכל דפריש מרובא פריש ודאי ליתי' לכלל זה, ואיבעית אמא קרא ואיבעית אימא סברא. איבעית אימא קרא, דהא חזינן בכגון מס' כתובות דף </w:t>
      </w:r>
      <w:r w:rsidR="007A4E48" w:rsidRPr="00882F11">
        <w:rPr>
          <w:rFonts w:cs="Guttman Drogolin" w:hint="cs"/>
          <w:rtl/>
          <w:lang w:bidi="he-IL"/>
        </w:rPr>
        <w:t>ט"ו ע"א דאמרינן כל דפריש מרובא פריש בבועל את האשה לומר שהוא כשר או פסול. ואיבעית אימא סברא, דבשלמא בדין ביטול י"ל שברי' או חתיכה הראוי' להתכבד הוא חשוב ולכן לא יהי' בטל, אבל ב</w:t>
      </w:r>
      <w:r w:rsidR="000921AA" w:rsidRPr="00882F11">
        <w:rPr>
          <w:rFonts w:cs="Guttman Drogolin" w:hint="cs"/>
          <w:rtl/>
          <w:lang w:bidi="he-IL"/>
        </w:rPr>
        <w:t>דין הלוך אחר הרוב מה איכפת לן ב</w:t>
      </w:r>
      <w:r w:rsidR="007A4E48" w:rsidRPr="00882F11">
        <w:rPr>
          <w:rFonts w:cs="Guttman Drogolin" w:hint="cs"/>
          <w:rtl/>
          <w:lang w:bidi="he-IL"/>
        </w:rPr>
        <w:t xml:space="preserve">ברי' או חתיכה הראוי להתכבד, הא אין אנו מבטלין את חתיכת האיסור רק קובעים </w:t>
      </w:r>
      <w:r w:rsidR="00DC0F3F" w:rsidRPr="00882F11">
        <w:rPr>
          <w:rFonts w:cs="Guttman Drogolin" w:hint="cs"/>
          <w:rtl/>
          <w:lang w:bidi="he-IL"/>
        </w:rPr>
        <w:t xml:space="preserve">טיבו של חתיכה זו </w:t>
      </w:r>
      <w:r w:rsidR="007A4E48" w:rsidRPr="00882F11">
        <w:rPr>
          <w:rFonts w:cs="Guttman Drogolin" w:hint="cs"/>
          <w:rtl/>
          <w:lang w:bidi="he-IL"/>
        </w:rPr>
        <w:t>ע"פ ההסת</w:t>
      </w:r>
      <w:r w:rsidR="00DC0F3F" w:rsidRPr="00882F11">
        <w:rPr>
          <w:rFonts w:cs="Guttman Drogolin" w:hint="cs"/>
          <w:rtl/>
          <w:lang w:bidi="he-IL"/>
        </w:rPr>
        <w:t>ב</w:t>
      </w:r>
      <w:r w:rsidR="007A4E48" w:rsidRPr="00882F11">
        <w:rPr>
          <w:rFonts w:cs="Guttman Drogolin" w:hint="cs"/>
          <w:rtl/>
          <w:lang w:bidi="he-IL"/>
        </w:rPr>
        <w:t>רות. וכן עצם הלשון של 'ליבטל ברובא' משמע שהוא ענין של ביטול ולא ענין של הל</w:t>
      </w:r>
      <w:r w:rsidR="00511E36" w:rsidRPr="00882F11">
        <w:rPr>
          <w:rFonts w:cs="Guttman Drogolin" w:hint="cs"/>
          <w:rtl/>
          <w:lang w:bidi="he-IL"/>
        </w:rPr>
        <w:t>ו</w:t>
      </w:r>
      <w:r w:rsidR="007A4E48" w:rsidRPr="00882F11">
        <w:rPr>
          <w:rFonts w:cs="Guttman Drogolin" w:hint="cs"/>
          <w:rtl/>
          <w:lang w:bidi="he-IL"/>
        </w:rPr>
        <w:t>ך</w:t>
      </w:r>
      <w:r w:rsidR="00A36E41" w:rsidRPr="00882F11">
        <w:rPr>
          <w:rFonts w:cs="Guttman Drogolin" w:hint="cs"/>
          <w:rtl/>
          <w:lang w:bidi="he-IL"/>
        </w:rPr>
        <w:t xml:space="preserve"> </w:t>
      </w:r>
      <w:r w:rsidR="00511E36" w:rsidRPr="00882F11">
        <w:rPr>
          <w:rFonts w:cs="Guttman Drogolin" w:hint="cs"/>
          <w:rtl/>
          <w:lang w:bidi="he-IL"/>
        </w:rPr>
        <w:t>אחר הרוב. אלא דא"כ תיקשי באמת מהו טעמו של הרי"ד לומר שאם אכל כל החתיכות שחייב חטאת, הא חתיכת האיסור נתבטלה וכמש"נ.</w:t>
      </w:r>
    </w:p>
    <w:p w:rsidR="009415C1" w:rsidRPr="00882F11" w:rsidRDefault="00C259AB" w:rsidP="004F7EFC">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ביטול יבש ביבש</w:instrText>
      </w:r>
      <w:r w:rsidRPr="00882F11">
        <w:rPr>
          <w:rFonts w:cs="Guttman Drogolin"/>
          <w:rtl/>
        </w:rPr>
        <w:instrText>:</w:instrText>
      </w:r>
      <w:r w:rsidRPr="00882F11">
        <w:rPr>
          <w:rFonts w:cs="Guttman Drogolin" w:hint="cs"/>
          <w:rtl/>
          <w:lang w:bidi="he-IL"/>
        </w:rPr>
        <w:instrText>שיטת הרא</w:instrText>
      </w:r>
      <w:r w:rsidRPr="00882F11">
        <w:rPr>
          <w:rFonts w:eastAsiaTheme="minorEastAsia" w:cs="Guttman Drogolin"/>
          <w:lang w:bidi="he-IL"/>
        </w:rPr>
        <w:instrText>\</w:instrText>
      </w:r>
      <w:r w:rsidRPr="00882F11">
        <w:rPr>
          <w:rFonts w:cs="Guttman Drogolin" w:hint="cs"/>
          <w:rtl/>
          <w:lang w:bidi="he-IL"/>
        </w:rPr>
        <w:instrText>"ש</w:instrText>
      </w:r>
      <w:r w:rsidRPr="00882F11">
        <w:rPr>
          <w:rFonts w:cs="Guttman Drogolin"/>
        </w:rPr>
        <w:instrText xml:space="preserve">" </w:instrText>
      </w:r>
      <w:r w:rsidRPr="00882F11">
        <w:rPr>
          <w:rFonts w:cs="Guttman Drogolin"/>
          <w:rtl/>
          <w:lang w:bidi="he-IL"/>
        </w:rPr>
        <w:fldChar w:fldCharType="end"/>
      </w:r>
      <w:r w:rsidR="00511E36" w:rsidRPr="00882F11">
        <w:rPr>
          <w:rFonts w:cs="Guttman Drogolin" w:hint="cs"/>
          <w:rtl/>
          <w:lang w:bidi="he-IL"/>
        </w:rPr>
        <w:t xml:space="preserve">ונראה </w:t>
      </w:r>
      <w:r w:rsidR="004D2AF8" w:rsidRPr="00882F11">
        <w:rPr>
          <w:rFonts w:cs="Guttman Drogolin" w:hint="cs"/>
          <w:rtl/>
          <w:lang w:bidi="he-IL"/>
        </w:rPr>
        <w:t xml:space="preserve">בהקדם דהנה שיטת הרא"ש היא להיפך שיטת הרי"ד, שהרא"ש האריך להוכיח שאם חתיכה התערב בחתיכות אחרות ונתבטלה ברוב שמותר לאכול את כל התערובת בבת אחת. </w:t>
      </w:r>
      <w:r w:rsidR="004D2AF8" w:rsidRPr="00882F11">
        <w:rPr>
          <w:rFonts w:cs="Guttman Drogolin" w:hint="cs"/>
          <w:rtl/>
          <w:lang w:bidi="he-IL"/>
        </w:rPr>
        <w:lastRenderedPageBreak/>
        <w:t>והפשוט בביאור דבריו הוא שלא שנא לח בלח ולא שנא יבש ביבש</w:t>
      </w:r>
      <w:r w:rsidR="00DC0F3F" w:rsidRPr="00882F11">
        <w:rPr>
          <w:rFonts w:cs="Guttman Drogolin" w:hint="cs"/>
          <w:rtl/>
          <w:lang w:bidi="he-IL"/>
        </w:rPr>
        <w:t>, בביטול</w:t>
      </w:r>
      <w:r w:rsidR="004D2AF8" w:rsidRPr="00882F11">
        <w:rPr>
          <w:rFonts w:cs="Guttman Drogolin" w:hint="cs"/>
          <w:rtl/>
          <w:lang w:bidi="he-IL"/>
        </w:rPr>
        <w:t xml:space="preserve"> ברוב חתיכת האיסור נהפך להיות היתר (כלשון הרא"ש) ולכן לא איכפת לן שידעינן שאוכל חתיכת האיסור דהא אותה חתיכה הותרה ומותר לאוכלו. אלא שנ</w:t>
      </w:r>
      <w:r w:rsidR="00DC0F3F" w:rsidRPr="00882F11">
        <w:rPr>
          <w:rFonts w:cs="Guttman Drogolin" w:hint="cs"/>
          <w:rtl/>
          <w:lang w:bidi="he-IL"/>
        </w:rPr>
        <w:t>ראה לבאר שיטת הרא"ש יותר. דהנה מפורסמים דברי תוס</w:t>
      </w:r>
      <w:r w:rsidR="004D2AF8" w:rsidRPr="00882F11">
        <w:rPr>
          <w:rFonts w:cs="Guttman Drogolin" w:hint="cs"/>
          <w:rtl/>
          <w:lang w:bidi="he-IL"/>
        </w:rPr>
        <w:t xml:space="preserve">' הרא"ש במס' ב"מ דף ו' ע"ב שכתב שאפילו כשיש ביטול ברוב ונהפך האיסור להיות היתר, מ"מ כל חלק וחלק של התערובת יש לו דין ספק איסור, ולכן עדיין שייך לגבי' הגזה"כ ד'עשירי ודאי לא עשירי ספק'. </w:t>
      </w:r>
      <w:r w:rsidR="004F7EFC" w:rsidRPr="00882F11">
        <w:rPr>
          <w:rFonts w:cs="Guttman Drogolin" w:hint="cs"/>
          <w:rtl/>
          <w:lang w:bidi="he-IL"/>
        </w:rPr>
        <w:t>ולכאורה דב</w:t>
      </w:r>
      <w:r w:rsidR="00DC0F3F" w:rsidRPr="00882F11">
        <w:rPr>
          <w:rFonts w:cs="Guttman Drogolin" w:hint="cs"/>
          <w:rtl/>
          <w:lang w:bidi="he-IL"/>
        </w:rPr>
        <w:t>ר</w:t>
      </w:r>
      <w:r w:rsidR="004F7EFC" w:rsidRPr="00882F11">
        <w:rPr>
          <w:rFonts w:cs="Guttman Drogolin" w:hint="cs"/>
          <w:rtl/>
          <w:lang w:bidi="he-IL"/>
        </w:rPr>
        <w:t xml:space="preserve"> זה אינו אומר </w:t>
      </w:r>
      <w:r w:rsidR="00DC0F3F" w:rsidRPr="00882F11">
        <w:rPr>
          <w:rFonts w:cs="Guttman Drogolin" w:hint="cs"/>
          <w:rtl/>
          <w:lang w:bidi="he-IL"/>
        </w:rPr>
        <w:t xml:space="preserve">אלא </w:t>
      </w:r>
      <w:r w:rsidR="004F7EFC" w:rsidRPr="00882F11">
        <w:rPr>
          <w:rFonts w:cs="Guttman Drogolin" w:hint="cs"/>
          <w:rtl/>
          <w:lang w:bidi="he-IL"/>
        </w:rPr>
        <w:t xml:space="preserve">דרשני, דלכאורה </w:t>
      </w:r>
      <w:r w:rsidR="00DC0F3F" w:rsidRPr="00882F11">
        <w:rPr>
          <w:rFonts w:cs="Guttman Drogolin" w:hint="cs"/>
          <w:rtl/>
          <w:lang w:bidi="he-IL"/>
        </w:rPr>
        <w:t>שני הענינים ה</w:t>
      </w:r>
      <w:r w:rsidR="004F7EFC" w:rsidRPr="00882F11">
        <w:rPr>
          <w:rFonts w:cs="Guttman Drogolin" w:hint="cs"/>
          <w:rtl/>
          <w:lang w:bidi="he-IL"/>
        </w:rPr>
        <w:t xml:space="preserve">ללו הפכיים הם, דאיך אפשר לומר מצד א' שנהפך האיסור להיות היתר, ומצד שני שעדיין יש עליו שם ספק. </w:t>
      </w:r>
    </w:p>
    <w:p w:rsidR="00275859" w:rsidRPr="00882F11" w:rsidRDefault="009415C1" w:rsidP="00867DDC">
      <w:pPr>
        <w:bidi/>
        <w:jc w:val="both"/>
        <w:rPr>
          <w:rFonts w:cs="Guttman Drogolin"/>
          <w:rtl/>
          <w:lang w:bidi="he-IL"/>
        </w:rPr>
      </w:pPr>
      <w:r w:rsidRPr="00882F11">
        <w:rPr>
          <w:rFonts w:cs="Guttman Drogolin" w:hint="cs"/>
          <w:rtl/>
          <w:lang w:bidi="he-IL"/>
        </w:rPr>
        <w:t xml:space="preserve">ונראה הביאור בדבריו, דהנה זה פשוט שאפילו אם חל חלות היתר על החתיכה מדין אחרי רבים להטות, מ"מ אין זה היתר כמו שחיטה. שאם בסוף יתברר לך איזה חתיכה אסורה ואיזה חתיכה מותרת </w:t>
      </w:r>
      <w:r w:rsidR="00606534" w:rsidRPr="00882F11">
        <w:rPr>
          <w:rFonts w:cs="Guttman Drogolin" w:hint="cs"/>
          <w:rtl/>
          <w:lang w:bidi="he-IL"/>
        </w:rPr>
        <w:t>ודאי שיהי' אסור לו לאכול חתיכה האיסור. והיינו כמו ביאר הגראב"ו בקוה"ע שאפילו בשעת ביטול סיבת האיסור קיים. ור"ל שאין אנו אומרים שאין לחתיכת איסור במקומו שם חתיכה של איסור, רק שמ"מ חל עליו ההיתר של רוב. והגראב"ו חידד דבר זה וביאר שהוא גם דבר פשוט שאם הי' לו תערובת של כלים, רובם טהורים ומיעוטם טמאים, באופן שמדין אחרי רבים להטות אמרינן שכולם טהורים, ויטבי</w:t>
      </w:r>
      <w:r w:rsidR="00867DDC" w:rsidRPr="00882F11">
        <w:rPr>
          <w:rFonts w:cs="Guttman Drogolin" w:hint="cs"/>
          <w:rtl/>
          <w:lang w:bidi="he-IL"/>
        </w:rPr>
        <w:t>ל</w:t>
      </w:r>
      <w:r w:rsidR="00606534" w:rsidRPr="00882F11">
        <w:rPr>
          <w:rFonts w:cs="Guttman Drogolin" w:hint="cs"/>
          <w:rtl/>
          <w:lang w:bidi="he-IL"/>
        </w:rPr>
        <w:t xml:space="preserve"> אותם במקוה בעוד טהרתם עליהם, ושוב יתברר </w:t>
      </w:r>
      <w:r w:rsidR="00606534" w:rsidRPr="00882F11">
        <w:rPr>
          <w:rFonts w:cs="Guttman Drogolin" w:hint="cs"/>
          <w:rtl/>
          <w:lang w:bidi="he-IL"/>
        </w:rPr>
        <w:lastRenderedPageBreak/>
        <w:t xml:space="preserve">לו איזה כלים היו טמאים ואיזה היו טהורים, שבוזאי הדין הוא שאותם כלים התטהרו בטבילתם, ולא אמרינן דהא בשעת הטבילה הרי היו טהורים מדין אחרי רבים להטות, ואיך אפשר לטהר כלי טהור. והטעם הוא כנ"ל, שאין משנים את מציאות הדברים ע"י הדין של בירול ברוב, רק שע"י דין ביטול חל על כל החתיכות דין להתנהג איתם כדינו של הרוב. ונראה שזהו הביאור בדברי הרא"ש שאפילו בכה"ג שנהפך האיסור להיות היתר, מ"מ לא פקע מיני' שם תערובת וספק איזה היתר ואיזה איסור, רק </w:t>
      </w:r>
      <w:r w:rsidR="00275859" w:rsidRPr="00882F11">
        <w:rPr>
          <w:rFonts w:cs="Guttman Drogolin" w:hint="cs"/>
          <w:rtl/>
          <w:lang w:bidi="he-IL"/>
        </w:rPr>
        <w:t xml:space="preserve">שנאמר הדין להתנהג בכל התחיבות כאילו </w:t>
      </w:r>
      <w:r w:rsidR="003A58B1" w:rsidRPr="00882F11">
        <w:rPr>
          <w:rFonts w:cs="Guttman Drogolin" w:hint="cs"/>
          <w:rtl/>
          <w:lang w:bidi="he-IL"/>
        </w:rPr>
        <w:t>י</w:t>
      </w:r>
      <w:r w:rsidR="00275859" w:rsidRPr="00882F11">
        <w:rPr>
          <w:rFonts w:cs="Guttman Drogolin" w:hint="cs"/>
          <w:rtl/>
          <w:lang w:bidi="he-IL"/>
        </w:rPr>
        <w:t>ש לכולם דינו של הרוב בתורת ודאי.</w:t>
      </w:r>
    </w:p>
    <w:p w:rsidR="003A58B1" w:rsidRPr="00882F11" w:rsidRDefault="00275859" w:rsidP="00AC0F1C">
      <w:pPr>
        <w:bidi/>
        <w:jc w:val="both"/>
        <w:rPr>
          <w:rFonts w:cs="Guttman Drogolin"/>
          <w:rtl/>
          <w:lang w:bidi="he-IL"/>
        </w:rPr>
      </w:pPr>
      <w:r w:rsidRPr="00882F11">
        <w:rPr>
          <w:rFonts w:cs="Guttman Drogolin" w:hint="cs"/>
          <w:rtl/>
          <w:lang w:bidi="he-IL"/>
        </w:rPr>
        <w:t>וכי תימא דעדיין תיקשי, דכיון שלענין איסור והיתר נוהגין כדינו של הרוב בתורת ודאי, מאי שנא לענין מעש</w:t>
      </w:r>
      <w:r w:rsidR="00AC0F1C" w:rsidRPr="00882F11">
        <w:rPr>
          <w:rFonts w:cs="Guttman Drogolin" w:hint="cs"/>
          <w:rtl/>
          <w:lang w:bidi="he-IL"/>
        </w:rPr>
        <w:t>ר</w:t>
      </w:r>
      <w:r w:rsidRPr="00882F11">
        <w:rPr>
          <w:rFonts w:cs="Guttman Drogolin" w:hint="cs"/>
          <w:rtl/>
          <w:lang w:bidi="he-IL"/>
        </w:rPr>
        <w:t xml:space="preserve"> בהמה דלא אמרינן הכי. התי' הוא שהוא גזה"כ מיוחדת של 'עשירי ודאי', ור"ל שנאמר ה</w:t>
      </w:r>
      <w:r w:rsidR="00867DDC" w:rsidRPr="00882F11">
        <w:rPr>
          <w:rFonts w:cs="Guttman Drogolin" w:hint="cs"/>
          <w:rtl/>
          <w:lang w:bidi="he-IL"/>
        </w:rPr>
        <w:t xml:space="preserve">דין מגזה"כ שלענין מעשר בהמה לא </w:t>
      </w:r>
      <w:r w:rsidRPr="00882F11">
        <w:rPr>
          <w:rFonts w:cs="Guttman Drogolin" w:hint="cs"/>
          <w:rtl/>
          <w:lang w:bidi="he-IL"/>
        </w:rPr>
        <w:t xml:space="preserve">סגי בדין הכללי להתנהג עם כל חלקי התערובת כדינו של הרוב בתורת ודאי, אלא צריכים </w:t>
      </w:r>
      <w:r w:rsidR="003A58B1" w:rsidRPr="00882F11">
        <w:rPr>
          <w:rFonts w:cs="Guttman Drogolin" w:hint="cs"/>
          <w:rtl/>
          <w:lang w:bidi="he-IL"/>
        </w:rPr>
        <w:t>שלא יהא ספק בעצם, והכא הרי באמת ספק הוא.</w:t>
      </w:r>
    </w:p>
    <w:p w:rsidR="00CF3C87" w:rsidRPr="00882F11" w:rsidRDefault="003A58B1" w:rsidP="004953F8">
      <w:pPr>
        <w:bidi/>
        <w:jc w:val="both"/>
        <w:rPr>
          <w:rFonts w:cs="Guttman Drogolin"/>
          <w:rtl/>
          <w:lang w:bidi="he-IL"/>
        </w:rPr>
      </w:pPr>
      <w:r w:rsidRPr="00882F11">
        <w:rPr>
          <w:rFonts w:cs="Guttman Drogolin" w:hint="cs"/>
          <w:rtl/>
          <w:lang w:bidi="he-IL"/>
        </w:rPr>
        <w:t>וע"פ הקדמה זו נראה שאפשר לבא ולברר שם שיטת הרי"ד. והוא שבודאי גם הרי"ד מודה</w:t>
      </w:r>
      <w:r w:rsidR="00275859" w:rsidRPr="00882F11">
        <w:rPr>
          <w:rFonts w:cs="Guttman Drogolin" w:hint="cs"/>
          <w:rtl/>
          <w:lang w:bidi="he-IL"/>
        </w:rPr>
        <w:t xml:space="preserve"> </w:t>
      </w:r>
      <w:r w:rsidR="00CF3C87" w:rsidRPr="00882F11">
        <w:rPr>
          <w:rFonts w:cs="Guttman Drogolin" w:hint="cs"/>
          <w:rtl/>
          <w:lang w:bidi="he-IL"/>
        </w:rPr>
        <w:t>שיש כלל של ביטול ברוב שהוא כלל אחר מהלוך אחר הרוב</w:t>
      </w:r>
      <w:bookmarkStart w:id="51" w:name="_Ref436509317"/>
      <w:r w:rsidR="00744328" w:rsidRPr="00882F11">
        <w:rPr>
          <w:rStyle w:val="FootnoteReference"/>
          <w:rFonts w:cs="Guttman Drogolin"/>
          <w:rtl/>
          <w:lang w:bidi="he-IL"/>
        </w:rPr>
        <w:footnoteReference w:id="62"/>
      </w:r>
      <w:bookmarkEnd w:id="51"/>
      <w:r w:rsidR="00CF3C87" w:rsidRPr="00882F11">
        <w:rPr>
          <w:rFonts w:cs="Guttman Drogolin" w:hint="cs"/>
          <w:rtl/>
          <w:lang w:bidi="he-IL"/>
        </w:rPr>
        <w:t xml:space="preserve">. רק דסבר מ"מ שניהם הוו הנהגות בדבר שהוא ספק. שהכלל של כל דפריש מרובא פריש אומרת לנו לתלות החתיכה ברוב ע"פ ההסתברות. והכלל של ביטול ברוב אומרת לנו </w:t>
      </w:r>
      <w:r w:rsidR="00CF3C87" w:rsidRPr="00882F11">
        <w:rPr>
          <w:rFonts w:cs="Guttman Drogolin" w:hint="cs"/>
          <w:rtl/>
          <w:lang w:bidi="he-IL"/>
        </w:rPr>
        <w:lastRenderedPageBreak/>
        <w:t xml:space="preserve">שכשיש ספק שיש היתר להחשיב את כל התערובת כא' ויש לכל התערובת דינו של הרוב. אמנם הנ"מ כשיש ספק, אבל כשאין ספק לא נאמר לא דין זה ולא דין זה. ולכן סבר הרי"ד שאמנם מותר לאכול מן התערובת מדין אחרי רבים להטות, מ"מ הוא הנהגה בספק, ולכן אין להתי לא כדהדבר נשאר ספק, אבל כשאכל האיסור בתורת ודאי לא נאמר הגזה"כ דאחרי רבים להטות ויוצא שאכל חתיכה האסורה. ובזה חלק הרא"ש, דאמנם ביסודו יש עליו </w:t>
      </w:r>
      <w:r w:rsidR="004953F8" w:rsidRPr="00882F11">
        <w:rPr>
          <w:rFonts w:cs="Guttman Drogolin" w:hint="cs"/>
          <w:rtl/>
          <w:lang w:bidi="he-IL"/>
        </w:rPr>
        <w:t>ש</w:t>
      </w:r>
      <w:r w:rsidR="00CF3C87" w:rsidRPr="00882F11">
        <w:rPr>
          <w:rFonts w:cs="Guttman Drogolin" w:hint="cs"/>
          <w:rtl/>
          <w:lang w:bidi="he-IL"/>
        </w:rPr>
        <w:t>ם ספק, מ"מ הדין של ביטול ברוב אינו מבוסס על היותו ספק, ולכן אפילו כשיודע בודאי שאכל איסור לל"ב.</w:t>
      </w:r>
    </w:p>
    <w:p w:rsidR="00155229" w:rsidRPr="00882F11" w:rsidRDefault="00CF3C87" w:rsidP="00DA049C">
      <w:pPr>
        <w:bidi/>
        <w:jc w:val="both"/>
        <w:rPr>
          <w:rFonts w:cs="Guttman Drogolin"/>
          <w:rtl/>
          <w:lang w:bidi="he-IL"/>
        </w:rPr>
      </w:pPr>
      <w:r w:rsidRPr="00882F11">
        <w:rPr>
          <w:rFonts w:cs="Guttman Drogolin" w:hint="cs"/>
          <w:rtl/>
          <w:lang w:bidi="he-IL"/>
        </w:rPr>
        <w:t>ועדיין עלינו לבאר מה שהעיר עוד הגראב"ו שלדברי הרי"ד עדיין יהא צ"ע למה מותר לאכול תערובת של לח בלח, הא בלח בלח ודאי אוכל חלק של איסור בכל מעשה אכילה, וא"כ למה יהא מותר לשיטת הרי"ד. והגראב"ו כתב דע"כ גם הרי"ד מודה בלח בלח לרא"ש שנהפך האיסור להיות היתר. ואני אוסיף להעיר שלכאורה יל"ע בעצ</w:t>
      </w:r>
      <w:r w:rsidR="00155229" w:rsidRPr="00882F11">
        <w:rPr>
          <w:rFonts w:cs="Guttman Drogolin" w:hint="cs"/>
          <w:rtl/>
          <w:lang w:bidi="he-IL"/>
        </w:rPr>
        <w:t>ם</w:t>
      </w:r>
      <w:r w:rsidRPr="00882F11">
        <w:rPr>
          <w:rFonts w:cs="Guttman Drogolin" w:hint="cs"/>
          <w:rtl/>
          <w:lang w:bidi="he-IL"/>
        </w:rPr>
        <w:t xml:space="preserve"> השא</w:t>
      </w:r>
      <w:r w:rsidR="00155229" w:rsidRPr="00882F11">
        <w:rPr>
          <w:rFonts w:cs="Guttman Drogolin" w:hint="cs"/>
          <w:rtl/>
          <w:lang w:bidi="he-IL"/>
        </w:rPr>
        <w:t>ל</w:t>
      </w:r>
      <w:r w:rsidRPr="00882F11">
        <w:rPr>
          <w:rFonts w:cs="Guttman Drogolin" w:hint="cs"/>
          <w:rtl/>
          <w:lang w:bidi="he-IL"/>
        </w:rPr>
        <w:t>ה אם יש לה מקור</w:t>
      </w:r>
      <w:r w:rsidR="00155229" w:rsidRPr="00882F11">
        <w:rPr>
          <w:rFonts w:cs="Guttman Drogolin" w:hint="cs"/>
          <w:rtl/>
          <w:lang w:bidi="he-IL"/>
        </w:rPr>
        <w:t xml:space="preserve">, </w:t>
      </w:r>
      <w:r w:rsidR="00867DDC" w:rsidRPr="00882F11">
        <w:rPr>
          <w:rFonts w:cs="Guttman Drogolin" w:hint="cs"/>
          <w:rtl/>
          <w:lang w:bidi="he-IL"/>
        </w:rPr>
        <w:t>ד</w:t>
      </w:r>
      <w:r w:rsidR="00155229" w:rsidRPr="00882F11">
        <w:rPr>
          <w:rFonts w:cs="Guttman Drogolin" w:hint="cs"/>
          <w:rtl/>
          <w:lang w:bidi="he-IL"/>
        </w:rPr>
        <w:t>מנלן באמת שהוא בטל אי משום שהתירו לא</w:t>
      </w:r>
      <w:r w:rsidR="00867DDC" w:rsidRPr="00882F11">
        <w:rPr>
          <w:rFonts w:cs="Guttman Drogolin" w:hint="cs"/>
          <w:rtl/>
          <w:lang w:bidi="he-IL"/>
        </w:rPr>
        <w:t>כ</w:t>
      </w:r>
      <w:r w:rsidR="00155229" w:rsidRPr="00882F11">
        <w:rPr>
          <w:rFonts w:cs="Guttman Drogolin" w:hint="cs"/>
          <w:rtl/>
          <w:lang w:bidi="he-IL"/>
        </w:rPr>
        <w:t>ול תערובת של לח בלח בדליכא טעם או בדאיכא ששים אע"ג שבודאי יש שם חצי שיעור מן האיסור, הא איכא למ"ד דחצי שיעור ע"י תערובת מותר, ושם אינו מטעם ביטול רק משום דכה"ג לא מצטרף</w:t>
      </w:r>
      <w:r w:rsidR="000471C7" w:rsidRPr="00882F11">
        <w:rPr>
          <w:rStyle w:val="FootnoteReference"/>
          <w:rFonts w:cs="Guttman Drogolin"/>
          <w:rtl/>
          <w:lang w:bidi="he-IL"/>
        </w:rPr>
        <w:footnoteReference w:id="63"/>
      </w:r>
      <w:r w:rsidR="00155229" w:rsidRPr="00882F11">
        <w:rPr>
          <w:rFonts w:cs="Guttman Drogolin" w:hint="cs"/>
          <w:rtl/>
          <w:lang w:bidi="he-IL"/>
        </w:rPr>
        <w:t>.</w:t>
      </w:r>
    </w:p>
    <w:p w:rsidR="00E8665E" w:rsidRPr="00882F11" w:rsidRDefault="004953F8" w:rsidP="0078079C">
      <w:pPr>
        <w:pStyle w:val="Heading1"/>
        <w:bidi/>
        <w:spacing w:before="0" w:line="360" w:lineRule="auto"/>
        <w:jc w:val="center"/>
        <w:rPr>
          <w:rFonts w:cs="Guttman Drogolin"/>
          <w:color w:val="auto"/>
          <w:sz w:val="24"/>
          <w:szCs w:val="24"/>
          <w:u w:val="single"/>
          <w:rtl/>
          <w:lang w:bidi="he-IL"/>
        </w:rPr>
      </w:pPr>
      <w:bookmarkStart w:id="52" w:name="_Toc496175315"/>
      <w:r w:rsidRPr="00882F11">
        <w:rPr>
          <w:rFonts w:cs="Guttman Drogolin" w:hint="cs"/>
          <w:color w:val="auto"/>
          <w:sz w:val="24"/>
          <w:szCs w:val="24"/>
          <w:u w:val="single"/>
          <w:rtl/>
          <w:lang w:bidi="he-IL"/>
        </w:rPr>
        <w:t>שיעור הביטול ביבש ביבש</w:t>
      </w:r>
      <w:r w:rsidR="007D41DF" w:rsidRPr="00882F11">
        <w:rPr>
          <w:rFonts w:cs="Guttman Drogolin" w:hint="cs"/>
          <w:color w:val="auto"/>
          <w:sz w:val="24"/>
          <w:szCs w:val="24"/>
          <w:u w:val="single"/>
          <w:rtl/>
          <w:lang w:bidi="he-IL"/>
        </w:rPr>
        <w:t xml:space="preserve"> לאחר שנתבשל</w:t>
      </w:r>
      <w:bookmarkEnd w:id="52"/>
    </w:p>
    <w:p w:rsidR="00C72040" w:rsidRPr="00882F11" w:rsidRDefault="00F13E10" w:rsidP="00E1682C">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ביטול יבש ביבש</w:instrText>
      </w:r>
      <w:r w:rsidRPr="00882F11">
        <w:rPr>
          <w:rFonts w:cs="Guttman Drogolin"/>
          <w:rtl/>
        </w:rPr>
        <w:instrText>:</w:instrText>
      </w:r>
      <w:r w:rsidRPr="00882F11">
        <w:rPr>
          <w:rFonts w:cs="Guttman Drogolin" w:hint="cs"/>
          <w:rtl/>
          <w:lang w:bidi="he-IL"/>
        </w:rPr>
        <w:instrText>ביטל ושוב נתבשל</w:instrText>
      </w:r>
      <w:r w:rsidRPr="00882F11">
        <w:rPr>
          <w:rFonts w:cs="Guttman Drogolin"/>
        </w:rPr>
        <w:instrText xml:space="preserve">" </w:instrText>
      </w:r>
      <w:r w:rsidRPr="00882F11">
        <w:rPr>
          <w:rFonts w:cs="Guttman Drogolin"/>
          <w:rtl/>
          <w:lang w:bidi="he-IL"/>
        </w:rPr>
        <w:fldChar w:fldCharType="end"/>
      </w:r>
      <w:r w:rsidR="004953F8" w:rsidRPr="00882F11">
        <w:rPr>
          <w:rFonts w:cs="Guttman Drogolin" w:hint="cs"/>
          <w:rtl/>
          <w:lang w:bidi="he-IL"/>
        </w:rPr>
        <w:t>הנה במין בשאינו מינו ראינו שדינו להתבטל בדליכא טעם (ושיתכן שהחמירו להצריך גם ס'), וכן במין במינו מבואר שם שדינו להתבטל בששים. ויל"ע אם דין זה נאמר בביטול יבש ביבש. והנה לשון הגמ' הי</w:t>
      </w:r>
      <w:r w:rsidR="007D41DF" w:rsidRPr="00882F11">
        <w:rPr>
          <w:rFonts w:cs="Guttman Drogolin" w:hint="cs"/>
          <w:rtl/>
          <w:lang w:bidi="he-IL"/>
        </w:rPr>
        <w:t>א</w:t>
      </w:r>
      <w:r w:rsidR="004953F8" w:rsidRPr="00882F11">
        <w:rPr>
          <w:rFonts w:cs="Guttman Drogolin" w:hint="cs"/>
          <w:rtl/>
          <w:lang w:bidi="he-IL"/>
        </w:rPr>
        <w:t xml:space="preserve"> דתיבטל הגיד ברוב, וסתימת הדברים משמע שצריכים רק רוב ולא ששים (במין במינו). </w:t>
      </w:r>
      <w:r w:rsidR="00E1682C" w:rsidRPr="00882F11">
        <w:rPr>
          <w:rFonts w:cs="Guttman Drogolin" w:hint="cs"/>
          <w:rtl/>
          <w:lang w:bidi="he-IL"/>
        </w:rPr>
        <w:t>ו</w:t>
      </w:r>
      <w:r w:rsidR="007D41DF" w:rsidRPr="00882F11">
        <w:rPr>
          <w:rFonts w:cs="Guttman Drogolin" w:hint="cs"/>
          <w:rtl/>
          <w:lang w:bidi="he-IL"/>
        </w:rPr>
        <w:t>כן הוא שיטת הרא"ש כאן ועוד כמה ראשונים. וכן לכאורה נראה שהוא שטת</w:t>
      </w:r>
      <w:r w:rsidR="00AF738A" w:rsidRPr="00882F11">
        <w:rPr>
          <w:rFonts w:cs="Guttman Drogolin" w:hint="cs"/>
          <w:rtl/>
          <w:lang w:bidi="he-IL"/>
        </w:rPr>
        <w:t xml:space="preserve"> התוס', שהתוס' כתבו בסו</w:t>
      </w:r>
      <w:r w:rsidR="005738DC" w:rsidRPr="00882F11">
        <w:rPr>
          <w:rFonts w:cs="Guttman Drogolin" w:hint="cs"/>
          <w:rtl/>
          <w:lang w:bidi="he-IL"/>
        </w:rPr>
        <w:t>ף</w:t>
      </w:r>
      <w:r w:rsidR="00AF738A" w:rsidRPr="00882F11">
        <w:rPr>
          <w:rFonts w:cs="Guttman Drogolin" w:hint="cs"/>
          <w:rtl/>
          <w:lang w:bidi="he-IL"/>
        </w:rPr>
        <w:t xml:space="preserve"> דבריהם </w:t>
      </w:r>
      <w:r w:rsidR="007D41DF" w:rsidRPr="00882F11">
        <w:rPr>
          <w:rFonts w:cs="Guttman Drogolin" w:hint="cs"/>
          <w:rtl/>
          <w:lang w:bidi="he-IL"/>
        </w:rPr>
        <w:t xml:space="preserve">"ואפילו איסור דרבנן ליכא כדמשמע הכא". ובחי רע"א הקשה שבודאי ליכא איסור דרבנן כשיש רוב, </w:t>
      </w:r>
      <w:r w:rsidR="007D41DF" w:rsidRPr="00882F11">
        <w:rPr>
          <w:rFonts w:cs="Guttman Drogolin" w:hint="cs"/>
          <w:rtl/>
          <w:lang w:bidi="he-IL"/>
        </w:rPr>
        <w:lastRenderedPageBreak/>
        <w:t xml:space="preserve">שאם יש אין שום תירוץ בזה שהוא ברי' שגם ברי' אינו מונע ביטול אלא מדרבנן. ולולא דמסתפינא הו"א שכוונת התוס' לומר דלא בעינן ששים, ואילו היינו צריכים ששים הי' אפשר לומר שכוונת הגמ' דליבטל בששים וכמו שפירשו הראשונים שבסמוך. ובזה הי' שפיר אפשר לדחות שאפילו אם יש ששים מ"מ ברי' שאני. ובזה כתבו התוס' דלא משמע שמדרבנן צריכים ששים מסתימת הלשון כמש"נ. </w:t>
      </w:r>
      <w:r w:rsidR="004953F8" w:rsidRPr="00882F11">
        <w:rPr>
          <w:rFonts w:cs="Guttman Drogolin" w:hint="cs"/>
          <w:rtl/>
          <w:lang w:bidi="he-IL"/>
        </w:rPr>
        <w:t>אמנם שיטת הר"א אב"ד המובא ברמב"ן ורשב"א לעיל בדף צ"ז ע"ב, וכן הוא גם שיטת הרמב"ם, שגם בביטול יבש ביבש במין במינו צריכים ששים.</w:t>
      </w:r>
      <w:r w:rsidR="007D41DF" w:rsidRPr="00882F11">
        <w:rPr>
          <w:rFonts w:cs="Guttman Drogolin" w:hint="cs"/>
          <w:rtl/>
          <w:lang w:bidi="he-IL"/>
        </w:rPr>
        <w:t xml:space="preserve"> </w:t>
      </w:r>
    </w:p>
    <w:p w:rsidR="00EA36F6" w:rsidRPr="00882F11" w:rsidRDefault="00C72040" w:rsidP="00EA36F6">
      <w:pPr>
        <w:bidi/>
        <w:jc w:val="both"/>
        <w:rPr>
          <w:rFonts w:cs="Guttman Drogolin"/>
          <w:rtl/>
          <w:lang w:bidi="he-IL"/>
        </w:rPr>
      </w:pPr>
      <w:r w:rsidRPr="00882F11">
        <w:rPr>
          <w:rFonts w:cs="Guttman Drogolin" w:hint="cs"/>
          <w:rtl/>
          <w:lang w:bidi="he-IL"/>
        </w:rPr>
        <w:t>והנה ברא"ש מבואר שאם הי' תערובת יבש ביבש של מין בשאינו מינו ושוב בישלם ביחד אסור לאוכלם. אמנם אם הי' מין במינו</w:t>
      </w:r>
      <w:r w:rsidR="00273F1F" w:rsidRPr="00882F11">
        <w:rPr>
          <w:rFonts w:cs="Guttman Drogolin" w:hint="cs"/>
          <w:rtl/>
          <w:lang w:bidi="he-IL"/>
        </w:rPr>
        <w:t xml:space="preserve"> הדבר תלוי, שאם ידעו מן התערובת קודם הדין הוא שמותר לבשלם כולם כא', אבל אם עדיין לא ידעו התערובת אסורה. והנה דהא שהתערובת אסור אם הוא מין בשאינו מינו, נחלקו האחרונים אם לדעת הרא"ש הוא אסור מדאורייתא כשחזר ובישלו וטועמו או רק מדרבנן. ויש לבאר פלוגתתם. דההנה לכאורה הי' </w:t>
      </w:r>
      <w:r w:rsidR="00EA36F6" w:rsidRPr="00882F11">
        <w:rPr>
          <w:rFonts w:cs="Guttman Drogolin" w:hint="cs"/>
          <w:rtl/>
          <w:lang w:bidi="he-IL"/>
        </w:rPr>
        <w:t>עולה</w:t>
      </w:r>
      <w:r w:rsidR="00273F1F" w:rsidRPr="00882F11">
        <w:rPr>
          <w:rFonts w:cs="Guttman Drogolin" w:hint="cs"/>
          <w:rtl/>
          <w:lang w:bidi="he-IL"/>
        </w:rPr>
        <w:t xml:space="preserve"> על הדעת לומר שנחלקו אי אמרינן שהוכר האיסור וליכא ביטול עד כמה שטועם את האיסור או לא. אמנם נראה שאין זה הכוונה, דהא אמנם יש היכר טעם של כל המינים, אבל אינו מכיר איזה טעם הוא איסור ואיזה טעם הוא היתר. וא"כ לכאורה אין להחמיר בזה יותר ממה שהחמירו בה קודם שנתבשל, דהא בכל ביטול יבש ביבש כל חתיכה ניכרת היא בפני עצמה, אבל מ"מ הוא בטל כיון שאינו יודע איזה מהן הוא אסור ואיזה מהן מותר. וא"כ גם עכשיו לא מהני ההיכר הטעם כיון שאינו יודע איזה ט</w:t>
      </w:r>
      <w:r w:rsidR="00EE4458" w:rsidRPr="00882F11">
        <w:rPr>
          <w:rFonts w:cs="Guttman Drogolin" w:hint="cs"/>
          <w:rtl/>
          <w:lang w:bidi="he-IL"/>
        </w:rPr>
        <w:t xml:space="preserve">עם אוסר ואיזה </w:t>
      </w:r>
      <w:r w:rsidR="00273F1F" w:rsidRPr="00882F11">
        <w:rPr>
          <w:rFonts w:cs="Guttman Drogolin" w:hint="cs"/>
          <w:rtl/>
          <w:lang w:bidi="he-IL"/>
        </w:rPr>
        <w:t xml:space="preserve">טעם מתיר. ואולי </w:t>
      </w:r>
      <w:r w:rsidR="00EA36F6" w:rsidRPr="00882F11">
        <w:rPr>
          <w:rFonts w:cs="Guttman Drogolin" w:hint="cs"/>
          <w:rtl/>
          <w:lang w:bidi="he-IL"/>
        </w:rPr>
        <w:t xml:space="preserve">יהי' בזה נפק"מ בכה"ג שיודע איזה טעם אוסר, רק שאינו יודע איזה חתיכה יש לה את הטעם של איסור, אבל משמע שבכל ענין הוא אוסר. ואיכא למימר שנחלקו אם בדאיכא טעם הרי זה מונע </w:t>
      </w:r>
      <w:r w:rsidR="00EA36F6" w:rsidRPr="00882F11">
        <w:rPr>
          <w:rFonts w:cs="Guttman Drogolin" w:hint="cs"/>
          <w:rtl/>
          <w:lang w:bidi="he-IL"/>
        </w:rPr>
        <w:lastRenderedPageBreak/>
        <w:t>הביטול, ועל דרך מה שהבאנו לעיל בשיעור י' מהגר"א קוטלר.</w:t>
      </w:r>
    </w:p>
    <w:p w:rsidR="00604064" w:rsidRPr="00882F11" w:rsidRDefault="00EA36F6" w:rsidP="008A402C">
      <w:pPr>
        <w:bidi/>
        <w:jc w:val="both"/>
        <w:rPr>
          <w:rFonts w:cs="Guttman Drogolin"/>
          <w:rtl/>
          <w:lang w:bidi="he-IL"/>
        </w:rPr>
      </w:pPr>
      <w:r w:rsidRPr="00882F11">
        <w:rPr>
          <w:rFonts w:cs="Guttman Drogolin" w:hint="cs"/>
          <w:rtl/>
          <w:lang w:bidi="he-IL"/>
        </w:rPr>
        <w:t>ובמין במינו לכאורה הי' אפשר לומר באופן פשוט שהטעם שהתירו לבשל אותו הוא משום דמי גרע מאכילת כולן כאחת שהתיר הרא"ש. אלא שאין זה כ"כ פשוט, שהרי גם הרא"</w:t>
      </w:r>
      <w:r w:rsidR="00867DDC" w:rsidRPr="00882F11">
        <w:rPr>
          <w:rFonts w:cs="Guttman Drogolin" w:hint="cs"/>
          <w:rtl/>
          <w:lang w:bidi="he-IL"/>
        </w:rPr>
        <w:t>ש</w:t>
      </w:r>
      <w:r w:rsidRPr="00882F11">
        <w:rPr>
          <w:rFonts w:cs="Guttman Drogolin" w:hint="cs"/>
          <w:rtl/>
          <w:lang w:bidi="he-IL"/>
        </w:rPr>
        <w:t xml:space="preserve"> מודה שאם בישלן קודם הידיעה שהוא אסור, אע"ג שגם בזה מדאורייתא בטל ברוב, והטעם משום שגזרו מין במינו אטו מין בשאינו מינו, וא"כ נשאלת השאלה דמאי שנא ל</w:t>
      </w:r>
      <w:r w:rsidR="00867DDC" w:rsidRPr="00882F11">
        <w:rPr>
          <w:rFonts w:cs="Guttman Drogolin" w:hint="cs"/>
          <w:rtl/>
          <w:lang w:bidi="he-IL"/>
        </w:rPr>
        <w:t>א</w:t>
      </w:r>
      <w:r w:rsidRPr="00882F11">
        <w:rPr>
          <w:rFonts w:cs="Guttman Drogolin" w:hint="cs"/>
          <w:rtl/>
          <w:lang w:bidi="he-IL"/>
        </w:rPr>
        <w:t>חר הביטול דלא אמרינן הכי. ולזה כתב הרא"ש דכיון שהי</w:t>
      </w:r>
      <w:r w:rsidR="00867DDC" w:rsidRPr="00882F11">
        <w:rPr>
          <w:rFonts w:cs="Guttman Drogolin" w:hint="cs"/>
          <w:rtl/>
          <w:lang w:bidi="he-IL"/>
        </w:rPr>
        <w:t>'</w:t>
      </w:r>
      <w:r w:rsidRPr="00882F11">
        <w:rPr>
          <w:rFonts w:cs="Guttman Drogolin" w:hint="cs"/>
          <w:rtl/>
          <w:lang w:bidi="he-IL"/>
        </w:rPr>
        <w:t xml:space="preserve"> ידיעה והחתיכה מותרת א"א שהרוטב שיוצא ממנו יהי' אסור. ונראה הביאור בדבריו, שגדר הדין דרבנן שאמרו מין במינו צריך ששים, היינו כשיש טעם שהוא בעצם חפצא דאיסורא מדאורייתא, רק שאין טעם זה אוסר כיון שנכנ</w:t>
      </w:r>
      <w:r w:rsidR="00867DDC" w:rsidRPr="00882F11">
        <w:rPr>
          <w:rFonts w:cs="Guttman Drogolin" w:hint="cs"/>
          <w:rtl/>
          <w:lang w:bidi="he-IL"/>
        </w:rPr>
        <w:t xml:space="preserve">ס </w:t>
      </w:r>
      <w:r w:rsidRPr="00882F11">
        <w:rPr>
          <w:rFonts w:cs="Guttman Drogolin" w:hint="cs"/>
          <w:rtl/>
          <w:lang w:bidi="he-IL"/>
        </w:rPr>
        <w:t>ל</w:t>
      </w:r>
      <w:r w:rsidR="00867DDC" w:rsidRPr="00882F11">
        <w:rPr>
          <w:rFonts w:cs="Guttman Drogolin" w:hint="cs"/>
          <w:rtl/>
          <w:lang w:bidi="he-IL"/>
        </w:rPr>
        <w:t>ח</w:t>
      </w:r>
      <w:r w:rsidRPr="00882F11">
        <w:rPr>
          <w:rFonts w:cs="Guttman Drogolin" w:hint="cs"/>
          <w:rtl/>
          <w:lang w:bidi="he-IL"/>
        </w:rPr>
        <w:t>תיכה שיש לו אותו טעם. ובזה אמרו דכיון שאילו הי' נכנס טעם זה לאינו מינו הי' אוסר מאורייתא</w:t>
      </w:r>
      <w:r w:rsidR="00DF0B62" w:rsidRPr="00882F11">
        <w:rPr>
          <w:rFonts w:cs="Guttman Drogolin" w:hint="cs"/>
          <w:rtl/>
          <w:lang w:bidi="he-IL"/>
        </w:rPr>
        <w:t xml:space="preserve"> גזר עליו גם מדרבנן. אבל דבר שכבר קיבל היתר מדין א</w:t>
      </w:r>
      <w:r w:rsidR="00867DDC" w:rsidRPr="00882F11">
        <w:rPr>
          <w:rFonts w:cs="Guttman Drogolin" w:hint="cs"/>
          <w:rtl/>
          <w:lang w:bidi="he-IL"/>
        </w:rPr>
        <w:t>ח</w:t>
      </w:r>
      <w:r w:rsidR="00DF0B62" w:rsidRPr="00882F11">
        <w:rPr>
          <w:rFonts w:cs="Guttman Drogolin" w:hint="cs"/>
          <w:rtl/>
          <w:lang w:bidi="he-IL"/>
        </w:rPr>
        <w:t>רי רבים להטות, הא כמו שהחתיכה הוא ח</w:t>
      </w:r>
      <w:r w:rsidR="00867DDC" w:rsidRPr="00882F11">
        <w:rPr>
          <w:rFonts w:cs="Guttman Drogolin" w:hint="cs"/>
          <w:rtl/>
          <w:lang w:bidi="he-IL"/>
        </w:rPr>
        <w:t>פ</w:t>
      </w:r>
      <w:r w:rsidR="00DF0B62" w:rsidRPr="00882F11">
        <w:rPr>
          <w:rFonts w:cs="Guttman Drogolin" w:hint="cs"/>
          <w:rtl/>
          <w:lang w:bidi="he-IL"/>
        </w:rPr>
        <w:t>צא דהיתירא מדאורייתא גם הרוטב שיצא ממנו נשאר מותר, ולכן אין מקום לאוסרו אפילו מדרבנן. וביש"ש אע"ג דסבר כעיקר דברי הרא"ש מ"מ חלק עליו בדין זה וסבר שאפילו לאחר הידיעה אם בשלו עם שאר החתיכות הרי זה אוסר. ולכאורה הוא חלק על ההסבר הנ"ל וסבר שהכל תלוי אם הי' אוסר במין באינו מינו, וכיון שלמעשה במין באינו מינו הי' אוסר אם נתבשלו אפילו לא נתבשל עד לאחר הידיעה, הרי זה אוסר גם במין במינו.</w:t>
      </w:r>
      <w:r w:rsidR="00155229" w:rsidRPr="00882F11">
        <w:rPr>
          <w:rFonts w:cs="Guttman Drogolin" w:hint="cs"/>
          <w:rtl/>
          <w:lang w:bidi="he-IL"/>
        </w:rPr>
        <w:t xml:space="preserve"> </w:t>
      </w:r>
      <w:r w:rsidR="00CF3C87" w:rsidRPr="00882F11">
        <w:rPr>
          <w:rFonts w:cs="Guttman Drogolin" w:hint="cs"/>
          <w:rtl/>
          <w:lang w:bidi="he-IL"/>
        </w:rPr>
        <w:t xml:space="preserve"> </w:t>
      </w:r>
      <w:r w:rsidR="00606534" w:rsidRPr="00882F11">
        <w:rPr>
          <w:rFonts w:cs="Guttman Drogolin" w:hint="cs"/>
          <w:rtl/>
          <w:lang w:bidi="he-IL"/>
        </w:rPr>
        <w:t xml:space="preserve">  </w:t>
      </w:r>
      <w:r w:rsidR="009415C1" w:rsidRPr="00882F11">
        <w:rPr>
          <w:rFonts w:cs="Guttman Drogolin" w:hint="cs"/>
          <w:rtl/>
          <w:lang w:bidi="he-IL"/>
        </w:rPr>
        <w:t xml:space="preserve"> </w:t>
      </w:r>
      <w:r w:rsidR="004F7EFC" w:rsidRPr="00882F11">
        <w:rPr>
          <w:rFonts w:cs="Guttman Drogolin" w:hint="cs"/>
          <w:rtl/>
          <w:lang w:bidi="he-IL"/>
        </w:rPr>
        <w:t xml:space="preserve"> </w:t>
      </w:r>
      <w:r w:rsidR="004D2AF8" w:rsidRPr="00882F11">
        <w:rPr>
          <w:rFonts w:cs="Guttman Drogolin" w:hint="cs"/>
          <w:rtl/>
          <w:lang w:bidi="he-IL"/>
        </w:rPr>
        <w:t xml:space="preserve">   </w:t>
      </w:r>
      <w:r w:rsidR="00511E36" w:rsidRPr="00882F11">
        <w:rPr>
          <w:rFonts w:cs="Guttman Drogolin" w:hint="cs"/>
          <w:rtl/>
          <w:lang w:bidi="he-IL"/>
        </w:rPr>
        <w:t xml:space="preserve"> </w:t>
      </w:r>
      <w:r w:rsidR="00DF418F" w:rsidRPr="00882F11">
        <w:rPr>
          <w:rFonts w:cs="Guttman Drogolin" w:hint="cs"/>
          <w:rtl/>
          <w:lang w:bidi="he-IL"/>
        </w:rPr>
        <w:t xml:space="preserve">  </w:t>
      </w:r>
      <w:r w:rsidR="00604064" w:rsidRPr="00882F11">
        <w:rPr>
          <w:rFonts w:cs="Guttman Drogolin" w:hint="cs"/>
          <w:rtl/>
          <w:lang w:bidi="he-IL"/>
        </w:rPr>
        <w:t xml:space="preserve"> </w:t>
      </w:r>
    </w:p>
    <w:p w:rsidR="000379FC" w:rsidRPr="00882F11" w:rsidRDefault="00A4275C" w:rsidP="00615A4A">
      <w:pPr>
        <w:bidi/>
        <w:jc w:val="both"/>
        <w:rPr>
          <w:rFonts w:cs="Guttman Drogolin"/>
          <w:rtl/>
          <w:lang w:bidi="he-IL"/>
        </w:rPr>
        <w:sectPr w:rsidR="000379FC" w:rsidRPr="00882F11" w:rsidSect="00102811">
          <w:type w:val="continuous"/>
          <w:pgSz w:w="11907" w:h="16839" w:code="9"/>
          <w:pgMar w:top="1440" w:right="1440" w:bottom="1440" w:left="1440" w:header="720" w:footer="720" w:gutter="0"/>
          <w:cols w:num="2" w:space="720"/>
          <w:bidi/>
          <w:docGrid w:linePitch="360"/>
        </w:sectPr>
      </w:pPr>
      <w:r w:rsidRPr="00882F11">
        <w:rPr>
          <w:rFonts w:cs="Guttman Drogolin" w:hint="cs"/>
          <w:rtl/>
          <w:lang w:bidi="he-IL"/>
        </w:rPr>
        <w:t xml:space="preserve">  </w:t>
      </w:r>
      <w:r w:rsidR="00624135" w:rsidRPr="00882F11">
        <w:rPr>
          <w:rFonts w:cs="Guttman Drogolin" w:hint="cs"/>
          <w:rtl/>
          <w:lang w:bidi="he-IL"/>
        </w:rPr>
        <w:t xml:space="preserve"> </w:t>
      </w:r>
    </w:p>
    <w:p w:rsidR="000379FC" w:rsidRPr="00882F11" w:rsidRDefault="000379FC" w:rsidP="000379FC">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י"ג</w:t>
      </w:r>
    </w:p>
    <w:p w:rsidR="00102811" w:rsidRDefault="00102811" w:rsidP="0078079C">
      <w:pPr>
        <w:pStyle w:val="Heading1"/>
        <w:bidi/>
        <w:spacing w:before="0" w:line="360" w:lineRule="auto"/>
        <w:jc w:val="center"/>
        <w:rPr>
          <w:rFonts w:cs="Guttman Drogolin"/>
          <w:color w:val="auto"/>
          <w:sz w:val="18"/>
          <w:szCs w:val="18"/>
          <w:u w:val="single"/>
          <w:rtl/>
          <w:lang w:bidi="he-IL"/>
        </w:rPr>
        <w:sectPr w:rsidR="00102811" w:rsidSect="00102811">
          <w:pgSz w:w="11907" w:h="16839" w:code="9"/>
          <w:pgMar w:top="1440" w:right="1440" w:bottom="1440" w:left="1440" w:header="720" w:footer="720" w:gutter="0"/>
          <w:cols w:space="720"/>
          <w:bidi/>
          <w:docGrid w:linePitch="360"/>
        </w:sectPr>
      </w:pPr>
    </w:p>
    <w:p w:rsidR="000379FC" w:rsidRPr="00102811" w:rsidRDefault="000379FC" w:rsidP="0078079C">
      <w:pPr>
        <w:pStyle w:val="Heading1"/>
        <w:bidi/>
        <w:spacing w:before="0" w:line="360" w:lineRule="auto"/>
        <w:jc w:val="center"/>
        <w:rPr>
          <w:rFonts w:cs="Guttman Drogolin"/>
          <w:color w:val="auto"/>
          <w:sz w:val="18"/>
          <w:szCs w:val="18"/>
          <w:u w:val="single"/>
          <w:rtl/>
          <w:lang w:bidi="he-IL"/>
        </w:rPr>
      </w:pPr>
      <w:bookmarkStart w:id="53" w:name="_Toc496175316"/>
      <w:r w:rsidRPr="00102811">
        <w:rPr>
          <w:rFonts w:cs="Guttman Drogolin" w:hint="cs"/>
          <w:color w:val="auto"/>
          <w:sz w:val="18"/>
          <w:szCs w:val="18"/>
          <w:u w:val="single"/>
          <w:rtl/>
          <w:lang w:bidi="he-IL"/>
        </w:rPr>
        <w:lastRenderedPageBreak/>
        <w:t>שיעור ביטול יבש יבש במין במינו, ובמין בשאינו מינו</w:t>
      </w:r>
      <w:bookmarkEnd w:id="53"/>
    </w:p>
    <w:p w:rsidR="00774859" w:rsidRPr="00882F11" w:rsidRDefault="00F13E10" w:rsidP="00B6065F">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ביטול יבש ביבש</w:instrText>
      </w:r>
      <w:r w:rsidRPr="00882F11">
        <w:rPr>
          <w:rFonts w:cs="Guttman Drogolin"/>
          <w:rtl/>
        </w:rPr>
        <w:instrText>:</w:instrText>
      </w:r>
      <w:r w:rsidRPr="00882F11">
        <w:rPr>
          <w:rFonts w:cs="Guttman Drogolin" w:hint="cs"/>
          <w:rtl/>
          <w:lang w:bidi="he-IL"/>
        </w:rPr>
        <w:instrText>השיעור במין במינו, ובמין בשאינו מינו</w:instrText>
      </w:r>
      <w:r w:rsidRPr="00882F11">
        <w:rPr>
          <w:rFonts w:cs="Guttman Drogolin"/>
        </w:rPr>
        <w:instrText xml:space="preserve">" </w:instrText>
      </w:r>
      <w:r w:rsidRPr="00882F11">
        <w:rPr>
          <w:rFonts w:cs="Guttman Drogolin"/>
          <w:rtl/>
          <w:lang w:bidi="he-IL"/>
        </w:rPr>
        <w:fldChar w:fldCharType="end"/>
      </w:r>
      <w:r w:rsidR="000379FC" w:rsidRPr="00882F11">
        <w:rPr>
          <w:rFonts w:cs="Guttman Drogolin" w:hint="cs"/>
          <w:rtl/>
          <w:lang w:bidi="he-IL"/>
        </w:rPr>
        <w:t>הזכרנו בשיעור הקודם שיש מחלוקת הראשונים אם בביטול יבש ביבש צריכים שיעור ס' או לא, שיש מדייקים בלשון הגמ' כאן שאינו צריך אלא רוב, דזהו פשטות סתימת הלשון דליבטל ברובא, ושיש</w:t>
      </w:r>
      <w:r w:rsidR="00576898" w:rsidRPr="00882F11">
        <w:rPr>
          <w:rFonts w:cs="Guttman Drogolin" w:hint="cs"/>
          <w:rtl/>
          <w:lang w:bidi="he-IL"/>
        </w:rPr>
        <w:t xml:space="preserve"> דוחין שאין כוונת הגמ' אלא לדין</w:t>
      </w:r>
      <w:r w:rsidR="000379FC" w:rsidRPr="00882F11">
        <w:rPr>
          <w:rFonts w:cs="Guttman Drogolin" w:hint="cs"/>
          <w:rtl/>
          <w:lang w:bidi="he-IL"/>
        </w:rPr>
        <w:t xml:space="preserve"> רביי' ולעולם צריך ס'. וע' בחידושי הרשב"א לעיל בדף צ"ז ע"ב שדקדק שהדין הוא ברוב בלבד מן</w:t>
      </w:r>
      <w:r w:rsidR="00B6065F" w:rsidRPr="00882F11">
        <w:rPr>
          <w:rFonts w:cs="Guttman Drogolin" w:hint="cs"/>
          <w:rtl/>
          <w:lang w:bidi="he-IL"/>
        </w:rPr>
        <w:t xml:space="preserve"> המימרא של רבא במס' זבחים דף ע"ט</w:t>
      </w:r>
      <w:r w:rsidR="000379FC" w:rsidRPr="00882F11">
        <w:rPr>
          <w:rFonts w:cs="Guttman Drogolin" w:hint="cs"/>
          <w:rtl/>
          <w:lang w:bidi="he-IL"/>
        </w:rPr>
        <w:t xml:space="preserve"> ע"</w:t>
      </w:r>
      <w:r w:rsidR="00B6065F" w:rsidRPr="00882F11">
        <w:rPr>
          <w:rFonts w:cs="Guttman Drogolin" w:hint="cs"/>
          <w:rtl/>
          <w:lang w:bidi="he-IL"/>
        </w:rPr>
        <w:t>א</w:t>
      </w:r>
      <w:r w:rsidR="000379FC" w:rsidRPr="00882F11">
        <w:rPr>
          <w:rFonts w:cs="Guttman Drogolin" w:hint="cs"/>
          <w:rtl/>
          <w:lang w:bidi="he-IL"/>
        </w:rPr>
        <w:t xml:space="preserve"> "</w:t>
      </w:r>
      <w:r w:rsidR="00B6065F" w:rsidRPr="00882F11">
        <w:rPr>
          <w:rFonts w:cs="Guttman Drogolin" w:hint="cs"/>
          <w:rtl/>
          <w:lang w:bidi="he-IL"/>
        </w:rPr>
        <w:t>אמור רבנן בטעמא ואמור רבנן ברובא וכו' מין בשאינו מינו בטעמא מין במינו ברובא</w:t>
      </w:r>
      <w:r w:rsidR="000379FC" w:rsidRPr="00882F11">
        <w:rPr>
          <w:rFonts w:cs="Guttman Drogolin" w:hint="cs"/>
          <w:rtl/>
          <w:lang w:bidi="he-IL"/>
        </w:rPr>
        <w:t>" וכיון דלעיל חזינן שהשיעור מין במינו הוא בששים, ע"</w:t>
      </w:r>
      <w:r w:rsidR="00774859" w:rsidRPr="00882F11">
        <w:rPr>
          <w:rFonts w:cs="Guttman Drogolin" w:hint="cs"/>
          <w:rtl/>
          <w:lang w:bidi="he-IL"/>
        </w:rPr>
        <w:t>כ צריכים לח</w:t>
      </w:r>
      <w:r w:rsidR="000379FC" w:rsidRPr="00882F11">
        <w:rPr>
          <w:rFonts w:cs="Guttman Drogolin" w:hint="cs"/>
          <w:rtl/>
          <w:lang w:bidi="he-IL"/>
        </w:rPr>
        <w:t>לק בין לח בלח ליבש ביבש. ו</w:t>
      </w:r>
      <w:r w:rsidR="00315C5A" w:rsidRPr="00882F11">
        <w:rPr>
          <w:rFonts w:cs="Guttman Drogolin" w:hint="cs"/>
          <w:rtl/>
          <w:lang w:bidi="he-IL"/>
        </w:rPr>
        <w:t>ל</w:t>
      </w:r>
      <w:r w:rsidR="000379FC" w:rsidRPr="00882F11">
        <w:rPr>
          <w:rFonts w:cs="Guttman Drogolin" w:hint="cs"/>
          <w:rtl/>
          <w:lang w:bidi="he-IL"/>
        </w:rPr>
        <w:t xml:space="preserve">שיטת הר"א אב"ד ודעימי' ע"כ סוברים ששם מיירי רק לדין דאורייתא ולעולם </w:t>
      </w:r>
      <w:r w:rsidR="00774859" w:rsidRPr="00882F11">
        <w:rPr>
          <w:rFonts w:cs="Guttman Drogolin" w:hint="cs"/>
          <w:rtl/>
          <w:lang w:bidi="he-IL"/>
        </w:rPr>
        <w:t>מ</w:t>
      </w:r>
      <w:r w:rsidR="00156DDB" w:rsidRPr="00882F11">
        <w:rPr>
          <w:rFonts w:cs="Guttman Drogolin" w:hint="cs"/>
          <w:rtl/>
          <w:lang w:bidi="he-IL"/>
        </w:rPr>
        <w:t>דרבנן צריכים ששים</w:t>
      </w:r>
      <w:r w:rsidR="00315C5A" w:rsidRPr="00882F11">
        <w:rPr>
          <w:rStyle w:val="FootnoteReference"/>
          <w:rFonts w:cs="Guttman Drogolin"/>
          <w:rtl/>
          <w:lang w:bidi="he-IL"/>
        </w:rPr>
        <w:footnoteReference w:id="64"/>
      </w:r>
      <w:r w:rsidR="00156DDB" w:rsidRPr="00882F11">
        <w:rPr>
          <w:rFonts w:cs="Guttman Drogolin" w:hint="cs"/>
          <w:rtl/>
          <w:lang w:bidi="he-IL"/>
        </w:rPr>
        <w:t>.</w:t>
      </w:r>
      <w:r w:rsidR="00774859" w:rsidRPr="00882F11">
        <w:rPr>
          <w:rFonts w:cs="Guttman Drogolin" w:hint="cs"/>
          <w:rtl/>
          <w:lang w:bidi="he-IL"/>
        </w:rPr>
        <w:t xml:space="preserve"> והנה עצם שיטת הר"א אב"ד לכאורה טעמא בעי, דלמה יהא צריך ששים בתערובת של יבש ביבש במין במינו, הא כל הענין של שיעור ששים לרוב רובן של ראשונים הוא משום שכשיש שיעור ששים קים לן שאין בה טעם, אבל ביבש ביבש שאינו ענין של טעם מהו הטעם לאסור. </w:t>
      </w:r>
    </w:p>
    <w:p w:rsidR="00F269A4" w:rsidRPr="00882F11" w:rsidRDefault="00774859" w:rsidP="00576898">
      <w:pPr>
        <w:bidi/>
        <w:jc w:val="both"/>
        <w:rPr>
          <w:rFonts w:cs="Guttman Drogolin"/>
          <w:rtl/>
          <w:lang w:bidi="he-IL"/>
        </w:rPr>
      </w:pPr>
      <w:r w:rsidRPr="00882F11">
        <w:rPr>
          <w:rFonts w:cs="Guttman Drogolin" w:hint="cs"/>
          <w:rtl/>
          <w:lang w:bidi="he-IL"/>
        </w:rPr>
        <w:lastRenderedPageBreak/>
        <w:t>והנה לכאורה הדבר תלוי. דיל"ע מהו הדין בתערובת יבש ביבש שהוא מין בשאינו מינו. ובטור רסי' ק"ט כתב שהמחשבה הראשונה היא שגם הוא בטל ברוב ואינו צריך ששים. ולכאורה טעמו כנ"ל, דהא ליכא ענין</w:t>
      </w:r>
      <w:r w:rsidR="00FF0C01" w:rsidRPr="00882F11">
        <w:rPr>
          <w:rFonts w:cs="Guttman Drogolin" w:hint="cs"/>
          <w:rtl/>
          <w:lang w:bidi="he-IL"/>
        </w:rPr>
        <w:t xml:space="preserve"> של טעם בתערובת יבש ביבש אפילו אם הוא מין בשאינו מינו, דהא אין טעמו של א' נכנס לשני. </w:t>
      </w:r>
      <w:r w:rsidR="00B6065F" w:rsidRPr="00882F11">
        <w:rPr>
          <w:rFonts w:cs="Guttman Drogolin" w:hint="cs"/>
          <w:rtl/>
          <w:lang w:bidi="he-IL"/>
        </w:rPr>
        <w:t xml:space="preserve">אמנם שיטת </w:t>
      </w:r>
      <w:r w:rsidR="00653E64" w:rsidRPr="00882F11">
        <w:rPr>
          <w:rFonts w:cs="Guttman Drogolin" w:hint="cs"/>
          <w:rtl/>
          <w:lang w:bidi="he-IL"/>
        </w:rPr>
        <w:t>הרבה ראשונים שאמנם במי</w:t>
      </w:r>
      <w:r w:rsidR="00B6065F" w:rsidRPr="00882F11">
        <w:rPr>
          <w:rFonts w:cs="Guttman Drogolin" w:hint="cs"/>
          <w:rtl/>
          <w:lang w:bidi="he-IL"/>
        </w:rPr>
        <w:t>ן במינו דינו ברוב אפילו מדרבנן ודלא כשיטת הר"א אב"ד הנ"ל, מ"מ במין בשאינו דינו בששים. וע"ש בחי' הרשב"א שהראה מקור לשיטה זו מעצם המימרא של רבא הנ"ל, שכמו שמבואר משם שיבש ביבש מין במינו דינו ברוב, הה"נ מבואר שבמין בשאינו מינו דינו בששים.</w:t>
      </w:r>
      <w:r w:rsidR="00F269A4" w:rsidRPr="00882F11">
        <w:rPr>
          <w:rFonts w:cs="Guttman Drogolin" w:hint="cs"/>
          <w:rtl/>
          <w:lang w:bidi="he-IL"/>
        </w:rPr>
        <w:t xml:space="preserve"> (וב</w:t>
      </w:r>
      <w:r w:rsidR="00576898" w:rsidRPr="00882F11">
        <w:rPr>
          <w:rFonts w:cs="Guttman Drogolin" w:hint="cs"/>
          <w:rtl/>
          <w:lang w:bidi="he-IL"/>
        </w:rPr>
        <w:t>א</w:t>
      </w:r>
      <w:r w:rsidR="00F269A4" w:rsidRPr="00882F11">
        <w:rPr>
          <w:rFonts w:cs="Guttman Drogolin" w:hint="cs"/>
          <w:rtl/>
          <w:lang w:bidi="he-IL"/>
        </w:rPr>
        <w:t>מת יש מן האחרונים</w:t>
      </w:r>
      <w:r w:rsidR="00B6065F" w:rsidRPr="00882F11">
        <w:rPr>
          <w:rFonts w:cs="Guttman Drogolin" w:hint="cs"/>
          <w:rtl/>
          <w:lang w:bidi="he-IL"/>
        </w:rPr>
        <w:t xml:space="preserve"> </w:t>
      </w:r>
      <w:r w:rsidR="00F269A4" w:rsidRPr="00882F11">
        <w:rPr>
          <w:rFonts w:cs="Guttman Drogolin" w:hint="cs"/>
          <w:rtl/>
          <w:lang w:bidi="he-IL"/>
        </w:rPr>
        <w:t xml:space="preserve">שנתקשו בזה </w:t>
      </w:r>
      <w:r w:rsidR="00F269A4" w:rsidRPr="00882F11">
        <w:rPr>
          <w:rFonts w:cs="Guttman Drogolin"/>
          <w:rtl/>
          <w:lang w:bidi="he-IL"/>
        </w:rPr>
        <w:t>–</w:t>
      </w:r>
      <w:r w:rsidR="00F269A4" w:rsidRPr="00882F11">
        <w:rPr>
          <w:rFonts w:cs="Guttman Drogolin" w:hint="cs"/>
          <w:rtl/>
          <w:lang w:bidi="he-IL"/>
        </w:rPr>
        <w:t xml:space="preserve"> ע' בשו"ת אבנ"מ סי' ז' מש"כ בזה). </w:t>
      </w:r>
    </w:p>
    <w:p w:rsidR="00281004" w:rsidRPr="00882F11" w:rsidRDefault="00F13E10" w:rsidP="002633D9">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שיעור ששים</w:instrText>
      </w:r>
      <w:r w:rsidRPr="00882F11">
        <w:rPr>
          <w:rFonts w:cs="Guttman Drogolin"/>
          <w:rtl/>
        </w:rPr>
        <w:instrText>:</w:instrText>
      </w:r>
      <w:r w:rsidRPr="00882F11">
        <w:rPr>
          <w:rFonts w:cs="Guttman Drogolin" w:hint="cs"/>
          <w:rtl/>
          <w:lang w:bidi="he-IL"/>
        </w:rPr>
        <w:instrText>במין במינו, הטעם</w:instrText>
      </w:r>
      <w:r w:rsidRPr="00882F11">
        <w:rPr>
          <w:rFonts w:cs="Guttman Drogolin"/>
        </w:rPr>
        <w:instrText xml:space="preserve">" </w:instrText>
      </w:r>
      <w:r w:rsidRPr="00882F11">
        <w:rPr>
          <w:rFonts w:cs="Guttman Drogolin"/>
          <w:rtl/>
          <w:lang w:bidi="he-IL"/>
        </w:rPr>
        <w:fldChar w:fldCharType="end"/>
      </w: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מין במינו</w:instrText>
      </w:r>
      <w:r w:rsidRPr="00882F11">
        <w:rPr>
          <w:rFonts w:cs="Guttman Drogolin"/>
          <w:rtl/>
        </w:rPr>
        <w:instrText>:</w:instrText>
      </w:r>
      <w:r w:rsidRPr="00882F11">
        <w:rPr>
          <w:rFonts w:cs="Guttman Drogolin" w:hint="cs"/>
          <w:rtl/>
          <w:lang w:bidi="he-IL"/>
        </w:rPr>
        <w:instrText>טעם השיעור ששים</w:instrText>
      </w:r>
      <w:r w:rsidRPr="00882F11">
        <w:rPr>
          <w:rFonts w:cs="Guttman Drogolin"/>
        </w:rPr>
        <w:instrText xml:space="preserve">" </w:instrText>
      </w:r>
      <w:r w:rsidRPr="00882F11">
        <w:rPr>
          <w:rFonts w:cs="Guttman Drogolin"/>
          <w:rtl/>
          <w:lang w:bidi="he-IL"/>
        </w:rPr>
        <w:fldChar w:fldCharType="end"/>
      </w:r>
      <w:r w:rsidR="00F269A4" w:rsidRPr="00882F11">
        <w:rPr>
          <w:rFonts w:cs="Guttman Drogolin" w:hint="cs"/>
          <w:rtl/>
          <w:lang w:bidi="he-IL"/>
        </w:rPr>
        <w:t>ונחלקו ה</w:t>
      </w:r>
      <w:r w:rsidR="00281004" w:rsidRPr="00882F11">
        <w:rPr>
          <w:rFonts w:cs="Guttman Drogolin" w:hint="cs"/>
          <w:rtl/>
          <w:lang w:bidi="he-IL"/>
        </w:rPr>
        <w:t>מ</w:t>
      </w:r>
      <w:r w:rsidR="00F269A4" w:rsidRPr="00882F11">
        <w:rPr>
          <w:rFonts w:cs="Guttman Drogolin" w:hint="cs"/>
          <w:rtl/>
          <w:lang w:bidi="he-IL"/>
        </w:rPr>
        <w:t xml:space="preserve">פרשים בטעם השיעור ששים ביבש ביבש במין באינו מינו. </w:t>
      </w:r>
      <w:r w:rsidR="002633D9" w:rsidRPr="00882F11">
        <w:rPr>
          <w:rFonts w:cs="Guttman Drogolin" w:hint="cs"/>
          <w:rtl/>
          <w:lang w:bidi="he-IL"/>
        </w:rPr>
        <w:t>בר"ן מפורש שהטעם שצריכים ששים הוא מדרבנן ומשום דחיישינן דלמא יבשלם ביחד ויתן האיסור טעם בהיתר</w:t>
      </w:r>
      <w:r w:rsidR="00576898" w:rsidRPr="00882F11">
        <w:rPr>
          <w:rStyle w:val="FootnoteReference"/>
          <w:rFonts w:cs="Guttman Drogolin"/>
          <w:rtl/>
          <w:lang w:bidi="he-IL"/>
        </w:rPr>
        <w:footnoteReference w:id="65"/>
      </w:r>
      <w:r w:rsidR="002633D9" w:rsidRPr="00882F11">
        <w:rPr>
          <w:rFonts w:cs="Guttman Drogolin" w:hint="cs"/>
          <w:rtl/>
          <w:lang w:bidi="he-IL"/>
        </w:rPr>
        <w:t xml:space="preserve">. </w:t>
      </w:r>
      <w:r w:rsidR="00281004" w:rsidRPr="00882F11">
        <w:rPr>
          <w:rFonts w:cs="Guttman Drogolin" w:hint="cs"/>
          <w:rtl/>
          <w:lang w:bidi="he-IL"/>
        </w:rPr>
        <w:t>אמנם יש מפרשים בדעת הרמב"ן ועוד שהשיעור ששים מדאורייתא</w:t>
      </w:r>
      <w:r w:rsidR="00480A89" w:rsidRPr="00882F11">
        <w:rPr>
          <w:rStyle w:val="FootnoteReference"/>
          <w:rFonts w:cs="Guttman Drogolin"/>
          <w:rtl/>
          <w:lang w:bidi="he-IL"/>
        </w:rPr>
        <w:footnoteReference w:id="66"/>
      </w:r>
      <w:r w:rsidR="00281004" w:rsidRPr="00882F11">
        <w:rPr>
          <w:rFonts w:cs="Guttman Drogolin" w:hint="cs"/>
          <w:rtl/>
          <w:lang w:bidi="he-IL"/>
        </w:rPr>
        <w:t xml:space="preserve">. וכן הביא הש"ך שלכאורה כן </w:t>
      </w:r>
      <w:r w:rsidR="00281004" w:rsidRPr="00882F11">
        <w:rPr>
          <w:rFonts w:cs="Guttman Drogolin" w:hint="cs"/>
          <w:rtl/>
          <w:lang w:bidi="he-IL"/>
        </w:rPr>
        <w:lastRenderedPageBreak/>
        <w:t>מבואר בתו' במס' פסח</w:t>
      </w:r>
      <w:r w:rsidR="00291868">
        <w:rPr>
          <w:rFonts w:cs="Guttman Drogolin" w:hint="cs"/>
          <w:rtl/>
          <w:lang w:bidi="he-IL"/>
        </w:rPr>
        <w:t>י</w:t>
      </w:r>
      <w:r w:rsidR="00281004" w:rsidRPr="00882F11">
        <w:rPr>
          <w:rFonts w:cs="Guttman Drogolin" w:hint="cs"/>
          <w:rtl/>
          <w:lang w:bidi="he-IL"/>
        </w:rPr>
        <w:t xml:space="preserve">ם דף מ"ד ע"א דסבר דקמח בקמח אוסר מדאורייתא במין בשאינו מינו, ודחה דקמח בקמח הוי לח בלח כמו שהבאנו לעיל. וגם כאן צ"ע, דמהו הטעם לאסור יבש ביבש אפילו במין בשאינו מדאורייתא אם אין ס', הא היסוד של השיעור ששים הוא משום דליכא טעם, ולעת עתה ליכא טעם בתערובת. </w:t>
      </w:r>
      <w:r w:rsidRPr="00882F11">
        <w:rPr>
          <w:rFonts w:cs="Guttman Drogolin" w:hint="cs"/>
          <w:rtl/>
          <w:lang w:bidi="he-IL"/>
        </w:rPr>
        <w:t>ועוד יותר קשה, שאפילו א</w:t>
      </w:r>
      <w:r w:rsidR="0034100E" w:rsidRPr="00882F11">
        <w:rPr>
          <w:rFonts w:cs="Guttman Drogolin" w:hint="cs"/>
          <w:rtl/>
          <w:lang w:bidi="he-IL"/>
        </w:rPr>
        <w:t>ם נבי</w:t>
      </w:r>
      <w:r w:rsidR="00653E64" w:rsidRPr="00882F11">
        <w:rPr>
          <w:rFonts w:cs="Guttman Drogolin" w:hint="cs"/>
          <w:rtl/>
          <w:lang w:bidi="he-IL"/>
        </w:rPr>
        <w:t>ן</w:t>
      </w:r>
      <w:r w:rsidR="0034100E" w:rsidRPr="00882F11">
        <w:rPr>
          <w:rFonts w:cs="Guttman Drogolin" w:hint="cs"/>
          <w:rtl/>
          <w:lang w:bidi="he-IL"/>
        </w:rPr>
        <w:t xml:space="preserve"> למה הוא אסור מדאורייתא, עדיין צ"ע מה מהני השיעור ס' מדאורייתא.</w:t>
      </w:r>
    </w:p>
    <w:p w:rsidR="009F3FCF" w:rsidRPr="00882F11" w:rsidRDefault="00F13E10" w:rsidP="00C259AB">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ביטול יבש ביבש</w:instrText>
      </w:r>
      <w:r w:rsidRPr="00882F11">
        <w:rPr>
          <w:rFonts w:cs="Guttman Drogolin"/>
          <w:rtl/>
        </w:rPr>
        <w:instrText>:</w:instrText>
      </w:r>
      <w:r w:rsidRPr="00882F11">
        <w:rPr>
          <w:rFonts w:cs="Guttman Drogolin" w:hint="cs"/>
          <w:rtl/>
          <w:lang w:bidi="he-IL"/>
        </w:rPr>
        <w:instrText>אם קמח הוי לח בלח או יבש ביבש</w:instrText>
      </w:r>
      <w:r w:rsidRPr="00882F11">
        <w:rPr>
          <w:rFonts w:cs="Guttman Drogolin"/>
        </w:rPr>
        <w:instrText xml:space="preserve">" </w:instrText>
      </w:r>
      <w:r w:rsidRPr="00882F11">
        <w:rPr>
          <w:rFonts w:cs="Guttman Drogolin"/>
          <w:rtl/>
          <w:lang w:bidi="he-IL"/>
        </w:rPr>
        <w:fldChar w:fldCharType="end"/>
      </w:r>
      <w:r w:rsidR="00281004" w:rsidRPr="00882F11">
        <w:rPr>
          <w:rFonts w:cs="Guttman Drogolin" w:hint="cs"/>
          <w:rtl/>
          <w:lang w:bidi="he-IL"/>
        </w:rPr>
        <w:t xml:space="preserve">ונאמרו בזה כמה מהלכים באחרונים. בחוו"ד שם </w:t>
      </w:r>
      <w:r w:rsidR="0008060D" w:rsidRPr="00882F11">
        <w:rPr>
          <w:rFonts w:cs="Guttman Drogolin" w:hint="cs"/>
          <w:rtl/>
          <w:lang w:bidi="he-IL"/>
        </w:rPr>
        <w:t xml:space="preserve">ס"ק ה' חלק </w:t>
      </w:r>
      <w:r w:rsidR="00281004" w:rsidRPr="00882F11">
        <w:rPr>
          <w:rFonts w:cs="Guttman Drogolin" w:hint="cs"/>
          <w:rtl/>
          <w:lang w:bidi="he-IL"/>
        </w:rPr>
        <w:t xml:space="preserve">על דברי הש"ך וכתב דקמח בקמח לא חשוב לח בלח. </w:t>
      </w:r>
      <w:r w:rsidR="0034100E" w:rsidRPr="00882F11">
        <w:rPr>
          <w:rFonts w:cs="Guttman Drogolin" w:hint="cs"/>
          <w:rtl/>
          <w:lang w:bidi="he-IL"/>
        </w:rPr>
        <w:t>ומ"מ</w:t>
      </w:r>
      <w:r w:rsidR="0008060D" w:rsidRPr="00882F11">
        <w:rPr>
          <w:rFonts w:cs="Guttman Drogolin" w:hint="cs"/>
          <w:rtl/>
          <w:lang w:bidi="he-IL"/>
        </w:rPr>
        <w:t xml:space="preserve"> אסור מדאורייתא כיון שמרגיש טעם האיסור. והיינו שביבש ביבש אסור מדאורייתא. והא דמהני ששים היינו משום שכבר אז לא יהא טועם את האיסור. ושם בהגהות אמרי ברוך תמה עליו. דהא אם הוא יבש ביבש הא מותר לאכול כל א' בפני עצמו, וכיון שכן הרי ודאי כשיאכל האיסור ירגיש טעמו ויהא ניכר ויהא אסור. ונראה הביאור בדעת החוו"ד שאין אנו אוסרים מדאורייתא אלא כשיש היכר שודאי אוכל איסור. ולכן כשאוכל מן התערובת בבת אחת הא ודאי אסור כיון שמרגיש שאוכל את שני הטעים. אבל כשאוכל כל א' בפני עצמו הא אפשר לתלות כל א' </w:t>
      </w:r>
      <w:r w:rsidR="00653E64" w:rsidRPr="00882F11">
        <w:rPr>
          <w:rFonts w:cs="Guttman Drogolin" w:hint="cs"/>
          <w:rtl/>
          <w:lang w:bidi="he-IL"/>
        </w:rPr>
        <w:t>ו</w:t>
      </w:r>
      <w:r w:rsidR="0008060D" w:rsidRPr="00882F11">
        <w:rPr>
          <w:rFonts w:cs="Guttman Drogolin" w:hint="cs"/>
          <w:rtl/>
          <w:lang w:bidi="he-IL"/>
        </w:rPr>
        <w:t>א' שאין זה האיסור. אמנם לדעתו עדיין תיקשי, דבשלמא לשיטת הר"א אב"ד שגם ביבש ביבש הדין הוא בששים ניחא, אבל לחוו"ד, עד כמה שהדין טעם כעיקר שוה ביבש ביבש כמו בלח בלח, מאי שנא בנתבשלו שאסרו מין במינו עד ששים מיבש ביבש שלא גזרו. וצ"ע.</w:t>
      </w:r>
    </w:p>
    <w:p w:rsidR="008F539B" w:rsidRPr="00882F11" w:rsidRDefault="009F3FCF" w:rsidP="009F3FCF">
      <w:pPr>
        <w:bidi/>
        <w:jc w:val="both"/>
        <w:rPr>
          <w:rFonts w:cs="Guttman Drogolin"/>
          <w:rtl/>
          <w:lang w:bidi="he-IL"/>
        </w:rPr>
      </w:pPr>
      <w:r w:rsidRPr="00882F11">
        <w:rPr>
          <w:rFonts w:cs="Guttman Drogolin" w:hint="cs"/>
          <w:rtl/>
          <w:lang w:bidi="he-IL"/>
        </w:rPr>
        <w:t xml:space="preserve">ובש"ך מבואר שהטעם לאסור </w:t>
      </w:r>
      <w:r w:rsidR="002A2F4D" w:rsidRPr="00882F11">
        <w:rPr>
          <w:rFonts w:cs="Guttman Drogolin" w:hint="cs"/>
          <w:rtl/>
          <w:lang w:bidi="he-IL"/>
        </w:rPr>
        <w:t>משום שאין כאן ביטול כיון שאפשר לעמוד על א</w:t>
      </w:r>
      <w:r w:rsidR="00653E64" w:rsidRPr="00882F11">
        <w:rPr>
          <w:rFonts w:cs="Guttman Drogolin" w:hint="cs"/>
          <w:rtl/>
          <w:lang w:bidi="he-IL"/>
        </w:rPr>
        <w:t>י</w:t>
      </w:r>
      <w:r w:rsidR="002A2F4D" w:rsidRPr="00882F11">
        <w:rPr>
          <w:rFonts w:cs="Guttman Drogolin" w:hint="cs"/>
          <w:rtl/>
          <w:lang w:bidi="he-IL"/>
        </w:rPr>
        <w:t>זה מהן אסור ע"י טעם. והא דמהני ס' היינו משום שבזה יש יותר מדי טורח לברר ולכן שוב בטל מדאורייתא. ולכאורה זהו דוחק גדול לומר שגם בזה השיעור הוא בששים כמו בנתינת טעם. ואולי יש ליישב</w:t>
      </w:r>
      <w:r w:rsidR="008F539B" w:rsidRPr="00882F11">
        <w:rPr>
          <w:rFonts w:cs="Guttman Drogolin" w:hint="cs"/>
          <w:rtl/>
          <w:lang w:bidi="he-IL"/>
        </w:rPr>
        <w:t xml:space="preserve"> שבאמת השיעור ששים הוא פחות מזה, אבל כיון שיש איזה שיעור, אוקמוה אשיעור ס' שנאמר בדיני טעם. </w:t>
      </w:r>
    </w:p>
    <w:p w:rsidR="008F539B" w:rsidRPr="00882F11" w:rsidRDefault="008F539B" w:rsidP="00653E64">
      <w:pPr>
        <w:bidi/>
        <w:jc w:val="both"/>
        <w:rPr>
          <w:rFonts w:cs="Guttman Drogolin"/>
          <w:rtl/>
          <w:lang w:bidi="he-IL"/>
        </w:rPr>
      </w:pPr>
      <w:r w:rsidRPr="00882F11">
        <w:rPr>
          <w:rFonts w:cs="Guttman Drogolin" w:hint="cs"/>
          <w:rtl/>
          <w:lang w:bidi="he-IL"/>
        </w:rPr>
        <w:lastRenderedPageBreak/>
        <w:t>ועוד יש לומר שהרי ביארנו לשיטת רש"י בסוגי</w:t>
      </w:r>
      <w:r w:rsidR="00653E64" w:rsidRPr="00882F11">
        <w:rPr>
          <w:rFonts w:cs="Guttman Drogolin" w:hint="cs"/>
          <w:rtl/>
          <w:lang w:bidi="he-IL"/>
        </w:rPr>
        <w:t>א</w:t>
      </w:r>
      <w:r w:rsidRPr="00882F11">
        <w:rPr>
          <w:rFonts w:cs="Guttman Drogolin" w:hint="cs"/>
          <w:rtl/>
          <w:lang w:bidi="he-IL"/>
        </w:rPr>
        <w:t xml:space="preserve"> דזרוע בשילה שיש שעור ששים לבטל טעם, ושאע"ג שהטעם נרגש מ"מ נאמרה ההלכה שכשיש ששים אין </w:t>
      </w:r>
      <w:r w:rsidR="00653E64" w:rsidRPr="00882F11">
        <w:rPr>
          <w:rFonts w:cs="Guttman Drogolin" w:hint="cs"/>
          <w:rtl/>
          <w:lang w:bidi="he-IL"/>
        </w:rPr>
        <w:t>ה</w:t>
      </w:r>
      <w:r w:rsidRPr="00882F11">
        <w:rPr>
          <w:rFonts w:cs="Guttman Drogolin" w:hint="cs"/>
          <w:rtl/>
          <w:lang w:bidi="he-IL"/>
        </w:rPr>
        <w:t xml:space="preserve">טעם אוסר. ולדידי' לכאורה יש מקום לומר שנאמר באמת שיעור ששים מדאורייתא כדי לבטל איסור יבש מין בשאינו מינו בששים. </w:t>
      </w:r>
    </w:p>
    <w:p w:rsidR="00175E46" w:rsidRPr="00882F11" w:rsidRDefault="008F539B" w:rsidP="00CE20BD">
      <w:pPr>
        <w:bidi/>
        <w:jc w:val="both"/>
        <w:rPr>
          <w:rFonts w:cs="Guttman Drogolin"/>
          <w:rtl/>
          <w:lang w:bidi="he-IL"/>
        </w:rPr>
      </w:pPr>
      <w:r w:rsidRPr="00882F11">
        <w:rPr>
          <w:rFonts w:cs="Guttman Drogolin" w:hint="cs"/>
          <w:rtl/>
          <w:lang w:bidi="he-IL"/>
        </w:rPr>
        <w:t xml:space="preserve">ומ"מ יהי' הביאור איך שיהי' במ"ד מין בשאינו מינו ביבש ביבש אסור מדאורייתא עד ס', מ"מ לכאורה לשיטתו מובן היטב למה אסרו יבש ביבש אפילו במין במינו עד ששים, דהא כמו </w:t>
      </w:r>
      <w:r w:rsidR="00CE20BD" w:rsidRPr="00882F11">
        <w:rPr>
          <w:rFonts w:cs="Guttman Drogolin" w:hint="cs"/>
          <w:rtl/>
          <w:lang w:bidi="he-IL"/>
        </w:rPr>
        <w:t>ש</w:t>
      </w:r>
      <w:r w:rsidRPr="00882F11">
        <w:rPr>
          <w:rFonts w:cs="Guttman Drogolin" w:hint="cs"/>
          <w:rtl/>
          <w:lang w:bidi="he-IL"/>
        </w:rPr>
        <w:t>אסר</w:t>
      </w:r>
      <w:r w:rsidR="00CE20BD" w:rsidRPr="00882F11">
        <w:rPr>
          <w:rFonts w:cs="Guttman Drogolin" w:hint="cs"/>
          <w:rtl/>
          <w:lang w:bidi="he-IL"/>
        </w:rPr>
        <w:t>ו</w:t>
      </w:r>
      <w:r w:rsidRPr="00882F11">
        <w:rPr>
          <w:rFonts w:cs="Guttman Drogolin" w:hint="cs"/>
          <w:rtl/>
          <w:lang w:bidi="he-IL"/>
        </w:rPr>
        <w:t xml:space="preserve"> מין במינו בבלול אטו </w:t>
      </w:r>
      <w:r w:rsidR="00CE20BD" w:rsidRPr="00882F11">
        <w:rPr>
          <w:rFonts w:cs="Guttman Drogolin" w:hint="cs"/>
          <w:rtl/>
          <w:lang w:bidi="he-IL"/>
        </w:rPr>
        <w:t>מ</w:t>
      </w:r>
      <w:r w:rsidRPr="00882F11">
        <w:rPr>
          <w:rFonts w:cs="Guttman Drogolin" w:hint="cs"/>
          <w:rtl/>
          <w:lang w:bidi="he-IL"/>
        </w:rPr>
        <w:t>ין בשאינו מינו שהוא דאורייתא, הה"נ</w:t>
      </w:r>
      <w:r w:rsidR="00CE20BD" w:rsidRPr="00882F11">
        <w:rPr>
          <w:rFonts w:cs="Guttman Drogolin" w:hint="cs"/>
          <w:rtl/>
          <w:lang w:bidi="he-IL"/>
        </w:rPr>
        <w:t xml:space="preserve"> ביבש ביבש שגזרו מין במינו אטו מין בשאינו מינו. אבל ל</w:t>
      </w:r>
      <w:r w:rsidR="00175E46" w:rsidRPr="00882F11">
        <w:rPr>
          <w:rFonts w:cs="Guttman Drogolin" w:hint="cs"/>
          <w:rtl/>
          <w:lang w:bidi="he-IL"/>
        </w:rPr>
        <w:t>ש</w:t>
      </w:r>
      <w:r w:rsidR="00CE20BD" w:rsidRPr="00882F11">
        <w:rPr>
          <w:rFonts w:cs="Guttman Drogolin" w:hint="cs"/>
          <w:rtl/>
          <w:lang w:bidi="he-IL"/>
        </w:rPr>
        <w:t>יטת הר"</w:t>
      </w:r>
      <w:r w:rsidR="00175E46" w:rsidRPr="00882F11">
        <w:rPr>
          <w:rFonts w:cs="Guttman Drogolin" w:hint="cs"/>
          <w:rtl/>
          <w:lang w:bidi="he-IL"/>
        </w:rPr>
        <w:t>ן דסבר שה</w:t>
      </w:r>
      <w:r w:rsidR="00CE20BD" w:rsidRPr="00882F11">
        <w:rPr>
          <w:rFonts w:cs="Guttman Drogolin" w:hint="cs"/>
          <w:rtl/>
          <w:lang w:bidi="he-IL"/>
        </w:rPr>
        <w:t>וא מדרבנן עדיין תיקשי</w:t>
      </w:r>
      <w:r w:rsidRPr="00882F11">
        <w:rPr>
          <w:rFonts w:cs="Guttman Drogolin" w:hint="cs"/>
          <w:rtl/>
          <w:lang w:bidi="he-IL"/>
        </w:rPr>
        <w:t>.</w:t>
      </w:r>
    </w:p>
    <w:p w:rsidR="009056BD" w:rsidRPr="00882F11" w:rsidRDefault="00175E46" w:rsidP="00421964">
      <w:pPr>
        <w:bidi/>
        <w:jc w:val="both"/>
        <w:rPr>
          <w:rFonts w:cs="Guttman Drogolin"/>
          <w:rtl/>
          <w:lang w:bidi="he-IL"/>
        </w:rPr>
      </w:pPr>
      <w:r w:rsidRPr="00882F11">
        <w:rPr>
          <w:rFonts w:cs="Guttman Drogolin" w:hint="cs"/>
          <w:rtl/>
          <w:lang w:bidi="he-IL"/>
        </w:rPr>
        <w:t xml:space="preserve">ומצאתי בזה דברי רע"א בהגהותיו להקדמת הפמ"ג להלכות תערובות. ששם </w:t>
      </w:r>
      <w:r w:rsidR="00421964" w:rsidRPr="00882F11">
        <w:rPr>
          <w:rFonts w:cs="Guttman Drogolin" w:hint="cs"/>
          <w:rtl/>
          <w:lang w:bidi="he-IL"/>
        </w:rPr>
        <w:t xml:space="preserve">(פ"א) </w:t>
      </w:r>
      <w:r w:rsidRPr="00882F11">
        <w:rPr>
          <w:rFonts w:cs="Guttman Drogolin" w:hint="cs"/>
          <w:rtl/>
          <w:lang w:bidi="he-IL"/>
        </w:rPr>
        <w:t>בפמ"ג</w:t>
      </w:r>
      <w:r w:rsidR="00421964" w:rsidRPr="00882F11">
        <w:rPr>
          <w:rFonts w:cs="Guttman Drogolin" w:hint="cs"/>
          <w:rtl/>
          <w:lang w:bidi="he-IL"/>
        </w:rPr>
        <w:t xml:space="preserve"> הביא ראי' דלא בעינן ששים ממתני' פ"ט מ"א דלא בעינן שיעור ששים דהתם כתוב שצמר רחלים וצמר גמלים בטל ברוב, ואי מחמירין להצריך ששים אפילו במין במינו ביבש ביבש, ע"כ אין הטעם משום חשש שמא יבשלם, אלא חק קבוע להצריך ביטול בששים, וא"כ גם בצמר רחלים וצמר גמלים הי' צריך להיות הדין כן. ושם בהגהת רע"א דחה הוכחה זו, דלעולם לא צרכינן ששים אלא בדבר ששייך בו ענין של טעם, ולכן אפילו </w:t>
      </w:r>
      <w:r w:rsidR="00286AD1" w:rsidRPr="00882F11">
        <w:rPr>
          <w:rFonts w:cs="Guttman Drogolin" w:hint="cs"/>
          <w:rtl/>
          <w:lang w:bidi="he-IL"/>
        </w:rPr>
        <w:t>ביבש ביבש כיון שנותן טעם בשאינו מינו גזרו, אבל בדבר שלא שייך לגבי' ענין של טעם כלל לכו"ע לא גזרו.</w:t>
      </w:r>
      <w:r w:rsidR="00A90B82" w:rsidRPr="00882F11">
        <w:rPr>
          <w:rFonts w:cs="Guttman Drogolin" w:hint="cs"/>
          <w:rtl/>
          <w:lang w:bidi="he-IL"/>
        </w:rPr>
        <w:t xml:space="preserve"> הרי דחזינן לדעתי' דרע"א שגזרו כל היכא דשייך בי' ענין של טעם כיון שבדברים כאלו לפעמים צריכם ששים.</w:t>
      </w:r>
      <w:r w:rsidR="00421964" w:rsidRPr="00882F11">
        <w:rPr>
          <w:rFonts w:cs="Guttman Drogolin" w:hint="cs"/>
          <w:rtl/>
          <w:lang w:bidi="he-IL"/>
        </w:rPr>
        <w:t xml:space="preserve">  </w:t>
      </w:r>
      <w:r w:rsidRPr="00882F11">
        <w:rPr>
          <w:rFonts w:cs="Guttman Drogolin" w:hint="cs"/>
          <w:rtl/>
          <w:lang w:bidi="he-IL"/>
        </w:rPr>
        <w:t xml:space="preserve"> </w:t>
      </w:r>
      <w:r w:rsidR="008F539B" w:rsidRPr="00882F11">
        <w:rPr>
          <w:rFonts w:cs="Guttman Drogolin" w:hint="cs"/>
          <w:rtl/>
          <w:lang w:bidi="he-IL"/>
        </w:rPr>
        <w:t xml:space="preserve">    </w:t>
      </w:r>
    </w:p>
    <w:p w:rsidR="009056BD" w:rsidRPr="00882F11" w:rsidRDefault="009056BD" w:rsidP="0078079C">
      <w:pPr>
        <w:pStyle w:val="Heading1"/>
        <w:bidi/>
        <w:spacing w:before="0" w:line="360" w:lineRule="auto"/>
        <w:jc w:val="center"/>
        <w:rPr>
          <w:rFonts w:cs="Guttman Drogolin"/>
          <w:color w:val="auto"/>
          <w:sz w:val="24"/>
          <w:szCs w:val="24"/>
          <w:u w:val="single"/>
          <w:rtl/>
          <w:lang w:bidi="he-IL"/>
        </w:rPr>
      </w:pPr>
      <w:bookmarkStart w:id="54" w:name="_Toc496175317"/>
      <w:r w:rsidRPr="00882F11">
        <w:rPr>
          <w:rFonts w:cs="Guttman Drogolin" w:hint="cs"/>
          <w:color w:val="auto"/>
          <w:sz w:val="24"/>
          <w:szCs w:val="24"/>
          <w:u w:val="single"/>
          <w:rtl/>
          <w:lang w:bidi="he-IL"/>
        </w:rPr>
        <w:t>שיטת הרשב"א בביטול יבש ביבש</w:t>
      </w:r>
      <w:bookmarkEnd w:id="54"/>
    </w:p>
    <w:p w:rsidR="00DF45E5" w:rsidRPr="00882F11" w:rsidRDefault="00C259AB" w:rsidP="00F2399B">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ביטול יבש ביבש</w:instrText>
      </w:r>
      <w:r w:rsidRPr="00882F11">
        <w:rPr>
          <w:rFonts w:cs="Guttman Drogolin"/>
          <w:rtl/>
        </w:rPr>
        <w:instrText>:</w:instrText>
      </w:r>
      <w:r w:rsidRPr="00882F11">
        <w:rPr>
          <w:rFonts w:cs="Guttman Drogolin" w:hint="cs"/>
          <w:rtl/>
          <w:lang w:bidi="he-IL"/>
        </w:rPr>
        <w:instrText>שיטת הרשב</w:instrText>
      </w:r>
      <w:r w:rsidRPr="00882F11">
        <w:rPr>
          <w:rFonts w:eastAsiaTheme="minorEastAsia" w:cs="Guttman Drogolin"/>
          <w:lang w:bidi="he-IL"/>
        </w:rPr>
        <w:instrText>\</w:instrText>
      </w:r>
      <w:r w:rsidRPr="00882F11">
        <w:rPr>
          <w:rFonts w:cs="Guttman Drogolin" w:hint="cs"/>
          <w:rtl/>
          <w:lang w:bidi="he-IL"/>
        </w:rPr>
        <w:instrText>"א</w:instrText>
      </w:r>
      <w:r w:rsidRPr="00882F11">
        <w:rPr>
          <w:rFonts w:cs="Guttman Drogolin"/>
        </w:rPr>
        <w:instrText xml:space="preserve">" </w:instrText>
      </w:r>
      <w:r w:rsidRPr="00882F11">
        <w:rPr>
          <w:rFonts w:cs="Guttman Drogolin"/>
          <w:rtl/>
          <w:lang w:bidi="he-IL"/>
        </w:rPr>
        <w:fldChar w:fldCharType="end"/>
      </w:r>
      <w:r w:rsidR="009056BD" w:rsidRPr="00882F11">
        <w:rPr>
          <w:rFonts w:cs="Guttman Drogolin" w:hint="cs"/>
          <w:rtl/>
          <w:lang w:bidi="he-IL"/>
        </w:rPr>
        <w:t>כתב הרשב"א בתוה"א</w:t>
      </w:r>
      <w:r w:rsidR="00305790" w:rsidRPr="00882F11">
        <w:rPr>
          <w:rFonts w:cs="Guttman Drogolin" w:hint="cs"/>
          <w:rtl/>
          <w:lang w:bidi="he-IL"/>
        </w:rPr>
        <w:t xml:space="preserve"> (בית ד' שער א', י"ז ע"א בדפוס הישן, עמ' קמ"ז) </w:t>
      </w:r>
      <w:r w:rsidR="00451295" w:rsidRPr="00882F11">
        <w:rPr>
          <w:rFonts w:cs="Guttman Drogolin" w:hint="cs"/>
          <w:rtl/>
          <w:lang w:bidi="he-IL"/>
        </w:rPr>
        <w:t xml:space="preserve">שהשיעור ביטול ביבש ביבש הוא ברוב ולא בעינן ס' אפילו מדרבנן. ובטעם הדבר כתב שבדברים הנבללים שאי אפשר להפריד את החתיכות ולאכול כל א' בפני עצמה צריך ששים משום שבפחות מזה חוששין שיש טעם, ואפילו במין במינו גזרו משום מין </w:t>
      </w:r>
      <w:r w:rsidR="00451295" w:rsidRPr="00882F11">
        <w:rPr>
          <w:rFonts w:cs="Guttman Drogolin" w:hint="cs"/>
          <w:rtl/>
          <w:lang w:bidi="he-IL"/>
        </w:rPr>
        <w:lastRenderedPageBreak/>
        <w:t xml:space="preserve">בשאינו מינו. </w:t>
      </w:r>
      <w:r w:rsidR="00DF45E5" w:rsidRPr="00882F11">
        <w:rPr>
          <w:rFonts w:cs="Guttman Drogolin" w:hint="cs"/>
          <w:rtl/>
          <w:lang w:bidi="he-IL"/>
        </w:rPr>
        <w:t xml:space="preserve">אבל ביבש ביבש שיכול לומר בכל חתיכה בפני עצמה שזו היא המותרת, ואפלו באחרון אפשר לומר כן, הקילו שאינו צריך ששים. </w:t>
      </w:r>
    </w:p>
    <w:p w:rsidR="004733A9" w:rsidRPr="00882F11" w:rsidRDefault="00DF45E5" w:rsidP="00135B59">
      <w:pPr>
        <w:bidi/>
        <w:jc w:val="both"/>
        <w:rPr>
          <w:rFonts w:cs="Guttman Drogolin"/>
          <w:rtl/>
          <w:lang w:bidi="he-IL"/>
        </w:rPr>
      </w:pPr>
      <w:r w:rsidRPr="00882F11">
        <w:rPr>
          <w:rFonts w:cs="Guttman Drogolin" w:hint="cs"/>
          <w:rtl/>
          <w:lang w:bidi="he-IL"/>
        </w:rPr>
        <w:t>והנה יש הלומדים שדעת הרשב"א כשיטת הרי"ד הנ"ל שבביטול יבש ביבש אסור מדאורייתא לאכול כולם בבת אחת, ורק משום שיכול לומר בכל א' מהם שזהו החתיכה המותרת מותר מדאורייתא</w:t>
      </w:r>
      <w:r w:rsidR="00135B59" w:rsidRPr="00882F11">
        <w:rPr>
          <w:rStyle w:val="FootnoteReference"/>
          <w:rFonts w:cs="Guttman Drogolin"/>
          <w:rtl/>
          <w:lang w:bidi="he-IL"/>
        </w:rPr>
        <w:footnoteReference w:id="67"/>
      </w:r>
      <w:r w:rsidRPr="00882F11">
        <w:rPr>
          <w:rFonts w:cs="Guttman Drogolin" w:hint="cs"/>
          <w:rtl/>
          <w:lang w:bidi="he-IL"/>
        </w:rPr>
        <w:t xml:space="preserve">. אלא שהרשב"א הקיל בדבר א' והוא שעכ"פ בזה אחר זה מותר לאכול את כולם, ואין אומרים שאחרי שאוכל את האחרון חייב חטאת. </w:t>
      </w:r>
      <w:r w:rsidR="004733A9" w:rsidRPr="00882F11">
        <w:rPr>
          <w:rFonts w:cs="Guttman Drogolin" w:hint="cs"/>
          <w:rtl/>
          <w:lang w:bidi="he-IL"/>
        </w:rPr>
        <w:t xml:space="preserve">וכן מדייקים </w:t>
      </w:r>
      <w:r w:rsidR="00653E64" w:rsidRPr="00882F11">
        <w:rPr>
          <w:rFonts w:cs="Guttman Drogolin" w:hint="cs"/>
          <w:rtl/>
          <w:lang w:bidi="he-IL"/>
        </w:rPr>
        <w:t>נמי מביאור הגר"א שכתב בס"ק ה' ש</w:t>
      </w:r>
      <w:r w:rsidR="004733A9" w:rsidRPr="00882F11">
        <w:rPr>
          <w:rFonts w:cs="Guttman Drogolin" w:hint="cs"/>
          <w:rtl/>
          <w:lang w:bidi="he-IL"/>
        </w:rPr>
        <w:t xml:space="preserve">טעם הביטול אליבא דרשב"א משום שבכל א' אני אומר שהיא החתיכה המותרת. </w:t>
      </w:r>
    </w:p>
    <w:p w:rsidR="00135B59" w:rsidRPr="00882F11" w:rsidRDefault="004733A9" w:rsidP="00135B59">
      <w:pPr>
        <w:bidi/>
        <w:jc w:val="both"/>
        <w:rPr>
          <w:rFonts w:cs="Guttman Drogolin"/>
          <w:rtl/>
          <w:lang w:bidi="he-IL"/>
        </w:rPr>
      </w:pPr>
      <w:r w:rsidRPr="00882F11">
        <w:rPr>
          <w:rFonts w:cs="Guttman Drogolin" w:hint="cs"/>
          <w:rtl/>
          <w:lang w:bidi="he-IL"/>
        </w:rPr>
        <w:t>אמנם דקדוק לשון הרשב"</w:t>
      </w:r>
      <w:r w:rsidR="00305790" w:rsidRPr="00882F11">
        <w:rPr>
          <w:rFonts w:cs="Guttman Drogolin" w:hint="cs"/>
          <w:rtl/>
          <w:lang w:bidi="he-IL"/>
        </w:rPr>
        <w:t>א</w:t>
      </w:r>
      <w:r w:rsidRPr="00882F11">
        <w:rPr>
          <w:rFonts w:cs="Guttman Drogolin" w:hint="cs"/>
          <w:rtl/>
          <w:lang w:bidi="he-IL"/>
        </w:rPr>
        <w:t xml:space="preserve"> משמע אחרת. שהרשב"א </w:t>
      </w:r>
      <w:r w:rsidR="003578C6" w:rsidRPr="00882F11">
        <w:rPr>
          <w:rFonts w:cs="Guttman Drogolin" w:hint="cs"/>
          <w:rtl/>
          <w:lang w:bidi="he-IL"/>
        </w:rPr>
        <w:t>כתב שם</w:t>
      </w:r>
      <w:r w:rsidR="00305790" w:rsidRPr="00882F11">
        <w:rPr>
          <w:rFonts w:cs="Guttman Drogolin" w:hint="cs"/>
          <w:rtl/>
          <w:lang w:bidi="he-IL"/>
        </w:rPr>
        <w:t xml:space="preserve"> בתוה"א</w:t>
      </w:r>
      <w:r w:rsidR="003578C6" w:rsidRPr="00882F11">
        <w:rPr>
          <w:rFonts w:cs="Guttman Drogolin" w:hint="cs"/>
          <w:rtl/>
          <w:lang w:bidi="he-IL"/>
        </w:rPr>
        <w:t xml:space="preserve"> "ולפיכך אוכל כל אחת בפני עצמה, ואינו חושש דכיון שיש שם כדי שיעור ביטול מדאורייתא דמדאורייתא חד בתרי בטיל אפשר לומר בכל אחת שמא עכשיו אינו אוכל את האיסור הקלו בו אף מדבריהם שלא להצריכו ששים כשאר האיסורין" ומדכתב </w:t>
      </w:r>
      <w:r w:rsidR="00653E64" w:rsidRPr="00882F11">
        <w:rPr>
          <w:rFonts w:cs="Guttman Drogolin" w:hint="cs"/>
          <w:rtl/>
          <w:lang w:bidi="he-IL"/>
        </w:rPr>
        <w:t>'</w:t>
      </w:r>
      <w:r w:rsidR="003578C6" w:rsidRPr="00882F11">
        <w:rPr>
          <w:rFonts w:cs="Guttman Drogolin" w:hint="cs"/>
          <w:rtl/>
          <w:lang w:bidi="he-IL"/>
        </w:rPr>
        <w:t>הקלו</w:t>
      </w:r>
      <w:r w:rsidR="00653E64" w:rsidRPr="00882F11">
        <w:rPr>
          <w:rFonts w:cs="Guttman Drogolin" w:hint="cs"/>
          <w:rtl/>
          <w:lang w:bidi="he-IL"/>
        </w:rPr>
        <w:t>'</w:t>
      </w:r>
      <w:r w:rsidR="003578C6" w:rsidRPr="00882F11">
        <w:rPr>
          <w:rFonts w:cs="Guttman Drogolin" w:hint="cs"/>
          <w:rtl/>
          <w:lang w:bidi="he-IL"/>
        </w:rPr>
        <w:t xml:space="preserve"> משמע שהת</w:t>
      </w:r>
      <w:r w:rsidR="00135B59" w:rsidRPr="00882F11">
        <w:rPr>
          <w:rFonts w:cs="Guttman Drogolin" w:hint="cs"/>
          <w:rtl/>
          <w:lang w:bidi="he-IL"/>
        </w:rPr>
        <w:t>ל</w:t>
      </w:r>
      <w:r w:rsidR="003578C6" w:rsidRPr="00882F11">
        <w:rPr>
          <w:rFonts w:cs="Guttman Drogolin" w:hint="cs"/>
          <w:rtl/>
          <w:lang w:bidi="he-IL"/>
        </w:rPr>
        <w:t>י' בכל א' הוא טעם להתיר איסור דרבנן.</w:t>
      </w:r>
      <w:r w:rsidR="00135B59" w:rsidRPr="00882F11">
        <w:rPr>
          <w:rFonts w:cs="Guttman Drogolin" w:hint="cs"/>
          <w:rtl/>
          <w:lang w:bidi="he-IL"/>
        </w:rPr>
        <w:t xml:space="preserve"> ולשון המשמרת הבית "הקלו בו אף מדבריהם".</w:t>
      </w:r>
      <w:r w:rsidR="003578C6" w:rsidRPr="00882F11">
        <w:rPr>
          <w:rFonts w:cs="Guttman Drogolin" w:hint="cs"/>
          <w:rtl/>
          <w:lang w:bidi="he-IL"/>
        </w:rPr>
        <w:t xml:space="preserve"> אמנם </w:t>
      </w:r>
      <w:r w:rsidR="00135B59" w:rsidRPr="00882F11">
        <w:rPr>
          <w:rFonts w:cs="Guttman Drogolin" w:hint="cs"/>
          <w:rtl/>
          <w:lang w:bidi="he-IL"/>
        </w:rPr>
        <w:t xml:space="preserve">אולי </w:t>
      </w:r>
      <w:r w:rsidR="003578C6" w:rsidRPr="00882F11">
        <w:rPr>
          <w:rFonts w:cs="Guttman Drogolin" w:hint="cs"/>
          <w:rtl/>
          <w:lang w:bidi="he-IL"/>
        </w:rPr>
        <w:t xml:space="preserve">יש לדחות </w:t>
      </w:r>
      <w:r w:rsidR="00135B59" w:rsidRPr="00882F11">
        <w:rPr>
          <w:rFonts w:cs="Guttman Drogolin" w:hint="cs"/>
          <w:rtl/>
          <w:lang w:bidi="he-IL"/>
        </w:rPr>
        <w:t>שכוונתו שהקילו מדבריהם להקל כיון שכל ענינו מדאורייתא הוא דתלינן ולא שייך לגבי' הדין דששים מדבנן.</w:t>
      </w:r>
    </w:p>
    <w:p w:rsidR="00812741" w:rsidRPr="00882F11" w:rsidRDefault="00135B59" w:rsidP="00653E64">
      <w:pPr>
        <w:bidi/>
        <w:jc w:val="both"/>
        <w:rPr>
          <w:rFonts w:cs="Guttman Drogolin"/>
          <w:rtl/>
          <w:lang w:bidi="he-IL"/>
        </w:rPr>
      </w:pPr>
      <w:r w:rsidRPr="00882F11">
        <w:rPr>
          <w:rFonts w:cs="Guttman Drogolin" w:hint="cs"/>
          <w:rtl/>
          <w:lang w:bidi="he-IL"/>
        </w:rPr>
        <w:t xml:space="preserve">ולכאורה יש לנו עוד ראי' לזה מדברי הרשב"א בתשובה. שבשו"ת הרשב"א סי' רע"ב הקשה חכם א' שאם כדברי הרשב"א דלא בעינן ששים, למה יהא חייב אשם תלוי בב' חתיכות, הא לכאורה חתיכה א' גדולה מחברתה וא"כ יתכן שהאסור בטילה ברוב. ותי' לו הרשב"א שאם מיירי בידוע איזה חתיכה אסורה ואיזה מהם מותרת הא פשיטא שאינו חייב באשם תלוי רק בחטאת, דהא יודע שאכל חתיכה האסורה. ואם מיירי בכה"ג שאינו יודע איזה מהן אסור הא אין אנו יודעים </w:t>
      </w:r>
      <w:r w:rsidRPr="00882F11">
        <w:rPr>
          <w:rFonts w:cs="Guttman Drogolin" w:hint="cs"/>
          <w:rtl/>
          <w:lang w:bidi="he-IL"/>
        </w:rPr>
        <w:lastRenderedPageBreak/>
        <w:t xml:space="preserve">אם יש רוב או לא ולכן חייב חטאת. והנה </w:t>
      </w:r>
      <w:r w:rsidR="00DD63C0" w:rsidRPr="00882F11">
        <w:rPr>
          <w:rFonts w:cs="Guttman Drogolin" w:hint="cs"/>
          <w:rtl/>
          <w:lang w:bidi="he-IL"/>
        </w:rPr>
        <w:t xml:space="preserve">בשו"ת חינוך בית יהודה סי' פ' שיש מחלוקת בינו לבין השואל שם </w:t>
      </w:r>
      <w:r w:rsidR="00653E64" w:rsidRPr="00882F11">
        <w:rPr>
          <w:rFonts w:cs="Guttman Drogolin" w:hint="cs"/>
          <w:rtl/>
          <w:lang w:bidi="he-IL"/>
        </w:rPr>
        <w:t>א</w:t>
      </w:r>
      <w:r w:rsidR="00DD63C0" w:rsidRPr="00882F11">
        <w:rPr>
          <w:rFonts w:cs="Guttman Drogolin" w:hint="cs"/>
          <w:rtl/>
          <w:lang w:bidi="he-IL"/>
        </w:rPr>
        <w:t>ם בביטול יבש ביבש אזלינן בתר רוב מנין או רוב בנין. ור"ל האם הרוב שצריכים הוא רוב חתיכות של היתר ולא איכפת לן אם יש רוב נפח של בשר כשר. או"ד דבעינן רוב נפח בשר כשר ואין מודדין במנין החתיכות. ומדברי הרשב"א והש</w:t>
      </w:r>
      <w:r w:rsidR="00653E64" w:rsidRPr="00882F11">
        <w:rPr>
          <w:rFonts w:cs="Guttman Drogolin" w:hint="cs"/>
          <w:rtl/>
          <w:lang w:bidi="he-IL"/>
        </w:rPr>
        <w:t>ו</w:t>
      </w:r>
      <w:r w:rsidR="00DD63C0" w:rsidRPr="00882F11">
        <w:rPr>
          <w:rFonts w:cs="Guttman Drogolin" w:hint="cs"/>
          <w:rtl/>
          <w:lang w:bidi="he-IL"/>
        </w:rPr>
        <w:t>אל הנ</w:t>
      </w:r>
      <w:r w:rsidR="00653E64" w:rsidRPr="00882F11">
        <w:rPr>
          <w:rFonts w:cs="Guttman Drogolin" w:hint="cs"/>
          <w:rtl/>
          <w:lang w:bidi="he-IL"/>
        </w:rPr>
        <w:t>"</w:t>
      </w:r>
      <w:r w:rsidR="00DD63C0" w:rsidRPr="00882F11">
        <w:rPr>
          <w:rFonts w:cs="Guttman Drogolin" w:hint="cs"/>
          <w:rtl/>
          <w:lang w:bidi="he-IL"/>
        </w:rPr>
        <w:t>ל לכאורה חזינן דאזלינן בתר רוב בנין, דהא אין שם אלא ב' חתיכות ומ"מ סבר השואל יש להתיר מדין ביטול כיון שחתיכה א' גדולה מחברתה. וכן הרשב"א לא חלק עליו אלא משום שאין החתיכה ידוע. ו</w:t>
      </w:r>
      <w:r w:rsidR="00812741" w:rsidRPr="00882F11">
        <w:rPr>
          <w:rFonts w:cs="Guttman Drogolin" w:hint="cs"/>
          <w:rtl/>
          <w:lang w:bidi="he-IL"/>
        </w:rPr>
        <w:t xml:space="preserve">לכאורה מוכח מיני' שהדין ביטול יבש ביבש הוא </w:t>
      </w:r>
      <w:r w:rsidR="00653E64" w:rsidRPr="00882F11">
        <w:rPr>
          <w:rFonts w:cs="Guttman Drogolin" w:hint="cs"/>
          <w:rtl/>
          <w:lang w:bidi="he-IL"/>
        </w:rPr>
        <w:t>ד</w:t>
      </w:r>
      <w:r w:rsidR="00812741" w:rsidRPr="00882F11">
        <w:rPr>
          <w:rFonts w:cs="Guttman Drogolin" w:hint="cs"/>
          <w:rtl/>
          <w:lang w:bidi="he-IL"/>
        </w:rPr>
        <w:t>ין ביטול ולא דאזינן בתר רובא, דאי משום דאזלינן בת רובא הא פשיטא דאזלינן בתר רוב מנין ולא רוב בנין.</w:t>
      </w:r>
    </w:p>
    <w:p w:rsidR="00B162D4" w:rsidRPr="00882F11" w:rsidRDefault="00812741" w:rsidP="00653E64">
      <w:pPr>
        <w:bidi/>
        <w:jc w:val="both"/>
        <w:rPr>
          <w:rFonts w:cs="Guttman Drogolin"/>
          <w:rtl/>
          <w:lang w:bidi="he-IL"/>
        </w:rPr>
      </w:pPr>
      <w:r w:rsidRPr="00882F11">
        <w:rPr>
          <w:rFonts w:cs="Guttman Drogolin" w:hint="cs"/>
          <w:rtl/>
          <w:lang w:bidi="he-IL"/>
        </w:rPr>
        <w:t xml:space="preserve">ובעיקר דברי הרשב"א בתשובה שם דנו האחרונים מהו באמת כוונת הרשב"א בתשובתו. </w:t>
      </w:r>
      <w:r w:rsidR="00595518" w:rsidRPr="00882F11">
        <w:rPr>
          <w:rFonts w:cs="Guttman Drogolin" w:hint="cs"/>
          <w:rtl/>
          <w:lang w:bidi="he-IL"/>
        </w:rPr>
        <w:t xml:space="preserve">ובפמ"ג רצה לומר שהרשב"א כתב דיתכן שאינו עובר, שאם החתיכה הקטנה היא של היתר הא ליכא רוב ומשו"ה עדיין עובר באיסור וחייב באשם תלוי. אלא שהקשה עליו דא"כ </w:t>
      </w:r>
      <w:r w:rsidR="00B162D4" w:rsidRPr="00882F11">
        <w:rPr>
          <w:rFonts w:cs="Guttman Drogolin" w:hint="cs"/>
          <w:rtl/>
          <w:lang w:bidi="he-IL"/>
        </w:rPr>
        <w:t xml:space="preserve">הי' צריך להיות הדין שאם אכל הקטנה אינו חייב באשם תלוי ממנ"פ, שאם הגדלה היא של היתר הא הקטנה מותרת מדין ביטול ברוב. ואם הגדולה הא של איסור הא הקטנה </w:t>
      </w:r>
      <w:r w:rsidR="00653E64" w:rsidRPr="00882F11">
        <w:rPr>
          <w:rFonts w:cs="Guttman Drogolin" w:hint="cs"/>
          <w:rtl/>
          <w:lang w:bidi="he-IL"/>
        </w:rPr>
        <w:t>מותרת ושוב לא עבר על איסור. ושי</w:t>
      </w:r>
      <w:r w:rsidR="00B162D4" w:rsidRPr="00882F11">
        <w:rPr>
          <w:rFonts w:cs="Guttman Drogolin" w:hint="cs"/>
          <w:rtl/>
          <w:lang w:bidi="he-IL"/>
        </w:rPr>
        <w:t>טת המנח"כ שכמו שהיתר מבטל איסו</w:t>
      </w:r>
      <w:r w:rsidR="00653E64" w:rsidRPr="00882F11">
        <w:rPr>
          <w:rFonts w:cs="Guttman Drogolin" w:hint="cs"/>
          <w:rtl/>
          <w:lang w:bidi="he-IL"/>
        </w:rPr>
        <w:t>ר</w:t>
      </w:r>
      <w:r w:rsidR="00B162D4" w:rsidRPr="00882F11">
        <w:rPr>
          <w:rFonts w:cs="Guttman Drogolin" w:hint="cs"/>
          <w:rtl/>
          <w:lang w:bidi="he-IL"/>
        </w:rPr>
        <w:t xml:space="preserve"> כשהוא הרוב הה"נ שהאיסור מבטל את ההיתר מדין ביטול ברוב. ויוצא שאם הרוב הוא של איסור הר</w:t>
      </w:r>
      <w:r w:rsidR="00653E64" w:rsidRPr="00882F11">
        <w:rPr>
          <w:rFonts w:cs="Guttman Drogolin" w:hint="cs"/>
          <w:rtl/>
          <w:lang w:bidi="he-IL"/>
        </w:rPr>
        <w:t>י</w:t>
      </w:r>
      <w:r w:rsidR="00B162D4" w:rsidRPr="00882F11">
        <w:rPr>
          <w:rFonts w:cs="Guttman Drogolin" w:hint="cs"/>
          <w:rtl/>
          <w:lang w:bidi="he-IL"/>
        </w:rPr>
        <w:t xml:space="preserve"> הוא עובר גם על הקטנה אפילו אם כלפי שמיא גליא שהיא של היתר. וא"כ אוכל י"ל שזהו הטעם שעובר גם על הקטנה, ומשום שאם הגדולה היא של איסור הרי הוא מבטל את הקטנה ומהפך אותו להיות איסור. אלא שהעיר על זה בחי' ר' ראובן למס' כתובות (סי' ט"ו) שא"כ עד</w:t>
      </w:r>
      <w:r w:rsidR="00653E64" w:rsidRPr="00882F11">
        <w:rPr>
          <w:rFonts w:cs="Guttman Drogolin" w:hint="cs"/>
          <w:rtl/>
          <w:lang w:bidi="he-IL"/>
        </w:rPr>
        <w:t>י</w:t>
      </w:r>
      <w:r w:rsidR="00B162D4" w:rsidRPr="00882F11">
        <w:rPr>
          <w:rFonts w:cs="Guttman Drogolin" w:hint="cs"/>
          <w:rtl/>
          <w:lang w:bidi="he-IL"/>
        </w:rPr>
        <w:t>ין קשה, שה</w:t>
      </w:r>
      <w:r w:rsidR="00653E64" w:rsidRPr="00882F11">
        <w:rPr>
          <w:rFonts w:cs="Guttman Drogolin" w:hint="cs"/>
          <w:rtl/>
          <w:lang w:bidi="he-IL"/>
        </w:rPr>
        <w:t>ר</w:t>
      </w:r>
      <w:r w:rsidR="00B162D4" w:rsidRPr="00882F11">
        <w:rPr>
          <w:rFonts w:cs="Guttman Drogolin" w:hint="cs"/>
          <w:rtl/>
          <w:lang w:bidi="he-IL"/>
        </w:rPr>
        <w:t xml:space="preserve">י יוצא שהצדדין שעבר באיסור הוא כזה, שאם החתיכה הגדולה היא של איסור הרי הוא עובר בין אם אכל הקטנה ובין אם אכל </w:t>
      </w:r>
      <w:r w:rsidR="00B162D4" w:rsidRPr="00882F11">
        <w:rPr>
          <w:rFonts w:cs="Guttman Drogolin" w:hint="cs"/>
          <w:rtl/>
          <w:lang w:bidi="he-IL"/>
        </w:rPr>
        <w:lastRenderedPageBreak/>
        <w:t>הגדולה כיון שהקטנה בטילה לגדולה, ואם הקטנה היא של איסור יוצא שאינו עובר בין אם אכל הקטנה ובין אם אכל הגדולה. וא"כ לא איקבע איסורא כדבעלמא בחתיכה א' מב' חתיכות, והא קיי"ל שאינו עובר אא"כ אכל חתיכה א' מב' חתיכות.</w:t>
      </w:r>
    </w:p>
    <w:p w:rsidR="002B0838" w:rsidRPr="00882F11" w:rsidRDefault="00B162D4" w:rsidP="00653E64">
      <w:pPr>
        <w:bidi/>
        <w:jc w:val="both"/>
        <w:rPr>
          <w:rFonts w:cs="Guttman Drogolin"/>
          <w:rtl/>
          <w:lang w:bidi="he-IL"/>
        </w:rPr>
      </w:pPr>
      <w:r w:rsidRPr="00882F11">
        <w:rPr>
          <w:rFonts w:cs="Guttman Drogolin" w:hint="cs"/>
          <w:rtl/>
          <w:lang w:bidi="he-IL"/>
        </w:rPr>
        <w:t xml:space="preserve">ולכן נראה כוונת הרשב"א שהוא חידוש בדין רוב (וכה"ג מבואר שם בחי' ר' ראובן, וע"ש שציין גם לדברי רע"א בשו"ע סי' ק"ה סע' ט'). והוא דהנה הדין של רוב לא שייך אא"כ </w:t>
      </w:r>
      <w:r w:rsidR="00653E64" w:rsidRPr="00882F11">
        <w:rPr>
          <w:rFonts w:cs="Guttman Drogolin" w:hint="cs"/>
          <w:rtl/>
          <w:lang w:bidi="he-IL"/>
        </w:rPr>
        <w:t>י</w:t>
      </w:r>
      <w:r w:rsidRPr="00882F11">
        <w:rPr>
          <w:rFonts w:cs="Guttman Drogolin" w:hint="cs"/>
          <w:rtl/>
          <w:lang w:bidi="he-IL"/>
        </w:rPr>
        <w:t>ש תערובת. ובביטול יבש ביבש אין לנו תערובת אלא ע"י זה שיש אי ידיעה איזה חתיכה אס</w:t>
      </w:r>
      <w:r w:rsidR="00653E64" w:rsidRPr="00882F11">
        <w:rPr>
          <w:rFonts w:cs="Guttman Drogolin" w:hint="cs"/>
          <w:rtl/>
          <w:lang w:bidi="he-IL"/>
        </w:rPr>
        <w:t>ו</w:t>
      </w:r>
      <w:r w:rsidRPr="00882F11">
        <w:rPr>
          <w:rFonts w:cs="Guttman Drogolin" w:hint="cs"/>
          <w:rtl/>
          <w:lang w:bidi="he-IL"/>
        </w:rPr>
        <w:t xml:space="preserve">רה ואיזה מותרת. והדין של רוב אומרת לנו מהו דינו של כל התערובת, דכיון שיש לנו ספק ניתנה רשות לרוב לקבוע דינו. </w:t>
      </w:r>
      <w:r w:rsidR="00E5051D" w:rsidRPr="00882F11">
        <w:rPr>
          <w:rFonts w:cs="Guttman Drogolin" w:hint="cs"/>
          <w:rtl/>
          <w:lang w:bidi="he-IL"/>
        </w:rPr>
        <w:t xml:space="preserve">ואע"ג שהספק שלנו הוא במנין החתיכות איזה מותר ואיזה מותר, מ"מ הדין </w:t>
      </w:r>
      <w:r w:rsidR="00653E64" w:rsidRPr="00882F11">
        <w:rPr>
          <w:rFonts w:cs="Guttman Drogolin" w:hint="cs"/>
          <w:rtl/>
          <w:lang w:bidi="he-IL"/>
        </w:rPr>
        <w:t>ש</w:t>
      </w:r>
      <w:r w:rsidR="00E5051D" w:rsidRPr="00882F11">
        <w:rPr>
          <w:rFonts w:cs="Guttman Drogolin" w:hint="cs"/>
          <w:rtl/>
          <w:lang w:bidi="he-IL"/>
        </w:rPr>
        <w:t xml:space="preserve">ל רוב נאמר בחפצא של התערובת ואין אומרים הדין של רוב אא"כ אפשר לתת לכל התערובת דינו של רוב בנין התערובת וכנ"ל. </w:t>
      </w:r>
      <w:r w:rsidR="0030701C" w:rsidRPr="00882F11">
        <w:rPr>
          <w:rFonts w:cs="Guttman Drogolin" w:hint="cs"/>
          <w:rtl/>
          <w:lang w:bidi="he-IL"/>
        </w:rPr>
        <w:t>וכיון שכן</w:t>
      </w:r>
      <w:r w:rsidR="00653E64" w:rsidRPr="00882F11">
        <w:rPr>
          <w:rFonts w:cs="Guttman Drogolin" w:hint="cs"/>
          <w:rtl/>
          <w:lang w:bidi="he-IL"/>
        </w:rPr>
        <w:t>,</w:t>
      </w:r>
      <w:r w:rsidR="0030701C" w:rsidRPr="00882F11">
        <w:rPr>
          <w:rFonts w:cs="Guttman Drogolin" w:hint="cs"/>
          <w:rtl/>
          <w:lang w:bidi="he-IL"/>
        </w:rPr>
        <w:t xml:space="preserve"> לא אמרינן הדין של רוב אלא בכה"ג שהרוב קובע לנו דינו של הספק, וכגון שידעינן שיש רוב בשר כשר ומיעוט </w:t>
      </w:r>
      <w:r w:rsidR="002B0838" w:rsidRPr="00882F11">
        <w:rPr>
          <w:rFonts w:cs="Guttman Drogolin" w:hint="cs"/>
          <w:rtl/>
          <w:lang w:bidi="he-IL"/>
        </w:rPr>
        <w:t xml:space="preserve">בשר </w:t>
      </w:r>
      <w:r w:rsidR="0016693C" w:rsidRPr="00882F11">
        <w:rPr>
          <w:rFonts w:cs="Guttman Drogolin" w:hint="cs"/>
          <w:rtl/>
          <w:lang w:bidi="he-IL"/>
        </w:rPr>
        <w:t>נבילה</w:t>
      </w:r>
      <w:r w:rsidR="002B0838" w:rsidRPr="00882F11">
        <w:rPr>
          <w:rFonts w:cs="Guttman Drogolin" w:hint="cs"/>
          <w:rtl/>
          <w:lang w:bidi="he-IL"/>
        </w:rPr>
        <w:t xml:space="preserve"> אבל בכה"ג שאין לנו אלא רוב מספק, אין הרוב יכול לפתור לנו את הספק ולכן לא אמרינן לי' כלל אפ</w:t>
      </w:r>
      <w:r w:rsidR="00653E64" w:rsidRPr="00882F11">
        <w:rPr>
          <w:rFonts w:cs="Guttman Drogolin" w:hint="cs"/>
          <w:rtl/>
          <w:lang w:bidi="he-IL"/>
        </w:rPr>
        <w:t>י</w:t>
      </w:r>
      <w:r w:rsidR="002B0838" w:rsidRPr="00882F11">
        <w:rPr>
          <w:rFonts w:cs="Guttman Drogolin" w:hint="cs"/>
          <w:rtl/>
          <w:lang w:bidi="he-IL"/>
        </w:rPr>
        <w:t>לו על צד ספק. ולכן בההיא דב' חתיכות א' של איסור וא' של היתר וא' גדול מחבירו רק לא ידיעינן איזה, אין לנו דין של רוב בכלל כיון שאינו פושט שום ספק, ויוצא שיש כאן ספק איסור בחתכה א' מב' חתיכות וחייב באשם תלוי. וע"ש בחי' ר' ראובן שדן במקומות אחרות בענין כלל זה.</w:t>
      </w:r>
    </w:p>
    <w:p w:rsidR="002B0838" w:rsidRPr="00882F11" w:rsidRDefault="002B0838" w:rsidP="0078079C">
      <w:pPr>
        <w:pStyle w:val="Heading1"/>
        <w:bidi/>
        <w:spacing w:before="0" w:line="360" w:lineRule="auto"/>
        <w:jc w:val="center"/>
        <w:rPr>
          <w:rFonts w:cs="Guttman Drogolin"/>
          <w:color w:val="auto"/>
          <w:sz w:val="24"/>
          <w:szCs w:val="24"/>
          <w:u w:val="single"/>
          <w:rtl/>
          <w:lang w:bidi="he-IL"/>
        </w:rPr>
      </w:pPr>
      <w:bookmarkStart w:id="55" w:name="_Toc496175318"/>
      <w:r w:rsidRPr="00882F11">
        <w:rPr>
          <w:rFonts w:cs="Guttman Drogolin" w:hint="cs"/>
          <w:color w:val="auto"/>
          <w:sz w:val="24"/>
          <w:szCs w:val="24"/>
          <w:u w:val="single"/>
          <w:rtl/>
          <w:lang w:bidi="he-IL"/>
        </w:rPr>
        <w:t>עוד כמה הערות בדברי הרא"ש</w:t>
      </w:r>
      <w:bookmarkEnd w:id="55"/>
    </w:p>
    <w:p w:rsidR="00A973DD" w:rsidRPr="00882F11" w:rsidRDefault="002B0838" w:rsidP="00B81CCF">
      <w:pPr>
        <w:pStyle w:val="ListParagraph"/>
        <w:numPr>
          <w:ilvl w:val="0"/>
          <w:numId w:val="3"/>
        </w:numPr>
        <w:bidi/>
        <w:ind w:left="207" w:hanging="270"/>
        <w:jc w:val="both"/>
        <w:rPr>
          <w:rFonts w:cs="Guttman Drogolin"/>
          <w:lang w:bidi="he-IL"/>
        </w:rPr>
      </w:pPr>
      <w:r w:rsidRPr="00882F11">
        <w:rPr>
          <w:rFonts w:cs="Guttman Drogolin" w:hint="cs"/>
          <w:rtl/>
          <w:lang w:bidi="he-IL"/>
        </w:rPr>
        <w:t xml:space="preserve">הרא"ש התקשה בדברי הגמ' במס' בכורות ששם מבואר שהוא מקבל טומאת משא ולא טומאת מגע מנבילה הטילה בחתיכות שחוטות, ולכאורה </w:t>
      </w:r>
      <w:r w:rsidR="00A973DD" w:rsidRPr="00882F11">
        <w:rPr>
          <w:rFonts w:cs="Guttman Drogolin" w:hint="cs"/>
          <w:rtl/>
          <w:lang w:bidi="he-IL"/>
        </w:rPr>
        <w:t>ז</w:t>
      </w:r>
      <w:r w:rsidRPr="00882F11">
        <w:rPr>
          <w:rFonts w:cs="Guttman Drogolin" w:hint="cs"/>
          <w:rtl/>
          <w:lang w:bidi="he-IL"/>
        </w:rPr>
        <w:t>ה סותר את שיטתו שמותר לאכול כולם כא'. ותי' הרא"ש</w:t>
      </w:r>
      <w:r w:rsidR="00A973DD" w:rsidRPr="00882F11">
        <w:rPr>
          <w:rFonts w:cs="Guttman Drogolin" w:hint="cs"/>
          <w:rtl/>
          <w:lang w:bidi="he-IL"/>
        </w:rPr>
        <w:t xml:space="preserve"> דשאני התם שאין נידון לענין משא כלפי כל א' בפני עצמו ולכן אין צריכים ביטול לענין זה משא"כ באכילת איסור. ויל"ע מהו הביאור בדבריו.</w:t>
      </w:r>
    </w:p>
    <w:p w:rsidR="00A973DD" w:rsidRPr="00882F11" w:rsidRDefault="00A973DD" w:rsidP="00B81CCF">
      <w:pPr>
        <w:pStyle w:val="ListParagraph"/>
        <w:numPr>
          <w:ilvl w:val="0"/>
          <w:numId w:val="3"/>
        </w:numPr>
        <w:bidi/>
        <w:ind w:left="207" w:hanging="270"/>
        <w:jc w:val="both"/>
        <w:rPr>
          <w:rFonts w:cs="Guttman Drogolin"/>
          <w:lang w:bidi="he-IL"/>
        </w:rPr>
      </w:pPr>
      <w:r w:rsidRPr="00882F11">
        <w:rPr>
          <w:rFonts w:cs="Guttman Drogolin" w:hint="cs"/>
          <w:rtl/>
          <w:lang w:bidi="he-IL"/>
        </w:rPr>
        <w:lastRenderedPageBreak/>
        <w:t>לעיל מיני' הרא"ש</w:t>
      </w:r>
      <w:r w:rsidR="002B0838" w:rsidRPr="00882F11">
        <w:rPr>
          <w:rFonts w:cs="Guttman Drogolin" w:hint="cs"/>
          <w:rtl/>
          <w:lang w:bidi="he-IL"/>
        </w:rPr>
        <w:t xml:space="preserve"> </w:t>
      </w:r>
      <w:r w:rsidRPr="00882F11">
        <w:rPr>
          <w:rFonts w:cs="Guttman Drogolin" w:hint="cs"/>
          <w:rtl/>
          <w:lang w:bidi="he-IL"/>
        </w:rPr>
        <w:t>הוכיח דאזלינן בתר ידיעת הביטול ממתני' של מס' תרומות שנחלקו בה ר' שמעון ורבנן אם הי' ידיעה בין נפילת תרומה לנפילת תרומה. וכתב הרא"ש דחזינן לדעתי' דר"ש דאלזינן בתר ידיעה, ור</w:t>
      </w:r>
      <w:r w:rsidR="00653E64" w:rsidRPr="00882F11">
        <w:rPr>
          <w:rFonts w:cs="Guttman Drogolin" w:hint="cs"/>
          <w:rtl/>
          <w:lang w:bidi="he-IL"/>
        </w:rPr>
        <w:t>בנן נחלקו משום דלית להו כל העומד</w:t>
      </w:r>
      <w:r w:rsidRPr="00882F11">
        <w:rPr>
          <w:rFonts w:cs="Guttman Drogolin" w:hint="cs"/>
          <w:rtl/>
          <w:lang w:bidi="he-IL"/>
        </w:rPr>
        <w:t xml:space="preserve"> להרים כמורם דמי</w:t>
      </w:r>
      <w:r w:rsidR="00BE3227" w:rsidRPr="00882F11">
        <w:rPr>
          <w:rFonts w:cs="Guttman Drogolin" w:hint="cs"/>
          <w:rtl/>
          <w:lang w:bidi="he-IL"/>
        </w:rPr>
        <w:t xml:space="preserve"> אבל בשאר איסורים מודה</w:t>
      </w:r>
      <w:r w:rsidRPr="00882F11">
        <w:rPr>
          <w:rFonts w:cs="Guttman Drogolin" w:hint="cs"/>
          <w:rtl/>
          <w:lang w:bidi="he-IL"/>
        </w:rPr>
        <w:t>.</w:t>
      </w:r>
      <w:r w:rsidR="00BE3227" w:rsidRPr="00882F11">
        <w:rPr>
          <w:rFonts w:cs="Guttman Drogolin" w:hint="cs"/>
          <w:rtl/>
          <w:lang w:bidi="he-IL"/>
        </w:rPr>
        <w:t xml:space="preserve"> ובהמשך דבריו הוכיח דאמרינן שאיסור שנתערב וניתר מדין רוב חוזר וניעור כשמוסיפים איסור לתערובת</w:t>
      </w:r>
      <w:r w:rsidR="00653E64" w:rsidRPr="00882F11">
        <w:rPr>
          <w:rFonts w:cs="Guttman Drogolin" w:hint="cs"/>
          <w:rtl/>
          <w:lang w:bidi="he-IL"/>
        </w:rPr>
        <w:t xml:space="preserve"> </w:t>
      </w:r>
      <w:r w:rsidR="00BE3227" w:rsidRPr="00882F11">
        <w:rPr>
          <w:rFonts w:cs="Guttman Drogolin" w:hint="cs"/>
          <w:rtl/>
          <w:lang w:bidi="he-IL"/>
        </w:rPr>
        <w:t>משיטת רבנן, והא דסברי דלאו כמורם דמי אינו אלא לענין ממון כהן, אבל משום איסור אין הטעם אלא משום חוזר וניעור. ולכא</w:t>
      </w:r>
      <w:r w:rsidR="00E149FD" w:rsidRPr="00882F11">
        <w:rPr>
          <w:rFonts w:cs="Guttman Drogolin" w:hint="cs"/>
          <w:rtl/>
          <w:lang w:bidi="he-IL"/>
        </w:rPr>
        <w:t>ו</w:t>
      </w:r>
      <w:r w:rsidR="00BE3227" w:rsidRPr="00882F11">
        <w:rPr>
          <w:rFonts w:cs="Guttman Drogolin" w:hint="cs"/>
          <w:rtl/>
          <w:lang w:bidi="he-IL"/>
        </w:rPr>
        <w:t xml:space="preserve">רה צ"ע בסתירת הדברים. וע' מש"כ בזה במשנת ר' אהרון. </w:t>
      </w:r>
      <w:r w:rsidRPr="00882F11">
        <w:rPr>
          <w:rFonts w:cs="Guttman Drogolin" w:hint="cs"/>
          <w:rtl/>
          <w:lang w:bidi="he-IL"/>
        </w:rPr>
        <w:t xml:space="preserve"> </w:t>
      </w:r>
    </w:p>
    <w:p w:rsidR="00A973DD" w:rsidRPr="00882F11" w:rsidRDefault="00A973DD" w:rsidP="00A973DD">
      <w:pPr>
        <w:bidi/>
        <w:jc w:val="both"/>
        <w:rPr>
          <w:rFonts w:cs="Guttman Drogolin"/>
          <w:b/>
          <w:bCs/>
          <w:u w:val="single"/>
          <w:rtl/>
          <w:lang w:bidi="he-IL"/>
        </w:rPr>
      </w:pPr>
      <w:r w:rsidRPr="00882F11">
        <w:rPr>
          <w:rFonts w:cs="Guttman Drogolin" w:hint="cs"/>
          <w:b/>
          <w:bCs/>
          <w:u w:val="single"/>
          <w:rtl/>
          <w:lang w:bidi="he-IL"/>
        </w:rPr>
        <w:t>מראה מקומות לסוגיא דברי'</w:t>
      </w:r>
    </w:p>
    <w:p w:rsidR="00F860C9" w:rsidRPr="00882F11" w:rsidRDefault="00A973DD" w:rsidP="00F860C9">
      <w:pPr>
        <w:bidi/>
        <w:spacing w:after="0"/>
        <w:jc w:val="both"/>
        <w:rPr>
          <w:rFonts w:cs="Guttman Drogolin"/>
          <w:rtl/>
          <w:lang w:bidi="he-IL"/>
        </w:rPr>
      </w:pPr>
      <w:r w:rsidRPr="00882F11">
        <w:rPr>
          <w:rFonts w:cs="Guttman Drogolin" w:hint="cs"/>
          <w:rtl/>
          <w:lang w:bidi="he-IL"/>
        </w:rPr>
        <w:t>מתני' צ"ו ע"א ושם ב</w:t>
      </w:r>
      <w:r w:rsidR="00F860C9" w:rsidRPr="00882F11">
        <w:rPr>
          <w:rFonts w:cs="Guttman Drogolin" w:hint="cs"/>
          <w:rtl/>
          <w:lang w:bidi="he-IL"/>
        </w:rPr>
        <w:t>תוד"ה מאי</w:t>
      </w:r>
    </w:p>
    <w:p w:rsidR="00F860C9" w:rsidRPr="00882F11" w:rsidRDefault="00F860C9" w:rsidP="00F860C9">
      <w:pPr>
        <w:bidi/>
        <w:spacing w:after="0"/>
        <w:jc w:val="both"/>
        <w:rPr>
          <w:rFonts w:cs="Guttman Drogolin"/>
          <w:lang w:bidi="he-IL"/>
        </w:rPr>
      </w:pPr>
      <w:r w:rsidRPr="00882F11">
        <w:rPr>
          <w:rFonts w:cs="Guttman Drogolin" w:hint="cs"/>
          <w:rtl/>
          <w:lang w:bidi="he-IL"/>
        </w:rPr>
        <w:t>רמב"ן דף ק' ע"א</w:t>
      </w:r>
    </w:p>
    <w:p w:rsidR="00BD644B" w:rsidRPr="00882F11" w:rsidRDefault="00BD644B" w:rsidP="00F860C9">
      <w:pPr>
        <w:bidi/>
        <w:jc w:val="both"/>
        <w:rPr>
          <w:rFonts w:cs="Guttman Drogolin"/>
          <w:rtl/>
          <w:lang w:bidi="he-IL"/>
        </w:rPr>
        <w:sectPr w:rsidR="00BD644B" w:rsidRPr="00882F11" w:rsidSect="00102811">
          <w:type w:val="continuous"/>
          <w:pgSz w:w="11907" w:h="16839" w:code="9"/>
          <w:pgMar w:top="1440" w:right="1440" w:bottom="1440" w:left="1440" w:header="720" w:footer="720" w:gutter="0"/>
          <w:cols w:num="2" w:space="720"/>
          <w:bidi/>
          <w:docGrid w:linePitch="360"/>
        </w:sectPr>
      </w:pPr>
    </w:p>
    <w:p w:rsidR="00BD644B" w:rsidRPr="00882F11" w:rsidRDefault="00BD644B" w:rsidP="00BD644B">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י"ד</w:t>
      </w:r>
    </w:p>
    <w:p w:rsidR="00102811" w:rsidRDefault="00102811" w:rsidP="0078079C">
      <w:pPr>
        <w:pStyle w:val="Heading1"/>
        <w:bidi/>
        <w:spacing w:before="0" w:line="360" w:lineRule="auto"/>
        <w:jc w:val="center"/>
        <w:rPr>
          <w:rFonts w:cs="Guttman Drogolin"/>
          <w:color w:val="auto"/>
          <w:sz w:val="24"/>
          <w:szCs w:val="24"/>
          <w:u w:val="single"/>
          <w:rtl/>
          <w:lang w:bidi="he-IL"/>
        </w:rPr>
        <w:sectPr w:rsidR="00102811" w:rsidSect="00102811">
          <w:headerReference w:type="default" r:id="rId20"/>
          <w:pgSz w:w="11907" w:h="16839" w:code="9"/>
          <w:pgMar w:top="1440" w:right="1440" w:bottom="1440" w:left="1440" w:header="720" w:footer="720" w:gutter="0"/>
          <w:cols w:space="720"/>
          <w:bidi/>
          <w:docGrid w:linePitch="360"/>
        </w:sectPr>
      </w:pPr>
    </w:p>
    <w:p w:rsidR="00BD644B" w:rsidRPr="00882F11" w:rsidRDefault="00BD644B" w:rsidP="0078079C">
      <w:pPr>
        <w:pStyle w:val="Heading1"/>
        <w:bidi/>
        <w:spacing w:before="0" w:line="360" w:lineRule="auto"/>
        <w:jc w:val="center"/>
        <w:rPr>
          <w:rFonts w:cs="Guttman Drogolin"/>
          <w:color w:val="auto"/>
          <w:sz w:val="24"/>
          <w:szCs w:val="24"/>
          <w:u w:val="single"/>
          <w:rtl/>
          <w:lang w:bidi="he-IL"/>
        </w:rPr>
      </w:pPr>
      <w:bookmarkStart w:id="56" w:name="_Toc496175319"/>
      <w:r w:rsidRPr="00882F11">
        <w:rPr>
          <w:rFonts w:cs="Guttman Drogolin" w:hint="cs"/>
          <w:color w:val="auto"/>
          <w:sz w:val="24"/>
          <w:szCs w:val="24"/>
          <w:u w:val="single"/>
          <w:rtl/>
          <w:lang w:bidi="he-IL"/>
        </w:rPr>
        <w:lastRenderedPageBreak/>
        <w:t>בגדר דין ברי'</w:t>
      </w:r>
      <w:bookmarkEnd w:id="56"/>
    </w:p>
    <w:p w:rsidR="002B5919" w:rsidRPr="00882F11" w:rsidRDefault="00707592" w:rsidP="001E6E86">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ברי'</w:instrText>
      </w:r>
      <w:r w:rsidRPr="00882F11">
        <w:rPr>
          <w:rFonts w:cs="Guttman Drogolin"/>
          <w:rtl/>
        </w:rPr>
        <w:instrText>:</w:instrText>
      </w:r>
      <w:r w:rsidRPr="00882F11">
        <w:rPr>
          <w:rFonts w:cs="Guttman Drogolin" w:hint="cs"/>
          <w:rtl/>
          <w:lang w:bidi="he-IL"/>
        </w:rPr>
        <w:instrText>סוגיית הגמרא</w:instrText>
      </w:r>
      <w:r w:rsidRPr="00882F11">
        <w:rPr>
          <w:rFonts w:cs="Guttman Drogolin"/>
        </w:rPr>
        <w:instrText xml:space="preserve">" </w:instrText>
      </w:r>
      <w:r w:rsidRPr="00882F11">
        <w:rPr>
          <w:rFonts w:cs="Guttman Drogolin"/>
          <w:rtl/>
          <w:lang w:bidi="he-IL"/>
        </w:rPr>
        <w:fldChar w:fldCharType="end"/>
      </w:r>
      <w:r w:rsidR="00BD644B" w:rsidRPr="00882F11">
        <w:rPr>
          <w:rFonts w:cs="Guttman Drogolin" w:hint="cs"/>
          <w:rtl/>
          <w:lang w:bidi="he-IL"/>
        </w:rPr>
        <w:t xml:space="preserve">הגמ' שאלה למה הגיד אוסר את התבשיל כשאינו מכירו ואינו מתבטל ברוב. ומתרצת הגמ' דברי' שאני. והנה ענין ברי' מצאנו </w:t>
      </w:r>
      <w:r w:rsidR="00DC38DD" w:rsidRPr="00882F11">
        <w:rPr>
          <w:rFonts w:cs="Guttman Drogolin" w:hint="cs"/>
          <w:rtl/>
          <w:lang w:bidi="he-IL"/>
        </w:rPr>
        <w:t xml:space="preserve">במקומות אחרות </w:t>
      </w:r>
      <w:r w:rsidR="000921AA" w:rsidRPr="00882F11">
        <w:rPr>
          <w:rFonts w:cs="Guttman Drogolin" w:hint="cs"/>
          <w:rtl/>
          <w:lang w:bidi="he-IL"/>
        </w:rPr>
        <w:t>ש</w:t>
      </w:r>
      <w:r w:rsidR="00DC38DD" w:rsidRPr="00882F11">
        <w:rPr>
          <w:rFonts w:cs="Guttman Drogolin" w:hint="cs"/>
          <w:rtl/>
          <w:lang w:bidi="he-IL"/>
        </w:rPr>
        <w:t>נוגע לענין אחר, והוא שאמנם בעלמא אינו חייב מלקות אא"כ אכל שיעור כזית של האיסור, מ"מ כשאכל ברי' הרי הוא חי</w:t>
      </w:r>
      <w:r w:rsidR="00FA09AB" w:rsidRPr="00882F11">
        <w:rPr>
          <w:rFonts w:cs="Guttman Drogolin" w:hint="cs"/>
          <w:rtl/>
          <w:lang w:bidi="he-IL"/>
        </w:rPr>
        <w:t>יב מלקות אע"פ שלא אכל כזית. ודבר</w:t>
      </w:r>
      <w:r w:rsidR="00DC38DD" w:rsidRPr="00882F11">
        <w:rPr>
          <w:rFonts w:cs="Guttman Drogolin" w:hint="cs"/>
          <w:rtl/>
          <w:lang w:bidi="he-IL"/>
        </w:rPr>
        <w:t xml:space="preserve"> זה יוצא מן המתני' הראשונה שבפ"ג דמס' מכות. דאיתא שם </w:t>
      </w:r>
      <w:r w:rsidR="00B749A0" w:rsidRPr="00882F11">
        <w:rPr>
          <w:rFonts w:cs="Guttman Drogolin" w:hint="cs"/>
          <w:rtl/>
          <w:lang w:bidi="he-IL"/>
        </w:rPr>
        <w:t>"כמה</w:t>
      </w:r>
      <w:r w:rsidR="00B749A0" w:rsidRPr="00882F11">
        <w:rPr>
          <w:rFonts w:cs="Guttman Drogolin"/>
          <w:rtl/>
          <w:lang w:bidi="he-IL"/>
        </w:rPr>
        <w:t xml:space="preserve"> </w:t>
      </w:r>
      <w:r w:rsidR="00B749A0" w:rsidRPr="00882F11">
        <w:rPr>
          <w:rFonts w:cs="Guttman Drogolin" w:hint="cs"/>
          <w:rtl/>
          <w:lang w:bidi="he-IL"/>
        </w:rPr>
        <w:t>יאכל</w:t>
      </w:r>
      <w:r w:rsidR="00B749A0" w:rsidRPr="00882F11">
        <w:rPr>
          <w:rFonts w:cs="Guttman Drogolin"/>
          <w:rtl/>
          <w:lang w:bidi="he-IL"/>
        </w:rPr>
        <w:t xml:space="preserve"> </w:t>
      </w:r>
      <w:r w:rsidR="00B749A0" w:rsidRPr="00882F11">
        <w:rPr>
          <w:rFonts w:cs="Guttman Drogolin" w:hint="cs"/>
          <w:rtl/>
          <w:lang w:bidi="he-IL"/>
        </w:rPr>
        <w:t>מן</w:t>
      </w:r>
      <w:r w:rsidR="00B749A0" w:rsidRPr="00882F11">
        <w:rPr>
          <w:rFonts w:cs="Guttman Drogolin"/>
          <w:rtl/>
          <w:lang w:bidi="he-IL"/>
        </w:rPr>
        <w:t xml:space="preserve"> </w:t>
      </w:r>
      <w:r w:rsidR="00B749A0" w:rsidRPr="00882F11">
        <w:rPr>
          <w:rFonts w:cs="Guttman Drogolin" w:hint="cs"/>
          <w:rtl/>
          <w:lang w:bidi="he-IL"/>
        </w:rPr>
        <w:t>הטבל</w:t>
      </w:r>
      <w:r w:rsidR="00B749A0" w:rsidRPr="00882F11">
        <w:rPr>
          <w:rFonts w:cs="Guttman Drogolin"/>
          <w:rtl/>
          <w:lang w:bidi="he-IL"/>
        </w:rPr>
        <w:t xml:space="preserve"> </w:t>
      </w:r>
      <w:r w:rsidR="00B749A0" w:rsidRPr="00882F11">
        <w:rPr>
          <w:rFonts w:cs="Guttman Drogolin" w:hint="cs"/>
          <w:rtl/>
          <w:lang w:bidi="he-IL"/>
        </w:rPr>
        <w:t>ויהא</w:t>
      </w:r>
      <w:r w:rsidR="00B749A0" w:rsidRPr="00882F11">
        <w:rPr>
          <w:rFonts w:cs="Guttman Drogolin"/>
          <w:rtl/>
          <w:lang w:bidi="he-IL"/>
        </w:rPr>
        <w:t xml:space="preserve"> </w:t>
      </w:r>
      <w:r w:rsidR="00B749A0" w:rsidRPr="00882F11">
        <w:rPr>
          <w:rFonts w:cs="Guttman Drogolin" w:hint="cs"/>
          <w:rtl/>
          <w:lang w:bidi="he-IL"/>
        </w:rPr>
        <w:t>חייב</w:t>
      </w:r>
      <w:r w:rsidR="00B749A0" w:rsidRPr="00882F11">
        <w:rPr>
          <w:rFonts w:cs="Guttman Drogolin"/>
          <w:rtl/>
          <w:lang w:bidi="he-IL"/>
        </w:rPr>
        <w:t xml:space="preserve"> </w:t>
      </w:r>
      <w:r w:rsidR="00B749A0" w:rsidRPr="00882F11">
        <w:rPr>
          <w:rFonts w:cs="Guttman Drogolin" w:hint="cs"/>
          <w:rtl/>
          <w:lang w:bidi="he-IL"/>
        </w:rPr>
        <w:t>רבי</w:t>
      </w:r>
      <w:r w:rsidR="00B749A0" w:rsidRPr="00882F11">
        <w:rPr>
          <w:rFonts w:cs="Guttman Drogolin"/>
          <w:rtl/>
          <w:lang w:bidi="he-IL"/>
        </w:rPr>
        <w:t xml:space="preserve"> </w:t>
      </w:r>
      <w:r w:rsidR="00B749A0" w:rsidRPr="00882F11">
        <w:rPr>
          <w:rFonts w:cs="Guttman Drogolin" w:hint="cs"/>
          <w:rtl/>
          <w:lang w:bidi="he-IL"/>
        </w:rPr>
        <w:t>שמעון</w:t>
      </w:r>
      <w:r w:rsidR="00B749A0" w:rsidRPr="00882F11">
        <w:rPr>
          <w:rFonts w:cs="Guttman Drogolin"/>
          <w:rtl/>
          <w:lang w:bidi="he-IL"/>
        </w:rPr>
        <w:t xml:space="preserve"> </w:t>
      </w:r>
      <w:r w:rsidR="00B749A0" w:rsidRPr="00882F11">
        <w:rPr>
          <w:rFonts w:cs="Guttman Drogolin" w:hint="cs"/>
          <w:rtl/>
          <w:lang w:bidi="he-IL"/>
        </w:rPr>
        <w:t>אומר</w:t>
      </w:r>
      <w:r w:rsidR="00B749A0" w:rsidRPr="00882F11">
        <w:rPr>
          <w:rFonts w:cs="Guttman Drogolin"/>
          <w:rtl/>
          <w:lang w:bidi="he-IL"/>
        </w:rPr>
        <w:t xml:space="preserve"> </w:t>
      </w:r>
      <w:r w:rsidR="00B749A0" w:rsidRPr="00882F11">
        <w:rPr>
          <w:rFonts w:cs="Guttman Drogolin" w:hint="cs"/>
          <w:rtl/>
          <w:lang w:bidi="he-IL"/>
        </w:rPr>
        <w:t>כל</w:t>
      </w:r>
      <w:r w:rsidR="00B749A0" w:rsidRPr="00882F11">
        <w:rPr>
          <w:rFonts w:cs="Guttman Drogolin"/>
          <w:rtl/>
          <w:lang w:bidi="he-IL"/>
        </w:rPr>
        <w:t xml:space="preserve"> </w:t>
      </w:r>
      <w:r w:rsidR="00B749A0" w:rsidRPr="00882F11">
        <w:rPr>
          <w:rFonts w:cs="Guttman Drogolin" w:hint="cs"/>
          <w:rtl/>
          <w:lang w:bidi="he-IL"/>
        </w:rPr>
        <w:t>שהוא</w:t>
      </w:r>
      <w:r w:rsidR="00B749A0" w:rsidRPr="00882F11">
        <w:rPr>
          <w:rFonts w:cs="Guttman Drogolin"/>
          <w:rtl/>
          <w:lang w:bidi="he-IL"/>
        </w:rPr>
        <w:t xml:space="preserve"> </w:t>
      </w:r>
      <w:r w:rsidR="00B749A0" w:rsidRPr="00882F11">
        <w:rPr>
          <w:rFonts w:cs="Guttman Drogolin" w:hint="cs"/>
          <w:rtl/>
          <w:lang w:bidi="he-IL"/>
        </w:rPr>
        <w:t>וחכמים</w:t>
      </w:r>
      <w:r w:rsidR="00B749A0" w:rsidRPr="00882F11">
        <w:rPr>
          <w:rFonts w:cs="Guttman Drogolin"/>
          <w:rtl/>
          <w:lang w:bidi="he-IL"/>
        </w:rPr>
        <w:t xml:space="preserve"> </w:t>
      </w:r>
      <w:r w:rsidR="00B749A0" w:rsidRPr="00882F11">
        <w:rPr>
          <w:rFonts w:cs="Guttman Drogolin" w:hint="cs"/>
          <w:rtl/>
          <w:lang w:bidi="he-IL"/>
        </w:rPr>
        <w:t>אומרים</w:t>
      </w:r>
      <w:r w:rsidR="00B749A0" w:rsidRPr="00882F11">
        <w:rPr>
          <w:rFonts w:cs="Guttman Drogolin"/>
          <w:rtl/>
          <w:lang w:bidi="he-IL"/>
        </w:rPr>
        <w:t xml:space="preserve"> </w:t>
      </w:r>
      <w:r w:rsidR="00B749A0" w:rsidRPr="00882F11">
        <w:rPr>
          <w:rFonts w:cs="Guttman Drogolin" w:hint="cs"/>
          <w:rtl/>
          <w:lang w:bidi="he-IL"/>
        </w:rPr>
        <w:t>כזית</w:t>
      </w:r>
      <w:r w:rsidR="00B749A0" w:rsidRPr="00882F11">
        <w:rPr>
          <w:rFonts w:cs="Guttman Drogolin"/>
          <w:rtl/>
          <w:lang w:bidi="he-IL"/>
        </w:rPr>
        <w:t xml:space="preserve"> </w:t>
      </w:r>
      <w:r w:rsidR="00B749A0" w:rsidRPr="00882F11">
        <w:rPr>
          <w:rFonts w:cs="Guttman Drogolin" w:hint="cs"/>
          <w:rtl/>
          <w:lang w:bidi="he-IL"/>
        </w:rPr>
        <w:t>אמר</w:t>
      </w:r>
      <w:r w:rsidR="00B749A0" w:rsidRPr="00882F11">
        <w:rPr>
          <w:rFonts w:cs="Guttman Drogolin"/>
          <w:rtl/>
          <w:lang w:bidi="he-IL"/>
        </w:rPr>
        <w:t xml:space="preserve"> </w:t>
      </w:r>
      <w:r w:rsidR="00B749A0" w:rsidRPr="00882F11">
        <w:rPr>
          <w:rFonts w:cs="Guttman Drogolin" w:hint="cs"/>
          <w:rtl/>
          <w:lang w:bidi="he-IL"/>
        </w:rPr>
        <w:t>להן</w:t>
      </w:r>
      <w:r w:rsidR="00B749A0" w:rsidRPr="00882F11">
        <w:rPr>
          <w:rFonts w:cs="Guttman Drogolin"/>
          <w:rtl/>
          <w:lang w:bidi="he-IL"/>
        </w:rPr>
        <w:t xml:space="preserve"> </w:t>
      </w:r>
      <w:r w:rsidR="00B749A0" w:rsidRPr="00882F11">
        <w:rPr>
          <w:rFonts w:cs="Guttman Drogolin" w:hint="cs"/>
          <w:rtl/>
          <w:lang w:bidi="he-IL"/>
        </w:rPr>
        <w:t>רבי</w:t>
      </w:r>
      <w:r w:rsidR="00B749A0" w:rsidRPr="00882F11">
        <w:rPr>
          <w:rFonts w:cs="Guttman Drogolin"/>
          <w:rtl/>
          <w:lang w:bidi="he-IL"/>
        </w:rPr>
        <w:t xml:space="preserve"> </w:t>
      </w:r>
      <w:r w:rsidR="00B749A0" w:rsidRPr="00882F11">
        <w:rPr>
          <w:rFonts w:cs="Guttman Drogolin" w:hint="cs"/>
          <w:rtl/>
          <w:lang w:bidi="he-IL"/>
        </w:rPr>
        <w:t>שמעון</w:t>
      </w:r>
      <w:r w:rsidR="00B749A0" w:rsidRPr="00882F11">
        <w:rPr>
          <w:rFonts w:cs="Guttman Drogolin"/>
          <w:rtl/>
          <w:lang w:bidi="he-IL"/>
        </w:rPr>
        <w:t xml:space="preserve"> </w:t>
      </w:r>
      <w:r w:rsidR="00B749A0" w:rsidRPr="00882F11">
        <w:rPr>
          <w:rFonts w:cs="Guttman Drogolin" w:hint="cs"/>
          <w:rtl/>
          <w:lang w:bidi="he-IL"/>
        </w:rPr>
        <w:t>אי</w:t>
      </w:r>
      <w:r w:rsidR="00B749A0" w:rsidRPr="00882F11">
        <w:rPr>
          <w:rFonts w:cs="Guttman Drogolin"/>
          <w:rtl/>
          <w:lang w:bidi="he-IL"/>
        </w:rPr>
        <w:t xml:space="preserve"> </w:t>
      </w:r>
      <w:r w:rsidR="00B749A0" w:rsidRPr="00882F11">
        <w:rPr>
          <w:rFonts w:cs="Guttman Drogolin" w:hint="cs"/>
          <w:rtl/>
          <w:lang w:bidi="he-IL"/>
        </w:rPr>
        <w:t>אתם</w:t>
      </w:r>
      <w:r w:rsidR="00B749A0" w:rsidRPr="00882F11">
        <w:rPr>
          <w:rFonts w:cs="Guttman Drogolin"/>
          <w:rtl/>
          <w:lang w:bidi="he-IL"/>
        </w:rPr>
        <w:t xml:space="preserve"> </w:t>
      </w:r>
      <w:r w:rsidR="00B749A0" w:rsidRPr="00882F11">
        <w:rPr>
          <w:rFonts w:cs="Guttman Drogolin" w:hint="cs"/>
          <w:rtl/>
          <w:lang w:bidi="he-IL"/>
        </w:rPr>
        <w:t>מודים</w:t>
      </w:r>
      <w:r w:rsidR="00B749A0" w:rsidRPr="00882F11">
        <w:rPr>
          <w:rFonts w:cs="Guttman Drogolin"/>
          <w:rtl/>
          <w:lang w:bidi="he-IL"/>
        </w:rPr>
        <w:t xml:space="preserve"> </w:t>
      </w:r>
      <w:r w:rsidR="00B749A0" w:rsidRPr="00882F11">
        <w:rPr>
          <w:rFonts w:cs="Guttman Drogolin" w:hint="cs"/>
          <w:rtl/>
          <w:lang w:bidi="he-IL"/>
        </w:rPr>
        <w:t>לי</w:t>
      </w:r>
      <w:r w:rsidR="00B749A0" w:rsidRPr="00882F11">
        <w:rPr>
          <w:rFonts w:cs="Guttman Drogolin"/>
          <w:rtl/>
          <w:lang w:bidi="he-IL"/>
        </w:rPr>
        <w:t xml:space="preserve"> </w:t>
      </w:r>
      <w:r w:rsidR="00B749A0" w:rsidRPr="00882F11">
        <w:rPr>
          <w:rFonts w:cs="Guttman Drogolin" w:hint="cs"/>
          <w:rtl/>
          <w:lang w:bidi="he-IL"/>
        </w:rPr>
        <w:t>באוכל</w:t>
      </w:r>
      <w:r w:rsidR="00B749A0" w:rsidRPr="00882F11">
        <w:rPr>
          <w:rFonts w:cs="Guttman Drogolin"/>
          <w:rtl/>
          <w:lang w:bidi="he-IL"/>
        </w:rPr>
        <w:t xml:space="preserve"> </w:t>
      </w:r>
      <w:r w:rsidR="00B749A0" w:rsidRPr="00882F11">
        <w:rPr>
          <w:rFonts w:cs="Guttman Drogolin" w:hint="cs"/>
          <w:rtl/>
          <w:lang w:bidi="he-IL"/>
        </w:rPr>
        <w:t>נמלה</w:t>
      </w:r>
      <w:r w:rsidR="00B749A0" w:rsidRPr="00882F11">
        <w:rPr>
          <w:rFonts w:cs="Guttman Drogolin"/>
          <w:rtl/>
          <w:lang w:bidi="he-IL"/>
        </w:rPr>
        <w:t xml:space="preserve"> </w:t>
      </w:r>
      <w:r w:rsidR="00B749A0" w:rsidRPr="00882F11">
        <w:rPr>
          <w:rFonts w:cs="Guttman Drogolin" w:hint="cs"/>
          <w:rtl/>
          <w:lang w:bidi="he-IL"/>
        </w:rPr>
        <w:t>כל</w:t>
      </w:r>
      <w:r w:rsidR="00B749A0" w:rsidRPr="00882F11">
        <w:rPr>
          <w:rFonts w:cs="Guttman Drogolin"/>
          <w:rtl/>
          <w:lang w:bidi="he-IL"/>
        </w:rPr>
        <w:t xml:space="preserve"> </w:t>
      </w:r>
      <w:r w:rsidR="00B749A0" w:rsidRPr="00882F11">
        <w:rPr>
          <w:rFonts w:cs="Guttman Drogolin" w:hint="cs"/>
          <w:rtl/>
          <w:lang w:bidi="he-IL"/>
        </w:rPr>
        <w:t>שהוא</w:t>
      </w:r>
      <w:r w:rsidR="00B749A0" w:rsidRPr="00882F11">
        <w:rPr>
          <w:rFonts w:cs="Guttman Drogolin"/>
          <w:rtl/>
          <w:lang w:bidi="he-IL"/>
        </w:rPr>
        <w:t xml:space="preserve"> </w:t>
      </w:r>
      <w:r w:rsidR="00B749A0" w:rsidRPr="00882F11">
        <w:rPr>
          <w:rFonts w:cs="Guttman Drogolin" w:hint="cs"/>
          <w:rtl/>
          <w:lang w:bidi="he-IL"/>
        </w:rPr>
        <w:t>שהוא</w:t>
      </w:r>
      <w:r w:rsidR="00B749A0" w:rsidRPr="00882F11">
        <w:rPr>
          <w:rFonts w:cs="Guttman Drogolin"/>
          <w:rtl/>
          <w:lang w:bidi="he-IL"/>
        </w:rPr>
        <w:t xml:space="preserve"> </w:t>
      </w:r>
      <w:r w:rsidR="00B749A0" w:rsidRPr="00882F11">
        <w:rPr>
          <w:rFonts w:cs="Guttman Drogolin" w:hint="cs"/>
          <w:rtl/>
          <w:lang w:bidi="he-IL"/>
        </w:rPr>
        <w:t>חייב</w:t>
      </w:r>
      <w:r w:rsidR="00B749A0" w:rsidRPr="00882F11">
        <w:rPr>
          <w:rFonts w:cs="Guttman Drogolin"/>
          <w:rtl/>
          <w:lang w:bidi="he-IL"/>
        </w:rPr>
        <w:t xml:space="preserve"> </w:t>
      </w:r>
      <w:r w:rsidR="00B749A0" w:rsidRPr="00882F11">
        <w:rPr>
          <w:rFonts w:cs="Guttman Drogolin" w:hint="cs"/>
          <w:rtl/>
          <w:lang w:bidi="he-IL"/>
        </w:rPr>
        <w:t>אמרו</w:t>
      </w:r>
      <w:r w:rsidR="00B749A0" w:rsidRPr="00882F11">
        <w:rPr>
          <w:rFonts w:cs="Guttman Drogolin"/>
          <w:rtl/>
          <w:lang w:bidi="he-IL"/>
        </w:rPr>
        <w:t xml:space="preserve"> </w:t>
      </w:r>
      <w:r w:rsidR="00B749A0" w:rsidRPr="00882F11">
        <w:rPr>
          <w:rFonts w:cs="Guttman Drogolin" w:hint="cs"/>
          <w:rtl/>
          <w:lang w:bidi="he-IL"/>
        </w:rPr>
        <w:t>לו</w:t>
      </w:r>
      <w:r w:rsidR="00B749A0" w:rsidRPr="00882F11">
        <w:rPr>
          <w:rFonts w:cs="Guttman Drogolin"/>
          <w:rtl/>
          <w:lang w:bidi="he-IL"/>
        </w:rPr>
        <w:t xml:space="preserve"> </w:t>
      </w:r>
      <w:r w:rsidR="00B749A0" w:rsidRPr="00882F11">
        <w:rPr>
          <w:rFonts w:cs="Guttman Drogolin" w:hint="cs"/>
          <w:rtl/>
          <w:lang w:bidi="he-IL"/>
        </w:rPr>
        <w:t>מפני</w:t>
      </w:r>
      <w:r w:rsidR="00B749A0" w:rsidRPr="00882F11">
        <w:rPr>
          <w:rFonts w:cs="Guttman Drogolin"/>
          <w:rtl/>
          <w:lang w:bidi="he-IL"/>
        </w:rPr>
        <w:t xml:space="preserve"> </w:t>
      </w:r>
      <w:r w:rsidR="00B749A0" w:rsidRPr="00882F11">
        <w:rPr>
          <w:rFonts w:cs="Guttman Drogolin" w:hint="cs"/>
          <w:rtl/>
          <w:lang w:bidi="he-IL"/>
        </w:rPr>
        <w:t>שהיא</w:t>
      </w:r>
      <w:r w:rsidR="00B749A0" w:rsidRPr="00882F11">
        <w:rPr>
          <w:rFonts w:cs="Guttman Drogolin"/>
          <w:rtl/>
          <w:lang w:bidi="he-IL"/>
        </w:rPr>
        <w:t xml:space="preserve"> </w:t>
      </w:r>
      <w:r w:rsidR="00B749A0" w:rsidRPr="00882F11">
        <w:rPr>
          <w:rFonts w:cs="Guttman Drogolin" w:hint="cs"/>
          <w:rtl/>
          <w:lang w:bidi="he-IL"/>
        </w:rPr>
        <w:t>כברייתה</w:t>
      </w:r>
      <w:r w:rsidR="00B749A0" w:rsidRPr="00882F11">
        <w:rPr>
          <w:rFonts w:cs="Guttman Drogolin"/>
          <w:rtl/>
          <w:lang w:bidi="he-IL"/>
        </w:rPr>
        <w:t xml:space="preserve"> </w:t>
      </w:r>
      <w:r w:rsidR="00B749A0" w:rsidRPr="00882F11">
        <w:rPr>
          <w:rFonts w:cs="Guttman Drogolin" w:hint="cs"/>
          <w:rtl/>
          <w:lang w:bidi="he-IL"/>
        </w:rPr>
        <w:t>אמר</w:t>
      </w:r>
      <w:r w:rsidR="00B749A0" w:rsidRPr="00882F11">
        <w:rPr>
          <w:rFonts w:cs="Guttman Drogolin"/>
          <w:rtl/>
          <w:lang w:bidi="he-IL"/>
        </w:rPr>
        <w:t xml:space="preserve"> </w:t>
      </w:r>
      <w:r w:rsidR="00B749A0" w:rsidRPr="00882F11">
        <w:rPr>
          <w:rFonts w:cs="Guttman Drogolin" w:hint="cs"/>
          <w:rtl/>
          <w:lang w:bidi="he-IL"/>
        </w:rPr>
        <w:t>להן</w:t>
      </w:r>
      <w:r w:rsidR="00B749A0" w:rsidRPr="00882F11">
        <w:rPr>
          <w:rFonts w:cs="Guttman Drogolin"/>
          <w:rtl/>
          <w:lang w:bidi="he-IL"/>
        </w:rPr>
        <w:t xml:space="preserve"> </w:t>
      </w:r>
      <w:r w:rsidR="00B749A0" w:rsidRPr="00882F11">
        <w:rPr>
          <w:rFonts w:cs="Guttman Drogolin" w:hint="cs"/>
          <w:rtl/>
          <w:lang w:bidi="he-IL"/>
        </w:rPr>
        <w:t>אף</w:t>
      </w:r>
      <w:r w:rsidR="00B749A0" w:rsidRPr="00882F11">
        <w:rPr>
          <w:rFonts w:cs="Guttman Drogolin"/>
          <w:rtl/>
          <w:lang w:bidi="he-IL"/>
        </w:rPr>
        <w:t xml:space="preserve"> </w:t>
      </w:r>
      <w:r w:rsidR="00B749A0" w:rsidRPr="00882F11">
        <w:rPr>
          <w:rFonts w:cs="Guttman Drogolin" w:hint="cs"/>
          <w:rtl/>
          <w:lang w:bidi="he-IL"/>
        </w:rPr>
        <w:t>חטה</w:t>
      </w:r>
      <w:r w:rsidR="00B749A0" w:rsidRPr="00882F11">
        <w:rPr>
          <w:rFonts w:cs="Guttman Drogolin"/>
          <w:rtl/>
          <w:lang w:bidi="he-IL"/>
        </w:rPr>
        <w:t xml:space="preserve"> </w:t>
      </w:r>
      <w:r w:rsidR="00B749A0" w:rsidRPr="00882F11">
        <w:rPr>
          <w:rFonts w:cs="Guttman Drogolin" w:hint="cs"/>
          <w:rtl/>
          <w:lang w:bidi="he-IL"/>
        </w:rPr>
        <w:t>אחת</w:t>
      </w:r>
      <w:r w:rsidR="00B749A0" w:rsidRPr="00882F11">
        <w:rPr>
          <w:rFonts w:cs="Guttman Drogolin"/>
          <w:rtl/>
          <w:lang w:bidi="he-IL"/>
        </w:rPr>
        <w:t xml:space="preserve"> </w:t>
      </w:r>
      <w:r w:rsidR="00B749A0" w:rsidRPr="00882F11">
        <w:rPr>
          <w:rFonts w:cs="Guttman Drogolin" w:hint="cs"/>
          <w:rtl/>
          <w:lang w:bidi="he-IL"/>
        </w:rPr>
        <w:t>כברייתה".</w:t>
      </w:r>
      <w:r w:rsidR="00A229B0" w:rsidRPr="00882F11">
        <w:rPr>
          <w:rFonts w:cs="Guttman Drogolin"/>
          <w:lang w:bidi="he-IL"/>
        </w:rPr>
        <w:t xml:space="preserve"> </w:t>
      </w:r>
      <w:r w:rsidR="00086054" w:rsidRPr="00882F11">
        <w:rPr>
          <w:rFonts w:cs="Guttman Drogolin" w:hint="cs"/>
          <w:rtl/>
          <w:lang w:bidi="he-IL"/>
        </w:rPr>
        <w:t>ה</w:t>
      </w:r>
      <w:r w:rsidR="00A229B0" w:rsidRPr="00882F11">
        <w:rPr>
          <w:rFonts w:cs="Guttman Drogolin" w:hint="cs"/>
          <w:rtl/>
          <w:lang w:bidi="he-IL"/>
        </w:rPr>
        <w:t>ר</w:t>
      </w:r>
      <w:r w:rsidR="00086054" w:rsidRPr="00882F11">
        <w:rPr>
          <w:rFonts w:cs="Guttman Drogolin" w:hint="cs"/>
          <w:rtl/>
          <w:lang w:bidi="he-IL"/>
        </w:rPr>
        <w:t>י שנחלקו בטעם הדבר שאוכל נמלה חייב</w:t>
      </w:r>
      <w:r w:rsidR="00042301" w:rsidRPr="00882F11">
        <w:rPr>
          <w:rFonts w:cs="Guttman Drogolin" w:hint="cs"/>
          <w:rtl/>
          <w:lang w:bidi="he-IL"/>
        </w:rPr>
        <w:t xml:space="preserve"> אפילו לא אכל כזית</w:t>
      </w:r>
      <w:r w:rsidR="00042301" w:rsidRPr="00882F11">
        <w:rPr>
          <w:rStyle w:val="FootnoteReference"/>
          <w:rFonts w:cs="Guttman Drogolin"/>
          <w:rtl/>
          <w:lang w:bidi="he-IL"/>
        </w:rPr>
        <w:footnoteReference w:id="68"/>
      </w:r>
      <w:r w:rsidR="00A229B0" w:rsidRPr="00882F11">
        <w:rPr>
          <w:rFonts w:cs="Guttman Drogolin" w:hint="cs"/>
          <w:rtl/>
          <w:lang w:bidi="he-IL"/>
        </w:rPr>
        <w:t xml:space="preserve">, שלר"ש משום שהשיעור הוא במשהו, ורבנן סברי משום שהוא ברי'. ומבואר בגמ' בדף י"ז ע"א שם שרבנן דחו הא דהוי גם חיטה ברי' משום שלא אמרו החומרא של ברי' אלא א"כ מיירי בבריית נשמה. </w:t>
      </w:r>
      <w:r w:rsidR="002B5919" w:rsidRPr="00882F11">
        <w:rPr>
          <w:rFonts w:cs="Guttman Drogolin" w:hint="cs"/>
          <w:rtl/>
          <w:lang w:bidi="he-IL"/>
        </w:rPr>
        <w:t xml:space="preserve">ועכ"פ מבואר שעיקר </w:t>
      </w:r>
      <w:r w:rsidR="001E6E86" w:rsidRPr="00882F11">
        <w:rPr>
          <w:rFonts w:cs="Guttman Drogolin" w:hint="cs"/>
          <w:rtl/>
          <w:lang w:bidi="he-IL"/>
        </w:rPr>
        <w:t>ה</w:t>
      </w:r>
      <w:r w:rsidR="002B5919" w:rsidRPr="00882F11">
        <w:rPr>
          <w:rFonts w:cs="Guttman Drogolin" w:hint="cs"/>
          <w:rtl/>
          <w:lang w:bidi="he-IL"/>
        </w:rPr>
        <w:t xml:space="preserve">דין ברי' אינו תלוי בהיותו בריית נשמה, ולכאורה הכוונה בברי' בלי בריית נשמה הוא שהוא דבר שהוא בצורתו בזמן שהקב"ה בראו. </w:t>
      </w:r>
    </w:p>
    <w:p w:rsidR="006608B0" w:rsidRPr="00882F11" w:rsidRDefault="002B5919" w:rsidP="000921AA">
      <w:pPr>
        <w:bidi/>
        <w:jc w:val="both"/>
        <w:rPr>
          <w:rFonts w:cs="Guttman Drogolin"/>
          <w:rtl/>
          <w:lang w:bidi="he-IL"/>
        </w:rPr>
      </w:pPr>
      <w:r w:rsidRPr="00882F11">
        <w:rPr>
          <w:rFonts w:cs="Guttman Drogolin" w:hint="cs"/>
          <w:rtl/>
          <w:lang w:bidi="he-IL"/>
        </w:rPr>
        <w:t>ומן הגמ' שבמס' מכות אין לנו אלא כלל זה דכדי שיהא לשום דבר חומרת ברי' בעינן שתהא בריית נשמה וכן מבואר שם בדף ט"ז ע"ב דבעינן שתהא שלימה. אמנם כאן במס' חולין דף ק"ב ע"ב דקדקו עוד כללים בדין ברי'. דהנה שם בגמ' דנו באכילת אבר מן החי אם אינו חייב אא"כ אכל כזית או אפילו כל שהוא.</w:t>
      </w:r>
      <w:r w:rsidR="008037F1" w:rsidRPr="00882F11">
        <w:rPr>
          <w:rFonts w:cs="Guttman Drogolin" w:hint="cs"/>
          <w:rtl/>
          <w:lang w:bidi="he-IL"/>
        </w:rPr>
        <w:t xml:space="preserve"> ומביא הגמ' ברייתא שכתוב בה "אכל</w:t>
      </w:r>
      <w:r w:rsidR="008037F1" w:rsidRPr="00882F11">
        <w:rPr>
          <w:rFonts w:cs="Guttman Drogolin"/>
          <w:rtl/>
          <w:lang w:bidi="he-IL"/>
        </w:rPr>
        <w:t xml:space="preserve"> </w:t>
      </w:r>
      <w:r w:rsidR="008037F1" w:rsidRPr="00882F11">
        <w:rPr>
          <w:rFonts w:cs="Guttman Drogolin" w:hint="cs"/>
          <w:rtl/>
          <w:lang w:bidi="he-IL"/>
        </w:rPr>
        <w:t>צפור</w:t>
      </w:r>
      <w:r w:rsidR="008037F1" w:rsidRPr="00882F11">
        <w:rPr>
          <w:rFonts w:cs="Guttman Drogolin"/>
          <w:rtl/>
          <w:lang w:bidi="he-IL"/>
        </w:rPr>
        <w:t xml:space="preserve"> </w:t>
      </w:r>
      <w:r w:rsidR="008037F1" w:rsidRPr="00882F11">
        <w:rPr>
          <w:rFonts w:cs="Guttman Drogolin" w:hint="cs"/>
          <w:rtl/>
          <w:lang w:bidi="he-IL"/>
        </w:rPr>
        <w:t>טהורה</w:t>
      </w:r>
      <w:r w:rsidR="008037F1" w:rsidRPr="00882F11">
        <w:rPr>
          <w:rFonts w:cs="Guttman Drogolin"/>
          <w:rtl/>
          <w:lang w:bidi="he-IL"/>
        </w:rPr>
        <w:t xml:space="preserve"> </w:t>
      </w:r>
      <w:r w:rsidR="008037F1" w:rsidRPr="00882F11">
        <w:rPr>
          <w:rFonts w:cs="Guttman Drogolin" w:hint="cs"/>
          <w:rtl/>
          <w:lang w:bidi="he-IL"/>
        </w:rPr>
        <w:t>בחייה</w:t>
      </w:r>
      <w:r w:rsidR="008037F1" w:rsidRPr="00882F11">
        <w:rPr>
          <w:rFonts w:cs="Guttman Drogolin"/>
          <w:rtl/>
          <w:lang w:bidi="he-IL"/>
        </w:rPr>
        <w:t xml:space="preserve"> </w:t>
      </w:r>
      <w:r w:rsidR="008037F1" w:rsidRPr="00882F11">
        <w:rPr>
          <w:rFonts w:cs="Guttman Drogolin" w:hint="cs"/>
          <w:rtl/>
          <w:lang w:bidi="he-IL"/>
        </w:rPr>
        <w:t>בכל</w:t>
      </w:r>
      <w:r w:rsidR="008037F1" w:rsidRPr="00882F11">
        <w:rPr>
          <w:rFonts w:cs="Guttman Drogolin"/>
          <w:rtl/>
          <w:lang w:bidi="he-IL"/>
        </w:rPr>
        <w:t xml:space="preserve"> </w:t>
      </w:r>
      <w:r w:rsidR="008037F1" w:rsidRPr="00882F11">
        <w:rPr>
          <w:rFonts w:cs="Guttman Drogolin" w:hint="cs"/>
          <w:rtl/>
          <w:lang w:bidi="he-IL"/>
        </w:rPr>
        <w:t>שהוא</w:t>
      </w:r>
      <w:r w:rsidR="008037F1" w:rsidRPr="00882F11">
        <w:rPr>
          <w:rFonts w:cs="Guttman Drogolin"/>
          <w:rtl/>
          <w:lang w:bidi="he-IL"/>
        </w:rPr>
        <w:t xml:space="preserve"> </w:t>
      </w:r>
      <w:r w:rsidR="008037F1" w:rsidRPr="00882F11">
        <w:rPr>
          <w:rFonts w:cs="Guttman Drogolin" w:hint="cs"/>
          <w:rtl/>
          <w:lang w:bidi="he-IL"/>
        </w:rPr>
        <w:t>במיתתה</w:t>
      </w:r>
      <w:r w:rsidR="008037F1" w:rsidRPr="00882F11">
        <w:rPr>
          <w:rFonts w:cs="Guttman Drogolin"/>
          <w:rtl/>
          <w:lang w:bidi="he-IL"/>
        </w:rPr>
        <w:t xml:space="preserve"> </w:t>
      </w:r>
      <w:r w:rsidR="008037F1" w:rsidRPr="00882F11">
        <w:rPr>
          <w:rFonts w:cs="Guttman Drogolin" w:hint="cs"/>
          <w:rtl/>
          <w:lang w:bidi="he-IL"/>
        </w:rPr>
        <w:t>בכזית</w:t>
      </w:r>
      <w:r w:rsidR="008037F1" w:rsidRPr="00882F11">
        <w:rPr>
          <w:rFonts w:cs="Guttman Drogolin"/>
          <w:rtl/>
          <w:lang w:bidi="he-IL"/>
        </w:rPr>
        <w:t xml:space="preserve"> </w:t>
      </w:r>
      <w:r w:rsidR="008037F1" w:rsidRPr="00882F11">
        <w:rPr>
          <w:rFonts w:cs="Guttman Drogolin" w:hint="cs"/>
          <w:rtl/>
          <w:lang w:bidi="he-IL"/>
        </w:rPr>
        <w:t>וטמאה</w:t>
      </w:r>
      <w:r w:rsidR="008037F1" w:rsidRPr="00882F11">
        <w:rPr>
          <w:rFonts w:cs="Guttman Drogolin"/>
          <w:rtl/>
          <w:lang w:bidi="he-IL"/>
        </w:rPr>
        <w:t xml:space="preserve"> </w:t>
      </w:r>
      <w:r w:rsidR="008037F1" w:rsidRPr="00882F11">
        <w:rPr>
          <w:rFonts w:cs="Guttman Drogolin" w:hint="cs"/>
          <w:rtl/>
          <w:lang w:bidi="he-IL"/>
        </w:rPr>
        <w:t>בין</w:t>
      </w:r>
      <w:r w:rsidR="008037F1" w:rsidRPr="00882F11">
        <w:rPr>
          <w:rFonts w:cs="Guttman Drogolin"/>
          <w:rtl/>
          <w:lang w:bidi="he-IL"/>
        </w:rPr>
        <w:t xml:space="preserve"> </w:t>
      </w:r>
      <w:r w:rsidR="008037F1" w:rsidRPr="00882F11">
        <w:rPr>
          <w:rFonts w:cs="Guttman Drogolin" w:hint="cs"/>
          <w:rtl/>
          <w:lang w:bidi="he-IL"/>
        </w:rPr>
        <w:t>בחייה</w:t>
      </w:r>
      <w:r w:rsidR="008037F1" w:rsidRPr="00882F11">
        <w:rPr>
          <w:rFonts w:cs="Guttman Drogolin"/>
          <w:rtl/>
          <w:lang w:bidi="he-IL"/>
        </w:rPr>
        <w:t xml:space="preserve"> </w:t>
      </w:r>
      <w:r w:rsidR="008037F1" w:rsidRPr="00882F11">
        <w:rPr>
          <w:rFonts w:cs="Guttman Drogolin" w:hint="cs"/>
          <w:rtl/>
          <w:lang w:bidi="he-IL"/>
        </w:rPr>
        <w:t>בין</w:t>
      </w:r>
      <w:r w:rsidR="008037F1" w:rsidRPr="00882F11">
        <w:rPr>
          <w:rFonts w:cs="Guttman Drogolin"/>
          <w:rtl/>
          <w:lang w:bidi="he-IL"/>
        </w:rPr>
        <w:t xml:space="preserve"> </w:t>
      </w:r>
      <w:r w:rsidR="008037F1" w:rsidRPr="00882F11">
        <w:rPr>
          <w:rFonts w:cs="Guttman Drogolin" w:hint="cs"/>
          <w:rtl/>
          <w:lang w:bidi="he-IL"/>
        </w:rPr>
        <w:t>במיתתה</w:t>
      </w:r>
      <w:r w:rsidR="008037F1" w:rsidRPr="00882F11">
        <w:rPr>
          <w:rFonts w:cs="Guttman Drogolin"/>
          <w:rtl/>
          <w:lang w:bidi="he-IL"/>
        </w:rPr>
        <w:t xml:space="preserve"> </w:t>
      </w:r>
      <w:r w:rsidR="008037F1" w:rsidRPr="00882F11">
        <w:rPr>
          <w:rFonts w:cs="Guttman Drogolin" w:hint="cs"/>
          <w:rtl/>
          <w:lang w:bidi="he-IL"/>
        </w:rPr>
        <w:t>בכל</w:t>
      </w:r>
      <w:r w:rsidR="008037F1" w:rsidRPr="00882F11">
        <w:rPr>
          <w:rFonts w:cs="Guttman Drogolin"/>
          <w:rtl/>
          <w:lang w:bidi="he-IL"/>
        </w:rPr>
        <w:t xml:space="preserve"> </w:t>
      </w:r>
      <w:r w:rsidR="008037F1" w:rsidRPr="00882F11">
        <w:rPr>
          <w:rFonts w:cs="Guttman Drogolin" w:hint="cs"/>
          <w:rtl/>
          <w:lang w:bidi="he-IL"/>
        </w:rPr>
        <w:t xml:space="preserve">שהוא". וע"ש בפירש"י שהטעם שחייב אעוף טמא בכל שהוא הוא מדין ברי'. ובעוף טהור חי מבואר שרק משום דאכילה כתיבא בי', אבל בלי זה הי' </w:t>
      </w:r>
      <w:r w:rsidR="008037F1" w:rsidRPr="00882F11">
        <w:rPr>
          <w:rFonts w:cs="Guttman Drogolin" w:hint="cs"/>
          <w:rtl/>
          <w:lang w:bidi="he-IL"/>
        </w:rPr>
        <w:lastRenderedPageBreak/>
        <w:t>חייב אפילו בפחות מכזית משום שיש לו שם ברי'.</w:t>
      </w:r>
      <w:r w:rsidR="002E1397" w:rsidRPr="00882F11">
        <w:rPr>
          <w:rFonts w:cs="Guttman Drogolin" w:hint="cs"/>
          <w:rtl/>
          <w:lang w:bidi="he-IL"/>
        </w:rPr>
        <w:t xml:space="preserve"> והמהרש"א לעיל בדף צ"ו ע"א</w:t>
      </w:r>
      <w:r w:rsidR="000921AA" w:rsidRPr="00882F11">
        <w:rPr>
          <w:rFonts w:cs="Guttman Drogolin" w:hint="cs"/>
          <w:rtl/>
          <w:lang w:bidi="he-IL"/>
        </w:rPr>
        <w:t xml:space="preserve"> ביאר בדעת התוס' שמשו"ה חזינן שב</w:t>
      </w:r>
      <w:r w:rsidR="002E1397" w:rsidRPr="00882F11">
        <w:rPr>
          <w:rFonts w:cs="Guttman Drogolin" w:hint="cs"/>
          <w:rtl/>
          <w:lang w:bidi="he-IL"/>
        </w:rPr>
        <w:t>עצם יש לאבר מן החי שם ברי' אלמלא הילפותא להצ</w:t>
      </w:r>
      <w:r w:rsidR="004F6F70" w:rsidRPr="00882F11">
        <w:rPr>
          <w:rFonts w:cs="Guttman Drogolin" w:hint="cs"/>
          <w:rtl/>
          <w:lang w:bidi="he-IL"/>
        </w:rPr>
        <w:t xml:space="preserve">ריך כזית. ועכ"פ חזינן מן הגמ' שעל </w:t>
      </w:r>
      <w:r w:rsidR="002E1397" w:rsidRPr="00882F11">
        <w:rPr>
          <w:rFonts w:cs="Guttman Drogolin" w:hint="cs"/>
          <w:rtl/>
          <w:lang w:bidi="he-IL"/>
        </w:rPr>
        <w:t xml:space="preserve">נבילת עוף טהור אינו חייב אא"כ אכל כזית אע"פ שאכל עוף שלם. ולפי הנ"ל תיקשי למה אינו חייב עליו אפילו בפחות מכזית הא הוי בריית נשמה שלמה. ותי' שם רש"י שאינו חשוב ברי' אא"כ </w:t>
      </w:r>
      <w:r w:rsidR="006608B0" w:rsidRPr="00882F11">
        <w:rPr>
          <w:rFonts w:cs="Guttman Drogolin" w:hint="cs"/>
          <w:rtl/>
          <w:lang w:bidi="he-IL"/>
        </w:rPr>
        <w:t xml:space="preserve">הי' האיסור עליו מתחילת ברייתו, אבל נבילה שלא חל עליו אלא לאחר זמן לא הוי ברי'. </w:t>
      </w:r>
    </w:p>
    <w:p w:rsidR="00353CAB" w:rsidRPr="00882F11" w:rsidRDefault="006608B0" w:rsidP="00895CE3">
      <w:pPr>
        <w:bidi/>
        <w:jc w:val="both"/>
        <w:rPr>
          <w:rFonts w:cs="Guttman Drogolin"/>
          <w:rtl/>
          <w:lang w:bidi="he-IL"/>
        </w:rPr>
      </w:pPr>
      <w:r w:rsidRPr="00882F11">
        <w:rPr>
          <w:rFonts w:cs="Guttman Drogolin" w:hint="cs"/>
          <w:rtl/>
          <w:lang w:bidi="he-IL"/>
        </w:rPr>
        <w:t>וברא"ש כאן הקשה עליו שלפי דבריו עדיין צ"ע למה חלב לא חשוב ברי' (ושם הקשה גם מערלה וכלאי הכרם, ולא ידעתי מהו כוונתו בזה הא הנהו לא הוו בריית נשמה). ומשו"ה נקט הרא"ש כלל אחר בדין ברי', והוא גם שיטת התוס' בדף צ"ו ע"א כן במס</w:t>
      </w:r>
      <w:r w:rsidR="000921AA" w:rsidRPr="00882F11">
        <w:rPr>
          <w:rFonts w:cs="Guttman Drogolin" w:hint="cs"/>
          <w:rtl/>
          <w:lang w:bidi="he-IL"/>
        </w:rPr>
        <w:t>'</w:t>
      </w:r>
      <w:r w:rsidRPr="00882F11">
        <w:rPr>
          <w:rFonts w:cs="Guttman Drogolin" w:hint="cs"/>
          <w:rtl/>
          <w:lang w:bidi="he-IL"/>
        </w:rPr>
        <w:t xml:space="preserve"> מכות דף י"ז ע"א. והוא </w:t>
      </w:r>
      <w:r w:rsidR="00F713B7" w:rsidRPr="00882F11">
        <w:rPr>
          <w:rFonts w:cs="Guttman Drogolin" w:hint="cs"/>
          <w:rtl/>
          <w:lang w:bidi="he-IL"/>
        </w:rPr>
        <w:t>שברי' הוי דבר שאם מחלקין אותו א</w:t>
      </w:r>
      <w:r w:rsidRPr="00882F11">
        <w:rPr>
          <w:rFonts w:cs="Guttman Drogolin" w:hint="cs"/>
          <w:rtl/>
          <w:lang w:bidi="he-IL"/>
        </w:rPr>
        <w:t>ין שמו עליו.</w:t>
      </w:r>
      <w:r w:rsidR="00F713B7" w:rsidRPr="00882F11">
        <w:rPr>
          <w:rFonts w:cs="Guttman Drogolin" w:hint="cs"/>
          <w:rtl/>
          <w:lang w:bidi="he-IL"/>
        </w:rPr>
        <w:t xml:space="preserve"> </w:t>
      </w:r>
      <w:r w:rsidR="00BD41CC" w:rsidRPr="00882F11">
        <w:rPr>
          <w:rFonts w:cs="Guttman Drogolin" w:hint="cs"/>
          <w:rtl/>
          <w:lang w:bidi="he-IL"/>
        </w:rPr>
        <w:t>ודבריהם</w:t>
      </w:r>
      <w:r w:rsidR="002C04C0" w:rsidRPr="00882F11">
        <w:rPr>
          <w:rFonts w:cs="Guttman Drogolin" w:hint="cs"/>
          <w:rtl/>
          <w:lang w:bidi="he-IL"/>
        </w:rPr>
        <w:t xml:space="preserve"> מבוססים אדברי הגמ' שבמס' שבועות דף כ"א ע"ב. דאיתא במתני' שבר"פ שבועות ש</w:t>
      </w:r>
      <w:r w:rsidR="004F6F70" w:rsidRPr="00882F11">
        <w:rPr>
          <w:rFonts w:cs="Guttman Drogolin" w:hint="cs"/>
          <w:rtl/>
          <w:lang w:bidi="he-IL"/>
        </w:rPr>
        <w:t>ת</w:t>
      </w:r>
      <w:r w:rsidR="002C04C0" w:rsidRPr="00882F11">
        <w:rPr>
          <w:rFonts w:cs="Guttman Drogolin" w:hint="cs"/>
          <w:rtl/>
          <w:lang w:bidi="he-IL"/>
        </w:rPr>
        <w:t>ים בתרא "שבועה</w:t>
      </w:r>
      <w:r w:rsidR="002C04C0" w:rsidRPr="00882F11">
        <w:rPr>
          <w:rFonts w:cs="Guttman Drogolin"/>
          <w:rtl/>
          <w:lang w:bidi="he-IL"/>
        </w:rPr>
        <w:t xml:space="preserve"> </w:t>
      </w:r>
      <w:r w:rsidR="002C04C0" w:rsidRPr="00882F11">
        <w:rPr>
          <w:rFonts w:cs="Guttman Drogolin" w:hint="cs"/>
          <w:rtl/>
          <w:lang w:bidi="he-IL"/>
        </w:rPr>
        <w:t>שאוכל</w:t>
      </w:r>
      <w:r w:rsidR="002C04C0" w:rsidRPr="00882F11">
        <w:rPr>
          <w:rFonts w:cs="Guttman Drogolin"/>
          <w:rtl/>
          <w:lang w:bidi="he-IL"/>
        </w:rPr>
        <w:t xml:space="preserve"> </w:t>
      </w:r>
      <w:r w:rsidR="002C04C0" w:rsidRPr="00882F11">
        <w:rPr>
          <w:rFonts w:cs="Guttman Drogolin" w:hint="cs"/>
          <w:rtl/>
          <w:lang w:bidi="he-IL"/>
        </w:rPr>
        <w:t>ושלא</w:t>
      </w:r>
      <w:r w:rsidR="002C04C0" w:rsidRPr="00882F11">
        <w:rPr>
          <w:rFonts w:cs="Guttman Drogolin"/>
          <w:rtl/>
          <w:lang w:bidi="he-IL"/>
        </w:rPr>
        <w:t xml:space="preserve"> </w:t>
      </w:r>
      <w:r w:rsidR="002C04C0" w:rsidRPr="00882F11">
        <w:rPr>
          <w:rFonts w:cs="Guttman Drogolin" w:hint="cs"/>
          <w:rtl/>
          <w:lang w:bidi="he-IL"/>
        </w:rPr>
        <w:t>אוכל</w:t>
      </w:r>
      <w:r w:rsidR="002C04C0" w:rsidRPr="00882F11">
        <w:rPr>
          <w:rFonts w:cs="Guttman Drogolin"/>
          <w:rtl/>
          <w:lang w:bidi="he-IL"/>
        </w:rPr>
        <w:t xml:space="preserve"> </w:t>
      </w:r>
      <w:r w:rsidR="002C04C0" w:rsidRPr="00882F11">
        <w:rPr>
          <w:rFonts w:cs="Guttman Drogolin" w:hint="cs"/>
          <w:rtl/>
          <w:lang w:bidi="he-IL"/>
        </w:rPr>
        <w:t>שאכלתי</w:t>
      </w:r>
      <w:r w:rsidR="002C04C0" w:rsidRPr="00882F11">
        <w:rPr>
          <w:rFonts w:cs="Guttman Drogolin"/>
          <w:rtl/>
          <w:lang w:bidi="he-IL"/>
        </w:rPr>
        <w:t xml:space="preserve"> </w:t>
      </w:r>
      <w:r w:rsidR="002C04C0" w:rsidRPr="00882F11">
        <w:rPr>
          <w:rFonts w:cs="Guttman Drogolin" w:hint="cs"/>
          <w:rtl/>
          <w:lang w:bidi="he-IL"/>
        </w:rPr>
        <w:t>ושלא</w:t>
      </w:r>
      <w:r w:rsidR="002C04C0" w:rsidRPr="00882F11">
        <w:rPr>
          <w:rFonts w:cs="Guttman Drogolin"/>
          <w:rtl/>
          <w:lang w:bidi="he-IL"/>
        </w:rPr>
        <w:t xml:space="preserve"> </w:t>
      </w:r>
      <w:r w:rsidR="002C04C0" w:rsidRPr="00882F11">
        <w:rPr>
          <w:rFonts w:cs="Guttman Drogolin" w:hint="cs"/>
          <w:rtl/>
          <w:lang w:bidi="he-IL"/>
        </w:rPr>
        <w:t>אכלתי</w:t>
      </w:r>
      <w:r w:rsidR="002C04C0" w:rsidRPr="00882F11">
        <w:rPr>
          <w:rFonts w:cs="Guttman Drogolin"/>
          <w:rtl/>
          <w:lang w:bidi="he-IL"/>
        </w:rPr>
        <w:t xml:space="preserve"> </w:t>
      </w:r>
      <w:r w:rsidR="002C04C0" w:rsidRPr="00882F11">
        <w:rPr>
          <w:rFonts w:cs="Guttman Drogolin" w:hint="cs"/>
          <w:rtl/>
          <w:lang w:bidi="he-IL"/>
        </w:rPr>
        <w:t>שבועה</w:t>
      </w:r>
      <w:r w:rsidR="002C04C0" w:rsidRPr="00882F11">
        <w:rPr>
          <w:rFonts w:cs="Guttman Drogolin"/>
          <w:rtl/>
          <w:lang w:bidi="he-IL"/>
        </w:rPr>
        <w:t xml:space="preserve"> </w:t>
      </w:r>
      <w:r w:rsidR="002C04C0" w:rsidRPr="00882F11">
        <w:rPr>
          <w:rFonts w:cs="Guttman Drogolin" w:hint="cs"/>
          <w:rtl/>
          <w:lang w:bidi="he-IL"/>
        </w:rPr>
        <w:t>שלא</w:t>
      </w:r>
      <w:r w:rsidR="002C04C0" w:rsidRPr="00882F11">
        <w:rPr>
          <w:rFonts w:cs="Guttman Drogolin"/>
          <w:rtl/>
          <w:lang w:bidi="he-IL"/>
        </w:rPr>
        <w:t xml:space="preserve"> </w:t>
      </w:r>
      <w:r w:rsidR="002C04C0" w:rsidRPr="00882F11">
        <w:rPr>
          <w:rFonts w:cs="Guttman Drogolin" w:hint="cs"/>
          <w:rtl/>
          <w:lang w:bidi="he-IL"/>
        </w:rPr>
        <w:t>אוכל</w:t>
      </w:r>
      <w:r w:rsidR="002C04C0" w:rsidRPr="00882F11">
        <w:rPr>
          <w:rFonts w:cs="Guttman Drogolin"/>
          <w:rtl/>
          <w:lang w:bidi="he-IL"/>
        </w:rPr>
        <w:t xml:space="preserve"> </w:t>
      </w:r>
      <w:r w:rsidR="002C04C0" w:rsidRPr="00882F11">
        <w:rPr>
          <w:rFonts w:cs="Guttman Drogolin" w:hint="cs"/>
          <w:rtl/>
          <w:lang w:bidi="he-IL"/>
        </w:rPr>
        <w:t>ואכל</w:t>
      </w:r>
      <w:r w:rsidR="002C04C0" w:rsidRPr="00882F11">
        <w:rPr>
          <w:rFonts w:cs="Guttman Drogolin"/>
          <w:rtl/>
          <w:lang w:bidi="he-IL"/>
        </w:rPr>
        <w:t xml:space="preserve"> </w:t>
      </w:r>
      <w:r w:rsidR="002C04C0" w:rsidRPr="00882F11">
        <w:rPr>
          <w:rFonts w:cs="Guttman Drogolin" w:hint="cs"/>
          <w:rtl/>
          <w:lang w:bidi="he-IL"/>
        </w:rPr>
        <w:t>כל</w:t>
      </w:r>
      <w:r w:rsidR="002C04C0" w:rsidRPr="00882F11">
        <w:rPr>
          <w:rFonts w:cs="Guttman Drogolin"/>
          <w:rtl/>
          <w:lang w:bidi="he-IL"/>
        </w:rPr>
        <w:t xml:space="preserve"> </w:t>
      </w:r>
      <w:r w:rsidR="002C04C0" w:rsidRPr="00882F11">
        <w:rPr>
          <w:rFonts w:cs="Guttman Drogolin" w:hint="cs"/>
          <w:rtl/>
          <w:lang w:bidi="he-IL"/>
        </w:rPr>
        <w:t>שהוא</w:t>
      </w:r>
      <w:r w:rsidR="002C04C0" w:rsidRPr="00882F11">
        <w:rPr>
          <w:rFonts w:cs="Guttman Drogolin"/>
          <w:rtl/>
          <w:lang w:bidi="he-IL"/>
        </w:rPr>
        <w:t xml:space="preserve"> </w:t>
      </w:r>
      <w:r w:rsidR="002C04C0" w:rsidRPr="00882F11">
        <w:rPr>
          <w:rFonts w:cs="Guttman Drogolin" w:hint="cs"/>
          <w:rtl/>
          <w:lang w:bidi="he-IL"/>
        </w:rPr>
        <w:t>חייב</w:t>
      </w:r>
      <w:r w:rsidR="002C04C0" w:rsidRPr="00882F11">
        <w:rPr>
          <w:rFonts w:cs="Guttman Drogolin"/>
          <w:rtl/>
          <w:lang w:bidi="he-IL"/>
        </w:rPr>
        <w:t xml:space="preserve"> </w:t>
      </w:r>
      <w:r w:rsidR="002C04C0" w:rsidRPr="00882F11">
        <w:rPr>
          <w:rFonts w:cs="Guttman Drogolin" w:hint="cs"/>
          <w:rtl/>
          <w:lang w:bidi="he-IL"/>
        </w:rPr>
        <w:t>דברי</w:t>
      </w:r>
      <w:r w:rsidR="002C04C0" w:rsidRPr="00882F11">
        <w:rPr>
          <w:rFonts w:cs="Guttman Drogolin"/>
          <w:rtl/>
          <w:lang w:bidi="he-IL"/>
        </w:rPr>
        <w:t xml:space="preserve"> </w:t>
      </w:r>
      <w:r w:rsidR="002C04C0" w:rsidRPr="00882F11">
        <w:rPr>
          <w:rFonts w:cs="Guttman Drogolin" w:hint="cs"/>
          <w:rtl/>
          <w:lang w:bidi="he-IL"/>
        </w:rPr>
        <w:t>רבי</w:t>
      </w:r>
      <w:r w:rsidR="002C04C0" w:rsidRPr="00882F11">
        <w:rPr>
          <w:rFonts w:cs="Guttman Drogolin"/>
          <w:rtl/>
          <w:lang w:bidi="he-IL"/>
        </w:rPr>
        <w:t xml:space="preserve"> </w:t>
      </w:r>
      <w:r w:rsidR="002C04C0" w:rsidRPr="00882F11">
        <w:rPr>
          <w:rFonts w:cs="Guttman Drogolin" w:hint="cs"/>
          <w:rtl/>
          <w:lang w:bidi="he-IL"/>
        </w:rPr>
        <w:t>עקיבא</w:t>
      </w:r>
      <w:r w:rsidR="002C04C0" w:rsidRPr="00882F11">
        <w:rPr>
          <w:rFonts w:cs="Guttman Drogolin"/>
          <w:rtl/>
          <w:lang w:bidi="he-IL"/>
        </w:rPr>
        <w:t xml:space="preserve"> </w:t>
      </w:r>
      <w:r w:rsidR="002C04C0" w:rsidRPr="00882F11">
        <w:rPr>
          <w:rFonts w:cs="Guttman Drogolin" w:hint="cs"/>
          <w:rtl/>
          <w:lang w:bidi="he-IL"/>
        </w:rPr>
        <w:t>אמרו</w:t>
      </w:r>
      <w:r w:rsidR="002C04C0" w:rsidRPr="00882F11">
        <w:rPr>
          <w:rFonts w:cs="Guttman Drogolin"/>
          <w:rtl/>
          <w:lang w:bidi="he-IL"/>
        </w:rPr>
        <w:t xml:space="preserve"> </w:t>
      </w:r>
      <w:r w:rsidR="002C04C0" w:rsidRPr="00882F11">
        <w:rPr>
          <w:rFonts w:cs="Guttman Drogolin" w:hint="cs"/>
          <w:rtl/>
          <w:lang w:bidi="he-IL"/>
        </w:rPr>
        <w:t>לו</w:t>
      </w:r>
      <w:r w:rsidR="002C04C0" w:rsidRPr="00882F11">
        <w:rPr>
          <w:rFonts w:cs="Guttman Drogolin"/>
          <w:rtl/>
          <w:lang w:bidi="he-IL"/>
        </w:rPr>
        <w:t xml:space="preserve"> </w:t>
      </w:r>
      <w:r w:rsidR="002C04C0" w:rsidRPr="00882F11">
        <w:rPr>
          <w:rFonts w:cs="Guttman Drogolin" w:hint="cs"/>
          <w:rtl/>
          <w:lang w:bidi="he-IL"/>
        </w:rPr>
        <w:t>לר</w:t>
      </w:r>
      <w:r w:rsidR="00935448" w:rsidRPr="00882F11">
        <w:rPr>
          <w:rFonts w:cs="Guttman Drogolin" w:hint="cs"/>
          <w:rtl/>
          <w:lang w:bidi="he-IL"/>
        </w:rPr>
        <w:t>"</w:t>
      </w:r>
      <w:r w:rsidR="002C04C0" w:rsidRPr="00882F11">
        <w:rPr>
          <w:rFonts w:cs="Guttman Drogolin" w:hint="cs"/>
          <w:rtl/>
          <w:lang w:bidi="he-IL"/>
        </w:rPr>
        <w:t>ע</w:t>
      </w:r>
      <w:r w:rsidR="002C04C0" w:rsidRPr="00882F11">
        <w:rPr>
          <w:rFonts w:cs="Guttman Drogolin"/>
          <w:rtl/>
          <w:lang w:bidi="he-IL"/>
        </w:rPr>
        <w:t xml:space="preserve"> </w:t>
      </w:r>
      <w:r w:rsidR="002C04C0" w:rsidRPr="00882F11">
        <w:rPr>
          <w:rFonts w:cs="Guttman Drogolin" w:hint="cs"/>
          <w:rtl/>
          <w:lang w:bidi="he-IL"/>
        </w:rPr>
        <w:t>היכן</w:t>
      </w:r>
      <w:r w:rsidR="002C04C0" w:rsidRPr="00882F11">
        <w:rPr>
          <w:rFonts w:cs="Guttman Drogolin"/>
          <w:rtl/>
          <w:lang w:bidi="he-IL"/>
        </w:rPr>
        <w:t xml:space="preserve"> </w:t>
      </w:r>
      <w:r w:rsidR="002C04C0" w:rsidRPr="00882F11">
        <w:rPr>
          <w:rFonts w:cs="Guttman Drogolin" w:hint="cs"/>
          <w:rtl/>
          <w:lang w:bidi="he-IL"/>
        </w:rPr>
        <w:t>מצינו</w:t>
      </w:r>
      <w:r w:rsidR="002C04C0" w:rsidRPr="00882F11">
        <w:rPr>
          <w:rFonts w:cs="Guttman Drogolin"/>
          <w:rtl/>
          <w:lang w:bidi="he-IL"/>
        </w:rPr>
        <w:t xml:space="preserve"> </w:t>
      </w:r>
      <w:r w:rsidR="002C04C0" w:rsidRPr="00882F11">
        <w:rPr>
          <w:rFonts w:cs="Guttman Drogolin" w:hint="cs"/>
          <w:rtl/>
          <w:lang w:bidi="he-IL"/>
        </w:rPr>
        <w:t>באוכל</w:t>
      </w:r>
      <w:r w:rsidR="002C04C0" w:rsidRPr="00882F11">
        <w:rPr>
          <w:rFonts w:cs="Guttman Drogolin"/>
          <w:rtl/>
          <w:lang w:bidi="he-IL"/>
        </w:rPr>
        <w:t xml:space="preserve"> </w:t>
      </w:r>
      <w:r w:rsidR="002C04C0" w:rsidRPr="00882F11">
        <w:rPr>
          <w:rFonts w:cs="Guttman Drogolin" w:hint="cs"/>
          <w:rtl/>
          <w:lang w:bidi="he-IL"/>
        </w:rPr>
        <w:t>כל</w:t>
      </w:r>
      <w:r w:rsidR="002C04C0" w:rsidRPr="00882F11">
        <w:rPr>
          <w:rFonts w:cs="Guttman Drogolin"/>
          <w:rtl/>
          <w:lang w:bidi="he-IL"/>
        </w:rPr>
        <w:t xml:space="preserve"> </w:t>
      </w:r>
      <w:r w:rsidR="002C04C0" w:rsidRPr="00882F11">
        <w:rPr>
          <w:rFonts w:cs="Guttman Drogolin" w:hint="cs"/>
          <w:rtl/>
          <w:lang w:bidi="he-IL"/>
        </w:rPr>
        <w:t>שהוא</w:t>
      </w:r>
      <w:r w:rsidR="002C04C0" w:rsidRPr="00882F11">
        <w:rPr>
          <w:rFonts w:cs="Guttman Drogolin"/>
          <w:rtl/>
          <w:lang w:bidi="he-IL"/>
        </w:rPr>
        <w:t xml:space="preserve"> </w:t>
      </w:r>
      <w:r w:rsidR="002C04C0" w:rsidRPr="00882F11">
        <w:rPr>
          <w:rFonts w:cs="Guttman Drogolin" w:hint="cs"/>
          <w:rtl/>
          <w:lang w:bidi="he-IL"/>
        </w:rPr>
        <w:t>שהוא</w:t>
      </w:r>
      <w:r w:rsidR="002C04C0" w:rsidRPr="00882F11">
        <w:rPr>
          <w:rFonts w:cs="Guttman Drogolin"/>
          <w:rtl/>
          <w:lang w:bidi="he-IL"/>
        </w:rPr>
        <w:t xml:space="preserve"> </w:t>
      </w:r>
      <w:r w:rsidR="002C04C0" w:rsidRPr="00882F11">
        <w:rPr>
          <w:rFonts w:cs="Guttman Drogolin" w:hint="cs"/>
          <w:rtl/>
          <w:lang w:bidi="he-IL"/>
        </w:rPr>
        <w:t>חייב</w:t>
      </w:r>
      <w:r w:rsidR="002C04C0" w:rsidRPr="00882F11">
        <w:rPr>
          <w:rFonts w:cs="Guttman Drogolin"/>
          <w:rtl/>
          <w:lang w:bidi="he-IL"/>
        </w:rPr>
        <w:t xml:space="preserve"> </w:t>
      </w:r>
      <w:r w:rsidR="002C04C0" w:rsidRPr="00882F11">
        <w:rPr>
          <w:rFonts w:cs="Guttman Drogolin" w:hint="cs"/>
          <w:rtl/>
          <w:lang w:bidi="he-IL"/>
        </w:rPr>
        <w:t>שזה</w:t>
      </w:r>
      <w:r w:rsidR="002C04C0" w:rsidRPr="00882F11">
        <w:rPr>
          <w:rFonts w:cs="Guttman Drogolin"/>
          <w:rtl/>
          <w:lang w:bidi="he-IL"/>
        </w:rPr>
        <w:t xml:space="preserve"> </w:t>
      </w:r>
      <w:r w:rsidR="002C04C0" w:rsidRPr="00882F11">
        <w:rPr>
          <w:rFonts w:cs="Guttman Drogolin" w:hint="cs"/>
          <w:rtl/>
          <w:lang w:bidi="he-IL"/>
        </w:rPr>
        <w:t xml:space="preserve">חייב". הרי שר"ע מחייב אשבועה בלשון אכילה בכל שהו, והקשו עליו </w:t>
      </w:r>
      <w:r w:rsidR="00426932" w:rsidRPr="00882F11">
        <w:rPr>
          <w:rFonts w:cs="Guttman Drogolin" w:hint="cs"/>
          <w:rtl/>
          <w:lang w:bidi="he-IL"/>
        </w:rPr>
        <w:t>ש</w:t>
      </w:r>
      <w:r w:rsidR="002C04C0" w:rsidRPr="00882F11">
        <w:rPr>
          <w:rFonts w:cs="Guttman Drogolin" w:hint="cs"/>
          <w:rtl/>
          <w:lang w:bidi="he-IL"/>
        </w:rPr>
        <w:t xml:space="preserve">לא מצאנו שחייבין על איסורי אכילה אא"כ אכל כזית. ושם בגמ' הקשו על זה שאומרים רבנן שלא מצאנו שחייבין אכל שהו, </w:t>
      </w:r>
      <w:r w:rsidR="00BD41CC" w:rsidRPr="00882F11">
        <w:rPr>
          <w:rFonts w:cs="Guttman Drogolin" w:hint="cs"/>
          <w:rtl/>
          <w:lang w:bidi="he-IL"/>
        </w:rPr>
        <w:t>"ולא</w:t>
      </w:r>
      <w:r w:rsidR="00BD41CC" w:rsidRPr="00882F11">
        <w:rPr>
          <w:rFonts w:cs="Guttman Drogolin"/>
          <w:rtl/>
          <w:lang w:bidi="he-IL"/>
        </w:rPr>
        <w:t xml:space="preserve"> </w:t>
      </w:r>
      <w:r w:rsidR="00BD41CC" w:rsidRPr="00882F11">
        <w:rPr>
          <w:rFonts w:cs="Guttman Drogolin" w:hint="cs"/>
          <w:rtl/>
          <w:lang w:bidi="he-IL"/>
        </w:rPr>
        <w:t>והרי</w:t>
      </w:r>
      <w:r w:rsidR="00BD41CC" w:rsidRPr="00882F11">
        <w:rPr>
          <w:rFonts w:cs="Guttman Drogolin"/>
          <w:rtl/>
          <w:lang w:bidi="he-IL"/>
        </w:rPr>
        <w:t xml:space="preserve"> </w:t>
      </w:r>
      <w:r w:rsidR="00BD41CC" w:rsidRPr="00882F11">
        <w:rPr>
          <w:rFonts w:cs="Guttman Drogolin" w:hint="cs"/>
          <w:rtl/>
          <w:lang w:bidi="he-IL"/>
        </w:rPr>
        <w:t>נמלה" ומתרצת הגמ'</w:t>
      </w:r>
      <w:r w:rsidR="00BD41CC" w:rsidRPr="00882F11">
        <w:rPr>
          <w:rFonts w:cs="Guttman Drogolin"/>
          <w:rtl/>
          <w:lang w:bidi="he-IL"/>
        </w:rPr>
        <w:t xml:space="preserve"> </w:t>
      </w:r>
      <w:r w:rsidR="00BD41CC" w:rsidRPr="00882F11">
        <w:rPr>
          <w:rFonts w:cs="Guttman Drogolin" w:hint="cs"/>
          <w:rtl/>
          <w:lang w:bidi="he-IL"/>
        </w:rPr>
        <w:t>"בריה</w:t>
      </w:r>
      <w:r w:rsidR="00BD41CC" w:rsidRPr="00882F11">
        <w:rPr>
          <w:rFonts w:cs="Guttman Drogolin"/>
          <w:rtl/>
          <w:lang w:bidi="he-IL"/>
        </w:rPr>
        <w:t xml:space="preserve"> </w:t>
      </w:r>
      <w:r w:rsidR="00BD41CC" w:rsidRPr="00882F11">
        <w:rPr>
          <w:rFonts w:cs="Guttman Drogolin" w:hint="cs"/>
          <w:rtl/>
          <w:lang w:bidi="he-IL"/>
        </w:rPr>
        <w:t>שאני". ושוב מקשה הגמ' "והרי</w:t>
      </w:r>
      <w:r w:rsidR="00BD41CC" w:rsidRPr="00882F11">
        <w:rPr>
          <w:rFonts w:cs="Guttman Drogolin"/>
          <w:rtl/>
          <w:lang w:bidi="he-IL"/>
        </w:rPr>
        <w:t xml:space="preserve"> </w:t>
      </w:r>
      <w:r w:rsidR="00BD41CC" w:rsidRPr="00882F11">
        <w:rPr>
          <w:rFonts w:cs="Guttman Drogolin" w:hint="cs"/>
          <w:rtl/>
          <w:lang w:bidi="he-IL"/>
        </w:rPr>
        <w:t xml:space="preserve">מפרש" פי' </w:t>
      </w:r>
      <w:r w:rsidR="00BD41CC" w:rsidRPr="00882F11">
        <w:rPr>
          <w:rFonts w:cs="Guttman Drogolin"/>
          <w:rtl/>
          <w:lang w:bidi="he-IL"/>
        </w:rPr>
        <w:t>–</w:t>
      </w:r>
      <w:r w:rsidR="00BD41CC" w:rsidRPr="00882F11">
        <w:rPr>
          <w:rFonts w:cs="Guttman Drogolin" w:hint="cs"/>
          <w:rtl/>
          <w:lang w:bidi="he-IL"/>
        </w:rPr>
        <w:t xml:space="preserve"> שכשמפרש בהדיא ששבועתו אאכילת כל שהו ודאי חייב אפילו כשלא אכל אלא כל שהוא. ומתרצת הגמ' "מפרש</w:t>
      </w:r>
      <w:r w:rsidR="00BD41CC" w:rsidRPr="00882F11">
        <w:rPr>
          <w:rFonts w:cs="Guttman Drogolin"/>
          <w:rtl/>
          <w:lang w:bidi="he-IL"/>
        </w:rPr>
        <w:t xml:space="preserve"> </w:t>
      </w:r>
      <w:r w:rsidR="00BD41CC" w:rsidRPr="00882F11">
        <w:rPr>
          <w:rFonts w:cs="Guttman Drogolin" w:hint="cs"/>
          <w:rtl/>
          <w:lang w:bidi="he-IL"/>
        </w:rPr>
        <w:t>נמי</w:t>
      </w:r>
      <w:r w:rsidR="00BD41CC" w:rsidRPr="00882F11">
        <w:rPr>
          <w:rFonts w:cs="Guttman Drogolin"/>
          <w:rtl/>
          <w:lang w:bidi="he-IL"/>
        </w:rPr>
        <w:t xml:space="preserve"> </w:t>
      </w:r>
      <w:r w:rsidR="00BD41CC" w:rsidRPr="00882F11">
        <w:rPr>
          <w:rFonts w:cs="Guttman Drogolin" w:hint="cs"/>
          <w:rtl/>
          <w:lang w:bidi="he-IL"/>
        </w:rPr>
        <w:t>כבריה</w:t>
      </w:r>
      <w:r w:rsidR="00BD41CC" w:rsidRPr="00882F11">
        <w:rPr>
          <w:rFonts w:cs="Guttman Drogolin"/>
          <w:rtl/>
          <w:lang w:bidi="he-IL"/>
        </w:rPr>
        <w:t xml:space="preserve"> </w:t>
      </w:r>
      <w:r w:rsidR="00BD41CC" w:rsidRPr="00882F11">
        <w:rPr>
          <w:rFonts w:cs="Guttman Drogolin" w:hint="cs"/>
          <w:rtl/>
          <w:lang w:bidi="he-IL"/>
        </w:rPr>
        <w:t>דמי".</w:t>
      </w:r>
    </w:p>
    <w:p w:rsidR="00864315" w:rsidRPr="00882F11" w:rsidRDefault="00353CAB" w:rsidP="004F6F70">
      <w:pPr>
        <w:bidi/>
        <w:jc w:val="both"/>
        <w:rPr>
          <w:rFonts w:cs="Guttman Drogolin"/>
          <w:rtl/>
          <w:lang w:bidi="he-IL"/>
        </w:rPr>
      </w:pPr>
      <w:r w:rsidRPr="00882F11">
        <w:rPr>
          <w:rFonts w:cs="Guttman Drogolin" w:hint="cs"/>
          <w:rtl/>
          <w:lang w:bidi="he-IL"/>
        </w:rPr>
        <w:t>ונחלקו הראשונים בביאור תשובת הגמ'. רש"י שם פירש "מפרש</w:t>
      </w:r>
      <w:r w:rsidRPr="00882F11">
        <w:rPr>
          <w:rFonts w:cs="Guttman Drogolin"/>
          <w:rtl/>
          <w:lang w:bidi="he-IL"/>
        </w:rPr>
        <w:t xml:space="preserve"> </w:t>
      </w:r>
      <w:r w:rsidRPr="00882F11">
        <w:rPr>
          <w:rFonts w:cs="Guttman Drogolin" w:hint="cs"/>
          <w:rtl/>
          <w:lang w:bidi="he-IL"/>
        </w:rPr>
        <w:t>דשבועה</w:t>
      </w:r>
      <w:r w:rsidRPr="00882F11">
        <w:rPr>
          <w:rFonts w:cs="Guttman Drogolin"/>
          <w:rtl/>
          <w:lang w:bidi="he-IL"/>
        </w:rPr>
        <w:t xml:space="preserve"> </w:t>
      </w:r>
      <w:r w:rsidRPr="00882F11">
        <w:rPr>
          <w:rFonts w:cs="Guttman Drogolin" w:hint="cs"/>
          <w:rtl/>
          <w:lang w:bidi="he-IL"/>
        </w:rPr>
        <w:t>כבריה</w:t>
      </w:r>
      <w:r w:rsidRPr="00882F11">
        <w:rPr>
          <w:rFonts w:cs="Guttman Drogolin"/>
          <w:rtl/>
          <w:lang w:bidi="he-IL"/>
        </w:rPr>
        <w:t xml:space="preserve"> </w:t>
      </w:r>
      <w:r w:rsidRPr="00882F11">
        <w:rPr>
          <w:rFonts w:cs="Guttman Drogolin" w:hint="cs"/>
          <w:rtl/>
          <w:lang w:bidi="he-IL"/>
        </w:rPr>
        <w:t>בשאר</w:t>
      </w:r>
      <w:r w:rsidRPr="00882F11">
        <w:rPr>
          <w:rFonts w:cs="Guttman Drogolin"/>
          <w:rtl/>
          <w:lang w:bidi="he-IL"/>
        </w:rPr>
        <w:t xml:space="preserve"> </w:t>
      </w:r>
      <w:r w:rsidRPr="00882F11">
        <w:rPr>
          <w:rFonts w:cs="Guttman Drogolin" w:hint="cs"/>
          <w:rtl/>
          <w:lang w:bidi="he-IL"/>
        </w:rPr>
        <w:t>איסורין</w:t>
      </w:r>
      <w:r w:rsidRPr="00882F11">
        <w:rPr>
          <w:rFonts w:cs="Guttman Drogolin"/>
          <w:rtl/>
          <w:lang w:bidi="he-IL"/>
        </w:rPr>
        <w:t xml:space="preserve"> </w:t>
      </w:r>
      <w:r w:rsidRPr="00882F11">
        <w:rPr>
          <w:rFonts w:cs="Guttman Drogolin" w:hint="cs"/>
          <w:rtl/>
          <w:lang w:bidi="he-IL"/>
        </w:rPr>
        <w:t>דמי</w:t>
      </w:r>
      <w:r w:rsidRPr="00882F11">
        <w:rPr>
          <w:rFonts w:cs="Guttman Drogolin"/>
          <w:rtl/>
          <w:lang w:bidi="he-IL"/>
        </w:rPr>
        <w:t xml:space="preserve"> </w:t>
      </w:r>
      <w:r w:rsidRPr="00882F11">
        <w:rPr>
          <w:rFonts w:cs="Guttman Drogolin" w:hint="cs"/>
          <w:rtl/>
          <w:lang w:bidi="he-IL"/>
        </w:rPr>
        <w:t>בריה</w:t>
      </w:r>
      <w:r w:rsidRPr="00882F11">
        <w:rPr>
          <w:rFonts w:cs="Guttman Drogolin"/>
          <w:rtl/>
          <w:lang w:bidi="he-IL"/>
        </w:rPr>
        <w:t xml:space="preserve"> </w:t>
      </w:r>
      <w:r w:rsidRPr="00882F11">
        <w:rPr>
          <w:rFonts w:cs="Guttman Drogolin" w:hint="cs"/>
          <w:rtl/>
          <w:lang w:bidi="he-IL"/>
        </w:rPr>
        <w:t>טעמא</w:t>
      </w:r>
      <w:r w:rsidRPr="00882F11">
        <w:rPr>
          <w:rFonts w:cs="Guttman Drogolin"/>
          <w:rtl/>
          <w:lang w:bidi="he-IL"/>
        </w:rPr>
        <w:t xml:space="preserve"> </w:t>
      </w:r>
      <w:r w:rsidRPr="00882F11">
        <w:rPr>
          <w:rFonts w:cs="Guttman Drogolin" w:hint="cs"/>
          <w:rtl/>
          <w:lang w:bidi="he-IL"/>
        </w:rPr>
        <w:t>מאי</w:t>
      </w:r>
      <w:r w:rsidRPr="00882F11">
        <w:rPr>
          <w:rFonts w:cs="Guttman Drogolin"/>
          <w:rtl/>
          <w:lang w:bidi="he-IL"/>
        </w:rPr>
        <w:t xml:space="preserve"> </w:t>
      </w:r>
      <w:r w:rsidRPr="00882F11">
        <w:rPr>
          <w:rFonts w:cs="Guttman Drogolin" w:hint="cs"/>
          <w:rtl/>
          <w:lang w:bidi="he-IL"/>
        </w:rPr>
        <w:t>משום</w:t>
      </w:r>
      <w:r w:rsidRPr="00882F11">
        <w:rPr>
          <w:rFonts w:cs="Guttman Drogolin"/>
          <w:rtl/>
          <w:lang w:bidi="he-IL"/>
        </w:rPr>
        <w:t xml:space="preserve"> </w:t>
      </w:r>
      <w:r w:rsidRPr="00882F11">
        <w:rPr>
          <w:rFonts w:cs="Guttman Drogolin" w:hint="cs"/>
          <w:rtl/>
          <w:lang w:bidi="he-IL"/>
        </w:rPr>
        <w:t>דחשיבא</w:t>
      </w:r>
      <w:r w:rsidR="000921AA" w:rsidRPr="00882F11">
        <w:rPr>
          <w:rFonts w:cs="Guttman Drogolin" w:hint="cs"/>
          <w:rtl/>
          <w:lang w:bidi="he-IL"/>
        </w:rPr>
        <w:t>,</w:t>
      </w:r>
      <w:r w:rsidRPr="00882F11">
        <w:rPr>
          <w:rFonts w:cs="Guttman Drogolin"/>
          <w:rtl/>
          <w:lang w:bidi="he-IL"/>
        </w:rPr>
        <w:t xml:space="preserve"> </w:t>
      </w:r>
      <w:r w:rsidRPr="00882F11">
        <w:rPr>
          <w:rFonts w:cs="Guttman Drogolin" w:hint="cs"/>
          <w:rtl/>
          <w:lang w:bidi="he-IL"/>
        </w:rPr>
        <w:t>מפרש</w:t>
      </w:r>
      <w:r w:rsidRPr="00882F11">
        <w:rPr>
          <w:rFonts w:cs="Guttman Drogolin"/>
          <w:rtl/>
          <w:lang w:bidi="he-IL"/>
        </w:rPr>
        <w:t xml:space="preserve"> </w:t>
      </w:r>
      <w:r w:rsidRPr="00882F11">
        <w:rPr>
          <w:rFonts w:cs="Guttman Drogolin" w:hint="cs"/>
          <w:rtl/>
          <w:lang w:bidi="he-IL"/>
        </w:rPr>
        <w:t>נמי</w:t>
      </w:r>
      <w:r w:rsidRPr="00882F11">
        <w:rPr>
          <w:rFonts w:cs="Guttman Drogolin"/>
          <w:rtl/>
          <w:lang w:bidi="he-IL"/>
        </w:rPr>
        <w:t xml:space="preserve"> </w:t>
      </w:r>
      <w:r w:rsidRPr="00882F11">
        <w:rPr>
          <w:rFonts w:cs="Guttman Drogolin" w:hint="cs"/>
          <w:rtl/>
          <w:lang w:bidi="he-IL"/>
        </w:rPr>
        <w:t>איהו</w:t>
      </w:r>
      <w:r w:rsidRPr="00882F11">
        <w:rPr>
          <w:rFonts w:cs="Guttman Drogolin"/>
          <w:rtl/>
          <w:lang w:bidi="he-IL"/>
        </w:rPr>
        <w:t xml:space="preserve"> </w:t>
      </w:r>
      <w:r w:rsidRPr="00882F11">
        <w:rPr>
          <w:rFonts w:cs="Guttman Drogolin" w:hint="cs"/>
          <w:rtl/>
          <w:lang w:bidi="he-IL"/>
        </w:rPr>
        <w:t>אחשבה</w:t>
      </w:r>
      <w:r w:rsidRPr="00882F11">
        <w:rPr>
          <w:rFonts w:cs="Guttman Drogolin"/>
          <w:rtl/>
          <w:lang w:bidi="he-IL"/>
        </w:rPr>
        <w:t xml:space="preserve"> </w:t>
      </w:r>
      <w:r w:rsidRPr="00882F11">
        <w:rPr>
          <w:rFonts w:cs="Guttman Drogolin" w:hint="cs"/>
          <w:rtl/>
          <w:lang w:bidi="he-IL"/>
        </w:rPr>
        <w:t>דאסריה</w:t>
      </w:r>
      <w:r w:rsidRPr="00882F11">
        <w:rPr>
          <w:rFonts w:cs="Guttman Drogolin"/>
          <w:rtl/>
          <w:lang w:bidi="he-IL"/>
        </w:rPr>
        <w:t xml:space="preserve"> </w:t>
      </w:r>
      <w:r w:rsidRPr="00882F11">
        <w:rPr>
          <w:rFonts w:cs="Guttman Drogolin" w:hint="cs"/>
          <w:rtl/>
          <w:lang w:bidi="he-IL"/>
        </w:rPr>
        <w:t>עליה"</w:t>
      </w:r>
      <w:r w:rsidR="00042301" w:rsidRPr="00882F11">
        <w:rPr>
          <w:rFonts w:cs="Guttman Drogolin" w:hint="cs"/>
          <w:rtl/>
          <w:lang w:bidi="he-IL"/>
        </w:rPr>
        <w:t xml:space="preserve"> </w:t>
      </w:r>
      <w:r w:rsidRPr="00882F11">
        <w:rPr>
          <w:rFonts w:cs="Guttman Drogolin" w:hint="cs"/>
          <w:rtl/>
          <w:lang w:bidi="he-IL"/>
        </w:rPr>
        <w:t>ה</w:t>
      </w:r>
      <w:r w:rsidR="00042301" w:rsidRPr="00882F11">
        <w:rPr>
          <w:rFonts w:cs="Guttman Drogolin" w:hint="cs"/>
          <w:rtl/>
          <w:lang w:bidi="he-IL"/>
        </w:rPr>
        <w:t>ר</w:t>
      </w:r>
      <w:r w:rsidRPr="00882F11">
        <w:rPr>
          <w:rFonts w:cs="Guttman Drogolin" w:hint="cs"/>
          <w:rtl/>
          <w:lang w:bidi="he-IL"/>
        </w:rPr>
        <w:t xml:space="preserve">י שאין כוונת הגמ' </w:t>
      </w:r>
      <w:r w:rsidRPr="00882F11">
        <w:rPr>
          <w:rFonts w:cs="Guttman Drogolin" w:hint="cs"/>
          <w:rtl/>
          <w:lang w:bidi="he-IL"/>
        </w:rPr>
        <w:lastRenderedPageBreak/>
        <w:t>אלא לומר שכמו שיש חשיבות לברי' ומשו"ה חייבין עליו בכל שהוא, הה"נ</w:t>
      </w:r>
      <w:r w:rsidR="00042301" w:rsidRPr="00882F11">
        <w:rPr>
          <w:rFonts w:cs="Guttman Drogolin" w:hint="cs"/>
          <w:rtl/>
          <w:lang w:bidi="he-IL"/>
        </w:rPr>
        <w:t xml:space="preserve"> שיש חש</w:t>
      </w:r>
      <w:r w:rsidR="004F6F70" w:rsidRPr="00882F11">
        <w:rPr>
          <w:rFonts w:cs="Guttman Drogolin" w:hint="cs"/>
          <w:rtl/>
          <w:lang w:bidi="he-IL"/>
        </w:rPr>
        <w:t>י</w:t>
      </w:r>
      <w:r w:rsidR="00042301" w:rsidRPr="00882F11">
        <w:rPr>
          <w:rFonts w:cs="Guttman Drogolin" w:hint="cs"/>
          <w:rtl/>
          <w:lang w:bidi="he-IL"/>
        </w:rPr>
        <w:t xml:space="preserve">בות למפרש וחייבין עליו בכל שהוא. ולכאורה דבריו צ"ע, דלמה צריך הסבר במפרש, וכן למה ביאר הגמ' (אליבא דרש"י) שהטעם שעובר בכל שהוא משום דאחשבה, הא פשיטא שחייב משום שאין דין אכילה בעצם באיסור שבועה, שהעיקר תלוי בזה בביטוי שפתיים, ואם נשבע לשקר או שעבר על מה שאמר בשבועתו. וא"כ עד כמה שפירש שלא אכלתי משהו הרי הוא עובר על מה שאמר ע"י זה </w:t>
      </w:r>
      <w:r w:rsidR="00725A22" w:rsidRPr="00882F11">
        <w:rPr>
          <w:rFonts w:cs="Guttman Drogolin" w:hint="cs"/>
          <w:rtl/>
          <w:lang w:bidi="he-IL"/>
        </w:rPr>
        <w:t>שאכל כל שהוא כיון שזה מתנגד למה שאמר, ואפילו אין חשיבות אכילה בפעולתו. תדע שאפילו אם נשבע שינענע שפ</w:t>
      </w:r>
      <w:r w:rsidR="004F6F70" w:rsidRPr="00882F11">
        <w:rPr>
          <w:rFonts w:cs="Guttman Drogolin" w:hint="cs"/>
          <w:rtl/>
          <w:lang w:bidi="he-IL"/>
        </w:rPr>
        <w:t>ת</w:t>
      </w:r>
      <w:r w:rsidR="00725A22" w:rsidRPr="00882F11">
        <w:rPr>
          <w:rFonts w:cs="Guttman Drogolin" w:hint="cs"/>
          <w:rtl/>
          <w:lang w:bidi="he-IL"/>
        </w:rPr>
        <w:t xml:space="preserve">יו ונענע שפתיו ג"כ </w:t>
      </w:r>
      <w:r w:rsidR="004F6F70" w:rsidRPr="00882F11">
        <w:rPr>
          <w:rFonts w:cs="Guttman Drogolin" w:hint="cs"/>
          <w:rtl/>
          <w:lang w:bidi="he-IL"/>
        </w:rPr>
        <w:t>עבר</w:t>
      </w:r>
      <w:r w:rsidR="00725A22" w:rsidRPr="00882F11">
        <w:rPr>
          <w:rFonts w:cs="Guttman Drogolin" w:hint="cs"/>
          <w:rtl/>
          <w:lang w:bidi="he-IL"/>
        </w:rPr>
        <w:t xml:space="preserve"> אשבועתו, וזה ליכא חשיבות של אכילה כלל. וצ"ע. ועכ"פ זהו סוגיית הגמ' דהתם אליבא דרש"י. אמנם </w:t>
      </w:r>
      <w:r w:rsidR="00894C20" w:rsidRPr="00882F11">
        <w:rPr>
          <w:rFonts w:cs="Guttman Drogolin" w:hint="cs"/>
          <w:rtl/>
          <w:lang w:bidi="he-IL"/>
        </w:rPr>
        <w:t>התוס'</w:t>
      </w:r>
      <w:r w:rsidR="00864315" w:rsidRPr="00882F11">
        <w:rPr>
          <w:rFonts w:cs="Guttman Drogolin" w:hint="cs"/>
          <w:rtl/>
          <w:lang w:bidi="he-IL"/>
        </w:rPr>
        <w:t xml:space="preserve"> מבארים שכל היסוד של ברי' הוא מ</w:t>
      </w:r>
      <w:r w:rsidR="00894C20" w:rsidRPr="00882F11">
        <w:rPr>
          <w:rFonts w:cs="Guttman Drogolin" w:hint="cs"/>
          <w:rtl/>
          <w:lang w:bidi="he-IL"/>
        </w:rPr>
        <w:t xml:space="preserve">שום דהוי כמפרש. ור"ל </w:t>
      </w:r>
      <w:r w:rsidR="00864315" w:rsidRPr="00882F11">
        <w:rPr>
          <w:rFonts w:cs="Guttman Drogolin" w:hint="cs"/>
          <w:rtl/>
          <w:lang w:bidi="he-IL"/>
        </w:rPr>
        <w:t>שכשהתורה אסרה עוף טמא (לדוגמא) התורה אסרה העוף בין גדול בין קטן, ובכלל הדברים הוא נמי עוף שלם ששיעורו פחות מכזית. והענין של ברי' הוא שאוכל כל אותו חפץ שאסרה תורה, ובזה הרי הוא עובר עליו אע"פ שאין בה כזית.</w:t>
      </w:r>
    </w:p>
    <w:p w:rsidR="00745EE2" w:rsidRPr="00882F11" w:rsidRDefault="00864315" w:rsidP="000921AA">
      <w:pPr>
        <w:bidi/>
        <w:jc w:val="both"/>
        <w:rPr>
          <w:rFonts w:cs="Guttman Drogolin"/>
          <w:rtl/>
          <w:lang w:bidi="he-IL"/>
        </w:rPr>
      </w:pPr>
      <w:r w:rsidRPr="00882F11">
        <w:rPr>
          <w:rFonts w:cs="Guttman Drogolin" w:hint="cs"/>
          <w:rtl/>
          <w:lang w:bidi="he-IL"/>
        </w:rPr>
        <w:t>ומעיקרא חשבתי שביאור דעת התוס' וסייעתו שעיקר מה שאסרה תורה הוא לא</w:t>
      </w:r>
      <w:r w:rsidR="004F6F70" w:rsidRPr="00882F11">
        <w:rPr>
          <w:rFonts w:cs="Guttman Drogolin" w:hint="cs"/>
          <w:rtl/>
          <w:lang w:bidi="he-IL"/>
        </w:rPr>
        <w:t>כ</w:t>
      </w:r>
      <w:r w:rsidRPr="00882F11">
        <w:rPr>
          <w:rFonts w:cs="Guttman Drogolin" w:hint="cs"/>
          <w:rtl/>
          <w:lang w:bidi="he-IL"/>
        </w:rPr>
        <w:t>ול אותו חפצא דאיסורא שאסרה תורה. רק שחידשה תורה מכח הלל"מ שאפילו אם אינו אוכל כל אותו עוף טמא, רק כזית ממנו ג"כ עובר. ולכן אם אוכל עוף טמא שלם הטעם שעובר משום ש</w:t>
      </w:r>
      <w:r w:rsidR="00165C82" w:rsidRPr="00882F11">
        <w:rPr>
          <w:rFonts w:cs="Guttman Drogolin" w:hint="cs"/>
          <w:rtl/>
          <w:lang w:bidi="he-IL"/>
        </w:rPr>
        <w:t>זהו עיקר מה שאסרה ה</w:t>
      </w:r>
      <w:r w:rsidR="004F6F70" w:rsidRPr="00882F11">
        <w:rPr>
          <w:rFonts w:cs="Guttman Drogolin" w:hint="cs"/>
          <w:rtl/>
          <w:lang w:bidi="he-IL"/>
        </w:rPr>
        <w:t>כ</w:t>
      </w:r>
      <w:r w:rsidR="00165C82" w:rsidRPr="00882F11">
        <w:rPr>
          <w:rFonts w:cs="Guttman Drogolin" w:hint="cs"/>
          <w:rtl/>
          <w:lang w:bidi="he-IL"/>
        </w:rPr>
        <w:t xml:space="preserve">תוב בלי החידוש של כזית. אמנם לאחר </w:t>
      </w:r>
      <w:r w:rsidR="00426932" w:rsidRPr="00882F11">
        <w:rPr>
          <w:rFonts w:cs="Guttman Drogolin" w:hint="cs"/>
          <w:rtl/>
          <w:lang w:bidi="he-IL"/>
        </w:rPr>
        <w:t>העיון נראה שזה אינו. חדא ד</w:t>
      </w:r>
      <w:r w:rsidR="004F6F70" w:rsidRPr="00882F11">
        <w:rPr>
          <w:rFonts w:cs="Guttman Drogolin" w:hint="cs"/>
          <w:rtl/>
          <w:lang w:bidi="he-IL"/>
        </w:rPr>
        <w:t>משמע מ</w:t>
      </w:r>
      <w:r w:rsidR="00165C82" w:rsidRPr="00882F11">
        <w:rPr>
          <w:rFonts w:cs="Guttman Drogolin" w:hint="cs"/>
          <w:rtl/>
          <w:lang w:bidi="he-IL"/>
        </w:rPr>
        <w:t xml:space="preserve">ן הגמ' שזה שהוא חייב כשאוכל ברי' הוא החידוש ולא האיסור לאכול כזית ממנו. ועוד </w:t>
      </w:r>
      <w:r w:rsidR="00606F70" w:rsidRPr="00882F11">
        <w:rPr>
          <w:rFonts w:cs="Guttman Drogolin" w:hint="cs"/>
          <w:rtl/>
          <w:lang w:bidi="he-IL"/>
        </w:rPr>
        <w:t>שהרי לפי זה יוצא שאלמלא ההלכתא דכזית הי' צריך לאכול את כל הברי' כד</w:t>
      </w:r>
      <w:r w:rsidR="004F6F70" w:rsidRPr="00882F11">
        <w:rPr>
          <w:rFonts w:cs="Guttman Drogolin" w:hint="cs"/>
          <w:rtl/>
          <w:lang w:bidi="he-IL"/>
        </w:rPr>
        <w:t>י</w:t>
      </w:r>
      <w:r w:rsidR="00606F70" w:rsidRPr="00882F11">
        <w:rPr>
          <w:rFonts w:cs="Guttman Drogolin" w:hint="cs"/>
          <w:rtl/>
          <w:lang w:bidi="he-IL"/>
        </w:rPr>
        <w:t xml:space="preserve"> לעבור, ולכאורה </w:t>
      </w:r>
      <w:r w:rsidR="000921AA" w:rsidRPr="00882F11">
        <w:rPr>
          <w:rFonts w:cs="Guttman Drogolin" w:hint="cs"/>
          <w:rtl/>
          <w:lang w:bidi="he-IL"/>
        </w:rPr>
        <w:t>מ</w:t>
      </w:r>
      <w:r w:rsidR="00606F70" w:rsidRPr="00882F11">
        <w:rPr>
          <w:rFonts w:cs="Guttman Drogolin" w:hint="cs"/>
          <w:rtl/>
          <w:lang w:bidi="he-IL"/>
        </w:rPr>
        <w:t xml:space="preserve">שיטת ר' שמעון </w:t>
      </w:r>
      <w:r w:rsidR="000921AA" w:rsidRPr="00882F11">
        <w:rPr>
          <w:rFonts w:cs="Guttman Drogolin" w:hint="cs"/>
          <w:rtl/>
          <w:lang w:bidi="he-IL"/>
        </w:rPr>
        <w:t xml:space="preserve">חזינן </w:t>
      </w:r>
      <w:r w:rsidR="00606F70" w:rsidRPr="00882F11">
        <w:rPr>
          <w:rFonts w:cs="Guttman Drogolin" w:hint="cs"/>
          <w:rtl/>
          <w:lang w:bidi="he-IL"/>
        </w:rPr>
        <w:t>שאין הדין כן, שהרי ר' שמעון סבר שהוא עובר במשהו ולא נאמר</w:t>
      </w:r>
      <w:r w:rsidR="000921AA" w:rsidRPr="00882F11">
        <w:rPr>
          <w:rFonts w:cs="Guttman Drogolin" w:hint="cs"/>
          <w:rtl/>
          <w:lang w:bidi="he-IL"/>
        </w:rPr>
        <w:t xml:space="preserve"> כזית א</w:t>
      </w:r>
      <w:r w:rsidR="00606F70" w:rsidRPr="00882F11">
        <w:rPr>
          <w:rFonts w:cs="Guttman Drogolin" w:hint="cs"/>
          <w:rtl/>
          <w:lang w:bidi="he-IL"/>
        </w:rPr>
        <w:t xml:space="preserve">לא לענין קרבן, ופי' הריטב"א במס' מכות דף י"ז ע"א (בפירושו </w:t>
      </w:r>
      <w:r w:rsidR="00606F70" w:rsidRPr="00882F11">
        <w:rPr>
          <w:rFonts w:cs="Guttman Drogolin" w:hint="cs"/>
          <w:rtl/>
          <w:lang w:bidi="he-IL"/>
        </w:rPr>
        <w:lastRenderedPageBreak/>
        <w:t>הראשון) שההלכתא נאמר רק לענין קרבן ומשו"ה במלקות חייב אכל שהו, ואם כנ"ל הא בלי הלכתא הי</w:t>
      </w:r>
      <w:r w:rsidR="004F6F70" w:rsidRPr="00882F11">
        <w:rPr>
          <w:rFonts w:cs="Guttman Drogolin" w:hint="cs"/>
          <w:rtl/>
          <w:lang w:bidi="he-IL"/>
        </w:rPr>
        <w:t>'</w:t>
      </w:r>
      <w:r w:rsidR="00606F70" w:rsidRPr="00882F11">
        <w:rPr>
          <w:rFonts w:cs="Guttman Drogolin" w:hint="cs"/>
          <w:rtl/>
          <w:lang w:bidi="he-IL"/>
        </w:rPr>
        <w:t xml:space="preserve"> צריך לעבור רק כשאוכל ברי'. ולכן ע"כ צריכים לומר קצת אחרת. </w:t>
      </w:r>
      <w:r w:rsidR="005E59CF" w:rsidRPr="00882F11">
        <w:rPr>
          <w:rFonts w:cs="Guttman Drogolin" w:hint="cs"/>
          <w:rtl/>
          <w:lang w:bidi="he-IL"/>
        </w:rPr>
        <w:t xml:space="preserve">והוא שלעולם אלמלא ההלכתא של כזית הי' עובר בכל שהוא, וקמ"ל ההלכתא שאינו חייב אא"כ אוכל כזית. אבל סוברים התוס' דמ"מ כיון שהחפצא שאסרה תורה הוא העוף טמא, </w:t>
      </w:r>
      <w:r w:rsidR="00503346" w:rsidRPr="00882F11">
        <w:rPr>
          <w:rFonts w:cs="Guttman Drogolin" w:hint="cs"/>
          <w:rtl/>
          <w:lang w:bidi="he-IL"/>
        </w:rPr>
        <w:t>ו</w:t>
      </w:r>
      <w:r w:rsidR="005E59CF" w:rsidRPr="00882F11">
        <w:rPr>
          <w:rFonts w:cs="Guttman Drogolin" w:hint="cs"/>
          <w:rtl/>
          <w:lang w:bidi="he-IL"/>
        </w:rPr>
        <w:t>הרי אכל כל החפצא שאסרה תורה, גם זה מספיק כדי להתחייב ואינו צריך כזית.</w:t>
      </w:r>
      <w:r w:rsidR="00606F70" w:rsidRPr="00882F11">
        <w:rPr>
          <w:rFonts w:cs="Guttman Drogolin" w:hint="cs"/>
          <w:rtl/>
          <w:lang w:bidi="he-IL"/>
        </w:rPr>
        <w:t xml:space="preserve"> </w:t>
      </w:r>
      <w:r w:rsidR="005E59CF" w:rsidRPr="00882F11">
        <w:rPr>
          <w:rFonts w:cs="Guttman Drogolin" w:hint="cs"/>
          <w:rtl/>
          <w:lang w:bidi="he-IL"/>
        </w:rPr>
        <w:t xml:space="preserve">והנ"מ בדאיכא חפצא כזאת, אבל דבר שאם יתחלק שמו עליו הרי התורה לא אסרה </w:t>
      </w:r>
      <w:r w:rsidR="00745EE2" w:rsidRPr="00882F11">
        <w:rPr>
          <w:rFonts w:cs="Guttman Drogolin" w:hint="cs"/>
          <w:rtl/>
          <w:lang w:bidi="he-IL"/>
        </w:rPr>
        <w:t>חפצא מסוים רק דבר מן הסוג שאסרה תורה, ולכן ליכא לחייב אלא אכזית.</w:t>
      </w:r>
    </w:p>
    <w:p w:rsidR="00745EE2" w:rsidRPr="00882F11" w:rsidRDefault="0097744A" w:rsidP="000921AA">
      <w:pPr>
        <w:bidi/>
        <w:jc w:val="both"/>
        <w:rPr>
          <w:rFonts w:cs="Guttman Drogolin"/>
          <w:rtl/>
          <w:lang w:bidi="he-IL"/>
        </w:rPr>
      </w:pPr>
      <w:r w:rsidRPr="00882F11">
        <w:rPr>
          <w:rFonts w:cs="Guttman Drogolin" w:hint="cs"/>
          <w:rtl/>
          <w:lang w:bidi="he-IL"/>
        </w:rPr>
        <w:t>ולשיטת התו</w:t>
      </w:r>
      <w:r w:rsidR="00BE70D3" w:rsidRPr="00882F11">
        <w:rPr>
          <w:rFonts w:cs="Guttman Drogolin" w:hint="cs"/>
          <w:rtl/>
          <w:lang w:bidi="he-IL"/>
        </w:rPr>
        <w:t xml:space="preserve">ס' </w:t>
      </w:r>
      <w:r w:rsidR="000921AA" w:rsidRPr="00882F11">
        <w:rPr>
          <w:rFonts w:cs="Guttman Drogolin" w:hint="cs"/>
          <w:rtl/>
          <w:lang w:bidi="he-IL"/>
        </w:rPr>
        <w:t>הא דאם יתח</w:t>
      </w:r>
      <w:r w:rsidR="004D0EAD" w:rsidRPr="00882F11">
        <w:rPr>
          <w:rFonts w:cs="Guttman Drogolin" w:hint="cs"/>
          <w:rtl/>
          <w:lang w:bidi="he-IL"/>
        </w:rPr>
        <w:t>ל</w:t>
      </w:r>
      <w:r w:rsidR="000921AA" w:rsidRPr="00882F11">
        <w:rPr>
          <w:rFonts w:cs="Guttman Drogolin" w:hint="cs"/>
          <w:rtl/>
          <w:lang w:bidi="he-IL"/>
        </w:rPr>
        <w:t xml:space="preserve">ק אין שמו עליו </w:t>
      </w:r>
      <w:r w:rsidR="00BE70D3" w:rsidRPr="00882F11">
        <w:rPr>
          <w:rFonts w:cs="Guttman Drogolin" w:hint="cs"/>
          <w:rtl/>
          <w:lang w:bidi="he-IL"/>
        </w:rPr>
        <w:t>הוא הכלל היחיד להגדיר לנו מהו ברי'</w:t>
      </w:r>
      <w:r w:rsidR="00503346" w:rsidRPr="00882F11">
        <w:rPr>
          <w:rStyle w:val="FootnoteReference"/>
          <w:rFonts w:cs="Guttman Drogolin"/>
          <w:rtl/>
          <w:lang w:bidi="he-IL"/>
        </w:rPr>
        <w:footnoteReference w:id="69"/>
      </w:r>
      <w:r w:rsidR="00BE70D3" w:rsidRPr="00882F11">
        <w:rPr>
          <w:rFonts w:cs="Guttman Drogolin" w:hint="cs"/>
          <w:rtl/>
          <w:lang w:bidi="he-IL"/>
        </w:rPr>
        <w:t>, ואפילו מה שמבואר במס' מכות דבעינן בריית נשמה ביארו התוס' שרבנן אמרו הכי לר' שמעון, אבל הם עצמם אינם ס</w:t>
      </w:r>
      <w:r w:rsidR="004F6F70" w:rsidRPr="00882F11">
        <w:rPr>
          <w:rFonts w:cs="Guttman Drogolin" w:hint="cs"/>
          <w:rtl/>
          <w:lang w:bidi="he-IL"/>
        </w:rPr>
        <w:t>וברים כן. וע"ש בתוס' שהעירו ב</w:t>
      </w:r>
      <w:r w:rsidR="00BE70D3" w:rsidRPr="00882F11">
        <w:rPr>
          <w:rFonts w:cs="Guttman Drogolin" w:hint="cs"/>
          <w:rtl/>
          <w:lang w:bidi="he-IL"/>
        </w:rPr>
        <w:t>ד</w:t>
      </w:r>
      <w:r w:rsidR="004F6F70" w:rsidRPr="00882F11">
        <w:rPr>
          <w:rFonts w:cs="Guttman Drogolin" w:hint="cs"/>
          <w:rtl/>
          <w:lang w:bidi="he-IL"/>
        </w:rPr>
        <w:t>ו</w:t>
      </w:r>
      <w:r w:rsidR="00BE70D3" w:rsidRPr="00882F11">
        <w:rPr>
          <w:rFonts w:cs="Guttman Drogolin" w:hint="cs"/>
          <w:rtl/>
          <w:lang w:bidi="he-IL"/>
        </w:rPr>
        <w:t xml:space="preserve">חק שיש בפירוש דברי הגמ' שבמס' מכות דף י"ז לפי זה. </w:t>
      </w:r>
      <w:r w:rsidR="00745EE2" w:rsidRPr="00882F11">
        <w:rPr>
          <w:rFonts w:cs="Guttman Drogolin" w:hint="cs"/>
          <w:rtl/>
          <w:lang w:bidi="he-IL"/>
        </w:rPr>
        <w:t>ומ"מ יש להעיר בפירו</w:t>
      </w:r>
      <w:r w:rsidR="00BE70D3" w:rsidRPr="00882F11">
        <w:rPr>
          <w:rFonts w:cs="Guttman Drogolin" w:hint="cs"/>
          <w:rtl/>
          <w:lang w:bidi="he-IL"/>
        </w:rPr>
        <w:t>ש</w:t>
      </w:r>
      <w:r w:rsidR="00745EE2" w:rsidRPr="00882F11">
        <w:rPr>
          <w:rFonts w:cs="Guttman Drogolin" w:hint="cs"/>
          <w:rtl/>
          <w:lang w:bidi="he-IL"/>
        </w:rPr>
        <w:t>ם של התוס' בגמ' שבמס' שבועות, שלדבריהם אין מפרש אסור משום דהוי כברי', אלא ההיפך, שברי' אסור משום דהוי כמפרש. ולשון הגמ' שם דמפרש הוי כברי'. וצע"ק.</w:t>
      </w:r>
    </w:p>
    <w:p w:rsidR="00356A7B" w:rsidRPr="00882F11" w:rsidRDefault="00745EE2" w:rsidP="00503346">
      <w:pPr>
        <w:bidi/>
        <w:jc w:val="both"/>
        <w:rPr>
          <w:rFonts w:cs="Guttman Drogolin"/>
          <w:rtl/>
          <w:lang w:bidi="he-IL"/>
        </w:rPr>
      </w:pPr>
      <w:r w:rsidRPr="00882F11">
        <w:rPr>
          <w:rFonts w:cs="Guttman Drogolin" w:hint="cs"/>
          <w:rtl/>
          <w:lang w:bidi="he-IL"/>
        </w:rPr>
        <w:t>וכל זה הוא לשיטת התוס'. אבל הראשונים כתבו תי' לקושיית הרא"ש אש</w:t>
      </w:r>
      <w:r w:rsidR="00663FAC" w:rsidRPr="00882F11">
        <w:rPr>
          <w:rFonts w:cs="Guttman Drogolin" w:hint="cs"/>
          <w:rtl/>
          <w:lang w:bidi="he-IL"/>
        </w:rPr>
        <w:t>י</w:t>
      </w:r>
      <w:r w:rsidRPr="00882F11">
        <w:rPr>
          <w:rFonts w:cs="Guttman Drogolin" w:hint="cs"/>
          <w:rtl/>
          <w:lang w:bidi="he-IL"/>
        </w:rPr>
        <w:t>טת רש"י</w:t>
      </w:r>
      <w:r w:rsidR="00663FAC" w:rsidRPr="00882F11">
        <w:rPr>
          <w:rFonts w:cs="Guttman Drogolin" w:hint="cs"/>
          <w:rtl/>
          <w:lang w:bidi="he-IL"/>
        </w:rPr>
        <w:t xml:space="preserve"> מחלב</w:t>
      </w:r>
      <w:r w:rsidRPr="00882F11">
        <w:rPr>
          <w:rFonts w:cs="Guttman Drogolin" w:hint="cs"/>
          <w:rtl/>
          <w:lang w:bidi="he-IL"/>
        </w:rPr>
        <w:t>.</w:t>
      </w:r>
      <w:r w:rsidR="00FC1122" w:rsidRPr="00882F11">
        <w:rPr>
          <w:rFonts w:cs="Guttman Drogolin" w:hint="cs"/>
          <w:rtl/>
          <w:lang w:bidi="he-IL"/>
        </w:rPr>
        <w:t xml:space="preserve"> ה</w:t>
      </w:r>
      <w:r w:rsidRPr="00882F11">
        <w:rPr>
          <w:rFonts w:cs="Guttman Drogolin" w:hint="cs"/>
          <w:rtl/>
          <w:lang w:bidi="he-IL"/>
        </w:rPr>
        <w:t>ר"ן</w:t>
      </w:r>
      <w:r w:rsidR="009577FD" w:rsidRPr="00882F11">
        <w:rPr>
          <w:rFonts w:cs="Guttman Drogolin" w:hint="cs"/>
          <w:rtl/>
          <w:lang w:bidi="he-IL"/>
        </w:rPr>
        <w:t xml:space="preserve"> כתב "ו</w:t>
      </w:r>
      <w:r w:rsidR="00FC1122" w:rsidRPr="00882F11">
        <w:rPr>
          <w:rFonts w:cs="Guttman Drogolin" w:hint="cs"/>
          <w:rtl/>
          <w:lang w:bidi="he-IL"/>
        </w:rPr>
        <w:t xml:space="preserve">מיהו חלב לא מיקרי בריה אע"פ שהוא ברית נשמה </w:t>
      </w:r>
      <w:r w:rsidR="009577FD" w:rsidRPr="00882F11">
        <w:rPr>
          <w:rFonts w:cs="Guttman Drogolin" w:hint="cs"/>
          <w:rtl/>
          <w:lang w:bidi="he-IL"/>
        </w:rPr>
        <w:t xml:space="preserve">לפי שאין כולו במקום אחד ואינו כעין בריה שהיא מקובצת כאחד". הרי שיש לנו עוד תנאי שיהא כולו מקובץ במקום אחד. </w:t>
      </w:r>
      <w:r w:rsidR="00356A7B" w:rsidRPr="00882F11">
        <w:rPr>
          <w:rFonts w:cs="Guttman Drogolin" w:hint="cs"/>
          <w:rtl/>
          <w:lang w:bidi="he-IL"/>
        </w:rPr>
        <w:t>וראיתי בס' מגילת ספר שפי' את דבריו ע"פ דברי החוו"ד ס"ק ב'</w:t>
      </w:r>
      <w:r w:rsidR="00933618" w:rsidRPr="00882F11">
        <w:rPr>
          <w:rFonts w:cs="Guttman Drogolin" w:hint="cs"/>
          <w:rtl/>
          <w:lang w:bidi="he-IL"/>
        </w:rPr>
        <w:t>, ד</w:t>
      </w:r>
      <w:r w:rsidR="00356A7B" w:rsidRPr="00882F11">
        <w:rPr>
          <w:rFonts w:cs="Guttman Drogolin" w:hint="cs"/>
          <w:rtl/>
          <w:lang w:bidi="he-IL"/>
        </w:rPr>
        <w:t xml:space="preserve">כדי שיהא ברי' צריכים </w:t>
      </w:r>
      <w:r w:rsidR="00503346" w:rsidRPr="00882F11">
        <w:rPr>
          <w:rFonts w:cs="Guttman Drogolin" w:hint="cs"/>
          <w:rtl/>
          <w:lang w:bidi="he-IL"/>
        </w:rPr>
        <w:t xml:space="preserve">שלימות, ושלימות מתקיימת ע"י </w:t>
      </w:r>
      <w:r w:rsidR="00356A7B" w:rsidRPr="00882F11">
        <w:rPr>
          <w:rFonts w:cs="Guttman Drogolin" w:hint="cs"/>
          <w:rtl/>
          <w:lang w:bidi="he-IL"/>
        </w:rPr>
        <w:t>א' משתי דברים, או שיהא שלימות החפץ, שאכל כל הכמות של</w:t>
      </w:r>
      <w:r w:rsidR="00503346" w:rsidRPr="00882F11">
        <w:rPr>
          <w:rFonts w:cs="Guttman Drogolin" w:hint="cs"/>
          <w:rtl/>
          <w:lang w:bidi="he-IL"/>
        </w:rPr>
        <w:t xml:space="preserve"> החפץ</w:t>
      </w:r>
      <w:r w:rsidR="00356A7B" w:rsidRPr="00882F11">
        <w:rPr>
          <w:rFonts w:cs="Guttman Drogolin" w:hint="cs"/>
          <w:rtl/>
          <w:lang w:bidi="he-IL"/>
        </w:rPr>
        <w:t xml:space="preserve"> כמו שנוצרה, או</w:t>
      </w:r>
      <w:r w:rsidR="00503346" w:rsidRPr="00882F11">
        <w:rPr>
          <w:rFonts w:cs="Guttman Drogolin" w:hint="cs"/>
          <w:rtl/>
          <w:lang w:bidi="he-IL"/>
        </w:rPr>
        <w:t xml:space="preserve"> שהא שלימות בשם האיסור, שאכל</w:t>
      </w:r>
      <w:r w:rsidR="00356A7B" w:rsidRPr="00882F11">
        <w:rPr>
          <w:rFonts w:cs="Guttman Drogolin" w:hint="cs"/>
          <w:rtl/>
          <w:lang w:bidi="he-IL"/>
        </w:rPr>
        <w:t xml:space="preserve"> כל הכמות שפירשה תורה לאיסור. ולכן בחלב, כיון שאינו שלם לענין איך שנוצרה, דהא כל הבהמה נוצרה </w:t>
      </w:r>
      <w:r w:rsidR="00356A7B" w:rsidRPr="00882F11">
        <w:rPr>
          <w:rFonts w:cs="Guttman Drogolin" w:hint="cs"/>
          <w:rtl/>
          <w:lang w:bidi="he-IL"/>
        </w:rPr>
        <w:lastRenderedPageBreak/>
        <w:t xml:space="preserve">ביחד ואינו אוכל את כל הבהמה, וכן ליכא שלמות האיסור כיון שהוא מפוזר בבהמה אין לו דן ברי'. </w:t>
      </w:r>
      <w:r w:rsidR="00503346" w:rsidRPr="00882F11">
        <w:rPr>
          <w:rFonts w:cs="Guttman Drogolin" w:hint="cs"/>
          <w:rtl/>
          <w:lang w:bidi="he-IL"/>
        </w:rPr>
        <w:t xml:space="preserve">משא"כ בגיד שיש לנו שלימות לענין זה שאכל כל מה שאסרה התורה. </w:t>
      </w:r>
    </w:p>
    <w:p w:rsidR="000507E7" w:rsidRPr="00882F11" w:rsidRDefault="00356A7B" w:rsidP="00BA79D7">
      <w:pPr>
        <w:bidi/>
        <w:jc w:val="both"/>
        <w:rPr>
          <w:rFonts w:cs="Guttman Drogolin"/>
          <w:rtl/>
          <w:lang w:bidi="he-IL"/>
        </w:rPr>
      </w:pPr>
      <w:r w:rsidRPr="00882F11">
        <w:rPr>
          <w:rFonts w:cs="Guttman Drogolin" w:hint="cs"/>
          <w:rtl/>
          <w:lang w:bidi="he-IL"/>
        </w:rPr>
        <w:t xml:space="preserve">וברשב"א </w:t>
      </w:r>
      <w:r w:rsidR="00503346" w:rsidRPr="00882F11">
        <w:rPr>
          <w:rFonts w:cs="Guttman Drogolin" w:hint="cs"/>
          <w:rtl/>
          <w:lang w:bidi="he-IL"/>
        </w:rPr>
        <w:t>מיישב</w:t>
      </w:r>
      <w:r w:rsidRPr="00882F11">
        <w:rPr>
          <w:rFonts w:cs="Guttman Drogolin" w:hint="cs"/>
          <w:rtl/>
          <w:lang w:bidi="he-IL"/>
        </w:rPr>
        <w:t xml:space="preserve"> בדרך אחר</w:t>
      </w:r>
      <w:r w:rsidR="00BE70D3" w:rsidRPr="00882F11">
        <w:rPr>
          <w:rFonts w:cs="Guttman Drogolin" w:hint="cs"/>
          <w:rtl/>
          <w:lang w:bidi="he-IL"/>
        </w:rPr>
        <w:t>ת</w:t>
      </w:r>
      <w:r w:rsidRPr="00882F11">
        <w:rPr>
          <w:rFonts w:cs="Guttman Drogolin" w:hint="cs"/>
          <w:rtl/>
          <w:lang w:bidi="he-IL"/>
        </w:rPr>
        <w:t xml:space="preserve">. </w:t>
      </w:r>
      <w:r w:rsidR="00BE70D3" w:rsidRPr="00882F11">
        <w:rPr>
          <w:rFonts w:cs="Guttman Drogolin" w:hint="cs"/>
          <w:rtl/>
          <w:lang w:bidi="he-IL"/>
        </w:rPr>
        <w:t>ולפום ריהטא כוונתו לומר הכלל שכתבו התוס' והרא"ש שאם הוא דבר שאם יתחלק אין שמו עליו הוי ברי' ואם יתחלק ושמו עליו לא, ולכן חלב לא הוי ברי'. אמנם אי אפשר לומר שהרשב"</w:t>
      </w:r>
      <w:r w:rsidR="004F6F70" w:rsidRPr="00882F11">
        <w:rPr>
          <w:rFonts w:cs="Guttman Drogolin" w:hint="cs"/>
          <w:rtl/>
          <w:lang w:bidi="he-IL"/>
        </w:rPr>
        <w:t>א</w:t>
      </w:r>
      <w:r w:rsidR="00BE70D3" w:rsidRPr="00882F11">
        <w:rPr>
          <w:rFonts w:cs="Guttman Drogolin" w:hint="cs"/>
          <w:rtl/>
          <w:lang w:bidi="he-IL"/>
        </w:rPr>
        <w:t xml:space="preserve"> סבר לגמרי כתוס' וסייעתם, דהא לתוס' זהו הכלל היחיד ולא בעינן בריית נשמה, ואילו הרשב"א סבר שאם אינו בריית נשמה אין לו דין של ברי'. והיינו דשיטת הרשב"א </w:t>
      </w:r>
      <w:r w:rsidR="000507E7" w:rsidRPr="00882F11">
        <w:rPr>
          <w:rFonts w:cs="Guttman Drogolin" w:hint="cs"/>
          <w:rtl/>
          <w:lang w:bidi="he-IL"/>
        </w:rPr>
        <w:t xml:space="preserve">שאלמלא </w:t>
      </w:r>
      <w:r w:rsidR="00BA79D7" w:rsidRPr="00882F11">
        <w:rPr>
          <w:rFonts w:cs="Guttman Drogolin" w:hint="cs"/>
          <w:rtl/>
          <w:lang w:bidi="he-IL"/>
        </w:rPr>
        <w:t>הא דבעינן שיהא</w:t>
      </w:r>
      <w:r w:rsidR="000507E7" w:rsidRPr="00882F11">
        <w:rPr>
          <w:rFonts w:cs="Guttman Drogolin" w:hint="cs"/>
          <w:rtl/>
          <w:lang w:bidi="he-IL"/>
        </w:rPr>
        <w:t xml:space="preserve"> בריית נשמה</w:t>
      </w:r>
      <w:r w:rsidR="00BA79D7" w:rsidRPr="00882F11">
        <w:rPr>
          <w:rFonts w:cs="Guttman Drogolin" w:hint="cs"/>
          <w:rtl/>
          <w:lang w:bidi="he-IL"/>
        </w:rPr>
        <w:t>,</w:t>
      </w:r>
      <w:r w:rsidR="000507E7" w:rsidRPr="00882F11">
        <w:rPr>
          <w:rFonts w:cs="Guttman Drogolin" w:hint="cs"/>
          <w:rtl/>
          <w:lang w:bidi="he-IL"/>
        </w:rPr>
        <w:t xml:space="preserve"> גם חיטה הי' נחשב ברי'. ויוצא שנחלקו הרשב"א והתוס' בזה, שלתוס' בעינן שאם יחלק אין שם האיסור עליו</w:t>
      </w:r>
      <w:r w:rsidR="00BA79D7" w:rsidRPr="00882F11">
        <w:rPr>
          <w:rFonts w:cs="Guttman Drogolin" w:hint="cs"/>
          <w:rtl/>
          <w:lang w:bidi="he-IL"/>
        </w:rPr>
        <w:t>, וכמו שהוכיח מן הגמ' דמס' שבועות וכנ"ל</w:t>
      </w:r>
      <w:r w:rsidR="000507E7" w:rsidRPr="00882F11">
        <w:rPr>
          <w:rFonts w:cs="Guttman Drogolin" w:hint="cs"/>
          <w:rtl/>
          <w:lang w:bidi="he-IL"/>
        </w:rPr>
        <w:t xml:space="preserve">. ולכן בחיטה, כיון </w:t>
      </w:r>
      <w:r w:rsidR="00BA79D7" w:rsidRPr="00882F11">
        <w:rPr>
          <w:rFonts w:cs="Guttman Drogolin" w:hint="cs"/>
          <w:rtl/>
          <w:lang w:bidi="he-IL"/>
        </w:rPr>
        <w:t>דליכא</w:t>
      </w:r>
      <w:r w:rsidR="000507E7" w:rsidRPr="00882F11">
        <w:rPr>
          <w:rFonts w:cs="Guttman Drogolin" w:hint="cs"/>
          <w:rtl/>
          <w:lang w:bidi="he-IL"/>
        </w:rPr>
        <w:t xml:space="preserve"> איסור </w:t>
      </w:r>
      <w:r w:rsidR="00BA79D7" w:rsidRPr="00882F11">
        <w:rPr>
          <w:rFonts w:cs="Guttman Drogolin" w:hint="cs"/>
          <w:rtl/>
          <w:lang w:bidi="he-IL"/>
        </w:rPr>
        <w:t>'</w:t>
      </w:r>
      <w:r w:rsidR="000507E7" w:rsidRPr="00882F11">
        <w:rPr>
          <w:rFonts w:cs="Guttman Drogolin" w:hint="cs"/>
          <w:rtl/>
          <w:lang w:bidi="he-IL"/>
        </w:rPr>
        <w:t>חיטה</w:t>
      </w:r>
      <w:r w:rsidR="00BA79D7" w:rsidRPr="00882F11">
        <w:rPr>
          <w:rFonts w:cs="Guttman Drogolin" w:hint="cs"/>
          <w:rtl/>
          <w:lang w:bidi="he-IL"/>
        </w:rPr>
        <w:t>'</w:t>
      </w:r>
      <w:r w:rsidR="000507E7" w:rsidRPr="00882F11">
        <w:rPr>
          <w:rFonts w:cs="Guttman Drogolin" w:hint="cs"/>
          <w:rtl/>
          <w:lang w:bidi="he-IL"/>
        </w:rPr>
        <w:t xml:space="preserve"> רק איסור טבל וכדומה לא הוי ברי'. אבל הרשב"א סבר שגם חיטה נחשב ברי' אע"פ שאין איסור חיטה כיון שמצד החפצא של החיטה אם יתחלק אין שמו עליו.</w:t>
      </w:r>
    </w:p>
    <w:p w:rsidR="00633F69" w:rsidRPr="00882F11" w:rsidRDefault="000507E7" w:rsidP="00BA79D7">
      <w:pPr>
        <w:bidi/>
        <w:jc w:val="both"/>
        <w:rPr>
          <w:rFonts w:cs="Guttman Drogolin"/>
          <w:rtl/>
          <w:lang w:bidi="he-IL"/>
        </w:rPr>
      </w:pPr>
      <w:r w:rsidRPr="00882F11">
        <w:rPr>
          <w:rFonts w:cs="Guttman Drogolin" w:hint="cs"/>
          <w:rtl/>
          <w:lang w:bidi="he-IL"/>
        </w:rPr>
        <w:t>וכל הנ"ל הוא בעיקר מה שנוגע לחיוב במי שאכל ברי' ולא אכל כזי</w:t>
      </w:r>
      <w:r w:rsidR="004F6F70" w:rsidRPr="00882F11">
        <w:rPr>
          <w:rFonts w:cs="Guttman Drogolin" w:hint="cs"/>
          <w:rtl/>
          <w:lang w:bidi="he-IL"/>
        </w:rPr>
        <w:t>ת. והראשונים השוו דין זה לדין המ</w:t>
      </w:r>
      <w:r w:rsidRPr="00882F11">
        <w:rPr>
          <w:rFonts w:cs="Guttman Drogolin" w:hint="cs"/>
          <w:rtl/>
          <w:lang w:bidi="he-IL"/>
        </w:rPr>
        <w:t xml:space="preserve">תבאר בסוגיין דברי' לא בטלה. ולשיטת רש"י וסייעתו לכאורה הדבר מובן היטב, שכל הענין שחייבין אברי' אפילו אם הוא פחות מכשיעור הוא </w:t>
      </w:r>
      <w:r w:rsidR="003D4659" w:rsidRPr="00882F11">
        <w:rPr>
          <w:rFonts w:cs="Guttman Drogolin" w:hint="cs"/>
          <w:rtl/>
          <w:lang w:bidi="he-IL"/>
        </w:rPr>
        <w:t xml:space="preserve">משום דחשיב, וכיון דחשיב יש גם טעם לומר שאינו בטל ברוב. אמנם לשיטת התוס' יש לדון, שהרי </w:t>
      </w:r>
      <w:r w:rsidR="00BA79D7" w:rsidRPr="00882F11">
        <w:rPr>
          <w:rFonts w:cs="Guttman Drogolin" w:hint="cs"/>
          <w:rtl/>
          <w:lang w:bidi="he-IL"/>
        </w:rPr>
        <w:t>החיוב מלקות בעבור זה ש</w:t>
      </w:r>
      <w:r w:rsidR="003D4659" w:rsidRPr="00882F11">
        <w:rPr>
          <w:rFonts w:cs="Guttman Drogolin" w:hint="cs"/>
          <w:rtl/>
          <w:lang w:bidi="he-IL"/>
        </w:rPr>
        <w:t xml:space="preserve">אכל </w:t>
      </w:r>
      <w:r w:rsidR="00ED528A" w:rsidRPr="00882F11">
        <w:rPr>
          <w:rFonts w:cs="Guttman Drogolin" w:hint="cs"/>
          <w:rtl/>
          <w:lang w:bidi="he-IL"/>
        </w:rPr>
        <w:t>את</w:t>
      </w:r>
      <w:r w:rsidR="003D4659" w:rsidRPr="00882F11">
        <w:rPr>
          <w:rFonts w:cs="Guttman Drogolin" w:hint="cs"/>
          <w:rtl/>
          <w:lang w:bidi="he-IL"/>
        </w:rPr>
        <w:t xml:space="preserve"> מה שאסרה הכתוב</w:t>
      </w:r>
      <w:r w:rsidR="00BA79D7" w:rsidRPr="00882F11">
        <w:rPr>
          <w:rFonts w:cs="Guttman Drogolin" w:hint="cs"/>
          <w:rtl/>
          <w:lang w:bidi="he-IL"/>
        </w:rPr>
        <w:t>,</w:t>
      </w:r>
      <w:r w:rsidR="003D4659" w:rsidRPr="00882F11">
        <w:rPr>
          <w:rFonts w:cs="Guttman Drogolin" w:hint="cs"/>
          <w:rtl/>
          <w:lang w:bidi="he-IL"/>
        </w:rPr>
        <w:t xml:space="preserve"> ומה זה שייך לדין ביטול. ו</w:t>
      </w:r>
      <w:r w:rsidR="00BA79D7" w:rsidRPr="00882F11">
        <w:rPr>
          <w:rFonts w:cs="Guttman Drogolin" w:hint="cs"/>
          <w:rtl/>
          <w:lang w:bidi="he-IL"/>
        </w:rPr>
        <w:t>לפי ביאור השני הנ"ל בשיטת התוס' נראה</w:t>
      </w:r>
      <w:r w:rsidR="003D4659" w:rsidRPr="00882F11">
        <w:rPr>
          <w:rFonts w:cs="Guttman Drogolin" w:hint="cs"/>
          <w:rtl/>
          <w:lang w:bidi="he-IL"/>
        </w:rPr>
        <w:t xml:space="preserve"> ל</w:t>
      </w:r>
      <w:r w:rsidR="00BA79D7" w:rsidRPr="00882F11">
        <w:rPr>
          <w:rFonts w:cs="Guttman Drogolin" w:hint="cs"/>
          <w:rtl/>
          <w:lang w:bidi="he-IL"/>
        </w:rPr>
        <w:t>באר דכמו שיש לו חשיבות לענין חיוב מלקות, הה"נ</w:t>
      </w:r>
      <w:r w:rsidR="003D4659" w:rsidRPr="00882F11">
        <w:rPr>
          <w:rFonts w:cs="Guttman Drogolin" w:hint="cs"/>
          <w:rtl/>
          <w:lang w:bidi="he-IL"/>
        </w:rPr>
        <w:t xml:space="preserve"> ש</w:t>
      </w:r>
      <w:r w:rsidR="00BA79D7" w:rsidRPr="00882F11">
        <w:rPr>
          <w:rFonts w:cs="Guttman Drogolin" w:hint="cs"/>
          <w:rtl/>
          <w:lang w:bidi="he-IL"/>
        </w:rPr>
        <w:t>יש לו</w:t>
      </w:r>
      <w:r w:rsidR="003D4659" w:rsidRPr="00882F11">
        <w:rPr>
          <w:rFonts w:cs="Guttman Drogolin" w:hint="cs"/>
          <w:rtl/>
          <w:lang w:bidi="he-IL"/>
        </w:rPr>
        <w:t xml:space="preserve"> חשיבות לענין ביטול</w:t>
      </w:r>
      <w:r w:rsidR="00BA79D7" w:rsidRPr="00882F11">
        <w:rPr>
          <w:rFonts w:cs="Guttman Drogolin" w:hint="cs"/>
          <w:rtl/>
          <w:lang w:bidi="he-IL"/>
        </w:rPr>
        <w:t>,</w:t>
      </w:r>
      <w:r w:rsidR="003D4659" w:rsidRPr="00882F11">
        <w:rPr>
          <w:rFonts w:cs="Guttman Drogolin" w:hint="cs"/>
          <w:rtl/>
          <w:lang w:bidi="he-IL"/>
        </w:rPr>
        <w:t xml:space="preserve"> ומשו"ה לא בטל. אבל עוד אפשר לומר שהטעם שאינו בטל אינו </w:t>
      </w:r>
      <w:r w:rsidR="003D4659" w:rsidRPr="00882F11">
        <w:rPr>
          <w:rFonts w:cs="Guttman Drogolin" w:hint="cs"/>
          <w:rtl/>
          <w:lang w:bidi="he-IL"/>
        </w:rPr>
        <w:lastRenderedPageBreak/>
        <w:t xml:space="preserve">משום </w:t>
      </w:r>
      <w:r w:rsidR="00633F69" w:rsidRPr="00882F11">
        <w:rPr>
          <w:rFonts w:cs="Guttman Drogolin" w:hint="cs"/>
          <w:rtl/>
          <w:lang w:bidi="he-IL"/>
        </w:rPr>
        <w:t xml:space="preserve">היותו ברי' </w:t>
      </w:r>
      <w:r w:rsidR="00BA79D7" w:rsidRPr="00882F11">
        <w:rPr>
          <w:rFonts w:cs="Guttman Drogolin" w:hint="cs"/>
          <w:rtl/>
          <w:lang w:bidi="he-IL"/>
        </w:rPr>
        <w:t xml:space="preserve">בעצם, </w:t>
      </w:r>
      <w:r w:rsidR="00633F69" w:rsidRPr="00882F11">
        <w:rPr>
          <w:rFonts w:cs="Guttman Drogolin" w:hint="cs"/>
          <w:rtl/>
          <w:lang w:bidi="he-IL"/>
        </w:rPr>
        <w:t xml:space="preserve">רק </w:t>
      </w:r>
      <w:r w:rsidR="00BA79D7" w:rsidRPr="00882F11">
        <w:rPr>
          <w:rFonts w:cs="Guttman Drogolin" w:hint="cs"/>
          <w:rtl/>
          <w:lang w:bidi="he-IL"/>
        </w:rPr>
        <w:t xml:space="preserve">זה שחייבין עליו מלקות נותן לו חשיבות לא להתבטל. </w:t>
      </w:r>
      <w:r w:rsidR="00633F69" w:rsidRPr="00882F11">
        <w:rPr>
          <w:rFonts w:cs="Guttman Drogolin" w:hint="cs"/>
          <w:rtl/>
          <w:lang w:bidi="he-IL"/>
        </w:rPr>
        <w:t>ויל"ע בזה</w:t>
      </w:r>
      <w:r w:rsidR="00140D50" w:rsidRPr="00882F11">
        <w:rPr>
          <w:rStyle w:val="FootnoteReference"/>
          <w:rFonts w:cs="Guttman Drogolin"/>
          <w:rtl/>
          <w:lang w:bidi="he-IL"/>
        </w:rPr>
        <w:footnoteReference w:id="70"/>
      </w:r>
      <w:r w:rsidR="00633F69" w:rsidRPr="00882F11">
        <w:rPr>
          <w:rFonts w:cs="Guttman Drogolin" w:hint="cs"/>
          <w:rtl/>
          <w:lang w:bidi="he-IL"/>
        </w:rPr>
        <w:t>.</w:t>
      </w:r>
    </w:p>
    <w:p w:rsidR="0089205D" w:rsidRPr="00882F11" w:rsidRDefault="00633F69" w:rsidP="001D3042">
      <w:pPr>
        <w:bidi/>
        <w:jc w:val="both"/>
        <w:rPr>
          <w:rFonts w:cs="Guttman Drogolin"/>
          <w:rtl/>
          <w:lang w:bidi="he-IL"/>
        </w:rPr>
      </w:pPr>
      <w:r w:rsidRPr="00882F11">
        <w:rPr>
          <w:rFonts w:cs="Guttman Drogolin" w:hint="cs"/>
          <w:rtl/>
          <w:lang w:bidi="he-IL"/>
        </w:rPr>
        <w:t>וב</w:t>
      </w:r>
      <w:r w:rsidR="00140D50" w:rsidRPr="00882F11">
        <w:rPr>
          <w:rFonts w:cs="Guttman Drogolin" w:hint="cs"/>
          <w:rtl/>
          <w:lang w:bidi="he-IL"/>
        </w:rPr>
        <w:t xml:space="preserve">ברכה אחרונה של </w:t>
      </w:r>
      <w:r w:rsidRPr="00882F11">
        <w:rPr>
          <w:rFonts w:cs="Guttman Drogolin" w:hint="cs"/>
          <w:rtl/>
          <w:lang w:bidi="he-IL"/>
        </w:rPr>
        <w:t>ב</w:t>
      </w:r>
      <w:r w:rsidR="00BA79D7" w:rsidRPr="00882F11">
        <w:rPr>
          <w:rFonts w:cs="Guttman Drogolin" w:hint="cs"/>
          <w:rtl/>
          <w:lang w:bidi="he-IL"/>
        </w:rPr>
        <w:t>ר</w:t>
      </w:r>
      <w:r w:rsidRPr="00882F11">
        <w:rPr>
          <w:rFonts w:cs="Guttman Drogolin" w:hint="cs"/>
          <w:rtl/>
          <w:lang w:bidi="he-IL"/>
        </w:rPr>
        <w:t>כ</w:t>
      </w:r>
      <w:r w:rsidR="00BA79D7" w:rsidRPr="00882F11">
        <w:rPr>
          <w:rFonts w:cs="Guttman Drogolin" w:hint="cs"/>
          <w:rtl/>
          <w:lang w:bidi="he-IL"/>
        </w:rPr>
        <w:t>ו</w:t>
      </w:r>
      <w:r w:rsidRPr="00882F11">
        <w:rPr>
          <w:rFonts w:cs="Guttman Drogolin" w:hint="cs"/>
          <w:rtl/>
          <w:lang w:bidi="he-IL"/>
        </w:rPr>
        <w:t xml:space="preserve">ת הנהנין מבואר בירושלמי שחייב בברכה אחרונה אפילו לא אכל כשיעור אם אכל ברי'. ותוס' במס' ברכות דף </w:t>
      </w:r>
      <w:r w:rsidR="00134F02" w:rsidRPr="00882F11">
        <w:rPr>
          <w:rFonts w:cs="Guttman Drogolin" w:hint="cs"/>
          <w:rtl/>
          <w:lang w:bidi="he-IL"/>
        </w:rPr>
        <w:t xml:space="preserve">ל"ט ע"א </w:t>
      </w:r>
      <w:r w:rsidR="004F6F70" w:rsidRPr="00882F11">
        <w:rPr>
          <w:rFonts w:cs="Guttman Drogolin" w:hint="cs"/>
          <w:rtl/>
          <w:lang w:bidi="he-IL"/>
        </w:rPr>
        <w:t xml:space="preserve">ד"ה </w:t>
      </w:r>
      <w:r w:rsidR="00134F02" w:rsidRPr="00882F11">
        <w:rPr>
          <w:rFonts w:cs="Guttman Drogolin" w:hint="cs"/>
          <w:rtl/>
          <w:lang w:bidi="he-IL"/>
        </w:rPr>
        <w:t xml:space="preserve">בצר לי' כתב שהירושלמי חולק על הבבלי </w:t>
      </w:r>
      <w:r w:rsidR="004F6F70" w:rsidRPr="00882F11">
        <w:rPr>
          <w:rFonts w:cs="Guttman Drogolin" w:hint="cs"/>
          <w:rtl/>
          <w:lang w:bidi="he-IL"/>
        </w:rPr>
        <w:t>ולעולם צריך שיעור. ולכאורה צ"ע ד</w:t>
      </w:r>
      <w:r w:rsidR="00134F02" w:rsidRPr="00882F11">
        <w:rPr>
          <w:rFonts w:cs="Guttman Drogolin" w:hint="cs"/>
          <w:rtl/>
          <w:lang w:bidi="he-IL"/>
        </w:rPr>
        <w:t>מא</w:t>
      </w:r>
      <w:r w:rsidR="004F6F70" w:rsidRPr="00882F11">
        <w:rPr>
          <w:rFonts w:cs="Guttman Drogolin" w:hint="cs"/>
          <w:rtl/>
          <w:lang w:bidi="he-IL"/>
        </w:rPr>
        <w:t>י</w:t>
      </w:r>
      <w:r w:rsidR="00134F02" w:rsidRPr="00882F11">
        <w:rPr>
          <w:rFonts w:cs="Guttman Drogolin" w:hint="cs"/>
          <w:rtl/>
          <w:lang w:bidi="he-IL"/>
        </w:rPr>
        <w:t xml:space="preserve"> שנא ממאכלות אסורות שחי</w:t>
      </w:r>
      <w:r w:rsidR="001D3042" w:rsidRPr="00882F11">
        <w:rPr>
          <w:rFonts w:cs="Guttman Drogolin" w:hint="cs"/>
          <w:rtl/>
          <w:lang w:bidi="he-IL"/>
        </w:rPr>
        <w:t>י</w:t>
      </w:r>
      <w:r w:rsidR="00134F02" w:rsidRPr="00882F11">
        <w:rPr>
          <w:rFonts w:cs="Guttman Drogolin" w:hint="cs"/>
          <w:rtl/>
          <w:lang w:bidi="he-IL"/>
        </w:rPr>
        <w:t xml:space="preserve">ב אברי'. וכן אפילו לירושלמי הדין ברי' אינו תלוי בבריית נשמה. וצ"ע מאי שנא ממאכלות אסורות. </w:t>
      </w:r>
      <w:r w:rsidR="001D3042" w:rsidRPr="00882F11">
        <w:rPr>
          <w:rFonts w:cs="Guttman Drogolin" w:hint="cs"/>
          <w:rtl/>
          <w:lang w:bidi="he-IL"/>
        </w:rPr>
        <w:t>ואין לומר</w:t>
      </w:r>
      <w:r w:rsidR="00134F02" w:rsidRPr="00882F11">
        <w:rPr>
          <w:rFonts w:cs="Guttman Drogolin" w:hint="cs"/>
          <w:rtl/>
          <w:lang w:bidi="he-IL"/>
        </w:rPr>
        <w:t xml:space="preserve"> </w:t>
      </w:r>
      <w:r w:rsidR="001D3042" w:rsidRPr="00882F11">
        <w:rPr>
          <w:rFonts w:cs="Guttman Drogolin" w:hint="cs"/>
          <w:rtl/>
          <w:lang w:bidi="he-IL"/>
        </w:rPr>
        <w:t xml:space="preserve">שלשיטת </w:t>
      </w:r>
      <w:r w:rsidR="00134F02" w:rsidRPr="00882F11">
        <w:rPr>
          <w:rFonts w:cs="Guttman Drogolin" w:hint="cs"/>
          <w:rtl/>
          <w:lang w:bidi="he-IL"/>
        </w:rPr>
        <w:t xml:space="preserve">התוס' שהוא בכלל מפרש, </w:t>
      </w:r>
      <w:r w:rsidR="001D3042" w:rsidRPr="00882F11">
        <w:rPr>
          <w:rFonts w:cs="Guttman Drogolin" w:hint="cs"/>
          <w:rtl/>
          <w:lang w:bidi="he-IL"/>
        </w:rPr>
        <w:t>דבר זה</w:t>
      </w:r>
      <w:r w:rsidR="00134F02" w:rsidRPr="00882F11">
        <w:rPr>
          <w:rFonts w:cs="Guttman Drogolin" w:hint="cs"/>
          <w:rtl/>
          <w:lang w:bidi="he-IL"/>
        </w:rPr>
        <w:t xml:space="preserve"> שייך רק במאכלות אסורות ולא בברכת הנהנין</w:t>
      </w:r>
      <w:r w:rsidR="001D3042" w:rsidRPr="00882F11">
        <w:rPr>
          <w:rFonts w:cs="Guttman Drogolin" w:hint="cs"/>
          <w:rtl/>
          <w:lang w:bidi="he-IL"/>
        </w:rPr>
        <w:t>, דהא גם לשיטתם יש לזה נפק"מ גם לענין ביטול</w:t>
      </w:r>
      <w:r w:rsidR="00134F02" w:rsidRPr="00882F11">
        <w:rPr>
          <w:rFonts w:cs="Guttman Drogolin" w:hint="cs"/>
          <w:rtl/>
          <w:lang w:bidi="he-IL"/>
        </w:rPr>
        <w:t xml:space="preserve">. </w:t>
      </w:r>
      <w:r w:rsidR="001D3042" w:rsidRPr="00882F11">
        <w:rPr>
          <w:rFonts w:cs="Guttman Drogolin" w:hint="cs"/>
          <w:rtl/>
          <w:lang w:bidi="he-IL"/>
        </w:rPr>
        <w:t>וא"כ מאי שנא ברכת הנהנין מיני'. כ"ש שקשה</w:t>
      </w:r>
      <w:r w:rsidR="00134F02" w:rsidRPr="00882F11">
        <w:rPr>
          <w:rFonts w:cs="Guttman Drogolin" w:hint="cs"/>
          <w:rtl/>
          <w:lang w:bidi="he-IL"/>
        </w:rPr>
        <w:t xml:space="preserve"> לרש"י ועוד דתלוי בחשוב למה חשוב הענין חיוב מלקות ולא לענין חיוב של ברכה אחרונה. ויל"ע בזה</w:t>
      </w:r>
      <w:r w:rsidR="00140D50" w:rsidRPr="00882F11">
        <w:rPr>
          <w:rStyle w:val="FootnoteReference"/>
          <w:rFonts w:cs="Guttman Drogolin"/>
          <w:rtl/>
          <w:lang w:bidi="he-IL"/>
        </w:rPr>
        <w:footnoteReference w:id="71"/>
      </w:r>
      <w:r w:rsidR="00134F02" w:rsidRPr="00882F11">
        <w:rPr>
          <w:rFonts w:cs="Guttman Drogolin" w:hint="cs"/>
          <w:rtl/>
          <w:lang w:bidi="he-IL"/>
        </w:rPr>
        <w:t xml:space="preserve">. </w:t>
      </w:r>
    </w:p>
    <w:p w:rsidR="0089205D" w:rsidRPr="00882F11" w:rsidRDefault="0089205D" w:rsidP="0078079C">
      <w:pPr>
        <w:pStyle w:val="Heading1"/>
        <w:bidi/>
        <w:spacing w:before="0" w:line="360" w:lineRule="auto"/>
        <w:jc w:val="center"/>
        <w:rPr>
          <w:rFonts w:cs="Guttman Drogolin"/>
          <w:color w:val="auto"/>
          <w:sz w:val="24"/>
          <w:szCs w:val="24"/>
          <w:u w:val="single"/>
          <w:rtl/>
          <w:lang w:bidi="he-IL"/>
        </w:rPr>
      </w:pPr>
      <w:bookmarkStart w:id="57" w:name="_Toc496175320"/>
      <w:r w:rsidRPr="00882F11">
        <w:rPr>
          <w:rFonts w:cs="Guttman Drogolin" w:hint="cs"/>
          <w:color w:val="auto"/>
          <w:sz w:val="24"/>
          <w:szCs w:val="24"/>
          <w:u w:val="single"/>
          <w:rtl/>
          <w:lang w:bidi="he-IL"/>
        </w:rPr>
        <w:t>כמה הערות בדין ברי'</w:t>
      </w:r>
      <w:bookmarkEnd w:id="57"/>
    </w:p>
    <w:p w:rsidR="0089205D" w:rsidRPr="00882F11" w:rsidRDefault="00707592" w:rsidP="0089205D">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ביטול יבש ביבש</w:instrText>
      </w:r>
      <w:r w:rsidRPr="00882F11">
        <w:rPr>
          <w:rFonts w:cs="Guttman Drogolin"/>
          <w:rtl/>
        </w:rPr>
        <w:instrText>:</w:instrText>
      </w:r>
      <w:r w:rsidRPr="00882F11">
        <w:rPr>
          <w:rFonts w:cs="Guttman Drogolin" w:hint="cs"/>
          <w:rtl/>
          <w:lang w:bidi="he-IL"/>
        </w:rPr>
        <w:instrText>היכא שאין האיסור ניכר אלא בעיון היטב</w:instrText>
      </w:r>
      <w:r w:rsidRPr="00882F11">
        <w:rPr>
          <w:rFonts w:cs="Guttman Drogolin"/>
        </w:rPr>
        <w:instrText xml:space="preserve">" </w:instrText>
      </w:r>
      <w:r w:rsidRPr="00882F11">
        <w:rPr>
          <w:rFonts w:cs="Guttman Drogolin"/>
          <w:rtl/>
          <w:lang w:bidi="he-IL"/>
        </w:rPr>
        <w:fldChar w:fldCharType="end"/>
      </w:r>
      <w:r w:rsidR="0089205D" w:rsidRPr="00882F11">
        <w:rPr>
          <w:rFonts w:cs="Guttman Drogolin" w:hint="cs"/>
          <w:rtl/>
          <w:lang w:bidi="he-IL"/>
        </w:rPr>
        <w:t>והנה יל"ע היכי משכחת לה לדין ביטול בברי'. דבשלמא בגידין הדבר מובן היטב, שמדובר בהתערב בגידין אחרים המותרים ואינו מכיר איז</w:t>
      </w:r>
      <w:r w:rsidR="00CD655B" w:rsidRPr="00882F11">
        <w:rPr>
          <w:rFonts w:cs="Guttman Drogolin" w:hint="cs"/>
          <w:rtl/>
          <w:lang w:bidi="he-IL"/>
        </w:rPr>
        <w:t>ה הוא הגיד הנשה. אבל בעוף טמא ש</w:t>
      </w:r>
      <w:r w:rsidR="0089205D" w:rsidRPr="00882F11">
        <w:rPr>
          <w:rFonts w:cs="Guttman Drogolin" w:hint="cs"/>
          <w:rtl/>
          <w:lang w:bidi="he-IL"/>
        </w:rPr>
        <w:t>מבואר בשו"ע שהוא ג"כ בכלל ברי</w:t>
      </w:r>
      <w:r w:rsidR="00CD655B" w:rsidRPr="00882F11">
        <w:rPr>
          <w:rFonts w:cs="Guttman Drogolin" w:hint="cs"/>
          <w:rtl/>
          <w:lang w:bidi="he-IL"/>
        </w:rPr>
        <w:t>'</w:t>
      </w:r>
      <w:r w:rsidR="0089205D" w:rsidRPr="00882F11">
        <w:rPr>
          <w:rFonts w:cs="Guttman Drogolin" w:hint="cs"/>
          <w:rtl/>
          <w:lang w:bidi="he-IL"/>
        </w:rPr>
        <w:t xml:space="preserve"> שאינו בטל היכי משכחת לה שהוא דבר שלם ואינו ניכר, שאם אינו שלם הא אינו ברי', וכמו שהבאנו לעיל ממס' מכות דף ט"ז ע"ב. ואם הוא ניכר פשיטא דלא בטלה ולא בעינן לי' לטעם של ברי'. וכן צ"ע בביצת אפרוח, דאיך ידע אם יש שם אפרוח אא"כ בדקו, ואם בדקו הרי אפשר להכירו ולמה בעינן לי' לחומרא של ברי'. </w:t>
      </w:r>
      <w:r w:rsidR="00CD655B" w:rsidRPr="00882F11">
        <w:rPr>
          <w:rFonts w:cs="Guttman Drogolin" w:hint="cs"/>
          <w:rtl/>
          <w:lang w:bidi="he-IL"/>
        </w:rPr>
        <w:t>וע' מזה בכרו"פ ס"ק ד'.</w:t>
      </w:r>
    </w:p>
    <w:p w:rsidR="0089205D" w:rsidRPr="00882F11" w:rsidRDefault="0089205D" w:rsidP="004F6F70">
      <w:pPr>
        <w:bidi/>
        <w:jc w:val="both"/>
        <w:rPr>
          <w:rFonts w:cs="Guttman Drogolin"/>
          <w:rtl/>
          <w:lang w:bidi="he-IL"/>
        </w:rPr>
      </w:pPr>
      <w:r w:rsidRPr="00882F11">
        <w:rPr>
          <w:rFonts w:cs="Guttman Drogolin" w:hint="cs"/>
          <w:rtl/>
          <w:lang w:bidi="he-IL"/>
        </w:rPr>
        <w:t xml:space="preserve">ובערוך השולחן כתב שדבר שאינו ניכר אלא ע"י עיון היטב אין לו דין שיכול להכירו, ולכן עדיין הוא בביטולו אלמלא הדין של ברי'. ולדידי' הכל ניחא. אבל יש פוסקים שנוקטים אחרת, שבחכמ"א ריש כלל נ"א </w:t>
      </w:r>
      <w:r w:rsidR="002D6198" w:rsidRPr="00882F11">
        <w:rPr>
          <w:rFonts w:cs="Guttman Drogolin" w:hint="cs"/>
          <w:rtl/>
          <w:lang w:bidi="he-IL"/>
        </w:rPr>
        <w:t xml:space="preserve">וכן בחזו"א יו"ד סי' כ"ד ס"ק ח' </w:t>
      </w:r>
      <w:r w:rsidR="002D6198" w:rsidRPr="00882F11">
        <w:rPr>
          <w:rFonts w:cs="Guttman Drogolin" w:hint="cs"/>
          <w:rtl/>
          <w:lang w:bidi="he-IL"/>
        </w:rPr>
        <w:lastRenderedPageBreak/>
        <w:t>לכאורה מבואר שגם כה"ג חשוב ניכר. ולדידהן עדיין תיקשי</w:t>
      </w:r>
      <w:r w:rsidR="00CD655B" w:rsidRPr="00882F11">
        <w:rPr>
          <w:rFonts w:cs="Guttman Drogolin" w:hint="cs"/>
          <w:rtl/>
          <w:lang w:bidi="he-IL"/>
        </w:rPr>
        <w:t>.</w:t>
      </w:r>
      <w:r w:rsidR="002D6198" w:rsidRPr="00882F11">
        <w:rPr>
          <w:rFonts w:cs="Guttman Drogolin" w:hint="cs"/>
          <w:rtl/>
          <w:lang w:bidi="he-IL"/>
        </w:rPr>
        <w:t xml:space="preserve"> ואציין שבס' בדיקת המזון בכהלכתו (עמ' 135) הביא בשמי הגשרז"א והגריש"א זצ"ל שאפשר להקל כ</w:t>
      </w:r>
      <w:r w:rsidR="004F6F70" w:rsidRPr="00882F11">
        <w:rPr>
          <w:rFonts w:cs="Guttman Drogolin" w:hint="cs"/>
          <w:rtl/>
          <w:lang w:bidi="he-IL"/>
        </w:rPr>
        <w:t>ש</w:t>
      </w:r>
      <w:r w:rsidR="002D6198" w:rsidRPr="00882F11">
        <w:rPr>
          <w:rFonts w:cs="Guttman Drogolin" w:hint="cs"/>
          <w:rtl/>
          <w:lang w:bidi="he-IL"/>
        </w:rPr>
        <w:t>יטת הערוך השולחן, ולכן בדבר שאינו ברי' אבל ניכר אם יעיין היטב הרי הוא בטל.</w:t>
      </w:r>
      <w:r w:rsidRPr="00882F11">
        <w:rPr>
          <w:rFonts w:cs="Guttman Drogolin" w:hint="cs"/>
          <w:rtl/>
          <w:lang w:bidi="he-IL"/>
        </w:rPr>
        <w:t xml:space="preserve">    </w:t>
      </w:r>
    </w:p>
    <w:p w:rsidR="00570BF1" w:rsidRPr="00882F11" w:rsidRDefault="0089205D" w:rsidP="004F6F70">
      <w:pPr>
        <w:bidi/>
        <w:jc w:val="both"/>
        <w:rPr>
          <w:rFonts w:cs="Guttman Drogolin"/>
          <w:lang w:bidi="he-IL"/>
        </w:rPr>
      </w:pPr>
      <w:r w:rsidRPr="00882F11">
        <w:rPr>
          <w:rFonts w:cs="Guttman Drogolin" w:hint="cs"/>
          <w:rtl/>
          <w:lang w:bidi="he-IL"/>
        </w:rPr>
        <w:t xml:space="preserve">עוד יל"ע דהנה הבאנו לעיל שבמס' מכות דף ט"ז ע"ב מבואר דליכא דין ברי' אא"כ האיסור הוא שלם, אבל אם חילקו אותו לחלקים, אע"פ שאכל את כל החלקים אינו עובר. </w:t>
      </w:r>
      <w:r w:rsidR="00510D61" w:rsidRPr="00882F11">
        <w:rPr>
          <w:rFonts w:cs="Guttman Drogolin" w:hint="cs"/>
          <w:rtl/>
          <w:lang w:bidi="he-IL"/>
        </w:rPr>
        <w:t xml:space="preserve">וא"כ לכאורה צ"ע שהיכי משכחת לה חיובא אברי' שאין בו כזית, הא מיד בשעת לעיסה אינו שלם וששוב לא הוי ברי'. ולא מסתבר לומר שהכל מיירי כשתחבו לו הברי' בבית הבליעה. </w:t>
      </w:r>
      <w:r w:rsidRPr="00882F11">
        <w:rPr>
          <w:rFonts w:cs="Guttman Drogolin" w:hint="cs"/>
          <w:rtl/>
          <w:lang w:bidi="he-IL"/>
        </w:rPr>
        <w:t xml:space="preserve">והנה </w:t>
      </w:r>
      <w:r w:rsidR="002D6198" w:rsidRPr="00882F11">
        <w:rPr>
          <w:rFonts w:cs="Guttman Drogolin" w:hint="cs"/>
          <w:rtl/>
          <w:lang w:bidi="he-IL"/>
        </w:rPr>
        <w:t xml:space="preserve">בדין ברי' </w:t>
      </w:r>
      <w:r w:rsidR="00CD655B" w:rsidRPr="00882F11">
        <w:rPr>
          <w:rFonts w:cs="Guttman Drogolin" w:hint="cs"/>
          <w:rtl/>
          <w:lang w:bidi="he-IL"/>
        </w:rPr>
        <w:t xml:space="preserve">לגבי מלקות </w:t>
      </w:r>
      <w:r w:rsidR="002D6198" w:rsidRPr="00882F11">
        <w:rPr>
          <w:rFonts w:cs="Guttman Drogolin" w:hint="cs"/>
          <w:rtl/>
          <w:lang w:bidi="he-IL"/>
        </w:rPr>
        <w:t>מבואר ב</w:t>
      </w:r>
      <w:r w:rsidRPr="00882F11">
        <w:rPr>
          <w:rFonts w:cs="Guttman Drogolin" w:hint="cs"/>
          <w:rtl/>
          <w:lang w:bidi="he-IL"/>
        </w:rPr>
        <w:t xml:space="preserve">מס' חולין דף ק"ג </w:t>
      </w:r>
      <w:r w:rsidR="002D6198" w:rsidRPr="00882F11">
        <w:rPr>
          <w:rFonts w:cs="Guttman Drogolin" w:hint="cs"/>
          <w:rtl/>
          <w:lang w:bidi="he-IL"/>
        </w:rPr>
        <w:t xml:space="preserve">ע"ב </w:t>
      </w:r>
      <w:r w:rsidR="00510D61" w:rsidRPr="00882F11">
        <w:rPr>
          <w:rFonts w:cs="Guttman Drogolin" w:hint="cs"/>
          <w:rtl/>
          <w:lang w:bidi="he-IL"/>
        </w:rPr>
        <w:t xml:space="preserve">לדעת התוס' שם שאם נחלק בפיו עדיין חשוב ברי' להתחייב עליו כיון שהדרך הוא שנחלק לשתים בשעת לעיסה. אבל עדיין יל"ע לענין זה שיהי' בטל, דהא מיד שלעסו שוב אין לו חשיבות ברי', ומיד יהא בטל ומותר לאכלו. וכי תימא דהא אין מבטלין איסור לכתחילה, הא </w:t>
      </w:r>
      <w:r w:rsidR="005732B7" w:rsidRPr="00882F11">
        <w:rPr>
          <w:rFonts w:cs="Guttman Drogolin" w:hint="cs"/>
          <w:rtl/>
          <w:lang w:bidi="he-IL"/>
        </w:rPr>
        <w:t>יש כמה ראשונים ופוסקים הנ</w:t>
      </w:r>
      <w:r w:rsidR="00CD655B" w:rsidRPr="00882F11">
        <w:rPr>
          <w:rFonts w:cs="Guttman Drogolin" w:hint="cs"/>
          <w:rtl/>
          <w:lang w:bidi="he-IL"/>
        </w:rPr>
        <w:t>ו</w:t>
      </w:r>
      <w:r w:rsidR="005732B7" w:rsidRPr="00882F11">
        <w:rPr>
          <w:rFonts w:cs="Guttman Drogolin" w:hint="cs"/>
          <w:rtl/>
          <w:lang w:bidi="he-IL"/>
        </w:rPr>
        <w:t>קטים שאם אינו מכוין לבטל אינו אסור מדין אין מ</w:t>
      </w:r>
      <w:r w:rsidR="004F6F70" w:rsidRPr="00882F11">
        <w:rPr>
          <w:rFonts w:cs="Guttman Drogolin" w:hint="cs"/>
          <w:rtl/>
          <w:lang w:bidi="he-IL"/>
        </w:rPr>
        <w:t>ב</w:t>
      </w:r>
      <w:r w:rsidR="005732B7" w:rsidRPr="00882F11">
        <w:rPr>
          <w:rFonts w:cs="Guttman Drogolin" w:hint="cs"/>
          <w:rtl/>
          <w:lang w:bidi="he-IL"/>
        </w:rPr>
        <w:t>טלין איסור לכתחילה. ולכן כיון דהכא אין כוונתו לבטלו רק לאכלו למה יהא אסור. וראיתי במג</w:t>
      </w:r>
      <w:r w:rsidR="00B33E7F" w:rsidRPr="00882F11">
        <w:rPr>
          <w:rFonts w:cs="Guttman Drogolin" w:hint="cs"/>
          <w:rtl/>
          <w:lang w:bidi="he-IL"/>
        </w:rPr>
        <w:t>י</w:t>
      </w:r>
      <w:r w:rsidR="005732B7" w:rsidRPr="00882F11">
        <w:rPr>
          <w:rFonts w:cs="Guttman Drogolin" w:hint="cs"/>
          <w:rtl/>
          <w:lang w:bidi="he-IL"/>
        </w:rPr>
        <w:t>לת ספר שציין לשו"ת רע"א שהקשה למה בתערובת של בעל חי לא יהא בטל, הא מיד כשישחוט לא יהי' ברי', ומותר לשחו</w:t>
      </w:r>
      <w:r w:rsidR="004F6F70" w:rsidRPr="00882F11">
        <w:rPr>
          <w:rFonts w:cs="Guttman Drogolin" w:hint="cs"/>
          <w:rtl/>
          <w:lang w:bidi="he-IL"/>
        </w:rPr>
        <w:t>ט</w:t>
      </w:r>
      <w:r w:rsidR="005732B7" w:rsidRPr="00882F11">
        <w:rPr>
          <w:rFonts w:cs="Guttman Drogolin" w:hint="cs"/>
          <w:rtl/>
          <w:lang w:bidi="he-IL"/>
        </w:rPr>
        <w:t xml:space="preserve"> כיון שאינו מתכוין לבטל וכנ"ל. ותי' רע"א </w:t>
      </w:r>
      <w:r w:rsidR="00716CB3" w:rsidRPr="00882F11">
        <w:rPr>
          <w:rFonts w:cs="Guttman Drogolin" w:hint="cs"/>
          <w:rtl/>
          <w:lang w:bidi="he-IL"/>
        </w:rPr>
        <w:t>שבבעלי חי אי אפשר לומר שהוא מתעסק בהיתר ודרך אגב הוא מתבטל, דהא מעיקרא הכל אסור ואין לו מה לשחוט. ולא אמרו שמות</w:t>
      </w:r>
      <w:r w:rsidR="004F6F70" w:rsidRPr="00882F11">
        <w:rPr>
          <w:rFonts w:cs="Guttman Drogolin" w:hint="cs"/>
          <w:rtl/>
          <w:lang w:bidi="he-IL"/>
        </w:rPr>
        <w:t>ר</w:t>
      </w:r>
      <w:r w:rsidR="00716CB3" w:rsidRPr="00882F11">
        <w:rPr>
          <w:rFonts w:cs="Guttman Drogolin" w:hint="cs"/>
          <w:rtl/>
          <w:lang w:bidi="he-IL"/>
        </w:rPr>
        <w:t xml:space="preserve"> כשאינו מתכוין אלא שהאיסור ניכר לעצמו ולכן אינו עושה מעשיו אלא להיתר. ובזה יהא מובן הא דאסור לאכול את הברי' ולסמוך על זה שיהא בטל בשעת לעיסתו. וע"ש מש"כ בדעת החזו"א בזה.</w:t>
      </w:r>
      <w:r w:rsidR="00510D61" w:rsidRPr="00882F11">
        <w:rPr>
          <w:rFonts w:cs="Guttman Drogolin" w:hint="cs"/>
          <w:rtl/>
          <w:lang w:bidi="he-IL"/>
        </w:rPr>
        <w:t xml:space="preserve"> </w:t>
      </w:r>
      <w:r w:rsidR="00633F69" w:rsidRPr="00882F11">
        <w:rPr>
          <w:rFonts w:cs="Guttman Drogolin" w:hint="cs"/>
          <w:rtl/>
          <w:lang w:bidi="he-IL"/>
        </w:rPr>
        <w:t xml:space="preserve"> </w:t>
      </w:r>
      <w:r w:rsidR="00356A7B" w:rsidRPr="00882F11">
        <w:rPr>
          <w:rFonts w:cs="Guttman Drogolin" w:hint="cs"/>
          <w:rtl/>
          <w:lang w:bidi="he-IL"/>
        </w:rPr>
        <w:t xml:space="preserve"> </w:t>
      </w:r>
    </w:p>
    <w:p w:rsidR="00AB5FA1" w:rsidRPr="00882F11" w:rsidRDefault="00AB5FA1" w:rsidP="00AB5FA1">
      <w:pPr>
        <w:bidi/>
        <w:jc w:val="both"/>
        <w:rPr>
          <w:rFonts w:cs="Guttman Drogolin"/>
          <w:rtl/>
          <w:lang w:bidi="he-IL"/>
        </w:rPr>
        <w:sectPr w:rsidR="00AB5FA1" w:rsidRPr="00882F11" w:rsidSect="00102811">
          <w:type w:val="continuous"/>
          <w:pgSz w:w="11907" w:h="16839" w:code="9"/>
          <w:pgMar w:top="1440" w:right="1440" w:bottom="1440" w:left="1440" w:header="720" w:footer="720" w:gutter="0"/>
          <w:cols w:num="2" w:space="720"/>
          <w:bidi/>
          <w:docGrid w:linePitch="360"/>
        </w:sectPr>
      </w:pPr>
    </w:p>
    <w:p w:rsidR="00AB5FA1" w:rsidRPr="00882F11" w:rsidRDefault="00AB5FA1" w:rsidP="00F21055">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ט"</w:t>
      </w:r>
      <w:r w:rsidR="00F21055" w:rsidRPr="00882F11">
        <w:rPr>
          <w:rFonts w:cs="Guttman Drogolin" w:hint="cs"/>
          <w:b/>
          <w:bCs/>
          <w:sz w:val="48"/>
          <w:szCs w:val="48"/>
          <w:rtl/>
          <w:lang w:bidi="he-IL"/>
        </w:rPr>
        <w:t>ו</w:t>
      </w:r>
    </w:p>
    <w:p w:rsidR="000F6DEF" w:rsidRDefault="000F6DEF" w:rsidP="0078079C">
      <w:pPr>
        <w:pStyle w:val="Heading1"/>
        <w:bidi/>
        <w:spacing w:before="0" w:line="360" w:lineRule="auto"/>
        <w:jc w:val="center"/>
        <w:rPr>
          <w:rFonts w:cs="Guttman Drogolin"/>
          <w:color w:val="auto"/>
          <w:sz w:val="24"/>
          <w:szCs w:val="24"/>
          <w:u w:val="single"/>
          <w:rtl/>
          <w:lang w:bidi="he-IL"/>
        </w:rPr>
        <w:sectPr w:rsidR="000F6DEF" w:rsidSect="000F6DEF">
          <w:pgSz w:w="11907" w:h="16839" w:code="9"/>
          <w:pgMar w:top="1440" w:right="1440" w:bottom="1440" w:left="1440" w:header="720" w:footer="720" w:gutter="0"/>
          <w:cols w:space="720"/>
          <w:bidi/>
          <w:docGrid w:linePitch="360"/>
        </w:sectPr>
      </w:pPr>
    </w:p>
    <w:p w:rsidR="00AB5FA1" w:rsidRPr="00882F11" w:rsidRDefault="00AB5FA1" w:rsidP="0078079C">
      <w:pPr>
        <w:pStyle w:val="Heading1"/>
        <w:bidi/>
        <w:spacing w:before="0" w:line="360" w:lineRule="auto"/>
        <w:jc w:val="center"/>
        <w:rPr>
          <w:rFonts w:cs="Guttman Drogolin"/>
          <w:color w:val="auto"/>
          <w:sz w:val="24"/>
          <w:szCs w:val="24"/>
          <w:u w:val="single"/>
          <w:rtl/>
          <w:lang w:bidi="he-IL"/>
        </w:rPr>
      </w:pPr>
      <w:bookmarkStart w:id="58" w:name="_Toc496175321"/>
      <w:r w:rsidRPr="00882F11">
        <w:rPr>
          <w:rFonts w:cs="Guttman Drogolin" w:hint="cs"/>
          <w:color w:val="auto"/>
          <w:sz w:val="24"/>
          <w:szCs w:val="24"/>
          <w:u w:val="single"/>
          <w:rtl/>
          <w:lang w:bidi="he-IL"/>
        </w:rPr>
        <w:lastRenderedPageBreak/>
        <w:t>בדברי הראשונים אי ביצה הוי ברי'</w:t>
      </w:r>
      <w:bookmarkEnd w:id="58"/>
    </w:p>
    <w:p w:rsidR="00AB5FA1" w:rsidRPr="00882F11" w:rsidRDefault="00707592" w:rsidP="00CC240D">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ברי'</w:instrText>
      </w:r>
      <w:r w:rsidRPr="00882F11">
        <w:rPr>
          <w:rFonts w:cs="Guttman Drogolin"/>
          <w:rtl/>
        </w:rPr>
        <w:instrText>:</w:instrText>
      </w:r>
      <w:r w:rsidRPr="00882F11">
        <w:rPr>
          <w:rFonts w:cs="Guttman Drogolin" w:hint="cs"/>
          <w:rtl/>
          <w:lang w:bidi="he-IL"/>
        </w:rPr>
        <w:instrText>אם ביצה הוי ברי'</w:instrText>
      </w:r>
      <w:r w:rsidRPr="00882F11">
        <w:rPr>
          <w:rFonts w:cs="Guttman Drogolin"/>
        </w:rPr>
        <w:instrText xml:space="preserve">" </w:instrText>
      </w:r>
      <w:r w:rsidRPr="00882F11">
        <w:rPr>
          <w:rFonts w:cs="Guttman Drogolin"/>
          <w:rtl/>
          <w:lang w:bidi="he-IL"/>
        </w:rPr>
        <w:fldChar w:fldCharType="end"/>
      </w:r>
      <w:r w:rsidR="00AB5FA1" w:rsidRPr="00882F11">
        <w:rPr>
          <w:rFonts w:cs="Guttman Drogolin" w:hint="cs"/>
          <w:rtl/>
          <w:lang w:bidi="he-IL"/>
        </w:rPr>
        <w:t xml:space="preserve">לעיל בדף צ"ז ע"ב שאלה הגמ' שאם הדין </w:t>
      </w:r>
      <w:r w:rsidR="00CC240D" w:rsidRPr="00882F11">
        <w:rPr>
          <w:rFonts w:cs="Guttman Drogolin" w:hint="cs"/>
          <w:rtl/>
          <w:lang w:bidi="he-IL"/>
        </w:rPr>
        <w:t xml:space="preserve">נותן להצריך ס' </w:t>
      </w:r>
      <w:r w:rsidR="00AB5FA1" w:rsidRPr="00882F11">
        <w:rPr>
          <w:rFonts w:cs="Guttman Drogolin" w:hint="cs"/>
          <w:rtl/>
          <w:lang w:bidi="he-IL"/>
        </w:rPr>
        <w:t>בביטו</w:t>
      </w:r>
      <w:r w:rsidR="00CC240D" w:rsidRPr="00882F11">
        <w:rPr>
          <w:rFonts w:cs="Guttman Drogolin" w:hint="cs"/>
          <w:rtl/>
          <w:lang w:bidi="he-IL"/>
        </w:rPr>
        <w:t>ל</w:t>
      </w:r>
      <w:r w:rsidR="00AB5FA1" w:rsidRPr="00882F11">
        <w:rPr>
          <w:rFonts w:cs="Guttman Drogolin" w:hint="cs"/>
          <w:rtl/>
          <w:lang w:bidi="he-IL"/>
        </w:rPr>
        <w:t xml:space="preserve"> ביצת איסור</w:t>
      </w:r>
      <w:r w:rsidR="00CC240D" w:rsidRPr="00882F11">
        <w:rPr>
          <w:rFonts w:cs="Guttman Drogolin" w:hint="cs"/>
          <w:rtl/>
          <w:lang w:bidi="he-IL"/>
        </w:rPr>
        <w:t>,</w:t>
      </w:r>
      <w:r w:rsidR="00AB5FA1" w:rsidRPr="00882F11">
        <w:rPr>
          <w:rFonts w:cs="Guttman Drogolin" w:hint="cs"/>
          <w:rtl/>
          <w:lang w:bidi="he-IL"/>
        </w:rPr>
        <w:t xml:space="preserve"> </w:t>
      </w:r>
      <w:r w:rsidR="00CC240D" w:rsidRPr="00882F11">
        <w:rPr>
          <w:rFonts w:cs="Guttman Drogolin" w:hint="cs"/>
          <w:rtl/>
          <w:lang w:bidi="he-IL"/>
        </w:rPr>
        <w:t>מוכח</w:t>
      </w:r>
      <w:r w:rsidR="00AB5FA1" w:rsidRPr="00882F11">
        <w:rPr>
          <w:rFonts w:cs="Guttman Drogolin" w:hint="cs"/>
          <w:rtl/>
          <w:lang w:bidi="he-IL"/>
        </w:rPr>
        <w:t xml:space="preserve"> ע"כ </w:t>
      </w:r>
      <w:r w:rsidR="00CC240D" w:rsidRPr="00882F11">
        <w:rPr>
          <w:rFonts w:cs="Guttman Drogolin" w:hint="cs"/>
          <w:rtl/>
          <w:lang w:bidi="he-IL"/>
        </w:rPr>
        <w:t xml:space="preserve">שהביצה </w:t>
      </w:r>
      <w:r w:rsidR="00AB5FA1" w:rsidRPr="00882F11">
        <w:rPr>
          <w:rFonts w:cs="Guttman Drogolin" w:hint="cs"/>
          <w:rtl/>
          <w:lang w:bidi="he-IL"/>
        </w:rPr>
        <w:t>נות</w:t>
      </w:r>
      <w:r w:rsidR="00CC240D" w:rsidRPr="00882F11">
        <w:rPr>
          <w:rFonts w:cs="Guttman Drogolin" w:hint="cs"/>
          <w:rtl/>
          <w:lang w:bidi="he-IL"/>
        </w:rPr>
        <w:t>נת</w:t>
      </w:r>
      <w:r w:rsidR="00AB5FA1" w:rsidRPr="00882F11">
        <w:rPr>
          <w:rFonts w:cs="Guttman Drogolin" w:hint="cs"/>
          <w:rtl/>
          <w:lang w:bidi="he-IL"/>
        </w:rPr>
        <w:t xml:space="preserve"> טעם, והגמ' והראשונים מפלפלים אם זה באמת נכון שנותן טעם או לא. והרמב"ן שם הביא מן הראב"ד</w:t>
      </w:r>
      <w:r w:rsidR="00CC240D" w:rsidRPr="00882F11">
        <w:rPr>
          <w:rFonts w:cs="Guttman Drogolin" w:hint="cs"/>
          <w:rtl/>
          <w:lang w:bidi="he-IL"/>
        </w:rPr>
        <w:t xml:space="preserve"> שהקשה מהו הוכחת הגמ' שביצה נות</w:t>
      </w:r>
      <w:r w:rsidR="00AB5FA1" w:rsidRPr="00882F11">
        <w:rPr>
          <w:rFonts w:cs="Guttman Drogolin" w:hint="cs"/>
          <w:rtl/>
          <w:lang w:bidi="he-IL"/>
        </w:rPr>
        <w:t>ן טעם מהא דצריך ששים, הא י"ל שהטעם שצריכים ששים הוא משום שצריכים לבטל הביצה עצמה בששים ביצים מדין ביטול יבש ביבש. ותי' שביצה עצמה אינו בטל אפילו בששי</w:t>
      </w:r>
      <w:r w:rsidR="001F29A6" w:rsidRPr="00882F11">
        <w:rPr>
          <w:rFonts w:cs="Guttman Drogolin" w:hint="cs"/>
          <w:rtl/>
          <w:lang w:bidi="he-IL"/>
        </w:rPr>
        <w:t>ם</w:t>
      </w:r>
      <w:r w:rsidR="00AB5FA1" w:rsidRPr="00882F11">
        <w:rPr>
          <w:rFonts w:cs="Guttman Drogolin" w:hint="cs"/>
          <w:rtl/>
          <w:lang w:bidi="he-IL"/>
        </w:rPr>
        <w:t xml:space="preserve"> כיון דהוי ברי'. </w:t>
      </w:r>
      <w:r w:rsidR="001F29A6" w:rsidRPr="00882F11">
        <w:rPr>
          <w:rFonts w:cs="Guttman Drogolin" w:hint="cs"/>
          <w:rtl/>
          <w:lang w:bidi="he-IL"/>
        </w:rPr>
        <w:t xml:space="preserve">ודקדק הרמב"ן מקושית הראב"ד דע"כ סבירא לי' שגם ביבש ביבש צריכים ששים. </w:t>
      </w:r>
    </w:p>
    <w:p w:rsidR="00434E58" w:rsidRPr="00882F11" w:rsidRDefault="001F29A6" w:rsidP="00434E58">
      <w:pPr>
        <w:bidi/>
        <w:jc w:val="both"/>
        <w:rPr>
          <w:rFonts w:cs="Guttman Drogolin"/>
          <w:rtl/>
          <w:lang w:bidi="he-IL"/>
        </w:rPr>
      </w:pPr>
      <w:r w:rsidRPr="00882F11">
        <w:rPr>
          <w:rFonts w:cs="Guttman Drogolin" w:hint="cs"/>
          <w:rtl/>
          <w:lang w:bidi="he-IL"/>
        </w:rPr>
        <w:t>ומ"מ הקשה הרמב"ן על זה שהחשיב הביצה כברי', דהא במס' מכות מבואר שרק בריית נ</w:t>
      </w:r>
      <w:r w:rsidR="00A60D80" w:rsidRPr="00882F11">
        <w:rPr>
          <w:rFonts w:cs="Guttman Drogolin" w:hint="cs"/>
          <w:rtl/>
          <w:lang w:bidi="he-IL"/>
        </w:rPr>
        <w:t>שמה חשיבה ברי', וביצה אינה בריי</w:t>
      </w:r>
      <w:r w:rsidRPr="00882F11">
        <w:rPr>
          <w:rFonts w:cs="Guttman Drogolin" w:hint="cs"/>
          <w:rtl/>
          <w:lang w:bidi="he-IL"/>
        </w:rPr>
        <w:t>ת נשמה</w:t>
      </w:r>
      <w:r w:rsidR="004F4625" w:rsidRPr="00882F11">
        <w:rPr>
          <w:rStyle w:val="FootnoteReference"/>
          <w:rFonts w:cs="Guttman Drogolin"/>
          <w:rtl/>
          <w:lang w:bidi="he-IL"/>
        </w:rPr>
        <w:footnoteReference w:id="72"/>
      </w:r>
      <w:r w:rsidRPr="00882F11">
        <w:rPr>
          <w:rFonts w:cs="Guttman Drogolin" w:hint="cs"/>
          <w:rtl/>
          <w:lang w:bidi="he-IL"/>
        </w:rPr>
        <w:t>. ואני אוסיף להקשות</w:t>
      </w:r>
      <w:r w:rsidR="00865155" w:rsidRPr="00882F11">
        <w:rPr>
          <w:rFonts w:cs="Guttman Drogolin" w:hint="cs"/>
          <w:rtl/>
          <w:lang w:bidi="he-IL"/>
        </w:rPr>
        <w:t>, דהא לכאורה אי אשום קושיית הרמב"ן בלבד הי' אפשר לומר שהראב"ד סבר כשיטת התוס' שאין צריכים ברי</w:t>
      </w:r>
      <w:r w:rsidR="00950A93" w:rsidRPr="00882F11">
        <w:rPr>
          <w:rFonts w:cs="Guttman Drogolin" w:hint="cs"/>
          <w:rtl/>
          <w:lang w:bidi="he-IL"/>
        </w:rPr>
        <w:t>י</w:t>
      </w:r>
      <w:r w:rsidR="00865155" w:rsidRPr="00882F11">
        <w:rPr>
          <w:rFonts w:cs="Guttman Drogolin" w:hint="cs"/>
          <w:rtl/>
          <w:lang w:bidi="he-IL"/>
        </w:rPr>
        <w:t>ת נשמה, וכוונת</w:t>
      </w:r>
      <w:r w:rsidR="00950A93" w:rsidRPr="00882F11">
        <w:rPr>
          <w:rFonts w:cs="Guttman Drogolin" w:hint="cs"/>
          <w:rtl/>
          <w:lang w:bidi="he-IL"/>
        </w:rPr>
        <w:t xml:space="preserve"> רבנן היתה רק לדחות דברי ר"ש ולעולם אין חיטה </w:t>
      </w:r>
      <w:r w:rsidR="00434E58" w:rsidRPr="00882F11">
        <w:rPr>
          <w:rFonts w:cs="Guttman Drogolin" w:hint="cs"/>
          <w:rtl/>
          <w:lang w:bidi="he-IL"/>
        </w:rPr>
        <w:t>חשו</w:t>
      </w:r>
      <w:r w:rsidR="00950A93" w:rsidRPr="00882F11">
        <w:rPr>
          <w:rFonts w:cs="Guttman Drogolin" w:hint="cs"/>
          <w:rtl/>
          <w:lang w:bidi="he-IL"/>
        </w:rPr>
        <w:t>ב</w:t>
      </w:r>
      <w:r w:rsidR="00434E58" w:rsidRPr="00882F11">
        <w:rPr>
          <w:rFonts w:cs="Guttman Drogolin" w:hint="cs"/>
          <w:rtl/>
          <w:lang w:bidi="he-IL"/>
        </w:rPr>
        <w:t>ה</w:t>
      </w:r>
      <w:r w:rsidR="00950A93" w:rsidRPr="00882F11">
        <w:rPr>
          <w:rFonts w:cs="Guttman Drogolin" w:hint="cs"/>
          <w:rtl/>
          <w:lang w:bidi="he-IL"/>
        </w:rPr>
        <w:t xml:space="preserve"> ברי' כיון שהתורה לא אסרה </w:t>
      </w:r>
      <w:r w:rsidR="00434E58" w:rsidRPr="00882F11">
        <w:rPr>
          <w:rFonts w:cs="Guttman Drogolin" w:hint="cs"/>
          <w:rtl/>
          <w:lang w:bidi="he-IL"/>
        </w:rPr>
        <w:t>חיטה רק טבל וכדומה, מ"מ גם ביצה עצמה לא אסרה תורה, וא"כ למה יחשב ברי'. וצ"ע.</w:t>
      </w:r>
    </w:p>
    <w:p w:rsidR="001F29A6" w:rsidRPr="00882F11" w:rsidRDefault="00434E58" w:rsidP="00CC240D">
      <w:pPr>
        <w:bidi/>
        <w:jc w:val="both"/>
        <w:rPr>
          <w:rFonts w:cs="Guttman Drogolin"/>
          <w:rtl/>
          <w:lang w:bidi="he-IL"/>
        </w:rPr>
      </w:pPr>
      <w:r w:rsidRPr="00882F11">
        <w:rPr>
          <w:rFonts w:cs="Guttman Drogolin" w:hint="cs"/>
          <w:rtl/>
          <w:lang w:bidi="he-IL"/>
        </w:rPr>
        <w:t>ועל גוף דברי הראב"ד לכאורה ג"כ צ"</w:t>
      </w:r>
      <w:r w:rsidR="00A60D80" w:rsidRPr="00882F11">
        <w:rPr>
          <w:rFonts w:cs="Guttman Drogolin" w:hint="cs"/>
          <w:rtl/>
          <w:lang w:bidi="he-IL"/>
        </w:rPr>
        <w:t>ע, דהא הראב"ד רצה לומר שהי' אפשר לפרש דהא דביצה בששים היינו לענין ביט</w:t>
      </w:r>
      <w:r w:rsidR="00DF48A6">
        <w:rPr>
          <w:rFonts w:cs="Guttman Drogolin" w:hint="cs"/>
          <w:rtl/>
          <w:lang w:bidi="he-IL"/>
        </w:rPr>
        <w:t>ו</w:t>
      </w:r>
      <w:r w:rsidR="00A60D80" w:rsidRPr="00882F11">
        <w:rPr>
          <w:rFonts w:cs="Guttman Drogolin" w:hint="cs"/>
          <w:rtl/>
          <w:lang w:bidi="he-IL"/>
        </w:rPr>
        <w:t>ל יבש ביבש, ולעולם בלח בלח אינו צריך ששים. וצ"ע דהא המקור לשיעור ששים הוא בלח בלח, וא"כ איך יתכן שיהא השיעור ביבש בששים ולא בפליטתו. ולא מיבעי לפי ביאורו של רע"א</w:t>
      </w:r>
      <w:r w:rsidR="00A60D80" w:rsidRPr="00882F11">
        <w:rPr>
          <w:rStyle w:val="FootnoteReference"/>
          <w:rFonts w:cs="Guttman Drogolin"/>
          <w:rtl/>
          <w:lang w:bidi="he-IL"/>
        </w:rPr>
        <w:footnoteReference w:id="73"/>
      </w:r>
      <w:r w:rsidR="00A60D80" w:rsidRPr="00882F11">
        <w:rPr>
          <w:rFonts w:cs="Guttman Drogolin" w:hint="cs"/>
          <w:rtl/>
          <w:lang w:bidi="he-IL"/>
        </w:rPr>
        <w:t xml:space="preserve"> שלא הצריכו ששים ביבש ביבש אפילו במין במינו אלא בדבר </w:t>
      </w:r>
      <w:r w:rsidR="00A60D80" w:rsidRPr="00882F11">
        <w:rPr>
          <w:rFonts w:cs="Guttman Drogolin" w:hint="cs"/>
          <w:rtl/>
          <w:lang w:bidi="he-IL"/>
        </w:rPr>
        <w:lastRenderedPageBreak/>
        <w:t>הנ"ט באינו מינו, אלא אפילו לפמ"ג שלמד אחרת</w:t>
      </w:r>
      <w:r w:rsidR="00CC240D" w:rsidRPr="00882F11">
        <w:rPr>
          <w:rFonts w:cs="Guttman Drogolin" w:hint="cs"/>
          <w:rtl/>
          <w:lang w:bidi="he-IL"/>
        </w:rPr>
        <w:t xml:space="preserve"> </w:t>
      </w:r>
      <w:r w:rsidR="00A60D80" w:rsidRPr="00882F11">
        <w:rPr>
          <w:rFonts w:cs="Guttman Drogolin" w:hint="cs"/>
          <w:rtl/>
          <w:lang w:bidi="he-IL"/>
        </w:rPr>
        <w:t>ואפילו בדברים שלא שייך בהם טעם ג"כ צריך ששים צ"ע, דהא מ"מ כמו הצירכו ששים ביבש ביבש יצטרך ששים ג"כ בפליטתו. והנראה פשוט בזה, שהרי לעולם גם בפליטת הביצה צריכים ששים, רק שזהו גופא כוונת הגמ', שבביצה לעולם אין פליטה. ולכן אם לא מיירי בביט</w:t>
      </w:r>
      <w:r w:rsidR="00DF48A6">
        <w:rPr>
          <w:rFonts w:cs="Guttman Drogolin" w:hint="cs"/>
          <w:rtl/>
          <w:lang w:bidi="he-IL"/>
        </w:rPr>
        <w:t>ו</w:t>
      </w:r>
      <w:r w:rsidR="00A60D80" w:rsidRPr="00882F11">
        <w:rPr>
          <w:rFonts w:cs="Guttman Drogolin" w:hint="cs"/>
          <w:rtl/>
          <w:lang w:bidi="he-IL"/>
        </w:rPr>
        <w:t>ל יבש ביבש לא הי' לנו לאסור, דאי משום טעם הא לא ירגיש הטעם, ואי משום ביטול ששים לפליטה, הא פשוט שיהי' שיעור ששים כנגד הפליטה אפילו אם לא יהיו ששים ביצים, דהא לא יוצא שיעור פליטה כמו בש</w:t>
      </w:r>
      <w:r w:rsidR="00CC240D" w:rsidRPr="00882F11">
        <w:rPr>
          <w:rFonts w:cs="Guttman Drogolin" w:hint="cs"/>
          <w:rtl/>
          <w:lang w:bidi="he-IL"/>
        </w:rPr>
        <w:t>א</w:t>
      </w:r>
      <w:r w:rsidR="00A60D80" w:rsidRPr="00882F11">
        <w:rPr>
          <w:rFonts w:cs="Guttman Drogolin" w:hint="cs"/>
          <w:rtl/>
          <w:lang w:bidi="he-IL"/>
        </w:rPr>
        <w:t>רי הדברים. ולכן אפילו לרע"א ניחא דהא הפנים של הביצה אילו הי' מעורב הי' נותן טעם באינו מ</w:t>
      </w:r>
      <w:r w:rsidR="00CC240D" w:rsidRPr="00882F11">
        <w:rPr>
          <w:rFonts w:cs="Guttman Drogolin" w:hint="cs"/>
          <w:rtl/>
          <w:lang w:bidi="he-IL"/>
        </w:rPr>
        <w:t>י</w:t>
      </w:r>
      <w:r w:rsidR="00A60D80" w:rsidRPr="00882F11">
        <w:rPr>
          <w:rFonts w:cs="Guttman Drogolin" w:hint="cs"/>
          <w:rtl/>
          <w:lang w:bidi="he-IL"/>
        </w:rPr>
        <w:t xml:space="preserve">נו, ולכן צריך ששים, אבל בפלטה לבד לעולם יש ששים ואינו צריך ששים ביצים כדי שלא יהי' ששים כנגד הפליטה.    </w:t>
      </w:r>
      <w:r w:rsidRPr="00882F11">
        <w:rPr>
          <w:rFonts w:cs="Guttman Drogolin" w:hint="cs"/>
          <w:rtl/>
          <w:lang w:bidi="he-IL"/>
        </w:rPr>
        <w:t xml:space="preserve"> </w:t>
      </w:r>
      <w:r w:rsidR="00865155" w:rsidRPr="00882F11">
        <w:rPr>
          <w:rFonts w:cs="Guttman Drogolin" w:hint="cs"/>
          <w:rtl/>
          <w:lang w:bidi="he-IL"/>
        </w:rPr>
        <w:t xml:space="preserve"> </w:t>
      </w:r>
    </w:p>
    <w:p w:rsidR="00C7563D" w:rsidRPr="000F6DEF" w:rsidRDefault="00C7563D" w:rsidP="0078079C">
      <w:pPr>
        <w:pStyle w:val="Heading1"/>
        <w:bidi/>
        <w:spacing w:before="0" w:line="360" w:lineRule="auto"/>
        <w:jc w:val="center"/>
        <w:rPr>
          <w:rFonts w:cs="Guttman Drogolin"/>
          <w:color w:val="auto"/>
          <w:sz w:val="22"/>
          <w:szCs w:val="22"/>
          <w:u w:val="single"/>
          <w:rtl/>
          <w:lang w:bidi="he-IL"/>
        </w:rPr>
      </w:pPr>
      <w:bookmarkStart w:id="59" w:name="_Toc496175322"/>
      <w:r w:rsidRPr="000F6DEF">
        <w:rPr>
          <w:rFonts w:cs="Guttman Drogolin" w:hint="cs"/>
          <w:color w:val="auto"/>
          <w:sz w:val="22"/>
          <w:szCs w:val="22"/>
          <w:u w:val="single"/>
          <w:rtl/>
          <w:lang w:bidi="he-IL"/>
        </w:rPr>
        <w:t>ביטול ברי' בשיעור אחת בתשע מאות ששים</w:t>
      </w:r>
      <w:bookmarkEnd w:id="59"/>
    </w:p>
    <w:p w:rsidR="0003088B" w:rsidRPr="00882F11" w:rsidRDefault="00707592" w:rsidP="00343647">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ברי'</w:instrText>
      </w:r>
      <w:r w:rsidRPr="00882F11">
        <w:rPr>
          <w:rFonts w:cs="Guttman Drogolin"/>
          <w:rtl/>
        </w:rPr>
        <w:instrText>:</w:instrText>
      </w:r>
      <w:r w:rsidRPr="00882F11">
        <w:rPr>
          <w:rFonts w:cs="Guttman Drogolin" w:hint="cs"/>
          <w:rtl/>
          <w:lang w:bidi="he-IL"/>
        </w:rPr>
        <w:instrText>ביטולה בשיעור תשע מאות ששים</w:instrText>
      </w:r>
      <w:r w:rsidRPr="00882F11">
        <w:rPr>
          <w:rFonts w:cs="Guttman Drogolin"/>
        </w:rPr>
        <w:instrText xml:space="preserve">" </w:instrText>
      </w:r>
      <w:r w:rsidRPr="00882F11">
        <w:rPr>
          <w:rFonts w:cs="Guttman Drogolin"/>
          <w:rtl/>
          <w:lang w:bidi="he-IL"/>
        </w:rPr>
        <w:fldChar w:fldCharType="end"/>
      </w:r>
      <w:r w:rsidR="00C7563D" w:rsidRPr="00882F11">
        <w:rPr>
          <w:rFonts w:cs="Guttman Drogolin" w:hint="cs"/>
          <w:rtl/>
          <w:lang w:bidi="he-IL"/>
        </w:rPr>
        <w:t>הרא"ש ועוד ראשונים מביאים שיטה הסוברת</w:t>
      </w:r>
      <w:r w:rsidR="008F5BD2" w:rsidRPr="00882F11">
        <w:rPr>
          <w:rFonts w:cs="Guttman Drogolin" w:hint="cs"/>
          <w:rtl/>
          <w:lang w:bidi="he-IL"/>
        </w:rPr>
        <w:t xml:space="preserve"> שאמנם אין ברי' בטילה לא ברוב ולא בששים, </w:t>
      </w:r>
      <w:r w:rsidR="002B1739" w:rsidRPr="00882F11">
        <w:rPr>
          <w:rFonts w:cs="Guttman Drogolin" w:hint="cs"/>
          <w:rtl/>
          <w:lang w:bidi="he-IL"/>
        </w:rPr>
        <w:t>מ"מ הרי היא בטילה בשיעור תשע מאות ששים, וראיתם ממתני' שבמס' תרומות פ"י מ"ח "דג</w:t>
      </w:r>
      <w:r w:rsidR="002B1739" w:rsidRPr="00882F11">
        <w:rPr>
          <w:rFonts w:cs="Guttman Drogolin"/>
          <w:rtl/>
          <w:lang w:bidi="he-IL"/>
        </w:rPr>
        <w:t xml:space="preserve"> </w:t>
      </w:r>
      <w:r w:rsidR="002B1739" w:rsidRPr="00882F11">
        <w:rPr>
          <w:rFonts w:cs="Guttman Drogolin" w:hint="cs"/>
          <w:rtl/>
          <w:lang w:bidi="he-IL"/>
        </w:rPr>
        <w:t>טמא</w:t>
      </w:r>
      <w:r w:rsidR="002B1739" w:rsidRPr="00882F11">
        <w:rPr>
          <w:rFonts w:cs="Guttman Drogolin"/>
          <w:rtl/>
          <w:lang w:bidi="he-IL"/>
        </w:rPr>
        <w:t xml:space="preserve"> </w:t>
      </w:r>
      <w:r w:rsidR="002B1739" w:rsidRPr="00882F11">
        <w:rPr>
          <w:rFonts w:cs="Guttman Drogolin" w:hint="cs"/>
          <w:rtl/>
          <w:lang w:bidi="he-IL"/>
        </w:rPr>
        <w:t>שכבשו</w:t>
      </w:r>
      <w:r w:rsidR="002B1739" w:rsidRPr="00882F11">
        <w:rPr>
          <w:rFonts w:cs="Guttman Drogolin"/>
          <w:rtl/>
          <w:lang w:bidi="he-IL"/>
        </w:rPr>
        <w:t xml:space="preserve"> </w:t>
      </w:r>
      <w:r w:rsidR="002B1739" w:rsidRPr="00882F11">
        <w:rPr>
          <w:rFonts w:cs="Guttman Drogolin" w:hint="cs"/>
          <w:rtl/>
          <w:lang w:bidi="he-IL"/>
        </w:rPr>
        <w:t>עם</w:t>
      </w:r>
      <w:r w:rsidR="002B1739" w:rsidRPr="00882F11">
        <w:rPr>
          <w:rFonts w:cs="Guttman Drogolin"/>
          <w:rtl/>
          <w:lang w:bidi="he-IL"/>
        </w:rPr>
        <w:t xml:space="preserve"> </w:t>
      </w:r>
      <w:r w:rsidR="002B1739" w:rsidRPr="00882F11">
        <w:rPr>
          <w:rFonts w:cs="Guttman Drogolin" w:hint="cs"/>
          <w:rtl/>
          <w:lang w:bidi="he-IL"/>
        </w:rPr>
        <w:t>דג</w:t>
      </w:r>
      <w:r w:rsidR="002B1739" w:rsidRPr="00882F11">
        <w:rPr>
          <w:rFonts w:cs="Guttman Drogolin"/>
          <w:rtl/>
          <w:lang w:bidi="he-IL"/>
        </w:rPr>
        <w:t xml:space="preserve"> </w:t>
      </w:r>
      <w:r w:rsidR="002B1739" w:rsidRPr="00882F11">
        <w:rPr>
          <w:rFonts w:cs="Guttman Drogolin" w:hint="cs"/>
          <w:rtl/>
          <w:lang w:bidi="he-IL"/>
        </w:rPr>
        <w:t>טהור</w:t>
      </w:r>
      <w:r w:rsidR="002B1739" w:rsidRPr="00882F11">
        <w:rPr>
          <w:rFonts w:cs="Guttman Drogolin"/>
          <w:rtl/>
          <w:lang w:bidi="he-IL"/>
        </w:rPr>
        <w:t xml:space="preserve">, </w:t>
      </w:r>
      <w:r w:rsidR="002B1739" w:rsidRPr="00882F11">
        <w:rPr>
          <w:rFonts w:cs="Guttman Drogolin" w:hint="cs"/>
          <w:rtl/>
          <w:lang w:bidi="he-IL"/>
        </w:rPr>
        <w:t>כל</w:t>
      </w:r>
      <w:r w:rsidR="002B1739" w:rsidRPr="00882F11">
        <w:rPr>
          <w:rFonts w:cs="Guttman Drogolin"/>
          <w:rtl/>
          <w:lang w:bidi="he-IL"/>
        </w:rPr>
        <w:t xml:space="preserve"> </w:t>
      </w:r>
      <w:r w:rsidR="002B1739" w:rsidRPr="00882F11">
        <w:rPr>
          <w:rFonts w:cs="Guttman Drogolin" w:hint="cs"/>
          <w:rtl/>
          <w:lang w:bidi="he-IL"/>
        </w:rPr>
        <w:t>גרב</w:t>
      </w:r>
      <w:r w:rsidR="002B1739" w:rsidRPr="00882F11">
        <w:rPr>
          <w:rFonts w:cs="Guttman Drogolin"/>
          <w:rtl/>
          <w:lang w:bidi="he-IL"/>
        </w:rPr>
        <w:t xml:space="preserve"> </w:t>
      </w:r>
      <w:r w:rsidR="002B1739" w:rsidRPr="00882F11">
        <w:rPr>
          <w:rFonts w:cs="Guttman Drogolin" w:hint="cs"/>
          <w:rtl/>
          <w:lang w:bidi="he-IL"/>
        </w:rPr>
        <w:t>שהוא</w:t>
      </w:r>
      <w:r w:rsidR="002B1739" w:rsidRPr="00882F11">
        <w:rPr>
          <w:rFonts w:cs="Guttman Drogolin"/>
          <w:rtl/>
          <w:lang w:bidi="he-IL"/>
        </w:rPr>
        <w:t xml:space="preserve"> </w:t>
      </w:r>
      <w:r w:rsidR="002B1739" w:rsidRPr="00882F11">
        <w:rPr>
          <w:rFonts w:cs="Guttman Drogolin" w:hint="cs"/>
          <w:rtl/>
          <w:lang w:bidi="he-IL"/>
        </w:rPr>
        <w:t>מחזיק</w:t>
      </w:r>
      <w:r w:rsidR="002B1739" w:rsidRPr="00882F11">
        <w:rPr>
          <w:rFonts w:cs="Guttman Drogolin"/>
          <w:rtl/>
          <w:lang w:bidi="he-IL"/>
        </w:rPr>
        <w:t xml:space="preserve"> </w:t>
      </w:r>
      <w:r w:rsidR="002B1739" w:rsidRPr="00882F11">
        <w:rPr>
          <w:rFonts w:cs="Guttman Drogolin" w:hint="cs"/>
          <w:rtl/>
          <w:lang w:bidi="he-IL"/>
        </w:rPr>
        <w:t>סאתים</w:t>
      </w:r>
      <w:r w:rsidR="002B1739" w:rsidRPr="00882F11">
        <w:rPr>
          <w:rFonts w:cs="Guttman Drogolin"/>
          <w:rtl/>
          <w:lang w:bidi="he-IL"/>
        </w:rPr>
        <w:t xml:space="preserve">, </w:t>
      </w:r>
      <w:r w:rsidR="002B1739" w:rsidRPr="00882F11">
        <w:rPr>
          <w:rFonts w:cs="Guttman Drogolin" w:hint="cs"/>
          <w:rtl/>
          <w:lang w:bidi="he-IL"/>
        </w:rPr>
        <w:t>אם</w:t>
      </w:r>
      <w:r w:rsidR="002B1739" w:rsidRPr="00882F11">
        <w:rPr>
          <w:rFonts w:cs="Guttman Drogolin"/>
          <w:rtl/>
          <w:lang w:bidi="he-IL"/>
        </w:rPr>
        <w:t xml:space="preserve"> </w:t>
      </w:r>
      <w:r w:rsidR="002B1739" w:rsidRPr="00882F11">
        <w:rPr>
          <w:rFonts w:cs="Guttman Drogolin" w:hint="cs"/>
          <w:rtl/>
          <w:lang w:bidi="he-IL"/>
        </w:rPr>
        <w:t>יש</w:t>
      </w:r>
      <w:r w:rsidR="002B1739" w:rsidRPr="00882F11">
        <w:rPr>
          <w:rFonts w:cs="Guttman Drogolin"/>
          <w:rtl/>
          <w:lang w:bidi="he-IL"/>
        </w:rPr>
        <w:t xml:space="preserve"> </w:t>
      </w:r>
      <w:r w:rsidR="002B1739" w:rsidRPr="00882F11">
        <w:rPr>
          <w:rFonts w:cs="Guttman Drogolin" w:hint="cs"/>
          <w:rtl/>
          <w:lang w:bidi="he-IL"/>
        </w:rPr>
        <w:t>בו</w:t>
      </w:r>
      <w:r w:rsidR="002B1739" w:rsidRPr="00882F11">
        <w:rPr>
          <w:rFonts w:cs="Guttman Drogolin"/>
          <w:rtl/>
          <w:lang w:bidi="he-IL"/>
        </w:rPr>
        <w:t xml:space="preserve"> </w:t>
      </w:r>
      <w:r w:rsidR="002B1739" w:rsidRPr="00882F11">
        <w:rPr>
          <w:rFonts w:cs="Guttman Drogolin" w:hint="cs"/>
          <w:rtl/>
          <w:lang w:bidi="he-IL"/>
        </w:rPr>
        <w:t>משקל</w:t>
      </w:r>
      <w:r w:rsidR="002B1739" w:rsidRPr="00882F11">
        <w:rPr>
          <w:rFonts w:cs="Guttman Drogolin"/>
          <w:rtl/>
          <w:lang w:bidi="he-IL"/>
        </w:rPr>
        <w:t xml:space="preserve"> </w:t>
      </w:r>
      <w:r w:rsidR="002B1739" w:rsidRPr="00882F11">
        <w:rPr>
          <w:rFonts w:cs="Guttman Drogolin" w:hint="cs"/>
          <w:rtl/>
          <w:lang w:bidi="he-IL"/>
        </w:rPr>
        <w:t>עשרה</w:t>
      </w:r>
      <w:r w:rsidR="002B1739" w:rsidRPr="00882F11">
        <w:rPr>
          <w:rFonts w:cs="Guttman Drogolin"/>
          <w:rtl/>
          <w:lang w:bidi="he-IL"/>
        </w:rPr>
        <w:t xml:space="preserve"> </w:t>
      </w:r>
      <w:r w:rsidR="002B1739" w:rsidRPr="00882F11">
        <w:rPr>
          <w:rFonts w:cs="Guttman Drogolin" w:hint="cs"/>
          <w:rtl/>
          <w:lang w:bidi="he-IL"/>
        </w:rPr>
        <w:t>זוז</w:t>
      </w:r>
      <w:r w:rsidR="002B1739" w:rsidRPr="00882F11">
        <w:rPr>
          <w:rFonts w:cs="Guttman Drogolin"/>
          <w:rtl/>
          <w:lang w:bidi="he-IL"/>
        </w:rPr>
        <w:t xml:space="preserve"> </w:t>
      </w:r>
      <w:r w:rsidR="002B1739" w:rsidRPr="00882F11">
        <w:rPr>
          <w:rFonts w:cs="Guttman Drogolin" w:hint="cs"/>
          <w:rtl/>
          <w:lang w:bidi="he-IL"/>
        </w:rPr>
        <w:t>ביהודה</w:t>
      </w:r>
      <w:r w:rsidR="002B1739" w:rsidRPr="00882F11">
        <w:rPr>
          <w:rFonts w:cs="Guttman Drogolin"/>
          <w:rtl/>
          <w:lang w:bidi="he-IL"/>
        </w:rPr>
        <w:t xml:space="preserve"> </w:t>
      </w:r>
      <w:r w:rsidR="002B1739" w:rsidRPr="00882F11">
        <w:rPr>
          <w:rFonts w:cs="Guttman Drogolin" w:hint="cs"/>
          <w:rtl/>
          <w:lang w:bidi="he-IL"/>
        </w:rPr>
        <w:t>שהם</w:t>
      </w:r>
      <w:r w:rsidR="002B1739" w:rsidRPr="00882F11">
        <w:rPr>
          <w:rFonts w:cs="Guttman Drogolin"/>
          <w:rtl/>
          <w:lang w:bidi="he-IL"/>
        </w:rPr>
        <w:t xml:space="preserve"> </w:t>
      </w:r>
      <w:r w:rsidR="002B1739" w:rsidRPr="00882F11">
        <w:rPr>
          <w:rFonts w:cs="Guttman Drogolin" w:hint="cs"/>
          <w:rtl/>
          <w:lang w:bidi="he-IL"/>
        </w:rPr>
        <w:t>חמשה</w:t>
      </w:r>
      <w:r w:rsidR="002B1739" w:rsidRPr="00882F11">
        <w:rPr>
          <w:rFonts w:cs="Guttman Drogolin"/>
          <w:rtl/>
          <w:lang w:bidi="he-IL"/>
        </w:rPr>
        <w:t xml:space="preserve"> </w:t>
      </w:r>
      <w:r w:rsidR="002B1739" w:rsidRPr="00882F11">
        <w:rPr>
          <w:rFonts w:cs="Guttman Drogolin" w:hint="cs"/>
          <w:rtl/>
          <w:lang w:bidi="he-IL"/>
        </w:rPr>
        <w:t>סלעים</w:t>
      </w:r>
      <w:r w:rsidR="002B1739" w:rsidRPr="00882F11">
        <w:rPr>
          <w:rFonts w:cs="Guttman Drogolin"/>
          <w:rtl/>
          <w:lang w:bidi="he-IL"/>
        </w:rPr>
        <w:t xml:space="preserve"> </w:t>
      </w:r>
      <w:r w:rsidR="002B1739" w:rsidRPr="00882F11">
        <w:rPr>
          <w:rFonts w:cs="Guttman Drogolin" w:hint="cs"/>
          <w:rtl/>
          <w:lang w:bidi="he-IL"/>
        </w:rPr>
        <w:t>בגליל"</w:t>
      </w:r>
      <w:r w:rsidR="003D2A50" w:rsidRPr="00882F11">
        <w:rPr>
          <w:rFonts w:cs="Guttman Drogolin" w:hint="cs"/>
          <w:rtl/>
          <w:lang w:bidi="he-IL"/>
        </w:rPr>
        <w:t xml:space="preserve"> וע"פ חשבון י' זוז הוא אחת מתשע מאות ששים מגרב (פי' חבית) המחזיק סאתיים. </w:t>
      </w:r>
      <w:r w:rsidR="0003088B" w:rsidRPr="00882F11">
        <w:rPr>
          <w:rFonts w:cs="Guttman Drogolin" w:hint="cs"/>
          <w:rtl/>
          <w:lang w:bidi="he-IL"/>
        </w:rPr>
        <w:t xml:space="preserve">ושם בירושלמי הבאו שיעור זה גם לגבי עכברא שנפל לשיכרא, ועכברא הא הוי ברי'. הרי שגם ברי' בטילה בששים. </w:t>
      </w:r>
      <w:r w:rsidR="00C76D3C" w:rsidRPr="00882F11">
        <w:rPr>
          <w:rFonts w:cs="Guttman Drogolin" w:hint="cs"/>
          <w:rtl/>
          <w:lang w:bidi="he-IL"/>
        </w:rPr>
        <w:t>וכתב הרא"ש לדחות</w:t>
      </w:r>
      <w:r w:rsidR="00726DF7" w:rsidRPr="00882F11">
        <w:rPr>
          <w:rFonts w:cs="Guttman Drogolin" w:hint="cs"/>
          <w:rtl/>
          <w:lang w:bidi="he-IL"/>
        </w:rPr>
        <w:t xml:space="preserve"> דהתם</w:t>
      </w:r>
      <w:r w:rsidR="0003088B" w:rsidRPr="00882F11">
        <w:rPr>
          <w:rFonts w:cs="Guttman Drogolin" w:hint="cs"/>
          <w:rtl/>
          <w:lang w:bidi="he-IL"/>
        </w:rPr>
        <w:t xml:space="preserve"> מיירי במקום ששמו עכברא ולעולם מיירי בדבר שנותן הרבה טעם ומשו"ה לא מהני ששים אבל אם יש אלף לעולם ליכא טעם. ושם ברא"ש הוכיח כשיטתו ודלא כמתירים מהא שהגמ' השוה </w:t>
      </w:r>
      <w:r w:rsidR="0003088B" w:rsidRPr="00882F11">
        <w:rPr>
          <w:rFonts w:cs="Guttman Drogolin" w:hint="cs"/>
          <w:rtl/>
          <w:lang w:bidi="he-IL"/>
        </w:rPr>
        <w:lastRenderedPageBreak/>
        <w:t>ברי' לחתיכה הראוי' להתכבד, ואם בנ"ל הא יש חילוק ביניהם לעני השיעור דתשע מאות וששים. ונר</w:t>
      </w:r>
      <w:r w:rsidR="00343647" w:rsidRPr="00882F11">
        <w:rPr>
          <w:rFonts w:cs="Guttman Drogolin" w:hint="cs"/>
          <w:rtl/>
          <w:lang w:bidi="he-IL"/>
        </w:rPr>
        <w:t>א</w:t>
      </w:r>
      <w:r w:rsidR="0003088B" w:rsidRPr="00882F11">
        <w:rPr>
          <w:rFonts w:cs="Guttman Drogolin" w:hint="cs"/>
          <w:rtl/>
          <w:lang w:bidi="he-IL"/>
        </w:rPr>
        <w:t>ה לחדד קוש</w:t>
      </w:r>
      <w:r w:rsidR="00343647" w:rsidRPr="00882F11">
        <w:rPr>
          <w:rFonts w:cs="Guttman Drogolin" w:hint="cs"/>
          <w:rtl/>
          <w:lang w:bidi="he-IL"/>
        </w:rPr>
        <w:t>יא</w:t>
      </w:r>
      <w:r w:rsidR="0003088B" w:rsidRPr="00882F11">
        <w:rPr>
          <w:rFonts w:cs="Guttman Drogolin" w:hint="cs"/>
          <w:rtl/>
          <w:lang w:bidi="he-IL"/>
        </w:rPr>
        <w:t xml:space="preserve"> זו, שהרי הגמ' עשתה צריכותא בין ברי' לחתיכה הראוי' להתכבד, ואם כדברי המתירים הא השיעור ביטול דתשע ששים הוי צריכותא. וע"ש שהרא"ש עצמו כתב שיש מקום לדחות דכיון שהוי שיעור גדול השוו א' לשני. </w:t>
      </w:r>
    </w:p>
    <w:p w:rsidR="00FC2D50" w:rsidRPr="00882F11" w:rsidRDefault="0003088B" w:rsidP="0003088B">
      <w:pPr>
        <w:bidi/>
        <w:jc w:val="both"/>
        <w:rPr>
          <w:rFonts w:cs="Guttman Drogolin"/>
          <w:rtl/>
          <w:lang w:bidi="he-IL"/>
        </w:rPr>
      </w:pPr>
      <w:r w:rsidRPr="00882F11">
        <w:rPr>
          <w:rFonts w:cs="Guttman Drogolin" w:hint="cs"/>
          <w:rtl/>
          <w:lang w:bidi="he-IL"/>
        </w:rPr>
        <w:t>ומ"מ צ"ע דעת המתירים מאיזה טעם יאסרו יותר מששים ולא יאסר בשיעור תשע מאות וששים.</w:t>
      </w:r>
      <w:r w:rsidR="00FC2D50" w:rsidRPr="00882F11">
        <w:rPr>
          <w:rFonts w:cs="Guttman Drogolin" w:hint="cs"/>
          <w:rtl/>
          <w:lang w:bidi="he-IL"/>
        </w:rPr>
        <w:t xml:space="preserve"> וביש"ש סי' מ"ח כתב דכיון שיש שיעור ששים, וכן יש שיעור א' בשש עשרה שם בסוף המתני' בביטול ציר, החמירו שצריכים ששים כפול שש עשרה. אבל גם זה צ"ע אמאי. </w:t>
      </w:r>
      <w:r w:rsidRPr="00882F11">
        <w:rPr>
          <w:rFonts w:cs="Guttman Drogolin" w:hint="cs"/>
          <w:rtl/>
          <w:lang w:bidi="he-IL"/>
        </w:rPr>
        <w:t xml:space="preserve"> </w:t>
      </w:r>
    </w:p>
    <w:p w:rsidR="00FC2D50" w:rsidRPr="00882F11" w:rsidRDefault="00FC2D50" w:rsidP="0078079C">
      <w:pPr>
        <w:pStyle w:val="Heading1"/>
        <w:bidi/>
        <w:spacing w:before="0" w:line="360" w:lineRule="auto"/>
        <w:jc w:val="center"/>
        <w:rPr>
          <w:rFonts w:cs="Guttman Drogolin"/>
          <w:color w:val="auto"/>
          <w:sz w:val="24"/>
          <w:szCs w:val="24"/>
          <w:u w:val="single"/>
          <w:rtl/>
          <w:lang w:bidi="he-IL"/>
        </w:rPr>
      </w:pPr>
      <w:bookmarkStart w:id="60" w:name="_Toc496175323"/>
      <w:r w:rsidRPr="00882F11">
        <w:rPr>
          <w:rFonts w:cs="Guttman Drogolin" w:hint="cs"/>
          <w:color w:val="auto"/>
          <w:sz w:val="24"/>
          <w:szCs w:val="24"/>
          <w:u w:val="single"/>
          <w:rtl/>
          <w:lang w:bidi="he-IL"/>
        </w:rPr>
        <w:t>ביטול ברי' לשיטת ר' שמעון</w:t>
      </w:r>
      <w:bookmarkEnd w:id="60"/>
    </w:p>
    <w:p w:rsidR="00AE25D0" w:rsidRPr="00882F11" w:rsidRDefault="00707592" w:rsidP="00935448">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ברי'</w:instrText>
      </w:r>
      <w:r w:rsidRPr="00882F11">
        <w:rPr>
          <w:rFonts w:cs="Guttman Drogolin"/>
          <w:rtl/>
        </w:rPr>
        <w:instrText>:</w:instrText>
      </w:r>
      <w:r w:rsidRPr="00882F11">
        <w:rPr>
          <w:rFonts w:cs="Guttman Drogolin" w:hint="cs"/>
          <w:rtl/>
          <w:lang w:bidi="he-IL"/>
        </w:rPr>
        <w:instrText>ביטולה לשיטת ר' שמעון</w:instrText>
      </w:r>
      <w:r w:rsidRPr="00882F11">
        <w:rPr>
          <w:rFonts w:cs="Guttman Drogolin"/>
        </w:rPr>
        <w:instrText xml:space="preserve">" </w:instrText>
      </w:r>
      <w:r w:rsidRPr="00882F11">
        <w:rPr>
          <w:rFonts w:cs="Guttman Drogolin"/>
          <w:rtl/>
          <w:lang w:bidi="he-IL"/>
        </w:rPr>
        <w:fldChar w:fldCharType="end"/>
      </w:r>
      <w:r w:rsidR="00FC2D50" w:rsidRPr="00882F11">
        <w:rPr>
          <w:rFonts w:cs="Guttman Drogolin" w:hint="cs"/>
          <w:rtl/>
          <w:lang w:bidi="he-IL"/>
        </w:rPr>
        <w:t>והנה הראשונים השוו דין ברי' שנאמר לענין שיעור דאכילת איסור לדין ברי' שאינו בטילה. ולכאורה א"כ, לר"</w:t>
      </w:r>
      <w:r w:rsidR="00757D91" w:rsidRPr="00882F11">
        <w:rPr>
          <w:rFonts w:cs="Guttman Drogolin" w:hint="cs"/>
          <w:rtl/>
          <w:lang w:bidi="he-IL"/>
        </w:rPr>
        <w:t>ש שמחייב אפילו במשהו לכאורה לא נאמר דין ברי'. אמנם במתני' שם אמר ר' שמעון לרבנן שאם הטעם לחייב אנמלה כל שהוא משום דהוי ברי', א"כ אף חיטה אחת כברייתה. ולכאורה משמע שבאמת יש לר' שמעון דין ברי', רק דסבר שגם חיטה נחשב ברי'. ולשיטת ר' ביבי במס' מכות דף י"ז ע"א גם ר' שמעון סבר שאינו חייב אלא אברי' ולא אמשהו של קמח, אבל תניא כוותי' דר' ירמי' דר"ש מחייב אכלשהו ומה שאמר דחיטה חשיבא ברי' אינו אלא לדבריהם דרבנן. ולדידי' יש להסתפק אם ר' שמעון ג"כ מודה לענין ברי' רק שלענין מלקות אינו צריך כיון שחייב אפילו אמשהו, או"ד לית לי' ענין של ברי' כלל. (ולכאורה יהי' בזה נפק"מ אם חייב קרבן אברי' כל שהו, אבל לא ידוע לי שיש ברי' שחייבין עליו קרבן. ואולי נפק"מ לרבנן דר' עקיבא בחיוב קרבו כשנשבע בשבועה שלא אכל</w:t>
      </w:r>
      <w:r w:rsidR="00526FB9" w:rsidRPr="00882F11">
        <w:rPr>
          <w:rFonts w:cs="Guttman Drogolin" w:hint="cs"/>
          <w:rtl/>
          <w:lang w:bidi="he-IL"/>
        </w:rPr>
        <w:t>ת</w:t>
      </w:r>
      <w:r w:rsidR="00757D91" w:rsidRPr="00882F11">
        <w:rPr>
          <w:rFonts w:cs="Guttman Drogolin" w:hint="cs"/>
          <w:rtl/>
          <w:lang w:bidi="he-IL"/>
        </w:rPr>
        <w:t>י ואכל ברי').</w:t>
      </w:r>
      <w:r w:rsidR="00526FB9" w:rsidRPr="00882F11">
        <w:rPr>
          <w:rFonts w:cs="Guttman Drogolin" w:hint="cs"/>
          <w:rtl/>
          <w:lang w:bidi="he-IL"/>
        </w:rPr>
        <w:t xml:space="preserve"> </w:t>
      </w:r>
      <w:r w:rsidR="00F23E7F" w:rsidRPr="00882F11">
        <w:rPr>
          <w:rFonts w:cs="Guttman Drogolin" w:hint="cs"/>
          <w:rtl/>
          <w:lang w:bidi="he-IL"/>
        </w:rPr>
        <w:t xml:space="preserve">ובשו"ת הרשב"א </w:t>
      </w:r>
      <w:r w:rsidR="00D66308" w:rsidRPr="00882F11">
        <w:rPr>
          <w:rFonts w:cs="Guttman Drogolin" w:hint="cs"/>
          <w:rtl/>
          <w:lang w:bidi="he-IL"/>
        </w:rPr>
        <w:t xml:space="preserve">סי' תר"ס </w:t>
      </w:r>
      <w:r w:rsidR="00F23E7F" w:rsidRPr="00882F11">
        <w:rPr>
          <w:rFonts w:cs="Guttman Drogolin" w:hint="cs"/>
          <w:rtl/>
          <w:lang w:bidi="he-IL"/>
        </w:rPr>
        <w:t>הסתפק בזה. ומתוס' שבדף צ"ו ע"א לכאורה משמע שסוברים שגם למסקנת הגמ' דר"ש מחייב מלקות אפילו אכל שהוא שמ"מ יש להם ענין של ברי', שהקשו שם "וא</w:t>
      </w:r>
      <w:r w:rsidR="004F6F70" w:rsidRPr="00882F11">
        <w:rPr>
          <w:rFonts w:cs="Guttman Drogolin" w:hint="cs"/>
          <w:rtl/>
          <w:lang w:bidi="he-IL"/>
        </w:rPr>
        <w:t>"</w:t>
      </w:r>
      <w:r w:rsidR="00F23E7F" w:rsidRPr="00882F11">
        <w:rPr>
          <w:rFonts w:cs="Guttman Drogolin" w:hint="cs"/>
          <w:rtl/>
          <w:lang w:bidi="he-IL"/>
        </w:rPr>
        <w:t>ת</w:t>
      </w:r>
      <w:r w:rsidR="00F23E7F" w:rsidRPr="00882F11">
        <w:rPr>
          <w:rFonts w:cs="Guttman Drogolin"/>
          <w:rtl/>
          <w:lang w:bidi="he-IL"/>
        </w:rPr>
        <w:t xml:space="preserve"> </w:t>
      </w:r>
      <w:r w:rsidR="00F23E7F" w:rsidRPr="00882F11">
        <w:rPr>
          <w:rFonts w:cs="Guttman Drogolin" w:hint="cs"/>
          <w:rtl/>
          <w:lang w:bidi="he-IL"/>
        </w:rPr>
        <w:t>ור</w:t>
      </w:r>
      <w:r w:rsidR="00935448" w:rsidRPr="00882F11">
        <w:rPr>
          <w:rFonts w:cs="Guttman Drogolin" w:hint="cs"/>
          <w:rtl/>
          <w:lang w:bidi="he-IL"/>
        </w:rPr>
        <w:t>"</w:t>
      </w:r>
      <w:r w:rsidR="00F23E7F" w:rsidRPr="00882F11">
        <w:rPr>
          <w:rFonts w:cs="Guttman Drogolin" w:hint="cs"/>
          <w:rtl/>
          <w:lang w:bidi="he-IL"/>
        </w:rPr>
        <w:t>ש</w:t>
      </w:r>
      <w:r w:rsidR="00F23E7F" w:rsidRPr="00882F11">
        <w:rPr>
          <w:rFonts w:cs="Guttman Drogolin"/>
          <w:rtl/>
          <w:lang w:bidi="he-IL"/>
        </w:rPr>
        <w:t xml:space="preserve"> </w:t>
      </w:r>
      <w:r w:rsidR="00F23E7F" w:rsidRPr="00882F11">
        <w:rPr>
          <w:rFonts w:cs="Guttman Drogolin" w:hint="cs"/>
          <w:rtl/>
          <w:lang w:bidi="he-IL"/>
        </w:rPr>
        <w:t>דחשיב</w:t>
      </w:r>
      <w:r w:rsidR="00F23E7F" w:rsidRPr="00882F11">
        <w:rPr>
          <w:rFonts w:cs="Guttman Drogolin"/>
          <w:rtl/>
          <w:lang w:bidi="he-IL"/>
        </w:rPr>
        <w:t xml:space="preserve"> </w:t>
      </w:r>
      <w:r w:rsidR="00F23E7F" w:rsidRPr="00882F11">
        <w:rPr>
          <w:rFonts w:cs="Guttman Drogolin" w:hint="cs"/>
          <w:rtl/>
          <w:lang w:bidi="he-IL"/>
        </w:rPr>
        <w:t>חטה</w:t>
      </w:r>
      <w:r w:rsidR="00F23E7F" w:rsidRPr="00882F11">
        <w:rPr>
          <w:rFonts w:cs="Guttman Drogolin"/>
          <w:rtl/>
          <w:lang w:bidi="he-IL"/>
        </w:rPr>
        <w:t xml:space="preserve"> </w:t>
      </w:r>
      <w:r w:rsidR="00F23E7F" w:rsidRPr="00882F11">
        <w:rPr>
          <w:rFonts w:cs="Guttman Drogolin" w:hint="cs"/>
          <w:rtl/>
          <w:lang w:bidi="he-IL"/>
        </w:rPr>
        <w:t>בריה היאך</w:t>
      </w:r>
      <w:r w:rsidR="00F23E7F" w:rsidRPr="00882F11">
        <w:rPr>
          <w:rFonts w:cs="Guttman Drogolin"/>
          <w:rtl/>
          <w:lang w:bidi="he-IL"/>
        </w:rPr>
        <w:t xml:space="preserve"> </w:t>
      </w:r>
      <w:r w:rsidR="00F23E7F" w:rsidRPr="00882F11">
        <w:rPr>
          <w:rFonts w:cs="Guttman Drogolin" w:hint="cs"/>
          <w:rtl/>
          <w:lang w:bidi="he-IL"/>
        </w:rPr>
        <w:t>תרומה</w:t>
      </w:r>
      <w:r w:rsidR="00F23E7F" w:rsidRPr="00882F11">
        <w:rPr>
          <w:rFonts w:cs="Guttman Drogolin"/>
          <w:rtl/>
          <w:lang w:bidi="he-IL"/>
        </w:rPr>
        <w:t xml:space="preserve"> </w:t>
      </w:r>
      <w:r w:rsidR="00F23E7F" w:rsidRPr="00882F11">
        <w:rPr>
          <w:rFonts w:cs="Guttman Drogolin" w:hint="cs"/>
          <w:rtl/>
          <w:lang w:bidi="he-IL"/>
        </w:rPr>
        <w:t>עולה</w:t>
      </w:r>
      <w:r w:rsidR="00F23E7F" w:rsidRPr="00882F11">
        <w:rPr>
          <w:rFonts w:cs="Guttman Drogolin"/>
          <w:rtl/>
          <w:lang w:bidi="he-IL"/>
        </w:rPr>
        <w:t xml:space="preserve"> </w:t>
      </w:r>
      <w:r w:rsidR="00F23E7F" w:rsidRPr="00882F11">
        <w:rPr>
          <w:rFonts w:cs="Guttman Drogolin" w:hint="cs"/>
          <w:rtl/>
          <w:lang w:bidi="he-IL"/>
        </w:rPr>
        <w:t>בק</w:t>
      </w:r>
      <w:r w:rsidR="00935448" w:rsidRPr="00882F11">
        <w:rPr>
          <w:rFonts w:cs="Guttman Drogolin" w:hint="cs"/>
          <w:rtl/>
          <w:lang w:bidi="he-IL"/>
        </w:rPr>
        <w:t>"</w:t>
      </w:r>
      <w:r w:rsidR="00F23E7F" w:rsidRPr="00882F11">
        <w:rPr>
          <w:rFonts w:cs="Guttman Drogolin" w:hint="cs"/>
          <w:rtl/>
          <w:lang w:bidi="he-IL"/>
        </w:rPr>
        <w:t>א</w:t>
      </w:r>
      <w:r w:rsidR="00F23E7F" w:rsidRPr="00882F11">
        <w:rPr>
          <w:rFonts w:cs="Guttman Drogolin"/>
          <w:rtl/>
          <w:lang w:bidi="he-IL"/>
        </w:rPr>
        <w:t xml:space="preserve"> </w:t>
      </w:r>
      <w:r w:rsidR="00F23E7F" w:rsidRPr="00882F11">
        <w:rPr>
          <w:rFonts w:cs="Guttman Drogolin" w:hint="cs"/>
          <w:rtl/>
          <w:lang w:bidi="he-IL"/>
        </w:rPr>
        <w:t>הא</w:t>
      </w:r>
      <w:r w:rsidR="00F23E7F" w:rsidRPr="00882F11">
        <w:rPr>
          <w:rFonts w:cs="Guttman Drogolin"/>
          <w:rtl/>
          <w:lang w:bidi="he-IL"/>
        </w:rPr>
        <w:t xml:space="preserve"> </w:t>
      </w:r>
      <w:r w:rsidR="00F23E7F" w:rsidRPr="00882F11">
        <w:rPr>
          <w:rFonts w:cs="Guttman Drogolin" w:hint="cs"/>
          <w:rtl/>
          <w:lang w:bidi="he-IL"/>
        </w:rPr>
        <w:t>אמרינן</w:t>
      </w:r>
      <w:r w:rsidR="00F23E7F" w:rsidRPr="00882F11">
        <w:rPr>
          <w:rFonts w:cs="Guttman Drogolin"/>
          <w:rtl/>
          <w:lang w:bidi="he-IL"/>
        </w:rPr>
        <w:t xml:space="preserve"> </w:t>
      </w:r>
      <w:r w:rsidR="00F23E7F" w:rsidRPr="00882F11">
        <w:rPr>
          <w:rFonts w:cs="Guttman Drogolin" w:hint="cs"/>
          <w:rtl/>
          <w:lang w:bidi="he-IL"/>
        </w:rPr>
        <w:t>לקמן</w:t>
      </w:r>
      <w:r w:rsidR="00F23E7F" w:rsidRPr="00882F11">
        <w:rPr>
          <w:rFonts w:cs="Guttman Drogolin"/>
          <w:rtl/>
          <w:lang w:bidi="he-IL"/>
        </w:rPr>
        <w:t xml:space="preserve"> (</w:t>
      </w:r>
      <w:r w:rsidR="00F23E7F" w:rsidRPr="00882F11">
        <w:rPr>
          <w:rFonts w:cs="Guttman Drogolin" w:hint="cs"/>
          <w:rtl/>
          <w:lang w:bidi="he-IL"/>
        </w:rPr>
        <w:t>דף</w:t>
      </w:r>
      <w:r w:rsidR="00F23E7F" w:rsidRPr="00882F11">
        <w:rPr>
          <w:rFonts w:cs="Guttman Drogolin"/>
          <w:rtl/>
          <w:lang w:bidi="he-IL"/>
        </w:rPr>
        <w:t xml:space="preserve"> </w:t>
      </w:r>
      <w:r w:rsidR="00F23E7F" w:rsidRPr="00882F11">
        <w:rPr>
          <w:rFonts w:cs="Guttman Drogolin" w:hint="cs"/>
          <w:rtl/>
          <w:lang w:bidi="he-IL"/>
        </w:rPr>
        <w:t>ק</w:t>
      </w:r>
      <w:r w:rsidR="00F23E7F" w:rsidRPr="00882F11">
        <w:rPr>
          <w:rFonts w:cs="Guttman Drogolin"/>
          <w:rtl/>
          <w:lang w:bidi="he-IL"/>
        </w:rPr>
        <w:t xml:space="preserve">.) </w:t>
      </w:r>
      <w:r w:rsidR="00F23E7F" w:rsidRPr="00882F11">
        <w:rPr>
          <w:rFonts w:cs="Guttman Drogolin" w:hint="cs"/>
          <w:rtl/>
          <w:lang w:bidi="he-IL"/>
        </w:rPr>
        <w:t>דבריה</w:t>
      </w:r>
      <w:r w:rsidR="00F23E7F" w:rsidRPr="00882F11">
        <w:rPr>
          <w:rFonts w:cs="Guttman Drogolin"/>
          <w:rtl/>
          <w:lang w:bidi="he-IL"/>
        </w:rPr>
        <w:t xml:space="preserve"> </w:t>
      </w:r>
      <w:r w:rsidR="00F23E7F" w:rsidRPr="00882F11">
        <w:rPr>
          <w:rFonts w:cs="Guttman Drogolin" w:hint="cs"/>
          <w:rtl/>
          <w:lang w:bidi="he-IL"/>
        </w:rPr>
        <w:t>לא</w:t>
      </w:r>
      <w:r w:rsidR="00F23E7F" w:rsidRPr="00882F11">
        <w:rPr>
          <w:rFonts w:cs="Guttman Drogolin"/>
          <w:rtl/>
          <w:lang w:bidi="he-IL"/>
        </w:rPr>
        <w:t xml:space="preserve"> </w:t>
      </w:r>
      <w:r w:rsidR="00F23E7F" w:rsidRPr="00882F11">
        <w:rPr>
          <w:rFonts w:cs="Guttman Drogolin" w:hint="cs"/>
          <w:rtl/>
          <w:lang w:bidi="he-IL"/>
        </w:rPr>
        <w:t>בטלה"</w:t>
      </w:r>
      <w:r w:rsidR="00AE25D0" w:rsidRPr="00882F11">
        <w:rPr>
          <w:rFonts w:cs="Guttman Drogolin" w:hint="cs"/>
          <w:rtl/>
          <w:lang w:bidi="he-IL"/>
        </w:rPr>
        <w:t xml:space="preserve">, </w:t>
      </w:r>
      <w:r w:rsidR="00AE25D0" w:rsidRPr="00882F11">
        <w:rPr>
          <w:rFonts w:cs="Guttman Drogolin" w:hint="cs"/>
          <w:rtl/>
          <w:lang w:bidi="he-IL"/>
        </w:rPr>
        <w:lastRenderedPageBreak/>
        <w:t>וסתימת הדבר</w:t>
      </w:r>
      <w:r w:rsidR="00F23E7F" w:rsidRPr="00882F11">
        <w:rPr>
          <w:rFonts w:cs="Guttman Drogolin" w:hint="cs"/>
          <w:rtl/>
          <w:lang w:bidi="he-IL"/>
        </w:rPr>
        <w:t xml:space="preserve">ים משמע שלא הקשו </w:t>
      </w:r>
      <w:r w:rsidR="00AE25D0" w:rsidRPr="00882F11">
        <w:rPr>
          <w:rFonts w:cs="Guttman Drogolin" w:hint="cs"/>
          <w:rtl/>
          <w:lang w:bidi="he-IL"/>
        </w:rPr>
        <w:t>א</w:t>
      </w:r>
      <w:r w:rsidR="00F23E7F" w:rsidRPr="00882F11">
        <w:rPr>
          <w:rFonts w:cs="Guttman Drogolin" w:hint="cs"/>
          <w:rtl/>
          <w:lang w:bidi="he-IL"/>
        </w:rPr>
        <w:t>ליבא דר' ביבי בלבד אלא גם לפי מסקנת הגמ' אית לי' לר"ש ברי' רק שלענין מלקות אינו צריך.</w:t>
      </w:r>
      <w:r w:rsidR="00F23E7F" w:rsidRPr="00882F11">
        <w:rPr>
          <w:rFonts w:cs="Guttman Drogolin"/>
          <w:rtl/>
          <w:lang w:bidi="he-IL"/>
        </w:rPr>
        <w:t xml:space="preserve"> </w:t>
      </w:r>
    </w:p>
    <w:p w:rsidR="00AE25D0" w:rsidRPr="00882F11" w:rsidRDefault="00AE25D0" w:rsidP="00343647">
      <w:pPr>
        <w:bidi/>
        <w:jc w:val="both"/>
        <w:rPr>
          <w:rFonts w:cs="Guttman Drogolin"/>
          <w:rtl/>
          <w:lang w:bidi="he-IL"/>
        </w:rPr>
      </w:pPr>
      <w:r w:rsidRPr="00882F11">
        <w:rPr>
          <w:rFonts w:cs="Guttman Drogolin" w:hint="cs"/>
          <w:rtl/>
          <w:lang w:bidi="he-IL"/>
        </w:rPr>
        <w:t>ונראה לי לבאר סוף דבריהם שכתבו "וכי</w:t>
      </w:r>
      <w:r w:rsidRPr="00882F11">
        <w:rPr>
          <w:rFonts w:cs="Guttman Drogolin"/>
          <w:rtl/>
          <w:lang w:bidi="he-IL"/>
        </w:rPr>
        <w:t xml:space="preserve"> </w:t>
      </w:r>
      <w:r w:rsidRPr="00882F11">
        <w:rPr>
          <w:rFonts w:cs="Guttman Drogolin" w:hint="cs"/>
          <w:rtl/>
          <w:lang w:bidi="he-IL"/>
        </w:rPr>
        <w:t>תימא</w:t>
      </w:r>
      <w:r w:rsidRPr="00882F11">
        <w:rPr>
          <w:rFonts w:cs="Guttman Drogolin"/>
          <w:rtl/>
          <w:lang w:bidi="he-IL"/>
        </w:rPr>
        <w:t xml:space="preserve"> </w:t>
      </w:r>
      <w:r w:rsidRPr="00882F11">
        <w:rPr>
          <w:rFonts w:cs="Guttman Drogolin" w:hint="cs"/>
          <w:rtl/>
          <w:lang w:bidi="he-IL"/>
        </w:rPr>
        <w:t>דהתם</w:t>
      </w:r>
      <w:r w:rsidRPr="00882F11">
        <w:rPr>
          <w:rFonts w:cs="Guttman Drogolin"/>
          <w:rtl/>
          <w:lang w:bidi="he-IL"/>
        </w:rPr>
        <w:t xml:space="preserve"> </w:t>
      </w:r>
      <w:r w:rsidRPr="00882F11">
        <w:rPr>
          <w:rFonts w:cs="Guttman Drogolin" w:hint="cs"/>
          <w:rtl/>
          <w:lang w:bidi="he-IL"/>
        </w:rPr>
        <w:t>היינו</w:t>
      </w:r>
      <w:r w:rsidRPr="00882F11">
        <w:rPr>
          <w:rFonts w:cs="Guttman Drogolin"/>
          <w:rtl/>
          <w:lang w:bidi="he-IL"/>
        </w:rPr>
        <w:t xml:space="preserve"> </w:t>
      </w:r>
      <w:r w:rsidRPr="00882F11">
        <w:rPr>
          <w:rFonts w:cs="Guttman Drogolin" w:hint="cs"/>
          <w:rtl/>
          <w:lang w:bidi="he-IL"/>
        </w:rPr>
        <w:t>טעמא</w:t>
      </w:r>
      <w:r w:rsidRPr="00882F11">
        <w:rPr>
          <w:rFonts w:cs="Guttman Drogolin"/>
          <w:rtl/>
          <w:lang w:bidi="he-IL"/>
        </w:rPr>
        <w:t xml:space="preserve"> </w:t>
      </w:r>
      <w:r w:rsidRPr="00882F11">
        <w:rPr>
          <w:rFonts w:cs="Guttman Drogolin" w:hint="cs"/>
          <w:rtl/>
          <w:lang w:bidi="he-IL"/>
        </w:rPr>
        <w:t>דכשנולד</w:t>
      </w:r>
      <w:r w:rsidRPr="00882F11">
        <w:rPr>
          <w:rFonts w:cs="Guttman Drogolin"/>
          <w:rtl/>
          <w:lang w:bidi="he-IL"/>
        </w:rPr>
        <w:t xml:space="preserve"> </w:t>
      </w:r>
      <w:r w:rsidRPr="00882F11">
        <w:rPr>
          <w:rFonts w:cs="Guttman Drogolin" w:hint="cs"/>
          <w:rtl/>
          <w:lang w:bidi="he-IL"/>
        </w:rPr>
        <w:t>נולד</w:t>
      </w:r>
      <w:r w:rsidRPr="00882F11">
        <w:rPr>
          <w:rFonts w:cs="Guttman Drogolin"/>
          <w:rtl/>
          <w:lang w:bidi="he-IL"/>
        </w:rPr>
        <w:t xml:space="preserve"> </w:t>
      </w:r>
      <w:r w:rsidRPr="00882F11">
        <w:rPr>
          <w:rFonts w:cs="Guttman Drogolin" w:hint="cs"/>
          <w:rtl/>
          <w:lang w:bidi="he-IL"/>
        </w:rPr>
        <w:t>האיסור</w:t>
      </w:r>
      <w:r w:rsidRPr="00882F11">
        <w:rPr>
          <w:rFonts w:cs="Guttman Drogolin"/>
          <w:rtl/>
          <w:lang w:bidi="he-IL"/>
        </w:rPr>
        <w:t xml:space="preserve"> </w:t>
      </w:r>
      <w:r w:rsidRPr="00882F11">
        <w:rPr>
          <w:rFonts w:cs="Guttman Drogolin" w:hint="cs"/>
          <w:rtl/>
          <w:lang w:bidi="he-IL"/>
        </w:rPr>
        <w:t>עמו</w:t>
      </w:r>
      <w:r w:rsidRPr="00882F11">
        <w:rPr>
          <w:rFonts w:cs="Guttman Drogolin"/>
          <w:rtl/>
          <w:lang w:bidi="he-IL"/>
        </w:rPr>
        <w:t xml:space="preserve"> </w:t>
      </w:r>
      <w:r w:rsidRPr="00882F11">
        <w:rPr>
          <w:rFonts w:cs="Guttman Drogolin" w:hint="cs"/>
          <w:rtl/>
          <w:lang w:bidi="he-IL"/>
        </w:rPr>
        <w:t>כמו</w:t>
      </w:r>
      <w:r w:rsidRPr="00882F11">
        <w:rPr>
          <w:rFonts w:cs="Guttman Drogolin"/>
          <w:rtl/>
          <w:lang w:bidi="he-IL"/>
        </w:rPr>
        <w:t xml:space="preserve"> </w:t>
      </w:r>
      <w:r w:rsidRPr="00882F11">
        <w:rPr>
          <w:rFonts w:cs="Guttman Drogolin" w:hint="cs"/>
          <w:rtl/>
          <w:lang w:bidi="he-IL"/>
        </w:rPr>
        <w:t>גיד</w:t>
      </w:r>
      <w:r w:rsidRPr="00882F11">
        <w:rPr>
          <w:rFonts w:cs="Guttman Drogolin"/>
          <w:rtl/>
          <w:lang w:bidi="he-IL"/>
        </w:rPr>
        <w:t xml:space="preserve"> </w:t>
      </w:r>
      <w:r w:rsidRPr="00882F11">
        <w:rPr>
          <w:rFonts w:cs="Guttman Drogolin" w:hint="cs"/>
          <w:rtl/>
          <w:lang w:bidi="he-IL"/>
        </w:rPr>
        <w:t>ושרצים</w:t>
      </w:r>
      <w:r w:rsidRPr="00882F11">
        <w:rPr>
          <w:rFonts w:cs="Guttman Drogolin"/>
          <w:rtl/>
          <w:lang w:bidi="he-IL"/>
        </w:rPr>
        <w:t xml:space="preserve"> </w:t>
      </w:r>
      <w:r w:rsidRPr="00882F11">
        <w:rPr>
          <w:rFonts w:cs="Guttman Drogolin" w:hint="cs"/>
          <w:rtl/>
          <w:lang w:bidi="he-IL"/>
        </w:rPr>
        <w:t>ואבר</w:t>
      </w:r>
      <w:r w:rsidRPr="00882F11">
        <w:rPr>
          <w:rFonts w:cs="Guttman Drogolin"/>
          <w:rtl/>
          <w:lang w:bidi="he-IL"/>
        </w:rPr>
        <w:t xml:space="preserve"> </w:t>
      </w:r>
      <w:r w:rsidRPr="00882F11">
        <w:rPr>
          <w:rFonts w:cs="Guttman Drogolin" w:hint="cs"/>
          <w:rtl/>
          <w:lang w:bidi="he-IL"/>
        </w:rPr>
        <w:t>מן</w:t>
      </w:r>
      <w:r w:rsidRPr="00882F11">
        <w:rPr>
          <w:rFonts w:cs="Guttman Drogolin"/>
          <w:rtl/>
          <w:lang w:bidi="he-IL"/>
        </w:rPr>
        <w:t xml:space="preserve"> </w:t>
      </w:r>
      <w:r w:rsidRPr="00882F11">
        <w:rPr>
          <w:rFonts w:cs="Guttman Drogolin" w:hint="cs"/>
          <w:rtl/>
          <w:lang w:bidi="he-IL"/>
        </w:rPr>
        <w:t>החי</w:t>
      </w:r>
      <w:r w:rsidRPr="00882F11">
        <w:rPr>
          <w:rFonts w:cs="Guttman Drogolin"/>
          <w:rtl/>
          <w:lang w:bidi="he-IL"/>
        </w:rPr>
        <w:t xml:space="preserve"> </w:t>
      </w:r>
      <w:r w:rsidRPr="00882F11">
        <w:rPr>
          <w:rFonts w:cs="Guttman Drogolin" w:hint="cs"/>
          <w:rtl/>
          <w:lang w:bidi="he-IL"/>
        </w:rPr>
        <w:t>ועופות</w:t>
      </w:r>
      <w:r w:rsidRPr="00882F11">
        <w:rPr>
          <w:rFonts w:cs="Guttman Drogolin"/>
          <w:rtl/>
          <w:lang w:bidi="he-IL"/>
        </w:rPr>
        <w:t xml:space="preserve"> </w:t>
      </w:r>
      <w:r w:rsidRPr="00882F11">
        <w:rPr>
          <w:rFonts w:cs="Guttman Drogolin" w:hint="cs"/>
          <w:rtl/>
          <w:lang w:bidi="he-IL"/>
        </w:rPr>
        <w:t>טמאים</w:t>
      </w:r>
      <w:r w:rsidRPr="00882F11">
        <w:rPr>
          <w:rFonts w:cs="Guttman Drogolin"/>
          <w:rtl/>
          <w:lang w:bidi="he-IL"/>
        </w:rPr>
        <w:t xml:space="preserve"> </w:t>
      </w:r>
      <w:r w:rsidRPr="00882F11">
        <w:rPr>
          <w:rFonts w:cs="Guttman Drogolin" w:hint="cs"/>
          <w:rtl/>
          <w:lang w:bidi="he-IL"/>
        </w:rPr>
        <w:t>אבל</w:t>
      </w:r>
      <w:r w:rsidRPr="00882F11">
        <w:rPr>
          <w:rFonts w:cs="Guttman Drogolin"/>
          <w:rtl/>
          <w:lang w:bidi="he-IL"/>
        </w:rPr>
        <w:t xml:space="preserve"> </w:t>
      </w:r>
      <w:r w:rsidRPr="00882F11">
        <w:rPr>
          <w:rFonts w:cs="Guttman Drogolin" w:hint="cs"/>
          <w:rtl/>
          <w:lang w:bidi="he-IL"/>
        </w:rPr>
        <w:t>תרומה</w:t>
      </w:r>
      <w:r w:rsidRPr="00882F11">
        <w:rPr>
          <w:rFonts w:cs="Guttman Drogolin"/>
          <w:rtl/>
          <w:lang w:bidi="he-IL"/>
        </w:rPr>
        <w:t xml:space="preserve"> </w:t>
      </w:r>
      <w:r w:rsidRPr="00882F11">
        <w:rPr>
          <w:rFonts w:cs="Guttman Drogolin" w:hint="cs"/>
          <w:rtl/>
          <w:lang w:bidi="he-IL"/>
        </w:rPr>
        <w:t>מותר</w:t>
      </w:r>
      <w:r w:rsidRPr="00882F11">
        <w:rPr>
          <w:rFonts w:cs="Guttman Drogolin"/>
          <w:rtl/>
          <w:lang w:bidi="he-IL"/>
        </w:rPr>
        <w:t xml:space="preserve"> </w:t>
      </w:r>
      <w:r w:rsidRPr="00882F11">
        <w:rPr>
          <w:rFonts w:cs="Guttman Drogolin" w:hint="cs"/>
          <w:rtl/>
          <w:lang w:bidi="he-IL"/>
        </w:rPr>
        <w:t>עד</w:t>
      </w:r>
      <w:r w:rsidRPr="00882F11">
        <w:rPr>
          <w:rFonts w:cs="Guttman Drogolin"/>
          <w:rtl/>
          <w:lang w:bidi="he-IL"/>
        </w:rPr>
        <w:t xml:space="preserve"> </w:t>
      </w:r>
      <w:r w:rsidRPr="00882F11">
        <w:rPr>
          <w:rFonts w:cs="Guttman Drogolin" w:hint="cs"/>
          <w:rtl/>
          <w:lang w:bidi="he-IL"/>
        </w:rPr>
        <w:t>שימרח</w:t>
      </w:r>
      <w:r w:rsidRPr="00882F11">
        <w:rPr>
          <w:rFonts w:cs="Guttman Drogolin"/>
          <w:rtl/>
          <w:lang w:bidi="he-IL"/>
        </w:rPr>
        <w:t xml:space="preserve"> </w:t>
      </w:r>
      <w:r w:rsidRPr="00882F11">
        <w:rPr>
          <w:rFonts w:cs="Guttman Drogolin" w:hint="cs"/>
          <w:rtl/>
          <w:lang w:bidi="he-IL"/>
        </w:rPr>
        <w:t>אכתי</w:t>
      </w:r>
      <w:r w:rsidRPr="00882F11">
        <w:rPr>
          <w:rFonts w:cs="Guttman Drogolin"/>
          <w:rtl/>
          <w:lang w:bidi="he-IL"/>
        </w:rPr>
        <w:t xml:space="preserve"> </w:t>
      </w:r>
      <w:r w:rsidRPr="00882F11">
        <w:rPr>
          <w:rFonts w:cs="Guttman Drogolin" w:hint="cs"/>
          <w:rtl/>
          <w:lang w:bidi="he-IL"/>
        </w:rPr>
        <w:t>ערלה</w:t>
      </w:r>
      <w:r w:rsidRPr="00882F11">
        <w:rPr>
          <w:rFonts w:cs="Guttman Drogolin"/>
          <w:rtl/>
          <w:lang w:bidi="he-IL"/>
        </w:rPr>
        <w:t xml:space="preserve"> </w:t>
      </w:r>
      <w:r w:rsidRPr="00882F11">
        <w:rPr>
          <w:rFonts w:cs="Guttman Drogolin" w:hint="cs"/>
          <w:rtl/>
          <w:lang w:bidi="he-IL"/>
        </w:rPr>
        <w:t>וכלאי</w:t>
      </w:r>
      <w:r w:rsidRPr="00882F11">
        <w:rPr>
          <w:rFonts w:cs="Guttman Drogolin"/>
          <w:rtl/>
          <w:lang w:bidi="he-IL"/>
        </w:rPr>
        <w:t xml:space="preserve"> </w:t>
      </w:r>
      <w:r w:rsidRPr="00882F11">
        <w:rPr>
          <w:rFonts w:cs="Guttman Drogolin" w:hint="cs"/>
          <w:rtl/>
          <w:lang w:bidi="he-IL"/>
        </w:rPr>
        <w:t>הכרם</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ליבטלו" והיינו דס"ד שאין קושיא כיון שלעולם ברי' בטילה אא"כ הוא אסור מתחילת ברייתו, ותרומה הרי אינה אסורה מתחילת ברייתו, אבל בכל</w:t>
      </w:r>
      <w:r w:rsidR="00343647" w:rsidRPr="00882F11">
        <w:rPr>
          <w:rFonts w:cs="Guttman Drogolin" w:hint="cs"/>
          <w:rtl/>
          <w:lang w:bidi="he-IL"/>
        </w:rPr>
        <w:t>א</w:t>
      </w:r>
      <w:r w:rsidRPr="00882F11">
        <w:rPr>
          <w:rFonts w:cs="Guttman Drogolin" w:hint="cs"/>
          <w:rtl/>
          <w:lang w:bidi="he-IL"/>
        </w:rPr>
        <w:t>י הכרם וערלה אי אפשר לומר כן, ונשארו בקושיא. והגירסא שלפנינו כנ"ל שתרומה אינה אסורה אלא "עד שימרח". ולכאורה צ"ע דהא גם משעת מירוח עדיין ליכא איסור תרומה רק איסור טבל. והו"ל למימר עד שיפרי, וכן באמת הגי' שם הרש"ש. אבל עדיין צ"ע כמו שהקשה רע"א, שאם כדבריהם דתרומה לא חשובה ברי' כיון שאינו אסור מתחילת ברייתו, הא גם החיטה שדנו בה במתני' שבמס' מכות אינה אסורה עד שימרח, וא"כ מאי קאמר ר' שמעון אף חיטה אחת כברייתה. ולגירסא שלפנינו לכאורה עוד יותר קשה, דהא בין תרומה ובין טבל אינו אלא עד שימרח, וא"כ מאי שנא תרומה מטבל.</w:t>
      </w:r>
    </w:p>
    <w:p w:rsidR="00AE25D0" w:rsidRPr="00882F11" w:rsidRDefault="00AE25D0" w:rsidP="00AE25D0">
      <w:pPr>
        <w:bidi/>
        <w:jc w:val="both"/>
        <w:rPr>
          <w:rFonts w:cs="Guttman Drogolin"/>
          <w:rtl/>
          <w:lang w:bidi="he-IL"/>
        </w:rPr>
      </w:pPr>
      <w:r w:rsidRPr="00882F11">
        <w:rPr>
          <w:rFonts w:cs="Guttman Drogolin" w:hint="cs"/>
          <w:rtl/>
          <w:lang w:bidi="he-IL"/>
        </w:rPr>
        <w:t>וביישוב הקושיא לכאורה נראה לומר, דהנה אומרים העולם שמרש"י במס' יבמות</w:t>
      </w:r>
      <w:r w:rsidR="00757D91" w:rsidRPr="00882F11">
        <w:rPr>
          <w:rFonts w:cs="Guttman Drogolin" w:hint="cs"/>
          <w:rtl/>
          <w:lang w:bidi="he-IL"/>
        </w:rPr>
        <w:t xml:space="preserve"> </w:t>
      </w:r>
      <w:r w:rsidRPr="00882F11">
        <w:rPr>
          <w:rFonts w:cs="Guttman Drogolin" w:hint="cs"/>
          <w:rtl/>
          <w:lang w:bidi="he-IL"/>
        </w:rPr>
        <w:t xml:space="preserve">דף פ"ו ע"א מבואר שהיסוד של איסור טבל הוא משום שיש בה תערובת של תרומה (וזה עצמו צריך פירוש דהא תרומה ממש עדיין אין כאן עד שיפריש, ואכמ"ל בזה). והתוס' שם חולקים עליו ע"ש. והנה אם נימא שהתוס' סוברים כשיטת רש"י לכאורה אפשר לבא הגירסא שלפנינו בלי הגהת הרש"ש, ולעולם האיסור מתחיל משעת מירוח, רק שמאז אינו אסור אלא משום תערובת תרומה, ומשיפריש הוי תרומה גמורה, אבל עדיין י"ל שהיא אסורה משעת מירוח. וא"כ לכאורה אפשר ללבא וליישב גם קושיית רע"א, והוא שי"ל שהשם טבל חל על הפירות כבר מתחילת ברייתן, שמשו"ה אפשר להפריש מממנו תרו"מ אפילו קודם מירוח. רק שלא נאסר טבל באכילה עד שימרח. ולכן כיון שיש לו טבל כבר מעיקרא </w:t>
      </w:r>
      <w:r w:rsidRPr="00882F11">
        <w:rPr>
          <w:rFonts w:cs="Guttman Drogolin" w:hint="cs"/>
          <w:rtl/>
          <w:lang w:bidi="he-IL"/>
        </w:rPr>
        <w:lastRenderedPageBreak/>
        <w:t>מתחילת ברייתו, ועכשיו הטבל אסור שפיר אפשר לומר דהוי ברי'. אמנם לענין תרומה י"ל שאין לטבל שם תרומה עד שנאסר באכילה, וזהו גופא מה שקורה בשעת מירוח, שנהפך הטבל מלהיות סתם דבר שעתידים להפריש ממנו תרו"מ להיות כבר פתיח בי' ענין תרומה ולכן אסור באכילה. ולכן לענין תרומה שלא חל עליו עד מירוח איכא למימר דלא הוי ברי'. וחידוש הוא.</w:t>
      </w:r>
      <w:r w:rsidR="00383FE9" w:rsidRPr="00882F11">
        <w:rPr>
          <w:rFonts w:cs="Guttman Drogolin" w:hint="cs"/>
          <w:rtl/>
          <w:lang w:bidi="he-IL"/>
        </w:rPr>
        <w:t xml:space="preserve"> </w:t>
      </w:r>
    </w:p>
    <w:p w:rsidR="00383FE9" w:rsidRPr="000F6DEF" w:rsidRDefault="00383FE9" w:rsidP="0078079C">
      <w:pPr>
        <w:pStyle w:val="Heading1"/>
        <w:bidi/>
        <w:spacing w:before="0" w:line="360" w:lineRule="auto"/>
        <w:jc w:val="center"/>
        <w:rPr>
          <w:rFonts w:cs="Guttman Drogolin"/>
          <w:color w:val="auto"/>
          <w:sz w:val="22"/>
          <w:szCs w:val="22"/>
          <w:u w:val="single"/>
          <w:rtl/>
          <w:lang w:bidi="he-IL"/>
        </w:rPr>
      </w:pPr>
      <w:bookmarkStart w:id="61" w:name="_Toc496175324"/>
      <w:r w:rsidRPr="000F6DEF">
        <w:rPr>
          <w:rFonts w:cs="Guttman Drogolin" w:hint="cs"/>
          <w:color w:val="auto"/>
          <w:sz w:val="22"/>
          <w:szCs w:val="22"/>
          <w:u w:val="single"/>
          <w:rtl/>
          <w:lang w:bidi="he-IL"/>
        </w:rPr>
        <w:t>בדין חתיכה הראוי' להתכבד בה לפני האורחים</w:t>
      </w:r>
      <w:bookmarkEnd w:id="61"/>
    </w:p>
    <w:p w:rsidR="00851B7C" w:rsidRPr="00882F11" w:rsidRDefault="00383FE9" w:rsidP="00851B7C">
      <w:pPr>
        <w:bidi/>
        <w:jc w:val="both"/>
        <w:rPr>
          <w:rFonts w:cs="Guttman Drogolin"/>
          <w:rtl/>
          <w:lang w:bidi="he-IL"/>
        </w:rPr>
      </w:pPr>
      <w:r w:rsidRPr="00882F11">
        <w:rPr>
          <w:rFonts w:cs="Guttman Drogolin" w:hint="cs"/>
          <w:rtl/>
          <w:lang w:bidi="he-IL"/>
        </w:rPr>
        <w:t>בהמשך הגמ'</w:t>
      </w:r>
      <w:r w:rsidR="00851B7C" w:rsidRPr="00882F11">
        <w:rPr>
          <w:rFonts w:cs="Guttman Drogolin" w:hint="cs"/>
          <w:rtl/>
          <w:lang w:bidi="he-IL"/>
        </w:rPr>
        <w:t>,</w:t>
      </w:r>
      <w:r w:rsidRPr="00882F11">
        <w:rPr>
          <w:rFonts w:cs="Guttman Drogolin" w:hint="cs"/>
          <w:rtl/>
          <w:lang w:bidi="he-IL"/>
        </w:rPr>
        <w:t xml:space="preserve"> הגמ' חוזר ומתקשה בסיפא של המתני' שכתוב שם שחתיכת נבילה או דג טמא ג"כ אינו בטל אם אינו מכירו. ושוב מקשה הגמ' שלמה לא אמרינן שתיבטל ברוב. והנה לשיטת ר' מאיר יש לנו כלל שדבר שבמנין לא בטל. </w:t>
      </w:r>
      <w:r w:rsidR="00851B7C" w:rsidRPr="00882F11">
        <w:rPr>
          <w:rFonts w:cs="Guttman Drogolin" w:hint="cs"/>
          <w:rtl/>
          <w:lang w:bidi="he-IL"/>
        </w:rPr>
        <w:t xml:space="preserve">ולכן </w:t>
      </w:r>
      <w:r w:rsidRPr="00882F11">
        <w:rPr>
          <w:rFonts w:cs="Guttman Drogolin" w:hint="cs"/>
          <w:rtl/>
          <w:lang w:bidi="he-IL"/>
        </w:rPr>
        <w:t>אומרת הגמ' דבשלמא למ"ד כל שדרכו לימנות שנינו שפיר יש להבין למה אינו בטל, דהא גם חתיכה הוי דבר שלפעמים מונים אותו</w:t>
      </w:r>
      <w:r w:rsidR="00851B7C" w:rsidRPr="00882F11">
        <w:rPr>
          <w:rFonts w:cs="Guttman Drogolin" w:hint="cs"/>
          <w:rtl/>
          <w:lang w:bidi="he-IL"/>
        </w:rPr>
        <w:t xml:space="preserve"> והוי בכלל דבר שבמנין דלא בטל</w:t>
      </w:r>
      <w:r w:rsidRPr="00882F11">
        <w:rPr>
          <w:rFonts w:cs="Guttman Drogolin" w:hint="cs"/>
          <w:rtl/>
          <w:lang w:bidi="he-IL"/>
        </w:rPr>
        <w:t>. אבל למ"ד את שדרכו לימנות שנינו</w:t>
      </w:r>
      <w:r w:rsidR="00851B7C" w:rsidRPr="00882F11">
        <w:rPr>
          <w:rFonts w:cs="Guttman Drogolin" w:hint="cs"/>
          <w:rtl/>
          <w:lang w:bidi="he-IL"/>
        </w:rPr>
        <w:t>, שרק דבר לעולם מונין אותו הא אין חתיכה דבר שלעולם מונין אותו, וא"כ למה לא תא בטל.</w:t>
      </w:r>
      <w:r w:rsidR="00FE1106" w:rsidRPr="00882F11">
        <w:rPr>
          <w:rFonts w:cs="Guttman Drogolin" w:hint="cs"/>
          <w:rtl/>
          <w:lang w:bidi="he-IL"/>
        </w:rPr>
        <w:t xml:space="preserve"> ומתרצת הגמ' דשאני חתיכה הואיל ראוי' ל</w:t>
      </w:r>
      <w:r w:rsidR="00851B7C" w:rsidRPr="00882F11">
        <w:rPr>
          <w:rFonts w:cs="Guttman Drogolin" w:hint="cs"/>
          <w:rtl/>
          <w:lang w:bidi="he-IL"/>
        </w:rPr>
        <w:t>התכבד בה לפני ה</w:t>
      </w:r>
      <w:r w:rsidR="00FE1106" w:rsidRPr="00882F11">
        <w:rPr>
          <w:rFonts w:cs="Guttman Drogolin" w:hint="cs"/>
          <w:rtl/>
          <w:lang w:bidi="he-IL"/>
        </w:rPr>
        <w:t>אורחים</w:t>
      </w:r>
      <w:r w:rsidR="00851B7C" w:rsidRPr="00882F11">
        <w:rPr>
          <w:rFonts w:cs="Guttman Drogolin" w:hint="cs"/>
          <w:rtl/>
          <w:lang w:bidi="he-IL"/>
        </w:rPr>
        <w:t>.</w:t>
      </w:r>
    </w:p>
    <w:p w:rsidR="004338DD" w:rsidRPr="00882F11" w:rsidRDefault="00707592" w:rsidP="00935448">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חתיכה הראוי' להתכבד</w:instrText>
      </w:r>
      <w:r w:rsidRPr="00882F11">
        <w:rPr>
          <w:rFonts w:cs="Guttman Drogolin"/>
          <w:rtl/>
        </w:rPr>
        <w:instrText>:</w:instrText>
      </w:r>
      <w:r w:rsidRPr="00882F11">
        <w:rPr>
          <w:rFonts w:cs="Guttman Drogolin" w:hint="cs"/>
          <w:rtl/>
          <w:lang w:bidi="he-IL"/>
        </w:rPr>
        <w:instrText>אע</w:instrText>
      </w:r>
      <w:r w:rsidRPr="00882F11">
        <w:rPr>
          <w:rFonts w:eastAsiaTheme="minorEastAsia" w:cs="Guttman Drogolin"/>
          <w:lang w:bidi="he-IL"/>
        </w:rPr>
        <w:instrText>\</w:instrText>
      </w:r>
      <w:r w:rsidRPr="00882F11">
        <w:rPr>
          <w:rFonts w:cs="Guttman Drogolin" w:hint="cs"/>
          <w:rtl/>
          <w:lang w:bidi="he-IL"/>
        </w:rPr>
        <w:instrText>"פ שאין מכבדים בדבר האסור באכילה</w:instrText>
      </w:r>
      <w:r w:rsidRPr="00882F11">
        <w:rPr>
          <w:rFonts w:cs="Guttman Drogolin"/>
        </w:rPr>
        <w:instrText xml:space="preserve">" </w:instrText>
      </w:r>
      <w:r w:rsidRPr="00882F11">
        <w:rPr>
          <w:rFonts w:cs="Guttman Drogolin"/>
          <w:rtl/>
          <w:lang w:bidi="he-IL"/>
        </w:rPr>
        <w:fldChar w:fldCharType="end"/>
      </w:r>
      <w:r w:rsidR="00851B7C" w:rsidRPr="00882F11">
        <w:rPr>
          <w:rFonts w:cs="Guttman Drogolin" w:hint="cs"/>
          <w:rtl/>
          <w:lang w:bidi="he-IL"/>
        </w:rPr>
        <w:t>והנה לכאורה לא יתכן שאיסור לא תיבטל מטע</w:t>
      </w:r>
      <w:r w:rsidRPr="00882F11">
        <w:rPr>
          <w:rFonts w:cs="Guttman Drogolin" w:hint="cs"/>
          <w:rtl/>
          <w:lang w:bidi="he-IL"/>
        </w:rPr>
        <w:t>ם</w:t>
      </w:r>
      <w:r w:rsidR="00851B7C" w:rsidRPr="00882F11">
        <w:rPr>
          <w:rFonts w:cs="Guttman Drogolin" w:hint="cs"/>
          <w:rtl/>
          <w:lang w:bidi="he-IL"/>
        </w:rPr>
        <w:t xml:space="preserve"> דהוי ראוי להתכבד בה לפני ה</w:t>
      </w:r>
      <w:r w:rsidR="00FE1106" w:rsidRPr="00882F11">
        <w:rPr>
          <w:rFonts w:cs="Guttman Drogolin" w:hint="cs"/>
          <w:rtl/>
          <w:lang w:bidi="he-IL"/>
        </w:rPr>
        <w:t>אורחים</w:t>
      </w:r>
      <w:r w:rsidR="00851B7C" w:rsidRPr="00882F11">
        <w:rPr>
          <w:rFonts w:cs="Guttman Drogolin" w:hint="cs"/>
          <w:rtl/>
          <w:lang w:bidi="he-IL"/>
        </w:rPr>
        <w:t xml:space="preserve">, דהא איך יכבד </w:t>
      </w:r>
      <w:r w:rsidR="00FE1106" w:rsidRPr="00882F11">
        <w:rPr>
          <w:rFonts w:cs="Guttman Drogolin" w:hint="cs"/>
          <w:rtl/>
          <w:lang w:bidi="he-IL"/>
        </w:rPr>
        <w:t>אורחים</w:t>
      </w:r>
      <w:r w:rsidR="00851B7C" w:rsidRPr="00882F11">
        <w:rPr>
          <w:rFonts w:cs="Guttman Drogolin" w:hint="cs"/>
          <w:rtl/>
          <w:lang w:bidi="he-IL"/>
        </w:rPr>
        <w:t xml:space="preserve"> בדבר שהוא אסור באכילה. ובר"</w:t>
      </w:r>
      <w:r w:rsidR="00AC291A" w:rsidRPr="00882F11">
        <w:rPr>
          <w:rFonts w:cs="Guttman Drogolin" w:hint="cs"/>
          <w:rtl/>
          <w:lang w:bidi="he-IL"/>
        </w:rPr>
        <w:t>ן מבואר ת</w:t>
      </w:r>
      <w:r w:rsidR="00851B7C" w:rsidRPr="00882F11">
        <w:rPr>
          <w:rFonts w:cs="Guttman Drogolin" w:hint="cs"/>
          <w:rtl/>
          <w:lang w:bidi="he-IL"/>
        </w:rPr>
        <w:t>י' פשוט לקושיא זו, והוא שא</w:t>
      </w:r>
      <w:r w:rsidR="00AC291A" w:rsidRPr="00882F11">
        <w:rPr>
          <w:rFonts w:cs="Guttman Drogolin" w:hint="cs"/>
          <w:rtl/>
          <w:lang w:bidi="he-IL"/>
        </w:rPr>
        <w:t>י</w:t>
      </w:r>
      <w:r w:rsidR="00851B7C" w:rsidRPr="00882F11">
        <w:rPr>
          <w:rFonts w:cs="Guttman Drogolin" w:hint="cs"/>
          <w:rtl/>
          <w:lang w:bidi="he-IL"/>
        </w:rPr>
        <w:t xml:space="preserve">ן אנו דנין אם הוא ראוי להתכבד ע"פ דינו באיסור והיתר, רק שחפצא של החתיכה אם היא צורת דבר שמכבדים בה </w:t>
      </w:r>
      <w:r w:rsidR="00FE1106" w:rsidRPr="00882F11">
        <w:rPr>
          <w:rFonts w:cs="Guttman Drogolin" w:hint="cs"/>
          <w:rtl/>
          <w:lang w:bidi="he-IL"/>
        </w:rPr>
        <w:t>אורחים</w:t>
      </w:r>
      <w:r w:rsidR="00851B7C" w:rsidRPr="00882F11">
        <w:rPr>
          <w:rFonts w:cs="Guttman Drogolin" w:hint="cs"/>
          <w:rtl/>
          <w:lang w:bidi="he-IL"/>
        </w:rPr>
        <w:t xml:space="preserve">, ולכן כיון שהיא חתיכה גדולה ומכובדת, שפיר אמרינן דלא בטל אע"פ שאסורה באכילה. </w:t>
      </w:r>
      <w:r w:rsidR="00AC291A" w:rsidRPr="00882F11">
        <w:rPr>
          <w:rFonts w:cs="Guttman Drogolin" w:hint="cs"/>
          <w:rtl/>
          <w:lang w:bidi="he-IL"/>
        </w:rPr>
        <w:t>אמנם ראשונים אחרים גנראה לא למדו כמותו. דהנה התוס' ועוד</w:t>
      </w:r>
      <w:r w:rsidR="00851B7C" w:rsidRPr="00882F11">
        <w:rPr>
          <w:rFonts w:cs="Guttman Drogolin" w:hint="cs"/>
          <w:rtl/>
          <w:lang w:bidi="he-IL"/>
        </w:rPr>
        <w:t xml:space="preserve"> </w:t>
      </w:r>
      <w:r w:rsidR="00AC291A" w:rsidRPr="00882F11">
        <w:rPr>
          <w:rFonts w:cs="Guttman Drogolin" w:hint="cs"/>
          <w:rtl/>
          <w:lang w:bidi="he-IL"/>
        </w:rPr>
        <w:t xml:space="preserve">ראשונים הקשו מכאן על הגמ' שבמס' יבמות ששם מבואר שחתיכת חטאת טמאה בטלה במאה, דהא </w:t>
      </w:r>
      <w:r w:rsidR="00403E7B" w:rsidRPr="00882F11">
        <w:rPr>
          <w:rFonts w:cs="Guttman Drogolin" w:hint="cs"/>
          <w:rtl/>
          <w:lang w:bidi="he-IL"/>
        </w:rPr>
        <w:t>בסוגין מבואר</w:t>
      </w:r>
      <w:r w:rsidR="00AC291A" w:rsidRPr="00882F11">
        <w:rPr>
          <w:rFonts w:cs="Guttman Drogolin" w:hint="cs"/>
          <w:rtl/>
          <w:lang w:bidi="he-IL"/>
        </w:rPr>
        <w:t xml:space="preserve"> </w:t>
      </w:r>
      <w:r w:rsidR="00403E7B" w:rsidRPr="00882F11">
        <w:rPr>
          <w:rFonts w:cs="Guttman Drogolin" w:hint="cs"/>
          <w:rtl/>
          <w:lang w:bidi="he-IL"/>
        </w:rPr>
        <w:t>ד</w:t>
      </w:r>
      <w:r w:rsidR="00AC291A" w:rsidRPr="00882F11">
        <w:rPr>
          <w:rFonts w:cs="Guttman Drogolin" w:hint="cs"/>
          <w:rtl/>
          <w:lang w:bidi="he-IL"/>
        </w:rPr>
        <w:t xml:space="preserve">חתיכה הרי היא ראוי' להתכבד בה לפני האורחים. (ודרך אגב נראה להדגיש שאין לתרץ לקושיות כאלו דהתם מיירי באינה ראוי' להתכבד בה לפני האורחים, משום שדקדוק לשון הגמ' כאן הוא דסתם חתיכה ראוי' להתכבד בה לפני האורחים, שהרי לא הגמ' לא קאמרה 'הכא במאי </w:t>
      </w:r>
      <w:r w:rsidR="00AC291A" w:rsidRPr="00882F11">
        <w:rPr>
          <w:rFonts w:cs="Guttman Drogolin" w:hint="cs"/>
          <w:rtl/>
          <w:lang w:bidi="he-IL"/>
        </w:rPr>
        <w:lastRenderedPageBreak/>
        <w:t>עסקינו בראוי' להתכבד וכו'</w:t>
      </w:r>
      <w:r w:rsidR="00935448" w:rsidRPr="00882F11">
        <w:rPr>
          <w:rFonts w:cs="Guttman Drogolin" w:hint="cs"/>
          <w:rtl/>
          <w:lang w:bidi="he-IL"/>
        </w:rPr>
        <w:t>'</w:t>
      </w:r>
      <w:r w:rsidR="00AC291A" w:rsidRPr="00882F11">
        <w:rPr>
          <w:rFonts w:cs="Guttman Drogolin" w:hint="cs"/>
          <w:rtl/>
          <w:lang w:bidi="he-IL"/>
        </w:rPr>
        <w:t xml:space="preserve"> רק </w:t>
      </w:r>
      <w:r w:rsidR="00403E7B" w:rsidRPr="00882F11">
        <w:rPr>
          <w:rFonts w:cs="Guttman Drogolin" w:hint="cs"/>
          <w:rtl/>
          <w:lang w:bidi="he-IL"/>
        </w:rPr>
        <w:t>'שאני</w:t>
      </w:r>
      <w:r w:rsidR="00403E7B" w:rsidRPr="00882F11">
        <w:rPr>
          <w:rFonts w:cs="Guttman Drogolin"/>
          <w:rtl/>
          <w:lang w:bidi="he-IL"/>
        </w:rPr>
        <w:t xml:space="preserve"> </w:t>
      </w:r>
      <w:r w:rsidR="00403E7B" w:rsidRPr="00882F11">
        <w:rPr>
          <w:rFonts w:cs="Guttman Drogolin" w:hint="cs"/>
          <w:rtl/>
          <w:lang w:bidi="he-IL"/>
        </w:rPr>
        <w:t>חתיכה</w:t>
      </w:r>
      <w:r w:rsidR="00403E7B" w:rsidRPr="00882F11">
        <w:rPr>
          <w:rFonts w:cs="Guttman Drogolin"/>
          <w:rtl/>
          <w:lang w:bidi="he-IL"/>
        </w:rPr>
        <w:t xml:space="preserve"> </w:t>
      </w:r>
      <w:r w:rsidR="00403E7B" w:rsidRPr="00882F11">
        <w:rPr>
          <w:rFonts w:cs="Guttman Drogolin" w:hint="cs"/>
          <w:rtl/>
          <w:lang w:bidi="he-IL"/>
        </w:rPr>
        <w:t>הואיל</w:t>
      </w:r>
      <w:r w:rsidR="00403E7B" w:rsidRPr="00882F11">
        <w:rPr>
          <w:rFonts w:cs="Guttman Drogolin"/>
          <w:rtl/>
          <w:lang w:bidi="he-IL"/>
        </w:rPr>
        <w:t xml:space="preserve"> </w:t>
      </w:r>
      <w:r w:rsidR="00403E7B" w:rsidRPr="00882F11">
        <w:rPr>
          <w:rFonts w:cs="Guttman Drogolin" w:hint="cs"/>
          <w:rtl/>
          <w:lang w:bidi="he-IL"/>
        </w:rPr>
        <w:t>וראויה</w:t>
      </w:r>
      <w:r w:rsidR="00403E7B" w:rsidRPr="00882F11">
        <w:rPr>
          <w:rFonts w:cs="Guttman Drogolin"/>
          <w:rtl/>
          <w:lang w:bidi="he-IL"/>
        </w:rPr>
        <w:t xml:space="preserve"> </w:t>
      </w:r>
      <w:r w:rsidR="00403E7B" w:rsidRPr="00882F11">
        <w:rPr>
          <w:rFonts w:cs="Guttman Drogolin" w:hint="cs"/>
          <w:rtl/>
          <w:lang w:bidi="he-IL"/>
        </w:rPr>
        <w:t xml:space="preserve">להתכבד', ור"ל דסתם חתיכה כן הוא ואין זו אוקימתא בעלמא). ותי' התוס' דשאני התם שאפילו לאחר ביטול לא יהא ראוי' להתכבד בה לפני האורחים, דהא התם מיירי </w:t>
      </w:r>
      <w:r w:rsidR="00D81F89" w:rsidRPr="00882F11">
        <w:rPr>
          <w:rFonts w:cs="Guttman Drogolin" w:hint="cs"/>
          <w:rtl/>
          <w:lang w:bidi="he-IL"/>
        </w:rPr>
        <w:t>במעורב בחטאות טהורות, ולכן אפילו לאחר הביטול לא יהא ראוי' להתכבד בה לפני האורחים, ומשו"ה בטל, משא"כ בנד"ד דלאחר הביטול שפיר יהא ראוי' להתכבד בה לפני ה</w:t>
      </w:r>
      <w:r w:rsidR="00FE1106" w:rsidRPr="00882F11">
        <w:rPr>
          <w:rFonts w:cs="Guttman Drogolin" w:hint="cs"/>
          <w:rtl/>
          <w:lang w:bidi="he-IL"/>
        </w:rPr>
        <w:t>אורחים</w:t>
      </w:r>
      <w:r w:rsidR="00D81F89" w:rsidRPr="00882F11">
        <w:rPr>
          <w:rFonts w:cs="Guttman Drogolin" w:hint="cs"/>
          <w:rtl/>
          <w:lang w:bidi="he-IL"/>
        </w:rPr>
        <w:t xml:space="preserve">, ומשו"ה לא בטל. הרי דחזינן שחלקו התוס' על הר"ן בתרתי, חדא שדינו לענין איסור והיתר </w:t>
      </w:r>
      <w:r w:rsidR="004338DD" w:rsidRPr="00882F11">
        <w:rPr>
          <w:rFonts w:cs="Guttman Drogolin" w:hint="cs"/>
          <w:rtl/>
          <w:lang w:bidi="he-IL"/>
        </w:rPr>
        <w:t>משפיע על היותו ראוי' להתכבד בה לפני האורחים, והר"ן הא כתב שאינו תלוי אלא בחפצא של החתיכה. ועוד נחלקו אי אזלינן בתר דינו קודם ביטול או לאחר ביטול, שהתוס' כתבו דאזלינן בתר דינו לאחר ביטול. ויש לבאר פלוגתתם.</w:t>
      </w:r>
    </w:p>
    <w:p w:rsidR="009A5F45" w:rsidRPr="00882F11" w:rsidRDefault="004338DD" w:rsidP="00484258">
      <w:pPr>
        <w:bidi/>
        <w:jc w:val="both"/>
        <w:rPr>
          <w:rFonts w:cs="Guttman Drogolin"/>
          <w:rtl/>
          <w:lang w:bidi="he-IL"/>
        </w:rPr>
      </w:pPr>
      <w:r w:rsidRPr="00882F11">
        <w:rPr>
          <w:rFonts w:cs="Guttman Drogolin" w:hint="cs"/>
          <w:rtl/>
          <w:lang w:bidi="he-IL"/>
        </w:rPr>
        <w:t>והנה במתני' שבמס' ע"ז דף ע"ד ע"א מבואר כמב דברים שאוסרים תערובת אפילו במשהו. ובגמ' רצו לומר מהו כלל הדברים, וקאמרו בגמ' "אי</w:t>
      </w:r>
      <w:r w:rsidRPr="00882F11">
        <w:rPr>
          <w:rFonts w:cs="Guttman Drogolin"/>
          <w:rtl/>
          <w:lang w:bidi="he-IL"/>
        </w:rPr>
        <w:t xml:space="preserve"> </w:t>
      </w:r>
      <w:r w:rsidRPr="00882F11">
        <w:rPr>
          <w:rFonts w:cs="Guttman Drogolin" w:hint="cs"/>
          <w:rtl/>
          <w:lang w:bidi="he-IL"/>
        </w:rPr>
        <w:t>דבר</w:t>
      </w:r>
      <w:r w:rsidRPr="00882F11">
        <w:rPr>
          <w:rFonts w:cs="Guttman Drogolin"/>
          <w:rtl/>
          <w:lang w:bidi="he-IL"/>
        </w:rPr>
        <w:t xml:space="preserve"> </w:t>
      </w:r>
      <w:r w:rsidRPr="00882F11">
        <w:rPr>
          <w:rFonts w:cs="Guttman Drogolin" w:hint="cs"/>
          <w:rtl/>
          <w:lang w:bidi="he-IL"/>
        </w:rPr>
        <w:t>שבמנין</w:t>
      </w:r>
      <w:r w:rsidRPr="00882F11">
        <w:rPr>
          <w:rFonts w:cs="Guttman Drogolin"/>
          <w:rtl/>
          <w:lang w:bidi="he-IL"/>
        </w:rPr>
        <w:t xml:space="preserve"> </w:t>
      </w:r>
      <w:r w:rsidRPr="00882F11">
        <w:rPr>
          <w:rFonts w:cs="Guttman Drogolin" w:hint="cs"/>
          <w:rtl/>
          <w:lang w:bidi="he-IL"/>
        </w:rPr>
        <w:t>קחשיב</w:t>
      </w:r>
      <w:r w:rsidRPr="00882F11">
        <w:rPr>
          <w:rFonts w:cs="Guttman Drogolin"/>
          <w:rtl/>
          <w:lang w:bidi="he-IL"/>
        </w:rPr>
        <w:t xml:space="preserve"> </w:t>
      </w:r>
      <w:r w:rsidRPr="00882F11">
        <w:rPr>
          <w:rFonts w:cs="Guttman Drogolin" w:hint="cs"/>
          <w:rtl/>
          <w:lang w:bidi="he-IL"/>
        </w:rPr>
        <w:t>ליתני</w:t>
      </w:r>
      <w:r w:rsidRPr="00882F11">
        <w:rPr>
          <w:rFonts w:cs="Guttman Drogolin"/>
          <w:rtl/>
          <w:lang w:bidi="he-IL"/>
        </w:rPr>
        <w:t xml:space="preserve"> </w:t>
      </w:r>
      <w:r w:rsidRPr="00882F11">
        <w:rPr>
          <w:rFonts w:cs="Guttman Drogolin" w:hint="cs"/>
          <w:rtl/>
          <w:lang w:bidi="he-IL"/>
        </w:rPr>
        <w:t>נמי</w:t>
      </w:r>
      <w:r w:rsidRPr="00882F11">
        <w:rPr>
          <w:rFonts w:cs="Guttman Drogolin"/>
          <w:rtl/>
          <w:lang w:bidi="he-IL"/>
        </w:rPr>
        <w:t xml:space="preserve"> </w:t>
      </w:r>
      <w:r w:rsidRPr="00882F11">
        <w:rPr>
          <w:rFonts w:cs="Guttman Drogolin" w:hint="cs"/>
          <w:rtl/>
          <w:lang w:bidi="he-IL"/>
        </w:rPr>
        <w:t>חתיכות</w:t>
      </w:r>
      <w:r w:rsidRPr="00882F11">
        <w:rPr>
          <w:rFonts w:cs="Guttman Drogolin"/>
          <w:rtl/>
          <w:lang w:bidi="he-IL"/>
        </w:rPr>
        <w:t xml:space="preserve"> </w:t>
      </w:r>
      <w:r w:rsidRPr="00882F11">
        <w:rPr>
          <w:rFonts w:cs="Guttman Drogolin" w:hint="cs"/>
          <w:rtl/>
          <w:lang w:bidi="he-IL"/>
        </w:rPr>
        <w:t>נבילה</w:t>
      </w:r>
      <w:r w:rsidRPr="00882F11">
        <w:rPr>
          <w:rFonts w:cs="Guttman Drogolin"/>
          <w:rtl/>
          <w:lang w:bidi="he-IL"/>
        </w:rPr>
        <w:t xml:space="preserve"> </w:t>
      </w:r>
      <w:r w:rsidRPr="00882F11">
        <w:rPr>
          <w:rFonts w:cs="Guttman Drogolin" w:hint="cs"/>
          <w:rtl/>
          <w:lang w:bidi="he-IL"/>
        </w:rPr>
        <w:t>אי</w:t>
      </w:r>
      <w:r w:rsidRPr="00882F11">
        <w:rPr>
          <w:rFonts w:cs="Guttman Drogolin"/>
          <w:rtl/>
          <w:lang w:bidi="he-IL"/>
        </w:rPr>
        <w:t xml:space="preserve"> </w:t>
      </w:r>
      <w:r w:rsidRPr="00882F11">
        <w:rPr>
          <w:rFonts w:cs="Guttman Drogolin" w:hint="cs"/>
          <w:rtl/>
          <w:lang w:bidi="he-IL"/>
        </w:rPr>
        <w:t>איסורי</w:t>
      </w:r>
      <w:r w:rsidRPr="00882F11">
        <w:rPr>
          <w:rFonts w:cs="Guttman Drogolin"/>
          <w:rtl/>
          <w:lang w:bidi="he-IL"/>
        </w:rPr>
        <w:t xml:space="preserve"> </w:t>
      </w:r>
      <w:r w:rsidRPr="00882F11">
        <w:rPr>
          <w:rFonts w:cs="Guttman Drogolin" w:hint="cs"/>
          <w:rtl/>
          <w:lang w:bidi="he-IL"/>
        </w:rPr>
        <w:t>הנאה</w:t>
      </w:r>
      <w:r w:rsidRPr="00882F11">
        <w:rPr>
          <w:rFonts w:cs="Guttman Drogolin"/>
          <w:rtl/>
          <w:lang w:bidi="he-IL"/>
        </w:rPr>
        <w:t xml:space="preserve"> </w:t>
      </w:r>
      <w:r w:rsidRPr="00882F11">
        <w:rPr>
          <w:rFonts w:cs="Guttman Drogolin" w:hint="cs"/>
          <w:rtl/>
          <w:lang w:bidi="he-IL"/>
        </w:rPr>
        <w:t>קא</w:t>
      </w:r>
      <w:r w:rsidRPr="00882F11">
        <w:rPr>
          <w:rFonts w:cs="Guttman Drogolin"/>
          <w:rtl/>
          <w:lang w:bidi="he-IL"/>
        </w:rPr>
        <w:t xml:space="preserve"> </w:t>
      </w:r>
      <w:r w:rsidRPr="00882F11">
        <w:rPr>
          <w:rFonts w:cs="Guttman Drogolin" w:hint="cs"/>
          <w:rtl/>
          <w:lang w:bidi="he-IL"/>
        </w:rPr>
        <w:t>חשיב</w:t>
      </w:r>
      <w:r w:rsidRPr="00882F11">
        <w:rPr>
          <w:rFonts w:cs="Guttman Drogolin"/>
          <w:rtl/>
          <w:lang w:bidi="he-IL"/>
        </w:rPr>
        <w:t xml:space="preserve"> </w:t>
      </w:r>
      <w:r w:rsidRPr="00882F11">
        <w:rPr>
          <w:rFonts w:cs="Guttman Drogolin" w:hint="cs"/>
          <w:rtl/>
          <w:lang w:bidi="he-IL"/>
        </w:rPr>
        <w:t>ליתני</w:t>
      </w:r>
      <w:r w:rsidRPr="00882F11">
        <w:rPr>
          <w:rFonts w:cs="Guttman Drogolin"/>
          <w:rtl/>
          <w:lang w:bidi="he-IL"/>
        </w:rPr>
        <w:t xml:space="preserve"> </w:t>
      </w:r>
      <w:r w:rsidRPr="00882F11">
        <w:rPr>
          <w:rFonts w:cs="Guttman Drogolin" w:hint="cs"/>
          <w:rtl/>
          <w:lang w:bidi="he-IL"/>
        </w:rPr>
        <w:t>נמי</w:t>
      </w:r>
      <w:r w:rsidRPr="00882F11">
        <w:rPr>
          <w:rFonts w:cs="Guttman Drogolin"/>
          <w:rtl/>
          <w:lang w:bidi="he-IL"/>
        </w:rPr>
        <w:t xml:space="preserve"> </w:t>
      </w:r>
      <w:r w:rsidRPr="00882F11">
        <w:rPr>
          <w:rFonts w:cs="Guttman Drogolin" w:hint="cs"/>
          <w:rtl/>
          <w:lang w:bidi="he-IL"/>
        </w:rPr>
        <w:t>חמץ</w:t>
      </w:r>
      <w:r w:rsidRPr="00882F11">
        <w:rPr>
          <w:rFonts w:cs="Guttman Drogolin"/>
          <w:rtl/>
          <w:lang w:bidi="he-IL"/>
        </w:rPr>
        <w:t xml:space="preserve"> </w:t>
      </w:r>
      <w:r w:rsidRPr="00882F11">
        <w:rPr>
          <w:rFonts w:cs="Guttman Drogolin" w:hint="cs"/>
          <w:rtl/>
          <w:lang w:bidi="he-IL"/>
        </w:rPr>
        <w:t>בפסח". ומשו"ה מסיק הגמ' שהמתני' לא חשיב אלא אלו שיש להם תרתי לריעותא, דהיינו שהוא גם דבר שבמנין וגם אי</w:t>
      </w:r>
      <w:r w:rsidR="00484258" w:rsidRPr="00882F11">
        <w:rPr>
          <w:rFonts w:cs="Guttman Drogolin" w:hint="cs"/>
          <w:rtl/>
          <w:lang w:bidi="he-IL"/>
        </w:rPr>
        <w:t>סו</w:t>
      </w:r>
      <w:r w:rsidRPr="00882F11">
        <w:rPr>
          <w:rFonts w:cs="Guttman Drogolin" w:hint="cs"/>
          <w:rtl/>
          <w:lang w:bidi="he-IL"/>
        </w:rPr>
        <w:t>רי הנאה. ולכאורה דבר זה מתנגד לסוגיית הגמ' שלפנינו, שהרי אצלנו מבואר שחתיכת נבילה אינה בטילה רק בגלל זה דראוי' להתכבד בה לפני ה</w:t>
      </w:r>
      <w:r w:rsidR="00FE1106" w:rsidRPr="00882F11">
        <w:rPr>
          <w:rFonts w:cs="Guttman Drogolin" w:hint="cs"/>
          <w:rtl/>
          <w:lang w:bidi="he-IL"/>
        </w:rPr>
        <w:t>אורחים</w:t>
      </w:r>
      <w:r w:rsidRPr="00882F11">
        <w:rPr>
          <w:rFonts w:cs="Guttman Drogolin" w:hint="cs"/>
          <w:rtl/>
          <w:lang w:bidi="he-IL"/>
        </w:rPr>
        <w:t xml:space="preserve">. </w:t>
      </w:r>
      <w:r w:rsidR="009A5F45" w:rsidRPr="00882F11">
        <w:rPr>
          <w:rFonts w:cs="Guttman Drogolin" w:hint="cs"/>
          <w:rtl/>
          <w:lang w:bidi="he-IL"/>
        </w:rPr>
        <w:t>ובאמת אומרים הראשונים בדעת הרי"ף שמ</w:t>
      </w:r>
      <w:r w:rsidR="000E1BA4">
        <w:rPr>
          <w:rFonts w:cs="Guttman Drogolin" w:hint="cs"/>
          <w:rtl/>
          <w:lang w:bidi="he-IL"/>
        </w:rPr>
        <w:t>שו"ה השמיט הרי"ף האי דינא דראוי</w:t>
      </w:r>
      <w:r w:rsidR="009A5F45" w:rsidRPr="00882F11">
        <w:rPr>
          <w:rFonts w:cs="Guttman Drogolin" w:hint="cs"/>
          <w:rtl/>
          <w:lang w:bidi="he-IL"/>
        </w:rPr>
        <w:t>' להתכבד, ומשו"ה שאין ההלכה כן מכח הסוגיא שבמס' ע"ז הנ"ל. והתוס' ועוד ראשונים ג"כ העירו מזה דלכאורה יש סתירה בין הסוגיא שלנו לסוגיא שבס' ע"ז, רק הסיקו שלעא היתה כוונת הגמ' במס' לומר שלעולם הדבר בטל אא"כ הוא גם מאיסורי הנאה וגם דבר שבמנין, רק כוונת הגמ' לומר דלא קתני אלא אלו במתני' ולעולם יש א</w:t>
      </w:r>
      <w:r w:rsidR="00BA431F" w:rsidRPr="00882F11">
        <w:rPr>
          <w:rFonts w:cs="Guttman Drogolin" w:hint="cs"/>
          <w:rtl/>
          <w:lang w:bidi="he-IL"/>
        </w:rPr>
        <w:t>חרי</w:t>
      </w:r>
      <w:r w:rsidR="009A5F45" w:rsidRPr="00882F11">
        <w:rPr>
          <w:rFonts w:cs="Guttman Drogolin" w:hint="cs"/>
          <w:rtl/>
          <w:lang w:bidi="he-IL"/>
        </w:rPr>
        <w:t>ם שאינו בטלים אע"ג דלית בהו תרתי לריעותא.</w:t>
      </w:r>
      <w:r w:rsidR="00BA431F" w:rsidRPr="00882F11">
        <w:rPr>
          <w:rFonts w:cs="Guttman Drogolin" w:hint="cs"/>
          <w:rtl/>
          <w:lang w:bidi="he-IL"/>
        </w:rPr>
        <w:t xml:space="preserve"> </w:t>
      </w:r>
      <w:r w:rsidR="009A5F45" w:rsidRPr="00882F11">
        <w:rPr>
          <w:rFonts w:cs="Guttman Drogolin" w:hint="cs"/>
          <w:rtl/>
          <w:lang w:bidi="he-IL"/>
        </w:rPr>
        <w:t xml:space="preserve"> </w:t>
      </w:r>
    </w:p>
    <w:p w:rsidR="00D80706" w:rsidRPr="00882F11" w:rsidRDefault="00707592" w:rsidP="00B937A4">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חתיכה הראו</w:instrText>
      </w:r>
      <w:r w:rsidR="00956608">
        <w:rPr>
          <w:rFonts w:cs="Guttman Drogolin" w:hint="cs"/>
          <w:rtl/>
          <w:lang w:bidi="he-IL"/>
        </w:rPr>
        <w:instrText>י</w:instrText>
      </w:r>
      <w:r w:rsidRPr="00882F11">
        <w:rPr>
          <w:rFonts w:cs="Guttman Drogolin" w:hint="cs"/>
          <w:rtl/>
          <w:lang w:bidi="he-IL"/>
        </w:rPr>
        <w:instrText>' להתכבד</w:instrText>
      </w:r>
      <w:r w:rsidRPr="00882F11">
        <w:rPr>
          <w:rFonts w:cs="Guttman Drogolin"/>
          <w:rtl/>
        </w:rPr>
        <w:instrText>:</w:instrText>
      </w:r>
      <w:r w:rsidRPr="00882F11">
        <w:rPr>
          <w:rFonts w:cs="Guttman Drogolin" w:hint="cs"/>
          <w:rtl/>
          <w:lang w:bidi="he-IL"/>
        </w:rPr>
        <w:instrText>אם שייך לדין דבר שבמנין</w:instrText>
      </w:r>
      <w:r w:rsidRPr="00882F11">
        <w:rPr>
          <w:rFonts w:cs="Guttman Drogolin"/>
        </w:rPr>
        <w:instrText xml:space="preserve">" </w:instrText>
      </w:r>
      <w:r w:rsidRPr="00882F11">
        <w:rPr>
          <w:rFonts w:cs="Guttman Drogolin"/>
          <w:rtl/>
          <w:lang w:bidi="he-IL"/>
        </w:rPr>
        <w:fldChar w:fldCharType="end"/>
      </w:r>
      <w:r w:rsidR="009A5F45" w:rsidRPr="00882F11">
        <w:rPr>
          <w:rFonts w:cs="Guttman Drogolin" w:hint="cs"/>
          <w:rtl/>
          <w:lang w:bidi="he-IL"/>
        </w:rPr>
        <w:t xml:space="preserve">והנה </w:t>
      </w:r>
      <w:r w:rsidR="00B937A4" w:rsidRPr="00882F11">
        <w:rPr>
          <w:rFonts w:cs="Guttman Drogolin" w:hint="cs"/>
          <w:rtl/>
          <w:lang w:bidi="he-IL"/>
        </w:rPr>
        <w:t>לכאורה יש מקום ע</w:t>
      </w:r>
      <w:r w:rsidR="009A5F45" w:rsidRPr="00882F11">
        <w:rPr>
          <w:rFonts w:cs="Guttman Drogolin" w:hint="cs"/>
          <w:rtl/>
          <w:lang w:bidi="he-IL"/>
        </w:rPr>
        <w:t xml:space="preserve">יון </w:t>
      </w:r>
      <w:r w:rsidR="00B937A4" w:rsidRPr="00882F11">
        <w:rPr>
          <w:rFonts w:cs="Guttman Drogolin" w:hint="cs"/>
          <w:rtl/>
          <w:lang w:bidi="he-IL"/>
        </w:rPr>
        <w:t xml:space="preserve">קצת </w:t>
      </w:r>
      <w:r w:rsidR="009A5F45" w:rsidRPr="00882F11">
        <w:rPr>
          <w:rFonts w:cs="Guttman Drogolin" w:hint="cs"/>
          <w:rtl/>
          <w:lang w:bidi="he-IL"/>
        </w:rPr>
        <w:t>בדברי הגמ' שם. שהרי הגמ' לא קאמר אלא משום דהוי דבר שבמנין, ודחו דא"כ חתיכת נבילה נמי ליתני.</w:t>
      </w:r>
      <w:r w:rsidR="00B937A4" w:rsidRPr="00882F11">
        <w:rPr>
          <w:rFonts w:cs="Guttman Drogolin" w:hint="cs"/>
          <w:rtl/>
          <w:lang w:bidi="he-IL"/>
        </w:rPr>
        <w:t xml:space="preserve"> </w:t>
      </w:r>
      <w:r w:rsidR="00B937A4" w:rsidRPr="00882F11">
        <w:rPr>
          <w:rFonts w:cs="Guttman Drogolin" w:hint="cs"/>
          <w:rtl/>
          <w:lang w:bidi="he-IL"/>
        </w:rPr>
        <w:lastRenderedPageBreak/>
        <w:t>וצע"ק דלמה הגמ' לא המשיכה לומר דהא ניחא אם כל שדכו לימנות קתני וכו', וכן לא הסיק דמ"מ אינו בטל משום דהוי חתיכה הראוי' להתכבד.</w:t>
      </w:r>
      <w:r w:rsidR="009A5F45" w:rsidRPr="00882F11">
        <w:rPr>
          <w:rFonts w:cs="Guttman Drogolin" w:hint="cs"/>
          <w:rtl/>
          <w:lang w:bidi="he-IL"/>
        </w:rPr>
        <w:t xml:space="preserve"> </w:t>
      </w:r>
      <w:r w:rsidR="00B937A4" w:rsidRPr="00882F11">
        <w:rPr>
          <w:rFonts w:cs="Guttman Drogolin" w:hint="cs"/>
          <w:rtl/>
          <w:lang w:bidi="he-IL"/>
        </w:rPr>
        <w:t>ולכאורה י"ל שהי' פשוט לגמ' דקיי"ל כמ"ד כל שדרכו לימנות קתני. אמנם יעוין בתוס' במס' זבחים דף ע"ב ע"א ד"ה אלא שכתבו להקשות "תימה</w:t>
      </w:r>
      <w:r w:rsidR="00B937A4" w:rsidRPr="00882F11">
        <w:rPr>
          <w:rFonts w:cs="Guttman Drogolin"/>
          <w:rtl/>
          <w:lang w:bidi="he-IL"/>
        </w:rPr>
        <w:t xml:space="preserve"> </w:t>
      </w:r>
      <w:r w:rsidR="00B937A4" w:rsidRPr="00882F11">
        <w:rPr>
          <w:rFonts w:cs="Guttman Drogolin" w:hint="cs"/>
          <w:rtl/>
          <w:lang w:bidi="he-IL"/>
        </w:rPr>
        <w:t>מי</w:t>
      </w:r>
      <w:r w:rsidR="00B937A4" w:rsidRPr="00882F11">
        <w:rPr>
          <w:rFonts w:cs="Guttman Drogolin"/>
          <w:rtl/>
          <w:lang w:bidi="he-IL"/>
        </w:rPr>
        <w:t xml:space="preserve"> </w:t>
      </w:r>
      <w:r w:rsidR="00B937A4" w:rsidRPr="00882F11">
        <w:rPr>
          <w:rFonts w:cs="Guttman Drogolin" w:hint="cs"/>
          <w:rtl/>
          <w:lang w:bidi="he-IL"/>
        </w:rPr>
        <w:t>גרע</w:t>
      </w:r>
      <w:r w:rsidR="00B937A4" w:rsidRPr="00882F11">
        <w:rPr>
          <w:rFonts w:cs="Guttman Drogolin"/>
          <w:rtl/>
          <w:lang w:bidi="he-IL"/>
        </w:rPr>
        <w:t xml:space="preserve"> </w:t>
      </w:r>
      <w:r w:rsidR="00B937A4" w:rsidRPr="00882F11">
        <w:rPr>
          <w:rFonts w:cs="Guttman Drogolin" w:hint="cs"/>
          <w:rtl/>
          <w:lang w:bidi="he-IL"/>
        </w:rPr>
        <w:t>שור</w:t>
      </w:r>
      <w:r w:rsidR="00B937A4" w:rsidRPr="00882F11">
        <w:rPr>
          <w:rFonts w:cs="Guttman Drogolin"/>
          <w:rtl/>
          <w:lang w:bidi="he-IL"/>
        </w:rPr>
        <w:t xml:space="preserve"> </w:t>
      </w:r>
      <w:r w:rsidR="00B937A4" w:rsidRPr="00882F11">
        <w:rPr>
          <w:rFonts w:cs="Guttman Drogolin" w:hint="cs"/>
          <w:rtl/>
          <w:lang w:bidi="he-IL"/>
        </w:rPr>
        <w:t>גדול</w:t>
      </w:r>
      <w:r w:rsidR="00B937A4" w:rsidRPr="00882F11">
        <w:rPr>
          <w:rFonts w:cs="Guttman Drogolin"/>
          <w:rtl/>
          <w:lang w:bidi="he-IL"/>
        </w:rPr>
        <w:t xml:space="preserve"> </w:t>
      </w:r>
      <w:r w:rsidR="00B937A4" w:rsidRPr="00882F11">
        <w:rPr>
          <w:rFonts w:cs="Guttman Drogolin" w:hint="cs"/>
          <w:rtl/>
          <w:lang w:bidi="he-IL"/>
        </w:rPr>
        <w:t>[של הסוגיא דהתם] מאת</w:t>
      </w:r>
      <w:r w:rsidR="00B937A4" w:rsidRPr="00882F11">
        <w:rPr>
          <w:rFonts w:cs="Guttman Drogolin"/>
          <w:rtl/>
          <w:lang w:bidi="he-IL"/>
        </w:rPr>
        <w:t xml:space="preserve"> </w:t>
      </w:r>
      <w:r w:rsidR="00B937A4" w:rsidRPr="00882F11">
        <w:rPr>
          <w:rFonts w:cs="Guttman Drogolin" w:hint="cs"/>
          <w:rtl/>
          <w:lang w:bidi="he-IL"/>
        </w:rPr>
        <w:t>שדרכו</w:t>
      </w:r>
      <w:r w:rsidR="00B937A4" w:rsidRPr="00882F11">
        <w:rPr>
          <w:rFonts w:cs="Guttman Drogolin"/>
          <w:rtl/>
          <w:lang w:bidi="he-IL"/>
        </w:rPr>
        <w:t xml:space="preserve"> </w:t>
      </w:r>
      <w:r w:rsidR="00B937A4" w:rsidRPr="00882F11">
        <w:rPr>
          <w:rFonts w:cs="Guttman Drogolin" w:hint="cs"/>
          <w:rtl/>
          <w:lang w:bidi="he-IL"/>
        </w:rPr>
        <w:t>למנות</w:t>
      </w:r>
      <w:r w:rsidR="00B937A4" w:rsidRPr="00882F11">
        <w:rPr>
          <w:rFonts w:cs="Guttman Drogolin"/>
          <w:rtl/>
          <w:lang w:bidi="he-IL"/>
        </w:rPr>
        <w:t xml:space="preserve"> </w:t>
      </w:r>
      <w:r w:rsidR="00B937A4" w:rsidRPr="00882F11">
        <w:rPr>
          <w:rFonts w:cs="Guttman Drogolin" w:hint="cs"/>
          <w:b/>
          <w:bCs/>
          <w:sz w:val="24"/>
          <w:szCs w:val="24"/>
          <w:rtl/>
          <w:lang w:bidi="he-IL"/>
        </w:rPr>
        <w:t>הא</w:t>
      </w:r>
      <w:r w:rsidR="00B937A4" w:rsidRPr="00882F11">
        <w:rPr>
          <w:rFonts w:cs="Guttman Drogolin"/>
          <w:b/>
          <w:bCs/>
          <w:sz w:val="24"/>
          <w:szCs w:val="24"/>
          <w:rtl/>
          <w:lang w:bidi="he-IL"/>
        </w:rPr>
        <w:t xml:space="preserve"> </w:t>
      </w:r>
      <w:r w:rsidR="00B937A4" w:rsidRPr="00882F11">
        <w:rPr>
          <w:rFonts w:cs="Guttman Drogolin" w:hint="cs"/>
          <w:b/>
          <w:bCs/>
          <w:sz w:val="24"/>
          <w:szCs w:val="24"/>
          <w:rtl/>
          <w:lang w:bidi="he-IL"/>
        </w:rPr>
        <w:t>אפילו</w:t>
      </w:r>
      <w:r w:rsidR="00B937A4" w:rsidRPr="00882F11">
        <w:rPr>
          <w:rFonts w:cs="Guttman Drogolin"/>
          <w:b/>
          <w:bCs/>
          <w:sz w:val="24"/>
          <w:szCs w:val="24"/>
          <w:rtl/>
          <w:lang w:bidi="he-IL"/>
        </w:rPr>
        <w:t xml:space="preserve"> </w:t>
      </w:r>
      <w:r w:rsidR="00B937A4" w:rsidRPr="00882F11">
        <w:rPr>
          <w:rFonts w:cs="Guttman Drogolin" w:hint="cs"/>
          <w:b/>
          <w:bCs/>
          <w:sz w:val="24"/>
          <w:szCs w:val="24"/>
          <w:rtl/>
          <w:lang w:bidi="he-IL"/>
        </w:rPr>
        <w:t>חתיכה</w:t>
      </w:r>
      <w:r w:rsidR="00B937A4" w:rsidRPr="00882F11">
        <w:rPr>
          <w:rFonts w:cs="Guttman Drogolin"/>
          <w:b/>
          <w:bCs/>
          <w:sz w:val="24"/>
          <w:szCs w:val="24"/>
          <w:rtl/>
          <w:lang w:bidi="he-IL"/>
        </w:rPr>
        <w:t xml:space="preserve"> </w:t>
      </w:r>
      <w:r w:rsidR="00B937A4" w:rsidRPr="00882F11">
        <w:rPr>
          <w:rFonts w:cs="Guttman Drogolin" w:hint="cs"/>
          <w:b/>
          <w:bCs/>
          <w:sz w:val="24"/>
          <w:szCs w:val="24"/>
          <w:rtl/>
          <w:lang w:bidi="he-IL"/>
        </w:rPr>
        <w:t>בעלמא</w:t>
      </w:r>
      <w:r w:rsidR="00B937A4" w:rsidRPr="00882F11">
        <w:rPr>
          <w:rFonts w:cs="Guttman Drogolin"/>
          <w:b/>
          <w:bCs/>
          <w:sz w:val="24"/>
          <w:szCs w:val="24"/>
          <w:rtl/>
          <w:lang w:bidi="he-IL"/>
        </w:rPr>
        <w:t xml:space="preserve"> </w:t>
      </w:r>
      <w:r w:rsidR="00B937A4" w:rsidRPr="00882F11">
        <w:rPr>
          <w:rFonts w:cs="Guttman Drogolin" w:hint="cs"/>
          <w:b/>
          <w:bCs/>
          <w:sz w:val="24"/>
          <w:szCs w:val="24"/>
          <w:rtl/>
          <w:lang w:bidi="he-IL"/>
        </w:rPr>
        <w:t>חשיבא</w:t>
      </w:r>
      <w:r w:rsidR="00B937A4" w:rsidRPr="00882F11">
        <w:rPr>
          <w:rFonts w:cs="Guttman Drogolin"/>
          <w:b/>
          <w:bCs/>
          <w:sz w:val="24"/>
          <w:szCs w:val="24"/>
          <w:rtl/>
          <w:lang w:bidi="he-IL"/>
        </w:rPr>
        <w:t xml:space="preserve"> </w:t>
      </w:r>
      <w:r w:rsidR="00B937A4" w:rsidRPr="00882F11">
        <w:rPr>
          <w:rFonts w:cs="Guttman Drogolin" w:hint="cs"/>
          <w:b/>
          <w:bCs/>
          <w:sz w:val="24"/>
          <w:szCs w:val="24"/>
          <w:rtl/>
          <w:lang w:bidi="he-IL"/>
        </w:rPr>
        <w:t>את</w:t>
      </w:r>
      <w:r w:rsidR="00B937A4" w:rsidRPr="00882F11">
        <w:rPr>
          <w:rFonts w:cs="Guttman Drogolin"/>
          <w:b/>
          <w:bCs/>
          <w:sz w:val="24"/>
          <w:szCs w:val="24"/>
          <w:rtl/>
          <w:lang w:bidi="he-IL"/>
        </w:rPr>
        <w:t xml:space="preserve"> </w:t>
      </w:r>
      <w:r w:rsidR="00B937A4" w:rsidRPr="00882F11">
        <w:rPr>
          <w:rFonts w:cs="Guttman Drogolin" w:hint="cs"/>
          <w:b/>
          <w:bCs/>
          <w:sz w:val="24"/>
          <w:szCs w:val="24"/>
          <w:rtl/>
          <w:lang w:bidi="he-IL"/>
        </w:rPr>
        <w:t>שדרכו</w:t>
      </w:r>
      <w:r w:rsidR="00B937A4" w:rsidRPr="00882F11">
        <w:rPr>
          <w:rFonts w:cs="Guttman Drogolin"/>
          <w:b/>
          <w:bCs/>
          <w:sz w:val="24"/>
          <w:szCs w:val="24"/>
          <w:rtl/>
          <w:lang w:bidi="he-IL"/>
        </w:rPr>
        <w:t xml:space="preserve"> </w:t>
      </w:r>
      <w:r w:rsidR="00B937A4" w:rsidRPr="00882F11">
        <w:rPr>
          <w:rFonts w:cs="Guttman Drogolin" w:hint="cs"/>
          <w:b/>
          <w:bCs/>
          <w:sz w:val="24"/>
          <w:szCs w:val="24"/>
          <w:rtl/>
          <w:lang w:bidi="he-IL"/>
        </w:rPr>
        <w:t>למנות</w:t>
      </w:r>
      <w:r w:rsidR="00B937A4" w:rsidRPr="00882F11">
        <w:rPr>
          <w:rFonts w:cs="Guttman Drogolin"/>
          <w:b/>
          <w:bCs/>
          <w:sz w:val="24"/>
          <w:szCs w:val="24"/>
          <w:rtl/>
          <w:lang w:bidi="he-IL"/>
        </w:rPr>
        <w:t xml:space="preserve"> </w:t>
      </w:r>
      <w:r w:rsidR="00B937A4" w:rsidRPr="00882F11">
        <w:rPr>
          <w:rFonts w:cs="Guttman Drogolin" w:hint="cs"/>
          <w:b/>
          <w:bCs/>
          <w:sz w:val="24"/>
          <w:szCs w:val="24"/>
          <w:rtl/>
          <w:lang w:bidi="he-IL"/>
        </w:rPr>
        <w:t>משום</w:t>
      </w:r>
      <w:r w:rsidR="00B937A4" w:rsidRPr="00882F11">
        <w:rPr>
          <w:rFonts w:cs="Guttman Drogolin"/>
          <w:b/>
          <w:bCs/>
          <w:sz w:val="24"/>
          <w:szCs w:val="24"/>
          <w:rtl/>
          <w:lang w:bidi="he-IL"/>
        </w:rPr>
        <w:t xml:space="preserve"> </w:t>
      </w:r>
      <w:r w:rsidR="00B937A4" w:rsidRPr="00882F11">
        <w:rPr>
          <w:rFonts w:cs="Guttman Drogolin" w:hint="cs"/>
          <w:b/>
          <w:bCs/>
          <w:sz w:val="24"/>
          <w:szCs w:val="24"/>
          <w:rtl/>
          <w:lang w:bidi="he-IL"/>
        </w:rPr>
        <w:t>דחשובה</w:t>
      </w:r>
      <w:r w:rsidR="00B937A4" w:rsidRPr="00882F11">
        <w:rPr>
          <w:rFonts w:cs="Guttman Drogolin"/>
          <w:b/>
          <w:bCs/>
          <w:sz w:val="24"/>
          <w:szCs w:val="24"/>
          <w:rtl/>
          <w:lang w:bidi="he-IL"/>
        </w:rPr>
        <w:t xml:space="preserve"> </w:t>
      </w:r>
      <w:r w:rsidR="00B937A4" w:rsidRPr="00882F11">
        <w:rPr>
          <w:rFonts w:cs="Guttman Drogolin" w:hint="cs"/>
          <w:b/>
          <w:bCs/>
          <w:sz w:val="24"/>
          <w:szCs w:val="24"/>
          <w:rtl/>
          <w:lang w:bidi="he-IL"/>
        </w:rPr>
        <w:t>להתכבד</w:t>
      </w:r>
      <w:r w:rsidR="00B937A4" w:rsidRPr="00882F11">
        <w:rPr>
          <w:rFonts w:cs="Guttman Drogolin"/>
          <w:b/>
          <w:bCs/>
          <w:sz w:val="24"/>
          <w:szCs w:val="24"/>
          <w:rtl/>
          <w:lang w:bidi="he-IL"/>
        </w:rPr>
        <w:t xml:space="preserve"> </w:t>
      </w:r>
      <w:r w:rsidR="00B937A4" w:rsidRPr="00882F11">
        <w:rPr>
          <w:rFonts w:cs="Guttman Drogolin" w:hint="cs"/>
          <w:b/>
          <w:bCs/>
          <w:sz w:val="24"/>
          <w:szCs w:val="24"/>
          <w:rtl/>
          <w:lang w:bidi="he-IL"/>
        </w:rPr>
        <w:t>בפני</w:t>
      </w:r>
      <w:r w:rsidR="00B937A4" w:rsidRPr="00882F11">
        <w:rPr>
          <w:rFonts w:cs="Guttman Drogolin"/>
          <w:b/>
          <w:bCs/>
          <w:sz w:val="24"/>
          <w:szCs w:val="24"/>
          <w:rtl/>
          <w:lang w:bidi="he-IL"/>
        </w:rPr>
        <w:t xml:space="preserve"> </w:t>
      </w:r>
      <w:r w:rsidR="00B937A4" w:rsidRPr="00882F11">
        <w:rPr>
          <w:rFonts w:cs="Guttman Drogolin" w:hint="cs"/>
          <w:b/>
          <w:bCs/>
          <w:sz w:val="24"/>
          <w:szCs w:val="24"/>
          <w:rtl/>
          <w:lang w:bidi="he-IL"/>
        </w:rPr>
        <w:t>האורחים</w:t>
      </w:r>
      <w:r w:rsidR="00B937A4" w:rsidRPr="00882F11">
        <w:rPr>
          <w:rFonts w:cs="Guttman Drogolin"/>
          <w:sz w:val="24"/>
          <w:szCs w:val="24"/>
          <w:rtl/>
          <w:lang w:bidi="he-IL"/>
        </w:rPr>
        <w:t xml:space="preserve"> </w:t>
      </w:r>
      <w:r w:rsidR="00B937A4" w:rsidRPr="00882F11">
        <w:rPr>
          <w:rFonts w:cs="Guttman Drogolin"/>
          <w:rtl/>
          <w:lang w:bidi="he-IL"/>
        </w:rPr>
        <w:t>[</w:t>
      </w:r>
      <w:r w:rsidR="00B937A4" w:rsidRPr="00882F11">
        <w:rPr>
          <w:rFonts w:cs="Guttman Drogolin" w:hint="cs"/>
          <w:rtl/>
          <w:lang w:bidi="he-IL"/>
        </w:rPr>
        <w:t>כדאמרינן</w:t>
      </w:r>
      <w:r w:rsidR="00B937A4" w:rsidRPr="00882F11">
        <w:rPr>
          <w:rFonts w:cs="Guttman Drogolin"/>
          <w:rtl/>
          <w:lang w:bidi="he-IL"/>
        </w:rPr>
        <w:t xml:space="preserve">] </w:t>
      </w:r>
      <w:r w:rsidR="00B937A4" w:rsidRPr="00882F11">
        <w:rPr>
          <w:rFonts w:cs="Guttman Drogolin" w:hint="cs"/>
          <w:rtl/>
          <w:lang w:bidi="he-IL"/>
        </w:rPr>
        <w:t>בפ</w:t>
      </w:r>
      <w:r w:rsidR="00B937A4" w:rsidRPr="00882F11">
        <w:rPr>
          <w:rFonts w:cs="Guttman Drogolin"/>
          <w:rtl/>
          <w:lang w:bidi="he-IL"/>
        </w:rPr>
        <w:t xml:space="preserve">' </w:t>
      </w:r>
      <w:r w:rsidR="00B937A4" w:rsidRPr="00882F11">
        <w:rPr>
          <w:rFonts w:cs="Guttman Drogolin" w:hint="cs"/>
          <w:rtl/>
          <w:lang w:bidi="he-IL"/>
        </w:rPr>
        <w:t>גיד</w:t>
      </w:r>
      <w:r w:rsidR="00B937A4" w:rsidRPr="00882F11">
        <w:rPr>
          <w:rFonts w:cs="Guttman Drogolin"/>
          <w:rtl/>
          <w:lang w:bidi="he-IL"/>
        </w:rPr>
        <w:t xml:space="preserve"> </w:t>
      </w:r>
      <w:r w:rsidR="00B937A4" w:rsidRPr="00882F11">
        <w:rPr>
          <w:rFonts w:cs="Guttman Drogolin" w:hint="cs"/>
          <w:rtl/>
          <w:lang w:bidi="he-IL"/>
        </w:rPr>
        <w:t>הנשה". הרי שכתבו התוס' שהטעם שחתיכה הראוי' להתכבד אינה בטילה אינו בשביל חשיבות דבר זה בלבד, אלא שע"י זה</w:t>
      </w:r>
      <w:r w:rsidR="0084471C" w:rsidRPr="00882F11">
        <w:rPr>
          <w:rFonts w:cs="Guttman Drogolin" w:hint="cs"/>
          <w:rtl/>
          <w:lang w:bidi="he-IL"/>
        </w:rPr>
        <w:t xml:space="preserve"> שהיא ראוי' להתכבד בה לפני האורחים הרי הא חשובה בכלל את שדרכו לימנות. והנה בסוגיין מבואר שבאמת אינו דבר שהדרך היחיד למוכרו הוא במנין, ומשו"ה ס"ד שלר"מ לא בטל אי את שדרכו לימנות קתני. וכנראה כוונת התוס' לומר </w:t>
      </w:r>
      <w:r w:rsidR="00D80706" w:rsidRPr="00882F11">
        <w:rPr>
          <w:rFonts w:cs="Guttman Drogolin" w:hint="cs"/>
          <w:rtl/>
          <w:lang w:bidi="he-IL"/>
        </w:rPr>
        <w:t xml:space="preserve">שכוונת הגמ' דשאני חתיכה הואיל וראוי' להתכבד בה לפני האורחים יש לו דין כמו דבר שאין הדרך אלא לנכרו אלא במנין. וצ"ע מהו העומק בזה. </w:t>
      </w:r>
    </w:p>
    <w:p w:rsidR="00087D1A" w:rsidRPr="00882F11" w:rsidRDefault="00D80706" w:rsidP="002F695A">
      <w:pPr>
        <w:bidi/>
        <w:jc w:val="both"/>
        <w:rPr>
          <w:rFonts w:cs="Guttman Drogolin"/>
          <w:rtl/>
          <w:lang w:bidi="he-IL"/>
        </w:rPr>
      </w:pPr>
      <w:r w:rsidRPr="00882F11">
        <w:rPr>
          <w:rFonts w:cs="Guttman Drogolin" w:hint="cs"/>
          <w:rtl/>
          <w:lang w:bidi="he-IL"/>
        </w:rPr>
        <w:t>ומ"מ ע"פ זה אפשר לבא ולפרש שיטת התוס'. דהנה הראשונים מדגישים שאם התערב בתערובת חתיכה הראוי' להתכבד בה לפני ה</w:t>
      </w:r>
      <w:r w:rsidR="00FE1106" w:rsidRPr="00882F11">
        <w:rPr>
          <w:rFonts w:cs="Guttman Drogolin" w:hint="cs"/>
          <w:rtl/>
          <w:lang w:bidi="he-IL"/>
        </w:rPr>
        <w:t>אורחים</w:t>
      </w:r>
      <w:r w:rsidRPr="00882F11">
        <w:rPr>
          <w:rFonts w:cs="Guttman Drogolin" w:hint="cs"/>
          <w:rtl/>
          <w:lang w:bidi="he-IL"/>
        </w:rPr>
        <w:t>, ושוב נחתכו החתיכות (שלא בכוונת ביטול, דאל"כ הרי הועא מבטל איסור לכתחילה), שהרי היא בטילה. והטעם שהרי מעכשיו אינה ראוי' לתכבד ולכן יכול מעכשיו להיות בטל. ולכאורה דבר זה פשוט עד כדי כך דצע"ק למה הראשונים היו צריכים להדגיש דבר זה. ואולי משום דסד</w:t>
      </w:r>
      <w:r w:rsidR="002F695A" w:rsidRPr="00882F11">
        <w:rPr>
          <w:rFonts w:cs="Guttman Drogolin" w:hint="cs"/>
          <w:rtl/>
          <w:lang w:bidi="he-IL"/>
        </w:rPr>
        <w:t>"א</w:t>
      </w:r>
      <w:r w:rsidRPr="00882F11">
        <w:rPr>
          <w:rFonts w:cs="Guttman Drogolin" w:hint="cs"/>
          <w:rtl/>
          <w:lang w:bidi="he-IL"/>
        </w:rPr>
        <w:t xml:space="preserve"> דכיון שלא בטל מעיקרא מחמת היותו ראוי' להתכבד בה לפני האורחים</w:t>
      </w:r>
      <w:r w:rsidR="002F695A" w:rsidRPr="00882F11">
        <w:rPr>
          <w:rFonts w:cs="Guttman Drogolin" w:hint="cs"/>
          <w:rtl/>
          <w:lang w:bidi="he-IL"/>
        </w:rPr>
        <w:t xml:space="preserve"> שוב אינו מתבטל. ועכ"פ באותו ענין נראה פשוט דאילו התערב דבר שדרכו לימנות לתוך תערובת, ושוב נהפך להיות דבר שאין הדרך לימנות, כגון שהפסיקו למכור במנין מאיזה סיבה, שמכאן ולהבא יהא בטל מאותו סיבה. ולכן סוברים התוס', דרק משום שגם עכשיו בהיותו בתוך התערובת אילו הי' בטל הי' ראוי להתכבד בה לפני האורחים אמרינן שאינו בטל. אבל דבר ש</w:t>
      </w:r>
      <w:r w:rsidR="00590992" w:rsidRPr="00882F11">
        <w:rPr>
          <w:rFonts w:cs="Guttman Drogolin" w:hint="cs"/>
          <w:rtl/>
          <w:lang w:bidi="he-IL"/>
        </w:rPr>
        <w:t xml:space="preserve">אפילו </w:t>
      </w:r>
      <w:r w:rsidR="002F695A" w:rsidRPr="00882F11">
        <w:rPr>
          <w:rFonts w:cs="Guttman Drogolin" w:hint="cs"/>
          <w:rtl/>
          <w:lang w:bidi="he-IL"/>
        </w:rPr>
        <w:t xml:space="preserve">ע"י הביטול </w:t>
      </w:r>
      <w:r w:rsidR="002F695A" w:rsidRPr="00882F11">
        <w:rPr>
          <w:rFonts w:cs="Guttman Drogolin" w:hint="cs"/>
          <w:rtl/>
          <w:lang w:bidi="he-IL"/>
        </w:rPr>
        <w:lastRenderedPageBreak/>
        <w:t>לא יהי' ראוי' להתכבד בה לפני האורחים</w:t>
      </w:r>
      <w:r w:rsidR="00590992" w:rsidRPr="00882F11">
        <w:rPr>
          <w:rFonts w:cs="Guttman Drogolin" w:hint="cs"/>
          <w:rtl/>
          <w:lang w:bidi="he-IL"/>
        </w:rPr>
        <w:t xml:space="preserve"> הא כבר אינו דבר שבמנין, דהא מעכשיו כבר אינו דבר שבמנין. והר"ן סבר שהכל תלוי בחפצא של החתיכה, וזה הרי נשאר ולכן אינו בטל. </w:t>
      </w:r>
    </w:p>
    <w:p w:rsidR="00087D1A" w:rsidRPr="00882F11" w:rsidRDefault="00087D1A" w:rsidP="00087D1A">
      <w:pPr>
        <w:bidi/>
        <w:jc w:val="both"/>
        <w:rPr>
          <w:rFonts w:cs="Guttman Drogolin"/>
          <w:rtl/>
          <w:lang w:bidi="he-IL"/>
        </w:rPr>
      </w:pPr>
    </w:p>
    <w:p w:rsidR="00087D1A" w:rsidRPr="00882F11" w:rsidRDefault="00087D1A" w:rsidP="00087D1A">
      <w:pPr>
        <w:bidi/>
        <w:jc w:val="both"/>
        <w:rPr>
          <w:rFonts w:cs="Guttman Drogolin"/>
          <w:rtl/>
          <w:lang w:bidi="he-IL"/>
        </w:rPr>
        <w:sectPr w:rsidR="00087D1A" w:rsidRPr="00882F11" w:rsidSect="000F6DEF">
          <w:type w:val="continuous"/>
          <w:pgSz w:w="11907" w:h="16839" w:code="9"/>
          <w:pgMar w:top="1440" w:right="1440" w:bottom="1440" w:left="1440" w:header="720" w:footer="720" w:gutter="0"/>
          <w:cols w:num="2" w:space="720"/>
          <w:bidi/>
          <w:docGrid w:linePitch="360"/>
        </w:sectPr>
      </w:pPr>
    </w:p>
    <w:p w:rsidR="00087D1A" w:rsidRPr="00882F11" w:rsidRDefault="00087D1A" w:rsidP="00087D1A">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ט"ז</w:t>
      </w:r>
    </w:p>
    <w:p w:rsidR="000F6DEF" w:rsidRDefault="000F6DEF" w:rsidP="0078079C">
      <w:pPr>
        <w:pStyle w:val="Heading1"/>
        <w:bidi/>
        <w:spacing w:before="0" w:line="360" w:lineRule="auto"/>
        <w:jc w:val="center"/>
        <w:rPr>
          <w:rFonts w:cs="Guttman Drogolin"/>
          <w:color w:val="auto"/>
          <w:sz w:val="24"/>
          <w:szCs w:val="24"/>
          <w:u w:val="single"/>
          <w:rtl/>
          <w:lang w:bidi="he-IL"/>
        </w:rPr>
        <w:sectPr w:rsidR="000F6DEF" w:rsidSect="000F6DEF">
          <w:pgSz w:w="11907" w:h="16839" w:code="9"/>
          <w:pgMar w:top="1440" w:right="1440" w:bottom="1440" w:left="1440" w:header="720" w:footer="720" w:gutter="0"/>
          <w:cols w:space="720"/>
          <w:bidi/>
          <w:docGrid w:linePitch="360"/>
        </w:sectPr>
      </w:pPr>
    </w:p>
    <w:p w:rsidR="00087D1A" w:rsidRPr="000F6DEF" w:rsidRDefault="00087D1A" w:rsidP="0078079C">
      <w:pPr>
        <w:pStyle w:val="Heading1"/>
        <w:bidi/>
        <w:spacing w:before="0" w:line="360" w:lineRule="auto"/>
        <w:jc w:val="center"/>
        <w:rPr>
          <w:rFonts w:cs="Guttman Drogolin"/>
          <w:color w:val="auto"/>
          <w:sz w:val="18"/>
          <w:szCs w:val="18"/>
          <w:u w:val="single"/>
          <w:rtl/>
          <w:lang w:bidi="he-IL"/>
        </w:rPr>
      </w:pPr>
      <w:bookmarkStart w:id="62" w:name="_Toc496175325"/>
      <w:r w:rsidRPr="000F6DEF">
        <w:rPr>
          <w:rFonts w:cs="Guttman Drogolin" w:hint="cs"/>
          <w:color w:val="auto"/>
          <w:sz w:val="18"/>
          <w:szCs w:val="18"/>
          <w:u w:val="single"/>
          <w:rtl/>
          <w:lang w:bidi="he-IL"/>
        </w:rPr>
        <w:lastRenderedPageBreak/>
        <w:t>בדין חתיכה הראוי' להתכבד בה ל</w:t>
      </w:r>
      <w:r w:rsidR="00643B60" w:rsidRPr="000F6DEF">
        <w:rPr>
          <w:rFonts w:cs="Guttman Drogolin" w:hint="cs"/>
          <w:color w:val="auto"/>
          <w:sz w:val="18"/>
          <w:szCs w:val="18"/>
          <w:u w:val="single"/>
          <w:rtl/>
          <w:lang w:bidi="he-IL"/>
        </w:rPr>
        <w:t xml:space="preserve">פני </w:t>
      </w:r>
      <w:r w:rsidRPr="000F6DEF">
        <w:rPr>
          <w:rFonts w:cs="Guttman Drogolin" w:hint="cs"/>
          <w:color w:val="auto"/>
          <w:sz w:val="18"/>
          <w:szCs w:val="18"/>
          <w:u w:val="single"/>
          <w:rtl/>
          <w:lang w:bidi="he-IL"/>
        </w:rPr>
        <w:t>מקצת בני אדם</w:t>
      </w:r>
      <w:bookmarkEnd w:id="62"/>
    </w:p>
    <w:p w:rsidR="00BA431F" w:rsidRPr="00882F11" w:rsidRDefault="00707592" w:rsidP="00087D1A">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חתיכה הראוי' להתכבד</w:instrText>
      </w:r>
      <w:r w:rsidRPr="00882F11">
        <w:rPr>
          <w:rFonts w:cs="Guttman Drogolin"/>
          <w:rtl/>
        </w:rPr>
        <w:instrText>:</w:instrText>
      </w:r>
      <w:r w:rsidRPr="00882F11">
        <w:rPr>
          <w:rFonts w:cs="Guttman Drogolin" w:hint="cs"/>
          <w:rtl/>
          <w:lang w:bidi="he-IL"/>
        </w:rPr>
        <w:instrText>לפני מקצת אורחים</w:instrText>
      </w:r>
      <w:r w:rsidRPr="00882F11">
        <w:rPr>
          <w:rFonts w:cs="Guttman Drogolin"/>
        </w:rPr>
        <w:instrText xml:space="preserve">" </w:instrText>
      </w:r>
      <w:r w:rsidRPr="00882F11">
        <w:rPr>
          <w:rFonts w:cs="Guttman Drogolin"/>
          <w:rtl/>
          <w:lang w:bidi="he-IL"/>
        </w:rPr>
        <w:fldChar w:fldCharType="end"/>
      </w:r>
      <w:r w:rsidR="00087D1A" w:rsidRPr="00882F11">
        <w:rPr>
          <w:rFonts w:cs="Guttman Drogolin" w:hint="cs"/>
          <w:rtl/>
          <w:lang w:bidi="he-IL"/>
        </w:rPr>
        <w:t>תוס' בדף ק' ע"א כתבו שהטעם שחטאת טמאה העורבת בחטאות טהורות בטלה במאה ואינה בכלל חתיכה הראוי' להתכבד משום שאפילו לאחר הביטול עדיין לא יהא ראוי' אלא לכהנים. ותי' זה מוזכרת גם בשאר ראשונים, אבל יש שינוי ביניהם. התוס' כתבו שאינו חשוב ראוי' להתכבד אפילו כלפי כהנים, כיון שכהנים אינם מכבדים א' את השני אין כאן ראוי' להתכבד. וכה"ג מבואר גם ברא"ש. אבל בר"ן וברשב"א מבואר שלא איכפת לן אם ראוי להתכבד בה לפני כהנים או לא</w:t>
      </w:r>
      <w:r w:rsidR="00FE1106" w:rsidRPr="00882F11">
        <w:rPr>
          <w:rFonts w:cs="Guttman Drogolin" w:hint="cs"/>
          <w:rtl/>
          <w:lang w:bidi="he-IL"/>
        </w:rPr>
        <w:t>, דעצם זה שאינה ראוי' להתכבד בה לפני כל אורחים עושהו אינה ראוי' להתכבד בה לפני האורחים.</w:t>
      </w:r>
      <w:r w:rsidR="00590992" w:rsidRPr="00882F11">
        <w:rPr>
          <w:rFonts w:cs="Guttman Drogolin" w:hint="cs"/>
          <w:rtl/>
          <w:lang w:bidi="he-IL"/>
        </w:rPr>
        <w:t xml:space="preserve"> </w:t>
      </w:r>
    </w:p>
    <w:p w:rsidR="00643B60" w:rsidRPr="00882F11" w:rsidRDefault="00BA431F" w:rsidP="00063D5F">
      <w:pPr>
        <w:bidi/>
        <w:jc w:val="both"/>
        <w:rPr>
          <w:rFonts w:cs="Guttman Drogolin"/>
          <w:rtl/>
          <w:lang w:bidi="he-IL"/>
        </w:rPr>
      </w:pPr>
      <w:r w:rsidRPr="00882F11">
        <w:rPr>
          <w:rFonts w:cs="Guttman Drogolin" w:hint="cs"/>
          <w:rtl/>
          <w:lang w:bidi="he-IL"/>
        </w:rPr>
        <w:t>וראיתי בזה דבר נחמד. דהנה בשפ"ד מבואר שהלב לא נחשב חתיכה הראוי' להתכבד כיון שהלב קשה לשכחה. ובס' בדי השולחן הקשה עליו דהא עדיין ראוי' להתכבד בה לפני נשים שאינן מצוות בתלמוד תורה ולא איכפת להו זה שקשה לשכחה. ורצה לומר שהוא תלוי בהנ"ל</w:t>
      </w:r>
      <w:r w:rsidR="00643B60" w:rsidRPr="00882F11">
        <w:rPr>
          <w:rFonts w:cs="Guttman Drogolin" w:hint="cs"/>
          <w:rtl/>
          <w:lang w:bidi="he-IL"/>
        </w:rPr>
        <w:t>,</w:t>
      </w:r>
      <w:r w:rsidRPr="00882F11">
        <w:rPr>
          <w:rFonts w:cs="Guttman Drogolin" w:hint="cs"/>
          <w:rtl/>
          <w:lang w:bidi="he-IL"/>
        </w:rPr>
        <w:t xml:space="preserve"> ולפי דברי הרשב"א והר"ן </w:t>
      </w:r>
      <w:r w:rsidR="00643B60" w:rsidRPr="00882F11">
        <w:rPr>
          <w:rFonts w:cs="Guttman Drogolin" w:hint="cs"/>
          <w:rtl/>
          <w:lang w:bidi="he-IL"/>
        </w:rPr>
        <w:t>עדיין אינו חשוב ראוי' להכבד בה לפני האורחים כיון שאינו לכל האורחים כיון שלאנשים אינה ראוי' להתכבד. ובס' מגי</w:t>
      </w:r>
      <w:r w:rsidR="00063D5F" w:rsidRPr="00882F11">
        <w:rPr>
          <w:rFonts w:cs="Guttman Drogolin" w:hint="cs"/>
          <w:rtl/>
          <w:lang w:bidi="he-IL"/>
        </w:rPr>
        <w:t xml:space="preserve">לת </w:t>
      </w:r>
      <w:r w:rsidR="00643B60" w:rsidRPr="00882F11">
        <w:rPr>
          <w:rFonts w:cs="Guttman Drogolin" w:hint="cs"/>
          <w:rtl/>
          <w:lang w:bidi="he-IL"/>
        </w:rPr>
        <w:t>ס</w:t>
      </w:r>
      <w:r w:rsidR="00063D5F" w:rsidRPr="00882F11">
        <w:rPr>
          <w:rFonts w:cs="Guttman Drogolin" w:hint="cs"/>
          <w:rtl/>
          <w:lang w:bidi="he-IL"/>
        </w:rPr>
        <w:t>פר</w:t>
      </w:r>
      <w:r w:rsidR="00643B60" w:rsidRPr="00882F11">
        <w:rPr>
          <w:rFonts w:cs="Guttman Drogolin" w:hint="cs"/>
          <w:rtl/>
          <w:lang w:bidi="he-IL"/>
        </w:rPr>
        <w:t xml:space="preserve"> ראיתי שהסתפק </w:t>
      </w:r>
      <w:r w:rsidR="00063D5F" w:rsidRPr="00882F11">
        <w:rPr>
          <w:rFonts w:cs="Guttman Drogolin" w:hint="cs"/>
          <w:rtl/>
          <w:lang w:bidi="he-IL"/>
        </w:rPr>
        <w:t xml:space="preserve">בזה, ומשום </w:t>
      </w:r>
      <w:r w:rsidR="00643B60" w:rsidRPr="00882F11">
        <w:rPr>
          <w:rFonts w:cs="Guttman Drogolin" w:hint="cs"/>
          <w:rtl/>
          <w:lang w:bidi="he-IL"/>
        </w:rPr>
        <w:t xml:space="preserve">שאולי בדבר שאפשר להתכבד לפני כל הנשים גם הם מודים, ולא אמרו אלא כשאי אפשר להתכבד בה לפני חלק קטן כמו הכהנים. ובעיקר הענין </w:t>
      </w:r>
      <w:r w:rsidR="00063D5F" w:rsidRPr="00882F11">
        <w:rPr>
          <w:rFonts w:cs="Guttman Drogolin" w:hint="cs"/>
          <w:rtl/>
          <w:lang w:bidi="he-IL"/>
        </w:rPr>
        <w:t>נראה לי להוסיף ד</w:t>
      </w:r>
      <w:r w:rsidR="00643B60" w:rsidRPr="00882F11">
        <w:rPr>
          <w:rFonts w:cs="Guttman Drogolin" w:hint="cs"/>
          <w:rtl/>
          <w:lang w:bidi="he-IL"/>
        </w:rPr>
        <w:t>יתכן שאמנם נשים מותרות לאכול דבר הקשה לשכחה, מ"מ גם אצלה</w:t>
      </w:r>
      <w:r w:rsidR="00063D5F" w:rsidRPr="00882F11">
        <w:rPr>
          <w:rFonts w:cs="Guttman Drogolin" w:hint="cs"/>
          <w:rtl/>
          <w:lang w:bidi="he-IL"/>
        </w:rPr>
        <w:t>ן</w:t>
      </w:r>
      <w:r w:rsidR="00643B60" w:rsidRPr="00882F11">
        <w:rPr>
          <w:rFonts w:cs="Guttman Drogolin" w:hint="cs"/>
          <w:rtl/>
          <w:lang w:bidi="he-IL"/>
        </w:rPr>
        <w:t xml:space="preserve"> אינו ראוי' לה</w:t>
      </w:r>
      <w:r w:rsidR="00063D5F" w:rsidRPr="00882F11">
        <w:rPr>
          <w:rFonts w:cs="Guttman Drogolin" w:hint="cs"/>
          <w:rtl/>
          <w:lang w:bidi="he-IL"/>
        </w:rPr>
        <w:t>ת</w:t>
      </w:r>
      <w:r w:rsidR="00643B60" w:rsidRPr="00882F11">
        <w:rPr>
          <w:rFonts w:cs="Guttman Drogolin" w:hint="cs"/>
          <w:rtl/>
          <w:lang w:bidi="he-IL"/>
        </w:rPr>
        <w:t>כבד בה לפניהן</w:t>
      </w:r>
      <w:r w:rsidR="00063D5F" w:rsidRPr="00882F11">
        <w:rPr>
          <w:rFonts w:cs="Guttman Drogolin" w:hint="cs"/>
          <w:rtl/>
          <w:lang w:bidi="he-IL"/>
        </w:rPr>
        <w:t>, דהא עדיין אינו דרך כבוד</w:t>
      </w:r>
      <w:r w:rsidR="00643B60" w:rsidRPr="00882F11">
        <w:rPr>
          <w:rFonts w:cs="Guttman Drogolin" w:hint="cs"/>
          <w:rtl/>
          <w:lang w:bidi="he-IL"/>
        </w:rPr>
        <w:t>.</w:t>
      </w:r>
    </w:p>
    <w:p w:rsidR="00643B60" w:rsidRPr="000F6DEF" w:rsidRDefault="00643B60" w:rsidP="0078079C">
      <w:pPr>
        <w:pStyle w:val="Heading1"/>
        <w:bidi/>
        <w:spacing w:before="0" w:line="360" w:lineRule="auto"/>
        <w:jc w:val="center"/>
        <w:rPr>
          <w:rFonts w:cs="Guttman Drogolin"/>
          <w:color w:val="auto"/>
          <w:sz w:val="18"/>
          <w:szCs w:val="18"/>
          <w:u w:val="single"/>
          <w:rtl/>
          <w:lang w:bidi="he-IL"/>
        </w:rPr>
      </w:pPr>
      <w:bookmarkStart w:id="63" w:name="_Toc496175326"/>
      <w:r w:rsidRPr="000F6DEF">
        <w:rPr>
          <w:rFonts w:cs="Guttman Drogolin" w:hint="cs"/>
          <w:color w:val="auto"/>
          <w:sz w:val="18"/>
          <w:szCs w:val="18"/>
          <w:u w:val="single"/>
          <w:rtl/>
          <w:lang w:bidi="he-IL"/>
        </w:rPr>
        <w:t>בדין חתיכה הראוי' להתכבד בה אבל עדיין חסר תיקון</w:t>
      </w:r>
      <w:bookmarkEnd w:id="63"/>
    </w:p>
    <w:p w:rsidR="00E25DE7" w:rsidRPr="00882F11" w:rsidRDefault="00B65122" w:rsidP="00E25DE7">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חתיכה הראוי' להתכבד</w:instrText>
      </w:r>
      <w:r w:rsidRPr="00882F11">
        <w:rPr>
          <w:rFonts w:cs="Guttman Drogolin"/>
          <w:rtl/>
        </w:rPr>
        <w:instrText>:</w:instrText>
      </w:r>
      <w:r w:rsidRPr="00882F11">
        <w:rPr>
          <w:rFonts w:cs="Guttman Drogolin" w:hint="cs"/>
          <w:rtl/>
          <w:lang w:bidi="he-IL"/>
        </w:rPr>
        <w:instrText>שחסר תיקון</w:instrText>
      </w:r>
      <w:r w:rsidRPr="00882F11">
        <w:rPr>
          <w:rFonts w:cs="Guttman Drogolin"/>
        </w:rPr>
        <w:instrText xml:space="preserve">" </w:instrText>
      </w:r>
      <w:r w:rsidRPr="00882F11">
        <w:rPr>
          <w:rFonts w:cs="Guttman Drogolin"/>
          <w:rtl/>
          <w:lang w:bidi="he-IL"/>
        </w:rPr>
        <w:fldChar w:fldCharType="end"/>
      </w:r>
      <w:r w:rsidR="00643B60" w:rsidRPr="00882F11">
        <w:rPr>
          <w:rFonts w:cs="Guttman Drogolin" w:hint="cs"/>
          <w:rtl/>
          <w:lang w:bidi="he-IL"/>
        </w:rPr>
        <w:t xml:space="preserve">הריטב"א הביא בשם הרא"ה לדייק ממתני' שחתיכה אינה חשובה ראוי' להתכבד בה לפני האורחים אא"כ הוא מבושל וראוי להגיש בפניהם, אבל חתיכה חי' כיון שאין מגישים אותו כך וצריך תיקון, לא חשוב חתיכה הראוי' להתכבד בה לפני האורם ובטל. </w:t>
      </w:r>
      <w:r w:rsidR="00F7272E" w:rsidRPr="00882F11">
        <w:rPr>
          <w:rFonts w:cs="Guttman Drogolin" w:hint="cs"/>
          <w:rtl/>
          <w:lang w:bidi="he-IL"/>
        </w:rPr>
        <w:t xml:space="preserve">והוא ממש"כ במתני' שהחתיכה </w:t>
      </w:r>
      <w:r w:rsidR="00F7272E" w:rsidRPr="00882F11">
        <w:rPr>
          <w:rFonts w:cs="Guttman Drogolin" w:hint="cs"/>
          <w:rtl/>
          <w:lang w:bidi="he-IL"/>
        </w:rPr>
        <w:lastRenderedPageBreak/>
        <w:t>נתבשלה. ועוד הוכיח שכן הוא מן הגמ' שבמס' זבחים דף ע"ב ע"</w:t>
      </w:r>
      <w:r w:rsidR="00063D5F" w:rsidRPr="00882F11">
        <w:rPr>
          <w:rFonts w:cs="Guttman Drogolin" w:hint="cs"/>
          <w:rtl/>
          <w:lang w:bidi="he-IL"/>
        </w:rPr>
        <w:t>א, ששם דנו למה חטאות המתות אינן בטילות אפילו באלף, ואומרת הגמ' שהטעם משום שדהוי בעל חי. ולכאורה צ"ע, דלמה היו צריכים לטעם שהוא בעל חי, תיפו"ל משום דהוי חתיכה הראוי' להתכבד. וע"כ כנ"ל, דכיון שמחוסר בישול אינו חשוב ראוי' להתכבד.</w:t>
      </w:r>
      <w:r w:rsidR="00B36453" w:rsidRPr="00882F11">
        <w:rPr>
          <w:rFonts w:cs="Guttman Drogolin" w:hint="cs"/>
          <w:rtl/>
          <w:lang w:bidi="he-IL"/>
        </w:rPr>
        <w:t xml:space="preserve"> ושם בריטב"א דחה את ב' הראיות. לענין לשון המתני' דחה דאגב רישא נקט נתבשלה, ואה"נ לענין תערובת יבש ביבש אינה בטילה אפילו אם לא נתבשלה. ולענין הגמ' במס' זבחים ר"ל שהוא כשיטת רבנן דלית להו דבר שבמנין כלל, ולכן גם חתיכה הראוי' להכתבד בה בטלה. וע' ברא"ש שהביא גם מי שסבר שאם היא בהמה שלימה כיון שאין הדרך להגיש בהמה שלמה לפני האורחים אין זה חתיכה הראוי' להכבד בה. וגם בזה יהי' לנו ישוב לגמ' במס' </w:t>
      </w:r>
      <w:r w:rsidR="00020C47" w:rsidRPr="00882F11">
        <w:rPr>
          <w:rFonts w:cs="Guttman Drogolin" w:hint="cs"/>
          <w:rtl/>
          <w:lang w:bidi="he-IL"/>
        </w:rPr>
        <w:t xml:space="preserve">זבחי הנ"ל. </w:t>
      </w:r>
    </w:p>
    <w:p w:rsidR="001E1A78" w:rsidRPr="00882F11" w:rsidRDefault="00020C47" w:rsidP="00E25DE7">
      <w:pPr>
        <w:bidi/>
        <w:jc w:val="both"/>
        <w:rPr>
          <w:rFonts w:cs="Guttman Drogolin"/>
          <w:rtl/>
          <w:lang w:bidi="he-IL"/>
        </w:rPr>
      </w:pPr>
      <w:r w:rsidRPr="00882F11">
        <w:rPr>
          <w:rFonts w:cs="Guttman Drogolin" w:hint="cs"/>
          <w:rtl/>
          <w:lang w:bidi="he-IL"/>
        </w:rPr>
        <w:t>וע</w:t>
      </w:r>
      <w:r w:rsidR="00E25DE7" w:rsidRPr="00882F11">
        <w:rPr>
          <w:rFonts w:cs="Guttman Drogolin" w:hint="cs"/>
          <w:rtl/>
          <w:lang w:bidi="he-IL"/>
        </w:rPr>
        <w:t xml:space="preserve">' ברא"ש שכתב על שיטת הרא"ה "ודברי הבל הם דהא דקאמר ראוי' להתכבד בפני האורחים לאו למימר שתהא ראויה כמו שהיא עתה אלא משום שעור נקטינן דגדולה כי האי שראויה ליתן לפני אורח נכבד אחר שנתבשל חשובה כזאת שדרכה למנות ולא בטלה". ולפום ריהטא הי' נראה כוונת הרא"ש לומר </w:t>
      </w:r>
      <w:r w:rsidR="001E1A78" w:rsidRPr="00882F11">
        <w:rPr>
          <w:rFonts w:cs="Guttman Drogolin" w:hint="cs"/>
          <w:rtl/>
          <w:lang w:bidi="he-IL"/>
        </w:rPr>
        <w:t>שאין דין שיהא ראוי' להתכבד בה בפועל רק הוא מדד של היותו מספיק גדול כדי שלא תיבטל. אבל אי אפשר לומר כן, שהרי הרא"ש כתב כדברי התוס' הנ"ל שאם לאחר הביטול אינו ראוי אלא לכהנים הרי הוא בטל, ואם אין הענין אלא לומר לנו מהו השיעור, הא גם התם שיעור איכא. רק כוונת הרא"ש לומר שינה צריכה להיות ראוי' בשעת הביטול להכבד בה לפני האורחים, לא צריכים אלא שיהא ראוי' להתכבד בה אילו הי' רוצה לתקנו, וכיון שהיא חתיכה שיכול לבא להתכבד בה לפני האורחים אינו בטל אע"ג שבמצבו של עכשיו עדיין אינה ראוי'.</w:t>
      </w:r>
      <w:r w:rsidR="00E25DE7" w:rsidRPr="00882F11">
        <w:rPr>
          <w:rFonts w:cs="Guttman Drogolin" w:hint="cs"/>
          <w:rtl/>
          <w:lang w:bidi="he-IL"/>
        </w:rPr>
        <w:t xml:space="preserve"> </w:t>
      </w:r>
      <w:r w:rsidR="00B36453" w:rsidRPr="00882F11">
        <w:rPr>
          <w:rFonts w:cs="Guttman Drogolin" w:hint="cs"/>
          <w:rtl/>
          <w:lang w:bidi="he-IL"/>
        </w:rPr>
        <w:t xml:space="preserve"> </w:t>
      </w:r>
    </w:p>
    <w:p w:rsidR="001E1A78" w:rsidRPr="00882F11" w:rsidRDefault="001E1A78" w:rsidP="000F6DEF">
      <w:pPr>
        <w:pStyle w:val="Heading1"/>
        <w:bidi/>
        <w:spacing w:before="0" w:line="240" w:lineRule="auto"/>
        <w:jc w:val="center"/>
        <w:rPr>
          <w:rFonts w:cs="Guttman Drogolin"/>
          <w:color w:val="auto"/>
          <w:sz w:val="24"/>
          <w:szCs w:val="24"/>
          <w:u w:val="single"/>
          <w:lang w:bidi="he-IL"/>
        </w:rPr>
      </w:pPr>
      <w:bookmarkStart w:id="64" w:name="_Toc496175327"/>
      <w:r w:rsidRPr="00882F11">
        <w:rPr>
          <w:rFonts w:cs="Guttman Drogolin" w:hint="cs"/>
          <w:color w:val="auto"/>
          <w:sz w:val="24"/>
          <w:szCs w:val="24"/>
          <w:u w:val="single"/>
          <w:rtl/>
          <w:lang w:bidi="he-IL"/>
        </w:rPr>
        <w:lastRenderedPageBreak/>
        <w:t>בדין חתיכה שאינה אסורה אלא משום שקיבלה טעם איסור, והקדמה לדין חענ"ן</w:t>
      </w:r>
      <w:bookmarkEnd w:id="64"/>
    </w:p>
    <w:p w:rsidR="00E6491C" w:rsidRPr="00882F11" w:rsidRDefault="00E560C4" w:rsidP="00E6491C">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חתיכה הראוי' להתכבד</w:instrText>
      </w:r>
      <w:r w:rsidRPr="00882F11">
        <w:rPr>
          <w:rFonts w:cs="Guttman Drogolin"/>
          <w:rtl/>
        </w:rPr>
        <w:instrText>:</w:instrText>
      </w:r>
      <w:r w:rsidRPr="00882F11">
        <w:rPr>
          <w:rFonts w:cs="Guttman Drogolin" w:hint="cs"/>
          <w:rtl/>
          <w:lang w:bidi="he-IL"/>
        </w:rPr>
        <w:instrText>בחתיכה שנאסרה ונע</w:instrText>
      </w:r>
      <w:r w:rsidRPr="00882F11">
        <w:rPr>
          <w:rFonts w:eastAsiaTheme="minorEastAsia" w:cs="Guttman Drogolin"/>
          <w:lang w:bidi="he-IL"/>
        </w:rPr>
        <w:instrText>\</w:instrText>
      </w:r>
      <w:r w:rsidRPr="00882F11">
        <w:rPr>
          <w:rFonts w:cs="Guttman Drogolin" w:hint="cs"/>
          <w:rtl/>
          <w:lang w:bidi="he-IL"/>
        </w:rPr>
        <w:instrText>"נ</w:instrText>
      </w:r>
      <w:r w:rsidRPr="00882F11">
        <w:rPr>
          <w:rFonts w:cs="Guttman Drogolin"/>
        </w:rPr>
        <w:instrText xml:space="preserve">" </w:instrText>
      </w:r>
      <w:r w:rsidRPr="00882F11">
        <w:rPr>
          <w:rFonts w:cs="Guttman Drogolin"/>
          <w:rtl/>
          <w:lang w:bidi="he-IL"/>
        </w:rPr>
        <w:fldChar w:fldCharType="end"/>
      </w:r>
      <w:r w:rsidR="001E1A78" w:rsidRPr="00882F11">
        <w:rPr>
          <w:rFonts w:cs="Guttman Drogolin" w:hint="cs"/>
          <w:rtl/>
          <w:lang w:bidi="he-IL"/>
        </w:rPr>
        <w:t xml:space="preserve">הרמב"ן רשב"א וריטב"א כתבו </w:t>
      </w:r>
      <w:r w:rsidR="00E6491C" w:rsidRPr="00882F11">
        <w:rPr>
          <w:rFonts w:cs="Guttman Drogolin" w:hint="cs"/>
          <w:rtl/>
          <w:lang w:bidi="he-IL"/>
        </w:rPr>
        <w:t>דליתי' לחומרא של חתיכה הראוי' להתכבד אא"כ החתיכה אסורה מכח עצמו, אבל אם אינה אסורה אלא משום טעם הנבלע בו לא. והנ"מ בטעם של שאר איסורים, אבל בחתיכת בשר</w:t>
      </w:r>
      <w:r w:rsidR="00063D5F" w:rsidRPr="00882F11">
        <w:rPr>
          <w:rFonts w:cs="Guttman Drogolin" w:hint="cs"/>
          <w:rtl/>
          <w:lang w:bidi="he-IL"/>
        </w:rPr>
        <w:t xml:space="preserve"> </w:t>
      </w:r>
      <w:r w:rsidR="00E6491C" w:rsidRPr="00882F11">
        <w:rPr>
          <w:rFonts w:cs="Guttman Drogolin" w:hint="cs"/>
          <w:rtl/>
          <w:lang w:bidi="he-IL"/>
        </w:rPr>
        <w:t>שבלע חלב הוי ג"כ בכלל דינא דחתיכה הראוי' להתכבד ואינה בטילה. וכדי לעמוד על עומק הסברא בזה יש להקדים הענין של חתיכה עצמה נעשית נבילה.</w:t>
      </w:r>
    </w:p>
    <w:p w:rsidR="00D755C7" w:rsidRPr="00882F11" w:rsidRDefault="00E6491C" w:rsidP="008B71AD">
      <w:pPr>
        <w:bidi/>
        <w:jc w:val="both"/>
        <w:rPr>
          <w:rFonts w:cs="Guttman Drogolin"/>
          <w:rtl/>
          <w:lang w:bidi="he-IL"/>
        </w:rPr>
      </w:pPr>
      <w:r w:rsidRPr="00882F11">
        <w:rPr>
          <w:rFonts w:cs="Guttman Drogolin" w:hint="cs"/>
          <w:rtl/>
          <w:lang w:bidi="he-IL"/>
        </w:rPr>
        <w:t xml:space="preserve">הנה לעיל הבאנו מחלוקת הראשונים מה הדין למ"ד טכ"ע דאורייתא, האם צריכים לאכול כזית מן הטעם כדי להתחייב מלקות, או"ד דאמרינן שנהפך ההיתר להיות איסור, ואפילו אם לא אכל אלא כזית מן ההיתר שיש בה טעם איסור ג"כ חייב. </w:t>
      </w:r>
      <w:r w:rsidR="008B71AD" w:rsidRPr="00882F11">
        <w:rPr>
          <w:rFonts w:cs="Guttman Drogolin" w:hint="cs"/>
          <w:rtl/>
          <w:lang w:bidi="he-IL"/>
        </w:rPr>
        <w:t xml:space="preserve">אמנם כל זה בשאר איסורים, אבל בבשר בחלב </w:t>
      </w:r>
      <w:r w:rsidRPr="00882F11">
        <w:rPr>
          <w:rFonts w:cs="Guttman Drogolin" w:hint="cs"/>
          <w:rtl/>
          <w:lang w:bidi="he-IL"/>
        </w:rPr>
        <w:t xml:space="preserve">חייב </w:t>
      </w:r>
      <w:r w:rsidR="008B71AD" w:rsidRPr="00882F11">
        <w:rPr>
          <w:rFonts w:cs="Guttman Drogolin" w:hint="cs"/>
          <w:rtl/>
          <w:lang w:bidi="he-IL"/>
        </w:rPr>
        <w:t xml:space="preserve">על </w:t>
      </w:r>
      <w:r w:rsidRPr="00882F11">
        <w:rPr>
          <w:rFonts w:cs="Guttman Drogolin" w:hint="cs"/>
          <w:rtl/>
          <w:lang w:bidi="he-IL"/>
        </w:rPr>
        <w:t>אכילת כזית מן הבשר. והטע</w:t>
      </w:r>
      <w:r w:rsidR="00A71C39" w:rsidRPr="00882F11">
        <w:rPr>
          <w:rFonts w:cs="Guttman Drogolin" w:hint="cs"/>
          <w:rtl/>
          <w:lang w:bidi="he-IL"/>
        </w:rPr>
        <w:t>ם</w:t>
      </w:r>
      <w:r w:rsidRPr="00882F11">
        <w:rPr>
          <w:rFonts w:cs="Guttman Drogolin" w:hint="cs"/>
          <w:rtl/>
          <w:lang w:bidi="he-IL"/>
        </w:rPr>
        <w:t xml:space="preserve"> בזה פשוט, דבשלמא בשאר איסורים י"ל שכשנבלע טעם איסור בבשר</w:t>
      </w:r>
      <w:r w:rsidR="00F7272E" w:rsidRPr="00882F11">
        <w:rPr>
          <w:rFonts w:cs="Guttman Drogolin" w:hint="cs"/>
          <w:rtl/>
          <w:lang w:bidi="he-IL"/>
        </w:rPr>
        <w:t xml:space="preserve"> </w:t>
      </w:r>
      <w:r w:rsidRPr="00882F11">
        <w:rPr>
          <w:rFonts w:cs="Guttman Drogolin" w:hint="cs"/>
          <w:rtl/>
          <w:lang w:bidi="he-IL"/>
        </w:rPr>
        <w:t>רק הטעם שנבלע הוא החפצא דאיסורא, ושאר החתיכה אינה אסורה בעצם, רק כיון שאינו יכול לאכול מן ההיתר מבלי לטעום גם מן האיסור ממילא אסור לאכול החתיכה, והוי כאריא דרב</w:t>
      </w:r>
      <w:r w:rsidR="00BF5D41" w:rsidRPr="00882F11">
        <w:rPr>
          <w:rFonts w:cs="Guttman Drogolin" w:hint="cs"/>
          <w:rtl/>
          <w:lang w:bidi="he-IL"/>
        </w:rPr>
        <w:t>י</w:t>
      </w:r>
      <w:r w:rsidRPr="00882F11">
        <w:rPr>
          <w:rFonts w:cs="Guttman Drogolin" w:hint="cs"/>
          <w:rtl/>
          <w:lang w:bidi="he-IL"/>
        </w:rPr>
        <w:t xml:space="preserve">ע עלי'. </w:t>
      </w:r>
      <w:r w:rsidR="00BF5D41" w:rsidRPr="00882F11">
        <w:rPr>
          <w:rFonts w:cs="Guttman Drogolin" w:hint="cs"/>
          <w:rtl/>
          <w:lang w:bidi="he-IL"/>
        </w:rPr>
        <w:t>אמנם בב"ח אין איסור לא בחתיכה בפני עצמה ולא בטעם שנבלע בו בפני עצמו, רק הצירוף של שניה</w:t>
      </w:r>
      <w:r w:rsidR="0078079C" w:rsidRPr="00882F11">
        <w:rPr>
          <w:rFonts w:cs="Guttman Drogolin" w:hint="cs"/>
          <w:rtl/>
          <w:lang w:bidi="he-IL"/>
        </w:rPr>
        <w:t>ם</w:t>
      </w:r>
      <w:r w:rsidR="00BF5D41" w:rsidRPr="00882F11">
        <w:rPr>
          <w:rFonts w:cs="Guttman Drogolin" w:hint="cs"/>
          <w:rtl/>
          <w:lang w:bidi="he-IL"/>
        </w:rPr>
        <w:t xml:space="preserve"> ביחד אסרה תורה</w:t>
      </w:r>
      <w:r w:rsidR="00A71C39" w:rsidRPr="00882F11">
        <w:rPr>
          <w:rStyle w:val="FootnoteReference"/>
          <w:rFonts w:cs="Guttman Drogolin"/>
          <w:rtl/>
          <w:lang w:bidi="he-IL"/>
        </w:rPr>
        <w:footnoteReference w:id="74"/>
      </w:r>
      <w:r w:rsidR="00BF5D41" w:rsidRPr="00882F11">
        <w:rPr>
          <w:rFonts w:cs="Guttman Drogolin" w:hint="cs"/>
          <w:rtl/>
          <w:lang w:bidi="he-IL"/>
        </w:rPr>
        <w:t xml:space="preserve">. ולכן ע"כ כשנתבשלו בב"ח </w:t>
      </w:r>
      <w:r w:rsidR="005B7AFF" w:rsidRPr="00882F11">
        <w:rPr>
          <w:rFonts w:cs="Guttman Drogolin" w:hint="cs"/>
          <w:rtl/>
          <w:lang w:bidi="he-IL"/>
        </w:rPr>
        <w:t xml:space="preserve">תרוייהו נהפכו להיות חפצא שאיסורא ותרוייהו מצטרפי לשיעור כזית. </w:t>
      </w:r>
    </w:p>
    <w:p w:rsidR="00383FE9" w:rsidRPr="00882F11" w:rsidRDefault="00E560C4" w:rsidP="0078079C">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חענ</w:instrText>
      </w:r>
      <w:r w:rsidRPr="00882F11">
        <w:rPr>
          <w:rFonts w:eastAsiaTheme="minorEastAsia" w:cs="Guttman Drogolin"/>
          <w:lang w:bidi="he-IL"/>
        </w:rPr>
        <w:instrText>\</w:instrText>
      </w:r>
      <w:r w:rsidRPr="00882F11">
        <w:rPr>
          <w:rFonts w:cs="Guttman Drogolin" w:hint="cs"/>
          <w:rtl/>
          <w:lang w:bidi="he-IL"/>
        </w:rPr>
        <w:instrText>"ן</w:instrText>
      </w:r>
      <w:r w:rsidRPr="00882F11">
        <w:rPr>
          <w:rFonts w:cs="Guttman Drogolin"/>
          <w:rtl/>
        </w:rPr>
        <w:instrText>:</w:instrText>
      </w:r>
      <w:r w:rsidRPr="00882F11">
        <w:rPr>
          <w:rFonts w:cs="Guttman Drogolin" w:hint="cs"/>
          <w:rtl/>
          <w:lang w:bidi="he-IL"/>
        </w:rPr>
        <w:instrText>למה יש אומרים שאין חענ</w:instrText>
      </w:r>
      <w:r w:rsidRPr="00882F11">
        <w:rPr>
          <w:rFonts w:eastAsiaTheme="minorEastAsia" w:cs="Guttman Drogolin"/>
          <w:lang w:bidi="he-IL"/>
        </w:rPr>
        <w:instrText>\</w:instrText>
      </w:r>
      <w:r w:rsidRPr="00882F11">
        <w:rPr>
          <w:rFonts w:cs="Guttman Drogolin" w:hint="cs"/>
          <w:rtl/>
          <w:lang w:bidi="he-IL"/>
        </w:rPr>
        <w:instrText>"ן אלא בבב</w:instrText>
      </w:r>
      <w:r w:rsidRPr="00882F11">
        <w:rPr>
          <w:rFonts w:eastAsiaTheme="minorEastAsia" w:cs="Guttman Drogolin"/>
          <w:lang w:bidi="he-IL"/>
        </w:rPr>
        <w:instrText>\</w:instrText>
      </w:r>
      <w:r w:rsidRPr="00882F11">
        <w:rPr>
          <w:rFonts w:cs="Guttman Drogolin" w:hint="cs"/>
          <w:rtl/>
          <w:lang w:bidi="he-IL"/>
        </w:rPr>
        <w:instrText>"ח</w:instrText>
      </w:r>
      <w:r w:rsidRPr="00882F11">
        <w:rPr>
          <w:rFonts w:cs="Guttman Drogolin"/>
        </w:rPr>
        <w:instrText xml:space="preserve">" </w:instrText>
      </w:r>
      <w:r w:rsidRPr="00882F11">
        <w:rPr>
          <w:rFonts w:cs="Guttman Drogolin"/>
          <w:rtl/>
          <w:lang w:bidi="he-IL"/>
        </w:rPr>
        <w:fldChar w:fldCharType="end"/>
      </w:r>
      <w:r w:rsidR="00D755C7" w:rsidRPr="00882F11">
        <w:rPr>
          <w:rFonts w:cs="Guttman Drogolin" w:hint="cs"/>
          <w:rtl/>
          <w:lang w:bidi="he-IL"/>
        </w:rPr>
        <w:t>והנה לקמן בדף ק"ח ע"א מבואר שיש מחלוקת כשנבלע טעם חלב בבשר</w:t>
      </w:r>
      <w:r w:rsidR="005B7AFF" w:rsidRPr="00882F11">
        <w:rPr>
          <w:rFonts w:cs="Guttman Drogolin" w:hint="cs"/>
          <w:rtl/>
          <w:lang w:bidi="he-IL"/>
        </w:rPr>
        <w:t xml:space="preserve"> </w:t>
      </w:r>
      <w:r w:rsidR="00D755C7" w:rsidRPr="00882F11">
        <w:rPr>
          <w:rFonts w:cs="Guttman Drogolin" w:hint="cs"/>
          <w:rtl/>
          <w:lang w:bidi="he-IL"/>
        </w:rPr>
        <w:t xml:space="preserve">אי אמרינן שהחתיכה עצמה נעשית נבלה או לא. ושם מבואר שדבר זה תלוי אי אמרינן </w:t>
      </w:r>
      <w:r w:rsidR="00DC784B">
        <w:rPr>
          <w:rFonts w:cs="Guttman Drogolin" w:hint="cs"/>
          <w:rtl/>
          <w:lang w:bidi="he-IL"/>
        </w:rPr>
        <w:t>אפשר לסוחטו</w:t>
      </w:r>
      <w:r w:rsidR="00D755C7" w:rsidRPr="00882F11">
        <w:rPr>
          <w:rFonts w:cs="Guttman Drogolin" w:hint="cs"/>
          <w:rtl/>
          <w:lang w:bidi="he-IL"/>
        </w:rPr>
        <w:t xml:space="preserve"> מותר או </w:t>
      </w:r>
      <w:r w:rsidR="00DC784B">
        <w:rPr>
          <w:rFonts w:cs="Guttman Drogolin" w:hint="cs"/>
          <w:rtl/>
          <w:lang w:bidi="he-IL"/>
        </w:rPr>
        <w:t>אפשר לסוחטו</w:t>
      </w:r>
      <w:r w:rsidR="00D755C7" w:rsidRPr="00882F11">
        <w:rPr>
          <w:rFonts w:cs="Guttman Drogolin" w:hint="cs"/>
          <w:rtl/>
          <w:lang w:bidi="he-IL"/>
        </w:rPr>
        <w:t xml:space="preserve"> אסור. וכוונת הדברים, דהנה האיסור של בשר בחלב לא חל אא"כ יש טעם חלב בבשר או להיפך, אבל זה עצמו שמעורב בה טעם בשר או </w:t>
      </w:r>
      <w:r w:rsidR="00D755C7" w:rsidRPr="00882F11">
        <w:rPr>
          <w:rFonts w:cs="Guttman Drogolin" w:hint="cs"/>
          <w:rtl/>
          <w:lang w:bidi="he-IL"/>
        </w:rPr>
        <w:lastRenderedPageBreak/>
        <w:t xml:space="preserve">חלב אינו אוסר אם הטעם לא נרגש. אמנם עדיין יש להסתפק אם בכה"ג שהי' טעם חלב בבשר, ומאז נהפך הבשר להיות חפצא דאיסורא וכמש"נ, אי אמרינן שנשאר באיסורו </w:t>
      </w:r>
      <w:r w:rsidR="005E7B76" w:rsidRPr="00882F11">
        <w:rPr>
          <w:rFonts w:cs="Guttman Drogolin" w:hint="cs"/>
          <w:rtl/>
          <w:lang w:bidi="he-IL"/>
        </w:rPr>
        <w:t xml:space="preserve">כיון שכבר נאסר, או"ד שאינו אסור אלא כל זמן שנותן בה טעם, אבל אם 'סחט' טעמו ממנו חזר להיתירו. זהו הספק אם </w:t>
      </w:r>
      <w:r w:rsidR="00DC784B">
        <w:rPr>
          <w:rFonts w:cs="Guttman Drogolin" w:hint="cs"/>
          <w:rtl/>
          <w:lang w:bidi="he-IL"/>
        </w:rPr>
        <w:t>אפשר לסוחטו</w:t>
      </w:r>
      <w:r w:rsidR="005E7B76" w:rsidRPr="00882F11">
        <w:rPr>
          <w:rFonts w:cs="Guttman Drogolin" w:hint="cs"/>
          <w:rtl/>
          <w:lang w:bidi="he-IL"/>
        </w:rPr>
        <w:t xml:space="preserve"> מותר או </w:t>
      </w:r>
      <w:r w:rsidR="00DC784B">
        <w:rPr>
          <w:rFonts w:cs="Guttman Drogolin" w:hint="cs"/>
          <w:rtl/>
          <w:lang w:bidi="he-IL"/>
        </w:rPr>
        <w:t>אפשר לסוחטו</w:t>
      </w:r>
      <w:r w:rsidR="005E7B76" w:rsidRPr="00882F11">
        <w:rPr>
          <w:rFonts w:cs="Guttman Drogolin" w:hint="cs"/>
          <w:rtl/>
          <w:lang w:bidi="he-IL"/>
        </w:rPr>
        <w:t xml:space="preserve"> מותר, ומבואר בגמ' שאם </w:t>
      </w:r>
      <w:r w:rsidR="00DC784B">
        <w:rPr>
          <w:rFonts w:cs="Guttman Drogolin" w:hint="cs"/>
          <w:rtl/>
          <w:lang w:bidi="he-IL"/>
        </w:rPr>
        <w:t>אפשר לסוחטו</w:t>
      </w:r>
      <w:r w:rsidR="005E7B76" w:rsidRPr="00882F11">
        <w:rPr>
          <w:rFonts w:cs="Guttman Drogolin" w:hint="cs"/>
          <w:rtl/>
          <w:lang w:bidi="he-IL"/>
        </w:rPr>
        <w:t xml:space="preserve"> אסור אמרינן שכל החתיכה נעשית נבילה ונהפכה כולה להיות חפצא דאיסורא. </w:t>
      </w:r>
    </w:p>
    <w:p w:rsidR="005E7B76" w:rsidRPr="00882F11" w:rsidRDefault="005E7B76" w:rsidP="000C18B9">
      <w:pPr>
        <w:bidi/>
        <w:jc w:val="both"/>
        <w:rPr>
          <w:rFonts w:cs="Guttman Drogolin"/>
          <w:rtl/>
          <w:lang w:bidi="he-IL"/>
        </w:rPr>
      </w:pPr>
      <w:r w:rsidRPr="00882F11">
        <w:rPr>
          <w:rFonts w:cs="Guttman Drogolin" w:hint="cs"/>
          <w:rtl/>
          <w:lang w:bidi="he-IL"/>
        </w:rPr>
        <w:t xml:space="preserve">והנה כל הנ"ל שייך באיסור בשר בחלב, אבל כשבלע חתיכת </w:t>
      </w:r>
      <w:r w:rsidR="0078079C" w:rsidRPr="00882F11">
        <w:rPr>
          <w:rFonts w:cs="Guttman Drogolin" w:hint="cs"/>
          <w:rtl/>
          <w:lang w:bidi="he-IL"/>
        </w:rPr>
        <w:t>היתר</w:t>
      </w:r>
      <w:r w:rsidRPr="00882F11">
        <w:rPr>
          <w:rFonts w:cs="Guttman Drogolin" w:hint="cs"/>
          <w:rtl/>
          <w:lang w:bidi="he-IL"/>
        </w:rPr>
        <w:t xml:space="preserve"> טעם של שאר איסורים לכאורה אין טעם לומר שהחתיכה עצמה נעשית נבילה. וזהו טעמו של שיטת ר' אפרים דסבר דלא אמרינן חענ"ן בשאר איסורים. </w:t>
      </w:r>
      <w:r w:rsidR="004D33EC" w:rsidRPr="00882F11">
        <w:rPr>
          <w:rFonts w:cs="Guttman Drogolin" w:hint="cs"/>
          <w:rtl/>
          <w:lang w:bidi="he-IL"/>
        </w:rPr>
        <w:t>אמנם שיטת ר"ת ועוד כמה ראשונים דאמרנן חענ"ן גם בשאר איסורים, ולכאורה צ"ע בטעמו של דבר וכנ"ל. ובאמת הרבה מן הראשונים הסוברים דאמרינן חענ"ן גם בשאר איסורים</w:t>
      </w:r>
      <w:r w:rsidR="009815B7" w:rsidRPr="00882F11">
        <w:rPr>
          <w:rFonts w:cs="Guttman Drogolin" w:hint="cs"/>
          <w:rtl/>
          <w:lang w:bidi="he-IL"/>
        </w:rPr>
        <w:t xml:space="preserve"> סוברים שאין זה אלא מדרבנן, דהא מדאורייתא לא שייך וכמש"נ. אמנם יש אחרונים</w:t>
      </w:r>
      <w:r w:rsidR="00E560C4" w:rsidRPr="00882F11">
        <w:rPr>
          <w:rFonts w:cs="Guttman Drogolin"/>
          <w:rtl/>
          <w:lang w:bidi="he-IL"/>
        </w:rPr>
        <w:fldChar w:fldCharType="begin"/>
      </w:r>
      <w:r w:rsidR="00E560C4" w:rsidRPr="00882F11">
        <w:rPr>
          <w:rFonts w:cs="Guttman Drogolin"/>
        </w:rPr>
        <w:instrText xml:space="preserve"> XE "</w:instrText>
      </w:r>
      <w:r w:rsidR="00E560C4" w:rsidRPr="00882F11">
        <w:rPr>
          <w:rFonts w:cs="Guttman Drogolin" w:hint="cs"/>
          <w:rtl/>
          <w:lang w:bidi="he-IL"/>
        </w:rPr>
        <w:instrText>חענ</w:instrText>
      </w:r>
      <w:r w:rsidR="00E560C4" w:rsidRPr="00882F11">
        <w:rPr>
          <w:rFonts w:eastAsiaTheme="minorEastAsia" w:cs="Guttman Drogolin"/>
          <w:lang w:bidi="he-IL"/>
        </w:rPr>
        <w:instrText>\</w:instrText>
      </w:r>
      <w:r w:rsidR="00E560C4" w:rsidRPr="00882F11">
        <w:rPr>
          <w:rFonts w:cs="Guttman Drogolin" w:hint="cs"/>
          <w:rtl/>
          <w:lang w:bidi="he-IL"/>
        </w:rPr>
        <w:instrText>"ן בשאר איסורים</w:instrText>
      </w:r>
      <w:r w:rsidR="00E560C4" w:rsidRPr="00882F11">
        <w:rPr>
          <w:rFonts w:cs="Guttman Drogolin"/>
          <w:rtl/>
        </w:rPr>
        <w:instrText>:</w:instrText>
      </w:r>
      <w:r w:rsidR="00E560C4" w:rsidRPr="00882F11">
        <w:rPr>
          <w:rFonts w:cs="Guttman Drogolin" w:hint="cs"/>
          <w:rtl/>
          <w:lang w:bidi="he-IL"/>
        </w:rPr>
        <w:instrText>אי הוי מדאורייתא</w:instrText>
      </w:r>
      <w:r w:rsidR="00E560C4" w:rsidRPr="00882F11">
        <w:rPr>
          <w:rFonts w:cs="Guttman Drogolin"/>
        </w:rPr>
        <w:instrText xml:space="preserve">" </w:instrText>
      </w:r>
      <w:r w:rsidR="00E560C4" w:rsidRPr="00882F11">
        <w:rPr>
          <w:rFonts w:cs="Guttman Drogolin"/>
          <w:rtl/>
          <w:lang w:bidi="he-IL"/>
        </w:rPr>
        <w:fldChar w:fldCharType="end"/>
      </w:r>
      <w:r w:rsidR="00E560C4" w:rsidRPr="00882F11">
        <w:rPr>
          <w:rFonts w:cs="Guttman Drogolin"/>
          <w:rtl/>
          <w:lang w:bidi="he-IL"/>
        </w:rPr>
        <w:fldChar w:fldCharType="begin"/>
      </w:r>
      <w:r w:rsidR="00E560C4" w:rsidRPr="00882F11">
        <w:rPr>
          <w:rFonts w:cs="Guttman Drogolin"/>
        </w:rPr>
        <w:instrText xml:space="preserve"> XE "</w:instrText>
      </w:r>
      <w:r w:rsidR="00E560C4" w:rsidRPr="00882F11">
        <w:rPr>
          <w:rFonts w:cs="Guttman Drogolin" w:hint="cs"/>
          <w:rtl/>
          <w:lang w:bidi="he-IL"/>
        </w:rPr>
        <w:instrText>חתיכה עצמה נעשית נבילה</w:instrText>
      </w:r>
      <w:r w:rsidR="00E560C4" w:rsidRPr="00882F11">
        <w:rPr>
          <w:rFonts w:cs="Guttman Drogolin"/>
        </w:rPr>
        <w:instrText>" \t "</w:instrText>
      </w:r>
      <w:r w:rsidR="00E560C4" w:rsidRPr="00882F11">
        <w:rPr>
          <w:rFonts w:cs="Guttman Drogolin" w:hint="cs"/>
          <w:i/>
          <w:rtl/>
          <w:lang w:bidi="he-IL"/>
        </w:rPr>
        <w:instrText>ע' חענ</w:instrText>
      </w:r>
      <w:r w:rsidR="00E560C4" w:rsidRPr="00882F11">
        <w:rPr>
          <w:rFonts w:cs="Guttman Drogolin"/>
          <w:sz w:val="20"/>
          <w:szCs w:val="20"/>
        </w:rPr>
        <w:instrText>\</w:instrText>
      </w:r>
      <w:r w:rsidR="00E560C4" w:rsidRPr="00882F11">
        <w:rPr>
          <w:rFonts w:cs="Guttman Drogolin" w:hint="cs"/>
          <w:i/>
          <w:rtl/>
          <w:lang w:bidi="he-IL"/>
        </w:rPr>
        <w:instrText>"ן</w:instrText>
      </w:r>
      <w:r w:rsidR="00E560C4" w:rsidRPr="00882F11">
        <w:rPr>
          <w:rFonts w:cs="Guttman Drogolin"/>
        </w:rPr>
        <w:instrText xml:space="preserve">" </w:instrText>
      </w:r>
      <w:r w:rsidR="00E560C4" w:rsidRPr="00882F11">
        <w:rPr>
          <w:rFonts w:cs="Guttman Drogolin"/>
          <w:rtl/>
          <w:lang w:bidi="he-IL"/>
        </w:rPr>
        <w:fldChar w:fldCharType="end"/>
      </w:r>
      <w:r w:rsidR="0078079C" w:rsidRPr="00882F11">
        <w:rPr>
          <w:rStyle w:val="FootnoteReference"/>
          <w:rFonts w:cs="Guttman Drogolin"/>
          <w:rtl/>
          <w:lang w:bidi="he-IL"/>
        </w:rPr>
        <w:footnoteReference w:id="75"/>
      </w:r>
      <w:r w:rsidR="009815B7" w:rsidRPr="00882F11">
        <w:rPr>
          <w:rFonts w:cs="Guttman Drogolin" w:hint="cs"/>
          <w:rtl/>
          <w:lang w:bidi="he-IL"/>
        </w:rPr>
        <w:t xml:space="preserve"> שמדייקים מסוף דברי התוס' כאן שלמאן דסבר דאמרינן חענ"ן בשאר איסורים סבר שכן הדין אפילו מדאורייתא. והיינו ממש"כ להוכיח כשיטת ר' אפרים מ'מה</w:t>
      </w:r>
      <w:r w:rsidR="009815B7" w:rsidRPr="00882F11">
        <w:rPr>
          <w:rFonts w:cs="Guttman Drogolin"/>
          <w:rtl/>
          <w:lang w:bidi="he-IL"/>
        </w:rPr>
        <w:t xml:space="preserve"> </w:t>
      </w:r>
      <w:r w:rsidR="009815B7" w:rsidRPr="00882F11">
        <w:rPr>
          <w:rFonts w:cs="Guttman Drogolin" w:hint="cs"/>
          <w:rtl/>
          <w:lang w:bidi="he-IL"/>
        </w:rPr>
        <w:t>שצוה</w:t>
      </w:r>
      <w:r w:rsidR="009815B7" w:rsidRPr="00882F11">
        <w:rPr>
          <w:rFonts w:cs="Guttman Drogolin"/>
          <w:rtl/>
          <w:lang w:bidi="he-IL"/>
        </w:rPr>
        <w:t xml:space="preserve"> </w:t>
      </w:r>
      <w:r w:rsidR="009815B7" w:rsidRPr="00882F11">
        <w:rPr>
          <w:rFonts w:cs="Guttman Drogolin" w:hint="cs"/>
          <w:rtl/>
          <w:lang w:bidi="he-IL"/>
        </w:rPr>
        <w:t>הכתוב</w:t>
      </w:r>
      <w:r w:rsidR="009815B7" w:rsidRPr="00882F11">
        <w:rPr>
          <w:rFonts w:cs="Guttman Drogolin"/>
          <w:rtl/>
          <w:lang w:bidi="he-IL"/>
        </w:rPr>
        <w:t xml:space="preserve"> </w:t>
      </w:r>
      <w:r w:rsidR="009815B7" w:rsidRPr="00882F11">
        <w:rPr>
          <w:rFonts w:cs="Guttman Drogolin" w:hint="cs"/>
          <w:rtl/>
          <w:lang w:bidi="he-IL"/>
        </w:rPr>
        <w:t>להגעיל</w:t>
      </w:r>
      <w:r w:rsidR="009815B7" w:rsidRPr="00882F11">
        <w:rPr>
          <w:rFonts w:cs="Guttman Drogolin"/>
          <w:rtl/>
          <w:lang w:bidi="he-IL"/>
        </w:rPr>
        <w:t xml:space="preserve"> </w:t>
      </w:r>
      <w:r w:rsidR="009815B7" w:rsidRPr="00882F11">
        <w:rPr>
          <w:rFonts w:cs="Guttman Drogolin" w:hint="cs"/>
          <w:rtl/>
          <w:lang w:bidi="he-IL"/>
        </w:rPr>
        <w:t>כלי</w:t>
      </w:r>
      <w:r w:rsidR="009815B7" w:rsidRPr="00882F11">
        <w:rPr>
          <w:rFonts w:cs="Guttman Drogolin"/>
          <w:rtl/>
          <w:lang w:bidi="he-IL"/>
        </w:rPr>
        <w:t xml:space="preserve"> </w:t>
      </w:r>
      <w:r w:rsidR="009815B7" w:rsidRPr="00882F11">
        <w:rPr>
          <w:rFonts w:cs="Guttman Drogolin" w:hint="cs"/>
          <w:rtl/>
          <w:lang w:bidi="he-IL"/>
        </w:rPr>
        <w:t>מדין', דאי א</w:t>
      </w:r>
      <w:r w:rsidR="00E05BC1" w:rsidRPr="00882F11">
        <w:rPr>
          <w:rFonts w:cs="Guttman Drogolin" w:hint="cs"/>
          <w:rtl/>
          <w:lang w:bidi="he-IL"/>
        </w:rPr>
        <w:t>מ</w:t>
      </w:r>
      <w:r w:rsidR="009815B7" w:rsidRPr="00882F11">
        <w:rPr>
          <w:rFonts w:cs="Guttman Drogolin" w:hint="cs"/>
          <w:rtl/>
          <w:lang w:bidi="he-IL"/>
        </w:rPr>
        <w:t>רינן חענ"ן הא מי ההגעלה שבתוך כלי גדול תמיד יהיו אסורים משום חענ"ן. ואם חענ"ן בשאר איסורים אינו אלא מדרבנן, הא אין כאן שאלה שהתורה הרי מיירי בדאורייתא. וע"כ שסוברים התוס' דלמ"ד חתי</w:t>
      </w:r>
      <w:r w:rsidR="00DE0C38">
        <w:rPr>
          <w:rFonts w:cs="Guttman Drogolin" w:hint="cs"/>
          <w:rtl/>
          <w:lang w:bidi="he-IL"/>
        </w:rPr>
        <w:t>כה עצמה נעשית נבילה גם בשאר איסו</w:t>
      </w:r>
      <w:r w:rsidR="009815B7" w:rsidRPr="00882F11">
        <w:rPr>
          <w:rFonts w:cs="Guttman Drogolin" w:hint="cs"/>
          <w:rtl/>
          <w:lang w:bidi="he-IL"/>
        </w:rPr>
        <w:t>רים הרי זה מדאורייתא</w:t>
      </w:r>
      <w:r w:rsidR="00B26CB2" w:rsidRPr="00882F11">
        <w:rPr>
          <w:rStyle w:val="FootnoteReference"/>
          <w:rFonts w:cs="Guttman Drogolin"/>
          <w:rtl/>
          <w:lang w:bidi="he-IL"/>
        </w:rPr>
        <w:footnoteReference w:id="76"/>
      </w:r>
      <w:r w:rsidR="009815B7" w:rsidRPr="00882F11">
        <w:rPr>
          <w:rFonts w:cs="Guttman Drogolin" w:hint="cs"/>
          <w:rtl/>
          <w:lang w:bidi="he-IL"/>
        </w:rPr>
        <w:t>. ויש אחרונים שדוחים הראי' ע"פ הכלל של הט"ז שאין לחז"ל כח לאסור מדרבנן דבר שמ</w:t>
      </w:r>
      <w:r w:rsidR="000C18B9" w:rsidRPr="00882F11">
        <w:rPr>
          <w:rFonts w:cs="Guttman Drogolin" w:hint="cs"/>
          <w:rtl/>
          <w:lang w:bidi="he-IL"/>
        </w:rPr>
        <w:t>פ</w:t>
      </w:r>
      <w:r w:rsidR="009815B7" w:rsidRPr="00882F11">
        <w:rPr>
          <w:rFonts w:cs="Guttman Drogolin" w:hint="cs"/>
          <w:rtl/>
          <w:lang w:bidi="he-IL"/>
        </w:rPr>
        <w:t>ורש בקרא להיתירא.</w:t>
      </w:r>
    </w:p>
    <w:p w:rsidR="00BD6DD8" w:rsidRPr="00882F11" w:rsidRDefault="009815B7" w:rsidP="00E05BC1">
      <w:pPr>
        <w:bidi/>
        <w:jc w:val="both"/>
        <w:rPr>
          <w:rFonts w:cs="Guttman Drogolin"/>
          <w:rtl/>
          <w:lang w:bidi="he-IL"/>
        </w:rPr>
      </w:pPr>
      <w:r w:rsidRPr="00882F11">
        <w:rPr>
          <w:rFonts w:cs="Guttman Drogolin" w:hint="cs"/>
          <w:rtl/>
          <w:lang w:bidi="he-IL"/>
        </w:rPr>
        <w:lastRenderedPageBreak/>
        <w:t xml:space="preserve">ומ"מ יש מקורות גם לשיטה זו דאמרינן </w:t>
      </w:r>
      <w:r w:rsidR="00E05BC1" w:rsidRPr="00882F11">
        <w:rPr>
          <w:rFonts w:cs="Guttman Drogolin" w:hint="cs"/>
          <w:rtl/>
          <w:lang w:bidi="he-IL"/>
        </w:rPr>
        <w:t>ח</w:t>
      </w:r>
      <w:r w:rsidRPr="00882F11">
        <w:rPr>
          <w:rFonts w:cs="Guttman Drogolin" w:hint="cs"/>
          <w:rtl/>
          <w:lang w:bidi="he-IL"/>
        </w:rPr>
        <w:t>ענ"ן בשאר איסורים מדאורייתא, וכן מבואר בשו"ת מהרי"ק. אלא דטעמא בעי וכנ"ל. ואומרים האחרונים דע"כ שיטה זו מבוססת על השיטה הסוברת דאי אמרינן טכ"ע נהפך ההיתר להיות איסור. וזהו חידוש במה דאמרינ</w:t>
      </w:r>
      <w:r w:rsidR="002425B2" w:rsidRPr="00882F11">
        <w:rPr>
          <w:rFonts w:cs="Guttman Drogolin" w:hint="cs"/>
          <w:rtl/>
          <w:lang w:bidi="he-IL"/>
        </w:rPr>
        <w:t>ן נהפך, שהרי ביארנו שהענין דאמרי</w:t>
      </w:r>
      <w:r w:rsidRPr="00882F11">
        <w:rPr>
          <w:rFonts w:cs="Guttman Drogolin" w:hint="cs"/>
          <w:rtl/>
          <w:lang w:bidi="he-IL"/>
        </w:rPr>
        <w:t xml:space="preserve">נן נהפך, היינו משום דציותה תורה לא לאכול שום מאכל שיש לה טעם איסור, אבל כפשוטו אם עכשיו ליכא טעם איסור אינו עובר. ולפי הדברים האלו צריכים לבאר דכיון שבשעתו הי' עובר באכילת חתיכת ההיתר כיון שיש בה טעם איסור, נהפך החתיכת היתר עצמה להיות חפצא דאיסורא והרי הוא עובר עליו אפילו לכשיסחט ממנו טעם האיסור. ומעוררים על זה דבמהרי"ק שם מבואר שאין לוקין על דבר שנאסר מדין חענ"ן בשאר איסורים, ואם מקור האיסור בדינא דנהפך, הא כל הדין של נהפך נאמר לענין זה שחייבין עליו מלקות בכזית. </w:t>
      </w:r>
      <w:r w:rsidR="00BD6DD8" w:rsidRPr="00882F11">
        <w:rPr>
          <w:rFonts w:cs="Guttman Drogolin" w:hint="cs"/>
          <w:rtl/>
          <w:lang w:bidi="he-IL"/>
        </w:rPr>
        <w:t>ולכאורה צריכים לומר שלא נאמר דין מלקות אלא כשטוע</w:t>
      </w:r>
      <w:r w:rsidR="00DB5C07">
        <w:rPr>
          <w:rFonts w:cs="Guttman Drogolin" w:hint="cs"/>
          <w:rtl/>
          <w:lang w:bidi="he-IL"/>
        </w:rPr>
        <w:t>ם</w:t>
      </w:r>
      <w:r w:rsidR="00BD6DD8" w:rsidRPr="00882F11">
        <w:rPr>
          <w:rFonts w:cs="Guttman Drogolin" w:hint="cs"/>
          <w:rtl/>
          <w:lang w:bidi="he-IL"/>
        </w:rPr>
        <w:t xml:space="preserve"> טעם האיסור בפועל, אבל כשנסחט ממנו הטעם איסור אינוחייב מלקות אע"פ שהחתיכה נשאר באיסורו. ויל"ע למה שיהא הדין כן.</w:t>
      </w:r>
    </w:p>
    <w:p w:rsidR="00AC09C6" w:rsidRPr="00882F11" w:rsidRDefault="00BD6DD8" w:rsidP="001509DE">
      <w:pPr>
        <w:bidi/>
        <w:jc w:val="both"/>
        <w:rPr>
          <w:rFonts w:cs="Guttman Drogolin"/>
          <w:rtl/>
          <w:lang w:bidi="he-IL"/>
        </w:rPr>
      </w:pPr>
      <w:r w:rsidRPr="00882F11">
        <w:rPr>
          <w:rFonts w:cs="Guttman Drogolin" w:hint="cs"/>
          <w:rtl/>
          <w:lang w:bidi="he-IL"/>
        </w:rPr>
        <w:t>וע"פ הקדמה זו יש לבאר הדין הנ"ל המוזכר בראשונים שחתיכת בשר שבלע חלב שפיר הוי חתיכה הראוי' להתכבד, אבל אם בלע משאר איסורים לא. ומבואר מדבריהם שכן הדין אפילו למ"ד דאמרינן חענ"ן בשאר איסורים</w:t>
      </w:r>
      <w:r w:rsidR="00F964AF" w:rsidRPr="00882F11">
        <w:rPr>
          <w:rFonts w:cs="Guttman Drogolin" w:hint="cs"/>
          <w:rtl/>
          <w:lang w:bidi="he-IL"/>
        </w:rPr>
        <w:t>. ולכאורה י"ל שהוא מבוסס על זה דחענ"ן בשאר איסורים אינו אלא מדרבנן, ולכן גדר הדין שונה מהא דבב"ח. ויש לנו תוספך הסבר בזה מביאור הגר"א. שבביאור הגר"א על הדין הזה דלא אמרינן חענ"ן בחתיכה הבלוע איסור הראה מקור מדברי התוס' לקמן בדף ק"ח ע"</w:t>
      </w:r>
      <w:r w:rsidR="00AC09C6" w:rsidRPr="00882F11">
        <w:rPr>
          <w:rFonts w:cs="Guttman Drogolin" w:hint="cs"/>
          <w:rtl/>
          <w:lang w:bidi="he-IL"/>
        </w:rPr>
        <w:t>ב, שכתבו שם התוס' שאם יש תבלין הבלועין דם, דאע"ג דאמרינן חענ"ן וצריכים לש</w:t>
      </w:r>
      <w:r w:rsidR="001509DE" w:rsidRPr="00882F11">
        <w:rPr>
          <w:rFonts w:cs="Guttman Drogolin" w:hint="cs"/>
          <w:rtl/>
          <w:lang w:bidi="he-IL"/>
        </w:rPr>
        <w:t>ע</w:t>
      </w:r>
      <w:r w:rsidR="00AC09C6" w:rsidRPr="00882F11">
        <w:rPr>
          <w:rFonts w:cs="Guttman Drogolin" w:hint="cs"/>
          <w:rtl/>
          <w:lang w:bidi="he-IL"/>
        </w:rPr>
        <w:t xml:space="preserve">ר כנגד כל התבלין, מ"מ אם יש ששים כנגד התבלין הרי היא בטילה, אע"ג שלתבלין יש כח לתת טעם אפילו ליותר מזה כיון שלטעמא עבידא. וביארו שם הטעם משום שהחתיכה לא יכול להיות יותר חמור מן הטעם שנבלע בה. והיינו שהדין חענ"ן אומר שיש לי חתכה גדולה של דם ולא חתיכת תבלין של איסור. </w:t>
      </w:r>
      <w:r w:rsidR="00AC09C6" w:rsidRPr="00882F11">
        <w:rPr>
          <w:rFonts w:cs="Guttman Drogolin" w:hint="cs"/>
          <w:rtl/>
          <w:lang w:bidi="he-IL"/>
        </w:rPr>
        <w:lastRenderedPageBreak/>
        <w:t>ולכן הה"נ הכא, דכיון שהטעם שנבלע בו אין לו מעלת ראוי' להתכבד, לא יהא החתיכה עצמה יותר חמור ממנו ולכן בטלה ברוב.</w:t>
      </w:r>
    </w:p>
    <w:p w:rsidR="00292FE8" w:rsidRPr="00882F11" w:rsidRDefault="00292FE8" w:rsidP="0078079C">
      <w:pPr>
        <w:pStyle w:val="Heading1"/>
        <w:bidi/>
        <w:spacing w:before="0" w:line="360" w:lineRule="auto"/>
        <w:jc w:val="center"/>
        <w:rPr>
          <w:rFonts w:cs="Guttman Drogolin"/>
          <w:color w:val="auto"/>
          <w:sz w:val="24"/>
          <w:szCs w:val="24"/>
          <w:u w:val="single"/>
          <w:rtl/>
          <w:lang w:bidi="he-IL"/>
        </w:rPr>
      </w:pPr>
      <w:bookmarkStart w:id="65" w:name="_Toc496175328"/>
      <w:r w:rsidRPr="00882F11">
        <w:rPr>
          <w:rFonts w:cs="Guttman Drogolin" w:hint="cs"/>
          <w:color w:val="auto"/>
          <w:sz w:val="24"/>
          <w:szCs w:val="24"/>
          <w:u w:val="single"/>
          <w:rtl/>
          <w:lang w:bidi="he-IL"/>
        </w:rPr>
        <w:t>סוגיית הגמרא</w:t>
      </w:r>
      <w:r w:rsidR="00C846A0" w:rsidRPr="00882F11">
        <w:rPr>
          <w:rFonts w:cs="Guttman Drogolin" w:hint="cs"/>
          <w:color w:val="auto"/>
          <w:sz w:val="24"/>
          <w:szCs w:val="24"/>
          <w:u w:val="single"/>
          <w:rtl/>
          <w:lang w:bidi="he-IL"/>
        </w:rPr>
        <w:t>, ובדין סלק</w:t>
      </w:r>
      <w:bookmarkEnd w:id="65"/>
    </w:p>
    <w:p w:rsidR="008F5030" w:rsidRPr="00882F11" w:rsidRDefault="00E560C4" w:rsidP="000C32BA">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סלק</w:instrText>
      </w:r>
      <w:r w:rsidRPr="00882F11">
        <w:rPr>
          <w:rFonts w:cs="Guttman Drogolin"/>
          <w:rtl/>
        </w:rPr>
        <w:instrText>:</w:instrText>
      </w:r>
      <w:r w:rsidRPr="00882F11">
        <w:rPr>
          <w:rFonts w:cs="Guttman Drogolin" w:hint="cs"/>
          <w:rtl/>
          <w:lang w:bidi="he-IL"/>
        </w:rPr>
        <w:instrText>סוגיית הגמ'</w:instrText>
      </w:r>
      <w:r w:rsidRPr="00882F11">
        <w:rPr>
          <w:rFonts w:cs="Guttman Drogolin"/>
        </w:rPr>
        <w:instrText xml:space="preserve">" </w:instrText>
      </w:r>
      <w:r w:rsidRPr="00882F11">
        <w:rPr>
          <w:rFonts w:cs="Guttman Drogolin"/>
          <w:rtl/>
          <w:lang w:bidi="he-IL"/>
        </w:rPr>
        <w:fldChar w:fldCharType="end"/>
      </w:r>
      <w:r w:rsidR="00292FE8" w:rsidRPr="00882F11">
        <w:rPr>
          <w:rFonts w:cs="Guttman Drogolin" w:hint="cs"/>
          <w:rtl/>
          <w:lang w:bidi="he-IL"/>
        </w:rPr>
        <w:t>הגמ' מביאה המימרא של רבה בר בר חנה "חתיכה</w:t>
      </w:r>
      <w:r w:rsidR="00292FE8" w:rsidRPr="00882F11">
        <w:rPr>
          <w:rFonts w:cs="Guttman Drogolin"/>
          <w:rtl/>
          <w:lang w:bidi="he-IL"/>
        </w:rPr>
        <w:t xml:space="preserve"> </w:t>
      </w:r>
      <w:r w:rsidR="00292FE8" w:rsidRPr="00882F11">
        <w:rPr>
          <w:rFonts w:cs="Guttman Drogolin" w:hint="cs"/>
          <w:rtl/>
          <w:lang w:bidi="he-IL"/>
        </w:rPr>
        <w:t>של</w:t>
      </w:r>
      <w:r w:rsidR="00292FE8" w:rsidRPr="00882F11">
        <w:rPr>
          <w:rFonts w:cs="Guttman Drogolin"/>
          <w:rtl/>
          <w:lang w:bidi="he-IL"/>
        </w:rPr>
        <w:t xml:space="preserve"> </w:t>
      </w:r>
      <w:r w:rsidR="00292FE8" w:rsidRPr="00882F11">
        <w:rPr>
          <w:rFonts w:cs="Guttman Drogolin" w:hint="cs"/>
          <w:rtl/>
          <w:lang w:bidi="he-IL"/>
        </w:rPr>
        <w:t>נבלה</w:t>
      </w:r>
      <w:r w:rsidR="00292FE8" w:rsidRPr="00882F11">
        <w:rPr>
          <w:rFonts w:cs="Guttman Drogolin"/>
          <w:rtl/>
          <w:lang w:bidi="he-IL"/>
        </w:rPr>
        <w:t xml:space="preserve"> </w:t>
      </w:r>
      <w:r w:rsidR="00292FE8" w:rsidRPr="00882F11">
        <w:rPr>
          <w:rFonts w:cs="Guttman Drogolin" w:hint="cs"/>
          <w:rtl/>
          <w:lang w:bidi="he-IL"/>
        </w:rPr>
        <w:t>ושל</w:t>
      </w:r>
      <w:r w:rsidR="00292FE8" w:rsidRPr="00882F11">
        <w:rPr>
          <w:rFonts w:cs="Guttman Drogolin"/>
          <w:rtl/>
          <w:lang w:bidi="he-IL"/>
        </w:rPr>
        <w:t xml:space="preserve"> </w:t>
      </w:r>
      <w:r w:rsidR="00292FE8" w:rsidRPr="00882F11">
        <w:rPr>
          <w:rFonts w:cs="Guttman Drogolin" w:hint="cs"/>
          <w:rtl/>
          <w:lang w:bidi="he-IL"/>
        </w:rPr>
        <w:t>דג</w:t>
      </w:r>
      <w:r w:rsidR="00292FE8" w:rsidRPr="00882F11">
        <w:rPr>
          <w:rFonts w:cs="Guttman Drogolin"/>
          <w:rtl/>
          <w:lang w:bidi="he-IL"/>
        </w:rPr>
        <w:t xml:space="preserve"> </w:t>
      </w:r>
      <w:r w:rsidR="00292FE8" w:rsidRPr="00882F11">
        <w:rPr>
          <w:rFonts w:cs="Guttman Drogolin" w:hint="cs"/>
          <w:rtl/>
          <w:lang w:bidi="he-IL"/>
        </w:rPr>
        <w:t>טמא</w:t>
      </w:r>
      <w:r w:rsidR="00292FE8" w:rsidRPr="00882F11">
        <w:rPr>
          <w:rFonts w:cs="Guttman Drogolin"/>
          <w:rtl/>
          <w:lang w:bidi="he-IL"/>
        </w:rPr>
        <w:t xml:space="preserve"> </w:t>
      </w:r>
      <w:r w:rsidR="00292FE8" w:rsidRPr="00882F11">
        <w:rPr>
          <w:rFonts w:cs="Guttman Drogolin" w:hint="cs"/>
          <w:rtl/>
          <w:lang w:bidi="he-IL"/>
        </w:rPr>
        <w:t>אינה</w:t>
      </w:r>
      <w:r w:rsidR="00292FE8" w:rsidRPr="00882F11">
        <w:rPr>
          <w:rFonts w:cs="Guttman Drogolin"/>
          <w:rtl/>
          <w:lang w:bidi="he-IL"/>
        </w:rPr>
        <w:t xml:space="preserve"> </w:t>
      </w:r>
      <w:r w:rsidR="00292FE8" w:rsidRPr="00882F11">
        <w:rPr>
          <w:rFonts w:cs="Guttman Drogolin" w:hint="cs"/>
          <w:rtl/>
          <w:lang w:bidi="he-IL"/>
        </w:rPr>
        <w:t>אוסרת</w:t>
      </w:r>
      <w:r w:rsidR="00292FE8" w:rsidRPr="00882F11">
        <w:rPr>
          <w:rFonts w:cs="Guttman Drogolin"/>
          <w:rtl/>
          <w:lang w:bidi="he-IL"/>
        </w:rPr>
        <w:t xml:space="preserve"> </w:t>
      </w:r>
      <w:r w:rsidR="00292FE8" w:rsidRPr="00882F11">
        <w:rPr>
          <w:rFonts w:cs="Guttman Drogolin" w:hint="cs"/>
          <w:rtl/>
          <w:lang w:bidi="he-IL"/>
        </w:rPr>
        <w:t>עד</w:t>
      </w:r>
      <w:r w:rsidR="00292FE8" w:rsidRPr="00882F11">
        <w:rPr>
          <w:rFonts w:cs="Guttman Drogolin"/>
          <w:rtl/>
          <w:lang w:bidi="he-IL"/>
        </w:rPr>
        <w:t xml:space="preserve"> </w:t>
      </w:r>
      <w:r w:rsidR="00292FE8" w:rsidRPr="00882F11">
        <w:rPr>
          <w:rFonts w:cs="Guttman Drogolin" w:hint="cs"/>
          <w:rtl/>
          <w:lang w:bidi="he-IL"/>
        </w:rPr>
        <w:t>שתתן</w:t>
      </w:r>
      <w:r w:rsidR="00292FE8" w:rsidRPr="00882F11">
        <w:rPr>
          <w:rFonts w:cs="Guttman Drogolin"/>
          <w:rtl/>
          <w:lang w:bidi="he-IL"/>
        </w:rPr>
        <w:t xml:space="preserve"> </w:t>
      </w:r>
      <w:r w:rsidR="00292FE8" w:rsidRPr="00882F11">
        <w:rPr>
          <w:rFonts w:cs="Guttman Drogolin" w:hint="cs"/>
          <w:rtl/>
          <w:lang w:bidi="he-IL"/>
        </w:rPr>
        <w:t>טעם</w:t>
      </w:r>
      <w:r w:rsidR="00292FE8" w:rsidRPr="00882F11">
        <w:rPr>
          <w:rFonts w:cs="Guttman Drogolin"/>
          <w:rtl/>
          <w:lang w:bidi="he-IL"/>
        </w:rPr>
        <w:t xml:space="preserve"> </w:t>
      </w:r>
      <w:r w:rsidR="00292FE8" w:rsidRPr="00882F11">
        <w:rPr>
          <w:rFonts w:cs="Guttman Drogolin" w:hint="cs"/>
          <w:rtl/>
          <w:lang w:bidi="he-IL"/>
        </w:rPr>
        <w:t>ברוטב</w:t>
      </w:r>
      <w:r w:rsidR="00292FE8" w:rsidRPr="00882F11">
        <w:rPr>
          <w:rFonts w:cs="Guttman Drogolin"/>
          <w:rtl/>
          <w:lang w:bidi="he-IL"/>
        </w:rPr>
        <w:t xml:space="preserve"> </w:t>
      </w:r>
      <w:r w:rsidR="00292FE8" w:rsidRPr="00882F11">
        <w:rPr>
          <w:rFonts w:cs="Guttman Drogolin" w:hint="cs"/>
          <w:rtl/>
          <w:lang w:bidi="he-IL"/>
        </w:rPr>
        <w:t>ובקיפה</w:t>
      </w:r>
      <w:r w:rsidR="00292FE8" w:rsidRPr="00882F11">
        <w:rPr>
          <w:rFonts w:cs="Guttman Drogolin"/>
          <w:rtl/>
          <w:lang w:bidi="he-IL"/>
        </w:rPr>
        <w:t xml:space="preserve"> </w:t>
      </w:r>
      <w:r w:rsidR="00292FE8" w:rsidRPr="00882F11">
        <w:rPr>
          <w:rFonts w:cs="Guttman Drogolin" w:hint="cs"/>
          <w:rtl/>
          <w:lang w:bidi="he-IL"/>
        </w:rPr>
        <w:t>ובחתיכות". ורל כשמשערין בששים לוקחים בחשכון את כל חלקי התבשיל, ואם בין הכל יש ששים, אמריננן שלא נתן טעם והכל מותר. והגיב בזה רב ודרש "כיון</w:t>
      </w:r>
      <w:r w:rsidR="00292FE8" w:rsidRPr="00882F11">
        <w:rPr>
          <w:rFonts w:cs="Guttman Drogolin"/>
          <w:rtl/>
          <w:lang w:bidi="he-IL"/>
        </w:rPr>
        <w:t xml:space="preserve"> </w:t>
      </w:r>
      <w:r w:rsidR="00292FE8" w:rsidRPr="00882F11">
        <w:rPr>
          <w:rFonts w:cs="Guttman Drogolin" w:hint="cs"/>
          <w:rtl/>
          <w:lang w:bidi="he-IL"/>
        </w:rPr>
        <w:t>שנתן</w:t>
      </w:r>
      <w:r w:rsidR="00292FE8" w:rsidRPr="00882F11">
        <w:rPr>
          <w:rFonts w:cs="Guttman Drogolin"/>
          <w:rtl/>
          <w:lang w:bidi="he-IL"/>
        </w:rPr>
        <w:t xml:space="preserve"> </w:t>
      </w:r>
      <w:r w:rsidR="00292FE8" w:rsidRPr="00882F11">
        <w:rPr>
          <w:rFonts w:cs="Guttman Drogolin" w:hint="cs"/>
          <w:rtl/>
          <w:lang w:bidi="he-IL"/>
        </w:rPr>
        <w:t>טעם</w:t>
      </w:r>
      <w:r w:rsidR="00292FE8" w:rsidRPr="00882F11">
        <w:rPr>
          <w:rFonts w:cs="Guttman Drogolin"/>
          <w:rtl/>
          <w:lang w:bidi="he-IL"/>
        </w:rPr>
        <w:t xml:space="preserve"> </w:t>
      </w:r>
      <w:r w:rsidR="00292FE8" w:rsidRPr="00882F11">
        <w:rPr>
          <w:rFonts w:cs="Guttman Drogolin" w:hint="cs"/>
          <w:rtl/>
          <w:lang w:bidi="he-IL"/>
        </w:rPr>
        <w:t>בחתיכה</w:t>
      </w:r>
      <w:r w:rsidR="00292FE8" w:rsidRPr="00882F11">
        <w:rPr>
          <w:rFonts w:cs="Guttman Drogolin"/>
          <w:rtl/>
          <w:lang w:bidi="he-IL"/>
        </w:rPr>
        <w:t xml:space="preserve"> </w:t>
      </w:r>
      <w:r w:rsidR="00292FE8" w:rsidRPr="00882F11">
        <w:rPr>
          <w:rFonts w:cs="Guttman Drogolin" w:hint="cs"/>
          <w:rtl/>
          <w:lang w:bidi="he-IL"/>
        </w:rPr>
        <w:t>חתיכה</w:t>
      </w:r>
      <w:r w:rsidR="00292FE8" w:rsidRPr="00882F11">
        <w:rPr>
          <w:rFonts w:cs="Guttman Drogolin"/>
          <w:rtl/>
          <w:lang w:bidi="he-IL"/>
        </w:rPr>
        <w:t xml:space="preserve"> </w:t>
      </w:r>
      <w:r w:rsidR="00292FE8" w:rsidRPr="00882F11">
        <w:rPr>
          <w:rFonts w:cs="Guttman Drogolin" w:hint="cs"/>
          <w:rtl/>
          <w:lang w:bidi="he-IL"/>
        </w:rPr>
        <w:t>עצמה</w:t>
      </w:r>
      <w:r w:rsidR="00292FE8" w:rsidRPr="00882F11">
        <w:rPr>
          <w:rFonts w:cs="Guttman Drogolin"/>
          <w:rtl/>
          <w:lang w:bidi="he-IL"/>
        </w:rPr>
        <w:t xml:space="preserve"> </w:t>
      </w:r>
      <w:r w:rsidR="00292FE8" w:rsidRPr="00882F11">
        <w:rPr>
          <w:rFonts w:cs="Guttman Drogolin" w:hint="cs"/>
          <w:rtl/>
          <w:lang w:bidi="he-IL"/>
        </w:rPr>
        <w:t>נעשת</w:t>
      </w:r>
      <w:r w:rsidR="00292FE8" w:rsidRPr="00882F11">
        <w:rPr>
          <w:rFonts w:cs="Guttman Drogolin"/>
          <w:rtl/>
          <w:lang w:bidi="he-IL"/>
        </w:rPr>
        <w:t xml:space="preserve"> </w:t>
      </w:r>
      <w:r w:rsidR="00292FE8" w:rsidRPr="00882F11">
        <w:rPr>
          <w:rFonts w:cs="Guttman Drogolin" w:hint="cs"/>
          <w:rtl/>
          <w:lang w:bidi="he-IL"/>
        </w:rPr>
        <w:t>נבלה</w:t>
      </w:r>
      <w:r w:rsidR="00292FE8" w:rsidRPr="00882F11">
        <w:rPr>
          <w:rFonts w:cs="Guttman Drogolin"/>
          <w:rtl/>
          <w:lang w:bidi="he-IL"/>
        </w:rPr>
        <w:t xml:space="preserve"> </w:t>
      </w:r>
      <w:r w:rsidR="00292FE8" w:rsidRPr="00882F11">
        <w:rPr>
          <w:rFonts w:cs="Guttman Drogolin" w:hint="cs"/>
          <w:rtl/>
          <w:lang w:bidi="he-IL"/>
        </w:rPr>
        <w:t>ואוסרת</w:t>
      </w:r>
      <w:r w:rsidR="00292FE8" w:rsidRPr="00882F11">
        <w:rPr>
          <w:rFonts w:cs="Guttman Drogolin"/>
          <w:rtl/>
          <w:lang w:bidi="he-IL"/>
        </w:rPr>
        <w:t xml:space="preserve"> </w:t>
      </w:r>
      <w:r w:rsidR="00292FE8" w:rsidRPr="00882F11">
        <w:rPr>
          <w:rFonts w:cs="Guttman Drogolin" w:hint="cs"/>
          <w:rtl/>
          <w:lang w:bidi="he-IL"/>
        </w:rPr>
        <w:t>כל</w:t>
      </w:r>
      <w:r w:rsidR="00292FE8" w:rsidRPr="00882F11">
        <w:rPr>
          <w:rFonts w:cs="Guttman Drogolin"/>
          <w:rtl/>
          <w:lang w:bidi="he-IL"/>
        </w:rPr>
        <w:t xml:space="preserve"> </w:t>
      </w:r>
      <w:r w:rsidR="00292FE8" w:rsidRPr="00882F11">
        <w:rPr>
          <w:rFonts w:cs="Guttman Drogolin" w:hint="cs"/>
          <w:rtl/>
          <w:lang w:bidi="he-IL"/>
        </w:rPr>
        <w:t>החתיכות</w:t>
      </w:r>
      <w:r w:rsidR="00292FE8" w:rsidRPr="00882F11">
        <w:rPr>
          <w:rFonts w:cs="Guttman Drogolin"/>
          <w:rtl/>
          <w:lang w:bidi="he-IL"/>
        </w:rPr>
        <w:t xml:space="preserve"> </w:t>
      </w:r>
      <w:r w:rsidR="00292FE8" w:rsidRPr="00882F11">
        <w:rPr>
          <w:rFonts w:cs="Guttman Drogolin" w:hint="cs"/>
          <w:rtl/>
          <w:lang w:bidi="he-IL"/>
        </w:rPr>
        <w:t>כולן</w:t>
      </w:r>
      <w:r w:rsidR="00292FE8" w:rsidRPr="00882F11">
        <w:rPr>
          <w:rFonts w:cs="Guttman Drogolin"/>
          <w:rtl/>
          <w:lang w:bidi="he-IL"/>
        </w:rPr>
        <w:t xml:space="preserve"> </w:t>
      </w:r>
      <w:r w:rsidR="00292FE8" w:rsidRPr="00882F11">
        <w:rPr>
          <w:rFonts w:cs="Guttman Drogolin" w:hint="cs"/>
          <w:rtl/>
          <w:lang w:bidi="he-IL"/>
        </w:rPr>
        <w:t>מפני</w:t>
      </w:r>
      <w:r w:rsidR="00292FE8" w:rsidRPr="00882F11">
        <w:rPr>
          <w:rFonts w:cs="Guttman Drogolin"/>
          <w:rtl/>
          <w:lang w:bidi="he-IL"/>
        </w:rPr>
        <w:t xml:space="preserve"> </w:t>
      </w:r>
      <w:r w:rsidR="00292FE8" w:rsidRPr="00882F11">
        <w:rPr>
          <w:rFonts w:cs="Guttman Drogolin" w:hint="cs"/>
          <w:rtl/>
          <w:lang w:bidi="he-IL"/>
        </w:rPr>
        <w:t>שהן</w:t>
      </w:r>
      <w:r w:rsidR="00292FE8" w:rsidRPr="00882F11">
        <w:rPr>
          <w:rFonts w:cs="Guttman Drogolin"/>
          <w:rtl/>
          <w:lang w:bidi="he-IL"/>
        </w:rPr>
        <w:t xml:space="preserve"> </w:t>
      </w:r>
      <w:r w:rsidR="00292FE8" w:rsidRPr="00882F11">
        <w:rPr>
          <w:rFonts w:cs="Guttman Drogolin" w:hint="cs"/>
          <w:rtl/>
          <w:lang w:bidi="he-IL"/>
        </w:rPr>
        <w:t xml:space="preserve">מינה". והיינו דסבר שהחתיכות אינם מצטרפות, אלא אדרבה, כיון שנתן טעם בא' מהם </w:t>
      </w:r>
      <w:r w:rsidR="00A54C3F" w:rsidRPr="00882F11">
        <w:rPr>
          <w:rFonts w:cs="Guttman Drogolin" w:hint="cs"/>
          <w:rtl/>
          <w:lang w:bidi="he-IL"/>
        </w:rPr>
        <w:t>הרי ה</w:t>
      </w:r>
      <w:r w:rsidR="008B0D72" w:rsidRPr="00882F11">
        <w:rPr>
          <w:rFonts w:cs="Guttman Drogolin" w:hint="cs"/>
          <w:rtl/>
          <w:lang w:bidi="he-IL"/>
        </w:rPr>
        <w:t xml:space="preserve">יא אוסרת גם את שאר החתיכות מדין מין במינו לא בטל (והפשט הפשוט בגמ' שהוא מכח זה דאמרינן שהחתיכה שבלעה טעם היא עצמה נעשית נבלה, אלא שר' אפרים חלק על זה וכמו שיתבאר בהמשך). </w:t>
      </w:r>
      <w:r w:rsidR="000C32BA" w:rsidRPr="00882F11">
        <w:rPr>
          <w:rFonts w:cs="Guttman Drogolin" w:hint="cs"/>
          <w:rtl/>
          <w:lang w:bidi="he-IL"/>
        </w:rPr>
        <w:t>ומיירי בכה"ג שיש ששים ברוטב לבטל החתיכה של נבילה בפני עצמו, ולא מספיק כדי לבטל אותו ביחד עם החתיכות של היתר שהן מינה</w:t>
      </w:r>
      <w:r w:rsidR="009A7F6B" w:rsidRPr="00882F11">
        <w:rPr>
          <w:rFonts w:cs="Guttman Drogolin" w:hint="cs"/>
          <w:rtl/>
          <w:lang w:bidi="he-IL"/>
        </w:rPr>
        <w:t xml:space="preserve"> (דהא זהו גו</w:t>
      </w:r>
      <w:r w:rsidR="000B0856" w:rsidRPr="00882F11">
        <w:rPr>
          <w:rFonts w:cs="Guttman Drogolin" w:hint="cs"/>
          <w:rtl/>
          <w:lang w:bidi="he-IL"/>
        </w:rPr>
        <w:t>פ</w:t>
      </w:r>
      <w:r w:rsidR="009A7F6B" w:rsidRPr="00882F11">
        <w:rPr>
          <w:rFonts w:cs="Guttman Drogolin" w:hint="cs"/>
          <w:rtl/>
          <w:lang w:bidi="he-IL"/>
        </w:rPr>
        <w:t>א הנידון עם מצטרפין החתיכות או לא, ור"ל בכה"ג שאין מספיק ברוטב בפני צעמו)</w:t>
      </w:r>
      <w:r w:rsidR="000C32BA" w:rsidRPr="00882F11">
        <w:rPr>
          <w:rFonts w:cs="Guttman Drogolin" w:hint="cs"/>
          <w:rtl/>
          <w:lang w:bidi="he-IL"/>
        </w:rPr>
        <w:t xml:space="preserve">. </w:t>
      </w:r>
      <w:r w:rsidR="00A54C3F" w:rsidRPr="00882F11">
        <w:rPr>
          <w:rFonts w:cs="Guttman Drogolin" w:hint="cs"/>
          <w:rtl/>
          <w:lang w:bidi="he-IL"/>
        </w:rPr>
        <w:t>ואלמלא הדין דמין במינו לא בטל היו החתיכות שהם מינה מצטרפות לבטל הפליטה מן החתיכה שבלעה טעם (וכמו שביאר רש"י בד"ה ואוסרת). אבל כיון דמין במינו לא בטל</w:t>
      </w:r>
      <w:r w:rsidR="000C32BA" w:rsidRPr="00882F11">
        <w:rPr>
          <w:rFonts w:cs="Guttman Drogolin" w:hint="cs"/>
          <w:rtl/>
          <w:lang w:bidi="he-IL"/>
        </w:rPr>
        <w:t>,</w:t>
      </w:r>
      <w:r w:rsidR="00A54C3F" w:rsidRPr="00882F11">
        <w:rPr>
          <w:rFonts w:cs="Guttman Drogolin" w:hint="cs"/>
          <w:rtl/>
          <w:lang w:bidi="he-IL"/>
        </w:rPr>
        <w:t xml:space="preserve"> החתיכה שנאסרה אוסרת את שאר החתיכות בפליטתה במשהו. </w:t>
      </w:r>
    </w:p>
    <w:p w:rsidR="00AC09C6" w:rsidRPr="00882F11" w:rsidRDefault="008F5030" w:rsidP="009A7F6B">
      <w:pPr>
        <w:bidi/>
        <w:jc w:val="both"/>
        <w:rPr>
          <w:rFonts w:cs="Guttman Drogolin"/>
          <w:rtl/>
          <w:lang w:bidi="he-IL"/>
        </w:rPr>
      </w:pPr>
      <w:r w:rsidRPr="00882F11">
        <w:rPr>
          <w:rFonts w:cs="Guttman Drogolin" w:hint="cs"/>
          <w:rtl/>
          <w:lang w:bidi="he-IL"/>
        </w:rPr>
        <w:t xml:space="preserve">ועל זה </w:t>
      </w:r>
      <w:r w:rsidR="00B772B5" w:rsidRPr="00882F11">
        <w:rPr>
          <w:rFonts w:cs="Guttman Drogolin" w:hint="cs"/>
          <w:rtl/>
          <w:lang w:bidi="he-IL"/>
        </w:rPr>
        <w:t>מקשה הגמ', דלמה בעינן לי' לזה שנ</w:t>
      </w:r>
      <w:r w:rsidRPr="00882F11">
        <w:rPr>
          <w:rFonts w:cs="Guttman Drogolin" w:hint="cs"/>
          <w:rtl/>
          <w:lang w:bidi="he-IL"/>
        </w:rPr>
        <w:t>תן טעם בחתיכה, הא אפילו בלי זה הרי החתיכה של איסור עצמ</w:t>
      </w:r>
      <w:r w:rsidR="000C32BA" w:rsidRPr="00882F11">
        <w:rPr>
          <w:rFonts w:cs="Guttman Drogolin" w:hint="cs"/>
          <w:rtl/>
          <w:lang w:bidi="he-IL"/>
        </w:rPr>
        <w:t>ה</w:t>
      </w:r>
      <w:r w:rsidRPr="00882F11">
        <w:rPr>
          <w:rFonts w:cs="Guttman Drogolin" w:hint="cs"/>
          <w:rtl/>
          <w:lang w:bidi="he-IL"/>
        </w:rPr>
        <w:t xml:space="preserve"> יאסור את כל החתיכות</w:t>
      </w:r>
      <w:r w:rsidR="000C32BA" w:rsidRPr="00882F11">
        <w:rPr>
          <w:rFonts w:cs="Guttman Drogolin" w:hint="cs"/>
          <w:rtl/>
          <w:lang w:bidi="he-IL"/>
        </w:rPr>
        <w:t xml:space="preserve">. והגמ' מביאה לזה ב' תירוצים. אביי תי' דמיירי בכה"ג שהוציא את החתיכת נבילה מן התערובת, ולכן אין כאן אלא החתיכה שבלעה איסור, ומשו"ה בעינן לזה שנתן הנבילה בה טעם. ורבא סבר דלא בעינן לאוקמי' בכה"ג שהוציא את הנבילה, דאפילו אם לא הוציא את הנבילה לא היתה אוסרת כיון שהיינו אומרים שיש מספיק רוטב בתערובת לבטל החתיכת איסור, ואע"ג שיש כאן גם חתיכות של היתר שהן מינה, אמרינן 'סלק' </w:t>
      </w:r>
      <w:r w:rsidR="000C32BA" w:rsidRPr="00882F11">
        <w:rPr>
          <w:rFonts w:cs="Guttman Drogolin" w:hint="cs"/>
          <w:rtl/>
          <w:lang w:bidi="he-IL"/>
        </w:rPr>
        <w:lastRenderedPageBreak/>
        <w:t xml:space="preserve">אותן חתיכות מכאן, והרי זה כאילו אין כאן אלא רוטב ואתה חתיכה, ולכן הי' מבטלו. ומיירי בכה"ג שיש מספיק רוטב לבטל הנבלה בפני עצמה, </w:t>
      </w:r>
      <w:r w:rsidR="009A7F6B" w:rsidRPr="00882F11">
        <w:rPr>
          <w:rFonts w:cs="Guttman Drogolin" w:hint="cs"/>
          <w:rtl/>
          <w:lang w:bidi="he-IL"/>
        </w:rPr>
        <w:t xml:space="preserve">אבל </w:t>
      </w:r>
      <w:r w:rsidR="000C32BA" w:rsidRPr="00882F11">
        <w:rPr>
          <w:rFonts w:cs="Guttman Drogolin" w:hint="cs"/>
          <w:rtl/>
          <w:lang w:bidi="he-IL"/>
        </w:rPr>
        <w:t>לא מספק לבטל גם הנבלה וגם החתיכה שבלעה טעם ביחד.</w:t>
      </w:r>
      <w:r w:rsidRPr="00882F11">
        <w:rPr>
          <w:rFonts w:cs="Guttman Drogolin" w:hint="cs"/>
          <w:rtl/>
          <w:lang w:bidi="he-IL"/>
        </w:rPr>
        <w:t xml:space="preserve"> </w:t>
      </w:r>
      <w:r w:rsidR="00A54C3F" w:rsidRPr="00882F11">
        <w:rPr>
          <w:rFonts w:cs="Guttman Drogolin" w:hint="cs"/>
          <w:rtl/>
          <w:lang w:bidi="he-IL"/>
        </w:rPr>
        <w:t xml:space="preserve"> </w:t>
      </w:r>
      <w:r w:rsidR="008B0D72" w:rsidRPr="00882F11">
        <w:rPr>
          <w:rFonts w:cs="Guttman Drogolin" w:hint="cs"/>
          <w:rtl/>
          <w:lang w:bidi="he-IL"/>
        </w:rPr>
        <w:t xml:space="preserve"> </w:t>
      </w:r>
    </w:p>
    <w:p w:rsidR="0067419B" w:rsidRPr="00882F11" w:rsidRDefault="00E560C4" w:rsidP="00FD6265">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סלק</w:instrText>
      </w:r>
      <w:r w:rsidRPr="00882F11">
        <w:rPr>
          <w:rFonts w:cs="Guttman Drogolin"/>
          <w:rtl/>
        </w:rPr>
        <w:instrText>:</w:instrText>
      </w:r>
      <w:r w:rsidRPr="00882F11">
        <w:rPr>
          <w:rFonts w:cs="Guttman Drogolin" w:hint="cs"/>
          <w:rtl/>
          <w:lang w:bidi="he-IL"/>
        </w:rPr>
        <w:instrText>ביאור מחלוקת אביי ורבא</w:instrText>
      </w:r>
      <w:r w:rsidRPr="00882F11">
        <w:rPr>
          <w:rFonts w:cs="Guttman Drogolin"/>
        </w:rPr>
        <w:instrText xml:space="preserve">" </w:instrText>
      </w:r>
      <w:r w:rsidRPr="00882F11">
        <w:rPr>
          <w:rFonts w:cs="Guttman Drogolin"/>
          <w:rtl/>
          <w:lang w:bidi="he-IL"/>
        </w:rPr>
        <w:fldChar w:fldCharType="end"/>
      </w:r>
      <w:r w:rsidR="0067419B" w:rsidRPr="00882F11">
        <w:rPr>
          <w:rFonts w:cs="Guttman Drogolin" w:hint="cs"/>
          <w:rtl/>
          <w:lang w:bidi="he-IL"/>
        </w:rPr>
        <w:t>והנה לכאורה מבואר בגמ', וכן כתבו התוס' בכמה מקומות, שיש מחלוקת בין אביי לרבא אי אמרינן סברא זו</w:t>
      </w:r>
      <w:r w:rsidR="00BA0D9E" w:rsidRPr="00882F11">
        <w:rPr>
          <w:rFonts w:cs="Guttman Drogolin" w:hint="cs"/>
          <w:rtl/>
          <w:lang w:bidi="he-IL"/>
        </w:rPr>
        <w:t xml:space="preserve"> ד'סלק'</w:t>
      </w:r>
      <w:r w:rsidR="00704147" w:rsidRPr="00882F11">
        <w:rPr>
          <w:rFonts w:cs="Guttman Drogolin" w:hint="cs"/>
          <w:rtl/>
          <w:lang w:bidi="he-IL"/>
        </w:rPr>
        <w:t>. ויל"ע מהו יסוד המחלוקת. והנה אם נימא שיש מחלוקת יוצא שכוונת הגמ' בקושייתו דלמה לי נתן טעם בחתיכה, נהי נמי שיש ששים ברוטב כנגד החתיכת נבילה בפני עצמו, מ"מ הא מצטרף הוא עם שאר החתיכות של מינו לתת טעם. וכיון שכן, סברה הגמ' שגם זה צריך להיות אסור מדין טכ"ע</w:t>
      </w:r>
      <w:r w:rsidR="00FD6265" w:rsidRPr="00882F11">
        <w:rPr>
          <w:rFonts w:cs="Guttman Drogolin" w:hint="cs"/>
          <w:rtl/>
          <w:lang w:bidi="he-IL"/>
        </w:rPr>
        <w:t>. וטעמו של דבר משום</w:t>
      </w:r>
      <w:r w:rsidR="00704147" w:rsidRPr="00882F11">
        <w:rPr>
          <w:rFonts w:cs="Guttman Drogolin" w:hint="cs"/>
          <w:rtl/>
          <w:lang w:bidi="he-IL"/>
        </w:rPr>
        <w:t xml:space="preserve"> שגם החתיכת נבילה הוא בין החתיכות הנותנות טעם בתבשיל זה, והרי מורגש הטעם שהנבילה עושה, וכן אין הטעם של נבילה בטלה בטעם שארי החתיכות שהן מינה, דהא מין במינו לא בטל</w:t>
      </w:r>
      <w:r w:rsidR="00FD6265" w:rsidRPr="00882F11">
        <w:rPr>
          <w:rFonts w:cs="Guttman Drogolin" w:hint="cs"/>
          <w:rtl/>
          <w:lang w:bidi="he-IL"/>
        </w:rPr>
        <w:t>. ולכן סברה הגמ' שעדיין צריך להיות אסור.</w:t>
      </w:r>
    </w:p>
    <w:p w:rsidR="00FD6265" w:rsidRPr="00882F11" w:rsidRDefault="00FD6265" w:rsidP="00FD6265">
      <w:pPr>
        <w:bidi/>
        <w:jc w:val="both"/>
        <w:rPr>
          <w:rFonts w:cs="Guttman Drogolin"/>
          <w:rtl/>
          <w:lang w:bidi="he-IL"/>
        </w:rPr>
      </w:pPr>
      <w:r w:rsidRPr="00882F11">
        <w:rPr>
          <w:rFonts w:cs="Guttman Drogolin" w:hint="cs"/>
          <w:rtl/>
          <w:lang w:bidi="he-IL"/>
        </w:rPr>
        <w:t>ועל זה חלק רבא, דאמרינו 'סלק', ור"ל דכיון שאילו לא היו כאן החתיכות היתר היינו אומרים שהתבשיל מותר, דהא אין כח לחתיכת הנבילה בפני עצמה לתת טעם בתבשיל</w:t>
      </w:r>
      <w:r w:rsidR="005A1B02" w:rsidRPr="00882F11">
        <w:rPr>
          <w:rFonts w:cs="Guttman Drogolin" w:hint="cs"/>
          <w:rtl/>
          <w:lang w:bidi="he-IL"/>
        </w:rPr>
        <w:t>, לא אמרינן טכ"ע ע"י הטעם שלפנינו כיון שהטעם שלפנינו אינו יכול להיות מכח החתיכה בפני עצמה. וזהו לכאורה יסוד המחלוקת בין אביי לרבא, אי בכה"ג אמרינן טכ"ע או לא.</w:t>
      </w:r>
    </w:p>
    <w:p w:rsidR="005A1B02" w:rsidRPr="00882F11" w:rsidRDefault="005A1B02" w:rsidP="005A1B02">
      <w:pPr>
        <w:bidi/>
        <w:jc w:val="both"/>
        <w:rPr>
          <w:rFonts w:cs="Guttman Drogolin"/>
          <w:rtl/>
          <w:lang w:bidi="he-IL"/>
        </w:rPr>
      </w:pPr>
      <w:r w:rsidRPr="00882F11">
        <w:rPr>
          <w:rFonts w:cs="Guttman Drogolin" w:hint="cs"/>
          <w:rtl/>
          <w:lang w:bidi="he-IL"/>
        </w:rPr>
        <w:t>והעי</w:t>
      </w:r>
      <w:r w:rsidR="00C213B8" w:rsidRPr="00882F11">
        <w:rPr>
          <w:rFonts w:cs="Guttman Drogolin" w:hint="cs"/>
          <w:rtl/>
          <w:lang w:bidi="he-IL"/>
        </w:rPr>
        <w:t>ר</w:t>
      </w:r>
      <w:r w:rsidRPr="00882F11">
        <w:rPr>
          <w:rFonts w:cs="Guttman Drogolin" w:hint="cs"/>
          <w:rtl/>
          <w:lang w:bidi="he-IL"/>
        </w:rPr>
        <w:t xml:space="preserve"> בחי' ר' חיים הלוי בפי"ג מהלכות תרומות, שהרי מבואר שהחתיכות של היתר אינן עולות בחשבון ששים לומר שאין כאן טעם. והקשה הגר"ח למה לא</w:t>
      </w:r>
      <w:r w:rsidR="00D1205A" w:rsidRPr="00882F11">
        <w:rPr>
          <w:rStyle w:val="FootnoteReference"/>
          <w:rFonts w:cs="Guttman Drogolin"/>
          <w:rtl/>
          <w:lang w:bidi="he-IL"/>
        </w:rPr>
        <w:footnoteReference w:id="77"/>
      </w:r>
      <w:r w:rsidRPr="00882F11">
        <w:rPr>
          <w:rFonts w:cs="Guttman Drogolin" w:hint="cs"/>
          <w:rtl/>
          <w:lang w:bidi="he-IL"/>
        </w:rPr>
        <w:t xml:space="preserve">, הא הדין של ר' יהודה דמין במינו לא בטל הוא דין בגזה"כ דאחרי רבים להטות, שאין היתר של רוב במין במינו. אבל השיעור ששים הוא לכאורה מציאות, שאם יש </w:t>
      </w:r>
      <w:r w:rsidRPr="00882F11">
        <w:rPr>
          <w:rFonts w:cs="Guttman Drogolin" w:hint="cs"/>
          <w:rtl/>
          <w:lang w:bidi="he-IL"/>
        </w:rPr>
        <w:lastRenderedPageBreak/>
        <w:t xml:space="preserve">ששים כנגד האיסור אמרנן שאין טעם. וא"כ גם החתיכות של היתר היו צריכים לעלות ג"כ לחשבון של ששים. והוכיח מזה הגר"ח דע"כ הדין של ששים </w:t>
      </w:r>
      <w:r w:rsidR="00900D0E" w:rsidRPr="00882F11">
        <w:rPr>
          <w:rFonts w:cs="Guttman Drogolin" w:hint="cs"/>
          <w:rtl/>
          <w:lang w:bidi="he-IL"/>
        </w:rPr>
        <w:t xml:space="preserve">הוא </w:t>
      </w:r>
      <w:r w:rsidRPr="00882F11">
        <w:rPr>
          <w:rFonts w:cs="Guttman Drogolin" w:hint="cs"/>
          <w:rtl/>
          <w:lang w:bidi="he-IL"/>
        </w:rPr>
        <w:t xml:space="preserve">ג"כ דין של ביטול. </w:t>
      </w:r>
      <w:r w:rsidR="00900D0E" w:rsidRPr="00882F11">
        <w:rPr>
          <w:rFonts w:cs="Guttman Drogolin" w:hint="cs"/>
          <w:rtl/>
          <w:lang w:bidi="he-IL"/>
        </w:rPr>
        <w:t xml:space="preserve">ויש לו בזה ב' דרכים שם, </w:t>
      </w:r>
      <w:r w:rsidRPr="00882F11">
        <w:rPr>
          <w:rFonts w:cs="Guttman Drogolin" w:hint="cs"/>
          <w:rtl/>
          <w:lang w:bidi="he-IL"/>
        </w:rPr>
        <w:t>ונלעוק"ד בכוונתו</w:t>
      </w:r>
      <w:r w:rsidR="00900D0E" w:rsidRPr="00882F11">
        <w:rPr>
          <w:rFonts w:cs="Guttman Drogolin" w:hint="cs"/>
          <w:rtl/>
          <w:lang w:bidi="he-IL"/>
        </w:rPr>
        <w:t xml:space="preserve"> בדרך השני</w:t>
      </w:r>
      <w:r w:rsidRPr="00882F11">
        <w:rPr>
          <w:rFonts w:cs="Guttman Drogolin" w:hint="cs"/>
          <w:rtl/>
          <w:lang w:bidi="he-IL"/>
        </w:rPr>
        <w:t>, שהי' אפשר לומר שהטעם דכשיש ששים אמרינן אין טעם היינו משום שהתפשט כ"כ עד שהוא חלק ויאן לו כח לתת טעם. אבל אמר הגר"ח שאין זה נכון, אלא הטעם דמהני ששים הוא משום שיש כ"כ טעם של טעם אחר שאמרינן הוא מבטל טעמו של השני. וא"כ לכאורה לא מהני אלא כשיש ששים של טעם אחר לבטל טעם האיסור. אבל טעם שהוא מינו אין לו כח לבטל בששים.</w:t>
      </w:r>
      <w:r w:rsidR="00900D0E" w:rsidRPr="00882F11">
        <w:rPr>
          <w:rFonts w:cs="Guttman Drogolin" w:hint="cs"/>
          <w:rtl/>
          <w:lang w:bidi="he-IL"/>
        </w:rPr>
        <w:t xml:space="preserve"> ומ"מ כל מה שאומרים שמין אינו מבטל מינו היינו אליבא דר' יהודה דסבר מן במינו לא בטל, אבל אם מין במינו בטל שפיר מהני אותו טעם לבטל מדין ששים. ולכאורה ר"ל שאם אין מין מבטל מינו, ע"כ אמרינן שהטעם שלפנינו הוא טעם איסור, דהא טעם ההיתר ואיסור מורגשים יחד, ואין לטעם הזה הדין של ההיתר בלחוד כיון שאין הטעם היתר יכול לבטלו. רק אם אומרים דמין במינו בטל אמרינן דאע"ג שאני מרגיש טעם גם מכח החתיכת איסור, מ"מ המינו דהיתר מבטלו לומר שהוא כמאן דליתא דמי. </w:t>
      </w:r>
      <w:r w:rsidRPr="00882F11">
        <w:rPr>
          <w:rFonts w:cs="Guttman Drogolin" w:hint="cs"/>
          <w:rtl/>
          <w:lang w:bidi="he-IL"/>
        </w:rPr>
        <w:t xml:space="preserve"> </w:t>
      </w:r>
    </w:p>
    <w:p w:rsidR="005A1B02" w:rsidRPr="00882F11" w:rsidRDefault="005A1B02" w:rsidP="0078079C">
      <w:pPr>
        <w:pStyle w:val="Heading1"/>
        <w:bidi/>
        <w:spacing w:before="0" w:line="360" w:lineRule="auto"/>
        <w:jc w:val="center"/>
        <w:rPr>
          <w:rFonts w:cs="Guttman Drogolin"/>
          <w:color w:val="auto"/>
          <w:sz w:val="24"/>
          <w:szCs w:val="24"/>
          <w:u w:val="single"/>
          <w:rtl/>
          <w:lang w:bidi="he-IL"/>
        </w:rPr>
      </w:pPr>
      <w:bookmarkStart w:id="66" w:name="_Toc496175329"/>
      <w:r w:rsidRPr="00882F11">
        <w:rPr>
          <w:rFonts w:cs="Guttman Drogolin" w:hint="cs"/>
          <w:color w:val="auto"/>
          <w:sz w:val="24"/>
          <w:szCs w:val="24"/>
          <w:u w:val="single"/>
          <w:rtl/>
          <w:lang w:bidi="he-IL"/>
        </w:rPr>
        <w:t>הקדמה: נקודות למחשבה בסוגיין</w:t>
      </w:r>
      <w:bookmarkEnd w:id="66"/>
    </w:p>
    <w:p w:rsidR="005A1B02" w:rsidRPr="00882F11" w:rsidRDefault="005A1B02" w:rsidP="005A1B02">
      <w:pPr>
        <w:bidi/>
        <w:jc w:val="both"/>
        <w:rPr>
          <w:rFonts w:cs="Guttman Drogolin"/>
          <w:rtl/>
          <w:lang w:bidi="he-IL"/>
        </w:rPr>
      </w:pPr>
      <w:r w:rsidRPr="00882F11">
        <w:rPr>
          <w:rFonts w:cs="Guttman Drogolin" w:hint="cs"/>
          <w:rtl/>
          <w:lang w:bidi="he-IL"/>
        </w:rPr>
        <w:t xml:space="preserve">כהקדמה לסוגיא שלפנינו יש להקדים ג' שאלות עיקריות שדנו בהם הראשונים: </w:t>
      </w:r>
    </w:p>
    <w:p w:rsidR="003D6185" w:rsidRPr="00882F11" w:rsidRDefault="003D6185" w:rsidP="00B81CCF">
      <w:pPr>
        <w:pStyle w:val="ListParagraph"/>
        <w:numPr>
          <w:ilvl w:val="0"/>
          <w:numId w:val="4"/>
        </w:numPr>
        <w:bidi/>
        <w:jc w:val="both"/>
        <w:rPr>
          <w:rFonts w:cs="Guttman Drogolin"/>
        </w:rPr>
      </w:pPr>
      <w:r w:rsidRPr="00882F11">
        <w:rPr>
          <w:rFonts w:cs="Guttman Drogolin" w:hint="cs"/>
          <w:rtl/>
          <w:lang w:bidi="he-IL"/>
        </w:rPr>
        <w:t xml:space="preserve">למה אין החתיכה השני נעשית נבילה אלא משום שקיבל טעם </w:t>
      </w:r>
      <w:r w:rsidRPr="00882F11">
        <w:rPr>
          <w:rFonts w:cs="Guttman Drogolin"/>
          <w:rtl/>
          <w:lang w:bidi="he-IL"/>
        </w:rPr>
        <w:t>–</w:t>
      </w:r>
      <w:r w:rsidR="002425B2" w:rsidRPr="00882F11">
        <w:rPr>
          <w:rFonts w:cs="Guttman Drogolin" w:hint="cs"/>
          <w:rtl/>
          <w:lang w:bidi="he-IL"/>
        </w:rPr>
        <w:t xml:space="preserve"> הא לר' יהודה מ</w:t>
      </w:r>
      <w:r w:rsidRPr="00882F11">
        <w:rPr>
          <w:rFonts w:cs="Guttman Drogolin" w:hint="cs"/>
          <w:rtl/>
          <w:lang w:bidi="he-IL"/>
        </w:rPr>
        <w:t>ין במינו במשהו (וע' ברמב"ן באמת סבר דאה"נ וטעם לו דוקא).</w:t>
      </w:r>
    </w:p>
    <w:p w:rsidR="003D6185" w:rsidRPr="00882F11" w:rsidRDefault="003D6185" w:rsidP="00B81CCF">
      <w:pPr>
        <w:pStyle w:val="ListParagraph"/>
        <w:numPr>
          <w:ilvl w:val="0"/>
          <w:numId w:val="4"/>
        </w:numPr>
        <w:bidi/>
        <w:jc w:val="both"/>
        <w:rPr>
          <w:rFonts w:cs="Guttman Drogolin"/>
        </w:rPr>
      </w:pPr>
      <w:r w:rsidRPr="00882F11">
        <w:rPr>
          <w:rFonts w:cs="Guttman Drogolin" w:hint="cs"/>
          <w:rtl/>
          <w:lang w:bidi="he-IL"/>
        </w:rPr>
        <w:t>למה צריכים את הדין של חענ"ן ולא סגי לן משהו של נבילה עצמה שהיא בחתיכה.</w:t>
      </w:r>
    </w:p>
    <w:p w:rsidR="005A1B02" w:rsidRPr="00882F11" w:rsidRDefault="003D6185" w:rsidP="00B81CCF">
      <w:pPr>
        <w:pStyle w:val="ListParagraph"/>
        <w:numPr>
          <w:ilvl w:val="0"/>
          <w:numId w:val="4"/>
        </w:numPr>
        <w:bidi/>
        <w:jc w:val="both"/>
        <w:rPr>
          <w:rFonts w:cs="Guttman Drogolin"/>
        </w:rPr>
      </w:pPr>
      <w:r w:rsidRPr="00882F11">
        <w:rPr>
          <w:rFonts w:cs="Guttman Drogolin" w:hint="cs"/>
          <w:rtl/>
          <w:lang w:bidi="he-IL"/>
        </w:rPr>
        <w:lastRenderedPageBreak/>
        <w:t xml:space="preserve">אפילו אם משהו לא סגי וצריך לדין חענ"ן, למה אחרי שנותן טעם צריכים לדין חענ"ן. </w:t>
      </w:r>
    </w:p>
    <w:p w:rsidR="00376D88" w:rsidRPr="00882F11" w:rsidRDefault="00376D88" w:rsidP="00376D88">
      <w:pPr>
        <w:bidi/>
        <w:jc w:val="both"/>
        <w:rPr>
          <w:rFonts w:cs="Times New Roman"/>
          <w:rtl/>
        </w:rPr>
        <w:sectPr w:rsidR="00376D88" w:rsidRPr="00882F11" w:rsidSect="000F6DEF">
          <w:type w:val="continuous"/>
          <w:pgSz w:w="11907" w:h="16839" w:code="9"/>
          <w:pgMar w:top="1440" w:right="1440" w:bottom="1440" w:left="1440" w:header="720" w:footer="720" w:gutter="0"/>
          <w:cols w:num="2" w:space="720"/>
          <w:bidi/>
          <w:docGrid w:linePitch="360"/>
        </w:sectPr>
      </w:pPr>
    </w:p>
    <w:p w:rsidR="00376D88" w:rsidRPr="00882F11" w:rsidRDefault="00376D88" w:rsidP="00376D88">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י"ז</w:t>
      </w:r>
    </w:p>
    <w:p w:rsidR="000F6DEF" w:rsidRDefault="000F6DEF" w:rsidP="0078079C">
      <w:pPr>
        <w:pStyle w:val="Heading1"/>
        <w:bidi/>
        <w:spacing w:before="0" w:line="360" w:lineRule="auto"/>
        <w:jc w:val="center"/>
        <w:rPr>
          <w:rFonts w:cs="Guttman Drogolin"/>
          <w:color w:val="auto"/>
          <w:sz w:val="24"/>
          <w:szCs w:val="24"/>
          <w:u w:val="single"/>
          <w:rtl/>
          <w:lang w:bidi="he-IL"/>
        </w:rPr>
        <w:sectPr w:rsidR="000F6DEF" w:rsidSect="000F6DEF">
          <w:pgSz w:w="11907" w:h="16839" w:code="9"/>
          <w:pgMar w:top="1440" w:right="1440" w:bottom="1440" w:left="1440" w:header="720" w:footer="720" w:gutter="0"/>
          <w:cols w:space="720"/>
          <w:bidi/>
          <w:docGrid w:linePitch="360"/>
        </w:sectPr>
      </w:pPr>
    </w:p>
    <w:p w:rsidR="00376D88" w:rsidRPr="00882F11" w:rsidRDefault="00BE17EA" w:rsidP="0078079C">
      <w:pPr>
        <w:pStyle w:val="Heading1"/>
        <w:bidi/>
        <w:spacing w:before="0" w:line="360" w:lineRule="auto"/>
        <w:jc w:val="center"/>
        <w:rPr>
          <w:rFonts w:cs="Guttman Drogolin"/>
          <w:color w:val="auto"/>
          <w:sz w:val="24"/>
          <w:szCs w:val="24"/>
          <w:u w:val="single"/>
          <w:rtl/>
          <w:lang w:bidi="he-IL"/>
        </w:rPr>
      </w:pPr>
      <w:bookmarkStart w:id="67" w:name="_Toc496175330"/>
      <w:r w:rsidRPr="00882F11">
        <w:rPr>
          <w:rFonts w:cs="Guttman Drogolin" w:hint="cs"/>
          <w:color w:val="auto"/>
          <w:sz w:val="24"/>
          <w:szCs w:val="24"/>
          <w:u w:val="single"/>
          <w:rtl/>
          <w:lang w:bidi="he-IL"/>
        </w:rPr>
        <w:lastRenderedPageBreak/>
        <w:t>בביאור המחלוקת שבין רבב"ח לרב</w:t>
      </w:r>
      <w:bookmarkEnd w:id="67"/>
    </w:p>
    <w:p w:rsidR="00C40415" w:rsidRPr="00882F11" w:rsidRDefault="00E560C4" w:rsidP="001509DE">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חענ</w:instrText>
      </w:r>
      <w:r w:rsidRPr="00882F11">
        <w:rPr>
          <w:rFonts w:eastAsiaTheme="minorEastAsia" w:cs="Guttman Drogolin"/>
          <w:lang w:bidi="he-IL"/>
        </w:rPr>
        <w:instrText>\</w:instrText>
      </w:r>
      <w:r w:rsidRPr="00882F11">
        <w:rPr>
          <w:rFonts w:cs="Guttman Drogolin" w:hint="cs"/>
          <w:rtl/>
          <w:lang w:bidi="he-IL"/>
        </w:rPr>
        <w:instrText>"ן</w:instrText>
      </w:r>
      <w:r w:rsidRPr="00882F11">
        <w:rPr>
          <w:rFonts w:cs="Guttman Drogolin"/>
          <w:rtl/>
        </w:rPr>
        <w:instrText>:</w:instrText>
      </w:r>
      <w:r w:rsidRPr="00882F11">
        <w:rPr>
          <w:rFonts w:cs="Guttman Drogolin" w:hint="cs"/>
          <w:rtl/>
          <w:lang w:bidi="he-IL"/>
        </w:rPr>
        <w:instrText>המחלוקת שבין רבב</w:instrText>
      </w:r>
      <w:r w:rsidRPr="00882F11">
        <w:rPr>
          <w:rFonts w:eastAsiaTheme="minorEastAsia" w:cs="Guttman Drogolin"/>
          <w:lang w:bidi="he-IL"/>
        </w:rPr>
        <w:instrText>\</w:instrText>
      </w:r>
      <w:r w:rsidRPr="00882F11">
        <w:rPr>
          <w:rFonts w:cs="Guttman Drogolin" w:hint="cs"/>
          <w:rtl/>
          <w:lang w:bidi="he-IL"/>
        </w:rPr>
        <w:instrText>"ח ורב</w:instrText>
      </w:r>
      <w:r w:rsidRPr="00882F11">
        <w:rPr>
          <w:rFonts w:cs="Guttman Drogolin"/>
        </w:rPr>
        <w:instrText xml:space="preserve">" </w:instrText>
      </w:r>
      <w:r w:rsidRPr="00882F11">
        <w:rPr>
          <w:rFonts w:cs="Guttman Drogolin"/>
          <w:rtl/>
          <w:lang w:bidi="he-IL"/>
        </w:rPr>
        <w:fldChar w:fldCharType="end"/>
      </w:r>
      <w:r w:rsidR="00BE17EA" w:rsidRPr="00882F11">
        <w:rPr>
          <w:rFonts w:cs="Guttman Drogolin" w:hint="cs"/>
          <w:rtl/>
          <w:lang w:bidi="he-IL"/>
        </w:rPr>
        <w:t>הגמ' מביאה מעיקרא את שיטת רבב"ח דסבר "חתיכה</w:t>
      </w:r>
      <w:r w:rsidR="00BE17EA" w:rsidRPr="00882F11">
        <w:rPr>
          <w:rFonts w:cs="Guttman Drogolin"/>
          <w:rtl/>
          <w:lang w:bidi="he-IL"/>
        </w:rPr>
        <w:t xml:space="preserve"> </w:t>
      </w:r>
      <w:r w:rsidR="00BE17EA" w:rsidRPr="00882F11">
        <w:rPr>
          <w:rFonts w:cs="Guttman Drogolin" w:hint="cs"/>
          <w:rtl/>
          <w:lang w:bidi="he-IL"/>
        </w:rPr>
        <w:t>של</w:t>
      </w:r>
      <w:r w:rsidR="00BE17EA" w:rsidRPr="00882F11">
        <w:rPr>
          <w:rFonts w:cs="Guttman Drogolin"/>
          <w:rtl/>
          <w:lang w:bidi="he-IL"/>
        </w:rPr>
        <w:t xml:space="preserve"> </w:t>
      </w:r>
      <w:r w:rsidR="00BE17EA" w:rsidRPr="00882F11">
        <w:rPr>
          <w:rFonts w:cs="Guttman Drogolin" w:hint="cs"/>
          <w:rtl/>
          <w:lang w:bidi="he-IL"/>
        </w:rPr>
        <w:t>נבלה</w:t>
      </w:r>
      <w:r w:rsidR="00BE17EA" w:rsidRPr="00882F11">
        <w:rPr>
          <w:rFonts w:cs="Guttman Drogolin"/>
          <w:rtl/>
          <w:lang w:bidi="he-IL"/>
        </w:rPr>
        <w:t xml:space="preserve"> </w:t>
      </w:r>
      <w:r w:rsidR="00BE17EA" w:rsidRPr="00882F11">
        <w:rPr>
          <w:rFonts w:cs="Guttman Drogolin" w:hint="cs"/>
          <w:rtl/>
          <w:lang w:bidi="he-IL"/>
        </w:rPr>
        <w:t>ושל</w:t>
      </w:r>
      <w:r w:rsidR="00BE17EA" w:rsidRPr="00882F11">
        <w:rPr>
          <w:rFonts w:cs="Guttman Drogolin"/>
          <w:rtl/>
          <w:lang w:bidi="he-IL"/>
        </w:rPr>
        <w:t xml:space="preserve"> </w:t>
      </w:r>
      <w:r w:rsidR="00BE17EA" w:rsidRPr="00882F11">
        <w:rPr>
          <w:rFonts w:cs="Guttman Drogolin" w:hint="cs"/>
          <w:rtl/>
          <w:lang w:bidi="he-IL"/>
        </w:rPr>
        <w:t>דג</w:t>
      </w:r>
      <w:r w:rsidR="00BE17EA" w:rsidRPr="00882F11">
        <w:rPr>
          <w:rFonts w:cs="Guttman Drogolin"/>
          <w:rtl/>
          <w:lang w:bidi="he-IL"/>
        </w:rPr>
        <w:t xml:space="preserve"> </w:t>
      </w:r>
      <w:r w:rsidR="00BE17EA" w:rsidRPr="00882F11">
        <w:rPr>
          <w:rFonts w:cs="Guttman Drogolin" w:hint="cs"/>
          <w:rtl/>
          <w:lang w:bidi="he-IL"/>
        </w:rPr>
        <w:t>טמא</w:t>
      </w:r>
      <w:r w:rsidR="00BE17EA" w:rsidRPr="00882F11">
        <w:rPr>
          <w:rFonts w:cs="Guttman Drogolin"/>
          <w:rtl/>
          <w:lang w:bidi="he-IL"/>
        </w:rPr>
        <w:t xml:space="preserve"> </w:t>
      </w:r>
      <w:r w:rsidR="00BE17EA" w:rsidRPr="00882F11">
        <w:rPr>
          <w:rFonts w:cs="Guttman Drogolin" w:hint="cs"/>
          <w:rtl/>
          <w:lang w:bidi="he-IL"/>
        </w:rPr>
        <w:t>אינה</w:t>
      </w:r>
      <w:r w:rsidR="00BE17EA" w:rsidRPr="00882F11">
        <w:rPr>
          <w:rFonts w:cs="Guttman Drogolin"/>
          <w:rtl/>
          <w:lang w:bidi="he-IL"/>
        </w:rPr>
        <w:t xml:space="preserve"> </w:t>
      </w:r>
      <w:r w:rsidR="00BE17EA" w:rsidRPr="00882F11">
        <w:rPr>
          <w:rFonts w:cs="Guttman Drogolin" w:hint="cs"/>
          <w:rtl/>
          <w:lang w:bidi="he-IL"/>
        </w:rPr>
        <w:t>אוסרת</w:t>
      </w:r>
      <w:r w:rsidR="00BE17EA" w:rsidRPr="00882F11">
        <w:rPr>
          <w:rFonts w:cs="Guttman Drogolin"/>
          <w:rtl/>
          <w:lang w:bidi="he-IL"/>
        </w:rPr>
        <w:t xml:space="preserve"> </w:t>
      </w:r>
      <w:r w:rsidR="00BE17EA" w:rsidRPr="00882F11">
        <w:rPr>
          <w:rFonts w:cs="Guttman Drogolin" w:hint="cs"/>
          <w:rtl/>
          <w:lang w:bidi="he-IL"/>
        </w:rPr>
        <w:t>עד</w:t>
      </w:r>
      <w:r w:rsidR="00BE17EA" w:rsidRPr="00882F11">
        <w:rPr>
          <w:rFonts w:cs="Guttman Drogolin"/>
          <w:rtl/>
          <w:lang w:bidi="he-IL"/>
        </w:rPr>
        <w:t xml:space="preserve"> </w:t>
      </w:r>
      <w:r w:rsidR="00BE17EA" w:rsidRPr="00882F11">
        <w:rPr>
          <w:rFonts w:cs="Guttman Drogolin" w:hint="cs"/>
          <w:rtl/>
          <w:lang w:bidi="he-IL"/>
        </w:rPr>
        <w:t>שתתן</w:t>
      </w:r>
      <w:r w:rsidR="00BE17EA" w:rsidRPr="00882F11">
        <w:rPr>
          <w:rFonts w:cs="Guttman Drogolin"/>
          <w:rtl/>
          <w:lang w:bidi="he-IL"/>
        </w:rPr>
        <w:t xml:space="preserve"> </w:t>
      </w:r>
      <w:r w:rsidR="00BE17EA" w:rsidRPr="00882F11">
        <w:rPr>
          <w:rFonts w:cs="Guttman Drogolin" w:hint="cs"/>
          <w:rtl/>
          <w:lang w:bidi="he-IL"/>
        </w:rPr>
        <w:t>טעם</w:t>
      </w:r>
      <w:r w:rsidR="00BE17EA" w:rsidRPr="00882F11">
        <w:rPr>
          <w:rFonts w:cs="Guttman Drogolin"/>
          <w:rtl/>
          <w:lang w:bidi="he-IL"/>
        </w:rPr>
        <w:t xml:space="preserve"> </w:t>
      </w:r>
      <w:r w:rsidR="00BE17EA" w:rsidRPr="00882F11">
        <w:rPr>
          <w:rFonts w:cs="Guttman Drogolin" w:hint="cs"/>
          <w:rtl/>
          <w:lang w:bidi="he-IL"/>
        </w:rPr>
        <w:t>ברוטב</w:t>
      </w:r>
      <w:r w:rsidR="00BE17EA" w:rsidRPr="00882F11">
        <w:rPr>
          <w:rFonts w:cs="Guttman Drogolin"/>
          <w:rtl/>
          <w:lang w:bidi="he-IL"/>
        </w:rPr>
        <w:t xml:space="preserve"> </w:t>
      </w:r>
      <w:r w:rsidR="00BE17EA" w:rsidRPr="00882F11">
        <w:rPr>
          <w:rFonts w:cs="Guttman Drogolin" w:hint="cs"/>
          <w:rtl/>
          <w:lang w:bidi="he-IL"/>
        </w:rPr>
        <w:t>ובקיפה</w:t>
      </w:r>
      <w:r w:rsidR="00BE17EA" w:rsidRPr="00882F11">
        <w:rPr>
          <w:rFonts w:cs="Guttman Drogolin"/>
          <w:rtl/>
          <w:lang w:bidi="he-IL"/>
        </w:rPr>
        <w:t xml:space="preserve"> </w:t>
      </w:r>
      <w:r w:rsidR="00BE17EA" w:rsidRPr="00882F11">
        <w:rPr>
          <w:rFonts w:cs="Guttman Drogolin" w:hint="cs"/>
          <w:rtl/>
          <w:lang w:bidi="he-IL"/>
        </w:rPr>
        <w:t>ובחתיכות". ועל מימרא זו חלק רב וסבר "כיון</w:t>
      </w:r>
      <w:r w:rsidR="00BE17EA" w:rsidRPr="00882F11">
        <w:rPr>
          <w:rFonts w:cs="Guttman Drogolin"/>
          <w:rtl/>
          <w:lang w:bidi="he-IL"/>
        </w:rPr>
        <w:t xml:space="preserve"> </w:t>
      </w:r>
      <w:r w:rsidR="00BE17EA" w:rsidRPr="00882F11">
        <w:rPr>
          <w:rFonts w:cs="Guttman Drogolin" w:hint="cs"/>
          <w:rtl/>
          <w:lang w:bidi="he-IL"/>
        </w:rPr>
        <w:t>שנתן</w:t>
      </w:r>
      <w:r w:rsidR="00BE17EA" w:rsidRPr="00882F11">
        <w:rPr>
          <w:rFonts w:cs="Guttman Drogolin"/>
          <w:rtl/>
          <w:lang w:bidi="he-IL"/>
        </w:rPr>
        <w:t xml:space="preserve"> </w:t>
      </w:r>
      <w:r w:rsidR="00BE17EA" w:rsidRPr="00882F11">
        <w:rPr>
          <w:rFonts w:cs="Guttman Drogolin" w:hint="cs"/>
          <w:rtl/>
          <w:lang w:bidi="he-IL"/>
        </w:rPr>
        <w:t>טעם</w:t>
      </w:r>
      <w:r w:rsidR="00BE17EA" w:rsidRPr="00882F11">
        <w:rPr>
          <w:rFonts w:cs="Guttman Drogolin"/>
          <w:rtl/>
          <w:lang w:bidi="he-IL"/>
        </w:rPr>
        <w:t xml:space="preserve"> </w:t>
      </w:r>
      <w:r w:rsidR="00BE17EA" w:rsidRPr="00882F11">
        <w:rPr>
          <w:rFonts w:cs="Guttman Drogolin" w:hint="cs"/>
          <w:rtl/>
          <w:lang w:bidi="he-IL"/>
        </w:rPr>
        <w:t>בחתיכה</w:t>
      </w:r>
      <w:r w:rsidR="00BE17EA" w:rsidRPr="00882F11">
        <w:rPr>
          <w:rFonts w:cs="Guttman Drogolin"/>
          <w:rtl/>
          <w:lang w:bidi="he-IL"/>
        </w:rPr>
        <w:t xml:space="preserve"> </w:t>
      </w:r>
      <w:r w:rsidR="00BE17EA" w:rsidRPr="00882F11">
        <w:rPr>
          <w:rFonts w:cs="Guttman Drogolin" w:hint="cs"/>
          <w:rtl/>
          <w:lang w:bidi="he-IL"/>
        </w:rPr>
        <w:t>חתיכה</w:t>
      </w:r>
      <w:r w:rsidR="00BE17EA" w:rsidRPr="00882F11">
        <w:rPr>
          <w:rFonts w:cs="Guttman Drogolin"/>
          <w:rtl/>
          <w:lang w:bidi="he-IL"/>
        </w:rPr>
        <w:t xml:space="preserve"> </w:t>
      </w:r>
      <w:r w:rsidR="00BE17EA" w:rsidRPr="00882F11">
        <w:rPr>
          <w:rFonts w:cs="Guttman Drogolin" w:hint="cs"/>
          <w:rtl/>
          <w:lang w:bidi="he-IL"/>
        </w:rPr>
        <w:t>עצמה</w:t>
      </w:r>
      <w:r w:rsidR="00BE17EA" w:rsidRPr="00882F11">
        <w:rPr>
          <w:rFonts w:cs="Guttman Drogolin"/>
          <w:rtl/>
          <w:lang w:bidi="he-IL"/>
        </w:rPr>
        <w:t xml:space="preserve"> </w:t>
      </w:r>
      <w:r w:rsidR="00BE17EA" w:rsidRPr="00882F11">
        <w:rPr>
          <w:rFonts w:cs="Guttman Drogolin" w:hint="cs"/>
          <w:rtl/>
          <w:lang w:bidi="he-IL"/>
        </w:rPr>
        <w:t>נעשת</w:t>
      </w:r>
      <w:r w:rsidR="00BE17EA" w:rsidRPr="00882F11">
        <w:rPr>
          <w:rFonts w:cs="Guttman Drogolin"/>
          <w:rtl/>
          <w:lang w:bidi="he-IL"/>
        </w:rPr>
        <w:t xml:space="preserve"> </w:t>
      </w:r>
      <w:r w:rsidR="00BE17EA" w:rsidRPr="00882F11">
        <w:rPr>
          <w:rFonts w:cs="Guttman Drogolin" w:hint="cs"/>
          <w:rtl/>
          <w:lang w:bidi="he-IL"/>
        </w:rPr>
        <w:t>נבלה</w:t>
      </w:r>
      <w:r w:rsidR="00BE17EA" w:rsidRPr="00882F11">
        <w:rPr>
          <w:rFonts w:cs="Guttman Drogolin"/>
          <w:rtl/>
          <w:lang w:bidi="he-IL"/>
        </w:rPr>
        <w:t xml:space="preserve"> </w:t>
      </w:r>
      <w:r w:rsidR="00BE17EA" w:rsidRPr="00882F11">
        <w:rPr>
          <w:rFonts w:cs="Guttman Drogolin" w:hint="cs"/>
          <w:rtl/>
          <w:lang w:bidi="he-IL"/>
        </w:rPr>
        <w:t>ואוסרת</w:t>
      </w:r>
      <w:r w:rsidR="00BE17EA" w:rsidRPr="00882F11">
        <w:rPr>
          <w:rFonts w:cs="Guttman Drogolin"/>
          <w:rtl/>
          <w:lang w:bidi="he-IL"/>
        </w:rPr>
        <w:t xml:space="preserve"> </w:t>
      </w:r>
      <w:r w:rsidR="00BE17EA" w:rsidRPr="00882F11">
        <w:rPr>
          <w:rFonts w:cs="Guttman Drogolin" w:hint="cs"/>
          <w:rtl/>
          <w:lang w:bidi="he-IL"/>
        </w:rPr>
        <w:t>כל</w:t>
      </w:r>
      <w:r w:rsidR="00BE17EA" w:rsidRPr="00882F11">
        <w:rPr>
          <w:rFonts w:cs="Guttman Drogolin"/>
          <w:rtl/>
          <w:lang w:bidi="he-IL"/>
        </w:rPr>
        <w:t xml:space="preserve"> </w:t>
      </w:r>
      <w:r w:rsidR="00BE17EA" w:rsidRPr="00882F11">
        <w:rPr>
          <w:rFonts w:cs="Guttman Drogolin" w:hint="cs"/>
          <w:rtl/>
          <w:lang w:bidi="he-IL"/>
        </w:rPr>
        <w:t>החתיכות</w:t>
      </w:r>
      <w:r w:rsidR="00BE17EA" w:rsidRPr="00882F11">
        <w:rPr>
          <w:rFonts w:cs="Guttman Drogolin"/>
          <w:rtl/>
          <w:lang w:bidi="he-IL"/>
        </w:rPr>
        <w:t xml:space="preserve"> </w:t>
      </w:r>
      <w:r w:rsidR="00BE17EA" w:rsidRPr="00882F11">
        <w:rPr>
          <w:rFonts w:cs="Guttman Drogolin" w:hint="cs"/>
          <w:rtl/>
          <w:lang w:bidi="he-IL"/>
        </w:rPr>
        <w:t>כולן</w:t>
      </w:r>
      <w:r w:rsidR="00BE17EA" w:rsidRPr="00882F11">
        <w:rPr>
          <w:rFonts w:cs="Guttman Drogolin"/>
          <w:rtl/>
          <w:lang w:bidi="he-IL"/>
        </w:rPr>
        <w:t xml:space="preserve"> </w:t>
      </w:r>
      <w:r w:rsidR="00BE17EA" w:rsidRPr="00882F11">
        <w:rPr>
          <w:rFonts w:cs="Guttman Drogolin" w:hint="cs"/>
          <w:rtl/>
          <w:lang w:bidi="he-IL"/>
        </w:rPr>
        <w:t>מפני</w:t>
      </w:r>
      <w:r w:rsidR="00BE17EA" w:rsidRPr="00882F11">
        <w:rPr>
          <w:rFonts w:cs="Guttman Drogolin"/>
          <w:rtl/>
          <w:lang w:bidi="he-IL"/>
        </w:rPr>
        <w:t xml:space="preserve"> </w:t>
      </w:r>
      <w:r w:rsidR="00BE17EA" w:rsidRPr="00882F11">
        <w:rPr>
          <w:rFonts w:cs="Guttman Drogolin" w:hint="cs"/>
          <w:rtl/>
          <w:lang w:bidi="he-IL"/>
        </w:rPr>
        <w:t>שהן</w:t>
      </w:r>
      <w:r w:rsidR="00BE17EA" w:rsidRPr="00882F11">
        <w:rPr>
          <w:rFonts w:cs="Guttman Drogolin"/>
          <w:rtl/>
          <w:lang w:bidi="he-IL"/>
        </w:rPr>
        <w:t xml:space="preserve"> </w:t>
      </w:r>
      <w:r w:rsidR="00BE17EA" w:rsidRPr="00882F11">
        <w:rPr>
          <w:rFonts w:cs="Guttman Drogolin" w:hint="cs"/>
          <w:rtl/>
          <w:lang w:bidi="he-IL"/>
        </w:rPr>
        <w:t xml:space="preserve">מינה". והנה לשיטת רבינו אפרים לא נתחדש בסוגיא שלנו דין חענ"ן </w:t>
      </w:r>
      <w:r w:rsidR="00C40415" w:rsidRPr="00882F11">
        <w:rPr>
          <w:rFonts w:cs="Guttman Drogolin" w:hint="cs"/>
          <w:rtl/>
          <w:lang w:bidi="he-IL"/>
        </w:rPr>
        <w:t>כלל ו</w:t>
      </w:r>
      <w:r w:rsidR="00BE17EA" w:rsidRPr="00882F11">
        <w:rPr>
          <w:rFonts w:cs="Guttman Drogolin" w:hint="cs"/>
          <w:rtl/>
          <w:lang w:bidi="he-IL"/>
        </w:rPr>
        <w:t>אפילו אליבא דרב, וכל כוונת הגמ' היא לומר דכיון שנתן טעם בחתיכה הראשונה</w:t>
      </w:r>
      <w:r w:rsidR="00C40415" w:rsidRPr="00882F11">
        <w:rPr>
          <w:rFonts w:cs="Guttman Drogolin" w:hint="cs"/>
          <w:rtl/>
          <w:lang w:bidi="he-IL"/>
        </w:rPr>
        <w:t>,</w:t>
      </w:r>
      <w:r w:rsidR="00BE17EA" w:rsidRPr="00882F11">
        <w:rPr>
          <w:rFonts w:cs="Guttman Drogolin" w:hint="cs"/>
          <w:rtl/>
          <w:lang w:bidi="he-IL"/>
        </w:rPr>
        <w:t xml:space="preserve"> צריכים לש</w:t>
      </w:r>
      <w:r w:rsidR="001509DE" w:rsidRPr="00882F11">
        <w:rPr>
          <w:rFonts w:cs="Guttman Drogolin" w:hint="cs"/>
          <w:rtl/>
          <w:lang w:bidi="he-IL"/>
        </w:rPr>
        <w:t>ע</w:t>
      </w:r>
      <w:r w:rsidR="00BE17EA" w:rsidRPr="00882F11">
        <w:rPr>
          <w:rFonts w:cs="Guttman Drogolin" w:hint="cs"/>
          <w:rtl/>
          <w:lang w:bidi="he-IL"/>
        </w:rPr>
        <w:t>ר כנגד אותה חתיכה</w:t>
      </w:r>
      <w:r w:rsidR="008C7A98" w:rsidRPr="00882F11">
        <w:rPr>
          <w:rFonts w:cs="Guttman Drogolin" w:hint="cs"/>
          <w:rtl/>
          <w:lang w:bidi="he-IL"/>
        </w:rPr>
        <w:t xml:space="preserve"> נמי. וזה שצריכים לש</w:t>
      </w:r>
      <w:r w:rsidR="001509DE" w:rsidRPr="00882F11">
        <w:rPr>
          <w:rFonts w:cs="Guttman Drogolin" w:hint="cs"/>
          <w:rtl/>
          <w:lang w:bidi="he-IL"/>
        </w:rPr>
        <w:t>ע</w:t>
      </w:r>
      <w:r w:rsidR="008C7A98" w:rsidRPr="00882F11">
        <w:rPr>
          <w:rFonts w:cs="Guttman Drogolin" w:hint="cs"/>
          <w:rtl/>
          <w:lang w:bidi="he-IL"/>
        </w:rPr>
        <w:t>ר כנגד אותה חתיכה אינה שנוי' במחלוקת לפי פירושם של התוס', דהא מיירי בכה"ג שנתמעטה הנבילה אחרי שנתן טעם בחתיכת היתר, ופשיטא דלכו"ע בעינן כנגד שיעור החתיכת היתר שבלע מיני' (ואין לומר שיש מחלוקת אם צריכים ששים כנגד החתיכה אם בלע איסור שאין בה כדי נתינת טעם, דהא רב להחמיר בא). ויוצא שעיקר מה שהשיג רב אדרבב"ח הוא בזה שהחשיב את החתיכות של היתר בכלל החשבון של ששים לבטל טעם הנבילה, ומשום דרב סבר דמין במינו לא בטל, ורבב"ח סבר מין במינו בטל. ור"ל שכל מה שחל</w:t>
      </w:r>
      <w:r w:rsidR="00C40415" w:rsidRPr="00882F11">
        <w:rPr>
          <w:rFonts w:cs="Guttman Drogolin" w:hint="cs"/>
          <w:rtl/>
          <w:lang w:bidi="he-IL"/>
        </w:rPr>
        <w:t>ק</w:t>
      </w:r>
      <w:r w:rsidR="008C7A98" w:rsidRPr="00882F11">
        <w:rPr>
          <w:rFonts w:cs="Guttman Drogolin" w:hint="cs"/>
          <w:rtl/>
          <w:lang w:bidi="he-IL"/>
        </w:rPr>
        <w:t xml:space="preserve"> רב אדרבב"ח מונ</w:t>
      </w:r>
      <w:r w:rsidR="00C40415" w:rsidRPr="00882F11">
        <w:rPr>
          <w:rFonts w:cs="Guttman Drogolin" w:hint="cs"/>
          <w:rtl/>
          <w:lang w:bidi="he-IL"/>
        </w:rPr>
        <w:t>ח ב</w:t>
      </w:r>
      <w:r w:rsidR="008C7A98" w:rsidRPr="00882F11">
        <w:rPr>
          <w:rFonts w:cs="Guttman Drogolin" w:hint="cs"/>
          <w:rtl/>
          <w:lang w:bidi="he-IL"/>
        </w:rPr>
        <w:t>מה שהוסיף בסוף דבריו "מפני שהן מינה"</w:t>
      </w:r>
      <w:r w:rsidR="00C40415" w:rsidRPr="00882F11">
        <w:rPr>
          <w:rFonts w:cs="Guttman Drogolin" w:hint="cs"/>
          <w:rtl/>
          <w:lang w:bidi="he-IL"/>
        </w:rPr>
        <w:t>,</w:t>
      </w:r>
      <w:r w:rsidR="008C7A98" w:rsidRPr="00882F11">
        <w:rPr>
          <w:rFonts w:cs="Guttman Drogolin" w:hint="cs"/>
          <w:rtl/>
          <w:lang w:bidi="he-IL"/>
        </w:rPr>
        <w:t xml:space="preserve"> וכל מה שהוסיף רב ב'כיון וכו' הוא חידוש אגב אורחא</w:t>
      </w:r>
      <w:r w:rsidR="00C40415" w:rsidRPr="00882F11">
        <w:rPr>
          <w:rFonts w:cs="Guttman Drogolin" w:hint="cs"/>
          <w:rtl/>
          <w:lang w:bidi="he-IL"/>
        </w:rPr>
        <w:t>,</w:t>
      </w:r>
      <w:r w:rsidR="008C7A98" w:rsidRPr="00882F11">
        <w:rPr>
          <w:rFonts w:cs="Guttman Drogolin" w:hint="cs"/>
          <w:rtl/>
          <w:lang w:bidi="he-IL"/>
        </w:rPr>
        <w:t xml:space="preserve"> </w:t>
      </w:r>
      <w:r w:rsidR="00C40415" w:rsidRPr="00882F11">
        <w:rPr>
          <w:rFonts w:cs="Guttman Drogolin" w:hint="cs"/>
          <w:rtl/>
          <w:lang w:bidi="he-IL"/>
        </w:rPr>
        <w:t>ד</w:t>
      </w:r>
      <w:r w:rsidR="008C7A98" w:rsidRPr="00882F11">
        <w:rPr>
          <w:rFonts w:cs="Guttman Drogolin" w:hint="cs"/>
          <w:rtl/>
          <w:lang w:bidi="he-IL"/>
        </w:rPr>
        <w:t xml:space="preserve">רק אם נתן טעם בחתיכה שני' אוסרת כל החתיכות אבל בלי זה לא. </w:t>
      </w:r>
      <w:r w:rsidR="00C40415" w:rsidRPr="00882F11">
        <w:rPr>
          <w:rFonts w:cs="Guttman Drogolin" w:hint="cs"/>
          <w:rtl/>
          <w:lang w:bidi="he-IL"/>
        </w:rPr>
        <w:t>וכן מה שדנו משום החתיכת נבילה עצמה, לא שייך לעיקר המחלוקת בין רב לרבב"ח, רק שייך לחידוש דבעינן נתינת טעם, ור"ל דאע"ג שיש ששים כנג</w:t>
      </w:r>
      <w:r w:rsidR="000B0856" w:rsidRPr="00882F11">
        <w:rPr>
          <w:rFonts w:cs="Guttman Drogolin" w:hint="cs"/>
          <w:rtl/>
          <w:lang w:bidi="he-IL"/>
        </w:rPr>
        <w:t>ד</w:t>
      </w:r>
      <w:r w:rsidR="00C40415" w:rsidRPr="00882F11">
        <w:rPr>
          <w:rFonts w:cs="Guttman Drogolin" w:hint="cs"/>
          <w:rtl/>
          <w:lang w:bidi="he-IL"/>
        </w:rPr>
        <w:t xml:space="preserve"> הנבילה בשיעורו של עכשיו, מ"מ כיון שיש גם עוד חתיכות הא כולם ביחד נותנים טעם ולכן יש לאסור אפילו לא נתן טעם בחתיכה </w:t>
      </w:r>
      <w:r w:rsidR="00374478" w:rsidRPr="00882F11">
        <w:rPr>
          <w:rFonts w:cs="Guttman Drogolin" w:hint="cs"/>
          <w:rtl/>
          <w:lang w:bidi="he-IL"/>
        </w:rPr>
        <w:t>ה</w:t>
      </w:r>
      <w:r w:rsidR="00C40415" w:rsidRPr="00882F11">
        <w:rPr>
          <w:rFonts w:cs="Guttman Drogolin" w:hint="cs"/>
          <w:rtl/>
          <w:lang w:bidi="he-IL"/>
        </w:rPr>
        <w:t>שני</w:t>
      </w:r>
      <w:r w:rsidR="00374478" w:rsidRPr="00882F11">
        <w:rPr>
          <w:rFonts w:cs="Guttman Drogolin" w:hint="cs"/>
          <w:rtl/>
          <w:lang w:bidi="he-IL"/>
        </w:rPr>
        <w:t>'</w:t>
      </w:r>
      <w:r w:rsidR="00C40415" w:rsidRPr="00882F11">
        <w:rPr>
          <w:rFonts w:cs="Guttman Drogolin" w:hint="cs"/>
          <w:rtl/>
          <w:lang w:bidi="he-IL"/>
        </w:rPr>
        <w:t xml:space="preserve">. </w:t>
      </w:r>
      <w:r w:rsidR="008C7A98" w:rsidRPr="00882F11">
        <w:rPr>
          <w:rFonts w:cs="Guttman Drogolin" w:hint="cs"/>
          <w:rtl/>
          <w:lang w:bidi="he-IL"/>
        </w:rPr>
        <w:t xml:space="preserve">כל זה </w:t>
      </w:r>
      <w:r w:rsidR="00C40415" w:rsidRPr="00882F11">
        <w:rPr>
          <w:rFonts w:cs="Guttman Drogolin" w:hint="cs"/>
          <w:rtl/>
          <w:lang w:bidi="he-IL"/>
        </w:rPr>
        <w:t>יוצא לנו מדברי</w:t>
      </w:r>
      <w:r w:rsidR="008C7A98" w:rsidRPr="00882F11">
        <w:rPr>
          <w:rFonts w:cs="Guttman Drogolin" w:hint="cs"/>
          <w:rtl/>
          <w:lang w:bidi="he-IL"/>
        </w:rPr>
        <w:t xml:space="preserve"> התוס' והמהרש"א. </w:t>
      </w:r>
    </w:p>
    <w:p w:rsidR="00376D88" w:rsidRPr="00882F11" w:rsidRDefault="008C7A98" w:rsidP="007D1B0E">
      <w:pPr>
        <w:bidi/>
        <w:jc w:val="both"/>
        <w:rPr>
          <w:rFonts w:cs="Guttman Drogolin"/>
          <w:rtl/>
        </w:rPr>
      </w:pPr>
      <w:r w:rsidRPr="00882F11">
        <w:rPr>
          <w:rFonts w:cs="Guttman Drogolin" w:hint="cs"/>
          <w:rtl/>
          <w:lang w:bidi="he-IL"/>
        </w:rPr>
        <w:t>אמנם</w:t>
      </w:r>
      <w:r w:rsidR="00C40415" w:rsidRPr="00882F11">
        <w:rPr>
          <w:rFonts w:cs="Guttman Drogolin" w:hint="cs"/>
          <w:rtl/>
          <w:lang w:bidi="he-IL"/>
        </w:rPr>
        <w:t xml:space="preserve"> מדויק מדברי התוס' (וכמו שביאר המהרש"א שם) שלר"ת יש לומר כפשוטו, ויש מחלוקת בעצם זה ד'כיון וכו' חתיכה עצמה </w:t>
      </w:r>
      <w:r w:rsidR="00C40415" w:rsidRPr="00882F11">
        <w:rPr>
          <w:rFonts w:cs="Guttman Drogolin" w:hint="cs"/>
          <w:rtl/>
          <w:lang w:bidi="he-IL"/>
        </w:rPr>
        <w:lastRenderedPageBreak/>
        <w:t>נעשית נבילה וכו'".</w:t>
      </w:r>
      <w:r w:rsidR="008B3C5F" w:rsidRPr="00882F11">
        <w:rPr>
          <w:rFonts w:cs="Guttman Drogolin" w:hint="cs"/>
          <w:rtl/>
          <w:lang w:bidi="he-IL"/>
        </w:rPr>
        <w:t xml:space="preserve"> והיינו דחוץ מזה דרבב"ח ע"כ לא סבר דמין במינו לא בטל, דהא א"כ אי אפשר לצרף החתיכות של היתר לתערובת, גם סבר דלא אמרינן דחענ"ן. ויש לומר בזה משום א' מב' טעמים. או משום שבעלמא </w:t>
      </w:r>
      <w:r w:rsidR="00F81EA9" w:rsidRPr="00882F11">
        <w:rPr>
          <w:rFonts w:cs="Guttman Drogolin" w:hint="cs"/>
          <w:rtl/>
          <w:lang w:bidi="he-IL"/>
        </w:rPr>
        <w:t xml:space="preserve">נמי </w:t>
      </w:r>
      <w:r w:rsidR="008B3C5F" w:rsidRPr="00882F11">
        <w:rPr>
          <w:rFonts w:cs="Guttman Drogolin" w:hint="cs"/>
          <w:rtl/>
          <w:lang w:bidi="he-IL"/>
        </w:rPr>
        <w:t>לית לי' חענ"ן אפילו בבב"ח, וכמו י"א לקמן בדף ק"</w:t>
      </w:r>
      <w:r w:rsidR="00F81EA9" w:rsidRPr="00882F11">
        <w:rPr>
          <w:rFonts w:cs="Guttman Drogolin" w:hint="cs"/>
          <w:rtl/>
          <w:lang w:bidi="he-IL"/>
        </w:rPr>
        <w:t>ח</w:t>
      </w:r>
      <w:r w:rsidR="008B3C5F" w:rsidRPr="00882F11">
        <w:rPr>
          <w:rFonts w:cs="Guttman Drogolin" w:hint="cs"/>
          <w:rtl/>
          <w:lang w:bidi="he-IL"/>
        </w:rPr>
        <w:t>. או"ד דסבר שאמנם בבב"ח א</w:t>
      </w:r>
      <w:r w:rsidR="00F444DF" w:rsidRPr="00882F11">
        <w:rPr>
          <w:rFonts w:cs="Guttman Drogolin" w:hint="cs"/>
          <w:rtl/>
          <w:lang w:bidi="he-IL"/>
        </w:rPr>
        <w:t>ומרים חענ"ן, מ"מ רבב"ח סבר דבשאר</w:t>
      </w:r>
      <w:r w:rsidR="008B3C5F" w:rsidRPr="00882F11">
        <w:rPr>
          <w:rFonts w:cs="Guttman Drogolin" w:hint="cs"/>
          <w:rtl/>
          <w:lang w:bidi="he-IL"/>
        </w:rPr>
        <w:t xml:space="preserve"> איסורים אין חענ"ן, וכמו שסבר ר' אפרים למעשה.</w:t>
      </w:r>
      <w:r w:rsidR="00F81EA9" w:rsidRPr="00882F11">
        <w:rPr>
          <w:rFonts w:cs="Guttman Drogolin" w:hint="cs"/>
          <w:rtl/>
          <w:lang w:bidi="he-IL"/>
        </w:rPr>
        <w:t xml:space="preserve"> ומ"מ ראיתי מי שדקדק מדברי תוס' הרא"ש שגם אליבא דר"ת אין המחלוקת בין רבב"ח ורב אלא אי מין </w:t>
      </w:r>
      <w:r w:rsidR="00785ABC" w:rsidRPr="00882F11">
        <w:rPr>
          <w:rFonts w:cs="Guttman Drogolin" w:hint="cs"/>
          <w:rtl/>
          <w:lang w:bidi="he-IL"/>
        </w:rPr>
        <w:t>ב</w:t>
      </w:r>
      <w:r w:rsidR="00F81EA9" w:rsidRPr="00882F11">
        <w:rPr>
          <w:rFonts w:cs="Guttman Drogolin" w:hint="cs"/>
          <w:rtl/>
          <w:lang w:bidi="he-IL"/>
        </w:rPr>
        <w:t xml:space="preserve">מינו בטל או לא בטל, אבל </w:t>
      </w:r>
      <w:r w:rsidR="00785ABC" w:rsidRPr="00882F11">
        <w:rPr>
          <w:rFonts w:cs="Guttman Drogolin" w:hint="cs"/>
          <w:rtl/>
          <w:lang w:bidi="he-IL"/>
        </w:rPr>
        <w:t xml:space="preserve">בזה דחתיכה עצמה נעשת נבילה אם נתן בה טעם גם רבב"ח מודה. והיינו שפשט דברי הגמ' דרבב"ח מיירי בכה"ג שלא נתן הנבילה טעם בחתיכה ולכן כיון דמין במינו בטל, החתיכות של היתר מצטרפות לשיעור ששים. ורב פליג דלא מיבעי שהחתיכות של היתר אינן מצטרפות לבטל כיון דמין במינו לא בטל, אלא אפילו אם נתן טעם בחתיכה ג"כ הרי הוא </w:t>
      </w:r>
      <w:r w:rsidR="00F444DF" w:rsidRPr="00882F11">
        <w:rPr>
          <w:rFonts w:cs="Guttman Drogolin" w:hint="cs"/>
          <w:rtl/>
          <w:lang w:bidi="he-IL"/>
        </w:rPr>
        <w:t>א</w:t>
      </w:r>
      <w:r w:rsidR="00785ABC" w:rsidRPr="00882F11">
        <w:rPr>
          <w:rFonts w:cs="Guttman Drogolin" w:hint="cs"/>
          <w:rtl/>
          <w:lang w:bidi="he-IL"/>
        </w:rPr>
        <w:t xml:space="preserve">וסר את שאר החתיכות משום מין במינו.  </w:t>
      </w:r>
      <w:r w:rsidR="008B3C5F" w:rsidRPr="00882F11">
        <w:rPr>
          <w:rFonts w:cs="Guttman Drogolin" w:hint="cs"/>
          <w:rtl/>
          <w:lang w:bidi="he-IL"/>
        </w:rPr>
        <w:t xml:space="preserve"> </w:t>
      </w:r>
      <w:r w:rsidR="00C40415" w:rsidRPr="00882F11">
        <w:rPr>
          <w:rFonts w:cs="Guttman Drogolin" w:hint="cs"/>
          <w:rtl/>
          <w:lang w:bidi="he-IL"/>
        </w:rPr>
        <w:t xml:space="preserve"> </w:t>
      </w:r>
      <w:r w:rsidRPr="00882F11">
        <w:rPr>
          <w:rFonts w:cs="Guttman Drogolin" w:hint="cs"/>
          <w:rtl/>
          <w:lang w:bidi="he-IL"/>
        </w:rPr>
        <w:t xml:space="preserve">   </w:t>
      </w:r>
    </w:p>
    <w:p w:rsidR="007D1B0E" w:rsidRPr="00882F11" w:rsidRDefault="007D1B0E" w:rsidP="0078079C">
      <w:pPr>
        <w:pStyle w:val="Heading1"/>
        <w:bidi/>
        <w:spacing w:before="0" w:line="360" w:lineRule="auto"/>
        <w:jc w:val="center"/>
        <w:rPr>
          <w:rFonts w:cs="Guttman Drogolin"/>
          <w:color w:val="auto"/>
          <w:sz w:val="24"/>
          <w:szCs w:val="24"/>
          <w:u w:val="single"/>
          <w:rtl/>
          <w:lang w:bidi="he-IL"/>
        </w:rPr>
      </w:pPr>
      <w:bookmarkStart w:id="68" w:name="_Toc496175331"/>
      <w:r w:rsidRPr="00882F11">
        <w:rPr>
          <w:rFonts w:cs="Guttman Drogolin" w:hint="cs"/>
          <w:color w:val="auto"/>
          <w:sz w:val="24"/>
          <w:szCs w:val="24"/>
          <w:u w:val="single"/>
          <w:rtl/>
          <w:lang w:bidi="he-IL"/>
        </w:rPr>
        <w:t>שיטת ר"ת</w:t>
      </w:r>
      <w:bookmarkEnd w:id="68"/>
    </w:p>
    <w:p w:rsidR="007D1B0E" w:rsidRPr="00882F11" w:rsidRDefault="00E40D0C" w:rsidP="007D1B0E">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חענ</w:instrText>
      </w:r>
      <w:r w:rsidRPr="00882F11">
        <w:rPr>
          <w:rFonts w:eastAsiaTheme="minorEastAsia" w:cs="Guttman Drogolin"/>
          <w:lang w:bidi="he-IL"/>
        </w:rPr>
        <w:instrText>\</w:instrText>
      </w:r>
      <w:r w:rsidRPr="00882F11">
        <w:rPr>
          <w:rFonts w:cs="Guttman Drogolin" w:hint="cs"/>
          <w:rtl/>
          <w:lang w:bidi="he-IL"/>
        </w:rPr>
        <w:instrText>"ן</w:instrText>
      </w:r>
      <w:r w:rsidRPr="00882F11">
        <w:rPr>
          <w:rFonts w:cs="Guttman Drogolin"/>
          <w:rtl/>
        </w:rPr>
        <w:instrText>:</w:instrText>
      </w:r>
      <w:r w:rsidRPr="00882F11">
        <w:rPr>
          <w:rFonts w:cs="Guttman Drogolin" w:hint="cs"/>
          <w:rtl/>
          <w:lang w:bidi="he-IL"/>
        </w:rPr>
        <w:instrText>שיטת ר</w:instrText>
      </w:r>
      <w:r w:rsidRPr="00882F11">
        <w:rPr>
          <w:rFonts w:eastAsiaTheme="minorEastAsia" w:cs="Guttman Drogolin"/>
          <w:lang w:bidi="he-IL"/>
        </w:rPr>
        <w:instrText>\</w:instrText>
      </w:r>
      <w:r w:rsidRPr="00882F11">
        <w:rPr>
          <w:rFonts w:cs="Guttman Drogolin" w:hint="cs"/>
          <w:rtl/>
          <w:lang w:bidi="he-IL"/>
        </w:rPr>
        <w:instrText>"ת</w:instrText>
      </w:r>
      <w:r w:rsidRPr="00882F11">
        <w:rPr>
          <w:rFonts w:cs="Guttman Drogolin"/>
        </w:rPr>
        <w:instrText xml:space="preserve">" </w:instrText>
      </w:r>
      <w:r w:rsidRPr="00882F11">
        <w:rPr>
          <w:rFonts w:cs="Guttman Drogolin"/>
          <w:rtl/>
          <w:lang w:bidi="he-IL"/>
        </w:rPr>
        <w:fldChar w:fldCharType="end"/>
      </w:r>
      <w:r w:rsidR="007D1B0E" w:rsidRPr="00882F11">
        <w:rPr>
          <w:rFonts w:cs="Guttman Drogolin" w:hint="cs"/>
          <w:rtl/>
          <w:lang w:bidi="he-IL"/>
        </w:rPr>
        <w:t>והנה בגמ' מבואר שלשיטת רב, הא דהחתיכה שבלע טעם אוסרת את שאר החתיכות הוא מדינו דמין במינו לא בטל. ומ"מ הגמ' הדגישה דצריך להיות שהנבילה נתנה טעם בחתיכה השני'. ומשו"ה מקשים הראשונים למה בעינן לי' לזה שנתנה בה טעם, הא אפילו אם לא אסרה אלא במשהו הא אמרינן שהחתכה אסורה כיון שמין במינו לא בטל. וא"כ כיון שאסרה מדין במין במינו לא בטל, לכאורה אמרינן חענ"ן ויאסר את כל החתכות כולן מפני שהן מינה. וא"כ למה הי' צריך רב לומר שנתנה בה טעם.</w:t>
      </w:r>
      <w:r w:rsidR="00794EC6" w:rsidRPr="00882F11">
        <w:rPr>
          <w:rFonts w:cs="Guttman Drogolin" w:hint="cs"/>
          <w:rtl/>
          <w:lang w:bidi="he-IL"/>
        </w:rPr>
        <w:t xml:space="preserve"> והרמב"ן כתב בזה דאה"נ וטעם לאו דוקא נקט, רק דכיון דליכא אלא ב' חתיכות ע"כ מיירי בכה"ג שיש טעם. אבל שאר הראשונים נקטו שהוא בדוקא, ולכן צ"ע כנ"ל.</w:t>
      </w:r>
    </w:p>
    <w:p w:rsidR="007D1B0E" w:rsidRPr="00882F11" w:rsidRDefault="007D1B0E" w:rsidP="007D1B0E">
      <w:pPr>
        <w:bidi/>
        <w:jc w:val="both"/>
        <w:rPr>
          <w:rFonts w:cs="Guttman Drogolin"/>
          <w:rtl/>
          <w:lang w:bidi="he-IL"/>
        </w:rPr>
      </w:pPr>
      <w:r w:rsidRPr="00882F11">
        <w:rPr>
          <w:rFonts w:cs="Guttman Drogolin" w:hint="cs"/>
          <w:rtl/>
          <w:lang w:bidi="he-IL"/>
        </w:rPr>
        <w:t xml:space="preserve">ותי' ר"ת שאמנם חתיכה נאסרת ע"י משהו ואינו צריך נתינת טעם, מ"מ לא אמרינן חענ"ן לאסור </w:t>
      </w:r>
      <w:r w:rsidRPr="00882F11">
        <w:rPr>
          <w:rFonts w:cs="Guttman Drogolin" w:hint="cs"/>
          <w:rtl/>
          <w:lang w:bidi="he-IL"/>
        </w:rPr>
        <w:lastRenderedPageBreak/>
        <w:t>את שאר החתיכות ע"י משהו. אלא שעצם זה צריך עיון למה יהא הדין כן, הא החתיכה השני' אסורה וא"כ לימא חענ"ן. והנה כבר הבאנו שיש מדייקים מתוס' דסבר שאם אומרים חענ"ן בשאר איסורים הרי זה דין דאורייתא. והבאנו בשם כמה מגדולי האחרונים שפירשו שמקור הדבר הוא מן השיטה שסוברת שמן הגזה"כ דטכ"ע אמרינן שנהפך ההיתר להיות איסור. וא"כ לכאורה פשוט שאי אפשר לומר חענ"ן בשאר איסורים מדאורייתא אא"כ נתן בה טעם, דהא רק בטכ"ע אמרו נהפך ולא בדינא דמין במינו לא בטל. וא"כ פשוט שלא אומרים חענ"ן בשאר איסורים אם לא נתן בה טעם.</w:t>
      </w:r>
    </w:p>
    <w:p w:rsidR="00281780" w:rsidRPr="00882F11" w:rsidRDefault="007D1B0E" w:rsidP="00281780">
      <w:pPr>
        <w:bidi/>
        <w:jc w:val="both"/>
        <w:rPr>
          <w:rFonts w:cs="Guttman Drogolin"/>
          <w:rtl/>
          <w:lang w:bidi="he-IL"/>
        </w:rPr>
      </w:pPr>
      <w:r w:rsidRPr="00882F11">
        <w:rPr>
          <w:rFonts w:cs="Guttman Drogolin" w:hint="cs"/>
          <w:rtl/>
          <w:lang w:bidi="he-IL"/>
        </w:rPr>
        <w:t>אלא שנראה קשה לומר כן בשיטת התוס', דא"כ מאי ס"ד דתיקשי. וכן מבואר לשיטת ר' אפרים שאילו היינו אומרים חענ"</w:t>
      </w:r>
      <w:r w:rsidR="00281780" w:rsidRPr="00882F11">
        <w:rPr>
          <w:rFonts w:cs="Guttman Drogolin" w:hint="cs"/>
          <w:rtl/>
          <w:lang w:bidi="he-IL"/>
        </w:rPr>
        <w:t>ן בשאר איסורים היינו</w:t>
      </w:r>
      <w:r w:rsidRPr="00882F11">
        <w:rPr>
          <w:rFonts w:cs="Guttman Drogolin" w:hint="cs"/>
          <w:rtl/>
          <w:lang w:bidi="he-IL"/>
        </w:rPr>
        <w:t xml:space="preserve"> אומרים כן גם </w:t>
      </w:r>
      <w:r w:rsidR="00281780" w:rsidRPr="00882F11">
        <w:rPr>
          <w:rFonts w:cs="Guttman Drogolin" w:hint="cs"/>
          <w:rtl/>
          <w:lang w:bidi="he-IL"/>
        </w:rPr>
        <w:t>בדבר הנאסר ע"י משהו. ולכאורה א"כ מבואר א' מהשתים, או שהתוס' באמת סוברים שחענ"ן בשאר איסורים אינו אלא מדרבנן, או"ד שהוא מדאורייתא אבל ממקור אחר (ובאמת מעצם שיטת הר"א ממיץ</w:t>
      </w:r>
      <w:r w:rsidRPr="00882F11">
        <w:rPr>
          <w:rFonts w:cs="Guttman Drogolin" w:hint="cs"/>
          <w:rtl/>
          <w:lang w:bidi="he-IL"/>
        </w:rPr>
        <w:t xml:space="preserve"> </w:t>
      </w:r>
      <w:r w:rsidR="00281780" w:rsidRPr="00882F11">
        <w:rPr>
          <w:rFonts w:cs="Guttman Drogolin" w:hint="cs"/>
          <w:rtl/>
          <w:lang w:bidi="he-IL"/>
        </w:rPr>
        <w:t>שאין אומרי חענ"ן בחצי חתיכה מבואר שאינו אלא מדרבנן, דהא מדאורייתא איזה חילוק יש). ואי הוי מדרבנן יש דיחויים לראי' מסוף דברי התוס' וכמש"נ לעיל.</w:t>
      </w:r>
    </w:p>
    <w:p w:rsidR="00281780" w:rsidRPr="00882F11" w:rsidRDefault="00281780" w:rsidP="0071635F">
      <w:pPr>
        <w:bidi/>
        <w:jc w:val="both"/>
        <w:rPr>
          <w:rFonts w:cs="Guttman Drogolin"/>
          <w:rtl/>
          <w:lang w:bidi="he-IL"/>
        </w:rPr>
      </w:pPr>
      <w:r w:rsidRPr="00882F11">
        <w:rPr>
          <w:rFonts w:cs="Guttman Drogolin" w:hint="cs"/>
          <w:rtl/>
          <w:lang w:bidi="he-IL"/>
        </w:rPr>
        <w:t>אמנם לכאורה י"ל בדומה לזה, וכן מבואר מכמה מגדולי האחרונים</w:t>
      </w:r>
      <w:r w:rsidR="00274163" w:rsidRPr="00882F11">
        <w:rPr>
          <w:rFonts w:cs="Guttman Drogolin" w:hint="cs"/>
          <w:rtl/>
          <w:lang w:bidi="he-IL"/>
        </w:rPr>
        <w:t xml:space="preserve"> (ע' כרו"פ סי' צ"ב ס"ק י', מש"ז סי' ס"ט ס"ק י"ט, סי' צ"ב ס"ק ט"ז)</w:t>
      </w:r>
      <w:r w:rsidRPr="00882F11">
        <w:rPr>
          <w:rFonts w:cs="Guttman Drogolin" w:hint="cs"/>
          <w:rtl/>
          <w:lang w:bidi="he-IL"/>
        </w:rPr>
        <w:t xml:space="preserve">. והוא דלעולם חענ"ן בשאר איסורים אינו אלא מדרבנן. אבל הגזרה הרי היתה אטו בב"ח. וליכא איסורא דבב"ח אא"כ נתן א' טעם בשני. וא"כ גם בשאר איסורים, אע"ג דמשכחת לה שא' אוסר את השני אפילו בלי נתינת טעם, מ"מ הדין חענ"ן לא נאמר אלא כשנתן בה טעם. וא"כ לכאורה שפיר מובן מה היתה ההו"א לומר חענ"ן גם כשנאסר </w:t>
      </w:r>
      <w:r w:rsidR="0071635F" w:rsidRPr="00882F11">
        <w:rPr>
          <w:rFonts w:cs="Guttman Drogolin" w:hint="cs"/>
          <w:rtl/>
          <w:lang w:bidi="he-IL"/>
        </w:rPr>
        <w:t xml:space="preserve">ע"י </w:t>
      </w:r>
      <w:r w:rsidR="0071635F" w:rsidRPr="00882F11">
        <w:rPr>
          <w:rFonts w:cs="Guttman Drogolin" w:hint="cs"/>
          <w:rtl/>
          <w:lang w:bidi="he-IL"/>
        </w:rPr>
        <w:lastRenderedPageBreak/>
        <w:t>משהו, והיינו שהיינו אומרים ש</w:t>
      </w:r>
      <w:r w:rsidRPr="00882F11">
        <w:rPr>
          <w:rFonts w:cs="Guttman Drogolin" w:hint="cs"/>
          <w:rtl/>
          <w:lang w:bidi="he-IL"/>
        </w:rPr>
        <w:t>א</w:t>
      </w:r>
      <w:r w:rsidR="0071635F" w:rsidRPr="00882F11">
        <w:rPr>
          <w:rFonts w:cs="Guttman Drogolin" w:hint="cs"/>
          <w:rtl/>
          <w:lang w:bidi="he-IL"/>
        </w:rPr>
        <w:t>ם</w:t>
      </w:r>
      <w:r w:rsidRPr="00882F11">
        <w:rPr>
          <w:rFonts w:cs="Guttman Drogolin" w:hint="cs"/>
          <w:rtl/>
          <w:lang w:bidi="he-IL"/>
        </w:rPr>
        <w:t xml:space="preserve"> שגזרו חענ"ן בשאר איסורים לא חילקו בין נאסר ע"י טעם או ע"י משהו. וקמ"ל ר"ת שלא גזרו אלא ע"י נתינת טעם וכנ"ל</w:t>
      </w:r>
      <w:r w:rsidR="00274163" w:rsidRPr="00882F11">
        <w:rPr>
          <w:rStyle w:val="FootnoteReference"/>
          <w:rFonts w:cs="Guttman Drogolin"/>
          <w:rtl/>
          <w:lang w:bidi="he-IL"/>
        </w:rPr>
        <w:footnoteReference w:id="78"/>
      </w:r>
      <w:r w:rsidRPr="00882F11">
        <w:rPr>
          <w:rFonts w:cs="Guttman Drogolin" w:hint="cs"/>
          <w:rtl/>
          <w:lang w:bidi="he-IL"/>
        </w:rPr>
        <w:t>.</w:t>
      </w:r>
    </w:p>
    <w:p w:rsidR="0071087E" w:rsidRPr="00882F11" w:rsidRDefault="00281780" w:rsidP="002425B2">
      <w:pPr>
        <w:bidi/>
        <w:jc w:val="both"/>
        <w:rPr>
          <w:rFonts w:cs="Guttman Drogolin"/>
          <w:rtl/>
          <w:lang w:bidi="he-IL"/>
        </w:rPr>
      </w:pPr>
      <w:r w:rsidRPr="00882F11">
        <w:rPr>
          <w:rFonts w:cs="Guttman Drogolin" w:hint="cs"/>
          <w:rtl/>
          <w:lang w:bidi="he-IL"/>
        </w:rPr>
        <w:t xml:space="preserve">ויש בזה פירוש אחר מרע"א. וקודם כל צריכים להקדים דברי התוס' לעיל בדף צ"ו ע"ב, שהם סוברים שאפילו במקום </w:t>
      </w:r>
      <w:r w:rsidR="002425B2" w:rsidRPr="00882F11">
        <w:rPr>
          <w:rFonts w:cs="Guttman Drogolin" w:hint="cs"/>
          <w:rtl/>
          <w:lang w:bidi="he-IL"/>
        </w:rPr>
        <w:t>שאומרים</w:t>
      </w:r>
      <w:r w:rsidRPr="00882F11">
        <w:rPr>
          <w:rFonts w:cs="Guttman Drogolin" w:hint="cs"/>
          <w:rtl/>
          <w:lang w:bidi="he-IL"/>
        </w:rPr>
        <w:t xml:space="preserve"> חענ"ן, מ"מ </w:t>
      </w:r>
      <w:r w:rsidR="009642DC" w:rsidRPr="00882F11">
        <w:rPr>
          <w:rFonts w:cs="Guttman Drogolin" w:hint="cs"/>
          <w:rtl/>
          <w:lang w:bidi="he-IL"/>
        </w:rPr>
        <w:t>אין ה</w:t>
      </w:r>
      <w:r w:rsidR="002425B2" w:rsidRPr="00882F11">
        <w:rPr>
          <w:rFonts w:cs="Guttman Drogolin" w:hint="cs"/>
          <w:rtl/>
          <w:lang w:bidi="he-IL"/>
        </w:rPr>
        <w:t>נ</w:t>
      </w:r>
      <w:r w:rsidR="009642DC" w:rsidRPr="00882F11">
        <w:rPr>
          <w:rFonts w:cs="Guttman Drogolin" w:hint="cs"/>
          <w:rtl/>
          <w:lang w:bidi="he-IL"/>
        </w:rPr>
        <w:t>אסר אוסר במקום ש</w:t>
      </w:r>
      <w:r w:rsidR="002425B2" w:rsidRPr="00882F11">
        <w:rPr>
          <w:rFonts w:cs="Guttman Drogolin" w:hint="cs"/>
          <w:rtl/>
          <w:lang w:bidi="he-IL"/>
        </w:rPr>
        <w:t xml:space="preserve">אין </w:t>
      </w:r>
      <w:r w:rsidR="009642DC" w:rsidRPr="00882F11">
        <w:rPr>
          <w:rFonts w:cs="Guttman Drogolin" w:hint="cs"/>
          <w:rtl/>
          <w:lang w:bidi="he-IL"/>
        </w:rPr>
        <w:t xml:space="preserve">האיסור </w:t>
      </w:r>
      <w:r w:rsidR="002425B2" w:rsidRPr="00882F11">
        <w:rPr>
          <w:rFonts w:cs="Guttman Drogolin" w:hint="cs"/>
          <w:rtl/>
          <w:lang w:bidi="he-IL"/>
        </w:rPr>
        <w:t>יכול לה</w:t>
      </w:r>
      <w:r w:rsidR="009642DC" w:rsidRPr="00882F11">
        <w:rPr>
          <w:rFonts w:cs="Guttman Drogolin" w:hint="cs"/>
          <w:rtl/>
          <w:lang w:bidi="he-IL"/>
        </w:rPr>
        <w:t xml:space="preserve">תפשט. </w:t>
      </w:r>
      <w:r w:rsidR="00ED528A" w:rsidRPr="00882F11">
        <w:rPr>
          <w:rFonts w:cs="Guttman Drogolin" w:hint="cs"/>
          <w:rtl/>
          <w:lang w:bidi="he-IL"/>
        </w:rPr>
        <w:t>והיינו שאם ח</w:t>
      </w:r>
      <w:r w:rsidR="00112D74" w:rsidRPr="00882F11">
        <w:rPr>
          <w:rFonts w:cs="Guttman Drogolin" w:hint="cs"/>
          <w:rtl/>
          <w:lang w:bidi="he-IL"/>
        </w:rPr>
        <w:t>תיכה בשר שמן בלע דם, והשומן יוכל להתפשט יותר מן הדם כיון שהוא מפעפע, מ"מ אין השומן אוסר במקום שהוא יכול להתפשט בלי הדם אע"ג שהשומן נעשה נבילה. ויסוד הדבר לכאורה מבואר מתוס' בדף קי"ב, דשם מבואר שאפילו בכה"ג דאמרינן חענ"ן, אין החתיכה נעשה נבילה אלא כל זמן שיש משהו של האיסור שנבלע בו. ור"ל שהכלל של מענן אומר לנו דנהי נמי שהאיסור שנבלע בו מעיקרא ונתן בה טעם כבר מעכשיו אינו נותן טעם, מ"מ אומר לנו הכלל דחענ"ן שהחתיכה נשארת באיסורה. אבל אם נסחט ממנו כל הטעם שנבלע בו מעיקרא אז אפילו למ"ד חענ"ן חזר החתיכה להיתירו הראשון. ונראה לפום ריהטא טעמו של דבר</w:t>
      </w:r>
      <w:r w:rsidR="0071087E" w:rsidRPr="00882F11">
        <w:rPr>
          <w:rFonts w:cs="Guttman Drogolin" w:hint="cs"/>
          <w:rtl/>
          <w:lang w:bidi="he-IL"/>
        </w:rPr>
        <w:t>, שסוברים התוס' שהכלל של חענ"ן אינו אומר לנו שהחתיכה של איסור נהפכה להיות חתיכה של איסור ממש. רק הכלל של חענ"ן אומר לנו</w:t>
      </w:r>
      <w:r w:rsidR="00112D74" w:rsidRPr="00882F11">
        <w:rPr>
          <w:rFonts w:cs="Guttman Drogolin" w:hint="cs"/>
          <w:rtl/>
          <w:lang w:bidi="he-IL"/>
        </w:rPr>
        <w:t xml:space="preserve"> </w:t>
      </w:r>
      <w:r w:rsidR="0071087E" w:rsidRPr="00882F11">
        <w:rPr>
          <w:rFonts w:cs="Guttman Drogolin" w:hint="cs"/>
          <w:rtl/>
          <w:lang w:bidi="he-IL"/>
        </w:rPr>
        <w:t>שהאיסור שאסרו מעיקרו משום שנתן בה טעם עדיין אוסרת אותו כל זמן שהוא בחתיכה</w:t>
      </w:r>
      <w:bookmarkStart w:id="69" w:name="_Ref458604175"/>
      <w:r w:rsidR="002425B2" w:rsidRPr="00882F11">
        <w:rPr>
          <w:rStyle w:val="FootnoteReference"/>
          <w:rFonts w:cs="Guttman Drogolin"/>
          <w:rtl/>
          <w:lang w:bidi="he-IL"/>
        </w:rPr>
        <w:footnoteReference w:id="79"/>
      </w:r>
      <w:bookmarkEnd w:id="69"/>
      <w:r w:rsidR="0071087E" w:rsidRPr="00882F11">
        <w:rPr>
          <w:rFonts w:cs="Guttman Drogolin" w:hint="cs"/>
          <w:rtl/>
          <w:lang w:bidi="he-IL"/>
        </w:rPr>
        <w:t>. ולכן אם נסחט ממנו מכל וכל חזר להיתירו הראשון. וכן ע"פ זה מובן הכלל דאין הנאסר אוסר במקום שהאיסור אינו יכול להתפשט.</w:t>
      </w:r>
    </w:p>
    <w:p w:rsidR="0071087E" w:rsidRPr="00882F11" w:rsidRDefault="0071087E" w:rsidP="001509DE">
      <w:pPr>
        <w:bidi/>
        <w:jc w:val="both"/>
        <w:rPr>
          <w:rFonts w:cs="Guttman Drogolin"/>
          <w:rtl/>
          <w:lang w:bidi="he-IL"/>
        </w:rPr>
      </w:pPr>
      <w:r w:rsidRPr="00882F11">
        <w:rPr>
          <w:rFonts w:cs="Guttman Drogolin" w:hint="cs"/>
          <w:rtl/>
          <w:lang w:bidi="he-IL"/>
        </w:rPr>
        <w:t xml:space="preserve">וע"פ הכלל הזה כתב רע"א </w:t>
      </w:r>
      <w:r w:rsidR="00763F51" w:rsidRPr="00882F11">
        <w:rPr>
          <w:rFonts w:cs="Guttman Drogolin" w:hint="cs"/>
          <w:rtl/>
          <w:lang w:bidi="he-IL"/>
        </w:rPr>
        <w:t xml:space="preserve">בשם הפלתי, </w:t>
      </w:r>
      <w:r w:rsidRPr="00882F11">
        <w:rPr>
          <w:rFonts w:cs="Guttman Drogolin" w:hint="cs"/>
          <w:rtl/>
          <w:lang w:bidi="he-IL"/>
        </w:rPr>
        <w:t xml:space="preserve">שנראה שר"ת סבר כמו יסוד המבואר ברשב"א שמשהו שנבלע בחתיכה </w:t>
      </w:r>
      <w:r w:rsidR="0071635F" w:rsidRPr="00882F11">
        <w:rPr>
          <w:rFonts w:cs="Guttman Drogolin" w:hint="cs"/>
          <w:rtl/>
          <w:lang w:bidi="he-IL"/>
        </w:rPr>
        <w:t>א</w:t>
      </w:r>
      <w:r w:rsidRPr="00882F11">
        <w:rPr>
          <w:rFonts w:cs="Guttman Drogolin" w:hint="cs"/>
          <w:rtl/>
          <w:lang w:bidi="he-IL"/>
        </w:rPr>
        <w:t xml:space="preserve">ינו יכול לצאת מן החתיכה. וכיון שכן ממילא אין החתיכה שנאסרה ונעשית </w:t>
      </w:r>
      <w:r w:rsidRPr="00882F11">
        <w:rPr>
          <w:rFonts w:cs="Guttman Drogolin" w:hint="cs"/>
          <w:rtl/>
          <w:lang w:bidi="he-IL"/>
        </w:rPr>
        <w:lastRenderedPageBreak/>
        <w:t>נבלה יכול לאסור דברים אחרים משום מינה ולא צריכים לש</w:t>
      </w:r>
      <w:r w:rsidR="001509DE" w:rsidRPr="00882F11">
        <w:rPr>
          <w:rFonts w:cs="Guttman Drogolin" w:hint="cs"/>
          <w:rtl/>
          <w:lang w:bidi="he-IL"/>
        </w:rPr>
        <w:t>ע</w:t>
      </w:r>
      <w:r w:rsidRPr="00882F11">
        <w:rPr>
          <w:rFonts w:cs="Guttman Drogolin" w:hint="cs"/>
          <w:rtl/>
          <w:lang w:bidi="he-IL"/>
        </w:rPr>
        <w:t>ר כנגד כולה דהא אין הנאסר אוסר במקום שהאיסור אינו יכול להתפשט.</w:t>
      </w:r>
    </w:p>
    <w:p w:rsidR="00C62EDE" w:rsidRPr="00882F11" w:rsidRDefault="00C62EDE" w:rsidP="00C62EDE">
      <w:pPr>
        <w:bidi/>
        <w:jc w:val="both"/>
        <w:rPr>
          <w:rFonts w:cs="Guttman Drogolin"/>
          <w:rtl/>
          <w:lang w:bidi="he-IL"/>
        </w:rPr>
      </w:pPr>
      <w:r w:rsidRPr="00882F11">
        <w:rPr>
          <w:rFonts w:cs="Guttman Drogolin" w:hint="cs"/>
          <w:rtl/>
          <w:lang w:bidi="he-IL"/>
        </w:rPr>
        <w:t>אלא שקשה לפי' זה, דא"כ בתערובת של לח בלח, הא פשיטא שהמשהו של איסור לח מתפשט ביחד עם ההיתר לח, וע"כ הכלל של הרשב"א לא נאמר אלא במשהו של איסור שנבלע בחתיכה. וא"כ לכאורה לא הי' שייך לומר הכלל של ר"ת בתערובת של לח בלח. ובתוס' מבואר דאמרינן לי' לכלל זה גם בתערובת של לח בלח. וצ"ע</w:t>
      </w:r>
      <w:r w:rsidR="00274163" w:rsidRPr="00882F11">
        <w:rPr>
          <w:rStyle w:val="FootnoteReference"/>
          <w:rFonts w:cs="Guttman Drogolin"/>
          <w:rtl/>
          <w:lang w:bidi="he-IL"/>
        </w:rPr>
        <w:footnoteReference w:id="80"/>
      </w:r>
      <w:r w:rsidRPr="00882F11">
        <w:rPr>
          <w:rFonts w:cs="Guttman Drogolin" w:hint="cs"/>
          <w:rtl/>
          <w:lang w:bidi="he-IL"/>
        </w:rPr>
        <w:t>.</w:t>
      </w:r>
    </w:p>
    <w:p w:rsidR="00C62EDE" w:rsidRPr="00882F11" w:rsidRDefault="00C62EDE" w:rsidP="0078079C">
      <w:pPr>
        <w:pStyle w:val="Heading1"/>
        <w:bidi/>
        <w:spacing w:before="0" w:line="360" w:lineRule="auto"/>
        <w:jc w:val="center"/>
        <w:rPr>
          <w:rFonts w:cs="Guttman Drogolin"/>
          <w:color w:val="auto"/>
          <w:sz w:val="24"/>
          <w:szCs w:val="24"/>
          <w:u w:val="single"/>
          <w:rtl/>
          <w:lang w:bidi="he-IL"/>
        </w:rPr>
      </w:pPr>
      <w:bookmarkStart w:id="70" w:name="_Toc496175332"/>
      <w:r w:rsidRPr="00882F11">
        <w:rPr>
          <w:rFonts w:cs="Guttman Drogolin" w:hint="cs"/>
          <w:color w:val="auto"/>
          <w:sz w:val="24"/>
          <w:szCs w:val="24"/>
          <w:u w:val="single"/>
          <w:rtl/>
          <w:lang w:bidi="he-IL"/>
        </w:rPr>
        <w:t>שאלת התוס' מתערובת יין ומים</w:t>
      </w:r>
      <w:bookmarkEnd w:id="70"/>
    </w:p>
    <w:p w:rsidR="009815B7" w:rsidRPr="00882F11" w:rsidRDefault="00C62EDE" w:rsidP="0071635F">
      <w:pPr>
        <w:bidi/>
        <w:jc w:val="both"/>
        <w:rPr>
          <w:rFonts w:cs="Guttman Drogolin"/>
          <w:rtl/>
        </w:rPr>
      </w:pPr>
      <w:r w:rsidRPr="00882F11">
        <w:rPr>
          <w:rFonts w:cs="Guttman Drogolin" w:hint="cs"/>
          <w:rtl/>
          <w:lang w:bidi="he-IL"/>
        </w:rPr>
        <w:t xml:space="preserve">התוס' מקשיים לשיטת ר"ת למה בתערובת של יין נסך ויין כשר, ונפל מים לבסוף, לא אמירנן חענ"ן ואין המים יכול להתיר. ותוס' כתבו להתיר מעיקרא מן הכלל של ר"ת שדבר שנאסר משום משהו לא אמרינן חענ"ן, אלא שדחו שהא בנד"ד היא עצמה נאסרה במשהו, ולכאורה גם לר"ת ההי' צריך להשאר באיסורו. והתוס' דחו דמ"מ י"ל דסבר </w:t>
      </w:r>
      <w:r w:rsidR="00DC784B">
        <w:rPr>
          <w:rFonts w:cs="Guttman Drogolin" w:hint="cs"/>
          <w:rtl/>
          <w:lang w:bidi="he-IL"/>
        </w:rPr>
        <w:t>אפשר לסוחטו</w:t>
      </w:r>
      <w:r w:rsidRPr="00882F11">
        <w:rPr>
          <w:rFonts w:cs="Guttman Drogolin" w:hint="cs"/>
          <w:rtl/>
          <w:lang w:bidi="he-IL"/>
        </w:rPr>
        <w:t xml:space="preserve"> מותר. ונחלקו האחרונים בביאור כוונתו. רע"א למד שכוונתם לומר דסבר כמ"ד </w:t>
      </w:r>
      <w:r w:rsidR="00DC784B">
        <w:rPr>
          <w:rFonts w:cs="Guttman Drogolin" w:hint="cs"/>
          <w:rtl/>
          <w:lang w:bidi="he-IL"/>
        </w:rPr>
        <w:t>אפשר לסוחטו</w:t>
      </w:r>
      <w:r w:rsidRPr="00882F11">
        <w:rPr>
          <w:rFonts w:cs="Guttman Drogolin" w:hint="cs"/>
          <w:rtl/>
          <w:lang w:bidi="he-IL"/>
        </w:rPr>
        <w:t xml:space="preserve"> מותר, ותמה על זה דהא מפורש לקמן דר"י סבר אפשר לס</w:t>
      </w:r>
      <w:r w:rsidR="0071635F" w:rsidRPr="00882F11">
        <w:rPr>
          <w:rFonts w:cs="Guttman Drogolin" w:hint="cs"/>
          <w:rtl/>
          <w:lang w:bidi="he-IL"/>
        </w:rPr>
        <w:t>ו</w:t>
      </w:r>
      <w:r w:rsidRPr="00882F11">
        <w:rPr>
          <w:rFonts w:cs="Guttman Drogolin" w:hint="cs"/>
          <w:rtl/>
          <w:lang w:bidi="he-IL"/>
        </w:rPr>
        <w:t xml:space="preserve">חטו </w:t>
      </w:r>
      <w:r w:rsidR="0071635F" w:rsidRPr="00882F11">
        <w:rPr>
          <w:rFonts w:cs="Guttman Drogolin" w:hint="cs"/>
          <w:rtl/>
          <w:lang w:bidi="he-IL"/>
        </w:rPr>
        <w:t>אסור</w:t>
      </w:r>
      <w:r w:rsidRPr="00882F11">
        <w:rPr>
          <w:rFonts w:cs="Guttman Drogolin" w:hint="cs"/>
          <w:rtl/>
          <w:lang w:bidi="he-IL"/>
        </w:rPr>
        <w:t>. ובהגהות מהר"י לנדא ועוד אחרונים פירשו דיתכן לר"ת דאע"ג ד</w:t>
      </w:r>
      <w:r w:rsidR="00DC784B">
        <w:rPr>
          <w:rFonts w:cs="Guttman Drogolin" w:hint="cs"/>
          <w:rtl/>
          <w:lang w:bidi="he-IL"/>
        </w:rPr>
        <w:t>אפשר לסוחטו</w:t>
      </w:r>
      <w:r w:rsidRPr="00882F11">
        <w:rPr>
          <w:rFonts w:cs="Guttman Drogolin" w:hint="cs"/>
          <w:rtl/>
          <w:lang w:bidi="he-IL"/>
        </w:rPr>
        <w:t xml:space="preserve"> אסור, מ"מ לא אמרינן </w:t>
      </w:r>
      <w:r w:rsidR="00DC784B">
        <w:rPr>
          <w:rFonts w:cs="Guttman Drogolin" w:hint="cs"/>
          <w:rtl/>
          <w:lang w:bidi="he-IL"/>
        </w:rPr>
        <w:t>אפשר לסוחטו</w:t>
      </w:r>
      <w:r w:rsidRPr="00882F11">
        <w:rPr>
          <w:rFonts w:cs="Guttman Drogolin" w:hint="cs"/>
          <w:rtl/>
          <w:lang w:bidi="he-IL"/>
        </w:rPr>
        <w:t xml:space="preserve"> אסור בדבר שלא נאסר אלא ע"י משהו. ויל"ע מהו יסוד המחלוקת בזה.                    </w:t>
      </w:r>
      <w:r w:rsidR="0071087E" w:rsidRPr="00882F11">
        <w:rPr>
          <w:rFonts w:cs="Guttman Drogolin" w:hint="cs"/>
          <w:rtl/>
          <w:lang w:bidi="he-IL"/>
        </w:rPr>
        <w:t xml:space="preserve"> </w:t>
      </w:r>
      <w:r w:rsidR="00281780" w:rsidRPr="00882F11">
        <w:rPr>
          <w:rFonts w:cs="Guttman Drogolin" w:hint="cs"/>
          <w:rtl/>
          <w:lang w:bidi="he-IL"/>
        </w:rPr>
        <w:t xml:space="preserve">             </w:t>
      </w:r>
      <w:r w:rsidR="007D1B0E" w:rsidRPr="00882F11">
        <w:rPr>
          <w:rFonts w:cs="Guttman Drogolin" w:hint="cs"/>
          <w:rtl/>
          <w:lang w:bidi="he-IL"/>
        </w:rPr>
        <w:t xml:space="preserve"> </w:t>
      </w:r>
      <w:r w:rsidR="00BD6DD8" w:rsidRPr="00882F11">
        <w:rPr>
          <w:rFonts w:cs="Guttman Drogolin" w:hint="cs"/>
          <w:rtl/>
          <w:lang w:bidi="he-IL"/>
        </w:rPr>
        <w:t xml:space="preserve"> </w:t>
      </w:r>
      <w:r w:rsidR="009815B7" w:rsidRPr="00882F11">
        <w:rPr>
          <w:rFonts w:cs="Guttman Drogolin" w:hint="cs"/>
          <w:rtl/>
          <w:lang w:bidi="he-IL"/>
        </w:rPr>
        <w:t xml:space="preserve"> </w:t>
      </w:r>
    </w:p>
    <w:p w:rsidR="00B20FDB" w:rsidRPr="00882F11" w:rsidRDefault="00B20FDB" w:rsidP="00AE25D0">
      <w:pPr>
        <w:bidi/>
        <w:jc w:val="both"/>
        <w:rPr>
          <w:rFonts w:cs="Guttman Drogolin"/>
          <w:rtl/>
          <w:lang w:bidi="he-IL"/>
        </w:rPr>
        <w:sectPr w:rsidR="00B20FDB" w:rsidRPr="00882F11" w:rsidSect="000F6DEF">
          <w:type w:val="continuous"/>
          <w:pgSz w:w="11907" w:h="16839" w:code="9"/>
          <w:pgMar w:top="1440" w:right="1440" w:bottom="1440" w:left="1440" w:header="720" w:footer="720" w:gutter="0"/>
          <w:cols w:num="2" w:space="720"/>
          <w:bidi/>
          <w:docGrid w:linePitch="360"/>
        </w:sectPr>
      </w:pPr>
    </w:p>
    <w:p w:rsidR="00B20FDB" w:rsidRPr="00882F11" w:rsidRDefault="00B20FDB" w:rsidP="00B20FDB">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י"ח</w:t>
      </w:r>
    </w:p>
    <w:p w:rsidR="000F6DEF" w:rsidRDefault="000F6DEF" w:rsidP="0078079C">
      <w:pPr>
        <w:pStyle w:val="Heading1"/>
        <w:bidi/>
        <w:spacing w:before="0" w:line="360" w:lineRule="auto"/>
        <w:jc w:val="center"/>
        <w:rPr>
          <w:rFonts w:cs="Guttman Drogolin"/>
          <w:color w:val="auto"/>
          <w:sz w:val="24"/>
          <w:szCs w:val="24"/>
          <w:u w:val="single"/>
          <w:rtl/>
          <w:lang w:bidi="he-IL"/>
        </w:rPr>
        <w:sectPr w:rsidR="000F6DEF" w:rsidSect="000F6DEF">
          <w:pgSz w:w="11907" w:h="16839" w:code="9"/>
          <w:pgMar w:top="1440" w:right="1440" w:bottom="1440" w:left="1440" w:header="720" w:footer="720" w:gutter="0"/>
          <w:cols w:space="720"/>
          <w:bidi/>
          <w:docGrid w:linePitch="360"/>
        </w:sectPr>
      </w:pPr>
    </w:p>
    <w:p w:rsidR="00B20FDB" w:rsidRPr="00882F11" w:rsidRDefault="00B20FDB" w:rsidP="0078079C">
      <w:pPr>
        <w:pStyle w:val="Heading1"/>
        <w:bidi/>
        <w:spacing w:before="0" w:line="360" w:lineRule="auto"/>
        <w:jc w:val="center"/>
        <w:rPr>
          <w:rFonts w:cs="Guttman Drogolin"/>
          <w:color w:val="auto"/>
          <w:sz w:val="24"/>
          <w:szCs w:val="24"/>
          <w:u w:val="single"/>
          <w:rtl/>
          <w:lang w:bidi="he-IL"/>
        </w:rPr>
      </w:pPr>
      <w:bookmarkStart w:id="71" w:name="_Toc496175333"/>
      <w:r w:rsidRPr="00882F11">
        <w:rPr>
          <w:rFonts w:cs="Guttman Drogolin" w:hint="cs"/>
          <w:color w:val="auto"/>
          <w:sz w:val="24"/>
          <w:szCs w:val="24"/>
          <w:u w:val="single"/>
          <w:rtl/>
          <w:lang w:bidi="he-IL"/>
        </w:rPr>
        <w:lastRenderedPageBreak/>
        <w:t>עוד בדעת ר"ת</w:t>
      </w:r>
      <w:bookmarkEnd w:id="71"/>
    </w:p>
    <w:p w:rsidR="008342EC" w:rsidRPr="00882F11" w:rsidRDefault="00E40D0C" w:rsidP="00922BE4">
      <w:pPr>
        <w:bidi/>
        <w:jc w:val="both"/>
        <w:rPr>
          <w:rFonts w:cs="Guttman Drogolin"/>
          <w:rtl/>
          <w:lang w:bidi="he-IL"/>
        </w:rPr>
      </w:pPr>
      <w:r w:rsidRPr="00882F11">
        <w:rPr>
          <w:rFonts w:cs="Guttman Drogolin"/>
          <w:rtl/>
          <w:lang w:bidi="he-IL"/>
        </w:rPr>
        <w:fldChar w:fldCharType="begin"/>
      </w:r>
      <w:r w:rsidRPr="00882F11">
        <w:rPr>
          <w:rFonts w:cs="Guttman Drogolin"/>
        </w:rPr>
        <w:instrText xml:space="preserve"> XE "</w:instrText>
      </w:r>
      <w:r w:rsidRPr="00882F11">
        <w:rPr>
          <w:rFonts w:cs="Guttman Drogolin" w:hint="cs"/>
          <w:rtl/>
          <w:lang w:bidi="he-IL"/>
        </w:rPr>
        <w:instrText>חענ</w:instrText>
      </w:r>
      <w:r w:rsidRPr="00882F11">
        <w:rPr>
          <w:rFonts w:eastAsiaTheme="minorEastAsia" w:cs="Guttman Drogolin"/>
          <w:lang w:bidi="he-IL"/>
        </w:rPr>
        <w:instrText>\</w:instrText>
      </w:r>
      <w:r w:rsidRPr="00882F11">
        <w:rPr>
          <w:rFonts w:cs="Guttman Drogolin" w:hint="cs"/>
          <w:rtl/>
          <w:lang w:bidi="he-IL"/>
        </w:rPr>
        <w:instrText>"ן</w:instrText>
      </w:r>
      <w:r w:rsidRPr="00882F11">
        <w:rPr>
          <w:rFonts w:cs="Guttman Drogolin"/>
          <w:rtl/>
        </w:rPr>
        <w:instrText>:</w:instrText>
      </w:r>
      <w:r w:rsidRPr="00882F11">
        <w:rPr>
          <w:rFonts w:cs="Guttman Drogolin" w:hint="cs"/>
          <w:rtl/>
          <w:lang w:bidi="he-IL"/>
        </w:rPr>
        <w:instrText>שיטת ר</w:instrText>
      </w:r>
      <w:r w:rsidRPr="00882F11">
        <w:rPr>
          <w:rFonts w:eastAsiaTheme="minorEastAsia" w:cs="Guttman Drogolin"/>
          <w:lang w:bidi="he-IL"/>
        </w:rPr>
        <w:instrText>\</w:instrText>
      </w:r>
      <w:r w:rsidRPr="00882F11">
        <w:rPr>
          <w:rFonts w:cs="Guttman Drogolin" w:hint="cs"/>
          <w:rtl/>
          <w:lang w:bidi="he-IL"/>
        </w:rPr>
        <w:instrText>"ת</w:instrText>
      </w:r>
      <w:r w:rsidRPr="00882F11">
        <w:rPr>
          <w:rFonts w:cs="Guttman Drogolin"/>
        </w:rPr>
        <w:instrText xml:space="preserve">" </w:instrText>
      </w:r>
      <w:r w:rsidRPr="00882F11">
        <w:rPr>
          <w:rFonts w:cs="Guttman Drogolin"/>
          <w:rtl/>
          <w:lang w:bidi="he-IL"/>
        </w:rPr>
        <w:fldChar w:fldCharType="end"/>
      </w:r>
      <w:r w:rsidR="00B20FDB" w:rsidRPr="00882F11">
        <w:rPr>
          <w:rFonts w:cs="Guttman Drogolin" w:hint="cs"/>
          <w:rtl/>
          <w:lang w:bidi="he-IL"/>
        </w:rPr>
        <w:t>שיטת ר"ת דמש"כ בגמ' דחענ"ן הוא בדוקא, ומשום שגם בשאר איסורים אמרינן דחתיכה עצמה נעשית נבילה. ומשו"ה הוקשה לו למה בעינן שנתן טעם בחתיכה הא גם משהו אוסר את החתיכה. ותי' דלא אמרינן חענ"ן כשלא נאסר אלא ע"י משהו. והנה שיטת ר' אפרים דמש"כ דחענ"ן הוא לאו דוקא, וכל כוונת הגמ' לומר שהטעם הבלוע בחתיכה אוסרת ש</w:t>
      </w:r>
      <w:r w:rsidR="007750C3" w:rsidRPr="00882F11">
        <w:rPr>
          <w:rFonts w:cs="Guttman Drogolin" w:hint="cs"/>
          <w:rtl/>
          <w:lang w:bidi="he-IL"/>
        </w:rPr>
        <w:t>א</w:t>
      </w:r>
      <w:r w:rsidR="00B20FDB" w:rsidRPr="00882F11">
        <w:rPr>
          <w:rFonts w:cs="Guttman Drogolin" w:hint="cs"/>
          <w:rtl/>
          <w:lang w:bidi="he-IL"/>
        </w:rPr>
        <w:t xml:space="preserve">ר החתיכות משום שהן מינה. וא"כ לכאורה יל"ע לשיטת ר"ת נהי נמי דסבר דחענ"ן, מ"מ למה בעינן לי' ליסוד זה כאן, תיפו"ל משום שהטעם עצמו אוסר וכמו שסבר ר' אפרים באמת. </w:t>
      </w:r>
      <w:r w:rsidR="00375242" w:rsidRPr="00882F11">
        <w:rPr>
          <w:rFonts w:cs="Guttman Drogolin" w:hint="cs"/>
          <w:rtl/>
          <w:lang w:bidi="he-IL"/>
        </w:rPr>
        <w:t>וברע"א ב</w:t>
      </w:r>
      <w:r w:rsidR="005D3476" w:rsidRPr="00882F11">
        <w:rPr>
          <w:rFonts w:cs="Guttman Drogolin" w:hint="cs"/>
          <w:rtl/>
          <w:lang w:bidi="he-IL"/>
        </w:rPr>
        <w:t xml:space="preserve">יו"ד </w:t>
      </w:r>
      <w:r w:rsidR="00375242" w:rsidRPr="00882F11">
        <w:rPr>
          <w:rFonts w:cs="Guttman Drogolin" w:hint="cs"/>
          <w:rtl/>
          <w:lang w:bidi="he-IL"/>
        </w:rPr>
        <w:t xml:space="preserve">סי' ק"ו כתב בזה שאפשר לומר שבאמת לשיטת ר"ת לא בעינן לי' ליסוד דחענ"ן כדי לאסור שאר החתיכות ומשום שהטעם עצמו מספיק לאסור, רק דכיון שהאמת היא דחענ"ן גם בשאר איסורים, אמר רב האמת דחענ"ן. </w:t>
      </w:r>
      <w:r w:rsidR="005D3476" w:rsidRPr="00882F11">
        <w:rPr>
          <w:rFonts w:cs="Guttman Drogolin" w:hint="cs"/>
          <w:rtl/>
          <w:lang w:bidi="he-IL"/>
        </w:rPr>
        <w:t>אף שלכאורה זה קצת דחוק לשיטת אביי</w:t>
      </w:r>
      <w:r w:rsidR="00514812" w:rsidRPr="00882F11">
        <w:rPr>
          <w:rStyle w:val="FootnoteReference"/>
          <w:rFonts w:cs="Guttman Drogolin"/>
          <w:rtl/>
          <w:lang w:bidi="he-IL"/>
        </w:rPr>
        <w:footnoteReference w:id="81"/>
      </w:r>
      <w:r w:rsidR="005D3476" w:rsidRPr="00882F11">
        <w:rPr>
          <w:rFonts w:cs="Guttman Drogolin" w:hint="cs"/>
          <w:rtl/>
          <w:lang w:bidi="he-IL"/>
        </w:rPr>
        <w:t xml:space="preserve"> בדעת רב, דהא לאביי לא הי' צריך לומר אלא 'כיון שנתן טעם בחתיכה אוסרת כל החתיכות כולן' מבלי להזכיר ענין של חענ"ן, </w:t>
      </w:r>
      <w:r w:rsidR="00514812" w:rsidRPr="00882F11">
        <w:rPr>
          <w:rFonts w:cs="Guttman Drogolin" w:hint="cs"/>
          <w:rtl/>
          <w:lang w:bidi="he-IL"/>
        </w:rPr>
        <w:t>מהלך זה סובר דכיון שהוא דין נכו</w:t>
      </w:r>
      <w:r w:rsidR="005D3476" w:rsidRPr="00882F11">
        <w:rPr>
          <w:rFonts w:cs="Guttman Drogolin" w:hint="cs"/>
          <w:rtl/>
          <w:lang w:bidi="he-IL"/>
        </w:rPr>
        <w:t>ן הוסיפו אותו אע"ג שלא צריכים אותו לגבי הסוגיא שלנו.</w:t>
      </w:r>
      <w:r w:rsidR="00514812" w:rsidRPr="00882F11">
        <w:rPr>
          <w:rFonts w:cs="Guttman Drogolin" w:hint="cs"/>
          <w:rtl/>
          <w:lang w:bidi="he-IL"/>
        </w:rPr>
        <w:t xml:space="preserve"> אלא שכתב רע"א שמדברי הר"ן בסוגיין מבואר שחענ"ן הוא בדוקא ואם הי' נותן טעם ולא היינו אומרים חענ"ן לא הי'</w:t>
      </w:r>
      <w:r w:rsidR="00F444DF" w:rsidRPr="00882F11">
        <w:rPr>
          <w:rFonts w:cs="Guttman Drogolin" w:hint="cs"/>
          <w:rtl/>
          <w:lang w:bidi="he-IL"/>
        </w:rPr>
        <w:t xml:space="preserve"> אוסר שאר ה</w:t>
      </w:r>
      <w:r w:rsidR="00A97D42" w:rsidRPr="00882F11">
        <w:rPr>
          <w:rFonts w:cs="Guttman Drogolin" w:hint="cs"/>
          <w:rtl/>
          <w:lang w:bidi="he-IL"/>
        </w:rPr>
        <w:t>ח</w:t>
      </w:r>
      <w:r w:rsidR="00F444DF" w:rsidRPr="00882F11">
        <w:rPr>
          <w:rFonts w:cs="Guttman Drogolin" w:hint="cs"/>
          <w:rtl/>
          <w:lang w:bidi="he-IL"/>
        </w:rPr>
        <w:t>ת</w:t>
      </w:r>
      <w:r w:rsidR="00A97D42" w:rsidRPr="00882F11">
        <w:rPr>
          <w:rFonts w:cs="Guttman Drogolin" w:hint="cs"/>
          <w:rtl/>
          <w:lang w:bidi="he-IL"/>
        </w:rPr>
        <w:t xml:space="preserve">יכות משום שהן מינה, ויוצא </w:t>
      </w:r>
      <w:r w:rsidR="008342EC" w:rsidRPr="00882F11">
        <w:rPr>
          <w:rFonts w:cs="Guttman Drogolin" w:hint="cs"/>
          <w:rtl/>
          <w:lang w:bidi="he-IL"/>
        </w:rPr>
        <w:t>שחולק בזה על ר' אפרים, ולדבריו יל"ע מהו יסוד המחלוקת שבין ר' אפרים לר"ת בזה.</w:t>
      </w:r>
    </w:p>
    <w:p w:rsidR="002E1166" w:rsidRPr="00882F11" w:rsidRDefault="008342EC" w:rsidP="007750C3">
      <w:pPr>
        <w:bidi/>
        <w:jc w:val="both"/>
        <w:rPr>
          <w:rFonts w:cs="Guttman Drogolin"/>
          <w:rtl/>
          <w:lang w:bidi="he-IL"/>
        </w:rPr>
      </w:pPr>
      <w:r w:rsidRPr="00882F11">
        <w:rPr>
          <w:rFonts w:cs="Guttman Drogolin" w:hint="cs"/>
          <w:rtl/>
          <w:lang w:bidi="he-IL"/>
        </w:rPr>
        <w:t>עוד יש להקשות, דאע"ג שאין משהו עושה חענ"ן אליבא דר"ת</w:t>
      </w:r>
      <w:r w:rsidR="00A37416" w:rsidRPr="00882F11">
        <w:rPr>
          <w:rFonts w:cs="Guttman Drogolin" w:hint="cs"/>
          <w:rtl/>
          <w:lang w:bidi="he-IL"/>
        </w:rPr>
        <w:t>, מ"מ למה א</w:t>
      </w:r>
      <w:r w:rsidR="000218DF" w:rsidRPr="00882F11">
        <w:rPr>
          <w:rFonts w:cs="Guttman Drogolin" w:hint="cs"/>
          <w:rtl/>
          <w:lang w:bidi="he-IL"/>
        </w:rPr>
        <w:t>י</w:t>
      </w:r>
      <w:r w:rsidR="00A37416" w:rsidRPr="00882F11">
        <w:rPr>
          <w:rFonts w:cs="Guttman Drogolin" w:hint="cs"/>
          <w:rtl/>
          <w:lang w:bidi="he-IL"/>
        </w:rPr>
        <w:t xml:space="preserve">ן אותו משהו אוסר </w:t>
      </w:r>
      <w:r w:rsidR="000218DF" w:rsidRPr="00882F11">
        <w:rPr>
          <w:rFonts w:cs="Guttman Drogolin" w:hint="cs"/>
          <w:rtl/>
          <w:lang w:bidi="he-IL"/>
        </w:rPr>
        <w:t xml:space="preserve">משום דמין במינו לא בטל. </w:t>
      </w:r>
      <w:r w:rsidR="00F444DF" w:rsidRPr="00882F11">
        <w:rPr>
          <w:rFonts w:cs="Guttman Drogolin" w:hint="cs"/>
          <w:rtl/>
          <w:lang w:bidi="he-IL"/>
        </w:rPr>
        <w:t>וא</w:t>
      </w:r>
      <w:r w:rsidR="002E1166" w:rsidRPr="00882F11">
        <w:rPr>
          <w:rFonts w:cs="Guttman Drogolin" w:hint="cs"/>
          <w:rtl/>
          <w:lang w:bidi="he-IL"/>
        </w:rPr>
        <w:t>ם טעמו של ר"ת משום שאין הבלע יוצא מן החתיכה ניחא, דהא מטעם זה גופא לא יאסור אותו משהו דהא אינו יוצא. אבל אם הבלע יוצא מן החתיכה וכ</w:t>
      </w:r>
      <w:r w:rsidR="007750C3" w:rsidRPr="00882F11">
        <w:rPr>
          <w:rFonts w:cs="Guttman Drogolin" w:hint="cs"/>
          <w:rtl/>
          <w:lang w:bidi="he-IL"/>
        </w:rPr>
        <w:t>ד</w:t>
      </w:r>
      <w:r w:rsidR="002E1166" w:rsidRPr="00882F11">
        <w:rPr>
          <w:rFonts w:cs="Guttman Drogolin" w:hint="cs"/>
          <w:rtl/>
          <w:lang w:bidi="he-IL"/>
        </w:rPr>
        <w:t xml:space="preserve">משמע </w:t>
      </w:r>
      <w:r w:rsidR="002E1166" w:rsidRPr="00882F11">
        <w:rPr>
          <w:rFonts w:cs="Guttman Drogolin" w:hint="cs"/>
          <w:rtl/>
          <w:lang w:bidi="he-IL"/>
        </w:rPr>
        <w:lastRenderedPageBreak/>
        <w:t xml:space="preserve">מן הר"ן, עדיין תיקשי. </w:t>
      </w:r>
      <w:r w:rsidR="000218DF" w:rsidRPr="00882F11">
        <w:rPr>
          <w:rFonts w:cs="Guttman Drogolin" w:hint="cs"/>
          <w:rtl/>
          <w:lang w:bidi="he-IL"/>
        </w:rPr>
        <w:t>ובשלמא לשיטת רבא אילו הי' רק משהו י"ל שהיינו אומרים שהרוטב מבטלו ומשו"ה אינו אוסר שאר החתיכות מפני שהן מינה. אבל לאביי דלית לי' כדרבא, וכיון שהוא מאותו טעם של שאר החתיכות</w:t>
      </w:r>
      <w:r w:rsidR="007630AD" w:rsidRPr="00882F11">
        <w:rPr>
          <w:rFonts w:cs="Guttman Drogolin" w:hint="cs"/>
          <w:rtl/>
          <w:lang w:bidi="he-IL"/>
        </w:rPr>
        <w:t xml:space="preserve"> למה לא יאסר אותו משהו גופא בלי טעם ובלי דינא דחענ"ן. ובכמה ראשונים מבואר שהתשובה לשאלה זו דכיון שכח אחר מעורב בו</w:t>
      </w:r>
      <w:r w:rsidR="00922BE4" w:rsidRPr="00882F11">
        <w:rPr>
          <w:rFonts w:cs="Guttman Drogolin" w:hint="cs"/>
          <w:rtl/>
          <w:lang w:bidi="he-IL"/>
        </w:rPr>
        <w:t xml:space="preserve"> אי</w:t>
      </w:r>
      <w:r w:rsidR="007750C3" w:rsidRPr="00882F11">
        <w:rPr>
          <w:rFonts w:cs="Guttman Drogolin" w:hint="cs"/>
          <w:rtl/>
          <w:lang w:bidi="he-IL"/>
        </w:rPr>
        <w:t>נו</w:t>
      </w:r>
      <w:r w:rsidR="00922BE4" w:rsidRPr="00882F11">
        <w:rPr>
          <w:rFonts w:cs="Guttman Drogolin" w:hint="cs"/>
          <w:rtl/>
          <w:lang w:bidi="he-IL"/>
        </w:rPr>
        <w:t xml:space="preserve"> או</w:t>
      </w:r>
      <w:r w:rsidR="007750C3" w:rsidRPr="00882F11">
        <w:rPr>
          <w:rFonts w:cs="Guttman Drogolin" w:hint="cs"/>
          <w:rtl/>
          <w:lang w:bidi="he-IL"/>
        </w:rPr>
        <w:t>ס</w:t>
      </w:r>
      <w:r w:rsidR="00922BE4" w:rsidRPr="00882F11">
        <w:rPr>
          <w:rFonts w:cs="Guttman Drogolin" w:hint="cs"/>
          <w:rtl/>
          <w:lang w:bidi="he-IL"/>
        </w:rPr>
        <w:t>ר מדין מין במינו. ובנקוה"כ שעל הט"ז בסי' צ"ב ס"ק</w:t>
      </w:r>
      <w:r w:rsidR="000218DF" w:rsidRPr="00882F11">
        <w:rPr>
          <w:rFonts w:cs="Guttman Drogolin" w:hint="cs"/>
          <w:rtl/>
          <w:lang w:bidi="he-IL"/>
        </w:rPr>
        <w:t xml:space="preserve"> </w:t>
      </w:r>
      <w:r w:rsidR="00922BE4" w:rsidRPr="00882F11">
        <w:rPr>
          <w:rFonts w:cs="Guttman Drogolin" w:hint="cs"/>
          <w:rtl/>
          <w:lang w:bidi="he-IL"/>
        </w:rPr>
        <w:t xml:space="preserve">ט"ז כתב שנחשב כאינו מינו. ונראה הכוונה בזה דכיון שאין לבלע שבחתיכה כח כדי נתינת טעם הרי זה איסור חלש בענין זה שאין לו כח לצאת מן החתיכה אא"כ יוצא ביחד עם הטעם של החתיכה של היתר. </w:t>
      </w:r>
      <w:r w:rsidR="002E1166" w:rsidRPr="00882F11">
        <w:rPr>
          <w:rFonts w:cs="Guttman Drogolin" w:hint="cs"/>
          <w:rtl/>
          <w:lang w:bidi="he-IL"/>
        </w:rPr>
        <w:t>וכיון שכן סוברים הראשונים האלו שדינו כאינו מינו. והנלעוק"ד בביאור הענין שאין כוונתם בזה שבאמת נחשב אינו מי</w:t>
      </w:r>
      <w:r w:rsidR="007750C3" w:rsidRPr="00882F11">
        <w:rPr>
          <w:rFonts w:cs="Guttman Drogolin" w:hint="cs"/>
          <w:rtl/>
          <w:lang w:bidi="he-IL"/>
        </w:rPr>
        <w:t>נ</w:t>
      </w:r>
      <w:r w:rsidR="002E1166" w:rsidRPr="00882F11">
        <w:rPr>
          <w:rFonts w:cs="Guttman Drogolin" w:hint="cs"/>
          <w:rtl/>
          <w:lang w:bidi="he-IL"/>
        </w:rPr>
        <w:t>ו, דהא גם איסור מינו וגם היתר מינו נחשבם כמ</w:t>
      </w:r>
      <w:r w:rsidR="0097744A" w:rsidRPr="00882F11">
        <w:rPr>
          <w:rFonts w:cs="Guttman Drogolin" w:hint="cs"/>
          <w:rtl/>
          <w:lang w:bidi="he-IL"/>
        </w:rPr>
        <w:t>י</w:t>
      </w:r>
      <w:r w:rsidR="002E1166" w:rsidRPr="00882F11">
        <w:rPr>
          <w:rFonts w:cs="Guttman Drogolin" w:hint="cs"/>
          <w:rtl/>
          <w:lang w:bidi="he-IL"/>
        </w:rPr>
        <w:t xml:space="preserve">ן במינו, ולמה לא יחשב גם הבליעה הזאת כמינו בין אם יהי' לו שם היתר ובין אם יהי' לו שם איסור. רק כוונת הש"ך דכיון שאיסור חלש הוא, אין לו את המעלה שיש לאיסור </w:t>
      </w:r>
      <w:r w:rsidR="007750C3" w:rsidRPr="00882F11">
        <w:rPr>
          <w:rFonts w:cs="Guttman Drogolin" w:hint="cs"/>
          <w:rtl/>
          <w:lang w:bidi="he-IL"/>
        </w:rPr>
        <w:t xml:space="preserve">גמור </w:t>
      </w:r>
      <w:r w:rsidR="002E1166" w:rsidRPr="00882F11">
        <w:rPr>
          <w:rFonts w:cs="Guttman Drogolin" w:hint="cs"/>
          <w:rtl/>
          <w:lang w:bidi="he-IL"/>
        </w:rPr>
        <w:t xml:space="preserve">שהוא מינו שלא להתבטל ע"י מינו. וזהו הכוונה דהוי כאינו מינו, שאמנם הוא חפצא דאיסורא וצריכים לבטלו (ולכן בכגון חמץ בפסח שהוא אסור במשהו אפילו במין בשאינו מינו עדיין יאסר וכמו שהאריך שם הש"ך להוכיח שכן הדין), מ"מ התוספת חומרא שיש לאיסור שהוא מינו שלא להתבטל במינו לית לי', ולעולם מתבטל הוא גם בהיתירא שהוא מינו. </w:t>
      </w:r>
    </w:p>
    <w:p w:rsidR="00323082" w:rsidRPr="00882F11" w:rsidRDefault="002E1166" w:rsidP="007750C3">
      <w:pPr>
        <w:bidi/>
        <w:jc w:val="both"/>
        <w:rPr>
          <w:rFonts w:cs="Guttman Drogolin"/>
          <w:rtl/>
          <w:lang w:bidi="he-IL"/>
        </w:rPr>
      </w:pPr>
      <w:r w:rsidRPr="00882F11">
        <w:rPr>
          <w:rFonts w:cs="Guttman Drogolin" w:hint="cs"/>
          <w:rtl/>
          <w:lang w:bidi="he-IL"/>
        </w:rPr>
        <w:t>וכל זה הוא אם האיסור האוסר את החתיכה אינו אלא משהו, אבל אם הוא ע"י נתינת טעם ע</w:t>
      </w:r>
      <w:r w:rsidR="007750C3" w:rsidRPr="00882F11">
        <w:rPr>
          <w:rFonts w:cs="Guttman Drogolin" w:hint="cs"/>
          <w:rtl/>
          <w:lang w:bidi="he-IL"/>
        </w:rPr>
        <w:t>ד</w:t>
      </w:r>
      <w:r w:rsidRPr="00882F11">
        <w:rPr>
          <w:rFonts w:cs="Guttman Drogolin" w:hint="cs"/>
          <w:rtl/>
          <w:lang w:bidi="he-IL"/>
        </w:rPr>
        <w:t xml:space="preserve">יין תיקשי וכמש"כ בתחילת דברינו. וכתב רע"א </w:t>
      </w:r>
      <w:r w:rsidR="007750C3" w:rsidRPr="00882F11">
        <w:rPr>
          <w:rFonts w:cs="Guttman Drogolin" w:hint="cs"/>
          <w:rtl/>
          <w:lang w:bidi="he-IL"/>
        </w:rPr>
        <w:t xml:space="preserve">בשם </w:t>
      </w:r>
      <w:r w:rsidRPr="00882F11">
        <w:rPr>
          <w:rFonts w:cs="Guttman Drogolin" w:hint="cs"/>
          <w:rtl/>
          <w:lang w:bidi="he-IL"/>
        </w:rPr>
        <w:t xml:space="preserve">הר"ן </w:t>
      </w:r>
      <w:r w:rsidR="00323082" w:rsidRPr="00882F11">
        <w:rPr>
          <w:rFonts w:cs="Guttman Drogolin" w:hint="cs"/>
          <w:rtl/>
          <w:lang w:bidi="he-IL"/>
        </w:rPr>
        <w:t>שאם יוצא טעם של היתר מן החתיכה ביחד עם הטעם של איסור, גם זה מחל</w:t>
      </w:r>
      <w:r w:rsidR="00F444DF" w:rsidRPr="00882F11">
        <w:rPr>
          <w:rFonts w:cs="Guttman Drogolin" w:hint="cs"/>
          <w:rtl/>
          <w:lang w:bidi="he-IL"/>
        </w:rPr>
        <w:t>י</w:t>
      </w:r>
      <w:r w:rsidR="00323082" w:rsidRPr="00882F11">
        <w:rPr>
          <w:rFonts w:cs="Guttman Drogolin" w:hint="cs"/>
          <w:rtl/>
          <w:lang w:bidi="he-IL"/>
        </w:rPr>
        <w:t xml:space="preserve">ש את כח האיסור הבלוע בחתיכה ויש לו דין כח אחר </w:t>
      </w:r>
      <w:r w:rsidR="00323082" w:rsidRPr="00882F11">
        <w:rPr>
          <w:rFonts w:cs="Guttman Drogolin" w:hint="cs"/>
          <w:rtl/>
          <w:lang w:bidi="he-IL"/>
        </w:rPr>
        <w:lastRenderedPageBreak/>
        <w:t xml:space="preserve">מעורב בו, באופן שגם הוא מתבטל במינו, על דרך מה שביארנו בקושיא של בליעה של </w:t>
      </w:r>
      <w:r w:rsidR="00F444DF" w:rsidRPr="00882F11">
        <w:rPr>
          <w:rFonts w:cs="Guttman Drogolin" w:hint="cs"/>
          <w:rtl/>
          <w:lang w:bidi="he-IL"/>
        </w:rPr>
        <w:t xml:space="preserve">משהו. </w:t>
      </w:r>
    </w:p>
    <w:p w:rsidR="00F25D75" w:rsidRPr="00882F11" w:rsidRDefault="00323082" w:rsidP="00DB5C07">
      <w:pPr>
        <w:bidi/>
        <w:jc w:val="both"/>
        <w:rPr>
          <w:rFonts w:cs="Guttman Drogolin"/>
          <w:rtl/>
          <w:lang w:bidi="he-IL"/>
        </w:rPr>
      </w:pPr>
      <w:r w:rsidRPr="00882F11">
        <w:rPr>
          <w:rFonts w:cs="Guttman Drogolin" w:hint="cs"/>
          <w:rtl/>
          <w:lang w:bidi="he-IL"/>
        </w:rPr>
        <w:t xml:space="preserve">ולסיכום יוצא לשיטת ר"ת </w:t>
      </w:r>
      <w:r w:rsidR="00F25D75" w:rsidRPr="00882F11">
        <w:rPr>
          <w:rFonts w:cs="Guttman Drogolin" w:hint="cs"/>
          <w:rtl/>
          <w:lang w:bidi="he-IL"/>
        </w:rPr>
        <w:t>דאמרינן חענ"ן ב</w:t>
      </w:r>
      <w:r w:rsidR="00F444DF" w:rsidRPr="00882F11">
        <w:rPr>
          <w:rFonts w:cs="Guttman Drogolin" w:hint="cs"/>
          <w:rtl/>
          <w:lang w:bidi="he-IL"/>
        </w:rPr>
        <w:t>ש</w:t>
      </w:r>
      <w:r w:rsidR="00F25D75" w:rsidRPr="00882F11">
        <w:rPr>
          <w:rFonts w:cs="Guttman Drogolin" w:hint="cs"/>
          <w:rtl/>
          <w:lang w:bidi="he-IL"/>
        </w:rPr>
        <w:t xml:space="preserve">אר איסורים וכדמשמע פשטות לשון הגמ' כאן. ומ"מ משהו אינו עושה חענ"ן, והבאנו (בשעור הקודם) שתים שהם שלש ביאורים לדבר: (א1) דלא אמרינן חענ"ן בשאר איסורים היכא שאינו נותן טעם, או משום שכל הדין של </w:t>
      </w:r>
      <w:r w:rsidR="00DB5C07">
        <w:rPr>
          <w:rFonts w:cs="Guttman Drogolin" w:hint="cs"/>
          <w:rtl/>
          <w:lang w:bidi="he-IL"/>
        </w:rPr>
        <w:t>ח</w:t>
      </w:r>
      <w:r w:rsidR="00F25D75" w:rsidRPr="00882F11">
        <w:rPr>
          <w:rFonts w:cs="Guttman Drogolin" w:hint="cs"/>
          <w:rtl/>
          <w:lang w:bidi="he-IL"/>
        </w:rPr>
        <w:t>ענ"ן בשאר איסורים הוא מדאורייתא מדינא דטכ"ע וכמ"ד דנהפך ההיתר להיות איסור, ולכן אי אפשר שיהא חענ"ן אא"כ נאסר משום טעם שהוא המקור לדין חענ"ן, או על דרך זה (א2)</w:t>
      </w:r>
      <w:r w:rsidRPr="00882F11">
        <w:rPr>
          <w:rFonts w:cs="Guttman Drogolin" w:hint="cs"/>
          <w:rtl/>
          <w:lang w:bidi="he-IL"/>
        </w:rPr>
        <w:t xml:space="preserve"> </w:t>
      </w:r>
      <w:r w:rsidR="00F25D75" w:rsidRPr="00882F11">
        <w:rPr>
          <w:rFonts w:cs="Guttman Drogolin" w:hint="cs"/>
          <w:rtl/>
          <w:lang w:bidi="he-IL"/>
        </w:rPr>
        <w:t>דחענ"ן בשאר איסורים אינו אלא מדרבנן אטו בב"ח, ולכן לא גזרו עליו אא"כ נותן טעם דומיא דבב"ח. או"ד (ב) משום שאין המשהו שבלע יוצא מן החתיכה, ולכן כיון שיש לנו כלל שאיו הנאסר אוסר במקום שאין האיסור יכול להתפשט, אין החתיכה אוסרת מדין חענ"ן אם לא בלע אלא משהו.</w:t>
      </w:r>
    </w:p>
    <w:p w:rsidR="00C62D59" w:rsidRPr="00882F11" w:rsidRDefault="00F25D75" w:rsidP="008124C8">
      <w:pPr>
        <w:bidi/>
        <w:jc w:val="both"/>
        <w:rPr>
          <w:rFonts w:cs="Guttman Drogolin"/>
          <w:rtl/>
          <w:lang w:bidi="he-IL"/>
        </w:rPr>
      </w:pPr>
      <w:r w:rsidRPr="00882F11">
        <w:rPr>
          <w:rFonts w:cs="Guttman Drogolin" w:hint="cs"/>
          <w:rtl/>
          <w:lang w:bidi="he-IL"/>
        </w:rPr>
        <w:t>וכל זה ה</w:t>
      </w:r>
      <w:r w:rsidR="007750C3" w:rsidRPr="00882F11">
        <w:rPr>
          <w:rFonts w:cs="Guttman Drogolin" w:hint="cs"/>
          <w:rtl/>
          <w:lang w:bidi="he-IL"/>
        </w:rPr>
        <w:t xml:space="preserve">וא </w:t>
      </w:r>
      <w:r w:rsidRPr="00882F11">
        <w:rPr>
          <w:rFonts w:cs="Guttman Drogolin" w:hint="cs"/>
          <w:rtl/>
          <w:lang w:bidi="he-IL"/>
        </w:rPr>
        <w:t>ביאור בעצם שיטת ר"ת. ובסוגיית הגמ' אמרנו דיתכן שבאמת לא צריכים לדינא דחענ"ן כדי לאסור כל החתיכות כולן מפני שהן מינה, וזה שנתן טעם בחתיכה מספיק דומיא דביאורו של ר' אפרים, וזה דקאמר בגמ' דחענ"ן הוא משום שכן הוא הדין באמת אע"פ שאינו נצרך לנד"ד</w:t>
      </w:r>
      <w:r w:rsidR="008124C8" w:rsidRPr="00882F11">
        <w:rPr>
          <w:rFonts w:cs="Guttman Drogolin" w:hint="cs"/>
          <w:rtl/>
          <w:lang w:bidi="he-IL"/>
        </w:rPr>
        <w:t xml:space="preserve">, או"ד כמו שלמד רע"א בדעת הר"ן שאם אין חענ"ן אין הטעם אוסר בפני עצמו (ובזה פליג אר' אפרים) ומשום שטעם של היתר נפלט ביחד עם הטעם של איסור, וזה עושהו טעם חלש המתבטל במינו. ומ"מ אפילו לפי הצד שטעם הי' יכול לאסור בפני עצמו, מ"מ משהו אינו אוסר בפני עצמו. ואם הוא משום שמשהו אינו יוצא מן החתיכה וכמש"כ הרשב"א (לפי פירושו של רע"א) לדעת ר' אפרים ניחא. אבל אם משהו יוצא, הטעם לחלק משום שאפילו אם זה שיוצא טעם של היתר עם הטעם של איסור אינו סיבה לומר שהוא איסור חלש ומתבטל במינו, מ"מ אם אין לטעם כח לצאת בפני עצמו, וצריך לצאת עם בליעה של איסור, </w:t>
      </w:r>
      <w:r w:rsidR="008124C8" w:rsidRPr="00882F11">
        <w:rPr>
          <w:rFonts w:cs="Guttman Drogolin" w:hint="cs"/>
          <w:rtl/>
          <w:lang w:bidi="he-IL"/>
        </w:rPr>
        <w:lastRenderedPageBreak/>
        <w:t>גם המ"ד הזה מודה שהוא איסור חלש ומתבטל במינו.</w:t>
      </w:r>
    </w:p>
    <w:p w:rsidR="00C62D59" w:rsidRPr="00882F11" w:rsidRDefault="00C62D59" w:rsidP="0078079C">
      <w:pPr>
        <w:pStyle w:val="Heading1"/>
        <w:bidi/>
        <w:spacing w:before="0" w:line="360" w:lineRule="auto"/>
        <w:jc w:val="center"/>
        <w:rPr>
          <w:rFonts w:cs="Guttman Drogolin"/>
          <w:color w:val="auto"/>
          <w:sz w:val="24"/>
          <w:szCs w:val="24"/>
          <w:u w:val="single"/>
          <w:rtl/>
          <w:lang w:bidi="he-IL"/>
        </w:rPr>
      </w:pPr>
      <w:bookmarkStart w:id="72" w:name="_Toc496175334"/>
      <w:r w:rsidRPr="00882F11">
        <w:rPr>
          <w:rFonts w:cs="Guttman Drogolin" w:hint="cs"/>
          <w:color w:val="auto"/>
          <w:sz w:val="24"/>
          <w:szCs w:val="24"/>
          <w:u w:val="single"/>
          <w:rtl/>
          <w:lang w:bidi="he-IL"/>
        </w:rPr>
        <w:t>הערת רע"א בקושיא של הגעלת כלי מדין</w:t>
      </w:r>
      <w:bookmarkEnd w:id="72"/>
    </w:p>
    <w:p w:rsidR="00C62D59" w:rsidRPr="00882F11" w:rsidRDefault="00A25C17" w:rsidP="00DE0C38">
      <w:pPr>
        <w:bidi/>
        <w:jc w:val="both"/>
        <w:rPr>
          <w:rFonts w:cs="Guttman Drogolin"/>
          <w:rtl/>
          <w:lang w:bidi="he-IL"/>
        </w:rPr>
      </w:pPr>
      <w:r>
        <w:rPr>
          <w:rFonts w:cs="Guttman Drogolin"/>
          <w:rtl/>
          <w:lang w:bidi="he-IL"/>
        </w:rPr>
        <w:fldChar w:fldCharType="begin"/>
      </w:r>
      <w:r>
        <w:instrText xml:space="preserve"> XE "</w:instrText>
      </w:r>
      <w:r w:rsidRPr="006D1148">
        <w:rPr>
          <w:rFonts w:hint="cs"/>
          <w:rtl/>
          <w:lang w:bidi="he-IL"/>
        </w:rPr>
        <w:instrText>חענ</w:instrText>
      </w:r>
      <w:r>
        <w:rPr>
          <w:rFonts w:eastAsiaTheme="minorEastAsia"/>
          <w:lang w:bidi="he-IL"/>
        </w:rPr>
        <w:instrText>\</w:instrText>
      </w:r>
      <w:r w:rsidRPr="006D1148">
        <w:rPr>
          <w:rFonts w:hint="cs"/>
          <w:rtl/>
          <w:lang w:bidi="he-IL"/>
        </w:rPr>
        <w:instrText>"ן בשאר איסורים</w:instrText>
      </w:r>
      <w:r w:rsidRPr="006D1148">
        <w:rPr>
          <w:rtl/>
        </w:rPr>
        <w:instrText>:</w:instrText>
      </w:r>
      <w:r w:rsidRPr="006D1148">
        <w:rPr>
          <w:rFonts w:hint="cs"/>
          <w:rtl/>
          <w:lang w:bidi="he-IL"/>
        </w:rPr>
        <w:instrText>אם הוא מדאורייתא</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E636A9">
        <w:rPr>
          <w:rFonts w:hint="cs"/>
          <w:rtl/>
          <w:lang w:bidi="he-IL"/>
        </w:rPr>
        <w:instrText>כלי מדין</w:instrText>
      </w:r>
      <w:r w:rsidRPr="00E636A9">
        <w:rPr>
          <w:rtl/>
        </w:rPr>
        <w:instrText>:</w:instrText>
      </w:r>
      <w:r w:rsidRPr="00E636A9">
        <w:rPr>
          <w:rFonts w:hint="cs"/>
          <w:rtl/>
          <w:lang w:bidi="he-IL"/>
        </w:rPr>
        <w:instrText>ראיית התוס' ממנו בדין חענ</w:instrText>
      </w:r>
      <w:r>
        <w:rPr>
          <w:rFonts w:eastAsiaTheme="minorEastAsia"/>
          <w:lang w:bidi="he-IL"/>
        </w:rPr>
        <w:instrText>\</w:instrText>
      </w:r>
      <w:r w:rsidRPr="00E636A9">
        <w:rPr>
          <w:rFonts w:hint="cs"/>
          <w:rtl/>
          <w:lang w:bidi="he-IL"/>
        </w:rPr>
        <w:instrText>"ן בשאר איסורים</w:instrText>
      </w:r>
      <w:r>
        <w:instrText xml:space="preserve">" </w:instrText>
      </w:r>
      <w:r>
        <w:rPr>
          <w:rFonts w:cs="Guttman Drogolin"/>
          <w:rtl/>
          <w:lang w:bidi="he-IL"/>
        </w:rPr>
        <w:fldChar w:fldCharType="end"/>
      </w:r>
      <w:r w:rsidR="00C62D59" w:rsidRPr="00882F11">
        <w:rPr>
          <w:rFonts w:cs="Guttman Drogolin" w:hint="cs"/>
          <w:rtl/>
          <w:lang w:bidi="he-IL"/>
        </w:rPr>
        <w:t xml:space="preserve">התוס' בסוף דבריהם </w:t>
      </w:r>
      <w:r w:rsidR="00702712" w:rsidRPr="00882F11">
        <w:rPr>
          <w:rFonts w:cs="Guttman Drogolin" w:hint="cs"/>
          <w:rtl/>
          <w:lang w:bidi="he-IL"/>
        </w:rPr>
        <w:t>כתבו להקשות אשיטת ר"ת מזה שהתורה חייבה להגעיל כלי מדין</w:t>
      </w:r>
      <w:r w:rsidR="009D527C" w:rsidRPr="00882F11">
        <w:rPr>
          <w:rStyle w:val="FootnoteReference"/>
          <w:rFonts w:cs="Guttman Drogolin"/>
          <w:rtl/>
          <w:lang w:bidi="he-IL"/>
        </w:rPr>
        <w:footnoteReference w:id="82"/>
      </w:r>
      <w:r w:rsidR="00702712" w:rsidRPr="00882F11">
        <w:rPr>
          <w:rFonts w:cs="Guttman Drogolin" w:hint="cs"/>
          <w:rtl/>
          <w:lang w:bidi="he-IL"/>
        </w:rPr>
        <w:t>, ובכלי גדול שאינו יכול להכניסו לכלי גדול ממנו הא האופן היחידד שאפששר להגעיל אותו הוא בזה שימלא כלי גדול עם מים וירתיח אותו. וכיון שתכ</w:t>
      </w:r>
      <w:r w:rsidR="003F2E98" w:rsidRPr="00882F11">
        <w:rPr>
          <w:rFonts w:cs="Guttman Drogolin" w:hint="cs"/>
          <w:rtl/>
          <w:lang w:bidi="he-IL"/>
        </w:rPr>
        <w:t>ו</w:t>
      </w:r>
      <w:r w:rsidR="00702712" w:rsidRPr="00882F11">
        <w:rPr>
          <w:rFonts w:cs="Guttman Drogolin" w:hint="cs"/>
          <w:rtl/>
          <w:lang w:bidi="he-IL"/>
        </w:rPr>
        <w:t>לת הכלי לעולם אי</w:t>
      </w:r>
      <w:r w:rsidR="003F2E98" w:rsidRPr="00882F11">
        <w:rPr>
          <w:rFonts w:cs="Guttman Drogolin" w:hint="cs"/>
          <w:rtl/>
          <w:lang w:bidi="he-IL"/>
        </w:rPr>
        <w:t>ן</w:t>
      </w:r>
      <w:r w:rsidR="00702712" w:rsidRPr="00882F11">
        <w:rPr>
          <w:rFonts w:cs="Guttman Drogolin" w:hint="cs"/>
          <w:rtl/>
          <w:lang w:bidi="he-IL"/>
        </w:rPr>
        <w:t xml:space="preserve"> בה ששים כנגד גוף הכלי, הא כל פעם שיגעיל יכנס הבלע כשיעור הכלי לתוך המים ויאסור אותו ויהפך לחתיכת נבילה, דהא גם בשאר אסורים אמרינן חענ"ן, ושוב יבלעו מים אלו לתוך הכלי. ואפילו אם יחזור לעשות כן פעם שני</w:t>
      </w:r>
      <w:r w:rsidR="00791EC8" w:rsidRPr="00882F11">
        <w:rPr>
          <w:rFonts w:cs="Guttman Drogolin" w:hint="cs"/>
          <w:rtl/>
          <w:lang w:bidi="he-IL"/>
        </w:rPr>
        <w:t>ת הא יצטרך לבטל כנגד כל הכלי פעם</w:t>
      </w:r>
      <w:r w:rsidR="00702712" w:rsidRPr="00882F11">
        <w:rPr>
          <w:rFonts w:cs="Guttman Drogolin" w:hint="cs"/>
          <w:rtl/>
          <w:lang w:bidi="he-IL"/>
        </w:rPr>
        <w:t xml:space="preserve"> שנית כיון שהכלי חזר להיות </w:t>
      </w:r>
      <w:r w:rsidR="00B80EDD" w:rsidRPr="00882F11">
        <w:rPr>
          <w:rFonts w:cs="Guttman Drogolin" w:hint="cs"/>
          <w:rtl/>
          <w:lang w:bidi="he-IL"/>
        </w:rPr>
        <w:t xml:space="preserve">בלוע כולו באיסור כיון שגם המים </w:t>
      </w:r>
      <w:r w:rsidR="00702712" w:rsidRPr="00882F11">
        <w:rPr>
          <w:rFonts w:cs="Guttman Drogolin" w:hint="cs"/>
          <w:rtl/>
          <w:lang w:bidi="he-IL"/>
        </w:rPr>
        <w:t>שבישלו בה תחילה נהפכו להיות נבילה. ול</w:t>
      </w:r>
      <w:r w:rsidR="00763F51" w:rsidRPr="00882F11">
        <w:rPr>
          <w:rFonts w:cs="Guttman Drogolin" w:hint="cs"/>
          <w:rtl/>
          <w:lang w:bidi="he-IL"/>
        </w:rPr>
        <w:t>דעת רבינו אפרים</w:t>
      </w:r>
      <w:r w:rsidR="00702712" w:rsidRPr="00882F11">
        <w:rPr>
          <w:rFonts w:cs="Guttman Drogolin" w:hint="cs"/>
          <w:rtl/>
          <w:lang w:bidi="he-IL"/>
        </w:rPr>
        <w:t xml:space="preserve"> ניחא דהא כבר בפעם הני לא ישאר מספיק טעם ויתבטל במים השניים, אבל למ"ד אמרנן חענ"ן בשאר איסורים מא"ל. והתוס' כתבו בזה דע"כ לר"ת הא דכלי מדין באמת לא מיירי בכלי גדול.  </w:t>
      </w:r>
    </w:p>
    <w:p w:rsidR="00763F51" w:rsidRPr="00882F11" w:rsidRDefault="00763F51" w:rsidP="002856EF">
      <w:pPr>
        <w:bidi/>
        <w:jc w:val="both"/>
        <w:rPr>
          <w:rFonts w:cs="Guttman Drogolin"/>
          <w:rtl/>
          <w:lang w:bidi="he-IL"/>
        </w:rPr>
      </w:pPr>
      <w:r w:rsidRPr="00882F11">
        <w:rPr>
          <w:rFonts w:cs="Guttman Drogolin" w:hint="cs"/>
          <w:rtl/>
          <w:lang w:bidi="he-IL"/>
        </w:rPr>
        <w:t>והקשה על זה הגרע"א שם בסי' ק"ו דלפי מה שפירש הפלתי שיסוד דברי ר"ת הוא ע"פ הכלל שאין הנאס</w:t>
      </w:r>
      <w:r w:rsidR="00F444DF" w:rsidRPr="00882F11">
        <w:rPr>
          <w:rFonts w:cs="Guttman Drogolin" w:hint="cs"/>
          <w:rtl/>
          <w:lang w:bidi="he-IL"/>
        </w:rPr>
        <w:t>ר</w:t>
      </w:r>
      <w:r w:rsidRPr="00882F11">
        <w:rPr>
          <w:rFonts w:cs="Guttman Drogolin" w:hint="cs"/>
          <w:rtl/>
          <w:lang w:bidi="he-IL"/>
        </w:rPr>
        <w:t xml:space="preserve"> אוסר במקום שאין בליעה יכולה להתפשט, ומשהו אינו יוצא מן החתיכה, א"כ איזה שאלה יש, הא כמו שלר' אפרים האופן של ההגעלה הוא להגעיל כמה פעמים עד שלא יצא מן הכלי כדי נתינת טעם במים, הה"נ לשיטת ר"ת שלא יאסור כשלא יהי' מן האיסור הראשון כדי נתינת טעם במים כיון שבמקרה כזה אין משהו יכול להתפשט ואין הנאסר יכול לאסור במקום שאין האיסור יכול התפשט. </w:t>
      </w:r>
      <w:r w:rsidR="00F51F02" w:rsidRPr="00882F11">
        <w:rPr>
          <w:rFonts w:cs="Guttman Drogolin" w:hint="cs"/>
          <w:rtl/>
          <w:lang w:bidi="he-IL"/>
        </w:rPr>
        <w:t xml:space="preserve">פי' לפי', דלפי הפירוש בדעת ר"ת שאין למשהו כח לאסור חתיכה בחענ"ן כדי לאסור תבשיל אחר במשהו ניחא, דכל זה אם החתיכה שקיבלה טעם לא נאסרה אלא ע"י משהו, אבל אם נאסרה ע"י טעם לכאורה יש לו כח </w:t>
      </w:r>
      <w:r w:rsidR="002856EF" w:rsidRPr="00882F11">
        <w:rPr>
          <w:rFonts w:cs="Guttman Drogolin" w:hint="cs"/>
          <w:rtl/>
          <w:lang w:bidi="he-IL"/>
        </w:rPr>
        <w:t xml:space="preserve">לאסור מכח עצמו אפילו אם לא יהי' מן האיסור הראשון כדי נתינת טעם בתערובת השני. </w:t>
      </w:r>
      <w:r w:rsidR="002856EF" w:rsidRPr="00882F11">
        <w:rPr>
          <w:rFonts w:cs="Guttman Drogolin" w:hint="cs"/>
          <w:rtl/>
          <w:lang w:bidi="he-IL"/>
        </w:rPr>
        <w:lastRenderedPageBreak/>
        <w:t>אבל אם הוא בנוי על הכלל דאין הנאסר אוסר וכו' קשה כנ"ל. וע"ש ברע"א שלמ"ד שלח הנבלע בכלי עם משהו של איסור חוזר ומפליט משהו של איסור ניחא, אבל הביא שם שיטת הפלתי דסבר שאין זה נכון. וצ"ע</w:t>
      </w:r>
      <w:r w:rsidR="00E05BC1" w:rsidRPr="00882F11">
        <w:rPr>
          <w:rStyle w:val="FootnoteReference"/>
          <w:rFonts w:cs="Guttman Drogolin"/>
          <w:rtl/>
          <w:lang w:bidi="he-IL"/>
        </w:rPr>
        <w:footnoteReference w:id="83"/>
      </w:r>
      <w:r w:rsidR="002856EF" w:rsidRPr="00882F11">
        <w:rPr>
          <w:rFonts w:cs="Guttman Drogolin" w:hint="cs"/>
          <w:rtl/>
          <w:lang w:bidi="he-IL"/>
        </w:rPr>
        <w:t>.</w:t>
      </w:r>
      <w:r w:rsidRPr="00882F11">
        <w:rPr>
          <w:rFonts w:cs="Guttman Drogolin" w:hint="cs"/>
          <w:rtl/>
          <w:lang w:bidi="he-IL"/>
        </w:rPr>
        <w:t xml:space="preserve"> </w:t>
      </w:r>
    </w:p>
    <w:p w:rsidR="00C62D59" w:rsidRPr="00882F11" w:rsidRDefault="00C62D59" w:rsidP="0078079C">
      <w:pPr>
        <w:pStyle w:val="Heading1"/>
        <w:bidi/>
        <w:spacing w:before="0" w:line="360" w:lineRule="auto"/>
        <w:jc w:val="center"/>
        <w:rPr>
          <w:rFonts w:cs="Guttman Drogolin"/>
          <w:color w:val="auto"/>
          <w:sz w:val="24"/>
          <w:szCs w:val="24"/>
          <w:u w:val="single"/>
          <w:rtl/>
          <w:lang w:bidi="he-IL"/>
        </w:rPr>
      </w:pPr>
      <w:bookmarkStart w:id="73" w:name="_Toc496175335"/>
      <w:r w:rsidRPr="00882F11">
        <w:rPr>
          <w:rFonts w:cs="Guttman Drogolin" w:hint="cs"/>
          <w:color w:val="auto"/>
          <w:sz w:val="24"/>
          <w:szCs w:val="24"/>
          <w:u w:val="single"/>
          <w:rtl/>
          <w:lang w:bidi="he-IL"/>
        </w:rPr>
        <w:t>שיטת ר' אפרים</w:t>
      </w:r>
      <w:bookmarkEnd w:id="73"/>
    </w:p>
    <w:p w:rsidR="00570BF1" w:rsidRPr="00882F11" w:rsidRDefault="00A25C17" w:rsidP="002856EF">
      <w:pPr>
        <w:bidi/>
        <w:jc w:val="both"/>
        <w:rPr>
          <w:rFonts w:cs="Guttman Drogolin"/>
          <w:rtl/>
          <w:lang w:bidi="he-IL"/>
        </w:rPr>
      </w:pPr>
      <w:r>
        <w:rPr>
          <w:rFonts w:cs="Guttman Drogolin"/>
          <w:rtl/>
          <w:lang w:bidi="he-IL"/>
        </w:rPr>
        <w:fldChar w:fldCharType="begin"/>
      </w:r>
      <w:r>
        <w:instrText xml:space="preserve"> XE "</w:instrText>
      </w:r>
      <w:r w:rsidRPr="00D5177F">
        <w:rPr>
          <w:rFonts w:hint="cs"/>
          <w:rtl/>
          <w:lang w:bidi="he-IL"/>
        </w:rPr>
        <w:instrText>חענ</w:instrText>
      </w:r>
      <w:r>
        <w:rPr>
          <w:rFonts w:eastAsiaTheme="minorEastAsia"/>
          <w:lang w:bidi="he-IL"/>
        </w:rPr>
        <w:instrText>\</w:instrText>
      </w:r>
      <w:r w:rsidRPr="00D5177F">
        <w:rPr>
          <w:rFonts w:hint="cs"/>
          <w:rtl/>
          <w:lang w:bidi="he-IL"/>
        </w:rPr>
        <w:instrText>"ן בשאר איסורים</w:instrText>
      </w:r>
      <w:r w:rsidRPr="00D5177F">
        <w:rPr>
          <w:rtl/>
        </w:rPr>
        <w:instrText>:</w:instrText>
      </w:r>
      <w:r w:rsidRPr="00D5177F">
        <w:rPr>
          <w:rFonts w:hint="cs"/>
          <w:rtl/>
          <w:lang w:bidi="he-IL"/>
        </w:rPr>
        <w:instrText>שיטת רבינו אפרים</w:instrText>
      </w:r>
      <w:r>
        <w:instrText xml:space="preserve">" </w:instrText>
      </w:r>
      <w:r>
        <w:rPr>
          <w:rFonts w:cs="Guttman Drogolin"/>
          <w:rtl/>
          <w:lang w:bidi="he-IL"/>
        </w:rPr>
        <w:fldChar w:fldCharType="end"/>
      </w:r>
      <w:r w:rsidR="00C62D59" w:rsidRPr="00882F11">
        <w:rPr>
          <w:rFonts w:cs="Guttman Drogolin" w:hint="cs"/>
          <w:rtl/>
          <w:lang w:bidi="he-IL"/>
        </w:rPr>
        <w:t>ר' אפרי</w:t>
      </w:r>
      <w:r w:rsidR="002856EF" w:rsidRPr="00882F11">
        <w:rPr>
          <w:rFonts w:cs="Guttman Drogolin" w:hint="cs"/>
          <w:rtl/>
          <w:lang w:bidi="he-IL"/>
        </w:rPr>
        <w:t>ם</w:t>
      </w:r>
      <w:r>
        <w:rPr>
          <w:rFonts w:cs="Guttman Drogolin" w:hint="cs"/>
          <w:rtl/>
          <w:lang w:bidi="he-IL"/>
        </w:rPr>
        <w:t xml:space="preserve"> למד </w:t>
      </w:r>
      <w:r w:rsidR="00C62D59" w:rsidRPr="00882F11">
        <w:rPr>
          <w:rFonts w:cs="Guttman Drogolin" w:hint="cs"/>
          <w:rtl/>
          <w:lang w:bidi="he-IL"/>
        </w:rPr>
        <w:t xml:space="preserve">שהגמ' לאו דוקא נקט, ובשאר איסורים לא אמרינן שחתיכה עצמה נעשית נבילה, שזהו דין מיוחד לבב"ח שיסוד האיסור </w:t>
      </w:r>
      <w:r w:rsidR="002856EF" w:rsidRPr="00882F11">
        <w:rPr>
          <w:rFonts w:cs="Guttman Drogolin" w:hint="cs"/>
          <w:rtl/>
          <w:lang w:bidi="he-IL"/>
        </w:rPr>
        <w:t>שלו</w:t>
      </w:r>
      <w:r w:rsidR="00C62D59" w:rsidRPr="00882F11">
        <w:rPr>
          <w:rFonts w:cs="Guttman Drogolin" w:hint="cs"/>
          <w:rtl/>
          <w:lang w:bidi="he-IL"/>
        </w:rPr>
        <w:t xml:space="preserve"> תערובת של שני דברים.</w:t>
      </w:r>
      <w:r w:rsidR="002856EF" w:rsidRPr="00882F11">
        <w:rPr>
          <w:rFonts w:cs="Guttman Drogolin" w:hint="cs"/>
          <w:rtl/>
          <w:lang w:bidi="he-IL"/>
        </w:rPr>
        <w:t xml:space="preserve"> והנה בתוס' כאן מבואר שלמד דין זה מסוגיא שלנו שדקדק לומר דבעינן כדי נתינת טעם ומשהו לא סגי, והיינו משום דסבר דאילו היינו אומרים חענ"ן בשאר איסורים הי' צריך להיות הדין דאמרינן חענ"ן גם אם לא נאסר אלא ע"י משהו, ולכן ע"כ אין הטעם לאסור בסוגיין משום חענ"ן אלא משום דבעינן לבטל הטעם שנבלע בחתיכה. </w:t>
      </w:r>
    </w:p>
    <w:p w:rsidR="002856EF" w:rsidRPr="00882F11" w:rsidRDefault="002856EF" w:rsidP="002856EF">
      <w:pPr>
        <w:bidi/>
        <w:jc w:val="both"/>
        <w:rPr>
          <w:rFonts w:cs="Guttman Drogolin"/>
          <w:rtl/>
          <w:lang w:bidi="he-IL"/>
        </w:rPr>
      </w:pPr>
      <w:r w:rsidRPr="00882F11">
        <w:rPr>
          <w:rFonts w:cs="Guttman Drogolin" w:hint="cs"/>
          <w:rtl/>
          <w:lang w:bidi="he-IL"/>
        </w:rPr>
        <w:t xml:space="preserve">וא"כ נשאלת השאלה למה לרבינו אפרים בעינן נתינת טעם ולא סגי לן בזה שיש משהו של איסור בלוע בחתיכה של היתר. </w:t>
      </w:r>
      <w:r w:rsidR="00E54547" w:rsidRPr="00882F11">
        <w:rPr>
          <w:rFonts w:cs="Guttman Drogolin" w:hint="cs"/>
          <w:rtl/>
          <w:lang w:bidi="he-IL"/>
        </w:rPr>
        <w:t xml:space="preserve">ושיטת רשב"א (לפי פירושו של רע"א) כבר הזכרנו, והוא שאם ליכא אלא משהו בחתיכה אינו יוצא מן החתיכה ולכן אינו יכול לאסור. ובתוס' הרא"ש (וכן מדויק גם בתוס') נראה משום שהמשהו לא חשוב בעין ולכן דינו כמין בשאינו מינו, וכמו שביארנו כל זה גם לשיטת ר"ת. </w:t>
      </w:r>
    </w:p>
    <w:p w:rsidR="00AB1FCF" w:rsidRPr="00882F11" w:rsidRDefault="00E54547" w:rsidP="00AB1FCF">
      <w:pPr>
        <w:bidi/>
        <w:jc w:val="both"/>
        <w:rPr>
          <w:rFonts w:cs="Guttman Drogolin"/>
          <w:rtl/>
          <w:lang w:bidi="he-IL"/>
        </w:rPr>
      </w:pPr>
      <w:r w:rsidRPr="00882F11">
        <w:rPr>
          <w:rFonts w:cs="Guttman Drogolin" w:hint="cs"/>
          <w:rtl/>
          <w:lang w:bidi="he-IL"/>
        </w:rPr>
        <w:t xml:space="preserve">ולשיטת הרשב"א דקדק רע"א דלכאורה א"כ חזינן לדעתי' דר' אפרים דלית לי' הכלל דאין הנאסר אוסר במקום שאין איסור יכול להתפשט, דא"כ איזה ראי' יש מן הסוגיא שלנו דלא אמרינן חענ"ן בשאר איסורים, הא הטעם דבעינן נתינת טעם בסוגיא שלנו אינו חייב להיות משום דלא אמרינן חענ"ן בשאר איסורים רק משום דמשהו אינו מתפשט ואין הנאסר אוסר וכו'. ודקדק רע"א עוד יותר, שאם הביאור בשיטת ר"ת אינו כמש"כ </w:t>
      </w:r>
      <w:r w:rsidRPr="00882F11">
        <w:rPr>
          <w:rFonts w:cs="Guttman Drogolin" w:hint="cs"/>
          <w:rtl/>
          <w:lang w:bidi="he-IL"/>
        </w:rPr>
        <w:lastRenderedPageBreak/>
        <w:t>הפלתי, אלא הוא דין במשהו. א"כ מבואר שגם ר"ת לא סבר הכלל דאין הנאסר אוסר וכו', דא"כ למה בעינן לי' לכלל הדין של משהו תיפו"ל שאין הנאסר אוסר וכו' ע"פ מש"כ הרשב"א שאין האיסור משהו יוצא מן החתיכה.</w:t>
      </w:r>
      <w:r w:rsidR="0024332C" w:rsidRPr="00882F11">
        <w:rPr>
          <w:rFonts w:cs="Guttman Drogolin" w:hint="cs"/>
          <w:rtl/>
          <w:lang w:bidi="he-IL"/>
        </w:rPr>
        <w:t xml:space="preserve"> ובאמת מכח זה הוכיח רע"א כטעמו </w:t>
      </w:r>
      <w:r w:rsidRPr="00882F11">
        <w:rPr>
          <w:rFonts w:cs="Guttman Drogolin" w:hint="cs"/>
          <w:rtl/>
          <w:lang w:bidi="he-IL"/>
        </w:rPr>
        <w:t>של הפלתי בשיטת ר"ת, אבל עדיין קשה לומר שיסוד הנ"ל הוא דלא כר' אפרים. ולכן כתב רע"א לדעת ר' אפרים לעולם סבירא לי' הכלל דאין הנאסר אוסר וכו', רק דסבר ר' אפרים דאילו הי' הדין דאמרינן חענ"ן בשאר איסורים אז הי' מסתבר לומר דלית לן הכלל שאין הנאסר אוסר וכו'. רק לפי מאי דקיי"ל (לדעתו) דלא אמרינן חענ"ן בשאר איסורים רק בב"ח שייך לומר כלל זה. והיינו משום</w:t>
      </w:r>
      <w:r w:rsidR="006412D0" w:rsidRPr="00882F11">
        <w:rPr>
          <w:rStyle w:val="FootnoteReference"/>
          <w:rFonts w:cs="Guttman Drogolin"/>
          <w:rtl/>
          <w:lang w:bidi="he-IL"/>
        </w:rPr>
        <w:footnoteReference w:id="84"/>
      </w:r>
      <w:r w:rsidRPr="00882F11">
        <w:rPr>
          <w:rFonts w:cs="Guttman Drogolin" w:hint="cs"/>
          <w:rtl/>
          <w:lang w:bidi="he-IL"/>
        </w:rPr>
        <w:t xml:space="preserve"> דבשלמא כשכל היסוד של חענ"ן הוא בדברים האוסרים משום תערובתם שפיר מסתבר לומר דלא אמירנן חענ"ן אא"כ ה</w:t>
      </w:r>
      <w:r w:rsidR="00AB1FCF" w:rsidRPr="00882F11">
        <w:rPr>
          <w:rFonts w:cs="Guttman Drogolin" w:hint="cs"/>
          <w:rtl/>
          <w:lang w:bidi="he-IL"/>
        </w:rPr>
        <w:t>ת</w:t>
      </w:r>
      <w:r w:rsidRPr="00882F11">
        <w:rPr>
          <w:rFonts w:cs="Guttman Drogolin" w:hint="cs"/>
          <w:rtl/>
          <w:lang w:bidi="he-IL"/>
        </w:rPr>
        <w:t xml:space="preserve">ערובת עדיין קיים (אע"פ שאינו בענין שיש נתינת טעם בתרוייהו). </w:t>
      </w:r>
      <w:r w:rsidR="00AB1FCF" w:rsidRPr="00882F11">
        <w:rPr>
          <w:rFonts w:cs="Guttman Drogolin" w:hint="cs"/>
          <w:rtl/>
          <w:lang w:bidi="he-IL"/>
        </w:rPr>
        <w:t>אבל אי אמרינן חענ"ן בשאר איסורים חזינן שאין הדין של חענ"ן תלוי בדברים הנאסרים רק ע"י תערובת, וע"כ הוא דין דכיון נאסר נעשה בעצמותו חפצא דאיסורא. ולכן בזה לא שייך לומר הכלל שאין הנאסר אוסר וכו'. וא"כ שפיר הוכיח ר' אפרים מן הסוגיא דלא ארינן חענ"ן בשאר איסורים אע"ג שקיי"ל שאין הנאסר אוסר, וכן אין משהו מתפשט, משום דאילו הי' הדין כן שיש חענ"ן בשאר איסורים לא היינו אומרים הדין דאין הנאסר אוסר וכו'.</w:t>
      </w:r>
    </w:p>
    <w:p w:rsidR="004E1D29" w:rsidRPr="00882F11" w:rsidRDefault="00AB1FCF" w:rsidP="00C211D8">
      <w:pPr>
        <w:bidi/>
        <w:jc w:val="both"/>
        <w:rPr>
          <w:rFonts w:cs="Guttman Drogolin"/>
          <w:rtl/>
          <w:lang w:bidi="he-IL"/>
        </w:rPr>
      </w:pPr>
      <w:r w:rsidRPr="00882F11">
        <w:rPr>
          <w:rFonts w:cs="Guttman Drogolin" w:hint="cs"/>
          <w:rtl/>
          <w:lang w:bidi="he-IL"/>
        </w:rPr>
        <w:t>ומ"מ יש בדברי ר' אפרים פירוש שלישי. והוא דכתב בחי' הר</w:t>
      </w:r>
      <w:r w:rsidR="00400E3A" w:rsidRPr="00882F11">
        <w:rPr>
          <w:rFonts w:cs="Guttman Drogolin" w:hint="cs"/>
          <w:rtl/>
          <w:lang w:bidi="he-IL"/>
        </w:rPr>
        <w:t>י</w:t>
      </w:r>
      <w:r w:rsidRPr="00882F11">
        <w:rPr>
          <w:rFonts w:cs="Guttman Drogolin" w:hint="cs"/>
          <w:rtl/>
          <w:lang w:bidi="he-IL"/>
        </w:rPr>
        <w:t xml:space="preserve">טב"א בדעת ר' אפרים דמש"כ בגמ' 'כיון שנתן טעם בחתיכה' הוא לאו דוקא אפילו אין זה אלא משהו הר הוא אוסר. והיינו דלית לי' הדין דכח אחר מעורב בה. וכי תימא דא"כ האיך דדקדק ר' אפרים מן הסוגיא דלא אמרינן חענ"ן בשאר איסורים, הא כל הדקדוק הוא מזה שהדגיש הגמ' שנתן טעם בחתיכה, והרי אפרים סבר דלאו דוקא נקט. ומדברי הריטב"א באמת אין לנו מקור לומר שדקדק דלא אמרינן </w:t>
      </w:r>
      <w:r w:rsidRPr="00882F11">
        <w:rPr>
          <w:rFonts w:cs="Guttman Drogolin" w:hint="cs"/>
          <w:rtl/>
          <w:lang w:bidi="he-IL"/>
        </w:rPr>
        <w:lastRenderedPageBreak/>
        <w:t>חענ"ן בשאר איסורים מן הסגיא שלנו, וא"כ י"ש דאע"ג דסבר כן ר' אפרים, היינו מכח סוגיות אחרות בש"ס אבל לא מסוגיא דידן. ויל"ע אם יש מקום לומר שאין דקדוק במה שכתוב בגמ' טעם אלא אם חענ"ן הוא דוקא, אבל אם אינו נאסר אלא ע"י מה שבלע באמת אפשר לומר דטעם לאו דוקא נקט. וצ"ע.</w:t>
      </w:r>
    </w:p>
    <w:p w:rsidR="00D76774" w:rsidRPr="00882F11" w:rsidRDefault="00D76774" w:rsidP="00D76774">
      <w:pPr>
        <w:bidi/>
        <w:jc w:val="both"/>
        <w:rPr>
          <w:rFonts w:cs="Guttman Drogolin"/>
          <w:rtl/>
          <w:lang w:bidi="he-IL"/>
        </w:rPr>
        <w:sectPr w:rsidR="00D76774" w:rsidRPr="00882F11" w:rsidSect="000F6DEF">
          <w:type w:val="continuous"/>
          <w:pgSz w:w="11907" w:h="16839" w:code="9"/>
          <w:pgMar w:top="1440" w:right="1440" w:bottom="1440" w:left="1440" w:header="720" w:footer="720" w:gutter="0"/>
          <w:cols w:num="2" w:space="720"/>
          <w:bidi/>
          <w:docGrid w:linePitch="360"/>
        </w:sectPr>
      </w:pPr>
    </w:p>
    <w:p w:rsidR="004E1D29" w:rsidRPr="00882F11" w:rsidRDefault="004E1D29" w:rsidP="004E1D29">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י"ט</w:t>
      </w:r>
    </w:p>
    <w:p w:rsidR="000F6DEF" w:rsidRDefault="000F6DEF" w:rsidP="0078079C">
      <w:pPr>
        <w:pStyle w:val="Heading1"/>
        <w:bidi/>
        <w:spacing w:before="0" w:line="360" w:lineRule="auto"/>
        <w:jc w:val="center"/>
        <w:rPr>
          <w:rFonts w:cs="Guttman Drogolin"/>
          <w:color w:val="auto"/>
          <w:sz w:val="24"/>
          <w:szCs w:val="24"/>
          <w:u w:val="single"/>
          <w:rtl/>
          <w:lang w:bidi="he-IL"/>
        </w:rPr>
        <w:sectPr w:rsidR="000F6DEF" w:rsidSect="000F6DEF">
          <w:headerReference w:type="default" r:id="rId21"/>
          <w:pgSz w:w="11907" w:h="16839" w:code="9"/>
          <w:pgMar w:top="1440" w:right="1440" w:bottom="1440" w:left="1440" w:header="720" w:footer="720" w:gutter="0"/>
          <w:cols w:space="720"/>
          <w:bidi/>
          <w:docGrid w:linePitch="360"/>
        </w:sectPr>
      </w:pPr>
    </w:p>
    <w:p w:rsidR="004E1D29" w:rsidRPr="00882F11" w:rsidRDefault="004460B5" w:rsidP="000F6DEF">
      <w:pPr>
        <w:pStyle w:val="Heading1"/>
        <w:bidi/>
        <w:spacing w:before="0" w:line="240" w:lineRule="auto"/>
        <w:jc w:val="center"/>
        <w:rPr>
          <w:rFonts w:cs="Guttman Drogolin"/>
          <w:color w:val="auto"/>
          <w:sz w:val="24"/>
          <w:szCs w:val="24"/>
          <w:u w:val="single"/>
          <w:rtl/>
          <w:lang w:bidi="he-IL"/>
        </w:rPr>
      </w:pPr>
      <w:bookmarkStart w:id="74" w:name="_Toc496175336"/>
      <w:r w:rsidRPr="00882F11">
        <w:rPr>
          <w:rFonts w:cs="Guttman Drogolin" w:hint="cs"/>
          <w:color w:val="auto"/>
          <w:sz w:val="24"/>
          <w:szCs w:val="24"/>
          <w:u w:val="single"/>
          <w:rtl/>
          <w:lang w:bidi="he-IL"/>
        </w:rPr>
        <w:lastRenderedPageBreak/>
        <w:t>ראיית רבינו אפרים מההוא זיתא דתרבא, ובדין סופו להתפשט</w:t>
      </w:r>
      <w:bookmarkEnd w:id="74"/>
    </w:p>
    <w:p w:rsidR="00332D95" w:rsidRPr="00882F11" w:rsidRDefault="00011127" w:rsidP="00554A47">
      <w:pPr>
        <w:bidi/>
        <w:jc w:val="both"/>
        <w:rPr>
          <w:rFonts w:cs="Guttman Drogolin"/>
          <w:rtl/>
          <w:lang w:bidi="he-IL"/>
        </w:rPr>
      </w:pPr>
      <w:r>
        <w:rPr>
          <w:rFonts w:cs="Guttman Drogolin"/>
          <w:rtl/>
          <w:lang w:bidi="he-IL"/>
        </w:rPr>
        <w:fldChar w:fldCharType="begin"/>
      </w:r>
      <w:r>
        <w:instrText xml:space="preserve"> XE "</w:instrText>
      </w:r>
      <w:r w:rsidRPr="006D5F47">
        <w:rPr>
          <w:rFonts w:hint="cs"/>
          <w:rtl/>
          <w:lang w:bidi="he-IL"/>
        </w:rPr>
        <w:instrText>חענ</w:instrText>
      </w:r>
      <w:r>
        <w:rPr>
          <w:rFonts w:eastAsiaTheme="minorEastAsia"/>
          <w:lang w:bidi="he-IL"/>
        </w:rPr>
        <w:instrText>\</w:instrText>
      </w:r>
      <w:r w:rsidRPr="006D5F47">
        <w:rPr>
          <w:rFonts w:hint="cs"/>
          <w:rtl/>
          <w:lang w:bidi="he-IL"/>
        </w:rPr>
        <w:instrText>"ן בשאר איסורים</w:instrText>
      </w:r>
      <w:r w:rsidRPr="006D5F47">
        <w:rPr>
          <w:rtl/>
        </w:rPr>
        <w:instrText>:</w:instrText>
      </w:r>
      <w:r w:rsidRPr="006D5F47">
        <w:rPr>
          <w:rFonts w:hint="cs"/>
          <w:rtl/>
          <w:lang w:bidi="he-IL"/>
        </w:rPr>
        <w:instrText>שיטת רבינו אפרים</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964B5A">
        <w:rPr>
          <w:rFonts w:hint="cs"/>
          <w:rtl/>
          <w:lang w:bidi="he-IL"/>
        </w:rPr>
        <w:instrText>חענ</w:instrText>
      </w:r>
      <w:r>
        <w:rPr>
          <w:rFonts w:eastAsiaTheme="minorEastAsia"/>
          <w:lang w:bidi="he-IL"/>
        </w:rPr>
        <w:instrText>\</w:instrText>
      </w:r>
      <w:r w:rsidRPr="00964B5A">
        <w:rPr>
          <w:rFonts w:hint="cs"/>
          <w:rtl/>
          <w:lang w:bidi="he-IL"/>
        </w:rPr>
        <w:instrText>"ן</w:instrText>
      </w:r>
      <w:r w:rsidRPr="00964B5A">
        <w:rPr>
          <w:rtl/>
        </w:rPr>
        <w:instrText>:</w:instrText>
      </w:r>
      <w:r w:rsidRPr="00964B5A">
        <w:rPr>
          <w:rFonts w:hint="cs"/>
          <w:rtl/>
          <w:lang w:bidi="he-IL"/>
        </w:rPr>
        <w:instrText>בסופו להתפשט</w:instrText>
      </w:r>
      <w:r>
        <w:instrText xml:space="preserve">" </w:instrText>
      </w:r>
      <w:r>
        <w:rPr>
          <w:rFonts w:cs="Guttman Drogolin"/>
          <w:rtl/>
          <w:lang w:bidi="he-IL"/>
        </w:rPr>
        <w:fldChar w:fldCharType="end"/>
      </w:r>
      <w:r w:rsidR="004460B5" w:rsidRPr="00882F11">
        <w:rPr>
          <w:rFonts w:cs="Guttman Drogolin" w:hint="cs"/>
          <w:rtl/>
          <w:lang w:bidi="he-IL"/>
        </w:rPr>
        <w:t>התוס' מביאים שרבינו אפרים הוכיח כשטתו מהגמ' שבדף צ"ח ע"א, שנפל ההוא כזיתא דתרבא לדיקולא דבישרא</w:t>
      </w:r>
      <w:r w:rsidR="00C66BFB" w:rsidRPr="00882F11">
        <w:rPr>
          <w:rFonts w:cs="Guttman Drogolin" w:hint="cs"/>
          <w:rtl/>
          <w:lang w:bidi="he-IL"/>
        </w:rPr>
        <w:t>, שדנו לבטל ההוא כזית של חלב ע"י שאר החתיכות של בשר שהיו בדיקולא. וע"כ רבינו אפרים מפרש דדיקולא היינו סל של עץ וכמו שהוא פירושו בעלמא וכמו שהעירו גם התוס', ולכן אין הפליטה יוצא אלא מחתיכה לחתיכה ואינו מתבשל ברוטב. אלא שהעיר דהתם אפילו בלי ר' אפרים יש להתיר ממ"נ, שאם הבלעות של חלב אינם עוברים מחתיכה לחתיכה, הא אין שאר החתיכות נאסרות</w:t>
      </w:r>
      <w:r w:rsidR="00C66BFB" w:rsidRPr="00882F11">
        <w:rPr>
          <w:rStyle w:val="FootnoteReference"/>
          <w:rFonts w:cs="Guttman Drogolin"/>
          <w:rtl/>
          <w:lang w:bidi="he-IL"/>
        </w:rPr>
        <w:footnoteReference w:id="85"/>
      </w:r>
      <w:r w:rsidR="00C66BFB" w:rsidRPr="00882F11">
        <w:rPr>
          <w:rFonts w:cs="Guttman Drogolin" w:hint="cs"/>
          <w:rtl/>
          <w:lang w:bidi="he-IL"/>
        </w:rPr>
        <w:t xml:space="preserve">. </w:t>
      </w:r>
      <w:r w:rsidR="00C53D4A" w:rsidRPr="00882F11">
        <w:rPr>
          <w:rFonts w:cs="Guttman Drogolin" w:hint="cs"/>
          <w:rtl/>
          <w:lang w:bidi="he-IL"/>
        </w:rPr>
        <w:t>ואם הוא מתפשט כתבו התוס' שיש לנו כלל, שלא אומריים חענ"ן בדבר האוסר כשסופו להתפשט ולבסוף לא יתן טעם. והתוס' הוכיחו כלל זה ממתני' שבדף ק"ח ע"א, שכתוב שם "טיפת</w:t>
      </w:r>
      <w:r w:rsidR="00C53D4A" w:rsidRPr="00882F11">
        <w:rPr>
          <w:rFonts w:cs="Guttman Drogolin"/>
          <w:rtl/>
          <w:lang w:bidi="he-IL"/>
        </w:rPr>
        <w:t xml:space="preserve"> </w:t>
      </w:r>
      <w:r w:rsidR="00C53D4A" w:rsidRPr="00882F11">
        <w:rPr>
          <w:rFonts w:cs="Guttman Drogolin" w:hint="cs"/>
          <w:rtl/>
          <w:lang w:bidi="he-IL"/>
        </w:rPr>
        <w:t>חלב</w:t>
      </w:r>
      <w:r w:rsidR="00C53D4A" w:rsidRPr="00882F11">
        <w:rPr>
          <w:rFonts w:cs="Guttman Drogolin"/>
          <w:rtl/>
          <w:lang w:bidi="he-IL"/>
        </w:rPr>
        <w:t xml:space="preserve"> </w:t>
      </w:r>
      <w:r w:rsidR="00C53D4A" w:rsidRPr="00882F11">
        <w:rPr>
          <w:rFonts w:cs="Guttman Drogolin" w:hint="cs"/>
          <w:rtl/>
          <w:lang w:bidi="he-IL"/>
        </w:rPr>
        <w:t>שנפלה</w:t>
      </w:r>
      <w:r w:rsidR="00C53D4A" w:rsidRPr="00882F11">
        <w:rPr>
          <w:rFonts w:cs="Guttman Drogolin"/>
          <w:rtl/>
          <w:lang w:bidi="he-IL"/>
        </w:rPr>
        <w:t xml:space="preserve"> </w:t>
      </w:r>
      <w:r w:rsidR="00C53D4A" w:rsidRPr="00882F11">
        <w:rPr>
          <w:rFonts w:cs="Guttman Drogolin" w:hint="cs"/>
          <w:rtl/>
          <w:lang w:bidi="he-IL"/>
        </w:rPr>
        <w:t>על</w:t>
      </w:r>
      <w:r w:rsidR="00C53D4A" w:rsidRPr="00882F11">
        <w:rPr>
          <w:rFonts w:cs="Guttman Drogolin"/>
          <w:rtl/>
          <w:lang w:bidi="he-IL"/>
        </w:rPr>
        <w:t xml:space="preserve"> </w:t>
      </w:r>
      <w:r w:rsidR="00C53D4A" w:rsidRPr="00882F11">
        <w:rPr>
          <w:rFonts w:cs="Guttman Drogolin" w:hint="cs"/>
          <w:rtl/>
          <w:lang w:bidi="he-IL"/>
        </w:rPr>
        <w:t>החתיכה</w:t>
      </w:r>
      <w:r w:rsidR="00C53D4A" w:rsidRPr="00882F11">
        <w:rPr>
          <w:rFonts w:cs="Guttman Drogolin"/>
          <w:rtl/>
          <w:lang w:bidi="he-IL"/>
        </w:rPr>
        <w:t xml:space="preserve"> </w:t>
      </w:r>
      <w:r w:rsidR="00C53D4A" w:rsidRPr="00882F11">
        <w:rPr>
          <w:rFonts w:cs="Guttman Drogolin" w:hint="cs"/>
          <w:rtl/>
          <w:lang w:bidi="he-IL"/>
        </w:rPr>
        <w:t>אם</w:t>
      </w:r>
      <w:r w:rsidR="00C53D4A" w:rsidRPr="00882F11">
        <w:rPr>
          <w:rFonts w:cs="Guttman Drogolin"/>
          <w:rtl/>
          <w:lang w:bidi="he-IL"/>
        </w:rPr>
        <w:t xml:space="preserve"> </w:t>
      </w:r>
      <w:r w:rsidR="00C53D4A" w:rsidRPr="00882F11">
        <w:rPr>
          <w:rFonts w:cs="Guttman Drogolin" w:hint="cs"/>
          <w:rtl/>
          <w:lang w:bidi="he-IL"/>
        </w:rPr>
        <w:t>יש</w:t>
      </w:r>
      <w:r w:rsidR="00C53D4A" w:rsidRPr="00882F11">
        <w:rPr>
          <w:rFonts w:cs="Guttman Drogolin"/>
          <w:rtl/>
          <w:lang w:bidi="he-IL"/>
        </w:rPr>
        <w:t xml:space="preserve"> </w:t>
      </w:r>
      <w:r w:rsidR="00C53D4A" w:rsidRPr="00882F11">
        <w:rPr>
          <w:rFonts w:cs="Guttman Drogolin" w:hint="cs"/>
          <w:rtl/>
          <w:lang w:bidi="he-IL"/>
        </w:rPr>
        <w:t>בה</w:t>
      </w:r>
      <w:r w:rsidR="00C53D4A" w:rsidRPr="00882F11">
        <w:rPr>
          <w:rFonts w:cs="Guttman Drogolin"/>
          <w:rtl/>
          <w:lang w:bidi="he-IL"/>
        </w:rPr>
        <w:t xml:space="preserve"> </w:t>
      </w:r>
      <w:r w:rsidR="00C53D4A" w:rsidRPr="00882F11">
        <w:rPr>
          <w:rFonts w:cs="Guttman Drogolin" w:hint="cs"/>
          <w:rtl/>
          <w:lang w:bidi="he-IL"/>
        </w:rPr>
        <w:t>בנותן</w:t>
      </w:r>
      <w:r w:rsidR="00C53D4A" w:rsidRPr="00882F11">
        <w:rPr>
          <w:rFonts w:cs="Guttman Drogolin"/>
          <w:rtl/>
          <w:lang w:bidi="he-IL"/>
        </w:rPr>
        <w:t xml:space="preserve"> </w:t>
      </w:r>
      <w:r w:rsidR="00C53D4A" w:rsidRPr="00882F11">
        <w:rPr>
          <w:rFonts w:cs="Guttman Drogolin" w:hint="cs"/>
          <w:rtl/>
          <w:lang w:bidi="he-IL"/>
        </w:rPr>
        <w:t>טעם</w:t>
      </w:r>
      <w:r w:rsidR="00C53D4A" w:rsidRPr="00882F11">
        <w:rPr>
          <w:rFonts w:cs="Guttman Drogolin"/>
          <w:rtl/>
          <w:lang w:bidi="he-IL"/>
        </w:rPr>
        <w:t xml:space="preserve"> </w:t>
      </w:r>
      <w:r w:rsidR="00C53D4A" w:rsidRPr="00882F11">
        <w:rPr>
          <w:rFonts w:cs="Guttman Drogolin" w:hint="cs"/>
          <w:rtl/>
          <w:lang w:bidi="he-IL"/>
        </w:rPr>
        <w:t>באותה</w:t>
      </w:r>
      <w:r w:rsidR="00C53D4A" w:rsidRPr="00882F11">
        <w:rPr>
          <w:rFonts w:cs="Guttman Drogolin"/>
          <w:rtl/>
          <w:lang w:bidi="he-IL"/>
        </w:rPr>
        <w:t xml:space="preserve"> </w:t>
      </w:r>
      <w:r w:rsidR="00C53D4A" w:rsidRPr="00882F11">
        <w:rPr>
          <w:rFonts w:cs="Guttman Drogolin" w:hint="cs"/>
          <w:rtl/>
          <w:lang w:bidi="he-IL"/>
        </w:rPr>
        <w:t>חתיכה</w:t>
      </w:r>
      <w:r w:rsidR="00C53D4A" w:rsidRPr="00882F11">
        <w:rPr>
          <w:rFonts w:cs="Guttman Drogolin"/>
          <w:rtl/>
          <w:lang w:bidi="he-IL"/>
        </w:rPr>
        <w:t xml:space="preserve"> </w:t>
      </w:r>
      <w:r w:rsidR="00C53D4A" w:rsidRPr="00882F11">
        <w:rPr>
          <w:rFonts w:cs="Guttman Drogolin" w:hint="cs"/>
          <w:rtl/>
          <w:lang w:bidi="he-IL"/>
        </w:rPr>
        <w:t>אסור". ופירושו של 'בנותן טעם' היינו שמשערין בשיעורו של כל החתיכה נגד הטיפת חלב שנפל עלי', ואם יש ששים בחתיכה נגד הטיפת חלב כל החתיכה מותרת. ולכאורה אם אומרים חענ"ן אפילו כשסופו להתפשט,</w:t>
      </w:r>
      <w:r w:rsidR="00C66BFB" w:rsidRPr="00882F11">
        <w:rPr>
          <w:rFonts w:cs="Guttman Drogolin" w:hint="cs"/>
          <w:rtl/>
          <w:lang w:bidi="he-IL"/>
        </w:rPr>
        <w:t xml:space="preserve"> </w:t>
      </w:r>
      <w:r w:rsidR="00554A47" w:rsidRPr="00882F11">
        <w:rPr>
          <w:rFonts w:cs="Guttman Drogolin" w:hint="cs"/>
          <w:rtl/>
          <w:lang w:bidi="he-IL"/>
        </w:rPr>
        <w:t xml:space="preserve">הא מיד כשנפל הטיפה של של חלב </w:t>
      </w:r>
      <w:r w:rsidR="00C53D4A" w:rsidRPr="00882F11">
        <w:rPr>
          <w:rFonts w:cs="Guttman Drogolin" w:hint="cs"/>
          <w:rtl/>
          <w:lang w:bidi="he-IL"/>
        </w:rPr>
        <w:t xml:space="preserve">הרי יש טעם בחלק העליון של החתיכה, דהא בחלק העליון לבד </w:t>
      </w:r>
      <w:r w:rsidR="00554A47" w:rsidRPr="00882F11">
        <w:rPr>
          <w:rFonts w:cs="Guttman Drogolin" w:hint="cs"/>
          <w:rtl/>
          <w:lang w:bidi="he-IL"/>
        </w:rPr>
        <w:t>איכא</w:t>
      </w:r>
      <w:r w:rsidR="00C53D4A" w:rsidRPr="00882F11">
        <w:rPr>
          <w:rFonts w:cs="Guttman Drogolin" w:hint="cs"/>
          <w:rtl/>
          <w:lang w:bidi="he-IL"/>
        </w:rPr>
        <w:t xml:space="preserve"> נתינת טעם, </w:t>
      </w:r>
      <w:r w:rsidR="00554A47" w:rsidRPr="00882F11">
        <w:rPr>
          <w:rFonts w:cs="Guttman Drogolin" w:hint="cs"/>
          <w:rtl/>
          <w:lang w:bidi="he-IL"/>
        </w:rPr>
        <w:t xml:space="preserve">ואפילו לאחר מכן </w:t>
      </w:r>
      <w:r w:rsidR="00332D95" w:rsidRPr="00882F11">
        <w:rPr>
          <w:rFonts w:cs="Guttman Drogolin" w:hint="cs"/>
          <w:rtl/>
          <w:lang w:bidi="he-IL"/>
        </w:rPr>
        <w:t>ש</w:t>
      </w:r>
      <w:r w:rsidR="00554A47" w:rsidRPr="00882F11">
        <w:rPr>
          <w:rFonts w:cs="Guttman Drogolin" w:hint="cs"/>
          <w:rtl/>
          <w:lang w:bidi="he-IL"/>
        </w:rPr>
        <w:t>התפשט הטעם שבכל החתיכה ושוב אינה נותנת טעם</w:t>
      </w:r>
      <w:r w:rsidR="00332D95" w:rsidRPr="00882F11">
        <w:rPr>
          <w:rFonts w:cs="Guttman Drogolin" w:hint="cs"/>
          <w:rtl/>
          <w:lang w:bidi="he-IL"/>
        </w:rPr>
        <w:t xml:space="preserve"> אפילו בחלק העליון, מ"מהרי כבר נעשית היא נבילה ונשארת באיסורה. וע"כ כנ"ל, שכשסופו להתפשט</w:t>
      </w:r>
      <w:r w:rsidR="00554A47" w:rsidRPr="00882F11">
        <w:rPr>
          <w:rFonts w:cs="Guttman Drogolin" w:hint="cs"/>
          <w:rtl/>
          <w:lang w:bidi="he-IL"/>
        </w:rPr>
        <w:t xml:space="preserve"> </w:t>
      </w:r>
      <w:r w:rsidR="00332D95" w:rsidRPr="00882F11">
        <w:rPr>
          <w:rFonts w:cs="Guttman Drogolin" w:hint="cs"/>
          <w:rtl/>
          <w:lang w:bidi="he-IL"/>
        </w:rPr>
        <w:t xml:space="preserve">לא אמרינן חענ"ן. </w:t>
      </w:r>
    </w:p>
    <w:p w:rsidR="00332D95" w:rsidRPr="00882F11" w:rsidRDefault="00332D95" w:rsidP="00332D95">
      <w:pPr>
        <w:bidi/>
        <w:jc w:val="both"/>
        <w:rPr>
          <w:rFonts w:cs="Guttman Drogolin"/>
          <w:rtl/>
          <w:lang w:bidi="he-IL"/>
        </w:rPr>
      </w:pPr>
      <w:r w:rsidRPr="00882F11">
        <w:rPr>
          <w:rFonts w:cs="Guttman Drogolin" w:hint="cs"/>
          <w:rtl/>
          <w:lang w:bidi="he-IL"/>
        </w:rPr>
        <w:t xml:space="preserve">ובביאור האי כללא דסופו להתפשט, הנה בדינא דטכ"ע לכאורה פשוט שאפילו טעם שסופו להתפשט אוסר בשעתו ואמרינן שאסור לאכלו (אלא שדבר זה לכאורה בלתי אפשרי, דהא עד </w:t>
      </w:r>
      <w:r w:rsidRPr="00882F11">
        <w:rPr>
          <w:rFonts w:cs="Guttman Drogolin" w:hint="cs"/>
          <w:rtl/>
          <w:lang w:bidi="he-IL"/>
        </w:rPr>
        <w:lastRenderedPageBreak/>
        <w:t>כמה שאוכל אותו קודם שיתפשט שוב</w:t>
      </w:r>
      <w:r w:rsidR="000C18B9" w:rsidRPr="00882F11">
        <w:rPr>
          <w:rFonts w:cs="Guttman Drogolin" w:hint="cs"/>
          <w:rtl/>
          <w:lang w:bidi="he-IL"/>
        </w:rPr>
        <w:t xml:space="preserve"> לא יתפשט). רק הכוונה היא שבעצם</w:t>
      </w:r>
      <w:r w:rsidRPr="00882F11">
        <w:rPr>
          <w:rFonts w:cs="Guttman Drogolin" w:hint="cs"/>
          <w:rtl/>
          <w:lang w:bidi="he-IL"/>
        </w:rPr>
        <w:t xml:space="preserve"> זה שנעשית נבילה אמרינן דכיון שלא שהה בחתיכה אין כאן עשיי' של נבילה אע"ג שנאסרה לשעתה. </w:t>
      </w:r>
    </w:p>
    <w:p w:rsidR="004E1D29" w:rsidRPr="00882F11" w:rsidRDefault="00332D95" w:rsidP="00D421AE">
      <w:pPr>
        <w:bidi/>
        <w:jc w:val="both"/>
        <w:rPr>
          <w:rFonts w:cs="Guttman Drogolin"/>
          <w:rtl/>
          <w:lang w:bidi="he-IL"/>
        </w:rPr>
      </w:pPr>
      <w:r w:rsidRPr="00882F11">
        <w:rPr>
          <w:rFonts w:cs="Guttman Drogolin" w:hint="cs"/>
          <w:rtl/>
          <w:lang w:bidi="he-IL"/>
        </w:rPr>
        <w:t>והתוס' כתבו לדחות כלל זה, ומשום דיתכן שלעולם חתיכה עצמה נעשית נבילה אפילו כשסופו להתפשט, והטעם שבטיפת חלב שנפלה על החתיכה אין החלק העלון נעשית נבילה היינו משום דלא אמרינן חענ"ן בחצי חתיכה. וזהו סברת ר"א ממיץ. וע' תוס' לעיל צ"ז ע"א שכתבו בדעת ר"א ממיץ 'ואין</w:t>
      </w:r>
      <w:r w:rsidRPr="00882F11">
        <w:rPr>
          <w:rFonts w:cs="Guttman Drogolin"/>
          <w:rtl/>
          <w:lang w:bidi="he-IL"/>
        </w:rPr>
        <w:t xml:space="preserve"> </w:t>
      </w:r>
      <w:r w:rsidRPr="00882F11">
        <w:rPr>
          <w:rFonts w:cs="Guttman Drogolin" w:hint="cs"/>
          <w:rtl/>
          <w:lang w:bidi="he-IL"/>
        </w:rPr>
        <w:t>זה</w:t>
      </w:r>
      <w:r w:rsidRPr="00882F11">
        <w:rPr>
          <w:rFonts w:cs="Guttman Drogolin"/>
          <w:rtl/>
          <w:lang w:bidi="he-IL"/>
        </w:rPr>
        <w:t xml:space="preserve"> </w:t>
      </w:r>
      <w:r w:rsidRPr="00882F11">
        <w:rPr>
          <w:rFonts w:cs="Guttman Drogolin" w:hint="cs"/>
          <w:rtl/>
          <w:lang w:bidi="he-IL"/>
        </w:rPr>
        <w:t>טעם'. ולכאורה כוונתו לומר שמסברא אין טעם לחלק בין חצי חתיכה לכל החתיכה. והנה לכאורה הי' אפשר לומר שהא סברא מדרבנן, שלא רצו להחמיר לעשותו כנבילה אם אינו כל החתיכה. אבל כיון שהתוס' אומרים כן כדי לבאר המתני' שבדף ק"ח ע"א, מבואר שאפילו בב"ח דאורייתא ל</w:t>
      </w:r>
      <w:r w:rsidR="00E35E51" w:rsidRPr="00882F11">
        <w:rPr>
          <w:rFonts w:cs="Guttman Drogolin" w:hint="cs"/>
          <w:rtl/>
          <w:lang w:bidi="he-IL"/>
        </w:rPr>
        <w:t>א</w:t>
      </w:r>
      <w:r w:rsidRPr="00882F11">
        <w:rPr>
          <w:rFonts w:cs="Guttman Drogolin" w:hint="cs"/>
          <w:rtl/>
          <w:lang w:bidi="he-IL"/>
        </w:rPr>
        <w:t xml:space="preserve"> אומרים חענ"ן בחצי חתיכה אליבא דר"א ממיץ</w:t>
      </w:r>
      <w:r w:rsidR="00645EAC" w:rsidRPr="00882F11">
        <w:rPr>
          <w:rStyle w:val="FootnoteReference"/>
          <w:rFonts w:cs="Guttman Drogolin"/>
          <w:rtl/>
          <w:lang w:bidi="he-IL"/>
        </w:rPr>
        <w:footnoteReference w:id="86"/>
      </w:r>
      <w:r w:rsidRPr="00882F11">
        <w:rPr>
          <w:rFonts w:cs="Guttman Drogolin" w:hint="cs"/>
          <w:rtl/>
          <w:lang w:bidi="he-IL"/>
        </w:rPr>
        <w:t xml:space="preserve">. וצ"ע בטעמו של דבר. </w:t>
      </w:r>
      <w:r w:rsidR="00824A75" w:rsidRPr="00882F11">
        <w:rPr>
          <w:rFonts w:cs="Guttman Drogolin" w:hint="cs"/>
          <w:rtl/>
          <w:lang w:bidi="he-IL"/>
        </w:rPr>
        <w:t>שו"מ בשפ"ד סי' צ"ב ס"ק ד' שהעיר בזה.</w:t>
      </w:r>
      <w:r w:rsidR="00554A47" w:rsidRPr="00882F11">
        <w:rPr>
          <w:rFonts w:cs="Guttman Drogolin" w:hint="cs"/>
          <w:rtl/>
          <w:lang w:bidi="he-IL"/>
        </w:rPr>
        <w:t xml:space="preserve"> </w:t>
      </w:r>
      <w:r w:rsidR="00D421AE" w:rsidRPr="00882F11">
        <w:rPr>
          <w:rFonts w:cs="Guttman Drogolin" w:hint="cs"/>
          <w:rtl/>
          <w:lang w:bidi="he-IL"/>
        </w:rPr>
        <w:t>ובר</w:t>
      </w:r>
      <w:r w:rsidR="00824A75" w:rsidRPr="00882F11">
        <w:rPr>
          <w:rFonts w:cs="Guttman Drogolin" w:hint="cs"/>
          <w:rtl/>
          <w:lang w:bidi="he-IL"/>
        </w:rPr>
        <w:t xml:space="preserve">"ן </w:t>
      </w:r>
      <w:r w:rsidR="00D421AE" w:rsidRPr="00882F11">
        <w:rPr>
          <w:rFonts w:cs="Guttman Drogolin" w:hint="cs"/>
          <w:rtl/>
          <w:lang w:bidi="he-IL"/>
        </w:rPr>
        <w:t xml:space="preserve">מבואר </w:t>
      </w:r>
      <w:r w:rsidR="00824A75" w:rsidRPr="00882F11">
        <w:rPr>
          <w:rFonts w:cs="Guttman Drogolin" w:hint="cs"/>
          <w:rtl/>
          <w:lang w:bidi="he-IL"/>
        </w:rPr>
        <w:t xml:space="preserve">דיתכן שבב"ח לא מצאנו חענ"ן אלא </w:t>
      </w:r>
      <w:r w:rsidR="00583EF2" w:rsidRPr="00882F11">
        <w:rPr>
          <w:rFonts w:cs="Guttman Drogolin" w:hint="cs"/>
          <w:rtl/>
          <w:lang w:bidi="he-IL"/>
        </w:rPr>
        <w:t>ב</w:t>
      </w:r>
      <w:r w:rsidR="00824A75" w:rsidRPr="00882F11">
        <w:rPr>
          <w:rFonts w:cs="Guttman Drogolin" w:hint="cs"/>
          <w:rtl/>
          <w:lang w:bidi="he-IL"/>
        </w:rPr>
        <w:t>חתיכה</w:t>
      </w:r>
      <w:r w:rsidR="00583EF2" w:rsidRPr="00882F11">
        <w:rPr>
          <w:rFonts w:cs="Guttman Drogolin" w:hint="cs"/>
          <w:rtl/>
          <w:lang w:bidi="he-IL"/>
        </w:rPr>
        <w:t xml:space="preserve"> שלמה</w:t>
      </w:r>
      <w:r w:rsidR="00824A75" w:rsidRPr="00882F11">
        <w:rPr>
          <w:rFonts w:cs="Guttman Drogolin" w:hint="cs"/>
          <w:rtl/>
          <w:lang w:bidi="he-IL"/>
        </w:rPr>
        <w:t>, דהא אין איסור בשר בחלב מדאורייתא אלא דרך בישול, וכשהוא דרך בישול הרי ממילא מתפשט בכל החתיכה. וא"כ בהא דטיפת חלב שנפלה על החתיכה יתכן שלא חשוב בישול לענין בב"ח מדאורייתא, ולכן ממילא אין טעם לומר בה חענ"ן מדאורייתא</w:t>
      </w:r>
      <w:r w:rsidR="007B3F56" w:rsidRPr="00882F11">
        <w:rPr>
          <w:rFonts w:cs="Guttman Drogolin" w:hint="cs"/>
          <w:rtl/>
          <w:lang w:bidi="he-IL"/>
        </w:rPr>
        <w:t xml:space="preserve">, וכל החענ"ן הוא מדרבנן, לכן שפיר שייך סברא </w:t>
      </w:r>
      <w:r w:rsidR="009670B1" w:rsidRPr="00882F11">
        <w:rPr>
          <w:rFonts w:cs="Guttman Drogolin" w:hint="cs"/>
          <w:rtl/>
          <w:lang w:bidi="he-IL"/>
        </w:rPr>
        <w:t xml:space="preserve">דרבנן </w:t>
      </w:r>
      <w:r w:rsidR="007B3F56" w:rsidRPr="00882F11">
        <w:rPr>
          <w:rFonts w:cs="Guttman Drogolin" w:hint="cs"/>
          <w:rtl/>
          <w:lang w:bidi="he-IL"/>
        </w:rPr>
        <w:t>הנ"ל.</w:t>
      </w:r>
      <w:r w:rsidR="004460B5" w:rsidRPr="00882F11">
        <w:rPr>
          <w:rFonts w:cs="Guttman Drogolin" w:hint="cs"/>
          <w:rtl/>
          <w:lang w:bidi="he-IL"/>
        </w:rPr>
        <w:t xml:space="preserve"> </w:t>
      </w:r>
    </w:p>
    <w:p w:rsidR="00824A75" w:rsidRPr="00882F11" w:rsidRDefault="00693F0B" w:rsidP="0078079C">
      <w:pPr>
        <w:pStyle w:val="Heading1"/>
        <w:bidi/>
        <w:spacing w:before="0" w:line="360" w:lineRule="auto"/>
        <w:jc w:val="center"/>
        <w:rPr>
          <w:rFonts w:cs="Guttman Drogolin"/>
          <w:color w:val="auto"/>
          <w:sz w:val="24"/>
          <w:szCs w:val="24"/>
          <w:u w:val="single"/>
          <w:rtl/>
          <w:lang w:bidi="he-IL"/>
        </w:rPr>
      </w:pPr>
      <w:bookmarkStart w:id="75" w:name="_Toc496175337"/>
      <w:r w:rsidRPr="00882F11">
        <w:rPr>
          <w:rFonts w:cs="Guttman Drogolin" w:hint="cs"/>
          <w:color w:val="auto"/>
          <w:sz w:val="24"/>
          <w:szCs w:val="24"/>
          <w:u w:val="single"/>
          <w:rtl/>
          <w:lang w:bidi="he-IL"/>
        </w:rPr>
        <w:t>דיני התפשטות הטעם</w:t>
      </w:r>
      <w:bookmarkEnd w:id="75"/>
    </w:p>
    <w:p w:rsidR="00583EF2" w:rsidRPr="00882F11" w:rsidRDefault="00011127" w:rsidP="008B0600">
      <w:pPr>
        <w:bidi/>
        <w:jc w:val="both"/>
        <w:rPr>
          <w:rFonts w:cs="Guttman Drogolin"/>
          <w:rtl/>
          <w:lang w:bidi="he-IL"/>
        </w:rPr>
      </w:pPr>
      <w:r>
        <w:rPr>
          <w:rFonts w:cs="Guttman Drogolin"/>
          <w:rtl/>
          <w:lang w:bidi="he-IL"/>
        </w:rPr>
        <w:fldChar w:fldCharType="begin"/>
      </w:r>
      <w:r>
        <w:instrText xml:space="preserve"> XE "</w:instrText>
      </w:r>
      <w:r w:rsidRPr="00730DFB">
        <w:rPr>
          <w:rFonts w:hint="cs"/>
          <w:rtl/>
          <w:lang w:bidi="he-IL"/>
        </w:rPr>
        <w:instrText>טיפת חלב שנפלה על החתיכה</w:instrText>
      </w:r>
      <w:r w:rsidRPr="00730DFB">
        <w:rPr>
          <w:rtl/>
        </w:rPr>
        <w:instrText>:</w:instrText>
      </w:r>
      <w:r w:rsidRPr="00730DFB">
        <w:rPr>
          <w:rFonts w:hint="cs"/>
          <w:rtl/>
          <w:lang w:bidi="he-IL"/>
        </w:rPr>
        <w:instrText>למה מתפשט בכל החתיכה ולא מחתיכה לחתיכה</w:instrText>
      </w:r>
      <w:r>
        <w:instrText xml:space="preserve">" </w:instrText>
      </w:r>
      <w:r>
        <w:rPr>
          <w:rFonts w:cs="Guttman Drogolin"/>
          <w:rtl/>
          <w:lang w:bidi="he-IL"/>
        </w:rPr>
        <w:fldChar w:fldCharType="end"/>
      </w:r>
      <w:r w:rsidR="00693F0B" w:rsidRPr="00882F11">
        <w:rPr>
          <w:rFonts w:cs="Guttman Drogolin" w:hint="cs"/>
          <w:rtl/>
          <w:lang w:bidi="he-IL"/>
        </w:rPr>
        <w:t xml:space="preserve">חלק מכובד של דיני או"ה שייכת לעניני התפשטות הטעם. וענינו לברר עד כמה הטעם של איסור התפשט לתוך ההיתר. והנה אם איסור התבשל בתוך רוטב, או שנפל אסור לח לתוך היתר לח, או אפילו שרה ענבים במים, בכולם </w:t>
      </w:r>
      <w:r w:rsidR="00693F0B" w:rsidRPr="00882F11">
        <w:rPr>
          <w:rFonts w:cs="Guttman Drogolin" w:hint="cs"/>
          <w:rtl/>
          <w:lang w:bidi="he-IL"/>
        </w:rPr>
        <w:lastRenderedPageBreak/>
        <w:t>אמרינן שהאיסור התפשט בכולו.</w:t>
      </w:r>
      <w:r w:rsidR="00583EF2" w:rsidRPr="00882F11">
        <w:rPr>
          <w:rFonts w:cs="Guttman Drogolin" w:hint="cs"/>
          <w:rtl/>
          <w:lang w:bidi="he-IL"/>
        </w:rPr>
        <w:t xml:space="preserve"> ומאידך בצלי אנחנו מוצאים לעיל בדף צ"ו ע"ב שאין האיסור נבלע בתוך ההיתר אלא כדי קליפה. והחילוק בין צלי למבושל הוא שבצלי יש חום בלי רוטב, משא"כ בבישול דהוי גם חום וגם רוטב. ור"ל שחום מבליע טעם בין חתיכה לח</w:t>
      </w:r>
      <w:r w:rsidR="008B0600" w:rsidRPr="00882F11">
        <w:rPr>
          <w:rFonts w:cs="Guttman Drogolin" w:hint="cs"/>
          <w:rtl/>
          <w:lang w:bidi="he-IL"/>
        </w:rPr>
        <w:t>ת</w:t>
      </w:r>
      <w:r w:rsidR="00583EF2" w:rsidRPr="00882F11">
        <w:rPr>
          <w:rFonts w:cs="Guttman Drogolin" w:hint="cs"/>
          <w:rtl/>
          <w:lang w:bidi="he-IL"/>
        </w:rPr>
        <w:t>יכה אפילו בלי רוטב, אבל רק כדי קליפה. וגם בצלי יש חילוקים, דהא מבואר שם שבאיסור המפעפע הרי הוא חודר יותר מכדי קליפה.</w:t>
      </w:r>
    </w:p>
    <w:p w:rsidR="00583EF2" w:rsidRPr="00882F11" w:rsidRDefault="00583EF2" w:rsidP="001737B3">
      <w:pPr>
        <w:bidi/>
        <w:jc w:val="both"/>
        <w:rPr>
          <w:rFonts w:cs="Guttman Drogolin"/>
          <w:rtl/>
          <w:lang w:bidi="he-IL"/>
        </w:rPr>
      </w:pPr>
      <w:r w:rsidRPr="00882F11">
        <w:rPr>
          <w:rFonts w:cs="Guttman Drogolin" w:hint="cs"/>
          <w:rtl/>
          <w:lang w:bidi="he-IL"/>
        </w:rPr>
        <w:t xml:space="preserve">ומיני' שיש לע' במתני' דטיפת חלב שנפלה על החתיכה למה מהני כל החתיכה לבטל הטיפה, שאם החתכה הוא כולו שקוע בתוך הרוטב הא יש לצרף את כל הקדירה לשיעור ששים. וכן לא היינו קוראים לזה נפלה על החתיכה אלא נפלה בתוך התבשיל. ובב"י יש שיטה הסוברת דמיירי בנפלה על החתיכה שהיא כולה שקועה בתוך הרוטב, ורק פני' של מעלה הי' צריך להתפשט בכל הקדרה, וא"כ למה אין אנו משערין אלא בחתיכה. </w:t>
      </w:r>
    </w:p>
    <w:p w:rsidR="00995B28" w:rsidRPr="00882F11" w:rsidRDefault="00583EF2" w:rsidP="008B0600">
      <w:pPr>
        <w:bidi/>
        <w:jc w:val="both"/>
        <w:rPr>
          <w:rFonts w:cs="Guttman Drogolin"/>
          <w:rtl/>
          <w:lang w:bidi="he-IL"/>
        </w:rPr>
      </w:pPr>
      <w:r w:rsidRPr="00882F11">
        <w:rPr>
          <w:rFonts w:cs="Guttman Drogolin" w:hint="cs"/>
          <w:rtl/>
          <w:lang w:bidi="he-IL"/>
        </w:rPr>
        <w:t>ויש לזה כ</w:t>
      </w:r>
      <w:r w:rsidR="00876434" w:rsidRPr="00882F11">
        <w:rPr>
          <w:rFonts w:cs="Guttman Drogolin" w:hint="cs"/>
          <w:rtl/>
          <w:lang w:bidi="he-IL"/>
        </w:rPr>
        <w:t>מ</w:t>
      </w:r>
      <w:r w:rsidRPr="00882F11">
        <w:rPr>
          <w:rFonts w:cs="Guttman Drogolin" w:hint="cs"/>
          <w:rtl/>
          <w:lang w:bidi="he-IL"/>
        </w:rPr>
        <w:t>ה תירוצים בראשונים. בתוס' לעיל בדף צ"ו ע"ב הבינו שמדובר בח</w:t>
      </w:r>
      <w:r w:rsidR="00655EB3" w:rsidRPr="00882F11">
        <w:rPr>
          <w:rFonts w:cs="Guttman Drogolin" w:hint="cs"/>
          <w:rtl/>
          <w:lang w:bidi="he-IL"/>
        </w:rPr>
        <w:t>ת</w:t>
      </w:r>
      <w:r w:rsidRPr="00882F11">
        <w:rPr>
          <w:rFonts w:cs="Guttman Drogolin" w:hint="cs"/>
          <w:rtl/>
          <w:lang w:bidi="he-IL"/>
        </w:rPr>
        <w:t>יכה שהיא כלה למעלה מרוטב התבשיל. וכתב הר"ן שמ"מ הרי הוא מתפשט בכולו ולא נחשב צליי' שאינה אוסרת אלא כדי קליפה</w:t>
      </w:r>
      <w:r w:rsidR="00995B28" w:rsidRPr="00882F11">
        <w:rPr>
          <w:rFonts w:cs="Guttman Drogolin" w:hint="cs"/>
          <w:rtl/>
          <w:lang w:bidi="he-IL"/>
        </w:rPr>
        <w:t xml:space="preserve"> משום שהבל הקדירה מערבת את הטיפה בכל החתיכה. ולכאורה צריכים לומר לפי שיטתו דאע"ג דמהני הבל הקדירה שיתפשט בכולו, אין זה נחשב בתוך הרוטב של התבשיל, דהא א"כ הדרה קושיא לדוכתי' למה</w:t>
      </w:r>
      <w:r w:rsidRPr="00882F11">
        <w:rPr>
          <w:rFonts w:cs="Guttman Drogolin" w:hint="cs"/>
          <w:rtl/>
          <w:lang w:bidi="he-IL"/>
        </w:rPr>
        <w:t xml:space="preserve"> </w:t>
      </w:r>
      <w:r w:rsidR="00995B28" w:rsidRPr="00882F11">
        <w:rPr>
          <w:rFonts w:cs="Guttman Drogolin" w:hint="cs"/>
          <w:rtl/>
          <w:lang w:bidi="he-IL"/>
        </w:rPr>
        <w:t>אין אנו משערין בכל התבשיל. אלא מהני ההבל להתפשט בכל החתיכה ולא מחתיכה לח</w:t>
      </w:r>
      <w:r w:rsidR="008B0600" w:rsidRPr="00882F11">
        <w:rPr>
          <w:rFonts w:cs="Guttman Drogolin" w:hint="cs"/>
          <w:rtl/>
          <w:lang w:bidi="he-IL"/>
        </w:rPr>
        <w:t>ת</w:t>
      </w:r>
      <w:r w:rsidR="00995B28" w:rsidRPr="00882F11">
        <w:rPr>
          <w:rFonts w:cs="Guttman Drogolin" w:hint="cs"/>
          <w:rtl/>
          <w:lang w:bidi="he-IL"/>
        </w:rPr>
        <w:t>יכה.</w:t>
      </w:r>
    </w:p>
    <w:p w:rsidR="00E25EAC" w:rsidRPr="00882F11" w:rsidRDefault="00995B28" w:rsidP="00893FDD">
      <w:pPr>
        <w:bidi/>
        <w:jc w:val="both"/>
        <w:rPr>
          <w:rFonts w:cs="Guttman Drogolin"/>
          <w:rtl/>
          <w:lang w:bidi="he-IL"/>
        </w:rPr>
      </w:pPr>
      <w:r w:rsidRPr="00882F11">
        <w:rPr>
          <w:rFonts w:cs="Guttman Drogolin" w:hint="cs"/>
          <w:rtl/>
          <w:lang w:bidi="he-IL"/>
        </w:rPr>
        <w:t>ו</w:t>
      </w:r>
      <w:r w:rsidR="001737B3" w:rsidRPr="00882F11">
        <w:rPr>
          <w:rFonts w:cs="Guttman Drogolin" w:hint="cs"/>
          <w:rtl/>
          <w:lang w:bidi="he-IL"/>
        </w:rPr>
        <w:t xml:space="preserve">בספר התרומה נקט שחלב הוי דבר שמן ולכן מפעפע אפילו בצלי וכנ"ל. </w:t>
      </w:r>
      <w:r w:rsidR="00893FDD" w:rsidRPr="00882F11">
        <w:rPr>
          <w:rFonts w:cs="Guttman Drogolin" w:hint="cs"/>
          <w:rtl/>
          <w:lang w:bidi="he-IL"/>
        </w:rPr>
        <w:t xml:space="preserve">וגם בזה יש את ההערה הנ"ל שאם הוא שמן ומפעפע למה אין משעין בכל הדקרה כיון שהוא שמן וספו להתפשט בכל הקדרה. ולכאורה חייבים לומר שאמנם דבר שמן מתפשט מ"מ אינו מתפשט מחתיכה לחתיכה. ושיטת הרשב"א בתוה"א </w:t>
      </w:r>
      <w:r w:rsidR="00992D24" w:rsidRPr="00882F11">
        <w:rPr>
          <w:rFonts w:cs="Guttman Drogolin" w:hint="cs"/>
          <w:rtl/>
          <w:lang w:bidi="he-IL"/>
        </w:rPr>
        <w:t xml:space="preserve">שחלב הוי </w:t>
      </w:r>
      <w:r w:rsidR="00992D24" w:rsidRPr="00882F11">
        <w:rPr>
          <w:rFonts w:cs="Guttman Drogolin" w:hint="cs"/>
          <w:rtl/>
          <w:lang w:bidi="he-IL"/>
        </w:rPr>
        <w:lastRenderedPageBreak/>
        <w:t>כחוש קצת, וא"כ איכא למימר שאמנם דבר שמן ממש מפעפע גם מחתיכה לחתיכה</w:t>
      </w:r>
      <w:r w:rsidR="00E25EAC" w:rsidRPr="00882F11">
        <w:rPr>
          <w:rFonts w:cs="Guttman Drogolin" w:hint="cs"/>
          <w:rtl/>
          <w:lang w:bidi="he-IL"/>
        </w:rPr>
        <w:t xml:space="preserve">, מ"מ חלב שאינו אלא שמן קצת מפעפע בכל החתיכה אבל לא מחתכה לחתיכה. </w:t>
      </w:r>
    </w:p>
    <w:p w:rsidR="00014414" w:rsidRPr="00882F11" w:rsidRDefault="00E25EAC" w:rsidP="002133F6">
      <w:pPr>
        <w:bidi/>
        <w:jc w:val="both"/>
        <w:rPr>
          <w:rFonts w:cs="Guttman Drogolin"/>
          <w:rtl/>
          <w:lang w:bidi="he-IL"/>
        </w:rPr>
      </w:pPr>
      <w:r w:rsidRPr="00882F11">
        <w:rPr>
          <w:rFonts w:cs="Guttman Drogolin" w:hint="cs"/>
          <w:rtl/>
          <w:lang w:bidi="he-IL"/>
        </w:rPr>
        <w:t>והתוס' הביאו שם פרש"</w:t>
      </w:r>
      <w:r w:rsidR="00BF6573" w:rsidRPr="00882F11">
        <w:rPr>
          <w:rFonts w:cs="Guttman Drogolin" w:hint="cs"/>
          <w:rtl/>
          <w:lang w:bidi="he-IL"/>
        </w:rPr>
        <w:t>י כאן בסוגיא שאפילו אם מקצת החתיכה מונח ברוטב מ"מ אין משערים ששים אלא בחתיכה. וע"ש במהרש"א איך התוס' דקדקו דבר זה מלשון רש"י. והתוס' חלקו דכה"ג משערים בכל הקדירה. ונראה לפום ריהטא</w:t>
      </w:r>
      <w:r w:rsidR="00AB75C7" w:rsidRPr="00882F11">
        <w:rPr>
          <w:rStyle w:val="FootnoteReference"/>
          <w:rFonts w:cs="Guttman Drogolin"/>
          <w:rtl/>
          <w:lang w:bidi="he-IL"/>
        </w:rPr>
        <w:footnoteReference w:id="87"/>
      </w:r>
      <w:r w:rsidR="00BF6573" w:rsidRPr="00882F11">
        <w:rPr>
          <w:rFonts w:cs="Guttman Drogolin" w:hint="cs"/>
          <w:rtl/>
          <w:lang w:bidi="he-IL"/>
        </w:rPr>
        <w:t xml:space="preserve"> שרש"י נטה מפירושם של התוס' כיון שהי' קשה להם שאם כולו למעלה מן הרוטב למה משערים בכל החתיכה הא אין זה אלא כמו צלי. וע"כ סבר שצריכים עכ"פ מקצת בתוך הרוטב. אלא דהנה סברת התוס' לכאורה מובנת שפיר, שהרי כיון שהבליעה מתפשטת בכל החתיכה יהי' מאיזה טעם שיהי', וכן החלק התחתון הרי מונח ברוטב ולכן ממילא מתפשט החלק ההוא בכל התבשיל, א"כ ע"פ חשבון הי' צריך להיות שבכה"ג שאפילו מקצת החתיכה בתוך הרוטב משערים בכל התבשיל. ויל"ע מהו סברת רש"י. והנה המרדכי נקט שאם אין ששים בח</w:t>
      </w:r>
      <w:r w:rsidR="00655EB3" w:rsidRPr="00882F11">
        <w:rPr>
          <w:rFonts w:cs="Guttman Drogolin" w:hint="cs"/>
          <w:rtl/>
          <w:lang w:bidi="he-IL"/>
        </w:rPr>
        <w:t>ת</w:t>
      </w:r>
      <w:r w:rsidR="00BF6573" w:rsidRPr="00882F11">
        <w:rPr>
          <w:rFonts w:cs="Guttman Drogolin" w:hint="cs"/>
          <w:rtl/>
          <w:lang w:bidi="he-IL"/>
        </w:rPr>
        <w:t xml:space="preserve">יכה אבל יש ששים בתבשיל, אין לאסור אלא החלק של החתיכה שהוא מחוץ לרוטב. והטעם בזה שהחלק שבתוך הרוטב הרי מתפשט בכל התבשיל והוי כמו ניער וכיסה, ולכן כלפי החלק הזה שפיר משערים בכל התבשיל. ורק החלק בעליון שאינו מתוך הרוטב אמרינן שלא משערים אלא בחתיכה בלבד. ואע"ג שהבליעה מתפשטת בכל החתיכה, ולכן הי' צריך הבליעה לרדת לחלק התחתון ומשם לכל התבשיל, כנראה סבר המרדכי בדעת רש"י </w:t>
      </w:r>
      <w:r w:rsidR="00014414" w:rsidRPr="00882F11">
        <w:rPr>
          <w:rFonts w:cs="Guttman Drogolin" w:hint="cs"/>
          <w:rtl/>
          <w:lang w:bidi="he-IL"/>
        </w:rPr>
        <w:t>שאין זה נחשב בבת אחת, ורק מה שמתפשט מעיקרא משערים בכל התבשיל ולא איכת לן מה קורא לאחר מכן. ויש מפרשים שיטת רש"י בענין אחר. י"א שהוא באמת מתפשט בכל החתיכה ואפי</w:t>
      </w:r>
      <w:r w:rsidR="00ED528A" w:rsidRPr="00882F11">
        <w:rPr>
          <w:rFonts w:cs="Guttman Drogolin" w:hint="cs"/>
          <w:rtl/>
          <w:lang w:bidi="he-IL"/>
        </w:rPr>
        <w:t>לו החלק התחתון נאסר אע"פ שהוא ב</w:t>
      </w:r>
      <w:r w:rsidR="00014414" w:rsidRPr="00882F11">
        <w:rPr>
          <w:rFonts w:cs="Guttman Drogolin" w:hint="cs"/>
          <w:rtl/>
          <w:lang w:bidi="he-IL"/>
        </w:rPr>
        <w:t>תוך המים. ודבר זה צ"ע איך יתכן דבר זה ומי שנא החלק בהתחתון הוא בתוך הים מכל חתיכה שהוא למטה מן המים בתבשיל. וצ"ע.</w:t>
      </w:r>
    </w:p>
    <w:p w:rsidR="00EB6995" w:rsidRPr="00882F11" w:rsidRDefault="00014414" w:rsidP="001509DE">
      <w:pPr>
        <w:bidi/>
        <w:jc w:val="both"/>
        <w:rPr>
          <w:rFonts w:cs="Guttman Drogolin"/>
          <w:rtl/>
          <w:lang w:bidi="he-IL"/>
        </w:rPr>
      </w:pPr>
      <w:r w:rsidRPr="00882F11">
        <w:rPr>
          <w:rFonts w:cs="Guttman Drogolin" w:hint="cs"/>
          <w:rtl/>
          <w:lang w:bidi="he-IL"/>
        </w:rPr>
        <w:lastRenderedPageBreak/>
        <w:t>עוד דבר מתבאר מן הסוגיא, והוא דאע"ג ביארנו הטעם לשיטת התוס' שהבליעה מתפשטת</w:t>
      </w:r>
      <w:r w:rsidR="00BF6573" w:rsidRPr="00882F11">
        <w:rPr>
          <w:rFonts w:cs="Guttman Drogolin" w:hint="cs"/>
          <w:rtl/>
          <w:lang w:bidi="he-IL"/>
        </w:rPr>
        <w:t xml:space="preserve"> </w:t>
      </w:r>
      <w:r w:rsidRPr="00882F11">
        <w:rPr>
          <w:rFonts w:cs="Guttman Drogolin" w:hint="cs"/>
          <w:rtl/>
          <w:lang w:bidi="he-IL"/>
        </w:rPr>
        <w:t>בכל החתיכה ולא בכל התבשיל, ולכגון שיטת הר"ן הטעם משום שההבל אין לו כח לשעות התפשטות הטעם אלא באותה חתיכה ולא בכל התבשיל, מ"מ עדיין צ"ע, דנהי נמי שאין לש</w:t>
      </w:r>
      <w:r w:rsidR="001509DE" w:rsidRPr="00882F11">
        <w:rPr>
          <w:rFonts w:cs="Guttman Drogolin" w:hint="cs"/>
          <w:rtl/>
          <w:lang w:bidi="he-IL"/>
        </w:rPr>
        <w:t>ע</w:t>
      </w:r>
      <w:r w:rsidRPr="00882F11">
        <w:rPr>
          <w:rFonts w:cs="Guttman Drogolin" w:hint="cs"/>
          <w:rtl/>
          <w:lang w:bidi="he-IL"/>
        </w:rPr>
        <w:t>ר בכל התבשיל, אבל לא יאסר החלק העליון של החתיכה שעליו מונח החתיכה שנפל עליו הטיפת חלב, דלא יהא אלא צלי הא גם צלי אוסר כדי קליפה. ומכח קושיא זו מוכיחים שיש לנו כלל: אין בליעה עוברת מחתיכה לחתיכה בלי רוטב. וכוונת הדברים, שאמנם צלי יכול להבלע כדי קליפה בתוך חתיכה המותרת, הנ"מ כשהוא מביעה טעם שהיא מחמת עצמה, אבל חתיכת היתר שבלע איסור, אין לו כח להבליע מטעמו האסור לתוך חתיכה שלידו כלל ואפילו דרך צלי. וכלל זה הוא נפק"מ גדולה, דמכח זה אמרינן אותו דבר בכלי שאין טע</w:t>
      </w:r>
      <w:r w:rsidR="00D6549C" w:rsidRPr="00882F11">
        <w:rPr>
          <w:rFonts w:cs="Guttman Drogolin" w:hint="cs"/>
          <w:rtl/>
          <w:lang w:bidi="he-IL"/>
        </w:rPr>
        <w:t>ם</w:t>
      </w:r>
      <w:r w:rsidRPr="00882F11">
        <w:rPr>
          <w:rFonts w:cs="Guttman Drogolin" w:hint="cs"/>
          <w:rtl/>
          <w:lang w:bidi="he-IL"/>
        </w:rPr>
        <w:t xml:space="preserve"> עובר מכלי לכלי בלי רוטב. ולכן לדוגמא אם מניחים סיר בשרי ע"ג כיריים חלביים, אע</w:t>
      </w:r>
      <w:r w:rsidR="005D5E50" w:rsidRPr="00882F11">
        <w:rPr>
          <w:rFonts w:cs="Guttman Drogolin" w:hint="cs"/>
          <w:rtl/>
          <w:lang w:bidi="he-IL"/>
        </w:rPr>
        <w:t>"פ שיש בשר בתוך הסיר וכן נבלע ב</w:t>
      </w:r>
      <w:r w:rsidRPr="00882F11">
        <w:rPr>
          <w:rFonts w:cs="Guttman Drogolin" w:hint="cs"/>
          <w:rtl/>
          <w:lang w:bidi="he-IL"/>
        </w:rPr>
        <w:t>כיריים טעם חלבי ב</w:t>
      </w:r>
      <w:r w:rsidR="00D6549C" w:rsidRPr="00882F11">
        <w:rPr>
          <w:rFonts w:cs="Guttman Drogolin" w:hint="cs"/>
          <w:rtl/>
          <w:lang w:bidi="he-IL"/>
        </w:rPr>
        <w:t>א</w:t>
      </w:r>
      <w:r w:rsidRPr="00882F11">
        <w:rPr>
          <w:rFonts w:cs="Guttman Drogolin" w:hint="cs"/>
          <w:rtl/>
          <w:lang w:bidi="he-IL"/>
        </w:rPr>
        <w:t>ותו יום, מ"מ אין אוסרים אחד את השני</w:t>
      </w:r>
      <w:r w:rsidR="00896D86" w:rsidRPr="00882F11">
        <w:rPr>
          <w:rFonts w:cs="Guttman Drogolin" w:hint="cs"/>
          <w:rtl/>
          <w:lang w:bidi="he-IL"/>
        </w:rPr>
        <w:t xml:space="preserve"> כיון שאין בליעה עובר מכלי לכלי בלי רוטב.</w:t>
      </w:r>
    </w:p>
    <w:p w:rsidR="00EB6995" w:rsidRPr="00882F11" w:rsidRDefault="00EB6995" w:rsidP="00EB6995">
      <w:pPr>
        <w:bidi/>
        <w:jc w:val="both"/>
        <w:rPr>
          <w:rFonts w:cs="Guttman Drogolin"/>
          <w:rtl/>
          <w:lang w:bidi="he-IL"/>
        </w:rPr>
        <w:sectPr w:rsidR="00EB6995" w:rsidRPr="00882F11" w:rsidSect="000F6DEF">
          <w:type w:val="continuous"/>
          <w:pgSz w:w="11907" w:h="16839" w:code="9"/>
          <w:pgMar w:top="1440" w:right="1440" w:bottom="1440" w:left="1440" w:header="720" w:footer="720" w:gutter="0"/>
          <w:cols w:num="2" w:space="720"/>
          <w:bidi/>
          <w:docGrid w:linePitch="360"/>
        </w:sectPr>
      </w:pPr>
    </w:p>
    <w:p w:rsidR="00EB6995" w:rsidRPr="00882F11" w:rsidRDefault="00EB6995" w:rsidP="00EB6995">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כ'</w:t>
      </w:r>
    </w:p>
    <w:p w:rsidR="000F6DEF" w:rsidRDefault="000F6DEF" w:rsidP="0078079C">
      <w:pPr>
        <w:pStyle w:val="Heading1"/>
        <w:bidi/>
        <w:spacing w:before="0" w:line="360" w:lineRule="auto"/>
        <w:jc w:val="center"/>
        <w:rPr>
          <w:rFonts w:cs="Guttman Drogolin"/>
          <w:color w:val="auto"/>
          <w:sz w:val="24"/>
          <w:szCs w:val="24"/>
          <w:u w:val="single"/>
          <w:rtl/>
          <w:lang w:bidi="he-IL"/>
        </w:rPr>
        <w:sectPr w:rsidR="000F6DEF" w:rsidSect="000F6DEF">
          <w:headerReference w:type="default" r:id="rId22"/>
          <w:pgSz w:w="11907" w:h="16839" w:code="9"/>
          <w:pgMar w:top="1440" w:right="1440" w:bottom="1440" w:left="1440" w:header="720" w:footer="720" w:gutter="0"/>
          <w:cols w:space="720"/>
          <w:bidi/>
          <w:docGrid w:linePitch="360"/>
        </w:sectPr>
      </w:pPr>
    </w:p>
    <w:p w:rsidR="00EB6995" w:rsidRPr="00882F11" w:rsidRDefault="00EB6995" w:rsidP="0078079C">
      <w:pPr>
        <w:pStyle w:val="Heading1"/>
        <w:bidi/>
        <w:spacing w:before="0" w:line="360" w:lineRule="auto"/>
        <w:jc w:val="center"/>
        <w:rPr>
          <w:rFonts w:cs="Guttman Drogolin"/>
          <w:color w:val="auto"/>
          <w:sz w:val="24"/>
          <w:szCs w:val="24"/>
          <w:u w:val="single"/>
          <w:rtl/>
          <w:lang w:bidi="he-IL"/>
        </w:rPr>
      </w:pPr>
      <w:bookmarkStart w:id="76" w:name="_Toc496175338"/>
      <w:r w:rsidRPr="00882F11">
        <w:rPr>
          <w:rFonts w:cs="Guttman Drogolin" w:hint="cs"/>
          <w:color w:val="auto"/>
          <w:sz w:val="24"/>
          <w:szCs w:val="24"/>
          <w:u w:val="single"/>
          <w:rtl/>
          <w:lang w:bidi="he-IL"/>
        </w:rPr>
        <w:lastRenderedPageBreak/>
        <w:t>מחלוקת אביי ורבא</w:t>
      </w:r>
      <w:bookmarkEnd w:id="76"/>
    </w:p>
    <w:p w:rsidR="00EB6995" w:rsidRPr="00882F11" w:rsidRDefault="00011127" w:rsidP="00D349EA">
      <w:pPr>
        <w:bidi/>
        <w:jc w:val="both"/>
        <w:rPr>
          <w:rFonts w:cs="Guttman Drogolin"/>
          <w:rtl/>
          <w:lang w:bidi="he-IL"/>
        </w:rPr>
      </w:pPr>
      <w:r>
        <w:rPr>
          <w:rFonts w:cs="Guttman Drogolin"/>
          <w:rtl/>
          <w:lang w:bidi="he-IL"/>
        </w:rPr>
        <w:fldChar w:fldCharType="begin"/>
      </w:r>
      <w:r>
        <w:instrText xml:space="preserve"> XE "</w:instrText>
      </w:r>
      <w:r w:rsidRPr="00B07F6D">
        <w:rPr>
          <w:rFonts w:hint="cs"/>
          <w:rtl/>
          <w:lang w:bidi="he-IL"/>
        </w:rPr>
        <w:instrText>טעם כעיקר</w:instrText>
      </w:r>
      <w:r w:rsidRPr="00B07F6D">
        <w:rPr>
          <w:rtl/>
        </w:rPr>
        <w:instrText>:</w:instrText>
      </w:r>
      <w:r w:rsidRPr="00B07F6D">
        <w:rPr>
          <w:rFonts w:hint="cs"/>
          <w:rtl/>
          <w:lang w:bidi="he-IL"/>
        </w:rPr>
        <w:instrText>הראי' מבשר בחלב - מחלוקת אביי ורבא</w:instrText>
      </w:r>
      <w:r>
        <w:instrText xml:space="preserve">" </w:instrText>
      </w:r>
      <w:r>
        <w:rPr>
          <w:rFonts w:cs="Guttman Drogolin"/>
          <w:rtl/>
          <w:lang w:bidi="he-IL"/>
        </w:rPr>
        <w:fldChar w:fldCharType="end"/>
      </w:r>
      <w:r w:rsidR="00EB6995" w:rsidRPr="00882F11">
        <w:rPr>
          <w:rFonts w:cs="Guttman Drogolin" w:hint="cs"/>
          <w:rtl/>
          <w:lang w:bidi="he-IL"/>
        </w:rPr>
        <w:t xml:space="preserve">אביי רצה להוכיח שטעמו ולא ממשו דאורייתא מעצם האיסור של בשר בחלב. והנה לשון הגמ' "דאי סלקא דעתך דרבנן מבשר בחלב מאי טעמא לא גמרינן". ולשון זה מאד מטעים עם הראשונים לעיל בדף צ"ח שכתבו שבעצם אביי סבר דטכ"ע דאורייתא לא איכפת לן איזה מקור יהי' לזה. ולכן אמר אביי דטכ"ע, יהי' המקור מאיפה שיהי', דאלת"ה ואין המקור ממקום אחר, לפחות יהי' המקור מבשר בחלב. </w:t>
      </w:r>
      <w:r w:rsidR="00D349EA" w:rsidRPr="00882F11">
        <w:rPr>
          <w:rFonts w:cs="Guttman Drogolin" w:hint="cs"/>
          <w:rtl/>
          <w:lang w:bidi="he-IL"/>
        </w:rPr>
        <w:t xml:space="preserve">ומרש"י לכאורה מבואר דידעינן דלא בעינן ממשו משום שכשמפרידין א' מן השני ליכא אלא טעם. ויל"ע מנא לן שבאמת </w:t>
      </w:r>
      <w:r w:rsidR="009F1FF6" w:rsidRPr="00882F11">
        <w:rPr>
          <w:rFonts w:cs="Guttman Drogolin" w:hint="cs"/>
          <w:rtl/>
          <w:lang w:bidi="he-IL"/>
        </w:rPr>
        <w:t>נשאר</w:t>
      </w:r>
      <w:r w:rsidR="00D349EA" w:rsidRPr="00882F11">
        <w:rPr>
          <w:rFonts w:cs="Guttman Drogolin" w:hint="cs"/>
          <w:rtl/>
          <w:lang w:bidi="he-IL"/>
        </w:rPr>
        <w:t xml:space="preserve"> באיסורו אע"ג שהפריד א' מן השני. ולכאורה הוא משום שסתימת הכתוב משמע שאינו צריך לאכול ב' הדברים ביחד. וצ"ע.</w:t>
      </w:r>
    </w:p>
    <w:p w:rsidR="00EB6995" w:rsidRPr="00882F11" w:rsidRDefault="00EB6995" w:rsidP="00EB6995">
      <w:pPr>
        <w:bidi/>
        <w:jc w:val="both"/>
        <w:rPr>
          <w:rFonts w:cs="Guttman Drogolin"/>
          <w:rtl/>
          <w:lang w:bidi="he-IL"/>
        </w:rPr>
      </w:pPr>
      <w:r w:rsidRPr="00882F11">
        <w:rPr>
          <w:rFonts w:cs="Guttman Drogolin" w:hint="cs"/>
          <w:rtl/>
          <w:lang w:bidi="he-IL"/>
        </w:rPr>
        <w:t xml:space="preserve">ועכ"פ הוסיף אביי ואמר שאין לומר שהטעם שאין לומדים מבשר בחלב משום דחידוש הוא, שאם חידוש הוא למה צריכים נתינת טעם כלל, ליהוי אסור במשהו. </w:t>
      </w:r>
      <w:r w:rsidR="00D349EA" w:rsidRPr="00882F11">
        <w:rPr>
          <w:rFonts w:cs="Guttman Drogolin" w:hint="cs"/>
          <w:rtl/>
          <w:lang w:bidi="he-IL"/>
        </w:rPr>
        <w:t>וע"פ הנ"ל לכאורה ר"ל, דנהי נמי שהוא אסור אפילו מפרידים הבשר מן החלב, מ"מ ל</w:t>
      </w:r>
      <w:r w:rsidR="009F1FF6" w:rsidRPr="00882F11">
        <w:rPr>
          <w:rFonts w:cs="Guttman Drogolin" w:hint="cs"/>
          <w:rtl/>
          <w:lang w:bidi="he-IL"/>
        </w:rPr>
        <w:t>ימא שאי</w:t>
      </w:r>
      <w:r w:rsidR="00D349EA" w:rsidRPr="00882F11">
        <w:rPr>
          <w:rFonts w:cs="Guttman Drogolin" w:hint="cs"/>
          <w:rtl/>
          <w:lang w:bidi="he-IL"/>
        </w:rPr>
        <w:t xml:space="preserve">ן זה משום שטעמו נאסר רק משום שהוא או במשהו. </w:t>
      </w:r>
      <w:r w:rsidRPr="00882F11">
        <w:rPr>
          <w:rFonts w:cs="Guttman Drogolin" w:hint="cs"/>
          <w:rtl/>
          <w:lang w:bidi="he-IL"/>
        </w:rPr>
        <w:t xml:space="preserve">ודחה רבא דאפילו אם חידוש הוא מ"מ דינו בנתינת טעם משום שדרך בישול אסרה תורה. ופירש"י דכיון שבישל הבשר בחלב ע"כ יש בה נתינת טעם. </w:t>
      </w:r>
    </w:p>
    <w:p w:rsidR="000759C3" w:rsidRPr="00882F11" w:rsidRDefault="00EB6995" w:rsidP="000759C3">
      <w:pPr>
        <w:bidi/>
        <w:jc w:val="both"/>
        <w:rPr>
          <w:rFonts w:cs="Guttman Drogolin"/>
          <w:rtl/>
          <w:lang w:bidi="he-IL"/>
        </w:rPr>
      </w:pPr>
      <w:r w:rsidRPr="00882F11">
        <w:rPr>
          <w:rFonts w:cs="Guttman Drogolin" w:hint="cs"/>
          <w:rtl/>
          <w:lang w:bidi="he-IL"/>
        </w:rPr>
        <w:t>ובביאור הא דהוי בב"ח חידוש פירשו בתוס' משום שאפילו שרה לו כל היום כולו בחלב אינו אסור מדאורייתא אם אינו דרך בישול. וכן פירשו בהדיא בסוגיא</w:t>
      </w:r>
      <w:r w:rsidR="00D349EA" w:rsidRPr="00882F11">
        <w:rPr>
          <w:rFonts w:cs="Guttman Drogolin" w:hint="cs"/>
          <w:rtl/>
          <w:lang w:bidi="he-IL"/>
        </w:rPr>
        <w:t xml:space="preserve"> דמס' פסחים דף מ"ד ע"ב וכמו שהביאו התוס'. ורש"י פי' דהוי חידוש משום דשניהן מין היתר ועוד שדרך בישול נאסרו. ולכאורה דברי רש"י קשים בתרתי. חדא דלמה נקט טעם חדש ולא ביאר שהוא מן הטעם המפורש הנ"ל במס' פסחים. וקושיא זו לא הקשו התוס', אבל התוס' הקשו עוד קושיא, והוא </w:t>
      </w:r>
      <w:r w:rsidR="000759C3" w:rsidRPr="00882F11">
        <w:rPr>
          <w:rFonts w:cs="Guttman Drogolin" w:hint="cs"/>
          <w:rtl/>
          <w:lang w:bidi="he-IL"/>
        </w:rPr>
        <w:t xml:space="preserve">דלמה יהא התערובת </w:t>
      </w:r>
      <w:r w:rsidR="000759C3" w:rsidRPr="00882F11">
        <w:rPr>
          <w:rFonts w:cs="Guttman Drogolin" w:hint="cs"/>
          <w:rtl/>
          <w:lang w:bidi="he-IL"/>
        </w:rPr>
        <w:lastRenderedPageBreak/>
        <w:t>חידוש, הא כן מצאנו באמת גם באיסור כלאים</w:t>
      </w:r>
      <w:r w:rsidR="00617A8A" w:rsidRPr="00882F11">
        <w:rPr>
          <w:rFonts w:cs="Guttman Drogolin" w:hint="cs"/>
          <w:rtl/>
          <w:lang w:bidi="he-IL"/>
        </w:rPr>
        <w:t>, וכן הדגישו שם בסוגיא דמס' פסחים</w:t>
      </w:r>
      <w:r w:rsidR="000759C3" w:rsidRPr="00882F11">
        <w:rPr>
          <w:rFonts w:cs="Guttman Drogolin" w:hint="cs"/>
          <w:rtl/>
          <w:lang w:bidi="he-IL"/>
        </w:rPr>
        <w:t>. והקושיא לכאורה גדולה יותר מזה שכ"כ רש"י עצמו בביאור שיטת אביי בהא דאינו חידוש, וא"כ צ"ע מאי קס"ד מעיקרא.</w:t>
      </w:r>
    </w:p>
    <w:p w:rsidR="00E94557" w:rsidRPr="00882F11" w:rsidRDefault="000759C3" w:rsidP="00804112">
      <w:pPr>
        <w:bidi/>
        <w:jc w:val="both"/>
        <w:rPr>
          <w:rFonts w:cs="Guttman Drogolin"/>
          <w:rtl/>
          <w:lang w:bidi="he-IL"/>
        </w:rPr>
      </w:pPr>
      <w:r w:rsidRPr="00882F11">
        <w:rPr>
          <w:rFonts w:cs="Guttman Drogolin" w:hint="cs"/>
          <w:rtl/>
          <w:lang w:bidi="he-IL"/>
        </w:rPr>
        <w:t xml:space="preserve">והנה בישוב דבר זה דלא נקט הטעם המפורש במס' פסחים, נראה שרש"י דקדק כן </w:t>
      </w:r>
      <w:r w:rsidR="00E94557" w:rsidRPr="00882F11">
        <w:rPr>
          <w:rFonts w:cs="Guttman Drogolin" w:hint="cs"/>
          <w:rtl/>
          <w:lang w:bidi="he-IL"/>
        </w:rPr>
        <w:t xml:space="preserve">מזה שהגמ' לא חידש הא דדרך בישול אסרה תורה אלא לבסוף, והי' משמע לרש"י שעדיין לא עמדנו על יסוד זה לבסו, ולכן אין לומר שזהו הטעם שגם מעיקרא הוי חידוש. והתוס' לכאורה ידחו שבאמת ידענו שדך בישול אסרה תורה, רק לא ידענו שאפשר לדייק מזה דליכא איסור אא"כ הוא דרך בישול. וע' בתוס' שהעירו שבמס' פסחים נראה שגם אביי סבר שאין לומדים מבשר בחלב משום דחידוש הוא, ואילו הכא אביי רצה לומר שאינו חידוש ואפשר ללמוד ממנו. והתוס' כאן פירשו שבסוף הסוגיא קיבל אביי את הדיחוי של רבא (ובמס' פסחים התוס' נשארו בזה בקושיא). ולדברינו בשיטת רש"י יש לפרש שלאחר שנתחדש שדרך בישול אסרה תורה שפיר הוי חידוש, רק מאי דס"ד מעיקרא סבר אביי שאינו חידוש (ואע"ג שלפי הדיחוי י"ל שאינו חידוש וכמו שביאר רבא, י"ל דאביי סבר לפי האמת שאינו חידוש, רק שהוסיף להוכיח כן מזה שאין אוסרים משהו, וזה דחה רבא שמזה שאין אוסרים במשהו אין להוכיח, אבל לעולם אביי סבר שאינו חידוש מטעם דהוי תערובת). </w:t>
      </w:r>
    </w:p>
    <w:p w:rsidR="00321286" w:rsidRPr="00882F11" w:rsidRDefault="00E94557" w:rsidP="00204964">
      <w:pPr>
        <w:bidi/>
        <w:jc w:val="both"/>
        <w:rPr>
          <w:rFonts w:cs="Guttman Drogolin"/>
          <w:rtl/>
          <w:lang w:bidi="he-IL"/>
        </w:rPr>
      </w:pPr>
      <w:r w:rsidRPr="00882F11">
        <w:rPr>
          <w:rFonts w:cs="Guttman Drogolin" w:hint="cs"/>
          <w:rtl/>
          <w:lang w:bidi="he-IL"/>
        </w:rPr>
        <w:t>ולענין הקושיא של התוס' נראה דרש"</w:t>
      </w:r>
      <w:r w:rsidR="007F13A8" w:rsidRPr="00882F11">
        <w:rPr>
          <w:rFonts w:cs="Guttman Drogolin" w:hint="cs"/>
          <w:rtl/>
          <w:lang w:bidi="he-IL"/>
        </w:rPr>
        <w:t>י סבר דכאן יש חידוש נוסף כיון שהתורה אסרה את עצם</w:t>
      </w:r>
      <w:r w:rsidR="009F1FF6" w:rsidRPr="00882F11">
        <w:rPr>
          <w:rFonts w:cs="Guttman Drogolin" w:hint="cs"/>
          <w:rtl/>
          <w:lang w:bidi="he-IL"/>
        </w:rPr>
        <w:t xml:space="preserve"> הבישול. ונראה לבאר דהנה לכאורה האיסור לבשל בב"ח הוא איסור אחר</w:t>
      </w:r>
      <w:r w:rsidR="007F13A8" w:rsidRPr="00882F11">
        <w:rPr>
          <w:rFonts w:cs="Guttman Drogolin" w:hint="cs"/>
          <w:rtl/>
          <w:lang w:bidi="he-IL"/>
        </w:rPr>
        <w:t xml:space="preserve">, </w:t>
      </w:r>
      <w:r w:rsidR="009F1FF6" w:rsidRPr="00882F11">
        <w:rPr>
          <w:rFonts w:cs="Guttman Drogolin" w:hint="cs"/>
          <w:rtl/>
          <w:lang w:bidi="he-IL"/>
        </w:rPr>
        <w:t>ו</w:t>
      </w:r>
      <w:r w:rsidR="007F13A8" w:rsidRPr="00882F11">
        <w:rPr>
          <w:rFonts w:cs="Guttman Drogolin" w:hint="cs"/>
          <w:rtl/>
          <w:lang w:bidi="he-IL"/>
        </w:rPr>
        <w:t>מ</w:t>
      </w:r>
      <w:r w:rsidR="009F1FF6" w:rsidRPr="00882F11">
        <w:rPr>
          <w:rFonts w:cs="Guttman Drogolin" w:hint="cs"/>
          <w:rtl/>
          <w:lang w:bidi="he-IL"/>
        </w:rPr>
        <w:t>ה זה</w:t>
      </w:r>
      <w:r w:rsidR="007F13A8" w:rsidRPr="00882F11">
        <w:rPr>
          <w:rFonts w:cs="Guttman Drogolin" w:hint="cs"/>
          <w:rtl/>
          <w:lang w:bidi="he-IL"/>
        </w:rPr>
        <w:t xml:space="preserve"> קשור לזה שאסור לאכלו אחר שנתבשל, הא אסור גם להוציאו לרה"ר בשבת אבל מה זה לא שייך לכאן. וכפשוטו </w:t>
      </w:r>
      <w:r w:rsidR="00011127">
        <w:rPr>
          <w:rFonts w:cs="Guttman Drogolin"/>
          <w:rtl/>
          <w:lang w:bidi="he-IL"/>
        </w:rPr>
        <w:fldChar w:fldCharType="begin"/>
      </w:r>
      <w:r w:rsidR="00011127">
        <w:instrText xml:space="preserve"> XE "</w:instrText>
      </w:r>
      <w:r w:rsidR="00011127" w:rsidRPr="00ED4CF6">
        <w:rPr>
          <w:rFonts w:hint="cs"/>
          <w:rtl/>
          <w:lang w:bidi="he-IL"/>
        </w:rPr>
        <w:instrText>בשר בחלב</w:instrText>
      </w:r>
      <w:r w:rsidR="00011127" w:rsidRPr="00ED4CF6">
        <w:rPr>
          <w:rtl/>
        </w:rPr>
        <w:instrText>:</w:instrText>
      </w:r>
      <w:r w:rsidR="00011127" w:rsidRPr="00ED4CF6">
        <w:rPr>
          <w:rFonts w:hint="cs"/>
          <w:rtl/>
          <w:lang w:bidi="he-IL"/>
        </w:rPr>
        <w:instrText>הנקודה הנפלאה של הרמב</w:instrText>
      </w:r>
      <w:r w:rsidR="00011127">
        <w:rPr>
          <w:rFonts w:eastAsiaTheme="minorEastAsia"/>
          <w:lang w:bidi="he-IL"/>
        </w:rPr>
        <w:instrText>\</w:instrText>
      </w:r>
      <w:r w:rsidR="00011127" w:rsidRPr="00ED4CF6">
        <w:rPr>
          <w:rFonts w:hint="cs"/>
          <w:rtl/>
          <w:lang w:bidi="he-IL"/>
        </w:rPr>
        <w:instrText>"ם</w:instrText>
      </w:r>
      <w:r w:rsidR="00011127">
        <w:instrText xml:space="preserve">" </w:instrText>
      </w:r>
      <w:r w:rsidR="00011127">
        <w:rPr>
          <w:rFonts w:cs="Guttman Drogolin"/>
          <w:rtl/>
          <w:lang w:bidi="he-IL"/>
        </w:rPr>
        <w:fldChar w:fldCharType="end"/>
      </w:r>
      <w:r w:rsidR="007F13A8" w:rsidRPr="00882F11">
        <w:rPr>
          <w:rFonts w:cs="Guttman Drogolin" w:hint="cs"/>
          <w:rtl/>
          <w:lang w:bidi="he-IL"/>
        </w:rPr>
        <w:t>הענין נתבאר ע"פ הנקודה הנפלאה המפורסמת של הרמב"ם</w:t>
      </w:r>
      <w:r w:rsidR="00DF5934" w:rsidRPr="00882F11">
        <w:rPr>
          <w:rStyle w:val="FootnoteReference"/>
          <w:rFonts w:cs="Guttman Drogolin"/>
          <w:rtl/>
          <w:lang w:bidi="he-IL"/>
        </w:rPr>
        <w:footnoteReference w:id="88"/>
      </w:r>
      <w:r w:rsidR="007F13A8" w:rsidRPr="00882F11">
        <w:rPr>
          <w:rFonts w:cs="Guttman Drogolin" w:hint="cs"/>
          <w:rtl/>
          <w:lang w:bidi="he-IL"/>
        </w:rPr>
        <w:t xml:space="preserve">, שבמס' כריתות כתב </w:t>
      </w:r>
      <w:r w:rsidR="007F13A8" w:rsidRPr="00882F11">
        <w:rPr>
          <w:rFonts w:cs="Guttman Drogolin" w:hint="cs"/>
          <w:rtl/>
          <w:lang w:bidi="he-IL"/>
        </w:rPr>
        <w:lastRenderedPageBreak/>
        <w:t xml:space="preserve">הרמב"ם בפיהמ"ש </w:t>
      </w:r>
      <w:r w:rsidR="0021269B" w:rsidRPr="00882F11">
        <w:rPr>
          <w:rFonts w:cs="Guttman Drogolin" w:hint="cs"/>
          <w:rtl/>
          <w:lang w:bidi="he-IL"/>
        </w:rPr>
        <w:t>שיש באיסורא דבשר בחלב נקודה נפלאה, והוא דאע"ג שיש באיסור בשר בחלב גם איסור הנאה, אין זה חשוב איסור מוסיף כדי לומר שאיסור חל על איסור, דהא הכל הוא איסור אחד. ו</w:t>
      </w:r>
      <w:r w:rsidR="00204964" w:rsidRPr="00882F11">
        <w:rPr>
          <w:rFonts w:cs="Guttman Drogolin" w:hint="cs"/>
          <w:rtl/>
          <w:lang w:bidi="he-IL"/>
        </w:rPr>
        <w:t>שיטת הרמב"ם עצמו שם שאיסור בישול אינו חלב של האיסור אכילה והנאה, ולכן כתב ביד החזקה דאע</w:t>
      </w:r>
      <w:r w:rsidR="00EE4458" w:rsidRPr="00882F11">
        <w:rPr>
          <w:rFonts w:cs="Guttman Drogolin" w:hint="cs"/>
          <w:rtl/>
          <w:lang w:bidi="he-IL"/>
        </w:rPr>
        <w:t xml:space="preserve">"ג שאיסור אכילה לא חל על איסור </w:t>
      </w:r>
      <w:r w:rsidR="00204964" w:rsidRPr="00882F11">
        <w:rPr>
          <w:rFonts w:cs="Guttman Drogolin" w:hint="cs"/>
          <w:rtl/>
          <w:lang w:bidi="he-IL"/>
        </w:rPr>
        <w:t xml:space="preserve">חלב ונבילה, מ"מ איסור בישול יש. אבל לכאורה </w:t>
      </w:r>
      <w:r w:rsidR="0021269B" w:rsidRPr="00882F11">
        <w:rPr>
          <w:rFonts w:cs="Guttman Drogolin" w:hint="cs"/>
          <w:rtl/>
          <w:lang w:bidi="he-IL"/>
        </w:rPr>
        <w:t xml:space="preserve">כה"ג </w:t>
      </w:r>
      <w:r w:rsidR="00204964" w:rsidRPr="00882F11">
        <w:rPr>
          <w:rFonts w:cs="Guttman Drogolin" w:hint="cs"/>
          <w:rtl/>
          <w:lang w:bidi="he-IL"/>
        </w:rPr>
        <w:t>י"ל בדעת רש"י ש</w:t>
      </w:r>
      <w:r w:rsidR="0021269B" w:rsidRPr="00882F11">
        <w:rPr>
          <w:rFonts w:cs="Guttman Drogolin" w:hint="cs"/>
          <w:rtl/>
          <w:lang w:bidi="he-IL"/>
        </w:rPr>
        <w:t>גם באיסור בישול של בשר בחלב, שהכל הוא איסור א'</w:t>
      </w:r>
      <w:r w:rsidR="00204964" w:rsidRPr="00882F11">
        <w:rPr>
          <w:rFonts w:cs="Guttman Drogolin" w:hint="cs"/>
          <w:rtl/>
          <w:lang w:bidi="he-IL"/>
        </w:rPr>
        <w:t xml:space="preserve"> (וכמו שי"א במס' חולין דף קי"ד ע"א)</w:t>
      </w:r>
      <w:r w:rsidR="0021269B" w:rsidRPr="00882F11">
        <w:rPr>
          <w:rFonts w:cs="Guttman Drogolin" w:hint="cs"/>
          <w:rtl/>
          <w:lang w:bidi="he-IL"/>
        </w:rPr>
        <w:t>. וכוונת הדברים שאין זה איסור נוסף, רק הוי חומרא באותו איסור. והיינו שהאיסור של בישול בשר בחלב מישך שייכא לאיסור אכילתו, שכאן התורה החמירה עד כדי כך שאין איסור רק לאכול אותו, אלא גם לעות אותו. דוגמא לדבר כזה יש לנו באיסורא דבל יראה ובל ימצא, שבאיסור זה לומד הריטב"א (ויש האומרים שכן הוא כוונת התורה בפסוק בהדיא שמות י"ב, י"ט "שבעת</w:t>
      </w:r>
      <w:r w:rsidR="0021269B" w:rsidRPr="00882F11">
        <w:rPr>
          <w:rFonts w:cs="Guttman Drogolin"/>
          <w:rtl/>
          <w:lang w:bidi="he-IL"/>
        </w:rPr>
        <w:t xml:space="preserve"> </w:t>
      </w:r>
      <w:r w:rsidR="0021269B" w:rsidRPr="00882F11">
        <w:rPr>
          <w:rFonts w:cs="Guttman Drogolin" w:hint="cs"/>
          <w:rtl/>
          <w:lang w:bidi="he-IL"/>
        </w:rPr>
        <w:t>ימים</w:t>
      </w:r>
      <w:r w:rsidR="0021269B" w:rsidRPr="00882F11">
        <w:rPr>
          <w:rFonts w:cs="Guttman Drogolin"/>
          <w:rtl/>
          <w:lang w:bidi="he-IL"/>
        </w:rPr>
        <w:t xml:space="preserve"> </w:t>
      </w:r>
      <w:r w:rsidR="0021269B" w:rsidRPr="00882F11">
        <w:rPr>
          <w:rFonts w:cs="Guttman Drogolin" w:hint="cs"/>
          <w:rtl/>
          <w:lang w:bidi="he-IL"/>
        </w:rPr>
        <w:t>שאר</w:t>
      </w:r>
      <w:r w:rsidR="0021269B" w:rsidRPr="00882F11">
        <w:rPr>
          <w:rFonts w:cs="Guttman Drogolin"/>
          <w:rtl/>
          <w:lang w:bidi="he-IL"/>
        </w:rPr>
        <w:t xml:space="preserve"> </w:t>
      </w:r>
      <w:r w:rsidR="0021269B" w:rsidRPr="00882F11">
        <w:rPr>
          <w:rFonts w:cs="Guttman Drogolin" w:hint="cs"/>
          <w:rtl/>
          <w:lang w:bidi="he-IL"/>
        </w:rPr>
        <w:t>לא</w:t>
      </w:r>
      <w:r w:rsidR="0021269B" w:rsidRPr="00882F11">
        <w:rPr>
          <w:rFonts w:cs="Guttman Drogolin"/>
          <w:rtl/>
          <w:lang w:bidi="he-IL"/>
        </w:rPr>
        <w:t xml:space="preserve"> </w:t>
      </w:r>
      <w:r w:rsidR="0021269B" w:rsidRPr="00882F11">
        <w:rPr>
          <w:rFonts w:cs="Guttman Drogolin" w:hint="cs"/>
          <w:rtl/>
          <w:lang w:bidi="he-IL"/>
        </w:rPr>
        <w:t>ימצא</w:t>
      </w:r>
      <w:r w:rsidR="0021269B" w:rsidRPr="00882F11">
        <w:rPr>
          <w:rFonts w:cs="Guttman Drogolin"/>
          <w:rtl/>
          <w:lang w:bidi="he-IL"/>
        </w:rPr>
        <w:t xml:space="preserve"> </w:t>
      </w:r>
      <w:r w:rsidR="0021269B" w:rsidRPr="00882F11">
        <w:rPr>
          <w:rFonts w:cs="Guttman Drogolin" w:hint="cs"/>
          <w:rtl/>
          <w:lang w:bidi="he-IL"/>
        </w:rPr>
        <w:t>בבתיכם</w:t>
      </w:r>
      <w:r w:rsidR="0021269B" w:rsidRPr="00882F11">
        <w:rPr>
          <w:rFonts w:cs="Guttman Drogolin"/>
          <w:rtl/>
          <w:lang w:bidi="he-IL"/>
        </w:rPr>
        <w:t xml:space="preserve"> </w:t>
      </w:r>
      <w:r w:rsidR="0021269B" w:rsidRPr="00882F11">
        <w:rPr>
          <w:rFonts w:cs="Guttman Drogolin" w:hint="cs"/>
          <w:rtl/>
          <w:lang w:bidi="he-IL"/>
        </w:rPr>
        <w:t>כי</w:t>
      </w:r>
      <w:r w:rsidR="0021269B" w:rsidRPr="00882F11">
        <w:rPr>
          <w:rFonts w:cs="Guttman Drogolin"/>
          <w:rtl/>
          <w:lang w:bidi="he-IL"/>
        </w:rPr>
        <w:t xml:space="preserve"> </w:t>
      </w:r>
      <w:r w:rsidR="0021269B" w:rsidRPr="00882F11">
        <w:rPr>
          <w:rFonts w:cs="Guttman Drogolin" w:hint="cs"/>
          <w:rtl/>
          <w:lang w:bidi="he-IL"/>
        </w:rPr>
        <w:t>כל</w:t>
      </w:r>
      <w:r w:rsidR="0021269B" w:rsidRPr="00882F11">
        <w:rPr>
          <w:rFonts w:cs="Guttman Drogolin"/>
          <w:rtl/>
          <w:lang w:bidi="he-IL"/>
        </w:rPr>
        <w:t xml:space="preserve"> </w:t>
      </w:r>
      <w:r w:rsidR="0021269B" w:rsidRPr="00882F11">
        <w:rPr>
          <w:rFonts w:cs="Guttman Drogolin" w:hint="cs"/>
          <w:rtl/>
          <w:lang w:bidi="he-IL"/>
        </w:rPr>
        <w:t>אכל</w:t>
      </w:r>
      <w:r w:rsidR="0021269B" w:rsidRPr="00882F11">
        <w:rPr>
          <w:rFonts w:cs="Guttman Drogolin"/>
          <w:rtl/>
          <w:lang w:bidi="he-IL"/>
        </w:rPr>
        <w:t xml:space="preserve"> </w:t>
      </w:r>
      <w:r w:rsidR="0021269B" w:rsidRPr="00882F11">
        <w:rPr>
          <w:rFonts w:cs="Guttman Drogolin" w:hint="cs"/>
          <w:rtl/>
          <w:lang w:bidi="he-IL"/>
        </w:rPr>
        <w:t>מחמצת</w:t>
      </w:r>
      <w:r w:rsidR="0021269B" w:rsidRPr="00882F11">
        <w:rPr>
          <w:rFonts w:cs="Guttman Drogolin"/>
          <w:rtl/>
          <w:lang w:bidi="he-IL"/>
        </w:rPr>
        <w:t xml:space="preserve"> </w:t>
      </w:r>
      <w:r w:rsidR="0021269B" w:rsidRPr="00882F11">
        <w:rPr>
          <w:rFonts w:cs="Guttman Drogolin" w:hint="cs"/>
          <w:rtl/>
          <w:lang w:bidi="he-IL"/>
        </w:rPr>
        <w:t>ונכרתה</w:t>
      </w:r>
      <w:r w:rsidR="0021269B" w:rsidRPr="00882F11">
        <w:rPr>
          <w:rFonts w:cs="Guttman Drogolin"/>
          <w:rtl/>
          <w:lang w:bidi="he-IL"/>
        </w:rPr>
        <w:t xml:space="preserve"> </w:t>
      </w:r>
      <w:r w:rsidR="0021269B" w:rsidRPr="00882F11">
        <w:rPr>
          <w:rFonts w:cs="Guttman Drogolin" w:hint="cs"/>
          <w:rtl/>
          <w:lang w:bidi="he-IL"/>
        </w:rPr>
        <w:t>וכו'") שהוא חומרא במאכלות אסורות של חמץ שלא ימצא בבתיכם. ועכ"פ לי זה שפיר מתחשביין באיסור בישול בשר בחלב</w:t>
      </w:r>
      <w:r w:rsidRPr="00882F11">
        <w:rPr>
          <w:rFonts w:cs="Guttman Drogolin" w:hint="cs"/>
          <w:rtl/>
          <w:lang w:bidi="he-IL"/>
        </w:rPr>
        <w:t xml:space="preserve"> </w:t>
      </w:r>
      <w:r w:rsidR="0021269B" w:rsidRPr="00882F11">
        <w:rPr>
          <w:rFonts w:cs="Guttman Drogolin" w:hint="cs"/>
          <w:rtl/>
          <w:lang w:bidi="he-IL"/>
        </w:rPr>
        <w:t xml:space="preserve">כחידוש לענין איסור אכילתו. ועכ"פ נראה כוונת רש"י לומר שיש כאן חידוש שלא מצאנו בכלאים, שאמנם התורה אסרה </w:t>
      </w:r>
      <w:r w:rsidR="00321286" w:rsidRPr="00882F11">
        <w:rPr>
          <w:rFonts w:cs="Guttman Drogolin" w:hint="cs"/>
          <w:rtl/>
          <w:lang w:bidi="he-IL"/>
        </w:rPr>
        <w:t>ללבוש כלאים, אבל התורה לא אסרה לעשות בגד של כלאים, וכאן הרי כן אסרה התורה. ומשו"ה סבר רש"י דהוי חידוש. ואביי דסבר שאינו חידוש סבר רש"י דכיון שעצם האיסור שע"י תערובת אינו חידוש, דהא מאצנו כה"ג בכלאים,</w:t>
      </w:r>
      <w:r w:rsidR="000759C3" w:rsidRPr="00882F11">
        <w:rPr>
          <w:rFonts w:cs="Guttman Drogolin" w:hint="cs"/>
          <w:rtl/>
          <w:lang w:bidi="he-IL"/>
        </w:rPr>
        <w:t xml:space="preserve"> </w:t>
      </w:r>
      <w:r w:rsidR="00321286" w:rsidRPr="00882F11">
        <w:rPr>
          <w:rFonts w:cs="Guttman Drogolin" w:hint="cs"/>
          <w:rtl/>
          <w:lang w:bidi="he-IL"/>
        </w:rPr>
        <w:t xml:space="preserve">התוספת שהתורה אסרה הבישול אינו מספיק. </w:t>
      </w:r>
    </w:p>
    <w:p w:rsidR="00BE7FF4" w:rsidRPr="00882F11" w:rsidRDefault="00321286" w:rsidP="00BE7FF4">
      <w:pPr>
        <w:bidi/>
        <w:jc w:val="both"/>
        <w:rPr>
          <w:rFonts w:cs="Guttman Drogolin"/>
          <w:rtl/>
          <w:lang w:bidi="he-IL"/>
        </w:rPr>
      </w:pPr>
      <w:r w:rsidRPr="00882F11">
        <w:rPr>
          <w:rFonts w:cs="Guttman Drogolin" w:hint="cs"/>
          <w:rtl/>
          <w:lang w:bidi="he-IL"/>
        </w:rPr>
        <w:t>ובהגהות מלא הרועים יש תוספת ביאור בפירושו של רש"י. והוא שהרי הבאנו בתחילת הזמן</w:t>
      </w:r>
      <w:r w:rsidRPr="00882F11">
        <w:rPr>
          <w:rStyle w:val="FootnoteReference"/>
          <w:rFonts w:cs="Guttman Drogolin"/>
          <w:rtl/>
          <w:lang w:bidi="he-IL"/>
        </w:rPr>
        <w:footnoteReference w:id="89"/>
      </w:r>
      <w:r w:rsidRPr="00882F11">
        <w:rPr>
          <w:rFonts w:cs="Guttman Drogolin" w:hint="cs"/>
          <w:rtl/>
          <w:lang w:bidi="he-IL"/>
        </w:rPr>
        <w:t xml:space="preserve"> שהתוס' בכמה מקומות הקשו למה באיסור שעטנז לא אמרינן שמין א' מבטל את חבירו. וע"פ זה יסדו התוס' דע"כ הטעם משום שדבר שמהות האיסור הוא התערובת אינו יכול להיות בטל ברוב. והרא"ש הקשה דא"כ למה יש דין ביטול בבשר בחלב. ותי' הרא"ש משום שדרך בישול </w:t>
      </w:r>
      <w:r w:rsidRPr="00882F11">
        <w:rPr>
          <w:rFonts w:cs="Guttman Drogolin" w:hint="cs"/>
          <w:rtl/>
          <w:lang w:bidi="he-IL"/>
        </w:rPr>
        <w:lastRenderedPageBreak/>
        <w:t>אסרה תורה, וכוונתו לגמ' שלנו דהתם התורה הקפידה על נתינת טעם. וביאר המל"ה שלרש"י הי' קשה למה יהא הדין שאיסורו במשהו רק בגלל שהוא חידוש, דנהי נמי דחידוש הוא מ"מ מאיפה למדנו ששיעורו שכל שהו. וע"כ פירש רש"י דמעיקרא דלא ידענו</w:t>
      </w:r>
      <w:r w:rsidR="00BE7FF4" w:rsidRPr="00882F11">
        <w:rPr>
          <w:rFonts w:cs="Guttman Drogolin" w:hint="cs"/>
          <w:rtl/>
          <w:lang w:bidi="he-IL"/>
        </w:rPr>
        <w:t xml:space="preserve"> שדרך בישול אסרה תורה, הי' לנו לומר שהוא כמו כלאים ולכן אין לו ביטול כלל כיון שאיסורו ע"י תערובת. ורק למסקנא שהתחדש שדרך בישול אסרה תורה חזר הדין שאינו אלא בנותן טעם.</w:t>
      </w:r>
    </w:p>
    <w:p w:rsidR="0009013A" w:rsidRPr="00882F11" w:rsidRDefault="00BE7FF4" w:rsidP="0009013A">
      <w:pPr>
        <w:bidi/>
        <w:jc w:val="both"/>
        <w:rPr>
          <w:rFonts w:cs="Guttman Drogolin"/>
          <w:rtl/>
          <w:lang w:bidi="he-IL"/>
        </w:rPr>
      </w:pPr>
      <w:r w:rsidRPr="00882F11">
        <w:rPr>
          <w:rFonts w:cs="Guttman Drogolin" w:hint="cs"/>
          <w:rtl/>
          <w:lang w:bidi="he-IL"/>
        </w:rPr>
        <w:t xml:space="preserve">ובהאי ענינא יש לציין שרע"א הקשה על עצם שיטת אביי, דלמה יש לנו ללמוד מבשר בחלב דטעמו ולא ממשו דאורייתא, הא איכא למימר שרק בבב"ח אמרינן הכי כיון </w:t>
      </w:r>
      <w:r w:rsidR="0009013A" w:rsidRPr="00882F11">
        <w:rPr>
          <w:rFonts w:cs="Guttman Drogolin" w:hint="cs"/>
          <w:rtl/>
          <w:lang w:bidi="he-IL"/>
        </w:rPr>
        <w:t>שאין החלב בטל בבשר כיון שהוא איסור שע"י תערובת וכמש"כ התוס' הנ"ל, אבל בשאר איסורים הבטלין אולי אין אומרים כן. וע"ש שרצה לומר דע"כ לאביי יש תי' אחר למה אין ביטול בכלאים ומשום שהוא ניכר אבל רבא חולק על זה, ע"ש בכל דבריו.</w:t>
      </w:r>
    </w:p>
    <w:p w:rsidR="0009013A" w:rsidRPr="00882F11" w:rsidRDefault="0009013A" w:rsidP="0078079C">
      <w:pPr>
        <w:pStyle w:val="Heading1"/>
        <w:bidi/>
        <w:spacing w:before="0" w:line="360" w:lineRule="auto"/>
        <w:jc w:val="center"/>
        <w:rPr>
          <w:rFonts w:cs="Guttman Drogolin"/>
          <w:color w:val="auto"/>
          <w:sz w:val="24"/>
          <w:szCs w:val="24"/>
          <w:u w:val="single"/>
          <w:rtl/>
          <w:lang w:bidi="he-IL"/>
        </w:rPr>
      </w:pPr>
      <w:bookmarkStart w:id="77" w:name="_Toc496175339"/>
      <w:r w:rsidRPr="00882F11">
        <w:rPr>
          <w:rFonts w:cs="Guttman Drogolin" w:hint="cs"/>
          <w:color w:val="auto"/>
          <w:sz w:val="24"/>
          <w:szCs w:val="24"/>
          <w:u w:val="single"/>
          <w:rtl/>
          <w:lang w:bidi="he-IL"/>
        </w:rPr>
        <w:t>חלב נבילה</w:t>
      </w:r>
      <w:bookmarkEnd w:id="77"/>
    </w:p>
    <w:p w:rsidR="00895CE3" w:rsidRPr="00882F11" w:rsidRDefault="00011127" w:rsidP="00895CE3">
      <w:pPr>
        <w:bidi/>
        <w:jc w:val="both"/>
        <w:rPr>
          <w:rFonts w:cs="Guttman Drogolin"/>
          <w:rtl/>
          <w:lang w:bidi="he-IL"/>
        </w:rPr>
      </w:pPr>
      <w:r>
        <w:rPr>
          <w:rFonts w:cs="Guttman Drogolin"/>
          <w:rtl/>
          <w:lang w:bidi="he-IL"/>
        </w:rPr>
        <w:fldChar w:fldCharType="begin"/>
      </w:r>
      <w:r>
        <w:instrText xml:space="preserve"> XE "</w:instrText>
      </w:r>
      <w:r w:rsidRPr="00A2438C">
        <w:rPr>
          <w:rFonts w:hint="cs"/>
          <w:rtl/>
          <w:lang w:bidi="he-IL"/>
        </w:rPr>
        <w:instrText>חלב נבילה</w:instrText>
      </w:r>
      <w:r w:rsidRPr="00A2438C">
        <w:rPr>
          <w:rtl/>
        </w:rPr>
        <w:instrText>:</w:instrText>
      </w:r>
      <w:r w:rsidRPr="00A2438C">
        <w:rPr>
          <w:rFonts w:hint="cs"/>
          <w:rtl/>
          <w:lang w:bidi="he-IL"/>
        </w:rPr>
        <w:instrText>ביאור הסוגיא</w:instrText>
      </w:r>
      <w:r>
        <w:instrText xml:space="preserve">" </w:instrText>
      </w:r>
      <w:r>
        <w:rPr>
          <w:rFonts w:cs="Guttman Drogolin"/>
          <w:rtl/>
          <w:lang w:bidi="he-IL"/>
        </w:rPr>
        <w:fldChar w:fldCharType="end"/>
      </w:r>
      <w:r w:rsidR="0009013A" w:rsidRPr="00882F11">
        <w:rPr>
          <w:rFonts w:cs="Guttman Drogolin" w:hint="cs"/>
          <w:rtl/>
          <w:lang w:bidi="he-IL"/>
        </w:rPr>
        <w:t xml:space="preserve">בהמשך הגמ' שואלת הגמ' שאם רב סבר </w:t>
      </w:r>
      <w:r w:rsidR="00DC784B">
        <w:rPr>
          <w:rFonts w:cs="Guttman Drogolin" w:hint="cs"/>
          <w:rtl/>
          <w:lang w:bidi="he-IL"/>
        </w:rPr>
        <w:t>אפשר לסוחטו</w:t>
      </w:r>
      <w:r w:rsidR="0009013A" w:rsidRPr="00882F11">
        <w:rPr>
          <w:rFonts w:cs="Guttman Drogolin" w:hint="cs"/>
          <w:rtl/>
          <w:lang w:bidi="he-IL"/>
        </w:rPr>
        <w:t xml:space="preserve"> אסור למה בכזית בשר שנפל לחלב אמרינן שהחלב מותר "חלב נבלה היא". ורצונו לומר שהחלב שנבלע בחתיכה עצמה נהפכת להי</w:t>
      </w:r>
      <w:r w:rsidR="007245FE" w:rsidRPr="00882F11">
        <w:rPr>
          <w:rFonts w:cs="Guttman Drogolin" w:hint="cs"/>
          <w:rtl/>
          <w:lang w:bidi="he-IL"/>
        </w:rPr>
        <w:t>ו</w:t>
      </w:r>
      <w:r w:rsidR="0009013A" w:rsidRPr="00882F11">
        <w:rPr>
          <w:rFonts w:cs="Guttman Drogolin" w:hint="cs"/>
          <w:rtl/>
          <w:lang w:bidi="he-IL"/>
        </w:rPr>
        <w:t xml:space="preserve">ת </w:t>
      </w:r>
      <w:r w:rsidR="007245FE" w:rsidRPr="00882F11">
        <w:rPr>
          <w:rFonts w:cs="Guttman Drogolin" w:hint="cs"/>
          <w:rtl/>
          <w:lang w:bidi="he-IL"/>
        </w:rPr>
        <w:t xml:space="preserve">היא עצמה </w:t>
      </w:r>
      <w:r w:rsidR="0009013A" w:rsidRPr="00882F11">
        <w:rPr>
          <w:rFonts w:cs="Guttman Drogolin" w:hint="cs"/>
          <w:rtl/>
          <w:lang w:bidi="he-IL"/>
        </w:rPr>
        <w:t xml:space="preserve">חתיכת איסור, ואין החלב של היתר מבטלו כיון דמין במינו לא בטל אליבא דרב. </w:t>
      </w:r>
      <w:r w:rsidR="007245FE" w:rsidRPr="00882F11">
        <w:rPr>
          <w:rFonts w:cs="Guttman Drogolin" w:hint="cs"/>
          <w:rtl/>
          <w:lang w:bidi="he-IL"/>
        </w:rPr>
        <w:t>והנה בשו"ת תרוה"ד סי' קפ"ג הוכיח מן הגמ' שלנו דע"כ החלה שנבלע בחתיכה הו בפני עצמו אינו ביחד עם שאר התבשיל, דמשו"ה היא נידונית לעצמו לענין טעם ונאסר. ומ"מ מקשים העולם דהא לעיל בדף ק' ע"א יסדו התוס' דלא אמרינן חענ"ן היכא דסופו להתפשט</w:t>
      </w:r>
      <w:r w:rsidR="00895CE3" w:rsidRPr="00882F11">
        <w:rPr>
          <w:rFonts w:cs="Guttman Drogolin" w:hint="cs"/>
          <w:rtl/>
          <w:lang w:bidi="he-IL"/>
        </w:rPr>
        <w:t xml:space="preserve">, וכאן הרי סופו של החלב לצאת מן החתיכה ולהתערב עם שאר החלב, וא"כ למה יהא החלב נעשית נבילה. ותי' החזו"א (יו"ד סי' י"ח ס"ק ו) דכיון שהוא מחוסר מעשה, דהא צריך החלב עדיין לצאת מן החתיכה, אע"ג שסופו לעשות כן, לא אמרינן </w:t>
      </w:r>
      <w:r w:rsidR="00895CE3" w:rsidRPr="00882F11">
        <w:rPr>
          <w:rFonts w:cs="Guttman Drogolin" w:hint="cs"/>
          <w:rtl/>
          <w:lang w:bidi="he-IL"/>
        </w:rPr>
        <w:lastRenderedPageBreak/>
        <w:t xml:space="preserve">היסוד שאין חתיכה נעשית נבילה כשסופו להתפשט. </w:t>
      </w:r>
    </w:p>
    <w:p w:rsidR="00A44A98" w:rsidRPr="00882F11" w:rsidRDefault="00895CE3" w:rsidP="00A44A98">
      <w:pPr>
        <w:bidi/>
        <w:jc w:val="both"/>
        <w:rPr>
          <w:rFonts w:cs="Guttman Drogolin"/>
          <w:rtl/>
          <w:lang w:bidi="he-IL"/>
        </w:rPr>
      </w:pPr>
      <w:r w:rsidRPr="00882F11">
        <w:rPr>
          <w:rFonts w:cs="Guttman Drogolin" w:hint="cs"/>
          <w:rtl/>
          <w:lang w:bidi="he-IL"/>
        </w:rPr>
        <w:t>ויש עדיין כמה שאלות. דהנה אנו קיי"ל דלא כשיטת רש"י וסוברים שמין במינו בטל בס'.</w:t>
      </w:r>
      <w:r w:rsidR="00A44A98" w:rsidRPr="00882F11">
        <w:rPr>
          <w:rFonts w:cs="Guttman Drogolin" w:hint="cs"/>
          <w:rtl/>
          <w:lang w:bidi="he-IL"/>
        </w:rPr>
        <w:t xml:space="preserve"> ולפי זה יש לע' בחתיכת בשר שנפל לתוך יורה של חלב מה דינו. ובשו"ע מבואר שבכה"ג אין צריכים אלא ששים בחלב כנגד הבשר. ולכאורה צ"ע דכיון שיש שם חלב נבילה, נהי נמי שאינה אוסרת את כל החלב משום דמין במינו במשהו כיון דקיי"ל שדינו בששים, מ"מ יצטרך שיעור של ק"כ, דהא צריכים ששים של היתר כנגד החתיכה של בשר ועוד ששים של היתר כנגד החלב נבילה. והאחרונים דנו בקושיא זו, ויש כאלו שכתבו הטעם משום שהחלב נבילה מצטרף לבטל את החתיכה של בשר, וכן החתיכה של בשר מצטרפת לבטל החלב נבילה, ומשום איסורים מבטלים זה את זה. ואין זה מיישב כל הצורך, דהא הפוסקים מביאים שיטת התבו"ש (סי</w:t>
      </w:r>
      <w:r w:rsidR="00A44A98" w:rsidRPr="00882F11">
        <w:rPr>
          <w:rFonts w:cs="Guttman Drogolin"/>
          <w:rtl/>
          <w:lang w:bidi="he-IL"/>
        </w:rPr>
        <w:t xml:space="preserve">' </w:t>
      </w:r>
      <w:r w:rsidR="00A44A98" w:rsidRPr="00882F11">
        <w:rPr>
          <w:rFonts w:cs="Guttman Drogolin" w:hint="cs"/>
          <w:rtl/>
          <w:lang w:bidi="he-IL"/>
        </w:rPr>
        <w:t>ל</w:t>
      </w:r>
      <w:r w:rsidR="00A44A98" w:rsidRPr="00882F11">
        <w:rPr>
          <w:rFonts w:cs="Guttman Drogolin"/>
          <w:rtl/>
          <w:lang w:bidi="he-IL"/>
        </w:rPr>
        <w:t>"</w:t>
      </w:r>
      <w:r w:rsidR="00A44A98" w:rsidRPr="00882F11">
        <w:rPr>
          <w:rFonts w:cs="Guttman Drogolin" w:hint="cs"/>
          <w:rtl/>
          <w:lang w:bidi="he-IL"/>
        </w:rPr>
        <w:t>ג</w:t>
      </w:r>
      <w:r w:rsidR="00A44A98" w:rsidRPr="00882F11">
        <w:rPr>
          <w:rFonts w:cs="Guttman Drogolin"/>
          <w:rtl/>
          <w:lang w:bidi="he-IL"/>
        </w:rPr>
        <w:t xml:space="preserve"> </w:t>
      </w:r>
      <w:r w:rsidR="00A44A98" w:rsidRPr="00882F11">
        <w:rPr>
          <w:rFonts w:cs="Guttman Drogolin" w:hint="cs"/>
          <w:rtl/>
          <w:lang w:bidi="he-IL"/>
        </w:rPr>
        <w:t>סוס</w:t>
      </w:r>
      <w:r w:rsidR="00A44A98" w:rsidRPr="00882F11">
        <w:rPr>
          <w:rFonts w:cs="Guttman Drogolin"/>
          <w:rtl/>
          <w:lang w:bidi="he-IL"/>
        </w:rPr>
        <w:t>"</w:t>
      </w:r>
      <w:r w:rsidR="00A44A98" w:rsidRPr="00882F11">
        <w:rPr>
          <w:rFonts w:cs="Guttman Drogolin" w:hint="cs"/>
          <w:rtl/>
          <w:lang w:bidi="he-IL"/>
        </w:rPr>
        <w:t>ק</w:t>
      </w:r>
      <w:r w:rsidR="00A44A98" w:rsidRPr="00882F11">
        <w:rPr>
          <w:rFonts w:cs="Guttman Drogolin"/>
          <w:rtl/>
          <w:lang w:bidi="he-IL"/>
        </w:rPr>
        <w:t xml:space="preserve"> </w:t>
      </w:r>
      <w:r w:rsidR="00A44A98" w:rsidRPr="00882F11">
        <w:rPr>
          <w:rFonts w:cs="Guttman Drogolin" w:hint="cs"/>
          <w:rtl/>
          <w:lang w:bidi="he-IL"/>
        </w:rPr>
        <w:t>ה</w:t>
      </w:r>
      <w:r w:rsidR="00A44A98" w:rsidRPr="00882F11">
        <w:rPr>
          <w:rFonts w:cs="Guttman Drogolin"/>
          <w:rtl/>
          <w:lang w:bidi="he-IL"/>
        </w:rPr>
        <w:t>'</w:t>
      </w:r>
      <w:r w:rsidR="00A44A98" w:rsidRPr="00882F11">
        <w:rPr>
          <w:rFonts w:cs="Guttman Drogolin" w:hint="cs"/>
          <w:rtl/>
          <w:lang w:bidi="he-IL"/>
        </w:rPr>
        <w:t>, והביאו</w:t>
      </w:r>
      <w:r w:rsidR="00A44A98" w:rsidRPr="00882F11">
        <w:rPr>
          <w:rFonts w:cs="Guttman Drogolin"/>
          <w:rtl/>
          <w:lang w:bidi="he-IL"/>
        </w:rPr>
        <w:t xml:space="preserve"> </w:t>
      </w:r>
      <w:r w:rsidR="00A44A98" w:rsidRPr="00882F11">
        <w:rPr>
          <w:rFonts w:cs="Guttman Drogolin" w:hint="cs"/>
          <w:rtl/>
          <w:lang w:bidi="he-IL"/>
        </w:rPr>
        <w:t>בגליון</w:t>
      </w:r>
      <w:r w:rsidR="00A44A98" w:rsidRPr="00882F11">
        <w:rPr>
          <w:rFonts w:cs="Guttman Drogolin"/>
          <w:rtl/>
          <w:lang w:bidi="he-IL"/>
        </w:rPr>
        <w:t xml:space="preserve"> </w:t>
      </w:r>
      <w:r w:rsidR="00A44A98" w:rsidRPr="00882F11">
        <w:rPr>
          <w:rFonts w:cs="Guttman Drogolin" w:hint="cs"/>
          <w:rtl/>
          <w:lang w:bidi="he-IL"/>
        </w:rPr>
        <w:t>רע</w:t>
      </w:r>
      <w:r w:rsidR="00A44A98" w:rsidRPr="00882F11">
        <w:rPr>
          <w:rFonts w:cs="Guttman Drogolin"/>
          <w:rtl/>
          <w:lang w:bidi="he-IL"/>
        </w:rPr>
        <w:t>"</w:t>
      </w:r>
      <w:r w:rsidR="00A44A98" w:rsidRPr="00882F11">
        <w:rPr>
          <w:rFonts w:cs="Guttman Drogolin" w:hint="cs"/>
          <w:rtl/>
          <w:lang w:bidi="he-IL"/>
        </w:rPr>
        <w:t>א לסי' צ"ח סע' ט') דאי הוו אותו שם איסור לא אמרינן איסורים מבטלים זה את זה. ולשיטתו עדיין צ"ע. וע' מש"כ בזה בחי' ר' חיים הלוי סוף הלכות תרומות.</w:t>
      </w:r>
    </w:p>
    <w:p w:rsidR="008C0AAC" w:rsidRPr="00882F11" w:rsidRDefault="00A44A98" w:rsidP="00A44A98">
      <w:pPr>
        <w:bidi/>
        <w:jc w:val="both"/>
        <w:rPr>
          <w:rFonts w:cs="Guttman Drogolin"/>
          <w:rtl/>
          <w:lang w:bidi="he-IL"/>
        </w:rPr>
      </w:pPr>
      <w:r w:rsidRPr="00882F11">
        <w:rPr>
          <w:rFonts w:cs="Guttman Drogolin" w:hint="cs"/>
          <w:rtl/>
          <w:lang w:bidi="he-IL"/>
        </w:rPr>
        <w:t>עוד צ"ע בהא דחלב נבילה</w:t>
      </w:r>
      <w:r w:rsidR="00DF2710" w:rsidRPr="00882F11">
        <w:rPr>
          <w:rFonts w:cs="Guttman Drogolin" w:hint="cs"/>
          <w:rtl/>
          <w:lang w:bidi="he-IL"/>
        </w:rPr>
        <w:t>,</w:t>
      </w:r>
      <w:r w:rsidRPr="00882F11">
        <w:rPr>
          <w:rFonts w:cs="Guttman Drogolin" w:hint="cs"/>
          <w:rtl/>
          <w:lang w:bidi="he-IL"/>
        </w:rPr>
        <w:t xml:space="preserve"> שלכאורה לא רק החלב הראשון שנבלע בחתיכה נעשית נבילה, אלא </w:t>
      </w:r>
      <w:r w:rsidR="00DF2710" w:rsidRPr="00882F11">
        <w:rPr>
          <w:rFonts w:cs="Guttman Drogolin" w:hint="cs"/>
          <w:rtl/>
          <w:lang w:bidi="he-IL"/>
        </w:rPr>
        <w:t>כל פעם שנפלט החלב נבילה מן החתיכה הרי היא בולעת שוב חלב ונעשית נבילה. ולמ"ד מין במינו לא בטל שהרי מ"מ הרי היא אסורה. אבל יל"ע לדידן דמין במינו בטל</w:t>
      </w:r>
      <w:r w:rsidR="0081046C" w:rsidRPr="00882F11">
        <w:rPr>
          <w:rFonts w:cs="Guttman Drogolin" w:hint="cs"/>
          <w:rtl/>
          <w:lang w:bidi="he-IL"/>
        </w:rPr>
        <w:t xml:space="preserve"> למה מספיק שיהי' ששים כנגד החתיכה, אפילו אם נימא דאיסורים מבטלין זה את זה להתיר החלב נבילה הראשון, אבל אם פלט וחזר ובלע, הא מ"מ צריכים יותר מששים כדי להתיר, דהא סוף סוף יש יותר שיעור איסור משיעור החתיכה של בשר. וע'</w:t>
      </w:r>
      <w:r w:rsidR="0013540B" w:rsidRPr="00882F11">
        <w:rPr>
          <w:rFonts w:cs="Guttman Drogolin" w:hint="cs"/>
          <w:rtl/>
          <w:lang w:bidi="he-IL"/>
        </w:rPr>
        <w:t xml:space="preserve"> </w:t>
      </w:r>
      <w:r w:rsidR="00647102" w:rsidRPr="00882F11">
        <w:rPr>
          <w:rFonts w:cs="Guttman Drogolin" w:hint="cs"/>
          <w:rtl/>
          <w:lang w:bidi="he-IL"/>
        </w:rPr>
        <w:t xml:space="preserve">חי' הרמב"ן כאן שדן בזה, וע' </w:t>
      </w:r>
      <w:r w:rsidR="0013540B" w:rsidRPr="00882F11">
        <w:rPr>
          <w:rFonts w:cs="Guttman Drogolin" w:hint="cs"/>
          <w:rtl/>
          <w:lang w:bidi="he-IL"/>
        </w:rPr>
        <w:t xml:space="preserve">מש"ז </w:t>
      </w:r>
      <w:r w:rsidR="008C0AAC" w:rsidRPr="00882F11">
        <w:rPr>
          <w:rFonts w:cs="Guttman Drogolin" w:hint="cs"/>
          <w:rtl/>
          <w:lang w:bidi="he-IL"/>
        </w:rPr>
        <w:t xml:space="preserve">סי' צ"ב ס"ק א' שכתב לבאר משום דכיון שמין במינו אינו </w:t>
      </w:r>
      <w:r w:rsidR="008C0AAC" w:rsidRPr="00882F11">
        <w:rPr>
          <w:rFonts w:cs="Guttman Drogolin" w:hint="cs"/>
          <w:rtl/>
          <w:lang w:bidi="he-IL"/>
        </w:rPr>
        <w:lastRenderedPageBreak/>
        <w:t>בששים אלא מדרבנן לא החמירו כולי האי. וע' גם כה"ג בביאור הגר"א סי' צ"ח ס"ק כ'</w:t>
      </w:r>
      <w:r w:rsidR="008C0AAC" w:rsidRPr="00882F11">
        <w:rPr>
          <w:rStyle w:val="FootnoteReference"/>
          <w:rFonts w:cs="Guttman Drogolin"/>
          <w:rtl/>
          <w:lang w:bidi="he-IL"/>
        </w:rPr>
        <w:footnoteReference w:id="90"/>
      </w:r>
      <w:r w:rsidR="008C0AAC" w:rsidRPr="00882F11">
        <w:rPr>
          <w:rFonts w:cs="Guttman Drogolin" w:hint="cs"/>
          <w:rtl/>
          <w:lang w:bidi="he-IL"/>
        </w:rPr>
        <w:t>.</w:t>
      </w:r>
      <w:r w:rsidRPr="00882F11">
        <w:rPr>
          <w:rFonts w:cs="Guttman Drogolin" w:hint="cs"/>
          <w:rtl/>
          <w:lang w:bidi="he-IL"/>
        </w:rPr>
        <w:t xml:space="preserve"> </w:t>
      </w:r>
    </w:p>
    <w:p w:rsidR="008C0AAC" w:rsidRPr="00882F11" w:rsidRDefault="008C0AAC" w:rsidP="0078079C">
      <w:pPr>
        <w:pStyle w:val="Heading1"/>
        <w:bidi/>
        <w:spacing w:before="0" w:line="360" w:lineRule="auto"/>
        <w:jc w:val="center"/>
        <w:rPr>
          <w:rFonts w:cs="Guttman Drogolin"/>
          <w:color w:val="auto"/>
          <w:sz w:val="24"/>
          <w:szCs w:val="24"/>
          <w:u w:val="single"/>
          <w:rtl/>
          <w:lang w:bidi="he-IL"/>
        </w:rPr>
      </w:pPr>
      <w:bookmarkStart w:id="78" w:name="_Toc496175340"/>
      <w:r w:rsidRPr="00882F11">
        <w:rPr>
          <w:rFonts w:cs="Guttman Drogolin" w:hint="cs"/>
          <w:color w:val="auto"/>
          <w:sz w:val="24"/>
          <w:szCs w:val="24"/>
          <w:u w:val="single"/>
          <w:rtl/>
          <w:lang w:bidi="he-IL"/>
        </w:rPr>
        <w:t>בדין חענ"ן בתבלין שבלעו דם</w:t>
      </w:r>
      <w:bookmarkEnd w:id="78"/>
    </w:p>
    <w:p w:rsidR="0018146D" w:rsidRPr="00882F11" w:rsidRDefault="00011127" w:rsidP="00195F83">
      <w:pPr>
        <w:bidi/>
        <w:jc w:val="both"/>
        <w:rPr>
          <w:rFonts w:cs="Guttman Drogolin"/>
          <w:rtl/>
          <w:lang w:bidi="he-IL"/>
        </w:rPr>
      </w:pPr>
      <w:r>
        <w:rPr>
          <w:rFonts w:cs="Guttman Drogolin"/>
          <w:rtl/>
          <w:lang w:bidi="he-IL"/>
        </w:rPr>
        <w:fldChar w:fldCharType="begin"/>
      </w:r>
      <w:r>
        <w:instrText xml:space="preserve"> XE "</w:instrText>
      </w:r>
      <w:r w:rsidRPr="005F4ABC">
        <w:rPr>
          <w:rFonts w:hint="cs"/>
          <w:rtl/>
          <w:lang w:bidi="he-IL"/>
        </w:rPr>
        <w:instrText>חענ</w:instrText>
      </w:r>
      <w:r>
        <w:rPr>
          <w:rFonts w:eastAsiaTheme="minorEastAsia"/>
          <w:lang w:bidi="he-IL"/>
        </w:rPr>
        <w:instrText>\</w:instrText>
      </w:r>
      <w:r w:rsidRPr="005F4ABC">
        <w:rPr>
          <w:rFonts w:hint="cs"/>
          <w:rtl/>
          <w:lang w:bidi="he-IL"/>
        </w:rPr>
        <w:instrText>"ן בשאר איסורים</w:instrText>
      </w:r>
      <w:r w:rsidRPr="005F4ABC">
        <w:rPr>
          <w:rtl/>
        </w:rPr>
        <w:instrText>:</w:instrText>
      </w:r>
      <w:r w:rsidRPr="005F4ABC">
        <w:rPr>
          <w:rFonts w:hint="cs"/>
          <w:rtl/>
          <w:lang w:bidi="he-IL"/>
        </w:rPr>
        <w:instrText>בתבלין שבלעו דם</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297C38">
        <w:rPr>
          <w:rFonts w:hint="cs"/>
          <w:rtl/>
          <w:lang w:bidi="he-IL"/>
        </w:rPr>
        <w:instrText>חענ</w:instrText>
      </w:r>
      <w:r>
        <w:rPr>
          <w:rFonts w:eastAsiaTheme="minorEastAsia"/>
          <w:lang w:bidi="he-IL"/>
        </w:rPr>
        <w:instrText>\</w:instrText>
      </w:r>
      <w:r w:rsidRPr="00297C38">
        <w:rPr>
          <w:rFonts w:hint="cs"/>
          <w:rtl/>
          <w:lang w:bidi="he-IL"/>
        </w:rPr>
        <w:instrText>"ן</w:instrText>
      </w:r>
      <w:r w:rsidRPr="00297C38">
        <w:rPr>
          <w:rtl/>
        </w:rPr>
        <w:instrText>:</w:instrText>
      </w:r>
      <w:r w:rsidRPr="00297C38">
        <w:rPr>
          <w:rFonts w:hint="cs"/>
          <w:rtl/>
          <w:lang w:bidi="he-IL"/>
        </w:rPr>
        <w:instrText>אין הנאסר אוסר יותר מן האוסר - בתבלין שבלעו דם</w:instrText>
      </w:r>
      <w:r>
        <w:instrText xml:space="preserve">" </w:instrText>
      </w:r>
      <w:r>
        <w:rPr>
          <w:rFonts w:cs="Guttman Drogolin"/>
          <w:rtl/>
          <w:lang w:bidi="he-IL"/>
        </w:rPr>
        <w:fldChar w:fldCharType="end"/>
      </w:r>
      <w:r w:rsidR="008C0AAC" w:rsidRPr="00882F11">
        <w:rPr>
          <w:rFonts w:cs="Guttman Drogolin" w:hint="cs"/>
          <w:rtl/>
          <w:lang w:bidi="he-IL"/>
        </w:rPr>
        <w:t xml:space="preserve">התוס' בע"ב הביאו בשם ר' שמואל שע"פ הגמ' דחלב נבילה </w:t>
      </w:r>
      <w:r w:rsidR="00596A43" w:rsidRPr="00882F11">
        <w:rPr>
          <w:rFonts w:cs="Guttman Drogolin" w:hint="cs"/>
          <w:rtl/>
          <w:lang w:bidi="he-IL"/>
        </w:rPr>
        <w:t>שלמ"ד מין במינו לא בטל, אם נפל חתיכת נפילה לתוך רוטב, צריכים ששים ברוטב לבטל החתיכה, וכן ששים בחתיכות לבטל הרוטב, דהא הרוטב שנבלע בתוך החתיכה נע"נ וא"כ שוב אוסר את שאר הרוטב מדין מין במינו לא בטל. והביאו שם שהר"י חלק, ומשום שאפילו אם חענ"ן בשאר איסורים, מ"מ אין להיתר שם האיסור של המין המותר, רק שם האיסור של מין הטעם איסור שנבלע</w:t>
      </w:r>
      <w:r w:rsidR="0018146D" w:rsidRPr="00882F11">
        <w:rPr>
          <w:rFonts w:cs="Guttman Drogolin" w:hint="cs"/>
          <w:rtl/>
          <w:lang w:bidi="he-IL"/>
        </w:rPr>
        <w:t>.</w:t>
      </w:r>
      <w:r w:rsidR="00596A43" w:rsidRPr="00882F11">
        <w:rPr>
          <w:rFonts w:cs="Guttman Drogolin" w:hint="cs"/>
          <w:rtl/>
          <w:lang w:bidi="he-IL"/>
        </w:rPr>
        <w:t xml:space="preserve"> ולכן אפילו אם הרוטב שנבלע בחתיכת נבילה נע"נ כמו בחלב של הסוגיא, מ"מ אין על הרוטב אלא שם איסור של נבילה ולא שם איסור של רוטב. </w:t>
      </w:r>
      <w:r w:rsidR="0018146D" w:rsidRPr="00882F11">
        <w:rPr>
          <w:rFonts w:cs="Guttman Drogolin" w:hint="cs"/>
          <w:rtl/>
          <w:lang w:bidi="he-IL"/>
        </w:rPr>
        <w:t xml:space="preserve">ואע"פ שבסוגיא שלנו החלב נעשה נבילה ואוסרת משום מין חלב, שאני חענ"ן דבב"ח מחענ"ן שדשאר איסורים. </w:t>
      </w:r>
    </w:p>
    <w:p w:rsidR="00E67DF8" w:rsidRPr="00882F11" w:rsidRDefault="0018146D" w:rsidP="00D8165A">
      <w:pPr>
        <w:bidi/>
        <w:jc w:val="both"/>
        <w:rPr>
          <w:rFonts w:cs="Guttman Drogolin"/>
          <w:rtl/>
          <w:lang w:bidi="he-IL"/>
        </w:rPr>
      </w:pPr>
      <w:r w:rsidRPr="00882F11">
        <w:rPr>
          <w:rFonts w:cs="Guttman Drogolin" w:hint="cs"/>
          <w:rtl/>
          <w:lang w:bidi="he-IL"/>
        </w:rPr>
        <w:t xml:space="preserve">וע"פ יסודו של הר"י כתבו התוס' בסוף דבריהם </w:t>
      </w:r>
      <w:r w:rsidR="00B92E67" w:rsidRPr="00882F11">
        <w:rPr>
          <w:rFonts w:cs="Guttman Drogolin" w:hint="cs"/>
          <w:rtl/>
          <w:lang w:bidi="he-IL"/>
        </w:rPr>
        <w:t>"ומכאן</w:t>
      </w:r>
      <w:r w:rsidR="00B92E67" w:rsidRPr="00882F11">
        <w:rPr>
          <w:rFonts w:cs="Guttman Drogolin"/>
          <w:rtl/>
          <w:lang w:bidi="he-IL"/>
        </w:rPr>
        <w:t xml:space="preserve"> </w:t>
      </w:r>
      <w:r w:rsidR="00B92E67" w:rsidRPr="00882F11">
        <w:rPr>
          <w:rFonts w:cs="Guttman Drogolin" w:hint="cs"/>
          <w:rtl/>
          <w:lang w:bidi="he-IL"/>
        </w:rPr>
        <w:t>יש</w:t>
      </w:r>
      <w:r w:rsidR="00B92E67" w:rsidRPr="00882F11">
        <w:rPr>
          <w:rFonts w:cs="Guttman Drogolin"/>
          <w:rtl/>
          <w:lang w:bidi="he-IL"/>
        </w:rPr>
        <w:t xml:space="preserve"> </w:t>
      </w:r>
      <w:r w:rsidR="00B92E67" w:rsidRPr="00882F11">
        <w:rPr>
          <w:rFonts w:cs="Guttman Drogolin" w:hint="cs"/>
          <w:rtl/>
          <w:lang w:bidi="he-IL"/>
        </w:rPr>
        <w:t>להוכיח</w:t>
      </w:r>
      <w:r w:rsidR="00B92E67" w:rsidRPr="00882F11">
        <w:rPr>
          <w:rFonts w:cs="Guttman Drogolin"/>
          <w:rtl/>
          <w:lang w:bidi="he-IL"/>
        </w:rPr>
        <w:t xml:space="preserve"> </w:t>
      </w:r>
      <w:r w:rsidR="00B92E67" w:rsidRPr="00882F11">
        <w:rPr>
          <w:rFonts w:cs="Guttman Drogolin" w:hint="cs"/>
          <w:rtl/>
          <w:lang w:bidi="he-IL"/>
        </w:rPr>
        <w:t>דתבלין</w:t>
      </w:r>
      <w:r w:rsidR="00B92E67" w:rsidRPr="00882F11">
        <w:rPr>
          <w:rFonts w:cs="Guttman Drogolin"/>
          <w:rtl/>
          <w:lang w:bidi="he-IL"/>
        </w:rPr>
        <w:t xml:space="preserve"> </w:t>
      </w:r>
      <w:r w:rsidR="00B92E67" w:rsidRPr="00882F11">
        <w:rPr>
          <w:rFonts w:cs="Guttman Drogolin" w:hint="cs"/>
          <w:rtl/>
          <w:lang w:bidi="he-IL"/>
        </w:rPr>
        <w:t>הבלועים</w:t>
      </w:r>
      <w:r w:rsidR="00B92E67" w:rsidRPr="00882F11">
        <w:rPr>
          <w:rFonts w:cs="Guttman Drogolin"/>
          <w:rtl/>
          <w:lang w:bidi="he-IL"/>
        </w:rPr>
        <w:t xml:space="preserve"> </w:t>
      </w:r>
      <w:r w:rsidR="00B92E67" w:rsidRPr="00882F11">
        <w:rPr>
          <w:rFonts w:cs="Guttman Drogolin" w:hint="cs"/>
          <w:rtl/>
          <w:lang w:bidi="he-IL"/>
        </w:rPr>
        <w:t>מחלב</w:t>
      </w:r>
      <w:r w:rsidR="00B92E67" w:rsidRPr="00882F11">
        <w:rPr>
          <w:rFonts w:cs="Guttman Drogolin"/>
          <w:rtl/>
          <w:lang w:bidi="he-IL"/>
        </w:rPr>
        <w:t xml:space="preserve"> </w:t>
      </w:r>
      <w:r w:rsidR="00B92E67" w:rsidRPr="00882F11">
        <w:rPr>
          <w:rFonts w:cs="Guttman Drogolin" w:hint="cs"/>
          <w:rtl/>
          <w:lang w:bidi="he-IL"/>
        </w:rPr>
        <w:t>או</w:t>
      </w:r>
      <w:r w:rsidR="00B92E67" w:rsidRPr="00882F11">
        <w:rPr>
          <w:rFonts w:cs="Guttman Drogolin"/>
          <w:rtl/>
          <w:lang w:bidi="he-IL"/>
        </w:rPr>
        <w:t xml:space="preserve"> </w:t>
      </w:r>
      <w:r w:rsidR="00B92E67" w:rsidRPr="00882F11">
        <w:rPr>
          <w:rFonts w:cs="Guttman Drogolin" w:hint="cs"/>
          <w:rtl/>
          <w:lang w:bidi="he-IL"/>
        </w:rPr>
        <w:t>מדם</w:t>
      </w:r>
      <w:r w:rsidR="00B92E67" w:rsidRPr="00882F11">
        <w:rPr>
          <w:rFonts w:cs="Guttman Drogolin"/>
          <w:rtl/>
          <w:lang w:bidi="he-IL"/>
        </w:rPr>
        <w:t xml:space="preserve"> </w:t>
      </w:r>
      <w:r w:rsidR="00B92E67" w:rsidRPr="00882F11">
        <w:rPr>
          <w:rFonts w:cs="Guttman Drogolin" w:hint="cs"/>
          <w:rtl/>
          <w:lang w:bidi="he-IL"/>
        </w:rPr>
        <w:t>ונפלו</w:t>
      </w:r>
      <w:r w:rsidR="00B92E67" w:rsidRPr="00882F11">
        <w:rPr>
          <w:rFonts w:cs="Guttman Drogolin"/>
          <w:rtl/>
          <w:lang w:bidi="he-IL"/>
        </w:rPr>
        <w:t xml:space="preserve"> </w:t>
      </w:r>
      <w:r w:rsidR="00B92E67" w:rsidRPr="00882F11">
        <w:rPr>
          <w:rFonts w:cs="Guttman Drogolin" w:hint="cs"/>
          <w:rtl/>
          <w:lang w:bidi="he-IL"/>
        </w:rPr>
        <w:t>לקדרה</w:t>
      </w:r>
      <w:r w:rsidR="00B92E67" w:rsidRPr="00882F11">
        <w:rPr>
          <w:rFonts w:cs="Guttman Drogolin"/>
          <w:rtl/>
          <w:lang w:bidi="he-IL"/>
        </w:rPr>
        <w:t xml:space="preserve"> </w:t>
      </w:r>
      <w:r w:rsidR="00B92E67" w:rsidRPr="00882F11">
        <w:rPr>
          <w:rFonts w:cs="Guttman Drogolin" w:hint="cs"/>
          <w:rtl/>
          <w:lang w:bidi="he-IL"/>
        </w:rPr>
        <w:t>מתבטלין</w:t>
      </w:r>
      <w:r w:rsidR="00B92E67" w:rsidRPr="00882F11">
        <w:rPr>
          <w:rFonts w:cs="Guttman Drogolin"/>
          <w:rtl/>
          <w:lang w:bidi="he-IL"/>
        </w:rPr>
        <w:t xml:space="preserve"> </w:t>
      </w:r>
      <w:r w:rsidR="00B92E67" w:rsidRPr="00882F11">
        <w:rPr>
          <w:rFonts w:cs="Guttman Drogolin" w:hint="cs"/>
          <w:rtl/>
          <w:lang w:bidi="he-IL"/>
        </w:rPr>
        <w:t>בששים</w:t>
      </w:r>
      <w:r w:rsidR="00B92E67" w:rsidRPr="00882F11">
        <w:rPr>
          <w:rFonts w:cs="Guttman Drogolin"/>
          <w:rtl/>
          <w:lang w:bidi="he-IL"/>
        </w:rPr>
        <w:t xml:space="preserve"> </w:t>
      </w:r>
      <w:r w:rsidR="00B92E67" w:rsidRPr="00882F11">
        <w:rPr>
          <w:rFonts w:cs="Guttman Drogolin" w:hint="cs"/>
          <w:rtl/>
          <w:lang w:bidi="he-IL"/>
        </w:rPr>
        <w:t>ואע"ג</w:t>
      </w:r>
      <w:r w:rsidR="00B92E67" w:rsidRPr="00882F11">
        <w:rPr>
          <w:rFonts w:cs="Guttman Drogolin"/>
          <w:rtl/>
          <w:lang w:bidi="he-IL"/>
        </w:rPr>
        <w:t xml:space="preserve"> </w:t>
      </w:r>
      <w:r w:rsidR="00B92E67" w:rsidRPr="00882F11">
        <w:rPr>
          <w:rFonts w:cs="Guttman Drogolin" w:hint="cs"/>
          <w:rtl/>
          <w:lang w:bidi="he-IL"/>
        </w:rPr>
        <w:t>דנותנין</w:t>
      </w:r>
      <w:r w:rsidR="00B92E67" w:rsidRPr="00882F11">
        <w:rPr>
          <w:rFonts w:cs="Guttman Drogolin"/>
          <w:rtl/>
          <w:lang w:bidi="he-IL"/>
        </w:rPr>
        <w:t xml:space="preserve"> </w:t>
      </w:r>
      <w:r w:rsidR="00B92E67" w:rsidRPr="00882F11">
        <w:rPr>
          <w:rFonts w:cs="Guttman Drogolin" w:hint="cs"/>
          <w:rtl/>
          <w:lang w:bidi="he-IL"/>
        </w:rPr>
        <w:t>טעם</w:t>
      </w:r>
      <w:r w:rsidR="00B92E67" w:rsidRPr="00882F11">
        <w:rPr>
          <w:rFonts w:cs="Guttman Drogolin"/>
          <w:rtl/>
          <w:lang w:bidi="he-IL"/>
        </w:rPr>
        <w:t xml:space="preserve"> </w:t>
      </w:r>
      <w:r w:rsidR="00B92E67" w:rsidRPr="00882F11">
        <w:rPr>
          <w:rFonts w:cs="Guttman Drogolin" w:hint="cs"/>
          <w:rtl/>
          <w:lang w:bidi="he-IL"/>
        </w:rPr>
        <w:t>אפי</w:t>
      </w:r>
      <w:r w:rsidR="00B92E67" w:rsidRPr="00882F11">
        <w:rPr>
          <w:rFonts w:cs="Guttman Drogolin"/>
          <w:rtl/>
          <w:lang w:bidi="he-IL"/>
        </w:rPr>
        <w:t xml:space="preserve">' </w:t>
      </w:r>
      <w:r w:rsidR="00B92E67" w:rsidRPr="00882F11">
        <w:rPr>
          <w:rFonts w:cs="Guttman Drogolin" w:hint="cs"/>
          <w:rtl/>
          <w:lang w:bidi="he-IL"/>
        </w:rPr>
        <w:t>באלף</w:t>
      </w:r>
      <w:r w:rsidR="00B92E67" w:rsidRPr="00882F11">
        <w:rPr>
          <w:rFonts w:cs="Guttman Drogolin"/>
          <w:rtl/>
          <w:lang w:bidi="he-IL"/>
        </w:rPr>
        <w:t xml:space="preserve"> </w:t>
      </w:r>
      <w:r w:rsidR="00B92E67" w:rsidRPr="00882F11">
        <w:rPr>
          <w:rFonts w:cs="Guttman Drogolin" w:hint="cs"/>
          <w:rtl/>
          <w:lang w:bidi="he-IL"/>
        </w:rPr>
        <w:t>מותר</w:t>
      </w:r>
      <w:r w:rsidR="00B92E67" w:rsidRPr="00882F11">
        <w:rPr>
          <w:rFonts w:cs="Guttman Drogolin"/>
          <w:rtl/>
          <w:lang w:bidi="he-IL"/>
        </w:rPr>
        <w:t xml:space="preserve"> </w:t>
      </w:r>
      <w:r w:rsidR="00B92E67" w:rsidRPr="00882F11">
        <w:rPr>
          <w:rFonts w:cs="Guttman Drogolin" w:hint="cs"/>
          <w:rtl/>
          <w:lang w:bidi="he-IL"/>
        </w:rPr>
        <w:t>דאינו</w:t>
      </w:r>
      <w:r w:rsidR="00B92E67" w:rsidRPr="00882F11">
        <w:rPr>
          <w:rFonts w:cs="Guttman Drogolin"/>
          <w:rtl/>
          <w:lang w:bidi="he-IL"/>
        </w:rPr>
        <w:t xml:space="preserve"> </w:t>
      </w:r>
      <w:r w:rsidR="00B92E67" w:rsidRPr="00882F11">
        <w:rPr>
          <w:rFonts w:cs="Guttman Drogolin" w:hint="cs"/>
          <w:rtl/>
          <w:lang w:bidi="he-IL"/>
        </w:rPr>
        <w:t>חמור</w:t>
      </w:r>
      <w:r w:rsidR="00B92E67" w:rsidRPr="00882F11">
        <w:rPr>
          <w:rFonts w:cs="Guttman Drogolin"/>
          <w:rtl/>
          <w:lang w:bidi="he-IL"/>
        </w:rPr>
        <w:t xml:space="preserve"> </w:t>
      </w:r>
      <w:r w:rsidR="00B92E67" w:rsidRPr="00882F11">
        <w:rPr>
          <w:rFonts w:cs="Guttman Drogolin" w:hint="cs"/>
          <w:rtl/>
          <w:lang w:bidi="he-IL"/>
        </w:rPr>
        <w:t>מן</w:t>
      </w:r>
      <w:r w:rsidR="00B92E67" w:rsidRPr="00882F11">
        <w:rPr>
          <w:rFonts w:cs="Guttman Drogolin"/>
          <w:rtl/>
          <w:lang w:bidi="he-IL"/>
        </w:rPr>
        <w:t xml:space="preserve"> </w:t>
      </w:r>
      <w:r w:rsidR="00B92E67" w:rsidRPr="00882F11">
        <w:rPr>
          <w:rFonts w:cs="Guttman Drogolin" w:hint="cs"/>
          <w:rtl/>
          <w:lang w:bidi="he-IL"/>
        </w:rPr>
        <w:t>האיסור</w:t>
      </w:r>
      <w:r w:rsidR="00B92E67" w:rsidRPr="00882F11">
        <w:rPr>
          <w:rFonts w:cs="Guttman Drogolin"/>
          <w:rtl/>
          <w:lang w:bidi="he-IL"/>
        </w:rPr>
        <w:t xml:space="preserve"> </w:t>
      </w:r>
      <w:r w:rsidR="00B92E67" w:rsidRPr="00882F11">
        <w:rPr>
          <w:rFonts w:cs="Guttman Drogolin" w:hint="cs"/>
          <w:rtl/>
          <w:lang w:bidi="he-IL"/>
        </w:rPr>
        <w:t>הנבלע</w:t>
      </w:r>
      <w:r w:rsidR="00B92E67" w:rsidRPr="00882F11">
        <w:rPr>
          <w:rFonts w:cs="Guttman Drogolin"/>
          <w:rtl/>
          <w:lang w:bidi="he-IL"/>
        </w:rPr>
        <w:t xml:space="preserve"> </w:t>
      </w:r>
      <w:r w:rsidR="00B92E67" w:rsidRPr="00882F11">
        <w:rPr>
          <w:rFonts w:cs="Guttman Drogolin" w:hint="cs"/>
          <w:rtl/>
          <w:lang w:bidi="he-IL"/>
        </w:rPr>
        <w:t>בהן"</w:t>
      </w:r>
      <w:r w:rsidR="00363A5B" w:rsidRPr="00882F11">
        <w:rPr>
          <w:rFonts w:cs="Guttman Drogolin" w:hint="cs"/>
          <w:rtl/>
          <w:lang w:bidi="he-IL"/>
        </w:rPr>
        <w:t>. וכוונתם דכיון שהר"י סבר שבשאר איסורים אין לו השם איסור של ההיתר</w:t>
      </w:r>
      <w:r w:rsidR="00E67DF8" w:rsidRPr="00882F11">
        <w:rPr>
          <w:rFonts w:cs="Guttman Drogolin" w:hint="cs"/>
          <w:rtl/>
          <w:lang w:bidi="he-IL"/>
        </w:rPr>
        <w:t>, הה"נ שבתבלין שבלעו דם אין לתבלין דין איסור מצד עצמם רק שיש להם דין דם. ואע"ג שהי' אפשר לחלק בין הנידונים, דנהי נמי אין לו 'שם' איסור של תבלין, אבל מ"מ אוסרים אפילו באלף כיון שסוף סוף התבלין נעשו נבילה ואפשר לטעום אותם וכמו שהעיר רע"א, מ"מ התוס' הרי לא חלקו בזה.</w:t>
      </w:r>
    </w:p>
    <w:p w:rsidR="00D8165A" w:rsidRPr="00882F11" w:rsidRDefault="00D8165A" w:rsidP="00D8165A">
      <w:pPr>
        <w:bidi/>
        <w:jc w:val="both"/>
        <w:rPr>
          <w:rFonts w:cs="Guttman Drogolin"/>
          <w:rtl/>
          <w:lang w:bidi="he-IL"/>
        </w:rPr>
      </w:pPr>
      <w:r w:rsidRPr="00882F11">
        <w:rPr>
          <w:rFonts w:cs="Guttman Drogolin" w:hint="cs"/>
          <w:rtl/>
          <w:lang w:bidi="he-IL"/>
        </w:rPr>
        <w:t>והנה כבר הבאנו</w:t>
      </w:r>
      <w:r w:rsidR="007750C3" w:rsidRPr="00882F11">
        <w:rPr>
          <w:rStyle w:val="FootnoteReference"/>
          <w:rFonts w:cs="Guttman Drogolin"/>
          <w:rtl/>
          <w:lang w:bidi="he-IL"/>
        </w:rPr>
        <w:footnoteReference w:id="91"/>
      </w:r>
      <w:r w:rsidRPr="00882F11">
        <w:rPr>
          <w:rFonts w:cs="Guttman Drogolin" w:hint="cs"/>
          <w:rtl/>
          <w:lang w:bidi="he-IL"/>
        </w:rPr>
        <w:t xml:space="preserve"> את שיטת התוס' לעיל בדף צ"ו ע"ב שאין הנאסר יכול לאסו</w:t>
      </w:r>
      <w:r w:rsidR="007750C3" w:rsidRPr="00882F11">
        <w:rPr>
          <w:rFonts w:cs="Guttman Drogolin" w:hint="cs"/>
          <w:rtl/>
          <w:lang w:bidi="he-IL"/>
        </w:rPr>
        <w:t>ר</w:t>
      </w:r>
      <w:r w:rsidRPr="00882F11">
        <w:rPr>
          <w:rFonts w:cs="Guttman Drogolin" w:hint="cs"/>
          <w:rtl/>
          <w:lang w:bidi="he-IL"/>
        </w:rPr>
        <w:t xml:space="preserve"> במקום שאין האיסור יכול להתפשט. ומ"מ לפום ריהטא אין לזה שום שייכות לדברי התוס' כאן. ויש לזה הוכחה, איבעית אימא סברא איבעית אימא קרא. מסברא </w:t>
      </w:r>
      <w:r w:rsidRPr="00882F11">
        <w:rPr>
          <w:rFonts w:cs="Guttman Drogolin" w:hint="cs"/>
          <w:rtl/>
          <w:lang w:bidi="he-IL"/>
        </w:rPr>
        <w:lastRenderedPageBreak/>
        <w:t>הם שונים בטעמם, שיסוד דברי התוס' דהתם הוא שאין הנאסר נשאר באיסורו אלא במקום שעכ"פ משהו של האיסור הולך עמו אע"פ שאותו משהו אין לו כח לאוסרו עכשיו. ובנד"ד הרי הדם הולך בכל מקום שהתבלין הולכין, רק שדם אין טעמו חזר כמו התבלין ולכן אילו הי' כולו דם לא הי' אוסר, אבל הות ואינו שם אלא תבלין, והתבלין הרי נע"נ, ה</w:t>
      </w:r>
      <w:r w:rsidR="000C317F" w:rsidRPr="00882F11">
        <w:rPr>
          <w:rFonts w:cs="Guttman Drogolin" w:hint="cs"/>
          <w:rtl/>
          <w:lang w:bidi="he-IL"/>
        </w:rPr>
        <w:t>י</w:t>
      </w:r>
      <w:r w:rsidRPr="00882F11">
        <w:rPr>
          <w:rFonts w:cs="Guttman Drogolin" w:hint="cs"/>
          <w:rtl/>
          <w:lang w:bidi="he-IL"/>
        </w:rPr>
        <w:t>' שפיר אפשר לומר שהתבלין או</w:t>
      </w:r>
      <w:r w:rsidR="000722AB" w:rsidRPr="00882F11">
        <w:rPr>
          <w:rFonts w:cs="Guttman Drogolin" w:hint="cs"/>
          <w:rtl/>
          <w:lang w:bidi="he-IL"/>
        </w:rPr>
        <w:t>סרים באלף אילו לא הי' לנו אלא ד</w:t>
      </w:r>
      <w:r w:rsidRPr="00882F11">
        <w:rPr>
          <w:rFonts w:cs="Guttman Drogolin" w:hint="cs"/>
          <w:rtl/>
          <w:lang w:bidi="he-IL"/>
        </w:rPr>
        <w:t xml:space="preserve">ברי התוס' דלעיל. וקמ"ל התוס' הכא יסוד אחר, והוא שאפילו במקום שהאיסור הולך, מ"מ אין לו כח לאסור במקום דאילו הי' ההיתר כולו איסור לא הי' אוסר. ואיבעית אימא קרא, דהא התוס' לא עששו שום קשר בין הנידונים, ולא הביאו לעיל מר"י ורבינו שמואל, וההוכחות המובאות שם אינם מובאות כאן. ועוד יותר מזה ששם משמעות דברי התוס' שהכלל שאין הנאסר אוסר במקום שאין האיסור יכול להתפשט שייך גם </w:t>
      </w:r>
      <w:r w:rsidR="009A16AC" w:rsidRPr="00882F11">
        <w:rPr>
          <w:rFonts w:cs="Guttman Drogolin" w:hint="cs"/>
          <w:rtl/>
          <w:lang w:bidi="he-IL"/>
        </w:rPr>
        <w:t>בחענ"ן בבשר בחלב, והכא הרי כתבו התוס' שכל דבריהם אינם אלא בחענ"ן בשאר איסורים ולא בבב"ח.</w:t>
      </w:r>
    </w:p>
    <w:p w:rsidR="009A16AC" w:rsidRPr="00882F11" w:rsidRDefault="009A16AC" w:rsidP="009A16AC">
      <w:pPr>
        <w:bidi/>
        <w:jc w:val="both"/>
        <w:rPr>
          <w:rFonts w:cs="Guttman Drogolin"/>
          <w:rtl/>
          <w:lang w:bidi="he-IL"/>
        </w:rPr>
      </w:pPr>
      <w:r w:rsidRPr="00882F11">
        <w:rPr>
          <w:rFonts w:cs="Guttman Drogolin" w:hint="cs"/>
          <w:rtl/>
          <w:lang w:bidi="he-IL"/>
        </w:rPr>
        <w:t>אבל העומד לנגדינו הוא לשון ביאור הגר"א סי' ק"ה ס"ק פ"ו, שהביא שם כמקור לדינו של הר"י כאן את דברי התוס' דלעיל. הרי שמאד משמע דחד כללא לתרוייהו. ואם כי בדעת התוס' כאן לכאורה קשה להבין איך יתכן דבר זה וכנ"ל, מ"מ בביאור סברתו לכאורה י"ל שאין הכלל שאין הנאסר אוסר במקום אין האיסור יכול להתפשט משום דבעינן שיהא תמיד חלק מן האיסור עם ההיתר כדי לאסור מדין חענ"ן, רק הטעם כמו שכתבו כאן, דלא יתכן שיהא לנאסר כח לאסור יותר מן האיסור עצמו, וכיון שאילו הי' כולו איסור לא הי' אוסר, גם עכשיו שיש כח מסוים להיתר לאסור אינו אוסר</w:t>
      </w:r>
      <w:r w:rsidRPr="00882F11">
        <w:rPr>
          <w:rStyle w:val="FootnoteReference"/>
          <w:rFonts w:cs="Guttman Drogolin"/>
          <w:rtl/>
          <w:lang w:bidi="he-IL"/>
        </w:rPr>
        <w:footnoteReference w:id="92"/>
      </w:r>
      <w:r w:rsidRPr="00882F11">
        <w:rPr>
          <w:rFonts w:cs="Guttman Drogolin" w:hint="cs"/>
          <w:rtl/>
          <w:lang w:bidi="he-IL"/>
        </w:rPr>
        <w:t xml:space="preserve">. </w:t>
      </w:r>
    </w:p>
    <w:p w:rsidR="009A16AC" w:rsidRPr="000F6DEF" w:rsidRDefault="009A16AC" w:rsidP="0078079C">
      <w:pPr>
        <w:pStyle w:val="Heading1"/>
        <w:bidi/>
        <w:spacing w:before="0" w:line="360" w:lineRule="auto"/>
        <w:jc w:val="center"/>
        <w:rPr>
          <w:rFonts w:cs="Guttman Drogolin"/>
          <w:color w:val="auto"/>
          <w:sz w:val="20"/>
          <w:szCs w:val="20"/>
          <w:u w:val="single"/>
          <w:rtl/>
          <w:lang w:bidi="he-IL"/>
        </w:rPr>
      </w:pPr>
      <w:bookmarkStart w:id="79" w:name="_Toc496175341"/>
      <w:r w:rsidRPr="000F6DEF">
        <w:rPr>
          <w:rFonts w:cs="Guttman Drogolin" w:hint="cs"/>
          <w:color w:val="auto"/>
          <w:sz w:val="20"/>
          <w:szCs w:val="20"/>
          <w:u w:val="single"/>
          <w:rtl/>
          <w:lang w:bidi="he-IL"/>
        </w:rPr>
        <w:t>כמה נקודות בדינא ד</w:t>
      </w:r>
      <w:r w:rsidR="00DC784B">
        <w:rPr>
          <w:rFonts w:cs="Guttman Drogolin" w:hint="cs"/>
          <w:color w:val="auto"/>
          <w:sz w:val="20"/>
          <w:szCs w:val="20"/>
          <w:u w:val="single"/>
          <w:rtl/>
          <w:lang w:bidi="he-IL"/>
        </w:rPr>
        <w:t>אפשר לסוחטו</w:t>
      </w:r>
      <w:r w:rsidRPr="000F6DEF">
        <w:rPr>
          <w:rFonts w:cs="Guttman Drogolin" w:hint="cs"/>
          <w:color w:val="auto"/>
          <w:sz w:val="20"/>
          <w:szCs w:val="20"/>
          <w:u w:val="single"/>
          <w:rtl/>
          <w:lang w:bidi="he-IL"/>
        </w:rPr>
        <w:t xml:space="preserve"> אסור או מותר</w:t>
      </w:r>
      <w:bookmarkEnd w:id="79"/>
    </w:p>
    <w:p w:rsidR="00EB6995" w:rsidRPr="00882F11" w:rsidRDefault="00011127" w:rsidP="00760CD2">
      <w:pPr>
        <w:bidi/>
        <w:jc w:val="both"/>
        <w:rPr>
          <w:rFonts w:cs="Guttman Drogolin"/>
          <w:rtl/>
          <w:lang w:bidi="he-IL"/>
        </w:rPr>
      </w:pPr>
      <w:r>
        <w:rPr>
          <w:rFonts w:cs="Guttman Drogolin"/>
          <w:rtl/>
          <w:lang w:bidi="he-IL"/>
        </w:rPr>
        <w:fldChar w:fldCharType="begin"/>
      </w:r>
      <w:r>
        <w:instrText xml:space="preserve"> XE "</w:instrText>
      </w:r>
      <w:r w:rsidRPr="009C3843">
        <w:rPr>
          <w:rFonts w:hint="cs"/>
          <w:rtl/>
          <w:lang w:bidi="he-IL"/>
        </w:rPr>
        <w:instrText>אפשר לסוחטו</w:instrText>
      </w:r>
      <w:r w:rsidRPr="009C3843">
        <w:rPr>
          <w:rtl/>
        </w:rPr>
        <w:instrText>:</w:instrText>
      </w:r>
      <w:r w:rsidRPr="009C3843">
        <w:rPr>
          <w:rFonts w:hint="cs"/>
          <w:rtl/>
          <w:lang w:bidi="he-IL"/>
        </w:rPr>
        <w:instrText>כמה נקודות בסוגיא</w:instrText>
      </w:r>
      <w:r>
        <w:instrText xml:space="preserve">" </w:instrText>
      </w:r>
      <w:r>
        <w:rPr>
          <w:rFonts w:cs="Guttman Drogolin"/>
          <w:rtl/>
          <w:lang w:bidi="he-IL"/>
        </w:rPr>
        <w:fldChar w:fldCharType="end"/>
      </w:r>
      <w:r w:rsidR="009A16AC" w:rsidRPr="00882F11">
        <w:rPr>
          <w:rFonts w:cs="Guttman Drogolin" w:hint="cs"/>
          <w:rtl/>
          <w:lang w:bidi="he-IL"/>
        </w:rPr>
        <w:t xml:space="preserve">בגמ' מבואר שבחתיכה שבלע חלב ונתן בו טעם נעשית נבילה. וכאן הרי ר' אפרים עצמו מודה דאמרינן חענ"ן, וזהו הדוחק שיש בדבריו שהרי </w:t>
      </w:r>
      <w:r w:rsidR="009A16AC" w:rsidRPr="00882F11">
        <w:rPr>
          <w:rFonts w:cs="Guttman Drogolin" w:hint="cs"/>
          <w:rtl/>
          <w:lang w:bidi="he-IL"/>
        </w:rPr>
        <w:lastRenderedPageBreak/>
        <w:t>הלשונות כאן ולעיל מאד דומות</w:t>
      </w:r>
      <w:r w:rsidR="00C211D8" w:rsidRPr="00882F11">
        <w:rPr>
          <w:rFonts w:cs="Guttman Drogolin" w:hint="cs"/>
          <w:rtl/>
          <w:lang w:bidi="he-IL"/>
        </w:rPr>
        <w:t xml:space="preserve"> ומ"מ למד ר' אפרים דהכא דוקא ולעיל לאו דוקא.ומ"מ מתבאר מן הסוגיא כאן דהא דאמרינן חתיכה עצמה נעשית נבילה בנוי' על זה דאמרינן </w:t>
      </w:r>
      <w:r w:rsidR="00DC784B">
        <w:rPr>
          <w:rFonts w:cs="Guttman Drogolin" w:hint="cs"/>
          <w:rtl/>
          <w:lang w:bidi="he-IL"/>
        </w:rPr>
        <w:t>אפשר לסוחטו</w:t>
      </w:r>
      <w:r w:rsidR="00C211D8" w:rsidRPr="00882F11">
        <w:rPr>
          <w:rFonts w:cs="Guttman Drogolin" w:hint="cs"/>
          <w:rtl/>
          <w:lang w:bidi="he-IL"/>
        </w:rPr>
        <w:t xml:space="preserve"> אסור, אבל למ</w:t>
      </w:r>
      <w:r w:rsidR="00760CD2">
        <w:rPr>
          <w:rFonts w:cs="Guttman Drogolin" w:hint="cs"/>
          <w:rtl/>
          <w:lang w:bidi="he-IL"/>
        </w:rPr>
        <w:t>"</w:t>
      </w:r>
      <w:r w:rsidR="00C211D8" w:rsidRPr="00882F11">
        <w:rPr>
          <w:rFonts w:cs="Guttman Drogolin" w:hint="cs"/>
          <w:rtl/>
          <w:lang w:bidi="he-IL"/>
        </w:rPr>
        <w:t xml:space="preserve">ד </w:t>
      </w:r>
      <w:r w:rsidR="00DC784B">
        <w:rPr>
          <w:rFonts w:cs="Guttman Drogolin" w:hint="cs"/>
          <w:rtl/>
          <w:lang w:bidi="he-IL"/>
        </w:rPr>
        <w:t>אפשר לסוחטו</w:t>
      </w:r>
      <w:r w:rsidR="00C211D8" w:rsidRPr="00882F11">
        <w:rPr>
          <w:rFonts w:cs="Guttman Drogolin" w:hint="cs"/>
          <w:rtl/>
          <w:lang w:bidi="he-IL"/>
        </w:rPr>
        <w:t xml:space="preserve"> מותר ודאי לא אמרינן חענ"ן. ויל"ע בכמה נקודות. חדא מה ה</w:t>
      </w:r>
      <w:r w:rsidR="00760CD2">
        <w:rPr>
          <w:rFonts w:cs="Guttman Drogolin" w:hint="cs"/>
          <w:rtl/>
          <w:lang w:bidi="he-IL"/>
        </w:rPr>
        <w:t>ם</w:t>
      </w:r>
      <w:r w:rsidR="00C211D8" w:rsidRPr="00882F11">
        <w:rPr>
          <w:rFonts w:cs="Guttman Drogolin" w:hint="cs"/>
          <w:rtl/>
          <w:lang w:bidi="he-IL"/>
        </w:rPr>
        <w:t xml:space="preserve"> שני הענינים האלו. ועוד יל"ע האם הוא גם להיפך, או דיתכן דאמרינן </w:t>
      </w:r>
      <w:r w:rsidR="00DC784B">
        <w:rPr>
          <w:rFonts w:cs="Guttman Drogolin" w:hint="cs"/>
          <w:rtl/>
          <w:lang w:bidi="he-IL"/>
        </w:rPr>
        <w:t>אפשר לסוחטו</w:t>
      </w:r>
      <w:r w:rsidR="00C211D8" w:rsidRPr="00882F11">
        <w:rPr>
          <w:rFonts w:cs="Guttman Drogolin" w:hint="cs"/>
          <w:rtl/>
          <w:lang w:bidi="he-IL"/>
        </w:rPr>
        <w:t xml:space="preserve"> אסור ומ"מ אין החתיכה נעשית נבילה. ונחלקו גדולי המפרשים לשיטת ר' אפרים שלא אומרים חענ"ן בשאר איסורים אם הה"נ דלא אמרינן </w:t>
      </w:r>
      <w:r w:rsidR="00DC784B">
        <w:rPr>
          <w:rFonts w:cs="Guttman Drogolin" w:hint="cs"/>
          <w:rtl/>
          <w:lang w:bidi="he-IL"/>
        </w:rPr>
        <w:t>אפשר לסוחטו</w:t>
      </w:r>
      <w:r w:rsidR="00C211D8" w:rsidRPr="00882F11">
        <w:rPr>
          <w:rFonts w:cs="Guttman Drogolin" w:hint="cs"/>
          <w:rtl/>
          <w:lang w:bidi="he-IL"/>
        </w:rPr>
        <w:t xml:space="preserve"> אסור בשאר איסורים, או"ד שלענין </w:t>
      </w:r>
      <w:r w:rsidR="00DC784B">
        <w:rPr>
          <w:rFonts w:cs="Guttman Drogolin" w:hint="cs"/>
          <w:rtl/>
          <w:lang w:bidi="he-IL"/>
        </w:rPr>
        <w:t>אפשר לסוחטו</w:t>
      </w:r>
      <w:r w:rsidR="00C211D8" w:rsidRPr="00882F11">
        <w:rPr>
          <w:rFonts w:cs="Guttman Drogolin" w:hint="cs"/>
          <w:rtl/>
          <w:lang w:bidi="he-IL"/>
        </w:rPr>
        <w:t xml:space="preserve"> אסור גם ר' אפרים מודה. ולעיל בתוס' שבדך ק' ע"ב מבואר ש</w:t>
      </w:r>
      <w:r w:rsidR="00CB4B19" w:rsidRPr="00882F11">
        <w:rPr>
          <w:rFonts w:cs="Guttman Drogolin" w:hint="cs"/>
          <w:rtl/>
          <w:lang w:bidi="he-IL"/>
        </w:rPr>
        <w:t>אפילו</w:t>
      </w:r>
      <w:r w:rsidR="00C211D8" w:rsidRPr="00882F11">
        <w:rPr>
          <w:rFonts w:cs="Guttman Drogolin" w:hint="cs"/>
          <w:rtl/>
          <w:lang w:bidi="he-IL"/>
        </w:rPr>
        <w:t xml:space="preserve"> אם במשהו לא אומרים חענ"ן מ"מ יתכן לומר ד</w:t>
      </w:r>
      <w:r w:rsidR="00DC784B">
        <w:rPr>
          <w:rFonts w:cs="Guttman Drogolin" w:hint="cs"/>
          <w:rtl/>
          <w:lang w:bidi="he-IL"/>
        </w:rPr>
        <w:t>אפשר לסוחטו</w:t>
      </w:r>
      <w:r w:rsidR="00C211D8" w:rsidRPr="00882F11">
        <w:rPr>
          <w:rFonts w:cs="Guttman Drogolin" w:hint="cs"/>
          <w:rtl/>
          <w:lang w:bidi="he-IL"/>
        </w:rPr>
        <w:t xml:space="preserve"> אסור, דהא הי' עכ"פ הו"א שאין משהו עושה חענ"ן, ומ"מ </w:t>
      </w:r>
      <w:r w:rsidR="00DC784B">
        <w:rPr>
          <w:rFonts w:cs="Guttman Drogolin" w:hint="cs"/>
          <w:rtl/>
          <w:lang w:bidi="he-IL"/>
        </w:rPr>
        <w:t>אפשר לסוחטו</w:t>
      </w:r>
      <w:r w:rsidR="00C211D8" w:rsidRPr="00882F11">
        <w:rPr>
          <w:rFonts w:cs="Guttman Drogolin" w:hint="cs"/>
          <w:rtl/>
          <w:lang w:bidi="he-IL"/>
        </w:rPr>
        <w:t xml:space="preserve"> אסור. ואפילו לפי פירושו של המהר"י לנדא שם שלמסקנת דבריהם לא אמרינן הכלל ד</w:t>
      </w:r>
      <w:r w:rsidR="00DC784B">
        <w:rPr>
          <w:rFonts w:cs="Guttman Drogolin" w:hint="cs"/>
          <w:rtl/>
          <w:lang w:bidi="he-IL"/>
        </w:rPr>
        <w:t>אפשר לסוחטו</w:t>
      </w:r>
      <w:r w:rsidR="00C211D8" w:rsidRPr="00882F11">
        <w:rPr>
          <w:rFonts w:cs="Guttman Drogolin" w:hint="cs"/>
          <w:rtl/>
          <w:lang w:bidi="he-IL"/>
        </w:rPr>
        <w:t xml:space="preserve"> אסור באיסור משהו, מ"מ ס"ד לחלק ביניהם. עוד יל"ע מהו דינו של המאכל שנאסר עצמו</w:t>
      </w:r>
      <w:r w:rsidR="00C035E0" w:rsidRPr="00882F11">
        <w:rPr>
          <w:rFonts w:cs="Guttman Drogolin" w:hint="cs"/>
          <w:rtl/>
          <w:lang w:bidi="he-IL"/>
        </w:rPr>
        <w:t xml:space="preserve"> האם הוא חוזר להיתירו. ויתכן שזהו עצמו הנידון של </w:t>
      </w:r>
      <w:r w:rsidR="00DC784B">
        <w:rPr>
          <w:rFonts w:cs="Guttman Drogolin" w:hint="cs"/>
          <w:rtl/>
          <w:lang w:bidi="he-IL"/>
        </w:rPr>
        <w:t>אפשר לסוחטו</w:t>
      </w:r>
      <w:r w:rsidR="00C035E0" w:rsidRPr="00882F11">
        <w:rPr>
          <w:rFonts w:cs="Guttman Drogolin" w:hint="cs"/>
          <w:rtl/>
          <w:lang w:bidi="he-IL"/>
        </w:rPr>
        <w:t xml:space="preserve"> אסור או מותר. אבל י"א שלענין המאכל עצמו כו"ע מודים שאינו חוזר להיתירו דהא אפילו אם </w:t>
      </w:r>
      <w:r w:rsidR="00DC784B">
        <w:rPr>
          <w:rFonts w:cs="Guttman Drogolin" w:hint="cs"/>
          <w:rtl/>
          <w:lang w:bidi="he-IL"/>
        </w:rPr>
        <w:t>אפשר לסוחטו</w:t>
      </w:r>
      <w:r w:rsidR="00C035E0" w:rsidRPr="00882F11">
        <w:rPr>
          <w:rFonts w:cs="Guttman Drogolin" w:hint="cs"/>
          <w:rtl/>
          <w:lang w:bidi="he-IL"/>
        </w:rPr>
        <w:t xml:space="preserve"> מותר מ"מ אין סחיטה באוכלין. ובעזהי"ת הדברים יתבארו יותר בהמשך.</w:t>
      </w:r>
      <w:r w:rsidR="00C211D8" w:rsidRPr="00882F11">
        <w:rPr>
          <w:rFonts w:cs="Guttman Drogolin" w:hint="cs"/>
          <w:rtl/>
          <w:lang w:bidi="he-IL"/>
        </w:rPr>
        <w:t xml:space="preserve">  </w:t>
      </w:r>
      <w:r w:rsidR="009A16AC" w:rsidRPr="00882F11">
        <w:rPr>
          <w:rFonts w:cs="Guttman Drogolin" w:hint="cs"/>
          <w:rtl/>
          <w:lang w:bidi="he-IL"/>
        </w:rPr>
        <w:t xml:space="preserve"> </w:t>
      </w:r>
      <w:r w:rsidR="00E67DF8" w:rsidRPr="00882F11">
        <w:rPr>
          <w:rFonts w:cs="Guttman Drogolin" w:hint="cs"/>
          <w:rtl/>
          <w:lang w:bidi="he-IL"/>
        </w:rPr>
        <w:t xml:space="preserve">  </w:t>
      </w:r>
      <w:r w:rsidR="008C0AAC" w:rsidRPr="00882F11">
        <w:rPr>
          <w:rFonts w:cs="Guttman Drogolin" w:hint="cs"/>
          <w:rtl/>
          <w:lang w:bidi="he-IL"/>
        </w:rPr>
        <w:t xml:space="preserve"> </w:t>
      </w:r>
      <w:r w:rsidR="00895CE3" w:rsidRPr="00882F11">
        <w:rPr>
          <w:rFonts w:cs="Guttman Drogolin" w:hint="cs"/>
          <w:rtl/>
          <w:lang w:bidi="he-IL"/>
        </w:rPr>
        <w:t xml:space="preserve">   </w:t>
      </w:r>
      <w:r w:rsidR="00321286" w:rsidRPr="00882F11">
        <w:rPr>
          <w:rFonts w:cs="Guttman Drogolin" w:hint="cs"/>
          <w:rtl/>
          <w:lang w:bidi="he-IL"/>
        </w:rPr>
        <w:t xml:space="preserve">   </w:t>
      </w:r>
      <w:r w:rsidR="000759C3" w:rsidRPr="00882F11">
        <w:rPr>
          <w:rFonts w:cs="Guttman Drogolin" w:hint="cs"/>
          <w:rtl/>
          <w:lang w:bidi="he-IL"/>
        </w:rPr>
        <w:t xml:space="preserve">                     </w:t>
      </w:r>
      <w:r w:rsidR="00EB6995" w:rsidRPr="00882F11">
        <w:rPr>
          <w:rFonts w:cs="Guttman Drogolin" w:hint="cs"/>
          <w:rtl/>
          <w:lang w:bidi="he-IL"/>
        </w:rPr>
        <w:t xml:space="preserve">     </w:t>
      </w:r>
    </w:p>
    <w:p w:rsidR="00C940EE" w:rsidRPr="00882F11" w:rsidRDefault="00C940EE" w:rsidP="00EB6995">
      <w:pPr>
        <w:bidi/>
        <w:jc w:val="both"/>
        <w:rPr>
          <w:rFonts w:cs="Guttman Drogolin"/>
          <w:rtl/>
          <w:lang w:bidi="he-IL"/>
        </w:rPr>
        <w:sectPr w:rsidR="00C940EE" w:rsidRPr="00882F11" w:rsidSect="000F6DEF">
          <w:type w:val="continuous"/>
          <w:pgSz w:w="11907" w:h="16839" w:code="9"/>
          <w:pgMar w:top="1440" w:right="1440" w:bottom="1440" w:left="1440" w:header="720" w:footer="720" w:gutter="0"/>
          <w:cols w:num="2" w:space="720"/>
          <w:bidi/>
          <w:docGrid w:linePitch="360"/>
        </w:sectPr>
      </w:pPr>
    </w:p>
    <w:p w:rsidR="00C940EE" w:rsidRPr="00882F11" w:rsidRDefault="00C940EE" w:rsidP="00C940EE">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כ"א</w:t>
      </w:r>
    </w:p>
    <w:p w:rsidR="000F6DEF" w:rsidRDefault="000F6DEF" w:rsidP="0078079C">
      <w:pPr>
        <w:pStyle w:val="Heading1"/>
        <w:bidi/>
        <w:spacing w:before="0" w:line="360" w:lineRule="auto"/>
        <w:jc w:val="center"/>
        <w:rPr>
          <w:rFonts w:cs="Guttman Drogolin"/>
          <w:color w:val="auto"/>
          <w:sz w:val="24"/>
          <w:szCs w:val="24"/>
          <w:u w:val="single"/>
          <w:rtl/>
          <w:lang w:bidi="he-IL"/>
        </w:rPr>
        <w:sectPr w:rsidR="000F6DEF" w:rsidSect="000F6DEF">
          <w:pgSz w:w="11907" w:h="16839" w:code="9"/>
          <w:pgMar w:top="1440" w:right="1440" w:bottom="1440" w:left="1440" w:header="720" w:footer="720" w:gutter="0"/>
          <w:cols w:space="720"/>
          <w:bidi/>
          <w:docGrid w:linePitch="360"/>
        </w:sectPr>
      </w:pPr>
    </w:p>
    <w:p w:rsidR="00C940EE" w:rsidRPr="00882F11" w:rsidRDefault="00C940EE" w:rsidP="0078079C">
      <w:pPr>
        <w:pStyle w:val="Heading1"/>
        <w:bidi/>
        <w:spacing w:before="0" w:line="360" w:lineRule="auto"/>
        <w:jc w:val="center"/>
        <w:rPr>
          <w:rFonts w:cs="Guttman Drogolin"/>
          <w:color w:val="auto"/>
          <w:sz w:val="24"/>
          <w:szCs w:val="24"/>
          <w:u w:val="single"/>
          <w:rtl/>
          <w:lang w:bidi="he-IL"/>
        </w:rPr>
      </w:pPr>
      <w:bookmarkStart w:id="80" w:name="_Toc496175342"/>
      <w:r w:rsidRPr="00882F11">
        <w:rPr>
          <w:rFonts w:cs="Guttman Drogolin" w:hint="cs"/>
          <w:color w:val="auto"/>
          <w:sz w:val="24"/>
          <w:szCs w:val="24"/>
          <w:u w:val="single"/>
          <w:rtl/>
          <w:lang w:bidi="he-IL"/>
        </w:rPr>
        <w:lastRenderedPageBreak/>
        <w:t>תמצית דברי התוס' בד"ה אמאי</w:t>
      </w:r>
      <w:bookmarkEnd w:id="80"/>
    </w:p>
    <w:p w:rsidR="001E61DD" w:rsidRPr="00882F11" w:rsidRDefault="00621755" w:rsidP="001E61DD">
      <w:pPr>
        <w:bidi/>
        <w:jc w:val="both"/>
        <w:rPr>
          <w:rFonts w:cs="Guttman Drogolin"/>
          <w:rtl/>
          <w:lang w:bidi="he-IL"/>
        </w:rPr>
      </w:pPr>
      <w:r>
        <w:rPr>
          <w:rFonts w:cs="Guttman Drogolin"/>
          <w:rtl/>
          <w:lang w:bidi="he-IL"/>
        </w:rPr>
        <w:fldChar w:fldCharType="begin"/>
      </w:r>
      <w:r>
        <w:instrText xml:space="preserve"> XE "</w:instrText>
      </w:r>
      <w:r w:rsidRPr="00DA4721">
        <w:rPr>
          <w:rFonts w:hint="cs"/>
          <w:rtl/>
          <w:lang w:bidi="he-IL"/>
        </w:rPr>
        <w:instrText>חלב נבילה</w:instrText>
      </w:r>
      <w:r w:rsidRPr="00DA4721">
        <w:rPr>
          <w:rtl/>
        </w:rPr>
        <w:instrText>:</w:instrText>
      </w:r>
      <w:r w:rsidRPr="00DA4721">
        <w:rPr>
          <w:rFonts w:hint="cs"/>
          <w:rtl/>
          <w:lang w:bidi="he-IL"/>
        </w:rPr>
        <w:instrText>בשאר איסורים</w:instrText>
      </w:r>
      <w:r>
        <w:instrText xml:space="preserve">" </w:instrText>
      </w:r>
      <w:r>
        <w:rPr>
          <w:rFonts w:cs="Guttman Drogolin"/>
          <w:rtl/>
          <w:lang w:bidi="he-IL"/>
        </w:rPr>
        <w:fldChar w:fldCharType="end"/>
      </w:r>
      <w:r w:rsidR="00C940EE" w:rsidRPr="00882F11">
        <w:rPr>
          <w:rFonts w:cs="Guttman Drogolin" w:hint="cs"/>
          <w:rtl/>
          <w:lang w:bidi="he-IL"/>
        </w:rPr>
        <w:t>בגמ' מבואר שאם חתיכת בשר בלע חלב ואסרו נחשב החלב כחלב נבילה. וע' בשיעור הקודם שביארנו למה החלב נעשה נבילה. ומ"מ ע"פ זה כתב רבינו שמואל דכיון דחענ"ן גם בשאר איסורים</w:t>
      </w:r>
      <w:r w:rsidR="001E61DD" w:rsidRPr="00882F11">
        <w:rPr>
          <w:rFonts w:cs="Guttman Drogolin" w:hint="cs"/>
          <w:rtl/>
          <w:lang w:bidi="he-IL"/>
        </w:rPr>
        <w:t>,</w:t>
      </w:r>
      <w:r w:rsidR="00C940EE" w:rsidRPr="00882F11">
        <w:rPr>
          <w:rFonts w:cs="Guttman Drogolin" w:hint="cs"/>
          <w:rtl/>
          <w:lang w:bidi="he-IL"/>
        </w:rPr>
        <w:t xml:space="preserve"> הדין צריך להיות שבכל רוטב שנלבע בחתיכת איסור נעשה </w:t>
      </w:r>
      <w:r w:rsidR="001E61DD" w:rsidRPr="00882F11">
        <w:rPr>
          <w:rFonts w:cs="Guttman Drogolin" w:hint="cs"/>
          <w:rtl/>
          <w:lang w:bidi="he-IL"/>
        </w:rPr>
        <w:t xml:space="preserve">הרוטב </w:t>
      </w:r>
      <w:r w:rsidR="00C940EE" w:rsidRPr="00882F11">
        <w:rPr>
          <w:rFonts w:cs="Guttman Drogolin" w:hint="cs"/>
          <w:rtl/>
          <w:lang w:bidi="he-IL"/>
        </w:rPr>
        <w:t>נבילה</w:t>
      </w:r>
      <w:r w:rsidR="001E61DD" w:rsidRPr="00882F11">
        <w:rPr>
          <w:rFonts w:cs="Guttman Drogolin" w:hint="cs"/>
          <w:rtl/>
          <w:lang w:bidi="he-IL"/>
        </w:rPr>
        <w:t>.</w:t>
      </w:r>
      <w:r w:rsidR="00C940EE" w:rsidRPr="00882F11">
        <w:rPr>
          <w:rFonts w:cs="Guttman Drogolin" w:hint="cs"/>
          <w:rtl/>
          <w:lang w:bidi="he-IL"/>
        </w:rPr>
        <w:t xml:space="preserve"> ולכן למ"ד דאמרינן חענ"ן בשאר איסורים לכאורה צריך להיות הדין שאם בישלו חתיכת נבילה בתוך מים, שהמים שבלע החתיכה נעשה נבילה, ולכן למ"</w:t>
      </w:r>
      <w:r w:rsidR="001E61DD" w:rsidRPr="00882F11">
        <w:rPr>
          <w:rFonts w:cs="Guttman Drogolin" w:hint="cs"/>
          <w:rtl/>
          <w:lang w:bidi="he-IL"/>
        </w:rPr>
        <w:t>ד מין במינו לא בטל הי' צריך להי</w:t>
      </w:r>
      <w:r w:rsidR="00C940EE" w:rsidRPr="00882F11">
        <w:rPr>
          <w:rFonts w:cs="Guttman Drogolin" w:hint="cs"/>
          <w:rtl/>
          <w:lang w:bidi="he-IL"/>
        </w:rPr>
        <w:t xml:space="preserve">ות שכל המים אסורים אא"כ יש ששים בחתיכות </w:t>
      </w:r>
      <w:r w:rsidR="001E61DD" w:rsidRPr="00882F11">
        <w:rPr>
          <w:rFonts w:cs="Guttman Drogolin" w:hint="cs"/>
          <w:rtl/>
          <w:lang w:bidi="he-IL"/>
        </w:rPr>
        <w:t xml:space="preserve">בשר </w:t>
      </w:r>
      <w:r w:rsidR="00C940EE" w:rsidRPr="00882F11">
        <w:rPr>
          <w:rFonts w:cs="Guttman Drogolin" w:hint="cs"/>
          <w:rtl/>
          <w:lang w:bidi="he-IL"/>
        </w:rPr>
        <w:t xml:space="preserve">של היתר בתוך התבשיל כדי לבטל את המים </w:t>
      </w:r>
      <w:r w:rsidR="001E61DD" w:rsidRPr="00882F11">
        <w:rPr>
          <w:rFonts w:cs="Guttman Drogolin" w:hint="cs"/>
          <w:rtl/>
          <w:lang w:bidi="he-IL"/>
        </w:rPr>
        <w:t xml:space="preserve">שנעשה </w:t>
      </w:r>
      <w:r w:rsidR="00C940EE" w:rsidRPr="00882F11">
        <w:rPr>
          <w:rFonts w:cs="Guttman Drogolin" w:hint="cs"/>
          <w:rtl/>
          <w:lang w:bidi="he-IL"/>
        </w:rPr>
        <w:t>נבילה.</w:t>
      </w:r>
    </w:p>
    <w:p w:rsidR="0066774E" w:rsidRPr="00882F11" w:rsidRDefault="00C940EE" w:rsidP="0066774E">
      <w:pPr>
        <w:bidi/>
        <w:jc w:val="both"/>
        <w:rPr>
          <w:rFonts w:cs="Guttman Drogolin"/>
          <w:rtl/>
          <w:lang w:bidi="he-IL"/>
        </w:rPr>
      </w:pPr>
      <w:r w:rsidRPr="00882F11">
        <w:rPr>
          <w:rFonts w:cs="Guttman Drogolin" w:hint="cs"/>
          <w:rtl/>
          <w:lang w:bidi="he-IL"/>
        </w:rPr>
        <w:t>והר"י הקשה עליו</w:t>
      </w:r>
      <w:r w:rsidR="00421247" w:rsidRPr="00882F11">
        <w:rPr>
          <w:rFonts w:cs="Guttman Drogolin" w:hint="cs"/>
          <w:rtl/>
          <w:lang w:bidi="he-IL"/>
        </w:rPr>
        <w:t xml:space="preserve"> שהרי בסוגיא שלנו הקשו שאם רב סבירא לי' ש</w:t>
      </w:r>
      <w:r w:rsidR="00DC784B">
        <w:rPr>
          <w:rFonts w:cs="Guttman Drogolin" w:hint="cs"/>
          <w:rtl/>
          <w:lang w:bidi="he-IL"/>
        </w:rPr>
        <w:t>אפשר לסוחטו</w:t>
      </w:r>
      <w:r w:rsidR="00421247" w:rsidRPr="00882F11">
        <w:rPr>
          <w:rFonts w:cs="Guttman Drogolin" w:hint="cs"/>
          <w:rtl/>
          <w:lang w:bidi="he-IL"/>
        </w:rPr>
        <w:t xml:space="preserve"> אסור</w:t>
      </w:r>
      <w:r w:rsidR="00EB7C93" w:rsidRPr="00882F11">
        <w:rPr>
          <w:rFonts w:cs="Guttman Drogolin" w:hint="cs"/>
          <w:rtl/>
          <w:lang w:bidi="he-IL"/>
        </w:rPr>
        <w:t>,</w:t>
      </w:r>
      <w:r w:rsidR="00421247" w:rsidRPr="00882F11">
        <w:rPr>
          <w:rFonts w:cs="Guttman Drogolin" w:hint="cs"/>
          <w:rtl/>
          <w:lang w:bidi="he-IL"/>
        </w:rPr>
        <w:t xml:space="preserve"> למה מתירים בחתיכה של בשר שנפל לתוך יורה של חלב</w:t>
      </w:r>
      <w:r w:rsidR="00EB7C93" w:rsidRPr="00882F11">
        <w:rPr>
          <w:rFonts w:cs="Guttman Drogolin" w:hint="cs"/>
          <w:rtl/>
          <w:lang w:bidi="he-IL"/>
        </w:rPr>
        <w:t xml:space="preserve"> כשיש ששים בחלב כנגד הבשר הא החלב נעשה נבילה ואוסרת כל שאר חלב משום דמין במינו לא בטל. והגמ' מעיקרא רצתה לתרץ שבאיסורא דבשר בחלב התורה לא אסרה אלא הבשר ולא החלב, ולכן אין החלב שבתוך החתיכה אוסר את שאר החלב מדין מין במינו לא בטל כיון החלב הרי לא נאסר. והקשה הר"י שהרי אפילו אם התורה לא אסרה אלא הבשר ולא החלב, הא מ"מ החלב לא גרע משאר משקין, וכן הבשר לא גרע משאר בשר שנאסר כמו נבילה. ואם כדברי רבינו שמואל, </w:t>
      </w:r>
      <w:r w:rsidR="001E61DD" w:rsidRPr="00882F11">
        <w:rPr>
          <w:rFonts w:cs="Guttman Drogolin" w:hint="cs"/>
          <w:rtl/>
          <w:lang w:bidi="he-IL"/>
        </w:rPr>
        <w:t>עדיין תיקשי, דנהי נמי שהתורה לא אסרה החלב, מ"מ החלב אסורה משום הטעם בשר שנבלע בה, שהבשר הרי נאסרה, וכיון דאמרינן חענ"ן בשאר איסורים עדיין תיקשי לרב למה אין החלב נבילה ואוסרת שאר החלב מדין מין במינו.</w:t>
      </w:r>
    </w:p>
    <w:p w:rsidR="0066774E" w:rsidRPr="00882F11" w:rsidRDefault="0066774E" w:rsidP="0066774E">
      <w:pPr>
        <w:bidi/>
        <w:jc w:val="both"/>
        <w:rPr>
          <w:rFonts w:cs="Guttman Drogolin"/>
          <w:rtl/>
          <w:lang w:bidi="he-IL"/>
        </w:rPr>
      </w:pPr>
      <w:r w:rsidRPr="00882F11">
        <w:rPr>
          <w:rFonts w:cs="Guttman Drogolin" w:hint="cs"/>
          <w:rtl/>
          <w:lang w:bidi="he-IL"/>
        </w:rPr>
        <w:lastRenderedPageBreak/>
        <w:t xml:space="preserve">משו"ה נקט ר"י שיש לחלק בין חענ"ן בשאר איסורים לחענ"ן בבב"ח, שבבב"ח כיון שנאסרו הבשר והחלב נהפכו להיות אסורים בכח עצמם, ולכן כיון שהחלב נהפך להיות חפצא דאיסורא הרי הוא אוסר חלב של היתר מדין מין במינו. אבל בחענ"ן בשאר איסורים אע"ג שמשארים כנגד כל החתיכה של היתר, לא אומרים שהוא נאסר מכח עצמו, ולכן חלב שבלע טעם בשר (לס"ד דבשר אסרה תורה ולא חלב) אינו אסור משום דהוי חלב אלא משום דהוי כבשר, ולכן אינו אוסר את שאר החלב מדין מין במינו. וכן בכל משקין שנתבשלו עם נבילה אע"ג שיש שם משקין שנע"נ כיון שנבלעו בתוך החתיכה, מ"מ אינו אוסר מכח עצמו ולכן אינו אוסר שאר משקין של היתר מדין מין במינו. </w:t>
      </w:r>
    </w:p>
    <w:p w:rsidR="006C2C13" w:rsidRPr="00882F11" w:rsidRDefault="0066774E" w:rsidP="0026633C">
      <w:pPr>
        <w:bidi/>
        <w:jc w:val="both"/>
        <w:rPr>
          <w:rFonts w:cs="Guttman Drogolin"/>
          <w:rtl/>
          <w:lang w:bidi="he-IL"/>
        </w:rPr>
      </w:pPr>
      <w:r w:rsidRPr="00882F11">
        <w:rPr>
          <w:rFonts w:cs="Guttman Drogolin" w:hint="cs"/>
          <w:rtl/>
          <w:lang w:bidi="he-IL"/>
        </w:rPr>
        <w:t>ויש להדגיש כמה נקודות. קודם כל יש להדגיש שאמנם בחענ"ן בבב"ח אמרינן שנהפך ההיתר להיות איסור עד כדי כך שאוסר מ</w:t>
      </w:r>
      <w:r w:rsidR="009F1FF6" w:rsidRPr="00882F11">
        <w:rPr>
          <w:rFonts w:cs="Guttman Drogolin" w:hint="cs"/>
          <w:rtl/>
          <w:lang w:bidi="he-IL"/>
        </w:rPr>
        <w:t>י</w:t>
      </w:r>
      <w:r w:rsidRPr="00882F11">
        <w:rPr>
          <w:rFonts w:cs="Guttman Drogolin" w:hint="cs"/>
          <w:rtl/>
          <w:lang w:bidi="he-IL"/>
        </w:rPr>
        <w:t>נו דהיתר מדין מין במינו לא בטל, מ"מ הנ"מ כשנעשה האיסור ע"י התערובת של בשר בחלב, אבל אם כבר נאסר הבשר מדין בשר בחלב</w:t>
      </w:r>
      <w:r w:rsidR="0026633C" w:rsidRPr="00882F11">
        <w:rPr>
          <w:rFonts w:cs="Guttman Drogolin" w:hint="cs"/>
          <w:rtl/>
          <w:lang w:bidi="he-IL"/>
        </w:rPr>
        <w:t>, ועכשיו אוסר משקין אחרים, אע"ג שמעכשיו אסורים משום בב"ח, מ"מ כיון שלא נאסר ע"י התערובת של בשר בחלב אינו אלא כחענ"ן בשאר איסורים. ואע"ג שלכאורה הדברים פשוטים, בהמשך נראה שיש באמת החולקים על זה</w:t>
      </w:r>
      <w:r w:rsidR="00D366F9" w:rsidRPr="00882F11">
        <w:rPr>
          <w:rStyle w:val="FootnoteReference"/>
          <w:rFonts w:cs="Guttman Drogolin"/>
          <w:rtl/>
          <w:lang w:bidi="he-IL"/>
        </w:rPr>
        <w:footnoteReference w:id="93"/>
      </w:r>
      <w:r w:rsidR="0026633C" w:rsidRPr="00882F11">
        <w:rPr>
          <w:rFonts w:cs="Guttman Drogolin" w:hint="cs"/>
          <w:rtl/>
          <w:lang w:bidi="he-IL"/>
        </w:rPr>
        <w:t xml:space="preserve">.  </w:t>
      </w:r>
    </w:p>
    <w:p w:rsidR="00885532" w:rsidRPr="00882F11" w:rsidRDefault="006C2C13" w:rsidP="00885532">
      <w:pPr>
        <w:bidi/>
        <w:jc w:val="both"/>
        <w:rPr>
          <w:rFonts w:cs="Guttman Drogolin"/>
          <w:rtl/>
          <w:lang w:bidi="he-IL"/>
        </w:rPr>
      </w:pPr>
      <w:r w:rsidRPr="00882F11">
        <w:rPr>
          <w:rFonts w:cs="Guttman Drogolin" w:hint="cs"/>
          <w:rtl/>
          <w:lang w:bidi="he-IL"/>
        </w:rPr>
        <w:t>עוד נראה להדגיש, דהנה התוס' כתבו דחענ"ן בשאר איסורים דרבנן. ומשו"ה פשוט למה שיש לחלק ביין חענ"ן דבב"ח לחענ</w:t>
      </w:r>
      <w:r w:rsidR="008423FF" w:rsidRPr="00882F11">
        <w:rPr>
          <w:rFonts w:cs="Guttman Drogolin" w:hint="cs"/>
          <w:rtl/>
          <w:lang w:bidi="he-IL"/>
        </w:rPr>
        <w:t>"</w:t>
      </w:r>
      <w:r w:rsidRPr="00882F11">
        <w:rPr>
          <w:rFonts w:cs="Guttman Drogolin" w:hint="cs"/>
          <w:rtl/>
          <w:lang w:bidi="he-IL"/>
        </w:rPr>
        <w:t>ן בשאר איסורים</w:t>
      </w:r>
      <w:r w:rsidR="00660AE0" w:rsidRPr="00882F11">
        <w:rPr>
          <w:rFonts w:cs="Guttman Drogolin" w:hint="cs"/>
          <w:rtl/>
          <w:lang w:bidi="he-IL"/>
        </w:rPr>
        <w:t>, ומשום שמדרבנן לא גזרו. אבל הרי הבאנו שיש המדייקים בדברי התוס' לעיל בדף ק' דסברי דחענ"ן בשאר איסורים אסור מדאורייתא (אע"ג שלדבריהם יוצא דבר קשה שהתוס' כאן כתבו כלאחר יד שאינו אלא מדרבנן ויוצא שיש מחלוקת בין התוס' כאן לפ' בפר</w:t>
      </w:r>
      <w:r w:rsidR="009F1FF6" w:rsidRPr="00882F11">
        <w:rPr>
          <w:rFonts w:cs="Guttman Drogolin" w:hint="cs"/>
          <w:rtl/>
          <w:lang w:bidi="he-IL"/>
        </w:rPr>
        <w:t xml:space="preserve">קין דלעיל). ולכאורה </w:t>
      </w:r>
      <w:r w:rsidR="009F1FF6" w:rsidRPr="00882F11">
        <w:rPr>
          <w:rFonts w:cs="Guttman Drogolin" w:hint="cs"/>
          <w:rtl/>
          <w:lang w:bidi="he-IL"/>
        </w:rPr>
        <w:lastRenderedPageBreak/>
        <w:t>לשיטה זו חזר</w:t>
      </w:r>
      <w:r w:rsidR="00660AE0" w:rsidRPr="00882F11">
        <w:rPr>
          <w:rFonts w:cs="Guttman Drogolin" w:hint="cs"/>
          <w:rtl/>
          <w:lang w:bidi="he-IL"/>
        </w:rPr>
        <w:t xml:space="preserve">ה קושיית הר"י על רבינו שמואל, דאם הוא מדאורייתא למה אינו אוסר משום מינו כמו בב"ח. </w:t>
      </w:r>
      <w:r w:rsidR="00885532" w:rsidRPr="00882F11">
        <w:rPr>
          <w:rFonts w:cs="Guttman Drogolin" w:hint="cs"/>
          <w:rtl/>
          <w:lang w:bidi="he-IL"/>
        </w:rPr>
        <w:t>אלא שלכאורה י"ל שאפילו אם חענ"ן בשר איסורים הוא מדאורייתא, מ"מ כיון שיצירת האיסור אינו ע"י תערובת, רק משום שיש היתר בתוך האיסור, שפיר י"ל שלא נאמר שהחפצא נאסר מכח עצמו ואנו אוסר משום מין במיו.</w:t>
      </w:r>
    </w:p>
    <w:p w:rsidR="002518EB" w:rsidRPr="00882F11" w:rsidRDefault="00885532" w:rsidP="00885532">
      <w:pPr>
        <w:bidi/>
        <w:jc w:val="both"/>
        <w:rPr>
          <w:rFonts w:cs="Guttman Drogolin"/>
          <w:rtl/>
          <w:lang w:bidi="he-IL"/>
        </w:rPr>
      </w:pPr>
      <w:r w:rsidRPr="00882F11">
        <w:rPr>
          <w:rFonts w:cs="Guttman Drogolin" w:hint="cs"/>
          <w:rtl/>
          <w:lang w:bidi="he-IL"/>
        </w:rPr>
        <w:t xml:space="preserve">עוד יעוין ברש"י </w:t>
      </w:r>
      <w:r w:rsidR="00262607" w:rsidRPr="00882F11">
        <w:rPr>
          <w:rFonts w:cs="Guttman Drogolin" w:hint="cs"/>
          <w:rtl/>
          <w:lang w:bidi="he-IL"/>
        </w:rPr>
        <w:t xml:space="preserve">בדף ק"ח ע"ב </w:t>
      </w:r>
      <w:r w:rsidRPr="00882F11">
        <w:rPr>
          <w:rFonts w:cs="Guttman Drogolin" w:hint="cs"/>
          <w:rtl/>
          <w:lang w:bidi="he-IL"/>
        </w:rPr>
        <w:t xml:space="preserve">ד"ה </w:t>
      </w:r>
      <w:r w:rsidR="00262607" w:rsidRPr="00882F11">
        <w:rPr>
          <w:rFonts w:cs="Guttman Drogolin" w:hint="cs"/>
          <w:rtl/>
          <w:lang w:bidi="he-IL"/>
        </w:rPr>
        <w:t>גדי שכתב שאפילו אם הי' מספיק בשר לתת טעם בחלב מ"מ לא נאסר החלב. ולכאורה צ"ע, דנהי נמי שאין החלב אסור מכח עצמו, אבל הרי הוא בלע טעם בשר שנאסר משום בב"ח, וכיון שטכ"ע דאורייתא למעשה צריך להיות אסור, רק לא מצד עצמו אלא משום הטעם בר שבו. וראיתי קובץ ביאורים שכתב דאה"נ ואין כוונת רש"י לומר שהחלב באמת מותר</w:t>
      </w:r>
      <w:r w:rsidR="002518EB" w:rsidRPr="00882F11">
        <w:rPr>
          <w:rFonts w:cs="Guttman Drogolin" w:hint="cs"/>
          <w:rtl/>
          <w:lang w:bidi="he-IL"/>
        </w:rPr>
        <w:t>.</w:t>
      </w:r>
      <w:r w:rsidR="00262607" w:rsidRPr="00882F11">
        <w:rPr>
          <w:rFonts w:cs="Guttman Drogolin" w:hint="cs"/>
          <w:rtl/>
          <w:lang w:bidi="he-IL"/>
        </w:rPr>
        <w:t xml:space="preserve"> רק </w:t>
      </w:r>
      <w:r w:rsidR="002518EB" w:rsidRPr="00882F11">
        <w:rPr>
          <w:rFonts w:cs="Guttman Drogolin" w:hint="cs"/>
          <w:rtl/>
          <w:lang w:bidi="he-IL"/>
        </w:rPr>
        <w:t xml:space="preserve">כוונתו לומר </w:t>
      </w:r>
      <w:r w:rsidR="00262607" w:rsidRPr="00882F11">
        <w:rPr>
          <w:rFonts w:cs="Guttman Drogolin" w:hint="cs"/>
          <w:rtl/>
          <w:lang w:bidi="he-IL"/>
        </w:rPr>
        <w:t>שמצד עצמו מותר, ולעולם משום טעם הבשר שנאסר שבחלב הרי הוא אסור.</w:t>
      </w:r>
    </w:p>
    <w:p w:rsidR="00261DBC" w:rsidRPr="00882F11" w:rsidRDefault="00261DBC" w:rsidP="0078079C">
      <w:pPr>
        <w:pStyle w:val="Heading1"/>
        <w:bidi/>
        <w:spacing w:before="0" w:line="360" w:lineRule="auto"/>
        <w:jc w:val="center"/>
        <w:rPr>
          <w:rFonts w:cs="Guttman Drogolin"/>
          <w:color w:val="auto"/>
          <w:sz w:val="24"/>
          <w:szCs w:val="24"/>
          <w:u w:val="single"/>
          <w:rtl/>
          <w:lang w:bidi="he-IL"/>
        </w:rPr>
      </w:pPr>
      <w:bookmarkStart w:id="81" w:name="_Toc496175343"/>
      <w:r w:rsidRPr="00882F11">
        <w:rPr>
          <w:rFonts w:cs="Guttman Drogolin" w:hint="cs"/>
          <w:color w:val="auto"/>
          <w:sz w:val="24"/>
          <w:szCs w:val="24"/>
          <w:u w:val="single"/>
          <w:rtl/>
          <w:lang w:bidi="he-IL"/>
        </w:rPr>
        <w:t>רש"י דף ק"ח ע"א ד"ה אמאי</w:t>
      </w:r>
      <w:bookmarkEnd w:id="81"/>
    </w:p>
    <w:p w:rsidR="005D219F" w:rsidRPr="00882F11" w:rsidRDefault="00096361" w:rsidP="005D219F">
      <w:pPr>
        <w:bidi/>
        <w:jc w:val="both"/>
        <w:rPr>
          <w:rFonts w:cs="Guttman Drogolin"/>
          <w:rtl/>
          <w:lang w:bidi="he-IL"/>
        </w:rPr>
      </w:pPr>
      <w:r w:rsidRPr="00882F11">
        <w:rPr>
          <w:rFonts w:cs="Guttman Drogolin" w:hint="cs"/>
          <w:rtl/>
          <w:lang w:bidi="he-IL"/>
        </w:rPr>
        <w:t>רש"י מבאר את השיטה ד</w:t>
      </w:r>
      <w:r w:rsidR="00DC784B">
        <w:rPr>
          <w:rFonts w:cs="Guttman Drogolin" w:hint="cs"/>
          <w:rtl/>
          <w:lang w:bidi="he-IL"/>
        </w:rPr>
        <w:t>אפשר לסוחטו</w:t>
      </w:r>
      <w:r w:rsidRPr="00882F11">
        <w:rPr>
          <w:rFonts w:cs="Guttman Drogolin" w:hint="cs"/>
          <w:rtl/>
          <w:lang w:bidi="he-IL"/>
        </w:rPr>
        <w:t xml:space="preserve"> מותר, שבשעת בישול הטעם שהי' מעיקרא בלוע בחתיכה מתפשט בכל הקדרה ושוב אינו נותן טעם בחתיכה. אלא שרש"י הוסיף לפרש "דליכא למימר אפשר ליסחט מזה ולבלע בזה הרי כולן שוין בטעמו ואיזה תתיר ואיזה תאסור" (ואותה לשון הועתק גם בר"ן). ודברי רש"י בזה צריכים עיון. חדא דלמה הייתי אומר שאפשר לחתיכה ליסחט מזה וליבלע בזה, והי' משמע דס"ד שיש טבע שהטעם שנבלע בחתיכה חוזר ונבלע דוקא בעוד חתיכה אחת ואינו מתפשט, אלא דהיא גופא צ"ע דמנין לי' לרש"י לחשוב כן. וכן התי' של רש"י </w:t>
      </w:r>
      <w:r w:rsidRPr="00882F11">
        <w:rPr>
          <w:rFonts w:cs="Guttman Drogolin" w:hint="cs"/>
          <w:rtl/>
          <w:lang w:bidi="he-IL"/>
        </w:rPr>
        <w:lastRenderedPageBreak/>
        <w:t>צ"ע, שכתב דאיזה תתיר ואיזה תאסור, הא לכאורה אם הי' חשש כזה הי' צריך להות הדין שהתבשיל נשארת באיסורה, דהא יש כאן חתיכה עם טעם של חלב, ואין אנחנו יודעים איזה,</w:t>
      </w:r>
      <w:r w:rsidR="005D219F" w:rsidRPr="00882F11">
        <w:rPr>
          <w:rFonts w:cs="Guttman Drogolin" w:hint="cs"/>
          <w:rtl/>
          <w:lang w:bidi="he-IL"/>
        </w:rPr>
        <w:t xml:space="preserve"> ולכן כיון דכולהו הוו חתיכות, ו</w:t>
      </w:r>
      <w:r w:rsidRPr="00882F11">
        <w:rPr>
          <w:rFonts w:cs="Guttman Drogolin" w:hint="cs"/>
          <w:rtl/>
          <w:lang w:bidi="he-IL"/>
        </w:rPr>
        <w:t>סתם חתיכה ראוי' להתכבד הי' צריך להיות שכולם אסורים.</w:t>
      </w:r>
      <w:r w:rsidR="005D219F" w:rsidRPr="00882F11">
        <w:rPr>
          <w:rFonts w:cs="Guttman Drogolin" w:hint="cs"/>
          <w:rtl/>
          <w:lang w:bidi="he-IL"/>
        </w:rPr>
        <w:t xml:space="preserve"> ובדבר זה האחרון יש לומר דסבר כשיטת הרה"מ שכשיש ספק איזה חתיכה נאסרה לא אמרינן חענ"ן, וכיון דלא אמירנן חענ"ן ממילא אין כאן חתיכה הראוי' להתכבד, אלא שגם דברי הרה"מ צ"ע. ועוד קשה מה הוא זה הנתינת טעם ד'כולן שוין בטעמו' [והגירסא שבר"ן 'בטעמן'], דמה איכפת לן בזה שכלן שוין בטעמן לענין היתר התבשיל. וכל הענין עדיין צריך ביאור רב אצלי.</w:t>
      </w:r>
    </w:p>
    <w:p w:rsidR="005D219F" w:rsidRPr="000F6DEF" w:rsidRDefault="005D219F" w:rsidP="0078079C">
      <w:pPr>
        <w:pStyle w:val="Heading1"/>
        <w:bidi/>
        <w:spacing w:before="0" w:line="360" w:lineRule="auto"/>
        <w:jc w:val="center"/>
        <w:rPr>
          <w:rFonts w:cs="Guttman Drogolin"/>
          <w:color w:val="auto"/>
          <w:sz w:val="20"/>
          <w:szCs w:val="20"/>
          <w:u w:val="single"/>
          <w:rtl/>
          <w:lang w:bidi="he-IL"/>
        </w:rPr>
      </w:pPr>
      <w:bookmarkStart w:id="82" w:name="_Toc496175344"/>
      <w:r w:rsidRPr="000F6DEF">
        <w:rPr>
          <w:rFonts w:cs="Guttman Drogolin" w:hint="cs"/>
          <w:color w:val="auto"/>
          <w:sz w:val="20"/>
          <w:szCs w:val="20"/>
          <w:u w:val="single"/>
          <w:rtl/>
          <w:lang w:bidi="he-IL"/>
        </w:rPr>
        <w:t xml:space="preserve">בביאור המחלוקת אם </w:t>
      </w:r>
      <w:r w:rsidR="00DC784B">
        <w:rPr>
          <w:rFonts w:cs="Guttman Drogolin" w:hint="cs"/>
          <w:color w:val="auto"/>
          <w:sz w:val="20"/>
          <w:szCs w:val="20"/>
          <w:u w:val="single"/>
          <w:rtl/>
          <w:lang w:bidi="he-IL"/>
        </w:rPr>
        <w:t>אפשר לסוחטו</w:t>
      </w:r>
      <w:r w:rsidRPr="000F6DEF">
        <w:rPr>
          <w:rFonts w:cs="Guttman Drogolin" w:hint="cs"/>
          <w:color w:val="auto"/>
          <w:sz w:val="20"/>
          <w:szCs w:val="20"/>
          <w:u w:val="single"/>
          <w:rtl/>
          <w:lang w:bidi="he-IL"/>
        </w:rPr>
        <w:t xml:space="preserve"> מותר או אסור</w:t>
      </w:r>
      <w:bookmarkEnd w:id="82"/>
    </w:p>
    <w:p w:rsidR="001941A5" w:rsidRPr="00882F11" w:rsidRDefault="00621755" w:rsidP="00791EC8">
      <w:pPr>
        <w:bidi/>
        <w:jc w:val="both"/>
        <w:rPr>
          <w:rFonts w:cs="Guttman Drogolin"/>
          <w:rtl/>
          <w:lang w:bidi="he-IL"/>
        </w:rPr>
      </w:pPr>
      <w:r>
        <w:rPr>
          <w:rFonts w:cs="Guttman Drogolin"/>
          <w:rtl/>
          <w:lang w:bidi="he-IL"/>
        </w:rPr>
        <w:fldChar w:fldCharType="begin"/>
      </w:r>
      <w:r>
        <w:instrText xml:space="preserve"> XE "</w:instrText>
      </w:r>
      <w:r w:rsidR="00DC784B">
        <w:rPr>
          <w:rFonts w:hint="cs"/>
          <w:rtl/>
          <w:lang w:bidi="he-IL"/>
        </w:rPr>
        <w:instrText>אפשר לסוחטו</w:instrText>
      </w:r>
      <w:r w:rsidRPr="00C82F88">
        <w:rPr>
          <w:rtl/>
        </w:rPr>
        <w:instrText>:</w:instrText>
      </w:r>
      <w:r w:rsidRPr="00C82F88">
        <w:rPr>
          <w:rFonts w:hint="cs"/>
          <w:rtl/>
          <w:lang w:bidi="he-IL"/>
        </w:rPr>
        <w:instrText>ביאור המחלוקת</w:instrText>
      </w:r>
      <w:r>
        <w:instrText xml:space="preserve">" </w:instrText>
      </w:r>
      <w:r>
        <w:rPr>
          <w:rFonts w:cs="Guttman Drogolin"/>
          <w:rtl/>
          <w:lang w:bidi="he-IL"/>
        </w:rPr>
        <w:fldChar w:fldCharType="end"/>
      </w:r>
      <w:r w:rsidR="005D219F" w:rsidRPr="00882F11">
        <w:rPr>
          <w:rFonts w:cs="Guttman Drogolin" w:hint="cs"/>
          <w:rtl/>
          <w:lang w:bidi="he-IL"/>
        </w:rPr>
        <w:t xml:space="preserve">ברש"י מבואר שהדין </w:t>
      </w:r>
      <w:r w:rsidR="00DC784B">
        <w:rPr>
          <w:rFonts w:cs="Guttman Drogolin" w:hint="cs"/>
          <w:rtl/>
          <w:lang w:bidi="he-IL"/>
        </w:rPr>
        <w:t>אפשר לסוחטו</w:t>
      </w:r>
      <w:r w:rsidR="005D219F" w:rsidRPr="00882F11">
        <w:rPr>
          <w:rFonts w:cs="Guttman Drogolin" w:hint="cs"/>
          <w:rtl/>
          <w:lang w:bidi="he-IL"/>
        </w:rPr>
        <w:t xml:space="preserve"> מותר שייך גם בשאר איסורים. וכן לכאורה מבואר מדבריו שאם </w:t>
      </w:r>
      <w:r w:rsidR="00DC784B">
        <w:rPr>
          <w:rFonts w:cs="Guttman Drogolin" w:hint="cs"/>
          <w:rtl/>
          <w:lang w:bidi="he-IL"/>
        </w:rPr>
        <w:t>אפשר לסוחטו</w:t>
      </w:r>
      <w:r w:rsidR="005D219F" w:rsidRPr="00882F11">
        <w:rPr>
          <w:rFonts w:cs="Guttman Drogolin" w:hint="cs"/>
          <w:rtl/>
          <w:lang w:bidi="he-IL"/>
        </w:rPr>
        <w:t xml:space="preserve"> מותר ניתרת גם החתיכה הראשונה שבלע איסור. והטעם בדבריו פשוט, שהרי בשעה שמבשל החתיכה שנאסרה בקדירה אחרת שיש בה ששים כנגד האיסור הבלוע, הרי הטעם יוצא מן החתיכה באותו דרך שנכנס בה, ויוצא שהטעם איסור מתפשט ואינו נותן טעם לא בתבשיל ולא בחתיכה</w:t>
      </w:r>
      <w:r w:rsidR="005D219F" w:rsidRPr="00882F11">
        <w:rPr>
          <w:rStyle w:val="FootnoteReference"/>
          <w:rFonts w:cs="Guttman Drogolin"/>
          <w:rtl/>
          <w:lang w:bidi="he-IL"/>
        </w:rPr>
        <w:footnoteReference w:id="94"/>
      </w:r>
      <w:r w:rsidR="005D219F" w:rsidRPr="00882F11">
        <w:rPr>
          <w:rFonts w:cs="Guttman Drogolin" w:hint="cs"/>
          <w:rtl/>
          <w:lang w:bidi="he-IL"/>
        </w:rPr>
        <w:t xml:space="preserve">. </w:t>
      </w:r>
      <w:r w:rsidR="00FB3EBC" w:rsidRPr="00882F11">
        <w:rPr>
          <w:rFonts w:cs="Guttman Drogolin" w:hint="cs"/>
          <w:rtl/>
          <w:lang w:bidi="he-IL"/>
        </w:rPr>
        <w:t xml:space="preserve">והביאור במ"ד </w:t>
      </w:r>
      <w:r w:rsidR="00DC784B">
        <w:rPr>
          <w:rFonts w:cs="Guttman Drogolin" w:hint="cs"/>
          <w:rtl/>
          <w:lang w:bidi="he-IL"/>
        </w:rPr>
        <w:t>אפשר לסוחטו</w:t>
      </w:r>
      <w:r w:rsidR="00FB3EBC" w:rsidRPr="00882F11">
        <w:rPr>
          <w:rFonts w:cs="Guttman Drogolin" w:hint="cs"/>
          <w:rtl/>
          <w:lang w:bidi="he-IL"/>
        </w:rPr>
        <w:t xml:space="preserve"> אסור הוא דאע</w:t>
      </w:r>
      <w:r w:rsidR="00D366F9" w:rsidRPr="00882F11">
        <w:rPr>
          <w:rFonts w:cs="Guttman Drogolin" w:hint="cs"/>
          <w:rtl/>
          <w:lang w:bidi="he-IL"/>
        </w:rPr>
        <w:t>"</w:t>
      </w:r>
      <w:r w:rsidR="00FB3EBC" w:rsidRPr="00882F11">
        <w:rPr>
          <w:rFonts w:cs="Guttman Drogolin" w:hint="cs"/>
          <w:rtl/>
          <w:lang w:bidi="he-IL"/>
        </w:rPr>
        <w:t>ג שאפשר לסחוט החתיכה מן הטעם שנבלע בה, ואין זה מועיל להתיר את החתיכה, דכיון שחל עליו איסור תו לא פקע האיסור מיני' אע"פ שהטעם שאסרה מעיקרא כבר נסחט ממנו. ורש"י בד"ה אלא קסבר הוסיף "ואשמעינן אף ההיתר שבה נעשה איסור וכו'"</w:t>
      </w:r>
      <w:r w:rsidR="001941A5" w:rsidRPr="00882F11">
        <w:rPr>
          <w:rFonts w:cs="Guttman Drogolin" w:hint="cs"/>
          <w:rtl/>
          <w:lang w:bidi="he-IL"/>
        </w:rPr>
        <w:t>. ולכאורה כוונתו להדגיש מהו התוספת חידוש של חענ"ן דאמרינן כיון ש</w:t>
      </w:r>
      <w:r w:rsidR="00DC784B">
        <w:rPr>
          <w:rFonts w:cs="Guttman Drogolin" w:hint="cs"/>
          <w:rtl/>
          <w:lang w:bidi="he-IL"/>
        </w:rPr>
        <w:t>אפשר לסוחטו</w:t>
      </w:r>
      <w:r w:rsidR="001941A5" w:rsidRPr="00882F11">
        <w:rPr>
          <w:rFonts w:cs="Guttman Drogolin" w:hint="cs"/>
          <w:rtl/>
          <w:lang w:bidi="he-IL"/>
        </w:rPr>
        <w:t xml:space="preserve"> אסור. </w:t>
      </w:r>
      <w:r w:rsidR="001941A5" w:rsidRPr="00882F11">
        <w:rPr>
          <w:rFonts w:cs="Guttman Drogolin" w:hint="cs"/>
          <w:rtl/>
          <w:lang w:bidi="he-IL"/>
        </w:rPr>
        <w:lastRenderedPageBreak/>
        <w:t xml:space="preserve">וכוונתו שהי' אפשר לומר שהחתיכה נשארת באיסורה משום דחשבינן לי' כאילו עדיין בלוע בטעם האיסור דמעיקרא. וזהו החידוש של חענ"ן שאומרים יותר מזה, ועצם החתיכה האסורה נעשית נבילה ואוסרת, ולכן בעינן ששיים כנגד כל החתיכה, ויתכן שהוא אוסר מדין מין במינו (אלא דיתכן שבשאר איסורים אין הדין כן וכמש"נ לעיל). </w:t>
      </w:r>
    </w:p>
    <w:p w:rsidR="00C436C9" w:rsidRPr="00882F11" w:rsidRDefault="001941A5" w:rsidP="001941A5">
      <w:pPr>
        <w:bidi/>
        <w:jc w:val="both"/>
        <w:rPr>
          <w:rFonts w:cs="Guttman Drogolin"/>
          <w:rtl/>
          <w:lang w:bidi="he-IL"/>
        </w:rPr>
      </w:pPr>
      <w:r w:rsidRPr="00882F11">
        <w:rPr>
          <w:rFonts w:cs="Guttman Drogolin" w:hint="cs"/>
          <w:rtl/>
          <w:lang w:bidi="he-IL"/>
        </w:rPr>
        <w:t>ובר"</w:t>
      </w:r>
      <w:r w:rsidR="00C436C9" w:rsidRPr="00882F11">
        <w:rPr>
          <w:rFonts w:cs="Guttman Drogolin" w:hint="cs"/>
          <w:rtl/>
          <w:lang w:bidi="he-IL"/>
        </w:rPr>
        <w:t>ן מבואר בדומה לזה, רק שיש חילוק א' והוא שלשיטת רש"י אמרינן שמסתמא נסחט החתיכה כדבעי, אבל הר"ן סבר שלא סומכים על זה שיש ששים כנגד האיסור דמעיקרא אלא צריכים גם טעימת קפילה. והיינו משום דהר"ן סבר שאמנם יתכן שהחתיכה יסחט את הטעם איסור שבו לחוץ ויתפשט בשוה, אבל יש צד לומר דכיון שנבלע שוב אינו יוצא ממנו. ולכן צריכים לחשוש שעדיין יש בה טעם איסור עד שיטעמנו קפילה ויבאר לך שאין שם טעם. ובזה מודה לרש"י שאם באמת מבררינן שאין שם טעם חזר החתיכה להיתירו הראשון.</w:t>
      </w:r>
    </w:p>
    <w:p w:rsidR="00C436C9" w:rsidRPr="00882F11" w:rsidRDefault="00C436C9" w:rsidP="00C436C9">
      <w:pPr>
        <w:bidi/>
        <w:jc w:val="both"/>
        <w:rPr>
          <w:rFonts w:cs="Guttman Drogolin"/>
          <w:rtl/>
          <w:lang w:bidi="he-IL"/>
        </w:rPr>
      </w:pPr>
      <w:r w:rsidRPr="00882F11">
        <w:rPr>
          <w:rFonts w:cs="Guttman Drogolin" w:hint="cs"/>
          <w:rtl/>
          <w:lang w:bidi="he-IL"/>
        </w:rPr>
        <w:t>וברמב"ן ורשב"א מבואר ש</w:t>
      </w:r>
      <w:r w:rsidR="00760CD2">
        <w:rPr>
          <w:rFonts w:cs="Guttman Drogolin" w:hint="cs"/>
          <w:rtl/>
          <w:lang w:bidi="he-IL"/>
        </w:rPr>
        <w:t>י</w:t>
      </w:r>
      <w:r w:rsidRPr="00882F11">
        <w:rPr>
          <w:rFonts w:cs="Guttman Drogolin" w:hint="cs"/>
          <w:rtl/>
          <w:lang w:bidi="he-IL"/>
        </w:rPr>
        <w:t>טה שלישית, והוא שאפילו לרבינו אפרים דלא אמרינן חענ"ן בשאר איסורים, מ"מ החתיכה עצמה א</w:t>
      </w:r>
      <w:r w:rsidR="00CE2DC0" w:rsidRPr="00882F11">
        <w:rPr>
          <w:rFonts w:cs="Guttman Drogolin" w:hint="cs"/>
          <w:rtl/>
          <w:lang w:bidi="he-IL"/>
        </w:rPr>
        <w:t>י</w:t>
      </w:r>
      <w:r w:rsidRPr="00882F11">
        <w:rPr>
          <w:rFonts w:cs="Guttman Drogolin" w:hint="cs"/>
          <w:rtl/>
          <w:lang w:bidi="he-IL"/>
        </w:rPr>
        <w:t>נה חוזרת להיתירו הראשון. ויש מן הפוסקים</w:t>
      </w:r>
      <w:r w:rsidR="00D366F9" w:rsidRPr="00882F11">
        <w:rPr>
          <w:rStyle w:val="FootnoteReference"/>
          <w:rFonts w:cs="Guttman Drogolin"/>
          <w:rtl/>
          <w:lang w:bidi="he-IL"/>
        </w:rPr>
        <w:footnoteReference w:id="95"/>
      </w:r>
      <w:r w:rsidRPr="00882F11">
        <w:rPr>
          <w:rFonts w:cs="Guttman Drogolin" w:hint="cs"/>
          <w:rtl/>
          <w:lang w:bidi="he-IL"/>
        </w:rPr>
        <w:t xml:space="preserve"> שלמדו בכ</w:t>
      </w:r>
      <w:r w:rsidR="00CE2DC0" w:rsidRPr="00882F11">
        <w:rPr>
          <w:rFonts w:cs="Guttman Drogolin" w:hint="cs"/>
          <w:rtl/>
          <w:lang w:bidi="he-IL"/>
        </w:rPr>
        <w:t>וונתם</w:t>
      </w:r>
      <w:r w:rsidRPr="00882F11">
        <w:rPr>
          <w:rFonts w:cs="Guttman Drogolin" w:hint="cs"/>
          <w:rtl/>
          <w:lang w:bidi="he-IL"/>
        </w:rPr>
        <w:t xml:space="preserve"> ששיטת ר' אפרים מיוחדת אך ורק לחידוש דחתיכה עצמה נעשית נבילה, אבל לענין </w:t>
      </w:r>
      <w:r w:rsidR="00DC784B">
        <w:rPr>
          <w:rFonts w:cs="Guttman Drogolin" w:hint="cs"/>
          <w:rtl/>
          <w:lang w:bidi="he-IL"/>
        </w:rPr>
        <w:t>אפשר לסוחטו</w:t>
      </w:r>
      <w:r w:rsidRPr="00882F11">
        <w:rPr>
          <w:rFonts w:cs="Guttman Drogolin" w:hint="cs"/>
          <w:rtl/>
          <w:lang w:bidi="he-IL"/>
        </w:rPr>
        <w:t xml:space="preserve"> מודה ד</w:t>
      </w:r>
      <w:r w:rsidR="00DC784B">
        <w:rPr>
          <w:rFonts w:cs="Guttman Drogolin" w:hint="cs"/>
          <w:rtl/>
          <w:lang w:bidi="he-IL"/>
        </w:rPr>
        <w:t>אפשר לסוחטו</w:t>
      </w:r>
      <w:r w:rsidRPr="00882F11">
        <w:rPr>
          <w:rFonts w:cs="Guttman Drogolin" w:hint="cs"/>
          <w:rtl/>
          <w:lang w:bidi="he-IL"/>
        </w:rPr>
        <w:t xml:space="preserve"> גם בשאר איסורים אסור</w:t>
      </w:r>
      <w:r w:rsidR="00D366F9" w:rsidRPr="00882F11">
        <w:rPr>
          <w:rStyle w:val="FootnoteReference"/>
          <w:rFonts w:cs="Guttman Drogolin"/>
          <w:rtl/>
          <w:lang w:bidi="he-IL"/>
        </w:rPr>
        <w:footnoteReference w:id="96"/>
      </w:r>
      <w:r w:rsidRPr="00882F11">
        <w:rPr>
          <w:rFonts w:cs="Guttman Drogolin" w:hint="cs"/>
          <w:rtl/>
          <w:lang w:bidi="he-IL"/>
        </w:rPr>
        <w:t>. אמנם כבר הוכיחו רע"א (הגהות שו"ע יו"ד סי' ק"ו) ועוד אחרוני</w:t>
      </w:r>
      <w:r w:rsidR="003A4DEF" w:rsidRPr="00882F11">
        <w:rPr>
          <w:rFonts w:cs="Guttman Drogolin" w:hint="cs"/>
          <w:rtl/>
          <w:lang w:bidi="he-IL"/>
        </w:rPr>
        <w:t>ם</w:t>
      </w:r>
      <w:r w:rsidRPr="00882F11">
        <w:rPr>
          <w:rFonts w:cs="Guttman Drogolin" w:hint="cs"/>
          <w:rtl/>
          <w:lang w:bidi="he-IL"/>
        </w:rPr>
        <w:t xml:space="preserve"> שאין זה כוונת הרשב"א. תדע שהרי הלשון של הרשב"א מפורש שין אומרים </w:t>
      </w:r>
      <w:r w:rsidR="00DC784B">
        <w:rPr>
          <w:rFonts w:cs="Guttman Drogolin" w:hint="cs"/>
          <w:rtl/>
          <w:lang w:bidi="he-IL"/>
        </w:rPr>
        <w:t>אפשר לסוחטו</w:t>
      </w:r>
      <w:r w:rsidRPr="00882F11">
        <w:rPr>
          <w:rFonts w:cs="Guttman Drogolin" w:hint="cs"/>
          <w:rtl/>
          <w:lang w:bidi="he-IL"/>
        </w:rPr>
        <w:t xml:space="preserve"> מותר בשאר איסורים. רק כוונת הרשב"א דאע"ג שאין חענ"ן בשאר איסורים, וכן בשאר איסורים אמרינן ד</w:t>
      </w:r>
      <w:r w:rsidR="00DC784B">
        <w:rPr>
          <w:rFonts w:cs="Guttman Drogolin" w:hint="cs"/>
          <w:rtl/>
          <w:lang w:bidi="he-IL"/>
        </w:rPr>
        <w:t>אפשר לסוחטו</w:t>
      </w:r>
      <w:r w:rsidRPr="00882F11">
        <w:rPr>
          <w:rFonts w:cs="Guttman Drogolin" w:hint="cs"/>
          <w:rtl/>
          <w:lang w:bidi="he-IL"/>
        </w:rPr>
        <w:t xml:space="preserve"> מותר, מ"מ אמרינן שהחתיכה עצמה נשארת באיסורה אפילו בשאר איסורים</w:t>
      </w:r>
      <w:bookmarkStart w:id="83" w:name="_Ref439409184"/>
      <w:r w:rsidR="003A4DEF" w:rsidRPr="00882F11">
        <w:rPr>
          <w:rStyle w:val="FootnoteReference"/>
          <w:rFonts w:cs="Guttman Drogolin"/>
          <w:rtl/>
          <w:lang w:bidi="he-IL"/>
        </w:rPr>
        <w:footnoteReference w:id="97"/>
      </w:r>
      <w:bookmarkEnd w:id="83"/>
      <w:r w:rsidRPr="00882F11">
        <w:rPr>
          <w:rFonts w:cs="Guttman Drogolin" w:hint="cs"/>
          <w:rtl/>
          <w:lang w:bidi="he-IL"/>
        </w:rPr>
        <w:t xml:space="preserve">, דכן </w:t>
      </w:r>
      <w:r w:rsidRPr="00882F11">
        <w:rPr>
          <w:rFonts w:cs="Guttman Drogolin" w:hint="cs"/>
          <w:rtl/>
          <w:lang w:bidi="he-IL"/>
        </w:rPr>
        <w:lastRenderedPageBreak/>
        <w:t>הוא טבע של החתיכה שלא נסחט ממנו האיסור (וזאת לאפוקי דבר לח שנאסר דשפיר חוזר להיתירו הראשון</w:t>
      </w:r>
      <w:r w:rsidR="001D203F" w:rsidRPr="00882F11">
        <w:rPr>
          <w:rFonts w:cs="Guttman Drogolin" w:hint="cs"/>
          <w:rtl/>
          <w:lang w:bidi="he-IL"/>
        </w:rPr>
        <w:t xml:space="preserve"> וכמו שהדגיש הטור בסי' ק"ו</w:t>
      </w:r>
      <w:r w:rsidRPr="00882F11">
        <w:rPr>
          <w:rFonts w:cs="Guttman Drogolin" w:hint="cs"/>
          <w:rtl/>
          <w:lang w:bidi="he-IL"/>
        </w:rPr>
        <w:t>).</w:t>
      </w:r>
    </w:p>
    <w:p w:rsidR="003A4DEF" w:rsidRPr="00882F11" w:rsidRDefault="00C436C9" w:rsidP="00B74401">
      <w:pPr>
        <w:bidi/>
        <w:jc w:val="both"/>
        <w:rPr>
          <w:rFonts w:cs="Guttman Drogolin"/>
          <w:rtl/>
          <w:lang w:bidi="he-IL"/>
        </w:rPr>
      </w:pPr>
      <w:r w:rsidRPr="00882F11">
        <w:rPr>
          <w:rFonts w:cs="Guttman Drogolin" w:hint="cs"/>
          <w:rtl/>
          <w:lang w:bidi="he-IL"/>
        </w:rPr>
        <w:t xml:space="preserve">והנה </w:t>
      </w:r>
      <w:r w:rsidR="001D203F" w:rsidRPr="00882F11">
        <w:rPr>
          <w:rFonts w:cs="Guttman Drogolin" w:hint="cs"/>
          <w:rtl/>
          <w:lang w:bidi="he-IL"/>
        </w:rPr>
        <w:t>הב"י בסי' ק"ו הקשה שאפי' אם יש חשש שהאיסור לא נסחט ממנו למה לא אמרו להתיר ע"י קפילא. ומשו"ה נקט שהביאור בשיטה זו דסבר ד</w:t>
      </w:r>
      <w:r w:rsidR="00DC784B">
        <w:rPr>
          <w:rFonts w:cs="Guttman Drogolin" w:hint="cs"/>
          <w:rtl/>
          <w:lang w:bidi="he-IL"/>
        </w:rPr>
        <w:t>אפשר לסוחטו</w:t>
      </w:r>
      <w:r w:rsidR="001D203F" w:rsidRPr="00882F11">
        <w:rPr>
          <w:rFonts w:cs="Guttman Drogolin" w:hint="cs"/>
          <w:rtl/>
          <w:lang w:bidi="he-IL"/>
        </w:rPr>
        <w:t xml:space="preserve"> אסור. אבל לרע"א ועוד בדעת הרשב"א עדיין תיקשי. ו</w:t>
      </w:r>
      <w:r w:rsidRPr="00882F11">
        <w:rPr>
          <w:rFonts w:cs="Guttman Drogolin" w:hint="cs"/>
          <w:rtl/>
          <w:lang w:bidi="he-IL"/>
        </w:rPr>
        <w:t>לכאורה י"</w:t>
      </w:r>
      <w:r w:rsidR="00AC1A09" w:rsidRPr="00882F11">
        <w:rPr>
          <w:rFonts w:cs="Guttman Drogolin" w:hint="cs"/>
          <w:rtl/>
          <w:lang w:bidi="he-IL"/>
        </w:rPr>
        <w:t xml:space="preserve">ל הפירוש בדעה זו, שבאמת גם איהו מודה שאפשר לאיסור ליסחט מן החתיכה, אבל אי אפשר לעמוד על זה. והטעם שאפילו אם יטעמנו לקפילא </w:t>
      </w:r>
      <w:r w:rsidR="005C0653" w:rsidRPr="00882F11">
        <w:rPr>
          <w:rFonts w:cs="Guttman Drogolin" w:hint="cs"/>
          <w:rtl/>
          <w:lang w:bidi="he-IL"/>
        </w:rPr>
        <w:t>והקפילא יעיד שאין בה טעם איסור, מ"מ יתכן שרק באותו חלק של החתיכה שאכל ליכא טעם, אבל בחלק שעדיין לא אכל עדיין איכא טעם. אלא דהנה יעוין בחי' הרשב"א שהביא דעת רבינו אפרים דלא אמרינן חענ"ן בשאר איסורים, ובתוך דבריו כתב שמ"מ אם נבלע טעם איסור בחתיכת היתר</w:t>
      </w:r>
      <w:r w:rsidR="00482CC4" w:rsidRPr="00882F11">
        <w:rPr>
          <w:rFonts w:cs="Guttman Drogolin" w:hint="cs"/>
          <w:rtl/>
          <w:lang w:bidi="he-IL"/>
        </w:rPr>
        <w:t xml:space="preserve"> אין החתיכה ניתרת אם מבשלו שוב בקדירה שיש ס' כנגד האיסור, ואפלו למ"ד </w:t>
      </w:r>
      <w:r w:rsidR="00DC784B">
        <w:rPr>
          <w:rFonts w:cs="Guttman Drogolin" w:hint="cs"/>
          <w:rtl/>
          <w:lang w:bidi="he-IL"/>
        </w:rPr>
        <w:t>אפשר לסוחטו</w:t>
      </w:r>
      <w:r w:rsidR="00482CC4" w:rsidRPr="00882F11">
        <w:rPr>
          <w:rFonts w:cs="Guttman Drogolin" w:hint="cs"/>
          <w:rtl/>
          <w:lang w:bidi="he-IL"/>
        </w:rPr>
        <w:t xml:space="preserve"> מותר, הנ"מ </w:t>
      </w:r>
      <w:r w:rsidR="00B74401" w:rsidRPr="00882F11">
        <w:rPr>
          <w:rFonts w:cs="Guttman Drogolin" w:hint="cs"/>
          <w:rtl/>
          <w:lang w:bidi="he-IL"/>
        </w:rPr>
        <w:t>ב</w:t>
      </w:r>
      <w:r w:rsidR="00482CC4" w:rsidRPr="00882F11">
        <w:rPr>
          <w:rFonts w:cs="Guttman Drogolin" w:hint="cs"/>
          <w:rtl/>
          <w:lang w:bidi="he-IL"/>
        </w:rPr>
        <w:t xml:space="preserve">בב"ח, אבל בשאר איסורים לא אמרינן הכי. ותמה עליו הרשב"א, שהרי לדבריו יוצא שלמ"ד </w:t>
      </w:r>
      <w:r w:rsidR="00DC784B">
        <w:rPr>
          <w:rFonts w:cs="Guttman Drogolin" w:hint="cs"/>
          <w:rtl/>
          <w:lang w:bidi="he-IL"/>
        </w:rPr>
        <w:t>אפשר לסוחטו</w:t>
      </w:r>
      <w:r w:rsidR="00482CC4" w:rsidRPr="00882F11">
        <w:rPr>
          <w:rFonts w:cs="Guttman Drogolin" w:hint="cs"/>
          <w:rtl/>
          <w:lang w:bidi="he-IL"/>
        </w:rPr>
        <w:t xml:space="preserve"> מותר גם החתיכה הראשונה חזר לאיסורו, וא"כ למה יגרעו שאר איסורים דלא אמרינן הכי. ומשו"ה נטה הרשב"א מדברי ר' אפרים וכתב שאפילו בב"ח לא חזר החתיכה להיתירו הראשון. ובחי' הריטב"א פירש כוונתו</w:t>
      </w:r>
      <w:r w:rsidR="00876434" w:rsidRPr="00882F11">
        <w:rPr>
          <w:rFonts w:cs="Guttman Drogolin" w:hint="cs"/>
          <w:rtl/>
          <w:lang w:bidi="he-IL"/>
        </w:rPr>
        <w:t xml:space="preserve">, שבאמת יש דין בכל איסורים שבתורה שאם נבלע ממנו בתוך חתיכת היתר, נשאר החתיכה באיסורה אפילו לאחר שיסחט ממנו טעם האיסור. אחרת היא בב"ח למ"ד </w:t>
      </w:r>
      <w:r w:rsidR="00DC784B">
        <w:rPr>
          <w:rFonts w:cs="Guttman Drogolin" w:hint="cs"/>
          <w:rtl/>
          <w:lang w:bidi="he-IL"/>
        </w:rPr>
        <w:t>אפשר לסוחטו</w:t>
      </w:r>
      <w:r w:rsidR="00876434" w:rsidRPr="00882F11">
        <w:rPr>
          <w:rFonts w:cs="Guttman Drogolin" w:hint="cs"/>
          <w:rtl/>
          <w:lang w:bidi="he-IL"/>
        </w:rPr>
        <w:t xml:space="preserve"> מותר, דכיון שכל מהות האיסור הוא ע"י תערובת הטעמים, אם יסחט מן הבשר טעם החלב הרי חסר מהות האיסור של בב"ח, ולכן איכא למ"ד </w:t>
      </w:r>
      <w:r w:rsidR="00DC784B">
        <w:rPr>
          <w:rFonts w:cs="Guttman Drogolin" w:hint="cs"/>
          <w:rtl/>
          <w:lang w:bidi="he-IL"/>
        </w:rPr>
        <w:t>אפשר לסוחטו</w:t>
      </w:r>
      <w:r w:rsidR="00876434" w:rsidRPr="00882F11">
        <w:rPr>
          <w:rFonts w:cs="Guttman Drogolin" w:hint="cs"/>
          <w:rtl/>
          <w:lang w:bidi="he-IL"/>
        </w:rPr>
        <w:t xml:space="preserve"> מותר. וע' לעיל</w:t>
      </w:r>
      <w:r w:rsidR="006412D0" w:rsidRPr="00882F11">
        <w:rPr>
          <w:rFonts w:cs="Guttman Drogolin" w:hint="cs"/>
          <w:rtl/>
          <w:lang w:bidi="he-IL"/>
        </w:rPr>
        <w:t xml:space="preserve"> בסוף שיעור י"ח</w:t>
      </w:r>
      <w:r w:rsidR="00876434" w:rsidRPr="00882F11">
        <w:rPr>
          <w:rFonts w:cs="Guttman Drogolin" w:hint="cs"/>
          <w:rtl/>
          <w:lang w:bidi="he-IL"/>
        </w:rPr>
        <w:t xml:space="preserve"> </w:t>
      </w:r>
      <w:r w:rsidR="00252EF9" w:rsidRPr="00882F11">
        <w:rPr>
          <w:rFonts w:cs="Guttman Drogolin" w:hint="cs"/>
          <w:rtl/>
          <w:lang w:bidi="he-IL"/>
        </w:rPr>
        <w:t>שהבאנו</w:t>
      </w:r>
      <w:r w:rsidR="006412D0" w:rsidRPr="00882F11">
        <w:rPr>
          <w:rFonts w:cs="Guttman Drogolin" w:hint="cs"/>
          <w:rtl/>
          <w:lang w:bidi="he-IL"/>
        </w:rPr>
        <w:t xml:space="preserve"> מרע"א</w:t>
      </w:r>
      <w:r w:rsidR="00252EF9" w:rsidRPr="00882F11">
        <w:rPr>
          <w:rFonts w:cs="Guttman Drogolin" w:hint="cs"/>
          <w:rtl/>
          <w:lang w:bidi="he-IL"/>
        </w:rPr>
        <w:t xml:space="preserve"> עוד מקור לסברא כזאת</w:t>
      </w:r>
      <w:r w:rsidR="006412D0" w:rsidRPr="00882F11">
        <w:rPr>
          <w:rFonts w:cs="Guttman Drogolin" w:hint="cs"/>
          <w:rtl/>
          <w:lang w:bidi="he-IL"/>
        </w:rPr>
        <w:t xml:space="preserve"> בדעת ר' אפרים.</w:t>
      </w:r>
      <w:r w:rsidRPr="00882F11">
        <w:rPr>
          <w:rFonts w:cs="Guttman Drogolin" w:hint="cs"/>
          <w:rtl/>
          <w:lang w:bidi="he-IL"/>
        </w:rPr>
        <w:t xml:space="preserve"> </w:t>
      </w:r>
      <w:r w:rsidR="00B74401" w:rsidRPr="00882F11">
        <w:rPr>
          <w:rFonts w:cs="Guttman Drogolin" w:hint="cs"/>
          <w:rtl/>
          <w:lang w:bidi="he-IL"/>
        </w:rPr>
        <w:t xml:space="preserve">ומבואר לכאורה </w:t>
      </w:r>
      <w:r w:rsidR="00B74401" w:rsidRPr="00882F11">
        <w:rPr>
          <w:rFonts w:cs="Guttman Drogolin" w:hint="cs"/>
          <w:rtl/>
          <w:lang w:bidi="he-IL"/>
        </w:rPr>
        <w:lastRenderedPageBreak/>
        <w:t xml:space="preserve">לשיטתו דהא דהחתיכה נשארת באיסורה אין זה משום דאמרינן שנשאר בה טעם, </w:t>
      </w:r>
      <w:r w:rsidR="003A4DEF" w:rsidRPr="00882F11">
        <w:rPr>
          <w:rFonts w:cs="Guttman Drogolin" w:hint="cs"/>
          <w:rtl/>
          <w:lang w:bidi="he-IL"/>
        </w:rPr>
        <w:t xml:space="preserve">דהא אילו הי' כן גם בב"ח י' נשאר באיסורה, </w:t>
      </w:r>
      <w:r w:rsidR="00B74401" w:rsidRPr="00882F11">
        <w:rPr>
          <w:rFonts w:cs="Guttman Drogolin" w:hint="cs"/>
          <w:rtl/>
          <w:lang w:bidi="he-IL"/>
        </w:rPr>
        <w:t>רק שהוא חלות שחל על החתיכה ואוסרה. והניד</w:t>
      </w:r>
      <w:r w:rsidR="000F53EF" w:rsidRPr="00882F11">
        <w:rPr>
          <w:rFonts w:cs="Guttman Drogolin" w:hint="cs"/>
          <w:rtl/>
          <w:lang w:bidi="he-IL"/>
        </w:rPr>
        <w:t>ו</w:t>
      </w:r>
      <w:r w:rsidR="00B74401" w:rsidRPr="00882F11">
        <w:rPr>
          <w:rFonts w:cs="Guttman Drogolin" w:hint="cs"/>
          <w:rtl/>
          <w:lang w:bidi="he-IL"/>
        </w:rPr>
        <w:t>ן של אפשר לסוחטה מותר או אסור לא נוגע אלא לבב"ח.</w:t>
      </w:r>
    </w:p>
    <w:p w:rsidR="00C91373" w:rsidRPr="00882F11" w:rsidRDefault="003A4DEF" w:rsidP="00892D17">
      <w:pPr>
        <w:bidi/>
        <w:jc w:val="both"/>
        <w:rPr>
          <w:rFonts w:cs="Guttman Drogolin"/>
          <w:rtl/>
          <w:lang w:bidi="he-IL"/>
        </w:rPr>
      </w:pPr>
      <w:r w:rsidRPr="00882F11">
        <w:rPr>
          <w:rFonts w:cs="Guttman Drogolin" w:hint="cs"/>
          <w:rtl/>
          <w:lang w:bidi="he-IL"/>
        </w:rPr>
        <w:t>אלא שיל"ע לשיטת הרשב"א אם הא שאין החתיכה ניתרת בין בבב"ח ובין בשאר איסורים הוא משום שבאמת אמרינן שאין האיסור נסחט</w:t>
      </w:r>
      <w:r w:rsidR="00C436C9" w:rsidRPr="00882F11">
        <w:rPr>
          <w:rFonts w:cs="Guttman Drogolin" w:hint="cs"/>
          <w:rtl/>
          <w:lang w:bidi="he-IL"/>
        </w:rPr>
        <w:t xml:space="preserve"> </w:t>
      </w:r>
      <w:r w:rsidRPr="00882F11">
        <w:rPr>
          <w:rFonts w:cs="Guttman Drogolin" w:hint="cs"/>
          <w:rtl/>
          <w:lang w:bidi="he-IL"/>
        </w:rPr>
        <w:t>מן החתיכה וחוששין שיש בה נ"ט</w:t>
      </w:r>
      <w:r w:rsidR="00986737" w:rsidRPr="00882F11">
        <w:rPr>
          <w:rFonts w:cs="Guttman Drogolin" w:hint="cs"/>
          <w:rtl/>
          <w:lang w:bidi="he-IL"/>
        </w:rPr>
        <w:t>, או"ד דאע"ג שכבר אין בה טעם מ"מ החתיכה נשארת באיסורה. וע' בשו"ת רע"א סי' ס"ז שהביא משו"ת מהר"ם מלובלין</w:t>
      </w:r>
      <w:r w:rsidR="00B00385" w:rsidRPr="00882F11">
        <w:rPr>
          <w:rFonts w:cs="Guttman Drogolin" w:hint="cs"/>
          <w:rtl/>
          <w:lang w:bidi="he-IL"/>
        </w:rPr>
        <w:t xml:space="preserve"> </w:t>
      </w:r>
      <w:r w:rsidR="00204B17" w:rsidRPr="00882F11">
        <w:rPr>
          <w:rFonts w:cs="Guttman Drogolin" w:hint="cs"/>
          <w:rtl/>
          <w:lang w:bidi="he-IL"/>
        </w:rPr>
        <w:t xml:space="preserve">(סי' כ"ח) </w:t>
      </w:r>
      <w:r w:rsidR="00B00385" w:rsidRPr="00882F11">
        <w:rPr>
          <w:rFonts w:cs="Guttman Drogolin" w:hint="cs"/>
          <w:rtl/>
          <w:lang w:bidi="he-IL"/>
        </w:rPr>
        <w:t>שאם בישלו חתיכה שבלע טעם היתר (כמו בשר לחוד או חלב לחוד) בששים כמותו אמרינן שהחתיכה חוזרת להיתירו. וביאר רע"א שבאמת אליבא דמהר"ם לובלין צריכים לומר שגם לרשב"א אחרי שהתבשל החתיכה הבל</w:t>
      </w:r>
      <w:r w:rsidR="001D203F" w:rsidRPr="00882F11">
        <w:rPr>
          <w:rFonts w:cs="Guttman Drogolin" w:hint="cs"/>
          <w:rtl/>
          <w:lang w:bidi="he-IL"/>
        </w:rPr>
        <w:t>י</w:t>
      </w:r>
      <w:r w:rsidR="00B00385" w:rsidRPr="00882F11">
        <w:rPr>
          <w:rFonts w:cs="Guttman Drogolin" w:hint="cs"/>
          <w:rtl/>
          <w:lang w:bidi="he-IL"/>
        </w:rPr>
        <w:t xml:space="preserve">עה מתפשטת בכולה, ומ"מ </w:t>
      </w:r>
      <w:r w:rsidR="00204B17" w:rsidRPr="00882F11">
        <w:rPr>
          <w:rFonts w:cs="Guttman Drogolin" w:hint="cs"/>
          <w:rtl/>
          <w:lang w:bidi="he-IL"/>
        </w:rPr>
        <w:t xml:space="preserve">כיון שנשאר בתוך החתיכה קצת איסור הרי היא נשארת באיסורה. ורק באיסורא בלע אמרינן </w:t>
      </w:r>
      <w:r w:rsidR="00892D17" w:rsidRPr="00882F11">
        <w:rPr>
          <w:rFonts w:cs="Guttman Drogolin" w:hint="cs"/>
          <w:rtl/>
          <w:lang w:bidi="he-IL"/>
        </w:rPr>
        <w:t>שהחתיכה נשארה באיסורה</w:t>
      </w:r>
      <w:r w:rsidR="00204B17" w:rsidRPr="00882F11">
        <w:rPr>
          <w:rFonts w:cs="Guttman Drogolin" w:hint="cs"/>
          <w:rtl/>
          <w:lang w:bidi="he-IL"/>
        </w:rPr>
        <w:t>. אמנם העיר שם רע"א שמלשון הרשב"א בשו"ת סי' תצ"ה</w:t>
      </w:r>
      <w:r w:rsidR="00B00385" w:rsidRPr="00882F11">
        <w:rPr>
          <w:rFonts w:cs="Guttman Drogolin" w:hint="cs"/>
          <w:rtl/>
          <w:lang w:bidi="he-IL"/>
        </w:rPr>
        <w:t xml:space="preserve"> </w:t>
      </w:r>
      <w:r w:rsidR="00204B17" w:rsidRPr="00882F11">
        <w:rPr>
          <w:rFonts w:cs="Guttman Drogolin" w:hint="cs"/>
          <w:rtl/>
          <w:lang w:bidi="he-IL"/>
        </w:rPr>
        <w:t xml:space="preserve">משמע שטעם איסור החתיכה משום שאין יודעין שנתפשט האיסור בשוה. וכן מבואר בר"ן. </w:t>
      </w:r>
      <w:r w:rsidR="00830130" w:rsidRPr="00882F11">
        <w:rPr>
          <w:rFonts w:cs="Guttman Drogolin" w:hint="cs"/>
          <w:rtl/>
          <w:lang w:bidi="he-IL"/>
        </w:rPr>
        <w:t xml:space="preserve">ועוד צ"ע לפי זה מהו הביאור במ"ד </w:t>
      </w:r>
      <w:r w:rsidR="00DC784B">
        <w:rPr>
          <w:rFonts w:cs="Guttman Drogolin" w:hint="cs"/>
          <w:rtl/>
          <w:lang w:bidi="he-IL"/>
        </w:rPr>
        <w:t>אפשר לסוחטו</w:t>
      </w:r>
      <w:r w:rsidR="00830130" w:rsidRPr="00882F11">
        <w:rPr>
          <w:rFonts w:cs="Guttman Drogolin" w:hint="cs"/>
          <w:rtl/>
          <w:lang w:bidi="he-IL"/>
        </w:rPr>
        <w:t xml:space="preserve"> מותר כיון שהחתיכה נשארת באיסורה אע"ג שהתפשט הטעם ועדיין אינו אוסרו. </w:t>
      </w:r>
      <w:r w:rsidR="00D8040F" w:rsidRPr="00882F11">
        <w:rPr>
          <w:rFonts w:cs="Guttman Drogolin" w:hint="cs"/>
          <w:rtl/>
          <w:lang w:bidi="he-IL"/>
        </w:rPr>
        <w:t>ו</w:t>
      </w:r>
      <w:r w:rsidR="00204B17" w:rsidRPr="00882F11">
        <w:rPr>
          <w:rFonts w:cs="Guttman Drogolin" w:hint="cs"/>
          <w:rtl/>
          <w:lang w:bidi="he-IL"/>
        </w:rPr>
        <w:t>צ"ע</w:t>
      </w:r>
      <w:r w:rsidR="00052066" w:rsidRPr="00882F11">
        <w:rPr>
          <w:rStyle w:val="FootnoteReference"/>
          <w:rFonts w:cs="Guttman Drogolin"/>
          <w:rtl/>
          <w:lang w:bidi="he-IL"/>
        </w:rPr>
        <w:footnoteReference w:id="98"/>
      </w:r>
      <w:r w:rsidR="00204B17" w:rsidRPr="00882F11">
        <w:rPr>
          <w:rFonts w:cs="Guttman Drogolin" w:hint="cs"/>
          <w:rtl/>
          <w:lang w:bidi="he-IL"/>
        </w:rPr>
        <w:t>.</w:t>
      </w:r>
      <w:r w:rsidR="00986737" w:rsidRPr="00882F11">
        <w:rPr>
          <w:rFonts w:cs="Guttman Drogolin" w:hint="cs"/>
          <w:rtl/>
          <w:lang w:bidi="he-IL"/>
        </w:rPr>
        <w:t xml:space="preserve"> </w:t>
      </w:r>
    </w:p>
    <w:p w:rsidR="00C91373" w:rsidRPr="00882F11" w:rsidRDefault="00C91373" w:rsidP="00C91373">
      <w:pPr>
        <w:bidi/>
        <w:jc w:val="both"/>
        <w:rPr>
          <w:rFonts w:cs="Guttman Drogolin"/>
          <w:rtl/>
          <w:lang w:bidi="he-IL"/>
        </w:rPr>
        <w:sectPr w:rsidR="00C91373" w:rsidRPr="00882F11" w:rsidSect="000F6DEF">
          <w:type w:val="continuous"/>
          <w:pgSz w:w="11907" w:h="16839" w:code="9"/>
          <w:pgMar w:top="1440" w:right="1440" w:bottom="1440" w:left="1440" w:header="720" w:footer="720" w:gutter="0"/>
          <w:cols w:num="2" w:space="720"/>
          <w:bidi/>
          <w:docGrid w:linePitch="360"/>
        </w:sectPr>
      </w:pPr>
    </w:p>
    <w:p w:rsidR="00C91373" w:rsidRPr="00882F11" w:rsidRDefault="00C91373" w:rsidP="00C91373">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כ"ב</w:t>
      </w:r>
    </w:p>
    <w:p w:rsidR="000F6DEF" w:rsidRDefault="000F6DEF" w:rsidP="0078079C">
      <w:pPr>
        <w:pStyle w:val="Heading1"/>
        <w:bidi/>
        <w:spacing w:before="0" w:line="360" w:lineRule="auto"/>
        <w:jc w:val="center"/>
        <w:rPr>
          <w:rFonts w:cs="Guttman Drogolin"/>
          <w:color w:val="auto"/>
          <w:sz w:val="24"/>
          <w:szCs w:val="24"/>
          <w:u w:val="single"/>
          <w:rtl/>
          <w:lang w:bidi="he-IL"/>
        </w:rPr>
        <w:sectPr w:rsidR="000F6DEF" w:rsidSect="000F6DEF">
          <w:pgSz w:w="11907" w:h="16839" w:code="9"/>
          <w:pgMar w:top="1440" w:right="1440" w:bottom="1440" w:left="1440" w:header="720" w:footer="720" w:gutter="0"/>
          <w:cols w:space="720"/>
          <w:bidi/>
          <w:docGrid w:linePitch="360"/>
        </w:sectPr>
      </w:pPr>
    </w:p>
    <w:p w:rsidR="00C91373" w:rsidRPr="00882F11" w:rsidRDefault="00C91373" w:rsidP="0078079C">
      <w:pPr>
        <w:pStyle w:val="Heading1"/>
        <w:bidi/>
        <w:spacing w:before="0" w:line="360" w:lineRule="auto"/>
        <w:jc w:val="center"/>
        <w:rPr>
          <w:rFonts w:cs="Guttman Drogolin"/>
          <w:color w:val="auto"/>
          <w:sz w:val="24"/>
          <w:szCs w:val="24"/>
          <w:u w:val="single"/>
          <w:rtl/>
          <w:lang w:bidi="he-IL"/>
        </w:rPr>
      </w:pPr>
      <w:bookmarkStart w:id="84" w:name="_Toc496175345"/>
      <w:r w:rsidRPr="00882F11">
        <w:rPr>
          <w:rFonts w:cs="Guttman Drogolin" w:hint="cs"/>
          <w:color w:val="auto"/>
          <w:sz w:val="24"/>
          <w:szCs w:val="24"/>
          <w:u w:val="single"/>
          <w:rtl/>
          <w:lang w:bidi="he-IL"/>
        </w:rPr>
        <w:lastRenderedPageBreak/>
        <w:t>בדין טעימת קפילא כשיש חלב נבילה</w:t>
      </w:r>
      <w:bookmarkEnd w:id="84"/>
    </w:p>
    <w:p w:rsidR="003E0170" w:rsidRPr="00882F11" w:rsidRDefault="00621755" w:rsidP="00E100A5">
      <w:pPr>
        <w:bidi/>
        <w:jc w:val="both"/>
        <w:rPr>
          <w:rFonts w:cs="Guttman Drogolin"/>
          <w:rtl/>
          <w:lang w:bidi="he-IL"/>
        </w:rPr>
      </w:pPr>
      <w:r>
        <w:rPr>
          <w:rFonts w:cs="Guttman Drogolin"/>
          <w:rtl/>
          <w:lang w:bidi="he-IL"/>
        </w:rPr>
        <w:fldChar w:fldCharType="begin"/>
      </w:r>
      <w:r>
        <w:instrText xml:space="preserve"> XE "</w:instrText>
      </w:r>
      <w:r w:rsidRPr="00B8612B">
        <w:rPr>
          <w:rFonts w:hint="cs"/>
          <w:rtl/>
          <w:lang w:bidi="he-IL"/>
        </w:rPr>
        <w:instrText>חלב נבילה</w:instrText>
      </w:r>
      <w:r w:rsidRPr="00B8612B">
        <w:rPr>
          <w:rtl/>
        </w:rPr>
        <w:instrText>:</w:instrText>
      </w:r>
      <w:r w:rsidRPr="00B8612B">
        <w:rPr>
          <w:rFonts w:hint="cs"/>
          <w:rtl/>
          <w:lang w:bidi="he-IL"/>
        </w:rPr>
        <w:instrText>אי מהני לה טעימת קפילא</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E2022B">
        <w:rPr>
          <w:rFonts w:hint="cs"/>
          <w:rtl/>
          <w:lang w:bidi="he-IL"/>
        </w:rPr>
        <w:instrText>קפילא</w:instrText>
      </w:r>
      <w:r w:rsidRPr="00E2022B">
        <w:rPr>
          <w:rtl/>
        </w:rPr>
        <w:instrText>:</w:instrText>
      </w:r>
      <w:r w:rsidRPr="00E2022B">
        <w:rPr>
          <w:rFonts w:hint="cs"/>
          <w:rtl/>
          <w:lang w:bidi="he-IL"/>
        </w:rPr>
        <w:instrText>אי מהני כשיש בה חלב נבילה</w:instrText>
      </w:r>
      <w:r>
        <w:instrText xml:space="preserve">" </w:instrText>
      </w:r>
      <w:r>
        <w:rPr>
          <w:rFonts w:cs="Guttman Drogolin"/>
          <w:rtl/>
          <w:lang w:bidi="he-IL"/>
        </w:rPr>
        <w:fldChar w:fldCharType="end"/>
      </w:r>
      <w:r w:rsidR="006D255A" w:rsidRPr="00882F11">
        <w:rPr>
          <w:rFonts w:cs="Guttman Drogolin" w:hint="cs"/>
          <w:rtl/>
          <w:lang w:bidi="he-IL"/>
        </w:rPr>
        <w:t>אחרי שמבואר בגמ' שכ</w:t>
      </w:r>
      <w:r w:rsidR="00063611" w:rsidRPr="00882F11">
        <w:rPr>
          <w:rFonts w:cs="Guttman Drogolin" w:hint="cs"/>
          <w:rtl/>
          <w:lang w:bidi="he-IL"/>
        </w:rPr>
        <w:t>ש</w:t>
      </w:r>
      <w:r w:rsidR="006D255A" w:rsidRPr="00882F11">
        <w:rPr>
          <w:rFonts w:cs="Guttman Drogolin" w:hint="cs"/>
          <w:rtl/>
          <w:lang w:bidi="he-IL"/>
        </w:rPr>
        <w:t xml:space="preserve">נפלה חתיכת בשר לתוך יורה רותחת </w:t>
      </w:r>
      <w:r w:rsidR="003E0170" w:rsidRPr="00882F11">
        <w:rPr>
          <w:rFonts w:cs="Guttman Drogolin" w:hint="cs"/>
          <w:rtl/>
          <w:lang w:bidi="he-IL"/>
        </w:rPr>
        <w:t xml:space="preserve">של חלב </w:t>
      </w:r>
      <w:r w:rsidR="006D255A" w:rsidRPr="00882F11">
        <w:rPr>
          <w:rFonts w:cs="Guttman Drogolin" w:hint="cs"/>
          <w:rtl/>
          <w:lang w:bidi="he-IL"/>
        </w:rPr>
        <w:t xml:space="preserve">שהחלב שבלעה החתיכה נעשית נבילה, אע"פ שאין הדין שאוסר אפילו באלף, דהא לפי רוב ראשונים קיי"ל </w:t>
      </w:r>
      <w:r w:rsidR="00063611" w:rsidRPr="00882F11">
        <w:rPr>
          <w:rFonts w:cs="Guttman Drogolin" w:hint="cs"/>
          <w:rtl/>
          <w:lang w:bidi="he-IL"/>
        </w:rPr>
        <w:t>דמין במינו בטל</w:t>
      </w:r>
      <w:r w:rsidR="003E0170" w:rsidRPr="00882F11">
        <w:rPr>
          <w:rFonts w:cs="Guttman Drogolin" w:hint="cs"/>
          <w:rtl/>
          <w:lang w:bidi="he-IL"/>
        </w:rPr>
        <w:t>, מ"מ צריכים ששים כנגד החלב</w:t>
      </w:r>
      <w:r w:rsidR="00063611" w:rsidRPr="00882F11">
        <w:rPr>
          <w:rFonts w:cs="Guttman Drogolin" w:hint="cs"/>
          <w:rtl/>
          <w:lang w:bidi="he-IL"/>
        </w:rPr>
        <w:t>.</w:t>
      </w:r>
      <w:r w:rsidR="003E0170" w:rsidRPr="00882F11">
        <w:rPr>
          <w:rFonts w:cs="Guttman Drogolin" w:hint="cs"/>
          <w:rtl/>
          <w:lang w:bidi="he-IL"/>
        </w:rPr>
        <w:t xml:space="preserve"> ולכן כתב הרשב"א כאן בסוגיא, וכן הביא מהרמב"ם (פ"ח ה"ט) שאם נפל חתכת בשר לתוך יורה רותחת של חלב, אם לא הספיק להוציא את החתיכה עד שפלט החלב שבה, דלא מהני טעימת קפילא. והטעם פשוט</w:t>
      </w:r>
      <w:r w:rsidR="00E100A5" w:rsidRPr="00882F11">
        <w:rPr>
          <w:rFonts w:cs="Guttman Drogolin" w:hint="cs"/>
          <w:rtl/>
          <w:lang w:bidi="he-IL"/>
        </w:rPr>
        <w:t>,</w:t>
      </w:r>
      <w:r w:rsidR="003E0170" w:rsidRPr="00882F11">
        <w:rPr>
          <w:rFonts w:cs="Guttman Drogolin" w:hint="cs"/>
          <w:rtl/>
          <w:lang w:bidi="he-IL"/>
        </w:rPr>
        <w:t xml:space="preserve"> דנהי נמי שהקפילא יכול לברר לנו שאין טעם בשר בחלב, ולכן אם יטעמנו הקפילא ויאמר שאין בה טעם בשר לא היינו צריכים שיעור ששים כנגד הטעם בשר, מ"מ הרי יש בתבשיל גם חלב נבילה, והוא מאותו טעם של שאר החלב שבקדירה ואיך תהני לזה טעימת קפילא</w:t>
      </w:r>
      <w:r w:rsidR="00E100A5" w:rsidRPr="00882F11">
        <w:rPr>
          <w:rStyle w:val="FootnoteReference"/>
          <w:rFonts w:cs="Guttman Drogolin"/>
          <w:rtl/>
          <w:lang w:bidi="he-IL"/>
        </w:rPr>
        <w:footnoteReference w:id="99"/>
      </w:r>
      <w:r w:rsidR="003E0170" w:rsidRPr="00882F11">
        <w:rPr>
          <w:rFonts w:cs="Guttman Drogolin" w:hint="cs"/>
          <w:rtl/>
          <w:lang w:bidi="he-IL"/>
        </w:rPr>
        <w:t>.</w:t>
      </w:r>
    </w:p>
    <w:p w:rsidR="001117DE" w:rsidRPr="00882F11" w:rsidRDefault="00746AB5" w:rsidP="00454F98">
      <w:pPr>
        <w:bidi/>
        <w:jc w:val="both"/>
        <w:rPr>
          <w:rFonts w:cs="Guttman Drogolin"/>
          <w:rtl/>
          <w:lang w:bidi="he-IL"/>
        </w:rPr>
      </w:pPr>
      <w:r w:rsidRPr="00882F11">
        <w:rPr>
          <w:rFonts w:cs="Guttman Drogolin" w:hint="cs"/>
          <w:rtl/>
          <w:lang w:bidi="he-IL"/>
        </w:rPr>
        <w:t>ובכרו"פ סי' צ"ב ס"</w:t>
      </w:r>
      <w:r w:rsidR="00DF3DF6" w:rsidRPr="00882F11">
        <w:rPr>
          <w:rFonts w:cs="Guttman Drogolin" w:hint="cs"/>
          <w:rtl/>
          <w:lang w:bidi="he-IL"/>
        </w:rPr>
        <w:t>ק ב' הקשה על זה.</w:t>
      </w:r>
      <w:r w:rsidRPr="00882F11">
        <w:rPr>
          <w:rFonts w:cs="Guttman Drogolin" w:hint="cs"/>
          <w:rtl/>
          <w:lang w:bidi="he-IL"/>
        </w:rPr>
        <w:t xml:space="preserve"> דהנה לעיל בדף צ"ט ע"א, רצתה הגמ' להביא ראי' שהשיעור בביטול איסורים הוא בס' ממתני' שבמס' ערלה, "גריסין</w:t>
      </w:r>
      <w:r w:rsidRPr="00882F11">
        <w:rPr>
          <w:rFonts w:cs="Guttman Drogolin"/>
          <w:rtl/>
          <w:lang w:bidi="he-IL"/>
        </w:rPr>
        <w:t xml:space="preserve"> </w:t>
      </w:r>
      <w:r w:rsidR="00DF3DF6" w:rsidRPr="00882F11">
        <w:rPr>
          <w:rFonts w:cs="Guttman Drogolin" w:hint="cs"/>
          <w:rtl/>
          <w:lang w:bidi="he-IL"/>
        </w:rPr>
        <w:t xml:space="preserve">[של תרומה] </w:t>
      </w:r>
      <w:r w:rsidRPr="00882F11">
        <w:rPr>
          <w:rFonts w:cs="Guttman Drogolin" w:hint="cs"/>
          <w:rtl/>
          <w:lang w:bidi="he-IL"/>
        </w:rPr>
        <w:t>שנתבשלו</w:t>
      </w:r>
      <w:r w:rsidRPr="00882F11">
        <w:rPr>
          <w:rFonts w:cs="Guttman Drogolin"/>
          <w:rtl/>
          <w:lang w:bidi="he-IL"/>
        </w:rPr>
        <w:t xml:space="preserve"> </w:t>
      </w:r>
      <w:r w:rsidRPr="00882F11">
        <w:rPr>
          <w:rFonts w:cs="Guttman Drogolin" w:hint="cs"/>
          <w:rtl/>
          <w:lang w:bidi="he-IL"/>
        </w:rPr>
        <w:t>עם</w:t>
      </w:r>
      <w:r w:rsidRPr="00882F11">
        <w:rPr>
          <w:rFonts w:cs="Guttman Drogolin"/>
          <w:rtl/>
          <w:lang w:bidi="he-IL"/>
        </w:rPr>
        <w:t xml:space="preserve"> </w:t>
      </w:r>
      <w:r w:rsidRPr="00882F11">
        <w:rPr>
          <w:rFonts w:cs="Guttman Drogolin" w:hint="cs"/>
          <w:rtl/>
          <w:lang w:bidi="he-IL"/>
        </w:rPr>
        <w:t>העדשים</w:t>
      </w:r>
      <w:r w:rsidRPr="00882F11">
        <w:rPr>
          <w:rFonts w:cs="Guttman Drogolin"/>
          <w:rtl/>
          <w:lang w:bidi="he-IL"/>
        </w:rPr>
        <w:t xml:space="preserve"> </w:t>
      </w:r>
      <w:r w:rsidR="00DF3DF6" w:rsidRPr="00882F11">
        <w:rPr>
          <w:rFonts w:cs="Guttman Drogolin" w:hint="cs"/>
          <w:rtl/>
          <w:lang w:bidi="he-IL"/>
        </w:rPr>
        <w:t xml:space="preserve">[של חולין]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יש</w:t>
      </w:r>
      <w:r w:rsidRPr="00882F11">
        <w:rPr>
          <w:rFonts w:cs="Guttman Drogolin"/>
          <w:rtl/>
          <w:lang w:bidi="he-IL"/>
        </w:rPr>
        <w:t xml:space="preserve"> </w:t>
      </w:r>
      <w:r w:rsidRPr="00882F11">
        <w:rPr>
          <w:rFonts w:cs="Guttman Drogolin" w:hint="cs"/>
          <w:rtl/>
          <w:lang w:bidi="he-IL"/>
        </w:rPr>
        <w:t>בהם</w:t>
      </w:r>
      <w:r w:rsidRPr="00882F11">
        <w:rPr>
          <w:rFonts w:cs="Guttman Drogolin"/>
          <w:rtl/>
          <w:lang w:bidi="he-IL"/>
        </w:rPr>
        <w:t xml:space="preserve"> </w:t>
      </w:r>
      <w:r w:rsidRPr="00882F11">
        <w:rPr>
          <w:rFonts w:cs="Guttman Drogolin" w:hint="cs"/>
          <w:rtl/>
          <w:lang w:bidi="he-IL"/>
        </w:rPr>
        <w:t>בנותן</w:t>
      </w:r>
      <w:r w:rsidRPr="00882F11">
        <w:rPr>
          <w:rFonts w:cs="Guttman Drogolin"/>
          <w:rtl/>
          <w:lang w:bidi="he-IL"/>
        </w:rPr>
        <w:t xml:space="preserve"> </w:t>
      </w:r>
      <w:r w:rsidRPr="00882F11">
        <w:rPr>
          <w:rFonts w:cs="Guttman Drogolin" w:hint="cs"/>
          <w:rtl/>
          <w:lang w:bidi="he-IL"/>
        </w:rPr>
        <w:t>טעם</w:t>
      </w:r>
      <w:r w:rsidRPr="00882F11">
        <w:rPr>
          <w:rFonts w:cs="Guttman Drogolin"/>
          <w:rtl/>
          <w:lang w:bidi="he-IL"/>
        </w:rPr>
        <w:t xml:space="preserve"> </w:t>
      </w:r>
      <w:r w:rsidRPr="00882F11">
        <w:rPr>
          <w:rFonts w:cs="Guttman Drogolin" w:hint="cs"/>
          <w:rtl/>
          <w:lang w:bidi="he-IL"/>
        </w:rPr>
        <w:t>בין</w:t>
      </w:r>
      <w:r w:rsidRPr="00882F11">
        <w:rPr>
          <w:rFonts w:cs="Guttman Drogolin"/>
          <w:rtl/>
          <w:lang w:bidi="he-IL"/>
        </w:rPr>
        <w:t xml:space="preserve"> </w:t>
      </w:r>
      <w:r w:rsidRPr="00882F11">
        <w:rPr>
          <w:rFonts w:cs="Guttman Drogolin" w:hint="cs"/>
          <w:rtl/>
          <w:lang w:bidi="he-IL"/>
        </w:rPr>
        <w:t>יש</w:t>
      </w:r>
      <w:r w:rsidRPr="00882F11">
        <w:rPr>
          <w:rFonts w:cs="Guttman Drogolin"/>
          <w:rtl/>
          <w:lang w:bidi="he-IL"/>
        </w:rPr>
        <w:t xml:space="preserve"> </w:t>
      </w:r>
      <w:r w:rsidRPr="00882F11">
        <w:rPr>
          <w:rFonts w:cs="Guttman Drogolin" w:hint="cs"/>
          <w:rtl/>
          <w:lang w:bidi="he-IL"/>
        </w:rPr>
        <w:t>בהן</w:t>
      </w:r>
      <w:r w:rsidRPr="00882F11">
        <w:rPr>
          <w:rFonts w:cs="Guttman Drogolin"/>
          <w:rtl/>
          <w:lang w:bidi="he-IL"/>
        </w:rPr>
        <w:t xml:space="preserve"> </w:t>
      </w:r>
      <w:r w:rsidRPr="00882F11">
        <w:rPr>
          <w:rFonts w:cs="Guttman Drogolin" w:hint="cs"/>
          <w:rtl/>
          <w:lang w:bidi="he-IL"/>
        </w:rPr>
        <w:t>להעלות</w:t>
      </w:r>
      <w:r w:rsidRPr="00882F11">
        <w:rPr>
          <w:rFonts w:cs="Guttman Drogolin"/>
          <w:rtl/>
          <w:lang w:bidi="he-IL"/>
        </w:rPr>
        <w:t xml:space="preserve"> </w:t>
      </w:r>
      <w:r w:rsidRPr="00882F11">
        <w:rPr>
          <w:rFonts w:cs="Guttman Drogolin" w:hint="cs"/>
          <w:rtl/>
          <w:lang w:bidi="he-IL"/>
        </w:rPr>
        <w:t>במאה</w:t>
      </w:r>
      <w:r w:rsidRPr="00882F11">
        <w:rPr>
          <w:rFonts w:cs="Guttman Drogolin"/>
          <w:rtl/>
          <w:lang w:bidi="he-IL"/>
        </w:rPr>
        <w:t xml:space="preserve"> </w:t>
      </w:r>
      <w:r w:rsidRPr="00882F11">
        <w:rPr>
          <w:rFonts w:cs="Guttman Drogolin" w:hint="cs"/>
          <w:rtl/>
          <w:lang w:bidi="he-IL"/>
        </w:rPr>
        <w:t>ואחד</w:t>
      </w:r>
      <w:r w:rsidRPr="00882F11">
        <w:rPr>
          <w:rFonts w:cs="Guttman Drogolin"/>
          <w:rtl/>
          <w:lang w:bidi="he-IL"/>
        </w:rPr>
        <w:t xml:space="preserve"> </w:t>
      </w:r>
      <w:r w:rsidRPr="00882F11">
        <w:rPr>
          <w:rFonts w:cs="Guttman Drogolin" w:hint="cs"/>
          <w:rtl/>
          <w:lang w:bidi="he-IL"/>
        </w:rPr>
        <w:t>בין</w:t>
      </w:r>
      <w:r w:rsidRPr="00882F11">
        <w:rPr>
          <w:rFonts w:cs="Guttman Drogolin"/>
          <w:rtl/>
          <w:lang w:bidi="he-IL"/>
        </w:rPr>
        <w:t xml:space="preserve"> </w:t>
      </w:r>
      <w:r w:rsidRPr="00882F11">
        <w:rPr>
          <w:rFonts w:cs="Guttman Drogolin" w:hint="cs"/>
          <w:rtl/>
          <w:lang w:bidi="he-IL"/>
        </w:rPr>
        <w:t>אין</w:t>
      </w:r>
      <w:r w:rsidRPr="00882F11">
        <w:rPr>
          <w:rFonts w:cs="Guttman Drogolin"/>
          <w:rtl/>
          <w:lang w:bidi="he-IL"/>
        </w:rPr>
        <w:t xml:space="preserve"> </w:t>
      </w:r>
      <w:r w:rsidRPr="00882F11">
        <w:rPr>
          <w:rFonts w:cs="Guttman Drogolin" w:hint="cs"/>
          <w:rtl/>
          <w:lang w:bidi="he-IL"/>
        </w:rPr>
        <w:t>בהן</w:t>
      </w:r>
      <w:r w:rsidRPr="00882F11">
        <w:rPr>
          <w:rFonts w:cs="Guttman Drogolin"/>
          <w:rtl/>
          <w:lang w:bidi="he-IL"/>
        </w:rPr>
        <w:t xml:space="preserve"> </w:t>
      </w:r>
      <w:r w:rsidRPr="00882F11">
        <w:rPr>
          <w:rFonts w:cs="Guttman Drogolin" w:hint="cs"/>
          <w:rtl/>
          <w:lang w:bidi="he-IL"/>
        </w:rPr>
        <w:t>להעלות</w:t>
      </w:r>
      <w:r w:rsidRPr="00882F11">
        <w:rPr>
          <w:rFonts w:cs="Guttman Drogolin"/>
          <w:rtl/>
          <w:lang w:bidi="he-IL"/>
        </w:rPr>
        <w:t xml:space="preserve"> </w:t>
      </w:r>
      <w:r w:rsidRPr="00882F11">
        <w:rPr>
          <w:rFonts w:cs="Guttman Drogolin" w:hint="cs"/>
          <w:rtl/>
          <w:lang w:bidi="he-IL"/>
        </w:rPr>
        <w:t>במאה</w:t>
      </w:r>
      <w:r w:rsidRPr="00882F11">
        <w:rPr>
          <w:rFonts w:cs="Guttman Drogolin"/>
          <w:rtl/>
          <w:lang w:bidi="he-IL"/>
        </w:rPr>
        <w:t xml:space="preserve"> </w:t>
      </w:r>
      <w:r w:rsidRPr="00882F11">
        <w:rPr>
          <w:rFonts w:cs="Guttman Drogolin" w:hint="cs"/>
          <w:rtl/>
          <w:lang w:bidi="he-IL"/>
        </w:rPr>
        <w:t>ואחד</w:t>
      </w:r>
      <w:r w:rsidRPr="00882F11">
        <w:rPr>
          <w:rFonts w:cs="Guttman Drogolin"/>
          <w:rtl/>
          <w:lang w:bidi="he-IL"/>
        </w:rPr>
        <w:t xml:space="preserve"> </w:t>
      </w:r>
      <w:r w:rsidRPr="00882F11">
        <w:rPr>
          <w:rFonts w:cs="Guttman Drogolin" w:hint="cs"/>
          <w:rtl/>
          <w:lang w:bidi="he-IL"/>
        </w:rPr>
        <w:t>אסור</w:t>
      </w:r>
      <w:r w:rsidRPr="00882F11">
        <w:rPr>
          <w:rFonts w:cs="Guttman Drogolin"/>
          <w:rtl/>
          <w:lang w:bidi="he-IL"/>
        </w:rPr>
        <w:t xml:space="preserve"> </w:t>
      </w:r>
      <w:r w:rsidRPr="00882F11">
        <w:rPr>
          <w:rFonts w:cs="Guttman Drogolin" w:hint="cs"/>
          <w:rtl/>
          <w:lang w:bidi="he-IL"/>
        </w:rPr>
        <w:t>וכו' אין</w:t>
      </w:r>
      <w:r w:rsidRPr="00882F11">
        <w:rPr>
          <w:rFonts w:cs="Guttman Drogolin"/>
          <w:rtl/>
          <w:lang w:bidi="he-IL"/>
        </w:rPr>
        <w:t xml:space="preserve"> </w:t>
      </w:r>
      <w:r w:rsidRPr="00882F11">
        <w:rPr>
          <w:rFonts w:cs="Guttman Drogolin" w:hint="cs"/>
          <w:rtl/>
          <w:lang w:bidi="he-IL"/>
        </w:rPr>
        <w:t>בהן</w:t>
      </w:r>
      <w:r w:rsidRPr="00882F11">
        <w:rPr>
          <w:rFonts w:cs="Guttman Drogolin"/>
          <w:rtl/>
          <w:lang w:bidi="he-IL"/>
        </w:rPr>
        <w:t xml:space="preserve"> </w:t>
      </w:r>
      <w:r w:rsidRPr="00882F11">
        <w:rPr>
          <w:rFonts w:cs="Guttman Drogolin" w:hint="cs"/>
          <w:rtl/>
          <w:lang w:bidi="he-IL"/>
        </w:rPr>
        <w:t>בנותן</w:t>
      </w:r>
      <w:r w:rsidRPr="00882F11">
        <w:rPr>
          <w:rFonts w:cs="Guttman Drogolin"/>
          <w:rtl/>
          <w:lang w:bidi="he-IL"/>
        </w:rPr>
        <w:t xml:space="preserve"> </w:t>
      </w:r>
      <w:r w:rsidRPr="00882F11">
        <w:rPr>
          <w:rFonts w:cs="Guttman Drogolin" w:hint="cs"/>
          <w:rtl/>
          <w:lang w:bidi="he-IL"/>
        </w:rPr>
        <w:t>טעם</w:t>
      </w:r>
      <w:r w:rsidRPr="00882F11">
        <w:rPr>
          <w:rFonts w:cs="Guttman Drogolin"/>
          <w:rtl/>
          <w:lang w:bidi="he-IL"/>
        </w:rPr>
        <w:t xml:space="preserve"> </w:t>
      </w:r>
      <w:r w:rsidRPr="00882F11">
        <w:rPr>
          <w:rFonts w:cs="Guttman Drogolin" w:hint="cs"/>
          <w:rtl/>
          <w:lang w:bidi="he-IL"/>
        </w:rPr>
        <w:t>בין</w:t>
      </w:r>
      <w:r w:rsidRPr="00882F11">
        <w:rPr>
          <w:rFonts w:cs="Guttman Drogolin"/>
          <w:rtl/>
          <w:lang w:bidi="he-IL"/>
        </w:rPr>
        <w:t xml:space="preserve"> </w:t>
      </w:r>
      <w:r w:rsidRPr="00882F11">
        <w:rPr>
          <w:rFonts w:cs="Guttman Drogolin" w:hint="cs"/>
          <w:rtl/>
          <w:lang w:bidi="he-IL"/>
        </w:rPr>
        <w:t>שיש</w:t>
      </w:r>
      <w:r w:rsidRPr="00882F11">
        <w:rPr>
          <w:rFonts w:cs="Guttman Drogolin"/>
          <w:rtl/>
          <w:lang w:bidi="he-IL"/>
        </w:rPr>
        <w:t xml:space="preserve"> </w:t>
      </w:r>
      <w:r w:rsidRPr="00882F11">
        <w:rPr>
          <w:rFonts w:cs="Guttman Drogolin" w:hint="cs"/>
          <w:rtl/>
          <w:lang w:bidi="he-IL"/>
        </w:rPr>
        <w:t>בהן</w:t>
      </w:r>
      <w:r w:rsidRPr="00882F11">
        <w:rPr>
          <w:rFonts w:cs="Guttman Drogolin"/>
          <w:rtl/>
          <w:lang w:bidi="he-IL"/>
        </w:rPr>
        <w:t xml:space="preserve"> </w:t>
      </w:r>
      <w:r w:rsidRPr="00882F11">
        <w:rPr>
          <w:rFonts w:cs="Guttman Drogolin" w:hint="cs"/>
          <w:rtl/>
          <w:lang w:bidi="he-IL"/>
        </w:rPr>
        <w:t>להעלות</w:t>
      </w:r>
      <w:r w:rsidRPr="00882F11">
        <w:rPr>
          <w:rFonts w:cs="Guttman Drogolin"/>
          <w:rtl/>
          <w:lang w:bidi="he-IL"/>
        </w:rPr>
        <w:t xml:space="preserve"> </w:t>
      </w:r>
      <w:r w:rsidRPr="00882F11">
        <w:rPr>
          <w:rFonts w:cs="Guttman Drogolin" w:hint="cs"/>
          <w:rtl/>
          <w:lang w:bidi="he-IL"/>
        </w:rPr>
        <w:t>במאה</w:t>
      </w:r>
      <w:r w:rsidRPr="00882F11">
        <w:rPr>
          <w:rFonts w:cs="Guttman Drogolin"/>
          <w:rtl/>
          <w:lang w:bidi="he-IL"/>
        </w:rPr>
        <w:t xml:space="preserve"> </w:t>
      </w:r>
      <w:r w:rsidRPr="00882F11">
        <w:rPr>
          <w:rFonts w:cs="Guttman Drogolin" w:hint="cs"/>
          <w:rtl/>
          <w:lang w:bidi="he-IL"/>
        </w:rPr>
        <w:t>ואחד</w:t>
      </w:r>
      <w:r w:rsidRPr="00882F11">
        <w:rPr>
          <w:rFonts w:cs="Guttman Drogolin"/>
          <w:rtl/>
          <w:lang w:bidi="he-IL"/>
        </w:rPr>
        <w:t xml:space="preserve"> </w:t>
      </w:r>
      <w:r w:rsidRPr="00882F11">
        <w:rPr>
          <w:rFonts w:cs="Guttman Drogolin" w:hint="cs"/>
          <w:rtl/>
          <w:lang w:bidi="he-IL"/>
        </w:rPr>
        <w:t>בין</w:t>
      </w:r>
      <w:r w:rsidRPr="00882F11">
        <w:rPr>
          <w:rFonts w:cs="Guttman Drogolin"/>
          <w:rtl/>
          <w:lang w:bidi="he-IL"/>
        </w:rPr>
        <w:t xml:space="preserve"> </w:t>
      </w:r>
      <w:r w:rsidRPr="00882F11">
        <w:rPr>
          <w:rFonts w:cs="Guttman Drogolin" w:hint="cs"/>
          <w:rtl/>
          <w:lang w:bidi="he-IL"/>
        </w:rPr>
        <w:t>אין</w:t>
      </w:r>
      <w:r w:rsidRPr="00882F11">
        <w:rPr>
          <w:rFonts w:cs="Guttman Drogolin"/>
          <w:rtl/>
          <w:lang w:bidi="he-IL"/>
        </w:rPr>
        <w:t xml:space="preserve"> </w:t>
      </w:r>
      <w:r w:rsidRPr="00882F11">
        <w:rPr>
          <w:rFonts w:cs="Guttman Drogolin" w:hint="cs"/>
          <w:rtl/>
          <w:lang w:bidi="he-IL"/>
        </w:rPr>
        <w:t>בהן</w:t>
      </w:r>
      <w:r w:rsidRPr="00882F11">
        <w:rPr>
          <w:rFonts w:cs="Guttman Drogolin"/>
          <w:rtl/>
          <w:lang w:bidi="he-IL"/>
        </w:rPr>
        <w:t xml:space="preserve"> </w:t>
      </w:r>
      <w:r w:rsidRPr="00882F11">
        <w:rPr>
          <w:rFonts w:cs="Guttman Drogolin" w:hint="cs"/>
          <w:rtl/>
          <w:lang w:bidi="he-IL"/>
        </w:rPr>
        <w:t>להעלות</w:t>
      </w:r>
      <w:r w:rsidRPr="00882F11">
        <w:rPr>
          <w:rFonts w:cs="Guttman Drogolin"/>
          <w:rtl/>
          <w:lang w:bidi="he-IL"/>
        </w:rPr>
        <w:t xml:space="preserve"> </w:t>
      </w:r>
      <w:r w:rsidRPr="00882F11">
        <w:rPr>
          <w:rFonts w:cs="Guttman Drogolin" w:hint="cs"/>
          <w:rtl/>
          <w:lang w:bidi="he-IL"/>
        </w:rPr>
        <w:t>במאה</w:t>
      </w:r>
      <w:r w:rsidRPr="00882F11">
        <w:rPr>
          <w:rFonts w:cs="Guttman Drogolin"/>
          <w:rtl/>
          <w:lang w:bidi="he-IL"/>
        </w:rPr>
        <w:t xml:space="preserve"> </w:t>
      </w:r>
      <w:r w:rsidRPr="00882F11">
        <w:rPr>
          <w:rFonts w:cs="Guttman Drogolin" w:hint="cs"/>
          <w:rtl/>
          <w:lang w:bidi="he-IL"/>
        </w:rPr>
        <w:t>ואחד</w:t>
      </w:r>
      <w:r w:rsidRPr="00882F11">
        <w:rPr>
          <w:rFonts w:cs="Guttman Drogolin"/>
          <w:rtl/>
          <w:lang w:bidi="he-IL"/>
        </w:rPr>
        <w:t xml:space="preserve"> </w:t>
      </w:r>
      <w:r w:rsidRPr="00882F11">
        <w:rPr>
          <w:rFonts w:cs="Guttman Drogolin" w:hint="cs"/>
          <w:rtl/>
          <w:lang w:bidi="he-IL"/>
        </w:rPr>
        <w:t>מותר". ומדייקת הגמ'</w:t>
      </w:r>
      <w:r w:rsidRPr="00882F11">
        <w:rPr>
          <w:rFonts w:cs="Guttman Drogolin"/>
          <w:rtl/>
          <w:lang w:bidi="he-IL"/>
        </w:rPr>
        <w:t xml:space="preserve"> </w:t>
      </w:r>
      <w:r w:rsidRPr="00882F11">
        <w:rPr>
          <w:rFonts w:cs="Guttman Drogolin" w:hint="cs"/>
          <w:rtl/>
          <w:lang w:bidi="he-IL"/>
        </w:rPr>
        <w:t>"אין</w:t>
      </w:r>
      <w:r w:rsidRPr="00882F11">
        <w:rPr>
          <w:rFonts w:cs="Guttman Drogolin"/>
          <w:rtl/>
          <w:lang w:bidi="he-IL"/>
        </w:rPr>
        <w:t xml:space="preserve"> </w:t>
      </w:r>
      <w:r w:rsidRPr="00882F11">
        <w:rPr>
          <w:rFonts w:cs="Guttman Drogolin" w:hint="cs"/>
          <w:rtl/>
          <w:lang w:bidi="he-IL"/>
        </w:rPr>
        <w:t>בהן</w:t>
      </w:r>
      <w:r w:rsidRPr="00882F11">
        <w:rPr>
          <w:rFonts w:cs="Guttman Drogolin"/>
          <w:rtl/>
          <w:lang w:bidi="he-IL"/>
        </w:rPr>
        <w:t xml:space="preserve"> </w:t>
      </w:r>
      <w:r w:rsidRPr="00882F11">
        <w:rPr>
          <w:rFonts w:cs="Guttman Drogolin" w:hint="cs"/>
          <w:rtl/>
          <w:lang w:bidi="he-IL"/>
        </w:rPr>
        <w:t>להעלות</w:t>
      </w:r>
      <w:r w:rsidRPr="00882F11">
        <w:rPr>
          <w:rFonts w:cs="Guttman Drogolin"/>
          <w:rtl/>
          <w:lang w:bidi="he-IL"/>
        </w:rPr>
        <w:t xml:space="preserve"> </w:t>
      </w:r>
      <w:r w:rsidRPr="00882F11">
        <w:rPr>
          <w:rFonts w:cs="Guttman Drogolin" w:hint="cs"/>
          <w:rtl/>
          <w:lang w:bidi="he-IL"/>
        </w:rPr>
        <w:t>במאה</w:t>
      </w:r>
      <w:r w:rsidRPr="00882F11">
        <w:rPr>
          <w:rFonts w:cs="Guttman Drogolin"/>
          <w:rtl/>
          <w:lang w:bidi="he-IL"/>
        </w:rPr>
        <w:t xml:space="preserve"> </w:t>
      </w:r>
      <w:r w:rsidRPr="00882F11">
        <w:rPr>
          <w:rFonts w:cs="Guttman Drogolin" w:hint="cs"/>
          <w:rtl/>
          <w:lang w:bidi="he-IL"/>
        </w:rPr>
        <w:t>ואחד</w:t>
      </w:r>
      <w:r w:rsidRPr="00882F11">
        <w:rPr>
          <w:rFonts w:cs="Guttman Drogolin"/>
          <w:rtl/>
          <w:lang w:bidi="he-IL"/>
        </w:rPr>
        <w:t xml:space="preserve"> </w:t>
      </w:r>
      <w:r w:rsidRPr="00882F11">
        <w:rPr>
          <w:rFonts w:cs="Guttman Drogolin" w:hint="cs"/>
          <w:rtl/>
          <w:lang w:bidi="he-IL"/>
        </w:rPr>
        <w:t>אלא</w:t>
      </w:r>
      <w:r w:rsidRPr="00882F11">
        <w:rPr>
          <w:rFonts w:cs="Guttman Drogolin"/>
          <w:rtl/>
          <w:lang w:bidi="he-IL"/>
        </w:rPr>
        <w:t xml:space="preserve"> </w:t>
      </w:r>
      <w:r w:rsidRPr="00882F11">
        <w:rPr>
          <w:rFonts w:cs="Guttman Drogolin" w:hint="cs"/>
          <w:rtl/>
          <w:lang w:bidi="he-IL"/>
        </w:rPr>
        <w:t>במאי</w:t>
      </w:r>
      <w:r w:rsidRPr="00882F11">
        <w:rPr>
          <w:rFonts w:cs="Guttman Drogolin"/>
          <w:rtl/>
          <w:lang w:bidi="he-IL"/>
        </w:rPr>
        <w:t xml:space="preserve"> </w:t>
      </w:r>
      <w:r w:rsidRPr="00882F11">
        <w:rPr>
          <w:rFonts w:cs="Guttman Drogolin" w:hint="cs"/>
          <w:rtl/>
          <w:lang w:bidi="he-IL"/>
        </w:rPr>
        <w:t>לאו</w:t>
      </w:r>
      <w:r w:rsidRPr="00882F11">
        <w:rPr>
          <w:rFonts w:cs="Guttman Drogolin"/>
          <w:rtl/>
          <w:lang w:bidi="he-IL"/>
        </w:rPr>
        <w:t xml:space="preserve"> </w:t>
      </w:r>
      <w:r w:rsidRPr="00882F11">
        <w:rPr>
          <w:rFonts w:cs="Guttman Drogolin" w:hint="cs"/>
          <w:rtl/>
          <w:lang w:bidi="he-IL"/>
        </w:rPr>
        <w:t xml:space="preserve">בששים" ור"ל דכיון שכוונת המתני' לומר שאינו צריך מאה ואחד כשיעור הביטול של תרומה לכן מסתמא זה שאין בה נתינת הטעם היינו שהוא יותר מששים, שאם השיעור הוא במאה, מהו זה </w:t>
      </w:r>
      <w:r w:rsidR="00EC2ABF" w:rsidRPr="00882F11">
        <w:rPr>
          <w:rFonts w:cs="Guttman Drogolin" w:hint="cs"/>
          <w:rtl/>
          <w:lang w:bidi="he-IL"/>
        </w:rPr>
        <w:t>שלא צריכים שיעור</w:t>
      </w:r>
      <w:r w:rsidRPr="00882F11">
        <w:rPr>
          <w:rFonts w:cs="Guttman Drogolin" w:hint="cs"/>
          <w:rtl/>
          <w:lang w:bidi="he-IL"/>
        </w:rPr>
        <w:t xml:space="preserve"> </w:t>
      </w:r>
      <w:r w:rsidRPr="00882F11">
        <w:rPr>
          <w:rFonts w:cs="Guttman Drogolin" w:hint="cs"/>
          <w:rtl/>
          <w:lang w:bidi="he-IL"/>
        </w:rPr>
        <w:lastRenderedPageBreak/>
        <w:t>מאה</w:t>
      </w:r>
      <w:r w:rsidR="00EC2ABF" w:rsidRPr="00882F11">
        <w:rPr>
          <w:rFonts w:cs="Guttman Drogolin" w:hint="cs"/>
          <w:rtl/>
          <w:lang w:bidi="he-IL"/>
        </w:rPr>
        <w:t xml:space="preserve"> אחד</w:t>
      </w:r>
      <w:r w:rsidRPr="00882F11">
        <w:rPr>
          <w:rFonts w:cs="Guttman Drogolin" w:hint="cs"/>
          <w:rtl/>
          <w:lang w:bidi="he-IL"/>
        </w:rPr>
        <w:t xml:space="preserve"> ואין בה נתינת טעם</w:t>
      </w:r>
      <w:r w:rsidR="00EC2ABF" w:rsidRPr="00882F11">
        <w:rPr>
          <w:rFonts w:cs="Guttman Drogolin" w:hint="cs"/>
          <w:rtl/>
          <w:lang w:bidi="he-IL"/>
        </w:rPr>
        <w:t xml:space="preserve"> (והגמ' דוחה שיש לדחות דר"ל שלא צריכים שיעור מאה ואחד, אבל מאה צריכים). </w:t>
      </w:r>
      <w:r w:rsidR="00DF3DF6" w:rsidRPr="00882F11">
        <w:rPr>
          <w:rFonts w:cs="Guttman Drogolin" w:hint="cs"/>
          <w:rtl/>
          <w:lang w:bidi="he-IL"/>
        </w:rPr>
        <w:t>ותוס' שם על אתר הקשו על הוכחת הגמ' שהשיעור הוא בס', די"ל דלעולם השיעור הוא במאה, והא דאין צריכים שיעור מאה ואחד, היינו אם יטעמנו כהן ויאמר שאין בה טעם, ששיטת התוס' שהשיעורים של ס' וק' לא נאמרו אלא בכה"ג שאי אפשר ע"י טעימה, אבל אם יש כהן שאומר לנו שאין טעם תרומה סומכין עליו אפילו בשיעור פחות מאלו. ותי' בדוחק שכן מ"מ מדויק במתני' ע"ש. והקשה בכרו"פ דלפי הנ"ל בדעת הרמב"ם, מה הי' כ"כ קשה לתוס', הא כיון שהגריסים נפלו לתוך יורה של עדשים, הא ודאי בלעו הגריסים מן התבשיל ונע"נ (כשיטת ר"י שיש חענ"ן באר איסורים)</w:t>
      </w:r>
      <w:r w:rsidR="001117DE" w:rsidRPr="00882F11">
        <w:rPr>
          <w:rFonts w:cs="Guttman Drogolin" w:hint="cs"/>
          <w:rtl/>
          <w:lang w:bidi="he-IL"/>
        </w:rPr>
        <w:t>, ולימ</w:t>
      </w:r>
      <w:r w:rsidR="00DF3DF6" w:rsidRPr="00882F11">
        <w:rPr>
          <w:rFonts w:cs="Guttman Drogolin" w:hint="cs"/>
          <w:rtl/>
          <w:lang w:bidi="he-IL"/>
        </w:rPr>
        <w:t>א דכיון ששוב פלטו את הטעם עדשים, הרי הם אוסרים במינן, ושוב לא מהני טעית כהן וכנ"ל, וזהו הטעם דע"כ ביטלו אותו בשיעור ולא ע"י קפילא</w:t>
      </w:r>
      <w:bookmarkStart w:id="85" w:name="_Ref439842578"/>
      <w:r w:rsidR="00454F98" w:rsidRPr="00882F11">
        <w:rPr>
          <w:rStyle w:val="FootnoteReference"/>
          <w:rFonts w:cs="Guttman Drogolin"/>
          <w:rtl/>
          <w:lang w:bidi="he-IL"/>
        </w:rPr>
        <w:footnoteReference w:id="100"/>
      </w:r>
      <w:bookmarkEnd w:id="85"/>
      <w:r w:rsidR="00DF3DF6" w:rsidRPr="00882F11">
        <w:rPr>
          <w:rFonts w:cs="Guttman Drogolin" w:hint="cs"/>
          <w:rtl/>
          <w:lang w:bidi="he-IL"/>
        </w:rPr>
        <w:t xml:space="preserve">. </w:t>
      </w:r>
    </w:p>
    <w:p w:rsidR="00801432" w:rsidRPr="00882F11" w:rsidRDefault="001117DE" w:rsidP="00D90BDC">
      <w:pPr>
        <w:bidi/>
        <w:jc w:val="both"/>
        <w:rPr>
          <w:rFonts w:cs="Guttman Drogolin"/>
          <w:rtl/>
          <w:lang w:bidi="he-IL"/>
        </w:rPr>
      </w:pPr>
      <w:r w:rsidRPr="00882F11">
        <w:rPr>
          <w:rFonts w:cs="Guttman Drogolin" w:hint="cs"/>
          <w:rtl/>
          <w:lang w:bidi="he-IL"/>
        </w:rPr>
        <w:t xml:space="preserve">והנה כל הקושי מבוסס על זה דכמו דאמרינן דלא מהני טעימת קפילא בחתיכת בשר </w:t>
      </w:r>
      <w:r w:rsidR="00BB7C42" w:rsidRPr="00882F11">
        <w:rPr>
          <w:rFonts w:cs="Guttman Drogolin" w:hint="cs"/>
          <w:rtl/>
          <w:lang w:bidi="he-IL"/>
        </w:rPr>
        <w:t>שנפל לתוך יורה של חלב כיון שנעשית החלב ח</w:t>
      </w:r>
      <w:r w:rsidR="00D90BDC" w:rsidRPr="00882F11">
        <w:rPr>
          <w:rFonts w:cs="Guttman Drogolin" w:hint="cs"/>
          <w:rtl/>
          <w:lang w:bidi="he-IL"/>
        </w:rPr>
        <w:t>ל</w:t>
      </w:r>
      <w:r w:rsidR="00BB7C42" w:rsidRPr="00882F11">
        <w:rPr>
          <w:rFonts w:cs="Guttman Drogolin" w:hint="cs"/>
          <w:rtl/>
          <w:lang w:bidi="he-IL"/>
        </w:rPr>
        <w:t>ב נבילה, הה"נ דלא מהני טעימת קפילא בחתיכה של שאר איסורים שנפל לתוך יורה של קדירת היתר, דהא כמו"כ בלע מן ההיתר ונע"נ. וכ"כ רע"א בהגהחת שו"ע רסי' צ"ח</w:t>
      </w:r>
      <w:r w:rsidR="00801432" w:rsidRPr="00882F11">
        <w:rPr>
          <w:rFonts w:cs="Guttman Drogolin" w:hint="cs"/>
          <w:rtl/>
          <w:lang w:bidi="he-IL"/>
        </w:rPr>
        <w:t>,</w:t>
      </w:r>
      <w:r w:rsidR="00D90BDC" w:rsidRPr="00882F11">
        <w:rPr>
          <w:rFonts w:cs="Guttman Drogolin" w:hint="cs"/>
          <w:rtl/>
          <w:lang w:bidi="he-IL"/>
        </w:rPr>
        <w:t xml:space="preserve"> וע"ש שהעיר דא"כ ה</w:t>
      </w:r>
      <w:r w:rsidR="00801432" w:rsidRPr="00882F11">
        <w:rPr>
          <w:rFonts w:cs="Guttman Drogolin" w:hint="cs"/>
          <w:rtl/>
          <w:lang w:bidi="he-IL"/>
        </w:rPr>
        <w:t>יכי משכחת לה לדינא דטעימת קפילא כלל</w:t>
      </w:r>
      <w:r w:rsidR="00BB7C42" w:rsidRPr="00882F11">
        <w:rPr>
          <w:rFonts w:cs="Guttman Drogolin" w:hint="cs"/>
          <w:rtl/>
          <w:lang w:bidi="he-IL"/>
        </w:rPr>
        <w:t xml:space="preserve">. </w:t>
      </w:r>
      <w:r w:rsidR="00621755">
        <w:rPr>
          <w:rFonts w:cs="Guttman Drogolin"/>
          <w:rtl/>
          <w:lang w:bidi="he-IL"/>
        </w:rPr>
        <w:fldChar w:fldCharType="begin"/>
      </w:r>
      <w:r w:rsidR="00621755">
        <w:instrText xml:space="preserve"> XE "</w:instrText>
      </w:r>
      <w:r w:rsidR="00621755" w:rsidRPr="005651A9">
        <w:rPr>
          <w:rFonts w:hint="cs"/>
          <w:rtl/>
          <w:lang w:bidi="he-IL"/>
        </w:rPr>
        <w:instrText>חלב נבילה</w:instrText>
      </w:r>
      <w:r w:rsidR="00621755" w:rsidRPr="005651A9">
        <w:rPr>
          <w:rtl/>
        </w:rPr>
        <w:instrText>:</w:instrText>
      </w:r>
      <w:r w:rsidR="00621755" w:rsidRPr="005651A9">
        <w:rPr>
          <w:rFonts w:hint="cs"/>
          <w:rtl/>
          <w:lang w:bidi="he-IL"/>
        </w:rPr>
        <w:instrText>אי מהני טעימת קפילא בשאר איסורים</w:instrText>
      </w:r>
      <w:r w:rsidR="00621755">
        <w:instrText xml:space="preserve">" </w:instrText>
      </w:r>
      <w:r w:rsidR="00621755">
        <w:rPr>
          <w:rFonts w:cs="Guttman Drogolin"/>
          <w:rtl/>
          <w:lang w:bidi="he-IL"/>
        </w:rPr>
        <w:fldChar w:fldCharType="end"/>
      </w:r>
      <w:r w:rsidR="00CD0D56">
        <w:rPr>
          <w:rFonts w:cs="Guttman Drogolin"/>
          <w:rtl/>
          <w:lang w:bidi="he-IL"/>
        </w:rPr>
        <w:fldChar w:fldCharType="begin"/>
      </w:r>
      <w:r w:rsidR="00CD0D56">
        <w:instrText xml:space="preserve"> XE "</w:instrText>
      </w:r>
      <w:r w:rsidR="00CD0D56" w:rsidRPr="00946D5F">
        <w:rPr>
          <w:rFonts w:hint="cs"/>
          <w:rtl/>
          <w:lang w:bidi="he-IL"/>
        </w:rPr>
        <w:instrText>קפילא</w:instrText>
      </w:r>
      <w:r w:rsidR="00CD0D56" w:rsidRPr="00946D5F">
        <w:rPr>
          <w:rtl/>
        </w:rPr>
        <w:instrText>:</w:instrText>
      </w:r>
      <w:r w:rsidR="00CD0D56" w:rsidRPr="00946D5F">
        <w:rPr>
          <w:rFonts w:hint="cs"/>
          <w:rtl/>
          <w:lang w:bidi="he-IL"/>
        </w:rPr>
        <w:instrText>אי מהני טעימתו למ</w:instrText>
      </w:r>
      <w:r w:rsidR="00CD0D56">
        <w:rPr>
          <w:rFonts w:eastAsiaTheme="minorEastAsia"/>
          <w:lang w:bidi="he-IL"/>
        </w:rPr>
        <w:instrText>\</w:instrText>
      </w:r>
      <w:r w:rsidR="00CD0D56" w:rsidRPr="00946D5F">
        <w:rPr>
          <w:rFonts w:hint="cs"/>
          <w:rtl/>
          <w:lang w:bidi="he-IL"/>
        </w:rPr>
        <w:instrText>"ד חענ</w:instrText>
      </w:r>
      <w:r w:rsidR="00CD0D56">
        <w:rPr>
          <w:rFonts w:eastAsiaTheme="minorEastAsia"/>
          <w:lang w:bidi="he-IL"/>
        </w:rPr>
        <w:instrText>\</w:instrText>
      </w:r>
      <w:r w:rsidR="00CD0D56" w:rsidRPr="00946D5F">
        <w:rPr>
          <w:rFonts w:hint="cs"/>
          <w:rtl/>
          <w:lang w:bidi="he-IL"/>
        </w:rPr>
        <w:instrText>"ן בשאר איסורים</w:instrText>
      </w:r>
      <w:r w:rsidR="00CD0D56">
        <w:instrText xml:space="preserve">" </w:instrText>
      </w:r>
      <w:r w:rsidR="00CD0D56">
        <w:rPr>
          <w:rFonts w:cs="Guttman Drogolin"/>
          <w:rtl/>
          <w:lang w:bidi="he-IL"/>
        </w:rPr>
        <w:fldChar w:fldCharType="end"/>
      </w:r>
      <w:r w:rsidR="00CD0D56">
        <w:rPr>
          <w:rFonts w:cs="Guttman Drogolin"/>
          <w:rtl/>
          <w:lang w:bidi="he-IL"/>
        </w:rPr>
        <w:fldChar w:fldCharType="begin"/>
      </w:r>
      <w:r w:rsidR="00CD0D56">
        <w:instrText xml:space="preserve"> XE "</w:instrText>
      </w:r>
      <w:r w:rsidR="00CD0D56" w:rsidRPr="00AB4002">
        <w:rPr>
          <w:rFonts w:hint="cs"/>
          <w:rtl/>
          <w:lang w:bidi="he-IL"/>
        </w:rPr>
        <w:instrText>חענ</w:instrText>
      </w:r>
      <w:r w:rsidR="00CD0D56">
        <w:rPr>
          <w:rFonts w:eastAsiaTheme="minorEastAsia"/>
          <w:lang w:bidi="he-IL"/>
        </w:rPr>
        <w:instrText>\</w:instrText>
      </w:r>
      <w:r w:rsidR="00CD0D56" w:rsidRPr="00AB4002">
        <w:rPr>
          <w:rFonts w:hint="cs"/>
          <w:rtl/>
          <w:lang w:bidi="he-IL"/>
        </w:rPr>
        <w:instrText>"ן בשאר איסורים</w:instrText>
      </w:r>
      <w:r w:rsidR="00CD0D56" w:rsidRPr="00AB4002">
        <w:rPr>
          <w:rtl/>
        </w:rPr>
        <w:instrText>:</w:instrText>
      </w:r>
      <w:r w:rsidR="00CD0D56" w:rsidRPr="00AB4002">
        <w:rPr>
          <w:rFonts w:hint="cs"/>
          <w:rtl/>
          <w:lang w:bidi="he-IL"/>
        </w:rPr>
        <w:instrText>אי אמרינן לי' למה מהני טעימת קפילא</w:instrText>
      </w:r>
      <w:r w:rsidR="00CD0D56">
        <w:instrText xml:space="preserve">" </w:instrText>
      </w:r>
      <w:r w:rsidR="00CD0D56">
        <w:rPr>
          <w:rFonts w:cs="Guttman Drogolin"/>
          <w:rtl/>
          <w:lang w:bidi="he-IL"/>
        </w:rPr>
        <w:fldChar w:fldCharType="end"/>
      </w:r>
      <w:r w:rsidR="00BB7C42" w:rsidRPr="00882F11">
        <w:rPr>
          <w:rFonts w:cs="Guttman Drogolin" w:hint="cs"/>
          <w:rtl/>
          <w:lang w:bidi="he-IL"/>
        </w:rPr>
        <w:t xml:space="preserve">אבל החוו"ד </w:t>
      </w:r>
      <w:r w:rsidR="00CD2D46" w:rsidRPr="00882F11">
        <w:rPr>
          <w:rFonts w:cs="Guttman Drogolin" w:hint="cs"/>
          <w:rtl/>
          <w:lang w:bidi="he-IL"/>
        </w:rPr>
        <w:t>שם, וכן בשו"ת חת"ס יו"ד סי' ע"א אות י"ב, נקטו שאמנם בחענ"ן בב"ח לא מהני קפילא, אבל בחענ"ן בשאר איסורים מהני קפילא. וטעמם ע"פ שיטת ר"י</w:t>
      </w:r>
      <w:r w:rsidR="00560ABE" w:rsidRPr="00882F11">
        <w:rPr>
          <w:rFonts w:cs="Guttman Drogolin" w:hint="cs"/>
          <w:rtl/>
          <w:lang w:bidi="he-IL"/>
        </w:rPr>
        <w:t xml:space="preserve"> שבמלח שבלע דם אין משערים בשיעור המלח</w:t>
      </w:r>
      <w:r w:rsidR="00CD2D46" w:rsidRPr="00882F11">
        <w:rPr>
          <w:rFonts w:cs="Guttman Drogolin" w:hint="cs"/>
          <w:rtl/>
          <w:lang w:bidi="he-IL"/>
        </w:rPr>
        <w:t xml:space="preserve"> </w:t>
      </w:r>
      <w:r w:rsidR="00560ABE" w:rsidRPr="00882F11">
        <w:rPr>
          <w:rFonts w:cs="Guttman Drogolin" w:hint="cs"/>
          <w:rtl/>
          <w:lang w:bidi="he-IL"/>
        </w:rPr>
        <w:t xml:space="preserve">אלא כאילו הי' דם, אבל אין אומרים </w:t>
      </w:r>
      <w:r w:rsidR="00560ABE" w:rsidRPr="00882F11">
        <w:rPr>
          <w:rFonts w:cs="Guttman Drogolin" w:hint="cs"/>
          <w:rtl/>
          <w:lang w:bidi="he-IL"/>
        </w:rPr>
        <w:lastRenderedPageBreak/>
        <w:t xml:space="preserve">שאפילו בס' לא בטיל כיון שמלח לטעמא עבידא. וא"כ הה"נ הכא דאע"ג שהרוטב הוא מינו ולא מהני לזה קפילא, מ"מ </w:t>
      </w:r>
      <w:r w:rsidR="00454F98" w:rsidRPr="00882F11">
        <w:rPr>
          <w:rFonts w:cs="Guttman Drogolin" w:hint="cs"/>
          <w:rtl/>
          <w:lang w:bidi="he-IL"/>
        </w:rPr>
        <w:t>א</w:t>
      </w:r>
      <w:r w:rsidR="00560ABE" w:rsidRPr="00882F11">
        <w:rPr>
          <w:rFonts w:cs="Guttman Drogolin" w:hint="cs"/>
          <w:rtl/>
          <w:lang w:bidi="he-IL"/>
        </w:rPr>
        <w:t xml:space="preserve">ין כח הבן יפה מכח האב, וכיון שלא נאסר ע"י אינו מינו, ובשיעור שלפנינו הרי אין האינו מינו נותן טעם, דהא טעמו קפילא, גם הרוטב שנאסר לא יהא חמור מיני' ואינו אוסר. </w:t>
      </w:r>
    </w:p>
    <w:p w:rsidR="006D44B6" w:rsidRPr="00882F11" w:rsidRDefault="00560ABE" w:rsidP="00BF1A26">
      <w:pPr>
        <w:bidi/>
        <w:jc w:val="both"/>
        <w:rPr>
          <w:rFonts w:cs="Guttman Drogolin"/>
          <w:rtl/>
          <w:lang w:bidi="he-IL"/>
        </w:rPr>
      </w:pPr>
      <w:r w:rsidRPr="00882F11">
        <w:rPr>
          <w:rFonts w:cs="Guttman Drogolin" w:hint="cs"/>
          <w:rtl/>
          <w:lang w:bidi="he-IL"/>
        </w:rPr>
        <w:t>ו</w:t>
      </w:r>
      <w:r w:rsidR="00801432" w:rsidRPr="00882F11">
        <w:rPr>
          <w:rFonts w:cs="Guttman Drogolin" w:hint="cs"/>
          <w:rtl/>
          <w:lang w:bidi="he-IL"/>
        </w:rPr>
        <w:t xml:space="preserve">ראיתי בשם </w:t>
      </w:r>
      <w:r w:rsidRPr="00882F11">
        <w:rPr>
          <w:rFonts w:cs="Guttman Drogolin" w:hint="cs"/>
          <w:rtl/>
          <w:lang w:bidi="he-IL"/>
        </w:rPr>
        <w:t xml:space="preserve">בשו"ת בית שלמה כתב על דברי החוו"ד שדבריו ברורים, ובאמת קשה להבין מאי קסבר רע"א, דאיך יתכן שיהא כח הבן יפה מכח האב. וכאן זה עוד יותר קשה, שהרי אין לנו שיעור רוטב כפי שיעור החתיכה שבלע הרוטב ממש, דהא לא יתכן שהחתיכה ילבע עד שיעורו ממש דהא איכא גם החתיכה. רק שאנחנו מחמירים לשער בכולו כיון שלא דיעינן כמה נפיק מיני'. וא"כ אם החתיכה עצמה לא נ"ט כ"ש הרוטב נבילה לא הי' נותן טעם אילו הי' כולו </w:t>
      </w:r>
      <w:r w:rsidR="00801432" w:rsidRPr="00882F11">
        <w:rPr>
          <w:rFonts w:cs="Guttman Drogolin" w:hint="cs"/>
          <w:rtl/>
          <w:lang w:bidi="he-IL"/>
        </w:rPr>
        <w:t xml:space="preserve">ממין החתיכה. ויעוין בהגהות אמרי ברוך שם על החוו"ד שהעיר דיתכן שאי אפשר לומר שרק בגלל שהאוסרו לא נתן טעם שלא הי' הרוטב נותן טעם אילו הי' מן האיסור, שהדברים האלו גורליים, ופעמים שיתן החתיכה טעם בתבשיל ופעמים לא. ולכן אין לנו הוכחה שלא הי' הנאסר נותן טעם אילו הי' כולו ממין האיסור. ולכן צריכים ששים. ומצאתי לרע"א בהגהות שו"ע מכת"י (מובא במהדו' מכון ירו') למש"ז סי' צ"ב ס"ק א', ששם כתב המש"ז כדברי רע"א הנ"ל דלא מהני קפילא לטעימת הרוטב היכא שהתבשל חתיכת שאר איסורים בתוך רוטב היתר. וכתב עליו רע"א דיתכן דלא מהני קפילא כה"ג ומטעם הנ"ל. ומ"מ רע"א לא הי' ברור לו כה"ג, ולכאורה היינו משום דאיכא למימר כאמר"ב הנ"ל. </w:t>
      </w:r>
    </w:p>
    <w:p w:rsidR="00176DC1" w:rsidRPr="00882F11" w:rsidRDefault="00176DC1" w:rsidP="000F6DEF">
      <w:pPr>
        <w:pStyle w:val="Heading1"/>
        <w:bidi/>
        <w:spacing w:before="0" w:line="240" w:lineRule="auto"/>
        <w:jc w:val="center"/>
        <w:rPr>
          <w:rFonts w:cs="Guttman Drogolin"/>
          <w:color w:val="auto"/>
          <w:sz w:val="24"/>
          <w:szCs w:val="24"/>
          <w:u w:val="single"/>
          <w:rtl/>
          <w:lang w:bidi="he-IL"/>
        </w:rPr>
      </w:pPr>
      <w:bookmarkStart w:id="86" w:name="_Toc496175346"/>
      <w:r w:rsidRPr="00882F11">
        <w:rPr>
          <w:rFonts w:cs="Guttman Drogolin" w:hint="cs"/>
          <w:color w:val="auto"/>
          <w:sz w:val="24"/>
          <w:szCs w:val="24"/>
          <w:u w:val="single"/>
          <w:rtl/>
          <w:lang w:bidi="he-IL"/>
        </w:rPr>
        <w:t>בביאור המחלוקת אי מצרפינן חצי זית בשר וחצי זית חלב</w:t>
      </w:r>
      <w:bookmarkEnd w:id="86"/>
    </w:p>
    <w:p w:rsidR="008F0191" w:rsidRPr="00882F11" w:rsidRDefault="00CD0D56" w:rsidP="008F0191">
      <w:pPr>
        <w:bidi/>
        <w:jc w:val="both"/>
        <w:rPr>
          <w:rFonts w:cs="Guttman Drogolin"/>
          <w:rtl/>
          <w:lang w:bidi="he-IL"/>
        </w:rPr>
      </w:pPr>
      <w:r>
        <w:rPr>
          <w:rFonts w:cs="Guttman Drogolin"/>
          <w:rtl/>
          <w:lang w:bidi="he-IL"/>
        </w:rPr>
        <w:fldChar w:fldCharType="begin"/>
      </w:r>
      <w:r>
        <w:instrText xml:space="preserve"> XE "</w:instrText>
      </w:r>
      <w:r w:rsidRPr="008B07A3">
        <w:rPr>
          <w:rFonts w:hint="cs"/>
          <w:rtl/>
          <w:lang w:bidi="he-IL"/>
        </w:rPr>
        <w:instrText>חצי שיעור</w:instrText>
      </w:r>
      <w:r w:rsidRPr="008B07A3">
        <w:rPr>
          <w:rtl/>
        </w:rPr>
        <w:instrText>:</w:instrText>
      </w:r>
      <w:r w:rsidRPr="008B07A3">
        <w:rPr>
          <w:rFonts w:hint="cs"/>
          <w:rtl/>
          <w:lang w:bidi="he-IL"/>
        </w:rPr>
        <w:instrText>ביאור המחלוקת אם יש איסור חצי שיעור בבשר בחלב</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CF2547">
        <w:rPr>
          <w:rFonts w:hint="cs"/>
          <w:rtl/>
          <w:lang w:bidi="he-IL"/>
        </w:rPr>
        <w:instrText>בשר בחלב</w:instrText>
      </w:r>
      <w:r w:rsidRPr="00CF2547">
        <w:rPr>
          <w:rtl/>
        </w:rPr>
        <w:instrText>:</w:instrText>
      </w:r>
      <w:r w:rsidRPr="00CF2547">
        <w:rPr>
          <w:rFonts w:hint="cs"/>
          <w:rtl/>
          <w:lang w:bidi="he-IL"/>
        </w:rPr>
        <w:instrText>אם יש שיעור לחיוב</w:instrText>
      </w:r>
      <w:r>
        <w:instrText xml:space="preserve">" </w:instrText>
      </w:r>
      <w:r>
        <w:rPr>
          <w:rFonts w:cs="Guttman Drogolin"/>
          <w:rtl/>
          <w:lang w:bidi="he-IL"/>
        </w:rPr>
        <w:fldChar w:fldCharType="end"/>
      </w:r>
      <w:r w:rsidR="00176DC1" w:rsidRPr="00882F11">
        <w:rPr>
          <w:rFonts w:cs="Guttman Drogolin" w:hint="cs"/>
          <w:rtl/>
          <w:lang w:bidi="he-IL"/>
        </w:rPr>
        <w:t xml:space="preserve">הגמ' </w:t>
      </w:r>
      <w:r w:rsidR="00F61B69" w:rsidRPr="00882F11">
        <w:rPr>
          <w:rFonts w:cs="Guttman Drogolin" w:hint="cs"/>
          <w:rtl/>
          <w:lang w:bidi="he-IL"/>
        </w:rPr>
        <w:t>ב</w:t>
      </w:r>
      <w:r w:rsidR="00176DC1" w:rsidRPr="00882F11">
        <w:rPr>
          <w:rFonts w:cs="Guttman Drogolin" w:hint="cs"/>
          <w:rtl/>
          <w:lang w:bidi="he-IL"/>
        </w:rPr>
        <w:t>המשך מביאה</w:t>
      </w:r>
      <w:r w:rsidR="00952EE8" w:rsidRPr="00882F11">
        <w:rPr>
          <w:rFonts w:cs="Guttman Drogolin" w:hint="cs"/>
          <w:rtl/>
          <w:lang w:bidi="he-IL"/>
        </w:rPr>
        <w:t xml:space="preserve"> המחלוקת בין רב ללוי בדין צירוף,</w:t>
      </w:r>
      <w:r w:rsidR="00801432" w:rsidRPr="00882F11">
        <w:rPr>
          <w:rFonts w:cs="Guttman Drogolin" w:hint="cs"/>
          <w:rtl/>
          <w:lang w:bidi="he-IL"/>
        </w:rPr>
        <w:t xml:space="preserve"> </w:t>
      </w:r>
      <w:r w:rsidR="00952EE8" w:rsidRPr="00882F11">
        <w:rPr>
          <w:rFonts w:cs="Guttman Drogolin" w:hint="cs"/>
          <w:rtl/>
          <w:lang w:bidi="he-IL"/>
        </w:rPr>
        <w:t>שרב</w:t>
      </w:r>
      <w:r w:rsidR="00952EE8" w:rsidRPr="00882F11">
        <w:rPr>
          <w:rFonts w:cs="Guttman Drogolin"/>
          <w:rtl/>
          <w:lang w:bidi="he-IL"/>
        </w:rPr>
        <w:t xml:space="preserve"> </w:t>
      </w:r>
      <w:r w:rsidR="00952EE8" w:rsidRPr="00882F11">
        <w:rPr>
          <w:rFonts w:cs="Guttman Drogolin" w:hint="cs"/>
          <w:rtl/>
          <w:lang w:bidi="he-IL"/>
        </w:rPr>
        <w:t>סבר שלוקה</w:t>
      </w:r>
      <w:r w:rsidR="00952EE8" w:rsidRPr="00882F11">
        <w:rPr>
          <w:rFonts w:cs="Guttman Drogolin"/>
          <w:rtl/>
          <w:lang w:bidi="he-IL"/>
        </w:rPr>
        <w:t xml:space="preserve"> </w:t>
      </w:r>
      <w:r w:rsidR="00952EE8" w:rsidRPr="00882F11">
        <w:rPr>
          <w:rFonts w:cs="Guttman Drogolin" w:hint="cs"/>
          <w:rtl/>
          <w:lang w:bidi="he-IL"/>
        </w:rPr>
        <w:t>על</w:t>
      </w:r>
      <w:r w:rsidR="00952EE8" w:rsidRPr="00882F11">
        <w:rPr>
          <w:rFonts w:cs="Guttman Drogolin"/>
          <w:rtl/>
          <w:lang w:bidi="he-IL"/>
        </w:rPr>
        <w:t xml:space="preserve"> </w:t>
      </w:r>
      <w:r w:rsidR="00952EE8" w:rsidRPr="00882F11">
        <w:rPr>
          <w:rFonts w:cs="Guttman Drogolin" w:hint="cs"/>
          <w:rtl/>
          <w:lang w:bidi="he-IL"/>
        </w:rPr>
        <w:t>אכילתו</w:t>
      </w:r>
      <w:r w:rsidR="00952EE8" w:rsidRPr="00882F11">
        <w:rPr>
          <w:rFonts w:cs="Guttman Drogolin"/>
          <w:rtl/>
          <w:lang w:bidi="he-IL"/>
        </w:rPr>
        <w:t xml:space="preserve"> </w:t>
      </w:r>
      <w:r w:rsidR="00952EE8" w:rsidRPr="00882F11">
        <w:rPr>
          <w:rFonts w:cs="Guttman Drogolin" w:hint="cs"/>
          <w:rtl/>
          <w:lang w:bidi="he-IL"/>
        </w:rPr>
        <w:t>ואינו</w:t>
      </w:r>
      <w:r w:rsidR="00952EE8" w:rsidRPr="00882F11">
        <w:rPr>
          <w:rFonts w:cs="Guttman Drogolin"/>
          <w:rtl/>
          <w:lang w:bidi="he-IL"/>
        </w:rPr>
        <w:t xml:space="preserve"> </w:t>
      </w:r>
      <w:r w:rsidR="00952EE8" w:rsidRPr="00882F11">
        <w:rPr>
          <w:rFonts w:cs="Guttman Drogolin" w:hint="cs"/>
          <w:rtl/>
          <w:lang w:bidi="he-IL"/>
        </w:rPr>
        <w:t>לוקה</w:t>
      </w:r>
      <w:r w:rsidR="00952EE8" w:rsidRPr="00882F11">
        <w:rPr>
          <w:rFonts w:cs="Guttman Drogolin"/>
          <w:rtl/>
          <w:lang w:bidi="he-IL"/>
        </w:rPr>
        <w:t xml:space="preserve"> </w:t>
      </w:r>
      <w:r w:rsidR="00952EE8" w:rsidRPr="00882F11">
        <w:rPr>
          <w:rFonts w:cs="Guttman Drogolin" w:hint="cs"/>
          <w:rtl/>
          <w:lang w:bidi="he-IL"/>
        </w:rPr>
        <w:t>על</w:t>
      </w:r>
      <w:r w:rsidR="00952EE8" w:rsidRPr="00882F11">
        <w:rPr>
          <w:rFonts w:cs="Guttman Drogolin"/>
          <w:rtl/>
          <w:lang w:bidi="he-IL"/>
        </w:rPr>
        <w:t xml:space="preserve"> </w:t>
      </w:r>
      <w:r w:rsidR="00952EE8" w:rsidRPr="00882F11">
        <w:rPr>
          <w:rFonts w:cs="Guttman Drogolin" w:hint="cs"/>
          <w:rtl/>
          <w:lang w:bidi="he-IL"/>
        </w:rPr>
        <w:t>בשולו</w:t>
      </w:r>
      <w:r w:rsidR="00952EE8" w:rsidRPr="00882F11">
        <w:rPr>
          <w:rFonts w:cs="Guttman Drogolin"/>
          <w:rtl/>
          <w:lang w:bidi="he-IL"/>
        </w:rPr>
        <w:t xml:space="preserve"> </w:t>
      </w:r>
      <w:r w:rsidR="00952EE8" w:rsidRPr="00882F11">
        <w:rPr>
          <w:rFonts w:cs="Guttman Drogolin" w:hint="cs"/>
          <w:rtl/>
          <w:lang w:bidi="he-IL"/>
        </w:rPr>
        <w:t>ולוי</w:t>
      </w:r>
      <w:r w:rsidR="00952EE8" w:rsidRPr="00882F11">
        <w:rPr>
          <w:rFonts w:cs="Guttman Drogolin"/>
          <w:rtl/>
          <w:lang w:bidi="he-IL"/>
        </w:rPr>
        <w:t xml:space="preserve"> </w:t>
      </w:r>
      <w:r w:rsidR="00952EE8" w:rsidRPr="00882F11">
        <w:rPr>
          <w:rFonts w:cs="Guttman Drogolin" w:hint="cs"/>
          <w:rtl/>
          <w:lang w:bidi="he-IL"/>
        </w:rPr>
        <w:t>סבר</w:t>
      </w:r>
      <w:r w:rsidR="00952EE8" w:rsidRPr="00882F11">
        <w:rPr>
          <w:rFonts w:cs="Guttman Drogolin"/>
          <w:rtl/>
          <w:lang w:bidi="he-IL"/>
        </w:rPr>
        <w:t xml:space="preserve"> </w:t>
      </w:r>
      <w:r w:rsidR="00952EE8" w:rsidRPr="00882F11">
        <w:rPr>
          <w:rFonts w:cs="Guttman Drogolin" w:hint="cs"/>
          <w:rtl/>
          <w:lang w:bidi="he-IL"/>
        </w:rPr>
        <w:t>שאף</w:t>
      </w:r>
      <w:r w:rsidR="00952EE8" w:rsidRPr="00882F11">
        <w:rPr>
          <w:rFonts w:cs="Guttman Drogolin"/>
          <w:rtl/>
          <w:lang w:bidi="he-IL"/>
        </w:rPr>
        <w:t xml:space="preserve"> </w:t>
      </w:r>
      <w:r w:rsidR="00952EE8" w:rsidRPr="00882F11">
        <w:rPr>
          <w:rFonts w:cs="Guttman Drogolin" w:hint="cs"/>
          <w:rtl/>
          <w:lang w:bidi="he-IL"/>
        </w:rPr>
        <w:t>לוקה</w:t>
      </w:r>
      <w:r w:rsidR="00952EE8" w:rsidRPr="00882F11">
        <w:rPr>
          <w:rFonts w:cs="Guttman Drogolin"/>
          <w:rtl/>
          <w:lang w:bidi="he-IL"/>
        </w:rPr>
        <w:t xml:space="preserve"> </w:t>
      </w:r>
      <w:r w:rsidR="00952EE8" w:rsidRPr="00882F11">
        <w:rPr>
          <w:rFonts w:cs="Guttman Drogolin" w:hint="cs"/>
          <w:rtl/>
          <w:lang w:bidi="he-IL"/>
        </w:rPr>
        <w:t>על</w:t>
      </w:r>
      <w:r w:rsidR="00952EE8" w:rsidRPr="00882F11">
        <w:rPr>
          <w:rFonts w:cs="Guttman Drogolin"/>
          <w:rtl/>
          <w:lang w:bidi="he-IL"/>
        </w:rPr>
        <w:t xml:space="preserve"> </w:t>
      </w:r>
      <w:r w:rsidR="00952EE8" w:rsidRPr="00882F11">
        <w:rPr>
          <w:rFonts w:cs="Guttman Drogolin" w:hint="cs"/>
          <w:rtl/>
          <w:lang w:bidi="he-IL"/>
        </w:rPr>
        <w:t>בשולו.</w:t>
      </w:r>
      <w:r w:rsidR="00952EE8" w:rsidRPr="00882F11">
        <w:rPr>
          <w:rFonts w:cs="Guttman Drogolin"/>
          <w:rtl/>
          <w:lang w:bidi="he-IL"/>
        </w:rPr>
        <w:t xml:space="preserve"> </w:t>
      </w:r>
      <w:r w:rsidR="00952EE8" w:rsidRPr="00882F11">
        <w:rPr>
          <w:rFonts w:cs="Guttman Drogolin" w:hint="cs"/>
          <w:rtl/>
          <w:lang w:bidi="he-IL"/>
        </w:rPr>
        <w:t xml:space="preserve">ושואלת הגמ' לשיטת רב מהו הטעם לחלק בין צירוף לענין </w:t>
      </w:r>
      <w:r w:rsidR="00952EE8" w:rsidRPr="00882F11">
        <w:rPr>
          <w:rFonts w:cs="Guttman Drogolin" w:hint="cs"/>
          <w:rtl/>
          <w:lang w:bidi="he-IL"/>
        </w:rPr>
        <w:lastRenderedPageBreak/>
        <w:t>בישול לצירוף לענין אכילה. ומתרצת הגמ' דמיירי "בבא</w:t>
      </w:r>
      <w:r w:rsidR="00952EE8" w:rsidRPr="00882F11">
        <w:rPr>
          <w:rFonts w:cs="Guttman Drogolin"/>
          <w:rtl/>
          <w:lang w:bidi="he-IL"/>
        </w:rPr>
        <w:t xml:space="preserve"> </w:t>
      </w:r>
      <w:r w:rsidR="00952EE8" w:rsidRPr="00882F11">
        <w:rPr>
          <w:rFonts w:cs="Guttman Drogolin" w:hint="cs"/>
          <w:rtl/>
          <w:lang w:bidi="he-IL"/>
        </w:rPr>
        <w:t>מיורה</w:t>
      </w:r>
      <w:r w:rsidR="00952EE8" w:rsidRPr="00882F11">
        <w:rPr>
          <w:rFonts w:cs="Guttman Drogolin"/>
          <w:rtl/>
          <w:lang w:bidi="he-IL"/>
        </w:rPr>
        <w:t xml:space="preserve"> </w:t>
      </w:r>
      <w:r w:rsidR="00952EE8" w:rsidRPr="00882F11">
        <w:rPr>
          <w:rFonts w:cs="Guttman Drogolin" w:hint="cs"/>
          <w:rtl/>
          <w:lang w:bidi="he-IL"/>
        </w:rPr>
        <w:t xml:space="preserve">גדולה". ופירש"י </w:t>
      </w:r>
      <w:r w:rsidR="002F470A" w:rsidRPr="00882F11">
        <w:rPr>
          <w:rFonts w:cs="Guttman Drogolin" w:hint="cs"/>
          <w:rtl/>
          <w:lang w:bidi="he-IL"/>
        </w:rPr>
        <w:t xml:space="preserve">שלענין מלאכת בישול אינו חייב אא"כ </w:t>
      </w:r>
      <w:r w:rsidR="00BF1A26" w:rsidRPr="00882F11">
        <w:rPr>
          <w:rFonts w:cs="Guttman Drogolin" w:hint="cs"/>
          <w:rtl/>
          <w:lang w:bidi="he-IL"/>
        </w:rPr>
        <w:t>יש שיעור של חלב ושיעור של בשר</w:t>
      </w:r>
      <w:r w:rsidR="008F0191" w:rsidRPr="00882F11">
        <w:rPr>
          <w:rFonts w:cs="Guttman Drogolin" w:hint="cs"/>
          <w:rtl/>
          <w:lang w:bidi="he-IL"/>
        </w:rPr>
        <w:t xml:space="preserve"> (וע' בחי' רע"א שהעיר בזה שיש שיעור כזית לבישול חלב, וכן שמצטרפין אוכלין ומשקין)</w:t>
      </w:r>
      <w:r w:rsidR="00BF1A26" w:rsidRPr="00882F11">
        <w:rPr>
          <w:rFonts w:cs="Guttman Drogolin" w:hint="cs"/>
          <w:rtl/>
          <w:lang w:bidi="he-IL"/>
        </w:rPr>
        <w:t>, אבל אחרי שכבר נתבשלו כשיעור שוב</w:t>
      </w:r>
      <w:r w:rsidR="008F0191" w:rsidRPr="00882F11">
        <w:rPr>
          <w:rFonts w:cs="Guttman Drogolin" w:hint="cs"/>
          <w:rtl/>
          <w:lang w:bidi="he-IL"/>
        </w:rPr>
        <w:t xml:space="preserve"> </w:t>
      </w:r>
      <w:r w:rsidR="00BF1A26" w:rsidRPr="00882F11">
        <w:rPr>
          <w:rFonts w:cs="Guttman Drogolin" w:hint="cs"/>
          <w:rtl/>
          <w:lang w:bidi="he-IL"/>
        </w:rPr>
        <w:t>מצטרפי וחייב אאכילת חצי זית בשר וחצי זית חלב.</w:t>
      </w:r>
      <w:r w:rsidR="008F0191" w:rsidRPr="00882F11">
        <w:rPr>
          <w:rFonts w:cs="Guttman Drogolin" w:hint="cs"/>
          <w:rtl/>
          <w:lang w:bidi="he-IL"/>
        </w:rPr>
        <w:t xml:space="preserve"> ונראה לבאר סברתו, שלעולם בעינן שיעור לאיסור בשר בחלב, ולכן אינו עובר אלא כשמבשל שיעור שלם משניהם. אבל באיסור אכילה אין גדר האיסור אלא שאוכל דבר שהתבשל באיסור</w:t>
      </w:r>
      <w:r w:rsidR="00F61B69" w:rsidRPr="00882F11">
        <w:rPr>
          <w:rStyle w:val="FootnoteReference"/>
          <w:rFonts w:cs="Guttman Drogolin"/>
          <w:rtl/>
          <w:lang w:bidi="he-IL"/>
        </w:rPr>
        <w:footnoteReference w:id="101"/>
      </w:r>
      <w:r w:rsidR="008F0191" w:rsidRPr="00882F11">
        <w:rPr>
          <w:rFonts w:cs="Guttman Drogolin" w:hint="cs"/>
          <w:rtl/>
          <w:lang w:bidi="he-IL"/>
        </w:rPr>
        <w:t>, ולכן כיון שהי' שיעור בשעת בישול כבר נאסר באכילה, וממילא אסור לאכול כזית ממנו. וחידוש הוא.</w:t>
      </w:r>
    </w:p>
    <w:p w:rsidR="0057009F" w:rsidRPr="00882F11" w:rsidRDefault="008F0191" w:rsidP="008F0191">
      <w:pPr>
        <w:bidi/>
        <w:jc w:val="both"/>
        <w:rPr>
          <w:rFonts w:cs="Guttman Drogolin"/>
          <w:rtl/>
          <w:lang w:bidi="he-IL"/>
        </w:rPr>
      </w:pPr>
      <w:r w:rsidRPr="00882F11">
        <w:rPr>
          <w:rFonts w:cs="Guttman Drogolin" w:hint="cs"/>
          <w:rtl/>
          <w:lang w:bidi="he-IL"/>
        </w:rPr>
        <w:t xml:space="preserve">וראיתי בס' שחיטת חולין </w:t>
      </w:r>
      <w:r w:rsidR="008310A4" w:rsidRPr="00882F11">
        <w:rPr>
          <w:rFonts w:cs="Guttman Drogolin" w:hint="cs"/>
          <w:rtl/>
          <w:lang w:bidi="he-IL"/>
        </w:rPr>
        <w:t>שהעיר שהרי מתני' דטיפת חלב קשה לרב, דהא התם ליכא אלא טיפה ומ"מ קאמר רב ע"י טיפת חלב בלבד נעשה נבילה, ואין לדחות דהתם עכ"פ בבשר יש כזית, דהא מבואר ברש"י כאן דבעינן שיעור של</w:t>
      </w:r>
      <w:r w:rsidR="0057009F" w:rsidRPr="00882F11">
        <w:rPr>
          <w:rFonts w:cs="Guttman Drogolin" w:hint="cs"/>
          <w:rtl/>
          <w:lang w:bidi="he-IL"/>
        </w:rPr>
        <w:t>ם</w:t>
      </w:r>
      <w:r w:rsidR="008310A4" w:rsidRPr="00882F11">
        <w:rPr>
          <w:rFonts w:cs="Guttman Drogolin" w:hint="cs"/>
          <w:rtl/>
          <w:lang w:bidi="he-IL"/>
        </w:rPr>
        <w:t xml:space="preserve"> של תרוי</w:t>
      </w:r>
      <w:r w:rsidR="0057009F" w:rsidRPr="00882F11">
        <w:rPr>
          <w:rFonts w:cs="Guttman Drogolin" w:hint="cs"/>
          <w:rtl/>
          <w:lang w:bidi="he-IL"/>
        </w:rPr>
        <w:t xml:space="preserve">יהו. ועוד קשה שהרי הגמ' מקשה אדרב מברייתא שמבואר בה שאם כזית בשר נפל לתוך יורה של חלב הבשר אסור והחלב מותר, ומקשה הגמ' דהא החלב חלב נביילה היא. וצ"ע שהרי לא נפל אלא כזית בשר ולא יתכן שיבלע בה כזית שלם של חלב, וא"כ איך יאסר החלב מעיקרא כיון שאין בה כזית. והביע ממל"ה לומר דאה"נ ואינם חענ"ן אלא מדבנן. </w:t>
      </w:r>
    </w:p>
    <w:p w:rsidR="002A73E8" w:rsidRPr="00882F11" w:rsidRDefault="0057009F" w:rsidP="00116EC1">
      <w:pPr>
        <w:bidi/>
        <w:jc w:val="both"/>
        <w:rPr>
          <w:rFonts w:cs="Guttman Drogolin"/>
          <w:rtl/>
          <w:lang w:bidi="he-IL"/>
        </w:rPr>
      </w:pPr>
      <w:r w:rsidRPr="00882F11">
        <w:rPr>
          <w:rFonts w:cs="Guttman Drogolin" w:hint="cs"/>
          <w:rtl/>
          <w:lang w:bidi="he-IL"/>
        </w:rPr>
        <w:t xml:space="preserve">וברגמ"ה מבואר פירוש אחר בגמ'. שביאר הא דבא מיורה גדולה </w:t>
      </w:r>
      <w:r w:rsidR="001973E1" w:rsidRPr="00882F11">
        <w:rPr>
          <w:rFonts w:cs="Guttman Drogolin" w:hint="cs"/>
          <w:rtl/>
          <w:lang w:bidi="he-IL"/>
        </w:rPr>
        <w:t>"בבא מיורה גדולה של בשר בחלב מבושל ולקח חצי זית מאותו בשר וחצי זית מאותו חלב וחזר ובישלן פעם אחת אבישולו לא לקי דכבר מבושל אאכילה לקי דאכיל כזית איסור". ומשמע שלעולם אם מבשל חצי זית חלב עם חצי זית חלב עובר משו</w:t>
      </w:r>
      <w:r w:rsidR="001127FA" w:rsidRPr="00882F11">
        <w:rPr>
          <w:rFonts w:cs="Guttman Drogolin" w:hint="cs"/>
          <w:rtl/>
          <w:lang w:bidi="he-IL"/>
        </w:rPr>
        <w:t>ם</w:t>
      </w:r>
      <w:r w:rsidR="001973E1" w:rsidRPr="00882F11">
        <w:rPr>
          <w:rFonts w:cs="Guttman Drogolin" w:hint="cs"/>
          <w:rtl/>
          <w:lang w:bidi="he-IL"/>
        </w:rPr>
        <w:t xml:space="preserve"> בישול כמו שעובר משום אכילה, רק כוונת הגמ' לומר דמיירי בכה"ג שכבר נתבשלו, ולכן אינו עובר על הבישול</w:t>
      </w:r>
      <w:r w:rsidR="001973E1" w:rsidRPr="00882F11">
        <w:rPr>
          <w:rStyle w:val="FootnoteReference"/>
          <w:rFonts w:cs="Guttman Drogolin"/>
          <w:rtl/>
          <w:lang w:bidi="he-IL"/>
        </w:rPr>
        <w:footnoteReference w:id="102"/>
      </w:r>
      <w:r w:rsidR="001973E1" w:rsidRPr="00882F11">
        <w:rPr>
          <w:rFonts w:cs="Guttman Drogolin" w:hint="cs"/>
          <w:rtl/>
          <w:lang w:bidi="he-IL"/>
        </w:rPr>
        <w:t>. ומדחזינן שאין בישול אחר בישול בבשר בחלב, רואים שהטעם שאין בישו</w:t>
      </w:r>
      <w:r w:rsidR="00BE128F" w:rsidRPr="00882F11">
        <w:rPr>
          <w:rFonts w:cs="Guttman Drogolin" w:hint="cs"/>
          <w:rtl/>
          <w:lang w:bidi="he-IL"/>
        </w:rPr>
        <w:t xml:space="preserve">ל אחר בישול הוא דבר </w:t>
      </w:r>
      <w:r w:rsidR="00BE128F" w:rsidRPr="00882F11">
        <w:rPr>
          <w:rFonts w:cs="Guttman Drogolin" w:hint="cs"/>
          <w:rtl/>
          <w:lang w:bidi="he-IL"/>
        </w:rPr>
        <w:lastRenderedPageBreak/>
        <w:t>מציאותי וכמו שביארנו כשלמדנו הסוגיות של בישול בשבת</w:t>
      </w:r>
      <w:r w:rsidR="00BE128F" w:rsidRPr="00882F11">
        <w:rPr>
          <w:rStyle w:val="FootnoteReference"/>
          <w:rFonts w:cs="Guttman Drogolin"/>
          <w:rtl/>
          <w:lang w:bidi="he-IL"/>
        </w:rPr>
        <w:footnoteReference w:id="103"/>
      </w:r>
      <w:r w:rsidR="00BE128F" w:rsidRPr="00882F11">
        <w:rPr>
          <w:rFonts w:cs="Guttman Drogolin" w:hint="cs"/>
          <w:rtl/>
          <w:lang w:bidi="he-IL"/>
        </w:rPr>
        <w:t>. ונראה להוסיף שהרי חלב לח הוא, ובשבת י"א שיש בישול אחר בישול בל</w:t>
      </w:r>
      <w:r w:rsidR="00116EC1" w:rsidRPr="00882F11">
        <w:rPr>
          <w:rFonts w:cs="Guttman Drogolin" w:hint="cs"/>
          <w:rtl/>
          <w:lang w:bidi="he-IL"/>
        </w:rPr>
        <w:t>ח</w:t>
      </w:r>
      <w:r w:rsidR="00BE128F" w:rsidRPr="00882F11">
        <w:rPr>
          <w:rFonts w:cs="Guttman Drogolin" w:hint="cs"/>
          <w:rtl/>
          <w:lang w:bidi="he-IL"/>
        </w:rPr>
        <w:t xml:space="preserve">. אמנם נראה פשוט שיש לחלק ביניהם, שהרי בבישול אחר בישול בלח י"א שהטעם שחייבין עליו משום שהיסוד של מלאכת בישול לח בשבת משום זה שחיממו, אבל </w:t>
      </w:r>
      <w:r w:rsidR="002A73E8" w:rsidRPr="00882F11">
        <w:rPr>
          <w:rFonts w:cs="Guttman Drogolin" w:hint="cs"/>
          <w:rtl/>
          <w:lang w:bidi="he-IL"/>
        </w:rPr>
        <w:t>בבישול בשר בחלב מהות האיסור הוא יצירת התבשיל של בשר עם טעם חלב או חלב עם טעם בשר. ולכן אם החלב כבר קיבל טעם בשר שוב לא שייך לגבי' האיסור של בישול בב"ח</w:t>
      </w:r>
      <w:r w:rsidR="002A73E8" w:rsidRPr="00882F11">
        <w:rPr>
          <w:rStyle w:val="FootnoteReference"/>
          <w:rFonts w:cs="Guttman Drogolin"/>
          <w:rtl/>
          <w:lang w:bidi="he-IL"/>
        </w:rPr>
        <w:footnoteReference w:id="104"/>
      </w:r>
      <w:r w:rsidR="002A73E8" w:rsidRPr="00882F11">
        <w:rPr>
          <w:rFonts w:cs="Guttman Drogolin" w:hint="cs"/>
          <w:rtl/>
          <w:lang w:bidi="he-IL"/>
        </w:rPr>
        <w:t>. ומ"מ יל"ע לפי זה מהו ש</w:t>
      </w:r>
      <w:r w:rsidR="00116EC1" w:rsidRPr="00882F11">
        <w:rPr>
          <w:rFonts w:cs="Guttman Drogolin" w:hint="cs"/>
          <w:rtl/>
          <w:lang w:bidi="he-IL"/>
        </w:rPr>
        <w:t>י</w:t>
      </w:r>
      <w:r w:rsidR="002A73E8" w:rsidRPr="00882F11">
        <w:rPr>
          <w:rFonts w:cs="Guttman Drogolin" w:hint="cs"/>
          <w:rtl/>
          <w:lang w:bidi="he-IL"/>
        </w:rPr>
        <w:t xml:space="preserve">טת לוי בזה וע"ש בשחט"ח מש"כ בזה. </w:t>
      </w:r>
    </w:p>
    <w:p w:rsidR="002A73E8" w:rsidRPr="00882F11" w:rsidRDefault="002A73E8" w:rsidP="0078079C">
      <w:pPr>
        <w:pStyle w:val="Heading1"/>
        <w:bidi/>
        <w:spacing w:before="0" w:line="360" w:lineRule="auto"/>
        <w:jc w:val="center"/>
        <w:rPr>
          <w:rFonts w:cs="Guttman Drogolin"/>
          <w:color w:val="auto"/>
          <w:sz w:val="24"/>
          <w:szCs w:val="24"/>
          <w:u w:val="single"/>
          <w:rtl/>
          <w:lang w:bidi="he-IL"/>
        </w:rPr>
      </w:pPr>
      <w:bookmarkStart w:id="87" w:name="_Toc496175347"/>
      <w:r w:rsidRPr="00882F11">
        <w:rPr>
          <w:rFonts w:cs="Guttman Drogolin" w:hint="cs"/>
          <w:color w:val="auto"/>
          <w:sz w:val="24"/>
          <w:szCs w:val="24"/>
          <w:u w:val="single"/>
          <w:rtl/>
          <w:lang w:bidi="he-IL"/>
        </w:rPr>
        <w:t>שיעור בישול הנצרך לאיסור בישול בב"ח</w:t>
      </w:r>
      <w:bookmarkEnd w:id="87"/>
    </w:p>
    <w:p w:rsidR="00575A9C" w:rsidRPr="00882F11" w:rsidRDefault="00280678" w:rsidP="00575A9C">
      <w:pPr>
        <w:bidi/>
        <w:jc w:val="both"/>
        <w:rPr>
          <w:rFonts w:cs="Guttman Drogolin"/>
          <w:rtl/>
          <w:lang w:bidi="he-IL"/>
        </w:rPr>
      </w:pPr>
      <w:r>
        <w:rPr>
          <w:rFonts w:cs="Guttman Drogolin"/>
          <w:rtl/>
          <w:lang w:bidi="he-IL"/>
        </w:rPr>
        <w:fldChar w:fldCharType="begin"/>
      </w:r>
      <w:r>
        <w:instrText xml:space="preserve"> XE "</w:instrText>
      </w:r>
      <w:r w:rsidRPr="002952DE">
        <w:rPr>
          <w:rFonts w:hint="cs"/>
          <w:rtl/>
          <w:lang w:bidi="he-IL"/>
        </w:rPr>
        <w:instrText>בשר בחלב - איסור בישול</w:instrText>
      </w:r>
      <w:r w:rsidRPr="002952DE">
        <w:rPr>
          <w:rtl/>
        </w:rPr>
        <w:instrText>:</w:instrText>
      </w:r>
      <w:r w:rsidRPr="002952DE">
        <w:rPr>
          <w:rFonts w:hint="cs"/>
          <w:rtl/>
          <w:lang w:bidi="he-IL"/>
        </w:rPr>
        <w:instrText>ש</w:instrText>
      </w:r>
      <w:r w:rsidR="00564A2B">
        <w:rPr>
          <w:rFonts w:hint="cs"/>
          <w:rtl/>
          <w:lang w:bidi="he-IL"/>
        </w:rPr>
        <w:instrText>י</w:instrText>
      </w:r>
      <w:r w:rsidRPr="002952DE">
        <w:rPr>
          <w:rFonts w:hint="cs"/>
          <w:rtl/>
          <w:lang w:bidi="he-IL"/>
        </w:rPr>
        <w:instrText>עור האיסור</w:instrText>
      </w:r>
      <w:r>
        <w:instrText xml:space="preserve">" </w:instrText>
      </w:r>
      <w:r>
        <w:rPr>
          <w:rFonts w:cs="Guttman Drogolin"/>
          <w:rtl/>
          <w:lang w:bidi="he-IL"/>
        </w:rPr>
        <w:fldChar w:fldCharType="end"/>
      </w:r>
      <w:r w:rsidR="002A73E8" w:rsidRPr="00882F11">
        <w:rPr>
          <w:rFonts w:cs="Guttman Drogolin" w:hint="cs"/>
          <w:rtl/>
          <w:lang w:bidi="he-IL"/>
        </w:rPr>
        <w:t>הגמ' מביאה ברייתא של לוי דלוקה על בישולו ומסיק "ובאי</w:t>
      </w:r>
      <w:r w:rsidR="002A73E8" w:rsidRPr="00882F11">
        <w:rPr>
          <w:rFonts w:cs="Guttman Drogolin"/>
          <w:rtl/>
          <w:lang w:bidi="he-IL"/>
        </w:rPr>
        <w:t xml:space="preserve"> </w:t>
      </w:r>
      <w:r w:rsidR="002A73E8" w:rsidRPr="00882F11">
        <w:rPr>
          <w:rFonts w:cs="Guttman Drogolin" w:hint="cs"/>
          <w:rtl/>
          <w:lang w:bidi="he-IL"/>
        </w:rPr>
        <w:t>זה</w:t>
      </w:r>
      <w:r w:rsidR="002A73E8" w:rsidRPr="00882F11">
        <w:rPr>
          <w:rFonts w:cs="Guttman Drogolin"/>
          <w:rtl/>
          <w:lang w:bidi="he-IL"/>
        </w:rPr>
        <w:t xml:space="preserve"> </w:t>
      </w:r>
      <w:r w:rsidR="002A73E8" w:rsidRPr="00882F11">
        <w:rPr>
          <w:rFonts w:cs="Guttman Drogolin" w:hint="cs"/>
          <w:rtl/>
          <w:lang w:bidi="he-IL"/>
        </w:rPr>
        <w:t>בשול</w:t>
      </w:r>
      <w:r w:rsidR="002A73E8" w:rsidRPr="00882F11">
        <w:rPr>
          <w:rFonts w:cs="Guttman Drogolin"/>
          <w:rtl/>
          <w:lang w:bidi="he-IL"/>
        </w:rPr>
        <w:t xml:space="preserve"> </w:t>
      </w:r>
      <w:r w:rsidR="002A73E8" w:rsidRPr="00882F11">
        <w:rPr>
          <w:rFonts w:cs="Guttman Drogolin" w:hint="cs"/>
          <w:rtl/>
          <w:lang w:bidi="he-IL"/>
        </w:rPr>
        <w:t>אמרו</w:t>
      </w:r>
      <w:r w:rsidR="002A73E8" w:rsidRPr="00882F11">
        <w:rPr>
          <w:rFonts w:cs="Guttman Drogolin"/>
          <w:rtl/>
          <w:lang w:bidi="he-IL"/>
        </w:rPr>
        <w:t xml:space="preserve"> </w:t>
      </w:r>
      <w:r w:rsidR="002A73E8" w:rsidRPr="00882F11">
        <w:rPr>
          <w:rFonts w:cs="Guttman Drogolin" w:hint="cs"/>
          <w:rtl/>
          <w:lang w:bidi="he-IL"/>
        </w:rPr>
        <w:t>בבשול</w:t>
      </w:r>
      <w:r w:rsidR="002A73E8" w:rsidRPr="00882F11">
        <w:rPr>
          <w:rFonts w:cs="Guttman Drogolin"/>
          <w:rtl/>
          <w:lang w:bidi="he-IL"/>
        </w:rPr>
        <w:t xml:space="preserve"> </w:t>
      </w:r>
      <w:r w:rsidR="002A73E8" w:rsidRPr="00882F11">
        <w:rPr>
          <w:rFonts w:cs="Guttman Drogolin" w:hint="cs"/>
          <w:rtl/>
          <w:lang w:bidi="he-IL"/>
        </w:rPr>
        <w:t>שאחרים</w:t>
      </w:r>
      <w:r w:rsidR="002A73E8" w:rsidRPr="00882F11">
        <w:rPr>
          <w:rFonts w:cs="Guttman Drogolin"/>
          <w:rtl/>
          <w:lang w:bidi="he-IL"/>
        </w:rPr>
        <w:t xml:space="preserve"> </w:t>
      </w:r>
      <w:r w:rsidR="002A73E8" w:rsidRPr="00882F11">
        <w:rPr>
          <w:rFonts w:cs="Guttman Drogolin" w:hint="cs"/>
          <w:rtl/>
          <w:lang w:bidi="he-IL"/>
        </w:rPr>
        <w:t>אוכלין</w:t>
      </w:r>
      <w:r w:rsidR="002A73E8" w:rsidRPr="00882F11">
        <w:rPr>
          <w:rFonts w:cs="Guttman Drogolin"/>
          <w:rtl/>
          <w:lang w:bidi="he-IL"/>
        </w:rPr>
        <w:t xml:space="preserve"> </w:t>
      </w:r>
      <w:r w:rsidR="002A73E8" w:rsidRPr="00882F11">
        <w:rPr>
          <w:rFonts w:cs="Guttman Drogolin" w:hint="cs"/>
          <w:rtl/>
          <w:lang w:bidi="he-IL"/>
        </w:rPr>
        <w:t>אותו". ופירש"י</w:t>
      </w:r>
      <w:r w:rsidR="002A73E8" w:rsidRPr="00882F11">
        <w:rPr>
          <w:rFonts w:cs="Guttman Drogolin"/>
          <w:rtl/>
          <w:lang w:bidi="he-IL"/>
        </w:rPr>
        <w:t xml:space="preserve"> </w:t>
      </w:r>
      <w:r w:rsidR="004F0F22" w:rsidRPr="00882F11">
        <w:rPr>
          <w:rFonts w:cs="Guttman Drogolin" w:hint="cs"/>
          <w:rtl/>
          <w:lang w:bidi="he-IL"/>
        </w:rPr>
        <w:t>"כלומר</w:t>
      </w:r>
      <w:r w:rsidR="004F0F22" w:rsidRPr="00882F11">
        <w:rPr>
          <w:rFonts w:cs="Guttman Drogolin"/>
          <w:rtl/>
          <w:lang w:bidi="he-IL"/>
        </w:rPr>
        <w:t xml:space="preserve"> </w:t>
      </w:r>
      <w:r w:rsidR="004F0F22" w:rsidRPr="00882F11">
        <w:rPr>
          <w:rFonts w:cs="Guttman Drogolin" w:hint="cs"/>
          <w:rtl/>
          <w:lang w:bidi="he-IL"/>
        </w:rPr>
        <w:t>שנתבשל</w:t>
      </w:r>
      <w:r w:rsidR="004F0F22" w:rsidRPr="00882F11">
        <w:rPr>
          <w:rFonts w:cs="Guttman Drogolin"/>
          <w:rtl/>
          <w:lang w:bidi="he-IL"/>
        </w:rPr>
        <w:t xml:space="preserve"> </w:t>
      </w:r>
      <w:r w:rsidR="004F0F22" w:rsidRPr="00882F11">
        <w:rPr>
          <w:rFonts w:cs="Guttman Drogolin" w:hint="cs"/>
          <w:rtl/>
          <w:lang w:bidi="he-IL"/>
        </w:rPr>
        <w:t>כל</w:t>
      </w:r>
      <w:r w:rsidR="004F0F22" w:rsidRPr="00882F11">
        <w:rPr>
          <w:rFonts w:cs="Guttman Drogolin"/>
          <w:rtl/>
          <w:lang w:bidi="he-IL"/>
        </w:rPr>
        <w:t xml:space="preserve"> </w:t>
      </w:r>
      <w:r w:rsidR="004F0F22" w:rsidRPr="00882F11">
        <w:rPr>
          <w:rFonts w:cs="Guttman Drogolin" w:hint="cs"/>
          <w:rtl/>
          <w:lang w:bidi="he-IL"/>
        </w:rPr>
        <w:t>צרכו". ולפום ריהטא כוונת רש"י שאינו עובר מום בישול אא"כ נתבשל כל צרכו. ואע"ג שבשבת שיטת התוס' שאם נתבשל כמאכל בן דרוסאי הרי זה חשוב כמבושל ושוב אינו עובר עליו, י"ל דשאני בב"ח כיון שאינו אסור משום 'מלאכה', רק משום 'בישול'</w:t>
      </w:r>
      <w:r w:rsidR="00575A9C" w:rsidRPr="00882F11">
        <w:rPr>
          <w:rFonts w:cs="Guttman Drogolin" w:hint="cs"/>
          <w:rtl/>
          <w:lang w:bidi="he-IL"/>
        </w:rPr>
        <w:t>, ואינו בחשיבות בישול אא"כ נתבשל כל צרכו (וכן ראיתי בשם כתבי הגרי"ז מנחות נ"ו ע"ב). אמנם זה דבר קשה שהרי מצאנו השיעור כמאב"ד גם לענין בישולי עכו"ם, אע"ג דהתם הוי דין דרבנן ויתכן שהקילו בה, מ"מ יותר נראה שהוא שיעור בישול לכל דיני התורה. וע' באמת בחי' הריטב"א כאן שביאר שגם רש"י לא התכוין לומר שצריכים בישול כל צרכו ולעולם גם שיעור כמאכל בן דרוסאי סגי, וכ"כ הפר"ח סי' פ"ז ס"ק ג'. אמנם ע' חוו"ד סי' צ</w:t>
      </w:r>
      <w:r w:rsidR="009F1FF6" w:rsidRPr="00882F11">
        <w:rPr>
          <w:rFonts w:cs="Guttman Drogolin" w:hint="cs"/>
          <w:rtl/>
          <w:lang w:bidi="he-IL"/>
        </w:rPr>
        <w:t>"א ס"ק ז' דנקט דבעינן נתבשל כל צרכו</w:t>
      </w:r>
      <w:r w:rsidR="00575A9C" w:rsidRPr="00882F11">
        <w:rPr>
          <w:rFonts w:cs="Guttman Drogolin" w:hint="cs"/>
          <w:rtl/>
          <w:lang w:bidi="he-IL"/>
        </w:rPr>
        <w:t xml:space="preserve"> דוקא.</w:t>
      </w:r>
    </w:p>
    <w:p w:rsidR="00675A99" w:rsidRPr="00882F11" w:rsidRDefault="00675A99" w:rsidP="0078079C">
      <w:pPr>
        <w:pStyle w:val="Heading1"/>
        <w:bidi/>
        <w:spacing w:before="0" w:line="360" w:lineRule="auto"/>
        <w:jc w:val="center"/>
        <w:rPr>
          <w:rFonts w:cs="Guttman Drogolin"/>
          <w:color w:val="auto"/>
          <w:sz w:val="24"/>
          <w:szCs w:val="24"/>
          <w:u w:val="single"/>
          <w:rtl/>
          <w:lang w:bidi="he-IL"/>
        </w:rPr>
      </w:pPr>
      <w:bookmarkStart w:id="88" w:name="_Toc496175348"/>
      <w:r w:rsidRPr="00882F11">
        <w:rPr>
          <w:rFonts w:cs="Guttman Drogolin" w:hint="cs"/>
          <w:color w:val="auto"/>
          <w:sz w:val="24"/>
          <w:szCs w:val="24"/>
          <w:u w:val="single"/>
          <w:rtl/>
          <w:lang w:bidi="he-IL"/>
        </w:rPr>
        <w:lastRenderedPageBreak/>
        <w:t>מיבלע בלע מיפלט לא פלט</w:t>
      </w:r>
      <w:bookmarkEnd w:id="88"/>
    </w:p>
    <w:p w:rsidR="00675A99" w:rsidRPr="00882F11" w:rsidRDefault="00675A99" w:rsidP="00956608">
      <w:pPr>
        <w:bidi/>
        <w:jc w:val="both"/>
        <w:rPr>
          <w:rFonts w:cs="Guttman Drogolin"/>
          <w:rtl/>
          <w:lang w:bidi="he-IL"/>
        </w:rPr>
      </w:pPr>
      <w:r w:rsidRPr="00882F11">
        <w:rPr>
          <w:rFonts w:cs="Guttman Drogolin" w:hint="cs"/>
          <w:rtl/>
          <w:lang w:bidi="he-IL"/>
        </w:rPr>
        <w:t>ע' ברשב"א שהוכיח מן הגמ' הזה שאין בליעה עובר מחתיכה לחתיכה בלי רוטב</w:t>
      </w:r>
      <w:r w:rsidR="009F1FF6" w:rsidRPr="00882F11">
        <w:rPr>
          <w:rFonts w:cs="Guttman Drogolin" w:hint="cs"/>
          <w:rtl/>
          <w:lang w:bidi="he-IL"/>
        </w:rPr>
        <w:t>, וכמו שהוכיחו גם התוס' ריש ק"</w:t>
      </w:r>
      <w:r w:rsidR="00956608">
        <w:rPr>
          <w:rFonts w:cs="Guttman Drogolin" w:hint="cs"/>
          <w:rtl/>
          <w:lang w:bidi="he-IL"/>
        </w:rPr>
        <w:t>ח</w:t>
      </w:r>
      <w:r w:rsidR="009F1FF6" w:rsidRPr="00882F11">
        <w:rPr>
          <w:rFonts w:cs="Guttman Drogolin" w:hint="cs"/>
          <w:rtl/>
          <w:lang w:bidi="he-IL"/>
        </w:rPr>
        <w:t xml:space="preserve"> ע"א</w:t>
      </w:r>
      <w:r w:rsidRPr="00882F11">
        <w:rPr>
          <w:rFonts w:cs="Guttman Drogolin" w:hint="cs"/>
          <w:rtl/>
          <w:lang w:bidi="he-IL"/>
        </w:rPr>
        <w:t xml:space="preserve">. אמנם יעו"ש דהנ"מ מחתיכת אוכל לחתיכת אוכל, </w:t>
      </w:r>
      <w:r w:rsidR="00956608">
        <w:rPr>
          <w:rFonts w:cs="Guttman Drogolin"/>
          <w:rtl/>
          <w:lang w:bidi="he-IL"/>
        </w:rPr>
        <w:fldChar w:fldCharType="begin"/>
      </w:r>
      <w:r w:rsidR="00956608">
        <w:instrText xml:space="preserve"> XE "</w:instrText>
      </w:r>
      <w:r w:rsidR="00956608" w:rsidRPr="00180F40">
        <w:rPr>
          <w:rFonts w:hint="cs"/>
          <w:rtl/>
          <w:lang w:bidi="he-IL"/>
        </w:rPr>
        <w:instrText>אין בליעה עובר מכלי לכלי בלי רוטב</w:instrText>
      </w:r>
      <w:r w:rsidR="00956608" w:rsidRPr="00180F40">
        <w:rPr>
          <w:rtl/>
        </w:rPr>
        <w:instrText>:</w:instrText>
      </w:r>
      <w:r w:rsidR="00956608" w:rsidRPr="00180F40">
        <w:rPr>
          <w:rFonts w:hint="cs"/>
          <w:rtl/>
          <w:lang w:bidi="he-IL"/>
        </w:rPr>
        <w:instrText>מה הדין מכלי לאוכל</w:instrText>
      </w:r>
      <w:r w:rsidR="00956608">
        <w:instrText xml:space="preserve">" </w:instrText>
      </w:r>
      <w:r w:rsidR="00956608">
        <w:rPr>
          <w:rFonts w:cs="Guttman Drogolin"/>
          <w:rtl/>
          <w:lang w:bidi="he-IL"/>
        </w:rPr>
        <w:fldChar w:fldCharType="end"/>
      </w:r>
      <w:r w:rsidRPr="00882F11">
        <w:rPr>
          <w:rFonts w:cs="Guttman Drogolin" w:hint="cs"/>
          <w:rtl/>
          <w:lang w:bidi="he-IL"/>
        </w:rPr>
        <w:t>אבל בליעות עוברות מכלי לחתיכת אוכל גם בלי רוטב. וע"ש ראיות מן ש"ס לדין זה. וביאר הטעם בזה משום שטעם נסרח בחתיכה וקשה לצאת ממנו, אבל ב</w:t>
      </w:r>
      <w:r w:rsidR="002133F6" w:rsidRPr="00882F11">
        <w:rPr>
          <w:rFonts w:cs="Guttman Drogolin" w:hint="cs"/>
          <w:rtl/>
          <w:lang w:bidi="he-IL"/>
        </w:rPr>
        <w:t>כ</w:t>
      </w:r>
      <w:r w:rsidRPr="00882F11">
        <w:rPr>
          <w:rFonts w:cs="Guttman Drogolin" w:hint="cs"/>
          <w:rtl/>
          <w:lang w:bidi="he-IL"/>
        </w:rPr>
        <w:t xml:space="preserve">לי הרי הוא כנוס ויוצא </w:t>
      </w:r>
      <w:r w:rsidR="002133F6" w:rsidRPr="00882F11">
        <w:rPr>
          <w:rFonts w:cs="Guttman Drogolin" w:hint="cs"/>
          <w:rtl/>
          <w:lang w:bidi="he-IL"/>
        </w:rPr>
        <w:t>ב</w:t>
      </w:r>
      <w:r w:rsidRPr="00882F11">
        <w:rPr>
          <w:rFonts w:cs="Guttman Drogolin" w:hint="cs"/>
          <w:rtl/>
          <w:lang w:bidi="he-IL"/>
        </w:rPr>
        <w:t xml:space="preserve">קלות. ומ"מ יש להדגיש שהפוסקים כותבים אעפ"כ אין בליעה עובר מכלי א' לכלי אחר בלי רוטב. </w:t>
      </w:r>
    </w:p>
    <w:p w:rsidR="00675A99" w:rsidRPr="00882F11" w:rsidRDefault="00675A99" w:rsidP="0078079C">
      <w:pPr>
        <w:pStyle w:val="Heading1"/>
        <w:bidi/>
        <w:spacing w:before="0" w:line="360" w:lineRule="auto"/>
        <w:jc w:val="center"/>
        <w:rPr>
          <w:rFonts w:cs="Guttman Drogolin"/>
          <w:color w:val="auto"/>
          <w:sz w:val="24"/>
          <w:szCs w:val="24"/>
          <w:u w:val="single"/>
          <w:rtl/>
          <w:lang w:bidi="he-IL"/>
        </w:rPr>
      </w:pPr>
      <w:bookmarkStart w:id="89" w:name="_Toc496175349"/>
      <w:r w:rsidRPr="00882F11">
        <w:rPr>
          <w:rFonts w:cs="Guttman Drogolin" w:hint="cs"/>
          <w:color w:val="auto"/>
          <w:sz w:val="24"/>
          <w:szCs w:val="24"/>
          <w:u w:val="single"/>
          <w:rtl/>
          <w:lang w:bidi="he-IL"/>
        </w:rPr>
        <w:t>מחלוקת ר' יהודה וחכמים</w:t>
      </w:r>
      <w:bookmarkEnd w:id="89"/>
    </w:p>
    <w:p w:rsidR="00505AD7" w:rsidRPr="00882F11" w:rsidRDefault="00CD0D56" w:rsidP="00505AD7">
      <w:pPr>
        <w:bidi/>
        <w:jc w:val="both"/>
        <w:rPr>
          <w:rFonts w:cs="Guttman Drogolin"/>
          <w:rtl/>
          <w:lang w:bidi="he-IL"/>
        </w:rPr>
      </w:pPr>
      <w:r>
        <w:rPr>
          <w:rFonts w:cs="Guttman Drogolin"/>
          <w:rtl/>
          <w:lang w:bidi="he-IL"/>
        </w:rPr>
        <w:fldChar w:fldCharType="begin"/>
      </w:r>
      <w:r>
        <w:instrText xml:space="preserve"> XE "</w:instrText>
      </w:r>
      <w:r w:rsidRPr="00690079">
        <w:rPr>
          <w:rFonts w:hint="cs"/>
          <w:rtl/>
          <w:lang w:bidi="he-IL"/>
        </w:rPr>
        <w:instrText>אפשר לסוחטו</w:instrText>
      </w:r>
      <w:r w:rsidRPr="00690079">
        <w:rPr>
          <w:rtl/>
        </w:rPr>
        <w:instrText>:</w:instrText>
      </w:r>
      <w:r w:rsidRPr="00690079">
        <w:rPr>
          <w:rFonts w:hint="cs"/>
          <w:rtl/>
          <w:lang w:bidi="he-IL"/>
        </w:rPr>
        <w:instrText>ביאור מחלוקת ר' יהודה וחכמים</w:instrText>
      </w:r>
      <w:r>
        <w:instrText xml:space="preserve">" </w:instrText>
      </w:r>
      <w:r>
        <w:rPr>
          <w:rFonts w:cs="Guttman Drogolin"/>
          <w:rtl/>
          <w:lang w:bidi="he-IL"/>
        </w:rPr>
        <w:fldChar w:fldCharType="end"/>
      </w:r>
      <w:r w:rsidR="00675A99" w:rsidRPr="00882F11">
        <w:rPr>
          <w:rFonts w:cs="Guttman Drogolin" w:hint="cs"/>
          <w:rtl/>
          <w:lang w:bidi="he-IL"/>
        </w:rPr>
        <w:t xml:space="preserve">הגמ' מביאה שיש מחלוקת תנאים אם </w:t>
      </w:r>
      <w:r w:rsidR="00DC784B">
        <w:rPr>
          <w:rFonts w:cs="Guttman Drogolin" w:hint="cs"/>
          <w:rtl/>
          <w:lang w:bidi="he-IL"/>
        </w:rPr>
        <w:t>אפשר לסוחטו</w:t>
      </w:r>
      <w:r w:rsidR="00675A99" w:rsidRPr="00882F11">
        <w:rPr>
          <w:rFonts w:cs="Guttman Drogolin" w:hint="cs"/>
          <w:rtl/>
          <w:lang w:bidi="he-IL"/>
        </w:rPr>
        <w:t xml:space="preserve"> מותר או </w:t>
      </w:r>
      <w:r w:rsidR="00DC784B">
        <w:rPr>
          <w:rFonts w:cs="Guttman Drogolin" w:hint="cs"/>
          <w:rtl/>
          <w:lang w:bidi="he-IL"/>
        </w:rPr>
        <w:t>אפשר לסוחטו</w:t>
      </w:r>
      <w:r w:rsidR="00675A99" w:rsidRPr="00882F11">
        <w:rPr>
          <w:rFonts w:cs="Guttman Drogolin" w:hint="cs"/>
          <w:rtl/>
          <w:lang w:bidi="he-IL"/>
        </w:rPr>
        <w:t xml:space="preserve"> אסור. והוא מן הברייתא "טפת</w:t>
      </w:r>
      <w:r w:rsidR="00675A99" w:rsidRPr="00882F11">
        <w:rPr>
          <w:rFonts w:cs="Guttman Drogolin"/>
          <w:rtl/>
          <w:lang w:bidi="he-IL"/>
        </w:rPr>
        <w:t xml:space="preserve"> </w:t>
      </w:r>
      <w:r w:rsidR="00675A99" w:rsidRPr="00882F11">
        <w:rPr>
          <w:rFonts w:cs="Guttman Drogolin" w:hint="cs"/>
          <w:rtl/>
          <w:lang w:bidi="he-IL"/>
        </w:rPr>
        <w:t>חלב</w:t>
      </w:r>
      <w:r w:rsidR="00675A99" w:rsidRPr="00882F11">
        <w:rPr>
          <w:rFonts w:cs="Guttman Drogolin"/>
          <w:rtl/>
          <w:lang w:bidi="he-IL"/>
        </w:rPr>
        <w:t xml:space="preserve"> </w:t>
      </w:r>
      <w:r w:rsidR="00675A99" w:rsidRPr="00882F11">
        <w:rPr>
          <w:rFonts w:cs="Guttman Drogolin" w:hint="cs"/>
          <w:rtl/>
          <w:lang w:bidi="he-IL"/>
        </w:rPr>
        <w:t>שנפלה</w:t>
      </w:r>
      <w:r w:rsidR="00675A99" w:rsidRPr="00882F11">
        <w:rPr>
          <w:rFonts w:cs="Guttman Drogolin"/>
          <w:rtl/>
          <w:lang w:bidi="he-IL"/>
        </w:rPr>
        <w:t xml:space="preserve"> </w:t>
      </w:r>
      <w:r w:rsidR="00675A99" w:rsidRPr="00882F11">
        <w:rPr>
          <w:rFonts w:cs="Guttman Drogolin" w:hint="cs"/>
          <w:rtl/>
          <w:lang w:bidi="he-IL"/>
        </w:rPr>
        <w:t>על</w:t>
      </w:r>
      <w:r w:rsidR="00675A99" w:rsidRPr="00882F11">
        <w:rPr>
          <w:rFonts w:cs="Guttman Drogolin"/>
          <w:rtl/>
          <w:lang w:bidi="he-IL"/>
        </w:rPr>
        <w:t xml:space="preserve"> </w:t>
      </w:r>
      <w:r w:rsidR="00675A99" w:rsidRPr="00882F11">
        <w:rPr>
          <w:rFonts w:cs="Guttman Drogolin" w:hint="cs"/>
          <w:rtl/>
          <w:lang w:bidi="he-IL"/>
        </w:rPr>
        <w:t>החתיכה</w:t>
      </w:r>
      <w:r w:rsidR="00675A99" w:rsidRPr="00882F11">
        <w:rPr>
          <w:rFonts w:cs="Guttman Drogolin"/>
          <w:rtl/>
          <w:lang w:bidi="he-IL"/>
        </w:rPr>
        <w:t xml:space="preserve"> </w:t>
      </w:r>
      <w:r w:rsidR="00675A99" w:rsidRPr="00882F11">
        <w:rPr>
          <w:rFonts w:cs="Guttman Drogolin" w:hint="cs"/>
          <w:rtl/>
          <w:lang w:bidi="he-IL"/>
        </w:rPr>
        <w:t>כיון</w:t>
      </w:r>
      <w:r w:rsidR="00675A99" w:rsidRPr="00882F11">
        <w:rPr>
          <w:rFonts w:cs="Guttman Drogolin"/>
          <w:rtl/>
          <w:lang w:bidi="he-IL"/>
        </w:rPr>
        <w:t xml:space="preserve"> </w:t>
      </w:r>
      <w:r w:rsidR="00675A99" w:rsidRPr="00882F11">
        <w:rPr>
          <w:rFonts w:cs="Guttman Drogolin" w:hint="cs"/>
          <w:rtl/>
          <w:lang w:bidi="he-IL"/>
        </w:rPr>
        <w:t>שנתנה</w:t>
      </w:r>
      <w:r w:rsidR="00675A99" w:rsidRPr="00882F11">
        <w:rPr>
          <w:rFonts w:cs="Guttman Drogolin"/>
          <w:rtl/>
          <w:lang w:bidi="he-IL"/>
        </w:rPr>
        <w:t xml:space="preserve"> </w:t>
      </w:r>
      <w:r w:rsidR="00675A99" w:rsidRPr="00882F11">
        <w:rPr>
          <w:rFonts w:cs="Guttman Drogolin" w:hint="cs"/>
          <w:rtl/>
          <w:lang w:bidi="he-IL"/>
        </w:rPr>
        <w:t>טעם</w:t>
      </w:r>
      <w:r w:rsidR="00675A99" w:rsidRPr="00882F11">
        <w:rPr>
          <w:rFonts w:cs="Guttman Drogolin"/>
          <w:rtl/>
          <w:lang w:bidi="he-IL"/>
        </w:rPr>
        <w:t xml:space="preserve"> </w:t>
      </w:r>
      <w:r w:rsidR="00675A99" w:rsidRPr="00882F11">
        <w:rPr>
          <w:rFonts w:cs="Guttman Drogolin" w:hint="cs"/>
          <w:rtl/>
          <w:lang w:bidi="he-IL"/>
        </w:rPr>
        <w:t>בחתיכה</w:t>
      </w:r>
      <w:r w:rsidR="00675A99" w:rsidRPr="00882F11">
        <w:rPr>
          <w:rFonts w:cs="Guttman Drogolin"/>
          <w:rtl/>
          <w:lang w:bidi="he-IL"/>
        </w:rPr>
        <w:t xml:space="preserve"> </w:t>
      </w:r>
      <w:r w:rsidR="00675A99" w:rsidRPr="00882F11">
        <w:rPr>
          <w:rFonts w:cs="Guttman Drogolin" w:hint="cs"/>
          <w:rtl/>
          <w:lang w:bidi="he-IL"/>
        </w:rPr>
        <w:t>החתיכה</w:t>
      </w:r>
      <w:r w:rsidR="00675A99" w:rsidRPr="00882F11">
        <w:rPr>
          <w:rFonts w:cs="Guttman Drogolin"/>
          <w:rtl/>
          <w:lang w:bidi="he-IL"/>
        </w:rPr>
        <w:t xml:space="preserve"> </w:t>
      </w:r>
      <w:r w:rsidR="00675A99" w:rsidRPr="00882F11">
        <w:rPr>
          <w:rFonts w:cs="Guttman Drogolin" w:hint="cs"/>
          <w:rtl/>
          <w:lang w:bidi="he-IL"/>
        </w:rPr>
        <w:t>עצמה</w:t>
      </w:r>
      <w:r w:rsidR="00675A99" w:rsidRPr="00882F11">
        <w:rPr>
          <w:rFonts w:cs="Guttman Drogolin"/>
          <w:rtl/>
          <w:lang w:bidi="he-IL"/>
        </w:rPr>
        <w:t xml:space="preserve"> </w:t>
      </w:r>
      <w:r w:rsidR="00675A99" w:rsidRPr="00882F11">
        <w:rPr>
          <w:rFonts w:cs="Guttman Drogolin" w:hint="cs"/>
          <w:rtl/>
          <w:lang w:bidi="he-IL"/>
        </w:rPr>
        <w:t>נעשת</w:t>
      </w:r>
      <w:r w:rsidR="00675A99" w:rsidRPr="00882F11">
        <w:rPr>
          <w:rFonts w:cs="Guttman Drogolin"/>
          <w:rtl/>
          <w:lang w:bidi="he-IL"/>
        </w:rPr>
        <w:t xml:space="preserve"> </w:t>
      </w:r>
      <w:r w:rsidR="00675A99" w:rsidRPr="00882F11">
        <w:rPr>
          <w:rFonts w:cs="Guttman Drogolin" w:hint="cs"/>
          <w:rtl/>
          <w:lang w:bidi="he-IL"/>
        </w:rPr>
        <w:t>נבלה</w:t>
      </w:r>
      <w:r w:rsidR="00675A99" w:rsidRPr="00882F11">
        <w:rPr>
          <w:rFonts w:cs="Guttman Drogolin"/>
          <w:rtl/>
          <w:lang w:bidi="he-IL"/>
        </w:rPr>
        <w:t xml:space="preserve"> </w:t>
      </w:r>
      <w:r w:rsidR="00675A99" w:rsidRPr="00882F11">
        <w:rPr>
          <w:rFonts w:cs="Guttman Drogolin" w:hint="cs"/>
          <w:rtl/>
          <w:lang w:bidi="he-IL"/>
        </w:rPr>
        <w:t>ואוסרת</w:t>
      </w:r>
      <w:r w:rsidR="00675A99" w:rsidRPr="00882F11">
        <w:rPr>
          <w:rFonts w:cs="Guttman Drogolin"/>
          <w:rtl/>
          <w:lang w:bidi="he-IL"/>
        </w:rPr>
        <w:t xml:space="preserve"> </w:t>
      </w:r>
      <w:r w:rsidR="00675A99" w:rsidRPr="00882F11">
        <w:rPr>
          <w:rFonts w:cs="Guttman Drogolin" w:hint="cs"/>
          <w:rtl/>
          <w:lang w:bidi="he-IL"/>
        </w:rPr>
        <w:t>כל</w:t>
      </w:r>
      <w:r w:rsidR="00675A99" w:rsidRPr="00882F11">
        <w:rPr>
          <w:rFonts w:cs="Guttman Drogolin"/>
          <w:rtl/>
          <w:lang w:bidi="he-IL"/>
        </w:rPr>
        <w:t xml:space="preserve"> </w:t>
      </w:r>
      <w:r w:rsidR="00675A99" w:rsidRPr="00882F11">
        <w:rPr>
          <w:rFonts w:cs="Guttman Drogolin" w:hint="cs"/>
          <w:rtl/>
          <w:lang w:bidi="he-IL"/>
        </w:rPr>
        <w:t>החתיכות</w:t>
      </w:r>
      <w:r w:rsidR="00675A99" w:rsidRPr="00882F11">
        <w:rPr>
          <w:rFonts w:cs="Guttman Drogolin"/>
          <w:rtl/>
          <w:lang w:bidi="he-IL"/>
        </w:rPr>
        <w:t xml:space="preserve"> </w:t>
      </w:r>
      <w:r w:rsidR="00675A99" w:rsidRPr="00882F11">
        <w:rPr>
          <w:rFonts w:cs="Guttman Drogolin" w:hint="cs"/>
          <w:rtl/>
          <w:lang w:bidi="he-IL"/>
        </w:rPr>
        <w:t>כולן</w:t>
      </w:r>
      <w:r w:rsidR="00675A99" w:rsidRPr="00882F11">
        <w:rPr>
          <w:rFonts w:cs="Guttman Drogolin"/>
          <w:rtl/>
          <w:lang w:bidi="he-IL"/>
        </w:rPr>
        <w:t xml:space="preserve"> </w:t>
      </w:r>
      <w:r w:rsidR="00675A99" w:rsidRPr="00882F11">
        <w:rPr>
          <w:rFonts w:cs="Guttman Drogolin" w:hint="cs"/>
          <w:rtl/>
          <w:lang w:bidi="he-IL"/>
        </w:rPr>
        <w:t>מפני</w:t>
      </w:r>
      <w:r w:rsidR="00675A99" w:rsidRPr="00882F11">
        <w:rPr>
          <w:rFonts w:cs="Guttman Drogolin"/>
          <w:rtl/>
          <w:lang w:bidi="he-IL"/>
        </w:rPr>
        <w:t xml:space="preserve"> </w:t>
      </w:r>
      <w:r w:rsidR="00675A99" w:rsidRPr="00882F11">
        <w:rPr>
          <w:rFonts w:cs="Guttman Drogolin" w:hint="cs"/>
          <w:rtl/>
          <w:lang w:bidi="he-IL"/>
        </w:rPr>
        <w:t>שהן</w:t>
      </w:r>
      <w:r w:rsidR="00675A99" w:rsidRPr="00882F11">
        <w:rPr>
          <w:rFonts w:cs="Guttman Drogolin"/>
          <w:rtl/>
          <w:lang w:bidi="he-IL"/>
        </w:rPr>
        <w:t xml:space="preserve"> </w:t>
      </w:r>
      <w:r w:rsidR="00675A99" w:rsidRPr="00882F11">
        <w:rPr>
          <w:rFonts w:cs="Guttman Drogolin" w:hint="cs"/>
          <w:rtl/>
          <w:lang w:bidi="he-IL"/>
        </w:rPr>
        <w:t>מינה</w:t>
      </w:r>
      <w:r w:rsidR="00675A99" w:rsidRPr="00882F11">
        <w:rPr>
          <w:rFonts w:cs="Guttman Drogolin"/>
          <w:rtl/>
          <w:lang w:bidi="he-IL"/>
        </w:rPr>
        <w:t xml:space="preserve"> </w:t>
      </w:r>
      <w:r w:rsidR="00675A99" w:rsidRPr="00882F11">
        <w:rPr>
          <w:rFonts w:cs="Guttman Drogolin" w:hint="cs"/>
          <w:rtl/>
          <w:lang w:bidi="he-IL"/>
        </w:rPr>
        <w:t>דברי</w:t>
      </w:r>
      <w:r w:rsidR="00675A99" w:rsidRPr="00882F11">
        <w:rPr>
          <w:rFonts w:cs="Guttman Drogolin"/>
          <w:rtl/>
          <w:lang w:bidi="he-IL"/>
        </w:rPr>
        <w:t xml:space="preserve"> </w:t>
      </w:r>
      <w:r w:rsidR="00675A99" w:rsidRPr="00882F11">
        <w:rPr>
          <w:rFonts w:cs="Guttman Drogolin" w:hint="cs"/>
          <w:rtl/>
          <w:lang w:bidi="he-IL"/>
        </w:rPr>
        <w:t>ר</w:t>
      </w:r>
      <w:r w:rsidR="00675A99" w:rsidRPr="00882F11">
        <w:rPr>
          <w:rFonts w:cs="Guttman Drogolin"/>
          <w:rtl/>
          <w:lang w:bidi="he-IL"/>
        </w:rPr>
        <w:t xml:space="preserve">' </w:t>
      </w:r>
      <w:r w:rsidR="00675A99" w:rsidRPr="00882F11">
        <w:rPr>
          <w:rFonts w:cs="Guttman Drogolin" w:hint="cs"/>
          <w:rtl/>
          <w:lang w:bidi="he-IL"/>
        </w:rPr>
        <w:t>יהודה</w:t>
      </w:r>
      <w:r w:rsidR="00675A99" w:rsidRPr="00882F11">
        <w:rPr>
          <w:rFonts w:cs="Guttman Drogolin"/>
          <w:rtl/>
          <w:lang w:bidi="he-IL"/>
        </w:rPr>
        <w:t xml:space="preserve"> </w:t>
      </w:r>
      <w:r w:rsidR="00675A99" w:rsidRPr="00882F11">
        <w:rPr>
          <w:rFonts w:cs="Guttman Drogolin" w:hint="cs"/>
          <w:rtl/>
          <w:lang w:bidi="he-IL"/>
        </w:rPr>
        <w:t>וחכ"א</w:t>
      </w:r>
      <w:r w:rsidR="00675A99" w:rsidRPr="00882F11">
        <w:rPr>
          <w:rFonts w:cs="Guttman Drogolin"/>
          <w:rtl/>
          <w:lang w:bidi="he-IL"/>
        </w:rPr>
        <w:t xml:space="preserve"> </w:t>
      </w:r>
      <w:r w:rsidR="00675A99" w:rsidRPr="00882F11">
        <w:rPr>
          <w:rFonts w:cs="Guttman Drogolin" w:hint="cs"/>
          <w:rtl/>
          <w:lang w:bidi="he-IL"/>
        </w:rPr>
        <w:t>עד</w:t>
      </w:r>
      <w:r w:rsidR="00675A99" w:rsidRPr="00882F11">
        <w:rPr>
          <w:rFonts w:cs="Guttman Drogolin"/>
          <w:rtl/>
          <w:lang w:bidi="he-IL"/>
        </w:rPr>
        <w:t xml:space="preserve"> </w:t>
      </w:r>
      <w:r w:rsidR="00675A99" w:rsidRPr="00882F11">
        <w:rPr>
          <w:rFonts w:cs="Guttman Drogolin" w:hint="cs"/>
          <w:rtl/>
          <w:lang w:bidi="he-IL"/>
        </w:rPr>
        <w:t>שתתן</w:t>
      </w:r>
      <w:r w:rsidR="00675A99" w:rsidRPr="00882F11">
        <w:rPr>
          <w:rFonts w:cs="Guttman Drogolin"/>
          <w:rtl/>
          <w:lang w:bidi="he-IL"/>
        </w:rPr>
        <w:t xml:space="preserve"> </w:t>
      </w:r>
      <w:r w:rsidR="00675A99" w:rsidRPr="00882F11">
        <w:rPr>
          <w:rFonts w:cs="Guttman Drogolin" w:hint="cs"/>
          <w:rtl/>
          <w:lang w:bidi="he-IL"/>
        </w:rPr>
        <w:t>טעם</w:t>
      </w:r>
      <w:r w:rsidR="00675A99" w:rsidRPr="00882F11">
        <w:rPr>
          <w:rFonts w:cs="Guttman Drogolin"/>
          <w:rtl/>
          <w:lang w:bidi="he-IL"/>
        </w:rPr>
        <w:t xml:space="preserve"> </w:t>
      </w:r>
      <w:r w:rsidR="00675A99" w:rsidRPr="00882F11">
        <w:rPr>
          <w:rFonts w:cs="Guttman Drogolin" w:hint="cs"/>
          <w:rtl/>
          <w:lang w:bidi="he-IL"/>
        </w:rPr>
        <w:t>ברוטב</w:t>
      </w:r>
      <w:r w:rsidR="00675A99" w:rsidRPr="00882F11">
        <w:rPr>
          <w:rFonts w:cs="Guttman Drogolin"/>
          <w:rtl/>
          <w:lang w:bidi="he-IL"/>
        </w:rPr>
        <w:t xml:space="preserve"> </w:t>
      </w:r>
      <w:r w:rsidR="00675A99" w:rsidRPr="00882F11">
        <w:rPr>
          <w:rFonts w:cs="Guttman Drogolin" w:hint="cs"/>
          <w:rtl/>
          <w:lang w:bidi="he-IL"/>
        </w:rPr>
        <w:t>ובקיפה</w:t>
      </w:r>
      <w:r w:rsidR="00675A99" w:rsidRPr="00882F11">
        <w:rPr>
          <w:rFonts w:cs="Guttman Drogolin"/>
          <w:rtl/>
          <w:lang w:bidi="he-IL"/>
        </w:rPr>
        <w:t xml:space="preserve"> </w:t>
      </w:r>
      <w:r w:rsidR="00675A99" w:rsidRPr="00882F11">
        <w:rPr>
          <w:rFonts w:cs="Guttman Drogolin" w:hint="cs"/>
          <w:rtl/>
          <w:lang w:bidi="he-IL"/>
        </w:rPr>
        <w:t>ובחתיכות</w:t>
      </w:r>
      <w:r w:rsidR="00675A99" w:rsidRPr="00882F11">
        <w:rPr>
          <w:rFonts w:cs="Guttman Drogolin"/>
          <w:rtl/>
          <w:lang w:bidi="he-IL"/>
        </w:rPr>
        <w:t xml:space="preserve"> </w:t>
      </w:r>
      <w:r w:rsidR="00675A99" w:rsidRPr="00882F11">
        <w:rPr>
          <w:rFonts w:cs="Guttman Drogolin" w:hint="cs"/>
          <w:rtl/>
          <w:lang w:bidi="he-IL"/>
        </w:rPr>
        <w:t>אמר</w:t>
      </w:r>
      <w:r w:rsidR="00675A99" w:rsidRPr="00882F11">
        <w:rPr>
          <w:rFonts w:cs="Guttman Drogolin"/>
          <w:rtl/>
          <w:lang w:bidi="he-IL"/>
        </w:rPr>
        <w:t xml:space="preserve"> </w:t>
      </w:r>
      <w:r w:rsidR="00675A99" w:rsidRPr="00882F11">
        <w:rPr>
          <w:rFonts w:cs="Guttman Drogolin" w:hint="cs"/>
          <w:rtl/>
          <w:lang w:bidi="he-IL"/>
        </w:rPr>
        <w:t>רבי</w:t>
      </w:r>
      <w:r w:rsidR="00675A99" w:rsidRPr="00882F11">
        <w:rPr>
          <w:rFonts w:cs="Guttman Drogolin"/>
          <w:rtl/>
          <w:lang w:bidi="he-IL"/>
        </w:rPr>
        <w:t xml:space="preserve"> </w:t>
      </w:r>
      <w:r w:rsidR="00675A99" w:rsidRPr="00882F11">
        <w:rPr>
          <w:rFonts w:cs="Guttman Drogolin" w:hint="cs"/>
          <w:rtl/>
          <w:lang w:bidi="he-IL"/>
        </w:rPr>
        <w:t>נראין</w:t>
      </w:r>
      <w:r w:rsidR="00675A99" w:rsidRPr="00882F11">
        <w:rPr>
          <w:rFonts w:cs="Guttman Drogolin"/>
          <w:rtl/>
          <w:lang w:bidi="he-IL"/>
        </w:rPr>
        <w:t xml:space="preserve"> </w:t>
      </w:r>
      <w:r w:rsidR="00675A99" w:rsidRPr="00882F11">
        <w:rPr>
          <w:rFonts w:cs="Guttman Drogolin" w:hint="cs"/>
          <w:rtl/>
          <w:lang w:bidi="he-IL"/>
        </w:rPr>
        <w:t>דברי</w:t>
      </w:r>
      <w:r w:rsidR="00675A99" w:rsidRPr="00882F11">
        <w:rPr>
          <w:rFonts w:cs="Guttman Drogolin"/>
          <w:rtl/>
          <w:lang w:bidi="he-IL"/>
        </w:rPr>
        <w:t xml:space="preserve"> </w:t>
      </w:r>
      <w:r w:rsidR="00675A99" w:rsidRPr="00882F11">
        <w:rPr>
          <w:rFonts w:cs="Guttman Drogolin" w:hint="cs"/>
          <w:rtl/>
          <w:lang w:bidi="he-IL"/>
        </w:rPr>
        <w:t>ר</w:t>
      </w:r>
      <w:r w:rsidR="00675A99" w:rsidRPr="00882F11">
        <w:rPr>
          <w:rFonts w:cs="Guttman Drogolin"/>
          <w:rtl/>
          <w:lang w:bidi="he-IL"/>
        </w:rPr>
        <w:t xml:space="preserve">' </w:t>
      </w:r>
      <w:r w:rsidR="00675A99" w:rsidRPr="00882F11">
        <w:rPr>
          <w:rFonts w:cs="Guttman Drogolin" w:hint="cs"/>
          <w:rtl/>
          <w:lang w:bidi="he-IL"/>
        </w:rPr>
        <w:t>יהודה</w:t>
      </w:r>
      <w:r w:rsidR="00675A99" w:rsidRPr="00882F11">
        <w:rPr>
          <w:rFonts w:cs="Guttman Drogolin"/>
          <w:rtl/>
          <w:lang w:bidi="he-IL"/>
        </w:rPr>
        <w:t xml:space="preserve"> </w:t>
      </w:r>
      <w:r w:rsidR="00675A99" w:rsidRPr="00882F11">
        <w:rPr>
          <w:rFonts w:cs="Guttman Drogolin" w:hint="cs"/>
          <w:rtl/>
          <w:lang w:bidi="he-IL"/>
        </w:rPr>
        <w:t>בשלא</w:t>
      </w:r>
      <w:r w:rsidR="00675A99" w:rsidRPr="00882F11">
        <w:rPr>
          <w:rFonts w:cs="Guttman Drogolin"/>
          <w:rtl/>
          <w:lang w:bidi="he-IL"/>
        </w:rPr>
        <w:t xml:space="preserve"> </w:t>
      </w:r>
      <w:r w:rsidR="00675A99" w:rsidRPr="00882F11">
        <w:rPr>
          <w:rFonts w:cs="Guttman Drogolin" w:hint="cs"/>
          <w:rtl/>
          <w:lang w:bidi="he-IL"/>
        </w:rPr>
        <w:t>ניער</w:t>
      </w:r>
      <w:r w:rsidR="00675A99" w:rsidRPr="00882F11">
        <w:rPr>
          <w:rFonts w:cs="Guttman Drogolin"/>
          <w:rtl/>
          <w:lang w:bidi="he-IL"/>
        </w:rPr>
        <w:t xml:space="preserve"> </w:t>
      </w:r>
      <w:r w:rsidR="00675A99" w:rsidRPr="00882F11">
        <w:rPr>
          <w:rFonts w:cs="Guttman Drogolin" w:hint="cs"/>
          <w:rtl/>
          <w:lang w:bidi="he-IL"/>
        </w:rPr>
        <w:t>ושלא</w:t>
      </w:r>
      <w:r w:rsidR="00675A99" w:rsidRPr="00882F11">
        <w:rPr>
          <w:rFonts w:cs="Guttman Drogolin"/>
          <w:rtl/>
          <w:lang w:bidi="he-IL"/>
        </w:rPr>
        <w:t xml:space="preserve"> </w:t>
      </w:r>
      <w:r w:rsidR="00675A99" w:rsidRPr="00882F11">
        <w:rPr>
          <w:rFonts w:cs="Guttman Drogolin" w:hint="cs"/>
          <w:rtl/>
          <w:lang w:bidi="he-IL"/>
        </w:rPr>
        <w:t>כסה</w:t>
      </w:r>
      <w:r w:rsidR="00675A99" w:rsidRPr="00882F11">
        <w:rPr>
          <w:rFonts w:cs="Guttman Drogolin"/>
          <w:rtl/>
          <w:lang w:bidi="he-IL"/>
        </w:rPr>
        <w:t xml:space="preserve"> </w:t>
      </w:r>
      <w:r w:rsidR="00675A99" w:rsidRPr="00882F11">
        <w:rPr>
          <w:rFonts w:cs="Guttman Drogolin" w:hint="cs"/>
          <w:rtl/>
          <w:lang w:bidi="he-IL"/>
        </w:rPr>
        <w:t>ודברי</w:t>
      </w:r>
      <w:r w:rsidR="00675A99" w:rsidRPr="00882F11">
        <w:rPr>
          <w:rFonts w:cs="Guttman Drogolin"/>
          <w:rtl/>
          <w:lang w:bidi="he-IL"/>
        </w:rPr>
        <w:t xml:space="preserve"> </w:t>
      </w:r>
      <w:r w:rsidR="00675A99" w:rsidRPr="00882F11">
        <w:rPr>
          <w:rFonts w:cs="Guttman Drogolin" w:hint="cs"/>
          <w:rtl/>
          <w:lang w:bidi="he-IL"/>
        </w:rPr>
        <w:t>חכמים</w:t>
      </w:r>
      <w:r w:rsidR="00675A99" w:rsidRPr="00882F11">
        <w:rPr>
          <w:rFonts w:cs="Guttman Drogolin"/>
          <w:rtl/>
          <w:lang w:bidi="he-IL"/>
        </w:rPr>
        <w:t xml:space="preserve"> </w:t>
      </w:r>
      <w:r w:rsidR="00675A99" w:rsidRPr="00882F11">
        <w:rPr>
          <w:rFonts w:cs="Guttman Drogolin" w:hint="cs"/>
          <w:rtl/>
          <w:lang w:bidi="he-IL"/>
        </w:rPr>
        <w:t>בשניער</w:t>
      </w:r>
      <w:r w:rsidR="00675A99" w:rsidRPr="00882F11">
        <w:rPr>
          <w:rFonts w:cs="Guttman Drogolin"/>
          <w:rtl/>
          <w:lang w:bidi="he-IL"/>
        </w:rPr>
        <w:t xml:space="preserve"> </w:t>
      </w:r>
      <w:r w:rsidR="00675A99" w:rsidRPr="00882F11">
        <w:rPr>
          <w:rFonts w:cs="Guttman Drogolin" w:hint="cs"/>
          <w:rtl/>
          <w:lang w:bidi="he-IL"/>
        </w:rPr>
        <w:t xml:space="preserve">וכסה". ומסקנת הגמ' בביאור דבריהם הוא כך, דר' יהודה סבר </w:t>
      </w:r>
      <w:r w:rsidR="00DC784B">
        <w:rPr>
          <w:rFonts w:cs="Guttman Drogolin" w:hint="cs"/>
          <w:rtl/>
          <w:lang w:bidi="he-IL"/>
        </w:rPr>
        <w:t>אפשר לסוחטו</w:t>
      </w:r>
      <w:r w:rsidR="00675A99" w:rsidRPr="00882F11">
        <w:rPr>
          <w:rFonts w:cs="Guttman Drogolin" w:hint="cs"/>
          <w:rtl/>
          <w:lang w:bidi="he-IL"/>
        </w:rPr>
        <w:t xml:space="preserve"> מותר ולכן ניער לבסוף לא מהני כיון שכבר נאסר. ואפילו אם ניער מעיקרא סבר ר' יהודה </w:t>
      </w:r>
      <w:r w:rsidR="00505AD7" w:rsidRPr="00882F11">
        <w:rPr>
          <w:rFonts w:cs="Guttman Drogolin" w:hint="cs"/>
          <w:rtl/>
          <w:lang w:bidi="he-IL"/>
        </w:rPr>
        <w:t>דלא מהני, ואע"ג שסופו להתפשט חשש ר' יהודה דלמא לא ינער יפה יפה</w:t>
      </w:r>
      <w:r w:rsidR="005547D5" w:rsidRPr="00882F11">
        <w:rPr>
          <w:rStyle w:val="FootnoteReference"/>
          <w:rFonts w:cs="Guttman Drogolin"/>
          <w:rtl/>
          <w:lang w:bidi="he-IL"/>
        </w:rPr>
        <w:footnoteReference w:id="105"/>
      </w:r>
      <w:r w:rsidR="00505AD7" w:rsidRPr="00882F11">
        <w:rPr>
          <w:rFonts w:cs="Guttman Drogolin" w:hint="cs"/>
          <w:rtl/>
          <w:lang w:bidi="he-IL"/>
        </w:rPr>
        <w:t xml:space="preserve">. </w:t>
      </w:r>
      <w:r w:rsidR="00675A99" w:rsidRPr="00882F11">
        <w:rPr>
          <w:rFonts w:cs="Guttman Drogolin" w:hint="cs"/>
          <w:rtl/>
          <w:lang w:bidi="he-IL"/>
        </w:rPr>
        <w:t xml:space="preserve">וחמכים סוברים </w:t>
      </w:r>
      <w:r w:rsidR="00DC784B">
        <w:rPr>
          <w:rFonts w:cs="Guttman Drogolin" w:hint="cs"/>
          <w:rtl/>
          <w:lang w:bidi="he-IL"/>
        </w:rPr>
        <w:t>אפשר לסוחטו</w:t>
      </w:r>
      <w:r w:rsidR="00675A99" w:rsidRPr="00882F11">
        <w:rPr>
          <w:rFonts w:cs="Guttman Drogolin" w:hint="cs"/>
          <w:rtl/>
          <w:lang w:bidi="he-IL"/>
        </w:rPr>
        <w:t xml:space="preserve"> מותר, ולכן ניער לבסוף </w:t>
      </w:r>
      <w:r w:rsidR="00505AD7" w:rsidRPr="00882F11">
        <w:rPr>
          <w:rFonts w:cs="Guttman Drogolin" w:hint="cs"/>
          <w:rtl/>
          <w:lang w:bidi="he-IL"/>
        </w:rPr>
        <w:t xml:space="preserve">ג"כ </w:t>
      </w:r>
      <w:r w:rsidR="00675A99" w:rsidRPr="00882F11">
        <w:rPr>
          <w:rFonts w:cs="Guttman Drogolin" w:hint="cs"/>
          <w:rtl/>
          <w:lang w:bidi="he-IL"/>
        </w:rPr>
        <w:t>מהני.</w:t>
      </w:r>
      <w:r w:rsidR="00505AD7" w:rsidRPr="00882F11">
        <w:rPr>
          <w:rFonts w:cs="Guttman Drogolin" w:hint="cs"/>
          <w:rtl/>
          <w:lang w:bidi="he-IL"/>
        </w:rPr>
        <w:t xml:space="preserve"> ורבי עשה הכרעה בין השיטות, והיינו דאמנם </w:t>
      </w:r>
      <w:r w:rsidR="00DC784B">
        <w:rPr>
          <w:rFonts w:cs="Guttman Drogolin" w:hint="cs"/>
          <w:rtl/>
          <w:lang w:bidi="he-IL"/>
        </w:rPr>
        <w:t>אפשר לסוחטו</w:t>
      </w:r>
      <w:r w:rsidR="00505AD7" w:rsidRPr="00882F11">
        <w:rPr>
          <w:rFonts w:cs="Guttman Drogolin" w:hint="cs"/>
          <w:rtl/>
          <w:lang w:bidi="he-IL"/>
        </w:rPr>
        <w:t xml:space="preserve"> אסור, מ"מ לא חיישינן שמא לא ניער יפה יפה ולכן אם ניער מתחילה אינו אסור.</w:t>
      </w:r>
    </w:p>
    <w:p w:rsidR="0017206A" w:rsidRPr="00882F11" w:rsidRDefault="00956608" w:rsidP="00974A68">
      <w:pPr>
        <w:bidi/>
        <w:jc w:val="both"/>
        <w:rPr>
          <w:rFonts w:cs="Guttman Drogolin"/>
          <w:rtl/>
          <w:lang w:bidi="he-IL"/>
        </w:rPr>
      </w:pPr>
      <w:r>
        <w:rPr>
          <w:rFonts w:cs="Guttman Drogolin"/>
          <w:rtl/>
          <w:lang w:bidi="he-IL"/>
        </w:rPr>
        <w:fldChar w:fldCharType="begin"/>
      </w:r>
      <w:r>
        <w:instrText xml:space="preserve"> XE "</w:instrText>
      </w:r>
      <w:r w:rsidRPr="000B2CDC">
        <w:rPr>
          <w:rFonts w:hint="cs"/>
          <w:rtl/>
          <w:lang w:bidi="he-IL"/>
        </w:rPr>
        <w:instrText>חענ</w:instrText>
      </w:r>
      <w:r>
        <w:rPr>
          <w:rFonts w:eastAsiaTheme="minorEastAsia"/>
          <w:lang w:bidi="he-IL"/>
        </w:rPr>
        <w:instrText>\</w:instrText>
      </w:r>
      <w:r w:rsidRPr="000B2CDC">
        <w:rPr>
          <w:rFonts w:hint="cs"/>
          <w:rtl/>
          <w:lang w:bidi="he-IL"/>
        </w:rPr>
        <w:instrText>"ן</w:instrText>
      </w:r>
      <w:r w:rsidRPr="000B2CDC">
        <w:rPr>
          <w:rtl/>
        </w:rPr>
        <w:instrText>:</w:instrText>
      </w:r>
      <w:r w:rsidRPr="000B2CDC">
        <w:rPr>
          <w:rFonts w:hint="cs"/>
          <w:rtl/>
          <w:lang w:bidi="he-IL"/>
        </w:rPr>
        <w:instrText>סופו להתפשט</w:instrText>
      </w:r>
      <w:r w:rsidR="00974A68">
        <w:rPr>
          <w:rFonts w:hint="cs"/>
          <w:rtl/>
          <w:lang w:bidi="he-IL"/>
        </w:rPr>
        <w:instrText xml:space="preserve"> -</w:instrText>
      </w:r>
      <w:r w:rsidRPr="000B2CDC">
        <w:rPr>
          <w:rFonts w:hint="cs"/>
          <w:rtl/>
          <w:lang w:bidi="he-IL"/>
        </w:rPr>
        <w:instrText xml:space="preserve"> גדר הדין בניער מתחילה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166CA1">
        <w:rPr>
          <w:rFonts w:hint="cs"/>
          <w:rtl/>
          <w:lang w:bidi="he-IL"/>
        </w:rPr>
        <w:instrText>סופו להתפשט</w:instrText>
      </w:r>
      <w:r>
        <w:instrText>" \t "</w:instrText>
      </w:r>
      <w:r w:rsidRPr="00CA1F1E">
        <w:rPr>
          <w:rFonts w:cs="Times New Roman" w:hint="cs"/>
          <w:i/>
          <w:rtl/>
          <w:lang w:bidi="he-IL"/>
        </w:rPr>
        <w:instrText>ע</w:instrText>
      </w:r>
      <w:r w:rsidRPr="00CA1F1E">
        <w:rPr>
          <w:rFonts w:cstheme="minorHAnsi" w:hint="cs"/>
          <w:i/>
          <w:rtl/>
          <w:lang w:bidi="he-IL"/>
        </w:rPr>
        <w:instrText xml:space="preserve">' </w:instrText>
      </w:r>
      <w:r w:rsidRPr="00CA1F1E">
        <w:rPr>
          <w:rFonts w:cs="Times New Roman" w:hint="cs"/>
          <w:i/>
          <w:rtl/>
          <w:lang w:bidi="he-IL"/>
        </w:rPr>
        <w:instrText>חענ</w:instrText>
      </w:r>
      <w:r>
        <w:rPr>
          <w:sz w:val="20"/>
          <w:szCs w:val="20"/>
        </w:rPr>
        <w:instrText>\</w:instrText>
      </w:r>
      <w:r w:rsidRPr="00CA1F1E">
        <w:rPr>
          <w:rFonts w:cstheme="minorHAnsi" w:hint="cs"/>
          <w:i/>
          <w:rtl/>
          <w:lang w:bidi="he-IL"/>
        </w:rPr>
        <w:instrText>"</w:instrText>
      </w:r>
      <w:r w:rsidRPr="00CA1F1E">
        <w:rPr>
          <w:rFonts w:cs="Times New Roman" w:hint="cs"/>
          <w:i/>
          <w:rtl/>
          <w:lang w:bidi="he-IL"/>
        </w:rPr>
        <w:instrText>ן</w:instrText>
      </w:r>
      <w:r>
        <w:instrText xml:space="preserve">" </w:instrText>
      </w:r>
      <w:r>
        <w:rPr>
          <w:rFonts w:cs="Guttman Drogolin"/>
          <w:rtl/>
          <w:lang w:bidi="he-IL"/>
        </w:rPr>
        <w:fldChar w:fldCharType="end"/>
      </w:r>
      <w:r w:rsidR="00505AD7" w:rsidRPr="00882F11">
        <w:rPr>
          <w:rFonts w:cs="Guttman Drogolin" w:hint="cs"/>
          <w:rtl/>
          <w:lang w:bidi="he-IL"/>
        </w:rPr>
        <w:t xml:space="preserve">והנה </w:t>
      </w:r>
      <w:r w:rsidR="001F0206" w:rsidRPr="00882F11">
        <w:rPr>
          <w:rFonts w:cs="Guttman Drogolin" w:hint="cs"/>
          <w:rtl/>
          <w:lang w:bidi="he-IL"/>
        </w:rPr>
        <w:t>הגמ' מחלקת בין ניעור בתחילה לניעור לבסוף וכפשוטו נ</w:t>
      </w:r>
      <w:r w:rsidR="00505AD7" w:rsidRPr="00882F11">
        <w:rPr>
          <w:rFonts w:cs="Guttman Drogolin" w:hint="cs"/>
          <w:rtl/>
          <w:lang w:bidi="he-IL"/>
        </w:rPr>
        <w:t>יעור מתחילה היינו שניער קודם שנעשית נבלה, ולכן אפשר ל</w:t>
      </w:r>
      <w:r w:rsidR="002133F6" w:rsidRPr="00882F11">
        <w:rPr>
          <w:rFonts w:cs="Guttman Drogolin" w:hint="cs"/>
          <w:rtl/>
          <w:lang w:bidi="he-IL"/>
        </w:rPr>
        <w:t xml:space="preserve">שער בכל הקדירה. </w:t>
      </w:r>
      <w:r w:rsidR="002133F6" w:rsidRPr="00882F11">
        <w:rPr>
          <w:rFonts w:cs="Guttman Drogolin" w:hint="cs"/>
          <w:rtl/>
          <w:lang w:bidi="he-IL"/>
        </w:rPr>
        <w:lastRenderedPageBreak/>
        <w:t>וניער לבסוף היי</w:t>
      </w:r>
      <w:r w:rsidR="00505AD7" w:rsidRPr="00882F11">
        <w:rPr>
          <w:rFonts w:cs="Guttman Drogolin" w:hint="cs"/>
          <w:rtl/>
          <w:lang w:bidi="he-IL"/>
        </w:rPr>
        <w:t xml:space="preserve">נו לאחר שנאסר, ולא מהני ניעור לבסוף אא"כ סוברים </w:t>
      </w:r>
      <w:r w:rsidR="00DC784B">
        <w:rPr>
          <w:rFonts w:cs="Guttman Drogolin" w:hint="cs"/>
          <w:rtl/>
          <w:lang w:bidi="he-IL"/>
        </w:rPr>
        <w:t>אפשר לסוחטו</w:t>
      </w:r>
      <w:r w:rsidR="00505AD7" w:rsidRPr="00882F11">
        <w:rPr>
          <w:rFonts w:cs="Guttman Drogolin" w:hint="cs"/>
          <w:rtl/>
          <w:lang w:bidi="he-IL"/>
        </w:rPr>
        <w:t xml:space="preserve"> מותר. אלא שלשון הגמ' "מכלל דר' יהודה סבר כי ניער מתחילה ועד סוף וכו'". ולכאורה צ"ע מהו הענין של מתחילה ועד סוף. וכן הרמב"ם העתיק לשון זה, וכתב עליו הטור בסי' צ"ב דלכאורה לבסוף לאו דוקא, שלדידן ד</w:t>
      </w:r>
      <w:r w:rsidR="00DC784B">
        <w:rPr>
          <w:rFonts w:cs="Guttman Drogolin" w:hint="cs"/>
          <w:rtl/>
          <w:lang w:bidi="he-IL"/>
        </w:rPr>
        <w:t>אפשר לסוחטו</w:t>
      </w:r>
      <w:r w:rsidR="00505AD7" w:rsidRPr="00882F11">
        <w:rPr>
          <w:rFonts w:cs="Guttman Drogolin" w:hint="cs"/>
          <w:rtl/>
          <w:lang w:bidi="he-IL"/>
        </w:rPr>
        <w:t xml:space="preserve"> אסור הכל תלוי בניער מתחילה. ויש אחרונים שנקטו שכן באמת סבר הרמב"ם </w:t>
      </w:r>
      <w:r w:rsidR="001F0206" w:rsidRPr="00882F11">
        <w:rPr>
          <w:rFonts w:cs="Guttman Drogolin" w:hint="cs"/>
          <w:rtl/>
          <w:lang w:bidi="he-IL"/>
        </w:rPr>
        <w:t xml:space="preserve">(וכן י"א שהטור לא מפרש את הרמב"ם רק חלק עליו </w:t>
      </w:r>
      <w:r w:rsidR="001F0206" w:rsidRPr="00882F11">
        <w:rPr>
          <w:rFonts w:cs="Guttman Drogolin"/>
          <w:rtl/>
          <w:lang w:bidi="he-IL"/>
        </w:rPr>
        <w:t>–</w:t>
      </w:r>
      <w:r w:rsidR="001F0206" w:rsidRPr="00882F11">
        <w:rPr>
          <w:rFonts w:cs="Guttman Drogolin" w:hint="cs"/>
          <w:rtl/>
          <w:lang w:bidi="he-IL"/>
        </w:rPr>
        <w:t xml:space="preserve"> ע"ש בב"י ובש"ך) </w:t>
      </w:r>
      <w:r w:rsidR="00505AD7" w:rsidRPr="00882F11">
        <w:rPr>
          <w:rFonts w:cs="Guttman Drogolin" w:hint="cs"/>
          <w:rtl/>
          <w:lang w:bidi="he-IL"/>
        </w:rPr>
        <w:t>ולאו דדוקא נקט לשון זה (ע"ש בב"י ממהריב"</w:t>
      </w:r>
      <w:r w:rsidR="0067419A" w:rsidRPr="00882F11">
        <w:rPr>
          <w:rFonts w:cs="Guttman Drogolin" w:hint="cs"/>
          <w:rtl/>
          <w:lang w:bidi="he-IL"/>
        </w:rPr>
        <w:t>ח והש"ך</w:t>
      </w:r>
      <w:r w:rsidR="00505AD7" w:rsidRPr="00882F11">
        <w:rPr>
          <w:rFonts w:cs="Guttman Drogolin" w:hint="cs"/>
          <w:rtl/>
          <w:lang w:bidi="he-IL"/>
        </w:rPr>
        <w:t xml:space="preserve">). אמנם יש מפרשים שבדוקא נקט, ומשום שאם לא ניער מתחילה ועד סוף גם רבי חושש דלמא לא ניער יפה יפה. ור"ל שאין הכוונה בהכערת רבי לומר דלא חיישינן אם ניער יפה יפה או לא. דלעולם גם רבי חושש לזה עד כמה שאינו מנער אלא בתחילה. רק נחלקו אם חיישינן להכי אם ניער אפילו מתחילה ועוד סוף, דר' יהודה חשש גם לזה, ורבי סבר דכולי האי לא חיישינן. </w:t>
      </w:r>
      <w:r w:rsidR="007D66A8" w:rsidRPr="00882F11">
        <w:rPr>
          <w:rFonts w:cs="Guttman Drogolin" w:hint="cs"/>
          <w:rtl/>
          <w:lang w:bidi="he-IL"/>
        </w:rPr>
        <w:t>ולפי זה יל"ע באמת מהו הזמן ניעור עד לבסוף. וצ"ע.</w:t>
      </w:r>
      <w:r w:rsidR="0067419A" w:rsidRPr="00882F11">
        <w:rPr>
          <w:rFonts w:cs="Guttman Drogolin" w:hint="cs"/>
          <w:rtl/>
          <w:lang w:bidi="he-IL"/>
        </w:rPr>
        <w:t xml:space="preserve"> וכן מ"מ צ"ע מהו ענין זה של לא ניער יפה יפה אם אין ענין של "מתחילה ועד סוף". ולשון יפה יפה יכול להיות דר"ל שניער באופן שיפול לתוך הרוטב וכמו בכיסה יפה יפה דע"כ היינו בענין שהזיעה עולה ויורד ואין מקום לזיעה לברוח.</w:t>
      </w:r>
    </w:p>
    <w:p w:rsidR="0017206A" w:rsidRPr="00882F11" w:rsidRDefault="0017206A" w:rsidP="0078079C">
      <w:pPr>
        <w:pStyle w:val="Heading1"/>
        <w:bidi/>
        <w:spacing w:before="0" w:line="360" w:lineRule="auto"/>
        <w:jc w:val="center"/>
        <w:rPr>
          <w:rFonts w:cs="Guttman Drogolin"/>
          <w:color w:val="auto"/>
          <w:sz w:val="24"/>
          <w:szCs w:val="24"/>
          <w:u w:val="single"/>
          <w:rtl/>
          <w:lang w:bidi="he-IL"/>
        </w:rPr>
      </w:pPr>
      <w:bookmarkStart w:id="90" w:name="_Toc496175350"/>
      <w:r w:rsidRPr="00882F11">
        <w:rPr>
          <w:rFonts w:cs="Guttman Drogolin" w:hint="cs"/>
          <w:color w:val="auto"/>
          <w:sz w:val="24"/>
          <w:szCs w:val="24"/>
          <w:u w:val="single"/>
          <w:rtl/>
          <w:lang w:bidi="he-IL"/>
        </w:rPr>
        <w:t>גדר הדין של חענ"ן בשאר איסורים</w:t>
      </w:r>
      <w:bookmarkEnd w:id="90"/>
    </w:p>
    <w:p w:rsidR="002F2BF9" w:rsidRPr="00882F11" w:rsidRDefault="00CD0D56" w:rsidP="001509DE">
      <w:pPr>
        <w:bidi/>
        <w:jc w:val="both"/>
        <w:rPr>
          <w:rFonts w:cs="Guttman Drogolin"/>
          <w:rtl/>
          <w:lang w:bidi="he-IL"/>
        </w:rPr>
      </w:pPr>
      <w:r>
        <w:rPr>
          <w:rFonts w:cs="Guttman Drogolin"/>
          <w:rtl/>
          <w:lang w:bidi="he-IL"/>
        </w:rPr>
        <w:fldChar w:fldCharType="begin"/>
      </w:r>
      <w:r>
        <w:instrText xml:space="preserve"> XE "</w:instrText>
      </w:r>
      <w:r w:rsidRPr="00DB046C">
        <w:rPr>
          <w:rFonts w:hint="cs"/>
          <w:rtl/>
          <w:lang w:bidi="he-IL"/>
        </w:rPr>
        <w:instrText>חענ</w:instrText>
      </w:r>
      <w:r>
        <w:rPr>
          <w:rFonts w:eastAsiaTheme="minorEastAsia"/>
          <w:lang w:bidi="he-IL"/>
        </w:rPr>
        <w:instrText>\</w:instrText>
      </w:r>
      <w:r w:rsidRPr="00DB046C">
        <w:rPr>
          <w:rFonts w:hint="cs"/>
          <w:rtl/>
          <w:lang w:bidi="he-IL"/>
        </w:rPr>
        <w:instrText>"ן בשאר איסורים</w:instrText>
      </w:r>
      <w:r w:rsidRPr="00DB046C">
        <w:rPr>
          <w:rtl/>
        </w:rPr>
        <w:instrText>:</w:instrText>
      </w:r>
      <w:r w:rsidRPr="00DB046C">
        <w:rPr>
          <w:rFonts w:hint="cs"/>
          <w:rtl/>
          <w:lang w:bidi="he-IL"/>
        </w:rPr>
        <w:instrText>גדר הדין</w:instrText>
      </w:r>
      <w:r>
        <w:instrText xml:space="preserve">" </w:instrText>
      </w:r>
      <w:r>
        <w:rPr>
          <w:rFonts w:cs="Guttman Drogolin"/>
          <w:rtl/>
          <w:lang w:bidi="he-IL"/>
        </w:rPr>
        <w:fldChar w:fldCharType="end"/>
      </w:r>
      <w:r w:rsidR="002F2BF9" w:rsidRPr="00882F11">
        <w:rPr>
          <w:rFonts w:cs="Guttman Drogolin" w:hint="cs"/>
          <w:rtl/>
          <w:lang w:bidi="he-IL"/>
        </w:rPr>
        <w:t>כבר הבאנו שהר"ן כתב שהטעם שגזרו לומר חענ"ן בשאר איסורים הוא גזרה אטו בב"ח. אמנם יש בזה ביאור אחר, דיעוין ביראים סי</w:t>
      </w:r>
      <w:r w:rsidR="002F2BF9" w:rsidRPr="00882F11">
        <w:rPr>
          <w:rFonts w:cs="Guttman Drogolin"/>
          <w:rtl/>
          <w:lang w:bidi="he-IL"/>
        </w:rPr>
        <w:t xml:space="preserve">' </w:t>
      </w:r>
      <w:r w:rsidR="002F2BF9" w:rsidRPr="00882F11">
        <w:rPr>
          <w:rFonts w:cs="Guttman Drogolin" w:hint="cs"/>
          <w:rtl/>
          <w:lang w:bidi="he-IL"/>
        </w:rPr>
        <w:t>מ</w:t>
      </w:r>
      <w:r w:rsidR="002F2BF9" w:rsidRPr="00882F11">
        <w:rPr>
          <w:rFonts w:cs="Guttman Drogolin"/>
          <w:rtl/>
          <w:lang w:bidi="he-IL"/>
        </w:rPr>
        <w:t>"</w:t>
      </w:r>
      <w:r w:rsidR="002F2BF9" w:rsidRPr="00882F11">
        <w:rPr>
          <w:rFonts w:cs="Guttman Drogolin" w:hint="cs"/>
          <w:rtl/>
          <w:lang w:bidi="he-IL"/>
        </w:rPr>
        <w:t>ח</w:t>
      </w:r>
      <w:r w:rsidR="002F2BF9" w:rsidRPr="00882F11">
        <w:rPr>
          <w:rFonts w:cs="Guttman Drogolin"/>
          <w:rtl/>
          <w:lang w:bidi="he-IL"/>
        </w:rPr>
        <w:t xml:space="preserve"> (</w:t>
      </w:r>
      <w:r w:rsidR="002F2BF9" w:rsidRPr="00882F11">
        <w:rPr>
          <w:rFonts w:cs="Guttman Drogolin" w:hint="cs"/>
          <w:rtl/>
          <w:lang w:bidi="he-IL"/>
        </w:rPr>
        <w:t>דף</w:t>
      </w:r>
      <w:r w:rsidR="002F2BF9" w:rsidRPr="00882F11">
        <w:rPr>
          <w:rFonts w:cs="Guttman Drogolin"/>
          <w:rtl/>
          <w:lang w:bidi="he-IL"/>
        </w:rPr>
        <w:t xml:space="preserve"> </w:t>
      </w:r>
      <w:r w:rsidR="002F2BF9" w:rsidRPr="00882F11">
        <w:rPr>
          <w:rFonts w:cs="Guttman Drogolin" w:hint="cs"/>
          <w:rtl/>
          <w:lang w:bidi="he-IL"/>
        </w:rPr>
        <w:t>ח</w:t>
      </w:r>
      <w:r w:rsidR="002F2BF9" w:rsidRPr="00882F11">
        <w:rPr>
          <w:rFonts w:cs="Guttman Drogolin"/>
          <w:rtl/>
          <w:lang w:bidi="he-IL"/>
        </w:rPr>
        <w:t xml:space="preserve">' </w:t>
      </w:r>
      <w:r w:rsidR="002F2BF9" w:rsidRPr="00882F11">
        <w:rPr>
          <w:rFonts w:cs="Guttman Drogolin" w:hint="cs"/>
          <w:rtl/>
          <w:lang w:bidi="he-IL"/>
        </w:rPr>
        <w:t>ע</w:t>
      </w:r>
      <w:r w:rsidR="002F2BF9" w:rsidRPr="00882F11">
        <w:rPr>
          <w:rFonts w:cs="Guttman Drogolin"/>
          <w:rtl/>
          <w:lang w:bidi="he-IL"/>
        </w:rPr>
        <w:t>"</w:t>
      </w:r>
      <w:r w:rsidR="002F2BF9" w:rsidRPr="00882F11">
        <w:rPr>
          <w:rFonts w:cs="Guttman Drogolin" w:hint="cs"/>
          <w:rtl/>
          <w:lang w:bidi="he-IL"/>
        </w:rPr>
        <w:t>א</w:t>
      </w:r>
      <w:r w:rsidR="002F2BF9" w:rsidRPr="00882F11">
        <w:rPr>
          <w:rFonts w:cs="Guttman Drogolin"/>
          <w:rtl/>
          <w:lang w:bidi="he-IL"/>
        </w:rPr>
        <w:t xml:space="preserve">) </w:t>
      </w:r>
      <w:r w:rsidR="002F2BF9" w:rsidRPr="00882F11">
        <w:rPr>
          <w:rFonts w:cs="Guttman Drogolin" w:hint="cs"/>
          <w:rtl/>
          <w:lang w:bidi="he-IL"/>
        </w:rPr>
        <w:t>שכתב</w:t>
      </w:r>
      <w:r w:rsidR="002F2BF9" w:rsidRPr="00882F11">
        <w:rPr>
          <w:rFonts w:cs="Guttman Drogolin"/>
          <w:rtl/>
          <w:lang w:bidi="he-IL"/>
        </w:rPr>
        <w:t xml:space="preserve"> </w:t>
      </w:r>
      <w:r w:rsidR="002F2BF9" w:rsidRPr="00882F11">
        <w:rPr>
          <w:rFonts w:cs="Guttman Drogolin" w:hint="cs"/>
          <w:rtl/>
          <w:lang w:bidi="he-IL"/>
        </w:rPr>
        <w:t>שהטעם משום</w:t>
      </w:r>
      <w:r w:rsidR="002F2BF9" w:rsidRPr="00882F11">
        <w:rPr>
          <w:rFonts w:cs="Guttman Drogolin"/>
          <w:rtl/>
          <w:lang w:bidi="he-IL"/>
        </w:rPr>
        <w:t xml:space="preserve"> </w:t>
      </w:r>
      <w:r w:rsidR="002F2BF9" w:rsidRPr="00882F11">
        <w:rPr>
          <w:rFonts w:cs="Guttman Drogolin" w:hint="cs"/>
          <w:rtl/>
          <w:lang w:bidi="he-IL"/>
        </w:rPr>
        <w:t>דכיון</w:t>
      </w:r>
      <w:r w:rsidR="002F2BF9" w:rsidRPr="00882F11">
        <w:rPr>
          <w:rFonts w:cs="Guttman Drogolin"/>
          <w:rtl/>
          <w:lang w:bidi="he-IL"/>
        </w:rPr>
        <w:t xml:space="preserve"> </w:t>
      </w:r>
      <w:r w:rsidR="002F2BF9" w:rsidRPr="00882F11">
        <w:rPr>
          <w:rFonts w:cs="Guttman Drogolin" w:hint="cs"/>
          <w:rtl/>
          <w:lang w:bidi="he-IL"/>
        </w:rPr>
        <w:t>שנקרא</w:t>
      </w:r>
      <w:r w:rsidR="002F2BF9" w:rsidRPr="00882F11">
        <w:rPr>
          <w:rFonts w:cs="Guttman Drogolin"/>
          <w:rtl/>
          <w:lang w:bidi="he-IL"/>
        </w:rPr>
        <w:t xml:space="preserve"> </w:t>
      </w:r>
      <w:r w:rsidR="002F2BF9" w:rsidRPr="00882F11">
        <w:rPr>
          <w:rFonts w:cs="Guttman Drogolin" w:hint="cs"/>
          <w:rtl/>
          <w:lang w:bidi="he-IL"/>
        </w:rPr>
        <w:t>שם</w:t>
      </w:r>
      <w:r w:rsidR="002F2BF9" w:rsidRPr="00882F11">
        <w:rPr>
          <w:rFonts w:cs="Guttman Drogolin"/>
          <w:rtl/>
          <w:lang w:bidi="he-IL"/>
        </w:rPr>
        <w:t xml:space="preserve"> </w:t>
      </w:r>
      <w:r w:rsidR="002F2BF9" w:rsidRPr="00882F11">
        <w:rPr>
          <w:rFonts w:cs="Guttman Drogolin" w:hint="cs"/>
          <w:rtl/>
          <w:lang w:bidi="he-IL"/>
        </w:rPr>
        <w:t>איסור</w:t>
      </w:r>
      <w:r w:rsidR="002F2BF9" w:rsidRPr="00882F11">
        <w:rPr>
          <w:rFonts w:cs="Guttman Drogolin"/>
          <w:rtl/>
          <w:lang w:bidi="he-IL"/>
        </w:rPr>
        <w:t xml:space="preserve"> </w:t>
      </w:r>
      <w:r w:rsidR="002F2BF9" w:rsidRPr="00882F11">
        <w:rPr>
          <w:rFonts w:cs="Guttman Drogolin" w:hint="cs"/>
          <w:rtl/>
          <w:lang w:bidi="he-IL"/>
        </w:rPr>
        <w:t>על</w:t>
      </w:r>
      <w:r w:rsidR="002F2BF9" w:rsidRPr="00882F11">
        <w:rPr>
          <w:rFonts w:cs="Guttman Drogolin"/>
          <w:rtl/>
          <w:lang w:bidi="he-IL"/>
        </w:rPr>
        <w:t xml:space="preserve"> </w:t>
      </w:r>
      <w:r w:rsidR="002F2BF9" w:rsidRPr="00882F11">
        <w:rPr>
          <w:rFonts w:cs="Guttman Drogolin" w:hint="cs"/>
          <w:rtl/>
          <w:lang w:bidi="he-IL"/>
        </w:rPr>
        <w:t>החתיכה</w:t>
      </w:r>
      <w:r w:rsidR="002F2BF9" w:rsidRPr="00882F11">
        <w:rPr>
          <w:rFonts w:cs="Guttman Drogolin"/>
          <w:rtl/>
          <w:lang w:bidi="he-IL"/>
        </w:rPr>
        <w:t xml:space="preserve"> </w:t>
      </w:r>
      <w:r w:rsidR="002F2BF9" w:rsidRPr="00882F11">
        <w:rPr>
          <w:rFonts w:cs="Guttman Drogolin" w:hint="cs"/>
          <w:rtl/>
          <w:lang w:bidi="he-IL"/>
        </w:rPr>
        <w:t>אם</w:t>
      </w:r>
      <w:r w:rsidR="002F2BF9" w:rsidRPr="00882F11">
        <w:rPr>
          <w:rFonts w:cs="Guttman Drogolin"/>
          <w:rtl/>
          <w:lang w:bidi="he-IL"/>
        </w:rPr>
        <w:t xml:space="preserve"> </w:t>
      </w:r>
      <w:r w:rsidR="002F2BF9" w:rsidRPr="00882F11">
        <w:rPr>
          <w:rFonts w:cs="Guttman Drogolin" w:hint="cs"/>
          <w:rtl/>
          <w:lang w:bidi="he-IL"/>
        </w:rPr>
        <w:t>יבאו</w:t>
      </w:r>
      <w:r w:rsidR="002F2BF9" w:rsidRPr="00882F11">
        <w:rPr>
          <w:rFonts w:cs="Guttman Drogolin"/>
          <w:rtl/>
          <w:lang w:bidi="he-IL"/>
        </w:rPr>
        <w:t xml:space="preserve"> </w:t>
      </w:r>
      <w:r w:rsidR="002F2BF9" w:rsidRPr="00882F11">
        <w:rPr>
          <w:rFonts w:cs="Guttman Drogolin" w:hint="cs"/>
          <w:rtl/>
          <w:lang w:bidi="he-IL"/>
        </w:rPr>
        <w:t>להקל</w:t>
      </w:r>
      <w:r w:rsidR="002F2BF9" w:rsidRPr="00882F11">
        <w:rPr>
          <w:rFonts w:cs="Guttman Drogolin"/>
          <w:rtl/>
          <w:lang w:bidi="he-IL"/>
        </w:rPr>
        <w:t xml:space="preserve"> </w:t>
      </w:r>
      <w:r w:rsidR="002F2BF9" w:rsidRPr="00882F11">
        <w:rPr>
          <w:rFonts w:cs="Guttman Drogolin" w:hint="cs"/>
          <w:rtl/>
          <w:lang w:bidi="he-IL"/>
        </w:rPr>
        <w:t>ולא</w:t>
      </w:r>
      <w:r w:rsidR="002F2BF9" w:rsidRPr="00882F11">
        <w:rPr>
          <w:rFonts w:cs="Guttman Drogolin"/>
          <w:rtl/>
          <w:lang w:bidi="he-IL"/>
        </w:rPr>
        <w:t xml:space="preserve"> </w:t>
      </w:r>
      <w:r w:rsidR="002F2BF9" w:rsidRPr="00882F11">
        <w:rPr>
          <w:rFonts w:cs="Guttman Drogolin" w:hint="cs"/>
          <w:rtl/>
          <w:lang w:bidi="he-IL"/>
        </w:rPr>
        <w:t>לשער</w:t>
      </w:r>
      <w:r w:rsidR="002F2BF9" w:rsidRPr="00882F11">
        <w:rPr>
          <w:rFonts w:cs="Guttman Drogolin"/>
          <w:rtl/>
          <w:lang w:bidi="he-IL"/>
        </w:rPr>
        <w:t xml:space="preserve"> </w:t>
      </w:r>
      <w:r w:rsidR="002F2BF9" w:rsidRPr="00882F11">
        <w:rPr>
          <w:rFonts w:cs="Guttman Drogolin" w:hint="cs"/>
          <w:rtl/>
          <w:lang w:bidi="he-IL"/>
        </w:rPr>
        <w:t>בכולו</w:t>
      </w:r>
      <w:r w:rsidR="002F2BF9" w:rsidRPr="00882F11">
        <w:rPr>
          <w:rFonts w:cs="Guttman Drogolin"/>
          <w:rtl/>
          <w:lang w:bidi="he-IL"/>
        </w:rPr>
        <w:t xml:space="preserve"> </w:t>
      </w:r>
      <w:r w:rsidR="002F2BF9" w:rsidRPr="00882F11">
        <w:rPr>
          <w:rFonts w:cs="Guttman Drogolin" w:hint="cs"/>
          <w:rtl/>
          <w:lang w:bidi="he-IL"/>
        </w:rPr>
        <w:t>יבאו</w:t>
      </w:r>
      <w:r w:rsidR="002F2BF9" w:rsidRPr="00882F11">
        <w:rPr>
          <w:rFonts w:cs="Guttman Drogolin"/>
          <w:rtl/>
          <w:lang w:bidi="he-IL"/>
        </w:rPr>
        <w:t xml:space="preserve"> </w:t>
      </w:r>
      <w:r w:rsidR="002F2BF9" w:rsidRPr="00882F11">
        <w:rPr>
          <w:rFonts w:cs="Guttman Drogolin" w:hint="cs"/>
          <w:rtl/>
          <w:lang w:bidi="he-IL"/>
        </w:rPr>
        <w:t>להקל</w:t>
      </w:r>
      <w:r w:rsidR="002F2BF9" w:rsidRPr="00882F11">
        <w:rPr>
          <w:rFonts w:cs="Guttman Drogolin"/>
          <w:rtl/>
          <w:lang w:bidi="he-IL"/>
        </w:rPr>
        <w:t xml:space="preserve"> </w:t>
      </w:r>
      <w:r w:rsidR="002F2BF9" w:rsidRPr="00882F11">
        <w:rPr>
          <w:rFonts w:cs="Guttman Drogolin" w:hint="cs"/>
          <w:rtl/>
          <w:lang w:bidi="he-IL"/>
        </w:rPr>
        <w:t>גם</w:t>
      </w:r>
      <w:r w:rsidR="002F2BF9" w:rsidRPr="00882F11">
        <w:rPr>
          <w:rFonts w:cs="Guttman Drogolin"/>
          <w:rtl/>
          <w:lang w:bidi="he-IL"/>
        </w:rPr>
        <w:t xml:space="preserve"> </w:t>
      </w:r>
      <w:r w:rsidR="002F2BF9" w:rsidRPr="00882F11">
        <w:rPr>
          <w:rFonts w:cs="Guttman Drogolin" w:hint="cs"/>
          <w:rtl/>
          <w:lang w:bidi="he-IL"/>
        </w:rPr>
        <w:t>בחתיכת</w:t>
      </w:r>
      <w:r w:rsidR="002F2BF9" w:rsidRPr="00882F11">
        <w:rPr>
          <w:rFonts w:cs="Guttman Drogolin"/>
          <w:rtl/>
          <w:lang w:bidi="he-IL"/>
        </w:rPr>
        <w:t xml:space="preserve"> </w:t>
      </w:r>
      <w:r w:rsidR="002F2BF9" w:rsidRPr="00882F11">
        <w:rPr>
          <w:rFonts w:cs="Guttman Drogolin" w:hint="cs"/>
          <w:rtl/>
          <w:lang w:bidi="he-IL"/>
        </w:rPr>
        <w:t>נבילה. ויוצא שאין לדין חענ"ן בשאר איסורים שום שייכות לדין חענ"ן בבב"ח, דבב"ח בחלב הוא משום מהות האיסור, שמהות האיסור של בב"ח מחייב שיהיו ב' החלקים נאסרים לגמרי. אבל חענ"ן בשאר איסורים אינו אלא גדר לש</w:t>
      </w:r>
      <w:r w:rsidR="001509DE" w:rsidRPr="00882F11">
        <w:rPr>
          <w:rFonts w:cs="Guttman Drogolin" w:hint="cs"/>
          <w:rtl/>
          <w:lang w:bidi="he-IL"/>
        </w:rPr>
        <w:t>ע</w:t>
      </w:r>
      <w:r w:rsidR="002F2BF9" w:rsidRPr="00882F11">
        <w:rPr>
          <w:rFonts w:cs="Guttman Drogolin" w:hint="cs"/>
          <w:rtl/>
          <w:lang w:bidi="he-IL"/>
        </w:rPr>
        <w:t xml:space="preserve">ר כנגד כולו אטו חתכה הוא כולו איסור. </w:t>
      </w:r>
    </w:p>
    <w:p w:rsidR="00F26204" w:rsidRPr="00882F11" w:rsidRDefault="002F2BF9" w:rsidP="00C16D4A">
      <w:pPr>
        <w:bidi/>
        <w:jc w:val="both"/>
        <w:rPr>
          <w:rFonts w:cs="Guttman Drogolin"/>
          <w:rtl/>
          <w:lang w:bidi="he-IL"/>
        </w:rPr>
      </w:pPr>
      <w:r w:rsidRPr="00882F11">
        <w:rPr>
          <w:rFonts w:cs="Guttman Drogolin" w:hint="cs"/>
          <w:rtl/>
          <w:lang w:bidi="he-IL"/>
        </w:rPr>
        <w:lastRenderedPageBreak/>
        <w:t>וכשיטה זו מבואר לכאורה גם מ</w:t>
      </w:r>
      <w:r w:rsidR="004A53F0" w:rsidRPr="00882F11">
        <w:rPr>
          <w:rFonts w:cs="Guttman Drogolin" w:hint="cs"/>
          <w:rtl/>
          <w:lang w:bidi="he-IL"/>
        </w:rPr>
        <w:t>ש</w:t>
      </w:r>
      <w:r w:rsidRPr="00882F11">
        <w:rPr>
          <w:rFonts w:cs="Guttman Drogolin" w:hint="cs"/>
          <w:rtl/>
          <w:lang w:bidi="he-IL"/>
        </w:rPr>
        <w:t>יטת הראב"ד. דהנה הראב"ד (מוב</w:t>
      </w:r>
      <w:r w:rsidR="004A53F0" w:rsidRPr="00882F11">
        <w:rPr>
          <w:rFonts w:cs="Guttman Drogolin" w:hint="cs"/>
          <w:rtl/>
          <w:lang w:bidi="he-IL"/>
        </w:rPr>
        <w:t>א</w:t>
      </w:r>
      <w:r w:rsidRPr="00882F11">
        <w:rPr>
          <w:rFonts w:cs="Guttman Drogolin" w:hint="cs"/>
          <w:rtl/>
          <w:lang w:bidi="he-IL"/>
        </w:rPr>
        <w:t xml:space="preserve"> בחי' הרמב"ן, וכן תוה"א)</w:t>
      </w:r>
      <w:r w:rsidR="007D66A8" w:rsidRPr="00882F11">
        <w:rPr>
          <w:rFonts w:cs="Guttman Drogolin" w:hint="cs"/>
          <w:rtl/>
          <w:lang w:bidi="he-IL"/>
        </w:rPr>
        <w:t xml:space="preserve"> </w:t>
      </w:r>
      <w:r w:rsidRPr="00882F11">
        <w:rPr>
          <w:rFonts w:cs="Guttman Drogolin" w:hint="cs"/>
          <w:rtl/>
          <w:lang w:bidi="he-IL"/>
        </w:rPr>
        <w:t xml:space="preserve">דאע"ג שאומרים חענ"ן בשאר איסורים היכא שנבלע טעם איסור בתוך חתיכה, אם נשפך רוטב של איסור לתוך רוטב של היתר לא אומרים חענ"ן. וביאר דבשלמא </w:t>
      </w:r>
      <w:r w:rsidR="00C16D4A" w:rsidRPr="00882F11">
        <w:rPr>
          <w:rFonts w:cs="Guttman Drogolin" w:hint="cs"/>
          <w:rtl/>
          <w:lang w:bidi="he-IL"/>
        </w:rPr>
        <w:t>ב</w:t>
      </w:r>
      <w:r w:rsidRPr="00882F11">
        <w:rPr>
          <w:rFonts w:cs="Guttman Drogolin" w:hint="cs"/>
          <w:rtl/>
          <w:lang w:bidi="he-IL"/>
        </w:rPr>
        <w:t>חת</w:t>
      </w:r>
      <w:r w:rsidR="00C16D4A" w:rsidRPr="00882F11">
        <w:rPr>
          <w:rFonts w:cs="Guttman Drogolin" w:hint="cs"/>
          <w:rtl/>
          <w:lang w:bidi="he-IL"/>
        </w:rPr>
        <w:t>י</w:t>
      </w:r>
      <w:r w:rsidRPr="00882F11">
        <w:rPr>
          <w:rFonts w:cs="Guttman Drogolin" w:hint="cs"/>
          <w:rtl/>
          <w:lang w:bidi="he-IL"/>
        </w:rPr>
        <w:t>כה כיון שאין האיסור יוצא ממנו מחמרינו לש</w:t>
      </w:r>
      <w:r w:rsidR="001509DE" w:rsidRPr="00882F11">
        <w:rPr>
          <w:rFonts w:cs="Guttman Drogolin" w:hint="cs"/>
          <w:rtl/>
          <w:lang w:bidi="he-IL"/>
        </w:rPr>
        <w:t>ע</w:t>
      </w:r>
      <w:r w:rsidRPr="00882F11">
        <w:rPr>
          <w:rFonts w:cs="Guttman Drogolin" w:hint="cs"/>
          <w:rtl/>
          <w:lang w:bidi="he-IL"/>
        </w:rPr>
        <w:t>ר כנגד כולו. אבל בדבר לח, כיון שלאחר ששופכים את התערובת לתוך קדרה אחרת הרי הוא מתפשט בשוה, אין טעם לומר שיש כאן חפצא דאיסורא. והקשה הראב"ד, דא"כ למה החלב נע"נ בסוגיא דידן, הא הבשר לח הוא. ותי' דחענ"ן בב"ח מילתא אחריתי הא, שהוא משום יצירת האיסור ע"י התערובת, וזה שייך שפיר בלח בלח כמו טעם בתוך חתיכה. ולכאורה ביאור שיטתו כנ"ל, שחענ"ן בשר איסורים הוא משום גדר לענין שיעורי איסור ולא אטו בב"ח, דאילו הי' אטו בב"ח, כמו שבחלב נבילה אמרינן נע"נ, הה"נ שההי' לנו לומר כן גם בשאר איסורין בלח בלח.</w:t>
      </w:r>
    </w:p>
    <w:p w:rsidR="00F26204" w:rsidRPr="00882F11" w:rsidRDefault="00F26204" w:rsidP="00F26204">
      <w:pPr>
        <w:bidi/>
        <w:jc w:val="both"/>
        <w:rPr>
          <w:rFonts w:cs="Guttman Drogolin"/>
          <w:rtl/>
          <w:lang w:bidi="he-IL"/>
        </w:rPr>
        <w:sectPr w:rsidR="00F26204" w:rsidRPr="00882F11" w:rsidSect="000F6DEF">
          <w:type w:val="continuous"/>
          <w:pgSz w:w="11907" w:h="16839" w:code="9"/>
          <w:pgMar w:top="1440" w:right="1440" w:bottom="1440" w:left="1440" w:header="720" w:footer="720" w:gutter="0"/>
          <w:cols w:num="2" w:space="720"/>
          <w:bidi/>
          <w:docGrid w:linePitch="360"/>
        </w:sectPr>
      </w:pPr>
    </w:p>
    <w:p w:rsidR="00F26204" w:rsidRPr="00882F11" w:rsidRDefault="00F26204" w:rsidP="00F26204">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כ"ג</w:t>
      </w:r>
    </w:p>
    <w:p w:rsidR="000F6DEF" w:rsidRDefault="000F6DEF" w:rsidP="0078079C">
      <w:pPr>
        <w:pStyle w:val="Heading1"/>
        <w:bidi/>
        <w:spacing w:before="0" w:line="360" w:lineRule="auto"/>
        <w:jc w:val="center"/>
        <w:rPr>
          <w:rFonts w:cs="Guttman Drogolin"/>
          <w:color w:val="auto"/>
          <w:sz w:val="24"/>
          <w:szCs w:val="24"/>
          <w:u w:val="single"/>
          <w:rtl/>
          <w:lang w:bidi="he-IL"/>
        </w:rPr>
        <w:sectPr w:rsidR="000F6DEF" w:rsidSect="000F6DEF">
          <w:pgSz w:w="11907" w:h="16839" w:code="9"/>
          <w:pgMar w:top="1440" w:right="1440" w:bottom="1440" w:left="1440" w:header="720" w:footer="720" w:gutter="0"/>
          <w:cols w:space="720"/>
          <w:bidi/>
          <w:docGrid w:linePitch="360"/>
        </w:sectPr>
      </w:pPr>
    </w:p>
    <w:p w:rsidR="00F26204" w:rsidRPr="00882F11" w:rsidRDefault="00651871" w:rsidP="0078079C">
      <w:pPr>
        <w:pStyle w:val="Heading1"/>
        <w:bidi/>
        <w:spacing w:before="0" w:line="360" w:lineRule="auto"/>
        <w:jc w:val="center"/>
        <w:rPr>
          <w:rFonts w:cs="Guttman Drogolin"/>
          <w:color w:val="auto"/>
          <w:sz w:val="24"/>
          <w:szCs w:val="24"/>
          <w:u w:val="single"/>
          <w:rtl/>
          <w:lang w:bidi="he-IL"/>
        </w:rPr>
      </w:pPr>
      <w:bookmarkStart w:id="91" w:name="_Toc496175351"/>
      <w:r w:rsidRPr="00882F11">
        <w:rPr>
          <w:rFonts w:cs="Guttman Drogolin" w:hint="cs"/>
          <w:color w:val="auto"/>
          <w:sz w:val="24"/>
          <w:szCs w:val="24"/>
          <w:u w:val="single"/>
          <w:rtl/>
          <w:lang w:bidi="he-IL"/>
        </w:rPr>
        <w:lastRenderedPageBreak/>
        <w:t>תמצית דברי הר"ן שבסוף פרק כל הבשר</w:t>
      </w:r>
      <w:bookmarkEnd w:id="91"/>
    </w:p>
    <w:p w:rsidR="0052517B" w:rsidRPr="00882F11" w:rsidRDefault="00CD0D56" w:rsidP="0052517B">
      <w:pPr>
        <w:bidi/>
        <w:spacing w:after="0"/>
        <w:jc w:val="both"/>
        <w:rPr>
          <w:rFonts w:cs="Guttman Drogolin"/>
          <w:b/>
          <w:bCs/>
          <w:rtl/>
          <w:lang w:bidi="he-IL"/>
        </w:rPr>
      </w:pPr>
      <w:r>
        <w:rPr>
          <w:rFonts w:cs="Guttman Drogolin"/>
          <w:b/>
          <w:bCs/>
          <w:rtl/>
          <w:lang w:bidi="he-IL"/>
        </w:rPr>
        <w:fldChar w:fldCharType="begin"/>
      </w:r>
      <w:r>
        <w:instrText xml:space="preserve"> XE "</w:instrText>
      </w:r>
      <w:r w:rsidRPr="00D21F4B">
        <w:rPr>
          <w:rFonts w:hint="cs"/>
          <w:rtl/>
          <w:lang w:bidi="he-IL"/>
        </w:rPr>
        <w:instrText>חענ</w:instrText>
      </w:r>
      <w:r>
        <w:rPr>
          <w:rFonts w:eastAsiaTheme="minorEastAsia"/>
          <w:lang w:bidi="he-IL"/>
        </w:rPr>
        <w:instrText>\</w:instrText>
      </w:r>
      <w:r w:rsidRPr="00D21F4B">
        <w:rPr>
          <w:rFonts w:hint="cs"/>
          <w:rtl/>
          <w:lang w:bidi="he-IL"/>
        </w:rPr>
        <w:instrText>"ן</w:instrText>
      </w:r>
      <w:r w:rsidRPr="00D21F4B">
        <w:rPr>
          <w:rtl/>
        </w:rPr>
        <w:instrText>:</w:instrText>
      </w:r>
      <w:r w:rsidRPr="00D21F4B">
        <w:rPr>
          <w:rFonts w:hint="cs"/>
          <w:rtl/>
          <w:lang w:bidi="he-IL"/>
        </w:rPr>
        <w:instrText>שיטת הר</w:instrText>
      </w:r>
      <w:r>
        <w:rPr>
          <w:rFonts w:eastAsiaTheme="minorEastAsia"/>
          <w:lang w:bidi="he-IL"/>
        </w:rPr>
        <w:instrText>\</w:instrText>
      </w:r>
      <w:r w:rsidRPr="00D21F4B">
        <w:rPr>
          <w:rFonts w:hint="cs"/>
          <w:rtl/>
          <w:lang w:bidi="he-IL"/>
        </w:rPr>
        <w:instrText>"ן בסוגיא</w:instrText>
      </w:r>
      <w:r>
        <w:instrText xml:space="preserve">" </w:instrText>
      </w:r>
      <w:r>
        <w:rPr>
          <w:rFonts w:cs="Guttman Drogolin"/>
          <w:b/>
          <w:bCs/>
          <w:rtl/>
          <w:lang w:bidi="he-IL"/>
        </w:rPr>
        <w:fldChar w:fldCharType="end"/>
      </w:r>
      <w:r w:rsidR="0052517B" w:rsidRPr="00882F11">
        <w:rPr>
          <w:rFonts w:cs="Guttman Drogolin" w:hint="cs"/>
          <w:b/>
          <w:bCs/>
          <w:rtl/>
          <w:lang w:bidi="he-IL"/>
        </w:rPr>
        <w:t>שיטת הר"ן בדין אין הנאסר אוסר וכו'</w:t>
      </w:r>
    </w:p>
    <w:p w:rsidR="00675A99" w:rsidRPr="00882F11" w:rsidRDefault="0052517B" w:rsidP="0052517B">
      <w:pPr>
        <w:bidi/>
        <w:spacing w:after="0"/>
        <w:jc w:val="both"/>
        <w:rPr>
          <w:rFonts w:cs="Guttman Drogolin"/>
          <w:b/>
          <w:bCs/>
          <w:rtl/>
        </w:rPr>
      </w:pPr>
      <w:r w:rsidRPr="00882F11">
        <w:rPr>
          <w:rFonts w:cs="Guttman Drogolin" w:hint="cs"/>
          <w:b/>
          <w:bCs/>
          <w:rtl/>
          <w:lang w:bidi="he-IL"/>
        </w:rPr>
        <w:t xml:space="preserve">וכן בדין אין בליעה עובר מחתיכה לחתיכה בלי רוטב </w:t>
      </w:r>
    </w:p>
    <w:p w:rsidR="0052517B" w:rsidRPr="00882F11" w:rsidRDefault="0052517B" w:rsidP="00B00B8B">
      <w:pPr>
        <w:bidi/>
        <w:spacing w:after="0"/>
        <w:jc w:val="both"/>
        <w:rPr>
          <w:rFonts w:cs="Guttman Drogolin"/>
          <w:u w:val="single"/>
          <w:rtl/>
          <w:lang w:bidi="he-IL"/>
        </w:rPr>
      </w:pPr>
      <w:r w:rsidRPr="00882F11">
        <w:rPr>
          <w:rFonts w:cs="Guttman Drogolin" w:hint="cs"/>
          <w:b/>
          <w:bCs/>
          <w:u w:val="single"/>
          <w:rtl/>
          <w:lang w:bidi="he-IL"/>
        </w:rPr>
        <w:t>ביאור המתני' לשיטתו</w:t>
      </w:r>
    </w:p>
    <w:p w:rsidR="0059418E" w:rsidRPr="00882F11" w:rsidRDefault="00B26496" w:rsidP="000C6CEF">
      <w:pPr>
        <w:bidi/>
        <w:jc w:val="both"/>
        <w:rPr>
          <w:rFonts w:cs="Guttman Drogolin"/>
          <w:rtl/>
          <w:lang w:bidi="he-IL"/>
        </w:rPr>
      </w:pPr>
      <w:r>
        <w:rPr>
          <w:rFonts w:cs="Guttman Drogolin"/>
          <w:rtl/>
          <w:lang w:bidi="he-IL"/>
        </w:rPr>
        <w:fldChar w:fldCharType="begin"/>
      </w:r>
      <w:r>
        <w:instrText xml:space="preserve"> XE "</w:instrText>
      </w:r>
      <w:r w:rsidRPr="008A7006">
        <w:rPr>
          <w:rFonts w:hint="cs"/>
          <w:rtl/>
          <w:lang w:bidi="he-IL"/>
        </w:rPr>
        <w:instrText>חענ</w:instrText>
      </w:r>
      <w:r>
        <w:rPr>
          <w:rFonts w:eastAsiaTheme="minorEastAsia"/>
          <w:lang w:bidi="he-IL"/>
        </w:rPr>
        <w:instrText>\</w:instrText>
      </w:r>
      <w:r w:rsidRPr="008A7006">
        <w:rPr>
          <w:rFonts w:hint="cs"/>
          <w:rtl/>
          <w:lang w:bidi="he-IL"/>
        </w:rPr>
        <w:instrText>"ן בשאר איסורים</w:instrText>
      </w:r>
      <w:r w:rsidRPr="008A7006">
        <w:rPr>
          <w:rtl/>
        </w:rPr>
        <w:instrText>:</w:instrText>
      </w:r>
      <w:r w:rsidRPr="008A7006">
        <w:rPr>
          <w:rFonts w:hint="cs"/>
          <w:rtl/>
          <w:lang w:bidi="he-IL"/>
        </w:rPr>
        <w:instrText>אי אמרינן שהנאסר אוסר בקום שאין האיסור יכול להתפשט</w:instrText>
      </w:r>
      <w:r>
        <w:instrText xml:space="preserve">" </w:instrText>
      </w:r>
      <w:r>
        <w:rPr>
          <w:rFonts w:cs="Guttman Drogolin"/>
          <w:rtl/>
          <w:lang w:bidi="he-IL"/>
        </w:rPr>
        <w:fldChar w:fldCharType="end"/>
      </w:r>
      <w:r w:rsidR="0052517B" w:rsidRPr="00882F11">
        <w:rPr>
          <w:rFonts w:cs="Guttman Drogolin" w:hint="cs"/>
          <w:rtl/>
          <w:lang w:bidi="he-IL"/>
        </w:rPr>
        <w:t>כתוב ברישא של המתני' שבדף ק"ח ע"א "טיפת</w:t>
      </w:r>
      <w:r w:rsidR="0052517B" w:rsidRPr="00882F11">
        <w:rPr>
          <w:rFonts w:cs="Guttman Drogolin"/>
          <w:rtl/>
          <w:lang w:bidi="he-IL"/>
        </w:rPr>
        <w:t xml:space="preserve"> </w:t>
      </w:r>
      <w:r w:rsidR="0052517B" w:rsidRPr="00882F11">
        <w:rPr>
          <w:rFonts w:cs="Guttman Drogolin" w:hint="cs"/>
          <w:rtl/>
          <w:lang w:bidi="he-IL"/>
        </w:rPr>
        <w:t>חלב</w:t>
      </w:r>
      <w:r w:rsidR="0052517B" w:rsidRPr="00882F11">
        <w:rPr>
          <w:rFonts w:cs="Guttman Drogolin"/>
          <w:rtl/>
          <w:lang w:bidi="he-IL"/>
        </w:rPr>
        <w:t xml:space="preserve"> </w:t>
      </w:r>
      <w:r w:rsidR="0052517B" w:rsidRPr="00882F11">
        <w:rPr>
          <w:rFonts w:cs="Guttman Drogolin" w:hint="cs"/>
          <w:rtl/>
          <w:lang w:bidi="he-IL"/>
        </w:rPr>
        <w:t>שנפלה</w:t>
      </w:r>
      <w:r w:rsidR="0052517B" w:rsidRPr="00882F11">
        <w:rPr>
          <w:rFonts w:cs="Guttman Drogolin"/>
          <w:rtl/>
          <w:lang w:bidi="he-IL"/>
        </w:rPr>
        <w:t xml:space="preserve"> </w:t>
      </w:r>
      <w:r w:rsidR="0052517B" w:rsidRPr="00882F11">
        <w:rPr>
          <w:rFonts w:cs="Guttman Drogolin" w:hint="cs"/>
          <w:rtl/>
          <w:lang w:bidi="he-IL"/>
        </w:rPr>
        <w:t>על</w:t>
      </w:r>
      <w:r w:rsidR="0052517B" w:rsidRPr="00882F11">
        <w:rPr>
          <w:rFonts w:cs="Guttman Drogolin"/>
          <w:rtl/>
          <w:lang w:bidi="he-IL"/>
        </w:rPr>
        <w:t xml:space="preserve"> </w:t>
      </w:r>
      <w:r w:rsidR="0052517B" w:rsidRPr="00882F11">
        <w:rPr>
          <w:rFonts w:cs="Guttman Drogolin" w:hint="cs"/>
          <w:rtl/>
          <w:lang w:bidi="he-IL"/>
        </w:rPr>
        <w:t>החתיכה</w:t>
      </w:r>
      <w:r w:rsidR="0052517B" w:rsidRPr="00882F11">
        <w:rPr>
          <w:rFonts w:cs="Guttman Drogolin"/>
          <w:rtl/>
          <w:lang w:bidi="he-IL"/>
        </w:rPr>
        <w:t xml:space="preserve"> </w:t>
      </w:r>
      <w:r w:rsidR="0052517B" w:rsidRPr="00882F11">
        <w:rPr>
          <w:rFonts w:cs="Guttman Drogolin" w:hint="cs"/>
          <w:rtl/>
          <w:lang w:bidi="he-IL"/>
        </w:rPr>
        <w:t>אם</w:t>
      </w:r>
      <w:r w:rsidR="0052517B" w:rsidRPr="00882F11">
        <w:rPr>
          <w:rFonts w:cs="Guttman Drogolin"/>
          <w:rtl/>
          <w:lang w:bidi="he-IL"/>
        </w:rPr>
        <w:t xml:space="preserve"> </w:t>
      </w:r>
      <w:r w:rsidR="0052517B" w:rsidRPr="00882F11">
        <w:rPr>
          <w:rFonts w:cs="Guttman Drogolin" w:hint="cs"/>
          <w:rtl/>
          <w:lang w:bidi="he-IL"/>
        </w:rPr>
        <w:t>יש</w:t>
      </w:r>
      <w:r w:rsidR="0052517B" w:rsidRPr="00882F11">
        <w:rPr>
          <w:rFonts w:cs="Guttman Drogolin"/>
          <w:rtl/>
          <w:lang w:bidi="he-IL"/>
        </w:rPr>
        <w:t xml:space="preserve"> </w:t>
      </w:r>
      <w:r w:rsidR="0052517B" w:rsidRPr="00882F11">
        <w:rPr>
          <w:rFonts w:cs="Guttman Drogolin" w:hint="cs"/>
          <w:rtl/>
          <w:lang w:bidi="he-IL"/>
        </w:rPr>
        <w:t>בה</w:t>
      </w:r>
      <w:r w:rsidR="0052517B" w:rsidRPr="00882F11">
        <w:rPr>
          <w:rFonts w:cs="Guttman Drogolin"/>
          <w:rtl/>
          <w:lang w:bidi="he-IL"/>
        </w:rPr>
        <w:t xml:space="preserve"> </w:t>
      </w:r>
      <w:r w:rsidR="0052517B" w:rsidRPr="00882F11">
        <w:rPr>
          <w:rFonts w:cs="Guttman Drogolin" w:hint="cs"/>
          <w:rtl/>
          <w:lang w:bidi="he-IL"/>
        </w:rPr>
        <w:t>בנותן</w:t>
      </w:r>
      <w:r w:rsidR="0052517B" w:rsidRPr="00882F11">
        <w:rPr>
          <w:rFonts w:cs="Guttman Drogolin"/>
          <w:rtl/>
          <w:lang w:bidi="he-IL"/>
        </w:rPr>
        <w:t xml:space="preserve"> </w:t>
      </w:r>
      <w:r w:rsidR="0052517B" w:rsidRPr="00882F11">
        <w:rPr>
          <w:rFonts w:cs="Guttman Drogolin" w:hint="cs"/>
          <w:rtl/>
          <w:lang w:bidi="he-IL"/>
        </w:rPr>
        <w:t>טעם</w:t>
      </w:r>
      <w:r w:rsidR="0052517B" w:rsidRPr="00882F11">
        <w:rPr>
          <w:rFonts w:cs="Guttman Drogolin"/>
          <w:rtl/>
          <w:lang w:bidi="he-IL"/>
        </w:rPr>
        <w:t xml:space="preserve"> </w:t>
      </w:r>
      <w:r w:rsidR="0052517B" w:rsidRPr="00882F11">
        <w:rPr>
          <w:rFonts w:cs="Guttman Drogolin" w:hint="cs"/>
          <w:rtl/>
          <w:lang w:bidi="he-IL"/>
        </w:rPr>
        <w:t>באותה</w:t>
      </w:r>
      <w:r w:rsidR="0052517B" w:rsidRPr="00882F11">
        <w:rPr>
          <w:rFonts w:cs="Guttman Drogolin"/>
          <w:rtl/>
          <w:lang w:bidi="he-IL"/>
        </w:rPr>
        <w:t xml:space="preserve"> </w:t>
      </w:r>
      <w:r w:rsidR="0052517B" w:rsidRPr="00882F11">
        <w:rPr>
          <w:rFonts w:cs="Guttman Drogolin" w:hint="cs"/>
          <w:rtl/>
          <w:lang w:bidi="he-IL"/>
        </w:rPr>
        <w:t>חתיכה</w:t>
      </w:r>
      <w:r w:rsidR="0052517B" w:rsidRPr="00882F11">
        <w:rPr>
          <w:rFonts w:cs="Guttman Drogolin"/>
          <w:rtl/>
          <w:lang w:bidi="he-IL"/>
        </w:rPr>
        <w:t xml:space="preserve"> </w:t>
      </w:r>
      <w:r w:rsidR="0052517B" w:rsidRPr="00882F11">
        <w:rPr>
          <w:rFonts w:cs="Guttman Drogolin" w:hint="cs"/>
          <w:rtl/>
          <w:lang w:bidi="he-IL"/>
        </w:rPr>
        <w:t>אסור". ונחלקו ר</w:t>
      </w:r>
      <w:r w:rsidR="000F0F07" w:rsidRPr="00882F11">
        <w:rPr>
          <w:rFonts w:cs="Guttman Drogolin" w:hint="cs"/>
          <w:rtl/>
          <w:lang w:bidi="he-IL"/>
        </w:rPr>
        <w:t>ש</w:t>
      </w:r>
      <w:r w:rsidR="0052517B" w:rsidRPr="00882F11">
        <w:rPr>
          <w:rFonts w:cs="Guttman Drogolin" w:hint="cs"/>
          <w:rtl/>
          <w:lang w:bidi="he-IL"/>
        </w:rPr>
        <w:t>"י ו</w:t>
      </w:r>
      <w:r w:rsidR="000F0F07" w:rsidRPr="00882F11">
        <w:rPr>
          <w:rFonts w:cs="Guttman Drogolin" w:hint="cs"/>
          <w:rtl/>
          <w:lang w:bidi="he-IL"/>
        </w:rPr>
        <w:t xml:space="preserve">תוס' </w:t>
      </w:r>
      <w:r w:rsidR="0052517B" w:rsidRPr="00882F11">
        <w:rPr>
          <w:rFonts w:cs="Guttman Drogolin" w:hint="cs"/>
          <w:rtl/>
          <w:lang w:bidi="he-IL"/>
        </w:rPr>
        <w:t xml:space="preserve">מהו הפירוש בלשון 'אסור'. רש"י פירש שבלשון אסור כוונת המתני' לומר שכל הקדירה אסורה. </w:t>
      </w:r>
      <w:r w:rsidR="00FD2A5D">
        <w:rPr>
          <w:rFonts w:cs="Guttman Drogolin"/>
          <w:rtl/>
          <w:lang w:bidi="he-IL"/>
        </w:rPr>
        <w:fldChar w:fldCharType="begin"/>
      </w:r>
      <w:r w:rsidR="00FD2A5D">
        <w:instrText xml:space="preserve"> XE "</w:instrText>
      </w:r>
      <w:r w:rsidR="00FD2A5D" w:rsidRPr="00D7622D">
        <w:rPr>
          <w:rFonts w:hint="cs"/>
          <w:rtl/>
          <w:lang w:bidi="he-IL"/>
        </w:rPr>
        <w:instrText>צלי</w:instrText>
      </w:r>
      <w:r w:rsidR="00FD2A5D" w:rsidRPr="00D7622D">
        <w:rPr>
          <w:rtl/>
        </w:rPr>
        <w:instrText>:</w:instrText>
      </w:r>
      <w:r w:rsidR="00FD2A5D" w:rsidRPr="00D7622D">
        <w:rPr>
          <w:rFonts w:hint="cs"/>
          <w:rtl/>
          <w:lang w:bidi="he-IL"/>
        </w:rPr>
        <w:instrText>מה הדין בחתיכה שמקצתה בתוך הרוטב</w:instrText>
      </w:r>
      <w:r w:rsidR="00FD2A5D">
        <w:instrText xml:space="preserve">" </w:instrText>
      </w:r>
      <w:r w:rsidR="00FD2A5D">
        <w:rPr>
          <w:rFonts w:cs="Guttman Drogolin"/>
          <w:rtl/>
          <w:lang w:bidi="he-IL"/>
        </w:rPr>
        <w:fldChar w:fldCharType="end"/>
      </w:r>
      <w:r w:rsidR="00FD2A5D">
        <w:rPr>
          <w:rFonts w:cs="Guttman Drogolin"/>
          <w:rtl/>
          <w:lang w:bidi="he-IL"/>
        </w:rPr>
        <w:fldChar w:fldCharType="begin"/>
      </w:r>
      <w:r w:rsidR="00FD2A5D">
        <w:instrText xml:space="preserve"> XE "</w:instrText>
      </w:r>
      <w:r w:rsidR="00FD2A5D" w:rsidRPr="00775E3D">
        <w:rPr>
          <w:rFonts w:hint="cs"/>
          <w:rtl/>
          <w:lang w:bidi="he-IL"/>
        </w:rPr>
        <w:instrText>בישול</w:instrText>
      </w:r>
      <w:r w:rsidR="00FD2A5D" w:rsidRPr="00775E3D">
        <w:rPr>
          <w:rtl/>
        </w:rPr>
        <w:instrText>:</w:instrText>
      </w:r>
      <w:r w:rsidR="00FD2A5D" w:rsidRPr="00775E3D">
        <w:rPr>
          <w:rFonts w:hint="cs"/>
          <w:rtl/>
          <w:lang w:bidi="he-IL"/>
        </w:rPr>
        <w:instrText>מה הדין בחתיכה שמקצתה בתוך הרוטב</w:instrText>
      </w:r>
      <w:r w:rsidR="00FD2A5D">
        <w:instrText xml:space="preserve">" </w:instrText>
      </w:r>
      <w:r w:rsidR="00FD2A5D">
        <w:rPr>
          <w:rFonts w:cs="Guttman Drogolin"/>
          <w:rtl/>
          <w:lang w:bidi="he-IL"/>
        </w:rPr>
        <w:fldChar w:fldCharType="end"/>
      </w:r>
      <w:r w:rsidR="0052517B" w:rsidRPr="00882F11">
        <w:rPr>
          <w:rFonts w:cs="Guttman Drogolin" w:hint="cs"/>
          <w:rtl/>
          <w:lang w:bidi="he-IL"/>
        </w:rPr>
        <w:t xml:space="preserve">והרבה מביאים שלשיטת רש"י מיירי בחתיכה שהיא מקצתה בתוך הרוטב, ולכן החתיכה נאסרת ונעשית נבילה, ושוב אוסרת כל הקדירה כולה כיון שמין במינו לא בטל. </w:t>
      </w:r>
      <w:r w:rsidR="000C6CEF" w:rsidRPr="00882F11">
        <w:rPr>
          <w:rFonts w:cs="Guttman Drogolin" w:hint="cs"/>
          <w:rtl/>
          <w:lang w:bidi="he-IL"/>
        </w:rPr>
        <w:t>והראשונים</w:t>
      </w:r>
      <w:r w:rsidR="000C6CEF" w:rsidRPr="00882F11">
        <w:rPr>
          <w:rFonts w:cs="Guttman Drogolin"/>
          <w:rtl/>
          <w:lang w:bidi="he-IL"/>
        </w:rPr>
        <w:t xml:space="preserve"> </w:t>
      </w:r>
      <w:r w:rsidR="000C6CEF" w:rsidRPr="00882F11">
        <w:rPr>
          <w:rFonts w:cs="Guttman Drogolin" w:hint="cs"/>
          <w:rtl/>
          <w:lang w:bidi="he-IL"/>
        </w:rPr>
        <w:t>העירו</w:t>
      </w:r>
      <w:r w:rsidR="000C6CEF" w:rsidRPr="00882F11">
        <w:rPr>
          <w:rFonts w:cs="Guttman Drogolin"/>
          <w:rtl/>
          <w:lang w:bidi="he-IL"/>
        </w:rPr>
        <w:t xml:space="preserve"> </w:t>
      </w:r>
      <w:r w:rsidR="000C6CEF" w:rsidRPr="00882F11">
        <w:rPr>
          <w:rFonts w:cs="Guttman Drogolin" w:hint="cs"/>
          <w:rtl/>
          <w:lang w:bidi="he-IL"/>
        </w:rPr>
        <w:t>שלפי</w:t>
      </w:r>
      <w:r w:rsidR="000C6CEF" w:rsidRPr="00882F11">
        <w:rPr>
          <w:rFonts w:cs="Guttman Drogolin"/>
          <w:rtl/>
          <w:lang w:bidi="he-IL"/>
        </w:rPr>
        <w:t xml:space="preserve"> </w:t>
      </w:r>
      <w:r w:rsidR="000C6CEF" w:rsidRPr="00882F11">
        <w:rPr>
          <w:rFonts w:cs="Guttman Drogolin" w:hint="cs"/>
          <w:rtl/>
          <w:lang w:bidi="he-IL"/>
        </w:rPr>
        <w:t>פירושו</w:t>
      </w:r>
      <w:r w:rsidR="000C6CEF" w:rsidRPr="00882F11">
        <w:rPr>
          <w:rFonts w:cs="Guttman Drogolin"/>
          <w:rtl/>
          <w:lang w:bidi="he-IL"/>
        </w:rPr>
        <w:t xml:space="preserve"> </w:t>
      </w:r>
      <w:r w:rsidR="000C6CEF" w:rsidRPr="00882F11">
        <w:rPr>
          <w:rFonts w:cs="Guttman Drogolin" w:hint="cs"/>
          <w:rtl/>
          <w:lang w:bidi="he-IL"/>
        </w:rPr>
        <w:t>של</w:t>
      </w:r>
      <w:r w:rsidR="000C6CEF" w:rsidRPr="00882F11">
        <w:rPr>
          <w:rFonts w:cs="Guttman Drogolin"/>
          <w:rtl/>
          <w:lang w:bidi="he-IL"/>
        </w:rPr>
        <w:t xml:space="preserve"> </w:t>
      </w:r>
      <w:r w:rsidR="000C6CEF" w:rsidRPr="00882F11">
        <w:rPr>
          <w:rFonts w:cs="Guttman Drogolin" w:hint="cs"/>
          <w:rtl/>
          <w:lang w:bidi="he-IL"/>
        </w:rPr>
        <w:t>רש</w:t>
      </w:r>
      <w:r w:rsidR="000C6CEF" w:rsidRPr="00882F11">
        <w:rPr>
          <w:rFonts w:cs="Guttman Drogolin"/>
          <w:rtl/>
          <w:lang w:bidi="he-IL"/>
        </w:rPr>
        <w:t>"</w:t>
      </w:r>
      <w:r w:rsidR="000C6CEF" w:rsidRPr="00882F11">
        <w:rPr>
          <w:rFonts w:cs="Guttman Drogolin" w:hint="cs"/>
          <w:rtl/>
          <w:lang w:bidi="he-IL"/>
        </w:rPr>
        <w:t>י</w:t>
      </w:r>
      <w:r w:rsidR="000C6CEF" w:rsidRPr="00882F11">
        <w:rPr>
          <w:rFonts w:cs="Guttman Drogolin"/>
          <w:rtl/>
          <w:lang w:bidi="he-IL"/>
        </w:rPr>
        <w:t xml:space="preserve"> </w:t>
      </w:r>
      <w:r w:rsidR="000C6CEF" w:rsidRPr="00882F11">
        <w:rPr>
          <w:rFonts w:cs="Guttman Drogolin" w:hint="cs"/>
          <w:rtl/>
          <w:lang w:bidi="he-IL"/>
        </w:rPr>
        <w:t>יש</w:t>
      </w:r>
      <w:r w:rsidR="000C6CEF" w:rsidRPr="00882F11">
        <w:rPr>
          <w:rFonts w:cs="Guttman Drogolin"/>
          <w:rtl/>
          <w:lang w:bidi="he-IL"/>
        </w:rPr>
        <w:t xml:space="preserve"> </w:t>
      </w:r>
      <w:r w:rsidR="000C6CEF" w:rsidRPr="00882F11">
        <w:rPr>
          <w:rFonts w:cs="Guttman Drogolin" w:hint="cs"/>
          <w:rtl/>
          <w:lang w:bidi="he-IL"/>
        </w:rPr>
        <w:t>ריוח</w:t>
      </w:r>
      <w:r w:rsidR="000C6CEF" w:rsidRPr="00882F11">
        <w:rPr>
          <w:rFonts w:cs="Guttman Drogolin"/>
          <w:rtl/>
          <w:lang w:bidi="he-IL"/>
        </w:rPr>
        <w:t xml:space="preserve"> </w:t>
      </w:r>
      <w:r w:rsidR="000C6CEF" w:rsidRPr="00882F11">
        <w:rPr>
          <w:rFonts w:cs="Guttman Drogolin" w:hint="cs"/>
          <w:rtl/>
          <w:lang w:bidi="he-IL"/>
        </w:rPr>
        <w:t>בפירוש</w:t>
      </w:r>
      <w:r w:rsidR="000C6CEF" w:rsidRPr="00882F11">
        <w:rPr>
          <w:rFonts w:cs="Guttman Drogolin"/>
          <w:rtl/>
          <w:lang w:bidi="he-IL"/>
        </w:rPr>
        <w:t xml:space="preserve"> </w:t>
      </w:r>
      <w:r w:rsidR="000C6CEF" w:rsidRPr="00882F11">
        <w:rPr>
          <w:rFonts w:cs="Guttman Drogolin" w:hint="cs"/>
          <w:rtl/>
          <w:lang w:bidi="he-IL"/>
        </w:rPr>
        <w:t>דברי</w:t>
      </w:r>
      <w:r w:rsidR="000C6CEF" w:rsidRPr="00882F11">
        <w:rPr>
          <w:rFonts w:cs="Guttman Drogolin"/>
          <w:rtl/>
          <w:lang w:bidi="he-IL"/>
        </w:rPr>
        <w:t xml:space="preserve"> </w:t>
      </w:r>
      <w:r w:rsidR="000C6CEF" w:rsidRPr="00882F11">
        <w:rPr>
          <w:rFonts w:cs="Guttman Drogolin" w:hint="cs"/>
          <w:rtl/>
          <w:lang w:bidi="he-IL"/>
        </w:rPr>
        <w:t>רב</w:t>
      </w:r>
      <w:r w:rsidR="000C6CEF" w:rsidRPr="00882F11">
        <w:rPr>
          <w:rFonts w:cs="Guttman Drogolin"/>
          <w:rtl/>
          <w:lang w:bidi="he-IL"/>
        </w:rPr>
        <w:t xml:space="preserve">, </w:t>
      </w:r>
      <w:r w:rsidR="000C6CEF" w:rsidRPr="00882F11">
        <w:rPr>
          <w:rFonts w:cs="Guttman Drogolin" w:hint="cs"/>
          <w:rtl/>
          <w:lang w:bidi="he-IL"/>
        </w:rPr>
        <w:t>שהדין</w:t>
      </w:r>
      <w:r w:rsidR="000C6CEF" w:rsidRPr="00882F11">
        <w:rPr>
          <w:rFonts w:cs="Guttman Drogolin"/>
          <w:rtl/>
          <w:lang w:bidi="he-IL"/>
        </w:rPr>
        <w:t xml:space="preserve"> </w:t>
      </w:r>
      <w:r w:rsidR="000C6CEF" w:rsidRPr="00882F11">
        <w:rPr>
          <w:rFonts w:cs="Guttman Drogolin" w:hint="cs"/>
          <w:rtl/>
          <w:lang w:bidi="he-IL"/>
        </w:rPr>
        <w:t>שהוא</w:t>
      </w:r>
      <w:r w:rsidR="000C6CEF" w:rsidRPr="00882F11">
        <w:rPr>
          <w:rFonts w:cs="Guttman Drogolin"/>
          <w:rtl/>
          <w:lang w:bidi="he-IL"/>
        </w:rPr>
        <w:t xml:space="preserve"> </w:t>
      </w:r>
      <w:r w:rsidR="000C6CEF" w:rsidRPr="00882F11">
        <w:rPr>
          <w:rFonts w:cs="Guttman Drogolin" w:hint="cs"/>
          <w:rtl/>
          <w:lang w:bidi="he-IL"/>
        </w:rPr>
        <w:t>אוסר</w:t>
      </w:r>
      <w:r w:rsidR="000C6CEF" w:rsidRPr="00882F11">
        <w:rPr>
          <w:rFonts w:cs="Guttman Drogolin"/>
          <w:rtl/>
          <w:lang w:bidi="he-IL"/>
        </w:rPr>
        <w:t xml:space="preserve"> </w:t>
      </w:r>
      <w:r w:rsidR="000C6CEF" w:rsidRPr="00882F11">
        <w:rPr>
          <w:rFonts w:cs="Guttman Drogolin" w:hint="cs"/>
          <w:rtl/>
          <w:lang w:bidi="he-IL"/>
        </w:rPr>
        <w:t>את</w:t>
      </w:r>
      <w:r w:rsidR="000C6CEF" w:rsidRPr="00882F11">
        <w:rPr>
          <w:rFonts w:cs="Guttman Drogolin"/>
          <w:rtl/>
          <w:lang w:bidi="he-IL"/>
        </w:rPr>
        <w:t xml:space="preserve"> </w:t>
      </w:r>
      <w:r w:rsidR="000C6CEF" w:rsidRPr="00882F11">
        <w:rPr>
          <w:rFonts w:cs="Guttman Drogolin" w:hint="cs"/>
          <w:rtl/>
          <w:lang w:bidi="he-IL"/>
        </w:rPr>
        <w:t>כל</w:t>
      </w:r>
      <w:r w:rsidR="000C6CEF" w:rsidRPr="00882F11">
        <w:rPr>
          <w:rFonts w:cs="Guttman Drogolin"/>
          <w:rtl/>
          <w:lang w:bidi="he-IL"/>
        </w:rPr>
        <w:t xml:space="preserve"> </w:t>
      </w:r>
      <w:r w:rsidR="000C6CEF" w:rsidRPr="00882F11">
        <w:rPr>
          <w:rFonts w:cs="Guttman Drogolin" w:hint="cs"/>
          <w:rtl/>
          <w:lang w:bidi="he-IL"/>
        </w:rPr>
        <w:t>החתיכות</w:t>
      </w:r>
      <w:r w:rsidR="000C6CEF" w:rsidRPr="00882F11">
        <w:rPr>
          <w:rFonts w:cs="Guttman Drogolin"/>
          <w:rtl/>
          <w:lang w:bidi="he-IL"/>
        </w:rPr>
        <w:t xml:space="preserve"> </w:t>
      </w:r>
      <w:r w:rsidR="000C6CEF" w:rsidRPr="00882F11">
        <w:rPr>
          <w:rFonts w:cs="Guttman Drogolin" w:hint="cs"/>
          <w:rtl/>
          <w:lang w:bidi="he-IL"/>
        </w:rPr>
        <w:t>כולן</w:t>
      </w:r>
      <w:r w:rsidR="000C6CEF" w:rsidRPr="00882F11">
        <w:rPr>
          <w:rFonts w:cs="Guttman Drogolin"/>
          <w:rtl/>
          <w:lang w:bidi="he-IL"/>
        </w:rPr>
        <w:t xml:space="preserve"> </w:t>
      </w:r>
      <w:r w:rsidR="000C6CEF" w:rsidRPr="00882F11">
        <w:rPr>
          <w:rFonts w:cs="Guttman Drogolin" w:hint="cs"/>
          <w:rtl/>
          <w:lang w:bidi="he-IL"/>
        </w:rPr>
        <w:t>מבואר</w:t>
      </w:r>
      <w:r w:rsidR="000C6CEF" w:rsidRPr="00882F11">
        <w:rPr>
          <w:rFonts w:cs="Guttman Drogolin"/>
          <w:rtl/>
          <w:lang w:bidi="he-IL"/>
        </w:rPr>
        <w:t xml:space="preserve"> </w:t>
      </w:r>
      <w:r w:rsidR="000C6CEF" w:rsidRPr="00882F11">
        <w:rPr>
          <w:rFonts w:cs="Guttman Drogolin" w:hint="cs"/>
          <w:rtl/>
          <w:lang w:bidi="he-IL"/>
        </w:rPr>
        <w:t>במתני</w:t>
      </w:r>
      <w:r w:rsidR="000C6CEF" w:rsidRPr="00882F11">
        <w:rPr>
          <w:rFonts w:cs="Guttman Drogolin"/>
          <w:rtl/>
          <w:lang w:bidi="he-IL"/>
        </w:rPr>
        <w:t xml:space="preserve">', </w:t>
      </w:r>
      <w:r w:rsidR="000C6CEF" w:rsidRPr="00882F11">
        <w:rPr>
          <w:rFonts w:cs="Guttman Drogolin" w:hint="cs"/>
          <w:rtl/>
          <w:lang w:bidi="he-IL"/>
        </w:rPr>
        <w:t>שזהו</w:t>
      </w:r>
      <w:r w:rsidR="000C6CEF" w:rsidRPr="00882F11">
        <w:rPr>
          <w:rFonts w:cs="Guttman Drogolin"/>
          <w:rtl/>
          <w:lang w:bidi="he-IL"/>
        </w:rPr>
        <w:t xml:space="preserve"> </w:t>
      </w:r>
      <w:r w:rsidR="000C6CEF" w:rsidRPr="00882F11">
        <w:rPr>
          <w:rFonts w:cs="Guttman Drogolin" w:hint="cs"/>
          <w:rtl/>
          <w:lang w:bidi="he-IL"/>
        </w:rPr>
        <w:t>ה</w:t>
      </w:r>
      <w:r w:rsidR="000C6CEF" w:rsidRPr="00882F11">
        <w:rPr>
          <w:rFonts w:cs="Guttman Drogolin"/>
          <w:rtl/>
          <w:lang w:bidi="he-IL"/>
        </w:rPr>
        <w:t>'</w:t>
      </w:r>
      <w:r w:rsidR="000C6CEF" w:rsidRPr="00882F11">
        <w:rPr>
          <w:rFonts w:cs="Guttman Drogolin" w:hint="cs"/>
          <w:rtl/>
          <w:lang w:bidi="he-IL"/>
        </w:rPr>
        <w:t>אסור</w:t>
      </w:r>
      <w:r w:rsidR="000C6CEF" w:rsidRPr="00882F11">
        <w:rPr>
          <w:rFonts w:cs="Guttman Drogolin"/>
          <w:rtl/>
          <w:lang w:bidi="he-IL"/>
        </w:rPr>
        <w:t xml:space="preserve">' </w:t>
      </w:r>
      <w:r w:rsidR="000C6CEF" w:rsidRPr="00882F11">
        <w:rPr>
          <w:rFonts w:cs="Guttman Drogolin" w:hint="cs"/>
          <w:rtl/>
          <w:lang w:bidi="he-IL"/>
        </w:rPr>
        <w:t>דמתני</w:t>
      </w:r>
      <w:r w:rsidR="000C6CEF" w:rsidRPr="00882F11">
        <w:rPr>
          <w:rFonts w:cs="Guttman Drogolin"/>
          <w:rtl/>
          <w:lang w:bidi="he-IL"/>
        </w:rPr>
        <w:t>'</w:t>
      </w:r>
      <w:r w:rsidR="00DB2791" w:rsidRPr="00882F11">
        <w:rPr>
          <w:rStyle w:val="FootnoteReference"/>
          <w:rFonts w:cs="Guttman Drogolin"/>
          <w:rtl/>
          <w:lang w:bidi="he-IL"/>
        </w:rPr>
        <w:footnoteReference w:id="106"/>
      </w:r>
      <w:r w:rsidR="000C6CEF" w:rsidRPr="00882F11">
        <w:rPr>
          <w:rFonts w:cs="Guttman Drogolin"/>
          <w:rtl/>
          <w:lang w:bidi="he-IL"/>
        </w:rPr>
        <w:t xml:space="preserve">. </w:t>
      </w:r>
      <w:r w:rsidR="0052517B" w:rsidRPr="00882F11">
        <w:rPr>
          <w:rFonts w:cs="Guttman Drogolin" w:hint="cs"/>
          <w:rtl/>
          <w:lang w:bidi="he-IL"/>
        </w:rPr>
        <w:t>ו</w:t>
      </w:r>
      <w:r w:rsidR="000F0F07" w:rsidRPr="00882F11">
        <w:rPr>
          <w:rFonts w:cs="Guttman Drogolin" w:hint="cs"/>
          <w:rtl/>
          <w:lang w:bidi="he-IL"/>
        </w:rPr>
        <w:t>תוס'</w:t>
      </w:r>
      <w:r w:rsidR="0052517B" w:rsidRPr="00882F11">
        <w:rPr>
          <w:rFonts w:cs="Guttman Drogolin" w:hint="cs"/>
          <w:rtl/>
          <w:lang w:bidi="he-IL"/>
        </w:rPr>
        <w:t xml:space="preserve"> מפרש</w:t>
      </w:r>
      <w:r w:rsidR="000F0F07" w:rsidRPr="00882F11">
        <w:rPr>
          <w:rFonts w:cs="Guttman Drogolin" w:hint="cs"/>
          <w:rtl/>
          <w:lang w:bidi="he-IL"/>
        </w:rPr>
        <w:t xml:space="preserve">ים שבלשון 'אסור' כוונת המתני' לאסור החתיכה, אבל שאר הקדירה לא יהא אסור אא"כ מנער אותה לאחר שנאסרה. ולשיטתם מיירי </w:t>
      </w:r>
      <w:r w:rsidR="0059418E" w:rsidRPr="00882F11">
        <w:rPr>
          <w:rFonts w:cs="Guttman Drogolin" w:hint="cs"/>
          <w:rtl/>
          <w:lang w:bidi="he-IL"/>
        </w:rPr>
        <w:t xml:space="preserve">בחתיכת איסור שמונח ע"ג חתיכת היתר באופן שאין החתיכה של איסור בתוך הרוטב כלל. </w:t>
      </w:r>
      <w:r w:rsidR="000F0F07" w:rsidRPr="00882F11">
        <w:rPr>
          <w:rFonts w:cs="Guttman Drogolin" w:hint="cs"/>
          <w:rtl/>
          <w:lang w:bidi="he-IL"/>
        </w:rPr>
        <w:t xml:space="preserve">ופירושם של התוס' בנוי' על ב' יסודות, א' </w:t>
      </w:r>
      <w:r>
        <w:rPr>
          <w:rFonts w:cs="Guttman Drogolin"/>
          <w:rtl/>
          <w:lang w:bidi="he-IL"/>
        </w:rPr>
        <w:fldChar w:fldCharType="begin"/>
      </w:r>
      <w:r>
        <w:instrText xml:space="preserve"> XE "</w:instrText>
      </w:r>
      <w:r w:rsidRPr="00A1646C">
        <w:rPr>
          <w:rFonts w:hint="cs"/>
          <w:rtl/>
          <w:lang w:bidi="he-IL"/>
        </w:rPr>
        <w:instrText>העברת טעם</w:instrText>
      </w:r>
      <w:r w:rsidRPr="00A1646C">
        <w:rPr>
          <w:rtl/>
        </w:rPr>
        <w:instrText>:</w:instrText>
      </w:r>
      <w:r w:rsidRPr="00A1646C">
        <w:rPr>
          <w:rFonts w:hint="cs"/>
          <w:rtl/>
          <w:lang w:bidi="he-IL"/>
        </w:rPr>
        <w:instrText>מחתיכה לחתיכה בלי רוטב</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4C5CA3">
        <w:rPr>
          <w:rFonts w:hint="cs"/>
          <w:rtl/>
          <w:lang w:bidi="he-IL"/>
        </w:rPr>
        <w:instrText>אין בליעה עוברת מחתיכה לחתיכה בלי רוטב</w:instrText>
      </w:r>
      <w:r w:rsidRPr="004C5CA3">
        <w:rPr>
          <w:rtl/>
        </w:rPr>
        <w:instrText>:</w:instrText>
      </w:r>
      <w:r w:rsidRPr="004C5CA3">
        <w:rPr>
          <w:rFonts w:hint="cs"/>
          <w:rtl/>
          <w:lang w:bidi="he-IL"/>
        </w:rPr>
        <w:instrText>מחלוקת הראשונים בזה</w:instrText>
      </w:r>
      <w:r>
        <w:instrText xml:space="preserve">" </w:instrText>
      </w:r>
      <w:r>
        <w:rPr>
          <w:rFonts w:cs="Guttman Drogolin"/>
          <w:rtl/>
          <w:lang w:bidi="he-IL"/>
        </w:rPr>
        <w:fldChar w:fldCharType="end"/>
      </w:r>
      <w:r w:rsidR="000F0F07" w:rsidRPr="00882F11">
        <w:rPr>
          <w:rFonts w:cs="Guttman Drogolin" w:hint="cs"/>
          <w:rtl/>
          <w:lang w:bidi="he-IL"/>
        </w:rPr>
        <w:t xml:space="preserve">שאין בליעה עובר מחתיכה לחתיכה בלי רוטב, ולכן אין משערים ס' אלא בחתיכה שנפלה עליו הטיפה של חלב. וב', שאין הנאסר אוסר במקום שהאיסור אינו יכול להתפשט, ולכן אע"פ שהחתיכה נע"נ, מ"מ אין בכח החתיכה </w:t>
      </w:r>
      <w:r w:rsidR="000F0F07" w:rsidRPr="00882F11">
        <w:rPr>
          <w:rFonts w:cs="Guttman Drogolin" w:hint="cs"/>
          <w:rtl/>
          <w:lang w:bidi="he-IL"/>
        </w:rPr>
        <w:lastRenderedPageBreak/>
        <w:t>לאסור את שאר הקדירה כיון שאין הבליעה שאסרה יוצא מן החתיכה.</w:t>
      </w:r>
      <w:r w:rsidR="000C6CEF" w:rsidRPr="00882F11">
        <w:rPr>
          <w:rFonts w:cs="Guttman Drogolin" w:hint="cs"/>
          <w:rtl/>
          <w:lang w:bidi="he-IL"/>
        </w:rPr>
        <w:t xml:space="preserve"> יוצא שלשיטת התוס</w:t>
      </w:r>
      <w:r w:rsidR="000C6CEF" w:rsidRPr="00882F11">
        <w:rPr>
          <w:rFonts w:cs="Guttman Drogolin"/>
          <w:rtl/>
          <w:lang w:bidi="he-IL"/>
        </w:rPr>
        <w:t xml:space="preserve">' </w:t>
      </w:r>
      <w:r w:rsidR="000C6CEF" w:rsidRPr="00882F11">
        <w:rPr>
          <w:rFonts w:cs="Guttman Drogolin" w:hint="cs"/>
          <w:rtl/>
          <w:lang w:bidi="he-IL"/>
        </w:rPr>
        <w:t>לא</w:t>
      </w:r>
      <w:r w:rsidR="000C6CEF" w:rsidRPr="00882F11">
        <w:rPr>
          <w:rFonts w:cs="Guttman Drogolin"/>
          <w:rtl/>
          <w:lang w:bidi="he-IL"/>
        </w:rPr>
        <w:t xml:space="preserve"> </w:t>
      </w:r>
      <w:r w:rsidR="000C6CEF" w:rsidRPr="00882F11">
        <w:rPr>
          <w:rFonts w:cs="Guttman Drogolin" w:hint="cs"/>
          <w:rtl/>
          <w:lang w:bidi="he-IL"/>
        </w:rPr>
        <w:t>מוזכר</w:t>
      </w:r>
      <w:r w:rsidR="000C6CEF" w:rsidRPr="00882F11">
        <w:rPr>
          <w:rFonts w:cs="Guttman Drogolin"/>
          <w:rtl/>
          <w:lang w:bidi="he-IL"/>
        </w:rPr>
        <w:t xml:space="preserve"> </w:t>
      </w:r>
      <w:r w:rsidR="000C6CEF" w:rsidRPr="00882F11">
        <w:rPr>
          <w:rFonts w:cs="Guttman Drogolin" w:hint="cs"/>
          <w:rtl/>
          <w:lang w:bidi="he-IL"/>
        </w:rPr>
        <w:t>הכח</w:t>
      </w:r>
      <w:r w:rsidR="000C6CEF" w:rsidRPr="00882F11">
        <w:rPr>
          <w:rFonts w:cs="Guttman Drogolin"/>
          <w:rtl/>
          <w:lang w:bidi="he-IL"/>
        </w:rPr>
        <w:t xml:space="preserve"> </w:t>
      </w:r>
      <w:r w:rsidR="000C6CEF" w:rsidRPr="00882F11">
        <w:rPr>
          <w:rFonts w:cs="Guttman Drogolin" w:hint="cs"/>
          <w:rtl/>
          <w:lang w:bidi="he-IL"/>
        </w:rPr>
        <w:t>של</w:t>
      </w:r>
      <w:r w:rsidR="000C6CEF" w:rsidRPr="00882F11">
        <w:rPr>
          <w:rFonts w:cs="Guttman Drogolin"/>
          <w:rtl/>
          <w:lang w:bidi="he-IL"/>
        </w:rPr>
        <w:t xml:space="preserve"> </w:t>
      </w:r>
      <w:r w:rsidR="000C6CEF" w:rsidRPr="00882F11">
        <w:rPr>
          <w:rFonts w:cs="Guttman Drogolin" w:hint="cs"/>
          <w:rtl/>
          <w:lang w:bidi="he-IL"/>
        </w:rPr>
        <w:t>החתיכה</w:t>
      </w:r>
      <w:r w:rsidR="000C6CEF" w:rsidRPr="00882F11">
        <w:rPr>
          <w:rFonts w:cs="Guttman Drogolin"/>
          <w:rtl/>
          <w:lang w:bidi="he-IL"/>
        </w:rPr>
        <w:t xml:space="preserve"> </w:t>
      </w:r>
      <w:r w:rsidR="000C6CEF" w:rsidRPr="00882F11">
        <w:rPr>
          <w:rFonts w:cs="Guttman Drogolin" w:hint="cs"/>
          <w:rtl/>
          <w:lang w:bidi="he-IL"/>
        </w:rPr>
        <w:t>לאסור</w:t>
      </w:r>
      <w:r w:rsidR="000C6CEF" w:rsidRPr="00882F11">
        <w:rPr>
          <w:rFonts w:cs="Guttman Drogolin"/>
          <w:rtl/>
          <w:lang w:bidi="he-IL"/>
        </w:rPr>
        <w:t xml:space="preserve"> </w:t>
      </w:r>
      <w:r w:rsidR="000C6CEF" w:rsidRPr="00882F11">
        <w:rPr>
          <w:rFonts w:cs="Guttman Drogolin" w:hint="cs"/>
          <w:rtl/>
          <w:lang w:bidi="he-IL"/>
        </w:rPr>
        <w:t>את</w:t>
      </w:r>
      <w:r w:rsidR="000C6CEF" w:rsidRPr="00882F11">
        <w:rPr>
          <w:rFonts w:cs="Guttman Drogolin"/>
          <w:rtl/>
          <w:lang w:bidi="he-IL"/>
        </w:rPr>
        <w:t xml:space="preserve"> </w:t>
      </w:r>
      <w:r w:rsidR="000C6CEF" w:rsidRPr="00882F11">
        <w:rPr>
          <w:rFonts w:cs="Guttman Drogolin" w:hint="cs"/>
          <w:rtl/>
          <w:lang w:bidi="he-IL"/>
        </w:rPr>
        <w:t>הקדירה</w:t>
      </w:r>
      <w:r w:rsidR="000C6CEF" w:rsidRPr="00882F11">
        <w:rPr>
          <w:rFonts w:cs="Guttman Drogolin"/>
          <w:rtl/>
          <w:lang w:bidi="he-IL"/>
        </w:rPr>
        <w:t xml:space="preserve"> </w:t>
      </w:r>
      <w:r w:rsidR="000C6CEF" w:rsidRPr="00882F11">
        <w:rPr>
          <w:rFonts w:cs="Guttman Drogolin" w:hint="cs"/>
          <w:rtl/>
          <w:lang w:bidi="he-IL"/>
        </w:rPr>
        <w:t>במתני</w:t>
      </w:r>
      <w:r w:rsidR="000C6CEF" w:rsidRPr="00882F11">
        <w:rPr>
          <w:rFonts w:cs="Guttman Drogolin"/>
          <w:rtl/>
          <w:lang w:bidi="he-IL"/>
        </w:rPr>
        <w:t>'</w:t>
      </w:r>
      <w:r w:rsidR="000C6CEF" w:rsidRPr="00882F11">
        <w:rPr>
          <w:rFonts w:cs="Guttman Drogolin" w:hint="cs"/>
          <w:rtl/>
          <w:lang w:bidi="he-IL"/>
        </w:rPr>
        <w:t xml:space="preserve"> ודלא כמש"נ לשיטת רש"י.</w:t>
      </w:r>
    </w:p>
    <w:p w:rsidR="0052517B" w:rsidRPr="00882F11" w:rsidRDefault="0059418E" w:rsidP="00C1652A">
      <w:pPr>
        <w:bidi/>
        <w:jc w:val="both"/>
        <w:rPr>
          <w:rFonts w:cs="Guttman Drogolin"/>
          <w:rtl/>
          <w:lang w:bidi="he-IL"/>
        </w:rPr>
      </w:pPr>
      <w:r w:rsidRPr="00882F11">
        <w:rPr>
          <w:rFonts w:cs="Guttman Drogolin" w:hint="cs"/>
          <w:rtl/>
          <w:lang w:bidi="he-IL"/>
        </w:rPr>
        <w:t>והר"</w:t>
      </w:r>
      <w:r w:rsidR="00DA78F0" w:rsidRPr="00882F11">
        <w:rPr>
          <w:rFonts w:cs="Guttman Drogolin" w:hint="cs"/>
          <w:rtl/>
          <w:lang w:bidi="he-IL"/>
        </w:rPr>
        <w:t>ן דחה א</w:t>
      </w:r>
      <w:r w:rsidRPr="00882F11">
        <w:rPr>
          <w:rFonts w:cs="Guttman Drogolin" w:hint="cs"/>
          <w:rtl/>
          <w:lang w:bidi="he-IL"/>
        </w:rPr>
        <w:t>ת ב' יסודות האלו. לענין היסוד הראשון כתב "והא ודאי לא נהירא דמ"ט נימא שיהא האיסור מתפ</w:t>
      </w:r>
      <w:r w:rsidR="00C466E8" w:rsidRPr="00882F11">
        <w:rPr>
          <w:rFonts w:cs="Guttman Drogolin" w:hint="cs"/>
          <w:rtl/>
          <w:lang w:bidi="he-IL"/>
        </w:rPr>
        <w:t>ש</w:t>
      </w:r>
      <w:r w:rsidRPr="00882F11">
        <w:rPr>
          <w:rFonts w:cs="Guttman Drogolin" w:hint="cs"/>
          <w:rtl/>
          <w:lang w:bidi="he-IL"/>
        </w:rPr>
        <w:t>ט בכל החתיכה ואפילו גבה כמה לא יהא יוצא מחתיכה לחתיכה ואפילו בדקה שבדקות"</w:t>
      </w:r>
      <w:r w:rsidR="007C14A7" w:rsidRPr="00882F11">
        <w:rPr>
          <w:rStyle w:val="FootnoteReference"/>
          <w:rFonts w:cs="Guttman Drogolin"/>
          <w:rtl/>
          <w:lang w:bidi="he-IL"/>
        </w:rPr>
        <w:footnoteReference w:id="107"/>
      </w:r>
      <w:r w:rsidRPr="00882F11">
        <w:rPr>
          <w:rFonts w:cs="Guttman Drogolin" w:hint="cs"/>
          <w:rtl/>
          <w:lang w:bidi="he-IL"/>
        </w:rPr>
        <w:t>. ולענין היסוד השני תמה דלמה לא יהא אסור אא"כ משהו מן האוסר מתפשט עמו, הא מעכשיו החתיכה אסורה מצד עצמה וא"כ יאסור את הכל. וביאר הר"ן דאע"ג שהתוס' הוכיחו דע"כ אין הנאסר אוסר במקום שאין האי</w:t>
      </w:r>
      <w:r w:rsidR="00DC7847" w:rsidRPr="00882F11">
        <w:rPr>
          <w:rFonts w:cs="Guttman Drogolin" w:hint="cs"/>
          <w:rtl/>
          <w:lang w:bidi="he-IL"/>
        </w:rPr>
        <w:t>ס</w:t>
      </w:r>
      <w:r w:rsidRPr="00882F11">
        <w:rPr>
          <w:rFonts w:cs="Guttman Drogolin" w:hint="cs"/>
          <w:rtl/>
          <w:lang w:bidi="he-IL"/>
        </w:rPr>
        <w:t>ור מתפשט, משום דאל"כ שיעור כדי קליפה דצלי היכי משכחת לה, פ</w:t>
      </w:r>
      <w:r w:rsidR="00DC7847" w:rsidRPr="00882F11">
        <w:rPr>
          <w:rFonts w:cs="Guttman Drogolin" w:hint="cs"/>
          <w:rtl/>
          <w:lang w:bidi="he-IL"/>
        </w:rPr>
        <w:t>י</w:t>
      </w:r>
      <w:r w:rsidRPr="00882F11">
        <w:rPr>
          <w:rFonts w:cs="Guttman Drogolin" w:hint="cs"/>
          <w:rtl/>
          <w:lang w:bidi="he-IL"/>
        </w:rPr>
        <w:t>' הר"ן דכיון שכל חענ"ן למידין מבב"ח, כיון דלא משכחת לה כדי קליפה בבשר בחלב, שהרי לא אסרה תורה אלא דרך בישול, א"כ אין כדי קליפה נע"נ. (ויש להסתפק אם הכוונה בכלל זה הוא שלא אומרים חענ"ן בחצי חתיכה וכמש"כ הר"</w:t>
      </w:r>
      <w:r w:rsidR="00C80653" w:rsidRPr="00882F11">
        <w:rPr>
          <w:rFonts w:cs="Guttman Drogolin" w:hint="cs"/>
          <w:rtl/>
          <w:lang w:bidi="he-IL"/>
        </w:rPr>
        <w:t>א מ</w:t>
      </w:r>
      <w:r w:rsidRPr="00882F11">
        <w:rPr>
          <w:rFonts w:cs="Guttman Drogolin" w:hint="cs"/>
          <w:rtl/>
          <w:lang w:bidi="he-IL"/>
        </w:rPr>
        <w:t xml:space="preserve">מיץ, ואע"ג שהר"א ממיץ לא כתב כן אלא בחענ"ן בשאר איסורים שהוא דין דרבנן, מ"מ הרי התוס' לעיל בדף </w:t>
      </w:r>
      <w:r w:rsidR="00482A06" w:rsidRPr="00882F11">
        <w:rPr>
          <w:rFonts w:cs="Guttman Drogolin" w:hint="cs"/>
          <w:rtl/>
          <w:lang w:bidi="he-IL"/>
        </w:rPr>
        <w:t>ק' השוו את דדינו גם לדין חענ"ן בבשר בחלב, או"ד שהוא דין מיוחד בכדי קליפה, ולעולם</w:t>
      </w:r>
      <w:r w:rsidR="00DC7847" w:rsidRPr="00882F11">
        <w:rPr>
          <w:rFonts w:cs="Guttman Drogolin" w:hint="cs"/>
          <w:rtl/>
          <w:lang w:bidi="he-IL"/>
        </w:rPr>
        <w:t xml:space="preserve"> חצי חתיכה גמורה נע"נ. וראיתי בהערה לאנצ' התלמודית שהסתפק בזה, וברע"א על התוס' שם מבואר שהשוה את הדינים).</w:t>
      </w:r>
      <w:r w:rsidR="00945F43" w:rsidRPr="00882F11">
        <w:rPr>
          <w:rFonts w:cs="Guttman Drogolin" w:hint="cs"/>
          <w:rtl/>
          <w:lang w:bidi="he-IL"/>
        </w:rPr>
        <w:t xml:space="preserve"> ולכן נקט הר"ן כפירושו של </w:t>
      </w:r>
      <w:r w:rsidR="00945F43" w:rsidRPr="00882F11">
        <w:rPr>
          <w:rFonts w:cs="Guttman Drogolin" w:hint="cs"/>
          <w:rtl/>
          <w:lang w:bidi="he-IL"/>
        </w:rPr>
        <w:lastRenderedPageBreak/>
        <w:t>רש"י, רק שלשיטתו יכול להיות שהחתיכה</w:t>
      </w:r>
      <w:r w:rsidR="00C1652A" w:rsidRPr="00882F11">
        <w:rPr>
          <w:rFonts w:cs="Guttman Drogolin" w:hint="cs"/>
          <w:rtl/>
          <w:lang w:bidi="he-IL"/>
        </w:rPr>
        <w:t xml:space="preserve"> שנפלה עליו הטיפה</w:t>
      </w:r>
      <w:r w:rsidR="00945F43" w:rsidRPr="00882F11">
        <w:rPr>
          <w:rFonts w:cs="Guttman Drogolin" w:hint="cs"/>
          <w:rtl/>
          <w:lang w:bidi="he-IL"/>
        </w:rPr>
        <w:t xml:space="preserve"> למעלה מן הרוטב, ומ"מ הטעם מתפשט בכל החתיכה (כיון שיש הבל מן הקדירה), ולאחר מכן החתיכה עצמה אוסרת את שאר התבשיל</w:t>
      </w:r>
      <w:r w:rsidR="00C466E8" w:rsidRPr="00882F11">
        <w:rPr>
          <w:rFonts w:cs="Guttman Drogolin" w:hint="cs"/>
          <w:rtl/>
          <w:lang w:bidi="he-IL"/>
        </w:rPr>
        <w:t xml:space="preserve"> (ומ"מ החתיכ</w:t>
      </w:r>
      <w:r w:rsidR="00C1652A" w:rsidRPr="00882F11">
        <w:rPr>
          <w:rFonts w:cs="Guttman Drogolin" w:hint="cs"/>
          <w:rtl/>
          <w:lang w:bidi="he-IL"/>
        </w:rPr>
        <w:t>ה שמתחתיו חייב להיות עכ"פ מקצתו ברוטב, דאל"כ גם הוא יעשה נביל</w:t>
      </w:r>
      <w:r w:rsidR="00B022AE" w:rsidRPr="00882F11">
        <w:rPr>
          <w:rFonts w:cs="Guttman Drogolin" w:hint="cs"/>
          <w:rtl/>
          <w:lang w:bidi="he-IL"/>
        </w:rPr>
        <w:t>ה</w:t>
      </w:r>
      <w:r w:rsidR="00C1652A" w:rsidRPr="00882F11">
        <w:rPr>
          <w:rFonts w:cs="Guttman Drogolin" w:hint="cs"/>
          <w:rtl/>
          <w:lang w:bidi="he-IL"/>
        </w:rPr>
        <w:t>, כמו שהחתיכה הראשונה נע"נ כיון שהוא חוץ לרוטב ולא מצטרף אליו שאר הקדרה</w:t>
      </w:r>
      <w:r w:rsidR="00C466E8" w:rsidRPr="00882F11">
        <w:rPr>
          <w:rFonts w:cs="Guttman Drogolin" w:hint="cs"/>
          <w:rtl/>
          <w:lang w:bidi="he-IL"/>
        </w:rPr>
        <w:t>)</w:t>
      </w:r>
      <w:r w:rsidR="00945F43" w:rsidRPr="00882F11">
        <w:rPr>
          <w:rFonts w:cs="Guttman Drogolin" w:hint="cs"/>
          <w:rtl/>
          <w:lang w:bidi="he-IL"/>
        </w:rPr>
        <w:t>.</w:t>
      </w:r>
      <w:r w:rsidR="000C6CEF" w:rsidRPr="00882F11">
        <w:rPr>
          <w:rFonts w:cs="Guttman Drogolin" w:hint="cs"/>
          <w:rtl/>
          <w:lang w:bidi="he-IL"/>
        </w:rPr>
        <w:t xml:space="preserve"> </w:t>
      </w:r>
    </w:p>
    <w:p w:rsidR="00B00B8B" w:rsidRPr="00882F11" w:rsidRDefault="00B00B8B" w:rsidP="00C466E8">
      <w:pPr>
        <w:keepNext/>
        <w:bidi/>
        <w:spacing w:before="240" w:after="0"/>
        <w:jc w:val="both"/>
        <w:rPr>
          <w:rFonts w:cs="Guttman Drogolin"/>
          <w:b/>
          <w:bCs/>
          <w:u w:val="single"/>
          <w:rtl/>
          <w:lang w:bidi="he-IL"/>
        </w:rPr>
      </w:pPr>
      <w:r w:rsidRPr="00882F11">
        <w:rPr>
          <w:rFonts w:cs="Guttman Drogolin" w:hint="cs"/>
          <w:b/>
          <w:bCs/>
          <w:u w:val="single"/>
          <w:rtl/>
          <w:lang w:bidi="he-IL"/>
        </w:rPr>
        <w:t>קושיית הגמ' מ</w:t>
      </w:r>
      <w:r w:rsidR="00DC784B">
        <w:rPr>
          <w:rFonts w:cs="Guttman Drogolin" w:hint="cs"/>
          <w:b/>
          <w:bCs/>
          <w:u w:val="single"/>
          <w:rtl/>
          <w:lang w:bidi="he-IL"/>
        </w:rPr>
        <w:t>אפשר לסוחטו</w:t>
      </w:r>
      <w:r w:rsidRPr="00882F11">
        <w:rPr>
          <w:rFonts w:cs="Guttman Drogolin" w:hint="cs"/>
          <w:b/>
          <w:bCs/>
          <w:u w:val="single"/>
          <w:rtl/>
          <w:lang w:bidi="he-IL"/>
        </w:rPr>
        <w:t xml:space="preserve"> לדין חענ"ן</w:t>
      </w:r>
    </w:p>
    <w:p w:rsidR="006D70AD" w:rsidRPr="00882F11" w:rsidRDefault="00B00B8B" w:rsidP="006D70AD">
      <w:pPr>
        <w:bidi/>
        <w:jc w:val="both"/>
        <w:rPr>
          <w:rFonts w:cs="Guttman Drogolin"/>
          <w:rtl/>
          <w:lang w:bidi="he-IL"/>
        </w:rPr>
      </w:pPr>
      <w:r w:rsidRPr="00882F11">
        <w:rPr>
          <w:rFonts w:cs="Guttman Drogolin" w:hint="cs"/>
          <w:rtl/>
          <w:lang w:bidi="he-IL"/>
        </w:rPr>
        <w:t xml:space="preserve">לאחר מכן הביא הר"ן פירושו של רש"י במה שדן הגמ' שאם </w:t>
      </w:r>
      <w:r w:rsidR="00DC784B">
        <w:rPr>
          <w:rFonts w:cs="Guttman Drogolin" w:hint="cs"/>
          <w:rtl/>
          <w:lang w:bidi="he-IL"/>
        </w:rPr>
        <w:t>אפשר לסוחטו</w:t>
      </w:r>
      <w:r w:rsidRPr="00882F11">
        <w:rPr>
          <w:rFonts w:cs="Guttman Drogolin" w:hint="cs"/>
          <w:rtl/>
          <w:lang w:bidi="he-IL"/>
        </w:rPr>
        <w:t xml:space="preserve"> מותר </w:t>
      </w:r>
      <w:r w:rsidR="00EA78BA" w:rsidRPr="00882F11">
        <w:rPr>
          <w:rFonts w:cs="Guttman Drogolin" w:hint="cs"/>
          <w:rtl/>
          <w:lang w:bidi="he-IL"/>
        </w:rPr>
        <w:t xml:space="preserve">חתיכה אמאי אסורה, ולכן ע"כ סבר רב </w:t>
      </w:r>
      <w:r w:rsidR="00DC784B">
        <w:rPr>
          <w:rFonts w:cs="Guttman Drogolin" w:hint="cs"/>
          <w:rtl/>
          <w:lang w:bidi="he-IL"/>
        </w:rPr>
        <w:t>אפשר לסוחטו</w:t>
      </w:r>
      <w:r w:rsidR="00EA78BA" w:rsidRPr="00882F11">
        <w:rPr>
          <w:rFonts w:cs="Guttman Drogolin" w:hint="cs"/>
          <w:rtl/>
          <w:lang w:bidi="he-IL"/>
        </w:rPr>
        <w:t xml:space="preserve"> אסור. שפירש"י </w:t>
      </w:r>
      <w:r w:rsidR="00740636" w:rsidRPr="00882F11">
        <w:rPr>
          <w:rFonts w:cs="Guttman Drogolin" w:hint="cs"/>
          <w:rtl/>
          <w:lang w:bidi="he-IL"/>
        </w:rPr>
        <w:t xml:space="preserve">שאם </w:t>
      </w:r>
      <w:r w:rsidR="00DC784B">
        <w:rPr>
          <w:rFonts w:cs="Guttman Drogolin" w:hint="cs"/>
          <w:rtl/>
          <w:lang w:bidi="he-IL"/>
        </w:rPr>
        <w:t>אפשר לסוחטו</w:t>
      </w:r>
      <w:r w:rsidR="00740636" w:rsidRPr="00882F11">
        <w:rPr>
          <w:rFonts w:cs="Guttman Drogolin" w:hint="cs"/>
          <w:rtl/>
          <w:lang w:bidi="he-IL"/>
        </w:rPr>
        <w:t xml:space="preserve"> מותר פירושו של דבר שחתיכה שבלעה אפילו שאר איסורים ושוב התבשלה בקדירה שיש בה ששים כנגד האיסור, אותה חתיכה חוזרת להיתירה". והקשה הר"ן דלכאורה מבואר לפירושו שאסור לסחטו מותר וחענ"ן דבר א' הם, וא"כ איך שייך לומר אם </w:t>
      </w:r>
      <w:r w:rsidR="00DC784B">
        <w:rPr>
          <w:rFonts w:cs="Guttman Drogolin" w:hint="cs"/>
          <w:rtl/>
          <w:lang w:bidi="he-IL"/>
        </w:rPr>
        <w:t>אפשר לסוחטו</w:t>
      </w:r>
      <w:r w:rsidR="00740636" w:rsidRPr="00882F11">
        <w:rPr>
          <w:rFonts w:cs="Guttman Drogolin" w:hint="cs"/>
          <w:rtl/>
          <w:lang w:bidi="he-IL"/>
        </w:rPr>
        <w:t xml:space="preserve"> חתיכה אמאי אסורה, דמשמע שהוא נידון</w:t>
      </w:r>
      <w:r w:rsidR="00C80653" w:rsidRPr="00882F11">
        <w:rPr>
          <w:rFonts w:cs="Guttman Drogolin" w:hint="cs"/>
          <w:rtl/>
          <w:lang w:bidi="he-IL"/>
        </w:rPr>
        <w:t xml:space="preserve"> נוסף רק שאין אנו יודעים אך יצא הדין השני אם לא הדין הראשון, הא לפירוש רש"י אין כאן ב' נושאים רק נושא א'. ועוד הקשה הר"ן לפירושו למה הגמ' דן רק כאן בסוגיא אי קסבר </w:t>
      </w:r>
      <w:r w:rsidR="00DC784B">
        <w:rPr>
          <w:rFonts w:cs="Guttman Drogolin" w:hint="cs"/>
          <w:rtl/>
          <w:lang w:bidi="he-IL"/>
        </w:rPr>
        <w:t>אפשר לסוחטו</w:t>
      </w:r>
      <w:r w:rsidR="00C80653" w:rsidRPr="00882F11">
        <w:rPr>
          <w:rFonts w:cs="Guttman Drogolin" w:hint="cs"/>
          <w:rtl/>
          <w:lang w:bidi="he-IL"/>
        </w:rPr>
        <w:t xml:space="preserve"> אסור או מותר ולא בסוגיא דלעיל בדף ק'. ומעיקרא רצה הר"ן ליישב פירש"י שהי' אפשר לומר דחענ"ן אע"ג ש</w:t>
      </w:r>
      <w:r w:rsidR="00DC784B">
        <w:rPr>
          <w:rFonts w:cs="Guttman Drogolin" w:hint="cs"/>
          <w:rtl/>
          <w:lang w:bidi="he-IL"/>
        </w:rPr>
        <w:t>אפשר לסוחטו</w:t>
      </w:r>
      <w:r w:rsidR="00C80653" w:rsidRPr="00882F11">
        <w:rPr>
          <w:rFonts w:cs="Guttman Drogolin" w:hint="cs"/>
          <w:rtl/>
          <w:lang w:bidi="he-IL"/>
        </w:rPr>
        <w:t xml:space="preserve"> מותר אם הוא איסור של מין במינו ולמ"ד מין במינו לא בטל כיון שלעולם ישאר משהו בחתיכה. וכן בב"ח אפשר לומר חענ"ן אע"ג דתלוי בטעם למ"ד </w:t>
      </w:r>
      <w:r w:rsidR="00DC784B">
        <w:rPr>
          <w:rFonts w:cs="Guttman Drogolin" w:hint="cs"/>
          <w:rtl/>
          <w:lang w:bidi="he-IL"/>
        </w:rPr>
        <w:t>אפשר לסוחטו</w:t>
      </w:r>
      <w:r w:rsidR="00C80653" w:rsidRPr="00882F11">
        <w:rPr>
          <w:rFonts w:cs="Guttman Drogolin" w:hint="cs"/>
          <w:rtl/>
          <w:lang w:bidi="he-IL"/>
        </w:rPr>
        <w:t xml:space="preserve"> אסור. אלא שלפי זה יוצא במין בשאינו מינו לא אומרים חענ"ן אלא בבב"ח, ובירושל</w:t>
      </w:r>
      <w:r w:rsidR="006D70AD" w:rsidRPr="00882F11">
        <w:rPr>
          <w:rFonts w:cs="Guttman Drogolin" w:hint="cs"/>
          <w:rtl/>
          <w:lang w:bidi="he-IL"/>
        </w:rPr>
        <w:t>מ</w:t>
      </w:r>
      <w:r w:rsidR="00C80653" w:rsidRPr="00882F11">
        <w:rPr>
          <w:rFonts w:cs="Guttman Drogolin" w:hint="cs"/>
          <w:rtl/>
          <w:lang w:bidi="he-IL"/>
        </w:rPr>
        <w:t>י שבמס</w:t>
      </w:r>
      <w:r w:rsidR="006D70AD" w:rsidRPr="00882F11">
        <w:rPr>
          <w:rFonts w:cs="Guttman Drogolin" w:hint="cs"/>
          <w:rtl/>
          <w:lang w:bidi="he-IL"/>
        </w:rPr>
        <w:t>'</w:t>
      </w:r>
      <w:r w:rsidR="00C80653" w:rsidRPr="00882F11">
        <w:rPr>
          <w:rFonts w:cs="Guttman Drogolin" w:hint="cs"/>
          <w:rtl/>
          <w:lang w:bidi="he-IL"/>
        </w:rPr>
        <w:t xml:space="preserve"> ערלה מבואר דאמרינן חענ"ן גם בשאר איסורים אפילו במין בשאינו מינו</w:t>
      </w:r>
      <w:r w:rsidR="00C80653" w:rsidRPr="00882F11">
        <w:rPr>
          <w:rStyle w:val="FootnoteReference"/>
          <w:rFonts w:cs="Guttman Drogolin"/>
          <w:rtl/>
          <w:lang w:bidi="he-IL"/>
        </w:rPr>
        <w:footnoteReference w:id="108"/>
      </w:r>
      <w:r w:rsidR="00C80653" w:rsidRPr="00882F11">
        <w:rPr>
          <w:rFonts w:cs="Guttman Drogolin" w:hint="cs"/>
          <w:rtl/>
          <w:lang w:bidi="he-IL"/>
        </w:rPr>
        <w:t xml:space="preserve">. </w:t>
      </w:r>
    </w:p>
    <w:p w:rsidR="00A26927" w:rsidRPr="00882F11" w:rsidRDefault="006D70AD" w:rsidP="00A26927">
      <w:pPr>
        <w:bidi/>
        <w:jc w:val="both"/>
        <w:rPr>
          <w:rFonts w:cs="Guttman Drogolin"/>
          <w:rtl/>
          <w:lang w:bidi="he-IL"/>
        </w:rPr>
      </w:pPr>
      <w:r w:rsidRPr="00882F11">
        <w:rPr>
          <w:rFonts w:cs="Guttman Drogolin" w:hint="cs"/>
          <w:rtl/>
          <w:lang w:bidi="he-IL"/>
        </w:rPr>
        <w:lastRenderedPageBreak/>
        <w:t xml:space="preserve">ומשו"ה נקט הר"ן שכל הדין דאמרינן חענ"ן בשאר איסורים הוא אגב זה דאמרינן הכי בבב"ח, ומשום שגזרו בשאר איסורים אטו בב"ח. ומשו"ה לא דנו בדין </w:t>
      </w:r>
      <w:r w:rsidR="00DC784B">
        <w:rPr>
          <w:rFonts w:cs="Guttman Drogolin" w:hint="cs"/>
          <w:rtl/>
          <w:lang w:bidi="he-IL"/>
        </w:rPr>
        <w:t>אפשר לסוחטו</w:t>
      </w:r>
      <w:r w:rsidRPr="00882F11">
        <w:rPr>
          <w:rFonts w:cs="Guttman Drogolin" w:hint="cs"/>
          <w:rtl/>
          <w:lang w:bidi="he-IL"/>
        </w:rPr>
        <w:t xml:space="preserve"> מותר או אסור אלא בדף ק"ח, שהרי כל הנידון לא שייך אלא בבב"ח, ואי אמרינן </w:t>
      </w:r>
      <w:r w:rsidR="00DC784B">
        <w:rPr>
          <w:rFonts w:cs="Guttman Drogolin" w:hint="cs"/>
          <w:rtl/>
          <w:lang w:bidi="he-IL"/>
        </w:rPr>
        <w:t>אפשר לסוחטו</w:t>
      </w:r>
      <w:r w:rsidRPr="00882F11">
        <w:rPr>
          <w:rFonts w:cs="Guttman Drogolin" w:hint="cs"/>
          <w:rtl/>
          <w:lang w:bidi="he-IL"/>
        </w:rPr>
        <w:t xml:space="preserve"> מותר בבב"ח לא אמרינן בבב"ח חענ"ן, ואי אמרינן ש</w:t>
      </w:r>
      <w:r w:rsidR="00DC784B">
        <w:rPr>
          <w:rFonts w:cs="Guttman Drogolin" w:hint="cs"/>
          <w:rtl/>
          <w:lang w:bidi="he-IL"/>
        </w:rPr>
        <w:t>אפשר לסוחטו</w:t>
      </w:r>
      <w:r w:rsidRPr="00882F11">
        <w:rPr>
          <w:rFonts w:cs="Guttman Drogolin" w:hint="cs"/>
          <w:rtl/>
          <w:lang w:bidi="he-IL"/>
        </w:rPr>
        <w:t xml:space="preserve"> אסור בבב"ח אמרינן בבב"ח חענ"ן. רק שהוא משפיע ממילא על הדין חענ"ן בשאר איסורים, </w:t>
      </w:r>
      <w:r w:rsidR="00BA7C72" w:rsidRPr="00882F11">
        <w:rPr>
          <w:rFonts w:cs="Guttman Drogolin" w:hint="cs"/>
          <w:rtl/>
          <w:lang w:bidi="he-IL"/>
        </w:rPr>
        <w:t xml:space="preserve">שאם אומרים חענ"ן בבב"ח אז גזרו גם בשאר איסורים, ואם לא אומרים חענ"ן בשאר איסורים הא אין מקום לגזור הכי בשאר איסורים. ולענין הא דקאמר בגמ' שאם </w:t>
      </w:r>
      <w:r w:rsidR="00DC784B">
        <w:rPr>
          <w:rFonts w:cs="Guttman Drogolin" w:hint="cs"/>
          <w:rtl/>
          <w:lang w:bidi="he-IL"/>
        </w:rPr>
        <w:t>אפשר לסוחטו</w:t>
      </w:r>
      <w:r w:rsidR="00BA7C72" w:rsidRPr="00882F11">
        <w:rPr>
          <w:rFonts w:cs="Guttman Drogolin" w:hint="cs"/>
          <w:rtl/>
          <w:lang w:bidi="he-IL"/>
        </w:rPr>
        <w:t xml:space="preserve"> מותר חתיכה עצמה אמאי נעשית נבילה, פי' הר"ן שבאמת שייך הדין של חענ"ן אפילו בשאר איסורים אפילו אלמלא הדין של </w:t>
      </w:r>
      <w:r w:rsidR="00DC784B">
        <w:rPr>
          <w:rFonts w:cs="Guttman Drogolin" w:hint="cs"/>
          <w:rtl/>
          <w:lang w:bidi="he-IL"/>
        </w:rPr>
        <w:t>אפשר לסוחטו</w:t>
      </w:r>
      <w:r w:rsidR="00BA7C72" w:rsidRPr="00882F11">
        <w:rPr>
          <w:rFonts w:cs="Guttman Drogolin" w:hint="cs"/>
          <w:rtl/>
          <w:lang w:bidi="he-IL"/>
        </w:rPr>
        <w:t xml:space="preserve"> אסור, ומשום דאמרינן שטעם שנבלע בחתיכה נסרחת בה ואינו יוצא כ"כ בקלות, ולכן אמרו שצריכים ששים כנגד כל החתיכה שבלע טעם. ומ"מ סבר הגמ' שלא מסתבר שמשו"ה יקרא </w:t>
      </w:r>
      <w:r w:rsidR="00A26927" w:rsidRPr="00882F11">
        <w:rPr>
          <w:rFonts w:cs="Guttman Drogolin" w:hint="cs"/>
          <w:rtl/>
          <w:lang w:bidi="he-IL"/>
        </w:rPr>
        <w:t xml:space="preserve">החתיכה שנאסרה </w:t>
      </w:r>
      <w:r w:rsidR="00BA7C72" w:rsidRPr="00882F11">
        <w:rPr>
          <w:rFonts w:cs="Guttman Drogolin" w:hint="cs"/>
          <w:rtl/>
          <w:lang w:bidi="he-IL"/>
        </w:rPr>
        <w:t xml:space="preserve">אסור מחמת עצמו לאסור </w:t>
      </w:r>
      <w:r w:rsidR="00A26927" w:rsidRPr="00882F11">
        <w:rPr>
          <w:rFonts w:cs="Guttman Drogolin" w:hint="cs"/>
          <w:rtl/>
          <w:lang w:bidi="he-IL"/>
        </w:rPr>
        <w:t xml:space="preserve">עוד חתיכות שהם מינה מדין מין במינו לא בטל. ולכן ביאר הגמ' שאם </w:t>
      </w:r>
      <w:r w:rsidR="00DC784B">
        <w:rPr>
          <w:rFonts w:cs="Guttman Drogolin" w:hint="cs"/>
          <w:rtl/>
          <w:lang w:bidi="he-IL"/>
        </w:rPr>
        <w:t>אפשר לסוחטו</w:t>
      </w:r>
      <w:r w:rsidR="00A26927" w:rsidRPr="00882F11">
        <w:rPr>
          <w:rFonts w:cs="Guttman Drogolin" w:hint="cs"/>
          <w:rtl/>
          <w:lang w:bidi="he-IL"/>
        </w:rPr>
        <w:t xml:space="preserve"> מותר לא מסתבר שחענ"ן לענין הדין של מין במינו לא בטל.</w:t>
      </w:r>
    </w:p>
    <w:p w:rsidR="00B00B8B" w:rsidRPr="00882F11" w:rsidRDefault="00A230FF" w:rsidP="00FE769A">
      <w:pPr>
        <w:bidi/>
        <w:jc w:val="both"/>
        <w:rPr>
          <w:rFonts w:cs="Guttman Drogolin"/>
          <w:rtl/>
        </w:rPr>
      </w:pPr>
      <w:r w:rsidRPr="00882F11">
        <w:rPr>
          <w:rFonts w:cs="Guttman Drogolin" w:hint="cs"/>
          <w:rtl/>
          <w:lang w:bidi="he-IL"/>
        </w:rPr>
        <w:t>ובעצם הדבר שיש מ"ד ד</w:t>
      </w:r>
      <w:r w:rsidR="00DC784B">
        <w:rPr>
          <w:rFonts w:cs="Guttman Drogolin" w:hint="cs"/>
          <w:rtl/>
          <w:lang w:bidi="he-IL"/>
        </w:rPr>
        <w:t>אפשר לסוחטו</w:t>
      </w:r>
      <w:r w:rsidRPr="00882F11">
        <w:rPr>
          <w:rFonts w:cs="Guttman Drogolin" w:hint="cs"/>
          <w:rtl/>
          <w:lang w:bidi="he-IL"/>
        </w:rPr>
        <w:t xml:space="preserve"> מותר, כתב הר"ן דלא מסתבר לומר שכוונת הגמ' לומר שאילו הי' אפשר ליסחט ממנו הי' ניתר, ולעולם אי אפשר ליסחט ממנו ולכן למעשה נשארת באיסורה (ע' לעיל בסוף שיעור כ"א</w:t>
      </w:r>
      <w:r w:rsidRPr="00882F11">
        <w:rPr>
          <w:rStyle w:val="FootnoteReference"/>
          <w:rFonts w:cs="Guttman Drogolin"/>
          <w:rtl/>
          <w:lang w:bidi="he-IL"/>
        </w:rPr>
        <w:footnoteReference w:id="109"/>
      </w:r>
      <w:r w:rsidRPr="00882F11">
        <w:rPr>
          <w:rFonts w:cs="Guttman Drogolin" w:hint="cs"/>
          <w:rtl/>
          <w:lang w:bidi="he-IL"/>
        </w:rPr>
        <w:t>)</w:t>
      </w:r>
      <w:r w:rsidR="00DF66D5" w:rsidRPr="00882F11">
        <w:rPr>
          <w:rFonts w:cs="Guttman Drogolin" w:hint="cs"/>
          <w:rtl/>
          <w:lang w:bidi="he-IL"/>
        </w:rPr>
        <w:t xml:space="preserve">, שמשמעות הפשוטה של הלשון אסשפר לסחטו מותר היינו שהוא מותר ממש. ולכן הקשה למה באמת יהא חוזר להיתירו הא הטעם נסרחת בחתיכה. ותי' דע"י קפילא שפיר אפשר לעמוד על </w:t>
      </w:r>
      <w:r w:rsidR="00DF66D5" w:rsidRPr="00882F11">
        <w:rPr>
          <w:rFonts w:cs="Guttman Drogolin" w:hint="cs"/>
          <w:rtl/>
          <w:lang w:bidi="he-IL"/>
        </w:rPr>
        <w:lastRenderedPageBreak/>
        <w:t>זה דנסחט הטע</w:t>
      </w:r>
      <w:r w:rsidR="00FE769A" w:rsidRPr="00882F11">
        <w:rPr>
          <w:rFonts w:cs="Guttman Drogolin" w:hint="cs"/>
          <w:rtl/>
          <w:lang w:bidi="he-IL"/>
        </w:rPr>
        <w:t>ם</w:t>
      </w:r>
      <w:r w:rsidR="00DF66D5" w:rsidRPr="00882F11">
        <w:rPr>
          <w:rFonts w:cs="Guttman Drogolin" w:hint="cs"/>
          <w:rtl/>
          <w:lang w:bidi="he-IL"/>
        </w:rPr>
        <w:t xml:space="preserve"> אי</w:t>
      </w:r>
      <w:r w:rsidR="00FE769A" w:rsidRPr="00882F11">
        <w:rPr>
          <w:rFonts w:cs="Guttman Drogolin" w:hint="cs"/>
          <w:rtl/>
          <w:lang w:bidi="he-IL"/>
        </w:rPr>
        <w:t>ס</w:t>
      </w:r>
      <w:r w:rsidR="00DF66D5" w:rsidRPr="00882F11">
        <w:rPr>
          <w:rFonts w:cs="Guttman Drogolin" w:hint="cs"/>
          <w:rtl/>
          <w:lang w:bidi="he-IL"/>
        </w:rPr>
        <w:t xml:space="preserve">ור דמעיקרא וחזר </w:t>
      </w:r>
      <w:r w:rsidR="00FE769A" w:rsidRPr="00882F11">
        <w:rPr>
          <w:rFonts w:cs="Guttman Drogolin" w:hint="cs"/>
          <w:rtl/>
          <w:lang w:bidi="he-IL"/>
        </w:rPr>
        <w:t>ה</w:t>
      </w:r>
      <w:r w:rsidR="00DF66D5" w:rsidRPr="00882F11">
        <w:rPr>
          <w:rFonts w:cs="Guttman Drogolin" w:hint="cs"/>
          <w:rtl/>
          <w:lang w:bidi="he-IL"/>
        </w:rPr>
        <w:t>חתיכה להיתירו.</w:t>
      </w:r>
      <w:r w:rsidR="00BA7C72" w:rsidRPr="00882F11">
        <w:rPr>
          <w:rFonts w:cs="Guttman Drogolin" w:hint="cs"/>
          <w:rtl/>
          <w:lang w:bidi="he-IL"/>
        </w:rPr>
        <w:t xml:space="preserve">  </w:t>
      </w:r>
      <w:r w:rsidR="006D70AD" w:rsidRPr="00882F11">
        <w:rPr>
          <w:rFonts w:cs="Guttman Drogolin" w:hint="cs"/>
          <w:rtl/>
          <w:lang w:bidi="he-IL"/>
        </w:rPr>
        <w:t xml:space="preserve">  </w:t>
      </w:r>
      <w:r w:rsidR="00C80653" w:rsidRPr="00882F11">
        <w:rPr>
          <w:rFonts w:cs="Guttman Drogolin" w:hint="cs"/>
          <w:rtl/>
          <w:lang w:bidi="he-IL"/>
        </w:rPr>
        <w:t xml:space="preserve">  </w:t>
      </w:r>
    </w:p>
    <w:p w:rsidR="00DF66D5" w:rsidRPr="00882F11" w:rsidRDefault="00DF66D5" w:rsidP="00DF66D5">
      <w:pPr>
        <w:bidi/>
        <w:spacing w:before="240" w:after="0"/>
        <w:jc w:val="both"/>
        <w:rPr>
          <w:rFonts w:cs="Guttman Drogolin"/>
          <w:b/>
          <w:bCs/>
          <w:u w:val="single"/>
          <w:rtl/>
          <w:lang w:bidi="he-IL"/>
        </w:rPr>
      </w:pPr>
      <w:r w:rsidRPr="00882F11">
        <w:rPr>
          <w:rFonts w:cs="Guttman Drogolin" w:hint="cs"/>
          <w:b/>
          <w:bCs/>
          <w:u w:val="single"/>
          <w:rtl/>
          <w:lang w:bidi="he-IL"/>
        </w:rPr>
        <w:t>במחלוקת ר"י ור' שמואל בדין חתיכת איסור שנבשל ברוטב של היתר</w:t>
      </w:r>
    </w:p>
    <w:p w:rsidR="00C4242B" w:rsidRPr="00882F11" w:rsidRDefault="00DF66D5" w:rsidP="00C4242B">
      <w:pPr>
        <w:bidi/>
        <w:jc w:val="both"/>
        <w:rPr>
          <w:rFonts w:cs="Guttman Drogolin"/>
          <w:rtl/>
          <w:lang w:bidi="he-IL"/>
        </w:rPr>
      </w:pPr>
      <w:r w:rsidRPr="00882F11">
        <w:rPr>
          <w:rFonts w:cs="Guttman Drogolin" w:hint="cs"/>
          <w:rtl/>
          <w:lang w:bidi="he-IL"/>
        </w:rPr>
        <w:t xml:space="preserve">לאחר מכן הביא הר"ן דינו של רבינו שמואל </w:t>
      </w:r>
      <w:r w:rsidR="00062264" w:rsidRPr="00882F11">
        <w:rPr>
          <w:rFonts w:cs="Guttman Drogolin" w:hint="cs"/>
          <w:rtl/>
          <w:lang w:bidi="he-IL"/>
        </w:rPr>
        <w:t xml:space="preserve">שאם חתיכה התבשלה ובלעה רוטב של היתר, שהרוטב שבלע נע"נ </w:t>
      </w:r>
      <w:r w:rsidR="000C30D8" w:rsidRPr="00882F11">
        <w:rPr>
          <w:rFonts w:cs="Guttman Drogolin" w:hint="cs"/>
          <w:rtl/>
          <w:lang w:bidi="he-IL"/>
        </w:rPr>
        <w:t xml:space="preserve">ואוסרת רוטב כמותה של היתר במשהו למ"ד מין במינו לא בטל. ולענין קושיית ר"י מן הס"ד שבגמ' דבשר אסרה תורה ולא חלב, הביא תי' של הרמב"ן והתקשה בה, והסיק לתרץ שהרי לפי הס"ד אין האיסור של בב"ח אלא בבשר שהוא חתיכה ולא בדבר לח כמו חלב, שהרי בשר אסרה תורה ולא חלב, ולכן לפי הס"ד אין חענ"ן בדבר לח, וממילא לא גזרו גם בשאר איסורים. ומשו"ה לא היתה החלב אסורה משום הטעם בשר שבה. אבל אה"נ למסקנא שהתורה אסרה גם את החלב וגם את הבשר הרי חזינן שגם בדבר לח אמרינן חענ"ן, וממילא גם ברוטב של היתר שנבלע בחתיכה של איסור נע"נ ואוסרת שאר רוטב כמותה משום מינה. ויש להעיר בדבריו, שאפילו לס"ד דבשר אסרה תורה ולא חלב, למה יש לנו הוכחה שאין חענ"ן אלא בחתיכה ולא בלח בלח, הא שפיר שייך חענ"ן אם יתבשל גבינה קשה בתוך רוטב של בשר, שהרוטב יהא אסור ולא הגבינה. ואיכא למימר בב' אנפי. או דאה"נ דמשכחת לה חענ"ן בלח בלח, מ"מ אין זה הדרך הרגיל, וכיון שכן לא גזרו חענ"ן בשאר איסורים בלח בלח. </w:t>
      </w:r>
      <w:r w:rsidR="00C4242B" w:rsidRPr="00882F11">
        <w:rPr>
          <w:rFonts w:cs="Guttman Drogolin" w:hint="cs"/>
          <w:rtl/>
          <w:lang w:bidi="he-IL"/>
        </w:rPr>
        <w:t>ועוד י"ל שלס"ד אפילו הי' מבשל גבינה בתוך רוטב של בשר לא היתה הבשר נע"נ, ומשום שמשמע מן הפסוק שאין לנו חענ"ן אלא דומיא דבשר גדי בחלב אמו שהוא חתיכה בתוך חלב לח, ואע"ג שלמדנו איסור בבב"ח גם בשאר גווני כמו גבינה בתוך רוטב של בשר, מ"מ חענ"ן לא נאמר אלא בציור המפורש בקרא.</w:t>
      </w:r>
    </w:p>
    <w:p w:rsidR="00824A75" w:rsidRPr="00882F11" w:rsidRDefault="00C4242B" w:rsidP="00C4242B">
      <w:pPr>
        <w:bidi/>
        <w:jc w:val="both"/>
        <w:rPr>
          <w:rFonts w:cs="Guttman Drogolin"/>
          <w:rtl/>
        </w:rPr>
      </w:pPr>
      <w:r w:rsidRPr="00882F11">
        <w:rPr>
          <w:rFonts w:cs="Guttman Drogolin" w:hint="cs"/>
          <w:rtl/>
          <w:lang w:bidi="he-IL"/>
        </w:rPr>
        <w:t xml:space="preserve">ושוב הביא שהר"י דחה לומר דאע"ג שכשחלב נע"נ הרי היא אוסרת שאר החלב משום מינה, מ"מ בחענ"ן בשאר איסורים אין לנאסר דין איסור מכח עצמו לאסור השאר משון מינו. הקשה הר"ן על זה דכיון דשאר איסורים לא נעשים נבילה אלא </w:t>
      </w:r>
      <w:r w:rsidRPr="00882F11">
        <w:rPr>
          <w:rFonts w:cs="Guttman Drogolin" w:hint="cs"/>
          <w:rtl/>
          <w:lang w:bidi="he-IL"/>
        </w:rPr>
        <w:lastRenderedPageBreak/>
        <w:t xml:space="preserve">משום גזיה אטו בב"ח, מה"ת לומר דשאני גדר חענ"ן בשאר איסורים מחענ"ן דבב"ח, דכפשוטו הי' לנו לומר דכל מאי דתקון רבנן כעין דאורייתא תקון. ונראה פשוט שכל טענה זו ליתי' אלא לשיטת הר"ן עצמו שהדין חענ"ן בשאר איסורים הוא גזרה אטו בב"ח, אבל לי מה שהבאנו בשיעור הקודם שהמשמעות של ראשונין אחרים הוא דחענ"ן בשאר איסורים הוא דין אחר לגמרי ואינו בנוי על חענ"ן דבשר בחלב, שפיר י"ל שהגדר של חענ"ן בשאר איסורים שונה מן הגדר של חענ"ן בבב"ח. וכן פשוט שלא שייך התי' של הר"ן הנ"ל לקושיית הר"י, שהוא שייך רק אם חענ"ן בשאר איסורים בנוי על איסור בב"ח, אבל אם הוא דין בפני עצמו לא.  </w:t>
      </w:r>
      <w:r w:rsidR="000C30D8" w:rsidRPr="00882F11">
        <w:rPr>
          <w:rFonts w:cs="Guttman Drogolin" w:hint="cs"/>
          <w:rtl/>
          <w:lang w:bidi="he-IL"/>
        </w:rPr>
        <w:t xml:space="preserve">  </w:t>
      </w:r>
      <w:r w:rsidR="00575A9C" w:rsidRPr="00882F11">
        <w:rPr>
          <w:rFonts w:cs="Guttman Drogolin" w:hint="cs"/>
          <w:rtl/>
          <w:lang w:bidi="he-IL"/>
        </w:rPr>
        <w:t xml:space="preserve">   </w:t>
      </w:r>
      <w:r w:rsidR="004F0F22" w:rsidRPr="00882F11">
        <w:rPr>
          <w:rFonts w:cs="Guttman Drogolin" w:hint="cs"/>
          <w:rtl/>
          <w:lang w:bidi="he-IL"/>
        </w:rPr>
        <w:t xml:space="preserve"> </w:t>
      </w:r>
      <w:r w:rsidR="002A73E8" w:rsidRPr="00882F11">
        <w:rPr>
          <w:rFonts w:cs="Guttman Drogolin" w:hint="cs"/>
          <w:rtl/>
          <w:lang w:bidi="he-IL"/>
        </w:rPr>
        <w:t xml:space="preserve"> </w:t>
      </w:r>
      <w:r w:rsidR="001973E1" w:rsidRPr="00882F11">
        <w:rPr>
          <w:rFonts w:cs="Guttman Drogolin" w:hint="cs"/>
          <w:rtl/>
          <w:lang w:bidi="he-IL"/>
        </w:rPr>
        <w:t xml:space="preserve"> </w:t>
      </w:r>
      <w:r w:rsidR="00BF1A26" w:rsidRPr="00882F11">
        <w:rPr>
          <w:rFonts w:cs="Guttman Drogolin" w:hint="cs"/>
          <w:rtl/>
          <w:lang w:bidi="he-IL"/>
        </w:rPr>
        <w:t xml:space="preserve">  </w:t>
      </w:r>
    </w:p>
    <w:p w:rsidR="00C4242B" w:rsidRPr="00882F11" w:rsidRDefault="00C4242B" w:rsidP="00C4242B">
      <w:pPr>
        <w:bidi/>
        <w:spacing w:before="240" w:after="0"/>
        <w:jc w:val="both"/>
        <w:rPr>
          <w:rFonts w:cs="Guttman Drogolin"/>
          <w:b/>
          <w:bCs/>
          <w:u w:val="single"/>
          <w:rtl/>
          <w:lang w:bidi="he-IL"/>
        </w:rPr>
      </w:pPr>
      <w:r w:rsidRPr="00882F11">
        <w:rPr>
          <w:rFonts w:cs="Guttman Drogolin" w:hint="cs"/>
          <w:b/>
          <w:bCs/>
          <w:u w:val="single"/>
          <w:rtl/>
          <w:lang w:bidi="he-IL"/>
        </w:rPr>
        <w:t>הקושיא ממתני' דפ"ה דתרומות וכן מן הגמ' שבמס' ע"ז</w:t>
      </w:r>
    </w:p>
    <w:p w:rsidR="00B75B83" w:rsidRPr="00882F11" w:rsidRDefault="00A02CF6" w:rsidP="00C4242B">
      <w:pPr>
        <w:bidi/>
        <w:jc w:val="both"/>
        <w:rPr>
          <w:rFonts w:cs="Guttman Drogolin"/>
          <w:rtl/>
          <w:lang w:bidi="he-IL"/>
        </w:rPr>
      </w:pPr>
      <w:r w:rsidRPr="00882F11">
        <w:rPr>
          <w:rFonts w:cs="Guttman Drogolin" w:hint="cs"/>
          <w:rtl/>
          <w:lang w:bidi="he-IL"/>
        </w:rPr>
        <w:t xml:space="preserve">בסוף דבריו דן הר"ן </w:t>
      </w:r>
      <w:r w:rsidR="00C13C6E" w:rsidRPr="00882F11">
        <w:rPr>
          <w:rFonts w:cs="Guttman Drogolin" w:hint="cs"/>
          <w:rtl/>
          <w:lang w:bidi="he-IL"/>
        </w:rPr>
        <w:t>בקושיית הראשונים</w:t>
      </w:r>
      <w:r w:rsidR="00B75B83" w:rsidRPr="00882F11">
        <w:rPr>
          <w:rFonts w:cs="Guttman Drogolin" w:hint="cs"/>
          <w:rtl/>
          <w:lang w:bidi="he-IL"/>
        </w:rPr>
        <w:t xml:space="preserve"> ממתני' שבפ"ה דמס' תרומות, ששם מבואר שבמדומע אין המדומע מדמע אלא לפי חשבון, וכן כה"ג לענין מים שאובין ולכאורה אי אמרינן חענ"ן בשאר איסורים למה לא יצטרך לבטל הכל כיון שחענ"ן. וכן הקשו כה"ג מגמ' דמס' ע"ז מיין שנתערבו לתוך יין ושוב עירבו בה מים שהמים מבטל לפי חשבון, וצ"ע דלימעא שהיין נע"נ. והר"ן מפלפל ודוחה את תירוצי שאר הראשונים לקושייות אלו, ומסיק שהטעם בזה משום שהדין חענ"ן בשאר איסורים אינו אלא אטו בב"ח. וכיון שבב"ח אינו אסור אלא דרך בישול, הה"נ שאין חענ"ן בשאר איסורים אלא דרך בישול, וכל הנהו מיירי בתערבו</w:t>
      </w:r>
      <w:r w:rsidR="00C466E8" w:rsidRPr="00882F11">
        <w:rPr>
          <w:rFonts w:cs="Guttman Drogolin" w:hint="cs"/>
          <w:rtl/>
          <w:lang w:bidi="he-IL"/>
        </w:rPr>
        <w:t>ת</w:t>
      </w:r>
      <w:r w:rsidR="00B75B83" w:rsidRPr="00882F11">
        <w:rPr>
          <w:rFonts w:cs="Guttman Drogolin" w:hint="cs"/>
          <w:rtl/>
          <w:lang w:bidi="he-IL"/>
        </w:rPr>
        <w:t xml:space="preserve"> לח בלח בצונן ולכן ליכא חענ"ן. </w:t>
      </w:r>
    </w:p>
    <w:p w:rsidR="00B75B83" w:rsidRPr="00882F11" w:rsidRDefault="00B75B83" w:rsidP="0078079C">
      <w:pPr>
        <w:pStyle w:val="Heading1"/>
        <w:bidi/>
        <w:spacing w:before="0" w:line="360" w:lineRule="auto"/>
        <w:jc w:val="center"/>
        <w:rPr>
          <w:rFonts w:cs="Guttman Drogolin"/>
          <w:color w:val="auto"/>
          <w:sz w:val="24"/>
          <w:szCs w:val="24"/>
          <w:u w:val="single"/>
          <w:rtl/>
          <w:lang w:bidi="he-IL"/>
        </w:rPr>
      </w:pPr>
      <w:bookmarkStart w:id="92" w:name="_Toc496175352"/>
      <w:r w:rsidRPr="00882F11">
        <w:rPr>
          <w:rFonts w:cs="Guttman Drogolin" w:hint="cs"/>
          <w:color w:val="auto"/>
          <w:sz w:val="24"/>
          <w:szCs w:val="24"/>
          <w:u w:val="single"/>
          <w:rtl/>
          <w:lang w:bidi="he-IL"/>
        </w:rPr>
        <w:t>דינים העולים לשיטת הר"ן</w:t>
      </w:r>
      <w:bookmarkEnd w:id="92"/>
    </w:p>
    <w:p w:rsidR="00B75B83" w:rsidRPr="00882F11" w:rsidRDefault="00B75B83" w:rsidP="00B75B83">
      <w:pPr>
        <w:bidi/>
        <w:jc w:val="both"/>
        <w:rPr>
          <w:rFonts w:cs="Guttman Drogolin"/>
          <w:rtl/>
          <w:lang w:bidi="he-IL"/>
        </w:rPr>
      </w:pPr>
      <w:r w:rsidRPr="00882F11">
        <w:rPr>
          <w:rFonts w:cs="Guttman Drogolin" w:hint="cs"/>
          <w:rtl/>
          <w:lang w:bidi="he-IL"/>
        </w:rPr>
        <w:t>יוצא לשיטת הר"ן כך:</w:t>
      </w:r>
    </w:p>
    <w:p w:rsidR="006C57C1" w:rsidRPr="00882F11" w:rsidRDefault="006C57C1" w:rsidP="00B81CCF">
      <w:pPr>
        <w:pStyle w:val="ListParagraph"/>
        <w:numPr>
          <w:ilvl w:val="0"/>
          <w:numId w:val="5"/>
        </w:numPr>
        <w:bidi/>
        <w:jc w:val="both"/>
        <w:rPr>
          <w:rFonts w:cs="Guttman Drogolin"/>
        </w:rPr>
      </w:pPr>
      <w:r w:rsidRPr="00882F11">
        <w:rPr>
          <w:rFonts w:cs="Guttman Drogolin" w:hint="cs"/>
          <w:rtl/>
          <w:lang w:bidi="he-IL"/>
        </w:rPr>
        <w:t>יש חענ"ן בשאר איסורים אטו חענ"ן דבב"ח.</w:t>
      </w:r>
    </w:p>
    <w:p w:rsidR="006C57C1" w:rsidRPr="00882F11" w:rsidRDefault="006C57C1" w:rsidP="00B81CCF">
      <w:pPr>
        <w:pStyle w:val="ListParagraph"/>
        <w:numPr>
          <w:ilvl w:val="0"/>
          <w:numId w:val="5"/>
        </w:numPr>
        <w:bidi/>
        <w:jc w:val="both"/>
        <w:rPr>
          <w:rFonts w:cs="Guttman Drogolin"/>
        </w:rPr>
      </w:pPr>
      <w:r w:rsidRPr="00882F11">
        <w:rPr>
          <w:rFonts w:cs="Guttman Drogolin" w:hint="cs"/>
          <w:rtl/>
          <w:lang w:bidi="he-IL"/>
        </w:rPr>
        <w:t>אין חענ"ן אפילו בשאר איסורים אלא בכה"ג שיש חענ"ן בב"ח, ולכן:</w:t>
      </w:r>
    </w:p>
    <w:p w:rsidR="006C57C1" w:rsidRPr="00882F11" w:rsidRDefault="006C57C1" w:rsidP="00B81CCF">
      <w:pPr>
        <w:pStyle w:val="ListParagraph"/>
        <w:numPr>
          <w:ilvl w:val="1"/>
          <w:numId w:val="5"/>
        </w:numPr>
        <w:bidi/>
        <w:jc w:val="both"/>
        <w:rPr>
          <w:rFonts w:cs="Guttman Drogolin"/>
        </w:rPr>
      </w:pPr>
      <w:r w:rsidRPr="00882F11">
        <w:rPr>
          <w:rFonts w:cs="Guttman Drogolin" w:hint="cs"/>
          <w:rtl/>
          <w:lang w:bidi="he-IL"/>
        </w:rPr>
        <w:t>אין חענ"ן בכדי קליפה.</w:t>
      </w:r>
    </w:p>
    <w:p w:rsidR="006C57C1" w:rsidRPr="00882F11" w:rsidRDefault="006C57C1" w:rsidP="00B81CCF">
      <w:pPr>
        <w:pStyle w:val="ListParagraph"/>
        <w:numPr>
          <w:ilvl w:val="1"/>
          <w:numId w:val="5"/>
        </w:numPr>
        <w:bidi/>
        <w:jc w:val="both"/>
        <w:rPr>
          <w:rFonts w:cs="Guttman Drogolin"/>
        </w:rPr>
      </w:pPr>
      <w:r w:rsidRPr="00882F11">
        <w:rPr>
          <w:rFonts w:cs="Guttman Drogolin" w:hint="cs"/>
          <w:rtl/>
          <w:lang w:bidi="he-IL"/>
        </w:rPr>
        <w:t>אין חענ"ן אלא בנבשלו.</w:t>
      </w:r>
    </w:p>
    <w:p w:rsidR="006C57C1" w:rsidRPr="00882F11" w:rsidRDefault="006C57C1" w:rsidP="00B81CCF">
      <w:pPr>
        <w:pStyle w:val="ListParagraph"/>
        <w:numPr>
          <w:ilvl w:val="1"/>
          <w:numId w:val="5"/>
        </w:numPr>
        <w:bidi/>
        <w:jc w:val="both"/>
        <w:rPr>
          <w:rFonts w:cs="Guttman Drogolin"/>
        </w:rPr>
      </w:pPr>
      <w:r w:rsidRPr="00882F11">
        <w:rPr>
          <w:rFonts w:cs="Guttman Drogolin" w:hint="cs"/>
          <w:rtl/>
          <w:lang w:bidi="he-IL"/>
        </w:rPr>
        <w:lastRenderedPageBreak/>
        <w:t>לס"ד דבשר אסרה תורה ולא חלב, אין חענ"ן בלב בלח.</w:t>
      </w:r>
    </w:p>
    <w:p w:rsidR="006C57C1" w:rsidRPr="00882F11" w:rsidRDefault="006C57C1" w:rsidP="00B81CCF">
      <w:pPr>
        <w:pStyle w:val="ListParagraph"/>
        <w:numPr>
          <w:ilvl w:val="0"/>
          <w:numId w:val="5"/>
        </w:numPr>
        <w:bidi/>
        <w:jc w:val="both"/>
        <w:rPr>
          <w:rFonts w:cs="Guttman Drogolin"/>
        </w:rPr>
      </w:pPr>
      <w:r w:rsidRPr="00882F11">
        <w:rPr>
          <w:rFonts w:cs="Guttman Drogolin" w:hint="cs"/>
          <w:rtl/>
          <w:lang w:bidi="he-IL"/>
        </w:rPr>
        <w:t>בליעה עוברת מחתיכה לחתיכה בלי רוטב.</w:t>
      </w:r>
    </w:p>
    <w:p w:rsidR="006C57C1" w:rsidRPr="00882F11" w:rsidRDefault="006C57C1" w:rsidP="00B81CCF">
      <w:pPr>
        <w:pStyle w:val="ListParagraph"/>
        <w:numPr>
          <w:ilvl w:val="0"/>
          <w:numId w:val="5"/>
        </w:numPr>
        <w:bidi/>
        <w:jc w:val="both"/>
        <w:rPr>
          <w:rFonts w:cs="Guttman Drogolin"/>
        </w:rPr>
      </w:pPr>
      <w:r w:rsidRPr="00882F11">
        <w:rPr>
          <w:rFonts w:cs="Guttman Drogolin" w:hint="cs"/>
          <w:rtl/>
          <w:lang w:bidi="he-IL"/>
        </w:rPr>
        <w:t>בחענ"ן הנאסר אוסר אפילו במקום שאין האיסור יכול להתפשט.</w:t>
      </w:r>
    </w:p>
    <w:p w:rsidR="006C57C1" w:rsidRPr="00882F11" w:rsidRDefault="006C57C1" w:rsidP="00B81CCF">
      <w:pPr>
        <w:pStyle w:val="ListParagraph"/>
        <w:numPr>
          <w:ilvl w:val="0"/>
          <w:numId w:val="5"/>
        </w:numPr>
        <w:bidi/>
        <w:jc w:val="both"/>
        <w:rPr>
          <w:rFonts w:cs="Guttman Drogolin"/>
        </w:rPr>
      </w:pPr>
      <w:r w:rsidRPr="00882F11">
        <w:rPr>
          <w:rFonts w:cs="Guttman Drogolin" w:hint="cs"/>
          <w:rtl/>
          <w:lang w:bidi="he-IL"/>
        </w:rPr>
        <w:t>דבר הנא</w:t>
      </w:r>
      <w:r w:rsidR="009F1FF6" w:rsidRPr="00882F11">
        <w:rPr>
          <w:rFonts w:cs="Guttman Drogolin" w:hint="cs"/>
          <w:rtl/>
          <w:lang w:bidi="he-IL"/>
        </w:rPr>
        <w:t>סר משום חענ"ן אוסר משום מינה אפ</w:t>
      </w:r>
      <w:r w:rsidRPr="00882F11">
        <w:rPr>
          <w:rFonts w:cs="Guttman Drogolin" w:hint="cs"/>
          <w:rtl/>
          <w:lang w:bidi="he-IL"/>
        </w:rPr>
        <w:t>ילו בשאר איסור כמו בב"ח וכשיטת ר' שמואל.</w:t>
      </w:r>
    </w:p>
    <w:p w:rsidR="006C57C1" w:rsidRPr="00882F11" w:rsidRDefault="006C57C1" w:rsidP="0078079C">
      <w:pPr>
        <w:pStyle w:val="Heading1"/>
        <w:bidi/>
        <w:spacing w:before="0" w:line="360" w:lineRule="auto"/>
        <w:jc w:val="center"/>
        <w:rPr>
          <w:rFonts w:cs="Guttman Drogolin"/>
          <w:color w:val="auto"/>
          <w:sz w:val="24"/>
          <w:szCs w:val="24"/>
          <w:u w:val="single"/>
          <w:rtl/>
          <w:lang w:bidi="he-IL"/>
        </w:rPr>
      </w:pPr>
      <w:bookmarkStart w:id="93" w:name="_Toc496175353"/>
      <w:r w:rsidRPr="00882F11">
        <w:rPr>
          <w:rFonts w:cs="Guttman Drogolin" w:hint="cs"/>
          <w:color w:val="auto"/>
          <w:sz w:val="24"/>
          <w:szCs w:val="24"/>
          <w:u w:val="single"/>
          <w:rtl/>
          <w:lang w:bidi="he-IL"/>
        </w:rPr>
        <w:t>הערות רע"א בדברי הר"ן</w:t>
      </w:r>
      <w:bookmarkEnd w:id="93"/>
    </w:p>
    <w:p w:rsidR="006C57C1" w:rsidRPr="00882F11" w:rsidRDefault="00956608" w:rsidP="006C57C1">
      <w:pPr>
        <w:bidi/>
        <w:jc w:val="both"/>
        <w:rPr>
          <w:rFonts w:cs="Guttman Drogolin"/>
          <w:rtl/>
          <w:lang w:bidi="he-IL"/>
        </w:rPr>
      </w:pPr>
      <w:r>
        <w:rPr>
          <w:rFonts w:cs="Guttman Drogolin"/>
          <w:rtl/>
          <w:lang w:bidi="he-IL"/>
        </w:rPr>
        <w:fldChar w:fldCharType="begin"/>
      </w:r>
      <w:r>
        <w:instrText xml:space="preserve"> XE "</w:instrText>
      </w:r>
      <w:r w:rsidRPr="005A6157">
        <w:rPr>
          <w:rFonts w:hint="cs"/>
          <w:rtl/>
          <w:lang w:bidi="he-IL"/>
        </w:rPr>
        <w:instrText>חענ</w:instrText>
      </w:r>
      <w:r>
        <w:rPr>
          <w:rFonts w:eastAsiaTheme="minorEastAsia"/>
          <w:lang w:bidi="he-IL"/>
        </w:rPr>
        <w:instrText>\</w:instrText>
      </w:r>
      <w:r w:rsidRPr="005A6157">
        <w:rPr>
          <w:rFonts w:hint="cs"/>
          <w:rtl/>
          <w:lang w:bidi="he-IL"/>
        </w:rPr>
        <w:instrText>"ן</w:instrText>
      </w:r>
      <w:r w:rsidRPr="005A6157">
        <w:rPr>
          <w:rtl/>
        </w:rPr>
        <w:instrText>:</w:instrText>
      </w:r>
      <w:r w:rsidRPr="005A6157">
        <w:rPr>
          <w:rFonts w:hint="cs"/>
          <w:rtl/>
          <w:lang w:bidi="he-IL"/>
        </w:rPr>
        <w:instrText>שיטת הר</w:instrText>
      </w:r>
      <w:r>
        <w:rPr>
          <w:rFonts w:eastAsiaTheme="minorEastAsia"/>
          <w:lang w:bidi="he-IL"/>
        </w:rPr>
        <w:instrText>\</w:instrText>
      </w:r>
      <w:r w:rsidRPr="005A6157">
        <w:rPr>
          <w:rFonts w:hint="cs"/>
          <w:rtl/>
          <w:lang w:bidi="he-IL"/>
        </w:rPr>
        <w:instrText>"ן בסוגיא - הערות רע</w:instrText>
      </w:r>
      <w:r>
        <w:rPr>
          <w:rFonts w:eastAsiaTheme="minorEastAsia"/>
          <w:lang w:bidi="he-IL"/>
        </w:rPr>
        <w:instrText>\</w:instrText>
      </w:r>
      <w:r w:rsidRPr="005A6157">
        <w:rPr>
          <w:rFonts w:hint="cs"/>
          <w:rtl/>
          <w:lang w:bidi="he-IL"/>
        </w:rPr>
        <w:instrText>"א</w:instrText>
      </w:r>
      <w:r>
        <w:instrText xml:space="preserve">" </w:instrText>
      </w:r>
      <w:r>
        <w:rPr>
          <w:rFonts w:cs="Guttman Drogolin"/>
          <w:rtl/>
          <w:lang w:bidi="he-IL"/>
        </w:rPr>
        <w:fldChar w:fldCharType="end"/>
      </w:r>
      <w:r w:rsidR="006C57C1" w:rsidRPr="00882F11">
        <w:rPr>
          <w:rFonts w:cs="Guttman Drogolin" w:hint="cs"/>
          <w:rtl/>
          <w:lang w:bidi="he-IL"/>
        </w:rPr>
        <w:t>בדו"ח לרע"א ח"ב (מובא כאן בחי' רע"א הוצאת זכ"י) ארבע הערות עיקריות על דברי הר"ן, שלש מהם נוגע למה שנתבאר לעיל, וא' בענין הגעלה. וע"ש שעיקר הערות אלו נמצאים בדבר</w:t>
      </w:r>
      <w:r w:rsidR="00C466E8" w:rsidRPr="00882F11">
        <w:rPr>
          <w:rFonts w:cs="Guttman Drogolin" w:hint="cs"/>
          <w:rtl/>
          <w:lang w:bidi="he-IL"/>
        </w:rPr>
        <w:t>י</w:t>
      </w:r>
      <w:r w:rsidR="006C57C1" w:rsidRPr="00882F11">
        <w:rPr>
          <w:rFonts w:cs="Guttman Drogolin" w:hint="cs"/>
          <w:rtl/>
          <w:lang w:bidi="he-IL"/>
        </w:rPr>
        <w:t xml:space="preserve"> רע"א בעוד כמה מקומות.</w:t>
      </w:r>
    </w:p>
    <w:p w:rsidR="0099731D" w:rsidRPr="00882F11" w:rsidRDefault="006C57C1" w:rsidP="00B81CCF">
      <w:pPr>
        <w:pStyle w:val="ListParagraph"/>
        <w:numPr>
          <w:ilvl w:val="0"/>
          <w:numId w:val="6"/>
        </w:numPr>
        <w:bidi/>
        <w:jc w:val="both"/>
        <w:rPr>
          <w:rFonts w:cs="Guttman Drogolin"/>
        </w:rPr>
      </w:pPr>
      <w:r w:rsidRPr="00882F11">
        <w:rPr>
          <w:rFonts w:cs="Guttman Drogolin" w:hint="cs"/>
          <w:rtl/>
          <w:lang w:bidi="he-IL"/>
        </w:rPr>
        <w:t xml:space="preserve">במש"כ הר"ן שבליעה עובר מחתיכה לחתיכה בלי רוטב העיר רע"א דלכאורה צ"ע דהא הרי גם הר"ן מודה </w:t>
      </w:r>
      <w:r w:rsidR="006A0E69" w:rsidRPr="00882F11">
        <w:rPr>
          <w:rFonts w:cs="Guttman Drogolin" w:hint="cs"/>
          <w:rtl/>
          <w:lang w:bidi="he-IL"/>
        </w:rPr>
        <w:t>שאין משערים הטיפת חלב אלא בס' של החתיכה ולא בכל הקדירה. ולכאורה צ"ע דכיון שהטיפה עובר מחתיכה לחתיכה בלי רוטב, וכן סופו להתפשט, למה אינו משער בכל הקדירה. וע"כ שיש חילוק בין ההתפשטות שבתוך חתיכה א' לבין ההתפשטות מחת</w:t>
      </w:r>
      <w:r w:rsidR="00C44884" w:rsidRPr="00882F11">
        <w:rPr>
          <w:rFonts w:cs="Guttman Drogolin" w:hint="cs"/>
          <w:rtl/>
          <w:lang w:bidi="he-IL"/>
        </w:rPr>
        <w:t>י</w:t>
      </w:r>
      <w:r w:rsidR="006A0E69" w:rsidRPr="00882F11">
        <w:rPr>
          <w:rFonts w:cs="Guttman Drogolin" w:hint="cs"/>
          <w:rtl/>
          <w:lang w:bidi="he-IL"/>
        </w:rPr>
        <w:t>כה לחתיכה. וא"כ מהו כל תמיהת הר"ן בזה שיהא חילוק בין בתוך חתיכה עבה לבין מחתיכה לחתיכה. ובשו"</w:t>
      </w:r>
      <w:r w:rsidR="008138E7" w:rsidRPr="00882F11">
        <w:rPr>
          <w:rFonts w:cs="Guttman Drogolin" w:hint="cs"/>
          <w:rtl/>
          <w:lang w:bidi="he-IL"/>
        </w:rPr>
        <w:t>ת חת</w:t>
      </w:r>
      <w:r w:rsidR="006A0E69" w:rsidRPr="00882F11">
        <w:rPr>
          <w:rFonts w:cs="Guttman Drogolin" w:hint="cs"/>
          <w:rtl/>
          <w:lang w:bidi="he-IL"/>
        </w:rPr>
        <w:t>"ס</w:t>
      </w:r>
      <w:r w:rsidR="00B351B1" w:rsidRPr="00882F11">
        <w:rPr>
          <w:rFonts w:cs="Guttman Drogolin" w:hint="cs"/>
          <w:rtl/>
          <w:lang w:bidi="he-IL"/>
        </w:rPr>
        <w:t xml:space="preserve"> סי' צ"ז כתב לחלק, דאה"נ שהטעם מתפשט אפילו מחתיכה לחתיכה בלי רוטב, מ"מ יש שיהוי קצת </w:t>
      </w:r>
      <w:r w:rsidR="00C44884" w:rsidRPr="00882F11">
        <w:rPr>
          <w:rFonts w:cs="Guttman Drogolin" w:hint="cs"/>
          <w:rtl/>
          <w:lang w:bidi="he-IL"/>
        </w:rPr>
        <w:t>מ</w:t>
      </w:r>
      <w:r w:rsidR="00B351B1" w:rsidRPr="00882F11">
        <w:rPr>
          <w:rFonts w:cs="Guttman Drogolin" w:hint="cs"/>
          <w:rtl/>
          <w:lang w:bidi="he-IL"/>
        </w:rPr>
        <w:t xml:space="preserve">חתיכה לחתיכה, וכיון שכן החתיכה נעשית נבילה קודם שהטעם של חלב עובר ממנו לחתיכה אחרת, משא"כ בתוך החתיכה עצמה אמרינן שסופו להתפשט ואינו נע"נ. ודקדוק לשונו הזהב של רע"א מראה שאין זה יישוב להערתו, דז"ל "וע"כ [לענין זה שאין משערין אלא בחתיכה] החילוק דכח פישוט החלב הוא מיד באותו חתיכה אבל לא לחתיכות אחרות, וא"כ שוב ממילא אינו רחוק לומר </w:t>
      </w:r>
      <w:r w:rsidR="00B351B1" w:rsidRPr="00882F11">
        <w:rPr>
          <w:rFonts w:cs="Guttman Drogolin" w:hint="cs"/>
          <w:rtl/>
          <w:lang w:bidi="he-IL"/>
        </w:rPr>
        <w:lastRenderedPageBreak/>
        <w:t>דכיון דכח הפישוט אינו רק באותו חתיכה מקרי בלוע וא"י מחתיכה לחתיכה בלי רוטב".</w:t>
      </w:r>
      <w:r w:rsidR="0099731D" w:rsidRPr="00882F11">
        <w:rPr>
          <w:rFonts w:cs="Guttman Drogolin" w:hint="cs"/>
          <w:rtl/>
          <w:lang w:bidi="he-IL"/>
        </w:rPr>
        <w:t xml:space="preserve"> והיינו שגם רע"א הבין שיש לחלק בין זה שבעצם מתפשט לדין חענ"ן, רק שתמה על לשון הר"ן שכתב דזה ודאי לא נהירא כלל לחלק בין חתיכה אחת גסה לב' חתיכות דקות, והרי גם הר"ן ע"כ סבירא לי' שיש איזה חילוק ביניהם. ומ"מ הכח הקושיא צריכים לומר שאמנם יש חילוק לענין חענ"ן, לענין דיני התפשטות אין זה אילו דררא של צד לומר שאינו עובר מחתכה לחתיכה.</w:t>
      </w:r>
    </w:p>
    <w:p w:rsidR="00B351B1" w:rsidRPr="00882F11" w:rsidRDefault="00EB7D1E" w:rsidP="002C6443">
      <w:pPr>
        <w:pStyle w:val="ListParagraph"/>
        <w:bidi/>
        <w:jc w:val="both"/>
        <w:rPr>
          <w:rFonts w:cs="Guttman Drogolin"/>
        </w:rPr>
      </w:pPr>
      <w:r w:rsidRPr="00882F11">
        <w:rPr>
          <w:rFonts w:cs="Guttman Drogolin" w:hint="cs"/>
          <w:rtl/>
          <w:lang w:bidi="he-IL"/>
        </w:rPr>
        <w:t>ורע"א רצתה להוכיח דע"כ גם הר"ן סבר את הכלל דאין בליעה עובר מחתיכה ל</w:t>
      </w:r>
      <w:r w:rsidR="002C6443" w:rsidRPr="00882F11">
        <w:rPr>
          <w:rFonts w:cs="Guttman Drogolin" w:hint="cs"/>
          <w:rtl/>
          <w:lang w:bidi="he-IL"/>
        </w:rPr>
        <w:t>ח</w:t>
      </w:r>
      <w:r w:rsidRPr="00882F11">
        <w:rPr>
          <w:rFonts w:cs="Guttman Drogolin" w:hint="cs"/>
          <w:rtl/>
          <w:lang w:bidi="he-IL"/>
        </w:rPr>
        <w:t xml:space="preserve">תיכה בלי רוטב. דאל"כ היכי משכחת לאיסור כדי קליפה. והיינו דנהי נמי דלא אמרינן חענ"ן בכדי קליפה, מ"מ מטעם הבלע עצמה ילך מקליפה לקליפה ויאסור את הכל. וע"ש שהביא מאחיו </w:t>
      </w:r>
      <w:r w:rsidR="00217368" w:rsidRPr="00882F11">
        <w:rPr>
          <w:rFonts w:cs="Guttman Drogolin" w:hint="cs"/>
          <w:rtl/>
          <w:lang w:bidi="he-IL"/>
        </w:rPr>
        <w:t xml:space="preserve">לדון שאולי אם יתפשט בכל החתיכה יהי' ס' כנגדו. ואני לא ירדתי לסוף דעתו הרמה של רע"א בזה. שהרי זה פשוט כמש"כ הר"ן שאין כח לאיסור להתפשט בכל החתיכה אלא כשיש בה כח של לחלוחית, ולכן אין משערים הטיפת חלב בכל החתיכה אלא משום יש הבל מן הקדירה, אבל בלי זה אינו עובר אלא כדי קליפה, והטעם משום שאין לאיסור כח להתפשט בכולו כשליכא אלא חום יבש. וא"כ מנין לנו שאיסור בלויע מתפשט כלל. שהרי יתכן שכל הדין של צלי שאוסר ביבש כדי קליפה היינו כשאוסר מחמת עצמו, אבל כשאינו אסור אלא מכח טעם בלוע מה"ת שיוצא כלל. וא"כ הה"נ בכדי קליפה דלמא אינו מתפשט כיון דליכא אלא בליעה, וכממו שסוברים התוס' באמת שאינו עובר, רק מטעמייהו שיש להם הכלל שאין בליעה עובר מחתיכה חתיכה בלי רוטב. ועוד יותר תמוה לי בדברי רע"א, שהרי אפילו אילו הי' מוכרח שבלוע עובר כדי קליפה מחתיכה לחתיכה בצלי, מ"מ למה זה </w:t>
      </w:r>
      <w:r w:rsidR="00217368" w:rsidRPr="00882F11">
        <w:rPr>
          <w:rFonts w:cs="Guttman Drogolin" w:hint="cs"/>
          <w:rtl/>
          <w:lang w:bidi="he-IL"/>
        </w:rPr>
        <w:lastRenderedPageBreak/>
        <w:t xml:space="preserve">קשה על דברי הר"ן, הא איהו לא תמה אלא על החילוק בהתפשטות הטעם בין תוך אותה חתיכה לבין מחתיכה לחתיכה, והדין של התפשטות הטעם בחתיכה אחרי שנאסר כדי קליפה הרי מיירי בתוך אותה חתיכה, ואם הדבר קשה הרי הוא קשה אפילו אם נחלק בין באותה חתיכה לבין מחתיכה לחתיכה. וה' יאיר עיני.   </w:t>
      </w:r>
      <w:r w:rsidR="0099731D" w:rsidRPr="00882F11">
        <w:rPr>
          <w:rFonts w:cs="Guttman Drogolin" w:hint="cs"/>
          <w:rtl/>
          <w:lang w:bidi="he-IL"/>
        </w:rPr>
        <w:t xml:space="preserve"> </w:t>
      </w:r>
      <w:r w:rsidR="00B351B1" w:rsidRPr="00882F11">
        <w:rPr>
          <w:rFonts w:cs="Guttman Drogolin" w:hint="cs"/>
          <w:rtl/>
          <w:lang w:bidi="he-IL"/>
        </w:rPr>
        <w:t xml:space="preserve">  </w:t>
      </w:r>
    </w:p>
    <w:p w:rsidR="00F21AB0" w:rsidRPr="00882F11" w:rsidRDefault="00AE7B67" w:rsidP="00B81CCF">
      <w:pPr>
        <w:pStyle w:val="ListParagraph"/>
        <w:numPr>
          <w:ilvl w:val="0"/>
          <w:numId w:val="6"/>
        </w:numPr>
        <w:bidi/>
        <w:jc w:val="both"/>
        <w:rPr>
          <w:rFonts w:cs="Guttman Drogolin"/>
        </w:rPr>
      </w:pPr>
      <w:r w:rsidRPr="00882F11">
        <w:rPr>
          <w:rFonts w:cs="Guttman Drogolin" w:hint="cs"/>
          <w:rtl/>
          <w:lang w:bidi="he-IL"/>
        </w:rPr>
        <w:t>הדין הוא שאין איסו</w:t>
      </w:r>
      <w:r w:rsidR="00EB5F8B" w:rsidRPr="00882F11">
        <w:rPr>
          <w:rFonts w:cs="Guttman Drogolin" w:hint="cs"/>
          <w:rtl/>
          <w:lang w:bidi="he-IL"/>
        </w:rPr>
        <w:t>ר</w:t>
      </w:r>
      <w:r w:rsidRPr="00882F11">
        <w:rPr>
          <w:rFonts w:cs="Guttman Drogolin" w:hint="cs"/>
          <w:rtl/>
          <w:lang w:bidi="he-IL"/>
        </w:rPr>
        <w:t xml:space="preserve"> דאורייתא של בשר בחלב אא"כ הוא דרך בישול. ונחלקו הפוסקים אם צלי ג"כ חשוב דרך בישול ולכן אוסר מדאורייתא</w:t>
      </w:r>
      <w:r w:rsidR="00EB5F8B" w:rsidRPr="00882F11">
        <w:rPr>
          <w:rFonts w:cs="Guttman Drogolin" w:hint="cs"/>
          <w:rtl/>
          <w:lang w:bidi="he-IL"/>
        </w:rPr>
        <w:t>, או שבישול לחוד וצליי' לחוד, ואינו אלא מדרבנן. והוכיח רע"א דע"כ סבר הר"ן שאין איסור דאורייתא</w:t>
      </w:r>
      <w:r w:rsidRPr="00882F11">
        <w:rPr>
          <w:rFonts w:cs="Guttman Drogolin" w:hint="cs"/>
          <w:rtl/>
          <w:lang w:bidi="he-IL"/>
        </w:rPr>
        <w:t xml:space="preserve"> </w:t>
      </w:r>
      <w:r w:rsidR="00EB5F8B" w:rsidRPr="00882F11">
        <w:rPr>
          <w:rFonts w:cs="Guttman Drogolin" w:hint="cs"/>
          <w:rtl/>
          <w:lang w:bidi="he-IL"/>
        </w:rPr>
        <w:t xml:space="preserve">בצלית בב"ח, דאילו הי' אסור מדאורייתא, למה סבר הר"ן שאין חענ"ן בכדי קליפה מדאורייתא כיון דלא משכחת לה לאיסור כדדי קליפה בבב"ח, הא שפיר משכחת לה אם צלה הבשר ונפל עליו טיפת חלב. והביא שהפר"ח רצה לומר שחלב דבר שמן הוא ולכן מתפשט בכולו ולעולם בדבר שאינו שמן כחוש שאיסורו בכדי קליפה לליכא חענ"ן, אבל דבריו תמוהים וכמש"כ רע"א, דהא הר"ן כתב </w:t>
      </w:r>
      <w:r w:rsidR="00F21AB0" w:rsidRPr="00882F11">
        <w:rPr>
          <w:rFonts w:cs="Guttman Drogolin" w:hint="cs"/>
          <w:rtl/>
          <w:lang w:bidi="he-IL"/>
        </w:rPr>
        <w:t>ב</w:t>
      </w:r>
      <w:r w:rsidR="00EB5F8B" w:rsidRPr="00882F11">
        <w:rPr>
          <w:rFonts w:cs="Guttman Drogolin" w:hint="cs"/>
          <w:rtl/>
          <w:lang w:bidi="he-IL"/>
        </w:rPr>
        <w:t xml:space="preserve">מפורש שבטיפת חלב מתפשט בכולו רק משום שיש הבל מן הקדירה, ומשמע דבלי זה לא הי' מתפשט בכולו כיון שאינו דבר שמן, כן כמעט מפורש בדבריו במש"כ </w:t>
      </w:r>
      <w:r w:rsidR="00F21AB0" w:rsidRPr="00882F11">
        <w:rPr>
          <w:rFonts w:cs="Guttman Drogolin" w:hint="cs"/>
          <w:rtl/>
          <w:lang w:bidi="he-IL"/>
        </w:rPr>
        <w:t>"דאע"ג דחם בחם באיסור שאינו שמן וכו' אינו אוסר יותר מכדי קליפה הנ"מ בחום של צלי וכיוצא בו אבל חתיכה זו כיון שעומדת בקדרה מתוך שיש בה הבל ולחות וכו'".</w:t>
      </w:r>
    </w:p>
    <w:p w:rsidR="00F21AB0" w:rsidRPr="00882F11" w:rsidRDefault="00F21AB0" w:rsidP="000C18B9">
      <w:pPr>
        <w:pStyle w:val="ListParagraph"/>
        <w:bidi/>
        <w:jc w:val="both"/>
        <w:rPr>
          <w:rFonts w:cs="Guttman Drogolin"/>
          <w:rtl/>
          <w:lang w:bidi="he-IL"/>
        </w:rPr>
      </w:pPr>
      <w:r w:rsidRPr="00882F11">
        <w:rPr>
          <w:rFonts w:cs="Guttman Drogolin" w:hint="cs"/>
          <w:rtl/>
          <w:lang w:bidi="he-IL"/>
        </w:rPr>
        <w:t>ומשו"ה</w:t>
      </w:r>
      <w:r w:rsidR="00403568" w:rsidRPr="00882F11">
        <w:rPr>
          <w:rFonts w:cs="Guttman Drogolin" w:hint="cs"/>
          <w:rtl/>
          <w:lang w:bidi="he-IL"/>
        </w:rPr>
        <w:t xml:space="preserve"> הקשה רע"א, דמנין לו לר"ן לחדש שאין חענ"ן בכדי קליפה כיון דלא משכחת לה כה"ג בבשר בחלב, לימא שאין הענין משום הכדי קליפה שבו רק משום שלא מצאנו צלי שעושה חענ"ן, ונפק"מ שאפילו אם יצלה דבר שמן שמתפשט בכולו ג"כ לא אמירנן שחענ"ן. ותי' בזה רע"א שיש לחלק בין כדי </w:t>
      </w:r>
      <w:r w:rsidR="00403568" w:rsidRPr="00882F11">
        <w:rPr>
          <w:rFonts w:cs="Guttman Drogolin" w:hint="cs"/>
          <w:rtl/>
          <w:lang w:bidi="he-IL"/>
        </w:rPr>
        <w:lastRenderedPageBreak/>
        <w:t xml:space="preserve">לקליפה שאופנים שונים של בישול, שבצלי אע"ג שאינו עושה בב"ח מדאורייתא, מ"מ לענין חענ"ן גזרו עליו כיון שדומה לבישול. וע"ש שרע"א צידד לומר שהי' לר"ן מקור לזה ממתני', ומשום דסבר שאע"ג שיש הבל מן הקדרה ולכן הטיפת חלב מתפשטת בכולו, מ"מ אין זה בכלל דרך בישול שאסרה תורה בבב"ח, וכיון שחזינן שמ"מ החתיכה נעשית נבילה, </w:t>
      </w:r>
      <w:r w:rsidR="005D5E50" w:rsidRPr="00882F11">
        <w:rPr>
          <w:rFonts w:cs="Guttman Drogolin" w:hint="cs"/>
          <w:rtl/>
          <w:lang w:bidi="he-IL"/>
        </w:rPr>
        <w:t>רואים שכל שנאסר ע"י חום נע"נ. ו</w:t>
      </w:r>
      <w:r w:rsidR="00403568" w:rsidRPr="00882F11">
        <w:rPr>
          <w:rFonts w:cs="Guttman Drogolin" w:hint="cs"/>
          <w:rtl/>
          <w:lang w:bidi="he-IL"/>
        </w:rPr>
        <w:t>כן באמת כבר הוכחנו לרב דסבר שצריכים שיעור חלב לאיסור בישול בב"ח שמ"מ אמירנן חענ"ן בטיפת חלב שנ</w:t>
      </w:r>
      <w:r w:rsidR="000C18B9" w:rsidRPr="00882F11">
        <w:rPr>
          <w:rFonts w:cs="Guttman Drogolin" w:hint="cs"/>
          <w:rtl/>
          <w:lang w:bidi="he-IL"/>
        </w:rPr>
        <w:t>פ</w:t>
      </w:r>
      <w:r w:rsidR="00403568" w:rsidRPr="00882F11">
        <w:rPr>
          <w:rFonts w:cs="Guttman Drogolin" w:hint="cs"/>
          <w:rtl/>
          <w:lang w:bidi="he-IL"/>
        </w:rPr>
        <w:t>לה על החתיכה וכמכ מזה לעיל בשיעור הקודם.</w:t>
      </w:r>
    </w:p>
    <w:p w:rsidR="00977832" w:rsidRPr="00882F11" w:rsidRDefault="00977832" w:rsidP="00977832">
      <w:pPr>
        <w:pStyle w:val="ListParagraph"/>
        <w:bidi/>
        <w:jc w:val="both"/>
        <w:rPr>
          <w:rFonts w:cs="Guttman Drogolin"/>
          <w:lang w:bidi="he-IL"/>
        </w:rPr>
      </w:pPr>
      <w:r w:rsidRPr="00882F11">
        <w:rPr>
          <w:rFonts w:cs="Guttman Drogolin" w:hint="cs"/>
          <w:rtl/>
          <w:lang w:bidi="he-IL"/>
        </w:rPr>
        <w:t xml:space="preserve">ומ"מ אולי ע"פ הנ"ל יש לדחות הראי' מן הר"ן, דלעולם צלי הוי דרך ביול מדאורייתא, רק דכיון שפשוטו של מקרא מיירי בבישול ממש, לא אמרו חענ"ן אלא דומיא דגדי בחלב אמו. </w:t>
      </w:r>
    </w:p>
    <w:p w:rsidR="002D028E" w:rsidRPr="00882F11" w:rsidRDefault="00977832" w:rsidP="00484258">
      <w:pPr>
        <w:pStyle w:val="ListParagraph"/>
        <w:numPr>
          <w:ilvl w:val="0"/>
          <w:numId w:val="6"/>
        </w:numPr>
        <w:bidi/>
        <w:jc w:val="both"/>
        <w:rPr>
          <w:rFonts w:cs="Guttman Drogolin"/>
        </w:rPr>
      </w:pPr>
      <w:r w:rsidRPr="00882F11">
        <w:rPr>
          <w:rFonts w:cs="Guttman Drogolin" w:hint="cs"/>
          <w:rtl/>
          <w:lang w:bidi="he-IL"/>
        </w:rPr>
        <w:t xml:space="preserve">הבאנו שהר"ן תי' למה הגמ' לא הביאה הנידון של </w:t>
      </w:r>
      <w:r w:rsidR="00DC784B">
        <w:rPr>
          <w:rFonts w:cs="Guttman Drogolin" w:hint="cs"/>
          <w:rtl/>
          <w:lang w:bidi="he-IL"/>
        </w:rPr>
        <w:t>אפשר לסוחטו</w:t>
      </w:r>
      <w:r w:rsidRPr="00882F11">
        <w:rPr>
          <w:rFonts w:cs="Guttman Drogolin" w:hint="cs"/>
          <w:rtl/>
          <w:lang w:bidi="he-IL"/>
        </w:rPr>
        <w:t xml:space="preserve"> מותר או אסור בגמ' דלעיל בדף ק' ע"א</w:t>
      </w:r>
      <w:r w:rsidR="00E53D6E" w:rsidRPr="00882F11">
        <w:rPr>
          <w:rFonts w:cs="Guttman Drogolin" w:hint="cs"/>
          <w:rtl/>
          <w:lang w:bidi="he-IL"/>
        </w:rPr>
        <w:t xml:space="preserve"> משום שהכל תלוי בחענ"ן בבב"ח. והקשה רע"א דלמה צריכים לזה, הרי הר"ן כתב שכל הטעם שלא אומרים חענ"ן אא"כ </w:t>
      </w:r>
      <w:r w:rsidR="00DC784B">
        <w:rPr>
          <w:rFonts w:cs="Guttman Drogolin" w:hint="cs"/>
          <w:rtl/>
          <w:lang w:bidi="he-IL"/>
        </w:rPr>
        <w:t>אפשר לסוחטו</w:t>
      </w:r>
      <w:r w:rsidR="00E53D6E" w:rsidRPr="00882F11">
        <w:rPr>
          <w:rFonts w:cs="Guttman Drogolin" w:hint="cs"/>
          <w:rtl/>
          <w:lang w:bidi="he-IL"/>
        </w:rPr>
        <w:t xml:space="preserve"> אסור, היינו לענין זה שיהא אוסר משום מינו ולאסור מינו של היתר במשהו למ"ד מין במינו לא בטל, אבל להצריך ששים יתכן שהדין כן אפילו למ"ד </w:t>
      </w:r>
      <w:r w:rsidR="00DC784B">
        <w:rPr>
          <w:rFonts w:cs="Guttman Drogolin" w:hint="cs"/>
          <w:rtl/>
          <w:lang w:bidi="he-IL"/>
        </w:rPr>
        <w:t>אפשר לסוחטו</w:t>
      </w:r>
      <w:r w:rsidR="00E53D6E" w:rsidRPr="00882F11">
        <w:rPr>
          <w:rFonts w:cs="Guttman Drogolin" w:hint="cs"/>
          <w:rtl/>
          <w:lang w:bidi="he-IL"/>
        </w:rPr>
        <w:t xml:space="preserve"> מותר. וא"כ פשוט למה לא הביאו לעיל, דהא התם מיירי במין במינו, ולא צריכים להפוך ההיתר למינו של איסור. </w:t>
      </w:r>
      <w:r w:rsidR="000852C1" w:rsidRPr="00882F11">
        <w:rPr>
          <w:rFonts w:cs="Guttman Drogolin" w:hint="cs"/>
          <w:rtl/>
          <w:lang w:bidi="he-IL"/>
        </w:rPr>
        <w:t xml:space="preserve">ולכאורה ר"ל שאפילו אם יש לו דין המין שאסר את החתיכה ג"כ הוי מין במינו. אמנם לכאורה יש לדחות, שהרי המין הבלוע אין לו כח לאסור מצד עצמו מום דמין במינו לא בטל כיון שכח אחר מעורב בו. ולכן לעמצו אין לו דין מינו לסור השאר משום מינו. ואע"ג שעכשיו גם ההיתר נאסר ונע"נ, מ"מ כיון שאינו </w:t>
      </w:r>
      <w:r w:rsidR="000852C1" w:rsidRPr="00882F11">
        <w:rPr>
          <w:rFonts w:cs="Guttman Drogolin" w:hint="cs"/>
          <w:rtl/>
          <w:lang w:bidi="he-IL"/>
        </w:rPr>
        <w:lastRenderedPageBreak/>
        <w:t>לו שם איס</w:t>
      </w:r>
      <w:r w:rsidR="00484258" w:rsidRPr="00882F11">
        <w:rPr>
          <w:rFonts w:cs="Guttman Drogolin" w:hint="cs"/>
          <w:rtl/>
          <w:lang w:bidi="he-IL"/>
        </w:rPr>
        <w:t>ו</w:t>
      </w:r>
      <w:r w:rsidR="000852C1" w:rsidRPr="00882F11">
        <w:rPr>
          <w:rFonts w:cs="Guttman Drogolin" w:hint="cs"/>
          <w:rtl/>
          <w:lang w:bidi="he-IL"/>
        </w:rPr>
        <w:t>ר מכח עצמו, וכן הבלוע אין לו כח לאסור מצד עצמו כיון שכח אחר מעורב</w:t>
      </w:r>
      <w:r w:rsidR="00E53D6E" w:rsidRPr="00882F11">
        <w:rPr>
          <w:rFonts w:cs="Guttman Drogolin" w:hint="cs"/>
          <w:rtl/>
          <w:lang w:bidi="he-IL"/>
        </w:rPr>
        <w:t xml:space="preserve"> </w:t>
      </w:r>
      <w:r w:rsidR="000852C1" w:rsidRPr="00882F11">
        <w:rPr>
          <w:rFonts w:cs="Guttman Drogolin" w:hint="cs"/>
          <w:rtl/>
          <w:lang w:bidi="he-IL"/>
        </w:rPr>
        <w:t>בו, לעולם לא יאסור משום מינה. ויל"ע בזה</w:t>
      </w:r>
      <w:r w:rsidR="00F70171" w:rsidRPr="00882F11">
        <w:rPr>
          <w:rStyle w:val="FootnoteReference"/>
          <w:rFonts w:cs="Guttman Drogolin"/>
          <w:rtl/>
          <w:lang w:bidi="he-IL"/>
        </w:rPr>
        <w:footnoteReference w:id="110"/>
      </w:r>
      <w:r w:rsidR="000852C1" w:rsidRPr="00882F11">
        <w:rPr>
          <w:rFonts w:cs="Guttman Drogolin" w:hint="cs"/>
          <w:rtl/>
          <w:lang w:bidi="he-IL"/>
        </w:rPr>
        <w:t xml:space="preserve">. </w:t>
      </w:r>
    </w:p>
    <w:p w:rsidR="004E1D29" w:rsidRPr="00882F11" w:rsidRDefault="002D028E" w:rsidP="00E05BC1">
      <w:pPr>
        <w:pStyle w:val="ListParagraph"/>
        <w:numPr>
          <w:ilvl w:val="0"/>
          <w:numId w:val="6"/>
        </w:numPr>
        <w:bidi/>
        <w:jc w:val="both"/>
        <w:rPr>
          <w:rFonts w:cs="Guttman Drogolin"/>
          <w:rtl/>
        </w:rPr>
      </w:pPr>
      <w:r w:rsidRPr="00882F11">
        <w:rPr>
          <w:rFonts w:cs="Guttman Drogolin" w:hint="cs"/>
          <w:rtl/>
          <w:lang w:bidi="he-IL"/>
        </w:rPr>
        <w:t>הקשה רע"א לר"ן דסבר בהדיא שחענ"ן בשאר איסורים אינו אלא מדרבנן, למה התקשה בהגעלת כלי מדין, הא אפ</w:t>
      </w:r>
      <w:r w:rsidR="00E05BC1" w:rsidRPr="00882F11">
        <w:rPr>
          <w:rFonts w:cs="Guttman Drogolin" w:hint="cs"/>
          <w:rtl/>
          <w:lang w:bidi="he-IL"/>
        </w:rPr>
        <w:t>ש</w:t>
      </w:r>
      <w:r w:rsidRPr="00882F11">
        <w:rPr>
          <w:rFonts w:cs="Guttman Drogolin" w:hint="cs"/>
          <w:rtl/>
          <w:lang w:bidi="he-IL"/>
        </w:rPr>
        <w:t>ר להגעיל כמה פעמים וכעין מה שהעירו התוס'. ובמקו"א כתב רע"א שיתכן שהוא משום שחוששין שיחזור ויבלע.</w:t>
      </w:r>
      <w:r w:rsidR="00E53D6E" w:rsidRPr="00882F11">
        <w:rPr>
          <w:rFonts w:cs="Guttman Drogolin" w:hint="cs"/>
          <w:rtl/>
          <w:lang w:bidi="he-IL"/>
        </w:rPr>
        <w:t xml:space="preserve"> </w:t>
      </w:r>
      <w:r w:rsidR="00F21AB0" w:rsidRPr="00882F11">
        <w:rPr>
          <w:rFonts w:cs="Guttman Drogolin" w:hint="cs"/>
          <w:rtl/>
          <w:lang w:bidi="he-IL"/>
        </w:rPr>
        <w:t xml:space="preserve">   </w:t>
      </w:r>
      <w:r w:rsidR="00EB5F8B" w:rsidRPr="00882F11">
        <w:rPr>
          <w:rFonts w:cs="Guttman Drogolin" w:hint="cs"/>
          <w:rtl/>
          <w:lang w:bidi="he-IL"/>
        </w:rPr>
        <w:t xml:space="preserve"> </w:t>
      </w:r>
      <w:r w:rsidR="006A0E69" w:rsidRPr="00882F11">
        <w:rPr>
          <w:rFonts w:cs="Guttman Drogolin" w:hint="cs"/>
          <w:rtl/>
          <w:lang w:bidi="he-IL"/>
        </w:rPr>
        <w:t xml:space="preserve">  </w:t>
      </w:r>
      <w:r w:rsidR="006C57C1" w:rsidRPr="00882F11">
        <w:rPr>
          <w:rFonts w:cs="Guttman Drogolin" w:hint="cs"/>
          <w:rtl/>
          <w:lang w:bidi="he-IL"/>
        </w:rPr>
        <w:t xml:space="preserve"> </w:t>
      </w:r>
      <w:r w:rsidR="00B75B83" w:rsidRPr="00882F11">
        <w:rPr>
          <w:rFonts w:cs="Guttman Drogolin" w:hint="cs"/>
          <w:rtl/>
          <w:lang w:bidi="he-IL"/>
        </w:rPr>
        <w:t xml:space="preserve"> </w:t>
      </w:r>
      <w:r w:rsidR="00A02CF6" w:rsidRPr="00882F11">
        <w:rPr>
          <w:rFonts w:cs="Guttman Drogolin" w:hint="cs"/>
          <w:rtl/>
          <w:lang w:bidi="he-IL"/>
        </w:rPr>
        <w:t xml:space="preserve"> </w:t>
      </w:r>
    </w:p>
    <w:p w:rsidR="00E54547" w:rsidRPr="00882F11" w:rsidRDefault="00AB1FCF" w:rsidP="00961091">
      <w:pPr>
        <w:bidi/>
        <w:jc w:val="both"/>
        <w:rPr>
          <w:rFonts w:cs="Guttman Drogolin"/>
          <w:lang w:bidi="he-IL"/>
        </w:rPr>
      </w:pPr>
      <w:r w:rsidRPr="00882F11">
        <w:rPr>
          <w:rFonts w:cs="Guttman Drogolin" w:hint="cs"/>
          <w:rtl/>
          <w:lang w:bidi="he-IL"/>
        </w:rPr>
        <w:t xml:space="preserve"> </w:t>
      </w:r>
      <w:r w:rsidR="00E54547" w:rsidRPr="00882F11">
        <w:rPr>
          <w:rFonts w:cs="Guttman Drogolin" w:hint="cs"/>
          <w:rtl/>
          <w:lang w:bidi="he-IL"/>
        </w:rPr>
        <w:t xml:space="preserve"> </w:t>
      </w:r>
    </w:p>
    <w:p w:rsidR="003F720C" w:rsidRPr="00882F11" w:rsidRDefault="003F720C" w:rsidP="00570BF1">
      <w:pPr>
        <w:bidi/>
        <w:jc w:val="both"/>
        <w:rPr>
          <w:rFonts w:cs="Times New Roman"/>
          <w:rtl/>
        </w:rPr>
        <w:sectPr w:rsidR="003F720C" w:rsidRPr="00882F11" w:rsidSect="000F6DEF">
          <w:type w:val="continuous"/>
          <w:pgSz w:w="11907" w:h="16839" w:code="9"/>
          <w:pgMar w:top="1440" w:right="1440" w:bottom="1440" w:left="1440" w:header="720" w:footer="720" w:gutter="0"/>
          <w:cols w:num="2" w:space="720"/>
          <w:bidi/>
          <w:docGrid w:linePitch="360"/>
        </w:sectPr>
      </w:pPr>
    </w:p>
    <w:p w:rsidR="003F720C" w:rsidRPr="00882F11" w:rsidRDefault="003F720C" w:rsidP="003F720C">
      <w:pPr>
        <w:keepNext/>
        <w:tabs>
          <w:tab w:val="left" w:pos="3818"/>
          <w:tab w:val="center" w:pos="4680"/>
        </w:tabs>
        <w:bidi/>
        <w:jc w:val="center"/>
        <w:rPr>
          <w:rFonts w:cs="Guttman Drogolin"/>
          <w:b/>
          <w:bCs/>
          <w:sz w:val="24"/>
          <w:szCs w:val="24"/>
          <w:rtl/>
        </w:rPr>
      </w:pPr>
      <w:r w:rsidRPr="00882F11">
        <w:rPr>
          <w:rFonts w:cs="Guttman Drogolin" w:hint="cs"/>
          <w:b/>
          <w:bCs/>
          <w:sz w:val="48"/>
          <w:szCs w:val="48"/>
          <w:rtl/>
          <w:lang w:bidi="he-IL"/>
        </w:rPr>
        <w:lastRenderedPageBreak/>
        <w:t>שיעור כ</w:t>
      </w:r>
      <w:r w:rsidRPr="00882F11">
        <w:rPr>
          <w:rFonts w:cs="Guttman Drogolin" w:hint="cs"/>
          <w:b/>
          <w:bCs/>
          <w:sz w:val="48"/>
          <w:szCs w:val="48"/>
          <w:rtl/>
        </w:rPr>
        <w:t>"</w:t>
      </w:r>
      <w:r w:rsidRPr="00882F11">
        <w:rPr>
          <w:rFonts w:cs="Guttman Drogolin" w:hint="cs"/>
          <w:b/>
          <w:bCs/>
          <w:sz w:val="48"/>
          <w:szCs w:val="48"/>
          <w:rtl/>
          <w:lang w:bidi="he-IL"/>
        </w:rPr>
        <w:t>ד</w:t>
      </w:r>
    </w:p>
    <w:p w:rsidR="000F6DEF" w:rsidRDefault="000F6DEF" w:rsidP="003F720C">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sectPr w:rsidR="000F6DEF" w:rsidSect="000F6DEF">
          <w:headerReference w:type="default" r:id="rId23"/>
          <w:pgSz w:w="11907" w:h="16839" w:code="9"/>
          <w:pgMar w:top="1440" w:right="1440" w:bottom="1440" w:left="1440" w:header="720" w:footer="720" w:gutter="0"/>
          <w:cols w:space="720"/>
          <w:bidi/>
          <w:docGrid w:linePitch="360"/>
        </w:sectPr>
      </w:pPr>
    </w:p>
    <w:p w:rsidR="003F720C" w:rsidRPr="00882F11" w:rsidRDefault="003F720C" w:rsidP="003F720C">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94" w:name="_Toc496175354"/>
      <w:r w:rsidRPr="00882F11">
        <w:rPr>
          <w:rFonts w:asciiTheme="majorHAnsi" w:eastAsiaTheme="majorEastAsia" w:hAnsiTheme="majorHAnsi" w:cs="Guttman Drogolin" w:hint="cs"/>
          <w:b/>
          <w:bCs/>
          <w:sz w:val="24"/>
          <w:szCs w:val="24"/>
          <w:u w:val="single"/>
          <w:rtl/>
          <w:lang w:bidi="he-IL"/>
        </w:rPr>
        <w:lastRenderedPageBreak/>
        <w:t>עוד הערה אחת בסוגיא שבדף ק</w:t>
      </w:r>
      <w:r w:rsidRPr="00882F11">
        <w:rPr>
          <w:rFonts w:asciiTheme="majorHAnsi" w:eastAsiaTheme="majorEastAsia" w:hAnsiTheme="majorHAnsi" w:cs="Guttman Drogolin" w:hint="cs"/>
          <w:b/>
          <w:bCs/>
          <w:sz w:val="24"/>
          <w:szCs w:val="24"/>
          <w:u w:val="single"/>
          <w:rtl/>
        </w:rPr>
        <w:t>"</w:t>
      </w:r>
      <w:r w:rsidRPr="00882F11">
        <w:rPr>
          <w:rFonts w:asciiTheme="majorHAnsi" w:eastAsiaTheme="majorEastAsia" w:hAnsiTheme="majorHAnsi" w:cs="Guttman Drogolin" w:hint="cs"/>
          <w:b/>
          <w:bCs/>
          <w:sz w:val="24"/>
          <w:szCs w:val="24"/>
          <w:u w:val="single"/>
          <w:rtl/>
          <w:lang w:bidi="he-IL"/>
        </w:rPr>
        <w:t>ח</w:t>
      </w:r>
      <w:bookmarkEnd w:id="94"/>
    </w:p>
    <w:p w:rsidR="003F720C" w:rsidRPr="00882F11" w:rsidRDefault="003F720C" w:rsidP="003F720C">
      <w:pPr>
        <w:bidi/>
        <w:jc w:val="both"/>
        <w:rPr>
          <w:rFonts w:cs="Guttman Drogolin"/>
          <w:rtl/>
        </w:rPr>
      </w:pPr>
      <w:r w:rsidRPr="00882F11">
        <w:rPr>
          <w:rFonts w:cs="Guttman Drogolin" w:hint="cs"/>
          <w:rtl/>
          <w:lang w:bidi="he-IL"/>
        </w:rPr>
        <w:t>בסוגיא מבואר שאם היורה רותחת אין הבלוע שבתוך החתיכה יוצא</w:t>
      </w:r>
      <w:r w:rsidRPr="00882F11">
        <w:rPr>
          <w:rFonts w:cs="Guttman Drogolin" w:hint="cs"/>
          <w:rtl/>
        </w:rPr>
        <w:t xml:space="preserve">. </w:t>
      </w:r>
      <w:r w:rsidRPr="00882F11">
        <w:rPr>
          <w:rFonts w:cs="Guttman Drogolin" w:hint="cs"/>
          <w:rtl/>
          <w:lang w:bidi="he-IL"/>
        </w:rPr>
        <w:t>ובתוס</w:t>
      </w:r>
      <w:r w:rsidRPr="00882F11">
        <w:rPr>
          <w:rFonts w:cs="Guttman Drogolin" w:hint="cs"/>
          <w:rtl/>
        </w:rPr>
        <w:t xml:space="preserve">' </w:t>
      </w:r>
      <w:r w:rsidRPr="00882F11">
        <w:rPr>
          <w:rFonts w:cs="Guttman Drogolin" w:hint="cs"/>
          <w:rtl/>
          <w:lang w:bidi="he-IL"/>
        </w:rPr>
        <w:t>נחלקו אם ר</w:t>
      </w:r>
      <w:r w:rsidRPr="00882F11">
        <w:rPr>
          <w:rFonts w:cs="Guttman Drogolin" w:hint="cs"/>
          <w:rtl/>
        </w:rPr>
        <w:t>"</w:t>
      </w:r>
      <w:r w:rsidRPr="00882F11">
        <w:rPr>
          <w:rFonts w:cs="Guttman Drogolin" w:hint="cs"/>
          <w:rtl/>
          <w:lang w:bidi="he-IL"/>
        </w:rPr>
        <w:t>ל שאינו מפליט כלל עד שגומר לבלוע</w:t>
      </w:r>
      <w:r w:rsidRPr="00882F11">
        <w:rPr>
          <w:rFonts w:cs="Guttman Drogolin" w:hint="cs"/>
          <w:rtl/>
        </w:rPr>
        <w:t xml:space="preserve">, </w:t>
      </w:r>
      <w:r w:rsidRPr="00882F11">
        <w:rPr>
          <w:rFonts w:cs="Guttman Drogolin" w:hint="cs"/>
          <w:rtl/>
          <w:lang w:bidi="he-IL"/>
        </w:rPr>
        <w:t>או</w:t>
      </w:r>
      <w:r w:rsidRPr="00882F11">
        <w:rPr>
          <w:rFonts w:cs="Guttman Drogolin" w:hint="cs"/>
          <w:rtl/>
        </w:rPr>
        <w:t>"</w:t>
      </w:r>
      <w:r w:rsidRPr="00882F11">
        <w:rPr>
          <w:rFonts w:cs="Guttman Drogolin" w:hint="cs"/>
          <w:rtl/>
          <w:lang w:bidi="he-IL"/>
        </w:rPr>
        <w:t>ד שאינו מפליט מה שבלע עכשיו</w:t>
      </w:r>
      <w:r w:rsidRPr="00882F11">
        <w:rPr>
          <w:rFonts w:cs="Guttman Drogolin" w:hint="cs"/>
          <w:rtl/>
        </w:rPr>
        <w:t xml:space="preserve">. </w:t>
      </w:r>
      <w:r w:rsidRPr="00882F11">
        <w:rPr>
          <w:rFonts w:cs="Guttman Drogolin" w:hint="cs"/>
          <w:rtl/>
          <w:lang w:bidi="he-IL"/>
        </w:rPr>
        <w:t>ומ</w:t>
      </w:r>
      <w:r w:rsidRPr="00882F11">
        <w:rPr>
          <w:rFonts w:cs="Guttman Drogolin" w:hint="cs"/>
          <w:rtl/>
        </w:rPr>
        <w:t>"</w:t>
      </w:r>
      <w:r w:rsidRPr="00882F11">
        <w:rPr>
          <w:rFonts w:cs="Guttman Drogolin" w:hint="cs"/>
          <w:rtl/>
          <w:lang w:bidi="he-IL"/>
        </w:rPr>
        <w:t>מ דבר זה מבואר בגמ</w:t>
      </w:r>
      <w:r w:rsidRPr="00882F11">
        <w:rPr>
          <w:rFonts w:cs="Guttman Drogolin" w:hint="cs"/>
          <w:rtl/>
        </w:rPr>
        <w:t xml:space="preserve">' </w:t>
      </w:r>
      <w:r w:rsidRPr="00882F11">
        <w:rPr>
          <w:rFonts w:cs="Guttman Drogolin" w:hint="cs"/>
          <w:rtl/>
          <w:lang w:bidi="he-IL"/>
        </w:rPr>
        <w:t>דעכ</w:t>
      </w:r>
      <w:r w:rsidRPr="00882F11">
        <w:rPr>
          <w:rFonts w:cs="Guttman Drogolin" w:hint="cs"/>
          <w:rtl/>
        </w:rPr>
        <w:t>"</w:t>
      </w:r>
      <w:r w:rsidRPr="00882F11">
        <w:rPr>
          <w:rFonts w:cs="Guttman Drogolin" w:hint="cs"/>
          <w:rtl/>
          <w:lang w:bidi="he-IL"/>
        </w:rPr>
        <w:t>פ חלב שבלע עכשיו בשעת בישול אינו מפליט אותו לתוך הקדרה אם היא יורה רותחת</w:t>
      </w:r>
      <w:r w:rsidRPr="00882F11">
        <w:rPr>
          <w:rFonts w:cs="Guttman Drogolin" w:hint="cs"/>
          <w:rtl/>
        </w:rPr>
        <w:t xml:space="preserve">. </w:t>
      </w:r>
      <w:r w:rsidRPr="00882F11">
        <w:rPr>
          <w:rFonts w:cs="Guttman Drogolin" w:hint="cs"/>
          <w:rtl/>
          <w:lang w:bidi="he-IL"/>
        </w:rPr>
        <w:t>ועכ</w:t>
      </w:r>
      <w:r w:rsidRPr="00882F11">
        <w:rPr>
          <w:rFonts w:cs="Guttman Drogolin" w:hint="cs"/>
          <w:rtl/>
        </w:rPr>
        <w:t>"</w:t>
      </w:r>
      <w:r w:rsidRPr="00882F11">
        <w:rPr>
          <w:rFonts w:cs="Guttman Drogolin" w:hint="cs"/>
          <w:rtl/>
          <w:lang w:bidi="he-IL"/>
        </w:rPr>
        <w:t>פ דבר שבלע עכשיו אינו מפליט אם לא שבע מלבלוע לכו</w:t>
      </w:r>
      <w:r w:rsidRPr="00882F11">
        <w:rPr>
          <w:rFonts w:cs="Guttman Drogolin" w:hint="cs"/>
          <w:rtl/>
        </w:rPr>
        <w:t>"</w:t>
      </w:r>
      <w:r w:rsidRPr="00882F11">
        <w:rPr>
          <w:rFonts w:cs="Guttman Drogolin" w:hint="cs"/>
          <w:rtl/>
          <w:lang w:bidi="he-IL"/>
        </w:rPr>
        <w:t>ע</w:t>
      </w:r>
      <w:r w:rsidRPr="00882F11">
        <w:rPr>
          <w:rFonts w:cs="Guttman Drogolin" w:hint="cs"/>
          <w:rtl/>
        </w:rPr>
        <w:t xml:space="preserve">. </w:t>
      </w:r>
      <w:r w:rsidRPr="00882F11">
        <w:rPr>
          <w:rFonts w:cs="Guttman Drogolin" w:hint="cs"/>
          <w:rtl/>
          <w:lang w:bidi="he-IL"/>
        </w:rPr>
        <w:t>והעיר במש</w:t>
      </w:r>
      <w:r w:rsidRPr="00882F11">
        <w:rPr>
          <w:rFonts w:cs="Guttman Drogolin" w:hint="cs"/>
          <w:rtl/>
        </w:rPr>
        <w:t>"</w:t>
      </w:r>
      <w:r w:rsidRPr="00882F11">
        <w:rPr>
          <w:rFonts w:cs="Guttman Drogolin" w:hint="cs"/>
          <w:rtl/>
          <w:lang w:bidi="he-IL"/>
        </w:rPr>
        <w:t>ז סי</w:t>
      </w:r>
      <w:r w:rsidRPr="00882F11">
        <w:rPr>
          <w:rFonts w:cs="Guttman Drogolin" w:hint="cs"/>
          <w:rtl/>
        </w:rPr>
        <w:t xml:space="preserve">' </w:t>
      </w:r>
      <w:r w:rsidRPr="00882F11">
        <w:rPr>
          <w:rFonts w:cs="Guttman Drogolin" w:hint="cs"/>
          <w:rtl/>
          <w:lang w:bidi="he-IL"/>
        </w:rPr>
        <w:t>צ</w:t>
      </w:r>
      <w:r w:rsidRPr="00882F11">
        <w:rPr>
          <w:rFonts w:cs="Guttman Drogolin" w:hint="cs"/>
          <w:rtl/>
        </w:rPr>
        <w:t>"</w:t>
      </w:r>
      <w:r w:rsidRPr="00882F11">
        <w:rPr>
          <w:rFonts w:cs="Guttman Drogolin" w:hint="cs"/>
          <w:rtl/>
          <w:lang w:bidi="he-IL"/>
        </w:rPr>
        <w:t>ב ס</w:t>
      </w:r>
      <w:r w:rsidRPr="00882F11">
        <w:rPr>
          <w:rFonts w:cs="Guttman Drogolin" w:hint="cs"/>
          <w:rtl/>
        </w:rPr>
        <w:t>"</w:t>
      </w:r>
      <w:r w:rsidRPr="00882F11">
        <w:rPr>
          <w:rFonts w:cs="Guttman Drogolin" w:hint="cs"/>
          <w:rtl/>
          <w:lang w:bidi="he-IL"/>
        </w:rPr>
        <w:t>ק ג</w:t>
      </w:r>
      <w:r w:rsidRPr="00882F11">
        <w:rPr>
          <w:rFonts w:cs="Guttman Drogolin" w:hint="cs"/>
          <w:rtl/>
        </w:rPr>
        <w:t xml:space="preserve">' </w:t>
      </w:r>
      <w:r w:rsidRPr="00882F11">
        <w:rPr>
          <w:rFonts w:cs="Guttman Drogolin" w:hint="cs"/>
          <w:rtl/>
          <w:lang w:bidi="he-IL"/>
        </w:rPr>
        <w:t>דא</w:t>
      </w:r>
      <w:r w:rsidRPr="00882F11">
        <w:rPr>
          <w:rFonts w:cs="Guttman Drogolin" w:hint="cs"/>
          <w:rtl/>
        </w:rPr>
        <w:t>"</w:t>
      </w:r>
      <w:r w:rsidRPr="00882F11">
        <w:rPr>
          <w:rFonts w:cs="Guttman Drogolin" w:hint="cs"/>
          <w:rtl/>
          <w:lang w:bidi="he-IL"/>
        </w:rPr>
        <w:t>כ טיפת חלב שנפלה על החתיכה בענין שאין משערין אלא באותה חתיכה</w:t>
      </w:r>
      <w:r w:rsidRPr="00882F11">
        <w:rPr>
          <w:rFonts w:cs="Guttman Drogolin" w:hint="cs"/>
          <w:rtl/>
        </w:rPr>
        <w:t xml:space="preserve">, </w:t>
      </w:r>
      <w:r w:rsidRPr="00882F11">
        <w:rPr>
          <w:rFonts w:cs="Guttman Drogolin" w:hint="cs"/>
          <w:rtl/>
          <w:lang w:bidi="he-IL"/>
        </w:rPr>
        <w:t>מ</w:t>
      </w:r>
      <w:r w:rsidRPr="00882F11">
        <w:rPr>
          <w:rFonts w:cs="Guttman Drogolin" w:hint="cs"/>
          <w:rtl/>
        </w:rPr>
        <w:t>"</w:t>
      </w:r>
      <w:r w:rsidRPr="00882F11">
        <w:rPr>
          <w:rFonts w:cs="Guttman Drogolin" w:hint="cs"/>
          <w:rtl/>
          <w:lang w:bidi="he-IL"/>
        </w:rPr>
        <w:t>מ אינה אוסרת שאר החתיכות כולן אם נפל לתוך יורה רותחת</w:t>
      </w:r>
      <w:r w:rsidRPr="00882F11">
        <w:rPr>
          <w:rFonts w:cs="Guttman Drogolin" w:hint="cs"/>
          <w:rtl/>
        </w:rPr>
        <w:t xml:space="preserve">. </w:t>
      </w:r>
      <w:r w:rsidRPr="00882F11">
        <w:rPr>
          <w:rFonts w:cs="Guttman Drogolin" w:hint="cs"/>
          <w:rtl/>
          <w:lang w:bidi="he-IL"/>
        </w:rPr>
        <w:t>וקשה לומר שאין זה נחשב מיד</w:t>
      </w:r>
      <w:r w:rsidRPr="00882F11">
        <w:rPr>
          <w:rFonts w:cs="Guttman Drogolin" w:hint="cs"/>
          <w:rtl/>
        </w:rPr>
        <w:t xml:space="preserve">, </w:t>
      </w:r>
      <w:r w:rsidRPr="00882F11">
        <w:rPr>
          <w:rFonts w:cs="Guttman Drogolin" w:hint="cs"/>
          <w:rtl/>
          <w:lang w:bidi="he-IL"/>
        </w:rPr>
        <w:t>דהא גם בהא דחתיכה אע</w:t>
      </w:r>
      <w:r w:rsidRPr="00882F11">
        <w:rPr>
          <w:rFonts w:cs="Guttman Drogolin" w:hint="cs"/>
          <w:rtl/>
        </w:rPr>
        <w:t>"</w:t>
      </w:r>
      <w:r w:rsidRPr="00882F11">
        <w:rPr>
          <w:rFonts w:cs="Guttman Drogolin" w:hint="cs"/>
          <w:rtl/>
          <w:lang w:bidi="he-IL"/>
        </w:rPr>
        <w:t>ג שבלע מעיקרא הא מיד אחר שבלע כבר אינו עכשיו ומ</w:t>
      </w:r>
      <w:r w:rsidRPr="00882F11">
        <w:rPr>
          <w:rFonts w:cs="Guttman Drogolin" w:hint="cs"/>
          <w:rtl/>
        </w:rPr>
        <w:t>"</w:t>
      </w:r>
      <w:r w:rsidRPr="00882F11">
        <w:rPr>
          <w:rFonts w:cs="Guttman Drogolin" w:hint="cs"/>
          <w:rtl/>
          <w:lang w:bidi="he-IL"/>
        </w:rPr>
        <w:t>מ אמרינן שמיבלע בלע מיפלט לא פליט</w:t>
      </w:r>
      <w:r w:rsidRPr="00882F11">
        <w:rPr>
          <w:rFonts w:cs="Guttman Drogolin" w:hint="cs"/>
          <w:rtl/>
        </w:rPr>
        <w:t xml:space="preserve">. </w:t>
      </w:r>
      <w:r w:rsidRPr="00882F11">
        <w:rPr>
          <w:rFonts w:cs="Guttman Drogolin" w:hint="cs"/>
          <w:rtl/>
          <w:lang w:bidi="he-IL"/>
        </w:rPr>
        <w:t>ועוד יותר מזה</w:t>
      </w:r>
      <w:r w:rsidRPr="00882F11">
        <w:rPr>
          <w:rFonts w:cs="Guttman Drogolin" w:hint="cs"/>
          <w:rtl/>
        </w:rPr>
        <w:t xml:space="preserve">, </w:t>
      </w:r>
      <w:r w:rsidRPr="00882F11">
        <w:rPr>
          <w:rFonts w:cs="Guttman Drogolin" w:hint="cs"/>
          <w:rtl/>
          <w:lang w:bidi="he-IL"/>
        </w:rPr>
        <w:t>כתב הפמ</w:t>
      </w:r>
      <w:r w:rsidRPr="00882F11">
        <w:rPr>
          <w:rFonts w:cs="Guttman Drogolin" w:hint="cs"/>
          <w:rtl/>
        </w:rPr>
        <w:t>"</w:t>
      </w:r>
      <w:r w:rsidRPr="00882F11">
        <w:rPr>
          <w:rFonts w:cs="Guttman Drogolin" w:hint="cs"/>
          <w:rtl/>
          <w:lang w:bidi="he-IL"/>
        </w:rPr>
        <w:t>ג שם דהא דסבר ר</w:t>
      </w:r>
      <w:r w:rsidRPr="00882F11">
        <w:rPr>
          <w:rFonts w:cs="Guttman Drogolin" w:hint="cs"/>
          <w:rtl/>
        </w:rPr>
        <w:t>"</w:t>
      </w:r>
      <w:r w:rsidRPr="00882F11">
        <w:rPr>
          <w:rFonts w:cs="Guttman Drogolin" w:hint="cs"/>
          <w:rtl/>
          <w:lang w:bidi="he-IL"/>
        </w:rPr>
        <w:t>י שכשיש חתיכה שמקצתה ברוטב שהרוטב מצטרף לבטל את הטיפה</w:t>
      </w:r>
      <w:r w:rsidRPr="00882F11">
        <w:rPr>
          <w:rFonts w:cs="Guttman Drogolin" w:hint="cs"/>
          <w:rtl/>
        </w:rPr>
        <w:t xml:space="preserve">, </w:t>
      </w:r>
      <w:r w:rsidRPr="00882F11">
        <w:rPr>
          <w:rFonts w:cs="Guttman Drogolin" w:hint="cs"/>
          <w:rtl/>
          <w:lang w:bidi="he-IL"/>
        </w:rPr>
        <w:t>הנ</w:t>
      </w:r>
      <w:r w:rsidRPr="00882F11">
        <w:rPr>
          <w:rFonts w:cs="Guttman Drogolin" w:hint="cs"/>
          <w:rtl/>
        </w:rPr>
        <w:t>"</w:t>
      </w:r>
      <w:r w:rsidRPr="00882F11">
        <w:rPr>
          <w:rFonts w:cs="Guttman Drogolin" w:hint="cs"/>
          <w:rtl/>
          <w:lang w:bidi="he-IL"/>
        </w:rPr>
        <w:t>מ בקדרה שאינה רותחת</w:t>
      </w:r>
      <w:r w:rsidRPr="00882F11">
        <w:rPr>
          <w:rFonts w:cs="Guttman Drogolin" w:hint="cs"/>
          <w:rtl/>
        </w:rPr>
        <w:t xml:space="preserve">, </w:t>
      </w:r>
      <w:r w:rsidRPr="00882F11">
        <w:rPr>
          <w:rFonts w:cs="Guttman Drogolin" w:hint="cs"/>
          <w:rtl/>
          <w:lang w:bidi="he-IL"/>
        </w:rPr>
        <w:t>אבל בקדרה רותחת ע</w:t>
      </w:r>
      <w:r w:rsidRPr="00882F11">
        <w:rPr>
          <w:rFonts w:cs="Guttman Drogolin" w:hint="cs"/>
          <w:rtl/>
        </w:rPr>
        <w:t>"</w:t>
      </w:r>
      <w:r w:rsidRPr="00882F11">
        <w:rPr>
          <w:rFonts w:cs="Guttman Drogolin" w:hint="cs"/>
          <w:rtl/>
          <w:lang w:bidi="he-IL"/>
        </w:rPr>
        <w:t>כ גם הר</w:t>
      </w:r>
      <w:r w:rsidRPr="00882F11">
        <w:rPr>
          <w:rFonts w:cs="Guttman Drogolin" w:hint="cs"/>
          <w:rtl/>
        </w:rPr>
        <w:t>"</w:t>
      </w:r>
      <w:r w:rsidRPr="00882F11">
        <w:rPr>
          <w:rFonts w:cs="Guttman Drogolin" w:hint="cs"/>
          <w:rtl/>
          <w:lang w:bidi="he-IL"/>
        </w:rPr>
        <w:t>י סבר שאין הרוטב מצטרף כיון שאין החלב יוצא מן החתיכה</w:t>
      </w:r>
      <w:r w:rsidRPr="00882F11">
        <w:rPr>
          <w:rFonts w:cs="Guttman Drogolin" w:hint="cs"/>
          <w:rtl/>
        </w:rPr>
        <w:t xml:space="preserve">. </w:t>
      </w:r>
      <w:r w:rsidRPr="00882F11">
        <w:rPr>
          <w:rFonts w:cs="Guttman Drogolin" w:hint="cs"/>
          <w:rtl/>
          <w:lang w:bidi="he-IL"/>
        </w:rPr>
        <w:t>וראיתי בס</w:t>
      </w:r>
      <w:r w:rsidRPr="00882F11">
        <w:rPr>
          <w:rFonts w:cs="Guttman Drogolin" w:hint="cs"/>
          <w:rtl/>
        </w:rPr>
        <w:t xml:space="preserve">' </w:t>
      </w:r>
      <w:r w:rsidRPr="00882F11">
        <w:rPr>
          <w:rFonts w:cs="Guttman Drogolin" w:hint="cs"/>
          <w:rtl/>
          <w:lang w:bidi="he-IL"/>
        </w:rPr>
        <w:t>מגילת ספר לסי</w:t>
      </w:r>
      <w:r w:rsidRPr="00882F11">
        <w:rPr>
          <w:rFonts w:cs="Guttman Drogolin" w:hint="cs"/>
          <w:rtl/>
        </w:rPr>
        <w:t xml:space="preserve">' </w:t>
      </w:r>
      <w:r w:rsidRPr="00882F11">
        <w:rPr>
          <w:rFonts w:cs="Guttman Drogolin" w:hint="cs"/>
          <w:rtl/>
          <w:lang w:bidi="he-IL"/>
        </w:rPr>
        <w:t>צ</w:t>
      </w:r>
      <w:r w:rsidRPr="00882F11">
        <w:rPr>
          <w:rFonts w:cs="Guttman Drogolin" w:hint="cs"/>
          <w:rtl/>
        </w:rPr>
        <w:t>"</w:t>
      </w:r>
      <w:r w:rsidRPr="00882F11">
        <w:rPr>
          <w:rFonts w:cs="Guttman Drogolin" w:hint="cs"/>
          <w:rtl/>
          <w:lang w:bidi="he-IL"/>
        </w:rPr>
        <w:t>ב ס</w:t>
      </w:r>
      <w:r w:rsidRPr="00882F11">
        <w:rPr>
          <w:rFonts w:cs="Guttman Drogolin" w:hint="cs"/>
          <w:rtl/>
        </w:rPr>
        <w:t>"</w:t>
      </w:r>
      <w:r w:rsidRPr="00882F11">
        <w:rPr>
          <w:rFonts w:cs="Guttman Drogolin" w:hint="cs"/>
          <w:rtl/>
          <w:lang w:bidi="he-IL"/>
        </w:rPr>
        <w:t>ק ט</w:t>
      </w:r>
      <w:r w:rsidRPr="00882F11">
        <w:rPr>
          <w:rFonts w:cs="Guttman Drogolin" w:hint="cs"/>
          <w:rtl/>
        </w:rPr>
        <w:t xml:space="preserve">' </w:t>
      </w:r>
      <w:r w:rsidRPr="00882F11">
        <w:rPr>
          <w:rFonts w:cs="Guttman Drogolin" w:hint="cs"/>
          <w:rtl/>
          <w:lang w:bidi="he-IL"/>
        </w:rPr>
        <w:t>שהעיר בדוחק דבר זה</w:t>
      </w:r>
      <w:r w:rsidRPr="00882F11">
        <w:rPr>
          <w:rFonts w:cs="Guttman Drogolin" w:hint="cs"/>
          <w:rtl/>
        </w:rPr>
        <w:t xml:space="preserve">, </w:t>
      </w:r>
      <w:r w:rsidRPr="00882F11">
        <w:rPr>
          <w:rFonts w:cs="Guttman Drogolin" w:hint="cs"/>
          <w:rtl/>
          <w:lang w:bidi="he-IL"/>
        </w:rPr>
        <w:t>דהא מבואר בגמ</w:t>
      </w:r>
      <w:r w:rsidRPr="00882F11">
        <w:rPr>
          <w:rFonts w:cs="Guttman Drogolin" w:hint="cs"/>
          <w:rtl/>
        </w:rPr>
        <w:t xml:space="preserve">' </w:t>
      </w:r>
      <w:r w:rsidRPr="00882F11">
        <w:rPr>
          <w:rFonts w:cs="Guttman Drogolin" w:hint="cs"/>
          <w:rtl/>
          <w:lang w:bidi="he-IL"/>
        </w:rPr>
        <w:t>דמהני כיסה כדי שהרוטב יצטרף לבטל את הטיפה</w:t>
      </w:r>
      <w:r w:rsidRPr="00882F11">
        <w:rPr>
          <w:rFonts w:cs="Guttman Drogolin" w:hint="cs"/>
          <w:rtl/>
        </w:rPr>
        <w:t xml:space="preserve">, </w:t>
      </w:r>
      <w:r w:rsidRPr="00882F11">
        <w:rPr>
          <w:rFonts w:cs="Guttman Drogolin" w:hint="cs"/>
          <w:rtl/>
          <w:lang w:bidi="he-IL"/>
        </w:rPr>
        <w:t>ולכאורה כל התכסיס של כיסוי היינו דע</w:t>
      </w:r>
      <w:r w:rsidRPr="00882F11">
        <w:rPr>
          <w:rFonts w:cs="Guttman Drogolin" w:hint="cs"/>
          <w:rtl/>
        </w:rPr>
        <w:t>"</w:t>
      </w:r>
      <w:r w:rsidRPr="00882F11">
        <w:rPr>
          <w:rFonts w:cs="Guttman Drogolin" w:hint="cs"/>
          <w:rtl/>
          <w:lang w:bidi="he-IL"/>
        </w:rPr>
        <w:t>י שהקדרה רותחת עולים רתיחות מלמעלה למטה</w:t>
      </w:r>
      <w:r w:rsidRPr="00882F11">
        <w:rPr>
          <w:rFonts w:cs="Guttman Drogolin" w:hint="cs"/>
          <w:rtl/>
        </w:rPr>
        <w:t xml:space="preserve">, </w:t>
      </w:r>
      <w:r w:rsidRPr="00882F11">
        <w:rPr>
          <w:rFonts w:cs="Guttman Drogolin" w:hint="cs"/>
          <w:rtl/>
          <w:lang w:bidi="he-IL"/>
        </w:rPr>
        <w:t>וא</w:t>
      </w:r>
      <w:r w:rsidRPr="00882F11">
        <w:rPr>
          <w:rFonts w:cs="Guttman Drogolin" w:hint="cs"/>
          <w:rtl/>
        </w:rPr>
        <w:t>"</w:t>
      </w:r>
      <w:r w:rsidRPr="00882F11">
        <w:rPr>
          <w:rFonts w:cs="Guttman Drogolin" w:hint="cs"/>
          <w:rtl/>
          <w:lang w:bidi="he-IL"/>
        </w:rPr>
        <w:t>כ ע</w:t>
      </w:r>
      <w:r w:rsidRPr="00882F11">
        <w:rPr>
          <w:rFonts w:cs="Guttman Drogolin" w:hint="cs"/>
          <w:rtl/>
        </w:rPr>
        <w:t>"</w:t>
      </w:r>
      <w:r w:rsidRPr="00882F11">
        <w:rPr>
          <w:rFonts w:cs="Guttman Drogolin" w:hint="cs"/>
          <w:rtl/>
          <w:lang w:bidi="he-IL"/>
        </w:rPr>
        <w:t>כ מיירי בקדרה רותחת</w:t>
      </w:r>
      <w:r w:rsidRPr="00882F11">
        <w:rPr>
          <w:rFonts w:cs="Guttman Drogolin" w:hint="cs"/>
          <w:rtl/>
        </w:rPr>
        <w:t xml:space="preserve">, </w:t>
      </w:r>
      <w:r w:rsidRPr="00882F11">
        <w:rPr>
          <w:rFonts w:cs="Guttman Drogolin" w:hint="cs"/>
          <w:rtl/>
          <w:lang w:bidi="he-IL"/>
        </w:rPr>
        <w:t>והא אמרנו שבקדרה רותחת מבלע בלע מיפלט לא פליט</w:t>
      </w:r>
      <w:r w:rsidRPr="00882F11">
        <w:rPr>
          <w:rFonts w:cs="Guttman Drogolin" w:hint="cs"/>
          <w:rtl/>
        </w:rPr>
        <w:t xml:space="preserve">. </w:t>
      </w:r>
      <w:r w:rsidRPr="00882F11">
        <w:rPr>
          <w:rFonts w:cs="Guttman Drogolin" w:hint="cs"/>
          <w:rtl/>
          <w:lang w:bidi="he-IL"/>
        </w:rPr>
        <w:t>ובשלמא לשיטת רבינו שמואל איכא למימר דמיירי בכה</w:t>
      </w:r>
      <w:r w:rsidRPr="00882F11">
        <w:rPr>
          <w:rFonts w:cs="Guttman Drogolin" w:hint="cs"/>
          <w:rtl/>
        </w:rPr>
        <w:t>"</w:t>
      </w:r>
      <w:r w:rsidRPr="00882F11">
        <w:rPr>
          <w:rFonts w:cs="Guttman Drogolin" w:hint="cs"/>
          <w:rtl/>
          <w:lang w:bidi="he-IL"/>
        </w:rPr>
        <w:t>ג דשהע מלבלוע</w:t>
      </w:r>
      <w:r w:rsidRPr="00882F11">
        <w:rPr>
          <w:rFonts w:cs="Guttman Drogolin" w:hint="cs"/>
          <w:rtl/>
        </w:rPr>
        <w:t xml:space="preserve">, </w:t>
      </w:r>
      <w:r w:rsidRPr="00882F11">
        <w:rPr>
          <w:rFonts w:cs="Guttman Drogolin" w:hint="cs"/>
          <w:rtl/>
          <w:lang w:bidi="he-IL"/>
        </w:rPr>
        <w:t>אבל לר</w:t>
      </w:r>
      <w:r w:rsidRPr="00882F11">
        <w:rPr>
          <w:rFonts w:cs="Guttman Drogolin" w:hint="cs"/>
          <w:rtl/>
        </w:rPr>
        <w:t>"</w:t>
      </w:r>
      <w:r w:rsidRPr="00882F11">
        <w:rPr>
          <w:rFonts w:cs="Guttman Drogolin" w:hint="cs"/>
          <w:rtl/>
          <w:lang w:bidi="he-IL"/>
        </w:rPr>
        <w:t>ת הא אינו מפליט מה שבלע עכשיו</w:t>
      </w:r>
      <w:r w:rsidRPr="00882F11">
        <w:rPr>
          <w:rFonts w:cs="Guttman Drogolin" w:hint="cs"/>
          <w:rtl/>
        </w:rPr>
        <w:t xml:space="preserve">, </w:t>
      </w:r>
      <w:r w:rsidRPr="00882F11">
        <w:rPr>
          <w:rFonts w:cs="Guttman Drogolin" w:hint="cs"/>
          <w:rtl/>
          <w:lang w:bidi="he-IL"/>
        </w:rPr>
        <w:t xml:space="preserve">והרי זה בולע עכשיו </w:t>
      </w:r>
      <w:r w:rsidRPr="00882F11">
        <w:rPr>
          <w:rFonts w:cs="Guttman Drogolin" w:hint="cs"/>
          <w:rtl/>
        </w:rPr>
        <w:t>(</w:t>
      </w:r>
      <w:r w:rsidRPr="00882F11">
        <w:rPr>
          <w:rFonts w:cs="Guttman Drogolin" w:hint="cs"/>
          <w:rtl/>
          <w:lang w:bidi="he-IL"/>
        </w:rPr>
        <w:t>ובניעור לכאורה איכא למימר שאין זה עכשיו</w:t>
      </w:r>
      <w:r w:rsidRPr="00882F11">
        <w:rPr>
          <w:rFonts w:cs="Guttman Drogolin" w:hint="cs"/>
          <w:rtl/>
        </w:rPr>
        <w:t xml:space="preserve">, </w:t>
      </w:r>
      <w:r w:rsidRPr="00882F11">
        <w:rPr>
          <w:rFonts w:cs="Guttman Drogolin" w:hint="cs"/>
          <w:rtl/>
          <w:lang w:bidi="he-IL"/>
        </w:rPr>
        <w:t>אבל בחתיכה שהיא כבר בתוך הרוטב מא</w:t>
      </w:r>
      <w:r w:rsidRPr="00882F11">
        <w:rPr>
          <w:rFonts w:cs="Guttman Drogolin" w:hint="cs"/>
          <w:rtl/>
        </w:rPr>
        <w:t>"</w:t>
      </w:r>
      <w:r w:rsidRPr="00882F11">
        <w:rPr>
          <w:rFonts w:cs="Guttman Drogolin" w:hint="cs"/>
          <w:rtl/>
          <w:lang w:bidi="he-IL"/>
        </w:rPr>
        <w:t>ל</w:t>
      </w:r>
      <w:r w:rsidRPr="00882F11">
        <w:rPr>
          <w:rFonts w:cs="Guttman Drogolin" w:hint="cs"/>
          <w:rtl/>
        </w:rPr>
        <w:t xml:space="preserve">). </w:t>
      </w:r>
      <w:r w:rsidRPr="00882F11">
        <w:rPr>
          <w:rFonts w:cs="Guttman Drogolin" w:hint="cs"/>
          <w:rtl/>
          <w:lang w:bidi="he-IL"/>
        </w:rPr>
        <w:t>וע</w:t>
      </w:r>
      <w:r w:rsidRPr="00882F11">
        <w:rPr>
          <w:rFonts w:cs="Guttman Drogolin" w:hint="cs"/>
          <w:rtl/>
        </w:rPr>
        <w:t>"</w:t>
      </w:r>
      <w:r w:rsidRPr="00882F11">
        <w:rPr>
          <w:rFonts w:cs="Guttman Drogolin" w:hint="cs"/>
          <w:rtl/>
          <w:lang w:bidi="he-IL"/>
        </w:rPr>
        <w:t>ש שהביא מחוו</w:t>
      </w:r>
      <w:r w:rsidRPr="00882F11">
        <w:rPr>
          <w:rFonts w:cs="Guttman Drogolin" w:hint="cs"/>
          <w:rtl/>
        </w:rPr>
        <w:t>"</w:t>
      </w:r>
      <w:r w:rsidRPr="00882F11">
        <w:rPr>
          <w:rFonts w:cs="Guttman Drogolin" w:hint="cs"/>
          <w:rtl/>
          <w:lang w:bidi="he-IL"/>
        </w:rPr>
        <w:t>ד ס</w:t>
      </w:r>
      <w:r w:rsidRPr="00882F11">
        <w:rPr>
          <w:rFonts w:cs="Guttman Drogolin" w:hint="cs"/>
          <w:rtl/>
        </w:rPr>
        <w:t>"</w:t>
      </w:r>
      <w:r w:rsidRPr="00882F11">
        <w:rPr>
          <w:rFonts w:cs="Guttman Drogolin" w:hint="cs"/>
          <w:rtl/>
          <w:lang w:bidi="he-IL"/>
        </w:rPr>
        <w:t>ק ו</w:t>
      </w:r>
      <w:r w:rsidRPr="00882F11">
        <w:rPr>
          <w:rFonts w:cs="Guttman Drogolin" w:hint="cs"/>
          <w:rtl/>
        </w:rPr>
        <w:t xml:space="preserve">' </w:t>
      </w:r>
      <w:r w:rsidRPr="00882F11">
        <w:rPr>
          <w:rFonts w:cs="Guttman Drogolin" w:hint="cs"/>
          <w:rtl/>
          <w:lang w:bidi="he-IL"/>
        </w:rPr>
        <w:t>ויד יהודה ס</w:t>
      </w:r>
      <w:r w:rsidRPr="00882F11">
        <w:rPr>
          <w:rFonts w:cs="Guttman Drogolin" w:hint="cs"/>
          <w:rtl/>
        </w:rPr>
        <w:t>"</w:t>
      </w:r>
      <w:r w:rsidRPr="00882F11">
        <w:rPr>
          <w:rFonts w:cs="Guttman Drogolin" w:hint="cs"/>
          <w:rtl/>
          <w:lang w:bidi="he-IL"/>
        </w:rPr>
        <w:t>ק א</w:t>
      </w:r>
      <w:r w:rsidRPr="00882F11">
        <w:rPr>
          <w:rFonts w:cs="Guttman Drogolin" w:hint="cs"/>
          <w:rtl/>
        </w:rPr>
        <w:t xml:space="preserve">' </w:t>
      </w:r>
      <w:r w:rsidRPr="00882F11">
        <w:rPr>
          <w:rFonts w:cs="Guttman Drogolin" w:hint="cs"/>
          <w:rtl/>
          <w:lang w:bidi="he-IL"/>
        </w:rPr>
        <w:t>דסברי דהא דאמרינן דמיבלע בלע מיפלט לא פליט הנ</w:t>
      </w:r>
      <w:r w:rsidRPr="00882F11">
        <w:rPr>
          <w:rFonts w:cs="Guttman Drogolin" w:hint="cs"/>
          <w:rtl/>
        </w:rPr>
        <w:t>"</w:t>
      </w:r>
      <w:r w:rsidRPr="00882F11">
        <w:rPr>
          <w:rFonts w:cs="Guttman Drogolin" w:hint="cs"/>
          <w:rtl/>
          <w:lang w:bidi="he-IL"/>
        </w:rPr>
        <w:t>מ במה שבלע בתוך הרוטב</w:t>
      </w:r>
      <w:r w:rsidRPr="00882F11">
        <w:rPr>
          <w:rFonts w:cs="Guttman Drogolin" w:hint="cs"/>
          <w:rtl/>
        </w:rPr>
        <w:t xml:space="preserve">, </w:t>
      </w:r>
      <w:r w:rsidR="007C14A7" w:rsidRPr="00882F11">
        <w:rPr>
          <w:rFonts w:cs="Guttman Drogolin" w:hint="cs"/>
          <w:rtl/>
          <w:lang w:bidi="he-IL"/>
        </w:rPr>
        <w:t>אבל דבר שנ</w:t>
      </w:r>
      <w:r w:rsidRPr="00882F11">
        <w:rPr>
          <w:rFonts w:cs="Guttman Drogolin" w:hint="cs"/>
          <w:rtl/>
          <w:lang w:bidi="he-IL"/>
        </w:rPr>
        <w:t>בלע מחוץ לרוטב</w:t>
      </w:r>
      <w:r w:rsidRPr="00882F11">
        <w:rPr>
          <w:rFonts w:cs="Guttman Drogolin" w:hint="cs"/>
          <w:rtl/>
        </w:rPr>
        <w:t xml:space="preserve">, </w:t>
      </w:r>
      <w:r w:rsidRPr="00882F11">
        <w:rPr>
          <w:rFonts w:cs="Guttman Drogolin" w:hint="cs"/>
          <w:rtl/>
          <w:lang w:bidi="he-IL"/>
        </w:rPr>
        <w:t>אע</w:t>
      </w:r>
      <w:r w:rsidRPr="00882F11">
        <w:rPr>
          <w:rFonts w:cs="Guttman Drogolin" w:hint="cs"/>
          <w:rtl/>
        </w:rPr>
        <w:t>"</w:t>
      </w:r>
      <w:r w:rsidRPr="00882F11">
        <w:rPr>
          <w:rFonts w:cs="Guttman Drogolin" w:hint="cs"/>
          <w:rtl/>
          <w:lang w:bidi="he-IL"/>
        </w:rPr>
        <w:t>ג שבלע עכשיו</w:t>
      </w:r>
      <w:r w:rsidRPr="00882F11">
        <w:rPr>
          <w:rFonts w:cs="Guttman Drogolin" w:hint="cs"/>
          <w:rtl/>
        </w:rPr>
        <w:t xml:space="preserve">, </w:t>
      </w:r>
      <w:r w:rsidRPr="00882F11">
        <w:rPr>
          <w:rFonts w:cs="Guttman Drogolin" w:hint="cs"/>
          <w:rtl/>
          <w:lang w:bidi="he-IL"/>
        </w:rPr>
        <w:t>מ</w:t>
      </w:r>
      <w:r w:rsidRPr="00882F11">
        <w:rPr>
          <w:rFonts w:cs="Guttman Drogolin" w:hint="cs"/>
          <w:rtl/>
        </w:rPr>
        <w:t>"</w:t>
      </w:r>
      <w:r w:rsidRPr="00882F11">
        <w:rPr>
          <w:rFonts w:cs="Guttman Drogolin" w:hint="cs"/>
          <w:rtl/>
          <w:lang w:bidi="he-IL"/>
        </w:rPr>
        <w:t>מ שפיר יכול להפליט</w:t>
      </w:r>
      <w:r w:rsidRPr="00882F11">
        <w:rPr>
          <w:rFonts w:cs="Guttman Drogolin" w:hint="cs"/>
          <w:rtl/>
        </w:rPr>
        <w:t xml:space="preserve">. </w:t>
      </w:r>
      <w:r w:rsidRPr="00882F11">
        <w:rPr>
          <w:rFonts w:cs="Guttman Drogolin" w:hint="cs"/>
          <w:rtl/>
          <w:lang w:bidi="he-IL"/>
        </w:rPr>
        <w:t>וע</w:t>
      </w:r>
      <w:r w:rsidRPr="00882F11">
        <w:rPr>
          <w:rFonts w:cs="Guttman Drogolin" w:hint="cs"/>
          <w:rtl/>
        </w:rPr>
        <w:t>"</w:t>
      </w:r>
      <w:r w:rsidRPr="00882F11">
        <w:rPr>
          <w:rFonts w:cs="Guttman Drogolin" w:hint="cs"/>
          <w:rtl/>
          <w:lang w:bidi="he-IL"/>
        </w:rPr>
        <w:t>ש במגי</w:t>
      </w:r>
      <w:r w:rsidRPr="00882F11">
        <w:rPr>
          <w:rFonts w:cs="Guttman Drogolin" w:hint="cs"/>
          <w:rtl/>
        </w:rPr>
        <w:t>"</w:t>
      </w:r>
      <w:r w:rsidRPr="00882F11">
        <w:rPr>
          <w:rFonts w:cs="Guttman Drogolin" w:hint="cs"/>
          <w:rtl/>
          <w:lang w:bidi="he-IL"/>
        </w:rPr>
        <w:t>ס שהאריך בזה עוד</w:t>
      </w:r>
      <w:r w:rsidRPr="00882F11">
        <w:rPr>
          <w:rFonts w:cs="Guttman Drogolin" w:hint="cs"/>
          <w:rtl/>
        </w:rPr>
        <w:t>.</w:t>
      </w:r>
    </w:p>
    <w:p w:rsidR="003F720C" w:rsidRPr="00882F11" w:rsidRDefault="003F720C" w:rsidP="003F720C">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95" w:name="_Toc496175355"/>
      <w:r w:rsidRPr="00882F11">
        <w:rPr>
          <w:rFonts w:asciiTheme="majorHAnsi" w:eastAsiaTheme="majorEastAsia" w:hAnsiTheme="majorHAnsi" w:cs="Guttman Drogolin" w:hint="cs"/>
          <w:b/>
          <w:bCs/>
          <w:sz w:val="24"/>
          <w:szCs w:val="24"/>
          <w:u w:val="single"/>
          <w:rtl/>
          <w:lang w:bidi="he-IL"/>
        </w:rPr>
        <w:lastRenderedPageBreak/>
        <w:t>בהא דמשערין גיד בירך כבשר בלפת</w:t>
      </w:r>
      <w:bookmarkEnd w:id="95"/>
    </w:p>
    <w:p w:rsidR="003F720C" w:rsidRPr="00882F11" w:rsidRDefault="00FD2A5D" w:rsidP="005C5064">
      <w:pPr>
        <w:bidi/>
        <w:jc w:val="both"/>
        <w:rPr>
          <w:rFonts w:cs="Guttman Drogolin"/>
          <w:rtl/>
          <w:lang w:bidi="he-IL"/>
        </w:rPr>
      </w:pPr>
      <w:r>
        <w:rPr>
          <w:rFonts w:cs="Guttman Drogolin"/>
          <w:rtl/>
          <w:lang w:bidi="he-IL"/>
        </w:rPr>
        <w:fldChar w:fldCharType="begin"/>
      </w:r>
      <w:r>
        <w:instrText xml:space="preserve"> XE "</w:instrText>
      </w:r>
      <w:r w:rsidRPr="00954976">
        <w:rPr>
          <w:rFonts w:hint="cs"/>
          <w:rtl/>
          <w:lang w:bidi="he-IL"/>
        </w:rPr>
        <w:instrText>שיעור ששים</w:instrText>
      </w:r>
      <w:r w:rsidRPr="00954976">
        <w:rPr>
          <w:rtl/>
        </w:rPr>
        <w:instrText>:</w:instrText>
      </w:r>
      <w:r w:rsidRPr="00954976">
        <w:rPr>
          <w:rFonts w:hint="cs"/>
          <w:rtl/>
          <w:lang w:bidi="he-IL"/>
        </w:rPr>
        <w:instrText>השיעור דכבצל בלפת</w:instrText>
      </w:r>
      <w:r>
        <w:instrText xml:space="preserve">" </w:instrText>
      </w:r>
      <w:r>
        <w:rPr>
          <w:rFonts w:cs="Guttman Drogolin"/>
          <w:rtl/>
          <w:lang w:bidi="he-IL"/>
        </w:rPr>
        <w:fldChar w:fldCharType="end"/>
      </w:r>
      <w:r w:rsidR="003F720C" w:rsidRPr="00882F11">
        <w:rPr>
          <w:rFonts w:cs="Guttman Drogolin" w:hint="cs"/>
          <w:rtl/>
          <w:lang w:bidi="he-IL"/>
        </w:rPr>
        <w:t>איתא במתני</w:t>
      </w:r>
      <w:r w:rsidR="003F720C" w:rsidRPr="00882F11">
        <w:rPr>
          <w:rFonts w:cs="Guttman Drogolin" w:hint="cs"/>
          <w:rtl/>
        </w:rPr>
        <w:t xml:space="preserve">' </w:t>
      </w:r>
      <w:r w:rsidR="003F720C" w:rsidRPr="00882F11">
        <w:rPr>
          <w:rFonts w:cs="Guttman Drogolin" w:hint="cs"/>
          <w:rtl/>
          <w:lang w:bidi="he-IL"/>
        </w:rPr>
        <w:t>שבדף צ</w:t>
      </w:r>
      <w:r w:rsidR="003F720C" w:rsidRPr="00882F11">
        <w:rPr>
          <w:rFonts w:cs="Guttman Drogolin" w:hint="cs"/>
          <w:rtl/>
        </w:rPr>
        <w:t>"</w:t>
      </w:r>
      <w:r w:rsidR="003F720C" w:rsidRPr="00882F11">
        <w:rPr>
          <w:rFonts w:cs="Guttman Drogolin" w:hint="cs"/>
          <w:rtl/>
          <w:lang w:bidi="he-IL"/>
        </w:rPr>
        <w:t>ו ע</w:t>
      </w:r>
      <w:r w:rsidR="003F720C" w:rsidRPr="00882F11">
        <w:rPr>
          <w:rFonts w:cs="Guttman Drogolin" w:hint="cs"/>
          <w:rtl/>
        </w:rPr>
        <w:t>"</w:t>
      </w:r>
      <w:r w:rsidR="003F720C" w:rsidRPr="00882F11">
        <w:rPr>
          <w:rFonts w:cs="Guttman Drogolin" w:hint="cs"/>
          <w:rtl/>
          <w:lang w:bidi="he-IL"/>
        </w:rPr>
        <w:t xml:space="preserve">ב </w:t>
      </w:r>
      <w:r w:rsidR="003F720C" w:rsidRPr="00882F11">
        <w:rPr>
          <w:rFonts w:cs="Guttman Drogolin" w:hint="cs"/>
          <w:rtl/>
        </w:rPr>
        <w:t>"</w:t>
      </w:r>
      <w:r w:rsidR="003F720C" w:rsidRPr="00882F11">
        <w:rPr>
          <w:rFonts w:cs="Guttman Drogolin" w:hint="cs"/>
          <w:rtl/>
          <w:lang w:bidi="he-IL"/>
        </w:rPr>
        <w:t>ירך</w:t>
      </w:r>
      <w:r w:rsidR="003F720C" w:rsidRPr="00882F11">
        <w:rPr>
          <w:rFonts w:cs="Guttman Drogolin"/>
          <w:rtl/>
        </w:rPr>
        <w:t xml:space="preserve"> </w:t>
      </w:r>
      <w:r w:rsidR="003F720C" w:rsidRPr="00882F11">
        <w:rPr>
          <w:rFonts w:cs="Guttman Drogolin" w:hint="cs"/>
          <w:rtl/>
          <w:lang w:bidi="he-IL"/>
        </w:rPr>
        <w:t>שנתבשל</w:t>
      </w:r>
      <w:r w:rsidR="003F720C" w:rsidRPr="00882F11">
        <w:rPr>
          <w:rFonts w:cs="Guttman Drogolin"/>
          <w:rtl/>
        </w:rPr>
        <w:t xml:space="preserve"> </w:t>
      </w:r>
      <w:r w:rsidR="003F720C" w:rsidRPr="00882F11">
        <w:rPr>
          <w:rFonts w:cs="Guttman Drogolin" w:hint="cs"/>
          <w:rtl/>
          <w:lang w:bidi="he-IL"/>
        </w:rPr>
        <w:t>בה</w:t>
      </w:r>
      <w:r w:rsidR="003F720C" w:rsidRPr="00882F11">
        <w:rPr>
          <w:rFonts w:cs="Guttman Drogolin"/>
          <w:rtl/>
        </w:rPr>
        <w:t xml:space="preserve"> </w:t>
      </w:r>
      <w:r w:rsidR="003F720C" w:rsidRPr="00882F11">
        <w:rPr>
          <w:rFonts w:cs="Guttman Drogolin" w:hint="cs"/>
          <w:rtl/>
          <w:lang w:bidi="he-IL"/>
        </w:rPr>
        <w:t>גיד</w:t>
      </w:r>
      <w:r w:rsidR="003F720C" w:rsidRPr="00882F11">
        <w:rPr>
          <w:rFonts w:cs="Guttman Drogolin"/>
          <w:rtl/>
        </w:rPr>
        <w:t xml:space="preserve"> </w:t>
      </w:r>
      <w:r w:rsidR="003F720C" w:rsidRPr="00882F11">
        <w:rPr>
          <w:rFonts w:cs="Guttman Drogolin" w:hint="cs"/>
          <w:rtl/>
          <w:lang w:bidi="he-IL"/>
        </w:rPr>
        <w:t>הנשה</w:t>
      </w:r>
      <w:r w:rsidR="003F720C" w:rsidRPr="00882F11">
        <w:rPr>
          <w:rFonts w:cs="Guttman Drogolin"/>
          <w:rtl/>
        </w:rPr>
        <w:t xml:space="preserve"> </w:t>
      </w:r>
      <w:r w:rsidR="003F720C" w:rsidRPr="00882F11">
        <w:rPr>
          <w:rFonts w:cs="Guttman Drogolin" w:hint="cs"/>
          <w:rtl/>
          <w:lang w:bidi="he-IL"/>
        </w:rPr>
        <w:t>אם</w:t>
      </w:r>
      <w:r w:rsidR="003F720C" w:rsidRPr="00882F11">
        <w:rPr>
          <w:rFonts w:cs="Guttman Drogolin"/>
          <w:rtl/>
        </w:rPr>
        <w:t xml:space="preserve"> </w:t>
      </w:r>
      <w:r w:rsidR="003F720C" w:rsidRPr="00882F11">
        <w:rPr>
          <w:rFonts w:cs="Guttman Drogolin" w:hint="cs"/>
          <w:rtl/>
          <w:lang w:bidi="he-IL"/>
        </w:rPr>
        <w:t>יש</w:t>
      </w:r>
      <w:r w:rsidR="003F720C" w:rsidRPr="00882F11">
        <w:rPr>
          <w:rFonts w:cs="Guttman Drogolin"/>
          <w:rtl/>
        </w:rPr>
        <w:t xml:space="preserve"> </w:t>
      </w:r>
      <w:r w:rsidR="003F720C" w:rsidRPr="00882F11">
        <w:rPr>
          <w:rFonts w:cs="Guttman Drogolin" w:hint="cs"/>
          <w:rtl/>
          <w:lang w:bidi="he-IL"/>
        </w:rPr>
        <w:t>בה</w:t>
      </w:r>
      <w:r w:rsidR="003F720C" w:rsidRPr="00882F11">
        <w:rPr>
          <w:rFonts w:cs="Guttman Drogolin"/>
          <w:rtl/>
        </w:rPr>
        <w:t xml:space="preserve"> </w:t>
      </w:r>
      <w:r w:rsidR="003F720C" w:rsidRPr="00882F11">
        <w:rPr>
          <w:rFonts w:cs="Guttman Drogolin" w:hint="cs"/>
          <w:rtl/>
          <w:lang w:bidi="he-IL"/>
        </w:rPr>
        <w:t>בנותן</w:t>
      </w:r>
      <w:r w:rsidR="003F720C" w:rsidRPr="00882F11">
        <w:rPr>
          <w:rFonts w:cs="Guttman Drogolin"/>
          <w:rtl/>
        </w:rPr>
        <w:t xml:space="preserve"> </w:t>
      </w:r>
      <w:r w:rsidR="003F720C" w:rsidRPr="00882F11">
        <w:rPr>
          <w:rFonts w:cs="Guttman Drogolin" w:hint="cs"/>
          <w:rtl/>
          <w:lang w:bidi="he-IL"/>
        </w:rPr>
        <w:t>טעם</w:t>
      </w:r>
      <w:r w:rsidR="003F720C" w:rsidRPr="00882F11">
        <w:rPr>
          <w:rFonts w:cs="Guttman Drogolin"/>
          <w:rtl/>
        </w:rPr>
        <w:t xml:space="preserve"> </w:t>
      </w:r>
      <w:r w:rsidR="003F720C" w:rsidRPr="00882F11">
        <w:rPr>
          <w:rFonts w:cs="Guttman Drogolin" w:hint="cs"/>
          <w:rtl/>
          <w:lang w:bidi="he-IL"/>
        </w:rPr>
        <w:t>הרי</w:t>
      </w:r>
      <w:r w:rsidR="003F720C" w:rsidRPr="00882F11">
        <w:rPr>
          <w:rFonts w:cs="Guttman Drogolin"/>
          <w:rtl/>
        </w:rPr>
        <w:t xml:space="preserve"> </w:t>
      </w:r>
      <w:r w:rsidR="003F720C" w:rsidRPr="00882F11">
        <w:rPr>
          <w:rFonts w:cs="Guttman Drogolin" w:hint="cs"/>
          <w:rtl/>
          <w:lang w:bidi="he-IL"/>
        </w:rPr>
        <w:t>זו</w:t>
      </w:r>
      <w:r w:rsidR="003F720C" w:rsidRPr="00882F11">
        <w:rPr>
          <w:rFonts w:cs="Guttman Drogolin"/>
          <w:rtl/>
        </w:rPr>
        <w:t xml:space="preserve"> </w:t>
      </w:r>
      <w:r w:rsidR="003F720C" w:rsidRPr="00882F11">
        <w:rPr>
          <w:rFonts w:cs="Guttman Drogolin" w:hint="cs"/>
          <w:rtl/>
          <w:lang w:bidi="he-IL"/>
        </w:rPr>
        <w:t>אסורה</w:t>
      </w:r>
      <w:r w:rsidR="003F720C" w:rsidRPr="00882F11">
        <w:rPr>
          <w:rFonts w:cs="Guttman Drogolin"/>
          <w:rtl/>
        </w:rPr>
        <w:t xml:space="preserve"> </w:t>
      </w:r>
      <w:r w:rsidR="003F720C" w:rsidRPr="00882F11">
        <w:rPr>
          <w:rFonts w:cs="Guttman Drogolin" w:hint="cs"/>
          <w:rtl/>
          <w:lang w:bidi="he-IL"/>
        </w:rPr>
        <w:t>כיצד</w:t>
      </w:r>
      <w:r w:rsidR="003F720C" w:rsidRPr="00882F11">
        <w:rPr>
          <w:rFonts w:cs="Guttman Drogolin"/>
          <w:rtl/>
        </w:rPr>
        <w:t xml:space="preserve"> </w:t>
      </w:r>
      <w:r w:rsidR="003F720C" w:rsidRPr="00882F11">
        <w:rPr>
          <w:rFonts w:cs="Guttman Drogolin" w:hint="cs"/>
          <w:rtl/>
          <w:lang w:bidi="he-IL"/>
        </w:rPr>
        <w:t>משערין</w:t>
      </w:r>
      <w:r w:rsidR="003F720C" w:rsidRPr="00882F11">
        <w:rPr>
          <w:rFonts w:cs="Guttman Drogolin"/>
          <w:rtl/>
        </w:rPr>
        <w:t xml:space="preserve"> </w:t>
      </w:r>
      <w:r w:rsidR="003F720C" w:rsidRPr="00882F11">
        <w:rPr>
          <w:rFonts w:cs="Guttman Drogolin" w:hint="cs"/>
          <w:rtl/>
          <w:lang w:bidi="he-IL"/>
        </w:rPr>
        <w:t>אותה</w:t>
      </w:r>
      <w:r w:rsidR="003F720C" w:rsidRPr="00882F11">
        <w:rPr>
          <w:rFonts w:cs="Guttman Drogolin"/>
          <w:rtl/>
        </w:rPr>
        <w:t xml:space="preserve"> </w:t>
      </w:r>
      <w:r w:rsidR="003F720C" w:rsidRPr="00882F11">
        <w:rPr>
          <w:rFonts w:cs="Guttman Drogolin" w:hint="cs"/>
          <w:rtl/>
          <w:lang w:bidi="he-IL"/>
        </w:rPr>
        <w:t>כבשר</w:t>
      </w:r>
      <w:r w:rsidR="003F720C" w:rsidRPr="00882F11">
        <w:rPr>
          <w:rFonts w:cs="Guttman Drogolin"/>
          <w:rtl/>
        </w:rPr>
        <w:t xml:space="preserve"> </w:t>
      </w:r>
      <w:r w:rsidR="003F720C" w:rsidRPr="00882F11">
        <w:rPr>
          <w:rFonts w:cs="Guttman Drogolin" w:hint="cs"/>
          <w:rtl/>
          <w:lang w:bidi="he-IL"/>
        </w:rPr>
        <w:t>בלפת</w:t>
      </w:r>
      <w:r w:rsidR="003F720C" w:rsidRPr="00882F11">
        <w:rPr>
          <w:rFonts w:cs="Guttman Drogolin" w:hint="cs"/>
          <w:rtl/>
        </w:rPr>
        <w:t xml:space="preserve">". </w:t>
      </w:r>
      <w:r w:rsidR="003F720C" w:rsidRPr="00882F11">
        <w:rPr>
          <w:rFonts w:cs="Guttman Drogolin" w:hint="cs"/>
          <w:rtl/>
          <w:lang w:bidi="he-IL"/>
        </w:rPr>
        <w:t>ויל</w:t>
      </w:r>
      <w:r w:rsidR="003F720C" w:rsidRPr="00882F11">
        <w:rPr>
          <w:rFonts w:cs="Guttman Drogolin" w:hint="cs"/>
          <w:rtl/>
        </w:rPr>
        <w:t>"</w:t>
      </w:r>
      <w:r w:rsidR="003F720C" w:rsidRPr="00882F11">
        <w:rPr>
          <w:rFonts w:cs="Guttman Drogolin" w:hint="cs"/>
          <w:rtl/>
          <w:lang w:bidi="he-IL"/>
        </w:rPr>
        <w:t>ע שיעור זה שכבשר בלפת מהו</w:t>
      </w:r>
      <w:r w:rsidR="003F720C" w:rsidRPr="00882F11">
        <w:rPr>
          <w:rFonts w:cs="Guttman Drogolin" w:hint="cs"/>
          <w:rtl/>
        </w:rPr>
        <w:t xml:space="preserve">, </w:t>
      </w:r>
      <w:r w:rsidR="003F720C" w:rsidRPr="00882F11">
        <w:rPr>
          <w:rFonts w:cs="Guttman Drogolin" w:hint="cs"/>
          <w:rtl/>
          <w:lang w:bidi="he-IL"/>
        </w:rPr>
        <w:t>דהא עד כה ראינו שהשיעור בביטול טעם איסור הוא בששים</w:t>
      </w:r>
      <w:r w:rsidR="003F720C" w:rsidRPr="00882F11">
        <w:rPr>
          <w:rFonts w:cs="Guttman Drogolin" w:hint="cs"/>
          <w:rtl/>
        </w:rPr>
        <w:t xml:space="preserve">. </w:t>
      </w:r>
      <w:r w:rsidR="003F720C" w:rsidRPr="00882F11">
        <w:rPr>
          <w:rFonts w:cs="Guttman Drogolin" w:hint="cs"/>
          <w:rtl/>
          <w:lang w:bidi="he-IL"/>
        </w:rPr>
        <w:t>והנה לקמן בדף צ</w:t>
      </w:r>
      <w:r w:rsidR="003F720C" w:rsidRPr="00882F11">
        <w:rPr>
          <w:rFonts w:cs="Guttman Drogolin" w:hint="cs"/>
          <w:rtl/>
        </w:rPr>
        <w:t>"</w:t>
      </w:r>
      <w:r w:rsidR="003F720C" w:rsidRPr="00882F11">
        <w:rPr>
          <w:rFonts w:cs="Guttman Drogolin" w:hint="cs"/>
          <w:rtl/>
          <w:lang w:bidi="he-IL"/>
        </w:rPr>
        <w:t>ז ע</w:t>
      </w:r>
      <w:r w:rsidR="003F720C" w:rsidRPr="00882F11">
        <w:rPr>
          <w:rFonts w:cs="Guttman Drogolin" w:hint="cs"/>
          <w:rtl/>
        </w:rPr>
        <w:t>"</w:t>
      </w:r>
      <w:r w:rsidR="003F720C" w:rsidRPr="00882F11">
        <w:rPr>
          <w:rFonts w:cs="Guttman Drogolin" w:hint="cs"/>
          <w:rtl/>
          <w:lang w:bidi="he-IL"/>
        </w:rPr>
        <w:t>ב א</w:t>
      </w:r>
      <w:r w:rsidR="003F720C" w:rsidRPr="00882F11">
        <w:rPr>
          <w:rFonts w:cs="Guttman Drogolin" w:hint="cs"/>
          <w:rtl/>
        </w:rPr>
        <w:t>"</w:t>
      </w:r>
      <w:r w:rsidR="003F720C" w:rsidRPr="00882F11">
        <w:rPr>
          <w:rFonts w:cs="Guttman Drogolin" w:hint="cs"/>
          <w:rtl/>
          <w:lang w:bidi="he-IL"/>
        </w:rPr>
        <w:t>ר אבהו א</w:t>
      </w:r>
      <w:r w:rsidR="003F720C" w:rsidRPr="00882F11">
        <w:rPr>
          <w:rFonts w:cs="Guttman Drogolin" w:hint="cs"/>
          <w:rtl/>
        </w:rPr>
        <w:t>"</w:t>
      </w:r>
      <w:r w:rsidR="003F720C" w:rsidRPr="00882F11">
        <w:rPr>
          <w:rFonts w:cs="Guttman Drogolin" w:hint="cs"/>
          <w:rtl/>
          <w:lang w:bidi="he-IL"/>
        </w:rPr>
        <w:t>ר יוח</w:t>
      </w:r>
      <w:r w:rsidR="005C5064" w:rsidRPr="00882F11">
        <w:rPr>
          <w:rFonts w:cs="Guttman Drogolin" w:hint="cs"/>
          <w:rtl/>
          <w:lang w:bidi="he-IL"/>
        </w:rPr>
        <w:t>נ</w:t>
      </w:r>
      <w:r w:rsidR="003F720C" w:rsidRPr="00882F11">
        <w:rPr>
          <w:rFonts w:cs="Guttman Drogolin" w:hint="cs"/>
          <w:rtl/>
          <w:lang w:bidi="he-IL"/>
        </w:rPr>
        <w:t>ן כל איסורין שבתורה משערין כאילו הם בצל וקפלוט</w:t>
      </w:r>
      <w:r w:rsidR="003F720C" w:rsidRPr="00882F11">
        <w:rPr>
          <w:rFonts w:cs="Guttman Drogolin" w:hint="cs"/>
          <w:rtl/>
        </w:rPr>
        <w:t xml:space="preserve">, </w:t>
      </w:r>
      <w:r w:rsidR="003F720C" w:rsidRPr="00882F11">
        <w:rPr>
          <w:rFonts w:cs="Guttman Drogolin" w:hint="cs"/>
          <w:rtl/>
          <w:lang w:bidi="he-IL"/>
        </w:rPr>
        <w:t>ודקדקו שם התוס</w:t>
      </w:r>
      <w:r w:rsidR="003F720C" w:rsidRPr="00882F11">
        <w:rPr>
          <w:rFonts w:cs="Guttman Drogolin" w:hint="cs"/>
          <w:rtl/>
        </w:rPr>
        <w:t xml:space="preserve">' </w:t>
      </w:r>
      <w:r w:rsidR="003F720C" w:rsidRPr="00882F11">
        <w:rPr>
          <w:rFonts w:cs="Guttman Drogolin" w:hint="cs"/>
          <w:rtl/>
          <w:lang w:bidi="he-IL"/>
        </w:rPr>
        <w:t>בד</w:t>
      </w:r>
      <w:r w:rsidR="003F720C" w:rsidRPr="00882F11">
        <w:rPr>
          <w:rFonts w:cs="Guttman Drogolin" w:hint="cs"/>
          <w:rtl/>
        </w:rPr>
        <w:t>"</w:t>
      </w:r>
      <w:r w:rsidR="003F720C" w:rsidRPr="00882F11">
        <w:rPr>
          <w:rFonts w:cs="Guttman Drogolin" w:hint="cs"/>
          <w:rtl/>
          <w:lang w:bidi="he-IL"/>
        </w:rPr>
        <w:t>ה כל דע</w:t>
      </w:r>
      <w:r w:rsidR="003F720C" w:rsidRPr="00882F11">
        <w:rPr>
          <w:rFonts w:cs="Guttman Drogolin" w:hint="cs"/>
          <w:rtl/>
        </w:rPr>
        <w:t>"</w:t>
      </w:r>
      <w:r w:rsidR="003F720C" w:rsidRPr="00882F11">
        <w:rPr>
          <w:rFonts w:cs="Guttman Drogolin" w:hint="cs"/>
          <w:rtl/>
          <w:lang w:bidi="he-IL"/>
        </w:rPr>
        <w:t>כ זהו שיעור אחר ממתני</w:t>
      </w:r>
      <w:r w:rsidR="003F720C" w:rsidRPr="00882F11">
        <w:rPr>
          <w:rFonts w:cs="Guttman Drogolin" w:hint="cs"/>
          <w:rtl/>
        </w:rPr>
        <w:t xml:space="preserve">', </w:t>
      </w:r>
      <w:r w:rsidR="003F720C" w:rsidRPr="00882F11">
        <w:rPr>
          <w:rFonts w:cs="Guttman Drogolin" w:hint="cs"/>
          <w:rtl/>
          <w:lang w:bidi="he-IL"/>
        </w:rPr>
        <w:t>דהא במתני</w:t>
      </w:r>
      <w:r w:rsidR="003F720C" w:rsidRPr="00882F11">
        <w:rPr>
          <w:rFonts w:cs="Guttman Drogolin" w:hint="cs"/>
          <w:rtl/>
        </w:rPr>
        <w:t xml:space="preserve">' </w:t>
      </w:r>
      <w:r w:rsidR="003F720C" w:rsidRPr="00882F11">
        <w:rPr>
          <w:rFonts w:cs="Guttman Drogolin" w:hint="cs"/>
          <w:rtl/>
          <w:lang w:bidi="he-IL"/>
        </w:rPr>
        <w:t>השיעור כבשר בלפת</w:t>
      </w:r>
      <w:r w:rsidR="003F720C" w:rsidRPr="00882F11">
        <w:rPr>
          <w:rFonts w:cs="Guttman Drogolin" w:hint="cs"/>
          <w:rtl/>
        </w:rPr>
        <w:t xml:space="preserve">. </w:t>
      </w:r>
      <w:r w:rsidR="003F720C" w:rsidRPr="00882F11">
        <w:rPr>
          <w:rFonts w:cs="Guttman Drogolin" w:hint="cs"/>
          <w:rtl/>
          <w:lang w:bidi="he-IL"/>
        </w:rPr>
        <w:t>ופירשו התוס</w:t>
      </w:r>
      <w:r w:rsidR="003F720C" w:rsidRPr="00882F11">
        <w:rPr>
          <w:rFonts w:cs="Guttman Drogolin" w:hint="cs"/>
          <w:rtl/>
        </w:rPr>
        <w:t xml:space="preserve">' </w:t>
      </w:r>
      <w:r w:rsidR="003F720C" w:rsidRPr="00882F11">
        <w:rPr>
          <w:rFonts w:cs="Guttman Drogolin" w:hint="cs"/>
          <w:rtl/>
          <w:lang w:bidi="he-IL"/>
        </w:rPr>
        <w:t xml:space="preserve">שהשיעור של כבשר בלפת היינו בששים </w:t>
      </w:r>
      <w:r w:rsidR="003F720C" w:rsidRPr="00882F11">
        <w:rPr>
          <w:rFonts w:cs="Guttman Drogolin" w:hint="cs"/>
          <w:rtl/>
        </w:rPr>
        <w:t>(</w:t>
      </w:r>
      <w:r w:rsidR="003F720C" w:rsidRPr="00882F11">
        <w:rPr>
          <w:rFonts w:cs="Guttman Drogolin" w:hint="cs"/>
          <w:rtl/>
          <w:lang w:bidi="he-IL"/>
        </w:rPr>
        <w:t>ע</w:t>
      </w:r>
      <w:r w:rsidR="003F720C" w:rsidRPr="00882F11">
        <w:rPr>
          <w:rFonts w:cs="Guttman Drogolin" w:hint="cs"/>
          <w:rtl/>
        </w:rPr>
        <w:t>"</w:t>
      </w:r>
      <w:r w:rsidR="003F720C" w:rsidRPr="00882F11">
        <w:rPr>
          <w:rFonts w:cs="Guttman Drogolin" w:hint="cs"/>
          <w:rtl/>
          <w:lang w:bidi="he-IL"/>
        </w:rPr>
        <w:t>ש למה זה מדוקדק</w:t>
      </w:r>
      <w:r w:rsidR="003F720C" w:rsidRPr="00882F11">
        <w:rPr>
          <w:rFonts w:cs="Guttman Drogolin" w:hint="cs"/>
          <w:rtl/>
        </w:rPr>
        <w:t xml:space="preserve">) </w:t>
      </w:r>
      <w:r w:rsidR="003F720C" w:rsidRPr="00882F11">
        <w:rPr>
          <w:rFonts w:cs="Guttman Drogolin" w:hint="cs"/>
          <w:rtl/>
          <w:lang w:bidi="he-IL"/>
        </w:rPr>
        <w:t>ודוקא גיד כיון שאינו נ</w:t>
      </w:r>
      <w:r w:rsidR="003F720C" w:rsidRPr="00882F11">
        <w:rPr>
          <w:rFonts w:cs="Guttman Drogolin" w:hint="cs"/>
          <w:rtl/>
        </w:rPr>
        <w:t>"</w:t>
      </w:r>
      <w:r w:rsidR="003F720C" w:rsidRPr="00882F11">
        <w:rPr>
          <w:rFonts w:cs="Guttman Drogolin" w:hint="cs"/>
          <w:rtl/>
          <w:lang w:bidi="he-IL"/>
        </w:rPr>
        <w:t>ט כל כך חזק</w:t>
      </w:r>
      <w:r w:rsidR="003F720C" w:rsidRPr="00882F11">
        <w:rPr>
          <w:rFonts w:cs="Guttman Drogolin" w:hint="cs"/>
          <w:rtl/>
        </w:rPr>
        <w:t xml:space="preserve">, </w:t>
      </w:r>
      <w:r w:rsidR="003F720C" w:rsidRPr="00882F11">
        <w:rPr>
          <w:rFonts w:cs="Guttman Drogolin" w:hint="cs"/>
          <w:rtl/>
          <w:lang w:bidi="he-IL"/>
        </w:rPr>
        <w:t>אבל שאר איסורים אינם בטלים בששים</w:t>
      </w:r>
      <w:r w:rsidR="003F720C" w:rsidRPr="00882F11">
        <w:rPr>
          <w:rFonts w:cs="Guttman Drogolin" w:hint="cs"/>
          <w:rtl/>
        </w:rPr>
        <w:t xml:space="preserve">, </w:t>
      </w:r>
      <w:r w:rsidR="003F720C" w:rsidRPr="00882F11">
        <w:rPr>
          <w:rFonts w:cs="Guttman Drogolin" w:hint="cs"/>
          <w:rtl/>
          <w:lang w:bidi="he-IL"/>
        </w:rPr>
        <w:t>ורבא דקאמר בגמ</w:t>
      </w:r>
      <w:r w:rsidR="003F720C" w:rsidRPr="00882F11">
        <w:rPr>
          <w:rFonts w:cs="Guttman Drogolin" w:hint="cs"/>
          <w:rtl/>
        </w:rPr>
        <w:t xml:space="preserve">' </w:t>
      </w:r>
      <w:r w:rsidR="003F720C" w:rsidRPr="00882F11">
        <w:rPr>
          <w:rFonts w:cs="Guttman Drogolin" w:hint="cs"/>
          <w:rtl/>
          <w:lang w:bidi="he-IL"/>
        </w:rPr>
        <w:t>שכל איסורים שבתורה בששים פליג אמתני</w:t>
      </w:r>
      <w:r w:rsidR="003F720C" w:rsidRPr="00882F11">
        <w:rPr>
          <w:rFonts w:cs="Guttman Drogolin" w:hint="cs"/>
          <w:rtl/>
        </w:rPr>
        <w:t xml:space="preserve">'. </w:t>
      </w:r>
      <w:r w:rsidR="003F720C" w:rsidRPr="00882F11">
        <w:rPr>
          <w:rFonts w:cs="Guttman Drogolin" w:hint="cs"/>
          <w:rtl/>
          <w:lang w:bidi="he-IL"/>
        </w:rPr>
        <w:t>וכן לכאורה מבואר ברש"י בריש פירקין (פ"ט ע"ב), ששם כשהגמ' מקשה ממתני' דידן פירש"י דבנ"ט היינו בששים.</w:t>
      </w:r>
    </w:p>
    <w:p w:rsidR="003F720C" w:rsidRPr="00882F11" w:rsidRDefault="003F720C" w:rsidP="003F720C">
      <w:pPr>
        <w:bidi/>
        <w:jc w:val="both"/>
        <w:rPr>
          <w:rFonts w:cs="Guttman Drogolin"/>
          <w:rtl/>
          <w:lang w:bidi="he-IL"/>
        </w:rPr>
      </w:pPr>
      <w:r w:rsidRPr="00882F11">
        <w:rPr>
          <w:rFonts w:cs="Guttman Drogolin" w:hint="cs"/>
          <w:rtl/>
          <w:lang w:bidi="he-IL"/>
        </w:rPr>
        <w:t>ובמאירי מבואר שהשיעור דכבצל בלפת הוא שיעור יותר מששים, והטעם משום שגידין אינם נותנים כ"כ טעם אפילו למ"ד יש בגידין בנ"ט. ויש אחרונים (ע' יד יהודה ותפא"י) שלומדים שזהו ג"כ שיטת רש"י, אבל הדבר קשה מדברי רש"י בר"פ וכנ"ל.</w:t>
      </w:r>
    </w:p>
    <w:p w:rsidR="009C1D80" w:rsidRPr="00882F11" w:rsidRDefault="003F720C" w:rsidP="009C1D80">
      <w:pPr>
        <w:bidi/>
        <w:jc w:val="both"/>
        <w:rPr>
          <w:rFonts w:cs="Guttman Drogolin"/>
          <w:rtl/>
          <w:lang w:bidi="he-IL"/>
        </w:rPr>
      </w:pPr>
      <w:r w:rsidRPr="00882F11">
        <w:rPr>
          <w:rFonts w:cs="Guttman Drogolin" w:hint="cs"/>
          <w:rtl/>
          <w:lang w:bidi="he-IL"/>
        </w:rPr>
        <w:t xml:space="preserve">ומ"מ שיטת רש"י צ"ע, דהא רש"י פירש שהמקור לשיעור זה הוא הלל"מ. וצ"ע דהא לרש"י איכא למ"ד דטכ"ע דרבנן, וכן הכי קיי"ל. וא"כ האיך נפרנס משנה זו אליבא דידי'. ואע"ג שביארנו שיטת רש"י שבדף צ"ח דבעינן ששים מדאורייתא אפילו למ"ד טכ"ע דרבנן, הא עדיין קשה ממנ"פ, דהא יסוד זה מבוסס אהא שהלימוד מזרוע בשילה הוא לימוד גמור, ואם לימוד גמור הוא למה צריכים הלל"מ. ואם ההלל"מ הוא להיכי שנחלקו אם טכ"ע דאורייתא הא איכא למ"ד טכ"ע דרבנן. וראיתי אלו שאומרים דנפק"מ בכגון קדשים שהרי בקדשים לכו"ע טכ"ע דאורייתא. ולכאורה יש להוסיף בזה, שיש בזה נפק"מ בבב"ח, וכן בגיעולי </w:t>
      </w:r>
      <w:r w:rsidRPr="00882F11">
        <w:rPr>
          <w:rFonts w:cs="Guttman Drogolin" w:hint="cs"/>
          <w:rtl/>
          <w:lang w:bidi="he-IL"/>
        </w:rPr>
        <w:lastRenderedPageBreak/>
        <w:t xml:space="preserve">נכרים. אבל לכאורה נראה לומר בזה יותר פשוט, והוא דאפילו למ"ד טכ"ע דרבנן, היינו רק טעמו ולא ממשו, אבל טעמו וממשו לכו"ע דאורייתא. </w:t>
      </w:r>
      <w:r w:rsidR="00987C2D" w:rsidRPr="00882F11">
        <w:rPr>
          <w:rFonts w:cs="Guttman Drogolin" w:hint="cs"/>
          <w:rtl/>
          <w:lang w:bidi="he-IL"/>
        </w:rPr>
        <w:t xml:space="preserve">וא"כ בעינן לי' להלל"מ לטעמו וממשו. </w:t>
      </w:r>
      <w:r w:rsidR="009C1D80" w:rsidRPr="00882F11">
        <w:rPr>
          <w:rFonts w:cs="Guttman Drogolin" w:hint="cs"/>
          <w:rtl/>
          <w:lang w:bidi="he-IL"/>
        </w:rPr>
        <w:t>אמנם אם השיעור כבשר בלפת הוא ששים וכנ"ל, הא כבר אמרנו</w:t>
      </w:r>
      <w:r w:rsidR="00987C2D" w:rsidRPr="00882F11">
        <w:rPr>
          <w:rFonts w:cs="Guttman Drogolin" w:hint="cs"/>
          <w:rtl/>
          <w:lang w:bidi="he-IL"/>
        </w:rPr>
        <w:t xml:space="preserve"> שהשיעור ששים הוא לימוד גמור, </w:t>
      </w:r>
      <w:r w:rsidR="009C1D80" w:rsidRPr="00882F11">
        <w:rPr>
          <w:rFonts w:cs="Guttman Drogolin" w:hint="cs"/>
          <w:rtl/>
          <w:lang w:bidi="he-IL"/>
        </w:rPr>
        <w:t>ולמה לן הלל"מ לזה. וצ"ע.</w:t>
      </w:r>
    </w:p>
    <w:p w:rsidR="009C1D80" w:rsidRPr="00882F11" w:rsidRDefault="00BC0D2E" w:rsidP="000F6DEF">
      <w:pPr>
        <w:keepNext/>
        <w:keepLines/>
        <w:bidi/>
        <w:spacing w:after="0" w:line="240" w:lineRule="auto"/>
        <w:jc w:val="center"/>
        <w:outlineLvl w:val="0"/>
        <w:rPr>
          <w:rFonts w:asciiTheme="majorHAnsi" w:eastAsiaTheme="majorEastAsia" w:hAnsiTheme="majorHAnsi" w:cs="Guttman Drogolin"/>
          <w:b/>
          <w:bCs/>
          <w:sz w:val="24"/>
          <w:szCs w:val="24"/>
          <w:u w:val="single"/>
          <w:rtl/>
        </w:rPr>
      </w:pPr>
      <w:bookmarkStart w:id="96" w:name="_Toc496175356"/>
      <w:r w:rsidRPr="00882F11">
        <w:rPr>
          <w:rFonts w:asciiTheme="majorHAnsi" w:eastAsiaTheme="majorEastAsia" w:hAnsiTheme="majorHAnsi" w:cs="Guttman Drogolin" w:hint="cs"/>
          <w:b/>
          <w:bCs/>
          <w:sz w:val="24"/>
          <w:szCs w:val="24"/>
          <w:u w:val="single"/>
          <w:rtl/>
          <w:lang w:bidi="he-IL"/>
        </w:rPr>
        <w:t>אם משערים רק הגיד בששים או גם כדי קליפה מסביב לגיד</w:t>
      </w:r>
      <w:bookmarkEnd w:id="96"/>
    </w:p>
    <w:p w:rsidR="009C1D80" w:rsidRPr="00882F11" w:rsidRDefault="00BC0D2E" w:rsidP="008439FF">
      <w:pPr>
        <w:bidi/>
        <w:jc w:val="both"/>
        <w:rPr>
          <w:rFonts w:cs="Guttman Drogolin"/>
          <w:rtl/>
          <w:lang w:bidi="he-IL"/>
        </w:rPr>
      </w:pPr>
      <w:r w:rsidRPr="00882F11">
        <w:rPr>
          <w:rFonts w:cs="Guttman Drogolin" w:hint="cs"/>
          <w:rtl/>
          <w:lang w:bidi="he-IL"/>
        </w:rPr>
        <w:t>בהא דמבואר במתני' שמשערים בששים כתבו התוס' שאין זה אך ורק כנגד הגיד, אלא גם כנגד הכדי קליפה של בשר שמסביב לגיד. והטעם דכיון שמלחו את ירך קודם, דהא בלי זה אס</w:t>
      </w:r>
      <w:r w:rsidR="00C1112A" w:rsidRPr="00882F11">
        <w:rPr>
          <w:rFonts w:cs="Guttman Drogolin" w:hint="cs"/>
          <w:rtl/>
          <w:lang w:bidi="he-IL"/>
        </w:rPr>
        <w:t>ור לאכלו, ע"כ כבר נאסרה כדי קליפ</w:t>
      </w:r>
      <w:r w:rsidRPr="00882F11">
        <w:rPr>
          <w:rFonts w:cs="Guttman Drogolin" w:hint="cs"/>
          <w:rtl/>
          <w:lang w:bidi="he-IL"/>
        </w:rPr>
        <w:t xml:space="preserve">ה של הגיד, דהא מליח הרי הוא כרותח דצלי. וכיון שנאסרה הרי נע"נ, ושוב מצטרף לשיעור האיסור שצריכים ששים כנגדו. </w:t>
      </w:r>
      <w:r w:rsidR="008439FF" w:rsidRPr="00882F11">
        <w:rPr>
          <w:rFonts w:cs="Guttman Drogolin" w:hint="cs"/>
          <w:rtl/>
          <w:lang w:bidi="he-IL"/>
        </w:rPr>
        <w:t xml:space="preserve">וכתבו התוס' שבאמת לרבינו אפרים ניחא טפי, דהא הכא בשאר איסורים מיירי ולית לי' לרבינו אפרים חענ"ן באר איסורים. ונראה להוסיף בזה, שלר"א ממיץ דסבר שאין חענ"ן בחצי חתיכה, וכן לר"ן שאין אומרים חענ"ן בכדי קליפה (וכן לכאורה לדידי' לא אומרים חענ"ן במליחה כיון שלא אמרו חענ"ן אלא דרך בישול) ג"כ לא צריכים לשער אלא כנגד הגיד. </w:t>
      </w:r>
    </w:p>
    <w:p w:rsidR="009D32A4" w:rsidRPr="00882F11" w:rsidRDefault="00F028A7" w:rsidP="00F028A7">
      <w:pPr>
        <w:bidi/>
        <w:jc w:val="both"/>
        <w:rPr>
          <w:rFonts w:cs="Guttman Drogolin"/>
          <w:rtl/>
          <w:lang w:bidi="he-IL"/>
        </w:rPr>
      </w:pPr>
      <w:r w:rsidRPr="00882F11">
        <w:rPr>
          <w:rFonts w:cs="Guttman Drogolin" w:hint="cs"/>
          <w:rtl/>
          <w:lang w:bidi="he-IL"/>
        </w:rPr>
        <w:t>והנה בחי' רע"א העיר שלכאורה י"ל שאפילו אם הכדי קליפה נע"נ מ"מ לא צריכים לשער גם כנגד הכדי קליפה של בשר.</w:t>
      </w:r>
      <w:r w:rsidR="009D32A4" w:rsidRPr="00882F11">
        <w:rPr>
          <w:rFonts w:cs="Guttman Drogolin" w:hint="cs"/>
          <w:rtl/>
          <w:lang w:bidi="he-IL"/>
        </w:rPr>
        <w:t xml:space="preserve"> והטעם דהא קיי"ל שאיסורים מבטלים זה את זה. ולכן הבשר מצטרפת לבטל את הגיד, וכן הגיד מצטרפת לבטל את הכדי קליפה של בשר שנאסרה. באופן שיל"ע מהו באמת טעמם של התוס' שכתבו שמצטרפי ולא אמרינן שאיסורים מבטלין זה את זה. ומכח קושיא זו כתב החוו"ד (בססי' צ"ח) להוכיח</w:t>
      </w:r>
      <w:r w:rsidRPr="00882F11">
        <w:rPr>
          <w:rFonts w:cs="Guttman Drogolin" w:hint="cs"/>
          <w:rtl/>
          <w:lang w:bidi="he-IL"/>
        </w:rPr>
        <w:t xml:space="preserve"> </w:t>
      </w:r>
      <w:r w:rsidR="009D32A4" w:rsidRPr="00882F11">
        <w:rPr>
          <w:rFonts w:cs="Guttman Drogolin" w:hint="cs"/>
          <w:rtl/>
          <w:lang w:bidi="he-IL"/>
        </w:rPr>
        <w:t xml:space="preserve">דע"כ סוברים התוס' שבב' דברים שנאסרו מאותו שם איסור לא אמרינן שאיסורים מבטלין זה את זה. </w:t>
      </w:r>
    </w:p>
    <w:p w:rsidR="00DE0EB7" w:rsidRPr="00882F11" w:rsidRDefault="009D32A4" w:rsidP="00DE0EB7">
      <w:pPr>
        <w:bidi/>
        <w:jc w:val="both"/>
        <w:rPr>
          <w:rFonts w:cs="Guttman Drogolin"/>
          <w:rtl/>
          <w:lang w:bidi="he-IL"/>
        </w:rPr>
      </w:pPr>
      <w:r w:rsidRPr="00882F11">
        <w:rPr>
          <w:rFonts w:cs="Guttman Drogolin" w:hint="cs"/>
          <w:rtl/>
          <w:lang w:bidi="he-IL"/>
        </w:rPr>
        <w:t xml:space="preserve">אלא שלכאורה הדבר תלוי, שהרי רע"א הוכיח לשיטת ר' שמואל דע"כ אע"ג שבחענ"ן בשאר </w:t>
      </w:r>
      <w:r w:rsidRPr="00882F11">
        <w:rPr>
          <w:rFonts w:cs="Guttman Drogolin" w:hint="cs"/>
          <w:rtl/>
          <w:lang w:bidi="he-IL"/>
        </w:rPr>
        <w:lastRenderedPageBreak/>
        <w:t>איסורים הנאסר אוסר משום מינו, מ"מ אין השם איסור אותו שם איסור של האוסר. והראי'</w:t>
      </w:r>
      <w:r w:rsidR="00CA37D3" w:rsidRPr="00882F11">
        <w:rPr>
          <w:rStyle w:val="FootnoteReference"/>
          <w:rFonts w:cs="Guttman Drogolin"/>
          <w:rtl/>
          <w:lang w:bidi="he-IL"/>
        </w:rPr>
        <w:footnoteReference w:id="111"/>
      </w:r>
      <w:r w:rsidRPr="00882F11">
        <w:rPr>
          <w:rFonts w:cs="Guttman Drogolin" w:hint="cs"/>
          <w:rtl/>
          <w:lang w:bidi="he-IL"/>
        </w:rPr>
        <w:t xml:space="preserve"> מן הגמ' שדף צ"ט ע"א </w:t>
      </w:r>
      <w:r w:rsidR="00CA37D3" w:rsidRPr="00882F11">
        <w:rPr>
          <w:rFonts w:cs="Guttman Drogolin" w:hint="cs"/>
          <w:rtl/>
          <w:lang w:bidi="he-IL"/>
        </w:rPr>
        <w:t xml:space="preserve">בגריסים שנתבשלו בתוך עדשים, שלא הצריכים שיעור ק"א שהוא שיעור ביטול תרומה במין במינו. וצ"ע דהא רוטב העדשים נבלע בגריסים ונעשה נבילה וכההיא דחלב נבילה. ולשיטת ר' שמואל הרי זה אוסר משום מינה, וא"כ יש כאן תערובת מין במינו של תרומה ולמה אין צריכים שעור ק"א. </w:t>
      </w:r>
      <w:r w:rsidR="00FD2A5D">
        <w:rPr>
          <w:rFonts w:cs="Guttman Drogolin"/>
          <w:rtl/>
          <w:lang w:bidi="he-IL"/>
        </w:rPr>
        <w:fldChar w:fldCharType="begin"/>
      </w:r>
      <w:r w:rsidR="00FD2A5D">
        <w:instrText xml:space="preserve"> XE "</w:instrText>
      </w:r>
      <w:r w:rsidR="00FD2A5D" w:rsidRPr="00F20396">
        <w:rPr>
          <w:rFonts w:hint="cs"/>
          <w:rtl/>
          <w:lang w:bidi="he-IL"/>
        </w:rPr>
        <w:instrText>חענ</w:instrText>
      </w:r>
      <w:r w:rsidR="00FD2A5D">
        <w:rPr>
          <w:rFonts w:eastAsiaTheme="minorEastAsia"/>
          <w:lang w:bidi="he-IL"/>
        </w:rPr>
        <w:instrText>\</w:instrText>
      </w:r>
      <w:r w:rsidR="00FD2A5D" w:rsidRPr="00F20396">
        <w:rPr>
          <w:rFonts w:hint="cs"/>
          <w:rtl/>
          <w:lang w:bidi="he-IL"/>
        </w:rPr>
        <w:instrText>"ן בשאר איסורים</w:instrText>
      </w:r>
      <w:r w:rsidR="00FD2A5D" w:rsidRPr="00F20396">
        <w:rPr>
          <w:rtl/>
        </w:rPr>
        <w:instrText>:</w:instrText>
      </w:r>
      <w:r w:rsidR="00FD2A5D" w:rsidRPr="00F20396">
        <w:rPr>
          <w:rFonts w:hint="cs"/>
          <w:rtl/>
          <w:lang w:bidi="he-IL"/>
        </w:rPr>
        <w:instrText>מהו שם האיסור של החתיכה</w:instrText>
      </w:r>
      <w:r w:rsidR="00FD2A5D">
        <w:instrText xml:space="preserve">" </w:instrText>
      </w:r>
      <w:r w:rsidR="00FD2A5D">
        <w:rPr>
          <w:rFonts w:cs="Guttman Drogolin"/>
          <w:rtl/>
          <w:lang w:bidi="he-IL"/>
        </w:rPr>
        <w:fldChar w:fldCharType="end"/>
      </w:r>
      <w:r w:rsidR="00CA37D3" w:rsidRPr="00882F11">
        <w:rPr>
          <w:rFonts w:cs="Guttman Drogolin" w:hint="cs"/>
          <w:rtl/>
          <w:lang w:bidi="he-IL"/>
        </w:rPr>
        <w:t xml:space="preserve">ע"כ הוכיח מזה רע"א כנ"ל שאע"ג שהוא אסור מ"מ אין השם איסור כמו השם של האוסרו, רק אסור סתם. ולפי זה לכאורה יל"ע אם שייך יסודו של החוו"ד. וע"ש </w:t>
      </w:r>
      <w:r w:rsidR="00DE0EB7" w:rsidRPr="00882F11">
        <w:rPr>
          <w:rFonts w:cs="Guttman Drogolin" w:hint="cs"/>
          <w:rtl/>
          <w:lang w:bidi="he-IL"/>
        </w:rPr>
        <w:t>ב</w:t>
      </w:r>
      <w:r w:rsidR="00CA37D3" w:rsidRPr="00882F11">
        <w:rPr>
          <w:rFonts w:cs="Guttman Drogolin" w:hint="cs"/>
          <w:rtl/>
          <w:lang w:bidi="he-IL"/>
        </w:rPr>
        <w:t>הגהות רע"א על החוו"ד שהעיר שבמקו"ח ססי' תנ"ב</w:t>
      </w:r>
      <w:r w:rsidRPr="00882F11">
        <w:rPr>
          <w:rFonts w:cs="Guttman Drogolin" w:hint="cs"/>
          <w:rtl/>
          <w:lang w:bidi="he-IL"/>
        </w:rPr>
        <w:t xml:space="preserve"> </w:t>
      </w:r>
      <w:r w:rsidR="00CA37D3" w:rsidRPr="00882F11">
        <w:rPr>
          <w:rFonts w:cs="Guttman Drogolin" w:hint="cs"/>
          <w:rtl/>
          <w:lang w:bidi="he-IL"/>
        </w:rPr>
        <w:t>ה</w:t>
      </w:r>
      <w:r w:rsidR="00DE0EB7" w:rsidRPr="00882F11">
        <w:rPr>
          <w:rFonts w:cs="Guttman Drogolin" w:hint="cs"/>
          <w:rtl/>
          <w:lang w:bidi="he-IL"/>
        </w:rPr>
        <w:t>חוו"ד עצמו כתב אחרת בדעת המג"א.</w:t>
      </w:r>
    </w:p>
    <w:p w:rsidR="00DE0EB7" w:rsidRPr="000F6DEF" w:rsidRDefault="00DE0EB7" w:rsidP="00DE0EB7">
      <w:pPr>
        <w:keepNext/>
        <w:keepLines/>
        <w:bidi/>
        <w:spacing w:after="0" w:line="360" w:lineRule="auto"/>
        <w:jc w:val="center"/>
        <w:outlineLvl w:val="0"/>
        <w:rPr>
          <w:rFonts w:asciiTheme="majorHAnsi" w:eastAsiaTheme="majorEastAsia" w:hAnsiTheme="majorHAnsi" w:cs="Guttman Drogolin"/>
          <w:b/>
          <w:bCs/>
          <w:sz w:val="18"/>
          <w:szCs w:val="18"/>
          <w:u w:val="single"/>
          <w:rtl/>
        </w:rPr>
      </w:pPr>
      <w:bookmarkStart w:id="97" w:name="_Toc496175357"/>
      <w:r w:rsidRPr="000F6DEF">
        <w:rPr>
          <w:rFonts w:asciiTheme="majorHAnsi" w:eastAsiaTheme="majorEastAsia" w:hAnsiTheme="majorHAnsi" w:cs="Guttman Drogolin" w:hint="cs"/>
          <w:b/>
          <w:bCs/>
          <w:sz w:val="18"/>
          <w:szCs w:val="18"/>
          <w:u w:val="single"/>
          <w:rtl/>
          <w:lang w:bidi="he-IL"/>
        </w:rPr>
        <w:t>עוד במחלוקת רש"י ור"י בחתיכה מקצתה בתוך הרוטב</w:t>
      </w:r>
      <w:bookmarkEnd w:id="97"/>
    </w:p>
    <w:p w:rsidR="00F028A7" w:rsidRPr="00882F11" w:rsidRDefault="00FD2A5D" w:rsidP="004E5B09">
      <w:pPr>
        <w:bidi/>
        <w:jc w:val="both"/>
        <w:rPr>
          <w:rFonts w:cs="Guttman Drogolin"/>
          <w:rtl/>
          <w:lang w:bidi="he-IL"/>
        </w:rPr>
      </w:pPr>
      <w:r>
        <w:rPr>
          <w:rFonts w:cs="Guttman Drogolin"/>
          <w:rtl/>
          <w:lang w:bidi="he-IL"/>
        </w:rPr>
        <w:fldChar w:fldCharType="begin"/>
      </w:r>
      <w:r>
        <w:instrText xml:space="preserve"> XE "</w:instrText>
      </w:r>
      <w:r w:rsidRPr="00D7622D">
        <w:rPr>
          <w:rFonts w:hint="cs"/>
          <w:rtl/>
          <w:lang w:bidi="he-IL"/>
        </w:rPr>
        <w:instrText>צלי</w:instrText>
      </w:r>
      <w:r w:rsidRPr="00D7622D">
        <w:rPr>
          <w:rtl/>
        </w:rPr>
        <w:instrText>:</w:instrText>
      </w:r>
      <w:r w:rsidRPr="00D7622D">
        <w:rPr>
          <w:rFonts w:hint="cs"/>
          <w:rtl/>
          <w:lang w:bidi="he-IL"/>
        </w:rPr>
        <w:instrText>מה הדין בחתיכה שמקצתה בתוך הרוטב</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775E3D">
        <w:rPr>
          <w:rFonts w:hint="cs"/>
          <w:rtl/>
          <w:lang w:bidi="he-IL"/>
        </w:rPr>
        <w:instrText>בישול</w:instrText>
      </w:r>
      <w:r w:rsidRPr="00775E3D">
        <w:rPr>
          <w:rtl/>
        </w:rPr>
        <w:instrText>:</w:instrText>
      </w:r>
      <w:r w:rsidRPr="00775E3D">
        <w:rPr>
          <w:rFonts w:hint="cs"/>
          <w:rtl/>
          <w:lang w:bidi="he-IL"/>
        </w:rPr>
        <w:instrText>מה הדין בחתיכה שמקצתה בתוך הרוטב</w:instrText>
      </w:r>
      <w:r>
        <w:instrText xml:space="preserve">" </w:instrText>
      </w:r>
      <w:r>
        <w:rPr>
          <w:rFonts w:cs="Guttman Drogolin"/>
          <w:rtl/>
          <w:lang w:bidi="he-IL"/>
        </w:rPr>
        <w:fldChar w:fldCharType="end"/>
      </w:r>
      <w:r w:rsidR="00DE0EB7" w:rsidRPr="00882F11">
        <w:rPr>
          <w:rFonts w:cs="Guttman Drogolin" w:hint="cs"/>
          <w:rtl/>
          <w:lang w:bidi="he-IL"/>
        </w:rPr>
        <w:t xml:space="preserve">התוס' </w:t>
      </w:r>
      <w:r w:rsidR="00B42427" w:rsidRPr="00882F11">
        <w:rPr>
          <w:rFonts w:cs="Guttman Drogolin" w:hint="cs"/>
          <w:rtl/>
          <w:lang w:bidi="he-IL"/>
        </w:rPr>
        <w:t>כותבים ש'משמע קצת'</w:t>
      </w:r>
      <w:r w:rsidR="00DE0EB7" w:rsidRPr="00882F11">
        <w:rPr>
          <w:rFonts w:cs="Guttman Drogolin" w:hint="cs"/>
          <w:rtl/>
          <w:lang w:bidi="he-IL"/>
        </w:rPr>
        <w:t xml:space="preserve"> שאין הרוטב מצטרף עם הבשר לשיעור ששים לבטל טעם הגיד. והיינו דפשיטא להו דמיירי בירך שהוא בתוך הרוטב. </w:t>
      </w:r>
      <w:r w:rsidR="00B42427" w:rsidRPr="00882F11">
        <w:rPr>
          <w:rFonts w:cs="Guttman Drogolin" w:hint="cs"/>
          <w:rtl/>
          <w:lang w:bidi="he-IL"/>
        </w:rPr>
        <w:t>והוא</w:t>
      </w:r>
      <w:r w:rsidR="00DE0EB7" w:rsidRPr="00882F11">
        <w:rPr>
          <w:rFonts w:cs="Guttman Drogolin" w:hint="cs"/>
          <w:rtl/>
          <w:lang w:bidi="he-IL"/>
        </w:rPr>
        <w:t xml:space="preserve"> מא' משלשה טעמים. או משום שכן הוא משמעות הלשן של 'נתבשל', או"ד משום דאל"כ לא אמרינן שמתפשט טעם הגיד בכל הירך דהו"ל נצ</w:t>
      </w:r>
      <w:r w:rsidR="004E5B09" w:rsidRPr="00882F11">
        <w:rPr>
          <w:rFonts w:cs="Guttman Drogolin" w:hint="cs"/>
          <w:rtl/>
          <w:lang w:bidi="he-IL"/>
        </w:rPr>
        <w:t>ל</w:t>
      </w:r>
      <w:r w:rsidR="00DE0EB7" w:rsidRPr="00882F11">
        <w:rPr>
          <w:rFonts w:cs="Guttman Drogolin" w:hint="cs"/>
          <w:rtl/>
          <w:lang w:bidi="he-IL"/>
        </w:rPr>
        <w:t>ו, ולית להו לתוס' מש"כ הר"ן שהבל הקדירה גורם התפשטות (וכן הרשב"א שבתוה"א שבסמוך לית לי' יסוד זה)</w:t>
      </w:r>
      <w:r w:rsidR="00B42427" w:rsidRPr="00882F11">
        <w:rPr>
          <w:rFonts w:cs="Guttman Drogolin" w:hint="cs"/>
          <w:rtl/>
          <w:lang w:bidi="he-IL"/>
        </w:rPr>
        <w:t>, או שאילו אית לי' שהבל גורם התפשטות הטעם, יתכן דסברי התוס' דלא אמרינן הכי באיסור שהוא כחוש. ומ"מ אין כאן אלא משמעות קצת ומבואר בתוס' הרא"ש שה'משמע קצת' היינו מלשון המתני' "אם</w:t>
      </w:r>
      <w:r w:rsidR="00B42427" w:rsidRPr="00882F11">
        <w:rPr>
          <w:rFonts w:cs="Guttman Drogolin"/>
          <w:rtl/>
        </w:rPr>
        <w:t xml:space="preserve"> </w:t>
      </w:r>
      <w:r w:rsidR="00B42427" w:rsidRPr="00882F11">
        <w:rPr>
          <w:rFonts w:cs="Guttman Drogolin" w:hint="cs"/>
          <w:rtl/>
          <w:lang w:bidi="he-IL"/>
        </w:rPr>
        <w:t>יש</w:t>
      </w:r>
      <w:r w:rsidR="00B42427" w:rsidRPr="00882F11">
        <w:rPr>
          <w:rFonts w:cs="Guttman Drogolin"/>
          <w:rtl/>
        </w:rPr>
        <w:t xml:space="preserve"> </w:t>
      </w:r>
      <w:r w:rsidR="00B42427" w:rsidRPr="00882F11">
        <w:rPr>
          <w:rFonts w:cs="Guttman Drogolin" w:hint="cs"/>
          <w:u w:val="single"/>
          <w:rtl/>
          <w:lang w:bidi="he-IL"/>
        </w:rPr>
        <w:t>בה</w:t>
      </w:r>
      <w:r w:rsidR="00B42427" w:rsidRPr="00882F11">
        <w:rPr>
          <w:rFonts w:cs="Guttman Drogolin"/>
          <w:rtl/>
        </w:rPr>
        <w:t xml:space="preserve"> </w:t>
      </w:r>
      <w:r w:rsidR="00B42427" w:rsidRPr="00882F11">
        <w:rPr>
          <w:rFonts w:cs="Guttman Drogolin" w:hint="cs"/>
          <w:rtl/>
          <w:lang w:bidi="he-IL"/>
        </w:rPr>
        <w:t>בנותן</w:t>
      </w:r>
      <w:r w:rsidR="00B42427" w:rsidRPr="00882F11">
        <w:rPr>
          <w:rFonts w:cs="Guttman Drogolin"/>
          <w:rtl/>
        </w:rPr>
        <w:t xml:space="preserve"> </w:t>
      </w:r>
      <w:r w:rsidR="00B42427" w:rsidRPr="00882F11">
        <w:rPr>
          <w:rFonts w:cs="Guttman Drogolin" w:hint="cs"/>
          <w:rtl/>
          <w:lang w:bidi="he-IL"/>
        </w:rPr>
        <w:t xml:space="preserve">טעם", דהיינו בירך לבד בלי רוטב. ומשו"ה הקשו התוס' למה </w:t>
      </w:r>
      <w:r w:rsidR="00BF627F" w:rsidRPr="00882F11">
        <w:rPr>
          <w:rFonts w:cs="Guttman Drogolin" w:hint="cs"/>
          <w:rtl/>
          <w:lang w:bidi="he-IL"/>
        </w:rPr>
        <w:t xml:space="preserve">באמת </w:t>
      </w:r>
      <w:r w:rsidR="00B42427" w:rsidRPr="00882F11">
        <w:rPr>
          <w:rFonts w:cs="Guttman Drogolin" w:hint="cs"/>
          <w:rtl/>
          <w:lang w:bidi="he-IL"/>
        </w:rPr>
        <w:t>אין הרוטב מצטרף לבטלו.</w:t>
      </w:r>
      <w:r w:rsidR="00BF627F" w:rsidRPr="00882F11">
        <w:rPr>
          <w:rFonts w:cs="Guttman Drogolin" w:hint="cs"/>
          <w:rtl/>
          <w:lang w:bidi="he-IL"/>
        </w:rPr>
        <w:t xml:space="preserve"> וכתבו דבשלמא לשיטת רש"י שבחתיכה שהיא מקצתה בתוך הרוטב</w:t>
      </w:r>
      <w:r w:rsidR="00B42427" w:rsidRPr="00882F11">
        <w:rPr>
          <w:rFonts w:cs="Guttman Drogolin" w:hint="cs"/>
          <w:rtl/>
          <w:lang w:bidi="he-IL"/>
        </w:rPr>
        <w:t xml:space="preserve"> </w:t>
      </w:r>
      <w:r w:rsidR="00BF627F" w:rsidRPr="00882F11">
        <w:rPr>
          <w:rFonts w:cs="Guttman Drogolin" w:hint="cs"/>
          <w:rtl/>
          <w:lang w:bidi="he-IL"/>
        </w:rPr>
        <w:t>אין הרוטב מצטרף לבטל הטיפה שנפלה עליו שפיר י"ל שהוא בתוך הרוטב ומ"מ אין הרוטב מצטרף לבטלו. אבל לר" דסבר שבכה"ג הרוטב מצטרף לבטלו מא"ל. ולכן הסיקו דע"כ לר"י אין זה משמעות ומיירי בכה"ג שאין ס' גם בצירוף הרוטב.</w:t>
      </w:r>
    </w:p>
    <w:p w:rsidR="00BF627F" w:rsidRPr="00882F11" w:rsidRDefault="00BF627F" w:rsidP="00AC0F1C">
      <w:pPr>
        <w:bidi/>
        <w:jc w:val="both"/>
        <w:rPr>
          <w:rFonts w:cs="Guttman Drogolin"/>
          <w:rtl/>
          <w:lang w:bidi="he-IL"/>
        </w:rPr>
      </w:pPr>
      <w:r w:rsidRPr="00882F11">
        <w:rPr>
          <w:rFonts w:cs="Guttman Drogolin" w:hint="cs"/>
          <w:rtl/>
          <w:lang w:bidi="he-IL"/>
        </w:rPr>
        <w:lastRenderedPageBreak/>
        <w:t>והקשה רע"א</w:t>
      </w:r>
      <w:r w:rsidR="004F18AA" w:rsidRPr="00882F11">
        <w:rPr>
          <w:rFonts w:cs="Guttman Drogolin" w:hint="cs"/>
          <w:rtl/>
          <w:lang w:bidi="he-IL"/>
        </w:rPr>
        <w:t xml:space="preserve"> דלשיטת רש"י מי ניחא, הא לדידי' אם מיירי במקצתו בתוך הרוטב איך נו משערים בכל הבשר, הא אין כאן אלא צלי ולא יצטרף אליו אלא הכדי קליפה. ולולא דברי רע"א לכאורה הי' נראה לומר שלעולם לא סבר רש"י שחתיכה שמקצתה בתוך הרוטב </w:t>
      </w:r>
      <w:r w:rsidR="00AC0F1C" w:rsidRPr="00882F11">
        <w:rPr>
          <w:rFonts w:cs="Guttman Drogolin" w:hint="cs"/>
          <w:rtl/>
          <w:lang w:bidi="he-IL"/>
        </w:rPr>
        <w:t>ד</w:t>
      </w:r>
      <w:r w:rsidR="004F18AA" w:rsidRPr="00882F11">
        <w:rPr>
          <w:rFonts w:cs="Guttman Drogolin" w:hint="cs"/>
          <w:rtl/>
          <w:lang w:bidi="he-IL"/>
        </w:rPr>
        <w:t>ינו כצלי, רק סבר דאע"ג שדינו כנתבשל ולכן מתפשט הטעם בכל החתיכה, מ"מ</w:t>
      </w:r>
      <w:r w:rsidR="00AC0F1C" w:rsidRPr="00882F11">
        <w:rPr>
          <w:rFonts w:cs="Guttman Drogolin" w:hint="cs"/>
          <w:rtl/>
          <w:lang w:bidi="he-IL"/>
        </w:rPr>
        <w:t xml:space="preserve"> אין הרוטב מצטרף עם החתיכה לבטל טעם החלב או הגיד. </w:t>
      </w:r>
      <w:r w:rsidR="00C81B7B" w:rsidRPr="00882F11">
        <w:rPr>
          <w:rFonts w:cs="Guttman Drogolin" w:hint="cs"/>
          <w:rtl/>
          <w:lang w:bidi="he-IL"/>
        </w:rPr>
        <w:t xml:space="preserve">ואדרבה, הזכרנו מקודם דיתכן שזה היתה ההכרח של רש:י לומר דמיירי במקצתו בתוך הרוטב, משום דלא הבין איך צתפשט הטעם בכל החתיכה אם אינו בתוך הרוטב כלל. ולכן חידש שמקצתו בתוך הרוטב גורם התפשטות הטעם בתוך החתיכה אבל לא מצרף מה שחוץ ממנו. </w:t>
      </w:r>
      <w:r w:rsidR="00AC0F1C" w:rsidRPr="00882F11">
        <w:rPr>
          <w:rFonts w:cs="Guttman Drogolin" w:hint="cs"/>
          <w:rtl/>
          <w:lang w:bidi="he-IL"/>
        </w:rPr>
        <w:t>ודוגמא לדבר הי' לנו משיטת הר"ן בהבל הקדירה, שאמנם יש לו כח לגרום התפשטות הטעם בתוך החתיכה, מ"מ לא מהני לצרף כל הקדירה לבטל האיסור. וא"כ שפיר כתבו התוס' שלרש"י ניחא, ומושב קושיית רע"א להפליא. רק דרע"א לכאורה בא מל</w:t>
      </w:r>
      <w:r w:rsidR="00C81B7B" w:rsidRPr="00882F11">
        <w:rPr>
          <w:rFonts w:cs="Guttman Drogolin" w:hint="cs"/>
          <w:rtl/>
          <w:lang w:bidi="he-IL"/>
        </w:rPr>
        <w:t>ש</w:t>
      </w:r>
      <w:r w:rsidR="00AC0F1C" w:rsidRPr="00882F11">
        <w:rPr>
          <w:rFonts w:cs="Guttman Drogolin" w:hint="cs"/>
          <w:rtl/>
          <w:lang w:bidi="he-IL"/>
        </w:rPr>
        <w:t>ון הטוש"ע שלפנינו</w:t>
      </w:r>
      <w:r w:rsidR="00C81B7B" w:rsidRPr="00882F11">
        <w:rPr>
          <w:rFonts w:cs="Guttman Drogolin" w:hint="cs"/>
          <w:rtl/>
          <w:lang w:bidi="he-IL"/>
        </w:rPr>
        <w:t xml:space="preserve"> בסי' ק"ו, שכתבו בהדיא שלרש"י אם מקצתו בתוך הרוטב אינו אוסר אלא כדי קליפה (וע"כ הא דטיפת חלב צ"ל צשום דהוי שמן או טעם אחר), והיינו דסבר שלרש"י הוי ממש דינו כצלי. ומ"מ יעוין במש"ז ס"ק ג' שכתב שבגירסאות הישנות הי' מבואר שלרש"י אסור כל החתיכה, רק שהט"ז ופרישה הגיהו כמו שהוא לפנינו, ומ"מ לפי הגירסא הישנה ניחא וכמש"נ. וע' נמוקי הגרי"ב שהעיר מכל הנ"ל</w:t>
      </w:r>
      <w:r w:rsidR="002E0B32" w:rsidRPr="00882F11">
        <w:rPr>
          <w:rStyle w:val="FootnoteReference"/>
          <w:rFonts w:cs="Guttman Drogolin"/>
          <w:rtl/>
          <w:lang w:bidi="he-IL"/>
        </w:rPr>
        <w:footnoteReference w:id="112"/>
      </w:r>
      <w:r w:rsidR="00C81B7B" w:rsidRPr="00882F11">
        <w:rPr>
          <w:rFonts w:cs="Guttman Drogolin" w:hint="cs"/>
          <w:rtl/>
          <w:lang w:bidi="he-IL"/>
        </w:rPr>
        <w:t xml:space="preserve">. </w:t>
      </w:r>
      <w:r w:rsidR="004F18AA" w:rsidRPr="00882F11">
        <w:rPr>
          <w:rFonts w:cs="Guttman Drogolin" w:hint="cs"/>
          <w:rtl/>
          <w:lang w:bidi="he-IL"/>
        </w:rPr>
        <w:t xml:space="preserve"> </w:t>
      </w:r>
      <w:r w:rsidRPr="00882F11">
        <w:rPr>
          <w:rFonts w:cs="Guttman Drogolin" w:hint="cs"/>
          <w:rtl/>
          <w:lang w:bidi="he-IL"/>
        </w:rPr>
        <w:t xml:space="preserve"> </w:t>
      </w:r>
    </w:p>
    <w:p w:rsidR="00C81B7B" w:rsidRPr="00882F11" w:rsidRDefault="00C81B7B" w:rsidP="00C81B7B">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98" w:name="_Toc496175358"/>
      <w:r w:rsidRPr="00882F11">
        <w:rPr>
          <w:rFonts w:asciiTheme="majorHAnsi" w:eastAsiaTheme="majorEastAsia" w:hAnsiTheme="majorHAnsi" w:cs="Guttman Drogolin" w:hint="cs"/>
          <w:b/>
          <w:bCs/>
          <w:sz w:val="24"/>
          <w:szCs w:val="24"/>
          <w:u w:val="single"/>
          <w:rtl/>
          <w:lang w:bidi="he-IL"/>
        </w:rPr>
        <w:t>איסור דבוק</w:t>
      </w:r>
      <w:bookmarkEnd w:id="98"/>
    </w:p>
    <w:p w:rsidR="0071035F" w:rsidRPr="00882F11" w:rsidRDefault="00FD2A5D" w:rsidP="00EE4458">
      <w:pPr>
        <w:bidi/>
        <w:jc w:val="both"/>
        <w:rPr>
          <w:rFonts w:cs="Guttman Drogolin"/>
          <w:rtl/>
          <w:lang w:bidi="he-IL"/>
        </w:rPr>
      </w:pPr>
      <w:r>
        <w:rPr>
          <w:rFonts w:cs="Guttman Drogolin"/>
          <w:rtl/>
          <w:lang w:bidi="he-IL"/>
        </w:rPr>
        <w:fldChar w:fldCharType="begin"/>
      </w:r>
      <w:r>
        <w:instrText xml:space="preserve"> XE "</w:instrText>
      </w:r>
      <w:r w:rsidRPr="00604095">
        <w:rPr>
          <w:rFonts w:hint="cs"/>
          <w:rtl/>
          <w:lang w:bidi="he-IL"/>
        </w:rPr>
        <w:instrText>חענ</w:instrText>
      </w:r>
      <w:r>
        <w:rPr>
          <w:rFonts w:eastAsiaTheme="minorEastAsia"/>
          <w:lang w:bidi="he-IL"/>
        </w:rPr>
        <w:instrText>\</w:instrText>
      </w:r>
      <w:r w:rsidRPr="00604095">
        <w:rPr>
          <w:rFonts w:hint="cs"/>
          <w:rtl/>
          <w:lang w:bidi="he-IL"/>
        </w:rPr>
        <w:instrText>"ן</w:instrText>
      </w:r>
      <w:r w:rsidRPr="00604095">
        <w:rPr>
          <w:rtl/>
        </w:rPr>
        <w:instrText>:</w:instrText>
      </w:r>
      <w:r w:rsidRPr="00604095">
        <w:rPr>
          <w:rFonts w:hint="cs"/>
          <w:rtl/>
          <w:lang w:bidi="he-IL"/>
        </w:rPr>
        <w:instrText>באיסור דבוק</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865527">
        <w:rPr>
          <w:rFonts w:hint="cs"/>
          <w:rtl/>
          <w:lang w:bidi="he-IL"/>
        </w:rPr>
        <w:instrText>איסור דבוק</w:instrText>
      </w:r>
      <w:r>
        <w:instrText>" \t "</w:instrText>
      </w:r>
      <w:r w:rsidRPr="00FE7D38">
        <w:rPr>
          <w:rFonts w:cs="Times New Roman" w:hint="cs"/>
          <w:i/>
          <w:rtl/>
          <w:lang w:bidi="he-IL"/>
        </w:rPr>
        <w:instrText>ע</w:instrText>
      </w:r>
      <w:r w:rsidRPr="00FE7D38">
        <w:rPr>
          <w:rFonts w:cstheme="minorHAnsi" w:hint="cs"/>
          <w:i/>
          <w:rtl/>
          <w:lang w:bidi="he-IL"/>
        </w:rPr>
        <w:instrText xml:space="preserve">' </w:instrText>
      </w:r>
      <w:r w:rsidRPr="00FE7D38">
        <w:rPr>
          <w:rFonts w:cs="Times New Roman" w:hint="cs"/>
          <w:i/>
          <w:rtl/>
          <w:lang w:bidi="he-IL"/>
        </w:rPr>
        <w:instrText>חענ</w:instrText>
      </w:r>
      <w:r>
        <w:rPr>
          <w:sz w:val="20"/>
          <w:szCs w:val="20"/>
        </w:rPr>
        <w:instrText>\</w:instrText>
      </w:r>
      <w:r w:rsidRPr="00FE7D38">
        <w:rPr>
          <w:rFonts w:cstheme="minorHAnsi" w:hint="cs"/>
          <w:i/>
          <w:rtl/>
          <w:lang w:bidi="he-IL"/>
        </w:rPr>
        <w:instrText>"</w:instrText>
      </w:r>
      <w:r w:rsidRPr="00FE7D38">
        <w:rPr>
          <w:rFonts w:cs="Times New Roman" w:hint="cs"/>
          <w:i/>
          <w:rtl/>
          <w:lang w:bidi="he-IL"/>
        </w:rPr>
        <w:instrText>ן</w:instrText>
      </w:r>
      <w:r w:rsidRPr="00FE7D38">
        <w:rPr>
          <w:rFonts w:cstheme="minorHAnsi" w:hint="cs"/>
          <w:i/>
          <w:rtl/>
          <w:lang w:bidi="he-IL"/>
        </w:rPr>
        <w:instrText xml:space="preserve">: </w:instrText>
      </w:r>
      <w:r w:rsidRPr="00FE7D38">
        <w:rPr>
          <w:rFonts w:cs="Times New Roman" w:hint="cs"/>
          <w:i/>
          <w:rtl/>
          <w:lang w:bidi="he-IL"/>
        </w:rPr>
        <w:instrText>באיסור דבוק</w:instrText>
      </w:r>
      <w:r>
        <w:instrText xml:space="preserve">" </w:instrText>
      </w:r>
      <w:r>
        <w:rPr>
          <w:rFonts w:cs="Guttman Drogolin"/>
          <w:rtl/>
          <w:lang w:bidi="he-IL"/>
        </w:rPr>
        <w:fldChar w:fldCharType="end"/>
      </w:r>
      <w:r w:rsidR="00C81B7B" w:rsidRPr="00882F11">
        <w:rPr>
          <w:rFonts w:cs="Guttman Drogolin" w:hint="cs"/>
          <w:rtl/>
          <w:lang w:bidi="he-IL"/>
        </w:rPr>
        <w:t xml:space="preserve">והנה לפי הנ"ל בין לרש"י ובין לתוס' אם הי' הירך כולו בתוך הרוטב והי' ששים ביחד עם הרוטב לבטל טעם הגיד היינו אומרים שהבשר מותר. אמנם יעוין בהגהות אשר"י </w:t>
      </w:r>
      <w:r w:rsidR="00F1258E" w:rsidRPr="00882F11">
        <w:rPr>
          <w:rFonts w:cs="Guttman Drogolin" w:hint="cs"/>
          <w:rtl/>
          <w:lang w:bidi="he-IL"/>
        </w:rPr>
        <w:t>ש</w:t>
      </w:r>
      <w:r w:rsidR="00C81B7B" w:rsidRPr="00882F11">
        <w:rPr>
          <w:rFonts w:cs="Guttman Drogolin" w:hint="cs"/>
          <w:rtl/>
          <w:lang w:bidi="he-IL"/>
        </w:rPr>
        <w:t xml:space="preserve">כתב </w:t>
      </w:r>
      <w:r w:rsidR="00F1258E" w:rsidRPr="00882F11">
        <w:rPr>
          <w:rFonts w:cs="Guttman Drogolin" w:hint="cs"/>
          <w:rtl/>
          <w:lang w:bidi="he-IL"/>
        </w:rPr>
        <w:t xml:space="preserve">אחרת, והוא דעד כאן לא אמרינן שהרוטב מצטרף לבטל טעם האיסור אלא </w:t>
      </w:r>
      <w:r w:rsidR="00B34AE1" w:rsidRPr="00882F11">
        <w:rPr>
          <w:rFonts w:cs="Guttman Drogolin" w:hint="cs"/>
          <w:rtl/>
          <w:lang w:bidi="he-IL"/>
        </w:rPr>
        <w:t>כשאין האיסור דבוק, אבל באיסור דבוק</w:t>
      </w:r>
      <w:r w:rsidR="005B791D" w:rsidRPr="00882F11">
        <w:rPr>
          <w:rStyle w:val="FootnoteReference"/>
          <w:rFonts w:cs="Guttman Drogolin"/>
          <w:rtl/>
          <w:lang w:bidi="he-IL"/>
        </w:rPr>
        <w:footnoteReference w:id="113"/>
      </w:r>
      <w:r w:rsidR="00B34AE1" w:rsidRPr="00882F11">
        <w:rPr>
          <w:rFonts w:cs="Guttman Drogolin" w:hint="cs"/>
          <w:rtl/>
          <w:lang w:bidi="he-IL"/>
        </w:rPr>
        <w:t xml:space="preserve"> לא מהני הרוטב</w:t>
      </w:r>
      <w:r w:rsidR="008B0EE9" w:rsidRPr="00882F11">
        <w:rPr>
          <w:rFonts w:cs="Guttman Drogolin" w:hint="cs"/>
          <w:rtl/>
          <w:lang w:bidi="he-IL"/>
        </w:rPr>
        <w:t xml:space="preserve"> (וע' ביאור הגר"א כאן </w:t>
      </w:r>
      <w:r w:rsidR="008B0EE9" w:rsidRPr="00882F11">
        <w:rPr>
          <w:rFonts w:cs="Guttman Drogolin" w:hint="cs"/>
          <w:rtl/>
          <w:lang w:bidi="he-IL"/>
        </w:rPr>
        <w:lastRenderedPageBreak/>
        <w:t>ס"ק י"ט שהראה מקור לחומרא דאיסור דבוק ממתני' דידן</w:t>
      </w:r>
      <w:r w:rsidR="00AF09A9" w:rsidRPr="00882F11">
        <w:rPr>
          <w:rStyle w:val="FootnoteReference"/>
          <w:rFonts w:cs="Guttman Drogolin"/>
          <w:rtl/>
          <w:lang w:bidi="he-IL"/>
        </w:rPr>
        <w:footnoteReference w:id="114"/>
      </w:r>
      <w:r w:rsidR="008B0EE9" w:rsidRPr="00882F11">
        <w:rPr>
          <w:rFonts w:cs="Guttman Drogolin" w:hint="cs"/>
          <w:rtl/>
          <w:lang w:bidi="he-IL"/>
        </w:rPr>
        <w:t>)</w:t>
      </w:r>
      <w:r w:rsidR="00B34AE1" w:rsidRPr="00882F11">
        <w:rPr>
          <w:rFonts w:cs="Guttman Drogolin" w:hint="cs"/>
          <w:rtl/>
          <w:lang w:bidi="he-IL"/>
        </w:rPr>
        <w:t>. אמנם סת</w:t>
      </w:r>
      <w:r w:rsidR="008B0EE9" w:rsidRPr="00882F11">
        <w:rPr>
          <w:rFonts w:cs="Guttman Drogolin" w:hint="cs"/>
          <w:rtl/>
          <w:lang w:bidi="he-IL"/>
        </w:rPr>
        <w:t>ם</w:t>
      </w:r>
      <w:r w:rsidR="00B34AE1" w:rsidRPr="00882F11">
        <w:rPr>
          <w:rFonts w:cs="Guttman Drogolin" w:hint="cs"/>
          <w:rtl/>
          <w:lang w:bidi="he-IL"/>
        </w:rPr>
        <w:t xml:space="preserve"> ולא פירש מהו החילוק בין איסור דבוק לאיסור שאינו דבוק. ובפוסקים מבואר בזה ב' מהלכים. הרבה </w:t>
      </w:r>
      <w:r w:rsidR="005B791D" w:rsidRPr="00882F11">
        <w:rPr>
          <w:rFonts w:cs="Guttman Drogolin" w:hint="cs"/>
          <w:rtl/>
          <w:lang w:bidi="he-IL"/>
        </w:rPr>
        <w:t xml:space="preserve">פוסקים מביאים דברי האו"ה שהטעם </w:t>
      </w:r>
      <w:r w:rsidR="00B34AE1" w:rsidRPr="00882F11">
        <w:rPr>
          <w:rFonts w:cs="Guttman Drogolin" w:hint="cs"/>
          <w:rtl/>
          <w:lang w:bidi="he-IL"/>
        </w:rPr>
        <w:t xml:space="preserve">שמחמירים באיסור דבוק משום שחוששים שהי' החתיכה פעם א' מחוץ לרוטב, ואז הרי הוא נאסר כיון שלא מצטרף אליו הרוטב, ולכן נע"נ ושוב לא ניתר ע"י הרוטב אפילו כשחוזר שוב לקדירה. </w:t>
      </w:r>
      <w:r w:rsidR="0071035F" w:rsidRPr="00882F11">
        <w:rPr>
          <w:rFonts w:cs="Guttman Drogolin" w:hint="cs"/>
          <w:rtl/>
          <w:lang w:bidi="he-IL"/>
        </w:rPr>
        <w:t>וע' במגי"ס (סי' צ"ב אות י"ז ס"ק ב') שהעיר שאם החש</w:t>
      </w:r>
      <w:r w:rsidR="005B791D" w:rsidRPr="00882F11">
        <w:rPr>
          <w:rFonts w:cs="Guttman Drogolin" w:hint="cs"/>
          <w:rtl/>
          <w:lang w:bidi="he-IL"/>
        </w:rPr>
        <w:t>ש משום שמא אינו ב</w:t>
      </w:r>
      <w:r w:rsidR="0071035F" w:rsidRPr="00882F11">
        <w:rPr>
          <w:rFonts w:cs="Guttman Drogolin" w:hint="cs"/>
          <w:rtl/>
          <w:lang w:bidi="he-IL"/>
        </w:rPr>
        <w:t>תוך הרוטב, למה כל החתיכה נאסרה ולא רק כדי קליפה הא אינו אלא צלי מחוץ לרוטב. וצ"ל שמ"מ יש טעם אחר למה יש לו כח להתפשט בכל החתיכה</w:t>
      </w:r>
      <w:r w:rsidR="005B791D" w:rsidRPr="00882F11">
        <w:rPr>
          <w:rFonts w:cs="Guttman Drogolin" w:hint="cs"/>
          <w:rtl/>
          <w:lang w:bidi="he-IL"/>
        </w:rPr>
        <w:t>, כמו הבל הקדרה</w:t>
      </w:r>
      <w:r w:rsidR="0071035F" w:rsidRPr="00882F11">
        <w:rPr>
          <w:rFonts w:cs="Guttman Drogolin" w:hint="cs"/>
          <w:rtl/>
          <w:lang w:bidi="he-IL"/>
        </w:rPr>
        <w:t>.</w:t>
      </w:r>
    </w:p>
    <w:p w:rsidR="0071035F" w:rsidRPr="00882F11" w:rsidRDefault="0071035F" w:rsidP="0071035F">
      <w:pPr>
        <w:bidi/>
        <w:jc w:val="both"/>
        <w:rPr>
          <w:rFonts w:cs="Guttman Drogolin"/>
          <w:rtl/>
          <w:lang w:bidi="he-IL"/>
        </w:rPr>
      </w:pPr>
      <w:r w:rsidRPr="00882F11">
        <w:rPr>
          <w:rFonts w:cs="Guttman Drogolin" w:hint="cs"/>
          <w:rtl/>
          <w:lang w:bidi="he-IL"/>
        </w:rPr>
        <w:t>ויש לזה פירוש אחר מובא בש"ך סי' ע"ב ס"ק י"ח (וכן שם בביאור הגר"א, ולקמן בסי' צ"ב כתב הטעם של האו"ה), והוא דממהר ליבלע בתוך החתיכה כיון שדבוק, ולכן נע"נ אע"ג שסופו להתפשט לאחר מכן לתוך הרוטב. והוא כעין החלב שנע"נ אע"</w:t>
      </w:r>
      <w:r w:rsidR="00FA3ADE" w:rsidRPr="00882F11">
        <w:rPr>
          <w:rFonts w:cs="Guttman Drogolin" w:hint="cs"/>
          <w:rtl/>
          <w:lang w:bidi="he-IL"/>
        </w:rPr>
        <w:t>ג שסופו להתפשט.</w:t>
      </w:r>
    </w:p>
    <w:p w:rsidR="00FA3ADE" w:rsidRPr="00882F11" w:rsidRDefault="00FA3ADE" w:rsidP="00912531">
      <w:pPr>
        <w:bidi/>
        <w:jc w:val="both"/>
        <w:rPr>
          <w:rFonts w:cs="Guttman Drogolin"/>
          <w:rtl/>
          <w:lang w:bidi="he-IL"/>
        </w:rPr>
      </w:pPr>
      <w:r w:rsidRPr="00882F11">
        <w:rPr>
          <w:rFonts w:cs="Guttman Drogolin" w:hint="cs"/>
          <w:rtl/>
          <w:lang w:bidi="he-IL"/>
        </w:rPr>
        <w:t>ונראה להדגיש שאין זה דבר מוכרח שהתוס' לא סוברים האיסור דבוק. ואע"ג שדנו למה אין מצרפין הרוטב, ולהגהות אשר"</w:t>
      </w:r>
      <w:r w:rsidR="00912531" w:rsidRPr="00882F11">
        <w:rPr>
          <w:rFonts w:cs="Guttman Drogolin" w:hint="cs"/>
          <w:rtl/>
          <w:lang w:bidi="he-IL"/>
        </w:rPr>
        <w:t>י</w:t>
      </w:r>
      <w:r w:rsidRPr="00882F11">
        <w:rPr>
          <w:rFonts w:cs="Guttman Drogolin" w:hint="cs"/>
          <w:rtl/>
          <w:lang w:bidi="he-IL"/>
        </w:rPr>
        <w:t xml:space="preserve"> הנ"ל הא לא קשה מידי, מ"מ י"ל שהקשו כן לשטת רבינו אפרים, והיינו שאם טעם החומרא של איסור דבוק משום ממהר ליבלע ונע"נ לא שייך סברא זו במתני' אלא למ"ד שאמרינן חענ"ן בשאר איסורים, אבל לרבנו אפרים ע"כ טעם בעי. אבל לעולם לחולקיים על רבינו אפרים, וכן לרבינו אפרים בב"ח שפיר שייך החומרא דאי</w:t>
      </w:r>
      <w:r w:rsidR="00FE769A" w:rsidRPr="00882F11">
        <w:rPr>
          <w:rFonts w:cs="Guttman Drogolin" w:hint="cs"/>
          <w:rtl/>
          <w:lang w:bidi="he-IL"/>
        </w:rPr>
        <w:t>ס</w:t>
      </w:r>
      <w:r w:rsidR="000C18B9" w:rsidRPr="00882F11">
        <w:rPr>
          <w:rFonts w:cs="Guttman Drogolin" w:hint="cs"/>
          <w:rtl/>
          <w:lang w:bidi="he-IL"/>
        </w:rPr>
        <w:t>ור דבוק. רק שאם</w:t>
      </w:r>
      <w:r w:rsidRPr="00882F11">
        <w:rPr>
          <w:rFonts w:cs="Guttman Drogolin" w:hint="cs"/>
          <w:rtl/>
          <w:lang w:bidi="he-IL"/>
        </w:rPr>
        <w:t xml:space="preserve"> אין לנו ראי' ממתני' באמת קשה מנ"ל להחמיר בזה. </w:t>
      </w:r>
    </w:p>
    <w:p w:rsidR="0071035F" w:rsidRPr="00882F11" w:rsidRDefault="0071035F" w:rsidP="0071035F">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99" w:name="_Toc496175359"/>
      <w:r w:rsidRPr="00882F11">
        <w:rPr>
          <w:rFonts w:asciiTheme="majorHAnsi" w:eastAsiaTheme="majorEastAsia" w:hAnsiTheme="majorHAnsi" w:cs="Guttman Drogolin" w:hint="cs"/>
          <w:b/>
          <w:bCs/>
          <w:sz w:val="24"/>
          <w:szCs w:val="24"/>
          <w:u w:val="single"/>
          <w:rtl/>
          <w:lang w:bidi="he-IL"/>
        </w:rPr>
        <w:t>שיעור האיסור של צלי</w:t>
      </w:r>
      <w:bookmarkEnd w:id="99"/>
    </w:p>
    <w:p w:rsidR="0001297F" w:rsidRPr="00882F11" w:rsidRDefault="00E22C60" w:rsidP="00DA7A9B">
      <w:pPr>
        <w:bidi/>
        <w:jc w:val="both"/>
        <w:rPr>
          <w:rFonts w:cs="Guttman Drogolin"/>
          <w:rtl/>
          <w:lang w:bidi="he-IL"/>
        </w:rPr>
      </w:pPr>
      <w:r>
        <w:rPr>
          <w:rFonts w:cs="Guttman Drogolin"/>
          <w:rtl/>
          <w:lang w:bidi="he-IL"/>
        </w:rPr>
        <w:fldChar w:fldCharType="begin"/>
      </w:r>
      <w:r>
        <w:instrText xml:space="preserve"> XE "</w:instrText>
      </w:r>
      <w:r w:rsidRPr="006163D6">
        <w:rPr>
          <w:rFonts w:hint="cs"/>
          <w:rtl/>
          <w:lang w:bidi="he-IL"/>
        </w:rPr>
        <w:instrText>צלי</w:instrText>
      </w:r>
      <w:r w:rsidRPr="006163D6">
        <w:rPr>
          <w:rtl/>
        </w:rPr>
        <w:instrText>:</w:instrText>
      </w:r>
      <w:r w:rsidRPr="006163D6">
        <w:rPr>
          <w:rFonts w:hint="cs"/>
          <w:rtl/>
          <w:lang w:bidi="he-IL"/>
        </w:rPr>
        <w:instrText>עד איזה עומק אוסר</w:instrText>
      </w:r>
      <w:r>
        <w:instrText xml:space="preserve">" </w:instrText>
      </w:r>
      <w:r>
        <w:rPr>
          <w:rFonts w:cs="Guttman Drogolin"/>
          <w:rtl/>
          <w:lang w:bidi="he-IL"/>
        </w:rPr>
        <w:fldChar w:fldCharType="end"/>
      </w:r>
      <w:r w:rsidR="0071035F" w:rsidRPr="00882F11">
        <w:rPr>
          <w:rFonts w:cs="Guttman Drogolin" w:hint="cs"/>
          <w:rtl/>
          <w:lang w:bidi="he-IL"/>
        </w:rPr>
        <w:t xml:space="preserve">בהא דמבואר במתני' </w:t>
      </w:r>
      <w:r w:rsidR="00FA3ADE" w:rsidRPr="00882F11">
        <w:rPr>
          <w:rFonts w:cs="Guttman Drogolin" w:hint="cs"/>
          <w:rtl/>
          <w:lang w:bidi="he-IL"/>
        </w:rPr>
        <w:t xml:space="preserve">שטעם הגיד מתפשט בכל החתיכה, מבואר בגמ' דהיינו רק בנתבשלו, אבל נצלו </w:t>
      </w:r>
      <w:r w:rsidR="00BA1E90" w:rsidRPr="00882F11">
        <w:rPr>
          <w:rFonts w:cs="Guttman Drogolin" w:hint="cs"/>
          <w:rtl/>
          <w:lang w:bidi="he-IL"/>
        </w:rPr>
        <w:t xml:space="preserve">"קולף ואוכל עד שמגיע לגיד". </w:t>
      </w:r>
      <w:r w:rsidR="00DA7A9B" w:rsidRPr="00882F11">
        <w:rPr>
          <w:rFonts w:cs="Guttman Drogolin" w:hint="cs"/>
          <w:rtl/>
          <w:lang w:bidi="he-IL"/>
        </w:rPr>
        <w:t xml:space="preserve">והתוס' דנו </w:t>
      </w:r>
      <w:r w:rsidR="00DA7A9B" w:rsidRPr="00882F11">
        <w:rPr>
          <w:rFonts w:cs="Guttman Drogolin" w:hint="cs"/>
          <w:rtl/>
          <w:lang w:bidi="he-IL"/>
        </w:rPr>
        <w:lastRenderedPageBreak/>
        <w:t>אם צריכים להשאיר משהו מן הבשר מסביב לגיד ומהו ה</w:t>
      </w:r>
      <w:r w:rsidR="000C18B9" w:rsidRPr="00882F11">
        <w:rPr>
          <w:rFonts w:cs="Guttman Drogolin" w:hint="cs"/>
          <w:rtl/>
          <w:lang w:bidi="he-IL"/>
        </w:rPr>
        <w:t>שיעור. וכתבו שצריכים</w:t>
      </w:r>
      <w:r w:rsidR="00912531" w:rsidRPr="00882F11">
        <w:rPr>
          <w:rFonts w:cs="Guttman Drogolin" w:hint="cs"/>
          <w:rtl/>
          <w:lang w:bidi="he-IL"/>
        </w:rPr>
        <w:t xml:space="preserve"> להשאיר כד</w:t>
      </w:r>
      <w:r w:rsidR="00DA7A9B" w:rsidRPr="00882F11">
        <w:rPr>
          <w:rFonts w:cs="Guttman Drogolin" w:hint="cs"/>
          <w:rtl/>
          <w:lang w:bidi="he-IL"/>
        </w:rPr>
        <w:t>י נטילה שהוא יותר מן השיעור דכדי קליפה. והראי' לשיעור מן המתני' שבמס' פסחים ע"ה ע"ב "נטף מרוטבו [של קרבן פסח] על החרס וחזר אליו יטול את מקומו [כיון שהרוטב לא הוי צלי אש]". וע"ש בפירש"י ששיעור נטילה הוא יותר מכדי קליפה. ואע"ג שמצאנו בעוד הרבה מקומות שלא חייבו להסיר אלא כדי קליפה, כל א' הוא מן הטעם המ</w:t>
      </w:r>
      <w:r w:rsidR="003616F8" w:rsidRPr="00882F11">
        <w:rPr>
          <w:rFonts w:cs="Guttman Drogolin" w:hint="cs"/>
          <w:rtl/>
          <w:lang w:bidi="he-IL"/>
        </w:rPr>
        <w:t>י</w:t>
      </w:r>
      <w:r w:rsidR="00DA7A9B" w:rsidRPr="00882F11">
        <w:rPr>
          <w:rFonts w:cs="Guttman Drogolin" w:hint="cs"/>
          <w:rtl/>
          <w:lang w:bidi="he-IL"/>
        </w:rPr>
        <w:t>וחד שלהם.</w:t>
      </w:r>
      <w:r w:rsidR="003616F8" w:rsidRPr="00882F11">
        <w:rPr>
          <w:rFonts w:cs="Guttman Drogolin" w:hint="cs"/>
          <w:rtl/>
          <w:lang w:bidi="he-IL"/>
        </w:rPr>
        <w:t xml:space="preserve"> הגמ' במס' פסחים דף ע"ו ע"א שחם לתוך צונן שאני התם היינו משום שאין בה החום כמו בצלי. והגמ' דלקמן בבר גוזלא שנפל לתוך כדא דכמכא שם בולע אפילו בצונן כיון דרכיך (וע' מה שהקשה רע"א על דברי התוס' כאן). והא דמבואר בדף ח' דלמ"ד בית השחיטה רותח שאינו צריך אלא כדי קליפה, שם היינו משום שאינו אלא משהו בעלמא. וכל זה בכחוש, אבל שמן מתפשט בכולו אפילו בצלי, וע' בתוס' בד"ה שאני שכתבו דע"כ הגמ' במס' פסחים הנ"ל שאינו מחייב אלא נטילת מקום בנטף מרוטבו על החרס היינו משום דרוטב אינו מפעפע.</w:t>
      </w:r>
      <w:r w:rsidR="0001297F" w:rsidRPr="00882F11">
        <w:rPr>
          <w:rFonts w:cs="Guttman Drogolin" w:hint="cs"/>
          <w:rtl/>
          <w:lang w:bidi="he-IL"/>
        </w:rPr>
        <w:t xml:space="preserve"> ויוצא לשיטת התוס' שמש"כ בגמ' 'קולף' אין לזה שום שייכות לגמות מן ההיתר שנאסר מן האיסור בדך צלי, רק שפשוט צריכים 'לקלוף' ולהסיר את ההיתר מן האיסור כדי לאוכלו, וכן פי' בהדיא בפי' רגמ"ה. </w:t>
      </w:r>
      <w:r w:rsidR="00E82DA1" w:rsidRPr="00882F11">
        <w:rPr>
          <w:rFonts w:cs="Guttman Drogolin" w:hint="cs"/>
          <w:rtl/>
          <w:lang w:bidi="he-IL"/>
        </w:rPr>
        <w:t>וע' מהרש"א שדן במליח ם גם הו דינו בכדי נטילה או"ד שמליח לכו"ע בכדי קליפה, וכן מבואר ברא"ש.</w:t>
      </w:r>
    </w:p>
    <w:p w:rsidR="006A738D" w:rsidRPr="00882F11" w:rsidRDefault="0001297F" w:rsidP="00827624">
      <w:pPr>
        <w:bidi/>
        <w:jc w:val="both"/>
        <w:rPr>
          <w:rFonts w:cs="Guttman Drogolin"/>
          <w:rtl/>
          <w:lang w:bidi="he-IL"/>
        </w:rPr>
      </w:pPr>
      <w:r w:rsidRPr="00882F11">
        <w:rPr>
          <w:rFonts w:cs="Guttman Drogolin" w:hint="cs"/>
          <w:rtl/>
          <w:lang w:bidi="he-IL"/>
        </w:rPr>
        <w:t>והרשב"א למד את הסוגיא באופן אחר. שבתוה"א הוכיח מכמה מק</w:t>
      </w:r>
      <w:r w:rsidR="00827624" w:rsidRPr="00882F11">
        <w:rPr>
          <w:rFonts w:cs="Guttman Drogolin" w:hint="cs"/>
          <w:rtl/>
          <w:lang w:bidi="he-IL"/>
        </w:rPr>
        <w:t>ו</w:t>
      </w:r>
      <w:r w:rsidRPr="00882F11">
        <w:rPr>
          <w:rFonts w:cs="Guttman Drogolin" w:hint="cs"/>
          <w:rtl/>
          <w:lang w:bidi="he-IL"/>
        </w:rPr>
        <w:t xml:space="preserve">מות שהשיעור איסור שע"י צלי הוא בקליפה. </w:t>
      </w:r>
      <w:r w:rsidR="00866725" w:rsidRPr="00882F11">
        <w:rPr>
          <w:rFonts w:cs="Guttman Drogolin" w:hint="cs"/>
          <w:rtl/>
          <w:lang w:bidi="he-IL"/>
        </w:rPr>
        <w:t xml:space="preserve">והא דאמרינן במס' פסחים שהשיעור הוא בכד נטילה, כתב הרשב"א שרוטב הוי דבר המפעפע ודלא כמש"כ התוס', ובדבר המפעפע צריכים יותר, ולכן צריך כדי נטילת מקום. </w:t>
      </w:r>
      <w:r w:rsidR="00D21E79" w:rsidRPr="00882F11">
        <w:rPr>
          <w:rFonts w:cs="Guttman Drogolin" w:hint="cs"/>
          <w:rtl/>
          <w:lang w:bidi="he-IL"/>
        </w:rPr>
        <w:t>וכי תימא דהא מבואר בגמ' שאם יש בה כדי לפעפע הרי זה מפעפע בכולו, סבר הרשב"א דנפק"מ בכה"ג שיש בחתיכה כולה ששים כנגד האיסור, ולכן לענין זה שמפעפע</w:t>
      </w:r>
      <w:r w:rsidR="00866725" w:rsidRPr="00882F11">
        <w:rPr>
          <w:rFonts w:cs="Guttman Drogolin" w:hint="cs"/>
          <w:rtl/>
          <w:lang w:bidi="he-IL"/>
        </w:rPr>
        <w:t xml:space="preserve"> </w:t>
      </w:r>
      <w:r w:rsidR="00D21E79" w:rsidRPr="00882F11">
        <w:rPr>
          <w:rFonts w:cs="Guttman Drogolin" w:hint="cs"/>
          <w:rtl/>
          <w:lang w:bidi="he-IL"/>
        </w:rPr>
        <w:t>בכל החתיכה הרי זה בטל בששים, ומ"מ הרי זה אוסר בכדי נטילה</w:t>
      </w:r>
      <w:r w:rsidRPr="00882F11">
        <w:rPr>
          <w:rFonts w:cs="Guttman Drogolin" w:hint="cs"/>
          <w:rtl/>
          <w:lang w:bidi="he-IL"/>
        </w:rPr>
        <w:t xml:space="preserve"> </w:t>
      </w:r>
      <w:r w:rsidR="00D21E79" w:rsidRPr="00882F11">
        <w:rPr>
          <w:rFonts w:cs="Guttman Drogolin" w:hint="cs"/>
          <w:rtl/>
          <w:lang w:bidi="he-IL"/>
        </w:rPr>
        <w:t>ולא מהני לה ששים שבחתיכה. וע"ש בבדק הבית שתמה שאם דינו בשיים למה צריכים</w:t>
      </w:r>
      <w:r w:rsidR="000C18B9" w:rsidRPr="00882F11">
        <w:rPr>
          <w:rFonts w:cs="Guttman Drogolin" w:hint="cs"/>
          <w:rtl/>
          <w:lang w:bidi="he-IL"/>
        </w:rPr>
        <w:t xml:space="preserve"> </w:t>
      </w:r>
      <w:r w:rsidR="00D21E79" w:rsidRPr="00882F11">
        <w:rPr>
          <w:rFonts w:cs="Guttman Drogolin" w:hint="cs"/>
          <w:rtl/>
          <w:lang w:bidi="he-IL"/>
        </w:rPr>
        <w:lastRenderedPageBreak/>
        <w:t xml:space="preserve">להסיר כלום הא בטל. ויעוין בחי' הרשב"א לעיל בדף ח' בסוגיא דבית השחיטה רותח ד"ה קשיא (ושם כנראה הסתפק ביסוד הנ"ל) שביאר </w:t>
      </w:r>
      <w:r w:rsidR="006A738D" w:rsidRPr="00882F11">
        <w:rPr>
          <w:rFonts w:cs="Guttman Drogolin" w:hint="cs"/>
          <w:rtl/>
          <w:lang w:bidi="he-IL"/>
        </w:rPr>
        <w:t>"צריך הוא מיהא קליפה דלא גרע מאיסור שאינו מפעפע שצריך קליפה". וע"ש שהוכיח כיסוד זה ממתני' דמס' פסחים הנ"ל, וצ"ע דהא התם השיעור הוא בכדי נטילה, והכא כתב שהשיעור הוא בנטילה.</w:t>
      </w:r>
      <w:r w:rsidR="003616F8" w:rsidRPr="00882F11">
        <w:rPr>
          <w:rFonts w:cs="Guttman Drogolin" w:hint="cs"/>
          <w:rtl/>
          <w:lang w:bidi="he-IL"/>
        </w:rPr>
        <w:t xml:space="preserve"> </w:t>
      </w:r>
      <w:r w:rsidR="006A738D" w:rsidRPr="00882F11">
        <w:rPr>
          <w:rFonts w:cs="Guttman Drogolin" w:hint="cs"/>
          <w:rtl/>
          <w:lang w:bidi="he-IL"/>
        </w:rPr>
        <w:t>ומ"מ הביאור בדבריו דהא דיש איסור כח להתפשט משום שמפעפע, אין זה די</w:t>
      </w:r>
      <w:r w:rsidR="00EE4458" w:rsidRPr="00882F11">
        <w:rPr>
          <w:rFonts w:cs="Guttman Drogolin" w:hint="cs"/>
          <w:rtl/>
          <w:lang w:bidi="he-IL"/>
        </w:rPr>
        <w:t>ן לקולא על צלי בדבר כחוש, רק לח</w:t>
      </w:r>
      <w:r w:rsidR="006A738D" w:rsidRPr="00882F11">
        <w:rPr>
          <w:rFonts w:cs="Guttman Drogolin" w:hint="cs"/>
          <w:rtl/>
          <w:lang w:bidi="he-IL"/>
        </w:rPr>
        <w:t>ומרא, אבל לעולם בצלי יש כח שיבלע יותר בכדי קליפה שלו ולכן הוא לעולם אסור. ומיני' גם לרשב"א בתוה"א שבדבר המפעפע חוץ מזה שיש לו כח להתפשט בכל ה</w:t>
      </w:r>
      <w:r w:rsidR="00483922" w:rsidRPr="00882F11">
        <w:rPr>
          <w:rFonts w:cs="Guttman Drogolin" w:hint="cs"/>
          <w:rtl/>
          <w:lang w:bidi="he-IL"/>
        </w:rPr>
        <w:t>חתיכה, יש</w:t>
      </w:r>
      <w:r w:rsidR="006A738D" w:rsidRPr="00882F11">
        <w:rPr>
          <w:rFonts w:cs="Guttman Drogolin" w:hint="cs"/>
          <w:rtl/>
          <w:lang w:bidi="he-IL"/>
        </w:rPr>
        <w:t xml:space="preserve"> לו כח לאסור יותר מכל צלי ואוסר כדי נטילה.</w:t>
      </w:r>
    </w:p>
    <w:p w:rsidR="006A738D" w:rsidRPr="00882F11" w:rsidRDefault="006A738D" w:rsidP="006A738D">
      <w:pPr>
        <w:bidi/>
        <w:jc w:val="both"/>
        <w:rPr>
          <w:rFonts w:cs="Guttman Drogolin"/>
          <w:rtl/>
          <w:lang w:bidi="he-IL"/>
        </w:rPr>
      </w:pPr>
      <w:r w:rsidRPr="00882F11">
        <w:rPr>
          <w:rFonts w:cs="Guttman Drogolin" w:hint="cs"/>
          <w:rtl/>
          <w:lang w:bidi="he-IL"/>
        </w:rPr>
        <w:t xml:space="preserve">וברשב"א מדויק חידוש בפשט דברי הגמ', שהרגמ"ה ותוס' למדו ד'קולף' אין לו שייכות לשיעור שצריכים להשאיר לבסוף, אבל הרשב"א למד שזהו גופא כוונת הגמ' ב'קולף', דהיינו שצריכים להשאיר כי קליפה, וע"ש בבדק הבית שחלק עליו בפירוש זה וביאר כש"נ לעיל. </w:t>
      </w:r>
    </w:p>
    <w:p w:rsidR="003F720C" w:rsidRPr="00882F11" w:rsidRDefault="006A738D" w:rsidP="006A738D">
      <w:pPr>
        <w:bidi/>
        <w:jc w:val="both"/>
        <w:rPr>
          <w:rFonts w:cs="Guttman Drogolin"/>
          <w:color w:val="FF0000"/>
          <w:sz w:val="28"/>
          <w:szCs w:val="28"/>
          <w:rtl/>
          <w:lang w:bidi="he-IL"/>
        </w:rPr>
      </w:pPr>
      <w:r w:rsidRPr="00882F11">
        <w:rPr>
          <w:rFonts w:cs="Guttman Drogolin" w:hint="cs"/>
          <w:rtl/>
          <w:lang w:bidi="he-IL"/>
        </w:rPr>
        <w:t xml:space="preserve">ושיטה שלישית יש לנו שם ברא"ה, שלמד שבכה"ג שיש דבר מפעפע, לא מהני לן אפילו שיעור ששים. והטעם שאמנם מתפשט הוא, לא אמרינן שהוא מתפשט בשוה, ולכן תמיד צריכם לחשוש שיש טעם במקום אחד ולכן צריכים לאסור את כולו. ומקשים על הרא"ה שמ"מ אם יש פעמיים ששיים ליהוי בטל ברוב, דהא ע"כ ברוב המקומות ליכא טעם והוי יבש ביבש שבטל ברוב. וע' מש"כ בזה רע"א בסי' ק"ה סע' ט'. ולדבריו צריכים לומר כתי' הראשון בתוד"ה ההוא, ודו"ק. </w:t>
      </w:r>
      <w:r w:rsidR="00DA7A9B" w:rsidRPr="00882F11">
        <w:rPr>
          <w:rFonts w:cs="Guttman Drogolin" w:hint="cs"/>
          <w:rtl/>
          <w:lang w:bidi="he-IL"/>
        </w:rPr>
        <w:t xml:space="preserve"> </w:t>
      </w:r>
      <w:r w:rsidR="00087D1A" w:rsidRPr="00882F11">
        <w:rPr>
          <w:rFonts w:cs="Guttman Drogolin" w:hint="cs"/>
          <w:color w:val="FF0000"/>
          <w:sz w:val="28"/>
          <w:szCs w:val="28"/>
          <w:rtl/>
          <w:lang w:bidi="he-IL"/>
        </w:rPr>
        <w:t xml:space="preserve"> </w:t>
      </w:r>
    </w:p>
    <w:p w:rsidR="007E1A19" w:rsidRPr="00882F11" w:rsidRDefault="007E1A19" w:rsidP="007E1A19">
      <w:pPr>
        <w:bidi/>
        <w:jc w:val="both"/>
        <w:rPr>
          <w:rFonts w:cs="Guttman Drogolin"/>
          <w:color w:val="FF0000"/>
          <w:sz w:val="28"/>
          <w:szCs w:val="28"/>
          <w:rtl/>
          <w:lang w:bidi="he-IL"/>
        </w:rPr>
        <w:sectPr w:rsidR="007E1A19" w:rsidRPr="00882F11" w:rsidSect="000F6DEF">
          <w:type w:val="continuous"/>
          <w:pgSz w:w="11907" w:h="16839" w:code="9"/>
          <w:pgMar w:top="1440" w:right="1440" w:bottom="1440" w:left="1440" w:header="720" w:footer="720" w:gutter="0"/>
          <w:cols w:num="2" w:space="720"/>
          <w:bidi/>
          <w:docGrid w:linePitch="360"/>
        </w:sectPr>
      </w:pPr>
    </w:p>
    <w:p w:rsidR="007E1A19" w:rsidRPr="00882F11" w:rsidRDefault="007E1A19" w:rsidP="007E1A19">
      <w:pPr>
        <w:keepNext/>
        <w:tabs>
          <w:tab w:val="left" w:pos="3818"/>
          <w:tab w:val="center" w:pos="4680"/>
        </w:tabs>
        <w:bidi/>
        <w:jc w:val="center"/>
        <w:rPr>
          <w:rFonts w:cs="Guttman Drogolin"/>
          <w:b/>
          <w:bCs/>
          <w:sz w:val="24"/>
          <w:szCs w:val="24"/>
          <w:rtl/>
        </w:rPr>
      </w:pPr>
      <w:r w:rsidRPr="00882F11">
        <w:rPr>
          <w:rFonts w:cs="Guttman Drogolin" w:hint="cs"/>
          <w:b/>
          <w:bCs/>
          <w:sz w:val="48"/>
          <w:szCs w:val="48"/>
          <w:rtl/>
          <w:lang w:bidi="he-IL"/>
        </w:rPr>
        <w:lastRenderedPageBreak/>
        <w:t>שיעור כ</w:t>
      </w:r>
      <w:r w:rsidRPr="00882F11">
        <w:rPr>
          <w:rFonts w:cs="Guttman Drogolin" w:hint="cs"/>
          <w:b/>
          <w:bCs/>
          <w:sz w:val="48"/>
          <w:szCs w:val="48"/>
          <w:rtl/>
        </w:rPr>
        <w:t>"</w:t>
      </w:r>
      <w:r w:rsidRPr="00882F11">
        <w:rPr>
          <w:rFonts w:cs="Guttman Drogolin" w:hint="cs"/>
          <w:b/>
          <w:bCs/>
          <w:sz w:val="48"/>
          <w:szCs w:val="48"/>
          <w:rtl/>
          <w:lang w:bidi="he-IL"/>
        </w:rPr>
        <w:t>ה</w:t>
      </w:r>
    </w:p>
    <w:p w:rsidR="000F6DEF" w:rsidRDefault="000F6DEF" w:rsidP="00E82DA1">
      <w:pPr>
        <w:keepNext/>
        <w:keepLines/>
        <w:bidi/>
        <w:spacing w:after="0" w:line="360" w:lineRule="auto"/>
        <w:jc w:val="center"/>
        <w:outlineLvl w:val="0"/>
        <w:rPr>
          <w:rFonts w:asciiTheme="majorHAnsi" w:eastAsiaTheme="majorEastAsia" w:hAnsiTheme="majorHAnsi" w:cs="Guttman Drogolin"/>
          <w:b/>
          <w:bCs/>
          <w:sz w:val="18"/>
          <w:szCs w:val="18"/>
          <w:u w:val="single"/>
          <w:rtl/>
          <w:lang w:bidi="he-IL"/>
        </w:rPr>
        <w:sectPr w:rsidR="000F6DEF" w:rsidSect="000F6DEF">
          <w:headerReference w:type="default" r:id="rId24"/>
          <w:pgSz w:w="11907" w:h="16839" w:code="9"/>
          <w:pgMar w:top="1440" w:right="1440" w:bottom="1440" w:left="1440" w:header="720" w:footer="720" w:gutter="0"/>
          <w:cols w:space="720"/>
          <w:bidi/>
          <w:docGrid w:linePitch="360"/>
        </w:sectPr>
      </w:pPr>
    </w:p>
    <w:p w:rsidR="007E1A19" w:rsidRPr="000F6DEF" w:rsidRDefault="00E82DA1" w:rsidP="00E82DA1">
      <w:pPr>
        <w:keepNext/>
        <w:keepLines/>
        <w:bidi/>
        <w:spacing w:after="0" w:line="360" w:lineRule="auto"/>
        <w:jc w:val="center"/>
        <w:outlineLvl w:val="0"/>
        <w:rPr>
          <w:rFonts w:asciiTheme="majorHAnsi" w:eastAsiaTheme="majorEastAsia" w:hAnsiTheme="majorHAnsi" w:cs="Guttman Drogolin"/>
          <w:b/>
          <w:bCs/>
          <w:sz w:val="18"/>
          <w:szCs w:val="18"/>
          <w:u w:val="single"/>
          <w:rtl/>
        </w:rPr>
      </w:pPr>
      <w:bookmarkStart w:id="100" w:name="_Toc496175360"/>
      <w:r w:rsidRPr="000F6DEF">
        <w:rPr>
          <w:rFonts w:asciiTheme="majorHAnsi" w:eastAsiaTheme="majorEastAsia" w:hAnsiTheme="majorHAnsi" w:cs="Guttman Drogolin" w:hint="cs"/>
          <w:b/>
          <w:bCs/>
          <w:sz w:val="18"/>
          <w:szCs w:val="18"/>
          <w:u w:val="single"/>
          <w:rtl/>
          <w:lang w:bidi="he-IL"/>
        </w:rPr>
        <w:lastRenderedPageBreak/>
        <w:t>סוגיית הגמ' דכילכית באילפס, וביאור הלשון דנותן טעם</w:t>
      </w:r>
      <w:bookmarkEnd w:id="100"/>
    </w:p>
    <w:p w:rsidR="00C803C5" w:rsidRPr="00882F11" w:rsidRDefault="00E22C60" w:rsidP="001E0BFE">
      <w:pPr>
        <w:bidi/>
        <w:jc w:val="both"/>
        <w:rPr>
          <w:rFonts w:cs="Guttman Drogolin"/>
          <w:rtl/>
          <w:lang w:bidi="he-IL"/>
        </w:rPr>
      </w:pPr>
      <w:r>
        <w:rPr>
          <w:rFonts w:cs="Guttman Drogolin"/>
          <w:rtl/>
          <w:lang w:bidi="he-IL"/>
        </w:rPr>
        <w:fldChar w:fldCharType="begin"/>
      </w:r>
      <w:r>
        <w:instrText xml:space="preserve"> XE "</w:instrText>
      </w:r>
      <w:r w:rsidRPr="000E61C7">
        <w:rPr>
          <w:rFonts w:hint="cs"/>
          <w:rtl/>
          <w:lang w:bidi="he-IL"/>
        </w:rPr>
        <w:instrText>צלי</w:instrText>
      </w:r>
      <w:r w:rsidRPr="000E61C7">
        <w:rPr>
          <w:rtl/>
        </w:rPr>
        <w:instrText>:</w:instrText>
      </w:r>
      <w:r w:rsidRPr="000E61C7">
        <w:rPr>
          <w:rFonts w:hint="cs"/>
          <w:rtl/>
          <w:lang w:bidi="he-IL"/>
        </w:rPr>
        <w:instrText>עד איזה עומק אוסר</w:instrText>
      </w:r>
      <w:r>
        <w:instrText xml:space="preserve">" </w:instrText>
      </w:r>
      <w:r>
        <w:rPr>
          <w:rFonts w:cs="Guttman Drogolin"/>
          <w:rtl/>
          <w:lang w:bidi="he-IL"/>
        </w:rPr>
        <w:fldChar w:fldCharType="end"/>
      </w:r>
      <w:r w:rsidR="003D7859" w:rsidRPr="00882F11">
        <w:rPr>
          <w:rFonts w:cs="Guttman Drogolin" w:hint="cs"/>
          <w:rtl/>
          <w:lang w:bidi="he-IL"/>
        </w:rPr>
        <w:t>הגמ' חילקה בין צלי' לבישול, שבישול מתפשט בכולו ואילו בצלי' 'קולף' (ובשיעור הקודם ביארנו מה זה קולף). והגמ' שואלת על זה מגדי שצלאו בחלבו ד</w:t>
      </w:r>
      <w:r w:rsidR="00E82DA1" w:rsidRPr="00882F11">
        <w:rPr>
          <w:rFonts w:cs="Guttman Drogolin" w:hint="cs"/>
          <w:rtl/>
          <w:lang w:bidi="he-IL"/>
        </w:rPr>
        <w:t>ח</w:t>
      </w:r>
      <w:r w:rsidR="003D7859" w:rsidRPr="00882F11">
        <w:rPr>
          <w:rFonts w:cs="Guttman Drogolin" w:hint="cs"/>
          <w:rtl/>
          <w:lang w:bidi="he-IL"/>
        </w:rPr>
        <w:t>זינן מיני' שגם בצלי' הרי הוא מתפשט בכולו. ומתרצת הגמ' דשאני התם דמפעפע. ועל זה מקשה הגמ' ממעשה דהוה קמי' לדר' יוחנן ב</w:t>
      </w:r>
      <w:r w:rsidR="001E0BFE" w:rsidRPr="00882F11">
        <w:rPr>
          <w:rFonts w:cs="Guttman Drogolin" w:hint="cs"/>
          <w:rtl/>
          <w:lang w:bidi="he-IL"/>
        </w:rPr>
        <w:t>ג</w:t>
      </w:r>
      <w:r w:rsidR="003D7859" w:rsidRPr="00882F11">
        <w:rPr>
          <w:rFonts w:cs="Guttman Drogolin" w:hint="cs"/>
          <w:rtl/>
          <w:lang w:bidi="he-IL"/>
        </w:rPr>
        <w:t>די שצלאו בחלבו והתירו לקלוף</w:t>
      </w:r>
      <w:r w:rsidR="003D7859" w:rsidRPr="00882F11">
        <w:rPr>
          <w:rStyle w:val="FootnoteReference"/>
          <w:rFonts w:cs="Guttman Drogolin"/>
          <w:rtl/>
          <w:lang w:bidi="he-IL"/>
        </w:rPr>
        <w:footnoteReference w:id="115"/>
      </w:r>
      <w:r w:rsidR="003D7859" w:rsidRPr="00882F11">
        <w:rPr>
          <w:rFonts w:cs="Guttman Drogolin" w:hint="cs"/>
          <w:rtl/>
          <w:lang w:bidi="he-IL"/>
        </w:rPr>
        <w:t xml:space="preserve">, ויש לזה כמה תירוצים בגמ'. או דשאני חלב כחוש מחלב שמן, דרק חלב שמן מפעפע. או"ד שבהא שהתירו לקלוף מיירי בכוליא בחלבה, דכיון שיש קרום המפסיק אינו מפעפע. ורבין בר </w:t>
      </w:r>
      <w:r w:rsidR="00E61F79" w:rsidRPr="00882F11">
        <w:rPr>
          <w:rFonts w:cs="Guttman Drogolin" w:hint="cs"/>
          <w:rtl/>
          <w:lang w:bidi="he-IL"/>
        </w:rPr>
        <w:t xml:space="preserve">רב </w:t>
      </w:r>
      <w:r w:rsidR="003D7859" w:rsidRPr="00882F11">
        <w:rPr>
          <w:rFonts w:cs="Guttman Drogolin" w:hint="cs"/>
          <w:rtl/>
          <w:lang w:bidi="he-IL"/>
        </w:rPr>
        <w:t>אדא פירש דמיירי בכילכית באילפס שבא</w:t>
      </w:r>
      <w:r w:rsidR="001E0BFE" w:rsidRPr="00882F11">
        <w:rPr>
          <w:rFonts w:cs="Guttman Drogolin" w:hint="cs"/>
          <w:rtl/>
          <w:lang w:bidi="he-IL"/>
        </w:rPr>
        <w:t>ו</w:t>
      </w:r>
      <w:r w:rsidR="003D7859" w:rsidRPr="00882F11">
        <w:rPr>
          <w:rFonts w:cs="Guttman Drogolin" w:hint="cs"/>
          <w:rtl/>
          <w:lang w:bidi="he-IL"/>
        </w:rPr>
        <w:t xml:space="preserve"> ושאלו לר' יוחנן והתיר ע"י טעימת קפילא ארמאה. וע' בח</w:t>
      </w:r>
      <w:r w:rsidR="001E0BFE" w:rsidRPr="00882F11">
        <w:rPr>
          <w:rFonts w:cs="Guttman Drogolin" w:hint="cs"/>
          <w:rtl/>
          <w:lang w:bidi="he-IL"/>
        </w:rPr>
        <w:t>י</w:t>
      </w:r>
      <w:r w:rsidR="003D7859" w:rsidRPr="00882F11">
        <w:rPr>
          <w:rFonts w:cs="Guttman Drogolin" w:hint="cs"/>
          <w:rtl/>
          <w:lang w:bidi="he-IL"/>
        </w:rPr>
        <w:t>' הריטב"א שהעיר דלא יתכן שזהו יישוב לקושיא מדר' יוחנן, דהא ההוא מעשה דר' יוחנן הי' בגדי שצלאו בחלבו, רק ש</w:t>
      </w:r>
      <w:r w:rsidR="00E61F79" w:rsidRPr="00882F11">
        <w:rPr>
          <w:rFonts w:cs="Guttman Drogolin" w:hint="cs"/>
          <w:rtl/>
          <w:lang w:bidi="he-IL"/>
        </w:rPr>
        <w:t xml:space="preserve">זאת היתה </w:t>
      </w:r>
      <w:r w:rsidR="003D7859" w:rsidRPr="00882F11">
        <w:rPr>
          <w:rFonts w:cs="Guttman Drogolin" w:hint="cs"/>
          <w:rtl/>
          <w:lang w:bidi="he-IL"/>
        </w:rPr>
        <w:t>מימרא אחר ששאלו באותו מעמד.</w:t>
      </w:r>
      <w:r w:rsidR="00E61F79" w:rsidRPr="00882F11">
        <w:rPr>
          <w:rFonts w:cs="Guttman Drogolin" w:hint="cs"/>
          <w:rtl/>
          <w:lang w:bidi="he-IL"/>
        </w:rPr>
        <w:t xml:space="preserve"> ומכח </w:t>
      </w:r>
      <w:r w:rsidR="001E0BFE" w:rsidRPr="00882F11">
        <w:rPr>
          <w:rFonts w:cs="Guttman Drogolin" w:hint="cs"/>
          <w:rtl/>
          <w:lang w:bidi="he-IL"/>
        </w:rPr>
        <w:t xml:space="preserve">המימרא דרבין בר רב אדא אמר רבא </w:t>
      </w:r>
      <w:r w:rsidR="00E61F79" w:rsidRPr="00882F11">
        <w:rPr>
          <w:rFonts w:cs="Guttman Drogolin" w:hint="cs"/>
          <w:rtl/>
          <w:lang w:bidi="he-IL"/>
        </w:rPr>
        <w:t xml:space="preserve">שיש לו יישוב לדברי הברייתא שכתוב בה </w:t>
      </w:r>
      <w:r w:rsidR="00C803C5" w:rsidRPr="00882F11">
        <w:rPr>
          <w:rFonts w:cs="Guttman Drogolin" w:hint="cs"/>
          <w:rtl/>
          <w:lang w:bidi="he-IL"/>
        </w:rPr>
        <w:t>"קדרה</w:t>
      </w:r>
      <w:r w:rsidR="00C803C5" w:rsidRPr="00882F11">
        <w:rPr>
          <w:rFonts w:cs="Guttman Drogolin"/>
          <w:rtl/>
          <w:lang w:bidi="he-IL"/>
        </w:rPr>
        <w:t xml:space="preserve"> </w:t>
      </w:r>
      <w:r w:rsidR="00C803C5" w:rsidRPr="00882F11">
        <w:rPr>
          <w:rFonts w:cs="Guttman Drogolin" w:hint="cs"/>
          <w:rtl/>
          <w:lang w:bidi="he-IL"/>
        </w:rPr>
        <w:t>שבשל</w:t>
      </w:r>
      <w:r w:rsidR="00C803C5" w:rsidRPr="00882F11">
        <w:rPr>
          <w:rFonts w:cs="Guttman Drogolin"/>
          <w:rtl/>
          <w:lang w:bidi="he-IL"/>
        </w:rPr>
        <w:t xml:space="preserve"> </w:t>
      </w:r>
      <w:r w:rsidR="00C803C5" w:rsidRPr="00882F11">
        <w:rPr>
          <w:rFonts w:cs="Guttman Drogolin" w:hint="cs"/>
          <w:rtl/>
          <w:lang w:bidi="he-IL"/>
        </w:rPr>
        <w:t>בה</w:t>
      </w:r>
      <w:r w:rsidR="00C803C5" w:rsidRPr="00882F11">
        <w:rPr>
          <w:rFonts w:cs="Guttman Drogolin"/>
          <w:rtl/>
          <w:lang w:bidi="he-IL"/>
        </w:rPr>
        <w:t xml:space="preserve"> </w:t>
      </w:r>
      <w:r w:rsidR="00C803C5" w:rsidRPr="00882F11">
        <w:rPr>
          <w:rFonts w:cs="Guttman Drogolin" w:hint="cs"/>
          <w:rtl/>
          <w:lang w:bidi="he-IL"/>
        </w:rPr>
        <w:t>בשר</w:t>
      </w:r>
      <w:r w:rsidR="00C803C5" w:rsidRPr="00882F11">
        <w:rPr>
          <w:rFonts w:cs="Guttman Drogolin"/>
          <w:rtl/>
          <w:lang w:bidi="he-IL"/>
        </w:rPr>
        <w:t xml:space="preserve"> </w:t>
      </w:r>
      <w:r w:rsidR="00C803C5" w:rsidRPr="00882F11">
        <w:rPr>
          <w:rFonts w:cs="Guttman Drogolin" w:hint="cs"/>
          <w:rtl/>
          <w:lang w:bidi="he-IL"/>
        </w:rPr>
        <w:t>לא</w:t>
      </w:r>
      <w:r w:rsidR="00C803C5" w:rsidRPr="00882F11">
        <w:rPr>
          <w:rFonts w:cs="Guttman Drogolin"/>
          <w:rtl/>
          <w:lang w:bidi="he-IL"/>
        </w:rPr>
        <w:t xml:space="preserve"> </w:t>
      </w:r>
      <w:r w:rsidR="00C803C5" w:rsidRPr="00882F11">
        <w:rPr>
          <w:rFonts w:cs="Guttman Drogolin" w:hint="cs"/>
          <w:rtl/>
          <w:lang w:bidi="he-IL"/>
        </w:rPr>
        <w:t>יבשל</w:t>
      </w:r>
      <w:r w:rsidR="00C803C5" w:rsidRPr="00882F11">
        <w:rPr>
          <w:rFonts w:cs="Guttman Drogolin"/>
          <w:rtl/>
          <w:lang w:bidi="he-IL"/>
        </w:rPr>
        <w:t xml:space="preserve"> </w:t>
      </w:r>
      <w:r w:rsidR="00C803C5" w:rsidRPr="00882F11">
        <w:rPr>
          <w:rFonts w:cs="Guttman Drogolin" w:hint="cs"/>
          <w:rtl/>
          <w:lang w:bidi="he-IL"/>
        </w:rPr>
        <w:t>בה</w:t>
      </w:r>
      <w:r w:rsidR="00C803C5" w:rsidRPr="00882F11">
        <w:rPr>
          <w:rFonts w:cs="Guttman Drogolin"/>
          <w:rtl/>
          <w:lang w:bidi="he-IL"/>
        </w:rPr>
        <w:t xml:space="preserve"> </w:t>
      </w:r>
      <w:r w:rsidR="00C803C5" w:rsidRPr="00882F11">
        <w:rPr>
          <w:rFonts w:cs="Guttman Drogolin" w:hint="cs"/>
          <w:rtl/>
          <w:lang w:bidi="he-IL"/>
        </w:rPr>
        <w:t>חלב</w:t>
      </w:r>
      <w:r w:rsidR="00C803C5" w:rsidRPr="00882F11">
        <w:rPr>
          <w:rFonts w:cs="Guttman Drogolin"/>
          <w:rtl/>
          <w:lang w:bidi="he-IL"/>
        </w:rPr>
        <w:t xml:space="preserve"> </w:t>
      </w:r>
      <w:r w:rsidR="00C803C5" w:rsidRPr="00882F11">
        <w:rPr>
          <w:rFonts w:cs="Guttman Drogolin" w:hint="cs"/>
          <w:rtl/>
          <w:lang w:bidi="he-IL"/>
        </w:rPr>
        <w:t>ואם</w:t>
      </w:r>
      <w:r w:rsidR="00C803C5" w:rsidRPr="00882F11">
        <w:rPr>
          <w:rFonts w:cs="Guttman Drogolin"/>
          <w:rtl/>
          <w:lang w:bidi="he-IL"/>
        </w:rPr>
        <w:t xml:space="preserve"> </w:t>
      </w:r>
      <w:r w:rsidR="00C803C5" w:rsidRPr="00882F11">
        <w:rPr>
          <w:rFonts w:cs="Guttman Drogolin" w:hint="cs"/>
          <w:rtl/>
          <w:lang w:bidi="he-IL"/>
        </w:rPr>
        <w:t>בשל</w:t>
      </w:r>
      <w:r w:rsidR="00C803C5" w:rsidRPr="00882F11">
        <w:rPr>
          <w:rFonts w:cs="Guttman Drogolin"/>
          <w:rtl/>
          <w:lang w:bidi="he-IL"/>
        </w:rPr>
        <w:t xml:space="preserve"> </w:t>
      </w:r>
      <w:r w:rsidR="00C803C5" w:rsidRPr="00882F11">
        <w:rPr>
          <w:rFonts w:cs="Guttman Drogolin" w:hint="cs"/>
          <w:rtl/>
          <w:lang w:bidi="he-IL"/>
        </w:rPr>
        <w:t>בנותן</w:t>
      </w:r>
      <w:r w:rsidR="00C803C5" w:rsidRPr="00882F11">
        <w:rPr>
          <w:rFonts w:cs="Guttman Drogolin"/>
          <w:rtl/>
          <w:lang w:bidi="he-IL"/>
        </w:rPr>
        <w:t xml:space="preserve"> </w:t>
      </w:r>
      <w:r w:rsidR="00C803C5" w:rsidRPr="00882F11">
        <w:rPr>
          <w:rFonts w:cs="Guttman Drogolin" w:hint="cs"/>
          <w:rtl/>
          <w:lang w:bidi="he-IL"/>
        </w:rPr>
        <w:t>טעם</w:t>
      </w:r>
      <w:r w:rsidR="00C803C5" w:rsidRPr="00882F11">
        <w:rPr>
          <w:rFonts w:cs="Guttman Drogolin"/>
          <w:rtl/>
          <w:lang w:bidi="he-IL"/>
        </w:rPr>
        <w:t xml:space="preserve"> </w:t>
      </w:r>
      <w:r w:rsidR="00C803C5" w:rsidRPr="00882F11">
        <w:rPr>
          <w:rFonts w:cs="Guttman Drogolin" w:hint="cs"/>
          <w:rtl/>
          <w:lang w:bidi="he-IL"/>
        </w:rPr>
        <w:t>תרומה</w:t>
      </w:r>
      <w:r w:rsidR="00C803C5" w:rsidRPr="00882F11">
        <w:rPr>
          <w:rFonts w:cs="Guttman Drogolin"/>
          <w:rtl/>
          <w:lang w:bidi="he-IL"/>
        </w:rPr>
        <w:t xml:space="preserve"> </w:t>
      </w:r>
      <w:r w:rsidR="00C803C5" w:rsidRPr="00882F11">
        <w:rPr>
          <w:rFonts w:cs="Guttman Drogolin" w:hint="cs"/>
          <w:rtl/>
          <w:lang w:bidi="he-IL"/>
        </w:rPr>
        <w:t>לא</w:t>
      </w:r>
      <w:r w:rsidR="00C803C5" w:rsidRPr="00882F11">
        <w:rPr>
          <w:rFonts w:cs="Guttman Drogolin"/>
          <w:rtl/>
          <w:lang w:bidi="he-IL"/>
        </w:rPr>
        <w:t xml:space="preserve"> </w:t>
      </w:r>
      <w:r w:rsidR="00C803C5" w:rsidRPr="00882F11">
        <w:rPr>
          <w:rFonts w:cs="Guttman Drogolin" w:hint="cs"/>
          <w:rtl/>
          <w:lang w:bidi="he-IL"/>
        </w:rPr>
        <w:t>יבשל</w:t>
      </w:r>
      <w:r w:rsidR="00C803C5" w:rsidRPr="00882F11">
        <w:rPr>
          <w:rFonts w:cs="Guttman Drogolin"/>
          <w:rtl/>
          <w:lang w:bidi="he-IL"/>
        </w:rPr>
        <w:t xml:space="preserve"> </w:t>
      </w:r>
      <w:r w:rsidR="00C803C5" w:rsidRPr="00882F11">
        <w:rPr>
          <w:rFonts w:cs="Guttman Drogolin" w:hint="cs"/>
          <w:rtl/>
          <w:lang w:bidi="he-IL"/>
        </w:rPr>
        <w:t>בה</w:t>
      </w:r>
      <w:r w:rsidR="00C803C5" w:rsidRPr="00882F11">
        <w:rPr>
          <w:rFonts w:cs="Guttman Drogolin"/>
          <w:rtl/>
          <w:lang w:bidi="he-IL"/>
        </w:rPr>
        <w:t xml:space="preserve"> </w:t>
      </w:r>
      <w:r w:rsidR="00C803C5" w:rsidRPr="00882F11">
        <w:rPr>
          <w:rFonts w:cs="Guttman Drogolin" w:hint="cs"/>
          <w:rtl/>
          <w:lang w:bidi="he-IL"/>
        </w:rPr>
        <w:t>חולין</w:t>
      </w:r>
      <w:r w:rsidR="00C803C5" w:rsidRPr="00882F11">
        <w:rPr>
          <w:rFonts w:cs="Guttman Drogolin"/>
          <w:rtl/>
          <w:lang w:bidi="he-IL"/>
        </w:rPr>
        <w:t xml:space="preserve"> </w:t>
      </w:r>
      <w:r w:rsidR="00C803C5" w:rsidRPr="00882F11">
        <w:rPr>
          <w:rFonts w:cs="Guttman Drogolin" w:hint="cs"/>
          <w:rtl/>
          <w:lang w:bidi="he-IL"/>
        </w:rPr>
        <w:t>ואם</w:t>
      </w:r>
      <w:r w:rsidR="00C803C5" w:rsidRPr="00882F11">
        <w:rPr>
          <w:rFonts w:cs="Guttman Drogolin"/>
          <w:rtl/>
          <w:lang w:bidi="he-IL"/>
        </w:rPr>
        <w:t xml:space="preserve"> </w:t>
      </w:r>
      <w:r w:rsidR="00C803C5" w:rsidRPr="00882F11">
        <w:rPr>
          <w:rFonts w:cs="Guttman Drogolin" w:hint="cs"/>
          <w:rtl/>
          <w:lang w:bidi="he-IL"/>
        </w:rPr>
        <w:t>בשל</w:t>
      </w:r>
      <w:r w:rsidR="00C803C5" w:rsidRPr="00882F11">
        <w:rPr>
          <w:rFonts w:cs="Guttman Drogolin"/>
          <w:rtl/>
          <w:lang w:bidi="he-IL"/>
        </w:rPr>
        <w:t xml:space="preserve"> </w:t>
      </w:r>
      <w:r w:rsidR="001E0BFE" w:rsidRPr="00882F11">
        <w:rPr>
          <w:rFonts w:cs="Guttman Drogolin" w:hint="cs"/>
          <w:rtl/>
          <w:lang w:bidi="he-IL"/>
        </w:rPr>
        <w:t>ב</w:t>
      </w:r>
      <w:r w:rsidR="00C803C5" w:rsidRPr="00882F11">
        <w:rPr>
          <w:rFonts w:cs="Guttman Drogolin" w:hint="cs"/>
          <w:rtl/>
          <w:lang w:bidi="he-IL"/>
        </w:rPr>
        <w:t>נותן</w:t>
      </w:r>
      <w:r w:rsidR="00C803C5" w:rsidRPr="00882F11">
        <w:rPr>
          <w:rFonts w:cs="Guttman Drogolin"/>
          <w:rtl/>
          <w:lang w:bidi="he-IL"/>
        </w:rPr>
        <w:t xml:space="preserve"> </w:t>
      </w:r>
      <w:r w:rsidR="00C803C5" w:rsidRPr="00882F11">
        <w:rPr>
          <w:rFonts w:cs="Guttman Drogolin" w:hint="cs"/>
          <w:rtl/>
          <w:lang w:bidi="he-IL"/>
        </w:rPr>
        <w:t>טעם", דבשלמא בתרומה שייך נתינת עעם ע"י כהן, אבל בבשר בחלב איך יטעמנו. אבל לפי מה שחיד</w:t>
      </w:r>
      <w:r w:rsidR="001E0BFE" w:rsidRPr="00882F11">
        <w:rPr>
          <w:rFonts w:cs="Guttman Drogolin" w:hint="cs"/>
          <w:rtl/>
          <w:lang w:bidi="he-IL"/>
        </w:rPr>
        <w:t>ש</w:t>
      </w:r>
      <w:r w:rsidR="00C803C5" w:rsidRPr="00882F11">
        <w:rPr>
          <w:rFonts w:cs="Guttman Drogolin" w:hint="cs"/>
          <w:rtl/>
          <w:lang w:bidi="he-IL"/>
        </w:rPr>
        <w:t xml:space="preserve"> רבין בר רב אדא ניחא, דאפשר טעימה ע"י קפילא ארמאה. </w:t>
      </w:r>
    </w:p>
    <w:p w:rsidR="00F474BB" w:rsidRPr="00882F11" w:rsidRDefault="00C803C5" w:rsidP="001E0BFE">
      <w:pPr>
        <w:bidi/>
        <w:jc w:val="both"/>
        <w:rPr>
          <w:rFonts w:cs="Guttman Drogolin"/>
          <w:rtl/>
          <w:lang w:bidi="he-IL"/>
        </w:rPr>
      </w:pPr>
      <w:r w:rsidRPr="00882F11">
        <w:rPr>
          <w:rFonts w:cs="Guttman Drogolin" w:hint="cs"/>
          <w:rtl/>
          <w:lang w:bidi="he-IL"/>
        </w:rPr>
        <w:t>והתוס' שואלים דהא בכמה מקומות ראינו במתני' שאמרו שהדין הוא בנתינת טעם ולא הי' קשה מאן טעים לי'. וא' מהם הוא מתני' שלנו שפסק שירך שנתבשל בה גיד דינו בנתינת טעם. אלא שבזה תי' דשאני התם שמשערים כבשר בל</w:t>
      </w:r>
      <w:r w:rsidR="001E0BFE" w:rsidRPr="00882F11">
        <w:rPr>
          <w:rFonts w:cs="Guttman Drogolin" w:hint="cs"/>
          <w:rtl/>
          <w:lang w:bidi="he-IL"/>
        </w:rPr>
        <w:t>פ</w:t>
      </w:r>
      <w:r w:rsidRPr="00882F11">
        <w:rPr>
          <w:rFonts w:cs="Guttman Drogolin" w:hint="cs"/>
          <w:rtl/>
          <w:lang w:bidi="he-IL"/>
        </w:rPr>
        <w:t>ת. והמשיכו לשאול</w:t>
      </w:r>
      <w:r w:rsidR="001E0BFE" w:rsidRPr="00882F11">
        <w:rPr>
          <w:rFonts w:cs="Guttman Drogolin" w:hint="cs"/>
          <w:rtl/>
          <w:lang w:bidi="he-IL"/>
        </w:rPr>
        <w:t xml:space="preserve"> מעוד כמה מקו</w:t>
      </w:r>
      <w:r w:rsidRPr="00882F11">
        <w:rPr>
          <w:rFonts w:cs="Guttman Drogolin" w:hint="cs"/>
          <w:rtl/>
          <w:lang w:bidi="he-IL"/>
        </w:rPr>
        <w:t>מות שדינו בששים ולא שאלו דלא משכחת לה בטעימה (ומשמע דכבשר בלפת אינו בששים, ודלא כמש"כ</w:t>
      </w:r>
      <w:r w:rsidR="001E0BFE" w:rsidRPr="00882F11">
        <w:rPr>
          <w:rFonts w:cs="Guttman Drogolin" w:hint="cs"/>
          <w:rtl/>
          <w:lang w:bidi="he-IL"/>
        </w:rPr>
        <w:t xml:space="preserve"> בע"ב, והעיר מזה בס' תפא"י). ות</w:t>
      </w:r>
      <w:r w:rsidRPr="00882F11">
        <w:rPr>
          <w:rFonts w:cs="Guttman Drogolin" w:hint="cs"/>
          <w:rtl/>
          <w:lang w:bidi="he-IL"/>
        </w:rPr>
        <w:t>י</w:t>
      </w:r>
      <w:r w:rsidR="001E0BFE" w:rsidRPr="00882F11">
        <w:rPr>
          <w:rFonts w:cs="Guttman Drogolin" w:hint="cs"/>
          <w:rtl/>
          <w:lang w:bidi="he-IL"/>
        </w:rPr>
        <w:t>'</w:t>
      </w:r>
      <w:r w:rsidRPr="00882F11">
        <w:rPr>
          <w:rFonts w:cs="Guttman Drogolin" w:hint="cs"/>
          <w:rtl/>
          <w:lang w:bidi="he-IL"/>
        </w:rPr>
        <w:t xml:space="preserve"> ד</w:t>
      </w:r>
      <w:r w:rsidR="001E0BFE" w:rsidRPr="00882F11">
        <w:rPr>
          <w:rFonts w:cs="Guttman Drogolin" w:hint="cs"/>
          <w:rtl/>
          <w:lang w:bidi="he-IL"/>
        </w:rPr>
        <w:t xml:space="preserve">כה"ג </w:t>
      </w:r>
      <w:r w:rsidRPr="00882F11">
        <w:rPr>
          <w:rFonts w:cs="Guttman Drogolin" w:hint="cs"/>
          <w:rtl/>
          <w:lang w:bidi="he-IL"/>
        </w:rPr>
        <w:t xml:space="preserve">שאני דמיירי בקדרה, וקשה לשער בששים מה שבלוע בקדרה. </w:t>
      </w:r>
      <w:r w:rsidRPr="00882F11">
        <w:rPr>
          <w:rFonts w:cs="Guttman Drogolin" w:hint="cs"/>
          <w:rtl/>
          <w:lang w:bidi="he-IL"/>
        </w:rPr>
        <w:lastRenderedPageBreak/>
        <w:t xml:space="preserve">והנה הריטב"א (סוף דף צ"ז ע"א) </w:t>
      </w:r>
      <w:r w:rsidR="00FC3DD4" w:rsidRPr="00882F11">
        <w:rPr>
          <w:rFonts w:cs="Guttman Drogolin" w:hint="cs"/>
          <w:rtl/>
          <w:lang w:bidi="he-IL"/>
        </w:rPr>
        <w:t>כתב הטעם שכאן לא שייך ששים כיון שלא שייך ש</w:t>
      </w:r>
      <w:r w:rsidR="004A2E18" w:rsidRPr="00882F11">
        <w:rPr>
          <w:rFonts w:cs="Guttman Drogolin" w:hint="cs"/>
          <w:rtl/>
          <w:lang w:bidi="he-IL"/>
        </w:rPr>
        <w:t>י</w:t>
      </w:r>
      <w:r w:rsidR="00FC3DD4" w:rsidRPr="00882F11">
        <w:rPr>
          <w:rFonts w:cs="Guttman Drogolin" w:hint="cs"/>
          <w:rtl/>
          <w:lang w:bidi="he-IL"/>
        </w:rPr>
        <w:t>הא ששים בתוך הכלי נגד כל הכלי.</w:t>
      </w:r>
      <w:r w:rsidR="004A2E18" w:rsidRPr="00882F11">
        <w:rPr>
          <w:rFonts w:cs="Guttman Drogolin" w:hint="cs"/>
          <w:rtl/>
          <w:lang w:bidi="he-IL"/>
        </w:rPr>
        <w:t xml:space="preserve"> </w:t>
      </w:r>
      <w:r w:rsidR="003931E9" w:rsidRPr="00882F11">
        <w:rPr>
          <w:rFonts w:cs="Guttman Drogolin" w:hint="cs"/>
          <w:rtl/>
          <w:lang w:bidi="he-IL"/>
        </w:rPr>
        <w:t>וה</w:t>
      </w:r>
      <w:r w:rsidR="004A2E18" w:rsidRPr="00882F11">
        <w:rPr>
          <w:rFonts w:cs="Guttman Drogolin" w:hint="cs"/>
          <w:rtl/>
          <w:lang w:bidi="he-IL"/>
        </w:rPr>
        <w:t xml:space="preserve">כלל </w:t>
      </w:r>
      <w:r w:rsidR="003931E9" w:rsidRPr="00882F11">
        <w:rPr>
          <w:rFonts w:cs="Guttman Drogolin" w:hint="cs"/>
          <w:rtl/>
          <w:lang w:bidi="he-IL"/>
        </w:rPr>
        <w:t xml:space="preserve">הזה </w:t>
      </w:r>
      <w:r w:rsidR="004A2E18" w:rsidRPr="00882F11">
        <w:rPr>
          <w:rFonts w:cs="Guttman Drogolin" w:hint="cs"/>
          <w:rtl/>
          <w:lang w:bidi="he-IL"/>
        </w:rPr>
        <w:t>מבואר גם בש"ך סי' צ"ח ס"</w:t>
      </w:r>
      <w:r w:rsidR="003931E9" w:rsidRPr="00882F11">
        <w:rPr>
          <w:rFonts w:cs="Guttman Drogolin" w:hint="cs"/>
          <w:rtl/>
          <w:lang w:bidi="he-IL"/>
        </w:rPr>
        <w:t xml:space="preserve">ק י"א. ואע"ג שיש בזה גם יוצאי מן הכלל שיש ששים כנגד הקדרה עצמה וכמש"כ הש"ך עצמו ברסי' צ"ג, מ"מ סתמא דמילתא אין ששים. וראיתי בס' לב ארי' </w:t>
      </w:r>
      <w:r w:rsidR="00F474BB" w:rsidRPr="00882F11">
        <w:rPr>
          <w:rFonts w:cs="Guttman Drogolin" w:hint="cs"/>
          <w:rtl/>
          <w:lang w:bidi="he-IL"/>
        </w:rPr>
        <w:t>שרצה לומר שמזה שהתוס' לא כתבו כמש"כ הריטב"א נראה שאינם סוברים כן. והוא דבר רחוק שיהי' בזה מחל</w:t>
      </w:r>
      <w:r w:rsidR="001E0BFE" w:rsidRPr="00882F11">
        <w:rPr>
          <w:rFonts w:cs="Guttman Drogolin" w:hint="cs"/>
          <w:rtl/>
          <w:lang w:bidi="he-IL"/>
        </w:rPr>
        <w:t>וקת</w:t>
      </w:r>
      <w:r w:rsidR="00CE7D34" w:rsidRPr="00882F11">
        <w:rPr>
          <w:rStyle w:val="FootnoteReference"/>
          <w:rFonts w:cs="Guttman Drogolin"/>
          <w:rtl/>
          <w:lang w:bidi="he-IL"/>
        </w:rPr>
        <w:footnoteReference w:id="116"/>
      </w:r>
      <w:r w:rsidR="001E0BFE" w:rsidRPr="00882F11">
        <w:rPr>
          <w:rFonts w:cs="Guttman Drogolin" w:hint="cs"/>
          <w:rtl/>
          <w:lang w:bidi="he-IL"/>
        </w:rPr>
        <w:t xml:space="preserve">. ונראה שהתוס' מדברים </w:t>
      </w:r>
      <w:r w:rsidR="00F474BB" w:rsidRPr="00882F11">
        <w:rPr>
          <w:rFonts w:cs="Guttman Drogolin" w:hint="cs"/>
          <w:rtl/>
          <w:lang w:bidi="he-IL"/>
        </w:rPr>
        <w:t>באופן די</w:t>
      </w:r>
      <w:r w:rsidR="001E0BFE" w:rsidRPr="00882F11">
        <w:rPr>
          <w:rFonts w:cs="Guttman Drogolin" w:hint="cs"/>
          <w:rtl/>
          <w:lang w:bidi="he-IL"/>
        </w:rPr>
        <w:t>ד</w:t>
      </w:r>
      <w:r w:rsidR="00F474BB" w:rsidRPr="00882F11">
        <w:rPr>
          <w:rFonts w:cs="Guttman Drogolin" w:hint="cs"/>
          <w:rtl/>
          <w:lang w:bidi="he-IL"/>
        </w:rPr>
        <w:t>עינן שאינו בלוע בכולו, וכגון קדרה ש</w:t>
      </w:r>
      <w:r w:rsidR="001E0BFE" w:rsidRPr="00882F11">
        <w:rPr>
          <w:rFonts w:cs="Guttman Drogolin" w:hint="cs"/>
          <w:rtl/>
          <w:lang w:bidi="he-IL"/>
        </w:rPr>
        <w:t>י</w:t>
      </w:r>
      <w:r w:rsidR="00F474BB" w:rsidRPr="00882F11">
        <w:rPr>
          <w:rFonts w:cs="Guttman Drogolin" w:hint="cs"/>
          <w:rtl/>
          <w:lang w:bidi="he-IL"/>
        </w:rPr>
        <w:t xml:space="preserve">ודעים שלא בישלו בה בתוך מעל"ע </w:t>
      </w:r>
      <w:r w:rsidR="001E0BFE" w:rsidRPr="00882F11">
        <w:rPr>
          <w:rFonts w:cs="Guttman Drogolin" w:hint="cs"/>
          <w:rtl/>
          <w:lang w:bidi="he-IL"/>
        </w:rPr>
        <w:t>אלא חתיכה א'. ולכן לא צריכים לשע</w:t>
      </w:r>
      <w:r w:rsidR="00F474BB" w:rsidRPr="00882F11">
        <w:rPr>
          <w:rFonts w:cs="Guttman Drogolin" w:hint="cs"/>
          <w:rtl/>
          <w:lang w:bidi="he-IL"/>
        </w:rPr>
        <w:t>ר כנגד כל הקדרה, ואפילו כנגד כל</w:t>
      </w:r>
      <w:r w:rsidR="001E0BFE" w:rsidRPr="00882F11">
        <w:rPr>
          <w:rFonts w:cs="Guttman Drogolin" w:hint="cs"/>
          <w:rtl/>
          <w:lang w:bidi="he-IL"/>
        </w:rPr>
        <w:t xml:space="preserve"> החתיכה לא יתכן, רק שקשה לנו לשע</w:t>
      </w:r>
      <w:r w:rsidR="00F474BB" w:rsidRPr="00882F11">
        <w:rPr>
          <w:rFonts w:cs="Guttman Drogolin" w:hint="cs"/>
          <w:rtl/>
          <w:lang w:bidi="he-IL"/>
        </w:rPr>
        <w:t xml:space="preserve">ר כמה בלע. ולעולם אם </w:t>
      </w:r>
      <w:r w:rsidR="001E0BFE" w:rsidRPr="00882F11">
        <w:rPr>
          <w:rFonts w:cs="Guttman Drogolin" w:hint="cs"/>
          <w:rtl/>
          <w:lang w:bidi="he-IL"/>
        </w:rPr>
        <w:t>ל</w:t>
      </w:r>
      <w:r w:rsidR="00F474BB" w:rsidRPr="00882F11">
        <w:rPr>
          <w:rFonts w:cs="Guttman Drogolin" w:hint="cs"/>
          <w:rtl/>
          <w:lang w:bidi="he-IL"/>
        </w:rPr>
        <w:t>א ידעינן כמה בלע גם ה</w:t>
      </w:r>
      <w:r w:rsidR="001E0BFE" w:rsidRPr="00882F11">
        <w:rPr>
          <w:rFonts w:cs="Guttman Drogolin" w:hint="cs"/>
          <w:rtl/>
          <w:lang w:bidi="he-IL"/>
        </w:rPr>
        <w:t>תוס' מודים דלא שייך ס'</w:t>
      </w:r>
      <w:r w:rsidR="00F474BB" w:rsidRPr="00882F11">
        <w:rPr>
          <w:rFonts w:cs="Guttman Drogolin" w:hint="cs"/>
          <w:rtl/>
          <w:lang w:bidi="he-IL"/>
        </w:rPr>
        <w:t>.</w:t>
      </w:r>
    </w:p>
    <w:p w:rsidR="00DE6FA6" w:rsidRPr="00882F11" w:rsidRDefault="00DE6FA6" w:rsidP="00DE6FA6">
      <w:pPr>
        <w:bidi/>
        <w:jc w:val="both"/>
        <w:rPr>
          <w:rFonts w:cs="Guttman Drogolin"/>
          <w:rtl/>
          <w:lang w:bidi="he-IL"/>
        </w:rPr>
      </w:pPr>
      <w:r w:rsidRPr="00882F11">
        <w:rPr>
          <w:rFonts w:cs="Guttman Drogolin" w:hint="cs"/>
          <w:rtl/>
          <w:lang w:bidi="he-IL"/>
        </w:rPr>
        <w:t>ובעיקר הדין של כילכית באילפס ע' רש"ש שרצה להוכיח שבסכנה שיש לאכול בשר עם דג מהני ששים לבטל טעם א' מהם, דהא הכא בבשר ודג מיירי. וע"ש רצה לדחות דאולי הסכנה יש רק בדג טהור ולא בדג טמא. ולדבריו יהי' חידוש שמי שנאנס לאכול בשר עם דג ויכול לאכול או דגים טמאים או דגים טהורים שיש להעדיף דגים טמאים כיון דחמירא סכנתא מאיסורא. וצ"ע.</w:t>
      </w:r>
    </w:p>
    <w:p w:rsidR="00BE5918" w:rsidRPr="00882F11" w:rsidRDefault="00BE5918" w:rsidP="00BE5918">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01" w:name="_Toc496175361"/>
      <w:r w:rsidRPr="00882F11">
        <w:rPr>
          <w:rFonts w:asciiTheme="majorHAnsi" w:eastAsiaTheme="majorEastAsia" w:hAnsiTheme="majorHAnsi" w:cs="Guttman Drogolin" w:hint="cs"/>
          <w:b/>
          <w:bCs/>
          <w:sz w:val="24"/>
          <w:szCs w:val="24"/>
          <w:u w:val="single"/>
          <w:rtl/>
          <w:lang w:bidi="he-IL"/>
        </w:rPr>
        <w:t>רוטב נבלה בבלוע בכלי</w:t>
      </w:r>
      <w:bookmarkEnd w:id="101"/>
    </w:p>
    <w:p w:rsidR="003E5F94" w:rsidRPr="00882F11" w:rsidRDefault="00BE5918" w:rsidP="00511083">
      <w:pPr>
        <w:bidi/>
        <w:jc w:val="both"/>
        <w:rPr>
          <w:rFonts w:cs="Guttman Drogolin"/>
          <w:rtl/>
          <w:lang w:bidi="he-IL"/>
        </w:rPr>
      </w:pPr>
      <w:r w:rsidRPr="00882F11">
        <w:rPr>
          <w:rFonts w:cs="Guttman Drogolin" w:hint="cs"/>
          <w:rtl/>
          <w:lang w:bidi="he-IL"/>
        </w:rPr>
        <w:t xml:space="preserve">בגמ' מבואר </w:t>
      </w:r>
      <w:r w:rsidR="00CF750C" w:rsidRPr="00882F11">
        <w:rPr>
          <w:rFonts w:cs="Guttman Drogolin" w:hint="cs"/>
          <w:rtl/>
          <w:lang w:bidi="he-IL"/>
        </w:rPr>
        <w:t xml:space="preserve">שכשבישלו חלב בתוך קדרה בשרית, התבשיל מותרת ע"י טעימת קפילא ארמאה. ולכאורה קשה, דהנה לקמן בדף ק"ח ע"ב מבואר שאם בישלו חתיכת בשר בתוך יורה של חלב שהחתיכה בולע את החלב באופן שהחלב נעשית נבלה ואוסרת שאר החלב של היתר מדין מין במינו לא בטל. ואפילו לדידן דקיי"ל שמין במינו דינו בששים, כבר הבאנו לשון הרמב"ם והשו"ע דלא מהני טעימת קפילא להתיר את החלב, רק </w:t>
      </w:r>
      <w:r w:rsidR="00CF750C" w:rsidRPr="00882F11">
        <w:rPr>
          <w:rFonts w:cs="Guttman Drogolin" w:hint="cs"/>
          <w:rtl/>
          <w:lang w:bidi="he-IL"/>
        </w:rPr>
        <w:lastRenderedPageBreak/>
        <w:t xml:space="preserve">ששים, כיון שיש כאן חלב אסור ואין הקפילא יכול להבחין במין במינו. ולכן נשאלת השאלה למה </w:t>
      </w:r>
      <w:r w:rsidR="00511083" w:rsidRPr="00882F11">
        <w:rPr>
          <w:rFonts w:cs="Guttman Drogolin" w:hint="cs"/>
          <w:rtl/>
          <w:lang w:bidi="he-IL"/>
        </w:rPr>
        <w:t>תהני קפילא כשבישלו חלב</w:t>
      </w:r>
      <w:r w:rsidR="00CF750C" w:rsidRPr="00882F11">
        <w:rPr>
          <w:rFonts w:cs="Guttman Drogolin" w:hint="cs"/>
          <w:rtl/>
          <w:lang w:bidi="he-IL"/>
        </w:rPr>
        <w:t xml:space="preserve"> בקדרה בשרית, נהי דקפילא יכול להעיד אם יש טעם בשר בחלב, אבל גם החלב הרי נכנס לתוך דופני הקדרה ושם נע"נ, ולכן אין כאן אלא מין במינו ולא מהני קפילא. </w:t>
      </w:r>
      <w:r w:rsidR="00795088">
        <w:rPr>
          <w:rFonts w:cs="Guttman Drogolin"/>
          <w:rtl/>
          <w:lang w:bidi="he-IL"/>
        </w:rPr>
        <w:fldChar w:fldCharType="begin"/>
      </w:r>
      <w:r w:rsidR="00795088">
        <w:instrText xml:space="preserve"> XE "</w:instrText>
      </w:r>
      <w:r w:rsidR="00795088" w:rsidRPr="009B50DC">
        <w:rPr>
          <w:rFonts w:hint="cs"/>
          <w:rtl/>
          <w:lang w:bidi="he-IL"/>
        </w:rPr>
        <w:instrText>חענ</w:instrText>
      </w:r>
      <w:r w:rsidR="00795088">
        <w:rPr>
          <w:rFonts w:eastAsiaTheme="minorEastAsia"/>
          <w:lang w:bidi="he-IL"/>
        </w:rPr>
        <w:instrText>\</w:instrText>
      </w:r>
      <w:r w:rsidR="00795088" w:rsidRPr="009B50DC">
        <w:rPr>
          <w:rFonts w:hint="cs"/>
          <w:rtl/>
          <w:lang w:bidi="he-IL"/>
        </w:rPr>
        <w:instrText>"ן</w:instrText>
      </w:r>
      <w:r w:rsidR="00795088" w:rsidRPr="009B50DC">
        <w:rPr>
          <w:rtl/>
        </w:rPr>
        <w:instrText>:</w:instrText>
      </w:r>
      <w:r w:rsidR="00795088" w:rsidRPr="009B50DC">
        <w:rPr>
          <w:rFonts w:hint="cs"/>
          <w:rtl/>
          <w:lang w:bidi="he-IL"/>
        </w:rPr>
        <w:instrText>בבלוע בכלי</w:instrText>
      </w:r>
      <w:r w:rsidR="00795088">
        <w:instrText xml:space="preserve">" </w:instrText>
      </w:r>
      <w:r w:rsidR="00795088">
        <w:rPr>
          <w:rFonts w:cs="Guttman Drogolin"/>
          <w:rtl/>
          <w:lang w:bidi="he-IL"/>
        </w:rPr>
        <w:fldChar w:fldCharType="end"/>
      </w:r>
      <w:r w:rsidR="00CF750C" w:rsidRPr="00882F11">
        <w:rPr>
          <w:rFonts w:cs="Guttman Drogolin" w:hint="cs"/>
          <w:rtl/>
          <w:lang w:bidi="he-IL"/>
        </w:rPr>
        <w:t>ובשו"ת תרוה"ד סי' קפ"ג הוכיח מזה דע"כ אין הבלוע בקדרה חשוב נפרד מן התבשיל, ולכן יש בה הדין של סופו להתפשט ואינו נע"נ. רק בחתיכה שהוא חשוב כמנותק במשאר היורה אמרינן דנע"נ.</w:t>
      </w:r>
      <w:r w:rsidR="00F474BB" w:rsidRPr="00882F11">
        <w:rPr>
          <w:rFonts w:cs="Guttman Drogolin" w:hint="cs"/>
          <w:rtl/>
          <w:lang w:bidi="he-IL"/>
        </w:rPr>
        <w:t xml:space="preserve"> </w:t>
      </w:r>
    </w:p>
    <w:p w:rsidR="003E5F94" w:rsidRPr="00882F11" w:rsidRDefault="003E5F94" w:rsidP="00E82DA1">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02" w:name="_Toc496175362"/>
      <w:r w:rsidRPr="00882F11">
        <w:rPr>
          <w:rFonts w:asciiTheme="majorHAnsi" w:eastAsiaTheme="majorEastAsia" w:hAnsiTheme="majorHAnsi" w:cs="Guttman Drogolin" w:hint="cs"/>
          <w:b/>
          <w:bCs/>
          <w:sz w:val="24"/>
          <w:szCs w:val="24"/>
          <w:u w:val="single"/>
          <w:rtl/>
          <w:lang w:bidi="he-IL"/>
        </w:rPr>
        <w:t>באיס</w:t>
      </w:r>
      <w:r w:rsidR="00E82DA1" w:rsidRPr="00882F11">
        <w:rPr>
          <w:rFonts w:asciiTheme="majorHAnsi" w:eastAsiaTheme="majorEastAsia" w:hAnsiTheme="majorHAnsi" w:cs="Guttman Drogolin" w:hint="cs"/>
          <w:b/>
          <w:bCs/>
          <w:sz w:val="24"/>
          <w:szCs w:val="24"/>
          <w:u w:val="single"/>
          <w:rtl/>
          <w:lang w:bidi="he-IL"/>
        </w:rPr>
        <w:t>ו</w:t>
      </w:r>
      <w:r w:rsidRPr="00882F11">
        <w:rPr>
          <w:rFonts w:asciiTheme="majorHAnsi" w:eastAsiaTheme="majorEastAsia" w:hAnsiTheme="majorHAnsi" w:cs="Guttman Drogolin" w:hint="cs"/>
          <w:b/>
          <w:bCs/>
          <w:sz w:val="24"/>
          <w:szCs w:val="24"/>
          <w:u w:val="single"/>
          <w:rtl/>
          <w:lang w:bidi="he-IL"/>
        </w:rPr>
        <w:t>רא דלא יבשל בה חלב וחולין</w:t>
      </w:r>
      <w:bookmarkEnd w:id="102"/>
    </w:p>
    <w:p w:rsidR="00E87455" w:rsidRPr="00882F11" w:rsidRDefault="00795088" w:rsidP="00511083">
      <w:pPr>
        <w:bidi/>
        <w:jc w:val="both"/>
        <w:rPr>
          <w:rFonts w:cs="Guttman Drogolin"/>
          <w:rtl/>
          <w:lang w:bidi="he-IL"/>
        </w:rPr>
      </w:pPr>
      <w:r>
        <w:rPr>
          <w:rFonts w:cs="Guttman Drogolin"/>
          <w:rtl/>
          <w:lang w:bidi="he-IL"/>
        </w:rPr>
        <w:fldChar w:fldCharType="begin"/>
      </w:r>
      <w:r>
        <w:instrText xml:space="preserve"> XE "</w:instrText>
      </w:r>
      <w:r w:rsidRPr="00426D3C">
        <w:rPr>
          <w:rFonts w:hint="cs"/>
          <w:rtl/>
          <w:lang w:bidi="he-IL"/>
        </w:rPr>
        <w:instrText>חלב נבילה</w:instrText>
      </w:r>
      <w:r w:rsidRPr="00426D3C">
        <w:rPr>
          <w:rtl/>
        </w:rPr>
        <w:instrText>:</w:instrText>
      </w:r>
      <w:r w:rsidRPr="00426D3C">
        <w:rPr>
          <w:rFonts w:hint="cs"/>
          <w:rtl/>
          <w:lang w:bidi="he-IL"/>
        </w:rPr>
        <w:instrText>בשאר איסורים</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041B2C">
        <w:rPr>
          <w:rFonts w:hint="cs"/>
          <w:rtl/>
          <w:lang w:bidi="he-IL"/>
        </w:rPr>
        <w:instrText>רוטב נבילה</w:instrText>
      </w:r>
      <w:r>
        <w:instrText>" \t "</w:instrText>
      </w:r>
      <w:r w:rsidRPr="00986912">
        <w:rPr>
          <w:rFonts w:cs="Times New Roman" w:hint="cs"/>
          <w:i/>
          <w:rtl/>
          <w:lang w:bidi="he-IL"/>
        </w:rPr>
        <w:instrText>ע</w:instrText>
      </w:r>
      <w:r w:rsidRPr="00986912">
        <w:rPr>
          <w:rFonts w:cstheme="minorHAnsi" w:hint="cs"/>
          <w:i/>
          <w:rtl/>
          <w:lang w:bidi="he-IL"/>
        </w:rPr>
        <w:instrText xml:space="preserve">' </w:instrText>
      </w:r>
      <w:r w:rsidRPr="00986912">
        <w:rPr>
          <w:rFonts w:cs="Times New Roman" w:hint="cs"/>
          <w:i/>
          <w:rtl/>
          <w:lang w:bidi="he-IL"/>
        </w:rPr>
        <w:instrText>חלב נבילה</w:instrText>
      </w:r>
      <w:r>
        <w:instrText xml:space="preserve">" </w:instrText>
      </w:r>
      <w:r>
        <w:rPr>
          <w:rFonts w:cs="Guttman Drogolin"/>
          <w:rtl/>
          <w:lang w:bidi="he-IL"/>
        </w:rPr>
        <w:fldChar w:fldCharType="end"/>
      </w:r>
      <w:r w:rsidR="003E5F94" w:rsidRPr="00882F11">
        <w:rPr>
          <w:rFonts w:cs="Guttman Drogolin" w:hint="cs"/>
          <w:rtl/>
          <w:lang w:bidi="he-IL"/>
        </w:rPr>
        <w:t>בברייתא מבואר ב' דינים בקדרה בשרית וכן ב' דינים בקדרה של תרומה. חדא שלא יבשל בהם בתחילה, ור"ל שלא יבשל ח</w:t>
      </w:r>
      <w:r w:rsidR="00511083" w:rsidRPr="00882F11">
        <w:rPr>
          <w:rFonts w:cs="Guttman Drogolin" w:hint="cs"/>
          <w:rtl/>
          <w:lang w:bidi="he-IL"/>
        </w:rPr>
        <w:t>ל</w:t>
      </w:r>
      <w:r w:rsidR="003E5F94" w:rsidRPr="00882F11">
        <w:rPr>
          <w:rFonts w:cs="Guttman Drogolin" w:hint="cs"/>
          <w:rtl/>
          <w:lang w:bidi="he-IL"/>
        </w:rPr>
        <w:t>ב בקדרה בשרית, וכן לא יבשל חולין בקדרה של תרומה. ועוד שהדין בדיעבד בשניהם הוא בנתינת טעם. ובחי' הריטב"א הקשה על הדין הראשון שלכאורה פשוט הוא. והביא בשם הרא"ה שחידש מכח קושיא זו שהחידוש משום הדיוק שבו, דעד כאן לא אסרו לבשל לכתחילה אלא בקדרה בת יומא שי</w:t>
      </w:r>
      <w:r w:rsidR="00511083" w:rsidRPr="00882F11">
        <w:rPr>
          <w:rFonts w:cs="Guttman Drogolin" w:hint="cs"/>
          <w:rtl/>
          <w:lang w:bidi="he-IL"/>
        </w:rPr>
        <w:t>כול לאסור בדיעבד בנתינת טעם, אבל</w:t>
      </w:r>
      <w:r w:rsidR="003E5F94" w:rsidRPr="00882F11">
        <w:rPr>
          <w:rFonts w:cs="Guttman Drogolin" w:hint="cs"/>
          <w:rtl/>
          <w:lang w:bidi="he-IL"/>
        </w:rPr>
        <w:t xml:space="preserve"> בקדירה בשרית שאינה בת יומא מותר לבשל חלב אפילו לכתחילה. ופי' דאע"ג שבסוף מס' ע"ז מבואר שגזרו שלא להשתמש בקדרה שאינה בת יומא אטו בת יומא, הנ"מ בקדרה שבלעה איסור דומיא דכלי מדין, אבל בכלי שבלע היתר לא גזרו. וע"ש בריטב"א שרוב רבוותא חולקים על זה </w:t>
      </w:r>
      <w:r w:rsidR="00E87455" w:rsidRPr="00882F11">
        <w:rPr>
          <w:rFonts w:cs="Guttman Drogolin" w:hint="cs"/>
          <w:rtl/>
          <w:lang w:bidi="he-IL"/>
        </w:rPr>
        <w:t>וסוברים שאסור כמו בבלע איסור, ולענין הקוש</w:t>
      </w:r>
      <w:r w:rsidR="00511083" w:rsidRPr="00882F11">
        <w:rPr>
          <w:rFonts w:cs="Guttman Drogolin" w:hint="cs"/>
          <w:rtl/>
          <w:lang w:bidi="he-IL"/>
        </w:rPr>
        <w:t>י</w:t>
      </w:r>
      <w:r w:rsidR="00E87455" w:rsidRPr="00882F11">
        <w:rPr>
          <w:rFonts w:cs="Guttman Drogolin" w:hint="cs"/>
          <w:rtl/>
          <w:lang w:bidi="he-IL"/>
        </w:rPr>
        <w:t>א דפש</w:t>
      </w:r>
      <w:r w:rsidR="00511083" w:rsidRPr="00882F11">
        <w:rPr>
          <w:rFonts w:cs="Guttman Drogolin" w:hint="cs"/>
          <w:rtl/>
          <w:lang w:bidi="he-IL"/>
        </w:rPr>
        <w:t>י</w:t>
      </w:r>
      <w:r w:rsidR="00E87455" w:rsidRPr="00882F11">
        <w:rPr>
          <w:rFonts w:cs="Guttman Drogolin" w:hint="cs"/>
          <w:rtl/>
          <w:lang w:bidi="he-IL"/>
        </w:rPr>
        <w:t>טא תי' דמ"מ כן דרך התלמוד לכתוב א' אגב השני.</w:t>
      </w:r>
    </w:p>
    <w:p w:rsidR="00283C7A" w:rsidRPr="00882F11" w:rsidRDefault="00E87455" w:rsidP="00283C7A">
      <w:pPr>
        <w:bidi/>
        <w:jc w:val="both"/>
        <w:rPr>
          <w:rFonts w:cs="Guttman Drogolin"/>
          <w:rtl/>
          <w:lang w:bidi="he-IL"/>
        </w:rPr>
      </w:pPr>
      <w:r w:rsidRPr="00882F11">
        <w:rPr>
          <w:rFonts w:cs="Guttman Drogolin" w:hint="cs"/>
          <w:rtl/>
          <w:lang w:bidi="he-IL"/>
        </w:rPr>
        <w:t>ויעוין בחי' רע"א שכתב שלענין בשר בחלב מובן היטב למה שיהא אסור לבשל לכתחילה, משום שיש בזה איסו</w:t>
      </w:r>
      <w:r w:rsidR="00511083" w:rsidRPr="00882F11">
        <w:rPr>
          <w:rFonts w:cs="Guttman Drogolin" w:hint="cs"/>
          <w:rtl/>
          <w:lang w:bidi="he-IL"/>
        </w:rPr>
        <w:t>ר</w:t>
      </w:r>
      <w:r w:rsidRPr="00882F11">
        <w:rPr>
          <w:rFonts w:cs="Guttman Drogolin" w:hint="cs"/>
          <w:rtl/>
          <w:lang w:bidi="he-IL"/>
        </w:rPr>
        <w:t xml:space="preserve"> בישול בשר בחלב.</w:t>
      </w:r>
      <w:r w:rsidR="003E5F94" w:rsidRPr="00882F11">
        <w:rPr>
          <w:rFonts w:cs="Guttman Drogolin" w:hint="cs"/>
          <w:rtl/>
          <w:lang w:bidi="he-IL"/>
        </w:rPr>
        <w:t xml:space="preserve"> </w:t>
      </w:r>
      <w:r w:rsidRPr="00882F11">
        <w:rPr>
          <w:rFonts w:cs="Guttman Drogolin" w:hint="cs"/>
          <w:rtl/>
          <w:lang w:bidi="he-IL"/>
        </w:rPr>
        <w:t xml:space="preserve">אבל </w:t>
      </w:r>
      <w:r w:rsidR="00511083" w:rsidRPr="00882F11">
        <w:rPr>
          <w:rFonts w:cs="Guttman Drogolin" w:hint="cs"/>
          <w:rtl/>
          <w:lang w:bidi="he-IL"/>
        </w:rPr>
        <w:t xml:space="preserve">הקשה </w:t>
      </w:r>
      <w:r w:rsidRPr="00882F11">
        <w:rPr>
          <w:rFonts w:cs="Guttman Drogolin" w:hint="cs"/>
          <w:rtl/>
          <w:lang w:bidi="he-IL"/>
        </w:rPr>
        <w:t xml:space="preserve">בבישול חולין עם תרומה למה שיהא אסור, דלמה לא יבשל בה ולאחר מכן יטעמנו לכהן לראות אם יש בה טעם של תרומה. ולכאורה הי' אפשר לומר שחז"ל לא רצו לסמוך אפילו אטעימת ישראל אלא </w:t>
      </w:r>
      <w:r w:rsidRPr="00882F11">
        <w:rPr>
          <w:rFonts w:cs="Guttman Drogolin" w:hint="cs"/>
          <w:rtl/>
          <w:lang w:bidi="he-IL"/>
        </w:rPr>
        <w:lastRenderedPageBreak/>
        <w:t>בדיעבד אבל לא להביא עצמו לידי זה לכתחילה</w:t>
      </w:r>
      <w:r w:rsidR="00221764" w:rsidRPr="00882F11">
        <w:rPr>
          <w:rStyle w:val="FootnoteReference"/>
          <w:rFonts w:cs="Guttman Drogolin"/>
          <w:rtl/>
          <w:lang w:bidi="he-IL"/>
        </w:rPr>
        <w:footnoteReference w:id="117"/>
      </w:r>
      <w:r w:rsidRPr="00882F11">
        <w:rPr>
          <w:rFonts w:cs="Guttman Drogolin" w:hint="cs"/>
          <w:rtl/>
          <w:lang w:bidi="he-IL"/>
        </w:rPr>
        <w:t xml:space="preserve">. אבל רע"א תי' שהוא אסור משום שאם לא יהא בה טעם יעבור אאיסור לבטל איסור לכתחילה. ורע"א עצמו סבר שבבשר בחלב אין לאסור מטעם זה, והוא ע"פ היסוד שלו שהבאנו מכבר שאין איסור לבטל בשר בחלב לכתחילה ומשום שהתורה לא אסרה את התערובת, דהא א"כ התערובת הרי לא יתבטל, רק שאסרה נתינת טעם א' בשני. וע"פ זה כתב רע"א שיש לנו ישוב חדש לקושיית התוס' הנ"ל, שהתוס' הקשו למה </w:t>
      </w:r>
      <w:r w:rsidR="007442B3" w:rsidRPr="00882F11">
        <w:rPr>
          <w:rFonts w:cs="Guttman Drogolin" w:hint="cs"/>
          <w:rtl/>
          <w:lang w:bidi="he-IL"/>
        </w:rPr>
        <w:t>הקשו דוקא כאן היכי משכחת לה טעימה ולא בעלמא. ולפי זה לכאורה י"ל, שאם הי' ששים בקדירה לעומת החלב, אז לא הי' אסור כלל לבשל בה חלב, וכנ"ל שאין מבטלין איסור לכתחילה</w:t>
      </w:r>
      <w:r w:rsidR="00283C7A" w:rsidRPr="00882F11">
        <w:rPr>
          <w:rFonts w:cs="Guttman Drogolin" w:hint="cs"/>
          <w:rtl/>
          <w:lang w:bidi="he-IL"/>
        </w:rPr>
        <w:t xml:space="preserve"> לא שייך בבשר בחלב. וכיון שאי אפשר לומר דמיירי בכה"ג שיש ששים, ע"כ קשה לן היכי משכחת לה נתינת טעם. רק בעלמא שיש איסור לבטל לכחתילה הי' אפשר לומר דמיירי בדאיכא ששים. </w:t>
      </w:r>
    </w:p>
    <w:p w:rsidR="00A43EB5" w:rsidRPr="00882F11" w:rsidRDefault="00A43EB5" w:rsidP="00A43EB5">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03" w:name="_Toc496175363"/>
      <w:r w:rsidRPr="00882F11">
        <w:rPr>
          <w:rFonts w:asciiTheme="majorHAnsi" w:eastAsiaTheme="majorEastAsia" w:hAnsiTheme="majorHAnsi" w:cs="Guttman Drogolin" w:hint="cs"/>
          <w:b/>
          <w:bCs/>
          <w:sz w:val="24"/>
          <w:szCs w:val="24"/>
          <w:u w:val="single"/>
          <w:rtl/>
          <w:lang w:bidi="he-IL"/>
        </w:rPr>
        <w:t>בדין טעימת קפילא</w:t>
      </w:r>
      <w:bookmarkEnd w:id="103"/>
    </w:p>
    <w:p w:rsidR="005140C1" w:rsidRPr="00882F11" w:rsidRDefault="00E22C60" w:rsidP="00511083">
      <w:pPr>
        <w:bidi/>
        <w:jc w:val="both"/>
        <w:rPr>
          <w:rFonts w:cs="Guttman Drogolin"/>
          <w:rtl/>
          <w:lang w:bidi="he-IL"/>
        </w:rPr>
      </w:pPr>
      <w:r>
        <w:rPr>
          <w:rFonts w:cs="Guttman Drogolin"/>
          <w:rtl/>
          <w:lang w:bidi="he-IL"/>
        </w:rPr>
        <w:fldChar w:fldCharType="begin"/>
      </w:r>
      <w:r>
        <w:instrText xml:space="preserve"> XE "</w:instrText>
      </w:r>
      <w:r w:rsidRPr="00F404D5">
        <w:rPr>
          <w:rFonts w:hint="cs"/>
          <w:rtl/>
          <w:lang w:bidi="he-IL"/>
        </w:rPr>
        <w:instrText>קפילא</w:instrText>
      </w:r>
      <w:r w:rsidRPr="00F404D5">
        <w:rPr>
          <w:rtl/>
        </w:rPr>
        <w:instrText>:</w:instrText>
      </w:r>
      <w:r w:rsidRPr="00F404D5">
        <w:rPr>
          <w:rFonts w:hint="cs"/>
          <w:rtl/>
          <w:lang w:bidi="he-IL"/>
        </w:rPr>
        <w:instrText>הסוגיא דטעימת קפילא</w:instrText>
      </w:r>
      <w:r>
        <w:instrText xml:space="preserve">" </w:instrText>
      </w:r>
      <w:r>
        <w:rPr>
          <w:rFonts w:cs="Guttman Drogolin"/>
          <w:rtl/>
          <w:lang w:bidi="he-IL"/>
        </w:rPr>
        <w:fldChar w:fldCharType="end"/>
      </w:r>
      <w:r w:rsidR="00A43EB5" w:rsidRPr="00882F11">
        <w:rPr>
          <w:rFonts w:cs="Guttman Drogolin" w:hint="cs"/>
          <w:rtl/>
          <w:lang w:bidi="he-IL"/>
        </w:rPr>
        <w:t>בסוגיין מבואר שס</w:t>
      </w:r>
      <w:r w:rsidR="00511083" w:rsidRPr="00882F11">
        <w:rPr>
          <w:rFonts w:cs="Guttman Drogolin" w:hint="cs"/>
          <w:rtl/>
          <w:lang w:bidi="he-IL"/>
        </w:rPr>
        <w:t>ו</w:t>
      </w:r>
      <w:r w:rsidR="00A43EB5" w:rsidRPr="00882F11">
        <w:rPr>
          <w:rFonts w:cs="Guttman Drogolin" w:hint="cs"/>
          <w:rtl/>
          <w:lang w:bidi="he-IL"/>
        </w:rPr>
        <w:t xml:space="preserve">וכים על קפילא אמראה לומר לנו אם יש טעם איסור בתבשיל או לא. </w:t>
      </w:r>
      <w:r w:rsidR="000F1633" w:rsidRPr="00882F11">
        <w:rPr>
          <w:rFonts w:cs="Guttman Drogolin" w:hint="cs"/>
          <w:rtl/>
          <w:lang w:bidi="he-IL"/>
        </w:rPr>
        <w:t>ובפירש"י וכן ברא"ש מבואר שהוא ע"י נאמנות דמסיח לפי תומו, ולכן אינו נאמן אם שואל אותו להדיא אם יש טעם איסור. והתוס' חולקים וסוברים שא</w:t>
      </w:r>
      <w:r w:rsidR="00511083" w:rsidRPr="00882F11">
        <w:rPr>
          <w:rFonts w:cs="Guttman Drogolin" w:hint="cs"/>
          <w:rtl/>
          <w:lang w:bidi="he-IL"/>
        </w:rPr>
        <w:t>פ</w:t>
      </w:r>
      <w:r w:rsidR="000F1633" w:rsidRPr="00882F11">
        <w:rPr>
          <w:rFonts w:cs="Guttman Drogolin" w:hint="cs"/>
          <w:rtl/>
          <w:lang w:bidi="he-IL"/>
        </w:rPr>
        <w:t>שר לסמוך עליו אפילו שואלים אותו להדיא, ומן הטעם שאומן לא יפסיד אומנותו. ולשיטת התוס' מובן למה נקטו קפילא ומשום שדוקא קפילא נאמן שדוקא אצלו שייך הסברא דלא יפסיד אומנותו, אבל לרש"י והרא"ש צ"ע למה נקטו קפילא. ואיכא למימר דלאו דוקא נקט וה"ה גם שאר נכרי רק שהגמ' דיבר בהוה. ומה שפירשו דקפילא הוא נחתום, אין זה בגלל דסברי ש</w:t>
      </w:r>
      <w:r w:rsidR="00511083" w:rsidRPr="00882F11">
        <w:rPr>
          <w:rFonts w:cs="Guttman Drogolin" w:hint="cs"/>
          <w:rtl/>
          <w:lang w:bidi="he-IL"/>
        </w:rPr>
        <w:t>צ</w:t>
      </w:r>
      <w:r w:rsidR="000F1633" w:rsidRPr="00882F11">
        <w:rPr>
          <w:rFonts w:cs="Guttman Drogolin" w:hint="cs"/>
          <w:rtl/>
          <w:lang w:bidi="he-IL"/>
        </w:rPr>
        <w:t>ריכים דוקא נחתום, רק פירוש הוא דמפרשי לי' לגמ' ואה"נ הוא לאו דוקא. ובתוה"א וכן בטור מבואר דעה</w:t>
      </w:r>
      <w:r w:rsidR="00511083" w:rsidRPr="00882F11">
        <w:rPr>
          <w:rFonts w:cs="Guttman Drogolin" w:hint="cs"/>
          <w:rtl/>
          <w:lang w:bidi="he-IL"/>
        </w:rPr>
        <w:t xml:space="preserve"> שצריכים גם נאמנות דקפילא וגם מס</w:t>
      </w:r>
      <w:r w:rsidR="000F1633" w:rsidRPr="00882F11">
        <w:rPr>
          <w:rFonts w:cs="Guttman Drogolin" w:hint="cs"/>
          <w:rtl/>
          <w:lang w:bidi="he-IL"/>
        </w:rPr>
        <w:t xml:space="preserve">יח לפי תומו. וזה שפיר יכול להיות שיטת רש"י והרא"ש אבל אינו מפורש וכן העיר בב"י. אלא דטעמא בעי דלמה צריכים את שניהם. ולכאורה י"ל הטעם משום דכל </w:t>
      </w:r>
      <w:r w:rsidR="000F1633" w:rsidRPr="00882F11">
        <w:rPr>
          <w:rFonts w:cs="Guttman Drogolin" w:hint="cs"/>
          <w:rtl/>
          <w:lang w:bidi="he-IL"/>
        </w:rPr>
        <w:lastRenderedPageBreak/>
        <w:t>נא</w:t>
      </w:r>
      <w:r w:rsidR="004B42ED" w:rsidRPr="00882F11">
        <w:rPr>
          <w:rFonts w:cs="Guttman Drogolin" w:hint="cs"/>
          <w:rtl/>
          <w:lang w:bidi="he-IL"/>
        </w:rPr>
        <w:t>מ</w:t>
      </w:r>
      <w:r w:rsidR="000F1633" w:rsidRPr="00882F11">
        <w:rPr>
          <w:rFonts w:cs="Guttman Drogolin" w:hint="cs"/>
          <w:rtl/>
          <w:lang w:bidi="he-IL"/>
        </w:rPr>
        <w:t>נות לעצמו אינו מספיק</w:t>
      </w:r>
      <w:r w:rsidR="004B42ED" w:rsidRPr="00882F11">
        <w:rPr>
          <w:rFonts w:cs="Guttman Drogolin" w:hint="cs"/>
          <w:rtl/>
          <w:lang w:bidi="he-IL"/>
        </w:rPr>
        <w:t>. שהרי בנאמנות דמסיח לפי תומו כבר העירו הפוסקים דהא קיי"ל שאין סומכים על נכרי במסיח לפי תומו אלא בעדות אשה בלבד. ואין לומר שלשיטת רש"י עצמו ניחא כיון דסבר דטכ"ע דרבנן, דהא אפילו לדידי' טכ"ע דאורייתא בבב"ח</w:t>
      </w:r>
      <w:r w:rsidR="00402EF6" w:rsidRPr="00882F11">
        <w:rPr>
          <w:rStyle w:val="FootnoteReference"/>
          <w:rFonts w:cs="Guttman Drogolin"/>
          <w:rtl/>
          <w:lang w:bidi="he-IL"/>
        </w:rPr>
        <w:footnoteReference w:id="118"/>
      </w:r>
      <w:r w:rsidR="004B42ED" w:rsidRPr="00882F11">
        <w:rPr>
          <w:rFonts w:cs="Guttman Drogolin" w:hint="cs"/>
          <w:rtl/>
          <w:lang w:bidi="he-IL"/>
        </w:rPr>
        <w:t xml:space="preserve">, וכן </w:t>
      </w:r>
      <w:r w:rsidR="00402EF6" w:rsidRPr="00882F11">
        <w:rPr>
          <w:rFonts w:cs="Guttman Drogolin" w:hint="cs"/>
          <w:rtl/>
          <w:lang w:bidi="he-IL"/>
        </w:rPr>
        <w:t>בטעמו וממשו הוי דאורייתא ולכאורה מהני בה טעימת קפילא.</w:t>
      </w:r>
      <w:r w:rsidR="000F1633" w:rsidRPr="00882F11">
        <w:rPr>
          <w:rFonts w:cs="Guttman Drogolin" w:hint="cs"/>
          <w:rtl/>
          <w:lang w:bidi="he-IL"/>
        </w:rPr>
        <w:t xml:space="preserve"> </w:t>
      </w:r>
      <w:r w:rsidR="00402EF6" w:rsidRPr="00882F11">
        <w:rPr>
          <w:rFonts w:cs="Guttman Drogolin" w:hint="cs"/>
          <w:rtl/>
          <w:lang w:bidi="he-IL"/>
        </w:rPr>
        <w:t>ויתכן שזהו הטעם שלשיטה זו לא מספיק מסי</w:t>
      </w:r>
      <w:r w:rsidR="00511083" w:rsidRPr="00882F11">
        <w:rPr>
          <w:rFonts w:cs="Guttman Drogolin" w:hint="cs"/>
          <w:rtl/>
          <w:lang w:bidi="he-IL"/>
        </w:rPr>
        <w:t>ח</w:t>
      </w:r>
      <w:r w:rsidR="00402EF6" w:rsidRPr="00882F11">
        <w:rPr>
          <w:rFonts w:cs="Guttman Drogolin" w:hint="cs"/>
          <w:rtl/>
          <w:lang w:bidi="he-IL"/>
        </w:rPr>
        <w:t xml:space="preserve"> ל</w:t>
      </w:r>
      <w:r w:rsidR="00511083" w:rsidRPr="00882F11">
        <w:rPr>
          <w:rFonts w:cs="Guttman Drogolin" w:hint="cs"/>
          <w:rtl/>
          <w:lang w:bidi="he-IL"/>
        </w:rPr>
        <w:t>פ</w:t>
      </w:r>
      <w:r w:rsidR="00402EF6" w:rsidRPr="00882F11">
        <w:rPr>
          <w:rFonts w:cs="Guttman Drogolin" w:hint="cs"/>
          <w:rtl/>
          <w:lang w:bidi="he-IL"/>
        </w:rPr>
        <w:t xml:space="preserve">י תומו. וכן הטעם דלא יפסיד אומנתו לא מספיק, אבל תרוייהו גם יחד הוי נאמנות גמורה. </w:t>
      </w:r>
      <w:r w:rsidR="005140C1" w:rsidRPr="00882F11">
        <w:rPr>
          <w:rFonts w:cs="Guttman Drogolin" w:hint="cs"/>
          <w:rtl/>
          <w:lang w:bidi="he-IL"/>
        </w:rPr>
        <w:t>אלא שיש להעיר היכי משכחת לה תרוייהו ביחד, שאם אינו יודע שסומכים עליו, האיך שייך הסברא דלא יפסיד אומנתו. ונראה פשוט שאע"פ שאינו יודע שסומכים עליו מ"מ כיון שאומרים שאין שם טעם זהיר הוא בזה כיון שהוא אומן.</w:t>
      </w:r>
    </w:p>
    <w:p w:rsidR="00721B13" w:rsidRPr="00882F11" w:rsidRDefault="00721B13" w:rsidP="0055761B">
      <w:pPr>
        <w:bidi/>
        <w:jc w:val="both"/>
        <w:rPr>
          <w:rFonts w:cs="Guttman Drogolin"/>
          <w:rtl/>
          <w:lang w:bidi="he-IL"/>
        </w:rPr>
      </w:pPr>
      <w:r w:rsidRPr="00882F11">
        <w:rPr>
          <w:rFonts w:cs="Guttman Drogolin" w:hint="cs"/>
          <w:rtl/>
          <w:lang w:bidi="he-IL"/>
        </w:rPr>
        <w:t>ובש"ך בשם מה"ר גרשון מבואר דבעינן קפילא משום דרק קפילא יכול להבחין אם יש בה טעם או לא. והנה בחי' הרשב"א דקדק מדלא קתני בטעימת כהן שצריכים קפילא כמש"כ בארמאה, שלעולם טעם ה</w:t>
      </w:r>
      <w:r w:rsidR="0055761B" w:rsidRPr="00882F11">
        <w:rPr>
          <w:rFonts w:cs="Guttman Drogolin" w:hint="cs"/>
          <w:rtl/>
          <w:lang w:bidi="he-IL"/>
        </w:rPr>
        <w:t>נ</w:t>
      </w:r>
      <w:r w:rsidRPr="00882F11">
        <w:rPr>
          <w:rFonts w:cs="Guttman Drogolin" w:hint="cs"/>
          <w:rtl/>
          <w:lang w:bidi="he-IL"/>
        </w:rPr>
        <w:t>אסר הוא טעם המורגש לסתם בן אדם ולא</w:t>
      </w:r>
      <w:r w:rsidR="00172672" w:rsidRPr="00882F11">
        <w:rPr>
          <w:rFonts w:cs="Guttman Drogolin" w:hint="cs"/>
          <w:rtl/>
          <w:lang w:bidi="he-IL"/>
        </w:rPr>
        <w:t xml:space="preserve"> בעינן קפילא לראות אם יש בה טעם</w:t>
      </w:r>
      <w:r w:rsidR="00172672" w:rsidRPr="00882F11">
        <w:rPr>
          <w:rStyle w:val="FootnoteReference"/>
          <w:rFonts w:cs="Guttman Drogolin"/>
          <w:rtl/>
          <w:lang w:bidi="he-IL"/>
        </w:rPr>
        <w:footnoteReference w:id="119"/>
      </w:r>
      <w:r w:rsidR="00692A48" w:rsidRPr="00882F11">
        <w:rPr>
          <w:rFonts w:cs="Guttman Drogolin" w:hint="cs"/>
          <w:rtl/>
          <w:lang w:bidi="he-IL"/>
        </w:rPr>
        <w:t xml:space="preserve">. ומשמע לכאורה שמהר"ג חולק על זה וסובר שצריכים את הבקיאות של קפילא. אלא שא"כ לכאורה הי' צריך להיות הדין שגם כהן צריך להיות קפילא וא"כ יקשה להר"ג דיוק הגמ' הנ"ל. ובאמת לשיטת הרמב"ם דבר זה מ"מ קשה דהא לדידי' גם בעכו"ם לא בעינן קפילא. ואולי י"ל שרק בעכו"ם הצריכו קפילא כיון שיש חסרון מצד הנאמנות שלו בהיותו עכו"ם, אבל בישראל לא הצריכו כולי האי. </w:t>
      </w:r>
    </w:p>
    <w:p w:rsidR="00720855" w:rsidRPr="00882F11" w:rsidRDefault="005140C1" w:rsidP="00720855">
      <w:pPr>
        <w:bidi/>
        <w:jc w:val="both"/>
        <w:rPr>
          <w:rFonts w:cs="Guttman Drogolin"/>
          <w:rtl/>
          <w:lang w:bidi="he-IL"/>
        </w:rPr>
      </w:pPr>
      <w:r w:rsidRPr="00882F11">
        <w:rPr>
          <w:rFonts w:cs="Guttman Drogolin" w:hint="cs"/>
          <w:rtl/>
          <w:lang w:bidi="he-IL"/>
        </w:rPr>
        <w:t xml:space="preserve">ולשיטת רש"י אומרים שהטעם דמהני מסיח פי תומו היינו ביחד עם הסברא שסופו להגלות, דהא כשיטעום הישראל ידע אם משקר או לא. ובאמת נראה לשיטת הרמב"ם זה הטעם הנאמנות היחיד. </w:t>
      </w:r>
      <w:r w:rsidRPr="00882F11">
        <w:rPr>
          <w:rFonts w:cs="Guttman Drogolin" w:hint="cs"/>
          <w:rtl/>
          <w:lang w:bidi="he-IL"/>
        </w:rPr>
        <w:lastRenderedPageBreak/>
        <w:t>שהרי ז"ל הרמב"ם פט"ו ה"ל "</w:t>
      </w:r>
      <w:r w:rsidR="00720855" w:rsidRPr="00882F11">
        <w:rPr>
          <w:rFonts w:cs="Guttman Drogolin" w:hint="cs"/>
          <w:rtl/>
          <w:lang w:bidi="he-IL"/>
        </w:rPr>
        <w:t>ואם</w:t>
      </w:r>
      <w:r w:rsidR="00720855" w:rsidRPr="00882F11">
        <w:rPr>
          <w:rFonts w:cs="Guttman Drogolin"/>
          <w:rtl/>
          <w:lang w:bidi="he-IL"/>
        </w:rPr>
        <w:t xml:space="preserve"> </w:t>
      </w:r>
      <w:r w:rsidR="00720855" w:rsidRPr="00882F11">
        <w:rPr>
          <w:rFonts w:cs="Guttman Drogolin" w:hint="cs"/>
          <w:rtl/>
          <w:lang w:bidi="he-IL"/>
        </w:rPr>
        <w:t>היה</w:t>
      </w:r>
      <w:r w:rsidR="00720855" w:rsidRPr="00882F11">
        <w:rPr>
          <w:rFonts w:cs="Guttman Drogolin"/>
          <w:rtl/>
          <w:lang w:bidi="he-IL"/>
        </w:rPr>
        <w:t xml:space="preserve"> </w:t>
      </w:r>
      <w:r w:rsidR="00720855" w:rsidRPr="00882F11">
        <w:rPr>
          <w:rFonts w:cs="Guttman Drogolin" w:hint="cs"/>
          <w:rtl/>
          <w:lang w:bidi="he-IL"/>
        </w:rPr>
        <w:t>בשר</w:t>
      </w:r>
      <w:r w:rsidR="00720855" w:rsidRPr="00882F11">
        <w:rPr>
          <w:rFonts w:cs="Guttman Drogolin"/>
          <w:rtl/>
          <w:lang w:bidi="he-IL"/>
        </w:rPr>
        <w:t xml:space="preserve"> </w:t>
      </w:r>
      <w:r w:rsidR="00720855" w:rsidRPr="00882F11">
        <w:rPr>
          <w:rFonts w:cs="Guttman Drogolin" w:hint="cs"/>
          <w:rtl/>
          <w:lang w:bidi="he-IL"/>
        </w:rPr>
        <w:t>בחלב</w:t>
      </w:r>
      <w:r w:rsidR="00720855" w:rsidRPr="00882F11">
        <w:rPr>
          <w:rFonts w:cs="Guttman Drogolin"/>
          <w:rtl/>
          <w:lang w:bidi="he-IL"/>
        </w:rPr>
        <w:t xml:space="preserve"> </w:t>
      </w:r>
      <w:r w:rsidR="00720855" w:rsidRPr="00882F11">
        <w:rPr>
          <w:rFonts w:cs="Guttman Drogolin" w:hint="cs"/>
          <w:rtl/>
          <w:lang w:bidi="he-IL"/>
        </w:rPr>
        <w:t>או</w:t>
      </w:r>
      <w:r w:rsidR="00720855" w:rsidRPr="00882F11">
        <w:rPr>
          <w:rFonts w:cs="Guttman Drogolin"/>
          <w:rtl/>
          <w:lang w:bidi="he-IL"/>
        </w:rPr>
        <w:t xml:space="preserve"> </w:t>
      </w:r>
      <w:r w:rsidR="00720855" w:rsidRPr="00882F11">
        <w:rPr>
          <w:rFonts w:cs="Guttman Drogolin" w:hint="cs"/>
          <w:rtl/>
          <w:lang w:bidi="he-IL"/>
        </w:rPr>
        <w:t>יין</w:t>
      </w:r>
      <w:r w:rsidR="00720855" w:rsidRPr="00882F11">
        <w:rPr>
          <w:rFonts w:cs="Guttman Drogolin"/>
          <w:rtl/>
          <w:lang w:bidi="he-IL"/>
        </w:rPr>
        <w:t xml:space="preserve"> </w:t>
      </w:r>
      <w:r w:rsidR="00720855" w:rsidRPr="00882F11">
        <w:rPr>
          <w:rFonts w:cs="Guttman Drogolin" w:hint="cs"/>
          <w:rtl/>
          <w:lang w:bidi="he-IL"/>
        </w:rPr>
        <w:t>נסך</w:t>
      </w:r>
      <w:r w:rsidR="00720855" w:rsidRPr="00882F11">
        <w:rPr>
          <w:rFonts w:cs="Guttman Drogolin"/>
          <w:rtl/>
          <w:lang w:bidi="he-IL"/>
        </w:rPr>
        <w:t xml:space="preserve"> </w:t>
      </w:r>
      <w:r w:rsidR="00720855" w:rsidRPr="00882F11">
        <w:rPr>
          <w:rFonts w:cs="Guttman Drogolin" w:hint="cs"/>
          <w:rtl/>
          <w:lang w:bidi="he-IL"/>
        </w:rPr>
        <w:t>וכו'</w:t>
      </w:r>
      <w:r w:rsidR="00720855" w:rsidRPr="00882F11">
        <w:rPr>
          <w:rFonts w:cs="Guttman Drogolin"/>
          <w:rtl/>
          <w:lang w:bidi="he-IL"/>
        </w:rPr>
        <w:t xml:space="preserve"> </w:t>
      </w:r>
      <w:r w:rsidR="00720855" w:rsidRPr="00882F11">
        <w:rPr>
          <w:rFonts w:cs="Guttman Drogolin" w:hint="cs"/>
          <w:rtl/>
          <w:lang w:bidi="he-IL"/>
        </w:rPr>
        <w:t>וכיוצא</w:t>
      </w:r>
      <w:r w:rsidR="00720855" w:rsidRPr="00882F11">
        <w:rPr>
          <w:rFonts w:cs="Guttman Drogolin"/>
          <w:rtl/>
          <w:lang w:bidi="he-IL"/>
        </w:rPr>
        <w:t xml:space="preserve"> </w:t>
      </w:r>
      <w:r w:rsidR="00720855" w:rsidRPr="00882F11">
        <w:rPr>
          <w:rFonts w:cs="Guttman Drogolin" w:hint="cs"/>
          <w:rtl/>
          <w:lang w:bidi="he-IL"/>
        </w:rPr>
        <w:t>בהן</w:t>
      </w:r>
      <w:r w:rsidR="00720855" w:rsidRPr="00882F11">
        <w:rPr>
          <w:rFonts w:cs="Guttman Drogolin"/>
          <w:rtl/>
          <w:lang w:bidi="he-IL"/>
        </w:rPr>
        <w:t xml:space="preserve"> </w:t>
      </w:r>
      <w:r w:rsidR="00720855" w:rsidRPr="00882F11">
        <w:rPr>
          <w:rFonts w:cs="Guttman Drogolin" w:hint="cs"/>
          <w:rtl/>
          <w:lang w:bidi="he-IL"/>
        </w:rPr>
        <w:t>טועם</w:t>
      </w:r>
      <w:r w:rsidR="00720855" w:rsidRPr="00882F11">
        <w:rPr>
          <w:rFonts w:cs="Guttman Drogolin"/>
          <w:rtl/>
          <w:lang w:bidi="he-IL"/>
        </w:rPr>
        <w:t xml:space="preserve"> </w:t>
      </w:r>
      <w:r w:rsidR="00720855" w:rsidRPr="00882F11">
        <w:rPr>
          <w:rFonts w:cs="Guttman Drogolin" w:hint="cs"/>
          <w:rtl/>
          <w:lang w:bidi="he-IL"/>
        </w:rPr>
        <w:t>אותן</w:t>
      </w:r>
      <w:r w:rsidR="00720855" w:rsidRPr="00882F11">
        <w:rPr>
          <w:rFonts w:cs="Guttman Drogolin"/>
          <w:rtl/>
          <w:lang w:bidi="he-IL"/>
        </w:rPr>
        <w:t xml:space="preserve"> </w:t>
      </w:r>
      <w:r w:rsidR="00720855" w:rsidRPr="00882F11">
        <w:rPr>
          <w:rFonts w:cs="Guttman Drogolin" w:hint="cs"/>
          <w:rtl/>
          <w:lang w:bidi="he-IL"/>
        </w:rPr>
        <w:t>העכו</w:t>
      </w:r>
      <w:r w:rsidR="00382D6D" w:rsidRPr="00882F11">
        <w:rPr>
          <w:rFonts w:cs="Guttman Drogolin" w:hint="cs"/>
          <w:rtl/>
          <w:lang w:bidi="he-IL"/>
        </w:rPr>
        <w:t>"</w:t>
      </w:r>
      <w:r w:rsidR="00720855" w:rsidRPr="00882F11">
        <w:rPr>
          <w:rFonts w:cs="Guttman Drogolin" w:hint="cs"/>
          <w:rtl/>
          <w:lang w:bidi="he-IL"/>
        </w:rPr>
        <w:t>ם</w:t>
      </w:r>
      <w:r w:rsidR="00720855" w:rsidRPr="00882F11">
        <w:rPr>
          <w:rFonts w:cs="Guttman Drogolin"/>
          <w:rtl/>
          <w:lang w:bidi="he-IL"/>
        </w:rPr>
        <w:t xml:space="preserve"> </w:t>
      </w:r>
      <w:r w:rsidR="00720855" w:rsidRPr="00882F11">
        <w:rPr>
          <w:rFonts w:cs="Guttman Drogolin" w:hint="cs"/>
          <w:rtl/>
          <w:lang w:bidi="he-IL"/>
        </w:rPr>
        <w:t>וסומכין</w:t>
      </w:r>
      <w:r w:rsidR="00720855" w:rsidRPr="00882F11">
        <w:rPr>
          <w:rFonts w:cs="Guttman Drogolin"/>
          <w:rtl/>
          <w:lang w:bidi="he-IL"/>
        </w:rPr>
        <w:t xml:space="preserve"> </w:t>
      </w:r>
      <w:r w:rsidR="00720855" w:rsidRPr="00882F11">
        <w:rPr>
          <w:rFonts w:cs="Guttman Drogolin" w:hint="cs"/>
          <w:rtl/>
          <w:lang w:bidi="he-IL"/>
        </w:rPr>
        <w:t>על</w:t>
      </w:r>
      <w:r w:rsidR="00720855" w:rsidRPr="00882F11">
        <w:rPr>
          <w:rFonts w:cs="Guttman Drogolin"/>
          <w:rtl/>
          <w:lang w:bidi="he-IL"/>
        </w:rPr>
        <w:t xml:space="preserve"> </w:t>
      </w:r>
      <w:r w:rsidR="00720855" w:rsidRPr="00882F11">
        <w:rPr>
          <w:rFonts w:cs="Guttman Drogolin" w:hint="cs"/>
          <w:rtl/>
          <w:lang w:bidi="he-IL"/>
        </w:rPr>
        <w:t>פיו". הרי שלא כתב הרמב"ם שצריכים מסיח לפי תומו וכן לא הדגיש שצריכם דוקא קפילא. וע"כ הטעם כנ"ל דכיון שסופו להיות גלוי נאמן.</w:t>
      </w:r>
    </w:p>
    <w:p w:rsidR="003931E9" w:rsidRPr="00882F11" w:rsidRDefault="00720855" w:rsidP="0055761B">
      <w:pPr>
        <w:bidi/>
        <w:jc w:val="both"/>
        <w:rPr>
          <w:rFonts w:cs="Guttman Drogolin"/>
          <w:rtl/>
          <w:lang w:bidi="he-IL"/>
        </w:rPr>
      </w:pPr>
      <w:r w:rsidRPr="00882F11">
        <w:rPr>
          <w:rFonts w:cs="Guttman Drogolin" w:hint="cs"/>
          <w:rtl/>
          <w:lang w:bidi="he-IL"/>
        </w:rPr>
        <w:t>וב</w:t>
      </w:r>
      <w:r w:rsidR="0055761B" w:rsidRPr="00882F11">
        <w:rPr>
          <w:rFonts w:cs="Guttman Drogolin" w:hint="cs"/>
          <w:rtl/>
          <w:lang w:bidi="he-IL"/>
        </w:rPr>
        <w:t>א</w:t>
      </w:r>
      <w:r w:rsidRPr="00882F11">
        <w:rPr>
          <w:rFonts w:cs="Guttman Drogolin" w:hint="cs"/>
          <w:rtl/>
          <w:lang w:bidi="he-IL"/>
        </w:rPr>
        <w:t>מת יעוין בחי' רע"א מכת"י שהעיר גם על הנאמנות</w:t>
      </w:r>
      <w:r w:rsidR="003931E9" w:rsidRPr="00882F11">
        <w:rPr>
          <w:rFonts w:cs="Guttman Drogolin" w:hint="cs"/>
          <w:rtl/>
          <w:lang w:bidi="he-IL"/>
        </w:rPr>
        <w:t xml:space="preserve"> </w:t>
      </w:r>
      <w:r w:rsidRPr="00882F11">
        <w:rPr>
          <w:rFonts w:cs="Guttman Drogolin" w:hint="cs"/>
          <w:rtl/>
          <w:lang w:bidi="he-IL"/>
        </w:rPr>
        <w:t>של ישראל דל</w:t>
      </w:r>
      <w:r w:rsidR="0055761B" w:rsidRPr="00882F11">
        <w:rPr>
          <w:rFonts w:cs="Guttman Drogolin" w:hint="cs"/>
          <w:rtl/>
          <w:lang w:bidi="he-IL"/>
        </w:rPr>
        <w:t>מ</w:t>
      </w:r>
      <w:r w:rsidRPr="00882F11">
        <w:rPr>
          <w:rFonts w:cs="Guttman Drogolin" w:hint="cs"/>
          <w:rtl/>
          <w:lang w:bidi="he-IL"/>
        </w:rPr>
        <w:t xml:space="preserve">ה יהא נאמן, דאע"ג שעד א' נאמן באיסורים, ההנ"מ כשלא איתחזק איסורא, אבל הכא הא איתחזק איסורא. </w:t>
      </w:r>
      <w:r w:rsidR="001C40FF" w:rsidRPr="00882F11">
        <w:rPr>
          <w:rFonts w:cs="Guttman Drogolin" w:hint="cs"/>
          <w:rtl/>
          <w:lang w:bidi="he-IL"/>
        </w:rPr>
        <w:t>וכתב שלמ"ד שנהפך ההיתר להיות איסור י"ל שהרי הי' חזקת היתר עכ"פ לחלק ההיתר שבו.</w:t>
      </w:r>
    </w:p>
    <w:p w:rsidR="001C40FF" w:rsidRPr="00882F11" w:rsidRDefault="001C40FF" w:rsidP="001C40FF">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04" w:name="_Toc496175364"/>
      <w:r w:rsidRPr="00882F11">
        <w:rPr>
          <w:rFonts w:asciiTheme="majorHAnsi" w:eastAsiaTheme="majorEastAsia" w:hAnsiTheme="majorHAnsi" w:cs="Guttman Drogolin" w:hint="cs"/>
          <w:b/>
          <w:bCs/>
          <w:sz w:val="24"/>
          <w:szCs w:val="24"/>
          <w:u w:val="single"/>
          <w:rtl/>
          <w:lang w:bidi="he-IL"/>
        </w:rPr>
        <w:t>מתי סמכינן אקפילא</w:t>
      </w:r>
      <w:bookmarkEnd w:id="104"/>
    </w:p>
    <w:p w:rsidR="001C40FF" w:rsidRPr="00882F11" w:rsidRDefault="000F2E11" w:rsidP="0055761B">
      <w:pPr>
        <w:bidi/>
        <w:jc w:val="both"/>
        <w:rPr>
          <w:rFonts w:cs="Guttman Drogolin"/>
          <w:rtl/>
          <w:lang w:bidi="he-IL"/>
        </w:rPr>
      </w:pPr>
      <w:r>
        <w:rPr>
          <w:rFonts w:cs="Guttman Drogolin"/>
          <w:rtl/>
          <w:lang w:bidi="he-IL"/>
        </w:rPr>
        <w:fldChar w:fldCharType="begin"/>
      </w:r>
      <w:r>
        <w:instrText xml:space="preserve"> XE "</w:instrText>
      </w:r>
      <w:r w:rsidRPr="00882A52">
        <w:rPr>
          <w:rFonts w:hint="cs"/>
          <w:rtl/>
          <w:lang w:bidi="he-IL"/>
        </w:rPr>
        <w:instrText>קפילא</w:instrText>
      </w:r>
      <w:r w:rsidRPr="00882A52">
        <w:rPr>
          <w:rtl/>
        </w:rPr>
        <w:instrText>:</w:instrText>
      </w:r>
      <w:r w:rsidRPr="00882A52">
        <w:rPr>
          <w:rFonts w:hint="cs"/>
          <w:rtl/>
          <w:lang w:bidi="he-IL"/>
        </w:rPr>
        <w:instrText>אי הוי דין לקולא או לחומרא</w:instrText>
      </w:r>
      <w:r>
        <w:instrText xml:space="preserve">" </w:instrText>
      </w:r>
      <w:r>
        <w:rPr>
          <w:rFonts w:cs="Guttman Drogolin"/>
          <w:rtl/>
          <w:lang w:bidi="he-IL"/>
        </w:rPr>
        <w:fldChar w:fldCharType="end"/>
      </w:r>
      <w:r w:rsidR="001C40FF" w:rsidRPr="00882F11">
        <w:rPr>
          <w:rFonts w:cs="Guttman Drogolin" w:hint="cs"/>
          <w:rtl/>
          <w:lang w:bidi="he-IL"/>
        </w:rPr>
        <w:t>לכאורה דין של טעימת קפילא הו</w:t>
      </w:r>
      <w:r w:rsidR="00DE6FA6" w:rsidRPr="00882F11">
        <w:rPr>
          <w:rFonts w:cs="Guttman Drogolin" w:hint="cs"/>
          <w:rtl/>
          <w:lang w:bidi="he-IL"/>
        </w:rPr>
        <w:t>א דין לקו</w:t>
      </w:r>
      <w:r w:rsidR="001C40FF" w:rsidRPr="00882F11">
        <w:rPr>
          <w:rFonts w:cs="Guttman Drogolin" w:hint="cs"/>
          <w:rtl/>
          <w:lang w:bidi="he-IL"/>
        </w:rPr>
        <w:t xml:space="preserve">לא, שבעלמא בדליכא למיקם אטעמא צריכים ששים כנגדו כדי שנדע שאין שם טעם איסור, אבל יטעמנו קפילא ויאמר לנו שאין טעם אפילו אם אין ששים כנגדו מותר. אלא שרש"י בדף צ"ח ע"א דקדק מן הגמ' שבדף </w:t>
      </w:r>
      <w:r w:rsidR="005007A2" w:rsidRPr="00882F11">
        <w:rPr>
          <w:rFonts w:cs="Guttman Drogolin" w:hint="cs"/>
          <w:rtl/>
          <w:lang w:bidi="he-IL"/>
        </w:rPr>
        <w:t>צ"ט ע"א שצריכים גם ששים וגם קפילא. שהרי ז"ל המתני' שבמס' ערלה "גריסין</w:t>
      </w:r>
      <w:r w:rsidR="005007A2" w:rsidRPr="00882F11">
        <w:rPr>
          <w:rFonts w:cs="Guttman Drogolin"/>
          <w:rtl/>
          <w:lang w:bidi="he-IL"/>
        </w:rPr>
        <w:t xml:space="preserve"> </w:t>
      </w:r>
      <w:r w:rsidR="005007A2" w:rsidRPr="00882F11">
        <w:rPr>
          <w:rFonts w:cs="Guttman Drogolin" w:hint="cs"/>
          <w:rtl/>
          <w:lang w:bidi="he-IL"/>
        </w:rPr>
        <w:t>שנתבשלו</w:t>
      </w:r>
      <w:r w:rsidR="005007A2" w:rsidRPr="00882F11">
        <w:rPr>
          <w:rFonts w:cs="Guttman Drogolin"/>
          <w:rtl/>
          <w:lang w:bidi="he-IL"/>
        </w:rPr>
        <w:t xml:space="preserve"> </w:t>
      </w:r>
      <w:r w:rsidR="005007A2" w:rsidRPr="00882F11">
        <w:rPr>
          <w:rFonts w:cs="Guttman Drogolin" w:hint="cs"/>
          <w:rtl/>
          <w:lang w:bidi="he-IL"/>
        </w:rPr>
        <w:t>עם</w:t>
      </w:r>
      <w:r w:rsidR="005007A2" w:rsidRPr="00882F11">
        <w:rPr>
          <w:rFonts w:cs="Guttman Drogolin"/>
          <w:rtl/>
          <w:lang w:bidi="he-IL"/>
        </w:rPr>
        <w:t xml:space="preserve"> </w:t>
      </w:r>
      <w:r w:rsidR="005007A2" w:rsidRPr="00882F11">
        <w:rPr>
          <w:rFonts w:cs="Guttman Drogolin" w:hint="cs"/>
          <w:rtl/>
          <w:lang w:bidi="he-IL"/>
        </w:rPr>
        <w:t>העדשים</w:t>
      </w:r>
      <w:r w:rsidR="005007A2" w:rsidRPr="00882F11">
        <w:rPr>
          <w:rFonts w:cs="Guttman Drogolin"/>
          <w:rtl/>
          <w:lang w:bidi="he-IL"/>
        </w:rPr>
        <w:t xml:space="preserve"> </w:t>
      </w:r>
      <w:r w:rsidR="005007A2" w:rsidRPr="00882F11">
        <w:rPr>
          <w:rFonts w:cs="Guttman Drogolin" w:hint="cs"/>
          <w:rtl/>
          <w:lang w:bidi="he-IL"/>
        </w:rPr>
        <w:t>וכו'</w:t>
      </w:r>
      <w:r w:rsidR="005007A2" w:rsidRPr="00882F11">
        <w:rPr>
          <w:rFonts w:cs="Guttman Drogolin"/>
          <w:rtl/>
          <w:lang w:bidi="he-IL"/>
        </w:rPr>
        <w:t xml:space="preserve"> </w:t>
      </w:r>
      <w:r w:rsidR="005007A2" w:rsidRPr="00882F11">
        <w:rPr>
          <w:rFonts w:cs="Guttman Drogolin" w:hint="cs"/>
          <w:rtl/>
          <w:lang w:bidi="he-IL"/>
        </w:rPr>
        <w:t>אין</w:t>
      </w:r>
      <w:r w:rsidR="005007A2" w:rsidRPr="00882F11">
        <w:rPr>
          <w:rFonts w:cs="Guttman Drogolin"/>
          <w:rtl/>
          <w:lang w:bidi="he-IL"/>
        </w:rPr>
        <w:t xml:space="preserve"> </w:t>
      </w:r>
      <w:r w:rsidR="005007A2" w:rsidRPr="00882F11">
        <w:rPr>
          <w:rFonts w:cs="Guttman Drogolin" w:hint="cs"/>
          <w:rtl/>
          <w:lang w:bidi="he-IL"/>
        </w:rPr>
        <w:t>בהן</w:t>
      </w:r>
      <w:r w:rsidR="005007A2" w:rsidRPr="00882F11">
        <w:rPr>
          <w:rFonts w:cs="Guttman Drogolin"/>
          <w:rtl/>
          <w:lang w:bidi="he-IL"/>
        </w:rPr>
        <w:t xml:space="preserve"> </w:t>
      </w:r>
      <w:r w:rsidR="005007A2" w:rsidRPr="00882F11">
        <w:rPr>
          <w:rFonts w:cs="Guttman Drogolin" w:hint="cs"/>
          <w:rtl/>
          <w:lang w:bidi="he-IL"/>
        </w:rPr>
        <w:t>בנותן</w:t>
      </w:r>
      <w:r w:rsidR="005007A2" w:rsidRPr="00882F11">
        <w:rPr>
          <w:rFonts w:cs="Guttman Drogolin"/>
          <w:rtl/>
          <w:lang w:bidi="he-IL"/>
        </w:rPr>
        <w:t xml:space="preserve"> </w:t>
      </w:r>
      <w:r w:rsidR="005007A2" w:rsidRPr="00882F11">
        <w:rPr>
          <w:rFonts w:cs="Guttman Drogolin" w:hint="cs"/>
          <w:rtl/>
          <w:lang w:bidi="he-IL"/>
        </w:rPr>
        <w:t>טעם</w:t>
      </w:r>
      <w:r w:rsidR="005007A2" w:rsidRPr="00882F11">
        <w:rPr>
          <w:rFonts w:cs="Guttman Drogolin"/>
          <w:rtl/>
          <w:lang w:bidi="he-IL"/>
        </w:rPr>
        <w:t xml:space="preserve"> </w:t>
      </w:r>
      <w:r w:rsidR="005007A2" w:rsidRPr="00882F11">
        <w:rPr>
          <w:rFonts w:cs="Guttman Drogolin" w:hint="cs"/>
          <w:rtl/>
          <w:lang w:bidi="he-IL"/>
        </w:rPr>
        <w:t>בין</w:t>
      </w:r>
      <w:r w:rsidR="005007A2" w:rsidRPr="00882F11">
        <w:rPr>
          <w:rFonts w:cs="Guttman Drogolin"/>
          <w:rtl/>
          <w:lang w:bidi="he-IL"/>
        </w:rPr>
        <w:t xml:space="preserve"> </w:t>
      </w:r>
      <w:r w:rsidR="005007A2" w:rsidRPr="00882F11">
        <w:rPr>
          <w:rFonts w:cs="Guttman Drogolin" w:hint="cs"/>
          <w:rtl/>
          <w:lang w:bidi="he-IL"/>
        </w:rPr>
        <w:t>שיש</w:t>
      </w:r>
      <w:r w:rsidR="005007A2" w:rsidRPr="00882F11">
        <w:rPr>
          <w:rFonts w:cs="Guttman Drogolin"/>
          <w:rtl/>
          <w:lang w:bidi="he-IL"/>
        </w:rPr>
        <w:t xml:space="preserve"> </w:t>
      </w:r>
      <w:r w:rsidR="005007A2" w:rsidRPr="00882F11">
        <w:rPr>
          <w:rFonts w:cs="Guttman Drogolin" w:hint="cs"/>
          <w:rtl/>
          <w:lang w:bidi="he-IL"/>
        </w:rPr>
        <w:t>בהן</w:t>
      </w:r>
      <w:r w:rsidR="005007A2" w:rsidRPr="00882F11">
        <w:rPr>
          <w:rFonts w:cs="Guttman Drogolin"/>
          <w:rtl/>
          <w:lang w:bidi="he-IL"/>
        </w:rPr>
        <w:t xml:space="preserve"> </w:t>
      </w:r>
      <w:r w:rsidR="005007A2" w:rsidRPr="00882F11">
        <w:rPr>
          <w:rFonts w:cs="Guttman Drogolin" w:hint="cs"/>
          <w:rtl/>
          <w:lang w:bidi="he-IL"/>
        </w:rPr>
        <w:t>להעלות</w:t>
      </w:r>
      <w:r w:rsidR="005007A2" w:rsidRPr="00882F11">
        <w:rPr>
          <w:rFonts w:cs="Guttman Drogolin"/>
          <w:rtl/>
          <w:lang w:bidi="he-IL"/>
        </w:rPr>
        <w:t xml:space="preserve"> </w:t>
      </w:r>
      <w:r w:rsidR="005007A2" w:rsidRPr="00882F11">
        <w:rPr>
          <w:rFonts w:cs="Guttman Drogolin" w:hint="cs"/>
          <w:rtl/>
          <w:lang w:bidi="he-IL"/>
        </w:rPr>
        <w:t>במאה</w:t>
      </w:r>
      <w:r w:rsidR="005007A2" w:rsidRPr="00882F11">
        <w:rPr>
          <w:rFonts w:cs="Guttman Drogolin"/>
          <w:rtl/>
          <w:lang w:bidi="he-IL"/>
        </w:rPr>
        <w:t xml:space="preserve"> </w:t>
      </w:r>
      <w:r w:rsidR="005007A2" w:rsidRPr="00882F11">
        <w:rPr>
          <w:rFonts w:cs="Guttman Drogolin" w:hint="cs"/>
          <w:rtl/>
          <w:lang w:bidi="he-IL"/>
        </w:rPr>
        <w:t>ואחד</w:t>
      </w:r>
      <w:r w:rsidR="005007A2" w:rsidRPr="00882F11">
        <w:rPr>
          <w:rFonts w:cs="Guttman Drogolin"/>
          <w:rtl/>
          <w:lang w:bidi="he-IL"/>
        </w:rPr>
        <w:t xml:space="preserve"> </w:t>
      </w:r>
      <w:r w:rsidR="005007A2" w:rsidRPr="00882F11">
        <w:rPr>
          <w:rFonts w:cs="Guttman Drogolin" w:hint="cs"/>
          <w:rtl/>
          <w:lang w:bidi="he-IL"/>
        </w:rPr>
        <w:t>בין</w:t>
      </w:r>
      <w:r w:rsidR="005007A2" w:rsidRPr="00882F11">
        <w:rPr>
          <w:rFonts w:cs="Guttman Drogolin"/>
          <w:rtl/>
          <w:lang w:bidi="he-IL"/>
        </w:rPr>
        <w:t xml:space="preserve"> </w:t>
      </w:r>
      <w:r w:rsidR="005007A2" w:rsidRPr="00882F11">
        <w:rPr>
          <w:rFonts w:cs="Guttman Drogolin" w:hint="cs"/>
          <w:rtl/>
          <w:lang w:bidi="he-IL"/>
        </w:rPr>
        <w:t>אין</w:t>
      </w:r>
      <w:r w:rsidR="005007A2" w:rsidRPr="00882F11">
        <w:rPr>
          <w:rFonts w:cs="Guttman Drogolin"/>
          <w:rtl/>
          <w:lang w:bidi="he-IL"/>
        </w:rPr>
        <w:t xml:space="preserve"> </w:t>
      </w:r>
      <w:r w:rsidR="005007A2" w:rsidRPr="00882F11">
        <w:rPr>
          <w:rFonts w:cs="Guttman Drogolin" w:hint="cs"/>
          <w:rtl/>
          <w:lang w:bidi="he-IL"/>
        </w:rPr>
        <w:t>בהן</w:t>
      </w:r>
      <w:r w:rsidR="005007A2" w:rsidRPr="00882F11">
        <w:rPr>
          <w:rFonts w:cs="Guttman Drogolin"/>
          <w:rtl/>
          <w:lang w:bidi="he-IL"/>
        </w:rPr>
        <w:t xml:space="preserve"> </w:t>
      </w:r>
      <w:r w:rsidR="005007A2" w:rsidRPr="00882F11">
        <w:rPr>
          <w:rFonts w:cs="Guttman Drogolin" w:hint="cs"/>
          <w:rtl/>
          <w:lang w:bidi="he-IL"/>
        </w:rPr>
        <w:t>להעלות</w:t>
      </w:r>
      <w:r w:rsidR="005007A2" w:rsidRPr="00882F11">
        <w:rPr>
          <w:rFonts w:cs="Guttman Drogolin"/>
          <w:rtl/>
          <w:lang w:bidi="he-IL"/>
        </w:rPr>
        <w:t xml:space="preserve"> </w:t>
      </w:r>
      <w:r w:rsidR="005007A2" w:rsidRPr="00882F11">
        <w:rPr>
          <w:rFonts w:cs="Guttman Drogolin" w:hint="cs"/>
          <w:rtl/>
          <w:lang w:bidi="he-IL"/>
        </w:rPr>
        <w:t>במאה</w:t>
      </w:r>
      <w:r w:rsidR="005007A2" w:rsidRPr="00882F11">
        <w:rPr>
          <w:rFonts w:cs="Guttman Drogolin"/>
          <w:rtl/>
          <w:lang w:bidi="he-IL"/>
        </w:rPr>
        <w:t xml:space="preserve"> </w:t>
      </w:r>
      <w:r w:rsidR="005007A2" w:rsidRPr="00882F11">
        <w:rPr>
          <w:rFonts w:cs="Guttman Drogolin" w:hint="cs"/>
          <w:rtl/>
          <w:lang w:bidi="he-IL"/>
        </w:rPr>
        <w:t>ואחד</w:t>
      </w:r>
      <w:r w:rsidR="005007A2" w:rsidRPr="00882F11">
        <w:rPr>
          <w:rFonts w:cs="Guttman Drogolin"/>
          <w:rtl/>
          <w:lang w:bidi="he-IL"/>
        </w:rPr>
        <w:t xml:space="preserve"> </w:t>
      </w:r>
      <w:r w:rsidR="005007A2" w:rsidRPr="00882F11">
        <w:rPr>
          <w:rFonts w:cs="Guttman Drogolin" w:hint="cs"/>
          <w:rtl/>
          <w:lang w:bidi="he-IL"/>
        </w:rPr>
        <w:t>מותר" ואומרת על זה הגמ'</w:t>
      </w:r>
      <w:r w:rsidR="005007A2" w:rsidRPr="00882F11">
        <w:rPr>
          <w:rFonts w:cs="Guttman Drogolin"/>
          <w:rtl/>
          <w:lang w:bidi="he-IL"/>
        </w:rPr>
        <w:t xml:space="preserve"> </w:t>
      </w:r>
      <w:r w:rsidR="005007A2" w:rsidRPr="00882F11">
        <w:rPr>
          <w:rFonts w:cs="Guttman Drogolin" w:hint="cs"/>
          <w:rtl/>
          <w:lang w:bidi="he-IL"/>
        </w:rPr>
        <w:t>"אין</w:t>
      </w:r>
      <w:r w:rsidR="005007A2" w:rsidRPr="00882F11">
        <w:rPr>
          <w:rFonts w:cs="Guttman Drogolin"/>
          <w:rtl/>
          <w:lang w:bidi="he-IL"/>
        </w:rPr>
        <w:t xml:space="preserve"> </w:t>
      </w:r>
      <w:r w:rsidR="005007A2" w:rsidRPr="00882F11">
        <w:rPr>
          <w:rFonts w:cs="Guttman Drogolin" w:hint="cs"/>
          <w:rtl/>
          <w:lang w:bidi="he-IL"/>
        </w:rPr>
        <w:t>בהן</w:t>
      </w:r>
      <w:r w:rsidR="005007A2" w:rsidRPr="00882F11">
        <w:rPr>
          <w:rFonts w:cs="Guttman Drogolin"/>
          <w:rtl/>
          <w:lang w:bidi="he-IL"/>
        </w:rPr>
        <w:t xml:space="preserve"> </w:t>
      </w:r>
      <w:r w:rsidR="005007A2" w:rsidRPr="00882F11">
        <w:rPr>
          <w:rFonts w:cs="Guttman Drogolin" w:hint="cs"/>
          <w:rtl/>
          <w:lang w:bidi="he-IL"/>
        </w:rPr>
        <w:t>להעלות</w:t>
      </w:r>
      <w:r w:rsidR="005007A2" w:rsidRPr="00882F11">
        <w:rPr>
          <w:rFonts w:cs="Guttman Drogolin"/>
          <w:rtl/>
          <w:lang w:bidi="he-IL"/>
        </w:rPr>
        <w:t xml:space="preserve"> </w:t>
      </w:r>
      <w:r w:rsidR="005007A2" w:rsidRPr="00882F11">
        <w:rPr>
          <w:rFonts w:cs="Guttman Drogolin" w:hint="cs"/>
          <w:rtl/>
          <w:lang w:bidi="he-IL"/>
        </w:rPr>
        <w:t>במאה</w:t>
      </w:r>
      <w:r w:rsidR="005007A2" w:rsidRPr="00882F11">
        <w:rPr>
          <w:rFonts w:cs="Guttman Drogolin"/>
          <w:rtl/>
          <w:lang w:bidi="he-IL"/>
        </w:rPr>
        <w:t xml:space="preserve"> </w:t>
      </w:r>
      <w:r w:rsidR="005007A2" w:rsidRPr="00882F11">
        <w:rPr>
          <w:rFonts w:cs="Guttman Drogolin" w:hint="cs"/>
          <w:rtl/>
          <w:lang w:bidi="he-IL"/>
        </w:rPr>
        <w:t>ואחד</w:t>
      </w:r>
      <w:r w:rsidR="005007A2" w:rsidRPr="00882F11">
        <w:rPr>
          <w:rFonts w:cs="Guttman Drogolin"/>
          <w:rtl/>
          <w:lang w:bidi="he-IL"/>
        </w:rPr>
        <w:t xml:space="preserve"> </w:t>
      </w:r>
      <w:r w:rsidR="005007A2" w:rsidRPr="00882F11">
        <w:rPr>
          <w:rFonts w:cs="Guttman Drogolin" w:hint="cs"/>
          <w:rtl/>
          <w:lang w:bidi="he-IL"/>
        </w:rPr>
        <w:t>אלא</w:t>
      </w:r>
      <w:r w:rsidR="005007A2" w:rsidRPr="00882F11">
        <w:rPr>
          <w:rFonts w:cs="Guttman Drogolin"/>
          <w:rtl/>
          <w:lang w:bidi="he-IL"/>
        </w:rPr>
        <w:t xml:space="preserve"> </w:t>
      </w:r>
      <w:r w:rsidR="005007A2" w:rsidRPr="00882F11">
        <w:rPr>
          <w:rFonts w:cs="Guttman Drogolin" w:hint="cs"/>
          <w:rtl/>
          <w:lang w:bidi="he-IL"/>
        </w:rPr>
        <w:t>במאי</w:t>
      </w:r>
      <w:r w:rsidR="005007A2" w:rsidRPr="00882F11">
        <w:rPr>
          <w:rFonts w:cs="Guttman Drogolin"/>
          <w:rtl/>
          <w:lang w:bidi="he-IL"/>
        </w:rPr>
        <w:t xml:space="preserve"> </w:t>
      </w:r>
      <w:r w:rsidR="005007A2" w:rsidRPr="00882F11">
        <w:rPr>
          <w:rFonts w:cs="Guttman Drogolin" w:hint="cs"/>
          <w:rtl/>
          <w:lang w:bidi="he-IL"/>
        </w:rPr>
        <w:t>לאו</w:t>
      </w:r>
      <w:r w:rsidR="005007A2" w:rsidRPr="00882F11">
        <w:rPr>
          <w:rFonts w:cs="Guttman Drogolin"/>
          <w:rtl/>
          <w:lang w:bidi="he-IL"/>
        </w:rPr>
        <w:t xml:space="preserve"> </w:t>
      </w:r>
      <w:r w:rsidR="005007A2" w:rsidRPr="00882F11">
        <w:rPr>
          <w:rFonts w:cs="Guttman Drogolin" w:hint="cs"/>
          <w:rtl/>
          <w:lang w:bidi="he-IL"/>
        </w:rPr>
        <w:t>בששים". הרי שאפילו במ</w:t>
      </w:r>
      <w:r w:rsidR="004D0892" w:rsidRPr="00882F11">
        <w:rPr>
          <w:rFonts w:cs="Guttman Drogolin" w:hint="cs"/>
          <w:rtl/>
          <w:lang w:bidi="he-IL"/>
        </w:rPr>
        <w:t>ק</w:t>
      </w:r>
      <w:r w:rsidR="005007A2" w:rsidRPr="00882F11">
        <w:rPr>
          <w:rFonts w:cs="Guttman Drogolin" w:hint="cs"/>
          <w:rtl/>
          <w:lang w:bidi="he-IL"/>
        </w:rPr>
        <w:t>ום שכתוב שאין בה נתינת טעם מ"מ צריכים ששים. וכנראה שהוא משום דסבר רש"י שאי אפשר לסמוך לא אקפילא ולא אששים לגמרי, ולכן עד כמה שאפשר צריכים את שניהם. וע' בחי' הרמב</w:t>
      </w:r>
      <w:r w:rsidR="004D0892" w:rsidRPr="00882F11">
        <w:rPr>
          <w:rFonts w:cs="Guttman Drogolin" w:hint="cs"/>
          <w:rtl/>
          <w:lang w:bidi="he-IL"/>
        </w:rPr>
        <w:t>"</w:t>
      </w:r>
      <w:r w:rsidR="005007A2" w:rsidRPr="00882F11">
        <w:rPr>
          <w:rFonts w:cs="Guttman Drogolin" w:hint="cs"/>
          <w:rtl/>
          <w:lang w:bidi="he-IL"/>
        </w:rPr>
        <w:t xml:space="preserve">ן שכתב לבאר שגם רש"י סבר שיש מקום שסומכים על ששים בפני עצמו וכן אקפילא בפני עצמה. שבמין במינו דלא שייך קפילא סומכים על ששים בלבד. וכן בקדרה שאי אפשר לסמוך אששים מהני קפילא בלבד. </w:t>
      </w:r>
      <w:r w:rsidR="00527E79" w:rsidRPr="00882F11">
        <w:rPr>
          <w:rFonts w:cs="Guttman Drogolin" w:hint="cs"/>
          <w:rtl/>
          <w:lang w:bidi="he-IL"/>
        </w:rPr>
        <w:t>ור"ל דהא דבעינן שניהם</w:t>
      </w:r>
      <w:r w:rsidR="0055761B" w:rsidRPr="00882F11">
        <w:rPr>
          <w:rFonts w:cs="Guttman Drogolin" w:hint="cs"/>
          <w:rtl/>
          <w:lang w:bidi="he-IL"/>
        </w:rPr>
        <w:t xml:space="preserve"> </w:t>
      </w:r>
      <w:r w:rsidR="00527E79" w:rsidRPr="00882F11">
        <w:rPr>
          <w:rFonts w:cs="Guttman Drogolin" w:hint="cs"/>
          <w:rtl/>
          <w:lang w:bidi="he-IL"/>
        </w:rPr>
        <w:t xml:space="preserve">אין ר"ל דבעינן </w:t>
      </w:r>
      <w:r w:rsidR="00527E79" w:rsidRPr="00882F11">
        <w:rPr>
          <w:rFonts w:cs="Guttman Drogolin" w:hint="cs"/>
          <w:rtl/>
          <w:lang w:bidi="he-IL"/>
        </w:rPr>
        <w:lastRenderedPageBreak/>
        <w:t>שתהא ודאי ס', רק דכשיש לומר שיש ס' אפשר לסמוך אקפילא לבד. ולעולם אם ידעינן דליכא ס' אי אפשר לסמוך אקפילא בלבד (דאל"כ הכי משכחת לה לזה דבעינן תרוייהו, הא א</w:t>
      </w:r>
      <w:r w:rsidR="0055761B" w:rsidRPr="00882F11">
        <w:rPr>
          <w:rFonts w:cs="Guttman Drogolin" w:hint="cs"/>
          <w:rtl/>
          <w:lang w:bidi="he-IL"/>
        </w:rPr>
        <w:t>ם יש ששים הא יש ששים, ואם אין שש</w:t>
      </w:r>
      <w:r w:rsidR="00527E79" w:rsidRPr="00882F11">
        <w:rPr>
          <w:rFonts w:cs="Guttman Drogolin" w:hint="cs"/>
          <w:rtl/>
          <w:lang w:bidi="he-IL"/>
        </w:rPr>
        <w:t xml:space="preserve">ים הא בדלא אפשר סמכינן אקפילא). ויוצא שביאור הדברים שכשיש ס' אמרינן שמסתמא לא יטעום קפילא, וכן בקפילא בפני עצמה אמרינן שמסתמ יש ששים, אבל ודאי אין ששים וטעמו קפילא, וכ"ש כשיש ששים ומ"מ קפילא אמר שיש בה טעם אסור. וכן </w:t>
      </w:r>
      <w:r w:rsidR="005007A2" w:rsidRPr="00882F11">
        <w:rPr>
          <w:rFonts w:cs="Guttman Drogolin" w:hint="cs"/>
          <w:rtl/>
          <w:lang w:bidi="he-IL"/>
        </w:rPr>
        <w:t xml:space="preserve">סבר רש"י שבמקום ששייך הבירור של שניהם יש להצריך גם ששים וגם קפילא. </w:t>
      </w:r>
      <w:r w:rsidR="00DE6FA6" w:rsidRPr="00882F11">
        <w:rPr>
          <w:rFonts w:cs="Guttman Drogolin" w:hint="cs"/>
          <w:rtl/>
          <w:lang w:bidi="he-IL"/>
        </w:rPr>
        <w:t>אלא שהרמב"ן הקשה על פירש"י שאם כדבריו איך הוכיח רבא שסומכים על קפילא בקדירה של בשר שבישל בה חלב, דדלמא בהא דכילכית באילפס הוי חומרא שהצריכו כן, בל לקולעא לא אמרינן. ובאחרונים תי' שי"ל שיש בזה מחלוקת בגמ' אם אמרו קפילא לחומרא.</w:t>
      </w:r>
      <w:r w:rsidR="005007A2" w:rsidRPr="00882F11">
        <w:rPr>
          <w:rFonts w:cs="Guttman Drogolin" w:hint="cs"/>
          <w:rtl/>
          <w:lang w:bidi="he-IL"/>
        </w:rPr>
        <w:t xml:space="preserve"> </w:t>
      </w:r>
    </w:p>
    <w:p w:rsidR="00DE6FA6" w:rsidRPr="00882F11" w:rsidRDefault="00DE6FA6" w:rsidP="00AF3D27">
      <w:pPr>
        <w:bidi/>
        <w:jc w:val="both"/>
        <w:rPr>
          <w:rFonts w:cs="Guttman Drogolin"/>
          <w:rtl/>
          <w:lang w:bidi="he-IL"/>
        </w:rPr>
      </w:pPr>
      <w:r w:rsidRPr="00882F11">
        <w:rPr>
          <w:rFonts w:cs="Guttman Drogolin" w:hint="cs"/>
          <w:rtl/>
          <w:lang w:bidi="he-IL"/>
        </w:rPr>
        <w:t xml:space="preserve">והרמב"ן עצמו הסכים לדיוק הנ"ל מן הגמ' שבדף צ"ט ע"א, אלא שכתב לחלק בין </w:t>
      </w:r>
      <w:r w:rsidR="00D05F4E" w:rsidRPr="00882F11">
        <w:rPr>
          <w:rFonts w:cs="Guttman Drogolin" w:hint="cs"/>
          <w:rtl/>
          <w:lang w:bidi="he-IL"/>
        </w:rPr>
        <w:t xml:space="preserve">התערב בו ממשו של האיסור לטעם בעלמא. והוא משום שכשיש טעם של האיסור </w:t>
      </w:r>
      <w:r w:rsidR="00A95A47" w:rsidRPr="00882F11">
        <w:rPr>
          <w:rFonts w:cs="Guttman Drogolin" w:hint="cs"/>
          <w:rtl/>
          <w:lang w:bidi="he-IL"/>
        </w:rPr>
        <w:t xml:space="preserve">בלבד </w:t>
      </w:r>
      <w:r w:rsidR="00D05F4E" w:rsidRPr="00882F11">
        <w:rPr>
          <w:rFonts w:cs="Guttman Drogolin" w:hint="cs"/>
          <w:rtl/>
          <w:lang w:bidi="he-IL"/>
        </w:rPr>
        <w:t>בעצם ידעינן שאין שם כשיעור של הא</w:t>
      </w:r>
      <w:r w:rsidR="00A95A47" w:rsidRPr="00882F11">
        <w:rPr>
          <w:rFonts w:cs="Guttman Drogolin" w:hint="cs"/>
          <w:rtl/>
          <w:lang w:bidi="he-IL"/>
        </w:rPr>
        <w:t>י</w:t>
      </w:r>
      <w:r w:rsidR="00D05F4E" w:rsidRPr="00882F11">
        <w:rPr>
          <w:rFonts w:cs="Guttman Drogolin" w:hint="cs"/>
          <w:rtl/>
          <w:lang w:bidi="he-IL"/>
        </w:rPr>
        <w:t>סור שנפל בה, רק שצריכים לשער בה משום שלא ידעינן כמה נפק מיני'. ולכן ע"י טעימת קפ</w:t>
      </w:r>
      <w:r w:rsidR="00A95A47" w:rsidRPr="00882F11">
        <w:rPr>
          <w:rFonts w:cs="Guttman Drogolin" w:hint="cs"/>
          <w:rtl/>
          <w:lang w:bidi="he-IL"/>
        </w:rPr>
        <w:t>י</w:t>
      </w:r>
      <w:r w:rsidR="00D05F4E" w:rsidRPr="00882F11">
        <w:rPr>
          <w:rFonts w:cs="Guttman Drogolin" w:hint="cs"/>
          <w:rtl/>
          <w:lang w:bidi="he-IL"/>
        </w:rPr>
        <w:t>לא לבד סגי. אבל כשהתערב בה גופו של איסור צריכים להיות זהירים יותר ולא סומכים על קפילא</w:t>
      </w:r>
      <w:r w:rsidR="00AF3D27" w:rsidRPr="00882F11">
        <w:rPr>
          <w:rStyle w:val="FootnoteReference"/>
          <w:rFonts w:cs="Guttman Drogolin"/>
          <w:rtl/>
          <w:lang w:bidi="he-IL"/>
        </w:rPr>
        <w:footnoteReference w:id="120"/>
      </w:r>
      <w:r w:rsidR="00D05F4E" w:rsidRPr="00882F11">
        <w:rPr>
          <w:rFonts w:cs="Guttman Drogolin" w:hint="cs"/>
          <w:rtl/>
          <w:lang w:bidi="he-IL"/>
        </w:rPr>
        <w:t xml:space="preserve">. </w:t>
      </w:r>
      <w:r w:rsidR="00420E5B" w:rsidRPr="00882F11">
        <w:rPr>
          <w:rFonts w:cs="Guttman Drogolin" w:hint="cs"/>
          <w:rtl/>
          <w:lang w:bidi="he-IL"/>
        </w:rPr>
        <w:t>ולדבריו הא דגריסים שבתוך העדשים מיירי בהתערב בה גופו של איסור, ולכאורה ר"ל שיש כאן תערובת לח בלח, וא"כ קשה מה שהבאנו לעיל מן האחרונים להוכיח בדינ</w:t>
      </w:r>
      <w:r w:rsidR="00AF3D27" w:rsidRPr="00882F11">
        <w:rPr>
          <w:rFonts w:cs="Guttman Drogolin" w:hint="cs"/>
          <w:rtl/>
          <w:lang w:bidi="he-IL"/>
        </w:rPr>
        <w:t>א דרוטב נבלה בש</w:t>
      </w:r>
      <w:r w:rsidR="00420E5B" w:rsidRPr="00882F11">
        <w:rPr>
          <w:rFonts w:cs="Guttman Drogolin" w:hint="cs"/>
          <w:rtl/>
          <w:lang w:bidi="he-IL"/>
        </w:rPr>
        <w:t>אר א</w:t>
      </w:r>
      <w:r w:rsidR="00AF3D27" w:rsidRPr="00882F11">
        <w:rPr>
          <w:rFonts w:cs="Guttman Drogolin" w:hint="cs"/>
          <w:rtl/>
          <w:lang w:bidi="he-IL"/>
        </w:rPr>
        <w:t>יסורים, שאם לא מיירי בחתיכה ליכא</w:t>
      </w:r>
      <w:r w:rsidR="00420E5B" w:rsidRPr="00882F11">
        <w:rPr>
          <w:rFonts w:cs="Guttman Drogolin" w:hint="cs"/>
          <w:rtl/>
          <w:lang w:bidi="he-IL"/>
        </w:rPr>
        <w:t xml:space="preserve"> למימר כלל שיש רוט</w:t>
      </w:r>
      <w:r w:rsidR="00AF3D27" w:rsidRPr="00882F11">
        <w:rPr>
          <w:rFonts w:cs="Guttman Drogolin" w:hint="cs"/>
          <w:rtl/>
          <w:lang w:bidi="he-IL"/>
        </w:rPr>
        <w:t>ב</w:t>
      </w:r>
      <w:r w:rsidR="00420E5B" w:rsidRPr="00882F11">
        <w:rPr>
          <w:rFonts w:cs="Guttman Drogolin" w:hint="cs"/>
          <w:rtl/>
          <w:lang w:bidi="he-IL"/>
        </w:rPr>
        <w:t xml:space="preserve"> נבילה. וצ"ע.</w:t>
      </w:r>
    </w:p>
    <w:p w:rsidR="00420E5B" w:rsidRPr="00882F11" w:rsidRDefault="00420E5B" w:rsidP="00420E5B">
      <w:pPr>
        <w:bidi/>
        <w:jc w:val="both"/>
        <w:rPr>
          <w:rFonts w:cs="Guttman Drogolin"/>
          <w:rtl/>
          <w:lang w:bidi="he-IL"/>
        </w:rPr>
      </w:pPr>
      <w:r w:rsidRPr="00882F11">
        <w:rPr>
          <w:rFonts w:cs="Guttman Drogolin" w:hint="cs"/>
          <w:rtl/>
          <w:lang w:bidi="he-IL"/>
        </w:rPr>
        <w:t>ומתוס' שם מבואר שלעולם סומכים על קפילא לבד וששים לבד, ולענין פירוש דברי הגמ' ד"מאי לאו בששים", פי' שהוא משום דיוק שיש במתני' ע"ש</w:t>
      </w:r>
      <w:r w:rsidR="007955D6" w:rsidRPr="00882F11">
        <w:rPr>
          <w:rStyle w:val="FootnoteReference"/>
          <w:rFonts w:cs="Guttman Drogolin"/>
          <w:rtl/>
          <w:lang w:bidi="he-IL"/>
        </w:rPr>
        <w:footnoteReference w:id="121"/>
      </w:r>
      <w:r w:rsidRPr="00882F11">
        <w:rPr>
          <w:rFonts w:cs="Guttman Drogolin" w:hint="cs"/>
          <w:rtl/>
          <w:lang w:bidi="he-IL"/>
        </w:rPr>
        <w:t>.</w:t>
      </w:r>
    </w:p>
    <w:p w:rsidR="00420E5B" w:rsidRPr="00882F11" w:rsidRDefault="00420E5B" w:rsidP="00420E5B">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05" w:name="_Toc496175365"/>
      <w:r w:rsidRPr="00882F11">
        <w:rPr>
          <w:rFonts w:asciiTheme="majorHAnsi" w:eastAsiaTheme="majorEastAsia" w:hAnsiTheme="majorHAnsi" w:cs="Guttman Drogolin" w:hint="cs"/>
          <w:b/>
          <w:bCs/>
          <w:sz w:val="24"/>
          <w:szCs w:val="24"/>
          <w:u w:val="single"/>
          <w:rtl/>
          <w:lang w:bidi="he-IL"/>
        </w:rPr>
        <w:lastRenderedPageBreak/>
        <w:t>הערה בדברי התוס' ד"ה אמר רבא</w:t>
      </w:r>
      <w:bookmarkEnd w:id="105"/>
    </w:p>
    <w:p w:rsidR="00420E5B" w:rsidRPr="00882F11" w:rsidRDefault="00420E5B" w:rsidP="00420E5B">
      <w:pPr>
        <w:bidi/>
        <w:jc w:val="both"/>
        <w:rPr>
          <w:rFonts w:cs="Guttman Drogolin"/>
          <w:rtl/>
          <w:lang w:bidi="he-IL"/>
        </w:rPr>
      </w:pPr>
      <w:r w:rsidRPr="00882F11">
        <w:rPr>
          <w:rFonts w:cs="Guttman Drogolin" w:hint="cs"/>
          <w:rtl/>
          <w:lang w:bidi="he-IL"/>
        </w:rPr>
        <w:t xml:space="preserve">התוס' בד"ה אמר רבא דנו באריכות בדין מין במינו אי קיי"ל דלא בטיל כלל או שדינו בששים. ובתוך דבריהם רצו להוכיח מדברי רבא כאן דאית לי' דמין במינו בטל, דהא כתב בהדיא שנין במינו הוא בששים. והביאו מרבינו אפרים שרצה לדחות, דהכא מיירי במין במינו בטעמא, ולעולם לענין הדין דמין במינו לא בטל הוו מין בשאינו מינו, דהא בזה אליבא דרבא אזלינן בתר שמא. והתוס' דחו שאין זה במשמע כיון שמין במינו כתיב. והנה הבאנו מכבר שטת הרמ"א שגם לענין טכ"ע אזלינן בתר שמא. וא"כ בעלמא כשכתבו בדיני טכ"ע דמיירי במין בשאינו מינו לכאורה י"ל שגם אז מיירי באותו מין בשם אליבא דתוס', ואליבא דר' אפרים לאו דוקא רק בב' מינים בטעם. וזה מטעים כש"ך ודלא כרמ"א, וכן התוס' שחולקים יודו דבטכ"ע אזלינן בתר טעם, רק שסוברים כשמשתמשים עם המילים מין במינו מסתמא מיירי בכה"ג שבאמת הוו אוותו מין, רק כשמדברים בטעם הכוונה לה שמסתמא הוו ג"כ אותו טעם. אע"ג שיש לחלק בין הכא דע"כ הוי טעמים שונים דאל"כ לא תהני קפילא משא"כ בעלמא, מ"מ נראין יותר דברי הש"ך. </w:t>
      </w:r>
    </w:p>
    <w:p w:rsidR="00747CDE" w:rsidRPr="00882F11" w:rsidRDefault="00747CDE" w:rsidP="00747CDE">
      <w:pPr>
        <w:bidi/>
        <w:jc w:val="both"/>
        <w:rPr>
          <w:rFonts w:cs="Guttman Drogolin"/>
          <w:rtl/>
          <w:lang w:bidi="he-IL"/>
        </w:rPr>
        <w:sectPr w:rsidR="00747CDE" w:rsidRPr="00882F11" w:rsidSect="000F6DEF">
          <w:type w:val="continuous"/>
          <w:pgSz w:w="11907" w:h="16839" w:code="9"/>
          <w:pgMar w:top="1440" w:right="1440" w:bottom="1440" w:left="1440" w:header="720" w:footer="720" w:gutter="0"/>
          <w:cols w:num="2" w:space="720"/>
          <w:bidi/>
          <w:docGrid w:linePitch="360"/>
        </w:sectPr>
      </w:pPr>
    </w:p>
    <w:p w:rsidR="00747CDE" w:rsidRPr="00882F11" w:rsidRDefault="00747CDE" w:rsidP="00747CDE">
      <w:pPr>
        <w:keepNext/>
        <w:tabs>
          <w:tab w:val="left" w:pos="3818"/>
          <w:tab w:val="center" w:pos="4680"/>
        </w:tabs>
        <w:bidi/>
        <w:jc w:val="center"/>
        <w:rPr>
          <w:rFonts w:cs="Guttman Drogolin"/>
          <w:b/>
          <w:bCs/>
          <w:sz w:val="24"/>
          <w:szCs w:val="24"/>
          <w:rtl/>
        </w:rPr>
      </w:pPr>
      <w:r w:rsidRPr="00882F11">
        <w:rPr>
          <w:rFonts w:cs="Guttman Drogolin" w:hint="cs"/>
          <w:b/>
          <w:bCs/>
          <w:sz w:val="48"/>
          <w:szCs w:val="48"/>
          <w:rtl/>
          <w:lang w:bidi="he-IL"/>
        </w:rPr>
        <w:lastRenderedPageBreak/>
        <w:t>שיעור כ</w:t>
      </w:r>
      <w:r w:rsidRPr="00882F11">
        <w:rPr>
          <w:rFonts w:cs="Guttman Drogolin" w:hint="cs"/>
          <w:b/>
          <w:bCs/>
          <w:sz w:val="48"/>
          <w:szCs w:val="48"/>
          <w:rtl/>
        </w:rPr>
        <w:t>"</w:t>
      </w:r>
      <w:r w:rsidRPr="00882F11">
        <w:rPr>
          <w:rFonts w:cs="Guttman Drogolin" w:hint="cs"/>
          <w:b/>
          <w:bCs/>
          <w:sz w:val="48"/>
          <w:szCs w:val="48"/>
          <w:rtl/>
          <w:lang w:bidi="he-IL"/>
        </w:rPr>
        <w:t>ו</w:t>
      </w:r>
    </w:p>
    <w:p w:rsidR="000F6DEF" w:rsidRDefault="000F6DEF" w:rsidP="00747CDE">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sectPr w:rsidR="000F6DEF" w:rsidSect="000F6DEF">
          <w:headerReference w:type="default" r:id="rId25"/>
          <w:pgSz w:w="11907" w:h="16839" w:code="9"/>
          <w:pgMar w:top="1440" w:right="1440" w:bottom="1440" w:left="1440" w:header="720" w:footer="720" w:gutter="0"/>
          <w:cols w:space="720"/>
          <w:bidi/>
          <w:docGrid w:linePitch="360"/>
        </w:sectPr>
      </w:pPr>
    </w:p>
    <w:p w:rsidR="00747CDE" w:rsidRPr="00882F11" w:rsidRDefault="00747CDE" w:rsidP="00747CDE">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06" w:name="_Toc496175366"/>
      <w:r w:rsidRPr="00882F11">
        <w:rPr>
          <w:rFonts w:asciiTheme="majorHAnsi" w:eastAsiaTheme="majorEastAsia" w:hAnsiTheme="majorHAnsi" w:cs="Guttman Drogolin" w:hint="cs"/>
          <w:b/>
          <w:bCs/>
          <w:sz w:val="24"/>
          <w:szCs w:val="24"/>
          <w:u w:val="single"/>
          <w:rtl/>
          <w:lang w:bidi="he-IL"/>
        </w:rPr>
        <w:lastRenderedPageBreak/>
        <w:t>מליח כרותח וכבוש כמבושל</w:t>
      </w:r>
      <w:bookmarkEnd w:id="106"/>
    </w:p>
    <w:p w:rsidR="00747CDE" w:rsidRPr="00882F11" w:rsidRDefault="003F19FD" w:rsidP="003F19FD">
      <w:pPr>
        <w:bidi/>
        <w:jc w:val="both"/>
        <w:rPr>
          <w:rFonts w:cs="Guttman Drogolin"/>
          <w:rtl/>
          <w:lang w:bidi="he-IL"/>
        </w:rPr>
      </w:pPr>
      <w:r w:rsidRPr="00882F11">
        <w:rPr>
          <w:rFonts w:cs="Guttman Drogolin" w:hint="cs"/>
          <w:rtl/>
          <w:lang w:bidi="he-IL"/>
        </w:rPr>
        <w:t>בהמשך הגמ' מביאה שנחלקו בדין הנהו אטמהתא דאימליחו בי ריש גלותא בגידא נשיא. ולכאורה מבואר בגמ' שנחלקו אם מליח הרי הוא כצלי או כמבושל. ונראה מסקנת הגמ' שהרי הוא כצלי (ע' גירסת השאילתות על הגליון), והדיוק לזה משום הלשון של שמואל "מליח הרי הוא כרותח כבוש הרי הוא כמבושל", ומדשינה שמואל הלשון בין מליח לכבוש משמע שאין המליח ככבוש, ולכן כיון שכבוש כמבושל ע"כ הכוונה בכרותח היינו כרותח דצלי. והנה מקודם הבאנו שיטת הרא"ש שיש חילוק בדין בין מליח לצלי, שבצלי בעינן כדי נטילה, ואילו מליח דינו בכדי קליפה. ולכאורה א"כ צ"ע מהו זה שאומרים דמליח הרי הוא כרותח דצלי, הא אינו לא כצלי ולא כמבושל. והפשוט בזה דהא דאמרינן דמליח כרותח דצלי היינו לענין זה שאינו מתפשט בכולו כמו בבישול וכבוש, אבל לעולם יתכן שיהו חילוקים בין מליח לצלי. ומ"מ צע"ק דהא יוצא לפי הרא"ש שלמעשה צלי מתפשט יותר ממליח, ואילו בגמ' מבואר שהי' צד שמליח הרי הוא כמבושל שמתפשט בכולו והוי יותר חמור מצי. ויוצא שיש סברות הפוכות אם מליח עדיף מצלי או גרע. ויש ליישב.</w:t>
      </w:r>
    </w:p>
    <w:p w:rsidR="003F19FD" w:rsidRPr="00882F11" w:rsidRDefault="004E0545" w:rsidP="00617A8A">
      <w:pPr>
        <w:bidi/>
        <w:jc w:val="both"/>
        <w:rPr>
          <w:rFonts w:cs="Guttman Drogolin"/>
          <w:rtl/>
          <w:lang w:bidi="he-IL"/>
        </w:rPr>
      </w:pPr>
      <w:r w:rsidRPr="00882F11">
        <w:rPr>
          <w:rFonts w:cs="Guttman Drogolin" w:hint="cs"/>
          <w:rtl/>
          <w:lang w:bidi="he-IL"/>
        </w:rPr>
        <w:t xml:space="preserve">ובדין כבוש כמבושל פירש רש"י כאן וכן בכמה וכמה מקומות בש"ס דהיינו כבוש בחומץ, ודקדק מזה בהגהות מי' (פט"ו מדפוס קושטא ומובא בב"י סי' ק"ה) שאין לנו התפשטות הטעם הדין כבוש אא"כ הוא כבוש בחומץ אבל בשאר משקים לא. </w:t>
      </w:r>
      <w:r w:rsidR="00617A8A" w:rsidRPr="00882F11">
        <w:rPr>
          <w:rFonts w:cs="Guttman Drogolin" w:hint="cs"/>
          <w:rtl/>
          <w:lang w:bidi="he-IL"/>
        </w:rPr>
        <w:t>אמנם במרדכי במס' ע"ז תמה על זה, דהא לכאורה מוכח שדין כבוש הוא אפילו בשאר משקים. חדא שהרי במס' פסחים דף מ"ד ע"ב איתא שהחידוש שיש באיסור בשר בחלב שלא מוצאים בעלמא היינו "דאי</w:t>
      </w:r>
      <w:r w:rsidR="00617A8A" w:rsidRPr="00882F11">
        <w:rPr>
          <w:rFonts w:cs="Guttman Drogolin"/>
          <w:rtl/>
          <w:lang w:bidi="he-IL"/>
        </w:rPr>
        <w:t xml:space="preserve"> </w:t>
      </w:r>
      <w:r w:rsidR="00617A8A" w:rsidRPr="00882F11">
        <w:rPr>
          <w:rFonts w:cs="Guttman Drogolin" w:hint="cs"/>
          <w:rtl/>
          <w:lang w:bidi="he-IL"/>
        </w:rPr>
        <w:t>תרו</w:t>
      </w:r>
      <w:r w:rsidR="00617A8A" w:rsidRPr="00882F11">
        <w:rPr>
          <w:rFonts w:cs="Guttman Drogolin"/>
          <w:rtl/>
          <w:lang w:bidi="he-IL"/>
        </w:rPr>
        <w:t xml:space="preserve"> </w:t>
      </w:r>
      <w:r w:rsidR="00617A8A" w:rsidRPr="00882F11">
        <w:rPr>
          <w:rFonts w:cs="Guttman Drogolin" w:hint="cs"/>
          <w:rtl/>
          <w:lang w:bidi="he-IL"/>
        </w:rPr>
        <w:t>ליה</w:t>
      </w:r>
      <w:r w:rsidR="00617A8A" w:rsidRPr="00882F11">
        <w:rPr>
          <w:rFonts w:cs="Guttman Drogolin"/>
          <w:rtl/>
          <w:lang w:bidi="he-IL"/>
        </w:rPr>
        <w:t xml:space="preserve"> </w:t>
      </w:r>
      <w:r w:rsidR="00617A8A" w:rsidRPr="00882F11">
        <w:rPr>
          <w:rFonts w:cs="Guttman Drogolin" w:hint="cs"/>
          <w:rtl/>
          <w:lang w:bidi="he-IL"/>
        </w:rPr>
        <w:t>כולי</w:t>
      </w:r>
      <w:r w:rsidR="00617A8A" w:rsidRPr="00882F11">
        <w:rPr>
          <w:rFonts w:cs="Guttman Drogolin"/>
          <w:rtl/>
          <w:lang w:bidi="he-IL"/>
        </w:rPr>
        <w:t xml:space="preserve"> </w:t>
      </w:r>
      <w:r w:rsidR="00617A8A" w:rsidRPr="00882F11">
        <w:rPr>
          <w:rFonts w:cs="Guttman Drogolin" w:hint="cs"/>
          <w:rtl/>
          <w:lang w:bidi="he-IL"/>
        </w:rPr>
        <w:t>יומא</w:t>
      </w:r>
      <w:r w:rsidR="00617A8A" w:rsidRPr="00882F11">
        <w:rPr>
          <w:rFonts w:cs="Guttman Drogolin"/>
          <w:rtl/>
          <w:lang w:bidi="he-IL"/>
        </w:rPr>
        <w:t xml:space="preserve"> </w:t>
      </w:r>
      <w:r w:rsidR="00617A8A" w:rsidRPr="00882F11">
        <w:rPr>
          <w:rFonts w:cs="Guttman Drogolin" w:hint="cs"/>
          <w:rtl/>
          <w:lang w:bidi="he-IL"/>
        </w:rPr>
        <w:t>בחלבא</w:t>
      </w:r>
      <w:r w:rsidR="00617A8A" w:rsidRPr="00882F11">
        <w:rPr>
          <w:rFonts w:cs="Guttman Drogolin"/>
          <w:rtl/>
          <w:lang w:bidi="he-IL"/>
        </w:rPr>
        <w:t xml:space="preserve"> </w:t>
      </w:r>
      <w:r w:rsidR="00617A8A" w:rsidRPr="00882F11">
        <w:rPr>
          <w:rFonts w:cs="Guttman Drogolin" w:hint="cs"/>
          <w:rtl/>
          <w:lang w:bidi="he-IL"/>
        </w:rPr>
        <w:t>שרי</w:t>
      </w:r>
      <w:r w:rsidR="00617A8A" w:rsidRPr="00882F11">
        <w:rPr>
          <w:rFonts w:cs="Guttman Drogolin"/>
          <w:rtl/>
          <w:lang w:bidi="he-IL"/>
        </w:rPr>
        <w:t xml:space="preserve"> </w:t>
      </w:r>
      <w:r w:rsidR="00617A8A" w:rsidRPr="00882F11">
        <w:rPr>
          <w:rFonts w:cs="Guttman Drogolin" w:hint="cs"/>
          <w:rtl/>
          <w:lang w:bidi="he-IL"/>
        </w:rPr>
        <w:t>בשיל</w:t>
      </w:r>
      <w:r w:rsidR="00617A8A" w:rsidRPr="00882F11">
        <w:rPr>
          <w:rFonts w:cs="Guttman Drogolin"/>
          <w:rtl/>
          <w:lang w:bidi="he-IL"/>
        </w:rPr>
        <w:t xml:space="preserve"> </w:t>
      </w:r>
      <w:r w:rsidR="00617A8A" w:rsidRPr="00882F11">
        <w:rPr>
          <w:rFonts w:cs="Guttman Drogolin" w:hint="cs"/>
          <w:rtl/>
          <w:lang w:bidi="he-IL"/>
        </w:rPr>
        <w:t>ליה</w:t>
      </w:r>
      <w:r w:rsidR="00617A8A" w:rsidRPr="00882F11">
        <w:rPr>
          <w:rFonts w:cs="Guttman Drogolin"/>
          <w:rtl/>
          <w:lang w:bidi="he-IL"/>
        </w:rPr>
        <w:t xml:space="preserve"> </w:t>
      </w:r>
      <w:r w:rsidR="00617A8A" w:rsidRPr="00882F11">
        <w:rPr>
          <w:rFonts w:cs="Guttman Drogolin" w:hint="cs"/>
          <w:rtl/>
          <w:lang w:bidi="he-IL"/>
        </w:rPr>
        <w:t>בשולי</w:t>
      </w:r>
      <w:r w:rsidR="00617A8A" w:rsidRPr="00882F11">
        <w:rPr>
          <w:rFonts w:cs="Guttman Drogolin"/>
          <w:rtl/>
          <w:lang w:bidi="he-IL"/>
        </w:rPr>
        <w:t xml:space="preserve"> </w:t>
      </w:r>
      <w:r w:rsidR="00617A8A" w:rsidRPr="00882F11">
        <w:rPr>
          <w:rFonts w:cs="Guttman Drogolin" w:hint="cs"/>
          <w:rtl/>
          <w:lang w:bidi="he-IL"/>
        </w:rPr>
        <w:t>אסור".</w:t>
      </w:r>
      <w:r w:rsidR="00F812BE" w:rsidRPr="00882F11">
        <w:rPr>
          <w:rFonts w:cs="Guttman Drogolin" w:hint="cs"/>
          <w:rtl/>
          <w:lang w:bidi="he-IL"/>
        </w:rPr>
        <w:t xml:space="preserve"> וכפשוטו כוונתו הדברים דאילו בכה"ת כה"ג חשוב כבוש והר הוא כמבושל, אבל בבב"ח לא אסרו בכה"ג </w:t>
      </w:r>
      <w:r w:rsidR="00F812BE" w:rsidRPr="00882F11">
        <w:rPr>
          <w:rFonts w:cs="Guttman Drogolin" w:hint="cs"/>
          <w:rtl/>
          <w:lang w:bidi="he-IL"/>
        </w:rPr>
        <w:lastRenderedPageBreak/>
        <w:t xml:space="preserve">מדאורייתא, והבאנו שבביאור הגר"א דקדק מן הגמ' הזאת דע"כ הא דכבוש כמבושל בשאר איסורים היינו מדאורייתא. ואם כדברי רש"י לכאורה קשה, דהא אין כאן חומץ. וקשה לדחוק דמיירי בתרו לי' כולי' יוצא בחלבא המעורב בחומץ. אמנם יעוי"ש בתוס' ר' פרץ שלדבריו יש פירושים אחרים בגמ' באופן שלא יסתור פירש"י. ועוד הביא ראי' ממס' שביעית פ"ז מ"ז </w:t>
      </w:r>
      <w:r w:rsidR="00AC3B35" w:rsidRPr="00882F11">
        <w:rPr>
          <w:rFonts w:cs="Guttman Drogolin" w:hint="cs"/>
          <w:rtl/>
          <w:lang w:bidi="he-IL"/>
        </w:rPr>
        <w:t>ששם מבואר שיש דין כבוש בכבש ורד בשמן, הא התם ליכא חומץ. וראיתי בס' כנפי יונה ליו"ד סי' ק"ה שרצה ליישב לשיטת רש"י שאין כוונת רש"י לחומץ דוקא, רק לכל דבר שעושה חמיצות כמו חומץ, וי"ל שגם זה הוי דרך חומץ והוי כבוש.</w:t>
      </w:r>
    </w:p>
    <w:p w:rsidR="00866C73" w:rsidRPr="00882F11" w:rsidRDefault="00AC3B35" w:rsidP="004F6BA2">
      <w:pPr>
        <w:bidi/>
        <w:jc w:val="both"/>
        <w:rPr>
          <w:rFonts w:cs="Guttman Drogolin"/>
          <w:rtl/>
          <w:lang w:bidi="he-IL"/>
        </w:rPr>
      </w:pPr>
      <w:r w:rsidRPr="00882F11">
        <w:rPr>
          <w:rFonts w:cs="Guttman Drogolin" w:hint="cs"/>
          <w:rtl/>
          <w:lang w:bidi="he-IL"/>
        </w:rPr>
        <w:t xml:space="preserve">אמנם חשבתי בזה ביאור אחר. דהנה עד כה דיברנו בכח שיש לכבוש לעשות התפשטות הטעם. אמנם לכאורה יש דיין אחר בכבוש. שהרי אנחנו מוצאים בכגון מס' פסחים דף ל"ט ע"א שמרור שהוא כבוש פסול לליל הסדר. והתם אינו משום שעושה התפשטות הטעם, רק משום שע"י החומץ יש למאכל דין מבושל, ומבושל פסול למרור. </w:t>
      </w:r>
      <w:r w:rsidR="00C66D93">
        <w:rPr>
          <w:rFonts w:cs="Guttman Drogolin"/>
          <w:rtl/>
          <w:lang w:bidi="he-IL"/>
        </w:rPr>
        <w:fldChar w:fldCharType="begin"/>
      </w:r>
      <w:r w:rsidR="00C66D93">
        <w:instrText xml:space="preserve"> XE "</w:instrText>
      </w:r>
      <w:r w:rsidR="00C66D93" w:rsidRPr="00162CC2">
        <w:rPr>
          <w:rFonts w:hint="cs"/>
          <w:rtl/>
          <w:lang w:bidi="he-IL"/>
        </w:rPr>
        <w:instrText>סוכה</w:instrText>
      </w:r>
      <w:r w:rsidR="00C66D93" w:rsidRPr="00162CC2">
        <w:rPr>
          <w:rtl/>
        </w:rPr>
        <w:instrText>:</w:instrText>
      </w:r>
      <w:r w:rsidR="00C66D93" w:rsidRPr="00162CC2">
        <w:rPr>
          <w:rFonts w:hint="cs"/>
          <w:rtl/>
          <w:lang w:bidi="he-IL"/>
        </w:rPr>
        <w:instrText>כבוש כמבושל באתרוג</w:instrText>
      </w:r>
      <w:r w:rsidR="00C66D93">
        <w:instrText xml:space="preserve">" </w:instrText>
      </w:r>
      <w:r w:rsidR="00C66D93">
        <w:rPr>
          <w:rFonts w:cs="Guttman Drogolin"/>
          <w:rtl/>
          <w:lang w:bidi="he-IL"/>
        </w:rPr>
        <w:fldChar w:fldCharType="end"/>
      </w:r>
      <w:r w:rsidRPr="00882F11">
        <w:rPr>
          <w:rFonts w:cs="Guttman Drogolin" w:hint="cs"/>
          <w:rtl/>
          <w:lang w:bidi="he-IL"/>
        </w:rPr>
        <w:t xml:space="preserve">וכה"ג אנחנו מוצאים באתרוג (סוכה דף ל"ו ע"א) ועירוב תבשילין (ביצה דף ט"ז ע"ב). </w:t>
      </w:r>
      <w:r w:rsidR="0002764A" w:rsidRPr="00882F11">
        <w:rPr>
          <w:rFonts w:cs="Guttman Drogolin" w:hint="cs"/>
          <w:rtl/>
          <w:lang w:bidi="he-IL"/>
        </w:rPr>
        <w:t>והנה במליח אנחנו מוצאים עכ"פ בדיני עירוב תבשילין שלדעת המג"א ומ"ב ועוד כמה אחרונים שדינו חלוק מכבוש, שאמנם כבוש הרי הוא כמבושל ולכן דבר כבוש חשוב תבשיל לענין עירוב תבשילין, אבל דבר מליח פסול. ובגליון מהרש"א שבסי' תקכ"ז פי' שהוא רק משום שאנחנו מוצאים פסוק שקראו לכבוש מבושל ולכן הקילו להכשירו לעירוב תבשילין. אמנם י"ל עוד דמליח אין לו כח לתת למאכל דין מבושל, רק יש לו כח של התפשטות הטעם.</w:t>
      </w:r>
      <w:r w:rsidR="00866C73" w:rsidRPr="00882F11">
        <w:rPr>
          <w:rFonts w:cs="Guttman Drogolin" w:hint="cs"/>
          <w:rtl/>
          <w:lang w:bidi="he-IL"/>
        </w:rPr>
        <w:t xml:space="preserve"> ו</w:t>
      </w:r>
      <w:r w:rsidR="0002764A" w:rsidRPr="00882F11">
        <w:rPr>
          <w:rFonts w:cs="Guttman Drogolin" w:hint="cs"/>
          <w:rtl/>
          <w:lang w:bidi="he-IL"/>
        </w:rPr>
        <w:t>בזה מיושב לנו עוד קושיא, והוא דנהי נמי שמדויק במימרא של שמואל שמליח אינו כמבושל, אבל מ"מ כיון שדינו כצלי למה לא אמרו בהדיא דמליח כצלי כמו שאמרו דכשוב כמבושל. ובשלמא לרא"ש י"</w:t>
      </w:r>
      <w:r w:rsidR="00866C73" w:rsidRPr="00882F11">
        <w:rPr>
          <w:rFonts w:cs="Guttman Drogolin" w:hint="cs"/>
          <w:rtl/>
          <w:lang w:bidi="he-IL"/>
        </w:rPr>
        <w:t>ל היינו משום שדינו של מליח חלוק</w:t>
      </w:r>
      <w:r w:rsidR="0002764A" w:rsidRPr="00882F11">
        <w:rPr>
          <w:rFonts w:cs="Guttman Drogolin" w:hint="cs"/>
          <w:rtl/>
          <w:lang w:bidi="he-IL"/>
        </w:rPr>
        <w:t xml:space="preserve"> מצלי, שז</w:t>
      </w:r>
      <w:r w:rsidR="00866C73" w:rsidRPr="00882F11">
        <w:rPr>
          <w:rFonts w:cs="Guttman Drogolin" w:hint="cs"/>
          <w:rtl/>
          <w:lang w:bidi="he-IL"/>
        </w:rPr>
        <w:t xml:space="preserve">ה צריך כדי נטילה וזה כדי קליפה, אבל לפי מה שרצה </w:t>
      </w:r>
      <w:r w:rsidR="00866C73" w:rsidRPr="00882F11">
        <w:rPr>
          <w:rFonts w:cs="Guttman Drogolin" w:hint="cs"/>
          <w:rtl/>
          <w:lang w:bidi="he-IL"/>
        </w:rPr>
        <w:lastRenderedPageBreak/>
        <w:t xml:space="preserve">מהרש"א לומר בשיטת התוס' דהא והא דינו בכדי נטילה, צ"ע. אבל לדברינו ניחא, שאין דינו כצלי לתת למאכל דין מבושל, רק יש לו כח לעשות התפשטות הטעם כמו בצלי. </w:t>
      </w:r>
    </w:p>
    <w:p w:rsidR="00866C73" w:rsidRPr="00882F11" w:rsidRDefault="00866C73" w:rsidP="00866C73">
      <w:pPr>
        <w:bidi/>
        <w:jc w:val="both"/>
        <w:rPr>
          <w:rFonts w:cs="Guttman Drogolin"/>
          <w:rtl/>
          <w:lang w:bidi="he-IL"/>
        </w:rPr>
      </w:pPr>
      <w:r w:rsidRPr="00882F11">
        <w:rPr>
          <w:rFonts w:cs="Guttman Drogolin" w:hint="cs"/>
          <w:rtl/>
          <w:lang w:bidi="he-IL"/>
        </w:rPr>
        <w:t>וא"כ לכאורה יש לחדש</w:t>
      </w:r>
      <w:r w:rsidR="009F0CB9" w:rsidRPr="00882F11">
        <w:rPr>
          <w:rStyle w:val="FootnoteReference"/>
          <w:rFonts w:cs="Guttman Drogolin"/>
          <w:rtl/>
          <w:lang w:bidi="he-IL"/>
        </w:rPr>
        <w:footnoteReference w:id="122"/>
      </w:r>
      <w:r w:rsidRPr="00882F11">
        <w:rPr>
          <w:rFonts w:cs="Guttman Drogolin" w:hint="cs"/>
          <w:rtl/>
          <w:lang w:bidi="he-IL"/>
        </w:rPr>
        <w:t xml:space="preserve"> דמש"כ רש"י בכל מקום דכבוש היינו בחומץ, היינו רק בדין זה דכבוש כמבושל, דהיינו שנותן למאכל דין של דבר המבושל, שלזה צריכים דוקא חומץ ולא משקים אחרים. אבל לענין התפשטות הטעם י"ל דשייך ענין כבוש גם במים שמן וחלב. לכן אין שאלה מן הגמ' שבמס' פסחים ומן המתני' דמס' שביעית דשפיר מתפשט הטעם בשאר משקים, רק דין בישול ליכא וכמש"נ</w:t>
      </w:r>
      <w:r w:rsidR="004F6BA2" w:rsidRPr="00882F11">
        <w:rPr>
          <w:rStyle w:val="FootnoteReference"/>
          <w:rFonts w:cs="Guttman Drogolin"/>
          <w:rtl/>
          <w:lang w:bidi="he-IL"/>
        </w:rPr>
        <w:footnoteReference w:id="123"/>
      </w:r>
      <w:r w:rsidRPr="00882F11">
        <w:rPr>
          <w:rFonts w:cs="Guttman Drogolin" w:hint="cs"/>
          <w:rtl/>
          <w:lang w:bidi="he-IL"/>
        </w:rPr>
        <w:t>. ובאמת הפוסקים כתבו לחלק בדינים הנ"ל בין כבוש בחומץ לכבוש במים, דיעוין בחק יעקב שכתב דהא דפסלינן מרור כבוש היינו רק בחומץ אבל במים אינו פוסל לכו"ע (ע"ש שכתב שכך הי' המנהג לכבוש במים כדי שלא יהא כמוש). ולכאורה הוא מבואר על פי הנ"ל.</w:t>
      </w:r>
    </w:p>
    <w:p w:rsidR="00E82DA1" w:rsidRPr="00882F11" w:rsidRDefault="00866C73" w:rsidP="00866C73">
      <w:pPr>
        <w:bidi/>
        <w:jc w:val="both"/>
        <w:rPr>
          <w:rFonts w:cs="Guttman Drogolin"/>
          <w:rtl/>
          <w:lang w:bidi="he-IL"/>
        </w:rPr>
      </w:pPr>
      <w:r w:rsidRPr="00882F11">
        <w:rPr>
          <w:rFonts w:cs="Guttman Drogolin" w:hint="cs"/>
          <w:rtl/>
          <w:lang w:bidi="he-IL"/>
        </w:rPr>
        <w:t xml:space="preserve">ובשיעור זמן שצריכים לדין כבוש, ע' ברא"ש במס' ע"ז פ"ה אות י"א שהוכיח מן הגמ' שבמס' פסחים הנ"ל שצריכים מעת לעת לאסור משום כבוש, דהא הגמ' קאמרה תרו לי' 'כולי יומא' בחלבא. אמנם יעוין ברא"ש בפ' כל הבשר אות מ"ט שכתב שאם יש דבר הכבוש בציר זמן להעביר טעם הוא כדי שפיתת קדירה ע"ג האש. ולכאורה יש לחלק בין ציר לשאר משקים, שציר שדינו כרותח מעביר טעם יותר מהר משאר משקין. </w:t>
      </w:r>
      <w:r w:rsidR="00E82DA1" w:rsidRPr="00882F11">
        <w:rPr>
          <w:rFonts w:cs="Guttman Drogolin" w:hint="cs"/>
          <w:rtl/>
          <w:lang w:bidi="he-IL"/>
        </w:rPr>
        <w:t xml:space="preserve">והב"י השוה חומץ לציר, אבל כבר הוכיח הגר"א ועוד אחרונים שאי אפשר לומר כן, דהא הרא"ש עצמו כשהוכיח שהשיעור זמן בחומץ הוא מעת לעת כתב שהדיא שהוא שיעור זמן בכבישהה בחומץ. </w:t>
      </w:r>
    </w:p>
    <w:p w:rsidR="00E82DA1" w:rsidRPr="00882F11" w:rsidRDefault="00E82DA1" w:rsidP="00E82DA1">
      <w:pPr>
        <w:bidi/>
        <w:jc w:val="both"/>
        <w:rPr>
          <w:rFonts w:cs="Guttman Drogolin"/>
          <w:rtl/>
          <w:lang w:bidi="he-IL"/>
        </w:rPr>
      </w:pPr>
      <w:r w:rsidRPr="00882F11">
        <w:rPr>
          <w:rFonts w:cs="Guttman Drogolin" w:hint="cs"/>
          <w:rtl/>
          <w:lang w:bidi="he-IL"/>
        </w:rPr>
        <w:t xml:space="preserve">עוד דנו האחרונים בפעולה של כבוש האיך מעביר טעם. דהנה באו"ה מבוא ששייך כבוש גם בכלי המונח לתוך משקין. ותמהו הט"ז והש"ך דהא בעינן מעת לעת להעביר טעם ע"י כבוש, ולעחר מעת לעת הרי הוא נ"ט לפגם. וחידש הכרו"פ, </w:t>
      </w:r>
      <w:r w:rsidRPr="00882F11">
        <w:rPr>
          <w:rFonts w:cs="Guttman Drogolin" w:hint="cs"/>
          <w:rtl/>
          <w:lang w:bidi="he-IL"/>
        </w:rPr>
        <w:lastRenderedPageBreak/>
        <w:t>דהא דאמרינן דבענן מעת לעת, אין זה בגלל שהכל עובר בבת אחת בסוף המעת לעת, אלא הטעם נכנס טיפה טיפה לתוך המשקין, רק שאין הטעם מורגש עד שעברו כ"ד שעות. ובחוו"ד העיר שלפי זה דבר האוסר במשהו יהא אסור בכבוש אפלו בפחות מכ"ד שעות.</w:t>
      </w:r>
    </w:p>
    <w:p w:rsidR="00D226C5" w:rsidRPr="00615FF2" w:rsidRDefault="00D226C5" w:rsidP="00D226C5">
      <w:pPr>
        <w:keepNext/>
        <w:keepLines/>
        <w:bidi/>
        <w:spacing w:after="0" w:line="360" w:lineRule="auto"/>
        <w:jc w:val="center"/>
        <w:outlineLvl w:val="0"/>
        <w:rPr>
          <w:rFonts w:asciiTheme="majorHAnsi" w:eastAsiaTheme="majorEastAsia" w:hAnsiTheme="majorHAnsi" w:cs="Guttman Drogolin"/>
          <w:b/>
          <w:bCs/>
          <w:u w:val="single"/>
          <w:rtl/>
        </w:rPr>
      </w:pPr>
      <w:bookmarkStart w:id="107" w:name="_Toc496175367"/>
      <w:r w:rsidRPr="00615FF2">
        <w:rPr>
          <w:rFonts w:asciiTheme="majorHAnsi" w:eastAsiaTheme="majorEastAsia" w:hAnsiTheme="majorHAnsi" w:cs="Guttman Drogolin" w:hint="cs"/>
          <w:b/>
          <w:bCs/>
          <w:u w:val="single"/>
          <w:rtl/>
          <w:lang w:bidi="he-IL"/>
        </w:rPr>
        <w:t>בהא דמשערין בקדרה או במה שבלע הקדרה</w:t>
      </w:r>
      <w:bookmarkEnd w:id="107"/>
    </w:p>
    <w:p w:rsidR="00706B8B" w:rsidRPr="00882F11" w:rsidRDefault="000F2E11" w:rsidP="00F145BA">
      <w:pPr>
        <w:bidi/>
        <w:jc w:val="both"/>
        <w:rPr>
          <w:rFonts w:cs="Guttman Drogolin"/>
          <w:rtl/>
          <w:lang w:bidi="he-IL"/>
        </w:rPr>
      </w:pPr>
      <w:r>
        <w:rPr>
          <w:rFonts w:cs="Guttman Drogolin"/>
          <w:rtl/>
          <w:lang w:bidi="he-IL"/>
        </w:rPr>
        <w:fldChar w:fldCharType="begin"/>
      </w:r>
      <w:r>
        <w:instrText xml:space="preserve"> XE "</w:instrText>
      </w:r>
      <w:r w:rsidRPr="00A547BE">
        <w:rPr>
          <w:rFonts w:hint="cs"/>
          <w:rtl/>
          <w:lang w:bidi="he-IL"/>
        </w:rPr>
        <w:instrText>שיעור ששים</w:instrText>
      </w:r>
      <w:r w:rsidRPr="00A547BE">
        <w:rPr>
          <w:rtl/>
        </w:rPr>
        <w:instrText>:</w:instrText>
      </w:r>
      <w:r w:rsidRPr="00A547BE">
        <w:rPr>
          <w:rFonts w:hint="cs"/>
          <w:rtl/>
          <w:lang w:bidi="he-IL"/>
        </w:rPr>
        <w:instrText>אם משערין בקדרה עצמה או במאי דבלע</w:instrText>
      </w:r>
      <w:r>
        <w:instrText xml:space="preserve">" </w:instrText>
      </w:r>
      <w:r>
        <w:rPr>
          <w:rFonts w:cs="Guttman Drogolin"/>
          <w:rtl/>
          <w:lang w:bidi="he-IL"/>
        </w:rPr>
        <w:fldChar w:fldCharType="end"/>
      </w:r>
      <w:r w:rsidR="00D226C5" w:rsidRPr="00882F11">
        <w:rPr>
          <w:rFonts w:cs="Guttman Drogolin" w:hint="cs"/>
          <w:rtl/>
          <w:lang w:bidi="he-IL"/>
        </w:rPr>
        <w:t>בהמשך הגמ' מביאה המימרא של</w:t>
      </w:r>
      <w:r w:rsidR="00D226C5" w:rsidRPr="00882F11">
        <w:rPr>
          <w:rFonts w:cs="Guttman Drogolin"/>
          <w:rtl/>
          <w:lang w:bidi="he-IL"/>
        </w:rPr>
        <w:t xml:space="preserve"> </w:t>
      </w:r>
      <w:r w:rsidR="00D226C5" w:rsidRPr="00882F11">
        <w:rPr>
          <w:rFonts w:cs="Guttman Drogolin" w:hint="cs"/>
          <w:rtl/>
          <w:lang w:bidi="he-IL"/>
        </w:rPr>
        <w:t>רבי</w:t>
      </w:r>
      <w:r w:rsidR="00D226C5" w:rsidRPr="00882F11">
        <w:rPr>
          <w:rFonts w:cs="Guttman Drogolin"/>
          <w:rtl/>
          <w:lang w:bidi="he-IL"/>
        </w:rPr>
        <w:t xml:space="preserve"> </w:t>
      </w:r>
      <w:r w:rsidR="00D226C5" w:rsidRPr="00882F11">
        <w:rPr>
          <w:rFonts w:cs="Guttman Drogolin" w:hint="cs"/>
          <w:rtl/>
          <w:lang w:bidi="he-IL"/>
        </w:rPr>
        <w:t>חנינא</w:t>
      </w:r>
      <w:r w:rsidR="00D226C5" w:rsidRPr="00882F11">
        <w:rPr>
          <w:rFonts w:cs="Guttman Drogolin"/>
          <w:rtl/>
          <w:lang w:bidi="he-IL"/>
        </w:rPr>
        <w:t xml:space="preserve"> </w:t>
      </w:r>
      <w:r w:rsidR="00D226C5" w:rsidRPr="00882F11">
        <w:rPr>
          <w:rFonts w:cs="Guttman Drogolin" w:hint="cs"/>
          <w:rtl/>
          <w:lang w:bidi="he-IL"/>
        </w:rPr>
        <w:t>"כשהן</w:t>
      </w:r>
      <w:r w:rsidR="00D226C5" w:rsidRPr="00882F11">
        <w:rPr>
          <w:rFonts w:cs="Guttman Drogolin"/>
          <w:rtl/>
          <w:lang w:bidi="he-IL"/>
        </w:rPr>
        <w:t xml:space="preserve"> </w:t>
      </w:r>
      <w:r w:rsidR="00D226C5" w:rsidRPr="00882F11">
        <w:rPr>
          <w:rFonts w:cs="Guttman Drogolin" w:hint="cs"/>
          <w:rtl/>
          <w:lang w:bidi="he-IL"/>
        </w:rPr>
        <w:t>משערין</w:t>
      </w:r>
      <w:r w:rsidR="00D226C5" w:rsidRPr="00882F11">
        <w:rPr>
          <w:rFonts w:cs="Guttman Drogolin"/>
          <w:rtl/>
          <w:lang w:bidi="he-IL"/>
        </w:rPr>
        <w:t xml:space="preserve"> </w:t>
      </w:r>
      <w:r w:rsidR="00D226C5" w:rsidRPr="00882F11">
        <w:rPr>
          <w:rFonts w:cs="Guttman Drogolin" w:hint="cs"/>
          <w:rtl/>
          <w:lang w:bidi="he-IL"/>
        </w:rPr>
        <w:t>משערין</w:t>
      </w:r>
      <w:r w:rsidR="00D226C5" w:rsidRPr="00882F11">
        <w:rPr>
          <w:rFonts w:cs="Guttman Drogolin"/>
          <w:rtl/>
          <w:lang w:bidi="he-IL"/>
        </w:rPr>
        <w:t xml:space="preserve"> </w:t>
      </w:r>
      <w:r w:rsidR="00D226C5" w:rsidRPr="00882F11">
        <w:rPr>
          <w:rFonts w:cs="Guttman Drogolin" w:hint="cs"/>
          <w:rtl/>
          <w:lang w:bidi="he-IL"/>
        </w:rPr>
        <w:t>ברוטב</w:t>
      </w:r>
      <w:r w:rsidR="00D226C5" w:rsidRPr="00882F11">
        <w:rPr>
          <w:rFonts w:cs="Guttman Drogolin"/>
          <w:rtl/>
          <w:lang w:bidi="he-IL"/>
        </w:rPr>
        <w:t xml:space="preserve"> </w:t>
      </w:r>
      <w:r w:rsidR="00D226C5" w:rsidRPr="00882F11">
        <w:rPr>
          <w:rFonts w:cs="Guttman Drogolin" w:hint="cs"/>
          <w:rtl/>
          <w:lang w:bidi="he-IL"/>
        </w:rPr>
        <w:t>ובקיפה</w:t>
      </w:r>
      <w:r w:rsidR="00D226C5" w:rsidRPr="00882F11">
        <w:rPr>
          <w:rFonts w:cs="Guttman Drogolin"/>
          <w:rtl/>
          <w:lang w:bidi="he-IL"/>
        </w:rPr>
        <w:t xml:space="preserve"> </w:t>
      </w:r>
      <w:r w:rsidR="00D226C5" w:rsidRPr="00882F11">
        <w:rPr>
          <w:rFonts w:cs="Guttman Drogolin" w:hint="cs"/>
          <w:rtl/>
          <w:lang w:bidi="he-IL"/>
        </w:rPr>
        <w:t>ובחתיכות</w:t>
      </w:r>
      <w:r w:rsidR="00D226C5" w:rsidRPr="00882F11">
        <w:rPr>
          <w:rFonts w:cs="Guttman Drogolin"/>
          <w:rtl/>
          <w:lang w:bidi="he-IL"/>
        </w:rPr>
        <w:t xml:space="preserve"> </w:t>
      </w:r>
      <w:r w:rsidR="00D226C5" w:rsidRPr="00882F11">
        <w:rPr>
          <w:rFonts w:cs="Guttman Drogolin" w:hint="cs"/>
          <w:rtl/>
          <w:lang w:bidi="he-IL"/>
        </w:rPr>
        <w:t>ובקדרה"</w:t>
      </w:r>
      <w:r w:rsidR="00D226C5" w:rsidRPr="00882F11">
        <w:rPr>
          <w:rFonts w:cs="Guttman Drogolin"/>
          <w:rtl/>
          <w:lang w:bidi="he-IL"/>
        </w:rPr>
        <w:t xml:space="preserve"> </w:t>
      </w:r>
      <w:r w:rsidR="00D226C5" w:rsidRPr="00882F11">
        <w:rPr>
          <w:rFonts w:cs="Guttman Drogolin" w:hint="cs"/>
          <w:rtl/>
          <w:lang w:bidi="he-IL"/>
        </w:rPr>
        <w:t>ויש ב' לשונות בגמ' אם ב'קדרה' הכוונה ל'קדרה</w:t>
      </w:r>
      <w:r w:rsidR="00D226C5" w:rsidRPr="00882F11">
        <w:rPr>
          <w:rFonts w:cs="Guttman Drogolin"/>
          <w:rtl/>
          <w:lang w:bidi="he-IL"/>
        </w:rPr>
        <w:t xml:space="preserve"> </w:t>
      </w:r>
      <w:r w:rsidR="00D226C5" w:rsidRPr="00882F11">
        <w:rPr>
          <w:rFonts w:cs="Guttman Drogolin" w:hint="cs"/>
          <w:rtl/>
          <w:lang w:bidi="he-IL"/>
        </w:rPr>
        <w:t>עצמה' או 'במאי</w:t>
      </w:r>
      <w:r w:rsidR="00D226C5" w:rsidRPr="00882F11">
        <w:rPr>
          <w:rFonts w:cs="Guttman Drogolin"/>
          <w:rtl/>
          <w:lang w:bidi="he-IL"/>
        </w:rPr>
        <w:t xml:space="preserve"> </w:t>
      </w:r>
      <w:r w:rsidR="00D226C5" w:rsidRPr="00882F11">
        <w:rPr>
          <w:rFonts w:cs="Guttman Drogolin" w:hint="cs"/>
          <w:rtl/>
          <w:lang w:bidi="he-IL"/>
        </w:rPr>
        <w:t>דבלעה</w:t>
      </w:r>
      <w:r w:rsidR="00D226C5" w:rsidRPr="00882F11">
        <w:rPr>
          <w:rFonts w:cs="Guttman Drogolin"/>
          <w:rtl/>
          <w:lang w:bidi="he-IL"/>
        </w:rPr>
        <w:t xml:space="preserve"> </w:t>
      </w:r>
      <w:r w:rsidR="00D226C5" w:rsidRPr="00882F11">
        <w:rPr>
          <w:rFonts w:cs="Guttman Drogolin" w:hint="cs"/>
          <w:rtl/>
          <w:lang w:bidi="he-IL"/>
        </w:rPr>
        <w:t>קדרה'. ונחלקו הראשונים בכוונת הדברים.</w:t>
      </w:r>
      <w:r w:rsidR="00074E0B" w:rsidRPr="00882F11">
        <w:rPr>
          <w:rFonts w:cs="Guttman Drogolin" w:hint="cs"/>
          <w:rtl/>
          <w:lang w:bidi="he-IL"/>
        </w:rPr>
        <w:t>רש"</w:t>
      </w:r>
      <w:r w:rsidR="00F145BA" w:rsidRPr="00882F11">
        <w:rPr>
          <w:rFonts w:cs="Guttman Drogolin" w:hint="cs"/>
          <w:rtl/>
          <w:lang w:bidi="he-IL"/>
        </w:rPr>
        <w:t>י פירש שראינו את שיעור ההיתר בעת</w:t>
      </w:r>
      <w:r w:rsidR="00074E0B" w:rsidRPr="00882F11">
        <w:rPr>
          <w:rFonts w:cs="Guttman Drogolin" w:hint="cs"/>
          <w:rtl/>
          <w:lang w:bidi="he-IL"/>
        </w:rPr>
        <w:t xml:space="preserve"> שנפלה והיתה יותר גדול משיעורו של עכשיו. ובזה נאמר ההלכה למ"ד משערין במאי דבלע קדירה שאע"פ שמה שרואים עכשיו הוא פחות ואין בה כדי לבטל האיסור של</w:t>
      </w:r>
      <w:r w:rsidR="00F145BA" w:rsidRPr="00882F11">
        <w:rPr>
          <w:rFonts w:cs="Guttman Drogolin" w:hint="cs"/>
          <w:rtl/>
          <w:lang w:bidi="he-IL"/>
        </w:rPr>
        <w:t>פ</w:t>
      </w:r>
      <w:r w:rsidR="00074E0B" w:rsidRPr="00882F11">
        <w:rPr>
          <w:rFonts w:cs="Guttman Drogolin" w:hint="cs"/>
          <w:rtl/>
          <w:lang w:bidi="he-IL"/>
        </w:rPr>
        <w:t>נינו, מ"מ מותר כיון שמשערין בשיעור שראינו שנכנס, דהא מה שלא רואים עכשיו הוא בלוע בקדירה, וגם הבלוע בקדירה מצטרף לבטל. ואינו מפורש בדברי רש"</w:t>
      </w:r>
      <w:r w:rsidR="00E625DA" w:rsidRPr="00882F11">
        <w:rPr>
          <w:rFonts w:cs="Guttman Drogolin" w:hint="cs"/>
          <w:rtl/>
          <w:lang w:bidi="he-IL"/>
        </w:rPr>
        <w:t>י מ</w:t>
      </w:r>
      <w:r w:rsidR="00074E0B" w:rsidRPr="00882F11">
        <w:rPr>
          <w:rFonts w:cs="Guttman Drogolin" w:hint="cs"/>
          <w:rtl/>
          <w:lang w:bidi="he-IL"/>
        </w:rPr>
        <w:t xml:space="preserve">ה אנחנו יודעים בשיעור האיסור בשעה שנפלה. ובביאור הגר"א (סי' צ"ט ס"ק ו') פי' </w:t>
      </w:r>
      <w:r w:rsidR="00E625DA" w:rsidRPr="00882F11">
        <w:rPr>
          <w:rFonts w:cs="Guttman Drogolin" w:hint="cs"/>
          <w:rtl/>
          <w:lang w:bidi="he-IL"/>
        </w:rPr>
        <w:t xml:space="preserve">בדעת רש"י </w:t>
      </w:r>
      <w:r w:rsidR="00074E0B" w:rsidRPr="00882F11">
        <w:rPr>
          <w:rFonts w:cs="Guttman Drogolin" w:hint="cs"/>
          <w:rtl/>
          <w:lang w:bidi="he-IL"/>
        </w:rPr>
        <w:t>דר' חנינא מיירי בכה"ג דידעינן מה היתה שיעור האיסור דמעיקרא, ומעיקרא היתה ס' בהיתר כנגד האיסור ועכשיו יש פחות</w:t>
      </w:r>
      <w:r w:rsidR="00E625DA" w:rsidRPr="00882F11">
        <w:rPr>
          <w:rFonts w:cs="Guttman Drogolin" w:hint="cs"/>
          <w:rtl/>
          <w:lang w:bidi="he-IL"/>
        </w:rPr>
        <w:t>, ומ"מ הרי הוא מותר כיון שהשיעור דמעיקרא דתרוייהו בלוע בקדרה, ומצטרף הבלוע לשיעור ביטול. וכן נראה דנקט הריטב"א לקמן בדף צ"ח בסוגיא דההוא כזיתר דתרבא בדע רש"י. ולפי זה סוף דברי רש"י במש"כ "ועיקר הדבר וכו', וכדאמרי</w:t>
      </w:r>
      <w:r w:rsidR="00E625DA" w:rsidRPr="00882F11">
        <w:rPr>
          <w:rFonts w:cs="Guttman Drogolin"/>
          <w:rtl/>
          <w:lang w:bidi="he-IL"/>
        </w:rPr>
        <w:t xml:space="preserve">' </w:t>
      </w:r>
      <w:r w:rsidR="00E625DA" w:rsidRPr="00882F11">
        <w:rPr>
          <w:rFonts w:cs="Guttman Drogolin" w:hint="cs"/>
          <w:rtl/>
          <w:lang w:bidi="he-IL"/>
        </w:rPr>
        <w:t>לקמן</w:t>
      </w:r>
      <w:r w:rsidR="00E625DA" w:rsidRPr="00882F11">
        <w:rPr>
          <w:rFonts w:cs="Guttman Drogolin"/>
          <w:rtl/>
          <w:lang w:bidi="he-IL"/>
        </w:rPr>
        <w:t xml:space="preserve"> </w:t>
      </w:r>
      <w:r w:rsidR="00E625DA" w:rsidRPr="00882F11">
        <w:rPr>
          <w:rFonts w:cs="Guttman Drogolin" w:hint="cs"/>
          <w:rtl/>
          <w:lang w:bidi="he-IL"/>
        </w:rPr>
        <w:t>אטו</w:t>
      </w:r>
      <w:r w:rsidR="00E625DA" w:rsidRPr="00882F11">
        <w:rPr>
          <w:rFonts w:cs="Guttman Drogolin"/>
          <w:rtl/>
          <w:lang w:bidi="he-IL"/>
        </w:rPr>
        <w:t xml:space="preserve"> </w:t>
      </w:r>
      <w:r w:rsidR="00E625DA" w:rsidRPr="00882F11">
        <w:rPr>
          <w:rFonts w:cs="Guttman Drogolin" w:hint="cs"/>
          <w:rtl/>
          <w:lang w:bidi="he-IL"/>
        </w:rPr>
        <w:t>דהיתרא</w:t>
      </w:r>
      <w:r w:rsidR="00E625DA" w:rsidRPr="00882F11">
        <w:rPr>
          <w:rFonts w:cs="Guttman Drogolin"/>
          <w:rtl/>
          <w:lang w:bidi="he-IL"/>
        </w:rPr>
        <w:t xml:space="preserve"> </w:t>
      </w:r>
      <w:r w:rsidR="00E625DA" w:rsidRPr="00882F11">
        <w:rPr>
          <w:rFonts w:cs="Guttman Drogolin" w:hint="cs"/>
          <w:rtl/>
          <w:lang w:bidi="he-IL"/>
        </w:rPr>
        <w:t>בלע</w:t>
      </w:r>
      <w:r w:rsidR="00E625DA" w:rsidRPr="00882F11">
        <w:rPr>
          <w:rFonts w:cs="Guttman Drogolin"/>
          <w:rtl/>
          <w:lang w:bidi="he-IL"/>
        </w:rPr>
        <w:t xml:space="preserve"> </w:t>
      </w:r>
      <w:r w:rsidR="00E625DA" w:rsidRPr="00882F11">
        <w:rPr>
          <w:rFonts w:cs="Guttman Drogolin" w:hint="cs"/>
          <w:rtl/>
          <w:lang w:bidi="he-IL"/>
        </w:rPr>
        <w:t>דאיסורא</w:t>
      </w:r>
      <w:r w:rsidR="00E625DA" w:rsidRPr="00882F11">
        <w:rPr>
          <w:rFonts w:cs="Guttman Drogolin"/>
          <w:rtl/>
          <w:lang w:bidi="he-IL"/>
        </w:rPr>
        <w:t xml:space="preserve"> </w:t>
      </w:r>
      <w:r w:rsidR="00E625DA" w:rsidRPr="00882F11">
        <w:rPr>
          <w:rFonts w:cs="Guttman Drogolin" w:hint="cs"/>
          <w:rtl/>
          <w:lang w:bidi="he-IL"/>
        </w:rPr>
        <w:t>לא</w:t>
      </w:r>
      <w:r w:rsidR="00E625DA" w:rsidRPr="00882F11">
        <w:rPr>
          <w:rFonts w:cs="Guttman Drogolin"/>
          <w:rtl/>
          <w:lang w:bidi="he-IL"/>
        </w:rPr>
        <w:t xml:space="preserve"> </w:t>
      </w:r>
      <w:r w:rsidR="00E625DA" w:rsidRPr="00882F11">
        <w:rPr>
          <w:rFonts w:cs="Guttman Drogolin" w:hint="cs"/>
          <w:rtl/>
          <w:lang w:bidi="he-IL"/>
        </w:rPr>
        <w:t>בלע" הוא ע"כ מילתא אחריתי, והוא דכשאין יודעים השיעור איסור דמעיקרא אי אפשר לצרף הבלוע מן ההיתר דהא י"ל שגם מן האיסור בלע ואולי גם מעיקרא לא היתה ס'. אמנם הרשב"א נקט דרש"י סבר דר' חנינא מיירי בכה"ג שאין אנו יודעים כמה איסור היתה בשעה שנפלה</w:t>
      </w:r>
      <w:r w:rsidR="00706B8B" w:rsidRPr="00882F11">
        <w:rPr>
          <w:rFonts w:cs="Guttman Drogolin" w:hint="cs"/>
          <w:rtl/>
          <w:lang w:bidi="he-IL"/>
        </w:rPr>
        <w:t xml:space="preserve">, ולכן כוונת רש"י בסוף דבריו לומר דלא מיבעי שצריכים להחמיר כלישנא </w:t>
      </w:r>
      <w:r w:rsidR="00706B8B" w:rsidRPr="00882F11">
        <w:rPr>
          <w:rFonts w:cs="Guttman Drogolin" w:hint="cs"/>
          <w:rtl/>
          <w:lang w:bidi="he-IL"/>
        </w:rPr>
        <w:lastRenderedPageBreak/>
        <w:t>בתרא שאין משערין בקדרה עצמה, אלא גם במאי דבלע קדרה לא משערינן, וכוונתו לדחות את ב' הלשונות בגמ' ע"פ הסוגיא דההוא כזיתא דתרבא. וע"ש ברשב"א שלולא דברי רש"י הי' אפשר לפרש דר' חנינא מיירי בכה"ג דידעינן כמות האיסור שהיה בשעה שנפלה, וא"כ הלישנא בתרא דר' חנינא קיימא למסקנא.</w:t>
      </w:r>
    </w:p>
    <w:p w:rsidR="00887FAA" w:rsidRPr="00882F11" w:rsidRDefault="00706B8B" w:rsidP="00706B8B">
      <w:pPr>
        <w:bidi/>
        <w:jc w:val="both"/>
        <w:rPr>
          <w:rFonts w:cs="Guttman Drogolin"/>
          <w:rtl/>
          <w:lang w:bidi="he-IL"/>
        </w:rPr>
      </w:pPr>
      <w:r w:rsidRPr="00882F11">
        <w:rPr>
          <w:rFonts w:cs="Guttman Drogolin" w:hint="cs"/>
          <w:rtl/>
          <w:lang w:bidi="he-IL"/>
        </w:rPr>
        <w:t xml:space="preserve">ומ"מ יל"ע מהו הביאור בזה שמשערין בקדרה עצמה, הא הקדרה עצמה אינה נותנת טעם. והי' נראה לכאורה דהנה יש להסתפק מהו הביאור בדבר זה שכשיש ששים של מאכל היתר הרי זה מבטל הטעם של מאכל איסור והתבשיל מותרת, האם זה בגלל </w:t>
      </w:r>
      <w:r w:rsidR="002133F6" w:rsidRPr="00882F11">
        <w:rPr>
          <w:rFonts w:cs="Guttman Drogolin" w:hint="cs"/>
          <w:rtl/>
          <w:lang w:bidi="he-IL"/>
        </w:rPr>
        <w:t>שכל הטעמים של המאכלים של היתר נפלטו לתוך התבשיל ביחד עם הטעם איסור, ולכן ע"י צירוף כל הטעמים יוצא שאינו מרגיש הטעם של איסור. או"ד שהוא בגלל שהטעם של איסור יש לו מקום להתפשט עד ששים כנגדו, באופן שלא נשאר בכל התביל אלא משהו בעלמא של טעם האיסור ולכן אין לו כך להטעים את התבשיל. ולפום ריהטא</w:t>
      </w:r>
      <w:r w:rsidR="00766F12" w:rsidRPr="00882F11">
        <w:rPr>
          <w:rFonts w:cs="Guttman Drogolin" w:hint="cs"/>
          <w:rtl/>
          <w:lang w:bidi="he-IL"/>
        </w:rPr>
        <w:t xml:space="preserve"> הדין לשער בקדרה תלוי בחקירה זו, שאם הוא מ</w:t>
      </w:r>
      <w:r w:rsidR="00F145BA" w:rsidRPr="00882F11">
        <w:rPr>
          <w:rFonts w:cs="Guttman Drogolin" w:hint="cs"/>
          <w:rtl/>
          <w:lang w:bidi="he-IL"/>
        </w:rPr>
        <w:t>ש</w:t>
      </w:r>
      <w:r w:rsidR="00766F12" w:rsidRPr="00882F11">
        <w:rPr>
          <w:rFonts w:cs="Guttman Drogolin" w:hint="cs"/>
          <w:rtl/>
          <w:lang w:bidi="he-IL"/>
        </w:rPr>
        <w:t>ום עירוב טעם איסור עם טעם היתר, הא א</w:t>
      </w:r>
      <w:r w:rsidR="00F145BA" w:rsidRPr="00882F11">
        <w:rPr>
          <w:rFonts w:cs="Guttman Drogolin" w:hint="cs"/>
          <w:rtl/>
          <w:lang w:bidi="he-IL"/>
        </w:rPr>
        <w:t>י</w:t>
      </w:r>
      <w:r w:rsidR="00766F12" w:rsidRPr="00882F11">
        <w:rPr>
          <w:rFonts w:cs="Guttman Drogolin" w:hint="cs"/>
          <w:rtl/>
          <w:lang w:bidi="he-IL"/>
        </w:rPr>
        <w:t xml:space="preserve">ן מקום לצרף את הקדרה, אבל אם הוא משום התפשטות לכאורה ליכא למימר הכי. והי' אפשר לומר שזהו גופא המחלוקת בין ב' הלשונות מהו יסוד הדבר שיש ביטול בששים. </w:t>
      </w:r>
      <w:r w:rsidR="00887FAA" w:rsidRPr="00882F11">
        <w:rPr>
          <w:rFonts w:cs="Guttman Drogolin" w:hint="cs"/>
          <w:rtl/>
          <w:lang w:bidi="he-IL"/>
        </w:rPr>
        <w:t>וכן יל"ע איך זה מטעים עם הסוגיא דעצמות, דהא בדף צ"ח ע"ב מבואר שיש מחלוקת אם בזרוע בשילה משעין בשר ועצמות כנגד בשר ועצמות, או בשר כנגד בשר. וקיי"ל כמ"ד שמשערין בששים, ולכאורה זהו כמ"ד שמשערין בשר ועצמות כנגד בשר ועצמות, וא"כ יוצא שעצמות של איסור מצטרפין לשיעור איסור, ואילו עצמות של היתר מצטרפין לשיעור היתר. ובעזהי"ת בשיעור הבא נדבר בזה יותר.</w:t>
      </w:r>
    </w:p>
    <w:p w:rsidR="00FE5476" w:rsidRPr="00882F11" w:rsidRDefault="00FE5476" w:rsidP="008A402C">
      <w:pPr>
        <w:bidi/>
        <w:jc w:val="both"/>
        <w:rPr>
          <w:rFonts w:cs="Guttman Drogolin"/>
          <w:rtl/>
          <w:lang w:bidi="he-IL"/>
        </w:rPr>
      </w:pPr>
      <w:r w:rsidRPr="00882F11">
        <w:rPr>
          <w:rFonts w:cs="Guttman Drogolin" w:hint="cs"/>
          <w:rtl/>
          <w:lang w:bidi="he-IL"/>
        </w:rPr>
        <w:t xml:space="preserve">עוד יש להעיר במש"כ רש"י שצריכים להחמיר כלשינא דמאי שבלע קדירה כיון שהוא ספק דאורייתא. וצ"ע דהא שיטת רש"י דטכ"ע דרבנן. וכן באמת העיר הרשב"א, ותי' דכיון ששם האיסור הוא איסור דאורייתא מחמירין בספיקא אע"פ שהטעם אינו אסור אלא מדרבנן. ולכאורה </w:t>
      </w:r>
      <w:r w:rsidRPr="00882F11">
        <w:rPr>
          <w:rFonts w:cs="Guttman Drogolin" w:hint="cs"/>
          <w:rtl/>
          <w:lang w:bidi="he-IL"/>
        </w:rPr>
        <w:lastRenderedPageBreak/>
        <w:t>הי' אפשר לומר שמחמירים משום דטעמו וממשו דאורייתא, והחמירו בספק גם בטעמו ולא ממשו משום לא פלוג, דהא טעם בקדירה יתכן שמשערין במאי דבלע קדירה כדי לבטל טעמו וממשו. ומ"מ יש להעיר בזה דהא הרב"א בסוגיא שבדף צ"ח ע"ב כתב דנפק"מ אם טכ"ע דאורייתא או דרבנן א</w:t>
      </w:r>
      <w:r w:rsidR="00BE3E0D">
        <w:rPr>
          <w:rFonts w:cs="Guttman Drogolin" w:hint="cs"/>
          <w:rtl/>
          <w:lang w:bidi="he-IL"/>
        </w:rPr>
        <w:t>ם</w:t>
      </w:r>
      <w:r w:rsidRPr="00882F11">
        <w:rPr>
          <w:rFonts w:cs="Guttman Drogolin" w:hint="cs"/>
          <w:rtl/>
          <w:lang w:bidi="he-IL"/>
        </w:rPr>
        <w:t xml:space="preserve"> מקילים בדי</w:t>
      </w:r>
      <w:r w:rsidR="00F145BA" w:rsidRPr="00882F11">
        <w:rPr>
          <w:rFonts w:cs="Guttman Drogolin" w:hint="cs"/>
          <w:rtl/>
          <w:lang w:bidi="he-IL"/>
        </w:rPr>
        <w:t xml:space="preserve">ן נשפך, אע"ג שבטעמו וממשו ודאי </w:t>
      </w:r>
      <w:r w:rsidRPr="00882F11">
        <w:rPr>
          <w:rFonts w:cs="Guttman Drogolin" w:hint="cs"/>
          <w:rtl/>
          <w:lang w:bidi="he-IL"/>
        </w:rPr>
        <w:t xml:space="preserve">שאי אפשר להקל אפילו למ"ד טכ"ע דרבנן. ויוצא לפי זה שרש"י אע"ג דסבר טכ"ע דרבנן מ"מ לית לי' הקולא בנשפך. וצ"ע. והעירו שלפי מה יארנו מכבר שלרש"י צריכים ששים מדאורייתא אפלו למ"ד טכ"ע דרבנן ניחא. </w:t>
      </w:r>
    </w:p>
    <w:p w:rsidR="00FE5476" w:rsidRPr="00882F11" w:rsidRDefault="00887FAA" w:rsidP="00F145BA">
      <w:pPr>
        <w:bidi/>
        <w:jc w:val="both"/>
        <w:rPr>
          <w:rFonts w:cs="Guttman Drogolin"/>
          <w:rtl/>
          <w:lang w:bidi="he-IL"/>
        </w:rPr>
      </w:pPr>
      <w:r w:rsidRPr="00882F11">
        <w:rPr>
          <w:rFonts w:cs="Guttman Drogolin" w:hint="cs"/>
          <w:rtl/>
          <w:lang w:bidi="he-IL"/>
        </w:rPr>
        <w:t>והרמב"ן פי' את הגמ' באופן אחר. והוא דהא דמשערין בקדרה הוא שיעור לחומרא, דלעולם ליכא למ"ד שמשערין בחרסית של הקדרה, והוא לכאורה הטעם הנ"ל דהא החרסית של הקדרה אינה נותנת טעם. והכוונה של ב</w:t>
      </w:r>
      <w:r w:rsidR="00F145BA" w:rsidRPr="00882F11">
        <w:rPr>
          <w:rFonts w:cs="Guttman Drogolin" w:hint="cs"/>
          <w:rtl/>
          <w:lang w:bidi="he-IL"/>
        </w:rPr>
        <w:t>ק</w:t>
      </w:r>
      <w:r w:rsidRPr="00882F11">
        <w:rPr>
          <w:rFonts w:cs="Guttman Drogolin" w:hint="cs"/>
          <w:rtl/>
          <w:lang w:bidi="he-IL"/>
        </w:rPr>
        <w:t>ד</w:t>
      </w:r>
      <w:r w:rsidR="00F145BA" w:rsidRPr="00882F11">
        <w:rPr>
          <w:rFonts w:cs="Guttman Drogolin" w:hint="cs"/>
          <w:rtl/>
          <w:lang w:bidi="he-IL"/>
        </w:rPr>
        <w:t>רה היינו שאין מ</w:t>
      </w:r>
      <w:r w:rsidRPr="00882F11">
        <w:rPr>
          <w:rFonts w:cs="Guttman Drogolin" w:hint="cs"/>
          <w:rtl/>
          <w:lang w:bidi="he-IL"/>
        </w:rPr>
        <w:t>שערין אלא במה שבקדרה עכשיו בלבד. והמ"ד שמשערין במאי דבלע קדרה, נראה מן הרמב"ן שגם זה אינו משום שבאמת משערין במא</w:t>
      </w:r>
      <w:r w:rsidR="00F145BA" w:rsidRPr="00882F11">
        <w:rPr>
          <w:rFonts w:cs="Guttman Drogolin" w:hint="cs"/>
          <w:rtl/>
          <w:lang w:bidi="he-IL"/>
        </w:rPr>
        <w:t>י</w:t>
      </w:r>
      <w:r w:rsidRPr="00882F11">
        <w:rPr>
          <w:rFonts w:cs="Guttman Drogolin" w:hint="cs"/>
          <w:rtl/>
          <w:lang w:bidi="he-IL"/>
        </w:rPr>
        <w:t xml:space="preserve"> שבלע קדרה, דנראה דסבר שאי אפשר לשער במאי דבלע הקדרה, ודלא כמש"נ לשיטת רש"י. רק הטעם משום דקולא הוא שהקילו שלא להצריך כל השיעור ששים כה"ג, וע"ש שאמנם אפשר לצרף נמי מה שנשרף ע"י האש, אי אפשר לצרף מה שלקח בכף</w:t>
      </w:r>
      <w:r w:rsidR="00FE5476" w:rsidRPr="00882F11">
        <w:rPr>
          <w:rFonts w:cs="Guttman Drogolin" w:hint="cs"/>
          <w:rtl/>
          <w:lang w:bidi="he-IL"/>
        </w:rPr>
        <w:t>, דלא הקילו כולי האי</w:t>
      </w:r>
      <w:r w:rsidRPr="00882F11">
        <w:rPr>
          <w:rFonts w:cs="Guttman Drogolin" w:hint="cs"/>
          <w:rtl/>
          <w:lang w:bidi="he-IL"/>
        </w:rPr>
        <w:t>.</w:t>
      </w:r>
    </w:p>
    <w:p w:rsidR="00D226C5" w:rsidRPr="00882F11" w:rsidRDefault="00FE5476" w:rsidP="000F2E11">
      <w:pPr>
        <w:bidi/>
        <w:jc w:val="both"/>
        <w:rPr>
          <w:rFonts w:cs="Guttman Drogolin"/>
          <w:rtl/>
          <w:lang w:bidi="he-IL"/>
        </w:rPr>
      </w:pPr>
      <w:r w:rsidRPr="00882F11">
        <w:rPr>
          <w:rFonts w:cs="Guttman Drogolin" w:hint="cs"/>
          <w:rtl/>
          <w:lang w:bidi="he-IL"/>
        </w:rPr>
        <w:t xml:space="preserve">ובטעם הקולא פי' הרשב"א בשו"ת </w:t>
      </w:r>
      <w:r w:rsidR="006510D9" w:rsidRPr="00882F11">
        <w:rPr>
          <w:rFonts w:cs="Guttman Drogolin" w:hint="cs"/>
          <w:rtl/>
          <w:lang w:bidi="he-IL"/>
        </w:rPr>
        <w:t>סי' תקט"ו משום דמדאורייתא ברובא בטל כיון דטכ"ע דרבנן. אלא שלפי זה יהא הדין שבבב"ח לא הקילו. וכן יתכן שזהו דלא כרש"י עצמו שכתב להחמרי משום שהוא דין דאורייתא וכמש"נ. ומצאתי למשמרת הבית שכתב</w:t>
      </w:r>
      <w:r w:rsidR="00F145BA" w:rsidRPr="00882F11">
        <w:rPr>
          <w:rFonts w:cs="Guttman Drogolin" w:hint="cs"/>
          <w:rtl/>
          <w:lang w:bidi="he-IL"/>
        </w:rPr>
        <w:t xml:space="preserve"> </w:t>
      </w:r>
      <w:r w:rsidR="006510D9" w:rsidRPr="00882F11">
        <w:rPr>
          <w:rFonts w:cs="Guttman Drogolin" w:hint="cs"/>
          <w:rtl/>
          <w:lang w:bidi="he-IL"/>
        </w:rPr>
        <w:t>להקל אפילו לקח מן ההיתר ביד, וטעמו שהרי כבר נפלט מן האיסור כל הטעם שיכול לצאת. וא"כ לא יצא יותר רק בגלל שלקח מן ההיתר. וזהו דלא כרמב"ן עצמו שהחמיר כשלקח בכף. ועוד צ"ע דא"כ מאי שנא מנפל האיסור לקדרה ארת שמשערין בכולו</w:t>
      </w:r>
      <w:r w:rsidR="00D226C5" w:rsidRPr="00882F11">
        <w:rPr>
          <w:rFonts w:cs="Guttman Drogolin" w:hint="cs"/>
          <w:rtl/>
          <w:lang w:bidi="he-IL"/>
        </w:rPr>
        <w:t xml:space="preserve"> </w:t>
      </w:r>
    </w:p>
    <w:p w:rsidR="001B78D3" w:rsidRPr="00882F11" w:rsidRDefault="00AC3B35" w:rsidP="001B78D3">
      <w:pPr>
        <w:bidi/>
        <w:jc w:val="both"/>
        <w:rPr>
          <w:rFonts w:cs="Guttman Drogolin"/>
          <w:rtl/>
          <w:lang w:bidi="he-IL"/>
        </w:rPr>
        <w:sectPr w:rsidR="001B78D3" w:rsidRPr="00882F11" w:rsidSect="000F6DEF">
          <w:type w:val="continuous"/>
          <w:pgSz w:w="11907" w:h="16839" w:code="9"/>
          <w:pgMar w:top="1440" w:right="1440" w:bottom="1440" w:left="1440" w:header="720" w:footer="720" w:gutter="0"/>
          <w:cols w:num="2" w:space="720"/>
          <w:bidi/>
          <w:docGrid w:linePitch="360"/>
        </w:sectPr>
      </w:pPr>
      <w:r w:rsidRPr="00882F11">
        <w:rPr>
          <w:rFonts w:cs="Guttman Drogolin" w:hint="cs"/>
          <w:rtl/>
          <w:lang w:bidi="he-IL"/>
        </w:rPr>
        <w:t xml:space="preserve"> </w:t>
      </w:r>
    </w:p>
    <w:p w:rsidR="001B78D3" w:rsidRPr="00882F11" w:rsidRDefault="001B78D3" w:rsidP="001B78D3">
      <w:pPr>
        <w:keepNext/>
        <w:tabs>
          <w:tab w:val="left" w:pos="3818"/>
          <w:tab w:val="center" w:pos="4680"/>
        </w:tabs>
        <w:bidi/>
        <w:jc w:val="center"/>
        <w:rPr>
          <w:rFonts w:cs="Guttman Drogolin"/>
          <w:b/>
          <w:bCs/>
          <w:sz w:val="24"/>
          <w:szCs w:val="24"/>
          <w:rtl/>
        </w:rPr>
      </w:pPr>
      <w:r w:rsidRPr="00882F11">
        <w:rPr>
          <w:rFonts w:cs="Guttman Drogolin" w:hint="cs"/>
          <w:b/>
          <w:bCs/>
          <w:sz w:val="48"/>
          <w:szCs w:val="48"/>
          <w:rtl/>
          <w:lang w:bidi="he-IL"/>
        </w:rPr>
        <w:lastRenderedPageBreak/>
        <w:t>שיעור כ</w:t>
      </w:r>
      <w:r w:rsidRPr="00882F11">
        <w:rPr>
          <w:rFonts w:cs="Guttman Drogolin" w:hint="cs"/>
          <w:b/>
          <w:bCs/>
          <w:sz w:val="48"/>
          <w:szCs w:val="48"/>
          <w:rtl/>
        </w:rPr>
        <w:t>"</w:t>
      </w:r>
      <w:r w:rsidRPr="00882F11">
        <w:rPr>
          <w:rFonts w:cs="Guttman Drogolin" w:hint="cs"/>
          <w:b/>
          <w:bCs/>
          <w:sz w:val="48"/>
          <w:szCs w:val="48"/>
          <w:rtl/>
          <w:lang w:bidi="he-IL"/>
        </w:rPr>
        <w:t>ז</w:t>
      </w:r>
    </w:p>
    <w:p w:rsidR="00615FF2" w:rsidRDefault="00615FF2" w:rsidP="001B78D3">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sectPr w:rsidR="00615FF2" w:rsidSect="00615FF2">
          <w:pgSz w:w="11907" w:h="16839" w:code="9"/>
          <w:pgMar w:top="1440" w:right="1440" w:bottom="1440" w:left="1440" w:header="720" w:footer="720" w:gutter="0"/>
          <w:cols w:space="720"/>
          <w:bidi/>
          <w:docGrid w:linePitch="360"/>
        </w:sectPr>
      </w:pPr>
    </w:p>
    <w:p w:rsidR="001B78D3" w:rsidRPr="00615FF2" w:rsidRDefault="00E539CA" w:rsidP="001B78D3">
      <w:pPr>
        <w:keepNext/>
        <w:keepLines/>
        <w:bidi/>
        <w:spacing w:after="0" w:line="360" w:lineRule="auto"/>
        <w:jc w:val="center"/>
        <w:outlineLvl w:val="0"/>
        <w:rPr>
          <w:rFonts w:asciiTheme="majorHAnsi" w:eastAsiaTheme="majorEastAsia" w:hAnsiTheme="majorHAnsi" w:cs="Guttman Drogolin"/>
          <w:b/>
          <w:bCs/>
          <w:sz w:val="18"/>
          <w:szCs w:val="18"/>
          <w:u w:val="single"/>
          <w:rtl/>
        </w:rPr>
      </w:pPr>
      <w:bookmarkStart w:id="108" w:name="_Toc496175368"/>
      <w:r w:rsidRPr="00615FF2">
        <w:rPr>
          <w:rFonts w:asciiTheme="majorHAnsi" w:eastAsiaTheme="majorEastAsia" w:hAnsiTheme="majorHAnsi" w:cs="Guttman Drogolin" w:hint="cs"/>
          <w:b/>
          <w:bCs/>
          <w:sz w:val="18"/>
          <w:szCs w:val="18"/>
          <w:u w:val="single"/>
          <w:rtl/>
          <w:lang w:bidi="he-IL"/>
        </w:rPr>
        <w:lastRenderedPageBreak/>
        <w:t>בדין מ</w:t>
      </w:r>
      <w:r w:rsidR="001B78D3" w:rsidRPr="00615FF2">
        <w:rPr>
          <w:rFonts w:asciiTheme="majorHAnsi" w:eastAsiaTheme="majorEastAsia" w:hAnsiTheme="majorHAnsi" w:cs="Guttman Drogolin" w:hint="cs"/>
          <w:b/>
          <w:bCs/>
          <w:sz w:val="18"/>
          <w:szCs w:val="18"/>
          <w:u w:val="single"/>
          <w:rtl/>
          <w:lang w:bidi="he-IL"/>
        </w:rPr>
        <w:t xml:space="preserve">שערין בעצמות </w:t>
      </w:r>
      <w:r w:rsidR="001B78D3" w:rsidRPr="00615FF2">
        <w:rPr>
          <w:rFonts w:asciiTheme="majorHAnsi" w:eastAsiaTheme="majorEastAsia" w:hAnsiTheme="majorHAnsi" w:cs="Guttman Drogolin"/>
          <w:b/>
          <w:bCs/>
          <w:sz w:val="18"/>
          <w:szCs w:val="18"/>
          <w:u w:val="single"/>
          <w:rtl/>
          <w:lang w:bidi="he-IL"/>
        </w:rPr>
        <w:t>–</w:t>
      </w:r>
      <w:r w:rsidR="001B78D3" w:rsidRPr="00615FF2">
        <w:rPr>
          <w:rFonts w:asciiTheme="majorHAnsi" w:eastAsiaTheme="majorEastAsia" w:hAnsiTheme="majorHAnsi" w:cs="Guttman Drogolin" w:hint="cs"/>
          <w:b/>
          <w:bCs/>
          <w:sz w:val="18"/>
          <w:szCs w:val="18"/>
          <w:u w:val="single"/>
          <w:rtl/>
          <w:lang w:bidi="he-IL"/>
        </w:rPr>
        <w:t xml:space="preserve"> המשך בדין משערין בקדירה</w:t>
      </w:r>
      <w:bookmarkEnd w:id="108"/>
    </w:p>
    <w:p w:rsidR="00D83257" w:rsidRPr="00882F11" w:rsidRDefault="000F2E11" w:rsidP="00752E56">
      <w:pPr>
        <w:bidi/>
        <w:jc w:val="both"/>
        <w:rPr>
          <w:rFonts w:cs="Guttman Drogolin"/>
          <w:rtl/>
          <w:lang w:bidi="he-IL"/>
        </w:rPr>
      </w:pPr>
      <w:r>
        <w:rPr>
          <w:rFonts w:cs="Guttman Drogolin"/>
          <w:rtl/>
          <w:lang w:bidi="he-IL"/>
        </w:rPr>
        <w:fldChar w:fldCharType="begin"/>
      </w:r>
      <w:r>
        <w:instrText xml:space="preserve"> XE "</w:instrText>
      </w:r>
      <w:r w:rsidRPr="00722C52">
        <w:rPr>
          <w:rFonts w:hint="cs"/>
          <w:rtl/>
          <w:lang w:bidi="he-IL"/>
        </w:rPr>
        <w:instrText>עצמות</w:instrText>
      </w:r>
      <w:r w:rsidRPr="00722C52">
        <w:rPr>
          <w:rtl/>
        </w:rPr>
        <w:instrText>:</w:instrText>
      </w:r>
      <w:r w:rsidRPr="00722C52">
        <w:rPr>
          <w:rFonts w:hint="cs"/>
          <w:rtl/>
          <w:lang w:bidi="he-IL"/>
        </w:rPr>
        <w:instrText>אם משערין בהו</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F44C5A">
        <w:rPr>
          <w:rFonts w:hint="cs"/>
          <w:rtl/>
          <w:lang w:bidi="he-IL"/>
        </w:rPr>
        <w:instrText>שיעור ששים</w:instrText>
      </w:r>
      <w:r w:rsidRPr="00F44C5A">
        <w:rPr>
          <w:rtl/>
        </w:rPr>
        <w:instrText>:</w:instrText>
      </w:r>
      <w:r w:rsidRPr="00F44C5A">
        <w:rPr>
          <w:rFonts w:hint="cs"/>
          <w:rtl/>
          <w:lang w:bidi="he-IL"/>
        </w:rPr>
        <w:instrText>אם השיעור ששים כולל העצמות</w:instrText>
      </w:r>
      <w:r>
        <w:instrText xml:space="preserve">" </w:instrText>
      </w:r>
      <w:r>
        <w:rPr>
          <w:rFonts w:cs="Guttman Drogolin"/>
          <w:rtl/>
          <w:lang w:bidi="he-IL"/>
        </w:rPr>
        <w:fldChar w:fldCharType="end"/>
      </w:r>
      <w:r w:rsidR="008B3B8C" w:rsidRPr="00882F11">
        <w:rPr>
          <w:rFonts w:cs="Guttman Drogolin" w:hint="cs"/>
          <w:rtl/>
          <w:lang w:bidi="he-IL"/>
        </w:rPr>
        <w:t xml:space="preserve">בשיעור הקודם הבאנו מחלוקת אם משערין בקדרה עצמה </w:t>
      </w:r>
      <w:r w:rsidR="00E539CA" w:rsidRPr="00882F11">
        <w:rPr>
          <w:rFonts w:cs="Guttman Drogolin" w:hint="cs"/>
          <w:rtl/>
          <w:lang w:bidi="he-IL"/>
        </w:rPr>
        <w:t xml:space="preserve">(פי' בחרסית של הקדרה) </w:t>
      </w:r>
      <w:r w:rsidR="008B3B8C" w:rsidRPr="00882F11">
        <w:rPr>
          <w:rFonts w:cs="Guttman Drogolin" w:hint="cs"/>
          <w:rtl/>
          <w:lang w:bidi="he-IL"/>
        </w:rPr>
        <w:t>או לא, שלרש"י הוא מחלוקת בין הלשונות אם משערין ב</w:t>
      </w:r>
      <w:r w:rsidR="00F145BA" w:rsidRPr="00882F11">
        <w:rPr>
          <w:rFonts w:cs="Guttman Drogolin" w:hint="cs"/>
          <w:rtl/>
          <w:lang w:bidi="he-IL"/>
        </w:rPr>
        <w:t>חרסית של ה</w:t>
      </w:r>
      <w:r w:rsidR="008B3B8C" w:rsidRPr="00882F11">
        <w:rPr>
          <w:rFonts w:cs="Guttman Drogolin" w:hint="cs"/>
          <w:rtl/>
          <w:lang w:bidi="he-IL"/>
        </w:rPr>
        <w:t xml:space="preserve">קדירה או לא, ולרמב"ן </w:t>
      </w:r>
      <w:r w:rsidR="00E539CA" w:rsidRPr="00882F11">
        <w:rPr>
          <w:rFonts w:cs="Guttman Drogolin" w:hint="cs"/>
          <w:rtl/>
          <w:lang w:bidi="he-IL"/>
        </w:rPr>
        <w:t xml:space="preserve">לכו"ע </w:t>
      </w:r>
      <w:r w:rsidR="008B3B8C" w:rsidRPr="00882F11">
        <w:rPr>
          <w:rFonts w:cs="Guttman Drogolin" w:hint="cs"/>
          <w:rtl/>
          <w:lang w:bidi="he-IL"/>
        </w:rPr>
        <w:t>אין משערין ב</w:t>
      </w:r>
      <w:r w:rsidR="00E539CA" w:rsidRPr="00882F11">
        <w:rPr>
          <w:rFonts w:cs="Guttman Drogolin" w:hint="cs"/>
          <w:rtl/>
          <w:lang w:bidi="he-IL"/>
        </w:rPr>
        <w:t>חרסית של ה</w:t>
      </w:r>
      <w:r w:rsidR="008B3B8C" w:rsidRPr="00882F11">
        <w:rPr>
          <w:rFonts w:cs="Guttman Drogolin" w:hint="cs"/>
          <w:rtl/>
          <w:lang w:bidi="he-IL"/>
        </w:rPr>
        <w:t>קד</w:t>
      </w:r>
      <w:r w:rsidR="00E539CA" w:rsidRPr="00882F11">
        <w:rPr>
          <w:rFonts w:cs="Guttman Drogolin" w:hint="cs"/>
          <w:rtl/>
          <w:lang w:bidi="he-IL"/>
        </w:rPr>
        <w:t>ר</w:t>
      </w:r>
      <w:r w:rsidR="008B3B8C" w:rsidRPr="00882F11">
        <w:rPr>
          <w:rFonts w:cs="Guttman Drogolin" w:hint="cs"/>
          <w:rtl/>
          <w:lang w:bidi="he-IL"/>
        </w:rPr>
        <w:t>ה עצמה</w:t>
      </w:r>
      <w:r w:rsidR="00E539CA" w:rsidRPr="00882F11">
        <w:rPr>
          <w:rFonts w:cs="Guttman Drogolin" w:hint="cs"/>
          <w:rtl/>
          <w:lang w:bidi="he-IL"/>
        </w:rPr>
        <w:t>. וכן הוא להלכה בשו"ע ברסי' צ"ט. אמנם יש לכאורה סוגיא הסותרת סוגיא זו, והוא מה שכבר ראינו לעיל בדף צ"ח ע"ב, שנחלקו אם השיעור ביטול היתר באיסור הוא בששים או המאה, ומבואר שם בגמ' שנחלקו בדינא דזרוע בשילה, שמבואר שמבשלים את הזרוע (שהיא אסורה באכילה) עם האיל</w:t>
      </w:r>
      <w:r w:rsidR="00D83257" w:rsidRPr="00882F11">
        <w:rPr>
          <w:rFonts w:cs="Guttman Drogolin" w:hint="cs"/>
          <w:rtl/>
          <w:lang w:bidi="he-IL"/>
        </w:rPr>
        <w:t xml:space="preserve"> ומ"מ האיל מותר באכילה, הרי דע"כ יש שיעור ביטול באיל לעומת הזרוע. המ"ד דמשערין בששים סבר שמשערין בשר ועצמות בהדי בשר ועצמות, והמ"ד ב</w:t>
      </w:r>
      <w:r w:rsidR="005B791D" w:rsidRPr="00882F11">
        <w:rPr>
          <w:rFonts w:cs="Guttman Drogolin" w:hint="cs"/>
          <w:rtl/>
          <w:lang w:bidi="he-IL"/>
        </w:rPr>
        <w:t>מ</w:t>
      </w:r>
      <w:r w:rsidR="00D83257" w:rsidRPr="00882F11">
        <w:rPr>
          <w:rFonts w:cs="Guttman Drogolin" w:hint="cs"/>
          <w:rtl/>
          <w:lang w:bidi="he-IL"/>
        </w:rPr>
        <w:t xml:space="preserve">אה סבר שמשערין בשר בהדי בשר, אבל אין מתחשבין בעצמות. ולכאורה ר"ל שהמ"ד שמשערין בלי העצמות סבר שאין העצמות נותנים טעם, ולכן אינם עולים לא לשיעור איסור ולא לשיעור היתר. והמ"ד </w:t>
      </w:r>
      <w:r w:rsidR="00752E56" w:rsidRPr="00882F11">
        <w:rPr>
          <w:rFonts w:cs="Guttman Drogolin" w:hint="cs"/>
          <w:rtl/>
          <w:lang w:bidi="he-IL"/>
        </w:rPr>
        <w:t>בששים סבר ש</w:t>
      </w:r>
      <w:r w:rsidR="00D83257" w:rsidRPr="00882F11">
        <w:rPr>
          <w:rFonts w:cs="Guttman Drogolin" w:hint="cs"/>
          <w:rtl/>
          <w:lang w:bidi="he-IL"/>
        </w:rPr>
        <w:t xml:space="preserve">משערין ביחד עם העצמות סבר שהעצמות נותנים טעם, ולכן עצמות של איסור עולים לשיעור איסור, ועצמות של היתר עולים לשיעור היתר. </w:t>
      </w:r>
    </w:p>
    <w:p w:rsidR="00CE0787" w:rsidRPr="00882F11" w:rsidRDefault="00D83257" w:rsidP="006B4655">
      <w:pPr>
        <w:bidi/>
        <w:jc w:val="both"/>
        <w:rPr>
          <w:rFonts w:cs="Guttman Drogolin"/>
          <w:rtl/>
          <w:lang w:bidi="he-IL"/>
        </w:rPr>
      </w:pPr>
      <w:r w:rsidRPr="00882F11">
        <w:rPr>
          <w:rFonts w:cs="Guttman Drogolin" w:hint="cs"/>
          <w:rtl/>
          <w:lang w:bidi="he-IL"/>
        </w:rPr>
        <w:t xml:space="preserve">אלא דיעוין בר"ן שפי' שיש חילוק בין העצמות שבזרוע </w:t>
      </w:r>
      <w:r w:rsidR="00263334" w:rsidRPr="00882F11">
        <w:rPr>
          <w:rFonts w:cs="Guttman Drogolin" w:hint="cs"/>
          <w:rtl/>
          <w:lang w:bidi="he-IL"/>
        </w:rPr>
        <w:t xml:space="preserve">לעצמות שבאיל, שהעצמות שבזרוע הם רכין ולכן </w:t>
      </w:r>
      <w:r w:rsidR="009E7293" w:rsidRPr="00882F11">
        <w:rPr>
          <w:rFonts w:cs="Guttman Drogolin" w:hint="cs"/>
          <w:rtl/>
          <w:lang w:bidi="he-IL"/>
        </w:rPr>
        <w:t>י"א ש</w:t>
      </w:r>
      <w:r w:rsidR="00263334" w:rsidRPr="00882F11">
        <w:rPr>
          <w:rFonts w:cs="Guttman Drogolin" w:hint="cs"/>
          <w:rtl/>
          <w:lang w:bidi="he-IL"/>
        </w:rPr>
        <w:t xml:space="preserve">יש בהם </w:t>
      </w:r>
      <w:r w:rsidR="009E7293" w:rsidRPr="00882F11">
        <w:rPr>
          <w:rFonts w:cs="Guttman Drogolin" w:hint="cs"/>
          <w:rtl/>
          <w:lang w:bidi="he-IL"/>
        </w:rPr>
        <w:t>טעם</w:t>
      </w:r>
      <w:r w:rsidR="00263334" w:rsidRPr="00882F11">
        <w:rPr>
          <w:rFonts w:cs="Guttman Drogolin" w:hint="cs"/>
          <w:rtl/>
          <w:lang w:bidi="he-IL"/>
        </w:rPr>
        <w:t xml:space="preserve">, אבל העצמות שבאיל </w:t>
      </w:r>
      <w:r w:rsidR="009E7293" w:rsidRPr="00882F11">
        <w:rPr>
          <w:rFonts w:cs="Guttman Drogolin" w:hint="cs"/>
          <w:rtl/>
          <w:lang w:bidi="he-IL"/>
        </w:rPr>
        <w:t>קשין ו</w:t>
      </w:r>
      <w:r w:rsidR="00263334" w:rsidRPr="00882F11">
        <w:rPr>
          <w:rFonts w:cs="Guttman Drogolin" w:hint="cs"/>
          <w:rtl/>
          <w:lang w:bidi="he-IL"/>
        </w:rPr>
        <w:t xml:space="preserve">לכו"ע אין להם </w:t>
      </w:r>
      <w:r w:rsidR="009E7293" w:rsidRPr="00882F11">
        <w:rPr>
          <w:rFonts w:cs="Guttman Drogolin" w:hint="cs"/>
          <w:rtl/>
          <w:lang w:bidi="he-IL"/>
        </w:rPr>
        <w:t>טעם</w:t>
      </w:r>
      <w:r w:rsidR="00263334" w:rsidRPr="00882F11">
        <w:rPr>
          <w:rFonts w:cs="Guttman Drogolin" w:hint="cs"/>
          <w:rtl/>
          <w:lang w:bidi="he-IL"/>
        </w:rPr>
        <w:t>. ולכן פי' הר"ן דע"כ נחלקו המ"ד בששים עם המ"ד במאה בתרתי, חדא אם העצמות שבזרוע באמת נותנים טעם, שלמ"ד בששים הם נותנים טעם ולכן משערין האיסור ביחד עם העצמות של הזרוע, והמ"ד במאה סבר שאינם נותנים טעם. וכן נחלקו בעצמות של האיל, שהמ"</w:t>
      </w:r>
      <w:r w:rsidR="001509DE" w:rsidRPr="00882F11">
        <w:rPr>
          <w:rFonts w:cs="Guttman Drogolin" w:hint="cs"/>
          <w:rtl/>
          <w:lang w:bidi="he-IL"/>
        </w:rPr>
        <w:t>ד בששים סבר שאפשר לשע</w:t>
      </w:r>
      <w:r w:rsidR="00263334" w:rsidRPr="00882F11">
        <w:rPr>
          <w:rFonts w:cs="Guttman Drogolin" w:hint="cs"/>
          <w:rtl/>
          <w:lang w:bidi="he-IL"/>
        </w:rPr>
        <w:t xml:space="preserve">ר בעצמות של האיל אע"פ </w:t>
      </w:r>
      <w:r w:rsidR="009E7293" w:rsidRPr="00882F11">
        <w:rPr>
          <w:rFonts w:cs="Guttman Drogolin" w:hint="cs"/>
          <w:rtl/>
          <w:lang w:bidi="he-IL"/>
        </w:rPr>
        <w:t>הן קשין</w:t>
      </w:r>
      <w:r w:rsidR="00263334" w:rsidRPr="00882F11">
        <w:rPr>
          <w:rFonts w:cs="Guttman Drogolin" w:hint="cs"/>
          <w:rtl/>
          <w:lang w:bidi="he-IL"/>
        </w:rPr>
        <w:t>, והמ"ד ב</w:t>
      </w:r>
      <w:r w:rsidR="009E7293" w:rsidRPr="00882F11">
        <w:rPr>
          <w:rFonts w:cs="Guttman Drogolin" w:hint="cs"/>
          <w:rtl/>
          <w:lang w:bidi="he-IL"/>
        </w:rPr>
        <w:t>מ</w:t>
      </w:r>
      <w:r w:rsidR="00263334" w:rsidRPr="00882F11">
        <w:rPr>
          <w:rFonts w:cs="Guttman Drogolin" w:hint="cs"/>
          <w:rtl/>
          <w:lang w:bidi="he-IL"/>
        </w:rPr>
        <w:t>אה סבר שאי אפשר לשער אלא בבשר של היתר ולא בעצמות.</w:t>
      </w:r>
      <w:r w:rsidRPr="00882F11">
        <w:rPr>
          <w:rFonts w:cs="Guttman Drogolin" w:hint="cs"/>
          <w:rtl/>
          <w:lang w:bidi="he-IL"/>
        </w:rPr>
        <w:t xml:space="preserve"> </w:t>
      </w:r>
      <w:r w:rsidR="009E7293" w:rsidRPr="00882F11">
        <w:rPr>
          <w:rFonts w:cs="Guttman Drogolin" w:hint="cs"/>
          <w:rtl/>
          <w:lang w:bidi="he-IL"/>
        </w:rPr>
        <w:t xml:space="preserve">ועוד הביא שם הר"ן מן הירושלמי שעצמות של איסור ג"כ עולין לחשבון </w:t>
      </w:r>
      <w:r w:rsidR="009E7293" w:rsidRPr="00882F11">
        <w:rPr>
          <w:rFonts w:cs="Guttman Drogolin" w:hint="cs"/>
          <w:rtl/>
          <w:lang w:bidi="he-IL"/>
        </w:rPr>
        <w:lastRenderedPageBreak/>
        <w:t>ששים נגד האיסור, ופי' הא דסוגיין שעצמות לאיסור עולין לחשבון האיסור שהוא משום המוח עצ</w:t>
      </w:r>
      <w:r w:rsidR="006B4655" w:rsidRPr="00882F11">
        <w:rPr>
          <w:rFonts w:cs="Guttman Drogolin" w:hint="cs"/>
          <w:rtl/>
          <w:lang w:bidi="he-IL"/>
        </w:rPr>
        <w:t>ם</w:t>
      </w:r>
      <w:r w:rsidR="009E7293" w:rsidRPr="00882F11">
        <w:rPr>
          <w:rFonts w:cs="Guttman Drogolin" w:hint="cs"/>
          <w:rtl/>
          <w:lang w:bidi="he-IL"/>
        </w:rPr>
        <w:t xml:space="preserve"> שיש בהם, אבל לעולם עצ</w:t>
      </w:r>
      <w:r w:rsidR="00CE0787" w:rsidRPr="00882F11">
        <w:rPr>
          <w:rFonts w:cs="Guttman Drogolin" w:hint="cs"/>
          <w:rtl/>
          <w:lang w:bidi="he-IL"/>
        </w:rPr>
        <w:t>מות</w:t>
      </w:r>
      <w:r w:rsidR="009E7293" w:rsidRPr="00882F11">
        <w:rPr>
          <w:rFonts w:cs="Guttman Drogolin" w:hint="cs"/>
          <w:rtl/>
          <w:lang w:bidi="he-IL"/>
        </w:rPr>
        <w:t xml:space="preserve"> קש</w:t>
      </w:r>
      <w:r w:rsidR="00CE0787" w:rsidRPr="00882F11">
        <w:rPr>
          <w:rFonts w:cs="Guttman Drogolin" w:hint="cs"/>
          <w:rtl/>
          <w:lang w:bidi="he-IL"/>
        </w:rPr>
        <w:t>ות</w:t>
      </w:r>
      <w:r w:rsidR="009E7293" w:rsidRPr="00882F11">
        <w:rPr>
          <w:rFonts w:cs="Guttman Drogolin" w:hint="cs"/>
          <w:rtl/>
          <w:lang w:bidi="he-IL"/>
        </w:rPr>
        <w:t xml:space="preserve"> שאין בה</w:t>
      </w:r>
      <w:r w:rsidR="00CE0787" w:rsidRPr="00882F11">
        <w:rPr>
          <w:rFonts w:cs="Guttman Drogolin" w:hint="cs"/>
          <w:rtl/>
          <w:lang w:bidi="he-IL"/>
        </w:rPr>
        <w:t>ן</w:t>
      </w:r>
      <w:r w:rsidR="009E7293" w:rsidRPr="00882F11">
        <w:rPr>
          <w:rFonts w:cs="Guttman Drogolin" w:hint="cs"/>
          <w:rtl/>
          <w:lang w:bidi="he-IL"/>
        </w:rPr>
        <w:t xml:space="preserve"> לא מוח ולא טעם אחר </w:t>
      </w:r>
      <w:r w:rsidR="00CE0787" w:rsidRPr="00882F11">
        <w:rPr>
          <w:rFonts w:cs="Guttman Drogolin" w:hint="cs"/>
          <w:rtl/>
          <w:lang w:bidi="he-IL"/>
        </w:rPr>
        <w:t>הרי הן מצטרפות לשיעור ששים אע"פ שהן עצמות של אי</w:t>
      </w:r>
      <w:r w:rsidR="00F145BA" w:rsidRPr="00882F11">
        <w:rPr>
          <w:rFonts w:cs="Guttman Drogolin" w:hint="cs"/>
          <w:rtl/>
          <w:lang w:bidi="he-IL"/>
        </w:rPr>
        <w:t>סור. ולכאורה כוונת הדברים דמאן ד</w:t>
      </w:r>
      <w:r w:rsidR="00CE0787" w:rsidRPr="00882F11">
        <w:rPr>
          <w:rFonts w:cs="Guttman Drogolin" w:hint="cs"/>
          <w:rtl/>
          <w:lang w:bidi="he-IL"/>
        </w:rPr>
        <w:t xml:space="preserve">מתיר לצרף עצמות של היתר, וכ"ש לירושלמי שמצרפין אפילו עצמות של איסור, סבר שאפשר לצרף גם דבר שאין לו פליטה מעצמו, ומשום שיש מקום לטעם של איסור להתפשט ולכן עולה למנין ששים. וא"כ לכאורה צ"ע, מאי טעמא לא אמרינן הכי גם בחרסית של הקדרה. </w:t>
      </w:r>
      <w:r w:rsidR="006B4655" w:rsidRPr="00882F11">
        <w:rPr>
          <w:rFonts w:cs="Guttman Drogolin" w:hint="cs"/>
          <w:rtl/>
          <w:lang w:bidi="he-IL"/>
        </w:rPr>
        <w:t>ועוד צע"ק בדברי הר"ן, דמשמע מיני' דזה שמצרפין עצמות של איסור לשיעור היתר</w:t>
      </w:r>
      <w:r w:rsidR="00362321" w:rsidRPr="00882F11">
        <w:rPr>
          <w:rFonts w:cs="Guttman Drogolin" w:hint="cs"/>
          <w:rtl/>
          <w:lang w:bidi="he-IL"/>
        </w:rPr>
        <w:t xml:space="preserve"> הוא תוספת חידוש לזה שמצרפין עצמות קשות של היתר לשיעור היתר. ואם הטעם שעצמות קשות של היתר מצטרפין להיתר משום שהטעם איסור מתפשט בהם ולא משום פליטתם, מה הי' הו"א לומר שרק עצמות של היתר מצטרפין להיתר ולא עצמות של איסור.</w:t>
      </w:r>
      <w:r w:rsidR="006B4655" w:rsidRPr="00882F11">
        <w:rPr>
          <w:rFonts w:cs="Guttman Drogolin" w:hint="cs"/>
          <w:rtl/>
          <w:lang w:bidi="he-IL"/>
        </w:rPr>
        <w:t xml:space="preserve">  </w:t>
      </w:r>
    </w:p>
    <w:p w:rsidR="00091288" w:rsidRPr="00882F11" w:rsidRDefault="00CE0787" w:rsidP="005D1F48">
      <w:pPr>
        <w:bidi/>
        <w:jc w:val="both"/>
        <w:rPr>
          <w:rFonts w:cs="Guttman Drogolin"/>
          <w:rtl/>
          <w:lang w:bidi="he-IL"/>
        </w:rPr>
      </w:pPr>
      <w:r w:rsidRPr="00882F11">
        <w:rPr>
          <w:rFonts w:cs="Guttman Drogolin" w:hint="cs"/>
          <w:rtl/>
          <w:lang w:bidi="he-IL"/>
        </w:rPr>
        <w:t xml:space="preserve">ויעוין ברא"ש שדקדק מלשון הירושלמי במס' נזיר שקליפי איסור אינם עולים לא לשיעור איסור ולא לשיעור היתר, ומ"מ קליפי היתר מצטרפת עם השיעור היתר. וכן </w:t>
      </w:r>
      <w:r w:rsidR="00ED528A" w:rsidRPr="00882F11">
        <w:rPr>
          <w:rFonts w:cs="Guttman Drogolin" w:hint="cs"/>
          <w:rtl/>
          <w:lang w:bidi="he-IL"/>
        </w:rPr>
        <w:t>הוא שיטת</w:t>
      </w:r>
      <w:r w:rsidRPr="00882F11">
        <w:rPr>
          <w:rFonts w:cs="Guttman Drogolin" w:hint="cs"/>
          <w:rtl/>
          <w:lang w:bidi="he-IL"/>
        </w:rPr>
        <w:t xml:space="preserve"> הרמ"א ברסי' צ"</w:t>
      </w:r>
      <w:r w:rsidR="0066260B" w:rsidRPr="00882F11">
        <w:rPr>
          <w:rFonts w:cs="Guttman Drogolin" w:hint="cs"/>
          <w:rtl/>
          <w:lang w:bidi="he-IL"/>
        </w:rPr>
        <w:t>ט, והש"ך שם בס"ק ב' הביא שכן הוא שיטת הגהות שערי דורא בשם או"ז. וכבר הקשה בחוו"ד דאיזה שכל יש בשיטה זו, דממ"נ, אם הלחלוחית שבעצמות היא לחלוחית האסורה יצטרפו העצמות של איסור עם האיסור, ואם הוא של היתר ממ"נ, אם אינם נותנים טעם למה מצטרפן העצמות של היתר עם ההיתר, ואם נותנים טעם א"כ גם העצמות של איסור ליצטרפו לשיעור היתר.</w:t>
      </w:r>
      <w:r w:rsidR="006B4655" w:rsidRPr="00882F11">
        <w:rPr>
          <w:rFonts w:cs="Guttman Drogolin" w:hint="cs"/>
          <w:rtl/>
          <w:lang w:bidi="he-IL"/>
        </w:rPr>
        <w:t xml:space="preserve"> וכתב החוו"ד דע"כ סבר שיש פליטה מן העצמות והיא פליטה האסורה, אמנם אין בכח הפל</w:t>
      </w:r>
      <w:r w:rsidR="007055F0" w:rsidRPr="00882F11">
        <w:rPr>
          <w:rFonts w:cs="Guttman Drogolin" w:hint="cs"/>
          <w:rtl/>
          <w:lang w:bidi="he-IL"/>
        </w:rPr>
        <w:t>י</w:t>
      </w:r>
      <w:r w:rsidR="006B4655" w:rsidRPr="00882F11">
        <w:rPr>
          <w:rFonts w:cs="Guttman Drogolin" w:hint="cs"/>
          <w:rtl/>
          <w:lang w:bidi="he-IL"/>
        </w:rPr>
        <w:t xml:space="preserve">טה לתת טעם, ולכן אין לעצמות של איסור כח לאסור. אבל </w:t>
      </w:r>
      <w:r w:rsidR="007055F0" w:rsidRPr="00882F11">
        <w:rPr>
          <w:rFonts w:cs="Guttman Drogolin" w:hint="cs"/>
          <w:rtl/>
          <w:lang w:bidi="he-IL"/>
        </w:rPr>
        <w:t>בעצמות של היתר הפליט</w:t>
      </w:r>
      <w:r w:rsidR="00BC76B9" w:rsidRPr="00882F11">
        <w:rPr>
          <w:rFonts w:cs="Guttman Drogolin" w:hint="cs"/>
          <w:rtl/>
          <w:lang w:bidi="he-IL"/>
        </w:rPr>
        <w:t xml:space="preserve">ה שלהם מצטרפת לשיעור ששים, ואע"ג שאין בהם כח לתת טעם, וכמו שגם מינו של היתר מצטרף לאינו מינו של היתר לבטל טעם אינו מינו של </w:t>
      </w:r>
      <w:r w:rsidR="00BC76B9" w:rsidRPr="00882F11">
        <w:rPr>
          <w:rFonts w:cs="Guttman Drogolin" w:hint="cs"/>
          <w:rtl/>
          <w:lang w:bidi="he-IL"/>
        </w:rPr>
        <w:lastRenderedPageBreak/>
        <w:t>איסור.</w:t>
      </w:r>
      <w:r w:rsidR="005D1F48" w:rsidRPr="00882F11">
        <w:rPr>
          <w:rFonts w:cs="Guttman Drogolin" w:hint="cs"/>
          <w:rtl/>
          <w:lang w:bidi="he-IL"/>
        </w:rPr>
        <w:t xml:space="preserve"> כן ביאר דעת הרמ"א. ומיני' שיש לע' שיטת הר"ן שהוא גם שיטת השו"ע שעצמות של איסור מצטרפות עם ההיתר במה חלק על הביאור הנ"ל. ולכאורה הי' אפשר לומר דסבר שעצמות של איסור הרי הן בעצ</w:t>
      </w:r>
      <w:r w:rsidR="00825186" w:rsidRPr="00882F11">
        <w:rPr>
          <w:rFonts w:cs="Guttman Drogolin" w:hint="cs"/>
          <w:rtl/>
          <w:lang w:bidi="he-IL"/>
        </w:rPr>
        <w:t>ם חפצא דהיתירא, וכן נקט האחיעזר ומשו"ה רצה להתיר ג'לטין העשוי מעצמות של איסור. אמנם ברמב"ם לכאורה מבואר שיש בהם איסור דרבנן</w:t>
      </w:r>
      <w:r w:rsidR="00F8419F" w:rsidRPr="00882F11">
        <w:rPr>
          <w:rFonts w:cs="Guttman Drogolin" w:hint="cs"/>
          <w:rtl/>
          <w:lang w:bidi="he-IL"/>
        </w:rPr>
        <w:t xml:space="preserve">, וע"ש באחיעזר מש"כ בפירוש דברי הרמב"ם. והחוו"ד נקט דלעולם העצמות עצמם אסורות, אבל מ"מ היוצא מהם אינן אסורות, דאין לאסור משום יוצא בדבר שאינו ראוי לאכילה. </w:t>
      </w:r>
      <w:r w:rsidR="008E6878" w:rsidRPr="00882F11">
        <w:rPr>
          <w:rFonts w:cs="Guttman Drogolin" w:hint="cs"/>
          <w:rtl/>
          <w:lang w:bidi="he-IL"/>
        </w:rPr>
        <w:t>ויוצא שהמחלוקת בין השיטות היא אם הפליטה היוצא</w:t>
      </w:r>
      <w:r w:rsidR="00091288" w:rsidRPr="00882F11">
        <w:rPr>
          <w:rFonts w:cs="Guttman Drogolin" w:hint="cs"/>
          <w:rtl/>
          <w:lang w:bidi="he-IL"/>
        </w:rPr>
        <w:t>ת</w:t>
      </w:r>
      <w:r w:rsidR="008E6878" w:rsidRPr="00882F11">
        <w:rPr>
          <w:rFonts w:cs="Guttman Drogolin" w:hint="cs"/>
          <w:rtl/>
          <w:lang w:bidi="he-IL"/>
        </w:rPr>
        <w:t xml:space="preserve"> מעצמות </w:t>
      </w:r>
      <w:r w:rsidR="00091288" w:rsidRPr="00882F11">
        <w:rPr>
          <w:rFonts w:cs="Guttman Drogolin" w:hint="cs"/>
          <w:rtl/>
          <w:lang w:bidi="he-IL"/>
        </w:rPr>
        <w:t>של איסור היא פליטה האסור</w:t>
      </w:r>
      <w:r w:rsidR="008E6878" w:rsidRPr="00882F11">
        <w:rPr>
          <w:rFonts w:cs="Guttman Drogolin" w:hint="cs"/>
          <w:rtl/>
          <w:lang w:bidi="he-IL"/>
        </w:rPr>
        <w:t>ה או המותרת.</w:t>
      </w:r>
    </w:p>
    <w:p w:rsidR="00D96ADF" w:rsidRPr="00882F11" w:rsidRDefault="00091288" w:rsidP="0042067D">
      <w:pPr>
        <w:bidi/>
        <w:jc w:val="both"/>
        <w:rPr>
          <w:rFonts w:cs="Guttman Drogolin"/>
          <w:rtl/>
          <w:lang w:bidi="he-IL"/>
        </w:rPr>
      </w:pPr>
      <w:r w:rsidRPr="00882F11">
        <w:rPr>
          <w:rFonts w:cs="Guttman Drogolin" w:hint="cs"/>
          <w:rtl/>
          <w:lang w:bidi="he-IL"/>
        </w:rPr>
        <w:t>אמנם מז</w:t>
      </w:r>
      <w:r w:rsidR="00F145BA" w:rsidRPr="00882F11">
        <w:rPr>
          <w:rFonts w:cs="Guttman Drogolin" w:hint="cs"/>
          <w:rtl/>
          <w:lang w:bidi="he-IL"/>
        </w:rPr>
        <w:t>ה שהראשונים השוו דין עצמות יבשות</w:t>
      </w:r>
      <w:r w:rsidRPr="00882F11">
        <w:rPr>
          <w:rFonts w:cs="Guttman Drogolin" w:hint="cs"/>
          <w:rtl/>
          <w:lang w:bidi="he-IL"/>
        </w:rPr>
        <w:t xml:space="preserve"> עם קליפין של כל מיני' דברים, ולא מסתבר שכולהו תלו אהדדי אם יש בהם פלטה או לא, לכאורה משמע שאין זה הטעם בעצמות קשות, רק טעם ההיתר משום התפשטות הטעם וכנ"ל. וא"כ הדרה קושיא לדוכתי' למה </w:t>
      </w:r>
      <w:r w:rsidR="00FB1F11" w:rsidRPr="00882F11">
        <w:rPr>
          <w:rFonts w:cs="Guttman Drogolin" w:hint="cs"/>
          <w:rtl/>
          <w:lang w:bidi="he-IL"/>
        </w:rPr>
        <w:t xml:space="preserve">הקילו בעצמות ואל בחרסי הקדרה. ובאמת היד יהודה והפר"ת ועוד ביארו טעם ההיתר בעצמות משום התפשטות הטעם. וכתב </w:t>
      </w:r>
      <w:r w:rsidR="0042067D" w:rsidRPr="00882F11">
        <w:rPr>
          <w:rFonts w:cs="Guttman Drogolin" w:hint="cs"/>
          <w:rtl/>
          <w:lang w:bidi="he-IL"/>
        </w:rPr>
        <w:t>הפר"ת</w:t>
      </w:r>
      <w:r w:rsidR="00FB1F11" w:rsidRPr="00882F11">
        <w:rPr>
          <w:rFonts w:cs="Guttman Drogolin" w:hint="cs"/>
          <w:rtl/>
          <w:lang w:bidi="he-IL"/>
        </w:rPr>
        <w:t xml:space="preserve"> שהטעם לחלק בין קדרה לעצמות משום שאי אפשר לצרף אלא מה ששקוע בתוך התבשיל, אבל מה שהוא מבחוץ אינו מצטרף. </w:t>
      </w:r>
      <w:r w:rsidR="006C5CA9" w:rsidRPr="00882F11">
        <w:rPr>
          <w:rFonts w:cs="Guttman Drogolin" w:hint="cs"/>
          <w:rtl/>
          <w:lang w:bidi="he-IL"/>
        </w:rPr>
        <w:t>ולפי זה יוצא שכף המונח בתוך התבש</w:t>
      </w:r>
      <w:r w:rsidR="00F145BA" w:rsidRPr="00882F11">
        <w:rPr>
          <w:rFonts w:cs="Guttman Drogolin" w:hint="cs"/>
          <w:rtl/>
          <w:lang w:bidi="he-IL"/>
        </w:rPr>
        <w:t>י</w:t>
      </w:r>
      <w:r w:rsidR="006C5CA9" w:rsidRPr="00882F11">
        <w:rPr>
          <w:rFonts w:cs="Guttman Drogolin" w:hint="cs"/>
          <w:rtl/>
          <w:lang w:bidi="he-IL"/>
        </w:rPr>
        <w:t>ל יצטרף לבטל. אלא שמ"מ הקשו האחרונים שקשה מאד לומר שדבר שאין לו פליטה מעצמו יצטרף לבטל</w:t>
      </w:r>
      <w:r w:rsidR="000E090E" w:rsidRPr="00882F11">
        <w:rPr>
          <w:rFonts w:cs="Guttman Drogolin" w:hint="cs"/>
          <w:rtl/>
          <w:lang w:bidi="he-IL"/>
        </w:rPr>
        <w:t xml:space="preserve"> באותו מדה כמו דבר שיש בו נתינת</w:t>
      </w:r>
      <w:r w:rsidR="006C5CA9" w:rsidRPr="00882F11">
        <w:rPr>
          <w:rFonts w:cs="Guttman Drogolin" w:hint="cs"/>
          <w:rtl/>
          <w:lang w:bidi="he-IL"/>
        </w:rPr>
        <w:t xml:space="preserve"> הטעם, והחוש מעידה אחרת ועל דרך מה שהעירו התוס'. </w:t>
      </w:r>
      <w:r w:rsidR="000A0BD8" w:rsidRPr="00882F11">
        <w:rPr>
          <w:rFonts w:cs="Guttman Drogolin" w:hint="cs"/>
          <w:rtl/>
          <w:lang w:bidi="he-IL"/>
        </w:rPr>
        <w:t>ולכן נקטו שהוא מ"מ רק קולא בחתיכה הנותנת טעם ולא כשנימוח האיסור בתוכו, וכמו שהחילק הרמב"ן בדין מתי אפשר לסמוך על קפילא לבדו ומתי לא. ור"ל שרק בזה שהשיעור ששים הוא יותר לחומרא הקילו שאפשר לשער גם בעצמות. ועוד כתבו סברא לומר שיש גדר לתקנה, והוא שלא הקילו לסמוך על התפשטות בתוך עצמות אלא בעצמות המחוברות לבשר, אבל סתם עצמות או חרסי קדרה לא. ונראה שביאור הדבר דכיון שאינם מועיל</w:t>
      </w:r>
      <w:r w:rsidR="000E090E" w:rsidRPr="00882F11">
        <w:rPr>
          <w:rFonts w:cs="Guttman Drogolin" w:hint="cs"/>
          <w:rtl/>
          <w:lang w:bidi="he-IL"/>
        </w:rPr>
        <w:t>י</w:t>
      </w:r>
      <w:r w:rsidR="000A0BD8" w:rsidRPr="00882F11">
        <w:rPr>
          <w:rFonts w:cs="Guttman Drogolin" w:hint="cs"/>
          <w:rtl/>
          <w:lang w:bidi="he-IL"/>
        </w:rPr>
        <w:t xml:space="preserve">ם כמו בשר ממש, אע"פ שהקילו לצרף </w:t>
      </w:r>
      <w:r w:rsidR="000A0BD8" w:rsidRPr="00882F11">
        <w:rPr>
          <w:rFonts w:cs="Guttman Drogolin" w:hint="cs"/>
          <w:rtl/>
          <w:lang w:bidi="he-IL"/>
        </w:rPr>
        <w:lastRenderedPageBreak/>
        <w:t xml:space="preserve">אותם לשיעור ששים, הנ"מ כשהם מחוברים לבשר כיון שבכה"ג נראין כבשר עצמו, אבל דבר שהוא בפני עצמו לעולם לא מצרפינן לי'. </w:t>
      </w:r>
      <w:r w:rsidR="008E6878" w:rsidRPr="00882F11">
        <w:rPr>
          <w:rFonts w:cs="Guttman Drogolin" w:hint="cs"/>
          <w:rtl/>
          <w:lang w:bidi="he-IL"/>
        </w:rPr>
        <w:t xml:space="preserve"> </w:t>
      </w:r>
    </w:p>
    <w:p w:rsidR="00D96ADF" w:rsidRPr="00882F11" w:rsidRDefault="00D96ADF" w:rsidP="00D96ADF">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09" w:name="_Toc496175369"/>
      <w:r w:rsidRPr="00882F11">
        <w:rPr>
          <w:rFonts w:asciiTheme="majorHAnsi" w:eastAsiaTheme="majorEastAsia" w:hAnsiTheme="majorHAnsi" w:cs="Guttman Drogolin" w:hint="cs"/>
          <w:b/>
          <w:bCs/>
          <w:sz w:val="24"/>
          <w:szCs w:val="24"/>
          <w:u w:val="single"/>
          <w:rtl/>
          <w:lang w:bidi="he-IL"/>
        </w:rPr>
        <w:t>בדין צירוף הכחל לשיעור ששים</w:t>
      </w:r>
      <w:bookmarkEnd w:id="109"/>
    </w:p>
    <w:p w:rsidR="0059597D" w:rsidRPr="00882F11" w:rsidRDefault="000F2E11" w:rsidP="00627DE1">
      <w:pPr>
        <w:bidi/>
        <w:jc w:val="both"/>
        <w:rPr>
          <w:rFonts w:cs="Guttman Drogolin"/>
          <w:rtl/>
          <w:lang w:bidi="he-IL"/>
        </w:rPr>
      </w:pPr>
      <w:r>
        <w:rPr>
          <w:rFonts w:cs="Guttman Drogolin"/>
          <w:rtl/>
          <w:lang w:bidi="he-IL"/>
        </w:rPr>
        <w:fldChar w:fldCharType="begin"/>
      </w:r>
      <w:r>
        <w:instrText xml:space="preserve"> XE "</w:instrText>
      </w:r>
      <w:r w:rsidRPr="00655EEA">
        <w:rPr>
          <w:rFonts w:hint="cs"/>
          <w:rtl/>
          <w:lang w:bidi="he-IL"/>
        </w:rPr>
        <w:instrText>שיעור ששים</w:instrText>
      </w:r>
      <w:r w:rsidRPr="00655EEA">
        <w:rPr>
          <w:rtl/>
        </w:rPr>
        <w:instrText>:</w:instrText>
      </w:r>
      <w:r w:rsidRPr="00655EEA">
        <w:rPr>
          <w:rFonts w:hint="cs"/>
          <w:rtl/>
          <w:lang w:bidi="he-IL"/>
        </w:rPr>
        <w:instrText>בכחל</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6E2DC7">
        <w:rPr>
          <w:rFonts w:hint="cs"/>
          <w:rtl/>
          <w:lang w:bidi="he-IL"/>
        </w:rPr>
        <w:instrText>כחל</w:instrText>
      </w:r>
      <w:r w:rsidRPr="006E2DC7">
        <w:rPr>
          <w:rtl/>
        </w:rPr>
        <w:instrText>:</w:instrText>
      </w:r>
      <w:r w:rsidRPr="006E2DC7">
        <w:rPr>
          <w:rFonts w:hint="cs"/>
          <w:rtl/>
          <w:lang w:bidi="he-IL"/>
        </w:rPr>
        <w:instrText>צירופו לשיעור ששים</w:instrText>
      </w:r>
      <w:r>
        <w:instrText xml:space="preserve">" </w:instrText>
      </w:r>
      <w:r>
        <w:rPr>
          <w:rFonts w:cs="Guttman Drogolin"/>
          <w:rtl/>
          <w:lang w:bidi="he-IL"/>
        </w:rPr>
        <w:fldChar w:fldCharType="end"/>
      </w:r>
      <w:r w:rsidR="00D96ADF" w:rsidRPr="00882F11">
        <w:rPr>
          <w:rFonts w:cs="Guttman Drogolin" w:hint="cs"/>
          <w:rtl/>
          <w:lang w:bidi="he-IL"/>
        </w:rPr>
        <w:t xml:space="preserve">בהמשך הגמ' מבואר </w:t>
      </w:r>
      <w:r w:rsidR="0059597D" w:rsidRPr="00882F11">
        <w:rPr>
          <w:rFonts w:cs="Guttman Drogolin" w:hint="cs"/>
          <w:rtl/>
          <w:lang w:bidi="he-IL"/>
        </w:rPr>
        <w:t>שיש חידוש די</w:t>
      </w:r>
      <w:r w:rsidR="00B469BB" w:rsidRPr="00882F11">
        <w:rPr>
          <w:rFonts w:cs="Guttman Drogolin" w:hint="cs"/>
          <w:rtl/>
          <w:lang w:bidi="he-IL"/>
        </w:rPr>
        <w:t>ן בכחל והוא דאע"ג שצריכים ששיים כנגד הכחל, מ"מ הכחל עצמו מן המנין. ו</w:t>
      </w:r>
      <w:r w:rsidR="00627DE1" w:rsidRPr="00882F11">
        <w:rPr>
          <w:rFonts w:cs="Guttman Drogolin" w:hint="cs"/>
          <w:rtl/>
          <w:lang w:bidi="he-IL"/>
        </w:rPr>
        <w:t xml:space="preserve">הוא  שאם לא הכינו הכחל כראוי מקודם יש בה חלב שחוטה שאסורה מדרבנן עם בשר. ומ"מ אם בשילו אותו עם בשר ויש ששים בבשר כנגד הכחל הא אין החלב שחוטה נותן טעם בבשר ולכן הרי הוא מותר וכמו בבב"ח דאורייתא. </w:t>
      </w:r>
      <w:r w:rsidR="00E72FC6" w:rsidRPr="00882F11">
        <w:rPr>
          <w:rFonts w:cs="Guttman Drogolin" w:hint="cs"/>
          <w:rtl/>
          <w:lang w:bidi="he-IL"/>
        </w:rPr>
        <w:t xml:space="preserve">וכיון שהנידון בגמ' הוא באסור החלב המכונס בבשר, אמרו שאפשר לצרף גם את עצם הכחל כיון שבעצם הוא בשר. ואעפ"כ אומרת הגמ' שהכחל עצמו אסור, וביאו התוס' דאע"ג שלאחר בישול לא נשאר שם חלב, מ"מ כיון שבתילת בישולו הי' שם חלב והי' בחלב טעם בשר גזרו שלא לאכול את הכחל כלל. </w:t>
      </w:r>
      <w:r w:rsidR="0016690F" w:rsidRPr="00882F11">
        <w:rPr>
          <w:rFonts w:cs="Guttman Drogolin" w:hint="cs"/>
          <w:rtl/>
          <w:lang w:bidi="he-IL"/>
        </w:rPr>
        <w:t>והתוס' נותנים לזה ב' טעמים, או משום ד</w:t>
      </w:r>
      <w:r w:rsidR="00DC784B">
        <w:rPr>
          <w:rFonts w:cs="Guttman Drogolin" w:hint="cs"/>
          <w:rtl/>
          <w:lang w:bidi="he-IL"/>
        </w:rPr>
        <w:t>אפשר לסוחטו</w:t>
      </w:r>
      <w:r w:rsidR="0016690F" w:rsidRPr="00882F11">
        <w:rPr>
          <w:rFonts w:cs="Guttman Drogolin" w:hint="cs"/>
          <w:rtl/>
          <w:lang w:bidi="he-IL"/>
        </w:rPr>
        <w:t xml:space="preserve"> אסור או"ד אפילו למ"ד </w:t>
      </w:r>
      <w:r w:rsidR="00DC784B">
        <w:rPr>
          <w:rFonts w:cs="Guttman Drogolin" w:hint="cs"/>
          <w:rtl/>
          <w:lang w:bidi="he-IL"/>
        </w:rPr>
        <w:t>אפשר לסוחטו</w:t>
      </w:r>
      <w:r w:rsidR="0016690F" w:rsidRPr="00882F11">
        <w:rPr>
          <w:rFonts w:cs="Guttman Drogolin" w:hint="cs"/>
          <w:rtl/>
          <w:lang w:bidi="he-IL"/>
        </w:rPr>
        <w:t xml:space="preserve"> מותר מ"מ גזרו שמא יבא לאכלו קוד גמו בישולו. ורע"א בגליון הש"ס תמה הא דאמרינן הכא אשר לסחטו אסור, דהא הכא אין טעם בלוע רק חלב המכונס, ולאחר הבישול הרי חלב זה איננו, ולכן היאך אפש</w:t>
      </w:r>
      <w:r w:rsidR="0059597D" w:rsidRPr="00882F11">
        <w:rPr>
          <w:rFonts w:cs="Guttman Drogolin" w:hint="cs"/>
          <w:rtl/>
          <w:lang w:bidi="he-IL"/>
        </w:rPr>
        <w:t>ר</w:t>
      </w:r>
      <w:r w:rsidR="0016690F" w:rsidRPr="00882F11">
        <w:rPr>
          <w:rFonts w:cs="Guttman Drogolin" w:hint="cs"/>
          <w:rtl/>
          <w:lang w:bidi="he-IL"/>
        </w:rPr>
        <w:t xml:space="preserve"> לומר כאן </w:t>
      </w:r>
      <w:r w:rsidR="00DC784B">
        <w:rPr>
          <w:rFonts w:cs="Guttman Drogolin" w:hint="cs"/>
          <w:rtl/>
          <w:lang w:bidi="he-IL"/>
        </w:rPr>
        <w:t>אפשר לסוחטו</w:t>
      </w:r>
      <w:r w:rsidR="0016690F" w:rsidRPr="00882F11">
        <w:rPr>
          <w:rFonts w:cs="Guttman Drogolin" w:hint="cs"/>
          <w:rtl/>
          <w:lang w:bidi="he-IL"/>
        </w:rPr>
        <w:t xml:space="preserve"> אסור.</w:t>
      </w:r>
    </w:p>
    <w:p w:rsidR="0085755E" w:rsidRPr="00882F11" w:rsidRDefault="0085755E" w:rsidP="0085755E">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10" w:name="_Toc496175370"/>
      <w:r w:rsidRPr="00882F11">
        <w:rPr>
          <w:rFonts w:asciiTheme="majorHAnsi" w:eastAsiaTheme="majorEastAsia" w:hAnsiTheme="majorHAnsi" w:cs="Guttman Drogolin" w:hint="cs"/>
          <w:b/>
          <w:bCs/>
          <w:sz w:val="24"/>
          <w:szCs w:val="24"/>
          <w:u w:val="single"/>
          <w:rtl/>
          <w:lang w:bidi="he-IL"/>
        </w:rPr>
        <w:t>בדין לשער במאי דנפיק מיני'</w:t>
      </w:r>
      <w:bookmarkEnd w:id="110"/>
    </w:p>
    <w:p w:rsidR="009A06FB" w:rsidRPr="00882F11" w:rsidRDefault="000F2E11" w:rsidP="0059597D">
      <w:pPr>
        <w:bidi/>
        <w:jc w:val="both"/>
        <w:rPr>
          <w:rFonts w:cs="Guttman Drogolin"/>
          <w:rtl/>
          <w:lang w:bidi="he-IL"/>
        </w:rPr>
      </w:pPr>
      <w:r>
        <w:rPr>
          <w:rFonts w:cs="Guttman Drogolin"/>
          <w:rtl/>
          <w:lang w:bidi="he-IL"/>
        </w:rPr>
        <w:fldChar w:fldCharType="begin"/>
      </w:r>
      <w:r>
        <w:instrText xml:space="preserve"> XE "</w:instrText>
      </w:r>
      <w:r w:rsidRPr="00CA130F">
        <w:rPr>
          <w:rFonts w:hint="cs"/>
          <w:rtl/>
          <w:lang w:bidi="he-IL"/>
        </w:rPr>
        <w:instrText>שיעור ששים</w:instrText>
      </w:r>
      <w:r w:rsidRPr="00CA130F">
        <w:rPr>
          <w:rtl/>
        </w:rPr>
        <w:instrText>:</w:instrText>
      </w:r>
      <w:r w:rsidR="00F54D15">
        <w:rPr>
          <w:rFonts w:hint="cs"/>
          <w:rtl/>
          <w:lang w:bidi="he-IL"/>
        </w:rPr>
        <w:instrText>השע</w:instrText>
      </w:r>
      <w:r w:rsidRPr="00CA130F">
        <w:rPr>
          <w:rFonts w:hint="cs"/>
          <w:rtl/>
          <w:lang w:bidi="he-IL"/>
        </w:rPr>
        <w:instrText>רתו במאי דנפיק מיני'</w:instrText>
      </w:r>
      <w:r>
        <w:instrText xml:space="preserve">" </w:instrText>
      </w:r>
      <w:r>
        <w:rPr>
          <w:rFonts w:cs="Guttman Drogolin"/>
          <w:rtl/>
          <w:lang w:bidi="he-IL"/>
        </w:rPr>
        <w:fldChar w:fldCharType="end"/>
      </w:r>
      <w:r w:rsidR="0059597D" w:rsidRPr="00882F11">
        <w:rPr>
          <w:rFonts w:cs="Guttman Drogolin" w:hint="cs"/>
          <w:rtl/>
          <w:lang w:bidi="he-IL"/>
        </w:rPr>
        <w:t>והגמ' ממשיכה וחוקרת איך משערין את החלב שבכחל, בכולי' או במאי דנפיק מיני', והיינו שנסתפקו אם עושים השערה כמה חלב יכול לצאת מן הכחל וצריכים ששים כנגד שיעור זה או"ד שאין עושים השערה כמה חלב יצא ממנו וצריכים ששים כנגד השיעור של כל הכחל. והגמ' מסיקה שצריכים ששים כנגד כל הכחל ומשום דאי אפשר לשער כמה יצא ממנו. ומבואר בראשונים ששאלה זו היתה רק בכחל, אבל חתיכה שכולה איסור הי' פשוט לגמ' שצריכים לשער כנגד כולו.</w:t>
      </w:r>
      <w:r w:rsidR="00851A87" w:rsidRPr="00882F11">
        <w:rPr>
          <w:rFonts w:cs="Guttman Drogolin" w:hint="cs"/>
          <w:rtl/>
          <w:lang w:bidi="he-IL"/>
        </w:rPr>
        <w:t xml:space="preserve"> ועל דרך הפשט כוונתם שבכחל כיון שאין כולו איסור יש יותר מקום להקל לעשות השערה כמה יצא ממנו, אבל בחתיכה שכולו איסור, נהי נמי </w:t>
      </w:r>
      <w:r w:rsidR="00851A87" w:rsidRPr="00882F11">
        <w:rPr>
          <w:rFonts w:cs="Guttman Drogolin" w:hint="cs"/>
          <w:rtl/>
          <w:lang w:bidi="he-IL"/>
        </w:rPr>
        <w:lastRenderedPageBreak/>
        <w:t xml:space="preserve">שם בהו אין כולו יוצא ממנו אבל מ"מ יש יותר מקום להחמיר ולכן הי' יותר פשוט שאין משערין כמה טעם יצא ממנו וצריך לשער כנגד כולו. </w:t>
      </w:r>
    </w:p>
    <w:p w:rsidR="00D30836" w:rsidRPr="00882F11" w:rsidRDefault="009A06FB" w:rsidP="00D30836">
      <w:pPr>
        <w:bidi/>
        <w:jc w:val="both"/>
        <w:rPr>
          <w:rFonts w:cs="Guttman Drogolin"/>
          <w:rtl/>
          <w:lang w:bidi="he-IL"/>
        </w:rPr>
      </w:pPr>
      <w:r w:rsidRPr="00882F11">
        <w:rPr>
          <w:rFonts w:cs="Guttman Drogolin" w:hint="cs"/>
          <w:rtl/>
          <w:lang w:bidi="he-IL"/>
        </w:rPr>
        <w:t xml:space="preserve">אבל בשו"ת אג"מ יו"ד א' סי' מ"א נקט </w:t>
      </w:r>
      <w:r w:rsidR="00D30836" w:rsidRPr="00882F11">
        <w:rPr>
          <w:rFonts w:cs="Guttman Drogolin" w:hint="cs"/>
          <w:rtl/>
          <w:lang w:bidi="he-IL"/>
        </w:rPr>
        <w:t>הביאור בדבריהם שהשיעור ס' בחתיכה שכולו איסור אינו משום שאינו יודע כמה נפיק מיני', רק שבדבר שכולו איסור השיעור הוא בששים אפילו היינו יודעים דכולו נפיק מיני'. וע"ש שלפי זה קשה אם נשפך בה דבר לח למה גם בזה השיעור בששים, ותי' דע"כ בלח אין יוצא הטעם אא"כ מעורב בה גם מממשו, ע"ש עוד בזה.</w:t>
      </w:r>
    </w:p>
    <w:p w:rsidR="0085755E" w:rsidRPr="00882F11" w:rsidRDefault="00D30836" w:rsidP="00D30836">
      <w:pPr>
        <w:bidi/>
        <w:jc w:val="both"/>
        <w:rPr>
          <w:rFonts w:cs="Guttman Drogolin"/>
          <w:rtl/>
          <w:lang w:bidi="he-IL"/>
        </w:rPr>
      </w:pPr>
      <w:r w:rsidRPr="00882F11">
        <w:rPr>
          <w:rFonts w:cs="Guttman Drogolin" w:hint="cs"/>
          <w:rtl/>
          <w:lang w:bidi="he-IL"/>
        </w:rPr>
        <w:t>והביא הרמב"ן מן הראב"ד שכל מה שמסיקין בגמ' שמשערין בכולו, היינו רק דבר שאינו חוזר להיתירו</w:t>
      </w:r>
      <w:r w:rsidR="00C4485E" w:rsidRPr="00882F11">
        <w:rPr>
          <w:rStyle w:val="FootnoteReference"/>
          <w:rFonts w:cs="Guttman Drogolin"/>
          <w:rtl/>
          <w:lang w:bidi="he-IL"/>
        </w:rPr>
        <w:footnoteReference w:id="124"/>
      </w:r>
      <w:r w:rsidRPr="00882F11">
        <w:rPr>
          <w:rFonts w:cs="Guttman Drogolin" w:hint="cs"/>
          <w:rtl/>
          <w:lang w:bidi="he-IL"/>
        </w:rPr>
        <w:t>, אבל דבר שחוזר להיתרו איין משערין אלא במאי דנפיק מיני' בעומד יפה. ופי' הרמב"ן שהוא על דרך הסברא ד</w:t>
      </w:r>
      <w:r w:rsidR="00DC784B">
        <w:rPr>
          <w:rFonts w:cs="Guttman Drogolin" w:hint="cs"/>
          <w:rtl/>
          <w:lang w:bidi="he-IL"/>
        </w:rPr>
        <w:t>אפשר לסוחטו</w:t>
      </w:r>
      <w:r w:rsidRPr="00882F11">
        <w:rPr>
          <w:rFonts w:cs="Guttman Drogolin" w:hint="cs"/>
          <w:rtl/>
          <w:lang w:bidi="he-IL"/>
        </w:rPr>
        <w:t xml:space="preserve"> אסור. ור"ל שביאר דברי הראב"ד שלעולם מעיקר הדין א</w:t>
      </w:r>
      <w:r w:rsidR="008057AB" w:rsidRPr="00882F11">
        <w:rPr>
          <w:rFonts w:cs="Guttman Drogolin" w:hint="cs"/>
          <w:rtl/>
          <w:lang w:bidi="he-IL"/>
        </w:rPr>
        <w:t>פ</w:t>
      </w:r>
      <w:r w:rsidRPr="00882F11">
        <w:rPr>
          <w:rFonts w:cs="Guttman Drogolin" w:hint="cs"/>
          <w:rtl/>
          <w:lang w:bidi="he-IL"/>
        </w:rPr>
        <w:t>ש</w:t>
      </w:r>
      <w:r w:rsidR="008057AB" w:rsidRPr="00882F11">
        <w:rPr>
          <w:rFonts w:cs="Guttman Drogolin" w:hint="cs"/>
          <w:rtl/>
          <w:lang w:bidi="he-IL"/>
        </w:rPr>
        <w:t>ר</w:t>
      </w:r>
      <w:r w:rsidRPr="00882F11">
        <w:rPr>
          <w:rFonts w:cs="Guttman Drogolin" w:hint="cs"/>
          <w:rtl/>
          <w:lang w:bidi="he-IL"/>
        </w:rPr>
        <w:t xml:space="preserve"> לשער כמה יצא ממנו, אבל כיון שהכלי נשאר באיסורו משערין כנגד כולו. </w:t>
      </w:r>
      <w:r w:rsidR="008057AB" w:rsidRPr="00882F11">
        <w:rPr>
          <w:rFonts w:cs="Guttman Drogolin" w:hint="cs"/>
          <w:rtl/>
          <w:lang w:bidi="he-IL"/>
        </w:rPr>
        <w:t xml:space="preserve">והיינו לכאורה דחזינן לדעתי' דראב"ד דאמרינן חענ"ן גם בכלי ולא רק במאכל. </w:t>
      </w:r>
      <w:r w:rsidRPr="00882F11">
        <w:rPr>
          <w:rFonts w:cs="Guttman Drogolin" w:hint="cs"/>
          <w:rtl/>
          <w:lang w:bidi="he-IL"/>
        </w:rPr>
        <w:t>ומ"מ תמה עליו הרמב"ן, שהרי מפורש בגמ' טעם אחר לשער בכולו והוא משום דמנא ידעינן כמה נפיק מיני'</w:t>
      </w:r>
      <w:r w:rsidR="00980D35" w:rsidRPr="00882F11">
        <w:rPr>
          <w:rStyle w:val="FootnoteReference"/>
          <w:rFonts w:cs="Guttman Drogolin"/>
          <w:rtl/>
          <w:lang w:bidi="he-IL"/>
        </w:rPr>
        <w:footnoteReference w:id="125"/>
      </w:r>
      <w:r w:rsidRPr="00882F11">
        <w:rPr>
          <w:rFonts w:cs="Guttman Drogolin" w:hint="cs"/>
          <w:rtl/>
          <w:lang w:bidi="he-IL"/>
        </w:rPr>
        <w:t xml:space="preserve">. </w:t>
      </w:r>
    </w:p>
    <w:p w:rsidR="009104D0" w:rsidRPr="00882F11" w:rsidRDefault="0085755E" w:rsidP="003E4292">
      <w:pPr>
        <w:bidi/>
        <w:jc w:val="both"/>
        <w:rPr>
          <w:rFonts w:cs="Guttman Drogolin"/>
          <w:rtl/>
          <w:lang w:bidi="he-IL"/>
        </w:rPr>
      </w:pPr>
      <w:r w:rsidRPr="00882F11">
        <w:rPr>
          <w:rFonts w:cs="Guttman Drogolin" w:hint="cs"/>
          <w:rtl/>
          <w:lang w:bidi="he-IL"/>
        </w:rPr>
        <w:t xml:space="preserve">ולכן כתב הרמב"ן שכלי הוא כמו כחל, שצריכים לשער כנגד כל הכלי כיון דלא ידעינן כמה נפיק מיני'. ומ"מ כתב הרמב"ן שמסתבר לומר שאם עירב כף עם מעט חלב (והכל חם) והכמות של חלב דמעיקרא הוא פחות משיעור הכף שאפשר לשער כנגד החלב, דהא לא יתכן שיהא בכף יותר מן החלב שבלע ממנו ופשוט. </w:t>
      </w:r>
      <w:r w:rsidR="003E4292" w:rsidRPr="00882F11">
        <w:rPr>
          <w:rFonts w:cs="Guttman Drogolin" w:hint="cs"/>
          <w:rtl/>
          <w:lang w:bidi="he-IL"/>
        </w:rPr>
        <w:t>ומעיקרא</w:t>
      </w:r>
      <w:r w:rsidRPr="00882F11">
        <w:rPr>
          <w:rFonts w:cs="Guttman Drogolin" w:hint="cs"/>
          <w:rtl/>
          <w:lang w:bidi="he-IL"/>
        </w:rPr>
        <w:t xml:space="preserve"> כתב הרמב"ן שאם בכה"ג עירב קדרה בשרית, ושוב הכניס אותו לקדרה בשרית אחרת שלא מספיק לשער כנגד החלב דמעיקרא, </w:t>
      </w:r>
      <w:r w:rsidR="00F41FBC" w:rsidRPr="00882F11">
        <w:rPr>
          <w:rFonts w:cs="Guttman Drogolin" w:hint="cs"/>
          <w:rtl/>
          <w:lang w:bidi="he-IL"/>
        </w:rPr>
        <w:t>דהא גם הבליעות של בשר שבקדרה השני' נעש</w:t>
      </w:r>
      <w:r w:rsidR="003E4292" w:rsidRPr="00882F11">
        <w:rPr>
          <w:rFonts w:cs="Guttman Drogolin" w:hint="cs"/>
          <w:rtl/>
          <w:lang w:bidi="he-IL"/>
        </w:rPr>
        <w:t>ו</w:t>
      </w:r>
      <w:r w:rsidR="00F41FBC" w:rsidRPr="00882F11">
        <w:rPr>
          <w:rFonts w:cs="Guttman Drogolin" w:hint="cs"/>
          <w:rtl/>
          <w:lang w:bidi="he-IL"/>
        </w:rPr>
        <w:t xml:space="preserve"> נבילה</w:t>
      </w:r>
      <w:r w:rsidR="003E4292" w:rsidRPr="00882F11">
        <w:rPr>
          <w:rFonts w:cs="Guttman Drogolin" w:hint="cs"/>
          <w:rtl/>
          <w:lang w:bidi="he-IL"/>
        </w:rPr>
        <w:t xml:space="preserve">, ולכן כיון שאין אנחנו יודעים כמה טעם בשר נכנס לכף בקדרה השני' צריכים לשער כנגד כל הכלי דלא </w:t>
      </w:r>
      <w:r w:rsidR="003E4292" w:rsidRPr="00882F11">
        <w:rPr>
          <w:rFonts w:cs="Guttman Drogolin" w:hint="cs"/>
          <w:rtl/>
          <w:lang w:bidi="he-IL"/>
        </w:rPr>
        <w:lastRenderedPageBreak/>
        <w:t>ידעינן כמה נפיק מיני'. אבל בסוף כתב דמסתברא דלא אמרינן חענ"ן בבלוע בכלי. ולשון הרמב"ן "דכי האי גוונא בבלוע לא אשכחן ועוד מן הטעמים שיתבארו לקמן בפ' כל הבשר". והרמב"ן לא פי' לנו מהו ה'לא אשכחן' הזה, דהא מה מקרא זה חסר. ובשערי דורא סי' נ"א (והובא גם בשו"ת תרומת הדשן סי' קפ"ג) כתב טעם שהוא כמו שמצאנו שאין טומאה בלוע מטמא. ואולי י"ל שטעם לא חשוב חפצא בפני עצמה רק דבר שעושה השפעה למאכל, ולכן אי אשר לה להעשות דבר אסור לעצמו ולכן לא אמרינן חענ</w:t>
      </w:r>
      <w:r w:rsidR="008423FF" w:rsidRPr="00882F11">
        <w:rPr>
          <w:rFonts w:cs="Guttman Drogolin" w:hint="cs"/>
          <w:rtl/>
          <w:lang w:bidi="he-IL"/>
        </w:rPr>
        <w:t>"</w:t>
      </w:r>
      <w:r w:rsidR="003E4292" w:rsidRPr="00882F11">
        <w:rPr>
          <w:rFonts w:cs="Guttman Drogolin" w:hint="cs"/>
          <w:rtl/>
          <w:lang w:bidi="he-IL"/>
        </w:rPr>
        <w:t xml:space="preserve">ן וצ"ע. </w:t>
      </w:r>
      <w:r w:rsidR="00F41FBC" w:rsidRPr="00882F11">
        <w:rPr>
          <w:rFonts w:cs="Guttman Drogolin" w:hint="cs"/>
          <w:rtl/>
          <w:lang w:bidi="he-IL"/>
        </w:rPr>
        <w:t xml:space="preserve"> </w:t>
      </w:r>
      <w:r w:rsidRPr="00882F11">
        <w:rPr>
          <w:rFonts w:cs="Guttman Drogolin" w:hint="cs"/>
          <w:rtl/>
          <w:lang w:bidi="he-IL"/>
        </w:rPr>
        <w:t xml:space="preserve"> </w:t>
      </w:r>
    </w:p>
    <w:p w:rsidR="009104D0" w:rsidRPr="00882F11" w:rsidRDefault="009104D0" w:rsidP="009104D0">
      <w:pPr>
        <w:bidi/>
        <w:jc w:val="both"/>
        <w:rPr>
          <w:rFonts w:cs="Guttman Drogolin"/>
          <w:rtl/>
          <w:lang w:bidi="he-IL"/>
        </w:rPr>
        <w:sectPr w:rsidR="009104D0" w:rsidRPr="00882F11" w:rsidSect="00615FF2">
          <w:type w:val="continuous"/>
          <w:pgSz w:w="11907" w:h="16839" w:code="9"/>
          <w:pgMar w:top="1440" w:right="1440" w:bottom="1440" w:left="1440" w:header="720" w:footer="720" w:gutter="0"/>
          <w:cols w:num="2" w:space="720"/>
          <w:bidi/>
          <w:docGrid w:linePitch="360"/>
        </w:sectPr>
      </w:pPr>
    </w:p>
    <w:p w:rsidR="009104D0" w:rsidRPr="00882F11" w:rsidRDefault="009104D0" w:rsidP="009104D0">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כ</w:t>
      </w:r>
      <w:r w:rsidRPr="00882F11">
        <w:rPr>
          <w:rFonts w:cs="Guttman Drogolin" w:hint="cs"/>
          <w:b/>
          <w:bCs/>
          <w:sz w:val="48"/>
          <w:szCs w:val="48"/>
          <w:rtl/>
        </w:rPr>
        <w:t>"</w:t>
      </w:r>
      <w:r w:rsidRPr="00882F11">
        <w:rPr>
          <w:rFonts w:cs="Guttman Drogolin" w:hint="cs"/>
          <w:b/>
          <w:bCs/>
          <w:sz w:val="48"/>
          <w:szCs w:val="48"/>
          <w:rtl/>
          <w:lang w:bidi="he-IL"/>
        </w:rPr>
        <w:t>ח</w:t>
      </w:r>
    </w:p>
    <w:p w:rsidR="00615FF2" w:rsidRDefault="00615FF2" w:rsidP="009104D0">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sectPr w:rsidR="00615FF2" w:rsidSect="00615FF2">
          <w:headerReference w:type="default" r:id="rId26"/>
          <w:pgSz w:w="11907" w:h="16839" w:code="9"/>
          <w:pgMar w:top="1440" w:right="1440" w:bottom="1440" w:left="1440" w:header="720" w:footer="720" w:gutter="0"/>
          <w:cols w:space="720"/>
          <w:bidi/>
          <w:docGrid w:linePitch="360"/>
        </w:sectPr>
      </w:pPr>
    </w:p>
    <w:p w:rsidR="009104D0" w:rsidRPr="00882F11" w:rsidRDefault="009104D0" w:rsidP="009104D0">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11" w:name="_Toc496175371"/>
      <w:r w:rsidRPr="00882F11">
        <w:rPr>
          <w:rFonts w:asciiTheme="majorHAnsi" w:eastAsiaTheme="majorEastAsia" w:hAnsiTheme="majorHAnsi" w:cs="Guttman Drogolin" w:hint="cs"/>
          <w:b/>
          <w:bCs/>
          <w:sz w:val="24"/>
          <w:szCs w:val="24"/>
          <w:u w:val="single"/>
          <w:rtl/>
          <w:lang w:bidi="he-IL"/>
        </w:rPr>
        <w:lastRenderedPageBreak/>
        <w:t>בדין טכ"ע באיסורי הנאה</w:t>
      </w:r>
      <w:bookmarkEnd w:id="111"/>
    </w:p>
    <w:p w:rsidR="007F65D0" w:rsidRPr="00882F11" w:rsidRDefault="00E47DF1" w:rsidP="00CA79CC">
      <w:pPr>
        <w:bidi/>
        <w:jc w:val="both"/>
        <w:rPr>
          <w:rFonts w:cs="Guttman Drogolin"/>
          <w:rtl/>
          <w:lang w:bidi="he-IL"/>
        </w:rPr>
      </w:pPr>
      <w:r>
        <w:rPr>
          <w:rFonts w:cs="Guttman Drogolin"/>
          <w:rtl/>
          <w:lang w:bidi="he-IL"/>
        </w:rPr>
        <w:fldChar w:fldCharType="begin"/>
      </w:r>
      <w:r>
        <w:instrText xml:space="preserve"> XE "</w:instrText>
      </w:r>
      <w:r w:rsidRPr="00EA3547">
        <w:rPr>
          <w:rFonts w:hint="cs"/>
          <w:rtl/>
          <w:lang w:bidi="he-IL"/>
        </w:rPr>
        <w:instrText>טעם כעיקר</w:instrText>
      </w:r>
      <w:r w:rsidRPr="00EA3547">
        <w:rPr>
          <w:rtl/>
        </w:rPr>
        <w:instrText>:</w:instrText>
      </w:r>
      <w:r w:rsidRPr="00EA3547">
        <w:rPr>
          <w:rFonts w:hint="cs"/>
          <w:rtl/>
          <w:lang w:bidi="he-IL"/>
        </w:rPr>
        <w:instrText>באיסורי הנאה</w:instrText>
      </w:r>
      <w:r>
        <w:instrText xml:space="preserve">" </w:instrText>
      </w:r>
      <w:r>
        <w:rPr>
          <w:rFonts w:cs="Guttman Drogolin"/>
          <w:rtl/>
          <w:lang w:bidi="he-IL"/>
        </w:rPr>
        <w:fldChar w:fldCharType="end"/>
      </w:r>
      <w:r w:rsidR="00C86D06">
        <w:rPr>
          <w:rFonts w:cs="Guttman Drogolin"/>
          <w:rtl/>
          <w:lang w:bidi="he-IL"/>
        </w:rPr>
        <w:fldChar w:fldCharType="begin"/>
      </w:r>
      <w:r w:rsidR="00C86D06">
        <w:instrText xml:space="preserve"> XE "</w:instrText>
      </w:r>
      <w:r w:rsidR="00C86D06" w:rsidRPr="008356B6">
        <w:rPr>
          <w:rFonts w:hint="cs"/>
          <w:rtl/>
          <w:lang w:bidi="he-IL"/>
        </w:rPr>
        <w:instrText>איסור הנאה</w:instrText>
      </w:r>
      <w:r w:rsidR="00C86D06" w:rsidRPr="008356B6">
        <w:rPr>
          <w:rtl/>
        </w:rPr>
        <w:instrText>:</w:instrText>
      </w:r>
      <w:r w:rsidR="00C86D06" w:rsidRPr="008356B6">
        <w:rPr>
          <w:rFonts w:hint="cs"/>
          <w:rtl/>
          <w:lang w:bidi="he-IL"/>
        </w:rPr>
        <w:instrText>טעם כעיקר</w:instrText>
      </w:r>
      <w:r w:rsidR="00C86D06">
        <w:instrText xml:space="preserve">" </w:instrText>
      </w:r>
      <w:r w:rsidR="00C86D06">
        <w:rPr>
          <w:rFonts w:cs="Guttman Drogolin"/>
          <w:rtl/>
          <w:lang w:bidi="he-IL"/>
        </w:rPr>
        <w:fldChar w:fldCharType="end"/>
      </w:r>
      <w:r w:rsidR="009104D0" w:rsidRPr="00882F11">
        <w:rPr>
          <w:rFonts w:cs="Guttman Drogolin" w:hint="cs"/>
          <w:rtl/>
          <w:lang w:bidi="he-IL"/>
        </w:rPr>
        <w:t>המתני' שבדף ס"ה ע"ב במס' ע"ז מבואר דין נשפך יי"נ ע"ג מאכלים האם ובאיזה ענין הם נאסרים. ובגמ' מבואר מעשה בההוא</w:t>
      </w:r>
      <w:r w:rsidR="009104D0" w:rsidRPr="00882F11">
        <w:rPr>
          <w:rFonts w:cs="Guttman Drogolin"/>
          <w:rtl/>
          <w:lang w:bidi="he-IL"/>
        </w:rPr>
        <w:t xml:space="preserve"> </w:t>
      </w:r>
      <w:r w:rsidR="009104D0" w:rsidRPr="00882F11">
        <w:rPr>
          <w:rFonts w:cs="Guttman Drogolin" w:hint="cs"/>
          <w:rtl/>
          <w:lang w:bidi="he-IL"/>
        </w:rPr>
        <w:t>כרי</w:t>
      </w:r>
      <w:r w:rsidR="009104D0" w:rsidRPr="00882F11">
        <w:rPr>
          <w:rFonts w:cs="Guttman Drogolin"/>
          <w:rtl/>
          <w:lang w:bidi="he-IL"/>
        </w:rPr>
        <w:t xml:space="preserve"> </w:t>
      </w:r>
      <w:r w:rsidR="009104D0" w:rsidRPr="00882F11">
        <w:rPr>
          <w:rFonts w:cs="Guttman Drogolin" w:hint="cs"/>
          <w:rtl/>
          <w:lang w:bidi="he-IL"/>
        </w:rPr>
        <w:t>דחיטי</w:t>
      </w:r>
      <w:r w:rsidR="009104D0" w:rsidRPr="00882F11">
        <w:rPr>
          <w:rFonts w:cs="Guttman Drogolin"/>
          <w:rtl/>
          <w:lang w:bidi="he-IL"/>
        </w:rPr>
        <w:t xml:space="preserve"> </w:t>
      </w:r>
      <w:r w:rsidR="009104D0" w:rsidRPr="00882F11">
        <w:rPr>
          <w:rFonts w:cs="Guttman Drogolin" w:hint="cs"/>
          <w:rtl/>
          <w:lang w:bidi="he-IL"/>
        </w:rPr>
        <w:t>דנפל</w:t>
      </w:r>
      <w:r w:rsidR="009104D0" w:rsidRPr="00882F11">
        <w:rPr>
          <w:rFonts w:cs="Guttman Drogolin"/>
          <w:rtl/>
          <w:lang w:bidi="he-IL"/>
        </w:rPr>
        <w:t xml:space="preserve"> </w:t>
      </w:r>
      <w:r w:rsidR="009104D0" w:rsidRPr="00882F11">
        <w:rPr>
          <w:rFonts w:cs="Guttman Drogolin" w:hint="cs"/>
          <w:rtl/>
          <w:lang w:bidi="he-IL"/>
        </w:rPr>
        <w:t>עליה</w:t>
      </w:r>
      <w:r w:rsidR="009104D0" w:rsidRPr="00882F11">
        <w:rPr>
          <w:rFonts w:cs="Guttman Drogolin"/>
          <w:rtl/>
          <w:lang w:bidi="he-IL"/>
        </w:rPr>
        <w:t xml:space="preserve"> </w:t>
      </w:r>
      <w:r w:rsidR="009104D0" w:rsidRPr="00882F11">
        <w:rPr>
          <w:rFonts w:cs="Guttman Drogolin" w:hint="cs"/>
          <w:rtl/>
          <w:lang w:bidi="he-IL"/>
        </w:rPr>
        <w:t>חביתא</w:t>
      </w:r>
      <w:r w:rsidR="009104D0" w:rsidRPr="00882F11">
        <w:rPr>
          <w:rFonts w:cs="Guttman Drogolin"/>
          <w:rtl/>
          <w:lang w:bidi="he-IL"/>
        </w:rPr>
        <w:t xml:space="preserve"> </w:t>
      </w:r>
      <w:r w:rsidR="009104D0" w:rsidRPr="00882F11">
        <w:rPr>
          <w:rFonts w:cs="Guttman Drogolin" w:hint="cs"/>
          <w:rtl/>
          <w:lang w:bidi="he-IL"/>
        </w:rPr>
        <w:t>דיין</w:t>
      </w:r>
      <w:r w:rsidR="009104D0" w:rsidRPr="00882F11">
        <w:rPr>
          <w:rFonts w:cs="Guttman Drogolin"/>
          <w:rtl/>
          <w:lang w:bidi="he-IL"/>
        </w:rPr>
        <w:t xml:space="preserve"> </w:t>
      </w:r>
      <w:r w:rsidR="009104D0" w:rsidRPr="00882F11">
        <w:rPr>
          <w:rFonts w:cs="Guttman Drogolin" w:hint="cs"/>
          <w:rtl/>
          <w:lang w:bidi="he-IL"/>
        </w:rPr>
        <w:t>נסך</w:t>
      </w:r>
      <w:r w:rsidR="009104D0" w:rsidRPr="00882F11">
        <w:rPr>
          <w:rFonts w:cs="Guttman Drogolin"/>
          <w:rtl/>
          <w:lang w:bidi="he-IL"/>
        </w:rPr>
        <w:t xml:space="preserve"> </w:t>
      </w:r>
      <w:r w:rsidR="009104D0" w:rsidRPr="00882F11">
        <w:rPr>
          <w:rFonts w:cs="Guttman Drogolin" w:hint="cs"/>
          <w:rtl/>
          <w:lang w:bidi="he-IL"/>
        </w:rPr>
        <w:t>דשרייה</w:t>
      </w:r>
      <w:r w:rsidR="009104D0" w:rsidRPr="00882F11">
        <w:rPr>
          <w:rFonts w:cs="Guttman Drogolin"/>
          <w:rtl/>
          <w:lang w:bidi="he-IL"/>
        </w:rPr>
        <w:t xml:space="preserve"> </w:t>
      </w:r>
      <w:r w:rsidR="009104D0" w:rsidRPr="00882F11">
        <w:rPr>
          <w:rFonts w:cs="Guttman Drogolin" w:hint="cs"/>
          <w:rtl/>
          <w:lang w:bidi="he-IL"/>
        </w:rPr>
        <w:t>רבא</w:t>
      </w:r>
      <w:r w:rsidR="009104D0" w:rsidRPr="00882F11">
        <w:rPr>
          <w:rFonts w:cs="Guttman Drogolin"/>
          <w:rtl/>
          <w:lang w:bidi="he-IL"/>
        </w:rPr>
        <w:t xml:space="preserve"> </w:t>
      </w:r>
      <w:r w:rsidR="009104D0" w:rsidRPr="00882F11">
        <w:rPr>
          <w:rFonts w:cs="Guttman Drogolin" w:hint="cs"/>
          <w:rtl/>
          <w:lang w:bidi="he-IL"/>
        </w:rPr>
        <w:t>לזבוניה</w:t>
      </w:r>
      <w:r w:rsidR="009104D0" w:rsidRPr="00882F11">
        <w:rPr>
          <w:rFonts w:cs="Guttman Drogolin"/>
          <w:rtl/>
          <w:lang w:bidi="he-IL"/>
        </w:rPr>
        <w:t xml:space="preserve"> </w:t>
      </w:r>
      <w:r w:rsidR="009104D0" w:rsidRPr="00882F11">
        <w:rPr>
          <w:rFonts w:cs="Guttman Drogolin" w:hint="cs"/>
          <w:rtl/>
          <w:lang w:bidi="he-IL"/>
        </w:rPr>
        <w:t>לעובדי</w:t>
      </w:r>
      <w:r w:rsidR="009104D0" w:rsidRPr="00882F11">
        <w:rPr>
          <w:rFonts w:cs="Guttman Drogolin"/>
          <w:rtl/>
          <w:lang w:bidi="he-IL"/>
        </w:rPr>
        <w:t xml:space="preserve"> </w:t>
      </w:r>
      <w:r w:rsidR="009104D0" w:rsidRPr="00882F11">
        <w:rPr>
          <w:rFonts w:cs="Guttman Drogolin" w:hint="cs"/>
          <w:rtl/>
          <w:lang w:bidi="he-IL"/>
        </w:rPr>
        <w:t>כוכבים</w:t>
      </w:r>
      <w:r w:rsidR="00102FB3" w:rsidRPr="00882F11">
        <w:rPr>
          <w:rFonts w:cs="Guttman Drogolin" w:hint="cs"/>
          <w:rtl/>
          <w:lang w:bidi="he-IL"/>
        </w:rPr>
        <w:t>. והקשו</w:t>
      </w:r>
      <w:r w:rsidR="009104D0" w:rsidRPr="00882F11">
        <w:rPr>
          <w:rFonts w:cs="Guttman Drogolin" w:hint="cs"/>
          <w:rtl/>
          <w:lang w:bidi="he-IL"/>
        </w:rPr>
        <w:t xml:space="preserve"> המפרשים דהא יי"נ אסור בהנאה, ולכן אם אסורה באכילה לכאורה ממילא הי' צריך להיות גם אסורה בהנאה.</w:t>
      </w:r>
      <w:r w:rsidR="00102FB3" w:rsidRPr="00882F11">
        <w:rPr>
          <w:rFonts w:cs="Guttman Drogolin" w:hint="cs"/>
          <w:rtl/>
          <w:lang w:bidi="he-IL"/>
        </w:rPr>
        <w:t xml:space="preserve"> וע' ריטב"א שהביא מי שסבר דכיון שאינו אלא ע"י תערובת אינו אסור בהנאה, וחלק על שיטה זו משום דמאי שנא שלענין אכילה התערובת אסור משום האיסור שיש בו ואינו אסור בכה"ג בהנאה נמי. ולכן פי'</w:t>
      </w:r>
      <w:r w:rsidR="009104D0" w:rsidRPr="00882F11">
        <w:rPr>
          <w:rFonts w:cs="Guttman Drogolin" w:hint="cs"/>
          <w:rtl/>
          <w:lang w:bidi="he-IL"/>
        </w:rPr>
        <w:t xml:space="preserve"> </w:t>
      </w:r>
      <w:r w:rsidR="00102FB3" w:rsidRPr="00882F11">
        <w:rPr>
          <w:rFonts w:cs="Guttman Drogolin" w:hint="cs"/>
          <w:rtl/>
          <w:lang w:bidi="he-IL"/>
        </w:rPr>
        <w:t>שהמתני' לא מירי ביין נסיך ממש רק בסתם יינם, וסתם</w:t>
      </w:r>
      <w:r w:rsidR="009104D0" w:rsidRPr="00882F11">
        <w:rPr>
          <w:rFonts w:cs="Guttman Drogolin" w:hint="cs"/>
          <w:rtl/>
          <w:lang w:bidi="he-IL"/>
        </w:rPr>
        <w:t xml:space="preserve"> </w:t>
      </w:r>
      <w:r w:rsidR="00102FB3" w:rsidRPr="00882F11">
        <w:rPr>
          <w:rFonts w:cs="Guttman Drogolin" w:hint="cs"/>
          <w:rtl/>
          <w:lang w:bidi="he-IL"/>
        </w:rPr>
        <w:t xml:space="preserve">יינם אינו אסור בהנאה. אמנם כפי' הראשון מבואר בראב"ד, וראיתי בשם שו"ת מנחת ברוך </w:t>
      </w:r>
      <w:r w:rsidR="00D1182F" w:rsidRPr="00882F11">
        <w:rPr>
          <w:rFonts w:cs="Guttman Drogolin" w:hint="cs"/>
          <w:rtl/>
          <w:lang w:bidi="he-IL"/>
        </w:rPr>
        <w:t>שה</w:t>
      </w:r>
      <w:r w:rsidR="00102FB3" w:rsidRPr="00882F11">
        <w:rPr>
          <w:rFonts w:cs="Guttman Drogolin" w:hint="cs"/>
          <w:rtl/>
          <w:lang w:bidi="he-IL"/>
        </w:rPr>
        <w:t>קשה על פי' זה</w:t>
      </w:r>
      <w:r w:rsidR="00D1182F" w:rsidRPr="00882F11">
        <w:rPr>
          <w:rFonts w:cs="Guttman Drogolin" w:hint="cs"/>
          <w:rtl/>
          <w:lang w:bidi="he-IL"/>
        </w:rPr>
        <w:t xml:space="preserve"> לפי שיטת</w:t>
      </w:r>
      <w:r w:rsidR="00E54FDD" w:rsidRPr="00882F11">
        <w:rPr>
          <w:rFonts w:cs="Guttman Drogolin" w:hint="cs"/>
          <w:rtl/>
          <w:lang w:bidi="he-IL"/>
        </w:rPr>
        <w:t xml:space="preserve"> ר"ת שבטכ"ע אמרינן שנהפך ההיתר להיות איסור, דלמה יחשב רק כתערובת יי"נ, הא עצם ההיתר עצמו נהפך להיות חפצא של יי"נ ויוצא שאינו רק תערובת בעלמא. ויסד ע"פ זה דלא אמרינן באיסורי הנאה דנהפך להיות כולו חפצא דאיסורא. ואפשר לומר בזה כמו שכבר ביארנו, שהיסוד של 'נהפך' אין זה שההיתר עצמו נהפך להיות חפצא דאיסורא, רק שגדר האיסור של טכ"ע הוא שאסור לאכול מאכל שיש בו טעם איסור, וממילא האוכל כזית של המאכל עם טעם איסור עבר, אבל כיון שאין כאן היפוך ממש לא אמירנן שיהפך להיות איסורי הנאה. וכה"ג ראינו גם בר"ש בטבול </w:t>
      </w:r>
      <w:r w:rsidR="007F65D0" w:rsidRPr="00882F11">
        <w:rPr>
          <w:rFonts w:cs="Guttman Drogolin" w:hint="cs"/>
          <w:rtl/>
          <w:lang w:bidi="he-IL"/>
        </w:rPr>
        <w:t>יום 'סבר שטר"ע לא מהנים לענין טומאה רק לעניין איסור אכילה.</w:t>
      </w:r>
    </w:p>
    <w:p w:rsidR="00DA2859" w:rsidRPr="00882F11" w:rsidRDefault="00DA2859" w:rsidP="00DA2859">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12" w:name="_Toc496175372"/>
      <w:r w:rsidRPr="00882F11">
        <w:rPr>
          <w:rFonts w:asciiTheme="majorHAnsi" w:eastAsiaTheme="majorEastAsia" w:hAnsiTheme="majorHAnsi" w:cs="Guttman Drogolin" w:hint="cs"/>
          <w:b/>
          <w:bCs/>
          <w:sz w:val="24"/>
          <w:szCs w:val="24"/>
          <w:u w:val="single"/>
          <w:rtl/>
          <w:lang w:bidi="he-IL"/>
        </w:rPr>
        <w:t>בדיני ביטול בשעטנז ובב"ח</w:t>
      </w:r>
      <w:bookmarkEnd w:id="112"/>
    </w:p>
    <w:p w:rsidR="00982844" w:rsidRPr="00882F11" w:rsidRDefault="00E47DF1" w:rsidP="00574E9B">
      <w:pPr>
        <w:bidi/>
        <w:jc w:val="both"/>
        <w:rPr>
          <w:rFonts w:cs="Guttman Drogolin"/>
          <w:rtl/>
          <w:lang w:bidi="he-IL"/>
        </w:rPr>
      </w:pPr>
      <w:r>
        <w:rPr>
          <w:rFonts w:cs="Guttman Drogolin"/>
          <w:rtl/>
          <w:lang w:bidi="he-IL"/>
        </w:rPr>
        <w:fldChar w:fldCharType="begin"/>
      </w:r>
      <w:r>
        <w:instrText xml:space="preserve"> XE "</w:instrText>
      </w:r>
      <w:r w:rsidRPr="00233C41">
        <w:rPr>
          <w:rFonts w:hint="cs"/>
          <w:rtl/>
          <w:lang w:bidi="he-IL"/>
        </w:rPr>
        <w:instrText>ביטול ברוב</w:instrText>
      </w:r>
      <w:r w:rsidRPr="00233C41">
        <w:rPr>
          <w:rtl/>
        </w:rPr>
        <w:instrText>:</w:instrText>
      </w:r>
      <w:r w:rsidRPr="00233C41">
        <w:rPr>
          <w:rFonts w:hint="cs"/>
          <w:rtl/>
          <w:lang w:bidi="he-IL"/>
        </w:rPr>
        <w:instrText>בשעטנז</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B84820">
        <w:rPr>
          <w:rFonts w:hint="cs"/>
          <w:rtl/>
          <w:lang w:bidi="he-IL"/>
        </w:rPr>
        <w:instrText>ביטול ברוב</w:instrText>
      </w:r>
      <w:r w:rsidRPr="00B84820">
        <w:rPr>
          <w:rtl/>
        </w:rPr>
        <w:instrText>:</w:instrText>
      </w:r>
      <w:r w:rsidRPr="00B84820">
        <w:rPr>
          <w:rFonts w:hint="cs"/>
          <w:rtl/>
          <w:lang w:bidi="he-IL"/>
        </w:rPr>
        <w:instrText>בבשר בחלב</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106DC1">
        <w:rPr>
          <w:rFonts w:hint="cs"/>
          <w:rtl/>
          <w:lang w:bidi="he-IL"/>
        </w:rPr>
        <w:instrText>ביטול ברוב</w:instrText>
      </w:r>
      <w:r w:rsidRPr="00106DC1">
        <w:rPr>
          <w:rtl/>
        </w:rPr>
        <w:instrText>:</w:instrText>
      </w:r>
      <w:r w:rsidRPr="00106DC1">
        <w:rPr>
          <w:rFonts w:hint="cs"/>
          <w:rtl/>
          <w:lang w:bidi="he-IL"/>
        </w:rPr>
        <w:instrText>בשני דברים המייצרים איסור ביחד</w:instrText>
      </w:r>
      <w:r>
        <w:instrText xml:space="preserve">" </w:instrText>
      </w:r>
      <w:r>
        <w:rPr>
          <w:rFonts w:cs="Guttman Drogolin"/>
          <w:rtl/>
          <w:lang w:bidi="he-IL"/>
        </w:rPr>
        <w:fldChar w:fldCharType="end"/>
      </w:r>
      <w:r w:rsidR="00664777">
        <w:rPr>
          <w:rFonts w:cs="Guttman Drogolin"/>
          <w:rtl/>
          <w:lang w:bidi="he-IL"/>
        </w:rPr>
        <w:fldChar w:fldCharType="begin"/>
      </w:r>
      <w:r w:rsidR="00664777">
        <w:instrText xml:space="preserve"> XE "</w:instrText>
      </w:r>
      <w:r w:rsidR="00664777" w:rsidRPr="000C38EE">
        <w:rPr>
          <w:rFonts w:hint="cs"/>
          <w:rtl/>
          <w:lang w:bidi="he-IL"/>
        </w:rPr>
        <w:instrText>שעטנז</w:instrText>
      </w:r>
      <w:r w:rsidR="00664777" w:rsidRPr="000C38EE">
        <w:rPr>
          <w:rtl/>
        </w:rPr>
        <w:instrText>:</w:instrText>
      </w:r>
      <w:r w:rsidR="00664777" w:rsidRPr="000C38EE">
        <w:rPr>
          <w:rFonts w:hint="cs"/>
          <w:rtl/>
          <w:lang w:bidi="he-IL"/>
        </w:rPr>
        <w:instrText>אם יש בה דין ביטול ברוב</w:instrText>
      </w:r>
      <w:r w:rsidR="00664777">
        <w:instrText xml:space="preserve">" </w:instrText>
      </w:r>
      <w:r w:rsidR="00664777">
        <w:rPr>
          <w:rFonts w:cs="Guttman Drogolin"/>
          <w:rtl/>
          <w:lang w:bidi="he-IL"/>
        </w:rPr>
        <w:fldChar w:fldCharType="end"/>
      </w:r>
      <w:r w:rsidR="00664777">
        <w:rPr>
          <w:rFonts w:cs="Guttman Drogolin"/>
          <w:rtl/>
          <w:lang w:bidi="he-IL"/>
        </w:rPr>
        <w:fldChar w:fldCharType="begin"/>
      </w:r>
      <w:r w:rsidR="00664777">
        <w:instrText xml:space="preserve"> XE "</w:instrText>
      </w:r>
      <w:r w:rsidR="00664777" w:rsidRPr="00E64BC6">
        <w:rPr>
          <w:rFonts w:hint="cs"/>
          <w:rtl/>
          <w:lang w:bidi="he-IL"/>
        </w:rPr>
        <w:instrText>בשר בחלב</w:instrText>
      </w:r>
      <w:r w:rsidR="00664777" w:rsidRPr="00E64BC6">
        <w:rPr>
          <w:rtl/>
        </w:rPr>
        <w:instrText>:</w:instrText>
      </w:r>
      <w:r w:rsidR="00664777" w:rsidRPr="00E64BC6">
        <w:rPr>
          <w:rFonts w:hint="cs"/>
          <w:rtl/>
          <w:lang w:bidi="he-IL"/>
        </w:rPr>
        <w:instrText>אם יש בה דין ביטול ברוב</w:instrText>
      </w:r>
      <w:r w:rsidR="00664777">
        <w:instrText xml:space="preserve">" </w:instrText>
      </w:r>
      <w:r w:rsidR="00664777">
        <w:rPr>
          <w:rFonts w:cs="Guttman Drogolin"/>
          <w:rtl/>
          <w:lang w:bidi="he-IL"/>
        </w:rPr>
        <w:fldChar w:fldCharType="end"/>
      </w:r>
      <w:r w:rsidR="00DA2859" w:rsidRPr="00882F11">
        <w:rPr>
          <w:rFonts w:cs="Guttman Drogolin" w:hint="cs"/>
          <w:rtl/>
          <w:lang w:bidi="he-IL"/>
        </w:rPr>
        <w:t xml:space="preserve">הגמ' שואלת על ההיתר של רבא למכור החייל שנפל עליהם יי"נ לעכו"ם מן הדין </w:t>
      </w:r>
      <w:r w:rsidR="00982844" w:rsidRPr="00882F11">
        <w:rPr>
          <w:rFonts w:cs="Guttman Drogolin" w:hint="cs"/>
          <w:rtl/>
          <w:lang w:bidi="he-IL"/>
        </w:rPr>
        <w:t xml:space="preserve">של בגד שאבד בו כלאים שאסור למוכרה לנכרי משום חשש שימכרנה ליהודי ולא ידע שיש בזה איסור כיון שאין היי"נ ניכר. ורבא חזר בו משום זה והורה </w:t>
      </w:r>
      <w:r w:rsidR="00982844" w:rsidRPr="00882F11">
        <w:rPr>
          <w:rFonts w:cs="Guttman Drogolin" w:hint="cs"/>
          <w:rtl/>
          <w:lang w:bidi="he-IL"/>
        </w:rPr>
        <w:lastRenderedPageBreak/>
        <w:t xml:space="preserve">למוכרה כלחם, ולא יבא מכשול ע"י זה כיון שלחם מ"מ אסור משום פת עכו"ם. </w:t>
      </w:r>
    </w:p>
    <w:p w:rsidR="00393B7D" w:rsidRPr="00882F11" w:rsidRDefault="00982844" w:rsidP="00982844">
      <w:pPr>
        <w:bidi/>
        <w:jc w:val="both"/>
        <w:rPr>
          <w:rFonts w:cs="Guttman Drogolin"/>
          <w:rtl/>
          <w:lang w:bidi="he-IL"/>
        </w:rPr>
      </w:pPr>
      <w:r w:rsidRPr="00882F11">
        <w:rPr>
          <w:rFonts w:cs="Guttman Drogolin" w:hint="cs"/>
          <w:rtl/>
          <w:lang w:bidi="he-IL"/>
        </w:rPr>
        <w:t xml:space="preserve">ומעצם הדין של בגד שאבד בו כלאים שואלים התוס' ועוד כמה ראשונים דלכאורה כיון שהוא נאבד למה יהא אסור ללבוש כלל, לטמא שהחוט צמר שאבוד בבגד פשטו יהא בטל ברוב ומותר. ותי' דע"כ חזינן מזה יסוד דליכא ביטול בשני דברים המותרים הנאסרים בתערובת. </w:t>
      </w:r>
      <w:r w:rsidR="00E47DF1">
        <w:rPr>
          <w:rFonts w:cs="Guttman Drogolin"/>
          <w:rtl/>
          <w:lang w:bidi="he-IL"/>
        </w:rPr>
        <w:fldChar w:fldCharType="begin"/>
      </w:r>
      <w:r w:rsidR="00E47DF1">
        <w:instrText xml:space="preserve"> XE "</w:instrText>
      </w:r>
      <w:r w:rsidR="00E47DF1" w:rsidRPr="009C0ACD">
        <w:rPr>
          <w:rFonts w:hint="cs"/>
          <w:rtl/>
          <w:lang w:bidi="he-IL"/>
        </w:rPr>
        <w:instrText>ביטול ברוב</w:instrText>
      </w:r>
      <w:r w:rsidR="00E47DF1" w:rsidRPr="009C0ACD">
        <w:rPr>
          <w:rtl/>
        </w:rPr>
        <w:instrText>:</w:instrText>
      </w:r>
      <w:r w:rsidR="00E47DF1" w:rsidRPr="009C0ACD">
        <w:rPr>
          <w:rFonts w:hint="cs"/>
          <w:rtl/>
          <w:lang w:bidi="he-IL"/>
        </w:rPr>
        <w:instrText>היתר בהיתר</w:instrText>
      </w:r>
      <w:r w:rsidR="00E47DF1">
        <w:instrText xml:space="preserve">" </w:instrText>
      </w:r>
      <w:r w:rsidR="00E47DF1">
        <w:rPr>
          <w:rFonts w:cs="Guttman Drogolin"/>
          <w:rtl/>
          <w:lang w:bidi="he-IL"/>
        </w:rPr>
        <w:fldChar w:fldCharType="end"/>
      </w:r>
      <w:r w:rsidRPr="00882F11">
        <w:rPr>
          <w:rFonts w:cs="Guttman Drogolin" w:hint="cs"/>
          <w:rtl/>
          <w:lang w:bidi="he-IL"/>
        </w:rPr>
        <w:t>והנה שיטת הר"ן במס' נדרים דף נ"ב ע"א דהיתר בהיתר לא בטל, ולשיטתו מוכן היטב למה צמר לא בטל בפשתים. אלא שמקשים על הר"ן ממתני' שמבואר בה דצמר רחלים בטל בצמר גמלים, הרי שהיתר בטל בהיתר. ואכמ"ל בשיטת הר"ן. אמנם באמת אין זה כוונת התוס' וע</w:t>
      </w:r>
      <w:r w:rsidR="00393B7D" w:rsidRPr="00882F11">
        <w:rPr>
          <w:rFonts w:cs="Guttman Drogolin" w:hint="cs"/>
          <w:rtl/>
          <w:lang w:bidi="he-IL"/>
        </w:rPr>
        <w:t>ו</w:t>
      </w:r>
      <w:r w:rsidRPr="00882F11">
        <w:rPr>
          <w:rFonts w:cs="Guttman Drogolin" w:hint="cs"/>
          <w:rtl/>
          <w:lang w:bidi="he-IL"/>
        </w:rPr>
        <w:t>ד כאן</w:t>
      </w:r>
      <w:r w:rsidR="00393B7D" w:rsidRPr="00882F11">
        <w:rPr>
          <w:rFonts w:cs="Guttman Drogolin" w:hint="cs"/>
          <w:rtl/>
          <w:lang w:bidi="he-IL"/>
        </w:rPr>
        <w:t>, רק כוונתם מבוארת היטב בדבריהם, שהטעם שאין כאן ביטול משום ששני החומרים יוצרים איסור ע"י תערובתם, ועירוב הגורם איסור אינו עושה ביטול. ואין הכוונה משום דלא משכחת לשעטנז בלי כלל זה, דהא משכחת לה בצמר הניכר בפשתן, רק שמן הדין של בגד שאבד בה כלאים מוכח דין זה. וכפשוטו נראה שאפילו אם הצמר הי' צמר של איסור, וכגון שאסורהו ע"י נדר, והפשטן הי' פשתן של היתר, ג"כ שייך הכלל של התוס', שאין העיקר משום היותם מו</w:t>
      </w:r>
      <w:r w:rsidR="00A020C8" w:rsidRPr="00882F11">
        <w:rPr>
          <w:rFonts w:cs="Guttman Drogolin" w:hint="cs"/>
          <w:rtl/>
          <w:lang w:bidi="he-IL"/>
        </w:rPr>
        <w:t>תרים קודם התערובת, רק משום היותם</w:t>
      </w:r>
      <w:r w:rsidR="00393B7D" w:rsidRPr="00882F11">
        <w:rPr>
          <w:rFonts w:cs="Guttman Drogolin" w:hint="cs"/>
          <w:rtl/>
          <w:lang w:bidi="he-IL"/>
        </w:rPr>
        <w:t xml:space="preserve"> יוצרים איסור ע"י תערובתם.</w:t>
      </w:r>
    </w:p>
    <w:p w:rsidR="008F19A7" w:rsidRPr="00882F11" w:rsidRDefault="00393B7D" w:rsidP="000B4023">
      <w:pPr>
        <w:bidi/>
        <w:jc w:val="both"/>
        <w:rPr>
          <w:rFonts w:cs="Guttman Drogolin"/>
          <w:rtl/>
          <w:lang w:bidi="he-IL"/>
        </w:rPr>
      </w:pPr>
      <w:r w:rsidRPr="00882F11">
        <w:rPr>
          <w:rFonts w:cs="Guttman Drogolin" w:hint="cs"/>
          <w:rtl/>
          <w:lang w:bidi="he-IL"/>
        </w:rPr>
        <w:t>והתוס' מקשים שאם יש כזה כלל</w:t>
      </w:r>
      <w:r w:rsidR="009B78DE" w:rsidRPr="00882F11">
        <w:rPr>
          <w:rFonts w:cs="Guttman Drogolin" w:hint="cs"/>
          <w:rtl/>
          <w:lang w:bidi="he-IL"/>
        </w:rPr>
        <w:t xml:space="preserve"> דשני דברים היוצרים איסור ביחד לא שייך בהם ביטול, למה יש ביטול בבשר וחלב. ותי' התוספות דשאני בב"ח כיון שדרך בישול אסרה תורה. וכה"ג מבואר גם ברא"ש בהלכות כלאים (בסוף הלכות נדה), ושם לשונו של הרא"ש </w:t>
      </w:r>
      <w:r w:rsidR="000B4023" w:rsidRPr="00882F11">
        <w:rPr>
          <w:rFonts w:cs="Guttman Drogolin" w:hint="cs"/>
          <w:rtl/>
          <w:lang w:bidi="he-IL"/>
        </w:rPr>
        <w:t>"שאני התם [בבשר בחלב] דדרך בישול אסרה תורה ולא מיקרי בשר בחלב אלא בנתינת טעם".</w:t>
      </w:r>
      <w:r w:rsidR="009B78DE" w:rsidRPr="00882F11">
        <w:rPr>
          <w:rFonts w:cs="Guttman Drogolin" w:hint="cs"/>
          <w:rtl/>
          <w:lang w:bidi="he-IL"/>
        </w:rPr>
        <w:t xml:space="preserve"> ופי' רע"א את דבריו דלא איכפת לן בביטול החלב בבשר או להיפך, שכל יסוד האיסור של בב"ח </w:t>
      </w:r>
      <w:r w:rsidR="008F19A7" w:rsidRPr="00882F11">
        <w:rPr>
          <w:rFonts w:cs="Guttman Drogolin" w:hint="cs"/>
          <w:rtl/>
          <w:lang w:bidi="he-IL"/>
        </w:rPr>
        <w:t>ה</w:t>
      </w:r>
      <w:r w:rsidR="009B78DE" w:rsidRPr="00882F11">
        <w:rPr>
          <w:rFonts w:cs="Guttman Drogolin" w:hint="cs"/>
          <w:rtl/>
          <w:lang w:bidi="he-IL"/>
        </w:rPr>
        <w:t>וא כ</w:t>
      </w:r>
      <w:r w:rsidR="008F19A7" w:rsidRPr="00882F11">
        <w:rPr>
          <w:rFonts w:cs="Guttman Drogolin" w:hint="cs"/>
          <w:rtl/>
          <w:lang w:bidi="he-IL"/>
        </w:rPr>
        <w:t xml:space="preserve">שיש טעם של א' בתוך השני, ולכן בדליכא טעם ליכא איסור אפילו אם אינו מתבטל. וע"ש שדן לפי"ז שלא יהי' </w:t>
      </w:r>
      <w:r w:rsidR="008F19A7" w:rsidRPr="00882F11">
        <w:rPr>
          <w:rFonts w:cs="Guttman Drogolin" w:hint="cs"/>
          <w:rtl/>
          <w:lang w:bidi="he-IL"/>
        </w:rPr>
        <w:lastRenderedPageBreak/>
        <w:t xml:space="preserve">דינא דאין מבטלין איסור לכתחילה כיון שאין צורך כלל בביטול. </w:t>
      </w:r>
    </w:p>
    <w:p w:rsidR="00790696" w:rsidRPr="00882F11" w:rsidRDefault="008F19A7" w:rsidP="00664777">
      <w:pPr>
        <w:bidi/>
        <w:jc w:val="both"/>
        <w:rPr>
          <w:rFonts w:cs="Guttman Drogolin"/>
          <w:rtl/>
          <w:lang w:bidi="he-IL"/>
        </w:rPr>
      </w:pPr>
      <w:r w:rsidRPr="00882F11">
        <w:rPr>
          <w:rFonts w:cs="Guttman Drogolin" w:hint="cs"/>
          <w:rtl/>
          <w:lang w:bidi="he-IL"/>
        </w:rPr>
        <w:t>אלא דהנה בתוס' שלפנינו הלשון "ויש</w:t>
      </w:r>
      <w:r w:rsidRPr="00882F11">
        <w:rPr>
          <w:rFonts w:cs="Guttman Drogolin"/>
          <w:rtl/>
          <w:lang w:bidi="he-IL"/>
        </w:rPr>
        <w:t xml:space="preserve"> </w:t>
      </w:r>
      <w:r w:rsidRPr="00882F11">
        <w:rPr>
          <w:rFonts w:cs="Guttman Drogolin" w:hint="cs"/>
          <w:rtl/>
          <w:lang w:bidi="he-IL"/>
        </w:rPr>
        <w:t>לומר</w:t>
      </w:r>
      <w:r w:rsidRPr="00882F11">
        <w:rPr>
          <w:rFonts w:cs="Guttman Drogolin"/>
          <w:rtl/>
          <w:lang w:bidi="he-IL"/>
        </w:rPr>
        <w:t xml:space="preserve"> </w:t>
      </w:r>
      <w:r w:rsidRPr="00882F11">
        <w:rPr>
          <w:rFonts w:cs="Guttman Drogolin" w:hint="cs"/>
          <w:rtl/>
          <w:lang w:bidi="he-IL"/>
        </w:rPr>
        <w:t>דשאני</w:t>
      </w:r>
      <w:r w:rsidRPr="00882F11">
        <w:rPr>
          <w:rFonts w:cs="Guttman Drogolin"/>
          <w:rtl/>
          <w:lang w:bidi="he-IL"/>
        </w:rPr>
        <w:t xml:space="preserve"> </w:t>
      </w:r>
      <w:r w:rsidRPr="00882F11">
        <w:rPr>
          <w:rFonts w:cs="Guttman Drogolin" w:hint="cs"/>
          <w:rtl/>
          <w:lang w:bidi="he-IL"/>
        </w:rPr>
        <w:t>בשר</w:t>
      </w:r>
      <w:r w:rsidRPr="00882F11">
        <w:rPr>
          <w:rFonts w:cs="Guttman Drogolin"/>
          <w:rtl/>
          <w:lang w:bidi="he-IL"/>
        </w:rPr>
        <w:t xml:space="preserve"> </w:t>
      </w:r>
      <w:r w:rsidRPr="00882F11">
        <w:rPr>
          <w:rFonts w:cs="Guttman Drogolin" w:hint="cs"/>
          <w:rtl/>
          <w:lang w:bidi="he-IL"/>
        </w:rPr>
        <w:t>בחלב</w:t>
      </w:r>
      <w:r w:rsidRPr="00882F11">
        <w:rPr>
          <w:rFonts w:cs="Guttman Drogolin"/>
          <w:rtl/>
          <w:lang w:bidi="he-IL"/>
        </w:rPr>
        <w:t xml:space="preserve"> </w:t>
      </w:r>
      <w:r w:rsidRPr="00882F11">
        <w:rPr>
          <w:rFonts w:cs="Guttman Drogolin" w:hint="cs"/>
          <w:rtl/>
          <w:lang w:bidi="he-IL"/>
        </w:rPr>
        <w:t>דגלי</w:t>
      </w:r>
      <w:r w:rsidRPr="00882F11">
        <w:rPr>
          <w:rFonts w:cs="Guttman Drogolin"/>
          <w:rtl/>
          <w:lang w:bidi="he-IL"/>
        </w:rPr>
        <w:t xml:space="preserve"> </w:t>
      </w:r>
      <w:r w:rsidRPr="00882F11">
        <w:rPr>
          <w:rFonts w:cs="Guttman Drogolin" w:hint="cs"/>
          <w:rtl/>
          <w:lang w:bidi="he-IL"/>
        </w:rPr>
        <w:t>קרא</w:t>
      </w:r>
      <w:r w:rsidRPr="00882F11">
        <w:rPr>
          <w:rFonts w:cs="Guttman Drogolin"/>
          <w:rtl/>
          <w:lang w:bidi="he-IL"/>
        </w:rPr>
        <w:t xml:space="preserve"> </w:t>
      </w:r>
      <w:r w:rsidRPr="00882F11">
        <w:rPr>
          <w:rFonts w:cs="Guttman Drogolin" w:hint="cs"/>
          <w:rtl/>
          <w:lang w:bidi="he-IL"/>
        </w:rPr>
        <w:t>בהדיא</w:t>
      </w:r>
      <w:r w:rsidRPr="00882F11">
        <w:rPr>
          <w:rFonts w:cs="Guttman Drogolin"/>
          <w:rtl/>
          <w:lang w:bidi="he-IL"/>
        </w:rPr>
        <w:t xml:space="preserve"> </w:t>
      </w:r>
      <w:r w:rsidRPr="00882F11">
        <w:rPr>
          <w:rFonts w:cs="Guttman Drogolin" w:hint="cs"/>
          <w:rtl/>
          <w:lang w:bidi="he-IL"/>
        </w:rPr>
        <w:t>דבטיל</w:t>
      </w:r>
      <w:r w:rsidRPr="00882F11">
        <w:rPr>
          <w:rFonts w:cs="Guttman Drogolin"/>
          <w:rtl/>
          <w:lang w:bidi="he-IL"/>
        </w:rPr>
        <w:t xml:space="preserve"> </w:t>
      </w:r>
      <w:r w:rsidRPr="00882F11">
        <w:rPr>
          <w:rFonts w:cs="Guttman Drogolin" w:hint="cs"/>
          <w:rtl/>
          <w:lang w:bidi="he-IL"/>
        </w:rPr>
        <w:t>כדאמרינן</w:t>
      </w:r>
      <w:r w:rsidRPr="00882F11">
        <w:rPr>
          <w:rFonts w:cs="Guttman Drogolin"/>
          <w:rtl/>
          <w:lang w:bidi="he-IL"/>
        </w:rPr>
        <w:t xml:space="preserve"> </w:t>
      </w:r>
      <w:r w:rsidRPr="00882F11">
        <w:rPr>
          <w:rFonts w:cs="Guttman Drogolin" w:hint="cs"/>
          <w:rtl/>
          <w:lang w:bidi="he-IL"/>
        </w:rPr>
        <w:t>התם</w:t>
      </w:r>
      <w:r w:rsidRPr="00882F11">
        <w:rPr>
          <w:rFonts w:cs="Guttman Drogolin"/>
          <w:rtl/>
          <w:lang w:bidi="he-IL"/>
        </w:rPr>
        <w:t xml:space="preserve"> </w:t>
      </w:r>
      <w:r w:rsidRPr="00882F11">
        <w:rPr>
          <w:rFonts w:cs="Guttman Drogolin" w:hint="cs"/>
          <w:rtl/>
          <w:lang w:bidi="he-IL"/>
        </w:rPr>
        <w:t>דרך</w:t>
      </w:r>
      <w:r w:rsidRPr="00882F11">
        <w:rPr>
          <w:rFonts w:cs="Guttman Drogolin"/>
          <w:rtl/>
          <w:lang w:bidi="he-IL"/>
        </w:rPr>
        <w:t xml:space="preserve"> </w:t>
      </w:r>
      <w:r w:rsidRPr="00882F11">
        <w:rPr>
          <w:rFonts w:cs="Guttman Drogolin" w:hint="cs"/>
          <w:rtl/>
          <w:lang w:bidi="he-IL"/>
        </w:rPr>
        <w:t>בישול</w:t>
      </w:r>
      <w:r w:rsidRPr="00882F11">
        <w:rPr>
          <w:rFonts w:cs="Guttman Drogolin"/>
          <w:rtl/>
          <w:lang w:bidi="he-IL"/>
        </w:rPr>
        <w:t xml:space="preserve"> </w:t>
      </w:r>
      <w:r w:rsidRPr="00882F11">
        <w:rPr>
          <w:rFonts w:cs="Guttman Drogolin" w:hint="cs"/>
          <w:rtl/>
          <w:lang w:bidi="he-IL"/>
        </w:rPr>
        <w:t>אסרה</w:t>
      </w:r>
      <w:r w:rsidRPr="00882F11">
        <w:rPr>
          <w:rFonts w:cs="Guttman Drogolin"/>
          <w:rtl/>
          <w:lang w:bidi="he-IL"/>
        </w:rPr>
        <w:t xml:space="preserve"> </w:t>
      </w:r>
      <w:r w:rsidRPr="00882F11">
        <w:rPr>
          <w:rFonts w:cs="Guttman Drogolin" w:hint="cs"/>
          <w:rtl/>
          <w:lang w:bidi="he-IL"/>
        </w:rPr>
        <w:t xml:space="preserve">תורה". הרי שכתבו שא' בטל בשני ומשמעת דלא כפירושו של הגרע"א בדעת הרא"ש. ואיכא למימר שיש מחלוקת ביניהם בתי' לקושיא זו. </w:t>
      </w:r>
      <w:r w:rsidR="009812FE" w:rsidRPr="00882F11">
        <w:rPr>
          <w:rFonts w:cs="Guttman Drogolin" w:hint="cs"/>
          <w:rtl/>
          <w:lang w:bidi="he-IL"/>
        </w:rPr>
        <w:t>ומ"מ נראה לפרש כוונתם בזה, דהנה לשיטת אביי במס' חולין דף ק"</w:t>
      </w:r>
      <w:r w:rsidR="00790696" w:rsidRPr="00882F11">
        <w:rPr>
          <w:rFonts w:cs="Guttman Drogolin" w:hint="cs"/>
          <w:rtl/>
          <w:lang w:bidi="he-IL"/>
        </w:rPr>
        <w:t>ח</w:t>
      </w:r>
      <w:r w:rsidR="009812FE" w:rsidRPr="00882F11">
        <w:rPr>
          <w:rFonts w:cs="Guttman Drogolin" w:hint="cs"/>
          <w:rtl/>
          <w:lang w:bidi="he-IL"/>
        </w:rPr>
        <w:t xml:space="preserve"> ע"א (עכ"פ לפי ההו"א) שהדין שצריכים טעם באיסור בב"ח </w:t>
      </w:r>
      <w:r w:rsidR="000C5D7B" w:rsidRPr="00882F11">
        <w:rPr>
          <w:rFonts w:cs="Guttman Drogolin" w:hint="cs"/>
          <w:rtl/>
          <w:lang w:bidi="he-IL"/>
        </w:rPr>
        <w:t xml:space="preserve">הוא כמו הדין בשאר איסורים דטכ"ע </w:t>
      </w:r>
      <w:r w:rsidR="0025771D" w:rsidRPr="00882F11">
        <w:rPr>
          <w:rFonts w:cs="Guttman Drogolin" w:hint="cs"/>
          <w:rtl/>
          <w:lang w:bidi="he-IL"/>
        </w:rPr>
        <w:t>דאורייתא, ולכן כתב שב</w:t>
      </w:r>
      <w:r w:rsidR="00790696" w:rsidRPr="00882F11">
        <w:rPr>
          <w:rFonts w:cs="Guttman Drogolin" w:hint="cs"/>
          <w:rtl/>
          <w:lang w:bidi="he-IL"/>
        </w:rPr>
        <w:t>ב</w:t>
      </w:r>
      <w:r w:rsidR="0025771D" w:rsidRPr="00882F11">
        <w:rPr>
          <w:rFonts w:cs="Guttman Drogolin" w:hint="cs"/>
          <w:rtl/>
          <w:lang w:bidi="he-IL"/>
        </w:rPr>
        <w:t>ב"ח באמת מוכח האי דינא דטכ</w:t>
      </w:r>
      <w:r w:rsidR="00790696" w:rsidRPr="00882F11">
        <w:rPr>
          <w:rFonts w:cs="Guttman Drogolin" w:hint="cs"/>
          <w:rtl/>
          <w:lang w:bidi="he-IL"/>
        </w:rPr>
        <w:t xml:space="preserve">"ע דאו'. וביאור הדבר דאע"ג שגם </w:t>
      </w:r>
      <w:r w:rsidR="0025771D" w:rsidRPr="00882F11">
        <w:rPr>
          <w:rFonts w:cs="Guttman Drogolin" w:hint="cs"/>
          <w:rtl/>
          <w:lang w:bidi="he-IL"/>
        </w:rPr>
        <w:t>א</w:t>
      </w:r>
      <w:r w:rsidR="00790696" w:rsidRPr="00882F11">
        <w:rPr>
          <w:rFonts w:cs="Guttman Drogolin" w:hint="cs"/>
          <w:rtl/>
          <w:lang w:bidi="he-IL"/>
        </w:rPr>
        <w:t>ב</w:t>
      </w:r>
      <w:r w:rsidR="0025771D" w:rsidRPr="00882F11">
        <w:rPr>
          <w:rFonts w:cs="Guttman Drogolin" w:hint="cs"/>
          <w:rtl/>
          <w:lang w:bidi="he-IL"/>
        </w:rPr>
        <w:t xml:space="preserve">יי ודאי מודה דליכא איסור בב"ח אא"כ בישלם ביחד תחילה, מ"מ אחרי שבישלם, כל הסובה דבעינן נתינת עם אינו אלא כדי שלא תתבטל החלב בבשר, ולכן כיון דחזינן </w:t>
      </w:r>
      <w:r w:rsidR="009C6940" w:rsidRPr="00882F11">
        <w:rPr>
          <w:rFonts w:cs="Guttman Drogolin" w:hint="cs"/>
          <w:rtl/>
          <w:lang w:bidi="he-IL"/>
        </w:rPr>
        <w:t>דסגי בטעם לעבור על איסור בבי"ח, ע"כ חזינן דטכ"ע דאורייתא. ולכן באמת הקשה רע"א שאין כאן דין מיוחד אליבא דאביי, מנלן אליבא דידי' שבב"ח שייך ביטול וכמו שהתקשו התוספות. ו</w:t>
      </w:r>
      <w:r w:rsidR="00664777">
        <w:rPr>
          <w:rFonts w:cs="Guttman Drogolin" w:hint="cs"/>
          <w:rtl/>
          <w:lang w:bidi="he-IL"/>
        </w:rPr>
        <w:t>ע</w:t>
      </w:r>
      <w:r w:rsidR="009C6940" w:rsidRPr="00882F11">
        <w:rPr>
          <w:rFonts w:cs="Guttman Drogolin" w:hint="cs"/>
          <w:rtl/>
          <w:lang w:bidi="he-IL"/>
        </w:rPr>
        <w:t>"ש מש"כ בזה. ומ"מ לרבא שבא</w:t>
      </w:r>
      <w:r w:rsidR="00790696" w:rsidRPr="00882F11">
        <w:rPr>
          <w:rFonts w:cs="Guttman Drogolin" w:hint="cs"/>
          <w:rtl/>
          <w:lang w:bidi="he-IL"/>
        </w:rPr>
        <w:t>מת סבר דחידוש הוא, ביאור הדבר דכ</w:t>
      </w:r>
      <w:r w:rsidR="009C6940" w:rsidRPr="00882F11">
        <w:rPr>
          <w:rFonts w:cs="Guttman Drogolin" w:hint="cs"/>
          <w:rtl/>
          <w:lang w:bidi="he-IL"/>
        </w:rPr>
        <w:t>אן חידשה תורה</w:t>
      </w:r>
      <w:r w:rsidR="00963195" w:rsidRPr="00882F11">
        <w:rPr>
          <w:rFonts w:cs="Guttman Drogolin" w:hint="cs"/>
          <w:rtl/>
          <w:lang w:bidi="he-IL"/>
        </w:rPr>
        <w:t xml:space="preserve"> שבב"ח טכ"ע דאורייתא, ובדאיכא טעם ליכא ביטול, אבל בדליכא טעם איכא ביטול ולא שייך לכלל דב' דברים המעורבים יחד ויוצרים איסור אינם מתבטלים א' בשני.</w:t>
      </w:r>
    </w:p>
    <w:p w:rsidR="00153F95" w:rsidRPr="00882F11" w:rsidRDefault="00664777" w:rsidP="005B791D">
      <w:pPr>
        <w:bidi/>
        <w:jc w:val="both"/>
        <w:rPr>
          <w:rFonts w:cs="Guttman Drogolin"/>
          <w:rtl/>
          <w:lang w:bidi="he-IL"/>
        </w:rPr>
      </w:pPr>
      <w:r>
        <w:rPr>
          <w:rFonts w:cs="Guttman Drogolin"/>
          <w:rtl/>
          <w:lang w:bidi="he-IL"/>
        </w:rPr>
        <w:fldChar w:fldCharType="begin"/>
      </w:r>
      <w:r>
        <w:instrText xml:space="preserve"> XE "</w:instrText>
      </w:r>
      <w:r w:rsidRPr="00EC376A">
        <w:rPr>
          <w:rFonts w:hint="cs"/>
          <w:rtl/>
          <w:lang w:bidi="he-IL"/>
        </w:rPr>
        <w:instrText>שעטנז</w:instrText>
      </w:r>
      <w:r w:rsidRPr="00EC376A">
        <w:rPr>
          <w:rtl/>
        </w:rPr>
        <w:instrText>:</w:instrText>
      </w:r>
      <w:r w:rsidRPr="00EC376A">
        <w:rPr>
          <w:rFonts w:hint="cs"/>
          <w:rtl/>
          <w:lang w:bidi="he-IL"/>
        </w:rPr>
        <w:instrText>החילוק בינה לבשר בחלב בדין ביטול ברוב</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5026E1">
        <w:rPr>
          <w:rFonts w:hint="cs"/>
          <w:rtl/>
          <w:lang w:bidi="he-IL"/>
        </w:rPr>
        <w:instrText>בשר בחלב</w:instrText>
      </w:r>
      <w:r w:rsidRPr="005026E1">
        <w:rPr>
          <w:rtl/>
        </w:rPr>
        <w:instrText>:</w:instrText>
      </w:r>
      <w:r w:rsidRPr="005026E1">
        <w:rPr>
          <w:rFonts w:hint="cs"/>
          <w:rtl/>
          <w:lang w:bidi="he-IL"/>
        </w:rPr>
        <w:instrText>החילוק בינה לשעטנז בדין ביטול ברוב</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58210A">
        <w:rPr>
          <w:rFonts w:hint="cs"/>
          <w:rtl/>
          <w:lang w:bidi="he-IL"/>
        </w:rPr>
        <w:instrText>ביטול ברוב</w:instrText>
      </w:r>
      <w:r w:rsidRPr="0058210A">
        <w:rPr>
          <w:rtl/>
        </w:rPr>
        <w:instrText>:</w:instrText>
      </w:r>
      <w:r w:rsidRPr="0058210A">
        <w:rPr>
          <w:rFonts w:hint="cs"/>
          <w:rtl/>
          <w:lang w:bidi="he-IL"/>
        </w:rPr>
        <w:instrText>החילוק בין בבב</w:instrText>
      </w:r>
      <w:r>
        <w:rPr>
          <w:rFonts w:eastAsiaTheme="minorEastAsia"/>
          <w:lang w:bidi="he-IL"/>
        </w:rPr>
        <w:instrText>\</w:instrText>
      </w:r>
      <w:r w:rsidRPr="0058210A">
        <w:rPr>
          <w:rFonts w:hint="cs"/>
          <w:rtl/>
          <w:lang w:bidi="he-IL"/>
        </w:rPr>
        <w:instrText>"ח לשעטנז בדינה</w:instrText>
      </w:r>
      <w:r>
        <w:instrText xml:space="preserve">" </w:instrText>
      </w:r>
      <w:r>
        <w:rPr>
          <w:rFonts w:cs="Guttman Drogolin"/>
          <w:rtl/>
          <w:lang w:bidi="he-IL"/>
        </w:rPr>
        <w:fldChar w:fldCharType="end"/>
      </w:r>
      <w:r w:rsidR="00790696" w:rsidRPr="00882F11">
        <w:rPr>
          <w:rFonts w:cs="Guttman Drogolin" w:hint="cs"/>
          <w:rtl/>
          <w:lang w:bidi="he-IL"/>
        </w:rPr>
        <w:t>וראיתי במשנת ר' אהרן למס' יבמות סי' ו' שדן ליישב קושיית התוס' באופן אחר. ונראה לבאר בהקדם דהנה בבב"ח איכא למ"ד דאחרי שהבשר אוסר את החלב או להיפך ד</w:t>
      </w:r>
      <w:r w:rsidR="00DC784B">
        <w:rPr>
          <w:rFonts w:cs="Guttman Drogolin" w:hint="cs"/>
          <w:rtl/>
          <w:lang w:bidi="he-IL"/>
        </w:rPr>
        <w:t>אפשר לסוחטו</w:t>
      </w:r>
      <w:r w:rsidR="00790696" w:rsidRPr="00882F11">
        <w:rPr>
          <w:rFonts w:cs="Guttman Drogolin" w:hint="cs"/>
          <w:rtl/>
          <w:lang w:bidi="he-IL"/>
        </w:rPr>
        <w:t xml:space="preserve"> אסור ולא יחזור הבשר להיתירו. ואין לנו מקור לזה מן הפסוק, רק דכן הוא מסברא אחרי שיש ב' דברים האוסרים זה את זה. וא"כ לכאורה יל"ע למה לא אמרו הכלל ד</w:t>
      </w:r>
      <w:r w:rsidR="00DC784B">
        <w:rPr>
          <w:rFonts w:cs="Guttman Drogolin" w:hint="cs"/>
          <w:rtl/>
          <w:lang w:bidi="he-IL"/>
        </w:rPr>
        <w:t>אפשר לסוחטו</w:t>
      </w:r>
      <w:r w:rsidR="00790696" w:rsidRPr="00882F11">
        <w:rPr>
          <w:rFonts w:cs="Guttman Drogolin" w:hint="cs"/>
          <w:rtl/>
          <w:lang w:bidi="he-IL"/>
        </w:rPr>
        <w:t xml:space="preserve"> </w:t>
      </w:r>
      <w:r w:rsidR="004B3792" w:rsidRPr="00882F11">
        <w:rPr>
          <w:rFonts w:cs="Guttman Drogolin" w:hint="cs"/>
          <w:rtl/>
          <w:lang w:bidi="he-IL"/>
        </w:rPr>
        <w:t xml:space="preserve">אסור </w:t>
      </w:r>
      <w:r w:rsidR="00790696" w:rsidRPr="00882F11">
        <w:rPr>
          <w:rFonts w:cs="Guttman Drogolin" w:hint="cs"/>
          <w:rtl/>
          <w:lang w:bidi="he-IL"/>
        </w:rPr>
        <w:t xml:space="preserve">גם בשעטנז, </w:t>
      </w:r>
      <w:r w:rsidR="00790696" w:rsidRPr="00882F11">
        <w:rPr>
          <w:rFonts w:cs="Guttman Drogolin" w:hint="cs"/>
          <w:rtl/>
          <w:lang w:bidi="he-IL"/>
        </w:rPr>
        <w:lastRenderedPageBreak/>
        <w:t xml:space="preserve">ואם עשו בגד ע"י צמר ופשתן יחדיו ושוב הסיר המינים א' מן השני שישארו באיסורם. ובאמת לשיטת התוס' שאפילו בבב"ח לא אמרינן </w:t>
      </w:r>
      <w:r w:rsidR="00DC784B">
        <w:rPr>
          <w:rFonts w:cs="Guttman Drogolin" w:hint="cs"/>
          <w:rtl/>
          <w:lang w:bidi="he-IL"/>
        </w:rPr>
        <w:t>אפשר לסוחטו</w:t>
      </w:r>
      <w:r w:rsidR="00790696" w:rsidRPr="00882F11">
        <w:rPr>
          <w:rFonts w:cs="Guttman Drogolin" w:hint="cs"/>
          <w:rtl/>
          <w:lang w:bidi="he-IL"/>
        </w:rPr>
        <w:t xml:space="preserve"> אסור אא"כ נשאר משהו מן הדבר האוסרו, ליכא כל קושיא, דהא כן הוא באמת הדין שאם יש משהו מן הצמר</w:t>
      </w:r>
      <w:r w:rsidR="00124572" w:rsidRPr="00882F11">
        <w:rPr>
          <w:rFonts w:cs="Guttman Drogolin" w:hint="cs"/>
          <w:rtl/>
          <w:lang w:bidi="he-IL"/>
        </w:rPr>
        <w:t xml:space="preserve"> בתוך הפשתן שהכל אסור. אבל הקושיא יהי' לשיטת הר"ן דסבר דאמרינן </w:t>
      </w:r>
      <w:r w:rsidR="00DC784B">
        <w:rPr>
          <w:rFonts w:cs="Guttman Drogolin" w:hint="cs"/>
          <w:rtl/>
          <w:lang w:bidi="he-IL"/>
        </w:rPr>
        <w:t>אפשר לסוחטו</w:t>
      </w:r>
      <w:r w:rsidR="00124572" w:rsidRPr="00882F11">
        <w:rPr>
          <w:rFonts w:cs="Guttman Drogolin" w:hint="cs"/>
          <w:rtl/>
          <w:lang w:bidi="he-IL"/>
        </w:rPr>
        <w:t xml:space="preserve"> אסור אפילו אם לא ישאר משהו מן הדבר אוסרו כלל, וכן לית לי' אין הנאסר אוסר וכו' כלל. ולדידי' </w:t>
      </w:r>
      <w:r w:rsidR="001D586D" w:rsidRPr="00882F11">
        <w:rPr>
          <w:rFonts w:cs="Guttman Drogolin" w:hint="cs"/>
          <w:rtl/>
          <w:lang w:bidi="he-IL"/>
        </w:rPr>
        <w:t xml:space="preserve">תיקשי דלמה לא אמרינן </w:t>
      </w:r>
      <w:r w:rsidR="00DC784B">
        <w:rPr>
          <w:rFonts w:cs="Guttman Drogolin" w:hint="cs"/>
          <w:rtl/>
          <w:lang w:bidi="he-IL"/>
        </w:rPr>
        <w:t>אפשר לסוחטו</w:t>
      </w:r>
      <w:r w:rsidR="001D586D" w:rsidRPr="00882F11">
        <w:rPr>
          <w:rFonts w:cs="Guttman Drogolin" w:hint="cs"/>
          <w:rtl/>
          <w:lang w:bidi="he-IL"/>
        </w:rPr>
        <w:t xml:space="preserve"> אסור גם בשעטנז כמו בבב"ח</w:t>
      </w:r>
      <w:r w:rsidR="004B3792" w:rsidRPr="00882F11">
        <w:rPr>
          <w:rStyle w:val="FootnoteReference"/>
          <w:rFonts w:cs="Guttman Drogolin"/>
          <w:rtl/>
          <w:lang w:bidi="he-IL"/>
        </w:rPr>
        <w:footnoteReference w:id="126"/>
      </w:r>
      <w:r w:rsidR="001D586D" w:rsidRPr="00882F11">
        <w:rPr>
          <w:rFonts w:cs="Guttman Drogolin" w:hint="cs"/>
          <w:rtl/>
          <w:lang w:bidi="he-IL"/>
        </w:rPr>
        <w:t xml:space="preserve">. והפשוט בזה </w:t>
      </w:r>
      <w:r w:rsidR="00153F95" w:rsidRPr="00882F11">
        <w:rPr>
          <w:rFonts w:cs="Guttman Drogolin" w:hint="cs"/>
          <w:rtl/>
          <w:lang w:bidi="he-IL"/>
        </w:rPr>
        <w:t>דלא הרי האיסור של שעטנז הרי הוא האיסור של בבב"ח. שבאיסור של בב"ח גדר האיסור שהחלב אוסר את הבשר וכן להיפך, אבל בשעטנז אין גדר הדין שאוסרים א' את השני, רק האיסור ללבוש ב</w:t>
      </w:r>
      <w:r w:rsidR="005B791D" w:rsidRPr="00882F11">
        <w:rPr>
          <w:rFonts w:cs="Guttman Drogolin" w:hint="cs"/>
          <w:rtl/>
          <w:lang w:bidi="he-IL"/>
        </w:rPr>
        <w:t xml:space="preserve">גד אם תערובת שניהם. ולכן רק באיסור כגון </w:t>
      </w:r>
      <w:r w:rsidR="00153F95" w:rsidRPr="00882F11">
        <w:rPr>
          <w:rFonts w:cs="Guttman Drogolin" w:hint="cs"/>
          <w:rtl/>
          <w:lang w:bidi="he-IL"/>
        </w:rPr>
        <w:t xml:space="preserve">בב"ח יש טעם לומר </w:t>
      </w:r>
      <w:r w:rsidR="00DC784B">
        <w:rPr>
          <w:rFonts w:cs="Guttman Drogolin" w:hint="cs"/>
          <w:rtl/>
          <w:lang w:bidi="he-IL"/>
        </w:rPr>
        <w:t>אפשר לסוחטו</w:t>
      </w:r>
      <w:r w:rsidR="00153F95" w:rsidRPr="00882F11">
        <w:rPr>
          <w:rFonts w:cs="Guttman Drogolin" w:hint="cs"/>
          <w:rtl/>
          <w:lang w:bidi="he-IL"/>
        </w:rPr>
        <w:t xml:space="preserve"> אסור, דכיון שיש דבר ש</w:t>
      </w:r>
      <w:r w:rsidR="005B791D" w:rsidRPr="00882F11">
        <w:rPr>
          <w:rFonts w:cs="Guttman Drogolin" w:hint="cs"/>
          <w:rtl/>
          <w:lang w:bidi="he-IL"/>
        </w:rPr>
        <w:t>נ</w:t>
      </w:r>
      <w:r w:rsidR="00153F95" w:rsidRPr="00882F11">
        <w:rPr>
          <w:rFonts w:cs="Guttman Drogolin" w:hint="cs"/>
          <w:rtl/>
          <w:lang w:bidi="he-IL"/>
        </w:rPr>
        <w:t>אסר לשעתו י"</w:t>
      </w:r>
      <w:r w:rsidR="005B791D" w:rsidRPr="00882F11">
        <w:rPr>
          <w:rFonts w:cs="Guttman Drogolin" w:hint="cs"/>
          <w:rtl/>
          <w:lang w:bidi="he-IL"/>
        </w:rPr>
        <w:t>ל</w:t>
      </w:r>
      <w:r w:rsidR="00153F95" w:rsidRPr="00882F11">
        <w:rPr>
          <w:rFonts w:cs="Guttman Drogolin" w:hint="cs"/>
          <w:rtl/>
          <w:lang w:bidi="he-IL"/>
        </w:rPr>
        <w:t xml:space="preserve"> שנשאר איסורו לעולם. אבל בשעטנז כיון דליכא דבר הנאסר</w:t>
      </w:r>
      <w:r w:rsidR="001D586D" w:rsidRPr="00882F11">
        <w:rPr>
          <w:rFonts w:cs="Guttman Drogolin" w:hint="cs"/>
          <w:rtl/>
          <w:lang w:bidi="he-IL"/>
        </w:rPr>
        <w:t xml:space="preserve"> </w:t>
      </w:r>
      <w:r w:rsidR="00153F95" w:rsidRPr="00882F11">
        <w:rPr>
          <w:rFonts w:cs="Guttman Drogolin" w:hint="cs"/>
          <w:rtl/>
          <w:lang w:bidi="he-IL"/>
        </w:rPr>
        <w:t xml:space="preserve">לא שייך גכלל לומר </w:t>
      </w:r>
      <w:r w:rsidR="00DC784B">
        <w:rPr>
          <w:rFonts w:cs="Guttman Drogolin" w:hint="cs"/>
          <w:rtl/>
          <w:lang w:bidi="he-IL"/>
        </w:rPr>
        <w:t>אפשר לסוחטו</w:t>
      </w:r>
      <w:r w:rsidR="00153F95" w:rsidRPr="00882F11">
        <w:rPr>
          <w:rFonts w:cs="Guttman Drogolin" w:hint="cs"/>
          <w:rtl/>
          <w:lang w:bidi="he-IL"/>
        </w:rPr>
        <w:t xml:space="preserve"> אסור.</w:t>
      </w:r>
    </w:p>
    <w:p w:rsidR="00CC1D4B" w:rsidRPr="00882F11" w:rsidRDefault="00153F95" w:rsidP="00414C46">
      <w:pPr>
        <w:bidi/>
        <w:jc w:val="both"/>
        <w:rPr>
          <w:rFonts w:cs="Guttman Drogolin"/>
          <w:rtl/>
          <w:lang w:bidi="he-IL"/>
        </w:rPr>
      </w:pPr>
      <w:r w:rsidRPr="00882F11">
        <w:rPr>
          <w:rFonts w:cs="Guttman Drogolin" w:hint="cs"/>
          <w:rtl/>
          <w:lang w:bidi="he-IL"/>
        </w:rPr>
        <w:t xml:space="preserve">והנה לכאורה הי' מקום לומר שהתוס' שסוברים </w:t>
      </w:r>
      <w:r w:rsidR="00414C46" w:rsidRPr="00882F11">
        <w:rPr>
          <w:rFonts w:cs="Guttman Drogolin" w:hint="cs"/>
          <w:rtl/>
          <w:lang w:bidi="he-IL"/>
        </w:rPr>
        <w:t>שגם בבב"ח אמרינן שאין הנאסר אוסר במקום שאין באיסור יכול להתפשט, שהם חולקים על החילוק הנ"ל וסוברים שגם בבב"ח גדר האיסור הוא אכילת שניהם ביחד ולא שא' אוסר את השני</w:t>
      </w:r>
      <w:bookmarkStart w:id="113" w:name="_Ref486326144"/>
      <w:r w:rsidR="0010115A" w:rsidRPr="00882F11">
        <w:rPr>
          <w:rStyle w:val="FootnoteReference"/>
          <w:rFonts w:cs="Guttman Drogolin"/>
          <w:rtl/>
          <w:lang w:bidi="he-IL"/>
        </w:rPr>
        <w:footnoteReference w:id="127"/>
      </w:r>
      <w:bookmarkEnd w:id="113"/>
      <w:r w:rsidR="00414C46" w:rsidRPr="00882F11">
        <w:rPr>
          <w:rFonts w:cs="Guttman Drogolin" w:hint="cs"/>
          <w:rtl/>
          <w:lang w:bidi="he-IL"/>
        </w:rPr>
        <w:t>. אבל נראה להביא ראי' מוכרחת דודאי ליכא מאן דסבר הכי</w:t>
      </w:r>
      <w:r w:rsidR="005875DC" w:rsidRPr="00882F11">
        <w:rPr>
          <w:rStyle w:val="FootnoteReference"/>
          <w:rFonts w:cs="Guttman Drogolin"/>
          <w:rtl/>
          <w:lang w:bidi="he-IL"/>
        </w:rPr>
        <w:footnoteReference w:id="128"/>
      </w:r>
      <w:r w:rsidR="00414C46" w:rsidRPr="00882F11">
        <w:rPr>
          <w:rFonts w:cs="Guttman Drogolin" w:hint="cs"/>
          <w:rtl/>
          <w:lang w:bidi="he-IL"/>
        </w:rPr>
        <w:t>. והוא מהא דס"ד בדף ק"ח ע"ב דבשר אסרה תורה ולא חלב. שבכגון שעטנז לכאורה לא שייך צדד כזה, דהא זהו כל האיסור ללבוש את שניהם ולא היינו אומרים שצמר אסרה תורה ולא פשתן</w:t>
      </w:r>
      <w:r w:rsidR="00CC1D4B" w:rsidRPr="00882F11">
        <w:rPr>
          <w:rFonts w:cs="Guttman Drogolin" w:hint="cs"/>
          <w:rtl/>
          <w:lang w:bidi="he-IL"/>
        </w:rPr>
        <w:t>, וע"כ חלוק האיסור של בב"ח מן האיסור של שעטנז וכמש"נ.</w:t>
      </w:r>
    </w:p>
    <w:p w:rsidR="00CC1D4B" w:rsidRPr="00882F11" w:rsidRDefault="00CC1D4B" w:rsidP="00664777">
      <w:pPr>
        <w:bidi/>
        <w:jc w:val="both"/>
        <w:rPr>
          <w:rFonts w:cs="Guttman Drogolin"/>
          <w:rtl/>
          <w:lang w:bidi="he-IL"/>
        </w:rPr>
      </w:pPr>
      <w:r w:rsidRPr="00882F11">
        <w:rPr>
          <w:rFonts w:cs="Guttman Drogolin" w:hint="cs"/>
          <w:rtl/>
          <w:lang w:bidi="he-IL"/>
        </w:rPr>
        <w:t>וראיתי בשו"ת חת"ס שהקשה בסתירה בדבר</w:t>
      </w:r>
      <w:r w:rsidR="00664777">
        <w:rPr>
          <w:rFonts w:cs="Guttman Drogolin" w:hint="cs"/>
          <w:rtl/>
          <w:lang w:bidi="he-IL"/>
        </w:rPr>
        <w:t>י</w:t>
      </w:r>
      <w:r w:rsidRPr="00882F11">
        <w:rPr>
          <w:rFonts w:cs="Guttman Drogolin" w:hint="cs"/>
          <w:rtl/>
          <w:lang w:bidi="he-IL"/>
        </w:rPr>
        <w:t xml:space="preserve"> הרשב"א. והוא שגם הרשב"א בשו"ת כתב להקשות ולתרץ ג"כ כדברי הראשונים הנ"ל. </w:t>
      </w:r>
      <w:r w:rsidRPr="00882F11">
        <w:rPr>
          <w:rFonts w:cs="Guttman Drogolin" w:hint="cs"/>
          <w:rtl/>
          <w:lang w:bidi="he-IL"/>
        </w:rPr>
        <w:lastRenderedPageBreak/>
        <w:t xml:space="preserve">ולכאורה לפי דברי הרשב"א בתוה"א אין הקושיא מתחילה, דהא עד כמה שאוכל את כל התערובת בבת אחת לא הקילו לומר אחרי רבים </w:t>
      </w:r>
      <w:r w:rsidR="005875DC" w:rsidRPr="00882F11">
        <w:rPr>
          <w:rFonts w:cs="Guttman Drogolin" w:hint="cs"/>
          <w:rtl/>
          <w:lang w:bidi="he-IL"/>
        </w:rPr>
        <w:t>להקשות, וא"כ מהו כל הקושי</w:t>
      </w:r>
      <w:r w:rsidRPr="00882F11">
        <w:rPr>
          <w:rFonts w:cs="Guttman Drogolin" w:hint="cs"/>
          <w:rtl/>
          <w:lang w:bidi="he-IL"/>
        </w:rPr>
        <w:t xml:space="preserve">א בכלאים. ולכאורה נראה לולא דברי החת"ס, שאין הנידון דומה לראי', דבשלמא בתערובת של היתר ואיסור, דבעצם לא איכפת לן באכילת ההיתר רק באכילת האיסור, אמרינן שאם אינו אוכל את הכל בבת אחת יש לתלות בכל אכילה ברוב, אבל כשאוכל הכל בבת אחת הא ודאי אוכל האיסור ואסור. אבל בשעטנז, לא איכפת לן בזה שודאי לובש צמר או ודאי לובש </w:t>
      </w:r>
      <w:r w:rsidR="002D5AB2" w:rsidRPr="00882F11">
        <w:rPr>
          <w:rFonts w:cs="Guttman Drogolin" w:hint="cs"/>
          <w:rtl/>
          <w:lang w:bidi="he-IL"/>
        </w:rPr>
        <w:t xml:space="preserve">פשתן, רק שיש איסור ללבוש הכל ביחד, וכיון שאין מקום לאסור אא"כ דנים על הכל ביחד, וכהכל ביחד הי' לנו לבטל ברוב, שפיר שייך קושיית התוס' גם לדעת הרשב"א. </w:t>
      </w:r>
      <w:r w:rsidRPr="00882F11">
        <w:rPr>
          <w:rFonts w:cs="Guttman Drogolin" w:hint="cs"/>
          <w:rtl/>
          <w:lang w:bidi="he-IL"/>
        </w:rPr>
        <w:t xml:space="preserve">   </w:t>
      </w:r>
    </w:p>
    <w:p w:rsidR="00D83ADA" w:rsidRPr="00882F11" w:rsidRDefault="00D83ADA" w:rsidP="004B3792">
      <w:pPr>
        <w:keepNext/>
        <w:bidi/>
        <w:spacing w:after="0"/>
        <w:jc w:val="both"/>
        <w:rPr>
          <w:rFonts w:ascii="Aharoni" w:hAnsi="Aharoni" w:cs="Guttman Drogolin"/>
          <w:sz w:val="32"/>
          <w:szCs w:val="32"/>
          <w:u w:val="single"/>
          <w:rtl/>
          <w:lang w:bidi="he-IL"/>
        </w:rPr>
      </w:pPr>
      <w:r w:rsidRPr="00882F11">
        <w:rPr>
          <w:rFonts w:ascii="Aharoni" w:hAnsi="Aharoni" w:cs="Guttman Drogolin"/>
          <w:sz w:val="32"/>
          <w:szCs w:val="32"/>
          <w:u w:val="single"/>
          <w:rtl/>
          <w:lang w:bidi="he-IL"/>
        </w:rPr>
        <w:t>מראה מקומות לסוגיא דבת תיהא</w:t>
      </w:r>
    </w:p>
    <w:p w:rsidR="00D83ADA" w:rsidRPr="00882F11" w:rsidRDefault="00D83ADA" w:rsidP="00D83ADA">
      <w:pPr>
        <w:bidi/>
        <w:spacing w:after="0" w:line="240" w:lineRule="auto"/>
        <w:jc w:val="both"/>
        <w:rPr>
          <w:rFonts w:ascii="Aharoni" w:hAnsi="Aharoni" w:cs="Guttman Drogolin"/>
          <w:sz w:val="28"/>
          <w:szCs w:val="28"/>
          <w:rtl/>
          <w:lang w:bidi="he-IL"/>
        </w:rPr>
      </w:pPr>
      <w:r w:rsidRPr="00882F11">
        <w:rPr>
          <w:rFonts w:ascii="Aharoni" w:hAnsi="Aharoni" w:cs="Guttman Drogolin"/>
          <w:sz w:val="28"/>
          <w:szCs w:val="28"/>
          <w:rtl/>
          <w:lang w:bidi="he-IL"/>
        </w:rPr>
        <w:t>פסחים דף ע"ו ע"א אמר רב עד ע"ו ע"ב מתני'</w:t>
      </w:r>
    </w:p>
    <w:p w:rsidR="00D83ADA" w:rsidRPr="00882F11" w:rsidRDefault="00D83ADA" w:rsidP="00D83ADA">
      <w:pPr>
        <w:bidi/>
        <w:jc w:val="both"/>
        <w:rPr>
          <w:rFonts w:ascii="Aharoni" w:hAnsi="Aharoni" w:cs="Guttman Drogolin"/>
          <w:sz w:val="28"/>
          <w:szCs w:val="28"/>
          <w:rtl/>
          <w:lang w:bidi="he-IL"/>
        </w:rPr>
        <w:sectPr w:rsidR="00D83ADA" w:rsidRPr="00882F11" w:rsidSect="00615FF2">
          <w:type w:val="continuous"/>
          <w:pgSz w:w="11907" w:h="16839" w:code="9"/>
          <w:pgMar w:top="1440" w:right="1440" w:bottom="1440" w:left="1440" w:header="720" w:footer="720" w:gutter="0"/>
          <w:cols w:num="2" w:space="720"/>
          <w:bidi/>
          <w:docGrid w:linePitch="360"/>
        </w:sectPr>
      </w:pPr>
      <w:r w:rsidRPr="00882F11">
        <w:rPr>
          <w:rFonts w:ascii="Aharoni" w:hAnsi="Aharoni" w:cs="Guttman Drogolin"/>
          <w:sz w:val="28"/>
          <w:szCs w:val="28"/>
          <w:rtl/>
          <w:lang w:bidi="he-IL"/>
        </w:rPr>
        <w:t xml:space="preserve">רי"ף ור"ן במס' חולין ל"א ע"ב (מדפי הרי"ף)"אמר רב בשר שוטה" עד ל"ב ע"ב "דסבירא לן כרב"      </w:t>
      </w:r>
    </w:p>
    <w:p w:rsidR="00901F49" w:rsidRPr="00882F11" w:rsidRDefault="00901F49" w:rsidP="00901F49">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כ</w:t>
      </w:r>
      <w:r w:rsidRPr="00882F11">
        <w:rPr>
          <w:rFonts w:cs="Guttman Drogolin" w:hint="cs"/>
          <w:b/>
          <w:bCs/>
          <w:sz w:val="48"/>
          <w:szCs w:val="48"/>
          <w:rtl/>
        </w:rPr>
        <w:t>"</w:t>
      </w:r>
      <w:r w:rsidRPr="00882F11">
        <w:rPr>
          <w:rFonts w:cs="Guttman Drogolin" w:hint="cs"/>
          <w:b/>
          <w:bCs/>
          <w:sz w:val="48"/>
          <w:szCs w:val="48"/>
          <w:rtl/>
          <w:lang w:bidi="he-IL"/>
        </w:rPr>
        <w:t>ט</w:t>
      </w:r>
    </w:p>
    <w:p w:rsidR="00615FF2" w:rsidRDefault="00615FF2" w:rsidP="00901F49">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sectPr w:rsidR="00615FF2" w:rsidSect="00615FF2">
          <w:headerReference w:type="default" r:id="rId27"/>
          <w:pgSz w:w="11907" w:h="16839" w:code="9"/>
          <w:pgMar w:top="1440" w:right="1440" w:bottom="1440" w:left="1440" w:header="720" w:footer="720" w:gutter="0"/>
          <w:cols w:space="720"/>
          <w:bidi/>
          <w:docGrid w:linePitch="360"/>
        </w:sectPr>
      </w:pPr>
    </w:p>
    <w:p w:rsidR="00901F49" w:rsidRPr="00882F11" w:rsidRDefault="009A1099" w:rsidP="00901F49">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14" w:name="_Toc496175373"/>
      <w:r w:rsidRPr="00882F11">
        <w:rPr>
          <w:rFonts w:asciiTheme="majorHAnsi" w:eastAsiaTheme="majorEastAsia" w:hAnsiTheme="majorHAnsi" w:cs="Guttman Drogolin" w:hint="cs"/>
          <w:b/>
          <w:bCs/>
          <w:sz w:val="24"/>
          <w:szCs w:val="24"/>
          <w:u w:val="single"/>
          <w:rtl/>
          <w:lang w:bidi="he-IL"/>
        </w:rPr>
        <w:lastRenderedPageBreak/>
        <w:t>נטל"פ באיסור משהו</w:t>
      </w:r>
      <w:bookmarkEnd w:id="114"/>
    </w:p>
    <w:p w:rsidR="0090708A" w:rsidRPr="00882F11" w:rsidRDefault="00664777" w:rsidP="00195F83">
      <w:pPr>
        <w:bidi/>
        <w:jc w:val="both"/>
        <w:rPr>
          <w:rFonts w:cs="Guttman Drogolin"/>
          <w:rtl/>
          <w:lang w:bidi="he-IL"/>
        </w:rPr>
      </w:pPr>
      <w:r>
        <w:rPr>
          <w:rFonts w:cs="Guttman Drogolin"/>
          <w:rtl/>
          <w:lang w:bidi="he-IL"/>
        </w:rPr>
        <w:fldChar w:fldCharType="begin"/>
      </w:r>
      <w:r>
        <w:instrText xml:space="preserve"> XE "</w:instrText>
      </w:r>
      <w:r w:rsidRPr="00E607E9">
        <w:rPr>
          <w:rFonts w:hint="cs"/>
          <w:rtl/>
          <w:lang w:bidi="he-IL"/>
        </w:rPr>
        <w:instrText>נותן טעם לפגם</w:instrText>
      </w:r>
      <w:r w:rsidRPr="00E607E9">
        <w:rPr>
          <w:rtl/>
        </w:rPr>
        <w:instrText>:</w:instrText>
      </w:r>
      <w:r w:rsidRPr="00E607E9">
        <w:rPr>
          <w:rFonts w:hint="cs"/>
          <w:rtl/>
          <w:lang w:bidi="he-IL"/>
        </w:rPr>
        <w:instrText>בדברים האוסרים במשהו</w:instrText>
      </w:r>
      <w:r>
        <w:instrText xml:space="preserve">" </w:instrText>
      </w:r>
      <w:r>
        <w:rPr>
          <w:rFonts w:cs="Guttman Drogolin"/>
          <w:rtl/>
          <w:lang w:bidi="he-IL"/>
        </w:rPr>
        <w:fldChar w:fldCharType="end"/>
      </w:r>
      <w:r w:rsidR="00195F83">
        <w:rPr>
          <w:rFonts w:cs="Guttman Drogolin"/>
          <w:rtl/>
          <w:lang w:bidi="he-IL"/>
        </w:rPr>
        <w:fldChar w:fldCharType="begin"/>
      </w:r>
      <w:r w:rsidR="00195F83">
        <w:instrText xml:space="preserve"> XE "</w:instrText>
      </w:r>
      <w:r w:rsidR="00195F83" w:rsidRPr="00DB69D7">
        <w:rPr>
          <w:rFonts w:hint="cs"/>
          <w:rtl/>
          <w:lang w:bidi="he-IL"/>
        </w:rPr>
        <w:instrText>נטל'פ</w:instrText>
      </w:r>
      <w:r w:rsidR="00195F83">
        <w:instrText>" \t "</w:instrText>
      </w:r>
      <w:r w:rsidR="00195F83" w:rsidRPr="00FB1BFA">
        <w:rPr>
          <w:rFonts w:cs="Times New Roman" w:hint="cs"/>
          <w:i/>
          <w:rtl/>
          <w:lang w:bidi="he-IL"/>
        </w:rPr>
        <w:instrText>ע</w:instrText>
      </w:r>
      <w:r w:rsidR="00195F83" w:rsidRPr="00FB1BFA">
        <w:rPr>
          <w:rFonts w:cstheme="minorHAnsi" w:hint="cs"/>
          <w:i/>
          <w:rtl/>
          <w:lang w:bidi="he-IL"/>
        </w:rPr>
        <w:instrText xml:space="preserve">' </w:instrText>
      </w:r>
      <w:r w:rsidR="00195F83" w:rsidRPr="00FB1BFA">
        <w:rPr>
          <w:rFonts w:cs="Times New Roman" w:hint="cs"/>
          <w:i/>
          <w:rtl/>
          <w:lang w:bidi="he-IL"/>
        </w:rPr>
        <w:instrText>נותן טעם לפגם</w:instrText>
      </w:r>
      <w:r w:rsidR="00195F83">
        <w:instrText xml:space="preserve">" </w:instrText>
      </w:r>
      <w:r w:rsidR="00195F83">
        <w:rPr>
          <w:rFonts w:cs="Guttman Drogolin"/>
          <w:rtl/>
          <w:lang w:bidi="he-IL"/>
        </w:rPr>
        <w:fldChar w:fldCharType="end"/>
      </w:r>
      <w:r w:rsidR="009A1099" w:rsidRPr="00882F11">
        <w:rPr>
          <w:rFonts w:cs="Guttman Drogolin" w:hint="cs"/>
          <w:rtl/>
          <w:lang w:bidi="he-IL"/>
        </w:rPr>
        <w:t>הגמ' בהמשך מביאה מחלוקת בין רב</w:t>
      </w:r>
      <w:r w:rsidR="0051063F" w:rsidRPr="00882F11">
        <w:rPr>
          <w:rFonts w:cs="Guttman Drogolin" w:hint="cs"/>
          <w:rtl/>
          <w:lang w:bidi="he-IL"/>
        </w:rPr>
        <w:t>א</w:t>
      </w:r>
      <w:r w:rsidR="009A1099" w:rsidRPr="00882F11">
        <w:rPr>
          <w:rFonts w:cs="Guttman Drogolin" w:hint="cs"/>
          <w:rtl/>
          <w:lang w:bidi="he-IL"/>
        </w:rPr>
        <w:t xml:space="preserve"> </w:t>
      </w:r>
      <w:r w:rsidR="0051063F" w:rsidRPr="00882F11">
        <w:rPr>
          <w:rFonts w:cs="Guttman Drogolin" w:hint="cs"/>
          <w:rtl/>
          <w:lang w:bidi="he-IL"/>
        </w:rPr>
        <w:t>אביי</w:t>
      </w:r>
      <w:r w:rsidR="009A1099" w:rsidRPr="00882F11">
        <w:rPr>
          <w:rFonts w:cs="Guttman Drogolin" w:hint="cs"/>
          <w:rtl/>
          <w:lang w:bidi="he-IL"/>
        </w:rPr>
        <w:t xml:space="preserve"> בדיני מין במינו או בשאינו מינו איך קובעים אם הוא מינו או אינו מינו, </w:t>
      </w:r>
      <w:r w:rsidR="0051063F" w:rsidRPr="00882F11">
        <w:rPr>
          <w:rFonts w:cs="Guttman Drogolin" w:hint="cs"/>
          <w:rtl/>
          <w:lang w:bidi="he-IL"/>
        </w:rPr>
        <w:t>דרבא</w:t>
      </w:r>
      <w:r w:rsidR="009A1099" w:rsidRPr="00882F11">
        <w:rPr>
          <w:rFonts w:cs="Guttman Drogolin" w:hint="cs"/>
          <w:rtl/>
          <w:lang w:bidi="he-IL"/>
        </w:rPr>
        <w:t xml:space="preserve"> סבר</w:t>
      </w:r>
      <w:r w:rsidR="0051063F" w:rsidRPr="00882F11">
        <w:rPr>
          <w:rFonts w:cs="Guttman Drogolin" w:hint="cs"/>
          <w:rtl/>
          <w:lang w:bidi="he-IL"/>
        </w:rPr>
        <w:t xml:space="preserve"> דאזלינן בתר שמו של המאכל, ולכן ב' מאכלים אע"ג שטעמם שונה כיון שיש להם אותו שם הוו מין במינו, וכן להיפך, שאם יש ב' מאכלים אע"ג שטעמם שונה מ"מ כיון שיש להם ב' שמות הוו מין בשאינו מינו. </w:t>
      </w:r>
      <w:r w:rsidR="00F64E14" w:rsidRPr="00882F11">
        <w:rPr>
          <w:rFonts w:cs="Guttman Drogolin" w:hint="cs"/>
          <w:rtl/>
          <w:lang w:bidi="he-IL"/>
        </w:rPr>
        <w:t>ואביי סבר שטעמם הוא הקובע, ולכן אם טעמם שוין הוו מין במינו, ואם אינם שוי</w:t>
      </w:r>
      <w:r w:rsidR="00570FF7" w:rsidRPr="00882F11">
        <w:rPr>
          <w:rFonts w:cs="Guttman Drogolin" w:hint="cs"/>
          <w:rtl/>
          <w:lang w:bidi="he-IL"/>
        </w:rPr>
        <w:t>ן הוו מין בא</w:t>
      </w:r>
      <w:r w:rsidR="00F64E14" w:rsidRPr="00882F11">
        <w:rPr>
          <w:rFonts w:cs="Guttman Drogolin" w:hint="cs"/>
          <w:rtl/>
          <w:lang w:bidi="he-IL"/>
        </w:rPr>
        <w:t xml:space="preserve">ינו מינו, בין הוו מאותו שם ובין מב' שמות. </w:t>
      </w:r>
      <w:r w:rsidR="0090708A" w:rsidRPr="00882F11">
        <w:rPr>
          <w:rFonts w:cs="Guttman Drogolin" w:hint="cs"/>
          <w:rtl/>
          <w:lang w:bidi="he-IL"/>
        </w:rPr>
        <w:t>ודבר זה נפק"מ לר' יהודה דסבר מין במינו לא בטל, וכן לרבנן יש בזה נפק"מ ביי"נ וטבל ודבר שיש לו מתירים, שבכולהו קיי"ל דאם הוו מין במינו אסורין במשהו, ואילו במין בשאינו מינו הדין הוא בנ"ט. ולשיטת הרמ"א יש בזה נפק"מ גם לענין הדין של טכ"ע, וכבר הבאנו שהש"ך תמה על זה וכן במה שביארו האחרונים בשיטת הרמ"א, ויתבאר עוד במחלוקת זו בסמוך.</w:t>
      </w:r>
    </w:p>
    <w:p w:rsidR="00D438D3" w:rsidRPr="00882F11" w:rsidRDefault="00CC382E" w:rsidP="00382D6D">
      <w:pPr>
        <w:bidi/>
        <w:jc w:val="both"/>
        <w:rPr>
          <w:rFonts w:cs="Guttman Drogolin"/>
          <w:rtl/>
          <w:lang w:bidi="he-IL"/>
        </w:rPr>
      </w:pPr>
      <w:r w:rsidRPr="00882F11">
        <w:rPr>
          <w:rFonts w:cs="Guttman Drogolin" w:hint="cs"/>
          <w:rtl/>
          <w:lang w:bidi="he-IL"/>
        </w:rPr>
        <w:t>ומעיקרא רצתה הגמ' להוכיח ממתני' דאזלינן בתר שם, שהרי מבואר במתני' ד"יין</w:t>
      </w:r>
      <w:r w:rsidRPr="00882F11">
        <w:rPr>
          <w:rFonts w:cs="Guttman Drogolin"/>
          <w:rtl/>
          <w:lang w:bidi="he-IL"/>
        </w:rPr>
        <w:t xml:space="preserve"> </w:t>
      </w:r>
      <w:r w:rsidRPr="00882F11">
        <w:rPr>
          <w:rFonts w:cs="Guttman Drogolin" w:hint="cs"/>
          <w:rtl/>
          <w:lang w:bidi="he-IL"/>
        </w:rPr>
        <w:t>נסך</w:t>
      </w:r>
      <w:r w:rsidRPr="00882F11">
        <w:rPr>
          <w:rFonts w:cs="Guttman Drogolin"/>
          <w:rtl/>
          <w:lang w:bidi="he-IL"/>
        </w:rPr>
        <w:t xml:space="preserve"> </w:t>
      </w:r>
      <w:r w:rsidRPr="00882F11">
        <w:rPr>
          <w:rFonts w:cs="Guttman Drogolin" w:hint="cs"/>
          <w:rtl/>
          <w:lang w:bidi="he-IL"/>
        </w:rPr>
        <w:t>שנפל</w:t>
      </w:r>
      <w:r w:rsidRPr="00882F11">
        <w:rPr>
          <w:rFonts w:cs="Guttman Drogolin"/>
          <w:rtl/>
          <w:lang w:bidi="he-IL"/>
        </w:rPr>
        <w:t xml:space="preserve"> </w:t>
      </w:r>
      <w:r w:rsidRPr="00882F11">
        <w:rPr>
          <w:rFonts w:cs="Guttman Drogolin" w:hint="cs"/>
          <w:rtl/>
          <w:lang w:bidi="he-IL"/>
        </w:rPr>
        <w:t>ע</w:t>
      </w:r>
      <w:r w:rsidR="00382D6D" w:rsidRPr="00882F11">
        <w:rPr>
          <w:rFonts w:cs="Guttman Drogolin" w:hint="cs"/>
          <w:rtl/>
          <w:lang w:bidi="he-IL"/>
        </w:rPr>
        <w:t>"</w:t>
      </w:r>
      <w:r w:rsidRPr="00882F11">
        <w:rPr>
          <w:rFonts w:cs="Guttman Drogolin" w:hint="cs"/>
          <w:rtl/>
          <w:lang w:bidi="he-IL"/>
        </w:rPr>
        <w:t>ג</w:t>
      </w:r>
      <w:r w:rsidRPr="00882F11">
        <w:rPr>
          <w:rFonts w:cs="Guttman Drogolin"/>
          <w:rtl/>
          <w:lang w:bidi="he-IL"/>
        </w:rPr>
        <w:t xml:space="preserve"> </w:t>
      </w:r>
      <w:r w:rsidRPr="00882F11">
        <w:rPr>
          <w:rFonts w:cs="Guttman Drogolin" w:hint="cs"/>
          <w:rtl/>
          <w:lang w:bidi="he-IL"/>
        </w:rPr>
        <w:t>ענבים</w:t>
      </w:r>
      <w:r w:rsidRPr="00882F11">
        <w:rPr>
          <w:rFonts w:cs="Guttman Drogolin"/>
          <w:rtl/>
          <w:lang w:bidi="he-IL"/>
        </w:rPr>
        <w:t xml:space="preserve"> </w:t>
      </w:r>
      <w:r w:rsidRPr="00882F11">
        <w:rPr>
          <w:rFonts w:cs="Guttman Drogolin" w:hint="cs"/>
          <w:rtl/>
          <w:lang w:bidi="he-IL"/>
        </w:rPr>
        <w:t>ידיחן</w:t>
      </w:r>
      <w:r w:rsidRPr="00882F11">
        <w:rPr>
          <w:rFonts w:cs="Guttman Drogolin"/>
          <w:rtl/>
          <w:lang w:bidi="he-IL"/>
        </w:rPr>
        <w:t xml:space="preserve"> </w:t>
      </w:r>
      <w:r w:rsidRPr="00882F11">
        <w:rPr>
          <w:rFonts w:cs="Guttman Drogolin" w:hint="cs"/>
          <w:rtl/>
          <w:lang w:bidi="he-IL"/>
        </w:rPr>
        <w:t>והן</w:t>
      </w:r>
      <w:r w:rsidRPr="00882F11">
        <w:rPr>
          <w:rFonts w:cs="Guttman Drogolin"/>
          <w:rtl/>
          <w:lang w:bidi="he-IL"/>
        </w:rPr>
        <w:t xml:space="preserve"> </w:t>
      </w:r>
      <w:r w:rsidRPr="00882F11">
        <w:rPr>
          <w:rFonts w:cs="Guttman Drogolin" w:hint="cs"/>
          <w:rtl/>
          <w:lang w:bidi="he-IL"/>
        </w:rPr>
        <w:t>מותרות</w:t>
      </w:r>
      <w:r w:rsidRPr="00882F11">
        <w:rPr>
          <w:rFonts w:cs="Guttman Drogolin"/>
          <w:rtl/>
          <w:lang w:bidi="he-IL"/>
        </w:rPr>
        <w:t xml:space="preserve"> </w:t>
      </w:r>
      <w:r w:rsidRPr="00882F11">
        <w:rPr>
          <w:rFonts w:cs="Guttman Drogolin" w:hint="cs"/>
          <w:rtl/>
          <w:lang w:bidi="he-IL"/>
        </w:rPr>
        <w:t>ואם</w:t>
      </w:r>
      <w:r w:rsidRPr="00882F11">
        <w:rPr>
          <w:rFonts w:cs="Guttman Drogolin"/>
          <w:rtl/>
          <w:lang w:bidi="he-IL"/>
        </w:rPr>
        <w:t xml:space="preserve"> </w:t>
      </w:r>
      <w:r w:rsidRPr="00882F11">
        <w:rPr>
          <w:rFonts w:cs="Guttman Drogolin" w:hint="cs"/>
          <w:rtl/>
          <w:lang w:bidi="he-IL"/>
        </w:rPr>
        <w:t>היו</w:t>
      </w:r>
      <w:r w:rsidRPr="00882F11">
        <w:rPr>
          <w:rFonts w:cs="Guttman Drogolin"/>
          <w:rtl/>
          <w:lang w:bidi="he-IL"/>
        </w:rPr>
        <w:t xml:space="preserve"> </w:t>
      </w:r>
      <w:r w:rsidRPr="00882F11">
        <w:rPr>
          <w:rFonts w:cs="Guttman Drogolin" w:hint="cs"/>
          <w:rtl/>
          <w:lang w:bidi="he-IL"/>
        </w:rPr>
        <w:t>מבוקעות</w:t>
      </w:r>
      <w:r w:rsidRPr="00882F11">
        <w:rPr>
          <w:rFonts w:cs="Guttman Drogolin"/>
          <w:rtl/>
          <w:lang w:bidi="he-IL"/>
        </w:rPr>
        <w:t xml:space="preserve"> </w:t>
      </w:r>
      <w:r w:rsidRPr="00882F11">
        <w:rPr>
          <w:rFonts w:cs="Guttman Drogolin" w:hint="cs"/>
          <w:rtl/>
          <w:lang w:bidi="he-IL"/>
        </w:rPr>
        <w:t>אסורות</w:t>
      </w:r>
      <w:r w:rsidR="00032E29" w:rsidRPr="00882F11">
        <w:rPr>
          <w:rFonts w:cs="Guttman Drogolin" w:hint="cs"/>
          <w:rtl/>
          <w:lang w:bidi="he-IL"/>
        </w:rPr>
        <w:t>". וס"ד דגמ' דמיירי בחמרא חדתי בעינבי שהם דברים מאותו טעם ושמות חלוקים, והגמ</w:t>
      </w:r>
      <w:r w:rsidRPr="00882F11">
        <w:rPr>
          <w:rFonts w:cs="Guttman Drogolin" w:hint="cs"/>
          <w:rtl/>
          <w:lang w:bidi="he-IL"/>
        </w:rPr>
        <w:t>' הבינה דע"כ האי איסור היינו אם נ"ט אבל לא במשהו. הטעם בזה מ</w:t>
      </w:r>
      <w:r w:rsidR="00032E29" w:rsidRPr="00882F11">
        <w:rPr>
          <w:rFonts w:cs="Guttman Drogolin" w:hint="cs"/>
          <w:rtl/>
          <w:lang w:bidi="he-IL"/>
        </w:rPr>
        <w:t>בואר בגמ' שהוא מכח הסיפא דמבואר שם "זה</w:t>
      </w:r>
      <w:r w:rsidR="00032E29" w:rsidRPr="00882F11">
        <w:rPr>
          <w:rFonts w:cs="Guttman Drogolin"/>
          <w:rtl/>
          <w:lang w:bidi="he-IL"/>
        </w:rPr>
        <w:t xml:space="preserve"> </w:t>
      </w:r>
      <w:r w:rsidR="00032E29" w:rsidRPr="00882F11">
        <w:rPr>
          <w:rFonts w:cs="Guttman Drogolin" w:hint="cs"/>
          <w:rtl/>
          <w:lang w:bidi="he-IL"/>
        </w:rPr>
        <w:t>הכלל</w:t>
      </w:r>
      <w:r w:rsidR="00032E29" w:rsidRPr="00882F11">
        <w:rPr>
          <w:rFonts w:cs="Guttman Drogolin"/>
          <w:rtl/>
          <w:lang w:bidi="he-IL"/>
        </w:rPr>
        <w:t xml:space="preserve"> </w:t>
      </w:r>
      <w:r w:rsidR="00032E29" w:rsidRPr="00882F11">
        <w:rPr>
          <w:rFonts w:cs="Guttman Drogolin" w:hint="cs"/>
          <w:rtl/>
          <w:lang w:bidi="he-IL"/>
        </w:rPr>
        <w:t>כל</w:t>
      </w:r>
      <w:r w:rsidR="00032E29" w:rsidRPr="00882F11">
        <w:rPr>
          <w:rFonts w:cs="Guttman Drogolin"/>
          <w:rtl/>
          <w:lang w:bidi="he-IL"/>
        </w:rPr>
        <w:t xml:space="preserve"> </w:t>
      </w:r>
      <w:r w:rsidR="00032E29" w:rsidRPr="00882F11">
        <w:rPr>
          <w:rFonts w:cs="Guttman Drogolin" w:hint="cs"/>
          <w:rtl/>
          <w:lang w:bidi="he-IL"/>
        </w:rPr>
        <w:t>שבהנאתו</w:t>
      </w:r>
      <w:r w:rsidR="00032E29" w:rsidRPr="00882F11">
        <w:rPr>
          <w:rFonts w:cs="Guttman Drogolin"/>
          <w:rtl/>
          <w:lang w:bidi="he-IL"/>
        </w:rPr>
        <w:t xml:space="preserve"> </w:t>
      </w:r>
      <w:r w:rsidR="00032E29" w:rsidRPr="00882F11">
        <w:rPr>
          <w:rFonts w:cs="Guttman Drogolin" w:hint="cs"/>
          <w:rtl/>
          <w:lang w:bidi="he-IL"/>
        </w:rPr>
        <w:t>בנותן</w:t>
      </w:r>
      <w:r w:rsidR="00032E29" w:rsidRPr="00882F11">
        <w:rPr>
          <w:rFonts w:cs="Guttman Drogolin"/>
          <w:rtl/>
          <w:lang w:bidi="he-IL"/>
        </w:rPr>
        <w:t xml:space="preserve"> </w:t>
      </w:r>
      <w:r w:rsidR="00032E29" w:rsidRPr="00882F11">
        <w:rPr>
          <w:rFonts w:cs="Guttman Drogolin" w:hint="cs"/>
          <w:rtl/>
          <w:lang w:bidi="he-IL"/>
        </w:rPr>
        <w:t>טעם</w:t>
      </w:r>
      <w:r w:rsidR="00032E29" w:rsidRPr="00882F11">
        <w:rPr>
          <w:rFonts w:cs="Guttman Drogolin"/>
          <w:rtl/>
          <w:lang w:bidi="he-IL"/>
        </w:rPr>
        <w:t xml:space="preserve"> </w:t>
      </w:r>
      <w:r w:rsidR="00032E29" w:rsidRPr="00882F11">
        <w:rPr>
          <w:rFonts w:cs="Guttman Drogolin" w:hint="cs"/>
          <w:rtl/>
          <w:lang w:bidi="he-IL"/>
        </w:rPr>
        <w:t>אסור</w:t>
      </w:r>
      <w:r w:rsidR="00032E29" w:rsidRPr="00882F11">
        <w:rPr>
          <w:rFonts w:cs="Guttman Drogolin"/>
          <w:rtl/>
          <w:lang w:bidi="he-IL"/>
        </w:rPr>
        <w:t xml:space="preserve"> </w:t>
      </w:r>
      <w:r w:rsidR="00032E29" w:rsidRPr="00882F11">
        <w:rPr>
          <w:rFonts w:cs="Guttman Drogolin" w:hint="cs"/>
          <w:rtl/>
          <w:lang w:bidi="he-IL"/>
        </w:rPr>
        <w:t>כל</w:t>
      </w:r>
      <w:r w:rsidR="00032E29" w:rsidRPr="00882F11">
        <w:rPr>
          <w:rFonts w:cs="Guttman Drogolin"/>
          <w:rtl/>
          <w:lang w:bidi="he-IL"/>
        </w:rPr>
        <w:t xml:space="preserve"> </w:t>
      </w:r>
      <w:r w:rsidR="00032E29" w:rsidRPr="00882F11">
        <w:rPr>
          <w:rFonts w:cs="Guttman Drogolin" w:hint="cs"/>
          <w:rtl/>
          <w:lang w:bidi="he-IL"/>
        </w:rPr>
        <w:t>שאין</w:t>
      </w:r>
      <w:r w:rsidR="00032E29" w:rsidRPr="00882F11">
        <w:rPr>
          <w:rFonts w:cs="Guttman Drogolin"/>
          <w:rtl/>
          <w:lang w:bidi="he-IL"/>
        </w:rPr>
        <w:t xml:space="preserve"> </w:t>
      </w:r>
      <w:r w:rsidR="00032E29" w:rsidRPr="00882F11">
        <w:rPr>
          <w:rFonts w:cs="Guttman Drogolin" w:hint="cs"/>
          <w:rtl/>
          <w:lang w:bidi="he-IL"/>
        </w:rPr>
        <w:t>בהנאתו</w:t>
      </w:r>
      <w:r w:rsidR="00032E29" w:rsidRPr="00882F11">
        <w:rPr>
          <w:rFonts w:cs="Guttman Drogolin"/>
          <w:rtl/>
          <w:lang w:bidi="he-IL"/>
        </w:rPr>
        <w:t xml:space="preserve"> </w:t>
      </w:r>
      <w:r w:rsidR="00032E29" w:rsidRPr="00882F11">
        <w:rPr>
          <w:rFonts w:cs="Guttman Drogolin" w:hint="cs"/>
          <w:rtl/>
          <w:lang w:bidi="he-IL"/>
        </w:rPr>
        <w:t>בנותן</w:t>
      </w:r>
      <w:r w:rsidR="00032E29" w:rsidRPr="00882F11">
        <w:rPr>
          <w:rFonts w:cs="Guttman Drogolin"/>
          <w:rtl/>
          <w:lang w:bidi="he-IL"/>
        </w:rPr>
        <w:t xml:space="preserve"> </w:t>
      </w:r>
      <w:r w:rsidR="00032E29" w:rsidRPr="00882F11">
        <w:rPr>
          <w:rFonts w:cs="Guttman Drogolin" w:hint="cs"/>
          <w:rtl/>
          <w:lang w:bidi="he-IL"/>
        </w:rPr>
        <w:t>טעם</w:t>
      </w:r>
      <w:r w:rsidR="00032E29" w:rsidRPr="00882F11">
        <w:rPr>
          <w:rFonts w:cs="Guttman Drogolin"/>
          <w:rtl/>
          <w:lang w:bidi="he-IL"/>
        </w:rPr>
        <w:t xml:space="preserve"> </w:t>
      </w:r>
      <w:r w:rsidR="00032E29" w:rsidRPr="00882F11">
        <w:rPr>
          <w:rFonts w:cs="Guttman Drogolin" w:hint="cs"/>
          <w:rtl/>
          <w:lang w:bidi="he-IL"/>
        </w:rPr>
        <w:t>מותר". ומכח הוכחה זו היתה הגמ' מוכרחת לומר לשיטת אביי דלא מיירי בחמרא חדתא רק בחמרא עתיקא שאינו אותו טעם של ענבים. ואינו מבואר בהדיא בגמ' למה יהא מוכח מסיפא זו מהו הביאור ב'אוסרות' דרישא. והתוס' בסוף דבריהם למדו דהואיל ובסיפא דנו בהיתר ע"פ נתינת טעם, לכאורה מבואר דבהכי איירי מתני'. ולכאורה יש להעיר לפי הפירוש הזה דא"כ למה הגמ' לא הביאה מן השורה דמיד בסמוך שכתוב בה "</w:t>
      </w:r>
      <w:r w:rsidRPr="00882F11">
        <w:rPr>
          <w:rFonts w:cs="Guttman Drogolin" w:hint="cs"/>
          <w:rtl/>
          <w:lang w:bidi="he-IL"/>
        </w:rPr>
        <w:t>נפל</w:t>
      </w:r>
      <w:r w:rsidRPr="00882F11">
        <w:rPr>
          <w:rFonts w:cs="Guttman Drogolin"/>
          <w:rtl/>
          <w:lang w:bidi="he-IL"/>
        </w:rPr>
        <w:t xml:space="preserve"> </w:t>
      </w:r>
      <w:r w:rsidRPr="00882F11">
        <w:rPr>
          <w:rFonts w:cs="Guttman Drogolin" w:hint="cs"/>
          <w:rtl/>
          <w:lang w:bidi="he-IL"/>
        </w:rPr>
        <w:lastRenderedPageBreak/>
        <w:t>ע</w:t>
      </w:r>
      <w:r w:rsidR="00382D6D" w:rsidRPr="00882F11">
        <w:rPr>
          <w:rFonts w:cs="Guttman Drogolin" w:hint="cs"/>
          <w:rtl/>
          <w:lang w:bidi="he-IL"/>
        </w:rPr>
        <w:t>"</w:t>
      </w:r>
      <w:r w:rsidRPr="00882F11">
        <w:rPr>
          <w:rFonts w:cs="Guttman Drogolin" w:hint="cs"/>
          <w:rtl/>
          <w:lang w:bidi="he-IL"/>
        </w:rPr>
        <w:t>ג</w:t>
      </w:r>
      <w:r w:rsidRPr="00882F11">
        <w:rPr>
          <w:rFonts w:cs="Guttman Drogolin"/>
          <w:rtl/>
          <w:lang w:bidi="he-IL"/>
        </w:rPr>
        <w:t xml:space="preserve"> </w:t>
      </w:r>
      <w:r w:rsidRPr="00882F11">
        <w:rPr>
          <w:rFonts w:cs="Guttman Drogolin" w:hint="cs"/>
          <w:rtl/>
          <w:lang w:bidi="he-IL"/>
        </w:rPr>
        <w:t>תאנים</w:t>
      </w:r>
      <w:r w:rsidRPr="00882F11">
        <w:rPr>
          <w:rFonts w:cs="Guttman Drogolin"/>
          <w:rtl/>
          <w:lang w:bidi="he-IL"/>
        </w:rPr>
        <w:t xml:space="preserve"> </w:t>
      </w:r>
      <w:r w:rsidRPr="00882F11">
        <w:rPr>
          <w:rFonts w:cs="Guttman Drogolin" w:hint="cs"/>
          <w:rtl/>
          <w:lang w:bidi="he-IL"/>
        </w:rPr>
        <w:t>או</w:t>
      </w:r>
      <w:r w:rsidRPr="00882F11">
        <w:rPr>
          <w:rFonts w:cs="Guttman Drogolin"/>
          <w:rtl/>
          <w:lang w:bidi="he-IL"/>
        </w:rPr>
        <w:t xml:space="preserve"> </w:t>
      </w:r>
      <w:r w:rsidRPr="00882F11">
        <w:rPr>
          <w:rFonts w:cs="Guttman Drogolin" w:hint="cs"/>
          <w:rtl/>
          <w:lang w:bidi="he-IL"/>
        </w:rPr>
        <w:t>על</w:t>
      </w:r>
      <w:r w:rsidRPr="00882F11">
        <w:rPr>
          <w:rFonts w:cs="Guttman Drogolin"/>
          <w:rtl/>
          <w:lang w:bidi="he-IL"/>
        </w:rPr>
        <w:t xml:space="preserve"> </w:t>
      </w:r>
      <w:r w:rsidRPr="00882F11">
        <w:rPr>
          <w:rFonts w:cs="Guttman Drogolin" w:hint="cs"/>
          <w:rtl/>
          <w:lang w:bidi="he-IL"/>
        </w:rPr>
        <w:t>גבי</w:t>
      </w:r>
      <w:r w:rsidRPr="00882F11">
        <w:rPr>
          <w:rFonts w:cs="Guttman Drogolin"/>
          <w:rtl/>
          <w:lang w:bidi="he-IL"/>
        </w:rPr>
        <w:t xml:space="preserve"> </w:t>
      </w:r>
      <w:r w:rsidRPr="00882F11">
        <w:rPr>
          <w:rFonts w:cs="Guttman Drogolin" w:hint="cs"/>
          <w:rtl/>
          <w:lang w:bidi="he-IL"/>
        </w:rPr>
        <w:t>תמרים</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יש</w:t>
      </w:r>
      <w:r w:rsidRPr="00882F11">
        <w:rPr>
          <w:rFonts w:cs="Guttman Drogolin"/>
          <w:rtl/>
          <w:lang w:bidi="he-IL"/>
        </w:rPr>
        <w:t xml:space="preserve"> </w:t>
      </w:r>
      <w:r w:rsidRPr="00882F11">
        <w:rPr>
          <w:rFonts w:cs="Guttman Drogolin" w:hint="cs"/>
          <w:rtl/>
          <w:lang w:bidi="he-IL"/>
        </w:rPr>
        <w:t>בהן</w:t>
      </w:r>
      <w:r w:rsidRPr="00882F11">
        <w:rPr>
          <w:rFonts w:cs="Guttman Drogolin"/>
          <w:rtl/>
          <w:lang w:bidi="he-IL"/>
        </w:rPr>
        <w:t xml:space="preserve"> </w:t>
      </w:r>
      <w:r w:rsidRPr="00882F11">
        <w:rPr>
          <w:rFonts w:cs="Guttman Drogolin" w:hint="cs"/>
          <w:rtl/>
          <w:lang w:bidi="he-IL"/>
        </w:rPr>
        <w:t>בנותן</w:t>
      </w:r>
      <w:r w:rsidRPr="00882F11">
        <w:rPr>
          <w:rFonts w:cs="Guttman Drogolin"/>
          <w:rtl/>
          <w:lang w:bidi="he-IL"/>
        </w:rPr>
        <w:t xml:space="preserve"> </w:t>
      </w:r>
      <w:r w:rsidRPr="00882F11">
        <w:rPr>
          <w:rFonts w:cs="Guttman Drogolin" w:hint="cs"/>
          <w:rtl/>
          <w:lang w:bidi="he-IL"/>
        </w:rPr>
        <w:t>טעם</w:t>
      </w:r>
      <w:r w:rsidRPr="00882F11">
        <w:rPr>
          <w:rFonts w:cs="Guttman Drogolin"/>
          <w:rtl/>
          <w:lang w:bidi="he-IL"/>
        </w:rPr>
        <w:t xml:space="preserve"> </w:t>
      </w:r>
      <w:r w:rsidRPr="00882F11">
        <w:rPr>
          <w:rFonts w:cs="Guttman Drogolin" w:hint="cs"/>
          <w:rtl/>
          <w:lang w:bidi="he-IL"/>
        </w:rPr>
        <w:t>אסור</w:t>
      </w:r>
      <w:r w:rsidR="00032E29" w:rsidRPr="00882F11">
        <w:rPr>
          <w:rFonts w:cs="Guttman Drogolin" w:hint="cs"/>
          <w:rtl/>
          <w:lang w:bidi="he-IL"/>
        </w:rPr>
        <w:t>", ואע"ג דתוס' לעיל נטו לומר דלא גרסינן לי', מ"מ הביאו שיש מי שגרס כן</w:t>
      </w:r>
      <w:r w:rsidR="00D438D3" w:rsidRPr="00882F11">
        <w:rPr>
          <w:rFonts w:cs="Guttman Drogolin" w:hint="cs"/>
          <w:rtl/>
          <w:lang w:bidi="he-IL"/>
        </w:rPr>
        <w:t xml:space="preserve"> ולא דחו גירסא זו מכח קושיא זו. ומ"מ התוס' בתחילת דבריהם הביאו פי' אחר לגמ', והוא דהואיל והסיק המתני' שיש להתיר אם אין בהנאתו בנ"ט, ור"ל שהמתני' התיר כשהוא נטל"פ, ע"כ אין לומר שהאיסור דמתני' מיירי אפילו בדליכא נ"ט, דא"כ לא היינו מתירים נטל"פ. והיינו ששיטת הי"מ בתוס' דהנהו אסורים שאוסרים בכל שהוא, אין בהם ההיתר של נטל"פ.</w:t>
      </w:r>
    </w:p>
    <w:p w:rsidR="002A61CD" w:rsidRPr="00882F11" w:rsidRDefault="00D438D3" w:rsidP="002A61CD">
      <w:pPr>
        <w:bidi/>
        <w:jc w:val="both"/>
        <w:rPr>
          <w:rFonts w:cs="Guttman Drogolin"/>
          <w:rtl/>
          <w:lang w:bidi="he-IL"/>
        </w:rPr>
      </w:pPr>
      <w:r w:rsidRPr="00882F11">
        <w:rPr>
          <w:rFonts w:cs="Guttman Drogolin" w:hint="cs"/>
          <w:rtl/>
          <w:lang w:bidi="he-IL"/>
        </w:rPr>
        <w:t xml:space="preserve">ויל"ע מהו הביאור בזה, דמה ענין נטל"פ אצל איסור משהו. </w:t>
      </w:r>
      <w:r w:rsidR="009E17AF">
        <w:rPr>
          <w:rFonts w:cs="Guttman Drogolin"/>
          <w:rtl/>
          <w:lang w:bidi="he-IL"/>
        </w:rPr>
        <w:fldChar w:fldCharType="begin"/>
      </w:r>
      <w:r w:rsidR="009E17AF">
        <w:instrText xml:space="preserve"> XE "</w:instrText>
      </w:r>
      <w:r w:rsidR="009E17AF" w:rsidRPr="009B57D1">
        <w:rPr>
          <w:rFonts w:hint="cs"/>
          <w:rtl/>
          <w:lang w:bidi="he-IL"/>
        </w:rPr>
        <w:instrText>נותן טעם לפגם</w:instrText>
      </w:r>
      <w:r w:rsidR="009E17AF" w:rsidRPr="009B57D1">
        <w:rPr>
          <w:rtl/>
        </w:rPr>
        <w:instrText>:</w:instrText>
      </w:r>
      <w:r w:rsidR="009E17AF" w:rsidRPr="009B57D1">
        <w:rPr>
          <w:rFonts w:hint="cs"/>
          <w:rtl/>
          <w:lang w:bidi="he-IL"/>
        </w:rPr>
        <w:instrText>מחלוקת רשב</w:instrText>
      </w:r>
      <w:r w:rsidR="009E17AF">
        <w:rPr>
          <w:rFonts w:eastAsiaTheme="minorEastAsia"/>
          <w:lang w:bidi="he-IL"/>
        </w:rPr>
        <w:instrText>\</w:instrText>
      </w:r>
      <w:r w:rsidR="009E17AF" w:rsidRPr="009B57D1">
        <w:rPr>
          <w:rFonts w:hint="cs"/>
          <w:rtl/>
          <w:lang w:bidi="he-IL"/>
        </w:rPr>
        <w:instrText>"א ור</w:instrText>
      </w:r>
      <w:r w:rsidR="009E17AF">
        <w:rPr>
          <w:rFonts w:eastAsiaTheme="minorEastAsia"/>
          <w:lang w:bidi="he-IL"/>
        </w:rPr>
        <w:instrText>\</w:instrText>
      </w:r>
      <w:r w:rsidR="009E17AF" w:rsidRPr="009B57D1">
        <w:rPr>
          <w:rFonts w:hint="cs"/>
          <w:rtl/>
          <w:lang w:bidi="he-IL"/>
        </w:rPr>
        <w:instrText>"ן בטעם ההיתר</w:instrText>
      </w:r>
      <w:r w:rsidR="009E17AF">
        <w:instrText xml:space="preserve">" </w:instrText>
      </w:r>
      <w:r w:rsidR="009E17AF">
        <w:rPr>
          <w:rFonts w:cs="Guttman Drogolin"/>
          <w:rtl/>
          <w:lang w:bidi="he-IL"/>
        </w:rPr>
        <w:fldChar w:fldCharType="end"/>
      </w:r>
      <w:r w:rsidRPr="00882F11">
        <w:rPr>
          <w:rFonts w:cs="Guttman Drogolin" w:hint="cs"/>
          <w:rtl/>
          <w:lang w:bidi="he-IL"/>
        </w:rPr>
        <w:t xml:space="preserve">ולכאורה הי' אפשר לומר שהוא תלוי במחלוקת המפורסמת בין הרשב"א לר"ן בדינא דנטל"פ. שהרי חוץ ממה שהתירה תורה מאכל שאינו ראוי לאכילה כיון שאינה ראוי' לגר, התורה התירה נמי איסור שנפל לתוך היתר בכה"ג שלא השביח את התערובת, אע"ג שהוא עדיין ראוי לאכילה. והקשו הראשונים דלמה יהא כה"ג מותר. והרשב"א כתב שהדין של נטל"פ הוא לומר דלא אמרינן הדין של טכ"ע, </w:t>
      </w:r>
      <w:r w:rsidR="00055BBF" w:rsidRPr="00882F11">
        <w:rPr>
          <w:rFonts w:cs="Guttman Drogolin" w:hint="cs"/>
          <w:rtl/>
          <w:lang w:bidi="he-IL"/>
        </w:rPr>
        <w:t xml:space="preserve">שהחידוש של טכ"ע נאמר רק בטעם לשבח, ולא בטעם לפגם. </w:t>
      </w:r>
      <w:r w:rsidR="002A61CD" w:rsidRPr="00882F11">
        <w:rPr>
          <w:rFonts w:cs="Guttman Drogolin" w:hint="cs"/>
          <w:rtl/>
          <w:lang w:bidi="he-IL"/>
        </w:rPr>
        <w:t>ולכן נהי נמי שהוא עדיין ראוי לאכילה, מ"מ אי אפשר לאסור מדין הטעם, דהא הוי נטל"פ, וכן אי אפשר לאסור כיון שמ"מ יש פה מאכלות אסורות, דהא יש רוב ההיתר ואמרינן שהאיסור מתבטל ברוב. ולפי ביאור זה לכאורה נראה שבדברים שאסורים במשהו ליתי' להיתירא דנטל"פ, דהא בכל נטל"פ בעינן לי' להיתירא דרוב, ובאיסור משהו נאמרה ההלכה דלא אמרינן הכלל של ביטול ברוב.</w:t>
      </w:r>
    </w:p>
    <w:p w:rsidR="005413C2" w:rsidRPr="00882F11" w:rsidRDefault="002A61CD" w:rsidP="002A61CD">
      <w:pPr>
        <w:bidi/>
        <w:jc w:val="both"/>
        <w:rPr>
          <w:rFonts w:cs="Guttman Drogolin"/>
          <w:rtl/>
          <w:lang w:bidi="he-IL"/>
        </w:rPr>
      </w:pPr>
      <w:r w:rsidRPr="00882F11">
        <w:rPr>
          <w:rFonts w:cs="Guttman Drogolin" w:hint="cs"/>
          <w:rtl/>
          <w:lang w:bidi="he-IL"/>
        </w:rPr>
        <w:t>והר"ן פי' טעם ההיתר של נטל"פ בענין אחר. והוא שלא נאסר דברים האוסרים משום טעם אא"כ הוא משובח יותר ע"י תוספת המאכל. ולכן בדבר שהוא נטל"פ</w:t>
      </w:r>
      <w:r w:rsidR="00385919" w:rsidRPr="00882F11">
        <w:rPr>
          <w:rFonts w:cs="Guttman Drogolin" w:hint="cs"/>
          <w:rtl/>
          <w:lang w:bidi="he-IL"/>
        </w:rPr>
        <w:t xml:space="preserve">, כיון שאינו נהנה מן התוספת מותר. ואם הי' נהנה ממנו מטעם אחר, וכגון שיש ריבוי בכמות התבשיל ע"י האיסור, הי' המאכל אוסר אע"פ שהוא נטל"פ, דאע"ג שאינו נהנה מן </w:t>
      </w:r>
      <w:r w:rsidR="00385919" w:rsidRPr="00882F11">
        <w:rPr>
          <w:rFonts w:cs="Guttman Drogolin" w:hint="cs"/>
          <w:rtl/>
          <w:lang w:bidi="he-IL"/>
        </w:rPr>
        <w:lastRenderedPageBreak/>
        <w:t xml:space="preserve">הטעם הא נהנה מן הריבוי. ונקטו רע"א ועדו כמה ראשונים לפי דעתו, שאם באמת אינו נהנה מן המאכל של איסור כלל לא בטעם ולא בכמות ולא בשום דבר, הי' המאכל מותר אע"פ שיש רוב איסור. </w:t>
      </w:r>
      <w:r w:rsidR="005413C2" w:rsidRPr="00882F11">
        <w:rPr>
          <w:rFonts w:cs="Guttman Drogolin" w:hint="cs"/>
          <w:rtl/>
          <w:lang w:bidi="he-IL"/>
        </w:rPr>
        <w:t>ולדידי' לכאורה נראה שאם המאכל נטל"פ והיינו שאינו מרויח מתוספת האיסור הי' הדין נותן שאינו אסור אפילו בדברים האוסרים במשהו, דהא אין ההיתר אליבא דידי' תלוי בדין ביטול ברוב.</w:t>
      </w:r>
    </w:p>
    <w:p w:rsidR="00246BC2" w:rsidRPr="00882F11" w:rsidRDefault="005413C2" w:rsidP="005413C2">
      <w:pPr>
        <w:bidi/>
        <w:jc w:val="both"/>
        <w:rPr>
          <w:rFonts w:cs="Guttman Drogolin"/>
          <w:rtl/>
          <w:lang w:bidi="he-IL"/>
        </w:rPr>
      </w:pPr>
      <w:r w:rsidRPr="00882F11">
        <w:rPr>
          <w:rFonts w:cs="Guttman Drogolin" w:hint="cs"/>
          <w:rtl/>
          <w:lang w:bidi="he-IL"/>
        </w:rPr>
        <w:t>ומזה יש לבא ולבאר</w:t>
      </w:r>
      <w:r w:rsidR="00385919" w:rsidRPr="00882F11">
        <w:rPr>
          <w:rFonts w:cs="Guttman Drogolin" w:hint="cs"/>
          <w:rtl/>
          <w:lang w:bidi="he-IL"/>
        </w:rPr>
        <w:t xml:space="preserve"> </w:t>
      </w:r>
      <w:r w:rsidRPr="00882F11">
        <w:rPr>
          <w:rFonts w:cs="Guttman Drogolin" w:hint="cs"/>
          <w:rtl/>
          <w:lang w:bidi="he-IL"/>
        </w:rPr>
        <w:t xml:space="preserve">מש"כ התוס' בזה. </w:t>
      </w:r>
      <w:r w:rsidR="00E54E64" w:rsidRPr="00882F11">
        <w:rPr>
          <w:rFonts w:cs="Guttman Drogolin" w:hint="cs"/>
          <w:rtl/>
          <w:lang w:bidi="he-IL"/>
        </w:rPr>
        <w:t xml:space="preserve">והי' נראה מדברי רע"א בגליון הש"ס שלמד </w:t>
      </w:r>
      <w:r w:rsidR="00210E0A" w:rsidRPr="00882F11">
        <w:rPr>
          <w:rFonts w:cs="Guttman Drogolin" w:hint="cs"/>
          <w:rtl/>
          <w:lang w:bidi="he-IL"/>
        </w:rPr>
        <w:t>שאם יש איסור נטל"פ בדברים האוסרים במשהו היינו מן הסברא דמשהו מיהא איכא וע"ד מה שביארנו לפי הרשב"א הנ"ל. אלא שהעיר רע"א דהרי משמעות דברי התוס' שבאמת הי' צ"ל הדין שאם יש איסור משהו בדבר האוסר אפילו במין בשאינו מינו שנטל"פ אוסר</w:t>
      </w:r>
      <w:r w:rsidR="00246BC2" w:rsidRPr="00882F11">
        <w:rPr>
          <w:rFonts w:cs="Guttman Drogolin" w:hint="cs"/>
          <w:rtl/>
          <w:lang w:bidi="he-IL"/>
        </w:rPr>
        <w:t>, שהרי כתבו הטעם שאין נטל"פ אוסר בחמץ אע"ג שאוסר במין בשאינו מינו משום שעיקר האיסור במין במינו, ולא גזרו במין בשאינו מינו אלא אטו מין במינו</w:t>
      </w:r>
      <w:r w:rsidR="00210E0A" w:rsidRPr="00882F11">
        <w:rPr>
          <w:rFonts w:cs="Guttman Drogolin" w:hint="cs"/>
          <w:rtl/>
          <w:lang w:bidi="he-IL"/>
        </w:rPr>
        <w:t>. ותמה בזה רע"א דלמה יהא הדין כן. ואע"ג שכתבו התוס' מקודם "</w:t>
      </w:r>
      <w:r w:rsidR="00246BC2" w:rsidRPr="00882F11">
        <w:rPr>
          <w:rFonts w:cs="Guttman Drogolin" w:hint="cs"/>
          <w:rtl/>
          <w:lang w:bidi="he-IL"/>
        </w:rPr>
        <w:t>ועוד</w:t>
      </w:r>
      <w:r w:rsidR="00246BC2" w:rsidRPr="00882F11">
        <w:rPr>
          <w:rFonts w:cs="Guttman Drogolin"/>
          <w:rtl/>
          <w:lang w:bidi="he-IL"/>
        </w:rPr>
        <w:t xml:space="preserve"> </w:t>
      </w:r>
      <w:r w:rsidR="00246BC2" w:rsidRPr="00882F11">
        <w:rPr>
          <w:rFonts w:cs="Guttman Drogolin" w:hint="cs"/>
          <w:rtl/>
          <w:lang w:bidi="he-IL"/>
        </w:rPr>
        <w:t>דמשהו</w:t>
      </w:r>
      <w:r w:rsidR="00246BC2" w:rsidRPr="00882F11">
        <w:rPr>
          <w:rFonts w:cs="Guttman Drogolin"/>
          <w:rtl/>
          <w:lang w:bidi="he-IL"/>
        </w:rPr>
        <w:t xml:space="preserve"> </w:t>
      </w:r>
      <w:r w:rsidR="00246BC2" w:rsidRPr="00882F11">
        <w:rPr>
          <w:rFonts w:cs="Guttman Drogolin" w:hint="cs"/>
          <w:rtl/>
          <w:lang w:bidi="he-IL"/>
        </w:rPr>
        <w:t>מין</w:t>
      </w:r>
      <w:r w:rsidR="00246BC2" w:rsidRPr="00882F11">
        <w:rPr>
          <w:rFonts w:cs="Guttman Drogolin"/>
          <w:rtl/>
          <w:lang w:bidi="he-IL"/>
        </w:rPr>
        <w:t xml:space="preserve"> </w:t>
      </w:r>
      <w:r w:rsidR="00246BC2" w:rsidRPr="00882F11">
        <w:rPr>
          <w:rFonts w:cs="Guttman Drogolin" w:hint="cs"/>
          <w:rtl/>
          <w:lang w:bidi="he-IL"/>
        </w:rPr>
        <w:t>במינו</w:t>
      </w:r>
      <w:r w:rsidR="00246BC2" w:rsidRPr="00882F11">
        <w:rPr>
          <w:rFonts w:cs="Guttman Drogolin"/>
          <w:rtl/>
          <w:lang w:bidi="he-IL"/>
        </w:rPr>
        <w:t xml:space="preserve"> </w:t>
      </w:r>
      <w:r w:rsidR="00246BC2" w:rsidRPr="00882F11">
        <w:rPr>
          <w:rFonts w:cs="Guttman Drogolin" w:hint="cs"/>
          <w:rtl/>
          <w:lang w:bidi="he-IL"/>
        </w:rPr>
        <w:t>אין</w:t>
      </w:r>
      <w:r w:rsidR="00246BC2" w:rsidRPr="00882F11">
        <w:rPr>
          <w:rFonts w:cs="Guttman Drogolin"/>
          <w:rtl/>
          <w:lang w:bidi="he-IL"/>
        </w:rPr>
        <w:t xml:space="preserve"> </w:t>
      </w:r>
      <w:r w:rsidR="00246BC2" w:rsidRPr="00882F11">
        <w:rPr>
          <w:rFonts w:cs="Guttman Drogolin" w:hint="cs"/>
          <w:rtl/>
          <w:lang w:bidi="he-IL"/>
        </w:rPr>
        <w:t>הטעם</w:t>
      </w:r>
      <w:r w:rsidR="00246BC2" w:rsidRPr="00882F11">
        <w:rPr>
          <w:rFonts w:cs="Guttman Drogolin"/>
          <w:rtl/>
          <w:lang w:bidi="he-IL"/>
        </w:rPr>
        <w:t xml:space="preserve"> </w:t>
      </w:r>
      <w:r w:rsidR="00246BC2" w:rsidRPr="00882F11">
        <w:rPr>
          <w:rFonts w:cs="Guttman Drogolin" w:hint="cs"/>
          <w:rtl/>
          <w:lang w:bidi="he-IL"/>
        </w:rPr>
        <w:t>בטל</w:t>
      </w:r>
      <w:r w:rsidR="00246BC2" w:rsidRPr="00882F11">
        <w:rPr>
          <w:rFonts w:cs="Guttman Drogolin"/>
          <w:rtl/>
          <w:lang w:bidi="he-IL"/>
        </w:rPr>
        <w:t xml:space="preserve"> </w:t>
      </w:r>
      <w:r w:rsidR="00246BC2" w:rsidRPr="00882F11">
        <w:rPr>
          <w:rFonts w:cs="Guttman Drogolin" w:hint="cs"/>
          <w:rtl/>
          <w:lang w:bidi="he-IL"/>
        </w:rPr>
        <w:t>כלל</w:t>
      </w:r>
      <w:r w:rsidR="00246BC2" w:rsidRPr="00882F11">
        <w:rPr>
          <w:rFonts w:cs="Guttman Drogolin"/>
          <w:rtl/>
          <w:lang w:bidi="he-IL"/>
        </w:rPr>
        <w:t xml:space="preserve"> </w:t>
      </w:r>
      <w:r w:rsidR="00246BC2" w:rsidRPr="00882F11">
        <w:rPr>
          <w:rFonts w:cs="Guttman Drogolin" w:hint="cs"/>
          <w:rtl/>
          <w:lang w:bidi="he-IL"/>
        </w:rPr>
        <w:t>אפילו</w:t>
      </w:r>
      <w:r w:rsidR="00246BC2" w:rsidRPr="00882F11">
        <w:rPr>
          <w:rFonts w:cs="Guttman Drogolin"/>
          <w:rtl/>
          <w:lang w:bidi="he-IL"/>
        </w:rPr>
        <w:t xml:space="preserve"> </w:t>
      </w:r>
      <w:r w:rsidR="00246BC2" w:rsidRPr="00882F11">
        <w:rPr>
          <w:rFonts w:cs="Guttman Drogolin" w:hint="cs"/>
          <w:rtl/>
          <w:lang w:bidi="he-IL"/>
        </w:rPr>
        <w:t>באלף</w:t>
      </w:r>
      <w:r w:rsidR="00246BC2" w:rsidRPr="00882F11">
        <w:rPr>
          <w:rFonts w:cs="Guttman Drogolin"/>
          <w:rtl/>
          <w:lang w:bidi="he-IL"/>
        </w:rPr>
        <w:t xml:space="preserve"> </w:t>
      </w:r>
      <w:r w:rsidR="00246BC2" w:rsidRPr="00882F11">
        <w:rPr>
          <w:rFonts w:cs="Guttman Drogolin" w:hint="cs"/>
          <w:rtl/>
          <w:lang w:bidi="he-IL"/>
        </w:rPr>
        <w:t>כיון</w:t>
      </w:r>
      <w:r w:rsidR="00246BC2" w:rsidRPr="00882F11">
        <w:rPr>
          <w:rFonts w:cs="Guttman Drogolin"/>
          <w:rtl/>
          <w:lang w:bidi="he-IL"/>
        </w:rPr>
        <w:t xml:space="preserve"> </w:t>
      </w:r>
      <w:r w:rsidR="00246BC2" w:rsidRPr="00882F11">
        <w:rPr>
          <w:rFonts w:cs="Guttman Drogolin" w:hint="cs"/>
          <w:rtl/>
          <w:lang w:bidi="he-IL"/>
        </w:rPr>
        <w:t>שהטעם</w:t>
      </w:r>
      <w:r w:rsidR="00246BC2" w:rsidRPr="00882F11">
        <w:rPr>
          <w:rFonts w:cs="Guttman Drogolin"/>
          <w:rtl/>
          <w:lang w:bidi="he-IL"/>
        </w:rPr>
        <w:t xml:space="preserve"> </w:t>
      </w:r>
      <w:r w:rsidR="00246BC2" w:rsidRPr="00882F11">
        <w:rPr>
          <w:rFonts w:cs="Guttman Drogolin" w:hint="cs"/>
          <w:rtl/>
          <w:lang w:bidi="he-IL"/>
        </w:rPr>
        <w:t>שוה</w:t>
      </w:r>
      <w:r w:rsidR="00246BC2" w:rsidRPr="00882F11">
        <w:rPr>
          <w:rFonts w:cs="Guttman Drogolin"/>
          <w:rtl/>
          <w:lang w:bidi="he-IL"/>
        </w:rPr>
        <w:t xml:space="preserve"> </w:t>
      </w:r>
      <w:r w:rsidR="00246BC2" w:rsidRPr="00882F11">
        <w:rPr>
          <w:rFonts w:cs="Guttman Drogolin" w:hint="cs"/>
          <w:rtl/>
          <w:lang w:bidi="he-IL"/>
        </w:rPr>
        <w:t>אבל</w:t>
      </w:r>
      <w:r w:rsidR="00246BC2" w:rsidRPr="00882F11">
        <w:rPr>
          <w:rFonts w:cs="Guttman Drogolin"/>
          <w:rtl/>
          <w:lang w:bidi="he-IL"/>
        </w:rPr>
        <w:t xml:space="preserve"> </w:t>
      </w:r>
      <w:r w:rsidR="00246BC2" w:rsidRPr="00882F11">
        <w:rPr>
          <w:rFonts w:cs="Guttman Drogolin" w:hint="cs"/>
          <w:rtl/>
          <w:lang w:bidi="he-IL"/>
        </w:rPr>
        <w:t>לפגם</w:t>
      </w:r>
      <w:r w:rsidR="00246BC2" w:rsidRPr="00882F11">
        <w:rPr>
          <w:rFonts w:cs="Guttman Drogolin"/>
          <w:rtl/>
          <w:lang w:bidi="he-IL"/>
        </w:rPr>
        <w:t xml:space="preserve"> </w:t>
      </w:r>
      <w:r w:rsidR="00246BC2" w:rsidRPr="00882F11">
        <w:rPr>
          <w:rFonts w:cs="Guttman Drogolin" w:hint="cs"/>
          <w:rtl/>
          <w:lang w:bidi="he-IL"/>
        </w:rPr>
        <w:t>הטעם</w:t>
      </w:r>
      <w:r w:rsidR="00246BC2" w:rsidRPr="00882F11">
        <w:rPr>
          <w:rFonts w:cs="Guttman Drogolin"/>
          <w:rtl/>
          <w:lang w:bidi="he-IL"/>
        </w:rPr>
        <w:t xml:space="preserve"> </w:t>
      </w:r>
      <w:r w:rsidR="00246BC2" w:rsidRPr="00882F11">
        <w:rPr>
          <w:rFonts w:cs="Guttman Drogolin" w:hint="cs"/>
          <w:rtl/>
          <w:lang w:bidi="he-IL"/>
        </w:rPr>
        <w:t>בטל", ביאר רע"א שלכאורה כוונתם אליבא דאביי דסבר שקובעים מינו ואינו מינו ע"פ טעם, ולכן סוברים דכיון שא' הוא לפגם וא' הוא לשבח הוו מין בשאינו מינו. אבל הקשה רע"א דלרבא (וסוגיא דמס' פסחים הוא דברי רבא) שאין המין קבוע ע"פ הטעם, למה יהא נטל"פ מותר במין במינו ולא בשאינו מינו. ורע"א נשאר בקושיא.</w:t>
      </w:r>
    </w:p>
    <w:p w:rsidR="00CD4F93" w:rsidRPr="00882F11" w:rsidRDefault="00246BC2" w:rsidP="00E75624">
      <w:pPr>
        <w:bidi/>
        <w:jc w:val="both"/>
        <w:rPr>
          <w:rFonts w:cs="Guttman Drogolin"/>
          <w:rtl/>
          <w:lang w:bidi="he-IL"/>
        </w:rPr>
      </w:pPr>
      <w:r w:rsidRPr="00882F11">
        <w:rPr>
          <w:rFonts w:cs="Guttman Drogolin" w:hint="cs"/>
          <w:rtl/>
          <w:lang w:bidi="he-IL"/>
        </w:rPr>
        <w:t>ולכאורה לולא דברי רע"א</w:t>
      </w:r>
      <w:r w:rsidR="007615DD" w:rsidRPr="00882F11">
        <w:rPr>
          <w:rStyle w:val="FootnoteReference"/>
          <w:rFonts w:cs="Guttman Drogolin"/>
          <w:rtl/>
          <w:lang w:bidi="he-IL"/>
        </w:rPr>
        <w:footnoteReference w:id="129"/>
      </w:r>
      <w:r w:rsidR="00B926E7" w:rsidRPr="00882F11">
        <w:rPr>
          <w:rFonts w:cs="Guttman Drogolin" w:hint="cs"/>
          <w:rtl/>
          <w:lang w:bidi="he-IL"/>
        </w:rPr>
        <w:t xml:space="preserve"> הי' אפשר לבאר דברי התוס' באופן אחר. והוא דהנה לשון התוס' ב</w:t>
      </w:r>
      <w:r w:rsidR="00BC6D87" w:rsidRPr="00882F11">
        <w:rPr>
          <w:rFonts w:cs="Guttman Drogolin" w:hint="cs"/>
          <w:rtl/>
          <w:lang w:bidi="he-IL"/>
        </w:rPr>
        <w:t xml:space="preserve">ביאור </w:t>
      </w:r>
      <w:r w:rsidR="00B926E7" w:rsidRPr="00882F11">
        <w:rPr>
          <w:rFonts w:cs="Guttman Drogolin" w:hint="cs"/>
          <w:rtl/>
          <w:lang w:bidi="he-IL"/>
        </w:rPr>
        <w:t xml:space="preserve">שיטת הי"מ </w:t>
      </w:r>
      <w:r w:rsidR="00BC6D87" w:rsidRPr="00882F11">
        <w:rPr>
          <w:rFonts w:cs="Guttman Drogolin" w:hint="cs"/>
          <w:rtl/>
          <w:lang w:bidi="he-IL"/>
        </w:rPr>
        <w:t xml:space="preserve">דנטל"פ אסור בדברים האוסרים במשהו </w:t>
      </w:r>
      <w:r w:rsidR="00B926E7" w:rsidRPr="00882F11">
        <w:rPr>
          <w:rFonts w:cs="Guttman Drogolin" w:hint="cs"/>
          <w:rtl/>
          <w:lang w:bidi="he-IL"/>
        </w:rPr>
        <w:t>הוא "</w:t>
      </w:r>
      <w:r w:rsidR="00BC6D87" w:rsidRPr="00882F11">
        <w:rPr>
          <w:rFonts w:cs="Guttman Drogolin" w:hint="cs"/>
          <w:rtl/>
          <w:lang w:bidi="he-IL"/>
        </w:rPr>
        <w:t>דהא</w:t>
      </w:r>
      <w:r w:rsidR="00BC6D87" w:rsidRPr="00882F11">
        <w:rPr>
          <w:rFonts w:cs="Guttman Drogolin"/>
          <w:rtl/>
          <w:lang w:bidi="he-IL"/>
        </w:rPr>
        <w:t xml:space="preserve"> </w:t>
      </w:r>
      <w:r w:rsidR="00BC6D87" w:rsidRPr="00882F11">
        <w:rPr>
          <w:rFonts w:cs="Guttman Drogolin" w:hint="cs"/>
          <w:rtl/>
          <w:lang w:bidi="he-IL"/>
        </w:rPr>
        <w:t>אין</w:t>
      </w:r>
      <w:r w:rsidR="00BC6D87" w:rsidRPr="00882F11">
        <w:rPr>
          <w:rFonts w:cs="Guttman Drogolin"/>
          <w:rtl/>
          <w:lang w:bidi="he-IL"/>
        </w:rPr>
        <w:t xml:space="preserve"> </w:t>
      </w:r>
      <w:r w:rsidR="00BC6D87" w:rsidRPr="00882F11">
        <w:rPr>
          <w:rFonts w:cs="Guttman Drogolin" w:hint="cs"/>
          <w:rtl/>
          <w:lang w:bidi="he-IL"/>
        </w:rPr>
        <w:t>לך</w:t>
      </w:r>
      <w:r w:rsidR="00BC6D87" w:rsidRPr="00882F11">
        <w:rPr>
          <w:rFonts w:cs="Guttman Drogolin"/>
          <w:rtl/>
          <w:lang w:bidi="he-IL"/>
        </w:rPr>
        <w:t xml:space="preserve"> </w:t>
      </w:r>
      <w:r w:rsidR="00BC6D87" w:rsidRPr="00882F11">
        <w:rPr>
          <w:rFonts w:cs="Guttman Drogolin" w:hint="cs"/>
          <w:rtl/>
          <w:lang w:bidi="he-IL"/>
        </w:rPr>
        <w:t>טעם</w:t>
      </w:r>
      <w:r w:rsidR="00BC6D87" w:rsidRPr="00882F11">
        <w:rPr>
          <w:rFonts w:cs="Guttman Drogolin"/>
          <w:rtl/>
          <w:lang w:bidi="he-IL"/>
        </w:rPr>
        <w:t xml:space="preserve"> </w:t>
      </w:r>
      <w:r w:rsidR="00BC6D87" w:rsidRPr="00882F11">
        <w:rPr>
          <w:rFonts w:cs="Guttman Drogolin" w:hint="cs"/>
          <w:rtl/>
          <w:lang w:bidi="he-IL"/>
        </w:rPr>
        <w:t>בטל</w:t>
      </w:r>
      <w:r w:rsidR="00BC6D87" w:rsidRPr="00882F11">
        <w:rPr>
          <w:rFonts w:cs="Guttman Drogolin"/>
          <w:rtl/>
          <w:lang w:bidi="he-IL"/>
        </w:rPr>
        <w:t xml:space="preserve"> </w:t>
      </w:r>
      <w:r w:rsidR="00BC6D87" w:rsidRPr="00882F11">
        <w:rPr>
          <w:rFonts w:cs="Guttman Drogolin" w:hint="cs"/>
          <w:rtl/>
          <w:lang w:bidi="he-IL"/>
        </w:rPr>
        <w:t>יותר</w:t>
      </w:r>
      <w:r w:rsidR="00BC6D87" w:rsidRPr="00882F11">
        <w:rPr>
          <w:rFonts w:cs="Guttman Drogolin"/>
          <w:rtl/>
          <w:lang w:bidi="he-IL"/>
        </w:rPr>
        <w:t xml:space="preserve"> </w:t>
      </w:r>
      <w:r w:rsidR="00BC6D87" w:rsidRPr="00882F11">
        <w:rPr>
          <w:rFonts w:cs="Guttman Drogolin" w:hint="cs"/>
          <w:rtl/>
          <w:lang w:bidi="he-IL"/>
        </w:rPr>
        <w:t>ממשהו</w:t>
      </w:r>
      <w:r w:rsidR="00BC6D87" w:rsidRPr="00882F11">
        <w:rPr>
          <w:rFonts w:cs="Guttman Drogolin"/>
          <w:rtl/>
          <w:lang w:bidi="he-IL"/>
        </w:rPr>
        <w:t xml:space="preserve"> </w:t>
      </w:r>
      <w:r w:rsidR="00BC6D87" w:rsidRPr="00882F11">
        <w:rPr>
          <w:rFonts w:cs="Guttman Drogolin" w:hint="cs"/>
          <w:rtl/>
          <w:lang w:bidi="he-IL"/>
        </w:rPr>
        <w:t>באלף</w:t>
      </w:r>
      <w:r w:rsidR="00BC6D87" w:rsidRPr="00882F11">
        <w:rPr>
          <w:rFonts w:cs="Guttman Drogolin"/>
          <w:rtl/>
          <w:lang w:bidi="he-IL"/>
        </w:rPr>
        <w:t xml:space="preserve"> </w:t>
      </w:r>
      <w:r w:rsidR="00BC6D87" w:rsidRPr="00882F11">
        <w:rPr>
          <w:rFonts w:cs="Guttman Drogolin" w:hint="cs"/>
          <w:rtl/>
          <w:lang w:bidi="he-IL"/>
        </w:rPr>
        <w:t>ה"ה</w:t>
      </w:r>
      <w:r w:rsidR="00BC6D87" w:rsidRPr="00882F11">
        <w:rPr>
          <w:rFonts w:cs="Guttman Drogolin"/>
          <w:rtl/>
          <w:lang w:bidi="he-IL"/>
        </w:rPr>
        <w:t xml:space="preserve"> </w:t>
      </w:r>
      <w:r w:rsidR="00BC6D87" w:rsidRPr="00882F11">
        <w:rPr>
          <w:rFonts w:cs="Guttman Drogolin" w:hint="cs"/>
          <w:rtl/>
          <w:lang w:bidi="he-IL"/>
        </w:rPr>
        <w:t>נותן</w:t>
      </w:r>
      <w:r w:rsidR="00BC6D87" w:rsidRPr="00882F11">
        <w:rPr>
          <w:rFonts w:cs="Guttman Drogolin"/>
          <w:rtl/>
          <w:lang w:bidi="he-IL"/>
        </w:rPr>
        <w:t xml:space="preserve"> </w:t>
      </w:r>
      <w:r w:rsidR="00BC6D87" w:rsidRPr="00882F11">
        <w:rPr>
          <w:rFonts w:cs="Guttman Drogolin" w:hint="cs"/>
          <w:rtl/>
          <w:lang w:bidi="he-IL"/>
        </w:rPr>
        <w:t>טעם</w:t>
      </w:r>
      <w:r w:rsidR="00BC6D87" w:rsidRPr="00882F11">
        <w:rPr>
          <w:rFonts w:cs="Guttman Drogolin"/>
          <w:rtl/>
          <w:lang w:bidi="he-IL"/>
        </w:rPr>
        <w:t xml:space="preserve"> </w:t>
      </w:r>
      <w:r w:rsidR="00BC6D87" w:rsidRPr="00882F11">
        <w:rPr>
          <w:rFonts w:cs="Guttman Drogolin" w:hint="cs"/>
          <w:rtl/>
          <w:lang w:bidi="he-IL"/>
        </w:rPr>
        <w:t xml:space="preserve">לפגם". והי' נלעוק"ד לבאר דבריהם דסברי דנטל"פ הוי דבר המתיר את האיסור, ועל דרך שביארנו לעיל לשיטת הר"ן. ומבארים התוס' שמ"מ אילו הי' </w:t>
      </w:r>
      <w:r w:rsidR="00BC6D87" w:rsidRPr="00882F11">
        <w:rPr>
          <w:rFonts w:cs="Guttman Drogolin" w:hint="cs"/>
          <w:rtl/>
          <w:lang w:bidi="he-IL"/>
        </w:rPr>
        <w:lastRenderedPageBreak/>
        <w:t xml:space="preserve">הדין שנטל"פ מותר בדבר האוסר במשהו לא הי' שייך לאסור במשהו, דהא אין לך טעם בטל יותר ממשהו, וא"כ גם בטעם משהו שייך ההיתר של נטל"פ. ולכן הוכיחו התוס' דע"כ בכלל החומרא של משהו הוא להחמיר אפילו אם נטל"פ. והתוס' חלקו על זה משום דסברי שבמין במינו אין זה חשוב טעם בטל כיון שטעמם שוה. ונראה הביאור בדבריהם, שאמנם במין בשאינו מינו אם יש רק א' באלף, יש כאן טעם בטל, דהא כשאוכל את התערובת אינו מרגיש את טעם האיסור שאינו מינו. אבל </w:t>
      </w:r>
      <w:r w:rsidR="003D0AB0" w:rsidRPr="00882F11">
        <w:rPr>
          <w:rFonts w:cs="Guttman Drogolin" w:hint="cs"/>
          <w:rtl/>
          <w:lang w:bidi="he-IL"/>
        </w:rPr>
        <w:t xml:space="preserve">במין במינו אין זה נכון, דהא הטעם שהוא טועם הוא אותו טעם של טעם האיסור, ואין סיבה לומר שאותו א' מאלף אינו מה שמרגיש יותר משאר הא' באלף של היתר שיש באלף של היתר. ומשו"ה סוברים התוס' שאין ראי' ממין במינו שאסרו נטל"פ, דהא מין במינו אינו טעם בטל וכמש"נ. אבל לפי זה סוברים התוס' </w:t>
      </w:r>
      <w:r w:rsidR="00E75624" w:rsidRPr="00882F11">
        <w:rPr>
          <w:rFonts w:cs="Guttman Drogolin" w:hint="cs"/>
          <w:rtl/>
          <w:lang w:bidi="he-IL"/>
        </w:rPr>
        <w:t xml:space="preserve">שאילו הי' הדין שיש איסור משהו אפילו במין בשאינו מינו, הא מין בשאינו מינו באלף הוי שפיר טעם בטל, ולכן שפיר מוכח דנטל"פ אסור. ומשו"ה נתקשו התוס' בחמץ בפסח דכיון שאסרו משהו אפילו במין בשאינו מינו הרי מוכח שנטל"פ אסור. ולכן כתבו התוס' בנ"ל דכיון שאין נטל"פ אסור אלא אטו מין במינו, כיון שבמין במינו לא הי' הכרח לומר שנטל"פ אסור, לא החמירו גם במין בשאינו מינו. ולפי הנ"ל ע"כ כוונתם בזה, שאמנם מין בשאינו מינו הוי טעם בטל, מ"מ גזרו בה אטו מין במינו, אבל טעם שהוא פגום מטעם אחר לא גזרו בה. ולפי הביאור הזה לכאורה הי' יוצא שלדידן דלא קיי"ל כר' יהודה, וכרוב ראשונים שלא אליבא דרש"י, ומ"מ קיי"ל דמשהו אוסר במין בשאינו בפסח, שהדין הוא שאפילו לשיטת התוס' בסוף דבריהם הי' נטל"פ אסור. </w:t>
      </w:r>
    </w:p>
    <w:p w:rsidR="00CE732F" w:rsidRPr="00882F11" w:rsidRDefault="00CD4F93" w:rsidP="00CE732F">
      <w:pPr>
        <w:bidi/>
        <w:jc w:val="both"/>
        <w:rPr>
          <w:rFonts w:cs="Guttman Drogolin"/>
          <w:rtl/>
          <w:lang w:bidi="he-IL"/>
        </w:rPr>
      </w:pPr>
      <w:r w:rsidRPr="00882F11">
        <w:rPr>
          <w:rFonts w:cs="Guttman Drogolin" w:hint="cs"/>
          <w:rtl/>
          <w:lang w:bidi="he-IL"/>
        </w:rPr>
        <w:t xml:space="preserve">וע' ברא"ש שכתב באופן אחר קצת מן התוס'. </w:t>
      </w:r>
      <w:r w:rsidR="0049667F" w:rsidRPr="00882F11">
        <w:rPr>
          <w:rFonts w:cs="Guttman Drogolin" w:hint="cs"/>
          <w:rtl/>
          <w:lang w:bidi="he-IL"/>
        </w:rPr>
        <w:t xml:space="preserve">שהרא"ש כתב עוד דחי' לשיטת הי"מ וז"ל "ולא נהירא דנהי דהחמירה בהן תורה לאוסרם במשהו מ"מ יש שם איסור עליהן, אבל כשהוא פגום פקע איסורו כדילפינן מנבילה". וע"ש דלית לי' סוף דברי התוס' לענין חמץ בפסח. ונראה הביאור </w:t>
      </w:r>
      <w:r w:rsidR="0049667F" w:rsidRPr="00882F11">
        <w:rPr>
          <w:rFonts w:cs="Guttman Drogolin" w:hint="cs"/>
          <w:rtl/>
          <w:lang w:bidi="he-IL"/>
        </w:rPr>
        <w:lastRenderedPageBreak/>
        <w:t xml:space="preserve">בדבריו, </w:t>
      </w:r>
      <w:r w:rsidR="00CE732F" w:rsidRPr="00882F11">
        <w:rPr>
          <w:rFonts w:cs="Guttman Drogolin" w:hint="cs"/>
          <w:rtl/>
          <w:lang w:bidi="he-IL"/>
        </w:rPr>
        <w:t xml:space="preserve">שאפילו בנטל"פ יש חילוק בין נטל"פ לא' מתוך אלף. והוא שבא' מתוך אלף הרי האלף יש לו טעם משובח לעצמו, רק שאינו ניכר טעמו בתערובת. ולכן החמירו בה בא' באלף. אבל נטל"פ הוא פגום לעצמו, ולכן י"ל שעדיין לא החמירו בו. </w:t>
      </w:r>
    </w:p>
    <w:p w:rsidR="00574E9B" w:rsidRPr="00882F11" w:rsidRDefault="00CE732F" w:rsidP="00CE732F">
      <w:pPr>
        <w:bidi/>
        <w:jc w:val="both"/>
        <w:rPr>
          <w:rFonts w:cs="Guttman Drogolin"/>
          <w:rtl/>
          <w:lang w:bidi="he-IL"/>
        </w:rPr>
      </w:pPr>
      <w:r w:rsidRPr="00882F11">
        <w:rPr>
          <w:rFonts w:cs="Guttman Drogolin" w:hint="cs"/>
          <w:rtl/>
          <w:lang w:bidi="he-IL"/>
        </w:rPr>
        <w:t xml:space="preserve">ושמעתי עוד קושיא בדברי התוס'. שהרי התוס' דנים שלשיטת רבא יהא נטל"פ אסור אילו הי' מין בשאינו מינו אסור במשהו מעיקר הדין, רק שאפילו בחמץ בפיח אינו אסור מעיקר הדין. ולכאורה צ"ע, דהא במין במינו שהוא אסור במשהו, היינו מין במינו בשמא אליבא דרבא, ויוצא שאליבא דרבא אם יש ב' דברים מאותו שם וטעמם שונה הדין הוא שאוסרים במשהו. וכיון שטעמם שונה ומ"מ טסאונו במשהו כיון שיש להם אותו שם, לכאורה חזינן באמת לרבא דטעם בטל אסור באיסורי משהו, דהא כאן הוי טעם בטל כיון שטעמם שונה, ומ"מ אסרונו כיון שהוא מין במינו. ומעיקרא חשבתי שאפשר ליישב קושיא זו אליבא דרמ"א שגם לענין טכ"ע אזלינן בתר שם, ולכן ליכא טעם בטל במין במינו, שהא גם לענין טעם הוו מין במינו. אלא שלכאורה לא ניחא, שהא גם לרמ"א כיון שלמעשה טעמם שונה הרי זה טעם בטל אע"ג דלא היינו אומרים הדין של טכ"ע כיון שנאמר רק במין בשאינו מינו. וכ"ש שקשה לשיטת הש"ך שלענין טכ"ע הכל הולך בתר טעם אפילו אליבא דרבא. וצ"ע. </w:t>
      </w:r>
    </w:p>
    <w:p w:rsidR="00574E9B" w:rsidRPr="00882F11" w:rsidRDefault="00574E9B" w:rsidP="00574E9B">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15" w:name="_Toc496175374"/>
      <w:r w:rsidRPr="00882F11">
        <w:rPr>
          <w:rFonts w:asciiTheme="majorHAnsi" w:eastAsiaTheme="majorEastAsia" w:hAnsiTheme="majorHAnsi" w:cs="Guttman Drogolin" w:hint="cs"/>
          <w:b/>
          <w:bCs/>
          <w:sz w:val="24"/>
          <w:szCs w:val="24"/>
          <w:u w:val="single"/>
          <w:rtl/>
          <w:lang w:bidi="he-IL"/>
        </w:rPr>
        <w:t>צירוף טעמים לאיסור</w:t>
      </w:r>
      <w:bookmarkEnd w:id="115"/>
    </w:p>
    <w:p w:rsidR="00E75624" w:rsidRPr="00882F11" w:rsidRDefault="00574E9B" w:rsidP="006B2FDF">
      <w:pPr>
        <w:bidi/>
        <w:jc w:val="both"/>
        <w:rPr>
          <w:rFonts w:cs="Guttman Drogolin"/>
          <w:rtl/>
          <w:lang w:bidi="he-IL"/>
        </w:rPr>
      </w:pPr>
      <w:r w:rsidRPr="00882F11">
        <w:rPr>
          <w:rFonts w:cs="Guttman Drogolin" w:hint="cs"/>
          <w:rtl/>
          <w:lang w:bidi="he-IL"/>
        </w:rPr>
        <w:t xml:space="preserve">הגמ' בהמשך </w:t>
      </w:r>
      <w:r w:rsidR="006B2FDF" w:rsidRPr="00882F11">
        <w:rPr>
          <w:rFonts w:cs="Guttman Drogolin" w:hint="cs"/>
          <w:rtl/>
          <w:lang w:bidi="he-IL"/>
        </w:rPr>
        <w:t>מביאה ראי' לשיטת אביי ממתני' שבמס' ערלה פ"ב מ"י. שאיתא התם תבלין של ב' וג' שמות והן מין א' או מין ג' אסורים ומצטרפין. והגמ' מביא שחזקי' פי' המתני' דמיירי במיני מתיקה</w:t>
      </w:r>
      <w:r w:rsidR="00056600" w:rsidRPr="00882F11">
        <w:rPr>
          <w:rFonts w:cs="Guttman Drogolin" w:hint="cs"/>
          <w:rtl/>
          <w:lang w:bidi="he-IL"/>
        </w:rPr>
        <w:t>. ומכאן ראי' לאביי דאזלינן בתר טעם. ודחה הגמ' דהוי אליבא דר' מאיר דסבר שכל איסורין שבתורה מצטרפין.</w:t>
      </w:r>
      <w:r w:rsidR="00CE732F" w:rsidRPr="00882F11">
        <w:rPr>
          <w:rFonts w:cs="Guttman Drogolin" w:hint="cs"/>
          <w:rtl/>
          <w:lang w:bidi="he-IL"/>
        </w:rPr>
        <w:t xml:space="preserve">    </w:t>
      </w:r>
      <w:r w:rsidR="0049667F" w:rsidRPr="00882F11">
        <w:rPr>
          <w:rFonts w:cs="Guttman Drogolin" w:hint="cs"/>
          <w:rtl/>
          <w:lang w:bidi="he-IL"/>
        </w:rPr>
        <w:t xml:space="preserve"> </w:t>
      </w:r>
      <w:r w:rsidR="00E75624" w:rsidRPr="00882F11">
        <w:rPr>
          <w:rFonts w:cs="Guttman Drogolin" w:hint="cs"/>
          <w:rtl/>
          <w:lang w:bidi="he-IL"/>
        </w:rPr>
        <w:t xml:space="preserve">  </w:t>
      </w:r>
    </w:p>
    <w:p w:rsidR="0051063F" w:rsidRPr="00882F11" w:rsidRDefault="00E75624" w:rsidP="00E75624">
      <w:pPr>
        <w:bidi/>
        <w:jc w:val="both"/>
        <w:rPr>
          <w:rFonts w:cs="Guttman Drogolin"/>
          <w:rtl/>
          <w:lang w:bidi="he-IL"/>
        </w:rPr>
      </w:pPr>
      <w:r w:rsidRPr="00882F11">
        <w:rPr>
          <w:rFonts w:cs="Guttman Drogolin" w:hint="cs"/>
          <w:rtl/>
          <w:lang w:bidi="he-IL"/>
        </w:rPr>
        <w:t xml:space="preserve"> </w:t>
      </w:r>
      <w:r w:rsidR="003D0AB0" w:rsidRPr="00882F11">
        <w:rPr>
          <w:rFonts w:cs="Guttman Drogolin" w:hint="cs"/>
          <w:rtl/>
          <w:lang w:bidi="he-IL"/>
        </w:rPr>
        <w:t xml:space="preserve"> </w:t>
      </w:r>
      <w:r w:rsidR="00BC6D87" w:rsidRPr="00882F11">
        <w:rPr>
          <w:rFonts w:cs="Guttman Drogolin" w:hint="cs"/>
          <w:rtl/>
          <w:lang w:bidi="he-IL"/>
        </w:rPr>
        <w:t xml:space="preserve"> </w:t>
      </w:r>
      <w:r w:rsidR="00BC6D87" w:rsidRPr="00882F11">
        <w:rPr>
          <w:rFonts w:cs="Guttman Drogolin"/>
          <w:rtl/>
          <w:lang w:bidi="he-IL"/>
        </w:rPr>
        <w:t xml:space="preserve"> </w:t>
      </w:r>
      <w:r w:rsidR="00246BC2" w:rsidRPr="00882F11">
        <w:rPr>
          <w:rFonts w:cs="Guttman Drogolin"/>
          <w:rtl/>
          <w:lang w:bidi="he-IL"/>
        </w:rPr>
        <w:t xml:space="preserve"> </w:t>
      </w:r>
      <w:r w:rsidR="00210E0A" w:rsidRPr="00882F11">
        <w:rPr>
          <w:rFonts w:cs="Guttman Drogolin" w:hint="cs"/>
          <w:rtl/>
          <w:lang w:bidi="he-IL"/>
        </w:rPr>
        <w:t xml:space="preserve"> </w:t>
      </w:r>
      <w:r w:rsidR="00E54E64" w:rsidRPr="00882F11">
        <w:rPr>
          <w:rFonts w:cs="Guttman Drogolin" w:hint="cs"/>
          <w:rtl/>
          <w:lang w:bidi="he-IL"/>
        </w:rPr>
        <w:t xml:space="preserve"> </w:t>
      </w:r>
      <w:r w:rsidR="005413C2" w:rsidRPr="00882F11">
        <w:rPr>
          <w:rFonts w:cs="Guttman Drogolin" w:hint="cs"/>
          <w:rtl/>
          <w:lang w:bidi="he-IL"/>
        </w:rPr>
        <w:t xml:space="preserve"> </w:t>
      </w:r>
      <w:r w:rsidR="00385919" w:rsidRPr="00882F11">
        <w:rPr>
          <w:rFonts w:cs="Guttman Drogolin" w:hint="cs"/>
          <w:rtl/>
          <w:lang w:bidi="he-IL"/>
        </w:rPr>
        <w:t xml:space="preserve"> </w:t>
      </w:r>
      <w:r w:rsidR="0051063F" w:rsidRPr="00882F11">
        <w:rPr>
          <w:rFonts w:cs="Guttman Drogolin" w:hint="cs"/>
          <w:rtl/>
          <w:lang w:bidi="he-IL"/>
        </w:rPr>
        <w:t xml:space="preserve">  </w:t>
      </w:r>
    </w:p>
    <w:p w:rsidR="000F605E" w:rsidRPr="00882F11" w:rsidRDefault="009A1099" w:rsidP="0051063F">
      <w:pPr>
        <w:bidi/>
        <w:jc w:val="both"/>
        <w:rPr>
          <w:rFonts w:cs="Guttman Drogolin"/>
          <w:rtl/>
          <w:lang w:bidi="he-IL"/>
        </w:rPr>
        <w:sectPr w:rsidR="000F605E" w:rsidRPr="00882F11" w:rsidSect="00615FF2">
          <w:type w:val="continuous"/>
          <w:pgSz w:w="11907" w:h="16839" w:code="9"/>
          <w:pgMar w:top="1440" w:right="1440" w:bottom="1440" w:left="1440" w:header="720" w:footer="720" w:gutter="0"/>
          <w:cols w:num="2" w:space="720"/>
          <w:bidi/>
          <w:docGrid w:linePitch="360"/>
        </w:sectPr>
      </w:pPr>
      <w:r w:rsidRPr="00882F11">
        <w:rPr>
          <w:rFonts w:cs="Guttman Drogolin" w:hint="cs"/>
          <w:rtl/>
          <w:lang w:bidi="he-IL"/>
        </w:rPr>
        <w:t xml:space="preserve"> </w:t>
      </w:r>
    </w:p>
    <w:p w:rsidR="000F605E" w:rsidRPr="00882F11" w:rsidRDefault="000F605E" w:rsidP="000F605E">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ל'</w:t>
      </w:r>
    </w:p>
    <w:p w:rsidR="00615FF2" w:rsidRDefault="00615FF2" w:rsidP="009C2870">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sectPr w:rsidR="00615FF2" w:rsidSect="00615FF2">
          <w:headerReference w:type="default" r:id="rId28"/>
          <w:pgSz w:w="11907" w:h="16839" w:code="9"/>
          <w:pgMar w:top="1440" w:right="1440" w:bottom="1440" w:left="1440" w:header="720" w:footer="720" w:gutter="0"/>
          <w:cols w:space="720"/>
          <w:bidi/>
          <w:docGrid w:linePitch="360"/>
        </w:sectPr>
      </w:pPr>
    </w:p>
    <w:p w:rsidR="000F605E" w:rsidRPr="00882F11" w:rsidRDefault="009C2870" w:rsidP="009C2870">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16" w:name="_Toc496175375"/>
      <w:r w:rsidRPr="00882F11">
        <w:rPr>
          <w:rFonts w:asciiTheme="majorHAnsi" w:eastAsiaTheme="majorEastAsia" w:hAnsiTheme="majorHAnsi" w:cs="Guttman Drogolin" w:hint="cs"/>
          <w:b/>
          <w:bCs/>
          <w:sz w:val="24"/>
          <w:szCs w:val="24"/>
          <w:u w:val="single"/>
          <w:rtl/>
          <w:lang w:bidi="he-IL"/>
        </w:rPr>
        <w:lastRenderedPageBreak/>
        <w:t>טעמי' חמרא וריחי' חלא</w:t>
      </w:r>
      <w:bookmarkEnd w:id="116"/>
    </w:p>
    <w:p w:rsidR="00385267" w:rsidRPr="00882F11" w:rsidRDefault="009C2870" w:rsidP="00D87855">
      <w:pPr>
        <w:bidi/>
        <w:jc w:val="both"/>
        <w:rPr>
          <w:rFonts w:cs="Guttman Drogolin"/>
          <w:rtl/>
          <w:lang w:bidi="he-IL"/>
        </w:rPr>
      </w:pPr>
      <w:r w:rsidRPr="00882F11">
        <w:rPr>
          <w:rFonts w:cs="Guttman Drogolin" w:hint="cs"/>
          <w:rtl/>
          <w:lang w:bidi="he-IL"/>
        </w:rPr>
        <w:t>כהמשך של המחלוקת בין רבא לאביי בדין מין במינו אי אזלינן בתר שמא או בתר טעמא, מביאה הגמ' מחלוקת בדין חמרא שנפל לתוך חלא מה דינו, והטעם משום שחמרא, על הדרך לתוך החלא, הרי הוא מקבל ריח חלא, ולכן טעמי' טעם חמרא אבל ריחי' ריח חלא. ואביי סבר דכיון דריחי' חלא יש לו דין חלא והרי הוא מין במינו שדינו במשהו. ורבא סבר דכיון שטעמי' טעם חמרא דינו כחמרא, ולכן הוי מין בשאינו מינו שדינו בששים. והקשו המפרשים, דלכאורה פלוגתא זו סותר לפלוגתתם דלעיל, שהרי לעיל סבר אביי שמינו תלוי בטעמא, והכי סבר דתלוי בריחא, וכן רבא סבר שתלוי בשמ</w:t>
      </w:r>
      <w:r w:rsidR="00D87855" w:rsidRPr="00882F11">
        <w:rPr>
          <w:rFonts w:cs="Guttman Drogolin" w:hint="cs"/>
          <w:rtl/>
          <w:lang w:bidi="he-IL"/>
        </w:rPr>
        <w:t>א</w:t>
      </w:r>
      <w:r w:rsidRPr="00882F11">
        <w:rPr>
          <w:rFonts w:cs="Guttman Drogolin" w:hint="cs"/>
          <w:rtl/>
          <w:lang w:bidi="he-IL"/>
        </w:rPr>
        <w:t xml:space="preserve"> והכא סבר שתלוי בטעמו. ויעוין בחי' הריטב"א (וכן הוא בקיצור בחי' הרשב"א) שתי'</w:t>
      </w:r>
      <w:r w:rsidR="00D87855" w:rsidRPr="00882F11">
        <w:rPr>
          <w:rFonts w:cs="Guttman Drogolin" w:hint="cs"/>
          <w:rtl/>
          <w:lang w:bidi="he-IL"/>
        </w:rPr>
        <w:t xml:space="preserve"> בשם הראב"ד "ולא קשיא דהנהו דלעיל מיירי בדברים ששמם ידוע לדברי הכל, ואפילו קודם שנפלו זה לזה הוי חלוקים בטעמם או בשמם. ואלו הכא קא מפלגי בעיקר שמו האיך ראוי לקרותו, דאביי סבר דכיון דריחי' חלא חלא הוא לכל דבר בין לתרומ' בין לברכ' הנהנין, וקדוש והרי הוא נדון כאלו נשתנה טעמו גם כן. וכיון דכן הכא נמי בחלא דיינינן ליה, דהא חד מינא וחד טעמא חשיבי לכל דבר. ורבא סבר דריחיה חלא וטעמא חמרא חמרא הוא לכל דבר, וכיון דכן הכא נמי</w:t>
      </w:r>
      <w:r w:rsidR="00385267" w:rsidRPr="00882F11">
        <w:rPr>
          <w:rFonts w:cs="Guttman Drogolin" w:hint="cs"/>
          <w:rtl/>
          <w:lang w:bidi="he-IL"/>
        </w:rPr>
        <w:t xml:space="preserve"> </w:t>
      </w:r>
      <w:r w:rsidR="00D87855" w:rsidRPr="00882F11">
        <w:rPr>
          <w:rFonts w:cs="Guttman Drogolin" w:hint="cs"/>
          <w:rtl/>
          <w:lang w:bidi="he-IL"/>
        </w:rPr>
        <w:t>חמרא שמיה".</w:t>
      </w:r>
      <w:r w:rsidRPr="00882F11">
        <w:rPr>
          <w:rFonts w:cs="Guttman Drogolin" w:hint="cs"/>
          <w:rtl/>
          <w:lang w:bidi="he-IL"/>
        </w:rPr>
        <w:t xml:space="preserve"> </w:t>
      </w:r>
    </w:p>
    <w:p w:rsidR="00A4602E" w:rsidRPr="00882F11" w:rsidRDefault="00385267" w:rsidP="00385267">
      <w:pPr>
        <w:bidi/>
        <w:jc w:val="both"/>
        <w:rPr>
          <w:rFonts w:cs="Guttman Drogolin"/>
          <w:rtl/>
          <w:lang w:bidi="he-IL"/>
        </w:rPr>
      </w:pPr>
      <w:r w:rsidRPr="00882F11">
        <w:rPr>
          <w:rFonts w:cs="Guttman Drogolin" w:hint="cs"/>
          <w:rtl/>
          <w:lang w:bidi="he-IL"/>
        </w:rPr>
        <w:t>וחשבתי לפרש את דבריו בב' אנפי. שי"ל שיש כאן נידון מהו דינו של ריח, האם ריח הוא מין ממיני הטעם</w:t>
      </w:r>
      <w:r w:rsidR="00236757" w:rsidRPr="00882F11">
        <w:rPr>
          <w:rFonts w:cs="Guttman Drogolin" w:hint="cs"/>
          <w:rtl/>
          <w:lang w:bidi="he-IL"/>
        </w:rPr>
        <w:t>, ולכן אם ריחי' חלא הרי טעמו חלא</w:t>
      </w:r>
      <w:r w:rsidRPr="00882F11">
        <w:rPr>
          <w:rFonts w:cs="Guttman Drogolin" w:hint="cs"/>
          <w:rtl/>
          <w:lang w:bidi="he-IL"/>
        </w:rPr>
        <w:t>. זאת ועוד שאם יש ריח של מאכל א' וטעם של מאכל אחר אמרינן שריחו הוא החשוב טעמו כדי לקבוע מהו מינו.</w:t>
      </w:r>
      <w:r w:rsidR="00A4602E" w:rsidRPr="00882F11">
        <w:rPr>
          <w:rFonts w:cs="Guttman Drogolin" w:hint="cs"/>
          <w:rtl/>
          <w:lang w:bidi="he-IL"/>
        </w:rPr>
        <w:t xml:space="preserve"> אלא</w:t>
      </w:r>
      <w:r w:rsidRPr="00882F11">
        <w:rPr>
          <w:rFonts w:cs="Guttman Drogolin" w:hint="cs"/>
          <w:rtl/>
          <w:lang w:bidi="he-IL"/>
        </w:rPr>
        <w:t xml:space="preserve"> שבזה נחלקו אביי ורבא, דאביי סבר</w:t>
      </w:r>
      <w:r w:rsidR="00A4602E" w:rsidRPr="00882F11">
        <w:rPr>
          <w:rFonts w:cs="Guttman Drogolin" w:hint="cs"/>
          <w:rtl/>
          <w:lang w:bidi="he-IL"/>
        </w:rPr>
        <w:t xml:space="preserve"> שריחו הוא הוקבע מהו טעמו, וכיון שריחו ריח חלא הרי זה כטעמו ולכן הוי מין חלא ולא מין חמרא. אבל רבא סבר שטעמו הוא הקובע, ולכן כיון שרוצים לדעת מהו שמו של היין, אמרינן ששמו חמרא כיון שטעמו חמרא.</w:t>
      </w:r>
    </w:p>
    <w:p w:rsidR="00236757" w:rsidRPr="00882F11" w:rsidRDefault="00A4602E" w:rsidP="00A4602E">
      <w:pPr>
        <w:bidi/>
        <w:jc w:val="both"/>
        <w:rPr>
          <w:rFonts w:cs="Guttman Drogolin"/>
          <w:rtl/>
          <w:lang w:bidi="he-IL"/>
        </w:rPr>
      </w:pPr>
      <w:r w:rsidRPr="00882F11">
        <w:rPr>
          <w:rFonts w:cs="Guttman Drogolin" w:hint="cs"/>
          <w:rtl/>
          <w:lang w:bidi="he-IL"/>
        </w:rPr>
        <w:lastRenderedPageBreak/>
        <w:t>אמנם מלשון הריטב"א הי' נראה שאין זה פירוש דבריו, ולעולם אין הריח של המאכל מין ממיני הטעם. רק הפירוש הוא דכיון שיש כאן משקה שיש לו ב' בחינות, בחינה של יין ובחינה של חלא, צריכים לדעת מהו הקובע מהו באמת. ובזה סבר אביי דכיון שטעמו חלא, אמרינן שהבחינה של חלא שבו</w:t>
      </w:r>
      <w:r w:rsidR="00236757" w:rsidRPr="00882F11">
        <w:rPr>
          <w:rFonts w:cs="Guttman Drogolin" w:hint="cs"/>
          <w:rtl/>
          <w:lang w:bidi="he-IL"/>
        </w:rPr>
        <w:t xml:space="preserve"> הוא הקובע מהו, ולכן אמרינן שהרי הוא חלא לכל דיני התורה. אבל רבא סבר שהבחינה של הטעם קובע מהו, ולכן כיון שטעמו חמרא נותנים לו דין יין לכל דיני התורה. ולכן הטעם שלאביי אזלינן בתר הריח אין זה סותר הא דאביי אזיל בתר טעמא, והיינו משום דאביי אזיל בתר השם של המאכל מה שהוא באמת, ולכן אע"ג שהמשקה שלפני טעמו כטעם חמרא, כיון שהבחינה של ריח שלו קובע מהו המאכל הזה ולכן הרי הוא חלא, אמרינן שטעמו כטעם הבחינה של ריח שלו, וטעם חלא הרי הוא כחמרא.</w:t>
      </w:r>
    </w:p>
    <w:p w:rsidR="00236757" w:rsidRPr="00882F11" w:rsidRDefault="00236757" w:rsidP="00236757">
      <w:pPr>
        <w:bidi/>
        <w:jc w:val="both"/>
        <w:rPr>
          <w:rFonts w:cs="Guttman Drogolin"/>
          <w:rtl/>
          <w:lang w:bidi="he-IL"/>
        </w:rPr>
      </w:pPr>
      <w:r w:rsidRPr="00882F11">
        <w:rPr>
          <w:rFonts w:cs="Guttman Drogolin" w:hint="cs"/>
          <w:rtl/>
          <w:lang w:bidi="he-IL"/>
        </w:rPr>
        <w:t>וראיתי בשם כמה אחרונים שרצו לומר שאביי ורבא כאן הם לשיטתם בסוגיא שבהמשך אי אמרינן דריחא מילתא היא או לא, וראיתי מי שהעיר שלכאורה יל"ע אם זה נכון לפי שיטת התוס' שבסמוך בביאור המחלוקת שבין אביי ורבא.</w:t>
      </w:r>
    </w:p>
    <w:p w:rsidR="00236757" w:rsidRPr="00882F11" w:rsidRDefault="00236757" w:rsidP="00236757">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17" w:name="_Toc496175376"/>
      <w:r w:rsidRPr="00882F11">
        <w:rPr>
          <w:rFonts w:asciiTheme="majorHAnsi" w:eastAsiaTheme="majorEastAsia" w:hAnsiTheme="majorHAnsi" w:cs="Guttman Drogolin" w:hint="cs"/>
          <w:b/>
          <w:bCs/>
          <w:sz w:val="24"/>
          <w:szCs w:val="24"/>
          <w:u w:val="single"/>
          <w:rtl/>
          <w:lang w:bidi="he-IL"/>
        </w:rPr>
        <w:t>ריחא מילתא</w:t>
      </w:r>
      <w:bookmarkEnd w:id="117"/>
    </w:p>
    <w:p w:rsidR="00242A6D" w:rsidRPr="00882F11" w:rsidRDefault="009E17AF" w:rsidP="007D352B">
      <w:pPr>
        <w:bidi/>
        <w:jc w:val="both"/>
        <w:rPr>
          <w:rFonts w:cs="Guttman Drogolin"/>
          <w:rtl/>
          <w:lang w:bidi="he-IL"/>
        </w:rPr>
      </w:pPr>
      <w:r>
        <w:rPr>
          <w:rFonts w:cs="Guttman Drogolin"/>
          <w:rtl/>
          <w:lang w:bidi="he-IL"/>
        </w:rPr>
        <w:fldChar w:fldCharType="begin"/>
      </w:r>
      <w:r>
        <w:instrText xml:space="preserve"> XE "</w:instrText>
      </w:r>
      <w:r w:rsidRPr="00E25B86">
        <w:rPr>
          <w:rFonts w:hint="cs"/>
          <w:rtl/>
          <w:lang w:bidi="he-IL"/>
        </w:rPr>
        <w:instrText>ריחא</w:instrText>
      </w:r>
      <w:r w:rsidR="00A413C6">
        <w:rPr>
          <w:rFonts w:hint="cs"/>
          <w:rtl/>
          <w:lang w:bidi="he-IL"/>
        </w:rPr>
        <w:instrText xml:space="preserve"> מילתא</w:instrText>
      </w:r>
      <w:r w:rsidRPr="00E25B86">
        <w:rPr>
          <w:rtl/>
        </w:rPr>
        <w:instrText>:</w:instrText>
      </w:r>
      <w:r w:rsidRPr="00E25B86">
        <w:rPr>
          <w:rFonts w:hint="cs"/>
          <w:rtl/>
          <w:lang w:bidi="he-IL"/>
        </w:rPr>
        <w:instrText>סוגיית הגמרא</w:instrText>
      </w:r>
      <w:r>
        <w:instrText xml:space="preserve">" </w:instrText>
      </w:r>
      <w:r>
        <w:rPr>
          <w:rFonts w:cs="Guttman Drogolin"/>
          <w:rtl/>
          <w:lang w:bidi="he-IL"/>
        </w:rPr>
        <w:fldChar w:fldCharType="end"/>
      </w:r>
      <w:r w:rsidR="00236757" w:rsidRPr="00882F11">
        <w:rPr>
          <w:rFonts w:cs="Guttman Drogolin" w:hint="cs"/>
          <w:rtl/>
          <w:lang w:bidi="he-IL"/>
        </w:rPr>
        <w:t>בהמשך הגמ' מביאה המחלוקת שבין רבא לאביי בדין בת תיהא,</w:t>
      </w:r>
      <w:r w:rsidR="00A71171" w:rsidRPr="00882F11">
        <w:rPr>
          <w:rFonts w:cs="Guttman Drogolin" w:hint="cs"/>
          <w:rtl/>
          <w:lang w:bidi="he-IL"/>
        </w:rPr>
        <w:t xml:space="preserve"> דרבא סבר שמותר להריח בה כיון דריחא לאו מילתא היא, ואביי סבר דאסור כיון דריחא מילתא היא. ויש לבאר יסוד המחלוקת שלהם. והנה התוס' כתבו שאין הטעם שאסר אביי בבת תיהא משום שנהנה ויי"נ אסור בהנאה, דהא רבא מוכיח את שיטתו שמותר מדין כמון של תרומה שלא אסרו בה משום ריחא, ותרומה הרי אינה אסורה בהנאה. ולכן ביארו שאביי אסר בבת תיהא משום דסבר דהוי כמו שתיי', שבזה שמריח בו הרי הוא כשותהו. ובשיטת רבא ביארו התוס' "דלא</w:t>
      </w:r>
      <w:r w:rsidR="00A71171" w:rsidRPr="00882F11">
        <w:rPr>
          <w:rFonts w:cs="Guttman Drogolin"/>
          <w:rtl/>
          <w:lang w:bidi="he-IL"/>
        </w:rPr>
        <w:t xml:space="preserve"> </w:t>
      </w:r>
      <w:r w:rsidR="00A71171" w:rsidRPr="00882F11">
        <w:rPr>
          <w:rFonts w:cs="Guttman Drogolin" w:hint="cs"/>
          <w:rtl/>
          <w:lang w:bidi="he-IL"/>
        </w:rPr>
        <w:t>חשיב</w:t>
      </w:r>
      <w:r w:rsidR="00A71171" w:rsidRPr="00882F11">
        <w:rPr>
          <w:rFonts w:cs="Guttman Drogolin"/>
          <w:rtl/>
          <w:lang w:bidi="he-IL"/>
        </w:rPr>
        <w:t xml:space="preserve"> </w:t>
      </w:r>
      <w:r w:rsidR="00A71171" w:rsidRPr="00882F11">
        <w:rPr>
          <w:rFonts w:cs="Guttman Drogolin" w:hint="cs"/>
          <w:rtl/>
          <w:lang w:bidi="he-IL"/>
        </w:rPr>
        <w:t>ליה</w:t>
      </w:r>
      <w:r w:rsidR="00A71171" w:rsidRPr="00882F11">
        <w:rPr>
          <w:rFonts w:cs="Guttman Drogolin"/>
          <w:rtl/>
          <w:lang w:bidi="he-IL"/>
        </w:rPr>
        <w:t xml:space="preserve"> </w:t>
      </w:r>
      <w:r w:rsidR="00A71171" w:rsidRPr="00882F11">
        <w:rPr>
          <w:rFonts w:cs="Guttman Drogolin" w:hint="cs"/>
          <w:rtl/>
          <w:lang w:bidi="he-IL"/>
        </w:rPr>
        <w:t>כשותה</w:t>
      </w:r>
      <w:r w:rsidR="00A71171" w:rsidRPr="00882F11">
        <w:rPr>
          <w:rFonts w:cs="Guttman Drogolin"/>
          <w:rtl/>
          <w:lang w:bidi="he-IL"/>
        </w:rPr>
        <w:t xml:space="preserve"> </w:t>
      </w:r>
      <w:r w:rsidR="00A71171" w:rsidRPr="00882F11">
        <w:rPr>
          <w:rFonts w:cs="Guttman Drogolin" w:hint="cs"/>
          <w:rtl/>
          <w:lang w:bidi="he-IL"/>
        </w:rPr>
        <w:t>לפי</w:t>
      </w:r>
      <w:r w:rsidR="00A71171" w:rsidRPr="00882F11">
        <w:rPr>
          <w:rFonts w:cs="Guttman Drogolin"/>
          <w:rtl/>
          <w:lang w:bidi="he-IL"/>
        </w:rPr>
        <w:t xml:space="preserve"> </w:t>
      </w:r>
      <w:r w:rsidR="00A71171" w:rsidRPr="00882F11">
        <w:rPr>
          <w:rFonts w:cs="Guttman Drogolin" w:hint="cs"/>
          <w:rtl/>
          <w:lang w:bidi="he-IL"/>
        </w:rPr>
        <w:t>שהריח</w:t>
      </w:r>
      <w:r w:rsidR="00A71171" w:rsidRPr="00882F11">
        <w:rPr>
          <w:rFonts w:cs="Guttman Drogolin"/>
          <w:rtl/>
          <w:lang w:bidi="he-IL"/>
        </w:rPr>
        <w:t xml:space="preserve"> </w:t>
      </w:r>
      <w:r w:rsidR="00A71171" w:rsidRPr="00882F11">
        <w:rPr>
          <w:rFonts w:cs="Guttman Drogolin" w:hint="cs"/>
          <w:rtl/>
          <w:lang w:bidi="he-IL"/>
        </w:rPr>
        <w:t>נכנס</w:t>
      </w:r>
      <w:r w:rsidR="00A71171" w:rsidRPr="00882F11">
        <w:rPr>
          <w:rFonts w:cs="Guttman Drogolin"/>
          <w:rtl/>
          <w:lang w:bidi="he-IL"/>
        </w:rPr>
        <w:t xml:space="preserve"> </w:t>
      </w:r>
      <w:r w:rsidR="00A71171" w:rsidRPr="00882F11">
        <w:rPr>
          <w:rFonts w:cs="Guttman Drogolin" w:hint="cs"/>
          <w:rtl/>
          <w:lang w:bidi="he-IL"/>
        </w:rPr>
        <w:t>בפניו</w:t>
      </w:r>
      <w:r w:rsidR="00A71171" w:rsidRPr="00882F11">
        <w:rPr>
          <w:rFonts w:cs="Guttman Drogolin"/>
          <w:rtl/>
          <w:lang w:bidi="he-IL"/>
        </w:rPr>
        <w:t xml:space="preserve"> </w:t>
      </w:r>
      <w:r w:rsidR="00A95D75" w:rsidRPr="00882F11">
        <w:rPr>
          <w:rFonts w:cs="Guttman Drogolin" w:hint="cs"/>
          <w:rtl/>
          <w:lang w:bidi="he-IL"/>
        </w:rPr>
        <w:t xml:space="preserve">[הרש"ש גרס 'בגופו' וכדבסמוך] </w:t>
      </w:r>
      <w:r w:rsidR="00A71171" w:rsidRPr="00882F11">
        <w:rPr>
          <w:rFonts w:cs="Guttman Drogolin" w:hint="cs"/>
          <w:rtl/>
          <w:lang w:bidi="he-IL"/>
        </w:rPr>
        <w:t>ומזיקו</w:t>
      </w:r>
      <w:r w:rsidR="00A71171" w:rsidRPr="00882F11">
        <w:rPr>
          <w:rFonts w:cs="Guttman Drogolin"/>
          <w:rtl/>
          <w:lang w:bidi="he-IL"/>
        </w:rPr>
        <w:t xml:space="preserve"> </w:t>
      </w:r>
      <w:r w:rsidR="00A71171" w:rsidRPr="00882F11">
        <w:rPr>
          <w:rFonts w:cs="Guttman Drogolin" w:hint="cs"/>
          <w:rtl/>
          <w:lang w:bidi="he-IL"/>
        </w:rPr>
        <w:t>והקלקול</w:t>
      </w:r>
      <w:r w:rsidR="00A71171" w:rsidRPr="00882F11">
        <w:rPr>
          <w:rFonts w:cs="Guttman Drogolin"/>
          <w:rtl/>
          <w:lang w:bidi="he-IL"/>
        </w:rPr>
        <w:t xml:space="preserve"> </w:t>
      </w:r>
      <w:r w:rsidR="00A71171" w:rsidRPr="00882F11">
        <w:rPr>
          <w:rFonts w:cs="Guttman Drogolin" w:hint="cs"/>
          <w:rtl/>
          <w:lang w:bidi="he-IL"/>
        </w:rPr>
        <w:lastRenderedPageBreak/>
        <w:t>רבה</w:t>
      </w:r>
      <w:r w:rsidR="00A71171" w:rsidRPr="00882F11">
        <w:rPr>
          <w:rFonts w:cs="Guttman Drogolin"/>
          <w:rtl/>
          <w:lang w:bidi="he-IL"/>
        </w:rPr>
        <w:t xml:space="preserve"> </w:t>
      </w:r>
      <w:r w:rsidR="00A71171" w:rsidRPr="00882F11">
        <w:rPr>
          <w:rFonts w:cs="Guttman Drogolin" w:hint="cs"/>
          <w:rtl/>
          <w:lang w:bidi="he-IL"/>
        </w:rPr>
        <w:t>על</w:t>
      </w:r>
      <w:r w:rsidR="00A71171" w:rsidRPr="00882F11">
        <w:rPr>
          <w:rFonts w:cs="Guttman Drogolin"/>
          <w:rtl/>
          <w:lang w:bidi="he-IL"/>
        </w:rPr>
        <w:t xml:space="preserve"> </w:t>
      </w:r>
      <w:r w:rsidR="00A71171" w:rsidRPr="00882F11">
        <w:rPr>
          <w:rFonts w:cs="Guttman Drogolin" w:hint="cs"/>
          <w:rtl/>
          <w:lang w:bidi="he-IL"/>
        </w:rPr>
        <w:t>התקון".</w:t>
      </w:r>
      <w:r w:rsidR="00242A6D" w:rsidRPr="00882F11">
        <w:rPr>
          <w:rFonts w:cs="Guttman Drogolin" w:hint="cs"/>
          <w:rtl/>
          <w:lang w:bidi="he-IL"/>
        </w:rPr>
        <w:t xml:space="preserve"> ונחלקו המהרש"א והמהר"ם בכוונת דבריהם.</w:t>
      </w:r>
    </w:p>
    <w:p w:rsidR="000F3291" w:rsidRPr="00882F11" w:rsidRDefault="00242A6D" w:rsidP="004B6D49">
      <w:pPr>
        <w:bidi/>
        <w:jc w:val="both"/>
        <w:rPr>
          <w:rFonts w:cs="Guttman Drogolin"/>
          <w:rtl/>
          <w:lang w:bidi="he-IL"/>
        </w:rPr>
      </w:pPr>
      <w:r w:rsidRPr="00882F11">
        <w:rPr>
          <w:rFonts w:cs="Guttman Drogolin" w:hint="cs"/>
          <w:rtl/>
          <w:lang w:bidi="he-IL"/>
        </w:rPr>
        <w:t xml:space="preserve">המהרש"א למד כוונתם כפשוטו, שהתוס' מתכוונים לבאר למה רבא לא מחשיב את </w:t>
      </w:r>
      <w:r w:rsidR="005663F3" w:rsidRPr="00882F11">
        <w:rPr>
          <w:rFonts w:cs="Guttman Drogolin" w:hint="cs"/>
          <w:rtl/>
          <w:lang w:bidi="he-IL"/>
        </w:rPr>
        <w:t xml:space="preserve">הריחא </w:t>
      </w:r>
      <w:r w:rsidRPr="00882F11">
        <w:rPr>
          <w:rFonts w:cs="Guttman Drogolin" w:hint="cs"/>
          <w:rtl/>
          <w:lang w:bidi="he-IL"/>
        </w:rPr>
        <w:t xml:space="preserve">כשתי', והטעם בזה משום שהקלקול רבה על תיקון. ויש בזה חידוש, שהם מדמים דבר זה לגמ' בדף ח' ע"א בשחיטה, ששם אומרים שמותר לשחוט בסכין של עכו"ם ואינו עובר באיסורי הנאה כיון שהקלקול רבה על התיקון. ושם הביאור הוא משום </w:t>
      </w:r>
      <w:r w:rsidR="004B6D49" w:rsidRPr="00882F11">
        <w:rPr>
          <w:rFonts w:cs="Guttman Drogolin" w:hint="cs"/>
          <w:rtl/>
          <w:lang w:bidi="he-IL"/>
        </w:rPr>
        <w:t xml:space="preserve">שבאיסורי הנאה </w:t>
      </w:r>
      <w:r w:rsidR="00792581" w:rsidRPr="00882F11">
        <w:rPr>
          <w:rFonts w:cs="Guttman Drogolin" w:hint="cs"/>
          <w:rtl/>
          <w:lang w:bidi="he-IL"/>
        </w:rPr>
        <w:t xml:space="preserve">אין איסור אלא א"כ יש לו ריוח ממוני, אבל בשחיטה כיון שהבהמה שוה פחות אחר שחיטה מלפני שחיטה, דהא קודם שחיטה עדיין אפשר להשתמש בה לרדיא, אין זה חשוב כנהנה אע"פ שזהו מה שרצה לכתחילה לשחוט את בהמתו. ובדיני איסורי הנאה אפשר להבין את זה, וכן ע"כ צריכים לומר בנד"ד שמשו"ה גם אינו חשוב כנהנה באיסור. אבל לומר שמשום שאינו מרויח בזה שמריח אין זה חשוב מעשה שתיי' קשה מסברא להבין. </w:t>
      </w:r>
    </w:p>
    <w:p w:rsidR="00BA70D4" w:rsidRPr="00882F11" w:rsidRDefault="000F3291" w:rsidP="00BA70D4">
      <w:pPr>
        <w:bidi/>
        <w:jc w:val="both"/>
        <w:rPr>
          <w:rFonts w:cs="Guttman Drogolin"/>
          <w:rtl/>
          <w:lang w:bidi="he-IL"/>
        </w:rPr>
      </w:pPr>
      <w:r w:rsidRPr="00882F11">
        <w:rPr>
          <w:rFonts w:cs="Guttman Drogolin" w:hint="cs"/>
          <w:rtl/>
          <w:lang w:bidi="he-IL"/>
        </w:rPr>
        <w:t xml:space="preserve">ועוד הקשה המהרש"א שלפי דברי התוס' צ"ע מה מוכיח רבא מכמון של תרומה, וכן איזה הוכחה דצו להביא מפת ע"ג יין, הא בתרוייהו אינו מריח את היין ולמה יחשב שותה אליבא דאביי. וביאר </w:t>
      </w:r>
      <w:r w:rsidR="003F4F2A" w:rsidRPr="00882F11">
        <w:rPr>
          <w:rFonts w:cs="Guttman Drogolin" w:hint="cs"/>
          <w:rtl/>
          <w:lang w:bidi="he-IL"/>
        </w:rPr>
        <w:t>דהנה התוס' דנו בהשואה בין סוגיין לסוגיא שבמס' פסחים דף ע"ו ע"ב, ששם מבואר מחלוקת רב ולוי במי שצלה בשר שחוטה עם בשר נבילה אם השחוטה נאסר מדין ריחא מילתא או לא. והביאו שרש"י סבר דהוי אותו מחלוקת, ולכן כיון שקיי"ל כרבא ממילא קיי"ל נמי כלוי דהתם דסבר ריחא לאו מילתא היא</w:t>
      </w:r>
      <w:r w:rsidR="001A39D4" w:rsidRPr="00882F11">
        <w:rPr>
          <w:rFonts w:cs="Guttman Drogolin" w:hint="cs"/>
          <w:rtl/>
          <w:lang w:bidi="he-IL"/>
        </w:rPr>
        <w:t>. והתוס' חולקים וסוברים שאין קשא בין המחלוקת דהתם למחלוקת כאן, דרבא שפיר מצי סבר התם כרב וכן אביי מצי סבר כלוי.</w:t>
      </w:r>
      <w:r w:rsidR="00A95D75" w:rsidRPr="00882F11">
        <w:rPr>
          <w:rFonts w:cs="Guttman Drogolin" w:hint="cs"/>
          <w:rtl/>
          <w:lang w:bidi="he-IL"/>
        </w:rPr>
        <w:t xml:space="preserve"> והטעם דרבא לא סבר כאן דריחא לאו מילתא היא אלא משום שהריח נכנס לגופו ומזיקו וכנ"ל, אבל התם דליכא למימר הכי סבר כרב. ואביי מצי סבר דריחא שהתם לאו מילתא היא </w:t>
      </w:r>
      <w:r w:rsidR="00696FC1" w:rsidRPr="00882F11">
        <w:rPr>
          <w:rFonts w:cs="Guttman Drogolin" w:hint="cs"/>
          <w:rtl/>
          <w:lang w:bidi="he-IL"/>
        </w:rPr>
        <w:lastRenderedPageBreak/>
        <w:t>"דשאני</w:t>
      </w:r>
      <w:r w:rsidR="00696FC1" w:rsidRPr="00882F11">
        <w:rPr>
          <w:rFonts w:cs="Guttman Drogolin"/>
          <w:rtl/>
          <w:lang w:bidi="he-IL"/>
        </w:rPr>
        <w:t xml:space="preserve"> </w:t>
      </w:r>
      <w:r w:rsidR="00696FC1" w:rsidRPr="00882F11">
        <w:rPr>
          <w:rFonts w:cs="Guttman Drogolin" w:hint="cs"/>
          <w:rtl/>
          <w:lang w:bidi="he-IL"/>
        </w:rPr>
        <w:t>הכא</w:t>
      </w:r>
      <w:r w:rsidR="00696FC1" w:rsidRPr="00882F11">
        <w:rPr>
          <w:rFonts w:cs="Guttman Drogolin"/>
          <w:rtl/>
          <w:lang w:bidi="he-IL"/>
        </w:rPr>
        <w:t xml:space="preserve"> </w:t>
      </w:r>
      <w:r w:rsidR="00696FC1" w:rsidRPr="00882F11">
        <w:rPr>
          <w:rFonts w:cs="Guttman Drogolin" w:hint="cs"/>
          <w:rtl/>
          <w:lang w:bidi="he-IL"/>
        </w:rPr>
        <w:t>שהוא</w:t>
      </w:r>
      <w:r w:rsidR="00696FC1" w:rsidRPr="00882F11">
        <w:rPr>
          <w:rFonts w:cs="Guttman Drogolin"/>
          <w:rtl/>
          <w:lang w:bidi="he-IL"/>
        </w:rPr>
        <w:t xml:space="preserve"> </w:t>
      </w:r>
      <w:r w:rsidR="00696FC1" w:rsidRPr="00882F11">
        <w:rPr>
          <w:rFonts w:cs="Guttman Drogolin" w:hint="cs"/>
          <w:rtl/>
          <w:lang w:bidi="he-IL"/>
        </w:rPr>
        <w:t>נהנה</w:t>
      </w:r>
      <w:r w:rsidR="00696FC1" w:rsidRPr="00882F11">
        <w:rPr>
          <w:rFonts w:cs="Guttman Drogolin"/>
          <w:rtl/>
          <w:lang w:bidi="he-IL"/>
        </w:rPr>
        <w:t xml:space="preserve"> </w:t>
      </w:r>
      <w:r w:rsidR="00696FC1" w:rsidRPr="00882F11">
        <w:rPr>
          <w:rFonts w:cs="Guttman Drogolin" w:hint="cs"/>
          <w:rtl/>
          <w:lang w:bidi="he-IL"/>
        </w:rPr>
        <w:t>ומריח</w:t>
      </w:r>
      <w:r w:rsidR="00696FC1" w:rsidRPr="00882F11">
        <w:rPr>
          <w:rFonts w:cs="Guttman Drogolin"/>
          <w:rtl/>
          <w:lang w:bidi="he-IL"/>
        </w:rPr>
        <w:t xml:space="preserve"> </w:t>
      </w:r>
      <w:r w:rsidR="00696FC1" w:rsidRPr="00882F11">
        <w:rPr>
          <w:rFonts w:cs="Guttman Drogolin" w:hint="cs"/>
          <w:rtl/>
          <w:lang w:bidi="he-IL"/>
        </w:rPr>
        <w:t>מן</w:t>
      </w:r>
      <w:r w:rsidR="00696FC1" w:rsidRPr="00882F11">
        <w:rPr>
          <w:rFonts w:cs="Guttman Drogolin"/>
          <w:rtl/>
          <w:lang w:bidi="he-IL"/>
        </w:rPr>
        <w:t xml:space="preserve"> </w:t>
      </w:r>
      <w:r w:rsidR="00696FC1" w:rsidRPr="00882F11">
        <w:rPr>
          <w:rFonts w:cs="Guttman Drogolin" w:hint="cs"/>
          <w:rtl/>
          <w:lang w:bidi="he-IL"/>
        </w:rPr>
        <w:t>האיסור</w:t>
      </w:r>
      <w:r w:rsidR="00696FC1" w:rsidRPr="00882F11">
        <w:rPr>
          <w:rFonts w:cs="Guttman Drogolin"/>
          <w:rtl/>
          <w:lang w:bidi="he-IL"/>
        </w:rPr>
        <w:t xml:space="preserve"> </w:t>
      </w:r>
      <w:r w:rsidR="00696FC1" w:rsidRPr="00882F11">
        <w:rPr>
          <w:rFonts w:cs="Guttman Drogolin" w:hint="cs"/>
          <w:rtl/>
          <w:lang w:bidi="he-IL"/>
        </w:rPr>
        <w:t>היין</w:t>
      </w:r>
      <w:r w:rsidR="00696FC1" w:rsidRPr="00882F11">
        <w:rPr>
          <w:rFonts w:cs="Guttman Drogolin"/>
          <w:rtl/>
          <w:lang w:bidi="he-IL"/>
        </w:rPr>
        <w:t xml:space="preserve"> </w:t>
      </w:r>
      <w:r w:rsidR="00696FC1" w:rsidRPr="00882F11">
        <w:rPr>
          <w:rFonts w:cs="Guttman Drogolin" w:hint="cs"/>
          <w:rtl/>
          <w:lang w:bidi="he-IL"/>
        </w:rPr>
        <w:t>עצמו</w:t>
      </w:r>
      <w:r w:rsidR="00696FC1" w:rsidRPr="00882F11">
        <w:rPr>
          <w:rFonts w:cs="Guttman Drogolin"/>
          <w:rtl/>
          <w:lang w:bidi="he-IL"/>
        </w:rPr>
        <w:t xml:space="preserve"> </w:t>
      </w:r>
      <w:r w:rsidR="00696FC1" w:rsidRPr="00882F11">
        <w:rPr>
          <w:rFonts w:cs="Guttman Drogolin" w:hint="cs"/>
          <w:rtl/>
          <w:lang w:bidi="he-IL"/>
        </w:rPr>
        <w:t>הלכך</w:t>
      </w:r>
      <w:r w:rsidR="00696FC1" w:rsidRPr="00882F11">
        <w:rPr>
          <w:rFonts w:cs="Guttman Drogolin"/>
          <w:rtl/>
          <w:lang w:bidi="he-IL"/>
        </w:rPr>
        <w:t xml:space="preserve"> </w:t>
      </w:r>
      <w:r w:rsidR="00696FC1" w:rsidRPr="00882F11">
        <w:rPr>
          <w:rFonts w:cs="Guttman Drogolin" w:hint="cs"/>
          <w:rtl/>
          <w:lang w:bidi="he-IL"/>
        </w:rPr>
        <w:t>הוי</w:t>
      </w:r>
      <w:r w:rsidR="00696FC1" w:rsidRPr="00882F11">
        <w:rPr>
          <w:rFonts w:cs="Guttman Drogolin"/>
          <w:rtl/>
          <w:lang w:bidi="he-IL"/>
        </w:rPr>
        <w:t xml:space="preserve"> </w:t>
      </w:r>
      <w:r w:rsidR="00696FC1" w:rsidRPr="00882F11">
        <w:rPr>
          <w:rFonts w:cs="Guttman Drogolin" w:hint="cs"/>
          <w:rtl/>
          <w:lang w:bidi="he-IL"/>
        </w:rPr>
        <w:t>לגמרי</w:t>
      </w:r>
      <w:r w:rsidR="00696FC1" w:rsidRPr="00882F11">
        <w:rPr>
          <w:rFonts w:cs="Guttman Drogolin"/>
          <w:rtl/>
          <w:lang w:bidi="he-IL"/>
        </w:rPr>
        <w:t xml:space="preserve"> </w:t>
      </w:r>
      <w:r w:rsidR="00696FC1" w:rsidRPr="00882F11">
        <w:rPr>
          <w:rFonts w:cs="Guttman Drogolin" w:hint="cs"/>
          <w:rtl/>
          <w:lang w:bidi="he-IL"/>
        </w:rPr>
        <w:t>כאילו</w:t>
      </w:r>
      <w:r w:rsidR="00696FC1" w:rsidRPr="00882F11">
        <w:rPr>
          <w:rFonts w:cs="Guttman Drogolin"/>
          <w:rtl/>
          <w:lang w:bidi="he-IL"/>
        </w:rPr>
        <w:t xml:space="preserve"> </w:t>
      </w:r>
      <w:r w:rsidR="00696FC1" w:rsidRPr="00882F11">
        <w:rPr>
          <w:rFonts w:cs="Guttman Drogolin" w:hint="cs"/>
          <w:rtl/>
          <w:lang w:bidi="he-IL"/>
        </w:rPr>
        <w:t>שותה</w:t>
      </w:r>
      <w:r w:rsidR="00696FC1" w:rsidRPr="00882F11">
        <w:rPr>
          <w:rFonts w:cs="Guttman Drogolin"/>
          <w:rtl/>
          <w:lang w:bidi="he-IL"/>
        </w:rPr>
        <w:t xml:space="preserve"> </w:t>
      </w:r>
      <w:r w:rsidR="00696FC1" w:rsidRPr="00882F11">
        <w:rPr>
          <w:rFonts w:cs="Guttman Drogolin" w:hint="cs"/>
          <w:rtl/>
          <w:lang w:bidi="he-IL"/>
        </w:rPr>
        <w:t>מן</w:t>
      </w:r>
      <w:r w:rsidR="00696FC1" w:rsidRPr="00882F11">
        <w:rPr>
          <w:rFonts w:cs="Guttman Drogolin"/>
          <w:rtl/>
          <w:lang w:bidi="he-IL"/>
        </w:rPr>
        <w:t xml:space="preserve"> </w:t>
      </w:r>
      <w:r w:rsidR="00696FC1" w:rsidRPr="00882F11">
        <w:rPr>
          <w:rFonts w:cs="Guttman Drogolin" w:hint="cs"/>
          <w:rtl/>
          <w:lang w:bidi="he-IL"/>
        </w:rPr>
        <w:t>היין</w:t>
      </w:r>
      <w:r w:rsidR="00696FC1" w:rsidRPr="00882F11">
        <w:rPr>
          <w:rFonts w:cs="Guttman Drogolin"/>
          <w:rtl/>
          <w:lang w:bidi="he-IL"/>
        </w:rPr>
        <w:t xml:space="preserve"> </w:t>
      </w:r>
      <w:r w:rsidR="00696FC1" w:rsidRPr="00882F11">
        <w:rPr>
          <w:rFonts w:cs="Guttman Drogolin" w:hint="cs"/>
          <w:rtl/>
          <w:lang w:bidi="he-IL"/>
        </w:rPr>
        <w:t>עצמו". ומ"מ כתב המהרש"א שרבא כשרצה להוכיח דלא כאביי התכוין להוכיח אליבא דלוי</w:t>
      </w:r>
      <w:r w:rsidR="005663F3" w:rsidRPr="00882F11">
        <w:rPr>
          <w:rFonts w:cs="Guttman Drogolin" w:hint="cs"/>
          <w:rtl/>
          <w:lang w:bidi="he-IL"/>
        </w:rPr>
        <w:t xml:space="preserve">. ולכאורה כוונתו דאה"נ שיטת רבא עצמו דאפילו לרב במס' פסחים בת תיהא לאו כלום הוא כיון שמזיק לו, אבל רבא לא הוכיח דלא כאביי משום סברא זו, אלא הוכיח דלא כאביי מסברת לוי, שהרי אם אין ריחא מילתא כגון אליבא דלוי ג"כ יש להתיר בת תיהא. </w:t>
      </w:r>
      <w:r w:rsidR="00BA70D4" w:rsidRPr="00882F11">
        <w:rPr>
          <w:rFonts w:cs="Guttman Drogolin" w:hint="cs"/>
          <w:rtl/>
          <w:lang w:bidi="he-IL"/>
        </w:rPr>
        <w:t>ואע"ג שאביי הרי קאמר למילתי' גם אליבא דלוי וכנ"ל, מ"מ רבא הקשה עד כמה שתלוי בשיטת רב, ואביי שהשיב לו הוא ג"כ עד כמה שסברינן כרב, ואה"נ באמת דאביי הוי אפילו אליבא דלוי אין כאן קושיא. וכאורה יש להוסיף בזה ביאור, דהא כיון דלא קשה הא דכמון על רב וכמו שביארו התוס' בהמשך דבריהם, לכאורה מהו כל הקושיא, הא אפילו אליבא דרב אין קושיא מכמון וכנ"ל. ולכאורה צריכים לומר שאין קושיא מכמון עד כמה שסוברים כרבא דבת תיהא, אבל אם כאביי דבת תיהא שפיר איכא פירכא אליבא דרב. וע"ש</w:t>
      </w:r>
      <w:r w:rsidR="00BA70D4" w:rsidRPr="00882F11">
        <w:rPr>
          <w:rFonts w:cs="Guttman Drogolin"/>
          <w:lang w:bidi="he-IL"/>
        </w:rPr>
        <w:t xml:space="preserve"> </w:t>
      </w:r>
      <w:r w:rsidR="00BA70D4" w:rsidRPr="00882F11">
        <w:rPr>
          <w:rFonts w:cs="Guttman Drogolin" w:hint="cs"/>
          <w:rtl/>
          <w:lang w:bidi="he-IL"/>
        </w:rPr>
        <w:t>במהרש"א עוד בזה, וכל הענין עדיין צ"ע.</w:t>
      </w:r>
    </w:p>
    <w:p w:rsidR="00383DF7" w:rsidRPr="00882F11" w:rsidRDefault="00BA70D4" w:rsidP="00D51987">
      <w:pPr>
        <w:bidi/>
        <w:jc w:val="both"/>
        <w:rPr>
          <w:rFonts w:cs="Guttman Drogolin"/>
          <w:rtl/>
          <w:lang w:bidi="he-IL"/>
        </w:rPr>
      </w:pPr>
      <w:r w:rsidRPr="00882F11">
        <w:rPr>
          <w:rFonts w:cs="Guttman Drogolin" w:hint="cs"/>
          <w:rtl/>
          <w:lang w:bidi="he-IL"/>
        </w:rPr>
        <w:t>והמהר"ם פירש דבריהם באופן אחר. והיינו דאליבא דמהרש"א יוצא שבין רבא ובין אביי סוברים שבעצם ריחא חשוב כשתיי', ולא נחלקו אלא בסברא דהיזק לגוף, שלאביי לא איכפת לן היזק הגוף ומ"מ חשוב שתיי', ולרבא כיון שיש היזק אינו חשוב כשתיי'. אבל המהר"ם סבר שנחלקו רבא ואביי בגוף סברא זו אם ריחא חשוב כשתיי' או לא, דאביי סבר שהוא כשתיי', ורבא לא. וכל הענין של היזק אינו אלא לבאר למה אין כאן משום איסור הנאה. ו</w:t>
      </w:r>
      <w:r w:rsidR="00C654D9" w:rsidRPr="00882F11">
        <w:rPr>
          <w:rFonts w:cs="Guttman Drogolin" w:hint="cs"/>
          <w:rtl/>
          <w:lang w:bidi="he-IL"/>
        </w:rPr>
        <w:t>ע"כ לדידי' הלשון של 'דלא</w:t>
      </w:r>
      <w:r w:rsidR="00C654D9" w:rsidRPr="00882F11">
        <w:rPr>
          <w:rFonts w:cs="Guttman Drogolin"/>
          <w:rtl/>
          <w:lang w:bidi="he-IL"/>
        </w:rPr>
        <w:t xml:space="preserve"> </w:t>
      </w:r>
      <w:r w:rsidR="00C654D9" w:rsidRPr="00882F11">
        <w:rPr>
          <w:rFonts w:cs="Guttman Drogolin" w:hint="cs"/>
          <w:rtl/>
          <w:lang w:bidi="he-IL"/>
        </w:rPr>
        <w:t>חשיב</w:t>
      </w:r>
      <w:r w:rsidR="00C654D9" w:rsidRPr="00882F11">
        <w:rPr>
          <w:rFonts w:cs="Guttman Drogolin"/>
          <w:rtl/>
          <w:lang w:bidi="he-IL"/>
        </w:rPr>
        <w:t xml:space="preserve"> </w:t>
      </w:r>
      <w:r w:rsidR="00C654D9" w:rsidRPr="00882F11">
        <w:rPr>
          <w:rFonts w:cs="Guttman Drogolin" w:hint="cs"/>
          <w:rtl/>
          <w:lang w:bidi="he-IL"/>
        </w:rPr>
        <w:t>ליה</w:t>
      </w:r>
      <w:r w:rsidR="00C654D9" w:rsidRPr="00882F11">
        <w:rPr>
          <w:rFonts w:cs="Guttman Drogolin"/>
          <w:rtl/>
          <w:lang w:bidi="he-IL"/>
        </w:rPr>
        <w:t xml:space="preserve"> </w:t>
      </w:r>
      <w:r w:rsidR="00C654D9" w:rsidRPr="00882F11">
        <w:rPr>
          <w:rFonts w:cs="Guttman Drogolin" w:hint="cs"/>
          <w:rtl/>
          <w:lang w:bidi="he-IL"/>
        </w:rPr>
        <w:t>כשותה' לאו דוקא נקט. ומ"מ לדידי' מובן שפיר הא דמשוה לסכין של ע"ז, דהא אין ההסבר של תוס' אלא בטעם שאין בה משום איסור הנאה</w:t>
      </w:r>
      <w:r w:rsidR="00C654D9" w:rsidRPr="00882F11">
        <w:rPr>
          <w:rStyle w:val="FootnoteReference"/>
          <w:rFonts w:cs="Guttman Drogolin"/>
          <w:rtl/>
          <w:lang w:bidi="he-IL"/>
        </w:rPr>
        <w:footnoteReference w:id="130"/>
      </w:r>
      <w:r w:rsidR="00C654D9" w:rsidRPr="00882F11">
        <w:rPr>
          <w:rFonts w:cs="Guttman Drogolin" w:hint="cs"/>
          <w:rtl/>
          <w:lang w:bidi="he-IL"/>
        </w:rPr>
        <w:t>. ולשיטתו ביאר הקושיא מכמון</w:t>
      </w:r>
      <w:r w:rsidR="00BE6525" w:rsidRPr="00882F11">
        <w:rPr>
          <w:rFonts w:cs="Guttman Drogolin" w:hint="cs"/>
          <w:rtl/>
          <w:lang w:bidi="he-IL"/>
        </w:rPr>
        <w:t xml:space="preserve"> </w:t>
      </w:r>
      <w:r w:rsidR="00005397" w:rsidRPr="00882F11">
        <w:rPr>
          <w:rFonts w:cs="Guttman Drogolin" w:hint="cs"/>
          <w:rtl/>
          <w:lang w:bidi="he-IL"/>
        </w:rPr>
        <w:lastRenderedPageBreak/>
        <w:t xml:space="preserve">משום שחשוב כשתי' ואילו לרבא לית לי' הא דהוי כשתי'. והוסיף לבאר שהרי התוס' כתבו אליבא דאביי שלא חשוב כשותה אלא כשמריח מגוף הדבר, ולכן מצי אביי סבר כלוי דסבר ריחא לאו מילתא היא, דרק הכא אסר כיון שמריל מגוף הדבר. וא"כ עדיין קשה מאי קא מקשי לי' רבא לאביי מזה, הא אביי שפיר מצי סבר דהא דכיון אינו אסור כיון שאינו מריח מגוך הדבר. </w:t>
      </w:r>
      <w:r w:rsidR="009A58F7" w:rsidRPr="00882F11">
        <w:rPr>
          <w:rFonts w:cs="Guttman Drogolin" w:hint="cs"/>
          <w:rtl/>
          <w:lang w:bidi="he-IL"/>
        </w:rPr>
        <w:t xml:space="preserve">ותי' "וי"ל דגבי כמון נמי נהנה מריח גוף הכמון ולכן לאביי דחשיב ליה כשותה הוי ליה ליתסר ולכך פריך ליה שפיר". וסתם ולא פירש לן למה חשוב נהנה מגוף הדבר. והי' נלעוק"ד פי' דבריו, שהענין של ריחא כשתיי' היינו דסבר אביי דכיון שמריח החפץ הרי זה עוד סוג של שתיי', ולכן אסור כמו שאסור לאכול ולשתות. </w:t>
      </w:r>
      <w:r w:rsidR="00EC645C" w:rsidRPr="00882F11">
        <w:rPr>
          <w:rFonts w:cs="Guttman Drogolin" w:hint="cs"/>
          <w:rtl/>
          <w:lang w:bidi="he-IL"/>
        </w:rPr>
        <w:t>ולכן ס"ד דבהא דכמון, כי</w:t>
      </w:r>
      <w:r w:rsidR="00383DF7" w:rsidRPr="00882F11">
        <w:rPr>
          <w:rFonts w:cs="Guttman Drogolin" w:hint="cs"/>
          <w:rtl/>
          <w:lang w:bidi="he-IL"/>
        </w:rPr>
        <w:t>ו</w:t>
      </w:r>
      <w:r w:rsidR="00EC645C" w:rsidRPr="00882F11">
        <w:rPr>
          <w:rFonts w:cs="Guttman Drogolin" w:hint="cs"/>
          <w:rtl/>
          <w:lang w:bidi="he-IL"/>
        </w:rPr>
        <w:t>ן שמריח ריחו של כמון, אע"ג שאינו מריח כן אלא בפת, מ"מ הריח הרי הוא תולדת הכמון ולכן הרי הוא מריח הכמון.</w:t>
      </w:r>
      <w:r w:rsidR="00383DF7" w:rsidRPr="00882F11">
        <w:rPr>
          <w:rFonts w:cs="Guttman Drogolin" w:hint="cs"/>
          <w:rtl/>
          <w:lang w:bidi="he-IL"/>
        </w:rPr>
        <w:t xml:space="preserve"> </w:t>
      </w:r>
    </w:p>
    <w:p w:rsidR="001E6EBF" w:rsidRPr="00882F11" w:rsidRDefault="00383DF7" w:rsidP="00383DF7">
      <w:pPr>
        <w:bidi/>
        <w:jc w:val="both"/>
        <w:rPr>
          <w:rFonts w:cs="Guttman Drogolin"/>
          <w:rtl/>
          <w:lang w:bidi="he-IL"/>
        </w:rPr>
      </w:pPr>
      <w:r w:rsidRPr="00882F11">
        <w:rPr>
          <w:rFonts w:cs="Guttman Drogolin" w:hint="cs"/>
          <w:rtl/>
          <w:lang w:bidi="he-IL"/>
        </w:rPr>
        <w:t xml:space="preserve">וע"פ זה אפשר לבא ולפרש תי' של אביי בהא דכמון, שאביי מתרץ דשאני התם דמיקלא קלי איסורא. וביארו הש"ך סי' ק"ח ס"ק י"ב) והגר"א (ס"ק י"ז) שכוותו לומר שלא אסרו אלא כשהריח מגיע ישירות מן החפץ שהוא מקור הריח, אבל אם הכמון כבר אינו כאן, רק שמריח ריח כמון בתוך הפת, אין לאסור משום שריחא מילתא היא. וע"ש שע"פ זה מובן הוראת הרמ"א שם שמותר לאפות באותו תנור היתר לאחר איסור אע"ג שנשאר מריח האיסור בתוך התנור משום שהאיסור עדיין איננו כאן וכמו שנתבאר כאן. ולשיטת מהרש"א י"ל שכל כוונת הגמ' על דרכו של רב, ששאלת הגמ' למה אסור לאכול חפץ שיש בה ריח אע"ג שעיקר המחלוקת דבת תיהא לא שייך לזה וכנ"ל. ובזה מתרצת הגמ' דאע"ג שיש ריח הפת מ"מ כיון שלא הגיע הריח ישירות מן הכמון ליכא למיסר משום ריחא מילתא (ויל"ע מהו הטעם לחלק בזה כיון שסוף כל סוף יש כאן מריח הכמון, ואפילו לא הוי מיקלא איסורי' הי' מריח אותו ריח. ואולי י"ל שכוונתו שבכה"ג שמקילא קלי </w:t>
      </w:r>
      <w:r w:rsidRPr="00882F11">
        <w:rPr>
          <w:rFonts w:cs="Guttman Drogolin" w:hint="cs"/>
          <w:rtl/>
          <w:lang w:bidi="he-IL"/>
        </w:rPr>
        <w:lastRenderedPageBreak/>
        <w:t>איסורי' טבע הדברים שאין לריח מספיק כח ולכן תלינן שאינו מריח הכמון). אבל למהר"ם לכאורה י"ל שאופן אחר, והוא דכיון שאינו מריח ריח הכמון ישירות מן הכמון אין להחשיב דבר זה כשתי'.</w:t>
      </w:r>
    </w:p>
    <w:p w:rsidR="001E6EBF" w:rsidRPr="00882F11" w:rsidRDefault="001E6EBF" w:rsidP="001E6EBF">
      <w:pPr>
        <w:bidi/>
        <w:jc w:val="both"/>
        <w:rPr>
          <w:rFonts w:cs="Guttman Drogolin"/>
          <w:rtl/>
          <w:lang w:bidi="he-IL"/>
        </w:rPr>
        <w:sectPr w:rsidR="001E6EBF" w:rsidRPr="00882F11" w:rsidSect="00615FF2">
          <w:type w:val="continuous"/>
          <w:pgSz w:w="11907" w:h="16839" w:code="9"/>
          <w:pgMar w:top="1440" w:right="1440" w:bottom="1440" w:left="1440" w:header="720" w:footer="720" w:gutter="0"/>
          <w:cols w:num="2" w:space="720"/>
          <w:bidi/>
          <w:docGrid w:linePitch="360"/>
        </w:sectPr>
      </w:pPr>
    </w:p>
    <w:p w:rsidR="001E6EBF" w:rsidRPr="00882F11" w:rsidRDefault="001E6EBF" w:rsidP="001E6EBF">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ל"א</w:t>
      </w:r>
    </w:p>
    <w:p w:rsidR="00615FF2" w:rsidRDefault="00615FF2" w:rsidP="001E6EBF">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sectPr w:rsidR="00615FF2" w:rsidSect="00615FF2">
          <w:pgSz w:w="11907" w:h="16839" w:code="9"/>
          <w:pgMar w:top="1440" w:right="1440" w:bottom="1440" w:left="1440" w:header="720" w:footer="720" w:gutter="0"/>
          <w:cols w:space="720"/>
          <w:bidi/>
          <w:docGrid w:linePitch="360"/>
        </w:sectPr>
      </w:pPr>
    </w:p>
    <w:p w:rsidR="001E6EBF" w:rsidRPr="00882F11" w:rsidRDefault="001E6EBF" w:rsidP="001E6EBF">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18" w:name="_Toc496175377"/>
      <w:r w:rsidRPr="00882F11">
        <w:rPr>
          <w:rFonts w:asciiTheme="majorHAnsi" w:eastAsiaTheme="majorEastAsia" w:hAnsiTheme="majorHAnsi" w:cs="Guttman Drogolin" w:hint="cs"/>
          <w:b/>
          <w:bCs/>
          <w:sz w:val="24"/>
          <w:szCs w:val="24"/>
          <w:u w:val="single"/>
          <w:rtl/>
          <w:lang w:bidi="he-IL"/>
        </w:rPr>
        <w:lastRenderedPageBreak/>
        <w:t>למה אין בבת תיהא משום איסור הנאה</w:t>
      </w:r>
      <w:bookmarkEnd w:id="118"/>
    </w:p>
    <w:p w:rsidR="00B219EE" w:rsidRPr="00882F11" w:rsidRDefault="007D352B" w:rsidP="00466470">
      <w:pPr>
        <w:bidi/>
        <w:jc w:val="both"/>
        <w:rPr>
          <w:rFonts w:cs="Guttman Drogolin"/>
          <w:rtl/>
          <w:lang w:bidi="he-IL"/>
        </w:rPr>
      </w:pPr>
      <w:r>
        <w:rPr>
          <w:rFonts w:cs="Guttman Drogolin"/>
          <w:rtl/>
          <w:lang w:bidi="he-IL"/>
        </w:rPr>
        <w:fldChar w:fldCharType="begin"/>
      </w:r>
      <w:r>
        <w:instrText xml:space="preserve"> XE "</w:instrText>
      </w:r>
      <w:r w:rsidRPr="005F051D">
        <w:rPr>
          <w:rFonts w:hint="cs"/>
          <w:rtl/>
          <w:lang w:bidi="he-IL"/>
        </w:rPr>
        <w:instrText>ריחא מילתא</w:instrText>
      </w:r>
      <w:r w:rsidRPr="005F051D">
        <w:rPr>
          <w:rtl/>
        </w:rPr>
        <w:instrText>:</w:instrText>
      </w:r>
      <w:r w:rsidRPr="005F051D">
        <w:rPr>
          <w:rFonts w:hint="cs"/>
          <w:rtl/>
          <w:lang w:bidi="he-IL"/>
        </w:rPr>
        <w:instrText>ליאסר משום נהנה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831031">
        <w:rPr>
          <w:rFonts w:hint="cs"/>
          <w:rtl/>
          <w:lang w:bidi="he-IL"/>
        </w:rPr>
        <w:instrText>איסור הנאה</w:instrText>
      </w:r>
      <w:r w:rsidRPr="00831031">
        <w:rPr>
          <w:rtl/>
        </w:rPr>
        <w:instrText>:</w:instrText>
      </w:r>
      <w:r w:rsidRPr="00831031">
        <w:rPr>
          <w:rFonts w:hint="cs"/>
          <w:rtl/>
          <w:lang w:bidi="he-IL"/>
        </w:rPr>
        <w:instrText>לענין הסוגיא דריחא מילתא</w:instrText>
      </w:r>
      <w:r>
        <w:instrText xml:space="preserve">" </w:instrText>
      </w:r>
      <w:r>
        <w:rPr>
          <w:rFonts w:cs="Guttman Drogolin"/>
          <w:rtl/>
          <w:lang w:bidi="he-IL"/>
        </w:rPr>
        <w:fldChar w:fldCharType="end"/>
      </w:r>
      <w:r w:rsidR="00690196" w:rsidRPr="00882F11">
        <w:rPr>
          <w:rFonts w:cs="Guttman Drogolin" w:hint="cs"/>
          <w:rtl/>
          <w:lang w:bidi="he-IL"/>
        </w:rPr>
        <w:t>הבאנו בשיעור הקודם שיטת התוס' בדף ס"ו ע"א בטעם הדבר שאין בבת תיהא משום איסור הנאה, אע"ג שאנחנו מוצאים בדף י"ב ע"ב, וכן בפסחים דף כ"ה דאסור להריח מדבר שאסרה בהנאה. שהוא משום שיש יותר קלקול מתיקון. וכן הוא מסקנת התוס' לעיל בדף י"ב ע"ב. אמנם תוס' שם מעיקרא ביארו מטעם אחר</w:t>
      </w:r>
      <w:r w:rsidR="00466470" w:rsidRPr="00882F11">
        <w:rPr>
          <w:rStyle w:val="FootnoteReference"/>
          <w:rFonts w:cs="Guttman Drogolin"/>
          <w:rtl/>
          <w:lang w:bidi="he-IL"/>
        </w:rPr>
        <w:footnoteReference w:id="131"/>
      </w:r>
      <w:r w:rsidR="00690196" w:rsidRPr="00882F11">
        <w:rPr>
          <w:rFonts w:cs="Guttman Drogolin" w:hint="cs"/>
          <w:rtl/>
          <w:lang w:bidi="he-IL"/>
        </w:rPr>
        <w:t>, והוא משום דהא דמצאנו בעלמא דאסור להריח דבר שאסור בהנאה, הנ"מ דבר שקיים לריחו, אבל דבר שאינו קיים לריחו אין בו משום איס</w:t>
      </w:r>
      <w:r w:rsidR="00466470" w:rsidRPr="00882F11">
        <w:rPr>
          <w:rFonts w:cs="Guttman Drogolin" w:hint="cs"/>
          <w:rtl/>
          <w:lang w:bidi="he-IL"/>
        </w:rPr>
        <w:t>ור</w:t>
      </w:r>
      <w:r w:rsidR="00690196" w:rsidRPr="00882F11">
        <w:rPr>
          <w:rFonts w:cs="Guttman Drogolin" w:hint="cs"/>
          <w:rtl/>
          <w:lang w:bidi="he-IL"/>
        </w:rPr>
        <w:t xml:space="preserve"> הנאה.</w:t>
      </w:r>
      <w:r w:rsidR="00466470" w:rsidRPr="00882F11">
        <w:rPr>
          <w:rFonts w:cs="Guttman Drogolin" w:hint="cs"/>
          <w:rtl/>
          <w:lang w:bidi="he-IL"/>
        </w:rPr>
        <w:t xml:space="preserve"> </w:t>
      </w:r>
      <w:r w:rsidR="00B219EE" w:rsidRPr="00882F11">
        <w:rPr>
          <w:rFonts w:cs="Guttman Drogolin" w:hint="cs"/>
          <w:rtl/>
          <w:lang w:bidi="he-IL"/>
        </w:rPr>
        <w:t xml:space="preserve">וכן נקט הרמב"ן בחידושיו כאן בדף ס"ו ע"ב. </w:t>
      </w:r>
      <w:r w:rsidR="00466470" w:rsidRPr="00882F11">
        <w:rPr>
          <w:rFonts w:cs="Guttman Drogolin" w:hint="cs"/>
          <w:rtl/>
          <w:lang w:bidi="he-IL"/>
        </w:rPr>
        <w:t xml:space="preserve">ומשמע מתוס' </w:t>
      </w:r>
      <w:r w:rsidR="00B219EE" w:rsidRPr="00882F11">
        <w:rPr>
          <w:rFonts w:cs="Guttman Drogolin" w:hint="cs"/>
          <w:rtl/>
          <w:lang w:bidi="he-IL"/>
        </w:rPr>
        <w:t xml:space="preserve">שם </w:t>
      </w:r>
      <w:r w:rsidR="00466470" w:rsidRPr="00882F11">
        <w:rPr>
          <w:rFonts w:cs="Guttman Drogolin" w:hint="cs"/>
          <w:rtl/>
          <w:lang w:bidi="he-IL"/>
        </w:rPr>
        <w:t xml:space="preserve">שהטעם שאין לאסור כשאינו קיים לריחו משום דהוי שלא כדרך הנאתו, וע"ש שבסופו של דבר חזרו לתי' דקלקול רבה על התיקון כיון שי"ל ששלא כדרך הנאתו אסור. </w:t>
      </w:r>
      <w:r w:rsidR="00B219EE" w:rsidRPr="00882F11">
        <w:rPr>
          <w:rFonts w:cs="Guttman Drogolin" w:hint="cs"/>
          <w:rtl/>
          <w:lang w:bidi="he-IL"/>
        </w:rPr>
        <w:t>ולכאורה יל"ע לפי זה מה איכפת לן לשיטת אביי דריחא מילתא היא, הא מ"מ הוי שלא כדרך הנאתו.</w:t>
      </w:r>
    </w:p>
    <w:p w:rsidR="00565B82" w:rsidRPr="00882F11" w:rsidRDefault="00B219EE" w:rsidP="00DC4A7E">
      <w:pPr>
        <w:bidi/>
        <w:jc w:val="both"/>
        <w:rPr>
          <w:rFonts w:cs="Guttman Drogolin"/>
          <w:rtl/>
          <w:lang w:bidi="he-IL"/>
        </w:rPr>
      </w:pPr>
      <w:r w:rsidRPr="00882F11">
        <w:rPr>
          <w:rFonts w:cs="Guttman Drogolin" w:hint="cs"/>
          <w:rtl/>
          <w:lang w:bidi="he-IL"/>
        </w:rPr>
        <w:t xml:space="preserve">ויש לזה ב' ביאורים. חדא </w:t>
      </w:r>
      <w:r w:rsidR="00DC4A7E" w:rsidRPr="00882F11">
        <w:rPr>
          <w:rFonts w:cs="Guttman Drogolin" w:hint="cs"/>
          <w:rtl/>
          <w:lang w:bidi="he-IL"/>
        </w:rPr>
        <w:t xml:space="preserve">שבשער"י ש"ג פכ"ה </w:t>
      </w:r>
      <w:r w:rsidRPr="00882F11">
        <w:rPr>
          <w:rFonts w:cs="Guttman Drogolin" w:hint="cs"/>
          <w:rtl/>
          <w:lang w:bidi="he-IL"/>
        </w:rPr>
        <w:t xml:space="preserve">ביאר דהא דאסרינן אליבא דרבא בדבר שהוא דרך הנאתו, היינו משום חשוב כנהנה מן המאכל, ולכן אע"ג שאין ריחא מילתא הא מ"מ נהנה מן המאכל עצמו. ומשו"ה אם הוא שלא כדרך הנאתו </w:t>
      </w:r>
      <w:r w:rsidR="001D1BF2" w:rsidRPr="00882F11">
        <w:rPr>
          <w:rFonts w:cs="Guttman Drogolin" w:hint="cs"/>
          <w:rtl/>
          <w:lang w:bidi="he-IL"/>
        </w:rPr>
        <w:t>יש להתיר כיון שלא כך נהנהים ממאכל זו. אבל למ"</w:t>
      </w:r>
      <w:r w:rsidR="00DC4A7E" w:rsidRPr="00882F11">
        <w:rPr>
          <w:rFonts w:cs="Guttman Drogolin" w:hint="cs"/>
          <w:rtl/>
          <w:lang w:bidi="he-IL"/>
        </w:rPr>
        <w:t>ד</w:t>
      </w:r>
      <w:r w:rsidR="001D1BF2" w:rsidRPr="00882F11">
        <w:rPr>
          <w:rFonts w:cs="Guttman Drogolin"/>
          <w:lang w:bidi="he-IL"/>
        </w:rPr>
        <w:t xml:space="preserve"> </w:t>
      </w:r>
      <w:r w:rsidR="001D1BF2" w:rsidRPr="00882F11">
        <w:rPr>
          <w:rFonts w:cs="Guttman Drogolin" w:hint="cs"/>
          <w:rtl/>
          <w:lang w:bidi="he-IL"/>
        </w:rPr>
        <w:t>ריחא מילתא היא, לא איכפת לן בזה שאין איסור ליהנות כה"ג מן המאכל, דהא לאביי הטעם שאסור משום ששותה הריח, וכיון שאכילה ושתיי הוו כדרכן הרי זה אסור, ולא התחשבין בזה שצורה זו של אכילה ושתיי' הוי שלא כדרך.</w:t>
      </w:r>
      <w:r w:rsidR="00565B82" w:rsidRPr="00882F11">
        <w:rPr>
          <w:rFonts w:cs="Guttman Drogolin" w:hint="cs"/>
          <w:rtl/>
          <w:lang w:bidi="he-IL"/>
        </w:rPr>
        <w:t xml:space="preserve"> </w:t>
      </w:r>
    </w:p>
    <w:p w:rsidR="00565B82" w:rsidRPr="00882F11" w:rsidRDefault="00565B82" w:rsidP="00DC4A7E">
      <w:pPr>
        <w:bidi/>
        <w:jc w:val="both"/>
        <w:rPr>
          <w:rFonts w:cs="Guttman Drogolin"/>
          <w:rtl/>
          <w:lang w:bidi="he-IL"/>
        </w:rPr>
      </w:pPr>
      <w:r w:rsidRPr="00882F11">
        <w:rPr>
          <w:rFonts w:cs="Guttman Drogolin" w:hint="cs"/>
          <w:rtl/>
          <w:lang w:bidi="he-IL"/>
        </w:rPr>
        <w:t>ועוד ביאור יש</w:t>
      </w:r>
      <w:r w:rsidR="00DC4A7E" w:rsidRPr="00882F11">
        <w:rPr>
          <w:rFonts w:cs="Guttman Drogolin" w:hint="cs"/>
          <w:rtl/>
          <w:lang w:bidi="he-IL"/>
        </w:rPr>
        <w:t xml:space="preserve"> ביד יהודה סי' ק"ח ס"ק י"ב</w:t>
      </w:r>
      <w:r w:rsidRPr="00882F11">
        <w:rPr>
          <w:rFonts w:cs="Guttman Drogolin" w:hint="cs"/>
          <w:rtl/>
          <w:lang w:bidi="he-IL"/>
        </w:rPr>
        <w:t xml:space="preserve">, והוא דהא דאמרינן שריחו של מאכל הוא מילתא אחריתי, הנ"מ בדבר שאינו קיים לריחו, אבל בדבר שקיים לריחו אמרינן דריחו ג"כ הוי חלק של המאכל, ולכן יש לאסור אפילו משום שתיי' אליבא </w:t>
      </w:r>
      <w:r w:rsidRPr="00882F11">
        <w:rPr>
          <w:rFonts w:cs="Guttman Drogolin" w:hint="cs"/>
          <w:rtl/>
          <w:lang w:bidi="he-IL"/>
        </w:rPr>
        <w:lastRenderedPageBreak/>
        <w:t>דרבא. וכל המחלוקת בין אביי ורבא הוא בריחא שאינו חשוב חלק של המאכל, שלרבא כיון דריחא לאו מילתא היא הרי זה מותר, ולאביי דסבר מילתא היא יש לאסור.</w:t>
      </w:r>
      <w:r w:rsidR="00DC4A7E" w:rsidRPr="00882F11">
        <w:rPr>
          <w:rFonts w:cs="Guttman Drogolin" w:hint="cs"/>
          <w:rtl/>
          <w:lang w:bidi="he-IL"/>
        </w:rPr>
        <w:t xml:space="preserve"> ולפי דבריו יותר מדויק מש"כ הראשונים שבעומד לריחא לכו"ע 'ריחא מילתא היא'.</w:t>
      </w:r>
    </w:p>
    <w:p w:rsidR="00993673" w:rsidRPr="00882F11" w:rsidRDefault="007D352B" w:rsidP="00097A4E">
      <w:pPr>
        <w:bidi/>
        <w:jc w:val="both"/>
        <w:rPr>
          <w:rFonts w:cs="Guttman Drogolin"/>
          <w:rtl/>
          <w:lang w:bidi="he-IL"/>
        </w:rPr>
      </w:pPr>
      <w:r>
        <w:rPr>
          <w:rFonts w:cs="Guttman Drogolin"/>
          <w:rtl/>
          <w:lang w:bidi="he-IL"/>
        </w:rPr>
        <w:fldChar w:fldCharType="begin"/>
      </w:r>
      <w:r>
        <w:instrText xml:space="preserve"> XE "</w:instrText>
      </w:r>
      <w:r w:rsidRPr="0033306D">
        <w:rPr>
          <w:rFonts w:hint="cs"/>
          <w:rtl/>
          <w:lang w:bidi="he-IL"/>
        </w:rPr>
        <w:instrText>דבר שאינו מתכוין</w:instrText>
      </w:r>
      <w:r w:rsidRPr="0033306D">
        <w:rPr>
          <w:rtl/>
        </w:rPr>
        <w:instrText>:</w:instrText>
      </w:r>
      <w:r w:rsidRPr="0033306D">
        <w:rPr>
          <w:rFonts w:hint="cs"/>
          <w:rtl/>
          <w:lang w:bidi="he-IL"/>
        </w:rPr>
        <w:instrText>פסיק רישא באיסורי הנאה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9D559C">
        <w:rPr>
          <w:rFonts w:hint="cs"/>
          <w:rtl/>
          <w:lang w:bidi="he-IL"/>
        </w:rPr>
        <w:instrText>פסיק רישא</w:instrText>
      </w:r>
      <w:r>
        <w:instrText>" \t "</w:instrText>
      </w:r>
      <w:r w:rsidRPr="00E74581">
        <w:rPr>
          <w:rFonts w:cs="Times New Roman" w:hint="cs"/>
          <w:i/>
          <w:rtl/>
          <w:lang w:bidi="he-IL"/>
        </w:rPr>
        <w:instrText>ע</w:instrText>
      </w:r>
      <w:r w:rsidRPr="00E74581">
        <w:rPr>
          <w:rFonts w:cstheme="minorHAnsi" w:hint="cs"/>
          <w:i/>
          <w:rtl/>
          <w:lang w:bidi="he-IL"/>
        </w:rPr>
        <w:instrText xml:space="preserve">' </w:instrText>
      </w:r>
      <w:r w:rsidRPr="00E74581">
        <w:rPr>
          <w:rFonts w:cs="Times New Roman" w:hint="cs"/>
          <w:i/>
          <w:rtl/>
          <w:lang w:bidi="he-IL"/>
        </w:rPr>
        <w:instrText>דבר שאינו מתכוין</w:instrText>
      </w:r>
      <w:r>
        <w:instrText xml:space="preserve">" </w:instrText>
      </w:r>
      <w:r>
        <w:rPr>
          <w:rFonts w:cs="Guttman Drogolin"/>
          <w:rtl/>
          <w:lang w:bidi="he-IL"/>
        </w:rPr>
        <w:fldChar w:fldCharType="end"/>
      </w:r>
      <w:r w:rsidR="00565B82" w:rsidRPr="00882F11">
        <w:rPr>
          <w:rFonts w:cs="Guttman Drogolin" w:hint="cs"/>
          <w:rtl/>
          <w:lang w:bidi="he-IL"/>
        </w:rPr>
        <w:t>ובר"ן על הרי"</w:t>
      </w:r>
      <w:r w:rsidR="00EE2CDB" w:rsidRPr="00882F11">
        <w:rPr>
          <w:rFonts w:cs="Guttman Drogolin" w:hint="cs"/>
          <w:rtl/>
          <w:lang w:bidi="he-IL"/>
        </w:rPr>
        <w:t>ף במס' חולין בסוגיא דבת תיהא כתב הטעם להתיר בהנאה כיון שאינו מתכוין להנאה, ואע"ג דהוי פסיק רישא מ"</w:t>
      </w:r>
      <w:r w:rsidR="00A6274D" w:rsidRPr="00882F11">
        <w:rPr>
          <w:rFonts w:cs="Guttman Drogolin" w:hint="cs"/>
          <w:rtl/>
          <w:lang w:bidi="he-IL"/>
        </w:rPr>
        <w:t>מ באיסורי הנאה כיון ש</w:t>
      </w:r>
      <w:r w:rsidR="00EE2CDB" w:rsidRPr="00882F11">
        <w:rPr>
          <w:rFonts w:cs="Guttman Drogolin" w:hint="cs"/>
          <w:rtl/>
          <w:lang w:bidi="he-IL"/>
        </w:rPr>
        <w:t>אינו מתכוין מותר וכדמוכח ממוכרי כסות שמותר להם למכור כדרכן ובלבד שלא יכוונו בחמה מפני החמה ובגשמים מפני הגשמים.</w:t>
      </w:r>
      <w:r w:rsidR="00A6274D" w:rsidRPr="00882F11">
        <w:rPr>
          <w:rFonts w:cs="Guttman Drogolin" w:hint="cs"/>
          <w:rtl/>
          <w:lang w:bidi="he-IL"/>
        </w:rPr>
        <w:t xml:space="preserve"> וכל זה כשהאיסור משום ההנאה, אבל לאביי דסבר שאסור משום שתיי' לא איכפת לן וכדחזינן מזה שהמתעסק בחלבים ועריות חייב שכן נהנה. ונראה הביאור בכוונתו דהנה בכל איסורים שבתורה נחלקו ר' יהודה ור' שמעון אם עובר עליהם אע"פ שלא התכוין, דר' יהודה סבר דבר שאינו מתכוין אסור, ולכן אע"פ שלא התכוין מ"מ אסור, ור' שמעון סבר שאינו עובר אא"כ התכוין. וקיי"ל בזה כר' שמעון דדבר שאינו מתכוין מותר. ומ"מ מבואר בכמה מקומות בש"ס שאפילו ר"ש מודה בפסיק רישא ולא ימות שאסור, והטעם דכיון שמתכוין לעשות דבר שע"כ יביא ממילא מעשה איסור גם זה חשוב מתכוין. אמנם הסברא של </w:t>
      </w:r>
      <w:r w:rsidR="00097A4E" w:rsidRPr="00882F11">
        <w:rPr>
          <w:rFonts w:cs="Guttman Drogolin" w:hint="cs"/>
          <w:rtl/>
          <w:lang w:bidi="he-IL"/>
        </w:rPr>
        <w:t>פסיק רישא</w:t>
      </w:r>
      <w:r w:rsidR="00A6274D" w:rsidRPr="00882F11">
        <w:rPr>
          <w:rFonts w:cs="Guttman Drogolin" w:hint="cs"/>
          <w:rtl/>
          <w:lang w:bidi="he-IL"/>
        </w:rPr>
        <w:t xml:space="preserve"> לא מהני אלא בכאלו דברים </w:t>
      </w:r>
      <w:r w:rsidR="00097A4E" w:rsidRPr="00882F11">
        <w:rPr>
          <w:rFonts w:cs="Guttman Drogolin" w:hint="cs"/>
          <w:rtl/>
          <w:lang w:bidi="he-IL"/>
        </w:rPr>
        <w:t>שבעצם הוו מעשי עבירה רק שחסר בהם התנאי שאינו עובר אא"כ מתכוין, ובזה אמרינן דכיון שהוי פסיק רישא עובר, אבל בדבר שצריכים כוונה משום שהכוונה הוא חלק של המעשה עבירה, לא מהני פסיק רישא לומר בזה שעובר, דכדי שיחשב מעשה עבירה צריכים כוונה בפועל. ובזה סבר הר"ן</w:t>
      </w:r>
      <w:r w:rsidR="00A6274D" w:rsidRPr="00882F11">
        <w:rPr>
          <w:rFonts w:cs="Guttman Drogolin" w:hint="cs"/>
          <w:rtl/>
          <w:lang w:bidi="he-IL"/>
        </w:rPr>
        <w:t xml:space="preserve"> שבאיסורי הנאה אינו חשוב כמעשה איסור אא"כ מתכוין</w:t>
      </w:r>
      <w:r w:rsidR="00097A4E" w:rsidRPr="00882F11">
        <w:rPr>
          <w:rFonts w:cs="Guttman Drogolin" w:hint="cs"/>
          <w:rtl/>
          <w:lang w:bidi="he-IL"/>
        </w:rPr>
        <w:t xml:space="preserve">, </w:t>
      </w:r>
      <w:r w:rsidR="00993673" w:rsidRPr="00882F11">
        <w:rPr>
          <w:rFonts w:cs="Guttman Drogolin" w:hint="cs"/>
          <w:rtl/>
          <w:lang w:bidi="he-IL"/>
        </w:rPr>
        <w:t xml:space="preserve">שהאיסור ליהנות אינו בזה לבש שמקבל הרגשה של הנאה, אלא בזה שלוקח הנאה </w:t>
      </w:r>
      <w:r w:rsidR="00993673" w:rsidRPr="00882F11">
        <w:rPr>
          <w:rFonts w:cs="Guttman Drogolin" w:hint="cs"/>
          <w:rtl/>
          <w:lang w:bidi="he-IL"/>
        </w:rPr>
        <w:lastRenderedPageBreak/>
        <w:t xml:space="preserve">בכוונה. </w:t>
      </w:r>
      <w:r w:rsidR="00097A4E" w:rsidRPr="00882F11">
        <w:rPr>
          <w:rFonts w:cs="Guttman Drogolin" w:hint="cs"/>
          <w:rtl/>
          <w:lang w:bidi="he-IL"/>
        </w:rPr>
        <w:t>ולכן אע"ג שהוי פסיק רישא, כיון שאינו מתכוין מותר.</w:t>
      </w:r>
    </w:p>
    <w:p w:rsidR="00F670DB" w:rsidRPr="00882F11" w:rsidRDefault="00993673" w:rsidP="00993673">
      <w:pPr>
        <w:bidi/>
        <w:jc w:val="both"/>
        <w:rPr>
          <w:rFonts w:cs="Guttman Drogolin"/>
          <w:rtl/>
          <w:lang w:bidi="he-IL"/>
        </w:rPr>
      </w:pPr>
      <w:r w:rsidRPr="00882F11">
        <w:rPr>
          <w:rFonts w:cs="Guttman Drogolin" w:hint="cs"/>
          <w:rtl/>
          <w:lang w:bidi="he-IL"/>
        </w:rPr>
        <w:t xml:space="preserve">והנ"מ באיסור הנאה, אבל איסור אכילה ושתי' הוי זה מעשה עבירה אע"פ שאינו מתכוין בפועל כיון שהוי פסיק רישא. וכי תימא דהא גם אכילה ושתי' הוו מעשית של הנאה, ואולי גם בזה נאמר הדין שאם אינו מכוין אינו חשוב מעשה עבירה, בזה הוכיח הר"ן דכיון דחזינן שהמתעסק בחלבים ועריות </w:t>
      </w:r>
      <w:r w:rsidR="00A808E1" w:rsidRPr="00882F11">
        <w:rPr>
          <w:rFonts w:cs="Guttman Drogolin" w:hint="cs"/>
          <w:rtl/>
          <w:lang w:bidi="he-IL"/>
        </w:rPr>
        <w:t>חייב, ע"כ חזינן שאין הכ</w:t>
      </w:r>
      <w:r w:rsidR="00EE4458" w:rsidRPr="00882F11">
        <w:rPr>
          <w:rFonts w:cs="Guttman Drogolin" w:hint="cs"/>
          <w:rtl/>
          <w:lang w:bidi="he-IL"/>
        </w:rPr>
        <w:t>וונה חלק של המעשה עבירה, וא"כ מ</w:t>
      </w:r>
      <w:r w:rsidR="00A808E1" w:rsidRPr="00882F11">
        <w:rPr>
          <w:rFonts w:cs="Guttman Drogolin" w:hint="cs"/>
          <w:rtl/>
          <w:lang w:bidi="he-IL"/>
        </w:rPr>
        <w:t xml:space="preserve">מילא ידעינן שבפסיק רישא חייב. כן לעוק"ד ביאור דברי הר"ן. </w:t>
      </w:r>
    </w:p>
    <w:p w:rsidR="00BA70D4" w:rsidRPr="00882F11" w:rsidRDefault="00F670DB" w:rsidP="00B95756">
      <w:pPr>
        <w:bidi/>
        <w:jc w:val="both"/>
        <w:rPr>
          <w:rFonts w:cs="Guttman Drogolin"/>
          <w:rtl/>
          <w:lang w:bidi="he-IL"/>
        </w:rPr>
      </w:pPr>
      <w:r w:rsidRPr="00882F11">
        <w:rPr>
          <w:rFonts w:cs="Guttman Drogolin" w:hint="cs"/>
          <w:rtl/>
          <w:lang w:bidi="he-IL"/>
        </w:rPr>
        <w:t>ואני אוסיף שלכאורה יש קושיא להסברו של הר"ן, דהא הר"ן הביא ראי' ממוכרי כסות שכוונה הרי הוא חלק של המעשה עב</w:t>
      </w:r>
      <w:r w:rsidR="00B95756" w:rsidRPr="00882F11">
        <w:rPr>
          <w:rFonts w:cs="Guttman Drogolin" w:hint="cs"/>
          <w:rtl/>
          <w:lang w:bidi="he-IL"/>
        </w:rPr>
        <w:t xml:space="preserve">ירה, ולכאורה צ"ע דהא מבואר שהדין של מוכרי כסות תלוי במחלוקת ר' יהודה ור' שמעון, ולר' יהודה הרי אסור מוכרי כסות, וכיון שלכאורה כל המחלוקת בין ר' יהודה לא' שמעון הוא אם יש תנאי נוסף של כוונה או לא, למה יהא עובר לר' יהודה במוכרי כסות כשאינו מכוין בפועל יותר מלר' שמעון. וביאר מו"א הגרא"א בזה, דע"כ המחלוקת בין ר' יהודה לר' שמעון אינו אם צריכים תנאי נוסף של כוונה, ולעולם גם ר' יהודה סבר שצריכים כוונה כדי לעבור. רק דסבר ר' יהודה דכיון שיודע שע"י מעשיו יכול להיות שיצא מעשה עבירה, זה לבד מספיק כדי ליחשב כוונה. </w:t>
      </w:r>
      <w:r w:rsidR="00244CA4" w:rsidRPr="00882F11">
        <w:rPr>
          <w:rFonts w:cs="Guttman Drogolin" w:hint="cs"/>
          <w:rtl/>
          <w:lang w:bidi="he-IL"/>
        </w:rPr>
        <w:t>וכיון שזהו המחלוקת שביניהם, יתכן שגם לענין זה שחשוב כוונה כדי שיהא עליו שם מעשה עבירה ג"כ נחלקו, דר' יהודה סבר דכוונה כנ"ל חשוב כוונה, ולכן באיסורי הנאה חשוב מעשה עבירה, ור' שמעון סבר דכה"ג לא חשוב מכוין. ויסוד לביאור זה יש גם במאירי למס' שבת דף ק"ג ע"א, ואכמ"ל.</w:t>
      </w:r>
      <w:r w:rsidR="00B95756" w:rsidRPr="00882F11">
        <w:rPr>
          <w:rFonts w:cs="Guttman Drogolin" w:hint="cs"/>
          <w:rtl/>
          <w:lang w:bidi="he-IL"/>
        </w:rPr>
        <w:t xml:space="preserve"> </w:t>
      </w:r>
      <w:r w:rsidR="00993673" w:rsidRPr="00882F11">
        <w:rPr>
          <w:rFonts w:cs="Guttman Drogolin" w:hint="cs"/>
          <w:rtl/>
          <w:lang w:bidi="he-IL"/>
        </w:rPr>
        <w:t xml:space="preserve"> </w:t>
      </w:r>
      <w:r w:rsidR="00097A4E" w:rsidRPr="00882F11">
        <w:rPr>
          <w:rFonts w:cs="Guttman Drogolin" w:hint="cs"/>
          <w:rtl/>
          <w:lang w:bidi="he-IL"/>
        </w:rPr>
        <w:t xml:space="preserve"> </w:t>
      </w:r>
      <w:r w:rsidR="00A6274D" w:rsidRPr="00882F11">
        <w:rPr>
          <w:rFonts w:cs="Guttman Drogolin" w:hint="cs"/>
          <w:rtl/>
          <w:lang w:bidi="he-IL"/>
        </w:rPr>
        <w:t xml:space="preserve"> </w:t>
      </w:r>
      <w:r w:rsidR="00EE2CDB" w:rsidRPr="00882F11">
        <w:rPr>
          <w:rFonts w:cs="Guttman Drogolin" w:hint="cs"/>
          <w:rtl/>
          <w:lang w:bidi="he-IL"/>
        </w:rPr>
        <w:t xml:space="preserve"> </w:t>
      </w:r>
      <w:r w:rsidR="00565B82" w:rsidRPr="00882F11">
        <w:rPr>
          <w:rFonts w:cs="Guttman Drogolin" w:hint="cs"/>
          <w:rtl/>
          <w:lang w:bidi="he-IL"/>
        </w:rPr>
        <w:t xml:space="preserve"> </w:t>
      </w:r>
      <w:r w:rsidR="00690196" w:rsidRPr="00882F11">
        <w:rPr>
          <w:rFonts w:cs="Guttman Drogolin" w:hint="cs"/>
          <w:rtl/>
          <w:lang w:bidi="he-IL"/>
        </w:rPr>
        <w:t xml:space="preserve"> </w:t>
      </w:r>
    </w:p>
    <w:p w:rsidR="00241ECC" w:rsidRPr="00882F11" w:rsidRDefault="00241ECC" w:rsidP="00241ECC">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19" w:name="_Toc496175378"/>
      <w:r w:rsidRPr="00882F11">
        <w:rPr>
          <w:rFonts w:asciiTheme="majorHAnsi" w:eastAsiaTheme="majorEastAsia" w:hAnsiTheme="majorHAnsi" w:cs="Guttman Drogolin" w:hint="cs"/>
          <w:b/>
          <w:bCs/>
          <w:sz w:val="24"/>
          <w:szCs w:val="24"/>
          <w:u w:val="single"/>
          <w:rtl/>
          <w:lang w:bidi="he-IL"/>
        </w:rPr>
        <w:t>שיטת הרי"ף בסוגיין</w:t>
      </w:r>
      <w:bookmarkEnd w:id="119"/>
    </w:p>
    <w:p w:rsidR="00714FA3" w:rsidRPr="00882F11" w:rsidRDefault="00195F83" w:rsidP="00714FA3">
      <w:pPr>
        <w:bidi/>
        <w:jc w:val="both"/>
        <w:rPr>
          <w:rFonts w:cs="Guttman Drogolin"/>
          <w:rtl/>
          <w:lang w:bidi="he-IL"/>
        </w:rPr>
      </w:pPr>
      <w:r>
        <w:rPr>
          <w:rFonts w:cs="Guttman Drogolin"/>
          <w:rtl/>
          <w:lang w:bidi="he-IL"/>
        </w:rPr>
        <w:fldChar w:fldCharType="begin"/>
      </w:r>
      <w:r>
        <w:instrText xml:space="preserve"> XE "</w:instrText>
      </w:r>
      <w:r w:rsidRPr="00273ABC">
        <w:rPr>
          <w:rFonts w:hint="cs"/>
          <w:rtl/>
          <w:lang w:bidi="he-IL"/>
        </w:rPr>
        <w:instrText>ריחא מילתא</w:instrText>
      </w:r>
      <w:r w:rsidRPr="00273ABC">
        <w:rPr>
          <w:rtl/>
        </w:rPr>
        <w:instrText>:</w:instrText>
      </w:r>
      <w:r w:rsidRPr="00273ABC">
        <w:rPr>
          <w:rFonts w:hint="cs"/>
          <w:rtl/>
          <w:lang w:bidi="he-IL"/>
        </w:rPr>
        <w:instrText>שיטת הרי</w:instrText>
      </w:r>
      <w:r>
        <w:rPr>
          <w:rFonts w:eastAsiaTheme="minorEastAsia"/>
          <w:lang w:bidi="he-IL"/>
        </w:rPr>
        <w:instrText>\</w:instrText>
      </w:r>
      <w:r w:rsidRPr="00273ABC">
        <w:rPr>
          <w:rFonts w:hint="cs"/>
          <w:rtl/>
          <w:lang w:bidi="he-IL"/>
        </w:rPr>
        <w:instrText>"ף בסוגיא</w:instrText>
      </w:r>
      <w:r>
        <w:instrText xml:space="preserve">" </w:instrText>
      </w:r>
      <w:r>
        <w:rPr>
          <w:rFonts w:cs="Guttman Drogolin"/>
          <w:rtl/>
          <w:lang w:bidi="he-IL"/>
        </w:rPr>
        <w:fldChar w:fldCharType="end"/>
      </w:r>
      <w:r w:rsidR="00241ECC" w:rsidRPr="00882F11">
        <w:rPr>
          <w:rFonts w:cs="Guttman Drogolin" w:hint="cs"/>
          <w:rtl/>
          <w:lang w:bidi="he-IL"/>
        </w:rPr>
        <w:t xml:space="preserve">הרי"ף סבר כמו רש"י ועוד ראשונים </w:t>
      </w:r>
      <w:r w:rsidR="004D0992" w:rsidRPr="00882F11">
        <w:rPr>
          <w:rFonts w:cs="Guttman Drogolin" w:hint="cs"/>
          <w:rtl/>
          <w:lang w:bidi="he-IL"/>
        </w:rPr>
        <w:t xml:space="preserve">שרב ולוי נחלקו באותו מחלוקת של רבא ואביי, ולכן גם הוא הוכיח שהלכה כלוי כיון שקיי"ל כרבא נגד אביי חוץ מיע"ל קג"ם. </w:t>
      </w:r>
      <w:r w:rsidR="00E17028" w:rsidRPr="00882F11">
        <w:rPr>
          <w:rFonts w:cs="Guttman Drogolin" w:hint="cs"/>
          <w:rtl/>
          <w:lang w:bidi="he-IL"/>
        </w:rPr>
        <w:t xml:space="preserve">והביא הרי"ף דאיכא מאן דפליג בהא מילתא וסבר דהלכתא כרב, כיון שבמימרי' דר"ל מבואר דבת תיהא כפת חמרא וחבית </w:t>
      </w:r>
      <w:r w:rsidR="00E17028" w:rsidRPr="00882F11">
        <w:rPr>
          <w:rFonts w:cs="Guttman Drogolin" w:hint="cs"/>
          <w:rtl/>
          <w:lang w:bidi="he-IL"/>
        </w:rPr>
        <w:lastRenderedPageBreak/>
        <w:t xml:space="preserve">פתוחה שאסור לכו"ע, וכן מהמעשים שבסוף הסוגיא שבמס' פסחים, </w:t>
      </w:r>
      <w:r w:rsidR="00714FA3" w:rsidRPr="00882F11">
        <w:rPr>
          <w:rFonts w:cs="Guttman Drogolin" w:hint="cs"/>
          <w:rtl/>
          <w:lang w:bidi="he-IL"/>
        </w:rPr>
        <w:t>דתני ר' כהנא בר חיננא סבר דפת שאפאה עם הצלי וכן ביניתא דאיטויא בהדי בישרא שאסור לאוכלה בכותחא, ולכאורה הנהו מימרי כרב.</w:t>
      </w:r>
    </w:p>
    <w:p w:rsidR="00E0717E" w:rsidRPr="00882F11" w:rsidRDefault="00714FA3" w:rsidP="00E0717E">
      <w:pPr>
        <w:bidi/>
        <w:jc w:val="both"/>
        <w:rPr>
          <w:rFonts w:cs="Guttman Drogolin"/>
          <w:rtl/>
          <w:lang w:bidi="he-IL"/>
        </w:rPr>
      </w:pPr>
      <w:r w:rsidRPr="00882F11">
        <w:rPr>
          <w:rFonts w:cs="Guttman Drogolin" w:hint="cs"/>
          <w:rtl/>
          <w:lang w:bidi="he-IL"/>
        </w:rPr>
        <w:t>וברי"ף דחה ראיות אלו, שלענין המימרא של ר"ל הא לוי לא סבר כר"ל</w:t>
      </w:r>
      <w:r w:rsidR="00E0717E" w:rsidRPr="00882F11">
        <w:rPr>
          <w:rFonts w:cs="Guttman Drogolin" w:hint="cs"/>
          <w:rtl/>
          <w:lang w:bidi="he-IL"/>
        </w:rPr>
        <w:t>, ולוי אינו כפוף לר"ל. וללוי יוצא שבזה גופא נחלקו ר' מאיר ור' יהודה, ובעלמא קיי"ל דר"מ ור' יהודה הלכה כר' יהודה, ולכן יש לנו להקל, כ"ש כאן שיש גם ר' יוסי המיקל כר' יהודה בעצם רק דסבר שבשעורים אין זה אך ורק טעם אלא גם ממשו של האיסור.</w:t>
      </w:r>
      <w:r w:rsidR="000D52E1" w:rsidRPr="00882F11">
        <w:rPr>
          <w:rFonts w:cs="Guttman Drogolin" w:hint="cs"/>
          <w:rtl/>
          <w:lang w:bidi="he-IL"/>
        </w:rPr>
        <w:t xml:space="preserve"> וכן הביא סיוע ללוי </w:t>
      </w:r>
      <w:r w:rsidR="005A42D6" w:rsidRPr="00882F11">
        <w:rPr>
          <w:rFonts w:cs="Guttman Drogolin" w:hint="cs"/>
          <w:rtl/>
          <w:lang w:bidi="he-IL"/>
        </w:rPr>
        <w:t>מהא דלרב צריכים לתי' דחוק מן הה</w:t>
      </w:r>
      <w:r w:rsidR="000D52E1" w:rsidRPr="00882F11">
        <w:rPr>
          <w:rFonts w:cs="Guttman Drogolin" w:hint="cs"/>
          <w:rtl/>
          <w:lang w:bidi="he-IL"/>
        </w:rPr>
        <w:t>"נ מסתברא בהא דאסור לצלות ב' פסחים כא'.</w:t>
      </w:r>
      <w:r w:rsidR="00E0717E" w:rsidRPr="00882F11">
        <w:rPr>
          <w:rFonts w:cs="Guttman Drogolin" w:hint="cs"/>
          <w:rtl/>
          <w:lang w:bidi="he-IL"/>
        </w:rPr>
        <w:t xml:space="preserve"> ועוד כתב שטעמו של רב משום דהוי מין במינו שאינו בטל אפילו באלף כיון שרב כר' יהודה סבירא לי' דמין במינו לא בטל, ובזה הרי קיי"ל כחכמים הסוברים שמין במינו בששים. ולענין הא דפת שאפאה עם הצלי וכן ביניתא דאיטויא בהדי בישרא, סבר הרי"ף דהנהו הוו אפילו ללוי. ונתן ב' טעמים לדבר, חדא דאפילו לוי לא התיר אלא בדיעבד אבל לכתחילה מודה שאסור. ועוד דכיון שיש לכאלו עצה ליאכל בפני עצמו הרי זה כדבר שיש לו מתירים ולכן אין להקל לבשלם בחלב.</w:t>
      </w:r>
    </w:p>
    <w:p w:rsidR="000D52E1" w:rsidRPr="00882F11" w:rsidRDefault="00E0717E" w:rsidP="00F66E16">
      <w:pPr>
        <w:bidi/>
        <w:jc w:val="both"/>
        <w:rPr>
          <w:rFonts w:cs="Guttman Drogolin"/>
          <w:rtl/>
          <w:lang w:bidi="he-IL"/>
        </w:rPr>
      </w:pPr>
      <w:r w:rsidRPr="00882F11">
        <w:rPr>
          <w:rFonts w:cs="Guttman Drogolin" w:hint="cs"/>
          <w:rtl/>
          <w:lang w:bidi="he-IL"/>
        </w:rPr>
        <w:t xml:space="preserve">והנה </w:t>
      </w:r>
      <w:r w:rsidR="00B46AA2" w:rsidRPr="00882F11">
        <w:rPr>
          <w:rFonts w:cs="Guttman Drogolin" w:hint="cs"/>
          <w:rtl/>
          <w:lang w:bidi="he-IL"/>
        </w:rPr>
        <w:t>בהא דכתב הרי"ף דרב לטעמי' דמין במינו לא בטל, הקשו הר"ן ועוד ראשונים על הרי"ף</w:t>
      </w:r>
      <w:r w:rsidR="00F66E16" w:rsidRPr="00882F11">
        <w:rPr>
          <w:rFonts w:cs="Guttman Drogolin" w:hint="cs"/>
          <w:rtl/>
          <w:lang w:bidi="he-IL"/>
        </w:rPr>
        <w:t xml:space="preserve"> דהא מבואר בגמ' שהמחלוקת בין רב ללוי תליא בהא דפת חמה וחבית פתוחה, והתם הרי הוי מין בשאינו מינו</w:t>
      </w:r>
      <w:r w:rsidR="00B46AA2" w:rsidRPr="00882F11">
        <w:rPr>
          <w:rFonts w:cs="Guttman Drogolin" w:hint="cs"/>
          <w:rtl/>
          <w:lang w:bidi="he-IL"/>
        </w:rPr>
        <w:t xml:space="preserve">. וכן צ"ע </w:t>
      </w:r>
      <w:r w:rsidR="00F66E16" w:rsidRPr="00882F11">
        <w:rPr>
          <w:rFonts w:cs="Guttman Drogolin" w:hint="cs"/>
          <w:rtl/>
          <w:lang w:bidi="he-IL"/>
        </w:rPr>
        <w:t>שהרי אביי סבר כרב במחלוקת דריחא מילתא, ואביי הרי סביר לי' דמין במינו בששים.</w:t>
      </w:r>
      <w:r w:rsidR="00B46AA2" w:rsidRPr="00882F11">
        <w:rPr>
          <w:rFonts w:cs="Guttman Drogolin" w:hint="cs"/>
          <w:rtl/>
          <w:lang w:bidi="he-IL"/>
        </w:rPr>
        <w:t xml:space="preserve"> ואני אוסיף לשאול שאמנם הגמר' לא אומרת בהדיא במס' פסחים דיסוד השיטה של רב הוא משום שסבר ריחא מילתא היא, מ"מ מפורש בע"ז שזהו המחלוקת בין רבא לאביי, והרי"ף הרי סבר שהוא מחלוקת א'. וכן בסוף דברי בגמ'</w:t>
      </w:r>
      <w:r w:rsidR="00632139" w:rsidRPr="00882F11">
        <w:rPr>
          <w:rFonts w:cs="Guttman Drogolin" w:hint="cs"/>
          <w:rtl/>
          <w:lang w:bidi="he-IL"/>
        </w:rPr>
        <w:t xml:space="preserve"> במס' פסחים כשרצו לתלות פלוגתתם במחלוקת בפת חמה ע"ג חבית של יין אומרת הגמר' מעיקרא שנחלקו אם ריח מילתא היא או לא. ולכאורה למש"כ הרי"ף ש</w:t>
      </w:r>
      <w:r w:rsidR="00F665CC" w:rsidRPr="00882F11">
        <w:rPr>
          <w:rFonts w:cs="Guttman Drogolin" w:hint="cs"/>
          <w:rtl/>
          <w:lang w:bidi="he-IL"/>
        </w:rPr>
        <w:t xml:space="preserve">יסוד שיטת רב </w:t>
      </w:r>
      <w:r w:rsidR="00F665CC" w:rsidRPr="00882F11">
        <w:rPr>
          <w:rFonts w:cs="Guttman Drogolin" w:hint="cs"/>
          <w:rtl/>
          <w:lang w:bidi="he-IL"/>
        </w:rPr>
        <w:lastRenderedPageBreak/>
        <w:t>משום דמין במינו לא בטל</w:t>
      </w:r>
      <w:r w:rsidR="00632139" w:rsidRPr="00882F11">
        <w:rPr>
          <w:rFonts w:cs="Guttman Drogolin" w:hint="cs"/>
          <w:rtl/>
          <w:lang w:bidi="he-IL"/>
        </w:rPr>
        <w:t>,</w:t>
      </w:r>
      <w:r w:rsidR="009A78F8" w:rsidRPr="00882F11">
        <w:rPr>
          <w:rFonts w:cs="Guttman Drogolin" w:hint="cs"/>
          <w:rtl/>
          <w:lang w:bidi="he-IL"/>
        </w:rPr>
        <w:t xml:space="preserve"> </w:t>
      </w:r>
      <w:r w:rsidR="00F665CC" w:rsidRPr="00882F11">
        <w:rPr>
          <w:rFonts w:cs="Guttman Drogolin" w:hint="cs"/>
          <w:rtl/>
          <w:lang w:bidi="he-IL"/>
        </w:rPr>
        <w:t>למה אמרו ששיטתו דריחא מילתא היא</w:t>
      </w:r>
      <w:r w:rsidR="009A78F8" w:rsidRPr="00882F11">
        <w:rPr>
          <w:rFonts w:cs="Guttman Drogolin" w:hint="cs"/>
          <w:rtl/>
          <w:lang w:bidi="he-IL"/>
        </w:rPr>
        <w:t>.</w:t>
      </w:r>
      <w:r w:rsidR="00632139" w:rsidRPr="00882F11">
        <w:rPr>
          <w:rFonts w:cs="Guttman Drogolin" w:hint="cs"/>
          <w:rtl/>
          <w:lang w:bidi="he-IL"/>
        </w:rPr>
        <w:t xml:space="preserve"> </w:t>
      </w:r>
    </w:p>
    <w:p w:rsidR="000D52E1" w:rsidRPr="00882F11" w:rsidRDefault="00F665CC" w:rsidP="005A1A44">
      <w:pPr>
        <w:bidi/>
        <w:jc w:val="both"/>
        <w:rPr>
          <w:rFonts w:cs="Guttman Drogolin"/>
          <w:rtl/>
          <w:lang w:bidi="he-IL"/>
        </w:rPr>
      </w:pPr>
      <w:r w:rsidRPr="00882F11">
        <w:rPr>
          <w:rFonts w:cs="Guttman Drogolin" w:hint="cs"/>
          <w:rtl/>
          <w:lang w:bidi="he-IL"/>
        </w:rPr>
        <w:t>וב</w:t>
      </w:r>
      <w:r w:rsidR="00B46AA2" w:rsidRPr="00882F11">
        <w:rPr>
          <w:rFonts w:cs="Guttman Drogolin" w:hint="cs"/>
          <w:rtl/>
          <w:lang w:bidi="he-IL"/>
        </w:rPr>
        <w:t xml:space="preserve">קה"י למס' פסחים סי' נ"ז כתב </w:t>
      </w:r>
      <w:r w:rsidRPr="00882F11">
        <w:rPr>
          <w:rFonts w:cs="Guttman Drogolin" w:hint="cs"/>
          <w:rtl/>
          <w:lang w:bidi="he-IL"/>
        </w:rPr>
        <w:t xml:space="preserve">לבאר בזה </w:t>
      </w:r>
      <w:r w:rsidR="00B46AA2" w:rsidRPr="00882F11">
        <w:rPr>
          <w:rFonts w:cs="Guttman Drogolin" w:hint="cs"/>
          <w:rtl/>
          <w:lang w:bidi="he-IL"/>
        </w:rPr>
        <w:t xml:space="preserve">שלעולם </w:t>
      </w:r>
      <w:r w:rsidRPr="00882F11">
        <w:rPr>
          <w:rFonts w:cs="Guttman Drogolin" w:hint="cs"/>
          <w:rtl/>
          <w:lang w:bidi="he-IL"/>
        </w:rPr>
        <w:t xml:space="preserve">סבר הרי"ף דרבי סבר ריח מילתא היא. וכן עיקר שיטת הרי"ף דקיי"ל </w:t>
      </w:r>
      <w:r w:rsidR="00842797" w:rsidRPr="00882F11">
        <w:rPr>
          <w:rFonts w:cs="Guttman Drogolin" w:hint="cs"/>
          <w:rtl/>
          <w:lang w:bidi="he-IL"/>
        </w:rPr>
        <w:t>כלוי</w:t>
      </w:r>
      <w:r w:rsidRPr="00882F11">
        <w:rPr>
          <w:rFonts w:cs="Guttman Drogolin" w:hint="cs"/>
          <w:rtl/>
          <w:lang w:bidi="he-IL"/>
        </w:rPr>
        <w:t xml:space="preserve"> דריחא לאו מילתא, וכדמבואר משאר ראיות</w:t>
      </w:r>
      <w:r w:rsidR="00842797" w:rsidRPr="00882F11">
        <w:rPr>
          <w:rFonts w:cs="Guttman Drogolin" w:hint="cs"/>
          <w:rtl/>
          <w:lang w:bidi="he-IL"/>
        </w:rPr>
        <w:t xml:space="preserve"> שהביא הרי"ף. רק</w:t>
      </w:r>
      <w:r w:rsidR="000D52E1" w:rsidRPr="00882F11">
        <w:rPr>
          <w:rFonts w:cs="Guttman Drogolin" w:hint="cs"/>
          <w:rtl/>
          <w:lang w:bidi="he-IL"/>
        </w:rPr>
        <w:t xml:space="preserve"> כוונת הרי"ף לומר שאפילו את"ל ד</w:t>
      </w:r>
      <w:r w:rsidR="00842797" w:rsidRPr="00882F11">
        <w:rPr>
          <w:rFonts w:cs="Guttman Drogolin" w:hint="cs"/>
          <w:rtl/>
          <w:lang w:bidi="he-IL"/>
        </w:rPr>
        <w:t>י"ל כרב, מ"מ בעיקר הנידון דב</w:t>
      </w:r>
      <w:r w:rsidR="005A1A44" w:rsidRPr="00882F11">
        <w:rPr>
          <w:rFonts w:cs="Guttman Drogolin" w:hint="cs"/>
          <w:rtl/>
          <w:lang w:bidi="he-IL"/>
        </w:rPr>
        <w:t>ש</w:t>
      </w:r>
      <w:r w:rsidR="00842797" w:rsidRPr="00882F11">
        <w:rPr>
          <w:rFonts w:cs="Guttman Drogolin" w:hint="cs"/>
          <w:rtl/>
          <w:lang w:bidi="he-IL"/>
        </w:rPr>
        <w:t>ר שח</w:t>
      </w:r>
      <w:r w:rsidR="005A1A44" w:rsidRPr="00882F11">
        <w:rPr>
          <w:rFonts w:cs="Guttman Drogolin" w:hint="cs"/>
          <w:rtl/>
          <w:lang w:bidi="he-IL"/>
        </w:rPr>
        <w:t>ו</w:t>
      </w:r>
      <w:r w:rsidR="00842797" w:rsidRPr="00882F11">
        <w:rPr>
          <w:rFonts w:cs="Guttman Drogolin" w:hint="cs"/>
          <w:rtl/>
          <w:lang w:bidi="he-IL"/>
        </w:rPr>
        <w:t>טה ש</w:t>
      </w:r>
      <w:r w:rsidR="005A1A44" w:rsidRPr="00882F11">
        <w:rPr>
          <w:rFonts w:cs="Guttman Drogolin" w:hint="cs"/>
          <w:rtl/>
          <w:lang w:bidi="he-IL"/>
        </w:rPr>
        <w:t>צ</w:t>
      </w:r>
      <w:r w:rsidR="00842797" w:rsidRPr="00882F11">
        <w:rPr>
          <w:rFonts w:cs="Guttman Drogolin" w:hint="cs"/>
          <w:rtl/>
          <w:lang w:bidi="he-IL"/>
        </w:rPr>
        <w:t>לאו עם בשר נבי</w:t>
      </w:r>
      <w:r w:rsidR="005A1A44" w:rsidRPr="00882F11">
        <w:rPr>
          <w:rFonts w:cs="Guttman Drogolin" w:hint="cs"/>
          <w:rtl/>
          <w:lang w:bidi="he-IL"/>
        </w:rPr>
        <w:t>ל</w:t>
      </w:r>
      <w:r w:rsidR="00842797" w:rsidRPr="00882F11">
        <w:rPr>
          <w:rFonts w:cs="Guttman Drogolin" w:hint="cs"/>
          <w:rtl/>
          <w:lang w:bidi="he-IL"/>
        </w:rPr>
        <w:t>ה מ"מ לא קיי"ל כרב, שבזה חוץ ממה שצריכים לומר ריח</w:t>
      </w:r>
      <w:r w:rsidR="005A1A44" w:rsidRPr="00882F11">
        <w:rPr>
          <w:rFonts w:cs="Guttman Drogolin" w:hint="cs"/>
          <w:rtl/>
          <w:lang w:bidi="he-IL"/>
        </w:rPr>
        <w:t>א</w:t>
      </w:r>
      <w:r w:rsidR="00842797" w:rsidRPr="00882F11">
        <w:rPr>
          <w:rFonts w:cs="Guttman Drogolin" w:hint="cs"/>
          <w:rtl/>
          <w:lang w:bidi="he-IL"/>
        </w:rPr>
        <w:t xml:space="preserve"> מילתא היא, חייבים לומר נמי </w:t>
      </w:r>
      <w:r w:rsidR="00797554" w:rsidRPr="00882F11">
        <w:rPr>
          <w:rFonts w:cs="Guttman Drogolin" w:hint="cs"/>
          <w:rtl/>
          <w:lang w:bidi="he-IL"/>
        </w:rPr>
        <w:t xml:space="preserve">דמין במינו לא בטל. והטעם </w:t>
      </w:r>
      <w:r w:rsidR="008313D2" w:rsidRPr="00882F11">
        <w:rPr>
          <w:rFonts w:cs="Guttman Drogolin" w:hint="cs"/>
          <w:rtl/>
          <w:lang w:bidi="he-IL"/>
        </w:rPr>
        <w:t>משום שאפילו ריחא מילתא מ"מ יכולה היא ליבטל. וכיון דמיירי בב' דברים שהם מאותו טעם הי' הריח צריך ליבטל. ומשו"ה סבר הרי"ף דע"כ סבר נמי שמין במינו לא בטל</w:t>
      </w:r>
      <w:r w:rsidR="008313D2" w:rsidRPr="00882F11">
        <w:rPr>
          <w:rStyle w:val="FootnoteReference"/>
          <w:rFonts w:cs="Guttman Drogolin"/>
          <w:rtl/>
          <w:lang w:bidi="he-IL"/>
        </w:rPr>
        <w:footnoteReference w:id="132"/>
      </w:r>
      <w:r w:rsidR="008313D2" w:rsidRPr="00882F11">
        <w:rPr>
          <w:rFonts w:cs="Guttman Drogolin" w:hint="cs"/>
          <w:rtl/>
          <w:lang w:bidi="he-IL"/>
        </w:rPr>
        <w:t>.</w:t>
      </w:r>
      <w:r w:rsidR="000D52E1" w:rsidRPr="00882F11">
        <w:rPr>
          <w:rFonts w:cs="Guttman Drogolin" w:hint="cs"/>
          <w:rtl/>
          <w:lang w:bidi="he-IL"/>
        </w:rPr>
        <w:t xml:space="preserve"> וא"כ לעולם הנידון שנחלקו בה רב ולוי הוא בין במין במינו ובין במין בשאינו מינו, ולכן שפיר הביאו מהא דפת חמה. רק בעיקר המחלוקת שבבשר שחוטה ובשר נבילה תלוי גם בדינא דמין במינו לא בטל וכמש"נ. ומיושב שפיר הא דאביי סבר מין במינו בששים, ומשום שי"ל שבאמת אביי מודה שבשחוטה ונבילה מותר בדיעבד, רק לא מטעמו של לוי אלא משום שמין במינו בששים.</w:t>
      </w:r>
    </w:p>
    <w:p w:rsidR="00D54F6D" w:rsidRPr="00882F11" w:rsidRDefault="000D52E1" w:rsidP="000D52E1">
      <w:pPr>
        <w:bidi/>
        <w:jc w:val="both"/>
        <w:rPr>
          <w:rFonts w:cs="Guttman Drogolin"/>
          <w:rtl/>
          <w:lang w:bidi="he-IL"/>
        </w:rPr>
      </w:pPr>
      <w:r w:rsidRPr="00882F11">
        <w:rPr>
          <w:rFonts w:cs="Guttman Drogolin" w:hint="cs"/>
          <w:rtl/>
          <w:lang w:bidi="he-IL"/>
        </w:rPr>
        <w:t xml:space="preserve">ולענין הא דכתב הרי"ף שפת וביניתא שאפאה עם הצלי אסור אפילו ללוי ומשום שלוי לא התיר אלא בדיעבד, הקשה הר"ן שלכאורה דבר זה נסתר מן הגמ', שהרי הגמ' מקשה מעיקרא על שיטת לוי מהא דאין צולין ב' פסחים כא' ומשום דס"ד שהאיסור משום תערובת טעמים, וצ"ע דהא לא כתוב אלא שאסור לצלות, ובזה הרי גם לוי מודה. וכה"ג הקשו שם התוס' ג"כ על רש"י </w:t>
      </w:r>
      <w:r w:rsidR="009F75A9" w:rsidRPr="00882F11">
        <w:rPr>
          <w:rFonts w:cs="Guttman Drogolin" w:hint="cs"/>
          <w:rtl/>
          <w:lang w:bidi="he-IL"/>
        </w:rPr>
        <w:t xml:space="preserve">דנקט כדעת הרי"ף שדברי לוי אינם אלא לענין דיעבד </w:t>
      </w:r>
      <w:r w:rsidRPr="00882F11">
        <w:rPr>
          <w:rFonts w:cs="Guttman Drogolin" w:hint="cs"/>
          <w:rtl/>
          <w:lang w:bidi="he-IL"/>
        </w:rPr>
        <w:t>(ע"ש במהרש"א שכן מדויק מפירש"י ד"ה עבד עובדא)</w:t>
      </w:r>
      <w:r w:rsidR="009F75A9" w:rsidRPr="00882F11">
        <w:rPr>
          <w:rFonts w:cs="Guttman Drogolin" w:hint="cs"/>
          <w:rtl/>
          <w:lang w:bidi="he-IL"/>
        </w:rPr>
        <w:t xml:space="preserve">. </w:t>
      </w:r>
      <w:r w:rsidR="00D44891" w:rsidRPr="00882F11">
        <w:rPr>
          <w:rFonts w:cs="Guttman Drogolin" w:hint="cs"/>
          <w:rtl/>
          <w:lang w:bidi="he-IL"/>
        </w:rPr>
        <w:t>ועוד הקשה הר"ן דהא בת תיהא הוי לכתחילה, והרי"ף הרי סבר דרבא ולוי חדא שיטתא הוו. ועוד הקשה מהא דבירושלמי לכאורה מבואר להדיא דלוי התיר לכתחילה. ובמערכה של רע"א בדינא דריחא מילתא הוסיף להקשות</w:t>
      </w:r>
      <w:r w:rsidR="00D54F6D" w:rsidRPr="00882F11">
        <w:rPr>
          <w:rFonts w:cs="Guttman Drogolin" w:hint="cs"/>
          <w:rtl/>
          <w:lang w:bidi="he-IL"/>
        </w:rPr>
        <w:t xml:space="preserve"> (אות </w:t>
      </w:r>
      <w:r w:rsidR="00D54F6D" w:rsidRPr="00882F11">
        <w:rPr>
          <w:rFonts w:cs="Guttman Drogolin" w:hint="cs"/>
          <w:rtl/>
          <w:lang w:bidi="he-IL"/>
        </w:rPr>
        <w:lastRenderedPageBreak/>
        <w:t>י"ד)</w:t>
      </w:r>
      <w:r w:rsidR="00D44891" w:rsidRPr="00882F11">
        <w:rPr>
          <w:rFonts w:cs="Guttman Drogolin" w:hint="cs"/>
          <w:rtl/>
          <w:lang w:bidi="he-IL"/>
        </w:rPr>
        <w:t xml:space="preserve">, שאם אסור לערבם לכתחילה לכאורה יש מתני' מפורשת שלא כדבריו, שהרי מבואר במתני' שברפ"ט דמס' כלאים </w:t>
      </w:r>
      <w:r w:rsidR="00D54F6D" w:rsidRPr="00882F11">
        <w:rPr>
          <w:rFonts w:cs="Guttman Drogolin" w:hint="cs"/>
          <w:rtl/>
          <w:lang w:bidi="he-IL"/>
        </w:rPr>
        <w:t>שצמר גמלים וצמר רחלים שטרפן זב"ז שאם הרוב צמר גמלים מותר לארבה בפשתן. ולכאורה לרי"ף שאוסר לכתחילה לאכול הפת עם חלב, מאי שנא הא מהא.</w:t>
      </w:r>
    </w:p>
    <w:p w:rsidR="00BD0A78" w:rsidRPr="00882F11" w:rsidRDefault="00D54F6D" w:rsidP="008F6DBC">
      <w:pPr>
        <w:bidi/>
        <w:jc w:val="both"/>
        <w:rPr>
          <w:rFonts w:cs="Guttman Drogolin"/>
          <w:rtl/>
          <w:lang w:bidi="he-IL"/>
        </w:rPr>
      </w:pPr>
      <w:r w:rsidRPr="00882F11">
        <w:rPr>
          <w:rFonts w:cs="Guttman Drogolin" w:hint="cs"/>
          <w:rtl/>
          <w:lang w:bidi="he-IL"/>
        </w:rPr>
        <w:t xml:space="preserve">וכתב רע"א (אות כ"א) שלכאורה הדבר תלוי, דהנה לא מבואר ברי"ף מהו הטעם לאסור לכתחילה. וכפשוטו הוא משום דסבר דהוי בכלל הדין שאין מבטלין איסור לכחתילה, והיינו שיש חידוש בדין זה דאע"ג שהוא כבר מעורב בהיתר המבטלו, אם מערבו לאח"כ בדבר האוסרו הוי בכלל מבטלין לכתחילה. אבל כתב רע"א מכח הקושיא שלו דע"כ אין זה הטעם דלוי אסר לכתחילה, רק הטעם משום דכיון שיש בזה מחלוקת תנאים אם ריחא מילתא היא או לא, לכתחילה חשש לאותו תנא האוסר. ויוצא שאם הוא באמת בטל לעולם ליכא איסור של ביטול איסור לכחתילה. והא דמקשה מב' פסחים, היינו משום שרק לוי חשש לתנא האוסר, אבל התנא עצמו שמתיר הרי הוא מתיר אפילו לכתחילה, ולא מסתבר לומר שתנא חשש לחומרא (ע"ש שהביא מתוס' במס' שבועות דנקטי שיש כזה כלל). וכן לכאורה לפי זה לא קשה מה שהתיר רבא לכתחילה, והיינו משום שהא שאמרינן שרבא ולוי אמרו דבר א', היינו בעיקר הדין של ריחא מילתא היא, שמה שהתיר לוי </w:t>
      </w:r>
      <w:r w:rsidR="008F6DBC" w:rsidRPr="00882F11">
        <w:rPr>
          <w:rFonts w:cs="Guttman Drogolin" w:hint="cs"/>
          <w:rtl/>
          <w:lang w:bidi="he-IL"/>
        </w:rPr>
        <w:t>ב</w:t>
      </w:r>
      <w:r w:rsidRPr="00882F11">
        <w:rPr>
          <w:rFonts w:cs="Guttman Drogolin" w:hint="cs"/>
          <w:rtl/>
          <w:lang w:bidi="he-IL"/>
        </w:rPr>
        <w:t>דיעבד הוא אותו דבר שהתיר רבא, ואם רבא התיר יש להתיר גם בהא דלוי. אבל לענין דינא עכ"פ נחלקו, דלוי חשש לשיטת המחמירים לכתחילה, ורבא לא חש לי'.</w:t>
      </w:r>
    </w:p>
    <w:p w:rsidR="00293DB5" w:rsidRPr="00882F11" w:rsidRDefault="00BD0A78" w:rsidP="00BD0A78">
      <w:pPr>
        <w:bidi/>
        <w:jc w:val="both"/>
        <w:rPr>
          <w:rFonts w:cs="Guttman Drogolin"/>
          <w:rtl/>
          <w:lang w:bidi="he-IL"/>
        </w:rPr>
      </w:pPr>
      <w:r w:rsidRPr="00882F11">
        <w:rPr>
          <w:rFonts w:cs="Guttman Drogolin" w:hint="cs"/>
          <w:rtl/>
          <w:lang w:bidi="he-IL"/>
        </w:rPr>
        <w:t xml:space="preserve">ולענין הא דהתיר לוי בירו' אפילו לכתחילה נראה לומר דהנה יל"ע מנין לי' לרשי לומר דלוי אסר לכתחילה, ונהו נמי דלא קשיא לי' הקושיא מב' פסחים מאיזה טעם שיהי', אבל מ"מ מנ"ל לרש"י הא. ולכאורה י"ל שהוא לטעמי' סבר דרבא ולוי הוו שיטה א', וכיון דע"כ הלכתא כרבא נגד אביי הה"נ דהלכה כלוי. וא"כ הי' קשה לו למה הביאו בסוף הסוגיא הוראות שהם כרב ודלא כהלכתא. </w:t>
      </w:r>
      <w:r w:rsidRPr="00882F11">
        <w:rPr>
          <w:rFonts w:cs="Guttman Drogolin" w:hint="cs"/>
          <w:rtl/>
          <w:lang w:bidi="he-IL"/>
        </w:rPr>
        <w:lastRenderedPageBreak/>
        <w:t>וע"כ סבר רש"י שגם לוי אסר לכתחיתה. וכיון שכן י"ל דסבר הרי"ף דכיון שמדויק בגמ' שלוי אסר לכתחילה, ע"כ לא קיי"ל כירו' לענין הא דמבואר שם שלוי מתיר לכתחילה.</w:t>
      </w:r>
    </w:p>
    <w:p w:rsidR="00D50438" w:rsidRPr="00882F11" w:rsidRDefault="00195F83" w:rsidP="00293DB5">
      <w:pPr>
        <w:bidi/>
        <w:jc w:val="both"/>
        <w:rPr>
          <w:rFonts w:cs="Guttman Drogolin"/>
          <w:rtl/>
          <w:lang w:bidi="he-IL"/>
        </w:rPr>
      </w:pPr>
      <w:r>
        <w:rPr>
          <w:rFonts w:cs="Guttman Drogolin"/>
          <w:rtl/>
          <w:lang w:bidi="he-IL"/>
        </w:rPr>
        <w:fldChar w:fldCharType="begin"/>
      </w:r>
      <w:r>
        <w:instrText xml:space="preserve"> XE "</w:instrText>
      </w:r>
      <w:r w:rsidRPr="00A26A86">
        <w:rPr>
          <w:rFonts w:hint="cs"/>
          <w:rtl/>
          <w:lang w:bidi="he-IL"/>
        </w:rPr>
        <w:instrText>דבר שיש לן מתירין</w:instrText>
      </w:r>
      <w:r w:rsidRPr="00A26A86">
        <w:rPr>
          <w:rtl/>
        </w:rPr>
        <w:instrText>:</w:instrText>
      </w:r>
      <w:r w:rsidRPr="00A26A86">
        <w:rPr>
          <w:rFonts w:hint="cs"/>
          <w:rtl/>
          <w:lang w:bidi="he-IL"/>
        </w:rPr>
        <w:instrText>שיטת הר</w:instrText>
      </w:r>
      <w:r>
        <w:rPr>
          <w:rFonts w:eastAsiaTheme="minorEastAsia"/>
          <w:lang w:bidi="he-IL"/>
        </w:rPr>
        <w:instrText>\</w:instrText>
      </w:r>
      <w:r w:rsidRPr="00A26A86">
        <w:rPr>
          <w:rFonts w:hint="cs"/>
          <w:rtl/>
          <w:lang w:bidi="he-IL"/>
        </w:rPr>
        <w:instrText>"ן</w:instrText>
      </w:r>
      <w:r>
        <w:instrText xml:space="preserve">" </w:instrText>
      </w:r>
      <w:r>
        <w:rPr>
          <w:rFonts w:cs="Guttman Drogolin"/>
          <w:rtl/>
          <w:lang w:bidi="he-IL"/>
        </w:rPr>
        <w:fldChar w:fldCharType="end"/>
      </w:r>
      <w:r w:rsidR="00293DB5" w:rsidRPr="00882F11">
        <w:rPr>
          <w:rFonts w:cs="Guttman Drogolin" w:hint="cs"/>
          <w:rtl/>
          <w:lang w:bidi="he-IL"/>
        </w:rPr>
        <w:t xml:space="preserve">ועל הטעם השני של הרי"ף לאסור לכתחילה כיון דהוי דבר שי"ל מתירין, מקשים העולם דהא מיירי במין במינו, ומבואר במתני' שבמס' נדרים דף נ"ב ע"א שהחומרא של דשיל"מ ליכא אלא במין במינו ולא במין בשאינו מינו. ובר"ן ציין לדבריו במס' נדרים בזה, ושם כתב כמה יסודות בדין מין במינו. חדא דמאן דסבר מין במינו בטל, אין משום שהענין של מין במינו לית לי', דהא גם לדידי' לא שייך ביטול ברוב אא"כ יש איזה התנגדות בין המינים. רק שלדידי' כיון שהוו ב' מינים לענין דינם, שא' אסור וא' מותר, הרי זה מספיק התנגדות לדין ביטול לומר שהם בטילים ברוב. ומשו"ה החמירו חז"ל </w:t>
      </w:r>
      <w:r w:rsidR="0075394A" w:rsidRPr="00882F11">
        <w:rPr>
          <w:rFonts w:cs="Guttman Drogolin" w:hint="cs"/>
          <w:rtl/>
          <w:lang w:bidi="he-IL"/>
        </w:rPr>
        <w:t>שדשיל"</w:t>
      </w:r>
      <w:r w:rsidR="00D50438" w:rsidRPr="00882F11">
        <w:rPr>
          <w:rFonts w:cs="Guttman Drogolin" w:hint="cs"/>
          <w:rtl/>
          <w:lang w:bidi="he-IL"/>
        </w:rPr>
        <w:t>מ כיון שההתנגדות של היתר באיסור ליכא כ"כ כיון שעומד להיות מותר. ומטעם זה נמי לא החמירו בדשיל"מ אלא במין במינו, ומשום שכל החסרון בדשיל"מ לא הי' אלא בדבר שאין לו התנגדות מצד המינים, אבל מין בשאינו מינו ממש שפיר הוי בטל. ובזה סבר הרי"ף דהנ"מ כשיש עכ"פ התנגדות של איסור והיתר כיון שבדשיל"מ עכ"פ עכשיו ליכא היתר, אבל בדבר שיש לו היתר גם עכשיו גם במין בשאינו מינו ליכא ביטול כיון דליכא התנגדות של היתר לעומת איסור כלל.</w:t>
      </w:r>
    </w:p>
    <w:p w:rsidR="00E0717E" w:rsidRPr="00882F11" w:rsidRDefault="00D50438" w:rsidP="006F5B6D">
      <w:pPr>
        <w:bidi/>
        <w:jc w:val="both"/>
        <w:rPr>
          <w:rFonts w:cs="Guttman Drogolin"/>
          <w:rtl/>
          <w:lang w:bidi="he-IL"/>
        </w:rPr>
      </w:pPr>
      <w:r w:rsidRPr="00882F11">
        <w:rPr>
          <w:rFonts w:cs="Guttman Drogolin" w:hint="cs"/>
          <w:rtl/>
          <w:lang w:bidi="he-IL"/>
        </w:rPr>
        <w:t xml:space="preserve">ועל אף הקושיות של הר"ן מ"מ לדינא נקט כרי"ף רק לא מטעמי'. והוא משום שלענין </w:t>
      </w:r>
      <w:r w:rsidR="00C06B6E" w:rsidRPr="00882F11">
        <w:rPr>
          <w:rFonts w:cs="Guttman Drogolin" w:hint="cs"/>
          <w:rtl/>
          <w:lang w:bidi="he-IL"/>
        </w:rPr>
        <w:t>הנהו דפת וביניתא עם הצלי י"ל דלוי תנא ופליג, א"נ שראו להחמיר בהיתירא יותר כיון</w:t>
      </w:r>
      <w:r w:rsidR="006F5B6D" w:rsidRPr="00882F11">
        <w:rPr>
          <w:rFonts w:cs="Guttman Drogolin" w:hint="cs"/>
          <w:rtl/>
          <w:lang w:bidi="he-IL"/>
        </w:rPr>
        <w:t xml:space="preserve"> שמרגישים ב' הטעמים ביחד א"נ משום</w:t>
      </w:r>
      <w:r w:rsidR="00C06B6E" w:rsidRPr="00882F11">
        <w:rPr>
          <w:rFonts w:cs="Guttman Drogolin" w:hint="cs"/>
          <w:rtl/>
          <w:lang w:bidi="he-IL"/>
        </w:rPr>
        <w:t xml:space="preserve"> דלא בדילי אינשי מיני'</w:t>
      </w:r>
      <w:r w:rsidR="006F5B6D" w:rsidRPr="00882F11">
        <w:rPr>
          <w:rFonts w:cs="Guttman Drogolin" w:hint="cs"/>
          <w:rtl/>
          <w:lang w:bidi="he-IL"/>
        </w:rPr>
        <w:t>.</w:t>
      </w:r>
      <w:r w:rsidR="00C06B6E" w:rsidRPr="00882F11">
        <w:rPr>
          <w:rFonts w:cs="Guttman Drogolin" w:hint="cs"/>
          <w:rtl/>
          <w:lang w:bidi="he-IL"/>
        </w:rPr>
        <w:t xml:space="preserve"> </w:t>
      </w:r>
      <w:r w:rsidR="00293DB5" w:rsidRPr="00882F11">
        <w:rPr>
          <w:rFonts w:cs="Guttman Drogolin" w:hint="cs"/>
          <w:rtl/>
          <w:lang w:bidi="he-IL"/>
        </w:rPr>
        <w:t xml:space="preserve">  </w:t>
      </w:r>
      <w:r w:rsidR="00BD0A78" w:rsidRPr="00882F11">
        <w:rPr>
          <w:rFonts w:cs="Guttman Drogolin" w:hint="cs"/>
          <w:rtl/>
          <w:lang w:bidi="he-IL"/>
        </w:rPr>
        <w:t xml:space="preserve">  </w:t>
      </w:r>
      <w:r w:rsidR="00D54F6D" w:rsidRPr="00882F11">
        <w:rPr>
          <w:rFonts w:cs="Guttman Drogolin" w:hint="cs"/>
          <w:rtl/>
          <w:lang w:bidi="he-IL"/>
        </w:rPr>
        <w:t xml:space="preserve"> </w:t>
      </w:r>
      <w:r w:rsidR="000D52E1" w:rsidRPr="00882F11">
        <w:rPr>
          <w:rFonts w:cs="Guttman Drogolin" w:hint="cs"/>
          <w:rtl/>
          <w:lang w:bidi="he-IL"/>
        </w:rPr>
        <w:t xml:space="preserve">  </w:t>
      </w:r>
      <w:r w:rsidR="00842797" w:rsidRPr="00882F11">
        <w:rPr>
          <w:rFonts w:cs="Guttman Drogolin" w:hint="cs"/>
          <w:rtl/>
          <w:lang w:bidi="he-IL"/>
        </w:rPr>
        <w:t xml:space="preserve"> </w:t>
      </w:r>
      <w:r w:rsidR="00F665CC" w:rsidRPr="00882F11">
        <w:rPr>
          <w:rFonts w:cs="Guttman Drogolin" w:hint="cs"/>
          <w:rtl/>
          <w:lang w:bidi="he-IL"/>
        </w:rPr>
        <w:t xml:space="preserve"> </w:t>
      </w:r>
      <w:r w:rsidR="00B46AA2" w:rsidRPr="00882F11">
        <w:rPr>
          <w:rFonts w:cs="Guttman Drogolin" w:hint="cs"/>
          <w:rtl/>
          <w:lang w:bidi="he-IL"/>
        </w:rPr>
        <w:t xml:space="preserve"> </w:t>
      </w:r>
    </w:p>
    <w:p w:rsidR="00CC1D4B" w:rsidRPr="00882F11" w:rsidRDefault="00E0717E" w:rsidP="00E0717E">
      <w:pPr>
        <w:bidi/>
        <w:jc w:val="both"/>
        <w:rPr>
          <w:rFonts w:cs="Guttman Drogolin"/>
          <w:rtl/>
          <w:lang w:bidi="he-IL"/>
        </w:rPr>
      </w:pPr>
      <w:r w:rsidRPr="00882F11">
        <w:rPr>
          <w:rFonts w:cs="Guttman Drogolin" w:hint="cs"/>
          <w:rtl/>
          <w:lang w:bidi="he-IL"/>
        </w:rPr>
        <w:t xml:space="preserve"> </w:t>
      </w:r>
      <w:r w:rsidR="00714FA3" w:rsidRPr="00882F11">
        <w:rPr>
          <w:rFonts w:cs="Guttman Drogolin" w:hint="cs"/>
          <w:rtl/>
          <w:lang w:bidi="he-IL"/>
        </w:rPr>
        <w:t xml:space="preserve"> </w:t>
      </w:r>
      <w:r w:rsidR="00E17028" w:rsidRPr="00882F11">
        <w:rPr>
          <w:rFonts w:cs="Guttman Drogolin" w:hint="cs"/>
          <w:rtl/>
          <w:lang w:bidi="he-IL"/>
        </w:rPr>
        <w:t xml:space="preserve"> </w:t>
      </w:r>
      <w:r w:rsidR="005663F3" w:rsidRPr="00882F11">
        <w:rPr>
          <w:rFonts w:cs="Guttman Drogolin" w:hint="cs"/>
          <w:rtl/>
          <w:lang w:bidi="he-IL"/>
        </w:rPr>
        <w:t xml:space="preserve"> </w:t>
      </w:r>
      <w:r w:rsidR="000F3291" w:rsidRPr="00882F11">
        <w:rPr>
          <w:rFonts w:cs="Guttman Drogolin" w:hint="cs"/>
          <w:rtl/>
          <w:lang w:bidi="he-IL"/>
        </w:rPr>
        <w:t xml:space="preserve"> </w:t>
      </w:r>
      <w:r w:rsidR="004B6D49" w:rsidRPr="00882F11">
        <w:rPr>
          <w:rFonts w:cs="Guttman Drogolin" w:hint="cs"/>
          <w:rtl/>
          <w:lang w:bidi="he-IL"/>
        </w:rPr>
        <w:t xml:space="preserve"> </w:t>
      </w:r>
      <w:r w:rsidR="00242A6D" w:rsidRPr="00882F11">
        <w:rPr>
          <w:rFonts w:cs="Guttman Drogolin" w:hint="cs"/>
          <w:rtl/>
          <w:lang w:bidi="he-IL"/>
        </w:rPr>
        <w:t xml:space="preserve"> </w:t>
      </w:r>
      <w:r w:rsidR="00A4602E" w:rsidRPr="00882F11">
        <w:rPr>
          <w:rFonts w:cs="Guttman Drogolin" w:hint="cs"/>
          <w:rtl/>
          <w:lang w:bidi="he-IL"/>
        </w:rPr>
        <w:t xml:space="preserve"> </w:t>
      </w:r>
      <w:r w:rsidR="00385267" w:rsidRPr="00882F11">
        <w:rPr>
          <w:rFonts w:cs="Guttman Drogolin" w:hint="cs"/>
          <w:rtl/>
          <w:lang w:bidi="he-IL"/>
        </w:rPr>
        <w:t xml:space="preserve">  </w:t>
      </w:r>
      <w:r w:rsidR="009C2870" w:rsidRPr="00882F11">
        <w:rPr>
          <w:rFonts w:cs="Guttman Drogolin" w:hint="cs"/>
          <w:rtl/>
          <w:lang w:bidi="he-IL"/>
        </w:rPr>
        <w:t xml:space="preserve">    </w:t>
      </w:r>
    </w:p>
    <w:p w:rsidR="00096744" w:rsidRPr="00882F11" w:rsidRDefault="00096744" w:rsidP="00D438D3">
      <w:pPr>
        <w:bidi/>
        <w:jc w:val="both"/>
        <w:rPr>
          <w:rFonts w:cs="Guttman Drogolin"/>
          <w:rtl/>
          <w:lang w:bidi="he-IL"/>
        </w:rPr>
        <w:sectPr w:rsidR="00096744" w:rsidRPr="00882F11" w:rsidSect="00615FF2">
          <w:type w:val="continuous"/>
          <w:pgSz w:w="11907" w:h="16839" w:code="9"/>
          <w:pgMar w:top="1440" w:right="1440" w:bottom="1440" w:left="1440" w:header="720" w:footer="720" w:gutter="0"/>
          <w:cols w:num="2" w:space="720"/>
          <w:bidi/>
          <w:docGrid w:linePitch="360"/>
        </w:sectPr>
      </w:pPr>
    </w:p>
    <w:p w:rsidR="00096744" w:rsidRPr="00882F11" w:rsidRDefault="00096744" w:rsidP="00096744">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ל"ב</w:t>
      </w:r>
    </w:p>
    <w:p w:rsidR="00615FF2" w:rsidRDefault="00615FF2" w:rsidP="00096744">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sectPr w:rsidR="00615FF2" w:rsidSect="00615FF2">
          <w:pgSz w:w="11907" w:h="16839" w:code="9"/>
          <w:pgMar w:top="1440" w:right="1440" w:bottom="1440" w:left="1440" w:header="720" w:footer="720" w:gutter="0"/>
          <w:cols w:space="720"/>
          <w:bidi/>
          <w:docGrid w:linePitch="360"/>
        </w:sectPr>
      </w:pPr>
    </w:p>
    <w:p w:rsidR="00096744" w:rsidRPr="00882F11" w:rsidRDefault="00096744" w:rsidP="00096744">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20" w:name="_Toc496175379"/>
      <w:r w:rsidRPr="00882F11">
        <w:rPr>
          <w:rFonts w:asciiTheme="majorHAnsi" w:eastAsiaTheme="majorEastAsia" w:hAnsiTheme="majorHAnsi" w:cs="Guttman Drogolin" w:hint="cs"/>
          <w:b/>
          <w:bCs/>
          <w:sz w:val="24"/>
          <w:szCs w:val="24"/>
          <w:u w:val="single"/>
          <w:rtl/>
          <w:lang w:bidi="he-IL"/>
        </w:rPr>
        <w:lastRenderedPageBreak/>
        <w:t>בענין זיעה</w:t>
      </w:r>
      <w:bookmarkEnd w:id="120"/>
    </w:p>
    <w:p w:rsidR="003D6CB0" w:rsidRPr="00882F11" w:rsidRDefault="00096744" w:rsidP="00382D6D">
      <w:pPr>
        <w:bidi/>
        <w:jc w:val="both"/>
        <w:rPr>
          <w:rFonts w:cs="Guttman Drogolin"/>
          <w:rtl/>
          <w:lang w:bidi="he-IL"/>
        </w:rPr>
      </w:pPr>
      <w:r w:rsidRPr="00882F11">
        <w:rPr>
          <w:rFonts w:cs="Guttman Drogolin" w:hint="cs"/>
          <w:rtl/>
          <w:lang w:bidi="he-IL"/>
        </w:rPr>
        <w:t xml:space="preserve">כתבו התוס' בד"ה רבא באמצע דבריהם </w:t>
      </w:r>
      <w:r w:rsidR="00BB558D" w:rsidRPr="00882F11">
        <w:rPr>
          <w:rFonts w:cs="Guttman Drogolin" w:hint="cs"/>
          <w:rtl/>
          <w:lang w:bidi="he-IL"/>
        </w:rPr>
        <w:t>דאע"ג ש</w:t>
      </w:r>
      <w:r w:rsidRPr="00882F11">
        <w:rPr>
          <w:rFonts w:cs="Guttman Drogolin" w:hint="cs"/>
          <w:rtl/>
          <w:lang w:bidi="he-IL"/>
        </w:rPr>
        <w:t>לענין</w:t>
      </w:r>
      <w:r w:rsidRPr="00882F11">
        <w:rPr>
          <w:rFonts w:cs="Guttman Drogolin"/>
          <w:rtl/>
          <w:lang w:bidi="he-IL"/>
        </w:rPr>
        <w:t xml:space="preserve"> </w:t>
      </w:r>
      <w:r w:rsidRPr="00882F11">
        <w:rPr>
          <w:rFonts w:cs="Guttman Drogolin" w:hint="cs"/>
          <w:rtl/>
          <w:lang w:bidi="he-IL"/>
        </w:rPr>
        <w:t>ריחא</w:t>
      </w:r>
      <w:r w:rsidRPr="00882F11">
        <w:rPr>
          <w:rFonts w:cs="Guttman Drogolin"/>
          <w:rtl/>
          <w:lang w:bidi="he-IL"/>
        </w:rPr>
        <w:t xml:space="preserve"> </w:t>
      </w:r>
      <w:r w:rsidRPr="00882F11">
        <w:rPr>
          <w:rFonts w:cs="Guttman Drogolin" w:hint="cs"/>
          <w:rtl/>
          <w:lang w:bidi="he-IL"/>
        </w:rPr>
        <w:t>הלכה</w:t>
      </w:r>
      <w:r w:rsidRPr="00882F11">
        <w:rPr>
          <w:rFonts w:cs="Guttman Drogolin"/>
          <w:rtl/>
          <w:lang w:bidi="he-IL"/>
        </w:rPr>
        <w:t xml:space="preserve"> </w:t>
      </w:r>
      <w:r w:rsidRPr="00882F11">
        <w:rPr>
          <w:rFonts w:cs="Guttman Drogolin" w:hint="cs"/>
          <w:rtl/>
          <w:lang w:bidi="he-IL"/>
        </w:rPr>
        <w:t>כרב</w:t>
      </w:r>
      <w:r w:rsidRPr="00882F11">
        <w:rPr>
          <w:rFonts w:cs="Guttman Drogolin"/>
          <w:rtl/>
          <w:lang w:bidi="he-IL"/>
        </w:rPr>
        <w:t xml:space="preserve"> </w:t>
      </w:r>
      <w:r w:rsidRPr="00882F11">
        <w:rPr>
          <w:rFonts w:cs="Guttman Drogolin" w:hint="cs"/>
          <w:rtl/>
          <w:lang w:bidi="he-IL"/>
        </w:rPr>
        <w:t>דאמר</w:t>
      </w:r>
      <w:r w:rsidRPr="00882F11">
        <w:rPr>
          <w:rFonts w:cs="Guttman Drogolin"/>
          <w:rtl/>
          <w:lang w:bidi="he-IL"/>
        </w:rPr>
        <w:t xml:space="preserve"> </w:t>
      </w:r>
      <w:r w:rsidRPr="00882F11">
        <w:rPr>
          <w:rFonts w:cs="Guttman Drogolin" w:hint="cs"/>
          <w:rtl/>
          <w:lang w:bidi="he-IL"/>
        </w:rPr>
        <w:t>ריחא</w:t>
      </w:r>
      <w:r w:rsidRPr="00882F11">
        <w:rPr>
          <w:rFonts w:cs="Guttman Drogolin"/>
          <w:rtl/>
          <w:lang w:bidi="he-IL"/>
        </w:rPr>
        <w:t xml:space="preserve"> </w:t>
      </w:r>
      <w:r w:rsidRPr="00882F11">
        <w:rPr>
          <w:rFonts w:cs="Guttman Drogolin" w:hint="cs"/>
          <w:rtl/>
          <w:lang w:bidi="he-IL"/>
        </w:rPr>
        <w:t>מילתא</w:t>
      </w:r>
      <w:r w:rsidRPr="00882F11">
        <w:rPr>
          <w:rFonts w:cs="Guttman Drogolin"/>
          <w:rtl/>
          <w:lang w:bidi="he-IL"/>
        </w:rPr>
        <w:t xml:space="preserve"> </w:t>
      </w:r>
      <w:r w:rsidRPr="00882F11">
        <w:rPr>
          <w:rFonts w:cs="Guttman Drogolin" w:hint="cs"/>
          <w:rtl/>
          <w:lang w:bidi="he-IL"/>
        </w:rPr>
        <w:t>היא</w:t>
      </w:r>
      <w:r w:rsidRPr="00882F11">
        <w:rPr>
          <w:rFonts w:cs="Guttman Drogolin"/>
          <w:rtl/>
          <w:lang w:bidi="he-IL"/>
        </w:rPr>
        <w:t xml:space="preserve"> </w:t>
      </w:r>
      <w:r w:rsidRPr="00882F11">
        <w:rPr>
          <w:rFonts w:cs="Guttman Drogolin" w:hint="cs"/>
          <w:rtl/>
          <w:lang w:bidi="he-IL"/>
        </w:rPr>
        <w:t>ה</w:t>
      </w:r>
      <w:r w:rsidR="00382D6D" w:rsidRPr="00882F11">
        <w:rPr>
          <w:rFonts w:cs="Guttman Drogolin" w:hint="cs"/>
          <w:rtl/>
          <w:lang w:bidi="he-IL"/>
        </w:rPr>
        <w:t>"</w:t>
      </w:r>
      <w:r w:rsidRPr="00882F11">
        <w:rPr>
          <w:rFonts w:cs="Guttman Drogolin" w:hint="cs"/>
          <w:rtl/>
          <w:lang w:bidi="he-IL"/>
        </w:rPr>
        <w:t>מ</w:t>
      </w:r>
      <w:r w:rsidRPr="00882F11">
        <w:rPr>
          <w:rFonts w:cs="Guttman Drogolin"/>
          <w:rtl/>
          <w:lang w:bidi="he-IL"/>
        </w:rPr>
        <w:t xml:space="preserve"> </w:t>
      </w:r>
      <w:r w:rsidRPr="00882F11">
        <w:rPr>
          <w:rFonts w:cs="Guttman Drogolin" w:hint="cs"/>
          <w:rtl/>
          <w:lang w:bidi="he-IL"/>
        </w:rPr>
        <w:t>בתנורים</w:t>
      </w:r>
      <w:r w:rsidRPr="00882F11">
        <w:rPr>
          <w:rFonts w:cs="Guttman Drogolin"/>
          <w:rtl/>
          <w:lang w:bidi="he-IL"/>
        </w:rPr>
        <w:t xml:space="preserve"> </w:t>
      </w:r>
      <w:r w:rsidRPr="00882F11">
        <w:rPr>
          <w:rFonts w:cs="Guttman Drogolin" w:hint="cs"/>
          <w:rtl/>
          <w:lang w:bidi="he-IL"/>
        </w:rPr>
        <w:t>שלהם</w:t>
      </w:r>
      <w:r w:rsidRPr="00882F11">
        <w:rPr>
          <w:rFonts w:cs="Guttman Drogolin"/>
          <w:rtl/>
          <w:lang w:bidi="he-IL"/>
        </w:rPr>
        <w:t xml:space="preserve"> </w:t>
      </w:r>
      <w:r w:rsidRPr="00882F11">
        <w:rPr>
          <w:rFonts w:cs="Guttman Drogolin" w:hint="cs"/>
          <w:rtl/>
          <w:lang w:bidi="he-IL"/>
        </w:rPr>
        <w:t>שהיו</w:t>
      </w:r>
      <w:r w:rsidRPr="00882F11">
        <w:rPr>
          <w:rFonts w:cs="Guttman Drogolin"/>
          <w:rtl/>
          <w:lang w:bidi="he-IL"/>
        </w:rPr>
        <w:t xml:space="preserve"> </w:t>
      </w:r>
      <w:r w:rsidRPr="00882F11">
        <w:rPr>
          <w:rFonts w:cs="Guttman Drogolin" w:hint="cs"/>
          <w:rtl/>
          <w:lang w:bidi="he-IL"/>
        </w:rPr>
        <w:t>קטנים</w:t>
      </w:r>
      <w:r w:rsidR="00BB558D" w:rsidRPr="00882F11">
        <w:rPr>
          <w:rFonts w:cs="Guttman Drogolin" w:hint="cs"/>
          <w:rtl/>
          <w:lang w:bidi="he-IL"/>
        </w:rPr>
        <w:t>,</w:t>
      </w:r>
      <w:r w:rsidRPr="00882F11">
        <w:rPr>
          <w:rFonts w:cs="Guttman Drogolin"/>
          <w:rtl/>
          <w:lang w:bidi="he-IL"/>
        </w:rPr>
        <w:t xml:space="preserve"> </w:t>
      </w:r>
      <w:r w:rsidRPr="00882F11">
        <w:rPr>
          <w:rFonts w:cs="Guttman Drogolin" w:hint="cs"/>
          <w:rtl/>
          <w:lang w:bidi="he-IL"/>
        </w:rPr>
        <w:t>וה</w:t>
      </w:r>
      <w:r w:rsidR="00382D6D" w:rsidRPr="00882F11">
        <w:rPr>
          <w:rFonts w:cs="Guttman Drogolin" w:hint="cs"/>
          <w:rtl/>
          <w:lang w:bidi="he-IL"/>
        </w:rPr>
        <w:t>"</w:t>
      </w:r>
      <w:r w:rsidRPr="00882F11">
        <w:rPr>
          <w:rFonts w:cs="Guttman Drogolin" w:hint="cs"/>
          <w:rtl/>
          <w:lang w:bidi="he-IL"/>
        </w:rPr>
        <w:t>ה</w:t>
      </w:r>
      <w:r w:rsidRPr="00882F11">
        <w:rPr>
          <w:rFonts w:cs="Guttman Drogolin"/>
          <w:rtl/>
          <w:lang w:bidi="he-IL"/>
        </w:rPr>
        <w:t xml:space="preserve"> </w:t>
      </w:r>
      <w:r w:rsidRPr="00882F11">
        <w:rPr>
          <w:rFonts w:cs="Guttman Drogolin" w:hint="cs"/>
          <w:rtl/>
          <w:lang w:bidi="he-IL"/>
        </w:rPr>
        <w:t>תחת</w:t>
      </w:r>
      <w:r w:rsidRPr="00882F11">
        <w:rPr>
          <w:rFonts w:cs="Guttman Drogolin"/>
          <w:rtl/>
          <w:lang w:bidi="he-IL"/>
        </w:rPr>
        <w:t xml:space="preserve"> </w:t>
      </w:r>
      <w:r w:rsidRPr="00882F11">
        <w:rPr>
          <w:rFonts w:cs="Guttman Drogolin" w:hint="cs"/>
          <w:rtl/>
          <w:lang w:bidi="he-IL"/>
        </w:rPr>
        <w:t>מחבת</w:t>
      </w:r>
      <w:r w:rsidRPr="00882F11">
        <w:rPr>
          <w:rFonts w:cs="Guttman Drogolin"/>
          <w:rtl/>
          <w:lang w:bidi="he-IL"/>
        </w:rPr>
        <w:t xml:space="preserve"> </w:t>
      </w:r>
      <w:r w:rsidRPr="00882F11">
        <w:rPr>
          <w:rFonts w:cs="Guttman Drogolin" w:hint="cs"/>
          <w:rtl/>
          <w:lang w:bidi="he-IL"/>
        </w:rPr>
        <w:t>שלנו</w:t>
      </w:r>
      <w:r w:rsidRPr="00882F11">
        <w:rPr>
          <w:rFonts w:cs="Guttman Drogolin"/>
          <w:rtl/>
          <w:lang w:bidi="he-IL"/>
        </w:rPr>
        <w:t xml:space="preserve"> </w:t>
      </w:r>
      <w:r w:rsidRPr="00882F11">
        <w:rPr>
          <w:rFonts w:cs="Guttman Drogolin" w:hint="cs"/>
          <w:rtl/>
          <w:lang w:bidi="he-IL"/>
        </w:rPr>
        <w:t>שקורין</w:t>
      </w:r>
      <w:r w:rsidRPr="00882F11">
        <w:rPr>
          <w:rFonts w:cs="Guttman Drogolin"/>
          <w:rtl/>
          <w:lang w:bidi="he-IL"/>
        </w:rPr>
        <w:t xml:space="preserve"> </w:t>
      </w:r>
      <w:r w:rsidRPr="00882F11">
        <w:rPr>
          <w:rFonts w:cs="Guttman Drogolin" w:hint="cs"/>
          <w:rtl/>
          <w:lang w:bidi="he-IL"/>
        </w:rPr>
        <w:t>תרפי</w:t>
      </w:r>
      <w:r w:rsidR="00382D6D" w:rsidRPr="00882F11">
        <w:rPr>
          <w:rFonts w:cs="Guttman Drogolin" w:hint="cs"/>
          <w:rtl/>
          <w:lang w:bidi="he-IL"/>
        </w:rPr>
        <w:t>"</w:t>
      </w:r>
      <w:r w:rsidRPr="00882F11">
        <w:rPr>
          <w:rFonts w:cs="Guttman Drogolin" w:hint="cs"/>
          <w:rtl/>
          <w:lang w:bidi="he-IL"/>
        </w:rPr>
        <w:t>ד</w:t>
      </w:r>
      <w:r w:rsidRPr="00882F11">
        <w:rPr>
          <w:rFonts w:cs="Guttman Drogolin"/>
          <w:rtl/>
          <w:lang w:bidi="he-IL"/>
        </w:rPr>
        <w:t xml:space="preserve"> </w:t>
      </w:r>
      <w:r w:rsidRPr="00882F11">
        <w:rPr>
          <w:rFonts w:cs="Guttman Drogolin" w:hint="cs"/>
          <w:rtl/>
          <w:lang w:bidi="he-IL"/>
        </w:rPr>
        <w:t>בלע</w:t>
      </w:r>
      <w:r w:rsidR="00382D6D" w:rsidRPr="00882F11">
        <w:rPr>
          <w:rFonts w:cs="Guttman Drogolin" w:hint="cs"/>
          <w:rtl/>
          <w:lang w:bidi="he-IL"/>
        </w:rPr>
        <w:t>"</w:t>
      </w:r>
      <w:r w:rsidRPr="00882F11">
        <w:rPr>
          <w:rFonts w:cs="Guttman Drogolin" w:hint="cs"/>
          <w:rtl/>
          <w:lang w:bidi="he-IL"/>
        </w:rPr>
        <w:t>ז</w:t>
      </w:r>
      <w:r w:rsidRPr="00882F11">
        <w:rPr>
          <w:rFonts w:cs="Guttman Drogolin"/>
          <w:rtl/>
          <w:lang w:bidi="he-IL"/>
        </w:rPr>
        <w:t xml:space="preserve"> </w:t>
      </w:r>
      <w:r w:rsidRPr="00882F11">
        <w:rPr>
          <w:rFonts w:cs="Guttman Drogolin" w:hint="cs"/>
          <w:rtl/>
          <w:lang w:bidi="he-IL"/>
        </w:rPr>
        <w:t>שאופין</w:t>
      </w:r>
      <w:r w:rsidRPr="00882F11">
        <w:rPr>
          <w:rFonts w:cs="Guttman Drogolin"/>
          <w:rtl/>
          <w:lang w:bidi="he-IL"/>
        </w:rPr>
        <w:t xml:space="preserve"> </w:t>
      </w:r>
      <w:r w:rsidRPr="00882F11">
        <w:rPr>
          <w:rFonts w:cs="Guttman Drogolin" w:hint="cs"/>
          <w:rtl/>
          <w:lang w:bidi="he-IL"/>
        </w:rPr>
        <w:t>תחתיה</w:t>
      </w:r>
      <w:r w:rsidRPr="00882F11">
        <w:rPr>
          <w:rFonts w:cs="Guttman Drogolin"/>
          <w:rtl/>
          <w:lang w:bidi="he-IL"/>
        </w:rPr>
        <w:t xml:space="preserve"> </w:t>
      </w:r>
      <w:r w:rsidRPr="00882F11">
        <w:rPr>
          <w:rFonts w:cs="Guttman Drogolin" w:hint="cs"/>
          <w:rtl/>
          <w:lang w:bidi="he-IL"/>
        </w:rPr>
        <w:t>הפשטיד</w:t>
      </w:r>
      <w:r w:rsidR="00382D6D" w:rsidRPr="00882F11">
        <w:rPr>
          <w:rFonts w:cs="Guttman Drogolin" w:hint="cs"/>
          <w:rtl/>
          <w:lang w:bidi="he-IL"/>
        </w:rPr>
        <w:t>"</w:t>
      </w:r>
      <w:r w:rsidRPr="00882F11">
        <w:rPr>
          <w:rFonts w:cs="Guttman Drogolin" w:hint="cs"/>
          <w:rtl/>
          <w:lang w:bidi="he-IL"/>
        </w:rPr>
        <w:t>א</w:t>
      </w:r>
      <w:r w:rsidR="00BB558D" w:rsidRPr="00882F11">
        <w:rPr>
          <w:rFonts w:cs="Guttman Drogolin" w:hint="cs"/>
          <w:rtl/>
          <w:lang w:bidi="he-IL"/>
        </w:rPr>
        <w:t>,</w:t>
      </w:r>
      <w:r w:rsidRPr="00882F11">
        <w:rPr>
          <w:rFonts w:cs="Guttman Drogolin"/>
          <w:rtl/>
          <w:lang w:bidi="he-IL"/>
        </w:rPr>
        <w:t xml:space="preserve"> </w:t>
      </w:r>
      <w:r w:rsidRPr="00882F11">
        <w:rPr>
          <w:rFonts w:cs="Guttman Drogolin" w:hint="cs"/>
          <w:rtl/>
          <w:lang w:bidi="he-IL"/>
        </w:rPr>
        <w:t>אבל</w:t>
      </w:r>
      <w:r w:rsidRPr="00882F11">
        <w:rPr>
          <w:rFonts w:cs="Guttman Drogolin"/>
          <w:rtl/>
          <w:lang w:bidi="he-IL"/>
        </w:rPr>
        <w:t xml:space="preserve"> </w:t>
      </w:r>
      <w:r w:rsidRPr="00882F11">
        <w:rPr>
          <w:rFonts w:cs="Guttman Drogolin" w:hint="cs"/>
          <w:rtl/>
          <w:lang w:bidi="he-IL"/>
        </w:rPr>
        <w:t>בתנורים</w:t>
      </w:r>
      <w:r w:rsidRPr="00882F11">
        <w:rPr>
          <w:rFonts w:cs="Guttman Drogolin"/>
          <w:rtl/>
          <w:lang w:bidi="he-IL"/>
        </w:rPr>
        <w:t xml:space="preserve"> </w:t>
      </w:r>
      <w:r w:rsidRPr="00882F11">
        <w:rPr>
          <w:rFonts w:cs="Guttman Drogolin" w:hint="cs"/>
          <w:rtl/>
          <w:lang w:bidi="he-IL"/>
        </w:rPr>
        <w:t>גדולים</w:t>
      </w:r>
      <w:r w:rsidRPr="00882F11">
        <w:rPr>
          <w:rFonts w:cs="Guttman Drogolin"/>
          <w:rtl/>
          <w:lang w:bidi="he-IL"/>
        </w:rPr>
        <w:t xml:space="preserve"> </w:t>
      </w:r>
      <w:r w:rsidRPr="00882F11">
        <w:rPr>
          <w:rFonts w:cs="Guttman Drogolin" w:hint="cs"/>
          <w:rtl/>
          <w:lang w:bidi="he-IL"/>
        </w:rPr>
        <w:t>שלנו</w:t>
      </w:r>
      <w:r w:rsidRPr="00882F11">
        <w:rPr>
          <w:rFonts w:cs="Guttman Drogolin"/>
          <w:rtl/>
          <w:lang w:bidi="he-IL"/>
        </w:rPr>
        <w:t xml:space="preserve"> </w:t>
      </w:r>
      <w:r w:rsidRPr="00882F11">
        <w:rPr>
          <w:rFonts w:cs="Guttman Drogolin" w:hint="cs"/>
          <w:rtl/>
          <w:lang w:bidi="he-IL"/>
        </w:rPr>
        <w:t>אין</w:t>
      </w:r>
      <w:r w:rsidRPr="00882F11">
        <w:rPr>
          <w:rFonts w:cs="Guttman Drogolin"/>
          <w:rtl/>
          <w:lang w:bidi="he-IL"/>
        </w:rPr>
        <w:t xml:space="preserve"> </w:t>
      </w:r>
      <w:r w:rsidRPr="00882F11">
        <w:rPr>
          <w:rFonts w:cs="Guttman Drogolin" w:hint="cs"/>
          <w:rtl/>
          <w:lang w:bidi="he-IL"/>
        </w:rPr>
        <w:t>לחוש</w:t>
      </w:r>
      <w:r w:rsidRPr="00882F11">
        <w:rPr>
          <w:rFonts w:cs="Guttman Drogolin"/>
          <w:rtl/>
          <w:lang w:bidi="he-IL"/>
        </w:rPr>
        <w:t xml:space="preserve"> </w:t>
      </w:r>
      <w:r w:rsidRPr="00882F11">
        <w:rPr>
          <w:rFonts w:cs="Guttman Drogolin" w:hint="cs"/>
          <w:rtl/>
          <w:lang w:bidi="he-IL"/>
        </w:rPr>
        <w:t>לריחא</w:t>
      </w:r>
      <w:r w:rsidRPr="00882F11">
        <w:rPr>
          <w:rFonts w:cs="Guttman Drogolin"/>
          <w:rtl/>
          <w:lang w:bidi="he-IL"/>
        </w:rPr>
        <w:t xml:space="preserve"> </w:t>
      </w:r>
      <w:r w:rsidRPr="00882F11">
        <w:rPr>
          <w:rFonts w:cs="Guttman Drogolin" w:hint="cs"/>
          <w:rtl/>
          <w:lang w:bidi="he-IL"/>
        </w:rPr>
        <w:t>ובלבד</w:t>
      </w:r>
      <w:r w:rsidRPr="00882F11">
        <w:rPr>
          <w:rFonts w:cs="Guttman Drogolin"/>
          <w:rtl/>
          <w:lang w:bidi="he-IL"/>
        </w:rPr>
        <w:t xml:space="preserve"> </w:t>
      </w:r>
      <w:r w:rsidRPr="00882F11">
        <w:rPr>
          <w:rFonts w:cs="Guttman Drogolin" w:hint="cs"/>
          <w:rtl/>
          <w:lang w:bidi="he-IL"/>
        </w:rPr>
        <w:t>שלא</w:t>
      </w:r>
      <w:r w:rsidRPr="00882F11">
        <w:rPr>
          <w:rFonts w:cs="Guttman Drogolin"/>
          <w:rtl/>
          <w:lang w:bidi="he-IL"/>
        </w:rPr>
        <w:t xml:space="preserve"> </w:t>
      </w:r>
      <w:r w:rsidRPr="00882F11">
        <w:rPr>
          <w:rFonts w:cs="Guttman Drogolin" w:hint="cs"/>
          <w:rtl/>
          <w:lang w:bidi="he-IL"/>
        </w:rPr>
        <w:t>יהא</w:t>
      </w:r>
      <w:r w:rsidRPr="00882F11">
        <w:rPr>
          <w:rFonts w:cs="Guttman Drogolin"/>
          <w:rtl/>
          <w:lang w:bidi="he-IL"/>
        </w:rPr>
        <w:t xml:space="preserve"> </w:t>
      </w:r>
      <w:r w:rsidRPr="00882F11">
        <w:rPr>
          <w:rFonts w:cs="Guttman Drogolin" w:hint="cs"/>
          <w:rtl/>
          <w:lang w:bidi="he-IL"/>
        </w:rPr>
        <w:t>פי</w:t>
      </w:r>
      <w:r w:rsidRPr="00882F11">
        <w:rPr>
          <w:rFonts w:cs="Guttman Drogolin"/>
          <w:rtl/>
          <w:lang w:bidi="he-IL"/>
        </w:rPr>
        <w:t xml:space="preserve"> </w:t>
      </w:r>
      <w:r w:rsidRPr="00882F11">
        <w:rPr>
          <w:rFonts w:cs="Guttman Drogolin" w:hint="cs"/>
          <w:rtl/>
          <w:lang w:bidi="he-IL"/>
        </w:rPr>
        <w:t>התנור</w:t>
      </w:r>
      <w:r w:rsidRPr="00882F11">
        <w:rPr>
          <w:rFonts w:cs="Guttman Drogolin"/>
          <w:rtl/>
          <w:lang w:bidi="he-IL"/>
        </w:rPr>
        <w:t xml:space="preserve"> </w:t>
      </w:r>
      <w:r w:rsidRPr="00882F11">
        <w:rPr>
          <w:rFonts w:cs="Guttman Drogolin" w:hint="cs"/>
          <w:rtl/>
          <w:lang w:bidi="he-IL"/>
        </w:rPr>
        <w:t>סתום</w:t>
      </w:r>
      <w:r w:rsidR="00BB558D" w:rsidRPr="00882F11">
        <w:rPr>
          <w:rFonts w:cs="Guttman Drogolin" w:hint="cs"/>
          <w:rtl/>
          <w:lang w:bidi="he-IL"/>
        </w:rPr>
        <w:t>.</w:t>
      </w:r>
      <w:r w:rsidRPr="00882F11">
        <w:rPr>
          <w:rFonts w:cs="Guttman Drogolin"/>
          <w:rtl/>
          <w:lang w:bidi="he-IL"/>
        </w:rPr>
        <w:t xml:space="preserve"> </w:t>
      </w:r>
      <w:r w:rsidR="00BB558D" w:rsidRPr="00882F11">
        <w:rPr>
          <w:rFonts w:cs="Guttman Drogolin" w:hint="cs"/>
          <w:rtl/>
          <w:lang w:bidi="he-IL"/>
        </w:rPr>
        <w:t>ולכאורה הטעם משום שבתנור גדול היכא שאינו סתום אין לריחא</w:t>
      </w:r>
      <w:r w:rsidR="003D6CB0" w:rsidRPr="00882F11">
        <w:rPr>
          <w:rFonts w:cs="Guttman Drogolin" w:hint="cs"/>
          <w:rtl/>
          <w:lang w:bidi="he-IL"/>
        </w:rPr>
        <w:t xml:space="preserve"> כח מספיק כדי שיהא חשוב מילתא אפילו לרב. ויש להסתפק הטעמו של דבר, הא זה בגלל שפשוט לא מגיע הריח למאכל כיון שהוא מתפשט ואיננו, או"ד שיש גם בתנור כזה ריח אלא שריח כזה חלש ואינו אוסר. וכה"ג אפשר להסתפק בהא דפת צוננת וחבית סתומה האם יש ריחא רק שאין בכחו לאסור, או"ד שכה"ג ליכא ריחא כלל. ולכאורה ספק זה נפשט לענין תנור גדול עכ"פ ע"י התוס' בהמשך דבריהם שבחמץ בפסח יש לאסור גם בתנורים גדולים שלנו, וע"כ כוונתם שבתנור גדול יש ריחא רק שאין בכחו לאסור. אמנם עדיין יש להסתפק בהא דפת צוננת וחבית סתומה האם אוסר בדשיל"מ וכנ"ל. וצ"ע.</w:t>
      </w:r>
    </w:p>
    <w:p w:rsidR="00790634" w:rsidRPr="00882F11" w:rsidRDefault="00195F83" w:rsidP="00195F83">
      <w:pPr>
        <w:bidi/>
        <w:jc w:val="both"/>
        <w:rPr>
          <w:rFonts w:cs="Guttman Drogolin"/>
          <w:rtl/>
          <w:lang w:bidi="he-IL"/>
        </w:rPr>
      </w:pPr>
      <w:r>
        <w:rPr>
          <w:rFonts w:cs="Guttman Drogolin"/>
          <w:rtl/>
          <w:lang w:bidi="he-IL"/>
        </w:rPr>
        <w:fldChar w:fldCharType="begin"/>
      </w:r>
      <w:r>
        <w:instrText xml:space="preserve"> XE "</w:instrText>
      </w:r>
      <w:r w:rsidRPr="0013777F">
        <w:rPr>
          <w:rFonts w:hint="cs"/>
          <w:rtl/>
          <w:lang w:bidi="he-IL"/>
        </w:rPr>
        <w:instrText>זיעה</w:instrText>
      </w:r>
      <w:r w:rsidRPr="0013777F">
        <w:rPr>
          <w:rtl/>
        </w:rPr>
        <w:instrText>:</w:instrText>
      </w:r>
      <w:r w:rsidRPr="0013777F">
        <w:rPr>
          <w:rFonts w:hint="cs"/>
          <w:rtl/>
          <w:lang w:bidi="he-IL"/>
        </w:rPr>
        <w:instrText>הסוגיא</w:instrText>
      </w:r>
      <w:r>
        <w:instrText xml:space="preserve">" </w:instrText>
      </w:r>
      <w:r>
        <w:rPr>
          <w:rFonts w:cs="Guttman Drogolin"/>
          <w:rtl/>
          <w:lang w:bidi="he-IL"/>
        </w:rPr>
        <w:fldChar w:fldCharType="end"/>
      </w:r>
      <w:r w:rsidR="003D6CB0" w:rsidRPr="00882F11">
        <w:rPr>
          <w:rFonts w:cs="Guttman Drogolin" w:hint="cs"/>
          <w:rtl/>
          <w:lang w:bidi="he-IL"/>
        </w:rPr>
        <w:t xml:space="preserve">והנה </w:t>
      </w:r>
      <w:r w:rsidR="00790634" w:rsidRPr="00882F11">
        <w:rPr>
          <w:rFonts w:cs="Guttman Drogolin" w:hint="cs"/>
          <w:rtl/>
          <w:lang w:bidi="he-IL"/>
        </w:rPr>
        <w:t xml:space="preserve">התוס הוסיפו עוד דרך לאסור אוכל והוא בפשטיד"א תחת הטרפי"ד שיש עליו קדירה. ולכאורה ר"ל שאופה תחת לקדירה המתבשלת. </w:t>
      </w:r>
      <w:r w:rsidR="007C287A" w:rsidRPr="00882F11">
        <w:rPr>
          <w:rFonts w:cs="Guttman Drogolin" w:hint="cs"/>
          <w:rtl/>
          <w:lang w:bidi="he-IL"/>
        </w:rPr>
        <w:t xml:space="preserve">ולכאורה כוונתם בזה שאמנם אין כח לריח לאסור בתנור גדול שאינו סתום, הנ"מ כשאין האיסור ישירות מתחת להיתר (אפילו קשירה של היתר), אבל ישירות מתחת לקדירה של איסור ריחא מילתא היא. </w:t>
      </w:r>
      <w:r w:rsidR="00790634" w:rsidRPr="00882F11">
        <w:rPr>
          <w:rFonts w:cs="Guttman Drogolin" w:hint="cs"/>
          <w:rtl/>
          <w:lang w:bidi="he-IL"/>
        </w:rPr>
        <w:t xml:space="preserve">  </w:t>
      </w:r>
    </w:p>
    <w:p w:rsidR="007C287A" w:rsidRPr="00882F11" w:rsidRDefault="00790634" w:rsidP="007C287A">
      <w:pPr>
        <w:bidi/>
        <w:jc w:val="both"/>
        <w:rPr>
          <w:rFonts w:cs="Guttman Drogolin"/>
          <w:rtl/>
          <w:lang w:bidi="he-IL"/>
        </w:rPr>
      </w:pPr>
      <w:r w:rsidRPr="00882F11">
        <w:rPr>
          <w:rFonts w:cs="Guttman Drogolin" w:hint="cs"/>
          <w:rtl/>
          <w:lang w:bidi="he-IL"/>
        </w:rPr>
        <w:t xml:space="preserve">והנה בשו"ת הרא"ש (כלל כ' אות כ"ו) שאל לו בנו אם אפשר לתת קדירה חולבת מתחת לקדירה שמבשל בה בשר. והשיב שיש לאסור כיון שזיעה מן התחתון עולה לעליון ואוסרו, וכדמצאנו במשניות שבמס' מכשירין שהזיעה מן הדבר מכשיר אוכל לקבל טומאה. ולדבריו לכאורה יל"ע למה לא דנו </w:t>
      </w:r>
      <w:r w:rsidR="007C287A" w:rsidRPr="00882F11">
        <w:rPr>
          <w:rFonts w:cs="Guttman Drogolin" w:hint="cs"/>
          <w:rtl/>
          <w:lang w:bidi="he-IL"/>
        </w:rPr>
        <w:t xml:space="preserve">לא הגמ' ולא </w:t>
      </w:r>
      <w:r w:rsidRPr="00882F11">
        <w:rPr>
          <w:rFonts w:cs="Guttman Drogolin" w:hint="cs"/>
          <w:rtl/>
          <w:lang w:bidi="he-IL"/>
        </w:rPr>
        <w:t>התוס' לאסור</w:t>
      </w:r>
      <w:r w:rsidR="003D6CB0" w:rsidRPr="00882F11">
        <w:rPr>
          <w:rFonts w:cs="Guttman Drogolin" w:hint="cs"/>
          <w:rtl/>
          <w:lang w:bidi="he-IL"/>
        </w:rPr>
        <w:t xml:space="preserve"> </w:t>
      </w:r>
      <w:r w:rsidR="007C287A" w:rsidRPr="00882F11">
        <w:rPr>
          <w:rFonts w:cs="Guttman Drogolin" w:hint="cs"/>
          <w:rtl/>
          <w:lang w:bidi="he-IL"/>
        </w:rPr>
        <w:t xml:space="preserve">בתנור משום זיעה. והיינו שבסוגיא שבמס' פסחים בבשר </w:t>
      </w:r>
      <w:r w:rsidR="007C287A" w:rsidRPr="00882F11">
        <w:rPr>
          <w:rFonts w:cs="Guttman Drogolin" w:hint="cs"/>
          <w:rtl/>
          <w:lang w:bidi="he-IL"/>
        </w:rPr>
        <w:lastRenderedPageBreak/>
        <w:t>שחוטה ובשר נבילה לא דנו לאסור אלא משום ריחא ולא משום זיעה, וכן התוס' הרי התירו בתנור גדול שאין בה משום ריחא, אבל מזיעה לא הזכירו. וכן בהא דתרפי"ד לא אסרו אלא משום דכה"ג ריחא מילתא היא ולא הזכירו לאסור משום זיעה. וצ"ע בכל הני למה לא הזכירו לו ברמז קל שיש לאסור משום זיעה.</w:t>
      </w:r>
    </w:p>
    <w:p w:rsidR="003B5FE8" w:rsidRPr="00882F11" w:rsidRDefault="007C287A" w:rsidP="00382D6D">
      <w:pPr>
        <w:bidi/>
        <w:jc w:val="both"/>
        <w:rPr>
          <w:rFonts w:cs="Guttman Drogolin"/>
          <w:rtl/>
          <w:lang w:bidi="he-IL"/>
        </w:rPr>
      </w:pPr>
      <w:r w:rsidRPr="00882F11">
        <w:rPr>
          <w:rFonts w:cs="Guttman Drogolin" w:hint="cs"/>
          <w:rtl/>
          <w:lang w:bidi="he-IL"/>
        </w:rPr>
        <w:t>והנה הגמ' כאן מביאה מתני' במס' תרומות מחלוקת בין ר' מאיר לר' יהוד</w:t>
      </w:r>
      <w:r w:rsidR="00EB2C0C" w:rsidRPr="00882F11">
        <w:rPr>
          <w:rFonts w:cs="Guttman Drogolin" w:hint="cs"/>
          <w:rtl/>
          <w:lang w:bidi="he-IL"/>
        </w:rPr>
        <w:t>ה</w:t>
      </w:r>
      <w:r w:rsidRPr="00882F11">
        <w:rPr>
          <w:rFonts w:cs="Guttman Drogolin" w:hint="cs"/>
          <w:rtl/>
          <w:lang w:bidi="he-IL"/>
        </w:rPr>
        <w:t xml:space="preserve"> </w:t>
      </w:r>
      <w:r w:rsidR="00D23838" w:rsidRPr="00882F11">
        <w:rPr>
          <w:rFonts w:cs="Guttman Drogolin" w:hint="cs"/>
          <w:rtl/>
          <w:lang w:bidi="he-IL"/>
        </w:rPr>
        <w:t>במי שרודה</w:t>
      </w:r>
      <w:r w:rsidR="00D23838" w:rsidRPr="00882F11">
        <w:rPr>
          <w:rFonts w:cs="Guttman Drogolin"/>
          <w:rtl/>
          <w:lang w:bidi="he-IL"/>
        </w:rPr>
        <w:t xml:space="preserve"> </w:t>
      </w:r>
      <w:r w:rsidR="00D23838" w:rsidRPr="00882F11">
        <w:rPr>
          <w:rFonts w:cs="Guttman Drogolin" w:hint="cs"/>
          <w:rtl/>
          <w:lang w:bidi="he-IL"/>
        </w:rPr>
        <w:t>פת</w:t>
      </w:r>
      <w:r w:rsidR="00D23838" w:rsidRPr="00882F11">
        <w:rPr>
          <w:rFonts w:cs="Guttman Drogolin"/>
          <w:rtl/>
          <w:lang w:bidi="he-IL"/>
        </w:rPr>
        <w:t xml:space="preserve"> </w:t>
      </w:r>
      <w:r w:rsidR="00D23838" w:rsidRPr="00882F11">
        <w:rPr>
          <w:rFonts w:cs="Guttman Drogolin" w:hint="cs"/>
          <w:rtl/>
          <w:lang w:bidi="he-IL"/>
        </w:rPr>
        <w:t>חמה</w:t>
      </w:r>
      <w:r w:rsidR="00D23838" w:rsidRPr="00882F11">
        <w:rPr>
          <w:rFonts w:cs="Guttman Drogolin"/>
          <w:rtl/>
          <w:lang w:bidi="he-IL"/>
        </w:rPr>
        <w:t xml:space="preserve"> </w:t>
      </w:r>
      <w:r w:rsidR="00D23838" w:rsidRPr="00882F11">
        <w:rPr>
          <w:rFonts w:cs="Guttman Drogolin" w:hint="cs"/>
          <w:rtl/>
          <w:lang w:bidi="he-IL"/>
        </w:rPr>
        <w:t>ונתנה</w:t>
      </w:r>
      <w:r w:rsidR="00D23838" w:rsidRPr="00882F11">
        <w:rPr>
          <w:rFonts w:cs="Guttman Drogolin"/>
          <w:rtl/>
          <w:lang w:bidi="he-IL"/>
        </w:rPr>
        <w:t xml:space="preserve"> </w:t>
      </w:r>
      <w:r w:rsidR="00D23838" w:rsidRPr="00882F11">
        <w:rPr>
          <w:rFonts w:cs="Guttman Drogolin" w:hint="cs"/>
          <w:rtl/>
          <w:lang w:bidi="he-IL"/>
        </w:rPr>
        <w:t>ע</w:t>
      </w:r>
      <w:r w:rsidR="00382D6D" w:rsidRPr="00882F11">
        <w:rPr>
          <w:rFonts w:cs="Guttman Drogolin" w:hint="cs"/>
          <w:rtl/>
          <w:lang w:bidi="he-IL"/>
        </w:rPr>
        <w:t>"</w:t>
      </w:r>
      <w:r w:rsidR="00D23838" w:rsidRPr="00882F11">
        <w:rPr>
          <w:rFonts w:cs="Guttman Drogolin" w:hint="cs"/>
          <w:rtl/>
          <w:lang w:bidi="he-IL"/>
        </w:rPr>
        <w:t>פ</w:t>
      </w:r>
      <w:r w:rsidR="00D23838" w:rsidRPr="00882F11">
        <w:rPr>
          <w:rFonts w:cs="Guttman Drogolin"/>
          <w:rtl/>
          <w:lang w:bidi="he-IL"/>
        </w:rPr>
        <w:t xml:space="preserve"> </w:t>
      </w:r>
      <w:r w:rsidR="00D23838" w:rsidRPr="00882F11">
        <w:rPr>
          <w:rFonts w:cs="Guttman Drogolin" w:hint="cs"/>
          <w:rtl/>
          <w:lang w:bidi="he-IL"/>
        </w:rPr>
        <w:t>חבית</w:t>
      </w:r>
      <w:r w:rsidR="00D23838" w:rsidRPr="00882F11">
        <w:rPr>
          <w:rFonts w:cs="Guttman Drogolin"/>
          <w:rtl/>
          <w:lang w:bidi="he-IL"/>
        </w:rPr>
        <w:t xml:space="preserve"> </w:t>
      </w:r>
      <w:r w:rsidR="00D23838" w:rsidRPr="00882F11">
        <w:rPr>
          <w:rFonts w:cs="Guttman Drogolin" w:hint="cs"/>
          <w:rtl/>
          <w:lang w:bidi="he-IL"/>
        </w:rPr>
        <w:t>של</w:t>
      </w:r>
      <w:r w:rsidR="00D23838" w:rsidRPr="00882F11">
        <w:rPr>
          <w:rFonts w:cs="Guttman Drogolin"/>
          <w:rtl/>
          <w:lang w:bidi="he-IL"/>
        </w:rPr>
        <w:t xml:space="preserve"> </w:t>
      </w:r>
      <w:r w:rsidR="00D23838" w:rsidRPr="00882F11">
        <w:rPr>
          <w:rFonts w:cs="Guttman Drogolin" w:hint="cs"/>
          <w:rtl/>
          <w:lang w:bidi="he-IL"/>
        </w:rPr>
        <w:t>יין</w:t>
      </w:r>
      <w:r w:rsidR="00D23838" w:rsidRPr="00882F11">
        <w:rPr>
          <w:rFonts w:cs="Guttman Drogolin"/>
          <w:rtl/>
          <w:lang w:bidi="he-IL"/>
        </w:rPr>
        <w:t xml:space="preserve"> </w:t>
      </w:r>
      <w:r w:rsidR="00D23838" w:rsidRPr="00882F11">
        <w:rPr>
          <w:rFonts w:cs="Guttman Drogolin" w:hint="cs"/>
          <w:rtl/>
          <w:lang w:bidi="he-IL"/>
        </w:rPr>
        <w:t>של</w:t>
      </w:r>
      <w:r w:rsidR="00D23838" w:rsidRPr="00882F11">
        <w:rPr>
          <w:rFonts w:cs="Guttman Drogolin"/>
          <w:rtl/>
          <w:lang w:bidi="he-IL"/>
        </w:rPr>
        <w:t xml:space="preserve"> </w:t>
      </w:r>
      <w:r w:rsidR="00D23838" w:rsidRPr="00882F11">
        <w:rPr>
          <w:rFonts w:cs="Guttman Drogolin" w:hint="cs"/>
          <w:rtl/>
          <w:lang w:bidi="he-IL"/>
        </w:rPr>
        <w:t>תרומה, דר' מאיר אוסר ור' יהודה מתיר. והגמ' רצתה לומר שנחלקו אם איחט מילתא היא או לא. ובחי' רע"א מובא ששאלו לרע"א על זה שהרי במתני' שבמס' מכשירין פ"ג יש אותו מחלוקת לענין הכשר, דר' מאיר</w:t>
      </w:r>
      <w:r w:rsidR="00DA6DC1" w:rsidRPr="00882F11">
        <w:rPr>
          <w:rFonts w:cs="Guttman Drogolin" w:hint="cs"/>
          <w:rtl/>
          <w:lang w:bidi="he-IL"/>
        </w:rPr>
        <w:t xml:space="preserve"> סבר שהיין </w:t>
      </w:r>
      <w:r w:rsidR="00D23838" w:rsidRPr="00882F11">
        <w:rPr>
          <w:rFonts w:cs="Guttman Drogolin" w:hint="cs"/>
          <w:rtl/>
          <w:lang w:bidi="he-IL"/>
        </w:rPr>
        <w:t xml:space="preserve">מכשיר ור' יהודה סבר שאינו מכשיר. </w:t>
      </w:r>
      <w:r w:rsidR="00DA6DC1" w:rsidRPr="00882F11">
        <w:rPr>
          <w:rFonts w:cs="Guttman Drogolin" w:hint="cs"/>
          <w:rtl/>
          <w:lang w:bidi="he-IL"/>
        </w:rPr>
        <w:t xml:space="preserve">וסבר השואל </w:t>
      </w:r>
      <w:r w:rsidR="00E20A16" w:rsidRPr="00882F11">
        <w:rPr>
          <w:rFonts w:cs="Guttman Drogolin" w:hint="cs"/>
          <w:rtl/>
          <w:lang w:bidi="he-IL"/>
        </w:rPr>
        <w:t>שריחא הרי אינו המשקין או אוכלין עצמן כלל, רק הוא כח היוצא ממנו שקוראים לו ריח שאפשר להריח אותו. ונחלקו האמוראים אי אמרינן דריחא מילתא היא או לא, ור"ל שנחלקו אם הכח הזה האסר באכילה או לא. אבל להכשר הרי צריכים הז' משקין. וא"כ כיון דחזינן דר' מאיר סבר שהרי הוא מכשיר את הלחם (וביאר שם הר"ש דמיירי בלחם העשוי ממי פירות דאל"כ הרי הלחם כבר הוכשר לקבל טומאה בשעת לישה)</w:t>
      </w:r>
      <w:r w:rsidR="003B5FE8" w:rsidRPr="00882F11">
        <w:rPr>
          <w:rFonts w:cs="Guttman Drogolin" w:hint="cs"/>
          <w:rtl/>
          <w:lang w:bidi="he-IL"/>
        </w:rPr>
        <w:t>, ע"כ אין הטעם משום שיש כאן ריחא בעלמא, רק שיש כאן מגוף היין שמכשיר את הלחם. וכיון שכן צ"ע מה הביאו ראי' משיטת ר' מאיר דריחא מילתא היא, הא ע"כ אין זה טעמו רק משום שנכנס בה מגוף המשקין דאל"כ לא הי' מקבל הכשר.</w:t>
      </w:r>
    </w:p>
    <w:p w:rsidR="00843EB1" w:rsidRPr="00882F11" w:rsidRDefault="00195F83" w:rsidP="003B5FE8">
      <w:pPr>
        <w:bidi/>
        <w:jc w:val="both"/>
        <w:rPr>
          <w:rFonts w:cs="Guttman Drogolin"/>
          <w:rtl/>
          <w:lang w:bidi="he-IL"/>
        </w:rPr>
      </w:pPr>
      <w:r>
        <w:rPr>
          <w:rFonts w:cs="Guttman Drogolin"/>
          <w:rtl/>
          <w:lang w:bidi="he-IL"/>
        </w:rPr>
        <w:fldChar w:fldCharType="begin"/>
      </w:r>
      <w:r>
        <w:instrText xml:space="preserve"> XE "</w:instrText>
      </w:r>
      <w:r w:rsidRPr="002C4646">
        <w:rPr>
          <w:rFonts w:hint="cs"/>
          <w:rtl/>
          <w:lang w:bidi="he-IL"/>
        </w:rPr>
        <w:instrText>זיעה</w:instrText>
      </w:r>
      <w:r w:rsidRPr="002C4646">
        <w:rPr>
          <w:rtl/>
        </w:rPr>
        <w:instrText>:</w:instrText>
      </w:r>
      <w:r w:rsidRPr="002C4646">
        <w:rPr>
          <w:rFonts w:hint="cs"/>
          <w:rtl/>
          <w:lang w:bidi="he-IL"/>
        </w:rPr>
        <w:instrText>אם הא דזיעה מכשרת ודין ריחא מילתא תלויין זה בזה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4231C1">
        <w:rPr>
          <w:rFonts w:hint="cs"/>
          <w:rtl/>
          <w:lang w:bidi="he-IL"/>
        </w:rPr>
        <w:instrText>ריחא מילתא</w:instrText>
      </w:r>
      <w:r w:rsidRPr="004231C1">
        <w:rPr>
          <w:rtl/>
        </w:rPr>
        <w:instrText>:</w:instrText>
      </w:r>
      <w:r w:rsidRPr="004231C1">
        <w:rPr>
          <w:rFonts w:hint="cs"/>
          <w:rtl/>
          <w:lang w:bidi="he-IL"/>
        </w:rPr>
        <w:instrText>אם הא דזיעה מכשרת ודין ריחא מילתא תלויין זה בזה</w:instrText>
      </w:r>
      <w:r>
        <w:instrText xml:space="preserve">" </w:instrText>
      </w:r>
      <w:r>
        <w:rPr>
          <w:rFonts w:cs="Guttman Drogolin"/>
          <w:rtl/>
          <w:lang w:bidi="he-IL"/>
        </w:rPr>
        <w:fldChar w:fldCharType="end"/>
      </w:r>
      <w:r w:rsidR="003B5FE8" w:rsidRPr="00882F11">
        <w:rPr>
          <w:rFonts w:cs="Guttman Drogolin" w:hint="cs"/>
          <w:rtl/>
          <w:lang w:bidi="he-IL"/>
        </w:rPr>
        <w:t xml:space="preserve">והשיב לו רע"א שאין זה נכון, רק הטעם שזיעה יכול להכשיר מאכל לקבל טומאה הוא משום שהכח היוצא מן המאכל יש לו דינו של אותו מאכל אע"פ שאינו המאכל עצמו. וע"ש שדקדק כן מלשון הר"ש והרמב"ם. ולכן הנידון אם מכשיר לקבל טומאה וכן הנידון אם ריחא מילתא היא הם נידון א', שלמ"ד ריחא מילתא היא נותנים לכח </w:t>
      </w:r>
      <w:r w:rsidR="003B5FE8" w:rsidRPr="00882F11">
        <w:rPr>
          <w:rFonts w:cs="Guttman Drogolin" w:hint="cs"/>
          <w:rtl/>
          <w:lang w:bidi="he-IL"/>
        </w:rPr>
        <w:lastRenderedPageBreak/>
        <w:t>היוצא מן המאכל דינו של המאכל, ולכן אסור להריח בו וכן יש לו דין להכשיר מאכל אחר לקבל טומאה. ולמ"ד ריחא לאו מילתא הי' האי כח לאו כלום הוא, ולכן מותר להריח בו ואינו מכשיר</w:t>
      </w:r>
      <w:r w:rsidR="00843EB1" w:rsidRPr="00882F11">
        <w:rPr>
          <w:rStyle w:val="FootnoteReference"/>
          <w:rFonts w:cs="Guttman Drogolin"/>
          <w:rtl/>
          <w:lang w:bidi="he-IL"/>
        </w:rPr>
        <w:footnoteReference w:id="133"/>
      </w:r>
      <w:r w:rsidR="003B5FE8" w:rsidRPr="00882F11">
        <w:rPr>
          <w:rFonts w:cs="Guttman Drogolin" w:hint="cs"/>
          <w:rtl/>
          <w:lang w:bidi="he-IL"/>
        </w:rPr>
        <w:t>.</w:t>
      </w:r>
      <w:r w:rsidR="00E20A16" w:rsidRPr="00882F11">
        <w:rPr>
          <w:rFonts w:cs="Guttman Drogolin" w:hint="cs"/>
          <w:rtl/>
          <w:lang w:bidi="he-IL"/>
        </w:rPr>
        <w:t xml:space="preserve"> </w:t>
      </w:r>
    </w:p>
    <w:p w:rsidR="008B0AEE" w:rsidRPr="00882F11" w:rsidRDefault="00843EB1" w:rsidP="00843EB1">
      <w:pPr>
        <w:bidi/>
        <w:jc w:val="both"/>
        <w:rPr>
          <w:rFonts w:cs="Guttman Drogolin"/>
          <w:rtl/>
          <w:lang w:bidi="he-IL"/>
        </w:rPr>
      </w:pPr>
      <w:r w:rsidRPr="00882F11">
        <w:rPr>
          <w:rFonts w:cs="Guttman Drogolin" w:hint="cs"/>
          <w:rtl/>
          <w:lang w:bidi="he-IL"/>
        </w:rPr>
        <w:t>והנה לכאורה לפי זה כיון דקיי"ל כר' יהודה שהפת איננה אסורה, וכן לכמה הראשונים פוסקים כרב ורבא דריחא לאו מילתא היא, לכאורה הי' צריך להיות הדין שגם זיעה לאו מילתא היא. וא"כ לכאורה תיקשי לשו"ת הרא"ש הנ"ל שאסר משום זיעה אפילו בדיעבד. גם לזה התייחס רע"א, ותי' שהרי קאמר ר"ל דפת חמה וחבית פתוחה לכו"ע ריחא מילתא היא, ולכאורה ר"ל שאין המחלוקת בין ר' מאיר לר' יהודה על דבר שיש לו שם ריחא אם הוא חפצא דאיסורא בכלל או לא. רק נחלקו בדרגות, שבדרגה של פת חמה וחבית סתומה נחלקו אם ריח כה"ג מילתא היא, אבל בדרגה יותר גדולה כמו פת חמה וחבית פתוחה לכו"ע ריחא מילתא. ולכן בכגון זיעה של קדרה סבר הרא"ש שזהו כמו פת חמה וחבית פתוחה שיש לאסור</w:t>
      </w:r>
      <w:r w:rsidR="008B0AEE" w:rsidRPr="00882F11">
        <w:rPr>
          <w:rStyle w:val="FootnoteReference"/>
          <w:rFonts w:cs="Guttman Drogolin"/>
          <w:rtl/>
          <w:lang w:bidi="he-IL"/>
        </w:rPr>
        <w:footnoteReference w:id="134"/>
      </w:r>
      <w:r w:rsidRPr="00882F11">
        <w:rPr>
          <w:rFonts w:cs="Guttman Drogolin" w:hint="cs"/>
          <w:rtl/>
          <w:lang w:bidi="he-IL"/>
        </w:rPr>
        <w:t xml:space="preserve">. </w:t>
      </w:r>
      <w:r w:rsidR="008B0AEE" w:rsidRPr="00882F11">
        <w:rPr>
          <w:rFonts w:cs="Guttman Drogolin" w:hint="cs"/>
          <w:rtl/>
          <w:lang w:bidi="he-IL"/>
        </w:rPr>
        <w:t>ומ"מ דבר זה באמת מעוררת את השאלה דכיון שיש לנו כלל שביין ופת חמה וחבית פתוחה הרי זה אוסר, איך נדע מהו באמת בכלל זה ומה לא.</w:t>
      </w:r>
    </w:p>
    <w:p w:rsidR="008B0AEE" w:rsidRPr="00882F11" w:rsidRDefault="008B0AEE" w:rsidP="008B0AEE">
      <w:pPr>
        <w:bidi/>
        <w:jc w:val="both"/>
        <w:rPr>
          <w:rFonts w:cs="Guttman Drogolin"/>
          <w:rtl/>
          <w:lang w:bidi="he-IL"/>
        </w:rPr>
      </w:pPr>
      <w:r w:rsidRPr="00882F11">
        <w:rPr>
          <w:rFonts w:cs="Guttman Drogolin" w:hint="cs"/>
          <w:rtl/>
          <w:lang w:bidi="he-IL"/>
        </w:rPr>
        <w:t>ועכ"פ לפי זה מובן היטב למה התוס' לא הביאו מזיעה בדבריהם כלל, והוא משום שהאיסור של זיעה וריחא כולם א' וכמש"נ.</w:t>
      </w:r>
    </w:p>
    <w:p w:rsidR="00CE13AE" w:rsidRPr="00882F11" w:rsidRDefault="008B0AEE" w:rsidP="008A402C">
      <w:pPr>
        <w:bidi/>
        <w:jc w:val="both"/>
        <w:rPr>
          <w:rFonts w:cs="Guttman Drogolin"/>
          <w:rtl/>
          <w:lang w:bidi="he-IL"/>
        </w:rPr>
      </w:pPr>
      <w:r w:rsidRPr="00882F11">
        <w:rPr>
          <w:rFonts w:cs="Guttman Drogolin" w:hint="cs"/>
          <w:rtl/>
          <w:lang w:bidi="he-IL"/>
        </w:rPr>
        <w:t>והנה מבואר ש</w:t>
      </w:r>
      <w:r w:rsidR="004C03AE" w:rsidRPr="00882F11">
        <w:rPr>
          <w:rFonts w:cs="Guttman Drogolin" w:hint="cs"/>
          <w:rtl/>
          <w:lang w:bidi="he-IL"/>
        </w:rPr>
        <w:t xml:space="preserve">בתנור גדול שאינו סתום הדין הוא </w:t>
      </w:r>
      <w:r w:rsidR="005875DC" w:rsidRPr="00882F11">
        <w:rPr>
          <w:rFonts w:cs="Guttman Drogolin" w:hint="cs"/>
          <w:rtl/>
          <w:lang w:bidi="he-IL"/>
        </w:rPr>
        <w:t>שבשר שחו</w:t>
      </w:r>
      <w:r w:rsidR="00701BE8" w:rsidRPr="00882F11">
        <w:rPr>
          <w:rFonts w:cs="Guttman Drogolin" w:hint="cs"/>
          <w:rtl/>
          <w:lang w:bidi="he-IL"/>
        </w:rPr>
        <w:t xml:space="preserve">טה ובשר נבילה אינם אוסרים א' את השני. ויל"ע מהו באמת החילוק בין זה למה שדן הרא"ש לאסור בקדרה עם בשר ע"ג קדרה חולבת. ובשו"ת הב"ח החדשות סי' כ"ד דן בזה. ומעיקרא רצה לומר דעד כאן לא קאסר הרא"ש אלא כשאין הזיעה יכול להתפשט, דכיון שאין לו כח להתפשט הרי הוא מרוכז יותר ויש לו כח לאסור, אבל בכגון הא דבשר שחוה ובשר נבילה, כיון שהזיעה יכול </w:t>
      </w:r>
      <w:r w:rsidR="00701BE8" w:rsidRPr="00882F11">
        <w:rPr>
          <w:rFonts w:cs="Guttman Drogolin" w:hint="cs"/>
          <w:rtl/>
          <w:lang w:bidi="he-IL"/>
        </w:rPr>
        <w:lastRenderedPageBreak/>
        <w:t xml:space="preserve">להתפשט לצדדין אין לו כח לאסור. דן הי' נראה לב"ח לדינא, אלא שדקדק מן </w:t>
      </w:r>
      <w:r w:rsidR="00CE13AE" w:rsidRPr="00882F11">
        <w:rPr>
          <w:rFonts w:cs="Guttman Drogolin" w:hint="cs"/>
          <w:rtl/>
          <w:lang w:bidi="he-IL"/>
        </w:rPr>
        <w:t>המהרא"י</w:t>
      </w:r>
      <w:r w:rsidR="00701BE8" w:rsidRPr="00882F11">
        <w:rPr>
          <w:rFonts w:cs="Guttman Drogolin" w:hint="cs"/>
          <w:rtl/>
          <w:lang w:bidi="he-IL"/>
        </w:rPr>
        <w:t xml:space="preserve"> שלא כדבריו, ש</w:t>
      </w:r>
      <w:r w:rsidR="00CE13AE" w:rsidRPr="00882F11">
        <w:rPr>
          <w:rFonts w:cs="Guttman Drogolin" w:hint="cs"/>
          <w:rtl/>
          <w:lang w:bidi="he-IL"/>
        </w:rPr>
        <w:t>בתרוה"ד (ח"ב סי' ק"ג) כתב מהרא"י שהמנהג שתולין בשר לייבש למעלה מן הכירה שמבשלין עלי' חלב אע"פ שהזיעה של תבשיל של חלב עולה אליו משום שאין היס"ב מחמת חום הזיעה. והרי בכה"ג הזיעה יכול להתפשט, ומ"מ אילו הי' עושהו יס"ב הי' אוסר. וע"כ חזינן שאפילו כשיכול הזיעה להתפשט</w:t>
      </w:r>
      <w:r w:rsidR="00502F08" w:rsidRPr="00882F11">
        <w:rPr>
          <w:rFonts w:cs="Guttman Drogolin" w:hint="cs"/>
          <w:rtl/>
          <w:lang w:bidi="he-IL"/>
        </w:rPr>
        <w:t xml:space="preserve"> יש לו כח לאסור. וע"כ סבר הב"ח שחילוק אחר יש והוא שיש לחלק בין זיעה העולה למעלה וזיעה ההולך לצדדין, שהעולה למעלה יש לו יותר כח מן ההולך לצדדין, ולכן רק בכה"ג של הרא"ש יש לאסור ולא בבשר שחוטה ובשר נבילה. ומ"מ נראה שאין להקל נגד הסברא הראשונה של הב"ח כן דכתב על סברא זו שכן הי' נראה להלכה. ולכן אם הוא לצדדין ושניהם בתוך שפופרת א' שאין מקום לזיעה להתפשט ג"כ יש לאסור אע"פ שאין א' על גבי השני.</w:t>
      </w:r>
      <w:r w:rsidR="005875DC" w:rsidRPr="00882F11">
        <w:rPr>
          <w:rFonts w:cs="Guttman Drogolin" w:hint="cs"/>
          <w:rtl/>
          <w:lang w:bidi="he-IL"/>
        </w:rPr>
        <w:t xml:space="preserve"> אמנם יש לדחות דמ"מ בעינן עולה למעלה. וכן מבואר בס' עצי העולה. וע' בדברינו לקמן שיעור נ"ט.</w:t>
      </w:r>
    </w:p>
    <w:p w:rsidR="00837973" w:rsidRPr="00882F11" w:rsidRDefault="008C02B9" w:rsidP="00A27BA9">
      <w:pPr>
        <w:bidi/>
        <w:jc w:val="both"/>
        <w:rPr>
          <w:rFonts w:cs="Guttman Drogolin"/>
          <w:rtl/>
          <w:lang w:bidi="he-IL"/>
        </w:rPr>
      </w:pPr>
      <w:r w:rsidRPr="00882F11">
        <w:rPr>
          <w:rFonts w:cs="Guttman Drogolin" w:hint="cs"/>
          <w:rtl/>
          <w:lang w:bidi="he-IL"/>
        </w:rPr>
        <w:t>ולענין האיסור של זיעה יש מגדולי האחרונים שהביאו מקור אחר לדבר זה שיש לזיעה כח לאסור. והוא דהרי אנחנו מוצאים במס' חולין דף ק"ח ע"ב ש</w:t>
      </w:r>
      <w:r w:rsidR="00476899" w:rsidRPr="00882F11">
        <w:rPr>
          <w:rFonts w:cs="Guttman Drogolin" w:hint="cs"/>
          <w:rtl/>
          <w:lang w:bidi="he-IL"/>
        </w:rPr>
        <w:t xml:space="preserve">כשטיפת חלב נפלה על החתיכה שהיא מחוץ לרוטב שהדין בה שאין משערים בס' אלא בחתיכה עצמה ולא בכל הקדירה, הנ"מ כשלא ניער או כיסה מתחילה, אבל בניער וכיסה מתחילה כל הקדירה מצטרפת. </w:t>
      </w:r>
      <w:r w:rsidR="00586FE7" w:rsidRPr="00882F11">
        <w:rPr>
          <w:rFonts w:cs="Guttman Drogolin" w:hint="cs"/>
          <w:rtl/>
          <w:lang w:bidi="he-IL"/>
        </w:rPr>
        <w:t>והבינו הגר"א בביאור לשו"ע וכן שו"ת הריב"ש סי' רנ"ה שכיסה מהני משום שהזיעה עולה למעלה עד הכיסוי וכן יו</w:t>
      </w:r>
      <w:r w:rsidR="00A27BA9" w:rsidRPr="00882F11">
        <w:rPr>
          <w:rFonts w:cs="Guttman Drogolin" w:hint="cs"/>
          <w:rtl/>
          <w:lang w:bidi="he-IL"/>
        </w:rPr>
        <w:t>ר</w:t>
      </w:r>
      <w:r w:rsidR="00586FE7" w:rsidRPr="00882F11">
        <w:rPr>
          <w:rFonts w:cs="Guttman Drogolin" w:hint="cs"/>
          <w:rtl/>
          <w:lang w:bidi="he-IL"/>
        </w:rPr>
        <w:t>דת היא למטה ולכן הכל מתערב. אלא שבשו"ת משכנ"י יו"ד סי' ל"ד כתב בזה שלכאורה מדברי רש"י שם בסוגיא מבואר טעם אחר למה בכיסה מתפשט בהכל, וז"ל רש"י שם בד"ה ניער "וכן</w:t>
      </w:r>
      <w:r w:rsidR="00586FE7" w:rsidRPr="00882F11">
        <w:rPr>
          <w:rFonts w:cs="Guttman Drogolin"/>
          <w:rtl/>
          <w:lang w:bidi="he-IL"/>
        </w:rPr>
        <w:t xml:space="preserve"> </w:t>
      </w:r>
      <w:r w:rsidR="00586FE7" w:rsidRPr="00882F11">
        <w:rPr>
          <w:rFonts w:cs="Guttman Drogolin" w:hint="cs"/>
          <w:rtl/>
          <w:lang w:bidi="he-IL"/>
        </w:rPr>
        <w:t>המכסה</w:t>
      </w:r>
      <w:r w:rsidR="00586FE7" w:rsidRPr="00882F11">
        <w:rPr>
          <w:rFonts w:cs="Guttman Drogolin"/>
          <w:rtl/>
          <w:lang w:bidi="he-IL"/>
        </w:rPr>
        <w:t xml:space="preserve"> </w:t>
      </w:r>
      <w:r w:rsidR="00586FE7" w:rsidRPr="00882F11">
        <w:rPr>
          <w:rFonts w:cs="Guttman Drogolin" w:hint="cs"/>
          <w:rtl/>
          <w:lang w:bidi="he-IL"/>
        </w:rPr>
        <w:t>אותה</w:t>
      </w:r>
      <w:r w:rsidR="00586FE7" w:rsidRPr="00882F11">
        <w:rPr>
          <w:rFonts w:cs="Guttman Drogolin"/>
          <w:rtl/>
          <w:lang w:bidi="he-IL"/>
        </w:rPr>
        <w:t xml:space="preserve"> </w:t>
      </w:r>
      <w:r w:rsidR="00586FE7" w:rsidRPr="00882F11">
        <w:rPr>
          <w:rFonts w:cs="Guttman Drogolin" w:hint="cs"/>
          <w:rtl/>
          <w:lang w:bidi="he-IL"/>
        </w:rPr>
        <w:t>[מערבת את כל התבשיל יחד] מפני</w:t>
      </w:r>
      <w:r w:rsidR="00586FE7" w:rsidRPr="00882F11">
        <w:rPr>
          <w:rFonts w:cs="Guttman Drogolin"/>
          <w:rtl/>
          <w:lang w:bidi="he-IL"/>
        </w:rPr>
        <w:t xml:space="preserve"> </w:t>
      </w:r>
      <w:r w:rsidR="00586FE7" w:rsidRPr="00882F11">
        <w:rPr>
          <w:rFonts w:cs="Guttman Drogolin" w:hint="cs"/>
          <w:rtl/>
          <w:lang w:bidi="he-IL"/>
        </w:rPr>
        <w:t>שמי</w:t>
      </w:r>
      <w:r w:rsidR="00586FE7" w:rsidRPr="00882F11">
        <w:rPr>
          <w:rFonts w:cs="Guttman Drogolin"/>
          <w:rtl/>
          <w:lang w:bidi="he-IL"/>
        </w:rPr>
        <w:t xml:space="preserve"> </w:t>
      </w:r>
      <w:r w:rsidR="00586FE7" w:rsidRPr="00882F11">
        <w:rPr>
          <w:rFonts w:cs="Guttman Drogolin" w:hint="cs"/>
          <w:rtl/>
          <w:lang w:bidi="he-IL"/>
        </w:rPr>
        <w:t>השוליים</w:t>
      </w:r>
      <w:r w:rsidR="00586FE7" w:rsidRPr="00882F11">
        <w:rPr>
          <w:rFonts w:cs="Guttman Drogolin"/>
          <w:rtl/>
          <w:lang w:bidi="he-IL"/>
        </w:rPr>
        <w:t xml:space="preserve"> </w:t>
      </w:r>
      <w:r w:rsidR="00586FE7" w:rsidRPr="00882F11">
        <w:rPr>
          <w:rFonts w:cs="Guttman Drogolin" w:hint="cs"/>
          <w:rtl/>
          <w:lang w:bidi="he-IL"/>
        </w:rPr>
        <w:t>עולין</w:t>
      </w:r>
      <w:r w:rsidR="00586FE7" w:rsidRPr="00882F11">
        <w:rPr>
          <w:rFonts w:cs="Guttman Drogolin"/>
          <w:rtl/>
          <w:lang w:bidi="he-IL"/>
        </w:rPr>
        <w:t xml:space="preserve"> </w:t>
      </w:r>
      <w:r w:rsidR="00586FE7" w:rsidRPr="00882F11">
        <w:rPr>
          <w:rFonts w:cs="Guttman Drogolin" w:hint="cs"/>
          <w:rtl/>
          <w:lang w:bidi="he-IL"/>
        </w:rPr>
        <w:t>עד</w:t>
      </w:r>
      <w:r w:rsidR="00586FE7" w:rsidRPr="00882F11">
        <w:rPr>
          <w:rFonts w:cs="Guttman Drogolin"/>
          <w:rtl/>
          <w:lang w:bidi="he-IL"/>
        </w:rPr>
        <w:t xml:space="preserve"> </w:t>
      </w:r>
      <w:r w:rsidR="00586FE7" w:rsidRPr="00882F11">
        <w:rPr>
          <w:rFonts w:cs="Guttman Drogolin" w:hint="cs"/>
          <w:rtl/>
          <w:lang w:bidi="he-IL"/>
        </w:rPr>
        <w:t>(פה) [לפיה]</w:t>
      </w:r>
      <w:r w:rsidR="00586FE7" w:rsidRPr="00882F11">
        <w:rPr>
          <w:rFonts w:cs="Guttman Drogolin"/>
          <w:rtl/>
          <w:lang w:bidi="he-IL"/>
        </w:rPr>
        <w:t xml:space="preserve"> </w:t>
      </w:r>
      <w:r w:rsidR="00586FE7" w:rsidRPr="00882F11">
        <w:rPr>
          <w:rFonts w:cs="Guttman Drogolin" w:hint="cs"/>
          <w:rtl/>
          <w:lang w:bidi="he-IL"/>
        </w:rPr>
        <w:t xml:space="preserve">ויורדין". </w:t>
      </w:r>
      <w:r w:rsidR="00586FE7" w:rsidRPr="00882F11">
        <w:rPr>
          <w:rFonts w:cs="Guttman Drogolin" w:hint="cs"/>
          <w:rtl/>
          <w:lang w:bidi="he-IL"/>
        </w:rPr>
        <w:lastRenderedPageBreak/>
        <w:t>הרי שרש"י כתב שאין זה הזיעה של התבשיל רק המים של התבשיל עצמם. באופן שרצה לומר שמדויק מדברי רש"י היפך דברי הריב"ש, ולעולם אין זיעה אוסרת. ויש מחלוקת בקדמונים מהו הדין של יי"ש העשוי מן האדים של יי"נ, אם יש לאסור משום יי"נ או"ד שאינו אלא זיעה בעלמא שאינו אוסר. וע"פ דבריו שם כתב השמכנ"י שיש סעד גדול לדברי המקילים. ולכאורה לולא דבריו</w:t>
      </w:r>
      <w:r w:rsidR="00203866" w:rsidRPr="00882F11">
        <w:rPr>
          <w:rStyle w:val="FootnoteReference"/>
          <w:rFonts w:cs="Guttman Drogolin"/>
          <w:rtl/>
          <w:lang w:bidi="he-IL"/>
        </w:rPr>
        <w:footnoteReference w:id="135"/>
      </w:r>
      <w:r w:rsidR="00586FE7" w:rsidRPr="00882F11">
        <w:rPr>
          <w:rFonts w:cs="Guttman Drogolin" w:hint="cs"/>
          <w:rtl/>
          <w:lang w:bidi="he-IL"/>
        </w:rPr>
        <w:t xml:space="preserve"> הי' אפשר שלעולם באדים אוסרים. רק דסבר רש"י שהאדים הם המאכל עצמו ולא כח היוצר ממנו ולא כסברת הגרע"א. אלא דא"כ יחזור קושיית השואל דא"כ מה הביאו </w:t>
      </w:r>
      <w:r w:rsidR="00203866" w:rsidRPr="00882F11">
        <w:rPr>
          <w:rFonts w:cs="Guttman Drogolin" w:hint="cs"/>
          <w:rtl/>
          <w:lang w:bidi="he-IL"/>
        </w:rPr>
        <w:t xml:space="preserve">ראי' דריחא מילתא היא ממנתי' דרודה פת הא התם לענין הכשר. ולכאורה י"ל דסבר דריחא לחוד וזיעה לחוד, והסברא בריחא הוא שכח היוצא מן המאכל דינו כמאכל עצמו, אבל זיעה הוי המאכל עצמו. אלא שלשונות הר"ש והרמב"ם מדויקים אחרת וכמש"כ רע"א. וצ"ע. </w:t>
      </w:r>
    </w:p>
    <w:p w:rsidR="00837973" w:rsidRPr="00882F11" w:rsidRDefault="00837973" w:rsidP="00837973">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21" w:name="_Toc496175380"/>
      <w:r w:rsidRPr="00882F11">
        <w:rPr>
          <w:rFonts w:asciiTheme="majorHAnsi" w:eastAsiaTheme="majorEastAsia" w:hAnsiTheme="majorHAnsi" w:cs="Guttman Drogolin" w:hint="cs"/>
          <w:b/>
          <w:bCs/>
          <w:sz w:val="24"/>
          <w:szCs w:val="24"/>
          <w:u w:val="single"/>
          <w:rtl/>
          <w:lang w:bidi="he-IL"/>
        </w:rPr>
        <w:t>ספיקו של הרא"ש</w:t>
      </w:r>
      <w:bookmarkEnd w:id="121"/>
    </w:p>
    <w:p w:rsidR="00B80D40" w:rsidRPr="00882F11" w:rsidRDefault="00195F83" w:rsidP="00B80D40">
      <w:pPr>
        <w:bidi/>
        <w:jc w:val="both"/>
        <w:rPr>
          <w:rFonts w:cs="Guttman Drogolin"/>
          <w:rtl/>
          <w:lang w:bidi="he-IL"/>
        </w:rPr>
      </w:pPr>
      <w:r>
        <w:rPr>
          <w:rFonts w:cs="Guttman Drogolin"/>
          <w:rtl/>
          <w:lang w:bidi="he-IL"/>
        </w:rPr>
        <w:fldChar w:fldCharType="begin"/>
      </w:r>
      <w:r>
        <w:instrText xml:space="preserve"> XE "</w:instrText>
      </w:r>
      <w:r w:rsidRPr="00710C70">
        <w:rPr>
          <w:rFonts w:hint="cs"/>
          <w:rtl/>
          <w:lang w:bidi="he-IL"/>
        </w:rPr>
        <w:instrText>זיעה</w:instrText>
      </w:r>
      <w:r w:rsidRPr="00710C70">
        <w:rPr>
          <w:rtl/>
        </w:rPr>
        <w:instrText>:</w:instrText>
      </w:r>
      <w:r w:rsidRPr="00710C70">
        <w:rPr>
          <w:rFonts w:hint="cs"/>
          <w:rtl/>
          <w:lang w:bidi="he-IL"/>
        </w:rPr>
        <w:instrText>ביאורים בשו</w:instrText>
      </w:r>
      <w:r>
        <w:rPr>
          <w:rFonts w:eastAsiaTheme="minorEastAsia"/>
          <w:lang w:bidi="he-IL"/>
        </w:rPr>
        <w:instrText>\</w:instrText>
      </w:r>
      <w:r w:rsidRPr="00710C70">
        <w:rPr>
          <w:rFonts w:hint="cs"/>
          <w:rtl/>
          <w:lang w:bidi="he-IL"/>
        </w:rPr>
        <w:instrText>"ת הרא</w:instrText>
      </w:r>
      <w:r>
        <w:rPr>
          <w:rFonts w:eastAsiaTheme="minorEastAsia"/>
          <w:lang w:bidi="he-IL"/>
        </w:rPr>
        <w:instrText>\</w:instrText>
      </w:r>
      <w:r w:rsidRPr="00710C70">
        <w:rPr>
          <w:rFonts w:hint="cs"/>
          <w:rtl/>
          <w:lang w:bidi="he-IL"/>
        </w:rPr>
        <w:instrText>"ש</w:instrText>
      </w:r>
      <w:r>
        <w:instrText xml:space="preserve">" </w:instrText>
      </w:r>
      <w:r>
        <w:rPr>
          <w:rFonts w:cs="Guttman Drogolin"/>
          <w:rtl/>
          <w:lang w:bidi="he-IL"/>
        </w:rPr>
        <w:fldChar w:fldCharType="end"/>
      </w:r>
      <w:r w:rsidR="00837973" w:rsidRPr="00882F11">
        <w:rPr>
          <w:rFonts w:cs="Guttman Drogolin" w:hint="cs"/>
          <w:rtl/>
          <w:lang w:bidi="he-IL"/>
        </w:rPr>
        <w:t>הרא"ש שם בשו"ת הי' לו צד שאין הקדרה החולבת אוסרת את התבשיל כיון שהקדרה של בשר שלמעלה מיני' היא חמה. וביאר שם רע"א טעם ספיקו משום שבמס' מכשירין פ"ה מ"י מבואר שכשמערה מחם טהור לתוך חם</w:t>
      </w:r>
      <w:r w:rsidR="00B80D40" w:rsidRPr="00882F11">
        <w:rPr>
          <w:rFonts w:cs="Guttman Drogolin" w:hint="cs"/>
          <w:rtl/>
          <w:lang w:bidi="he-IL"/>
        </w:rPr>
        <w:t xml:space="preserve"> טמא שהחם עדיין נשאר טהור. ובאמת כיון שהיסוד של הרא"ש בנוי על הכללים של זיעה שבמס' מכשירין, יל"ע מהו הטעם שבאמת אסר בזה כיון שחם לתוך חם טהור. וע' באמת בשו</w:t>
      </w:r>
      <w:r w:rsidR="00B80D40" w:rsidRPr="00882F11">
        <w:rPr>
          <w:rFonts w:cs="Guttman Drogolin"/>
          <w:rtl/>
          <w:lang w:bidi="he-IL"/>
        </w:rPr>
        <w:t>"</w:t>
      </w:r>
      <w:r w:rsidR="00B80D40" w:rsidRPr="00882F11">
        <w:rPr>
          <w:rFonts w:cs="Guttman Drogolin" w:hint="cs"/>
          <w:rtl/>
          <w:lang w:bidi="he-IL"/>
        </w:rPr>
        <w:t>ת</w:t>
      </w:r>
      <w:r w:rsidR="00B80D40" w:rsidRPr="00882F11">
        <w:rPr>
          <w:rFonts w:cs="Guttman Drogolin"/>
          <w:rtl/>
          <w:lang w:bidi="he-IL"/>
        </w:rPr>
        <w:t xml:space="preserve"> </w:t>
      </w:r>
      <w:r w:rsidR="00B80D40" w:rsidRPr="00882F11">
        <w:rPr>
          <w:rFonts w:cs="Guttman Drogolin" w:hint="cs"/>
          <w:rtl/>
          <w:lang w:bidi="he-IL"/>
        </w:rPr>
        <w:t>מנחת</w:t>
      </w:r>
      <w:r w:rsidR="00B80D40" w:rsidRPr="00882F11">
        <w:rPr>
          <w:rFonts w:cs="Guttman Drogolin"/>
          <w:rtl/>
          <w:lang w:bidi="he-IL"/>
        </w:rPr>
        <w:t xml:space="preserve"> </w:t>
      </w:r>
      <w:r w:rsidR="00B80D40" w:rsidRPr="00882F11">
        <w:rPr>
          <w:rFonts w:cs="Guttman Drogolin" w:hint="cs"/>
          <w:rtl/>
          <w:lang w:bidi="he-IL"/>
        </w:rPr>
        <w:t>יצחק</w:t>
      </w:r>
      <w:r w:rsidR="00B80D40" w:rsidRPr="00882F11">
        <w:rPr>
          <w:rFonts w:cs="Guttman Drogolin"/>
          <w:rtl/>
          <w:lang w:bidi="he-IL"/>
        </w:rPr>
        <w:t xml:space="preserve"> </w:t>
      </w:r>
      <w:r w:rsidR="00B80D40" w:rsidRPr="00882F11">
        <w:rPr>
          <w:rFonts w:cs="Guttman Drogolin" w:hint="cs"/>
          <w:rtl/>
          <w:lang w:bidi="he-IL"/>
        </w:rPr>
        <w:t>ח</w:t>
      </w:r>
      <w:r w:rsidR="00B80D40" w:rsidRPr="00882F11">
        <w:rPr>
          <w:rFonts w:cs="Guttman Drogolin"/>
          <w:rtl/>
          <w:lang w:bidi="he-IL"/>
        </w:rPr>
        <w:t>"</w:t>
      </w:r>
      <w:r w:rsidR="00B80D40" w:rsidRPr="00882F11">
        <w:rPr>
          <w:rFonts w:cs="Guttman Drogolin" w:hint="cs"/>
          <w:rtl/>
          <w:lang w:bidi="he-IL"/>
        </w:rPr>
        <w:t>ה</w:t>
      </w:r>
      <w:r w:rsidR="00B80D40" w:rsidRPr="00882F11">
        <w:rPr>
          <w:rFonts w:cs="Guttman Drogolin"/>
          <w:rtl/>
          <w:lang w:bidi="he-IL"/>
        </w:rPr>
        <w:t xml:space="preserve"> </w:t>
      </w:r>
      <w:r w:rsidR="00B80D40" w:rsidRPr="00882F11">
        <w:rPr>
          <w:rFonts w:cs="Guttman Drogolin" w:hint="cs"/>
          <w:rtl/>
          <w:lang w:bidi="he-IL"/>
        </w:rPr>
        <w:t>סי</w:t>
      </w:r>
      <w:r w:rsidR="00B80D40" w:rsidRPr="00882F11">
        <w:rPr>
          <w:rFonts w:cs="Guttman Drogolin"/>
          <w:rtl/>
          <w:lang w:bidi="he-IL"/>
        </w:rPr>
        <w:t xml:space="preserve">' </w:t>
      </w:r>
      <w:r w:rsidR="00B80D40" w:rsidRPr="00882F11">
        <w:rPr>
          <w:rFonts w:cs="Guttman Drogolin" w:hint="cs"/>
          <w:rtl/>
          <w:lang w:bidi="he-IL"/>
        </w:rPr>
        <w:t>כ</w:t>
      </w:r>
      <w:r w:rsidR="00B80D40" w:rsidRPr="00882F11">
        <w:rPr>
          <w:rFonts w:cs="Guttman Drogolin"/>
          <w:rtl/>
          <w:lang w:bidi="he-IL"/>
        </w:rPr>
        <w:t>'</w:t>
      </w:r>
      <w:r w:rsidR="00B80D40" w:rsidRPr="00882F11">
        <w:rPr>
          <w:rFonts w:cs="Guttman Drogolin" w:hint="cs"/>
          <w:rtl/>
          <w:lang w:bidi="he-IL"/>
        </w:rPr>
        <w:t xml:space="preserve"> שכן תמה. ומצאתי לשו"ת פרי הארץ ח</w:t>
      </w:r>
      <w:r w:rsidR="00B80D40" w:rsidRPr="00882F11">
        <w:rPr>
          <w:rFonts w:cs="Guttman Drogolin"/>
          <w:rtl/>
          <w:lang w:bidi="he-IL"/>
        </w:rPr>
        <w:t>"</w:t>
      </w:r>
      <w:r w:rsidR="00B80D40" w:rsidRPr="00882F11">
        <w:rPr>
          <w:rFonts w:cs="Guttman Drogolin" w:hint="cs"/>
          <w:rtl/>
          <w:lang w:bidi="he-IL"/>
        </w:rPr>
        <w:t>ב</w:t>
      </w:r>
      <w:r w:rsidR="00B80D40" w:rsidRPr="00882F11">
        <w:rPr>
          <w:rFonts w:cs="Guttman Drogolin"/>
          <w:rtl/>
          <w:lang w:bidi="he-IL"/>
        </w:rPr>
        <w:t xml:space="preserve"> </w:t>
      </w:r>
      <w:r w:rsidR="00B80D40" w:rsidRPr="00882F11">
        <w:rPr>
          <w:rFonts w:cs="Guttman Drogolin" w:hint="cs"/>
          <w:rtl/>
          <w:lang w:bidi="he-IL"/>
        </w:rPr>
        <w:t>יו</w:t>
      </w:r>
      <w:r w:rsidR="00B80D40" w:rsidRPr="00882F11">
        <w:rPr>
          <w:rFonts w:cs="Guttman Drogolin"/>
          <w:rtl/>
          <w:lang w:bidi="he-IL"/>
        </w:rPr>
        <w:t>"</w:t>
      </w:r>
      <w:r w:rsidR="00B80D40" w:rsidRPr="00882F11">
        <w:rPr>
          <w:rFonts w:cs="Guttman Drogolin" w:hint="cs"/>
          <w:rtl/>
          <w:lang w:bidi="he-IL"/>
        </w:rPr>
        <w:t>ד</w:t>
      </w:r>
      <w:r w:rsidR="00B80D40" w:rsidRPr="00882F11">
        <w:rPr>
          <w:rFonts w:cs="Guttman Drogolin"/>
          <w:rtl/>
          <w:lang w:bidi="he-IL"/>
        </w:rPr>
        <w:t xml:space="preserve"> </w:t>
      </w:r>
      <w:r w:rsidR="00B80D40" w:rsidRPr="00882F11">
        <w:rPr>
          <w:rFonts w:cs="Guttman Drogolin" w:hint="cs"/>
          <w:rtl/>
          <w:lang w:bidi="he-IL"/>
        </w:rPr>
        <w:t>סי</w:t>
      </w:r>
      <w:r w:rsidR="00B80D40" w:rsidRPr="00882F11">
        <w:rPr>
          <w:rFonts w:cs="Guttman Drogolin"/>
          <w:rtl/>
          <w:lang w:bidi="he-IL"/>
        </w:rPr>
        <w:t xml:space="preserve">' </w:t>
      </w:r>
      <w:r w:rsidR="00B80D40" w:rsidRPr="00882F11">
        <w:rPr>
          <w:rFonts w:cs="Guttman Drogolin" w:hint="cs"/>
          <w:rtl/>
          <w:lang w:bidi="he-IL"/>
        </w:rPr>
        <w:t>י</w:t>
      </w:r>
      <w:r w:rsidR="00B80D40" w:rsidRPr="00882F11">
        <w:rPr>
          <w:rFonts w:cs="Guttman Drogolin"/>
          <w:rtl/>
          <w:lang w:bidi="he-IL"/>
        </w:rPr>
        <w:t>"</w:t>
      </w:r>
      <w:r w:rsidR="00B80D40" w:rsidRPr="00882F11">
        <w:rPr>
          <w:rFonts w:cs="Guttman Drogolin" w:hint="cs"/>
          <w:rtl/>
          <w:lang w:bidi="he-IL"/>
        </w:rPr>
        <w:t>ד שתי' דשאני</w:t>
      </w:r>
      <w:r w:rsidR="00B80D40" w:rsidRPr="00882F11">
        <w:rPr>
          <w:rFonts w:cs="Guttman Drogolin"/>
          <w:rtl/>
          <w:lang w:bidi="he-IL"/>
        </w:rPr>
        <w:t xml:space="preserve"> </w:t>
      </w:r>
      <w:r w:rsidR="00B80D40" w:rsidRPr="00882F11">
        <w:rPr>
          <w:rFonts w:cs="Guttman Drogolin" w:hint="cs"/>
          <w:rtl/>
          <w:lang w:bidi="he-IL"/>
        </w:rPr>
        <w:t>התם</w:t>
      </w:r>
      <w:r w:rsidR="00B80D40" w:rsidRPr="00882F11">
        <w:rPr>
          <w:rFonts w:cs="Guttman Drogolin"/>
          <w:rtl/>
          <w:lang w:bidi="he-IL"/>
        </w:rPr>
        <w:t xml:space="preserve"> </w:t>
      </w:r>
      <w:r w:rsidR="00B80D40" w:rsidRPr="00882F11">
        <w:rPr>
          <w:rFonts w:cs="Guttman Drogolin" w:hint="cs"/>
          <w:rtl/>
          <w:lang w:bidi="he-IL"/>
        </w:rPr>
        <w:t>שיש</w:t>
      </w:r>
      <w:r w:rsidR="00B80D40" w:rsidRPr="00882F11">
        <w:rPr>
          <w:rFonts w:cs="Guttman Drogolin"/>
          <w:rtl/>
          <w:lang w:bidi="he-IL"/>
        </w:rPr>
        <w:t xml:space="preserve"> </w:t>
      </w:r>
      <w:r w:rsidR="00B80D40" w:rsidRPr="00882F11">
        <w:rPr>
          <w:rFonts w:cs="Guttman Drogolin" w:hint="cs"/>
          <w:rtl/>
          <w:lang w:bidi="he-IL"/>
        </w:rPr>
        <w:t>גם</w:t>
      </w:r>
      <w:r w:rsidR="00B80D40" w:rsidRPr="00882F11">
        <w:rPr>
          <w:rFonts w:cs="Guttman Drogolin"/>
          <w:rtl/>
          <w:lang w:bidi="he-IL"/>
        </w:rPr>
        <w:t xml:space="preserve"> </w:t>
      </w:r>
      <w:r w:rsidR="00B80D40" w:rsidRPr="00882F11">
        <w:rPr>
          <w:rFonts w:cs="Guttman Drogolin" w:hint="cs"/>
          <w:rtl/>
          <w:lang w:bidi="he-IL"/>
        </w:rPr>
        <w:t>זיעה</w:t>
      </w:r>
      <w:r w:rsidR="00B80D40" w:rsidRPr="00882F11">
        <w:rPr>
          <w:rFonts w:cs="Guttman Drogolin"/>
          <w:rtl/>
          <w:lang w:bidi="he-IL"/>
        </w:rPr>
        <w:t xml:space="preserve"> </w:t>
      </w:r>
      <w:r w:rsidR="00B80D40" w:rsidRPr="00882F11">
        <w:rPr>
          <w:rFonts w:cs="Guttman Drogolin" w:hint="cs"/>
          <w:rtl/>
          <w:lang w:bidi="he-IL"/>
        </w:rPr>
        <w:t>מרותחין</w:t>
      </w:r>
      <w:r w:rsidR="00B80D40" w:rsidRPr="00882F11">
        <w:rPr>
          <w:rFonts w:cs="Guttman Drogolin"/>
          <w:rtl/>
          <w:lang w:bidi="he-IL"/>
        </w:rPr>
        <w:t xml:space="preserve"> </w:t>
      </w:r>
      <w:r w:rsidR="00B80D40" w:rsidRPr="00882F11">
        <w:rPr>
          <w:rFonts w:cs="Guttman Drogolin" w:hint="cs"/>
          <w:rtl/>
          <w:lang w:bidi="he-IL"/>
        </w:rPr>
        <w:t>דלמעלה</w:t>
      </w:r>
      <w:r w:rsidR="00B80D40" w:rsidRPr="00882F11">
        <w:rPr>
          <w:rFonts w:cs="Guttman Drogolin"/>
          <w:rtl/>
          <w:lang w:bidi="he-IL"/>
        </w:rPr>
        <w:t xml:space="preserve"> </w:t>
      </w:r>
      <w:r w:rsidR="00B80D40" w:rsidRPr="00882F11">
        <w:rPr>
          <w:rFonts w:cs="Guttman Drogolin" w:hint="cs"/>
          <w:rtl/>
          <w:lang w:bidi="he-IL"/>
        </w:rPr>
        <w:t>משא</w:t>
      </w:r>
      <w:r w:rsidR="00B80D40" w:rsidRPr="00882F11">
        <w:rPr>
          <w:rFonts w:cs="Guttman Drogolin"/>
          <w:rtl/>
          <w:lang w:bidi="he-IL"/>
        </w:rPr>
        <w:t>"</w:t>
      </w:r>
      <w:r w:rsidR="00B80D40" w:rsidRPr="00882F11">
        <w:rPr>
          <w:rFonts w:cs="Guttman Drogolin" w:hint="cs"/>
          <w:rtl/>
          <w:lang w:bidi="he-IL"/>
        </w:rPr>
        <w:t>כ</w:t>
      </w:r>
      <w:r w:rsidR="00B80D40" w:rsidRPr="00882F11">
        <w:rPr>
          <w:rFonts w:cs="Guttman Drogolin"/>
          <w:rtl/>
          <w:lang w:bidi="he-IL"/>
        </w:rPr>
        <w:t xml:space="preserve"> </w:t>
      </w:r>
      <w:r w:rsidR="00B80D40" w:rsidRPr="00882F11">
        <w:rPr>
          <w:rFonts w:cs="Guttman Drogolin" w:hint="cs"/>
          <w:rtl/>
          <w:lang w:bidi="he-IL"/>
        </w:rPr>
        <w:t>בהא</w:t>
      </w:r>
      <w:r w:rsidR="00B80D40" w:rsidRPr="00882F11">
        <w:rPr>
          <w:rFonts w:cs="Guttman Drogolin"/>
          <w:rtl/>
          <w:lang w:bidi="he-IL"/>
        </w:rPr>
        <w:t xml:space="preserve"> </w:t>
      </w:r>
      <w:r w:rsidR="00B80D40" w:rsidRPr="00882F11">
        <w:rPr>
          <w:rFonts w:cs="Guttman Drogolin" w:hint="cs"/>
          <w:rtl/>
          <w:lang w:bidi="he-IL"/>
        </w:rPr>
        <w:t>דהרא</w:t>
      </w:r>
      <w:r w:rsidR="00B80D40" w:rsidRPr="00882F11">
        <w:rPr>
          <w:rFonts w:cs="Guttman Drogolin"/>
          <w:rtl/>
          <w:lang w:bidi="he-IL"/>
        </w:rPr>
        <w:t>"</w:t>
      </w:r>
      <w:r w:rsidR="00B80D40" w:rsidRPr="00882F11">
        <w:rPr>
          <w:rFonts w:cs="Guttman Drogolin" w:hint="cs"/>
          <w:rtl/>
          <w:lang w:bidi="he-IL"/>
        </w:rPr>
        <w:t>ש</w:t>
      </w:r>
      <w:r w:rsidR="00B80D40" w:rsidRPr="00882F11">
        <w:rPr>
          <w:rFonts w:cs="Guttman Drogolin"/>
          <w:rtl/>
          <w:lang w:bidi="he-IL"/>
        </w:rPr>
        <w:t xml:space="preserve"> </w:t>
      </w:r>
      <w:r w:rsidR="00B80D40" w:rsidRPr="00882F11">
        <w:rPr>
          <w:rFonts w:cs="Guttman Drogolin" w:hint="cs"/>
          <w:rtl/>
          <w:lang w:bidi="he-IL"/>
        </w:rPr>
        <w:t>שאין</w:t>
      </w:r>
      <w:r w:rsidR="00B80D40" w:rsidRPr="00882F11">
        <w:rPr>
          <w:rFonts w:cs="Guttman Drogolin"/>
          <w:rtl/>
          <w:lang w:bidi="he-IL"/>
        </w:rPr>
        <w:t xml:space="preserve"> </w:t>
      </w:r>
      <w:r w:rsidR="00B80D40" w:rsidRPr="00882F11">
        <w:rPr>
          <w:rFonts w:cs="Guttman Drogolin" w:hint="cs"/>
          <w:rtl/>
          <w:lang w:bidi="he-IL"/>
        </w:rPr>
        <w:t>זיעה</w:t>
      </w:r>
      <w:r w:rsidR="00B80D40" w:rsidRPr="00882F11">
        <w:rPr>
          <w:rFonts w:cs="Guttman Drogolin"/>
          <w:rtl/>
          <w:lang w:bidi="he-IL"/>
        </w:rPr>
        <w:t xml:space="preserve"> </w:t>
      </w:r>
      <w:r w:rsidR="00B80D40" w:rsidRPr="00882F11">
        <w:rPr>
          <w:rFonts w:cs="Guttman Drogolin" w:hint="cs"/>
          <w:rtl/>
          <w:lang w:bidi="he-IL"/>
        </w:rPr>
        <w:t>מתחתית</w:t>
      </w:r>
      <w:r w:rsidR="00B80D40" w:rsidRPr="00882F11">
        <w:rPr>
          <w:rFonts w:cs="Guttman Drogolin"/>
          <w:rtl/>
          <w:lang w:bidi="he-IL"/>
        </w:rPr>
        <w:t xml:space="preserve"> </w:t>
      </w:r>
      <w:r w:rsidR="00B80D40" w:rsidRPr="00882F11">
        <w:rPr>
          <w:rFonts w:cs="Guttman Drogolin" w:hint="cs"/>
          <w:rtl/>
          <w:lang w:bidi="he-IL"/>
        </w:rPr>
        <w:t>הקדרה</w:t>
      </w:r>
      <w:r w:rsidR="00B80D40" w:rsidRPr="00882F11">
        <w:rPr>
          <w:rFonts w:cs="Guttman Drogolin"/>
          <w:rtl/>
          <w:lang w:bidi="he-IL"/>
        </w:rPr>
        <w:t xml:space="preserve"> </w:t>
      </w:r>
      <w:r w:rsidR="00B80D40" w:rsidRPr="00882F11">
        <w:rPr>
          <w:rFonts w:cs="Guttman Drogolin" w:hint="cs"/>
          <w:rtl/>
          <w:lang w:bidi="he-IL"/>
        </w:rPr>
        <w:t xml:space="preserve">העליונה. וא"כ יהא </w:t>
      </w:r>
      <w:r w:rsidR="00B80D40" w:rsidRPr="00882F11">
        <w:rPr>
          <w:rFonts w:cs="Guttman Drogolin" w:hint="cs"/>
          <w:rtl/>
          <w:lang w:bidi="he-IL"/>
        </w:rPr>
        <w:lastRenderedPageBreak/>
        <w:t xml:space="preserve">הספק של הרא"ש אם זיעה נמנע מלהשפיע הוא משום החום בלבד או"ד משום זיעה המתנגד לזיעה מן המאכל השני. </w:t>
      </w:r>
    </w:p>
    <w:p w:rsidR="00B80D40" w:rsidRPr="00882F11" w:rsidRDefault="00B80D40" w:rsidP="00B80D40">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22" w:name="_Toc496175381"/>
      <w:r w:rsidRPr="00882F11">
        <w:rPr>
          <w:rFonts w:asciiTheme="majorHAnsi" w:eastAsiaTheme="majorEastAsia" w:hAnsiTheme="majorHAnsi" w:cs="Guttman Drogolin" w:hint="cs"/>
          <w:b/>
          <w:bCs/>
          <w:sz w:val="24"/>
          <w:szCs w:val="24"/>
          <w:u w:val="single"/>
          <w:rtl/>
          <w:lang w:bidi="he-IL"/>
        </w:rPr>
        <w:t>מו"מ בפוסקים בדעת הרא"ש</w:t>
      </w:r>
      <w:bookmarkEnd w:id="122"/>
    </w:p>
    <w:p w:rsidR="003E5014" w:rsidRPr="00882F11" w:rsidRDefault="00A239A5" w:rsidP="004839BB">
      <w:pPr>
        <w:bidi/>
        <w:jc w:val="both"/>
        <w:rPr>
          <w:rFonts w:cs="Guttman Drogolin"/>
          <w:rtl/>
          <w:lang w:bidi="he-IL"/>
        </w:rPr>
      </w:pPr>
      <w:r w:rsidRPr="00882F11">
        <w:rPr>
          <w:rFonts w:cs="Guttman Drogolin" w:hint="cs"/>
          <w:rtl/>
          <w:lang w:bidi="he-IL"/>
        </w:rPr>
        <w:t>כתוב בתשובות</w:t>
      </w:r>
      <w:r w:rsidRPr="00882F11">
        <w:rPr>
          <w:rFonts w:cs="Guttman Drogolin"/>
          <w:rtl/>
          <w:lang w:bidi="he-IL"/>
        </w:rPr>
        <w:t xml:space="preserve"> </w:t>
      </w:r>
      <w:r w:rsidRPr="00882F11">
        <w:rPr>
          <w:rFonts w:cs="Guttman Drogolin" w:hint="cs"/>
          <w:rtl/>
          <w:lang w:bidi="he-IL"/>
        </w:rPr>
        <w:t>מיי</w:t>
      </w:r>
      <w:r w:rsidRPr="00882F11">
        <w:rPr>
          <w:rFonts w:cs="Guttman Drogolin"/>
          <w:rtl/>
          <w:lang w:bidi="he-IL"/>
        </w:rPr>
        <w:t xml:space="preserve">' </w:t>
      </w:r>
      <w:r w:rsidRPr="00882F11">
        <w:rPr>
          <w:rFonts w:cs="Guttman Drogolin" w:hint="cs"/>
          <w:rtl/>
          <w:lang w:bidi="he-IL"/>
        </w:rPr>
        <w:t>(הל</w:t>
      </w:r>
      <w:r w:rsidRPr="00882F11">
        <w:rPr>
          <w:rFonts w:cs="Guttman Drogolin"/>
          <w:rtl/>
          <w:lang w:bidi="he-IL"/>
        </w:rPr>
        <w:t xml:space="preserve">' </w:t>
      </w:r>
      <w:r w:rsidRPr="00882F11">
        <w:rPr>
          <w:rFonts w:cs="Guttman Drogolin" w:hint="cs"/>
          <w:rtl/>
          <w:lang w:bidi="he-IL"/>
        </w:rPr>
        <w:t>מאכלות</w:t>
      </w:r>
      <w:r w:rsidRPr="00882F11">
        <w:rPr>
          <w:rFonts w:cs="Guttman Drogolin"/>
          <w:rtl/>
          <w:lang w:bidi="he-IL"/>
        </w:rPr>
        <w:t xml:space="preserve"> </w:t>
      </w:r>
      <w:r w:rsidRPr="00882F11">
        <w:rPr>
          <w:rFonts w:cs="Guttman Drogolin" w:hint="cs"/>
          <w:rtl/>
          <w:lang w:bidi="he-IL"/>
        </w:rPr>
        <w:t>אסורות</w:t>
      </w:r>
      <w:r w:rsidRPr="00882F11">
        <w:rPr>
          <w:rFonts w:cs="Guttman Drogolin"/>
          <w:rtl/>
          <w:lang w:bidi="he-IL"/>
        </w:rPr>
        <w:t xml:space="preserve"> </w:t>
      </w:r>
      <w:r w:rsidRPr="00882F11">
        <w:rPr>
          <w:rFonts w:cs="Guttman Drogolin" w:hint="cs"/>
          <w:rtl/>
          <w:lang w:bidi="he-IL"/>
        </w:rPr>
        <w:t>סי</w:t>
      </w:r>
      <w:r w:rsidRPr="00882F11">
        <w:rPr>
          <w:rFonts w:cs="Guttman Drogolin"/>
          <w:rtl/>
          <w:lang w:bidi="he-IL"/>
        </w:rPr>
        <w:t xml:space="preserve">' </w:t>
      </w:r>
      <w:r w:rsidRPr="00882F11">
        <w:rPr>
          <w:rFonts w:cs="Guttman Drogolin" w:hint="cs"/>
          <w:rtl/>
          <w:lang w:bidi="he-IL"/>
        </w:rPr>
        <w:t>ה</w:t>
      </w:r>
      <w:r w:rsidRPr="00882F11">
        <w:rPr>
          <w:rFonts w:cs="Guttman Drogolin"/>
          <w:rtl/>
          <w:lang w:bidi="he-IL"/>
        </w:rPr>
        <w:t xml:space="preserve">') </w:t>
      </w:r>
      <w:r w:rsidRPr="00882F11">
        <w:rPr>
          <w:rFonts w:cs="Guttman Drogolin" w:hint="cs"/>
          <w:rtl/>
          <w:lang w:bidi="he-IL"/>
        </w:rPr>
        <w:t>שכתב</w:t>
      </w:r>
      <w:r w:rsidRPr="00882F11">
        <w:rPr>
          <w:rFonts w:cs="Guttman Drogolin"/>
          <w:rtl/>
          <w:lang w:bidi="he-IL"/>
        </w:rPr>
        <w:t xml:space="preserve"> </w:t>
      </w:r>
      <w:r w:rsidRPr="00882F11">
        <w:rPr>
          <w:rFonts w:cs="Guttman Drogolin" w:hint="cs"/>
          <w:rtl/>
          <w:lang w:bidi="he-IL"/>
        </w:rPr>
        <w:t>שלא</w:t>
      </w:r>
      <w:r w:rsidRPr="00882F11">
        <w:rPr>
          <w:rFonts w:cs="Guttman Drogolin"/>
          <w:rtl/>
          <w:lang w:bidi="he-IL"/>
        </w:rPr>
        <w:t xml:space="preserve"> </w:t>
      </w:r>
      <w:r w:rsidRPr="00882F11">
        <w:rPr>
          <w:rFonts w:cs="Guttman Drogolin" w:hint="cs"/>
          <w:rtl/>
          <w:lang w:bidi="he-IL"/>
        </w:rPr>
        <w:t>מצאנו</w:t>
      </w:r>
      <w:r w:rsidRPr="00882F11">
        <w:rPr>
          <w:rFonts w:cs="Guttman Drogolin"/>
          <w:rtl/>
          <w:lang w:bidi="he-IL"/>
        </w:rPr>
        <w:t xml:space="preserve"> </w:t>
      </w:r>
      <w:r w:rsidRPr="00882F11">
        <w:rPr>
          <w:rFonts w:cs="Guttman Drogolin" w:hint="cs"/>
          <w:rtl/>
          <w:lang w:bidi="he-IL"/>
        </w:rPr>
        <w:t>ריחא</w:t>
      </w:r>
      <w:r w:rsidRPr="00882F11">
        <w:rPr>
          <w:rFonts w:cs="Guttman Drogolin"/>
          <w:rtl/>
          <w:lang w:bidi="he-IL"/>
        </w:rPr>
        <w:t xml:space="preserve"> </w:t>
      </w:r>
      <w:r w:rsidRPr="00882F11">
        <w:rPr>
          <w:rFonts w:cs="Guttman Drogolin" w:hint="cs"/>
          <w:rtl/>
          <w:lang w:bidi="he-IL"/>
        </w:rPr>
        <w:t>מילתא</w:t>
      </w:r>
      <w:r w:rsidRPr="00882F11">
        <w:rPr>
          <w:rFonts w:cs="Guttman Drogolin"/>
          <w:rtl/>
          <w:lang w:bidi="he-IL"/>
        </w:rPr>
        <w:t xml:space="preserve"> </w:t>
      </w:r>
      <w:r w:rsidRPr="00882F11">
        <w:rPr>
          <w:rFonts w:cs="Guttman Drogolin" w:hint="cs"/>
          <w:rtl/>
          <w:lang w:bidi="he-IL"/>
        </w:rPr>
        <w:t>בכלי</w:t>
      </w:r>
      <w:r w:rsidRPr="00882F11">
        <w:rPr>
          <w:rFonts w:cs="Guttman Drogolin"/>
          <w:rtl/>
          <w:lang w:bidi="he-IL"/>
        </w:rPr>
        <w:t xml:space="preserve"> </w:t>
      </w:r>
      <w:r w:rsidRPr="00882F11">
        <w:rPr>
          <w:rFonts w:cs="Guttman Drogolin" w:hint="cs"/>
          <w:rtl/>
          <w:lang w:bidi="he-IL"/>
        </w:rPr>
        <w:t>שיחזור</w:t>
      </w:r>
      <w:r w:rsidRPr="00882F11">
        <w:rPr>
          <w:rFonts w:cs="Guttman Drogolin"/>
          <w:rtl/>
          <w:lang w:bidi="he-IL"/>
        </w:rPr>
        <w:t xml:space="preserve"> </w:t>
      </w:r>
      <w:r w:rsidRPr="00882F11">
        <w:rPr>
          <w:rFonts w:cs="Guttman Drogolin" w:hint="cs"/>
          <w:rtl/>
          <w:lang w:bidi="he-IL"/>
        </w:rPr>
        <w:t>ויפטם</w:t>
      </w:r>
      <w:r w:rsidR="004839BB" w:rsidRPr="00882F11">
        <w:rPr>
          <w:rFonts w:cs="Guttman Drogolin" w:hint="cs"/>
          <w:rtl/>
          <w:lang w:bidi="he-IL"/>
        </w:rPr>
        <w:t xml:space="preserve"> לאוכל (וע"ש מה שפלפל בסוגיא שבמס' זבחים דף צ"ה ע"ב בעי</w:t>
      </w:r>
      <w:r w:rsidR="004839BB" w:rsidRPr="00882F11">
        <w:rPr>
          <w:rFonts w:cs="Guttman Drogolin"/>
          <w:rtl/>
          <w:lang w:bidi="he-IL"/>
        </w:rPr>
        <w:t xml:space="preserve"> </w:t>
      </w:r>
      <w:r w:rsidR="004839BB" w:rsidRPr="00882F11">
        <w:rPr>
          <w:rFonts w:cs="Guttman Drogolin" w:hint="cs"/>
          <w:rtl/>
          <w:lang w:bidi="he-IL"/>
        </w:rPr>
        <w:t>רמי</w:t>
      </w:r>
      <w:r w:rsidR="004839BB" w:rsidRPr="00882F11">
        <w:rPr>
          <w:rFonts w:cs="Guttman Drogolin"/>
          <w:rtl/>
          <w:lang w:bidi="he-IL"/>
        </w:rPr>
        <w:t xml:space="preserve"> </w:t>
      </w:r>
      <w:r w:rsidR="004839BB" w:rsidRPr="00882F11">
        <w:rPr>
          <w:rFonts w:cs="Guttman Drogolin" w:hint="cs"/>
          <w:rtl/>
          <w:lang w:bidi="he-IL"/>
        </w:rPr>
        <w:t>בר</w:t>
      </w:r>
      <w:r w:rsidR="004839BB" w:rsidRPr="00882F11">
        <w:rPr>
          <w:rFonts w:cs="Guttman Drogolin"/>
          <w:rtl/>
          <w:lang w:bidi="he-IL"/>
        </w:rPr>
        <w:t xml:space="preserve"> </w:t>
      </w:r>
      <w:r w:rsidR="004839BB" w:rsidRPr="00882F11">
        <w:rPr>
          <w:rFonts w:cs="Guttman Drogolin" w:hint="cs"/>
          <w:rtl/>
          <w:lang w:bidi="he-IL"/>
        </w:rPr>
        <w:t>חמא</w:t>
      </w:r>
      <w:r w:rsidR="004839BB" w:rsidRPr="00882F11">
        <w:rPr>
          <w:rFonts w:cs="Guttman Drogolin"/>
          <w:rtl/>
          <w:lang w:bidi="he-IL"/>
        </w:rPr>
        <w:t xml:space="preserve"> </w:t>
      </w:r>
      <w:r w:rsidR="004839BB" w:rsidRPr="00882F11">
        <w:rPr>
          <w:rFonts w:cs="Guttman Drogolin" w:hint="cs"/>
          <w:rtl/>
          <w:lang w:bidi="he-IL"/>
        </w:rPr>
        <w:t>תלאו</w:t>
      </w:r>
      <w:r w:rsidR="004839BB" w:rsidRPr="00882F11">
        <w:rPr>
          <w:rFonts w:cs="Guttman Drogolin"/>
          <w:rtl/>
          <w:lang w:bidi="he-IL"/>
        </w:rPr>
        <w:t xml:space="preserve"> </w:t>
      </w:r>
      <w:r w:rsidR="004839BB" w:rsidRPr="00882F11">
        <w:rPr>
          <w:rFonts w:cs="Guttman Drogolin" w:hint="cs"/>
          <w:rtl/>
          <w:lang w:bidi="he-IL"/>
        </w:rPr>
        <w:t>באויר</w:t>
      </w:r>
      <w:r w:rsidR="004839BB" w:rsidRPr="00882F11">
        <w:rPr>
          <w:rFonts w:cs="Guttman Drogolin"/>
          <w:rtl/>
          <w:lang w:bidi="he-IL"/>
        </w:rPr>
        <w:t xml:space="preserve"> </w:t>
      </w:r>
      <w:r w:rsidR="004839BB" w:rsidRPr="00882F11">
        <w:rPr>
          <w:rFonts w:cs="Guttman Drogolin" w:hint="cs"/>
          <w:rtl/>
          <w:lang w:bidi="he-IL"/>
        </w:rPr>
        <w:t>תנור</w:t>
      </w:r>
      <w:r w:rsidR="004839BB" w:rsidRPr="00882F11">
        <w:rPr>
          <w:rFonts w:cs="Guttman Drogolin"/>
          <w:rtl/>
          <w:lang w:bidi="he-IL"/>
        </w:rPr>
        <w:t xml:space="preserve"> </w:t>
      </w:r>
      <w:r w:rsidR="004839BB" w:rsidRPr="00882F11">
        <w:rPr>
          <w:rFonts w:cs="Guttman Drogolin" w:hint="cs"/>
          <w:rtl/>
          <w:lang w:bidi="he-IL"/>
        </w:rPr>
        <w:t xml:space="preserve">מהו וכו'). ובדרכ"מ (סי' ק"ח סס"ק ג') הקשה מזה על דברי הרא"ש הנ"ל שאסר לבשל קדירה של בשר ע"ג קדירה חולבת. ור"ל שלכאורה כוונת השאלה היתה בקדרה מלאה בשר ע"ג 'קדרה חולבת' שמשמע שרק הקדרה היתה למטה ולא הי' מאכל בתוך הקדרה. וכן הי' לכאורה נראה מסברא, שקשה להאמין שבנו של הרא"ש הי' מסתפק אם כדאי לבשל קדירה שיש בה בשר לכחתילה ע"ג קדרה שיש בה חלב. ומ"מ דחה הרדכ"מ דאה"נ ואין דברי הרא"ש סותרים לדברי התשו' מיי' ומשום שהרא"ש לא אסר אלא כשיש מאכל חלבי בתוך הקדרה התחתונה. </w:t>
      </w:r>
      <w:r w:rsidR="003E5014" w:rsidRPr="00882F11">
        <w:rPr>
          <w:rFonts w:cs="Guttman Drogolin" w:hint="cs"/>
          <w:rtl/>
          <w:lang w:bidi="he-IL"/>
        </w:rPr>
        <w:t xml:space="preserve"> </w:t>
      </w:r>
    </w:p>
    <w:p w:rsidR="00502F08" w:rsidRPr="00882F11" w:rsidRDefault="003E5014" w:rsidP="00CC0A59">
      <w:pPr>
        <w:bidi/>
        <w:jc w:val="both"/>
        <w:rPr>
          <w:rFonts w:cs="Guttman Drogolin"/>
          <w:rtl/>
          <w:lang w:bidi="he-IL"/>
        </w:rPr>
      </w:pPr>
      <w:r w:rsidRPr="00882F11">
        <w:rPr>
          <w:rFonts w:cs="Guttman Drogolin" w:hint="cs"/>
          <w:rtl/>
          <w:lang w:bidi="he-IL"/>
        </w:rPr>
        <w:t xml:space="preserve">והוסיף הדרכ"מ שם להקשות, שהרי אנחנו מוצאים שאם הניח כיסוי של קדרה </w:t>
      </w:r>
      <w:r w:rsidR="00CC0A59" w:rsidRPr="00882F11">
        <w:rPr>
          <w:rFonts w:cs="Guttman Drogolin" w:hint="cs"/>
          <w:rtl/>
          <w:lang w:bidi="he-IL"/>
        </w:rPr>
        <w:t xml:space="preserve">חלבי </w:t>
      </w:r>
      <w:r w:rsidRPr="00882F11">
        <w:rPr>
          <w:rFonts w:cs="Guttman Drogolin" w:hint="cs"/>
          <w:rtl/>
          <w:lang w:bidi="he-IL"/>
        </w:rPr>
        <w:t>ע"ג</w:t>
      </w:r>
      <w:r w:rsidR="00CC0A59" w:rsidRPr="00882F11">
        <w:rPr>
          <w:rFonts w:cs="Guttman Drogolin" w:hint="cs"/>
          <w:rtl/>
          <w:lang w:bidi="he-IL"/>
        </w:rPr>
        <w:t xml:space="preserve"> קדרה בשרית שאוסרת. וצ"ע דהא התם ליכא אלא כיסוי שלא קיבל טעם אלא מן הזיעה, ולפי הכלל של התשו' מיי' למה הוא אוסר. ותי' הדרכ"מ דשאני התם שכיסה ע"ג דבר שיש לו לחלוחלית, והתשי' מיי' לא התכוין להתיר אלא כשמכסה בדבר שאין בה לחלוחית</w:t>
      </w:r>
      <w:r w:rsidR="00CC0A59" w:rsidRPr="00882F11">
        <w:rPr>
          <w:rStyle w:val="FootnoteReference"/>
          <w:rFonts w:cs="Guttman Drogolin"/>
          <w:rtl/>
          <w:lang w:bidi="he-IL"/>
        </w:rPr>
        <w:footnoteReference w:id="136"/>
      </w:r>
      <w:r w:rsidR="00CC0A59" w:rsidRPr="00882F11">
        <w:rPr>
          <w:rFonts w:cs="Guttman Drogolin" w:hint="cs"/>
          <w:rtl/>
          <w:lang w:bidi="he-IL"/>
        </w:rPr>
        <w:t>. אלא שכה"ג כתב הרמ"א נמי בספרו תורת חטאת (כלל</w:t>
      </w:r>
      <w:r w:rsidR="00CC0A59" w:rsidRPr="00882F11">
        <w:rPr>
          <w:rFonts w:cs="Guttman Drogolin"/>
          <w:rtl/>
          <w:lang w:bidi="he-IL"/>
        </w:rPr>
        <w:t xml:space="preserve"> </w:t>
      </w:r>
      <w:r w:rsidR="00CC0A59" w:rsidRPr="00882F11">
        <w:rPr>
          <w:rFonts w:cs="Guttman Drogolin" w:hint="cs"/>
          <w:rtl/>
          <w:lang w:bidi="he-IL"/>
        </w:rPr>
        <w:t>ל</w:t>
      </w:r>
      <w:r w:rsidR="00CC0A59" w:rsidRPr="00882F11">
        <w:rPr>
          <w:rFonts w:cs="Guttman Drogolin"/>
          <w:rtl/>
          <w:lang w:bidi="he-IL"/>
        </w:rPr>
        <w:t>"</w:t>
      </w:r>
      <w:r w:rsidR="00CC0A59" w:rsidRPr="00882F11">
        <w:rPr>
          <w:rFonts w:cs="Guttman Drogolin" w:hint="cs"/>
          <w:rtl/>
          <w:lang w:bidi="he-IL"/>
        </w:rPr>
        <w:t>ה</w:t>
      </w:r>
      <w:r w:rsidR="00CC0A59" w:rsidRPr="00882F11">
        <w:rPr>
          <w:rFonts w:cs="Guttman Drogolin"/>
          <w:rtl/>
          <w:lang w:bidi="he-IL"/>
        </w:rPr>
        <w:t xml:space="preserve"> </w:t>
      </w:r>
      <w:r w:rsidR="00CC0A59" w:rsidRPr="00882F11">
        <w:rPr>
          <w:rFonts w:cs="Guttman Drogolin" w:hint="cs"/>
          <w:rtl/>
          <w:lang w:bidi="he-IL"/>
        </w:rPr>
        <w:t>ל</w:t>
      </w:r>
      <w:r w:rsidR="00CC0A59" w:rsidRPr="00882F11">
        <w:rPr>
          <w:rFonts w:cs="Guttman Drogolin"/>
          <w:rtl/>
          <w:lang w:bidi="he-IL"/>
        </w:rPr>
        <w:t>"</w:t>
      </w:r>
      <w:r w:rsidR="00CC0A59" w:rsidRPr="00882F11">
        <w:rPr>
          <w:rFonts w:cs="Guttman Drogolin" w:hint="cs"/>
          <w:rtl/>
          <w:lang w:bidi="he-IL"/>
        </w:rPr>
        <w:t>ו</w:t>
      </w:r>
      <w:r w:rsidR="00CC0A59" w:rsidRPr="00882F11">
        <w:rPr>
          <w:rFonts w:cs="Guttman Drogolin"/>
          <w:rtl/>
          <w:lang w:bidi="he-IL"/>
        </w:rPr>
        <w:t xml:space="preserve"> </w:t>
      </w:r>
      <w:r w:rsidR="00CC0A59" w:rsidRPr="00882F11">
        <w:rPr>
          <w:rFonts w:cs="Guttman Drogolin" w:hint="cs"/>
          <w:rtl/>
          <w:lang w:bidi="he-IL"/>
        </w:rPr>
        <w:t>אות</w:t>
      </w:r>
      <w:r w:rsidR="00CC0A59" w:rsidRPr="00882F11">
        <w:rPr>
          <w:rFonts w:cs="Guttman Drogolin"/>
          <w:rtl/>
          <w:lang w:bidi="he-IL"/>
        </w:rPr>
        <w:t xml:space="preserve"> </w:t>
      </w:r>
      <w:r w:rsidR="00CC0A59" w:rsidRPr="00882F11">
        <w:rPr>
          <w:rFonts w:cs="Guttman Drogolin" w:hint="cs"/>
          <w:rtl/>
          <w:lang w:bidi="he-IL"/>
        </w:rPr>
        <w:t>ו</w:t>
      </w:r>
      <w:r w:rsidR="00CC0A59" w:rsidRPr="00882F11">
        <w:rPr>
          <w:rFonts w:cs="Guttman Drogolin"/>
          <w:rtl/>
          <w:lang w:bidi="he-IL"/>
        </w:rPr>
        <w:t>'</w:t>
      </w:r>
      <w:r w:rsidR="00CC0A59" w:rsidRPr="00882F11">
        <w:rPr>
          <w:rFonts w:cs="Guttman Drogolin" w:hint="cs"/>
          <w:rtl/>
          <w:lang w:bidi="he-IL"/>
        </w:rPr>
        <w:t>)</w:t>
      </w:r>
      <w:r w:rsidR="00CC0A59" w:rsidRPr="00882F11">
        <w:rPr>
          <w:rFonts w:cs="Guttman Drogolin"/>
          <w:rtl/>
          <w:lang w:bidi="he-IL"/>
        </w:rPr>
        <w:t xml:space="preserve"> </w:t>
      </w:r>
      <w:r w:rsidR="00CC0A59" w:rsidRPr="00882F11">
        <w:rPr>
          <w:rFonts w:cs="Guttman Drogolin" w:hint="cs"/>
          <w:rtl/>
          <w:lang w:bidi="he-IL"/>
        </w:rPr>
        <w:t>ושם</w:t>
      </w:r>
      <w:r w:rsidR="00CC0A59" w:rsidRPr="00882F11">
        <w:rPr>
          <w:rFonts w:cs="Guttman Drogolin"/>
          <w:rtl/>
          <w:lang w:bidi="he-IL"/>
        </w:rPr>
        <w:t xml:space="preserve"> </w:t>
      </w:r>
      <w:r w:rsidR="00CC0A59" w:rsidRPr="00882F11">
        <w:rPr>
          <w:rFonts w:cs="Guttman Drogolin" w:hint="cs"/>
          <w:rtl/>
          <w:lang w:bidi="he-IL"/>
        </w:rPr>
        <w:t>במנחת יעקב</w:t>
      </w:r>
      <w:r w:rsidR="00CC0A59" w:rsidRPr="00882F11">
        <w:rPr>
          <w:rFonts w:cs="Guttman Drogolin"/>
          <w:rtl/>
          <w:lang w:bidi="he-IL"/>
        </w:rPr>
        <w:t xml:space="preserve"> </w:t>
      </w:r>
      <w:r w:rsidR="00CC0A59" w:rsidRPr="00882F11">
        <w:rPr>
          <w:rFonts w:cs="Guttman Drogolin" w:hint="cs"/>
          <w:rtl/>
          <w:lang w:bidi="he-IL"/>
        </w:rPr>
        <w:t>(ס</w:t>
      </w:r>
      <w:r w:rsidR="00CC0A59" w:rsidRPr="00882F11">
        <w:rPr>
          <w:rFonts w:cs="Guttman Drogolin"/>
          <w:rtl/>
          <w:lang w:bidi="he-IL"/>
        </w:rPr>
        <w:t>"</w:t>
      </w:r>
      <w:r w:rsidR="00CC0A59" w:rsidRPr="00882F11">
        <w:rPr>
          <w:rFonts w:cs="Guttman Drogolin" w:hint="cs"/>
          <w:rtl/>
          <w:lang w:bidi="he-IL"/>
        </w:rPr>
        <w:t>ק</w:t>
      </w:r>
      <w:r w:rsidR="00CC0A59" w:rsidRPr="00882F11">
        <w:rPr>
          <w:rFonts w:cs="Guttman Drogolin"/>
          <w:rtl/>
          <w:lang w:bidi="he-IL"/>
        </w:rPr>
        <w:t xml:space="preserve"> </w:t>
      </w:r>
      <w:r w:rsidR="00CC0A59" w:rsidRPr="00882F11">
        <w:rPr>
          <w:rFonts w:cs="Guttman Drogolin" w:hint="cs"/>
          <w:rtl/>
          <w:lang w:bidi="he-IL"/>
        </w:rPr>
        <w:t>כ</w:t>
      </w:r>
      <w:r w:rsidR="00CC0A59" w:rsidRPr="00882F11">
        <w:rPr>
          <w:rFonts w:cs="Guttman Drogolin"/>
          <w:rtl/>
          <w:lang w:bidi="he-IL"/>
        </w:rPr>
        <w:t>"</w:t>
      </w:r>
      <w:r w:rsidR="00CC0A59" w:rsidRPr="00882F11">
        <w:rPr>
          <w:rFonts w:cs="Guttman Drogolin" w:hint="cs"/>
          <w:rtl/>
          <w:lang w:bidi="he-IL"/>
        </w:rPr>
        <w:t>א)</w:t>
      </w:r>
      <w:r w:rsidR="00CC0A59" w:rsidRPr="00882F11">
        <w:rPr>
          <w:rFonts w:cs="Guttman Drogolin"/>
          <w:rtl/>
          <w:lang w:bidi="he-IL"/>
        </w:rPr>
        <w:t xml:space="preserve"> </w:t>
      </w:r>
      <w:r w:rsidR="00CC0A59" w:rsidRPr="00882F11">
        <w:rPr>
          <w:rFonts w:cs="Guttman Drogolin" w:hint="cs"/>
          <w:rtl/>
          <w:lang w:bidi="he-IL"/>
        </w:rPr>
        <w:t>התקשה</w:t>
      </w:r>
      <w:r w:rsidR="00CC0A59" w:rsidRPr="00882F11">
        <w:rPr>
          <w:rFonts w:cs="Guttman Drogolin"/>
          <w:rtl/>
          <w:lang w:bidi="he-IL"/>
        </w:rPr>
        <w:t xml:space="preserve"> </w:t>
      </w:r>
      <w:r w:rsidR="00CC0A59" w:rsidRPr="00882F11">
        <w:rPr>
          <w:rFonts w:cs="Guttman Drogolin" w:hint="cs"/>
          <w:rtl/>
          <w:lang w:bidi="he-IL"/>
        </w:rPr>
        <w:t>מזה</w:t>
      </w:r>
      <w:r w:rsidR="00CC0A59" w:rsidRPr="00882F11">
        <w:rPr>
          <w:rFonts w:cs="Guttman Drogolin"/>
          <w:rtl/>
          <w:lang w:bidi="he-IL"/>
        </w:rPr>
        <w:t xml:space="preserve"> </w:t>
      </w:r>
      <w:r w:rsidR="00CC0A59" w:rsidRPr="00882F11">
        <w:rPr>
          <w:rFonts w:cs="Guttman Drogolin" w:hint="cs"/>
          <w:rtl/>
          <w:lang w:bidi="he-IL"/>
        </w:rPr>
        <w:t>כיון שהטור</w:t>
      </w:r>
      <w:r w:rsidR="00CC0A59" w:rsidRPr="00882F11">
        <w:rPr>
          <w:rFonts w:cs="Guttman Drogolin"/>
          <w:rtl/>
          <w:lang w:bidi="he-IL"/>
        </w:rPr>
        <w:t xml:space="preserve"> </w:t>
      </w:r>
      <w:r w:rsidR="00CC0A59" w:rsidRPr="00882F11">
        <w:rPr>
          <w:rFonts w:cs="Guttman Drogolin" w:hint="cs"/>
          <w:rtl/>
          <w:lang w:bidi="he-IL"/>
        </w:rPr>
        <w:t>באו</w:t>
      </w:r>
      <w:r w:rsidR="00CC0A59" w:rsidRPr="00882F11">
        <w:rPr>
          <w:rFonts w:cs="Guttman Drogolin"/>
          <w:rtl/>
          <w:lang w:bidi="he-IL"/>
        </w:rPr>
        <w:t>"</w:t>
      </w:r>
      <w:r w:rsidR="00CC0A59" w:rsidRPr="00882F11">
        <w:rPr>
          <w:rFonts w:cs="Guttman Drogolin" w:hint="cs"/>
          <w:rtl/>
          <w:lang w:bidi="he-IL"/>
        </w:rPr>
        <w:t>ח</w:t>
      </w:r>
      <w:r w:rsidR="00CC0A59" w:rsidRPr="00882F11">
        <w:rPr>
          <w:rFonts w:cs="Guttman Drogolin"/>
          <w:rtl/>
          <w:lang w:bidi="he-IL"/>
        </w:rPr>
        <w:t xml:space="preserve"> </w:t>
      </w:r>
      <w:r w:rsidR="00CC0A59" w:rsidRPr="00882F11">
        <w:rPr>
          <w:rFonts w:cs="Guttman Drogolin" w:hint="cs"/>
          <w:rtl/>
          <w:lang w:bidi="he-IL"/>
        </w:rPr>
        <w:t>סי</w:t>
      </w:r>
      <w:r w:rsidR="00CC0A59" w:rsidRPr="00882F11">
        <w:rPr>
          <w:rFonts w:cs="Guttman Drogolin"/>
          <w:rtl/>
          <w:lang w:bidi="he-IL"/>
        </w:rPr>
        <w:t xml:space="preserve">' </w:t>
      </w:r>
      <w:r w:rsidR="00CC0A59" w:rsidRPr="00882F11">
        <w:rPr>
          <w:rFonts w:cs="Guttman Drogolin" w:hint="cs"/>
          <w:rtl/>
          <w:lang w:bidi="he-IL"/>
        </w:rPr>
        <w:t>תנ</w:t>
      </w:r>
      <w:r w:rsidR="00CC0A59" w:rsidRPr="00882F11">
        <w:rPr>
          <w:rFonts w:cs="Guttman Drogolin"/>
          <w:rtl/>
          <w:lang w:bidi="he-IL"/>
        </w:rPr>
        <w:t>"</w:t>
      </w:r>
      <w:r w:rsidR="00CC0A59" w:rsidRPr="00882F11">
        <w:rPr>
          <w:rFonts w:cs="Guttman Drogolin" w:hint="cs"/>
          <w:rtl/>
          <w:lang w:bidi="he-IL"/>
        </w:rPr>
        <w:t>א</w:t>
      </w:r>
      <w:r w:rsidR="00CC0A59" w:rsidRPr="00882F11">
        <w:rPr>
          <w:rFonts w:cs="Guttman Drogolin"/>
          <w:rtl/>
          <w:lang w:bidi="he-IL"/>
        </w:rPr>
        <w:t xml:space="preserve"> </w:t>
      </w:r>
      <w:r w:rsidR="00CC0A59" w:rsidRPr="00882F11">
        <w:rPr>
          <w:rFonts w:cs="Guttman Drogolin" w:hint="cs"/>
          <w:rtl/>
          <w:lang w:bidi="he-IL"/>
        </w:rPr>
        <w:t>הצריך</w:t>
      </w:r>
      <w:r w:rsidR="00CC0A59" w:rsidRPr="00882F11">
        <w:rPr>
          <w:rFonts w:cs="Guttman Drogolin"/>
          <w:rtl/>
          <w:lang w:bidi="he-IL"/>
        </w:rPr>
        <w:t xml:space="preserve"> </w:t>
      </w:r>
      <w:r w:rsidR="00CC0A59" w:rsidRPr="00882F11">
        <w:rPr>
          <w:rFonts w:cs="Guttman Drogolin" w:hint="cs"/>
          <w:rtl/>
          <w:lang w:bidi="he-IL"/>
        </w:rPr>
        <w:t>ליבון</w:t>
      </w:r>
      <w:r w:rsidR="00CC0A59" w:rsidRPr="00882F11">
        <w:rPr>
          <w:rFonts w:cs="Guttman Drogolin"/>
          <w:rtl/>
          <w:lang w:bidi="he-IL"/>
        </w:rPr>
        <w:t xml:space="preserve"> </w:t>
      </w:r>
      <w:r w:rsidR="00CC0A59" w:rsidRPr="00882F11">
        <w:rPr>
          <w:rFonts w:cs="Guttman Drogolin" w:hint="cs"/>
          <w:rtl/>
          <w:lang w:bidi="he-IL"/>
        </w:rPr>
        <w:t>לכיסויי</w:t>
      </w:r>
      <w:r w:rsidR="00CC0A59" w:rsidRPr="00882F11">
        <w:rPr>
          <w:rFonts w:cs="Guttman Drogolin"/>
          <w:rtl/>
          <w:lang w:bidi="he-IL"/>
        </w:rPr>
        <w:t xml:space="preserve"> </w:t>
      </w:r>
      <w:r w:rsidR="00CC0A59" w:rsidRPr="00882F11">
        <w:rPr>
          <w:rFonts w:cs="Guttman Drogolin" w:hint="cs"/>
          <w:rtl/>
          <w:lang w:bidi="he-IL"/>
        </w:rPr>
        <w:t>ברזל</w:t>
      </w:r>
      <w:r w:rsidR="00CC0A59" w:rsidRPr="00882F11">
        <w:rPr>
          <w:rFonts w:cs="Guttman Drogolin"/>
          <w:rtl/>
          <w:lang w:bidi="he-IL"/>
        </w:rPr>
        <w:t xml:space="preserve"> </w:t>
      </w:r>
      <w:r w:rsidR="00CC0A59" w:rsidRPr="00882F11">
        <w:rPr>
          <w:rFonts w:cs="Guttman Drogolin" w:hint="cs"/>
          <w:rtl/>
          <w:lang w:bidi="he-IL"/>
        </w:rPr>
        <w:t>שמשימין</w:t>
      </w:r>
      <w:r w:rsidR="00CC0A59" w:rsidRPr="00882F11">
        <w:rPr>
          <w:rFonts w:cs="Guttman Drogolin"/>
          <w:rtl/>
          <w:lang w:bidi="he-IL"/>
        </w:rPr>
        <w:t xml:space="preserve"> </w:t>
      </w:r>
      <w:r w:rsidR="00CC0A59" w:rsidRPr="00882F11">
        <w:rPr>
          <w:rFonts w:cs="Guttman Drogolin" w:hint="cs"/>
          <w:rtl/>
          <w:lang w:bidi="he-IL"/>
        </w:rPr>
        <w:t>על</w:t>
      </w:r>
      <w:r w:rsidR="00CC0A59" w:rsidRPr="00882F11">
        <w:rPr>
          <w:rFonts w:cs="Guttman Drogolin"/>
          <w:rtl/>
          <w:lang w:bidi="he-IL"/>
        </w:rPr>
        <w:t xml:space="preserve"> </w:t>
      </w:r>
      <w:r w:rsidR="00CC0A59" w:rsidRPr="00882F11">
        <w:rPr>
          <w:rFonts w:cs="Guttman Drogolin" w:hint="cs"/>
          <w:rtl/>
          <w:lang w:bidi="he-IL"/>
        </w:rPr>
        <w:t>החררה</w:t>
      </w:r>
      <w:r w:rsidR="00CC0A59" w:rsidRPr="00882F11">
        <w:rPr>
          <w:rFonts w:cs="Guttman Drogolin"/>
          <w:rtl/>
          <w:lang w:bidi="he-IL"/>
        </w:rPr>
        <w:t xml:space="preserve"> </w:t>
      </w:r>
      <w:r w:rsidR="00CC0A59" w:rsidRPr="00882F11">
        <w:rPr>
          <w:rFonts w:cs="Guttman Drogolin" w:hint="cs"/>
          <w:rtl/>
          <w:lang w:bidi="he-IL"/>
        </w:rPr>
        <w:t>וא</w:t>
      </w:r>
      <w:r w:rsidR="00CC0A59" w:rsidRPr="00882F11">
        <w:rPr>
          <w:rFonts w:cs="Guttman Drogolin"/>
          <w:rtl/>
          <w:lang w:bidi="he-IL"/>
        </w:rPr>
        <w:t xml:space="preserve">' </w:t>
      </w:r>
      <w:r w:rsidR="00CC0A59" w:rsidRPr="00882F11">
        <w:rPr>
          <w:rFonts w:cs="Guttman Drogolin" w:hint="cs"/>
          <w:rtl/>
          <w:lang w:bidi="he-IL"/>
        </w:rPr>
        <w:t>מטעמיו</w:t>
      </w:r>
      <w:r w:rsidR="00CC0A59" w:rsidRPr="00882F11">
        <w:rPr>
          <w:rFonts w:cs="Guttman Drogolin"/>
          <w:rtl/>
          <w:lang w:bidi="he-IL"/>
        </w:rPr>
        <w:t xml:space="preserve"> </w:t>
      </w:r>
      <w:r w:rsidR="00CC0A59" w:rsidRPr="00882F11">
        <w:rPr>
          <w:rFonts w:cs="Guttman Drogolin" w:hint="cs"/>
          <w:rtl/>
          <w:lang w:bidi="he-IL"/>
        </w:rPr>
        <w:lastRenderedPageBreak/>
        <w:t>הוא</w:t>
      </w:r>
      <w:r w:rsidR="00CC0A59" w:rsidRPr="00882F11">
        <w:rPr>
          <w:rFonts w:cs="Guttman Drogolin"/>
          <w:rtl/>
          <w:lang w:bidi="he-IL"/>
        </w:rPr>
        <w:t xml:space="preserve"> </w:t>
      </w:r>
      <w:r w:rsidR="00CC0A59" w:rsidRPr="00882F11">
        <w:rPr>
          <w:rFonts w:cs="Guttman Drogolin" w:hint="cs"/>
          <w:rtl/>
          <w:lang w:bidi="he-IL"/>
        </w:rPr>
        <w:t>משום</w:t>
      </w:r>
      <w:r w:rsidR="00CC0A59" w:rsidRPr="00882F11">
        <w:rPr>
          <w:rFonts w:cs="Guttman Drogolin"/>
          <w:rtl/>
          <w:lang w:bidi="he-IL"/>
        </w:rPr>
        <w:t xml:space="preserve"> </w:t>
      </w:r>
      <w:r w:rsidR="00CC0A59" w:rsidRPr="00882F11">
        <w:rPr>
          <w:rFonts w:cs="Guttman Drogolin" w:hint="cs"/>
          <w:rtl/>
          <w:lang w:bidi="he-IL"/>
        </w:rPr>
        <w:t>שזיעה</w:t>
      </w:r>
      <w:r w:rsidR="00CC0A59" w:rsidRPr="00882F11">
        <w:rPr>
          <w:rFonts w:cs="Guttman Drogolin"/>
          <w:rtl/>
          <w:lang w:bidi="he-IL"/>
        </w:rPr>
        <w:t xml:space="preserve"> </w:t>
      </w:r>
      <w:r w:rsidR="00CC0A59" w:rsidRPr="00882F11">
        <w:rPr>
          <w:rFonts w:cs="Guttman Drogolin" w:hint="cs"/>
          <w:rtl/>
          <w:lang w:bidi="he-IL"/>
        </w:rPr>
        <w:t>עולה</w:t>
      </w:r>
      <w:r w:rsidR="00CC0A59" w:rsidRPr="00882F11">
        <w:rPr>
          <w:rFonts w:cs="Guttman Drogolin"/>
          <w:rtl/>
          <w:lang w:bidi="he-IL"/>
        </w:rPr>
        <w:t xml:space="preserve"> </w:t>
      </w:r>
      <w:r w:rsidR="00CC0A59" w:rsidRPr="00882F11">
        <w:rPr>
          <w:rFonts w:cs="Guttman Drogolin" w:hint="cs"/>
          <w:rtl/>
          <w:lang w:bidi="he-IL"/>
        </w:rPr>
        <w:t>מן</w:t>
      </w:r>
      <w:r w:rsidR="00CC0A59" w:rsidRPr="00882F11">
        <w:rPr>
          <w:rFonts w:cs="Guttman Drogolin"/>
          <w:rtl/>
          <w:lang w:bidi="he-IL"/>
        </w:rPr>
        <w:t xml:space="preserve"> </w:t>
      </w:r>
      <w:r w:rsidR="00CC0A59" w:rsidRPr="00882F11">
        <w:rPr>
          <w:rFonts w:cs="Guttman Drogolin" w:hint="cs"/>
          <w:rtl/>
          <w:lang w:bidi="he-IL"/>
        </w:rPr>
        <w:t>הככר (וע"ש ברע"א שג"כ העיר מזה)</w:t>
      </w:r>
      <w:r w:rsidR="00CC0A59" w:rsidRPr="00882F11">
        <w:rPr>
          <w:rFonts w:cs="Guttman Drogolin"/>
          <w:rtl/>
          <w:lang w:bidi="he-IL"/>
        </w:rPr>
        <w:t xml:space="preserve"> </w:t>
      </w:r>
      <w:r w:rsidR="00CC0A59" w:rsidRPr="00882F11">
        <w:rPr>
          <w:rFonts w:cs="Guttman Drogolin" w:hint="cs"/>
          <w:rtl/>
          <w:lang w:bidi="he-IL"/>
        </w:rPr>
        <w:t>ותי</w:t>
      </w:r>
      <w:r w:rsidR="00CC0A59" w:rsidRPr="00882F11">
        <w:rPr>
          <w:rFonts w:cs="Guttman Drogolin"/>
          <w:rtl/>
          <w:lang w:bidi="he-IL"/>
        </w:rPr>
        <w:t xml:space="preserve">' </w:t>
      </w:r>
      <w:r w:rsidR="00CC0A59" w:rsidRPr="00882F11">
        <w:rPr>
          <w:rFonts w:cs="Guttman Drogolin" w:hint="cs"/>
          <w:rtl/>
          <w:lang w:bidi="he-IL"/>
        </w:rPr>
        <w:t>שם</w:t>
      </w:r>
      <w:r w:rsidR="00CC0A59" w:rsidRPr="00882F11">
        <w:rPr>
          <w:rFonts w:cs="Guttman Drogolin"/>
          <w:rtl/>
          <w:lang w:bidi="he-IL"/>
        </w:rPr>
        <w:t xml:space="preserve"> </w:t>
      </w:r>
      <w:r w:rsidR="00CC0A59" w:rsidRPr="00882F11">
        <w:rPr>
          <w:rFonts w:cs="Guttman Drogolin" w:hint="cs"/>
          <w:rtl/>
          <w:lang w:bidi="he-IL"/>
        </w:rPr>
        <w:t>ג</w:t>
      </w:r>
      <w:r w:rsidR="00CC0A59" w:rsidRPr="00882F11">
        <w:rPr>
          <w:rFonts w:cs="Guttman Drogolin"/>
          <w:rtl/>
          <w:lang w:bidi="he-IL"/>
        </w:rPr>
        <w:t xml:space="preserve">' </w:t>
      </w:r>
      <w:r w:rsidR="00CC0A59" w:rsidRPr="00882F11">
        <w:rPr>
          <w:rFonts w:cs="Guttman Drogolin" w:hint="cs"/>
          <w:rtl/>
          <w:lang w:bidi="he-IL"/>
        </w:rPr>
        <w:t>תירוצים</w:t>
      </w:r>
      <w:r w:rsidR="00CC0A59" w:rsidRPr="00882F11">
        <w:rPr>
          <w:rFonts w:cs="Guttman Drogolin"/>
          <w:rtl/>
          <w:lang w:bidi="he-IL"/>
        </w:rPr>
        <w:t xml:space="preserve">: </w:t>
      </w:r>
      <w:r w:rsidR="00CC0A59" w:rsidRPr="00882F11">
        <w:rPr>
          <w:rFonts w:cs="Guttman Drogolin" w:hint="cs"/>
          <w:rtl/>
          <w:lang w:bidi="he-IL"/>
        </w:rPr>
        <w:t>א</w:t>
      </w:r>
      <w:r w:rsidR="00CC0A59" w:rsidRPr="00882F11">
        <w:rPr>
          <w:rFonts w:cs="Guttman Drogolin"/>
          <w:rtl/>
          <w:lang w:bidi="he-IL"/>
        </w:rPr>
        <w:t xml:space="preserve">) </w:t>
      </w:r>
      <w:r w:rsidR="00CC0A59" w:rsidRPr="00882F11">
        <w:rPr>
          <w:rFonts w:cs="Guttman Drogolin" w:hint="cs"/>
          <w:rtl/>
          <w:lang w:bidi="he-IL"/>
        </w:rPr>
        <w:t>היכא</w:t>
      </w:r>
      <w:r w:rsidR="00CC0A59" w:rsidRPr="00882F11">
        <w:rPr>
          <w:rFonts w:cs="Guttman Drogolin"/>
          <w:rtl/>
          <w:lang w:bidi="he-IL"/>
        </w:rPr>
        <w:t xml:space="preserve"> </w:t>
      </w:r>
      <w:r w:rsidR="00CC0A59" w:rsidRPr="00882F11">
        <w:rPr>
          <w:rFonts w:cs="Guttman Drogolin" w:hint="cs"/>
          <w:rtl/>
          <w:lang w:bidi="he-IL"/>
        </w:rPr>
        <w:t>שמשתמש</w:t>
      </w:r>
      <w:r w:rsidR="00CC0A59" w:rsidRPr="00882F11">
        <w:rPr>
          <w:rFonts w:cs="Guttman Drogolin"/>
          <w:rtl/>
          <w:lang w:bidi="he-IL"/>
        </w:rPr>
        <w:t xml:space="preserve"> </w:t>
      </w:r>
      <w:r w:rsidR="00CC0A59" w:rsidRPr="00882F11">
        <w:rPr>
          <w:rFonts w:cs="Guttman Drogolin" w:hint="cs"/>
          <w:rtl/>
          <w:lang w:bidi="he-IL"/>
        </w:rPr>
        <w:t>כה</w:t>
      </w:r>
      <w:r w:rsidR="00CC0A59" w:rsidRPr="00882F11">
        <w:rPr>
          <w:rFonts w:cs="Guttman Drogolin"/>
          <w:rtl/>
          <w:lang w:bidi="he-IL"/>
        </w:rPr>
        <w:t>"</w:t>
      </w:r>
      <w:r w:rsidR="00CC0A59" w:rsidRPr="00882F11">
        <w:rPr>
          <w:rFonts w:cs="Guttman Drogolin" w:hint="cs"/>
          <w:rtl/>
          <w:lang w:bidi="he-IL"/>
        </w:rPr>
        <w:t>ג</w:t>
      </w:r>
      <w:r w:rsidR="00CC0A59" w:rsidRPr="00882F11">
        <w:rPr>
          <w:rFonts w:cs="Guttman Drogolin"/>
          <w:rtl/>
          <w:lang w:bidi="he-IL"/>
        </w:rPr>
        <w:t xml:space="preserve"> </w:t>
      </w:r>
      <w:r w:rsidR="00CC0A59" w:rsidRPr="00882F11">
        <w:rPr>
          <w:rFonts w:cs="Guttman Drogolin" w:hint="cs"/>
          <w:rtl/>
          <w:lang w:bidi="he-IL"/>
        </w:rPr>
        <w:t>כל</w:t>
      </w:r>
      <w:r w:rsidR="00CC0A59" w:rsidRPr="00882F11">
        <w:rPr>
          <w:rFonts w:cs="Guttman Drogolin"/>
          <w:rtl/>
          <w:lang w:bidi="he-IL"/>
        </w:rPr>
        <w:t xml:space="preserve"> </w:t>
      </w:r>
      <w:r w:rsidR="00CC0A59" w:rsidRPr="00882F11">
        <w:rPr>
          <w:rFonts w:cs="Guttman Drogolin" w:hint="cs"/>
          <w:rtl/>
          <w:lang w:bidi="he-IL"/>
        </w:rPr>
        <w:t>השנה</w:t>
      </w:r>
      <w:r w:rsidR="00CC0A59" w:rsidRPr="00882F11">
        <w:rPr>
          <w:rFonts w:cs="Guttman Drogolin"/>
          <w:rtl/>
          <w:lang w:bidi="he-IL"/>
        </w:rPr>
        <w:t xml:space="preserve"> </w:t>
      </w:r>
      <w:r w:rsidR="00CC0A59" w:rsidRPr="00882F11">
        <w:rPr>
          <w:rFonts w:cs="Guttman Drogolin" w:hint="cs"/>
          <w:rtl/>
          <w:lang w:bidi="he-IL"/>
        </w:rPr>
        <w:t>חמיר</w:t>
      </w:r>
      <w:r w:rsidR="00CC0A59" w:rsidRPr="00882F11">
        <w:rPr>
          <w:rFonts w:cs="Guttman Drogolin"/>
          <w:rtl/>
          <w:lang w:bidi="he-IL"/>
        </w:rPr>
        <w:t xml:space="preserve"> </w:t>
      </w:r>
      <w:r w:rsidR="00CC0A59" w:rsidRPr="00882F11">
        <w:rPr>
          <w:rFonts w:cs="Guttman Drogolin" w:hint="cs"/>
          <w:rtl/>
          <w:lang w:bidi="he-IL"/>
        </w:rPr>
        <w:t>טפי</w:t>
      </w:r>
      <w:r w:rsidR="00CC0A59" w:rsidRPr="00882F11">
        <w:rPr>
          <w:rFonts w:cs="Guttman Drogolin"/>
          <w:rtl/>
          <w:lang w:bidi="he-IL"/>
        </w:rPr>
        <w:t xml:space="preserve"> </w:t>
      </w:r>
      <w:r w:rsidR="00CC0A59" w:rsidRPr="00882F11">
        <w:rPr>
          <w:rFonts w:cs="Guttman Drogolin" w:hint="cs"/>
          <w:rtl/>
          <w:lang w:bidi="he-IL"/>
        </w:rPr>
        <w:t>והתשו</w:t>
      </w:r>
      <w:r w:rsidR="00CC0A59" w:rsidRPr="00882F11">
        <w:rPr>
          <w:rFonts w:cs="Guttman Drogolin"/>
          <w:rtl/>
          <w:lang w:bidi="he-IL"/>
        </w:rPr>
        <w:t xml:space="preserve">' </w:t>
      </w:r>
      <w:r w:rsidR="00CC0A59" w:rsidRPr="00882F11">
        <w:rPr>
          <w:rFonts w:cs="Guttman Drogolin" w:hint="cs"/>
          <w:rtl/>
          <w:lang w:bidi="he-IL"/>
        </w:rPr>
        <w:t>מיי</w:t>
      </w:r>
      <w:r w:rsidR="00CC0A59" w:rsidRPr="00882F11">
        <w:rPr>
          <w:rFonts w:cs="Guttman Drogolin"/>
          <w:rtl/>
          <w:lang w:bidi="he-IL"/>
        </w:rPr>
        <w:t xml:space="preserve">' </w:t>
      </w:r>
      <w:r w:rsidR="00CC0A59" w:rsidRPr="00882F11">
        <w:rPr>
          <w:rFonts w:cs="Guttman Drogolin" w:hint="cs"/>
          <w:rtl/>
          <w:lang w:bidi="he-IL"/>
        </w:rPr>
        <w:t>מיירי</w:t>
      </w:r>
      <w:r w:rsidR="00CC0A59" w:rsidRPr="00882F11">
        <w:rPr>
          <w:rFonts w:cs="Guttman Drogolin"/>
          <w:rtl/>
          <w:lang w:bidi="he-IL"/>
        </w:rPr>
        <w:t xml:space="preserve"> </w:t>
      </w:r>
      <w:r w:rsidR="00CC0A59" w:rsidRPr="00882F11">
        <w:rPr>
          <w:rFonts w:cs="Guttman Drogolin" w:hint="cs"/>
          <w:rtl/>
          <w:lang w:bidi="he-IL"/>
        </w:rPr>
        <w:t>במקרה,</w:t>
      </w:r>
      <w:r w:rsidR="00CC0A59" w:rsidRPr="00882F11">
        <w:rPr>
          <w:rFonts w:cs="Guttman Drogolin"/>
          <w:rtl/>
          <w:lang w:bidi="he-IL"/>
        </w:rPr>
        <w:t xml:space="preserve"> </w:t>
      </w:r>
      <w:r w:rsidR="00CC0A59" w:rsidRPr="00882F11">
        <w:rPr>
          <w:rFonts w:cs="Guttman Drogolin" w:hint="cs"/>
          <w:rtl/>
          <w:lang w:bidi="he-IL"/>
        </w:rPr>
        <w:t>ב</w:t>
      </w:r>
      <w:r w:rsidR="00CC0A59" w:rsidRPr="00882F11">
        <w:rPr>
          <w:rFonts w:cs="Guttman Drogolin"/>
          <w:rtl/>
          <w:lang w:bidi="he-IL"/>
        </w:rPr>
        <w:t>)</w:t>
      </w:r>
      <w:r w:rsidR="00CC0A59" w:rsidRPr="00882F11">
        <w:rPr>
          <w:rFonts w:cs="Guttman Drogolin" w:hint="cs"/>
          <w:rtl/>
          <w:lang w:bidi="he-IL"/>
        </w:rPr>
        <w:t xml:space="preserve"> דלענין</w:t>
      </w:r>
      <w:r w:rsidR="00CC0A59" w:rsidRPr="00882F11">
        <w:rPr>
          <w:rFonts w:cs="Guttman Drogolin"/>
          <w:rtl/>
          <w:lang w:bidi="he-IL"/>
        </w:rPr>
        <w:t xml:space="preserve"> </w:t>
      </w:r>
      <w:r w:rsidR="00CC0A59" w:rsidRPr="00882F11">
        <w:rPr>
          <w:rFonts w:cs="Guttman Drogolin" w:hint="cs"/>
          <w:rtl/>
          <w:lang w:bidi="he-IL"/>
        </w:rPr>
        <w:t>ליבון</w:t>
      </w:r>
      <w:r w:rsidR="00CC0A59" w:rsidRPr="00882F11">
        <w:rPr>
          <w:rFonts w:cs="Guttman Drogolin"/>
          <w:rtl/>
          <w:lang w:bidi="he-IL"/>
        </w:rPr>
        <w:t xml:space="preserve"> </w:t>
      </w:r>
      <w:r w:rsidR="00CC0A59" w:rsidRPr="00882F11">
        <w:rPr>
          <w:rFonts w:cs="Guttman Drogolin" w:hint="cs"/>
          <w:rtl/>
          <w:lang w:bidi="he-IL"/>
        </w:rPr>
        <w:t>והגעלה</w:t>
      </w:r>
      <w:r w:rsidR="00CC0A59" w:rsidRPr="00882F11">
        <w:rPr>
          <w:rFonts w:cs="Guttman Drogolin"/>
          <w:rtl/>
          <w:lang w:bidi="he-IL"/>
        </w:rPr>
        <w:t xml:space="preserve"> </w:t>
      </w:r>
      <w:r w:rsidR="00CC0A59" w:rsidRPr="00882F11">
        <w:rPr>
          <w:rFonts w:cs="Guttman Drogolin" w:hint="cs"/>
          <w:rtl/>
          <w:lang w:bidi="he-IL"/>
        </w:rPr>
        <w:t>חיישינו</w:t>
      </w:r>
      <w:r w:rsidR="00CC0A59" w:rsidRPr="00882F11">
        <w:rPr>
          <w:rFonts w:cs="Guttman Drogolin"/>
          <w:rtl/>
          <w:lang w:bidi="he-IL"/>
        </w:rPr>
        <w:t xml:space="preserve"> </w:t>
      </w:r>
      <w:r w:rsidR="00CC0A59" w:rsidRPr="00882F11">
        <w:rPr>
          <w:rFonts w:cs="Guttman Drogolin" w:hint="cs"/>
          <w:rtl/>
          <w:lang w:bidi="he-IL"/>
        </w:rPr>
        <w:t>לכתחילה,</w:t>
      </w:r>
      <w:r w:rsidR="00CC0A59" w:rsidRPr="00882F11">
        <w:rPr>
          <w:rFonts w:cs="Guttman Drogolin"/>
          <w:rtl/>
          <w:lang w:bidi="he-IL"/>
        </w:rPr>
        <w:t xml:space="preserve"> </w:t>
      </w:r>
      <w:r w:rsidR="00CC0A59" w:rsidRPr="00882F11">
        <w:rPr>
          <w:rFonts w:cs="Guttman Drogolin" w:hint="cs"/>
          <w:rtl/>
          <w:lang w:bidi="he-IL"/>
        </w:rPr>
        <w:t>ג</w:t>
      </w:r>
      <w:r w:rsidR="00CC0A59" w:rsidRPr="00882F11">
        <w:rPr>
          <w:rFonts w:cs="Guttman Drogolin"/>
          <w:rtl/>
          <w:lang w:bidi="he-IL"/>
        </w:rPr>
        <w:t xml:space="preserve">) </w:t>
      </w:r>
      <w:r w:rsidR="00CC0A59" w:rsidRPr="00882F11">
        <w:rPr>
          <w:rFonts w:cs="Guttman Drogolin" w:hint="cs"/>
          <w:rtl/>
          <w:lang w:bidi="he-IL"/>
        </w:rPr>
        <w:t>אע</w:t>
      </w:r>
      <w:r w:rsidR="00CC0A59" w:rsidRPr="00882F11">
        <w:rPr>
          <w:rFonts w:cs="Guttman Drogolin"/>
          <w:rtl/>
          <w:lang w:bidi="he-IL"/>
        </w:rPr>
        <w:t>"</w:t>
      </w:r>
      <w:r w:rsidR="00CC0A59" w:rsidRPr="00882F11">
        <w:rPr>
          <w:rFonts w:cs="Guttman Drogolin" w:hint="cs"/>
          <w:rtl/>
          <w:lang w:bidi="he-IL"/>
        </w:rPr>
        <w:t>ג</w:t>
      </w:r>
      <w:r w:rsidR="00CC0A59" w:rsidRPr="00882F11">
        <w:rPr>
          <w:rFonts w:cs="Guttman Drogolin"/>
          <w:rtl/>
          <w:lang w:bidi="he-IL"/>
        </w:rPr>
        <w:t xml:space="preserve"> </w:t>
      </w:r>
      <w:r w:rsidR="00CC0A59" w:rsidRPr="00882F11">
        <w:rPr>
          <w:rFonts w:cs="Guttman Drogolin" w:hint="cs"/>
          <w:rtl/>
          <w:lang w:bidi="he-IL"/>
        </w:rPr>
        <w:t>שאין</w:t>
      </w:r>
      <w:r w:rsidR="00CC0A59" w:rsidRPr="00882F11">
        <w:rPr>
          <w:rFonts w:cs="Guttman Drogolin"/>
          <w:rtl/>
          <w:lang w:bidi="he-IL"/>
        </w:rPr>
        <w:t xml:space="preserve"> </w:t>
      </w:r>
      <w:r w:rsidR="00CC0A59" w:rsidRPr="00882F11">
        <w:rPr>
          <w:rFonts w:cs="Guttman Drogolin" w:hint="cs"/>
          <w:rtl/>
          <w:lang w:bidi="he-IL"/>
        </w:rPr>
        <w:t>כ</w:t>
      </w:r>
      <w:r w:rsidR="00CC0A59" w:rsidRPr="00882F11">
        <w:rPr>
          <w:rFonts w:cs="Guttman Drogolin"/>
          <w:rtl/>
          <w:lang w:bidi="he-IL"/>
        </w:rPr>
        <w:t>"</w:t>
      </w:r>
      <w:r w:rsidR="00CC0A59" w:rsidRPr="00882F11">
        <w:rPr>
          <w:rFonts w:cs="Guttman Drogolin" w:hint="cs"/>
          <w:rtl/>
          <w:lang w:bidi="he-IL"/>
        </w:rPr>
        <w:t>כ</w:t>
      </w:r>
      <w:r w:rsidR="00CC0A59" w:rsidRPr="00882F11">
        <w:rPr>
          <w:rFonts w:cs="Guttman Drogolin"/>
          <w:rtl/>
          <w:lang w:bidi="he-IL"/>
        </w:rPr>
        <w:t xml:space="preserve"> </w:t>
      </w:r>
      <w:r w:rsidR="00CC0A59" w:rsidRPr="00882F11">
        <w:rPr>
          <w:rFonts w:cs="Guttman Drogolin" w:hint="cs"/>
          <w:rtl/>
          <w:lang w:bidi="he-IL"/>
        </w:rPr>
        <w:t>זיעה</w:t>
      </w:r>
      <w:r w:rsidR="00CC0A59" w:rsidRPr="00882F11">
        <w:rPr>
          <w:rFonts w:cs="Guttman Drogolin"/>
          <w:rtl/>
          <w:lang w:bidi="he-IL"/>
        </w:rPr>
        <w:t xml:space="preserve"> </w:t>
      </w:r>
      <w:r w:rsidR="00CC0A59" w:rsidRPr="00882F11">
        <w:rPr>
          <w:rFonts w:cs="Guttman Drogolin" w:hint="cs"/>
          <w:rtl/>
          <w:lang w:bidi="he-IL"/>
        </w:rPr>
        <w:t>מ</w:t>
      </w:r>
      <w:r w:rsidR="00CC0A59" w:rsidRPr="00882F11">
        <w:rPr>
          <w:rFonts w:cs="Guttman Drogolin"/>
          <w:rtl/>
          <w:lang w:bidi="he-IL"/>
        </w:rPr>
        <w:t>"</w:t>
      </w:r>
      <w:r w:rsidR="00CC0A59" w:rsidRPr="00882F11">
        <w:rPr>
          <w:rFonts w:cs="Guttman Drogolin" w:hint="cs"/>
          <w:rtl/>
          <w:lang w:bidi="he-IL"/>
        </w:rPr>
        <w:t>מ</w:t>
      </w:r>
      <w:r w:rsidR="00CC0A59" w:rsidRPr="00882F11">
        <w:rPr>
          <w:rFonts w:cs="Guttman Drogolin"/>
          <w:rtl/>
          <w:lang w:bidi="he-IL"/>
        </w:rPr>
        <w:t xml:space="preserve"> </w:t>
      </w:r>
      <w:r w:rsidR="00CC0A59" w:rsidRPr="00882F11">
        <w:rPr>
          <w:rFonts w:cs="Guttman Drogolin" w:hint="cs"/>
          <w:rtl/>
          <w:lang w:bidi="he-IL"/>
        </w:rPr>
        <w:t>אסור</w:t>
      </w:r>
      <w:r w:rsidR="00CC0A59" w:rsidRPr="00882F11">
        <w:rPr>
          <w:rFonts w:cs="Guttman Drogolin"/>
          <w:rtl/>
          <w:lang w:bidi="he-IL"/>
        </w:rPr>
        <w:t xml:space="preserve"> </w:t>
      </w:r>
      <w:r w:rsidR="00CC0A59" w:rsidRPr="00882F11">
        <w:rPr>
          <w:rFonts w:cs="Guttman Drogolin" w:hint="cs"/>
          <w:rtl/>
          <w:lang w:bidi="he-IL"/>
        </w:rPr>
        <w:t>בחמץ</w:t>
      </w:r>
      <w:r w:rsidR="00CC0A59" w:rsidRPr="00882F11">
        <w:rPr>
          <w:rFonts w:cs="Guttman Drogolin"/>
          <w:rtl/>
          <w:lang w:bidi="he-IL"/>
        </w:rPr>
        <w:t xml:space="preserve"> </w:t>
      </w:r>
      <w:r w:rsidR="00CC0A59" w:rsidRPr="00882F11">
        <w:rPr>
          <w:rFonts w:cs="Guttman Drogolin" w:hint="cs"/>
          <w:rtl/>
          <w:lang w:bidi="he-IL"/>
        </w:rPr>
        <w:t>בפסח</w:t>
      </w:r>
      <w:r w:rsidR="00CC0A59" w:rsidRPr="00882F11">
        <w:rPr>
          <w:rFonts w:cs="Guttman Drogolin"/>
          <w:rtl/>
          <w:lang w:bidi="he-IL"/>
        </w:rPr>
        <w:t xml:space="preserve"> </w:t>
      </w:r>
      <w:r w:rsidR="00CC0A59" w:rsidRPr="00882F11">
        <w:rPr>
          <w:rFonts w:cs="Guttman Drogolin" w:hint="cs"/>
          <w:rtl/>
          <w:lang w:bidi="he-IL"/>
        </w:rPr>
        <w:t>שאוסר</w:t>
      </w:r>
      <w:r w:rsidR="00CC0A59" w:rsidRPr="00882F11">
        <w:rPr>
          <w:rFonts w:cs="Guttman Drogolin"/>
          <w:rtl/>
          <w:lang w:bidi="he-IL"/>
        </w:rPr>
        <w:t xml:space="preserve"> </w:t>
      </w:r>
      <w:r w:rsidR="00CC0A59" w:rsidRPr="00882F11">
        <w:rPr>
          <w:rFonts w:cs="Guttman Drogolin" w:hint="cs"/>
          <w:rtl/>
          <w:lang w:bidi="he-IL"/>
        </w:rPr>
        <w:t>במשהו</w:t>
      </w:r>
      <w:r w:rsidR="00252BBA" w:rsidRPr="00882F11">
        <w:rPr>
          <w:rStyle w:val="FootnoteReference"/>
          <w:rFonts w:cs="Guttman Drogolin"/>
          <w:rtl/>
          <w:lang w:bidi="he-IL"/>
        </w:rPr>
        <w:footnoteReference w:id="137"/>
      </w:r>
      <w:r w:rsidR="00CC0A59" w:rsidRPr="00882F11">
        <w:rPr>
          <w:rFonts w:cs="Guttman Drogolin"/>
          <w:rtl/>
          <w:lang w:bidi="he-IL"/>
        </w:rPr>
        <w:t xml:space="preserve">.     </w:t>
      </w:r>
      <w:r w:rsidR="00CC0A59" w:rsidRPr="00882F11">
        <w:rPr>
          <w:rFonts w:cs="Guttman Drogolin" w:hint="cs"/>
          <w:rtl/>
          <w:lang w:bidi="he-IL"/>
        </w:rPr>
        <w:t xml:space="preserve">  </w:t>
      </w:r>
      <w:r w:rsidRPr="00882F11">
        <w:rPr>
          <w:rFonts w:cs="Guttman Drogolin" w:hint="cs"/>
          <w:rtl/>
          <w:lang w:bidi="he-IL"/>
        </w:rPr>
        <w:t xml:space="preserve">  </w:t>
      </w:r>
      <w:r w:rsidR="004839BB" w:rsidRPr="00882F11">
        <w:rPr>
          <w:rFonts w:cs="Guttman Drogolin" w:hint="cs"/>
          <w:rtl/>
          <w:lang w:bidi="he-IL"/>
        </w:rPr>
        <w:t xml:space="preserve">     </w:t>
      </w:r>
    </w:p>
    <w:p w:rsidR="00CC0A59" w:rsidRPr="00882F11" w:rsidRDefault="00CC0A59" w:rsidP="00CC0A59">
      <w:pPr>
        <w:keepNext/>
        <w:keepLines/>
        <w:bidi/>
        <w:spacing w:after="0" w:line="360" w:lineRule="auto"/>
        <w:jc w:val="center"/>
        <w:outlineLvl w:val="0"/>
        <w:rPr>
          <w:rFonts w:asciiTheme="majorHAnsi" w:eastAsiaTheme="majorEastAsia" w:hAnsiTheme="majorHAnsi" w:cs="Guttman Drogolin"/>
          <w:b/>
          <w:bCs/>
          <w:sz w:val="24"/>
          <w:szCs w:val="24"/>
          <w:u w:val="single"/>
          <w:rtl/>
        </w:rPr>
      </w:pPr>
      <w:bookmarkStart w:id="123" w:name="_Toc496175382"/>
      <w:r w:rsidRPr="00882F11">
        <w:rPr>
          <w:rFonts w:asciiTheme="majorHAnsi" w:eastAsiaTheme="majorEastAsia" w:hAnsiTheme="majorHAnsi" w:cs="Guttman Drogolin" w:hint="cs"/>
          <w:b/>
          <w:bCs/>
          <w:sz w:val="24"/>
          <w:szCs w:val="24"/>
          <w:u w:val="single"/>
          <w:rtl/>
          <w:lang w:bidi="he-IL"/>
        </w:rPr>
        <w:t>זיעה באוכלין</w:t>
      </w:r>
      <w:bookmarkEnd w:id="123"/>
    </w:p>
    <w:p w:rsidR="00622558" w:rsidRPr="00882F11" w:rsidRDefault="00195F83" w:rsidP="003C2E38">
      <w:pPr>
        <w:bidi/>
        <w:jc w:val="both"/>
        <w:rPr>
          <w:rFonts w:cs="Guttman Drogolin"/>
          <w:rtl/>
          <w:lang w:bidi="he-IL"/>
        </w:rPr>
      </w:pPr>
      <w:r>
        <w:rPr>
          <w:rFonts w:cs="Guttman Drogolin"/>
          <w:rtl/>
          <w:lang w:bidi="he-IL"/>
        </w:rPr>
        <w:fldChar w:fldCharType="begin"/>
      </w:r>
      <w:r>
        <w:instrText xml:space="preserve"> XE "</w:instrText>
      </w:r>
      <w:r w:rsidRPr="00EB029C">
        <w:rPr>
          <w:rFonts w:hint="cs"/>
          <w:rtl/>
          <w:lang w:bidi="he-IL"/>
        </w:rPr>
        <w:instrText>זיעה</w:instrText>
      </w:r>
      <w:r w:rsidRPr="00EB029C">
        <w:rPr>
          <w:rtl/>
        </w:rPr>
        <w:instrText>:</w:instrText>
      </w:r>
      <w:r w:rsidRPr="00EB029C">
        <w:rPr>
          <w:rFonts w:hint="cs"/>
          <w:rtl/>
          <w:lang w:bidi="he-IL"/>
        </w:rPr>
        <w:instrText>באוכלין</w:instrText>
      </w:r>
      <w:r>
        <w:instrText xml:space="preserve">" </w:instrText>
      </w:r>
      <w:r>
        <w:rPr>
          <w:rFonts w:cs="Guttman Drogolin"/>
          <w:rtl/>
          <w:lang w:bidi="he-IL"/>
        </w:rPr>
        <w:fldChar w:fldCharType="end"/>
      </w:r>
      <w:r w:rsidR="00CC0A59" w:rsidRPr="00882F11">
        <w:rPr>
          <w:rFonts w:cs="Guttman Drogolin" w:hint="cs"/>
          <w:rtl/>
          <w:lang w:bidi="he-IL"/>
        </w:rPr>
        <w:t xml:space="preserve">כתב הרמב"ם בפ"ז ה"ד מהלכות טומאת אוכלין </w:t>
      </w:r>
      <w:r w:rsidR="003C2E38" w:rsidRPr="00882F11">
        <w:rPr>
          <w:rFonts w:cs="Guttman Drogolin" w:hint="cs"/>
          <w:rtl/>
          <w:lang w:bidi="he-IL"/>
        </w:rPr>
        <w:t>"לפיכך</w:t>
      </w:r>
      <w:r w:rsidR="003C2E38" w:rsidRPr="00882F11">
        <w:rPr>
          <w:rFonts w:cs="Guttman Drogolin"/>
          <w:rtl/>
          <w:lang w:bidi="he-IL"/>
        </w:rPr>
        <w:t xml:space="preserve"> </w:t>
      </w:r>
      <w:r w:rsidR="003C2E38" w:rsidRPr="00882F11">
        <w:rPr>
          <w:rFonts w:cs="Guttman Drogolin" w:hint="cs"/>
          <w:rtl/>
          <w:lang w:bidi="he-IL"/>
        </w:rPr>
        <w:t>כל</w:t>
      </w:r>
      <w:r w:rsidR="003C2E38" w:rsidRPr="00882F11">
        <w:rPr>
          <w:rFonts w:cs="Guttman Drogolin"/>
          <w:rtl/>
          <w:lang w:bidi="he-IL"/>
        </w:rPr>
        <w:t xml:space="preserve"> </w:t>
      </w:r>
      <w:r w:rsidR="003C2E38" w:rsidRPr="00882F11">
        <w:rPr>
          <w:rFonts w:cs="Guttman Drogolin" w:hint="cs"/>
          <w:rtl/>
          <w:lang w:bidi="he-IL"/>
        </w:rPr>
        <w:t>האוכלין</w:t>
      </w:r>
      <w:r w:rsidR="003C2E38" w:rsidRPr="00882F11">
        <w:rPr>
          <w:rFonts w:cs="Guttman Drogolin"/>
          <w:rtl/>
          <w:lang w:bidi="he-IL"/>
        </w:rPr>
        <w:t xml:space="preserve"> </w:t>
      </w:r>
      <w:r w:rsidR="003C2E38" w:rsidRPr="00882F11">
        <w:rPr>
          <w:rFonts w:cs="Guttman Drogolin" w:hint="cs"/>
          <w:rtl/>
          <w:lang w:bidi="he-IL"/>
        </w:rPr>
        <w:t>אין</w:t>
      </w:r>
      <w:r w:rsidR="003C2E38" w:rsidRPr="00882F11">
        <w:rPr>
          <w:rFonts w:cs="Guttman Drogolin"/>
          <w:rtl/>
          <w:lang w:bidi="he-IL"/>
        </w:rPr>
        <w:t xml:space="preserve"> </w:t>
      </w:r>
      <w:r w:rsidR="003C2E38" w:rsidRPr="00882F11">
        <w:rPr>
          <w:rFonts w:cs="Guttman Drogolin" w:hint="cs"/>
          <w:rtl/>
          <w:lang w:bidi="he-IL"/>
        </w:rPr>
        <w:t>הניצוק</w:t>
      </w:r>
      <w:r w:rsidR="003C2E38" w:rsidRPr="00882F11">
        <w:rPr>
          <w:rFonts w:cs="Guttman Drogolin"/>
          <w:rtl/>
          <w:lang w:bidi="he-IL"/>
        </w:rPr>
        <w:t xml:space="preserve"> </w:t>
      </w:r>
      <w:r w:rsidR="003C2E38" w:rsidRPr="00882F11">
        <w:rPr>
          <w:rFonts w:cs="Guttman Drogolin" w:hint="cs"/>
          <w:rtl/>
          <w:lang w:bidi="he-IL"/>
        </w:rPr>
        <w:t>שלהן</w:t>
      </w:r>
      <w:r w:rsidR="003C2E38" w:rsidRPr="00882F11">
        <w:rPr>
          <w:rFonts w:cs="Guttman Drogolin"/>
          <w:rtl/>
          <w:lang w:bidi="he-IL"/>
        </w:rPr>
        <w:t xml:space="preserve"> </w:t>
      </w:r>
      <w:r w:rsidR="003C2E38" w:rsidRPr="00882F11">
        <w:rPr>
          <w:rFonts w:cs="Guttman Drogolin" w:hint="cs"/>
          <w:rtl/>
          <w:lang w:bidi="he-IL"/>
        </w:rPr>
        <w:t>חיבור</w:t>
      </w:r>
      <w:r w:rsidR="003C2E38" w:rsidRPr="00882F11">
        <w:rPr>
          <w:rFonts w:cs="Guttman Drogolin"/>
          <w:rtl/>
          <w:lang w:bidi="he-IL"/>
        </w:rPr>
        <w:t xml:space="preserve"> </w:t>
      </w:r>
      <w:r w:rsidR="003C2E38" w:rsidRPr="00882F11">
        <w:rPr>
          <w:rFonts w:cs="Guttman Drogolin" w:hint="cs"/>
          <w:rtl/>
          <w:lang w:bidi="he-IL"/>
        </w:rPr>
        <w:t>וכו'". וכתב ע"פ זה הפמ"ג (הנהגת</w:t>
      </w:r>
      <w:r w:rsidR="003C2E38" w:rsidRPr="00882F11">
        <w:rPr>
          <w:rFonts w:cs="Guttman Drogolin"/>
          <w:rtl/>
          <w:lang w:bidi="he-IL"/>
        </w:rPr>
        <w:t xml:space="preserve"> </w:t>
      </w:r>
      <w:r w:rsidR="003C2E38" w:rsidRPr="00882F11">
        <w:rPr>
          <w:rFonts w:cs="Guttman Drogolin" w:hint="cs"/>
          <w:rtl/>
          <w:lang w:bidi="he-IL"/>
        </w:rPr>
        <w:t>הנשאל</w:t>
      </w:r>
      <w:r w:rsidR="003C2E38" w:rsidRPr="00882F11">
        <w:rPr>
          <w:rFonts w:cs="Guttman Drogolin"/>
          <w:rtl/>
          <w:lang w:bidi="he-IL"/>
        </w:rPr>
        <w:t xml:space="preserve"> </w:t>
      </w:r>
      <w:r w:rsidR="003C2E38" w:rsidRPr="00882F11">
        <w:rPr>
          <w:rFonts w:cs="Guttman Drogolin" w:hint="cs"/>
          <w:rtl/>
          <w:lang w:bidi="he-IL"/>
        </w:rPr>
        <w:t>עם</w:t>
      </w:r>
      <w:r w:rsidR="003C2E38" w:rsidRPr="00882F11">
        <w:rPr>
          <w:rFonts w:cs="Guttman Drogolin"/>
          <w:rtl/>
          <w:lang w:bidi="he-IL"/>
        </w:rPr>
        <w:t xml:space="preserve"> </w:t>
      </w:r>
      <w:r w:rsidR="003C2E38" w:rsidRPr="00882F11">
        <w:rPr>
          <w:rFonts w:cs="Guttman Drogolin" w:hint="cs"/>
          <w:rtl/>
          <w:lang w:bidi="he-IL"/>
        </w:rPr>
        <w:t>השואל</w:t>
      </w:r>
      <w:r w:rsidR="003C2E38" w:rsidRPr="00882F11">
        <w:rPr>
          <w:rFonts w:cs="Guttman Drogolin"/>
          <w:rtl/>
          <w:lang w:bidi="he-IL"/>
        </w:rPr>
        <w:t xml:space="preserve"> </w:t>
      </w:r>
      <w:r w:rsidR="003C2E38" w:rsidRPr="00882F11">
        <w:rPr>
          <w:rFonts w:cs="Guttman Drogolin" w:hint="cs"/>
          <w:rtl/>
          <w:lang w:bidi="he-IL"/>
        </w:rPr>
        <w:t>סדר</w:t>
      </w:r>
      <w:r w:rsidR="003C2E38" w:rsidRPr="00882F11">
        <w:rPr>
          <w:rFonts w:cs="Guttman Drogolin"/>
          <w:rtl/>
          <w:lang w:bidi="he-IL"/>
        </w:rPr>
        <w:t xml:space="preserve"> </w:t>
      </w:r>
      <w:r w:rsidR="003C2E38" w:rsidRPr="00882F11">
        <w:rPr>
          <w:rFonts w:cs="Guttman Drogolin" w:hint="cs"/>
          <w:rtl/>
          <w:lang w:bidi="he-IL"/>
        </w:rPr>
        <w:t>ב</w:t>
      </w:r>
      <w:r w:rsidR="003C2E38" w:rsidRPr="00882F11">
        <w:rPr>
          <w:rFonts w:cs="Guttman Drogolin"/>
          <w:rtl/>
          <w:lang w:bidi="he-IL"/>
        </w:rPr>
        <w:t xml:space="preserve">' </w:t>
      </w:r>
      <w:r w:rsidR="003C2E38" w:rsidRPr="00882F11">
        <w:rPr>
          <w:rFonts w:cs="Guttman Drogolin" w:hint="cs"/>
          <w:rtl/>
          <w:lang w:bidi="he-IL"/>
        </w:rPr>
        <w:t>אות</w:t>
      </w:r>
      <w:r w:rsidR="003C2E38" w:rsidRPr="00882F11">
        <w:rPr>
          <w:rFonts w:cs="Guttman Drogolin"/>
          <w:rtl/>
          <w:lang w:bidi="he-IL"/>
        </w:rPr>
        <w:t xml:space="preserve"> </w:t>
      </w:r>
      <w:r w:rsidR="003C2E38" w:rsidRPr="00882F11">
        <w:rPr>
          <w:rFonts w:cs="Guttman Drogolin" w:hint="cs"/>
          <w:rtl/>
          <w:lang w:bidi="he-IL"/>
        </w:rPr>
        <w:t>ל</w:t>
      </w:r>
      <w:r w:rsidR="003C2E38" w:rsidRPr="00882F11">
        <w:rPr>
          <w:rFonts w:cs="Guttman Drogolin"/>
          <w:rtl/>
          <w:lang w:bidi="he-IL"/>
        </w:rPr>
        <w:t>"</w:t>
      </w:r>
      <w:r w:rsidR="003C2E38" w:rsidRPr="00882F11">
        <w:rPr>
          <w:rFonts w:cs="Guttman Drogolin" w:hint="cs"/>
          <w:rtl/>
          <w:lang w:bidi="he-IL"/>
        </w:rPr>
        <w:t xml:space="preserve">ז) שאין לזיעה הבא מן האוכלין דינו של המאכל לאסור. </w:t>
      </w:r>
      <w:r w:rsidR="005E6AAD" w:rsidRPr="00882F11">
        <w:rPr>
          <w:rFonts w:cs="Guttman Drogolin" w:hint="cs"/>
          <w:rtl/>
          <w:lang w:bidi="he-IL"/>
        </w:rPr>
        <w:t xml:space="preserve">אמנם הרבה אחרונים דחו שאין כל משמעות כזה מלשון הרמב"ם, רק כוונת הרמב"ם דכיון שהוא זיעת אוכלין אין לו כח להכשיר כיון שאין לאוכלין עצמם כח להכשיר, אבל לעולם זיעת האולכין יש לה הכח לאסור באו"ה. ומ"מ ע"פ דברי הרמ"א והמנח"י הנ"ל חזינן דאע"ג שזיעת אוכלין אוסרת, מ"מ מסתמא לא חיישינן לזיעה אא"כ </w:t>
      </w:r>
      <w:r w:rsidR="00622558" w:rsidRPr="00882F11">
        <w:rPr>
          <w:rFonts w:cs="Guttman Drogolin" w:hint="cs"/>
          <w:rtl/>
          <w:lang w:bidi="he-IL"/>
        </w:rPr>
        <w:t xml:space="preserve">הוא פסח או שמשתמשין בה בשאר ימות השנה או לענין הכשר לכתחילה. </w:t>
      </w:r>
    </w:p>
    <w:p w:rsidR="00622558" w:rsidRPr="00882F11" w:rsidRDefault="00622558" w:rsidP="00622558">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pPr>
      <w:bookmarkStart w:id="124" w:name="_Toc496175383"/>
      <w:r w:rsidRPr="00882F11">
        <w:rPr>
          <w:rFonts w:asciiTheme="majorHAnsi" w:eastAsiaTheme="majorEastAsia" w:hAnsiTheme="majorHAnsi" w:cs="Guttman Drogolin" w:hint="cs"/>
          <w:b/>
          <w:bCs/>
          <w:sz w:val="24"/>
          <w:szCs w:val="24"/>
          <w:u w:val="single"/>
          <w:rtl/>
          <w:lang w:bidi="he-IL"/>
        </w:rPr>
        <w:t>דוגמות מעשיות</w:t>
      </w:r>
      <w:bookmarkEnd w:id="124"/>
    </w:p>
    <w:p w:rsidR="00622558" w:rsidRPr="00882F11" w:rsidRDefault="00195F83" w:rsidP="00622558">
      <w:pPr>
        <w:keepNext/>
        <w:keepLines/>
        <w:bidi/>
        <w:spacing w:after="0" w:line="360" w:lineRule="auto"/>
        <w:jc w:val="both"/>
        <w:outlineLvl w:val="0"/>
        <w:rPr>
          <w:rFonts w:asciiTheme="majorHAnsi" w:eastAsiaTheme="majorEastAsia" w:hAnsiTheme="majorHAnsi" w:cs="Guttman Drogolin"/>
          <w:b/>
          <w:bCs/>
          <w:sz w:val="24"/>
          <w:szCs w:val="24"/>
          <w:u w:val="single"/>
          <w:rtl/>
        </w:rPr>
      </w:pPr>
      <w:r>
        <w:rPr>
          <w:rFonts w:cs="Guttman Drogolin"/>
          <w:rtl/>
          <w:lang w:bidi="he-IL"/>
        </w:rPr>
        <w:fldChar w:fldCharType="begin"/>
      </w:r>
      <w:r>
        <w:instrText xml:space="preserve"> XE "</w:instrText>
      </w:r>
      <w:r w:rsidRPr="00D65E5E">
        <w:rPr>
          <w:rFonts w:hint="cs"/>
          <w:rtl/>
          <w:lang w:bidi="he-IL"/>
        </w:rPr>
        <w:instrText>זיעה</w:instrText>
      </w:r>
      <w:r w:rsidRPr="00D65E5E">
        <w:rPr>
          <w:rtl/>
        </w:rPr>
        <w:instrText>:</w:instrText>
      </w:r>
      <w:r w:rsidRPr="00D65E5E">
        <w:rPr>
          <w:rFonts w:hint="cs"/>
          <w:rtl/>
          <w:lang w:bidi="he-IL"/>
        </w:rPr>
        <w:instrText>דוגמות מעשיות</w:instrText>
      </w:r>
      <w:r>
        <w:instrText xml:space="preserve">" </w:instrText>
      </w:r>
      <w:r>
        <w:rPr>
          <w:rFonts w:cs="Guttman Drogolin"/>
          <w:rtl/>
          <w:lang w:bidi="he-IL"/>
        </w:rPr>
        <w:fldChar w:fldCharType="end"/>
      </w:r>
      <w:bookmarkStart w:id="125" w:name="_Toc496175384"/>
      <w:r w:rsidR="00622558" w:rsidRPr="00882F11">
        <w:rPr>
          <w:rFonts w:cs="Guttman Drogolin" w:hint="cs"/>
          <w:rtl/>
          <w:lang w:bidi="he-IL"/>
        </w:rPr>
        <w:t>ואלו כמה דוגמות מעשיות שיש לדון בהם משום זיעה:</w:t>
      </w:r>
      <w:bookmarkEnd w:id="125"/>
    </w:p>
    <w:p w:rsidR="00B151C3" w:rsidRPr="00882F11" w:rsidRDefault="00622558" w:rsidP="00615FF2">
      <w:pPr>
        <w:pStyle w:val="ListParagraph"/>
        <w:numPr>
          <w:ilvl w:val="0"/>
          <w:numId w:val="7"/>
        </w:numPr>
        <w:bidi/>
        <w:ind w:left="13" w:firstLine="0"/>
        <w:jc w:val="both"/>
        <w:rPr>
          <w:rFonts w:cs="Guttman Drogolin"/>
          <w:lang w:bidi="he-IL"/>
        </w:rPr>
      </w:pPr>
      <w:r w:rsidRPr="00882F11">
        <w:rPr>
          <w:rFonts w:cs="Guttman Drogolin" w:hint="cs"/>
          <w:rtl/>
          <w:lang w:bidi="he-IL"/>
        </w:rPr>
        <w:t xml:space="preserve">לתבל תבשיל בשרי או חלבי מכלי שמאכסנים בה את התבלינים. יש </w:t>
      </w:r>
      <w:r w:rsidR="00B24F39" w:rsidRPr="00882F11">
        <w:rPr>
          <w:rFonts w:cs="Guttman Drogolin" w:hint="cs"/>
          <w:rtl/>
          <w:lang w:bidi="he-IL"/>
        </w:rPr>
        <w:t xml:space="preserve">לחוש שהזיעה נכנסת ולכן יש לו הדין של התבשיל שתיבל מעיקרא ושוב והא אסור לתבל תבשיל של אידך מין. ואפילו אם אין הזיעה יס"ב שהקיל בזה התרוה"ד, כתב הפמ"ג </w:t>
      </w:r>
      <w:r w:rsidR="00B151C3" w:rsidRPr="00882F11">
        <w:rPr>
          <w:rFonts w:cs="Guttman Drogolin" w:hint="cs"/>
          <w:rtl/>
          <w:lang w:bidi="he-IL"/>
        </w:rPr>
        <w:t>(הנהגות</w:t>
      </w:r>
      <w:r w:rsidR="00B151C3" w:rsidRPr="00882F11">
        <w:rPr>
          <w:rFonts w:cs="Guttman Drogolin"/>
          <w:rtl/>
          <w:lang w:bidi="he-IL"/>
        </w:rPr>
        <w:t xml:space="preserve"> </w:t>
      </w:r>
      <w:r w:rsidR="00B151C3" w:rsidRPr="00882F11">
        <w:rPr>
          <w:rFonts w:cs="Guttman Drogolin" w:hint="cs"/>
          <w:rtl/>
          <w:lang w:bidi="he-IL"/>
        </w:rPr>
        <w:t>הנשאל</w:t>
      </w:r>
      <w:r w:rsidR="00B151C3" w:rsidRPr="00882F11">
        <w:rPr>
          <w:rFonts w:cs="Guttman Drogolin"/>
          <w:rtl/>
          <w:lang w:bidi="he-IL"/>
        </w:rPr>
        <w:t xml:space="preserve"> </w:t>
      </w:r>
      <w:r w:rsidR="00B151C3" w:rsidRPr="00882F11">
        <w:rPr>
          <w:rFonts w:cs="Guttman Drogolin" w:hint="cs"/>
          <w:rtl/>
          <w:lang w:bidi="he-IL"/>
        </w:rPr>
        <w:t>עם</w:t>
      </w:r>
      <w:r w:rsidR="00B151C3" w:rsidRPr="00882F11">
        <w:rPr>
          <w:rFonts w:cs="Guttman Drogolin"/>
          <w:rtl/>
          <w:lang w:bidi="he-IL"/>
        </w:rPr>
        <w:t xml:space="preserve"> </w:t>
      </w:r>
      <w:r w:rsidR="00B151C3" w:rsidRPr="00882F11">
        <w:rPr>
          <w:rFonts w:cs="Guttman Drogolin" w:hint="cs"/>
          <w:rtl/>
          <w:lang w:bidi="he-IL"/>
        </w:rPr>
        <w:t>השואל</w:t>
      </w:r>
      <w:r w:rsidR="00B151C3" w:rsidRPr="00882F11">
        <w:rPr>
          <w:rFonts w:cs="Guttman Drogolin"/>
          <w:rtl/>
          <w:lang w:bidi="he-IL"/>
        </w:rPr>
        <w:t xml:space="preserve"> </w:t>
      </w:r>
      <w:r w:rsidR="00B151C3" w:rsidRPr="00882F11">
        <w:rPr>
          <w:rFonts w:cs="Guttman Drogolin" w:hint="cs"/>
          <w:rtl/>
          <w:lang w:bidi="he-IL"/>
        </w:rPr>
        <w:t>סדר</w:t>
      </w:r>
      <w:r w:rsidR="00B151C3" w:rsidRPr="00882F11">
        <w:rPr>
          <w:rFonts w:cs="Guttman Drogolin"/>
          <w:rtl/>
          <w:lang w:bidi="he-IL"/>
        </w:rPr>
        <w:t xml:space="preserve"> </w:t>
      </w:r>
      <w:r w:rsidR="00B151C3" w:rsidRPr="00882F11">
        <w:rPr>
          <w:rFonts w:cs="Guttman Drogolin" w:hint="cs"/>
          <w:rtl/>
          <w:lang w:bidi="he-IL"/>
        </w:rPr>
        <w:t>ב</w:t>
      </w:r>
      <w:r w:rsidR="00B151C3" w:rsidRPr="00882F11">
        <w:rPr>
          <w:rFonts w:cs="Guttman Drogolin"/>
          <w:rtl/>
          <w:lang w:bidi="he-IL"/>
        </w:rPr>
        <w:t xml:space="preserve">' </w:t>
      </w:r>
      <w:r w:rsidR="00B151C3" w:rsidRPr="00882F11">
        <w:rPr>
          <w:rFonts w:cs="Guttman Drogolin" w:hint="cs"/>
          <w:rtl/>
          <w:lang w:bidi="he-IL"/>
        </w:rPr>
        <w:t>אות</w:t>
      </w:r>
      <w:r w:rsidR="00B151C3" w:rsidRPr="00882F11">
        <w:rPr>
          <w:rFonts w:cs="Guttman Drogolin"/>
          <w:rtl/>
          <w:lang w:bidi="he-IL"/>
        </w:rPr>
        <w:t xml:space="preserve"> </w:t>
      </w:r>
      <w:r w:rsidR="00B151C3" w:rsidRPr="00882F11">
        <w:rPr>
          <w:rFonts w:cs="Guttman Drogolin" w:hint="cs"/>
          <w:rtl/>
          <w:lang w:bidi="he-IL"/>
        </w:rPr>
        <w:t>ל</w:t>
      </w:r>
      <w:r w:rsidR="00B151C3" w:rsidRPr="00882F11">
        <w:rPr>
          <w:rFonts w:cs="Guttman Drogolin"/>
          <w:rtl/>
          <w:lang w:bidi="he-IL"/>
        </w:rPr>
        <w:t>"</w:t>
      </w:r>
      <w:r w:rsidR="00B151C3" w:rsidRPr="00882F11">
        <w:rPr>
          <w:rFonts w:cs="Guttman Drogolin" w:hint="cs"/>
          <w:rtl/>
          <w:lang w:bidi="he-IL"/>
        </w:rPr>
        <w:t>ו) מ"מ צריכים הדחה.</w:t>
      </w:r>
    </w:p>
    <w:p w:rsidR="00B151C3" w:rsidRPr="00882F11" w:rsidRDefault="00B151C3" w:rsidP="00615FF2">
      <w:pPr>
        <w:pStyle w:val="ListParagraph"/>
        <w:numPr>
          <w:ilvl w:val="0"/>
          <w:numId w:val="7"/>
        </w:numPr>
        <w:bidi/>
        <w:ind w:left="13" w:firstLine="0"/>
        <w:jc w:val="both"/>
        <w:rPr>
          <w:rFonts w:cs="Guttman Drogolin"/>
          <w:lang w:bidi="he-IL"/>
        </w:rPr>
      </w:pPr>
      <w:r w:rsidRPr="00882F11">
        <w:rPr>
          <w:rFonts w:cs="Guttman Drogolin" w:hint="cs"/>
          <w:rtl/>
          <w:lang w:bidi="he-IL"/>
        </w:rPr>
        <w:t xml:space="preserve">לשפוך מקומקום לתוך כוס שיש בה חלב (כגון קפה, אפילו נשארו בתוך הכוס רק כמה טיפות) או לתוך </w:t>
      </w:r>
      <w:r w:rsidR="001B4565" w:rsidRPr="00882F11">
        <w:rPr>
          <w:rFonts w:cs="Guttman Drogolin" w:hint="cs"/>
          <w:rtl/>
          <w:lang w:bidi="he-IL"/>
        </w:rPr>
        <w:t>קדרה</w:t>
      </w:r>
      <w:r w:rsidR="00AC42CF" w:rsidRPr="00882F11">
        <w:rPr>
          <w:rFonts w:cs="Guttman Drogolin" w:hint="cs"/>
          <w:rtl/>
          <w:lang w:bidi="he-IL"/>
        </w:rPr>
        <w:t xml:space="preserve"> של טשולנ</w:t>
      </w:r>
      <w:r w:rsidRPr="00882F11">
        <w:rPr>
          <w:rFonts w:cs="Guttman Drogolin" w:hint="cs"/>
          <w:rtl/>
          <w:lang w:bidi="he-IL"/>
        </w:rPr>
        <w:t>ט בשרי. יש לחשוש בזה שהכלי העליון בלע הזיעה וא"כ יאסור תבשיל של אידך מין לאחר מכן.</w:t>
      </w:r>
    </w:p>
    <w:p w:rsidR="005A6847" w:rsidRPr="00882F11" w:rsidRDefault="001B4565" w:rsidP="00615FF2">
      <w:pPr>
        <w:pStyle w:val="ListParagraph"/>
        <w:numPr>
          <w:ilvl w:val="0"/>
          <w:numId w:val="7"/>
        </w:numPr>
        <w:bidi/>
        <w:ind w:left="13" w:firstLine="0"/>
        <w:jc w:val="both"/>
        <w:rPr>
          <w:rFonts w:cs="Guttman Drogolin"/>
          <w:lang w:bidi="he-IL"/>
        </w:rPr>
      </w:pPr>
      <w:r w:rsidRPr="00882F11">
        <w:rPr>
          <w:rFonts w:cs="Guttman Drogolin" w:hint="cs"/>
          <w:rtl/>
          <w:lang w:bidi="he-IL"/>
        </w:rPr>
        <w:t xml:space="preserve">לבשל ב' קדירות של ב' מינים א' ליד השני שאופן שזיעת א' מכה בצדי הקדרה השני' </w:t>
      </w:r>
      <w:r w:rsidRPr="00882F11">
        <w:rPr>
          <w:rFonts w:cs="Guttman Drogolin" w:hint="cs"/>
          <w:rtl/>
          <w:lang w:bidi="he-IL"/>
        </w:rPr>
        <w:lastRenderedPageBreak/>
        <w:t>ויתכן שאוסרו משום זיעה. ובזה לכאורה הי' נראה שאינו אוסר, כיון דהוי זיעה מן הצדדין ולכן הוי כמו בשר שחוטה ובשר נבילה לפי ב' הפירושים של הב"ח. וכ"ש שבנד"ד יש לצרף סברת הרא"ש דאולי חם לחם קיל טפי.</w:t>
      </w:r>
      <w:r w:rsidR="00701BE8" w:rsidRPr="00882F11">
        <w:rPr>
          <w:rFonts w:cs="Guttman Drogolin" w:hint="cs"/>
          <w:rtl/>
          <w:lang w:bidi="he-IL"/>
        </w:rPr>
        <w:t xml:space="preserve">  </w:t>
      </w:r>
    </w:p>
    <w:p w:rsidR="005A6847" w:rsidRPr="00882F11" w:rsidRDefault="005A6847" w:rsidP="005A6847">
      <w:pPr>
        <w:bidi/>
        <w:jc w:val="both"/>
        <w:rPr>
          <w:rFonts w:cs="Guttman Drogolin"/>
          <w:rtl/>
          <w:lang w:bidi="he-IL"/>
        </w:rPr>
        <w:sectPr w:rsidR="005A6847" w:rsidRPr="00882F11" w:rsidSect="00615FF2">
          <w:type w:val="continuous"/>
          <w:pgSz w:w="11907" w:h="16839" w:code="9"/>
          <w:pgMar w:top="1440" w:right="1440" w:bottom="1440" w:left="1440" w:header="720" w:footer="720" w:gutter="0"/>
          <w:cols w:num="2" w:space="720"/>
          <w:bidi/>
          <w:docGrid w:linePitch="360"/>
        </w:sectPr>
      </w:pPr>
    </w:p>
    <w:p w:rsidR="005A6847" w:rsidRPr="00882F11" w:rsidRDefault="005A6847" w:rsidP="005A6847">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ל"ג</w:t>
      </w:r>
    </w:p>
    <w:p w:rsidR="00615FF2" w:rsidRDefault="00615FF2" w:rsidP="0078079C">
      <w:pPr>
        <w:pStyle w:val="Heading1"/>
        <w:bidi/>
        <w:spacing w:before="0" w:line="360" w:lineRule="auto"/>
        <w:jc w:val="center"/>
        <w:rPr>
          <w:rFonts w:cs="Guttman Drogolin"/>
          <w:color w:val="auto"/>
          <w:sz w:val="24"/>
          <w:szCs w:val="24"/>
          <w:u w:val="single"/>
          <w:rtl/>
          <w:lang w:bidi="he-IL"/>
        </w:rPr>
        <w:sectPr w:rsidR="00615FF2" w:rsidSect="00615FF2">
          <w:headerReference w:type="default" r:id="rId29"/>
          <w:pgSz w:w="11907" w:h="16839" w:code="9"/>
          <w:pgMar w:top="1440" w:right="1440" w:bottom="1440" w:left="1440" w:header="720" w:footer="720" w:gutter="0"/>
          <w:cols w:space="720"/>
          <w:bidi/>
          <w:docGrid w:linePitch="360"/>
        </w:sectPr>
      </w:pPr>
    </w:p>
    <w:p w:rsidR="005A6847" w:rsidRPr="00882F11" w:rsidRDefault="005A6847" w:rsidP="0078079C">
      <w:pPr>
        <w:pStyle w:val="Heading1"/>
        <w:bidi/>
        <w:spacing w:before="0" w:line="360" w:lineRule="auto"/>
        <w:jc w:val="center"/>
        <w:rPr>
          <w:rFonts w:cs="Guttman Drogolin"/>
          <w:color w:val="auto"/>
          <w:sz w:val="24"/>
          <w:szCs w:val="24"/>
          <w:u w:val="single"/>
          <w:rtl/>
          <w:lang w:bidi="he-IL"/>
        </w:rPr>
      </w:pPr>
      <w:bookmarkStart w:id="126" w:name="_Toc496175385"/>
      <w:r w:rsidRPr="00882F11">
        <w:rPr>
          <w:rFonts w:cs="Guttman Drogolin" w:hint="cs"/>
          <w:color w:val="auto"/>
          <w:sz w:val="24"/>
          <w:szCs w:val="24"/>
          <w:u w:val="single"/>
          <w:rtl/>
          <w:lang w:bidi="he-IL"/>
        </w:rPr>
        <w:lastRenderedPageBreak/>
        <w:t>בענין השביח ולבסוף פגם</w:t>
      </w:r>
      <w:bookmarkEnd w:id="126"/>
    </w:p>
    <w:p w:rsidR="008F1FB7" w:rsidRPr="00882F11" w:rsidRDefault="00195F83" w:rsidP="00A97E5B">
      <w:pPr>
        <w:bidi/>
        <w:jc w:val="both"/>
        <w:rPr>
          <w:rFonts w:cs="Guttman Drogolin"/>
          <w:rtl/>
          <w:lang w:bidi="he-IL"/>
        </w:rPr>
      </w:pPr>
      <w:r>
        <w:rPr>
          <w:rFonts w:cs="Guttman Drogolin"/>
          <w:rtl/>
          <w:lang w:bidi="he-IL"/>
        </w:rPr>
        <w:fldChar w:fldCharType="begin"/>
      </w:r>
      <w:r>
        <w:instrText xml:space="preserve"> XE "</w:instrText>
      </w:r>
      <w:r w:rsidRPr="00B568A5">
        <w:rPr>
          <w:rFonts w:hint="cs"/>
          <w:rtl/>
          <w:lang w:bidi="he-IL"/>
        </w:rPr>
        <w:instrText>נותן טעם לפגם</w:instrText>
      </w:r>
      <w:r w:rsidRPr="00B568A5">
        <w:rPr>
          <w:rtl/>
        </w:rPr>
        <w:instrText>:</w:instrText>
      </w:r>
      <w:r w:rsidRPr="00B568A5">
        <w:rPr>
          <w:rFonts w:hint="cs"/>
          <w:rtl/>
          <w:lang w:bidi="he-IL"/>
        </w:rPr>
        <w:instrText>השביח ולבסוף פגם</w:instrText>
      </w:r>
      <w:r>
        <w:instrText xml:space="preserve">" </w:instrText>
      </w:r>
      <w:r>
        <w:rPr>
          <w:rFonts w:cs="Guttman Drogolin"/>
          <w:rtl/>
          <w:lang w:bidi="he-IL"/>
        </w:rPr>
        <w:fldChar w:fldCharType="end"/>
      </w:r>
      <w:r w:rsidR="005A6847" w:rsidRPr="00882F11">
        <w:rPr>
          <w:rFonts w:cs="Guttman Drogolin" w:hint="cs"/>
          <w:rtl/>
          <w:lang w:bidi="he-IL"/>
        </w:rPr>
        <w:t>בדף ס"ז ע"א, אחרי שפסקו שההלכה דנפל חומץ לתוך הגריסים מותר כיון שהוא נטל"פ, מביאה הגמ' הא דאמר</w:t>
      </w:r>
      <w:r w:rsidR="005A6847" w:rsidRPr="00882F11">
        <w:rPr>
          <w:rFonts w:cs="Guttman Drogolin"/>
          <w:rtl/>
          <w:lang w:bidi="he-IL"/>
        </w:rPr>
        <w:t xml:space="preserve"> </w:t>
      </w:r>
      <w:r w:rsidR="005A6847" w:rsidRPr="00882F11">
        <w:rPr>
          <w:rFonts w:cs="Guttman Drogolin" w:hint="cs"/>
          <w:rtl/>
          <w:lang w:bidi="he-IL"/>
        </w:rPr>
        <w:t>רב</w:t>
      </w:r>
      <w:r w:rsidR="005A6847" w:rsidRPr="00882F11">
        <w:rPr>
          <w:rFonts w:cs="Guttman Drogolin"/>
          <w:rtl/>
          <w:lang w:bidi="he-IL"/>
        </w:rPr>
        <w:t xml:space="preserve"> </w:t>
      </w:r>
      <w:r w:rsidR="005A6847" w:rsidRPr="00882F11">
        <w:rPr>
          <w:rFonts w:cs="Guttman Drogolin" w:hint="cs"/>
          <w:rtl/>
          <w:lang w:bidi="he-IL"/>
        </w:rPr>
        <w:t>יהודה</w:t>
      </w:r>
      <w:r w:rsidR="005A6847" w:rsidRPr="00882F11">
        <w:rPr>
          <w:rFonts w:cs="Guttman Drogolin"/>
          <w:rtl/>
          <w:lang w:bidi="he-IL"/>
        </w:rPr>
        <w:t xml:space="preserve"> </w:t>
      </w:r>
      <w:r w:rsidR="005A6847" w:rsidRPr="00882F11">
        <w:rPr>
          <w:rFonts w:cs="Guttman Drogolin" w:hint="cs"/>
          <w:rtl/>
          <w:lang w:bidi="he-IL"/>
        </w:rPr>
        <w:t>אמר</w:t>
      </w:r>
      <w:r w:rsidR="005A6847" w:rsidRPr="00882F11">
        <w:rPr>
          <w:rFonts w:cs="Guttman Drogolin"/>
          <w:rtl/>
          <w:lang w:bidi="he-IL"/>
        </w:rPr>
        <w:t xml:space="preserve"> </w:t>
      </w:r>
      <w:r w:rsidR="005A6847" w:rsidRPr="00882F11">
        <w:rPr>
          <w:rFonts w:cs="Guttman Drogolin" w:hint="cs"/>
          <w:rtl/>
          <w:lang w:bidi="he-IL"/>
        </w:rPr>
        <w:t>שמואל</w:t>
      </w:r>
      <w:r w:rsidR="005A6847" w:rsidRPr="00882F11">
        <w:rPr>
          <w:rFonts w:cs="Guttman Drogolin"/>
          <w:rtl/>
          <w:lang w:bidi="he-IL"/>
        </w:rPr>
        <w:t xml:space="preserve"> </w:t>
      </w:r>
      <w:r w:rsidR="005A6847" w:rsidRPr="00882F11">
        <w:rPr>
          <w:rFonts w:cs="Guttman Drogolin" w:hint="cs"/>
          <w:rtl/>
          <w:lang w:bidi="he-IL"/>
        </w:rPr>
        <w:t>לא</w:t>
      </w:r>
      <w:r w:rsidR="005A6847" w:rsidRPr="00882F11">
        <w:rPr>
          <w:rFonts w:cs="Guttman Drogolin"/>
          <w:rtl/>
          <w:lang w:bidi="he-IL"/>
        </w:rPr>
        <w:t xml:space="preserve"> </w:t>
      </w:r>
      <w:r w:rsidR="005A6847" w:rsidRPr="00882F11">
        <w:rPr>
          <w:rFonts w:cs="Guttman Drogolin" w:hint="cs"/>
          <w:rtl/>
          <w:lang w:bidi="he-IL"/>
        </w:rPr>
        <w:t>שנו שחומץ שבתוך הגריסים מותר</w:t>
      </w:r>
      <w:r w:rsidR="005A6847" w:rsidRPr="00882F11">
        <w:rPr>
          <w:rFonts w:cs="Guttman Drogolin"/>
          <w:rtl/>
          <w:lang w:bidi="he-IL"/>
        </w:rPr>
        <w:t xml:space="preserve"> </w:t>
      </w:r>
      <w:r w:rsidR="005A6847" w:rsidRPr="00882F11">
        <w:rPr>
          <w:rFonts w:cs="Guttman Drogolin" w:hint="cs"/>
          <w:rtl/>
          <w:lang w:bidi="he-IL"/>
        </w:rPr>
        <w:t>אלא</w:t>
      </w:r>
      <w:r w:rsidR="005A6847" w:rsidRPr="00882F11">
        <w:rPr>
          <w:rFonts w:cs="Guttman Drogolin"/>
          <w:rtl/>
          <w:lang w:bidi="he-IL"/>
        </w:rPr>
        <w:t xml:space="preserve"> </w:t>
      </w:r>
      <w:r w:rsidR="005A6847" w:rsidRPr="00882F11">
        <w:rPr>
          <w:rFonts w:cs="Guttman Drogolin" w:hint="cs"/>
          <w:rtl/>
          <w:lang w:bidi="he-IL"/>
        </w:rPr>
        <w:t>שנפל</w:t>
      </w:r>
      <w:r w:rsidR="005A6847" w:rsidRPr="00882F11">
        <w:rPr>
          <w:rFonts w:cs="Guttman Drogolin"/>
          <w:rtl/>
          <w:lang w:bidi="he-IL"/>
        </w:rPr>
        <w:t xml:space="preserve"> </w:t>
      </w:r>
      <w:r w:rsidR="005A6847" w:rsidRPr="00882F11">
        <w:rPr>
          <w:rFonts w:cs="Guttman Drogolin" w:hint="cs"/>
          <w:rtl/>
          <w:lang w:bidi="he-IL"/>
        </w:rPr>
        <w:t>לתוך</w:t>
      </w:r>
      <w:r w:rsidR="005A6847" w:rsidRPr="00882F11">
        <w:rPr>
          <w:rFonts w:cs="Guttman Drogolin"/>
          <w:rtl/>
          <w:lang w:bidi="he-IL"/>
        </w:rPr>
        <w:t xml:space="preserve"> </w:t>
      </w:r>
      <w:r w:rsidR="005A6847" w:rsidRPr="00882F11">
        <w:rPr>
          <w:rFonts w:cs="Guttman Drogolin" w:hint="cs"/>
          <w:rtl/>
          <w:lang w:bidi="he-IL"/>
        </w:rPr>
        <w:t>גריסין</w:t>
      </w:r>
      <w:r w:rsidR="005A6847" w:rsidRPr="00882F11">
        <w:rPr>
          <w:rFonts w:cs="Guttman Drogolin"/>
          <w:rtl/>
          <w:lang w:bidi="he-IL"/>
        </w:rPr>
        <w:t xml:space="preserve"> </w:t>
      </w:r>
      <w:r w:rsidR="005A6847" w:rsidRPr="00882F11">
        <w:rPr>
          <w:rFonts w:cs="Guttman Drogolin" w:hint="cs"/>
          <w:rtl/>
          <w:lang w:bidi="he-IL"/>
        </w:rPr>
        <w:t>רותחין</w:t>
      </w:r>
      <w:r w:rsidR="005A6847" w:rsidRPr="00882F11">
        <w:rPr>
          <w:rFonts w:cs="Guttman Drogolin"/>
          <w:rtl/>
          <w:lang w:bidi="he-IL"/>
        </w:rPr>
        <w:t xml:space="preserve"> </w:t>
      </w:r>
      <w:r w:rsidR="005A6847" w:rsidRPr="00882F11">
        <w:rPr>
          <w:rFonts w:cs="Guttman Drogolin" w:hint="cs"/>
          <w:rtl/>
          <w:lang w:bidi="he-IL"/>
        </w:rPr>
        <w:t>אבל</w:t>
      </w:r>
      <w:r w:rsidR="005A6847" w:rsidRPr="00882F11">
        <w:rPr>
          <w:rFonts w:cs="Guttman Drogolin"/>
          <w:rtl/>
          <w:lang w:bidi="he-IL"/>
        </w:rPr>
        <w:t xml:space="preserve"> </w:t>
      </w:r>
      <w:r w:rsidR="005A6847" w:rsidRPr="00882F11">
        <w:rPr>
          <w:rFonts w:cs="Guttman Drogolin" w:hint="cs"/>
          <w:rtl/>
          <w:lang w:bidi="he-IL"/>
        </w:rPr>
        <w:t>נפל</w:t>
      </w:r>
      <w:r w:rsidR="005A6847" w:rsidRPr="00882F11">
        <w:rPr>
          <w:rFonts w:cs="Guttman Drogolin"/>
          <w:rtl/>
          <w:lang w:bidi="he-IL"/>
        </w:rPr>
        <w:t xml:space="preserve"> </w:t>
      </w:r>
      <w:r w:rsidR="005A6847" w:rsidRPr="00882F11">
        <w:rPr>
          <w:rFonts w:cs="Guttman Drogolin" w:hint="cs"/>
          <w:rtl/>
          <w:lang w:bidi="he-IL"/>
        </w:rPr>
        <w:t>לתוך</w:t>
      </w:r>
      <w:r w:rsidR="005A6847" w:rsidRPr="00882F11">
        <w:rPr>
          <w:rFonts w:cs="Guttman Drogolin"/>
          <w:rtl/>
          <w:lang w:bidi="he-IL"/>
        </w:rPr>
        <w:t xml:space="preserve"> </w:t>
      </w:r>
      <w:r w:rsidR="005A6847" w:rsidRPr="00882F11">
        <w:rPr>
          <w:rFonts w:cs="Guttman Drogolin" w:hint="cs"/>
          <w:rtl/>
          <w:lang w:bidi="he-IL"/>
        </w:rPr>
        <w:t>גריסין</w:t>
      </w:r>
      <w:r w:rsidR="005A6847" w:rsidRPr="00882F11">
        <w:rPr>
          <w:rFonts w:cs="Guttman Drogolin"/>
          <w:rtl/>
          <w:lang w:bidi="he-IL"/>
        </w:rPr>
        <w:t xml:space="preserve"> </w:t>
      </w:r>
      <w:r w:rsidR="005A6847" w:rsidRPr="00882F11">
        <w:rPr>
          <w:rFonts w:cs="Guttman Drogolin" w:hint="cs"/>
          <w:rtl/>
          <w:lang w:bidi="he-IL"/>
        </w:rPr>
        <w:t>צוננין</w:t>
      </w:r>
      <w:r w:rsidR="005A6847" w:rsidRPr="00882F11">
        <w:rPr>
          <w:rFonts w:cs="Guttman Drogolin"/>
          <w:rtl/>
          <w:lang w:bidi="he-IL"/>
        </w:rPr>
        <w:t xml:space="preserve"> </w:t>
      </w:r>
      <w:r w:rsidR="005A6847" w:rsidRPr="00882F11">
        <w:rPr>
          <w:rFonts w:cs="Guttman Drogolin" w:hint="cs"/>
          <w:rtl/>
          <w:lang w:bidi="he-IL"/>
        </w:rPr>
        <w:t>והרתיחן</w:t>
      </w:r>
      <w:r w:rsidR="005A6847" w:rsidRPr="00882F11">
        <w:rPr>
          <w:rFonts w:cs="Guttman Drogolin"/>
          <w:rtl/>
          <w:lang w:bidi="he-IL"/>
        </w:rPr>
        <w:t xml:space="preserve"> </w:t>
      </w:r>
      <w:r w:rsidR="005A6847" w:rsidRPr="00882F11">
        <w:rPr>
          <w:rFonts w:cs="Guttman Drogolin" w:hint="cs"/>
          <w:rtl/>
          <w:lang w:bidi="he-IL"/>
        </w:rPr>
        <w:t>נעשה</w:t>
      </w:r>
      <w:r w:rsidR="005A6847" w:rsidRPr="00882F11">
        <w:rPr>
          <w:rFonts w:cs="Guttman Drogolin"/>
          <w:rtl/>
          <w:lang w:bidi="he-IL"/>
        </w:rPr>
        <w:t xml:space="preserve"> </w:t>
      </w:r>
      <w:r w:rsidR="005A6847" w:rsidRPr="00882F11">
        <w:rPr>
          <w:rFonts w:cs="Guttman Drogolin" w:hint="cs"/>
          <w:rtl/>
          <w:lang w:bidi="he-IL"/>
        </w:rPr>
        <w:t>כמי</w:t>
      </w:r>
      <w:r w:rsidR="005A6847" w:rsidRPr="00882F11">
        <w:rPr>
          <w:rFonts w:cs="Guttman Drogolin"/>
          <w:rtl/>
          <w:lang w:bidi="he-IL"/>
        </w:rPr>
        <w:t xml:space="preserve"> </w:t>
      </w:r>
      <w:r w:rsidR="005A6847" w:rsidRPr="00882F11">
        <w:rPr>
          <w:rFonts w:cs="Guttman Drogolin" w:hint="cs"/>
          <w:rtl/>
          <w:lang w:bidi="he-IL"/>
        </w:rPr>
        <w:t>שהשביח</w:t>
      </w:r>
      <w:r w:rsidR="005A6847" w:rsidRPr="00882F11">
        <w:rPr>
          <w:rFonts w:cs="Guttman Drogolin"/>
          <w:rtl/>
          <w:lang w:bidi="he-IL"/>
        </w:rPr>
        <w:t xml:space="preserve"> </w:t>
      </w:r>
      <w:r w:rsidR="005A6847" w:rsidRPr="00882F11">
        <w:rPr>
          <w:rFonts w:cs="Guttman Drogolin" w:hint="cs"/>
          <w:rtl/>
          <w:lang w:bidi="he-IL"/>
        </w:rPr>
        <w:t>ולבסוף</w:t>
      </w:r>
      <w:r w:rsidR="005A6847" w:rsidRPr="00882F11">
        <w:rPr>
          <w:rFonts w:cs="Guttman Drogolin"/>
          <w:rtl/>
          <w:lang w:bidi="he-IL"/>
        </w:rPr>
        <w:t xml:space="preserve"> </w:t>
      </w:r>
      <w:r w:rsidR="005A6847" w:rsidRPr="00882F11">
        <w:rPr>
          <w:rFonts w:cs="Guttman Drogolin" w:hint="cs"/>
          <w:rtl/>
          <w:lang w:bidi="he-IL"/>
        </w:rPr>
        <w:t>פגם</w:t>
      </w:r>
      <w:r w:rsidR="005A6847" w:rsidRPr="00882F11">
        <w:rPr>
          <w:rFonts w:cs="Guttman Drogolin"/>
          <w:rtl/>
          <w:lang w:bidi="he-IL"/>
        </w:rPr>
        <w:t xml:space="preserve"> </w:t>
      </w:r>
      <w:r w:rsidR="005A6847" w:rsidRPr="00882F11">
        <w:rPr>
          <w:rFonts w:cs="Guttman Drogolin" w:hint="cs"/>
          <w:rtl/>
          <w:lang w:bidi="he-IL"/>
        </w:rPr>
        <w:t>ואסור. ואינו מבואר בהדיא בגמ' הטעם לאסור השביח ולבסוף פגם. ובחי' הר"ן לקמן בדף ס"ח ע"א איתא הטעם לאסור משום שחתיכה עצמה נעשית נבלה, דהא בזמן שהי' לשבח ה</w:t>
      </w:r>
      <w:r w:rsidR="003E17FD" w:rsidRPr="00882F11">
        <w:rPr>
          <w:rFonts w:cs="Guttman Drogolin" w:hint="cs"/>
          <w:rtl/>
          <w:lang w:bidi="he-IL"/>
        </w:rPr>
        <w:t>רי אסר כל התבשיל ונע"נ, ולכן אע"פ שלאחר מכן הטעם איסור הוא לפגם, מ"מ כבר נאסר התבשיל ותו לא פקע האיסור. אלא דלכאורה אי אפשר לומר שזהו הטעם שהשביח ולבסוף פגם אסור</w:t>
      </w:r>
      <w:r w:rsidR="00A97E5B" w:rsidRPr="00882F11">
        <w:rPr>
          <w:rFonts w:cs="Guttman Drogolin" w:hint="cs"/>
          <w:rtl/>
          <w:lang w:bidi="he-IL"/>
        </w:rPr>
        <w:t xml:space="preserve"> לכל הראשונים</w:t>
      </w:r>
      <w:r w:rsidR="003E17FD" w:rsidRPr="00882F11">
        <w:rPr>
          <w:rFonts w:cs="Guttman Drogolin" w:hint="cs"/>
          <w:rtl/>
          <w:lang w:bidi="he-IL"/>
        </w:rPr>
        <w:t xml:space="preserve">, דהא לשיטת ר' אפרים אי אפשר לומר כן, דהא רבינו אפרים סבר שלא אמרינן חענ"ן בשאר איסורים. זאת ועוד שהרי סתמו שאר </w:t>
      </w:r>
      <w:r w:rsidR="0003044A" w:rsidRPr="00882F11">
        <w:rPr>
          <w:rFonts w:cs="Guttman Drogolin" w:hint="cs"/>
          <w:rtl/>
          <w:lang w:bidi="he-IL"/>
        </w:rPr>
        <w:t xml:space="preserve">הראשונים מלפרש שהוא ע"פ הכלל הזה. </w:t>
      </w:r>
      <w:r w:rsidR="005875DC" w:rsidRPr="00882F11">
        <w:rPr>
          <w:rFonts w:cs="Guttman Drogolin" w:hint="cs"/>
          <w:rtl/>
          <w:lang w:bidi="he-IL"/>
        </w:rPr>
        <w:t>ועוד שהרי הא ניחא לשיטת הר"ן עצמו שבין בחענ"ן בבב"ח ובין בחענ"ן בשאר איסורים אמרינן שהנאסר אוסר, אבל לשאר הראשונים שסוברים שא</w:t>
      </w:r>
      <w:r w:rsidR="00A97E5B" w:rsidRPr="00882F11">
        <w:rPr>
          <w:rFonts w:cs="Guttman Drogolin" w:hint="cs"/>
          <w:rtl/>
          <w:lang w:bidi="he-IL"/>
        </w:rPr>
        <w:t xml:space="preserve">ין הנאסר אוסר שמקום שאין האוסרו יכול לאסור, הא כאן האוסר נעשה לפגם. </w:t>
      </w:r>
      <w:r w:rsidR="0003044A" w:rsidRPr="00882F11">
        <w:rPr>
          <w:rFonts w:cs="Guttman Drogolin" w:hint="cs"/>
          <w:rtl/>
          <w:lang w:bidi="he-IL"/>
        </w:rPr>
        <w:t>ועוד שאפילו אם אמרינן חענ"ן בשאר איסורים, הא כבר ביארנו שיש מחלוקת הראשונים בטעמו של דבר, שלשיטת הר"ן הוא גזירה אטו בב"ח, אבל הבאנו</w:t>
      </w:r>
      <w:r w:rsidR="0003044A" w:rsidRPr="00882F11">
        <w:rPr>
          <w:rStyle w:val="FootnoteReference"/>
          <w:rFonts w:cs="Guttman Drogolin"/>
          <w:rtl/>
          <w:lang w:bidi="he-IL"/>
        </w:rPr>
        <w:footnoteReference w:id="138"/>
      </w:r>
      <w:r w:rsidR="0003044A" w:rsidRPr="00882F11">
        <w:rPr>
          <w:rFonts w:cs="Guttman Drogolin" w:hint="cs"/>
          <w:rtl/>
          <w:lang w:bidi="he-IL"/>
        </w:rPr>
        <w:t xml:space="preserve"> שמן היראים ועוד ראשונים מבואר</w:t>
      </w:r>
      <w:r w:rsidR="008F1FB7" w:rsidRPr="00882F11">
        <w:rPr>
          <w:rFonts w:cs="Guttman Drogolin" w:hint="cs"/>
          <w:rtl/>
          <w:lang w:bidi="he-IL"/>
        </w:rPr>
        <w:t xml:space="preserve"> שהטעם משום</w:t>
      </w:r>
      <w:r w:rsidR="008F1FB7" w:rsidRPr="00882F11">
        <w:rPr>
          <w:rFonts w:cs="Guttman Drogolin"/>
          <w:rtl/>
          <w:lang w:bidi="he-IL"/>
        </w:rPr>
        <w:t xml:space="preserve"> </w:t>
      </w:r>
      <w:r w:rsidR="008F1FB7" w:rsidRPr="00882F11">
        <w:rPr>
          <w:rFonts w:cs="Guttman Drogolin" w:hint="cs"/>
          <w:rtl/>
          <w:lang w:bidi="he-IL"/>
        </w:rPr>
        <w:t>דכיון</w:t>
      </w:r>
      <w:r w:rsidR="008F1FB7" w:rsidRPr="00882F11">
        <w:rPr>
          <w:rFonts w:cs="Guttman Drogolin"/>
          <w:rtl/>
          <w:lang w:bidi="he-IL"/>
        </w:rPr>
        <w:t xml:space="preserve"> </w:t>
      </w:r>
      <w:r w:rsidR="008F1FB7" w:rsidRPr="00882F11">
        <w:rPr>
          <w:rFonts w:cs="Guttman Drogolin" w:hint="cs"/>
          <w:rtl/>
          <w:lang w:bidi="he-IL"/>
        </w:rPr>
        <w:t>שנקרא</w:t>
      </w:r>
      <w:r w:rsidR="008F1FB7" w:rsidRPr="00882F11">
        <w:rPr>
          <w:rFonts w:cs="Guttman Drogolin"/>
          <w:rtl/>
          <w:lang w:bidi="he-IL"/>
        </w:rPr>
        <w:t xml:space="preserve"> </w:t>
      </w:r>
      <w:r w:rsidR="008F1FB7" w:rsidRPr="00882F11">
        <w:rPr>
          <w:rFonts w:cs="Guttman Drogolin" w:hint="cs"/>
          <w:rtl/>
          <w:lang w:bidi="he-IL"/>
        </w:rPr>
        <w:t>שם</w:t>
      </w:r>
      <w:r w:rsidR="008F1FB7" w:rsidRPr="00882F11">
        <w:rPr>
          <w:rFonts w:cs="Guttman Drogolin"/>
          <w:rtl/>
          <w:lang w:bidi="he-IL"/>
        </w:rPr>
        <w:t xml:space="preserve"> </w:t>
      </w:r>
      <w:r w:rsidR="008F1FB7" w:rsidRPr="00882F11">
        <w:rPr>
          <w:rFonts w:cs="Guttman Drogolin" w:hint="cs"/>
          <w:rtl/>
          <w:lang w:bidi="he-IL"/>
        </w:rPr>
        <w:t>איסור</w:t>
      </w:r>
      <w:r w:rsidR="008F1FB7" w:rsidRPr="00882F11">
        <w:rPr>
          <w:rFonts w:cs="Guttman Drogolin"/>
          <w:rtl/>
          <w:lang w:bidi="he-IL"/>
        </w:rPr>
        <w:t xml:space="preserve"> </w:t>
      </w:r>
      <w:r w:rsidR="008F1FB7" w:rsidRPr="00882F11">
        <w:rPr>
          <w:rFonts w:cs="Guttman Drogolin" w:hint="cs"/>
          <w:rtl/>
          <w:lang w:bidi="he-IL"/>
        </w:rPr>
        <w:t>על</w:t>
      </w:r>
      <w:r w:rsidR="008F1FB7" w:rsidRPr="00882F11">
        <w:rPr>
          <w:rFonts w:cs="Guttman Drogolin"/>
          <w:rtl/>
          <w:lang w:bidi="he-IL"/>
        </w:rPr>
        <w:t xml:space="preserve"> </w:t>
      </w:r>
      <w:r w:rsidR="008F1FB7" w:rsidRPr="00882F11">
        <w:rPr>
          <w:rFonts w:cs="Guttman Drogolin" w:hint="cs"/>
          <w:rtl/>
          <w:lang w:bidi="he-IL"/>
        </w:rPr>
        <w:t>החתיכה</w:t>
      </w:r>
      <w:r w:rsidR="008F1FB7" w:rsidRPr="00882F11">
        <w:rPr>
          <w:rFonts w:cs="Guttman Drogolin"/>
          <w:rtl/>
          <w:lang w:bidi="he-IL"/>
        </w:rPr>
        <w:t xml:space="preserve"> </w:t>
      </w:r>
      <w:r w:rsidR="008F1FB7" w:rsidRPr="00882F11">
        <w:rPr>
          <w:rFonts w:cs="Guttman Drogolin" w:hint="cs"/>
          <w:rtl/>
          <w:lang w:bidi="he-IL"/>
        </w:rPr>
        <w:t>אם</w:t>
      </w:r>
      <w:r w:rsidR="008F1FB7" w:rsidRPr="00882F11">
        <w:rPr>
          <w:rFonts w:cs="Guttman Drogolin"/>
          <w:rtl/>
          <w:lang w:bidi="he-IL"/>
        </w:rPr>
        <w:t xml:space="preserve"> </w:t>
      </w:r>
      <w:r w:rsidR="008F1FB7" w:rsidRPr="00882F11">
        <w:rPr>
          <w:rFonts w:cs="Guttman Drogolin" w:hint="cs"/>
          <w:rtl/>
          <w:lang w:bidi="he-IL"/>
        </w:rPr>
        <w:t>יבאו</w:t>
      </w:r>
      <w:r w:rsidR="008F1FB7" w:rsidRPr="00882F11">
        <w:rPr>
          <w:rFonts w:cs="Guttman Drogolin"/>
          <w:rtl/>
          <w:lang w:bidi="he-IL"/>
        </w:rPr>
        <w:t xml:space="preserve"> </w:t>
      </w:r>
      <w:r w:rsidR="008F1FB7" w:rsidRPr="00882F11">
        <w:rPr>
          <w:rFonts w:cs="Guttman Drogolin" w:hint="cs"/>
          <w:rtl/>
          <w:lang w:bidi="he-IL"/>
        </w:rPr>
        <w:t>להקל</w:t>
      </w:r>
      <w:r w:rsidR="008F1FB7" w:rsidRPr="00882F11">
        <w:rPr>
          <w:rFonts w:cs="Guttman Drogolin"/>
          <w:rtl/>
          <w:lang w:bidi="he-IL"/>
        </w:rPr>
        <w:t xml:space="preserve"> </w:t>
      </w:r>
      <w:r w:rsidR="008F1FB7" w:rsidRPr="00882F11">
        <w:rPr>
          <w:rFonts w:cs="Guttman Drogolin" w:hint="cs"/>
          <w:rtl/>
          <w:lang w:bidi="he-IL"/>
        </w:rPr>
        <w:t>ולא</w:t>
      </w:r>
      <w:r w:rsidR="008F1FB7" w:rsidRPr="00882F11">
        <w:rPr>
          <w:rFonts w:cs="Guttman Drogolin"/>
          <w:rtl/>
          <w:lang w:bidi="he-IL"/>
        </w:rPr>
        <w:t xml:space="preserve"> </w:t>
      </w:r>
      <w:r w:rsidR="008F1FB7" w:rsidRPr="00882F11">
        <w:rPr>
          <w:rFonts w:cs="Guttman Drogolin" w:hint="cs"/>
          <w:rtl/>
          <w:lang w:bidi="he-IL"/>
        </w:rPr>
        <w:t>לשער</w:t>
      </w:r>
      <w:r w:rsidR="008F1FB7" w:rsidRPr="00882F11">
        <w:rPr>
          <w:rFonts w:cs="Guttman Drogolin"/>
          <w:rtl/>
          <w:lang w:bidi="he-IL"/>
        </w:rPr>
        <w:t xml:space="preserve"> </w:t>
      </w:r>
      <w:r w:rsidR="008F1FB7" w:rsidRPr="00882F11">
        <w:rPr>
          <w:rFonts w:cs="Guttman Drogolin" w:hint="cs"/>
          <w:rtl/>
          <w:lang w:bidi="he-IL"/>
        </w:rPr>
        <w:t>בכולו</w:t>
      </w:r>
      <w:r w:rsidR="008F1FB7" w:rsidRPr="00882F11">
        <w:rPr>
          <w:rFonts w:cs="Guttman Drogolin"/>
          <w:rtl/>
          <w:lang w:bidi="he-IL"/>
        </w:rPr>
        <w:t xml:space="preserve"> </w:t>
      </w:r>
      <w:r w:rsidR="008F1FB7" w:rsidRPr="00882F11">
        <w:rPr>
          <w:rFonts w:cs="Guttman Drogolin" w:hint="cs"/>
          <w:rtl/>
          <w:lang w:bidi="he-IL"/>
        </w:rPr>
        <w:t>יבאו</w:t>
      </w:r>
      <w:r w:rsidR="008F1FB7" w:rsidRPr="00882F11">
        <w:rPr>
          <w:rFonts w:cs="Guttman Drogolin"/>
          <w:rtl/>
          <w:lang w:bidi="he-IL"/>
        </w:rPr>
        <w:t xml:space="preserve"> </w:t>
      </w:r>
      <w:r w:rsidR="008F1FB7" w:rsidRPr="00882F11">
        <w:rPr>
          <w:rFonts w:cs="Guttman Drogolin" w:hint="cs"/>
          <w:rtl/>
          <w:lang w:bidi="he-IL"/>
        </w:rPr>
        <w:t>להקל</w:t>
      </w:r>
      <w:r w:rsidR="008F1FB7" w:rsidRPr="00882F11">
        <w:rPr>
          <w:rFonts w:cs="Guttman Drogolin"/>
          <w:rtl/>
          <w:lang w:bidi="he-IL"/>
        </w:rPr>
        <w:t xml:space="preserve"> </w:t>
      </w:r>
      <w:r w:rsidR="008F1FB7" w:rsidRPr="00882F11">
        <w:rPr>
          <w:rFonts w:cs="Guttman Drogolin" w:hint="cs"/>
          <w:rtl/>
          <w:lang w:bidi="he-IL"/>
        </w:rPr>
        <w:t>גם</w:t>
      </w:r>
      <w:r w:rsidR="008F1FB7" w:rsidRPr="00882F11">
        <w:rPr>
          <w:rFonts w:cs="Guttman Drogolin"/>
          <w:rtl/>
          <w:lang w:bidi="he-IL"/>
        </w:rPr>
        <w:t xml:space="preserve"> </w:t>
      </w:r>
      <w:r w:rsidR="008F1FB7" w:rsidRPr="00882F11">
        <w:rPr>
          <w:rFonts w:cs="Guttman Drogolin" w:hint="cs"/>
          <w:rtl/>
          <w:lang w:bidi="he-IL"/>
        </w:rPr>
        <w:t>בחתיכת</w:t>
      </w:r>
      <w:r w:rsidR="008F1FB7" w:rsidRPr="00882F11">
        <w:rPr>
          <w:rFonts w:cs="Guttman Drogolin"/>
          <w:rtl/>
          <w:lang w:bidi="he-IL"/>
        </w:rPr>
        <w:t xml:space="preserve"> </w:t>
      </w:r>
      <w:r w:rsidR="008F1FB7" w:rsidRPr="00882F11">
        <w:rPr>
          <w:rFonts w:cs="Guttman Drogolin" w:hint="cs"/>
          <w:rtl/>
          <w:lang w:bidi="he-IL"/>
        </w:rPr>
        <w:t xml:space="preserve">נבילה, ולכאורה א"כ מסתבר לומר דעד כאן לא מחמרינו אלא כשיש טעם לשבח רק דליכא שיעור ולכן אינו נרגש, אבל אם הטעם נהפך להיות לפגם, לכאורה יש להתיר אפילו אם אומרים חענ"ן בשאר איסורים. וא"כ </w:t>
      </w:r>
      <w:r w:rsidR="008F1FB7" w:rsidRPr="00882F11">
        <w:rPr>
          <w:rFonts w:cs="Guttman Drogolin" w:hint="cs"/>
          <w:rtl/>
          <w:lang w:bidi="he-IL"/>
        </w:rPr>
        <w:lastRenderedPageBreak/>
        <w:t>לדבריהם לכאורה יל"ע מהו באמת הטעם שישאר באסורו.</w:t>
      </w:r>
    </w:p>
    <w:p w:rsidR="00B53EB6" w:rsidRPr="00882F11" w:rsidRDefault="008F1FB7" w:rsidP="000824B8">
      <w:pPr>
        <w:bidi/>
        <w:jc w:val="both"/>
        <w:rPr>
          <w:rFonts w:cs="Guttman Drogolin"/>
          <w:rtl/>
          <w:lang w:bidi="he-IL"/>
        </w:rPr>
      </w:pPr>
      <w:r w:rsidRPr="00882F11">
        <w:rPr>
          <w:rFonts w:cs="Guttman Drogolin" w:hint="cs"/>
          <w:rtl/>
          <w:lang w:bidi="he-IL"/>
        </w:rPr>
        <w:t xml:space="preserve">והנה בגמ' מבואר שאם </w:t>
      </w:r>
      <w:r w:rsidR="00CB6197" w:rsidRPr="00882F11">
        <w:rPr>
          <w:rFonts w:cs="Guttman Drogolin" w:hint="cs"/>
          <w:rtl/>
          <w:lang w:bidi="he-IL"/>
        </w:rPr>
        <w:t xml:space="preserve">נפל החומץ לתוך גריסים צוננין והרתיחן 'נעשה כמי' שהשביח ולבסוף פגם ואסור. וכבר העירו התוס' דלכאורה למה אינו אלא 'נעשה כמי' הא השביח ולבסוף פגם ממש הוא. ותי' שעיקר השבח הוא כשמרתיחן וצוננן ורק לאחר מכן שופך לתוכו חומץ, ולכן אינו אלא 'נעשה כמי'. וביאר המהר"ם שמ"מ אם נפל החומץ לתוכו כשהם צוננים עדיין איכא שבח ולכן אסור. והוסיף מהר"ם שמ"מ </w:t>
      </w:r>
      <w:r w:rsidR="001E1E91" w:rsidRPr="00882F11">
        <w:rPr>
          <w:rFonts w:cs="Guttman Drogolin" w:hint="cs"/>
          <w:rtl/>
          <w:lang w:bidi="he-IL"/>
        </w:rPr>
        <w:t>אם שפך את החומץ כאמצע הרתיחה ושוב ציננן הרי זה מותר. ולכאורה צ"ע מנ"ל למהר"ם הא, דלמא אין כוונת הגמ' אלא לומר שהוא לפגם בשעת רתיחה, ואה"נ לאחר שציננן הרי הם אסורים. ו</w:t>
      </w:r>
      <w:r w:rsidR="00B53EB6" w:rsidRPr="00882F11">
        <w:rPr>
          <w:rFonts w:cs="Guttman Drogolin" w:hint="cs"/>
          <w:rtl/>
          <w:lang w:bidi="he-IL"/>
        </w:rPr>
        <w:t>בא</w:t>
      </w:r>
      <w:r w:rsidR="001E1E91" w:rsidRPr="00882F11">
        <w:rPr>
          <w:rFonts w:cs="Guttman Drogolin" w:hint="cs"/>
          <w:rtl/>
          <w:lang w:bidi="he-IL"/>
        </w:rPr>
        <w:t xml:space="preserve">מת </w:t>
      </w:r>
      <w:r w:rsidR="000824B8" w:rsidRPr="00882F11">
        <w:rPr>
          <w:rFonts w:cs="Guttman Drogolin" w:hint="cs"/>
          <w:rtl/>
          <w:lang w:bidi="he-IL"/>
        </w:rPr>
        <w:t>כן הוא דעת הט"ז (סי' ק"ג ס"ק ה') שלאחר מכן אסורים</w:t>
      </w:r>
      <w:r w:rsidR="001E1E91" w:rsidRPr="00882F11">
        <w:rPr>
          <w:rFonts w:cs="Guttman Drogolin" w:hint="cs"/>
          <w:rtl/>
          <w:lang w:bidi="he-IL"/>
        </w:rPr>
        <w:t>.</w:t>
      </w:r>
      <w:r w:rsidR="00F94E4B" w:rsidRPr="00882F11">
        <w:rPr>
          <w:rFonts w:cs="Guttman Drogolin" w:hint="cs"/>
          <w:rtl/>
          <w:lang w:bidi="he-IL"/>
        </w:rPr>
        <w:t xml:space="preserve"> ונהי נמי דיתכן שכן הוא הדין מסברא, אבל מה זה קשור לפירושו בדעת התוס'. </w:t>
      </w:r>
    </w:p>
    <w:p w:rsidR="000824B8" w:rsidRPr="00882F11" w:rsidRDefault="000824B8" w:rsidP="00AD710B">
      <w:pPr>
        <w:bidi/>
        <w:jc w:val="both"/>
        <w:rPr>
          <w:rFonts w:cs="Guttman Drogolin"/>
          <w:rtl/>
          <w:lang w:bidi="he-IL"/>
        </w:rPr>
      </w:pPr>
      <w:r w:rsidRPr="00882F11">
        <w:rPr>
          <w:rFonts w:cs="Guttman Drogolin" w:hint="cs"/>
          <w:rtl/>
          <w:lang w:bidi="he-IL"/>
        </w:rPr>
        <w:t>והנה בפגם ולבסוף השביח קיי"ל שאסור, ו</w:t>
      </w:r>
      <w:r w:rsidR="00AD710B" w:rsidRPr="00882F11">
        <w:rPr>
          <w:rFonts w:cs="Guttman Drogolin" w:hint="cs"/>
          <w:rtl/>
          <w:lang w:bidi="he-IL"/>
        </w:rPr>
        <w:t>נ</w:t>
      </w:r>
      <w:r w:rsidRPr="00882F11">
        <w:rPr>
          <w:rFonts w:cs="Guttman Drogolin" w:hint="cs"/>
          <w:rtl/>
          <w:lang w:bidi="he-IL"/>
        </w:rPr>
        <w:t xml:space="preserve">חלקו הפוסקים אם האיסור רק לאחר שהשביח או אפילו בשעה שהי' לפגם. ודעת הש"ך (סי' ק"ג ס"ק ז') שהוא אפילו בשעה שהוא לפגם. ולכאורה צ"ע בטעמו של דבר, דהא עכשיו לפגם הוא. וביאור הענין שהיסוד שבעינן נותן טעם לפגם, אין זה דין במעשה אכילתו שבשעה שאוכל הרי הוא נהנה מטעם לשבח, רק הוא דין בחפצא של הטעם, שאם שמו טעם לשבח הרי הוא אוסר אע"ג שלעת עתה הרי הוא פוגם את התבשיל. </w:t>
      </w:r>
      <w:r w:rsidR="00F94E4B" w:rsidRPr="00882F11">
        <w:rPr>
          <w:rFonts w:cs="Guttman Drogolin" w:hint="cs"/>
          <w:rtl/>
          <w:lang w:bidi="he-IL"/>
        </w:rPr>
        <w:t xml:space="preserve">ולכן כיון שפגם ולבסוף השביח שמו לשבח הרי הוא אוסר אפילו מעיקרא. ומ"מ איכא למימר שזהו מה שהביא המהר"ם לומר שהוא מתיר אפילו לאחר מכן, ומשום שאם הי' לשבח לאחר מכן הי' אסור אפילו בשעת רתיחה וכנ"ל, דהא המהר"ם אוסר טעם דבר שיש עליו טעם לשבח אע"ג שעכשיו אינו לשבח. ומ"מ איכא למימר לפי זה שזהו גם הטעם שהשביח ולסוף פגם אסור, לא משום חענ"ן, </w:t>
      </w:r>
      <w:r w:rsidR="00F94E4B" w:rsidRPr="00882F11">
        <w:rPr>
          <w:rFonts w:cs="Guttman Drogolin" w:hint="cs"/>
          <w:rtl/>
          <w:lang w:bidi="he-IL"/>
        </w:rPr>
        <w:lastRenderedPageBreak/>
        <w:t xml:space="preserve">שטעם זה מיוחד לשיטת הר"ן עצמו דאית לי' חענ"ן בשאר איסורים משום גזרה אטו בב"ח וכנ"ל. רק הטעם משום שיש עליו שם לשבח כיון שכשנכנס לתוך התבשיל הי' לשבח. </w:t>
      </w:r>
      <w:r w:rsidRPr="00882F11">
        <w:rPr>
          <w:rFonts w:cs="Guttman Drogolin" w:hint="cs"/>
          <w:rtl/>
          <w:lang w:bidi="he-IL"/>
        </w:rPr>
        <w:t xml:space="preserve"> </w:t>
      </w:r>
    </w:p>
    <w:p w:rsidR="00F94E4B" w:rsidRPr="00882F11" w:rsidRDefault="00F94E4B" w:rsidP="0078079C">
      <w:pPr>
        <w:pStyle w:val="Heading1"/>
        <w:bidi/>
        <w:spacing w:before="0" w:line="360" w:lineRule="auto"/>
        <w:jc w:val="center"/>
        <w:rPr>
          <w:rFonts w:cs="Guttman Drogolin"/>
          <w:color w:val="auto"/>
          <w:sz w:val="24"/>
          <w:szCs w:val="24"/>
          <w:u w:val="single"/>
          <w:rtl/>
          <w:lang w:bidi="he-IL"/>
        </w:rPr>
      </w:pPr>
      <w:bookmarkStart w:id="127" w:name="_Toc496175386"/>
      <w:r w:rsidRPr="00882F11">
        <w:rPr>
          <w:rFonts w:cs="Guttman Drogolin" w:hint="cs"/>
          <w:color w:val="auto"/>
          <w:sz w:val="24"/>
          <w:szCs w:val="24"/>
          <w:u w:val="single"/>
          <w:rtl/>
          <w:lang w:bidi="he-IL"/>
        </w:rPr>
        <w:t>ב' הלשונות של ר"ל</w:t>
      </w:r>
      <w:bookmarkEnd w:id="127"/>
    </w:p>
    <w:p w:rsidR="003D42D0" w:rsidRPr="00882F11" w:rsidRDefault="00F94E4B" w:rsidP="003D42D0">
      <w:pPr>
        <w:bidi/>
        <w:jc w:val="both"/>
        <w:rPr>
          <w:rFonts w:cs="Guttman Drogolin"/>
          <w:rtl/>
          <w:lang w:bidi="he-IL"/>
        </w:rPr>
      </w:pPr>
      <w:r w:rsidRPr="00882F11">
        <w:rPr>
          <w:rFonts w:cs="Guttman Drogolin" w:hint="cs"/>
          <w:rtl/>
          <w:lang w:bidi="he-IL"/>
        </w:rPr>
        <w:t>הגמ' בהמשך מביאה ב' לשונות של ר"ל, הראשון לחומרא והשני לקולא. התוס' מבארים ששניהם מדברים על אותה נקודה, והוא בכה"ג שהקדרה פגום</w:t>
      </w:r>
      <w:r w:rsidR="003D42D0" w:rsidRPr="00882F11">
        <w:rPr>
          <w:rFonts w:cs="Guttman Drogolin" w:hint="cs"/>
          <w:rtl/>
          <w:lang w:bidi="he-IL"/>
        </w:rPr>
        <w:t xml:space="preserve"> משום חסרון ויתרון תבלין או מלח, ודבר זה גורם שהאיסור נותן טעם לפגם, אבל אילו היתר כתיקונה במלח ותבלין לא היתה האיסור נטל"פ רק נ"ט לשבח. והלישנא קמא סבר שאמנם עכשיו הרי הוא נטל"פ, מ"מ כיון שאלמלא החסאון או היתרון מלח ותבלין הי' נ"ט לשבח דינו כדבר הנותן טעם לשבח ואסור. ושיטה זו טועמת עם הנ"ל דהא בדעת אכילתו הרי הוא נותן טעם לפגם, ומ"מ אסרינן לי'. והלישנא בתרא דר"ל סבר דכיון שעכשיו הרי הוא נטל"פ דינו כנטל"פ אע"ג שאלמלא החסרון או יתרון של מלח ותבלין הי' נותן טעם לשבח.</w:t>
      </w:r>
    </w:p>
    <w:p w:rsidR="001E1E91" w:rsidRPr="00882F11" w:rsidRDefault="003D42D0" w:rsidP="00DF4DAD">
      <w:pPr>
        <w:bidi/>
        <w:jc w:val="both"/>
        <w:rPr>
          <w:rFonts w:cs="Guttman Drogolin"/>
          <w:rtl/>
          <w:lang w:bidi="he-IL"/>
        </w:rPr>
      </w:pPr>
      <w:r w:rsidRPr="00882F11">
        <w:rPr>
          <w:rFonts w:cs="Guttman Drogolin" w:hint="cs"/>
          <w:rtl/>
          <w:lang w:bidi="he-IL"/>
        </w:rPr>
        <w:t>ומפירש"י בל"ב נראה ברור שפי' בדיוק כמו שפירשו התוס'</w:t>
      </w:r>
      <w:r w:rsidR="00AC620C" w:rsidRPr="00882F11">
        <w:rPr>
          <w:rFonts w:cs="Guttman Drogolin" w:hint="cs"/>
          <w:rtl/>
          <w:lang w:bidi="he-IL"/>
        </w:rPr>
        <w:t>. אבל בל"ק הי' נראה אולי פי' אחר. והוא שיש פגם בעצם זה שחסר או יתר מלח ותבלין. ונכנס איסור לתוך התבשיל ואין אנו יודעים אם פגם את התבשיל או לא. בזה קאמר ר"ל לל"ק שאין תולין שגם האיסור פוגם אלא אמרינן שהפגם מן התבלין ומלח ואילו האיסור אינו אלא לשבח.</w:t>
      </w:r>
      <w:r w:rsidR="00DF4DAD" w:rsidRPr="00882F11">
        <w:rPr>
          <w:rFonts w:cs="Guttman Drogolin" w:hint="cs"/>
          <w:rtl/>
          <w:lang w:bidi="he-IL"/>
        </w:rPr>
        <w:t xml:space="preserve"> </w:t>
      </w:r>
      <w:r w:rsidR="00CE3F3A" w:rsidRPr="00882F11">
        <w:rPr>
          <w:rFonts w:cs="Guttman Drogolin" w:hint="cs"/>
          <w:rtl/>
          <w:lang w:bidi="he-IL"/>
        </w:rPr>
        <w:t>ואם כנים הדברים יוצא שאין הל"ק ול"ב דר"ל חולקים א' על השני. ויל"ע בזה.</w:t>
      </w:r>
      <w:r w:rsidR="00AC620C" w:rsidRPr="00882F11">
        <w:rPr>
          <w:rFonts w:cs="Guttman Drogolin" w:hint="cs"/>
          <w:rtl/>
          <w:lang w:bidi="he-IL"/>
        </w:rPr>
        <w:t xml:space="preserve">    </w:t>
      </w:r>
      <w:r w:rsidRPr="00882F11">
        <w:rPr>
          <w:rFonts w:cs="Guttman Drogolin" w:hint="cs"/>
          <w:rtl/>
          <w:lang w:bidi="he-IL"/>
        </w:rPr>
        <w:t xml:space="preserve"> </w:t>
      </w:r>
      <w:r w:rsidR="00F94E4B" w:rsidRPr="00882F11">
        <w:rPr>
          <w:rFonts w:cs="Guttman Drogolin" w:hint="cs"/>
          <w:rtl/>
          <w:lang w:bidi="he-IL"/>
        </w:rPr>
        <w:t xml:space="preserve"> </w:t>
      </w:r>
      <w:r w:rsidR="001E1E91" w:rsidRPr="00882F11">
        <w:rPr>
          <w:rFonts w:cs="Guttman Drogolin" w:hint="cs"/>
          <w:rtl/>
          <w:lang w:bidi="he-IL"/>
        </w:rPr>
        <w:t xml:space="preserve"> </w:t>
      </w:r>
    </w:p>
    <w:p w:rsidR="00CE3F3A" w:rsidRPr="00882F11" w:rsidRDefault="00CE3F3A" w:rsidP="0078079C">
      <w:pPr>
        <w:pStyle w:val="Heading1"/>
        <w:bidi/>
        <w:spacing w:before="0" w:line="360" w:lineRule="auto"/>
        <w:jc w:val="center"/>
        <w:rPr>
          <w:rFonts w:cs="Guttman Drogolin"/>
          <w:color w:val="auto"/>
          <w:sz w:val="24"/>
          <w:szCs w:val="24"/>
          <w:u w:val="single"/>
          <w:rtl/>
          <w:lang w:bidi="he-IL"/>
        </w:rPr>
      </w:pPr>
      <w:bookmarkStart w:id="128" w:name="_Toc496175387"/>
      <w:r w:rsidRPr="00882F11">
        <w:rPr>
          <w:rFonts w:cs="Guttman Drogolin" w:hint="cs"/>
          <w:color w:val="auto"/>
          <w:sz w:val="24"/>
          <w:szCs w:val="24"/>
          <w:u w:val="single"/>
          <w:rtl/>
          <w:lang w:bidi="he-IL"/>
        </w:rPr>
        <w:t>פגם פורתא</w:t>
      </w:r>
      <w:bookmarkEnd w:id="128"/>
    </w:p>
    <w:p w:rsidR="00D438D3" w:rsidRPr="00882F11" w:rsidRDefault="00D7187C" w:rsidP="00207C00">
      <w:pPr>
        <w:bidi/>
        <w:jc w:val="both"/>
        <w:rPr>
          <w:rFonts w:cs="Guttman Drogolin"/>
          <w:rtl/>
          <w:lang w:bidi="he-IL"/>
        </w:rPr>
      </w:pPr>
      <w:r w:rsidRPr="00882F11">
        <w:rPr>
          <w:rFonts w:cs="Guttman Drogolin" w:hint="cs"/>
          <w:rtl/>
          <w:lang w:bidi="he-IL"/>
        </w:rPr>
        <w:t>[הדברים מתבארים בשיעור הבא]</w:t>
      </w:r>
      <w:r w:rsidR="005A6847" w:rsidRPr="00882F11">
        <w:rPr>
          <w:rFonts w:cs="Guttman Drogolin" w:hint="cs"/>
          <w:rtl/>
          <w:lang w:bidi="he-IL"/>
        </w:rPr>
        <w:t xml:space="preserve">  </w:t>
      </w:r>
      <w:r w:rsidR="008B0AEE" w:rsidRPr="00882F11">
        <w:rPr>
          <w:rFonts w:cs="Guttman Drogolin" w:hint="cs"/>
          <w:rtl/>
          <w:lang w:bidi="he-IL"/>
        </w:rPr>
        <w:t xml:space="preserve"> </w:t>
      </w:r>
      <w:r w:rsidR="00E20A16" w:rsidRPr="00882F11">
        <w:rPr>
          <w:rFonts w:cs="Guttman Drogolin" w:hint="cs"/>
          <w:rtl/>
          <w:lang w:bidi="he-IL"/>
        </w:rPr>
        <w:t xml:space="preserve"> </w:t>
      </w:r>
      <w:r w:rsidR="00D23838" w:rsidRPr="00882F11">
        <w:rPr>
          <w:rFonts w:cs="Guttman Drogolin" w:hint="cs"/>
          <w:rtl/>
          <w:lang w:bidi="he-IL"/>
        </w:rPr>
        <w:t xml:space="preserve">   </w:t>
      </w:r>
    </w:p>
    <w:p w:rsidR="00670EC3" w:rsidRPr="00882F11" w:rsidRDefault="00670EC3" w:rsidP="00670EC3">
      <w:pPr>
        <w:bidi/>
        <w:jc w:val="both"/>
        <w:rPr>
          <w:rFonts w:cs="Guttman Drogolin"/>
          <w:rtl/>
          <w:lang w:bidi="he-IL"/>
        </w:rPr>
        <w:sectPr w:rsidR="00670EC3" w:rsidRPr="00882F11" w:rsidSect="00615FF2">
          <w:type w:val="continuous"/>
          <w:pgSz w:w="11907" w:h="16839" w:code="9"/>
          <w:pgMar w:top="1440" w:right="1440" w:bottom="1440" w:left="1440" w:header="720" w:footer="720" w:gutter="0"/>
          <w:cols w:num="2" w:space="720"/>
          <w:bidi/>
          <w:docGrid w:linePitch="360"/>
        </w:sectPr>
      </w:pPr>
    </w:p>
    <w:p w:rsidR="00670EC3" w:rsidRPr="00882F11" w:rsidRDefault="00670EC3" w:rsidP="00670EC3">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ל"ד</w:t>
      </w:r>
    </w:p>
    <w:p w:rsidR="00615FF2" w:rsidRDefault="00615FF2" w:rsidP="0078079C">
      <w:pPr>
        <w:pStyle w:val="Heading1"/>
        <w:bidi/>
        <w:spacing w:before="0" w:line="360" w:lineRule="auto"/>
        <w:jc w:val="center"/>
        <w:rPr>
          <w:rFonts w:cs="Guttman Drogolin"/>
          <w:color w:val="auto"/>
          <w:sz w:val="24"/>
          <w:szCs w:val="24"/>
          <w:u w:val="single"/>
          <w:rtl/>
          <w:lang w:bidi="he-IL"/>
        </w:rPr>
        <w:sectPr w:rsidR="00615FF2" w:rsidSect="00615FF2">
          <w:headerReference w:type="default" r:id="rId30"/>
          <w:pgSz w:w="11907" w:h="16839" w:code="9"/>
          <w:pgMar w:top="1440" w:right="1440" w:bottom="1440" w:left="1440" w:header="720" w:footer="720" w:gutter="0"/>
          <w:cols w:space="720"/>
          <w:bidi/>
          <w:docGrid w:linePitch="360"/>
        </w:sectPr>
      </w:pPr>
    </w:p>
    <w:p w:rsidR="00670EC3" w:rsidRPr="00882F11" w:rsidRDefault="00670EC3" w:rsidP="0078079C">
      <w:pPr>
        <w:pStyle w:val="Heading1"/>
        <w:bidi/>
        <w:spacing w:before="0" w:line="360" w:lineRule="auto"/>
        <w:jc w:val="center"/>
        <w:rPr>
          <w:rFonts w:cs="Guttman Drogolin"/>
          <w:color w:val="auto"/>
          <w:sz w:val="24"/>
          <w:szCs w:val="24"/>
          <w:u w:val="single"/>
          <w:rtl/>
          <w:lang w:bidi="he-IL"/>
        </w:rPr>
      </w:pPr>
      <w:bookmarkStart w:id="129" w:name="_Toc496175388"/>
      <w:r w:rsidRPr="00882F11">
        <w:rPr>
          <w:rFonts w:cs="Guttman Drogolin" w:hint="cs"/>
          <w:color w:val="auto"/>
          <w:sz w:val="24"/>
          <w:szCs w:val="24"/>
          <w:u w:val="single"/>
          <w:rtl/>
          <w:lang w:bidi="he-IL"/>
        </w:rPr>
        <w:lastRenderedPageBreak/>
        <w:t>בדין נטל"פ</w:t>
      </w:r>
      <w:bookmarkEnd w:id="129"/>
    </w:p>
    <w:p w:rsidR="00D7187C" w:rsidRPr="00882F11" w:rsidRDefault="00195F83" w:rsidP="00207C00">
      <w:pPr>
        <w:bidi/>
        <w:jc w:val="both"/>
        <w:rPr>
          <w:rFonts w:cs="Guttman Drogolin"/>
          <w:rtl/>
          <w:lang w:bidi="he-IL"/>
        </w:rPr>
      </w:pPr>
      <w:r>
        <w:rPr>
          <w:rFonts w:cs="Guttman Drogolin"/>
          <w:rtl/>
          <w:lang w:bidi="he-IL"/>
        </w:rPr>
        <w:fldChar w:fldCharType="begin"/>
      </w:r>
      <w:r>
        <w:instrText xml:space="preserve"> XE "</w:instrText>
      </w:r>
      <w:r w:rsidRPr="002A1AC5">
        <w:rPr>
          <w:rFonts w:hint="cs"/>
          <w:rtl/>
          <w:lang w:bidi="he-IL"/>
        </w:rPr>
        <w:instrText>נותן טעם לפגם</w:instrText>
      </w:r>
      <w:r w:rsidRPr="002A1AC5">
        <w:rPr>
          <w:rtl/>
        </w:rPr>
        <w:instrText>:</w:instrText>
      </w:r>
      <w:r w:rsidRPr="002A1AC5">
        <w:rPr>
          <w:rFonts w:hint="cs"/>
          <w:rtl/>
          <w:lang w:bidi="he-IL"/>
        </w:rPr>
        <w:instrText>סוגיית הגמ'</w:instrText>
      </w:r>
      <w:r>
        <w:instrText xml:space="preserve">" </w:instrText>
      </w:r>
      <w:r>
        <w:rPr>
          <w:rFonts w:cs="Guttman Drogolin"/>
          <w:rtl/>
          <w:lang w:bidi="he-IL"/>
        </w:rPr>
        <w:fldChar w:fldCharType="end"/>
      </w:r>
      <w:r w:rsidR="00670EC3" w:rsidRPr="00882F11">
        <w:rPr>
          <w:rFonts w:cs="Guttman Drogolin" w:hint="cs"/>
          <w:rtl/>
          <w:lang w:bidi="he-IL"/>
        </w:rPr>
        <w:t xml:space="preserve">מבואר </w:t>
      </w:r>
      <w:r w:rsidR="006D690A" w:rsidRPr="00882F11">
        <w:rPr>
          <w:rFonts w:cs="Guttman Drogolin" w:hint="cs"/>
          <w:rtl/>
          <w:lang w:bidi="he-IL"/>
        </w:rPr>
        <w:t>ב</w:t>
      </w:r>
      <w:r w:rsidR="00670EC3" w:rsidRPr="00882F11">
        <w:rPr>
          <w:rFonts w:cs="Guttman Drogolin" w:hint="cs"/>
          <w:rtl/>
          <w:lang w:bidi="he-IL"/>
        </w:rPr>
        <w:t xml:space="preserve">גמ' שבדף ס"ז ע"ב </w:t>
      </w:r>
      <w:r w:rsidR="005C69D5" w:rsidRPr="00882F11">
        <w:rPr>
          <w:rFonts w:cs="Guttman Drogolin" w:hint="cs"/>
          <w:rtl/>
          <w:lang w:bidi="he-IL"/>
        </w:rPr>
        <w:t>מחלוקת בין ר' מאיר לר' שמעון אם נטל"פ מותר או אסור. והגמ' שואלת מ"ט דר' מאיר, ואומרת הגמ' שלמד מגיעולי נכרים, דכיון שטעם הבלוע בכלי נטל"פ ומ"מ</w:t>
      </w:r>
      <w:r w:rsidR="00A97E5B" w:rsidRPr="00882F11">
        <w:rPr>
          <w:rFonts w:cs="Guttman Drogolin" w:hint="cs"/>
          <w:rtl/>
          <w:lang w:bidi="he-IL"/>
        </w:rPr>
        <w:t xml:space="preserve"> הצריכו הגעלה, הה"נ כל נטל"פ. ו</w:t>
      </w:r>
      <w:r w:rsidR="005C69D5" w:rsidRPr="00882F11">
        <w:rPr>
          <w:rFonts w:cs="Guttman Drogolin" w:hint="cs"/>
          <w:rtl/>
          <w:lang w:bidi="he-IL"/>
        </w:rPr>
        <w:t>ר' שמעון דחה שלא אסרה תורה אלא קדרה בת יומא בלבד. ושוב מקשה הגמ' מ"ט דר</w:t>
      </w:r>
      <w:r w:rsidR="00D7187C" w:rsidRPr="00882F11">
        <w:rPr>
          <w:rFonts w:cs="Guttman Drogolin" w:hint="cs"/>
          <w:rtl/>
          <w:lang w:bidi="he-IL"/>
        </w:rPr>
        <w:t xml:space="preserve">' שמעון, </w:t>
      </w:r>
      <w:r w:rsidR="00A97E5B" w:rsidRPr="00882F11">
        <w:rPr>
          <w:rFonts w:cs="Guttman Drogolin" w:hint="cs"/>
          <w:rtl/>
          <w:lang w:bidi="he-IL"/>
        </w:rPr>
        <w:t xml:space="preserve">ותי' שלמד מדין נבילה שאינה ראוי' לגר. </w:t>
      </w:r>
      <w:r w:rsidR="00D7187C" w:rsidRPr="00882F11">
        <w:rPr>
          <w:rFonts w:cs="Guttman Drogolin" w:hint="cs"/>
          <w:rtl/>
          <w:lang w:bidi="he-IL"/>
        </w:rPr>
        <w:t xml:space="preserve">ולכאורה הי' אפשר לומר </w:t>
      </w:r>
      <w:r w:rsidR="005C69D5" w:rsidRPr="00882F11">
        <w:rPr>
          <w:rFonts w:cs="Guttman Drogolin" w:hint="cs"/>
          <w:rtl/>
          <w:lang w:bidi="he-IL"/>
        </w:rPr>
        <w:t xml:space="preserve">שטעמו של ר' </w:t>
      </w:r>
      <w:r w:rsidR="00207C00" w:rsidRPr="00882F11">
        <w:rPr>
          <w:rFonts w:cs="Guttman Drogolin" w:hint="cs"/>
          <w:rtl/>
          <w:lang w:bidi="he-IL"/>
        </w:rPr>
        <w:t>ש</w:t>
      </w:r>
      <w:r w:rsidR="005C69D5" w:rsidRPr="00882F11">
        <w:rPr>
          <w:rFonts w:cs="Guttman Drogolin" w:hint="cs"/>
          <w:rtl/>
          <w:lang w:bidi="he-IL"/>
        </w:rPr>
        <w:t xml:space="preserve">מעון משום שהסברא הראשונה היא דנטל"פ מותר, ומשום שמסברא טעם פגום לא מיקרי טעם, ורק לר' מאיר שלמד מגיעולי נכרים יש מקור לאסור נטל"פ. </w:t>
      </w:r>
      <w:r w:rsidR="00136EC5" w:rsidRPr="00882F11">
        <w:rPr>
          <w:rFonts w:cs="Guttman Drogolin" w:hint="cs"/>
          <w:rtl/>
          <w:lang w:bidi="he-IL"/>
        </w:rPr>
        <w:t>וכבר העיר מזה רע"א בגליון הש"ס והביא מתוס' במס' ערכין שהקשו כעין זה בסוגיא דהתם. ונראים הדברים</w:t>
      </w:r>
      <w:r w:rsidR="00D7187C" w:rsidRPr="00882F11">
        <w:rPr>
          <w:rFonts w:cs="Guttman Drogolin" w:hint="cs"/>
          <w:rtl/>
          <w:lang w:bidi="he-IL"/>
        </w:rPr>
        <w:t xml:space="preserve"> שלא הי' סברא פשוטה לא לכאן ולא לכאן, ור' מאיר למד מגיעולי נכרים ואל"כ הי' לומד מנבילה שאינה ראוי' לגר והי' מודה לסברת ר"ש, ור"ש למד מנבילה שאינה ראוי' לגר ואל"כ הי' לומד מגיעולי נכרים והי' מודה לסברת ר"מ.</w:t>
      </w:r>
    </w:p>
    <w:p w:rsidR="00D7187C" w:rsidRPr="00882F11" w:rsidRDefault="00D7187C" w:rsidP="00A97E5B">
      <w:pPr>
        <w:bidi/>
        <w:jc w:val="both"/>
        <w:rPr>
          <w:rFonts w:cs="Guttman Drogolin"/>
          <w:rtl/>
          <w:lang w:bidi="he-IL"/>
        </w:rPr>
      </w:pPr>
      <w:r w:rsidRPr="00882F11">
        <w:rPr>
          <w:rFonts w:cs="Guttman Drogolin" w:hint="cs"/>
          <w:rtl/>
          <w:lang w:bidi="he-IL"/>
        </w:rPr>
        <w:t>והנה נבילה שאינה ראוי' לגר היינו שאינו ראוי לאכילת אדם. וכיון שר"ש למד משם הדין של נטל"פ לכאורה הדין נותן שגם הטעם הוא כ"כ לפגם עד שאינו ראוי לאכילת אדם. וכן לכאורה נראה מלשון הגמ' שבדף ס"ז ע"א</w:t>
      </w:r>
      <w:r w:rsidR="00DD7627" w:rsidRPr="00882F11">
        <w:rPr>
          <w:rFonts w:cs="Guttman Drogolin" w:hint="cs"/>
          <w:rtl/>
          <w:lang w:bidi="he-IL"/>
        </w:rPr>
        <w:t xml:space="preserve"> </w:t>
      </w:r>
      <w:r w:rsidR="00B502E1" w:rsidRPr="00882F11">
        <w:rPr>
          <w:rFonts w:cs="Guttman Drogolin" w:hint="cs"/>
          <w:rtl/>
          <w:lang w:bidi="he-IL"/>
        </w:rPr>
        <w:t>"</w:t>
      </w:r>
      <w:r w:rsidR="00DD7627" w:rsidRPr="00882F11">
        <w:rPr>
          <w:rFonts w:cs="Guttman Drogolin" w:hint="cs"/>
          <w:rtl/>
          <w:lang w:bidi="he-IL"/>
        </w:rPr>
        <w:t>נותן</w:t>
      </w:r>
      <w:r w:rsidR="00DD7627" w:rsidRPr="00882F11">
        <w:rPr>
          <w:rFonts w:cs="Guttman Drogolin"/>
          <w:rtl/>
          <w:lang w:bidi="he-IL"/>
        </w:rPr>
        <w:t xml:space="preserve"> </w:t>
      </w:r>
      <w:r w:rsidR="00DD7627" w:rsidRPr="00882F11">
        <w:rPr>
          <w:rFonts w:cs="Guttman Drogolin" w:hint="cs"/>
          <w:rtl/>
          <w:lang w:bidi="he-IL"/>
        </w:rPr>
        <w:t>טעם</w:t>
      </w:r>
      <w:r w:rsidR="00DD7627" w:rsidRPr="00882F11">
        <w:rPr>
          <w:rFonts w:cs="Guttman Drogolin"/>
          <w:rtl/>
          <w:lang w:bidi="he-IL"/>
        </w:rPr>
        <w:t xml:space="preserve"> </w:t>
      </w:r>
      <w:r w:rsidR="00DD7627" w:rsidRPr="00882F11">
        <w:rPr>
          <w:rFonts w:cs="Guttman Drogolin" w:hint="cs"/>
          <w:rtl/>
          <w:lang w:bidi="he-IL"/>
        </w:rPr>
        <w:t>לפגם</w:t>
      </w:r>
      <w:r w:rsidR="00DD7627" w:rsidRPr="00882F11">
        <w:rPr>
          <w:rFonts w:cs="Guttman Drogolin"/>
          <w:rtl/>
          <w:lang w:bidi="he-IL"/>
        </w:rPr>
        <w:t xml:space="preserve"> </w:t>
      </w:r>
      <w:r w:rsidR="00DD7627" w:rsidRPr="00882F11">
        <w:rPr>
          <w:rFonts w:cs="Guttman Drogolin" w:hint="cs"/>
          <w:rtl/>
          <w:lang w:bidi="he-IL"/>
        </w:rPr>
        <w:t>שאמרו</w:t>
      </w:r>
      <w:r w:rsidR="00DD7627" w:rsidRPr="00882F11">
        <w:rPr>
          <w:rFonts w:cs="Guttman Drogolin"/>
          <w:rtl/>
          <w:lang w:bidi="he-IL"/>
        </w:rPr>
        <w:t xml:space="preserve"> </w:t>
      </w:r>
      <w:r w:rsidR="00DD7627" w:rsidRPr="00882F11">
        <w:rPr>
          <w:rFonts w:cs="Guttman Drogolin" w:hint="cs"/>
          <w:rtl/>
          <w:lang w:bidi="he-IL"/>
        </w:rPr>
        <w:t>וכו'</w:t>
      </w:r>
      <w:r w:rsidR="00DD7627" w:rsidRPr="00882F11">
        <w:rPr>
          <w:rFonts w:cs="Guttman Drogolin"/>
          <w:rtl/>
          <w:lang w:bidi="he-IL"/>
        </w:rPr>
        <w:t xml:space="preserve"> </w:t>
      </w:r>
      <w:r w:rsidR="00DD7627" w:rsidRPr="00882F11">
        <w:rPr>
          <w:rFonts w:cs="Guttman Drogolin" w:hint="cs"/>
          <w:rtl/>
          <w:lang w:bidi="he-IL"/>
        </w:rPr>
        <w:t>כל</w:t>
      </w:r>
      <w:r w:rsidR="00DD7627" w:rsidRPr="00882F11">
        <w:rPr>
          <w:rFonts w:cs="Guttman Drogolin"/>
          <w:rtl/>
          <w:lang w:bidi="he-IL"/>
        </w:rPr>
        <w:t xml:space="preserve"> </w:t>
      </w:r>
      <w:r w:rsidR="00DD7627" w:rsidRPr="00882F11">
        <w:rPr>
          <w:rFonts w:cs="Guttman Drogolin" w:hint="cs"/>
          <w:rtl/>
          <w:lang w:bidi="he-IL"/>
        </w:rPr>
        <w:t>שאין</w:t>
      </w:r>
      <w:r w:rsidR="00DD7627" w:rsidRPr="00882F11">
        <w:rPr>
          <w:rFonts w:cs="Guttman Drogolin"/>
          <w:rtl/>
          <w:lang w:bidi="he-IL"/>
        </w:rPr>
        <w:t xml:space="preserve"> </w:t>
      </w:r>
      <w:r w:rsidR="00DD7627" w:rsidRPr="00882F11">
        <w:rPr>
          <w:rFonts w:cs="Guttman Drogolin" w:hint="cs"/>
          <w:rtl/>
          <w:lang w:bidi="he-IL"/>
        </w:rPr>
        <w:t>חסירה</w:t>
      </w:r>
      <w:r w:rsidR="00DD7627" w:rsidRPr="00882F11">
        <w:rPr>
          <w:rFonts w:cs="Guttman Drogolin"/>
          <w:rtl/>
          <w:lang w:bidi="he-IL"/>
        </w:rPr>
        <w:t xml:space="preserve"> </w:t>
      </w:r>
      <w:r w:rsidR="00DD7627" w:rsidRPr="00882F11">
        <w:rPr>
          <w:rFonts w:cs="Guttman Drogolin" w:hint="cs"/>
          <w:rtl/>
          <w:lang w:bidi="he-IL"/>
        </w:rPr>
        <w:t>כלום</w:t>
      </w:r>
      <w:r w:rsidR="00DD7627" w:rsidRPr="00882F11">
        <w:rPr>
          <w:rFonts w:cs="Guttman Drogolin"/>
          <w:rtl/>
          <w:lang w:bidi="he-IL"/>
        </w:rPr>
        <w:t xml:space="preserve"> </w:t>
      </w:r>
      <w:r w:rsidR="00DD7627" w:rsidRPr="00882F11">
        <w:rPr>
          <w:rFonts w:cs="Guttman Drogolin" w:hint="cs"/>
          <w:rtl/>
          <w:lang w:bidi="he-IL"/>
        </w:rPr>
        <w:t>ואינה</w:t>
      </w:r>
      <w:r w:rsidR="00DD7627" w:rsidRPr="00882F11">
        <w:rPr>
          <w:rFonts w:cs="Guttman Drogolin"/>
          <w:rtl/>
          <w:lang w:bidi="he-IL"/>
        </w:rPr>
        <w:t xml:space="preserve"> </w:t>
      </w:r>
      <w:r w:rsidR="00DD7627" w:rsidRPr="00882F11">
        <w:rPr>
          <w:rFonts w:cs="Guttman Drogolin" w:hint="cs"/>
          <w:rtl/>
          <w:lang w:bidi="he-IL"/>
        </w:rPr>
        <w:t>נאכלת</w:t>
      </w:r>
      <w:r w:rsidR="00DD7627" w:rsidRPr="00882F11">
        <w:rPr>
          <w:rFonts w:cs="Guttman Drogolin"/>
          <w:rtl/>
          <w:lang w:bidi="he-IL"/>
        </w:rPr>
        <w:t xml:space="preserve"> </w:t>
      </w:r>
      <w:r w:rsidR="00DD7627" w:rsidRPr="00882F11">
        <w:rPr>
          <w:rFonts w:cs="Guttman Drogolin" w:hint="cs"/>
          <w:rtl/>
          <w:lang w:bidi="he-IL"/>
        </w:rPr>
        <w:t>מפני</w:t>
      </w:r>
      <w:r w:rsidR="00DD7627" w:rsidRPr="00882F11">
        <w:rPr>
          <w:rFonts w:cs="Guttman Drogolin"/>
          <w:rtl/>
          <w:lang w:bidi="he-IL"/>
        </w:rPr>
        <w:t xml:space="preserve"> </w:t>
      </w:r>
      <w:r w:rsidR="00DD7627" w:rsidRPr="00882F11">
        <w:rPr>
          <w:rFonts w:cs="Guttman Drogolin" w:hint="cs"/>
          <w:rtl/>
          <w:lang w:bidi="he-IL"/>
        </w:rPr>
        <w:t>זה", הרי שמשמע שאינה נאכלת כלל.</w:t>
      </w:r>
      <w:r w:rsidRPr="00882F11">
        <w:rPr>
          <w:rFonts w:cs="Guttman Drogolin" w:hint="cs"/>
          <w:rtl/>
          <w:lang w:bidi="he-IL"/>
        </w:rPr>
        <w:t xml:space="preserve"> והקשו הראשונים דהא קדירה שאינה בת יומא נחשב בגמ' כנטל"פ</w:t>
      </w:r>
      <w:r w:rsidR="00DD7627" w:rsidRPr="00882F11">
        <w:rPr>
          <w:rFonts w:cs="Guttman Drogolin" w:hint="cs"/>
          <w:rtl/>
          <w:lang w:bidi="he-IL"/>
        </w:rPr>
        <w:t>, ומעשים בכל יום שאוכלים תבשילים שהתבשלו בקדירות שאינן בני יומא, ומשמע שאינה צריכה להיות סרוחה לגמרי.</w:t>
      </w:r>
    </w:p>
    <w:p w:rsidR="00460AFB" w:rsidRPr="00882F11" w:rsidRDefault="00B34B28" w:rsidP="00A97E5B">
      <w:pPr>
        <w:bidi/>
        <w:jc w:val="both"/>
        <w:rPr>
          <w:rFonts w:cs="Guttman Drogolin"/>
          <w:rtl/>
          <w:lang w:bidi="he-IL"/>
        </w:rPr>
      </w:pPr>
      <w:r>
        <w:rPr>
          <w:rFonts w:cs="Guttman Drogolin"/>
          <w:rtl/>
          <w:lang w:bidi="he-IL"/>
        </w:rPr>
        <w:fldChar w:fldCharType="begin"/>
      </w:r>
      <w:r>
        <w:instrText xml:space="preserve"> XE "</w:instrText>
      </w:r>
      <w:r w:rsidRPr="005D727A">
        <w:rPr>
          <w:rFonts w:hint="cs"/>
          <w:rtl/>
          <w:lang w:bidi="he-IL"/>
        </w:rPr>
        <w:instrText>נותן טעם לפגם</w:instrText>
      </w:r>
      <w:r w:rsidRPr="005D727A">
        <w:rPr>
          <w:rtl/>
        </w:rPr>
        <w:instrText>:</w:instrText>
      </w:r>
      <w:r w:rsidRPr="005D727A">
        <w:rPr>
          <w:rFonts w:hint="cs"/>
          <w:rtl/>
          <w:lang w:bidi="he-IL"/>
        </w:rPr>
        <w:instrText>שיטת הרא</w:instrText>
      </w:r>
      <w:r>
        <w:rPr>
          <w:rFonts w:eastAsiaTheme="minorEastAsia"/>
          <w:lang w:bidi="he-IL"/>
        </w:rPr>
        <w:instrText>\</w:instrText>
      </w:r>
      <w:r w:rsidRPr="005D727A">
        <w:rPr>
          <w:rFonts w:hint="cs"/>
          <w:rtl/>
          <w:lang w:bidi="he-IL"/>
        </w:rPr>
        <w:instrText>"ה</w:instrText>
      </w:r>
      <w:r>
        <w:instrText xml:space="preserve">" </w:instrText>
      </w:r>
      <w:r>
        <w:rPr>
          <w:rFonts w:cs="Guttman Drogolin"/>
          <w:rtl/>
          <w:lang w:bidi="he-IL"/>
        </w:rPr>
        <w:fldChar w:fldCharType="end"/>
      </w:r>
      <w:r w:rsidR="00DD7627" w:rsidRPr="00882F11">
        <w:rPr>
          <w:rFonts w:cs="Guttman Drogolin" w:hint="cs"/>
          <w:rtl/>
          <w:lang w:bidi="he-IL"/>
        </w:rPr>
        <w:t xml:space="preserve">וכתב בזה הרא"ה </w:t>
      </w:r>
      <w:r w:rsidR="00A97E5B" w:rsidRPr="00882F11">
        <w:rPr>
          <w:rFonts w:cs="Guttman Drogolin" w:hint="cs"/>
          <w:rtl/>
          <w:lang w:bidi="he-IL"/>
        </w:rPr>
        <w:t xml:space="preserve">בבד"ה </w:t>
      </w:r>
      <w:r w:rsidR="00DD7627" w:rsidRPr="00882F11">
        <w:rPr>
          <w:rFonts w:cs="Guttman Drogolin" w:hint="cs"/>
          <w:rtl/>
          <w:lang w:bidi="he-IL"/>
        </w:rPr>
        <w:t xml:space="preserve">דלעולם צריכה הבליעה להיות סרוחה לגמרי וכמו בנבילה עצמה שצריכה </w:t>
      </w:r>
      <w:r w:rsidR="00DD7627" w:rsidRPr="00882F11">
        <w:rPr>
          <w:rFonts w:cs="Guttman Drogolin" w:hint="cs"/>
          <w:rtl/>
          <w:lang w:bidi="he-IL"/>
        </w:rPr>
        <w:lastRenderedPageBreak/>
        <w:t xml:space="preserve">להיות סרוחה לגמרי. ומ"מ התבשילים שהתבשלו בקדירה שאינה בת יומא נאכלים, אבל הוא משום שאמנם הבליעה עצמה פגומה, מ"מ אין בכח הכמות בליעות שיש בכלי לפגום את התבשיל אע"פ שאותם בליעות פגומים לגמרי. </w:t>
      </w:r>
      <w:r w:rsidR="00246274" w:rsidRPr="00882F11">
        <w:rPr>
          <w:rFonts w:cs="Guttman Drogolin" w:hint="cs"/>
          <w:rtl/>
          <w:lang w:bidi="he-IL"/>
        </w:rPr>
        <w:t xml:space="preserve">ובנוסח אחר </w:t>
      </w:r>
      <w:r w:rsidR="00B502E1" w:rsidRPr="00882F11">
        <w:rPr>
          <w:rFonts w:cs="Guttman Drogolin" w:hint="cs"/>
          <w:rtl/>
          <w:lang w:bidi="he-IL"/>
        </w:rPr>
        <w:t>ה</w:t>
      </w:r>
      <w:r w:rsidR="00246274" w:rsidRPr="00882F11">
        <w:rPr>
          <w:rFonts w:cs="Guttman Drogolin" w:hint="cs"/>
          <w:rtl/>
          <w:lang w:bidi="he-IL"/>
        </w:rPr>
        <w:t>יינו</w:t>
      </w:r>
      <w:r w:rsidR="00DD7627" w:rsidRPr="00882F11">
        <w:rPr>
          <w:rFonts w:cs="Guttman Drogolin" w:hint="cs"/>
          <w:rtl/>
          <w:lang w:bidi="he-IL"/>
        </w:rPr>
        <w:t xml:space="preserve"> שהבליעות הם פגומים אבל אינן פוגמים. </w:t>
      </w:r>
      <w:r w:rsidR="00246274" w:rsidRPr="00882F11">
        <w:rPr>
          <w:rFonts w:cs="Guttman Drogolin" w:hint="cs"/>
          <w:rtl/>
          <w:lang w:bidi="he-IL"/>
        </w:rPr>
        <w:t xml:space="preserve">אמנם שאר הראשונים נקטו שהבליעות עצמם גם אינן פגומים. וכן לכאורה מבואר בהמשך הגמ', שהרי ר' מאיר נקט שיש ראי' </w:t>
      </w:r>
      <w:r w:rsidR="005A1E8F" w:rsidRPr="00882F11">
        <w:rPr>
          <w:rFonts w:cs="Guttman Drogolin" w:hint="cs"/>
          <w:rtl/>
          <w:lang w:bidi="he-IL"/>
        </w:rPr>
        <w:t xml:space="preserve">מגיעולי נכרים אפילו אם התורה לא אסרה אלא קדירה בת יומא בלבד משום דאי אפשר שלא פגמה פורתא. </w:t>
      </w:r>
      <w:r w:rsidR="00C50ADC" w:rsidRPr="00882F11">
        <w:rPr>
          <w:rFonts w:cs="Guttman Drogolin" w:hint="cs"/>
          <w:rtl/>
          <w:lang w:bidi="he-IL"/>
        </w:rPr>
        <w:t>ופירש"י במס' פסחים היינו שהבליעה עמצה לא נפגמה אלא קצת, ומבואר לכאורה בהדיא שאפילו אם לא נפגמה אלא קצת הרי הוא בכלל נטל"פ, ולמ"ד נטל"פ מותר גם זה מותר</w:t>
      </w:r>
      <w:r w:rsidR="00904554" w:rsidRPr="00882F11">
        <w:rPr>
          <w:rStyle w:val="FootnoteReference"/>
          <w:rFonts w:cs="Guttman Drogolin"/>
          <w:rtl/>
          <w:lang w:bidi="he-IL"/>
        </w:rPr>
        <w:footnoteReference w:id="139"/>
      </w:r>
      <w:r w:rsidR="00C50ADC" w:rsidRPr="00882F11">
        <w:rPr>
          <w:rFonts w:cs="Guttman Drogolin" w:hint="cs"/>
          <w:rtl/>
          <w:lang w:bidi="he-IL"/>
        </w:rPr>
        <w:t>. ואע"ג שרש"י כאן פי' שלא פגמה פורתא היינו שפגם את התבשיל שנתבשל בתוכה פורתא, וא</w:t>
      </w:r>
      <w:r w:rsidR="00F434CE" w:rsidRPr="00882F11">
        <w:rPr>
          <w:rFonts w:cs="Guttman Drogolin" w:hint="cs"/>
          <w:rtl/>
          <w:lang w:bidi="he-IL"/>
        </w:rPr>
        <w:t>"</w:t>
      </w:r>
      <w:r w:rsidR="00C50ADC" w:rsidRPr="00882F11">
        <w:rPr>
          <w:rFonts w:cs="Guttman Drogolin" w:hint="cs"/>
          <w:rtl/>
          <w:lang w:bidi="he-IL"/>
        </w:rPr>
        <w:t>כ לכאורה י"ל שהבליעה עצמה נפגמה לגמרי,</w:t>
      </w:r>
      <w:r w:rsidR="00F434CE" w:rsidRPr="00882F11">
        <w:rPr>
          <w:rFonts w:cs="Guttman Drogolin" w:hint="cs"/>
          <w:rtl/>
          <w:lang w:bidi="he-IL"/>
        </w:rPr>
        <w:t xml:space="preserve"> רק שאינה פוגמת את התבשיל אלא פורתא.</w:t>
      </w:r>
      <w:r w:rsidR="00460AFB" w:rsidRPr="00882F11">
        <w:rPr>
          <w:rFonts w:cs="Guttman Drogolin" w:hint="cs"/>
          <w:rtl/>
          <w:lang w:bidi="he-IL"/>
        </w:rPr>
        <w:t xml:space="preserve"> </w:t>
      </w:r>
      <w:r w:rsidR="00A97E5B" w:rsidRPr="00882F11">
        <w:rPr>
          <w:rFonts w:cs="Guttman Drogolin" w:hint="cs"/>
          <w:rtl/>
          <w:lang w:bidi="he-IL"/>
        </w:rPr>
        <w:t>מ"מ</w:t>
      </w:r>
      <w:r w:rsidR="00460AFB" w:rsidRPr="00882F11">
        <w:rPr>
          <w:rFonts w:cs="Guttman Drogolin" w:hint="cs"/>
          <w:rtl/>
          <w:lang w:bidi="he-IL"/>
        </w:rPr>
        <w:t xml:space="preserve"> אפילו את"ל כן </w:t>
      </w:r>
      <w:r w:rsidR="00A97E5B" w:rsidRPr="00882F11">
        <w:rPr>
          <w:rFonts w:cs="Guttman Drogolin" w:hint="cs"/>
          <w:rtl/>
          <w:lang w:bidi="he-IL"/>
        </w:rPr>
        <w:t xml:space="preserve">לכאורה </w:t>
      </w:r>
      <w:r w:rsidR="00460AFB" w:rsidRPr="00882F11">
        <w:rPr>
          <w:rFonts w:cs="Guttman Drogolin" w:hint="cs"/>
          <w:rtl/>
          <w:lang w:bidi="he-IL"/>
        </w:rPr>
        <w:t>הגמ' מוקשה אליבא דרא"ה, דהא אם הבליעה סרוחה לגמרי מה איכפת לן אם פגם את התבשיל פורתא. ואולי י"ל שכוונת הגמ' לומר שאי אפשר שלא פגמה פורתא, וזהו סימן שהבליעות שבתוך הכלי ע"כ פגומים לגמרי. ואולי יש לחדש שאף אם הבליעות פגומות לגמרי, עכשיו שהם חלק של תבשיל אחר אילו לא הי' פוגם הי' מותר</w:t>
      </w:r>
      <w:r w:rsidR="00A97E5B" w:rsidRPr="00882F11">
        <w:rPr>
          <w:rFonts w:cs="Guttman Drogolin" w:hint="cs"/>
          <w:rtl/>
          <w:lang w:bidi="he-IL"/>
        </w:rPr>
        <w:t>.</w:t>
      </w:r>
      <w:r w:rsidR="00460AFB" w:rsidRPr="00882F11">
        <w:rPr>
          <w:rFonts w:cs="Guttman Drogolin" w:hint="cs"/>
          <w:rtl/>
          <w:lang w:bidi="he-IL"/>
        </w:rPr>
        <w:t xml:space="preserve"> ודח</w:t>
      </w:r>
      <w:r w:rsidR="00A97E5B" w:rsidRPr="00882F11">
        <w:rPr>
          <w:rFonts w:cs="Guttman Drogolin" w:hint="cs"/>
          <w:rtl/>
          <w:lang w:bidi="he-IL"/>
        </w:rPr>
        <w:t>ו</w:t>
      </w:r>
      <w:r w:rsidR="00460AFB" w:rsidRPr="00882F11">
        <w:rPr>
          <w:rFonts w:cs="Guttman Drogolin" w:hint="cs"/>
          <w:rtl/>
          <w:lang w:bidi="he-IL"/>
        </w:rPr>
        <w:t>ק.</w:t>
      </w:r>
    </w:p>
    <w:p w:rsidR="000259F8" w:rsidRPr="00882F11" w:rsidRDefault="00460AFB" w:rsidP="00E848C3">
      <w:pPr>
        <w:bidi/>
        <w:jc w:val="both"/>
        <w:rPr>
          <w:rFonts w:cs="Guttman Drogolin"/>
          <w:rtl/>
          <w:lang w:bidi="he-IL"/>
        </w:rPr>
      </w:pPr>
      <w:r w:rsidRPr="00882F11">
        <w:rPr>
          <w:rFonts w:cs="Guttman Drogolin" w:hint="cs"/>
          <w:rtl/>
          <w:lang w:bidi="he-IL"/>
        </w:rPr>
        <w:t xml:space="preserve">ועוד קשה לשיטת הרא"ה, שהרי במתני' מבואר שחומץ לתוך הגריסים יש לו ההיתר של נטל"פ, ולכאורה במקרה כזה הא החומץ חזי שפיר, ולתוך גריסים צוננים לאחר שנתבשלו שפיר הוו נותן טעם לשבח. </w:t>
      </w:r>
      <w:r w:rsidR="00F60C5C" w:rsidRPr="00882F11">
        <w:rPr>
          <w:rFonts w:cs="Guttman Drogolin" w:hint="cs"/>
          <w:rtl/>
          <w:lang w:bidi="he-IL"/>
        </w:rPr>
        <w:t>וכה"ג הקשה במשמרת הבית.</w:t>
      </w:r>
      <w:r w:rsidR="000259F8" w:rsidRPr="00882F11">
        <w:rPr>
          <w:rFonts w:cs="Guttman Drogolin" w:hint="cs"/>
          <w:rtl/>
          <w:lang w:bidi="he-IL"/>
        </w:rPr>
        <w:t xml:space="preserve"> וכן עוד כמה דברים. וצ"ע. הרי דמבואר לכאורה שהכל תלוי ב'פוגם' ולאו דוקא ב'פגום'. ולכן נקטו כמה ראשונים שבאמת אינו פגום לגמרי וכן אינו </w:t>
      </w:r>
      <w:r w:rsidR="000259F8" w:rsidRPr="00882F11">
        <w:rPr>
          <w:rFonts w:cs="Guttman Drogolin" w:hint="cs"/>
          <w:rtl/>
          <w:lang w:bidi="he-IL"/>
        </w:rPr>
        <w:lastRenderedPageBreak/>
        <w:t>פוגם לגמרי. וא"כ צ"ע מאי שנא מנבילה שצ"ל אינו ראוי לאכילת אדם.</w:t>
      </w:r>
      <w:r w:rsidR="00E848C3" w:rsidRPr="00882F11">
        <w:rPr>
          <w:rFonts w:cs="Guttman Drogolin" w:hint="cs"/>
          <w:rtl/>
          <w:lang w:bidi="he-IL"/>
        </w:rPr>
        <w:t xml:space="preserve"> וע' לקמן שיעור ל"ו מש"כ בזה. </w:t>
      </w:r>
    </w:p>
    <w:p w:rsidR="00EF4B82" w:rsidRPr="00882F11" w:rsidRDefault="00195F83" w:rsidP="00A97E5B">
      <w:pPr>
        <w:bidi/>
        <w:jc w:val="both"/>
        <w:rPr>
          <w:rFonts w:cs="Guttman Drogolin"/>
          <w:rtl/>
          <w:lang w:bidi="he-IL"/>
        </w:rPr>
      </w:pPr>
      <w:r>
        <w:rPr>
          <w:rFonts w:cs="Guttman Drogolin"/>
          <w:rtl/>
          <w:lang w:bidi="he-IL"/>
        </w:rPr>
        <w:fldChar w:fldCharType="begin"/>
      </w:r>
      <w:r>
        <w:instrText xml:space="preserve"> XE "</w:instrText>
      </w:r>
      <w:r w:rsidRPr="00CA6B7E">
        <w:rPr>
          <w:rFonts w:hint="cs"/>
          <w:rtl/>
          <w:lang w:bidi="he-IL"/>
        </w:rPr>
        <w:instrText>נותן טעם לפגם</w:instrText>
      </w:r>
      <w:r w:rsidRPr="00CA6B7E">
        <w:rPr>
          <w:rtl/>
        </w:rPr>
        <w:instrText>:</w:instrText>
      </w:r>
      <w:r w:rsidRPr="00CA6B7E">
        <w:rPr>
          <w:rFonts w:hint="cs"/>
          <w:rtl/>
          <w:lang w:bidi="he-IL"/>
        </w:rPr>
        <w:instrText>מחלוקת רשב</w:instrText>
      </w:r>
      <w:r>
        <w:rPr>
          <w:rFonts w:eastAsiaTheme="minorEastAsia"/>
          <w:lang w:bidi="he-IL"/>
        </w:rPr>
        <w:instrText>\</w:instrText>
      </w:r>
      <w:r w:rsidRPr="00CA6B7E">
        <w:rPr>
          <w:rFonts w:hint="cs"/>
          <w:rtl/>
          <w:lang w:bidi="he-IL"/>
        </w:rPr>
        <w:instrText>"א ור</w:instrText>
      </w:r>
      <w:r>
        <w:rPr>
          <w:rFonts w:eastAsiaTheme="minorEastAsia"/>
          <w:lang w:bidi="he-IL"/>
        </w:rPr>
        <w:instrText>\</w:instrText>
      </w:r>
      <w:r w:rsidRPr="00CA6B7E">
        <w:rPr>
          <w:rFonts w:hint="cs"/>
          <w:rtl/>
          <w:lang w:bidi="he-IL"/>
        </w:rPr>
        <w:instrText>"ן בטעם ההיתר</w:instrText>
      </w:r>
      <w:r>
        <w:instrText xml:space="preserve">" </w:instrText>
      </w:r>
      <w:r>
        <w:rPr>
          <w:rFonts w:cs="Guttman Drogolin"/>
          <w:rtl/>
          <w:lang w:bidi="he-IL"/>
        </w:rPr>
        <w:fldChar w:fldCharType="end"/>
      </w:r>
      <w:r w:rsidR="00921583" w:rsidRPr="00882F11">
        <w:rPr>
          <w:rFonts w:cs="Guttman Drogolin" w:hint="cs"/>
          <w:rtl/>
          <w:lang w:bidi="he-IL"/>
        </w:rPr>
        <w:t>וכתב בזה הרשב"א שם בתוה"א "</w:t>
      </w:r>
      <w:r w:rsidR="00EF4B82" w:rsidRPr="00882F11">
        <w:rPr>
          <w:rFonts w:cs="Guttman Drogolin" w:hint="cs"/>
          <w:rtl/>
          <w:lang w:bidi="he-IL"/>
        </w:rPr>
        <w:t>ואם תאמר והלא נותן</w:t>
      </w:r>
      <w:r w:rsidR="0097744A" w:rsidRPr="00882F11">
        <w:rPr>
          <w:rFonts w:cs="Guttman Drogolin" w:hint="cs"/>
          <w:rtl/>
          <w:lang w:bidi="he-IL"/>
        </w:rPr>
        <w:t xml:space="preserve"> </w:t>
      </w:r>
      <w:r w:rsidR="00EF4B82" w:rsidRPr="00882F11">
        <w:rPr>
          <w:rFonts w:cs="Guttman Drogolin" w:hint="cs"/>
          <w:rtl/>
          <w:lang w:bidi="he-IL"/>
        </w:rPr>
        <w:t>טעם לפגם מנבלה גמר</w:t>
      </w:r>
      <w:r w:rsidR="00A97E5B" w:rsidRPr="00882F11">
        <w:rPr>
          <w:rFonts w:cs="Guttman Drogolin" w:hint="cs"/>
          <w:rtl/>
          <w:lang w:bidi="he-IL"/>
        </w:rPr>
        <w:t>י</w:t>
      </w:r>
      <w:r w:rsidR="00EF4B82" w:rsidRPr="00882F11">
        <w:rPr>
          <w:rFonts w:cs="Guttman Drogolin" w:hint="cs"/>
          <w:rtl/>
          <w:lang w:bidi="he-IL"/>
        </w:rPr>
        <w:t xml:space="preserve">נן לה והתם נבלה הראויה לגר שמה נבילה לא קשיא דהתם היינו להתירה בפני עצמה והילכך עד דמיפגמה לגמרי מאכילת גר אסורה אבל איסור תערובת שהולכין בו אחר טעמו כיון שנותן טעם לפגם כל שהוא בתערובתו מותר לפי שאינו נותן טעם דאדרבה פוגם". ונחלקו האחרונים בביאור כוונתו. </w:t>
      </w:r>
    </w:p>
    <w:p w:rsidR="005B33B0" w:rsidRPr="00882F11" w:rsidRDefault="00EF4B82" w:rsidP="00EB4B49">
      <w:pPr>
        <w:bidi/>
        <w:jc w:val="both"/>
        <w:rPr>
          <w:rFonts w:cs="Guttman Drogolin"/>
          <w:rtl/>
          <w:lang w:bidi="he-IL"/>
        </w:rPr>
      </w:pPr>
      <w:r w:rsidRPr="00882F11">
        <w:rPr>
          <w:rFonts w:cs="Guttman Drogolin" w:hint="cs"/>
          <w:rtl/>
          <w:lang w:bidi="he-IL"/>
        </w:rPr>
        <w:t xml:space="preserve">הפמ"ג וחוו"ד למדו שההיתר של נטל"פ אין מקורו מנבילה שאינה ראוי' לגר, דאדרבה, אילו הי' משם הי' קשה דהא דראוי' היא קצת. רק שהוא ביאור בהא דאסרה תורה טעם, שבמה שאמרה תורה טעם כעיקר מדאורייתא כוונת התורה לטעם לשבח, אבל טעם לפגם לא שמה טעם. וכן לכאורה הי' נראה ביאור לשון הרשב"א הנ"ל. אלא שיל"ע אם זה תואם למבואר בגמ'. שהרי בגמ' מבואר </w:t>
      </w:r>
      <w:r w:rsidR="00AC50B0" w:rsidRPr="00882F11">
        <w:rPr>
          <w:rFonts w:cs="Guttman Drogolin" w:hint="cs"/>
          <w:rtl/>
          <w:lang w:bidi="he-IL"/>
        </w:rPr>
        <w:t>שר"מ למד מגיעולי נכרים שנטל"פ אסור, ור"ש לא דחה אלא משום דסבר שבגיעולי נכרים אין הכרח אלא שאסרו קדרה בת יומא</w:t>
      </w:r>
      <w:r w:rsidR="00EB4B49" w:rsidRPr="00882F11">
        <w:rPr>
          <w:rFonts w:cs="Guttman Drogolin" w:hint="cs"/>
          <w:rtl/>
          <w:lang w:bidi="he-IL"/>
        </w:rPr>
        <w:t>. ומשמע שלר"ש הרי זה מותר כיון ד</w:t>
      </w:r>
      <w:r w:rsidR="00AC50B0" w:rsidRPr="00882F11">
        <w:rPr>
          <w:rFonts w:cs="Guttman Drogolin" w:hint="cs"/>
          <w:rtl/>
          <w:lang w:bidi="he-IL"/>
        </w:rPr>
        <w:t xml:space="preserve">ליכא גזה"כ ע"כ נותן טעם פירושו לשבח ולא לפגם, ורק לר"מ נטל"פ שמה טעם מכח גזה"כ. </w:t>
      </w:r>
      <w:r w:rsidR="00A97E5B" w:rsidRPr="00882F11">
        <w:rPr>
          <w:rFonts w:cs="Guttman Drogolin" w:hint="cs"/>
          <w:rtl/>
          <w:lang w:bidi="he-IL"/>
        </w:rPr>
        <w:t xml:space="preserve">ולפי"ז שפיר אפשר לומר דהיתירא דנטל"פ משום שאינו בכלל גזה"כ דטכ"ע. </w:t>
      </w:r>
      <w:r w:rsidR="00AC50B0" w:rsidRPr="00882F11">
        <w:rPr>
          <w:rFonts w:cs="Guttman Drogolin" w:hint="cs"/>
          <w:rtl/>
          <w:lang w:bidi="he-IL"/>
        </w:rPr>
        <w:t xml:space="preserve">אלא שכבר הערנו בתחילת דברינו </w:t>
      </w:r>
      <w:r w:rsidR="00EB4B49" w:rsidRPr="00882F11">
        <w:rPr>
          <w:rFonts w:cs="Guttman Drogolin" w:hint="cs"/>
          <w:rtl/>
          <w:lang w:bidi="he-IL"/>
        </w:rPr>
        <w:t>ש</w:t>
      </w:r>
      <w:r w:rsidR="00AC50B0" w:rsidRPr="00882F11">
        <w:rPr>
          <w:rFonts w:cs="Guttman Drogolin" w:hint="cs"/>
          <w:rtl/>
          <w:lang w:bidi="he-IL"/>
        </w:rPr>
        <w:t xml:space="preserve">בהמשך הגמ' מבואר שלמדו דין נטל"פ מנבילה שאינה ראוי' לגר, ואם הדין שנטל"פ מותר הוא משום שלא מיקרי טעם, מה למד ר"ש מגזה"כ </w:t>
      </w:r>
      <w:r w:rsidR="00EB4B49" w:rsidRPr="00882F11">
        <w:rPr>
          <w:rFonts w:cs="Guttman Drogolin" w:hint="cs"/>
          <w:rtl/>
          <w:lang w:bidi="he-IL"/>
        </w:rPr>
        <w:t>ד</w:t>
      </w:r>
      <w:r w:rsidR="00AC50B0" w:rsidRPr="00882F11">
        <w:rPr>
          <w:rFonts w:cs="Guttman Drogolin" w:hint="cs"/>
          <w:rtl/>
          <w:lang w:bidi="he-IL"/>
        </w:rPr>
        <w:t xml:space="preserve">נבילה שאינה ראוי' לגר, </w:t>
      </w:r>
      <w:r w:rsidR="006C1188" w:rsidRPr="00882F11">
        <w:rPr>
          <w:rFonts w:cs="Guttman Drogolin" w:hint="cs"/>
          <w:rtl/>
          <w:lang w:bidi="he-IL"/>
        </w:rPr>
        <w:t xml:space="preserve">הא שפיר י"ל שלענין מאכלות אסורות אסור אבל לענין טעם לא מיקרי טעם. ועוד קשה מן הגמ' שבמס' פסחים דף מ"ד ע"ב, ששם מבואר שיטה שלישית, שאמנם סוברים שאפילו כלי בת יומא </w:t>
      </w:r>
      <w:r w:rsidR="00CE4491" w:rsidRPr="00882F11">
        <w:rPr>
          <w:rFonts w:cs="Guttman Drogolin" w:hint="cs"/>
          <w:rtl/>
          <w:lang w:bidi="he-IL"/>
        </w:rPr>
        <w:t>הוי פגום פורתא, מ"מ אין למידין מזה דנטל"פ מותר, רק להיפך, מזה מוכח שאי אפשר ללמוד מגיע</w:t>
      </w:r>
      <w:r w:rsidR="00F433ED" w:rsidRPr="00882F11">
        <w:rPr>
          <w:rFonts w:cs="Guttman Drogolin" w:hint="cs"/>
          <w:rtl/>
          <w:lang w:bidi="he-IL"/>
        </w:rPr>
        <w:t>ו</w:t>
      </w:r>
      <w:r w:rsidR="00CE4491" w:rsidRPr="00882F11">
        <w:rPr>
          <w:rFonts w:cs="Guttman Drogolin" w:hint="cs"/>
          <w:rtl/>
          <w:lang w:bidi="he-IL"/>
        </w:rPr>
        <w:t xml:space="preserve">לי נכרים דינא דטכ"ע, שהא חידוש הוא כיון שגם נטל"פ אסור. וראיתי בהערה לס' נתיבי התערובת שהעיר שלכאורה </w:t>
      </w:r>
      <w:r w:rsidR="00107986" w:rsidRPr="00882F11">
        <w:rPr>
          <w:rFonts w:cs="Guttman Drogolin" w:hint="cs"/>
          <w:rtl/>
          <w:lang w:bidi="he-IL"/>
        </w:rPr>
        <w:t xml:space="preserve">אם </w:t>
      </w:r>
      <w:r w:rsidR="00EB4B49" w:rsidRPr="00882F11">
        <w:rPr>
          <w:rFonts w:cs="Guttman Drogolin" w:hint="cs"/>
          <w:rtl/>
          <w:lang w:bidi="he-IL"/>
        </w:rPr>
        <w:t xml:space="preserve">לומדים </w:t>
      </w:r>
      <w:r w:rsidR="00107986" w:rsidRPr="00882F11">
        <w:rPr>
          <w:rFonts w:cs="Guttman Drogolin" w:hint="cs"/>
          <w:rtl/>
          <w:lang w:bidi="he-IL"/>
        </w:rPr>
        <w:t xml:space="preserve">טעם כעיקר </w:t>
      </w:r>
      <w:r w:rsidR="00EB4B49" w:rsidRPr="00882F11">
        <w:rPr>
          <w:rFonts w:cs="Guttman Drogolin" w:hint="cs"/>
          <w:rtl/>
          <w:lang w:bidi="he-IL"/>
        </w:rPr>
        <w:t xml:space="preserve">מדאו' </w:t>
      </w:r>
      <w:r w:rsidR="007D6E04" w:rsidRPr="00882F11">
        <w:rPr>
          <w:rFonts w:cs="Guttman Drogolin" w:hint="cs"/>
          <w:rtl/>
          <w:lang w:bidi="he-IL"/>
        </w:rPr>
        <w:t xml:space="preserve">מגיעולי </w:t>
      </w:r>
      <w:r w:rsidR="007D6E04" w:rsidRPr="00882F11">
        <w:rPr>
          <w:rFonts w:cs="Guttman Drogolin" w:hint="cs"/>
          <w:rtl/>
          <w:lang w:bidi="he-IL"/>
        </w:rPr>
        <w:lastRenderedPageBreak/>
        <w:t>נכרים, מה זאת אומרת חידוש הוא, הא עד כמה שלומדים מגיעולי נכרים חזינן דנטל"פ אסור. ואני אוסיף דהא מפורש שם בגמ' דחידוש הוא כיון שבעלמא הא דנטל"פ מותר למידין מנבילה שאינה ראוי' לגר, הא לדבריהם אינו נלמד מנבילה שאינה ראוי' לגר רק זהו הפירוש של טעם שאסרה תורה.</w:t>
      </w:r>
    </w:p>
    <w:p w:rsidR="00C57CB7" w:rsidRPr="00882F11" w:rsidRDefault="005B33B0" w:rsidP="00C1268D">
      <w:pPr>
        <w:bidi/>
        <w:jc w:val="both"/>
        <w:rPr>
          <w:rFonts w:cs="Guttman Drogolin"/>
          <w:rtl/>
          <w:lang w:bidi="he-IL"/>
        </w:rPr>
      </w:pPr>
      <w:r w:rsidRPr="00882F11">
        <w:rPr>
          <w:rFonts w:cs="Guttman Drogolin" w:hint="cs"/>
          <w:rtl/>
          <w:lang w:bidi="he-IL"/>
        </w:rPr>
        <w:t>והיד יהודה וכן בקה"י נקטו שלעולם גם הרשב"א למד שהמקור להיתירא דנטל"פ הוא מגזה"כ שנבילה שאינה</w:t>
      </w:r>
      <w:r w:rsidR="007D6E04" w:rsidRPr="00882F11">
        <w:rPr>
          <w:rFonts w:cs="Guttman Drogolin" w:hint="cs"/>
          <w:rtl/>
          <w:lang w:bidi="he-IL"/>
        </w:rPr>
        <w:t xml:space="preserve"> </w:t>
      </w:r>
      <w:r w:rsidRPr="00882F11">
        <w:rPr>
          <w:rFonts w:cs="Guttman Drogolin" w:hint="cs"/>
          <w:rtl/>
          <w:lang w:bidi="he-IL"/>
        </w:rPr>
        <w:t xml:space="preserve">ראוי' לגר. ויסוד הלימוד מנבילה הוא </w:t>
      </w:r>
      <w:r w:rsidR="00C1268D" w:rsidRPr="00882F11">
        <w:rPr>
          <w:rFonts w:cs="Guttman Drogolin" w:hint="cs"/>
          <w:rtl/>
          <w:lang w:bidi="he-IL"/>
        </w:rPr>
        <w:t>שכל דבר שקץ בה אין עוברים עליו</w:t>
      </w:r>
      <w:r w:rsidRPr="00882F11">
        <w:rPr>
          <w:rFonts w:cs="Guttman Drogolin" w:hint="cs"/>
          <w:rtl/>
          <w:lang w:bidi="he-IL"/>
        </w:rPr>
        <w:t>. ולכן אם מדובר באכילת עצם הנבילה צריך להיות שהנבילה סרוחה לגמרי, אבל אם האיסור מעורב בדבר אחר אין אנו אוסרים אלא משום מה שמוסיף לתערובת, וכיון שהוא קץ בהוספת האיסור יש בה ההיתר של נבילה שאינה ראוי' לגר. והשאלה שיש בז</w:t>
      </w:r>
      <w:r w:rsidR="00C57CB7" w:rsidRPr="00882F11">
        <w:rPr>
          <w:rFonts w:cs="Guttman Drogolin" w:hint="cs"/>
          <w:rtl/>
          <w:lang w:bidi="he-IL"/>
        </w:rPr>
        <w:t>ה הוא דנהי נמי שאין לאסור משום דינא דטכ"ע ומשום שהיסוד של האיסור של טכ"ע הוא משום שמוסיף טעם לתבשיל, וכיון שקץ בהוספת הטעם אין לאסור. אבל כשמעורב טעמו וממשו למה אין לאסור, הא יש מן האיסור בתוך התערובת ואינו בטל. ובחי' ר' חיים הלוי כתב שהמקור לזה שטעמו וממשו לא בטל הוא מגזה"כ דטכ"ע</w:t>
      </w:r>
      <w:r w:rsidR="00C1268D" w:rsidRPr="00882F11">
        <w:rPr>
          <w:rFonts w:cs="Guttman Drogolin" w:hint="cs"/>
          <w:rtl/>
          <w:lang w:bidi="he-IL"/>
        </w:rPr>
        <w:t xml:space="preserve"> ולכן כיון דליתי'</w:t>
      </w:r>
      <w:r w:rsidR="00C57CB7" w:rsidRPr="00882F11">
        <w:rPr>
          <w:rFonts w:cs="Guttman Drogolin" w:hint="cs"/>
          <w:rtl/>
          <w:lang w:bidi="he-IL"/>
        </w:rPr>
        <w:t xml:space="preserve">, אבל עדיין צ"ע, דהא ניחא למ"ד טכ"ע דאורייתא, אבל למ"ד טכ"ע לאו דאורייתא מא"ל, והרשב"א עצמו דן באריכות אם טכ"ע דאורייתא או לא, ולכן קשה לומר שדבריו מבוססים על זה דטכ"ע דאורייתא. </w:t>
      </w:r>
    </w:p>
    <w:p w:rsidR="000F3021" w:rsidRPr="00882F11" w:rsidRDefault="00C57CB7" w:rsidP="00C1268D">
      <w:pPr>
        <w:bidi/>
        <w:jc w:val="both"/>
        <w:rPr>
          <w:rFonts w:cs="Guttman Drogolin"/>
          <w:rtl/>
          <w:lang w:bidi="he-IL"/>
        </w:rPr>
      </w:pPr>
      <w:r w:rsidRPr="00882F11">
        <w:rPr>
          <w:rFonts w:cs="Guttman Drogolin" w:hint="cs"/>
          <w:rtl/>
          <w:lang w:bidi="he-IL"/>
        </w:rPr>
        <w:t>והי' נראה שהרשב"א עצמו דן בזה, שהרי בדף כ' ע"ב (מדפי התוה"א)</w:t>
      </w:r>
      <w:r w:rsidR="00424403" w:rsidRPr="00882F11">
        <w:rPr>
          <w:rFonts w:cs="Guttman Drogolin" w:hint="cs"/>
          <w:rtl/>
          <w:lang w:bidi="he-IL"/>
        </w:rPr>
        <w:t xml:space="preserve"> באמצע מש"כ הרשב"א בענין דברים המאוסים שהתורה מ"מ אסר</w:t>
      </w:r>
      <w:r w:rsidR="00C1268D" w:rsidRPr="00882F11">
        <w:rPr>
          <w:rFonts w:cs="Guttman Drogolin" w:hint="cs"/>
          <w:rtl/>
          <w:lang w:bidi="he-IL"/>
        </w:rPr>
        <w:t>ת</w:t>
      </w:r>
      <w:r w:rsidR="00424403" w:rsidRPr="00882F11">
        <w:rPr>
          <w:rFonts w:cs="Guttman Drogolin" w:hint="cs"/>
          <w:rtl/>
          <w:lang w:bidi="he-IL"/>
        </w:rPr>
        <w:t xml:space="preserve">ן כתב "ואני תמיה עוד אחר שאין בתערובתן ששים לבטלן ואפילו יש בהן כזית בכדי אכילת פרס מפני מה אתה מתירו והלא הוא כאילו הוא בפני עצמו וכי אילו נפל איסור מרובה לתוך היתר מועט או שנפל מעט היתר מושבח לתוך איסורין פגומין אילו נאמר שיהא כל האיסור המאוס מעיקרו ניתר </w:t>
      </w:r>
      <w:r w:rsidR="004D1C4F" w:rsidRPr="00882F11">
        <w:rPr>
          <w:rFonts w:cs="Guttman Drogolin" w:hint="cs"/>
          <w:rtl/>
          <w:lang w:bidi="he-IL"/>
        </w:rPr>
        <w:t xml:space="preserve">על ידי היתר זה המועט שנכנס לתוכו ויש לומר שלא אמרו אלא דוקא בשההיתר רבה על האיסור שהאיסור המועט בטל אצל </w:t>
      </w:r>
      <w:r w:rsidR="004D1C4F" w:rsidRPr="00882F11">
        <w:rPr>
          <w:rFonts w:cs="Guttman Drogolin" w:hint="cs"/>
          <w:rtl/>
          <w:lang w:bidi="he-IL"/>
        </w:rPr>
        <w:lastRenderedPageBreak/>
        <w:t xml:space="preserve">ההיתר המרובה דבכל התורה כולה הולכין אחר הרוב ואי משום טעמו של איסור שהוא נטעם ונרגש בו כאילו הוא בעינו [טעם כזה אינו טעם] לאסור את ההיתר המרובה דאדרבה הוא פוגמו כמו שאמרנו וכמו שכתבנו למעלה בשאר נותני טעם לפגם". והי' נראה לכאורה הביאור בכוונתו שאפילו כשיש היכר טעם מ"מ הרי הוא בטל ברוב, ואי משום דינא דטכ"ע הא הוי לפגם. </w:t>
      </w:r>
      <w:r w:rsidR="00C1268D" w:rsidRPr="00882F11">
        <w:rPr>
          <w:rFonts w:cs="Guttman Drogolin" w:hint="cs"/>
          <w:rtl/>
          <w:lang w:bidi="he-IL"/>
        </w:rPr>
        <w:t>ומשמע כדברי הגר"ח הנ"ל. אלא שעל זה</w:t>
      </w:r>
      <w:r w:rsidR="004D1C4F" w:rsidRPr="00882F11">
        <w:rPr>
          <w:rFonts w:cs="Guttman Drogolin" w:hint="cs"/>
          <w:rtl/>
          <w:lang w:bidi="he-IL"/>
        </w:rPr>
        <w:t xml:space="preserve"> גופא צ"ע שלמ"ד טכ"ע לאו דאורייתא אין הטעם לאסור טעמו וממשו משום דטכ"ע, רק משום שיש היכר טעם המונע את הביטול, ולמה יהא חילוק בענין היכר טעם המונע ביטול בין לפגם לבין לשבח.</w:t>
      </w:r>
      <w:r w:rsidR="000F3021" w:rsidRPr="00882F11">
        <w:rPr>
          <w:rFonts w:cs="Guttman Drogolin" w:hint="cs"/>
          <w:rtl/>
          <w:lang w:bidi="he-IL"/>
        </w:rPr>
        <w:t xml:space="preserve"> וצ"ע.</w:t>
      </w:r>
    </w:p>
    <w:p w:rsidR="0036354A" w:rsidRPr="00882F11" w:rsidRDefault="0036354A" w:rsidP="00B502E1">
      <w:pPr>
        <w:bidi/>
        <w:jc w:val="both"/>
        <w:rPr>
          <w:rFonts w:cs="Guttman Drogolin"/>
          <w:rtl/>
          <w:lang w:bidi="he-IL"/>
        </w:rPr>
      </w:pPr>
      <w:r w:rsidRPr="00882F11">
        <w:rPr>
          <w:rFonts w:cs="Guttman Drogolin" w:hint="cs"/>
          <w:rtl/>
          <w:lang w:bidi="he-IL"/>
        </w:rPr>
        <w:t xml:space="preserve">והר"ן חלק על הרשב"א. חדא דסבירא לי' שהטעם דלא בעינן סרוח לגמרי משום שכל שקץ באכילתו הרי זה </w:t>
      </w:r>
      <w:r w:rsidR="00B502E1" w:rsidRPr="00882F11">
        <w:rPr>
          <w:rFonts w:cs="Guttman Drogolin" w:hint="cs"/>
          <w:rtl/>
          <w:lang w:bidi="he-IL"/>
        </w:rPr>
        <w:t>מותר</w:t>
      </w:r>
      <w:r w:rsidRPr="00882F11">
        <w:rPr>
          <w:rFonts w:cs="Guttman Drogolin" w:hint="cs"/>
          <w:rtl/>
          <w:lang w:bidi="he-IL"/>
        </w:rPr>
        <w:t>, ולכן בנבילה ממש בעינן סרוח לגמרי, ובטעם בעינן סרוח כדי שאינו נהנה מן התוספת. ולענין הקושיא של הרשב"א דליהוי חייב אם יש כזית בכדי אכילת פרס, סבר הר"ן בחידושיו דאה"נ דכה"ג חייב. וביאר דאי משום ביטול ברוב הא איכא כזית בכדי אכילת פרס, ואי משום ראוי' לגר הא הרבה מדותיו ולכן ליתי' להאי היתירא. ורע"א למד שבנטל"פ כדי לאסור בעינן סברא דאחשבי'. ולכאורה ר"ל שכל שיש לומר שאוכלו כדי לאכול הדבר איסור אין כאן ההיתר של נבילה שאינה ראוי' לגר. ולכן בפני עצמו בעינן סרוח לגמרי. וע"י תערובת כיון שאפשר לתלות שאוכלו בשביל ההיתר, איכא למימר שהוא מותר. אבל אם ריבה המדה וכדומה שוב יש לומר</w:t>
      </w:r>
      <w:r w:rsidR="00C27EB0" w:rsidRPr="00882F11">
        <w:rPr>
          <w:rFonts w:cs="Guttman Drogolin" w:hint="cs"/>
          <w:rtl/>
          <w:lang w:bidi="he-IL"/>
        </w:rPr>
        <w:t xml:space="preserve"> שאוכלו בשביל הדבר איסור ואסור. ולענין זה שמפורש בחי' הר"ן שאין האיסור בטל, מבואר שכן הדין אפילו אם יש כזית בכדי אכילת פרס. וצ"ע מהו הטעם דלא בטל. ולכאורה היינו משום שיש היכר טעם אע"פ שאינו ע"י טעם איסור רק טעם לפגם אינו בטל. או"ד דסבירא דכזית בכדי אכילת פרס אף פעם לא מתבטל. ותלוי בפי' דברי הגמ' במס' פסחים דף מ"ד ע"א למה הכזית בכדי אכילת פרס לא בטל.  </w:t>
      </w:r>
      <w:r w:rsidRPr="00882F11">
        <w:rPr>
          <w:rFonts w:cs="Guttman Drogolin" w:hint="cs"/>
          <w:rtl/>
          <w:lang w:bidi="he-IL"/>
        </w:rPr>
        <w:t xml:space="preserve">   </w:t>
      </w:r>
    </w:p>
    <w:p w:rsidR="00D2070E" w:rsidRPr="00882F11" w:rsidRDefault="000F3021" w:rsidP="00C1268D">
      <w:pPr>
        <w:bidi/>
        <w:jc w:val="both"/>
        <w:rPr>
          <w:rFonts w:cs="Guttman Drogolin"/>
          <w:rtl/>
          <w:lang w:bidi="he-IL"/>
        </w:rPr>
      </w:pPr>
      <w:r w:rsidRPr="00882F11">
        <w:rPr>
          <w:rFonts w:cs="Guttman Drogolin" w:hint="cs"/>
          <w:rtl/>
          <w:lang w:bidi="he-IL"/>
        </w:rPr>
        <w:lastRenderedPageBreak/>
        <w:t xml:space="preserve">ולכאורה הי' נראה שיש סתירה בדברי הרשב"א, שהרי מעיקרא בדף י"ט ע"א כתב הרשב"א הטעם שאין חוששין לטעם בכלי אע"פ שהכלי יותר גדול מן </w:t>
      </w:r>
      <w:r w:rsidR="00A87AAF" w:rsidRPr="00882F11">
        <w:rPr>
          <w:rFonts w:cs="Guttman Drogolin" w:hint="cs"/>
          <w:rtl/>
          <w:lang w:bidi="he-IL"/>
        </w:rPr>
        <w:t xml:space="preserve">המאכל "כיון דליכא אלא טעמו של איסור ולא ממשו בכל ענין שרי דהא לא אסרת אלא מחמת טעמו וטעמו בתערובת דוקא בשיש בהנאתו בנותן טעם אסור הא לאו הכי שרי". ומלשון זה לכאורה הי' משמע שהטעם שהוא מותר משום שלא איכפת לן אם יש רוב היתר או לא, דכיון שאינו אלא טעם והטעם הרי הוא לפגם </w:t>
      </w:r>
      <w:r w:rsidR="00C1268D" w:rsidRPr="00882F11">
        <w:rPr>
          <w:rFonts w:cs="Guttman Drogolin" w:hint="cs"/>
          <w:rtl/>
          <w:lang w:bidi="he-IL"/>
        </w:rPr>
        <w:t xml:space="preserve">הרי זה </w:t>
      </w:r>
      <w:r w:rsidR="00A87AAF" w:rsidRPr="00882F11">
        <w:rPr>
          <w:rFonts w:cs="Guttman Drogolin" w:hint="cs"/>
          <w:rtl/>
          <w:lang w:bidi="he-IL"/>
        </w:rPr>
        <w:t>מותר. ולכאורה הי' משמע מזה שאם אין טעם אסור מדינא דטכ"ע אינו צריך לו להיתר דביטול ברוב וכמו שדייק רע"א בדעתם של התוס' במס' חולין. אבל בדף כ' ע"ב כתב הטעם משום שאין הכלי מלא ממש ולכן יש להניח  שיש רוב נגד הטעם, ומשמע שלא כשיטת התוס' שם, וכן דקדק רע"א מדברי הרשב"א בדף כ' ע"ב (ולא התייחס לזה שדבריו מקודם משמע אחרת). וכן ראיתי במגילת ספר שהעיר בזה שלכאורה יש ב' תירוצים, וכתב שכן משמע גם מתורת הבית הקצר. וחשבתי אולי לומר שאין כאן סתירה, ולעולם בעינן ההיתר של ביטול ברוב כדי להתיר</w:t>
      </w:r>
      <w:r w:rsidR="00926B7B" w:rsidRPr="00882F11">
        <w:rPr>
          <w:rFonts w:cs="Guttman Drogolin" w:hint="cs"/>
          <w:rtl/>
          <w:lang w:bidi="he-IL"/>
        </w:rPr>
        <w:t xml:space="preserve"> אם התערב בו ממשו של איסור, ומהני לזה ביטול אפילו אם יש היכר טעם</w:t>
      </w:r>
      <w:r w:rsidR="00A87AAF" w:rsidRPr="00882F11">
        <w:rPr>
          <w:rFonts w:cs="Guttman Drogolin" w:hint="cs"/>
          <w:rtl/>
          <w:lang w:bidi="he-IL"/>
        </w:rPr>
        <w:t>. אבל לענין טעם</w:t>
      </w:r>
      <w:r w:rsidR="00926B7B" w:rsidRPr="00882F11">
        <w:rPr>
          <w:rFonts w:cs="Guttman Drogolin" w:hint="cs"/>
          <w:rtl/>
          <w:lang w:bidi="he-IL"/>
        </w:rPr>
        <w:t xml:space="preserve"> לא בעינן דינא דביטול ברוב</w:t>
      </w:r>
      <w:r w:rsidR="00A87AAF" w:rsidRPr="00882F11">
        <w:rPr>
          <w:rFonts w:cs="Guttman Drogolin" w:hint="cs"/>
          <w:rtl/>
          <w:lang w:bidi="he-IL"/>
        </w:rPr>
        <w:t xml:space="preserve">, </w:t>
      </w:r>
      <w:r w:rsidR="00926B7B" w:rsidRPr="00882F11">
        <w:rPr>
          <w:rFonts w:cs="Guttman Drogolin" w:hint="cs"/>
          <w:rtl/>
          <w:lang w:bidi="he-IL"/>
        </w:rPr>
        <w:t xml:space="preserve">אבל מ"מ </w:t>
      </w:r>
      <w:r w:rsidR="00A87AAF" w:rsidRPr="00882F11">
        <w:rPr>
          <w:rFonts w:cs="Guttman Drogolin" w:hint="cs"/>
          <w:rtl/>
          <w:lang w:bidi="he-IL"/>
        </w:rPr>
        <w:t>אם מכניס דבר איסור שהוא גדול יותר בכמותו מן ההיתר</w:t>
      </w:r>
      <w:r w:rsidR="00926B7B" w:rsidRPr="00882F11">
        <w:rPr>
          <w:rFonts w:cs="Guttman Drogolin" w:hint="cs"/>
          <w:rtl/>
          <w:lang w:bidi="he-IL"/>
        </w:rPr>
        <w:t xml:space="preserve"> י"ל שהוא קובע מהו טעמו של התבשיל, וא"כ לא יהא שונה מנבילה שאינה סרוחה לגמרי</w:t>
      </w:r>
      <w:r w:rsidR="00A87AAF" w:rsidRPr="00882F11">
        <w:rPr>
          <w:rFonts w:cs="Guttman Drogolin" w:hint="cs"/>
          <w:rtl/>
          <w:lang w:bidi="he-IL"/>
        </w:rPr>
        <w:t>.</w:t>
      </w:r>
      <w:r w:rsidR="00926B7B" w:rsidRPr="00882F11">
        <w:rPr>
          <w:rFonts w:cs="Guttman Drogolin" w:hint="cs"/>
          <w:rtl/>
          <w:lang w:bidi="he-IL"/>
        </w:rPr>
        <w:t xml:space="preserve"> לזה כתב הרשב"א שאין כל הטעם יוצא ממנו ולכן יש לומר שעיקר טעמו קבוע ע"פ טעמו של ההיתר המועט.</w:t>
      </w:r>
      <w:r w:rsidR="00D2070E" w:rsidRPr="00882F11">
        <w:rPr>
          <w:rFonts w:cs="Guttman Drogolin" w:hint="cs"/>
          <w:rtl/>
          <w:lang w:bidi="he-IL"/>
        </w:rPr>
        <w:t xml:space="preserve"> ועדיין צ"ע.</w:t>
      </w:r>
    </w:p>
    <w:p w:rsidR="00D2070E" w:rsidRPr="00882F11" w:rsidRDefault="00D2070E" w:rsidP="0078079C">
      <w:pPr>
        <w:pStyle w:val="Heading1"/>
        <w:bidi/>
        <w:spacing w:before="0" w:line="360" w:lineRule="auto"/>
        <w:jc w:val="center"/>
        <w:rPr>
          <w:rFonts w:cs="Guttman Drogolin"/>
          <w:color w:val="auto"/>
          <w:sz w:val="24"/>
          <w:szCs w:val="24"/>
          <w:u w:val="single"/>
          <w:rtl/>
          <w:lang w:bidi="he-IL"/>
        </w:rPr>
      </w:pPr>
      <w:bookmarkStart w:id="130" w:name="_Toc496175389"/>
      <w:r w:rsidRPr="00882F11">
        <w:rPr>
          <w:rFonts w:cs="Guttman Drogolin" w:hint="cs"/>
          <w:color w:val="auto"/>
          <w:sz w:val="24"/>
          <w:szCs w:val="24"/>
          <w:u w:val="single"/>
          <w:rtl/>
          <w:lang w:bidi="he-IL"/>
        </w:rPr>
        <w:t>נטל"פ בבב"ח</w:t>
      </w:r>
      <w:bookmarkEnd w:id="130"/>
    </w:p>
    <w:p w:rsidR="004F3989" w:rsidRPr="00882F11" w:rsidRDefault="002C53AB" w:rsidP="004F3989">
      <w:pPr>
        <w:bidi/>
        <w:jc w:val="both"/>
        <w:rPr>
          <w:rFonts w:cs="Guttman Drogolin"/>
          <w:rtl/>
          <w:lang w:bidi="he-IL"/>
        </w:rPr>
      </w:pPr>
      <w:r>
        <w:rPr>
          <w:rFonts w:cs="Guttman Drogolin"/>
          <w:rtl/>
          <w:lang w:bidi="he-IL"/>
        </w:rPr>
        <w:fldChar w:fldCharType="begin"/>
      </w:r>
      <w:r>
        <w:instrText xml:space="preserve"> XE "</w:instrText>
      </w:r>
      <w:r w:rsidRPr="00EA1960">
        <w:rPr>
          <w:rFonts w:hint="cs"/>
          <w:rtl/>
          <w:lang w:bidi="he-IL"/>
        </w:rPr>
        <w:instrText>נותן טעם לפגם</w:instrText>
      </w:r>
      <w:r w:rsidRPr="00EA1960">
        <w:rPr>
          <w:rtl/>
        </w:rPr>
        <w:instrText>:</w:instrText>
      </w:r>
      <w:r w:rsidRPr="00EA1960">
        <w:rPr>
          <w:rFonts w:hint="cs"/>
          <w:rtl/>
          <w:lang w:bidi="he-IL"/>
        </w:rPr>
        <w:instrText>בבשר בחלב</w:instrText>
      </w:r>
      <w:r>
        <w:instrText xml:space="preserve">" </w:instrText>
      </w:r>
      <w:r>
        <w:rPr>
          <w:rFonts w:cs="Guttman Drogolin"/>
          <w:rtl/>
          <w:lang w:bidi="he-IL"/>
        </w:rPr>
        <w:fldChar w:fldCharType="end"/>
      </w:r>
      <w:r w:rsidR="00BB1C5D" w:rsidRPr="00882F11">
        <w:rPr>
          <w:rFonts w:cs="Guttman Drogolin" w:hint="cs"/>
          <w:rtl/>
          <w:lang w:bidi="he-IL"/>
        </w:rPr>
        <w:t xml:space="preserve">הרמב"ם בפי"ד ה"י מהלכות מאכלות אסורות כתב שכל איסורים שבתורה אינו עובר עליהם אלא דרך הנאתן חוץ מכלאי הכרם ובב"ח כיון שלא נאמר איסורן בלשון אכילה. והמקור להוראה זו היא סוגיית הגמ' שבפ' כל שעה. ומ"מ בפט"ו ה"ל </w:t>
      </w:r>
      <w:r w:rsidR="004F3989" w:rsidRPr="00882F11">
        <w:rPr>
          <w:rFonts w:cs="Guttman Drogolin" w:hint="cs"/>
          <w:rtl/>
          <w:lang w:bidi="he-IL"/>
        </w:rPr>
        <w:t xml:space="preserve">כתב שאם נפל בב"ח לתוך מאכל אחר ונתן טעם לפגם הרי זה מותר. והקשו האחרונים דהא נטל"פ הי' צריך להיות אסור לפמש"כ לעיל דלא </w:t>
      </w:r>
      <w:r w:rsidR="004F3989" w:rsidRPr="00882F11">
        <w:rPr>
          <w:rFonts w:cs="Guttman Drogolin" w:hint="cs"/>
          <w:rtl/>
          <w:lang w:bidi="he-IL"/>
        </w:rPr>
        <w:lastRenderedPageBreak/>
        <w:t>בעינן בב"ח דרך הנאתן. ובאמת הכרו"פ נקט דאה"נ ואין היתר של קדרה שאינה בת יומא לפי שיטת הרמב"ם בפי"ד, אבל כבר הקשו עליו האחרונים מכמה מקומות.</w:t>
      </w:r>
    </w:p>
    <w:p w:rsidR="006C1188" w:rsidRPr="00882F11" w:rsidRDefault="004F3989" w:rsidP="00B25740">
      <w:pPr>
        <w:bidi/>
        <w:jc w:val="both"/>
        <w:rPr>
          <w:rFonts w:cs="Guttman Drogolin"/>
          <w:rtl/>
          <w:lang w:bidi="he-IL"/>
        </w:rPr>
      </w:pPr>
      <w:r w:rsidRPr="00882F11">
        <w:rPr>
          <w:rFonts w:cs="Guttman Drogolin" w:hint="cs"/>
          <w:rtl/>
          <w:lang w:bidi="he-IL"/>
        </w:rPr>
        <w:t xml:space="preserve">והחוו"ד נקט שיש לחלק בין דרך הנאתן לטעם לפגם. שהדין של שלא כדרך הנאתן הוא דין במעשה האכילה או מעשה לקיחת הנאה, שבשאר איסורים אם עושה שלא כדרך לא עשה את מעשה האיסור, אבל בבב"ח וכלאי הכרם כיון דלא כתיב בהו אכילה שפיר הוי מעשה אכילה. </w:t>
      </w:r>
      <w:r w:rsidR="00B25740" w:rsidRPr="00882F11">
        <w:rPr>
          <w:rFonts w:cs="Guttman Drogolin" w:hint="cs"/>
          <w:rtl/>
          <w:lang w:bidi="he-IL"/>
        </w:rPr>
        <w:t>אחרת היא הדין של נטל"פ שהוא דין בחפצא של המאכל, שאם אינה ראוי' לגר אינו מאכל האסור באכילה. והנה לשון הרמב"ם שם בפי"ד הי"א "כיצד</w:t>
      </w:r>
      <w:r w:rsidR="00B25740" w:rsidRPr="00882F11">
        <w:rPr>
          <w:rFonts w:cs="Guttman Drogolin"/>
          <w:rtl/>
          <w:lang w:bidi="he-IL"/>
        </w:rPr>
        <w:t xml:space="preserve"> </w:t>
      </w:r>
      <w:r w:rsidR="00B25740" w:rsidRPr="00882F11">
        <w:rPr>
          <w:rFonts w:cs="Guttman Drogolin" w:hint="cs"/>
          <w:rtl/>
          <w:lang w:bidi="he-IL"/>
        </w:rPr>
        <w:t>הרי</w:t>
      </w:r>
      <w:r w:rsidR="00B25740" w:rsidRPr="00882F11">
        <w:rPr>
          <w:rFonts w:cs="Guttman Drogolin"/>
          <w:rtl/>
          <w:lang w:bidi="he-IL"/>
        </w:rPr>
        <w:t xml:space="preserve"> </w:t>
      </w:r>
      <w:r w:rsidR="00B25740" w:rsidRPr="00882F11">
        <w:rPr>
          <w:rFonts w:cs="Guttman Drogolin" w:hint="cs"/>
          <w:rtl/>
          <w:lang w:bidi="he-IL"/>
        </w:rPr>
        <w:t>שהמחה</w:t>
      </w:r>
      <w:r w:rsidR="00B25740" w:rsidRPr="00882F11">
        <w:rPr>
          <w:rFonts w:cs="Guttman Drogolin"/>
          <w:rtl/>
          <w:lang w:bidi="he-IL"/>
        </w:rPr>
        <w:t xml:space="preserve"> </w:t>
      </w:r>
      <w:r w:rsidR="00B25740" w:rsidRPr="00882F11">
        <w:rPr>
          <w:rFonts w:cs="Guttman Drogolin" w:hint="cs"/>
          <w:rtl/>
          <w:lang w:bidi="he-IL"/>
        </w:rPr>
        <w:t>את</w:t>
      </w:r>
      <w:r w:rsidR="00B25740" w:rsidRPr="00882F11">
        <w:rPr>
          <w:rFonts w:cs="Guttman Drogolin"/>
          <w:rtl/>
          <w:lang w:bidi="he-IL"/>
        </w:rPr>
        <w:t xml:space="preserve"> </w:t>
      </w:r>
      <w:r w:rsidR="00B25740" w:rsidRPr="00882F11">
        <w:rPr>
          <w:rFonts w:cs="Guttman Drogolin" w:hint="cs"/>
          <w:rtl/>
          <w:lang w:bidi="he-IL"/>
        </w:rPr>
        <w:t>החלב</w:t>
      </w:r>
      <w:r w:rsidR="00B25740" w:rsidRPr="00882F11">
        <w:rPr>
          <w:rFonts w:cs="Guttman Drogolin"/>
          <w:rtl/>
          <w:lang w:bidi="he-IL"/>
        </w:rPr>
        <w:t xml:space="preserve"> </w:t>
      </w:r>
      <w:r w:rsidR="00B25740" w:rsidRPr="00882F11">
        <w:rPr>
          <w:rFonts w:cs="Guttman Drogolin" w:hint="cs"/>
          <w:rtl/>
          <w:lang w:bidi="he-IL"/>
        </w:rPr>
        <w:t>וגמעו</w:t>
      </w:r>
      <w:r w:rsidR="00B25740" w:rsidRPr="00882F11">
        <w:rPr>
          <w:rFonts w:cs="Guttman Drogolin"/>
          <w:rtl/>
          <w:lang w:bidi="he-IL"/>
        </w:rPr>
        <w:t xml:space="preserve"> </w:t>
      </w:r>
      <w:r w:rsidR="00B25740" w:rsidRPr="00882F11">
        <w:rPr>
          <w:rFonts w:cs="Guttman Drogolin" w:hint="cs"/>
          <w:rtl/>
          <w:lang w:bidi="he-IL"/>
        </w:rPr>
        <w:t>כשהוא</w:t>
      </w:r>
      <w:r w:rsidR="00B25740" w:rsidRPr="00882F11">
        <w:rPr>
          <w:rFonts w:cs="Guttman Drogolin"/>
          <w:rtl/>
          <w:lang w:bidi="he-IL"/>
        </w:rPr>
        <w:t xml:space="preserve"> </w:t>
      </w:r>
      <w:r w:rsidR="00B25740" w:rsidRPr="00882F11">
        <w:rPr>
          <w:rFonts w:cs="Guttman Drogolin" w:hint="cs"/>
          <w:rtl/>
          <w:lang w:bidi="he-IL"/>
        </w:rPr>
        <w:t>חם</w:t>
      </w:r>
      <w:r w:rsidR="00B25740" w:rsidRPr="00882F11">
        <w:rPr>
          <w:rFonts w:cs="Guttman Drogolin"/>
          <w:rtl/>
          <w:lang w:bidi="he-IL"/>
        </w:rPr>
        <w:t xml:space="preserve"> </w:t>
      </w:r>
      <w:r w:rsidR="00B25740" w:rsidRPr="00882F11">
        <w:rPr>
          <w:rFonts w:cs="Guttman Drogolin" w:hint="cs"/>
          <w:rtl/>
          <w:lang w:bidi="he-IL"/>
        </w:rPr>
        <w:t>עד</w:t>
      </w:r>
      <w:r w:rsidR="00B25740" w:rsidRPr="00882F11">
        <w:rPr>
          <w:rFonts w:cs="Guttman Drogolin"/>
          <w:rtl/>
          <w:lang w:bidi="he-IL"/>
        </w:rPr>
        <w:t xml:space="preserve"> </w:t>
      </w:r>
      <w:r w:rsidR="00B25740" w:rsidRPr="00882F11">
        <w:rPr>
          <w:rFonts w:cs="Guttman Drogolin" w:hint="cs"/>
          <w:rtl/>
          <w:lang w:bidi="he-IL"/>
        </w:rPr>
        <w:t>שנכוה</w:t>
      </w:r>
      <w:r w:rsidR="00B25740" w:rsidRPr="00882F11">
        <w:rPr>
          <w:rFonts w:cs="Guttman Drogolin"/>
          <w:rtl/>
          <w:lang w:bidi="he-IL"/>
        </w:rPr>
        <w:t xml:space="preserve"> </w:t>
      </w:r>
      <w:r w:rsidR="00B25740" w:rsidRPr="00882F11">
        <w:rPr>
          <w:rFonts w:cs="Guttman Drogolin" w:hint="cs"/>
          <w:rtl/>
          <w:lang w:bidi="he-IL"/>
        </w:rPr>
        <w:t>גרונו</w:t>
      </w:r>
      <w:r w:rsidR="00B25740" w:rsidRPr="00882F11">
        <w:rPr>
          <w:rFonts w:cs="Guttman Drogolin"/>
          <w:rtl/>
          <w:lang w:bidi="he-IL"/>
        </w:rPr>
        <w:t xml:space="preserve"> </w:t>
      </w:r>
      <w:r w:rsidR="00B25740" w:rsidRPr="00882F11">
        <w:rPr>
          <w:rFonts w:cs="Guttman Drogolin" w:hint="cs"/>
          <w:rtl/>
          <w:lang w:bidi="he-IL"/>
        </w:rPr>
        <w:t>ממנו</w:t>
      </w:r>
      <w:r w:rsidR="00B25740" w:rsidRPr="00882F11">
        <w:rPr>
          <w:rFonts w:cs="Guttman Drogolin"/>
          <w:rtl/>
          <w:lang w:bidi="he-IL"/>
        </w:rPr>
        <w:t xml:space="preserve"> </w:t>
      </w:r>
      <w:r w:rsidR="00B25740" w:rsidRPr="00882F11">
        <w:rPr>
          <w:rFonts w:cs="Guttman Drogolin" w:hint="cs"/>
          <w:rtl/>
          <w:lang w:bidi="he-IL"/>
        </w:rPr>
        <w:t>או</w:t>
      </w:r>
      <w:r w:rsidR="00B25740" w:rsidRPr="00882F11">
        <w:rPr>
          <w:rFonts w:cs="Guttman Drogolin"/>
          <w:rtl/>
          <w:lang w:bidi="he-IL"/>
        </w:rPr>
        <w:t xml:space="preserve"> </w:t>
      </w:r>
      <w:r w:rsidR="00B25740" w:rsidRPr="00882F11">
        <w:rPr>
          <w:rFonts w:cs="Guttman Drogolin" w:hint="cs"/>
          <w:rtl/>
          <w:lang w:bidi="he-IL"/>
        </w:rPr>
        <w:t>שאכל</w:t>
      </w:r>
      <w:r w:rsidR="00B25740" w:rsidRPr="00882F11">
        <w:rPr>
          <w:rFonts w:cs="Guttman Drogolin"/>
          <w:rtl/>
          <w:lang w:bidi="he-IL"/>
        </w:rPr>
        <w:t xml:space="preserve"> </w:t>
      </w:r>
      <w:r w:rsidR="00B25740" w:rsidRPr="00882F11">
        <w:rPr>
          <w:rFonts w:cs="Guttman Drogolin" w:hint="cs"/>
          <w:rtl/>
          <w:lang w:bidi="he-IL"/>
        </w:rPr>
        <w:t>חלב</w:t>
      </w:r>
      <w:r w:rsidR="00B25740" w:rsidRPr="00882F11">
        <w:rPr>
          <w:rFonts w:cs="Guttman Drogolin"/>
          <w:rtl/>
          <w:lang w:bidi="he-IL"/>
        </w:rPr>
        <w:t xml:space="preserve"> </w:t>
      </w:r>
      <w:r w:rsidR="00B25740" w:rsidRPr="00882F11">
        <w:rPr>
          <w:rFonts w:cs="Guttman Drogolin" w:hint="cs"/>
          <w:rtl/>
          <w:lang w:bidi="he-IL"/>
        </w:rPr>
        <w:t>חי</w:t>
      </w:r>
      <w:r w:rsidR="00B25740" w:rsidRPr="00882F11">
        <w:rPr>
          <w:rFonts w:cs="Guttman Drogolin"/>
          <w:rtl/>
          <w:lang w:bidi="he-IL"/>
        </w:rPr>
        <w:t xml:space="preserve"> </w:t>
      </w:r>
      <w:r w:rsidR="00B25740" w:rsidRPr="00882F11">
        <w:rPr>
          <w:rFonts w:cs="Guttman Drogolin" w:hint="cs"/>
          <w:rtl/>
          <w:lang w:bidi="he-IL"/>
        </w:rPr>
        <w:t>או</w:t>
      </w:r>
      <w:r w:rsidR="00B25740" w:rsidRPr="00882F11">
        <w:rPr>
          <w:rFonts w:cs="Guttman Drogolin"/>
          <w:rtl/>
          <w:lang w:bidi="he-IL"/>
        </w:rPr>
        <w:t xml:space="preserve"> </w:t>
      </w:r>
      <w:r w:rsidR="00B25740" w:rsidRPr="00882F11">
        <w:rPr>
          <w:rFonts w:cs="Guttman Drogolin" w:hint="cs"/>
          <w:rtl/>
          <w:lang w:bidi="he-IL"/>
        </w:rPr>
        <w:t>שעירב</w:t>
      </w:r>
      <w:r w:rsidR="00B25740" w:rsidRPr="00882F11">
        <w:rPr>
          <w:rFonts w:cs="Guttman Drogolin"/>
          <w:rtl/>
          <w:lang w:bidi="he-IL"/>
        </w:rPr>
        <w:t xml:space="preserve"> </w:t>
      </w:r>
      <w:r w:rsidR="00B25740" w:rsidRPr="00882F11">
        <w:rPr>
          <w:rFonts w:cs="Guttman Drogolin" w:hint="cs"/>
          <w:rtl/>
          <w:lang w:bidi="he-IL"/>
        </w:rPr>
        <w:t>דברים</w:t>
      </w:r>
      <w:r w:rsidR="00B25740" w:rsidRPr="00882F11">
        <w:rPr>
          <w:rFonts w:cs="Guttman Drogolin"/>
          <w:rtl/>
          <w:lang w:bidi="he-IL"/>
        </w:rPr>
        <w:t xml:space="preserve"> </w:t>
      </w:r>
      <w:r w:rsidR="00B25740" w:rsidRPr="00882F11">
        <w:rPr>
          <w:rFonts w:cs="Guttman Drogolin" w:hint="cs"/>
          <w:rtl/>
          <w:lang w:bidi="he-IL"/>
        </w:rPr>
        <w:t>מרים</w:t>
      </w:r>
      <w:r w:rsidR="00B25740" w:rsidRPr="00882F11">
        <w:rPr>
          <w:rFonts w:cs="Guttman Drogolin"/>
          <w:rtl/>
          <w:lang w:bidi="he-IL"/>
        </w:rPr>
        <w:t xml:space="preserve"> </w:t>
      </w:r>
      <w:r w:rsidR="00B25740" w:rsidRPr="00882F11">
        <w:rPr>
          <w:rFonts w:cs="Guttman Drogolin" w:hint="cs"/>
          <w:rtl/>
          <w:lang w:bidi="he-IL"/>
        </w:rPr>
        <w:t>כגון</w:t>
      </w:r>
      <w:r w:rsidR="00B25740" w:rsidRPr="00882F11">
        <w:rPr>
          <w:rFonts w:cs="Guttman Drogolin"/>
          <w:rtl/>
          <w:lang w:bidi="he-IL"/>
        </w:rPr>
        <w:t xml:space="preserve"> </w:t>
      </w:r>
      <w:r w:rsidR="00B25740" w:rsidRPr="00882F11">
        <w:rPr>
          <w:rFonts w:cs="Guttman Drogolin" w:hint="cs"/>
          <w:rtl/>
          <w:lang w:bidi="he-IL"/>
        </w:rPr>
        <w:t>ראש</w:t>
      </w:r>
      <w:r w:rsidR="00B25740" w:rsidRPr="00882F11">
        <w:rPr>
          <w:rFonts w:cs="Guttman Drogolin"/>
          <w:rtl/>
          <w:lang w:bidi="he-IL"/>
        </w:rPr>
        <w:t xml:space="preserve"> </w:t>
      </w:r>
      <w:r w:rsidR="00B25740" w:rsidRPr="00882F11">
        <w:rPr>
          <w:rFonts w:cs="Guttman Drogolin" w:hint="cs"/>
          <w:rtl/>
          <w:lang w:bidi="he-IL"/>
        </w:rPr>
        <w:t>ולענה</w:t>
      </w:r>
      <w:r w:rsidR="00B25740" w:rsidRPr="00882F11">
        <w:rPr>
          <w:rFonts w:cs="Guttman Drogolin"/>
          <w:rtl/>
          <w:lang w:bidi="he-IL"/>
        </w:rPr>
        <w:t xml:space="preserve"> </w:t>
      </w:r>
      <w:r w:rsidR="00B25740" w:rsidRPr="00882F11">
        <w:rPr>
          <w:rFonts w:cs="Guttman Drogolin" w:hint="cs"/>
          <w:rtl/>
          <w:lang w:bidi="he-IL"/>
        </w:rPr>
        <w:t>לתוך</w:t>
      </w:r>
      <w:r w:rsidR="00B25740" w:rsidRPr="00882F11">
        <w:rPr>
          <w:rFonts w:cs="Guttman Drogolin"/>
          <w:rtl/>
          <w:lang w:bidi="he-IL"/>
        </w:rPr>
        <w:t xml:space="preserve"> </w:t>
      </w:r>
      <w:r w:rsidR="00B25740" w:rsidRPr="00882F11">
        <w:rPr>
          <w:rFonts w:cs="Guttman Drogolin" w:hint="cs"/>
          <w:rtl/>
          <w:lang w:bidi="he-IL"/>
        </w:rPr>
        <w:t>יין</w:t>
      </w:r>
      <w:r w:rsidR="00B25740" w:rsidRPr="00882F11">
        <w:rPr>
          <w:rFonts w:cs="Guttman Drogolin"/>
          <w:rtl/>
          <w:lang w:bidi="he-IL"/>
        </w:rPr>
        <w:t xml:space="preserve"> </w:t>
      </w:r>
      <w:r w:rsidR="00B25740" w:rsidRPr="00882F11">
        <w:rPr>
          <w:rFonts w:cs="Guttman Drogolin" w:hint="cs"/>
          <w:rtl/>
          <w:lang w:bidi="he-IL"/>
        </w:rPr>
        <w:t>נסך</w:t>
      </w:r>
      <w:r w:rsidR="00B25740" w:rsidRPr="00882F11">
        <w:rPr>
          <w:rFonts w:cs="Guttman Drogolin"/>
          <w:rtl/>
          <w:lang w:bidi="he-IL"/>
        </w:rPr>
        <w:t xml:space="preserve"> </w:t>
      </w:r>
      <w:r w:rsidR="00B25740" w:rsidRPr="00882F11">
        <w:rPr>
          <w:rFonts w:cs="Guttman Drogolin" w:hint="cs"/>
          <w:rtl/>
          <w:lang w:bidi="he-IL"/>
        </w:rPr>
        <w:t>או</w:t>
      </w:r>
      <w:r w:rsidR="00B25740" w:rsidRPr="00882F11">
        <w:rPr>
          <w:rFonts w:cs="Guttman Drogolin"/>
          <w:rtl/>
          <w:lang w:bidi="he-IL"/>
        </w:rPr>
        <w:t xml:space="preserve"> </w:t>
      </w:r>
      <w:r w:rsidR="00B25740" w:rsidRPr="00882F11">
        <w:rPr>
          <w:rFonts w:cs="Guttman Drogolin" w:hint="cs"/>
          <w:rtl/>
          <w:lang w:bidi="he-IL"/>
        </w:rPr>
        <w:t>לתוך</w:t>
      </w:r>
      <w:r w:rsidR="00B25740" w:rsidRPr="00882F11">
        <w:rPr>
          <w:rFonts w:cs="Guttman Drogolin"/>
          <w:rtl/>
          <w:lang w:bidi="he-IL"/>
        </w:rPr>
        <w:t xml:space="preserve"> </w:t>
      </w:r>
      <w:r w:rsidR="00B25740" w:rsidRPr="00882F11">
        <w:rPr>
          <w:rFonts w:cs="Guttman Drogolin" w:hint="cs"/>
          <w:rtl/>
          <w:lang w:bidi="he-IL"/>
        </w:rPr>
        <w:t>קדרה</w:t>
      </w:r>
      <w:r w:rsidR="00B25740" w:rsidRPr="00882F11">
        <w:rPr>
          <w:rFonts w:cs="Guttman Drogolin"/>
          <w:rtl/>
          <w:lang w:bidi="he-IL"/>
        </w:rPr>
        <w:t xml:space="preserve"> </w:t>
      </w:r>
      <w:r w:rsidR="00B25740" w:rsidRPr="00882F11">
        <w:rPr>
          <w:rFonts w:cs="Guttman Drogolin" w:hint="cs"/>
          <w:rtl/>
          <w:lang w:bidi="he-IL"/>
        </w:rPr>
        <w:t>של</w:t>
      </w:r>
      <w:r w:rsidR="00B25740" w:rsidRPr="00882F11">
        <w:rPr>
          <w:rFonts w:cs="Guttman Drogolin"/>
          <w:rtl/>
          <w:lang w:bidi="he-IL"/>
        </w:rPr>
        <w:t xml:space="preserve"> </w:t>
      </w:r>
      <w:r w:rsidR="00B25740" w:rsidRPr="00882F11">
        <w:rPr>
          <w:rFonts w:cs="Guttman Drogolin" w:hint="cs"/>
          <w:rtl/>
          <w:lang w:bidi="he-IL"/>
        </w:rPr>
        <w:t>נבלה</w:t>
      </w:r>
      <w:r w:rsidR="00B25740" w:rsidRPr="00882F11">
        <w:rPr>
          <w:rFonts w:cs="Guttman Drogolin"/>
          <w:rtl/>
          <w:lang w:bidi="he-IL"/>
        </w:rPr>
        <w:t xml:space="preserve"> </w:t>
      </w:r>
      <w:r w:rsidR="00B25740" w:rsidRPr="00882F11">
        <w:rPr>
          <w:rFonts w:cs="Guttman Drogolin" w:hint="cs"/>
          <w:rtl/>
          <w:lang w:bidi="he-IL"/>
        </w:rPr>
        <w:t>ואכלן</w:t>
      </w:r>
      <w:r w:rsidR="00B25740" w:rsidRPr="00882F11">
        <w:rPr>
          <w:rFonts w:cs="Guttman Drogolin"/>
          <w:rtl/>
          <w:lang w:bidi="he-IL"/>
        </w:rPr>
        <w:t xml:space="preserve"> </w:t>
      </w:r>
      <w:r w:rsidR="00B25740" w:rsidRPr="00882F11">
        <w:rPr>
          <w:rFonts w:cs="Guttman Drogolin" w:hint="cs"/>
          <w:rtl/>
          <w:lang w:bidi="he-IL"/>
        </w:rPr>
        <w:t>כשהן</w:t>
      </w:r>
      <w:r w:rsidR="00B25740" w:rsidRPr="00882F11">
        <w:rPr>
          <w:rFonts w:cs="Guttman Drogolin"/>
          <w:rtl/>
          <w:lang w:bidi="he-IL"/>
        </w:rPr>
        <w:t xml:space="preserve"> </w:t>
      </w:r>
      <w:r w:rsidR="00B25740" w:rsidRPr="00882F11">
        <w:rPr>
          <w:rFonts w:cs="Guttman Drogolin" w:hint="cs"/>
          <w:rtl/>
          <w:lang w:bidi="he-IL"/>
        </w:rPr>
        <w:t>מרין</w:t>
      </w:r>
      <w:r w:rsidR="00B25740" w:rsidRPr="00882F11">
        <w:rPr>
          <w:rFonts w:cs="Guttman Drogolin"/>
          <w:rtl/>
          <w:lang w:bidi="he-IL"/>
        </w:rPr>
        <w:t xml:space="preserve"> </w:t>
      </w:r>
      <w:r w:rsidR="00B25740" w:rsidRPr="00882F11">
        <w:rPr>
          <w:rFonts w:cs="Guttman Drogolin" w:hint="cs"/>
          <w:rtl/>
          <w:lang w:bidi="he-IL"/>
        </w:rPr>
        <w:t>או</w:t>
      </w:r>
      <w:r w:rsidR="00B25740" w:rsidRPr="00882F11">
        <w:rPr>
          <w:rFonts w:cs="Guttman Drogolin"/>
          <w:rtl/>
          <w:lang w:bidi="he-IL"/>
        </w:rPr>
        <w:t xml:space="preserve"> </w:t>
      </w:r>
      <w:r w:rsidR="00B25740" w:rsidRPr="00882F11">
        <w:rPr>
          <w:rFonts w:cs="Guttman Drogolin" w:hint="cs"/>
          <w:rtl/>
          <w:lang w:bidi="he-IL"/>
        </w:rPr>
        <w:t>שאכל</w:t>
      </w:r>
      <w:r w:rsidR="00B25740" w:rsidRPr="00882F11">
        <w:rPr>
          <w:rFonts w:cs="Guttman Drogolin"/>
          <w:rtl/>
          <w:lang w:bidi="he-IL"/>
        </w:rPr>
        <w:t xml:space="preserve"> </w:t>
      </w:r>
      <w:r w:rsidR="00B25740" w:rsidRPr="00882F11">
        <w:rPr>
          <w:rFonts w:cs="Guttman Drogolin" w:hint="cs"/>
          <w:rtl/>
          <w:lang w:bidi="he-IL"/>
        </w:rPr>
        <w:t>אוכל</w:t>
      </w:r>
      <w:r w:rsidR="00B25740" w:rsidRPr="00882F11">
        <w:rPr>
          <w:rFonts w:cs="Guttman Drogolin"/>
          <w:rtl/>
          <w:lang w:bidi="he-IL"/>
        </w:rPr>
        <w:t xml:space="preserve"> </w:t>
      </w:r>
      <w:r w:rsidR="00B25740" w:rsidRPr="00882F11">
        <w:rPr>
          <w:rFonts w:cs="Guttman Drogolin" w:hint="cs"/>
          <w:rtl/>
          <w:lang w:bidi="he-IL"/>
        </w:rPr>
        <w:t>האסור</w:t>
      </w:r>
      <w:r w:rsidR="00B25740" w:rsidRPr="00882F11">
        <w:rPr>
          <w:rFonts w:cs="Guttman Drogolin"/>
          <w:rtl/>
          <w:lang w:bidi="he-IL"/>
        </w:rPr>
        <w:t xml:space="preserve"> </w:t>
      </w:r>
      <w:r w:rsidR="00B25740" w:rsidRPr="00882F11">
        <w:rPr>
          <w:rFonts w:cs="Guttman Drogolin" w:hint="cs"/>
          <w:rtl/>
          <w:lang w:bidi="he-IL"/>
        </w:rPr>
        <w:t>אחר</w:t>
      </w:r>
      <w:r w:rsidR="00B25740" w:rsidRPr="00882F11">
        <w:rPr>
          <w:rFonts w:cs="Guttman Drogolin"/>
          <w:rtl/>
          <w:lang w:bidi="he-IL"/>
        </w:rPr>
        <w:t xml:space="preserve"> </w:t>
      </w:r>
      <w:r w:rsidR="00B25740" w:rsidRPr="00882F11">
        <w:rPr>
          <w:rFonts w:cs="Guttman Drogolin" w:hint="cs"/>
          <w:rtl/>
          <w:lang w:bidi="he-IL"/>
        </w:rPr>
        <w:t>שהסריח</w:t>
      </w:r>
      <w:r w:rsidR="00B25740" w:rsidRPr="00882F11">
        <w:rPr>
          <w:rFonts w:cs="Guttman Drogolin"/>
          <w:rtl/>
          <w:lang w:bidi="he-IL"/>
        </w:rPr>
        <w:t xml:space="preserve"> </w:t>
      </w:r>
      <w:r w:rsidR="00B25740" w:rsidRPr="00882F11">
        <w:rPr>
          <w:rFonts w:cs="Guttman Drogolin" w:hint="cs"/>
          <w:rtl/>
          <w:lang w:bidi="he-IL"/>
        </w:rPr>
        <w:t>והבאיש</w:t>
      </w:r>
      <w:r w:rsidR="00B25740" w:rsidRPr="00882F11">
        <w:rPr>
          <w:rFonts w:cs="Guttman Drogolin"/>
          <w:rtl/>
          <w:lang w:bidi="he-IL"/>
        </w:rPr>
        <w:t xml:space="preserve"> </w:t>
      </w:r>
      <w:r w:rsidR="00B25740" w:rsidRPr="00882F11">
        <w:rPr>
          <w:rFonts w:cs="Guttman Drogolin" w:hint="cs"/>
          <w:rtl/>
          <w:lang w:bidi="he-IL"/>
        </w:rPr>
        <w:t>ובטל</w:t>
      </w:r>
      <w:r w:rsidR="00B25740" w:rsidRPr="00882F11">
        <w:rPr>
          <w:rFonts w:cs="Guttman Drogolin"/>
          <w:rtl/>
          <w:lang w:bidi="he-IL"/>
        </w:rPr>
        <w:t xml:space="preserve"> </w:t>
      </w:r>
      <w:r w:rsidR="00B25740" w:rsidRPr="00882F11">
        <w:rPr>
          <w:rFonts w:cs="Guttman Drogolin" w:hint="cs"/>
          <w:rtl/>
          <w:lang w:bidi="he-IL"/>
        </w:rPr>
        <w:t>מאוכל</w:t>
      </w:r>
      <w:r w:rsidR="00B25740" w:rsidRPr="00882F11">
        <w:rPr>
          <w:rFonts w:cs="Guttman Drogolin"/>
          <w:rtl/>
          <w:lang w:bidi="he-IL"/>
        </w:rPr>
        <w:t xml:space="preserve"> </w:t>
      </w:r>
      <w:r w:rsidR="00B25740" w:rsidRPr="00882F11">
        <w:rPr>
          <w:rFonts w:cs="Guttman Drogolin" w:hint="cs"/>
          <w:rtl/>
          <w:lang w:bidi="he-IL"/>
        </w:rPr>
        <w:t>אדם</w:t>
      </w:r>
      <w:r w:rsidR="00B25740" w:rsidRPr="00882F11">
        <w:rPr>
          <w:rFonts w:cs="Guttman Drogolin"/>
          <w:rtl/>
          <w:lang w:bidi="he-IL"/>
        </w:rPr>
        <w:t xml:space="preserve"> </w:t>
      </w:r>
      <w:r w:rsidR="00B25740" w:rsidRPr="00882F11">
        <w:rPr>
          <w:rFonts w:cs="Guttman Drogolin" w:hint="cs"/>
          <w:rtl/>
          <w:lang w:bidi="he-IL"/>
        </w:rPr>
        <w:t>הרי</w:t>
      </w:r>
      <w:r w:rsidR="00B25740" w:rsidRPr="00882F11">
        <w:rPr>
          <w:rFonts w:cs="Guttman Drogolin"/>
          <w:rtl/>
          <w:lang w:bidi="he-IL"/>
        </w:rPr>
        <w:t xml:space="preserve"> </w:t>
      </w:r>
      <w:r w:rsidR="00B25740" w:rsidRPr="00882F11">
        <w:rPr>
          <w:rFonts w:cs="Guttman Drogolin" w:hint="cs"/>
          <w:rtl/>
          <w:lang w:bidi="he-IL"/>
        </w:rPr>
        <w:t>זה</w:t>
      </w:r>
      <w:r w:rsidR="00B25740" w:rsidRPr="00882F11">
        <w:rPr>
          <w:rFonts w:cs="Guttman Drogolin"/>
          <w:rtl/>
          <w:lang w:bidi="he-IL"/>
        </w:rPr>
        <w:t xml:space="preserve"> </w:t>
      </w:r>
      <w:r w:rsidR="00B25740" w:rsidRPr="00882F11">
        <w:rPr>
          <w:rFonts w:cs="Guttman Drogolin" w:hint="cs"/>
          <w:rtl/>
          <w:lang w:bidi="he-IL"/>
        </w:rPr>
        <w:t>פטור</w:t>
      </w:r>
      <w:r w:rsidR="00B25740" w:rsidRPr="00882F11">
        <w:rPr>
          <w:rFonts w:cs="Guttman Drogolin"/>
          <w:rtl/>
          <w:lang w:bidi="he-IL"/>
        </w:rPr>
        <w:t xml:space="preserve"> </w:t>
      </w:r>
      <w:r w:rsidR="00B25740" w:rsidRPr="00882F11">
        <w:rPr>
          <w:rFonts w:cs="Guttman Drogolin" w:hint="cs"/>
          <w:rtl/>
          <w:lang w:bidi="he-IL"/>
        </w:rPr>
        <w:t>ואם</w:t>
      </w:r>
      <w:r w:rsidR="00B25740" w:rsidRPr="00882F11">
        <w:rPr>
          <w:rFonts w:cs="Guttman Drogolin"/>
          <w:rtl/>
          <w:lang w:bidi="he-IL"/>
        </w:rPr>
        <w:t xml:space="preserve"> </w:t>
      </w:r>
      <w:r w:rsidR="00B25740" w:rsidRPr="00882F11">
        <w:rPr>
          <w:rFonts w:cs="Guttman Drogolin" w:hint="cs"/>
          <w:rtl/>
          <w:lang w:bidi="he-IL"/>
        </w:rPr>
        <w:t>עירב</w:t>
      </w:r>
      <w:r w:rsidR="00B25740" w:rsidRPr="00882F11">
        <w:rPr>
          <w:rFonts w:cs="Guttman Drogolin"/>
          <w:rtl/>
          <w:lang w:bidi="he-IL"/>
        </w:rPr>
        <w:t xml:space="preserve"> </w:t>
      </w:r>
      <w:r w:rsidR="00B25740" w:rsidRPr="00882F11">
        <w:rPr>
          <w:rFonts w:cs="Guttman Drogolin" w:hint="cs"/>
          <w:rtl/>
          <w:lang w:bidi="he-IL"/>
        </w:rPr>
        <w:t>דבר</w:t>
      </w:r>
      <w:r w:rsidR="00B25740" w:rsidRPr="00882F11">
        <w:rPr>
          <w:rFonts w:cs="Guttman Drogolin"/>
          <w:rtl/>
          <w:lang w:bidi="he-IL"/>
        </w:rPr>
        <w:t xml:space="preserve"> </w:t>
      </w:r>
      <w:r w:rsidR="00B25740" w:rsidRPr="00882F11">
        <w:rPr>
          <w:rFonts w:cs="Guttman Drogolin" w:hint="cs"/>
          <w:rtl/>
          <w:lang w:bidi="he-IL"/>
        </w:rPr>
        <w:t>מר</w:t>
      </w:r>
      <w:r w:rsidR="00B25740" w:rsidRPr="00882F11">
        <w:rPr>
          <w:rFonts w:cs="Guttman Drogolin"/>
          <w:rtl/>
          <w:lang w:bidi="he-IL"/>
        </w:rPr>
        <w:t xml:space="preserve"> </w:t>
      </w:r>
      <w:r w:rsidR="00B25740" w:rsidRPr="00882F11">
        <w:rPr>
          <w:rFonts w:cs="Guttman Drogolin" w:hint="cs"/>
          <w:rtl/>
          <w:lang w:bidi="he-IL"/>
        </w:rPr>
        <w:t>בתוך</w:t>
      </w:r>
      <w:r w:rsidR="00B25740" w:rsidRPr="00882F11">
        <w:rPr>
          <w:rFonts w:cs="Guttman Drogolin"/>
          <w:rtl/>
          <w:lang w:bidi="he-IL"/>
        </w:rPr>
        <w:t xml:space="preserve"> </w:t>
      </w:r>
      <w:r w:rsidR="00B25740" w:rsidRPr="00882F11">
        <w:rPr>
          <w:rFonts w:cs="Guttman Drogolin" w:hint="cs"/>
          <w:rtl/>
          <w:lang w:bidi="he-IL"/>
        </w:rPr>
        <w:t>קדרה</w:t>
      </w:r>
      <w:r w:rsidR="00B25740" w:rsidRPr="00882F11">
        <w:rPr>
          <w:rFonts w:cs="Guttman Drogolin"/>
          <w:rtl/>
          <w:lang w:bidi="he-IL"/>
        </w:rPr>
        <w:t xml:space="preserve"> </w:t>
      </w:r>
      <w:r w:rsidR="00B25740" w:rsidRPr="00882F11">
        <w:rPr>
          <w:rFonts w:cs="Guttman Drogolin" w:hint="cs"/>
          <w:rtl/>
          <w:lang w:bidi="he-IL"/>
        </w:rPr>
        <w:t>של</w:t>
      </w:r>
      <w:r w:rsidR="00B25740" w:rsidRPr="00882F11">
        <w:rPr>
          <w:rFonts w:cs="Guttman Drogolin"/>
          <w:rtl/>
          <w:lang w:bidi="he-IL"/>
        </w:rPr>
        <w:t xml:space="preserve"> </w:t>
      </w:r>
      <w:r w:rsidR="00B25740" w:rsidRPr="00882F11">
        <w:rPr>
          <w:rFonts w:cs="Guttman Drogolin" w:hint="cs"/>
          <w:rtl/>
          <w:lang w:bidi="he-IL"/>
        </w:rPr>
        <w:t>בשר</w:t>
      </w:r>
      <w:r w:rsidR="00B25740" w:rsidRPr="00882F11">
        <w:rPr>
          <w:rFonts w:cs="Guttman Drogolin"/>
          <w:rtl/>
          <w:lang w:bidi="he-IL"/>
        </w:rPr>
        <w:t xml:space="preserve"> </w:t>
      </w:r>
      <w:r w:rsidR="00B25740" w:rsidRPr="00882F11">
        <w:rPr>
          <w:rFonts w:cs="Guttman Drogolin" w:hint="cs"/>
          <w:rtl/>
          <w:lang w:bidi="he-IL"/>
        </w:rPr>
        <w:t>בחלב</w:t>
      </w:r>
      <w:r w:rsidR="00B25740" w:rsidRPr="00882F11">
        <w:rPr>
          <w:rFonts w:cs="Guttman Drogolin"/>
          <w:rtl/>
          <w:lang w:bidi="he-IL"/>
        </w:rPr>
        <w:t xml:space="preserve"> </w:t>
      </w:r>
      <w:r w:rsidR="00B25740" w:rsidRPr="00882F11">
        <w:rPr>
          <w:rFonts w:cs="Guttman Drogolin" w:hint="cs"/>
          <w:rtl/>
          <w:lang w:bidi="he-IL"/>
        </w:rPr>
        <w:t>או</w:t>
      </w:r>
      <w:r w:rsidR="00B25740" w:rsidRPr="00882F11">
        <w:rPr>
          <w:rFonts w:cs="Guttman Drogolin"/>
          <w:rtl/>
          <w:lang w:bidi="he-IL"/>
        </w:rPr>
        <w:t xml:space="preserve"> </w:t>
      </w:r>
      <w:r w:rsidR="00B25740" w:rsidRPr="00882F11">
        <w:rPr>
          <w:rFonts w:cs="Guttman Drogolin" w:hint="cs"/>
          <w:rtl/>
          <w:lang w:bidi="he-IL"/>
        </w:rPr>
        <w:t>ביין</w:t>
      </w:r>
      <w:r w:rsidR="00B25740" w:rsidRPr="00882F11">
        <w:rPr>
          <w:rFonts w:cs="Guttman Drogolin"/>
          <w:rtl/>
          <w:lang w:bidi="he-IL"/>
        </w:rPr>
        <w:t xml:space="preserve"> </w:t>
      </w:r>
      <w:r w:rsidR="00B25740" w:rsidRPr="00882F11">
        <w:rPr>
          <w:rFonts w:cs="Guttman Drogolin" w:hint="cs"/>
          <w:rtl/>
          <w:lang w:bidi="he-IL"/>
        </w:rPr>
        <w:t>כלאי</w:t>
      </w:r>
      <w:r w:rsidR="00B25740" w:rsidRPr="00882F11">
        <w:rPr>
          <w:rFonts w:cs="Guttman Drogolin"/>
          <w:rtl/>
          <w:lang w:bidi="he-IL"/>
        </w:rPr>
        <w:t xml:space="preserve"> </w:t>
      </w:r>
      <w:r w:rsidR="00B25740" w:rsidRPr="00882F11">
        <w:rPr>
          <w:rFonts w:cs="Guttman Drogolin" w:hint="cs"/>
          <w:rtl/>
          <w:lang w:bidi="he-IL"/>
        </w:rPr>
        <w:t>הכרם</w:t>
      </w:r>
      <w:r w:rsidR="00B25740" w:rsidRPr="00882F11">
        <w:rPr>
          <w:rFonts w:cs="Guttman Drogolin"/>
          <w:rtl/>
          <w:lang w:bidi="he-IL"/>
        </w:rPr>
        <w:t xml:space="preserve"> </w:t>
      </w:r>
      <w:r w:rsidR="00B25740" w:rsidRPr="00882F11">
        <w:rPr>
          <w:rFonts w:cs="Guttman Drogolin" w:hint="cs"/>
          <w:rtl/>
          <w:lang w:bidi="he-IL"/>
        </w:rPr>
        <w:t>ואכלו</w:t>
      </w:r>
      <w:r w:rsidR="00B25740" w:rsidRPr="00882F11">
        <w:rPr>
          <w:rFonts w:cs="Guttman Drogolin"/>
          <w:rtl/>
          <w:lang w:bidi="he-IL"/>
        </w:rPr>
        <w:t xml:space="preserve"> </w:t>
      </w:r>
      <w:r w:rsidR="00B25740" w:rsidRPr="00882F11">
        <w:rPr>
          <w:rFonts w:cs="Guttman Drogolin" w:hint="cs"/>
          <w:rtl/>
          <w:lang w:bidi="he-IL"/>
        </w:rPr>
        <w:t xml:space="preserve">חייב" הרי שלא כתב לחייב משום בב"ח אלא בעירב דבר מר. ולכן ביאר החוו"ד שכשעירב דבר מר, אין חסרון בחפצא של המאכל של בב"ח, דהא הבב"ח עצמו ראוי לאכילה, רק שאינו כדרך הנאתו כיון שיש דבר מר המעורב בה. ומשו"ה עובר משום בבב"ח. אבל במקרה שהבב"ח עצמו פגום אינו ראוי לגר ומותר גם בב"ח, שהדין של החפצא של המאכל שייך לכל דבר. </w:t>
      </w:r>
    </w:p>
    <w:p w:rsidR="00B25740" w:rsidRPr="00882F11" w:rsidRDefault="00B25740" w:rsidP="0099372B">
      <w:pPr>
        <w:bidi/>
        <w:jc w:val="both"/>
        <w:rPr>
          <w:rFonts w:cs="Guttman Drogolin"/>
          <w:rtl/>
          <w:lang w:bidi="he-IL"/>
        </w:rPr>
      </w:pPr>
      <w:r w:rsidRPr="00882F11">
        <w:rPr>
          <w:rFonts w:cs="Guttman Drogolin" w:hint="cs"/>
          <w:rtl/>
          <w:lang w:bidi="he-IL"/>
        </w:rPr>
        <w:t>ובחי' ר' חיים הלוי פט"ו מהלכות מאכלות אסורות תי' באופן אחר. והוא שאמנם משום בבב"ח עצמו לא בעינן ראוי' לגר (שבזה לא חילק בין הדינים ודלא כחוו"ד) מ"מ עד כמה דבעינן לי' לדין טכ"ע בעינן לי' לדין ראוי' לגר, ומשום שבדין של טכ"ע נא</w:t>
      </w:r>
      <w:r w:rsidR="0099372B" w:rsidRPr="00882F11">
        <w:rPr>
          <w:rFonts w:cs="Guttman Drogolin" w:hint="cs"/>
          <w:rtl/>
          <w:lang w:bidi="he-IL"/>
        </w:rPr>
        <w:t>מר לשון אכילה. ולכן בין לאסור משום בב"ח, ובין בב"ח לאסור דבר אחר בטעמו בעינן טעם לשבח. ונראה להדגיש שהרי ידעינן דבעינן טעם בבב"ח גם אלמלא הדין של טכ"ע, ומהפרשה של בב"ח עצמו. וא"כ לימא דלא בעינן לטכ"ע דבב"ח כדרך הנאתן, ולכאורה י"ל לשיטת הגר"ח דכי</w:t>
      </w:r>
      <w:r w:rsidR="00B502E1" w:rsidRPr="00882F11">
        <w:rPr>
          <w:rFonts w:cs="Guttman Drogolin" w:hint="cs"/>
          <w:rtl/>
          <w:lang w:bidi="he-IL"/>
        </w:rPr>
        <w:t>ו</w:t>
      </w:r>
      <w:r w:rsidR="0099372B" w:rsidRPr="00882F11">
        <w:rPr>
          <w:rFonts w:cs="Guttman Drogolin" w:hint="cs"/>
          <w:rtl/>
          <w:lang w:bidi="he-IL"/>
        </w:rPr>
        <w:t xml:space="preserve">ן שלמידין טכ"ע ממקום אחר הרי זה מלמד גם על </w:t>
      </w:r>
      <w:r w:rsidR="0099372B" w:rsidRPr="00882F11">
        <w:rPr>
          <w:rFonts w:cs="Guttman Drogolin" w:hint="cs"/>
          <w:rtl/>
          <w:lang w:bidi="he-IL"/>
        </w:rPr>
        <w:lastRenderedPageBreak/>
        <w:t xml:space="preserve">הטכ"ע שבב"ח שיהא כשאר דיני טכ"ע ולכן בעינן כדרך הנאתו.  </w:t>
      </w:r>
    </w:p>
    <w:p w:rsidR="001B4A36" w:rsidRPr="00882F11" w:rsidRDefault="001B4A36" w:rsidP="001B4A36">
      <w:pPr>
        <w:bidi/>
        <w:jc w:val="both"/>
        <w:rPr>
          <w:rFonts w:cs="Guttman Drogolin"/>
          <w:rtl/>
          <w:lang w:bidi="he-IL"/>
        </w:rPr>
        <w:sectPr w:rsidR="001B4A36" w:rsidRPr="00882F11" w:rsidSect="00615FF2">
          <w:type w:val="continuous"/>
          <w:pgSz w:w="11907" w:h="16839" w:code="9"/>
          <w:pgMar w:top="1440" w:right="1440" w:bottom="1440" w:left="1440" w:header="720" w:footer="720" w:gutter="0"/>
          <w:cols w:num="2" w:space="720"/>
          <w:bidi/>
          <w:docGrid w:linePitch="360"/>
        </w:sectPr>
      </w:pPr>
    </w:p>
    <w:p w:rsidR="001B4A36" w:rsidRPr="00882F11" w:rsidRDefault="001B4A36" w:rsidP="001B4A36">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ל"ה</w:t>
      </w:r>
    </w:p>
    <w:p w:rsidR="00615FF2" w:rsidRDefault="00615FF2" w:rsidP="0078079C">
      <w:pPr>
        <w:pStyle w:val="Heading1"/>
        <w:bidi/>
        <w:spacing w:before="0" w:line="360" w:lineRule="auto"/>
        <w:jc w:val="center"/>
        <w:rPr>
          <w:rFonts w:cs="Guttman Drogolin"/>
          <w:color w:val="auto"/>
          <w:sz w:val="24"/>
          <w:szCs w:val="24"/>
          <w:u w:val="single"/>
          <w:rtl/>
          <w:lang w:bidi="he-IL"/>
        </w:rPr>
        <w:sectPr w:rsidR="00615FF2" w:rsidSect="00615FF2">
          <w:headerReference w:type="default" r:id="rId31"/>
          <w:pgSz w:w="11907" w:h="16839" w:code="9"/>
          <w:pgMar w:top="1440" w:right="1440" w:bottom="1440" w:left="1440" w:header="720" w:footer="720" w:gutter="0"/>
          <w:cols w:space="720"/>
          <w:bidi/>
          <w:docGrid w:linePitch="360"/>
        </w:sectPr>
      </w:pPr>
    </w:p>
    <w:p w:rsidR="001B4A36" w:rsidRPr="00882F11" w:rsidRDefault="001B4A36" w:rsidP="00615FF2">
      <w:pPr>
        <w:pStyle w:val="Heading1"/>
        <w:bidi/>
        <w:spacing w:before="0" w:line="240" w:lineRule="auto"/>
        <w:jc w:val="center"/>
        <w:rPr>
          <w:rFonts w:cs="Guttman Drogolin"/>
          <w:color w:val="auto"/>
          <w:sz w:val="24"/>
          <w:szCs w:val="24"/>
          <w:u w:val="single"/>
          <w:rtl/>
          <w:lang w:bidi="he-IL"/>
        </w:rPr>
      </w:pPr>
      <w:bookmarkStart w:id="131" w:name="_Toc496175390"/>
      <w:r w:rsidRPr="00882F11">
        <w:rPr>
          <w:rFonts w:cs="Guttman Drogolin" w:hint="cs"/>
          <w:color w:val="auto"/>
          <w:sz w:val="24"/>
          <w:szCs w:val="24"/>
          <w:u w:val="single"/>
          <w:rtl/>
          <w:lang w:bidi="he-IL"/>
        </w:rPr>
        <w:lastRenderedPageBreak/>
        <w:t>שיטת המ"ד במס' פסחים שאין לומדים טכ"ע מגיעולי נכרים</w:t>
      </w:r>
      <w:bookmarkEnd w:id="131"/>
    </w:p>
    <w:p w:rsidR="00203A9F" w:rsidRPr="00882F11" w:rsidRDefault="002C53AB" w:rsidP="00295766">
      <w:pPr>
        <w:bidi/>
        <w:jc w:val="both"/>
        <w:rPr>
          <w:rFonts w:cs="Guttman Drogolin"/>
          <w:rtl/>
          <w:lang w:bidi="he-IL"/>
        </w:rPr>
      </w:pPr>
      <w:r>
        <w:rPr>
          <w:rFonts w:cs="Guttman Drogolin"/>
          <w:rtl/>
          <w:lang w:bidi="he-IL"/>
        </w:rPr>
        <w:fldChar w:fldCharType="begin"/>
      </w:r>
      <w:r>
        <w:instrText xml:space="preserve"> XE "</w:instrText>
      </w:r>
      <w:r w:rsidRPr="003C5A16">
        <w:rPr>
          <w:rFonts w:hint="cs"/>
          <w:rtl/>
          <w:lang w:bidi="he-IL"/>
        </w:rPr>
        <w:instrText>טעם כעיקר</w:instrText>
      </w:r>
      <w:r w:rsidRPr="003C5A16">
        <w:rPr>
          <w:rtl/>
        </w:rPr>
        <w:instrText>:</w:instrText>
      </w:r>
      <w:r w:rsidRPr="003C5A16">
        <w:rPr>
          <w:rFonts w:hint="cs"/>
          <w:rtl/>
          <w:lang w:bidi="he-IL"/>
        </w:rPr>
        <w:instrText>ביאור השיטה שלא לומדים טכ</w:instrText>
      </w:r>
      <w:r>
        <w:rPr>
          <w:rFonts w:eastAsiaTheme="minorEastAsia"/>
          <w:lang w:bidi="he-IL"/>
        </w:rPr>
        <w:instrText>\</w:instrText>
      </w:r>
      <w:r w:rsidRPr="003C5A16">
        <w:rPr>
          <w:rFonts w:hint="cs"/>
          <w:rtl/>
          <w:lang w:bidi="he-IL"/>
        </w:rPr>
        <w:instrText>"ע מגיעולי נכרים</w:instrText>
      </w:r>
      <w:r>
        <w:instrText xml:space="preserve">" </w:instrText>
      </w:r>
      <w:r>
        <w:rPr>
          <w:rFonts w:cs="Guttman Drogolin"/>
          <w:rtl/>
          <w:lang w:bidi="he-IL"/>
        </w:rPr>
        <w:fldChar w:fldCharType="end"/>
      </w:r>
      <w:r w:rsidR="001B4A36" w:rsidRPr="00882F11">
        <w:rPr>
          <w:rFonts w:cs="Guttman Drogolin" w:hint="cs"/>
          <w:rtl/>
          <w:lang w:bidi="he-IL"/>
        </w:rPr>
        <w:t>במס' פסחים דף מ"ד ע"ב מבואר שיש מ"ד שאין לומדים את הדין של טכ"ע מדאורייתא מן הדין של גיעולי נכרים משום שגיעולי נכרים חידוש הוא כיון שבכה"ת כולה למידין מנבילה שנטל"פ מותר והכא אסור. ומבואר שם דהיינו כסברת ר' מאיר כאן שאפילו את"ל שהתורה לא אסרה אלא כלי בת יומא בלבד, מ"מ גם בכלי בת יומא אי אפשר שלא פגמה פורתא. והקשו התוס' דא"כ לימא שלעולם טכ"ע דאורייתא ונטל"פ אסור, דהא בסוגיין מבואר שר"ש לא סבירא לי' להתיר נטל"פ אלא משום דלא סבירא לי' האי סברא דאי אפשר דלא פגמה פורתא. ולתוס' יש ב' מהלכים ביישוב קושיא זו. חדא שהשיטה דהתם היא שיטה שלישית, והוא התנא שבמס' ע"ז דף ל"ה ע"ב (ע' תוס' לעיל מיני' בד"ה מכלל), דסבר לחלק בין דבר שהוא פגום לגמרי לדבר שאינו אלא פגום קצת, שמנבילה שאינה ראוי' לגר למידין דסרוח לגמרי מותר, אבל גיעולי נכרים מיירי בסרוח קצת, וזה סבירא להו דאסור. ומ"מ דבר זה הוא חידוש כיון שאלמלא הגזה"כ דגיעולי</w:t>
      </w:r>
      <w:r w:rsidR="00A12F1C" w:rsidRPr="00882F11">
        <w:rPr>
          <w:rFonts w:cs="Guttman Drogolin" w:hint="cs"/>
          <w:rtl/>
          <w:lang w:bidi="he-IL"/>
        </w:rPr>
        <w:t xml:space="preserve"> נכרים היינו מתירים גם פגום קצת, ולכן אלמלא הגזה"כ דמשרת שמלמד דאמרינן טכ"ע היינו אומרים דע"כ טכ"ע לאו </w:t>
      </w:r>
      <w:r w:rsidR="00A12F1C" w:rsidRPr="00882F11">
        <w:rPr>
          <w:rFonts w:cs="Guttman Drogolin" w:hint="cs"/>
          <w:rtl/>
          <w:lang w:bidi="he-IL"/>
        </w:rPr>
        <w:lastRenderedPageBreak/>
        <w:t>דאורייתא, אבל אחרי שיש לנו לימוד דטכ"ע ממשרת אמרינן שהפרשה של גיעולי נכרים מלמדני שפגם פורתא אסור (כן ראיתי שביאר בחזו"א סי' ט"ו סס"ק ז'</w:t>
      </w:r>
      <w:r w:rsidR="00A12F1C" w:rsidRPr="00882F11">
        <w:rPr>
          <w:rStyle w:val="FootnoteReference"/>
          <w:rFonts w:cs="Guttman Drogolin"/>
          <w:rtl/>
          <w:lang w:bidi="he-IL"/>
        </w:rPr>
        <w:footnoteReference w:id="140"/>
      </w:r>
      <w:r w:rsidR="00A12F1C" w:rsidRPr="00882F11">
        <w:rPr>
          <w:rFonts w:cs="Guttman Drogolin" w:hint="cs"/>
          <w:rtl/>
          <w:lang w:bidi="he-IL"/>
        </w:rPr>
        <w:t xml:space="preserve">). </w:t>
      </w:r>
      <w:r w:rsidR="0073007A" w:rsidRPr="00882F11">
        <w:rPr>
          <w:rFonts w:cs="Guttman Drogolin" w:hint="cs"/>
          <w:rtl/>
          <w:lang w:bidi="he-IL"/>
        </w:rPr>
        <w:t xml:space="preserve">ועוד פי' כתבו </w:t>
      </w:r>
      <w:r w:rsidR="00E6040D" w:rsidRPr="00882F11">
        <w:rPr>
          <w:rFonts w:cs="Guttman Drogolin" w:hint="cs"/>
          <w:rtl/>
          <w:lang w:bidi="he-IL"/>
        </w:rPr>
        <w:t xml:space="preserve">בשם ר' שמואל מאיור"א </w:t>
      </w:r>
      <w:r w:rsidR="0073007A" w:rsidRPr="00882F11">
        <w:rPr>
          <w:rFonts w:cs="Guttman Drogolin" w:hint="cs"/>
          <w:rtl/>
          <w:lang w:bidi="he-IL"/>
        </w:rPr>
        <w:t xml:space="preserve">דלעולם המ"ד דהתם הוא ר' שמעון המתיר אפילו פגם פורתא, רק שהמחלוקת בין ר' מאיר לר' שמעון אינו </w:t>
      </w:r>
      <w:r w:rsidR="00295766" w:rsidRPr="00882F11">
        <w:rPr>
          <w:rFonts w:cs="Guttman Drogolin" w:hint="cs"/>
          <w:rtl/>
          <w:lang w:bidi="he-IL"/>
        </w:rPr>
        <w:t>אם כלי בת יומא הוי לפגם קצת, דלעולם גם ר' שמעון סבר דהוי פגם קצת, אבל סבירא לי' שאין למידין פגם רבה מפגם פורתא</w:t>
      </w:r>
      <w:r w:rsidR="00295766" w:rsidRPr="00882F11">
        <w:rPr>
          <w:rStyle w:val="FootnoteReference"/>
          <w:rFonts w:cs="Guttman Drogolin"/>
          <w:rtl/>
          <w:lang w:bidi="he-IL"/>
        </w:rPr>
        <w:footnoteReference w:id="141"/>
      </w:r>
      <w:r w:rsidR="00295766" w:rsidRPr="00882F11">
        <w:rPr>
          <w:rFonts w:cs="Guttman Drogolin" w:hint="cs"/>
          <w:rtl/>
          <w:lang w:bidi="he-IL"/>
        </w:rPr>
        <w:t>.</w:t>
      </w:r>
    </w:p>
    <w:p w:rsidR="00790FC7" w:rsidRPr="00882F11" w:rsidRDefault="00203A9F" w:rsidP="00E6040D">
      <w:pPr>
        <w:bidi/>
        <w:jc w:val="both"/>
        <w:rPr>
          <w:rFonts w:cs="Guttman Drogolin"/>
          <w:rtl/>
          <w:lang w:bidi="he-IL"/>
        </w:rPr>
      </w:pPr>
      <w:r w:rsidRPr="00882F11">
        <w:rPr>
          <w:rFonts w:cs="Guttman Drogolin" w:hint="cs"/>
          <w:rtl/>
          <w:lang w:bidi="he-IL"/>
        </w:rPr>
        <w:t>והתוס' הוסיפו להביא הוכחה כשיטה שני' זו, שאם ר"ש סבר שאינו פוגם כלל, מה באמת למד ר"ש מגזה"כ דגיעולי נכרים</w:t>
      </w:r>
      <w:r w:rsidRPr="00882F11">
        <w:rPr>
          <w:rStyle w:val="FootnoteReference"/>
          <w:rFonts w:cs="Guttman Drogolin"/>
          <w:rtl/>
          <w:lang w:bidi="he-IL"/>
        </w:rPr>
        <w:footnoteReference w:id="142"/>
      </w:r>
      <w:r w:rsidRPr="00882F11">
        <w:rPr>
          <w:rFonts w:cs="Guttman Drogolin" w:hint="cs"/>
          <w:rtl/>
          <w:lang w:bidi="he-IL"/>
        </w:rPr>
        <w:t>, שאין לומר שלמד דטכ"ע דאורייתא וכמו שלמד ר"ע, דהא א"כ מה למד מגזה"כ דמשרת, שאין לומר שלמד דהיתר מצטרף לאיסור, דהא ר"ש אית לי' שכל איסורים שבתורה במשהו ואינו צריך צירוף. וע"כ שלמד טכ"ע ממשרת ופגם כל שהו מגיעולי נכרים.</w:t>
      </w:r>
      <w:r w:rsidR="00E6040D" w:rsidRPr="00882F11">
        <w:rPr>
          <w:rFonts w:cs="Guttman Drogolin" w:hint="cs"/>
          <w:rtl/>
          <w:lang w:bidi="he-IL"/>
        </w:rPr>
        <w:t xml:space="preserve"> והביאו בשם ר"י מקינו"ן לדחות שלעול</w:t>
      </w:r>
      <w:r w:rsidR="00B502E1" w:rsidRPr="00882F11">
        <w:rPr>
          <w:rFonts w:cs="Guttman Drogolin" w:hint="cs"/>
          <w:rtl/>
          <w:lang w:bidi="he-IL"/>
        </w:rPr>
        <w:t>ם</w:t>
      </w:r>
      <w:r w:rsidR="00E6040D" w:rsidRPr="00882F11">
        <w:rPr>
          <w:rFonts w:cs="Guttman Drogolin" w:hint="cs"/>
          <w:rtl/>
          <w:lang w:bidi="he-IL"/>
        </w:rPr>
        <w:t xml:space="preserve"> איצטריך לי' להיתר מצטרף לאיסור גם אליבא דר"ש, דלית לי' לר' שמעון כל איסורין שבתורה במשהו אלא באיסור שהוא בעין ולא ע"י תערובת. והביאו מר' פרץ לדחות ראיות הר"י מקינון</w:t>
      </w:r>
      <w:bookmarkStart w:id="132" w:name="_Ref443995581"/>
      <w:r w:rsidR="00E6040D" w:rsidRPr="00882F11">
        <w:rPr>
          <w:rStyle w:val="FootnoteReference"/>
          <w:rFonts w:cs="Guttman Drogolin"/>
          <w:rtl/>
          <w:lang w:bidi="he-IL"/>
        </w:rPr>
        <w:footnoteReference w:id="143"/>
      </w:r>
      <w:bookmarkEnd w:id="132"/>
      <w:r w:rsidR="00E6040D" w:rsidRPr="00882F11">
        <w:rPr>
          <w:rFonts w:cs="Guttman Drogolin" w:hint="cs"/>
          <w:rtl/>
          <w:lang w:bidi="he-IL"/>
        </w:rPr>
        <w:t xml:space="preserve">. וזאת אומרת </w:t>
      </w:r>
      <w:r w:rsidR="00E6040D" w:rsidRPr="00882F11">
        <w:rPr>
          <w:rFonts w:cs="Guttman Drogolin" w:hint="cs"/>
          <w:rtl/>
          <w:lang w:bidi="he-IL"/>
        </w:rPr>
        <w:lastRenderedPageBreak/>
        <w:t xml:space="preserve">דנחלקו אם ר"ש אית לי' איסור משהו כשהוא בתערובת או לא.   </w:t>
      </w:r>
    </w:p>
    <w:p w:rsidR="008859D9" w:rsidRPr="00882F11" w:rsidRDefault="00790FC7" w:rsidP="008859D9">
      <w:pPr>
        <w:bidi/>
        <w:jc w:val="both"/>
        <w:rPr>
          <w:rFonts w:cs="Guttman Drogolin"/>
          <w:rtl/>
          <w:lang w:bidi="he-IL"/>
        </w:rPr>
      </w:pPr>
      <w:r w:rsidRPr="00882F11">
        <w:rPr>
          <w:rFonts w:cs="Guttman Drogolin" w:hint="cs"/>
          <w:rtl/>
          <w:lang w:bidi="he-IL"/>
        </w:rPr>
        <w:t xml:space="preserve">ומקשים העולם </w:t>
      </w:r>
      <w:r w:rsidR="00061C34" w:rsidRPr="00882F11">
        <w:rPr>
          <w:rFonts w:cs="Guttman Drogolin" w:hint="cs"/>
          <w:rtl/>
          <w:lang w:bidi="he-IL"/>
        </w:rPr>
        <w:t>(ע' שו"ת בית הלוי ח"</w:t>
      </w:r>
      <w:r w:rsidR="00F64588" w:rsidRPr="00882F11">
        <w:rPr>
          <w:rFonts w:cs="Guttman Drogolin" w:hint="cs"/>
          <w:rtl/>
          <w:lang w:bidi="he-IL"/>
        </w:rPr>
        <w:t xml:space="preserve">א סי' ג' אות ח', ועוד אחרונים המובאים בקה"י שבהמשך) </w:t>
      </w:r>
      <w:r w:rsidRPr="00882F11">
        <w:rPr>
          <w:rFonts w:cs="Guttman Drogolin" w:hint="cs"/>
          <w:rtl/>
          <w:lang w:bidi="he-IL"/>
        </w:rPr>
        <w:t xml:space="preserve">על שיטה זו, דהא הגמ' במס' שבועות דף כ"א ע"ב מוכיח דר"ע לית </w:t>
      </w:r>
      <w:r w:rsidR="006C36A6">
        <w:rPr>
          <w:rFonts w:cs="Guttman Drogolin" w:hint="cs"/>
          <w:rtl/>
          <w:lang w:bidi="he-IL"/>
        </w:rPr>
        <w:t xml:space="preserve">לי' </w:t>
      </w:r>
      <w:r w:rsidRPr="00882F11">
        <w:rPr>
          <w:rFonts w:cs="Guttman Drogolin" w:hint="cs"/>
          <w:rtl/>
          <w:lang w:bidi="he-IL"/>
        </w:rPr>
        <w:t xml:space="preserve">כר"ש שכל איסורים שבתורה במשהו </w:t>
      </w:r>
      <w:r w:rsidR="008859D9" w:rsidRPr="00882F11">
        <w:rPr>
          <w:rFonts w:cs="Guttman Drogolin" w:hint="cs"/>
          <w:rtl/>
          <w:lang w:bidi="he-IL"/>
        </w:rPr>
        <w:t>ממה שמצאנו "ר"ע</w:t>
      </w:r>
      <w:r w:rsidR="008859D9" w:rsidRPr="00882F11">
        <w:rPr>
          <w:rFonts w:cs="Guttman Drogolin"/>
          <w:rtl/>
          <w:lang w:bidi="he-IL"/>
        </w:rPr>
        <w:t xml:space="preserve"> </w:t>
      </w:r>
      <w:r w:rsidR="008859D9" w:rsidRPr="00882F11">
        <w:rPr>
          <w:rFonts w:cs="Guttman Drogolin" w:hint="cs"/>
          <w:rtl/>
          <w:lang w:bidi="he-IL"/>
        </w:rPr>
        <w:t>אומר</w:t>
      </w:r>
      <w:r w:rsidR="008859D9" w:rsidRPr="00882F11">
        <w:rPr>
          <w:rFonts w:cs="Guttman Drogolin"/>
          <w:rtl/>
          <w:lang w:bidi="he-IL"/>
        </w:rPr>
        <w:t xml:space="preserve"> </w:t>
      </w:r>
      <w:r w:rsidR="008859D9" w:rsidRPr="00882F11">
        <w:rPr>
          <w:rFonts w:cs="Guttman Drogolin" w:hint="cs"/>
          <w:rtl/>
          <w:lang w:bidi="he-IL"/>
        </w:rPr>
        <w:t>נזיר</w:t>
      </w:r>
      <w:r w:rsidR="008859D9" w:rsidRPr="00882F11">
        <w:rPr>
          <w:rFonts w:cs="Guttman Drogolin"/>
          <w:rtl/>
          <w:lang w:bidi="he-IL"/>
        </w:rPr>
        <w:t xml:space="preserve"> </w:t>
      </w:r>
      <w:r w:rsidR="008859D9" w:rsidRPr="00882F11">
        <w:rPr>
          <w:rFonts w:cs="Guttman Drogolin" w:hint="cs"/>
          <w:rtl/>
          <w:lang w:bidi="he-IL"/>
        </w:rPr>
        <w:t>ששרה</w:t>
      </w:r>
      <w:r w:rsidR="008859D9" w:rsidRPr="00882F11">
        <w:rPr>
          <w:rFonts w:cs="Guttman Drogolin"/>
          <w:rtl/>
          <w:lang w:bidi="he-IL"/>
        </w:rPr>
        <w:t xml:space="preserve"> </w:t>
      </w:r>
      <w:r w:rsidR="008859D9" w:rsidRPr="00882F11">
        <w:rPr>
          <w:rFonts w:cs="Guttman Drogolin" w:hint="cs"/>
          <w:rtl/>
          <w:lang w:bidi="he-IL"/>
        </w:rPr>
        <w:t>פתו</w:t>
      </w:r>
      <w:r w:rsidR="008859D9" w:rsidRPr="00882F11">
        <w:rPr>
          <w:rFonts w:cs="Guttman Drogolin"/>
          <w:rtl/>
          <w:lang w:bidi="he-IL"/>
        </w:rPr>
        <w:t xml:space="preserve"> </w:t>
      </w:r>
      <w:r w:rsidR="008859D9" w:rsidRPr="00882F11">
        <w:rPr>
          <w:rFonts w:cs="Guttman Drogolin" w:hint="cs"/>
          <w:rtl/>
          <w:lang w:bidi="he-IL"/>
        </w:rPr>
        <w:t>ביין</w:t>
      </w:r>
      <w:r w:rsidR="008859D9" w:rsidRPr="00882F11">
        <w:rPr>
          <w:rFonts w:cs="Guttman Drogolin"/>
          <w:rtl/>
          <w:lang w:bidi="he-IL"/>
        </w:rPr>
        <w:t xml:space="preserve"> </w:t>
      </w:r>
      <w:r w:rsidR="008859D9" w:rsidRPr="00882F11">
        <w:rPr>
          <w:rFonts w:cs="Guttman Drogolin" w:hint="cs"/>
          <w:rtl/>
          <w:lang w:bidi="he-IL"/>
        </w:rPr>
        <w:t>ויש</w:t>
      </w:r>
      <w:r w:rsidR="008859D9" w:rsidRPr="00882F11">
        <w:rPr>
          <w:rFonts w:cs="Guttman Drogolin"/>
          <w:rtl/>
          <w:lang w:bidi="he-IL"/>
        </w:rPr>
        <w:t xml:space="preserve"> </w:t>
      </w:r>
      <w:r w:rsidR="008859D9" w:rsidRPr="00882F11">
        <w:rPr>
          <w:rFonts w:cs="Guttman Drogolin" w:hint="cs"/>
          <w:rtl/>
          <w:lang w:bidi="he-IL"/>
        </w:rPr>
        <w:t>בה</w:t>
      </w:r>
      <w:r w:rsidR="008859D9" w:rsidRPr="00882F11">
        <w:rPr>
          <w:rFonts w:cs="Guttman Drogolin"/>
          <w:rtl/>
          <w:lang w:bidi="he-IL"/>
        </w:rPr>
        <w:t xml:space="preserve"> </w:t>
      </w:r>
      <w:r w:rsidR="008859D9" w:rsidRPr="00882F11">
        <w:rPr>
          <w:rFonts w:cs="Guttman Drogolin" w:hint="cs"/>
          <w:rtl/>
          <w:lang w:bidi="he-IL"/>
        </w:rPr>
        <w:t>כדי</w:t>
      </w:r>
      <w:r w:rsidR="008859D9" w:rsidRPr="00882F11">
        <w:rPr>
          <w:rFonts w:cs="Guttman Drogolin"/>
          <w:rtl/>
          <w:lang w:bidi="he-IL"/>
        </w:rPr>
        <w:t xml:space="preserve"> </w:t>
      </w:r>
      <w:r w:rsidR="008859D9" w:rsidRPr="00882F11">
        <w:rPr>
          <w:rFonts w:cs="Guttman Drogolin" w:hint="cs"/>
          <w:rtl/>
          <w:lang w:bidi="he-IL"/>
        </w:rPr>
        <w:t>לצרף</w:t>
      </w:r>
      <w:r w:rsidR="008859D9" w:rsidRPr="00882F11">
        <w:rPr>
          <w:rFonts w:cs="Guttman Drogolin"/>
          <w:rtl/>
          <w:lang w:bidi="he-IL"/>
        </w:rPr>
        <w:t xml:space="preserve"> </w:t>
      </w:r>
      <w:r w:rsidR="008859D9" w:rsidRPr="00882F11">
        <w:rPr>
          <w:rFonts w:cs="Guttman Drogolin" w:hint="cs"/>
          <w:rtl/>
          <w:lang w:bidi="he-IL"/>
        </w:rPr>
        <w:t>כזית</w:t>
      </w:r>
      <w:r w:rsidR="008859D9" w:rsidRPr="00882F11">
        <w:rPr>
          <w:rFonts w:cs="Guttman Drogolin"/>
          <w:rtl/>
          <w:lang w:bidi="he-IL"/>
        </w:rPr>
        <w:t xml:space="preserve"> </w:t>
      </w:r>
      <w:r w:rsidR="008859D9" w:rsidRPr="00882F11">
        <w:rPr>
          <w:rFonts w:cs="Guttman Drogolin" w:hint="cs"/>
          <w:rtl/>
          <w:lang w:bidi="he-IL"/>
        </w:rPr>
        <w:t xml:space="preserve">חייב". ולכאורה צ"ע דהא גם ר"ש מודה שע"י תערובת אין שיעורו בכל שהו. </w:t>
      </w:r>
    </w:p>
    <w:p w:rsidR="00F64588" w:rsidRPr="00882F11" w:rsidRDefault="008859D9" w:rsidP="00061C34">
      <w:pPr>
        <w:bidi/>
        <w:jc w:val="both"/>
        <w:rPr>
          <w:rFonts w:cs="Guttman Drogolin"/>
          <w:rtl/>
          <w:lang w:bidi="he-IL"/>
        </w:rPr>
      </w:pPr>
      <w:r w:rsidRPr="00882F11">
        <w:rPr>
          <w:rFonts w:cs="Guttman Drogolin" w:hint="cs"/>
          <w:rtl/>
          <w:lang w:bidi="he-IL"/>
        </w:rPr>
        <w:t xml:space="preserve">ונאמרו בזה ב' מהלכים באחרונים. הרבה אחרונים נקטו שהוא מיושב ע"פ שיטת הריטב"א במס' מכות דף י"ז ע"א בשם ר' מאיר </w:t>
      </w:r>
      <w:r w:rsidR="00134B00" w:rsidRPr="00882F11">
        <w:rPr>
          <w:rFonts w:cs="Guttman Drogolin" w:hint="cs"/>
          <w:rtl/>
          <w:lang w:bidi="he-IL"/>
        </w:rPr>
        <w:t xml:space="preserve">שבאמת גם ר' שמעון מודה להלל"מ שכל שיעורי איסורים בכזית, רק שאיסור שהוא במזיד שיעורו בכל שהוא, דכיון שאוכלו במזיד אחשבי'. ולכן בשלמא אם </w:t>
      </w:r>
      <w:r w:rsidR="007D3017" w:rsidRPr="00882F11">
        <w:rPr>
          <w:rFonts w:cs="Guttman Drogolin" w:hint="cs"/>
          <w:rtl/>
          <w:lang w:bidi="he-IL"/>
        </w:rPr>
        <w:t>אוכלו בעיני' אמרינן אחשבי', אבל</w:t>
      </w:r>
      <w:r w:rsidR="00134B00" w:rsidRPr="00882F11">
        <w:rPr>
          <w:rFonts w:cs="Guttman Drogolin" w:hint="cs"/>
          <w:rtl/>
          <w:lang w:bidi="he-IL"/>
        </w:rPr>
        <w:t xml:space="preserve"> בתערובת בטעות </w:t>
      </w:r>
      <w:r w:rsidR="007D3017" w:rsidRPr="00882F11">
        <w:rPr>
          <w:rFonts w:cs="Guttman Drogolin" w:hint="cs"/>
          <w:rtl/>
          <w:lang w:bidi="he-IL"/>
        </w:rPr>
        <w:t xml:space="preserve">ליכא למימר אחשבי' כיון שי"ל שאין רצונו אלא לאכול הדבר היתר. </w:t>
      </w:r>
      <w:r w:rsidR="00347372" w:rsidRPr="00882F11">
        <w:rPr>
          <w:rFonts w:cs="Guttman Drogolin" w:hint="cs"/>
          <w:rtl/>
          <w:lang w:bidi="he-IL"/>
        </w:rPr>
        <w:t xml:space="preserve">אמנם הנ"מ כשלא עירוב בכוונה, אבל עירבו בכוונה הרי זה במזיר ואמרינן אחשבי' גם בתערובת. ועוד ע' </w:t>
      </w:r>
      <w:r w:rsidR="00061C34" w:rsidRPr="00882F11">
        <w:rPr>
          <w:rFonts w:cs="Guttman Drogolin" w:hint="cs"/>
          <w:rtl/>
          <w:lang w:bidi="he-IL"/>
        </w:rPr>
        <w:t xml:space="preserve">חזו"א (יו"ד סי' כ"ה ס"ק ח') </w:t>
      </w:r>
      <w:r w:rsidR="00347372" w:rsidRPr="00882F11">
        <w:rPr>
          <w:rFonts w:cs="Guttman Drogolin" w:hint="cs"/>
          <w:rtl/>
          <w:lang w:bidi="he-IL"/>
        </w:rPr>
        <w:t xml:space="preserve">בקה"י </w:t>
      </w:r>
      <w:r w:rsidR="00061C34" w:rsidRPr="00882F11">
        <w:rPr>
          <w:rFonts w:cs="Guttman Drogolin" w:hint="cs"/>
          <w:rtl/>
          <w:lang w:bidi="he-IL"/>
        </w:rPr>
        <w:t xml:space="preserve">סי כ"ו </w:t>
      </w:r>
      <w:r w:rsidR="00347372" w:rsidRPr="00882F11">
        <w:rPr>
          <w:rFonts w:cs="Guttman Drogolin" w:hint="cs"/>
          <w:rtl/>
          <w:lang w:bidi="he-IL"/>
        </w:rPr>
        <w:t>שלעולם שייך החידוש של המל"א גם לר' שמעון. רק דשונה הדין המל"א אליבא דר' שמעון מן הדין המל"א אליבא דמאן דאית לי' שכל איסורים שבתורה שיעורן בכזית, שלמאן דמצריך כזית בעינן צירוף כזית בין שניהם, אבל לר"ש, נהי נמי דלא בעינן לי' לשיעור כזית, מ"מ כיון שהוא ע"י תערובת אינו חייב על משהו וכנ"ל, רק ע"י הדין של המל"א אמרינן דכולה איסור ולכן חייב לר' שמעון על הכל אפילו אם בין הכל ליכא שיעור כזית. והראי' משיטת ר"ע הוא מזה שהצריך צירוף של כזית, שהרי לר"ש אינו צריך אלא הדין צירוף אפילו אם אין בין הכל שיעור של כזית וכמש"נ.</w:t>
      </w:r>
    </w:p>
    <w:p w:rsidR="00F64588" w:rsidRPr="00882F11" w:rsidRDefault="00F64588" w:rsidP="0078079C">
      <w:pPr>
        <w:pStyle w:val="Heading1"/>
        <w:bidi/>
        <w:spacing w:before="0" w:line="360" w:lineRule="auto"/>
        <w:jc w:val="center"/>
        <w:rPr>
          <w:rFonts w:cs="Guttman Drogolin"/>
          <w:color w:val="auto"/>
          <w:sz w:val="24"/>
          <w:szCs w:val="24"/>
          <w:u w:val="single"/>
          <w:rtl/>
          <w:lang w:bidi="he-IL"/>
        </w:rPr>
      </w:pPr>
      <w:bookmarkStart w:id="133" w:name="_Toc496175391"/>
      <w:r w:rsidRPr="00882F11">
        <w:rPr>
          <w:rFonts w:cs="Guttman Drogolin" w:hint="cs"/>
          <w:color w:val="auto"/>
          <w:sz w:val="24"/>
          <w:szCs w:val="24"/>
          <w:u w:val="single"/>
          <w:rtl/>
          <w:lang w:bidi="he-IL"/>
        </w:rPr>
        <w:lastRenderedPageBreak/>
        <w:t>הזמן של בן יומא</w:t>
      </w:r>
      <w:bookmarkEnd w:id="133"/>
    </w:p>
    <w:p w:rsidR="00CF0FD5" w:rsidRPr="00882F11" w:rsidRDefault="00B34B28" w:rsidP="00CF0FD5">
      <w:pPr>
        <w:bidi/>
        <w:jc w:val="both"/>
        <w:rPr>
          <w:rFonts w:cs="Guttman Drogolin"/>
          <w:rtl/>
          <w:lang w:bidi="he-IL"/>
        </w:rPr>
      </w:pPr>
      <w:r>
        <w:rPr>
          <w:rFonts w:cs="Guttman Drogolin"/>
          <w:rtl/>
          <w:lang w:bidi="he-IL"/>
        </w:rPr>
        <w:fldChar w:fldCharType="begin"/>
      </w:r>
      <w:r>
        <w:instrText xml:space="preserve"> XE "</w:instrText>
      </w:r>
      <w:r w:rsidRPr="00CA2FD0">
        <w:rPr>
          <w:rFonts w:hint="cs"/>
          <w:rtl/>
          <w:lang w:bidi="he-IL"/>
        </w:rPr>
        <w:instrText>כלי שאינו בן יומו</w:instrText>
      </w:r>
      <w:r w:rsidRPr="00CA2FD0">
        <w:rPr>
          <w:rtl/>
        </w:rPr>
        <w:instrText>:</w:instrText>
      </w:r>
      <w:r w:rsidRPr="00CA2FD0">
        <w:rPr>
          <w:rFonts w:hint="cs"/>
          <w:rtl/>
          <w:lang w:bidi="he-IL"/>
        </w:rPr>
        <w:instrText>מהו הזמן של בן יומו</w:instrText>
      </w:r>
      <w:r>
        <w:instrText xml:space="preserve">" </w:instrText>
      </w:r>
      <w:r>
        <w:rPr>
          <w:rFonts w:cs="Guttman Drogolin"/>
          <w:rtl/>
          <w:lang w:bidi="he-IL"/>
        </w:rPr>
        <w:fldChar w:fldCharType="end"/>
      </w:r>
      <w:r w:rsidR="00F64588" w:rsidRPr="00882F11">
        <w:rPr>
          <w:rFonts w:cs="Guttman Drogolin" w:hint="cs"/>
          <w:rtl/>
          <w:lang w:bidi="he-IL"/>
        </w:rPr>
        <w:t xml:space="preserve">רש"י כאן בד"ה לאו נותן טעם לפגם הוא כתב "כל תבשיל שלן לילה אחד". ומשמע שהשיעור זמן של אינו בן יומו היינו שעבר עליו לילה א'. וכן מבואר גם מרש"י בדף ע"ו ע"א ד"ה בת יומא. וכן הביאו שם בתוס' ד"ה בת יומא, והביאו שכן הוא גם שיטת ר"ת. </w:t>
      </w:r>
      <w:r w:rsidR="006B21C1" w:rsidRPr="00882F11">
        <w:rPr>
          <w:rFonts w:cs="Guttman Drogolin" w:hint="cs"/>
          <w:rtl/>
          <w:lang w:bidi="he-IL"/>
        </w:rPr>
        <w:t xml:space="preserve">והתוס' הביאו ג' צדדין מהו באמת השיעור: א) תחילת הלילה, ב) סוף הלילה, ג) הלילה כולה. ובהשך דבריהם כתבו לדחות הצד דהוי רק סוף הלילה משום שא"כ למה בחטאת צריכים שבירה לכלי חרס, הא עד עמוד השחר מותר לאכול הבליעות של חטאת, ולאחר עמוד השחר אין חשש אם יבשל בהם דהא כבר נעשו הבליעות לפגם. </w:t>
      </w:r>
      <w:r w:rsidR="00CF0FD5" w:rsidRPr="00882F11">
        <w:rPr>
          <w:rFonts w:cs="Guttman Drogolin" w:hint="cs"/>
          <w:rtl/>
          <w:lang w:bidi="he-IL"/>
        </w:rPr>
        <w:t>וע' ברא"ש שדחה משום שי"ל כלי חרס כתב דיתכן שגזה"כ הוא ואינו משום הבליעות שבתוכו. ואע"ג שמס' פסחים דף ל' ע"ב למדו משבירה דכלי חרס שהבליעות אינן יוצאות מכלי חרס לעולם, פי הרא"ש דהיינו מדשינה לחייב כלי חרס שבירה ואילו בכלי נחושת הדין במריקה ושטיפה. ע' הר"ן באופן אחר קצת והוא דאע"ג לעצמו הבליעה ראוי' מ"מ אין לו כח לאסור דבר אחר.</w:t>
      </w:r>
    </w:p>
    <w:p w:rsidR="00710230" w:rsidRPr="00882F11" w:rsidRDefault="00CF0FD5" w:rsidP="00710230">
      <w:pPr>
        <w:bidi/>
        <w:jc w:val="both"/>
        <w:rPr>
          <w:rFonts w:cs="Guttman Drogolin"/>
          <w:rtl/>
          <w:lang w:bidi="he-IL"/>
        </w:rPr>
      </w:pPr>
      <w:r w:rsidRPr="00882F11">
        <w:rPr>
          <w:rFonts w:cs="Guttman Drogolin" w:hint="cs"/>
          <w:rtl/>
          <w:lang w:bidi="he-IL"/>
        </w:rPr>
        <w:t>והרא"ש הביא בשם הר"י שהשיעור של בת יומא היינו שעבר עליהם שיעור של מעת לעת,</w:t>
      </w:r>
      <w:r w:rsidR="00710230" w:rsidRPr="00882F11">
        <w:rPr>
          <w:rFonts w:cs="Guttman Drogolin" w:hint="cs"/>
          <w:rtl/>
          <w:lang w:bidi="he-IL"/>
        </w:rPr>
        <w:t xml:space="preserve"> וע"ש שכתב שכל מה שכתבו ליישב </w:t>
      </w:r>
      <w:r w:rsidR="00680794">
        <w:rPr>
          <w:rFonts w:cs="Guttman Drogolin" w:hint="cs"/>
          <w:rtl/>
          <w:lang w:bidi="he-IL"/>
        </w:rPr>
        <w:t>לשיטת</w:t>
      </w:r>
      <w:r w:rsidR="00710230" w:rsidRPr="00882F11">
        <w:rPr>
          <w:rFonts w:cs="Guttman Drogolin" w:hint="cs"/>
          <w:rtl/>
          <w:lang w:bidi="he-IL"/>
        </w:rPr>
        <w:t xml:space="preserve"> רש"י ר"ת אינם אלא דחוקים. וכן התוס' כתבו שהחמיר להצריך מעל"ע תבא עליו ברכה.</w:t>
      </w:r>
    </w:p>
    <w:p w:rsidR="00F11C0C" w:rsidRPr="00882F11" w:rsidRDefault="00710230" w:rsidP="0042555E">
      <w:pPr>
        <w:bidi/>
        <w:jc w:val="both"/>
        <w:rPr>
          <w:rFonts w:cs="Guttman Drogolin"/>
          <w:rtl/>
          <w:lang w:bidi="he-IL"/>
        </w:rPr>
      </w:pPr>
      <w:r w:rsidRPr="00882F11">
        <w:rPr>
          <w:rFonts w:cs="Guttman Drogolin" w:hint="cs"/>
          <w:rtl/>
          <w:lang w:bidi="he-IL"/>
        </w:rPr>
        <w:t xml:space="preserve">והנה השו"ע החמיר להצריך מעל"ע כדי שיחשב נטל"פ, אבל לפעמים הפוסקים סמכו להקל אשיטת רש"י וסייעתו בצירוף סעיפים נוספים להקל. אלא דהנה לשיטת רש"י ור"ת יל"ע, שאם הדין הוא שצריכים לילה שלמה כדי שיחשב לפגם, לכאורה הי' צריך להיות הדין שאם הפסיק מלהבליע באמצע הלילה, שהכלי לא יחשב אינו בת יומא </w:t>
      </w:r>
      <w:r w:rsidRPr="00882F11">
        <w:rPr>
          <w:rFonts w:cs="Guttman Drogolin" w:hint="cs"/>
          <w:rtl/>
          <w:lang w:bidi="he-IL"/>
        </w:rPr>
        <w:lastRenderedPageBreak/>
        <w:t xml:space="preserve">עד עלות השחר של היום המחרת, דהא עדיין לא עברו עליו לילה שלמה מתחילתו ועד סופו עד אז. </w:t>
      </w:r>
      <w:r w:rsidR="0042555E" w:rsidRPr="00882F11">
        <w:rPr>
          <w:rFonts w:cs="Guttman Drogolin" w:hint="cs"/>
          <w:rtl/>
          <w:lang w:bidi="he-IL"/>
        </w:rPr>
        <w:t>ולא מסתבר שאפשר לצרף סוף הלילה שמיד אחרי ההבלעה לתחילת הלילה של היום שלאחרי, שכפשוטו בעינן לילה א' רצוף לפי שיטה זו. וכן מבואר לכאורה מדברי הכרו"פ רסי' ק"ה שלשיטתם יש חומרא מעל השיטה שסוברת שצריכים מעל"ע, דבכה"ג הנ"ל צריך לחכות עד עלות השחר של יום המחרת. וזהו חומרא גדולה שלא שמענו שלפעמים צריכים יותא מכעל"ע. וראיתי במגילת ספר (סי' ק"ג אות ח') שכתב שמסתבר לומר שאפילו רש"י ור"ת וסייעתם מודו שאם עבר מעל"ע דהוי לפגם, רק שלשיטתם גם לינת לילה הוי לפגם. אמנם יש בזה מידת חידוש, שהרי לשיטתם אין שום מקור מן הגמ' לדין נטל"פ של מעל"ע. וצ"ע. וע"ש שיש בזה נפק"מ</w:t>
      </w:r>
      <w:r w:rsidR="00F11C0C" w:rsidRPr="00882F11">
        <w:rPr>
          <w:rFonts w:cs="Guttman Drogolin" w:hint="cs"/>
          <w:rtl/>
          <w:lang w:bidi="he-IL"/>
        </w:rPr>
        <w:t xml:space="preserve"> גם למקום וזמן בעולם דליכא לילה</w:t>
      </w:r>
      <w:r w:rsidR="00F11C0C" w:rsidRPr="00882F11">
        <w:rPr>
          <w:rStyle w:val="FootnoteReference"/>
          <w:rFonts w:cs="Guttman Drogolin"/>
          <w:rtl/>
          <w:lang w:bidi="he-IL"/>
        </w:rPr>
        <w:footnoteReference w:id="144"/>
      </w:r>
      <w:r w:rsidR="00F11C0C" w:rsidRPr="00882F11">
        <w:rPr>
          <w:rFonts w:cs="Guttman Drogolin" w:hint="cs"/>
          <w:rtl/>
          <w:lang w:bidi="he-IL"/>
        </w:rPr>
        <w:t>.</w:t>
      </w:r>
      <w:r w:rsidR="0042555E" w:rsidRPr="00882F11">
        <w:rPr>
          <w:rFonts w:cs="Guttman Drogolin" w:hint="cs"/>
          <w:rtl/>
          <w:lang w:bidi="he-IL"/>
        </w:rPr>
        <w:t xml:space="preserve"> </w:t>
      </w:r>
      <w:r w:rsidRPr="00882F11">
        <w:rPr>
          <w:rFonts w:cs="Guttman Drogolin" w:hint="cs"/>
          <w:rtl/>
          <w:lang w:bidi="he-IL"/>
        </w:rPr>
        <w:t xml:space="preserve">  </w:t>
      </w:r>
      <w:r w:rsidR="00347372" w:rsidRPr="00882F11">
        <w:rPr>
          <w:rFonts w:cs="Guttman Drogolin" w:hint="cs"/>
          <w:rtl/>
          <w:lang w:bidi="he-IL"/>
        </w:rPr>
        <w:t xml:space="preserve"> </w:t>
      </w:r>
    </w:p>
    <w:p w:rsidR="00F11C0C" w:rsidRPr="00882F11" w:rsidRDefault="00F11C0C" w:rsidP="0078079C">
      <w:pPr>
        <w:pStyle w:val="Heading1"/>
        <w:bidi/>
        <w:spacing w:before="0" w:line="360" w:lineRule="auto"/>
        <w:jc w:val="center"/>
        <w:rPr>
          <w:rFonts w:cs="Guttman Drogolin"/>
          <w:color w:val="auto"/>
          <w:sz w:val="24"/>
          <w:szCs w:val="24"/>
          <w:u w:val="single"/>
          <w:rtl/>
          <w:lang w:bidi="he-IL"/>
        </w:rPr>
      </w:pPr>
      <w:bookmarkStart w:id="134" w:name="_Toc496175392"/>
      <w:r w:rsidRPr="00882F11">
        <w:rPr>
          <w:rFonts w:cs="Guttman Drogolin" w:hint="cs"/>
          <w:color w:val="auto"/>
          <w:sz w:val="24"/>
          <w:szCs w:val="24"/>
          <w:u w:val="single"/>
          <w:rtl/>
          <w:lang w:bidi="he-IL"/>
        </w:rPr>
        <w:t>בישל מים תוך הזמן של בת יומא</w:t>
      </w:r>
      <w:bookmarkEnd w:id="134"/>
    </w:p>
    <w:p w:rsidR="008756F8" w:rsidRPr="00882F11" w:rsidRDefault="00B34B28" w:rsidP="00B502E1">
      <w:pPr>
        <w:bidi/>
        <w:jc w:val="both"/>
        <w:rPr>
          <w:rFonts w:cs="Guttman Drogolin"/>
          <w:rtl/>
          <w:lang w:bidi="he-IL"/>
        </w:rPr>
      </w:pPr>
      <w:r>
        <w:rPr>
          <w:rFonts w:cs="Guttman Drogolin"/>
          <w:rtl/>
          <w:lang w:bidi="he-IL"/>
        </w:rPr>
        <w:fldChar w:fldCharType="begin"/>
      </w:r>
      <w:r>
        <w:instrText xml:space="preserve"> XE "</w:instrText>
      </w:r>
      <w:r w:rsidRPr="005319A8">
        <w:rPr>
          <w:rFonts w:hint="cs"/>
          <w:rtl/>
          <w:lang w:bidi="he-IL"/>
        </w:rPr>
        <w:instrText>כלי שאינו בן יומו</w:instrText>
      </w:r>
      <w:r w:rsidRPr="005319A8">
        <w:rPr>
          <w:rtl/>
        </w:rPr>
        <w:instrText>:</w:instrText>
      </w:r>
      <w:r w:rsidRPr="005319A8">
        <w:rPr>
          <w:rFonts w:hint="cs"/>
          <w:rtl/>
          <w:lang w:bidi="he-IL"/>
        </w:rPr>
        <w:instrText>כשבישל מים באמצע</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586332">
        <w:rPr>
          <w:rFonts w:hint="cs"/>
          <w:rtl/>
          <w:lang w:bidi="he-IL"/>
        </w:rPr>
        <w:instrText>נותן טעם לפגם</w:instrText>
      </w:r>
      <w:r w:rsidRPr="00586332">
        <w:rPr>
          <w:rtl/>
        </w:rPr>
        <w:instrText>:</w:instrText>
      </w:r>
      <w:r w:rsidRPr="00586332">
        <w:rPr>
          <w:rFonts w:hint="cs"/>
          <w:rtl/>
          <w:lang w:bidi="he-IL"/>
        </w:rPr>
        <w:instrText>בישל מים בכלי שאינו בן יומו</w:instrText>
      </w:r>
      <w:r>
        <w:instrText xml:space="preserve">" </w:instrText>
      </w:r>
      <w:r>
        <w:rPr>
          <w:rFonts w:cs="Guttman Drogolin"/>
          <w:rtl/>
          <w:lang w:bidi="he-IL"/>
        </w:rPr>
        <w:fldChar w:fldCharType="end"/>
      </w:r>
      <w:r w:rsidR="00F11C0C" w:rsidRPr="00882F11">
        <w:rPr>
          <w:rFonts w:cs="Guttman Drogolin" w:hint="cs"/>
          <w:rtl/>
          <w:lang w:bidi="he-IL"/>
        </w:rPr>
        <w:t>התוס' מביאים בשם ר' ברוך בעל ס' התרומה</w:t>
      </w:r>
      <w:r w:rsidR="00F92ABE" w:rsidRPr="00882F11">
        <w:rPr>
          <w:rStyle w:val="FootnoteReference"/>
          <w:rFonts w:cs="Guttman Drogolin"/>
          <w:rtl/>
          <w:lang w:bidi="he-IL"/>
        </w:rPr>
        <w:footnoteReference w:id="145"/>
      </w:r>
      <w:r w:rsidR="00F11C0C" w:rsidRPr="00882F11">
        <w:rPr>
          <w:rFonts w:cs="Guttman Drogolin" w:hint="cs"/>
          <w:rtl/>
          <w:lang w:bidi="he-IL"/>
        </w:rPr>
        <w:t xml:space="preserve"> שכשבא א' לשאול עם תבשיל שהתבשל בטעות בכלי איסור, לא מספיק לשאול אם הכלי </w:t>
      </w:r>
      <w:r w:rsidR="00B502E1" w:rsidRPr="00882F11">
        <w:rPr>
          <w:rFonts w:cs="Guttman Drogolin" w:hint="cs"/>
          <w:rtl/>
          <w:lang w:bidi="he-IL"/>
        </w:rPr>
        <w:t>ב</w:t>
      </w:r>
      <w:r w:rsidR="00F11C0C" w:rsidRPr="00882F11">
        <w:rPr>
          <w:rFonts w:cs="Guttman Drogolin" w:hint="cs"/>
          <w:rtl/>
          <w:lang w:bidi="he-IL"/>
        </w:rPr>
        <w:t>ן יומו של בישול באיסור, אלא צריכים לדעת אם התבשלו בה אפילו מים ת</w:t>
      </w:r>
      <w:r w:rsidR="00B502E1" w:rsidRPr="00882F11">
        <w:rPr>
          <w:rFonts w:cs="Guttman Drogolin" w:hint="cs"/>
          <w:rtl/>
          <w:lang w:bidi="he-IL"/>
        </w:rPr>
        <w:t>ו</w:t>
      </w:r>
      <w:r w:rsidR="00F11C0C" w:rsidRPr="00882F11">
        <w:rPr>
          <w:rFonts w:cs="Guttman Drogolin" w:hint="cs"/>
          <w:rtl/>
          <w:lang w:bidi="he-IL"/>
        </w:rPr>
        <w:t>ך הזמן. והטעם משום שאם בישלו מים תוך הזמן, המים עצמם נאסרים ונע"נ, ולכן צריכים לחכות עוד יום עד שהבליעות של מים יהיו פגומים</w:t>
      </w:r>
      <w:r w:rsidR="008756F8" w:rsidRPr="00882F11">
        <w:rPr>
          <w:rFonts w:cs="Guttman Drogolin" w:hint="cs"/>
          <w:rtl/>
          <w:lang w:bidi="he-IL"/>
        </w:rPr>
        <w:t>, וממילא צריך להיות שהוא פחות משיעור בן יומו מבישול המים</w:t>
      </w:r>
      <w:r w:rsidR="00F11C0C" w:rsidRPr="00882F11">
        <w:rPr>
          <w:rFonts w:cs="Guttman Drogolin" w:hint="cs"/>
          <w:rtl/>
          <w:lang w:bidi="he-IL"/>
        </w:rPr>
        <w:t>.</w:t>
      </w:r>
      <w:r w:rsidR="008756F8" w:rsidRPr="00882F11">
        <w:rPr>
          <w:rFonts w:cs="Guttman Drogolin" w:hint="cs"/>
          <w:rtl/>
          <w:lang w:bidi="he-IL"/>
        </w:rPr>
        <w:t xml:space="preserve"> אמנם כתב הר' ברוך דהנ"מ מבליעת של איסור, אבל מבליעות של היתר אין צריך שיהי' אלא אינו בן </w:t>
      </w:r>
      <w:r w:rsidR="008756F8" w:rsidRPr="00882F11">
        <w:rPr>
          <w:rFonts w:cs="Guttman Drogolin" w:hint="cs"/>
          <w:rtl/>
          <w:lang w:bidi="he-IL"/>
        </w:rPr>
        <w:lastRenderedPageBreak/>
        <w:t xml:space="preserve">יומו מבליעות ההיתר אע"ג שבישלו מים באמצע. והטעם משום דלא אמרינן חענ"ן בהיתר, ועוד הוי נ"ט בר נ"ט, ואע"ג שיש מחמירים שאינו מותר מדין נ"ט בר נ"ט היכא שנתבשלו, הכא דאיכא ג' נ"ט מותר לכו"ע. </w:t>
      </w:r>
    </w:p>
    <w:p w:rsidR="00AB7C70" w:rsidRPr="00882F11" w:rsidRDefault="008756F8" w:rsidP="00FB673E">
      <w:pPr>
        <w:bidi/>
        <w:jc w:val="both"/>
        <w:rPr>
          <w:rFonts w:cs="Guttman Drogolin"/>
          <w:rtl/>
          <w:lang w:bidi="he-IL"/>
        </w:rPr>
      </w:pPr>
      <w:r w:rsidRPr="00882F11">
        <w:rPr>
          <w:rFonts w:cs="Guttman Drogolin" w:hint="cs"/>
          <w:rtl/>
          <w:lang w:bidi="he-IL"/>
        </w:rPr>
        <w:t>ובהאי ענינא שאין חענ"ן בהיתר יל"ע מאי טעמא</w:t>
      </w:r>
      <w:r w:rsidR="00220B25" w:rsidRPr="00882F11">
        <w:rPr>
          <w:rStyle w:val="FootnoteReference"/>
          <w:rFonts w:cs="Guttman Drogolin"/>
          <w:rtl/>
          <w:lang w:bidi="he-IL"/>
        </w:rPr>
        <w:footnoteReference w:id="146"/>
      </w:r>
      <w:r w:rsidRPr="00882F11">
        <w:rPr>
          <w:rFonts w:cs="Guttman Drogolin" w:hint="cs"/>
          <w:rtl/>
          <w:lang w:bidi="he-IL"/>
        </w:rPr>
        <w:t>. ואם חענ"ן בשאר איסורים הוי דין דאורייתא ומשום דינא דטכ"ע ומ"ד דאמרינן נהפך, צריכים לבאר שאין חענ"ן בהיתר משום דדין טכ"ע דאמרינן נהפך הוא דין במאכלות אסורות ולא בטעם היתר. וזה צ"ע דהרי הגמ' מדמה דין טכ"ע בבב"ח לדין טכ"ע לכה"ת כולה. ואם הוא דרבנן לכאורה ג"כ הדבר תלוי, שאם הוא גזרה אטו בב"ח וכמש"כ הר"ן, ניחא דדומיא דבבב"ח בעינן דהוי איסורא. אבל אם הוא מן הטעם שכתב היראים</w:t>
      </w:r>
      <w:r w:rsidR="00AB7C70" w:rsidRPr="00882F11">
        <w:rPr>
          <w:rFonts w:cs="Guttman Drogolin" w:hint="cs"/>
          <w:rtl/>
          <w:lang w:bidi="he-IL"/>
        </w:rPr>
        <w:t xml:space="preserve"> שהוא משום שלא רצו שישאר במאי שבלע, מאי שנא איסור מהיתר.</w:t>
      </w:r>
      <w:r w:rsidR="00AD710B" w:rsidRPr="00882F11">
        <w:rPr>
          <w:rFonts w:cs="Guttman Drogolin" w:hint="cs"/>
          <w:rtl/>
          <w:lang w:bidi="he-IL"/>
        </w:rPr>
        <w:t xml:space="preserve"> ושם ביראים ביאר שהוא משום שחלה עליו שם איסור ולא יבאו להקל בנבילה ממש, ולכן שפיר מבואר למה לא אומרים חענם בהיתר.</w:t>
      </w:r>
      <w:r w:rsidR="00AB7C70" w:rsidRPr="00882F11">
        <w:rPr>
          <w:rFonts w:cs="Guttman Drogolin" w:hint="cs"/>
          <w:rtl/>
          <w:lang w:bidi="he-IL"/>
        </w:rPr>
        <w:t xml:space="preserve"> </w:t>
      </w:r>
    </w:p>
    <w:p w:rsidR="00B4468B" w:rsidRPr="00882F11" w:rsidRDefault="00AB7C70" w:rsidP="00154C57">
      <w:pPr>
        <w:bidi/>
        <w:jc w:val="both"/>
        <w:rPr>
          <w:rFonts w:cs="Guttman Drogolin"/>
          <w:rtl/>
          <w:lang w:bidi="he-IL"/>
        </w:rPr>
      </w:pPr>
      <w:r w:rsidRPr="00882F11">
        <w:rPr>
          <w:rFonts w:cs="Guttman Drogolin" w:hint="cs"/>
          <w:rtl/>
          <w:lang w:bidi="he-IL"/>
        </w:rPr>
        <w:t>ומ"מ לכאורה משמע שדינו של הס' התרומה תלוי בדין חענ"ן בשאר איסורים, ולכן לר' אפרים דסבר שלא אומרים חענ"ן בשאר איסורים לא צריכים שיהא אינו ב"י אלא מבליעת איסור הראשון.</w:t>
      </w:r>
      <w:r w:rsidR="00F11C0C" w:rsidRPr="00882F11">
        <w:rPr>
          <w:rFonts w:cs="Guttman Drogolin" w:hint="cs"/>
          <w:rtl/>
          <w:lang w:bidi="he-IL"/>
        </w:rPr>
        <w:t xml:space="preserve"> </w:t>
      </w:r>
      <w:r w:rsidRPr="00882F11">
        <w:rPr>
          <w:rFonts w:cs="Guttman Drogolin" w:hint="cs"/>
          <w:rtl/>
          <w:lang w:bidi="he-IL"/>
        </w:rPr>
        <w:t>וכן מבואר בכמה פוסקים, ויעוין בפלפולא חריפתא שבאמת הוכיח דע"כ הרא"ש לא סבירא לי' כר' אפרים כיון שהביא</w:t>
      </w:r>
      <w:r w:rsidR="002534B6" w:rsidRPr="00882F11">
        <w:rPr>
          <w:rFonts w:cs="Guttman Drogolin" w:hint="cs"/>
          <w:rtl/>
          <w:lang w:bidi="he-IL"/>
        </w:rPr>
        <w:t xml:space="preserve"> דינו של ס' התרומה סתם. אמנם בש"ך בסי' צ"ד ס"ק כ"ב כתב שאפילו למ"ד דלא אמרינן חענ"ן </w:t>
      </w:r>
      <w:r w:rsidR="00FB673E" w:rsidRPr="00882F11">
        <w:rPr>
          <w:rFonts w:cs="Guttman Drogolin" w:hint="cs"/>
          <w:rtl/>
          <w:lang w:bidi="he-IL"/>
        </w:rPr>
        <w:t xml:space="preserve">בשאר איסורים </w:t>
      </w:r>
      <w:r w:rsidR="002534B6" w:rsidRPr="00882F11">
        <w:rPr>
          <w:rFonts w:cs="Guttman Drogolin" w:hint="cs"/>
          <w:rtl/>
          <w:lang w:bidi="he-IL"/>
        </w:rPr>
        <w:t xml:space="preserve">מ"מ דינו של </w:t>
      </w:r>
      <w:r w:rsidR="002534B6" w:rsidRPr="00882F11">
        <w:rPr>
          <w:rFonts w:cs="Guttman Drogolin" w:hint="cs"/>
          <w:rtl/>
          <w:lang w:bidi="he-IL"/>
        </w:rPr>
        <w:lastRenderedPageBreak/>
        <w:t xml:space="preserve">ס' התרומה נכון. והטעם </w:t>
      </w:r>
      <w:r w:rsidR="00FB673E" w:rsidRPr="00882F11">
        <w:rPr>
          <w:rFonts w:cs="Guttman Drogolin" w:hint="cs"/>
          <w:rtl/>
          <w:lang w:bidi="he-IL"/>
        </w:rPr>
        <w:t xml:space="preserve">(וכ"כ בהדיא רע"א בהגהות לש"ך ס"ק ב' בדעת הש"ך בס"ק כ"ב) </w:t>
      </w:r>
      <w:r w:rsidR="002534B6" w:rsidRPr="00882F11">
        <w:rPr>
          <w:rFonts w:cs="Guttman Drogolin" w:hint="cs"/>
          <w:rtl/>
          <w:lang w:bidi="he-IL"/>
        </w:rPr>
        <w:t>משום דכיון שבישל מים בינתיים הרי זה מעורר את הבליעה שלא להיות נפגם ע"י הכלי. וע"כ הנהו פוסקים דלא סבירא להו הכי היינו משום דנהי שבתוך המים או האוכל אין הבליעה נפגמת, מ"מ אחרי שמכניסים אותו לתוך הכלי הרי הוא חוזר לזמן שהי</w:t>
      </w:r>
      <w:r w:rsidR="00B502E1" w:rsidRPr="00882F11">
        <w:rPr>
          <w:rFonts w:cs="Guttman Drogolin" w:hint="cs"/>
          <w:rtl/>
          <w:lang w:bidi="he-IL"/>
        </w:rPr>
        <w:t>י</w:t>
      </w:r>
      <w:r w:rsidR="002534B6" w:rsidRPr="00882F11">
        <w:rPr>
          <w:rFonts w:cs="Guttman Drogolin" w:hint="cs"/>
          <w:rtl/>
          <w:lang w:bidi="he-IL"/>
        </w:rPr>
        <w:t>תו שמקודם ולכן אחרי שאינו בן יומו מבליעת האיסור הרי הוא לפגם ומותר. ונשאלת השאלה שמ"מ חסר הזמן שהיתה בתוך מי הבישול, וא"כ אם מונין מעל"ע צריכים עוד זמן נוסף כדי שיהיו כ"ד שעות בתוך דפני הכלי, נראה לומר שאע"ג שבעלמא צריכים כ"ד שעות ואין מקילים בפחות מזה משום דלא ידעינן מתי נפגם, מ"מ למעשה אין זה דוקא, וע"פ רוב אפילו אם מחסרים את זמן הב</w:t>
      </w:r>
      <w:r w:rsidR="00154C57" w:rsidRPr="00882F11">
        <w:rPr>
          <w:rFonts w:cs="Guttman Drogolin" w:hint="cs"/>
          <w:rtl/>
          <w:lang w:bidi="he-IL"/>
        </w:rPr>
        <w:t>י</w:t>
      </w:r>
      <w:r w:rsidR="002534B6" w:rsidRPr="00882F11">
        <w:rPr>
          <w:rFonts w:cs="Guttman Drogolin" w:hint="cs"/>
          <w:rtl/>
          <w:lang w:bidi="he-IL"/>
        </w:rPr>
        <w:t>שול ג"כ הוי לפגם ומותר</w:t>
      </w:r>
      <w:r w:rsidR="00FB673E" w:rsidRPr="00882F11">
        <w:rPr>
          <w:rStyle w:val="FootnoteReference"/>
          <w:rFonts w:cs="Guttman Drogolin"/>
          <w:rtl/>
          <w:lang w:bidi="he-IL"/>
        </w:rPr>
        <w:footnoteReference w:id="147"/>
      </w:r>
      <w:r w:rsidR="002534B6" w:rsidRPr="00882F11">
        <w:rPr>
          <w:rFonts w:cs="Guttman Drogolin" w:hint="cs"/>
          <w:rtl/>
          <w:lang w:bidi="he-IL"/>
        </w:rPr>
        <w:t xml:space="preserve">. </w:t>
      </w:r>
    </w:p>
    <w:p w:rsidR="00B4468B" w:rsidRPr="00882F11" w:rsidRDefault="00B4468B" w:rsidP="00B4468B">
      <w:pPr>
        <w:bidi/>
        <w:jc w:val="both"/>
        <w:rPr>
          <w:rFonts w:cs="Guttman Drogolin"/>
          <w:rtl/>
          <w:lang w:bidi="he-IL"/>
        </w:rPr>
      </w:pPr>
      <w:r w:rsidRPr="00882F11">
        <w:rPr>
          <w:rFonts w:cs="Guttman Drogolin" w:hint="cs"/>
          <w:rtl/>
          <w:lang w:bidi="he-IL"/>
        </w:rPr>
        <w:t>והב"י בסי' ק"ג הביא מסמ"ק שחלק על ס' התרומה וסבר דכיון שהבליעה נהפך להיות לפגם שוב גם המים אינם נאסרים. ולכאורה זהו מבוסס על דעת התוס' בדף ק"ח ע"ב ד"ה אמאי בשם ר"י שבמלח שבלע דם בטל בששים אע"ג שמלח עצמה אינה בטילה כיון שאין המלח יכול לאסור יותר מן הדם עצמו. ובדעת ס' התרומה צריכ</w:t>
      </w:r>
      <w:r w:rsidR="00DE0C38">
        <w:rPr>
          <w:rFonts w:cs="Guttman Drogolin" w:hint="cs"/>
          <w:rtl/>
          <w:lang w:bidi="he-IL"/>
        </w:rPr>
        <w:t>י</w:t>
      </w:r>
      <w:r w:rsidRPr="00882F11">
        <w:rPr>
          <w:rFonts w:cs="Guttman Drogolin" w:hint="cs"/>
          <w:rtl/>
          <w:lang w:bidi="he-IL"/>
        </w:rPr>
        <w:t>ם לומר על דרך מה שביארנו לעיל בדין השביח ולבסוף פגם, דכיון שיש לו דין לשבח וכן הרי הוא עדיין בתוך האוכל, האוכל נשאר באיסורו</w:t>
      </w:r>
      <w:r w:rsidR="00225E07" w:rsidRPr="00882F11">
        <w:rPr>
          <w:rStyle w:val="FootnoteReference"/>
          <w:rFonts w:cs="Guttman Drogolin"/>
          <w:rtl/>
          <w:lang w:bidi="he-IL"/>
        </w:rPr>
        <w:footnoteReference w:id="148"/>
      </w:r>
      <w:r w:rsidRPr="00882F11">
        <w:rPr>
          <w:rFonts w:cs="Guttman Drogolin" w:hint="cs"/>
          <w:rtl/>
          <w:lang w:bidi="he-IL"/>
        </w:rPr>
        <w:t xml:space="preserve">.  </w:t>
      </w:r>
    </w:p>
    <w:p w:rsidR="00B4468B" w:rsidRPr="00882F11" w:rsidRDefault="00B4468B" w:rsidP="0078079C">
      <w:pPr>
        <w:pStyle w:val="Heading1"/>
        <w:bidi/>
        <w:spacing w:before="0" w:line="360" w:lineRule="auto"/>
        <w:jc w:val="center"/>
        <w:rPr>
          <w:rFonts w:cs="Guttman Drogolin"/>
          <w:color w:val="auto"/>
          <w:sz w:val="24"/>
          <w:szCs w:val="24"/>
          <w:u w:val="single"/>
          <w:rtl/>
          <w:lang w:bidi="he-IL"/>
        </w:rPr>
      </w:pPr>
      <w:bookmarkStart w:id="135" w:name="_Toc496175393"/>
      <w:r w:rsidRPr="00882F11">
        <w:rPr>
          <w:rFonts w:cs="Guttman Drogolin" w:hint="cs"/>
          <w:color w:val="auto"/>
          <w:sz w:val="24"/>
          <w:szCs w:val="24"/>
          <w:u w:val="single"/>
          <w:rtl/>
          <w:lang w:bidi="he-IL"/>
        </w:rPr>
        <w:t>הטעם שאסרו כלי שאינו בן יומו</w:t>
      </w:r>
      <w:bookmarkEnd w:id="135"/>
    </w:p>
    <w:p w:rsidR="008C29E4" w:rsidRPr="00882F11" w:rsidRDefault="00D66308" w:rsidP="005869FE">
      <w:pPr>
        <w:bidi/>
        <w:jc w:val="both"/>
        <w:rPr>
          <w:rFonts w:cs="Guttman Drogolin"/>
          <w:rtl/>
          <w:lang w:bidi="he-IL"/>
        </w:rPr>
      </w:pPr>
      <w:r w:rsidRPr="00882F11">
        <w:rPr>
          <w:rFonts w:cs="Guttman Drogolin" w:hint="cs"/>
          <w:rtl/>
          <w:lang w:bidi="he-IL"/>
        </w:rPr>
        <w:t xml:space="preserve">בגמ' שם בדף ע"ו ע"א מבואר שאסרו להשתמש בכלי שבלע איסור אע"ג שאינו בן יומו ולכן הוא נטל"פ גזרה אטו כלי בן יומו. והתוס' על אתר הקשו דמאי שנא </w:t>
      </w:r>
      <w:r w:rsidR="00024677" w:rsidRPr="00882F11">
        <w:rPr>
          <w:rFonts w:cs="Guttman Drogolin" w:hint="cs"/>
          <w:rtl/>
          <w:lang w:bidi="he-IL"/>
        </w:rPr>
        <w:t xml:space="preserve">כלי שגזרו שלא להשתמש בו מאוכל שבלע בליעות שאינם בני יומן מן הכלי שהתירוהו בדיעבד. ותי' דשאני כלי שהי' בה איסור מעיקרא כיון שכשבלע היתה לשבח, משא"כ באוכל שלא נבלע בו איסור מעולם כיון שכשבלע כבר היתה הבליעה לפגם. וע' בהגהות אשרי שהעיר שאין לומר חילוק אחר, והוא </w:t>
      </w:r>
      <w:r w:rsidR="00024677" w:rsidRPr="00882F11">
        <w:rPr>
          <w:rFonts w:cs="Guttman Drogolin" w:hint="cs"/>
          <w:rtl/>
          <w:lang w:bidi="he-IL"/>
        </w:rPr>
        <w:lastRenderedPageBreak/>
        <w:t xml:space="preserve">שבאמת אין החילוק בין אוכלין לכלים רק החילוק הוא בין לכתחילה לדיעבד, שבכלי כיון שאפשר להכשירו לא התירו בליעה שהיא נטל"פ, אבל אוכל </w:t>
      </w:r>
      <w:r w:rsidR="005869FE" w:rsidRPr="00882F11">
        <w:rPr>
          <w:rFonts w:cs="Guttman Drogolin" w:hint="cs"/>
          <w:rtl/>
          <w:lang w:bidi="he-IL"/>
        </w:rPr>
        <w:t xml:space="preserve">שאין לה הגעלה הוי דיעבד ומותר. והטעם דא"כ למה אמרו שכלי חרס צריך לשברו ואין לו תקנה, הא הוי דיעבד והי' לנו להתתיר כמו באוכלין. וע"כ הטעם כנ"ל. אמנם יש להעיר שהרי אנחנו מוצאים בשערי דורא שכתב שאם בישלו מים בקדרה שאינו בת יומא שאין להשתמה במים אלו לכתחילה כיון דהוי </w:t>
      </w:r>
      <w:r w:rsidR="009542BA" w:rsidRPr="00882F11">
        <w:rPr>
          <w:rFonts w:cs="Guttman Drogolin" w:hint="cs"/>
          <w:rtl/>
          <w:lang w:bidi="he-IL"/>
        </w:rPr>
        <w:t>הפסד מועט. וצ"ע שהרי נכנס בפגם. וע"כ חזינן דסבירא לי' שהטעם משום שאין משתמשים בנטל"פ לכתחילה. וכיון דע"כ אין זה החילוק שבין כלי לאכול וכמו שהוכחנו, מ"מ י"ל שגם טעם זה נכון, ואי הוי לכתחילה לא התירו.</w:t>
      </w:r>
      <w:r w:rsidR="00206F77" w:rsidRPr="00882F11">
        <w:rPr>
          <w:rStyle w:val="FootnoteReference"/>
          <w:rFonts w:cs="Guttman Drogolin"/>
          <w:rtl/>
          <w:lang w:bidi="he-IL"/>
        </w:rPr>
        <w:footnoteReference w:id="149"/>
      </w:r>
      <w:r w:rsidR="009542BA" w:rsidRPr="00882F11">
        <w:rPr>
          <w:rFonts w:cs="Guttman Drogolin" w:hint="cs"/>
          <w:rtl/>
          <w:lang w:bidi="he-IL"/>
        </w:rPr>
        <w:t xml:space="preserve"> </w:t>
      </w:r>
    </w:p>
    <w:p w:rsidR="00A63C59" w:rsidRPr="00882F11" w:rsidRDefault="008C29E4" w:rsidP="008C29E4">
      <w:pPr>
        <w:bidi/>
        <w:jc w:val="both"/>
        <w:rPr>
          <w:rFonts w:cs="Guttman Drogolin"/>
          <w:rtl/>
          <w:lang w:bidi="he-IL"/>
        </w:rPr>
      </w:pPr>
      <w:r w:rsidRPr="00882F11">
        <w:rPr>
          <w:rFonts w:cs="Guttman Drogolin" w:hint="cs"/>
          <w:rtl/>
          <w:lang w:bidi="he-IL"/>
        </w:rPr>
        <w:t>ויש להעיר שמבואר בגמ' שאין צורך להגעיל כלי שאינו בן יומו כ"א משום גזרה אטו בן יומו. ולכאורה צ"ע דהא למ"ד דדבר חריף מחליא לשבח הי' לנו להצריך הגעלה מעיקר הדין משום חשש דבר חריף. ודבר זה יתבאר יותר בעזהי"ת כשנלמד הענין של דבר חריף.</w:t>
      </w:r>
    </w:p>
    <w:p w:rsidR="00AB06AA" w:rsidRPr="00882F11" w:rsidRDefault="00AB06AA" w:rsidP="00AB06AA">
      <w:pPr>
        <w:bidi/>
        <w:jc w:val="both"/>
        <w:rPr>
          <w:rFonts w:cs="Guttman Drogolin"/>
          <w:rtl/>
          <w:lang w:bidi="he-IL"/>
        </w:rPr>
        <w:sectPr w:rsidR="00AB06AA" w:rsidRPr="00882F11" w:rsidSect="00615FF2">
          <w:type w:val="continuous"/>
          <w:pgSz w:w="11907" w:h="16839" w:code="9"/>
          <w:pgMar w:top="1440" w:right="1440" w:bottom="1440" w:left="1440" w:header="720" w:footer="720" w:gutter="0"/>
          <w:cols w:num="2" w:space="720"/>
          <w:bidi/>
          <w:docGrid w:linePitch="360"/>
        </w:sectPr>
      </w:pPr>
    </w:p>
    <w:p w:rsidR="00A63C59" w:rsidRPr="00882F11" w:rsidRDefault="00A63C59" w:rsidP="00A63C59">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ל"ו</w:t>
      </w:r>
    </w:p>
    <w:p w:rsidR="00615FF2" w:rsidRDefault="00615FF2" w:rsidP="0078079C">
      <w:pPr>
        <w:pStyle w:val="Heading1"/>
        <w:bidi/>
        <w:spacing w:before="0" w:line="360" w:lineRule="auto"/>
        <w:jc w:val="center"/>
        <w:rPr>
          <w:rFonts w:cs="Guttman Drogolin"/>
          <w:color w:val="auto"/>
          <w:sz w:val="24"/>
          <w:szCs w:val="24"/>
          <w:u w:val="single"/>
          <w:rtl/>
          <w:lang w:bidi="he-IL"/>
        </w:rPr>
        <w:sectPr w:rsidR="00615FF2" w:rsidSect="00615FF2">
          <w:headerReference w:type="default" r:id="rId32"/>
          <w:pgSz w:w="11907" w:h="16839" w:code="9"/>
          <w:pgMar w:top="1440" w:right="1440" w:bottom="1440" w:left="1440" w:header="720" w:footer="720" w:gutter="0"/>
          <w:cols w:space="720"/>
          <w:bidi/>
          <w:docGrid w:linePitch="360"/>
        </w:sectPr>
      </w:pPr>
    </w:p>
    <w:p w:rsidR="00A63C59" w:rsidRPr="00882F11" w:rsidRDefault="00A63C59" w:rsidP="0078079C">
      <w:pPr>
        <w:pStyle w:val="Heading1"/>
        <w:bidi/>
        <w:spacing w:before="0" w:line="360" w:lineRule="auto"/>
        <w:jc w:val="center"/>
        <w:rPr>
          <w:rFonts w:cs="Guttman Drogolin"/>
          <w:color w:val="auto"/>
          <w:sz w:val="24"/>
          <w:szCs w:val="24"/>
          <w:u w:val="single"/>
          <w:rtl/>
          <w:lang w:bidi="he-IL"/>
        </w:rPr>
      </w:pPr>
      <w:bookmarkStart w:id="136" w:name="_Toc496175394"/>
      <w:r w:rsidRPr="00882F11">
        <w:rPr>
          <w:rFonts w:cs="Guttman Drogolin" w:hint="cs"/>
          <w:color w:val="auto"/>
          <w:sz w:val="24"/>
          <w:szCs w:val="24"/>
          <w:u w:val="single"/>
          <w:rtl/>
          <w:lang w:bidi="he-IL"/>
        </w:rPr>
        <w:lastRenderedPageBreak/>
        <w:t>המשך ביאור שיטת הרא"ה</w:t>
      </w:r>
      <w:bookmarkEnd w:id="136"/>
    </w:p>
    <w:p w:rsidR="00375019" w:rsidRPr="00882F11" w:rsidRDefault="00B34B28" w:rsidP="00375019">
      <w:pPr>
        <w:bidi/>
        <w:jc w:val="both"/>
        <w:rPr>
          <w:rFonts w:cs="Guttman Drogolin"/>
          <w:rtl/>
          <w:lang w:bidi="he-IL"/>
        </w:rPr>
      </w:pPr>
      <w:r>
        <w:rPr>
          <w:rFonts w:cs="Guttman Drogolin"/>
          <w:rtl/>
          <w:lang w:bidi="he-IL"/>
        </w:rPr>
        <w:fldChar w:fldCharType="begin"/>
      </w:r>
      <w:r>
        <w:instrText xml:space="preserve"> XE "</w:instrText>
      </w:r>
      <w:r w:rsidRPr="00C8459E">
        <w:rPr>
          <w:rFonts w:hint="cs"/>
          <w:rtl/>
          <w:lang w:bidi="he-IL"/>
        </w:rPr>
        <w:instrText>נותן טעם לפגם</w:instrText>
      </w:r>
      <w:r w:rsidRPr="00C8459E">
        <w:rPr>
          <w:rtl/>
        </w:rPr>
        <w:instrText>:</w:instrText>
      </w:r>
      <w:r w:rsidRPr="00C8459E">
        <w:rPr>
          <w:rFonts w:hint="cs"/>
          <w:rtl/>
          <w:lang w:bidi="he-IL"/>
        </w:rPr>
        <w:instrText>שיטת הרא</w:instrText>
      </w:r>
      <w:r>
        <w:rPr>
          <w:rFonts w:eastAsiaTheme="minorEastAsia"/>
          <w:lang w:bidi="he-IL"/>
        </w:rPr>
        <w:instrText>\</w:instrText>
      </w:r>
      <w:r w:rsidRPr="00C8459E">
        <w:rPr>
          <w:rFonts w:hint="cs"/>
          <w:rtl/>
          <w:lang w:bidi="he-IL"/>
        </w:rPr>
        <w:instrText>"ה</w:instrText>
      </w:r>
      <w:r>
        <w:instrText xml:space="preserve">" </w:instrText>
      </w:r>
      <w:r>
        <w:rPr>
          <w:rFonts w:cs="Guttman Drogolin"/>
          <w:rtl/>
          <w:lang w:bidi="he-IL"/>
        </w:rPr>
        <w:fldChar w:fldCharType="end"/>
      </w:r>
      <w:r w:rsidR="00A63C59" w:rsidRPr="00882F11">
        <w:rPr>
          <w:rFonts w:cs="Guttman Drogolin" w:hint="cs"/>
          <w:rtl/>
          <w:lang w:bidi="he-IL"/>
        </w:rPr>
        <w:t xml:space="preserve">לעיל בשיעור </w:t>
      </w:r>
      <w:r w:rsidR="00E848C3" w:rsidRPr="00882F11">
        <w:rPr>
          <w:rFonts w:cs="Guttman Drogolin" w:hint="cs"/>
          <w:rtl/>
          <w:lang w:bidi="he-IL"/>
        </w:rPr>
        <w:t>ל"ד הבאנו שיטת הרא"ה שאין להתיר נטל"פ אפילו כשהתערב במאכל אחר אא"כ הוא סרוח לגמרי, והקשה בזה מה שאסרו גריסים שנפלו לתוכם חומץ אע"ג שהחומץ לעצמו ראוי' היא. ו</w:t>
      </w:r>
      <w:r w:rsidR="00A63C59" w:rsidRPr="00882F11">
        <w:rPr>
          <w:rFonts w:cs="Guttman Drogolin" w:hint="cs"/>
          <w:rtl/>
          <w:lang w:bidi="he-IL"/>
        </w:rPr>
        <w:t xml:space="preserve">הרא"ה </w:t>
      </w:r>
      <w:r w:rsidR="00E848C3" w:rsidRPr="00882F11">
        <w:rPr>
          <w:rFonts w:cs="Guttman Drogolin" w:hint="cs"/>
          <w:rtl/>
          <w:lang w:bidi="he-IL"/>
        </w:rPr>
        <w:t xml:space="preserve">עצמו כתב בזה דכיון דקיי"ל טכ"ע לאו דאורייתא, </w:t>
      </w:r>
      <w:r w:rsidR="00375019" w:rsidRPr="00882F11">
        <w:rPr>
          <w:rFonts w:cs="Guttman Drogolin" w:hint="cs"/>
          <w:rtl/>
          <w:lang w:bidi="he-IL"/>
        </w:rPr>
        <w:t>בטעמו ולא ממשו הקילו להתיר כל טעם לפגם אפילו אינו אלא פגם פורתא. ו</w:t>
      </w:r>
      <w:r w:rsidR="00E848C3" w:rsidRPr="00882F11">
        <w:rPr>
          <w:rFonts w:cs="Guttman Drogolin" w:hint="cs"/>
          <w:rtl/>
          <w:lang w:bidi="he-IL"/>
        </w:rPr>
        <w:t xml:space="preserve">ההיא דחומץ </w:t>
      </w:r>
      <w:r w:rsidR="00375019" w:rsidRPr="00882F11">
        <w:rPr>
          <w:rFonts w:cs="Guttman Drogolin" w:hint="cs"/>
          <w:rtl/>
          <w:lang w:bidi="he-IL"/>
        </w:rPr>
        <w:t>סבר הרא"ה ש</w:t>
      </w:r>
      <w:r w:rsidR="00E848C3" w:rsidRPr="00882F11">
        <w:rPr>
          <w:rFonts w:cs="Guttman Drogolin" w:hint="cs"/>
          <w:rtl/>
          <w:lang w:bidi="he-IL"/>
        </w:rPr>
        <w:t xml:space="preserve">אינו אלא </w:t>
      </w:r>
      <w:r w:rsidR="00375019" w:rsidRPr="00882F11">
        <w:rPr>
          <w:rFonts w:cs="Guttman Drogolin" w:hint="cs"/>
          <w:rtl/>
          <w:lang w:bidi="he-IL"/>
        </w:rPr>
        <w:t>טעמו ולא ממשו. וכי תימא דא"כ מאי קא קשיא לי' במש"כ הרשב"א בטעם בכלים שאינו אוסר כיון דהוי טעם פורתא, הא גם לרא"ה אין לאסור פגם פורתא כה"ג, דהא טעם בכלים ודאי אינו אלא טעמו ולא ממשו. התשובה מונחת בדקדוק דברי הרא"ה עצמן, שהקשה למה יהא מותר לבשל בקדרה שאינה בת יומא לכתחילה מדאורייתא (שהרי בגמ' לא אסרו אלא משום גזרה דבת יומא אטו אינה בת יומא), הא הרי הוא מבטל איסור לכתחילה. ועוד הקשה לשיטת הרשב"א עצמו דסבר טכ"ע דאורייתא שלא יהא הדין כן (וצ"ע מנין לו שהרשב"א הסיק שכן ההלכה. ואולי כוונתו משום שהרשב"א עכ"פ דן בזה ולא פסק כהלכה ברורה שקיי"ל טכ"ע לאו דאורייתא).</w:t>
      </w:r>
    </w:p>
    <w:p w:rsidR="00A63C59" w:rsidRPr="00882F11" w:rsidRDefault="00375019" w:rsidP="00375019">
      <w:pPr>
        <w:bidi/>
        <w:jc w:val="both"/>
        <w:rPr>
          <w:rFonts w:cs="Guttman Drogolin"/>
          <w:rtl/>
          <w:lang w:bidi="he-IL"/>
        </w:rPr>
      </w:pPr>
      <w:r w:rsidRPr="00882F11">
        <w:rPr>
          <w:rFonts w:cs="Guttman Drogolin" w:hint="cs"/>
          <w:rtl/>
          <w:lang w:bidi="he-IL"/>
        </w:rPr>
        <w:t xml:space="preserve">ושם ברא"ה ג"כ דן בטעמו של דבר שהשביח ולבסוף פגם אסור, וגם הוא כתב מדין חענ"ן, אלא שהוסיף עוד ביאור </w:t>
      </w:r>
      <w:r w:rsidR="00BC6EEE" w:rsidRPr="00882F11">
        <w:rPr>
          <w:rFonts w:cs="Guttman Drogolin" w:hint="cs"/>
          <w:rtl/>
          <w:lang w:bidi="he-IL"/>
        </w:rPr>
        <w:t>דיתכן של</w:t>
      </w:r>
      <w:r w:rsidR="006630BA" w:rsidRPr="00882F11">
        <w:rPr>
          <w:rFonts w:cs="Guttman Drogolin" w:hint="cs"/>
          <w:rtl/>
          <w:lang w:bidi="he-IL"/>
        </w:rPr>
        <w:t>א</w:t>
      </w:r>
      <w:r w:rsidR="00BC6EEE" w:rsidRPr="00882F11">
        <w:rPr>
          <w:rFonts w:cs="Guttman Drogolin" w:hint="cs"/>
          <w:rtl/>
          <w:lang w:bidi="he-IL"/>
        </w:rPr>
        <w:t xml:space="preserve"> החמירו בזה אלא בב' דברים שאינם פגומים שערבן ביחד ונעשו פגומים, אבל בעלמא מותר. </w:t>
      </w:r>
      <w:r w:rsidR="00AB3B5D" w:rsidRPr="00882F11">
        <w:rPr>
          <w:rFonts w:cs="Guttman Drogolin" w:hint="cs"/>
          <w:rtl/>
          <w:lang w:bidi="he-IL"/>
        </w:rPr>
        <w:t>ויתכן שכוונתו למש"כ לעיל מיני' שכשיש טעמו וממשו ולא נסרח האיסור לגמרי יש לאסור, וא"כ בכה"ג החמירו אפילו השביח ולבסוף פגם מדרבנן. וצ"ע.</w:t>
      </w:r>
      <w:r w:rsidRPr="00882F11">
        <w:rPr>
          <w:rFonts w:cs="Guttman Drogolin" w:hint="cs"/>
          <w:rtl/>
          <w:lang w:bidi="he-IL"/>
        </w:rPr>
        <w:t xml:space="preserve">  </w:t>
      </w:r>
    </w:p>
    <w:p w:rsidR="00A63C59" w:rsidRPr="00882F11" w:rsidRDefault="00A63C59" w:rsidP="0078079C">
      <w:pPr>
        <w:pStyle w:val="Heading1"/>
        <w:bidi/>
        <w:spacing w:before="0" w:line="360" w:lineRule="auto"/>
        <w:jc w:val="center"/>
        <w:rPr>
          <w:rFonts w:cs="Guttman Drogolin"/>
          <w:color w:val="auto"/>
          <w:sz w:val="24"/>
          <w:szCs w:val="24"/>
          <w:u w:val="single"/>
          <w:rtl/>
          <w:lang w:bidi="he-IL"/>
        </w:rPr>
      </w:pPr>
      <w:bookmarkStart w:id="137" w:name="_Toc496175395"/>
      <w:r w:rsidRPr="00882F11">
        <w:rPr>
          <w:rFonts w:cs="Guttman Drogolin" w:hint="cs"/>
          <w:color w:val="auto"/>
          <w:sz w:val="24"/>
          <w:szCs w:val="24"/>
          <w:u w:val="single"/>
          <w:rtl/>
          <w:lang w:bidi="he-IL"/>
        </w:rPr>
        <w:t>חידוש בשיטת הר"ן בהיתירא דנטל"פ</w:t>
      </w:r>
      <w:bookmarkEnd w:id="137"/>
    </w:p>
    <w:p w:rsidR="00EA46FE" w:rsidRPr="00882F11" w:rsidRDefault="00B34B28" w:rsidP="00324CDD">
      <w:pPr>
        <w:bidi/>
        <w:jc w:val="both"/>
        <w:rPr>
          <w:rFonts w:cs="Guttman Drogolin"/>
          <w:rtl/>
          <w:lang w:bidi="he-IL"/>
        </w:rPr>
      </w:pPr>
      <w:r>
        <w:rPr>
          <w:rFonts w:cs="Guttman Drogolin"/>
          <w:rtl/>
          <w:lang w:bidi="he-IL"/>
        </w:rPr>
        <w:fldChar w:fldCharType="begin"/>
      </w:r>
      <w:r>
        <w:instrText xml:space="preserve"> XE "</w:instrText>
      </w:r>
      <w:r w:rsidRPr="0014444E">
        <w:rPr>
          <w:rFonts w:hint="cs"/>
          <w:rtl/>
          <w:lang w:bidi="he-IL"/>
        </w:rPr>
        <w:instrText>נותן טעם לפגם</w:instrText>
      </w:r>
      <w:r w:rsidRPr="0014444E">
        <w:rPr>
          <w:rtl/>
        </w:rPr>
        <w:instrText>:</w:instrText>
      </w:r>
      <w:r w:rsidRPr="0014444E">
        <w:rPr>
          <w:rFonts w:hint="cs"/>
          <w:rtl/>
          <w:lang w:bidi="he-IL"/>
        </w:rPr>
        <w:instrText>חידוש בשיטת הר</w:instrText>
      </w:r>
      <w:r>
        <w:rPr>
          <w:rFonts w:eastAsiaTheme="minorEastAsia"/>
          <w:lang w:bidi="he-IL"/>
        </w:rPr>
        <w:instrText>\</w:instrText>
      </w:r>
      <w:r w:rsidRPr="0014444E">
        <w:rPr>
          <w:rFonts w:hint="cs"/>
          <w:rtl/>
          <w:lang w:bidi="he-IL"/>
        </w:rPr>
        <w:instrText>"ן</w:instrText>
      </w:r>
      <w:r>
        <w:instrText xml:space="preserve">" </w:instrText>
      </w:r>
      <w:r>
        <w:rPr>
          <w:rFonts w:cs="Guttman Drogolin"/>
          <w:rtl/>
          <w:lang w:bidi="he-IL"/>
        </w:rPr>
        <w:fldChar w:fldCharType="end"/>
      </w:r>
      <w:r w:rsidR="00AB3B5D" w:rsidRPr="00882F11">
        <w:rPr>
          <w:rFonts w:cs="Guttman Drogolin" w:hint="cs"/>
          <w:rtl/>
          <w:lang w:bidi="he-IL"/>
        </w:rPr>
        <w:t>הגמ' רצתה להביא ראי' שהמחלוקת בין ר"ש לר"מ הוא בפגום מעיקרא ממתני' שבמס' ערלה פ"ב מ"ט "שאור</w:t>
      </w:r>
      <w:r w:rsidR="00AB3B5D" w:rsidRPr="00882F11">
        <w:rPr>
          <w:rFonts w:cs="Guttman Drogolin"/>
          <w:rtl/>
          <w:lang w:bidi="he-IL"/>
        </w:rPr>
        <w:t xml:space="preserve"> </w:t>
      </w:r>
      <w:r w:rsidR="00AB3B5D" w:rsidRPr="00882F11">
        <w:rPr>
          <w:rFonts w:cs="Guttman Drogolin" w:hint="cs"/>
          <w:rtl/>
          <w:lang w:bidi="he-IL"/>
        </w:rPr>
        <w:t>של</w:t>
      </w:r>
      <w:r w:rsidR="00AB3B5D" w:rsidRPr="00882F11">
        <w:rPr>
          <w:rFonts w:cs="Guttman Drogolin"/>
          <w:rtl/>
          <w:lang w:bidi="he-IL"/>
        </w:rPr>
        <w:t xml:space="preserve"> </w:t>
      </w:r>
      <w:r w:rsidR="00AB3B5D" w:rsidRPr="00882F11">
        <w:rPr>
          <w:rFonts w:cs="Guttman Drogolin" w:hint="cs"/>
          <w:rtl/>
          <w:lang w:bidi="he-IL"/>
        </w:rPr>
        <w:t>חולין</w:t>
      </w:r>
      <w:r w:rsidR="00AB3B5D" w:rsidRPr="00882F11">
        <w:rPr>
          <w:rFonts w:cs="Guttman Drogolin"/>
          <w:rtl/>
          <w:lang w:bidi="he-IL"/>
        </w:rPr>
        <w:t xml:space="preserve"> </w:t>
      </w:r>
      <w:r w:rsidR="00AB3B5D" w:rsidRPr="00882F11">
        <w:rPr>
          <w:rFonts w:cs="Guttman Drogolin" w:hint="cs"/>
          <w:rtl/>
          <w:lang w:bidi="he-IL"/>
        </w:rPr>
        <w:t>שנפל</w:t>
      </w:r>
      <w:r w:rsidR="00AB3B5D" w:rsidRPr="00882F11">
        <w:rPr>
          <w:rFonts w:cs="Guttman Drogolin"/>
          <w:rtl/>
          <w:lang w:bidi="he-IL"/>
        </w:rPr>
        <w:t xml:space="preserve"> </w:t>
      </w:r>
      <w:r w:rsidR="00AB3B5D" w:rsidRPr="00882F11">
        <w:rPr>
          <w:rFonts w:cs="Guttman Drogolin" w:hint="cs"/>
          <w:rtl/>
          <w:lang w:bidi="he-IL"/>
        </w:rPr>
        <w:t>לתוך</w:t>
      </w:r>
      <w:r w:rsidR="00AB3B5D" w:rsidRPr="00882F11">
        <w:rPr>
          <w:rFonts w:cs="Guttman Drogolin"/>
          <w:rtl/>
          <w:lang w:bidi="he-IL"/>
        </w:rPr>
        <w:t xml:space="preserve"> </w:t>
      </w:r>
      <w:r w:rsidR="00AB3B5D" w:rsidRPr="00882F11">
        <w:rPr>
          <w:rFonts w:cs="Guttman Drogolin" w:hint="cs"/>
          <w:rtl/>
          <w:lang w:bidi="he-IL"/>
        </w:rPr>
        <w:t>העיסה</w:t>
      </w:r>
      <w:r w:rsidR="00AB3B5D" w:rsidRPr="00882F11">
        <w:rPr>
          <w:rFonts w:cs="Guttman Drogolin"/>
          <w:rtl/>
          <w:lang w:bidi="he-IL"/>
        </w:rPr>
        <w:t xml:space="preserve"> </w:t>
      </w:r>
      <w:r w:rsidR="00AB3B5D" w:rsidRPr="00882F11">
        <w:rPr>
          <w:rFonts w:cs="Guttman Drogolin" w:hint="cs"/>
          <w:rtl/>
          <w:lang w:bidi="he-IL"/>
        </w:rPr>
        <w:t>ויש</w:t>
      </w:r>
      <w:r w:rsidR="00AB3B5D" w:rsidRPr="00882F11">
        <w:rPr>
          <w:rFonts w:cs="Guttman Drogolin"/>
          <w:rtl/>
          <w:lang w:bidi="he-IL"/>
        </w:rPr>
        <w:t xml:space="preserve"> </w:t>
      </w:r>
      <w:r w:rsidR="00AB3B5D" w:rsidRPr="00882F11">
        <w:rPr>
          <w:rFonts w:cs="Guttman Drogolin" w:hint="cs"/>
          <w:rtl/>
          <w:lang w:bidi="he-IL"/>
        </w:rPr>
        <w:lastRenderedPageBreak/>
        <w:t>בו</w:t>
      </w:r>
      <w:r w:rsidR="00AB3B5D" w:rsidRPr="00882F11">
        <w:rPr>
          <w:rFonts w:cs="Guttman Drogolin"/>
          <w:rtl/>
          <w:lang w:bidi="he-IL"/>
        </w:rPr>
        <w:t xml:space="preserve"> </w:t>
      </w:r>
      <w:r w:rsidR="00AB3B5D" w:rsidRPr="00882F11">
        <w:rPr>
          <w:rFonts w:cs="Guttman Drogolin" w:hint="cs"/>
          <w:rtl/>
          <w:lang w:bidi="he-IL"/>
        </w:rPr>
        <w:t>כדי</w:t>
      </w:r>
      <w:r w:rsidR="00AB3B5D" w:rsidRPr="00882F11">
        <w:rPr>
          <w:rFonts w:cs="Guttman Drogolin"/>
          <w:rtl/>
          <w:lang w:bidi="he-IL"/>
        </w:rPr>
        <w:t xml:space="preserve"> </w:t>
      </w:r>
      <w:r w:rsidR="00AB3B5D" w:rsidRPr="00882F11">
        <w:rPr>
          <w:rFonts w:cs="Guttman Drogolin" w:hint="cs"/>
          <w:rtl/>
          <w:lang w:bidi="he-IL"/>
        </w:rPr>
        <w:t>להחמיץ</w:t>
      </w:r>
      <w:r w:rsidR="00AB3B5D" w:rsidRPr="00882F11">
        <w:rPr>
          <w:rFonts w:cs="Guttman Drogolin"/>
          <w:rtl/>
          <w:lang w:bidi="he-IL"/>
        </w:rPr>
        <w:t xml:space="preserve"> </w:t>
      </w:r>
      <w:r w:rsidR="00AB3B5D" w:rsidRPr="00882F11">
        <w:rPr>
          <w:rFonts w:cs="Guttman Drogolin" w:hint="cs"/>
          <w:rtl/>
          <w:lang w:bidi="he-IL"/>
        </w:rPr>
        <w:t>והחמיצה</w:t>
      </w:r>
      <w:r w:rsidR="00AB3B5D" w:rsidRPr="00882F11">
        <w:rPr>
          <w:rFonts w:cs="Guttman Drogolin"/>
          <w:rtl/>
          <w:lang w:bidi="he-IL"/>
        </w:rPr>
        <w:t xml:space="preserve"> </w:t>
      </w:r>
      <w:r w:rsidR="00AB3B5D" w:rsidRPr="00882F11">
        <w:rPr>
          <w:rFonts w:cs="Guttman Drogolin" w:hint="cs"/>
          <w:rtl/>
          <w:lang w:bidi="he-IL"/>
        </w:rPr>
        <w:t>ואח"כ</w:t>
      </w:r>
      <w:r w:rsidR="00AB3B5D" w:rsidRPr="00882F11">
        <w:rPr>
          <w:rFonts w:cs="Guttman Drogolin"/>
          <w:rtl/>
          <w:lang w:bidi="he-IL"/>
        </w:rPr>
        <w:t xml:space="preserve"> </w:t>
      </w:r>
      <w:r w:rsidR="00AB3B5D" w:rsidRPr="00882F11">
        <w:rPr>
          <w:rFonts w:cs="Guttman Drogolin" w:hint="cs"/>
          <w:rtl/>
          <w:lang w:bidi="he-IL"/>
        </w:rPr>
        <w:t>נפל</w:t>
      </w:r>
      <w:r w:rsidR="00AB3B5D" w:rsidRPr="00882F11">
        <w:rPr>
          <w:rFonts w:cs="Guttman Drogolin"/>
          <w:rtl/>
          <w:lang w:bidi="he-IL"/>
        </w:rPr>
        <w:t xml:space="preserve"> </w:t>
      </w:r>
      <w:r w:rsidR="00AB3B5D" w:rsidRPr="00882F11">
        <w:rPr>
          <w:rFonts w:cs="Guttman Drogolin" w:hint="cs"/>
          <w:rtl/>
          <w:lang w:bidi="he-IL"/>
        </w:rPr>
        <w:t>שאור</w:t>
      </w:r>
      <w:r w:rsidR="00AB3B5D" w:rsidRPr="00882F11">
        <w:rPr>
          <w:rFonts w:cs="Guttman Drogolin"/>
          <w:rtl/>
          <w:lang w:bidi="he-IL"/>
        </w:rPr>
        <w:t xml:space="preserve"> </w:t>
      </w:r>
      <w:r w:rsidR="00AB3B5D" w:rsidRPr="00882F11">
        <w:rPr>
          <w:rFonts w:cs="Guttman Drogolin" w:hint="cs"/>
          <w:rtl/>
          <w:lang w:bidi="he-IL"/>
        </w:rPr>
        <w:t>של</w:t>
      </w:r>
      <w:r w:rsidR="00AB3B5D" w:rsidRPr="00882F11">
        <w:rPr>
          <w:rFonts w:cs="Guttman Drogolin"/>
          <w:rtl/>
          <w:lang w:bidi="he-IL"/>
        </w:rPr>
        <w:t xml:space="preserve"> </w:t>
      </w:r>
      <w:r w:rsidR="00AB3B5D" w:rsidRPr="00882F11">
        <w:rPr>
          <w:rFonts w:cs="Guttman Drogolin" w:hint="cs"/>
          <w:rtl/>
          <w:lang w:bidi="he-IL"/>
        </w:rPr>
        <w:t>תרומה</w:t>
      </w:r>
      <w:r w:rsidR="00AB3B5D" w:rsidRPr="00882F11">
        <w:rPr>
          <w:rFonts w:cs="Guttman Drogolin"/>
          <w:rtl/>
          <w:lang w:bidi="he-IL"/>
        </w:rPr>
        <w:t xml:space="preserve"> </w:t>
      </w:r>
      <w:r w:rsidR="00AB3B5D" w:rsidRPr="00882F11">
        <w:rPr>
          <w:rFonts w:cs="Guttman Drogolin" w:hint="cs"/>
          <w:rtl/>
          <w:lang w:bidi="he-IL"/>
        </w:rPr>
        <w:t>או</w:t>
      </w:r>
      <w:r w:rsidR="00AB3B5D" w:rsidRPr="00882F11">
        <w:rPr>
          <w:rFonts w:cs="Guttman Drogolin"/>
          <w:rtl/>
          <w:lang w:bidi="he-IL"/>
        </w:rPr>
        <w:t xml:space="preserve"> </w:t>
      </w:r>
      <w:r w:rsidR="00AB3B5D" w:rsidRPr="00882F11">
        <w:rPr>
          <w:rFonts w:cs="Guttman Drogolin" w:hint="cs"/>
          <w:rtl/>
          <w:lang w:bidi="he-IL"/>
        </w:rPr>
        <w:t>שאור</w:t>
      </w:r>
      <w:r w:rsidR="00AB3B5D" w:rsidRPr="00882F11">
        <w:rPr>
          <w:rFonts w:cs="Guttman Drogolin"/>
          <w:rtl/>
          <w:lang w:bidi="he-IL"/>
        </w:rPr>
        <w:t xml:space="preserve"> </w:t>
      </w:r>
      <w:r w:rsidR="00AB3B5D" w:rsidRPr="00882F11">
        <w:rPr>
          <w:rFonts w:cs="Guttman Drogolin" w:hint="cs"/>
          <w:rtl/>
          <w:lang w:bidi="he-IL"/>
        </w:rPr>
        <w:t>של</w:t>
      </w:r>
      <w:r w:rsidR="00AB3B5D" w:rsidRPr="00882F11">
        <w:rPr>
          <w:rFonts w:cs="Guttman Drogolin"/>
          <w:rtl/>
          <w:lang w:bidi="he-IL"/>
        </w:rPr>
        <w:t xml:space="preserve"> </w:t>
      </w:r>
      <w:r w:rsidR="00AB3B5D" w:rsidRPr="00882F11">
        <w:rPr>
          <w:rFonts w:cs="Guttman Drogolin" w:hint="cs"/>
          <w:rtl/>
          <w:lang w:bidi="he-IL"/>
        </w:rPr>
        <w:t>כלאי</w:t>
      </w:r>
      <w:r w:rsidR="00AB3B5D" w:rsidRPr="00882F11">
        <w:rPr>
          <w:rFonts w:cs="Guttman Drogolin"/>
          <w:rtl/>
          <w:lang w:bidi="he-IL"/>
        </w:rPr>
        <w:t xml:space="preserve"> </w:t>
      </w:r>
      <w:r w:rsidR="00AB3B5D" w:rsidRPr="00882F11">
        <w:rPr>
          <w:rFonts w:cs="Guttman Drogolin" w:hint="cs"/>
          <w:rtl/>
          <w:lang w:bidi="he-IL"/>
        </w:rPr>
        <w:t>הכרם</w:t>
      </w:r>
      <w:r w:rsidR="00AB3B5D" w:rsidRPr="00882F11">
        <w:rPr>
          <w:rFonts w:cs="Guttman Drogolin"/>
          <w:rtl/>
          <w:lang w:bidi="he-IL"/>
        </w:rPr>
        <w:t xml:space="preserve"> </w:t>
      </w:r>
      <w:r w:rsidR="00AB3B5D" w:rsidRPr="00882F11">
        <w:rPr>
          <w:rFonts w:cs="Guttman Drogolin" w:hint="cs"/>
          <w:rtl/>
          <w:lang w:bidi="he-IL"/>
        </w:rPr>
        <w:t>ויש</w:t>
      </w:r>
      <w:r w:rsidR="00AB3B5D" w:rsidRPr="00882F11">
        <w:rPr>
          <w:rFonts w:cs="Guttman Drogolin"/>
          <w:rtl/>
          <w:lang w:bidi="he-IL"/>
        </w:rPr>
        <w:t xml:space="preserve"> </w:t>
      </w:r>
      <w:r w:rsidR="00AB3B5D" w:rsidRPr="00882F11">
        <w:rPr>
          <w:rFonts w:cs="Guttman Drogolin" w:hint="cs"/>
          <w:rtl/>
          <w:lang w:bidi="he-IL"/>
        </w:rPr>
        <w:t>בו</w:t>
      </w:r>
      <w:r w:rsidR="00AB3B5D" w:rsidRPr="00882F11">
        <w:rPr>
          <w:rFonts w:cs="Guttman Drogolin"/>
          <w:rtl/>
          <w:lang w:bidi="he-IL"/>
        </w:rPr>
        <w:t xml:space="preserve"> </w:t>
      </w:r>
      <w:r w:rsidR="00AB3B5D" w:rsidRPr="00882F11">
        <w:rPr>
          <w:rFonts w:cs="Guttman Drogolin" w:hint="cs"/>
          <w:rtl/>
          <w:lang w:bidi="he-IL"/>
        </w:rPr>
        <w:t>כדי</w:t>
      </w:r>
      <w:r w:rsidR="00AB3B5D" w:rsidRPr="00882F11">
        <w:rPr>
          <w:rFonts w:cs="Guttman Drogolin"/>
          <w:rtl/>
          <w:lang w:bidi="he-IL"/>
        </w:rPr>
        <w:t xml:space="preserve"> </w:t>
      </w:r>
      <w:r w:rsidR="00AB3B5D" w:rsidRPr="00882F11">
        <w:rPr>
          <w:rFonts w:cs="Guttman Drogolin" w:hint="cs"/>
          <w:rtl/>
          <w:lang w:bidi="he-IL"/>
        </w:rPr>
        <w:t>להחמיץ</w:t>
      </w:r>
      <w:r w:rsidR="00AB3B5D" w:rsidRPr="00882F11">
        <w:rPr>
          <w:rFonts w:cs="Guttman Drogolin"/>
          <w:rtl/>
          <w:lang w:bidi="he-IL"/>
        </w:rPr>
        <w:t xml:space="preserve"> </w:t>
      </w:r>
      <w:r w:rsidR="00AB3B5D" w:rsidRPr="00882F11">
        <w:rPr>
          <w:rFonts w:cs="Guttman Drogolin" w:hint="cs"/>
          <w:rtl/>
          <w:lang w:bidi="he-IL"/>
        </w:rPr>
        <w:t>אסור</w:t>
      </w:r>
      <w:r w:rsidR="00AB3B5D" w:rsidRPr="00882F11">
        <w:rPr>
          <w:rFonts w:cs="Guttman Drogolin"/>
          <w:rtl/>
          <w:lang w:bidi="he-IL"/>
        </w:rPr>
        <w:t xml:space="preserve"> </w:t>
      </w:r>
      <w:r w:rsidR="00AB3B5D" w:rsidRPr="00882F11">
        <w:rPr>
          <w:rFonts w:cs="Guttman Drogolin" w:hint="cs"/>
          <w:rtl/>
          <w:lang w:bidi="he-IL"/>
        </w:rPr>
        <w:t>ור"ש</w:t>
      </w:r>
      <w:r w:rsidR="00AB3B5D" w:rsidRPr="00882F11">
        <w:rPr>
          <w:rFonts w:cs="Guttman Drogolin"/>
          <w:rtl/>
          <w:lang w:bidi="he-IL"/>
        </w:rPr>
        <w:t xml:space="preserve"> </w:t>
      </w:r>
      <w:r w:rsidR="00AB3B5D" w:rsidRPr="00882F11">
        <w:rPr>
          <w:rFonts w:cs="Guttman Drogolin" w:hint="cs"/>
          <w:rtl/>
          <w:lang w:bidi="he-IL"/>
        </w:rPr>
        <w:t>מתיר". והגמ' דוחה "א"ר</w:t>
      </w:r>
      <w:r w:rsidR="00AB3B5D" w:rsidRPr="00882F11">
        <w:rPr>
          <w:rFonts w:cs="Guttman Drogolin"/>
          <w:rtl/>
          <w:lang w:bidi="he-IL"/>
        </w:rPr>
        <w:t xml:space="preserve"> </w:t>
      </w:r>
      <w:r w:rsidR="00AB3B5D" w:rsidRPr="00882F11">
        <w:rPr>
          <w:rFonts w:cs="Guttman Drogolin" w:hint="cs"/>
          <w:rtl/>
          <w:lang w:bidi="he-IL"/>
        </w:rPr>
        <w:t>זירא</w:t>
      </w:r>
      <w:r w:rsidR="00AB3B5D" w:rsidRPr="00882F11">
        <w:rPr>
          <w:rFonts w:cs="Guttman Drogolin"/>
          <w:rtl/>
          <w:lang w:bidi="he-IL"/>
        </w:rPr>
        <w:t xml:space="preserve"> </w:t>
      </w:r>
      <w:r w:rsidR="00AB3B5D" w:rsidRPr="00882F11">
        <w:rPr>
          <w:rFonts w:cs="Guttman Drogolin" w:hint="cs"/>
          <w:rtl/>
          <w:lang w:bidi="he-IL"/>
        </w:rPr>
        <w:t>שאני</w:t>
      </w:r>
      <w:r w:rsidR="00AB3B5D" w:rsidRPr="00882F11">
        <w:rPr>
          <w:rFonts w:cs="Guttman Drogolin"/>
          <w:rtl/>
          <w:lang w:bidi="he-IL"/>
        </w:rPr>
        <w:t xml:space="preserve"> </w:t>
      </w:r>
      <w:r w:rsidR="00AB3B5D" w:rsidRPr="00882F11">
        <w:rPr>
          <w:rFonts w:cs="Guttman Drogolin" w:hint="cs"/>
          <w:rtl/>
          <w:lang w:bidi="he-IL"/>
        </w:rPr>
        <w:t>עיסה</w:t>
      </w:r>
      <w:r w:rsidR="00AB3B5D" w:rsidRPr="00882F11">
        <w:rPr>
          <w:rFonts w:cs="Guttman Drogolin"/>
          <w:rtl/>
          <w:lang w:bidi="he-IL"/>
        </w:rPr>
        <w:t xml:space="preserve"> </w:t>
      </w:r>
      <w:r w:rsidR="00AB3B5D" w:rsidRPr="00882F11">
        <w:rPr>
          <w:rFonts w:cs="Guttman Drogolin" w:hint="cs"/>
          <w:rtl/>
          <w:lang w:bidi="he-IL"/>
        </w:rPr>
        <w:t>הואיל</w:t>
      </w:r>
      <w:r w:rsidR="00AB3B5D" w:rsidRPr="00882F11">
        <w:rPr>
          <w:rFonts w:cs="Guttman Drogolin"/>
          <w:rtl/>
          <w:lang w:bidi="he-IL"/>
        </w:rPr>
        <w:t xml:space="preserve"> </w:t>
      </w:r>
      <w:r w:rsidR="00AB3B5D" w:rsidRPr="00882F11">
        <w:rPr>
          <w:rFonts w:cs="Guttman Drogolin" w:hint="cs"/>
          <w:rtl/>
          <w:lang w:bidi="he-IL"/>
        </w:rPr>
        <w:t>וראויה</w:t>
      </w:r>
      <w:r w:rsidR="00AB3B5D" w:rsidRPr="00882F11">
        <w:rPr>
          <w:rFonts w:cs="Guttman Drogolin"/>
          <w:rtl/>
          <w:lang w:bidi="he-IL"/>
        </w:rPr>
        <w:t xml:space="preserve"> </w:t>
      </w:r>
      <w:r w:rsidR="00AB3B5D" w:rsidRPr="00882F11">
        <w:rPr>
          <w:rFonts w:cs="Guttman Drogolin" w:hint="cs"/>
          <w:rtl/>
          <w:lang w:bidi="he-IL"/>
        </w:rPr>
        <w:t>לחמע</w:t>
      </w:r>
      <w:r w:rsidR="00AB3B5D" w:rsidRPr="00882F11">
        <w:rPr>
          <w:rFonts w:cs="Guttman Drogolin"/>
          <w:rtl/>
          <w:lang w:bidi="he-IL"/>
        </w:rPr>
        <w:t xml:space="preserve"> </w:t>
      </w:r>
      <w:r w:rsidR="00AB3B5D" w:rsidRPr="00882F11">
        <w:rPr>
          <w:rFonts w:cs="Guttman Drogolin" w:hint="cs"/>
          <w:rtl/>
          <w:lang w:bidi="he-IL"/>
        </w:rPr>
        <w:t>בה</w:t>
      </w:r>
      <w:r w:rsidR="00AB3B5D" w:rsidRPr="00882F11">
        <w:rPr>
          <w:rFonts w:cs="Guttman Drogolin"/>
          <w:rtl/>
          <w:lang w:bidi="he-IL"/>
        </w:rPr>
        <w:t xml:space="preserve"> </w:t>
      </w:r>
      <w:r w:rsidR="00AB3B5D" w:rsidRPr="00882F11">
        <w:rPr>
          <w:rFonts w:cs="Guttman Drogolin" w:hint="cs"/>
          <w:rtl/>
          <w:lang w:bidi="he-IL"/>
        </w:rPr>
        <w:t>כמה</w:t>
      </w:r>
      <w:r w:rsidR="00AB3B5D" w:rsidRPr="00882F11">
        <w:rPr>
          <w:rFonts w:cs="Guttman Drogolin"/>
          <w:rtl/>
          <w:lang w:bidi="he-IL"/>
        </w:rPr>
        <w:t xml:space="preserve"> </w:t>
      </w:r>
      <w:r w:rsidR="00AB3B5D" w:rsidRPr="00882F11">
        <w:rPr>
          <w:rFonts w:cs="Guttman Drogolin" w:hint="cs"/>
          <w:rtl/>
          <w:lang w:bidi="he-IL"/>
        </w:rPr>
        <w:t>עיסות</w:t>
      </w:r>
      <w:r w:rsidR="00AB3B5D" w:rsidRPr="00882F11">
        <w:rPr>
          <w:rFonts w:cs="Guttman Drogolin"/>
          <w:rtl/>
          <w:lang w:bidi="he-IL"/>
        </w:rPr>
        <w:t xml:space="preserve"> </w:t>
      </w:r>
      <w:r w:rsidR="00AB3B5D" w:rsidRPr="00882F11">
        <w:rPr>
          <w:rFonts w:cs="Guttman Drogolin" w:hint="cs"/>
          <w:rtl/>
          <w:lang w:bidi="he-IL"/>
        </w:rPr>
        <w:t xml:space="preserve">אחרות". והיינו שלעולם בפגום מעיקרו לכו"ע מותר, אבל נחלקו אם דבר שראוי לחמע בו כמה עיסות אחרות חשוב נטל"פ או נותן טעם לשבח. </w:t>
      </w:r>
      <w:r w:rsidR="009C3D03" w:rsidRPr="00882F11">
        <w:rPr>
          <w:rFonts w:cs="Guttman Drogolin" w:hint="cs"/>
          <w:rtl/>
          <w:lang w:bidi="he-IL"/>
        </w:rPr>
        <w:t>והנה מסקנת הגמ' שיש ראי</w:t>
      </w:r>
      <w:r w:rsidR="00324CDD" w:rsidRPr="00882F11">
        <w:rPr>
          <w:rFonts w:cs="Guttman Drogolin" w:hint="cs"/>
          <w:rtl/>
          <w:lang w:bidi="he-IL"/>
        </w:rPr>
        <w:t>'</w:t>
      </w:r>
      <w:r w:rsidR="009C3D03" w:rsidRPr="00882F11">
        <w:rPr>
          <w:rFonts w:cs="Guttman Drogolin" w:hint="cs"/>
          <w:rtl/>
          <w:lang w:bidi="he-IL"/>
        </w:rPr>
        <w:t xml:space="preserve"> מוכרחת שנחלקו בפגום מעיקרא, וא"כ לכאורה אין</w:t>
      </w:r>
      <w:r w:rsidR="00324CDD" w:rsidRPr="00882F11">
        <w:rPr>
          <w:rFonts w:cs="Guttman Drogolin" w:hint="cs"/>
          <w:rtl/>
          <w:lang w:bidi="he-IL"/>
        </w:rPr>
        <w:t xml:space="preserve"> לנו שום ראי' מן המתני' שישנו ל</w:t>
      </w:r>
      <w:r w:rsidR="009C3D03" w:rsidRPr="00882F11">
        <w:rPr>
          <w:rFonts w:cs="Guttman Drogolin" w:hint="cs"/>
          <w:rtl/>
          <w:lang w:bidi="he-IL"/>
        </w:rPr>
        <w:t>ד</w:t>
      </w:r>
      <w:r w:rsidR="00324CDD" w:rsidRPr="00882F11">
        <w:rPr>
          <w:rFonts w:cs="Guttman Drogolin" w:hint="cs"/>
          <w:rtl/>
          <w:lang w:bidi="he-IL"/>
        </w:rPr>
        <w:t>ין</w:t>
      </w:r>
      <w:r w:rsidR="009C3D03" w:rsidRPr="00882F11">
        <w:rPr>
          <w:rFonts w:cs="Guttman Drogolin" w:hint="cs"/>
          <w:rtl/>
          <w:lang w:bidi="he-IL"/>
        </w:rPr>
        <w:t xml:space="preserve"> זה שנחלקו בסברא זו שראוי לחמע בו עיסות אחרות. ולכן הוא דבר פלא שהרמב"ם פסק דינו של ר' זירא, וכ"כ נמי בטעמו של המתני' בפיהמ"ש למס' ערלה. והמפרשים כתבו שהרמב"ם דקדק כן מלשון הגמ' דקאמר "א"ר זירא שאני וכו'"</w:t>
      </w:r>
      <w:r w:rsidR="00EA46FE" w:rsidRPr="00882F11">
        <w:rPr>
          <w:rFonts w:cs="Guttman Drogolin" w:hint="cs"/>
          <w:rtl/>
          <w:lang w:bidi="he-IL"/>
        </w:rPr>
        <w:t>. ולא "א"ר זירא 'דלמא' שאני וכו'. וצ"ע.</w:t>
      </w:r>
    </w:p>
    <w:p w:rsidR="00EA46FE" w:rsidRPr="00882F11" w:rsidRDefault="00EA46FE" w:rsidP="00EA46FE">
      <w:pPr>
        <w:bidi/>
        <w:jc w:val="both"/>
        <w:rPr>
          <w:rFonts w:cs="Guttman Drogolin"/>
          <w:rtl/>
          <w:lang w:bidi="he-IL"/>
        </w:rPr>
      </w:pPr>
      <w:r w:rsidRPr="00882F11">
        <w:rPr>
          <w:rFonts w:cs="Guttman Drogolin" w:hint="cs"/>
          <w:rtl/>
          <w:lang w:bidi="he-IL"/>
        </w:rPr>
        <w:t>ומ"מ טעמא בעי, שהרי שיטת הר"ן היא שכל נטל"פ מותר אע"ג שליכא רוב אא"כ נהנה מן האיסור. וא"כ איזה סברא יש לומר דהוי נותן טעם לשבח כיון שראוי לחמע בו עיסות אחרות, הא סוף כל סוף אינו מחמע עיסות אחרות רק אוכלו ולכן כיון שאינו נהנה מזה הי' צריך להיות מותר. ובקה"י כתב לחדש לפי זה, שהענין שנהנה מן התערובת, אין הכוונה שנהנה ממנו דוקא בשעת אכילה, רק הענין הוא שנהנה ממנו לאחר שהתערב. ולכן כיון שיש לו ריוח מזה שהתערב אילו הי' רוצה לחמע בו עיסות אחרות, אין זה בכלל ההיתר של נטל"פ אע"ג שסוף כל סוף לא מחמע בן עיסות אחרות.</w:t>
      </w:r>
    </w:p>
    <w:p w:rsidR="00EA46FE" w:rsidRPr="00882F11" w:rsidRDefault="00EA46FE" w:rsidP="00EA46FE">
      <w:pPr>
        <w:bidi/>
        <w:jc w:val="both"/>
        <w:rPr>
          <w:rFonts w:cs="Guttman Drogolin"/>
          <w:rtl/>
          <w:lang w:bidi="he-IL"/>
        </w:rPr>
      </w:pPr>
      <w:r w:rsidRPr="00882F11">
        <w:rPr>
          <w:rFonts w:cs="Guttman Drogolin" w:hint="cs"/>
          <w:rtl/>
          <w:lang w:bidi="he-IL"/>
        </w:rPr>
        <w:t>ויסוד זה לכאורה מבואר גם ממקום אחר. שהרי הר"ן דן לומר שאם הרבה את המדה ג"כ יש לאסור מטעם זה. ולכאורה צ"ע, שהרי אינו מרויח מריבוי מדתו בכזית הראשון, דהא הכזית הראשון הי' נהנה ממנו אפילו לא הי' מתערב, וההיפך, הי' נהנה ממנו יותר אילו לא התערב בו דבר שנותן לו טעם לפג</w:t>
      </w:r>
      <w:r w:rsidR="00324CDD" w:rsidRPr="00882F11">
        <w:rPr>
          <w:rFonts w:cs="Guttman Drogolin" w:hint="cs"/>
          <w:rtl/>
          <w:lang w:bidi="he-IL"/>
        </w:rPr>
        <w:t>ם. ואינו נהנה ממנו אלא אחרי שגמר</w:t>
      </w:r>
      <w:r w:rsidRPr="00882F11">
        <w:rPr>
          <w:rFonts w:cs="Guttman Drogolin" w:hint="cs"/>
          <w:rtl/>
          <w:lang w:bidi="he-IL"/>
        </w:rPr>
        <w:t xml:space="preserve"> את השיעור שהי' בו מקודם. ומ"מ סבר הר"ן </w:t>
      </w:r>
      <w:r w:rsidRPr="00882F11">
        <w:rPr>
          <w:rFonts w:cs="Guttman Drogolin" w:hint="cs"/>
          <w:rtl/>
          <w:lang w:bidi="he-IL"/>
        </w:rPr>
        <w:lastRenderedPageBreak/>
        <w:t xml:space="preserve">שהרי הוא באיסורו בכזית הראשון. וכל כך למה. וע"כ הנ"ל, דכיון שהוא מרויח ממנו בשעה שהי' מעורב הרי הוא בכלל איסורו לכל דבר.   </w:t>
      </w:r>
    </w:p>
    <w:p w:rsidR="00EA46FE" w:rsidRPr="00882F11" w:rsidRDefault="00EA46FE" w:rsidP="00EA46FE">
      <w:pPr>
        <w:bidi/>
        <w:jc w:val="both"/>
        <w:rPr>
          <w:rFonts w:cs="Guttman Drogolin"/>
          <w:rtl/>
          <w:lang w:bidi="he-IL"/>
        </w:rPr>
        <w:sectPr w:rsidR="00EA46FE" w:rsidRPr="00882F11" w:rsidSect="00615FF2">
          <w:type w:val="continuous"/>
          <w:pgSz w:w="11907" w:h="16839" w:code="9"/>
          <w:pgMar w:top="1440" w:right="1440" w:bottom="1440" w:left="1440" w:header="720" w:footer="720" w:gutter="0"/>
          <w:cols w:num="2" w:space="720"/>
          <w:bidi/>
          <w:docGrid w:linePitch="360"/>
        </w:sectPr>
      </w:pPr>
    </w:p>
    <w:p w:rsidR="00CA187D" w:rsidRPr="00882F11" w:rsidRDefault="00CA187D" w:rsidP="00CA187D">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ל"ז</w:t>
      </w:r>
    </w:p>
    <w:p w:rsidR="00615FF2" w:rsidRDefault="00615FF2" w:rsidP="0078079C">
      <w:pPr>
        <w:pStyle w:val="Heading1"/>
        <w:bidi/>
        <w:spacing w:before="0" w:line="360" w:lineRule="auto"/>
        <w:jc w:val="center"/>
        <w:rPr>
          <w:rFonts w:cs="Guttman Drogolin"/>
          <w:color w:val="auto"/>
          <w:sz w:val="24"/>
          <w:szCs w:val="24"/>
          <w:u w:val="single"/>
          <w:rtl/>
          <w:lang w:bidi="he-IL"/>
        </w:rPr>
        <w:sectPr w:rsidR="00615FF2" w:rsidSect="00615FF2">
          <w:headerReference w:type="default" r:id="rId33"/>
          <w:pgSz w:w="11907" w:h="16839" w:code="9"/>
          <w:pgMar w:top="1440" w:right="1440" w:bottom="1440" w:left="1440" w:header="720" w:footer="720" w:gutter="0"/>
          <w:cols w:space="720"/>
          <w:bidi/>
          <w:docGrid w:linePitch="360"/>
        </w:sectPr>
      </w:pPr>
    </w:p>
    <w:p w:rsidR="00CA187D" w:rsidRPr="00882F11" w:rsidRDefault="00CA187D" w:rsidP="0078079C">
      <w:pPr>
        <w:pStyle w:val="Heading1"/>
        <w:bidi/>
        <w:spacing w:before="0" w:line="360" w:lineRule="auto"/>
        <w:jc w:val="center"/>
        <w:rPr>
          <w:rFonts w:cs="Guttman Drogolin"/>
          <w:color w:val="auto"/>
          <w:sz w:val="24"/>
          <w:szCs w:val="24"/>
          <w:u w:val="single"/>
          <w:rtl/>
          <w:lang w:bidi="he-IL"/>
        </w:rPr>
      </w:pPr>
      <w:bookmarkStart w:id="138" w:name="_Toc496175396"/>
      <w:r w:rsidRPr="00882F11">
        <w:rPr>
          <w:rFonts w:cs="Guttman Drogolin" w:hint="cs"/>
          <w:color w:val="auto"/>
          <w:sz w:val="24"/>
          <w:szCs w:val="24"/>
          <w:u w:val="single"/>
          <w:rtl/>
          <w:lang w:bidi="he-IL"/>
        </w:rPr>
        <w:lastRenderedPageBreak/>
        <w:t>ביאור דעת המתירים בהשביח ולבסוף פגם</w:t>
      </w:r>
      <w:bookmarkEnd w:id="138"/>
    </w:p>
    <w:p w:rsidR="00A37CE2" w:rsidRPr="00882F11" w:rsidRDefault="00B34B28" w:rsidP="00CA187D">
      <w:pPr>
        <w:bidi/>
        <w:jc w:val="both"/>
        <w:rPr>
          <w:rFonts w:cs="Guttman Drogolin"/>
          <w:rtl/>
          <w:lang w:bidi="he-IL"/>
        </w:rPr>
      </w:pPr>
      <w:r>
        <w:rPr>
          <w:rFonts w:cs="Guttman Drogolin"/>
          <w:rtl/>
          <w:lang w:bidi="he-IL"/>
        </w:rPr>
        <w:fldChar w:fldCharType="begin"/>
      </w:r>
      <w:r>
        <w:instrText xml:space="preserve"> XE "</w:instrText>
      </w:r>
      <w:r w:rsidRPr="003418CC">
        <w:rPr>
          <w:rFonts w:hint="cs"/>
          <w:rtl/>
          <w:lang w:bidi="he-IL"/>
        </w:rPr>
        <w:instrText>נותן טעם לפגם</w:instrText>
      </w:r>
      <w:r w:rsidRPr="003418CC">
        <w:rPr>
          <w:rtl/>
        </w:rPr>
        <w:instrText>:</w:instrText>
      </w:r>
      <w:r w:rsidRPr="003418CC">
        <w:rPr>
          <w:rFonts w:hint="cs"/>
          <w:rtl/>
          <w:lang w:bidi="he-IL"/>
        </w:rPr>
        <w:instrText>השביח ולבסוף פגם</w:instrText>
      </w:r>
      <w:r>
        <w:instrText xml:space="preserve">" </w:instrText>
      </w:r>
      <w:r>
        <w:rPr>
          <w:rFonts w:cs="Guttman Drogolin"/>
          <w:rtl/>
          <w:lang w:bidi="he-IL"/>
        </w:rPr>
        <w:fldChar w:fldCharType="end"/>
      </w:r>
      <w:r w:rsidR="00CA187D" w:rsidRPr="00882F11">
        <w:rPr>
          <w:rFonts w:cs="Guttman Drogolin" w:hint="cs"/>
          <w:rtl/>
          <w:lang w:bidi="he-IL"/>
        </w:rPr>
        <w:t>מבואר בגמ דעולא סבר שלא נחלקו ר"מ ור"ש בפגום מעיקרו, שזה לכו"ע מותר, כי פליגי בשביח ולבסוף פגם, שר"מ סבר שאמנם נטל"פ מותר כשנפגם מעיקרו אבל השביח ולבסוף פגם מותר, ור"ש סבר שאפילו השביח ולבסוף פגם מותר. ואמנם ניתותב שיטה זו מכח הברייתא, אבל מ"מ יל"ע מהו סברת המתירים בזה. והנה לאלו הסוברים שבהשביח ולבסוף פגם אין טעם האוסרים משום חענ"ן רק מטעם אחר וכמו שנתבאר לעיל, לכאורה יש לומר באופן פשוט, שהמתירים אינם סוברים טעם זה. אבל יל"ע לשיטת הר"ן והרא"ה שביארו שהטעם לאסור בהשביח ולבסוף פגם הוא משום דינא דחענ"ן, וביארנו שדבר זה לכאורה מוכרחת לשיטת הר"ן כיון דלא סבר הכלל דאין הנאסר אוסר במקום שאין האיסור יכול להתפשט, ולדידי' אין צורך שיהא חלק מן האיסור בתוך ההיתר כדי שיהא נע"נ, ולכן אע"ג שהאיסור נעשית לפגם מ"מ ההיתר כבר נאסר ואינו חוזרת להיתירו. וא"כ לכאורה לשיטת הר"ן עצמו באמת צ"</w:t>
      </w:r>
      <w:r w:rsidR="00A37CE2" w:rsidRPr="00882F11">
        <w:rPr>
          <w:rFonts w:cs="Guttman Drogolin" w:hint="cs"/>
          <w:rtl/>
          <w:lang w:bidi="he-IL"/>
        </w:rPr>
        <w:t xml:space="preserve">ע מהו הטעמו של המ"ד שבשביח ולבסוף פגם מותר אליבא דר"ש, דלא מסתבר כלל שלשיטה זו יש ביאור אחר בדינא דחענ"ן. </w:t>
      </w:r>
    </w:p>
    <w:p w:rsidR="000F68EC" w:rsidRPr="00882F11" w:rsidRDefault="00A37CE2" w:rsidP="00A37CE2">
      <w:pPr>
        <w:bidi/>
        <w:jc w:val="both"/>
        <w:rPr>
          <w:rFonts w:cs="Guttman Drogolin"/>
          <w:rtl/>
          <w:lang w:bidi="he-IL"/>
        </w:rPr>
      </w:pPr>
      <w:r w:rsidRPr="00882F11">
        <w:rPr>
          <w:rFonts w:cs="Guttman Drogolin" w:hint="cs"/>
          <w:rtl/>
          <w:lang w:bidi="he-IL"/>
        </w:rPr>
        <w:t>ולכאורה התשובה מבוארת בדברי הר"ן גופא, שהרי כתב הר"ן על הרי"ף</w:t>
      </w:r>
      <w:r w:rsidR="000F68EC" w:rsidRPr="00882F11">
        <w:rPr>
          <w:rFonts w:cs="Guttman Drogolin" w:hint="cs"/>
          <w:rtl/>
          <w:lang w:bidi="he-IL"/>
        </w:rPr>
        <w:t xml:space="preserve"> "נעשה כמי שהשביח ולבסוף פגם. נ"ל דה"ק לא תימא כיון שסוף חומץ זה לפגום כשירתיח הגריסין שנראה אותו כפוגם מתחלתו אלא נעשה כתבשיל שהשביח מחמת האיסור ולבסוף פגם מעצמו דאסור עד שיפסל מלאכול לאדם". ולכאורה כוונתו לומר דכיון שסופו להיות פגום הוה אמינא שכבר מתחילה יש לו דין נטל"פ. ונראה פשוט שאם יאכלנו קודם שיהי' פגום לא ס"ד שיהא מותר, חדא דהרי סוף סוף </w:t>
      </w:r>
      <w:r w:rsidR="000F68EC" w:rsidRPr="00882F11">
        <w:rPr>
          <w:rFonts w:cs="Guttman Drogolin" w:hint="cs"/>
          <w:rtl/>
          <w:lang w:bidi="he-IL"/>
        </w:rPr>
        <w:lastRenderedPageBreak/>
        <w:t>בשעת אכילתו הרי הוא לשבח. ועוד שהרי אם יאכלנו בשעה שהוא לשבח לא ישתנה לבסוף להיות פגום. וה'לא תימא' של הר"ן היינו למ"ד שהשביח ולבסוף פגם אסור, ומיני' לשיטת עולא שסבר שזהו באמת דעת ר"ש.</w:t>
      </w:r>
    </w:p>
    <w:p w:rsidR="00C537B3" w:rsidRPr="00882F11" w:rsidRDefault="000F68EC" w:rsidP="00C537B3">
      <w:pPr>
        <w:bidi/>
        <w:jc w:val="both"/>
        <w:rPr>
          <w:rFonts w:cs="Guttman Drogolin"/>
          <w:rtl/>
          <w:lang w:bidi="he-IL"/>
        </w:rPr>
      </w:pPr>
      <w:r w:rsidRPr="00882F11">
        <w:rPr>
          <w:rFonts w:cs="Guttman Drogolin" w:hint="cs"/>
          <w:rtl/>
          <w:lang w:bidi="he-IL"/>
        </w:rPr>
        <w:t xml:space="preserve">ולכאורה מזה אפשר לבא ולבאר גם סוף דברי הגמ'. שהרי בגמ' בע"ב מבואר שהצריכותא של הרישא הוא שרבנן אמרו לר"ש שאם יש שאור בין של חולין ובין של תרומה שהחמיצו ביחד הי' לנו לאסור כיון שאחרי שעה שניהם הצטרפו להחמיץ, דהא אלמלא א' מהם לא היתה מחמצת כ"כ מהר, </w:t>
      </w:r>
      <w:r w:rsidR="002E2F5F" w:rsidRPr="00882F11">
        <w:rPr>
          <w:rFonts w:cs="Guttman Drogolin" w:hint="cs"/>
          <w:rtl/>
          <w:lang w:bidi="he-IL"/>
        </w:rPr>
        <w:t>וא"כ הרי זה כהשביח ולבסוף פגם שאסור. ולזה השיב ר"ש שכשהביחו שניהם השביחו וכשפגמו שניהם פגמו.</w:t>
      </w:r>
      <w:r w:rsidR="00C537B3" w:rsidRPr="00882F11">
        <w:rPr>
          <w:rFonts w:cs="Guttman Drogolin" w:hint="cs"/>
          <w:rtl/>
          <w:lang w:bidi="he-IL"/>
        </w:rPr>
        <w:t xml:space="preserve"> ואינו מבואר בהדיא מהו כוונת ר"ש בזה. וע' מה שביאר בזה בחי' הריטב"א. ונראה שכוונתו לומר דעד כאן לא אמרינן שהשביח שסופו להיות פגום אסור אלא כשהאיסור השביח בפני עצמו, אבל אם השביח רק ביחד עם חולין כיון שסופו להיות פגום אינו אוסר כדין השביח ולבסוף פגם.</w:t>
      </w:r>
    </w:p>
    <w:p w:rsidR="00C537B3" w:rsidRPr="00882F11" w:rsidRDefault="00C537B3" w:rsidP="0078079C">
      <w:pPr>
        <w:pStyle w:val="Heading1"/>
        <w:bidi/>
        <w:spacing w:before="0" w:line="360" w:lineRule="auto"/>
        <w:jc w:val="center"/>
        <w:rPr>
          <w:rFonts w:cs="Guttman Drogolin"/>
          <w:color w:val="auto"/>
          <w:sz w:val="24"/>
          <w:szCs w:val="24"/>
          <w:u w:val="single"/>
          <w:rtl/>
          <w:lang w:bidi="he-IL"/>
        </w:rPr>
      </w:pPr>
      <w:bookmarkStart w:id="139" w:name="_Toc496175397"/>
      <w:r w:rsidRPr="00882F11">
        <w:rPr>
          <w:rFonts w:cs="Guttman Drogolin" w:hint="cs"/>
          <w:color w:val="auto"/>
          <w:sz w:val="24"/>
          <w:szCs w:val="24"/>
          <w:u w:val="single"/>
          <w:rtl/>
          <w:lang w:bidi="he-IL"/>
        </w:rPr>
        <w:t>ההוא עכברא</w:t>
      </w:r>
      <w:bookmarkEnd w:id="139"/>
    </w:p>
    <w:p w:rsidR="00F64588" w:rsidRPr="00882F11" w:rsidRDefault="00B34B28" w:rsidP="003C3E86">
      <w:pPr>
        <w:bidi/>
        <w:jc w:val="both"/>
        <w:rPr>
          <w:rFonts w:cs="Guttman Drogolin"/>
          <w:rtl/>
          <w:lang w:bidi="he-IL"/>
        </w:rPr>
      </w:pPr>
      <w:r>
        <w:rPr>
          <w:rFonts w:cs="Guttman Drogolin"/>
          <w:rtl/>
          <w:lang w:bidi="he-IL"/>
        </w:rPr>
        <w:fldChar w:fldCharType="begin"/>
      </w:r>
      <w:r>
        <w:instrText xml:space="preserve"> XE "</w:instrText>
      </w:r>
      <w:r w:rsidRPr="00AC09A9">
        <w:rPr>
          <w:rFonts w:hint="cs"/>
          <w:rtl/>
          <w:lang w:bidi="he-IL"/>
        </w:rPr>
        <w:instrText>נותן טעם לפגם</w:instrText>
      </w:r>
      <w:r w:rsidRPr="00AC09A9">
        <w:rPr>
          <w:rtl/>
        </w:rPr>
        <w:instrText>:</w:instrText>
      </w:r>
      <w:r w:rsidRPr="00AC09A9">
        <w:rPr>
          <w:rFonts w:hint="cs"/>
          <w:rtl/>
          <w:lang w:bidi="he-IL"/>
        </w:rPr>
        <w:instrText>ביאור הסוגיא דההוא עכברא</w:instrText>
      </w:r>
      <w:r>
        <w:instrText xml:space="preserve">" </w:instrText>
      </w:r>
      <w:r>
        <w:rPr>
          <w:rFonts w:cs="Guttman Drogolin"/>
          <w:rtl/>
          <w:lang w:bidi="he-IL"/>
        </w:rPr>
        <w:fldChar w:fldCharType="end"/>
      </w:r>
      <w:r w:rsidR="00C537B3" w:rsidRPr="00882F11">
        <w:rPr>
          <w:rFonts w:cs="Guttman Drogolin" w:hint="cs"/>
          <w:rtl/>
          <w:lang w:bidi="he-IL"/>
        </w:rPr>
        <w:t xml:space="preserve">בהמשך הגמ' </w:t>
      </w:r>
      <w:r w:rsidR="00E163F1" w:rsidRPr="00882F11">
        <w:rPr>
          <w:rFonts w:cs="Guttman Drogolin" w:hint="cs"/>
          <w:rtl/>
          <w:lang w:bidi="he-IL"/>
        </w:rPr>
        <w:t xml:space="preserve">מביאה </w:t>
      </w:r>
      <w:r w:rsidR="003C3E86" w:rsidRPr="00882F11">
        <w:rPr>
          <w:rFonts w:cs="Guttman Drogolin" w:hint="cs"/>
          <w:rtl/>
          <w:lang w:bidi="he-IL"/>
        </w:rPr>
        <w:t>מעשה בההוא עכברא שנפל לחביתא דשכרא ואסרי' רב לההוא שיכרא. ואליבא דר' ששת הוא אסור אפילו למ"ד נטל"פ בעלמא מותר ומשום ד"הכא</w:t>
      </w:r>
      <w:r w:rsidR="003C3E86" w:rsidRPr="00882F11">
        <w:rPr>
          <w:rFonts w:cs="Guttman Drogolin"/>
          <w:rtl/>
          <w:lang w:bidi="he-IL"/>
        </w:rPr>
        <w:t xml:space="preserve"> </w:t>
      </w:r>
      <w:r w:rsidR="003C3E86" w:rsidRPr="00882F11">
        <w:rPr>
          <w:rFonts w:cs="Guttman Drogolin" w:hint="cs"/>
          <w:rtl/>
          <w:lang w:bidi="he-IL"/>
        </w:rPr>
        <w:t>חידוש</w:t>
      </w:r>
      <w:r w:rsidR="003C3E86" w:rsidRPr="00882F11">
        <w:rPr>
          <w:rFonts w:cs="Guttman Drogolin"/>
          <w:rtl/>
          <w:lang w:bidi="he-IL"/>
        </w:rPr>
        <w:t xml:space="preserve"> </w:t>
      </w:r>
      <w:r w:rsidR="003C3E86" w:rsidRPr="00882F11">
        <w:rPr>
          <w:rFonts w:cs="Guttman Drogolin" w:hint="cs"/>
          <w:rtl/>
          <w:lang w:bidi="he-IL"/>
        </w:rPr>
        <w:t>הוא</w:t>
      </w:r>
      <w:r w:rsidR="003C3E86" w:rsidRPr="00882F11">
        <w:rPr>
          <w:rFonts w:cs="Guttman Drogolin"/>
          <w:rtl/>
          <w:lang w:bidi="he-IL"/>
        </w:rPr>
        <w:t xml:space="preserve"> </w:t>
      </w:r>
      <w:r w:rsidR="003C3E86" w:rsidRPr="00882F11">
        <w:rPr>
          <w:rFonts w:cs="Guttman Drogolin" w:hint="cs"/>
          <w:rtl/>
          <w:lang w:bidi="he-IL"/>
        </w:rPr>
        <w:t>דהא</w:t>
      </w:r>
      <w:r w:rsidR="003C3E86" w:rsidRPr="00882F11">
        <w:rPr>
          <w:rFonts w:cs="Guttman Drogolin"/>
          <w:rtl/>
          <w:lang w:bidi="he-IL"/>
        </w:rPr>
        <w:t xml:space="preserve"> </w:t>
      </w:r>
      <w:r w:rsidR="003C3E86" w:rsidRPr="00882F11">
        <w:rPr>
          <w:rFonts w:cs="Guttman Drogolin" w:hint="cs"/>
          <w:rtl/>
          <w:lang w:bidi="he-IL"/>
        </w:rPr>
        <w:t>מימאס</w:t>
      </w:r>
      <w:r w:rsidR="003C3E86" w:rsidRPr="00882F11">
        <w:rPr>
          <w:rFonts w:cs="Guttman Drogolin"/>
          <w:rtl/>
          <w:lang w:bidi="he-IL"/>
        </w:rPr>
        <w:t xml:space="preserve"> </w:t>
      </w:r>
      <w:r w:rsidR="003C3E86" w:rsidRPr="00882F11">
        <w:rPr>
          <w:rFonts w:cs="Guttman Drogolin" w:hint="cs"/>
          <w:rtl/>
          <w:lang w:bidi="he-IL"/>
        </w:rPr>
        <w:t>מאיס</w:t>
      </w:r>
      <w:r w:rsidR="003C3E86" w:rsidRPr="00882F11">
        <w:rPr>
          <w:rFonts w:cs="Guttman Drogolin"/>
          <w:rtl/>
          <w:lang w:bidi="he-IL"/>
        </w:rPr>
        <w:t xml:space="preserve"> </w:t>
      </w:r>
      <w:r w:rsidR="003C3E86" w:rsidRPr="00882F11">
        <w:rPr>
          <w:rFonts w:cs="Guttman Drogolin" w:hint="cs"/>
          <w:rtl/>
          <w:lang w:bidi="he-IL"/>
        </w:rPr>
        <w:t>ובדילי</w:t>
      </w:r>
      <w:r w:rsidR="003C3E86" w:rsidRPr="00882F11">
        <w:rPr>
          <w:rFonts w:cs="Guttman Drogolin"/>
          <w:rtl/>
          <w:lang w:bidi="he-IL"/>
        </w:rPr>
        <w:t xml:space="preserve"> </w:t>
      </w:r>
      <w:r w:rsidR="003C3E86" w:rsidRPr="00882F11">
        <w:rPr>
          <w:rFonts w:cs="Guttman Drogolin" w:hint="cs"/>
          <w:rtl/>
          <w:lang w:bidi="he-IL"/>
        </w:rPr>
        <w:t>אינשי</w:t>
      </w:r>
      <w:r w:rsidR="003C3E86" w:rsidRPr="00882F11">
        <w:rPr>
          <w:rFonts w:cs="Guttman Drogolin"/>
          <w:rtl/>
          <w:lang w:bidi="he-IL"/>
        </w:rPr>
        <w:t xml:space="preserve"> </w:t>
      </w:r>
      <w:r w:rsidR="003C3E86" w:rsidRPr="00882F11">
        <w:rPr>
          <w:rFonts w:cs="Guttman Drogolin" w:hint="cs"/>
          <w:rtl/>
          <w:lang w:bidi="he-IL"/>
        </w:rPr>
        <w:t>מיניה</w:t>
      </w:r>
      <w:r w:rsidR="003C3E86" w:rsidRPr="00882F11">
        <w:rPr>
          <w:rFonts w:cs="Guttman Drogolin"/>
          <w:rtl/>
          <w:lang w:bidi="he-IL"/>
        </w:rPr>
        <w:t xml:space="preserve"> </w:t>
      </w:r>
      <w:r w:rsidR="003C3E86" w:rsidRPr="00882F11">
        <w:rPr>
          <w:rFonts w:cs="Guttman Drogolin" w:hint="cs"/>
          <w:rtl/>
          <w:lang w:bidi="he-IL"/>
        </w:rPr>
        <w:t>ואפילו</w:t>
      </w:r>
      <w:r w:rsidR="003C3E86" w:rsidRPr="00882F11">
        <w:rPr>
          <w:rFonts w:cs="Guttman Drogolin"/>
          <w:rtl/>
          <w:lang w:bidi="he-IL"/>
        </w:rPr>
        <w:t xml:space="preserve"> </w:t>
      </w:r>
      <w:r w:rsidR="003C3E86" w:rsidRPr="00882F11">
        <w:rPr>
          <w:rFonts w:cs="Guttman Drogolin" w:hint="cs"/>
          <w:rtl/>
          <w:lang w:bidi="he-IL"/>
        </w:rPr>
        <w:t>הכי</w:t>
      </w:r>
      <w:r w:rsidR="003C3E86" w:rsidRPr="00882F11">
        <w:rPr>
          <w:rFonts w:cs="Guttman Drogolin"/>
          <w:rtl/>
          <w:lang w:bidi="he-IL"/>
        </w:rPr>
        <w:t xml:space="preserve"> </w:t>
      </w:r>
      <w:r w:rsidR="003C3E86" w:rsidRPr="00882F11">
        <w:rPr>
          <w:rFonts w:cs="Guttman Drogolin" w:hint="cs"/>
          <w:rtl/>
          <w:lang w:bidi="he-IL"/>
        </w:rPr>
        <w:t>אסריה</w:t>
      </w:r>
      <w:r w:rsidR="003C3E86" w:rsidRPr="00882F11">
        <w:rPr>
          <w:rFonts w:cs="Guttman Drogolin"/>
          <w:rtl/>
          <w:lang w:bidi="he-IL"/>
        </w:rPr>
        <w:t xml:space="preserve"> </w:t>
      </w:r>
      <w:r w:rsidR="003C3E86" w:rsidRPr="00882F11">
        <w:rPr>
          <w:rFonts w:cs="Guttman Drogolin" w:hint="cs"/>
          <w:rtl/>
          <w:lang w:bidi="he-IL"/>
        </w:rPr>
        <w:t>רחמנא</w:t>
      </w:r>
      <w:r w:rsidR="003C3E86" w:rsidRPr="00882F11">
        <w:rPr>
          <w:rFonts w:cs="Guttman Drogolin"/>
          <w:rtl/>
          <w:lang w:bidi="he-IL"/>
        </w:rPr>
        <w:t xml:space="preserve"> </w:t>
      </w:r>
      <w:r w:rsidR="003C3E86" w:rsidRPr="00882F11">
        <w:rPr>
          <w:rFonts w:cs="Guttman Drogolin" w:hint="cs"/>
          <w:rtl/>
          <w:lang w:bidi="he-IL"/>
        </w:rPr>
        <w:t>הלכך</w:t>
      </w:r>
      <w:r w:rsidR="003C3E86" w:rsidRPr="00882F11">
        <w:rPr>
          <w:rFonts w:cs="Guttman Drogolin"/>
          <w:rtl/>
          <w:lang w:bidi="he-IL"/>
        </w:rPr>
        <w:t xml:space="preserve"> </w:t>
      </w:r>
      <w:r w:rsidR="003C3E86" w:rsidRPr="00882F11">
        <w:rPr>
          <w:rFonts w:cs="Guttman Drogolin" w:hint="cs"/>
          <w:rtl/>
          <w:lang w:bidi="he-IL"/>
        </w:rPr>
        <w:t>נט"ל</w:t>
      </w:r>
      <w:r w:rsidR="003C3E86" w:rsidRPr="00882F11">
        <w:rPr>
          <w:rFonts w:cs="Guttman Drogolin"/>
          <w:rtl/>
          <w:lang w:bidi="he-IL"/>
        </w:rPr>
        <w:t xml:space="preserve"> </w:t>
      </w:r>
      <w:r w:rsidR="003C3E86" w:rsidRPr="00882F11">
        <w:rPr>
          <w:rFonts w:cs="Guttman Drogolin" w:hint="cs"/>
          <w:rtl/>
          <w:lang w:bidi="he-IL"/>
        </w:rPr>
        <w:t>נמי</w:t>
      </w:r>
      <w:r w:rsidR="003C3E86" w:rsidRPr="00882F11">
        <w:rPr>
          <w:rFonts w:cs="Guttman Drogolin"/>
          <w:rtl/>
          <w:lang w:bidi="he-IL"/>
        </w:rPr>
        <w:t xml:space="preserve"> </w:t>
      </w:r>
      <w:r w:rsidR="003C3E86" w:rsidRPr="00882F11">
        <w:rPr>
          <w:rFonts w:cs="Guttman Drogolin" w:hint="cs"/>
          <w:rtl/>
          <w:lang w:bidi="he-IL"/>
        </w:rPr>
        <w:t>אסור". וביאור שיטתו מבואר בתוס' ועוד ראשונים שהרי העכבר גופא הי' צריך להיות מותר מדין נבילה שאינה ראוי' לגר</w:t>
      </w:r>
      <w:r w:rsidR="003C3E86" w:rsidRPr="00882F11">
        <w:rPr>
          <w:rStyle w:val="FootnoteReference"/>
          <w:rFonts w:cs="Guttman Drogolin"/>
          <w:rtl/>
          <w:lang w:bidi="he-IL"/>
        </w:rPr>
        <w:footnoteReference w:id="150"/>
      </w:r>
      <w:r w:rsidR="003C3E86" w:rsidRPr="00882F11">
        <w:rPr>
          <w:rFonts w:cs="Guttman Drogolin" w:hint="cs"/>
          <w:rtl/>
          <w:lang w:bidi="he-IL"/>
        </w:rPr>
        <w:t>, ואפי"ה אסרי' רחמנא, וא"כ ע"כ חז</w:t>
      </w:r>
      <w:r w:rsidR="00876BDC" w:rsidRPr="00882F11">
        <w:rPr>
          <w:rFonts w:cs="Guttman Drogolin" w:hint="cs"/>
          <w:rtl/>
          <w:lang w:bidi="he-IL"/>
        </w:rPr>
        <w:t xml:space="preserve">ינן שיצא עכבר מן הכלל שלא להיות מותר משום טעמו הפגום, ומיני' גם כשנותן טעם גם במילתא אחריתי לא איכפת לן בפגמו. באופן שלכאורה צ"ע בביאור השיטה הסוברת שהיא </w:t>
      </w:r>
      <w:r w:rsidR="00876BDC" w:rsidRPr="00882F11">
        <w:rPr>
          <w:rFonts w:cs="Guttman Drogolin" w:hint="cs"/>
          <w:rtl/>
          <w:lang w:bidi="he-IL"/>
        </w:rPr>
        <w:lastRenderedPageBreak/>
        <w:t xml:space="preserve">מותרת כמו שאר נטל"פ, הא התורה אסרה אע"פ כן וכנ"ל. ויעוין בר"ן על הרי"ף שכתב שמ"ד סבר שאין לך בו אלא חידושו. ונראה הביאור בכוונתו דכיון שזה שהוא אסור באכילה עכ"פ חידוש הוא, דהא הוא דבר מאוס, א"כ דיינו שאסרנו אכילת עצם העכבר, אבל כשיש דין אחר קצת כגון בנד"ד שהוא דינא דטכ"ע, שוב הדרנו לכללים שנטל"פ מותר. </w:t>
      </w:r>
    </w:p>
    <w:p w:rsidR="008E7671" w:rsidRPr="00882F11" w:rsidRDefault="00876BDC" w:rsidP="00324CDD">
      <w:pPr>
        <w:bidi/>
        <w:jc w:val="both"/>
        <w:rPr>
          <w:rFonts w:cs="Guttman Drogolin"/>
          <w:rtl/>
          <w:lang w:bidi="he-IL"/>
        </w:rPr>
      </w:pPr>
      <w:r w:rsidRPr="00882F11">
        <w:rPr>
          <w:rFonts w:cs="Guttman Drogolin" w:hint="cs"/>
          <w:rtl/>
          <w:lang w:bidi="he-IL"/>
        </w:rPr>
        <w:t>ומתוה"א הבנתי פירוש אחר, והוא שאמנם הי' צריך להיות שטעמו אסור כמו עצמותו, מ"מ המהות של טכ"ע הוא שנותן טעם לשבח, אבל דבר שאינו נותן אלא טעם לפגם לאו טעם הוא ואינו בכלל הגזה"כ דטכ"ע. והיינו או משום שהפירוש של טעם הוא דבר שהוא לשבח ואינו נלמד מדין נבילה שאינה ראוי' לגר, או"ד שהוא נלמד מדין נבילה שאינה ראוי' לגר. ואם כנים הדברים הביאור בדברי ר' ששת לכאורה ה</w:t>
      </w:r>
      <w:r w:rsidR="00324CDD" w:rsidRPr="00882F11">
        <w:rPr>
          <w:rFonts w:cs="Guttman Drogolin" w:hint="cs"/>
          <w:rtl/>
          <w:lang w:bidi="he-IL"/>
        </w:rPr>
        <w:t>י</w:t>
      </w:r>
      <w:r w:rsidRPr="00882F11">
        <w:rPr>
          <w:rFonts w:cs="Guttman Drogolin" w:hint="cs"/>
          <w:rtl/>
          <w:lang w:bidi="he-IL"/>
        </w:rPr>
        <w:t xml:space="preserve">ינו שכל מה שאמרנו שטעם לפגם לא מקרי טעם, היינו כשאינו באותו ענין שהוא כשהוא בעינו, והיינו או משום שאינו פגום כל הצורך, או"ד שאפילו הוא לשבח בפני עצמו, מ"מ כשנכנס לתבשיל הרי הוא לפגם ולכן הוא בענין אחר ממה שהי' מקודם. אבל כשאותו טעם לפגם יש בעינו כמו שהוא בתערובת שפיר אפשר לומר דינא דטכ"ע אע"ג שהוא טעם לפגם. וע' בפר"ח רסי' ק"ג שכתב כה"ג. </w:t>
      </w:r>
    </w:p>
    <w:p w:rsidR="005975B7" w:rsidRPr="00882F11" w:rsidRDefault="008E7671" w:rsidP="005975B7">
      <w:pPr>
        <w:bidi/>
        <w:jc w:val="both"/>
        <w:rPr>
          <w:rFonts w:cs="Guttman Drogolin"/>
          <w:rtl/>
          <w:lang w:bidi="he-IL"/>
        </w:rPr>
      </w:pPr>
      <w:r w:rsidRPr="00882F11">
        <w:rPr>
          <w:rFonts w:cs="Guttman Drogolin" w:hint="cs"/>
          <w:rtl/>
          <w:lang w:bidi="he-IL"/>
        </w:rPr>
        <w:t>אמנם מרש"י לכאורה חזינן פירוש אחר.</w:t>
      </w:r>
      <w:r w:rsidR="00E163F1" w:rsidRPr="00882F11">
        <w:rPr>
          <w:rFonts w:cs="Guttman Drogolin" w:hint="cs"/>
          <w:rtl/>
          <w:lang w:bidi="he-IL"/>
        </w:rPr>
        <w:t xml:space="preserve"> </w:t>
      </w:r>
      <w:r w:rsidR="003E678F" w:rsidRPr="00882F11">
        <w:rPr>
          <w:rFonts w:cs="Guttman Drogolin" w:hint="cs"/>
          <w:rtl/>
          <w:lang w:bidi="he-IL"/>
        </w:rPr>
        <w:t xml:space="preserve">שהרי </w:t>
      </w:r>
      <w:r w:rsidR="00E163F1" w:rsidRPr="00882F11">
        <w:rPr>
          <w:rFonts w:cs="Guttman Drogolin" w:hint="cs"/>
          <w:rtl/>
          <w:lang w:bidi="he-IL"/>
        </w:rPr>
        <w:t xml:space="preserve">בהא דמאיסי ובדילי אינשי מיני' פירש שכוונת הגמ' לומר שהתורה לא הי' צריך לאסרו כיון שהוא מ"מ מאוס. כוונתו לגמ' למתני' שבסוף מס' מכות דרצה הקב"ה לזכות את ישראל ולפיכך הרבה להם תורה ומצות ופירש"י שם כגון איסור שקצים ורמשים שאדם קץ בהם. וכן הוא שם בענין איסור דם. וצ"ע למה לא פירש רש"י שהוא חידוש כמו שמצאנו חידוש בעלמא. ונראה דהנה במרומי שדה העיר במה שהסתפק רבה בשיטת רב אם אסר משום דנטל"פ אסור או"ד שנותן טעם לשבח הוא, דלכאורה ליטעמי' קפילא וכמו שהקשו התוס'. ותי' המרומי שדה, שלעולם זה הי' פשוט לחז"ל שאילו היו טועמים השקצים ורמשים מבלי </w:t>
      </w:r>
      <w:r w:rsidR="00E163F1" w:rsidRPr="00882F11">
        <w:rPr>
          <w:rFonts w:cs="Guttman Drogolin" w:hint="cs"/>
          <w:rtl/>
          <w:lang w:bidi="he-IL"/>
        </w:rPr>
        <w:lastRenderedPageBreak/>
        <w:t>לדעת מה הם הי' טעמם לשבח. רק כיון שהם 'מאוסים ובדילי אינשי מיני'" יש טעם לומר שזה עצמו עושהו לפגם. ולכן ספיקת רבא הוא ספק דינית, ור"ל שמצד א' עצם טעם החיך הוא טעם לשבח, ולכן יש צד להחשיבו בכלל נותן טעם לשבח. אבל ידיעת דבר זה שאוכל שקצים ורמשים הוא פגם, ולכן יש גם צד להחשיבו כנותן טעם לשבח. וא"כ י"ל דסבר רש"י שאי א</w:t>
      </w:r>
      <w:r w:rsidR="003F7A5A" w:rsidRPr="00882F11">
        <w:rPr>
          <w:rFonts w:cs="Guttman Drogolin" w:hint="cs"/>
          <w:rtl/>
          <w:lang w:bidi="he-IL"/>
        </w:rPr>
        <w:t>פשר לפרש כמו שפירשו התוס', דהא לא הרי פגם זה הרי היא פגם ב</w:t>
      </w:r>
      <w:r w:rsidR="00E163F1" w:rsidRPr="00882F11">
        <w:rPr>
          <w:rFonts w:cs="Guttman Drogolin" w:hint="cs"/>
          <w:rtl/>
          <w:lang w:bidi="he-IL"/>
        </w:rPr>
        <w:t xml:space="preserve">עלמא, </w:t>
      </w:r>
      <w:r w:rsidR="005975B7" w:rsidRPr="00882F11">
        <w:rPr>
          <w:rFonts w:cs="Guttman Drogolin" w:hint="cs"/>
          <w:rtl/>
          <w:lang w:bidi="he-IL"/>
        </w:rPr>
        <w:t>שבעלמא הוא ענין של טעימת החיך, ואילו הכא אינו אלא ענין של מאיס ובדילי אינשי מיני'. וכן לפי דבריו יהא הבנה אחרת למש"כ בגמ' שהטעמו של ר' ששת ש"בעלמא</w:t>
      </w:r>
      <w:r w:rsidR="005975B7" w:rsidRPr="00882F11">
        <w:rPr>
          <w:rFonts w:cs="Guttman Drogolin"/>
          <w:rtl/>
          <w:lang w:bidi="he-IL"/>
        </w:rPr>
        <w:t xml:space="preserve"> </w:t>
      </w:r>
      <w:r w:rsidR="005975B7" w:rsidRPr="00882F11">
        <w:rPr>
          <w:rFonts w:cs="Guttman Drogolin" w:hint="cs"/>
          <w:rtl/>
          <w:lang w:bidi="he-IL"/>
        </w:rPr>
        <w:t>סבר</w:t>
      </w:r>
      <w:r w:rsidR="005975B7" w:rsidRPr="00882F11">
        <w:rPr>
          <w:rFonts w:cs="Guttman Drogolin"/>
          <w:rtl/>
          <w:lang w:bidi="he-IL"/>
        </w:rPr>
        <w:t xml:space="preserve"> </w:t>
      </w:r>
      <w:r w:rsidR="005975B7" w:rsidRPr="00882F11">
        <w:rPr>
          <w:rFonts w:cs="Guttman Drogolin" w:hint="cs"/>
          <w:rtl/>
          <w:lang w:bidi="he-IL"/>
        </w:rPr>
        <w:t>רב</w:t>
      </w:r>
      <w:r w:rsidR="005975B7" w:rsidRPr="00882F11">
        <w:rPr>
          <w:rFonts w:cs="Guttman Drogolin"/>
          <w:rtl/>
          <w:lang w:bidi="he-IL"/>
        </w:rPr>
        <w:t xml:space="preserve"> </w:t>
      </w:r>
      <w:r w:rsidR="005975B7" w:rsidRPr="00882F11">
        <w:rPr>
          <w:rFonts w:cs="Guttman Drogolin" w:hint="cs"/>
          <w:rtl/>
          <w:lang w:bidi="he-IL"/>
        </w:rPr>
        <w:t>נט"ל</w:t>
      </w:r>
      <w:r w:rsidR="005975B7" w:rsidRPr="00882F11">
        <w:rPr>
          <w:rFonts w:cs="Guttman Drogolin"/>
          <w:rtl/>
          <w:lang w:bidi="he-IL"/>
        </w:rPr>
        <w:t xml:space="preserve"> </w:t>
      </w:r>
      <w:r w:rsidR="005975B7" w:rsidRPr="00882F11">
        <w:rPr>
          <w:rFonts w:cs="Guttman Drogolin" w:hint="cs"/>
          <w:rtl/>
          <w:lang w:bidi="he-IL"/>
        </w:rPr>
        <w:t>מותר</w:t>
      </w:r>
      <w:r w:rsidR="005975B7" w:rsidRPr="00882F11">
        <w:rPr>
          <w:rFonts w:cs="Guttman Drogolin"/>
          <w:rtl/>
          <w:lang w:bidi="he-IL"/>
        </w:rPr>
        <w:t xml:space="preserve"> </w:t>
      </w:r>
      <w:r w:rsidR="005975B7" w:rsidRPr="00882F11">
        <w:rPr>
          <w:rFonts w:cs="Guttman Drogolin" w:hint="cs"/>
          <w:rtl/>
          <w:lang w:bidi="he-IL"/>
        </w:rPr>
        <w:t>והכא</w:t>
      </w:r>
      <w:r w:rsidR="005975B7" w:rsidRPr="00882F11">
        <w:rPr>
          <w:rFonts w:cs="Guttman Drogolin"/>
          <w:rtl/>
          <w:lang w:bidi="he-IL"/>
        </w:rPr>
        <w:t xml:space="preserve"> </w:t>
      </w:r>
      <w:r w:rsidR="005975B7" w:rsidRPr="00882F11">
        <w:rPr>
          <w:rFonts w:cs="Guttman Drogolin" w:hint="cs"/>
          <w:rtl/>
          <w:lang w:bidi="he-IL"/>
        </w:rPr>
        <w:t>חידוש</w:t>
      </w:r>
      <w:r w:rsidR="005975B7" w:rsidRPr="00882F11">
        <w:rPr>
          <w:rFonts w:cs="Guttman Drogolin"/>
          <w:rtl/>
          <w:lang w:bidi="he-IL"/>
        </w:rPr>
        <w:t xml:space="preserve"> </w:t>
      </w:r>
      <w:r w:rsidR="005975B7" w:rsidRPr="00882F11">
        <w:rPr>
          <w:rFonts w:cs="Guttman Drogolin" w:hint="cs"/>
          <w:rtl/>
          <w:lang w:bidi="he-IL"/>
        </w:rPr>
        <w:t>הוא</w:t>
      </w:r>
      <w:r w:rsidR="005975B7" w:rsidRPr="00882F11">
        <w:rPr>
          <w:rFonts w:cs="Guttman Drogolin"/>
          <w:rtl/>
          <w:lang w:bidi="he-IL"/>
        </w:rPr>
        <w:t xml:space="preserve"> </w:t>
      </w:r>
      <w:r w:rsidR="005975B7" w:rsidRPr="00882F11">
        <w:rPr>
          <w:rFonts w:cs="Guttman Drogolin" w:hint="cs"/>
          <w:rtl/>
          <w:lang w:bidi="he-IL"/>
        </w:rPr>
        <w:t>דהא</w:t>
      </w:r>
      <w:r w:rsidR="005975B7" w:rsidRPr="00882F11">
        <w:rPr>
          <w:rFonts w:cs="Guttman Drogolin"/>
          <w:rtl/>
          <w:lang w:bidi="he-IL"/>
        </w:rPr>
        <w:t xml:space="preserve"> </w:t>
      </w:r>
      <w:r w:rsidR="005975B7" w:rsidRPr="00882F11">
        <w:rPr>
          <w:rFonts w:cs="Guttman Drogolin" w:hint="cs"/>
          <w:rtl/>
          <w:lang w:bidi="he-IL"/>
        </w:rPr>
        <w:t>מימאס</w:t>
      </w:r>
      <w:r w:rsidR="005975B7" w:rsidRPr="00882F11">
        <w:rPr>
          <w:rFonts w:cs="Guttman Drogolin"/>
          <w:rtl/>
          <w:lang w:bidi="he-IL"/>
        </w:rPr>
        <w:t xml:space="preserve"> </w:t>
      </w:r>
      <w:r w:rsidR="005975B7" w:rsidRPr="00882F11">
        <w:rPr>
          <w:rFonts w:cs="Guttman Drogolin" w:hint="cs"/>
          <w:rtl/>
          <w:lang w:bidi="he-IL"/>
        </w:rPr>
        <w:t>מאיס</w:t>
      </w:r>
      <w:r w:rsidR="005975B7" w:rsidRPr="00882F11">
        <w:rPr>
          <w:rFonts w:cs="Guttman Drogolin"/>
          <w:rtl/>
          <w:lang w:bidi="he-IL"/>
        </w:rPr>
        <w:t xml:space="preserve"> </w:t>
      </w:r>
      <w:r w:rsidR="005975B7" w:rsidRPr="00882F11">
        <w:rPr>
          <w:rFonts w:cs="Guttman Drogolin" w:hint="cs"/>
          <w:rtl/>
          <w:lang w:bidi="he-IL"/>
        </w:rPr>
        <w:t>ובדילי</w:t>
      </w:r>
      <w:r w:rsidR="005975B7" w:rsidRPr="00882F11">
        <w:rPr>
          <w:rFonts w:cs="Guttman Drogolin"/>
          <w:rtl/>
          <w:lang w:bidi="he-IL"/>
        </w:rPr>
        <w:t xml:space="preserve"> </w:t>
      </w:r>
      <w:r w:rsidR="005975B7" w:rsidRPr="00882F11">
        <w:rPr>
          <w:rFonts w:cs="Guttman Drogolin" w:hint="cs"/>
          <w:rtl/>
          <w:lang w:bidi="he-IL"/>
        </w:rPr>
        <w:t>אינשי</w:t>
      </w:r>
      <w:r w:rsidR="005975B7" w:rsidRPr="00882F11">
        <w:rPr>
          <w:rFonts w:cs="Guttman Drogolin"/>
          <w:rtl/>
          <w:lang w:bidi="he-IL"/>
        </w:rPr>
        <w:t xml:space="preserve"> </w:t>
      </w:r>
      <w:r w:rsidR="005975B7" w:rsidRPr="00882F11">
        <w:rPr>
          <w:rFonts w:cs="Guttman Drogolin" w:hint="cs"/>
          <w:rtl/>
          <w:lang w:bidi="he-IL"/>
        </w:rPr>
        <w:t>מיניה</w:t>
      </w:r>
      <w:r w:rsidR="005975B7" w:rsidRPr="00882F11">
        <w:rPr>
          <w:rFonts w:cs="Guttman Drogolin"/>
          <w:rtl/>
          <w:lang w:bidi="he-IL"/>
        </w:rPr>
        <w:t xml:space="preserve"> </w:t>
      </w:r>
      <w:r w:rsidR="005975B7" w:rsidRPr="00882F11">
        <w:rPr>
          <w:rFonts w:cs="Guttman Drogolin" w:hint="cs"/>
          <w:rtl/>
          <w:lang w:bidi="he-IL"/>
        </w:rPr>
        <w:t>ואפילו</w:t>
      </w:r>
      <w:r w:rsidR="005975B7" w:rsidRPr="00882F11">
        <w:rPr>
          <w:rFonts w:cs="Guttman Drogolin"/>
          <w:rtl/>
          <w:lang w:bidi="he-IL"/>
        </w:rPr>
        <w:t xml:space="preserve"> </w:t>
      </w:r>
      <w:r w:rsidR="005975B7" w:rsidRPr="00882F11">
        <w:rPr>
          <w:rFonts w:cs="Guttman Drogolin" w:hint="cs"/>
          <w:rtl/>
          <w:lang w:bidi="he-IL"/>
        </w:rPr>
        <w:t>הכי</w:t>
      </w:r>
      <w:r w:rsidR="005975B7" w:rsidRPr="00882F11">
        <w:rPr>
          <w:rFonts w:cs="Guttman Drogolin"/>
          <w:rtl/>
          <w:lang w:bidi="he-IL"/>
        </w:rPr>
        <w:t xml:space="preserve"> </w:t>
      </w:r>
      <w:r w:rsidR="005975B7" w:rsidRPr="00882F11">
        <w:rPr>
          <w:rFonts w:cs="Guttman Drogolin" w:hint="cs"/>
          <w:rtl/>
          <w:lang w:bidi="he-IL"/>
        </w:rPr>
        <w:t>אסריה</w:t>
      </w:r>
      <w:r w:rsidR="005975B7" w:rsidRPr="00882F11">
        <w:rPr>
          <w:rFonts w:cs="Guttman Drogolin"/>
          <w:rtl/>
          <w:lang w:bidi="he-IL"/>
        </w:rPr>
        <w:t xml:space="preserve"> </w:t>
      </w:r>
      <w:r w:rsidR="005975B7" w:rsidRPr="00882F11">
        <w:rPr>
          <w:rFonts w:cs="Guttman Drogolin" w:hint="cs"/>
          <w:rtl/>
          <w:lang w:bidi="he-IL"/>
        </w:rPr>
        <w:t>רחמנא</w:t>
      </w:r>
      <w:r w:rsidR="005975B7" w:rsidRPr="00882F11">
        <w:rPr>
          <w:rFonts w:cs="Guttman Drogolin"/>
          <w:rtl/>
          <w:lang w:bidi="he-IL"/>
        </w:rPr>
        <w:t xml:space="preserve"> </w:t>
      </w:r>
      <w:r w:rsidR="005975B7" w:rsidRPr="00882F11">
        <w:rPr>
          <w:rFonts w:cs="Guttman Drogolin" w:hint="cs"/>
          <w:rtl/>
          <w:lang w:bidi="he-IL"/>
        </w:rPr>
        <w:t>הלכך</w:t>
      </w:r>
      <w:r w:rsidR="005975B7" w:rsidRPr="00882F11">
        <w:rPr>
          <w:rFonts w:cs="Guttman Drogolin"/>
          <w:rtl/>
          <w:lang w:bidi="he-IL"/>
        </w:rPr>
        <w:t xml:space="preserve"> </w:t>
      </w:r>
      <w:r w:rsidR="005975B7" w:rsidRPr="00882F11">
        <w:rPr>
          <w:rFonts w:cs="Guttman Drogolin" w:hint="cs"/>
          <w:rtl/>
          <w:lang w:bidi="he-IL"/>
        </w:rPr>
        <w:t>נט"ל</w:t>
      </w:r>
      <w:r w:rsidR="005975B7" w:rsidRPr="00882F11">
        <w:rPr>
          <w:rFonts w:cs="Guttman Drogolin"/>
          <w:rtl/>
          <w:lang w:bidi="he-IL"/>
        </w:rPr>
        <w:t xml:space="preserve"> </w:t>
      </w:r>
      <w:r w:rsidR="005975B7" w:rsidRPr="00882F11">
        <w:rPr>
          <w:rFonts w:cs="Guttman Drogolin" w:hint="cs"/>
          <w:rtl/>
          <w:lang w:bidi="he-IL"/>
        </w:rPr>
        <w:t>נמי</w:t>
      </w:r>
      <w:r w:rsidR="005975B7" w:rsidRPr="00882F11">
        <w:rPr>
          <w:rFonts w:cs="Guttman Drogolin"/>
          <w:rtl/>
          <w:lang w:bidi="he-IL"/>
        </w:rPr>
        <w:t xml:space="preserve"> </w:t>
      </w:r>
      <w:r w:rsidR="005975B7" w:rsidRPr="00882F11">
        <w:rPr>
          <w:rFonts w:cs="Guttman Drogolin" w:hint="cs"/>
          <w:rtl/>
          <w:lang w:bidi="he-IL"/>
        </w:rPr>
        <w:t>אסור". שנטל"פ 'נמי' אסור, ור"ל שמעיקרא לא היתה נטל"פ אסור בעצם, רק הי' חידוש שאסור דברים מאוסים, רק כיון שהוא חידוש אפילו לשמוע חידוש נוסף של נטל"פ. ולפירושם של שאר הראשונים הנ"ל יש פירוש אחר, דכיון שהמאכל עצמו אסור, גם טעמו אסור.</w:t>
      </w:r>
    </w:p>
    <w:p w:rsidR="005776F1" w:rsidRPr="00882F11" w:rsidRDefault="005975B7" w:rsidP="00324CDD">
      <w:pPr>
        <w:bidi/>
        <w:jc w:val="both"/>
        <w:rPr>
          <w:rFonts w:cs="Guttman Drogolin"/>
          <w:rtl/>
          <w:lang w:bidi="he-IL"/>
        </w:rPr>
      </w:pPr>
      <w:r w:rsidRPr="00882F11">
        <w:rPr>
          <w:rFonts w:cs="Guttman Drogolin" w:hint="cs"/>
          <w:rtl/>
          <w:lang w:bidi="he-IL"/>
        </w:rPr>
        <w:t xml:space="preserve">ויעוין ברמב"ם </w:t>
      </w:r>
      <w:r w:rsidR="00FC0902" w:rsidRPr="00882F11">
        <w:rPr>
          <w:rFonts w:cs="Guttman Drogolin" w:hint="cs"/>
          <w:rtl/>
          <w:lang w:bidi="he-IL"/>
        </w:rPr>
        <w:t>פ"ב הכ"א מהל' מאכ"א "האוכל</w:t>
      </w:r>
      <w:r w:rsidR="00FC0902" w:rsidRPr="00882F11">
        <w:rPr>
          <w:rFonts w:cs="Guttman Drogolin"/>
          <w:rtl/>
          <w:lang w:bidi="he-IL"/>
        </w:rPr>
        <w:t xml:space="preserve"> </w:t>
      </w:r>
      <w:r w:rsidR="00FC0902" w:rsidRPr="00882F11">
        <w:rPr>
          <w:rFonts w:cs="Guttman Drogolin" w:hint="cs"/>
          <w:rtl/>
          <w:lang w:bidi="he-IL"/>
        </w:rPr>
        <w:t>בריה</w:t>
      </w:r>
      <w:r w:rsidR="00FC0902" w:rsidRPr="00882F11">
        <w:rPr>
          <w:rFonts w:cs="Guttman Drogolin"/>
          <w:rtl/>
          <w:lang w:bidi="he-IL"/>
        </w:rPr>
        <w:t xml:space="preserve"> </w:t>
      </w:r>
      <w:r w:rsidR="00FC0902" w:rsidRPr="00882F11">
        <w:rPr>
          <w:rFonts w:cs="Guttman Drogolin" w:hint="cs"/>
          <w:rtl/>
          <w:lang w:bidi="he-IL"/>
        </w:rPr>
        <w:t>טמאה</w:t>
      </w:r>
      <w:r w:rsidR="00FC0902" w:rsidRPr="00882F11">
        <w:rPr>
          <w:rFonts w:cs="Guttman Drogolin"/>
          <w:rtl/>
          <w:lang w:bidi="he-IL"/>
        </w:rPr>
        <w:t xml:space="preserve"> </w:t>
      </w:r>
      <w:r w:rsidR="00FC0902" w:rsidRPr="00882F11">
        <w:rPr>
          <w:rFonts w:cs="Guttman Drogolin" w:hint="cs"/>
          <w:rtl/>
          <w:lang w:bidi="he-IL"/>
        </w:rPr>
        <w:t>בפני</w:t>
      </w:r>
      <w:r w:rsidR="00FC0902" w:rsidRPr="00882F11">
        <w:rPr>
          <w:rFonts w:cs="Guttman Drogolin"/>
          <w:rtl/>
          <w:lang w:bidi="he-IL"/>
        </w:rPr>
        <w:t xml:space="preserve"> </w:t>
      </w:r>
      <w:r w:rsidR="00FC0902" w:rsidRPr="00882F11">
        <w:rPr>
          <w:rFonts w:cs="Guttman Drogolin" w:hint="cs"/>
          <w:rtl/>
          <w:lang w:bidi="he-IL"/>
        </w:rPr>
        <w:t>עצמה</w:t>
      </w:r>
      <w:r w:rsidR="00FC0902" w:rsidRPr="00882F11">
        <w:rPr>
          <w:rFonts w:cs="Guttman Drogolin"/>
          <w:rtl/>
          <w:lang w:bidi="he-IL"/>
        </w:rPr>
        <w:t xml:space="preserve"> </w:t>
      </w:r>
      <w:r w:rsidR="00FC0902" w:rsidRPr="00882F11">
        <w:rPr>
          <w:rFonts w:cs="Guttman Drogolin" w:hint="cs"/>
          <w:rtl/>
          <w:lang w:bidi="he-IL"/>
        </w:rPr>
        <w:t>כולה</w:t>
      </w:r>
      <w:r w:rsidR="00FC0902" w:rsidRPr="00882F11">
        <w:rPr>
          <w:rFonts w:cs="Guttman Drogolin"/>
          <w:rtl/>
          <w:lang w:bidi="he-IL"/>
        </w:rPr>
        <w:t xml:space="preserve"> </w:t>
      </w:r>
      <w:r w:rsidR="00FC0902" w:rsidRPr="00882F11">
        <w:rPr>
          <w:rFonts w:cs="Guttman Drogolin" w:hint="cs"/>
          <w:rtl/>
          <w:lang w:bidi="he-IL"/>
        </w:rPr>
        <w:t>הרי</w:t>
      </w:r>
      <w:r w:rsidR="00FC0902" w:rsidRPr="00882F11">
        <w:rPr>
          <w:rFonts w:cs="Guttman Drogolin"/>
          <w:rtl/>
          <w:lang w:bidi="he-IL"/>
        </w:rPr>
        <w:t xml:space="preserve"> </w:t>
      </w:r>
      <w:r w:rsidR="00FC0902" w:rsidRPr="00882F11">
        <w:rPr>
          <w:rFonts w:cs="Guttman Drogolin" w:hint="cs"/>
          <w:rtl/>
          <w:lang w:bidi="he-IL"/>
        </w:rPr>
        <w:t>זה</w:t>
      </w:r>
      <w:r w:rsidR="00FC0902" w:rsidRPr="00882F11">
        <w:rPr>
          <w:rFonts w:cs="Guttman Drogolin"/>
          <w:rtl/>
          <w:lang w:bidi="he-IL"/>
        </w:rPr>
        <w:t xml:space="preserve"> </w:t>
      </w:r>
      <w:r w:rsidR="00FC0902" w:rsidRPr="00882F11">
        <w:rPr>
          <w:rFonts w:cs="Guttman Drogolin" w:hint="cs"/>
          <w:rtl/>
          <w:lang w:bidi="he-IL"/>
        </w:rPr>
        <w:t>לוקה</w:t>
      </w:r>
      <w:r w:rsidR="00FC0902" w:rsidRPr="00882F11">
        <w:rPr>
          <w:rFonts w:cs="Guttman Drogolin"/>
          <w:rtl/>
          <w:lang w:bidi="he-IL"/>
        </w:rPr>
        <w:t xml:space="preserve"> </w:t>
      </w:r>
      <w:r w:rsidR="00FC0902" w:rsidRPr="00882F11">
        <w:rPr>
          <w:rFonts w:cs="Guttman Drogolin" w:hint="cs"/>
          <w:rtl/>
          <w:lang w:bidi="he-IL"/>
        </w:rPr>
        <w:t>מן</w:t>
      </w:r>
      <w:r w:rsidR="00FC0902" w:rsidRPr="00882F11">
        <w:rPr>
          <w:rFonts w:cs="Guttman Drogolin"/>
          <w:rtl/>
          <w:lang w:bidi="he-IL"/>
        </w:rPr>
        <w:t xml:space="preserve"> </w:t>
      </w:r>
      <w:r w:rsidR="00FC0902" w:rsidRPr="00882F11">
        <w:rPr>
          <w:rFonts w:cs="Guttman Drogolin" w:hint="cs"/>
          <w:rtl/>
          <w:lang w:bidi="he-IL"/>
        </w:rPr>
        <w:t>התורה</w:t>
      </w:r>
      <w:r w:rsidR="00FC0902" w:rsidRPr="00882F11">
        <w:rPr>
          <w:rFonts w:cs="Guttman Drogolin"/>
          <w:rtl/>
          <w:lang w:bidi="he-IL"/>
        </w:rPr>
        <w:t xml:space="preserve"> </w:t>
      </w:r>
      <w:r w:rsidR="00FC0902" w:rsidRPr="00882F11">
        <w:rPr>
          <w:rFonts w:cs="Guttman Drogolin" w:hint="cs"/>
          <w:rtl/>
          <w:lang w:bidi="he-IL"/>
        </w:rPr>
        <w:t>וכו'</w:t>
      </w:r>
      <w:r w:rsidR="00FC0902" w:rsidRPr="00882F11">
        <w:rPr>
          <w:rFonts w:cs="Guttman Drogolin"/>
          <w:rtl/>
          <w:lang w:bidi="he-IL"/>
        </w:rPr>
        <w:t xml:space="preserve"> </w:t>
      </w:r>
      <w:r w:rsidR="00FC0902" w:rsidRPr="00882F11">
        <w:rPr>
          <w:rFonts w:cs="Guttman Drogolin" w:hint="cs"/>
          <w:rtl/>
          <w:lang w:bidi="he-IL"/>
        </w:rPr>
        <w:t>ואפילו</w:t>
      </w:r>
      <w:r w:rsidR="00FC0902" w:rsidRPr="00882F11">
        <w:rPr>
          <w:rFonts w:cs="Guttman Drogolin"/>
          <w:rtl/>
          <w:lang w:bidi="he-IL"/>
        </w:rPr>
        <w:t xml:space="preserve"> </w:t>
      </w:r>
      <w:r w:rsidR="00FC0902" w:rsidRPr="00882F11">
        <w:rPr>
          <w:rFonts w:cs="Guttman Drogolin" w:hint="cs"/>
          <w:rtl/>
          <w:lang w:bidi="he-IL"/>
        </w:rPr>
        <w:t>סרחה</w:t>
      </w:r>
      <w:r w:rsidR="00FC0902" w:rsidRPr="00882F11">
        <w:rPr>
          <w:rFonts w:cs="Guttman Drogolin"/>
          <w:rtl/>
          <w:lang w:bidi="he-IL"/>
        </w:rPr>
        <w:t xml:space="preserve"> </w:t>
      </w:r>
      <w:r w:rsidR="00FC0902" w:rsidRPr="00882F11">
        <w:rPr>
          <w:rFonts w:cs="Guttman Drogolin" w:hint="cs"/>
          <w:rtl/>
          <w:lang w:bidi="he-IL"/>
        </w:rPr>
        <w:t>הבריה</w:t>
      </w:r>
      <w:r w:rsidR="00FC0902" w:rsidRPr="00882F11">
        <w:rPr>
          <w:rFonts w:cs="Guttman Drogolin"/>
          <w:rtl/>
          <w:lang w:bidi="he-IL"/>
        </w:rPr>
        <w:t xml:space="preserve"> </w:t>
      </w:r>
      <w:r w:rsidR="00FC0902" w:rsidRPr="00882F11">
        <w:rPr>
          <w:rFonts w:cs="Guttman Drogolin" w:hint="cs"/>
          <w:rtl/>
          <w:lang w:bidi="he-IL"/>
        </w:rPr>
        <w:t>ונשתנית</w:t>
      </w:r>
      <w:r w:rsidR="00FC0902" w:rsidRPr="00882F11">
        <w:rPr>
          <w:rFonts w:cs="Guttman Drogolin"/>
          <w:rtl/>
          <w:lang w:bidi="he-IL"/>
        </w:rPr>
        <w:t xml:space="preserve"> </w:t>
      </w:r>
      <w:r w:rsidR="00FC0902" w:rsidRPr="00882F11">
        <w:rPr>
          <w:rFonts w:cs="Guttman Drogolin" w:hint="cs"/>
          <w:rtl/>
          <w:lang w:bidi="he-IL"/>
        </w:rPr>
        <w:t>צורתה</w:t>
      </w:r>
      <w:r w:rsidR="00FC0902" w:rsidRPr="00882F11">
        <w:rPr>
          <w:rFonts w:cs="Guttman Drogolin"/>
          <w:rtl/>
          <w:lang w:bidi="he-IL"/>
        </w:rPr>
        <w:t xml:space="preserve"> </w:t>
      </w:r>
      <w:r w:rsidR="00FC0902" w:rsidRPr="00882F11">
        <w:rPr>
          <w:rFonts w:cs="Guttman Drogolin" w:hint="cs"/>
          <w:rtl/>
          <w:lang w:bidi="he-IL"/>
        </w:rPr>
        <w:t>הואיל</w:t>
      </w:r>
      <w:r w:rsidR="00FC0902" w:rsidRPr="00882F11">
        <w:rPr>
          <w:rFonts w:cs="Guttman Drogolin"/>
          <w:rtl/>
          <w:lang w:bidi="he-IL"/>
        </w:rPr>
        <w:t xml:space="preserve"> </w:t>
      </w:r>
      <w:r w:rsidR="00FC0902" w:rsidRPr="00882F11">
        <w:rPr>
          <w:rFonts w:cs="Guttman Drogolin" w:hint="cs"/>
          <w:rtl/>
          <w:lang w:bidi="he-IL"/>
        </w:rPr>
        <w:t>ואכלה</w:t>
      </w:r>
      <w:r w:rsidR="00FC0902" w:rsidRPr="00882F11">
        <w:rPr>
          <w:rFonts w:cs="Guttman Drogolin"/>
          <w:rtl/>
          <w:lang w:bidi="he-IL"/>
        </w:rPr>
        <w:t xml:space="preserve"> </w:t>
      </w:r>
      <w:r w:rsidR="00FC0902" w:rsidRPr="00882F11">
        <w:rPr>
          <w:rFonts w:cs="Guttman Drogolin" w:hint="cs"/>
          <w:rtl/>
          <w:lang w:bidi="he-IL"/>
        </w:rPr>
        <w:t>כולה</w:t>
      </w:r>
      <w:r w:rsidR="00FC0902" w:rsidRPr="00882F11">
        <w:rPr>
          <w:rFonts w:cs="Guttman Drogolin"/>
          <w:rtl/>
          <w:lang w:bidi="he-IL"/>
        </w:rPr>
        <w:t xml:space="preserve"> </w:t>
      </w:r>
      <w:r w:rsidR="00FC0902" w:rsidRPr="00882F11">
        <w:rPr>
          <w:rFonts w:cs="Guttman Drogolin" w:hint="cs"/>
          <w:rtl/>
          <w:lang w:bidi="he-IL"/>
        </w:rPr>
        <w:t xml:space="preserve">לוקה". ושם בהרה"מ </w:t>
      </w:r>
      <w:r w:rsidR="00324CDD" w:rsidRPr="00882F11">
        <w:rPr>
          <w:rFonts w:cs="Guttman Drogolin" w:hint="cs"/>
          <w:rtl/>
          <w:lang w:bidi="he-IL"/>
        </w:rPr>
        <w:t>הקשה על הרמב"ם דהא אם סרחה הי' צ</w:t>
      </w:r>
      <w:r w:rsidR="00FC0902" w:rsidRPr="00882F11">
        <w:rPr>
          <w:rFonts w:cs="Guttman Drogolin" w:hint="cs"/>
          <w:rtl/>
          <w:lang w:bidi="he-IL"/>
        </w:rPr>
        <w:t xml:space="preserve">ריך להיות מותר מדין נבילה שאינה ראוי' לגר. והפר"ח ברסי' ק"ג ביאר בדעת הרמב"ם דמיירי בעכבר וכדומה, דהא איכא למימר דמיירי בעכבר שחייבין עליו אע"ג דמאיס. ואיכא למימר שגם הרה"מ מודה לעצם הדין, רק שסתימת לשון הרמב"ם משמע שכן הוא בכל הבריות, ולכן פי' הרה"מ דמיירי שלא נסרח כולי האי שאינו </w:t>
      </w:r>
      <w:r w:rsidR="00324CDD" w:rsidRPr="00882F11">
        <w:rPr>
          <w:rFonts w:cs="Guttman Drogolin" w:hint="cs"/>
          <w:rtl/>
          <w:lang w:bidi="he-IL"/>
        </w:rPr>
        <w:t>ר</w:t>
      </w:r>
      <w:r w:rsidR="00FC0902" w:rsidRPr="00882F11">
        <w:rPr>
          <w:rFonts w:cs="Guttman Drogolin" w:hint="cs"/>
          <w:rtl/>
          <w:lang w:bidi="he-IL"/>
        </w:rPr>
        <w:t xml:space="preserve">אוי' לגר. אבל י"א בדעתו דסבר שאפילו עכבר אם נפגם עד שאינה ראוי' לגר מותר. ולכאורה אפשר לפרש את טעם הדבר בב' אנפי ע"פ הנ"ל. דאיכא למימר שאמנם התורה אסרה טעם לפגם, היינו אותו טעם לפגם שיש לו מתחילת ברייתו, אבל טעם חדש לפגם אסור. ולכן יהא הדין שבליעה של עכבר שאינה בת יומא יהא מותר אפילו למי שאסר עכברא </w:t>
      </w:r>
      <w:r w:rsidR="00FC0902" w:rsidRPr="00882F11">
        <w:rPr>
          <w:rFonts w:cs="Guttman Drogolin" w:hint="cs"/>
          <w:rtl/>
          <w:lang w:bidi="he-IL"/>
        </w:rPr>
        <w:lastRenderedPageBreak/>
        <w:t xml:space="preserve">בשכרא למ"ד נטל"פ בעלמא מותר. כן נראה לומר לשיטת התוס' וסייעתו הנ"ל. ולרש"י לכאורה אפשר לשמוע דברי הפר"ח יותר, שזהו מה שרצו ללמוד מזה דמאיסי ובדילי אינשי מיני', שגם שאר טעם פגום והה"נ עכבר סרוח. אבל י"ל גם לשיטת התוס' כמש"כ הפר"ח, שמ"מ התורה אסרה נטל"פ ומאי שנא האי פגם מהאי פגם. וכן לשיטת רש"י אפשר לומר דלא כפר"ח, </w:t>
      </w:r>
      <w:r w:rsidR="005776F1" w:rsidRPr="00882F11">
        <w:rPr>
          <w:rFonts w:cs="Guttman Drogolin" w:hint="cs"/>
          <w:rtl/>
          <w:lang w:bidi="he-IL"/>
        </w:rPr>
        <w:t>דאע"ג שאסרו נטל"פ, היינו טעמו הטבעי וכמו שאסרו גופו אע"פ שבטבעו מאיס ובדילי אינשי מיני', אבל טעם אחר לא.</w:t>
      </w:r>
    </w:p>
    <w:p w:rsidR="008012C2" w:rsidRPr="00882F11" w:rsidRDefault="008012C2" w:rsidP="0078079C">
      <w:pPr>
        <w:pStyle w:val="Heading1"/>
        <w:bidi/>
        <w:spacing w:before="0" w:line="360" w:lineRule="auto"/>
        <w:jc w:val="center"/>
        <w:rPr>
          <w:rFonts w:cs="Guttman Drogolin"/>
          <w:color w:val="auto"/>
          <w:sz w:val="24"/>
          <w:szCs w:val="24"/>
          <w:u w:val="single"/>
          <w:rtl/>
          <w:lang w:bidi="he-IL"/>
        </w:rPr>
      </w:pPr>
      <w:bookmarkStart w:id="140" w:name="_Toc496175398"/>
      <w:r w:rsidRPr="00882F11">
        <w:rPr>
          <w:rFonts w:cs="Guttman Drogolin" w:hint="cs"/>
          <w:color w:val="auto"/>
          <w:sz w:val="24"/>
          <w:szCs w:val="24"/>
          <w:u w:val="single"/>
          <w:rtl/>
          <w:lang w:bidi="he-IL"/>
        </w:rPr>
        <w:t>אימרטוטי אימטט</w:t>
      </w:r>
      <w:bookmarkEnd w:id="140"/>
    </w:p>
    <w:p w:rsidR="008012C2" w:rsidRPr="00882F11" w:rsidRDefault="00B34B28" w:rsidP="00462BFE">
      <w:pPr>
        <w:bidi/>
        <w:jc w:val="both"/>
        <w:rPr>
          <w:rFonts w:cs="Guttman Drogolin"/>
          <w:rtl/>
          <w:lang w:bidi="he-IL"/>
        </w:rPr>
      </w:pPr>
      <w:r>
        <w:rPr>
          <w:rFonts w:cs="Guttman Drogolin"/>
          <w:rtl/>
          <w:lang w:bidi="he-IL"/>
        </w:rPr>
        <w:fldChar w:fldCharType="begin"/>
      </w:r>
      <w:r>
        <w:instrText xml:space="preserve"> XE "</w:instrText>
      </w:r>
      <w:r w:rsidRPr="00572E4D">
        <w:rPr>
          <w:rFonts w:hint="cs"/>
          <w:rtl/>
          <w:lang w:bidi="he-IL"/>
        </w:rPr>
        <w:instrText>נותן טעם לפגם</w:instrText>
      </w:r>
      <w:r w:rsidRPr="00572E4D">
        <w:rPr>
          <w:rtl/>
        </w:rPr>
        <w:instrText>:</w:instrText>
      </w:r>
      <w:r w:rsidRPr="00572E4D">
        <w:rPr>
          <w:rFonts w:hint="cs"/>
          <w:rtl/>
          <w:lang w:bidi="he-IL"/>
        </w:rPr>
        <w:instrText>אימרטוטי אימרטט</w:instrText>
      </w:r>
      <w:r>
        <w:instrText xml:space="preserve">" </w:instrText>
      </w:r>
      <w:r>
        <w:rPr>
          <w:rFonts w:cs="Guttman Drogolin"/>
          <w:rtl/>
          <w:lang w:bidi="he-IL"/>
        </w:rPr>
        <w:fldChar w:fldCharType="end"/>
      </w:r>
      <w:r w:rsidR="00462BFE">
        <w:rPr>
          <w:rFonts w:cs="Guttman Drogolin"/>
          <w:rtl/>
          <w:lang w:bidi="he-IL"/>
        </w:rPr>
        <w:fldChar w:fldCharType="begin"/>
      </w:r>
      <w:r w:rsidR="00462BFE">
        <w:instrText xml:space="preserve"> XE "</w:instrText>
      </w:r>
      <w:r w:rsidR="00462BFE" w:rsidRPr="002D62C8">
        <w:rPr>
          <w:rFonts w:hint="cs"/>
          <w:rtl/>
          <w:lang w:bidi="he-IL"/>
        </w:rPr>
        <w:instrText>ביטול ברוב</w:instrText>
      </w:r>
      <w:r w:rsidR="00462BFE" w:rsidRPr="002D62C8">
        <w:rPr>
          <w:rtl/>
        </w:rPr>
        <w:instrText>:</w:instrText>
      </w:r>
      <w:r w:rsidR="00462BFE" w:rsidRPr="002D62C8">
        <w:rPr>
          <w:rFonts w:hint="cs"/>
          <w:rtl/>
          <w:lang w:bidi="he-IL"/>
        </w:rPr>
        <w:instrText>בחתיכות דקות שקשה לבררם</w:instrText>
      </w:r>
      <w:r w:rsidR="00462BFE">
        <w:instrText xml:space="preserve">" </w:instrText>
      </w:r>
      <w:r w:rsidR="00462BFE">
        <w:rPr>
          <w:rFonts w:cs="Guttman Drogolin"/>
          <w:rtl/>
          <w:lang w:bidi="he-IL"/>
        </w:rPr>
        <w:fldChar w:fldCharType="end"/>
      </w:r>
      <w:r w:rsidR="008012C2" w:rsidRPr="00882F11">
        <w:rPr>
          <w:rFonts w:cs="Guttman Drogolin" w:hint="cs"/>
          <w:rtl/>
          <w:lang w:bidi="he-IL"/>
        </w:rPr>
        <w:t>הגמ' בהמשך דן אם הדין שנאמר בעכברא בשיכרא נאמרה גם בעכברא בחלא. והגמ' ר</w:t>
      </w:r>
      <w:r w:rsidR="00462BFE">
        <w:rPr>
          <w:rFonts w:cs="Guttman Drogolin" w:hint="cs"/>
          <w:rtl/>
          <w:lang w:bidi="he-IL"/>
        </w:rPr>
        <w:t>צ</w:t>
      </w:r>
      <w:r w:rsidR="008012C2" w:rsidRPr="00882F11">
        <w:rPr>
          <w:rFonts w:cs="Guttman Drogolin" w:hint="cs"/>
          <w:rtl/>
          <w:lang w:bidi="he-IL"/>
        </w:rPr>
        <w:t>תה מעיקרא להביא ראי' שאסור ממעשה שהי' כה"ג ואסרי' ר' כהנא. והגמ' דוחה דשאני התם דאירמטוטי אימרטט. ופירש"י "אימרטוטי</w:t>
      </w:r>
      <w:r w:rsidR="008012C2" w:rsidRPr="00882F11">
        <w:rPr>
          <w:rFonts w:cs="Guttman Drogolin"/>
          <w:rtl/>
          <w:lang w:bidi="he-IL"/>
        </w:rPr>
        <w:t xml:space="preserve"> </w:t>
      </w:r>
      <w:r w:rsidR="008012C2" w:rsidRPr="00882F11">
        <w:rPr>
          <w:rFonts w:cs="Guttman Drogolin" w:hint="cs"/>
          <w:rtl/>
          <w:lang w:bidi="he-IL"/>
        </w:rPr>
        <w:t>אימרטט</w:t>
      </w:r>
      <w:r w:rsidR="008012C2" w:rsidRPr="00882F11">
        <w:rPr>
          <w:rFonts w:cs="Guttman Drogolin"/>
          <w:rtl/>
          <w:lang w:bidi="he-IL"/>
        </w:rPr>
        <w:t xml:space="preserve"> </w:t>
      </w:r>
      <w:r w:rsidR="008012C2" w:rsidRPr="00882F11">
        <w:rPr>
          <w:rFonts w:cs="Guttman Drogolin" w:hint="cs"/>
          <w:rtl/>
          <w:lang w:bidi="he-IL"/>
        </w:rPr>
        <w:t>לחתיכות</w:t>
      </w:r>
      <w:r w:rsidR="008012C2" w:rsidRPr="00882F11">
        <w:rPr>
          <w:rFonts w:cs="Guttman Drogolin"/>
          <w:rtl/>
          <w:lang w:bidi="he-IL"/>
        </w:rPr>
        <w:t xml:space="preserve"> </w:t>
      </w:r>
      <w:r w:rsidR="008012C2" w:rsidRPr="00882F11">
        <w:rPr>
          <w:rFonts w:cs="Guttman Drogolin" w:hint="cs"/>
          <w:rtl/>
          <w:lang w:bidi="he-IL"/>
        </w:rPr>
        <w:t>דקות</w:t>
      </w:r>
      <w:r w:rsidR="008012C2" w:rsidRPr="00882F11">
        <w:rPr>
          <w:rFonts w:cs="Guttman Drogolin"/>
          <w:rtl/>
          <w:lang w:bidi="he-IL"/>
        </w:rPr>
        <w:t xml:space="preserve"> </w:t>
      </w:r>
      <w:r w:rsidR="008012C2" w:rsidRPr="00882F11">
        <w:rPr>
          <w:rFonts w:cs="Guttman Drogolin" w:hint="cs"/>
          <w:rtl/>
          <w:lang w:bidi="he-IL"/>
        </w:rPr>
        <w:t>קטנות</w:t>
      </w:r>
      <w:r w:rsidR="008012C2" w:rsidRPr="00882F11">
        <w:rPr>
          <w:rFonts w:cs="Guttman Drogolin"/>
          <w:rtl/>
          <w:lang w:bidi="he-IL"/>
        </w:rPr>
        <w:t xml:space="preserve"> </w:t>
      </w:r>
      <w:r w:rsidR="008012C2" w:rsidRPr="00882F11">
        <w:rPr>
          <w:rFonts w:cs="Guttman Drogolin" w:hint="cs"/>
          <w:rtl/>
          <w:lang w:bidi="he-IL"/>
        </w:rPr>
        <w:t>ושרץ</w:t>
      </w:r>
      <w:r w:rsidR="008012C2" w:rsidRPr="00882F11">
        <w:rPr>
          <w:rFonts w:cs="Guttman Drogolin"/>
          <w:rtl/>
          <w:lang w:bidi="he-IL"/>
        </w:rPr>
        <w:t xml:space="preserve"> </w:t>
      </w:r>
      <w:r w:rsidR="008012C2" w:rsidRPr="00882F11">
        <w:rPr>
          <w:rFonts w:cs="Guttman Drogolin" w:hint="cs"/>
          <w:rtl/>
          <w:lang w:bidi="he-IL"/>
        </w:rPr>
        <w:t>איסורו</w:t>
      </w:r>
      <w:r w:rsidR="008012C2" w:rsidRPr="00882F11">
        <w:rPr>
          <w:rFonts w:cs="Guttman Drogolin"/>
          <w:rtl/>
          <w:lang w:bidi="he-IL"/>
        </w:rPr>
        <w:t xml:space="preserve"> </w:t>
      </w:r>
      <w:r w:rsidR="008012C2" w:rsidRPr="00882F11">
        <w:rPr>
          <w:rFonts w:cs="Guttman Drogolin" w:hint="cs"/>
          <w:rtl/>
          <w:lang w:bidi="he-IL"/>
        </w:rPr>
        <w:t>בכעדשה</w:t>
      </w:r>
      <w:r w:rsidR="008012C2" w:rsidRPr="00882F11">
        <w:rPr>
          <w:rFonts w:cs="Guttman Drogolin"/>
          <w:rtl/>
          <w:lang w:bidi="he-IL"/>
        </w:rPr>
        <w:t xml:space="preserve"> </w:t>
      </w:r>
      <w:r w:rsidR="008012C2" w:rsidRPr="00882F11">
        <w:rPr>
          <w:rFonts w:cs="Guttman Drogolin" w:hint="cs"/>
          <w:rtl/>
          <w:lang w:bidi="he-IL"/>
        </w:rPr>
        <w:t>כטומאתו</w:t>
      </w:r>
      <w:r w:rsidR="008012C2" w:rsidRPr="00882F11">
        <w:rPr>
          <w:rFonts w:cs="Guttman Drogolin"/>
          <w:rtl/>
          <w:lang w:bidi="he-IL"/>
        </w:rPr>
        <w:t xml:space="preserve"> </w:t>
      </w:r>
      <w:r w:rsidR="008012C2" w:rsidRPr="00882F11">
        <w:rPr>
          <w:rFonts w:cs="Guttman Drogolin" w:hint="cs"/>
          <w:rtl/>
          <w:lang w:bidi="he-IL"/>
        </w:rPr>
        <w:t>וחיישינן</w:t>
      </w:r>
      <w:r w:rsidR="008012C2" w:rsidRPr="00882F11">
        <w:rPr>
          <w:rFonts w:cs="Guttman Drogolin"/>
          <w:rtl/>
          <w:lang w:bidi="he-IL"/>
        </w:rPr>
        <w:t xml:space="preserve"> </w:t>
      </w:r>
      <w:r w:rsidR="008012C2" w:rsidRPr="00882F11">
        <w:rPr>
          <w:rFonts w:cs="Guttman Drogolin" w:hint="cs"/>
          <w:rtl/>
          <w:lang w:bidi="he-IL"/>
        </w:rPr>
        <w:t>דלמא</w:t>
      </w:r>
      <w:r w:rsidR="008012C2" w:rsidRPr="00882F11">
        <w:rPr>
          <w:rFonts w:cs="Guttman Drogolin"/>
          <w:rtl/>
          <w:lang w:bidi="he-IL"/>
        </w:rPr>
        <w:t xml:space="preserve"> </w:t>
      </w:r>
      <w:r w:rsidR="008012C2" w:rsidRPr="00882F11">
        <w:rPr>
          <w:rFonts w:cs="Guttman Drogolin" w:hint="cs"/>
          <w:rtl/>
          <w:lang w:bidi="he-IL"/>
        </w:rPr>
        <w:t>בולע</w:t>
      </w:r>
      <w:r w:rsidR="008012C2" w:rsidRPr="00882F11">
        <w:rPr>
          <w:rFonts w:cs="Guttman Drogolin"/>
          <w:rtl/>
          <w:lang w:bidi="he-IL"/>
        </w:rPr>
        <w:t xml:space="preserve"> </w:t>
      </w:r>
      <w:r w:rsidR="008012C2" w:rsidRPr="00882F11">
        <w:rPr>
          <w:rFonts w:cs="Guttman Drogolin" w:hint="cs"/>
          <w:rtl/>
          <w:lang w:bidi="he-IL"/>
        </w:rPr>
        <w:t>חתיכות</w:t>
      </w:r>
      <w:r w:rsidR="008012C2" w:rsidRPr="00882F11">
        <w:rPr>
          <w:rFonts w:cs="Guttman Drogolin"/>
          <w:rtl/>
          <w:lang w:bidi="he-IL"/>
        </w:rPr>
        <w:t xml:space="preserve"> </w:t>
      </w:r>
      <w:r w:rsidR="008012C2" w:rsidRPr="00882F11">
        <w:rPr>
          <w:rFonts w:cs="Guttman Drogolin" w:hint="cs"/>
          <w:rtl/>
          <w:lang w:bidi="he-IL"/>
        </w:rPr>
        <w:t>שרץ</w:t>
      </w:r>
      <w:r w:rsidR="008012C2" w:rsidRPr="00882F11">
        <w:rPr>
          <w:rFonts w:cs="Guttman Drogolin"/>
          <w:rtl/>
          <w:lang w:bidi="he-IL"/>
        </w:rPr>
        <w:t xml:space="preserve"> </w:t>
      </w:r>
      <w:r w:rsidR="008012C2" w:rsidRPr="00882F11">
        <w:rPr>
          <w:rFonts w:cs="Guttman Drogolin" w:hint="cs"/>
          <w:rtl/>
          <w:lang w:bidi="he-IL"/>
        </w:rPr>
        <w:t>בהדי</w:t>
      </w:r>
      <w:r w:rsidR="008012C2" w:rsidRPr="00882F11">
        <w:rPr>
          <w:rFonts w:cs="Guttman Drogolin"/>
          <w:rtl/>
          <w:lang w:bidi="he-IL"/>
        </w:rPr>
        <w:t xml:space="preserve"> </w:t>
      </w:r>
      <w:r w:rsidR="008012C2" w:rsidRPr="00882F11">
        <w:rPr>
          <w:rFonts w:cs="Guttman Drogolin" w:hint="cs"/>
          <w:rtl/>
          <w:lang w:bidi="he-IL"/>
        </w:rPr>
        <w:t>חומץ". ובר"ן ועוד ראשונים הקשו עליו דמה איכפת לן בזה שאיסורו במשהו, הא בשאר איסורים שאין איסורם במשהו ג"כ קיי"ל כר' יוחנן דחצי שיעור אסור מן התורה. ומשו"ה פירשו הענין של אמרטוטי אימרטט בענין אחר, והוא שהוסר צמרו וממילא הי' נותן טעם לשבח, ע' בדבריהם ב' מהלכים בזה.</w:t>
      </w:r>
    </w:p>
    <w:p w:rsidR="008012C2" w:rsidRPr="00882F11" w:rsidRDefault="008012C2" w:rsidP="008012C2">
      <w:pPr>
        <w:bidi/>
        <w:jc w:val="both"/>
        <w:rPr>
          <w:rFonts w:cs="Guttman Drogolin"/>
          <w:rtl/>
          <w:lang w:bidi="he-IL"/>
        </w:rPr>
      </w:pPr>
      <w:r w:rsidRPr="00882F11">
        <w:rPr>
          <w:rFonts w:cs="Guttman Drogolin" w:hint="cs"/>
          <w:rtl/>
          <w:lang w:bidi="he-IL"/>
        </w:rPr>
        <w:t xml:space="preserve">עוד הקשה הר"ן אשיטת רש"י דלמה לא יוציא את החתיכות של עכבר עם מסננת. ובטור ושו"ע כתבו דמיירי במאכל עב שאי אפשר להוציאו במסננת. ומ"מ אע"ג שהוא מעורב ואי אפשר להוציאו במסננת הרי הוא אסור. ולכאורה הי' נראה שמשמע מזה חידוש בהלכות תערובת, והוא שאם התערב ב' דברים ביחד, אע"פ שאפשר להכיר את האיסור כשיגשנו, כיון שאי אפשר להוציאו אלא ע"י טירחא גדולה שאין כאן ביטול. אמנם דקדוק לשון רש"י משמע שאין זה נכון, ורק בגלל שאיסורו בכעדשה יש לאסור, אבל זה עצמו שהוא מעורב במאכל עב אינו טעם לומר שאינו בטל. ולענין הא דמהני זה ששיעורו בכעדשה, ע' ביאור הגר"א שחידש שהוא על דרך החידוש של </w:t>
      </w:r>
      <w:r w:rsidRPr="00882F11">
        <w:rPr>
          <w:rFonts w:cs="Guttman Drogolin" w:hint="cs"/>
          <w:rtl/>
          <w:lang w:bidi="he-IL"/>
        </w:rPr>
        <w:lastRenderedPageBreak/>
        <w:t>ברי', דכמו שראינו בראשונים שהדין ברי' לענין שיעור לחיוב מלקות והדין ברי' לענין ביטול שוין, הה"נ שדבר ששיערו פחות לענין מלקות ג"כ לא בטיל בשיעור זה. באופן שיהא מוכח להיפך, שרק בגלל זה אינו בטל, אבל שארי הדברים בטלים. וע' בס' בדיקת המזין כהלכתו (עמ' 135) שהביא מהגרשז"א והגריש"א זצ"ל להקל בתערובת כזה.</w:t>
      </w:r>
    </w:p>
    <w:p w:rsidR="005975B7" w:rsidRPr="00882F11" w:rsidRDefault="00FC0902" w:rsidP="005776F1">
      <w:pPr>
        <w:bidi/>
        <w:jc w:val="both"/>
        <w:rPr>
          <w:rFonts w:cs="Guttman Drogolin"/>
          <w:rtl/>
          <w:lang w:bidi="he-IL"/>
        </w:rPr>
      </w:pPr>
      <w:r w:rsidRPr="00882F11">
        <w:rPr>
          <w:rFonts w:cs="Guttman Drogolin" w:hint="cs"/>
          <w:rtl/>
          <w:lang w:bidi="he-IL"/>
        </w:rPr>
        <w:t xml:space="preserve"> </w:t>
      </w:r>
    </w:p>
    <w:p w:rsidR="005975B7" w:rsidRPr="00882F11" w:rsidRDefault="005975B7" w:rsidP="005975B7">
      <w:pPr>
        <w:bidi/>
        <w:jc w:val="both"/>
        <w:rPr>
          <w:rFonts w:cs="Guttman Drogolin"/>
          <w:rtl/>
          <w:lang w:bidi="he-IL"/>
        </w:rPr>
        <w:sectPr w:rsidR="005975B7" w:rsidRPr="00882F11" w:rsidSect="00615FF2">
          <w:type w:val="continuous"/>
          <w:pgSz w:w="11907" w:h="16839" w:code="9"/>
          <w:pgMar w:top="1440" w:right="1440" w:bottom="1440" w:left="1440" w:header="720" w:footer="720" w:gutter="0"/>
          <w:cols w:num="2" w:space="720"/>
          <w:bidi/>
          <w:docGrid w:linePitch="360"/>
        </w:sectPr>
      </w:pPr>
    </w:p>
    <w:p w:rsidR="007C0B67" w:rsidRPr="00882F11" w:rsidRDefault="007C0B67" w:rsidP="007C0B67">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ל"ח</w:t>
      </w:r>
    </w:p>
    <w:p w:rsidR="00615FF2" w:rsidRDefault="00615FF2" w:rsidP="0078079C">
      <w:pPr>
        <w:pStyle w:val="Heading1"/>
        <w:bidi/>
        <w:spacing w:before="0" w:line="360" w:lineRule="auto"/>
        <w:jc w:val="center"/>
        <w:rPr>
          <w:rFonts w:cs="Guttman Drogolin"/>
          <w:color w:val="auto"/>
          <w:sz w:val="24"/>
          <w:szCs w:val="24"/>
          <w:u w:val="single"/>
          <w:rtl/>
          <w:lang w:bidi="he-IL"/>
        </w:rPr>
        <w:sectPr w:rsidR="00615FF2" w:rsidSect="00615FF2">
          <w:headerReference w:type="default" r:id="rId34"/>
          <w:pgSz w:w="11907" w:h="16839" w:code="9"/>
          <w:pgMar w:top="1440" w:right="1440" w:bottom="1440" w:left="1440" w:header="720" w:footer="720" w:gutter="0"/>
          <w:cols w:space="720"/>
          <w:bidi/>
          <w:docGrid w:linePitch="360"/>
        </w:sectPr>
      </w:pPr>
    </w:p>
    <w:p w:rsidR="007C0B67" w:rsidRPr="00882F11" w:rsidRDefault="00E15868" w:rsidP="0078079C">
      <w:pPr>
        <w:pStyle w:val="Heading1"/>
        <w:bidi/>
        <w:spacing w:before="0" w:line="360" w:lineRule="auto"/>
        <w:jc w:val="center"/>
        <w:rPr>
          <w:rFonts w:cs="Guttman Drogolin"/>
          <w:color w:val="auto"/>
          <w:sz w:val="24"/>
          <w:szCs w:val="24"/>
          <w:u w:val="single"/>
          <w:rtl/>
          <w:lang w:bidi="he-IL"/>
        </w:rPr>
      </w:pPr>
      <w:bookmarkStart w:id="141" w:name="_Toc496175399"/>
      <w:r w:rsidRPr="00882F11">
        <w:rPr>
          <w:rFonts w:cs="Guttman Drogolin" w:hint="cs"/>
          <w:color w:val="auto"/>
          <w:sz w:val="24"/>
          <w:szCs w:val="24"/>
          <w:u w:val="single"/>
          <w:rtl/>
          <w:lang w:bidi="he-IL"/>
        </w:rPr>
        <w:lastRenderedPageBreak/>
        <w:t>יסוד ההיתר של נ"ט בר נ"ט</w:t>
      </w:r>
      <w:bookmarkEnd w:id="141"/>
    </w:p>
    <w:p w:rsidR="00F7635E" w:rsidRPr="00882F11" w:rsidRDefault="00D36D22" w:rsidP="007F2592">
      <w:pPr>
        <w:bidi/>
        <w:jc w:val="both"/>
        <w:rPr>
          <w:rFonts w:cs="Guttman Drogolin"/>
          <w:rtl/>
          <w:lang w:bidi="he-IL"/>
        </w:rPr>
      </w:pPr>
      <w:r>
        <w:rPr>
          <w:rFonts w:cs="Guttman Drogolin"/>
          <w:rtl/>
          <w:lang w:bidi="he-IL"/>
        </w:rPr>
        <w:fldChar w:fldCharType="begin"/>
      </w:r>
      <w:r>
        <w:instrText xml:space="preserve"> XE "</w:instrText>
      </w:r>
      <w:r w:rsidRPr="004F4210">
        <w:rPr>
          <w:rFonts w:hint="cs"/>
          <w:rtl/>
          <w:lang w:bidi="he-IL"/>
        </w:rPr>
        <w:instrText>נ</w:instrText>
      </w:r>
      <w:r>
        <w:rPr>
          <w:rFonts w:eastAsiaTheme="minorEastAsia"/>
          <w:lang w:bidi="he-IL"/>
        </w:rPr>
        <w:instrText>\</w:instrText>
      </w:r>
      <w:r w:rsidRPr="004F4210">
        <w:rPr>
          <w:rFonts w:hint="cs"/>
          <w:rtl/>
          <w:lang w:bidi="he-IL"/>
        </w:rPr>
        <w:instrText>"ט בר נ</w:instrText>
      </w:r>
      <w:r>
        <w:rPr>
          <w:rFonts w:eastAsiaTheme="minorEastAsia"/>
          <w:lang w:bidi="he-IL"/>
        </w:rPr>
        <w:instrText>\</w:instrText>
      </w:r>
      <w:r w:rsidRPr="004F4210">
        <w:rPr>
          <w:rFonts w:hint="cs"/>
          <w:rtl/>
          <w:lang w:bidi="he-IL"/>
        </w:rPr>
        <w:instrText>"ט</w:instrText>
      </w:r>
      <w:r w:rsidRPr="004F4210">
        <w:rPr>
          <w:rtl/>
        </w:rPr>
        <w:instrText>:</w:instrText>
      </w:r>
      <w:r w:rsidRPr="004F4210">
        <w:rPr>
          <w:rFonts w:hint="cs"/>
          <w:rtl/>
          <w:lang w:bidi="he-IL"/>
        </w:rPr>
        <w:instrText>סוגיית הגמ'</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962AE4">
        <w:rPr>
          <w:rFonts w:hint="cs"/>
          <w:rtl/>
          <w:lang w:bidi="he-IL"/>
        </w:rPr>
        <w:instrText>נותן טעם בר נותן טעם</w:instrText>
      </w:r>
      <w:r>
        <w:instrText>" \t "</w:instrText>
      </w:r>
      <w:r w:rsidRPr="00793212">
        <w:rPr>
          <w:rFonts w:cs="Times New Roman" w:hint="cs"/>
          <w:i/>
          <w:rtl/>
          <w:lang w:bidi="he-IL"/>
        </w:rPr>
        <w:instrText>ע</w:instrText>
      </w:r>
      <w:r w:rsidRPr="00793212">
        <w:rPr>
          <w:rFonts w:cstheme="minorHAnsi" w:hint="cs"/>
          <w:i/>
          <w:rtl/>
          <w:lang w:bidi="he-IL"/>
        </w:rPr>
        <w:instrText xml:space="preserve">' </w:instrText>
      </w:r>
      <w:r w:rsidRPr="00793212">
        <w:rPr>
          <w:rFonts w:cs="Times New Roman" w:hint="cs"/>
          <w:i/>
          <w:rtl/>
          <w:lang w:bidi="he-IL"/>
        </w:rPr>
        <w:instrText>נ</w:instrText>
      </w:r>
      <w:r w:rsidRPr="00793212">
        <w:rPr>
          <w:rFonts w:cstheme="minorHAnsi" w:hint="cs"/>
          <w:i/>
          <w:rtl/>
          <w:lang w:bidi="he-IL"/>
        </w:rPr>
        <w:instrText>'</w:instrText>
      </w:r>
      <w:r w:rsidRPr="00793212">
        <w:rPr>
          <w:rFonts w:cs="Times New Roman" w:hint="cs"/>
          <w:i/>
          <w:rtl/>
          <w:lang w:bidi="he-IL"/>
        </w:rPr>
        <w:instrText>ט בר נ</w:instrText>
      </w:r>
      <w:r w:rsidRPr="00793212">
        <w:rPr>
          <w:rFonts w:cstheme="minorHAnsi" w:hint="cs"/>
          <w:i/>
          <w:rtl/>
          <w:lang w:bidi="he-IL"/>
        </w:rPr>
        <w:instrText>'</w:instrText>
      </w:r>
      <w:r w:rsidRPr="00793212">
        <w:rPr>
          <w:rFonts w:cs="Times New Roman" w:hint="cs"/>
          <w:i/>
          <w:rtl/>
          <w:lang w:bidi="he-IL"/>
        </w:rPr>
        <w:instrText>ט</w:instrText>
      </w:r>
      <w:r>
        <w:instrText xml:space="preserve">" </w:instrText>
      </w:r>
      <w:r>
        <w:rPr>
          <w:rFonts w:cs="Guttman Drogolin"/>
          <w:rtl/>
          <w:lang w:bidi="he-IL"/>
        </w:rPr>
        <w:fldChar w:fldCharType="end"/>
      </w:r>
      <w:r w:rsidR="00E15868" w:rsidRPr="00882F11">
        <w:rPr>
          <w:rFonts w:cs="Guttman Drogolin" w:hint="cs"/>
          <w:rtl/>
          <w:lang w:bidi="he-IL"/>
        </w:rPr>
        <w:t>איתא בגמ' שבדף קי"א ע"ב "איתמר</w:t>
      </w:r>
      <w:r w:rsidR="00E15868" w:rsidRPr="00882F11">
        <w:rPr>
          <w:rFonts w:cs="Guttman Drogolin"/>
          <w:rtl/>
          <w:lang w:bidi="he-IL"/>
        </w:rPr>
        <w:t xml:space="preserve"> </w:t>
      </w:r>
      <w:r w:rsidR="00E15868" w:rsidRPr="00882F11">
        <w:rPr>
          <w:rFonts w:cs="Guttman Drogolin" w:hint="cs"/>
          <w:rtl/>
          <w:lang w:bidi="he-IL"/>
        </w:rPr>
        <w:t>דגים</w:t>
      </w:r>
      <w:r w:rsidR="00E15868" w:rsidRPr="00882F11">
        <w:rPr>
          <w:rFonts w:cs="Guttman Drogolin"/>
          <w:rtl/>
          <w:lang w:bidi="he-IL"/>
        </w:rPr>
        <w:t xml:space="preserve"> </w:t>
      </w:r>
      <w:r w:rsidR="00E15868" w:rsidRPr="00882F11">
        <w:rPr>
          <w:rFonts w:cs="Guttman Drogolin" w:hint="cs"/>
          <w:rtl/>
          <w:lang w:bidi="he-IL"/>
        </w:rPr>
        <w:t>שעלו</w:t>
      </w:r>
      <w:r w:rsidR="00E15868" w:rsidRPr="00882F11">
        <w:rPr>
          <w:rFonts w:cs="Guttman Drogolin"/>
          <w:rtl/>
          <w:lang w:bidi="he-IL"/>
        </w:rPr>
        <w:t xml:space="preserve"> </w:t>
      </w:r>
      <w:r w:rsidR="00E15868" w:rsidRPr="00882F11">
        <w:rPr>
          <w:rFonts w:cs="Guttman Drogolin" w:hint="cs"/>
          <w:rtl/>
          <w:lang w:bidi="he-IL"/>
        </w:rPr>
        <w:t>בקערה</w:t>
      </w:r>
      <w:r w:rsidR="00E15868" w:rsidRPr="00882F11">
        <w:rPr>
          <w:rFonts w:cs="Guttman Drogolin"/>
          <w:rtl/>
          <w:lang w:bidi="he-IL"/>
        </w:rPr>
        <w:t xml:space="preserve"> </w:t>
      </w:r>
      <w:r w:rsidR="00E15868" w:rsidRPr="00882F11">
        <w:rPr>
          <w:rFonts w:cs="Guttman Drogolin" w:hint="cs"/>
          <w:rtl/>
          <w:lang w:bidi="he-IL"/>
        </w:rPr>
        <w:t>רב</w:t>
      </w:r>
      <w:r w:rsidR="00E15868" w:rsidRPr="00882F11">
        <w:rPr>
          <w:rFonts w:cs="Guttman Drogolin"/>
          <w:rtl/>
          <w:lang w:bidi="he-IL"/>
        </w:rPr>
        <w:t xml:space="preserve"> </w:t>
      </w:r>
      <w:r w:rsidR="00E15868" w:rsidRPr="00882F11">
        <w:rPr>
          <w:rFonts w:cs="Guttman Drogolin" w:hint="cs"/>
          <w:rtl/>
          <w:lang w:bidi="he-IL"/>
        </w:rPr>
        <w:t>אמר</w:t>
      </w:r>
      <w:r w:rsidR="00E15868" w:rsidRPr="00882F11">
        <w:rPr>
          <w:rFonts w:cs="Guttman Drogolin"/>
          <w:rtl/>
          <w:lang w:bidi="he-IL"/>
        </w:rPr>
        <w:t xml:space="preserve"> </w:t>
      </w:r>
      <w:r w:rsidR="00E15868" w:rsidRPr="00882F11">
        <w:rPr>
          <w:rFonts w:cs="Guttman Drogolin" w:hint="cs"/>
          <w:rtl/>
          <w:lang w:bidi="he-IL"/>
        </w:rPr>
        <w:t>אסור</w:t>
      </w:r>
      <w:r w:rsidR="00E15868" w:rsidRPr="00882F11">
        <w:rPr>
          <w:rFonts w:cs="Guttman Drogolin"/>
          <w:rtl/>
          <w:lang w:bidi="he-IL"/>
        </w:rPr>
        <w:t xml:space="preserve"> </w:t>
      </w:r>
      <w:r w:rsidR="00E15868" w:rsidRPr="00882F11">
        <w:rPr>
          <w:rFonts w:cs="Guttman Drogolin" w:hint="cs"/>
          <w:rtl/>
          <w:lang w:bidi="he-IL"/>
        </w:rPr>
        <w:t>לאכלן</w:t>
      </w:r>
      <w:r w:rsidR="00E15868" w:rsidRPr="00882F11">
        <w:rPr>
          <w:rFonts w:cs="Guttman Drogolin"/>
          <w:rtl/>
          <w:lang w:bidi="he-IL"/>
        </w:rPr>
        <w:t xml:space="preserve"> </w:t>
      </w:r>
      <w:r w:rsidR="00E15868" w:rsidRPr="00882F11">
        <w:rPr>
          <w:rFonts w:cs="Guttman Drogolin" w:hint="cs"/>
          <w:rtl/>
          <w:lang w:bidi="he-IL"/>
        </w:rPr>
        <w:t>בכותח</w:t>
      </w:r>
      <w:r w:rsidR="00E15868" w:rsidRPr="00882F11">
        <w:rPr>
          <w:rFonts w:cs="Guttman Drogolin"/>
          <w:rtl/>
          <w:lang w:bidi="he-IL"/>
        </w:rPr>
        <w:t xml:space="preserve"> </w:t>
      </w:r>
      <w:r w:rsidR="00E15868" w:rsidRPr="00882F11">
        <w:rPr>
          <w:rFonts w:cs="Guttman Drogolin" w:hint="cs"/>
          <w:rtl/>
          <w:lang w:bidi="he-IL"/>
        </w:rPr>
        <w:t>ושמואל</w:t>
      </w:r>
      <w:r w:rsidR="00E15868" w:rsidRPr="00882F11">
        <w:rPr>
          <w:rFonts w:cs="Guttman Drogolin"/>
          <w:rtl/>
          <w:lang w:bidi="he-IL"/>
        </w:rPr>
        <w:t xml:space="preserve"> </w:t>
      </w:r>
      <w:r w:rsidR="00E15868" w:rsidRPr="00882F11">
        <w:rPr>
          <w:rFonts w:cs="Guttman Drogolin" w:hint="cs"/>
          <w:rtl/>
          <w:lang w:bidi="he-IL"/>
        </w:rPr>
        <w:t>אמר</w:t>
      </w:r>
      <w:r w:rsidR="00E15868" w:rsidRPr="00882F11">
        <w:rPr>
          <w:rFonts w:cs="Guttman Drogolin"/>
          <w:rtl/>
          <w:lang w:bidi="he-IL"/>
        </w:rPr>
        <w:t xml:space="preserve"> </w:t>
      </w:r>
      <w:r w:rsidR="00E15868" w:rsidRPr="00882F11">
        <w:rPr>
          <w:rFonts w:cs="Guttman Drogolin" w:hint="cs"/>
          <w:rtl/>
          <w:lang w:bidi="he-IL"/>
        </w:rPr>
        <w:t>מותר</w:t>
      </w:r>
      <w:r w:rsidR="00E15868" w:rsidRPr="00882F11">
        <w:rPr>
          <w:rFonts w:cs="Guttman Drogolin"/>
          <w:rtl/>
          <w:lang w:bidi="he-IL"/>
        </w:rPr>
        <w:t xml:space="preserve"> </w:t>
      </w:r>
      <w:r w:rsidR="00E15868" w:rsidRPr="00882F11">
        <w:rPr>
          <w:rFonts w:cs="Guttman Drogolin" w:hint="cs"/>
          <w:rtl/>
          <w:lang w:bidi="he-IL"/>
        </w:rPr>
        <w:t>לאכלן</w:t>
      </w:r>
      <w:r w:rsidR="00E15868" w:rsidRPr="00882F11">
        <w:rPr>
          <w:rFonts w:cs="Guttman Drogolin"/>
          <w:rtl/>
          <w:lang w:bidi="he-IL"/>
        </w:rPr>
        <w:t xml:space="preserve"> </w:t>
      </w:r>
      <w:r w:rsidR="00E15868" w:rsidRPr="00882F11">
        <w:rPr>
          <w:rFonts w:cs="Guttman Drogolin" w:hint="cs"/>
          <w:rtl/>
          <w:lang w:bidi="he-IL"/>
        </w:rPr>
        <w:t>בכותח</w:t>
      </w:r>
      <w:r w:rsidR="00E15868" w:rsidRPr="00882F11">
        <w:rPr>
          <w:rFonts w:cs="Guttman Drogolin"/>
          <w:rtl/>
          <w:lang w:bidi="he-IL"/>
        </w:rPr>
        <w:t xml:space="preserve"> </w:t>
      </w:r>
      <w:r w:rsidR="00E15868" w:rsidRPr="00882F11">
        <w:rPr>
          <w:rFonts w:cs="Guttman Drogolin" w:hint="cs"/>
          <w:rtl/>
          <w:lang w:bidi="he-IL"/>
        </w:rPr>
        <w:t>רב</w:t>
      </w:r>
      <w:r w:rsidR="00E15868" w:rsidRPr="00882F11">
        <w:rPr>
          <w:rFonts w:cs="Guttman Drogolin"/>
          <w:rtl/>
          <w:lang w:bidi="he-IL"/>
        </w:rPr>
        <w:t xml:space="preserve"> </w:t>
      </w:r>
      <w:r w:rsidR="00E15868" w:rsidRPr="00882F11">
        <w:rPr>
          <w:rFonts w:cs="Guttman Drogolin" w:hint="cs"/>
          <w:rtl/>
          <w:lang w:bidi="he-IL"/>
        </w:rPr>
        <w:t>אמר</w:t>
      </w:r>
      <w:r w:rsidR="00E15868" w:rsidRPr="00882F11">
        <w:rPr>
          <w:rFonts w:cs="Guttman Drogolin"/>
          <w:rtl/>
          <w:lang w:bidi="he-IL"/>
        </w:rPr>
        <w:t xml:space="preserve"> </w:t>
      </w:r>
      <w:r w:rsidR="00E15868" w:rsidRPr="00882F11">
        <w:rPr>
          <w:rFonts w:cs="Guttman Drogolin" w:hint="cs"/>
          <w:rtl/>
          <w:lang w:bidi="he-IL"/>
        </w:rPr>
        <w:t>אסור</w:t>
      </w:r>
      <w:r w:rsidR="00E15868" w:rsidRPr="00882F11">
        <w:rPr>
          <w:rFonts w:cs="Guttman Drogolin"/>
          <w:rtl/>
          <w:lang w:bidi="he-IL"/>
        </w:rPr>
        <w:t xml:space="preserve"> </w:t>
      </w:r>
      <w:r w:rsidR="00E15868" w:rsidRPr="00882F11">
        <w:rPr>
          <w:rFonts w:cs="Guttman Drogolin" w:hint="cs"/>
          <w:rtl/>
          <w:lang w:bidi="he-IL"/>
        </w:rPr>
        <w:t>נותן</w:t>
      </w:r>
      <w:r w:rsidR="00E15868" w:rsidRPr="00882F11">
        <w:rPr>
          <w:rFonts w:cs="Guttman Drogolin"/>
          <w:rtl/>
          <w:lang w:bidi="he-IL"/>
        </w:rPr>
        <w:t xml:space="preserve"> </w:t>
      </w:r>
      <w:r w:rsidR="00E15868" w:rsidRPr="00882F11">
        <w:rPr>
          <w:rFonts w:cs="Guttman Drogolin" w:hint="cs"/>
          <w:rtl/>
          <w:lang w:bidi="he-IL"/>
        </w:rPr>
        <w:t>טעם</w:t>
      </w:r>
      <w:r w:rsidR="00E15868" w:rsidRPr="00882F11">
        <w:rPr>
          <w:rFonts w:cs="Guttman Drogolin"/>
          <w:rtl/>
          <w:lang w:bidi="he-IL"/>
        </w:rPr>
        <w:t xml:space="preserve"> </w:t>
      </w:r>
      <w:r w:rsidR="00E15868" w:rsidRPr="00882F11">
        <w:rPr>
          <w:rFonts w:cs="Guttman Drogolin" w:hint="cs"/>
          <w:rtl/>
          <w:lang w:bidi="he-IL"/>
        </w:rPr>
        <w:t>הוא</w:t>
      </w:r>
      <w:r w:rsidR="00E15868" w:rsidRPr="00882F11">
        <w:rPr>
          <w:rFonts w:cs="Guttman Drogolin"/>
          <w:rtl/>
          <w:lang w:bidi="he-IL"/>
        </w:rPr>
        <w:t xml:space="preserve"> </w:t>
      </w:r>
      <w:r w:rsidR="00E15868" w:rsidRPr="00882F11">
        <w:rPr>
          <w:rFonts w:cs="Guttman Drogolin" w:hint="cs"/>
          <w:rtl/>
          <w:lang w:bidi="he-IL"/>
        </w:rPr>
        <w:t>ושמואל</w:t>
      </w:r>
      <w:r w:rsidR="00E15868" w:rsidRPr="00882F11">
        <w:rPr>
          <w:rFonts w:cs="Guttman Drogolin"/>
          <w:rtl/>
          <w:lang w:bidi="he-IL"/>
        </w:rPr>
        <w:t xml:space="preserve"> </w:t>
      </w:r>
      <w:r w:rsidR="00E15868" w:rsidRPr="00882F11">
        <w:rPr>
          <w:rFonts w:cs="Guttman Drogolin" w:hint="cs"/>
          <w:rtl/>
          <w:lang w:bidi="he-IL"/>
        </w:rPr>
        <w:t>אמר</w:t>
      </w:r>
      <w:r w:rsidR="00E15868" w:rsidRPr="00882F11">
        <w:rPr>
          <w:rFonts w:cs="Guttman Drogolin"/>
          <w:rtl/>
          <w:lang w:bidi="he-IL"/>
        </w:rPr>
        <w:t xml:space="preserve"> </w:t>
      </w:r>
      <w:r w:rsidR="00E15868" w:rsidRPr="00882F11">
        <w:rPr>
          <w:rFonts w:cs="Guttman Drogolin" w:hint="cs"/>
          <w:rtl/>
          <w:lang w:bidi="he-IL"/>
        </w:rPr>
        <w:t>מותר</w:t>
      </w:r>
      <w:r w:rsidR="00E15868" w:rsidRPr="00882F11">
        <w:rPr>
          <w:rFonts w:cs="Guttman Drogolin"/>
          <w:rtl/>
          <w:lang w:bidi="he-IL"/>
        </w:rPr>
        <w:t xml:space="preserve"> </w:t>
      </w:r>
      <w:r w:rsidR="00E15868" w:rsidRPr="00882F11">
        <w:rPr>
          <w:rFonts w:cs="Guttman Drogolin" w:hint="cs"/>
          <w:rtl/>
          <w:lang w:bidi="he-IL"/>
        </w:rPr>
        <w:t>נותן</w:t>
      </w:r>
      <w:r w:rsidR="00E15868" w:rsidRPr="00882F11">
        <w:rPr>
          <w:rFonts w:cs="Guttman Drogolin"/>
          <w:rtl/>
          <w:lang w:bidi="he-IL"/>
        </w:rPr>
        <w:t xml:space="preserve"> </w:t>
      </w:r>
      <w:r w:rsidR="00E15868" w:rsidRPr="00882F11">
        <w:rPr>
          <w:rFonts w:cs="Guttman Drogolin" w:hint="cs"/>
          <w:rtl/>
          <w:lang w:bidi="he-IL"/>
        </w:rPr>
        <w:t>טעם</w:t>
      </w:r>
      <w:r w:rsidR="00E15868" w:rsidRPr="00882F11">
        <w:rPr>
          <w:rFonts w:cs="Guttman Drogolin"/>
          <w:rtl/>
          <w:lang w:bidi="he-IL"/>
        </w:rPr>
        <w:t xml:space="preserve"> </w:t>
      </w:r>
      <w:r w:rsidR="00E15868" w:rsidRPr="00882F11">
        <w:rPr>
          <w:rFonts w:cs="Guttman Drogolin" w:hint="cs"/>
          <w:rtl/>
          <w:lang w:bidi="he-IL"/>
        </w:rPr>
        <w:t>בר</w:t>
      </w:r>
      <w:r w:rsidR="00E15868" w:rsidRPr="00882F11">
        <w:rPr>
          <w:rFonts w:cs="Guttman Drogolin"/>
          <w:rtl/>
          <w:lang w:bidi="he-IL"/>
        </w:rPr>
        <w:t xml:space="preserve"> </w:t>
      </w:r>
      <w:r w:rsidR="00E15868" w:rsidRPr="00882F11">
        <w:rPr>
          <w:rFonts w:cs="Guttman Drogolin" w:hint="cs"/>
          <w:rtl/>
          <w:lang w:bidi="he-IL"/>
        </w:rPr>
        <w:t>נ"ט</w:t>
      </w:r>
      <w:r w:rsidR="00E15868" w:rsidRPr="00882F11">
        <w:rPr>
          <w:rFonts w:cs="Guttman Drogolin"/>
          <w:rtl/>
          <w:lang w:bidi="he-IL"/>
        </w:rPr>
        <w:t xml:space="preserve"> </w:t>
      </w:r>
      <w:r w:rsidR="00E15868" w:rsidRPr="00882F11">
        <w:rPr>
          <w:rFonts w:cs="Guttman Drogolin" w:hint="cs"/>
          <w:rtl/>
          <w:lang w:bidi="he-IL"/>
        </w:rPr>
        <w:t xml:space="preserve">הוא". ור"ל דרב לא חילק בין טעם לנ"ט בר נ"ט, שהכל הוא בכלל האיסור של טעם כעיקר. אבל שמואל סבר שיש חילוק בין נ"ט בר נ"ט לטעם גמור. ולכאורה צ"ע מהו </w:t>
      </w:r>
      <w:r w:rsidR="004103EF" w:rsidRPr="00882F11">
        <w:rPr>
          <w:rFonts w:cs="Guttman Drogolin" w:hint="cs"/>
          <w:rtl/>
          <w:lang w:bidi="he-IL"/>
        </w:rPr>
        <w:t xml:space="preserve">הטעם לחלק </w:t>
      </w:r>
      <w:r w:rsidR="00E15868" w:rsidRPr="00882F11">
        <w:rPr>
          <w:rFonts w:cs="Guttman Drogolin" w:hint="cs"/>
          <w:rtl/>
          <w:lang w:bidi="he-IL"/>
        </w:rPr>
        <w:t>ביניהם.</w:t>
      </w:r>
      <w:r w:rsidR="004103EF" w:rsidRPr="00882F11">
        <w:rPr>
          <w:rFonts w:cs="Guttman Drogolin" w:hint="cs"/>
          <w:rtl/>
          <w:lang w:bidi="he-IL"/>
        </w:rPr>
        <w:t xml:space="preserve"> </w:t>
      </w:r>
      <w:r w:rsidR="00F16616" w:rsidRPr="00882F11">
        <w:rPr>
          <w:rFonts w:cs="Guttman Drogolin" w:hint="cs"/>
          <w:rtl/>
          <w:lang w:bidi="he-IL"/>
        </w:rPr>
        <w:t>והיש"ש (סי' ס"א) כתב שטעם ההיתר משום שכיון שעבר הטעם ממקום למקום מסתמ</w:t>
      </w:r>
      <w:r w:rsidR="007F2592" w:rsidRPr="00882F11">
        <w:rPr>
          <w:rFonts w:cs="Guttman Drogolin" w:hint="cs"/>
          <w:rtl/>
          <w:lang w:bidi="he-IL"/>
        </w:rPr>
        <w:t>א</w:t>
      </w:r>
      <w:r w:rsidR="00F16616" w:rsidRPr="00882F11">
        <w:rPr>
          <w:rFonts w:cs="Guttman Drogolin" w:hint="cs"/>
          <w:rtl/>
          <w:lang w:bidi="he-IL"/>
        </w:rPr>
        <w:t xml:space="preserve"> אמרינן שכבר הוקלש כל כך עד שלא ירגיש טעמו כשאוכלו. ולכאורה כן משמע מהמשך דברי הגמ', שהרי בהמשך הגמ' </w:t>
      </w:r>
      <w:r w:rsidR="00F7635E" w:rsidRPr="00882F11">
        <w:rPr>
          <w:rFonts w:cs="Guttman Drogolin" w:hint="cs"/>
          <w:rtl/>
          <w:lang w:bidi="he-IL"/>
        </w:rPr>
        <w:t>מבואר</w:t>
      </w:r>
      <w:r w:rsidR="00F16616" w:rsidRPr="00882F11">
        <w:rPr>
          <w:rFonts w:cs="Guttman Drogolin" w:hint="cs"/>
          <w:rtl/>
          <w:lang w:bidi="he-IL"/>
        </w:rPr>
        <w:t xml:space="preserve"> </w:t>
      </w:r>
      <w:r w:rsidR="00F7635E" w:rsidRPr="00882F11">
        <w:rPr>
          <w:rFonts w:cs="Guttman Drogolin" w:hint="cs"/>
          <w:rtl/>
          <w:lang w:bidi="he-IL"/>
        </w:rPr>
        <w:t>דרב</w:t>
      </w:r>
      <w:r w:rsidR="00F7635E" w:rsidRPr="00882F11">
        <w:rPr>
          <w:rFonts w:cs="Guttman Drogolin"/>
          <w:rtl/>
          <w:lang w:bidi="he-IL"/>
        </w:rPr>
        <w:t xml:space="preserve"> </w:t>
      </w:r>
      <w:r w:rsidR="00F7635E" w:rsidRPr="00882F11">
        <w:rPr>
          <w:rFonts w:cs="Guttman Drogolin" w:hint="cs"/>
          <w:rtl/>
          <w:lang w:bidi="he-IL"/>
        </w:rPr>
        <w:t>לאו</w:t>
      </w:r>
      <w:r w:rsidR="00F7635E" w:rsidRPr="00882F11">
        <w:rPr>
          <w:rFonts w:cs="Guttman Drogolin"/>
          <w:rtl/>
          <w:lang w:bidi="he-IL"/>
        </w:rPr>
        <w:t xml:space="preserve"> </w:t>
      </w:r>
      <w:r w:rsidR="00F7635E" w:rsidRPr="00882F11">
        <w:rPr>
          <w:rFonts w:cs="Guttman Drogolin" w:hint="cs"/>
          <w:rtl/>
          <w:lang w:bidi="he-IL"/>
        </w:rPr>
        <w:t>בפירוש</w:t>
      </w:r>
      <w:r w:rsidR="00F7635E" w:rsidRPr="00882F11">
        <w:rPr>
          <w:rFonts w:cs="Guttman Drogolin"/>
          <w:rtl/>
          <w:lang w:bidi="he-IL"/>
        </w:rPr>
        <w:t xml:space="preserve"> </w:t>
      </w:r>
      <w:r w:rsidR="00F7635E" w:rsidRPr="00882F11">
        <w:rPr>
          <w:rFonts w:cs="Guttman Drogolin" w:hint="cs"/>
          <w:rtl/>
          <w:lang w:bidi="he-IL"/>
        </w:rPr>
        <w:t>איתמר</w:t>
      </w:r>
      <w:r w:rsidR="00F7635E" w:rsidRPr="00882F11">
        <w:rPr>
          <w:rFonts w:cs="Guttman Drogolin"/>
          <w:rtl/>
          <w:lang w:bidi="he-IL"/>
        </w:rPr>
        <w:t xml:space="preserve"> </w:t>
      </w:r>
      <w:r w:rsidR="00F7635E" w:rsidRPr="00882F11">
        <w:rPr>
          <w:rFonts w:cs="Guttman Drogolin" w:hint="cs"/>
          <w:rtl/>
          <w:lang w:bidi="he-IL"/>
        </w:rPr>
        <w:t>אלא</w:t>
      </w:r>
      <w:r w:rsidR="00F7635E" w:rsidRPr="00882F11">
        <w:rPr>
          <w:rFonts w:cs="Guttman Drogolin"/>
          <w:rtl/>
          <w:lang w:bidi="he-IL"/>
        </w:rPr>
        <w:t xml:space="preserve"> </w:t>
      </w:r>
      <w:r w:rsidR="00F7635E" w:rsidRPr="00882F11">
        <w:rPr>
          <w:rFonts w:cs="Guttman Drogolin" w:hint="cs"/>
          <w:rtl/>
          <w:lang w:bidi="he-IL"/>
        </w:rPr>
        <w:t>מכללא</w:t>
      </w:r>
      <w:r w:rsidR="00F7635E" w:rsidRPr="00882F11">
        <w:rPr>
          <w:rFonts w:cs="Guttman Drogolin"/>
          <w:rtl/>
          <w:lang w:bidi="he-IL"/>
        </w:rPr>
        <w:t xml:space="preserve"> </w:t>
      </w:r>
      <w:r w:rsidR="00F7635E" w:rsidRPr="00882F11">
        <w:rPr>
          <w:rFonts w:cs="Guttman Drogolin" w:hint="cs"/>
          <w:rtl/>
          <w:lang w:bidi="he-IL"/>
        </w:rPr>
        <w:t>איתמר</w:t>
      </w:r>
      <w:r w:rsidR="00F7635E" w:rsidRPr="00882F11">
        <w:rPr>
          <w:rFonts w:cs="Guttman Drogolin"/>
          <w:rtl/>
          <w:lang w:bidi="he-IL"/>
        </w:rPr>
        <w:t xml:space="preserve"> </w:t>
      </w:r>
      <w:r w:rsidR="00F7635E" w:rsidRPr="00882F11">
        <w:rPr>
          <w:rFonts w:cs="Guttman Drogolin" w:hint="cs"/>
          <w:rtl/>
          <w:lang w:bidi="he-IL"/>
        </w:rPr>
        <w:t>והוא ממה שאמר רב "יהיב</w:t>
      </w:r>
      <w:r w:rsidR="00F7635E" w:rsidRPr="00882F11">
        <w:rPr>
          <w:rFonts w:cs="Guttman Drogolin"/>
          <w:rtl/>
          <w:lang w:bidi="he-IL"/>
        </w:rPr>
        <w:t xml:space="preserve"> </w:t>
      </w:r>
      <w:r w:rsidR="00F7635E" w:rsidRPr="00882F11">
        <w:rPr>
          <w:rFonts w:cs="Guttman Drogolin" w:hint="cs"/>
          <w:rtl/>
          <w:lang w:bidi="he-IL"/>
        </w:rPr>
        <w:t>טעמא</w:t>
      </w:r>
      <w:r w:rsidR="00F7635E" w:rsidRPr="00882F11">
        <w:rPr>
          <w:rFonts w:cs="Guttman Drogolin"/>
          <w:rtl/>
          <w:lang w:bidi="he-IL"/>
        </w:rPr>
        <w:t xml:space="preserve"> </w:t>
      </w:r>
      <w:r w:rsidR="00F7635E" w:rsidRPr="00882F11">
        <w:rPr>
          <w:rFonts w:cs="Guttman Drogolin" w:hint="cs"/>
          <w:rtl/>
          <w:lang w:bidi="he-IL"/>
        </w:rPr>
        <w:t>כולי</w:t>
      </w:r>
      <w:r w:rsidR="00F7635E" w:rsidRPr="00882F11">
        <w:rPr>
          <w:rFonts w:cs="Guttman Drogolin"/>
          <w:rtl/>
          <w:lang w:bidi="he-IL"/>
        </w:rPr>
        <w:t xml:space="preserve"> </w:t>
      </w:r>
      <w:r w:rsidR="00F7635E" w:rsidRPr="00882F11">
        <w:rPr>
          <w:rFonts w:cs="Guttman Drogolin" w:hint="cs"/>
          <w:rtl/>
          <w:lang w:bidi="he-IL"/>
        </w:rPr>
        <w:t>האי". ומשמע שטעמו של רב משום שטועם את התבשיל, ומיני' לכאורה שלשמואל הטעם משום שאינו טועם כולי האי.</w:t>
      </w:r>
    </w:p>
    <w:p w:rsidR="00596A16" w:rsidRPr="00882F11" w:rsidRDefault="00F7635E" w:rsidP="00FD0E4A">
      <w:pPr>
        <w:bidi/>
        <w:jc w:val="both"/>
        <w:rPr>
          <w:rFonts w:cs="Guttman Drogolin"/>
          <w:rtl/>
          <w:lang w:bidi="he-IL"/>
        </w:rPr>
      </w:pPr>
      <w:r w:rsidRPr="00882F11">
        <w:rPr>
          <w:rFonts w:cs="Guttman Drogolin" w:hint="cs"/>
          <w:rtl/>
          <w:lang w:bidi="he-IL"/>
        </w:rPr>
        <w:t xml:space="preserve">אלא שלכאורה קשה בזה מה שמבואר מכמה וכמה ראשונים שכל ההיתר של נ"ט בר נ"ט אליבא דשמואל הוא </w:t>
      </w:r>
      <w:r w:rsidR="00596A16" w:rsidRPr="00882F11">
        <w:rPr>
          <w:rFonts w:cs="Guttman Drogolin" w:hint="cs"/>
          <w:rtl/>
          <w:lang w:bidi="he-IL"/>
        </w:rPr>
        <w:t>ב</w:t>
      </w:r>
      <w:r w:rsidRPr="00882F11">
        <w:rPr>
          <w:rFonts w:cs="Guttman Drogolin" w:hint="cs"/>
          <w:rtl/>
          <w:lang w:bidi="he-IL"/>
        </w:rPr>
        <w:t xml:space="preserve">טעם היתר </w:t>
      </w:r>
      <w:r w:rsidR="00596A16" w:rsidRPr="00882F11">
        <w:rPr>
          <w:rFonts w:cs="Guttman Drogolin" w:hint="cs"/>
          <w:rtl/>
          <w:lang w:bidi="he-IL"/>
        </w:rPr>
        <w:t>ה</w:t>
      </w:r>
      <w:r w:rsidRPr="00882F11">
        <w:rPr>
          <w:rFonts w:cs="Guttman Drogolin" w:hint="cs"/>
          <w:rtl/>
          <w:lang w:bidi="he-IL"/>
        </w:rPr>
        <w:t xml:space="preserve">הולך ממקום למקום, אבל בטעם של איסור לעולם לא אמרינן </w:t>
      </w:r>
      <w:r w:rsidR="00596A16" w:rsidRPr="00882F11">
        <w:rPr>
          <w:rFonts w:cs="Guttman Drogolin" w:hint="cs"/>
          <w:rtl/>
          <w:lang w:bidi="he-IL"/>
        </w:rPr>
        <w:t>ההיתר של נ"ט בר נ"ט</w:t>
      </w:r>
      <w:r w:rsidRPr="00882F11">
        <w:rPr>
          <w:rFonts w:cs="Guttman Drogolin" w:hint="cs"/>
          <w:rtl/>
          <w:lang w:bidi="he-IL"/>
        </w:rPr>
        <w:t xml:space="preserve">. </w:t>
      </w:r>
      <w:r w:rsidR="00653941" w:rsidRPr="00882F11">
        <w:rPr>
          <w:rFonts w:cs="Guttman Drogolin" w:hint="cs"/>
          <w:rtl/>
          <w:lang w:bidi="he-IL"/>
        </w:rPr>
        <w:t>ולכאורה אם כטעמו של היש"ש אין מקום לחלק בין איסורא בלע להיתירא בלע, דהא סוף סוף הנפק"מ גם בהיתירא בלע הוא לענין איסורא</w:t>
      </w:r>
      <w:r w:rsidR="006630BA" w:rsidRPr="00882F11">
        <w:rPr>
          <w:rStyle w:val="FootnoteReference"/>
          <w:rFonts w:cs="Guttman Drogolin"/>
          <w:rtl/>
          <w:lang w:bidi="he-IL"/>
        </w:rPr>
        <w:footnoteReference w:id="151"/>
      </w:r>
      <w:r w:rsidR="00653941" w:rsidRPr="00882F11">
        <w:rPr>
          <w:rFonts w:cs="Guttman Drogolin" w:hint="cs"/>
          <w:rtl/>
          <w:lang w:bidi="he-IL"/>
        </w:rPr>
        <w:t>. ולכאורה חזינן מהנהו ראשונים שההיתר של נ"ט בר נ"ט אליבא דשמואל הוא מטעם אחר</w:t>
      </w:r>
      <w:r w:rsidR="006630BA" w:rsidRPr="00882F11">
        <w:rPr>
          <w:rFonts w:cs="Guttman Drogolin" w:hint="cs"/>
          <w:rtl/>
          <w:lang w:bidi="he-IL"/>
        </w:rPr>
        <w:t xml:space="preserve">, וכן </w:t>
      </w:r>
      <w:r w:rsidR="002A179A" w:rsidRPr="00882F11">
        <w:rPr>
          <w:rFonts w:cs="Guttman Drogolin" w:hint="cs"/>
          <w:rtl/>
          <w:lang w:bidi="he-IL"/>
        </w:rPr>
        <w:t>מ</w:t>
      </w:r>
      <w:r w:rsidR="006630BA" w:rsidRPr="00882F11">
        <w:rPr>
          <w:rFonts w:cs="Guttman Drogolin" w:hint="cs"/>
          <w:rtl/>
          <w:lang w:bidi="he-IL"/>
        </w:rPr>
        <w:t xml:space="preserve">בואר </w:t>
      </w:r>
      <w:r w:rsidR="00FD0E4A" w:rsidRPr="00882F11">
        <w:rPr>
          <w:rFonts w:cs="Guttman Drogolin" w:hint="cs"/>
          <w:rtl/>
          <w:lang w:bidi="he-IL"/>
        </w:rPr>
        <w:t>בר"ן על הרי"ף וכן בשו"ת הרשב"א ח"א סי' תקט"ז</w:t>
      </w:r>
      <w:r w:rsidR="00653941" w:rsidRPr="00882F11">
        <w:rPr>
          <w:rFonts w:cs="Guttman Drogolin" w:hint="cs"/>
          <w:rtl/>
          <w:lang w:bidi="he-IL"/>
        </w:rPr>
        <w:t xml:space="preserve">. וכן לכאורה חזינן שאין הסתברות שלא יהא טועם את הטעם אם הוא נ"ט בר נ"ט, דהא א"כ שוב קשה הנ"ל למה לא היינו מתירים בדבר דהוא איסורא בלע. וביאור הענין </w:t>
      </w:r>
      <w:r w:rsidR="00653941" w:rsidRPr="00882F11">
        <w:rPr>
          <w:rFonts w:cs="Guttman Drogolin" w:hint="cs"/>
          <w:rtl/>
          <w:lang w:bidi="he-IL"/>
        </w:rPr>
        <w:lastRenderedPageBreak/>
        <w:t xml:space="preserve">שכשאינו אלא נ"ט בר נ"ט אמרינן שמסתמא </w:t>
      </w:r>
      <w:r w:rsidR="00BB00A9" w:rsidRPr="00882F11">
        <w:rPr>
          <w:rFonts w:cs="Guttman Drogolin" w:hint="cs"/>
          <w:rtl/>
          <w:lang w:bidi="he-IL"/>
        </w:rPr>
        <w:t>הוקלש הטעם</w:t>
      </w:r>
      <w:r w:rsidR="00EC745B" w:rsidRPr="00882F11">
        <w:rPr>
          <w:rStyle w:val="FootnoteReference"/>
          <w:rFonts w:cs="Guttman Drogolin"/>
          <w:rtl/>
          <w:lang w:bidi="he-IL"/>
        </w:rPr>
        <w:footnoteReference w:id="152"/>
      </w:r>
      <w:r w:rsidR="00BB00A9" w:rsidRPr="00882F11">
        <w:rPr>
          <w:rFonts w:cs="Guttman Drogolin" w:hint="cs"/>
          <w:rtl/>
          <w:lang w:bidi="he-IL"/>
        </w:rPr>
        <w:t xml:space="preserve">, </w:t>
      </w:r>
      <w:r w:rsidR="009F7703" w:rsidRPr="00882F11">
        <w:rPr>
          <w:rFonts w:cs="Guttman Drogolin" w:hint="cs"/>
          <w:rtl/>
          <w:lang w:bidi="he-IL"/>
        </w:rPr>
        <w:t xml:space="preserve">ולכן הוכיחו ממעשה דרב דסבר נ"ט בר נ"ט אסור, לא משום דחזינן שטעם את האיסור, אלא משום דסבר שנתן טעם 'כולי האי'. </w:t>
      </w:r>
      <w:r w:rsidR="00BB00A9" w:rsidRPr="00882F11">
        <w:rPr>
          <w:rFonts w:cs="Guttman Drogolin" w:hint="cs"/>
          <w:rtl/>
          <w:lang w:bidi="he-IL"/>
        </w:rPr>
        <w:t xml:space="preserve">ואע"פ שהוא נרגש, מ"מ </w:t>
      </w:r>
      <w:r w:rsidR="009F7703" w:rsidRPr="00882F11">
        <w:rPr>
          <w:rFonts w:cs="Guttman Drogolin" w:hint="cs"/>
          <w:rtl/>
          <w:lang w:bidi="he-IL"/>
        </w:rPr>
        <w:t>כיון דאיקליש א</w:t>
      </w:r>
      <w:r w:rsidR="00BB00A9" w:rsidRPr="00882F11">
        <w:rPr>
          <w:rFonts w:cs="Guttman Drogolin" w:hint="cs"/>
          <w:rtl/>
          <w:lang w:bidi="he-IL"/>
        </w:rPr>
        <w:t xml:space="preserve">ין בכחו לעשות חלות איסור. ולכן </w:t>
      </w:r>
      <w:r w:rsidR="00596A16" w:rsidRPr="00882F11">
        <w:rPr>
          <w:rFonts w:cs="Guttman Drogolin" w:hint="cs"/>
          <w:rtl/>
          <w:lang w:bidi="he-IL"/>
        </w:rPr>
        <w:t>אם הוא כבר טעמא ד</w:t>
      </w:r>
      <w:r w:rsidR="00BB00A9" w:rsidRPr="00882F11">
        <w:rPr>
          <w:rFonts w:cs="Guttman Drogolin" w:hint="cs"/>
          <w:rtl/>
          <w:lang w:bidi="he-IL"/>
        </w:rPr>
        <w:t xml:space="preserve">איסורא ואין צורך לעשות חלות איסור, גם טעם שהוקלש יהי' אסור. אבל כשאינו אלא היתירא, וצריך להחיל בה חלות איסור, כיון שהוקלש לא יחול עליו חלות איסור. </w:t>
      </w:r>
      <w:r w:rsidR="00596A16" w:rsidRPr="00882F11">
        <w:rPr>
          <w:rFonts w:cs="Guttman Drogolin" w:hint="cs"/>
          <w:rtl/>
          <w:lang w:bidi="he-IL"/>
        </w:rPr>
        <w:t>ובאמת צ"ע מנין להו לחז"ל דבר זה</w:t>
      </w:r>
      <w:r w:rsidR="006050D1" w:rsidRPr="00882F11">
        <w:rPr>
          <w:rStyle w:val="FootnoteReference"/>
          <w:rFonts w:cs="Guttman Drogolin"/>
          <w:rtl/>
          <w:lang w:bidi="he-IL"/>
        </w:rPr>
        <w:footnoteReference w:id="153"/>
      </w:r>
      <w:r w:rsidR="00596A16" w:rsidRPr="00882F11">
        <w:rPr>
          <w:rFonts w:cs="Guttman Drogolin" w:hint="cs"/>
          <w:rtl/>
          <w:lang w:bidi="he-IL"/>
        </w:rPr>
        <w:t>, שבשלמא אליבא דיש"ש יש לומר דקים להו לחז"ל שכן הוא המציאות שכבר ליכא טעם בענין כזה, אבל לפי מש"נ ע"פ הראשונים החולקים בין איסורא בלע לאיסורא בלע קשה. ובספר גינת ור</w:t>
      </w:r>
      <w:r w:rsidR="0072340D" w:rsidRPr="00882F11">
        <w:rPr>
          <w:rFonts w:cs="Guttman Drogolin" w:hint="cs"/>
          <w:rtl/>
          <w:lang w:bidi="he-IL"/>
        </w:rPr>
        <w:t>דים</w:t>
      </w:r>
      <w:r w:rsidR="00596A16" w:rsidRPr="00882F11">
        <w:rPr>
          <w:rFonts w:cs="Guttman Drogolin" w:hint="cs"/>
          <w:rtl/>
          <w:lang w:bidi="he-IL"/>
        </w:rPr>
        <w:t xml:space="preserve"> (לבעל הפמ"ג) ר"ל דע"כ אין החילוק אלא בדרבנן אבל מדאורייתא שניהם מותרים. וחוץ ממה שדקדק הפמ"ג עצמו (מש"ז סי' צ"ה ס"ק א') מלשון שו"ת הרשב"א</w:t>
      </w:r>
      <w:r w:rsidR="00F16616" w:rsidRPr="00882F11">
        <w:rPr>
          <w:rFonts w:cs="Guttman Drogolin" w:hint="cs"/>
          <w:rtl/>
          <w:lang w:bidi="he-IL"/>
        </w:rPr>
        <w:t xml:space="preserve"> </w:t>
      </w:r>
      <w:r w:rsidR="00596A16" w:rsidRPr="00882F11">
        <w:rPr>
          <w:rFonts w:cs="Guttman Drogolin" w:hint="cs"/>
          <w:rtl/>
          <w:lang w:bidi="he-IL"/>
        </w:rPr>
        <w:t xml:space="preserve">(סי' קט"ז) שהחילוק הוא בדין דאורייתא, מ"מ עצם החילוק קשה, שגם לחז"ל למה להו לחלק ביניהם. </w:t>
      </w:r>
      <w:r w:rsidR="0072340D" w:rsidRPr="00882F11">
        <w:rPr>
          <w:rFonts w:cs="Guttman Drogolin" w:hint="cs"/>
          <w:rtl/>
          <w:lang w:bidi="he-IL"/>
        </w:rPr>
        <w:t xml:space="preserve">וכן קשה שיש בזה מחלוקת בין רב לשמואל. </w:t>
      </w:r>
      <w:r w:rsidR="00596A16" w:rsidRPr="00882F11">
        <w:rPr>
          <w:rFonts w:cs="Guttman Drogolin" w:hint="cs"/>
          <w:rtl/>
          <w:lang w:bidi="he-IL"/>
        </w:rPr>
        <w:t>וצ"ע כעת.</w:t>
      </w:r>
    </w:p>
    <w:p w:rsidR="0007235E" w:rsidRPr="00882F11" w:rsidRDefault="0007235E" w:rsidP="0078079C">
      <w:pPr>
        <w:pStyle w:val="Heading1"/>
        <w:bidi/>
        <w:spacing w:before="0" w:line="360" w:lineRule="auto"/>
        <w:jc w:val="center"/>
        <w:rPr>
          <w:rFonts w:cs="Guttman Drogolin"/>
          <w:color w:val="auto"/>
          <w:sz w:val="24"/>
          <w:szCs w:val="24"/>
          <w:u w:val="single"/>
          <w:rtl/>
          <w:lang w:bidi="he-IL"/>
        </w:rPr>
      </w:pPr>
      <w:bookmarkStart w:id="142" w:name="_Toc496175400"/>
      <w:r w:rsidRPr="00882F11">
        <w:rPr>
          <w:rFonts w:cs="Guttman Drogolin" w:hint="cs"/>
          <w:color w:val="auto"/>
          <w:sz w:val="24"/>
          <w:szCs w:val="24"/>
          <w:u w:val="single"/>
          <w:rtl/>
          <w:lang w:bidi="he-IL"/>
        </w:rPr>
        <w:t>מהו נ"ט בר נ"ט</w:t>
      </w:r>
      <w:bookmarkEnd w:id="142"/>
    </w:p>
    <w:p w:rsidR="006050D1" w:rsidRPr="00882F11" w:rsidRDefault="00D36D22" w:rsidP="008B53FC">
      <w:pPr>
        <w:bidi/>
        <w:jc w:val="both"/>
        <w:rPr>
          <w:rFonts w:cs="Guttman Drogolin"/>
          <w:rtl/>
          <w:lang w:bidi="he-IL"/>
        </w:rPr>
      </w:pPr>
      <w:r>
        <w:rPr>
          <w:rFonts w:cs="Guttman Drogolin"/>
          <w:rtl/>
          <w:lang w:bidi="he-IL"/>
        </w:rPr>
        <w:fldChar w:fldCharType="begin"/>
      </w:r>
      <w:r>
        <w:instrText xml:space="preserve"> XE "</w:instrText>
      </w:r>
      <w:r w:rsidRPr="002E2B49">
        <w:rPr>
          <w:rFonts w:hint="cs"/>
          <w:rtl/>
          <w:lang w:bidi="he-IL"/>
        </w:rPr>
        <w:instrText>נ</w:instrText>
      </w:r>
      <w:r>
        <w:rPr>
          <w:rFonts w:eastAsiaTheme="minorEastAsia"/>
          <w:lang w:bidi="he-IL"/>
        </w:rPr>
        <w:instrText>\</w:instrText>
      </w:r>
      <w:r w:rsidRPr="002E2B49">
        <w:rPr>
          <w:rFonts w:hint="cs"/>
          <w:rtl/>
          <w:lang w:bidi="he-IL"/>
        </w:rPr>
        <w:instrText>"ט בר נ</w:instrText>
      </w:r>
      <w:r>
        <w:rPr>
          <w:rFonts w:eastAsiaTheme="minorEastAsia"/>
          <w:lang w:bidi="he-IL"/>
        </w:rPr>
        <w:instrText>\</w:instrText>
      </w:r>
      <w:r w:rsidRPr="002E2B49">
        <w:rPr>
          <w:rFonts w:hint="cs"/>
          <w:rtl/>
          <w:lang w:bidi="he-IL"/>
        </w:rPr>
        <w:instrText>"ט</w:instrText>
      </w:r>
      <w:r w:rsidRPr="002E2B49">
        <w:rPr>
          <w:rtl/>
        </w:rPr>
        <w:instrText>:</w:instrText>
      </w:r>
      <w:r w:rsidRPr="002E2B49">
        <w:rPr>
          <w:rFonts w:hint="cs"/>
          <w:rtl/>
          <w:lang w:bidi="he-IL"/>
        </w:rPr>
        <w:instrText>מה נחשב נ</w:instrText>
      </w:r>
      <w:r>
        <w:rPr>
          <w:rFonts w:eastAsiaTheme="minorEastAsia"/>
          <w:lang w:bidi="he-IL"/>
        </w:rPr>
        <w:instrText>\</w:instrText>
      </w:r>
      <w:r w:rsidRPr="002E2B49">
        <w:rPr>
          <w:rFonts w:hint="cs"/>
          <w:rtl/>
          <w:lang w:bidi="he-IL"/>
        </w:rPr>
        <w:instrText>"ט בר נ</w:instrText>
      </w:r>
      <w:r>
        <w:rPr>
          <w:rFonts w:eastAsiaTheme="minorEastAsia"/>
          <w:lang w:bidi="he-IL"/>
        </w:rPr>
        <w:instrText>\</w:instrText>
      </w:r>
      <w:r w:rsidRPr="002E2B49">
        <w:rPr>
          <w:rFonts w:hint="cs"/>
          <w:rtl/>
          <w:lang w:bidi="he-IL"/>
        </w:rPr>
        <w:instrText>"ט</w:instrText>
      </w:r>
      <w:r>
        <w:instrText xml:space="preserve">" </w:instrText>
      </w:r>
      <w:r>
        <w:rPr>
          <w:rFonts w:cs="Guttman Drogolin"/>
          <w:rtl/>
          <w:lang w:bidi="he-IL"/>
        </w:rPr>
        <w:fldChar w:fldCharType="end"/>
      </w:r>
      <w:r w:rsidR="0007235E" w:rsidRPr="00882F11">
        <w:rPr>
          <w:rFonts w:cs="Guttman Drogolin" w:hint="cs"/>
          <w:rtl/>
          <w:lang w:bidi="he-IL"/>
        </w:rPr>
        <w:t xml:space="preserve">לפום ריהטא לשון נ"ט בר נ"ט משמע </w:t>
      </w:r>
      <w:r w:rsidR="00C5430A" w:rsidRPr="00882F11">
        <w:rPr>
          <w:rFonts w:cs="Guttman Drogolin" w:hint="cs"/>
          <w:rtl/>
          <w:lang w:bidi="he-IL"/>
        </w:rPr>
        <w:t xml:space="preserve">שאמנם הטעם הראשון אסור (דזהו עיקר דינא דטכ"ע) </w:t>
      </w:r>
      <w:r w:rsidR="00255912" w:rsidRPr="00882F11">
        <w:rPr>
          <w:rFonts w:cs="Guttman Drogolin" w:hint="cs"/>
          <w:rtl/>
          <w:lang w:bidi="he-IL"/>
        </w:rPr>
        <w:t xml:space="preserve">אבל טעם השני מותר. ולכן הי' צריך להיות הדין שאם בישל בשר בקדרה הרי יש בקדרה טעם ראשון של בשר, ואם בישל גבינה לאחר מכן באותה קדרה הרי זה טעם שני ומותר. </w:t>
      </w:r>
      <w:r w:rsidR="0072340D" w:rsidRPr="00882F11">
        <w:rPr>
          <w:rFonts w:cs="Guttman Drogolin" w:hint="cs"/>
          <w:rtl/>
          <w:lang w:bidi="he-IL"/>
        </w:rPr>
        <w:t>אלא דא"כ יש כמה קושיות, חדא שהדוגמא של הגמ' שנחלקו בה רב ושמואל נראה דכה"ג אסור, דהא לא נחלקו אלא בדגים שעלו בקערה (</w:t>
      </w:r>
      <w:r w:rsidR="008A554D" w:rsidRPr="00882F11">
        <w:rPr>
          <w:rFonts w:cs="Guttman Drogolin" w:hint="cs"/>
          <w:rtl/>
          <w:lang w:bidi="he-IL"/>
        </w:rPr>
        <w:t xml:space="preserve">פי' קערה </w:t>
      </w:r>
      <w:r w:rsidR="0072340D" w:rsidRPr="00882F11">
        <w:rPr>
          <w:rFonts w:cs="Guttman Drogolin" w:hint="cs"/>
          <w:rtl/>
          <w:lang w:bidi="he-IL"/>
        </w:rPr>
        <w:t xml:space="preserve">שעלה בה </w:t>
      </w:r>
      <w:r w:rsidR="0072340D" w:rsidRPr="00882F11">
        <w:rPr>
          <w:rFonts w:cs="Guttman Drogolin" w:hint="cs"/>
          <w:rtl/>
          <w:lang w:bidi="he-IL"/>
        </w:rPr>
        <w:lastRenderedPageBreak/>
        <w:t>בשר רותח) אם מותר לאכלן בכותח (פי' מאכל חלבי) או לא. ומדויק מזה דאילו כותח עצמו באותה קערה הי' אסור. וכן דברים מפורשים לעיל בדף צ"ז ע"א בברייתא שכתוב בה "קדרה</w:t>
      </w:r>
      <w:r w:rsidR="0072340D" w:rsidRPr="00882F11">
        <w:rPr>
          <w:rFonts w:cs="Guttman Drogolin"/>
          <w:rtl/>
          <w:lang w:bidi="he-IL"/>
        </w:rPr>
        <w:t xml:space="preserve"> </w:t>
      </w:r>
      <w:r w:rsidR="0072340D" w:rsidRPr="00882F11">
        <w:rPr>
          <w:rFonts w:cs="Guttman Drogolin" w:hint="cs"/>
          <w:rtl/>
          <w:lang w:bidi="he-IL"/>
        </w:rPr>
        <w:t>שבשל</w:t>
      </w:r>
      <w:r w:rsidR="0072340D" w:rsidRPr="00882F11">
        <w:rPr>
          <w:rFonts w:cs="Guttman Drogolin"/>
          <w:rtl/>
          <w:lang w:bidi="he-IL"/>
        </w:rPr>
        <w:t xml:space="preserve"> </w:t>
      </w:r>
      <w:r w:rsidR="0072340D" w:rsidRPr="00882F11">
        <w:rPr>
          <w:rFonts w:cs="Guttman Drogolin" w:hint="cs"/>
          <w:rtl/>
          <w:lang w:bidi="he-IL"/>
        </w:rPr>
        <w:t>בה</w:t>
      </w:r>
      <w:r w:rsidR="0072340D" w:rsidRPr="00882F11">
        <w:rPr>
          <w:rFonts w:cs="Guttman Drogolin"/>
          <w:rtl/>
          <w:lang w:bidi="he-IL"/>
        </w:rPr>
        <w:t xml:space="preserve"> </w:t>
      </w:r>
      <w:r w:rsidR="0072340D" w:rsidRPr="00882F11">
        <w:rPr>
          <w:rFonts w:cs="Guttman Drogolin" w:hint="cs"/>
          <w:rtl/>
          <w:lang w:bidi="he-IL"/>
        </w:rPr>
        <w:t>בשר</w:t>
      </w:r>
      <w:r w:rsidR="0072340D" w:rsidRPr="00882F11">
        <w:rPr>
          <w:rFonts w:cs="Guttman Drogolin"/>
          <w:rtl/>
          <w:lang w:bidi="he-IL"/>
        </w:rPr>
        <w:t xml:space="preserve"> </w:t>
      </w:r>
      <w:r w:rsidR="0072340D" w:rsidRPr="00882F11">
        <w:rPr>
          <w:rFonts w:cs="Guttman Drogolin" w:hint="cs"/>
          <w:rtl/>
          <w:lang w:bidi="he-IL"/>
        </w:rPr>
        <w:t>לא</w:t>
      </w:r>
      <w:r w:rsidR="0072340D" w:rsidRPr="00882F11">
        <w:rPr>
          <w:rFonts w:cs="Guttman Drogolin"/>
          <w:rtl/>
          <w:lang w:bidi="he-IL"/>
        </w:rPr>
        <w:t xml:space="preserve"> </w:t>
      </w:r>
      <w:r w:rsidR="0072340D" w:rsidRPr="00882F11">
        <w:rPr>
          <w:rFonts w:cs="Guttman Drogolin" w:hint="cs"/>
          <w:rtl/>
          <w:lang w:bidi="he-IL"/>
        </w:rPr>
        <w:t>יבשל</w:t>
      </w:r>
      <w:r w:rsidR="0072340D" w:rsidRPr="00882F11">
        <w:rPr>
          <w:rFonts w:cs="Guttman Drogolin"/>
          <w:rtl/>
          <w:lang w:bidi="he-IL"/>
        </w:rPr>
        <w:t xml:space="preserve"> </w:t>
      </w:r>
      <w:r w:rsidR="0072340D" w:rsidRPr="00882F11">
        <w:rPr>
          <w:rFonts w:cs="Guttman Drogolin" w:hint="cs"/>
          <w:rtl/>
          <w:lang w:bidi="he-IL"/>
        </w:rPr>
        <w:t>בה</w:t>
      </w:r>
      <w:r w:rsidR="0072340D" w:rsidRPr="00882F11">
        <w:rPr>
          <w:rFonts w:cs="Guttman Drogolin"/>
          <w:rtl/>
          <w:lang w:bidi="he-IL"/>
        </w:rPr>
        <w:t xml:space="preserve"> </w:t>
      </w:r>
      <w:r w:rsidR="0072340D" w:rsidRPr="00882F11">
        <w:rPr>
          <w:rFonts w:cs="Guttman Drogolin" w:hint="cs"/>
          <w:rtl/>
          <w:lang w:bidi="he-IL"/>
        </w:rPr>
        <w:t>חלב</w:t>
      </w:r>
      <w:r w:rsidR="0072340D" w:rsidRPr="00882F11">
        <w:rPr>
          <w:rFonts w:cs="Guttman Drogolin"/>
          <w:rtl/>
          <w:lang w:bidi="he-IL"/>
        </w:rPr>
        <w:t xml:space="preserve"> </w:t>
      </w:r>
      <w:r w:rsidR="0072340D" w:rsidRPr="00882F11">
        <w:rPr>
          <w:rFonts w:cs="Guttman Drogolin" w:hint="cs"/>
          <w:rtl/>
          <w:lang w:bidi="he-IL"/>
        </w:rPr>
        <w:t>ואם</w:t>
      </w:r>
      <w:r w:rsidR="0072340D" w:rsidRPr="00882F11">
        <w:rPr>
          <w:rFonts w:cs="Guttman Drogolin"/>
          <w:rtl/>
          <w:lang w:bidi="he-IL"/>
        </w:rPr>
        <w:t xml:space="preserve"> </w:t>
      </w:r>
      <w:r w:rsidR="0072340D" w:rsidRPr="00882F11">
        <w:rPr>
          <w:rFonts w:cs="Guttman Drogolin" w:hint="cs"/>
          <w:rtl/>
          <w:lang w:bidi="he-IL"/>
        </w:rPr>
        <w:t>בשל</w:t>
      </w:r>
      <w:r w:rsidR="0072340D" w:rsidRPr="00882F11">
        <w:rPr>
          <w:rFonts w:cs="Guttman Drogolin"/>
          <w:rtl/>
          <w:lang w:bidi="he-IL"/>
        </w:rPr>
        <w:t xml:space="preserve"> </w:t>
      </w:r>
      <w:r w:rsidR="0072340D" w:rsidRPr="00882F11">
        <w:rPr>
          <w:rFonts w:cs="Guttman Drogolin" w:hint="cs"/>
          <w:rtl/>
          <w:lang w:bidi="he-IL"/>
        </w:rPr>
        <w:t>בנותן</w:t>
      </w:r>
      <w:r w:rsidR="0072340D" w:rsidRPr="00882F11">
        <w:rPr>
          <w:rFonts w:cs="Guttman Drogolin"/>
          <w:rtl/>
          <w:lang w:bidi="he-IL"/>
        </w:rPr>
        <w:t xml:space="preserve"> </w:t>
      </w:r>
      <w:r w:rsidR="0072340D" w:rsidRPr="00882F11">
        <w:rPr>
          <w:rFonts w:cs="Guttman Drogolin" w:hint="cs"/>
          <w:rtl/>
          <w:lang w:bidi="he-IL"/>
        </w:rPr>
        <w:t>טעם", ולפי הנ"ל הי' צריך להיות מותר אפילו אם יכול לטעום אותו.</w:t>
      </w:r>
      <w:r w:rsidR="006050D1" w:rsidRPr="00882F11">
        <w:rPr>
          <w:rFonts w:cs="Guttman Drogolin" w:hint="cs"/>
          <w:rtl/>
          <w:lang w:bidi="he-IL"/>
        </w:rPr>
        <w:t xml:space="preserve"> ועוד קשה הגמ' שבמס' פסחים דף ע"ו ע"ב שאמרו שדג שנצלה באותה תנור עם בש</w:t>
      </w:r>
      <w:r w:rsidR="006630BA" w:rsidRPr="00882F11">
        <w:rPr>
          <w:rFonts w:cs="Guttman Drogolin" w:hint="cs"/>
          <w:rtl/>
          <w:lang w:bidi="he-IL"/>
        </w:rPr>
        <w:t>ר</w:t>
      </w:r>
      <w:r w:rsidR="006050D1" w:rsidRPr="00882F11">
        <w:rPr>
          <w:rFonts w:cs="Guttman Drogolin" w:hint="cs"/>
          <w:rtl/>
          <w:lang w:bidi="he-IL"/>
        </w:rPr>
        <w:t xml:space="preserve"> אסור לכתחילה עם חלב, וצ"ע דהא עד שיגיע לחלב טעם שני הוא.</w:t>
      </w:r>
      <w:r w:rsidR="0072340D" w:rsidRPr="00882F11">
        <w:rPr>
          <w:rFonts w:cs="Guttman Drogolin" w:hint="cs"/>
          <w:rtl/>
          <w:lang w:bidi="he-IL"/>
        </w:rPr>
        <w:t xml:space="preserve"> והוכיח מזה הרמב"ן ועוד דע"כ ההיתר של נ"ט בר נ"ט צריך עוד נתינת טעם שלישי כדי להיות מותר. ולכאורה לדבריו </w:t>
      </w:r>
      <w:r w:rsidR="006050D1" w:rsidRPr="00882F11">
        <w:rPr>
          <w:rFonts w:cs="Guttman Drogolin" w:hint="cs"/>
          <w:rtl/>
          <w:lang w:bidi="he-IL"/>
        </w:rPr>
        <w:t>בלשון של נ"ט בר נ"ט אין הכוונה שהנ"ט בר נ"ט איננה אסורה, רק שהנ"ט בר נ"ט אינה אוסרת. ודבר זה מטעים אם היסוד של כמה ראושנים שאין ההיתר של נ"ט בר נ"ט קיים אלא בהיתירא, שהענין של נ"ט בר נ"ט היא שאינה אוסרת.</w:t>
      </w:r>
    </w:p>
    <w:p w:rsidR="006050D1" w:rsidRPr="00882F11" w:rsidRDefault="006050D1" w:rsidP="006E7211">
      <w:pPr>
        <w:bidi/>
        <w:jc w:val="both"/>
        <w:rPr>
          <w:rFonts w:cs="Guttman Drogolin"/>
          <w:rtl/>
          <w:lang w:bidi="he-IL"/>
        </w:rPr>
      </w:pPr>
      <w:r w:rsidRPr="00882F11">
        <w:rPr>
          <w:rFonts w:cs="Guttman Drogolin" w:hint="cs"/>
          <w:rtl/>
          <w:lang w:bidi="he-IL"/>
        </w:rPr>
        <w:t>אלא דלכאורה קשה, שאם באמת צריכים עוד טעם שלישי כדי שיהא מותר מדין נ"ט ב"ר נ"ט, נהי נמי שאין כח בטעם הבשר שבדג לאסור החלב, אבל למה החלב אינה יכולה לאסור את הבשר, הא הטעם חלב שב</w:t>
      </w:r>
      <w:r w:rsidR="006E7211" w:rsidRPr="00882F11">
        <w:rPr>
          <w:rFonts w:cs="Guttman Drogolin" w:hint="cs"/>
          <w:rtl/>
          <w:lang w:bidi="he-IL"/>
        </w:rPr>
        <w:t>דג</w:t>
      </w:r>
      <w:r w:rsidRPr="00882F11">
        <w:rPr>
          <w:rFonts w:cs="Guttman Drogolin" w:hint="cs"/>
          <w:rtl/>
          <w:lang w:bidi="he-IL"/>
        </w:rPr>
        <w:t xml:space="preserve"> לא יהי' טעם שלישי לכשיכנס לתוך הטעם בשר שבדג. ובשו"ת רע"א סי' ר"ז </w:t>
      </w:r>
      <w:r w:rsidR="0095137B" w:rsidRPr="00882F11">
        <w:rPr>
          <w:rFonts w:cs="Guttman Drogolin" w:hint="cs"/>
          <w:rtl/>
          <w:lang w:bidi="he-IL"/>
        </w:rPr>
        <w:t xml:space="preserve">כתב דע"כ סבר הרמב"ן שאי אפשר לעשות חפצא של בשר בחלב אא"כ גם הבשר אוסרת את החלב וגם החלב אוסתר את הבשר. </w:t>
      </w:r>
      <w:r w:rsidR="00B24C75" w:rsidRPr="00882F11">
        <w:rPr>
          <w:rFonts w:cs="Guttman Drogolin" w:hint="cs"/>
          <w:rtl/>
          <w:lang w:bidi="he-IL"/>
        </w:rPr>
        <w:t>ונראה להדגיש, דאע"ג שהי' הו"א בגמ' שבדף ק"ח ע"א דבשר</w:t>
      </w:r>
      <w:r w:rsidRPr="00882F11">
        <w:rPr>
          <w:rFonts w:cs="Guttman Drogolin" w:hint="cs"/>
          <w:rtl/>
          <w:lang w:bidi="he-IL"/>
        </w:rPr>
        <w:t xml:space="preserve"> </w:t>
      </w:r>
      <w:r w:rsidR="00B24C75" w:rsidRPr="00882F11">
        <w:rPr>
          <w:rFonts w:cs="Guttman Drogolin" w:hint="cs"/>
          <w:rtl/>
          <w:lang w:bidi="he-IL"/>
        </w:rPr>
        <w:t>אסרה תורה ולא חלב, ובודאי לפי הו"א זה אין הבשר צריך לאסור את החלב דהא לא נאסר, מ"מ סבר הרמב"ן אליבא דרע"א שכל זה הוא להו"</w:t>
      </w:r>
      <w:r w:rsidR="00A8659A" w:rsidRPr="00882F11">
        <w:rPr>
          <w:rFonts w:cs="Guttman Drogolin" w:hint="cs"/>
          <w:rtl/>
          <w:lang w:bidi="he-IL"/>
        </w:rPr>
        <w:t>א</w:t>
      </w:r>
      <w:r w:rsidR="00B24C75" w:rsidRPr="00882F11">
        <w:rPr>
          <w:rFonts w:cs="Guttman Drogolin" w:hint="cs"/>
          <w:rtl/>
          <w:lang w:bidi="he-IL"/>
        </w:rPr>
        <w:t xml:space="preserve"> של הגמ', אבל למסקנא ששניהם נאסרים דבר זה הוא לעיכובא שיהיו שניהם נאסרים.  </w:t>
      </w:r>
      <w:r w:rsidRPr="00882F11">
        <w:rPr>
          <w:rFonts w:cs="Guttman Drogolin" w:hint="cs"/>
          <w:rtl/>
          <w:lang w:bidi="he-IL"/>
        </w:rPr>
        <w:t xml:space="preserve"> </w:t>
      </w:r>
    </w:p>
    <w:p w:rsidR="00822AF8" w:rsidRPr="00882F11" w:rsidRDefault="006050D1" w:rsidP="00D577B8">
      <w:pPr>
        <w:bidi/>
        <w:jc w:val="both"/>
        <w:rPr>
          <w:rFonts w:cs="Guttman Drogolin"/>
          <w:rtl/>
          <w:lang w:bidi="he-IL"/>
        </w:rPr>
      </w:pPr>
      <w:r w:rsidRPr="00882F11">
        <w:rPr>
          <w:rFonts w:cs="Guttman Drogolin" w:hint="cs"/>
          <w:rtl/>
          <w:lang w:bidi="he-IL"/>
        </w:rPr>
        <w:lastRenderedPageBreak/>
        <w:t>אמנם הראשונים מביאים שיטה הסוברת שבאמת הטעם השני אינה נאסרת</w:t>
      </w:r>
      <w:r w:rsidR="00D577B8" w:rsidRPr="00882F11">
        <w:rPr>
          <w:rFonts w:cs="Guttman Drogolin" w:hint="cs"/>
          <w:rtl/>
          <w:lang w:bidi="he-IL"/>
        </w:rPr>
        <w:t xml:space="preserve"> (ושם ברמב"ן הביא דיתכן שזהו שיטת רש"י בדף קט"ז ע"ב)</w:t>
      </w:r>
      <w:r w:rsidRPr="00882F11">
        <w:rPr>
          <w:rFonts w:cs="Guttman Drogolin" w:hint="cs"/>
          <w:rtl/>
          <w:lang w:bidi="he-IL"/>
        </w:rPr>
        <w:t xml:space="preserve">. </w:t>
      </w:r>
      <w:r w:rsidR="009F7703" w:rsidRPr="00882F11">
        <w:rPr>
          <w:rFonts w:cs="Guttman Drogolin" w:hint="cs"/>
          <w:rtl/>
          <w:lang w:bidi="he-IL"/>
        </w:rPr>
        <w:t xml:space="preserve">וראיתם ממעשה דרב דהא האי מישחא לכאורה טעם שני הוא, מ"מ הביאו ראי' מיני' דנ"ט בר נ"ט אסור. </w:t>
      </w:r>
      <w:r w:rsidRPr="00882F11">
        <w:rPr>
          <w:rFonts w:cs="Guttman Drogolin" w:hint="cs"/>
          <w:rtl/>
          <w:lang w:bidi="he-IL"/>
        </w:rPr>
        <w:t>ואי לענין הקושיות הנ"ל, י"ל שה'קערה' שעלו בה דגים הי' בה בשר, ולכן אין זה ב' נתינות טעם בדגים. ולענים הברייתא דלעיל בדף צ"ז ע"א י"ל דנתבשלו שאני וכמו שדנו כמה ראשונים (ולכאורה זהו ג"כ היישוב בגמ' שבמס' פסחים הנ"ל).</w:t>
      </w:r>
      <w:r w:rsidR="009F7703" w:rsidRPr="00882F11">
        <w:rPr>
          <w:rFonts w:cs="Guttman Drogolin" w:hint="cs"/>
          <w:rtl/>
          <w:lang w:bidi="he-IL"/>
        </w:rPr>
        <w:t xml:space="preserve"> וע' ברמב"ן שכתב ש</w:t>
      </w:r>
      <w:r w:rsidR="00343B11" w:rsidRPr="00882F11">
        <w:rPr>
          <w:rFonts w:cs="Guttman Drogolin" w:hint="cs"/>
          <w:rtl/>
          <w:lang w:bidi="he-IL"/>
        </w:rPr>
        <w:t>אין פירוש זה נכון (ולא ביאר למה), ולענין הראי' ממעשה דרב פי' שהדבר מר הי' דבר שנתן טעם במשחה, ולכן בקדרה כבר היתה נ"ט בר נ"ט ולא היו צריכים לדגים.</w:t>
      </w:r>
      <w:r w:rsidRPr="00882F11">
        <w:rPr>
          <w:rFonts w:cs="Guttman Drogolin" w:hint="cs"/>
          <w:rtl/>
          <w:lang w:bidi="he-IL"/>
        </w:rPr>
        <w:t xml:space="preserve"> </w:t>
      </w:r>
    </w:p>
    <w:p w:rsidR="000A3C39" w:rsidRPr="00882F11" w:rsidRDefault="00822AF8" w:rsidP="000A3C39">
      <w:pPr>
        <w:bidi/>
        <w:jc w:val="both"/>
        <w:rPr>
          <w:rFonts w:cs="Guttman Drogolin"/>
          <w:rtl/>
          <w:lang w:bidi="he-IL"/>
        </w:rPr>
      </w:pPr>
      <w:r w:rsidRPr="00882F11">
        <w:rPr>
          <w:rFonts w:cs="Guttman Drogolin" w:hint="cs"/>
          <w:rtl/>
          <w:lang w:bidi="he-IL"/>
        </w:rPr>
        <w:t xml:space="preserve">והנה שם בשו"ת רע"א דקדק מדברי התוס' בסוגיין דלא סברי כרמב"ן, דהא הוכיחו </w:t>
      </w:r>
      <w:r w:rsidR="00AD3D99" w:rsidRPr="00882F11">
        <w:rPr>
          <w:rFonts w:cs="Guttman Drogolin" w:hint="cs"/>
          <w:rtl/>
          <w:lang w:bidi="he-IL"/>
        </w:rPr>
        <w:t>כשיטה הסוברת שאין מחמירים בנתבשלו יותר מעל</w:t>
      </w:r>
      <w:r w:rsidR="00A8659A" w:rsidRPr="00882F11">
        <w:rPr>
          <w:rFonts w:cs="Guttman Drogolin" w:hint="cs"/>
          <w:rtl/>
          <w:lang w:bidi="he-IL"/>
        </w:rPr>
        <w:t>ו מזה שהתירו לבשל שלמים כל יום ב</w:t>
      </w:r>
      <w:r w:rsidR="00AD3D99" w:rsidRPr="00882F11">
        <w:rPr>
          <w:rFonts w:cs="Guttman Drogolin" w:hint="cs"/>
          <w:rtl/>
          <w:lang w:bidi="he-IL"/>
        </w:rPr>
        <w:t xml:space="preserve">אותו כלי ולא אמרינן שהשלמים של </w:t>
      </w:r>
      <w:r w:rsidR="0004048B" w:rsidRPr="00882F11">
        <w:rPr>
          <w:rFonts w:cs="Guttman Drogolin" w:hint="cs"/>
          <w:rtl/>
          <w:lang w:bidi="he-IL"/>
        </w:rPr>
        <w:t xml:space="preserve">יום א' יהי' נותר ביום השלישי, והטעם משום דכל יום נעשה גיעול לחבירו, ואילו היינו מחמירים בנתבשלו הא אין כאן היתר של נ"ט בר נ"ט וא"כ מה איכפת לן שכל יום נעשה גיעול לחבירו. וע"כ סוברים התוס' שהטעם שלמים של יום א' שנכנס לתוך השלמים של מחר מותר מדין נ"ט בר נ"ט, והא טעם שני הוא. ולכאורה א"כ תיקשי להו הקושיות הנ"ל. ואין ליישב לשיטתם דשאני הברייתא דלעיל בדף צ"ז ע"א משום דנתבשלו, דהא על זה גופא רוצים התוס' להוכיח שאין חילוק בין נתבשלו לעלו. </w:t>
      </w:r>
      <w:r w:rsidR="000A3C39" w:rsidRPr="00882F11">
        <w:rPr>
          <w:rFonts w:cs="Guttman Drogolin" w:hint="cs"/>
          <w:rtl/>
          <w:lang w:bidi="he-IL"/>
        </w:rPr>
        <w:t>וע' בדבריהם</w:t>
      </w:r>
      <w:r w:rsidR="00C50BB4" w:rsidRPr="00882F11">
        <w:rPr>
          <w:rFonts w:cs="Guttman Drogolin" w:hint="cs"/>
          <w:rtl/>
          <w:lang w:bidi="he-IL"/>
        </w:rPr>
        <w:t xml:space="preserve"> במס' זבחים דף צ"</w:t>
      </w:r>
      <w:r w:rsidR="000A3C39" w:rsidRPr="00882F11">
        <w:rPr>
          <w:rFonts w:cs="Guttman Drogolin" w:hint="cs"/>
          <w:rtl/>
          <w:lang w:bidi="he-IL"/>
        </w:rPr>
        <w:t>ו ע"א ד"ה ואם שאין להביא ראי' שנתבשלו הרי הוא חמיר מעלו מברייתא שבדף צ"ז ע"א "דהתם</w:t>
      </w:r>
      <w:r w:rsidR="000A3C39" w:rsidRPr="00882F11">
        <w:rPr>
          <w:rFonts w:cs="Guttman Drogolin"/>
          <w:rtl/>
          <w:lang w:bidi="he-IL"/>
        </w:rPr>
        <w:t xml:space="preserve"> </w:t>
      </w:r>
      <w:r w:rsidR="000A3C39" w:rsidRPr="00882F11">
        <w:rPr>
          <w:rFonts w:cs="Guttman Drogolin" w:hint="cs"/>
          <w:rtl/>
          <w:lang w:bidi="he-IL"/>
        </w:rPr>
        <w:t>לאו</w:t>
      </w:r>
      <w:r w:rsidR="000A3C39" w:rsidRPr="00882F11">
        <w:rPr>
          <w:rFonts w:cs="Guttman Drogolin"/>
          <w:rtl/>
          <w:lang w:bidi="he-IL"/>
        </w:rPr>
        <w:t xml:space="preserve"> </w:t>
      </w:r>
      <w:r w:rsidR="000A3C39" w:rsidRPr="00882F11">
        <w:rPr>
          <w:rFonts w:cs="Guttman Drogolin" w:hint="cs"/>
          <w:rtl/>
          <w:lang w:bidi="he-IL"/>
        </w:rPr>
        <w:t>נותן</w:t>
      </w:r>
      <w:r w:rsidR="000A3C39" w:rsidRPr="00882F11">
        <w:rPr>
          <w:rFonts w:cs="Guttman Drogolin"/>
          <w:rtl/>
          <w:lang w:bidi="he-IL"/>
        </w:rPr>
        <w:t xml:space="preserve"> </w:t>
      </w:r>
      <w:r w:rsidR="000A3C39" w:rsidRPr="00882F11">
        <w:rPr>
          <w:rFonts w:cs="Guttman Drogolin" w:hint="cs"/>
          <w:rtl/>
          <w:lang w:bidi="he-IL"/>
        </w:rPr>
        <w:t>טעם</w:t>
      </w:r>
      <w:r w:rsidR="000A3C39" w:rsidRPr="00882F11">
        <w:rPr>
          <w:rFonts w:cs="Guttman Drogolin"/>
          <w:rtl/>
          <w:lang w:bidi="he-IL"/>
        </w:rPr>
        <w:t xml:space="preserve"> </w:t>
      </w:r>
      <w:r w:rsidR="000A3C39" w:rsidRPr="00882F11">
        <w:rPr>
          <w:rFonts w:cs="Guttman Drogolin" w:hint="cs"/>
          <w:rtl/>
          <w:lang w:bidi="he-IL"/>
        </w:rPr>
        <w:t>בר</w:t>
      </w:r>
      <w:r w:rsidR="000A3C39" w:rsidRPr="00882F11">
        <w:rPr>
          <w:rFonts w:cs="Guttman Drogolin"/>
          <w:rtl/>
          <w:lang w:bidi="he-IL"/>
        </w:rPr>
        <w:t xml:space="preserve"> </w:t>
      </w:r>
      <w:r w:rsidR="000A3C39" w:rsidRPr="00882F11">
        <w:rPr>
          <w:rFonts w:cs="Guttman Drogolin" w:hint="cs"/>
          <w:rtl/>
          <w:lang w:bidi="he-IL"/>
        </w:rPr>
        <w:t>נותן</w:t>
      </w:r>
      <w:r w:rsidR="000A3C39" w:rsidRPr="00882F11">
        <w:rPr>
          <w:rFonts w:cs="Guttman Drogolin"/>
          <w:rtl/>
          <w:lang w:bidi="he-IL"/>
        </w:rPr>
        <w:t xml:space="preserve"> </w:t>
      </w:r>
      <w:r w:rsidR="000A3C39" w:rsidRPr="00882F11">
        <w:rPr>
          <w:rFonts w:cs="Guttman Drogolin" w:hint="cs"/>
          <w:rtl/>
          <w:lang w:bidi="he-IL"/>
        </w:rPr>
        <w:t>טעם</w:t>
      </w:r>
      <w:r w:rsidR="000A3C39" w:rsidRPr="00882F11">
        <w:rPr>
          <w:rFonts w:cs="Guttman Drogolin"/>
          <w:rtl/>
          <w:lang w:bidi="he-IL"/>
        </w:rPr>
        <w:t xml:space="preserve"> </w:t>
      </w:r>
      <w:r w:rsidR="000A3C39" w:rsidRPr="00882F11">
        <w:rPr>
          <w:rFonts w:cs="Guttman Drogolin" w:hint="cs"/>
          <w:rtl/>
          <w:lang w:bidi="he-IL"/>
        </w:rPr>
        <w:t>הוא</w:t>
      </w:r>
      <w:r w:rsidR="000A3C39" w:rsidRPr="00882F11">
        <w:rPr>
          <w:rFonts w:cs="Guttman Drogolin"/>
          <w:rtl/>
          <w:lang w:bidi="he-IL"/>
        </w:rPr>
        <w:t xml:space="preserve"> </w:t>
      </w:r>
      <w:r w:rsidR="000A3C39" w:rsidRPr="00882F11">
        <w:rPr>
          <w:rFonts w:cs="Guttman Drogolin" w:hint="cs"/>
          <w:rtl/>
          <w:lang w:bidi="he-IL"/>
        </w:rPr>
        <w:t>שהטעם</w:t>
      </w:r>
      <w:r w:rsidR="000A3C39" w:rsidRPr="00882F11">
        <w:rPr>
          <w:rFonts w:cs="Guttman Drogolin"/>
          <w:rtl/>
          <w:lang w:bidi="he-IL"/>
        </w:rPr>
        <w:t xml:space="preserve"> </w:t>
      </w:r>
      <w:r w:rsidR="000A3C39" w:rsidRPr="00882F11">
        <w:rPr>
          <w:rFonts w:cs="Guttman Drogolin" w:hint="cs"/>
          <w:rtl/>
          <w:lang w:bidi="he-IL"/>
        </w:rPr>
        <w:t>שני</w:t>
      </w:r>
      <w:r w:rsidR="000A3C39" w:rsidRPr="00882F11">
        <w:rPr>
          <w:rFonts w:cs="Guttman Drogolin"/>
          <w:rtl/>
          <w:lang w:bidi="he-IL"/>
        </w:rPr>
        <w:t xml:space="preserve"> </w:t>
      </w:r>
      <w:r w:rsidR="000A3C39" w:rsidRPr="00882F11">
        <w:rPr>
          <w:rFonts w:cs="Guttman Drogolin" w:hint="cs"/>
          <w:rtl/>
          <w:lang w:bidi="he-IL"/>
        </w:rPr>
        <w:t>באיסור</w:t>
      </w:r>
      <w:r w:rsidR="000A3C39" w:rsidRPr="00882F11">
        <w:rPr>
          <w:rFonts w:cs="Guttman Drogolin"/>
          <w:rtl/>
          <w:lang w:bidi="he-IL"/>
        </w:rPr>
        <w:t xml:space="preserve"> </w:t>
      </w:r>
      <w:r w:rsidR="000A3C39" w:rsidRPr="00882F11">
        <w:rPr>
          <w:rFonts w:cs="Guttman Drogolin" w:hint="cs"/>
          <w:rtl/>
          <w:lang w:bidi="he-IL"/>
        </w:rPr>
        <w:t>אבל</w:t>
      </w:r>
      <w:r w:rsidR="000A3C39" w:rsidRPr="00882F11">
        <w:rPr>
          <w:rFonts w:cs="Guttman Drogolin"/>
          <w:rtl/>
          <w:lang w:bidi="he-IL"/>
        </w:rPr>
        <w:t xml:space="preserve"> </w:t>
      </w:r>
      <w:r w:rsidR="000A3C39" w:rsidRPr="00882F11">
        <w:rPr>
          <w:rFonts w:cs="Guttman Drogolin" w:hint="cs"/>
          <w:rtl/>
          <w:lang w:bidi="he-IL"/>
        </w:rPr>
        <w:t>כאן</w:t>
      </w:r>
      <w:r w:rsidR="000A3C39" w:rsidRPr="00882F11">
        <w:rPr>
          <w:rFonts w:cs="Guttman Drogolin"/>
          <w:rtl/>
          <w:lang w:bidi="he-IL"/>
        </w:rPr>
        <w:t xml:space="preserve"> </w:t>
      </w:r>
      <w:r w:rsidR="000A3C39" w:rsidRPr="00882F11">
        <w:rPr>
          <w:rFonts w:cs="Guttman Drogolin" w:hint="cs"/>
          <w:rtl/>
          <w:lang w:bidi="he-IL"/>
        </w:rPr>
        <w:t>הטעם</w:t>
      </w:r>
      <w:r w:rsidR="000A3C39" w:rsidRPr="00882F11">
        <w:rPr>
          <w:rFonts w:cs="Guttman Drogolin"/>
          <w:rtl/>
          <w:lang w:bidi="he-IL"/>
        </w:rPr>
        <w:t xml:space="preserve"> </w:t>
      </w:r>
      <w:r w:rsidR="000A3C39" w:rsidRPr="00882F11">
        <w:rPr>
          <w:rFonts w:cs="Guttman Drogolin" w:hint="cs"/>
          <w:rtl/>
          <w:lang w:bidi="he-IL"/>
        </w:rPr>
        <w:t>שני</w:t>
      </w:r>
      <w:r w:rsidR="000A3C39" w:rsidRPr="00882F11">
        <w:rPr>
          <w:rFonts w:cs="Guttman Drogolin"/>
          <w:rtl/>
          <w:lang w:bidi="he-IL"/>
        </w:rPr>
        <w:t xml:space="preserve"> </w:t>
      </w:r>
      <w:r w:rsidR="000A3C39" w:rsidRPr="00882F11">
        <w:rPr>
          <w:rFonts w:cs="Guttman Drogolin" w:hint="cs"/>
          <w:rtl/>
          <w:lang w:bidi="he-IL"/>
        </w:rPr>
        <w:t>בהיתר</w:t>
      </w:r>
      <w:r w:rsidR="000A3C39" w:rsidRPr="00882F11">
        <w:rPr>
          <w:rFonts w:cs="Guttman Drogolin"/>
          <w:rtl/>
          <w:lang w:bidi="he-IL"/>
        </w:rPr>
        <w:t xml:space="preserve"> </w:t>
      </w:r>
      <w:r w:rsidR="000A3C39" w:rsidRPr="00882F11">
        <w:rPr>
          <w:rFonts w:cs="Guttman Drogolin" w:hint="cs"/>
          <w:rtl/>
          <w:lang w:bidi="he-IL"/>
        </w:rPr>
        <w:t>וקודם</w:t>
      </w:r>
      <w:r w:rsidR="000A3C39" w:rsidRPr="00882F11">
        <w:rPr>
          <w:rFonts w:cs="Guttman Drogolin"/>
          <w:rtl/>
          <w:lang w:bidi="he-IL"/>
        </w:rPr>
        <w:t xml:space="preserve"> </w:t>
      </w:r>
      <w:r w:rsidR="000A3C39" w:rsidRPr="00882F11">
        <w:rPr>
          <w:rFonts w:cs="Guttman Drogolin" w:hint="cs"/>
          <w:rtl/>
          <w:lang w:bidi="he-IL"/>
        </w:rPr>
        <w:t>שיבא</w:t>
      </w:r>
      <w:r w:rsidR="000A3C39" w:rsidRPr="00882F11">
        <w:rPr>
          <w:rFonts w:cs="Guttman Drogolin"/>
          <w:rtl/>
          <w:lang w:bidi="he-IL"/>
        </w:rPr>
        <w:t xml:space="preserve"> </w:t>
      </w:r>
      <w:r w:rsidR="000A3C39" w:rsidRPr="00882F11">
        <w:rPr>
          <w:rFonts w:cs="Guttman Drogolin" w:hint="cs"/>
          <w:rtl/>
          <w:lang w:bidi="he-IL"/>
        </w:rPr>
        <w:t>לידי</w:t>
      </w:r>
      <w:r w:rsidR="000A3C39" w:rsidRPr="00882F11">
        <w:rPr>
          <w:rFonts w:cs="Guttman Drogolin"/>
          <w:rtl/>
          <w:lang w:bidi="he-IL"/>
        </w:rPr>
        <w:t xml:space="preserve"> </w:t>
      </w:r>
      <w:r w:rsidR="000A3C39" w:rsidRPr="00882F11">
        <w:rPr>
          <w:rFonts w:cs="Guttman Drogolin" w:hint="cs"/>
          <w:rtl/>
          <w:lang w:bidi="he-IL"/>
        </w:rPr>
        <w:t>איסור</w:t>
      </w:r>
      <w:r w:rsidR="000A3C39" w:rsidRPr="00882F11">
        <w:rPr>
          <w:rFonts w:cs="Guttman Drogolin"/>
          <w:rtl/>
          <w:lang w:bidi="he-IL"/>
        </w:rPr>
        <w:t xml:space="preserve"> </w:t>
      </w:r>
      <w:r w:rsidR="000A3C39" w:rsidRPr="00882F11">
        <w:rPr>
          <w:rFonts w:cs="Guttman Drogolin" w:hint="cs"/>
          <w:rtl/>
          <w:lang w:bidi="he-IL"/>
        </w:rPr>
        <w:t>נתבטל</w:t>
      </w:r>
      <w:r w:rsidR="000A3C39" w:rsidRPr="00882F11">
        <w:rPr>
          <w:rFonts w:cs="Guttman Drogolin"/>
          <w:rtl/>
          <w:lang w:bidi="he-IL"/>
        </w:rPr>
        <w:t xml:space="preserve"> </w:t>
      </w:r>
      <w:r w:rsidR="000A3C39" w:rsidRPr="00882F11">
        <w:rPr>
          <w:rFonts w:cs="Guttman Drogolin" w:hint="cs"/>
          <w:rtl/>
          <w:lang w:bidi="he-IL"/>
        </w:rPr>
        <w:t>הטעם</w:t>
      </w:r>
      <w:r w:rsidR="000A3C39" w:rsidRPr="00882F11">
        <w:rPr>
          <w:rFonts w:cs="Guttman Drogolin"/>
          <w:rtl/>
          <w:lang w:bidi="he-IL"/>
        </w:rPr>
        <w:t xml:space="preserve"> </w:t>
      </w:r>
      <w:r w:rsidR="000A3C39" w:rsidRPr="00882F11">
        <w:rPr>
          <w:rFonts w:cs="Guttman Drogolin" w:hint="cs"/>
          <w:rtl/>
          <w:lang w:bidi="he-IL"/>
        </w:rPr>
        <w:t>בדגים</w:t>
      </w:r>
      <w:r w:rsidR="000A3C39" w:rsidRPr="00882F11">
        <w:rPr>
          <w:rFonts w:cs="Guttman Drogolin"/>
          <w:rtl/>
          <w:lang w:bidi="he-IL"/>
        </w:rPr>
        <w:t xml:space="preserve"> </w:t>
      </w:r>
      <w:r w:rsidR="000A3C39" w:rsidRPr="00882F11">
        <w:rPr>
          <w:rFonts w:cs="Guttman Drogolin" w:hint="cs"/>
          <w:rtl/>
          <w:lang w:bidi="he-IL"/>
        </w:rPr>
        <w:t>לפי</w:t>
      </w:r>
      <w:r w:rsidR="000A3C39" w:rsidRPr="00882F11">
        <w:rPr>
          <w:rFonts w:cs="Guttman Drogolin"/>
          <w:rtl/>
          <w:lang w:bidi="he-IL"/>
        </w:rPr>
        <w:t xml:space="preserve"> </w:t>
      </w:r>
      <w:r w:rsidR="000A3C39" w:rsidRPr="00882F11">
        <w:rPr>
          <w:rFonts w:cs="Guttman Drogolin" w:hint="cs"/>
          <w:rtl/>
          <w:lang w:bidi="he-IL"/>
        </w:rPr>
        <w:t>שהוא</w:t>
      </w:r>
      <w:r w:rsidR="000A3C39" w:rsidRPr="00882F11">
        <w:rPr>
          <w:rFonts w:cs="Guttman Drogolin"/>
          <w:rtl/>
          <w:lang w:bidi="he-IL"/>
        </w:rPr>
        <w:t xml:space="preserve"> </w:t>
      </w:r>
      <w:r w:rsidR="000A3C39" w:rsidRPr="00882F11">
        <w:rPr>
          <w:rFonts w:cs="Guttman Drogolin" w:hint="cs"/>
          <w:rtl/>
          <w:lang w:bidi="he-IL"/>
        </w:rPr>
        <w:t>שני"</w:t>
      </w:r>
      <w:bookmarkStart w:id="143" w:name="_Ref445022991"/>
      <w:r w:rsidR="00DD10E4" w:rsidRPr="00882F11">
        <w:rPr>
          <w:rStyle w:val="FootnoteReference"/>
          <w:rFonts w:cs="Guttman Drogolin"/>
          <w:rtl/>
          <w:lang w:bidi="he-IL"/>
        </w:rPr>
        <w:footnoteReference w:id="154"/>
      </w:r>
      <w:bookmarkEnd w:id="143"/>
      <w:r w:rsidR="000A3C39" w:rsidRPr="00882F11">
        <w:rPr>
          <w:rFonts w:cs="Guttman Drogolin" w:hint="cs"/>
          <w:rtl/>
          <w:lang w:bidi="he-IL"/>
        </w:rPr>
        <w:t xml:space="preserve">. ומבואר שסוברים </w:t>
      </w:r>
      <w:r w:rsidR="000A3C39" w:rsidRPr="00882F11">
        <w:rPr>
          <w:rFonts w:cs="Guttman Drogolin" w:hint="cs"/>
          <w:rtl/>
          <w:lang w:bidi="he-IL"/>
        </w:rPr>
        <w:lastRenderedPageBreak/>
        <w:t xml:space="preserve">שאמנם קדרה שבישל בה בשר ואח"כ בישל בה חולב הרי זה אוסרת את החלב אפילו לשמואל ואין בה ההיתר של נ"ט בר נ"ט, מ"מ טעם שני בהיתר מותרת אם נכנס למקום השני קודם שנאסר. </w:t>
      </w:r>
    </w:p>
    <w:p w:rsidR="001D5654" w:rsidRPr="00882F11" w:rsidRDefault="000A3C39" w:rsidP="007F40D1">
      <w:pPr>
        <w:bidi/>
        <w:jc w:val="both"/>
        <w:rPr>
          <w:rFonts w:cs="Guttman Drogolin"/>
          <w:rtl/>
          <w:lang w:bidi="he-IL"/>
        </w:rPr>
      </w:pPr>
      <w:r w:rsidRPr="00882F11">
        <w:rPr>
          <w:rFonts w:cs="Guttman Drogolin" w:hint="cs"/>
          <w:rtl/>
          <w:lang w:bidi="he-IL"/>
        </w:rPr>
        <w:t xml:space="preserve">וביאור הדברים לכאורה, שהרי אמרנו שלשיטת הרמב"ן הענין של נ"ט בר נ"ט הוא שאין לנ"ט בר נ"ט כח לאסור אע"פ שיש לו כח ליאסר. אבל התוס' סוברים שנ"ט בר נ"ט </w:t>
      </w:r>
      <w:r w:rsidR="009F7703" w:rsidRPr="00882F11">
        <w:rPr>
          <w:rFonts w:cs="Guttman Drogolin" w:hint="cs"/>
          <w:rtl/>
          <w:lang w:bidi="he-IL"/>
        </w:rPr>
        <w:t xml:space="preserve">גם </w:t>
      </w:r>
      <w:r w:rsidRPr="00882F11">
        <w:rPr>
          <w:rFonts w:cs="Guttman Drogolin" w:hint="cs"/>
          <w:rtl/>
          <w:lang w:bidi="he-IL"/>
        </w:rPr>
        <w:t xml:space="preserve">אינה נאסרת, </w:t>
      </w:r>
      <w:r w:rsidR="009F7703" w:rsidRPr="00882F11">
        <w:rPr>
          <w:rFonts w:cs="Guttman Drogolin" w:hint="cs"/>
          <w:rtl/>
          <w:lang w:bidi="he-IL"/>
        </w:rPr>
        <w:t>אמנם הנ"מ שהי' כבר בתבשיל השני קודם שחל עליו איסור, אבל מיד שנכנס לתוך האוכל השני חל עליו איסור גם התוס' מודים שהוא אוסר ונאסר (ובזה חלק על הדעה המובא בראשונים הנ"ל התירים טעם שני שלא ע"י בישול לגמרי ואפילו חל עליו איסור ברגע הראשון</w:t>
      </w:r>
      <w:r w:rsidR="007A300C" w:rsidRPr="00882F11">
        <w:rPr>
          <w:rFonts w:cs="Guttman Drogolin" w:hint="cs"/>
          <w:rtl/>
          <w:lang w:bidi="he-IL"/>
        </w:rPr>
        <w:t>)</w:t>
      </w:r>
      <w:r w:rsidR="009F7703" w:rsidRPr="00882F11">
        <w:rPr>
          <w:rFonts w:cs="Guttman Drogolin" w:hint="cs"/>
          <w:rtl/>
          <w:lang w:bidi="he-IL"/>
        </w:rPr>
        <w:t>. ולכאורה הביאור בשיטתם, דהנה יש להסתפק</w:t>
      </w:r>
      <w:r w:rsidRPr="00882F11">
        <w:rPr>
          <w:rFonts w:cs="Guttman Drogolin" w:hint="cs"/>
          <w:rtl/>
          <w:lang w:bidi="he-IL"/>
        </w:rPr>
        <w:t xml:space="preserve"> </w:t>
      </w:r>
      <w:r w:rsidR="007A300C" w:rsidRPr="00882F11">
        <w:rPr>
          <w:rFonts w:cs="Guttman Drogolin" w:hint="cs"/>
          <w:rtl/>
          <w:lang w:bidi="he-IL"/>
        </w:rPr>
        <w:t>מהו זה שמקליש טע</w:t>
      </w:r>
      <w:r w:rsidR="00343B11" w:rsidRPr="00882F11">
        <w:rPr>
          <w:rFonts w:cs="Guttman Drogolin" w:hint="cs"/>
          <w:rtl/>
          <w:lang w:bidi="he-IL"/>
        </w:rPr>
        <w:t xml:space="preserve">ם האיסור, זה שיוצא ממקום הראשון, או זה שנכנס למקום השני. ואם נימא שהוא זה שנכנס למקום השני, דברי התוס' מובנים היטב, שהטעם שאסור כשבישל חלב בקדרה שבישל בה בשר משום שעדיין לא נקלש הטעם קודם שהתערב הבשר בתוך החלב, ולכן יש בכחו לאסור. משא"כ בהא דשלמים, כיון שכבר נכנס טעם השלמים בהיתר קודם שבא לידי נותר הרי הוא נקלש ושוב לא יחול עליו איסור אפילו בטעם שני. </w:t>
      </w:r>
      <w:r w:rsidR="000E16CC" w:rsidRPr="00882F11">
        <w:rPr>
          <w:rFonts w:cs="Guttman Drogolin" w:hint="cs"/>
          <w:rtl/>
          <w:lang w:bidi="he-IL"/>
        </w:rPr>
        <w:t>וכ"כ גם ביד יהודה (סי' צ"ד ס"ק י"ט ד"ה והטעם) שזהו היסוד של שיטת</w:t>
      </w:r>
      <w:r w:rsidRPr="00882F11">
        <w:rPr>
          <w:rFonts w:cs="Guttman Drogolin"/>
          <w:rtl/>
          <w:lang w:bidi="he-IL"/>
        </w:rPr>
        <w:t xml:space="preserve"> </w:t>
      </w:r>
      <w:r w:rsidR="000E16CC" w:rsidRPr="00882F11">
        <w:rPr>
          <w:rFonts w:cs="Guttman Drogolin" w:hint="cs"/>
          <w:rtl/>
          <w:lang w:bidi="he-IL"/>
        </w:rPr>
        <w:t>התוס'.</w:t>
      </w:r>
      <w:r w:rsidRPr="00882F11">
        <w:rPr>
          <w:rFonts w:cs="Guttman Drogolin" w:hint="cs"/>
          <w:rtl/>
          <w:lang w:bidi="he-IL"/>
        </w:rPr>
        <w:t xml:space="preserve"> </w:t>
      </w:r>
      <w:r w:rsidR="0010115A" w:rsidRPr="00882F11">
        <w:rPr>
          <w:rFonts w:cs="Guttman Drogolin" w:hint="cs"/>
          <w:rtl/>
          <w:lang w:bidi="he-IL"/>
        </w:rPr>
        <w:t xml:space="preserve">וראיתי מן האחרונים (ע' שחיטת חולין) שהקשו שלפי זה איזה מקום יש </w:t>
      </w:r>
      <w:r w:rsidR="00445F4E" w:rsidRPr="00882F11">
        <w:rPr>
          <w:rFonts w:cs="Guttman Drogolin" w:hint="cs"/>
          <w:rtl/>
          <w:lang w:bidi="he-IL"/>
        </w:rPr>
        <w:t xml:space="preserve">לתוס' לדון אם יש </w:t>
      </w:r>
      <w:r w:rsidR="0010115A" w:rsidRPr="00882F11">
        <w:rPr>
          <w:rFonts w:cs="Guttman Drogolin" w:hint="cs"/>
          <w:rtl/>
          <w:lang w:bidi="he-IL"/>
        </w:rPr>
        <w:t>לחלק בין נתבשלו לעלו, הא נתבשלו לא יכול להיות יותר חמור אלא משום זה שיוצא יותר מן הבליעה ע"י בישול מאשר ע"י עלו בלבד. ואם כל הקלישות מחמת הכניסה תמקום החדש, מה איכפת לן ביציאה דבישול אע"ג דאלים.</w:t>
      </w:r>
      <w:r w:rsidR="00445F4E" w:rsidRPr="00882F11">
        <w:rPr>
          <w:rFonts w:cs="Guttman Drogolin" w:hint="cs"/>
          <w:rtl/>
          <w:lang w:bidi="he-IL"/>
        </w:rPr>
        <w:t xml:space="preserve"> ו</w:t>
      </w:r>
      <w:r w:rsidR="007A300C" w:rsidRPr="00882F11">
        <w:rPr>
          <w:rFonts w:cs="Guttman Drogolin" w:hint="cs"/>
          <w:rtl/>
          <w:lang w:bidi="he-IL"/>
        </w:rPr>
        <w:t>לכאורה נראה לומר שאמנם הקלישות נ</w:t>
      </w:r>
      <w:r w:rsidR="00445F4E" w:rsidRPr="00882F11">
        <w:rPr>
          <w:rFonts w:cs="Guttman Drogolin" w:hint="cs"/>
          <w:rtl/>
          <w:lang w:bidi="he-IL"/>
        </w:rPr>
        <w:t xml:space="preserve">עשתה ע"י זה שנכנס לתוך תבשיל חדש, מ"מ היינו משום שלא יצא הבליעה ממקומו הראשון כ"כ בחוזק. אבל כשיצא בחוזק אינו נקלש כ"כ </w:t>
      </w:r>
      <w:r w:rsidR="00445F4E" w:rsidRPr="00882F11">
        <w:rPr>
          <w:rFonts w:cs="Guttman Drogolin" w:hint="cs"/>
          <w:rtl/>
          <w:lang w:bidi="he-IL"/>
        </w:rPr>
        <w:lastRenderedPageBreak/>
        <w:t xml:space="preserve">במקומו החדש. ואדרבה, ע"פ זה מובן הא דכו"ע מודים שטעם שלישי מותר אפילו נתבשלו (וכמש"כ התוס' כאן ובסוף מס' ע"ז) דהא עיקר הקלישות משום מקומו החדש, ואע"ג דמהני נתבשלו לומר דלא איקליש מספיק כדי להתיר, מ"מ קצת קלישות יש באופן שבמקום שלישי כבר יהי' מותר אפילו נתבשלו. </w:t>
      </w:r>
    </w:p>
    <w:p w:rsidR="001D5654" w:rsidRPr="00615FF2" w:rsidRDefault="001D5654" w:rsidP="0078079C">
      <w:pPr>
        <w:pStyle w:val="Heading1"/>
        <w:bidi/>
        <w:spacing w:before="0" w:line="360" w:lineRule="auto"/>
        <w:jc w:val="center"/>
        <w:rPr>
          <w:rFonts w:cs="Guttman Drogolin"/>
          <w:color w:val="auto"/>
          <w:sz w:val="18"/>
          <w:szCs w:val="18"/>
          <w:u w:val="single"/>
          <w:rtl/>
          <w:lang w:bidi="he-IL"/>
        </w:rPr>
      </w:pPr>
      <w:bookmarkStart w:id="144" w:name="_Toc496175401"/>
      <w:r w:rsidRPr="00615FF2">
        <w:rPr>
          <w:rFonts w:cs="Guttman Drogolin" w:hint="cs"/>
          <w:color w:val="auto"/>
          <w:sz w:val="18"/>
          <w:szCs w:val="18"/>
          <w:u w:val="single"/>
          <w:rtl/>
          <w:lang w:bidi="he-IL"/>
        </w:rPr>
        <w:t>מהו החילוק שבין דגים שעלו בקע</w:t>
      </w:r>
      <w:r w:rsidR="00382D6D" w:rsidRPr="00615FF2">
        <w:rPr>
          <w:rFonts w:cs="Guttman Drogolin" w:hint="cs"/>
          <w:color w:val="auto"/>
          <w:sz w:val="18"/>
          <w:szCs w:val="18"/>
          <w:u w:val="single"/>
          <w:rtl/>
          <w:lang w:bidi="he-IL"/>
        </w:rPr>
        <w:t>ר</w:t>
      </w:r>
      <w:r w:rsidRPr="00615FF2">
        <w:rPr>
          <w:rFonts w:cs="Guttman Drogolin" w:hint="cs"/>
          <w:color w:val="auto"/>
          <w:sz w:val="18"/>
          <w:szCs w:val="18"/>
          <w:u w:val="single"/>
          <w:rtl/>
          <w:lang w:bidi="he-IL"/>
        </w:rPr>
        <w:t>ה לצנון שחתכו בסכין</w:t>
      </w:r>
      <w:bookmarkEnd w:id="144"/>
    </w:p>
    <w:p w:rsidR="009D1C95" w:rsidRPr="00882F11" w:rsidRDefault="00D36D22" w:rsidP="004E1558">
      <w:pPr>
        <w:bidi/>
        <w:jc w:val="both"/>
        <w:rPr>
          <w:rFonts w:cs="Guttman Drogolin"/>
          <w:rtl/>
          <w:lang w:bidi="he-IL"/>
        </w:rPr>
      </w:pPr>
      <w:r>
        <w:rPr>
          <w:rFonts w:cs="Guttman Drogolin"/>
          <w:rtl/>
          <w:lang w:bidi="he-IL"/>
        </w:rPr>
        <w:fldChar w:fldCharType="begin"/>
      </w:r>
      <w:r>
        <w:instrText xml:space="preserve"> XE "</w:instrText>
      </w:r>
      <w:r w:rsidRPr="00C25F6B">
        <w:rPr>
          <w:rFonts w:hint="cs"/>
          <w:rtl/>
          <w:lang w:bidi="he-IL"/>
        </w:rPr>
        <w:instrText>נ</w:instrText>
      </w:r>
      <w:r>
        <w:rPr>
          <w:rFonts w:eastAsiaTheme="minorEastAsia"/>
          <w:lang w:bidi="he-IL"/>
        </w:rPr>
        <w:instrText>\</w:instrText>
      </w:r>
      <w:r w:rsidRPr="00C25F6B">
        <w:rPr>
          <w:rFonts w:hint="cs"/>
          <w:rtl/>
          <w:lang w:bidi="he-IL"/>
        </w:rPr>
        <w:instrText>"ט בר נ</w:instrText>
      </w:r>
      <w:r>
        <w:rPr>
          <w:rFonts w:eastAsiaTheme="minorEastAsia"/>
          <w:lang w:bidi="he-IL"/>
        </w:rPr>
        <w:instrText>\</w:instrText>
      </w:r>
      <w:r w:rsidRPr="00C25F6B">
        <w:rPr>
          <w:rFonts w:hint="cs"/>
          <w:rtl/>
          <w:lang w:bidi="he-IL"/>
        </w:rPr>
        <w:instrText>"ט</w:instrText>
      </w:r>
      <w:r w:rsidRPr="00C25F6B">
        <w:rPr>
          <w:rtl/>
        </w:rPr>
        <w:instrText>:</w:instrText>
      </w:r>
      <w:r w:rsidRPr="00C25F6B">
        <w:rPr>
          <w:rFonts w:hint="cs"/>
          <w:rtl/>
          <w:lang w:bidi="he-IL"/>
        </w:rPr>
        <w:instrText>החילוק שבין דגים שעלו בקערה לצנון שחתכו בסכין</w:instrText>
      </w:r>
      <w:r>
        <w:instrText xml:space="preserve">" </w:instrText>
      </w:r>
      <w:r>
        <w:rPr>
          <w:rFonts w:cs="Guttman Drogolin"/>
          <w:rtl/>
          <w:lang w:bidi="he-IL"/>
        </w:rPr>
        <w:fldChar w:fldCharType="end"/>
      </w:r>
      <w:r w:rsidR="001D5654" w:rsidRPr="00882F11">
        <w:rPr>
          <w:rFonts w:cs="Guttman Drogolin" w:hint="cs"/>
          <w:rtl/>
          <w:lang w:bidi="he-IL"/>
        </w:rPr>
        <w:t xml:space="preserve">הגמ' מסיקה דהלכתא כשמואל </w:t>
      </w:r>
      <w:r w:rsidR="007B64E6" w:rsidRPr="00882F11">
        <w:rPr>
          <w:rFonts w:cs="Guttman Drogolin" w:hint="cs"/>
          <w:rtl/>
          <w:lang w:bidi="he-IL"/>
        </w:rPr>
        <w:t>שנ"ט בר נ"ט מותר, ומ"מ הנ"מ דגים שעלו בקערה אבל "צנון</w:t>
      </w:r>
      <w:r w:rsidR="007B64E6" w:rsidRPr="00882F11">
        <w:rPr>
          <w:rFonts w:cs="Guttman Drogolin"/>
          <w:rtl/>
          <w:lang w:bidi="he-IL"/>
        </w:rPr>
        <w:t xml:space="preserve"> </w:t>
      </w:r>
      <w:r w:rsidR="007B64E6" w:rsidRPr="00882F11">
        <w:rPr>
          <w:rFonts w:cs="Guttman Drogolin" w:hint="cs"/>
          <w:rtl/>
          <w:lang w:bidi="he-IL"/>
        </w:rPr>
        <w:t>שחתכו</w:t>
      </w:r>
      <w:r w:rsidR="007B64E6" w:rsidRPr="00882F11">
        <w:rPr>
          <w:rFonts w:cs="Guttman Drogolin"/>
          <w:rtl/>
          <w:lang w:bidi="he-IL"/>
        </w:rPr>
        <w:t xml:space="preserve"> </w:t>
      </w:r>
      <w:r w:rsidR="007B64E6" w:rsidRPr="00882F11">
        <w:rPr>
          <w:rFonts w:cs="Guttman Drogolin" w:hint="cs"/>
          <w:rtl/>
          <w:lang w:bidi="he-IL"/>
        </w:rPr>
        <w:t>בסכין</w:t>
      </w:r>
      <w:r w:rsidR="007B64E6" w:rsidRPr="00882F11">
        <w:rPr>
          <w:rFonts w:cs="Guttman Drogolin"/>
          <w:rtl/>
          <w:lang w:bidi="he-IL"/>
        </w:rPr>
        <w:t xml:space="preserve"> </w:t>
      </w:r>
      <w:r w:rsidR="007B64E6" w:rsidRPr="00882F11">
        <w:rPr>
          <w:rFonts w:cs="Guttman Drogolin" w:hint="cs"/>
          <w:rtl/>
          <w:lang w:bidi="he-IL"/>
        </w:rPr>
        <w:t>שחתך</w:t>
      </w:r>
      <w:r w:rsidR="007B64E6" w:rsidRPr="00882F11">
        <w:rPr>
          <w:rFonts w:cs="Guttman Drogolin"/>
          <w:rtl/>
          <w:lang w:bidi="he-IL"/>
        </w:rPr>
        <w:t xml:space="preserve"> </w:t>
      </w:r>
      <w:r w:rsidR="007B64E6" w:rsidRPr="00882F11">
        <w:rPr>
          <w:rFonts w:cs="Guttman Drogolin" w:hint="cs"/>
          <w:rtl/>
          <w:lang w:bidi="he-IL"/>
        </w:rPr>
        <w:t>בה</w:t>
      </w:r>
      <w:r w:rsidR="007B64E6" w:rsidRPr="00882F11">
        <w:rPr>
          <w:rFonts w:cs="Guttman Drogolin"/>
          <w:rtl/>
          <w:lang w:bidi="he-IL"/>
        </w:rPr>
        <w:t xml:space="preserve"> </w:t>
      </w:r>
      <w:r w:rsidR="007B64E6" w:rsidRPr="00882F11">
        <w:rPr>
          <w:rFonts w:cs="Guttman Drogolin" w:hint="cs"/>
          <w:rtl/>
          <w:lang w:bidi="he-IL"/>
        </w:rPr>
        <w:t>בשר</w:t>
      </w:r>
      <w:r w:rsidR="007B64E6" w:rsidRPr="00882F11">
        <w:rPr>
          <w:rFonts w:cs="Guttman Drogolin"/>
          <w:rtl/>
          <w:lang w:bidi="he-IL"/>
        </w:rPr>
        <w:t xml:space="preserve"> </w:t>
      </w:r>
      <w:r w:rsidR="007B64E6" w:rsidRPr="00882F11">
        <w:rPr>
          <w:rFonts w:cs="Guttman Drogolin" w:hint="cs"/>
          <w:rtl/>
          <w:lang w:bidi="he-IL"/>
        </w:rPr>
        <w:t>אסור</w:t>
      </w:r>
      <w:r w:rsidR="007B64E6" w:rsidRPr="00882F11">
        <w:rPr>
          <w:rFonts w:cs="Guttman Drogolin"/>
          <w:rtl/>
          <w:lang w:bidi="he-IL"/>
        </w:rPr>
        <w:t xml:space="preserve"> </w:t>
      </w:r>
      <w:r w:rsidR="007B64E6" w:rsidRPr="00882F11">
        <w:rPr>
          <w:rFonts w:cs="Guttman Drogolin" w:hint="cs"/>
          <w:rtl/>
          <w:lang w:bidi="he-IL"/>
        </w:rPr>
        <w:t>לאוכלו</w:t>
      </w:r>
      <w:r w:rsidR="007B64E6" w:rsidRPr="00882F11">
        <w:rPr>
          <w:rFonts w:cs="Guttman Drogolin"/>
          <w:rtl/>
          <w:lang w:bidi="he-IL"/>
        </w:rPr>
        <w:t xml:space="preserve"> </w:t>
      </w:r>
      <w:r w:rsidR="007B64E6" w:rsidRPr="00882F11">
        <w:rPr>
          <w:rFonts w:cs="Guttman Drogolin" w:hint="cs"/>
          <w:rtl/>
          <w:lang w:bidi="he-IL"/>
        </w:rPr>
        <w:t>בכותח</w:t>
      </w:r>
      <w:r w:rsidR="007B64E6" w:rsidRPr="00882F11">
        <w:rPr>
          <w:rFonts w:cs="Guttman Drogolin"/>
          <w:rtl/>
          <w:lang w:bidi="he-IL"/>
        </w:rPr>
        <w:t xml:space="preserve"> </w:t>
      </w:r>
      <w:r w:rsidR="007B64E6" w:rsidRPr="00882F11">
        <w:rPr>
          <w:rFonts w:cs="Guttman Drogolin" w:hint="cs"/>
          <w:rtl/>
          <w:lang w:bidi="he-IL"/>
        </w:rPr>
        <w:t>וה"מ</w:t>
      </w:r>
      <w:r w:rsidR="007B64E6" w:rsidRPr="00882F11">
        <w:rPr>
          <w:rFonts w:cs="Guttman Drogolin"/>
          <w:rtl/>
          <w:lang w:bidi="he-IL"/>
        </w:rPr>
        <w:t xml:space="preserve"> </w:t>
      </w:r>
      <w:r w:rsidR="007B64E6" w:rsidRPr="00882F11">
        <w:rPr>
          <w:rFonts w:cs="Guttman Drogolin" w:hint="cs"/>
          <w:rtl/>
          <w:lang w:bidi="he-IL"/>
        </w:rPr>
        <w:t>צנון</w:t>
      </w:r>
      <w:r w:rsidR="0010115A" w:rsidRPr="00882F11">
        <w:rPr>
          <w:rFonts w:cs="Guttman Drogolin" w:hint="cs"/>
          <w:rtl/>
          <w:lang w:bidi="he-IL"/>
        </w:rPr>
        <w:t xml:space="preserve"> </w:t>
      </w:r>
      <w:r w:rsidR="007B64E6" w:rsidRPr="00882F11">
        <w:rPr>
          <w:rFonts w:cs="Guttman Drogolin" w:hint="cs"/>
          <w:rtl/>
          <w:lang w:bidi="he-IL"/>
        </w:rPr>
        <w:t>דאגב</w:t>
      </w:r>
      <w:r w:rsidR="007B64E6" w:rsidRPr="00882F11">
        <w:rPr>
          <w:rFonts w:cs="Guttman Drogolin"/>
          <w:rtl/>
          <w:lang w:bidi="he-IL"/>
        </w:rPr>
        <w:t xml:space="preserve"> </w:t>
      </w:r>
      <w:r w:rsidR="007B64E6" w:rsidRPr="00882F11">
        <w:rPr>
          <w:rFonts w:cs="Guttman Drogolin" w:hint="cs"/>
          <w:rtl/>
          <w:lang w:bidi="he-IL"/>
        </w:rPr>
        <w:t>חורפיה</w:t>
      </w:r>
      <w:r w:rsidR="007B64E6" w:rsidRPr="00882F11">
        <w:rPr>
          <w:rFonts w:cs="Guttman Drogolin"/>
          <w:rtl/>
          <w:lang w:bidi="he-IL"/>
        </w:rPr>
        <w:t xml:space="preserve"> </w:t>
      </w:r>
      <w:r w:rsidR="007B64E6" w:rsidRPr="00882F11">
        <w:rPr>
          <w:rFonts w:cs="Guttman Drogolin" w:hint="cs"/>
          <w:rtl/>
          <w:lang w:bidi="he-IL"/>
        </w:rPr>
        <w:t>בלע</w:t>
      </w:r>
      <w:r w:rsidR="007B64E6" w:rsidRPr="00882F11">
        <w:rPr>
          <w:rFonts w:cs="Guttman Drogolin"/>
          <w:rtl/>
          <w:lang w:bidi="he-IL"/>
        </w:rPr>
        <w:t xml:space="preserve"> </w:t>
      </w:r>
      <w:r w:rsidR="007B64E6" w:rsidRPr="00882F11">
        <w:rPr>
          <w:rFonts w:cs="Guttman Drogolin" w:hint="cs"/>
          <w:rtl/>
          <w:lang w:bidi="he-IL"/>
        </w:rPr>
        <w:t>אבל</w:t>
      </w:r>
      <w:r w:rsidR="007B64E6" w:rsidRPr="00882F11">
        <w:rPr>
          <w:rFonts w:cs="Guttman Drogolin"/>
          <w:rtl/>
          <w:lang w:bidi="he-IL"/>
        </w:rPr>
        <w:t xml:space="preserve"> </w:t>
      </w:r>
      <w:r w:rsidR="007B64E6" w:rsidRPr="00882F11">
        <w:rPr>
          <w:rFonts w:cs="Guttman Drogolin" w:hint="cs"/>
          <w:rtl/>
          <w:lang w:bidi="he-IL"/>
        </w:rPr>
        <w:t>קישות</w:t>
      </w:r>
      <w:r w:rsidR="007B64E6" w:rsidRPr="00882F11">
        <w:rPr>
          <w:rFonts w:cs="Guttman Drogolin"/>
          <w:rtl/>
          <w:lang w:bidi="he-IL"/>
        </w:rPr>
        <w:t xml:space="preserve"> </w:t>
      </w:r>
      <w:r w:rsidR="007B64E6" w:rsidRPr="00882F11">
        <w:rPr>
          <w:rFonts w:cs="Guttman Drogolin" w:hint="cs"/>
          <w:rtl/>
          <w:lang w:bidi="he-IL"/>
        </w:rPr>
        <w:t>גריר</w:t>
      </w:r>
      <w:r w:rsidR="007B64E6" w:rsidRPr="00882F11">
        <w:rPr>
          <w:rFonts w:cs="Guttman Drogolin"/>
          <w:rtl/>
          <w:lang w:bidi="he-IL"/>
        </w:rPr>
        <w:t xml:space="preserve"> </w:t>
      </w:r>
      <w:r w:rsidR="007B64E6" w:rsidRPr="00882F11">
        <w:rPr>
          <w:rFonts w:cs="Guttman Drogolin" w:hint="cs"/>
          <w:rtl/>
          <w:lang w:bidi="he-IL"/>
        </w:rPr>
        <w:t>לבי</w:t>
      </w:r>
      <w:r w:rsidR="007B64E6" w:rsidRPr="00882F11">
        <w:rPr>
          <w:rFonts w:cs="Guttman Drogolin"/>
          <w:rtl/>
          <w:lang w:bidi="he-IL"/>
        </w:rPr>
        <w:t xml:space="preserve"> </w:t>
      </w:r>
      <w:r w:rsidR="007B64E6" w:rsidRPr="00882F11">
        <w:rPr>
          <w:rFonts w:cs="Guttman Drogolin" w:hint="cs"/>
          <w:rtl/>
          <w:lang w:bidi="he-IL"/>
        </w:rPr>
        <w:t>פסקיה</w:t>
      </w:r>
      <w:r w:rsidR="007B64E6" w:rsidRPr="00882F11">
        <w:rPr>
          <w:rFonts w:cs="Guttman Drogolin"/>
          <w:rtl/>
          <w:lang w:bidi="he-IL"/>
        </w:rPr>
        <w:t xml:space="preserve"> </w:t>
      </w:r>
      <w:r w:rsidR="007B64E6" w:rsidRPr="00882F11">
        <w:rPr>
          <w:rFonts w:cs="Guttman Drogolin" w:hint="cs"/>
          <w:rtl/>
          <w:lang w:bidi="he-IL"/>
        </w:rPr>
        <w:t>ואכיל"</w:t>
      </w:r>
      <w:r w:rsidR="000A3C39" w:rsidRPr="00882F11">
        <w:rPr>
          <w:rFonts w:cs="Guttman Drogolin" w:hint="cs"/>
          <w:rtl/>
          <w:lang w:bidi="he-IL"/>
        </w:rPr>
        <w:t xml:space="preserve"> </w:t>
      </w:r>
      <w:r w:rsidR="003F2D7C" w:rsidRPr="00882F11">
        <w:rPr>
          <w:rFonts w:cs="Guttman Drogolin" w:hint="cs"/>
          <w:rtl/>
          <w:lang w:bidi="he-IL"/>
        </w:rPr>
        <w:t xml:space="preserve">ויל"ע מהו כוונת הגמ' בחילוק שבין צנון שחתכו בסכין לדגים שעלו בקערה. והנה ברש"י יש ב' פירושים למה בסכין יש לאסור, או משום שיש שמנונית ע"ג סכין, או משום דצנון הוי דבר חריף ובלע טפי. והנה אם החילוק שבין צנון לדגים הוא משום התכונה של דבר חריף הוא לבלוע יותר כמו בנתבשלו, י"ל שכוונת הגמ' לומר שלא בכל העברת טעם אמרינן דאיקליש, שרק בעלו אמרינן כן אבל לא בדבר חריף. </w:t>
      </w:r>
      <w:r w:rsidR="00505194" w:rsidRPr="00882F11">
        <w:rPr>
          <w:rFonts w:cs="Guttman Drogolin" w:hint="cs"/>
          <w:rtl/>
          <w:lang w:bidi="he-IL"/>
        </w:rPr>
        <w:t>וא"כ לכאורה הגמ' היתה יכולה לחלק בין דגים שעלו בקערה לצנון שעלה בקערה, שדגים מותרים מדי</w:t>
      </w:r>
      <w:r w:rsidR="004E1558" w:rsidRPr="00882F11">
        <w:rPr>
          <w:rFonts w:cs="Guttman Drogolin" w:hint="cs"/>
          <w:rtl/>
          <w:lang w:bidi="he-IL"/>
        </w:rPr>
        <w:t>ן</w:t>
      </w:r>
      <w:r w:rsidR="00505194" w:rsidRPr="00882F11">
        <w:rPr>
          <w:rFonts w:cs="Guttman Drogolin" w:hint="cs"/>
          <w:rtl/>
          <w:lang w:bidi="he-IL"/>
        </w:rPr>
        <w:t xml:space="preserve"> נ"ט בר נ"ט וצנון אסור כיון שהוא חריף. ואיכא למימר שהטעם שנקטו שחתכו בסכין ולא שעלו משום שדיברו בהוה, שלא הי' הדרך להעלות צנון חם ע"ג קערה (דיתכן שלא הי' הדרך לאוכלו חם וכמו שאין זה הדרך גם היום). </w:t>
      </w:r>
      <w:r w:rsidR="009D1C95" w:rsidRPr="00882F11">
        <w:rPr>
          <w:rFonts w:cs="Guttman Drogolin" w:hint="cs"/>
          <w:rtl/>
          <w:lang w:bidi="he-IL"/>
        </w:rPr>
        <w:t>ולפי זה לשון הגמ' הנ"מ צנון וכו' אין כוונת הגמ' לומר שחילוק זה קיים רק בצנון, דא"כ אין צורך לומר הנ"מ וכו' דהא זה גופא היתה כוונתם לחלק בין חריף לאינו חריף. רק כוונת הגמ' לומר שעצם זה שיש בליעות ע"י דוחקא דסכינא ליכא אלא בצנון.</w:t>
      </w:r>
    </w:p>
    <w:p w:rsidR="00876BDC" w:rsidRPr="00882F11" w:rsidRDefault="009D1C95" w:rsidP="008A402C">
      <w:pPr>
        <w:bidi/>
        <w:jc w:val="both"/>
        <w:rPr>
          <w:rFonts w:cs="Guttman Drogolin"/>
          <w:rtl/>
          <w:lang w:bidi="he-IL"/>
        </w:rPr>
      </w:pPr>
      <w:r w:rsidRPr="00882F11">
        <w:rPr>
          <w:rFonts w:cs="Guttman Drogolin" w:hint="cs"/>
          <w:rtl/>
          <w:lang w:bidi="he-IL"/>
        </w:rPr>
        <w:t xml:space="preserve">אמנם אם מיירי בסכין שיש עליו שמנונית, עיקר החילוק בין ב' המקרים משום שקערה בדרך כלל </w:t>
      </w:r>
      <w:r w:rsidRPr="00882F11">
        <w:rPr>
          <w:rFonts w:cs="Guttman Drogolin" w:hint="cs"/>
          <w:rtl/>
          <w:lang w:bidi="he-IL"/>
        </w:rPr>
        <w:lastRenderedPageBreak/>
        <w:t>מקונח יפה ולכן אינו בליעה מגוף האיסור רק מטעמו ולכן הוי באמת נ"ט בר נ"ט, אבל בסכין חיישינן שאינו מקונח יפה ולכן אין כאן טעם מן הכלי רק טעם מן המאכל ולכן אין זה נ"ט בר נ"ט כלל.</w:t>
      </w:r>
      <w:r w:rsidR="0004048B" w:rsidRPr="00882F11">
        <w:rPr>
          <w:rFonts w:cs="Guttman Drogolin" w:hint="cs"/>
          <w:rtl/>
          <w:lang w:bidi="he-IL"/>
        </w:rPr>
        <w:t xml:space="preserve"> </w:t>
      </w:r>
      <w:r w:rsidRPr="00882F11">
        <w:rPr>
          <w:rFonts w:cs="Guttman Drogolin" w:hint="cs"/>
          <w:rtl/>
          <w:lang w:bidi="he-IL"/>
        </w:rPr>
        <w:t xml:space="preserve">ולפי זה ג"כ הא דהוי דבר חריף אינו נפק"מ בעצם הדין של נ"ט בר נ"ט, וכן כתבו התוס' באמת שאין מקום לחלק בין נתבשלו לעלו אלא לפי הטעם דצנון בלע טפי דלית הי' ההיתר של נ"ט בר נ"ט. רק הגמ' מדגישה שלא היו בליעות אפילו משמנונית אא"כ הוי דבר חריף שבולע ע"י דוחקא דסכינא, אבל שאר מאכלים אפשר להדיח </w:t>
      </w:r>
      <w:r w:rsidR="008A402C" w:rsidRPr="00882F11">
        <w:rPr>
          <w:rFonts w:cs="Guttman Drogolin" w:hint="cs"/>
          <w:rtl/>
          <w:lang w:bidi="he-IL"/>
        </w:rPr>
        <w:t>א</w:t>
      </w:r>
      <w:r w:rsidRPr="00882F11">
        <w:rPr>
          <w:rFonts w:cs="Guttman Drogolin" w:hint="cs"/>
          <w:rtl/>
          <w:lang w:bidi="he-IL"/>
        </w:rPr>
        <w:t xml:space="preserve">ו </w:t>
      </w:r>
      <w:r w:rsidR="008A402C" w:rsidRPr="00882F11">
        <w:rPr>
          <w:rFonts w:cs="Guttman Drogolin" w:hint="cs"/>
          <w:rtl/>
          <w:lang w:bidi="he-IL"/>
        </w:rPr>
        <w:t>ל</w:t>
      </w:r>
      <w:r w:rsidRPr="00882F11">
        <w:rPr>
          <w:rFonts w:cs="Guttman Drogolin" w:hint="cs"/>
          <w:rtl/>
          <w:lang w:bidi="he-IL"/>
        </w:rPr>
        <w:t>גר</w:t>
      </w:r>
      <w:r w:rsidR="008A402C" w:rsidRPr="00882F11">
        <w:rPr>
          <w:rFonts w:cs="Guttman Drogolin" w:hint="cs"/>
          <w:rtl/>
          <w:lang w:bidi="he-IL"/>
        </w:rPr>
        <w:t>ו</w:t>
      </w:r>
      <w:r w:rsidRPr="00882F11">
        <w:rPr>
          <w:rFonts w:cs="Guttman Drogolin" w:hint="cs"/>
          <w:rtl/>
          <w:lang w:bidi="he-IL"/>
        </w:rPr>
        <w:t xml:space="preserve">ר אותם ומותר. אלא שלפי זה צ"ע למה לא חלקו בין דג שעלה בקערה לדג שחתכו בסכין, כיון שעיקר החילוק ביניהם אינו אלא שזה בסכין וזה בקערה. וקשה לומר שלא הי' הדרך לחתוך דג בסכין. ואולי משום שלא הי' הדרך לחתוך דג עם סכין כשהוא רותח, ומשו"ה נקטו צנון שבולע אפילו אינו רותח. </w:t>
      </w:r>
      <w:r w:rsidR="0004048B" w:rsidRPr="00882F11">
        <w:rPr>
          <w:rFonts w:cs="Guttman Drogolin" w:hint="cs"/>
          <w:rtl/>
          <w:lang w:bidi="he-IL"/>
        </w:rPr>
        <w:t xml:space="preserve"> </w:t>
      </w:r>
      <w:r w:rsidR="006050D1" w:rsidRPr="00882F11">
        <w:rPr>
          <w:rFonts w:cs="Guttman Drogolin" w:hint="cs"/>
          <w:rtl/>
          <w:lang w:bidi="he-IL"/>
        </w:rPr>
        <w:t xml:space="preserve">  </w:t>
      </w:r>
      <w:r w:rsidR="0072340D" w:rsidRPr="00882F11">
        <w:rPr>
          <w:rFonts w:cs="Guttman Drogolin"/>
          <w:rtl/>
          <w:lang w:bidi="he-IL"/>
        </w:rPr>
        <w:t xml:space="preserve"> </w:t>
      </w:r>
      <w:r w:rsidR="0072340D" w:rsidRPr="00882F11">
        <w:rPr>
          <w:rFonts w:cs="Guttman Drogolin" w:hint="cs"/>
          <w:rtl/>
          <w:lang w:bidi="he-IL"/>
        </w:rPr>
        <w:t xml:space="preserve"> </w:t>
      </w:r>
    </w:p>
    <w:p w:rsidR="001B4A36" w:rsidRPr="00882F11" w:rsidRDefault="00421EBC" w:rsidP="0046749C">
      <w:pPr>
        <w:bidi/>
        <w:jc w:val="both"/>
        <w:rPr>
          <w:rFonts w:cs="Guttman Drogolin"/>
          <w:rtl/>
          <w:lang w:bidi="he-IL"/>
        </w:rPr>
      </w:pPr>
      <w:r w:rsidRPr="00882F11">
        <w:rPr>
          <w:rFonts w:cs="Guttman Drogolin" w:hint="cs"/>
          <w:rtl/>
          <w:lang w:bidi="he-IL"/>
        </w:rPr>
        <w:t xml:space="preserve">  </w:t>
      </w:r>
      <w:r w:rsidR="008859D9" w:rsidRPr="00882F11">
        <w:rPr>
          <w:rFonts w:cs="Guttman Drogolin" w:hint="cs"/>
          <w:rtl/>
          <w:lang w:bidi="he-IL"/>
        </w:rPr>
        <w:t xml:space="preserve"> </w:t>
      </w:r>
      <w:r w:rsidR="00295766" w:rsidRPr="00882F11">
        <w:rPr>
          <w:rFonts w:cs="Guttman Drogolin" w:hint="cs"/>
          <w:rtl/>
          <w:lang w:bidi="he-IL"/>
        </w:rPr>
        <w:t xml:space="preserve"> </w:t>
      </w:r>
      <w:r w:rsidR="0073007A" w:rsidRPr="00882F11">
        <w:rPr>
          <w:rFonts w:cs="Guttman Drogolin" w:hint="cs"/>
          <w:rtl/>
          <w:lang w:bidi="he-IL"/>
        </w:rPr>
        <w:t xml:space="preserve"> </w:t>
      </w:r>
      <w:r w:rsidR="00A12F1C" w:rsidRPr="00882F11">
        <w:rPr>
          <w:rFonts w:cs="Guttman Drogolin" w:hint="cs"/>
          <w:rtl/>
          <w:lang w:bidi="he-IL"/>
        </w:rPr>
        <w:t xml:space="preserve"> </w:t>
      </w:r>
      <w:r w:rsidR="001B4A36" w:rsidRPr="00882F11">
        <w:rPr>
          <w:rFonts w:cs="Guttman Drogolin" w:hint="cs"/>
          <w:rtl/>
          <w:lang w:bidi="he-IL"/>
        </w:rPr>
        <w:t xml:space="preserve">  </w:t>
      </w:r>
    </w:p>
    <w:p w:rsidR="00AB0A94" w:rsidRPr="00882F11" w:rsidRDefault="00AB0A94" w:rsidP="00EF4B82">
      <w:pPr>
        <w:bidi/>
        <w:jc w:val="both"/>
        <w:rPr>
          <w:rFonts w:cs="Guttman Drogolin"/>
          <w:rtl/>
          <w:lang w:bidi="he-IL"/>
        </w:rPr>
        <w:sectPr w:rsidR="00AB0A94" w:rsidRPr="00882F11" w:rsidSect="00615FF2">
          <w:type w:val="continuous"/>
          <w:pgSz w:w="11907" w:h="16839" w:code="9"/>
          <w:pgMar w:top="1440" w:right="1440" w:bottom="1440" w:left="1440" w:header="720" w:footer="720" w:gutter="0"/>
          <w:cols w:num="2" w:space="720"/>
          <w:bidi/>
          <w:docGrid w:linePitch="360"/>
        </w:sectPr>
      </w:pPr>
    </w:p>
    <w:p w:rsidR="00AB0A94" w:rsidRPr="00882F11" w:rsidRDefault="00AB0A94" w:rsidP="00AB0A94">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ל"ט</w:t>
      </w:r>
    </w:p>
    <w:p w:rsidR="00615FF2" w:rsidRDefault="00615FF2" w:rsidP="0078079C">
      <w:pPr>
        <w:pStyle w:val="Heading1"/>
        <w:bidi/>
        <w:spacing w:before="0" w:line="360" w:lineRule="auto"/>
        <w:jc w:val="center"/>
        <w:rPr>
          <w:rFonts w:cs="Guttman Drogolin"/>
          <w:color w:val="auto"/>
          <w:sz w:val="24"/>
          <w:szCs w:val="24"/>
          <w:u w:val="single"/>
          <w:rtl/>
          <w:lang w:bidi="he-IL"/>
        </w:rPr>
        <w:sectPr w:rsidR="00615FF2" w:rsidSect="00615FF2">
          <w:pgSz w:w="11907" w:h="16839" w:code="9"/>
          <w:pgMar w:top="1440" w:right="1440" w:bottom="1440" w:left="1440" w:header="720" w:footer="720" w:gutter="0"/>
          <w:cols w:space="720"/>
          <w:bidi/>
          <w:docGrid w:linePitch="360"/>
        </w:sectPr>
      </w:pPr>
    </w:p>
    <w:p w:rsidR="00AB0A94" w:rsidRPr="00882F11" w:rsidRDefault="00AB0A94" w:rsidP="0078079C">
      <w:pPr>
        <w:pStyle w:val="Heading1"/>
        <w:bidi/>
        <w:spacing w:before="0" w:line="360" w:lineRule="auto"/>
        <w:jc w:val="center"/>
        <w:rPr>
          <w:rFonts w:cs="Guttman Drogolin"/>
          <w:color w:val="auto"/>
          <w:sz w:val="24"/>
          <w:szCs w:val="24"/>
          <w:u w:val="single"/>
          <w:rtl/>
          <w:lang w:bidi="he-IL"/>
        </w:rPr>
      </w:pPr>
      <w:bookmarkStart w:id="145" w:name="_Toc496175402"/>
      <w:r w:rsidRPr="00882F11">
        <w:rPr>
          <w:rFonts w:cs="Guttman Drogolin" w:hint="cs"/>
          <w:color w:val="auto"/>
          <w:sz w:val="24"/>
          <w:szCs w:val="24"/>
          <w:u w:val="single"/>
          <w:rtl/>
          <w:lang w:bidi="he-IL"/>
        </w:rPr>
        <w:lastRenderedPageBreak/>
        <w:t>הדחת קערות</w:t>
      </w:r>
      <w:bookmarkEnd w:id="145"/>
    </w:p>
    <w:p w:rsidR="008A7F72" w:rsidRPr="00882F11" w:rsidRDefault="00D36D22" w:rsidP="00D62EA4">
      <w:pPr>
        <w:bidi/>
        <w:jc w:val="both"/>
        <w:rPr>
          <w:rFonts w:cs="Guttman Drogolin"/>
          <w:rtl/>
          <w:lang w:bidi="he-IL"/>
        </w:rPr>
      </w:pPr>
      <w:r>
        <w:rPr>
          <w:rFonts w:cs="Guttman Drogolin"/>
          <w:rtl/>
          <w:lang w:bidi="he-IL"/>
        </w:rPr>
        <w:fldChar w:fldCharType="begin"/>
      </w:r>
      <w:r>
        <w:instrText xml:space="preserve"> XE "</w:instrText>
      </w:r>
      <w:r w:rsidRPr="004453F7">
        <w:rPr>
          <w:rFonts w:hint="cs"/>
          <w:rtl/>
          <w:lang w:bidi="he-IL"/>
        </w:rPr>
        <w:instrText>נ</w:instrText>
      </w:r>
      <w:r>
        <w:rPr>
          <w:rFonts w:eastAsiaTheme="minorEastAsia"/>
          <w:lang w:bidi="he-IL"/>
        </w:rPr>
        <w:instrText>\</w:instrText>
      </w:r>
      <w:r w:rsidRPr="004453F7">
        <w:rPr>
          <w:rFonts w:hint="cs"/>
          <w:rtl/>
          <w:lang w:bidi="he-IL"/>
        </w:rPr>
        <w:instrText>"ט בר נ</w:instrText>
      </w:r>
      <w:r>
        <w:rPr>
          <w:rFonts w:eastAsiaTheme="minorEastAsia"/>
          <w:lang w:bidi="he-IL"/>
        </w:rPr>
        <w:instrText>\</w:instrText>
      </w:r>
      <w:r w:rsidRPr="004453F7">
        <w:rPr>
          <w:rFonts w:hint="cs"/>
          <w:rtl/>
          <w:lang w:bidi="he-IL"/>
        </w:rPr>
        <w:instrText>"ט</w:instrText>
      </w:r>
      <w:r w:rsidRPr="004453F7">
        <w:rPr>
          <w:rtl/>
        </w:rPr>
        <w:instrText>:</w:instrText>
      </w:r>
      <w:r w:rsidRPr="004453F7">
        <w:rPr>
          <w:rFonts w:hint="cs"/>
          <w:rtl/>
          <w:lang w:bidi="he-IL"/>
        </w:rPr>
        <w:instrText>הדחת קערות</w:instrText>
      </w:r>
      <w:r>
        <w:instrText xml:space="preserve">" </w:instrText>
      </w:r>
      <w:r>
        <w:rPr>
          <w:rFonts w:cs="Guttman Drogolin"/>
          <w:rtl/>
          <w:lang w:bidi="he-IL"/>
        </w:rPr>
        <w:fldChar w:fldCharType="end"/>
      </w:r>
      <w:r w:rsidR="00AB0A94" w:rsidRPr="00882F11">
        <w:rPr>
          <w:rFonts w:cs="Guttman Drogolin" w:hint="cs"/>
          <w:rtl/>
          <w:lang w:bidi="he-IL"/>
        </w:rPr>
        <w:t xml:space="preserve">התוס' בסוף דבריהם כותבים לאסור קערות בני יומן לבשר שהודחו במחבת בן יומו של חלב. ומבואר בתוס' ארבע טעמים לאסור את הדבר. חדא שהרי הם בכלי ראשון ונתבשלו. ועוד שהרי יש לחשוש לשמנונית ע"ג ולכן אפילו אם נתבשלו כעלו מ"מ אין כאן נ"ט בר נ"ט. ועוד משום שיש חשש שיגעו הקערות למחבת וא"כ ליכא אמצעי של מים ומשו"ה לא </w:t>
      </w:r>
      <w:r w:rsidR="00D62EA4" w:rsidRPr="00882F11">
        <w:rPr>
          <w:rFonts w:cs="Guttman Drogolin" w:hint="cs"/>
          <w:rtl/>
          <w:lang w:bidi="he-IL"/>
        </w:rPr>
        <w:t>ה</w:t>
      </w:r>
      <w:r w:rsidR="00AB0A94" w:rsidRPr="00882F11">
        <w:rPr>
          <w:rFonts w:cs="Guttman Drogolin" w:hint="cs"/>
          <w:rtl/>
          <w:lang w:bidi="he-IL"/>
        </w:rPr>
        <w:t xml:space="preserve">וי נ"ט בר נ"ט אפילו אם נתבשלו כנצלו וליכא שמנונית. ועוד שהרי המים נאסרים מב' הטעמים ושוב אוסרים את הקערות ואת המחבת. </w:t>
      </w:r>
    </w:p>
    <w:p w:rsidR="00EF4B82" w:rsidRPr="00882F11" w:rsidRDefault="008A7F72" w:rsidP="008A7F72">
      <w:pPr>
        <w:bidi/>
        <w:spacing w:after="0"/>
        <w:jc w:val="both"/>
        <w:rPr>
          <w:rFonts w:cs="Guttman Drogolin"/>
          <w:b/>
          <w:bCs/>
          <w:sz w:val="24"/>
          <w:szCs w:val="24"/>
          <w:u w:val="single"/>
          <w:rtl/>
          <w:lang w:bidi="he-IL"/>
        </w:rPr>
      </w:pPr>
      <w:r w:rsidRPr="00882F11">
        <w:rPr>
          <w:rFonts w:cs="Guttman Drogolin" w:hint="cs"/>
          <w:b/>
          <w:bCs/>
          <w:sz w:val="24"/>
          <w:szCs w:val="24"/>
          <w:u w:val="single"/>
          <w:rtl/>
          <w:lang w:bidi="he-IL"/>
        </w:rPr>
        <w:t>בהא דהוי נתבשלו</w:t>
      </w:r>
      <w:r w:rsidR="00AB0A94" w:rsidRPr="00882F11">
        <w:rPr>
          <w:rFonts w:cs="Guttman Drogolin" w:hint="cs"/>
          <w:b/>
          <w:bCs/>
          <w:sz w:val="24"/>
          <w:szCs w:val="24"/>
          <w:u w:val="single"/>
          <w:rtl/>
          <w:lang w:bidi="he-IL"/>
        </w:rPr>
        <w:t xml:space="preserve"> </w:t>
      </w:r>
    </w:p>
    <w:p w:rsidR="008A7F72" w:rsidRPr="00882F11" w:rsidRDefault="008A7F72" w:rsidP="0008781D">
      <w:pPr>
        <w:bidi/>
        <w:jc w:val="both"/>
        <w:rPr>
          <w:rFonts w:cs="Guttman Drogolin"/>
          <w:rtl/>
          <w:lang w:bidi="he-IL"/>
        </w:rPr>
      </w:pPr>
      <w:r w:rsidRPr="00882F11">
        <w:rPr>
          <w:rFonts w:cs="Guttman Drogolin" w:hint="cs"/>
          <w:rtl/>
          <w:lang w:bidi="he-IL"/>
        </w:rPr>
        <w:t>התוס' כתבו דמיירי בכלי ראשון. ומשמע דלא מיירי בכלי ראשון שהוא דוקא ע"ג האש מדלא כתבו כן בהדיא. ומבואר שגם כלי ראשון שלא ע"ג האש יש בה את החומרא של 'נתבשלו' לאלו שמחמירים בזה. ויל"ע מה הם הכללים בזה.</w:t>
      </w:r>
      <w:r w:rsidR="00D577B8" w:rsidRPr="00882F11">
        <w:rPr>
          <w:rFonts w:cs="Guttman Drogolin" w:hint="cs"/>
          <w:rtl/>
          <w:lang w:bidi="he-IL"/>
        </w:rPr>
        <w:t xml:space="preserve"> דהנה הרמב"ן העיר שמהו באמת הטעם</w:t>
      </w:r>
      <w:r w:rsidRPr="00882F11">
        <w:rPr>
          <w:rFonts w:cs="Guttman Drogolin" w:hint="cs"/>
          <w:rtl/>
          <w:lang w:bidi="he-IL"/>
        </w:rPr>
        <w:t xml:space="preserve"> לחלק בין נתבשלו ולעלו. ואני אוסיף בחומר הקושיא, דהרי התוס' בכמה מקומות בש"ס מביאים השיטה שסוברת דעירוי ככלי ראשון והוי גם מעשה בישול, ולכן אסור לעשות כן בשבת משום מלאכת מבשל. והיינו שגם עירוי חשוב בישול כמו בישול ממש. וכן י"א שדבר גוש לית לי' המעלה של כלי שני בכלל, וא"כ בדגים שעלו בקערה הי' צ"ל לשיטתו שדינו ככלי ראשון. וא"כ מאי שנא מכלי ראשון ממש שיותר חמור. וע"כ צריכם לומר שמ"מ יש חילוק בין מונח בכלי ראשון לעירוי כלי ראשון שבהא בלע טפי ולית לי' הקולא של נ"ט בר נ"ט.</w:t>
      </w:r>
    </w:p>
    <w:p w:rsidR="008A7F72" w:rsidRPr="00882F11" w:rsidRDefault="008A7F72" w:rsidP="008A7F72">
      <w:pPr>
        <w:bidi/>
        <w:spacing w:after="0"/>
        <w:jc w:val="both"/>
        <w:rPr>
          <w:rFonts w:cs="Guttman Drogolin"/>
          <w:b/>
          <w:bCs/>
          <w:sz w:val="24"/>
          <w:szCs w:val="24"/>
          <w:u w:val="single"/>
          <w:rtl/>
          <w:lang w:bidi="he-IL"/>
        </w:rPr>
      </w:pPr>
      <w:r w:rsidRPr="00882F11">
        <w:rPr>
          <w:rFonts w:cs="Guttman Drogolin" w:hint="cs"/>
          <w:b/>
          <w:bCs/>
          <w:sz w:val="24"/>
          <w:szCs w:val="24"/>
          <w:u w:val="single"/>
          <w:rtl/>
          <w:lang w:bidi="he-IL"/>
        </w:rPr>
        <w:t>בחשש שמנונית</w:t>
      </w:r>
    </w:p>
    <w:p w:rsidR="000D3BB3" w:rsidRPr="00882F11" w:rsidRDefault="008A7F72" w:rsidP="000D3BB3">
      <w:pPr>
        <w:bidi/>
        <w:jc w:val="both"/>
        <w:rPr>
          <w:rFonts w:cs="Guttman Drogolin"/>
          <w:rtl/>
          <w:lang w:bidi="he-IL"/>
        </w:rPr>
      </w:pPr>
      <w:r w:rsidRPr="00882F11">
        <w:rPr>
          <w:rFonts w:cs="Guttman Drogolin" w:hint="cs"/>
          <w:rtl/>
          <w:lang w:bidi="he-IL"/>
        </w:rPr>
        <w:t>יל"ע למה ליכא אלא חשש שמנונית, הא לכאורה כל התכלית של הדחת קערות הוא כדי להדיח אותם</w:t>
      </w:r>
      <w:r w:rsidR="000D3BB3" w:rsidRPr="00882F11">
        <w:rPr>
          <w:rFonts w:cs="Guttman Drogolin" w:hint="cs"/>
          <w:rtl/>
          <w:lang w:bidi="he-IL"/>
        </w:rPr>
        <w:t xml:space="preserve"> מאוכל שעל גביהם ובודאי יש שמנונית. ובפשוטו כוונת התוס' לקערות שמדיחים אותם ממאכל פרווה שעל גביהם, ומ"מ השתמשו בהם </w:t>
      </w:r>
      <w:r w:rsidR="000D3BB3" w:rsidRPr="00882F11">
        <w:rPr>
          <w:rFonts w:cs="Guttman Drogolin" w:hint="cs"/>
          <w:rtl/>
          <w:lang w:bidi="he-IL"/>
        </w:rPr>
        <w:lastRenderedPageBreak/>
        <w:t>עם בשר חם תוך באותו יום, ולכן יש חשש שאמנם ניקו את הקערות מקודם מ"מ נשאר שמנונית ע"ג הקערות. וחשבתי אולי עוד יותר מזה, שאולי מיירי בקערות שהשתמשו בהם עכשיו עם בשר, ומגרדים שאריות המאכל קודם ההדחה, ויש תמיד ששים נגד הבעין שנופל למים אבל לענין השמנונית לא יודעים כמה יש ולכן כשיעור כל הקערה. אלא דלא מסתבר שמשערים כנגד כל הכלי לענין השמנונית, דהא אינו אלא החלק החיצוני של הכלי, ואם יש ששים כנגדו הי' צריך להיות מותר. ועדיין צ"ע.</w:t>
      </w:r>
    </w:p>
    <w:p w:rsidR="000D3BB3" w:rsidRPr="00882F11" w:rsidRDefault="000D3BB3" w:rsidP="000D3BB3">
      <w:pPr>
        <w:bidi/>
        <w:spacing w:after="0"/>
        <w:jc w:val="both"/>
        <w:rPr>
          <w:rFonts w:cs="Guttman Drogolin"/>
          <w:b/>
          <w:bCs/>
          <w:sz w:val="24"/>
          <w:szCs w:val="24"/>
          <w:u w:val="single"/>
          <w:rtl/>
          <w:lang w:bidi="he-IL"/>
        </w:rPr>
      </w:pPr>
      <w:r w:rsidRPr="00882F11">
        <w:rPr>
          <w:rFonts w:cs="Guttman Drogolin" w:hint="cs"/>
          <w:b/>
          <w:bCs/>
          <w:sz w:val="24"/>
          <w:szCs w:val="24"/>
          <w:u w:val="single"/>
          <w:rtl/>
          <w:lang w:bidi="he-IL"/>
        </w:rPr>
        <w:t xml:space="preserve">בחשש שנגעו זה בזה </w:t>
      </w:r>
    </w:p>
    <w:p w:rsidR="00BC3392" w:rsidRPr="00882F11" w:rsidRDefault="000D3BB3" w:rsidP="00036C81">
      <w:pPr>
        <w:bidi/>
        <w:jc w:val="both"/>
        <w:rPr>
          <w:rFonts w:cs="Guttman Drogolin"/>
          <w:rtl/>
          <w:lang w:bidi="he-IL"/>
        </w:rPr>
      </w:pPr>
      <w:r w:rsidRPr="00882F11">
        <w:rPr>
          <w:rFonts w:cs="Guttman Drogolin" w:hint="cs"/>
          <w:rtl/>
          <w:lang w:bidi="he-IL"/>
        </w:rPr>
        <w:t xml:space="preserve">בהקדם חשש זה נראה לבאר מש"כ התוס' לעיל. דמעיקרא רצו להוכיח שגם בנתבשלו קיים ההיתר </w:t>
      </w:r>
      <w:r w:rsidR="0008781D" w:rsidRPr="00882F11">
        <w:rPr>
          <w:rFonts w:cs="Guttman Drogolin" w:hint="cs"/>
          <w:rtl/>
          <w:lang w:bidi="he-IL"/>
        </w:rPr>
        <w:t>של נ"ט בר נ"ט ממה שאומרים בבישול שלמים שכל יום נעשה גיעול לחבירו. וכתבו שאין לדחות דשאני התם שיש ג' נ"ט ומשום שהטעם נכנס למים קודם שנכנס לשלמים, והרי בג' נ"ט גם ריב"ן מודה, ומשום דא"כ גם בההוא מעשה דביצים היו צריכם להתיר</w:t>
      </w:r>
      <w:r w:rsidR="008E33AA" w:rsidRPr="00882F11">
        <w:rPr>
          <w:rFonts w:cs="Guttman Drogolin" w:hint="cs"/>
          <w:rtl/>
          <w:lang w:bidi="he-IL"/>
        </w:rPr>
        <w:t xml:space="preserve"> (והתוס' כתבו שיש ג' נ"ט, וצ"ע למה לא אמרו שיש ד', דהא מן השלמים הקודם לתוך הכלי ג"כ הוי תוספת נ"ט, ואולי לאו דוקא נקטו כיון שלדינא ג' נ"ט וד' נ"ט שוין)</w:t>
      </w:r>
      <w:r w:rsidR="0008781D" w:rsidRPr="00882F11">
        <w:rPr>
          <w:rFonts w:cs="Guttman Drogolin" w:hint="cs"/>
          <w:rtl/>
          <w:lang w:bidi="he-IL"/>
        </w:rPr>
        <w:t xml:space="preserve">. וע"כ אין זה הטעם. אמנם התוס' לא ביארו לנו באמת למה אינו מותר מדין נ"ט בר נ"ט בר נ"ט. ולכאורה הי' אפשר לומר דהנה רע"א הסתפק </w:t>
      </w:r>
      <w:r w:rsidR="00036C81" w:rsidRPr="00882F11">
        <w:rPr>
          <w:rFonts w:cs="Guttman Drogolin" w:hint="cs"/>
          <w:rtl/>
          <w:lang w:bidi="he-IL"/>
        </w:rPr>
        <w:t xml:space="preserve">אם הדין של נ"ט בר נ"ט אומרים אפילו בכח א' או לא. ור"ל שהרי בהא דדגים שעלו בקערה, בכל מקום חדש שנכנס בו הטעם הרי הוא נשאר שם עד מעשה בישול (או עלו) חדשה. אבל יל"ע מה יהא הדין אם נכנס לב' מקומות במעשה בישול א' האם גם זה יחשב נ"ט בר נ"ט. ולכאורה יסוד הספק מהו גדר הדין של נ"ט בר נ"ט, האם זה </w:t>
      </w:r>
      <w:r w:rsidR="00036C81" w:rsidRPr="00882F11">
        <w:rPr>
          <w:rFonts w:cs="Guttman Drogolin" w:hint="cs"/>
          <w:rtl/>
          <w:lang w:bidi="he-IL"/>
        </w:rPr>
        <w:lastRenderedPageBreak/>
        <w:t>משום שנכנס למקומות חדשות</w:t>
      </w:r>
      <w:r w:rsidR="00BC3392" w:rsidRPr="00882F11">
        <w:rPr>
          <w:rStyle w:val="FootnoteReference"/>
          <w:rFonts w:cs="Guttman Drogolin"/>
          <w:rtl/>
          <w:lang w:bidi="he-IL"/>
        </w:rPr>
        <w:footnoteReference w:id="155"/>
      </w:r>
      <w:r w:rsidR="00036C81" w:rsidRPr="00882F11">
        <w:rPr>
          <w:rFonts w:cs="Guttman Drogolin" w:hint="cs"/>
          <w:rtl/>
          <w:lang w:bidi="he-IL"/>
        </w:rPr>
        <w:t>, או משום שעברו העברות שונות. ואם הכל תלוי בהעברות דברי התוס' מובנים היטב, שהטעם שלא חשוב נ"ט בר נ"ט</w:t>
      </w:r>
      <w:r w:rsidR="0008781D" w:rsidRPr="00882F11">
        <w:rPr>
          <w:rFonts w:cs="Guttman Drogolin" w:hint="cs"/>
          <w:rtl/>
          <w:lang w:bidi="he-IL"/>
        </w:rPr>
        <w:t xml:space="preserve"> </w:t>
      </w:r>
      <w:r w:rsidR="00036C81" w:rsidRPr="00882F11">
        <w:rPr>
          <w:rFonts w:cs="Guttman Drogolin" w:hint="cs"/>
          <w:rtl/>
          <w:lang w:bidi="he-IL"/>
        </w:rPr>
        <w:t xml:space="preserve">הוא משום שהעברה א' חשוב נ"ט א' אע"ג שעבר לב' מקומות. </w:t>
      </w:r>
      <w:r w:rsidR="00BC3392" w:rsidRPr="00882F11">
        <w:rPr>
          <w:rFonts w:cs="Guttman Drogolin" w:hint="cs"/>
          <w:rtl/>
          <w:lang w:bidi="he-IL"/>
        </w:rPr>
        <w:t>באופן שאם זהו כוונת דברים לכאורה השו"ת בתוס' אם אפשר להתיר כה"ג משום ב' טעמים או לא הוא דו"ד בספק ה"ל אי בעינן מקומות או העברות.</w:t>
      </w:r>
    </w:p>
    <w:p w:rsidR="008E33AA" w:rsidRPr="00882F11" w:rsidRDefault="00BC3392" w:rsidP="00321353">
      <w:pPr>
        <w:bidi/>
        <w:jc w:val="both"/>
        <w:rPr>
          <w:rFonts w:cs="Guttman Drogolin"/>
          <w:rtl/>
          <w:lang w:bidi="he-IL"/>
        </w:rPr>
      </w:pPr>
      <w:r w:rsidRPr="00882F11">
        <w:rPr>
          <w:rFonts w:cs="Guttman Drogolin" w:hint="cs"/>
          <w:rtl/>
          <w:lang w:bidi="he-IL"/>
        </w:rPr>
        <w:t xml:space="preserve">ומ"מ לכאורה אי אפשר לומר שזהו כוונת דבריהם, שהרי כאן </w:t>
      </w:r>
      <w:r w:rsidR="00321353" w:rsidRPr="00882F11">
        <w:rPr>
          <w:rFonts w:cs="Guttman Drogolin" w:hint="cs"/>
          <w:rtl/>
          <w:lang w:bidi="he-IL"/>
        </w:rPr>
        <w:t xml:space="preserve">בהא דהדחת קערות </w:t>
      </w:r>
      <w:r w:rsidRPr="00882F11">
        <w:rPr>
          <w:rFonts w:cs="Guttman Drogolin" w:hint="cs"/>
          <w:rtl/>
          <w:lang w:bidi="he-IL"/>
        </w:rPr>
        <w:t xml:space="preserve">כתבו הטעם להתיר משום חשש נגיעה. ולכאורה למה צריכם לזה, תיפו"ל משום שהכל הוי בכח א' ולכן ליתי' לדינא דנ"ט בר נ"ט. וא"כ לכאורה חזינן דלא כנ"ל, ולעולם דין נ"ט בר נ"ט תלוי במקומות חדשות ולא בהעברות. וכן לפי זה אין צריכם לומר שהספק הנ"ל תלוי בהו"א ומסקנא של התוס'. וכי תימא דא"כ למה באמת ליתי' להיתירא דג' נ"ט בהא דשלמים, י"ל שגם התם הוא משום חשש נגיעת השלמים בתחתית הקדרה. </w:t>
      </w:r>
      <w:r w:rsidR="008E33AA" w:rsidRPr="00882F11">
        <w:rPr>
          <w:rFonts w:cs="Guttman Drogolin" w:hint="cs"/>
          <w:rtl/>
          <w:lang w:bidi="he-IL"/>
        </w:rPr>
        <w:t xml:space="preserve">וכ"כ המהרש"א בביאור דבריהם. </w:t>
      </w:r>
    </w:p>
    <w:p w:rsidR="00246274" w:rsidRPr="00882F11" w:rsidRDefault="008E33AA" w:rsidP="00321353">
      <w:pPr>
        <w:bidi/>
        <w:jc w:val="both"/>
        <w:rPr>
          <w:rFonts w:cs="Guttman Drogolin"/>
          <w:rtl/>
          <w:lang w:bidi="he-IL"/>
        </w:rPr>
      </w:pPr>
      <w:r w:rsidRPr="00882F11">
        <w:rPr>
          <w:rFonts w:cs="Guttman Drogolin" w:hint="cs"/>
          <w:rtl/>
          <w:lang w:bidi="he-IL"/>
        </w:rPr>
        <w:t xml:space="preserve">ומ"מ יש כאן מקום עיון, דהנה קיי"ל שאין בליעה יוצא מחתיכה לחתיכה בלי רוטב, וכן אינו יוצא </w:t>
      </w:r>
      <w:r w:rsidR="00321353" w:rsidRPr="00882F11">
        <w:rPr>
          <w:rFonts w:cs="Guttman Drogolin" w:hint="cs"/>
          <w:rtl/>
          <w:lang w:bidi="he-IL"/>
        </w:rPr>
        <w:t>מכלי אל כלי בלי רוטב. ולכן בשלמא</w:t>
      </w:r>
      <w:r w:rsidRPr="00882F11">
        <w:rPr>
          <w:rFonts w:cs="Guttman Drogolin" w:hint="cs"/>
          <w:rtl/>
          <w:lang w:bidi="he-IL"/>
        </w:rPr>
        <w:t xml:space="preserve"> ב</w:t>
      </w:r>
      <w:r w:rsidR="00321353" w:rsidRPr="00882F11">
        <w:rPr>
          <w:rFonts w:cs="Guttman Drogolin" w:hint="cs"/>
          <w:rtl/>
          <w:lang w:bidi="he-IL"/>
        </w:rPr>
        <w:t>ה</w:t>
      </w:r>
      <w:r w:rsidRPr="00882F11">
        <w:rPr>
          <w:rFonts w:cs="Guttman Drogolin" w:hint="cs"/>
          <w:rtl/>
          <w:lang w:bidi="he-IL"/>
        </w:rPr>
        <w:t xml:space="preserve">היא דשלמים כבר כתב הרשב"א שמרוכל לכלי נבלע גם בלי רוטב. אבל בהדחת קערות איך אפשר לומר שעובר מכלי אל כלי מבלי להכנס למים באמצע, הא בלי מים באמצע </w:t>
      </w:r>
      <w:r w:rsidR="00321353" w:rsidRPr="00882F11">
        <w:rPr>
          <w:rFonts w:cs="Guttman Drogolin" w:hint="cs"/>
          <w:rtl/>
          <w:lang w:bidi="he-IL"/>
        </w:rPr>
        <w:t>אינו עובר. כן הקשה הראש יוסף. וקושיא זו</w:t>
      </w:r>
      <w:r w:rsidRPr="00882F11">
        <w:rPr>
          <w:rFonts w:cs="Guttman Drogolin" w:hint="cs"/>
          <w:rtl/>
          <w:lang w:bidi="he-IL"/>
        </w:rPr>
        <w:t xml:space="preserve"> חמור יותר לשיטת החוו"ד שבמיעוט משקים ג"כ</w:t>
      </w:r>
      <w:r w:rsidR="00BC3392" w:rsidRPr="00882F11">
        <w:rPr>
          <w:rFonts w:cs="Guttman Drogolin" w:hint="cs"/>
          <w:rtl/>
          <w:lang w:bidi="he-IL"/>
        </w:rPr>
        <w:t xml:space="preserve"> </w:t>
      </w:r>
      <w:r w:rsidRPr="00882F11">
        <w:rPr>
          <w:rFonts w:cs="Guttman Drogolin" w:hint="cs"/>
          <w:rtl/>
          <w:lang w:bidi="he-IL"/>
        </w:rPr>
        <w:t xml:space="preserve">אינו עובר, ולכן אין לבא ולחדש שבשיעור מים מועטים ליכא קלישות טעם (וכה"פ בכח א') דהא בעינן שיעור מסוים של רוטב. זאת ועוד שהרי </w:t>
      </w:r>
      <w:r w:rsidR="00321353" w:rsidRPr="00882F11">
        <w:rPr>
          <w:rFonts w:cs="Guttman Drogolin" w:hint="cs"/>
          <w:rtl/>
          <w:lang w:bidi="he-IL"/>
        </w:rPr>
        <w:t>יש</w:t>
      </w:r>
      <w:r w:rsidRPr="00882F11">
        <w:rPr>
          <w:rFonts w:cs="Guttman Drogolin" w:hint="cs"/>
          <w:rtl/>
          <w:lang w:bidi="he-IL"/>
        </w:rPr>
        <w:t xml:space="preserve"> לנו כלל של מים מקדמים, וביארו </w:t>
      </w:r>
      <w:r w:rsidR="008B784C" w:rsidRPr="00882F11">
        <w:rPr>
          <w:rFonts w:cs="Guttman Drogolin" w:hint="cs"/>
          <w:rtl/>
          <w:lang w:bidi="he-IL"/>
        </w:rPr>
        <w:t>(ע</w:t>
      </w:r>
      <w:r w:rsidR="008B784C" w:rsidRPr="00882F11">
        <w:rPr>
          <w:rFonts w:cs="Guttman Drogolin"/>
          <w:rtl/>
          <w:lang w:bidi="he-IL"/>
        </w:rPr>
        <w:t xml:space="preserve">' </w:t>
      </w:r>
      <w:r w:rsidR="008B784C" w:rsidRPr="00882F11">
        <w:rPr>
          <w:rFonts w:cs="Guttman Drogolin" w:hint="cs"/>
          <w:rtl/>
          <w:lang w:bidi="he-IL"/>
        </w:rPr>
        <w:t>פי</w:t>
      </w:r>
      <w:r w:rsidR="008B784C" w:rsidRPr="00882F11">
        <w:rPr>
          <w:rFonts w:cs="Guttman Drogolin"/>
          <w:rtl/>
          <w:lang w:bidi="he-IL"/>
        </w:rPr>
        <w:t xml:space="preserve">' </w:t>
      </w:r>
      <w:r w:rsidR="008B784C" w:rsidRPr="00882F11">
        <w:rPr>
          <w:rFonts w:cs="Guttman Drogolin" w:hint="cs"/>
          <w:rtl/>
          <w:lang w:bidi="he-IL"/>
        </w:rPr>
        <w:t>הרא</w:t>
      </w:r>
      <w:r w:rsidR="008B784C" w:rsidRPr="00882F11">
        <w:rPr>
          <w:rFonts w:cs="Guttman Drogolin"/>
          <w:rtl/>
          <w:lang w:bidi="he-IL"/>
        </w:rPr>
        <w:t>"</w:t>
      </w:r>
      <w:r w:rsidR="008B784C" w:rsidRPr="00882F11">
        <w:rPr>
          <w:rFonts w:cs="Guttman Drogolin" w:hint="cs"/>
          <w:rtl/>
          <w:lang w:bidi="he-IL"/>
        </w:rPr>
        <w:t>ש</w:t>
      </w:r>
      <w:r w:rsidR="008B784C" w:rsidRPr="00882F11">
        <w:rPr>
          <w:rFonts w:cs="Guttman Drogolin"/>
          <w:rtl/>
          <w:lang w:bidi="he-IL"/>
        </w:rPr>
        <w:t xml:space="preserve"> </w:t>
      </w:r>
      <w:r w:rsidR="008B784C" w:rsidRPr="00882F11">
        <w:rPr>
          <w:rFonts w:cs="Guttman Drogolin" w:hint="cs"/>
          <w:rtl/>
          <w:lang w:bidi="he-IL"/>
        </w:rPr>
        <w:t>למס' מקואות פ</w:t>
      </w:r>
      <w:r w:rsidR="008B784C" w:rsidRPr="00882F11">
        <w:rPr>
          <w:rFonts w:cs="Guttman Drogolin"/>
          <w:rtl/>
          <w:lang w:bidi="he-IL"/>
        </w:rPr>
        <w:t>"</w:t>
      </w:r>
      <w:r w:rsidR="008B784C" w:rsidRPr="00882F11">
        <w:rPr>
          <w:rFonts w:cs="Guttman Drogolin" w:hint="cs"/>
          <w:rtl/>
          <w:lang w:bidi="he-IL"/>
        </w:rPr>
        <w:t>ז</w:t>
      </w:r>
      <w:r w:rsidR="008B784C" w:rsidRPr="00882F11">
        <w:rPr>
          <w:rFonts w:cs="Guttman Drogolin"/>
          <w:rtl/>
          <w:lang w:bidi="he-IL"/>
        </w:rPr>
        <w:t xml:space="preserve"> </w:t>
      </w:r>
      <w:r w:rsidR="008B784C" w:rsidRPr="00882F11">
        <w:rPr>
          <w:rFonts w:cs="Guttman Drogolin" w:hint="cs"/>
          <w:rtl/>
          <w:lang w:bidi="he-IL"/>
        </w:rPr>
        <w:t>מ</w:t>
      </w:r>
      <w:r w:rsidR="008B784C" w:rsidRPr="00882F11">
        <w:rPr>
          <w:rFonts w:cs="Guttman Drogolin"/>
          <w:rtl/>
          <w:lang w:bidi="he-IL"/>
        </w:rPr>
        <w:t>"</w:t>
      </w:r>
      <w:r w:rsidR="008B784C" w:rsidRPr="00882F11">
        <w:rPr>
          <w:rFonts w:cs="Guttman Drogolin" w:hint="cs"/>
          <w:rtl/>
          <w:lang w:bidi="he-IL"/>
        </w:rPr>
        <w:t>ז</w:t>
      </w:r>
      <w:r w:rsidR="008B784C" w:rsidRPr="00882F11">
        <w:rPr>
          <w:rFonts w:cs="Guttman Drogolin"/>
          <w:rtl/>
          <w:lang w:bidi="he-IL"/>
        </w:rPr>
        <w:t xml:space="preserve"> </w:t>
      </w:r>
      <w:r w:rsidR="008B784C" w:rsidRPr="00882F11">
        <w:rPr>
          <w:rFonts w:cs="Guttman Drogolin" w:hint="cs"/>
          <w:rtl/>
          <w:lang w:bidi="he-IL"/>
        </w:rPr>
        <w:t>וכן</w:t>
      </w:r>
      <w:r w:rsidR="008B784C" w:rsidRPr="00882F11">
        <w:rPr>
          <w:rFonts w:cs="Guttman Drogolin"/>
          <w:rtl/>
          <w:lang w:bidi="he-IL"/>
        </w:rPr>
        <w:t xml:space="preserve"> </w:t>
      </w:r>
      <w:r w:rsidR="008B784C" w:rsidRPr="00882F11">
        <w:rPr>
          <w:rFonts w:cs="Guttman Drogolin" w:hint="cs"/>
          <w:rtl/>
          <w:lang w:bidi="he-IL"/>
        </w:rPr>
        <w:t>בט</w:t>
      </w:r>
      <w:r w:rsidR="008B784C" w:rsidRPr="00882F11">
        <w:rPr>
          <w:rFonts w:cs="Guttman Drogolin"/>
          <w:rtl/>
          <w:lang w:bidi="he-IL"/>
        </w:rPr>
        <w:t>"</w:t>
      </w:r>
      <w:r w:rsidR="008B784C" w:rsidRPr="00882F11">
        <w:rPr>
          <w:rFonts w:cs="Guttman Drogolin" w:hint="cs"/>
          <w:rtl/>
          <w:lang w:bidi="he-IL"/>
        </w:rPr>
        <w:t>ז</w:t>
      </w:r>
      <w:r w:rsidR="008B784C" w:rsidRPr="00882F11">
        <w:rPr>
          <w:rFonts w:cs="Guttman Drogolin"/>
          <w:rtl/>
          <w:lang w:bidi="he-IL"/>
        </w:rPr>
        <w:t xml:space="preserve"> </w:t>
      </w:r>
      <w:r w:rsidR="008B784C" w:rsidRPr="00882F11">
        <w:rPr>
          <w:rFonts w:cs="Guttman Drogolin" w:hint="cs"/>
          <w:rtl/>
          <w:lang w:bidi="he-IL"/>
        </w:rPr>
        <w:t>יו"ד סי</w:t>
      </w:r>
      <w:r w:rsidR="008B784C" w:rsidRPr="00882F11">
        <w:rPr>
          <w:rFonts w:cs="Guttman Drogolin"/>
          <w:rtl/>
          <w:lang w:bidi="he-IL"/>
        </w:rPr>
        <w:t xml:space="preserve">' </w:t>
      </w:r>
      <w:r w:rsidR="008B784C" w:rsidRPr="00882F11">
        <w:rPr>
          <w:rFonts w:cs="Guttman Drogolin" w:hint="cs"/>
          <w:rtl/>
          <w:lang w:bidi="he-IL"/>
        </w:rPr>
        <w:t>ק</w:t>
      </w:r>
      <w:r w:rsidR="008B784C" w:rsidRPr="00882F11">
        <w:rPr>
          <w:rFonts w:cs="Guttman Drogolin"/>
          <w:rtl/>
          <w:lang w:bidi="he-IL"/>
        </w:rPr>
        <w:t>"</w:t>
      </w:r>
      <w:r w:rsidR="008B784C" w:rsidRPr="00882F11">
        <w:rPr>
          <w:rFonts w:cs="Guttman Drogolin" w:hint="cs"/>
          <w:rtl/>
          <w:lang w:bidi="he-IL"/>
        </w:rPr>
        <w:t>כ</w:t>
      </w:r>
      <w:r w:rsidR="008B784C" w:rsidRPr="00882F11">
        <w:rPr>
          <w:rFonts w:cs="Guttman Drogolin"/>
          <w:rtl/>
          <w:lang w:bidi="he-IL"/>
        </w:rPr>
        <w:t xml:space="preserve"> </w:t>
      </w:r>
      <w:r w:rsidR="008B784C" w:rsidRPr="00882F11">
        <w:rPr>
          <w:rFonts w:cs="Guttman Drogolin" w:hint="cs"/>
          <w:rtl/>
          <w:lang w:bidi="he-IL"/>
        </w:rPr>
        <w:t>ס</w:t>
      </w:r>
      <w:r w:rsidR="008B784C" w:rsidRPr="00882F11">
        <w:rPr>
          <w:rFonts w:cs="Guttman Drogolin"/>
          <w:rtl/>
          <w:lang w:bidi="he-IL"/>
        </w:rPr>
        <w:t>"</w:t>
      </w:r>
      <w:r w:rsidR="008B784C" w:rsidRPr="00882F11">
        <w:rPr>
          <w:rFonts w:cs="Guttman Drogolin" w:hint="cs"/>
          <w:rtl/>
          <w:lang w:bidi="he-IL"/>
        </w:rPr>
        <w:t>ק</w:t>
      </w:r>
      <w:r w:rsidR="008B784C" w:rsidRPr="00882F11">
        <w:rPr>
          <w:rFonts w:cs="Guttman Drogolin"/>
          <w:rtl/>
          <w:lang w:bidi="he-IL"/>
        </w:rPr>
        <w:t xml:space="preserve"> </w:t>
      </w:r>
      <w:r w:rsidR="008B784C" w:rsidRPr="00882F11">
        <w:rPr>
          <w:rFonts w:cs="Guttman Drogolin" w:hint="cs"/>
          <w:rtl/>
          <w:lang w:bidi="he-IL"/>
        </w:rPr>
        <w:t>ד</w:t>
      </w:r>
      <w:r w:rsidR="008B784C" w:rsidRPr="00882F11">
        <w:rPr>
          <w:rFonts w:cs="Guttman Drogolin"/>
          <w:rtl/>
          <w:lang w:bidi="he-IL"/>
        </w:rPr>
        <w:t>'</w:t>
      </w:r>
      <w:r w:rsidR="008B784C" w:rsidRPr="00882F11">
        <w:rPr>
          <w:rFonts w:cs="Guttman Drogolin" w:hint="cs"/>
          <w:rtl/>
          <w:lang w:bidi="he-IL"/>
        </w:rPr>
        <w:t>) שהוא משום שתמיד יש שכבה דקה</w:t>
      </w:r>
      <w:r w:rsidR="00124029" w:rsidRPr="00882F11">
        <w:rPr>
          <w:rFonts w:cs="Guttman Drogolin" w:hint="cs"/>
          <w:rtl/>
          <w:lang w:bidi="he-IL"/>
        </w:rPr>
        <w:t xml:space="preserve"> של מים ביניהם. ולכן כיון שמסתמא</w:t>
      </w:r>
      <w:r w:rsidR="008B784C" w:rsidRPr="00882F11">
        <w:rPr>
          <w:rFonts w:cs="Guttman Drogolin" w:hint="cs"/>
          <w:rtl/>
          <w:lang w:bidi="he-IL"/>
        </w:rPr>
        <w:t xml:space="preserve"> הי' מים במחבת קודם שהתחילו להכניס </w:t>
      </w:r>
      <w:r w:rsidR="008B784C" w:rsidRPr="00882F11">
        <w:rPr>
          <w:rFonts w:cs="Guttman Drogolin" w:hint="cs"/>
          <w:rtl/>
          <w:lang w:bidi="he-IL"/>
        </w:rPr>
        <w:lastRenderedPageBreak/>
        <w:t>קערות, למה לא יכנס למים תחילה כיון שתמיד יש מים בין ב' החפצים</w:t>
      </w:r>
      <w:r w:rsidR="00B90D0E" w:rsidRPr="00882F11">
        <w:rPr>
          <w:rStyle w:val="FootnoteReference"/>
          <w:rFonts w:cs="Guttman Drogolin"/>
          <w:rtl/>
          <w:lang w:bidi="he-IL"/>
        </w:rPr>
        <w:footnoteReference w:id="156"/>
      </w:r>
      <w:r w:rsidR="008B784C" w:rsidRPr="00882F11">
        <w:rPr>
          <w:rFonts w:cs="Guttman Drogolin" w:hint="cs"/>
          <w:rtl/>
          <w:lang w:bidi="he-IL"/>
        </w:rPr>
        <w:t>. וצ"ע.</w:t>
      </w:r>
      <w:r w:rsidR="000D3BB3" w:rsidRPr="00882F11">
        <w:rPr>
          <w:rFonts w:cs="Guttman Drogolin" w:hint="cs"/>
          <w:rtl/>
          <w:lang w:bidi="he-IL"/>
        </w:rPr>
        <w:t xml:space="preserve"> </w:t>
      </w:r>
      <w:r w:rsidR="000259F8" w:rsidRPr="00882F11">
        <w:rPr>
          <w:rFonts w:cs="Guttman Drogolin" w:hint="cs"/>
          <w:rtl/>
          <w:lang w:bidi="he-IL"/>
        </w:rPr>
        <w:t xml:space="preserve"> </w:t>
      </w:r>
      <w:r w:rsidR="00460AFB" w:rsidRPr="00882F11">
        <w:rPr>
          <w:rFonts w:cs="Guttman Drogolin" w:hint="cs"/>
          <w:rtl/>
          <w:lang w:bidi="he-IL"/>
        </w:rPr>
        <w:t xml:space="preserve"> </w:t>
      </w:r>
      <w:r w:rsidR="00F434CE" w:rsidRPr="00882F11">
        <w:rPr>
          <w:rFonts w:cs="Guttman Drogolin" w:hint="cs"/>
          <w:rtl/>
          <w:lang w:bidi="he-IL"/>
        </w:rPr>
        <w:t xml:space="preserve">  </w:t>
      </w:r>
      <w:r w:rsidR="00C50ADC" w:rsidRPr="00882F11">
        <w:rPr>
          <w:rFonts w:cs="Guttman Drogolin" w:hint="cs"/>
          <w:rtl/>
          <w:lang w:bidi="he-IL"/>
        </w:rPr>
        <w:t xml:space="preserve">  </w:t>
      </w:r>
      <w:r w:rsidR="00246274" w:rsidRPr="00882F11">
        <w:rPr>
          <w:rFonts w:cs="Guttman Drogolin" w:hint="cs"/>
          <w:rtl/>
          <w:lang w:bidi="he-IL"/>
        </w:rPr>
        <w:t xml:space="preserve"> </w:t>
      </w:r>
    </w:p>
    <w:p w:rsidR="00EA0AFF" w:rsidRPr="00882F11" w:rsidRDefault="00EA0AFF" w:rsidP="00EA0AFF">
      <w:pPr>
        <w:bidi/>
        <w:spacing w:after="0"/>
        <w:jc w:val="both"/>
        <w:rPr>
          <w:rFonts w:cs="Guttman Drogolin"/>
          <w:b/>
          <w:bCs/>
          <w:sz w:val="24"/>
          <w:szCs w:val="24"/>
          <w:u w:val="single"/>
          <w:rtl/>
          <w:lang w:bidi="he-IL"/>
        </w:rPr>
      </w:pPr>
      <w:r w:rsidRPr="00882F11">
        <w:rPr>
          <w:rFonts w:cs="Guttman Drogolin" w:hint="cs"/>
          <w:b/>
          <w:bCs/>
          <w:sz w:val="24"/>
          <w:szCs w:val="24"/>
          <w:u w:val="single"/>
          <w:rtl/>
          <w:lang w:bidi="he-IL"/>
        </w:rPr>
        <w:t>איסור המים מתערובת הטעם של בשר וחלב</w:t>
      </w:r>
    </w:p>
    <w:p w:rsidR="00EC6C3D" w:rsidRPr="00882F11" w:rsidRDefault="00DE71E1" w:rsidP="00EC6C3D">
      <w:pPr>
        <w:bidi/>
        <w:jc w:val="both"/>
        <w:rPr>
          <w:rFonts w:cs="Guttman Drogolin"/>
          <w:rtl/>
          <w:lang w:bidi="he-IL"/>
        </w:rPr>
      </w:pPr>
      <w:r w:rsidRPr="00882F11">
        <w:rPr>
          <w:rFonts w:cs="Guttman Drogolin" w:hint="cs"/>
          <w:rtl/>
          <w:lang w:bidi="he-IL"/>
        </w:rPr>
        <w:t>הטעם הרביעי כתבוה התוס' שיש לאסור כיון שטעם שני של בשר וטעם שני של חלב מתערבים ביחד ואוסרים זה את זה, ושוב אוסרים גם הכלים. ובחי</w:t>
      </w:r>
      <w:r w:rsidR="00321353" w:rsidRPr="00882F11">
        <w:rPr>
          <w:rFonts w:cs="Guttman Drogolin" w:hint="cs"/>
          <w:rtl/>
          <w:lang w:bidi="he-IL"/>
        </w:rPr>
        <w:t>'</w:t>
      </w:r>
      <w:r w:rsidRPr="00882F11">
        <w:rPr>
          <w:rFonts w:cs="Guttman Drogolin" w:hint="cs"/>
          <w:rtl/>
          <w:lang w:bidi="he-IL"/>
        </w:rPr>
        <w:t xml:space="preserve"> הרמב"ן הביא טעם זה בשם ס' התרומה, וכתב עליו שהוא שיבוש, דהא זהו ממש דגים שעלו בקערה שהתיר אביי, דהא </w:t>
      </w:r>
      <w:r w:rsidR="00EC6C3D" w:rsidRPr="00882F11">
        <w:rPr>
          <w:rFonts w:cs="Guttman Drogolin" w:hint="cs"/>
          <w:rtl/>
          <w:lang w:bidi="he-IL"/>
        </w:rPr>
        <w:t>הקערה שבהדחת כלים הוא דוגמת הקערה שבדגים, והמים שבהדחת כלים הוא דוגמת הדגים, וכמו שהבליעות שבדגים אינם אוסרים הכותח הה"נ שלא יאסרו הבליעות של בשר מהקערות את הבליעות שמן המחבת.</w:t>
      </w:r>
    </w:p>
    <w:p w:rsidR="00681FA8" w:rsidRPr="00882F11" w:rsidRDefault="00EC6C3D" w:rsidP="00681FA8">
      <w:pPr>
        <w:bidi/>
        <w:jc w:val="both"/>
        <w:rPr>
          <w:rFonts w:cs="Guttman Drogolin"/>
          <w:rtl/>
          <w:lang w:bidi="he-IL"/>
        </w:rPr>
      </w:pPr>
      <w:r w:rsidRPr="00882F11">
        <w:rPr>
          <w:rFonts w:cs="Guttman Drogolin" w:hint="cs"/>
          <w:rtl/>
          <w:lang w:bidi="he-IL"/>
        </w:rPr>
        <w:t xml:space="preserve">והר"ן חלק עליו בטענה זו בתרתי. חדא </w:t>
      </w:r>
      <w:r w:rsidR="00E81A72" w:rsidRPr="00882F11">
        <w:rPr>
          <w:rFonts w:cs="Guttman Drogolin" w:hint="cs"/>
          <w:rtl/>
          <w:lang w:bidi="he-IL"/>
        </w:rPr>
        <w:t xml:space="preserve">דמאן לימא לן שהטעם בשר מן הקערה לא נאסר ישירות מן המחבת בזה שנגע במחבת. </w:t>
      </w:r>
      <w:r w:rsidR="00681FA8" w:rsidRPr="00882F11">
        <w:rPr>
          <w:rFonts w:cs="Guttman Drogolin" w:hint="cs"/>
          <w:rtl/>
          <w:lang w:bidi="he-IL"/>
        </w:rPr>
        <w:t xml:space="preserve">וטענה זו לכאורה לא שייך לפי הכלל שכתב רע"א בדעת הרמב"ן, שאם בעינן דתרוייהו יאסרו אהדדי, מה איכפת לן בזה שהטעם במים נאסר מן הכלי גופו כיון שהטעם שבמים אינו אוסר הטעם שבכלי. </w:t>
      </w:r>
      <w:r w:rsidR="00E81A72" w:rsidRPr="00882F11">
        <w:rPr>
          <w:rFonts w:cs="Guttman Drogolin" w:hint="cs"/>
          <w:rtl/>
          <w:lang w:bidi="he-IL"/>
        </w:rPr>
        <w:t xml:space="preserve">ועוד </w:t>
      </w:r>
      <w:r w:rsidR="00681FA8" w:rsidRPr="00882F11">
        <w:rPr>
          <w:rFonts w:cs="Guttman Drogolin" w:hint="cs"/>
          <w:rtl/>
          <w:lang w:bidi="he-IL"/>
        </w:rPr>
        <w:t xml:space="preserve">כתב הר"ן </w:t>
      </w:r>
      <w:r w:rsidR="00E81A72" w:rsidRPr="00882F11">
        <w:rPr>
          <w:rFonts w:cs="Guttman Drogolin" w:hint="cs"/>
          <w:rtl/>
          <w:lang w:bidi="he-IL"/>
        </w:rPr>
        <w:t>שהר</w:t>
      </w:r>
      <w:r w:rsidR="00D31F62" w:rsidRPr="00882F11">
        <w:rPr>
          <w:rFonts w:cs="Guttman Drogolin" w:hint="cs"/>
          <w:rtl/>
          <w:lang w:bidi="he-IL"/>
        </w:rPr>
        <w:t>י</w:t>
      </w:r>
      <w:r w:rsidR="00E81A72" w:rsidRPr="00882F11">
        <w:rPr>
          <w:rFonts w:cs="Guttman Drogolin" w:hint="cs"/>
          <w:rtl/>
          <w:lang w:bidi="he-IL"/>
        </w:rPr>
        <w:t xml:space="preserve"> מ</w:t>
      </w:r>
      <w:r w:rsidR="00D31F62" w:rsidRPr="00882F11">
        <w:rPr>
          <w:rFonts w:cs="Guttman Drogolin" w:hint="cs"/>
          <w:rtl/>
          <w:lang w:bidi="he-IL"/>
        </w:rPr>
        <w:t>י</w:t>
      </w:r>
      <w:r w:rsidR="00E81A72" w:rsidRPr="00882F11">
        <w:rPr>
          <w:rFonts w:cs="Guttman Drogolin" w:hint="cs"/>
          <w:rtl/>
          <w:lang w:bidi="he-IL"/>
        </w:rPr>
        <w:t>ד שנכנסו הטעמים לתוך המים נאסרו, ולכן לא הי' אף פעם טעם ב' בהיתר. ויל"ע מהו באמת יסוד המחלוקת שבין הרמב"ן לר"ן</w:t>
      </w:r>
      <w:r w:rsidR="00D31F62" w:rsidRPr="00882F11">
        <w:rPr>
          <w:rFonts w:cs="Guttman Drogolin" w:hint="cs"/>
          <w:rtl/>
          <w:lang w:bidi="he-IL"/>
        </w:rPr>
        <w:t xml:space="preserve"> (ותוס')</w:t>
      </w:r>
      <w:r w:rsidR="00E81A72" w:rsidRPr="00882F11">
        <w:rPr>
          <w:rFonts w:cs="Guttman Drogolin" w:hint="cs"/>
          <w:rtl/>
          <w:lang w:bidi="he-IL"/>
        </w:rPr>
        <w:t xml:space="preserve"> בזה. נראה שנחלקו בגדר הילוך הטעמים בתוך המים, </w:t>
      </w:r>
      <w:r w:rsidR="00D31F62" w:rsidRPr="00882F11">
        <w:rPr>
          <w:rFonts w:cs="Guttman Drogolin" w:hint="cs"/>
          <w:rtl/>
          <w:lang w:bidi="he-IL"/>
        </w:rPr>
        <w:t xml:space="preserve">שהרמב"ן סבר שכשנכנס טעם בשר לתוך המים, אע"ג שיש בה גם טעם חלב, מ"מ הבשר צריך להגיע לאחר מכן לחלב, וזה הוי עוד נ"ט ולכן הוא מותר. אבל הר"ן סבר שבתוך המים נחשבים כולם להיות ביחד בבת א', ולכן ליכא טעם שני בהיתר והרי זה אסור. </w:t>
      </w:r>
      <w:r w:rsidR="00E70BBA" w:rsidRPr="00882F11">
        <w:rPr>
          <w:rFonts w:cs="Guttman Drogolin" w:hint="cs"/>
          <w:rtl/>
          <w:lang w:bidi="he-IL"/>
        </w:rPr>
        <w:t>וכי תימא לשיטת הר"ן סוף סו</w:t>
      </w:r>
      <w:r w:rsidR="00B67F84" w:rsidRPr="00882F11">
        <w:rPr>
          <w:rFonts w:cs="Guttman Drogolin" w:hint="cs"/>
          <w:rtl/>
          <w:lang w:bidi="he-IL"/>
        </w:rPr>
        <w:t>ף</w:t>
      </w:r>
      <w:r w:rsidR="00E70BBA" w:rsidRPr="00882F11">
        <w:rPr>
          <w:rFonts w:cs="Guttman Drogolin" w:hint="cs"/>
          <w:rtl/>
          <w:lang w:bidi="he-IL"/>
        </w:rPr>
        <w:t xml:space="preserve"> מאי שנא מדגים, ולמה לא יאסרו הדגים מכח הכותח, נראה שהר"ן והתוס' לטעמייהו אזלי, שלדידהו טעם שני בהיתר ניתר לגמרי, ולכן מיד שנכנס הטעם בשר לתוך הדג הרי הוא ניתר ושו</w:t>
      </w:r>
      <w:r w:rsidR="00681FA8" w:rsidRPr="00882F11">
        <w:rPr>
          <w:rFonts w:cs="Guttman Drogolin" w:hint="cs"/>
          <w:rtl/>
          <w:lang w:bidi="he-IL"/>
        </w:rPr>
        <w:t>ב</w:t>
      </w:r>
      <w:r w:rsidR="00E70BBA" w:rsidRPr="00882F11">
        <w:rPr>
          <w:rFonts w:cs="Guttman Drogolin" w:hint="cs"/>
          <w:rtl/>
          <w:lang w:bidi="he-IL"/>
        </w:rPr>
        <w:t xml:space="preserve"> לא נאסר. אבל לרמב"ן </w:t>
      </w:r>
      <w:r w:rsidR="00E70BBA" w:rsidRPr="00882F11">
        <w:rPr>
          <w:rFonts w:cs="Guttman Drogolin" w:hint="cs"/>
          <w:rtl/>
          <w:lang w:bidi="he-IL"/>
        </w:rPr>
        <w:lastRenderedPageBreak/>
        <w:t>שטעם שני נאסר, ע"כ הטעם כמש"כ רע"א שכל שאין גם הבשר וגם החלב אוסרים זה את זה ליכא איסור בב"ח כלל, וכיון שהאין הבשר אוסר הכותח הה"נ שאין הוכתח אוסר הבשר וכמש"נ כל זה לעיל.</w:t>
      </w:r>
    </w:p>
    <w:p w:rsidR="00BA035B" w:rsidRPr="00882F11" w:rsidRDefault="00BA035B" w:rsidP="0078079C">
      <w:pPr>
        <w:pStyle w:val="Heading1"/>
        <w:bidi/>
        <w:spacing w:before="0" w:line="360" w:lineRule="auto"/>
        <w:jc w:val="center"/>
        <w:rPr>
          <w:rFonts w:cs="Guttman Drogolin"/>
          <w:color w:val="auto"/>
          <w:sz w:val="24"/>
          <w:szCs w:val="24"/>
          <w:u w:val="single"/>
          <w:rtl/>
          <w:lang w:bidi="he-IL"/>
        </w:rPr>
      </w:pPr>
      <w:bookmarkStart w:id="146" w:name="_Toc496175403"/>
      <w:r w:rsidRPr="00882F11">
        <w:rPr>
          <w:rFonts w:cs="Guttman Drogolin" w:hint="cs"/>
          <w:color w:val="auto"/>
          <w:sz w:val="24"/>
          <w:szCs w:val="24"/>
          <w:u w:val="single"/>
          <w:rtl/>
          <w:lang w:bidi="he-IL"/>
        </w:rPr>
        <w:t>עוד נידונים בדין נ"ט בר נ"ט</w:t>
      </w:r>
      <w:bookmarkEnd w:id="146"/>
    </w:p>
    <w:p w:rsidR="00BA035B" w:rsidRPr="00882F11" w:rsidRDefault="00BA035B" w:rsidP="00DB356D">
      <w:pPr>
        <w:keepNext/>
        <w:bidi/>
        <w:spacing w:after="0"/>
        <w:jc w:val="both"/>
        <w:rPr>
          <w:rFonts w:cs="Guttman Drogolin"/>
          <w:b/>
          <w:bCs/>
          <w:u w:val="single"/>
          <w:rtl/>
          <w:lang w:bidi="he-IL"/>
        </w:rPr>
      </w:pPr>
      <w:r w:rsidRPr="00882F11">
        <w:rPr>
          <w:rFonts w:cs="Guttman Drogolin" w:hint="cs"/>
          <w:b/>
          <w:bCs/>
          <w:sz w:val="24"/>
          <w:szCs w:val="24"/>
          <w:u w:val="single"/>
          <w:rtl/>
          <w:lang w:bidi="he-IL"/>
        </w:rPr>
        <w:t>האם בעינן נ"ט ראשון בכלי</w:t>
      </w:r>
    </w:p>
    <w:p w:rsidR="00670EC3" w:rsidRPr="00882F11" w:rsidRDefault="00D36D22" w:rsidP="00BE5CEE">
      <w:pPr>
        <w:bidi/>
        <w:jc w:val="both"/>
        <w:rPr>
          <w:rFonts w:cs="Guttman Drogolin"/>
          <w:rtl/>
          <w:lang w:bidi="he-IL"/>
        </w:rPr>
      </w:pPr>
      <w:r>
        <w:rPr>
          <w:rFonts w:cs="Guttman Drogolin"/>
          <w:rtl/>
          <w:lang w:bidi="he-IL"/>
        </w:rPr>
        <w:fldChar w:fldCharType="begin"/>
      </w:r>
      <w:r>
        <w:instrText xml:space="preserve"> XE "</w:instrText>
      </w:r>
      <w:r w:rsidRPr="003209B2">
        <w:rPr>
          <w:rFonts w:hint="cs"/>
          <w:rtl/>
          <w:lang w:bidi="he-IL"/>
        </w:rPr>
        <w:instrText>נ</w:instrText>
      </w:r>
      <w:r>
        <w:rPr>
          <w:rFonts w:eastAsiaTheme="minorEastAsia"/>
          <w:lang w:bidi="he-IL"/>
        </w:rPr>
        <w:instrText>\</w:instrText>
      </w:r>
      <w:r w:rsidRPr="003209B2">
        <w:rPr>
          <w:rFonts w:hint="cs"/>
          <w:rtl/>
          <w:lang w:bidi="he-IL"/>
        </w:rPr>
        <w:instrText>"ט בר נ</w:instrText>
      </w:r>
      <w:r>
        <w:rPr>
          <w:rFonts w:eastAsiaTheme="minorEastAsia"/>
          <w:lang w:bidi="he-IL"/>
        </w:rPr>
        <w:instrText>\</w:instrText>
      </w:r>
      <w:r w:rsidRPr="003209B2">
        <w:rPr>
          <w:rFonts w:hint="cs"/>
          <w:rtl/>
          <w:lang w:bidi="he-IL"/>
        </w:rPr>
        <w:instrText>"ט</w:instrText>
      </w:r>
      <w:r w:rsidRPr="003209B2">
        <w:rPr>
          <w:rtl/>
        </w:rPr>
        <w:instrText>:</w:instrText>
      </w:r>
      <w:r w:rsidRPr="003209B2">
        <w:rPr>
          <w:rFonts w:hint="cs"/>
          <w:rtl/>
          <w:lang w:bidi="he-IL"/>
        </w:rPr>
        <w:instrText>אי בעינן שיהא טעם הראשון בכלי</w:instrText>
      </w:r>
      <w:r>
        <w:instrText xml:space="preserve">" </w:instrText>
      </w:r>
      <w:r>
        <w:rPr>
          <w:rFonts w:cs="Guttman Drogolin"/>
          <w:rtl/>
          <w:lang w:bidi="he-IL"/>
        </w:rPr>
        <w:fldChar w:fldCharType="end"/>
      </w:r>
      <w:r w:rsidR="00BA035B" w:rsidRPr="00882F11">
        <w:rPr>
          <w:rFonts w:cs="Guttman Drogolin" w:hint="cs"/>
          <w:rtl/>
          <w:lang w:bidi="he-IL"/>
        </w:rPr>
        <w:t xml:space="preserve">הפמ"ג </w:t>
      </w:r>
      <w:r w:rsidR="00BE5CEE" w:rsidRPr="00882F11">
        <w:rPr>
          <w:rFonts w:cs="Guttman Drogolin" w:hint="cs"/>
          <w:rtl/>
          <w:lang w:bidi="he-IL"/>
        </w:rPr>
        <w:t xml:space="preserve">(סי' צ"ה מש"ז ס"ק א') </w:t>
      </w:r>
      <w:r w:rsidR="00BA035B" w:rsidRPr="00882F11">
        <w:rPr>
          <w:rFonts w:cs="Guttman Drogolin" w:hint="cs"/>
          <w:rtl/>
          <w:lang w:bidi="he-IL"/>
        </w:rPr>
        <w:t>צידד אולי לומר דליתי' לקלישות נ"ט בר נ"ט אא"כ הטעם הראשון נקלש בתוך כלי. וע"ש שהביא שכן הוא משמעות</w:t>
      </w:r>
      <w:r w:rsidR="00DB356D" w:rsidRPr="00882F11">
        <w:rPr>
          <w:rFonts w:cs="Guttman Drogolin" w:hint="cs"/>
          <w:rtl/>
          <w:lang w:bidi="he-IL"/>
        </w:rPr>
        <w:t xml:space="preserve"> </w:t>
      </w:r>
      <w:r w:rsidR="00BE5CEE" w:rsidRPr="00882F11">
        <w:rPr>
          <w:rFonts w:cs="Guttman Drogolin" w:hint="cs"/>
          <w:rtl/>
          <w:lang w:bidi="he-IL"/>
        </w:rPr>
        <w:t xml:space="preserve">ס' התרומה. ובס' שחיטת חולין הביא רשימה של ראיות מראשונים שוסברים שאין לחלק בזה. א' מן השיטה שסוברת דהא דדגים שעלו בקערה מיירי בכה"ג שיש בשר בקערה. וא"כ אין כאן כלי כלל. ואפילו הרמב"ן שחלק על שיטה זו לא נראה שהי' מטעם זה. וכן הרמב"ן עצמו פי' המעשה דרב עם השייפא שנכנס הדבר מר במאכל אחר ולאחר מכן נכנס לכלי. הרי דעכ"פ לא בעינן שיכנס לכלי קודם (אבל מזה לבד הי' אפשר לומר שמ"מ בעינן קלישות של כלי בא' מן הנ"ט). וכן לכאורה מבואר מרש"י שבדף קט"ז ע"ב שדן בנ"ט בר נ"ט היכא דליכא אלא מאכל בלבד.   </w:t>
      </w:r>
      <w:r w:rsidR="00BA035B" w:rsidRPr="00882F11">
        <w:rPr>
          <w:rFonts w:cs="Guttman Drogolin" w:hint="cs"/>
          <w:rtl/>
          <w:lang w:bidi="he-IL"/>
        </w:rPr>
        <w:t xml:space="preserve"> </w:t>
      </w:r>
      <w:r w:rsidR="00E70BBA" w:rsidRPr="00882F11">
        <w:rPr>
          <w:rFonts w:cs="Guttman Drogolin" w:hint="cs"/>
          <w:rtl/>
          <w:lang w:bidi="he-IL"/>
        </w:rPr>
        <w:t xml:space="preserve"> </w:t>
      </w:r>
      <w:r w:rsidR="008C2230" w:rsidRPr="00882F11">
        <w:rPr>
          <w:rFonts w:cs="Guttman Drogolin" w:hint="cs"/>
          <w:rtl/>
          <w:lang w:bidi="he-IL"/>
        </w:rPr>
        <w:t xml:space="preserve"> </w:t>
      </w:r>
    </w:p>
    <w:p w:rsidR="00BE5CEE" w:rsidRPr="00882F11" w:rsidRDefault="00BE5CEE" w:rsidP="00BE5CEE">
      <w:pPr>
        <w:keepNext/>
        <w:bidi/>
        <w:spacing w:after="0"/>
        <w:jc w:val="both"/>
        <w:rPr>
          <w:rFonts w:cs="Guttman Drogolin"/>
          <w:b/>
          <w:bCs/>
          <w:u w:val="single"/>
          <w:rtl/>
          <w:lang w:bidi="he-IL"/>
        </w:rPr>
      </w:pPr>
      <w:r w:rsidRPr="00882F11">
        <w:rPr>
          <w:rFonts w:cs="Guttman Drogolin" w:hint="cs"/>
          <w:b/>
          <w:bCs/>
          <w:sz w:val="24"/>
          <w:szCs w:val="24"/>
          <w:u w:val="single"/>
          <w:rtl/>
          <w:lang w:bidi="he-IL"/>
        </w:rPr>
        <w:t>נ"ט בר נ"ט במין במינו</w:t>
      </w:r>
    </w:p>
    <w:p w:rsidR="00BE5CEE" w:rsidRPr="00882F11" w:rsidRDefault="00D36D22" w:rsidP="00BE5CEE">
      <w:pPr>
        <w:bidi/>
        <w:jc w:val="both"/>
        <w:rPr>
          <w:rFonts w:cs="Guttman Drogolin"/>
          <w:rtl/>
          <w:lang w:bidi="he-IL"/>
        </w:rPr>
      </w:pPr>
      <w:r>
        <w:rPr>
          <w:rFonts w:cs="Guttman Drogolin"/>
          <w:rtl/>
          <w:lang w:bidi="he-IL"/>
        </w:rPr>
        <w:fldChar w:fldCharType="begin"/>
      </w:r>
      <w:r>
        <w:instrText xml:space="preserve"> XE "</w:instrText>
      </w:r>
      <w:r w:rsidRPr="00DD479A">
        <w:rPr>
          <w:rFonts w:hint="cs"/>
          <w:rtl/>
          <w:lang w:bidi="he-IL"/>
        </w:rPr>
        <w:instrText>נ</w:instrText>
      </w:r>
      <w:r>
        <w:rPr>
          <w:rFonts w:eastAsiaTheme="minorEastAsia"/>
          <w:lang w:bidi="he-IL"/>
        </w:rPr>
        <w:instrText>\</w:instrText>
      </w:r>
      <w:r w:rsidRPr="00DD479A">
        <w:rPr>
          <w:rFonts w:hint="cs"/>
          <w:rtl/>
          <w:lang w:bidi="he-IL"/>
        </w:rPr>
        <w:instrText>"ט בר נ</w:instrText>
      </w:r>
      <w:r>
        <w:rPr>
          <w:rFonts w:eastAsiaTheme="minorEastAsia"/>
          <w:lang w:bidi="he-IL"/>
        </w:rPr>
        <w:instrText>\</w:instrText>
      </w:r>
      <w:r w:rsidRPr="00DD479A">
        <w:rPr>
          <w:rFonts w:hint="cs"/>
          <w:rtl/>
          <w:lang w:bidi="he-IL"/>
        </w:rPr>
        <w:instrText>"ט</w:instrText>
      </w:r>
      <w:r w:rsidRPr="00DD479A">
        <w:rPr>
          <w:rtl/>
        </w:rPr>
        <w:instrText>:</w:instrText>
      </w:r>
      <w:r w:rsidRPr="00DD479A">
        <w:rPr>
          <w:rFonts w:hint="cs"/>
          <w:rtl/>
          <w:lang w:bidi="he-IL"/>
        </w:rPr>
        <w:instrText>במין במינו</w:instrText>
      </w:r>
      <w:r>
        <w:instrText xml:space="preserve">" </w:instrText>
      </w:r>
      <w:r>
        <w:rPr>
          <w:rFonts w:cs="Guttman Drogolin"/>
          <w:rtl/>
          <w:lang w:bidi="he-IL"/>
        </w:rPr>
        <w:fldChar w:fldCharType="end"/>
      </w:r>
      <w:r w:rsidR="00BE5CEE" w:rsidRPr="00882F11">
        <w:rPr>
          <w:rFonts w:cs="Guttman Drogolin" w:hint="cs"/>
          <w:rtl/>
          <w:lang w:bidi="he-IL"/>
        </w:rPr>
        <w:t xml:space="preserve">רע"א בשו"ע הסתפק אי אמרינן ההיתר של נ"ט בר נ"ט במין במינו. ויסוד הספק לכאורה דליכא למימר שהוקלש הטעם כיון שהכל טעם א' וטעם זה נרגש היטב. ולכאורה הוא דומה לסברת התוס' במס' ע"ז ס"ו ע"א שבמשהו של טעם במין במינו חשוב שנותן טעם (ע' מש"כ מזה לעיל). אלא שהוכיח מראית התוס' משלמים שכל יום נעשה גיעול לחבירו שגם במין במינו אמרינן הכי, דהא התם הוי מין במינו. וראיתי בס' שחיטת חולין שרצה לדחות, שהרי התם ס"ד דיהא אסור אע"ג דמין במינו בטל מדאורייתא משום שמדרבנן גזרו מין במינו אטו מין בשאינו מינו. וא"כ איכא למימר שבמקרה כזה יש להתיר נ"ט בר נ"ט אפילו במינו כיון שכל הטעם לאסור הוא אטו מין בשאינו מינו, ובמין בשאינו מינו גופי' הי' מותר </w:t>
      </w:r>
      <w:r w:rsidR="00BE5CEE" w:rsidRPr="00882F11">
        <w:rPr>
          <w:rFonts w:cs="Guttman Drogolin" w:hint="cs"/>
          <w:rtl/>
          <w:lang w:bidi="he-IL"/>
        </w:rPr>
        <w:lastRenderedPageBreak/>
        <w:t>אילו הי' נ"ט בר נ"ט. אבל במקרה שמין במינו אסור מעיקר הדין אולי לא אמרינן הכי.</w:t>
      </w:r>
    </w:p>
    <w:p w:rsidR="00BE5CEE" w:rsidRPr="00882F11" w:rsidRDefault="00BE5CEE" w:rsidP="0078079C">
      <w:pPr>
        <w:pStyle w:val="Heading1"/>
        <w:bidi/>
        <w:spacing w:before="0" w:line="360" w:lineRule="auto"/>
        <w:jc w:val="center"/>
        <w:rPr>
          <w:rFonts w:cs="Guttman Drogolin"/>
          <w:color w:val="auto"/>
          <w:sz w:val="24"/>
          <w:szCs w:val="24"/>
          <w:u w:val="single"/>
          <w:rtl/>
          <w:lang w:bidi="he-IL"/>
        </w:rPr>
      </w:pPr>
      <w:bookmarkStart w:id="147" w:name="_Toc496175404"/>
      <w:r w:rsidRPr="00882F11">
        <w:rPr>
          <w:rFonts w:cs="Guttman Drogolin" w:hint="cs"/>
          <w:color w:val="auto"/>
          <w:sz w:val="24"/>
          <w:szCs w:val="24"/>
          <w:u w:val="single"/>
          <w:rtl/>
          <w:lang w:bidi="he-IL"/>
        </w:rPr>
        <w:t>נ"ט בר נ"ט דאיסורא</w:t>
      </w:r>
      <w:bookmarkEnd w:id="147"/>
    </w:p>
    <w:p w:rsidR="00C5430A" w:rsidRPr="00882F11" w:rsidRDefault="00D36D22" w:rsidP="008B53FC">
      <w:pPr>
        <w:bidi/>
        <w:jc w:val="both"/>
        <w:rPr>
          <w:rFonts w:cs="Guttman Drogolin"/>
          <w:rtl/>
          <w:lang w:bidi="he-IL"/>
        </w:rPr>
      </w:pPr>
      <w:r>
        <w:rPr>
          <w:rFonts w:cs="Guttman Drogolin"/>
          <w:rtl/>
          <w:lang w:bidi="he-IL"/>
        </w:rPr>
        <w:fldChar w:fldCharType="begin"/>
      </w:r>
      <w:r>
        <w:instrText xml:space="preserve"> XE "</w:instrText>
      </w:r>
      <w:r w:rsidRPr="00777317">
        <w:rPr>
          <w:rFonts w:hint="cs"/>
          <w:rtl/>
          <w:lang w:bidi="he-IL"/>
        </w:rPr>
        <w:instrText>נ</w:instrText>
      </w:r>
      <w:r>
        <w:rPr>
          <w:rFonts w:eastAsiaTheme="minorEastAsia"/>
          <w:lang w:bidi="he-IL"/>
        </w:rPr>
        <w:instrText>\</w:instrText>
      </w:r>
      <w:r w:rsidRPr="00777317">
        <w:rPr>
          <w:rFonts w:hint="cs"/>
          <w:rtl/>
          <w:lang w:bidi="he-IL"/>
        </w:rPr>
        <w:instrText>"ט בר נ</w:instrText>
      </w:r>
      <w:r>
        <w:rPr>
          <w:rFonts w:eastAsiaTheme="minorEastAsia"/>
          <w:lang w:bidi="he-IL"/>
        </w:rPr>
        <w:instrText>\</w:instrText>
      </w:r>
      <w:r w:rsidRPr="00777317">
        <w:rPr>
          <w:rFonts w:hint="cs"/>
          <w:rtl/>
          <w:lang w:bidi="he-IL"/>
        </w:rPr>
        <w:instrText>"ט</w:instrText>
      </w:r>
      <w:r w:rsidRPr="00777317">
        <w:rPr>
          <w:rtl/>
        </w:rPr>
        <w:instrText>:</w:instrText>
      </w:r>
      <w:r w:rsidR="008B53FC">
        <w:rPr>
          <w:rFonts w:hint="cs"/>
          <w:rtl/>
          <w:lang w:bidi="he-IL"/>
        </w:rPr>
        <w:instrText>ב</w:instrText>
      </w:r>
      <w:r w:rsidRPr="00777317">
        <w:rPr>
          <w:rFonts w:hint="cs"/>
          <w:rtl/>
          <w:lang w:bidi="he-IL"/>
        </w:rPr>
        <w:instrText>איסורא</w:instrText>
      </w:r>
      <w:r>
        <w:instrText xml:space="preserve">" </w:instrText>
      </w:r>
      <w:r>
        <w:rPr>
          <w:rFonts w:cs="Guttman Drogolin"/>
          <w:rtl/>
          <w:lang w:bidi="he-IL"/>
        </w:rPr>
        <w:fldChar w:fldCharType="end"/>
      </w:r>
      <w:r w:rsidR="00BE5CEE" w:rsidRPr="00882F11">
        <w:rPr>
          <w:rFonts w:cs="Guttman Drogolin" w:hint="cs"/>
          <w:rtl/>
          <w:lang w:bidi="he-IL"/>
        </w:rPr>
        <w:t xml:space="preserve">בכמה </w:t>
      </w:r>
      <w:r w:rsidR="00B60D20" w:rsidRPr="00882F11">
        <w:rPr>
          <w:rFonts w:cs="Guttman Drogolin" w:hint="cs"/>
          <w:rtl/>
          <w:lang w:bidi="he-IL"/>
        </w:rPr>
        <w:t>רא</w:t>
      </w:r>
      <w:r w:rsidR="00BE5CEE" w:rsidRPr="00882F11">
        <w:rPr>
          <w:rFonts w:cs="Guttman Drogolin" w:hint="cs"/>
          <w:rtl/>
          <w:lang w:bidi="he-IL"/>
        </w:rPr>
        <w:t>ש</w:t>
      </w:r>
      <w:r w:rsidR="00B60D20" w:rsidRPr="00882F11">
        <w:rPr>
          <w:rFonts w:cs="Guttman Drogolin" w:hint="cs"/>
          <w:rtl/>
          <w:lang w:bidi="he-IL"/>
        </w:rPr>
        <w:t>ו</w:t>
      </w:r>
      <w:r w:rsidR="00BE5CEE" w:rsidRPr="00882F11">
        <w:rPr>
          <w:rFonts w:cs="Guttman Drogolin" w:hint="cs"/>
          <w:rtl/>
          <w:lang w:bidi="he-IL"/>
        </w:rPr>
        <w:t>נים מבואר שההיתר של נ"ט</w:t>
      </w:r>
      <w:r w:rsidR="00BE5CEE" w:rsidRPr="00882F11">
        <w:rPr>
          <w:rFonts w:cs="Guttman Drogolin"/>
          <w:lang w:bidi="he-IL"/>
        </w:rPr>
        <w:t xml:space="preserve"> </w:t>
      </w:r>
      <w:r w:rsidR="00BE5CEE" w:rsidRPr="00882F11">
        <w:rPr>
          <w:rFonts w:cs="Guttman Drogolin" w:hint="cs"/>
          <w:rtl/>
          <w:lang w:bidi="he-IL"/>
        </w:rPr>
        <w:t xml:space="preserve">בר נ"ט נאמר רק בהיתירא ולא באיסורא. והרשב"א כתב שכן מוכח מגזה"כ דגיעולי נכרים. וכוונתו לכאורה כשיטת התוס' שטעם שני הי' צריך להיות מותר, ורק משום שמחלקים בין נ"ט בר נ"ט </w:t>
      </w:r>
      <w:r w:rsidR="00B60D20" w:rsidRPr="00882F11">
        <w:rPr>
          <w:rFonts w:cs="Guttman Drogolin" w:hint="cs"/>
          <w:rtl/>
          <w:lang w:bidi="he-IL"/>
        </w:rPr>
        <w:t>ד</w:t>
      </w:r>
      <w:r w:rsidR="00BE5CEE" w:rsidRPr="00882F11">
        <w:rPr>
          <w:rFonts w:cs="Guttman Drogolin" w:hint="cs"/>
          <w:rtl/>
          <w:lang w:bidi="he-IL"/>
        </w:rPr>
        <w:t>היתירא לנ"ט בר נ"ט דאיסורא יש לחלק בין</w:t>
      </w:r>
      <w:r w:rsidR="00B60D20" w:rsidRPr="00882F11">
        <w:rPr>
          <w:rFonts w:cs="Guttman Drogolin" w:hint="cs"/>
          <w:rtl/>
          <w:lang w:bidi="he-IL"/>
        </w:rPr>
        <w:t xml:space="preserve"> טעם שני בהיתר לטעם שני באיסור לשיטת התוס'. ולכאורה הוכחה זו לא שייך אלא לפירושו של התוס', אבל לרמב"ן שהכל תלוי בטעם שלישי ליכא ראי' מגיעולי נכרים. ובאמת הרמב"ן משמע שטעם ההיתר של נ"ט בר נ"ט משום שכה"ג לא נאמר הדין של טכ"ע, ואם כן לכאורה אין טעם לחלק בין נ"ט בר נ"ט דהיתירא ונ"ט בר נ"ט דאיסורא. וכן מד</w:t>
      </w:r>
      <w:r w:rsidR="004F39F0" w:rsidRPr="00882F11">
        <w:rPr>
          <w:rFonts w:cs="Guttman Drogolin" w:hint="cs"/>
          <w:rtl/>
          <w:lang w:bidi="he-IL"/>
        </w:rPr>
        <w:t>ב</w:t>
      </w:r>
      <w:r w:rsidR="00B60D20" w:rsidRPr="00882F11">
        <w:rPr>
          <w:rFonts w:cs="Guttman Drogolin" w:hint="cs"/>
          <w:rtl/>
          <w:lang w:bidi="he-IL"/>
        </w:rPr>
        <w:t xml:space="preserve">רי הרמב"ן כאן ליכא ראי' שהוא </w:t>
      </w:r>
      <w:r w:rsidR="004F39F0" w:rsidRPr="00882F11">
        <w:rPr>
          <w:rFonts w:cs="Guttman Drogolin" w:hint="cs"/>
          <w:rtl/>
          <w:lang w:bidi="he-IL"/>
        </w:rPr>
        <w:t>אסור</w:t>
      </w:r>
      <w:r w:rsidR="00B60D20" w:rsidRPr="00882F11">
        <w:rPr>
          <w:rFonts w:cs="Guttman Drogolin" w:hint="cs"/>
          <w:rtl/>
          <w:lang w:bidi="he-IL"/>
        </w:rPr>
        <w:t xml:space="preserve"> בנ"ט בר נ"ט דאיסורא (אבל לכאורה כן מבואר מדבריו במקו"א). וע' במאירי שהביא שיטה כזו, ולכן לכאורה מבואר מסמ"ק.</w:t>
      </w:r>
      <w:r w:rsidR="004F39F0" w:rsidRPr="00882F11">
        <w:rPr>
          <w:rFonts w:cs="Guttman Drogolin" w:hint="cs"/>
          <w:rtl/>
          <w:lang w:bidi="he-IL"/>
        </w:rPr>
        <w:t xml:space="preserve"> ומרש"י קט"ז ע"ב מבואר שבעצם היינו אומרים ההיתר של נ"ט בר נ"ט גם באיסורא רק דאמרינן חענ"ן. וכן מבואר בסוף שיעור ס"ה מסמ"ק. </w:t>
      </w:r>
      <w:r w:rsidR="00BE5CEE" w:rsidRPr="00882F11">
        <w:rPr>
          <w:rFonts w:cs="Guttman Drogolin" w:hint="cs"/>
          <w:rtl/>
          <w:lang w:bidi="he-IL"/>
        </w:rPr>
        <w:t xml:space="preserve">  </w:t>
      </w:r>
    </w:p>
    <w:p w:rsidR="00690E8A" w:rsidRPr="00882F11" w:rsidRDefault="00690E8A" w:rsidP="00690E8A">
      <w:pPr>
        <w:bidi/>
        <w:jc w:val="both"/>
        <w:rPr>
          <w:rFonts w:cs="Guttman Drogolin"/>
          <w:b/>
          <w:bCs/>
          <w:sz w:val="28"/>
          <w:szCs w:val="28"/>
          <w:rtl/>
          <w:lang w:bidi="he-IL"/>
        </w:rPr>
      </w:pPr>
      <w:r w:rsidRPr="00882F11">
        <w:rPr>
          <w:rFonts w:cs="Guttman Drogolin" w:hint="cs"/>
          <w:b/>
          <w:bCs/>
          <w:sz w:val="28"/>
          <w:szCs w:val="28"/>
          <w:rtl/>
          <w:lang w:bidi="he-IL"/>
        </w:rPr>
        <w:t>מילואים</w:t>
      </w:r>
    </w:p>
    <w:p w:rsidR="00690E8A" w:rsidRPr="00882F11" w:rsidRDefault="00690E8A" w:rsidP="00690E8A">
      <w:pPr>
        <w:bidi/>
        <w:jc w:val="both"/>
        <w:rPr>
          <w:rFonts w:cs="Guttman Drogolin"/>
          <w:b/>
          <w:bCs/>
          <w:sz w:val="28"/>
          <w:szCs w:val="28"/>
          <w:rtl/>
          <w:lang w:bidi="he-IL"/>
        </w:rPr>
      </w:pPr>
      <w:r w:rsidRPr="00882F11">
        <w:rPr>
          <w:rFonts w:cs="Guttman Drogolin" w:hint="cs"/>
          <w:rtl/>
          <w:lang w:bidi="he-IL"/>
        </w:rPr>
        <w:t xml:space="preserve">נוסח אחר בביאור דברי הר"ן: נראה לומר שיש ב' אופנים שיאסור טעם חלב את הבשר, ע"י זה שהבליעות עוברות דרך המים, או דרל הטעמה, הויינו שאין החפצא של איסור שנכנס למים עובר ממקום למקום אבל מ"מ מטעים דבר שני. וטעם הראשון של הר"ן הוא לומר שאינו צריך להיות שמטעים דבר שני ולכן נחשב עוד מקום לענין ההיתר של נ"ט בר נ"ט, רק יכול להיות שהבליעה עצמה הלכה לבשר ואסרו, ולכן לא הוי נ"ט בר נ"ט. והוסיף הר"ן טעם ב' שאפילו את"ל שאין לומר כן, מ"מ כיון שהבליעה לא נחה בתוך המים רק ממשיך לעבור, אין זה חשוב נ"ט שני בהיתר ולכן הרי הוא אסור. אלא שלפי זה צ"ע אם הא דהדחת קערות אסור אפילו חיממו המים במחבת קודם שהכניסו הקערות לתוכו או לא. שאם חיממו </w:t>
      </w:r>
      <w:r w:rsidRPr="00882F11">
        <w:rPr>
          <w:rFonts w:cs="Guttman Drogolin" w:hint="cs"/>
          <w:rtl/>
          <w:lang w:bidi="he-IL"/>
        </w:rPr>
        <w:lastRenderedPageBreak/>
        <w:t>קודם לכאורה הבליעות כבר נחו במקומם במים קודם שהכניסו הקערות (ולכה"פ יהא הדין כן אם צינן המים קודם ושוב הרתיחו). ואיכא למימר דאה"נ. אמנם עוד י"ל שהרי הקערות עצמן הוו טעם שני באיסור, שהרי הבליעות שיצאו ממנו התערבו מיד עם הבליעות שמן המחבת שבתוך המים. ואיכא למימר חידוש, שאמנם הבליעות שמן המחבת אינם נאסרים, מ"מ אין זה אומר שאינם אוסרים</w:t>
      </w:r>
      <w:r w:rsidR="008A0CAD" w:rsidRPr="00882F11">
        <w:rPr>
          <w:rStyle w:val="FootnoteReference"/>
          <w:rFonts w:cs="Guttman Drogolin"/>
          <w:rtl/>
          <w:lang w:bidi="he-IL"/>
        </w:rPr>
        <w:footnoteReference w:id="157"/>
      </w:r>
      <w:r w:rsidRPr="00882F11">
        <w:rPr>
          <w:rFonts w:cs="Guttman Drogolin" w:hint="cs"/>
          <w:rtl/>
          <w:lang w:bidi="he-IL"/>
        </w:rPr>
        <w:t xml:space="preserve">. תדע שהרי לרמב"ן ודאי אוסרים הם, ואיכא למימר שלענין זה לא פליגי. וא"כ י"ל שהבליעות שמן המחבת אוסרים הבליעות שמן הקערות מיד כיון שלא קיבלו הבליעות שמן הקדירות טעם שני בהיתר. וממילא לאחר מכן הכל נאסר.  </w:t>
      </w:r>
    </w:p>
    <w:p w:rsidR="002E64C3" w:rsidRPr="00882F11" w:rsidRDefault="002E64C3" w:rsidP="002E64C3">
      <w:pPr>
        <w:bidi/>
        <w:jc w:val="both"/>
        <w:rPr>
          <w:rFonts w:cs="Guttman Drogolin"/>
          <w:rtl/>
          <w:lang w:bidi="he-IL"/>
        </w:rPr>
        <w:sectPr w:rsidR="002E64C3" w:rsidRPr="00882F11" w:rsidSect="00615FF2">
          <w:type w:val="continuous"/>
          <w:pgSz w:w="11907" w:h="16839" w:code="9"/>
          <w:pgMar w:top="1440" w:right="1440" w:bottom="1440" w:left="1440" w:header="720" w:footer="720" w:gutter="0"/>
          <w:cols w:num="2" w:space="720"/>
          <w:bidi/>
          <w:docGrid w:linePitch="360"/>
        </w:sectPr>
      </w:pPr>
    </w:p>
    <w:p w:rsidR="002E64C3" w:rsidRPr="00882F11" w:rsidRDefault="002E64C3" w:rsidP="002E64C3">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מ'</w:t>
      </w:r>
    </w:p>
    <w:p w:rsidR="00615FF2" w:rsidRDefault="00615FF2" w:rsidP="0078079C">
      <w:pPr>
        <w:pStyle w:val="Heading1"/>
        <w:bidi/>
        <w:spacing w:before="0" w:line="360" w:lineRule="auto"/>
        <w:jc w:val="center"/>
        <w:rPr>
          <w:rFonts w:cs="Guttman Drogolin"/>
          <w:color w:val="auto"/>
          <w:sz w:val="24"/>
          <w:szCs w:val="24"/>
          <w:u w:val="single"/>
          <w:rtl/>
          <w:lang w:bidi="he-IL"/>
        </w:rPr>
        <w:sectPr w:rsidR="00615FF2" w:rsidSect="00615FF2">
          <w:pgSz w:w="11907" w:h="16839" w:code="9"/>
          <w:pgMar w:top="1440" w:right="1440" w:bottom="1440" w:left="1440" w:header="720" w:footer="720" w:gutter="0"/>
          <w:cols w:space="720"/>
          <w:bidi/>
          <w:docGrid w:linePitch="360"/>
        </w:sectPr>
      </w:pPr>
    </w:p>
    <w:p w:rsidR="002E64C3" w:rsidRPr="00882F11" w:rsidRDefault="002E64C3" w:rsidP="0078079C">
      <w:pPr>
        <w:pStyle w:val="Heading1"/>
        <w:bidi/>
        <w:spacing w:before="0" w:line="360" w:lineRule="auto"/>
        <w:jc w:val="center"/>
        <w:rPr>
          <w:rFonts w:cs="Guttman Drogolin"/>
          <w:color w:val="auto"/>
          <w:sz w:val="24"/>
          <w:szCs w:val="24"/>
          <w:u w:val="single"/>
          <w:rtl/>
          <w:lang w:bidi="he-IL"/>
        </w:rPr>
      </w:pPr>
      <w:bookmarkStart w:id="148" w:name="_Toc496175405"/>
      <w:r w:rsidRPr="00882F11">
        <w:rPr>
          <w:rFonts w:cs="Guttman Drogolin" w:hint="cs"/>
          <w:color w:val="auto"/>
          <w:sz w:val="24"/>
          <w:szCs w:val="24"/>
          <w:u w:val="single"/>
          <w:rtl/>
          <w:lang w:bidi="he-IL"/>
        </w:rPr>
        <w:lastRenderedPageBreak/>
        <w:t>דבר חריף עם דוחקא דסכינא</w:t>
      </w:r>
      <w:bookmarkEnd w:id="148"/>
    </w:p>
    <w:p w:rsidR="002E64C3" w:rsidRPr="00882F11" w:rsidRDefault="00122BF4" w:rsidP="002E64C3">
      <w:pPr>
        <w:bidi/>
        <w:jc w:val="both"/>
        <w:rPr>
          <w:rFonts w:cs="Guttman Drogolin"/>
          <w:rtl/>
          <w:lang w:bidi="he-IL"/>
        </w:rPr>
      </w:pPr>
      <w:r>
        <w:rPr>
          <w:rFonts w:cs="Guttman Drogolin"/>
          <w:rtl/>
          <w:lang w:bidi="he-IL"/>
        </w:rPr>
        <w:fldChar w:fldCharType="begin"/>
      </w:r>
      <w:r>
        <w:instrText xml:space="preserve"> XE "</w:instrText>
      </w:r>
      <w:r w:rsidRPr="00E57E7B">
        <w:rPr>
          <w:rFonts w:hint="cs"/>
          <w:rtl/>
          <w:lang w:bidi="he-IL"/>
        </w:rPr>
        <w:instrText>דבר חריף</w:instrText>
      </w:r>
      <w:r w:rsidRPr="00E57E7B">
        <w:rPr>
          <w:rtl/>
        </w:rPr>
        <w:instrText>:</w:instrText>
      </w:r>
      <w:r w:rsidRPr="00E57E7B">
        <w:rPr>
          <w:rFonts w:hint="cs"/>
          <w:rtl/>
          <w:lang w:bidi="he-IL"/>
        </w:rPr>
        <w:instrText>דוחקא דסכינא</w:instrText>
      </w:r>
      <w:r>
        <w:instrText xml:space="preserve">" </w:instrText>
      </w:r>
      <w:r>
        <w:rPr>
          <w:rFonts w:cs="Guttman Drogolin"/>
          <w:rtl/>
          <w:lang w:bidi="he-IL"/>
        </w:rPr>
        <w:fldChar w:fldCharType="end"/>
      </w:r>
      <w:r w:rsidR="002E64C3" w:rsidRPr="00882F11">
        <w:rPr>
          <w:rFonts w:cs="Guttman Drogolin" w:hint="cs"/>
          <w:rtl/>
          <w:lang w:bidi="he-IL"/>
        </w:rPr>
        <w:t>מקודם הבאנו ב' הפירושים של רש"י בצנון שחתכו בסכין דלא אמרינן בי' ההיתר של נ"ט בר נ"ט אם מיירי בסכין שאינו מקונח ויש לו שמנונית על פניו, או"ד דמיירי בסכין מקונח ומ"מ מבליע ומפליט. והבאנו שיש בזה נפק"מ למחלוקת הראשונים בדין נתבשלו, שלמ"ד דלא מיירי אלא בסכין שאינו מקונח ויש בה שמנונית, אין לנו ראי' שיש חילוק בין נתבשלו לעלו, אבל לפי הפירוש דמיירי ב</w:t>
      </w:r>
      <w:r w:rsidR="00EE4458" w:rsidRPr="00882F11">
        <w:rPr>
          <w:rFonts w:cs="Guttman Drogolin" w:hint="cs"/>
          <w:rtl/>
          <w:lang w:bidi="he-IL"/>
        </w:rPr>
        <w:t xml:space="preserve">סכין מקונח יש לנו ראי' שנתבשלו </w:t>
      </w:r>
      <w:r w:rsidR="002E64C3" w:rsidRPr="00882F11">
        <w:rPr>
          <w:rFonts w:cs="Guttman Drogolin" w:hint="cs"/>
          <w:rtl/>
          <w:lang w:bidi="he-IL"/>
        </w:rPr>
        <w:t>חמיר טפי מנתבשלו.</w:t>
      </w:r>
    </w:p>
    <w:p w:rsidR="009D7CAA" w:rsidRPr="00882F11" w:rsidRDefault="002E64C3" w:rsidP="009D7CAA">
      <w:pPr>
        <w:bidi/>
        <w:jc w:val="both"/>
        <w:rPr>
          <w:rFonts w:cs="Guttman Drogolin"/>
          <w:rtl/>
          <w:lang w:bidi="he-IL"/>
        </w:rPr>
      </w:pPr>
      <w:r w:rsidRPr="00882F11">
        <w:rPr>
          <w:rFonts w:cs="Guttman Drogolin" w:hint="cs"/>
          <w:rtl/>
          <w:lang w:bidi="he-IL"/>
        </w:rPr>
        <w:t xml:space="preserve">והנה </w:t>
      </w:r>
      <w:r w:rsidR="008A1A34" w:rsidRPr="00882F11">
        <w:rPr>
          <w:rFonts w:cs="Guttman Drogolin" w:hint="cs"/>
          <w:rtl/>
          <w:lang w:bidi="he-IL"/>
        </w:rPr>
        <w:t>הרמב"ן ו</w:t>
      </w:r>
      <w:r w:rsidRPr="00882F11">
        <w:rPr>
          <w:rFonts w:cs="Guttman Drogolin" w:hint="cs"/>
          <w:rtl/>
          <w:lang w:bidi="he-IL"/>
        </w:rPr>
        <w:t xml:space="preserve">הרשב"א הקשו על הפירוש של רש"י </w:t>
      </w:r>
      <w:r w:rsidR="005235C6" w:rsidRPr="00882F11">
        <w:rPr>
          <w:rFonts w:cs="Guttman Drogolin" w:hint="cs"/>
          <w:rtl/>
          <w:lang w:bidi="he-IL"/>
        </w:rPr>
        <w:t xml:space="preserve">דמיירי בסכין מקונח דא"כ מהו הטעם לחייב קישות בגרירה הא ליכא שמנונית. </w:t>
      </w:r>
      <w:r w:rsidR="00E80751" w:rsidRPr="00882F11">
        <w:rPr>
          <w:rFonts w:cs="Guttman Drogolin" w:hint="cs"/>
          <w:rtl/>
          <w:lang w:bidi="he-IL"/>
        </w:rPr>
        <w:t>ולכן בקישות שאינו דבר חריף מא"ל. ומכח קושיא זו הוכיחו כמה ראשונים דע"כ אין הדין כן אא"כ הסכין יש בה שמנונית</w:t>
      </w:r>
      <w:r w:rsidR="007C2B57" w:rsidRPr="00882F11">
        <w:rPr>
          <w:rStyle w:val="FootnoteReference"/>
          <w:rFonts w:cs="Guttman Drogolin"/>
          <w:rtl/>
          <w:lang w:bidi="he-IL"/>
        </w:rPr>
        <w:footnoteReference w:id="158"/>
      </w:r>
      <w:r w:rsidR="00E80751" w:rsidRPr="00882F11">
        <w:rPr>
          <w:rFonts w:cs="Guttman Drogolin" w:hint="cs"/>
          <w:rtl/>
          <w:lang w:bidi="he-IL"/>
        </w:rPr>
        <w:t>.</w:t>
      </w:r>
      <w:r w:rsidR="005235C6" w:rsidRPr="00882F11">
        <w:rPr>
          <w:rFonts w:cs="Guttman Drogolin" w:hint="cs"/>
          <w:rtl/>
          <w:lang w:bidi="he-IL"/>
        </w:rPr>
        <w:t xml:space="preserve"> </w:t>
      </w:r>
      <w:r w:rsidR="008A1A34" w:rsidRPr="00882F11">
        <w:rPr>
          <w:rFonts w:cs="Guttman Drogolin" w:hint="cs"/>
          <w:rtl/>
          <w:lang w:bidi="he-IL"/>
        </w:rPr>
        <w:t>אמנם נראה לכאורה שנחלקו הראשונים בטעם הדבר דאם מיירי בסכין מקונח שלא הי' צריך לחייב את הקישות בגרירה. הרמב"ן הקשה שלכאורה הי' צריך להיות מותר משום דהוי נ"ט ב"ר נ"ט, ור"ל שהרי כל הטעם שהחמירו בצנון לפי זה משום דהוי דבר חריף, ומיני' בקישות לאו דבר חריף הוא</w:t>
      </w:r>
      <w:r w:rsidR="007C2B57" w:rsidRPr="00882F11">
        <w:rPr>
          <w:rFonts w:cs="Guttman Drogolin" w:hint="cs"/>
          <w:rtl/>
          <w:lang w:bidi="he-IL"/>
        </w:rPr>
        <w:t xml:space="preserve"> </w:t>
      </w:r>
      <w:r w:rsidR="008A1A34" w:rsidRPr="00882F11">
        <w:rPr>
          <w:rFonts w:cs="Guttman Drogolin" w:hint="cs"/>
          <w:rtl/>
          <w:lang w:bidi="he-IL"/>
        </w:rPr>
        <w:t xml:space="preserve">צ"ל שחזר הדין להיות כמו דגים שמותר לאוכלן בכותח. אבל הרשב"א כתב "והשתא [דמיירי בסכין שאינו מקונח ויש בה שמנונית] אתי שפיר הא דאמרי' דקשות ואבטיח צריכין </w:t>
      </w:r>
      <w:r w:rsidR="00D31921" w:rsidRPr="00882F11">
        <w:rPr>
          <w:rFonts w:cs="Guttman Drogolin" w:hint="cs"/>
          <w:rtl/>
          <w:lang w:bidi="he-IL"/>
        </w:rPr>
        <w:t xml:space="preserve">גרירת בי פסקי דאע"ג דלא חריפי ולא בלעי מכל </w:t>
      </w:r>
      <w:r w:rsidR="00BD2721" w:rsidRPr="00882F11">
        <w:rPr>
          <w:rFonts w:cs="Guttman Drogolin" w:hint="cs"/>
          <w:rtl/>
          <w:lang w:bidi="he-IL"/>
        </w:rPr>
        <w:t xml:space="preserve">מקום </w:t>
      </w:r>
      <w:r w:rsidR="00D31921" w:rsidRPr="00882F11">
        <w:rPr>
          <w:rFonts w:cs="Guttman Drogolin" w:hint="cs"/>
          <w:rtl/>
          <w:lang w:bidi="he-IL"/>
        </w:rPr>
        <w:t xml:space="preserve">השומן שעל פני הסכין מתקנח בפסק הקישו' וכו'". ולכאורה כוונתו שע"י דוחקא בלבד לא נבלע </w:t>
      </w:r>
      <w:r w:rsidR="00BD2721" w:rsidRPr="00882F11">
        <w:rPr>
          <w:rFonts w:cs="Guttman Drogolin" w:hint="cs"/>
          <w:rtl/>
          <w:lang w:bidi="he-IL"/>
        </w:rPr>
        <w:t xml:space="preserve">כלל אא"כ יש גם דבר חריף. </w:t>
      </w:r>
    </w:p>
    <w:p w:rsidR="00D375D7" w:rsidRPr="00882F11" w:rsidRDefault="009D7CAA" w:rsidP="008A402C">
      <w:pPr>
        <w:bidi/>
        <w:jc w:val="both"/>
        <w:rPr>
          <w:rFonts w:cs="Guttman Drogolin"/>
          <w:rtl/>
          <w:lang w:bidi="he-IL"/>
        </w:rPr>
      </w:pPr>
      <w:r w:rsidRPr="00882F11">
        <w:rPr>
          <w:rFonts w:cs="Guttman Drogolin" w:hint="cs"/>
          <w:rtl/>
          <w:lang w:bidi="he-IL"/>
        </w:rPr>
        <w:t>ו</w:t>
      </w:r>
      <w:r w:rsidR="00BD2721" w:rsidRPr="00882F11">
        <w:rPr>
          <w:rFonts w:cs="Guttman Drogolin" w:hint="cs"/>
          <w:rtl/>
          <w:lang w:bidi="he-IL"/>
        </w:rPr>
        <w:t xml:space="preserve">לכאורה י"ל לשיטת רש"י שסבר כרמב"ן שגם דוחקא לבד מפליט, אבל בזה שונה מדבר חריף, שבדבר חריף הוא גם נבלע במאכל השני, ולכן </w:t>
      </w:r>
      <w:r w:rsidR="00BD2721" w:rsidRPr="00882F11">
        <w:rPr>
          <w:rFonts w:cs="Guttman Drogolin" w:hint="cs"/>
          <w:rtl/>
          <w:lang w:bidi="he-IL"/>
        </w:rPr>
        <w:lastRenderedPageBreak/>
        <w:t xml:space="preserve">אלמלא דבר זה דהוי דבר חריף הי' מותר מדין נ"ט בר נ"ט, אבל בדבר שאינו חריף אין המאכל בולע את מה שהפליט הסכין כלל, וכיון שלא נבלע לתוך מאכל חדש לא נקלש וליתי' לקלישות דנ"ט בר נ"ט. </w:t>
      </w:r>
      <w:r w:rsidR="001D7785" w:rsidRPr="00882F11">
        <w:rPr>
          <w:rFonts w:cs="Guttman Drogolin" w:hint="cs"/>
          <w:rtl/>
          <w:lang w:bidi="he-IL"/>
        </w:rPr>
        <w:t>וכ"כ במש"ז (סי' צ"ו ס"ק ג'). באופן שהרמב"ן חולק על זה וסובר או שגם מבליע וגם מפליט ע"י דוחקא לחוד, או"ד דסבר דאע"ג שלא נבלע מתוך המאכל מ"מ הטעם שיצא מן הסכין אפילו אם אינו אלא מונח על המאכל יהי' בו הדין של נ"ט בר נ"ט.</w:t>
      </w:r>
      <w:r w:rsidRPr="00882F11">
        <w:rPr>
          <w:rFonts w:cs="Guttman Drogolin" w:hint="cs"/>
          <w:rtl/>
          <w:lang w:bidi="he-IL"/>
        </w:rPr>
        <w:t xml:space="preserve"> אלא דהנה שם בגמ' מבואר דלפת מותר, והקשה שם הרשב"א דאם מיירי בדאיכא שמנונית מאי שנא קישות מלפת. ותי' שגם לפת יש בה שמנונית אלא דסגי בהדחה. והנה אילו הי' הדין שלשיטת רש"י אין בליעה עוברת כלל מסכין מקונח כשאינו דבר חריף הוה ניחא טפי הא דליפתא, שזהו עצמו הטעם שאינו צריך כלום כיון דמיירי בסכין מקונח שלא יוצא ממנו כלום. אבל לפי הנ"ל גם לשיטת רש"י תיקשי דלמה מותר בלי כלום. ולכאורה לפי הנ"ל איכא למימר שגם </w:t>
      </w:r>
      <w:r w:rsidR="0019646C" w:rsidRPr="00882F11">
        <w:rPr>
          <w:rFonts w:cs="Guttman Drogolin" w:hint="cs"/>
          <w:rtl/>
          <w:lang w:bidi="he-IL"/>
        </w:rPr>
        <w:t>רש"י סבר שאין הליפתא מותרת אלא ע"י הדחה ומשום שיש על גביו טעם שיצא מן הסכין. אבל העיר שם במש"</w:t>
      </w:r>
      <w:r w:rsidR="00D375D7" w:rsidRPr="00882F11">
        <w:rPr>
          <w:rFonts w:cs="Guttman Drogolin" w:hint="cs"/>
          <w:rtl/>
          <w:lang w:bidi="he-IL"/>
        </w:rPr>
        <w:t>ז ש</w:t>
      </w:r>
      <w:r w:rsidR="0019646C" w:rsidRPr="00882F11">
        <w:rPr>
          <w:rFonts w:cs="Guttman Drogolin" w:hint="cs"/>
          <w:rtl/>
          <w:lang w:bidi="he-IL"/>
        </w:rPr>
        <w:t xml:space="preserve">דבר זה נסתר מן הרא"ש שכתב שאין הליפתא צריך הדחה אם חתכו בסכין מקונח. ולדבריו תיקשי כנ"ל. </w:t>
      </w:r>
      <w:r w:rsidR="00D260CD" w:rsidRPr="00882F11">
        <w:rPr>
          <w:rFonts w:cs="Guttman Drogolin" w:hint="cs"/>
          <w:rtl/>
          <w:lang w:bidi="he-IL"/>
        </w:rPr>
        <w:t>ובשפ"ד ס"ק כ"א כתב שלעולם דוחקא לבד אינו מוציא מבליעה, אבל אם הוא חריף קצת הרי הוא מוציא בליעות. ולכן קישות חריפי קצת, ולכן ע"י דוחקא הרי הוא מוציא בליעות מן הסכין, אבל ליפתו אינו חריף כלל ולכן אינו מוציא בליעות כלל ולכן אינו צריך אפילו הדחה.</w:t>
      </w:r>
    </w:p>
    <w:p w:rsidR="00D375D7" w:rsidRPr="00882F11" w:rsidRDefault="00D375D7" w:rsidP="0078079C">
      <w:pPr>
        <w:pStyle w:val="Heading1"/>
        <w:bidi/>
        <w:spacing w:before="0" w:line="360" w:lineRule="auto"/>
        <w:jc w:val="center"/>
        <w:rPr>
          <w:rFonts w:cs="Guttman Drogolin"/>
          <w:color w:val="auto"/>
          <w:sz w:val="24"/>
          <w:szCs w:val="24"/>
          <w:u w:val="single"/>
          <w:rtl/>
          <w:lang w:bidi="he-IL"/>
        </w:rPr>
      </w:pPr>
      <w:bookmarkStart w:id="149" w:name="_Toc496175406"/>
      <w:r w:rsidRPr="00882F11">
        <w:rPr>
          <w:rFonts w:cs="Guttman Drogolin" w:hint="cs"/>
          <w:color w:val="auto"/>
          <w:sz w:val="24"/>
          <w:szCs w:val="24"/>
          <w:u w:val="single"/>
          <w:rtl/>
          <w:lang w:bidi="he-IL"/>
        </w:rPr>
        <w:t>אם דבר חריף מחליא לשבח</w:t>
      </w:r>
      <w:bookmarkEnd w:id="149"/>
    </w:p>
    <w:p w:rsidR="006040E7" w:rsidRPr="00882F11" w:rsidRDefault="00122BF4" w:rsidP="007C38B1">
      <w:pPr>
        <w:bidi/>
        <w:jc w:val="both"/>
        <w:rPr>
          <w:rFonts w:cs="Guttman Drogolin"/>
          <w:rtl/>
          <w:lang w:bidi="he-IL"/>
        </w:rPr>
      </w:pPr>
      <w:r>
        <w:rPr>
          <w:rFonts w:cs="Guttman Drogolin"/>
          <w:rtl/>
          <w:lang w:bidi="he-IL"/>
        </w:rPr>
        <w:fldChar w:fldCharType="begin"/>
      </w:r>
      <w:r>
        <w:instrText xml:space="preserve"> XE "</w:instrText>
      </w:r>
      <w:r w:rsidRPr="00D01A62">
        <w:rPr>
          <w:rFonts w:hint="cs"/>
          <w:rtl/>
          <w:lang w:bidi="he-IL"/>
        </w:rPr>
        <w:instrText>דבר חריף</w:instrText>
      </w:r>
      <w:r w:rsidRPr="00D01A62">
        <w:rPr>
          <w:rtl/>
        </w:rPr>
        <w:instrText>:</w:instrText>
      </w:r>
      <w:r w:rsidRPr="00D01A62">
        <w:rPr>
          <w:rFonts w:hint="cs"/>
          <w:rtl/>
          <w:lang w:bidi="he-IL"/>
        </w:rPr>
        <w:instrText>אי מחליא לשבח</w:instrText>
      </w:r>
      <w:r>
        <w:instrText xml:space="preserve">" </w:instrText>
      </w:r>
      <w:r>
        <w:rPr>
          <w:rFonts w:cs="Guttman Drogolin"/>
          <w:rtl/>
          <w:lang w:bidi="he-IL"/>
        </w:rPr>
        <w:fldChar w:fldCharType="end"/>
      </w:r>
      <w:r w:rsidR="00D375D7" w:rsidRPr="00882F11">
        <w:rPr>
          <w:rFonts w:cs="Guttman Drogolin" w:hint="cs"/>
          <w:rtl/>
          <w:lang w:bidi="he-IL"/>
        </w:rPr>
        <w:t xml:space="preserve">איתא במתני' שבמס' ע"ז דף ל"ה ע"ב שא' מן הדברים של עכו"ם האסורים הוא חילתית. ושם בדף ל"ט ע"א </w:t>
      </w:r>
      <w:r w:rsidR="00483F8A" w:rsidRPr="00882F11">
        <w:rPr>
          <w:rFonts w:cs="Guttman Drogolin" w:hint="cs"/>
          <w:rtl/>
          <w:lang w:bidi="he-IL"/>
        </w:rPr>
        <w:t>ביארו "מ"ט</w:t>
      </w:r>
      <w:r w:rsidR="00483F8A" w:rsidRPr="00882F11">
        <w:rPr>
          <w:rFonts w:cs="Guttman Drogolin"/>
          <w:rtl/>
          <w:lang w:bidi="he-IL"/>
        </w:rPr>
        <w:t xml:space="preserve"> </w:t>
      </w:r>
      <w:r w:rsidR="00483F8A" w:rsidRPr="00882F11">
        <w:rPr>
          <w:rFonts w:cs="Guttman Drogolin" w:hint="cs"/>
          <w:rtl/>
          <w:lang w:bidi="he-IL"/>
        </w:rPr>
        <w:t>משום</w:t>
      </w:r>
      <w:r w:rsidR="00483F8A" w:rsidRPr="00882F11">
        <w:rPr>
          <w:rFonts w:cs="Guttman Drogolin"/>
          <w:rtl/>
          <w:lang w:bidi="he-IL"/>
        </w:rPr>
        <w:t xml:space="preserve"> </w:t>
      </w:r>
      <w:r w:rsidR="00483F8A" w:rsidRPr="00882F11">
        <w:rPr>
          <w:rFonts w:cs="Guttman Drogolin" w:hint="cs"/>
          <w:rtl/>
          <w:lang w:bidi="he-IL"/>
        </w:rPr>
        <w:t>דמפסקי</w:t>
      </w:r>
      <w:r w:rsidR="00483F8A" w:rsidRPr="00882F11">
        <w:rPr>
          <w:rFonts w:cs="Guttman Drogolin"/>
          <w:rtl/>
          <w:lang w:bidi="he-IL"/>
        </w:rPr>
        <w:t xml:space="preserve"> </w:t>
      </w:r>
      <w:r w:rsidR="00483F8A" w:rsidRPr="00882F11">
        <w:rPr>
          <w:rFonts w:cs="Guttman Drogolin" w:hint="cs"/>
          <w:rtl/>
          <w:lang w:bidi="he-IL"/>
        </w:rPr>
        <w:t>ליה</w:t>
      </w:r>
      <w:r w:rsidR="00483F8A" w:rsidRPr="00882F11">
        <w:rPr>
          <w:rFonts w:cs="Guttman Drogolin"/>
          <w:rtl/>
          <w:lang w:bidi="he-IL"/>
        </w:rPr>
        <w:t xml:space="preserve"> </w:t>
      </w:r>
      <w:r w:rsidR="00483F8A" w:rsidRPr="00882F11">
        <w:rPr>
          <w:rFonts w:cs="Guttman Drogolin" w:hint="cs"/>
          <w:rtl/>
          <w:lang w:bidi="he-IL"/>
        </w:rPr>
        <w:lastRenderedPageBreak/>
        <w:t>בסכינא</w:t>
      </w:r>
      <w:r w:rsidR="00483F8A" w:rsidRPr="00882F11">
        <w:rPr>
          <w:rFonts w:cs="Guttman Drogolin"/>
          <w:rtl/>
          <w:lang w:bidi="he-IL"/>
        </w:rPr>
        <w:t xml:space="preserve"> </w:t>
      </w:r>
      <w:r w:rsidR="00483F8A" w:rsidRPr="00882F11">
        <w:rPr>
          <w:rFonts w:cs="Guttman Drogolin" w:hint="cs"/>
          <w:rtl/>
          <w:lang w:bidi="he-IL"/>
        </w:rPr>
        <w:t>אע"ג</w:t>
      </w:r>
      <w:r w:rsidR="00483F8A" w:rsidRPr="00882F11">
        <w:rPr>
          <w:rFonts w:cs="Guttman Drogolin"/>
          <w:rtl/>
          <w:lang w:bidi="he-IL"/>
        </w:rPr>
        <w:t xml:space="preserve"> </w:t>
      </w:r>
      <w:r w:rsidR="00483F8A" w:rsidRPr="00882F11">
        <w:rPr>
          <w:rFonts w:cs="Guttman Drogolin" w:hint="cs"/>
          <w:rtl/>
          <w:lang w:bidi="he-IL"/>
        </w:rPr>
        <w:t>דאמר</w:t>
      </w:r>
      <w:r w:rsidR="00483F8A" w:rsidRPr="00882F11">
        <w:rPr>
          <w:rFonts w:cs="Guttman Drogolin"/>
          <w:rtl/>
          <w:lang w:bidi="he-IL"/>
        </w:rPr>
        <w:t xml:space="preserve"> </w:t>
      </w:r>
      <w:r w:rsidR="00483F8A" w:rsidRPr="00882F11">
        <w:rPr>
          <w:rFonts w:cs="Guttman Drogolin" w:hint="cs"/>
          <w:rtl/>
          <w:lang w:bidi="he-IL"/>
        </w:rPr>
        <w:t>מר</w:t>
      </w:r>
      <w:r w:rsidR="00483F8A" w:rsidRPr="00882F11">
        <w:rPr>
          <w:rFonts w:cs="Guttman Drogolin"/>
          <w:rtl/>
          <w:lang w:bidi="he-IL"/>
        </w:rPr>
        <w:t xml:space="preserve"> </w:t>
      </w:r>
      <w:r w:rsidR="00483F8A" w:rsidRPr="00882F11">
        <w:rPr>
          <w:rFonts w:cs="Guttman Drogolin" w:hint="cs"/>
          <w:rtl/>
          <w:lang w:bidi="he-IL"/>
        </w:rPr>
        <w:t>נותן</w:t>
      </w:r>
      <w:r w:rsidR="00483F8A" w:rsidRPr="00882F11">
        <w:rPr>
          <w:rFonts w:cs="Guttman Drogolin"/>
          <w:rtl/>
          <w:lang w:bidi="he-IL"/>
        </w:rPr>
        <w:t xml:space="preserve"> </w:t>
      </w:r>
      <w:r w:rsidR="00483F8A" w:rsidRPr="00882F11">
        <w:rPr>
          <w:rFonts w:cs="Guttman Drogolin" w:hint="cs"/>
          <w:rtl/>
          <w:lang w:bidi="he-IL"/>
        </w:rPr>
        <w:t>טעם</w:t>
      </w:r>
      <w:r w:rsidR="00483F8A" w:rsidRPr="00882F11">
        <w:rPr>
          <w:rFonts w:cs="Guttman Drogolin"/>
          <w:rtl/>
          <w:lang w:bidi="he-IL"/>
        </w:rPr>
        <w:t xml:space="preserve"> </w:t>
      </w:r>
      <w:r w:rsidR="00483F8A" w:rsidRPr="00882F11">
        <w:rPr>
          <w:rFonts w:cs="Guttman Drogolin" w:hint="cs"/>
          <w:rtl/>
          <w:lang w:bidi="he-IL"/>
        </w:rPr>
        <w:t>לפגם</w:t>
      </w:r>
      <w:r w:rsidR="00483F8A" w:rsidRPr="00882F11">
        <w:rPr>
          <w:rFonts w:cs="Guttman Drogolin"/>
          <w:rtl/>
          <w:lang w:bidi="he-IL"/>
        </w:rPr>
        <w:t xml:space="preserve"> </w:t>
      </w:r>
      <w:r w:rsidR="00483F8A" w:rsidRPr="00882F11">
        <w:rPr>
          <w:rFonts w:cs="Guttman Drogolin" w:hint="cs"/>
          <w:rtl/>
          <w:lang w:bidi="he-IL"/>
        </w:rPr>
        <w:t>מותר</w:t>
      </w:r>
      <w:r w:rsidR="00483F8A" w:rsidRPr="00882F11">
        <w:rPr>
          <w:rFonts w:cs="Guttman Drogolin"/>
          <w:rtl/>
          <w:lang w:bidi="he-IL"/>
        </w:rPr>
        <w:t xml:space="preserve"> </w:t>
      </w:r>
      <w:r w:rsidR="00483F8A" w:rsidRPr="00882F11">
        <w:rPr>
          <w:rFonts w:cs="Guttman Drogolin" w:hint="cs"/>
          <w:rtl/>
          <w:lang w:bidi="he-IL"/>
        </w:rPr>
        <w:t>אגב</w:t>
      </w:r>
      <w:r w:rsidR="00483F8A" w:rsidRPr="00882F11">
        <w:rPr>
          <w:rFonts w:cs="Guttman Drogolin"/>
          <w:rtl/>
          <w:lang w:bidi="he-IL"/>
        </w:rPr>
        <w:t xml:space="preserve"> </w:t>
      </w:r>
      <w:r w:rsidR="00483F8A" w:rsidRPr="00882F11">
        <w:rPr>
          <w:rFonts w:cs="Guttman Drogolin" w:hint="cs"/>
          <w:rtl/>
          <w:lang w:bidi="he-IL"/>
        </w:rPr>
        <w:t>חורפיה</w:t>
      </w:r>
      <w:r w:rsidR="00483F8A" w:rsidRPr="00882F11">
        <w:rPr>
          <w:rFonts w:cs="Guttman Drogolin"/>
          <w:rtl/>
          <w:lang w:bidi="he-IL"/>
        </w:rPr>
        <w:t xml:space="preserve"> </w:t>
      </w:r>
      <w:r w:rsidR="00483F8A" w:rsidRPr="00882F11">
        <w:rPr>
          <w:rFonts w:cs="Guttman Drogolin" w:hint="cs"/>
          <w:rtl/>
          <w:lang w:bidi="he-IL"/>
        </w:rPr>
        <w:t>דחילתיתא</w:t>
      </w:r>
      <w:r w:rsidR="00483F8A" w:rsidRPr="00882F11">
        <w:rPr>
          <w:rFonts w:cs="Guttman Drogolin"/>
          <w:rtl/>
          <w:lang w:bidi="he-IL"/>
        </w:rPr>
        <w:t xml:space="preserve"> </w:t>
      </w:r>
      <w:r w:rsidR="00483F8A" w:rsidRPr="00882F11">
        <w:rPr>
          <w:rFonts w:cs="Guttman Drogolin" w:hint="cs"/>
          <w:rtl/>
          <w:lang w:bidi="he-IL"/>
        </w:rPr>
        <w:t>מחליא</w:t>
      </w:r>
      <w:r w:rsidR="00483F8A" w:rsidRPr="00882F11">
        <w:rPr>
          <w:rFonts w:cs="Guttman Drogolin"/>
          <w:rtl/>
          <w:lang w:bidi="he-IL"/>
        </w:rPr>
        <w:t xml:space="preserve"> </w:t>
      </w:r>
      <w:r w:rsidR="00483F8A" w:rsidRPr="00882F11">
        <w:rPr>
          <w:rFonts w:cs="Guttman Drogolin" w:hint="cs"/>
          <w:rtl/>
          <w:lang w:bidi="he-IL"/>
        </w:rPr>
        <w:t>ליה</w:t>
      </w:r>
      <w:r w:rsidR="00483F8A" w:rsidRPr="00882F11">
        <w:rPr>
          <w:rFonts w:cs="Guttman Drogolin"/>
          <w:rtl/>
          <w:lang w:bidi="he-IL"/>
        </w:rPr>
        <w:t xml:space="preserve"> </w:t>
      </w:r>
      <w:r w:rsidR="00483F8A" w:rsidRPr="00882F11">
        <w:rPr>
          <w:rFonts w:cs="Guttman Drogolin" w:hint="cs"/>
          <w:rtl/>
          <w:lang w:bidi="he-IL"/>
        </w:rPr>
        <w:t>שמנוניתא</w:t>
      </w:r>
      <w:r w:rsidR="00483F8A" w:rsidRPr="00882F11">
        <w:rPr>
          <w:rFonts w:cs="Guttman Drogolin"/>
          <w:rtl/>
          <w:lang w:bidi="he-IL"/>
        </w:rPr>
        <w:t xml:space="preserve"> </w:t>
      </w:r>
      <w:r w:rsidR="00483F8A" w:rsidRPr="00882F11">
        <w:rPr>
          <w:rFonts w:cs="Guttman Drogolin" w:hint="cs"/>
          <w:rtl/>
          <w:lang w:bidi="he-IL"/>
        </w:rPr>
        <w:t>והוה</w:t>
      </w:r>
      <w:r w:rsidR="00483F8A" w:rsidRPr="00882F11">
        <w:rPr>
          <w:rFonts w:cs="Guttman Drogolin"/>
          <w:rtl/>
          <w:lang w:bidi="he-IL"/>
        </w:rPr>
        <w:t xml:space="preserve"> </w:t>
      </w:r>
      <w:r w:rsidR="00483F8A" w:rsidRPr="00882F11">
        <w:rPr>
          <w:rFonts w:cs="Guttman Drogolin" w:hint="cs"/>
          <w:rtl/>
          <w:lang w:bidi="he-IL"/>
        </w:rPr>
        <w:t>ליה</w:t>
      </w:r>
      <w:r w:rsidR="00483F8A" w:rsidRPr="00882F11">
        <w:rPr>
          <w:rFonts w:cs="Guttman Drogolin"/>
          <w:rtl/>
          <w:lang w:bidi="he-IL"/>
        </w:rPr>
        <w:t xml:space="preserve"> </w:t>
      </w:r>
      <w:r w:rsidR="00483F8A" w:rsidRPr="00882F11">
        <w:rPr>
          <w:rFonts w:cs="Guttman Drogolin" w:hint="cs"/>
          <w:rtl/>
          <w:lang w:bidi="he-IL"/>
        </w:rPr>
        <w:t>כנותן</w:t>
      </w:r>
      <w:r w:rsidR="00483F8A" w:rsidRPr="00882F11">
        <w:rPr>
          <w:rFonts w:cs="Guttman Drogolin"/>
          <w:rtl/>
          <w:lang w:bidi="he-IL"/>
        </w:rPr>
        <w:t xml:space="preserve"> </w:t>
      </w:r>
      <w:r w:rsidR="00483F8A" w:rsidRPr="00882F11">
        <w:rPr>
          <w:rFonts w:cs="Guttman Drogolin" w:hint="cs"/>
          <w:rtl/>
          <w:lang w:bidi="he-IL"/>
        </w:rPr>
        <w:t>טעם</w:t>
      </w:r>
      <w:r w:rsidR="00483F8A" w:rsidRPr="00882F11">
        <w:rPr>
          <w:rFonts w:cs="Guttman Drogolin"/>
          <w:rtl/>
          <w:lang w:bidi="he-IL"/>
        </w:rPr>
        <w:t xml:space="preserve"> </w:t>
      </w:r>
      <w:r w:rsidR="00483F8A" w:rsidRPr="00882F11">
        <w:rPr>
          <w:rFonts w:cs="Guttman Drogolin" w:hint="cs"/>
          <w:rtl/>
          <w:lang w:bidi="he-IL"/>
        </w:rPr>
        <w:t>לשבח</w:t>
      </w:r>
      <w:r w:rsidR="00483F8A" w:rsidRPr="00882F11">
        <w:rPr>
          <w:rFonts w:cs="Guttman Drogolin"/>
          <w:rtl/>
          <w:lang w:bidi="he-IL"/>
        </w:rPr>
        <w:t xml:space="preserve"> </w:t>
      </w:r>
      <w:r w:rsidR="00483F8A" w:rsidRPr="00882F11">
        <w:rPr>
          <w:rFonts w:cs="Guttman Drogolin" w:hint="cs"/>
          <w:rtl/>
          <w:lang w:bidi="he-IL"/>
        </w:rPr>
        <w:t>ואסור". הרי שמפורש בגמ' שדבר חריף כגון חילתית יש לו את התכונה לחלות דבר שהוא נ"ט לפגם לנותן טעם לשבח.</w:t>
      </w:r>
      <w:r w:rsidR="00483F8A" w:rsidRPr="00882F11">
        <w:rPr>
          <w:rFonts w:cs="Guttman Drogolin"/>
          <w:rtl/>
          <w:lang w:bidi="he-IL"/>
        </w:rPr>
        <w:t xml:space="preserve"> </w:t>
      </w:r>
      <w:r w:rsidR="00483F8A" w:rsidRPr="00882F11">
        <w:rPr>
          <w:rFonts w:cs="Guttman Drogolin" w:hint="cs"/>
          <w:rtl/>
          <w:lang w:bidi="he-IL"/>
        </w:rPr>
        <w:t>אלא שיל"ע אם מיירי בסכין במקונח או"ד בסכין שיש עליו שמנונית. ולפ</w:t>
      </w:r>
      <w:r w:rsidR="006B6EA1" w:rsidRPr="00882F11">
        <w:rPr>
          <w:rFonts w:cs="Guttman Drogolin" w:hint="cs"/>
          <w:rtl/>
          <w:lang w:bidi="he-IL"/>
        </w:rPr>
        <w:t>ו</w:t>
      </w:r>
      <w:r w:rsidR="00483F8A" w:rsidRPr="00882F11">
        <w:rPr>
          <w:rFonts w:cs="Guttman Drogolin" w:hint="cs"/>
          <w:rtl/>
          <w:lang w:bidi="he-IL"/>
        </w:rPr>
        <w:t xml:space="preserve">ם ריהטא לשון הגמ' משמע שיש שמנונית עליו. וכן נקט מעיקרא שם בחי' הריטב"א, אבל הקשה על זה דא"כ לא בעינן לי' לטעמא שמחליא לי' לשבח, דהא שמנונית לא נעשה לפגם רק טעם הבלוע בכלי. ולכן רצה הריטב"א לומר דע"כ מיירי בסכין המקונח והדבר חריף מחליא להו לבליעות שבסכין ונעשו לשבח. אבל גם על זה הקשה הריטב"א שם, דאם מיירי בכגון אלו מה איכפת לן דמחליא לשבח, הא כבר הותרו כשנעשו לפגם ואפילו אם יהפכו לאחר מכן לשבח לל"ב. וכוונתו לסברת החוו"ד </w:t>
      </w:r>
      <w:r w:rsidR="00F433ED" w:rsidRPr="00882F11">
        <w:rPr>
          <w:rFonts w:cs="Guttman Drogolin" w:hint="cs"/>
          <w:rtl/>
          <w:lang w:bidi="he-IL"/>
        </w:rPr>
        <w:t>ב</w:t>
      </w:r>
      <w:r w:rsidR="00D36FDF" w:rsidRPr="00882F11">
        <w:rPr>
          <w:rFonts w:cs="Guttman Drogolin" w:hint="cs"/>
          <w:rtl/>
          <w:lang w:bidi="he-IL"/>
        </w:rPr>
        <w:t>ר</w:t>
      </w:r>
      <w:r w:rsidR="00F433ED" w:rsidRPr="00882F11">
        <w:rPr>
          <w:rFonts w:cs="Guttman Drogolin" w:hint="cs"/>
          <w:rtl/>
          <w:lang w:bidi="he-IL"/>
        </w:rPr>
        <w:t xml:space="preserve">סי' ק"ג שנבילה שאינה ראוי' לגר שהותר שוב אינו נאסר אע"ג שתיקנו אותו להיות ראוי' לגר. </w:t>
      </w:r>
      <w:r w:rsidR="003C4FFD" w:rsidRPr="00882F11">
        <w:rPr>
          <w:rFonts w:cs="Guttman Drogolin" w:hint="cs"/>
          <w:rtl/>
          <w:lang w:bidi="he-IL"/>
        </w:rPr>
        <w:t xml:space="preserve">ובאמת החוו"ד עצמו </w:t>
      </w:r>
      <w:r w:rsidR="00215352" w:rsidRPr="00882F11">
        <w:rPr>
          <w:rFonts w:cs="Guttman Drogolin" w:hint="cs"/>
          <w:rtl/>
          <w:lang w:bidi="he-IL"/>
        </w:rPr>
        <w:t xml:space="preserve">הקשה כעין זה בדין המבואר בראשונים שפגום ולבסוף השביח אסור, דלכאורה לדבריו היא צריך להיות מותר כיון שכבר ניתר מדין נבילה שאינה ראוי' לגר. ותי' שלא אסרו שם אלא שאינו סרוח לגמרי ולא ניתר מדין נבילה שאינה ראוי' לגר. </w:t>
      </w:r>
      <w:r w:rsidR="006040E7" w:rsidRPr="00882F11">
        <w:rPr>
          <w:rFonts w:cs="Guttman Drogolin" w:hint="cs"/>
          <w:rtl/>
          <w:lang w:bidi="he-IL"/>
        </w:rPr>
        <w:t>ולכאורה בזה יתיישב נמי קושיי</w:t>
      </w:r>
      <w:r w:rsidR="007C38B1" w:rsidRPr="00882F11">
        <w:rPr>
          <w:rFonts w:cs="Guttman Drogolin" w:hint="cs"/>
          <w:rtl/>
          <w:lang w:bidi="he-IL"/>
        </w:rPr>
        <w:t>ת</w:t>
      </w:r>
      <w:r w:rsidR="006040E7" w:rsidRPr="00882F11">
        <w:rPr>
          <w:rFonts w:cs="Guttman Drogolin" w:hint="cs"/>
          <w:rtl/>
          <w:lang w:bidi="he-IL"/>
        </w:rPr>
        <w:t xml:space="preserve"> הריטב"א, דכיון שאין הבליעה שבכלי סרוח לגמרי הרי הוא חוזר לאיסורו אם מחליא לשבח. ודברי הריטב"א אינם אלא או לשיטת הרא"ה דסבר שהבליעות שבדפני הכלי הם סרוחים לגמרי, או"ד דסבר שאין לחלק בין סרוח לגמרי לסרוח קצת הבלוע בכלי, דכיון שניתר מדין נבילה שאינה ראוי' לגר שוב אינו אוסר. ומ"מ מכח </w:t>
      </w:r>
      <w:r w:rsidR="006B6EA1" w:rsidRPr="00882F11">
        <w:rPr>
          <w:rFonts w:cs="Guttman Drogolin" w:hint="cs"/>
          <w:rtl/>
          <w:lang w:bidi="he-IL"/>
        </w:rPr>
        <w:t>ק</w:t>
      </w:r>
      <w:r w:rsidR="006040E7" w:rsidRPr="00882F11">
        <w:rPr>
          <w:rFonts w:cs="Guttman Drogolin" w:hint="cs"/>
          <w:rtl/>
          <w:lang w:bidi="he-IL"/>
        </w:rPr>
        <w:t>ושיא זו כתב הריטב"א שלעולם מיירי בסכין שיש בה שמנונית, וקים להו לחז"ל דאלמלא הא דדבר חריף מחליא לשבח</w:t>
      </w:r>
      <w:r w:rsidR="003C4FFD" w:rsidRPr="00882F11">
        <w:rPr>
          <w:rFonts w:cs="Guttman Drogolin" w:hint="cs"/>
          <w:rtl/>
          <w:lang w:bidi="he-IL"/>
        </w:rPr>
        <w:t xml:space="preserve"> </w:t>
      </w:r>
      <w:r w:rsidR="006040E7" w:rsidRPr="00882F11">
        <w:rPr>
          <w:rFonts w:cs="Guttman Drogolin" w:hint="cs"/>
          <w:rtl/>
          <w:lang w:bidi="he-IL"/>
        </w:rPr>
        <w:t xml:space="preserve">הי' נטל"פ כיון שכל שמנונית כזה אפילו שמנונית בעין נטל"פ בחילתית. </w:t>
      </w:r>
    </w:p>
    <w:p w:rsidR="00964C5F" w:rsidRPr="00882F11" w:rsidRDefault="006040E7" w:rsidP="00964C5F">
      <w:pPr>
        <w:bidi/>
        <w:jc w:val="both"/>
        <w:rPr>
          <w:rFonts w:cs="Guttman Drogolin"/>
          <w:rtl/>
          <w:lang w:bidi="he-IL"/>
        </w:rPr>
      </w:pPr>
      <w:r w:rsidRPr="00882F11">
        <w:rPr>
          <w:rFonts w:cs="Guttman Drogolin" w:hint="cs"/>
          <w:rtl/>
          <w:lang w:bidi="he-IL"/>
        </w:rPr>
        <w:lastRenderedPageBreak/>
        <w:t>והנה יוצא לשיטת הריטב"א שבסכין המקונח אין שום דבר חריף אסור משום שמחליא לשבח. אמנם התוס' בסוגיין מסתפקים אם בשאר דברים חריפים אמרינן דמחליא לשבח אפילו בסכין המקונח. ומשמע מדבריהם שאין הספק אלא בשאר דברים החריפים, אבל בחילתית ודאי מחליא לשבח אפילו מקונח.</w:t>
      </w:r>
      <w:r w:rsidR="00964C5F" w:rsidRPr="00882F11">
        <w:rPr>
          <w:rFonts w:cs="Guttman Drogolin" w:hint="cs"/>
          <w:rtl/>
          <w:lang w:bidi="he-IL"/>
        </w:rPr>
        <w:t xml:space="preserve"> וכן דנו כמה ראשונים בשאלה זו (ואע"ג שפירשו הסוגיא משום שיש שמנונית ע"פ הסכין וכנ"ל, הנ"מ בהיתירא משום דאל"כ יהא מותר מדין נ"ט בר נ"ט, אבל האיסורא לא בעינן שמנונית על פניו, א"נ שסוברים שגם בשמנונית נעשה לפגם כשאין הכלי בן יומו</w:t>
      </w:r>
      <w:r w:rsidR="00E162AC" w:rsidRPr="00882F11">
        <w:rPr>
          <w:rStyle w:val="FootnoteReference"/>
          <w:rFonts w:cs="Guttman Drogolin"/>
          <w:rtl/>
          <w:lang w:bidi="he-IL"/>
        </w:rPr>
        <w:footnoteReference w:id="159"/>
      </w:r>
      <w:r w:rsidR="00964C5F" w:rsidRPr="00882F11">
        <w:rPr>
          <w:rFonts w:cs="Guttman Drogolin" w:hint="cs"/>
          <w:rtl/>
          <w:lang w:bidi="he-IL"/>
        </w:rPr>
        <w:t>). וצ"ל כסברא הנ"ל בדעת החוו"ד.</w:t>
      </w:r>
    </w:p>
    <w:p w:rsidR="00D42912" w:rsidRPr="00882F11" w:rsidRDefault="00964C5F" w:rsidP="0051755C">
      <w:pPr>
        <w:bidi/>
        <w:jc w:val="both"/>
        <w:rPr>
          <w:rFonts w:cs="Guttman Drogolin"/>
          <w:rtl/>
          <w:lang w:bidi="he-IL"/>
        </w:rPr>
      </w:pPr>
      <w:r w:rsidRPr="00882F11">
        <w:rPr>
          <w:rFonts w:cs="Guttman Drogolin" w:hint="cs"/>
          <w:rtl/>
          <w:lang w:bidi="he-IL"/>
        </w:rPr>
        <w:t xml:space="preserve">אלא שלכאורה עדיין צ"ע דהא ניחא בבלוע בכלי שאינו סרוח לגמרי לרוב הראשונים ולכן שפיר אפשר לאסור כשדבר חריף מחליא לי' לשבח, אבל </w:t>
      </w:r>
      <w:r w:rsidR="00841276" w:rsidRPr="00882F11">
        <w:rPr>
          <w:rFonts w:cs="Guttman Drogolin" w:hint="cs"/>
          <w:rtl/>
          <w:lang w:bidi="he-IL"/>
        </w:rPr>
        <w:t>התוס' במס' ע"ז דף ס"ט ע"א ד"ה איבעיא הרי כתבו שהשאלה של עכברא בחלא משום שי"ל שהו</w:t>
      </w:r>
      <w:r w:rsidR="009F147A" w:rsidRPr="00882F11">
        <w:rPr>
          <w:rFonts w:cs="Guttman Drogolin" w:hint="cs"/>
          <w:rtl/>
          <w:lang w:bidi="he-IL"/>
        </w:rPr>
        <w:t>א</w:t>
      </w:r>
      <w:r w:rsidR="00841276" w:rsidRPr="00882F11">
        <w:rPr>
          <w:rFonts w:cs="Guttman Drogolin" w:hint="cs"/>
          <w:rtl/>
          <w:lang w:bidi="he-IL"/>
        </w:rPr>
        <w:t xml:space="preserve"> חריף ומחליא לי' לשבח, וע"</w:t>
      </w:r>
      <w:r w:rsidR="00D42912" w:rsidRPr="00882F11">
        <w:rPr>
          <w:rFonts w:cs="Guttman Drogolin" w:hint="cs"/>
          <w:rtl/>
          <w:lang w:bidi="he-IL"/>
        </w:rPr>
        <w:t>ש שבהדיא דימה</w:t>
      </w:r>
      <w:r w:rsidR="00841276" w:rsidRPr="00882F11">
        <w:rPr>
          <w:rFonts w:cs="Guttman Drogolin" w:hint="cs"/>
          <w:rtl/>
          <w:lang w:bidi="he-IL"/>
        </w:rPr>
        <w:t xml:space="preserve"> דבר זה לגמ' בע"ז בחילתית.</w:t>
      </w:r>
      <w:r w:rsidR="00D42912" w:rsidRPr="00882F11">
        <w:rPr>
          <w:rFonts w:cs="Guttman Drogolin" w:hint="cs"/>
          <w:rtl/>
          <w:lang w:bidi="he-IL"/>
        </w:rPr>
        <w:t xml:space="preserve"> ולכאורה צ"ע שהרי התם סרוח לגמרי מעיקרו ואיך תהני שתהא מחליא לשבח. ולכאורה חזינן שאינו תלוי בזה שאינו סרוח לגמרי, רק חול</w:t>
      </w:r>
      <w:r w:rsidR="0051755C" w:rsidRPr="00882F11">
        <w:rPr>
          <w:rFonts w:cs="Guttman Drogolin" w:hint="cs"/>
          <w:rtl/>
          <w:lang w:bidi="he-IL"/>
        </w:rPr>
        <w:t>ק</w:t>
      </w:r>
      <w:r w:rsidR="00D42912" w:rsidRPr="00882F11">
        <w:rPr>
          <w:rFonts w:cs="Guttman Drogolin" w:hint="cs"/>
          <w:rtl/>
          <w:lang w:bidi="he-IL"/>
        </w:rPr>
        <w:t xml:space="preserve"> על כל הדין שטעם סרוח שנעשה לשבח מותר. אבל מ"מ הדבר מחודש הוא שיהא התכונה של דבר חריף לעשות כל טעם של פגם לשבח אפילו דבר שאין לו שום תכונה להיות מעצמו לשבח.</w:t>
      </w:r>
    </w:p>
    <w:p w:rsidR="00654316" w:rsidRPr="00882F11" w:rsidRDefault="00D42912" w:rsidP="006D109C">
      <w:pPr>
        <w:bidi/>
        <w:jc w:val="both"/>
        <w:rPr>
          <w:rFonts w:cs="Guttman Drogolin"/>
          <w:rtl/>
          <w:lang w:bidi="he-IL"/>
        </w:rPr>
      </w:pPr>
      <w:r w:rsidRPr="00882F11">
        <w:rPr>
          <w:rFonts w:cs="Guttman Drogolin" w:hint="cs"/>
          <w:rtl/>
          <w:lang w:bidi="he-IL"/>
        </w:rPr>
        <w:t>אלא דהנה לשון הגמ' שבמס' ע"ז "אגב</w:t>
      </w:r>
      <w:r w:rsidRPr="00882F11">
        <w:rPr>
          <w:rFonts w:cs="Guttman Drogolin"/>
          <w:rtl/>
          <w:lang w:bidi="he-IL"/>
        </w:rPr>
        <w:t xml:space="preserve"> </w:t>
      </w:r>
      <w:r w:rsidRPr="00882F11">
        <w:rPr>
          <w:rFonts w:cs="Guttman Drogolin" w:hint="cs"/>
          <w:rtl/>
          <w:lang w:bidi="he-IL"/>
        </w:rPr>
        <w:t>חורפיה</w:t>
      </w:r>
      <w:r w:rsidRPr="00882F11">
        <w:rPr>
          <w:rFonts w:cs="Guttman Drogolin"/>
          <w:rtl/>
          <w:lang w:bidi="he-IL"/>
        </w:rPr>
        <w:t xml:space="preserve"> </w:t>
      </w:r>
      <w:r w:rsidRPr="00882F11">
        <w:rPr>
          <w:rFonts w:cs="Guttman Drogolin" w:hint="cs"/>
          <w:rtl/>
          <w:lang w:bidi="he-IL"/>
        </w:rPr>
        <w:t>דחילתיתא</w:t>
      </w:r>
      <w:r w:rsidRPr="00882F11">
        <w:rPr>
          <w:rFonts w:cs="Guttman Drogolin"/>
          <w:rtl/>
          <w:lang w:bidi="he-IL"/>
        </w:rPr>
        <w:t xml:space="preserve"> </w:t>
      </w:r>
      <w:r w:rsidRPr="00882F11">
        <w:rPr>
          <w:rFonts w:cs="Guttman Drogolin" w:hint="cs"/>
          <w:rtl/>
          <w:lang w:bidi="he-IL"/>
        </w:rPr>
        <w:t>מחליא</w:t>
      </w:r>
      <w:r w:rsidRPr="00882F11">
        <w:rPr>
          <w:rFonts w:cs="Guttman Drogolin"/>
          <w:rtl/>
          <w:lang w:bidi="he-IL"/>
        </w:rPr>
        <w:t xml:space="preserve"> </w:t>
      </w:r>
      <w:r w:rsidRPr="00882F11">
        <w:rPr>
          <w:rFonts w:cs="Guttman Drogolin" w:hint="cs"/>
          <w:rtl/>
          <w:lang w:bidi="he-IL"/>
        </w:rPr>
        <w:t>ליה</w:t>
      </w:r>
      <w:r w:rsidRPr="00882F11">
        <w:rPr>
          <w:rFonts w:cs="Guttman Drogolin"/>
          <w:rtl/>
          <w:lang w:bidi="he-IL"/>
        </w:rPr>
        <w:t xml:space="preserve"> </w:t>
      </w:r>
      <w:r w:rsidRPr="00882F11">
        <w:rPr>
          <w:rFonts w:cs="Guttman Drogolin" w:hint="cs"/>
          <w:rtl/>
          <w:lang w:bidi="he-IL"/>
        </w:rPr>
        <w:t>שמנוניתא", ודקדק מזה</w:t>
      </w:r>
      <w:r w:rsidR="007F21FA" w:rsidRPr="00882F11">
        <w:rPr>
          <w:rFonts w:cs="Guttman Drogolin" w:hint="cs"/>
          <w:rtl/>
          <w:lang w:bidi="he-IL"/>
        </w:rPr>
        <w:t xml:space="preserve"> בשו"ת משכנ"י סי' ל"ג שאין כוונת הגמ' לומר שהדבר חריף מתקן את טעם הדבר שהוא נטל"פ, אלא להיפך, הדבר שהוא נטל"פ חשוב לשבח אצל הדבר חריף מחמת חריפותו. ולדבריו שפיר מובן למה יהא הדין בכל נטל"פ, והוא משום תכ</w:t>
      </w:r>
      <w:r w:rsidR="002D32A8" w:rsidRPr="00882F11">
        <w:rPr>
          <w:rFonts w:cs="Guttman Drogolin" w:hint="cs"/>
          <w:rtl/>
          <w:lang w:bidi="he-IL"/>
        </w:rPr>
        <w:t>ו</w:t>
      </w:r>
      <w:r w:rsidR="007F21FA" w:rsidRPr="00882F11">
        <w:rPr>
          <w:rFonts w:cs="Guttman Drogolin" w:hint="cs"/>
          <w:rtl/>
          <w:lang w:bidi="he-IL"/>
        </w:rPr>
        <w:t>נת הדבר חריף שכל המפיג חירפותו חשוב לשבח</w:t>
      </w:r>
      <w:r w:rsidR="007F21FA" w:rsidRPr="00882F11">
        <w:rPr>
          <w:rStyle w:val="FootnoteReference"/>
          <w:rFonts w:cs="Guttman Drogolin"/>
          <w:rtl/>
          <w:lang w:bidi="he-IL"/>
        </w:rPr>
        <w:footnoteReference w:id="160"/>
      </w:r>
      <w:r w:rsidR="007F21FA" w:rsidRPr="00882F11">
        <w:rPr>
          <w:rFonts w:cs="Guttman Drogolin" w:hint="cs"/>
          <w:rtl/>
          <w:lang w:bidi="he-IL"/>
        </w:rPr>
        <w:t>.</w:t>
      </w:r>
      <w:r w:rsidR="002D32A8" w:rsidRPr="00882F11">
        <w:rPr>
          <w:rFonts w:cs="Guttman Drogolin" w:hint="cs"/>
          <w:rtl/>
          <w:lang w:bidi="he-IL"/>
        </w:rPr>
        <w:t xml:space="preserve"> ויעוין בחוו"ד סי' ק"ג ס"ק ט' שמעיקרא </w:t>
      </w:r>
      <w:r w:rsidR="006D109C" w:rsidRPr="00882F11">
        <w:rPr>
          <w:rFonts w:cs="Guttman Drogolin" w:hint="cs"/>
          <w:rtl/>
          <w:lang w:bidi="he-IL"/>
        </w:rPr>
        <w:t xml:space="preserve">רצה לומר כפירושו של המשכנ"י, אבל העיר שמן הראשונים מבואר שאין זה נכון, שהרי דנו אם יש דין מחליא </w:t>
      </w:r>
      <w:r w:rsidR="006D109C" w:rsidRPr="00882F11">
        <w:rPr>
          <w:rFonts w:cs="Guttman Drogolin" w:hint="cs"/>
          <w:rtl/>
          <w:lang w:bidi="he-IL"/>
        </w:rPr>
        <w:lastRenderedPageBreak/>
        <w:t xml:space="preserve">לשבח בשאר דברים חריפים בסכין בבשר בחלב. ומשמע שבחילתית פשיטא דמחליא לשבח גם בבב"ח. ולכאורה אם כפי' הנ"ל גם אם מחליא לשבח, אין זה אלא לענין לאסור את החילתית, וכן שארי הדברים לאחר מכן מהטעם של חילתית מדין חענ"ן, אבל בב"ח שהוא היתר לא אמרינן חענ"ן, וא"כ כיון שהטעם בשר או חלב עצמם לא נשתנו לשבח, למה יאסרו אידך מין לכשיכנס אליו. וע"כ דסברי שאין זה הענין, רק שהדבר חריף מתקן את עצם הפגם שבסכין. ומיני' שנשאר לנו ההערה שיש לו התכונה לחלות כל דבר פגום לשבח </w:t>
      </w:r>
      <w:r w:rsidR="00654316" w:rsidRPr="00882F11">
        <w:rPr>
          <w:rFonts w:cs="Guttman Drogolin" w:hint="cs"/>
          <w:rtl/>
          <w:lang w:bidi="he-IL"/>
        </w:rPr>
        <w:t xml:space="preserve">ולא משנה איזה פגם יש. </w:t>
      </w:r>
    </w:p>
    <w:p w:rsidR="005E5685" w:rsidRPr="00882F11" w:rsidRDefault="00654316" w:rsidP="005E5685">
      <w:pPr>
        <w:bidi/>
        <w:jc w:val="both"/>
        <w:rPr>
          <w:rFonts w:cs="Guttman Drogolin"/>
          <w:rtl/>
          <w:lang w:bidi="he-IL"/>
        </w:rPr>
      </w:pPr>
      <w:r w:rsidRPr="00882F11">
        <w:rPr>
          <w:rFonts w:cs="Guttman Drogolin" w:hint="cs"/>
          <w:rtl/>
          <w:lang w:bidi="he-IL"/>
        </w:rPr>
        <w:t>והנה אי אמרינן שכל הדברים החריפים מתקנין בלעות שבתוך כלי שיהיו לשבח, לכאורה יש לנו כמה קושיות. חדא שבגמ' שבמס' ע"ז דף ע"ו ע"א כתבו שהטעם שאסרו לבשל בכלי שאינו בן יומו הוא אטו כלי בן יומו. ולכאורה משמע שלהו"א של הגמ' לא הי' צורך להכשיר הכלי כלל. ולכאורה צ"ע דהא צריך להכשיר את בכלי משום שלבסוף יבשל או יחתוך דבר חריף ושוב יהי' בן יומו. ויש לדחות דאה"נ ולא הי' הו"א שלמעשה אין צריך להכשיר הכלי דהא שפיר יש הכשיר משום חשש כלי בן יומו, אבל הו"א שמ"מ באופן ארעית מותר להשתמש באותו כלי בדבר שאינו חריף. ובזה מבאר הגמ' שגם זה אסור משום חשש בן יומו (וגם בזה יש הערה דהו"ל לגמ' שהוא משום חשש דבר חריף, שהרי חשש בן יומו ליכא אלא תוך יום של ההשתמשות, וחשש השתמשות דבר חריף קיים לעולם). אלא שעוד קשה שהרי מבואר בע"ז ס"ז ע"ב אליבא דר"מ שנטל"פ אסור והמקור מזה שהצריכה תורה להכשיר כלי מדין, וכן במס' פסחים מבואר מ"ד שנטל"פ מותר ואי אפשר ללמוד מכלי מדין כיון שחידוש הוא כיון שכלי מדין נטל"פ. ולהנ"ל צ"ע, אולי נטל"פ מותר אבל התורה הצריכה הכשר משום שיהא להשתמש בדבר חריף. ועוד קשה שיטת הפוסקים</w:t>
      </w:r>
      <w:r w:rsidR="00D42D26" w:rsidRPr="00882F11">
        <w:rPr>
          <w:rFonts w:cs="Guttman Drogolin" w:hint="cs"/>
          <w:rtl/>
          <w:lang w:bidi="he-IL"/>
        </w:rPr>
        <w:t xml:space="preserve"> והיא דעת המחבר ב</w:t>
      </w:r>
      <w:r w:rsidRPr="00882F11">
        <w:rPr>
          <w:rFonts w:cs="Guttman Drogolin" w:hint="cs"/>
          <w:rtl/>
          <w:lang w:bidi="he-IL"/>
        </w:rPr>
        <w:t>או"ח סי' תנ"א סע' ו'</w:t>
      </w:r>
      <w:r w:rsidR="00D42D26" w:rsidRPr="00882F11">
        <w:rPr>
          <w:rFonts w:cs="Guttman Drogolin" w:hint="cs"/>
          <w:rtl/>
          <w:lang w:bidi="he-IL"/>
        </w:rPr>
        <w:t xml:space="preserve"> שסוג ההכשר שצריכים לכלי הולכים אחר רוב תשמישתו, וביאר </w:t>
      </w:r>
      <w:r w:rsidR="00D42D26" w:rsidRPr="00882F11">
        <w:rPr>
          <w:rFonts w:cs="Guttman Drogolin" w:hint="cs"/>
          <w:rtl/>
          <w:lang w:bidi="he-IL"/>
        </w:rPr>
        <w:lastRenderedPageBreak/>
        <w:t xml:space="preserve">הרמ"ע מפאנו שהוא משום שאין כאן אלא נטל"פ ולכן אין להחמיר כולי האי, ומשו"ה באמת כתבו האחרונים שאין לסמוך על זה אלא בכלי שאינו בן יומו. </w:t>
      </w:r>
      <w:r w:rsidR="00814A34">
        <w:rPr>
          <w:rFonts w:cs="Guttman Drogolin" w:hint="cs"/>
          <w:rtl/>
          <w:lang w:bidi="he-IL"/>
        </w:rPr>
        <w:t xml:space="preserve">וכן מבואר בשו"ת הרשב"א סי' שע"ב. </w:t>
      </w:r>
      <w:r w:rsidR="00D42D26" w:rsidRPr="00882F11">
        <w:rPr>
          <w:rFonts w:cs="Guttman Drogolin" w:hint="cs"/>
          <w:rtl/>
          <w:lang w:bidi="he-IL"/>
        </w:rPr>
        <w:t xml:space="preserve">ולכאורה להנ"ל צ"ע, דהא אם משתמש בכלי בדבר חריף הרי הוא כבר אסור מעיקר הדין ואין להקל. והחזו"א </w:t>
      </w:r>
      <w:r w:rsidR="00FC6ED6">
        <w:rPr>
          <w:rFonts w:cs="Guttman Drogolin" w:hint="cs"/>
          <w:rtl/>
          <w:lang w:bidi="he-IL"/>
        </w:rPr>
        <w:t xml:space="preserve">(או"ח סי' קי"ט ס"ק י"ט) </w:t>
      </w:r>
      <w:r w:rsidR="00D42D26" w:rsidRPr="00882F11">
        <w:rPr>
          <w:rFonts w:cs="Guttman Drogolin" w:hint="cs"/>
          <w:rtl/>
          <w:lang w:bidi="he-IL"/>
        </w:rPr>
        <w:t xml:space="preserve">כתב שבאמת אי אפשר להקל להשתמש בדבר חריף כה"ג, והוא קשה מאד מסתימת הפוסקים שהכשר של רוב תשמישתו סגי. וראיתי במגי"ס שהביא בשם א' </w:t>
      </w:r>
      <w:r w:rsidR="005E5685" w:rsidRPr="00882F11">
        <w:rPr>
          <w:rFonts w:cs="Guttman Drogolin" w:hint="cs"/>
          <w:rtl/>
          <w:lang w:bidi="he-IL"/>
        </w:rPr>
        <w:t xml:space="preserve">שאחרי שהכשירו לרוב תשמישתו מיהת כבר ליתי' לאיסורא דדבר חריף, אבל תי' זה אינו מעלה ארוכה למש"כ המ"ב שם בס"ק מ"ה שאם רוב תשמישתו בצונן שדי בשטיפה, שבזה הרי ליכא הכשר כלל. </w:t>
      </w:r>
    </w:p>
    <w:p w:rsidR="007D3731" w:rsidRPr="00882F11" w:rsidRDefault="005E5685" w:rsidP="005E5685">
      <w:pPr>
        <w:bidi/>
        <w:jc w:val="both"/>
        <w:rPr>
          <w:rFonts w:cs="Guttman Drogolin"/>
          <w:rtl/>
          <w:lang w:bidi="he-IL"/>
        </w:rPr>
      </w:pPr>
      <w:r w:rsidRPr="00882F11">
        <w:rPr>
          <w:rFonts w:cs="Guttman Drogolin" w:hint="cs"/>
          <w:rtl/>
          <w:lang w:bidi="he-IL"/>
        </w:rPr>
        <w:t>ובאמת בשו</w:t>
      </w:r>
      <w:r w:rsidR="00D2413D" w:rsidRPr="00882F11">
        <w:rPr>
          <w:rFonts w:cs="Guttman Drogolin" w:hint="cs"/>
          <w:rtl/>
          <w:lang w:bidi="he-IL"/>
        </w:rPr>
        <w:t>"ת הרשב"א המיוחסות לרמב"ן סי' קנ</w:t>
      </w:r>
      <w:r w:rsidRPr="00882F11">
        <w:rPr>
          <w:rFonts w:cs="Guttman Drogolin" w:hint="cs"/>
          <w:rtl/>
          <w:lang w:bidi="he-IL"/>
        </w:rPr>
        <w:t>"א</w:t>
      </w:r>
      <w:r w:rsidR="00386660" w:rsidRPr="00882F11">
        <w:rPr>
          <w:rStyle w:val="FootnoteReference"/>
          <w:rFonts w:cs="Guttman Drogolin"/>
          <w:rtl/>
          <w:lang w:bidi="he-IL"/>
        </w:rPr>
        <w:footnoteReference w:id="161"/>
      </w:r>
      <w:r w:rsidRPr="00882F11">
        <w:rPr>
          <w:rFonts w:cs="Guttman Drogolin" w:hint="cs"/>
          <w:rtl/>
          <w:lang w:bidi="he-IL"/>
        </w:rPr>
        <w:t xml:space="preserve"> שהתייחס לקושיא של כלי מדין, ומכח קושיא זו כתב דע"כ לא התכוין הגמ' להחמיר אלא בחילתית, אבל בשאר דברים החריפים לא מחליא לשבח. והיינו דאה"נ היו צריכים הכשר לכלי מדין בשביל חילתית, אבל לא הי' מסתבר שכל הגזה"כ של כלי מדין בשביל חילתית בלבד, ובשאר דברים החריפים ליכא למימר הכי. אבל לשאר הראשונים וכן להל' בשו"ע שלא סוברים כן מא"ל.</w:t>
      </w:r>
    </w:p>
    <w:p w:rsidR="005E5685" w:rsidRPr="00882F11" w:rsidRDefault="005E5685" w:rsidP="00E2400F">
      <w:pPr>
        <w:bidi/>
        <w:jc w:val="both"/>
        <w:rPr>
          <w:rFonts w:cs="Guttman Drogolin"/>
          <w:rtl/>
          <w:lang w:bidi="he-IL"/>
        </w:rPr>
      </w:pPr>
      <w:r w:rsidRPr="00882F11">
        <w:rPr>
          <w:rFonts w:cs="Guttman Drogolin" w:hint="cs"/>
          <w:rtl/>
          <w:lang w:bidi="he-IL"/>
        </w:rPr>
        <w:t>והנה הפת"ש בסי' צ</w:t>
      </w:r>
      <w:r w:rsidR="0051755C" w:rsidRPr="00882F11">
        <w:rPr>
          <w:rFonts w:cs="Guttman Drogolin" w:hint="cs"/>
          <w:rtl/>
          <w:lang w:bidi="he-IL"/>
        </w:rPr>
        <w:t>"ה</w:t>
      </w:r>
      <w:r w:rsidRPr="00882F11">
        <w:rPr>
          <w:rFonts w:cs="Guttman Drogolin" w:hint="cs"/>
          <w:rtl/>
          <w:lang w:bidi="he-IL"/>
        </w:rPr>
        <w:t xml:space="preserve"> ס"ק ד' הביא אחרונים שדנו בשאלה אם הא דדבר חריף מחליא לשבח הוא דין דאורייתא או דרבנן. ומסקנת דבריו דע"כ דין דאורייתא</w:t>
      </w:r>
      <w:r w:rsidR="00D42D26" w:rsidRPr="00882F11">
        <w:rPr>
          <w:rFonts w:cs="Guttman Drogolin" w:hint="cs"/>
          <w:rtl/>
          <w:lang w:bidi="he-IL"/>
        </w:rPr>
        <w:t xml:space="preserve"> </w:t>
      </w:r>
      <w:r w:rsidRPr="00882F11">
        <w:rPr>
          <w:rFonts w:cs="Guttman Drogolin" w:hint="cs"/>
          <w:rtl/>
          <w:lang w:bidi="he-IL"/>
        </w:rPr>
        <w:t xml:space="preserve">הוא דהא ע"כ טועם אותו ויש כאן טעם איסור ולמה לא יהא מדאורייתא. ובמגי"ס העיר שלכאורה אין מכאן ראי', דהא אנחנו מוצאים כמה דוגמות של דברים שטועמים ואין בהם משום טכ"ע דאורייתא, כגון שיטת הטור שבדבר שיש בה קיוהא אין ביטול לטעמו וממש, אבל טעם כעיקר ליתא, וביארנו דהיינו שהיכר טעם יש אבל טכ"ע לא חשוב. ועוד יש להביא דוגמא לזה משיטת הש"ך סי' צ"ח ס"ק כ"ט בשם או"ה שבתבלין וכדומה דלטעמא עבידי אין טכ"ע מדאורייתא אע"ג שטעמו מורגש. וע"ש עוד </w:t>
      </w:r>
      <w:r w:rsidRPr="00882F11">
        <w:rPr>
          <w:rFonts w:cs="Guttman Drogolin" w:hint="cs"/>
          <w:rtl/>
          <w:lang w:bidi="he-IL"/>
        </w:rPr>
        <w:lastRenderedPageBreak/>
        <w:t>ראיות לזה. ועוד יש להביא הא דבנ"ט בר נ"ט הוכחנו לעיל לרוב ראשונים שהוא מורגש ומ"מ אי אפשר לחדש בה איסור. מכל הלין נשמע שיש דבר שטועמים אותו ואין בה משום טכ"ע. וא"כ איכא למימר נמי בדבר חריף שאמנם מחליא לשבח ומורגש, מ"מ אינו מן הסוג שאסור מדאורייתא. וכן לכאורה י"ל עוד טעם שאינו אסור מדאורייתא, ומשום שי"ל כסברת הריטב"א הנ"ל, דכיון שכבר ניתר שוב אינו חוזר לאיסורו מדאורייתא. ומ"מ י"ל שגזרו מזה מדרבנן.</w:t>
      </w:r>
    </w:p>
    <w:p w:rsidR="00D2413D" w:rsidRPr="00882F11" w:rsidRDefault="007D3731" w:rsidP="00295E46">
      <w:pPr>
        <w:bidi/>
        <w:jc w:val="both"/>
        <w:rPr>
          <w:rFonts w:cs="Guttman Drogolin"/>
          <w:rtl/>
          <w:lang w:bidi="he-IL"/>
        </w:rPr>
      </w:pPr>
      <w:r w:rsidRPr="00882F11">
        <w:rPr>
          <w:rFonts w:cs="Guttman Drogolin" w:hint="cs"/>
          <w:rtl/>
          <w:lang w:bidi="he-IL"/>
        </w:rPr>
        <w:t>וא"כ שם במגי"ס רצה לומר שזהו הביאור בהא דאזלינן בתר רוב תשמישתו, ומשום שאין לאסור משום דבר חריף מדאורייתא וכנ"ל. ואי משום הא לכאורה אין לנו תשובה גמורה, דהא סוף כל סוף יש כאן טעם איסור שאסרו מדרבנן מיהת, ולמה אין לאסור משום טעם זה ומה"ת שיתירו אותו. דבשלמא בנטל"פ י"ל שאינו אלא גזרה מדרבנן על הכלי, שהרי הבליעות מותרים, וכה"ג לא גזרו, אבל אם עצם הבליעות אסורות למה יש לנו להתיר אותם. וכן לענין הגזירה של כלי שאינו בן יומו לכאורה הי' זה צריך טעם מספיק לאסור כיון שסוף סוף אסרו בליעות נטל"פ אם דבר חריף מחלה לשבח. ומ"מ לענין הקושיא מכלי מדין לכאורה הי' מיישב להפלי</w:t>
      </w:r>
      <w:r w:rsidR="00295E46" w:rsidRPr="00882F11">
        <w:rPr>
          <w:rFonts w:cs="Guttman Drogolin" w:hint="cs"/>
          <w:rtl/>
          <w:lang w:bidi="he-IL"/>
        </w:rPr>
        <w:t>א</w:t>
      </w:r>
      <w:r w:rsidRPr="00882F11">
        <w:rPr>
          <w:rFonts w:cs="Guttman Drogolin" w:hint="cs"/>
          <w:rtl/>
          <w:lang w:bidi="he-IL"/>
        </w:rPr>
        <w:t xml:space="preserve">. באופן שלכאורה מבואר משו"ת הרשב"א הנ"ל דסבר דדינא דמחליא לשבח הוא דין דאורייתא (בחילתית, וכנ"ל).  </w:t>
      </w:r>
    </w:p>
    <w:p w:rsidR="00D2413D" w:rsidRPr="00882F11" w:rsidRDefault="00D2413D" w:rsidP="00D2413D">
      <w:pPr>
        <w:bidi/>
        <w:jc w:val="both"/>
        <w:rPr>
          <w:rFonts w:cs="Guttman Drogolin"/>
          <w:rtl/>
          <w:lang w:bidi="he-IL"/>
        </w:rPr>
        <w:sectPr w:rsidR="00D2413D" w:rsidRPr="00882F11" w:rsidSect="00615FF2">
          <w:type w:val="continuous"/>
          <w:pgSz w:w="11907" w:h="16839" w:code="9"/>
          <w:pgMar w:top="1440" w:right="1440" w:bottom="1440" w:left="1440" w:header="720" w:footer="720" w:gutter="0"/>
          <w:cols w:num="2" w:space="720"/>
          <w:bidi/>
          <w:docGrid w:linePitch="360"/>
        </w:sectPr>
      </w:pPr>
    </w:p>
    <w:p w:rsidR="00D2413D" w:rsidRPr="00882F11" w:rsidRDefault="007D3731" w:rsidP="00D2413D">
      <w:pPr>
        <w:keepNext/>
        <w:tabs>
          <w:tab w:val="left" w:pos="3818"/>
          <w:tab w:val="center" w:pos="4680"/>
        </w:tabs>
        <w:bidi/>
        <w:jc w:val="center"/>
        <w:rPr>
          <w:rFonts w:cs="Guttman Drogolin"/>
          <w:b/>
          <w:bCs/>
          <w:sz w:val="24"/>
          <w:szCs w:val="24"/>
          <w:rtl/>
          <w:lang w:bidi="he-IL"/>
        </w:rPr>
      </w:pPr>
      <w:r w:rsidRPr="00882F11">
        <w:rPr>
          <w:rFonts w:cs="Guttman Drogolin" w:hint="cs"/>
          <w:rtl/>
          <w:lang w:bidi="he-IL"/>
        </w:rPr>
        <w:lastRenderedPageBreak/>
        <w:t xml:space="preserve"> </w:t>
      </w:r>
      <w:r w:rsidR="00D2413D" w:rsidRPr="00882F11">
        <w:rPr>
          <w:rFonts w:cs="Guttman Drogolin" w:hint="cs"/>
          <w:b/>
          <w:bCs/>
          <w:sz w:val="48"/>
          <w:szCs w:val="48"/>
          <w:rtl/>
          <w:lang w:bidi="he-IL"/>
        </w:rPr>
        <w:t>שיעור מ"א</w:t>
      </w:r>
    </w:p>
    <w:p w:rsidR="00615FF2" w:rsidRDefault="00615FF2" w:rsidP="0078079C">
      <w:pPr>
        <w:pStyle w:val="Heading1"/>
        <w:bidi/>
        <w:spacing w:before="0" w:line="360" w:lineRule="auto"/>
        <w:jc w:val="center"/>
        <w:rPr>
          <w:rFonts w:cs="Guttman Drogolin"/>
          <w:color w:val="auto"/>
          <w:sz w:val="24"/>
          <w:szCs w:val="24"/>
          <w:u w:val="single"/>
          <w:rtl/>
          <w:lang w:bidi="he-IL"/>
        </w:rPr>
        <w:sectPr w:rsidR="00615FF2" w:rsidSect="00615FF2">
          <w:headerReference w:type="default" r:id="rId35"/>
          <w:pgSz w:w="11907" w:h="16839" w:code="9"/>
          <w:pgMar w:top="1440" w:right="1440" w:bottom="1440" w:left="1440" w:header="720" w:footer="720" w:gutter="0"/>
          <w:cols w:space="720"/>
          <w:bidi/>
          <w:docGrid w:linePitch="360"/>
        </w:sectPr>
      </w:pPr>
    </w:p>
    <w:p w:rsidR="00D2413D" w:rsidRPr="00882F11" w:rsidRDefault="00D2413D" w:rsidP="0078079C">
      <w:pPr>
        <w:pStyle w:val="Heading1"/>
        <w:bidi/>
        <w:spacing w:before="0" w:line="360" w:lineRule="auto"/>
        <w:jc w:val="center"/>
        <w:rPr>
          <w:rFonts w:cs="Guttman Drogolin"/>
          <w:color w:val="auto"/>
          <w:sz w:val="24"/>
          <w:szCs w:val="24"/>
          <w:u w:val="single"/>
          <w:rtl/>
          <w:lang w:bidi="he-IL"/>
        </w:rPr>
      </w:pPr>
      <w:bookmarkStart w:id="150" w:name="_Toc496175407"/>
      <w:r w:rsidRPr="00882F11">
        <w:rPr>
          <w:rFonts w:cs="Guttman Drogolin" w:hint="cs"/>
          <w:color w:val="auto"/>
          <w:sz w:val="24"/>
          <w:szCs w:val="24"/>
          <w:u w:val="single"/>
          <w:rtl/>
          <w:lang w:bidi="he-IL"/>
        </w:rPr>
        <w:lastRenderedPageBreak/>
        <w:t>סוגי בשר שונים באיסור בשר בחלב</w:t>
      </w:r>
      <w:bookmarkEnd w:id="150"/>
    </w:p>
    <w:p w:rsidR="0063043B" w:rsidRPr="00882F11" w:rsidRDefault="00122BF4" w:rsidP="00EE4458">
      <w:pPr>
        <w:bidi/>
        <w:jc w:val="both"/>
        <w:rPr>
          <w:rFonts w:cs="Guttman Drogolin"/>
          <w:rtl/>
          <w:lang w:bidi="he-IL"/>
        </w:rPr>
      </w:pPr>
      <w:r>
        <w:rPr>
          <w:rFonts w:cs="Guttman Drogolin"/>
          <w:rtl/>
          <w:lang w:bidi="he-IL"/>
        </w:rPr>
        <w:fldChar w:fldCharType="begin"/>
      </w:r>
      <w:r>
        <w:instrText xml:space="preserve"> XE "</w:instrText>
      </w:r>
      <w:r w:rsidRPr="00182B27">
        <w:rPr>
          <w:rFonts w:hint="cs"/>
          <w:rtl/>
          <w:lang w:bidi="he-IL"/>
        </w:rPr>
        <w:instrText>בשר בחלב</w:instrText>
      </w:r>
      <w:r w:rsidRPr="00182B27">
        <w:rPr>
          <w:rtl/>
        </w:rPr>
        <w:instrText>:</w:instrText>
      </w:r>
      <w:r w:rsidRPr="00182B27">
        <w:rPr>
          <w:rFonts w:hint="cs"/>
          <w:rtl/>
          <w:lang w:bidi="he-IL"/>
        </w:rPr>
        <w:instrText>באיזה סוג בשר נאסר</w:instrText>
      </w:r>
      <w:r>
        <w:instrText xml:space="preserve">" </w:instrText>
      </w:r>
      <w:r>
        <w:rPr>
          <w:rFonts w:cs="Guttman Drogolin"/>
          <w:rtl/>
          <w:lang w:bidi="he-IL"/>
        </w:rPr>
        <w:fldChar w:fldCharType="end"/>
      </w:r>
      <w:r w:rsidR="00D2413D" w:rsidRPr="00882F11">
        <w:rPr>
          <w:rFonts w:cs="Guttman Drogolin" w:hint="cs"/>
          <w:rtl/>
          <w:lang w:bidi="he-IL"/>
        </w:rPr>
        <w:t>במתני' שבר"פ כל הבשר כתוב "כל הבשר אסור</w:t>
      </w:r>
      <w:r w:rsidR="00D2413D" w:rsidRPr="00882F11">
        <w:rPr>
          <w:rFonts w:cs="Guttman Drogolin"/>
          <w:rtl/>
          <w:lang w:bidi="he-IL"/>
        </w:rPr>
        <w:t xml:space="preserve"> </w:t>
      </w:r>
      <w:r w:rsidR="00D2413D" w:rsidRPr="00882F11">
        <w:rPr>
          <w:rFonts w:cs="Guttman Drogolin" w:hint="cs"/>
          <w:rtl/>
          <w:lang w:bidi="he-IL"/>
        </w:rPr>
        <w:t>לבשל</w:t>
      </w:r>
      <w:r w:rsidR="00D2413D" w:rsidRPr="00882F11">
        <w:rPr>
          <w:rFonts w:cs="Guttman Drogolin"/>
          <w:rtl/>
          <w:lang w:bidi="he-IL"/>
        </w:rPr>
        <w:t xml:space="preserve"> </w:t>
      </w:r>
      <w:r w:rsidR="00D2413D" w:rsidRPr="00882F11">
        <w:rPr>
          <w:rFonts w:cs="Guttman Drogolin" w:hint="cs"/>
          <w:rtl/>
          <w:lang w:bidi="he-IL"/>
        </w:rPr>
        <w:t>בחלב</w:t>
      </w:r>
      <w:r w:rsidR="00D2413D" w:rsidRPr="00882F11">
        <w:rPr>
          <w:rFonts w:cs="Guttman Drogolin"/>
          <w:rtl/>
          <w:lang w:bidi="he-IL"/>
        </w:rPr>
        <w:t xml:space="preserve"> </w:t>
      </w:r>
      <w:r w:rsidR="00D2413D" w:rsidRPr="00882F11">
        <w:rPr>
          <w:rFonts w:cs="Guttman Drogolin" w:hint="cs"/>
          <w:rtl/>
          <w:lang w:bidi="he-IL"/>
        </w:rPr>
        <w:t>חוץ</w:t>
      </w:r>
      <w:r w:rsidR="00D2413D" w:rsidRPr="00882F11">
        <w:rPr>
          <w:rFonts w:cs="Guttman Drogolin"/>
          <w:rtl/>
          <w:lang w:bidi="he-IL"/>
        </w:rPr>
        <w:t xml:space="preserve"> </w:t>
      </w:r>
      <w:r w:rsidR="00D2413D" w:rsidRPr="00882F11">
        <w:rPr>
          <w:rFonts w:cs="Guttman Drogolin" w:hint="cs"/>
          <w:rtl/>
          <w:lang w:bidi="he-IL"/>
        </w:rPr>
        <w:t>מבשר</w:t>
      </w:r>
      <w:r w:rsidR="00D2413D" w:rsidRPr="00882F11">
        <w:rPr>
          <w:rFonts w:cs="Guttman Drogolin"/>
          <w:rtl/>
          <w:lang w:bidi="he-IL"/>
        </w:rPr>
        <w:t xml:space="preserve"> </w:t>
      </w:r>
      <w:r w:rsidR="00D2413D" w:rsidRPr="00882F11">
        <w:rPr>
          <w:rFonts w:cs="Guttman Drogolin" w:hint="cs"/>
          <w:rtl/>
          <w:lang w:bidi="he-IL"/>
        </w:rPr>
        <w:t>דגים</w:t>
      </w:r>
      <w:r w:rsidR="00D2413D" w:rsidRPr="00882F11">
        <w:rPr>
          <w:rFonts w:cs="Guttman Drogolin"/>
          <w:rtl/>
          <w:lang w:bidi="he-IL"/>
        </w:rPr>
        <w:t xml:space="preserve"> </w:t>
      </w:r>
      <w:r w:rsidR="00D2413D" w:rsidRPr="00882F11">
        <w:rPr>
          <w:rFonts w:cs="Guttman Drogolin" w:hint="cs"/>
          <w:rtl/>
          <w:lang w:bidi="he-IL"/>
        </w:rPr>
        <w:t>וחגבים". וכוונת השמנה לומר שהאיסור של בשר בחלב שייך לא רק לבשר בהמה אלא גם לבשר חי' ועוף. וע' במתני' לקמן דף קי"ג ע"א שמבואר עוד שאין האיסור של בשר בחלב אלא בחלב בהמה טהורה עם בשר בהמה טהורה, אבל בשר בהמה טהורה עם חלב בהמה טמאה או בשר בהמה טמאה עם חלב בהמה טהורה אין בה לא איסור בישול ולא איסור הנאה</w:t>
      </w:r>
      <w:r w:rsidR="009F0C08" w:rsidRPr="00882F11">
        <w:rPr>
          <w:rStyle w:val="FootnoteReference"/>
          <w:rFonts w:cs="Guttman Drogolin"/>
          <w:rtl/>
          <w:lang w:bidi="he-IL"/>
        </w:rPr>
        <w:footnoteReference w:id="162"/>
      </w:r>
      <w:r w:rsidR="00D2413D" w:rsidRPr="00882F11">
        <w:rPr>
          <w:rFonts w:cs="Guttman Drogolin" w:hint="cs"/>
          <w:rtl/>
          <w:lang w:bidi="he-IL"/>
        </w:rPr>
        <w:t>. והמתני' משמיטה שאין איסור אכילה משום שמ"מ יש איסור אכילה מצד הבשר בהמה טמאה או החלב בהמה טמאה וכמו שפירש"י שם. ומשמע שמצד איסור בשר בחלב גם איסור אכילה ליכא, ויש מן האחרונים שרצו לומר שאיסור אכילה של בשר בחלב מ"מ איכא מדרבנן</w:t>
      </w:r>
      <w:r w:rsidR="00907BF7" w:rsidRPr="00882F11">
        <w:rPr>
          <w:rStyle w:val="FootnoteReference"/>
          <w:rFonts w:cs="Guttman Drogolin"/>
          <w:rtl/>
          <w:lang w:bidi="he-IL"/>
        </w:rPr>
        <w:footnoteReference w:id="163"/>
      </w:r>
      <w:r w:rsidR="00D2413D" w:rsidRPr="00882F11">
        <w:rPr>
          <w:rFonts w:cs="Guttman Drogolin" w:hint="cs"/>
          <w:rtl/>
          <w:lang w:bidi="he-IL"/>
        </w:rPr>
        <w:t xml:space="preserve">. ונפק"מ מזה שמי שהי' מוכרח לאכול בשר בהמה טמאה </w:t>
      </w:r>
      <w:r w:rsidR="0063043B" w:rsidRPr="00882F11">
        <w:rPr>
          <w:rFonts w:cs="Guttman Drogolin" w:hint="cs"/>
          <w:rtl/>
          <w:lang w:bidi="he-IL"/>
        </w:rPr>
        <w:t>משום סכנה האם יש להעדיף בשר זו שיהא בלי חלב טהור או לא. וכן יש נפק"מ</w:t>
      </w:r>
      <w:r w:rsidR="00D2413D" w:rsidRPr="00882F11">
        <w:rPr>
          <w:rFonts w:cs="Guttman Drogolin" w:hint="cs"/>
          <w:rtl/>
          <w:lang w:bidi="he-IL"/>
        </w:rPr>
        <w:t xml:space="preserve"> </w:t>
      </w:r>
      <w:r w:rsidR="0063043B" w:rsidRPr="00882F11">
        <w:rPr>
          <w:rFonts w:cs="Guttman Drogolin" w:hint="cs"/>
          <w:rtl/>
          <w:lang w:bidi="he-IL"/>
        </w:rPr>
        <w:t>לכאורה אם יצטרך להמתין ו' שעות אחרי אכילת הבשר בהמה טמאה.</w:t>
      </w:r>
    </w:p>
    <w:p w:rsidR="00D32AE4" w:rsidRPr="00882F11" w:rsidRDefault="00D2413D" w:rsidP="00D32AE4">
      <w:pPr>
        <w:bidi/>
        <w:jc w:val="both"/>
        <w:rPr>
          <w:rFonts w:cs="Guttman Drogolin"/>
          <w:rtl/>
          <w:lang w:bidi="he-IL"/>
        </w:rPr>
      </w:pPr>
      <w:r w:rsidRPr="00882F11">
        <w:rPr>
          <w:rFonts w:cs="Guttman Drogolin" w:hint="cs"/>
          <w:rtl/>
          <w:lang w:bidi="he-IL"/>
        </w:rPr>
        <w:t>ומעיקרא דקדק הגמ' מ</w:t>
      </w:r>
      <w:r w:rsidR="0063043B" w:rsidRPr="00882F11">
        <w:rPr>
          <w:rFonts w:cs="Guttman Drogolin" w:hint="cs"/>
          <w:rtl/>
          <w:lang w:bidi="he-IL"/>
        </w:rPr>
        <w:t>מתני' דר"פ</w:t>
      </w:r>
      <w:r w:rsidRPr="00882F11">
        <w:rPr>
          <w:rFonts w:cs="Guttman Drogolin" w:hint="cs"/>
          <w:rtl/>
          <w:lang w:bidi="he-IL"/>
        </w:rPr>
        <w:t xml:space="preserve"> דתנא דמתני' סבר שבשר עוף בחלב אסור מדאורייתא. ורב אשי דקדק שאינו חייב להיות כן, אלא כולהו אסורין, ויש מהם מדאורייתא ויש מהם מדרבנן. </w:t>
      </w:r>
      <w:r w:rsidR="0063043B" w:rsidRPr="00882F11">
        <w:rPr>
          <w:rFonts w:cs="Guttman Drogolin" w:hint="cs"/>
          <w:rtl/>
          <w:lang w:bidi="he-IL"/>
        </w:rPr>
        <w:t xml:space="preserve">והקשו רש"י ותוס' למה קס"ד שיש איסור דאורייתא, הא לא כתוב במתני' אלא שאסור ואולי אין כוונת המתני' אלא מדרבנן. ורש"י בד"ה </w:t>
      </w:r>
      <w:r w:rsidR="00571268" w:rsidRPr="00882F11">
        <w:rPr>
          <w:rFonts w:cs="Guttman Drogolin" w:hint="cs"/>
          <w:rtl/>
          <w:lang w:bidi="he-IL"/>
        </w:rPr>
        <w:t xml:space="preserve">קס"ד סתם ופירש דס"ד שאיסור דמתני' דאורייתא קאמר, ולכאורה ר"ל משום שסתם לשון איסור היינו מדאורייתא. והתוס' הביאו מי שפי' שהדיוק מלשון </w:t>
      </w:r>
      <w:r w:rsidR="008F23C0" w:rsidRPr="00882F11">
        <w:rPr>
          <w:rFonts w:cs="Guttman Drogolin" w:hint="cs"/>
          <w:rtl/>
          <w:lang w:bidi="he-IL"/>
        </w:rPr>
        <w:t>'</w:t>
      </w:r>
      <w:r w:rsidR="00571268" w:rsidRPr="00882F11">
        <w:rPr>
          <w:rFonts w:cs="Guttman Drogolin" w:hint="cs"/>
          <w:rtl/>
          <w:lang w:bidi="he-IL"/>
        </w:rPr>
        <w:t>כל</w:t>
      </w:r>
      <w:r w:rsidR="008F23C0" w:rsidRPr="00882F11">
        <w:rPr>
          <w:rFonts w:cs="Guttman Drogolin" w:hint="cs"/>
          <w:rtl/>
          <w:lang w:bidi="he-IL"/>
        </w:rPr>
        <w:t>'</w:t>
      </w:r>
      <w:r w:rsidR="00571268" w:rsidRPr="00882F11">
        <w:rPr>
          <w:rFonts w:cs="Guttman Drogolin" w:hint="cs"/>
          <w:rtl/>
          <w:lang w:bidi="he-IL"/>
        </w:rPr>
        <w:t xml:space="preserve"> לומר כל הבשר שוה זה כזה, ודחו שאי אפשר לפרש כן ד</w:t>
      </w:r>
      <w:r w:rsidR="00D32AE4" w:rsidRPr="00882F11">
        <w:rPr>
          <w:rFonts w:cs="Guttman Drogolin" w:hint="cs"/>
          <w:rtl/>
          <w:lang w:bidi="he-IL"/>
        </w:rPr>
        <w:t xml:space="preserve">בנודר מן הבשר אין כל הבשר שוין שמודה ר"ע שאין בשר עוף אסור כה"ג משום </w:t>
      </w:r>
      <w:r w:rsidR="00D32AE4" w:rsidRPr="00882F11">
        <w:rPr>
          <w:rFonts w:cs="Guttman Drogolin" w:hint="cs"/>
          <w:rtl/>
          <w:lang w:bidi="he-IL"/>
        </w:rPr>
        <w:lastRenderedPageBreak/>
        <w:t xml:space="preserve">נדר אלא מדרבנן. והעירו המהר"ם ועוד אחרונים שלכאורה לולא דברי התוס' הי' אפשר לומר שאין כל שאלה מהא דנודר דהא בנודר לא כתוב לשון 'כל', ולכן ליכא למידק. ונראה שהתוס' סוברים שפשטות הבנת המתני' הוא שהיוצא מלשון 'כל' קאי אכל המתני'. </w:t>
      </w:r>
    </w:p>
    <w:p w:rsidR="000E4894" w:rsidRPr="00882F11" w:rsidRDefault="00D32AE4" w:rsidP="000E4894">
      <w:pPr>
        <w:bidi/>
        <w:jc w:val="both"/>
        <w:rPr>
          <w:rFonts w:cs="Guttman Drogolin"/>
          <w:rtl/>
          <w:lang w:bidi="he-IL"/>
        </w:rPr>
      </w:pPr>
      <w:r w:rsidRPr="00882F11">
        <w:rPr>
          <w:rFonts w:cs="Guttman Drogolin" w:hint="cs"/>
          <w:rtl/>
          <w:lang w:bidi="he-IL"/>
        </w:rPr>
        <w:t xml:space="preserve">והתוס' פירשו שהגמ' סומכת על הדיוק מן הסיפא, דס"ד שאין מקום לגזור אהעלאה אא"כ יש בזה איסור דאורייתא ומשום דאל"כ הרי גזירה לגזירה, והעירו על זה המהר"ם ועוד אחרונים דא"כ תי' דר' אשי </w:t>
      </w:r>
      <w:r w:rsidR="000E4894" w:rsidRPr="00882F11">
        <w:rPr>
          <w:rFonts w:cs="Guttman Drogolin" w:hint="cs"/>
          <w:rtl/>
          <w:lang w:bidi="he-IL"/>
        </w:rPr>
        <w:t>שיש דאורייתא ויש דרבנן לא מיישב כלום, שבשלמא</w:t>
      </w:r>
      <w:r w:rsidRPr="00882F11">
        <w:rPr>
          <w:rFonts w:cs="Guttman Drogolin" w:hint="cs"/>
          <w:rtl/>
          <w:lang w:bidi="he-IL"/>
        </w:rPr>
        <w:t xml:space="preserve"> </w:t>
      </w:r>
      <w:r w:rsidR="000E4894" w:rsidRPr="00882F11">
        <w:rPr>
          <w:rFonts w:cs="Guttman Drogolin" w:hint="cs"/>
          <w:rtl/>
          <w:lang w:bidi="he-IL"/>
        </w:rPr>
        <w:t xml:space="preserve">לפי' הנ"ל י"ל שהגמ' גופא רוצה לדחות משמעות הלשון שיש מ'כל', אבל אם הוא מהסיפא, איך נדע מזה יישוב המקור לשאלה. </w:t>
      </w:r>
    </w:p>
    <w:p w:rsidR="00B3773C" w:rsidRPr="00882F11" w:rsidRDefault="000E4894" w:rsidP="00FF7544">
      <w:pPr>
        <w:bidi/>
        <w:jc w:val="both"/>
        <w:rPr>
          <w:rFonts w:cs="Guttman Drogolin"/>
          <w:rtl/>
          <w:lang w:bidi="he-IL"/>
        </w:rPr>
      </w:pPr>
      <w:r w:rsidRPr="00882F11">
        <w:rPr>
          <w:rFonts w:cs="Guttman Drogolin" w:hint="cs"/>
          <w:rtl/>
          <w:lang w:bidi="he-IL"/>
        </w:rPr>
        <w:t xml:space="preserve">והנה </w:t>
      </w:r>
      <w:r w:rsidR="00EA6A7D" w:rsidRPr="00882F11">
        <w:rPr>
          <w:rFonts w:cs="Guttman Drogolin" w:hint="cs"/>
          <w:rtl/>
          <w:lang w:bidi="he-IL"/>
        </w:rPr>
        <w:t>כידוע באיסורי בשר בחלב יש ג' איסורים שאסרה תורה: אכילה, בישול, והנאה. ויל"ע אם איסורים אלו שייכים גם לאיסורי בשר בחלב שאינם אלא מדרבנן. ו</w:t>
      </w:r>
      <w:r w:rsidRPr="00882F11">
        <w:rPr>
          <w:rFonts w:cs="Guttman Drogolin" w:hint="cs"/>
          <w:rtl/>
          <w:lang w:bidi="he-IL"/>
        </w:rPr>
        <w:t xml:space="preserve">לפום ריהטא בין אם כוונת המתני' לאסור עוף מדאורייתא, ובין אם כוונתו לאסור רק מדרבנן, מ"מ לכאורה יוצא מלשון המתני' שבשר עוף בחלב אסור לא רק באכילה אלא גם בבישול, דהא 'כל הבשר אסור לבשל בחלב' כתיב. </w:t>
      </w:r>
      <w:r w:rsidR="00EA6A7D" w:rsidRPr="00882F11">
        <w:rPr>
          <w:rFonts w:cs="Guttman Drogolin" w:hint="cs"/>
          <w:rtl/>
          <w:lang w:bidi="he-IL"/>
        </w:rPr>
        <w:t>אבל הדבר מפורש ברמב"ם להיפך, שבפ"ט ה"ד כתב הרמב"ם "וכן</w:t>
      </w:r>
      <w:r w:rsidR="00EA6A7D" w:rsidRPr="00882F11">
        <w:rPr>
          <w:rFonts w:cs="Guttman Drogolin"/>
          <w:rtl/>
          <w:lang w:bidi="he-IL"/>
        </w:rPr>
        <w:t xml:space="preserve"> </w:t>
      </w:r>
      <w:r w:rsidR="00EA6A7D" w:rsidRPr="00882F11">
        <w:rPr>
          <w:rFonts w:cs="Guttman Drogolin" w:hint="cs"/>
          <w:rtl/>
          <w:lang w:bidi="he-IL"/>
        </w:rPr>
        <w:t>בשר</w:t>
      </w:r>
      <w:r w:rsidR="00EA6A7D" w:rsidRPr="00882F11">
        <w:rPr>
          <w:rFonts w:cs="Guttman Drogolin"/>
          <w:rtl/>
          <w:lang w:bidi="he-IL"/>
        </w:rPr>
        <w:t xml:space="preserve"> </w:t>
      </w:r>
      <w:r w:rsidR="00EA6A7D" w:rsidRPr="00882F11">
        <w:rPr>
          <w:rFonts w:cs="Guttman Drogolin" w:hint="cs"/>
          <w:rtl/>
          <w:lang w:bidi="he-IL"/>
        </w:rPr>
        <w:t>חיה</w:t>
      </w:r>
      <w:r w:rsidR="00EA6A7D" w:rsidRPr="00882F11">
        <w:rPr>
          <w:rFonts w:cs="Guttman Drogolin"/>
          <w:rtl/>
          <w:lang w:bidi="he-IL"/>
        </w:rPr>
        <w:t xml:space="preserve"> </w:t>
      </w:r>
      <w:r w:rsidR="00EA6A7D" w:rsidRPr="00882F11">
        <w:rPr>
          <w:rFonts w:cs="Guttman Drogolin" w:hint="cs"/>
          <w:rtl/>
          <w:lang w:bidi="he-IL"/>
        </w:rPr>
        <w:t>ועוף</w:t>
      </w:r>
      <w:r w:rsidR="00EA6A7D" w:rsidRPr="00882F11">
        <w:rPr>
          <w:rFonts w:cs="Guttman Drogolin"/>
          <w:rtl/>
          <w:lang w:bidi="he-IL"/>
        </w:rPr>
        <w:t xml:space="preserve"> </w:t>
      </w:r>
      <w:r w:rsidR="00EA6A7D" w:rsidRPr="00882F11">
        <w:rPr>
          <w:rFonts w:cs="Guttman Drogolin" w:hint="cs"/>
          <w:rtl/>
          <w:lang w:bidi="he-IL"/>
        </w:rPr>
        <w:t>בין</w:t>
      </w:r>
      <w:r w:rsidR="00EA6A7D" w:rsidRPr="00882F11">
        <w:rPr>
          <w:rFonts w:cs="Guttman Drogolin"/>
          <w:rtl/>
          <w:lang w:bidi="he-IL"/>
        </w:rPr>
        <w:t xml:space="preserve"> </w:t>
      </w:r>
      <w:r w:rsidR="00EA6A7D" w:rsidRPr="00882F11">
        <w:rPr>
          <w:rFonts w:cs="Guttman Drogolin" w:hint="cs"/>
          <w:rtl/>
          <w:lang w:bidi="he-IL"/>
        </w:rPr>
        <w:t>בחלב</w:t>
      </w:r>
      <w:r w:rsidR="00EA6A7D" w:rsidRPr="00882F11">
        <w:rPr>
          <w:rFonts w:cs="Guttman Drogolin"/>
          <w:rtl/>
          <w:lang w:bidi="he-IL"/>
        </w:rPr>
        <w:t xml:space="preserve"> </w:t>
      </w:r>
      <w:r w:rsidR="00EA6A7D" w:rsidRPr="00882F11">
        <w:rPr>
          <w:rFonts w:cs="Guttman Drogolin" w:hint="cs"/>
          <w:rtl/>
          <w:lang w:bidi="he-IL"/>
        </w:rPr>
        <w:t>חיה</w:t>
      </w:r>
      <w:r w:rsidR="00EA6A7D" w:rsidRPr="00882F11">
        <w:rPr>
          <w:rFonts w:cs="Guttman Drogolin"/>
          <w:rtl/>
          <w:lang w:bidi="he-IL"/>
        </w:rPr>
        <w:t xml:space="preserve"> </w:t>
      </w:r>
      <w:r w:rsidR="00EA6A7D" w:rsidRPr="00882F11">
        <w:rPr>
          <w:rFonts w:cs="Guttman Drogolin" w:hint="cs"/>
          <w:rtl/>
          <w:lang w:bidi="he-IL"/>
        </w:rPr>
        <w:t>בין</w:t>
      </w:r>
      <w:r w:rsidR="00EA6A7D" w:rsidRPr="00882F11">
        <w:rPr>
          <w:rFonts w:cs="Guttman Drogolin"/>
          <w:rtl/>
          <w:lang w:bidi="he-IL"/>
        </w:rPr>
        <w:t xml:space="preserve"> </w:t>
      </w:r>
      <w:r w:rsidR="00EA6A7D" w:rsidRPr="00882F11">
        <w:rPr>
          <w:rFonts w:cs="Guttman Drogolin" w:hint="cs"/>
          <w:rtl/>
          <w:lang w:bidi="he-IL"/>
        </w:rPr>
        <w:t>בחלב</w:t>
      </w:r>
      <w:r w:rsidR="00EA6A7D" w:rsidRPr="00882F11">
        <w:rPr>
          <w:rFonts w:cs="Guttman Drogolin"/>
          <w:rtl/>
          <w:lang w:bidi="he-IL"/>
        </w:rPr>
        <w:t xml:space="preserve"> </w:t>
      </w:r>
      <w:r w:rsidR="00EA6A7D" w:rsidRPr="00882F11">
        <w:rPr>
          <w:rFonts w:cs="Guttman Drogolin" w:hint="cs"/>
          <w:rtl/>
          <w:lang w:bidi="he-IL"/>
        </w:rPr>
        <w:t>בהמה</w:t>
      </w:r>
      <w:r w:rsidR="00EA6A7D" w:rsidRPr="00882F11">
        <w:rPr>
          <w:rFonts w:cs="Guttman Drogolin"/>
          <w:rtl/>
          <w:lang w:bidi="he-IL"/>
        </w:rPr>
        <w:t xml:space="preserve"> </w:t>
      </w:r>
      <w:r w:rsidR="00EA6A7D" w:rsidRPr="00882F11">
        <w:rPr>
          <w:rFonts w:cs="Guttman Drogolin" w:hint="cs"/>
          <w:rtl/>
          <w:lang w:bidi="he-IL"/>
        </w:rPr>
        <w:t>אינו</w:t>
      </w:r>
      <w:r w:rsidR="00EA6A7D" w:rsidRPr="00882F11">
        <w:rPr>
          <w:rFonts w:cs="Guttman Drogolin"/>
          <w:rtl/>
          <w:lang w:bidi="he-IL"/>
        </w:rPr>
        <w:t xml:space="preserve"> </w:t>
      </w:r>
      <w:r w:rsidR="00EA6A7D" w:rsidRPr="00882F11">
        <w:rPr>
          <w:rFonts w:cs="Guttman Drogolin" w:hint="cs"/>
          <w:rtl/>
          <w:lang w:bidi="he-IL"/>
        </w:rPr>
        <w:t>אסור</w:t>
      </w:r>
      <w:r w:rsidR="00EA6A7D" w:rsidRPr="00882F11">
        <w:rPr>
          <w:rFonts w:cs="Guttman Drogolin"/>
          <w:rtl/>
          <w:lang w:bidi="he-IL"/>
        </w:rPr>
        <w:t xml:space="preserve"> </w:t>
      </w:r>
      <w:r w:rsidR="00EA6A7D" w:rsidRPr="00882F11">
        <w:rPr>
          <w:rFonts w:cs="Guttman Drogolin" w:hint="cs"/>
          <w:rtl/>
          <w:lang w:bidi="he-IL"/>
        </w:rPr>
        <w:t>באכילה</w:t>
      </w:r>
      <w:r w:rsidR="00EA6A7D" w:rsidRPr="00882F11">
        <w:rPr>
          <w:rFonts w:cs="Guttman Drogolin"/>
          <w:rtl/>
          <w:lang w:bidi="he-IL"/>
        </w:rPr>
        <w:t xml:space="preserve"> </w:t>
      </w:r>
      <w:r w:rsidR="00EA6A7D" w:rsidRPr="00882F11">
        <w:rPr>
          <w:rFonts w:cs="Guttman Drogolin" w:hint="cs"/>
          <w:rtl/>
          <w:lang w:bidi="he-IL"/>
        </w:rPr>
        <w:t>מן</w:t>
      </w:r>
      <w:r w:rsidR="00EA6A7D" w:rsidRPr="00882F11">
        <w:rPr>
          <w:rFonts w:cs="Guttman Drogolin"/>
          <w:rtl/>
          <w:lang w:bidi="he-IL"/>
        </w:rPr>
        <w:t xml:space="preserve"> </w:t>
      </w:r>
      <w:r w:rsidR="00EA6A7D" w:rsidRPr="00882F11">
        <w:rPr>
          <w:rFonts w:cs="Guttman Drogolin" w:hint="cs"/>
          <w:rtl/>
          <w:lang w:bidi="he-IL"/>
        </w:rPr>
        <w:t>התורה</w:t>
      </w:r>
      <w:r w:rsidR="00EA6A7D" w:rsidRPr="00882F11">
        <w:rPr>
          <w:rFonts w:cs="Guttman Drogolin"/>
          <w:rtl/>
          <w:lang w:bidi="he-IL"/>
        </w:rPr>
        <w:t xml:space="preserve"> </w:t>
      </w:r>
      <w:r w:rsidR="00EA6A7D" w:rsidRPr="00882F11">
        <w:rPr>
          <w:rFonts w:cs="Guttman Drogolin" w:hint="cs"/>
          <w:rtl/>
          <w:lang w:bidi="he-IL"/>
        </w:rPr>
        <w:t>לפיכך</w:t>
      </w:r>
      <w:r w:rsidR="00EA6A7D" w:rsidRPr="00882F11">
        <w:rPr>
          <w:rFonts w:cs="Guttman Drogolin"/>
          <w:rtl/>
          <w:lang w:bidi="he-IL"/>
        </w:rPr>
        <w:t xml:space="preserve"> </w:t>
      </w:r>
      <w:r w:rsidR="00EA6A7D" w:rsidRPr="00882F11">
        <w:rPr>
          <w:rFonts w:cs="Guttman Drogolin" w:hint="cs"/>
          <w:rtl/>
          <w:lang w:bidi="he-IL"/>
        </w:rPr>
        <w:t>מותר</w:t>
      </w:r>
      <w:r w:rsidR="00EA6A7D" w:rsidRPr="00882F11">
        <w:rPr>
          <w:rFonts w:cs="Guttman Drogolin"/>
          <w:rtl/>
          <w:lang w:bidi="he-IL"/>
        </w:rPr>
        <w:t xml:space="preserve"> </w:t>
      </w:r>
      <w:r w:rsidR="00EA6A7D" w:rsidRPr="00882F11">
        <w:rPr>
          <w:rFonts w:cs="Guttman Drogolin" w:hint="cs"/>
          <w:rtl/>
          <w:lang w:bidi="he-IL"/>
        </w:rPr>
        <w:t>לבשלו</w:t>
      </w:r>
      <w:r w:rsidR="00EA6A7D" w:rsidRPr="00882F11">
        <w:rPr>
          <w:rFonts w:cs="Guttman Drogolin"/>
          <w:rtl/>
          <w:lang w:bidi="he-IL"/>
        </w:rPr>
        <w:t xml:space="preserve"> </w:t>
      </w:r>
      <w:r w:rsidR="00EA6A7D" w:rsidRPr="00882F11">
        <w:rPr>
          <w:rFonts w:cs="Guttman Drogolin" w:hint="cs"/>
          <w:rtl/>
          <w:lang w:bidi="he-IL"/>
        </w:rPr>
        <w:t>ומותר</w:t>
      </w:r>
      <w:r w:rsidR="00EA6A7D" w:rsidRPr="00882F11">
        <w:rPr>
          <w:rFonts w:cs="Guttman Drogolin"/>
          <w:rtl/>
          <w:lang w:bidi="he-IL"/>
        </w:rPr>
        <w:t xml:space="preserve"> </w:t>
      </w:r>
      <w:r w:rsidR="00EA6A7D" w:rsidRPr="00882F11">
        <w:rPr>
          <w:rFonts w:cs="Guttman Drogolin" w:hint="cs"/>
          <w:rtl/>
          <w:lang w:bidi="he-IL"/>
        </w:rPr>
        <w:t xml:space="preserve">בהנייה". והרה"מ על אתר כתב שמקורו של הרמב"ם ממתני' שבדף קי"ג ע"א שמבואר מיני' שאין איסור בישול או הנאה מחלב טמאה עם בשר טהורה או להיפך, ולמד מזה הרמב"ן דהה"נ בבשר חי' ועוף שאינם אסורים אלא מדרבנן. וכן משמע מלשון הרמב"ם שכתב 'וכן', דמשמע שהוא דוגמא של ההלכה דלעיל מיני', ולעיל מיני' בה"ג כתב הרמב"ם הדין שמותר לבשל וליהנות </w:t>
      </w:r>
      <w:r w:rsidR="00EA6A7D" w:rsidRPr="00882F11">
        <w:rPr>
          <w:rFonts w:cs="Guttman Drogolin" w:hint="cs"/>
          <w:rtl/>
          <w:lang w:bidi="he-IL"/>
        </w:rPr>
        <w:lastRenderedPageBreak/>
        <w:t>מבשר טמאה עם חלב טמא או להיפך. ואע"ג שיש חילוק ביניהם, שבשר עוף בחלב אסור מדרבנן מיהת, ולכן י"ל שהוא אסור גם בבישול והנאה, ואילו בשר בהמה עם חלב טהור או ההיפך יש צד גדול לומר שלא אסרו באכילה כלל כיון שלא הי' צורך</w:t>
      </w:r>
      <w:r w:rsidR="004427F3" w:rsidRPr="00882F11">
        <w:rPr>
          <w:rFonts w:cs="Guttman Drogolin" w:hint="cs"/>
          <w:rtl/>
          <w:lang w:bidi="he-IL"/>
        </w:rPr>
        <w:t>, ולכן לא אסור כם בבישול והנאה, ע"כ הרמב"ם לא סבר לחלק בזה כיון שסוף כל סוף יש נפק"מ גם בטמאה עם הטהורה לענין בישול והנאה שהרי</w:t>
      </w:r>
      <w:r w:rsidR="00EA6A7D" w:rsidRPr="00882F11">
        <w:rPr>
          <w:rFonts w:cs="Guttman Drogolin" w:hint="cs"/>
          <w:rtl/>
          <w:lang w:bidi="he-IL"/>
        </w:rPr>
        <w:t xml:space="preserve"> </w:t>
      </w:r>
      <w:r w:rsidR="004427F3" w:rsidRPr="00882F11">
        <w:rPr>
          <w:rFonts w:cs="Guttman Drogolin" w:hint="cs"/>
          <w:rtl/>
          <w:lang w:bidi="he-IL"/>
        </w:rPr>
        <w:t>בשר בהמה טמאה בלי חלב אינה אסורה בבישול והנאה.</w:t>
      </w:r>
      <w:r w:rsidR="00795C3A" w:rsidRPr="00882F11">
        <w:rPr>
          <w:rFonts w:cs="Guttman Drogolin" w:hint="cs"/>
          <w:rtl/>
          <w:lang w:bidi="he-IL"/>
        </w:rPr>
        <w:t xml:space="preserve"> ושם בהרה"מ כתב דאע"ג שלשון המתני' </w:t>
      </w:r>
      <w:r w:rsidR="00795C3A" w:rsidRPr="00882F11">
        <w:rPr>
          <w:rFonts w:cs="Guttman Drogolin"/>
          <w:rtl/>
          <w:lang w:bidi="he-IL"/>
        </w:rPr>
        <w:t>'</w:t>
      </w:r>
      <w:r w:rsidR="00795C3A" w:rsidRPr="00882F11">
        <w:rPr>
          <w:rFonts w:cs="Guttman Drogolin" w:hint="cs"/>
          <w:rtl/>
          <w:lang w:bidi="he-IL"/>
        </w:rPr>
        <w:t>כל</w:t>
      </w:r>
      <w:r w:rsidR="00795C3A" w:rsidRPr="00882F11">
        <w:rPr>
          <w:rFonts w:cs="Guttman Drogolin"/>
          <w:rtl/>
          <w:lang w:bidi="he-IL"/>
        </w:rPr>
        <w:t xml:space="preserve"> </w:t>
      </w:r>
      <w:r w:rsidR="00795C3A" w:rsidRPr="00882F11">
        <w:rPr>
          <w:rFonts w:cs="Guttman Drogolin" w:hint="cs"/>
          <w:rtl/>
          <w:lang w:bidi="he-IL"/>
        </w:rPr>
        <w:t>הבשר</w:t>
      </w:r>
      <w:r w:rsidR="00795C3A" w:rsidRPr="00882F11">
        <w:rPr>
          <w:rFonts w:cs="Guttman Drogolin"/>
          <w:rtl/>
          <w:lang w:bidi="he-IL"/>
        </w:rPr>
        <w:t xml:space="preserve"> </w:t>
      </w:r>
      <w:r w:rsidR="00795C3A" w:rsidRPr="00882F11">
        <w:rPr>
          <w:rFonts w:cs="Guttman Drogolin" w:hint="cs"/>
          <w:rtl/>
          <w:lang w:bidi="he-IL"/>
        </w:rPr>
        <w:t>אסור</w:t>
      </w:r>
      <w:r w:rsidR="00795C3A" w:rsidRPr="00882F11">
        <w:rPr>
          <w:rFonts w:cs="Guttman Drogolin"/>
          <w:rtl/>
          <w:lang w:bidi="he-IL"/>
        </w:rPr>
        <w:t xml:space="preserve"> </w:t>
      </w:r>
      <w:r w:rsidR="00795C3A" w:rsidRPr="00882F11">
        <w:rPr>
          <w:rFonts w:cs="Guttman Drogolin" w:hint="cs"/>
          <w:rtl/>
          <w:lang w:bidi="he-IL"/>
        </w:rPr>
        <w:t>לבשל</w:t>
      </w:r>
      <w:r w:rsidR="00795C3A" w:rsidRPr="00882F11">
        <w:rPr>
          <w:rFonts w:cs="Guttman Drogolin"/>
          <w:rtl/>
          <w:lang w:bidi="he-IL"/>
        </w:rPr>
        <w:t xml:space="preserve"> </w:t>
      </w:r>
      <w:r w:rsidR="00795C3A" w:rsidRPr="00882F11">
        <w:rPr>
          <w:rFonts w:cs="Guttman Drogolin" w:hint="cs"/>
          <w:rtl/>
          <w:lang w:bidi="he-IL"/>
        </w:rPr>
        <w:t>בחלב</w:t>
      </w:r>
      <w:r w:rsidR="00795C3A" w:rsidRPr="00882F11">
        <w:rPr>
          <w:rFonts w:cs="Guttman Drogolin"/>
          <w:rtl/>
          <w:lang w:bidi="he-IL"/>
        </w:rPr>
        <w:t>'</w:t>
      </w:r>
      <w:r w:rsidR="00795C3A" w:rsidRPr="00882F11">
        <w:rPr>
          <w:rFonts w:cs="Guttman Drogolin" w:hint="cs"/>
          <w:rtl/>
          <w:lang w:bidi="he-IL"/>
        </w:rPr>
        <w:t>, לאו דוקא שאסור לבשל רק לישנא דקרא נקט ולעולם אין כוונת המתני' לאסור אלא אכילה בעוף וחי'. ואני אוסיף קצת תבלין לדבריו, שאין הכוונה שהמתני' לא אסרה בישול כלל, דהא בהמה טהורה עם חלב אסור בבישול מדאורייתא, רק איסור בישול לא שייך לזה שא</w:t>
      </w:r>
      <w:r w:rsidR="00FF7544" w:rsidRPr="00882F11">
        <w:rPr>
          <w:rFonts w:cs="Guttman Drogolin" w:hint="cs"/>
          <w:rtl/>
          <w:lang w:bidi="he-IL"/>
        </w:rPr>
        <w:t>ו</w:t>
      </w:r>
      <w:r w:rsidR="00795C3A" w:rsidRPr="00882F11">
        <w:rPr>
          <w:rFonts w:cs="Guttman Drogolin" w:hint="cs"/>
          <w:rtl/>
          <w:lang w:bidi="he-IL"/>
        </w:rPr>
        <w:t>סרים את 'כל' הבשר, ולכן בזה י"ל דכיון שיש איסור בישול בבשר בהמה, וכן בכלל ההלשון של בישול יש איסור אכילה ששייך לכל הבשרים, לא איכפת לן בזה שאין איסור בישול בעוף וחי'</w:t>
      </w:r>
      <w:r w:rsidR="00FF7544" w:rsidRPr="00882F11">
        <w:rPr>
          <w:rStyle w:val="FootnoteReference"/>
          <w:rFonts w:cs="Guttman Drogolin"/>
          <w:rtl/>
          <w:lang w:bidi="he-IL"/>
        </w:rPr>
        <w:footnoteReference w:id="164"/>
      </w:r>
      <w:r w:rsidR="00795C3A" w:rsidRPr="00882F11">
        <w:rPr>
          <w:rFonts w:cs="Guttman Drogolin" w:hint="cs"/>
          <w:rtl/>
          <w:lang w:bidi="he-IL"/>
        </w:rPr>
        <w:t xml:space="preserve">. </w:t>
      </w:r>
    </w:p>
    <w:p w:rsidR="003C48D8" w:rsidRPr="00882F11" w:rsidRDefault="00B3773C" w:rsidP="007108D9">
      <w:pPr>
        <w:bidi/>
        <w:jc w:val="both"/>
        <w:rPr>
          <w:rFonts w:cs="Guttman Drogolin"/>
          <w:rtl/>
          <w:lang w:bidi="he-IL"/>
        </w:rPr>
      </w:pPr>
      <w:r w:rsidRPr="00882F11">
        <w:rPr>
          <w:rFonts w:cs="Guttman Drogolin" w:hint="cs"/>
          <w:rtl/>
          <w:lang w:bidi="he-IL"/>
        </w:rPr>
        <w:t>ובטעם לחלק בין איסור בישול לאיסור אכילה כתב הרה"מ משום שאכילת בשר מצוי. ו</w:t>
      </w:r>
      <w:r w:rsidR="007108D9" w:rsidRPr="00882F11">
        <w:rPr>
          <w:rFonts w:cs="Guttman Drogolin" w:hint="cs"/>
          <w:rtl/>
          <w:lang w:bidi="he-IL"/>
        </w:rPr>
        <w:t xml:space="preserve">לכאורה צ"ע שהרי אי אפשר לאכול בב"ח אא"כ מבשלו תחילה, וא"כ למה אכילה יותר מצוי. וראיתי בשם </w:t>
      </w:r>
      <w:r w:rsidRPr="00882F11">
        <w:rPr>
          <w:rFonts w:cs="Guttman Drogolin" w:hint="cs"/>
          <w:rtl/>
          <w:lang w:bidi="he-IL"/>
        </w:rPr>
        <w:t xml:space="preserve">יד יהודה </w:t>
      </w:r>
      <w:r w:rsidR="007108D9" w:rsidRPr="00882F11">
        <w:rPr>
          <w:rFonts w:cs="Guttman Drogolin" w:hint="cs"/>
          <w:rtl/>
          <w:lang w:bidi="he-IL"/>
        </w:rPr>
        <w:t xml:space="preserve">(סי' פ"ז ס"ק ד') שכוונת הרה"מ שאחרי שאסור את אכילת הבשר הבישול כבר לא שכיח, ומילתא דלא שכיחא לא גזרו בו רבנן. </w:t>
      </w:r>
      <w:r w:rsidR="003C48D8" w:rsidRPr="00882F11">
        <w:rPr>
          <w:rFonts w:cs="Guttman Drogolin" w:hint="cs"/>
          <w:rtl/>
          <w:lang w:bidi="he-IL"/>
        </w:rPr>
        <w:t>ולולא דבריו הי' נלעוק"ד לפרש באופן אחר, והוא שאע"פ שצריכים גם לבשל, מ"מ אכ</w:t>
      </w:r>
      <w:r w:rsidR="008F23C0" w:rsidRPr="00882F11">
        <w:rPr>
          <w:rFonts w:cs="Guttman Drogolin" w:hint="cs"/>
          <w:rtl/>
          <w:lang w:bidi="he-IL"/>
        </w:rPr>
        <w:t>י</w:t>
      </w:r>
      <w:r w:rsidR="003C48D8" w:rsidRPr="00882F11">
        <w:rPr>
          <w:rFonts w:cs="Guttman Drogolin" w:hint="cs"/>
          <w:rtl/>
          <w:lang w:bidi="he-IL"/>
        </w:rPr>
        <w:t>לה כולם עושים, ואילו בישול רק הטבחים עושים, וטבח א' מבשל לכמה אוכלים, וכיון שאסור הדבר המצוי כבר לא הי' צורך לאסור הבישול וההנאה.</w:t>
      </w:r>
    </w:p>
    <w:p w:rsidR="003C48D8" w:rsidRPr="00882F11" w:rsidRDefault="003C48D8" w:rsidP="003C48D8">
      <w:pPr>
        <w:bidi/>
        <w:jc w:val="both"/>
        <w:rPr>
          <w:rFonts w:cs="Guttman Drogolin"/>
          <w:rtl/>
          <w:lang w:bidi="he-IL"/>
        </w:rPr>
      </w:pPr>
      <w:r w:rsidRPr="00882F11">
        <w:rPr>
          <w:rFonts w:cs="Guttman Drogolin" w:hint="cs"/>
          <w:rtl/>
          <w:lang w:bidi="he-IL"/>
        </w:rPr>
        <w:t>ועכ"פ לפי דברי הרמב"ם העיר הראש יוסף שיש לנו ישוב נכון למה דייקה הגמ' דסבר המתני' שבשר עוף בחלב דאורייתא</w:t>
      </w:r>
      <w:r w:rsidR="00832DD8" w:rsidRPr="00882F11">
        <w:rPr>
          <w:rFonts w:cs="Guttman Drogolin" w:hint="cs"/>
          <w:rtl/>
          <w:lang w:bidi="he-IL"/>
        </w:rPr>
        <w:t xml:space="preserve">, ומשום שפשטות לשון המתני' לאסור גם בישול, ואיסור בישול הרי ליכא אם בשר עוף בחלב אינו מדאורייתא. וכוונת </w:t>
      </w:r>
      <w:r w:rsidR="00832DD8" w:rsidRPr="00882F11">
        <w:rPr>
          <w:rFonts w:cs="Guttman Drogolin" w:hint="cs"/>
          <w:rtl/>
          <w:lang w:bidi="he-IL"/>
        </w:rPr>
        <w:lastRenderedPageBreak/>
        <w:t>ר' אשי לומר שאין זה נכון, וגם בעוף יש איסור בישול מדרבנן, ושיטת הרמב"ם יהי' אליבא דביאור ר' יוסף דסבר שמתני' מדאורייתא קאמר, ובזה כיון שפסק כר"ע סבר שאין איסור בישול בבשר עוף בחלב אפילו מדרבנן. וע' גם בשו"ת בית הלוי ח"ב ססי'</w:t>
      </w:r>
      <w:r w:rsidR="00F51F91" w:rsidRPr="00882F11">
        <w:rPr>
          <w:rFonts w:cs="Guttman Drogolin" w:hint="cs"/>
          <w:rtl/>
          <w:lang w:bidi="he-IL"/>
        </w:rPr>
        <w:t xml:space="preserve"> י'</w:t>
      </w:r>
      <w:r w:rsidR="00832DD8" w:rsidRPr="00882F11">
        <w:rPr>
          <w:rFonts w:cs="Guttman Drogolin" w:hint="cs"/>
          <w:rtl/>
          <w:lang w:bidi="he-IL"/>
        </w:rPr>
        <w:t xml:space="preserve"> מש"כ לבאר לשיטת הרמב"ם באופן אחר.</w:t>
      </w:r>
    </w:p>
    <w:p w:rsidR="003B6FB7" w:rsidRPr="00882F11" w:rsidRDefault="003C48D8" w:rsidP="003B6FB7">
      <w:pPr>
        <w:bidi/>
        <w:jc w:val="both"/>
        <w:rPr>
          <w:rFonts w:cs="Guttman Drogolin"/>
          <w:rtl/>
          <w:lang w:bidi="he-IL"/>
        </w:rPr>
      </w:pPr>
      <w:r w:rsidRPr="00882F11">
        <w:rPr>
          <w:rFonts w:cs="Guttman Drogolin" w:hint="cs"/>
          <w:rtl/>
          <w:lang w:bidi="he-IL"/>
        </w:rPr>
        <w:t>והנה ביש"ש (ססי' ק') חלק על דברי הרמב"ם, דהא כל דתקון רבנן כעין דאורייתא תקון. וראיתי מאחרוני זמנינו שרצו לומר שמכמה ראשונים ג"כ מבואר דלא כרמב"ם, שהרי הרשב"א פי' לשון המתני' שאסור לבשל ולאכול קאמר, והריטב"א פי'</w:t>
      </w:r>
      <w:r w:rsidR="00832DD8" w:rsidRPr="00882F11">
        <w:rPr>
          <w:rFonts w:cs="Guttman Drogolin" w:hint="cs"/>
          <w:rtl/>
          <w:lang w:bidi="he-IL"/>
        </w:rPr>
        <w:t xml:space="preserve"> שאסור לבשל נקט להשמיענו שיש איסור בישול אפילו אם אינו אוכל לבסוף. </w:t>
      </w:r>
      <w:r w:rsidR="00F51F91" w:rsidRPr="00882F11">
        <w:rPr>
          <w:rFonts w:cs="Guttman Drogolin" w:hint="cs"/>
          <w:rtl/>
          <w:lang w:bidi="he-IL"/>
        </w:rPr>
        <w:t>וכן רש"י ותוס' הרי בחרו דרך אחר לבאר למה קס"ד שבשר עוף בחלב לאו דאורייתא, ולא ביאר כנ"ל בדעת הרמב"ם. וא"כ לכאורה יש פלא בזה שהפוסקים לא חשו לשארי הראשונים והתירו בישול עוף בחלב. אמנם לכאורה לא מצאנו מי שאוסר בהדיא בישול עוף בחלב (חוץ מרש"ל) ולענין מש"כ שארי הראשונים בביאור לשון המתני', י"ל דמודו שאין איסור בישול בעוף הכלול בלשון 'כל', רק שביארו המתני' לפי האיסור של בשר בהמה שבמתני'</w:t>
      </w:r>
      <w:r w:rsidR="003B6FB7" w:rsidRPr="00882F11">
        <w:rPr>
          <w:rFonts w:cs="Guttman Drogolin" w:hint="cs"/>
          <w:rtl/>
          <w:lang w:bidi="he-IL"/>
        </w:rPr>
        <w:t>, ועל דרך מה שביארנו בדעת הרמב"ם לעיל. ולענין מש"כ רש"י ותוס' ולא נחתו להנ"ל מראש יוסף, י"ל דלא משמע להו שיש מחלוקת בין ר' יוסף לר' אשי באיסור בישול באיסורי בב"ח מדרבנן.</w:t>
      </w:r>
    </w:p>
    <w:p w:rsidR="003B6FB7" w:rsidRPr="00882F11" w:rsidRDefault="003B6FB7" w:rsidP="0078079C">
      <w:pPr>
        <w:pStyle w:val="Heading1"/>
        <w:bidi/>
        <w:spacing w:before="0" w:line="360" w:lineRule="auto"/>
        <w:jc w:val="center"/>
        <w:rPr>
          <w:rFonts w:cs="Guttman Drogolin"/>
          <w:color w:val="auto"/>
          <w:sz w:val="24"/>
          <w:szCs w:val="24"/>
          <w:u w:val="single"/>
          <w:rtl/>
          <w:lang w:bidi="he-IL"/>
        </w:rPr>
      </w:pPr>
      <w:bookmarkStart w:id="151" w:name="_Toc496175408"/>
      <w:r w:rsidRPr="00882F11">
        <w:rPr>
          <w:rFonts w:cs="Guttman Drogolin" w:hint="cs"/>
          <w:color w:val="auto"/>
          <w:sz w:val="24"/>
          <w:szCs w:val="24"/>
          <w:u w:val="single"/>
          <w:rtl/>
          <w:lang w:bidi="he-IL"/>
        </w:rPr>
        <w:t>בביאור איסור העלאה</w:t>
      </w:r>
      <w:bookmarkEnd w:id="151"/>
    </w:p>
    <w:p w:rsidR="008911CD" w:rsidRPr="00882F11" w:rsidRDefault="003B12CE" w:rsidP="008E7C01">
      <w:pPr>
        <w:bidi/>
        <w:jc w:val="both"/>
        <w:rPr>
          <w:rFonts w:cs="Guttman Drogolin"/>
          <w:rtl/>
          <w:lang w:bidi="he-IL"/>
        </w:rPr>
      </w:pPr>
      <w:r>
        <w:rPr>
          <w:rFonts w:cs="Guttman Drogolin"/>
          <w:rtl/>
          <w:lang w:bidi="he-IL"/>
        </w:rPr>
        <w:fldChar w:fldCharType="begin"/>
      </w:r>
      <w:r>
        <w:instrText xml:space="preserve"> XE "</w:instrText>
      </w:r>
      <w:r w:rsidRPr="00EA445B">
        <w:rPr>
          <w:rFonts w:hint="cs"/>
          <w:rtl/>
          <w:lang w:bidi="he-IL"/>
        </w:rPr>
        <w:instrText>בשר בחלב - איסור העלאה על שולחן א'</w:instrText>
      </w:r>
      <w:r w:rsidRPr="00EA445B">
        <w:rPr>
          <w:rtl/>
        </w:rPr>
        <w:instrText>:</w:instrText>
      </w:r>
      <w:r w:rsidRPr="00EA445B">
        <w:rPr>
          <w:rFonts w:hint="cs"/>
          <w:rtl/>
          <w:lang w:bidi="he-IL"/>
        </w:rPr>
        <w:instrText>סוגיית הגמ'</w:instrText>
      </w:r>
      <w:r>
        <w:instrText xml:space="preserve">" </w:instrText>
      </w:r>
      <w:r>
        <w:rPr>
          <w:rFonts w:cs="Guttman Drogolin"/>
          <w:rtl/>
          <w:lang w:bidi="he-IL"/>
        </w:rPr>
        <w:fldChar w:fldCharType="end"/>
      </w:r>
      <w:r w:rsidR="003B6FB7" w:rsidRPr="00882F11">
        <w:rPr>
          <w:rFonts w:cs="Guttman Drogolin" w:hint="cs"/>
          <w:rtl/>
          <w:lang w:bidi="he-IL"/>
        </w:rPr>
        <w:t xml:space="preserve">עוד מבואר במתני' שאסור להעלות בשר וגבינה על השולחן, וגם בזה מבואר שהאיסור קיים גם אבשר עוף וחי'. </w:t>
      </w:r>
      <w:r w:rsidR="008E7C01" w:rsidRPr="00882F11">
        <w:rPr>
          <w:rFonts w:cs="Guttman Drogolin" w:hint="cs"/>
          <w:rtl/>
          <w:lang w:bidi="he-IL"/>
        </w:rPr>
        <w:t xml:space="preserve">ומעיקרא סברה הגמ' שזהו ראי' שבשר עוף בחלב אסור מדאורייתא, דאל"כ אינו אלא גזרה לגזרה דלא גזרינן וכדחזינן בחלת חו"ל שלא גזרו גזרה לגזרה. אבל הגמ' דוחה שאין הנידון דומה לראי', שהדין של חלת חו"ל מיירי בחו"ל, ושם אי אפשר לבא לידי מכשול של חלה דאורייתא. אבל הכא דומה לחלת חו"ל בא"י, ובזה </w:t>
      </w:r>
      <w:r w:rsidR="008E7C01" w:rsidRPr="00882F11">
        <w:rPr>
          <w:rFonts w:cs="Guttman Drogolin" w:hint="cs"/>
          <w:rtl/>
          <w:lang w:bidi="he-IL"/>
        </w:rPr>
        <w:lastRenderedPageBreak/>
        <w:t>שפיר י"ל דגזרינן חלת חו"ל כאן אטו חלת א"</w:t>
      </w:r>
      <w:r w:rsidR="00C37B34" w:rsidRPr="00882F11">
        <w:rPr>
          <w:rFonts w:cs="Guttman Drogolin" w:hint="cs"/>
          <w:rtl/>
          <w:lang w:bidi="he-IL"/>
        </w:rPr>
        <w:t>י כאן, ומיני' גם ב</w:t>
      </w:r>
      <w:r w:rsidR="008E7C01" w:rsidRPr="00882F11">
        <w:rPr>
          <w:rFonts w:cs="Guttman Drogolin" w:hint="cs"/>
          <w:rtl/>
          <w:lang w:bidi="he-IL"/>
        </w:rPr>
        <w:t xml:space="preserve">בשר עוף בחלב אפשר למיגזר </w:t>
      </w:r>
      <w:r w:rsidR="00AF0BA3" w:rsidRPr="00882F11">
        <w:rPr>
          <w:rFonts w:cs="Guttman Drogolin" w:hint="cs"/>
          <w:rtl/>
          <w:lang w:bidi="he-IL"/>
        </w:rPr>
        <w:t>אטו בשר בקר בחלב</w:t>
      </w:r>
      <w:r w:rsidR="001C6787" w:rsidRPr="00882F11">
        <w:rPr>
          <w:rStyle w:val="FootnoteReference"/>
          <w:rFonts w:cs="Guttman Drogolin"/>
          <w:rtl/>
          <w:lang w:bidi="he-IL"/>
        </w:rPr>
        <w:footnoteReference w:id="165"/>
      </w:r>
      <w:r w:rsidR="00AF0BA3" w:rsidRPr="00882F11">
        <w:rPr>
          <w:rFonts w:cs="Guttman Drogolin" w:hint="cs"/>
          <w:rtl/>
          <w:lang w:bidi="he-IL"/>
        </w:rPr>
        <w:t xml:space="preserve">. והגמ' ממשיך דאדרבה למי שסובר דמוכח ממתני' שבשר עוף בחלב אסור מדאורייתא קשה דהא גם בשר עוף בחלב כה"ג אינו אסור מדאורייתא כיון שאינו אלא צונן בצונן. והגמ' מסיק דהוי חשש אטו מעלאת בשר וגבינה באילפס שהוא כלי ראשון. </w:t>
      </w:r>
      <w:r w:rsidR="005535A8" w:rsidRPr="00882F11">
        <w:rPr>
          <w:rFonts w:cs="Guttman Drogolin" w:hint="cs"/>
          <w:rtl/>
          <w:lang w:bidi="he-IL"/>
        </w:rPr>
        <w:t>ויוצא שנחלקו ר</w:t>
      </w:r>
      <w:r w:rsidR="008911CD" w:rsidRPr="00882F11">
        <w:rPr>
          <w:rFonts w:cs="Guttman Drogolin" w:hint="cs"/>
          <w:rtl/>
          <w:lang w:bidi="he-IL"/>
        </w:rPr>
        <w:t xml:space="preserve">' יוסף ואביי אם העלאת עוף וחלב אטו אכילתה הוי גזרה לגזרה או לא. </w:t>
      </w:r>
    </w:p>
    <w:p w:rsidR="009D6DD4" w:rsidRPr="00882F11" w:rsidRDefault="008911CD" w:rsidP="005535A8">
      <w:pPr>
        <w:bidi/>
        <w:jc w:val="both"/>
        <w:rPr>
          <w:rFonts w:cs="Guttman Drogolin"/>
          <w:rtl/>
          <w:lang w:bidi="he-IL"/>
        </w:rPr>
      </w:pPr>
      <w:r w:rsidRPr="00882F11">
        <w:rPr>
          <w:rFonts w:cs="Guttman Drogolin" w:hint="cs"/>
          <w:rtl/>
          <w:lang w:bidi="he-IL"/>
        </w:rPr>
        <w:t>והנה עכ"פ בהו"א של הגמ' הגזרה היתה העלאה אטו אכילה. ולכאורה צ"ע דכיון שאין איסור אכילת בב"ח מדאורייתא אא"כ נתבשלו, למה צריכים להגיע לאיסור אכילה ולא גזרו אטו איסור בישול שג"כ אסור מדאורייתא, שלכאורה גזרה בישול היא גזרה קרובה יות</w:t>
      </w:r>
      <w:r w:rsidR="005535A8" w:rsidRPr="00882F11">
        <w:rPr>
          <w:rFonts w:cs="Guttman Drogolin" w:hint="cs"/>
          <w:rtl/>
          <w:lang w:bidi="he-IL"/>
        </w:rPr>
        <w:t>ר</w:t>
      </w:r>
      <w:r w:rsidRPr="00882F11">
        <w:rPr>
          <w:rFonts w:cs="Guttman Drogolin" w:hint="cs"/>
          <w:rtl/>
          <w:lang w:bidi="he-IL"/>
        </w:rPr>
        <w:t xml:space="preserve"> מאיסור אכילה. ואולי הי' אפשר לומר דאה"נ ולמסקנא הגזרה הוי אטו בישול ולא אטו אכילה, וכן נקט במהר"ם שי"ף בריש פירקין, אבל בלב ארי' העיר שהגמ' לא אמר 'אלא' הוי גזרה אטו העלאה באילפס ראשון, ולכן נראה שאפילו למסקנא הוי גזרה אטו אכילה, והעיר שבזה מובן גם </w:t>
      </w:r>
      <w:r w:rsidR="001926BA" w:rsidRPr="00882F11">
        <w:rPr>
          <w:rFonts w:cs="Guttman Drogolin" w:hint="cs"/>
          <w:rtl/>
          <w:lang w:bidi="he-IL"/>
        </w:rPr>
        <w:t xml:space="preserve">לשון הרמב"ם והשו"ע דג"כ כתבו דהוי גזירת אכילה. אבל עדיין קשה למה באמת לא גזרו אטו בישול. וכן אפילו לדבריהם קשה דמעיקרא נמי למה לא נקטו שהוי גזרה אטו בישול. ואולי </w:t>
      </w:r>
      <w:r w:rsidR="009D6DD4" w:rsidRPr="00882F11">
        <w:rPr>
          <w:rFonts w:cs="Guttman Drogolin" w:hint="cs"/>
          <w:rtl/>
          <w:lang w:bidi="he-IL"/>
        </w:rPr>
        <w:t>בהו"א חשבו דהוי איסור אטו אכילת צונן בצונן עד שמקשה על זה. אבל שאר הקושיות עדיין צ"ע.</w:t>
      </w:r>
    </w:p>
    <w:p w:rsidR="00311E9B" w:rsidRPr="00882F11" w:rsidRDefault="009D6DD4" w:rsidP="00E33DA3">
      <w:pPr>
        <w:bidi/>
        <w:jc w:val="both"/>
        <w:rPr>
          <w:rFonts w:cs="Guttman Drogolin"/>
          <w:rtl/>
          <w:lang w:bidi="he-IL"/>
        </w:rPr>
      </w:pPr>
      <w:r w:rsidRPr="00882F11">
        <w:rPr>
          <w:rFonts w:cs="Guttman Drogolin" w:hint="cs"/>
          <w:rtl/>
          <w:lang w:bidi="he-IL"/>
        </w:rPr>
        <w:t>ובעיקר החשש ע' ברש"י המתני' שפי' "ואסור</w:t>
      </w:r>
      <w:r w:rsidRPr="00882F11">
        <w:rPr>
          <w:rFonts w:cs="Guttman Drogolin"/>
          <w:rtl/>
          <w:lang w:bidi="he-IL"/>
        </w:rPr>
        <w:t xml:space="preserve"> </w:t>
      </w:r>
      <w:r w:rsidRPr="00882F11">
        <w:rPr>
          <w:rFonts w:cs="Guttman Drogolin" w:hint="cs"/>
          <w:rtl/>
          <w:lang w:bidi="he-IL"/>
        </w:rPr>
        <w:t>להעלות</w:t>
      </w:r>
      <w:r w:rsidRPr="00882F11">
        <w:rPr>
          <w:rFonts w:cs="Guttman Drogolin"/>
          <w:rtl/>
          <w:lang w:bidi="he-IL"/>
        </w:rPr>
        <w:t xml:space="preserve"> </w:t>
      </w:r>
      <w:r w:rsidRPr="00882F11">
        <w:rPr>
          <w:rFonts w:cs="Guttman Drogolin" w:hint="cs"/>
          <w:rtl/>
          <w:lang w:bidi="he-IL"/>
        </w:rPr>
        <w:t>דילמא</w:t>
      </w:r>
      <w:r w:rsidRPr="00882F11">
        <w:rPr>
          <w:rFonts w:cs="Guttman Drogolin"/>
          <w:rtl/>
          <w:lang w:bidi="he-IL"/>
        </w:rPr>
        <w:t xml:space="preserve"> </w:t>
      </w:r>
      <w:r w:rsidRPr="00882F11">
        <w:rPr>
          <w:rFonts w:cs="Guttman Drogolin" w:hint="cs"/>
          <w:rtl/>
          <w:lang w:bidi="he-IL"/>
        </w:rPr>
        <w:t>אתי</w:t>
      </w:r>
      <w:r w:rsidRPr="00882F11">
        <w:rPr>
          <w:rFonts w:cs="Guttman Drogolin"/>
          <w:rtl/>
          <w:lang w:bidi="he-IL"/>
        </w:rPr>
        <w:t xml:space="preserve"> </w:t>
      </w:r>
      <w:r w:rsidRPr="00882F11">
        <w:rPr>
          <w:rFonts w:cs="Guttman Drogolin" w:hint="cs"/>
          <w:rtl/>
          <w:lang w:bidi="he-IL"/>
        </w:rPr>
        <w:t>למיכלינהו</w:t>
      </w:r>
      <w:r w:rsidRPr="00882F11">
        <w:rPr>
          <w:rFonts w:cs="Guttman Drogolin"/>
          <w:rtl/>
          <w:lang w:bidi="he-IL"/>
        </w:rPr>
        <w:t xml:space="preserve"> </w:t>
      </w:r>
      <w:r w:rsidRPr="00882F11">
        <w:rPr>
          <w:rFonts w:cs="Guttman Drogolin" w:hint="cs"/>
          <w:rtl/>
          <w:lang w:bidi="he-IL"/>
        </w:rPr>
        <w:t>כי</w:t>
      </w:r>
      <w:r w:rsidRPr="00882F11">
        <w:rPr>
          <w:rFonts w:cs="Guttman Drogolin"/>
          <w:rtl/>
          <w:lang w:bidi="he-IL"/>
        </w:rPr>
        <w:t xml:space="preserve"> </w:t>
      </w:r>
      <w:r w:rsidRPr="00882F11">
        <w:rPr>
          <w:rFonts w:cs="Guttman Drogolin" w:hint="cs"/>
          <w:rtl/>
          <w:lang w:bidi="he-IL"/>
        </w:rPr>
        <w:t>הדדי</w:t>
      </w:r>
      <w:r w:rsidRPr="00882F11">
        <w:rPr>
          <w:rFonts w:cs="Guttman Drogolin"/>
          <w:rtl/>
          <w:lang w:bidi="he-IL"/>
        </w:rPr>
        <w:t xml:space="preserve"> </w:t>
      </w:r>
      <w:r w:rsidRPr="00882F11">
        <w:rPr>
          <w:rFonts w:cs="Guttman Drogolin" w:hint="cs"/>
          <w:rtl/>
          <w:lang w:bidi="he-IL"/>
        </w:rPr>
        <w:t>דקא</w:t>
      </w:r>
      <w:r w:rsidRPr="00882F11">
        <w:rPr>
          <w:rFonts w:cs="Guttman Drogolin"/>
          <w:rtl/>
          <w:lang w:bidi="he-IL"/>
        </w:rPr>
        <w:t xml:space="preserve"> </w:t>
      </w:r>
      <w:r w:rsidRPr="00882F11">
        <w:rPr>
          <w:rFonts w:cs="Guttman Drogolin" w:hint="cs"/>
          <w:rtl/>
          <w:lang w:bidi="he-IL"/>
        </w:rPr>
        <w:t>נגעי</w:t>
      </w:r>
      <w:r w:rsidRPr="00882F11">
        <w:rPr>
          <w:rFonts w:cs="Guttman Drogolin"/>
          <w:rtl/>
          <w:lang w:bidi="he-IL"/>
        </w:rPr>
        <w:t xml:space="preserve"> </w:t>
      </w:r>
      <w:r w:rsidRPr="00882F11">
        <w:rPr>
          <w:rFonts w:cs="Guttman Drogolin" w:hint="cs"/>
          <w:rtl/>
          <w:lang w:bidi="he-IL"/>
        </w:rPr>
        <w:t>ובלעי</w:t>
      </w:r>
      <w:r w:rsidRPr="00882F11">
        <w:rPr>
          <w:rFonts w:cs="Guttman Drogolin"/>
          <w:rtl/>
          <w:lang w:bidi="he-IL"/>
        </w:rPr>
        <w:t xml:space="preserve"> </w:t>
      </w:r>
      <w:r w:rsidRPr="00882F11">
        <w:rPr>
          <w:rFonts w:cs="Guttman Drogolin" w:hint="cs"/>
          <w:rtl/>
          <w:lang w:bidi="he-IL"/>
        </w:rPr>
        <w:t>מהדדי</w:t>
      </w:r>
      <w:r w:rsidRPr="00882F11">
        <w:rPr>
          <w:rFonts w:cs="Guttman Drogolin"/>
          <w:rtl/>
          <w:lang w:bidi="he-IL"/>
        </w:rPr>
        <w:t xml:space="preserve"> </w:t>
      </w:r>
      <w:r w:rsidRPr="00882F11">
        <w:rPr>
          <w:rFonts w:cs="Guttman Drogolin" w:hint="cs"/>
          <w:rtl/>
          <w:lang w:bidi="he-IL"/>
        </w:rPr>
        <w:t>ואע</w:t>
      </w:r>
      <w:r w:rsidR="00E33DA3" w:rsidRPr="00882F11">
        <w:rPr>
          <w:rFonts w:cs="Guttman Drogolin" w:hint="cs"/>
          <w:rtl/>
          <w:lang w:bidi="he-IL"/>
        </w:rPr>
        <w:t>"</w:t>
      </w:r>
      <w:r w:rsidRPr="00882F11">
        <w:rPr>
          <w:rFonts w:cs="Guttman Drogolin" w:hint="cs"/>
          <w:rtl/>
          <w:lang w:bidi="he-IL"/>
        </w:rPr>
        <w:t>ג</w:t>
      </w:r>
      <w:r w:rsidRPr="00882F11">
        <w:rPr>
          <w:rFonts w:cs="Guttman Drogolin"/>
          <w:rtl/>
          <w:lang w:bidi="he-IL"/>
        </w:rPr>
        <w:t xml:space="preserve"> </w:t>
      </w:r>
      <w:r w:rsidRPr="00882F11">
        <w:rPr>
          <w:rFonts w:cs="Guttman Drogolin" w:hint="cs"/>
          <w:rtl/>
          <w:lang w:bidi="he-IL"/>
        </w:rPr>
        <w:t>שמותר</w:t>
      </w:r>
      <w:r w:rsidRPr="00882F11">
        <w:rPr>
          <w:rFonts w:cs="Guttman Drogolin"/>
          <w:rtl/>
          <w:lang w:bidi="he-IL"/>
        </w:rPr>
        <w:t xml:space="preserve"> </w:t>
      </w:r>
      <w:r w:rsidRPr="00882F11">
        <w:rPr>
          <w:rFonts w:cs="Guttman Drogolin" w:hint="cs"/>
          <w:rtl/>
          <w:lang w:bidi="he-IL"/>
        </w:rPr>
        <w:t>לאכול</w:t>
      </w:r>
      <w:r w:rsidRPr="00882F11">
        <w:rPr>
          <w:rFonts w:cs="Guttman Drogolin"/>
          <w:rtl/>
          <w:lang w:bidi="he-IL"/>
        </w:rPr>
        <w:t xml:space="preserve"> </w:t>
      </w:r>
      <w:r w:rsidRPr="00882F11">
        <w:rPr>
          <w:rFonts w:cs="Guttman Drogolin" w:hint="cs"/>
          <w:rtl/>
          <w:lang w:bidi="he-IL"/>
        </w:rPr>
        <w:t>בשר</w:t>
      </w:r>
      <w:r w:rsidRPr="00882F11">
        <w:rPr>
          <w:rFonts w:cs="Guttman Drogolin"/>
          <w:rtl/>
          <w:lang w:bidi="he-IL"/>
        </w:rPr>
        <w:t xml:space="preserve"> </w:t>
      </w:r>
      <w:r w:rsidRPr="00882F11">
        <w:rPr>
          <w:rFonts w:cs="Guttman Drogolin" w:hint="cs"/>
          <w:rtl/>
          <w:lang w:bidi="he-IL"/>
        </w:rPr>
        <w:t>אחר</w:t>
      </w:r>
      <w:r w:rsidRPr="00882F11">
        <w:rPr>
          <w:rFonts w:cs="Guttman Drogolin"/>
          <w:rtl/>
          <w:lang w:bidi="he-IL"/>
        </w:rPr>
        <w:t xml:space="preserve"> </w:t>
      </w:r>
      <w:r w:rsidRPr="00882F11">
        <w:rPr>
          <w:rFonts w:cs="Guttman Drogolin" w:hint="cs"/>
          <w:rtl/>
          <w:lang w:bidi="he-IL"/>
        </w:rPr>
        <w:t>גבינה</w:t>
      </w:r>
      <w:r w:rsidRPr="00882F11">
        <w:rPr>
          <w:rFonts w:cs="Guttman Drogolin"/>
          <w:rtl/>
          <w:lang w:bidi="he-IL"/>
        </w:rPr>
        <w:t xml:space="preserve"> </w:t>
      </w:r>
      <w:r w:rsidRPr="00882F11">
        <w:rPr>
          <w:rFonts w:cs="Guttman Drogolin" w:hint="cs"/>
          <w:rtl/>
          <w:lang w:bidi="he-IL"/>
        </w:rPr>
        <w:t>כדאמרינן</w:t>
      </w:r>
      <w:r w:rsidRPr="00882F11">
        <w:rPr>
          <w:rFonts w:cs="Guttman Drogolin"/>
          <w:rtl/>
          <w:lang w:bidi="he-IL"/>
        </w:rPr>
        <w:t xml:space="preserve"> </w:t>
      </w:r>
      <w:r w:rsidRPr="00882F11">
        <w:rPr>
          <w:rFonts w:cs="Guttman Drogolin" w:hint="cs"/>
          <w:rtl/>
          <w:lang w:bidi="he-IL"/>
        </w:rPr>
        <w:t>בגמרא".</w:t>
      </w:r>
      <w:r w:rsidR="002B289C" w:rsidRPr="00882F11">
        <w:rPr>
          <w:rFonts w:cs="Guttman Drogolin" w:hint="cs"/>
          <w:rtl/>
          <w:lang w:bidi="he-IL"/>
        </w:rPr>
        <w:t xml:space="preserve"> וכן יעוין בלשון רש"י בסוף הסוגיא </w:t>
      </w:r>
      <w:r w:rsidR="00C47BFC" w:rsidRPr="00882F11">
        <w:rPr>
          <w:rFonts w:cs="Guttman Drogolin" w:hint="cs"/>
          <w:rtl/>
          <w:lang w:bidi="he-IL"/>
        </w:rPr>
        <w:t>"</w:t>
      </w:r>
      <w:r w:rsidR="002B289C" w:rsidRPr="00882F11">
        <w:rPr>
          <w:rFonts w:cs="Guttman Drogolin" w:hint="cs"/>
          <w:rtl/>
          <w:lang w:bidi="he-IL"/>
        </w:rPr>
        <w:t>גזירה</w:t>
      </w:r>
      <w:r w:rsidR="002B289C" w:rsidRPr="00882F11">
        <w:rPr>
          <w:rFonts w:cs="Guttman Drogolin"/>
          <w:rtl/>
          <w:lang w:bidi="he-IL"/>
        </w:rPr>
        <w:t xml:space="preserve"> </w:t>
      </w:r>
      <w:r w:rsidR="002B289C" w:rsidRPr="00882F11">
        <w:rPr>
          <w:rFonts w:cs="Guttman Drogolin" w:hint="cs"/>
          <w:rtl/>
          <w:lang w:bidi="he-IL"/>
        </w:rPr>
        <w:t>שמא</w:t>
      </w:r>
      <w:r w:rsidR="002B289C" w:rsidRPr="00882F11">
        <w:rPr>
          <w:rFonts w:cs="Guttman Drogolin"/>
          <w:rtl/>
          <w:lang w:bidi="he-IL"/>
        </w:rPr>
        <w:t xml:space="preserve"> </w:t>
      </w:r>
      <w:r w:rsidR="002B289C" w:rsidRPr="00882F11">
        <w:rPr>
          <w:rFonts w:cs="Guttman Drogolin" w:hint="cs"/>
          <w:rtl/>
          <w:lang w:bidi="he-IL"/>
        </w:rPr>
        <w:t>יעלה</w:t>
      </w:r>
      <w:r w:rsidR="002B289C" w:rsidRPr="00882F11">
        <w:rPr>
          <w:rFonts w:cs="Guttman Drogolin"/>
          <w:rtl/>
          <w:lang w:bidi="he-IL"/>
        </w:rPr>
        <w:t xml:space="preserve"> </w:t>
      </w:r>
      <w:r w:rsidR="002B289C" w:rsidRPr="00882F11">
        <w:rPr>
          <w:rFonts w:cs="Guttman Drogolin" w:hint="cs"/>
          <w:rtl/>
          <w:lang w:bidi="he-IL"/>
        </w:rPr>
        <w:t>בשר</w:t>
      </w:r>
      <w:r w:rsidR="002B289C" w:rsidRPr="00882F11">
        <w:rPr>
          <w:rFonts w:cs="Guttman Drogolin"/>
          <w:rtl/>
          <w:lang w:bidi="he-IL"/>
        </w:rPr>
        <w:t xml:space="preserve"> </w:t>
      </w:r>
      <w:r w:rsidR="002B289C" w:rsidRPr="00882F11">
        <w:rPr>
          <w:rFonts w:cs="Guttman Drogolin" w:hint="cs"/>
          <w:rtl/>
          <w:lang w:bidi="he-IL"/>
        </w:rPr>
        <w:t>בהמה</w:t>
      </w:r>
      <w:r w:rsidR="002B289C" w:rsidRPr="00882F11">
        <w:rPr>
          <w:rFonts w:cs="Guttman Drogolin"/>
          <w:rtl/>
          <w:lang w:bidi="he-IL"/>
        </w:rPr>
        <w:t xml:space="preserve"> </w:t>
      </w:r>
      <w:r w:rsidR="002B289C" w:rsidRPr="00882F11">
        <w:rPr>
          <w:rFonts w:cs="Guttman Drogolin" w:hint="cs"/>
          <w:rtl/>
          <w:lang w:bidi="he-IL"/>
        </w:rPr>
        <w:t>עם</w:t>
      </w:r>
      <w:r w:rsidR="002B289C" w:rsidRPr="00882F11">
        <w:rPr>
          <w:rFonts w:cs="Guttman Drogolin"/>
          <w:rtl/>
          <w:lang w:bidi="he-IL"/>
        </w:rPr>
        <w:t xml:space="preserve"> </w:t>
      </w:r>
      <w:r w:rsidR="002B289C" w:rsidRPr="00882F11">
        <w:rPr>
          <w:rFonts w:cs="Guttman Drogolin" w:hint="cs"/>
          <w:rtl/>
          <w:lang w:bidi="he-IL"/>
        </w:rPr>
        <w:t>הגבינה</w:t>
      </w:r>
      <w:r w:rsidR="002B289C" w:rsidRPr="00882F11">
        <w:rPr>
          <w:rFonts w:cs="Guttman Drogolin"/>
          <w:rtl/>
          <w:lang w:bidi="he-IL"/>
        </w:rPr>
        <w:t xml:space="preserve"> </w:t>
      </w:r>
      <w:r w:rsidR="002B289C" w:rsidRPr="00882F11">
        <w:rPr>
          <w:rFonts w:cs="Guttman Drogolin" w:hint="cs"/>
          <w:rtl/>
          <w:lang w:bidi="he-IL"/>
        </w:rPr>
        <w:t>בתוך</w:t>
      </w:r>
      <w:r w:rsidR="002B289C" w:rsidRPr="00882F11">
        <w:rPr>
          <w:rFonts w:cs="Guttman Drogolin"/>
          <w:rtl/>
          <w:lang w:bidi="he-IL"/>
        </w:rPr>
        <w:t xml:space="preserve"> </w:t>
      </w:r>
      <w:r w:rsidR="002B289C" w:rsidRPr="00882F11">
        <w:rPr>
          <w:rFonts w:cs="Guttman Drogolin" w:hint="cs"/>
          <w:rtl/>
          <w:lang w:bidi="he-IL"/>
        </w:rPr>
        <w:t>אילפס</w:t>
      </w:r>
      <w:r w:rsidR="002B289C" w:rsidRPr="00882F11">
        <w:rPr>
          <w:rFonts w:cs="Guttman Drogolin"/>
          <w:rtl/>
          <w:lang w:bidi="he-IL"/>
        </w:rPr>
        <w:t xml:space="preserve"> </w:t>
      </w:r>
      <w:r w:rsidR="002B289C" w:rsidRPr="00882F11">
        <w:rPr>
          <w:rFonts w:cs="Guttman Drogolin" w:hint="cs"/>
          <w:rtl/>
          <w:lang w:bidi="he-IL"/>
        </w:rPr>
        <w:t>רותח</w:t>
      </w:r>
      <w:r w:rsidR="002B289C" w:rsidRPr="00882F11">
        <w:rPr>
          <w:rFonts w:cs="Guttman Drogolin"/>
          <w:rtl/>
          <w:lang w:bidi="he-IL"/>
        </w:rPr>
        <w:t xml:space="preserve"> </w:t>
      </w:r>
      <w:r w:rsidR="002B289C" w:rsidRPr="00882F11">
        <w:rPr>
          <w:rFonts w:cs="Guttman Drogolin" w:hint="cs"/>
          <w:rtl/>
          <w:lang w:bidi="he-IL"/>
        </w:rPr>
        <w:t>דה</w:t>
      </w:r>
      <w:r w:rsidR="00C47BFC" w:rsidRPr="00882F11">
        <w:rPr>
          <w:rFonts w:cs="Guttman Drogolin" w:hint="cs"/>
          <w:rtl/>
          <w:lang w:bidi="he-IL"/>
        </w:rPr>
        <w:t>"</w:t>
      </w:r>
      <w:r w:rsidR="002B289C" w:rsidRPr="00882F11">
        <w:rPr>
          <w:rFonts w:cs="Guttman Drogolin" w:hint="cs"/>
          <w:rtl/>
          <w:lang w:bidi="he-IL"/>
        </w:rPr>
        <w:t>ל</w:t>
      </w:r>
      <w:r w:rsidR="002B289C" w:rsidRPr="00882F11">
        <w:rPr>
          <w:rFonts w:cs="Guttman Drogolin"/>
          <w:rtl/>
          <w:lang w:bidi="he-IL"/>
        </w:rPr>
        <w:t xml:space="preserve"> </w:t>
      </w:r>
      <w:r w:rsidR="002B289C" w:rsidRPr="00882F11">
        <w:rPr>
          <w:rFonts w:cs="Guttman Drogolin" w:hint="cs"/>
          <w:rtl/>
          <w:lang w:bidi="he-IL"/>
        </w:rPr>
        <w:t>בישול</w:t>
      </w:r>
      <w:r w:rsidR="00C47BFC" w:rsidRPr="00882F11">
        <w:rPr>
          <w:rFonts w:cs="Guttman Drogolin" w:hint="cs"/>
          <w:rtl/>
          <w:lang w:bidi="he-IL"/>
        </w:rPr>
        <w:t xml:space="preserve">". והמהר"ם שי"ף הנ"ל הבין שכוונת רש"י ד'הו"ל </w:t>
      </w:r>
      <w:r w:rsidR="00C47BFC" w:rsidRPr="00882F11">
        <w:rPr>
          <w:rFonts w:cs="Guttman Drogolin" w:hint="cs"/>
          <w:rtl/>
          <w:lang w:bidi="he-IL"/>
        </w:rPr>
        <w:lastRenderedPageBreak/>
        <w:t xml:space="preserve">בישול' דר"ל שעובר על איסור בישול בב"ח. אבל לכאורה י"ל דכוונתו דהו"ל בישול ולכן הוי סוג בב"ח שעובר אאכילתו מדאורייתא וכנ"ל, וכן נראה לשמד המהר"ם על דברי רש"י בר"פ. ולכאורה הי' משמע שהגדר הגזרה לשיטת רש"י דהוי איסור מעשה העלאה, שאם מעלה תרוייהו על שולחן א' שמא יבט להעלות תרוייהו בכלי א' רותח והוי בב"ח דאורייתא. ולפי זה הא דמחלקינן בין שולחן שאוכל עליו לשולחן שמסדר עליו במתני' הבא היינו משום דליכא חשש שיעלה תרוייהו בכלי ראשון אלא בשולחן שאוכל עליו כיון שאין הדרך להוציא מן הקדרה בדרך כלל אלא לשולחן שאוכל עליו. ובחי' הריטב"א פי' </w:t>
      </w:r>
      <w:r w:rsidR="00311E9B" w:rsidRPr="00882F11">
        <w:rPr>
          <w:rFonts w:cs="Guttman Drogolin" w:hint="cs"/>
          <w:rtl/>
          <w:lang w:bidi="he-IL"/>
        </w:rPr>
        <w:t xml:space="preserve">דהוי חשש שא' יטביל בשר או גבינה לתוך הגבינה או בשר של חבירו והוי בב"ח. </w:t>
      </w:r>
    </w:p>
    <w:p w:rsidR="00BF1EBA" w:rsidRPr="00882F11" w:rsidRDefault="00BF1EBA" w:rsidP="00BF1EBA">
      <w:pPr>
        <w:bidi/>
        <w:jc w:val="both"/>
        <w:rPr>
          <w:rFonts w:cs="Guttman Drogolin"/>
          <w:rtl/>
          <w:lang w:bidi="he-IL"/>
        </w:rPr>
      </w:pPr>
      <w:r w:rsidRPr="00882F11">
        <w:rPr>
          <w:rFonts w:cs="Guttman Drogolin" w:hint="cs"/>
          <w:rtl/>
          <w:lang w:bidi="he-IL"/>
        </w:rPr>
        <w:t>והתלמידים שיחיו תי' שהטעם שחוששים משום אכילה ולא משום בישול משום דיתכן שלענין בישול הוי דבר שאינו מתכוין ואינו פסיק רישא, ולכן הדבר מותר, ולא חיישינן שיעבור ויבשל במזיד. אבל לענין איסור אכילה, הא כיון שכבר נעשה חפצא דאיסורא, אם יאכלנו לאחר מכן יעבור אפילו אם לא אכלו אלא דרך מתעסק בעלמא, דהא מתעסק בחלבים בעריות חייב שכן נהנה. אמנם חשבתי אולי גם בדרכים אחרים.</w:t>
      </w:r>
    </w:p>
    <w:p w:rsidR="00311E9B" w:rsidRPr="00882F11" w:rsidRDefault="00311E9B" w:rsidP="00E24782">
      <w:pPr>
        <w:bidi/>
        <w:jc w:val="both"/>
        <w:rPr>
          <w:rFonts w:cs="Guttman Drogolin"/>
          <w:rtl/>
          <w:lang w:bidi="he-IL"/>
        </w:rPr>
      </w:pPr>
      <w:r w:rsidRPr="00882F11">
        <w:rPr>
          <w:rFonts w:cs="Guttman Drogolin" w:hint="cs"/>
          <w:rtl/>
          <w:lang w:bidi="he-IL"/>
        </w:rPr>
        <w:t>והנה האחרונים הקשו על חשש זה, דכיון דהוי שולחן שסודר עליו לכאורה מיירי בבשר וגבינה הראוים לאכילה. וכיון שאין הדרך לאכול בשר חי, ולכאורה מיירי בבשר שכבר מבושל. וכיון שכן צ"ע, דלמה יהא כאן משום בשר בחלב דרך בישול כלל, הא יש לנו כלל שאין בישול אחר בישול. ואין לומר שהאיסור משום הגבינה דיתכן שאינו מבושל, חדא שהרי יסד לנו רע"א</w:t>
      </w:r>
      <w:r w:rsidRPr="00882F11">
        <w:rPr>
          <w:rStyle w:val="FootnoteReference"/>
          <w:rFonts w:cs="Guttman Drogolin"/>
          <w:rtl/>
          <w:lang w:bidi="he-IL"/>
        </w:rPr>
        <w:footnoteReference w:id="166"/>
      </w:r>
      <w:r w:rsidRPr="00882F11">
        <w:rPr>
          <w:rFonts w:cs="Guttman Drogolin" w:hint="cs"/>
          <w:rtl/>
          <w:lang w:bidi="he-IL"/>
        </w:rPr>
        <w:t xml:space="preserve"> לשיטת הרמב"ן שאין איסור בב"ח מדאורייתא אא"כ גם הבשר אוסרת את החלב, וגם החלב אוסרת את הבשר, וא"כ אם הבשר אינו מבושל לא יכול </w:t>
      </w:r>
      <w:r w:rsidRPr="00882F11">
        <w:rPr>
          <w:rFonts w:cs="Guttman Drogolin" w:hint="cs"/>
          <w:rtl/>
          <w:lang w:bidi="he-IL"/>
        </w:rPr>
        <w:lastRenderedPageBreak/>
        <w:t xml:space="preserve">להיות נאסר. וכן לכאורה אפילו אלמלא הכלל דל רע"א אין גבינה יכולה להיות נאסר מטעם הבשר כיון שגם הטעם בשר צריך להיות דרך בישול והטעם בשר כבר נתבשל ואין בישול אחר בישול. </w:t>
      </w:r>
    </w:p>
    <w:p w:rsidR="00E33952" w:rsidRPr="00882F11" w:rsidRDefault="00311E9B" w:rsidP="00E33952">
      <w:pPr>
        <w:bidi/>
        <w:jc w:val="both"/>
        <w:rPr>
          <w:rFonts w:cs="Guttman Drogolin"/>
          <w:rtl/>
          <w:lang w:bidi="he-IL"/>
        </w:rPr>
      </w:pPr>
      <w:r w:rsidRPr="00882F11">
        <w:rPr>
          <w:rFonts w:cs="Guttman Drogolin" w:hint="cs"/>
          <w:rtl/>
          <w:lang w:bidi="he-IL"/>
        </w:rPr>
        <w:t>ותי' כמה אחרונים</w:t>
      </w:r>
      <w:r w:rsidR="003724E5" w:rsidRPr="00882F11">
        <w:rPr>
          <w:rStyle w:val="FootnoteReference"/>
          <w:rFonts w:cs="Guttman Drogolin"/>
          <w:rtl/>
          <w:lang w:bidi="he-IL"/>
        </w:rPr>
        <w:footnoteReference w:id="167"/>
      </w:r>
      <w:r w:rsidRPr="00882F11">
        <w:rPr>
          <w:rFonts w:cs="Guttman Drogolin" w:hint="cs"/>
          <w:rtl/>
          <w:lang w:bidi="he-IL"/>
        </w:rPr>
        <w:t xml:space="preserve">, שאמנם הבשר התבשל בפני עצמו, אבל עדיין לא התבשל עם גבינה, ולכן ליכא להתיר משום דהוי בישול אחר בישול. </w:t>
      </w:r>
      <w:r w:rsidR="00E33952" w:rsidRPr="00882F11">
        <w:rPr>
          <w:rFonts w:cs="Guttman Drogolin" w:hint="cs"/>
          <w:rtl/>
          <w:lang w:bidi="he-IL"/>
        </w:rPr>
        <w:t>וביאור הדברים, דהנה לכאורה פשוט שבהלכות שבת אם יקח בשר שכבר נתבשל בפנ"ע עם ירקות שכבר נתבשלו בפני עצמם ויבשלם ביחד שמ"מ אינו עובר אאיסור דאורייתא של מבשל בשבת, שזו לא מצאנו. ומ"מ המבשל גבינה שנתבשלה בפנ"ע עם בשר שנתבשלה בפני עצמה עדיין יעבור אאיסור בישול בב"ח וכנ"ל. והטעם משום דלא הרי האיסור של בישול בב"ח הרי היא האיסור של בישול בשבת, שבשת האיסור בזה שהוא מכין את המאכלים לאכילה דרך בישול, וכיון שנתבשלו כבר נעשה להם הכנה זו. אבל האיסור של בב"ח הוא יצירת חפצא של בשר בחלב דרך בישול. ולכן אמנם אם כבר נתבשלו הבשר עם החלב שוב ליכא איסור בישול אם יבשל אותם פעם שנית, אבל זה שהבשר לבד והגבינה לבד כבר נתבשלו אינו טעם לומר שאינו עובר משום בישול בב"ח כשמבשלם ביחד, דהא בישול ביחד עדיין לא הי' להם, ויסוד האיסור של בישול בב"ח הוא יצירת חפץ של בב"ח וכמש"נ.</w:t>
      </w:r>
    </w:p>
    <w:p w:rsidR="00BE3057" w:rsidRPr="00882F11" w:rsidRDefault="00BF1EBA" w:rsidP="003B3079">
      <w:pPr>
        <w:bidi/>
        <w:jc w:val="both"/>
        <w:rPr>
          <w:rFonts w:cs="Guttman Drogolin"/>
          <w:rtl/>
          <w:lang w:bidi="he-IL"/>
        </w:rPr>
      </w:pPr>
      <w:r w:rsidRPr="00882F11">
        <w:rPr>
          <w:rFonts w:cs="Guttman Drogolin" w:hint="cs"/>
          <w:rtl/>
          <w:lang w:bidi="he-IL"/>
        </w:rPr>
        <w:t>ו</w:t>
      </w:r>
      <w:r w:rsidR="003B3079" w:rsidRPr="00882F11">
        <w:rPr>
          <w:rFonts w:cs="Guttman Drogolin" w:hint="cs"/>
          <w:rtl/>
          <w:lang w:bidi="he-IL"/>
        </w:rPr>
        <w:t xml:space="preserve">מ"מ </w:t>
      </w:r>
      <w:r w:rsidRPr="00882F11">
        <w:rPr>
          <w:rFonts w:cs="Guttman Drogolin" w:hint="cs"/>
          <w:rtl/>
          <w:lang w:bidi="he-IL"/>
        </w:rPr>
        <w:t>לכאורה הי' אפשר לומר שזהו הטעם שאינו עובר משום</w:t>
      </w:r>
      <w:r w:rsidR="003B3079" w:rsidRPr="00882F11">
        <w:rPr>
          <w:rFonts w:cs="Guttman Drogolin" w:hint="cs"/>
          <w:rtl/>
          <w:lang w:bidi="he-IL"/>
        </w:rPr>
        <w:t xml:space="preserve"> בישול בב"ח, משום שלענין המעשה בישול הוא דאמרינן אין בישול אחר בישול</w:t>
      </w:r>
      <w:r w:rsidR="004456E6" w:rsidRPr="00882F11">
        <w:rPr>
          <w:rFonts w:cs="Guttman Drogolin" w:hint="cs"/>
          <w:rtl/>
          <w:lang w:bidi="he-IL"/>
        </w:rPr>
        <w:t xml:space="preserve"> (וזה דהוי בשר לבד מבושל הוי מספיק טעם לומר שאינו עובר משום בישול בב"ח ודלא כנ"ל)</w:t>
      </w:r>
      <w:r w:rsidR="003B3079" w:rsidRPr="00882F11">
        <w:rPr>
          <w:rFonts w:cs="Guttman Drogolin" w:hint="cs"/>
          <w:rtl/>
          <w:lang w:bidi="he-IL"/>
        </w:rPr>
        <w:t xml:space="preserve">, אבל לענין החפצא של בב"ח שפיר הוי בב"ח אע"ג שלא נוצר אלא לאחר שכבר נתבשל הבשר. </w:t>
      </w:r>
      <w:r w:rsidR="004456E6" w:rsidRPr="00882F11">
        <w:rPr>
          <w:rFonts w:cs="Guttman Drogolin" w:hint="cs"/>
          <w:rtl/>
          <w:lang w:bidi="he-IL"/>
        </w:rPr>
        <w:t>אמנם לפי מה שמבואר בחזו"א, שהטעם שאין בישול אחר בישול הוא ענין מציאותי, שהרי הוא כבר מבושל ואיך אפשר לעשותו מבושל אם הוא כבר מבושל, לכאורה אין מקום לחלק בין המעשה בישול לחפצא של מבושל.</w:t>
      </w:r>
    </w:p>
    <w:p w:rsidR="00C639F0" w:rsidRPr="00882F11" w:rsidRDefault="00BE3057" w:rsidP="00F6501E">
      <w:pPr>
        <w:bidi/>
        <w:jc w:val="both"/>
        <w:rPr>
          <w:rFonts w:cs="Guttman Drogolin"/>
          <w:rtl/>
          <w:lang w:bidi="he-IL"/>
        </w:rPr>
      </w:pPr>
      <w:r w:rsidRPr="00882F11">
        <w:rPr>
          <w:rFonts w:cs="Guttman Drogolin" w:hint="cs"/>
          <w:rtl/>
          <w:lang w:bidi="he-IL"/>
        </w:rPr>
        <w:lastRenderedPageBreak/>
        <w:t xml:space="preserve">אלא שחשבתי בזה עוד דרך. דהנה </w:t>
      </w:r>
      <w:r w:rsidR="00C639F0" w:rsidRPr="00882F11">
        <w:rPr>
          <w:rFonts w:cs="Guttman Drogolin" w:hint="cs"/>
          <w:rtl/>
          <w:lang w:bidi="he-IL"/>
        </w:rPr>
        <w:t>במבשל בלוע של בשר או חלב בכלי כתב רע"א בשו"ת סי' ר"ז שאינו עובר משום בישול בב"ח, ומשום שאין זה דרך בישול. ולכאורה אפילו בשר וחלב שנתב</w:t>
      </w:r>
      <w:r w:rsidR="00F6501E" w:rsidRPr="00882F11">
        <w:rPr>
          <w:rFonts w:cs="Guttman Drogolin" w:hint="cs"/>
          <w:rtl/>
          <w:lang w:bidi="he-IL"/>
        </w:rPr>
        <w:t>ש</w:t>
      </w:r>
      <w:r w:rsidR="00C639F0" w:rsidRPr="00882F11">
        <w:rPr>
          <w:rFonts w:cs="Guttman Drogolin" w:hint="cs"/>
          <w:rtl/>
          <w:lang w:bidi="he-IL"/>
        </w:rPr>
        <w:t xml:space="preserve">לו שלא בדרך בישול אסור באכילה </w:t>
      </w:r>
      <w:r w:rsidR="00F6501E" w:rsidRPr="00882F11">
        <w:rPr>
          <w:rFonts w:cs="Guttman Drogolin" w:hint="cs"/>
          <w:rtl/>
          <w:lang w:bidi="he-IL"/>
        </w:rPr>
        <w:t>מ</w:t>
      </w:r>
      <w:r w:rsidR="00C639F0" w:rsidRPr="00882F11">
        <w:rPr>
          <w:rFonts w:cs="Guttman Drogolin" w:hint="cs"/>
          <w:rtl/>
          <w:lang w:bidi="he-IL"/>
        </w:rPr>
        <w:t>דאו</w:t>
      </w:r>
      <w:r w:rsidR="00F6501E" w:rsidRPr="00882F11">
        <w:rPr>
          <w:rFonts w:cs="Guttman Drogolin" w:hint="cs"/>
          <w:rtl/>
          <w:lang w:bidi="he-IL"/>
        </w:rPr>
        <w:t>ר</w:t>
      </w:r>
      <w:r w:rsidR="00C639F0" w:rsidRPr="00882F11">
        <w:rPr>
          <w:rFonts w:cs="Guttman Drogolin" w:hint="cs"/>
          <w:rtl/>
          <w:lang w:bidi="he-IL"/>
        </w:rPr>
        <w:t>ייתא, שדרך בישול אינו אלא דין במעשה בישול ולא בחפצא של נתבשל. וא"כ אולי י"ל שאפילו רם יעלה אותם כך, אף אם הוא באופן שהוא פסיק רישא שיתבשל מ"מ לא הוי דרך בישול</w:t>
      </w:r>
      <w:r w:rsidR="0024795A" w:rsidRPr="00882F11">
        <w:rPr>
          <w:rStyle w:val="FootnoteReference"/>
          <w:rFonts w:cs="Guttman Drogolin"/>
          <w:rtl/>
          <w:lang w:bidi="he-IL"/>
        </w:rPr>
        <w:footnoteReference w:id="168"/>
      </w:r>
      <w:r w:rsidR="00C639F0" w:rsidRPr="00882F11">
        <w:rPr>
          <w:rFonts w:cs="Guttman Drogolin" w:hint="cs"/>
          <w:rtl/>
          <w:lang w:bidi="he-IL"/>
        </w:rPr>
        <w:t>.</w:t>
      </w:r>
    </w:p>
    <w:p w:rsidR="0057731E" w:rsidRPr="00882F11" w:rsidRDefault="0057731E" w:rsidP="0078079C">
      <w:pPr>
        <w:pStyle w:val="Heading1"/>
        <w:bidi/>
        <w:spacing w:before="0" w:line="360" w:lineRule="auto"/>
        <w:jc w:val="center"/>
        <w:rPr>
          <w:rFonts w:cs="Guttman Drogolin"/>
          <w:color w:val="auto"/>
          <w:sz w:val="24"/>
          <w:szCs w:val="24"/>
          <w:u w:val="single"/>
          <w:rtl/>
          <w:lang w:bidi="he-IL"/>
        </w:rPr>
      </w:pPr>
      <w:bookmarkStart w:id="152" w:name="_Toc496175409"/>
      <w:r w:rsidRPr="00882F11">
        <w:rPr>
          <w:rFonts w:cs="Guttman Drogolin" w:hint="cs"/>
          <w:color w:val="auto"/>
          <w:sz w:val="24"/>
          <w:szCs w:val="24"/>
          <w:u w:val="single"/>
          <w:rtl/>
          <w:lang w:bidi="he-IL"/>
        </w:rPr>
        <w:t>עוד כמה הערות בסוגיא</w:t>
      </w:r>
      <w:bookmarkEnd w:id="152"/>
    </w:p>
    <w:p w:rsidR="0057731E" w:rsidRPr="00882F11" w:rsidRDefault="00064B82" w:rsidP="00064B82">
      <w:pPr>
        <w:bidi/>
        <w:jc w:val="both"/>
        <w:rPr>
          <w:rFonts w:cs="Guttman Drogolin"/>
          <w:rtl/>
          <w:lang w:bidi="he-IL"/>
        </w:rPr>
      </w:pPr>
      <w:r>
        <w:rPr>
          <w:rFonts w:cs="Guttman Drogolin"/>
          <w:rtl/>
          <w:lang w:bidi="he-IL"/>
        </w:rPr>
        <w:fldChar w:fldCharType="begin"/>
      </w:r>
      <w:r>
        <w:instrText xml:space="preserve"> XE "</w:instrText>
      </w:r>
      <w:r w:rsidRPr="007B7829">
        <w:rPr>
          <w:rFonts w:hint="cs"/>
          <w:rtl/>
          <w:lang w:bidi="he-IL"/>
        </w:rPr>
        <w:instrText>בשר בחלב - איסור העלאה על שולחן א'</w:instrText>
      </w:r>
      <w:r w:rsidRPr="007B7829">
        <w:rPr>
          <w:rtl/>
        </w:rPr>
        <w:instrText>:</w:instrText>
      </w:r>
      <w:r w:rsidRPr="007B7829">
        <w:rPr>
          <w:rFonts w:hint="cs"/>
          <w:rtl/>
          <w:lang w:bidi="he-IL"/>
        </w:rPr>
        <w:instrText>הער</w:instrText>
      </w:r>
      <w:r>
        <w:rPr>
          <w:rFonts w:hint="cs"/>
          <w:rtl/>
          <w:lang w:bidi="he-IL"/>
        </w:rPr>
        <w:instrText>ות</w:instrText>
      </w:r>
      <w:r w:rsidRPr="007B7829">
        <w:rPr>
          <w:rFonts w:hint="cs"/>
          <w:rtl/>
          <w:lang w:bidi="he-IL"/>
        </w:rPr>
        <w:instrText xml:space="preserve"> בסוגיא</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B54C05">
        <w:rPr>
          <w:rFonts w:hint="cs"/>
          <w:rtl/>
          <w:lang w:bidi="he-IL"/>
        </w:rPr>
        <w:instrText>כלי שני</w:instrText>
      </w:r>
      <w:r w:rsidRPr="00B54C05">
        <w:rPr>
          <w:rtl/>
        </w:rPr>
        <w:instrText>:</w:instrText>
      </w:r>
      <w:r w:rsidRPr="00B54C05">
        <w:rPr>
          <w:rFonts w:hint="cs"/>
          <w:rtl/>
          <w:lang w:bidi="he-IL"/>
        </w:rPr>
        <w:instrText>דבר גוש</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203B7A">
        <w:rPr>
          <w:rFonts w:hint="cs"/>
          <w:rtl/>
          <w:lang w:bidi="he-IL"/>
        </w:rPr>
        <w:instrText>דבר גוש</w:instrText>
      </w:r>
      <w:r>
        <w:instrText>" \t "</w:instrText>
      </w:r>
      <w:r w:rsidRPr="007D00DC">
        <w:rPr>
          <w:rFonts w:hint="cs"/>
          <w:rtl/>
          <w:lang w:bidi="he-IL"/>
        </w:rPr>
        <w:instrText>ע' כלי שני</w:instrText>
      </w:r>
      <w:r>
        <w:instrText xml:space="preserve">" </w:instrText>
      </w:r>
      <w:r>
        <w:rPr>
          <w:rFonts w:cs="Guttman Drogolin"/>
          <w:rtl/>
          <w:lang w:bidi="he-IL"/>
        </w:rPr>
        <w:fldChar w:fldCharType="end"/>
      </w:r>
      <w:r w:rsidR="0057731E" w:rsidRPr="00882F11">
        <w:rPr>
          <w:rFonts w:cs="Guttman Drogolin" w:hint="cs"/>
          <w:rtl/>
          <w:lang w:bidi="he-IL"/>
        </w:rPr>
        <w:t xml:space="preserve">בזה מבואר במתני' שאסור להעלות רצתה </w:t>
      </w:r>
      <w:r w:rsidR="00BE3057" w:rsidRPr="00882F11">
        <w:rPr>
          <w:rFonts w:cs="Guttman Drogolin" w:hint="cs"/>
          <w:rtl/>
          <w:lang w:bidi="he-IL"/>
        </w:rPr>
        <w:t xml:space="preserve">הגמ' מעיקרא </w:t>
      </w:r>
      <w:r w:rsidR="0057731E" w:rsidRPr="00882F11">
        <w:rPr>
          <w:rFonts w:cs="Guttman Drogolin" w:hint="cs"/>
          <w:rtl/>
          <w:lang w:bidi="he-IL"/>
        </w:rPr>
        <w:t>לומר</w:t>
      </w:r>
      <w:r w:rsidR="00BE3057" w:rsidRPr="00882F11">
        <w:rPr>
          <w:rFonts w:cs="Guttman Drogolin" w:hint="cs"/>
          <w:rtl/>
          <w:lang w:bidi="he-IL"/>
        </w:rPr>
        <w:t xml:space="preserve"> דהוי חשש דלמא יעלהו בכלי רותח אע"פ שאינו כלי ראשון, והגמ' דוחה שמ"מ כלי שני הוא, וכלי שני אינו מבשל. </w:t>
      </w:r>
      <w:r w:rsidR="005951C4" w:rsidRPr="00882F11">
        <w:rPr>
          <w:rFonts w:cs="Guttman Drogolin" w:hint="cs"/>
          <w:rtl/>
          <w:lang w:bidi="he-IL"/>
        </w:rPr>
        <w:t>וע' בחי' הריטב"א דאע"פ שאינו חשוב מעשה בישול ע"י כלי שני, מ"מ הרי הוא מבליע ומפליט ע"ש הוכחות לזה, וכן הוא שיטת הרשב"א בתוה"ב, ואכמ"ל בזה. והאחרונים העירו בזה דאיכא למ"ד שבדבר גוש ליתי' להיתירא דכלי שני, דהא הטעם להיתר של כלי שני משום שהדפנות של הכלי מקררות וכמש"כ התוס' במס' שבת דף מ' ע"ב, ובדבר גוש ליכא דפנות הכלי</w:t>
      </w:r>
      <w:r w:rsidR="008E7FAB" w:rsidRPr="00882F11">
        <w:rPr>
          <w:rFonts w:cs="Guttman Drogolin" w:hint="cs"/>
          <w:rtl/>
          <w:lang w:bidi="he-IL"/>
        </w:rPr>
        <w:t>. ומ"מ לדבריהם צ"ע מכאן שהרי מיירי בבשר וגבינה דהוו דברים גושים ומ"מ מקשה הגמ' דכלי שני הוא. וי"א שהחומרא של דבר גוש לא נאמר אלא לענין זה שמבליע ומפליט, ור"ל שאפילו אם כלי שני אינו מבשליע ומפליט, מ"מ דבר גוש בכלי שני מבליע ומפליט, ולעולם לא חשוב מעשה בישול. ומעוררים על זה דהא המג"א חשש לגוש בכלי שני גם לענין איסור בישול בשבת, וע"כ החשיב אותו כמעשה בישול גם. וצ"ע מסוגיין וכנ"ל.</w:t>
      </w:r>
      <w:r w:rsidR="003724E5" w:rsidRPr="00882F11">
        <w:rPr>
          <w:rFonts w:cs="Guttman Drogolin" w:hint="cs"/>
          <w:rtl/>
          <w:lang w:bidi="he-IL"/>
        </w:rPr>
        <w:t xml:space="preserve"> והיד אברהם (סי' צ"ד סע' ז') כתב דע"כ יש רוטב </w:t>
      </w:r>
      <w:r w:rsidR="00C639F0" w:rsidRPr="00882F11">
        <w:rPr>
          <w:rFonts w:cs="Guttman Drogolin" w:hint="cs"/>
          <w:rtl/>
          <w:lang w:bidi="he-IL"/>
        </w:rPr>
        <w:t>בכלי ולכן אינו דבר גוש.</w:t>
      </w:r>
    </w:p>
    <w:p w:rsidR="007D3731" w:rsidRPr="00882F11" w:rsidRDefault="0057731E" w:rsidP="004F6BA2">
      <w:pPr>
        <w:bidi/>
        <w:jc w:val="both"/>
        <w:rPr>
          <w:rFonts w:cs="Guttman Drogolin"/>
          <w:rtl/>
          <w:lang w:bidi="he-IL"/>
        </w:rPr>
      </w:pPr>
      <w:r w:rsidRPr="00882F11">
        <w:rPr>
          <w:rFonts w:cs="Guttman Drogolin" w:hint="cs"/>
          <w:rtl/>
          <w:lang w:bidi="he-IL"/>
        </w:rPr>
        <w:t xml:space="preserve">ובענין כבוש כמבושל, לכאורה מבואר במס' פסחים דף מ"ד ע"ב שאין עוברים בה משום בב"ח. והיינו אע"ג שכבוש יש לו דין מבושל וכמו </w:t>
      </w:r>
      <w:r w:rsidRPr="00882F11">
        <w:rPr>
          <w:rFonts w:cs="Guttman Drogolin" w:hint="cs"/>
          <w:rtl/>
          <w:lang w:bidi="he-IL"/>
        </w:rPr>
        <w:lastRenderedPageBreak/>
        <w:t>שביאנו</w:t>
      </w:r>
      <w:r w:rsidRPr="00882F11">
        <w:rPr>
          <w:rStyle w:val="FootnoteReference"/>
          <w:rFonts w:cs="Guttman Drogolin"/>
          <w:rtl/>
          <w:lang w:bidi="he-IL"/>
        </w:rPr>
        <w:footnoteReference w:id="169"/>
      </w:r>
      <w:r w:rsidRPr="00882F11">
        <w:rPr>
          <w:rFonts w:cs="Guttman Drogolin" w:hint="cs"/>
          <w:rtl/>
          <w:lang w:bidi="he-IL"/>
        </w:rPr>
        <w:t xml:space="preserve"> ואינו רק מבליע ומפליט. ואין לומר שאינו מעשה בישול אע"ג שעושה חפצא של מבושל, דהא א"כ יעבור על אכילת בב"ח דרך כבוש מדאורייתא. וראיתי בשם הפמ"ג שאינו כמבושל ממש. עוד אולי י"ל שאין עברים באכילתו אא"כ הוא סוג בישול שעוברים אבישולו</w:t>
      </w:r>
      <w:r w:rsidR="00F61B69" w:rsidRPr="00882F11">
        <w:rPr>
          <w:rStyle w:val="FootnoteReference"/>
          <w:rFonts w:cs="Guttman Drogolin"/>
          <w:rtl/>
          <w:lang w:bidi="he-IL"/>
        </w:rPr>
        <w:footnoteReference w:id="170"/>
      </w:r>
      <w:r w:rsidRPr="00882F11">
        <w:rPr>
          <w:rFonts w:cs="Guttman Drogolin" w:hint="cs"/>
          <w:rtl/>
          <w:lang w:bidi="he-IL"/>
        </w:rPr>
        <w:t xml:space="preserve">, וא"כ אם בישל שלא כדרך בישול באופן שאין עוברים אמעשה הבישול ג"כ לא יעבור לאחר מכן על אכילתו. </w:t>
      </w:r>
      <w:r w:rsidR="004F6BA2" w:rsidRPr="00882F11">
        <w:rPr>
          <w:rFonts w:cs="Guttman Drogolin" w:hint="cs"/>
          <w:rtl/>
          <w:lang w:bidi="he-IL"/>
        </w:rPr>
        <w:t>ומ"מ לפי מה שצידדנו לעיל לשיטת רש"י שכבוש בחלב הוא דלא הוי במבושל אבל בחומץ הוי כמבושל, י"ל דשרוי בחומץ הוי בישול ממש גם לענין בב"ח. והפוסקים לא נקטו כן. וצ"ע בכל זה.</w:t>
      </w:r>
    </w:p>
    <w:p w:rsidR="009F0C08" w:rsidRPr="00882F11" w:rsidRDefault="009F0C08" w:rsidP="009F0C08">
      <w:pPr>
        <w:bidi/>
        <w:jc w:val="both"/>
        <w:rPr>
          <w:rFonts w:cs="Guttman Drogolin"/>
          <w:rtl/>
          <w:lang w:bidi="he-IL"/>
        </w:rPr>
        <w:sectPr w:rsidR="009F0C08" w:rsidRPr="00882F11" w:rsidSect="00615FF2">
          <w:type w:val="continuous"/>
          <w:pgSz w:w="11907" w:h="16839" w:code="9"/>
          <w:pgMar w:top="1440" w:right="1440" w:bottom="1440" w:left="1440" w:header="720" w:footer="720" w:gutter="0"/>
          <w:cols w:num="2" w:space="720"/>
          <w:bidi/>
          <w:docGrid w:linePitch="360"/>
        </w:sectPr>
      </w:pPr>
    </w:p>
    <w:p w:rsidR="009F0C08" w:rsidRPr="00882F11" w:rsidRDefault="009F0C08" w:rsidP="009F0C08">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מ"ב</w:t>
      </w:r>
    </w:p>
    <w:p w:rsidR="00662307" w:rsidRDefault="00662307" w:rsidP="0078079C">
      <w:pPr>
        <w:pStyle w:val="Heading1"/>
        <w:bidi/>
        <w:spacing w:before="0" w:line="360" w:lineRule="auto"/>
        <w:jc w:val="center"/>
        <w:rPr>
          <w:rFonts w:cs="Guttman Drogolin"/>
          <w:color w:val="auto"/>
          <w:sz w:val="24"/>
          <w:szCs w:val="24"/>
          <w:u w:val="single"/>
          <w:rtl/>
          <w:lang w:bidi="he-IL"/>
        </w:rPr>
        <w:sectPr w:rsidR="00662307" w:rsidSect="00662307">
          <w:headerReference w:type="default" r:id="rId36"/>
          <w:pgSz w:w="11907" w:h="16839" w:code="9"/>
          <w:pgMar w:top="1440" w:right="1440" w:bottom="1440" w:left="1440" w:header="720" w:footer="720" w:gutter="0"/>
          <w:cols w:space="720"/>
          <w:bidi/>
          <w:docGrid w:linePitch="360"/>
        </w:sectPr>
      </w:pPr>
    </w:p>
    <w:p w:rsidR="009F0C08" w:rsidRPr="00882F11" w:rsidRDefault="009F0C08" w:rsidP="00662307">
      <w:pPr>
        <w:pStyle w:val="Heading1"/>
        <w:bidi/>
        <w:spacing w:before="0" w:line="240" w:lineRule="auto"/>
        <w:jc w:val="center"/>
        <w:rPr>
          <w:rFonts w:cs="Guttman Drogolin"/>
          <w:color w:val="auto"/>
          <w:sz w:val="24"/>
          <w:szCs w:val="24"/>
          <w:u w:val="single"/>
          <w:rtl/>
          <w:lang w:bidi="he-IL"/>
        </w:rPr>
      </w:pPr>
      <w:bookmarkStart w:id="153" w:name="_Toc496175410"/>
      <w:r w:rsidRPr="00882F11">
        <w:rPr>
          <w:rFonts w:cs="Guttman Drogolin" w:hint="cs"/>
          <w:color w:val="auto"/>
          <w:sz w:val="24"/>
          <w:szCs w:val="24"/>
          <w:u w:val="single"/>
          <w:rtl/>
          <w:lang w:bidi="he-IL"/>
        </w:rPr>
        <w:lastRenderedPageBreak/>
        <w:t>בגדר החיוב להמתין בין אכילת בשר לאכילת חלב</w:t>
      </w:r>
      <w:r w:rsidR="003D3A50" w:rsidRPr="00882F11">
        <w:rPr>
          <w:rFonts w:cs="Guttman Drogolin" w:hint="cs"/>
          <w:color w:val="auto"/>
          <w:sz w:val="24"/>
          <w:szCs w:val="24"/>
          <w:u w:val="single"/>
          <w:rtl/>
          <w:lang w:bidi="he-IL"/>
        </w:rPr>
        <w:t>, ודין קינוח הדחה ונט"י</w:t>
      </w:r>
      <w:bookmarkEnd w:id="153"/>
    </w:p>
    <w:p w:rsidR="00335143" w:rsidRPr="00882F11" w:rsidRDefault="00122BF4" w:rsidP="002C1F5D">
      <w:pPr>
        <w:bidi/>
        <w:jc w:val="both"/>
        <w:rPr>
          <w:rFonts w:cs="Guttman Drogolin"/>
          <w:rtl/>
          <w:lang w:bidi="he-IL"/>
        </w:rPr>
      </w:pPr>
      <w:r>
        <w:rPr>
          <w:rFonts w:cs="Guttman Drogolin"/>
          <w:rtl/>
          <w:lang w:bidi="he-IL"/>
        </w:rPr>
        <w:fldChar w:fldCharType="begin"/>
      </w:r>
      <w:r>
        <w:instrText xml:space="preserve"> XE "</w:instrText>
      </w:r>
      <w:r w:rsidRPr="00BD2363">
        <w:rPr>
          <w:rFonts w:hint="cs"/>
          <w:rtl/>
          <w:lang w:bidi="he-IL"/>
        </w:rPr>
        <w:instrText>בשר בחלב - חיוב המתנה</w:instrText>
      </w:r>
      <w:r w:rsidRPr="00BD2363">
        <w:rPr>
          <w:rtl/>
        </w:rPr>
        <w:instrText>:</w:instrText>
      </w:r>
      <w:r w:rsidRPr="00BD2363">
        <w:rPr>
          <w:rFonts w:hint="cs"/>
          <w:rtl/>
          <w:lang w:bidi="he-IL"/>
        </w:rPr>
        <w:instrText>סוגיית הגמ'</w:instrText>
      </w:r>
      <w:r>
        <w:instrText xml:space="preserve">" </w:instrText>
      </w:r>
      <w:r>
        <w:rPr>
          <w:rFonts w:cs="Guttman Drogolin"/>
          <w:rtl/>
          <w:lang w:bidi="he-IL"/>
        </w:rPr>
        <w:fldChar w:fldCharType="end"/>
      </w:r>
      <w:r w:rsidR="00E33DA3" w:rsidRPr="00882F11">
        <w:rPr>
          <w:rFonts w:cs="Guttman Drogolin" w:hint="cs"/>
          <w:rtl/>
          <w:lang w:bidi="he-IL"/>
        </w:rPr>
        <w:t>כתוב בגמ' שבדף ק"ה ע"א "בעא</w:t>
      </w:r>
      <w:r w:rsidR="00E33DA3" w:rsidRPr="00882F11">
        <w:rPr>
          <w:rFonts w:cs="Guttman Drogolin"/>
          <w:rtl/>
          <w:lang w:bidi="he-IL"/>
        </w:rPr>
        <w:t xml:space="preserve"> </w:t>
      </w:r>
      <w:r w:rsidR="00E33DA3" w:rsidRPr="00882F11">
        <w:rPr>
          <w:rFonts w:cs="Guttman Drogolin" w:hint="cs"/>
          <w:rtl/>
          <w:lang w:bidi="he-IL"/>
        </w:rPr>
        <w:t>מיניה</w:t>
      </w:r>
      <w:r w:rsidR="00E33DA3" w:rsidRPr="00882F11">
        <w:rPr>
          <w:rFonts w:cs="Guttman Drogolin"/>
          <w:rtl/>
          <w:lang w:bidi="he-IL"/>
        </w:rPr>
        <w:t xml:space="preserve"> </w:t>
      </w:r>
      <w:r w:rsidR="00E33DA3" w:rsidRPr="00882F11">
        <w:rPr>
          <w:rFonts w:cs="Guttman Drogolin" w:hint="cs"/>
          <w:rtl/>
          <w:lang w:bidi="he-IL"/>
        </w:rPr>
        <w:t>רב</w:t>
      </w:r>
      <w:r w:rsidR="00E33DA3" w:rsidRPr="00882F11">
        <w:rPr>
          <w:rFonts w:cs="Guttman Drogolin"/>
          <w:rtl/>
          <w:lang w:bidi="he-IL"/>
        </w:rPr>
        <w:t xml:space="preserve"> </w:t>
      </w:r>
      <w:r w:rsidR="00E33DA3" w:rsidRPr="00882F11">
        <w:rPr>
          <w:rFonts w:cs="Guttman Drogolin" w:hint="cs"/>
          <w:rtl/>
          <w:lang w:bidi="he-IL"/>
        </w:rPr>
        <w:t>אסי</w:t>
      </w:r>
      <w:r w:rsidR="00E33DA3" w:rsidRPr="00882F11">
        <w:rPr>
          <w:rFonts w:cs="Guttman Drogolin"/>
          <w:rtl/>
          <w:lang w:bidi="he-IL"/>
        </w:rPr>
        <w:t xml:space="preserve"> </w:t>
      </w:r>
      <w:r w:rsidR="00E33DA3" w:rsidRPr="00882F11">
        <w:rPr>
          <w:rFonts w:cs="Guttman Drogolin" w:hint="cs"/>
          <w:rtl/>
          <w:lang w:bidi="he-IL"/>
        </w:rPr>
        <w:t>מרבי</w:t>
      </w:r>
      <w:r w:rsidR="00E33DA3" w:rsidRPr="00882F11">
        <w:rPr>
          <w:rFonts w:cs="Guttman Drogolin"/>
          <w:rtl/>
          <w:lang w:bidi="he-IL"/>
        </w:rPr>
        <w:t xml:space="preserve"> </w:t>
      </w:r>
      <w:r w:rsidR="00E33DA3" w:rsidRPr="00882F11">
        <w:rPr>
          <w:rFonts w:cs="Guttman Drogolin" w:hint="cs"/>
          <w:rtl/>
          <w:lang w:bidi="he-IL"/>
        </w:rPr>
        <w:t>יוחנן</w:t>
      </w:r>
      <w:r w:rsidR="00E33DA3" w:rsidRPr="00882F11">
        <w:rPr>
          <w:rFonts w:cs="Guttman Drogolin"/>
          <w:rtl/>
          <w:lang w:bidi="he-IL"/>
        </w:rPr>
        <w:t xml:space="preserve"> </w:t>
      </w:r>
      <w:r w:rsidR="00E33DA3" w:rsidRPr="00882F11">
        <w:rPr>
          <w:rFonts w:cs="Guttman Drogolin" w:hint="cs"/>
          <w:rtl/>
          <w:lang w:bidi="he-IL"/>
        </w:rPr>
        <w:t>כמה</w:t>
      </w:r>
      <w:r w:rsidR="00E33DA3" w:rsidRPr="00882F11">
        <w:rPr>
          <w:rFonts w:cs="Guttman Drogolin"/>
          <w:rtl/>
          <w:lang w:bidi="he-IL"/>
        </w:rPr>
        <w:t xml:space="preserve"> </w:t>
      </w:r>
      <w:r w:rsidR="00E33DA3" w:rsidRPr="00882F11">
        <w:rPr>
          <w:rFonts w:cs="Guttman Drogolin" w:hint="cs"/>
          <w:rtl/>
          <w:lang w:bidi="he-IL"/>
        </w:rPr>
        <w:t>ישהה</w:t>
      </w:r>
      <w:r w:rsidR="00E33DA3" w:rsidRPr="00882F11">
        <w:rPr>
          <w:rFonts w:cs="Guttman Drogolin"/>
          <w:rtl/>
          <w:lang w:bidi="he-IL"/>
        </w:rPr>
        <w:t xml:space="preserve"> </w:t>
      </w:r>
      <w:r w:rsidR="00E33DA3" w:rsidRPr="00882F11">
        <w:rPr>
          <w:rFonts w:cs="Guttman Drogolin" w:hint="cs"/>
          <w:rtl/>
          <w:lang w:bidi="he-IL"/>
        </w:rPr>
        <w:t>בין</w:t>
      </w:r>
      <w:r w:rsidR="00E33DA3" w:rsidRPr="00882F11">
        <w:rPr>
          <w:rFonts w:cs="Guttman Drogolin"/>
          <w:rtl/>
          <w:lang w:bidi="he-IL"/>
        </w:rPr>
        <w:t xml:space="preserve"> </w:t>
      </w:r>
      <w:r w:rsidR="00E33DA3" w:rsidRPr="00882F11">
        <w:rPr>
          <w:rFonts w:cs="Guttman Drogolin" w:hint="cs"/>
          <w:rtl/>
          <w:lang w:bidi="he-IL"/>
        </w:rPr>
        <w:t>בשר</w:t>
      </w:r>
      <w:r w:rsidR="00E33DA3" w:rsidRPr="00882F11">
        <w:rPr>
          <w:rFonts w:cs="Guttman Drogolin"/>
          <w:rtl/>
          <w:lang w:bidi="he-IL"/>
        </w:rPr>
        <w:t xml:space="preserve"> </w:t>
      </w:r>
      <w:r w:rsidR="00E33DA3" w:rsidRPr="00882F11">
        <w:rPr>
          <w:rFonts w:cs="Guttman Drogolin" w:hint="cs"/>
          <w:rtl/>
          <w:lang w:bidi="he-IL"/>
        </w:rPr>
        <w:t>לגבינה</w:t>
      </w:r>
      <w:r w:rsidR="00E33DA3" w:rsidRPr="00882F11">
        <w:rPr>
          <w:rFonts w:cs="Guttman Drogolin"/>
          <w:rtl/>
          <w:lang w:bidi="he-IL"/>
        </w:rPr>
        <w:t xml:space="preserve"> </w:t>
      </w:r>
      <w:r w:rsidR="00E33DA3" w:rsidRPr="00882F11">
        <w:rPr>
          <w:rFonts w:cs="Guttman Drogolin" w:hint="cs"/>
          <w:rtl/>
          <w:lang w:bidi="he-IL"/>
        </w:rPr>
        <w:t>א"ל</w:t>
      </w:r>
      <w:r w:rsidR="00E33DA3" w:rsidRPr="00882F11">
        <w:rPr>
          <w:rFonts w:cs="Guttman Drogolin"/>
          <w:rtl/>
          <w:lang w:bidi="he-IL"/>
        </w:rPr>
        <w:t xml:space="preserve"> </w:t>
      </w:r>
      <w:r w:rsidR="00E33DA3" w:rsidRPr="00882F11">
        <w:rPr>
          <w:rFonts w:cs="Guttman Drogolin" w:hint="cs"/>
          <w:rtl/>
          <w:lang w:bidi="he-IL"/>
        </w:rPr>
        <w:t>ולא</w:t>
      </w:r>
      <w:r w:rsidR="00E33DA3" w:rsidRPr="00882F11">
        <w:rPr>
          <w:rFonts w:cs="Guttman Drogolin"/>
          <w:rtl/>
          <w:lang w:bidi="he-IL"/>
        </w:rPr>
        <w:t xml:space="preserve"> </w:t>
      </w:r>
      <w:r w:rsidR="00E33DA3" w:rsidRPr="00882F11">
        <w:rPr>
          <w:rFonts w:cs="Guttman Drogolin" w:hint="cs"/>
          <w:rtl/>
          <w:lang w:bidi="he-IL"/>
        </w:rPr>
        <w:t>כלום</w:t>
      </w:r>
      <w:r w:rsidR="00E33DA3" w:rsidRPr="00882F11">
        <w:rPr>
          <w:rFonts w:cs="Guttman Drogolin"/>
          <w:rtl/>
          <w:lang w:bidi="he-IL"/>
        </w:rPr>
        <w:t xml:space="preserve"> </w:t>
      </w:r>
      <w:r w:rsidR="00E33DA3" w:rsidRPr="00882F11">
        <w:rPr>
          <w:rFonts w:cs="Guttman Drogolin" w:hint="cs"/>
          <w:rtl/>
          <w:lang w:bidi="he-IL"/>
        </w:rPr>
        <w:t>איני</w:t>
      </w:r>
      <w:r w:rsidR="00E33DA3" w:rsidRPr="00882F11">
        <w:rPr>
          <w:rFonts w:cs="Guttman Drogolin"/>
          <w:rtl/>
          <w:lang w:bidi="he-IL"/>
        </w:rPr>
        <w:t xml:space="preserve"> </w:t>
      </w:r>
      <w:r w:rsidR="00E33DA3" w:rsidRPr="00882F11">
        <w:rPr>
          <w:rFonts w:cs="Guttman Drogolin" w:hint="cs"/>
          <w:rtl/>
          <w:lang w:bidi="he-IL"/>
        </w:rPr>
        <w:t>והא</w:t>
      </w:r>
      <w:r w:rsidR="00E33DA3" w:rsidRPr="00882F11">
        <w:rPr>
          <w:rFonts w:cs="Guttman Drogolin"/>
          <w:rtl/>
          <w:lang w:bidi="he-IL"/>
        </w:rPr>
        <w:t xml:space="preserve"> </w:t>
      </w:r>
      <w:r w:rsidR="00E33DA3" w:rsidRPr="00882F11">
        <w:rPr>
          <w:rFonts w:cs="Guttman Drogolin" w:hint="cs"/>
          <w:rtl/>
          <w:lang w:bidi="he-IL"/>
        </w:rPr>
        <w:t>אמר</w:t>
      </w:r>
      <w:r w:rsidR="00E33DA3" w:rsidRPr="00882F11">
        <w:rPr>
          <w:rFonts w:cs="Guttman Drogolin"/>
          <w:rtl/>
          <w:lang w:bidi="he-IL"/>
        </w:rPr>
        <w:t xml:space="preserve"> </w:t>
      </w:r>
      <w:r w:rsidR="00E33DA3" w:rsidRPr="00882F11">
        <w:rPr>
          <w:rFonts w:cs="Guttman Drogolin" w:hint="cs"/>
          <w:rtl/>
          <w:lang w:bidi="he-IL"/>
        </w:rPr>
        <w:t>רב</w:t>
      </w:r>
      <w:r w:rsidR="00E33DA3" w:rsidRPr="00882F11">
        <w:rPr>
          <w:rFonts w:cs="Guttman Drogolin"/>
          <w:rtl/>
          <w:lang w:bidi="he-IL"/>
        </w:rPr>
        <w:t xml:space="preserve"> </w:t>
      </w:r>
      <w:r w:rsidR="00E33DA3" w:rsidRPr="00882F11">
        <w:rPr>
          <w:rFonts w:cs="Guttman Drogolin" w:hint="cs"/>
          <w:rtl/>
          <w:lang w:bidi="he-IL"/>
        </w:rPr>
        <w:t>חסדא</w:t>
      </w:r>
      <w:r w:rsidR="00E33DA3" w:rsidRPr="00882F11">
        <w:rPr>
          <w:rFonts w:cs="Guttman Drogolin"/>
          <w:rtl/>
          <w:lang w:bidi="he-IL"/>
        </w:rPr>
        <w:t xml:space="preserve"> </w:t>
      </w:r>
      <w:r w:rsidR="00E33DA3" w:rsidRPr="00882F11">
        <w:rPr>
          <w:rFonts w:cs="Guttman Drogolin" w:hint="cs"/>
          <w:rtl/>
          <w:lang w:bidi="he-IL"/>
        </w:rPr>
        <w:t>אכל</w:t>
      </w:r>
      <w:r w:rsidR="00E33DA3" w:rsidRPr="00882F11">
        <w:rPr>
          <w:rFonts w:cs="Guttman Drogolin"/>
          <w:rtl/>
          <w:lang w:bidi="he-IL"/>
        </w:rPr>
        <w:t xml:space="preserve"> </w:t>
      </w:r>
      <w:r w:rsidR="00E33DA3" w:rsidRPr="00882F11">
        <w:rPr>
          <w:rFonts w:cs="Guttman Drogolin" w:hint="cs"/>
          <w:rtl/>
          <w:lang w:bidi="he-IL"/>
        </w:rPr>
        <w:t>בשר</w:t>
      </w:r>
      <w:r w:rsidR="00E33DA3" w:rsidRPr="00882F11">
        <w:rPr>
          <w:rFonts w:cs="Guttman Drogolin"/>
          <w:rtl/>
          <w:lang w:bidi="he-IL"/>
        </w:rPr>
        <w:t xml:space="preserve"> </w:t>
      </w:r>
      <w:r w:rsidR="00E33DA3" w:rsidRPr="00882F11">
        <w:rPr>
          <w:rFonts w:cs="Guttman Drogolin" w:hint="cs"/>
          <w:rtl/>
          <w:lang w:bidi="he-IL"/>
        </w:rPr>
        <w:t>אסור</w:t>
      </w:r>
      <w:r w:rsidR="00E33DA3" w:rsidRPr="00882F11">
        <w:rPr>
          <w:rFonts w:cs="Guttman Drogolin"/>
          <w:rtl/>
          <w:lang w:bidi="he-IL"/>
        </w:rPr>
        <w:t xml:space="preserve"> </w:t>
      </w:r>
      <w:r w:rsidR="00E33DA3" w:rsidRPr="00882F11">
        <w:rPr>
          <w:rFonts w:cs="Guttman Drogolin" w:hint="cs"/>
          <w:rtl/>
          <w:lang w:bidi="he-IL"/>
        </w:rPr>
        <w:t>לאכול</w:t>
      </w:r>
      <w:r w:rsidR="00E33DA3" w:rsidRPr="00882F11">
        <w:rPr>
          <w:rFonts w:cs="Guttman Drogolin"/>
          <w:rtl/>
          <w:lang w:bidi="he-IL"/>
        </w:rPr>
        <w:t xml:space="preserve"> </w:t>
      </w:r>
      <w:r w:rsidR="00E33DA3" w:rsidRPr="00882F11">
        <w:rPr>
          <w:rFonts w:cs="Guttman Drogolin" w:hint="cs"/>
          <w:rtl/>
          <w:lang w:bidi="he-IL"/>
        </w:rPr>
        <w:t>גבינה</w:t>
      </w:r>
      <w:r w:rsidR="00E33DA3" w:rsidRPr="00882F11">
        <w:rPr>
          <w:rFonts w:cs="Guttman Drogolin"/>
          <w:rtl/>
          <w:lang w:bidi="he-IL"/>
        </w:rPr>
        <w:t xml:space="preserve"> </w:t>
      </w:r>
      <w:r w:rsidR="00E33DA3" w:rsidRPr="00882F11">
        <w:rPr>
          <w:rFonts w:cs="Guttman Drogolin" w:hint="cs"/>
          <w:rtl/>
          <w:lang w:bidi="he-IL"/>
        </w:rPr>
        <w:t>גבינה</w:t>
      </w:r>
      <w:r w:rsidR="00E33DA3" w:rsidRPr="00882F11">
        <w:rPr>
          <w:rFonts w:cs="Guttman Drogolin"/>
          <w:rtl/>
          <w:lang w:bidi="he-IL"/>
        </w:rPr>
        <w:t xml:space="preserve"> </w:t>
      </w:r>
      <w:r w:rsidR="00E33DA3" w:rsidRPr="00882F11">
        <w:rPr>
          <w:rFonts w:cs="Guttman Drogolin" w:hint="cs"/>
          <w:rtl/>
          <w:lang w:bidi="he-IL"/>
        </w:rPr>
        <w:t>מותר</w:t>
      </w:r>
      <w:r w:rsidR="00E33DA3" w:rsidRPr="00882F11">
        <w:rPr>
          <w:rFonts w:cs="Guttman Drogolin"/>
          <w:rtl/>
          <w:lang w:bidi="he-IL"/>
        </w:rPr>
        <w:t xml:space="preserve"> </w:t>
      </w:r>
      <w:r w:rsidR="00E33DA3" w:rsidRPr="00882F11">
        <w:rPr>
          <w:rFonts w:cs="Guttman Drogolin" w:hint="cs"/>
          <w:rtl/>
          <w:lang w:bidi="he-IL"/>
        </w:rPr>
        <w:t>לאכול</w:t>
      </w:r>
      <w:r w:rsidR="00E33DA3" w:rsidRPr="00882F11">
        <w:rPr>
          <w:rFonts w:cs="Guttman Drogolin"/>
          <w:rtl/>
          <w:lang w:bidi="he-IL"/>
        </w:rPr>
        <w:t xml:space="preserve"> </w:t>
      </w:r>
      <w:r w:rsidR="00E33DA3" w:rsidRPr="00882F11">
        <w:rPr>
          <w:rFonts w:cs="Guttman Drogolin" w:hint="cs"/>
          <w:rtl/>
          <w:lang w:bidi="he-IL"/>
        </w:rPr>
        <w:t>בשר</w:t>
      </w:r>
      <w:r w:rsidR="00E33DA3" w:rsidRPr="00882F11">
        <w:rPr>
          <w:rFonts w:cs="Guttman Drogolin"/>
          <w:rtl/>
          <w:lang w:bidi="he-IL"/>
        </w:rPr>
        <w:t xml:space="preserve"> </w:t>
      </w:r>
      <w:r w:rsidR="00E33DA3" w:rsidRPr="00882F11">
        <w:rPr>
          <w:rFonts w:cs="Guttman Drogolin" w:hint="cs"/>
          <w:rtl/>
          <w:lang w:bidi="he-IL"/>
        </w:rPr>
        <w:t>אלא</w:t>
      </w:r>
      <w:r w:rsidR="00E33DA3" w:rsidRPr="00882F11">
        <w:rPr>
          <w:rFonts w:cs="Guttman Drogolin"/>
          <w:rtl/>
          <w:lang w:bidi="he-IL"/>
        </w:rPr>
        <w:t xml:space="preserve"> </w:t>
      </w:r>
      <w:r w:rsidR="00E33DA3" w:rsidRPr="00882F11">
        <w:rPr>
          <w:rFonts w:cs="Guttman Drogolin" w:hint="cs"/>
          <w:rtl/>
          <w:lang w:bidi="he-IL"/>
        </w:rPr>
        <w:t>כמה</w:t>
      </w:r>
      <w:r w:rsidR="00E33DA3" w:rsidRPr="00882F11">
        <w:rPr>
          <w:rFonts w:cs="Guttman Drogolin"/>
          <w:rtl/>
          <w:lang w:bidi="he-IL"/>
        </w:rPr>
        <w:t xml:space="preserve"> </w:t>
      </w:r>
      <w:r w:rsidR="00E33DA3" w:rsidRPr="00882F11">
        <w:rPr>
          <w:rFonts w:cs="Guttman Drogolin" w:hint="cs"/>
          <w:rtl/>
          <w:lang w:bidi="he-IL"/>
        </w:rPr>
        <w:t>ישהה</w:t>
      </w:r>
      <w:r w:rsidR="00E33DA3" w:rsidRPr="00882F11">
        <w:rPr>
          <w:rFonts w:cs="Guttman Drogolin"/>
          <w:rtl/>
          <w:lang w:bidi="he-IL"/>
        </w:rPr>
        <w:t xml:space="preserve"> </w:t>
      </w:r>
      <w:r w:rsidR="00E33DA3" w:rsidRPr="00882F11">
        <w:rPr>
          <w:rFonts w:cs="Guttman Drogolin" w:hint="cs"/>
          <w:rtl/>
          <w:lang w:bidi="he-IL"/>
        </w:rPr>
        <w:t>בין</w:t>
      </w:r>
      <w:r w:rsidR="00E33DA3" w:rsidRPr="00882F11">
        <w:rPr>
          <w:rFonts w:cs="Guttman Drogolin"/>
          <w:rtl/>
          <w:lang w:bidi="he-IL"/>
        </w:rPr>
        <w:t xml:space="preserve"> </w:t>
      </w:r>
      <w:r w:rsidR="00E33DA3" w:rsidRPr="00882F11">
        <w:rPr>
          <w:rFonts w:cs="Guttman Drogolin" w:hint="cs"/>
          <w:rtl/>
          <w:lang w:bidi="he-IL"/>
        </w:rPr>
        <w:t>גבינה</w:t>
      </w:r>
      <w:r w:rsidR="00E33DA3" w:rsidRPr="00882F11">
        <w:rPr>
          <w:rFonts w:cs="Guttman Drogolin"/>
          <w:rtl/>
          <w:lang w:bidi="he-IL"/>
        </w:rPr>
        <w:t xml:space="preserve"> </w:t>
      </w:r>
      <w:r w:rsidR="00E33DA3" w:rsidRPr="00882F11">
        <w:rPr>
          <w:rFonts w:cs="Guttman Drogolin" w:hint="cs"/>
          <w:rtl/>
          <w:lang w:bidi="he-IL"/>
        </w:rPr>
        <w:t>לבשר</w:t>
      </w:r>
      <w:r w:rsidR="00E33DA3" w:rsidRPr="00882F11">
        <w:rPr>
          <w:rFonts w:cs="Guttman Drogolin"/>
          <w:rtl/>
          <w:lang w:bidi="he-IL"/>
        </w:rPr>
        <w:t xml:space="preserve"> </w:t>
      </w:r>
      <w:r w:rsidR="00E33DA3" w:rsidRPr="00882F11">
        <w:rPr>
          <w:rFonts w:cs="Guttman Drogolin" w:hint="cs"/>
          <w:rtl/>
          <w:lang w:bidi="he-IL"/>
        </w:rPr>
        <w:t>א"ל</w:t>
      </w:r>
      <w:r w:rsidR="00E33DA3" w:rsidRPr="00882F11">
        <w:rPr>
          <w:rFonts w:cs="Guttman Drogolin"/>
          <w:rtl/>
          <w:lang w:bidi="he-IL"/>
        </w:rPr>
        <w:t xml:space="preserve"> </w:t>
      </w:r>
      <w:r w:rsidR="00E33DA3" w:rsidRPr="00882F11">
        <w:rPr>
          <w:rFonts w:cs="Guttman Drogolin" w:hint="cs"/>
          <w:rtl/>
          <w:lang w:bidi="he-IL"/>
        </w:rPr>
        <w:t>ולא</w:t>
      </w:r>
      <w:r w:rsidR="00E33DA3" w:rsidRPr="00882F11">
        <w:rPr>
          <w:rFonts w:cs="Guttman Drogolin"/>
          <w:rtl/>
          <w:lang w:bidi="he-IL"/>
        </w:rPr>
        <w:t xml:space="preserve"> </w:t>
      </w:r>
      <w:r w:rsidR="00E33DA3" w:rsidRPr="00882F11">
        <w:rPr>
          <w:rFonts w:cs="Guttman Drogolin" w:hint="cs"/>
          <w:rtl/>
          <w:lang w:bidi="he-IL"/>
        </w:rPr>
        <w:t>כלום". הרי שמבואר בגמ' שאסור לאכול גבינה לאחר שאכל בשר.</w:t>
      </w:r>
      <w:r w:rsidR="00335143" w:rsidRPr="00882F11">
        <w:rPr>
          <w:rFonts w:cs="Guttman Drogolin" w:hint="cs"/>
          <w:rtl/>
          <w:lang w:bidi="he-IL"/>
        </w:rPr>
        <w:t xml:space="preserve"> ולא מבואר בהדיא עד איזה זמן חייב להמתין</w:t>
      </w:r>
      <w:r w:rsidR="00B96BA9" w:rsidRPr="00882F11">
        <w:rPr>
          <w:rStyle w:val="FootnoteReference"/>
          <w:rFonts w:cs="Guttman Drogolin"/>
          <w:rtl/>
          <w:lang w:bidi="he-IL"/>
        </w:rPr>
        <w:footnoteReference w:id="171"/>
      </w:r>
      <w:r w:rsidR="00335143" w:rsidRPr="00882F11">
        <w:rPr>
          <w:rFonts w:cs="Guttman Drogolin" w:hint="cs"/>
          <w:rtl/>
          <w:lang w:bidi="he-IL"/>
        </w:rPr>
        <w:t xml:space="preserve"> לאחר אכילת בשר כדי שלא יהא בכלל איסור זה, אבל הפוסקים הבינו שהוא כ</w:t>
      </w:r>
      <w:r w:rsidR="00D53A7F" w:rsidRPr="00882F11">
        <w:rPr>
          <w:rFonts w:cs="Guttman Drogolin" w:hint="cs"/>
          <w:rtl/>
          <w:lang w:bidi="he-IL"/>
        </w:rPr>
        <w:t>ד</w:t>
      </w:r>
      <w:r w:rsidR="00335143" w:rsidRPr="00882F11">
        <w:rPr>
          <w:rFonts w:cs="Guttman Drogolin" w:hint="cs"/>
          <w:rtl/>
          <w:lang w:bidi="he-IL"/>
        </w:rPr>
        <w:t>מבואר בסוגיא שלאחר מכן "אמר</w:t>
      </w:r>
      <w:r w:rsidR="00335143" w:rsidRPr="00882F11">
        <w:rPr>
          <w:rFonts w:cs="Guttman Drogolin"/>
          <w:rtl/>
          <w:lang w:bidi="he-IL"/>
        </w:rPr>
        <w:t xml:space="preserve"> </w:t>
      </w:r>
      <w:r w:rsidR="00335143" w:rsidRPr="00882F11">
        <w:rPr>
          <w:rFonts w:cs="Guttman Drogolin" w:hint="cs"/>
          <w:rtl/>
          <w:lang w:bidi="he-IL"/>
        </w:rPr>
        <w:t>מר</w:t>
      </w:r>
      <w:r w:rsidR="00335143" w:rsidRPr="00882F11">
        <w:rPr>
          <w:rFonts w:cs="Guttman Drogolin"/>
          <w:rtl/>
          <w:lang w:bidi="he-IL"/>
        </w:rPr>
        <w:t xml:space="preserve"> </w:t>
      </w:r>
      <w:r w:rsidR="00335143" w:rsidRPr="00882F11">
        <w:rPr>
          <w:rFonts w:cs="Guttman Drogolin" w:hint="cs"/>
          <w:rtl/>
          <w:lang w:bidi="he-IL"/>
        </w:rPr>
        <w:t>עוקבא</w:t>
      </w:r>
      <w:r w:rsidR="00335143" w:rsidRPr="00882F11">
        <w:rPr>
          <w:rFonts w:cs="Guttman Drogolin"/>
          <w:rtl/>
          <w:lang w:bidi="he-IL"/>
        </w:rPr>
        <w:t xml:space="preserve"> </w:t>
      </w:r>
      <w:r w:rsidR="00335143" w:rsidRPr="00882F11">
        <w:rPr>
          <w:rFonts w:cs="Guttman Drogolin" w:hint="cs"/>
          <w:rtl/>
          <w:lang w:bidi="he-IL"/>
        </w:rPr>
        <w:t>אנא</w:t>
      </w:r>
      <w:r w:rsidR="00335143" w:rsidRPr="00882F11">
        <w:rPr>
          <w:rFonts w:cs="Guttman Drogolin"/>
          <w:rtl/>
          <w:lang w:bidi="he-IL"/>
        </w:rPr>
        <w:t xml:space="preserve"> </w:t>
      </w:r>
      <w:r w:rsidR="00335143" w:rsidRPr="00882F11">
        <w:rPr>
          <w:rFonts w:cs="Guttman Drogolin" w:hint="cs"/>
          <w:rtl/>
          <w:lang w:bidi="he-IL"/>
        </w:rPr>
        <w:t>להא</w:t>
      </w:r>
      <w:r w:rsidR="00335143" w:rsidRPr="00882F11">
        <w:rPr>
          <w:rFonts w:cs="Guttman Drogolin"/>
          <w:rtl/>
          <w:lang w:bidi="he-IL"/>
        </w:rPr>
        <w:t xml:space="preserve"> </w:t>
      </w:r>
      <w:r w:rsidR="00335143" w:rsidRPr="00882F11">
        <w:rPr>
          <w:rFonts w:cs="Guttman Drogolin" w:hint="cs"/>
          <w:rtl/>
          <w:lang w:bidi="he-IL"/>
        </w:rPr>
        <w:t>מלתא</w:t>
      </w:r>
      <w:r w:rsidR="00335143" w:rsidRPr="00882F11">
        <w:rPr>
          <w:rFonts w:cs="Guttman Drogolin"/>
          <w:rtl/>
          <w:lang w:bidi="he-IL"/>
        </w:rPr>
        <w:t xml:space="preserve"> </w:t>
      </w:r>
      <w:r w:rsidR="00335143" w:rsidRPr="00882F11">
        <w:rPr>
          <w:rFonts w:cs="Guttman Drogolin" w:hint="cs"/>
          <w:rtl/>
          <w:lang w:bidi="he-IL"/>
        </w:rPr>
        <w:t>חלא</w:t>
      </w:r>
      <w:r w:rsidR="00335143" w:rsidRPr="00882F11">
        <w:rPr>
          <w:rFonts w:cs="Guttman Drogolin"/>
          <w:rtl/>
          <w:lang w:bidi="he-IL"/>
        </w:rPr>
        <w:t xml:space="preserve"> </w:t>
      </w:r>
      <w:r w:rsidR="00335143" w:rsidRPr="00882F11">
        <w:rPr>
          <w:rFonts w:cs="Guttman Drogolin" w:hint="cs"/>
          <w:rtl/>
          <w:lang w:bidi="he-IL"/>
        </w:rPr>
        <w:t>בר</w:t>
      </w:r>
      <w:r w:rsidR="00335143" w:rsidRPr="00882F11">
        <w:rPr>
          <w:rFonts w:cs="Guttman Drogolin"/>
          <w:rtl/>
          <w:lang w:bidi="he-IL"/>
        </w:rPr>
        <w:t xml:space="preserve"> </w:t>
      </w:r>
      <w:r w:rsidR="00335143" w:rsidRPr="00882F11">
        <w:rPr>
          <w:rFonts w:cs="Guttman Drogolin" w:hint="cs"/>
          <w:rtl/>
          <w:lang w:bidi="he-IL"/>
        </w:rPr>
        <w:t>חמרא</w:t>
      </w:r>
      <w:r w:rsidR="00335143" w:rsidRPr="00882F11">
        <w:rPr>
          <w:rFonts w:cs="Guttman Drogolin"/>
          <w:rtl/>
          <w:lang w:bidi="he-IL"/>
        </w:rPr>
        <w:t xml:space="preserve"> </w:t>
      </w:r>
      <w:r w:rsidR="00335143" w:rsidRPr="00882F11">
        <w:rPr>
          <w:rFonts w:cs="Guttman Drogolin" w:hint="cs"/>
          <w:rtl/>
          <w:lang w:bidi="he-IL"/>
        </w:rPr>
        <w:t>לגבי</w:t>
      </w:r>
      <w:r w:rsidR="00335143" w:rsidRPr="00882F11">
        <w:rPr>
          <w:rFonts w:cs="Guttman Drogolin"/>
          <w:rtl/>
          <w:lang w:bidi="he-IL"/>
        </w:rPr>
        <w:t xml:space="preserve"> </w:t>
      </w:r>
      <w:r w:rsidR="00335143" w:rsidRPr="00882F11">
        <w:rPr>
          <w:rFonts w:cs="Guttman Drogolin" w:hint="cs"/>
          <w:rtl/>
          <w:lang w:bidi="he-IL"/>
        </w:rPr>
        <w:t>אבא</w:t>
      </w:r>
      <w:r w:rsidR="00335143" w:rsidRPr="00882F11">
        <w:rPr>
          <w:rFonts w:cs="Guttman Drogolin"/>
          <w:rtl/>
          <w:lang w:bidi="he-IL"/>
        </w:rPr>
        <w:t xml:space="preserve"> </w:t>
      </w:r>
      <w:r w:rsidR="00335143" w:rsidRPr="00882F11">
        <w:rPr>
          <w:rFonts w:cs="Guttman Drogolin" w:hint="cs"/>
          <w:rtl/>
          <w:lang w:bidi="he-IL"/>
        </w:rPr>
        <w:t>דאילו</w:t>
      </w:r>
      <w:r w:rsidR="00335143" w:rsidRPr="00882F11">
        <w:rPr>
          <w:rFonts w:cs="Guttman Drogolin"/>
          <w:rtl/>
          <w:lang w:bidi="he-IL"/>
        </w:rPr>
        <w:t xml:space="preserve"> </w:t>
      </w:r>
      <w:r w:rsidR="00335143" w:rsidRPr="00882F11">
        <w:rPr>
          <w:rFonts w:cs="Guttman Drogolin" w:hint="cs"/>
          <w:rtl/>
          <w:lang w:bidi="he-IL"/>
        </w:rPr>
        <w:t>אבא</w:t>
      </w:r>
      <w:r w:rsidR="00335143" w:rsidRPr="00882F11">
        <w:rPr>
          <w:rFonts w:cs="Guttman Drogolin"/>
          <w:rtl/>
          <w:lang w:bidi="he-IL"/>
        </w:rPr>
        <w:t xml:space="preserve"> </w:t>
      </w:r>
      <w:r w:rsidR="00335143" w:rsidRPr="00882F11">
        <w:rPr>
          <w:rFonts w:cs="Guttman Drogolin" w:hint="cs"/>
          <w:rtl/>
          <w:lang w:bidi="he-IL"/>
        </w:rPr>
        <w:t>כי</w:t>
      </w:r>
      <w:r w:rsidR="00335143" w:rsidRPr="00882F11">
        <w:rPr>
          <w:rFonts w:cs="Guttman Drogolin"/>
          <w:rtl/>
          <w:lang w:bidi="he-IL"/>
        </w:rPr>
        <w:t xml:space="preserve"> </w:t>
      </w:r>
      <w:r w:rsidR="00335143" w:rsidRPr="00882F11">
        <w:rPr>
          <w:rFonts w:cs="Guttman Drogolin" w:hint="cs"/>
          <w:rtl/>
          <w:lang w:bidi="he-IL"/>
        </w:rPr>
        <w:t>הוה</w:t>
      </w:r>
      <w:r w:rsidR="00335143" w:rsidRPr="00882F11">
        <w:rPr>
          <w:rFonts w:cs="Guttman Drogolin"/>
          <w:rtl/>
          <w:lang w:bidi="he-IL"/>
        </w:rPr>
        <w:t xml:space="preserve"> </w:t>
      </w:r>
      <w:r w:rsidR="00335143" w:rsidRPr="00882F11">
        <w:rPr>
          <w:rFonts w:cs="Guttman Drogolin" w:hint="cs"/>
          <w:rtl/>
          <w:lang w:bidi="he-IL"/>
        </w:rPr>
        <w:t>אכיל</w:t>
      </w:r>
      <w:r w:rsidR="00335143" w:rsidRPr="00882F11">
        <w:rPr>
          <w:rFonts w:cs="Guttman Drogolin"/>
          <w:rtl/>
          <w:lang w:bidi="he-IL"/>
        </w:rPr>
        <w:t xml:space="preserve"> </w:t>
      </w:r>
      <w:r w:rsidR="00335143" w:rsidRPr="00882F11">
        <w:rPr>
          <w:rFonts w:cs="Guttman Drogolin" w:hint="cs"/>
          <w:rtl/>
          <w:lang w:bidi="he-IL"/>
        </w:rPr>
        <w:t>בשרא</w:t>
      </w:r>
      <w:r w:rsidR="00335143" w:rsidRPr="00882F11">
        <w:rPr>
          <w:rFonts w:cs="Guttman Drogolin"/>
          <w:rtl/>
          <w:lang w:bidi="he-IL"/>
        </w:rPr>
        <w:t xml:space="preserve"> </w:t>
      </w:r>
      <w:r w:rsidR="00335143" w:rsidRPr="00882F11">
        <w:rPr>
          <w:rFonts w:cs="Guttman Drogolin" w:hint="cs"/>
          <w:rtl/>
          <w:lang w:bidi="he-IL"/>
        </w:rPr>
        <w:t>האידנא</w:t>
      </w:r>
      <w:r w:rsidR="00335143" w:rsidRPr="00882F11">
        <w:rPr>
          <w:rFonts w:cs="Guttman Drogolin"/>
          <w:rtl/>
          <w:lang w:bidi="he-IL"/>
        </w:rPr>
        <w:t xml:space="preserve"> </w:t>
      </w:r>
      <w:r w:rsidR="00335143" w:rsidRPr="00882F11">
        <w:rPr>
          <w:rFonts w:cs="Guttman Drogolin" w:hint="cs"/>
          <w:rtl/>
          <w:lang w:bidi="he-IL"/>
        </w:rPr>
        <w:t>לא</w:t>
      </w:r>
      <w:r w:rsidR="00335143" w:rsidRPr="00882F11">
        <w:rPr>
          <w:rFonts w:cs="Guttman Drogolin"/>
          <w:rtl/>
          <w:lang w:bidi="he-IL"/>
        </w:rPr>
        <w:t xml:space="preserve"> </w:t>
      </w:r>
      <w:r w:rsidR="00335143" w:rsidRPr="00882F11">
        <w:rPr>
          <w:rFonts w:cs="Guttman Drogolin" w:hint="cs"/>
          <w:rtl/>
          <w:lang w:bidi="he-IL"/>
        </w:rPr>
        <w:t>הוה</w:t>
      </w:r>
      <w:r w:rsidR="00335143" w:rsidRPr="00882F11">
        <w:rPr>
          <w:rFonts w:cs="Guttman Drogolin"/>
          <w:rtl/>
          <w:lang w:bidi="he-IL"/>
        </w:rPr>
        <w:t xml:space="preserve"> </w:t>
      </w:r>
      <w:r w:rsidR="00335143" w:rsidRPr="00882F11">
        <w:rPr>
          <w:rFonts w:cs="Guttman Drogolin" w:hint="cs"/>
          <w:rtl/>
          <w:lang w:bidi="he-IL"/>
        </w:rPr>
        <w:t>אכל</w:t>
      </w:r>
      <w:r w:rsidR="00335143" w:rsidRPr="00882F11">
        <w:rPr>
          <w:rFonts w:cs="Guttman Drogolin"/>
          <w:rtl/>
          <w:lang w:bidi="he-IL"/>
        </w:rPr>
        <w:t xml:space="preserve"> </w:t>
      </w:r>
      <w:r w:rsidR="00335143" w:rsidRPr="00882F11">
        <w:rPr>
          <w:rFonts w:cs="Guttman Drogolin" w:hint="cs"/>
          <w:rtl/>
          <w:lang w:bidi="he-IL"/>
        </w:rPr>
        <w:t>גבינה</w:t>
      </w:r>
      <w:r w:rsidR="00335143" w:rsidRPr="00882F11">
        <w:rPr>
          <w:rFonts w:cs="Guttman Drogolin"/>
          <w:rtl/>
          <w:lang w:bidi="he-IL"/>
        </w:rPr>
        <w:t xml:space="preserve"> </w:t>
      </w:r>
      <w:r w:rsidR="00335143" w:rsidRPr="00882F11">
        <w:rPr>
          <w:rFonts w:cs="Guttman Drogolin" w:hint="cs"/>
          <w:rtl/>
          <w:lang w:bidi="he-IL"/>
        </w:rPr>
        <w:t>עד</w:t>
      </w:r>
      <w:r w:rsidR="00335143" w:rsidRPr="00882F11">
        <w:rPr>
          <w:rFonts w:cs="Guttman Drogolin"/>
          <w:rtl/>
          <w:lang w:bidi="he-IL"/>
        </w:rPr>
        <w:t xml:space="preserve"> </w:t>
      </w:r>
      <w:r w:rsidR="00335143" w:rsidRPr="00882F11">
        <w:rPr>
          <w:rFonts w:cs="Guttman Drogolin" w:hint="cs"/>
          <w:rtl/>
          <w:lang w:bidi="he-IL"/>
        </w:rPr>
        <w:t>למחר</w:t>
      </w:r>
      <w:r w:rsidR="00335143" w:rsidRPr="00882F11">
        <w:rPr>
          <w:rFonts w:cs="Guttman Drogolin"/>
          <w:rtl/>
          <w:lang w:bidi="he-IL"/>
        </w:rPr>
        <w:t xml:space="preserve"> </w:t>
      </w:r>
      <w:r w:rsidR="00335143" w:rsidRPr="00882F11">
        <w:rPr>
          <w:rFonts w:cs="Guttman Drogolin" w:hint="cs"/>
          <w:rtl/>
          <w:lang w:bidi="he-IL"/>
        </w:rPr>
        <w:t>עד</w:t>
      </w:r>
      <w:r w:rsidR="00335143" w:rsidRPr="00882F11">
        <w:rPr>
          <w:rFonts w:cs="Guttman Drogolin"/>
          <w:rtl/>
          <w:lang w:bidi="he-IL"/>
        </w:rPr>
        <w:t xml:space="preserve"> </w:t>
      </w:r>
      <w:r w:rsidR="00335143" w:rsidRPr="00882F11">
        <w:rPr>
          <w:rFonts w:cs="Guttman Drogolin" w:hint="cs"/>
          <w:rtl/>
          <w:lang w:bidi="he-IL"/>
        </w:rPr>
        <w:t>השתא</w:t>
      </w:r>
      <w:r w:rsidR="00335143" w:rsidRPr="00882F11">
        <w:rPr>
          <w:rFonts w:cs="Guttman Drogolin"/>
          <w:rtl/>
          <w:lang w:bidi="he-IL"/>
        </w:rPr>
        <w:t xml:space="preserve"> </w:t>
      </w:r>
      <w:r w:rsidR="00335143" w:rsidRPr="00882F11">
        <w:rPr>
          <w:rFonts w:cs="Guttman Drogolin" w:hint="cs"/>
          <w:rtl/>
          <w:lang w:bidi="he-IL"/>
        </w:rPr>
        <w:t>ואילו</w:t>
      </w:r>
      <w:r w:rsidR="00335143" w:rsidRPr="00882F11">
        <w:rPr>
          <w:rFonts w:cs="Guttman Drogolin"/>
          <w:rtl/>
          <w:lang w:bidi="he-IL"/>
        </w:rPr>
        <w:t xml:space="preserve"> </w:t>
      </w:r>
      <w:r w:rsidR="00335143" w:rsidRPr="00882F11">
        <w:rPr>
          <w:rFonts w:cs="Guttman Drogolin" w:hint="cs"/>
          <w:rtl/>
          <w:lang w:bidi="he-IL"/>
        </w:rPr>
        <w:t>אנא</w:t>
      </w:r>
      <w:r w:rsidR="00335143" w:rsidRPr="00882F11">
        <w:rPr>
          <w:rFonts w:cs="Guttman Drogolin"/>
          <w:rtl/>
          <w:lang w:bidi="he-IL"/>
        </w:rPr>
        <w:t xml:space="preserve"> </w:t>
      </w:r>
      <w:r w:rsidR="00335143" w:rsidRPr="00882F11">
        <w:rPr>
          <w:rFonts w:cs="Guttman Drogolin" w:hint="cs"/>
          <w:rtl/>
          <w:lang w:bidi="he-IL"/>
        </w:rPr>
        <w:t>בהא</w:t>
      </w:r>
      <w:r w:rsidR="00335143" w:rsidRPr="00882F11">
        <w:rPr>
          <w:rFonts w:cs="Guttman Drogolin"/>
          <w:rtl/>
          <w:lang w:bidi="he-IL"/>
        </w:rPr>
        <w:t xml:space="preserve"> </w:t>
      </w:r>
      <w:r w:rsidR="00335143" w:rsidRPr="00882F11">
        <w:rPr>
          <w:rFonts w:cs="Guttman Drogolin" w:hint="cs"/>
          <w:rtl/>
          <w:lang w:bidi="he-IL"/>
        </w:rPr>
        <w:t>סעודתא</w:t>
      </w:r>
      <w:r w:rsidR="00335143" w:rsidRPr="00882F11">
        <w:rPr>
          <w:rFonts w:cs="Guttman Drogolin"/>
          <w:rtl/>
          <w:lang w:bidi="he-IL"/>
        </w:rPr>
        <w:t xml:space="preserve"> </w:t>
      </w:r>
      <w:r w:rsidR="00335143" w:rsidRPr="00882F11">
        <w:rPr>
          <w:rFonts w:cs="Guttman Drogolin" w:hint="cs"/>
          <w:rtl/>
          <w:lang w:bidi="he-IL"/>
        </w:rPr>
        <w:t>הוא</w:t>
      </w:r>
      <w:r w:rsidR="00335143" w:rsidRPr="00882F11">
        <w:rPr>
          <w:rFonts w:cs="Guttman Drogolin"/>
          <w:rtl/>
          <w:lang w:bidi="he-IL"/>
        </w:rPr>
        <w:t xml:space="preserve"> </w:t>
      </w:r>
      <w:r w:rsidR="00335143" w:rsidRPr="00882F11">
        <w:rPr>
          <w:rFonts w:cs="Guttman Drogolin" w:hint="cs"/>
          <w:rtl/>
          <w:lang w:bidi="he-IL"/>
        </w:rPr>
        <w:t>דלא</w:t>
      </w:r>
      <w:r w:rsidR="00335143" w:rsidRPr="00882F11">
        <w:rPr>
          <w:rFonts w:cs="Guttman Drogolin"/>
          <w:rtl/>
          <w:lang w:bidi="he-IL"/>
        </w:rPr>
        <w:t xml:space="preserve"> </w:t>
      </w:r>
      <w:r w:rsidR="00335143" w:rsidRPr="00882F11">
        <w:rPr>
          <w:rFonts w:cs="Guttman Drogolin" w:hint="cs"/>
          <w:rtl/>
          <w:lang w:bidi="he-IL"/>
        </w:rPr>
        <w:t>אכילנא</w:t>
      </w:r>
      <w:r w:rsidR="00335143" w:rsidRPr="00882F11">
        <w:rPr>
          <w:rFonts w:cs="Guttman Drogolin"/>
          <w:rtl/>
          <w:lang w:bidi="he-IL"/>
        </w:rPr>
        <w:t xml:space="preserve"> </w:t>
      </w:r>
      <w:r w:rsidR="00335143" w:rsidRPr="00882F11">
        <w:rPr>
          <w:rFonts w:cs="Guttman Drogolin" w:hint="cs"/>
          <w:rtl/>
          <w:lang w:bidi="he-IL"/>
        </w:rPr>
        <w:t>לסעודתא</w:t>
      </w:r>
      <w:r w:rsidR="00335143" w:rsidRPr="00882F11">
        <w:rPr>
          <w:rFonts w:cs="Guttman Drogolin"/>
          <w:rtl/>
          <w:lang w:bidi="he-IL"/>
        </w:rPr>
        <w:t xml:space="preserve"> </w:t>
      </w:r>
      <w:r w:rsidR="00335143" w:rsidRPr="00882F11">
        <w:rPr>
          <w:rFonts w:cs="Guttman Drogolin" w:hint="cs"/>
          <w:rtl/>
          <w:lang w:bidi="he-IL"/>
        </w:rPr>
        <w:t>אחריתא</w:t>
      </w:r>
      <w:r w:rsidR="00335143" w:rsidRPr="00882F11">
        <w:rPr>
          <w:rFonts w:cs="Guttman Drogolin"/>
          <w:rtl/>
          <w:lang w:bidi="he-IL"/>
        </w:rPr>
        <w:t xml:space="preserve"> </w:t>
      </w:r>
      <w:r w:rsidR="00335143" w:rsidRPr="00882F11">
        <w:rPr>
          <w:rFonts w:cs="Guttman Drogolin" w:hint="cs"/>
          <w:rtl/>
          <w:lang w:bidi="he-IL"/>
        </w:rPr>
        <w:t>אכילנא". ור"ל שלדינא אין צריך להמתין אלא עד סעודה אחריתי, ונחלקו הראשונים מהו סעודה אחריתי. בתוס' מבואר שהוא פשוטו כמשמעו, שאם יתחיל סעודה אחרת אפילו מיד יוכל כבר לאכול גבינה. ואילו ברמב"ם איתא (סופ"ט מהל' מאכ"א) "מי</w:t>
      </w:r>
      <w:r w:rsidR="00335143" w:rsidRPr="00882F11">
        <w:rPr>
          <w:rFonts w:cs="Guttman Drogolin"/>
          <w:rtl/>
          <w:lang w:bidi="he-IL"/>
        </w:rPr>
        <w:t xml:space="preserve"> </w:t>
      </w:r>
      <w:r w:rsidR="00335143" w:rsidRPr="00882F11">
        <w:rPr>
          <w:rFonts w:cs="Guttman Drogolin" w:hint="cs"/>
          <w:rtl/>
          <w:lang w:bidi="he-IL"/>
        </w:rPr>
        <w:t>שאכל</w:t>
      </w:r>
      <w:r w:rsidR="00335143" w:rsidRPr="00882F11">
        <w:rPr>
          <w:rFonts w:cs="Guttman Drogolin"/>
          <w:rtl/>
          <w:lang w:bidi="he-IL"/>
        </w:rPr>
        <w:t xml:space="preserve"> </w:t>
      </w:r>
      <w:r w:rsidR="00335143" w:rsidRPr="00882F11">
        <w:rPr>
          <w:rFonts w:cs="Guttman Drogolin" w:hint="cs"/>
          <w:rtl/>
          <w:lang w:bidi="he-IL"/>
        </w:rPr>
        <w:t>בשר</w:t>
      </w:r>
      <w:r w:rsidR="00335143" w:rsidRPr="00882F11">
        <w:rPr>
          <w:rFonts w:cs="Guttman Drogolin"/>
          <w:rtl/>
          <w:lang w:bidi="he-IL"/>
        </w:rPr>
        <w:t xml:space="preserve"> </w:t>
      </w:r>
      <w:r w:rsidR="00335143" w:rsidRPr="00882F11">
        <w:rPr>
          <w:rFonts w:cs="Guttman Drogolin" w:hint="cs"/>
          <w:rtl/>
          <w:lang w:bidi="he-IL"/>
        </w:rPr>
        <w:t>בתחלה</w:t>
      </w:r>
      <w:r w:rsidR="00335143" w:rsidRPr="00882F11">
        <w:rPr>
          <w:rFonts w:cs="Guttman Drogolin"/>
          <w:rtl/>
          <w:lang w:bidi="he-IL"/>
        </w:rPr>
        <w:t xml:space="preserve"> </w:t>
      </w:r>
      <w:r w:rsidR="00335143" w:rsidRPr="00882F11">
        <w:rPr>
          <w:rFonts w:cs="Guttman Drogolin" w:hint="cs"/>
          <w:rtl/>
          <w:lang w:bidi="he-IL"/>
        </w:rPr>
        <w:t>בין</w:t>
      </w:r>
      <w:r w:rsidR="00335143" w:rsidRPr="00882F11">
        <w:rPr>
          <w:rFonts w:cs="Guttman Drogolin"/>
          <w:rtl/>
          <w:lang w:bidi="he-IL"/>
        </w:rPr>
        <w:t xml:space="preserve"> </w:t>
      </w:r>
      <w:r w:rsidR="00335143" w:rsidRPr="00882F11">
        <w:rPr>
          <w:rFonts w:cs="Guttman Drogolin" w:hint="cs"/>
          <w:rtl/>
          <w:lang w:bidi="he-IL"/>
        </w:rPr>
        <w:t>בשר</w:t>
      </w:r>
      <w:r w:rsidR="00335143" w:rsidRPr="00882F11">
        <w:rPr>
          <w:rFonts w:cs="Guttman Drogolin"/>
          <w:rtl/>
          <w:lang w:bidi="he-IL"/>
        </w:rPr>
        <w:t xml:space="preserve"> </w:t>
      </w:r>
      <w:r w:rsidR="00335143" w:rsidRPr="00882F11">
        <w:rPr>
          <w:rFonts w:cs="Guttman Drogolin" w:hint="cs"/>
          <w:rtl/>
          <w:lang w:bidi="he-IL"/>
        </w:rPr>
        <w:t>בהמה</w:t>
      </w:r>
      <w:r w:rsidR="00335143" w:rsidRPr="00882F11">
        <w:rPr>
          <w:rFonts w:cs="Guttman Drogolin"/>
          <w:rtl/>
          <w:lang w:bidi="he-IL"/>
        </w:rPr>
        <w:t xml:space="preserve"> </w:t>
      </w:r>
      <w:r w:rsidR="00335143" w:rsidRPr="00882F11">
        <w:rPr>
          <w:rFonts w:cs="Guttman Drogolin" w:hint="cs"/>
          <w:rtl/>
          <w:lang w:bidi="he-IL"/>
        </w:rPr>
        <w:t>בין</w:t>
      </w:r>
      <w:r w:rsidR="00335143" w:rsidRPr="00882F11">
        <w:rPr>
          <w:rFonts w:cs="Guttman Drogolin"/>
          <w:rtl/>
          <w:lang w:bidi="he-IL"/>
        </w:rPr>
        <w:t xml:space="preserve"> </w:t>
      </w:r>
      <w:r w:rsidR="00335143" w:rsidRPr="00882F11">
        <w:rPr>
          <w:rFonts w:cs="Guttman Drogolin" w:hint="cs"/>
          <w:rtl/>
          <w:lang w:bidi="he-IL"/>
        </w:rPr>
        <w:t>בשר</w:t>
      </w:r>
      <w:r w:rsidR="00335143" w:rsidRPr="00882F11">
        <w:rPr>
          <w:rFonts w:cs="Guttman Drogolin"/>
          <w:rtl/>
          <w:lang w:bidi="he-IL"/>
        </w:rPr>
        <w:t xml:space="preserve"> </w:t>
      </w:r>
      <w:r w:rsidR="00335143" w:rsidRPr="00882F11">
        <w:rPr>
          <w:rFonts w:cs="Guttman Drogolin" w:hint="cs"/>
          <w:rtl/>
          <w:lang w:bidi="he-IL"/>
        </w:rPr>
        <w:t>עוף</w:t>
      </w:r>
      <w:r w:rsidR="00335143" w:rsidRPr="00882F11">
        <w:rPr>
          <w:rFonts w:cs="Guttman Drogolin"/>
          <w:rtl/>
          <w:lang w:bidi="he-IL"/>
        </w:rPr>
        <w:t xml:space="preserve"> </w:t>
      </w:r>
      <w:r w:rsidR="00335143" w:rsidRPr="00882F11">
        <w:rPr>
          <w:rFonts w:cs="Guttman Drogolin" w:hint="cs"/>
          <w:rtl/>
          <w:lang w:bidi="he-IL"/>
        </w:rPr>
        <w:t>לא</w:t>
      </w:r>
      <w:r w:rsidR="00335143" w:rsidRPr="00882F11">
        <w:rPr>
          <w:rFonts w:cs="Guttman Drogolin"/>
          <w:rtl/>
          <w:lang w:bidi="he-IL"/>
        </w:rPr>
        <w:t xml:space="preserve"> </w:t>
      </w:r>
      <w:r w:rsidR="00335143" w:rsidRPr="00882F11">
        <w:rPr>
          <w:rFonts w:cs="Guttman Drogolin" w:hint="cs"/>
          <w:rtl/>
          <w:lang w:bidi="he-IL"/>
        </w:rPr>
        <w:t>יאכל</w:t>
      </w:r>
      <w:r w:rsidR="00335143" w:rsidRPr="00882F11">
        <w:rPr>
          <w:rFonts w:cs="Guttman Drogolin"/>
          <w:rtl/>
          <w:lang w:bidi="he-IL"/>
        </w:rPr>
        <w:t xml:space="preserve"> </w:t>
      </w:r>
      <w:r w:rsidR="00335143" w:rsidRPr="00882F11">
        <w:rPr>
          <w:rFonts w:cs="Guttman Drogolin" w:hint="cs"/>
          <w:rtl/>
          <w:lang w:bidi="he-IL"/>
        </w:rPr>
        <w:t>אחריו</w:t>
      </w:r>
      <w:r w:rsidR="00335143" w:rsidRPr="00882F11">
        <w:rPr>
          <w:rFonts w:cs="Guttman Drogolin"/>
          <w:rtl/>
          <w:lang w:bidi="he-IL"/>
        </w:rPr>
        <w:t xml:space="preserve"> </w:t>
      </w:r>
      <w:r w:rsidR="00335143" w:rsidRPr="00882F11">
        <w:rPr>
          <w:rFonts w:cs="Guttman Drogolin" w:hint="cs"/>
          <w:rtl/>
          <w:lang w:bidi="he-IL"/>
        </w:rPr>
        <w:t>חלב</w:t>
      </w:r>
      <w:r w:rsidR="00335143" w:rsidRPr="00882F11">
        <w:rPr>
          <w:rFonts w:cs="Guttman Drogolin"/>
          <w:rtl/>
          <w:lang w:bidi="he-IL"/>
        </w:rPr>
        <w:t xml:space="preserve"> </w:t>
      </w:r>
      <w:r w:rsidR="00335143" w:rsidRPr="00882F11">
        <w:rPr>
          <w:rFonts w:cs="Guttman Drogolin" w:hint="cs"/>
          <w:rtl/>
          <w:lang w:bidi="he-IL"/>
        </w:rPr>
        <w:t>עד</w:t>
      </w:r>
      <w:r w:rsidR="00335143" w:rsidRPr="00882F11">
        <w:rPr>
          <w:rFonts w:cs="Guttman Drogolin"/>
          <w:rtl/>
          <w:lang w:bidi="he-IL"/>
        </w:rPr>
        <w:t xml:space="preserve"> </w:t>
      </w:r>
      <w:r w:rsidR="00335143" w:rsidRPr="00882F11">
        <w:rPr>
          <w:rFonts w:cs="Guttman Drogolin" w:hint="cs"/>
          <w:rtl/>
          <w:lang w:bidi="he-IL"/>
        </w:rPr>
        <w:t>שיהיה</w:t>
      </w:r>
      <w:r w:rsidR="00335143" w:rsidRPr="00882F11">
        <w:rPr>
          <w:rFonts w:cs="Guttman Drogolin"/>
          <w:rtl/>
          <w:lang w:bidi="he-IL"/>
        </w:rPr>
        <w:t xml:space="preserve"> </w:t>
      </w:r>
      <w:r w:rsidR="00335143" w:rsidRPr="00882F11">
        <w:rPr>
          <w:rFonts w:cs="Guttman Drogolin" w:hint="cs"/>
          <w:rtl/>
          <w:lang w:bidi="he-IL"/>
        </w:rPr>
        <w:t>ביניהן</w:t>
      </w:r>
      <w:r w:rsidR="00335143" w:rsidRPr="00882F11">
        <w:rPr>
          <w:rFonts w:cs="Guttman Drogolin"/>
          <w:rtl/>
          <w:lang w:bidi="he-IL"/>
        </w:rPr>
        <w:t xml:space="preserve"> </w:t>
      </w:r>
      <w:r w:rsidR="00335143" w:rsidRPr="00882F11">
        <w:rPr>
          <w:rFonts w:cs="Guttman Drogolin" w:hint="cs"/>
          <w:rtl/>
          <w:lang w:bidi="he-IL"/>
        </w:rPr>
        <w:t>כדי</w:t>
      </w:r>
      <w:r w:rsidR="00335143" w:rsidRPr="00882F11">
        <w:rPr>
          <w:rFonts w:cs="Guttman Drogolin"/>
          <w:rtl/>
          <w:lang w:bidi="he-IL"/>
        </w:rPr>
        <w:t xml:space="preserve"> </w:t>
      </w:r>
      <w:r w:rsidR="00335143" w:rsidRPr="00882F11">
        <w:rPr>
          <w:rFonts w:cs="Guttman Drogolin" w:hint="cs"/>
          <w:rtl/>
          <w:lang w:bidi="he-IL"/>
        </w:rPr>
        <w:t>שיעור</w:t>
      </w:r>
      <w:r w:rsidR="00335143" w:rsidRPr="00882F11">
        <w:rPr>
          <w:rFonts w:cs="Guttman Drogolin"/>
          <w:rtl/>
          <w:lang w:bidi="he-IL"/>
        </w:rPr>
        <w:t xml:space="preserve"> </w:t>
      </w:r>
      <w:r w:rsidR="00335143" w:rsidRPr="00882F11">
        <w:rPr>
          <w:rFonts w:cs="Guttman Drogolin" w:hint="cs"/>
          <w:rtl/>
          <w:lang w:bidi="he-IL"/>
        </w:rPr>
        <w:t>סעודה</w:t>
      </w:r>
      <w:r w:rsidR="00335143" w:rsidRPr="00882F11">
        <w:rPr>
          <w:rFonts w:cs="Guttman Drogolin"/>
          <w:rtl/>
          <w:lang w:bidi="he-IL"/>
        </w:rPr>
        <w:t xml:space="preserve"> </w:t>
      </w:r>
      <w:r w:rsidR="00335143" w:rsidRPr="00882F11">
        <w:rPr>
          <w:rFonts w:cs="Guttman Drogolin" w:hint="cs"/>
          <w:rtl/>
          <w:lang w:bidi="he-IL"/>
        </w:rPr>
        <w:t>אחרת</w:t>
      </w:r>
      <w:r w:rsidR="00335143" w:rsidRPr="00882F11">
        <w:rPr>
          <w:rFonts w:cs="Guttman Drogolin"/>
          <w:rtl/>
          <w:lang w:bidi="he-IL"/>
        </w:rPr>
        <w:t xml:space="preserve"> </w:t>
      </w:r>
      <w:r w:rsidR="00335143" w:rsidRPr="00882F11">
        <w:rPr>
          <w:rFonts w:cs="Guttman Drogolin" w:hint="cs"/>
          <w:rtl/>
          <w:lang w:bidi="he-IL"/>
        </w:rPr>
        <w:t>והוא</w:t>
      </w:r>
      <w:r w:rsidR="00335143" w:rsidRPr="00882F11">
        <w:rPr>
          <w:rFonts w:cs="Guttman Drogolin"/>
          <w:rtl/>
          <w:lang w:bidi="he-IL"/>
        </w:rPr>
        <w:t xml:space="preserve"> </w:t>
      </w:r>
      <w:r w:rsidR="00335143" w:rsidRPr="00882F11">
        <w:rPr>
          <w:rFonts w:cs="Guttman Drogolin" w:hint="cs"/>
          <w:rtl/>
          <w:lang w:bidi="he-IL"/>
        </w:rPr>
        <w:t>כמו</w:t>
      </w:r>
      <w:r w:rsidR="00335143" w:rsidRPr="00882F11">
        <w:rPr>
          <w:rFonts w:cs="Guttman Drogolin"/>
          <w:rtl/>
          <w:lang w:bidi="he-IL"/>
        </w:rPr>
        <w:t xml:space="preserve"> </w:t>
      </w:r>
      <w:r w:rsidR="00335143" w:rsidRPr="00882F11">
        <w:rPr>
          <w:rFonts w:cs="Guttman Drogolin" w:hint="cs"/>
          <w:rtl/>
          <w:lang w:bidi="he-IL"/>
        </w:rPr>
        <w:t>שש</w:t>
      </w:r>
      <w:r w:rsidR="00335143" w:rsidRPr="00882F11">
        <w:rPr>
          <w:rFonts w:cs="Guttman Drogolin"/>
          <w:rtl/>
          <w:lang w:bidi="he-IL"/>
        </w:rPr>
        <w:t xml:space="preserve"> </w:t>
      </w:r>
      <w:r w:rsidR="00335143" w:rsidRPr="00882F11">
        <w:rPr>
          <w:rFonts w:cs="Guttman Drogolin" w:hint="cs"/>
          <w:rtl/>
          <w:lang w:bidi="he-IL"/>
        </w:rPr>
        <w:t xml:space="preserve">שעות". הרי דבעינן כדי שיעור סעודה ביניהם, והתוס' רמזו לפי' זה ודחוהו.     </w:t>
      </w:r>
    </w:p>
    <w:p w:rsidR="00335143" w:rsidRPr="00882F11" w:rsidRDefault="00064B82" w:rsidP="00335143">
      <w:pPr>
        <w:bidi/>
        <w:jc w:val="both"/>
        <w:rPr>
          <w:rFonts w:cs="Guttman Drogolin"/>
          <w:rtl/>
          <w:lang w:bidi="he-IL"/>
        </w:rPr>
      </w:pPr>
      <w:r>
        <w:rPr>
          <w:rFonts w:cs="Guttman Drogolin"/>
          <w:rtl/>
          <w:lang w:bidi="he-IL"/>
        </w:rPr>
        <w:fldChar w:fldCharType="begin"/>
      </w:r>
      <w:r>
        <w:instrText xml:space="preserve"> XE "</w:instrText>
      </w:r>
      <w:r w:rsidRPr="00E16053">
        <w:rPr>
          <w:rFonts w:hint="cs"/>
          <w:rtl/>
          <w:lang w:bidi="he-IL"/>
        </w:rPr>
        <w:instrText>בשר בחלב - חיוב המתנה</w:instrText>
      </w:r>
      <w:r w:rsidRPr="00E16053">
        <w:rPr>
          <w:rtl/>
        </w:rPr>
        <w:instrText>:</w:instrText>
      </w:r>
      <w:r w:rsidRPr="00E16053">
        <w:rPr>
          <w:rFonts w:hint="cs"/>
          <w:rtl/>
          <w:lang w:bidi="he-IL"/>
        </w:rPr>
        <w:instrText>טעם האיסור</w:instrText>
      </w:r>
      <w:r>
        <w:instrText xml:space="preserve">" </w:instrText>
      </w:r>
      <w:r>
        <w:rPr>
          <w:rFonts w:cs="Guttman Drogolin"/>
          <w:rtl/>
          <w:lang w:bidi="he-IL"/>
        </w:rPr>
        <w:fldChar w:fldCharType="end"/>
      </w:r>
      <w:r w:rsidR="00335143" w:rsidRPr="00882F11">
        <w:rPr>
          <w:rFonts w:cs="Guttman Drogolin" w:hint="cs"/>
          <w:rtl/>
          <w:lang w:bidi="he-IL"/>
        </w:rPr>
        <w:t>ו</w:t>
      </w:r>
      <w:r w:rsidR="00E33DA3" w:rsidRPr="00882F11">
        <w:rPr>
          <w:rFonts w:cs="Guttman Drogolin" w:hint="cs"/>
          <w:rtl/>
          <w:lang w:bidi="he-IL"/>
        </w:rPr>
        <w:t xml:space="preserve">לא מבואר בהדיא בגמ' טעם לאיסור זה, והמפורסם בזה הוא מחלוקת רש"י ורמב"ם, אבל נציע ד' דרכים בדבר זה בעזהי"ת. </w:t>
      </w:r>
    </w:p>
    <w:p w:rsidR="0053786B" w:rsidRPr="00882F11" w:rsidRDefault="00064B82" w:rsidP="003356AE">
      <w:pPr>
        <w:bidi/>
        <w:jc w:val="both"/>
        <w:rPr>
          <w:rFonts w:cs="Guttman Drogolin"/>
          <w:rtl/>
          <w:lang w:bidi="he-IL"/>
        </w:rPr>
      </w:pPr>
      <w:r>
        <w:rPr>
          <w:rFonts w:cs="Guttman Drogolin"/>
          <w:b/>
          <w:bCs/>
          <w:sz w:val="24"/>
          <w:szCs w:val="24"/>
          <w:rtl/>
          <w:lang w:bidi="he-IL"/>
        </w:rPr>
        <w:fldChar w:fldCharType="begin"/>
      </w:r>
      <w:r>
        <w:instrText xml:space="preserve"> XE "</w:instrText>
      </w:r>
      <w:r w:rsidR="009B32D8">
        <w:rPr>
          <w:rFonts w:hint="cs"/>
          <w:rtl/>
          <w:lang w:bidi="he-IL"/>
        </w:rPr>
        <w:instrText>ב</w:instrText>
      </w:r>
      <w:r w:rsidRPr="00A827B8">
        <w:rPr>
          <w:rFonts w:hint="cs"/>
          <w:rtl/>
          <w:lang w:bidi="he-IL"/>
        </w:rPr>
        <w:instrText>ש</w:instrText>
      </w:r>
      <w:r w:rsidR="009B32D8">
        <w:rPr>
          <w:rFonts w:hint="cs"/>
          <w:rtl/>
          <w:lang w:bidi="he-IL"/>
        </w:rPr>
        <w:instrText>ר</w:instrText>
      </w:r>
      <w:r w:rsidRPr="00A827B8">
        <w:rPr>
          <w:rFonts w:hint="cs"/>
          <w:rtl/>
          <w:lang w:bidi="he-IL"/>
        </w:rPr>
        <w:instrText xml:space="preserve"> בחלב - חיוב המתנה</w:instrText>
      </w:r>
      <w:r w:rsidRPr="00A827B8">
        <w:rPr>
          <w:rtl/>
        </w:rPr>
        <w:instrText>:</w:instrText>
      </w:r>
      <w:r w:rsidRPr="00A827B8">
        <w:rPr>
          <w:rFonts w:hint="cs"/>
          <w:rtl/>
          <w:lang w:bidi="he-IL"/>
        </w:rPr>
        <w:instrText>שיטת ר</w:instrText>
      </w:r>
      <w:r>
        <w:rPr>
          <w:rFonts w:eastAsiaTheme="minorEastAsia"/>
          <w:lang w:bidi="he-IL"/>
        </w:rPr>
        <w:instrText>\</w:instrText>
      </w:r>
      <w:r w:rsidRPr="00A827B8">
        <w:rPr>
          <w:rFonts w:hint="cs"/>
          <w:rtl/>
          <w:lang w:bidi="he-IL"/>
        </w:rPr>
        <w:instrText>"ת ובה</w:instrText>
      </w:r>
      <w:r>
        <w:rPr>
          <w:rFonts w:eastAsiaTheme="minorEastAsia"/>
          <w:lang w:bidi="he-IL"/>
        </w:rPr>
        <w:instrText>\</w:instrText>
      </w:r>
      <w:r w:rsidRPr="00A827B8">
        <w:rPr>
          <w:rFonts w:hint="cs"/>
          <w:rtl/>
          <w:lang w:bidi="he-IL"/>
        </w:rPr>
        <w:instrText>"ג</w:instrText>
      </w:r>
      <w:r>
        <w:instrText xml:space="preserve">" </w:instrText>
      </w:r>
      <w:r>
        <w:rPr>
          <w:rFonts w:cs="Guttman Drogolin"/>
          <w:b/>
          <w:bCs/>
          <w:sz w:val="24"/>
          <w:szCs w:val="24"/>
          <w:rtl/>
          <w:lang w:bidi="he-IL"/>
        </w:rPr>
        <w:fldChar w:fldCharType="end"/>
      </w:r>
      <w:r w:rsidR="00335143" w:rsidRPr="00882F11">
        <w:rPr>
          <w:rFonts w:cs="Guttman Drogolin" w:hint="cs"/>
          <w:b/>
          <w:bCs/>
          <w:sz w:val="24"/>
          <w:szCs w:val="24"/>
          <w:rtl/>
          <w:lang w:bidi="he-IL"/>
        </w:rPr>
        <w:t>שיטת ר"ת והבה"ג:</w:t>
      </w:r>
      <w:r w:rsidR="00E33DA3" w:rsidRPr="00882F11">
        <w:rPr>
          <w:rFonts w:cs="Guttman Drogolin"/>
          <w:rtl/>
          <w:lang w:bidi="he-IL"/>
        </w:rPr>
        <w:t xml:space="preserve"> </w:t>
      </w:r>
      <w:r w:rsidR="00335143" w:rsidRPr="00882F11">
        <w:rPr>
          <w:rFonts w:cs="Guttman Drogolin" w:hint="cs"/>
          <w:rtl/>
          <w:lang w:bidi="he-IL"/>
        </w:rPr>
        <w:t xml:space="preserve">ר"ת ובה"ג סוברים שבעצם אין איסור אכילת גבינה לאחר שאבל בשר, </w:t>
      </w:r>
      <w:r w:rsidR="00B96BA9" w:rsidRPr="00882F11">
        <w:rPr>
          <w:rFonts w:cs="Guttman Drogolin" w:hint="cs"/>
          <w:rtl/>
          <w:lang w:bidi="he-IL"/>
        </w:rPr>
        <w:t xml:space="preserve">דהא דקאמר ר' חסדא שהאוכל בשר אסור לאכול גבינה היינו בלי קינוח הדחה ונט"י. ומה שמר עוקבא המתין בין סעודה לסעודה היינו או דהוא בלי קו"ה </w:t>
      </w:r>
      <w:r w:rsidR="00B96BA9" w:rsidRPr="00882F11">
        <w:rPr>
          <w:rFonts w:cs="Guttman Drogolin" w:hint="cs"/>
          <w:rtl/>
          <w:lang w:bidi="he-IL"/>
        </w:rPr>
        <w:lastRenderedPageBreak/>
        <w:t>ונט"י, או"ד</w:t>
      </w:r>
      <w:r w:rsidR="00335143" w:rsidRPr="00882F11">
        <w:rPr>
          <w:rFonts w:cs="Guttman Drogolin" w:hint="cs"/>
          <w:rtl/>
          <w:lang w:bidi="he-IL"/>
        </w:rPr>
        <w:t xml:space="preserve"> </w:t>
      </w:r>
      <w:r w:rsidR="00B96BA9" w:rsidRPr="00882F11">
        <w:rPr>
          <w:rFonts w:cs="Guttman Drogolin" w:hint="cs"/>
          <w:rtl/>
          <w:lang w:bidi="he-IL"/>
        </w:rPr>
        <w:t>משום שמחמיר על עצמו הי'. ור"ל שלפי שיטה זו יוצא או שאין דין של בין סעודה לסעודה כלל, או שהוא קולא בקינוח והדחה שבסעודה אחרת כבר אינו חייב בהם.</w:t>
      </w:r>
      <w:r w:rsidR="003356AE" w:rsidRPr="00882F11">
        <w:rPr>
          <w:rFonts w:cs="Guttman Drogolin" w:hint="cs"/>
          <w:rtl/>
          <w:lang w:bidi="he-IL"/>
        </w:rPr>
        <w:t xml:space="preserve"> ויל"ע מה מועיל בין סעודה לסעודה לענין החיוב של קינוח והדחה ונט"י. ואילו הי' הזמן של בין סעודה לסעודה כדעת הרמב"ם הי' אפשר להבין שאחרי משך זמן של כעין שש שעות כבר לא נשאר משהו בידים ובפה, אבל לשיטת התוס' עצמם שהוא רק ענין של סילוק השולחן מא"ל. ואולי י"ל שגם לדעת התוס' טעם ההיתר משום שבדרך כלל יש משך זמן בין סעודה לסעודה, ולכן בדר"כ בסעודה השני כבר לא יהיו שאריות בידים ובחניכיים. רק שהתוס' סוברים שכיון שלשון הגמ' הוא מסעודה לסעודה, "לא פלוג רבנן" </w:t>
      </w:r>
      <w:r w:rsidR="0093420F" w:rsidRPr="00882F11">
        <w:rPr>
          <w:rFonts w:cs="Guttman Drogolin" w:hint="cs"/>
          <w:rtl/>
          <w:lang w:bidi="he-IL"/>
        </w:rPr>
        <w:t xml:space="preserve">(כלשונם של התוס') </w:t>
      </w:r>
      <w:r w:rsidR="003356AE" w:rsidRPr="00882F11">
        <w:rPr>
          <w:rFonts w:cs="Guttman Drogolin" w:hint="cs"/>
          <w:rtl/>
          <w:lang w:bidi="he-IL"/>
        </w:rPr>
        <w:t>ובכל סעודה אחרת הקילו. ומבני החבורה העירו שי"ל שגדר החיוב של קינוח הדחה ונט"י הוא דכיון שנשארו שאריות של הבשר בפיו או על ידיו בזמן שאוכל גבינה הרי זה כאכילה ביחד, אבל אם הוא בסעודתא אחריתי כבר לא נראה כאכילה ביחד ושוב אין לאסור אפילו אם יש שאריות על היד או בתוך הפה.</w:t>
      </w:r>
    </w:p>
    <w:p w:rsidR="009F0C08" w:rsidRPr="00882F11" w:rsidRDefault="00064B82" w:rsidP="002E6176">
      <w:pPr>
        <w:bidi/>
        <w:jc w:val="both"/>
        <w:rPr>
          <w:rFonts w:cs="Guttman Drogolin"/>
          <w:rtl/>
          <w:lang w:bidi="he-IL"/>
        </w:rPr>
      </w:pPr>
      <w:r>
        <w:rPr>
          <w:rFonts w:cs="Guttman Drogolin"/>
          <w:b/>
          <w:bCs/>
          <w:sz w:val="24"/>
          <w:szCs w:val="24"/>
          <w:rtl/>
          <w:lang w:bidi="he-IL"/>
        </w:rPr>
        <w:fldChar w:fldCharType="begin"/>
      </w:r>
      <w:r>
        <w:instrText xml:space="preserve"> XE "</w:instrText>
      </w:r>
      <w:r w:rsidRPr="00604FF0">
        <w:rPr>
          <w:rFonts w:hint="cs"/>
          <w:rtl/>
          <w:lang w:bidi="he-IL"/>
        </w:rPr>
        <w:instrText>בשר בחלב - חיוב המתנה</w:instrText>
      </w:r>
      <w:r w:rsidRPr="00604FF0">
        <w:rPr>
          <w:rtl/>
        </w:rPr>
        <w:instrText>:</w:instrText>
      </w:r>
      <w:r w:rsidRPr="00604FF0">
        <w:rPr>
          <w:rFonts w:hint="cs"/>
          <w:rtl/>
          <w:lang w:bidi="he-IL"/>
        </w:rPr>
        <w:instrText>תוס' - הדעה הראשונה (ורש</w:instrText>
      </w:r>
      <w:r>
        <w:rPr>
          <w:rFonts w:eastAsiaTheme="minorEastAsia"/>
          <w:lang w:bidi="he-IL"/>
        </w:rPr>
        <w:instrText>\</w:instrText>
      </w:r>
      <w:r w:rsidRPr="00604FF0">
        <w:rPr>
          <w:rFonts w:hint="cs"/>
          <w:rtl/>
          <w:lang w:bidi="he-IL"/>
        </w:rPr>
        <w:instrText>"י)</w:instrText>
      </w:r>
      <w:r>
        <w:instrText xml:space="preserve">" </w:instrText>
      </w:r>
      <w:r>
        <w:rPr>
          <w:rFonts w:cs="Guttman Drogolin"/>
          <w:b/>
          <w:bCs/>
          <w:sz w:val="24"/>
          <w:szCs w:val="24"/>
          <w:rtl/>
          <w:lang w:bidi="he-IL"/>
        </w:rPr>
        <w:fldChar w:fldCharType="end"/>
      </w:r>
      <w:r w:rsidR="0053786B" w:rsidRPr="00882F11">
        <w:rPr>
          <w:rFonts w:cs="Guttman Drogolin" w:hint="cs"/>
          <w:b/>
          <w:bCs/>
          <w:sz w:val="24"/>
          <w:szCs w:val="24"/>
          <w:rtl/>
          <w:lang w:bidi="he-IL"/>
        </w:rPr>
        <w:t>הדעה הראשונה בתוס' (וכן לכאורה שיטת רש"י):</w:t>
      </w:r>
      <w:r w:rsidR="0053786B" w:rsidRPr="00882F11">
        <w:rPr>
          <w:rFonts w:cs="Guttman Drogolin" w:hint="cs"/>
          <w:b/>
          <w:bCs/>
          <w:rtl/>
          <w:lang w:bidi="he-IL"/>
        </w:rPr>
        <w:t xml:space="preserve"> </w:t>
      </w:r>
      <w:r w:rsidR="0053786B" w:rsidRPr="00882F11">
        <w:rPr>
          <w:rFonts w:cs="Guttman Drogolin" w:hint="cs"/>
          <w:rtl/>
          <w:lang w:bidi="he-IL"/>
        </w:rPr>
        <w:t>הם סוברים שיש איסור לאכול גבינה לאחר בשר, והטעם כמש"כ רש"י ק"ה ע"א ד"ה אסור לאכול גבינה "משום</w:t>
      </w:r>
      <w:r w:rsidR="0053786B" w:rsidRPr="00882F11">
        <w:rPr>
          <w:rFonts w:cs="Guttman Drogolin"/>
          <w:rtl/>
          <w:lang w:bidi="he-IL"/>
        </w:rPr>
        <w:t xml:space="preserve"> </w:t>
      </w:r>
      <w:r w:rsidR="0053786B" w:rsidRPr="00882F11">
        <w:rPr>
          <w:rFonts w:cs="Guttman Drogolin" w:hint="cs"/>
          <w:rtl/>
          <w:lang w:bidi="he-IL"/>
        </w:rPr>
        <w:t>דבשר</w:t>
      </w:r>
      <w:r w:rsidR="0053786B" w:rsidRPr="00882F11">
        <w:rPr>
          <w:rFonts w:cs="Guttman Drogolin"/>
          <w:rtl/>
          <w:lang w:bidi="he-IL"/>
        </w:rPr>
        <w:t xml:space="preserve"> </w:t>
      </w:r>
      <w:r w:rsidR="0053786B" w:rsidRPr="00882F11">
        <w:rPr>
          <w:rFonts w:cs="Guttman Drogolin" w:hint="cs"/>
          <w:rtl/>
          <w:lang w:bidi="he-IL"/>
        </w:rPr>
        <w:t>מוציא</w:t>
      </w:r>
      <w:r w:rsidR="0053786B" w:rsidRPr="00882F11">
        <w:rPr>
          <w:rFonts w:cs="Guttman Drogolin"/>
          <w:rtl/>
          <w:lang w:bidi="he-IL"/>
        </w:rPr>
        <w:t xml:space="preserve"> </w:t>
      </w:r>
      <w:r w:rsidR="0053786B" w:rsidRPr="00882F11">
        <w:rPr>
          <w:rFonts w:cs="Guttman Drogolin" w:hint="cs"/>
          <w:rtl/>
          <w:lang w:bidi="he-IL"/>
        </w:rPr>
        <w:t>שומן</w:t>
      </w:r>
      <w:r w:rsidR="0053786B" w:rsidRPr="00882F11">
        <w:rPr>
          <w:rFonts w:cs="Guttman Drogolin"/>
          <w:rtl/>
          <w:lang w:bidi="he-IL"/>
        </w:rPr>
        <w:t xml:space="preserve"> </w:t>
      </w:r>
      <w:r w:rsidR="0053786B" w:rsidRPr="00882F11">
        <w:rPr>
          <w:rFonts w:cs="Guttman Drogolin" w:hint="cs"/>
          <w:rtl/>
          <w:lang w:bidi="he-IL"/>
        </w:rPr>
        <w:t>והוא</w:t>
      </w:r>
      <w:r w:rsidR="0053786B" w:rsidRPr="00882F11">
        <w:rPr>
          <w:rFonts w:cs="Guttman Drogolin"/>
          <w:rtl/>
          <w:lang w:bidi="he-IL"/>
        </w:rPr>
        <w:t xml:space="preserve"> </w:t>
      </w:r>
      <w:r w:rsidR="0053786B" w:rsidRPr="00882F11">
        <w:rPr>
          <w:rFonts w:cs="Guttman Drogolin" w:hint="cs"/>
          <w:rtl/>
          <w:lang w:bidi="he-IL"/>
        </w:rPr>
        <w:t>נדבק</w:t>
      </w:r>
      <w:r w:rsidR="0053786B" w:rsidRPr="00882F11">
        <w:rPr>
          <w:rFonts w:cs="Guttman Drogolin"/>
          <w:rtl/>
          <w:lang w:bidi="he-IL"/>
        </w:rPr>
        <w:t xml:space="preserve"> </w:t>
      </w:r>
      <w:r w:rsidR="0053786B" w:rsidRPr="00882F11">
        <w:rPr>
          <w:rFonts w:cs="Guttman Drogolin" w:hint="cs"/>
          <w:rtl/>
          <w:lang w:bidi="he-IL"/>
        </w:rPr>
        <w:t>בפה</w:t>
      </w:r>
      <w:r w:rsidR="0053786B" w:rsidRPr="00882F11">
        <w:rPr>
          <w:rFonts w:cs="Guttman Drogolin"/>
          <w:rtl/>
          <w:lang w:bidi="he-IL"/>
        </w:rPr>
        <w:t xml:space="preserve"> </w:t>
      </w:r>
      <w:r w:rsidR="0053786B" w:rsidRPr="00882F11">
        <w:rPr>
          <w:rFonts w:cs="Guttman Drogolin" w:hint="cs"/>
          <w:rtl/>
          <w:lang w:bidi="he-IL"/>
        </w:rPr>
        <w:t>ומאריך</w:t>
      </w:r>
      <w:r w:rsidR="0053786B" w:rsidRPr="00882F11">
        <w:rPr>
          <w:rFonts w:cs="Guttman Drogolin"/>
          <w:rtl/>
          <w:lang w:bidi="he-IL"/>
        </w:rPr>
        <w:t xml:space="preserve"> </w:t>
      </w:r>
      <w:r w:rsidR="0053786B" w:rsidRPr="00882F11">
        <w:rPr>
          <w:rFonts w:cs="Guttman Drogolin" w:hint="cs"/>
          <w:rtl/>
          <w:lang w:bidi="he-IL"/>
        </w:rPr>
        <w:t>בטעמו</w:t>
      </w:r>
      <w:r w:rsidR="005535A8" w:rsidRPr="00882F11">
        <w:rPr>
          <w:rFonts w:cs="Guttman Drogolin" w:hint="cs"/>
          <w:rtl/>
          <w:lang w:bidi="he-IL"/>
        </w:rPr>
        <w:t>". והיינו לכאורה שיש ש</w:t>
      </w:r>
      <w:r w:rsidR="0053786B" w:rsidRPr="00882F11">
        <w:rPr>
          <w:rFonts w:cs="Guttman Drogolin" w:hint="cs"/>
          <w:rtl/>
          <w:lang w:bidi="he-IL"/>
        </w:rPr>
        <w:t xml:space="preserve">כבה דקה של שומן בפיו ויש הרגש שאוכל בשר וגבינה ביחד. </w:t>
      </w:r>
      <w:r w:rsidR="002E6176" w:rsidRPr="00882F11">
        <w:rPr>
          <w:rFonts w:cs="Guttman Drogolin" w:hint="cs"/>
          <w:rtl/>
          <w:lang w:bidi="he-IL"/>
        </w:rPr>
        <w:t xml:space="preserve">ולכאורה צ"ע </w:t>
      </w:r>
      <w:r w:rsidR="00A64A19" w:rsidRPr="00882F11">
        <w:rPr>
          <w:rFonts w:cs="Guttman Drogolin" w:hint="cs"/>
          <w:rtl/>
          <w:lang w:bidi="he-IL"/>
        </w:rPr>
        <w:t>דא"כ מהו המקום להסתפק בזה</w:t>
      </w:r>
      <w:r w:rsidR="002E6176" w:rsidRPr="00882F11">
        <w:rPr>
          <w:rFonts w:cs="Guttman Drogolin" w:hint="cs"/>
          <w:rtl/>
          <w:lang w:bidi="he-IL"/>
        </w:rPr>
        <w:t>,</w:t>
      </w:r>
      <w:r w:rsidR="00A64A19" w:rsidRPr="00882F11">
        <w:rPr>
          <w:rFonts w:cs="Guttman Drogolin" w:hint="cs"/>
          <w:rtl/>
          <w:lang w:bidi="he-IL"/>
        </w:rPr>
        <w:t xml:space="preserve"> ולמה אינו אלא חיוב המתנה, הא דבר זה אסור משום שאוכל בשר עם גבינה ממש</w:t>
      </w:r>
      <w:r w:rsidR="002E6176" w:rsidRPr="00882F11">
        <w:rPr>
          <w:rFonts w:cs="Guttman Drogolin" w:hint="cs"/>
          <w:rtl/>
          <w:lang w:bidi="he-IL"/>
        </w:rPr>
        <w:t xml:space="preserve">. וראיתי בס' בדי השולחן (סי' פ"ט ציונים ס"ק ב') שהביא לשונם של הפסוקים שטעם החיוב המתנה משום דמיחזי כאכילת בשר בחלב, </w:t>
      </w:r>
      <w:r w:rsidR="002E6176" w:rsidRPr="00882F11">
        <w:rPr>
          <w:rFonts w:cs="Guttman Drogolin" w:hint="cs"/>
          <w:rtl/>
          <w:lang w:bidi="he-IL"/>
        </w:rPr>
        <w:lastRenderedPageBreak/>
        <w:t>והקשה עליהם דלכאורה אין זה רק מיחזי רק אכילת בשר עם חלב ממש</w:t>
      </w:r>
      <w:r w:rsidR="00A64A19" w:rsidRPr="00882F11">
        <w:rPr>
          <w:rFonts w:cs="Guttman Drogolin" w:hint="cs"/>
          <w:rtl/>
          <w:lang w:bidi="he-IL"/>
        </w:rPr>
        <w:t>.</w:t>
      </w:r>
      <w:r w:rsidR="002E6176" w:rsidRPr="00882F11">
        <w:rPr>
          <w:rFonts w:cs="Guttman Drogolin" w:hint="cs"/>
          <w:rtl/>
          <w:lang w:bidi="he-IL"/>
        </w:rPr>
        <w:t xml:space="preserve"> ותי' דאיתכן שאמנם יש שכבה דקה של שומן בפיו, מ"מ אינו נדבק באוכל שאוכל עכשיו ולכן אינו אלא מיחזי</w:t>
      </w:r>
      <w:r w:rsidR="002E6176" w:rsidRPr="00882F11">
        <w:rPr>
          <w:rStyle w:val="FootnoteReference"/>
          <w:rFonts w:cs="Guttman Drogolin"/>
          <w:rtl/>
          <w:lang w:bidi="he-IL"/>
        </w:rPr>
        <w:footnoteReference w:id="172"/>
      </w:r>
      <w:r w:rsidR="002E6176" w:rsidRPr="00882F11">
        <w:rPr>
          <w:rFonts w:cs="Guttman Drogolin" w:hint="cs"/>
          <w:rtl/>
          <w:lang w:bidi="he-IL"/>
        </w:rPr>
        <w:t>. ולדבריו מיושב גם קושיא הנ"ל. ועוד י"ל שאינו אלא חשש בעלמא שהשומן נדבק. ובעיקר הדבר יל"ע אם יש איסור לאכול בשר ביחד עם חלב שהוא דין אחר מחיובי קינוח הדחה ונט"י, ואלמלא מקורות אלו לא היינו יודעים שהוא אסור מדרבנן</w:t>
      </w:r>
      <w:r w:rsidR="003D3A50" w:rsidRPr="00882F11">
        <w:rPr>
          <w:rStyle w:val="FootnoteReference"/>
          <w:rFonts w:cs="Guttman Drogolin"/>
          <w:rtl/>
          <w:lang w:bidi="he-IL"/>
        </w:rPr>
        <w:footnoteReference w:id="173"/>
      </w:r>
      <w:r w:rsidR="002E6176" w:rsidRPr="00882F11">
        <w:rPr>
          <w:rFonts w:cs="Guttman Drogolin" w:hint="cs"/>
          <w:rtl/>
          <w:lang w:bidi="he-IL"/>
        </w:rPr>
        <w:t>.</w:t>
      </w:r>
      <w:r w:rsidR="00A64A19" w:rsidRPr="00882F11">
        <w:rPr>
          <w:rFonts w:cs="Guttman Drogolin" w:hint="cs"/>
          <w:rtl/>
          <w:lang w:bidi="he-IL"/>
        </w:rPr>
        <w:t xml:space="preserve"> </w:t>
      </w:r>
      <w:r w:rsidR="00EF20CC" w:rsidRPr="00882F11">
        <w:rPr>
          <w:rFonts w:cs="Guttman Drogolin" w:hint="cs"/>
          <w:rtl/>
          <w:lang w:bidi="he-IL"/>
        </w:rPr>
        <w:t xml:space="preserve">  </w:t>
      </w:r>
      <w:r w:rsidR="0053786B" w:rsidRPr="00882F11">
        <w:rPr>
          <w:rFonts w:cs="Guttman Drogolin" w:hint="cs"/>
          <w:rtl/>
          <w:lang w:bidi="he-IL"/>
        </w:rPr>
        <w:t xml:space="preserve">   </w:t>
      </w:r>
      <w:r w:rsidR="003356AE" w:rsidRPr="00882F11">
        <w:rPr>
          <w:rFonts w:cs="Guttman Drogolin" w:hint="cs"/>
          <w:rtl/>
          <w:lang w:bidi="he-IL"/>
        </w:rPr>
        <w:t xml:space="preserve"> </w:t>
      </w:r>
      <w:r w:rsidR="00B96BA9" w:rsidRPr="00882F11">
        <w:rPr>
          <w:rFonts w:cs="Guttman Drogolin" w:hint="cs"/>
          <w:rtl/>
          <w:lang w:bidi="he-IL"/>
        </w:rPr>
        <w:t xml:space="preserve"> </w:t>
      </w:r>
    </w:p>
    <w:p w:rsidR="00A318C6" w:rsidRPr="00882F11" w:rsidRDefault="003D3A50" w:rsidP="00A318C6">
      <w:pPr>
        <w:bidi/>
        <w:jc w:val="both"/>
        <w:rPr>
          <w:rFonts w:cs="Guttman Drogolin"/>
          <w:rtl/>
          <w:lang w:bidi="he-IL"/>
        </w:rPr>
      </w:pPr>
      <w:r w:rsidRPr="00882F11">
        <w:rPr>
          <w:rFonts w:cs="Guttman Drogolin" w:hint="cs"/>
          <w:rtl/>
          <w:lang w:bidi="he-IL"/>
        </w:rPr>
        <w:t xml:space="preserve">והנה הגמ' בדף ק"ד ע"ב מביאה ברייתא דאגרא שמבואר שם שעוף וגבינה נאכלים באפיקורן, ופי' בגמ' דהיינו שאינו צריך קינוח ולא נט"י. </w:t>
      </w:r>
      <w:r w:rsidR="005D0877" w:rsidRPr="00882F11">
        <w:rPr>
          <w:rFonts w:cs="Guttman Drogolin" w:hint="cs"/>
          <w:rtl/>
          <w:lang w:bidi="he-IL"/>
        </w:rPr>
        <w:t>ומקשה הגמ' מברייתא זו אר' יצחק ברי' דר' משרשיא (והראשונים גרסו 'ב"ר יוסף') שאכל גבינה ול</w:t>
      </w:r>
      <w:r w:rsidR="008F23C0" w:rsidRPr="00882F11">
        <w:rPr>
          <w:rFonts w:cs="Guttman Drogolin" w:hint="cs"/>
          <w:rtl/>
          <w:lang w:bidi="he-IL"/>
        </w:rPr>
        <w:t>אחר מכן בשר ולא נטל ידיו. ומתרצת</w:t>
      </w:r>
      <w:r w:rsidR="005D0877" w:rsidRPr="00882F11">
        <w:rPr>
          <w:rFonts w:cs="Guttman Drogolin" w:hint="cs"/>
          <w:rtl/>
          <w:lang w:bidi="he-IL"/>
        </w:rPr>
        <w:t xml:space="preserve"> הגמ' שביום אינו צריך נט"י, שכל הטעם של נט"י משום חשש שנדבק בשר בידיו, וביום יכול לע' בהם ולדעת שלא נדבק אליהן שום שומן. </w:t>
      </w:r>
      <w:r w:rsidR="00A318C6" w:rsidRPr="00882F11">
        <w:rPr>
          <w:rFonts w:cs="Guttman Drogolin" w:hint="cs"/>
          <w:rtl/>
          <w:lang w:bidi="he-IL"/>
        </w:rPr>
        <w:t>ומקשים הראשונים מה היתה כל הקושיא, הא לא כתוב במתני' אלא שעוף וגבינה נאכלין באפיקורן, שמשמע כסדר הזה, ובמעשה דר"י ברי' דר' משרשיא הי' גבינה קודם, ומבואר ממימרא דר' חסדא שבשר קודם חמיר מגבינה קודם, ולכן י"ל דהא דנקט רק עוף נאכל באפיקורן מקום דמיירי באכילת עוף קודם, ובכה"ג בבשר הרי אסור לאכול גבינה כלל לאחר מכן. והא דר"י ברי' דר"מ הי' בבשר קודם ובזה שפיר י"ל שאינו צריך נט"י.</w:t>
      </w:r>
    </w:p>
    <w:p w:rsidR="001C24E1" w:rsidRPr="00882F11" w:rsidRDefault="00A318C6" w:rsidP="001C24E1">
      <w:pPr>
        <w:bidi/>
        <w:jc w:val="both"/>
        <w:rPr>
          <w:rFonts w:cs="Guttman Drogolin"/>
          <w:rtl/>
          <w:lang w:bidi="he-IL"/>
        </w:rPr>
      </w:pPr>
      <w:r w:rsidRPr="00882F11">
        <w:rPr>
          <w:rFonts w:cs="Guttman Drogolin" w:hint="cs"/>
          <w:rtl/>
          <w:lang w:bidi="he-IL"/>
        </w:rPr>
        <w:t>והנה לכא</w:t>
      </w:r>
      <w:r w:rsidR="00955336" w:rsidRPr="00882F11">
        <w:rPr>
          <w:rFonts w:cs="Guttman Drogolin" w:hint="cs"/>
          <w:rtl/>
          <w:lang w:bidi="he-IL"/>
        </w:rPr>
        <w:t>ור</w:t>
      </w:r>
      <w:r w:rsidRPr="00882F11">
        <w:rPr>
          <w:rFonts w:cs="Guttman Drogolin" w:hint="cs"/>
          <w:rtl/>
          <w:lang w:bidi="he-IL"/>
        </w:rPr>
        <w:t xml:space="preserve">ה צ"ע, שאיזה שייכות יש בין הדין שלקמן לדינא דהכא, דלקמן כתבחו לחלק בין בשר קודם לגבינה קודם לגבי החיוב המתנה, והכא בחיובא דנט"י מיירי, ולכן י"ל דאע"ג שלענין המתנה אנחנו מחלקים בין בשר קודם לגבינה קודם, בנט"י אין אנו מחלקים ביניהם. וכן באמת כתבו התוס' ביישוב שיטת ר"ת שכן הוא, אבל </w:t>
      </w:r>
      <w:r w:rsidRPr="00882F11">
        <w:rPr>
          <w:rFonts w:cs="Guttman Drogolin" w:hint="cs"/>
          <w:rtl/>
          <w:lang w:bidi="he-IL"/>
        </w:rPr>
        <w:lastRenderedPageBreak/>
        <w:t>לכאורה עדיין תי</w:t>
      </w:r>
      <w:r w:rsidR="00955336" w:rsidRPr="00882F11">
        <w:rPr>
          <w:rFonts w:cs="Guttman Drogolin" w:hint="cs"/>
          <w:rtl/>
          <w:lang w:bidi="he-IL"/>
        </w:rPr>
        <w:t>קשי, שמשמע מדבריהם שזהו תי' מתוך</w:t>
      </w:r>
      <w:r w:rsidRPr="00882F11">
        <w:rPr>
          <w:rFonts w:cs="Guttman Drogolin" w:hint="cs"/>
          <w:rtl/>
          <w:lang w:bidi="he-IL"/>
        </w:rPr>
        <w:t xml:space="preserve"> הדוחק</w:t>
      </w:r>
      <w:r w:rsidR="00954444" w:rsidRPr="00882F11">
        <w:rPr>
          <w:rFonts w:cs="Guttman Drogolin" w:hint="cs"/>
          <w:rtl/>
          <w:lang w:bidi="he-IL"/>
        </w:rPr>
        <w:t xml:space="preserve">, ולמה יהא דוחק הא ב' דינים שונים הם. והתי' הפשוט לזה </w:t>
      </w:r>
      <w:r w:rsidR="00F8033F" w:rsidRPr="00882F11">
        <w:rPr>
          <w:rFonts w:cs="Guttman Drogolin" w:hint="cs"/>
          <w:rtl/>
          <w:lang w:bidi="he-IL"/>
        </w:rPr>
        <w:t xml:space="preserve">שהחשש בשניהם הוא חשש שנדבק שומן, החיוב של נט"י משום חשש שומן שנדבק בידים ודין המתנה משום חשש נדבק בחניכיים. וחזינן מר' חסדא שחשש נדבק יש רק בבשר ולא בגבינה משום השומן שיש בבשר. ולכן מקשים התוס' </w:t>
      </w:r>
      <w:r w:rsidR="00EC64CB" w:rsidRPr="00882F11">
        <w:rPr>
          <w:rFonts w:cs="Guttman Drogolin" w:hint="cs"/>
          <w:rtl/>
          <w:lang w:bidi="he-IL"/>
        </w:rPr>
        <w:t>דזה שמקילים בעוף ואח"כ גבינה ולא בבשר, היינו משום שהי' בשר קודם ויש חשש נדבק, אבל בגבינה תחילה חזינן מן גמ' דלקמן שאין חשש נדבק</w:t>
      </w:r>
      <w:r w:rsidR="00582ECB" w:rsidRPr="00882F11">
        <w:rPr>
          <w:rFonts w:cs="Guttman Drogolin" w:hint="cs"/>
          <w:rtl/>
          <w:lang w:bidi="he-IL"/>
        </w:rPr>
        <w:t xml:space="preserve">, וא"כ לא קשה מידי במעשה דר"י ברי דר"מ. ובזה התוס' מחדשים מתוך הדוחק דלא הרי החיוב נט"י הרי היא החיוב המתנה, שכל הדברים נדבקים בידים ואין טעם לחלק בין בשר לגבינה, רק בפיו מחלקין בין הדבקת בשר להדבקת גבינה. </w:t>
      </w:r>
      <w:r w:rsidR="001C24E1" w:rsidRPr="00882F11">
        <w:rPr>
          <w:rFonts w:cs="Guttman Drogolin" w:hint="cs"/>
          <w:rtl/>
          <w:lang w:bidi="he-IL"/>
        </w:rPr>
        <w:t xml:space="preserve">והתוס' בתי' הראשון מחלקת בין קו"ה ונט"י להמתנה, ויתכן שטעמם משום שאמנם בשר נדבק טפי, גם גבינה נדבקת בין ביד ובין בפה, ומ"מ רק בבשר הנדבק חיישינן שישאר בפה עד אכילת גבינה, אבל לא חיישינן שישאר גבינה בפה עד אכילת בשר. </w:t>
      </w:r>
    </w:p>
    <w:p w:rsidR="001C24E1" w:rsidRPr="00882F11" w:rsidRDefault="001C24E1" w:rsidP="001C24E1">
      <w:pPr>
        <w:bidi/>
        <w:jc w:val="both"/>
        <w:rPr>
          <w:rFonts w:cs="Guttman Drogolin"/>
          <w:rtl/>
          <w:lang w:bidi="he-IL"/>
        </w:rPr>
      </w:pPr>
      <w:r w:rsidRPr="00882F11">
        <w:rPr>
          <w:rFonts w:cs="Guttman Drogolin" w:hint="cs"/>
          <w:rtl/>
          <w:lang w:bidi="he-IL"/>
        </w:rPr>
        <w:t>וראיתי בחי' רע"א שהעיר שלפי התי' הראשון יתכן שיש חיוב של קו"ה ונט"י גם בסעודה השני'.</w:t>
      </w:r>
    </w:p>
    <w:p w:rsidR="002F1DBF" w:rsidRPr="00882F11" w:rsidRDefault="00064B82" w:rsidP="008F23C0">
      <w:pPr>
        <w:bidi/>
        <w:jc w:val="both"/>
        <w:rPr>
          <w:rFonts w:cs="Guttman Drogolin"/>
          <w:rtl/>
          <w:lang w:bidi="he-IL"/>
        </w:rPr>
      </w:pPr>
      <w:r>
        <w:rPr>
          <w:rFonts w:cs="Guttman Drogolin"/>
          <w:b/>
          <w:bCs/>
          <w:sz w:val="24"/>
          <w:szCs w:val="24"/>
          <w:rtl/>
          <w:lang w:bidi="he-IL"/>
        </w:rPr>
        <w:fldChar w:fldCharType="begin"/>
      </w:r>
      <w:r>
        <w:instrText xml:space="preserve"> XE "</w:instrText>
      </w:r>
      <w:r w:rsidRPr="00473DC7">
        <w:rPr>
          <w:rFonts w:hint="cs"/>
          <w:rtl/>
          <w:lang w:bidi="he-IL"/>
        </w:rPr>
        <w:instrText>בשר בחלב - חיוב המתנה</w:instrText>
      </w:r>
      <w:r w:rsidRPr="00473DC7">
        <w:rPr>
          <w:rtl/>
        </w:rPr>
        <w:instrText>:</w:instrText>
      </w:r>
      <w:r w:rsidRPr="00473DC7">
        <w:rPr>
          <w:rFonts w:hint="cs"/>
          <w:rtl/>
          <w:lang w:bidi="he-IL"/>
        </w:rPr>
        <w:instrText>שיטת הרשב</w:instrText>
      </w:r>
      <w:r>
        <w:rPr>
          <w:rFonts w:eastAsiaTheme="minorEastAsia"/>
          <w:lang w:bidi="he-IL"/>
        </w:rPr>
        <w:instrText>\</w:instrText>
      </w:r>
      <w:r w:rsidRPr="00473DC7">
        <w:rPr>
          <w:rFonts w:hint="cs"/>
          <w:rtl/>
          <w:lang w:bidi="he-IL"/>
        </w:rPr>
        <w:instrText>"ם</w:instrText>
      </w:r>
      <w:r>
        <w:instrText xml:space="preserve">" </w:instrText>
      </w:r>
      <w:r>
        <w:rPr>
          <w:rFonts w:cs="Guttman Drogolin"/>
          <w:b/>
          <w:bCs/>
          <w:sz w:val="24"/>
          <w:szCs w:val="24"/>
          <w:rtl/>
          <w:lang w:bidi="he-IL"/>
        </w:rPr>
        <w:fldChar w:fldCharType="end"/>
      </w:r>
      <w:r w:rsidR="001C24E1" w:rsidRPr="00882F11">
        <w:rPr>
          <w:rFonts w:cs="Guttman Drogolin" w:hint="cs"/>
          <w:b/>
          <w:bCs/>
          <w:sz w:val="24"/>
          <w:szCs w:val="24"/>
          <w:rtl/>
          <w:lang w:bidi="he-IL"/>
        </w:rPr>
        <w:t>שיטת הרמב"ם:</w:t>
      </w:r>
      <w:r w:rsidR="001C24E1" w:rsidRPr="00882F11">
        <w:rPr>
          <w:rFonts w:cs="Guttman Drogolin" w:hint="cs"/>
          <w:b/>
          <w:bCs/>
          <w:rtl/>
          <w:lang w:bidi="he-IL"/>
        </w:rPr>
        <w:t xml:space="preserve"> </w:t>
      </w:r>
      <w:r w:rsidR="001C24E1" w:rsidRPr="00882F11">
        <w:rPr>
          <w:rFonts w:cs="Guttman Drogolin" w:hint="cs"/>
          <w:rtl/>
          <w:lang w:bidi="he-IL"/>
        </w:rPr>
        <w:t xml:space="preserve">הרמב"ם בסופ"ט מהל' מאכ"א כתב הטעם </w:t>
      </w:r>
      <w:r w:rsidR="002C1F5D" w:rsidRPr="00882F11">
        <w:rPr>
          <w:rFonts w:cs="Guttman Drogolin" w:hint="cs"/>
          <w:rtl/>
          <w:lang w:bidi="he-IL"/>
        </w:rPr>
        <w:t>שלא לאכול גבינה לאחר אכילת בשר מפני</w:t>
      </w:r>
      <w:r w:rsidR="002C1F5D" w:rsidRPr="00882F11">
        <w:rPr>
          <w:rFonts w:cs="Guttman Drogolin"/>
          <w:rtl/>
          <w:lang w:bidi="he-IL"/>
        </w:rPr>
        <w:t xml:space="preserve"> </w:t>
      </w:r>
      <w:r w:rsidR="002C1F5D" w:rsidRPr="00882F11">
        <w:rPr>
          <w:rFonts w:cs="Guttman Drogolin" w:hint="cs"/>
          <w:rtl/>
          <w:lang w:bidi="he-IL"/>
        </w:rPr>
        <w:t>שהבשר</w:t>
      </w:r>
      <w:r w:rsidR="002C1F5D" w:rsidRPr="00882F11">
        <w:rPr>
          <w:rFonts w:cs="Guttman Drogolin"/>
          <w:rtl/>
          <w:lang w:bidi="he-IL"/>
        </w:rPr>
        <w:t xml:space="preserve"> </w:t>
      </w:r>
      <w:r w:rsidR="002C1F5D" w:rsidRPr="00882F11">
        <w:rPr>
          <w:rFonts w:cs="Guttman Drogolin" w:hint="cs"/>
          <w:rtl/>
          <w:lang w:bidi="he-IL"/>
        </w:rPr>
        <w:t>נשאר בין</w:t>
      </w:r>
      <w:r w:rsidR="002C1F5D" w:rsidRPr="00882F11">
        <w:rPr>
          <w:rFonts w:cs="Guttman Drogolin"/>
          <w:rtl/>
          <w:lang w:bidi="he-IL"/>
        </w:rPr>
        <w:t xml:space="preserve"> </w:t>
      </w:r>
      <w:r w:rsidR="002C1F5D" w:rsidRPr="00882F11">
        <w:rPr>
          <w:rFonts w:cs="Guttman Drogolin" w:hint="cs"/>
          <w:rtl/>
          <w:lang w:bidi="he-IL"/>
        </w:rPr>
        <w:t>השינים</w:t>
      </w:r>
      <w:r w:rsidR="002C1F5D" w:rsidRPr="00882F11">
        <w:rPr>
          <w:rFonts w:cs="Guttman Drogolin"/>
          <w:rtl/>
          <w:lang w:bidi="he-IL"/>
        </w:rPr>
        <w:t xml:space="preserve"> </w:t>
      </w:r>
      <w:r w:rsidR="002C1F5D" w:rsidRPr="00882F11">
        <w:rPr>
          <w:rFonts w:cs="Guttman Drogolin" w:hint="cs"/>
          <w:rtl/>
          <w:lang w:bidi="he-IL"/>
        </w:rPr>
        <w:t>ואינו</w:t>
      </w:r>
      <w:r w:rsidR="002C1F5D" w:rsidRPr="00882F11">
        <w:rPr>
          <w:rFonts w:cs="Guttman Drogolin"/>
          <w:rtl/>
          <w:lang w:bidi="he-IL"/>
        </w:rPr>
        <w:t xml:space="preserve"> </w:t>
      </w:r>
      <w:r w:rsidR="002C1F5D" w:rsidRPr="00882F11">
        <w:rPr>
          <w:rFonts w:cs="Guttman Drogolin" w:hint="cs"/>
          <w:rtl/>
          <w:lang w:bidi="he-IL"/>
        </w:rPr>
        <w:t>סר</w:t>
      </w:r>
      <w:r w:rsidR="002C1F5D" w:rsidRPr="00882F11">
        <w:rPr>
          <w:rFonts w:cs="Guttman Drogolin"/>
          <w:rtl/>
          <w:lang w:bidi="he-IL"/>
        </w:rPr>
        <w:t xml:space="preserve"> </w:t>
      </w:r>
      <w:r w:rsidR="002C1F5D" w:rsidRPr="00882F11">
        <w:rPr>
          <w:rFonts w:cs="Guttman Drogolin" w:hint="cs"/>
          <w:rtl/>
          <w:lang w:bidi="he-IL"/>
        </w:rPr>
        <w:t xml:space="preserve">בקינוח. </w:t>
      </w:r>
      <w:r w:rsidR="004C773F" w:rsidRPr="00882F11">
        <w:rPr>
          <w:rFonts w:cs="Guttman Drogolin" w:hint="cs"/>
          <w:rtl/>
          <w:lang w:bidi="he-IL"/>
        </w:rPr>
        <w:t xml:space="preserve">ולכאורה לפי דבריו אין שום קשר בין החיוב של נט"י לדינו של ר' חסדא, דאי אפשר לומר שנט"י משום בשר שבין השיניים. וא"כ לכאורה יש לנו יישוב לקושיית התוס', דאע"ג שמחלקינן בין בשר קודם לגבינה קודם, הנ"מ לענין החשש של בשר שבין השיניים שבודאי ליכא בגבינה, אבל לענין השומן שנדבק בפיו לכאורה י"ל דשוין. </w:t>
      </w:r>
      <w:r w:rsidR="008147EB" w:rsidRPr="00882F11">
        <w:rPr>
          <w:rFonts w:cs="Guttman Drogolin" w:hint="cs"/>
          <w:rtl/>
          <w:lang w:bidi="he-IL"/>
        </w:rPr>
        <w:t xml:space="preserve">אלא שיש עוד מקור שאין משם שאלה, שהרי </w:t>
      </w:r>
      <w:r w:rsidR="004C773F" w:rsidRPr="00882F11">
        <w:rPr>
          <w:rFonts w:cs="Guttman Drogolin" w:hint="cs"/>
          <w:rtl/>
          <w:lang w:bidi="he-IL"/>
        </w:rPr>
        <w:t xml:space="preserve">הרמב"ם החמיר לאסור גבינה גם אחרי אכילת עוף, ולכן </w:t>
      </w:r>
      <w:r w:rsidR="004C773F" w:rsidRPr="00882F11">
        <w:rPr>
          <w:rFonts w:cs="Guttman Drogolin" w:hint="cs"/>
          <w:rtl/>
          <w:lang w:bidi="he-IL"/>
        </w:rPr>
        <w:lastRenderedPageBreak/>
        <w:t>לשיטתו לכאורה הסדר של עוף וגבינה הם לאו דוקא רק גבינה לאחר מכן עוף, דהא עוף תחילה אסור בכל אופן</w:t>
      </w:r>
      <w:r w:rsidR="008147EB" w:rsidRPr="00882F11">
        <w:rPr>
          <w:rFonts w:cs="Guttman Drogolin" w:hint="cs"/>
          <w:rtl/>
          <w:lang w:bidi="he-IL"/>
        </w:rPr>
        <w:t xml:space="preserve"> (אא"כ נימא שהחיוב קיים א</w:t>
      </w:r>
      <w:r w:rsidR="00287CB7" w:rsidRPr="00882F11">
        <w:rPr>
          <w:rFonts w:cs="Guttman Drogolin" w:hint="cs"/>
          <w:rtl/>
          <w:lang w:bidi="he-IL"/>
        </w:rPr>
        <w:t>פילו בסעודה השני')</w:t>
      </w:r>
      <w:r w:rsidR="008147EB" w:rsidRPr="00882F11">
        <w:rPr>
          <w:rFonts w:cs="Guttman Drogolin" w:hint="cs"/>
          <w:rtl/>
          <w:lang w:bidi="he-IL"/>
        </w:rPr>
        <w:t xml:space="preserve">, וא"כ ממילא ליתי' לקושיית התוס'. וברמב"ן ועוד ראשונים </w:t>
      </w:r>
      <w:r w:rsidR="00D7619E" w:rsidRPr="00882F11">
        <w:rPr>
          <w:rFonts w:cs="Guttman Drogolin" w:hint="cs"/>
          <w:rtl/>
          <w:lang w:bidi="he-IL"/>
        </w:rPr>
        <w:t>מבואר שהמקור לדברי הרמב"ם היתה מקושיית התוס', שאם יש לחלק בין בשר אחר גבינה לגבינה אחר בשר, מה היתה כל הקושיא, ולכן למד הרמב"ם דע"כ גבינה אחר בשר עוף בכל אופן מחייב בהמתנה, ולכאורה צ"ע הוכחה זו, דהא מה"ת לחלק בין בשר קודם לגבינה קודם אליבא דרמב"ם, הא לא חילקו בזה אלא בחשש בשר בין השיניים וכאן הוי דין נ</w:t>
      </w:r>
      <w:r w:rsidR="008F23C0" w:rsidRPr="00882F11">
        <w:rPr>
          <w:rFonts w:cs="Guttman Drogolin" w:hint="cs"/>
          <w:rtl/>
          <w:lang w:bidi="he-IL"/>
        </w:rPr>
        <w:t>ד</w:t>
      </w:r>
      <w:r w:rsidR="00D7619E" w:rsidRPr="00882F11">
        <w:rPr>
          <w:rFonts w:cs="Guttman Drogolin" w:hint="cs"/>
          <w:rtl/>
          <w:lang w:bidi="he-IL"/>
        </w:rPr>
        <w:t xml:space="preserve">בק בידים ובחניכיים ולא מצאנו טעם לחלק ביניהם. ולכאורה יש לבאר כוונתם שאמנם אין לנו מקור מן הגמ' דהמתנה ראי' לחלק בין בשר קודם לגבינה קודם לענין נט"י וקו"ה, מ"מ מסברא הי' אפשר לחלק ביניהם, וכיון שלא תירצו כן יש ראי' לרמב"ם. </w:t>
      </w:r>
      <w:r w:rsidR="002F1DBF" w:rsidRPr="00882F11">
        <w:rPr>
          <w:rFonts w:cs="Guttman Drogolin" w:hint="cs"/>
          <w:rtl/>
          <w:lang w:bidi="he-IL"/>
        </w:rPr>
        <w:t xml:space="preserve">ומ"מ דחו הראשונים שפי' של הרמב"ם דחוק כיון שהלשון 'עוף וגבינה נאכלין באפיקורן' ובסדר של עוף ואח"כ גבינה אין היתר. </w:t>
      </w:r>
    </w:p>
    <w:p w:rsidR="002173CC" w:rsidRPr="00882F11" w:rsidRDefault="002F1DBF" w:rsidP="008F23C0">
      <w:pPr>
        <w:bidi/>
        <w:jc w:val="both"/>
        <w:rPr>
          <w:rFonts w:cs="Guttman Drogolin"/>
          <w:rtl/>
          <w:lang w:bidi="he-IL"/>
        </w:rPr>
      </w:pPr>
      <w:r w:rsidRPr="00882F11">
        <w:rPr>
          <w:rFonts w:cs="Guttman Drogolin" w:hint="cs"/>
          <w:rtl/>
          <w:lang w:bidi="he-IL"/>
        </w:rPr>
        <w:t>והנה הטור סי' פ"ט כתב שנפק"מ בין שיטת הרמב"ם לשיטת רש"י במי שיש לו בשר שבין השיניים בסעודה השני', שלרמב"ם שכל הטעם להמתין עד הסעודה השני' משום בשר בין השיניים מבואר שאם באמת נשאר בשר בין השיניים בסעודה השני' הרי הוא מותר, וטעמו דאל"כ מאי אהני לן הסעודה השני'. וע' במהר"ם שהעיר שמן הגמ' לכאורה יש סתירה לדבריו, דהא איבעיא להו מהו הדין בבשר בין השיניים ומיישב הגמ' שהוא אסור, ולכאורה לשיטת הרמב"ם קשה ממנ"פ שאם כוונת הגמ' קודם הסעודה השני' מאי קא קשיא להו הא ודאי אסור שזה היתה כל הטעם שחייבו להמתין עד הסעודה השני' לאכול גבינה, ואם מיירי בבשר בין השי</w:t>
      </w:r>
      <w:r w:rsidR="008F23C0" w:rsidRPr="00882F11">
        <w:rPr>
          <w:rFonts w:cs="Guttman Drogolin" w:hint="cs"/>
          <w:rtl/>
          <w:lang w:bidi="he-IL"/>
        </w:rPr>
        <w:t>ניים בסעודה השני' הא הרמב"ם מתיר</w:t>
      </w:r>
      <w:r w:rsidRPr="00882F11">
        <w:rPr>
          <w:rFonts w:cs="Guttman Drogolin" w:hint="cs"/>
          <w:rtl/>
          <w:lang w:bidi="he-IL"/>
        </w:rPr>
        <w:t xml:space="preserve"> בזה. </w:t>
      </w:r>
      <w:r w:rsidR="001800F4" w:rsidRPr="00882F11">
        <w:rPr>
          <w:rFonts w:cs="Guttman Drogolin" w:hint="cs"/>
          <w:rtl/>
          <w:lang w:bidi="he-IL"/>
        </w:rPr>
        <w:t xml:space="preserve">והמהר"ם פי' לשיטת הרמב"ם שאין כוונת הגמ' בלשון קושיא אלא בלשון תמי', כאילו לומר דאיך אתה </w:t>
      </w:r>
      <w:r w:rsidR="001800F4" w:rsidRPr="00882F11">
        <w:rPr>
          <w:rFonts w:cs="Guttman Drogolin" w:hint="cs"/>
          <w:rtl/>
          <w:lang w:bidi="he-IL"/>
        </w:rPr>
        <w:lastRenderedPageBreak/>
        <w:t xml:space="preserve">אוסר הא אין על בשר שקודם הסעודה השני' שם בשר, ולזה מביא הגמ' לעמיד הגזרה שיש עליו שם בשר. והפר"ח חלק על הטור וסבר </w:t>
      </w:r>
      <w:r w:rsidR="00043F39" w:rsidRPr="00882F11">
        <w:rPr>
          <w:rFonts w:cs="Guttman Drogolin" w:hint="cs"/>
          <w:rtl/>
          <w:lang w:bidi="he-IL"/>
        </w:rPr>
        <w:t xml:space="preserve">שגם לרמב"ם אם יש בשר בין השיניים בסעודה השני' אינו מותר, רק הטעם שבסעודה השני' הוא מותר משום שכבר אז אין חשש שנשאר בשר בין השיניים, אבל לעולם אם </w:t>
      </w:r>
      <w:r w:rsidR="008F23C0" w:rsidRPr="00882F11">
        <w:rPr>
          <w:rFonts w:cs="Guttman Drogolin" w:hint="cs"/>
          <w:rtl/>
          <w:lang w:bidi="he-IL"/>
        </w:rPr>
        <w:t>מ</w:t>
      </w:r>
      <w:r w:rsidR="00043F39" w:rsidRPr="00882F11">
        <w:rPr>
          <w:rFonts w:cs="Guttman Drogolin" w:hint="cs"/>
          <w:rtl/>
          <w:lang w:bidi="he-IL"/>
        </w:rPr>
        <w:t>ת</w:t>
      </w:r>
      <w:r w:rsidR="008F23C0" w:rsidRPr="00882F11">
        <w:rPr>
          <w:rFonts w:cs="Guttman Drogolin" w:hint="cs"/>
          <w:rtl/>
          <w:lang w:bidi="he-IL"/>
        </w:rPr>
        <w:t>ב</w:t>
      </w:r>
      <w:r w:rsidR="00043F39" w:rsidRPr="00882F11">
        <w:rPr>
          <w:rFonts w:cs="Guttman Drogolin" w:hint="cs"/>
          <w:rtl/>
          <w:lang w:bidi="he-IL"/>
        </w:rPr>
        <w:t xml:space="preserve">רר שיש הרי היא אסורה. ודבריו דברי הגמ' מובנים בפשיטות. </w:t>
      </w:r>
      <w:r w:rsidRPr="00882F11">
        <w:rPr>
          <w:rFonts w:cs="Guttman Drogolin" w:hint="cs"/>
          <w:rtl/>
          <w:lang w:bidi="he-IL"/>
        </w:rPr>
        <w:t xml:space="preserve">  </w:t>
      </w:r>
    </w:p>
    <w:p w:rsidR="00030F16" w:rsidRPr="00882F11" w:rsidRDefault="00DA6DFF" w:rsidP="008F23C0">
      <w:pPr>
        <w:bidi/>
        <w:jc w:val="both"/>
        <w:rPr>
          <w:rFonts w:cs="Guttman Drogolin"/>
          <w:rtl/>
          <w:lang w:bidi="he-IL"/>
        </w:rPr>
      </w:pPr>
      <w:r>
        <w:rPr>
          <w:rFonts w:cs="Guttman Drogolin"/>
          <w:b/>
          <w:bCs/>
          <w:sz w:val="24"/>
          <w:szCs w:val="24"/>
          <w:rtl/>
          <w:lang w:bidi="he-IL"/>
        </w:rPr>
        <w:fldChar w:fldCharType="begin"/>
      </w:r>
      <w:r>
        <w:instrText xml:space="preserve"> XE "</w:instrText>
      </w:r>
      <w:r w:rsidRPr="001B4289">
        <w:rPr>
          <w:rFonts w:hint="cs"/>
          <w:rtl/>
          <w:lang w:bidi="he-IL"/>
        </w:rPr>
        <w:instrText>בשר בחלב</w:instrText>
      </w:r>
      <w:r w:rsidR="00682322">
        <w:rPr>
          <w:rFonts w:hint="cs"/>
          <w:rtl/>
          <w:lang w:bidi="he-IL"/>
        </w:rPr>
        <w:instrText xml:space="preserve"> </w:instrText>
      </w:r>
      <w:r w:rsidRPr="001B4289">
        <w:rPr>
          <w:rFonts w:hint="cs"/>
          <w:rtl/>
          <w:lang w:bidi="he-IL"/>
        </w:rPr>
        <w:instrText>- חיוב המתנה</w:instrText>
      </w:r>
      <w:r w:rsidRPr="001B4289">
        <w:rPr>
          <w:rtl/>
        </w:rPr>
        <w:instrText>:</w:instrText>
      </w:r>
      <w:r w:rsidRPr="001B4289">
        <w:rPr>
          <w:rFonts w:hint="cs"/>
          <w:rtl/>
          <w:lang w:bidi="he-IL"/>
        </w:rPr>
        <w:instrText>שיטת הטור בדעת רש</w:instrText>
      </w:r>
      <w:r>
        <w:rPr>
          <w:rFonts w:eastAsiaTheme="minorEastAsia"/>
          <w:lang w:bidi="he-IL"/>
        </w:rPr>
        <w:instrText>\</w:instrText>
      </w:r>
      <w:r w:rsidRPr="001B4289">
        <w:rPr>
          <w:rFonts w:hint="cs"/>
          <w:rtl/>
          <w:lang w:bidi="he-IL"/>
        </w:rPr>
        <w:instrText>"י</w:instrText>
      </w:r>
      <w:r>
        <w:instrText xml:space="preserve">" </w:instrText>
      </w:r>
      <w:r>
        <w:rPr>
          <w:rFonts w:cs="Guttman Drogolin"/>
          <w:b/>
          <w:bCs/>
          <w:sz w:val="24"/>
          <w:szCs w:val="24"/>
          <w:rtl/>
          <w:lang w:bidi="he-IL"/>
        </w:rPr>
        <w:fldChar w:fldCharType="end"/>
      </w:r>
      <w:r w:rsidR="002173CC" w:rsidRPr="00882F11">
        <w:rPr>
          <w:rFonts w:cs="Guttman Drogolin" w:hint="cs"/>
          <w:b/>
          <w:bCs/>
          <w:sz w:val="24"/>
          <w:szCs w:val="24"/>
          <w:rtl/>
          <w:lang w:bidi="he-IL"/>
        </w:rPr>
        <w:t>שיטת הטור בדעת רש"י:</w:t>
      </w:r>
      <w:r w:rsidR="002173CC" w:rsidRPr="00882F11">
        <w:rPr>
          <w:rFonts w:cs="Guttman Drogolin" w:hint="cs"/>
          <w:b/>
          <w:bCs/>
          <w:rtl/>
          <w:lang w:bidi="he-IL"/>
        </w:rPr>
        <w:t xml:space="preserve"> </w:t>
      </w:r>
      <w:r w:rsidR="002173CC" w:rsidRPr="00882F11">
        <w:rPr>
          <w:rFonts w:cs="Guttman Drogolin" w:hint="cs"/>
          <w:rtl/>
          <w:lang w:bidi="he-IL"/>
        </w:rPr>
        <w:t>שם בטור כתב עוד נפק"מ בין הרמב"ם לרש"י שלרמב"ם אם לועס לתינוק חייב להמתין עד סעודה הבאה, דהא עדיין יש חשש בשר בין השיניים, ולרש"י אינו צריך להמתין. וראיתי במגי"ס שרצה לומר שלשיטת הטור הטעם שצריכם להמתין אינו בגלל שכבה דקה, דא"כ גם בלועס לתינוק הרי נכנס שומן לפיו ויצטרך להמתין, רק הטעם משום שעיכול הבשר הוא יות</w:t>
      </w:r>
      <w:r w:rsidR="008F23C0" w:rsidRPr="00882F11">
        <w:rPr>
          <w:rFonts w:cs="Guttman Drogolin" w:hint="cs"/>
          <w:rtl/>
          <w:lang w:bidi="he-IL"/>
        </w:rPr>
        <w:t>ר</w:t>
      </w:r>
      <w:r w:rsidR="002173CC" w:rsidRPr="00882F11">
        <w:rPr>
          <w:rFonts w:cs="Guttman Drogolin" w:hint="cs"/>
          <w:rtl/>
          <w:lang w:bidi="he-IL"/>
        </w:rPr>
        <w:t xml:space="preserve"> זמן ומשום שעדיין מתעכל הרי זה כאכילת בשר בחלב. ולכאור</w:t>
      </w:r>
      <w:r w:rsidR="008F23C0" w:rsidRPr="00882F11">
        <w:rPr>
          <w:rFonts w:cs="Guttman Drogolin" w:hint="cs"/>
          <w:rtl/>
          <w:lang w:bidi="he-IL"/>
        </w:rPr>
        <w:t>ה דחוק לומר כן כיון שהו</w:t>
      </w:r>
      <w:r w:rsidR="002173CC" w:rsidRPr="00882F11">
        <w:rPr>
          <w:rFonts w:cs="Guttman Drogolin" w:hint="cs"/>
          <w:rtl/>
          <w:lang w:bidi="he-IL"/>
        </w:rPr>
        <w:t xml:space="preserve">א נגד לשון רש"י שלפנינו, וע"ש שבאמת רצה לומר שלטור הי' גירסא אחרת בדעת רש"י. </w:t>
      </w:r>
      <w:r w:rsidR="009B0984" w:rsidRPr="00882F11">
        <w:rPr>
          <w:rFonts w:cs="Guttman Drogolin" w:hint="cs"/>
          <w:rtl/>
          <w:lang w:bidi="he-IL"/>
        </w:rPr>
        <w:t xml:space="preserve">ולכאורה נראה לומר שאמנם קצת טעם נכנס לפה בשעת לעיסה, אבל </w:t>
      </w:r>
      <w:r w:rsidR="00030F16" w:rsidRPr="00882F11">
        <w:rPr>
          <w:rFonts w:cs="Guttman Drogolin" w:hint="cs"/>
          <w:rtl/>
          <w:lang w:bidi="he-IL"/>
        </w:rPr>
        <w:t>מ"מ כיון שאינו אלא קצת אין טעמו נמשך ולכן מותר לשיטת רש"י, דרק כשאוכל ממש נ</w:t>
      </w:r>
      <w:r w:rsidR="008F23C0" w:rsidRPr="00882F11">
        <w:rPr>
          <w:rFonts w:cs="Guttman Drogolin" w:hint="cs"/>
          <w:rtl/>
          <w:lang w:bidi="he-IL"/>
        </w:rPr>
        <w:t>ד</w:t>
      </w:r>
      <w:r w:rsidR="00030F16" w:rsidRPr="00882F11">
        <w:rPr>
          <w:rFonts w:cs="Guttman Drogolin" w:hint="cs"/>
          <w:rtl/>
          <w:lang w:bidi="he-IL"/>
        </w:rPr>
        <w:t>בק עד כדי כך שטעמו נמשך. והלבוש אסר גם לרש"י בלועס לתינוק, וע"ש במגי"ס שדבריו מובנים ע"פ הנ"ל כיון שקצת טעם באמת נכנס לפה</w:t>
      </w:r>
      <w:r w:rsidR="00030F16" w:rsidRPr="00882F11">
        <w:rPr>
          <w:rStyle w:val="FootnoteReference"/>
          <w:rFonts w:cs="Guttman Drogolin"/>
          <w:rtl/>
          <w:lang w:bidi="he-IL"/>
        </w:rPr>
        <w:footnoteReference w:id="174"/>
      </w:r>
      <w:r w:rsidR="00030F16" w:rsidRPr="00882F11">
        <w:rPr>
          <w:rFonts w:cs="Guttman Drogolin" w:hint="cs"/>
          <w:rtl/>
          <w:lang w:bidi="he-IL"/>
        </w:rPr>
        <w:t>.</w:t>
      </w:r>
      <w:r w:rsidR="002F1DBF" w:rsidRPr="00882F11">
        <w:rPr>
          <w:rFonts w:cs="Guttman Drogolin" w:hint="cs"/>
          <w:rtl/>
          <w:lang w:bidi="he-IL"/>
        </w:rPr>
        <w:t xml:space="preserve"> </w:t>
      </w:r>
    </w:p>
    <w:p w:rsidR="00030F16" w:rsidRPr="00662307" w:rsidRDefault="00030F16" w:rsidP="0078079C">
      <w:pPr>
        <w:pStyle w:val="Heading1"/>
        <w:bidi/>
        <w:spacing w:before="0" w:line="360" w:lineRule="auto"/>
        <w:jc w:val="center"/>
        <w:rPr>
          <w:rFonts w:cs="Guttman Drogolin"/>
          <w:color w:val="auto"/>
          <w:sz w:val="18"/>
          <w:szCs w:val="18"/>
          <w:u w:val="single"/>
          <w:rtl/>
          <w:lang w:bidi="he-IL"/>
        </w:rPr>
      </w:pPr>
      <w:bookmarkStart w:id="154" w:name="_Toc496175411"/>
      <w:r w:rsidRPr="00662307">
        <w:rPr>
          <w:rFonts w:cs="Guttman Drogolin" w:hint="cs"/>
          <w:color w:val="auto"/>
          <w:sz w:val="18"/>
          <w:szCs w:val="18"/>
          <w:u w:val="single"/>
          <w:rtl/>
          <w:lang w:bidi="he-IL"/>
        </w:rPr>
        <w:t>אכילת שומן של בשר, ואכ</w:t>
      </w:r>
      <w:r w:rsidR="00573389" w:rsidRPr="00662307">
        <w:rPr>
          <w:rFonts w:cs="Guttman Drogolin" w:hint="cs"/>
          <w:color w:val="auto"/>
          <w:sz w:val="18"/>
          <w:szCs w:val="18"/>
          <w:u w:val="single"/>
          <w:rtl/>
          <w:lang w:bidi="he-IL"/>
        </w:rPr>
        <w:t>י</w:t>
      </w:r>
      <w:r w:rsidRPr="00662307">
        <w:rPr>
          <w:rFonts w:cs="Guttman Drogolin" w:hint="cs"/>
          <w:color w:val="auto"/>
          <w:sz w:val="18"/>
          <w:szCs w:val="18"/>
          <w:u w:val="single"/>
          <w:rtl/>
          <w:lang w:bidi="he-IL"/>
        </w:rPr>
        <w:t>לת תבשיל שיש בה בשר</w:t>
      </w:r>
      <w:bookmarkEnd w:id="154"/>
    </w:p>
    <w:p w:rsidR="00BB63B6" w:rsidRPr="00882F11" w:rsidRDefault="00DA6DFF" w:rsidP="00BB63B6">
      <w:pPr>
        <w:bidi/>
        <w:jc w:val="both"/>
        <w:rPr>
          <w:rFonts w:cs="Guttman Drogolin"/>
          <w:rtl/>
          <w:lang w:bidi="he-IL"/>
        </w:rPr>
      </w:pPr>
      <w:r>
        <w:rPr>
          <w:rFonts w:cs="Guttman Drogolin"/>
          <w:rtl/>
          <w:lang w:bidi="he-IL"/>
        </w:rPr>
        <w:fldChar w:fldCharType="begin"/>
      </w:r>
      <w:r>
        <w:instrText xml:space="preserve"> XE "</w:instrText>
      </w:r>
      <w:r w:rsidRPr="00280442">
        <w:rPr>
          <w:rFonts w:hint="cs"/>
          <w:rtl/>
          <w:lang w:bidi="he-IL"/>
        </w:rPr>
        <w:instrText>בשר בחלב - חיוב המתנה</w:instrText>
      </w:r>
      <w:r w:rsidRPr="00280442">
        <w:rPr>
          <w:rtl/>
        </w:rPr>
        <w:instrText>:</w:instrText>
      </w:r>
      <w:r>
        <w:rPr>
          <w:rFonts w:hint="cs"/>
          <w:rtl/>
          <w:lang w:bidi="he-IL"/>
        </w:rPr>
        <w:instrText xml:space="preserve">אחרי </w:instrText>
      </w:r>
      <w:r w:rsidRPr="00280442">
        <w:rPr>
          <w:rFonts w:hint="cs"/>
          <w:rtl/>
          <w:lang w:bidi="he-IL"/>
        </w:rPr>
        <w:instrText>אכילת שומן</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4331DA">
        <w:rPr>
          <w:rFonts w:hint="cs"/>
          <w:rtl/>
          <w:lang w:bidi="he-IL"/>
        </w:rPr>
        <w:instrText>בשר בחלב - חיוב המתנה</w:instrText>
      </w:r>
      <w:r w:rsidRPr="004331DA">
        <w:rPr>
          <w:rtl/>
        </w:rPr>
        <w:instrText>:</w:instrText>
      </w:r>
      <w:r w:rsidRPr="004331DA">
        <w:rPr>
          <w:rFonts w:hint="cs"/>
          <w:rtl/>
          <w:lang w:bidi="he-IL"/>
        </w:rPr>
        <w:instrText>אחרי תבשיל של בשר</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162ECC">
        <w:rPr>
          <w:rFonts w:hint="cs"/>
          <w:rtl/>
          <w:lang w:bidi="he-IL"/>
        </w:rPr>
        <w:instrText>המתנה בין בשר לחלב</w:instrText>
      </w:r>
      <w:r>
        <w:instrText>" \t "</w:instrText>
      </w:r>
      <w:r w:rsidRPr="002C389C">
        <w:rPr>
          <w:rFonts w:hint="cs"/>
          <w:rtl/>
          <w:lang w:bidi="he-IL"/>
        </w:rPr>
        <w:instrText>ע' בשר בחלב - חיוב המתנה</w:instrText>
      </w:r>
      <w:r>
        <w:instrText xml:space="preserve">" </w:instrText>
      </w:r>
      <w:r>
        <w:rPr>
          <w:rFonts w:cs="Guttman Drogolin"/>
          <w:rtl/>
          <w:lang w:bidi="he-IL"/>
        </w:rPr>
        <w:fldChar w:fldCharType="end"/>
      </w:r>
      <w:r w:rsidR="00030F16" w:rsidRPr="00882F11">
        <w:rPr>
          <w:rFonts w:cs="Guttman Drogolin" w:hint="cs"/>
          <w:rtl/>
          <w:lang w:bidi="he-IL"/>
        </w:rPr>
        <w:t>הרשב"א בשו</w:t>
      </w:r>
      <w:r w:rsidR="00BB63B6" w:rsidRPr="00882F11">
        <w:rPr>
          <w:rFonts w:cs="Guttman Drogolin" w:hint="cs"/>
          <w:rtl/>
          <w:lang w:bidi="he-IL"/>
        </w:rPr>
        <w:t>"</w:t>
      </w:r>
      <w:r w:rsidR="00030F16" w:rsidRPr="00882F11">
        <w:rPr>
          <w:rFonts w:cs="Guttman Drogolin" w:hint="cs"/>
          <w:rtl/>
          <w:lang w:bidi="he-IL"/>
        </w:rPr>
        <w:t xml:space="preserve">ת (סי' </w:t>
      </w:r>
      <w:r w:rsidR="00BB63B6" w:rsidRPr="00882F11">
        <w:rPr>
          <w:rFonts w:cs="Guttman Drogolin" w:hint="cs"/>
          <w:rtl/>
          <w:lang w:bidi="he-IL"/>
        </w:rPr>
        <w:t>ש"ז) כתב שהאוכל שומן של בשר ג"כ אסור בגבינה עד הסעודה השני', ודבריו מובאים ברמ"א בסע' ג', ושם בביאור הגר"א כתב שדין זה תלוי במחלוקת הרמב"ם ורש"י, שלרש"י אסור ולרמב"ם מותר, דהא אין כאן דבר הנדבק בין השיניים. אמנם במקור הדברים בשו"ת הרשב"א מבואר שכתב כן לשיטת הרמב"ם, ומשום שלא פלוג רבנן, והאוכל כל דבר שיש לו שם בשר חייב להמתין</w:t>
      </w:r>
      <w:r w:rsidR="0092055B" w:rsidRPr="00882F11">
        <w:rPr>
          <w:rStyle w:val="FootnoteReference"/>
          <w:rFonts w:cs="Guttman Drogolin"/>
          <w:rtl/>
          <w:lang w:bidi="he-IL"/>
        </w:rPr>
        <w:footnoteReference w:id="175"/>
      </w:r>
      <w:r w:rsidR="00BB63B6" w:rsidRPr="00882F11">
        <w:rPr>
          <w:rFonts w:cs="Guttman Drogolin" w:hint="cs"/>
          <w:rtl/>
          <w:lang w:bidi="he-IL"/>
        </w:rPr>
        <w:t xml:space="preserve">. ויש להדגיש שלפי זה </w:t>
      </w:r>
      <w:r w:rsidR="00BB63B6" w:rsidRPr="00882F11">
        <w:rPr>
          <w:rFonts w:cs="Guttman Drogolin" w:hint="cs"/>
          <w:rtl/>
          <w:lang w:bidi="he-IL"/>
        </w:rPr>
        <w:lastRenderedPageBreak/>
        <w:t>שונה החיוב להמתין וחיוב נט"י, שלא חייבו כל א' בנט"י אפילו בכה"ג שאין חשש שנדבק בידים, שהרי ביום לא חייבו בנט"י משום שאפשר לע'. וע' גם ברש"ש במתני' שמשו"ה נקטו שבין בשר לגבינה צריך נט"י ולא בין בשר לחלב, ומשום שהשותה חלב הוא מן הכלי ואינו נוגע לחלב ולכן אינו צריך נט"י, ונראה פשוט שהדין עמו, דמאי שנא מעיון דסגי, ואם יש לא ידיעה שלא נדבק כיון שהי' בתוך כלי ג"כ סגי.</w:t>
      </w:r>
    </w:p>
    <w:p w:rsidR="00921DC3" w:rsidRPr="00882F11" w:rsidRDefault="00BB63B6" w:rsidP="00921DC3">
      <w:pPr>
        <w:bidi/>
        <w:jc w:val="both"/>
        <w:rPr>
          <w:rFonts w:cs="Guttman Drogolin"/>
          <w:rtl/>
          <w:lang w:bidi="he-IL"/>
        </w:rPr>
      </w:pPr>
      <w:r w:rsidRPr="00882F11">
        <w:rPr>
          <w:rFonts w:cs="Guttman Drogolin" w:hint="cs"/>
          <w:rtl/>
          <w:lang w:bidi="he-IL"/>
        </w:rPr>
        <w:t xml:space="preserve">ובגמ' שבדף ק"ה ע"ב מבואר שמים האמצעיים רשות רק בין תבשיל לתבשיל, אבל בין תבשיל לגבינה חייב בנט"י. ושם בתוס' יש מחלוקת מהו כוונת הגמ'. בשם </w:t>
      </w:r>
      <w:r w:rsidR="00D1405D" w:rsidRPr="00882F11">
        <w:rPr>
          <w:rFonts w:cs="Guttman Drogolin" w:hint="cs"/>
          <w:rtl/>
          <w:lang w:bidi="he-IL"/>
        </w:rPr>
        <w:t>רבינו שמואל</w:t>
      </w:r>
      <w:r w:rsidRPr="00882F11">
        <w:rPr>
          <w:rFonts w:cs="Guttman Drogolin" w:hint="cs"/>
          <w:rtl/>
          <w:lang w:bidi="he-IL"/>
        </w:rPr>
        <w:t xml:space="preserve"> הביאו שר"ל בין תבשיל של בשר לתבשיל של בשר הרי הוא רשות, אבל בין גבינה לתבשיל של בשר שלאחריו חייב בנט"י, דאין לומר בין תבשיל של בשר לתבשיל של גבינה, דהא אחרי תבשיל של בשר חייב להמתין עד הסעודה הבא</w:t>
      </w:r>
      <w:r w:rsidR="003F3A1F" w:rsidRPr="00882F11">
        <w:rPr>
          <w:rStyle w:val="FootnoteReference"/>
          <w:rFonts w:cs="Guttman Drogolin"/>
          <w:rtl/>
          <w:lang w:bidi="he-IL"/>
        </w:rPr>
        <w:footnoteReference w:id="176"/>
      </w:r>
      <w:r w:rsidRPr="00882F11">
        <w:rPr>
          <w:rFonts w:cs="Guttman Drogolin" w:hint="cs"/>
          <w:rtl/>
          <w:lang w:bidi="he-IL"/>
        </w:rPr>
        <w:t xml:space="preserve">. </w:t>
      </w:r>
      <w:r w:rsidR="00921DC3" w:rsidRPr="00882F11">
        <w:rPr>
          <w:rFonts w:cs="Guttman Drogolin" w:hint="cs"/>
          <w:rtl/>
          <w:lang w:bidi="he-IL"/>
        </w:rPr>
        <w:t>ור"ת חילק בין תבשיל לבשר ממש, שרק אחרי בשר ממש חייב להמתין אפילו מי שמחייב המתנה בין בשר לגבינה (ודלא כשיטת ר"ת עצמו לעיל). וראיתי במגי"ס שהדגיש ששיטת ר"ת יתכן אפילו לדברי הרשב"א הנ"ל, שי"ל שרק בדבר שיש</w:t>
      </w:r>
      <w:r w:rsidRPr="00882F11">
        <w:rPr>
          <w:rFonts w:cs="Guttman Drogolin" w:hint="cs"/>
          <w:rtl/>
          <w:lang w:bidi="he-IL"/>
        </w:rPr>
        <w:t xml:space="preserve"> </w:t>
      </w:r>
      <w:r w:rsidR="00921DC3" w:rsidRPr="00882F11">
        <w:rPr>
          <w:rFonts w:cs="Guttman Drogolin" w:hint="cs"/>
          <w:rtl/>
          <w:lang w:bidi="he-IL"/>
        </w:rPr>
        <w:t xml:space="preserve">לו שם בשר לא חילקו, אבל דבר שאינו אלא תבשיל לא. </w:t>
      </w:r>
    </w:p>
    <w:p w:rsidR="00C86970" w:rsidRPr="00882F11" w:rsidRDefault="00921DC3" w:rsidP="00BB16E0">
      <w:pPr>
        <w:bidi/>
        <w:jc w:val="both"/>
        <w:rPr>
          <w:rFonts w:cs="Guttman Drogolin"/>
          <w:rtl/>
          <w:lang w:bidi="he-IL"/>
        </w:rPr>
      </w:pPr>
      <w:r w:rsidRPr="00882F11">
        <w:rPr>
          <w:rFonts w:cs="Guttman Drogolin" w:hint="cs"/>
          <w:rtl/>
          <w:lang w:bidi="he-IL"/>
        </w:rPr>
        <w:t>אמנם כל הענין צ"ע</w:t>
      </w:r>
      <w:r w:rsidR="00945831" w:rsidRPr="00882F11">
        <w:rPr>
          <w:rStyle w:val="FootnoteReference"/>
          <w:rFonts w:cs="Guttman Drogolin"/>
          <w:rtl/>
          <w:lang w:bidi="he-IL"/>
        </w:rPr>
        <w:footnoteReference w:id="177"/>
      </w:r>
      <w:r w:rsidRPr="00882F11">
        <w:rPr>
          <w:rFonts w:cs="Guttman Drogolin" w:hint="cs"/>
          <w:rtl/>
          <w:lang w:bidi="he-IL"/>
        </w:rPr>
        <w:t>, למה בין תבשיל של בשר לגבינה חייב בנט"י, ואילו לתבשיל של גבינה לא.</w:t>
      </w:r>
      <w:r w:rsidR="00BB16E0" w:rsidRPr="00882F11">
        <w:rPr>
          <w:rFonts w:cs="Guttman Drogolin" w:hint="cs"/>
          <w:rtl/>
          <w:lang w:bidi="he-IL"/>
        </w:rPr>
        <w:t xml:space="preserve"> והתוס' כתבו לחלק בין תבשיל שיש בה גבינה דליכא אלא טעם לגבינה ממש, וצ"ע איזה חילוק יש בזה, הא טעם גבינה יש לו דין גבינה מדאורייתא, וע"כ חיישינן מתבשיל של בשר דהא חייב מתבשיל של בשר לגבינה מעיקר הדין, א"כ איזה טעם יש לחלק. </w:t>
      </w:r>
      <w:r w:rsidRPr="00882F11">
        <w:rPr>
          <w:rFonts w:cs="Guttman Drogolin" w:hint="cs"/>
          <w:rtl/>
          <w:lang w:bidi="he-IL"/>
        </w:rPr>
        <w:t xml:space="preserve"> </w:t>
      </w:r>
      <w:r w:rsidR="00BB63B6" w:rsidRPr="00882F11">
        <w:rPr>
          <w:rFonts w:cs="Guttman Drogolin" w:hint="cs"/>
          <w:rtl/>
          <w:lang w:bidi="he-IL"/>
        </w:rPr>
        <w:t xml:space="preserve"> </w:t>
      </w:r>
    </w:p>
    <w:p w:rsidR="001C3D02" w:rsidRPr="00882F11" w:rsidRDefault="00C86970" w:rsidP="00497FC3">
      <w:pPr>
        <w:keepNext/>
        <w:bidi/>
        <w:jc w:val="both"/>
        <w:rPr>
          <w:rFonts w:cs="Guttman Drogolin"/>
          <w:b/>
          <w:bCs/>
          <w:rtl/>
          <w:lang w:bidi="he-IL"/>
        </w:rPr>
      </w:pPr>
      <w:r w:rsidRPr="00882F11">
        <w:rPr>
          <w:rFonts w:cs="Guttman Drogolin" w:hint="cs"/>
          <w:b/>
          <w:bCs/>
          <w:rtl/>
          <w:lang w:bidi="he-IL"/>
        </w:rPr>
        <w:lastRenderedPageBreak/>
        <w:t xml:space="preserve">מיד כשגומרים הסוגיא שבדף ק"ז ע"ב עד התמני' בדף ק"ח ע"א יש להתחיל טוש"ע סי' פ"ח </w:t>
      </w:r>
      <w:r w:rsidR="001C3D02" w:rsidRPr="00882F11">
        <w:rPr>
          <w:rFonts w:cs="Guttman Drogolin" w:hint="cs"/>
          <w:b/>
          <w:bCs/>
          <w:rtl/>
          <w:lang w:bidi="he-IL"/>
        </w:rPr>
        <w:t>ופ"ט</w:t>
      </w:r>
    </w:p>
    <w:p w:rsidR="001C3D02" w:rsidRPr="00882F11" w:rsidRDefault="001C3D02" w:rsidP="00497FC3">
      <w:pPr>
        <w:keepNext/>
        <w:bidi/>
        <w:jc w:val="both"/>
        <w:rPr>
          <w:rFonts w:cs="Guttman Drogolin"/>
          <w:b/>
          <w:bCs/>
          <w:rtl/>
          <w:lang w:bidi="he-IL"/>
        </w:rPr>
      </w:pPr>
      <w:r w:rsidRPr="00882F11">
        <w:rPr>
          <w:rFonts w:cs="Guttman Drogolin" w:hint="cs"/>
          <w:b/>
          <w:bCs/>
          <w:rtl/>
          <w:lang w:bidi="he-IL"/>
        </w:rPr>
        <w:t>בכל הלימוד של טוש"ע יש ללמוד כל טור ב"י ש"ך ט"ז ופת"ש.</w:t>
      </w:r>
    </w:p>
    <w:p w:rsidR="002E64C3" w:rsidRPr="00882F11" w:rsidRDefault="001C3D02" w:rsidP="001C3D02">
      <w:pPr>
        <w:bidi/>
        <w:jc w:val="both"/>
        <w:rPr>
          <w:rFonts w:cs="Guttman Drogolin"/>
          <w:rtl/>
          <w:lang w:bidi="he-IL"/>
        </w:rPr>
      </w:pPr>
      <w:r w:rsidRPr="00882F11">
        <w:rPr>
          <w:rFonts w:cs="Guttman Drogolin" w:hint="cs"/>
          <w:b/>
          <w:bCs/>
          <w:rtl/>
          <w:lang w:bidi="he-IL"/>
        </w:rPr>
        <w:t xml:space="preserve">החבורה הבא יתקיים בעזהי"ת ביום </w:t>
      </w:r>
      <w:r w:rsidRPr="00882F11">
        <w:rPr>
          <w:rFonts w:cs="Guttman Drogolin" w:hint="cs"/>
          <w:b/>
          <w:bCs/>
          <w:u w:val="single"/>
          <w:rtl/>
          <w:lang w:bidi="he-IL"/>
        </w:rPr>
        <w:t>שלישי</w:t>
      </w:r>
      <w:r w:rsidRPr="00882F11">
        <w:rPr>
          <w:rFonts w:cs="Guttman Drogolin" w:hint="cs"/>
          <w:b/>
          <w:bCs/>
          <w:rtl/>
          <w:lang w:bidi="he-IL"/>
        </w:rPr>
        <w:t xml:space="preserve"> (יום שלפני תענית אסתר).</w:t>
      </w:r>
      <w:r w:rsidR="00BB63B6" w:rsidRPr="00882F11">
        <w:rPr>
          <w:rFonts w:cs="Guttman Drogolin" w:hint="cs"/>
          <w:rtl/>
          <w:lang w:bidi="he-IL"/>
        </w:rPr>
        <w:t xml:space="preserve">   </w:t>
      </w:r>
      <w:r w:rsidR="00D7619E" w:rsidRPr="00882F11">
        <w:rPr>
          <w:rFonts w:cs="Guttman Drogolin" w:hint="cs"/>
          <w:rtl/>
          <w:lang w:bidi="he-IL"/>
        </w:rPr>
        <w:t xml:space="preserve"> </w:t>
      </w:r>
      <w:r w:rsidR="00287CB7" w:rsidRPr="00882F11">
        <w:rPr>
          <w:rFonts w:cs="Guttman Drogolin" w:hint="cs"/>
          <w:rtl/>
          <w:lang w:bidi="he-IL"/>
        </w:rPr>
        <w:t xml:space="preserve"> </w:t>
      </w:r>
      <w:r w:rsidR="004C773F" w:rsidRPr="00882F11">
        <w:rPr>
          <w:rFonts w:cs="Guttman Drogolin" w:hint="cs"/>
          <w:rtl/>
          <w:lang w:bidi="he-IL"/>
        </w:rPr>
        <w:t xml:space="preserve"> </w:t>
      </w:r>
    </w:p>
    <w:p w:rsidR="00C05C4C" w:rsidRPr="00882F11" w:rsidRDefault="00C05C4C" w:rsidP="00C05C4C">
      <w:pPr>
        <w:bidi/>
        <w:jc w:val="both"/>
        <w:rPr>
          <w:rFonts w:cs="Guttman Drogolin"/>
          <w:rtl/>
          <w:lang w:bidi="he-IL"/>
        </w:rPr>
        <w:sectPr w:rsidR="00C05C4C" w:rsidRPr="00882F11" w:rsidSect="00662307">
          <w:type w:val="continuous"/>
          <w:pgSz w:w="11907" w:h="16839" w:code="9"/>
          <w:pgMar w:top="1440" w:right="1440" w:bottom="1440" w:left="1440" w:header="720" w:footer="720" w:gutter="0"/>
          <w:cols w:num="2" w:space="720"/>
          <w:bidi/>
          <w:docGrid w:linePitch="360"/>
        </w:sectPr>
      </w:pPr>
    </w:p>
    <w:p w:rsidR="00C05C4C" w:rsidRPr="00882F11" w:rsidRDefault="00C05C4C" w:rsidP="00C05C4C">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מ"ג</w:t>
      </w:r>
    </w:p>
    <w:p w:rsidR="00662307" w:rsidRDefault="00662307" w:rsidP="0078079C">
      <w:pPr>
        <w:pStyle w:val="Heading1"/>
        <w:bidi/>
        <w:spacing w:before="0" w:line="360" w:lineRule="auto"/>
        <w:jc w:val="center"/>
        <w:rPr>
          <w:rFonts w:cs="Guttman Drogolin"/>
          <w:color w:val="auto"/>
          <w:sz w:val="24"/>
          <w:szCs w:val="24"/>
          <w:u w:val="single"/>
          <w:rtl/>
          <w:lang w:bidi="he-IL"/>
        </w:rPr>
        <w:sectPr w:rsidR="00662307" w:rsidSect="00662307">
          <w:headerReference w:type="default" r:id="rId37"/>
          <w:pgSz w:w="11907" w:h="16839" w:code="9"/>
          <w:pgMar w:top="1440" w:right="1440" w:bottom="1440" w:left="1440" w:header="720" w:footer="720" w:gutter="0"/>
          <w:cols w:space="720"/>
          <w:bidi/>
          <w:docGrid w:linePitch="360"/>
        </w:sectPr>
      </w:pPr>
    </w:p>
    <w:p w:rsidR="00C05C4C" w:rsidRPr="00882F11" w:rsidRDefault="00C05C4C" w:rsidP="0078079C">
      <w:pPr>
        <w:pStyle w:val="Heading1"/>
        <w:bidi/>
        <w:spacing w:before="0" w:line="360" w:lineRule="auto"/>
        <w:jc w:val="center"/>
        <w:rPr>
          <w:rFonts w:cs="Guttman Drogolin"/>
          <w:color w:val="auto"/>
          <w:sz w:val="24"/>
          <w:szCs w:val="24"/>
          <w:u w:val="single"/>
          <w:rtl/>
          <w:lang w:bidi="he-IL"/>
        </w:rPr>
      </w:pPr>
      <w:bookmarkStart w:id="155" w:name="_Toc496175412"/>
      <w:r w:rsidRPr="00882F11">
        <w:rPr>
          <w:rFonts w:cs="Guttman Drogolin" w:hint="cs"/>
          <w:color w:val="auto"/>
          <w:sz w:val="24"/>
          <w:szCs w:val="24"/>
          <w:u w:val="single"/>
          <w:rtl/>
          <w:lang w:bidi="he-IL"/>
        </w:rPr>
        <w:lastRenderedPageBreak/>
        <w:t>הערה במתני' שבדף ק"ז ע"ב</w:t>
      </w:r>
      <w:bookmarkEnd w:id="155"/>
    </w:p>
    <w:p w:rsidR="00C05C4C" w:rsidRPr="00882F11" w:rsidRDefault="00DA6DFF" w:rsidP="009A69B2">
      <w:pPr>
        <w:bidi/>
        <w:jc w:val="both"/>
        <w:rPr>
          <w:rFonts w:cs="Guttman Drogolin"/>
          <w:rtl/>
          <w:lang w:bidi="he-IL"/>
        </w:rPr>
      </w:pPr>
      <w:r>
        <w:rPr>
          <w:rFonts w:cs="Guttman Drogolin"/>
          <w:rtl/>
          <w:lang w:bidi="he-IL"/>
        </w:rPr>
        <w:fldChar w:fldCharType="begin"/>
      </w:r>
      <w:r>
        <w:instrText xml:space="preserve"> XE "</w:instrText>
      </w:r>
      <w:r w:rsidRPr="00795377">
        <w:rPr>
          <w:rFonts w:hint="cs"/>
          <w:rtl/>
          <w:lang w:bidi="he-IL"/>
        </w:rPr>
        <w:instrText>בשר בחלב - איסור העלאה על שולחן א'</w:instrText>
      </w:r>
      <w:r w:rsidRPr="00795377">
        <w:rPr>
          <w:rtl/>
        </w:rPr>
        <w:instrText>:</w:instrText>
      </w:r>
      <w:r w:rsidRPr="00795377">
        <w:rPr>
          <w:rFonts w:hint="cs"/>
          <w:rtl/>
          <w:lang w:bidi="he-IL"/>
        </w:rPr>
        <w:instrText>השייכות לדין צורר אדם בשר וגבינה במטפחת א'</w:instrText>
      </w:r>
      <w:r>
        <w:instrText xml:space="preserve">" </w:instrText>
      </w:r>
      <w:r>
        <w:rPr>
          <w:rFonts w:cs="Guttman Drogolin"/>
          <w:rtl/>
          <w:lang w:bidi="he-IL"/>
        </w:rPr>
        <w:fldChar w:fldCharType="end"/>
      </w:r>
      <w:r w:rsidR="00C05C4C" w:rsidRPr="00882F11">
        <w:rPr>
          <w:rFonts w:cs="Guttman Drogolin" w:hint="cs"/>
          <w:rtl/>
          <w:lang w:bidi="he-IL"/>
        </w:rPr>
        <w:t>במתני' שבדף ק"ז ע"ב כתוב "צורר</w:t>
      </w:r>
      <w:r w:rsidR="00C05C4C" w:rsidRPr="00882F11">
        <w:rPr>
          <w:rFonts w:cs="Guttman Drogolin"/>
          <w:rtl/>
          <w:lang w:bidi="he-IL"/>
        </w:rPr>
        <w:t xml:space="preserve"> </w:t>
      </w:r>
      <w:r w:rsidR="00C05C4C" w:rsidRPr="00882F11">
        <w:rPr>
          <w:rFonts w:cs="Guttman Drogolin" w:hint="cs"/>
          <w:rtl/>
          <w:lang w:bidi="he-IL"/>
        </w:rPr>
        <w:t>אדם</w:t>
      </w:r>
      <w:r w:rsidR="00C05C4C" w:rsidRPr="00882F11">
        <w:rPr>
          <w:rFonts w:cs="Guttman Drogolin"/>
          <w:rtl/>
          <w:lang w:bidi="he-IL"/>
        </w:rPr>
        <w:t xml:space="preserve"> </w:t>
      </w:r>
      <w:r w:rsidR="00C05C4C" w:rsidRPr="00882F11">
        <w:rPr>
          <w:rFonts w:cs="Guttman Drogolin" w:hint="cs"/>
          <w:rtl/>
          <w:lang w:bidi="he-IL"/>
        </w:rPr>
        <w:t>בשר</w:t>
      </w:r>
      <w:r w:rsidR="00C05C4C" w:rsidRPr="00882F11">
        <w:rPr>
          <w:rFonts w:cs="Guttman Drogolin"/>
          <w:rtl/>
          <w:lang w:bidi="he-IL"/>
        </w:rPr>
        <w:t xml:space="preserve"> </w:t>
      </w:r>
      <w:r w:rsidR="00C05C4C" w:rsidRPr="00882F11">
        <w:rPr>
          <w:rFonts w:cs="Guttman Drogolin" w:hint="cs"/>
          <w:rtl/>
          <w:lang w:bidi="he-IL"/>
        </w:rPr>
        <w:t>וגבינה</w:t>
      </w:r>
      <w:r w:rsidR="00C05C4C" w:rsidRPr="00882F11">
        <w:rPr>
          <w:rFonts w:cs="Guttman Drogolin"/>
          <w:rtl/>
          <w:lang w:bidi="he-IL"/>
        </w:rPr>
        <w:t xml:space="preserve"> </w:t>
      </w:r>
      <w:r w:rsidR="00C05C4C" w:rsidRPr="00882F11">
        <w:rPr>
          <w:rFonts w:cs="Guttman Drogolin" w:hint="cs"/>
          <w:rtl/>
          <w:lang w:bidi="he-IL"/>
        </w:rPr>
        <w:t>במטפחת</w:t>
      </w:r>
      <w:r w:rsidR="00C05C4C" w:rsidRPr="00882F11">
        <w:rPr>
          <w:rFonts w:cs="Guttman Drogolin"/>
          <w:rtl/>
          <w:lang w:bidi="he-IL"/>
        </w:rPr>
        <w:t xml:space="preserve"> </w:t>
      </w:r>
      <w:r w:rsidR="00C05C4C" w:rsidRPr="00882F11">
        <w:rPr>
          <w:rFonts w:cs="Guttman Drogolin" w:hint="cs"/>
          <w:rtl/>
          <w:lang w:bidi="he-IL"/>
        </w:rPr>
        <w:t>אחת</w:t>
      </w:r>
      <w:r w:rsidR="00C05C4C" w:rsidRPr="00882F11">
        <w:rPr>
          <w:rFonts w:cs="Guttman Drogolin"/>
          <w:rtl/>
          <w:lang w:bidi="he-IL"/>
        </w:rPr>
        <w:t xml:space="preserve"> </w:t>
      </w:r>
      <w:r w:rsidR="00C05C4C" w:rsidRPr="00882F11">
        <w:rPr>
          <w:rFonts w:cs="Guttman Drogolin" w:hint="cs"/>
          <w:rtl/>
          <w:lang w:bidi="he-IL"/>
        </w:rPr>
        <w:t>ובלבד</w:t>
      </w:r>
      <w:r w:rsidR="00C05C4C" w:rsidRPr="00882F11">
        <w:rPr>
          <w:rFonts w:cs="Guttman Drogolin"/>
          <w:rtl/>
          <w:lang w:bidi="he-IL"/>
        </w:rPr>
        <w:t xml:space="preserve"> </w:t>
      </w:r>
      <w:r w:rsidR="00C05C4C" w:rsidRPr="00882F11">
        <w:rPr>
          <w:rFonts w:cs="Guttman Drogolin" w:hint="cs"/>
          <w:rtl/>
          <w:lang w:bidi="he-IL"/>
        </w:rPr>
        <w:t>שלא</w:t>
      </w:r>
      <w:r w:rsidR="00C05C4C" w:rsidRPr="00882F11">
        <w:rPr>
          <w:rFonts w:cs="Guttman Drogolin"/>
          <w:rtl/>
          <w:lang w:bidi="he-IL"/>
        </w:rPr>
        <w:t xml:space="preserve"> </w:t>
      </w:r>
      <w:r w:rsidR="00C05C4C" w:rsidRPr="00882F11">
        <w:rPr>
          <w:rFonts w:cs="Guttman Drogolin" w:hint="cs"/>
          <w:rtl/>
          <w:lang w:bidi="he-IL"/>
        </w:rPr>
        <w:t>יהו</w:t>
      </w:r>
      <w:r w:rsidR="00C05C4C" w:rsidRPr="00882F11">
        <w:rPr>
          <w:rFonts w:cs="Guttman Drogolin"/>
          <w:rtl/>
          <w:lang w:bidi="he-IL"/>
        </w:rPr>
        <w:t xml:space="preserve"> </w:t>
      </w:r>
      <w:r w:rsidR="00C05C4C" w:rsidRPr="00882F11">
        <w:rPr>
          <w:rFonts w:cs="Guttman Drogolin" w:hint="cs"/>
          <w:rtl/>
          <w:lang w:bidi="he-IL"/>
        </w:rPr>
        <w:t>נוגעין</w:t>
      </w:r>
      <w:r w:rsidR="00C05C4C" w:rsidRPr="00882F11">
        <w:rPr>
          <w:rFonts w:cs="Guttman Drogolin"/>
          <w:rtl/>
          <w:lang w:bidi="he-IL"/>
        </w:rPr>
        <w:t xml:space="preserve"> </w:t>
      </w:r>
      <w:r w:rsidR="00C05C4C" w:rsidRPr="00882F11">
        <w:rPr>
          <w:rFonts w:cs="Guttman Drogolin" w:hint="cs"/>
          <w:rtl/>
          <w:lang w:bidi="he-IL"/>
        </w:rPr>
        <w:t>זה</w:t>
      </w:r>
      <w:r w:rsidR="00C05C4C" w:rsidRPr="00882F11">
        <w:rPr>
          <w:rFonts w:cs="Guttman Drogolin"/>
          <w:rtl/>
          <w:lang w:bidi="he-IL"/>
        </w:rPr>
        <w:t xml:space="preserve"> </w:t>
      </w:r>
      <w:r w:rsidR="00C05C4C" w:rsidRPr="00882F11">
        <w:rPr>
          <w:rFonts w:cs="Guttman Drogolin" w:hint="cs"/>
          <w:rtl/>
          <w:lang w:bidi="he-IL"/>
        </w:rPr>
        <w:t>בזה</w:t>
      </w:r>
      <w:r w:rsidR="00C05C4C" w:rsidRPr="00882F11">
        <w:rPr>
          <w:rFonts w:cs="Guttman Drogolin"/>
          <w:rtl/>
          <w:lang w:bidi="he-IL"/>
        </w:rPr>
        <w:t xml:space="preserve"> </w:t>
      </w:r>
      <w:r w:rsidR="00C05C4C" w:rsidRPr="00882F11">
        <w:rPr>
          <w:rFonts w:cs="Guttman Drogolin" w:hint="cs"/>
          <w:rtl/>
          <w:lang w:bidi="he-IL"/>
        </w:rPr>
        <w:t>רבן</w:t>
      </w:r>
      <w:r w:rsidR="00C05C4C" w:rsidRPr="00882F11">
        <w:rPr>
          <w:rFonts w:cs="Guttman Drogolin"/>
          <w:rtl/>
          <w:lang w:bidi="he-IL"/>
        </w:rPr>
        <w:t xml:space="preserve"> </w:t>
      </w:r>
      <w:r w:rsidR="00C05C4C" w:rsidRPr="00882F11">
        <w:rPr>
          <w:rFonts w:cs="Guttman Drogolin" w:hint="cs"/>
          <w:rtl/>
          <w:lang w:bidi="he-IL"/>
        </w:rPr>
        <w:t>שמעון</w:t>
      </w:r>
      <w:r w:rsidR="00C05C4C" w:rsidRPr="00882F11">
        <w:rPr>
          <w:rFonts w:cs="Guttman Drogolin"/>
          <w:rtl/>
          <w:lang w:bidi="he-IL"/>
        </w:rPr>
        <w:t xml:space="preserve"> </w:t>
      </w:r>
      <w:r w:rsidR="00C05C4C" w:rsidRPr="00882F11">
        <w:rPr>
          <w:rFonts w:cs="Guttman Drogolin" w:hint="cs"/>
          <w:rtl/>
          <w:lang w:bidi="he-IL"/>
        </w:rPr>
        <w:t>בן</w:t>
      </w:r>
      <w:r w:rsidR="00C05C4C" w:rsidRPr="00882F11">
        <w:rPr>
          <w:rFonts w:cs="Guttman Drogolin"/>
          <w:rtl/>
          <w:lang w:bidi="he-IL"/>
        </w:rPr>
        <w:t xml:space="preserve"> </w:t>
      </w:r>
      <w:r w:rsidR="00C05C4C" w:rsidRPr="00882F11">
        <w:rPr>
          <w:rFonts w:cs="Guttman Drogolin" w:hint="cs"/>
          <w:rtl/>
          <w:lang w:bidi="he-IL"/>
        </w:rPr>
        <w:t>גמליאל</w:t>
      </w:r>
      <w:r w:rsidR="00C05C4C" w:rsidRPr="00882F11">
        <w:rPr>
          <w:rFonts w:cs="Guttman Drogolin"/>
          <w:rtl/>
          <w:lang w:bidi="he-IL"/>
        </w:rPr>
        <w:t xml:space="preserve"> </w:t>
      </w:r>
      <w:r w:rsidR="00C05C4C" w:rsidRPr="00882F11">
        <w:rPr>
          <w:rFonts w:cs="Guttman Drogolin" w:hint="cs"/>
          <w:rtl/>
          <w:lang w:bidi="he-IL"/>
        </w:rPr>
        <w:t>אומר</w:t>
      </w:r>
      <w:r w:rsidR="00C05C4C" w:rsidRPr="00882F11">
        <w:rPr>
          <w:rFonts w:cs="Guttman Drogolin"/>
          <w:rtl/>
          <w:lang w:bidi="he-IL"/>
        </w:rPr>
        <w:t xml:space="preserve"> </w:t>
      </w:r>
      <w:r w:rsidR="00C05C4C" w:rsidRPr="00882F11">
        <w:rPr>
          <w:rFonts w:cs="Guttman Drogolin" w:hint="cs"/>
          <w:rtl/>
          <w:lang w:bidi="he-IL"/>
        </w:rPr>
        <w:t>שני</w:t>
      </w:r>
      <w:r w:rsidR="00C05C4C" w:rsidRPr="00882F11">
        <w:rPr>
          <w:rFonts w:cs="Guttman Drogolin"/>
          <w:rtl/>
          <w:lang w:bidi="he-IL"/>
        </w:rPr>
        <w:t xml:space="preserve"> </w:t>
      </w:r>
      <w:r w:rsidR="00C05C4C" w:rsidRPr="00882F11">
        <w:rPr>
          <w:rFonts w:cs="Guttman Drogolin" w:hint="cs"/>
          <w:rtl/>
          <w:lang w:bidi="he-IL"/>
        </w:rPr>
        <w:t>אכסנאין</w:t>
      </w:r>
      <w:r w:rsidR="00C05C4C" w:rsidRPr="00882F11">
        <w:rPr>
          <w:rFonts w:cs="Guttman Drogolin"/>
          <w:rtl/>
          <w:lang w:bidi="he-IL"/>
        </w:rPr>
        <w:t xml:space="preserve"> </w:t>
      </w:r>
      <w:r w:rsidR="00C05C4C" w:rsidRPr="00882F11">
        <w:rPr>
          <w:rFonts w:cs="Guttman Drogolin" w:hint="cs"/>
          <w:rtl/>
          <w:lang w:bidi="he-IL"/>
        </w:rPr>
        <w:t>אוכלין</w:t>
      </w:r>
      <w:r w:rsidR="00C05C4C" w:rsidRPr="00882F11">
        <w:rPr>
          <w:rFonts w:cs="Guttman Drogolin"/>
          <w:rtl/>
          <w:lang w:bidi="he-IL"/>
        </w:rPr>
        <w:t xml:space="preserve"> </w:t>
      </w:r>
      <w:r w:rsidR="00C05C4C" w:rsidRPr="00882F11">
        <w:rPr>
          <w:rFonts w:cs="Guttman Drogolin" w:hint="cs"/>
          <w:rtl/>
          <w:lang w:bidi="he-IL"/>
        </w:rPr>
        <w:t>על</w:t>
      </w:r>
      <w:r w:rsidR="00C05C4C" w:rsidRPr="00882F11">
        <w:rPr>
          <w:rFonts w:cs="Guttman Drogolin"/>
          <w:rtl/>
          <w:lang w:bidi="he-IL"/>
        </w:rPr>
        <w:t xml:space="preserve"> </w:t>
      </w:r>
      <w:r w:rsidR="00C05C4C" w:rsidRPr="00882F11">
        <w:rPr>
          <w:rFonts w:cs="Guttman Drogolin" w:hint="cs"/>
          <w:rtl/>
          <w:lang w:bidi="he-IL"/>
        </w:rPr>
        <w:t>שלחן</w:t>
      </w:r>
      <w:r w:rsidR="00C05C4C" w:rsidRPr="00882F11">
        <w:rPr>
          <w:rFonts w:cs="Guttman Drogolin"/>
          <w:rtl/>
          <w:lang w:bidi="he-IL"/>
        </w:rPr>
        <w:t xml:space="preserve"> </w:t>
      </w:r>
      <w:r w:rsidR="00C05C4C" w:rsidRPr="00882F11">
        <w:rPr>
          <w:rFonts w:cs="Guttman Drogolin" w:hint="cs"/>
          <w:rtl/>
          <w:lang w:bidi="he-IL"/>
        </w:rPr>
        <w:t>אחד</w:t>
      </w:r>
      <w:r w:rsidR="00C05C4C" w:rsidRPr="00882F11">
        <w:rPr>
          <w:rFonts w:cs="Guttman Drogolin"/>
          <w:rtl/>
          <w:lang w:bidi="he-IL"/>
        </w:rPr>
        <w:t xml:space="preserve"> </w:t>
      </w:r>
      <w:r w:rsidR="00C05C4C" w:rsidRPr="00882F11">
        <w:rPr>
          <w:rFonts w:cs="Guttman Drogolin" w:hint="cs"/>
          <w:rtl/>
          <w:lang w:bidi="he-IL"/>
        </w:rPr>
        <w:t>זה</w:t>
      </w:r>
      <w:r w:rsidR="00C05C4C" w:rsidRPr="00882F11">
        <w:rPr>
          <w:rFonts w:cs="Guttman Drogolin"/>
          <w:rtl/>
          <w:lang w:bidi="he-IL"/>
        </w:rPr>
        <w:t xml:space="preserve"> </w:t>
      </w:r>
      <w:r w:rsidR="00C05C4C" w:rsidRPr="00882F11">
        <w:rPr>
          <w:rFonts w:cs="Guttman Drogolin" w:hint="cs"/>
          <w:rtl/>
          <w:lang w:bidi="he-IL"/>
        </w:rPr>
        <w:t>בשר</w:t>
      </w:r>
      <w:r w:rsidR="00C05C4C" w:rsidRPr="00882F11">
        <w:rPr>
          <w:rFonts w:cs="Guttman Drogolin"/>
          <w:rtl/>
          <w:lang w:bidi="he-IL"/>
        </w:rPr>
        <w:t xml:space="preserve"> </w:t>
      </w:r>
      <w:r w:rsidR="00C05C4C" w:rsidRPr="00882F11">
        <w:rPr>
          <w:rFonts w:cs="Guttman Drogolin" w:hint="cs"/>
          <w:rtl/>
          <w:lang w:bidi="he-IL"/>
        </w:rPr>
        <w:t>וזה</w:t>
      </w:r>
      <w:r w:rsidR="00C05C4C" w:rsidRPr="00882F11">
        <w:rPr>
          <w:rFonts w:cs="Guttman Drogolin"/>
          <w:rtl/>
          <w:lang w:bidi="he-IL"/>
        </w:rPr>
        <w:t xml:space="preserve"> </w:t>
      </w:r>
      <w:r w:rsidR="00C05C4C" w:rsidRPr="00882F11">
        <w:rPr>
          <w:rFonts w:cs="Guttman Drogolin" w:hint="cs"/>
          <w:rtl/>
          <w:lang w:bidi="he-IL"/>
        </w:rPr>
        <w:t>גבינה</w:t>
      </w:r>
      <w:r w:rsidR="00C05C4C" w:rsidRPr="00882F11">
        <w:rPr>
          <w:rFonts w:cs="Guttman Drogolin"/>
          <w:rtl/>
          <w:lang w:bidi="he-IL"/>
        </w:rPr>
        <w:t xml:space="preserve"> </w:t>
      </w:r>
      <w:r w:rsidR="00C05C4C" w:rsidRPr="00882F11">
        <w:rPr>
          <w:rFonts w:cs="Guttman Drogolin" w:hint="cs"/>
          <w:rtl/>
          <w:lang w:bidi="he-IL"/>
        </w:rPr>
        <w:t>ואין</w:t>
      </w:r>
      <w:r w:rsidR="00C05C4C" w:rsidRPr="00882F11">
        <w:rPr>
          <w:rFonts w:cs="Guttman Drogolin"/>
          <w:rtl/>
          <w:lang w:bidi="he-IL"/>
        </w:rPr>
        <w:t xml:space="preserve"> </w:t>
      </w:r>
      <w:r w:rsidR="00C05C4C" w:rsidRPr="00882F11">
        <w:rPr>
          <w:rFonts w:cs="Guttman Drogolin" w:hint="cs"/>
          <w:rtl/>
          <w:lang w:bidi="he-IL"/>
        </w:rPr>
        <w:t>חוששין". והנה לכאורה השיטה של רשב"ג שייכת יותר לב' המשניות הראשונות שבפרק, דמש"כ בהם שאסור להעלות בשר וגבינה על השולחן הנ"מ כשאינן נאכלין ע"י ב' אכסנאין (שאינן מכירין</w:t>
      </w:r>
      <w:r w:rsidR="00631A7E" w:rsidRPr="00882F11">
        <w:rPr>
          <w:rFonts w:cs="Guttman Drogolin" w:hint="cs"/>
          <w:rtl/>
          <w:lang w:bidi="he-IL"/>
        </w:rPr>
        <w:t xml:space="preserve"> זא"ז וכדמבואר בגמ'), אבל כשנאכ</w:t>
      </w:r>
      <w:r w:rsidR="00C05C4C" w:rsidRPr="00882F11">
        <w:rPr>
          <w:rFonts w:cs="Guttman Drogolin" w:hint="cs"/>
          <w:rtl/>
          <w:lang w:bidi="he-IL"/>
        </w:rPr>
        <w:t xml:space="preserve">ל ע"י ב' אכסנאין מותר. </w:t>
      </w:r>
      <w:r w:rsidR="009A69B2" w:rsidRPr="00882F11">
        <w:rPr>
          <w:rFonts w:cs="Guttman Drogolin" w:hint="cs"/>
          <w:rtl/>
          <w:lang w:bidi="he-IL"/>
        </w:rPr>
        <w:t xml:space="preserve">והיינו שב' המשניות הראשונות מיירי בא' האוכל לבדו, וכן מבואר בסוגיית הגמ' שבמס' שבת דף י"ג ע"א שבסמוך, ובא שיטת רשב"ג להתיר כשיש שני בני אדם שאינם מכירים זה את זה. </w:t>
      </w:r>
      <w:r w:rsidR="00C05C4C" w:rsidRPr="00882F11">
        <w:rPr>
          <w:rFonts w:cs="Guttman Drogolin" w:hint="cs"/>
          <w:rtl/>
          <w:lang w:bidi="he-IL"/>
        </w:rPr>
        <w:t xml:space="preserve">וא"כ לכאורה צ"ע למה הביאו שיטת רשב"ג אחרי הדין של צורר אדם וכו' שלכאורה אין לו שייכות להלכה זו. ומצאתי לתפארת ישראל על המשניות שהתייחס לקושיא זו, ותי' </w:t>
      </w:r>
      <w:r w:rsidR="00631A7E" w:rsidRPr="00882F11">
        <w:rPr>
          <w:rFonts w:cs="Guttman Drogolin" w:hint="cs"/>
          <w:rtl/>
          <w:lang w:bidi="he-IL"/>
        </w:rPr>
        <w:t>שיש באמת מחלוקת בין ת"ק לרשב"ג, שת"ק לא התיר כשיש בשר וגבינה ביחד אלא צרורין ואינן נוגעים, אבל כשאוכלין שני אנשים ביחד לא התירו, ובא רשב"ג וחידש שכשיש ב' אכסנאין ג"כ התירו. ודבר זה מרומז גם בסוגיית הגמ', שהרי הגמ' מביאה ברייתא שכתוב שאפילו כשמכירין זה את זה "ולא</w:t>
      </w:r>
      <w:r w:rsidR="00631A7E" w:rsidRPr="00882F11">
        <w:rPr>
          <w:rFonts w:cs="Guttman Drogolin"/>
          <w:rtl/>
          <w:lang w:bidi="he-IL"/>
        </w:rPr>
        <w:t xml:space="preserve"> </w:t>
      </w:r>
      <w:r w:rsidR="00631A7E" w:rsidRPr="00882F11">
        <w:rPr>
          <w:rFonts w:cs="Guttman Drogolin" w:hint="cs"/>
          <w:rtl/>
          <w:lang w:bidi="he-IL"/>
        </w:rPr>
        <w:t>אסרו</w:t>
      </w:r>
      <w:r w:rsidR="00631A7E" w:rsidRPr="00882F11">
        <w:rPr>
          <w:rFonts w:cs="Guttman Drogolin"/>
          <w:rtl/>
          <w:lang w:bidi="he-IL"/>
        </w:rPr>
        <w:t xml:space="preserve"> </w:t>
      </w:r>
      <w:r w:rsidR="00631A7E" w:rsidRPr="00882F11">
        <w:rPr>
          <w:rFonts w:cs="Guttman Drogolin" w:hint="cs"/>
          <w:rtl/>
          <w:lang w:bidi="he-IL"/>
        </w:rPr>
        <w:t>אלא</w:t>
      </w:r>
      <w:r w:rsidR="00631A7E" w:rsidRPr="00882F11">
        <w:rPr>
          <w:rFonts w:cs="Guttman Drogolin"/>
          <w:rtl/>
          <w:lang w:bidi="he-IL"/>
        </w:rPr>
        <w:t xml:space="preserve"> </w:t>
      </w:r>
      <w:r w:rsidR="00631A7E" w:rsidRPr="00882F11">
        <w:rPr>
          <w:rFonts w:cs="Guttman Drogolin" w:hint="cs"/>
          <w:rtl/>
          <w:lang w:bidi="he-IL"/>
        </w:rPr>
        <w:t>בתפיסה</w:t>
      </w:r>
      <w:r w:rsidR="00631A7E" w:rsidRPr="00882F11">
        <w:rPr>
          <w:rFonts w:cs="Guttman Drogolin"/>
          <w:rtl/>
          <w:lang w:bidi="he-IL"/>
        </w:rPr>
        <w:t xml:space="preserve"> </w:t>
      </w:r>
      <w:r w:rsidR="00631A7E" w:rsidRPr="00882F11">
        <w:rPr>
          <w:rFonts w:cs="Guttman Drogolin" w:hint="cs"/>
          <w:rtl/>
          <w:lang w:bidi="he-IL"/>
        </w:rPr>
        <w:t>אחת"</w:t>
      </w:r>
      <w:r w:rsidR="00631A7E" w:rsidRPr="00882F11">
        <w:rPr>
          <w:rFonts w:cs="Guttman Drogolin"/>
          <w:rtl/>
          <w:lang w:bidi="he-IL"/>
        </w:rPr>
        <w:t xml:space="preserve"> </w:t>
      </w:r>
      <w:r w:rsidR="00631A7E" w:rsidRPr="00882F11">
        <w:rPr>
          <w:rFonts w:cs="Guttman Drogolin" w:hint="cs"/>
          <w:rtl/>
          <w:lang w:bidi="he-IL"/>
        </w:rPr>
        <w:t>ומקשה הגמ' "תפיסה</w:t>
      </w:r>
      <w:r w:rsidR="00631A7E" w:rsidRPr="00882F11">
        <w:rPr>
          <w:rFonts w:cs="Guttman Drogolin"/>
          <w:rtl/>
          <w:lang w:bidi="he-IL"/>
        </w:rPr>
        <w:t xml:space="preserve"> </w:t>
      </w:r>
      <w:r w:rsidR="00631A7E" w:rsidRPr="00882F11">
        <w:rPr>
          <w:rFonts w:cs="Guttman Drogolin" w:hint="cs"/>
          <w:rtl/>
          <w:lang w:bidi="he-IL"/>
        </w:rPr>
        <w:t>אחת</w:t>
      </w:r>
      <w:r w:rsidR="00631A7E" w:rsidRPr="00882F11">
        <w:rPr>
          <w:rFonts w:cs="Guttman Drogolin"/>
          <w:rtl/>
          <w:lang w:bidi="he-IL"/>
        </w:rPr>
        <w:t xml:space="preserve"> </w:t>
      </w:r>
      <w:r w:rsidR="00631A7E" w:rsidRPr="00882F11">
        <w:rPr>
          <w:rFonts w:cs="Guttman Drogolin" w:hint="cs"/>
          <w:rtl/>
          <w:lang w:bidi="he-IL"/>
        </w:rPr>
        <w:t>סלקא</w:t>
      </w:r>
      <w:r w:rsidR="00631A7E" w:rsidRPr="00882F11">
        <w:rPr>
          <w:rFonts w:cs="Guttman Drogolin"/>
          <w:rtl/>
          <w:lang w:bidi="he-IL"/>
        </w:rPr>
        <w:t xml:space="preserve"> </w:t>
      </w:r>
      <w:r w:rsidR="00631A7E" w:rsidRPr="00882F11">
        <w:rPr>
          <w:rFonts w:cs="Guttman Drogolin" w:hint="cs"/>
          <w:rtl/>
          <w:lang w:bidi="he-IL"/>
        </w:rPr>
        <w:t>דעתך" ומתרץ</w:t>
      </w:r>
      <w:r w:rsidR="00631A7E" w:rsidRPr="00882F11">
        <w:rPr>
          <w:rFonts w:cs="Guttman Drogolin"/>
          <w:rtl/>
          <w:lang w:bidi="he-IL"/>
        </w:rPr>
        <w:t xml:space="preserve"> </w:t>
      </w:r>
      <w:r w:rsidR="00631A7E" w:rsidRPr="00882F11">
        <w:rPr>
          <w:rFonts w:cs="Guttman Drogolin" w:hint="cs"/>
          <w:rtl/>
          <w:lang w:bidi="he-IL"/>
        </w:rPr>
        <w:t>"אלא</w:t>
      </w:r>
      <w:r w:rsidR="00631A7E" w:rsidRPr="00882F11">
        <w:rPr>
          <w:rFonts w:cs="Guttman Drogolin"/>
          <w:rtl/>
          <w:lang w:bidi="he-IL"/>
        </w:rPr>
        <w:t xml:space="preserve"> </w:t>
      </w:r>
      <w:r w:rsidR="00631A7E" w:rsidRPr="00882F11">
        <w:rPr>
          <w:rFonts w:cs="Guttman Drogolin" w:hint="cs"/>
          <w:rtl/>
          <w:lang w:bidi="he-IL"/>
        </w:rPr>
        <w:t>כעין</w:t>
      </w:r>
      <w:r w:rsidR="00631A7E" w:rsidRPr="00882F11">
        <w:rPr>
          <w:rFonts w:cs="Guttman Drogolin"/>
          <w:rtl/>
          <w:lang w:bidi="he-IL"/>
        </w:rPr>
        <w:t xml:space="preserve"> </w:t>
      </w:r>
      <w:r w:rsidR="00631A7E" w:rsidRPr="00882F11">
        <w:rPr>
          <w:rFonts w:cs="Guttman Drogolin" w:hint="cs"/>
          <w:rtl/>
          <w:lang w:bidi="he-IL"/>
        </w:rPr>
        <w:t>תפיסה</w:t>
      </w:r>
      <w:r w:rsidR="00631A7E" w:rsidRPr="00882F11">
        <w:rPr>
          <w:rFonts w:cs="Guttman Drogolin"/>
          <w:rtl/>
          <w:lang w:bidi="he-IL"/>
        </w:rPr>
        <w:t xml:space="preserve"> </w:t>
      </w:r>
      <w:r w:rsidR="00631A7E" w:rsidRPr="00882F11">
        <w:rPr>
          <w:rFonts w:cs="Guttman Drogolin" w:hint="cs"/>
          <w:rtl/>
          <w:lang w:bidi="he-IL"/>
        </w:rPr>
        <w:t>אחת". ופירש"י "</w:t>
      </w:r>
      <w:r w:rsidR="00240D52" w:rsidRPr="00882F11">
        <w:rPr>
          <w:rFonts w:cs="Guttman Drogolin" w:hint="cs"/>
          <w:rtl/>
          <w:lang w:bidi="he-IL"/>
        </w:rPr>
        <w:t>אלא בתפיסה</w:t>
      </w:r>
      <w:r w:rsidR="00240D52" w:rsidRPr="00882F11">
        <w:rPr>
          <w:rFonts w:cs="Guttman Drogolin"/>
          <w:rtl/>
          <w:lang w:bidi="he-IL"/>
        </w:rPr>
        <w:t xml:space="preserve"> </w:t>
      </w:r>
      <w:r w:rsidR="00240D52" w:rsidRPr="00882F11">
        <w:rPr>
          <w:rFonts w:cs="Guttman Drogolin" w:hint="cs"/>
          <w:rtl/>
          <w:lang w:bidi="he-IL"/>
        </w:rPr>
        <w:t>אחת</w:t>
      </w:r>
      <w:r w:rsidR="00240D52" w:rsidRPr="00882F11">
        <w:rPr>
          <w:rFonts w:cs="Guttman Drogolin"/>
          <w:rtl/>
          <w:lang w:bidi="he-IL"/>
        </w:rPr>
        <w:t xml:space="preserve">. </w:t>
      </w:r>
      <w:r w:rsidR="00240D52" w:rsidRPr="00882F11">
        <w:rPr>
          <w:rFonts w:cs="Guttman Drogolin" w:hint="cs"/>
          <w:rtl/>
          <w:lang w:bidi="he-IL"/>
        </w:rPr>
        <w:t>בכרך</w:t>
      </w:r>
      <w:r w:rsidR="00240D52" w:rsidRPr="00882F11">
        <w:rPr>
          <w:rFonts w:cs="Guttman Drogolin"/>
          <w:rtl/>
          <w:lang w:bidi="he-IL"/>
        </w:rPr>
        <w:t xml:space="preserve"> </w:t>
      </w:r>
      <w:r w:rsidR="00240D52" w:rsidRPr="00882F11">
        <w:rPr>
          <w:rFonts w:cs="Guttman Drogolin" w:hint="cs"/>
          <w:rtl/>
          <w:lang w:bidi="he-IL"/>
        </w:rPr>
        <w:t>אחד</w:t>
      </w:r>
      <w:r w:rsidR="00240D52" w:rsidRPr="00882F11">
        <w:rPr>
          <w:rFonts w:cs="Guttman Drogolin"/>
          <w:rtl/>
          <w:lang w:bidi="he-IL"/>
        </w:rPr>
        <w:t xml:space="preserve">: </w:t>
      </w:r>
      <w:r w:rsidR="00240D52" w:rsidRPr="00882F11">
        <w:rPr>
          <w:rFonts w:cs="Guttman Drogolin" w:hint="cs"/>
          <w:rtl/>
          <w:lang w:bidi="he-IL"/>
        </w:rPr>
        <w:t>תפיסה</w:t>
      </w:r>
      <w:r w:rsidR="00240D52" w:rsidRPr="00882F11">
        <w:rPr>
          <w:rFonts w:cs="Guttman Drogolin"/>
          <w:rtl/>
          <w:lang w:bidi="he-IL"/>
        </w:rPr>
        <w:t xml:space="preserve"> </w:t>
      </w:r>
      <w:r w:rsidR="00240D52" w:rsidRPr="00882F11">
        <w:rPr>
          <w:rFonts w:cs="Guttman Drogolin" w:hint="cs"/>
          <w:rtl/>
          <w:lang w:bidi="he-IL"/>
        </w:rPr>
        <w:t>אחת</w:t>
      </w:r>
      <w:r w:rsidR="00240D52" w:rsidRPr="00882F11">
        <w:rPr>
          <w:rFonts w:cs="Guttman Drogolin"/>
          <w:rtl/>
          <w:lang w:bidi="he-IL"/>
        </w:rPr>
        <w:t xml:space="preserve"> </w:t>
      </w:r>
      <w:r w:rsidR="00240D52" w:rsidRPr="00882F11">
        <w:rPr>
          <w:rFonts w:cs="Guttman Drogolin" w:hint="cs"/>
          <w:rtl/>
          <w:lang w:bidi="he-IL"/>
        </w:rPr>
        <w:t>ס"ד</w:t>
      </w:r>
      <w:r w:rsidR="00240D52" w:rsidRPr="00882F11">
        <w:rPr>
          <w:rFonts w:cs="Guttman Drogolin"/>
          <w:rtl/>
          <w:lang w:bidi="he-IL"/>
        </w:rPr>
        <w:t xml:space="preserve">. </w:t>
      </w:r>
      <w:r w:rsidR="00240D52" w:rsidRPr="00882F11">
        <w:rPr>
          <w:rFonts w:cs="Guttman Drogolin" w:hint="cs"/>
          <w:rtl/>
          <w:lang w:bidi="he-IL"/>
        </w:rPr>
        <w:t>הא</w:t>
      </w:r>
      <w:r w:rsidR="00240D52" w:rsidRPr="00882F11">
        <w:rPr>
          <w:rFonts w:cs="Guttman Drogolin"/>
          <w:rtl/>
          <w:lang w:bidi="he-IL"/>
        </w:rPr>
        <w:t xml:space="preserve"> </w:t>
      </w:r>
      <w:r w:rsidR="00240D52" w:rsidRPr="00882F11">
        <w:rPr>
          <w:rFonts w:cs="Guttman Drogolin" w:hint="cs"/>
          <w:rtl/>
          <w:lang w:bidi="he-IL"/>
        </w:rPr>
        <w:t>בלא</w:t>
      </w:r>
      <w:r w:rsidR="00240D52" w:rsidRPr="00882F11">
        <w:rPr>
          <w:rFonts w:cs="Guttman Drogolin"/>
          <w:rtl/>
          <w:lang w:bidi="he-IL"/>
        </w:rPr>
        <w:t xml:space="preserve"> </w:t>
      </w:r>
      <w:r w:rsidR="00240D52" w:rsidRPr="00882F11">
        <w:rPr>
          <w:rFonts w:cs="Guttman Drogolin" w:hint="cs"/>
          <w:rtl/>
          <w:lang w:bidi="he-IL"/>
        </w:rPr>
        <w:t>שלחן</w:t>
      </w:r>
      <w:r w:rsidR="00240D52" w:rsidRPr="00882F11">
        <w:rPr>
          <w:rFonts w:cs="Guttman Drogolin"/>
          <w:rtl/>
          <w:lang w:bidi="he-IL"/>
        </w:rPr>
        <w:t xml:space="preserve"> </w:t>
      </w:r>
      <w:r w:rsidR="00240D52" w:rsidRPr="00882F11">
        <w:rPr>
          <w:rFonts w:cs="Guttman Drogolin" w:hint="cs"/>
          <w:rtl/>
          <w:lang w:bidi="he-IL"/>
        </w:rPr>
        <w:t>אוכל</w:t>
      </w:r>
      <w:r w:rsidR="00240D52" w:rsidRPr="00882F11">
        <w:rPr>
          <w:rFonts w:cs="Guttman Drogolin"/>
          <w:rtl/>
          <w:lang w:bidi="he-IL"/>
        </w:rPr>
        <w:t xml:space="preserve"> </w:t>
      </w:r>
      <w:r w:rsidR="00240D52" w:rsidRPr="00882F11">
        <w:rPr>
          <w:rFonts w:cs="Guttman Drogolin" w:hint="cs"/>
          <w:rtl/>
          <w:lang w:bidi="he-IL"/>
        </w:rPr>
        <w:t>עליו</w:t>
      </w:r>
      <w:r w:rsidR="00240D52" w:rsidRPr="00882F11">
        <w:rPr>
          <w:rFonts w:cs="Guttman Drogolin"/>
          <w:rtl/>
          <w:lang w:bidi="he-IL"/>
        </w:rPr>
        <w:t xml:space="preserve"> </w:t>
      </w:r>
      <w:r w:rsidR="00240D52" w:rsidRPr="00882F11">
        <w:rPr>
          <w:rFonts w:cs="Guttman Drogolin" w:hint="cs"/>
          <w:rtl/>
          <w:lang w:bidi="he-IL"/>
        </w:rPr>
        <w:t>נמי</w:t>
      </w:r>
      <w:r w:rsidR="00240D52" w:rsidRPr="00882F11">
        <w:rPr>
          <w:rFonts w:cs="Guttman Drogolin"/>
          <w:rtl/>
          <w:lang w:bidi="he-IL"/>
        </w:rPr>
        <w:t xml:space="preserve"> </w:t>
      </w:r>
      <w:r w:rsidR="00240D52" w:rsidRPr="00882F11">
        <w:rPr>
          <w:rFonts w:cs="Guttman Drogolin" w:hint="cs"/>
          <w:rtl/>
          <w:lang w:bidi="he-IL"/>
        </w:rPr>
        <w:t xml:space="preserve">אסור". וזהו לכאורה על דרכו של התי' הראשון של תוס' ד"ה כעין שלא פי' לנו בהדיא מהו הס"ד של הגמ' של תפיסה א' ממש. אבל רש"י לא פירש לנו עד הסוף מהו הקושי בס"ד זו. והמהר"ם פי' דר"ל דס"ד דמיירי בצרורין במטפחת א' ונוגעין זב"ז, דכה"ג אסור בלי שום שייכות לשולחן רק משום זה לבד שיש שאריות של א' על השני. והגמ' מדחה דר"ל כעין תפיסה א', ור"ל שאינם נוגעים זה בזה אבל עדיין הוי ביחד. </w:t>
      </w:r>
      <w:r w:rsidR="00573389" w:rsidRPr="00882F11">
        <w:rPr>
          <w:rFonts w:cs="Guttman Drogolin" w:hint="cs"/>
          <w:rtl/>
          <w:lang w:bidi="he-IL"/>
        </w:rPr>
        <w:t xml:space="preserve">ולכאורה משמע כנ"ל, שכוונת רשב"ג </w:t>
      </w:r>
      <w:r w:rsidR="00573389" w:rsidRPr="00882F11">
        <w:rPr>
          <w:rFonts w:cs="Guttman Drogolin" w:hint="cs"/>
          <w:rtl/>
          <w:lang w:bidi="he-IL"/>
        </w:rPr>
        <w:lastRenderedPageBreak/>
        <w:t>לומר דהא דאסרנו בכעין תפיסה א' במכירין, בב' אכסנאין שאינן מכירים מותר והוא כ</w:t>
      </w:r>
      <w:r w:rsidR="009A69B2" w:rsidRPr="00882F11">
        <w:rPr>
          <w:rFonts w:cs="Guttman Drogolin" w:hint="cs"/>
          <w:rtl/>
          <w:lang w:bidi="he-IL"/>
        </w:rPr>
        <w:t>ש</w:t>
      </w:r>
      <w:r w:rsidR="00573389" w:rsidRPr="00882F11">
        <w:rPr>
          <w:rFonts w:cs="Guttman Drogolin" w:hint="cs"/>
          <w:rtl/>
          <w:lang w:bidi="he-IL"/>
        </w:rPr>
        <w:t>הם כעין תפיסה א'.</w:t>
      </w:r>
    </w:p>
    <w:p w:rsidR="00573389" w:rsidRPr="00882F11" w:rsidRDefault="00573389" w:rsidP="0078079C">
      <w:pPr>
        <w:pStyle w:val="Heading1"/>
        <w:bidi/>
        <w:spacing w:before="0" w:line="360" w:lineRule="auto"/>
        <w:jc w:val="center"/>
        <w:rPr>
          <w:rFonts w:cs="Guttman Drogolin"/>
          <w:color w:val="auto"/>
          <w:sz w:val="24"/>
          <w:szCs w:val="24"/>
          <w:u w:val="single"/>
          <w:rtl/>
          <w:lang w:bidi="he-IL"/>
        </w:rPr>
      </w:pPr>
      <w:bookmarkStart w:id="156" w:name="_Toc496175413"/>
      <w:r w:rsidRPr="00882F11">
        <w:rPr>
          <w:rFonts w:cs="Guttman Drogolin" w:hint="cs"/>
          <w:color w:val="auto"/>
          <w:sz w:val="24"/>
          <w:szCs w:val="24"/>
          <w:u w:val="single"/>
          <w:rtl/>
          <w:lang w:bidi="he-IL"/>
        </w:rPr>
        <w:t>מהו הפי' של מכירין</w:t>
      </w:r>
      <w:bookmarkEnd w:id="156"/>
    </w:p>
    <w:p w:rsidR="00C42614" w:rsidRPr="00882F11" w:rsidRDefault="00DA6DFF" w:rsidP="006A5F19">
      <w:pPr>
        <w:bidi/>
        <w:jc w:val="both"/>
        <w:rPr>
          <w:rFonts w:cs="Guttman Drogolin"/>
          <w:rtl/>
          <w:lang w:bidi="he-IL"/>
        </w:rPr>
      </w:pPr>
      <w:r>
        <w:rPr>
          <w:rFonts w:cs="Guttman Drogolin"/>
          <w:rtl/>
          <w:lang w:bidi="he-IL"/>
        </w:rPr>
        <w:fldChar w:fldCharType="begin"/>
      </w:r>
      <w:r>
        <w:instrText xml:space="preserve"> XE "</w:instrText>
      </w:r>
      <w:r w:rsidRPr="00AB0023">
        <w:rPr>
          <w:rFonts w:hint="cs"/>
          <w:rtl/>
          <w:lang w:bidi="he-IL"/>
        </w:rPr>
        <w:instrText>בשר בחלב - איסור העלאה על שולחן א'</w:instrText>
      </w:r>
      <w:r w:rsidRPr="00AB0023">
        <w:rPr>
          <w:rtl/>
        </w:rPr>
        <w:instrText>:</w:instrText>
      </w:r>
      <w:r w:rsidRPr="00AB0023">
        <w:rPr>
          <w:rFonts w:hint="cs"/>
          <w:rtl/>
          <w:lang w:bidi="he-IL"/>
        </w:rPr>
        <w:instrText>ביאור הדין במכירין זא</w:instrText>
      </w:r>
      <w:r>
        <w:rPr>
          <w:rFonts w:eastAsiaTheme="minorEastAsia"/>
          <w:lang w:bidi="he-IL"/>
        </w:rPr>
        <w:instrText>\</w:instrText>
      </w:r>
      <w:r w:rsidRPr="00AB0023">
        <w:rPr>
          <w:rFonts w:hint="cs"/>
          <w:rtl/>
          <w:lang w:bidi="he-IL"/>
        </w:rPr>
        <w:instrText>"ז</w:instrText>
      </w:r>
      <w:r>
        <w:instrText xml:space="preserve">" </w:instrText>
      </w:r>
      <w:r>
        <w:rPr>
          <w:rFonts w:cs="Guttman Drogolin"/>
          <w:rtl/>
          <w:lang w:bidi="he-IL"/>
        </w:rPr>
        <w:fldChar w:fldCharType="end"/>
      </w:r>
      <w:r w:rsidR="00573389" w:rsidRPr="00882F11">
        <w:rPr>
          <w:rFonts w:cs="Guttman Drogolin" w:hint="cs"/>
          <w:rtl/>
          <w:lang w:bidi="he-IL"/>
        </w:rPr>
        <w:t>בגמ' מבואר שההיתר של ב' אכסנאין אינו אלא כשאינן מכירים א' את השני, אבל במכירים אסור. ויל"ע מהו הגדר של</w:t>
      </w:r>
      <w:r w:rsidR="0061745D" w:rsidRPr="00882F11">
        <w:rPr>
          <w:rFonts w:cs="Guttman Drogolin" w:hint="cs"/>
          <w:rtl/>
          <w:lang w:bidi="he-IL"/>
        </w:rPr>
        <w:t xml:space="preserve"> מכירים ואינן מכירים. והנה בהמשך</w:t>
      </w:r>
      <w:r w:rsidR="00573389" w:rsidRPr="00882F11">
        <w:rPr>
          <w:rFonts w:cs="Guttman Drogolin" w:hint="cs"/>
          <w:rtl/>
          <w:lang w:bidi="he-IL"/>
        </w:rPr>
        <w:t xml:space="preserve"> הגמ' מסיקה שבב' אחין המקפידים זה על זה ג"כ אסרו ה</w:t>
      </w:r>
      <w:r w:rsidR="00DB0E89" w:rsidRPr="00882F11">
        <w:rPr>
          <w:rFonts w:cs="Guttman Drogolin" w:hint="cs"/>
          <w:rtl/>
          <w:lang w:bidi="he-IL"/>
        </w:rPr>
        <w:t>ע</w:t>
      </w:r>
      <w:r w:rsidR="00573389" w:rsidRPr="00882F11">
        <w:rPr>
          <w:rFonts w:cs="Guttman Drogolin" w:hint="cs"/>
          <w:rtl/>
          <w:lang w:bidi="he-IL"/>
        </w:rPr>
        <w:t>לאה</w:t>
      </w:r>
      <w:r w:rsidR="00DB0E89" w:rsidRPr="00882F11">
        <w:rPr>
          <w:rFonts w:cs="Guttman Drogolin" w:hint="cs"/>
          <w:rtl/>
          <w:lang w:bidi="he-IL"/>
        </w:rPr>
        <w:t xml:space="preserve">, ואע"ג שכל החשש במכירין משום שיש לחוש שיאכל זה משל חבירו, ובמקפידים ליכא למיחש לזה, מ"מ אמר הגמ' "יאמרו כל הסריקין מותרין וכו'", ור"ל שלא פלוג חכמים ואסרו גם במקום שלא קיים החשש. והנה הגמ' לא חקרה אלא מה הדין באחין, אבל הגמ' לא חקרה מהו הדין במכירים ומקפידים. </w:t>
      </w:r>
      <w:r w:rsidR="006A5F19" w:rsidRPr="00882F11">
        <w:rPr>
          <w:rFonts w:cs="Guttman Drogolin" w:hint="cs"/>
          <w:rtl/>
          <w:lang w:bidi="he-IL"/>
        </w:rPr>
        <w:t>וביש"ש (סי' מ"ג)</w:t>
      </w:r>
      <w:r w:rsidR="00DB0E89" w:rsidRPr="00882F11">
        <w:rPr>
          <w:rFonts w:cs="Guttman Drogolin" w:hint="cs"/>
          <w:rtl/>
          <w:lang w:bidi="he-IL"/>
        </w:rPr>
        <w:t xml:space="preserve"> ר"ל דכה"ג מותר, ומבואר שם הטעם שאע"ג שהיינו אומרים לא פלוג, מ"מ מכירים במקפידים זה על זה אינם חשובים כמכירים. ור"ל דבשלמא אחין אע"ג שמקפידים זה על זה יש להם יחס א' עם השני ע"י זה לבד דהוו אחין, ולכן י"ל דלא פלוג רבנן, אבל מכירים היינו לכאורה אלו שאינם מקפידים זה על זה, ולכן עד כמה שמקפידים אינם מכירים. </w:t>
      </w:r>
      <w:r w:rsidR="006A5F19" w:rsidRPr="00882F11">
        <w:rPr>
          <w:rFonts w:cs="Guttman Drogolin" w:hint="cs"/>
          <w:rtl/>
          <w:lang w:bidi="he-IL"/>
        </w:rPr>
        <w:t>והשו"ע ו</w:t>
      </w:r>
      <w:r w:rsidR="00DB0E89" w:rsidRPr="00882F11">
        <w:rPr>
          <w:rFonts w:cs="Guttman Drogolin" w:hint="cs"/>
          <w:rtl/>
          <w:lang w:bidi="he-IL"/>
        </w:rPr>
        <w:t>ש"ך וט"ז חלקו עליו שג</w:t>
      </w:r>
      <w:r w:rsidR="006A5F19" w:rsidRPr="00882F11">
        <w:rPr>
          <w:rFonts w:cs="Guttman Drogolin" w:hint="cs"/>
          <w:rtl/>
          <w:lang w:bidi="he-IL"/>
        </w:rPr>
        <w:t>ם</w:t>
      </w:r>
      <w:r w:rsidR="00DB0E89" w:rsidRPr="00882F11">
        <w:rPr>
          <w:rFonts w:cs="Guttman Drogolin" w:hint="cs"/>
          <w:rtl/>
          <w:lang w:bidi="he-IL"/>
        </w:rPr>
        <w:t xml:space="preserve"> במכירים המקפידים יש לאסור.</w:t>
      </w:r>
      <w:r w:rsidR="006A5F19" w:rsidRPr="00882F11">
        <w:rPr>
          <w:rFonts w:cs="Guttman Drogolin" w:hint="cs"/>
          <w:rtl/>
          <w:lang w:bidi="he-IL"/>
        </w:rPr>
        <w:t xml:space="preserve"> </w:t>
      </w:r>
      <w:r w:rsidR="000E4488" w:rsidRPr="00882F11">
        <w:rPr>
          <w:rFonts w:cs="Guttman Drogolin" w:hint="cs"/>
          <w:rtl/>
          <w:lang w:bidi="he-IL"/>
        </w:rPr>
        <w:t>אמנם לא ביארו לנו היכי משכחת לה למכירים המקפידים. והש"ך ס"ק ג' כתב "בשני ב"א מכירים זא"ז. שאינם מתביישים זה מזה ויאכל כל אחד מחבירו". ושם בשפ"ד כתב "</w:t>
      </w:r>
      <w:r w:rsidR="00CC219E" w:rsidRPr="00882F11">
        <w:rPr>
          <w:rFonts w:cs="Guttman Drogolin" w:hint="cs"/>
          <w:rtl/>
          <w:lang w:bidi="he-IL"/>
        </w:rPr>
        <w:t>עיין ש"ך והיינו אפילו אין להם אחוה וירעות דמקפידין זה על זה אפילו הכי חיישינן".</w:t>
      </w:r>
      <w:r w:rsidR="00F0269C" w:rsidRPr="00882F11">
        <w:rPr>
          <w:rFonts w:cs="Guttman Drogolin" w:hint="cs"/>
          <w:rtl/>
          <w:lang w:bidi="he-IL"/>
        </w:rPr>
        <w:t xml:space="preserve"> הרי שלכאורה התייחס הפמ"ג לנקודה זו ופחות או יותר יוצא מדבריו שמכירים האסורים היינו שאינם מתביישים זה מזה אפילו אין להם אחוה וריעות.</w:t>
      </w:r>
      <w:r w:rsidR="00362BC1" w:rsidRPr="00882F11">
        <w:rPr>
          <w:rFonts w:cs="Guttman Drogolin" w:hint="cs"/>
          <w:rtl/>
          <w:lang w:bidi="he-IL"/>
        </w:rPr>
        <w:t xml:space="preserve"> וצ"ע מהו הברי' הזאת. ויתכן דר"ל שבאופן כללי יש להם אחוה וריעות רק שעכשיו בעת אכילתן אין להם אחוה וריעות ושמ"מ אסרו. אמנם אין זה משמעות דברי הפמ"ג. וכנראה יש שייכות בין שני אנשים </w:t>
      </w:r>
      <w:r w:rsidR="00C42614" w:rsidRPr="00882F11">
        <w:rPr>
          <w:rFonts w:cs="Guttman Drogolin" w:hint="cs"/>
          <w:rtl/>
          <w:lang w:bidi="he-IL"/>
        </w:rPr>
        <w:t xml:space="preserve">שההכרה </w:t>
      </w:r>
      <w:r w:rsidR="00C42614" w:rsidRPr="00882F11">
        <w:rPr>
          <w:rFonts w:cs="Guttman Drogolin" w:hint="cs"/>
          <w:rtl/>
          <w:lang w:bidi="he-IL"/>
        </w:rPr>
        <w:lastRenderedPageBreak/>
        <w:t>שביניהם הוא מן הסוג שבדרך כלל אינם מתביישים א' מן השני וכן יאכלו א' מן השני, אבל במקרה הזה אינם אוכלים א' מן השני כיון שמ"מ אין להם אחוה וריעות ביניהם. וצ"ע. אבל מ"מ נראה פשוט שזה לבד שכל א' יודע מי זה חבירו אינו מספיק ליקרא מכירים כיון שבזה שייך ג"כ מתביישים</w:t>
      </w:r>
      <w:r w:rsidR="00CF47BF" w:rsidRPr="00882F11">
        <w:rPr>
          <w:rStyle w:val="FootnoteReference"/>
          <w:rFonts w:cs="Guttman Drogolin"/>
          <w:rtl/>
          <w:lang w:bidi="he-IL"/>
        </w:rPr>
        <w:footnoteReference w:id="178"/>
      </w:r>
      <w:r w:rsidR="00C42614" w:rsidRPr="00882F11">
        <w:rPr>
          <w:rFonts w:cs="Guttman Drogolin" w:hint="cs"/>
          <w:rtl/>
          <w:lang w:bidi="he-IL"/>
        </w:rPr>
        <w:t xml:space="preserve">. </w:t>
      </w:r>
    </w:p>
    <w:p w:rsidR="00C42614" w:rsidRPr="00882F11" w:rsidRDefault="00C42614" w:rsidP="0078079C">
      <w:pPr>
        <w:pStyle w:val="Heading1"/>
        <w:bidi/>
        <w:spacing w:before="0" w:line="360" w:lineRule="auto"/>
        <w:jc w:val="center"/>
        <w:rPr>
          <w:rFonts w:cs="Guttman Drogolin"/>
          <w:color w:val="auto"/>
          <w:sz w:val="24"/>
          <w:szCs w:val="24"/>
          <w:u w:val="single"/>
          <w:rtl/>
          <w:lang w:bidi="he-IL"/>
        </w:rPr>
      </w:pPr>
      <w:bookmarkStart w:id="157" w:name="_Toc496175414"/>
      <w:r w:rsidRPr="00882F11">
        <w:rPr>
          <w:rFonts w:cs="Guttman Drogolin" w:hint="cs"/>
          <w:color w:val="auto"/>
          <w:sz w:val="24"/>
          <w:szCs w:val="24"/>
          <w:u w:val="single"/>
          <w:rtl/>
          <w:lang w:bidi="he-IL"/>
        </w:rPr>
        <w:t>בענין ההיתר לאכול עם היכר</w:t>
      </w:r>
      <w:bookmarkEnd w:id="157"/>
    </w:p>
    <w:p w:rsidR="000B0482" w:rsidRPr="00882F11" w:rsidRDefault="00DA6DFF" w:rsidP="000B0482">
      <w:pPr>
        <w:bidi/>
        <w:jc w:val="both"/>
        <w:rPr>
          <w:rFonts w:cs="Guttman Drogolin"/>
          <w:rtl/>
          <w:lang w:bidi="he-IL"/>
        </w:rPr>
      </w:pPr>
      <w:r>
        <w:rPr>
          <w:rFonts w:cs="Guttman Drogolin"/>
          <w:rtl/>
          <w:lang w:bidi="he-IL"/>
        </w:rPr>
        <w:fldChar w:fldCharType="begin"/>
      </w:r>
      <w:r>
        <w:instrText xml:space="preserve"> XE "</w:instrText>
      </w:r>
      <w:r w:rsidRPr="007A463F">
        <w:rPr>
          <w:rFonts w:hint="cs"/>
          <w:rtl/>
          <w:lang w:bidi="he-IL"/>
        </w:rPr>
        <w:instrText>בשר בחלב - איסור העלאה על שולחן א'</w:instrText>
      </w:r>
      <w:r w:rsidRPr="007A463F">
        <w:rPr>
          <w:rtl/>
        </w:rPr>
        <w:instrText>:</w:instrText>
      </w:r>
      <w:r w:rsidRPr="007A463F">
        <w:rPr>
          <w:rFonts w:hint="cs"/>
          <w:rtl/>
          <w:lang w:bidi="he-IL"/>
        </w:rPr>
        <w:instrText>כשיש היכר</w:instrText>
      </w:r>
      <w:r>
        <w:instrText xml:space="preserve">" </w:instrText>
      </w:r>
      <w:r>
        <w:rPr>
          <w:rFonts w:cs="Guttman Drogolin"/>
          <w:rtl/>
          <w:lang w:bidi="he-IL"/>
        </w:rPr>
        <w:fldChar w:fldCharType="end"/>
      </w:r>
      <w:r w:rsidR="00C42614" w:rsidRPr="00882F11">
        <w:rPr>
          <w:rFonts w:cs="Guttman Drogolin" w:hint="cs"/>
          <w:rtl/>
          <w:lang w:bidi="he-IL"/>
        </w:rPr>
        <w:t>יש מחלוקת בתוס' בענין מש"כ בגמ' שלא אסרו אלא כעין תפיסה א'. התי' הראשון של התוס' כתבו דר"ל דהיינו שלא ע"י היכר שביניהם, אבל ע"י היכר שביניהם מותר. ומסוף דבריהם</w:t>
      </w:r>
      <w:r w:rsidR="00C42614" w:rsidRPr="00882F11">
        <w:rPr>
          <w:rStyle w:val="FootnoteReference"/>
          <w:rFonts w:cs="Guttman Drogolin"/>
          <w:rtl/>
          <w:lang w:bidi="he-IL"/>
        </w:rPr>
        <w:footnoteReference w:id="179"/>
      </w:r>
      <w:r w:rsidR="00C42614" w:rsidRPr="00882F11">
        <w:rPr>
          <w:rFonts w:cs="Guttman Drogolin" w:hint="cs"/>
          <w:rtl/>
          <w:lang w:bidi="he-IL"/>
        </w:rPr>
        <w:t xml:space="preserve"> מבואר שזהו עיקר כוונת הגמ' שאסור בכעין תפיסה א' דר"ל בלי היכר שביניהם. ולעיל ביארנו שלכאורה הס"ד דתפיסה אחת לפי' זה הוא כמש"כ רש"י דהיינו בכרך א' ונוגעים זב"ז. והתי' השני ביאר דמעיקרא ס"ד דתפיסה א'</w:t>
      </w:r>
      <w:r w:rsidR="000B0482" w:rsidRPr="00882F11">
        <w:rPr>
          <w:rFonts w:cs="Guttman Drogolin" w:hint="cs"/>
          <w:rtl/>
          <w:lang w:bidi="he-IL"/>
        </w:rPr>
        <w:t xml:space="preserve"> ר"ל הוצאה א' (פי' ששניהם משלמים ביחד עבור האוכל של שניהם), ודחה הגמ' שאין שום משמעות לזה שמשלמים ביחד, וע"כ דר"ל כעין הוצאה א', ור"ל שבדר"כ מכירים הם אלו שיש להם הוצאה א', וכוונת הברייתא לומר שלא אסור אלא במכירים. ולשיטה זו אין לנו מקור להתיר ע"י היכר שביניהם</w:t>
      </w:r>
      <w:r w:rsidR="00064899" w:rsidRPr="00882F11">
        <w:rPr>
          <w:rStyle w:val="FootnoteReference"/>
          <w:rFonts w:cs="Guttman Drogolin"/>
          <w:rtl/>
          <w:lang w:bidi="he-IL"/>
        </w:rPr>
        <w:footnoteReference w:id="180"/>
      </w:r>
      <w:r w:rsidR="000B0482" w:rsidRPr="00882F11">
        <w:rPr>
          <w:rFonts w:cs="Guttman Drogolin" w:hint="cs"/>
          <w:rtl/>
          <w:lang w:bidi="he-IL"/>
        </w:rPr>
        <w:t xml:space="preserve">. </w:t>
      </w:r>
    </w:p>
    <w:p w:rsidR="00064899" w:rsidRPr="00882F11" w:rsidRDefault="000B0482" w:rsidP="00E56684">
      <w:pPr>
        <w:bidi/>
        <w:jc w:val="both"/>
        <w:rPr>
          <w:rFonts w:cs="Guttman Drogolin"/>
          <w:rtl/>
          <w:lang w:bidi="he-IL"/>
        </w:rPr>
      </w:pPr>
      <w:r w:rsidRPr="00882F11">
        <w:rPr>
          <w:rFonts w:cs="Guttman Drogolin" w:hint="cs"/>
          <w:rtl/>
          <w:lang w:bidi="he-IL"/>
        </w:rPr>
        <w:t xml:space="preserve">והכו"פ הקשה לפי פירושם האחרון שאם כוונת הברייתא לומר שלא אסרו אלא במכירים, הא דבר זה מבואר כבר ברישא של המתני' "זה בא מן הצפון וזה בא מן הדרום וכו'", וכן פירש"י שם. וא"כ למה הי' צורך לחזור להדגיש שלא אסרו אלא במכירים. ותי' שלפי דעת רש"ל הנ"ל ניחא, </w:t>
      </w:r>
      <w:r w:rsidR="00076FB6" w:rsidRPr="00882F11">
        <w:rPr>
          <w:rFonts w:cs="Guttman Drogolin" w:hint="cs"/>
          <w:rtl/>
          <w:lang w:bidi="he-IL"/>
        </w:rPr>
        <w:t xml:space="preserve">דהו"א דהא דאסרו במכירים היינו אפילו אם מקפידים, וקמ"ל שלא אסרו אלא בכעין תפיסה א', ור"ל כשאינם מקפידים. ובלב ארי' הביא את דבריו ודחה </w:t>
      </w:r>
      <w:r w:rsidR="00E56684" w:rsidRPr="00882F11">
        <w:rPr>
          <w:rFonts w:cs="Guttman Drogolin" w:hint="cs"/>
          <w:rtl/>
          <w:lang w:bidi="he-IL"/>
        </w:rPr>
        <w:t xml:space="preserve">שאין כוונת הגמ' אלא להגיד מהו 'מכירים' דלא סגי בהכרת פנים בלבד, אלא "דוקא אם יש </w:t>
      </w:r>
      <w:r w:rsidR="00E56684" w:rsidRPr="00882F11">
        <w:rPr>
          <w:rFonts w:cs="Guttman Drogolin" w:hint="cs"/>
          <w:rtl/>
          <w:lang w:bidi="he-IL"/>
        </w:rPr>
        <w:lastRenderedPageBreak/>
        <w:t>להם איזה אחוה וריעות מחמת היכרותם"</w:t>
      </w:r>
      <w:r w:rsidR="00AF6C43" w:rsidRPr="00882F11">
        <w:rPr>
          <w:rFonts w:cs="Guttman Drogolin" w:hint="cs"/>
          <w:rtl/>
          <w:lang w:bidi="he-IL"/>
        </w:rPr>
        <w:t xml:space="preserve"> (ולכאורה זהו דלא כ</w:t>
      </w:r>
      <w:r w:rsidR="005B7973" w:rsidRPr="00882F11">
        <w:rPr>
          <w:rFonts w:cs="Guttman Drogolin" w:hint="cs"/>
          <w:rtl/>
          <w:lang w:bidi="he-IL"/>
        </w:rPr>
        <w:t>ד</w:t>
      </w:r>
      <w:r w:rsidR="00AF6C43" w:rsidRPr="00882F11">
        <w:rPr>
          <w:rFonts w:cs="Guttman Drogolin" w:hint="cs"/>
          <w:rtl/>
          <w:lang w:bidi="he-IL"/>
        </w:rPr>
        <w:t>מבואר בפמ"ג הנ"ל)</w:t>
      </w:r>
      <w:r w:rsidR="00064899" w:rsidRPr="00882F11">
        <w:rPr>
          <w:rFonts w:cs="Guttman Drogolin" w:hint="cs"/>
          <w:rtl/>
          <w:lang w:bidi="he-IL"/>
        </w:rPr>
        <w:t>.</w:t>
      </w:r>
    </w:p>
    <w:p w:rsidR="009A69B2" w:rsidRPr="00882F11" w:rsidRDefault="00641BE6" w:rsidP="009A69B2">
      <w:pPr>
        <w:bidi/>
        <w:jc w:val="both"/>
        <w:rPr>
          <w:rFonts w:cs="Guttman Drogolin"/>
          <w:rtl/>
          <w:lang w:bidi="he-IL"/>
        </w:rPr>
      </w:pPr>
      <w:r w:rsidRPr="00882F11">
        <w:rPr>
          <w:rFonts w:cs="Guttman Drogolin" w:hint="cs"/>
          <w:rtl/>
          <w:lang w:bidi="he-IL"/>
        </w:rPr>
        <w:t>והנה ל</w:t>
      </w:r>
      <w:r w:rsidR="00064899" w:rsidRPr="00882F11">
        <w:rPr>
          <w:rFonts w:cs="Guttman Drogolin" w:hint="cs"/>
          <w:rtl/>
          <w:lang w:bidi="he-IL"/>
        </w:rPr>
        <w:t>פי התי' הראשון</w:t>
      </w:r>
      <w:r w:rsidRPr="00882F11">
        <w:rPr>
          <w:rFonts w:cs="Guttman Drogolin" w:hint="cs"/>
          <w:rtl/>
          <w:lang w:bidi="he-IL"/>
        </w:rPr>
        <w:t xml:space="preserve"> של תוס' יל"ע איך נכנס ההיתר של היכר בהא שלא אסרו אלא כעין תפיסה א'. ולכאורה הי' נראה לומר שהרי תפיסה א' היינו צרורים במטפחת א' ונוגעים </w:t>
      </w:r>
      <w:r w:rsidR="0061745D" w:rsidRPr="00882F11">
        <w:rPr>
          <w:rFonts w:cs="Guttman Drogolin" w:hint="cs"/>
          <w:rtl/>
          <w:lang w:bidi="he-IL"/>
        </w:rPr>
        <w:t>זה בזה וכמש"נ לעיל מן המהר"ם. ו</w:t>
      </w:r>
      <w:r w:rsidRPr="00882F11">
        <w:rPr>
          <w:rFonts w:cs="Guttman Drogolin" w:hint="cs"/>
          <w:rtl/>
          <w:lang w:bidi="he-IL"/>
        </w:rPr>
        <w:t xml:space="preserve">כעין תפיסה א' לכאורה היינו שהם ביחד על שולחן א' אע"ג שאין נוגעים זב"ז שלענין זה לא אסרו אלא במכירים. וא"כ לכאורה הענין של היכר היינו שמפרידים בין א' לשני באופן שלא נחשב שאוכלים ביחד אע"ג ששניהם על שולחן א'. ויוצא שעיקר הענין של היכר היינו להפריד בין האוכלין כדי שלא יהי' אכילה ביחד דהיינו כעין תפיסה א'. </w:t>
      </w:r>
    </w:p>
    <w:p w:rsidR="00B02D6F" w:rsidRPr="00882F11" w:rsidRDefault="009A69B2" w:rsidP="0049576C">
      <w:pPr>
        <w:bidi/>
        <w:jc w:val="both"/>
        <w:rPr>
          <w:rFonts w:cs="Guttman Drogolin"/>
          <w:rtl/>
          <w:lang w:bidi="he-IL"/>
        </w:rPr>
      </w:pPr>
      <w:r w:rsidRPr="00882F11">
        <w:rPr>
          <w:rFonts w:cs="Guttman Drogolin" w:hint="cs"/>
          <w:rtl/>
          <w:lang w:bidi="he-IL"/>
        </w:rPr>
        <w:t xml:space="preserve">אלא דהנה בביאור הגר"א מעיקרא ר"ל שמסוגיית הגמ' במס' שבת לכאורה מבואר דלא מהני היכר, והוא משום שהגמ' שם בדף י"ג ע"א איבעיא להו מה הדין איש ואשתו נדה שישנו </w:t>
      </w:r>
      <w:r w:rsidR="0049576C">
        <w:rPr>
          <w:rFonts w:cs="Guttman Drogolin" w:hint="cs"/>
          <w:rtl/>
          <w:lang w:bidi="he-IL"/>
        </w:rPr>
        <w:t>ב</w:t>
      </w:r>
      <w:r w:rsidRPr="00882F11">
        <w:rPr>
          <w:rFonts w:cs="Guttman Drogolin" w:hint="cs"/>
          <w:rtl/>
          <w:lang w:bidi="he-IL"/>
        </w:rPr>
        <w:t xml:space="preserve">מטה א' הוא בבגדו והיא בבגדה. ומעיקרא רצתה הגמ' להביא ראי' מזה שאסרו להעלות בשר וגבינה על שולחן א', ודחתה הגמ' </w:t>
      </w:r>
      <w:r w:rsidR="00020B3F" w:rsidRPr="00882F11">
        <w:rPr>
          <w:rFonts w:cs="Guttman Drogolin" w:hint="cs"/>
          <w:rtl/>
          <w:lang w:bidi="he-IL"/>
        </w:rPr>
        <w:t xml:space="preserve">דשאני התם דליכא דעות, ושוב מקשה הגמ' שלכאורה מסוגיא דידן יש ראי' לאסור, דהא במכירין זא"ז איכא דעות ומ"מ אסור, ודוחה הגמ' דשאני הא דסוגיין שדעות איכא אבל שינוי ליכא, אבל הוא בבגדו והיא בגדה איכא דעות ואיכא שינוי. ולכאורה ר"ל דאיבעיא להו היכא דאיכא דעות ושינוי אם מותר או לא. ומסקנת הגמ' שהוא בבגדו והיא בבגדה אסור, וא"כ לכאורה הה"נ לענין בב"ח (דהא הגמ' שם מדמה אכילת בשר עם גבינה על השולחן לאיבעיא דהוא בבגדו והיא בבגדה), שאפילו אם איכא דעות ושינוי אסור. וא"כ לכאורה יש לנו ראי' מן הגמ' דמס' שבת שלא מהני שינוי. אמנם לבסוף חזר הגר"א לבאר דאדרבה ויש הוכחה מן הסוגיא דמס' שבת דמהני היכר. דהנה אחרי </w:t>
      </w:r>
      <w:r w:rsidR="00020B3F" w:rsidRPr="00882F11">
        <w:rPr>
          <w:rFonts w:cs="Guttman Drogolin" w:hint="cs"/>
          <w:rtl/>
          <w:lang w:bidi="he-IL"/>
        </w:rPr>
        <w:lastRenderedPageBreak/>
        <w:t>שהגמ' פושטת את השאלה בהוא בבגדו והיא בבגדה אומרת הגמ' "ופליגא</w:t>
      </w:r>
      <w:r w:rsidR="00020B3F" w:rsidRPr="00882F11">
        <w:rPr>
          <w:rFonts w:cs="Guttman Drogolin"/>
          <w:rtl/>
          <w:lang w:bidi="he-IL"/>
        </w:rPr>
        <w:t xml:space="preserve"> </w:t>
      </w:r>
      <w:r w:rsidR="00020B3F" w:rsidRPr="00882F11">
        <w:rPr>
          <w:rFonts w:cs="Guttman Drogolin" w:hint="cs"/>
          <w:rtl/>
          <w:lang w:bidi="he-IL"/>
        </w:rPr>
        <w:t>דר</w:t>
      </w:r>
      <w:r w:rsidR="00020B3F" w:rsidRPr="00882F11">
        <w:rPr>
          <w:rFonts w:cs="Guttman Drogolin"/>
          <w:rtl/>
          <w:lang w:bidi="he-IL"/>
        </w:rPr>
        <w:t xml:space="preserve">' </w:t>
      </w:r>
      <w:r w:rsidR="00020B3F" w:rsidRPr="00882F11">
        <w:rPr>
          <w:rFonts w:cs="Guttman Drogolin" w:hint="cs"/>
          <w:rtl/>
          <w:lang w:bidi="he-IL"/>
        </w:rPr>
        <w:t>פדת</w:t>
      </w:r>
      <w:r w:rsidR="00020B3F" w:rsidRPr="00882F11">
        <w:rPr>
          <w:rFonts w:cs="Guttman Drogolin"/>
          <w:rtl/>
          <w:lang w:bidi="he-IL"/>
        </w:rPr>
        <w:t xml:space="preserve"> </w:t>
      </w:r>
      <w:r w:rsidR="00020B3F" w:rsidRPr="00882F11">
        <w:rPr>
          <w:rFonts w:cs="Guttman Drogolin" w:hint="cs"/>
          <w:rtl/>
          <w:lang w:bidi="he-IL"/>
        </w:rPr>
        <w:t>דאמר</w:t>
      </w:r>
      <w:r w:rsidR="00020B3F" w:rsidRPr="00882F11">
        <w:rPr>
          <w:rFonts w:cs="Guttman Drogolin"/>
          <w:rtl/>
          <w:lang w:bidi="he-IL"/>
        </w:rPr>
        <w:t xml:space="preserve"> </w:t>
      </w:r>
      <w:r w:rsidR="00020B3F" w:rsidRPr="00882F11">
        <w:rPr>
          <w:rFonts w:cs="Guttman Drogolin" w:hint="cs"/>
          <w:rtl/>
          <w:lang w:bidi="he-IL"/>
        </w:rPr>
        <w:t>ר</w:t>
      </w:r>
      <w:r w:rsidR="00020B3F" w:rsidRPr="00882F11">
        <w:rPr>
          <w:rFonts w:cs="Guttman Drogolin"/>
          <w:rtl/>
          <w:lang w:bidi="he-IL"/>
        </w:rPr>
        <w:t xml:space="preserve">' </w:t>
      </w:r>
      <w:r w:rsidR="00020B3F" w:rsidRPr="00882F11">
        <w:rPr>
          <w:rFonts w:cs="Guttman Drogolin" w:hint="cs"/>
          <w:rtl/>
          <w:lang w:bidi="he-IL"/>
        </w:rPr>
        <w:t>פדת</w:t>
      </w:r>
      <w:r w:rsidR="00020B3F" w:rsidRPr="00882F11">
        <w:rPr>
          <w:rFonts w:cs="Guttman Drogolin"/>
          <w:rtl/>
          <w:lang w:bidi="he-IL"/>
        </w:rPr>
        <w:t xml:space="preserve"> </w:t>
      </w:r>
      <w:r w:rsidR="00020B3F" w:rsidRPr="00882F11">
        <w:rPr>
          <w:rFonts w:cs="Guttman Drogolin" w:hint="cs"/>
          <w:rtl/>
          <w:lang w:bidi="he-IL"/>
        </w:rPr>
        <w:t>לא</w:t>
      </w:r>
      <w:r w:rsidR="00020B3F" w:rsidRPr="00882F11">
        <w:rPr>
          <w:rFonts w:cs="Guttman Drogolin"/>
          <w:rtl/>
          <w:lang w:bidi="he-IL"/>
        </w:rPr>
        <w:t xml:space="preserve"> </w:t>
      </w:r>
      <w:r w:rsidR="00020B3F" w:rsidRPr="00882F11">
        <w:rPr>
          <w:rFonts w:cs="Guttman Drogolin" w:hint="cs"/>
          <w:rtl/>
          <w:lang w:bidi="he-IL"/>
        </w:rPr>
        <w:t>אסרה</w:t>
      </w:r>
      <w:r w:rsidR="00020B3F" w:rsidRPr="00882F11">
        <w:rPr>
          <w:rFonts w:cs="Guttman Drogolin"/>
          <w:rtl/>
          <w:lang w:bidi="he-IL"/>
        </w:rPr>
        <w:t xml:space="preserve"> </w:t>
      </w:r>
      <w:r w:rsidR="00020B3F" w:rsidRPr="00882F11">
        <w:rPr>
          <w:rFonts w:cs="Guttman Drogolin" w:hint="cs"/>
          <w:rtl/>
          <w:lang w:bidi="he-IL"/>
        </w:rPr>
        <w:t>תורה</w:t>
      </w:r>
      <w:r w:rsidR="00020B3F" w:rsidRPr="00882F11">
        <w:rPr>
          <w:rFonts w:cs="Guttman Drogolin"/>
          <w:rtl/>
          <w:lang w:bidi="he-IL"/>
        </w:rPr>
        <w:t xml:space="preserve"> </w:t>
      </w:r>
      <w:r w:rsidR="00020B3F" w:rsidRPr="00882F11">
        <w:rPr>
          <w:rFonts w:cs="Guttman Drogolin" w:hint="cs"/>
          <w:rtl/>
          <w:lang w:bidi="he-IL"/>
        </w:rPr>
        <w:t>אלא</w:t>
      </w:r>
      <w:r w:rsidR="00020B3F" w:rsidRPr="00882F11">
        <w:rPr>
          <w:rFonts w:cs="Guttman Drogolin"/>
          <w:rtl/>
          <w:lang w:bidi="he-IL"/>
        </w:rPr>
        <w:t xml:space="preserve"> </w:t>
      </w:r>
      <w:r w:rsidR="00020B3F" w:rsidRPr="00882F11">
        <w:rPr>
          <w:rFonts w:cs="Guttman Drogolin" w:hint="cs"/>
          <w:rtl/>
          <w:lang w:bidi="he-IL"/>
        </w:rPr>
        <w:t>קורבה</w:t>
      </w:r>
      <w:r w:rsidR="00020B3F" w:rsidRPr="00882F11">
        <w:rPr>
          <w:rFonts w:cs="Guttman Drogolin"/>
          <w:rtl/>
          <w:lang w:bidi="he-IL"/>
        </w:rPr>
        <w:t xml:space="preserve"> </w:t>
      </w:r>
      <w:r w:rsidR="00020B3F" w:rsidRPr="00882F11">
        <w:rPr>
          <w:rFonts w:cs="Guttman Drogolin" w:hint="cs"/>
          <w:rtl/>
          <w:lang w:bidi="he-IL"/>
        </w:rPr>
        <w:t>של</w:t>
      </w:r>
      <w:r w:rsidR="00020B3F" w:rsidRPr="00882F11">
        <w:rPr>
          <w:rFonts w:cs="Guttman Drogolin"/>
          <w:rtl/>
          <w:lang w:bidi="he-IL"/>
        </w:rPr>
        <w:t xml:space="preserve"> </w:t>
      </w:r>
      <w:r w:rsidR="00020B3F" w:rsidRPr="00882F11">
        <w:rPr>
          <w:rFonts w:cs="Guttman Drogolin" w:hint="cs"/>
          <w:rtl/>
          <w:lang w:bidi="he-IL"/>
        </w:rPr>
        <w:t>גלוי</w:t>
      </w:r>
      <w:r w:rsidR="00020B3F" w:rsidRPr="00882F11">
        <w:rPr>
          <w:rFonts w:cs="Guttman Drogolin"/>
          <w:rtl/>
          <w:lang w:bidi="he-IL"/>
        </w:rPr>
        <w:t xml:space="preserve"> </w:t>
      </w:r>
      <w:r w:rsidR="00020B3F" w:rsidRPr="00882F11">
        <w:rPr>
          <w:rFonts w:cs="Guttman Drogolin" w:hint="cs"/>
          <w:rtl/>
          <w:lang w:bidi="he-IL"/>
        </w:rPr>
        <w:t>עריות</w:t>
      </w:r>
      <w:r w:rsidR="00020B3F" w:rsidRPr="00882F11">
        <w:rPr>
          <w:rFonts w:cs="Guttman Drogolin"/>
          <w:rtl/>
          <w:lang w:bidi="he-IL"/>
        </w:rPr>
        <w:t xml:space="preserve"> </w:t>
      </w:r>
      <w:r w:rsidR="00020B3F" w:rsidRPr="00882F11">
        <w:rPr>
          <w:rFonts w:cs="Guttman Drogolin" w:hint="cs"/>
          <w:rtl/>
          <w:lang w:bidi="he-IL"/>
        </w:rPr>
        <w:t>בלבד</w:t>
      </w:r>
      <w:r w:rsidR="00020B3F" w:rsidRPr="00882F11">
        <w:rPr>
          <w:rFonts w:cs="Guttman Drogolin"/>
          <w:rtl/>
          <w:lang w:bidi="he-IL"/>
        </w:rPr>
        <w:t xml:space="preserve"> </w:t>
      </w:r>
      <w:r w:rsidR="00020B3F" w:rsidRPr="00882F11">
        <w:rPr>
          <w:rFonts w:cs="Guttman Drogolin" w:hint="cs"/>
          <w:rtl/>
          <w:lang w:bidi="he-IL"/>
        </w:rPr>
        <w:t>שנאמר</w:t>
      </w:r>
      <w:r w:rsidR="00020B3F" w:rsidRPr="00882F11">
        <w:rPr>
          <w:rFonts w:cs="Guttman Drogolin"/>
          <w:rtl/>
          <w:lang w:bidi="he-IL"/>
        </w:rPr>
        <w:t xml:space="preserve"> </w:t>
      </w:r>
      <w:r w:rsidR="00020B3F" w:rsidRPr="00882F11">
        <w:rPr>
          <w:rFonts w:cs="Guttman Drogolin" w:hint="cs"/>
          <w:rtl/>
          <w:lang w:bidi="he-IL"/>
        </w:rPr>
        <w:t>איש</w:t>
      </w:r>
      <w:r w:rsidR="00020B3F" w:rsidRPr="00882F11">
        <w:rPr>
          <w:rFonts w:cs="Guttman Drogolin"/>
          <w:rtl/>
          <w:lang w:bidi="he-IL"/>
        </w:rPr>
        <w:t xml:space="preserve"> </w:t>
      </w:r>
      <w:r w:rsidR="00020B3F" w:rsidRPr="00882F11">
        <w:rPr>
          <w:rFonts w:cs="Guttman Drogolin" w:hint="cs"/>
          <w:rtl/>
          <w:lang w:bidi="he-IL"/>
        </w:rPr>
        <w:t>איש</w:t>
      </w:r>
      <w:r w:rsidR="00020B3F" w:rsidRPr="00882F11">
        <w:rPr>
          <w:rFonts w:cs="Guttman Drogolin"/>
          <w:rtl/>
          <w:lang w:bidi="he-IL"/>
        </w:rPr>
        <w:t xml:space="preserve"> </w:t>
      </w:r>
      <w:r w:rsidR="00020B3F" w:rsidRPr="00882F11">
        <w:rPr>
          <w:rFonts w:cs="Guttman Drogolin" w:hint="cs"/>
          <w:rtl/>
          <w:lang w:bidi="he-IL"/>
        </w:rPr>
        <w:t>אל</w:t>
      </w:r>
      <w:r w:rsidR="00020B3F" w:rsidRPr="00882F11">
        <w:rPr>
          <w:rFonts w:cs="Guttman Drogolin"/>
          <w:rtl/>
          <w:lang w:bidi="he-IL"/>
        </w:rPr>
        <w:t xml:space="preserve"> </w:t>
      </w:r>
      <w:r w:rsidR="00020B3F" w:rsidRPr="00882F11">
        <w:rPr>
          <w:rFonts w:cs="Guttman Drogolin" w:hint="cs"/>
          <w:rtl/>
          <w:lang w:bidi="he-IL"/>
        </w:rPr>
        <w:t>כל</w:t>
      </w:r>
      <w:r w:rsidR="00020B3F" w:rsidRPr="00882F11">
        <w:rPr>
          <w:rFonts w:cs="Guttman Drogolin"/>
          <w:rtl/>
          <w:lang w:bidi="he-IL"/>
        </w:rPr>
        <w:t xml:space="preserve"> </w:t>
      </w:r>
      <w:r w:rsidR="00020B3F" w:rsidRPr="00882F11">
        <w:rPr>
          <w:rFonts w:cs="Guttman Drogolin" w:hint="cs"/>
          <w:rtl/>
          <w:lang w:bidi="he-IL"/>
        </w:rPr>
        <w:t>שאר</w:t>
      </w:r>
      <w:r w:rsidR="00020B3F" w:rsidRPr="00882F11">
        <w:rPr>
          <w:rFonts w:cs="Guttman Drogolin"/>
          <w:rtl/>
          <w:lang w:bidi="he-IL"/>
        </w:rPr>
        <w:t xml:space="preserve"> </w:t>
      </w:r>
      <w:r w:rsidR="00020B3F" w:rsidRPr="00882F11">
        <w:rPr>
          <w:rFonts w:cs="Guttman Drogolin" w:hint="cs"/>
          <w:rtl/>
          <w:lang w:bidi="he-IL"/>
        </w:rPr>
        <w:t>בשרו</w:t>
      </w:r>
      <w:r w:rsidR="00020B3F" w:rsidRPr="00882F11">
        <w:rPr>
          <w:rFonts w:cs="Guttman Drogolin"/>
          <w:rtl/>
          <w:lang w:bidi="he-IL"/>
        </w:rPr>
        <w:t xml:space="preserve"> </w:t>
      </w:r>
      <w:r w:rsidR="00020B3F" w:rsidRPr="00882F11">
        <w:rPr>
          <w:rFonts w:cs="Guttman Drogolin" w:hint="cs"/>
          <w:rtl/>
          <w:lang w:bidi="he-IL"/>
        </w:rPr>
        <w:t>לא</w:t>
      </w:r>
      <w:r w:rsidR="00020B3F" w:rsidRPr="00882F11">
        <w:rPr>
          <w:rFonts w:cs="Guttman Drogolin"/>
          <w:rtl/>
          <w:lang w:bidi="he-IL"/>
        </w:rPr>
        <w:t xml:space="preserve"> </w:t>
      </w:r>
      <w:r w:rsidR="00020B3F" w:rsidRPr="00882F11">
        <w:rPr>
          <w:rFonts w:cs="Guttman Drogolin" w:hint="cs"/>
          <w:rtl/>
          <w:lang w:bidi="he-IL"/>
        </w:rPr>
        <w:t>תקרבו</w:t>
      </w:r>
      <w:r w:rsidR="00020B3F" w:rsidRPr="00882F11">
        <w:rPr>
          <w:rFonts w:cs="Guttman Drogolin"/>
          <w:rtl/>
          <w:lang w:bidi="he-IL"/>
        </w:rPr>
        <w:t xml:space="preserve"> </w:t>
      </w:r>
      <w:r w:rsidR="00020B3F" w:rsidRPr="00882F11">
        <w:rPr>
          <w:rFonts w:cs="Guttman Drogolin" w:hint="cs"/>
          <w:rtl/>
          <w:lang w:bidi="he-IL"/>
        </w:rPr>
        <w:t>לגלות</w:t>
      </w:r>
      <w:r w:rsidR="00020B3F" w:rsidRPr="00882F11">
        <w:rPr>
          <w:rFonts w:cs="Guttman Drogolin"/>
          <w:rtl/>
          <w:lang w:bidi="he-IL"/>
        </w:rPr>
        <w:t xml:space="preserve"> </w:t>
      </w:r>
      <w:r w:rsidR="00020B3F" w:rsidRPr="00882F11">
        <w:rPr>
          <w:rFonts w:cs="Guttman Drogolin" w:hint="cs"/>
          <w:rtl/>
          <w:lang w:bidi="he-IL"/>
        </w:rPr>
        <w:t>ערוה". והקשו בתוס' דאיזה ההוכחה יש מדר' פדת לענין אי אגזרינן בדאיכא דעות ואיכא שינוי. ו</w:t>
      </w:r>
      <w:r w:rsidR="00B02D6F" w:rsidRPr="00882F11">
        <w:rPr>
          <w:rFonts w:cs="Guttman Drogolin" w:hint="cs"/>
          <w:rtl/>
          <w:lang w:bidi="he-IL"/>
        </w:rPr>
        <w:t>ביאר הגר"א שכוונת הגמ' לאסור לא משום שאסרו ו</w:t>
      </w:r>
      <w:r w:rsidR="0049576C">
        <w:rPr>
          <w:rFonts w:cs="Guttman Drogolin" w:hint="cs"/>
          <w:rtl/>
          <w:lang w:bidi="he-IL"/>
        </w:rPr>
        <w:t>ל</w:t>
      </w:r>
      <w:r w:rsidR="00B02D6F" w:rsidRPr="00882F11">
        <w:rPr>
          <w:rFonts w:cs="Guttman Drogolin" w:hint="cs"/>
          <w:rtl/>
          <w:lang w:bidi="he-IL"/>
        </w:rPr>
        <w:t>א סמכו אהא דאיכא דעות ושינוי, רק שיש טעם לאסור והוא משום שהקירבה לעריות אוסרת אע"ג שאיכא דעות ושינוי. ולכן אמרו בגמ' דפליגא דר' פדת, דכיון דלית לי' חומרא נוספת לקריבה לעריות, חזר דינו להיות כדעות ושינוי המותרת. ומדחזינן שלר' פדת מותר בדאיכא דעות ו</w:t>
      </w:r>
      <w:r w:rsidR="0061745D" w:rsidRPr="00882F11">
        <w:rPr>
          <w:rFonts w:cs="Guttman Drogolin" w:hint="cs"/>
          <w:rtl/>
          <w:lang w:bidi="he-IL"/>
        </w:rPr>
        <w:t>ש</w:t>
      </w:r>
      <w:r w:rsidR="00B02D6F" w:rsidRPr="00882F11">
        <w:rPr>
          <w:rFonts w:cs="Guttman Drogolin" w:hint="cs"/>
          <w:rtl/>
          <w:lang w:bidi="he-IL"/>
        </w:rPr>
        <w:t xml:space="preserve">ינוי לענין איש ואשתו נדה, מיני' דהה"נ בבב"ח לכו"ע. </w:t>
      </w:r>
    </w:p>
    <w:p w:rsidR="00D97E65" w:rsidRPr="00882F11" w:rsidRDefault="00B02D6F" w:rsidP="0061745D">
      <w:pPr>
        <w:bidi/>
        <w:jc w:val="both"/>
        <w:rPr>
          <w:rFonts w:cs="Guttman Drogolin"/>
          <w:rtl/>
          <w:lang w:bidi="he-IL"/>
        </w:rPr>
      </w:pPr>
      <w:r w:rsidRPr="00882F11">
        <w:rPr>
          <w:rFonts w:cs="Guttman Drogolin" w:hint="cs"/>
          <w:rtl/>
          <w:lang w:bidi="he-IL"/>
        </w:rPr>
        <w:t xml:space="preserve">ולכאורה מדברי הגר"א חזינן שיסוד ההיתר של היכר הוא משום דהוי 'שינוי' ולא משום שלא חשוב שלא ביחד. </w:t>
      </w:r>
      <w:r w:rsidR="00DD20B2" w:rsidRPr="00882F11">
        <w:rPr>
          <w:rFonts w:cs="Guttman Drogolin" w:hint="cs"/>
          <w:rtl/>
          <w:lang w:bidi="he-IL"/>
        </w:rPr>
        <w:t>וא"כ לכאורה הדרה קושיא לדוכתי', למה לפי התי' הראשון של התוס' הוי שלא ע"י היכר פי' של כעין תפיסה א'.</w:t>
      </w:r>
      <w:r w:rsidR="00AE6370" w:rsidRPr="00882F11">
        <w:rPr>
          <w:rFonts w:cs="Guttman Drogolin" w:hint="cs"/>
          <w:rtl/>
          <w:lang w:bidi="he-IL"/>
        </w:rPr>
        <w:t xml:space="preserve"> והנראה לומר בזה שדבר הנמצא על השולחן בין ב' האוכלים אינו מספיק לעשותו שלא יהא כעין תפיסה א', רק צריכים גם שיהא דבר העושה היכר ביניהם. אמנם היכר בעלמא לא סגי, שלמשל אם יעשו תמונה גדולה על הקיר שהמזכרת אותם שלא לאכול בשר בחלב לא יהא דבר זה מספיק להתיר אכילה ביחד. ואדרבה, הרי רע"א בהגהות שו"ע הביא מס' גן המלך (אות ע"א) דלא מהני שומר להתיר אכילת ב' מכירים ביחד, ושם בגן המלך כתב לחלק בין זה להטיית הנר דמהני שומר משום שאינו צריך שומר לשמור מהטיית הנר אלא לכשיכהה נרו, אבל לשמור מאכילת בב"ח צריך שמירה תמידית ולזה לא מהני שומר.</w:t>
      </w:r>
      <w:r w:rsidRPr="00882F11">
        <w:rPr>
          <w:rFonts w:cs="Guttman Drogolin" w:hint="cs"/>
          <w:rtl/>
          <w:lang w:bidi="he-IL"/>
        </w:rPr>
        <w:t xml:space="preserve"> </w:t>
      </w:r>
      <w:r w:rsidR="00AE6370" w:rsidRPr="00882F11">
        <w:rPr>
          <w:rFonts w:cs="Guttman Drogolin" w:hint="cs"/>
          <w:rtl/>
          <w:lang w:bidi="he-IL"/>
        </w:rPr>
        <w:t>ומ"מ עד כמה דלא מהני שומר כ"ש דלא מהני היכר כזו, דאל"כ למה לא מהני, נהי נמי שהשומר לא ימהני לשמור תמיד, מ"מ לא יהא ה</w:t>
      </w:r>
      <w:r w:rsidR="00DF0387" w:rsidRPr="00882F11">
        <w:rPr>
          <w:rFonts w:cs="Guttman Drogolin" w:hint="cs"/>
          <w:rtl/>
          <w:lang w:bidi="he-IL"/>
        </w:rPr>
        <w:t>ש</w:t>
      </w:r>
      <w:r w:rsidR="00AE6370" w:rsidRPr="00882F11">
        <w:rPr>
          <w:rFonts w:cs="Guttman Drogolin" w:hint="cs"/>
          <w:rtl/>
          <w:lang w:bidi="he-IL"/>
        </w:rPr>
        <w:t>ומר אלא היכר דמהני.</w:t>
      </w:r>
      <w:r w:rsidR="00D97E65" w:rsidRPr="00882F11">
        <w:rPr>
          <w:rFonts w:cs="Guttman Drogolin" w:hint="cs"/>
          <w:rtl/>
          <w:lang w:bidi="he-IL"/>
        </w:rPr>
        <w:t xml:space="preserve"> וע"כ כנ"ל שצריך להיות היכר </w:t>
      </w:r>
      <w:r w:rsidR="00D97E65" w:rsidRPr="00882F11">
        <w:rPr>
          <w:rFonts w:cs="Guttman Drogolin" w:hint="cs"/>
          <w:rtl/>
          <w:lang w:bidi="he-IL"/>
        </w:rPr>
        <w:lastRenderedPageBreak/>
        <w:t xml:space="preserve">ביניהם שעושהו שאינו כעין תפיסה א'. ובזה גופא יש לחקור מהו יסוד ההיתר, האם היסוד זה שמזכיר אותו שלא לאכול מחבירו, רק שחייבו שיהא היכר ביניהם בענין שאינו כעין תפיסה א', ומשום שרק היכר המפריד ביניהם הוי מספיק להזכירם, </w:t>
      </w:r>
      <w:r w:rsidR="00234BE5" w:rsidRPr="00882F11">
        <w:rPr>
          <w:rFonts w:cs="Guttman Drogolin" w:hint="cs"/>
          <w:rtl/>
          <w:lang w:bidi="he-IL"/>
        </w:rPr>
        <w:t>וכן לכאורה הי' משמע מלשון הגמ' שבמס' ש</w:t>
      </w:r>
      <w:r w:rsidR="0061745D" w:rsidRPr="00882F11">
        <w:rPr>
          <w:rFonts w:cs="Guttman Drogolin" w:hint="cs"/>
          <w:rtl/>
          <w:lang w:bidi="he-IL"/>
        </w:rPr>
        <w:t>ב</w:t>
      </w:r>
      <w:r w:rsidR="00234BE5" w:rsidRPr="00882F11">
        <w:rPr>
          <w:rFonts w:cs="Guttman Drogolin" w:hint="cs"/>
          <w:rtl/>
          <w:lang w:bidi="he-IL"/>
        </w:rPr>
        <w:t xml:space="preserve">ת שקראוהו היכר, </w:t>
      </w:r>
      <w:r w:rsidR="00D97E65" w:rsidRPr="00882F11">
        <w:rPr>
          <w:rFonts w:cs="Guttman Drogolin" w:hint="cs"/>
          <w:rtl/>
          <w:lang w:bidi="he-IL"/>
        </w:rPr>
        <w:t>או"ד שעיקר ההיתר משום שמפריד ביניהם, רק שלא מספיק שיהא מפריד ביניהם לבד אלא שצריך הפרדה שיש בה היכר</w:t>
      </w:r>
      <w:r w:rsidR="00234BE5" w:rsidRPr="00882F11">
        <w:rPr>
          <w:rFonts w:cs="Guttman Drogolin" w:hint="cs"/>
          <w:rtl/>
          <w:lang w:bidi="he-IL"/>
        </w:rPr>
        <w:t>, וכדמשמע מלשון הגמ' שבמס' חולין שאמרו דלא הוי כעין תפיסה א'</w:t>
      </w:r>
      <w:r w:rsidR="00D152C5">
        <w:rPr>
          <w:rStyle w:val="FootnoteReference"/>
          <w:rFonts w:cs="Guttman Drogolin"/>
          <w:rtl/>
          <w:lang w:bidi="he-IL"/>
        </w:rPr>
        <w:footnoteReference w:id="181"/>
      </w:r>
      <w:r w:rsidR="00D97E65" w:rsidRPr="00882F11">
        <w:rPr>
          <w:rFonts w:cs="Guttman Drogolin" w:hint="cs"/>
          <w:rtl/>
          <w:lang w:bidi="he-IL"/>
        </w:rPr>
        <w:t xml:space="preserve">. </w:t>
      </w:r>
    </w:p>
    <w:p w:rsidR="008C2BF9" w:rsidRPr="00882F11" w:rsidRDefault="00D97E65" w:rsidP="0061745D">
      <w:pPr>
        <w:bidi/>
        <w:jc w:val="both"/>
        <w:rPr>
          <w:rFonts w:cs="Guttman Drogolin"/>
          <w:rtl/>
          <w:lang w:bidi="he-IL"/>
        </w:rPr>
      </w:pPr>
      <w:r w:rsidRPr="00882F11">
        <w:rPr>
          <w:rFonts w:cs="Guttman Drogolin" w:hint="cs"/>
          <w:rtl/>
          <w:lang w:bidi="he-IL"/>
        </w:rPr>
        <w:t xml:space="preserve">וע"פ הדברים האלו לכאורה אפשר לבאר כמה נקודות בסוגיא. דהנה </w:t>
      </w:r>
      <w:r w:rsidR="00A03E76" w:rsidRPr="00882F11">
        <w:rPr>
          <w:rFonts w:cs="Guttman Drogolin" w:hint="cs"/>
          <w:rtl/>
          <w:lang w:bidi="he-IL"/>
        </w:rPr>
        <w:t>הדרכ"מ הביא מאו"ה שהה</w:t>
      </w:r>
      <w:r w:rsidR="008C2BF9" w:rsidRPr="00882F11">
        <w:rPr>
          <w:rFonts w:cs="Guttman Drogolin" w:hint="cs"/>
          <w:rtl/>
          <w:lang w:bidi="he-IL"/>
        </w:rPr>
        <w:t>יכר צריך להיות דבר שהוא בר גובה. וחוץ ממה שאינו מבואר בהדיא איזה גובה צריכים כדי להתיר, גם לא מבואר מנין להו תנאי זה שיהא גבוה, דאיזה תכלית יש. ואם הענין הוא שיהא ניכר, הא כל זה בכלל הא דבעינן היכר, ולמה יצאת בר גובה שצריכים, וכן אם יהא ניכר גם אם אינו בר גובה למה לא סגי לן. ולפי הנ"ל הי' נראה לבאר שאם אינו בר גובה, אע"ג דהיכר איכא אבל אין זה היכר המפריד ביניהם, ואינו אלא כהיכר על הקיר דלא מהני ומן הטעם שנתבאר. וכן בענין הגובה שצריכים לכאורה היינו שצריכים מספיק גבוה ביניהם כדי שלא יראה כעין תפיסה א' וכנ"ל. ושמעתי שיש כאלו המקילים ע"י דבר יקר ביניהם, וסוברים שהטעם שצריכים שיהא גבוה משום דאל"כ אינו ניכר, ובזה שהוא יקר חזר דינו שלהיות ניכר, ולא כתב האו"ה אלא ע"פ הרוב. והגם שיש מקום לבעל דין לחלוק, יש גם מקום לבאר כמש"כ.</w:t>
      </w:r>
    </w:p>
    <w:p w:rsidR="00234BE5" w:rsidRPr="00882F11" w:rsidRDefault="008C2BF9" w:rsidP="0061745D">
      <w:pPr>
        <w:bidi/>
        <w:jc w:val="both"/>
        <w:rPr>
          <w:rFonts w:cs="Guttman Drogolin"/>
          <w:rtl/>
          <w:lang w:bidi="he-IL"/>
        </w:rPr>
      </w:pPr>
      <w:r w:rsidRPr="00882F11">
        <w:rPr>
          <w:rFonts w:cs="Guttman Drogolin" w:hint="cs"/>
          <w:rtl/>
          <w:lang w:bidi="he-IL"/>
        </w:rPr>
        <w:t>עוד יש לבאר ע"פ זה הא דמהני</w:t>
      </w:r>
      <w:r w:rsidR="00644214" w:rsidRPr="00882F11">
        <w:rPr>
          <w:rFonts w:cs="Guttman Drogolin" w:hint="cs"/>
          <w:rtl/>
          <w:lang w:bidi="he-IL"/>
        </w:rPr>
        <w:t xml:space="preserve"> היכר בין איש לאשתו נדה למ"ד שאסור לאכול על שולחן א'. שבסד"ט סי' קצ"ה ס"ק ז' העיר שלפי מה שביאר הרא"ש (פ"ק דמס' שבת אות ל"ב) שהטעם לאסור איש ואשתו נדה לאכול משולחן א' הוא משום דהוי דרך חיבה מאי אהני לן היכר. וע"ש שכתב </w:t>
      </w:r>
      <w:r w:rsidR="00644214" w:rsidRPr="00882F11">
        <w:rPr>
          <w:rFonts w:cs="Guttman Drogolin" w:hint="cs"/>
          <w:rtl/>
          <w:lang w:bidi="he-IL"/>
        </w:rPr>
        <w:lastRenderedPageBreak/>
        <w:t xml:space="preserve">דאה"נ אבל כשיש אחרים אוכלים עמהם אינו דרך חיבה ולא צריכים היכר אלא למי שגזר העלאה אטו אכילה גם במאכלי אשתו נדה ע"ש. </w:t>
      </w:r>
      <w:r w:rsidR="002801C2" w:rsidRPr="00882F11">
        <w:rPr>
          <w:rFonts w:cs="Guttman Drogolin" w:hint="cs"/>
          <w:rtl/>
          <w:lang w:bidi="he-IL"/>
        </w:rPr>
        <w:t>אמנם לדברינו לכאורה אפשר לבאר גם אליבא דרא"ש, והיינו שההיכר שביניהם עושהו שאינו כעין תפיסה א', ורק כעין תפיסה א' הוי דרך חיבה ואסור</w:t>
      </w:r>
      <w:r w:rsidR="002801C2" w:rsidRPr="00882F11">
        <w:rPr>
          <w:rStyle w:val="FootnoteReference"/>
          <w:rFonts w:cs="Guttman Drogolin"/>
          <w:rtl/>
          <w:lang w:bidi="he-IL"/>
        </w:rPr>
        <w:footnoteReference w:id="182"/>
      </w:r>
      <w:r w:rsidR="002801C2" w:rsidRPr="00882F11">
        <w:rPr>
          <w:rFonts w:cs="Guttman Drogolin" w:hint="cs"/>
          <w:rtl/>
          <w:lang w:bidi="he-IL"/>
        </w:rPr>
        <w:t>.</w:t>
      </w:r>
    </w:p>
    <w:p w:rsidR="00234BE5" w:rsidRPr="00882F11" w:rsidRDefault="00234BE5" w:rsidP="00234BE5">
      <w:pPr>
        <w:bidi/>
        <w:jc w:val="both"/>
        <w:rPr>
          <w:rFonts w:cs="Guttman Drogolin"/>
          <w:rtl/>
          <w:lang w:bidi="he-IL"/>
        </w:rPr>
      </w:pPr>
      <w:r w:rsidRPr="00882F11">
        <w:rPr>
          <w:rFonts w:cs="Guttman Drogolin" w:hint="cs"/>
          <w:rtl/>
          <w:lang w:bidi="he-IL"/>
        </w:rPr>
        <w:t xml:space="preserve">עוד חקרו אם מהני היכר בזמן שאוכל בפני עצמו. ומשמעות הגמ' שלא אמרו הענין של כעין תפיסה א' אלא בב' אכסנאים, דהא לא אמרו היתר זה </w:t>
      </w:r>
      <w:r w:rsidR="001D1B8D" w:rsidRPr="00882F11">
        <w:rPr>
          <w:rFonts w:cs="Guttman Drogolin" w:hint="cs"/>
          <w:rtl/>
          <w:lang w:bidi="he-IL"/>
        </w:rPr>
        <w:t>אלא בב' אכסנאים. ועוד דייקו שהרי גמ' במס' שבת לא התיר אלא בדאיכא גם דעות וגם שינוי, אבל שינוי בלי דעות לא מהני</w:t>
      </w:r>
      <w:r w:rsidR="000B4A44" w:rsidRPr="00882F11">
        <w:rPr>
          <w:rStyle w:val="FootnoteReference"/>
          <w:rFonts w:cs="Guttman Drogolin"/>
          <w:rtl/>
          <w:lang w:bidi="he-IL"/>
        </w:rPr>
        <w:footnoteReference w:id="183"/>
      </w:r>
      <w:r w:rsidR="001D1B8D" w:rsidRPr="00882F11">
        <w:rPr>
          <w:rFonts w:cs="Guttman Drogolin" w:hint="cs"/>
          <w:rtl/>
          <w:lang w:bidi="he-IL"/>
        </w:rPr>
        <w:t>. וכן החמיר בהגהות ההפלאה לשו"ע וכה"ח ס"ק ט"ז (ובחכמ"א כלל מ' די"א משמע להקל, וצ"ע. וע' גם בבדה"ש ס"ק י"ד וצה"ל ס"ק ל"ב שכתב להקל בעת הצורך). וע"פ נראה שאמנם בעינן שלא יהא כעין תפיסה א', אם ליכא דעות אין היתר, או משום דכה"ג עדיין חשוב תפיסה א', דהיכר אינו מחלק אלא בין אולכים</w:t>
      </w:r>
      <w:r w:rsidR="001D1B8D" w:rsidRPr="00882F11">
        <w:rPr>
          <w:rStyle w:val="FootnoteReference"/>
          <w:rFonts w:cs="Guttman Drogolin"/>
          <w:rtl/>
          <w:lang w:bidi="he-IL"/>
        </w:rPr>
        <w:footnoteReference w:id="184"/>
      </w:r>
      <w:r w:rsidR="001D1B8D" w:rsidRPr="00882F11">
        <w:rPr>
          <w:rFonts w:cs="Guttman Drogolin" w:hint="cs"/>
          <w:rtl/>
          <w:lang w:bidi="he-IL"/>
        </w:rPr>
        <w:t xml:space="preserve"> ולא בין אוכל לאוכל, או"ד שלא הקילו בזה לבד דהוי כעין תפיסה א' אא"כ יש גם דעות. </w:t>
      </w:r>
      <w:r w:rsidR="002801C2" w:rsidRPr="00882F11">
        <w:rPr>
          <w:rFonts w:cs="Guttman Drogolin" w:hint="cs"/>
          <w:rtl/>
          <w:lang w:bidi="he-IL"/>
        </w:rPr>
        <w:t xml:space="preserve"> </w:t>
      </w:r>
      <w:r w:rsidR="008C2BF9" w:rsidRPr="00882F11">
        <w:rPr>
          <w:rFonts w:cs="Guttman Drogolin" w:hint="cs"/>
          <w:rtl/>
          <w:lang w:bidi="he-IL"/>
        </w:rPr>
        <w:t xml:space="preserve">   </w:t>
      </w:r>
      <w:r w:rsidR="00D97E65" w:rsidRPr="00882F11">
        <w:rPr>
          <w:rFonts w:cs="Guttman Drogolin" w:hint="cs"/>
          <w:rtl/>
          <w:lang w:bidi="he-IL"/>
        </w:rPr>
        <w:t xml:space="preserve"> </w:t>
      </w:r>
    </w:p>
    <w:p w:rsidR="001D1B8D" w:rsidRPr="00882F11" w:rsidRDefault="00234BE5" w:rsidP="00234BE5">
      <w:pPr>
        <w:bidi/>
        <w:jc w:val="both"/>
        <w:rPr>
          <w:rFonts w:cs="Guttman Drogolin"/>
          <w:rtl/>
          <w:lang w:bidi="he-IL"/>
        </w:rPr>
      </w:pPr>
      <w:r w:rsidRPr="00882F11">
        <w:rPr>
          <w:rFonts w:cs="Guttman Drogolin" w:hint="cs"/>
          <w:rtl/>
          <w:lang w:bidi="he-IL"/>
        </w:rPr>
        <w:t>ופשוט שלפי דברינו צריך ההיכר להיות דוקא בין האוכלים, דאל"כ עדיין יהא כעין תפיסה א'</w:t>
      </w:r>
      <w:r w:rsidR="001D1B8D" w:rsidRPr="00882F11">
        <w:rPr>
          <w:rFonts w:cs="Guttman Drogolin" w:hint="cs"/>
          <w:rtl/>
          <w:lang w:bidi="he-IL"/>
        </w:rPr>
        <w:t xml:space="preserve"> (ע' בדה"ש ס"ק י"ט שכ"כ)</w:t>
      </w:r>
      <w:r w:rsidRPr="00882F11">
        <w:rPr>
          <w:rFonts w:cs="Guttman Drogolin" w:hint="cs"/>
          <w:rtl/>
          <w:lang w:bidi="he-IL"/>
        </w:rPr>
        <w:t>.</w:t>
      </w:r>
    </w:p>
    <w:p w:rsidR="00062EB6" w:rsidRPr="00882F11" w:rsidRDefault="00062EB6" w:rsidP="00662307">
      <w:pPr>
        <w:pStyle w:val="Heading1"/>
        <w:bidi/>
        <w:spacing w:before="0" w:line="240" w:lineRule="auto"/>
        <w:jc w:val="center"/>
        <w:rPr>
          <w:rFonts w:cs="Guttman Drogolin"/>
          <w:color w:val="auto"/>
          <w:sz w:val="24"/>
          <w:szCs w:val="24"/>
          <w:u w:val="single"/>
          <w:rtl/>
          <w:lang w:bidi="he-IL"/>
        </w:rPr>
      </w:pPr>
      <w:bookmarkStart w:id="158" w:name="_Toc496175415"/>
      <w:r w:rsidRPr="00882F11">
        <w:rPr>
          <w:rFonts w:cs="Guttman Drogolin" w:hint="cs"/>
          <w:color w:val="auto"/>
          <w:sz w:val="24"/>
          <w:szCs w:val="24"/>
          <w:u w:val="single"/>
          <w:rtl/>
          <w:lang w:bidi="he-IL"/>
        </w:rPr>
        <w:t>אם מי שאכל בשר מותר לו לישב ליד שולחן שאוכלים עליו גבינה</w:t>
      </w:r>
      <w:bookmarkEnd w:id="158"/>
    </w:p>
    <w:p w:rsidR="00625193" w:rsidRPr="00882F11" w:rsidRDefault="00DA6DFF" w:rsidP="0061745D">
      <w:pPr>
        <w:bidi/>
        <w:jc w:val="both"/>
        <w:rPr>
          <w:rFonts w:cs="Guttman Drogolin"/>
          <w:rtl/>
          <w:lang w:bidi="he-IL"/>
        </w:rPr>
      </w:pPr>
      <w:r>
        <w:rPr>
          <w:rFonts w:cs="Guttman Drogolin"/>
          <w:rtl/>
          <w:lang w:bidi="he-IL"/>
        </w:rPr>
        <w:fldChar w:fldCharType="begin"/>
      </w:r>
      <w:r>
        <w:instrText xml:space="preserve"> XE "</w:instrText>
      </w:r>
      <w:r w:rsidRPr="009747BB">
        <w:rPr>
          <w:rFonts w:hint="cs"/>
          <w:rtl/>
          <w:lang w:bidi="he-IL"/>
        </w:rPr>
        <w:instrText>בשר בחלב - איסור העלאה על שולחן א'</w:instrText>
      </w:r>
      <w:r w:rsidRPr="009747BB">
        <w:rPr>
          <w:rtl/>
        </w:rPr>
        <w:instrText>:</w:instrText>
      </w:r>
      <w:r w:rsidRPr="009747BB">
        <w:rPr>
          <w:rFonts w:hint="cs"/>
          <w:rtl/>
          <w:lang w:bidi="he-IL"/>
        </w:rPr>
        <w:instrText>כשאינו אוכל עכשיו אבל יושב ליד השולחן</w:instrText>
      </w:r>
      <w:r>
        <w:instrText xml:space="preserve">" </w:instrText>
      </w:r>
      <w:r>
        <w:rPr>
          <w:rFonts w:cs="Guttman Drogolin"/>
          <w:rtl/>
          <w:lang w:bidi="he-IL"/>
        </w:rPr>
        <w:fldChar w:fldCharType="end"/>
      </w:r>
      <w:r w:rsidR="00062EB6" w:rsidRPr="00882F11">
        <w:rPr>
          <w:rFonts w:cs="Guttman Drogolin" w:hint="cs"/>
          <w:rtl/>
          <w:lang w:bidi="he-IL"/>
        </w:rPr>
        <w:t>הבאר היטב הביא משו"ת בית יעקב סי' י"ב שכתב שמי שאכל בשר אסור לו לשבת ליד שולחן שאוכלים עליו גבינה פן יאכ</w:t>
      </w:r>
      <w:r w:rsidR="00746739" w:rsidRPr="00882F11">
        <w:rPr>
          <w:rFonts w:cs="Guttman Drogolin" w:hint="cs"/>
          <w:rtl/>
          <w:lang w:bidi="he-IL"/>
        </w:rPr>
        <w:t>י</w:t>
      </w:r>
      <w:r w:rsidR="00062EB6" w:rsidRPr="00882F11">
        <w:rPr>
          <w:rFonts w:cs="Guttman Drogolin" w:hint="cs"/>
          <w:rtl/>
          <w:lang w:bidi="he-IL"/>
        </w:rPr>
        <w:t>לוהו מן הגבינה שאסור לו לאכול.</w:t>
      </w:r>
      <w:r w:rsidR="00746739" w:rsidRPr="00882F11">
        <w:rPr>
          <w:rFonts w:cs="Guttman Drogolin" w:hint="cs"/>
          <w:rtl/>
          <w:lang w:bidi="he-IL"/>
        </w:rPr>
        <w:t xml:space="preserve"> וכמה פוסקים ציינו שראיתו מן הסוגיא שבמס' חולין ו' ע"ב "אשת</w:t>
      </w:r>
      <w:r w:rsidR="00746739" w:rsidRPr="00882F11">
        <w:rPr>
          <w:rFonts w:cs="Guttman Drogolin"/>
          <w:rtl/>
          <w:lang w:bidi="he-IL"/>
        </w:rPr>
        <w:t xml:space="preserve"> </w:t>
      </w:r>
      <w:r w:rsidR="00746739" w:rsidRPr="00882F11">
        <w:rPr>
          <w:rFonts w:cs="Guttman Drogolin" w:hint="cs"/>
          <w:rtl/>
          <w:lang w:bidi="he-IL"/>
        </w:rPr>
        <w:t>חבר</w:t>
      </w:r>
      <w:r w:rsidR="00746739" w:rsidRPr="00882F11">
        <w:rPr>
          <w:rFonts w:cs="Guttman Drogolin"/>
          <w:rtl/>
          <w:lang w:bidi="he-IL"/>
        </w:rPr>
        <w:t xml:space="preserve"> </w:t>
      </w:r>
      <w:r w:rsidR="00746739" w:rsidRPr="00882F11">
        <w:rPr>
          <w:rFonts w:cs="Guttman Drogolin" w:hint="cs"/>
          <w:rtl/>
          <w:lang w:bidi="he-IL"/>
        </w:rPr>
        <w:t>טוחנת</w:t>
      </w:r>
      <w:r w:rsidR="00746739" w:rsidRPr="00882F11">
        <w:rPr>
          <w:rFonts w:cs="Guttman Drogolin"/>
          <w:rtl/>
          <w:lang w:bidi="he-IL"/>
        </w:rPr>
        <w:t xml:space="preserve"> </w:t>
      </w:r>
      <w:r w:rsidR="00746739" w:rsidRPr="00882F11">
        <w:rPr>
          <w:rFonts w:cs="Guttman Drogolin" w:hint="cs"/>
          <w:rtl/>
          <w:lang w:bidi="he-IL"/>
        </w:rPr>
        <w:t>עם</w:t>
      </w:r>
      <w:r w:rsidR="00746739" w:rsidRPr="00882F11">
        <w:rPr>
          <w:rFonts w:cs="Guttman Drogolin"/>
          <w:rtl/>
          <w:lang w:bidi="he-IL"/>
        </w:rPr>
        <w:t xml:space="preserve"> </w:t>
      </w:r>
      <w:r w:rsidR="00746739" w:rsidRPr="00882F11">
        <w:rPr>
          <w:rFonts w:cs="Guttman Drogolin" w:hint="cs"/>
          <w:rtl/>
          <w:lang w:bidi="he-IL"/>
        </w:rPr>
        <w:t>אשת</w:t>
      </w:r>
      <w:r w:rsidR="00746739" w:rsidRPr="00882F11">
        <w:rPr>
          <w:rFonts w:cs="Guttman Drogolin"/>
          <w:rtl/>
          <w:lang w:bidi="he-IL"/>
        </w:rPr>
        <w:t xml:space="preserve"> </w:t>
      </w:r>
      <w:r w:rsidR="00746739" w:rsidRPr="00882F11">
        <w:rPr>
          <w:rFonts w:cs="Guttman Drogolin" w:hint="cs"/>
          <w:rtl/>
          <w:lang w:bidi="he-IL"/>
        </w:rPr>
        <w:t>עם</w:t>
      </w:r>
      <w:r w:rsidR="00746739" w:rsidRPr="00882F11">
        <w:rPr>
          <w:rFonts w:cs="Guttman Drogolin"/>
          <w:rtl/>
          <w:lang w:bidi="he-IL"/>
        </w:rPr>
        <w:t xml:space="preserve"> </w:t>
      </w:r>
      <w:r w:rsidR="00746739" w:rsidRPr="00882F11">
        <w:rPr>
          <w:rFonts w:cs="Guttman Drogolin" w:hint="cs"/>
          <w:rtl/>
          <w:lang w:bidi="he-IL"/>
        </w:rPr>
        <w:t>הארץ</w:t>
      </w:r>
      <w:r w:rsidR="00746739" w:rsidRPr="00882F11">
        <w:rPr>
          <w:rFonts w:cs="Guttman Drogolin"/>
          <w:rtl/>
          <w:lang w:bidi="he-IL"/>
        </w:rPr>
        <w:t xml:space="preserve"> </w:t>
      </w:r>
      <w:r w:rsidR="00746739" w:rsidRPr="00882F11">
        <w:rPr>
          <w:rFonts w:cs="Guttman Drogolin" w:hint="cs"/>
          <w:rtl/>
          <w:lang w:bidi="he-IL"/>
        </w:rPr>
        <w:t>בזמן</w:t>
      </w:r>
      <w:r w:rsidR="00746739" w:rsidRPr="00882F11">
        <w:rPr>
          <w:rFonts w:cs="Guttman Drogolin"/>
          <w:rtl/>
          <w:lang w:bidi="he-IL"/>
        </w:rPr>
        <w:t xml:space="preserve"> </w:t>
      </w:r>
      <w:r w:rsidR="00746739" w:rsidRPr="00882F11">
        <w:rPr>
          <w:rFonts w:cs="Guttman Drogolin" w:hint="cs"/>
          <w:rtl/>
          <w:lang w:bidi="he-IL"/>
        </w:rPr>
        <w:t>שהיא</w:t>
      </w:r>
      <w:r w:rsidR="00746739" w:rsidRPr="00882F11">
        <w:rPr>
          <w:rFonts w:cs="Guttman Drogolin"/>
          <w:rtl/>
          <w:lang w:bidi="he-IL"/>
        </w:rPr>
        <w:t xml:space="preserve"> </w:t>
      </w:r>
      <w:r w:rsidR="00746739" w:rsidRPr="00882F11">
        <w:rPr>
          <w:rFonts w:cs="Guttman Drogolin" w:hint="cs"/>
          <w:rtl/>
          <w:lang w:bidi="he-IL"/>
        </w:rPr>
        <w:t>טמאה</w:t>
      </w:r>
      <w:r w:rsidR="00746739" w:rsidRPr="00882F11">
        <w:rPr>
          <w:rFonts w:cs="Guttman Drogolin"/>
          <w:rtl/>
          <w:lang w:bidi="he-IL"/>
        </w:rPr>
        <w:t xml:space="preserve"> </w:t>
      </w:r>
      <w:r w:rsidR="00746739" w:rsidRPr="00882F11">
        <w:rPr>
          <w:rFonts w:cs="Guttman Drogolin" w:hint="cs"/>
          <w:rtl/>
          <w:lang w:bidi="he-IL"/>
        </w:rPr>
        <w:t>אבל</w:t>
      </w:r>
      <w:r w:rsidR="00746739" w:rsidRPr="00882F11">
        <w:rPr>
          <w:rFonts w:cs="Guttman Drogolin"/>
          <w:rtl/>
          <w:lang w:bidi="he-IL"/>
        </w:rPr>
        <w:t xml:space="preserve"> </w:t>
      </w:r>
      <w:r w:rsidR="00746739" w:rsidRPr="00882F11">
        <w:rPr>
          <w:rFonts w:cs="Guttman Drogolin" w:hint="cs"/>
          <w:rtl/>
          <w:lang w:bidi="he-IL"/>
        </w:rPr>
        <w:t>לא</w:t>
      </w:r>
      <w:r w:rsidR="00746739" w:rsidRPr="00882F11">
        <w:rPr>
          <w:rFonts w:cs="Guttman Drogolin"/>
          <w:rtl/>
          <w:lang w:bidi="he-IL"/>
        </w:rPr>
        <w:t xml:space="preserve"> </w:t>
      </w:r>
      <w:r w:rsidR="00746739" w:rsidRPr="00882F11">
        <w:rPr>
          <w:rFonts w:cs="Guttman Drogolin" w:hint="cs"/>
          <w:rtl/>
          <w:lang w:bidi="he-IL"/>
        </w:rPr>
        <w:t>בזמן</w:t>
      </w:r>
      <w:r w:rsidR="00746739" w:rsidRPr="00882F11">
        <w:rPr>
          <w:rFonts w:cs="Guttman Drogolin"/>
          <w:rtl/>
          <w:lang w:bidi="he-IL"/>
        </w:rPr>
        <w:t xml:space="preserve"> </w:t>
      </w:r>
      <w:r w:rsidR="00746739" w:rsidRPr="00882F11">
        <w:rPr>
          <w:rFonts w:cs="Guttman Drogolin" w:hint="cs"/>
          <w:rtl/>
          <w:lang w:bidi="he-IL"/>
        </w:rPr>
        <w:t>שהיא</w:t>
      </w:r>
      <w:r w:rsidR="00746739" w:rsidRPr="00882F11">
        <w:rPr>
          <w:rFonts w:cs="Guttman Drogolin"/>
          <w:rtl/>
          <w:lang w:bidi="he-IL"/>
        </w:rPr>
        <w:t xml:space="preserve"> </w:t>
      </w:r>
      <w:r w:rsidR="00746739" w:rsidRPr="00882F11">
        <w:rPr>
          <w:rFonts w:cs="Guttman Drogolin" w:hint="cs"/>
          <w:rtl/>
          <w:lang w:bidi="he-IL"/>
        </w:rPr>
        <w:t>טהורה</w:t>
      </w:r>
      <w:r w:rsidR="00746739" w:rsidRPr="00882F11">
        <w:rPr>
          <w:rFonts w:cs="Guttman Drogolin"/>
          <w:rtl/>
          <w:lang w:bidi="he-IL"/>
        </w:rPr>
        <w:t xml:space="preserve"> </w:t>
      </w:r>
      <w:r w:rsidR="00746739" w:rsidRPr="00882F11">
        <w:rPr>
          <w:rFonts w:cs="Guttman Drogolin" w:hint="cs"/>
          <w:rtl/>
          <w:lang w:bidi="he-IL"/>
        </w:rPr>
        <w:t>רבי</w:t>
      </w:r>
      <w:r w:rsidR="00746739" w:rsidRPr="00882F11">
        <w:rPr>
          <w:rFonts w:cs="Guttman Drogolin"/>
          <w:rtl/>
          <w:lang w:bidi="he-IL"/>
        </w:rPr>
        <w:t xml:space="preserve"> </w:t>
      </w:r>
      <w:r w:rsidR="00746739" w:rsidRPr="00882F11">
        <w:rPr>
          <w:rFonts w:cs="Guttman Drogolin" w:hint="cs"/>
          <w:rtl/>
          <w:lang w:bidi="he-IL"/>
        </w:rPr>
        <w:t>שמעון</w:t>
      </w:r>
      <w:r w:rsidR="00746739" w:rsidRPr="00882F11">
        <w:rPr>
          <w:rFonts w:cs="Guttman Drogolin"/>
          <w:rtl/>
          <w:lang w:bidi="he-IL"/>
        </w:rPr>
        <w:t xml:space="preserve"> </w:t>
      </w:r>
      <w:r w:rsidR="00746739" w:rsidRPr="00882F11">
        <w:rPr>
          <w:rFonts w:cs="Guttman Drogolin" w:hint="cs"/>
          <w:rtl/>
          <w:lang w:bidi="he-IL"/>
        </w:rPr>
        <w:t>בן</w:t>
      </w:r>
      <w:r w:rsidR="00746739" w:rsidRPr="00882F11">
        <w:rPr>
          <w:rFonts w:cs="Guttman Drogolin"/>
          <w:rtl/>
          <w:lang w:bidi="he-IL"/>
        </w:rPr>
        <w:t xml:space="preserve"> </w:t>
      </w:r>
      <w:r w:rsidR="00746739" w:rsidRPr="00882F11">
        <w:rPr>
          <w:rFonts w:cs="Guttman Drogolin" w:hint="cs"/>
          <w:rtl/>
          <w:lang w:bidi="he-IL"/>
        </w:rPr>
        <w:t>אלעזר</w:t>
      </w:r>
      <w:r w:rsidR="00746739" w:rsidRPr="00882F11">
        <w:rPr>
          <w:rFonts w:cs="Guttman Drogolin"/>
          <w:rtl/>
          <w:lang w:bidi="he-IL"/>
        </w:rPr>
        <w:t xml:space="preserve"> </w:t>
      </w:r>
      <w:r w:rsidR="00746739" w:rsidRPr="00882F11">
        <w:rPr>
          <w:rFonts w:cs="Guttman Drogolin" w:hint="cs"/>
          <w:rtl/>
          <w:lang w:bidi="he-IL"/>
        </w:rPr>
        <w:t>אומר</w:t>
      </w:r>
      <w:r w:rsidR="00746739" w:rsidRPr="00882F11">
        <w:rPr>
          <w:rFonts w:cs="Guttman Drogolin"/>
          <w:rtl/>
          <w:lang w:bidi="he-IL"/>
        </w:rPr>
        <w:t xml:space="preserve"> </w:t>
      </w:r>
      <w:r w:rsidR="00746739" w:rsidRPr="00882F11">
        <w:rPr>
          <w:rFonts w:cs="Guttman Drogolin" w:hint="cs"/>
          <w:rtl/>
          <w:lang w:bidi="he-IL"/>
        </w:rPr>
        <w:lastRenderedPageBreak/>
        <w:t>אף</w:t>
      </w:r>
      <w:r w:rsidR="00746739" w:rsidRPr="00882F11">
        <w:rPr>
          <w:rFonts w:cs="Guttman Drogolin"/>
          <w:rtl/>
          <w:lang w:bidi="he-IL"/>
        </w:rPr>
        <w:t xml:space="preserve"> </w:t>
      </w:r>
      <w:r w:rsidR="00746739" w:rsidRPr="00882F11">
        <w:rPr>
          <w:rFonts w:cs="Guttman Drogolin" w:hint="cs"/>
          <w:rtl/>
          <w:lang w:bidi="he-IL"/>
        </w:rPr>
        <w:t>בזמן</w:t>
      </w:r>
      <w:r w:rsidR="00746739" w:rsidRPr="00882F11">
        <w:rPr>
          <w:rFonts w:cs="Guttman Drogolin"/>
          <w:rtl/>
          <w:lang w:bidi="he-IL"/>
        </w:rPr>
        <w:t xml:space="preserve"> </w:t>
      </w:r>
      <w:r w:rsidR="00746739" w:rsidRPr="00882F11">
        <w:rPr>
          <w:rFonts w:cs="Guttman Drogolin" w:hint="cs"/>
          <w:rtl/>
          <w:lang w:bidi="he-IL"/>
        </w:rPr>
        <w:t>שהיא</w:t>
      </w:r>
      <w:r w:rsidR="00746739" w:rsidRPr="00882F11">
        <w:rPr>
          <w:rFonts w:cs="Guttman Drogolin"/>
          <w:rtl/>
          <w:lang w:bidi="he-IL"/>
        </w:rPr>
        <w:t xml:space="preserve"> </w:t>
      </w:r>
      <w:r w:rsidR="00746739" w:rsidRPr="00882F11">
        <w:rPr>
          <w:rFonts w:cs="Guttman Drogolin" w:hint="cs"/>
          <w:rtl/>
          <w:lang w:bidi="he-IL"/>
        </w:rPr>
        <w:t>טמאה</w:t>
      </w:r>
      <w:r w:rsidR="00746739" w:rsidRPr="00882F11">
        <w:rPr>
          <w:rFonts w:cs="Guttman Drogolin"/>
          <w:rtl/>
          <w:lang w:bidi="he-IL"/>
        </w:rPr>
        <w:t xml:space="preserve"> </w:t>
      </w:r>
      <w:r w:rsidR="00746739" w:rsidRPr="00882F11">
        <w:rPr>
          <w:rFonts w:cs="Guttman Drogolin" w:hint="cs"/>
          <w:rtl/>
          <w:lang w:bidi="he-IL"/>
        </w:rPr>
        <w:t>לא</w:t>
      </w:r>
      <w:r w:rsidR="00746739" w:rsidRPr="00882F11">
        <w:rPr>
          <w:rFonts w:cs="Guttman Drogolin"/>
          <w:rtl/>
          <w:lang w:bidi="he-IL"/>
        </w:rPr>
        <w:t xml:space="preserve"> </w:t>
      </w:r>
      <w:r w:rsidR="00746739" w:rsidRPr="00882F11">
        <w:rPr>
          <w:rFonts w:cs="Guttman Drogolin" w:hint="cs"/>
          <w:rtl/>
          <w:lang w:bidi="he-IL"/>
        </w:rPr>
        <w:t>תטחון</w:t>
      </w:r>
      <w:r w:rsidR="00746739" w:rsidRPr="00882F11">
        <w:rPr>
          <w:rFonts w:cs="Guttman Drogolin"/>
          <w:rtl/>
          <w:lang w:bidi="he-IL"/>
        </w:rPr>
        <w:t xml:space="preserve"> </w:t>
      </w:r>
      <w:r w:rsidR="00746739" w:rsidRPr="00882F11">
        <w:rPr>
          <w:rFonts w:cs="Guttman Drogolin" w:hint="cs"/>
          <w:rtl/>
          <w:lang w:bidi="he-IL"/>
        </w:rPr>
        <w:t>מפני</w:t>
      </w:r>
      <w:r w:rsidR="00746739" w:rsidRPr="00882F11">
        <w:rPr>
          <w:rFonts w:cs="Guttman Drogolin"/>
          <w:rtl/>
          <w:lang w:bidi="he-IL"/>
        </w:rPr>
        <w:t xml:space="preserve"> </w:t>
      </w:r>
      <w:r w:rsidR="00746739" w:rsidRPr="00882F11">
        <w:rPr>
          <w:rFonts w:cs="Guttman Drogolin" w:hint="cs"/>
          <w:rtl/>
          <w:lang w:bidi="he-IL"/>
        </w:rPr>
        <w:t>שחבירתה</w:t>
      </w:r>
      <w:r w:rsidR="00746739" w:rsidRPr="00882F11">
        <w:rPr>
          <w:rFonts w:cs="Guttman Drogolin"/>
          <w:rtl/>
          <w:lang w:bidi="he-IL"/>
        </w:rPr>
        <w:t xml:space="preserve"> </w:t>
      </w:r>
      <w:r w:rsidR="00746739" w:rsidRPr="00882F11">
        <w:rPr>
          <w:rFonts w:cs="Guttman Drogolin" w:hint="cs"/>
          <w:rtl/>
          <w:lang w:bidi="he-IL"/>
        </w:rPr>
        <w:t>נותנת</w:t>
      </w:r>
      <w:r w:rsidR="00746739" w:rsidRPr="00882F11">
        <w:rPr>
          <w:rFonts w:cs="Guttman Drogolin"/>
          <w:rtl/>
          <w:lang w:bidi="he-IL"/>
        </w:rPr>
        <w:t xml:space="preserve"> </w:t>
      </w:r>
      <w:r w:rsidR="00746739" w:rsidRPr="00882F11">
        <w:rPr>
          <w:rFonts w:cs="Guttman Drogolin" w:hint="cs"/>
          <w:rtl/>
          <w:lang w:bidi="he-IL"/>
        </w:rPr>
        <w:t>לה</w:t>
      </w:r>
      <w:r w:rsidR="00746739" w:rsidRPr="00882F11">
        <w:rPr>
          <w:rFonts w:cs="Guttman Drogolin"/>
          <w:rtl/>
          <w:lang w:bidi="he-IL"/>
        </w:rPr>
        <w:t xml:space="preserve"> </w:t>
      </w:r>
      <w:r w:rsidR="00746739" w:rsidRPr="00882F11">
        <w:rPr>
          <w:rFonts w:cs="Guttman Drogolin" w:hint="cs"/>
          <w:rtl/>
          <w:lang w:bidi="he-IL"/>
        </w:rPr>
        <w:t>ואוכלת" והגמ' רצתה להוכיח מזה דחיישינן לאיחלופי מסברא זו ד"השתא</w:t>
      </w:r>
      <w:r w:rsidR="00746739" w:rsidRPr="00882F11">
        <w:rPr>
          <w:rFonts w:cs="Guttman Drogolin"/>
          <w:rtl/>
          <w:lang w:bidi="he-IL"/>
        </w:rPr>
        <w:t xml:space="preserve"> </w:t>
      </w:r>
      <w:r w:rsidR="00746739" w:rsidRPr="00882F11">
        <w:rPr>
          <w:rFonts w:cs="Guttman Drogolin" w:hint="cs"/>
          <w:rtl/>
          <w:lang w:bidi="he-IL"/>
        </w:rPr>
        <w:t>מיגזל</w:t>
      </w:r>
      <w:r w:rsidR="00746739" w:rsidRPr="00882F11">
        <w:rPr>
          <w:rFonts w:cs="Guttman Drogolin"/>
          <w:rtl/>
          <w:lang w:bidi="he-IL"/>
        </w:rPr>
        <w:t xml:space="preserve"> </w:t>
      </w:r>
      <w:r w:rsidR="00746739" w:rsidRPr="00882F11">
        <w:rPr>
          <w:rFonts w:cs="Guttman Drogolin" w:hint="cs"/>
          <w:rtl/>
          <w:lang w:bidi="he-IL"/>
        </w:rPr>
        <w:t>גזלה</w:t>
      </w:r>
      <w:r w:rsidR="00746739" w:rsidRPr="00882F11">
        <w:rPr>
          <w:rFonts w:cs="Guttman Drogolin"/>
          <w:rtl/>
          <w:lang w:bidi="he-IL"/>
        </w:rPr>
        <w:t xml:space="preserve"> </w:t>
      </w:r>
      <w:r w:rsidR="00746739" w:rsidRPr="00882F11">
        <w:rPr>
          <w:rFonts w:cs="Guttman Drogolin" w:hint="cs"/>
          <w:rtl/>
          <w:lang w:bidi="he-IL"/>
        </w:rPr>
        <w:t>חלופי</w:t>
      </w:r>
      <w:r w:rsidR="00746739" w:rsidRPr="00882F11">
        <w:rPr>
          <w:rFonts w:cs="Guttman Drogolin"/>
          <w:rtl/>
          <w:lang w:bidi="he-IL"/>
        </w:rPr>
        <w:t xml:space="preserve"> </w:t>
      </w:r>
      <w:r w:rsidR="00746739" w:rsidRPr="00882F11">
        <w:rPr>
          <w:rFonts w:cs="Guttman Drogolin" w:hint="cs"/>
          <w:rtl/>
          <w:lang w:bidi="he-IL"/>
        </w:rPr>
        <w:t>מיבעיא" ודוחה רב</w:t>
      </w:r>
      <w:r w:rsidR="00746739" w:rsidRPr="00882F11">
        <w:rPr>
          <w:rFonts w:cs="Guttman Drogolin"/>
          <w:rtl/>
          <w:lang w:bidi="he-IL"/>
        </w:rPr>
        <w:t xml:space="preserve"> </w:t>
      </w:r>
      <w:r w:rsidR="00746739" w:rsidRPr="00882F11">
        <w:rPr>
          <w:rFonts w:cs="Guttman Drogolin" w:hint="cs"/>
          <w:rtl/>
          <w:lang w:bidi="he-IL"/>
        </w:rPr>
        <w:t>יוסף</w:t>
      </w:r>
      <w:r w:rsidR="00746739" w:rsidRPr="00882F11">
        <w:rPr>
          <w:rFonts w:cs="Guttman Drogolin"/>
          <w:rtl/>
          <w:lang w:bidi="he-IL"/>
        </w:rPr>
        <w:t xml:space="preserve"> </w:t>
      </w:r>
      <w:r w:rsidR="00746739" w:rsidRPr="00882F11">
        <w:rPr>
          <w:rFonts w:cs="Guttman Drogolin" w:hint="cs"/>
          <w:rtl/>
          <w:lang w:bidi="he-IL"/>
        </w:rPr>
        <w:t>"התם</w:t>
      </w:r>
      <w:r w:rsidR="00746739" w:rsidRPr="00882F11">
        <w:rPr>
          <w:rFonts w:cs="Guttman Drogolin"/>
          <w:rtl/>
          <w:lang w:bidi="he-IL"/>
        </w:rPr>
        <w:t xml:space="preserve"> </w:t>
      </w:r>
      <w:r w:rsidR="00746739" w:rsidRPr="00882F11">
        <w:rPr>
          <w:rFonts w:cs="Guttman Drogolin" w:hint="cs"/>
          <w:rtl/>
          <w:lang w:bidi="he-IL"/>
        </w:rPr>
        <w:t>נמי</w:t>
      </w:r>
      <w:r w:rsidR="00746739" w:rsidRPr="00882F11">
        <w:rPr>
          <w:rFonts w:cs="Guttman Drogolin"/>
          <w:rtl/>
          <w:lang w:bidi="he-IL"/>
        </w:rPr>
        <w:t xml:space="preserve"> </w:t>
      </w:r>
      <w:r w:rsidR="00746739" w:rsidRPr="00882F11">
        <w:rPr>
          <w:rFonts w:cs="Guttman Drogolin" w:hint="cs"/>
          <w:rtl/>
          <w:lang w:bidi="he-IL"/>
        </w:rPr>
        <w:t>מוריא</w:t>
      </w:r>
      <w:r w:rsidR="00746739" w:rsidRPr="00882F11">
        <w:rPr>
          <w:rFonts w:cs="Guttman Drogolin"/>
          <w:rtl/>
          <w:lang w:bidi="he-IL"/>
        </w:rPr>
        <w:t xml:space="preserve"> </w:t>
      </w:r>
      <w:r w:rsidR="00746739" w:rsidRPr="00882F11">
        <w:rPr>
          <w:rFonts w:cs="Guttman Drogolin" w:hint="cs"/>
          <w:rtl/>
          <w:lang w:bidi="he-IL"/>
        </w:rPr>
        <w:t>ואמרה</w:t>
      </w:r>
      <w:r w:rsidR="00746739" w:rsidRPr="00882F11">
        <w:rPr>
          <w:rFonts w:cs="Guttman Drogolin"/>
          <w:rtl/>
          <w:lang w:bidi="he-IL"/>
        </w:rPr>
        <w:t xml:space="preserve"> </w:t>
      </w:r>
      <w:r w:rsidR="00746739" w:rsidRPr="00882F11">
        <w:rPr>
          <w:rFonts w:cs="Guttman Drogolin" w:hint="cs"/>
          <w:rtl/>
          <w:lang w:bidi="he-IL"/>
        </w:rPr>
        <w:t>תורא</w:t>
      </w:r>
      <w:r w:rsidR="00746739" w:rsidRPr="00882F11">
        <w:rPr>
          <w:rFonts w:cs="Guttman Drogolin"/>
          <w:rtl/>
          <w:lang w:bidi="he-IL"/>
        </w:rPr>
        <w:t xml:space="preserve"> </w:t>
      </w:r>
      <w:r w:rsidR="00746739" w:rsidRPr="00882F11">
        <w:rPr>
          <w:rFonts w:cs="Guttman Drogolin" w:hint="cs"/>
          <w:rtl/>
          <w:lang w:bidi="he-IL"/>
        </w:rPr>
        <w:t>מדישיה</w:t>
      </w:r>
      <w:r w:rsidR="00746739" w:rsidRPr="00882F11">
        <w:rPr>
          <w:rFonts w:cs="Guttman Drogolin"/>
          <w:rtl/>
          <w:lang w:bidi="he-IL"/>
        </w:rPr>
        <w:t xml:space="preserve"> </w:t>
      </w:r>
      <w:r w:rsidR="00746739" w:rsidRPr="00882F11">
        <w:rPr>
          <w:rFonts w:cs="Guttman Drogolin" w:hint="cs"/>
          <w:rtl/>
          <w:lang w:bidi="he-IL"/>
        </w:rPr>
        <w:t>קאכיל". ועכ"</w:t>
      </w:r>
      <w:r w:rsidR="0061745D" w:rsidRPr="00882F11">
        <w:rPr>
          <w:rFonts w:cs="Guttman Drogolin" w:hint="cs"/>
          <w:rtl/>
          <w:lang w:bidi="he-IL"/>
        </w:rPr>
        <w:t>פ</w:t>
      </w:r>
      <w:r w:rsidR="00746739" w:rsidRPr="00882F11">
        <w:rPr>
          <w:rFonts w:cs="Guttman Drogolin" w:hint="cs"/>
          <w:rtl/>
          <w:lang w:bidi="he-IL"/>
        </w:rPr>
        <w:t xml:space="preserve"> חזינן שיש חשש שיאכל איסור כשמתעסקת עם חבירתה העוסקת בטבל. והפוסקים דחו שיטתו, יעוין בפמ"ג ויד אפרים דיתכן שעוסקת שאני. וכן ע"כ צריכים לומר שלכאורה לדברי הבית יעקב צ"ע שהרי בסוגיין לא אסרו אלא משום שיש חשש שיבאו לידי בב"ח דאורייתא, ואילו אם כבר אכל בשר ואין לפניו אלא מאכלי חלב לא יתכן שיבא לידי זה. </w:t>
      </w:r>
    </w:p>
    <w:p w:rsidR="00862F1D" w:rsidRPr="00882F11" w:rsidRDefault="00862F1D" w:rsidP="00862F1D">
      <w:pPr>
        <w:bidi/>
        <w:jc w:val="both"/>
        <w:rPr>
          <w:rFonts w:cs="Guttman Drogolin"/>
          <w:b/>
          <w:bCs/>
          <w:sz w:val="28"/>
          <w:szCs w:val="28"/>
          <w:rtl/>
          <w:lang w:bidi="he-IL"/>
        </w:rPr>
      </w:pPr>
      <w:r w:rsidRPr="00882F11">
        <w:rPr>
          <w:rFonts w:cs="Guttman Drogolin" w:hint="cs"/>
          <w:b/>
          <w:bCs/>
          <w:sz w:val="28"/>
          <w:szCs w:val="28"/>
          <w:rtl/>
          <w:lang w:bidi="he-IL"/>
        </w:rPr>
        <w:t>מילואים</w:t>
      </w:r>
    </w:p>
    <w:p w:rsidR="00862F1D" w:rsidRPr="00882F11" w:rsidRDefault="00862F1D" w:rsidP="00497FC3">
      <w:pPr>
        <w:keepNext/>
        <w:bidi/>
        <w:jc w:val="both"/>
        <w:rPr>
          <w:rFonts w:cs="Guttman Drogolin"/>
          <w:b/>
          <w:bCs/>
          <w:rtl/>
          <w:lang w:bidi="he-IL"/>
        </w:rPr>
      </w:pPr>
      <w:r w:rsidRPr="00882F11">
        <w:rPr>
          <w:rFonts w:cs="Guttman Drogolin" w:hint="cs"/>
          <w:b/>
          <w:bCs/>
          <w:rtl/>
          <w:lang w:bidi="he-IL"/>
        </w:rPr>
        <w:t>בדין אכילה על ב' מפות</w:t>
      </w:r>
      <w:r w:rsidR="002E4DD2" w:rsidRPr="00882F11">
        <w:rPr>
          <w:rFonts w:cs="Guttman Drogolin" w:hint="cs"/>
          <w:b/>
          <w:bCs/>
          <w:rtl/>
          <w:lang w:bidi="he-IL"/>
        </w:rPr>
        <w:t xml:space="preserve"> </w:t>
      </w:r>
    </w:p>
    <w:p w:rsidR="00625193" w:rsidRPr="00882F11" w:rsidRDefault="00DA6DFF" w:rsidP="000B4A44">
      <w:pPr>
        <w:bidi/>
        <w:jc w:val="both"/>
        <w:rPr>
          <w:rFonts w:cs="Guttman Drogolin"/>
          <w:rtl/>
          <w:lang w:bidi="he-IL"/>
        </w:rPr>
      </w:pPr>
      <w:r>
        <w:rPr>
          <w:rFonts w:cs="Guttman Drogolin"/>
          <w:rtl/>
          <w:lang w:bidi="he-IL"/>
        </w:rPr>
        <w:fldChar w:fldCharType="begin"/>
      </w:r>
      <w:r>
        <w:instrText xml:space="preserve"> XE "</w:instrText>
      </w:r>
      <w:r w:rsidRPr="00945DC8">
        <w:rPr>
          <w:rFonts w:hint="cs"/>
          <w:rtl/>
          <w:lang w:bidi="he-IL"/>
        </w:rPr>
        <w:instrText>בשר בחלב - איסור העלאה על שולחן א'</w:instrText>
      </w:r>
      <w:r w:rsidRPr="00945DC8">
        <w:rPr>
          <w:rtl/>
        </w:rPr>
        <w:instrText>:</w:instrText>
      </w:r>
      <w:r w:rsidRPr="00945DC8">
        <w:rPr>
          <w:rFonts w:hint="cs"/>
          <w:rtl/>
          <w:lang w:bidi="he-IL"/>
        </w:rPr>
        <w:instrText>בב' מפות</w:instrText>
      </w:r>
      <w:r>
        <w:instrText xml:space="preserve">" </w:instrText>
      </w:r>
      <w:r>
        <w:rPr>
          <w:rFonts w:cs="Guttman Drogolin"/>
          <w:rtl/>
          <w:lang w:bidi="he-IL"/>
        </w:rPr>
        <w:fldChar w:fldCharType="end"/>
      </w:r>
      <w:r w:rsidR="00C40970" w:rsidRPr="00882F11">
        <w:rPr>
          <w:rFonts w:cs="Guttman Drogolin" w:hint="cs"/>
          <w:rtl/>
          <w:lang w:bidi="he-IL"/>
        </w:rPr>
        <w:t>התוס' שם בדף ק"ז ע"ב כתבו "ולפיכך</w:t>
      </w:r>
      <w:r w:rsidR="00C40970" w:rsidRPr="00882F11">
        <w:rPr>
          <w:rFonts w:cs="Guttman Drogolin"/>
          <w:rtl/>
          <w:lang w:bidi="he-IL"/>
        </w:rPr>
        <w:t xml:space="preserve"> </w:t>
      </w:r>
      <w:r w:rsidR="00C40970" w:rsidRPr="00882F11">
        <w:rPr>
          <w:rFonts w:cs="Guttman Drogolin" w:hint="cs"/>
          <w:rtl/>
          <w:lang w:bidi="he-IL"/>
        </w:rPr>
        <w:t>נוהגין</w:t>
      </w:r>
      <w:r w:rsidR="00C40970" w:rsidRPr="00882F11">
        <w:rPr>
          <w:rFonts w:cs="Guttman Drogolin"/>
          <w:rtl/>
          <w:lang w:bidi="he-IL"/>
        </w:rPr>
        <w:t xml:space="preserve"> </w:t>
      </w:r>
      <w:r w:rsidR="00C40970" w:rsidRPr="00882F11">
        <w:rPr>
          <w:rFonts w:cs="Guttman Drogolin" w:hint="cs"/>
          <w:rtl/>
          <w:lang w:bidi="he-IL"/>
        </w:rPr>
        <w:t>עכשיו</w:t>
      </w:r>
      <w:r w:rsidR="00C40970" w:rsidRPr="00882F11">
        <w:rPr>
          <w:rFonts w:cs="Guttman Drogolin"/>
          <w:rtl/>
          <w:lang w:bidi="he-IL"/>
        </w:rPr>
        <w:t xml:space="preserve"> </w:t>
      </w:r>
      <w:r w:rsidR="00C40970" w:rsidRPr="00882F11">
        <w:rPr>
          <w:rFonts w:cs="Guttman Drogolin" w:hint="cs"/>
          <w:rtl/>
          <w:lang w:bidi="he-IL"/>
        </w:rPr>
        <w:t>כשזה</w:t>
      </w:r>
      <w:r w:rsidR="00C40970" w:rsidRPr="00882F11">
        <w:rPr>
          <w:rFonts w:cs="Guttman Drogolin"/>
          <w:rtl/>
          <w:lang w:bidi="he-IL"/>
        </w:rPr>
        <w:t xml:space="preserve"> </w:t>
      </w:r>
      <w:r w:rsidR="00C40970" w:rsidRPr="00882F11">
        <w:rPr>
          <w:rFonts w:cs="Guttman Drogolin" w:hint="cs"/>
          <w:rtl/>
          <w:lang w:bidi="he-IL"/>
        </w:rPr>
        <w:t>אוכל</w:t>
      </w:r>
      <w:r w:rsidR="00C40970" w:rsidRPr="00882F11">
        <w:rPr>
          <w:rFonts w:cs="Guttman Drogolin"/>
          <w:rtl/>
          <w:lang w:bidi="he-IL"/>
        </w:rPr>
        <w:t xml:space="preserve"> </w:t>
      </w:r>
      <w:r w:rsidR="00C40970" w:rsidRPr="00882F11">
        <w:rPr>
          <w:rFonts w:cs="Guttman Drogolin" w:hint="cs"/>
          <w:rtl/>
          <w:lang w:bidi="he-IL"/>
        </w:rPr>
        <w:t>בשר</w:t>
      </w:r>
      <w:r w:rsidR="00C40970" w:rsidRPr="00882F11">
        <w:rPr>
          <w:rFonts w:cs="Guttman Drogolin"/>
          <w:rtl/>
          <w:lang w:bidi="he-IL"/>
        </w:rPr>
        <w:t xml:space="preserve"> </w:t>
      </w:r>
      <w:r w:rsidR="00C40970" w:rsidRPr="00882F11">
        <w:rPr>
          <w:rFonts w:cs="Guttman Drogolin" w:hint="cs"/>
          <w:rtl/>
          <w:lang w:bidi="he-IL"/>
        </w:rPr>
        <w:t>וזה</w:t>
      </w:r>
      <w:r w:rsidR="00C40970" w:rsidRPr="00882F11">
        <w:rPr>
          <w:rFonts w:cs="Guttman Drogolin"/>
          <w:rtl/>
          <w:lang w:bidi="he-IL"/>
        </w:rPr>
        <w:t xml:space="preserve"> </w:t>
      </w:r>
      <w:r w:rsidR="00C40970" w:rsidRPr="00882F11">
        <w:rPr>
          <w:rFonts w:cs="Guttman Drogolin" w:hint="cs"/>
          <w:rtl/>
          <w:lang w:bidi="he-IL"/>
        </w:rPr>
        <w:t>אוכל</w:t>
      </w:r>
      <w:r w:rsidR="00C40970" w:rsidRPr="00882F11">
        <w:rPr>
          <w:rFonts w:cs="Guttman Drogolin"/>
          <w:rtl/>
          <w:lang w:bidi="he-IL"/>
        </w:rPr>
        <w:t xml:space="preserve"> </w:t>
      </w:r>
      <w:r w:rsidR="00C40970" w:rsidRPr="00882F11">
        <w:rPr>
          <w:rFonts w:cs="Guttman Drogolin" w:hint="cs"/>
          <w:rtl/>
          <w:lang w:bidi="he-IL"/>
        </w:rPr>
        <w:t>גבינה</w:t>
      </w:r>
      <w:r w:rsidR="00C40970" w:rsidRPr="00882F11">
        <w:rPr>
          <w:rFonts w:cs="Guttman Drogolin"/>
          <w:rtl/>
          <w:lang w:bidi="he-IL"/>
        </w:rPr>
        <w:t xml:space="preserve"> </w:t>
      </w:r>
      <w:r w:rsidR="00C40970" w:rsidRPr="00882F11">
        <w:rPr>
          <w:rFonts w:cs="Guttman Drogolin" w:hint="cs"/>
          <w:rtl/>
          <w:lang w:bidi="he-IL"/>
        </w:rPr>
        <w:t>על</w:t>
      </w:r>
      <w:r w:rsidR="00C40970" w:rsidRPr="00882F11">
        <w:rPr>
          <w:rFonts w:cs="Guttman Drogolin"/>
          <w:rtl/>
          <w:lang w:bidi="he-IL"/>
        </w:rPr>
        <w:t xml:space="preserve"> </w:t>
      </w:r>
      <w:r w:rsidR="00C40970" w:rsidRPr="00882F11">
        <w:rPr>
          <w:rFonts w:cs="Guttman Drogolin" w:hint="cs"/>
          <w:rtl/>
          <w:lang w:bidi="he-IL"/>
        </w:rPr>
        <w:t>שלחן</w:t>
      </w:r>
      <w:r w:rsidR="00C40970" w:rsidRPr="00882F11">
        <w:rPr>
          <w:rFonts w:cs="Guttman Drogolin"/>
          <w:rtl/>
          <w:lang w:bidi="he-IL"/>
        </w:rPr>
        <w:t xml:space="preserve"> </w:t>
      </w:r>
      <w:r w:rsidR="00C40970" w:rsidRPr="00882F11">
        <w:rPr>
          <w:rFonts w:cs="Guttman Drogolin" w:hint="cs"/>
          <w:rtl/>
          <w:lang w:bidi="he-IL"/>
        </w:rPr>
        <w:t>אחד</w:t>
      </w:r>
      <w:r w:rsidR="00C40970" w:rsidRPr="00882F11">
        <w:rPr>
          <w:rFonts w:cs="Guttman Drogolin"/>
          <w:rtl/>
          <w:lang w:bidi="he-IL"/>
        </w:rPr>
        <w:t xml:space="preserve"> </w:t>
      </w:r>
      <w:r w:rsidR="00C40970" w:rsidRPr="00882F11">
        <w:rPr>
          <w:rFonts w:cs="Guttman Drogolin" w:hint="cs"/>
          <w:rtl/>
          <w:lang w:bidi="he-IL"/>
        </w:rPr>
        <w:t>מניחין</w:t>
      </w:r>
      <w:r w:rsidR="00C40970" w:rsidRPr="00882F11">
        <w:rPr>
          <w:rFonts w:cs="Guttman Drogolin"/>
          <w:rtl/>
          <w:lang w:bidi="he-IL"/>
        </w:rPr>
        <w:t xml:space="preserve"> </w:t>
      </w:r>
      <w:r w:rsidR="00C40970" w:rsidRPr="00882F11">
        <w:rPr>
          <w:rFonts w:cs="Guttman Drogolin" w:hint="cs"/>
          <w:rtl/>
          <w:lang w:bidi="he-IL"/>
        </w:rPr>
        <w:t>לחם</w:t>
      </w:r>
      <w:r w:rsidR="00C40970" w:rsidRPr="00882F11">
        <w:rPr>
          <w:rFonts w:cs="Guttman Drogolin"/>
          <w:rtl/>
          <w:lang w:bidi="he-IL"/>
        </w:rPr>
        <w:t xml:space="preserve"> </w:t>
      </w:r>
      <w:r w:rsidR="00C40970" w:rsidRPr="00882F11">
        <w:rPr>
          <w:rFonts w:cs="Guttman Drogolin" w:hint="cs"/>
          <w:rtl/>
          <w:lang w:bidi="he-IL"/>
        </w:rPr>
        <w:t>או</w:t>
      </w:r>
      <w:r w:rsidR="00C40970" w:rsidRPr="00882F11">
        <w:rPr>
          <w:rFonts w:cs="Guttman Drogolin"/>
          <w:rtl/>
          <w:lang w:bidi="he-IL"/>
        </w:rPr>
        <w:t xml:space="preserve"> </w:t>
      </w:r>
      <w:r w:rsidR="00C40970" w:rsidRPr="00882F11">
        <w:rPr>
          <w:rFonts w:cs="Guttman Drogolin" w:hint="cs"/>
          <w:rtl/>
          <w:lang w:bidi="he-IL"/>
        </w:rPr>
        <w:t>קנקן</w:t>
      </w:r>
      <w:r w:rsidR="00C40970" w:rsidRPr="00882F11">
        <w:rPr>
          <w:rFonts w:cs="Guttman Drogolin"/>
          <w:rtl/>
          <w:lang w:bidi="he-IL"/>
        </w:rPr>
        <w:t xml:space="preserve"> </w:t>
      </w:r>
      <w:r w:rsidR="00C40970" w:rsidRPr="00882F11">
        <w:rPr>
          <w:rFonts w:cs="Guttman Drogolin" w:hint="cs"/>
          <w:rtl/>
          <w:lang w:bidi="he-IL"/>
        </w:rPr>
        <w:t>או</w:t>
      </w:r>
      <w:r w:rsidR="00C40970" w:rsidRPr="00882F11">
        <w:rPr>
          <w:rFonts w:cs="Guttman Drogolin"/>
          <w:rtl/>
          <w:lang w:bidi="he-IL"/>
        </w:rPr>
        <w:t xml:space="preserve"> </w:t>
      </w:r>
      <w:r w:rsidR="00C40970" w:rsidRPr="00882F11">
        <w:rPr>
          <w:rFonts w:cs="Guttman Drogolin" w:hint="cs"/>
          <w:rtl/>
          <w:lang w:bidi="he-IL"/>
        </w:rPr>
        <w:t>שאר</w:t>
      </w:r>
      <w:r w:rsidR="00C40970" w:rsidRPr="00882F11">
        <w:rPr>
          <w:rFonts w:cs="Guttman Drogolin"/>
          <w:rtl/>
          <w:lang w:bidi="he-IL"/>
        </w:rPr>
        <w:t xml:space="preserve"> </w:t>
      </w:r>
      <w:r w:rsidR="00C40970" w:rsidRPr="00882F11">
        <w:rPr>
          <w:rFonts w:cs="Guttman Drogolin" w:hint="cs"/>
          <w:rtl/>
          <w:lang w:bidi="he-IL"/>
        </w:rPr>
        <w:t>כלים</w:t>
      </w:r>
      <w:r w:rsidR="00C40970" w:rsidRPr="00882F11">
        <w:rPr>
          <w:rFonts w:cs="Guttman Drogolin"/>
          <w:rtl/>
          <w:lang w:bidi="he-IL"/>
        </w:rPr>
        <w:t xml:space="preserve"> </w:t>
      </w:r>
      <w:r w:rsidR="00C40970" w:rsidRPr="00882F11">
        <w:rPr>
          <w:rFonts w:cs="Guttman Drogolin" w:hint="cs"/>
          <w:rtl/>
          <w:lang w:bidi="he-IL"/>
        </w:rPr>
        <w:t>להפסיק</w:t>
      </w:r>
      <w:r w:rsidR="00C40970" w:rsidRPr="00882F11">
        <w:rPr>
          <w:rFonts w:cs="Guttman Drogolin"/>
          <w:rtl/>
          <w:lang w:bidi="he-IL"/>
        </w:rPr>
        <w:t xml:space="preserve"> </w:t>
      </w:r>
      <w:r w:rsidR="00C40970" w:rsidRPr="00882F11">
        <w:rPr>
          <w:rFonts w:cs="Guttman Drogolin" w:hint="cs"/>
          <w:rtl/>
          <w:lang w:bidi="he-IL"/>
        </w:rPr>
        <w:t>בינתיים</w:t>
      </w:r>
      <w:r w:rsidR="00C40970" w:rsidRPr="00882F11">
        <w:rPr>
          <w:rFonts w:cs="Guttman Drogolin"/>
          <w:rtl/>
          <w:lang w:bidi="he-IL"/>
        </w:rPr>
        <w:t xml:space="preserve"> </w:t>
      </w:r>
      <w:r w:rsidR="00C40970" w:rsidRPr="00882F11">
        <w:rPr>
          <w:rFonts w:cs="Guttman Drogolin" w:hint="cs"/>
          <w:rtl/>
          <w:lang w:bidi="he-IL"/>
        </w:rPr>
        <w:t>או</w:t>
      </w:r>
      <w:r w:rsidR="00C40970" w:rsidRPr="00882F11">
        <w:rPr>
          <w:rFonts w:cs="Guttman Drogolin"/>
          <w:rtl/>
          <w:lang w:bidi="he-IL"/>
        </w:rPr>
        <w:t xml:space="preserve"> </w:t>
      </w:r>
      <w:r w:rsidR="00C40970" w:rsidRPr="00882F11">
        <w:rPr>
          <w:rFonts w:cs="Guttman Drogolin" w:hint="cs"/>
          <w:rtl/>
          <w:lang w:bidi="he-IL"/>
        </w:rPr>
        <w:t>אוכל</w:t>
      </w:r>
      <w:r w:rsidR="00C40970" w:rsidRPr="00882F11">
        <w:rPr>
          <w:rFonts w:cs="Guttman Drogolin"/>
          <w:rtl/>
          <w:lang w:bidi="he-IL"/>
        </w:rPr>
        <w:t xml:space="preserve"> </w:t>
      </w:r>
      <w:r w:rsidR="00C40970" w:rsidRPr="00882F11">
        <w:rPr>
          <w:rFonts w:cs="Guttman Drogolin" w:hint="cs"/>
          <w:rtl/>
          <w:lang w:bidi="he-IL"/>
        </w:rPr>
        <w:t>על</w:t>
      </w:r>
      <w:r w:rsidR="00C40970" w:rsidRPr="00882F11">
        <w:rPr>
          <w:rFonts w:cs="Guttman Drogolin"/>
          <w:rtl/>
          <w:lang w:bidi="he-IL"/>
        </w:rPr>
        <w:t xml:space="preserve"> </w:t>
      </w:r>
      <w:r w:rsidR="00C40970" w:rsidRPr="00882F11">
        <w:rPr>
          <w:rFonts w:cs="Guttman Drogolin" w:hint="cs"/>
          <w:rtl/>
          <w:lang w:bidi="he-IL"/>
        </w:rPr>
        <w:t>מפה</w:t>
      </w:r>
      <w:r w:rsidR="00C40970" w:rsidRPr="00882F11">
        <w:rPr>
          <w:rFonts w:cs="Guttman Drogolin"/>
          <w:rtl/>
          <w:lang w:bidi="he-IL"/>
        </w:rPr>
        <w:t xml:space="preserve"> </w:t>
      </w:r>
      <w:r w:rsidR="00C40970" w:rsidRPr="00882F11">
        <w:rPr>
          <w:rFonts w:cs="Guttman Drogolin" w:hint="cs"/>
          <w:rtl/>
          <w:lang w:bidi="he-IL"/>
        </w:rPr>
        <w:t>אחרת</w:t>
      </w:r>
      <w:r w:rsidR="00C40970" w:rsidRPr="00882F11">
        <w:rPr>
          <w:rFonts w:cs="Guttman Drogolin"/>
          <w:rtl/>
          <w:lang w:bidi="he-IL"/>
        </w:rPr>
        <w:t xml:space="preserve"> </w:t>
      </w:r>
      <w:r w:rsidR="00C40970" w:rsidRPr="00882F11">
        <w:rPr>
          <w:rFonts w:cs="Guttman Drogolin" w:hint="cs"/>
          <w:rtl/>
          <w:lang w:bidi="he-IL"/>
        </w:rPr>
        <w:t>דהוי</w:t>
      </w:r>
      <w:r w:rsidR="00C40970" w:rsidRPr="00882F11">
        <w:rPr>
          <w:rFonts w:cs="Guttman Drogolin"/>
          <w:rtl/>
          <w:lang w:bidi="he-IL"/>
        </w:rPr>
        <w:t xml:space="preserve"> </w:t>
      </w:r>
      <w:r w:rsidR="00C40970" w:rsidRPr="00882F11">
        <w:rPr>
          <w:rFonts w:cs="Guttman Drogolin" w:hint="cs"/>
          <w:rtl/>
          <w:lang w:bidi="he-IL"/>
        </w:rPr>
        <w:t>כעין</w:t>
      </w:r>
      <w:r w:rsidR="00C40970" w:rsidRPr="00882F11">
        <w:rPr>
          <w:rFonts w:cs="Guttman Drogolin"/>
          <w:rtl/>
          <w:lang w:bidi="he-IL"/>
        </w:rPr>
        <w:t xml:space="preserve"> </w:t>
      </w:r>
      <w:r w:rsidR="00C40970" w:rsidRPr="00882F11">
        <w:rPr>
          <w:rFonts w:cs="Guttman Drogolin" w:hint="cs"/>
          <w:rtl/>
          <w:lang w:bidi="he-IL"/>
        </w:rPr>
        <w:t>שתי</w:t>
      </w:r>
      <w:r w:rsidR="00C40970" w:rsidRPr="00882F11">
        <w:rPr>
          <w:rFonts w:cs="Guttman Drogolin"/>
          <w:rtl/>
          <w:lang w:bidi="he-IL"/>
        </w:rPr>
        <w:t xml:space="preserve"> </w:t>
      </w:r>
      <w:r w:rsidR="00C40970" w:rsidRPr="00882F11">
        <w:rPr>
          <w:rFonts w:cs="Guttman Drogolin" w:hint="cs"/>
          <w:rtl/>
          <w:lang w:bidi="he-IL"/>
        </w:rPr>
        <w:t>תפיסות". ויל"ע מהו הענין של אכילה על מפה אחרת, האם הוא משום שגם זה נחשב היכר או משום שאין חשוב כעין תפיסה א' אפילו בלי היכר. ור"ל שהרי כל הענין הוא שלא יהא כעין תפיסה א', ואם יש רק דבר המפריד ביניהם צריך להיות שיש לו היכר ומ</w:t>
      </w:r>
      <w:r w:rsidR="000B4A44" w:rsidRPr="00882F11">
        <w:rPr>
          <w:rFonts w:cs="Guttman Drogolin" w:hint="cs"/>
          <w:rtl/>
          <w:lang w:bidi="he-IL"/>
        </w:rPr>
        <w:t>ן הטעמים שנת</w:t>
      </w:r>
      <w:r w:rsidR="00C40970" w:rsidRPr="00882F11">
        <w:rPr>
          <w:rFonts w:cs="Guttman Drogolin" w:hint="cs"/>
          <w:rtl/>
          <w:lang w:bidi="he-IL"/>
        </w:rPr>
        <w:t xml:space="preserve">בארו לעיל, אבל אם הוא במפה אחרת אולי זהו בעצם ב' </w:t>
      </w:r>
      <w:r w:rsidR="000B4A44" w:rsidRPr="00882F11">
        <w:rPr>
          <w:rFonts w:cs="Guttman Drogolin" w:hint="cs"/>
          <w:rtl/>
          <w:lang w:bidi="he-IL"/>
        </w:rPr>
        <w:t>ת</w:t>
      </w:r>
      <w:r w:rsidR="00C40970" w:rsidRPr="00882F11">
        <w:rPr>
          <w:rFonts w:cs="Guttman Drogolin" w:hint="cs"/>
          <w:rtl/>
          <w:lang w:bidi="he-IL"/>
        </w:rPr>
        <w:t xml:space="preserve">פיסות ולא כעין תפיסה אחרת. </w:t>
      </w:r>
      <w:r w:rsidR="003C273D">
        <w:rPr>
          <w:rFonts w:cs="Guttman Drogolin" w:hint="cs"/>
          <w:rtl/>
          <w:lang w:bidi="he-IL"/>
        </w:rPr>
        <w:t>וראיתי בס' סוגה בשושנים שח</w:t>
      </w:r>
      <w:r w:rsidR="000B4A44" w:rsidRPr="00882F11">
        <w:rPr>
          <w:rFonts w:cs="Guttman Drogolin" w:hint="cs"/>
          <w:rtl/>
          <w:lang w:bidi="he-IL"/>
        </w:rPr>
        <w:t>ק</w:t>
      </w:r>
      <w:r w:rsidR="003C273D">
        <w:rPr>
          <w:rFonts w:cs="Guttman Drogolin" w:hint="cs"/>
          <w:rtl/>
          <w:lang w:bidi="he-IL"/>
        </w:rPr>
        <w:t>ר</w:t>
      </w:r>
      <w:r w:rsidR="000B4A44" w:rsidRPr="00882F11">
        <w:rPr>
          <w:rFonts w:cs="Guttman Drogolin" w:hint="cs"/>
          <w:rtl/>
          <w:lang w:bidi="he-IL"/>
        </w:rPr>
        <w:t xml:space="preserve"> חקירה זו וכתב להוכיח דהוי ב' תפיסות בעצם משום דהא האו"ה כתב דבעינן בר גובה, ובב' מפות הרי ליכא גובה, וע"כ ההיתר מטעם אחר הוא. ולכאורה יש לחלק, דלא מיבעי אם הטעם של בר גובה משום שבדר"כ אינו ניכר אא"כ הוא בר גובה שי"ל שבמפות הרי הוא ניכר </w:t>
      </w:r>
      <w:r w:rsidR="000B4A44" w:rsidRPr="00882F11">
        <w:rPr>
          <w:rFonts w:cs="Guttman Drogolin" w:hint="cs"/>
          <w:rtl/>
          <w:lang w:bidi="he-IL"/>
        </w:rPr>
        <w:lastRenderedPageBreak/>
        <w:t xml:space="preserve">גם בלי זה, אלא אפילו אם הוא תנאי בהיכר שיהא בר גובה כדי להפריד, י"ל שאינו מספיק להריד אם כל ההפרדה הוא ע"י היכר שביניהם, אבל אם הוא ע"י זה כל א' אוכל במפה שלו שפיר י"ל שבעינן היכר אבל כה"ג לא בעינן בר גובה. ובמגילת ספר לסי' פ"ט ס"ק ד' רצה לומר שמלשון התוס' מוכח שהוא מדין היכר, ולדעתי אינו כן, רק ששניהם מטעם א' הם, ובזה י"ל שהוא שלא יהי' כעין תפיסה א', וזה יתכן או ע"י דבר המפריד שיש בה היכר, או"ד ע"י אכילה אמפה אחרת ובזה י"ל דלעולם לא בעינן היכר. ולכאורה אם הוי כב' תפיסות בעצם ולא משום שינוי והיכר נגעו בה, לכאורה יש להקל בב' מפות ובשר על א' מהם אפילו למי שאוכל בפני עצמו (וכמו שהעיר במגי"ס שם אלמלא דחי' הנ"ל). </w:t>
      </w:r>
      <w:r w:rsidR="001E25E1" w:rsidRPr="00882F11">
        <w:rPr>
          <w:rFonts w:cs="Guttman Drogolin" w:hint="cs"/>
          <w:rtl/>
          <w:lang w:bidi="he-IL"/>
        </w:rPr>
        <w:t>וכן יהי' נפק"מ אם תמיד אוכלים כל א' במפה שלו אם מספיק.</w:t>
      </w:r>
    </w:p>
    <w:p w:rsidR="002E4DD2" w:rsidRPr="00882F11" w:rsidRDefault="002E4DD2" w:rsidP="002E4DD2">
      <w:pPr>
        <w:bidi/>
        <w:jc w:val="both"/>
        <w:rPr>
          <w:rFonts w:cs="Guttman Drogolin"/>
          <w:rtl/>
          <w:lang w:bidi="he-IL"/>
        </w:rPr>
      </w:pPr>
      <w:r w:rsidRPr="00882F11">
        <w:rPr>
          <w:rFonts w:cs="Guttman Drogolin" w:hint="cs"/>
          <w:b/>
          <w:bCs/>
          <w:rtl/>
          <w:lang w:bidi="he-IL"/>
        </w:rPr>
        <w:t>רחוק א' מן השני</w:t>
      </w:r>
    </w:p>
    <w:p w:rsidR="002E4DD2" w:rsidRPr="00882F11" w:rsidRDefault="00DA6DFF" w:rsidP="00AD10F8">
      <w:pPr>
        <w:bidi/>
        <w:jc w:val="both"/>
        <w:rPr>
          <w:rFonts w:cs="Guttman Drogolin"/>
          <w:rtl/>
          <w:lang w:bidi="he-IL"/>
        </w:rPr>
      </w:pPr>
      <w:r>
        <w:rPr>
          <w:rFonts w:cs="Guttman Drogolin"/>
          <w:rtl/>
          <w:lang w:bidi="he-IL"/>
        </w:rPr>
        <w:fldChar w:fldCharType="begin"/>
      </w:r>
      <w:r>
        <w:instrText xml:space="preserve"> XE "</w:instrText>
      </w:r>
      <w:r w:rsidRPr="00BD2F08">
        <w:rPr>
          <w:rFonts w:hint="cs"/>
          <w:rtl/>
          <w:lang w:bidi="he-IL"/>
        </w:rPr>
        <w:instrText>בשר בחלב - איסור העלאה על שולחן א'</w:instrText>
      </w:r>
      <w:r w:rsidRPr="00BD2F08">
        <w:rPr>
          <w:rtl/>
        </w:rPr>
        <w:instrText>:</w:instrText>
      </w:r>
      <w:r w:rsidRPr="00BD2F08">
        <w:rPr>
          <w:rFonts w:hint="cs"/>
          <w:rtl/>
          <w:lang w:bidi="he-IL"/>
        </w:rPr>
        <w:instrText>כשרחוקים זה מזה</w:instrText>
      </w:r>
      <w:r>
        <w:instrText xml:space="preserve">" </w:instrText>
      </w:r>
      <w:r>
        <w:rPr>
          <w:rFonts w:cs="Guttman Drogolin"/>
          <w:rtl/>
          <w:lang w:bidi="he-IL"/>
        </w:rPr>
        <w:fldChar w:fldCharType="end"/>
      </w:r>
      <w:r w:rsidR="002E4DD2" w:rsidRPr="00882F11">
        <w:rPr>
          <w:rFonts w:cs="Guttman Drogolin" w:hint="cs"/>
          <w:rtl/>
          <w:lang w:bidi="he-IL"/>
        </w:rPr>
        <w:t>הנו"כ בשו"ע מביאים ממהרש"ל (הגהות הטור) שאם שניהם אוכלים רחוק א' מן השני בכדי שאין יכול לפשוט ידו וליטול מאוכל חבירו שרי לד"ה בלא היכירא. ונראה פשוט שההבנה בדבריו דכה"ג לא חשוב אוכלים על שולחן א', וכן סתם בפת"ש ס"ק ג' כדבריו. ומ"מ נראה שאפילו אם קרובים יותר מזה אבל אוכלים בב' שולחנות ג"כ חשוב כב' שולחנות. וגדר הדבר שהעיקר הוא שלא יאכלו על שולחן א', ולכן כל דהוי ב' שולחנות מותר. אבל סבר מהרש"ל שאפשר להחשיב ריחוק כזה ג"כ כב' שולחנות דומיא דהנהו העושים כב' תפיסות.</w:t>
      </w:r>
      <w:r w:rsidR="00AD10F8" w:rsidRPr="00882F11">
        <w:rPr>
          <w:rFonts w:cs="Guttman Drogolin" w:hint="cs"/>
          <w:rtl/>
          <w:lang w:bidi="he-IL"/>
        </w:rPr>
        <w:t xml:space="preserve"> ונראה פשוט שדבר זה מהני גם ביחיד, שאינו תלוי בדעות, וכן ראיתי בשו"ת תשובות והנהגות ח"א סי' תל"א, ובשם עצי העולה ס"ק א'. אמנם ע' בדה"ש ביאורים ד"ה עשו הסתפק בזה. </w:t>
      </w:r>
      <w:r w:rsidR="002E4DD2" w:rsidRPr="00882F11">
        <w:rPr>
          <w:rFonts w:cs="Guttman Drogolin" w:hint="cs"/>
          <w:rtl/>
          <w:lang w:bidi="he-IL"/>
        </w:rPr>
        <w:t xml:space="preserve"> </w:t>
      </w:r>
    </w:p>
    <w:p w:rsidR="00A34549" w:rsidRPr="00882F11" w:rsidRDefault="00A34549" w:rsidP="00497FC3">
      <w:pPr>
        <w:keepNext/>
        <w:bidi/>
        <w:jc w:val="both"/>
        <w:rPr>
          <w:rFonts w:cs="Guttman Drogolin"/>
          <w:b/>
          <w:bCs/>
          <w:rtl/>
          <w:lang w:bidi="he-IL"/>
        </w:rPr>
      </w:pPr>
      <w:r w:rsidRPr="00882F11">
        <w:rPr>
          <w:rFonts w:cs="Guttman Drogolin" w:hint="cs"/>
          <w:b/>
          <w:bCs/>
          <w:rtl/>
          <w:lang w:bidi="he-IL"/>
        </w:rPr>
        <w:t>אכילה בזמן שבקבוק של תינוק על השולחן, וכשיש בשר חי על השולחן</w:t>
      </w:r>
    </w:p>
    <w:p w:rsidR="00E24782" w:rsidRPr="00882F11" w:rsidRDefault="00A34549" w:rsidP="00655EB3">
      <w:pPr>
        <w:bidi/>
        <w:jc w:val="both"/>
        <w:rPr>
          <w:rFonts w:cs="Guttman Drogolin"/>
          <w:rtl/>
          <w:lang w:bidi="he-IL"/>
        </w:rPr>
      </w:pPr>
      <w:r w:rsidRPr="00882F11">
        <w:rPr>
          <w:rFonts w:cs="Guttman Drogolin" w:hint="cs"/>
          <w:rtl/>
          <w:lang w:bidi="he-IL"/>
        </w:rPr>
        <w:t xml:space="preserve">בגמ' מבואר שב' אחין ומקפידין מ"מ יש איסור העלאה משום לא פלוג. </w:t>
      </w:r>
      <w:r w:rsidR="001E25E1" w:rsidRPr="00882F11">
        <w:rPr>
          <w:rFonts w:cs="Guttman Drogolin" w:hint="cs"/>
          <w:rtl/>
          <w:lang w:bidi="he-IL"/>
        </w:rPr>
        <w:t xml:space="preserve">ומ"מ הנ"מ שלא אמרינן לא פלוג במכירין, אבל במאכלים איכא למימר דלא אמרינן לא פלוג. ולכן אם הוא אוכל שבדרך כלל אין אוכלין אותו (אע"פ שנאכל ע"י הדחק כמו </w:t>
      </w:r>
      <w:r w:rsidR="001E25E1" w:rsidRPr="00882F11">
        <w:rPr>
          <w:rFonts w:cs="Guttman Drogolin" w:hint="cs"/>
          <w:rtl/>
          <w:lang w:bidi="he-IL"/>
        </w:rPr>
        <w:lastRenderedPageBreak/>
        <w:t>בשר חי) י"ל שלא גזרו איסור העלאה. וכן ראיתי בשם עצי העולה ס"ק א'. אמנם אם הוא ראוי לאכילה אע"פ שהוא בתוך כלי שבדרך כלל אינו אוכל מכלי זה לכאורה לא מהני (וכן ראיתי בב</w:t>
      </w:r>
      <w:r w:rsidR="00655EB3" w:rsidRPr="00882F11">
        <w:rPr>
          <w:rFonts w:cs="Guttman Drogolin" w:hint="cs"/>
          <w:rtl/>
          <w:lang w:bidi="he-IL"/>
        </w:rPr>
        <w:t>ד</w:t>
      </w:r>
      <w:r w:rsidR="001E25E1" w:rsidRPr="00882F11">
        <w:rPr>
          <w:rFonts w:cs="Guttman Drogolin" w:hint="cs"/>
          <w:rtl/>
          <w:lang w:bidi="he-IL"/>
        </w:rPr>
        <w:t>י השולחן ס"ק ו' ובביאורים ד"ה על). ולכן אם יש בקבוק של תינוק על השולחן יהא תלוי בזה, שאם הוא מלא חלב יהי' אסור שיהא על השולחן</w:t>
      </w:r>
      <w:r w:rsidR="002E4DD2" w:rsidRPr="00882F11">
        <w:rPr>
          <w:rFonts w:cs="Guttman Drogolin" w:hint="cs"/>
          <w:rtl/>
          <w:lang w:bidi="he-IL"/>
        </w:rPr>
        <w:t xml:space="preserve"> (אא"כ רחוק </w:t>
      </w:r>
      <w:r w:rsidR="00AD10F8" w:rsidRPr="00882F11">
        <w:rPr>
          <w:rFonts w:cs="Guttman Drogolin" w:hint="cs"/>
          <w:rtl/>
          <w:lang w:bidi="he-IL"/>
        </w:rPr>
        <w:t>כדי שאין יכול לפשוט ידו וליטול וכנ"ל)</w:t>
      </w:r>
      <w:r w:rsidR="001E25E1" w:rsidRPr="00882F11">
        <w:rPr>
          <w:rFonts w:cs="Guttman Drogolin" w:hint="cs"/>
          <w:rtl/>
          <w:lang w:bidi="he-IL"/>
        </w:rPr>
        <w:t>, אבל אם הוא מלא מטרנה חלבי</w:t>
      </w:r>
      <w:r w:rsidR="00AD10F8" w:rsidRPr="00882F11">
        <w:rPr>
          <w:rFonts w:cs="Guttman Drogolin" w:hint="cs"/>
          <w:rtl/>
          <w:lang w:bidi="he-IL"/>
        </w:rPr>
        <w:t xml:space="preserve"> שאין אנשים </w:t>
      </w:r>
      <w:r w:rsidR="001E25E1" w:rsidRPr="00882F11">
        <w:rPr>
          <w:rFonts w:cs="Guttman Drogolin" w:hint="cs"/>
          <w:rtl/>
          <w:lang w:bidi="he-IL"/>
        </w:rPr>
        <w:t xml:space="preserve">גדולים אוכלים אותו יהא כמו בשר חי שמותר.  </w:t>
      </w:r>
    </w:p>
    <w:p w:rsidR="00E24782" w:rsidRPr="00882F11" w:rsidRDefault="00E24782" w:rsidP="00497FC3">
      <w:pPr>
        <w:keepNext/>
        <w:bidi/>
        <w:jc w:val="both"/>
        <w:rPr>
          <w:rFonts w:cs="Guttman Drogolin"/>
          <w:b/>
          <w:bCs/>
          <w:rtl/>
          <w:lang w:bidi="he-IL"/>
        </w:rPr>
      </w:pPr>
      <w:r w:rsidRPr="00882F11">
        <w:rPr>
          <w:rFonts w:cs="Guttman Drogolin" w:hint="cs"/>
          <w:b/>
          <w:bCs/>
          <w:rtl/>
          <w:lang w:bidi="he-IL"/>
        </w:rPr>
        <w:t>העלאה בשולחן שסודר עליו את התבשיל</w:t>
      </w:r>
    </w:p>
    <w:p w:rsidR="006E7CC5" w:rsidRPr="00882F11" w:rsidRDefault="00DA6DFF" w:rsidP="006E7CC5">
      <w:pPr>
        <w:bidi/>
        <w:jc w:val="both"/>
        <w:rPr>
          <w:rFonts w:cs="Guttman Drogolin"/>
          <w:rtl/>
          <w:lang w:bidi="he-IL"/>
        </w:rPr>
      </w:pPr>
      <w:r>
        <w:rPr>
          <w:rFonts w:cs="Guttman Drogolin"/>
          <w:rtl/>
          <w:lang w:bidi="he-IL"/>
        </w:rPr>
        <w:fldChar w:fldCharType="begin"/>
      </w:r>
      <w:r>
        <w:instrText xml:space="preserve"> XE "</w:instrText>
      </w:r>
      <w:r w:rsidRPr="00DB7E0A">
        <w:rPr>
          <w:rFonts w:hint="cs"/>
          <w:rtl/>
          <w:lang w:bidi="he-IL"/>
        </w:rPr>
        <w:instrText>בשר בחלב - איסור העלאה על שולחן א'</w:instrText>
      </w:r>
      <w:r w:rsidRPr="00DB7E0A">
        <w:rPr>
          <w:rtl/>
        </w:rPr>
        <w:instrText>:</w:instrText>
      </w:r>
      <w:r w:rsidRPr="00DB7E0A">
        <w:rPr>
          <w:rFonts w:hint="cs"/>
          <w:rtl/>
          <w:lang w:bidi="he-IL"/>
        </w:rPr>
        <w:instrText>בשולחן שסודר עליו</w:instrText>
      </w:r>
      <w:r>
        <w:instrText xml:space="preserve">" </w:instrText>
      </w:r>
      <w:r>
        <w:rPr>
          <w:rFonts w:cs="Guttman Drogolin"/>
          <w:rtl/>
          <w:lang w:bidi="he-IL"/>
        </w:rPr>
        <w:fldChar w:fldCharType="end"/>
      </w:r>
      <w:r w:rsidR="00E24782" w:rsidRPr="00882F11">
        <w:rPr>
          <w:rFonts w:cs="Guttman Drogolin" w:hint="cs"/>
          <w:rtl/>
          <w:lang w:bidi="he-IL"/>
        </w:rPr>
        <w:t xml:space="preserve">במתני' שבדף ק"ד ע"ב </w:t>
      </w:r>
      <w:r w:rsidR="006E7CC5" w:rsidRPr="00882F11">
        <w:rPr>
          <w:rFonts w:cs="Guttman Drogolin" w:hint="cs"/>
          <w:rtl/>
          <w:lang w:bidi="he-IL"/>
        </w:rPr>
        <w:t xml:space="preserve">איתא "אבל בשולחן שסודר עליו את התבשיל נותן זה בצד זה ואינו חושש". וכן הוא בשו"ע סי' פ"ח. ולכאורה נשאלת השאלה, דהא בסי' צ"ה סע' ו' החמיר הרמ"א שלכתחילה אין ליתן בתוך תיבה כד של בשר אצל כד של חלב. ולכאורה מאי שנא הכא שהרמ"א לא השיג </w:t>
      </w:r>
      <w:r w:rsidR="00655EB3" w:rsidRPr="00882F11">
        <w:rPr>
          <w:rFonts w:cs="Guttman Drogolin" w:hint="cs"/>
          <w:rtl/>
          <w:lang w:bidi="he-IL"/>
        </w:rPr>
        <w:t>שלכתחילה אין לעשות כן. ובאמת זה</w:t>
      </w:r>
      <w:r w:rsidR="006E7CC5" w:rsidRPr="00882F11">
        <w:rPr>
          <w:rFonts w:cs="Guttman Drogolin" w:hint="cs"/>
          <w:rtl/>
          <w:lang w:bidi="he-IL"/>
        </w:rPr>
        <w:t>ו קושיא על ההגות אשר"י שהוא מקור לברי הרמ"א שם שהוא לכאורה נ</w:t>
      </w:r>
      <w:r w:rsidR="00655EB3" w:rsidRPr="00882F11">
        <w:rPr>
          <w:rFonts w:cs="Guttman Drogolin" w:hint="cs"/>
          <w:rtl/>
          <w:lang w:bidi="he-IL"/>
        </w:rPr>
        <w:t>גד המתני' הנ"ל. וראיתי בהגהות יד</w:t>
      </w:r>
      <w:r w:rsidR="006E7CC5" w:rsidRPr="00882F11">
        <w:rPr>
          <w:rFonts w:cs="Guttman Drogolin" w:hint="cs"/>
          <w:rtl/>
          <w:lang w:bidi="he-IL"/>
        </w:rPr>
        <w:t xml:space="preserve"> אברהם בסי' פ"ח שכתב שלא התירו בשולחן שסודרים עליו אלא בכלים מכוסים, דאל"כ תיקשי כנ"ל (ע"ש בש"ך סי' צ"ה ס"ק כ"ד שהקיל אפילו לכתחילה במכוסים). וע"ש ביד אברהם שיש לזה מקור נמי מדברי השו"ע סי' קי"ח סע' י"א דאסור לכתחילה לבשל ב' קדירות א' של איסור וא' של היתר כשא' ליד השני משום חשש שמא יתזט ניצוצות מזה לזה.</w:t>
      </w:r>
    </w:p>
    <w:p w:rsidR="00B141C9" w:rsidRPr="00882F11" w:rsidRDefault="006E7CC5" w:rsidP="003C273D">
      <w:pPr>
        <w:bidi/>
        <w:jc w:val="both"/>
        <w:rPr>
          <w:rFonts w:cs="Guttman Drogolin"/>
          <w:rtl/>
          <w:lang w:bidi="he-IL"/>
        </w:rPr>
      </w:pPr>
      <w:r w:rsidRPr="00882F11">
        <w:rPr>
          <w:rFonts w:cs="Guttman Drogolin" w:hint="cs"/>
          <w:rtl/>
          <w:lang w:bidi="he-IL"/>
        </w:rPr>
        <w:t xml:space="preserve">ולולא דבריו הו"א שפי' זה דחוק טובא, והרי הוא עצמו הביא שהר"ן החמיר שלא יהיו נוגעים זה בזה, ומשמע שאם אין נוגעים מותר אע"פ שאינם מכוסים. ועוד דכיון שהדרך שיהיו המאכלים מגולים בשולחן שסודרים עליו, </w:t>
      </w:r>
      <w:r w:rsidR="00BE3E0D">
        <w:rPr>
          <w:rFonts w:cs="Guttman Drogolin" w:hint="cs"/>
          <w:rtl/>
          <w:lang w:bidi="he-IL"/>
        </w:rPr>
        <w:t>ל</w:t>
      </w:r>
      <w:r w:rsidRPr="00882F11">
        <w:rPr>
          <w:rFonts w:cs="Guttman Drogolin" w:hint="cs"/>
          <w:rtl/>
          <w:lang w:bidi="he-IL"/>
        </w:rPr>
        <w:t>א הו"ל למתני' למיסתם בזה אם אין היתר אלא במכוסים. ולכן נלעוק"ד תי' אחר בזה, והוא שיש לחלק בין מקום אי</w:t>
      </w:r>
      <w:r w:rsidR="003C273D">
        <w:rPr>
          <w:rFonts w:cs="Guttman Drogolin" w:hint="cs"/>
          <w:rtl/>
          <w:lang w:bidi="he-IL"/>
        </w:rPr>
        <w:t>כ</w:t>
      </w:r>
      <w:r w:rsidRPr="00882F11">
        <w:rPr>
          <w:rFonts w:cs="Guttman Drogolin" w:hint="cs"/>
          <w:rtl/>
          <w:lang w:bidi="he-IL"/>
        </w:rPr>
        <w:t xml:space="preserve">סון למקום שמסדרים עליו את המאכלים. שבמקום איכסון כיון שהוא שם זמן מרובה וכן אין דעתו עליו כל הזמן חששו יותר, משא"כ בשולחן שמסדרין עליו אם יקרה מקרה ישים לזה לב ולא </w:t>
      </w:r>
      <w:r w:rsidRPr="00882F11">
        <w:rPr>
          <w:rFonts w:cs="Guttman Drogolin" w:hint="cs"/>
          <w:rtl/>
          <w:lang w:bidi="he-IL"/>
        </w:rPr>
        <w:lastRenderedPageBreak/>
        <w:t>יבא לידי מכשול. וכן מבואר בביאור הגר"א שם בסי' צ"</w:t>
      </w:r>
      <w:r w:rsidR="00B141C9" w:rsidRPr="00882F11">
        <w:rPr>
          <w:rFonts w:cs="Guttman Drogolin" w:hint="cs"/>
          <w:rtl/>
          <w:lang w:bidi="he-IL"/>
        </w:rPr>
        <w:t>ה שבאקראי בעלמא מותר.</w:t>
      </w:r>
      <w:r w:rsidR="00E213EE" w:rsidRPr="00882F11">
        <w:rPr>
          <w:rFonts w:cs="Guttman Drogolin" w:hint="cs"/>
          <w:rtl/>
          <w:lang w:bidi="he-IL"/>
        </w:rPr>
        <w:t xml:space="preserve"> שו"ר שכ"כ בפר</w:t>
      </w:r>
      <w:r w:rsidR="00E213EE" w:rsidRPr="00882F11">
        <w:rPr>
          <w:rFonts w:cs="Guttman Drogolin"/>
          <w:rtl/>
          <w:lang w:bidi="he-IL"/>
        </w:rPr>
        <w:t>"</w:t>
      </w:r>
      <w:r w:rsidR="00E213EE" w:rsidRPr="00882F11">
        <w:rPr>
          <w:rFonts w:cs="Guttman Drogolin" w:hint="cs"/>
          <w:rtl/>
          <w:lang w:bidi="he-IL"/>
        </w:rPr>
        <w:t>ת</w:t>
      </w:r>
      <w:r w:rsidR="00E213EE" w:rsidRPr="00882F11">
        <w:rPr>
          <w:rFonts w:cs="Guttman Drogolin"/>
          <w:rtl/>
          <w:lang w:bidi="he-IL"/>
        </w:rPr>
        <w:t xml:space="preserve"> </w:t>
      </w:r>
      <w:r w:rsidR="00E213EE" w:rsidRPr="00882F11">
        <w:rPr>
          <w:rFonts w:cs="Guttman Drogolin" w:hint="cs"/>
          <w:rtl/>
          <w:lang w:bidi="he-IL"/>
        </w:rPr>
        <w:t>סי' צ"ה ס</w:t>
      </w:r>
      <w:r w:rsidR="00E213EE" w:rsidRPr="00882F11">
        <w:rPr>
          <w:rFonts w:cs="Guttman Drogolin"/>
          <w:rtl/>
          <w:lang w:bidi="he-IL"/>
        </w:rPr>
        <w:t>"</w:t>
      </w:r>
      <w:r w:rsidR="00E213EE" w:rsidRPr="00882F11">
        <w:rPr>
          <w:rFonts w:cs="Guttman Drogolin" w:hint="cs"/>
          <w:rtl/>
          <w:lang w:bidi="he-IL"/>
        </w:rPr>
        <w:t>ק</w:t>
      </w:r>
      <w:r w:rsidR="00E213EE" w:rsidRPr="00882F11">
        <w:rPr>
          <w:rFonts w:cs="Guttman Drogolin"/>
          <w:rtl/>
          <w:lang w:bidi="he-IL"/>
        </w:rPr>
        <w:t xml:space="preserve"> </w:t>
      </w:r>
      <w:r w:rsidR="00E213EE" w:rsidRPr="00882F11">
        <w:rPr>
          <w:rFonts w:cs="Guttman Drogolin" w:hint="cs"/>
          <w:rtl/>
          <w:lang w:bidi="he-IL"/>
        </w:rPr>
        <w:t>ז</w:t>
      </w:r>
      <w:r w:rsidR="00E213EE" w:rsidRPr="00882F11">
        <w:rPr>
          <w:rFonts w:cs="Guttman Drogolin"/>
          <w:rtl/>
          <w:lang w:bidi="he-IL"/>
        </w:rPr>
        <w:t xml:space="preserve">', </w:t>
      </w:r>
      <w:r w:rsidR="00E213EE" w:rsidRPr="00882F11">
        <w:rPr>
          <w:rFonts w:cs="Guttman Drogolin" w:hint="cs"/>
          <w:rtl/>
          <w:lang w:bidi="he-IL"/>
        </w:rPr>
        <w:t>וחדרי</w:t>
      </w:r>
      <w:r w:rsidR="00E213EE" w:rsidRPr="00882F11">
        <w:rPr>
          <w:rFonts w:cs="Guttman Drogolin"/>
          <w:rtl/>
          <w:lang w:bidi="he-IL"/>
        </w:rPr>
        <w:t xml:space="preserve"> </w:t>
      </w:r>
      <w:r w:rsidR="00E213EE" w:rsidRPr="00882F11">
        <w:rPr>
          <w:rFonts w:cs="Guttman Drogolin" w:hint="cs"/>
          <w:rtl/>
          <w:lang w:bidi="he-IL"/>
        </w:rPr>
        <w:t>דיעה</w:t>
      </w:r>
      <w:r w:rsidR="00E213EE" w:rsidRPr="00882F11">
        <w:rPr>
          <w:rFonts w:cs="Guttman Drogolin"/>
          <w:rtl/>
          <w:lang w:bidi="he-IL"/>
        </w:rPr>
        <w:t xml:space="preserve"> </w:t>
      </w:r>
      <w:r w:rsidR="00E213EE" w:rsidRPr="00882F11">
        <w:rPr>
          <w:rFonts w:cs="Guttman Drogolin" w:hint="cs"/>
          <w:rtl/>
          <w:lang w:bidi="he-IL"/>
        </w:rPr>
        <w:t>סי</w:t>
      </w:r>
      <w:r w:rsidR="00E213EE" w:rsidRPr="00882F11">
        <w:rPr>
          <w:rFonts w:cs="Guttman Drogolin"/>
          <w:rtl/>
          <w:lang w:bidi="he-IL"/>
        </w:rPr>
        <w:t xml:space="preserve">' </w:t>
      </w:r>
      <w:r w:rsidR="00E213EE" w:rsidRPr="00882F11">
        <w:rPr>
          <w:rFonts w:cs="Guttman Drogolin" w:hint="cs"/>
          <w:rtl/>
          <w:lang w:bidi="he-IL"/>
        </w:rPr>
        <w:t>צ</w:t>
      </w:r>
      <w:r w:rsidR="00E213EE" w:rsidRPr="00882F11">
        <w:rPr>
          <w:rFonts w:cs="Guttman Drogolin"/>
          <w:rtl/>
          <w:lang w:bidi="he-IL"/>
        </w:rPr>
        <w:t>"</w:t>
      </w:r>
      <w:r w:rsidR="00E213EE" w:rsidRPr="00882F11">
        <w:rPr>
          <w:rFonts w:cs="Guttman Drogolin" w:hint="cs"/>
          <w:rtl/>
          <w:lang w:bidi="he-IL"/>
        </w:rPr>
        <w:t>ה</w:t>
      </w:r>
      <w:r w:rsidR="00E213EE" w:rsidRPr="00882F11">
        <w:rPr>
          <w:rFonts w:cs="Guttman Drogolin"/>
          <w:rtl/>
          <w:lang w:bidi="he-IL"/>
        </w:rPr>
        <w:t xml:space="preserve"> </w:t>
      </w:r>
      <w:r w:rsidR="00E213EE" w:rsidRPr="00882F11">
        <w:rPr>
          <w:rFonts w:cs="Guttman Drogolin" w:hint="cs"/>
          <w:rtl/>
          <w:lang w:bidi="he-IL"/>
        </w:rPr>
        <w:t>סעי</w:t>
      </w:r>
      <w:r w:rsidR="00E213EE" w:rsidRPr="00882F11">
        <w:rPr>
          <w:rFonts w:cs="Guttman Drogolin"/>
          <w:rtl/>
          <w:lang w:bidi="he-IL"/>
        </w:rPr>
        <w:t xml:space="preserve">' </w:t>
      </w:r>
      <w:r w:rsidR="00E213EE" w:rsidRPr="00882F11">
        <w:rPr>
          <w:rFonts w:cs="Guttman Drogolin" w:hint="cs"/>
          <w:rtl/>
          <w:lang w:bidi="he-IL"/>
        </w:rPr>
        <w:t>ו</w:t>
      </w:r>
      <w:r w:rsidR="00E213EE" w:rsidRPr="00882F11">
        <w:rPr>
          <w:rFonts w:cs="Guttman Drogolin"/>
          <w:rtl/>
          <w:lang w:bidi="he-IL"/>
        </w:rPr>
        <w:t>'</w:t>
      </w:r>
      <w:r w:rsidR="00E213EE" w:rsidRPr="00882F11">
        <w:rPr>
          <w:rFonts w:cs="Guttman Drogolin" w:hint="cs"/>
          <w:rtl/>
          <w:lang w:bidi="he-IL"/>
        </w:rPr>
        <w:t>.</w:t>
      </w:r>
      <w:r w:rsidR="00E213EE" w:rsidRPr="00882F11">
        <w:rPr>
          <w:rFonts w:cs="Guttman Drogolin"/>
          <w:rtl/>
          <w:lang w:bidi="he-IL"/>
        </w:rPr>
        <w:t xml:space="preserve"> </w:t>
      </w:r>
      <w:r w:rsidR="00B141C9" w:rsidRPr="00882F11">
        <w:rPr>
          <w:rFonts w:cs="Guttman Drogolin" w:hint="cs"/>
          <w:rtl/>
          <w:lang w:bidi="he-IL"/>
        </w:rPr>
        <w:t xml:space="preserve"> </w:t>
      </w:r>
    </w:p>
    <w:p w:rsidR="00A34549" w:rsidRPr="00882F11" w:rsidRDefault="00B141C9" w:rsidP="00B141C9">
      <w:pPr>
        <w:bidi/>
        <w:jc w:val="both"/>
        <w:rPr>
          <w:rFonts w:cs="Guttman Drogolin"/>
          <w:rtl/>
          <w:lang w:bidi="he-IL"/>
        </w:rPr>
      </w:pPr>
      <w:r w:rsidRPr="00882F11">
        <w:rPr>
          <w:rFonts w:cs="Guttman Drogolin" w:hint="cs"/>
          <w:rtl/>
          <w:lang w:bidi="he-IL"/>
        </w:rPr>
        <w:t xml:space="preserve">ולענין מה שמבואר בסי' קי"ח נראה פשוט דהתם שאני שהוא בשעת בישול ולכן חוששין לניצוצות, משא"כ במקום שמסדרים עליו שאין לחוש לזה. </w:t>
      </w:r>
      <w:r w:rsidR="006E7CC5" w:rsidRPr="00882F11">
        <w:rPr>
          <w:rFonts w:cs="Guttman Drogolin" w:hint="cs"/>
          <w:rtl/>
          <w:lang w:bidi="he-IL"/>
        </w:rPr>
        <w:t xml:space="preserve">     </w:t>
      </w:r>
      <w:r w:rsidR="00A34549" w:rsidRPr="00882F11">
        <w:rPr>
          <w:rFonts w:cs="Guttman Drogolin" w:hint="cs"/>
          <w:rtl/>
          <w:lang w:bidi="he-IL"/>
        </w:rPr>
        <w:t xml:space="preserve"> </w:t>
      </w:r>
    </w:p>
    <w:p w:rsidR="00862F1D" w:rsidRPr="00882F11" w:rsidRDefault="00862F1D" w:rsidP="00862F1D">
      <w:pPr>
        <w:bidi/>
        <w:jc w:val="both"/>
        <w:rPr>
          <w:rFonts w:cs="Guttman Drogolin"/>
          <w:rtl/>
          <w:lang w:bidi="he-IL"/>
        </w:rPr>
      </w:pPr>
    </w:p>
    <w:p w:rsidR="00862F1D" w:rsidRPr="00882F11" w:rsidRDefault="00862F1D" w:rsidP="00862F1D">
      <w:pPr>
        <w:bidi/>
        <w:jc w:val="both"/>
        <w:rPr>
          <w:rFonts w:cs="Guttman Drogolin"/>
          <w:rtl/>
          <w:lang w:bidi="he-IL"/>
        </w:rPr>
        <w:sectPr w:rsidR="00862F1D" w:rsidRPr="00882F11" w:rsidSect="00662307">
          <w:type w:val="continuous"/>
          <w:pgSz w:w="11907" w:h="16839" w:code="9"/>
          <w:pgMar w:top="1440" w:right="1440" w:bottom="1440" w:left="1440" w:header="720" w:footer="720" w:gutter="0"/>
          <w:cols w:num="2" w:space="720"/>
          <w:bidi/>
          <w:docGrid w:linePitch="360"/>
        </w:sectPr>
      </w:pPr>
    </w:p>
    <w:p w:rsidR="00625193" w:rsidRPr="00882F11" w:rsidRDefault="00625193" w:rsidP="00625193">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מ"ד</w:t>
      </w:r>
    </w:p>
    <w:p w:rsidR="00662307" w:rsidRDefault="00662307" w:rsidP="0078079C">
      <w:pPr>
        <w:pStyle w:val="Heading1"/>
        <w:bidi/>
        <w:spacing w:before="0" w:line="360" w:lineRule="auto"/>
        <w:jc w:val="center"/>
        <w:rPr>
          <w:rFonts w:cs="Guttman Drogolin"/>
          <w:color w:val="auto"/>
          <w:sz w:val="24"/>
          <w:szCs w:val="24"/>
          <w:u w:val="single"/>
          <w:rtl/>
          <w:lang w:bidi="he-IL"/>
        </w:rPr>
        <w:sectPr w:rsidR="00662307" w:rsidSect="00662307">
          <w:headerReference w:type="default" r:id="rId38"/>
          <w:pgSz w:w="11907" w:h="16839" w:code="9"/>
          <w:pgMar w:top="1440" w:right="1440" w:bottom="1440" w:left="1440" w:header="720" w:footer="720" w:gutter="0"/>
          <w:cols w:space="720"/>
          <w:bidi/>
          <w:docGrid w:linePitch="360"/>
        </w:sectPr>
      </w:pPr>
    </w:p>
    <w:p w:rsidR="00625193" w:rsidRPr="0050025C" w:rsidRDefault="00625193" w:rsidP="0078079C">
      <w:pPr>
        <w:pStyle w:val="Heading1"/>
        <w:bidi/>
        <w:spacing w:before="0" w:line="360" w:lineRule="auto"/>
        <w:jc w:val="center"/>
        <w:rPr>
          <w:rFonts w:cs="Guttman Drogolin"/>
          <w:color w:val="auto"/>
          <w:sz w:val="22"/>
          <w:szCs w:val="22"/>
          <w:u w:val="single"/>
          <w:rtl/>
          <w:lang w:bidi="he-IL"/>
        </w:rPr>
      </w:pPr>
      <w:bookmarkStart w:id="159" w:name="_Toc496175416"/>
      <w:r w:rsidRPr="0050025C">
        <w:rPr>
          <w:rFonts w:cs="Guttman Drogolin" w:hint="cs"/>
          <w:color w:val="auto"/>
          <w:sz w:val="22"/>
          <w:szCs w:val="22"/>
          <w:u w:val="single"/>
          <w:rtl/>
          <w:lang w:bidi="he-IL"/>
        </w:rPr>
        <w:lastRenderedPageBreak/>
        <w:t>השיטות וההלכה בחיוב המתנה בין בשר לחלב</w:t>
      </w:r>
      <w:bookmarkEnd w:id="159"/>
    </w:p>
    <w:p w:rsidR="00C72130" w:rsidRPr="00882F11" w:rsidRDefault="0050025C" w:rsidP="00625193">
      <w:pPr>
        <w:bidi/>
        <w:jc w:val="both"/>
        <w:rPr>
          <w:rFonts w:cs="Guttman Drogolin"/>
          <w:rtl/>
          <w:lang w:bidi="he-IL"/>
        </w:rPr>
      </w:pPr>
      <w:r>
        <w:rPr>
          <w:rFonts w:cs="Guttman Drogolin"/>
          <w:rtl/>
          <w:lang w:bidi="he-IL"/>
        </w:rPr>
        <w:fldChar w:fldCharType="begin"/>
      </w:r>
      <w:r>
        <w:instrText xml:space="preserve"> XE "</w:instrText>
      </w:r>
      <w:r w:rsidRPr="00411878">
        <w:rPr>
          <w:rFonts w:hint="cs"/>
          <w:rtl/>
          <w:lang w:bidi="he-IL"/>
        </w:rPr>
        <w:instrText>בשר בחלב - חיוב המתנה</w:instrText>
      </w:r>
      <w:r w:rsidRPr="00411878">
        <w:rPr>
          <w:rtl/>
        </w:rPr>
        <w:instrText>:</w:instrText>
      </w:r>
      <w:r w:rsidRPr="00411878">
        <w:rPr>
          <w:rFonts w:hint="cs"/>
          <w:rtl/>
          <w:lang w:bidi="he-IL"/>
        </w:rPr>
        <w:instrText>השיטות בקצרה</w:instrText>
      </w:r>
      <w:r>
        <w:instrText xml:space="preserve">" </w:instrText>
      </w:r>
      <w:r>
        <w:rPr>
          <w:rFonts w:cs="Guttman Drogolin"/>
          <w:rtl/>
          <w:lang w:bidi="he-IL"/>
        </w:rPr>
        <w:fldChar w:fldCharType="end"/>
      </w:r>
      <w:r w:rsidR="00625193" w:rsidRPr="00882F11">
        <w:rPr>
          <w:rFonts w:cs="Guttman Drogolin" w:hint="cs"/>
          <w:rtl/>
          <w:lang w:bidi="he-IL"/>
        </w:rPr>
        <w:t>קודם שנבאר את הדין למעשה בדין המתנה בין בשר לחלק נביא שוב בקיצור את השיטות הידועות לנו בדין בזה.</w:t>
      </w:r>
    </w:p>
    <w:p w:rsidR="00C72130" w:rsidRPr="00882F11" w:rsidRDefault="00C72130" w:rsidP="00662307">
      <w:pPr>
        <w:pStyle w:val="ListParagraph"/>
        <w:numPr>
          <w:ilvl w:val="0"/>
          <w:numId w:val="8"/>
        </w:numPr>
        <w:bidi/>
        <w:ind w:left="13" w:firstLine="0"/>
        <w:jc w:val="both"/>
        <w:rPr>
          <w:rFonts w:cs="Guttman Drogolin"/>
          <w:lang w:bidi="he-IL"/>
        </w:rPr>
      </w:pPr>
      <w:r w:rsidRPr="00882F11">
        <w:rPr>
          <w:rFonts w:cs="Guttman Drogolin" w:hint="cs"/>
          <w:rtl/>
          <w:lang w:bidi="he-IL"/>
        </w:rPr>
        <w:t>ר"ת והבה"ג סברי שלהד"מ וליכא שוב חיוב להמתין בין בשר לגבינה. והתוס' הסתפקו אם אין זמן המתנה בכלל וכל מה שעשה מר עוקבא היתה לחומרא בעלמא, או"ד שהמתנה מהני כדי שלא יצטרך לעשות קינוח והדחה.</w:t>
      </w:r>
    </w:p>
    <w:p w:rsidR="009C689F" w:rsidRPr="00882F11" w:rsidRDefault="00C72130" w:rsidP="00662307">
      <w:pPr>
        <w:pStyle w:val="ListParagraph"/>
        <w:numPr>
          <w:ilvl w:val="0"/>
          <w:numId w:val="8"/>
        </w:numPr>
        <w:bidi/>
        <w:ind w:left="13" w:firstLine="0"/>
        <w:jc w:val="both"/>
        <w:rPr>
          <w:rFonts w:cs="Guttman Drogolin"/>
          <w:lang w:bidi="he-IL"/>
        </w:rPr>
      </w:pPr>
      <w:r w:rsidRPr="00882F11">
        <w:rPr>
          <w:rFonts w:cs="Guttman Drogolin" w:hint="cs"/>
          <w:rtl/>
          <w:lang w:bidi="he-IL"/>
        </w:rPr>
        <w:t>הדעה הראשונה בתוס' סוברים שיש חיוב המתנה בין בשר לגבינה ולא מבשר עוף לגבינה. אמנם גם לשיטתו אין חיוב אלא לסלק את השולחן ולברך וכדמבואר מדבריהם שבדף ק"</w:t>
      </w:r>
      <w:r w:rsidR="008C0D7F" w:rsidRPr="00882F11">
        <w:rPr>
          <w:rFonts w:cs="Guttman Drogolin" w:hint="cs"/>
          <w:rtl/>
          <w:lang w:bidi="he-IL"/>
        </w:rPr>
        <w:t>ה</w:t>
      </w:r>
      <w:r w:rsidRPr="00882F11">
        <w:rPr>
          <w:rFonts w:cs="Guttman Drogolin" w:hint="cs"/>
          <w:rtl/>
          <w:lang w:bidi="he-IL"/>
        </w:rPr>
        <w:t xml:space="preserve"> ע"א ד"ה</w:t>
      </w:r>
      <w:r w:rsidR="008C0D7F" w:rsidRPr="00882F11">
        <w:rPr>
          <w:rFonts w:cs="Guttman Drogolin" w:hint="cs"/>
          <w:rtl/>
          <w:lang w:bidi="he-IL"/>
        </w:rPr>
        <w:t xml:space="preserve"> לסעודתא, שכפשוטו דבריו מוסבים על התי' הראשון של תוס'</w:t>
      </w:r>
      <w:r w:rsidR="008C0D7F" w:rsidRPr="00882F11">
        <w:rPr>
          <w:rStyle w:val="FootnoteReference"/>
          <w:rFonts w:cs="Guttman Drogolin"/>
          <w:rtl/>
          <w:lang w:bidi="he-IL"/>
        </w:rPr>
        <w:footnoteReference w:id="185"/>
      </w:r>
      <w:r w:rsidR="008C0D7F" w:rsidRPr="00882F11">
        <w:rPr>
          <w:rFonts w:cs="Guttman Drogolin" w:hint="cs"/>
          <w:rtl/>
          <w:lang w:bidi="he-IL"/>
        </w:rPr>
        <w:t xml:space="preserve">. </w:t>
      </w:r>
      <w:r w:rsidR="009C689F" w:rsidRPr="00882F11">
        <w:rPr>
          <w:rFonts w:cs="Guttman Drogolin" w:hint="cs"/>
          <w:rtl/>
          <w:lang w:bidi="he-IL"/>
        </w:rPr>
        <w:t>ואמרנו שהביאור בשיטה זו יכול להיות משום א' מב' טעמים, או משום שבדר"כ בין סעודה לסעודה מוציא השומן הדבוק כיון שבדרך כלל עובר מספיק זמן להעביר אותו, ומ"מ קבעו הדין בסעודה אחריתי אפילו אם הוא מיד, או"ד משום שהגדר של האיסור היתה לאכלו בסעודה אחת, ולכן עד כמה שעושה כן בסעודה אחריתי לא החמירו. ומ"מ נראה להדגיש שאפילו לפי הצד השני הזה, פשוט שהוא ביחד עם זה שהשומן נדבק בפיו, וכדמוכח:</w:t>
      </w:r>
    </w:p>
    <w:p w:rsidR="009C689F" w:rsidRPr="00882F11" w:rsidRDefault="009C689F" w:rsidP="00662307">
      <w:pPr>
        <w:pStyle w:val="ListParagraph"/>
        <w:numPr>
          <w:ilvl w:val="1"/>
          <w:numId w:val="8"/>
        </w:numPr>
        <w:bidi/>
        <w:ind w:left="373" w:right="810"/>
        <w:jc w:val="both"/>
        <w:rPr>
          <w:rFonts w:cs="Guttman Drogolin"/>
          <w:lang w:bidi="he-IL"/>
        </w:rPr>
      </w:pPr>
      <w:r w:rsidRPr="00882F11">
        <w:rPr>
          <w:rFonts w:cs="Guttman Drogolin" w:hint="cs"/>
          <w:rtl/>
          <w:lang w:bidi="he-IL"/>
        </w:rPr>
        <w:t>מזה שחילקו בין בשר קודם לגבינה קודם.</w:t>
      </w:r>
    </w:p>
    <w:p w:rsidR="009C689F" w:rsidRPr="00882F11" w:rsidRDefault="009C689F" w:rsidP="00662307">
      <w:pPr>
        <w:pStyle w:val="ListParagraph"/>
        <w:numPr>
          <w:ilvl w:val="1"/>
          <w:numId w:val="8"/>
        </w:numPr>
        <w:bidi/>
        <w:ind w:left="373" w:right="810"/>
        <w:jc w:val="both"/>
        <w:rPr>
          <w:rFonts w:cs="Guttman Drogolin"/>
          <w:lang w:bidi="he-IL"/>
        </w:rPr>
      </w:pPr>
      <w:r w:rsidRPr="00882F11">
        <w:rPr>
          <w:rFonts w:cs="Guttman Drogolin" w:hint="cs"/>
          <w:rtl/>
          <w:lang w:bidi="he-IL"/>
        </w:rPr>
        <w:t>מזה שהקשו מדין המתנה לדין קו"ה ונט"י (וכמש"כ בשיעור הקודם).</w:t>
      </w:r>
    </w:p>
    <w:p w:rsidR="009C689F" w:rsidRPr="00882F11" w:rsidRDefault="009C689F" w:rsidP="00662307">
      <w:pPr>
        <w:pStyle w:val="ListParagraph"/>
        <w:numPr>
          <w:ilvl w:val="1"/>
          <w:numId w:val="8"/>
        </w:numPr>
        <w:bidi/>
        <w:ind w:left="373" w:right="810"/>
        <w:jc w:val="both"/>
        <w:rPr>
          <w:rFonts w:cs="Guttman Drogolin"/>
          <w:lang w:bidi="he-IL"/>
        </w:rPr>
      </w:pPr>
      <w:r w:rsidRPr="00882F11">
        <w:rPr>
          <w:rFonts w:cs="Guttman Drogolin" w:hint="cs"/>
          <w:rtl/>
          <w:lang w:bidi="he-IL"/>
        </w:rPr>
        <w:t>שלר"ת יש צד דמהני במקום קו"ה.</w:t>
      </w:r>
    </w:p>
    <w:p w:rsidR="009C689F" w:rsidRPr="00882F11" w:rsidRDefault="009C689F" w:rsidP="00662307">
      <w:pPr>
        <w:bidi/>
        <w:ind w:left="13"/>
        <w:jc w:val="both"/>
        <w:rPr>
          <w:rFonts w:cs="Guttman Drogolin"/>
          <w:rtl/>
          <w:lang w:bidi="he-IL"/>
        </w:rPr>
      </w:pPr>
      <w:r w:rsidRPr="00882F11">
        <w:rPr>
          <w:rFonts w:cs="Guttman Drogolin" w:hint="cs"/>
          <w:rtl/>
          <w:lang w:bidi="he-IL"/>
        </w:rPr>
        <w:t>ולכן גדר הדברים היא שאם ליכא שומן נדבק לא נראה כאוכלם ביחד כלל, אבל אפילו אם נדבק לא אסרוהו אא"כ הוא בסעודה אחרת, דרק כה"ג מיחזי כאוכל בשר בחלב.</w:t>
      </w:r>
      <w:r w:rsidR="00FA6C0B" w:rsidRPr="00882F11">
        <w:rPr>
          <w:rFonts w:cs="Guttman Drogolin" w:hint="cs"/>
          <w:rtl/>
          <w:lang w:bidi="he-IL"/>
        </w:rPr>
        <w:t xml:space="preserve"> וכל זה הוא ביאור בדברי הגמ', אבל התוס' הרי כתבו שנהגו שלא </w:t>
      </w:r>
      <w:r w:rsidR="00FA6C0B" w:rsidRPr="00882F11">
        <w:rPr>
          <w:rFonts w:cs="Guttman Drogolin" w:hint="cs"/>
          <w:rtl/>
          <w:lang w:bidi="he-IL"/>
        </w:rPr>
        <w:lastRenderedPageBreak/>
        <w:t>לאכול גבינה אפילו אחר בשר עוף ומשום שהגמ' כמ"ד בשר עוף בגבינה לאו דאורייתא וקיי"ל דהוי דאו'.</w:t>
      </w:r>
      <w:r w:rsidRPr="00882F11">
        <w:rPr>
          <w:rFonts w:cs="Guttman Drogolin" w:hint="cs"/>
          <w:rtl/>
          <w:lang w:bidi="he-IL"/>
        </w:rPr>
        <w:t xml:space="preserve"> </w:t>
      </w:r>
    </w:p>
    <w:p w:rsidR="00663128" w:rsidRPr="00882F11" w:rsidRDefault="009C689F" w:rsidP="00662307">
      <w:pPr>
        <w:pStyle w:val="ListParagraph"/>
        <w:numPr>
          <w:ilvl w:val="0"/>
          <w:numId w:val="9"/>
        </w:numPr>
        <w:bidi/>
        <w:ind w:left="13" w:firstLine="0"/>
        <w:jc w:val="both"/>
        <w:rPr>
          <w:rFonts w:cs="Guttman Drogolin"/>
          <w:lang w:bidi="he-IL"/>
        </w:rPr>
      </w:pPr>
      <w:r w:rsidRPr="00882F11">
        <w:rPr>
          <w:rFonts w:cs="Guttman Drogolin" w:hint="cs"/>
          <w:rtl/>
          <w:lang w:bidi="he-IL"/>
        </w:rPr>
        <w:t xml:space="preserve">שיטת רש"י שהוא משום שהשומן נדבק בפה, וכמעט מפורש ברש"י דלא סבר כר"ת שהרי </w:t>
      </w:r>
      <w:r w:rsidR="00FA6C0B" w:rsidRPr="00882F11">
        <w:rPr>
          <w:rFonts w:cs="Guttman Drogolin" w:hint="cs"/>
          <w:rtl/>
          <w:lang w:bidi="he-IL"/>
        </w:rPr>
        <w:t xml:space="preserve">בדף ק"ה ע"א ד"ה אין קינוח הפה </w:t>
      </w:r>
      <w:r w:rsidRPr="00882F11">
        <w:rPr>
          <w:rFonts w:cs="Guttman Drogolin" w:hint="cs"/>
          <w:rtl/>
          <w:lang w:bidi="he-IL"/>
        </w:rPr>
        <w:t xml:space="preserve">פי' </w:t>
      </w:r>
      <w:r w:rsidR="00FA6C0B" w:rsidRPr="00882F11">
        <w:rPr>
          <w:rFonts w:cs="Guttman Drogolin" w:hint="cs"/>
          <w:rtl/>
          <w:lang w:bidi="he-IL"/>
        </w:rPr>
        <w:t>ש</w:t>
      </w:r>
      <w:r w:rsidRPr="00882F11">
        <w:rPr>
          <w:rFonts w:cs="Guttman Drogolin" w:hint="cs"/>
          <w:rtl/>
          <w:lang w:bidi="he-IL"/>
        </w:rPr>
        <w:t>הדין</w:t>
      </w:r>
      <w:r w:rsidR="00FA6C0B" w:rsidRPr="00882F11">
        <w:rPr>
          <w:rFonts w:cs="Guttman Drogolin" w:hint="cs"/>
          <w:rtl/>
          <w:lang w:bidi="he-IL"/>
        </w:rPr>
        <w:t xml:space="preserve"> של קינוח הפה נוגע להכשיר לאכול בשר אחר גבינה, ואילו לר"ת מפורש בגמ' שאינו צריך בבשר אחר גבינה. אמנם י"ל דסבר כתי' הראשון של התוס'. ואינו מפורש לשיטתו אם השיעור זמן שבין סעודה לסעודה הוא כמש"כ התוס' </w:t>
      </w:r>
      <w:r w:rsidR="00663128" w:rsidRPr="00882F11">
        <w:rPr>
          <w:rFonts w:cs="Guttman Drogolin" w:hint="cs"/>
          <w:rtl/>
          <w:lang w:bidi="he-IL"/>
        </w:rPr>
        <w:t>או"ד כדעת הרמב"ם שבסמוך.</w:t>
      </w:r>
    </w:p>
    <w:p w:rsidR="005C1C2A" w:rsidRPr="00882F11" w:rsidRDefault="00663128" w:rsidP="00662307">
      <w:pPr>
        <w:pStyle w:val="ListParagraph"/>
        <w:numPr>
          <w:ilvl w:val="0"/>
          <w:numId w:val="9"/>
        </w:numPr>
        <w:bidi/>
        <w:ind w:left="13" w:firstLine="0"/>
        <w:jc w:val="both"/>
        <w:rPr>
          <w:rFonts w:cs="Guttman Drogolin"/>
          <w:lang w:bidi="he-IL"/>
        </w:rPr>
      </w:pPr>
      <w:r w:rsidRPr="00882F11">
        <w:rPr>
          <w:rFonts w:cs="Guttman Drogolin" w:hint="cs"/>
          <w:rtl/>
          <w:lang w:bidi="he-IL"/>
        </w:rPr>
        <w:t xml:space="preserve">שיטת הרי"ף </w:t>
      </w:r>
      <w:r w:rsidR="001942A4" w:rsidRPr="00882F11">
        <w:rPr>
          <w:rFonts w:cs="Guttman Drogolin" w:hint="cs"/>
          <w:rtl/>
          <w:lang w:bidi="he-IL"/>
        </w:rPr>
        <w:t>והרמב"ם שזמן ההמתנה</w:t>
      </w:r>
      <w:r w:rsidRPr="00882F11">
        <w:rPr>
          <w:rFonts w:cs="Guttman Drogolin" w:hint="cs"/>
          <w:rtl/>
          <w:lang w:bidi="he-IL"/>
        </w:rPr>
        <w:t xml:space="preserve"> בין בשר </w:t>
      </w:r>
      <w:r w:rsidR="001942A4" w:rsidRPr="00882F11">
        <w:rPr>
          <w:rFonts w:cs="Guttman Drogolin" w:hint="cs"/>
          <w:rtl/>
          <w:lang w:bidi="he-IL"/>
        </w:rPr>
        <w:t>לגבינה הוא כשיעור שבין סעודה לסעודה ולא סגי בסילק ובירך. והרמב"ם הוסיף לבאר לנו שזמן זה הוא כמו שש שעות. ועוד החמיר הרמב"ם לומר שאפילו אחרי אכילת עוף חייזים להמתין שיעור זה, ומשו"ה</w:t>
      </w:r>
      <w:r w:rsidR="001942A4" w:rsidRPr="00882F11">
        <w:rPr>
          <w:rStyle w:val="FootnoteReference"/>
          <w:rFonts w:cs="Guttman Drogolin"/>
          <w:rtl/>
          <w:lang w:bidi="he-IL"/>
        </w:rPr>
        <w:footnoteReference w:id="186"/>
      </w:r>
      <w:r w:rsidR="001942A4" w:rsidRPr="00882F11">
        <w:rPr>
          <w:rFonts w:cs="Guttman Drogolin" w:hint="cs"/>
          <w:rtl/>
          <w:lang w:bidi="he-IL"/>
        </w:rPr>
        <w:t xml:space="preserve"> פי' הא דעוף וגבינה נאכלין באפיקורן באכל גבינה ואח"כ עוף.</w:t>
      </w:r>
      <w:r w:rsidR="005C1C2A" w:rsidRPr="00882F11">
        <w:rPr>
          <w:rFonts w:cs="Guttman Drogolin" w:hint="cs"/>
          <w:rtl/>
          <w:lang w:bidi="he-IL"/>
        </w:rPr>
        <w:t xml:space="preserve"> ועוד מבואר ברמב"ם שהטעם שצריך להמתין אינו משום שהשומן נדבק בחיך וכמו שפי' רש"י אלא משום בשר בין השיניים.</w:t>
      </w:r>
    </w:p>
    <w:p w:rsidR="00173948" w:rsidRPr="00882F11" w:rsidRDefault="005C1C2A" w:rsidP="00173948">
      <w:pPr>
        <w:tabs>
          <w:tab w:val="right" w:pos="9027"/>
        </w:tabs>
        <w:bidi/>
        <w:jc w:val="both"/>
        <w:rPr>
          <w:rFonts w:cs="Guttman Drogolin"/>
          <w:rtl/>
          <w:lang w:bidi="he-IL"/>
        </w:rPr>
      </w:pPr>
      <w:r w:rsidRPr="00882F11">
        <w:rPr>
          <w:rFonts w:cs="Guttman Drogolin" w:hint="cs"/>
          <w:rtl/>
          <w:lang w:bidi="he-IL"/>
        </w:rPr>
        <w:t>לדינא</w:t>
      </w:r>
      <w:r w:rsidR="001942A4" w:rsidRPr="00882F11">
        <w:rPr>
          <w:rFonts w:cs="Guttman Drogolin" w:hint="cs"/>
          <w:rtl/>
          <w:lang w:bidi="he-IL"/>
        </w:rPr>
        <w:t xml:space="preserve"> </w:t>
      </w:r>
      <w:r w:rsidRPr="00882F11">
        <w:rPr>
          <w:rFonts w:cs="Guttman Drogolin" w:hint="cs"/>
          <w:rtl/>
          <w:lang w:bidi="he-IL"/>
        </w:rPr>
        <w:t>הטור הביא המחלוקת דבין רש"י לרמב"ם בטעם האיסור והנפק"מ ביניהם, ושיש להחמיר בכ' הטעמים. וסתם שזמן ההמתנה הוא שש שעות גם אליבא דרש"י</w:t>
      </w:r>
      <w:r w:rsidR="00560916" w:rsidRPr="00882F11">
        <w:rPr>
          <w:rFonts w:cs="Guttman Drogolin" w:hint="cs"/>
          <w:rtl/>
          <w:lang w:bidi="he-IL"/>
        </w:rPr>
        <w:t xml:space="preserve"> (ולא הביא פי' התוס' בבין סעודה לסעודה כלל)</w:t>
      </w:r>
      <w:r w:rsidRPr="00882F11">
        <w:rPr>
          <w:rFonts w:cs="Guttman Drogolin" w:hint="cs"/>
          <w:rtl/>
          <w:lang w:bidi="he-IL"/>
        </w:rPr>
        <w:t>.</w:t>
      </w:r>
      <w:r w:rsidR="00560916" w:rsidRPr="00882F11">
        <w:rPr>
          <w:rFonts w:cs="Guttman Drogolin" w:hint="cs"/>
          <w:rtl/>
          <w:lang w:bidi="he-IL"/>
        </w:rPr>
        <w:t xml:space="preserve"> </w:t>
      </w:r>
      <w:r w:rsidR="000B716E" w:rsidRPr="00882F11">
        <w:rPr>
          <w:rFonts w:cs="Guttman Drogolin" w:hint="cs"/>
          <w:rtl/>
          <w:lang w:bidi="he-IL"/>
        </w:rPr>
        <w:t>ובסוף דבריו הביא שיטת ר"ת ובה"ג שאין חיוב המתנה כלל והסיק בשם הרא"ש שנוהגים להמתין בין אחרי אכילת בשר ובין אחרי אכילת עוף</w:t>
      </w:r>
      <w:r w:rsidR="00625256" w:rsidRPr="00882F11">
        <w:rPr>
          <w:rFonts w:cs="Guttman Drogolin" w:hint="cs"/>
          <w:rtl/>
          <w:lang w:bidi="he-IL"/>
        </w:rPr>
        <w:t>, והביא שכ"כ גם ראבי"ה</w:t>
      </w:r>
      <w:r w:rsidR="000B716E" w:rsidRPr="00882F11">
        <w:rPr>
          <w:rFonts w:cs="Guttman Drogolin" w:hint="cs"/>
          <w:rtl/>
          <w:lang w:bidi="he-IL"/>
        </w:rPr>
        <w:t xml:space="preserve">. ובדרכ"מ </w:t>
      </w:r>
      <w:r w:rsidR="00F7794B" w:rsidRPr="00882F11">
        <w:rPr>
          <w:rFonts w:cs="Guttman Drogolin" w:hint="cs"/>
          <w:rtl/>
          <w:lang w:bidi="he-IL"/>
        </w:rPr>
        <w:t>הארוך הביא שיטת התוס' שאינו צורך שיעור דכבין סעודה לסעודה ובסילק ובירך סגי</w:t>
      </w:r>
      <w:r w:rsidR="00625256" w:rsidRPr="00882F11">
        <w:rPr>
          <w:rFonts w:cs="Guttman Drogolin" w:hint="cs"/>
          <w:rtl/>
          <w:lang w:bidi="he-IL"/>
        </w:rPr>
        <w:t xml:space="preserve">. ולאחר מכן הביא משערי דורא (סי' ע"ו ס"ק ב') וכן כה"ג מאו"ה הארוך (כלל מ' דין ד' </w:t>
      </w:r>
      <w:r w:rsidR="00625256" w:rsidRPr="00882F11">
        <w:rPr>
          <w:rFonts w:cs="Guttman Drogolin"/>
          <w:rtl/>
          <w:lang w:bidi="he-IL"/>
        </w:rPr>
        <w:t>–</w:t>
      </w:r>
      <w:r w:rsidR="00625256" w:rsidRPr="00882F11">
        <w:rPr>
          <w:rFonts w:cs="Guttman Drogolin" w:hint="cs"/>
          <w:rtl/>
          <w:lang w:bidi="he-IL"/>
        </w:rPr>
        <w:t xml:space="preserve"> ז') שרבים </w:t>
      </w:r>
      <w:r w:rsidR="00625256" w:rsidRPr="00882F11">
        <w:rPr>
          <w:rFonts w:cs="Guttman Drogolin" w:hint="cs"/>
          <w:rtl/>
          <w:lang w:bidi="he-IL"/>
        </w:rPr>
        <w:lastRenderedPageBreak/>
        <w:t xml:space="preserve">נוהגים להקל ועושים פשרה מדעתם להמתין שעה א' אחר סעודת בשר עם סילוק ובהמ"ז ואז אוכלים גבינה, וכתב השערי כלפי מנהג זה שאמנם אין לנו מקור להנהגה זו אי אפשר למחות כיון שהדבר מותר לשיטת התוס'. </w:t>
      </w:r>
      <w:r w:rsidR="00B02A37" w:rsidRPr="00882F11">
        <w:rPr>
          <w:rFonts w:cs="Guttman Drogolin" w:hint="cs"/>
          <w:rtl/>
          <w:lang w:bidi="he-IL"/>
        </w:rPr>
        <w:t>ולכאורה צ"ע דמשמע דזה שמקילין כשיטת התוס' אינו אלא יישוב למנהג העולם אבל לכחתילה לא היינו מורים כן. ולכאורה צ"ע למה לא, הא אין כאן אלא איסור דרבנן והי' לנו לומר שספק מחלוקת הפוסקים בדרבנן להקל. ומדברי הט"ז נראה שהוא משום שבאו להקל נגד שיטת הרמב"ם והרי"ף. ואני אוסיף דהוי גם נג</w:t>
      </w:r>
      <w:r w:rsidR="00173948" w:rsidRPr="00882F11">
        <w:rPr>
          <w:rFonts w:cs="Guttman Drogolin" w:hint="cs"/>
          <w:rtl/>
          <w:lang w:bidi="he-IL"/>
        </w:rPr>
        <w:t>ד שיטת</w:t>
      </w:r>
      <w:r w:rsidR="00B02A37" w:rsidRPr="00882F11">
        <w:rPr>
          <w:rFonts w:cs="Guttman Drogolin" w:hint="cs"/>
          <w:rtl/>
          <w:lang w:bidi="he-IL"/>
        </w:rPr>
        <w:t xml:space="preserve"> הרא"ש, וכן התוס' עצמם שהביאו שיטת ר"ת ובה"ג להקל הביאו ג"כ שהמנהג להחמיר בגבינה אפילו אחר עוף והטעם משום דהגמ' שהקיל לא הקיל אלא משום דבשר עוף בחלב לאו דאורייתא, אבל אנן קיי"ל להחמיר שבשר עוף בחלב דאו'. וא"כ לא הי' לנו להקל בזה אילו לא הי' בזה מנהג.</w:t>
      </w:r>
      <w:r w:rsidRPr="00882F11">
        <w:rPr>
          <w:rFonts w:cs="Guttman Drogolin" w:hint="cs"/>
          <w:rtl/>
          <w:lang w:bidi="he-IL"/>
        </w:rPr>
        <w:t xml:space="preserve"> </w:t>
      </w:r>
    </w:p>
    <w:p w:rsidR="00020B3F" w:rsidRPr="00882F11" w:rsidRDefault="00173948" w:rsidP="00173948">
      <w:pPr>
        <w:tabs>
          <w:tab w:val="right" w:pos="9027"/>
        </w:tabs>
        <w:bidi/>
        <w:jc w:val="both"/>
        <w:rPr>
          <w:rFonts w:cs="Guttman Drogolin"/>
          <w:rtl/>
          <w:lang w:bidi="he-IL"/>
        </w:rPr>
      </w:pPr>
      <w:r w:rsidRPr="00882F11">
        <w:rPr>
          <w:rFonts w:cs="Guttman Drogolin" w:hint="cs"/>
          <w:rtl/>
          <w:lang w:bidi="he-IL"/>
        </w:rPr>
        <w:t>ומ"מ אפילו אם המקור למנהג המוזכר באו"ה הוא מדעת התוס', עצם השיעור זמן של שעה לכאורה אין לו מקור. ובביאור הגר"א וכן בפר"ח כתבו שיש לו מקור מדברי הזוהר שכתב שאסור לאוכלם בשעתא חדא. ומ"מ אין זה אלא תליי' באילן גדול, שהרי מבואר ממקור המנהג בראשונים שזה היתה פשרה מדעת עצמם.</w:t>
      </w:r>
      <w:r w:rsidR="001942A4" w:rsidRPr="00882F11">
        <w:rPr>
          <w:rFonts w:cs="Guttman Drogolin" w:hint="cs"/>
          <w:rtl/>
          <w:lang w:bidi="he-IL"/>
        </w:rPr>
        <w:t xml:space="preserve">   </w:t>
      </w:r>
      <w:r w:rsidR="00663128" w:rsidRPr="00882F11">
        <w:rPr>
          <w:rFonts w:cs="Guttman Drogolin" w:hint="cs"/>
          <w:rtl/>
          <w:lang w:bidi="he-IL"/>
        </w:rPr>
        <w:t xml:space="preserve"> </w:t>
      </w:r>
      <w:r w:rsidR="009C689F" w:rsidRPr="00882F11">
        <w:rPr>
          <w:rFonts w:cs="Guttman Drogolin" w:hint="cs"/>
          <w:rtl/>
          <w:lang w:bidi="he-IL"/>
        </w:rPr>
        <w:t xml:space="preserve"> </w:t>
      </w:r>
    </w:p>
    <w:p w:rsidR="00507A53" w:rsidRPr="00882F11" w:rsidRDefault="00625256" w:rsidP="00507A53">
      <w:pPr>
        <w:bidi/>
        <w:jc w:val="both"/>
        <w:rPr>
          <w:rFonts w:cs="Guttman Drogolin"/>
          <w:rtl/>
          <w:lang w:bidi="he-IL"/>
        </w:rPr>
      </w:pPr>
      <w:r w:rsidRPr="00882F11">
        <w:rPr>
          <w:rFonts w:cs="Guttman Drogolin" w:hint="cs"/>
          <w:rtl/>
          <w:lang w:bidi="he-IL"/>
        </w:rPr>
        <w:t>ובשו"ע</w:t>
      </w:r>
      <w:r w:rsidR="002E4DD2" w:rsidRPr="00882F11">
        <w:rPr>
          <w:rFonts w:cs="Guttman Drogolin" w:hint="cs"/>
          <w:rtl/>
          <w:lang w:bidi="he-IL"/>
        </w:rPr>
        <w:t xml:space="preserve"> סי' פ</w:t>
      </w:r>
      <w:r w:rsidRPr="00882F11">
        <w:rPr>
          <w:rFonts w:cs="Guttman Drogolin" w:hint="cs"/>
          <w:rtl/>
          <w:lang w:bidi="he-IL"/>
        </w:rPr>
        <w:t>"ט סתם המחבר כשיטת הרמב"ם שבין אחרי עוף ובין אחרי גבינה יש להמתין ו' שעות.</w:t>
      </w:r>
      <w:r w:rsidR="009717A3" w:rsidRPr="00882F11">
        <w:rPr>
          <w:rFonts w:cs="Guttman Drogolin" w:hint="cs"/>
          <w:rtl/>
          <w:lang w:bidi="he-IL"/>
        </w:rPr>
        <w:t xml:space="preserve"> ובהגהות הרמ"א כתב "ויש</w:t>
      </w:r>
      <w:r w:rsidR="009717A3" w:rsidRPr="00882F11">
        <w:rPr>
          <w:rFonts w:cs="Guttman Drogolin"/>
          <w:rtl/>
          <w:lang w:bidi="he-IL"/>
        </w:rPr>
        <w:t xml:space="preserve"> </w:t>
      </w:r>
      <w:r w:rsidR="009717A3" w:rsidRPr="00882F11">
        <w:rPr>
          <w:rFonts w:cs="Guttman Drogolin" w:hint="cs"/>
          <w:rtl/>
          <w:lang w:bidi="he-IL"/>
        </w:rPr>
        <w:t>אומרים</w:t>
      </w:r>
      <w:r w:rsidR="009717A3" w:rsidRPr="00882F11">
        <w:rPr>
          <w:rFonts w:cs="Guttman Drogolin"/>
          <w:rtl/>
          <w:lang w:bidi="he-IL"/>
        </w:rPr>
        <w:t xml:space="preserve"> </w:t>
      </w:r>
      <w:r w:rsidR="009717A3" w:rsidRPr="00882F11">
        <w:rPr>
          <w:rFonts w:cs="Guttman Drogolin" w:hint="cs"/>
          <w:rtl/>
          <w:lang w:bidi="he-IL"/>
        </w:rPr>
        <w:t>דאין</w:t>
      </w:r>
      <w:r w:rsidR="009717A3" w:rsidRPr="00882F11">
        <w:rPr>
          <w:rFonts w:cs="Guttman Drogolin"/>
          <w:rtl/>
          <w:lang w:bidi="he-IL"/>
        </w:rPr>
        <w:t xml:space="preserve"> </w:t>
      </w:r>
      <w:r w:rsidR="009717A3" w:rsidRPr="00882F11">
        <w:rPr>
          <w:rFonts w:cs="Guttman Drogolin" w:hint="cs"/>
          <w:rtl/>
          <w:lang w:bidi="he-IL"/>
        </w:rPr>
        <w:t>צריכין</w:t>
      </w:r>
      <w:r w:rsidR="009717A3" w:rsidRPr="00882F11">
        <w:rPr>
          <w:rFonts w:cs="Guttman Drogolin"/>
          <w:rtl/>
          <w:lang w:bidi="he-IL"/>
        </w:rPr>
        <w:t xml:space="preserve"> </w:t>
      </w:r>
      <w:r w:rsidR="009717A3" w:rsidRPr="00882F11">
        <w:rPr>
          <w:rFonts w:cs="Guttman Drogolin" w:hint="cs"/>
          <w:rtl/>
          <w:lang w:bidi="he-IL"/>
        </w:rPr>
        <w:t>להמתין</w:t>
      </w:r>
      <w:r w:rsidR="009717A3" w:rsidRPr="00882F11">
        <w:rPr>
          <w:rFonts w:cs="Guttman Drogolin"/>
          <w:rtl/>
          <w:lang w:bidi="he-IL"/>
        </w:rPr>
        <w:t xml:space="preserve"> </w:t>
      </w:r>
      <w:r w:rsidR="009717A3" w:rsidRPr="00882F11">
        <w:rPr>
          <w:rFonts w:cs="Guttman Drogolin" w:hint="cs"/>
          <w:rtl/>
          <w:lang w:bidi="he-IL"/>
        </w:rPr>
        <w:t>שש</w:t>
      </w:r>
      <w:r w:rsidR="009717A3" w:rsidRPr="00882F11">
        <w:rPr>
          <w:rFonts w:cs="Guttman Drogolin"/>
          <w:rtl/>
          <w:lang w:bidi="he-IL"/>
        </w:rPr>
        <w:t xml:space="preserve"> </w:t>
      </w:r>
      <w:r w:rsidR="009717A3" w:rsidRPr="00882F11">
        <w:rPr>
          <w:rFonts w:cs="Guttman Drogolin" w:hint="cs"/>
          <w:rtl/>
          <w:lang w:bidi="he-IL"/>
        </w:rPr>
        <w:t>שעות</w:t>
      </w:r>
      <w:r w:rsidR="009717A3" w:rsidRPr="00882F11">
        <w:rPr>
          <w:rFonts w:cs="Guttman Drogolin"/>
          <w:rtl/>
          <w:lang w:bidi="he-IL"/>
        </w:rPr>
        <w:t xml:space="preserve"> </w:t>
      </w:r>
      <w:r w:rsidR="009717A3" w:rsidRPr="00882F11">
        <w:rPr>
          <w:rFonts w:cs="Guttman Drogolin" w:hint="cs"/>
          <w:rtl/>
          <w:lang w:bidi="he-IL"/>
        </w:rPr>
        <w:t>רק</w:t>
      </w:r>
      <w:r w:rsidR="009717A3" w:rsidRPr="00882F11">
        <w:rPr>
          <w:rFonts w:cs="Guttman Drogolin"/>
          <w:rtl/>
          <w:lang w:bidi="he-IL"/>
        </w:rPr>
        <w:t xml:space="preserve"> </w:t>
      </w:r>
      <w:r w:rsidR="009717A3" w:rsidRPr="00882F11">
        <w:rPr>
          <w:rFonts w:cs="Guttman Drogolin" w:hint="cs"/>
          <w:rtl/>
          <w:lang w:bidi="he-IL"/>
        </w:rPr>
        <w:t>מיד</w:t>
      </w:r>
      <w:r w:rsidR="009717A3" w:rsidRPr="00882F11">
        <w:rPr>
          <w:rFonts w:cs="Guttman Drogolin"/>
          <w:rtl/>
          <w:lang w:bidi="he-IL"/>
        </w:rPr>
        <w:t xml:space="preserve"> </w:t>
      </w:r>
      <w:r w:rsidR="009717A3" w:rsidRPr="00882F11">
        <w:rPr>
          <w:rFonts w:cs="Guttman Drogolin" w:hint="cs"/>
          <w:rtl/>
          <w:lang w:bidi="he-IL"/>
        </w:rPr>
        <w:t>אם</w:t>
      </w:r>
      <w:r w:rsidR="009717A3" w:rsidRPr="00882F11">
        <w:rPr>
          <w:rFonts w:cs="Guttman Drogolin"/>
          <w:rtl/>
          <w:lang w:bidi="he-IL"/>
        </w:rPr>
        <w:t xml:space="preserve"> </w:t>
      </w:r>
      <w:r w:rsidR="009717A3" w:rsidRPr="00882F11">
        <w:rPr>
          <w:rFonts w:cs="Guttman Drogolin" w:hint="cs"/>
          <w:rtl/>
          <w:lang w:bidi="he-IL"/>
        </w:rPr>
        <w:t>סלק</w:t>
      </w:r>
      <w:r w:rsidR="009717A3" w:rsidRPr="00882F11">
        <w:rPr>
          <w:rFonts w:cs="Guttman Drogolin"/>
          <w:rtl/>
          <w:lang w:bidi="he-IL"/>
        </w:rPr>
        <w:t xml:space="preserve"> </w:t>
      </w:r>
      <w:r w:rsidR="009717A3" w:rsidRPr="00882F11">
        <w:rPr>
          <w:rFonts w:cs="Guttman Drogolin" w:hint="cs"/>
          <w:rtl/>
          <w:lang w:bidi="he-IL"/>
        </w:rPr>
        <w:t>ובירך</w:t>
      </w:r>
      <w:r w:rsidR="009717A3" w:rsidRPr="00882F11">
        <w:rPr>
          <w:rFonts w:cs="Guttman Drogolin"/>
          <w:rtl/>
          <w:lang w:bidi="he-IL"/>
        </w:rPr>
        <w:t xml:space="preserve"> </w:t>
      </w:r>
      <w:r w:rsidR="009717A3" w:rsidRPr="00882F11">
        <w:rPr>
          <w:rFonts w:cs="Guttman Drogolin" w:hint="cs"/>
          <w:rtl/>
          <w:lang w:bidi="he-IL"/>
        </w:rPr>
        <w:t>ברכת</w:t>
      </w:r>
      <w:r w:rsidR="009717A3" w:rsidRPr="00882F11">
        <w:rPr>
          <w:rFonts w:cs="Guttman Drogolin"/>
          <w:rtl/>
          <w:lang w:bidi="he-IL"/>
        </w:rPr>
        <w:t xml:space="preserve"> </w:t>
      </w:r>
      <w:r w:rsidR="009717A3" w:rsidRPr="00882F11">
        <w:rPr>
          <w:rFonts w:cs="Guttman Drogolin" w:hint="cs"/>
          <w:rtl/>
          <w:lang w:bidi="he-IL"/>
        </w:rPr>
        <w:t>המזון</w:t>
      </w:r>
      <w:r w:rsidR="009717A3" w:rsidRPr="00882F11">
        <w:rPr>
          <w:rFonts w:cs="Guttman Drogolin"/>
          <w:rtl/>
          <w:lang w:bidi="he-IL"/>
        </w:rPr>
        <w:t xml:space="preserve"> </w:t>
      </w:r>
      <w:r w:rsidR="009717A3" w:rsidRPr="00882F11">
        <w:rPr>
          <w:rFonts w:cs="Guttman Drogolin" w:hint="cs"/>
          <w:rtl/>
          <w:lang w:bidi="he-IL"/>
        </w:rPr>
        <w:t>מותר</w:t>
      </w:r>
      <w:r w:rsidR="009717A3" w:rsidRPr="00882F11">
        <w:rPr>
          <w:rFonts w:cs="Guttman Drogolin"/>
          <w:rtl/>
          <w:lang w:bidi="he-IL"/>
        </w:rPr>
        <w:t xml:space="preserve"> </w:t>
      </w:r>
      <w:r w:rsidR="009717A3" w:rsidRPr="00882F11">
        <w:rPr>
          <w:rFonts w:cs="Guttman Drogolin" w:hint="cs"/>
          <w:rtl/>
          <w:lang w:bidi="he-IL"/>
        </w:rPr>
        <w:t>על</w:t>
      </w:r>
      <w:r w:rsidR="009717A3" w:rsidRPr="00882F11">
        <w:rPr>
          <w:rFonts w:cs="Guttman Drogolin"/>
          <w:rtl/>
          <w:lang w:bidi="he-IL"/>
        </w:rPr>
        <w:t xml:space="preserve"> </w:t>
      </w:r>
      <w:r w:rsidR="009717A3" w:rsidRPr="00882F11">
        <w:rPr>
          <w:rFonts w:cs="Guttman Drogolin" w:hint="cs"/>
          <w:rtl/>
          <w:lang w:bidi="he-IL"/>
        </w:rPr>
        <w:t>ידי</w:t>
      </w:r>
      <w:r w:rsidR="009717A3" w:rsidRPr="00882F11">
        <w:rPr>
          <w:rFonts w:cs="Guttman Drogolin"/>
          <w:rtl/>
          <w:lang w:bidi="he-IL"/>
        </w:rPr>
        <w:t xml:space="preserve"> </w:t>
      </w:r>
      <w:r w:rsidR="009717A3" w:rsidRPr="00882F11">
        <w:rPr>
          <w:rFonts w:cs="Guttman Drogolin" w:hint="cs"/>
          <w:rtl/>
          <w:lang w:bidi="he-IL"/>
        </w:rPr>
        <w:t>קנוח</w:t>
      </w:r>
      <w:r w:rsidR="009717A3" w:rsidRPr="00882F11">
        <w:rPr>
          <w:rFonts w:cs="Guttman Drogolin"/>
          <w:rtl/>
          <w:lang w:bidi="he-IL"/>
        </w:rPr>
        <w:t xml:space="preserve"> </w:t>
      </w:r>
      <w:r w:rsidR="009717A3" w:rsidRPr="00882F11">
        <w:rPr>
          <w:rFonts w:cs="Guttman Drogolin" w:hint="cs"/>
          <w:rtl/>
          <w:lang w:bidi="he-IL"/>
        </w:rPr>
        <w:t>והדחה</w:t>
      </w:r>
      <w:r w:rsidR="009717A3" w:rsidRPr="00882F11">
        <w:rPr>
          <w:rFonts w:cs="Guttman Drogolin"/>
          <w:rtl/>
          <w:lang w:bidi="he-IL"/>
        </w:rPr>
        <w:t xml:space="preserve"> </w:t>
      </w:r>
      <w:r w:rsidR="009717A3" w:rsidRPr="00882F11">
        <w:rPr>
          <w:rFonts w:cs="Guttman Drogolin" w:hint="cs"/>
          <w:rtl/>
          <w:lang w:bidi="he-IL"/>
        </w:rPr>
        <w:t>והמנהג</w:t>
      </w:r>
      <w:r w:rsidR="009717A3" w:rsidRPr="00882F11">
        <w:rPr>
          <w:rFonts w:cs="Guttman Drogolin"/>
          <w:rtl/>
          <w:lang w:bidi="he-IL"/>
        </w:rPr>
        <w:t xml:space="preserve"> </w:t>
      </w:r>
      <w:r w:rsidR="009717A3" w:rsidRPr="00882F11">
        <w:rPr>
          <w:rFonts w:cs="Guttman Drogolin" w:hint="cs"/>
          <w:rtl/>
          <w:lang w:bidi="he-IL"/>
        </w:rPr>
        <w:t>הפשוט</w:t>
      </w:r>
      <w:r w:rsidR="009717A3" w:rsidRPr="00882F11">
        <w:rPr>
          <w:rFonts w:cs="Guttman Drogolin"/>
          <w:rtl/>
          <w:lang w:bidi="he-IL"/>
        </w:rPr>
        <w:t xml:space="preserve"> </w:t>
      </w:r>
      <w:r w:rsidR="009717A3" w:rsidRPr="00882F11">
        <w:rPr>
          <w:rFonts w:cs="Guttman Drogolin" w:hint="cs"/>
          <w:rtl/>
          <w:lang w:bidi="he-IL"/>
        </w:rPr>
        <w:t>במדינות</w:t>
      </w:r>
      <w:r w:rsidR="009717A3" w:rsidRPr="00882F11">
        <w:rPr>
          <w:rFonts w:cs="Guttman Drogolin"/>
          <w:rtl/>
          <w:lang w:bidi="he-IL"/>
        </w:rPr>
        <w:t xml:space="preserve"> </w:t>
      </w:r>
      <w:r w:rsidR="009717A3" w:rsidRPr="00882F11">
        <w:rPr>
          <w:rFonts w:cs="Guttman Drogolin" w:hint="cs"/>
          <w:rtl/>
          <w:lang w:bidi="he-IL"/>
        </w:rPr>
        <w:t>אלו</w:t>
      </w:r>
      <w:r w:rsidR="009717A3" w:rsidRPr="00882F11">
        <w:rPr>
          <w:rFonts w:cs="Guttman Drogolin"/>
          <w:rtl/>
          <w:lang w:bidi="he-IL"/>
        </w:rPr>
        <w:t xml:space="preserve"> </w:t>
      </w:r>
      <w:r w:rsidR="009717A3" w:rsidRPr="00882F11">
        <w:rPr>
          <w:rFonts w:cs="Guttman Drogolin" w:hint="cs"/>
          <w:rtl/>
          <w:lang w:bidi="he-IL"/>
        </w:rPr>
        <w:t>להמתין</w:t>
      </w:r>
      <w:r w:rsidR="009717A3" w:rsidRPr="00882F11">
        <w:rPr>
          <w:rFonts w:cs="Guttman Drogolin"/>
          <w:rtl/>
          <w:lang w:bidi="he-IL"/>
        </w:rPr>
        <w:t xml:space="preserve"> </w:t>
      </w:r>
      <w:r w:rsidR="009717A3" w:rsidRPr="00882F11">
        <w:rPr>
          <w:rFonts w:cs="Guttman Drogolin" w:hint="cs"/>
          <w:rtl/>
          <w:lang w:bidi="he-IL"/>
        </w:rPr>
        <w:t>אחר</w:t>
      </w:r>
      <w:r w:rsidR="009717A3" w:rsidRPr="00882F11">
        <w:rPr>
          <w:rFonts w:cs="Guttman Drogolin"/>
          <w:rtl/>
          <w:lang w:bidi="he-IL"/>
        </w:rPr>
        <w:t xml:space="preserve"> </w:t>
      </w:r>
      <w:r w:rsidR="009717A3" w:rsidRPr="00882F11">
        <w:rPr>
          <w:rFonts w:cs="Guttman Drogolin" w:hint="cs"/>
          <w:rtl/>
          <w:lang w:bidi="he-IL"/>
        </w:rPr>
        <w:t>אכילת</w:t>
      </w:r>
      <w:r w:rsidR="009717A3" w:rsidRPr="00882F11">
        <w:rPr>
          <w:rFonts w:cs="Guttman Drogolin"/>
          <w:rtl/>
          <w:lang w:bidi="he-IL"/>
        </w:rPr>
        <w:t xml:space="preserve"> </w:t>
      </w:r>
      <w:r w:rsidR="009717A3" w:rsidRPr="00882F11">
        <w:rPr>
          <w:rFonts w:cs="Guttman Drogolin" w:hint="cs"/>
          <w:rtl/>
          <w:lang w:bidi="he-IL"/>
        </w:rPr>
        <w:t>הבשר</w:t>
      </w:r>
      <w:r w:rsidR="009717A3" w:rsidRPr="00882F11">
        <w:rPr>
          <w:rFonts w:cs="Guttman Drogolin"/>
          <w:rtl/>
          <w:lang w:bidi="he-IL"/>
        </w:rPr>
        <w:t xml:space="preserve"> </w:t>
      </w:r>
      <w:r w:rsidR="009717A3" w:rsidRPr="00882F11">
        <w:rPr>
          <w:rFonts w:cs="Guttman Drogolin" w:hint="cs"/>
          <w:rtl/>
          <w:lang w:bidi="he-IL"/>
        </w:rPr>
        <w:t>שעה</w:t>
      </w:r>
      <w:r w:rsidR="009717A3" w:rsidRPr="00882F11">
        <w:rPr>
          <w:rFonts w:cs="Guttman Drogolin"/>
          <w:rtl/>
          <w:lang w:bidi="he-IL"/>
        </w:rPr>
        <w:t xml:space="preserve"> </w:t>
      </w:r>
      <w:r w:rsidR="009717A3" w:rsidRPr="00882F11">
        <w:rPr>
          <w:rFonts w:cs="Guttman Drogolin" w:hint="cs"/>
          <w:rtl/>
          <w:lang w:bidi="he-IL"/>
        </w:rPr>
        <w:t>אחת</w:t>
      </w:r>
      <w:r w:rsidR="009717A3" w:rsidRPr="00882F11">
        <w:rPr>
          <w:rFonts w:cs="Guttman Drogolin"/>
          <w:rtl/>
          <w:lang w:bidi="he-IL"/>
        </w:rPr>
        <w:t xml:space="preserve"> </w:t>
      </w:r>
      <w:r w:rsidR="009717A3" w:rsidRPr="00882F11">
        <w:rPr>
          <w:rFonts w:cs="Guttman Drogolin" w:hint="cs"/>
          <w:rtl/>
          <w:lang w:bidi="he-IL"/>
        </w:rPr>
        <w:t>ואוכלין</w:t>
      </w:r>
      <w:r w:rsidR="009717A3" w:rsidRPr="00882F11">
        <w:rPr>
          <w:rFonts w:cs="Guttman Drogolin"/>
          <w:rtl/>
          <w:lang w:bidi="he-IL"/>
        </w:rPr>
        <w:t xml:space="preserve"> </w:t>
      </w:r>
      <w:r w:rsidR="009717A3" w:rsidRPr="00882F11">
        <w:rPr>
          <w:rFonts w:cs="Guttman Drogolin" w:hint="cs"/>
          <w:rtl/>
          <w:lang w:bidi="he-IL"/>
        </w:rPr>
        <w:t>אחר</w:t>
      </w:r>
      <w:r w:rsidR="009717A3" w:rsidRPr="00882F11">
        <w:rPr>
          <w:rFonts w:cs="Guttman Drogolin"/>
          <w:rtl/>
          <w:lang w:bidi="he-IL"/>
        </w:rPr>
        <w:t xml:space="preserve"> </w:t>
      </w:r>
      <w:r w:rsidR="009717A3" w:rsidRPr="00882F11">
        <w:rPr>
          <w:rFonts w:cs="Guttman Drogolin" w:hint="cs"/>
          <w:rtl/>
          <w:lang w:bidi="he-IL"/>
        </w:rPr>
        <w:t>כך</w:t>
      </w:r>
      <w:r w:rsidR="009717A3" w:rsidRPr="00882F11">
        <w:rPr>
          <w:rFonts w:cs="Guttman Drogolin"/>
          <w:rtl/>
          <w:lang w:bidi="he-IL"/>
        </w:rPr>
        <w:t xml:space="preserve"> </w:t>
      </w:r>
      <w:r w:rsidR="009717A3" w:rsidRPr="00882F11">
        <w:rPr>
          <w:rFonts w:cs="Guttman Drogolin" w:hint="cs"/>
          <w:rtl/>
          <w:lang w:bidi="he-IL"/>
        </w:rPr>
        <w:t>גבינה</w:t>
      </w:r>
      <w:r w:rsidR="009717A3" w:rsidRPr="00882F11">
        <w:rPr>
          <w:rFonts w:cs="Guttman Drogolin"/>
          <w:rtl/>
          <w:lang w:bidi="he-IL"/>
        </w:rPr>
        <w:t xml:space="preserve"> </w:t>
      </w:r>
      <w:r w:rsidR="009717A3" w:rsidRPr="00882F11">
        <w:rPr>
          <w:rFonts w:cs="Guttman Drogolin" w:hint="cs"/>
          <w:rtl/>
          <w:lang w:bidi="he-IL"/>
        </w:rPr>
        <w:t>מיהו</w:t>
      </w:r>
      <w:r w:rsidR="009717A3" w:rsidRPr="00882F11">
        <w:rPr>
          <w:rFonts w:cs="Guttman Drogolin"/>
          <w:rtl/>
          <w:lang w:bidi="he-IL"/>
        </w:rPr>
        <w:t xml:space="preserve"> </w:t>
      </w:r>
      <w:r w:rsidR="009717A3" w:rsidRPr="00882F11">
        <w:rPr>
          <w:rFonts w:cs="Guttman Drogolin" w:hint="cs"/>
          <w:rtl/>
          <w:lang w:bidi="he-IL"/>
        </w:rPr>
        <w:t>צריכים</w:t>
      </w:r>
      <w:r w:rsidR="009717A3" w:rsidRPr="00882F11">
        <w:rPr>
          <w:rFonts w:cs="Guttman Drogolin"/>
          <w:rtl/>
          <w:lang w:bidi="he-IL"/>
        </w:rPr>
        <w:t xml:space="preserve"> </w:t>
      </w:r>
      <w:r w:rsidR="009717A3" w:rsidRPr="00882F11">
        <w:rPr>
          <w:rFonts w:cs="Guttman Drogolin" w:hint="cs"/>
          <w:rtl/>
          <w:lang w:bidi="he-IL"/>
        </w:rPr>
        <w:t>לברך</w:t>
      </w:r>
      <w:r w:rsidR="009717A3" w:rsidRPr="00882F11">
        <w:rPr>
          <w:rFonts w:cs="Guttman Drogolin"/>
          <w:rtl/>
          <w:lang w:bidi="he-IL"/>
        </w:rPr>
        <w:t xml:space="preserve"> </w:t>
      </w:r>
      <w:r w:rsidR="009717A3" w:rsidRPr="00882F11">
        <w:rPr>
          <w:rFonts w:cs="Guttman Drogolin" w:hint="cs"/>
          <w:rtl/>
          <w:lang w:bidi="he-IL"/>
        </w:rPr>
        <w:t>גם</w:t>
      </w:r>
      <w:r w:rsidR="009717A3" w:rsidRPr="00882F11">
        <w:rPr>
          <w:rFonts w:cs="Guttman Drogolin"/>
          <w:rtl/>
          <w:lang w:bidi="he-IL"/>
        </w:rPr>
        <w:t xml:space="preserve"> </w:t>
      </w:r>
      <w:r w:rsidR="009717A3" w:rsidRPr="00882F11">
        <w:rPr>
          <w:rFonts w:cs="Guttman Drogolin" w:hint="cs"/>
          <w:rtl/>
          <w:lang w:bidi="he-IL"/>
        </w:rPr>
        <w:t>כן</w:t>
      </w:r>
      <w:r w:rsidR="009717A3" w:rsidRPr="00882F11">
        <w:rPr>
          <w:rFonts w:cs="Guttman Drogolin"/>
          <w:rtl/>
          <w:lang w:bidi="he-IL"/>
        </w:rPr>
        <w:t xml:space="preserve"> </w:t>
      </w:r>
      <w:r w:rsidR="009717A3" w:rsidRPr="00882F11">
        <w:rPr>
          <w:rFonts w:cs="Guttman Drogolin" w:hint="cs"/>
          <w:rtl/>
          <w:lang w:bidi="he-IL"/>
        </w:rPr>
        <w:t>ברכת</w:t>
      </w:r>
      <w:r w:rsidR="009717A3" w:rsidRPr="00882F11">
        <w:rPr>
          <w:rFonts w:cs="Guttman Drogolin"/>
          <w:rtl/>
          <w:lang w:bidi="he-IL"/>
        </w:rPr>
        <w:t xml:space="preserve"> </w:t>
      </w:r>
      <w:r w:rsidR="009717A3" w:rsidRPr="00882F11">
        <w:rPr>
          <w:rFonts w:cs="Guttman Drogolin" w:hint="cs"/>
          <w:rtl/>
          <w:lang w:bidi="he-IL"/>
        </w:rPr>
        <w:t>המזון</w:t>
      </w:r>
      <w:r w:rsidR="009717A3" w:rsidRPr="00882F11">
        <w:rPr>
          <w:rFonts w:cs="Guttman Drogolin"/>
          <w:rtl/>
          <w:lang w:bidi="he-IL"/>
        </w:rPr>
        <w:t xml:space="preserve"> </w:t>
      </w:r>
      <w:r w:rsidR="009717A3" w:rsidRPr="00882F11">
        <w:rPr>
          <w:rFonts w:cs="Guttman Drogolin" w:hint="cs"/>
          <w:rtl/>
          <w:lang w:bidi="he-IL"/>
        </w:rPr>
        <w:t>אחר</w:t>
      </w:r>
      <w:r w:rsidR="009717A3" w:rsidRPr="00882F11">
        <w:rPr>
          <w:rFonts w:cs="Guttman Drogolin"/>
          <w:rtl/>
          <w:lang w:bidi="he-IL"/>
        </w:rPr>
        <w:t xml:space="preserve"> </w:t>
      </w:r>
      <w:r w:rsidR="009717A3" w:rsidRPr="00882F11">
        <w:rPr>
          <w:rFonts w:cs="Guttman Drogolin" w:hint="cs"/>
          <w:rtl/>
          <w:lang w:bidi="he-IL"/>
        </w:rPr>
        <w:t>הבשר</w:t>
      </w:r>
      <w:r w:rsidR="009717A3" w:rsidRPr="00882F11">
        <w:rPr>
          <w:rFonts w:cs="Guttman Drogolin"/>
          <w:rtl/>
          <w:lang w:bidi="he-IL"/>
        </w:rPr>
        <w:t xml:space="preserve"> </w:t>
      </w:r>
      <w:r w:rsidR="009717A3" w:rsidRPr="00882F11">
        <w:rPr>
          <w:rFonts w:cs="Guttman Drogolin" w:hint="cs"/>
          <w:rtl/>
          <w:lang w:bidi="he-IL"/>
        </w:rPr>
        <w:t>וכו'</w:t>
      </w:r>
      <w:r w:rsidR="009717A3" w:rsidRPr="00882F11">
        <w:rPr>
          <w:rFonts w:cs="Guttman Drogolin"/>
          <w:rtl/>
          <w:lang w:bidi="he-IL"/>
        </w:rPr>
        <w:t xml:space="preserve"> </w:t>
      </w:r>
      <w:r w:rsidR="009717A3" w:rsidRPr="00882F11">
        <w:rPr>
          <w:rFonts w:cs="Guttman Drogolin" w:hint="cs"/>
          <w:rtl/>
          <w:lang w:bidi="he-IL"/>
        </w:rPr>
        <w:t>ויש</w:t>
      </w:r>
      <w:r w:rsidR="009717A3" w:rsidRPr="00882F11">
        <w:rPr>
          <w:rFonts w:cs="Guttman Drogolin"/>
          <w:rtl/>
          <w:lang w:bidi="he-IL"/>
        </w:rPr>
        <w:t xml:space="preserve"> </w:t>
      </w:r>
      <w:r w:rsidR="009717A3" w:rsidRPr="00882F11">
        <w:rPr>
          <w:rFonts w:cs="Guttman Drogolin" w:hint="cs"/>
          <w:rtl/>
          <w:lang w:bidi="he-IL"/>
        </w:rPr>
        <w:t>מדקדקים</w:t>
      </w:r>
      <w:r w:rsidR="009717A3" w:rsidRPr="00882F11">
        <w:rPr>
          <w:rFonts w:cs="Guttman Drogolin"/>
          <w:rtl/>
          <w:lang w:bidi="he-IL"/>
        </w:rPr>
        <w:t xml:space="preserve"> </w:t>
      </w:r>
      <w:r w:rsidR="009717A3" w:rsidRPr="00882F11">
        <w:rPr>
          <w:rFonts w:cs="Guttman Drogolin" w:hint="cs"/>
          <w:rtl/>
          <w:lang w:bidi="he-IL"/>
        </w:rPr>
        <w:t>להמתין</w:t>
      </w:r>
      <w:r w:rsidR="009717A3" w:rsidRPr="00882F11">
        <w:rPr>
          <w:rFonts w:cs="Guttman Drogolin"/>
          <w:rtl/>
          <w:lang w:bidi="he-IL"/>
        </w:rPr>
        <w:t xml:space="preserve"> </w:t>
      </w:r>
      <w:r w:rsidR="009717A3" w:rsidRPr="00882F11">
        <w:rPr>
          <w:rFonts w:cs="Guttman Drogolin" w:hint="cs"/>
          <w:rtl/>
          <w:lang w:bidi="he-IL"/>
        </w:rPr>
        <w:t>שש</w:t>
      </w:r>
      <w:r w:rsidR="009717A3" w:rsidRPr="00882F11">
        <w:rPr>
          <w:rFonts w:cs="Guttman Drogolin"/>
          <w:rtl/>
          <w:lang w:bidi="he-IL"/>
        </w:rPr>
        <w:t xml:space="preserve"> </w:t>
      </w:r>
      <w:r w:rsidR="009717A3" w:rsidRPr="00882F11">
        <w:rPr>
          <w:rFonts w:cs="Guttman Drogolin" w:hint="cs"/>
          <w:rtl/>
          <w:lang w:bidi="he-IL"/>
        </w:rPr>
        <w:t>שעות</w:t>
      </w:r>
      <w:r w:rsidR="009717A3" w:rsidRPr="00882F11">
        <w:rPr>
          <w:rFonts w:cs="Guttman Drogolin"/>
          <w:rtl/>
          <w:lang w:bidi="he-IL"/>
        </w:rPr>
        <w:t xml:space="preserve"> </w:t>
      </w:r>
      <w:r w:rsidR="009717A3" w:rsidRPr="00882F11">
        <w:rPr>
          <w:rFonts w:cs="Guttman Drogolin" w:hint="cs"/>
          <w:rtl/>
          <w:lang w:bidi="he-IL"/>
        </w:rPr>
        <w:t>אחר</w:t>
      </w:r>
      <w:r w:rsidR="009717A3" w:rsidRPr="00882F11">
        <w:rPr>
          <w:rFonts w:cs="Guttman Drogolin"/>
          <w:rtl/>
          <w:lang w:bidi="he-IL"/>
        </w:rPr>
        <w:t xml:space="preserve"> </w:t>
      </w:r>
      <w:r w:rsidR="009717A3" w:rsidRPr="00882F11">
        <w:rPr>
          <w:rFonts w:cs="Guttman Drogolin" w:hint="cs"/>
          <w:rtl/>
          <w:lang w:bidi="he-IL"/>
        </w:rPr>
        <w:t>אכילת</w:t>
      </w:r>
      <w:r w:rsidR="009717A3" w:rsidRPr="00882F11">
        <w:rPr>
          <w:rFonts w:cs="Guttman Drogolin"/>
          <w:rtl/>
          <w:lang w:bidi="he-IL"/>
        </w:rPr>
        <w:t xml:space="preserve"> </w:t>
      </w:r>
      <w:r w:rsidR="009717A3" w:rsidRPr="00882F11">
        <w:rPr>
          <w:rFonts w:cs="Guttman Drogolin" w:hint="cs"/>
          <w:rtl/>
          <w:lang w:bidi="he-IL"/>
        </w:rPr>
        <w:t>בשר</w:t>
      </w:r>
      <w:r w:rsidR="009717A3" w:rsidRPr="00882F11">
        <w:rPr>
          <w:rFonts w:cs="Guttman Drogolin"/>
          <w:rtl/>
          <w:lang w:bidi="he-IL"/>
        </w:rPr>
        <w:t xml:space="preserve"> </w:t>
      </w:r>
      <w:r w:rsidR="009717A3" w:rsidRPr="00882F11">
        <w:rPr>
          <w:rFonts w:cs="Guttman Drogolin" w:hint="cs"/>
          <w:rtl/>
          <w:lang w:bidi="he-IL"/>
        </w:rPr>
        <w:t>לגבינה</w:t>
      </w:r>
      <w:r w:rsidR="009717A3" w:rsidRPr="00882F11">
        <w:rPr>
          <w:rFonts w:cs="Guttman Drogolin"/>
          <w:rtl/>
          <w:lang w:bidi="he-IL"/>
        </w:rPr>
        <w:t xml:space="preserve"> </w:t>
      </w:r>
      <w:r w:rsidR="009717A3" w:rsidRPr="00882F11">
        <w:rPr>
          <w:rFonts w:cs="Guttman Drogolin" w:hint="cs"/>
          <w:rtl/>
          <w:lang w:bidi="he-IL"/>
        </w:rPr>
        <w:t>וכן</w:t>
      </w:r>
      <w:r w:rsidR="009717A3" w:rsidRPr="00882F11">
        <w:rPr>
          <w:rFonts w:cs="Guttman Drogolin"/>
          <w:rtl/>
          <w:lang w:bidi="he-IL"/>
        </w:rPr>
        <w:t xml:space="preserve"> </w:t>
      </w:r>
      <w:r w:rsidR="009717A3" w:rsidRPr="00882F11">
        <w:rPr>
          <w:rFonts w:cs="Guttman Drogolin" w:hint="cs"/>
          <w:rtl/>
          <w:lang w:bidi="he-IL"/>
        </w:rPr>
        <w:t>נכון</w:t>
      </w:r>
      <w:r w:rsidR="009717A3" w:rsidRPr="00882F11">
        <w:rPr>
          <w:rFonts w:cs="Guttman Drogolin"/>
          <w:rtl/>
          <w:lang w:bidi="he-IL"/>
        </w:rPr>
        <w:t xml:space="preserve"> </w:t>
      </w:r>
      <w:r w:rsidR="009717A3" w:rsidRPr="00882F11">
        <w:rPr>
          <w:rFonts w:cs="Guttman Drogolin" w:hint="cs"/>
          <w:rtl/>
          <w:lang w:bidi="he-IL"/>
        </w:rPr>
        <w:t xml:space="preserve">לעשות" הרי שכתב שמנהג מדינתו להקל ומשמע לכאורה ששורת הוא ע"פ המנהג ושמ"מ נכון להחמיר להמתין שש שעות. </w:t>
      </w:r>
      <w:r w:rsidR="00A55CD7" w:rsidRPr="00882F11">
        <w:rPr>
          <w:rFonts w:cs="Guttman Drogolin" w:hint="cs"/>
          <w:rtl/>
          <w:lang w:bidi="he-IL"/>
        </w:rPr>
        <w:t xml:space="preserve">כן הוא הדין אליבא דרמ"א אבל הפמ"ג וחכמ"א וערוה"ש כולם כתבו שהמנהג דלא כרמ"א וחייבים להמתין שיעור זמן של כבין סעודה </w:t>
      </w:r>
      <w:r w:rsidR="00A55CD7" w:rsidRPr="00882F11">
        <w:rPr>
          <w:rFonts w:cs="Guttman Drogolin" w:hint="cs"/>
          <w:rtl/>
          <w:lang w:bidi="he-IL"/>
        </w:rPr>
        <w:lastRenderedPageBreak/>
        <w:t xml:space="preserve">לסעודה וכדעת הרי"ף והרמב"ם. ומ"מ יש קהילות שכנראה לא קיבלו חומרא זו ועדיין נוהגים כמנהג המוזכר ברמ"א ויש להם על מי לסמוך, וכן יש קהילות שנהגו להחמיר ג' שעות וגם לזה אין מקור (אע"ג שמצאו </w:t>
      </w:r>
      <w:r w:rsidR="00173948" w:rsidRPr="00882F11">
        <w:rPr>
          <w:rFonts w:cs="Guttman Drogolin" w:hint="cs"/>
          <w:rtl/>
          <w:lang w:bidi="he-IL"/>
        </w:rPr>
        <w:t>שיעור זמן זה בלשונו של ר' ירוחם (או"ה סי' ל"ט) כבר העיר בס' ארחות הבית (פ"ז הערה מ"ה) שאם אינו ט"ס יוצא שיש סתירה למש"כ ר' ירוחם עצמו בנתיב ט"ו אות כ"ז) וגם זה לא גרע ממנהג הרמ"א שיש לו מקור מדברי התוס'. ומ"מ נלעוק"ד פשוט שגם מי שהוא מקהילות אלו נכון להם להחמיר כשיטת הרמב"ם וכמש"כ גם הרמ"א, רק שלדידהו אינו חיוב גמור וכמש"נ.</w:t>
      </w:r>
      <w:r w:rsidR="00507A53" w:rsidRPr="00882F11">
        <w:rPr>
          <w:rFonts w:cs="Guttman Drogolin" w:hint="cs"/>
          <w:rtl/>
          <w:lang w:bidi="he-IL"/>
        </w:rPr>
        <w:t xml:space="preserve"> ומ"מ אפילו הנוהגים להקל אין להם להקל אא"כ סילק ובירך כמש"כ הרמ"א, דאל"כ גם לשיטת התוס'אין להקל, והרי התוס' הם המקור לנוהגים להקל.</w:t>
      </w:r>
      <w:r w:rsidR="00173948" w:rsidRPr="00882F11">
        <w:rPr>
          <w:rFonts w:cs="Guttman Drogolin" w:hint="cs"/>
          <w:rtl/>
          <w:lang w:bidi="he-IL"/>
        </w:rPr>
        <w:t xml:space="preserve"> </w:t>
      </w:r>
      <w:r w:rsidR="00A55CD7" w:rsidRPr="00882F11">
        <w:rPr>
          <w:rFonts w:cs="Guttman Drogolin" w:hint="cs"/>
          <w:rtl/>
          <w:lang w:bidi="he-IL"/>
        </w:rPr>
        <w:t xml:space="preserve">  </w:t>
      </w:r>
      <w:r w:rsidR="00B02A37" w:rsidRPr="00882F11">
        <w:rPr>
          <w:rFonts w:cs="Guttman Drogolin" w:hint="cs"/>
          <w:rtl/>
          <w:lang w:bidi="he-IL"/>
        </w:rPr>
        <w:t xml:space="preserve"> </w:t>
      </w:r>
      <w:r w:rsidRPr="00882F11">
        <w:rPr>
          <w:rFonts w:cs="Guttman Drogolin" w:hint="cs"/>
          <w:rtl/>
          <w:lang w:bidi="he-IL"/>
        </w:rPr>
        <w:t xml:space="preserve"> </w:t>
      </w:r>
      <w:r w:rsidR="009A69B2" w:rsidRPr="00882F11">
        <w:rPr>
          <w:rFonts w:cs="Guttman Drogolin" w:hint="cs"/>
          <w:rtl/>
          <w:lang w:bidi="he-IL"/>
        </w:rPr>
        <w:t xml:space="preserve">  </w:t>
      </w:r>
    </w:p>
    <w:p w:rsidR="00507A53" w:rsidRPr="00882F11" w:rsidRDefault="00507A53" w:rsidP="0078079C">
      <w:pPr>
        <w:pStyle w:val="Heading1"/>
        <w:bidi/>
        <w:spacing w:before="0" w:line="360" w:lineRule="auto"/>
        <w:jc w:val="center"/>
        <w:rPr>
          <w:rFonts w:cs="Guttman Drogolin"/>
          <w:color w:val="auto"/>
          <w:sz w:val="24"/>
          <w:szCs w:val="24"/>
          <w:u w:val="single"/>
          <w:rtl/>
          <w:lang w:bidi="he-IL"/>
        </w:rPr>
      </w:pPr>
      <w:bookmarkStart w:id="160" w:name="_Toc496175417"/>
      <w:r w:rsidRPr="00882F11">
        <w:rPr>
          <w:rFonts w:cs="Guttman Drogolin" w:hint="cs"/>
          <w:color w:val="auto"/>
          <w:sz w:val="24"/>
          <w:szCs w:val="24"/>
          <w:u w:val="single"/>
          <w:rtl/>
          <w:lang w:bidi="he-IL"/>
        </w:rPr>
        <w:t>ביאורים בשיעור זמן דשש שעות</w:t>
      </w:r>
      <w:bookmarkEnd w:id="160"/>
    </w:p>
    <w:p w:rsidR="001B5AAE" w:rsidRPr="00882F11" w:rsidRDefault="0050025C" w:rsidP="009E098D">
      <w:pPr>
        <w:bidi/>
        <w:jc w:val="both"/>
        <w:rPr>
          <w:rFonts w:cs="Guttman Drogolin"/>
          <w:rtl/>
          <w:lang w:bidi="he-IL"/>
        </w:rPr>
      </w:pPr>
      <w:r>
        <w:rPr>
          <w:rFonts w:cs="Guttman Drogolin"/>
          <w:rtl/>
          <w:lang w:bidi="he-IL"/>
        </w:rPr>
        <w:fldChar w:fldCharType="begin"/>
      </w:r>
      <w:r>
        <w:instrText xml:space="preserve"> XE "</w:instrText>
      </w:r>
      <w:r w:rsidRPr="00335D7C">
        <w:rPr>
          <w:rFonts w:hint="cs"/>
          <w:rtl/>
          <w:lang w:bidi="he-IL"/>
        </w:rPr>
        <w:instrText>בשר בחלב - חיוב המתנה</w:instrText>
      </w:r>
      <w:r w:rsidRPr="00335D7C">
        <w:rPr>
          <w:rtl/>
        </w:rPr>
        <w:instrText>:</w:instrText>
      </w:r>
      <w:r w:rsidRPr="00335D7C">
        <w:rPr>
          <w:rFonts w:hint="cs"/>
          <w:rtl/>
          <w:lang w:bidi="he-IL"/>
        </w:rPr>
        <w:instrText>ביאור השיעור דשש שעות</w:instrText>
      </w:r>
      <w:r>
        <w:instrText xml:space="preserve">" </w:instrText>
      </w:r>
      <w:r>
        <w:rPr>
          <w:rFonts w:cs="Guttman Drogolin"/>
          <w:rtl/>
          <w:lang w:bidi="he-IL"/>
        </w:rPr>
        <w:fldChar w:fldCharType="end"/>
      </w:r>
      <w:r w:rsidR="0080282B" w:rsidRPr="00882F11">
        <w:rPr>
          <w:rFonts w:cs="Guttman Drogolin" w:hint="cs"/>
          <w:rtl/>
          <w:lang w:bidi="he-IL"/>
        </w:rPr>
        <w:t xml:space="preserve">בש"ך בס"ק ה' הביא ממהרש"ל </w:t>
      </w:r>
      <w:r w:rsidR="009E098D" w:rsidRPr="00882F11">
        <w:rPr>
          <w:rFonts w:cs="Guttman Drogolin" w:hint="cs"/>
          <w:rtl/>
          <w:lang w:bidi="he-IL"/>
        </w:rPr>
        <w:t>שאפילו לשיטת הרמב"ם לא סגי לן בזה שהמתין ו' שעות כל זמן שהוא באמצע הסעודה הראשונה. ולכאורה דבריו צ"ע, שהרי לכאורה יסוד המחלוקת בין התוס' לרמב"ם בשיעור זמן שבין סעודה לסעודה הוא שלשיטת התוס' בעינן סעודה אחרת ממש, ולרמב"ם לא צריכים אלא זמן, ולכן מה"ת שלשיטת הרמב"ם יש ב' דינים, א' המתנת זמן מסוים, ועוד סעודה אחרת ממש.</w:t>
      </w:r>
      <w:r w:rsidR="001B5AAE" w:rsidRPr="00882F11">
        <w:rPr>
          <w:rFonts w:cs="Guttman Drogolin" w:hint="cs"/>
          <w:rtl/>
          <w:lang w:bidi="he-IL"/>
        </w:rPr>
        <w:t xml:space="preserve"> וכה"ג העיר ביד יהודה ס"ק ב' ד"ה גם.</w:t>
      </w:r>
      <w:r w:rsidR="009E098D" w:rsidRPr="00882F11">
        <w:rPr>
          <w:rFonts w:cs="Guttman Drogolin" w:hint="cs"/>
          <w:rtl/>
          <w:lang w:bidi="he-IL"/>
        </w:rPr>
        <w:t xml:space="preserve"> </w:t>
      </w:r>
    </w:p>
    <w:p w:rsidR="000751AD" w:rsidRPr="00882F11" w:rsidRDefault="00507A53" w:rsidP="005B7973">
      <w:pPr>
        <w:bidi/>
        <w:jc w:val="both"/>
        <w:rPr>
          <w:rFonts w:cs="Guttman Drogolin"/>
          <w:rtl/>
          <w:lang w:bidi="he-IL"/>
        </w:rPr>
      </w:pPr>
      <w:r w:rsidRPr="00882F11">
        <w:rPr>
          <w:rFonts w:cs="Guttman Drogolin" w:hint="cs"/>
          <w:rtl/>
          <w:lang w:bidi="he-IL"/>
        </w:rPr>
        <w:t xml:space="preserve">והנה אפילו לשיטת הרי"ף והרמב"ם שהחיוב המתנה הוא כשיעור זמן שבין סעודה לסעודה, לא מוזכר בגמ' בהדיא איך לשער שיעור זמן זה. ומשו"ה נקט הפר"ח בס"ק </w:t>
      </w:r>
      <w:r w:rsidR="0080282B" w:rsidRPr="00882F11">
        <w:rPr>
          <w:rFonts w:cs="Guttman Drogolin" w:hint="cs"/>
          <w:rtl/>
          <w:lang w:bidi="he-IL"/>
        </w:rPr>
        <w:t>ו' דשש שעות לאו דוקא נקט</w:t>
      </w:r>
      <w:r w:rsidR="001B5AAE" w:rsidRPr="00882F11">
        <w:rPr>
          <w:rFonts w:cs="Guttman Drogolin" w:hint="cs"/>
          <w:rtl/>
          <w:lang w:bidi="he-IL"/>
        </w:rPr>
        <w:t xml:space="preserve"> אלא כל שהגיע זמן סעודה קבוע כבר מותר לאכול גבינה. וכן הביא בשמו בגליון המהרש"א כאן. ולכאורה דבר זה גם מדויק בלשון הרמב"ם שכתב "והוא</w:t>
      </w:r>
      <w:r w:rsidR="001B5AAE" w:rsidRPr="00882F11">
        <w:rPr>
          <w:rFonts w:cs="Guttman Drogolin"/>
          <w:rtl/>
          <w:lang w:bidi="he-IL"/>
        </w:rPr>
        <w:t xml:space="preserve"> </w:t>
      </w:r>
      <w:r w:rsidR="001B5AAE" w:rsidRPr="00882F11">
        <w:rPr>
          <w:rFonts w:cs="Guttman Drogolin" w:hint="cs"/>
          <w:rtl/>
          <w:lang w:bidi="he-IL"/>
        </w:rPr>
        <w:t>כמו</w:t>
      </w:r>
      <w:r w:rsidR="001B5AAE" w:rsidRPr="00882F11">
        <w:rPr>
          <w:rFonts w:cs="Guttman Drogolin"/>
          <w:rtl/>
          <w:lang w:bidi="he-IL"/>
        </w:rPr>
        <w:t xml:space="preserve"> </w:t>
      </w:r>
      <w:r w:rsidR="001B5AAE" w:rsidRPr="00882F11">
        <w:rPr>
          <w:rFonts w:cs="Guttman Drogolin" w:hint="cs"/>
          <w:rtl/>
          <w:lang w:bidi="he-IL"/>
        </w:rPr>
        <w:t>שש</w:t>
      </w:r>
      <w:r w:rsidR="001B5AAE" w:rsidRPr="00882F11">
        <w:rPr>
          <w:rFonts w:cs="Guttman Drogolin"/>
          <w:rtl/>
          <w:lang w:bidi="he-IL"/>
        </w:rPr>
        <w:t xml:space="preserve"> </w:t>
      </w:r>
      <w:r w:rsidR="001B5AAE" w:rsidRPr="00882F11">
        <w:rPr>
          <w:rFonts w:cs="Guttman Drogolin" w:hint="cs"/>
          <w:rtl/>
          <w:lang w:bidi="he-IL"/>
        </w:rPr>
        <w:t>שעות" ולא כתב ששיעור זמן ההמתנה הוא שש שעות. וכן מבואר במאירי בסוגיין שכתב שהוא שש שעות או קרוב לזה (וע' גם במגן אבות למאירי (עמ' מ"ו, מ"ז) שכ</w:t>
      </w:r>
      <w:r w:rsidR="00300586" w:rsidRPr="00882F11">
        <w:rPr>
          <w:rFonts w:cs="Guttman Drogolin" w:hint="cs"/>
          <w:rtl/>
          <w:lang w:bidi="he-IL"/>
        </w:rPr>
        <w:t xml:space="preserve">תב שהוא ו' או ה' שעות). </w:t>
      </w:r>
      <w:r w:rsidR="000751AD" w:rsidRPr="00882F11">
        <w:rPr>
          <w:rFonts w:cs="Guttman Drogolin" w:hint="cs"/>
          <w:rtl/>
          <w:lang w:bidi="he-IL"/>
        </w:rPr>
        <w:t xml:space="preserve">והכרו"פ ס"ק ג' כתב שאין זה </w:t>
      </w:r>
      <w:r w:rsidR="005B7973" w:rsidRPr="00882F11">
        <w:rPr>
          <w:rFonts w:cs="Guttman Drogolin" w:hint="cs"/>
          <w:rtl/>
          <w:lang w:bidi="he-IL"/>
        </w:rPr>
        <w:t>נ</w:t>
      </w:r>
      <w:r w:rsidR="000751AD" w:rsidRPr="00882F11">
        <w:rPr>
          <w:rFonts w:cs="Guttman Drogolin" w:hint="cs"/>
          <w:rtl/>
          <w:lang w:bidi="he-IL"/>
        </w:rPr>
        <w:t>כון דהא בעינן שיעור עיכול</w:t>
      </w:r>
      <w:r w:rsidR="005B7973" w:rsidRPr="00882F11">
        <w:rPr>
          <w:rFonts w:cs="Guttman Drogolin" w:hint="cs"/>
          <w:rtl/>
          <w:lang w:bidi="he-IL"/>
        </w:rPr>
        <w:t>.</w:t>
      </w:r>
      <w:r w:rsidR="000751AD" w:rsidRPr="00882F11">
        <w:rPr>
          <w:rFonts w:cs="Guttman Drogolin" w:hint="cs"/>
          <w:rtl/>
          <w:lang w:bidi="he-IL"/>
        </w:rPr>
        <w:t xml:space="preserve"> ולכאורה יש </w:t>
      </w:r>
      <w:r w:rsidR="000751AD" w:rsidRPr="00882F11">
        <w:rPr>
          <w:rFonts w:cs="Guttman Drogolin" w:hint="cs"/>
          <w:rtl/>
          <w:lang w:bidi="he-IL"/>
        </w:rPr>
        <w:lastRenderedPageBreak/>
        <w:t xml:space="preserve">לפקפק בזה, דהא לשיטת רש"י לכאורה לא תלוי בעיכול רק בזמן שנדבק בפיו, ולרמב"ם לפר"ח תלוי בזמן שיש להניח שנשאר בשר בפיו, וכן אפילו לטור בדעת הרמב"ם שלאחר ו' שעות אין עליו שם בשר, מ"מ מה"ת ששיעור זמן זה תלוי בשיעור עיכול. </w:t>
      </w:r>
    </w:p>
    <w:p w:rsidR="000751AD" w:rsidRPr="00882F11" w:rsidRDefault="000751AD" w:rsidP="005B7973">
      <w:pPr>
        <w:bidi/>
        <w:jc w:val="both"/>
        <w:rPr>
          <w:rFonts w:cs="Guttman Drogolin"/>
          <w:rtl/>
          <w:lang w:bidi="he-IL"/>
        </w:rPr>
      </w:pPr>
      <w:r w:rsidRPr="00882F11">
        <w:rPr>
          <w:rFonts w:cs="Guttman Drogolin" w:hint="cs"/>
          <w:rtl/>
          <w:lang w:bidi="he-IL"/>
        </w:rPr>
        <w:t xml:space="preserve">ונלעוק"ד לבאר דברי הפר"ח, שעיקר שיטת הרמב"ם הוא ג"כ להקל בסעודה אחרת ולא בשיעור זמן ועל דרך מש"כ התוס'. רק שהרמב"ם סבר דלא סגי לן בזה שסילק ובירך, רק צריך להיות שאוכל בסעודה אחרת הזמן שהוא רגיל לעשות הסעודה השני'. ולכן אם סילק והמתין עד הזמן שאוכל סעודה אחרת מותר, ולא איכפת לן בדיוק כמה זמן עובר, שבדר"כ </w:t>
      </w:r>
      <w:r w:rsidR="005B7973" w:rsidRPr="00882F11">
        <w:rPr>
          <w:rFonts w:cs="Guttman Drogolin" w:hint="cs"/>
          <w:rtl/>
          <w:lang w:bidi="he-IL"/>
        </w:rPr>
        <w:t>ב</w:t>
      </w:r>
      <w:r w:rsidRPr="00882F11">
        <w:rPr>
          <w:rFonts w:cs="Guttman Drogolin" w:hint="cs"/>
          <w:rtl/>
          <w:lang w:bidi="he-IL"/>
        </w:rPr>
        <w:t xml:space="preserve">זמן זה סגי, וכן בדר"כ הוא כמו שש שעות. ולפי זה שפיר מובנים דברי המהרש"ל הנ"ל, שאם לא סילק ובירך אינו יכול לאכול גבינה אפילו המתין ו' שעות, דהא גם לרמב"ם עיקר הענין הוא שיהי' סעודה קבועה השני' וכמש"נ. ואע"ג שלשונם של השו"ע ועוד מגדולי הפוסקים הוא שצריכים להמתין ו' שעות, הרי הפר"ח פי' דלאו דוקא נקטו. </w:t>
      </w:r>
    </w:p>
    <w:p w:rsidR="009B5074" w:rsidRPr="00882F11" w:rsidRDefault="000751AD" w:rsidP="000C18B9">
      <w:pPr>
        <w:bidi/>
        <w:jc w:val="both"/>
        <w:rPr>
          <w:rFonts w:cs="Guttman Drogolin"/>
          <w:rtl/>
          <w:lang w:bidi="he-IL"/>
        </w:rPr>
      </w:pPr>
      <w:r w:rsidRPr="00882F11">
        <w:rPr>
          <w:rFonts w:cs="Guttman Drogolin" w:hint="cs"/>
          <w:rtl/>
          <w:lang w:bidi="he-IL"/>
        </w:rPr>
        <w:t xml:space="preserve">ועוד נראה לי לבאר בזה באופן אחר. דהנה </w:t>
      </w:r>
      <w:r w:rsidR="00E0464C" w:rsidRPr="00882F11">
        <w:rPr>
          <w:rFonts w:cs="Guttman Drogolin" w:hint="cs"/>
          <w:rtl/>
          <w:lang w:bidi="he-IL"/>
        </w:rPr>
        <w:t xml:space="preserve">הפת"ש בס"ק ג' הביא מחלוקת האחרונים אם הו' שעות הם שעות זמניות או לא. </w:t>
      </w:r>
      <w:r w:rsidR="009B5074" w:rsidRPr="00882F11">
        <w:rPr>
          <w:rFonts w:cs="Guttman Drogolin" w:hint="cs"/>
          <w:rtl/>
          <w:lang w:bidi="he-IL"/>
        </w:rPr>
        <w:t>ויש שרצו לומר שכל אלו שדנו אם הם שעות זמניות או קבועות ע"כ חולקים על הפר"ח, דהא לדידי' ו' שעות לאו דוקא נקטו. וב</w:t>
      </w:r>
      <w:r w:rsidR="00781859" w:rsidRPr="00882F11">
        <w:rPr>
          <w:rFonts w:cs="Guttman Drogolin" w:hint="cs"/>
          <w:rtl/>
          <w:lang w:bidi="he-IL"/>
        </w:rPr>
        <w:t>א</w:t>
      </w:r>
      <w:r w:rsidR="009B5074" w:rsidRPr="00882F11">
        <w:rPr>
          <w:rFonts w:cs="Guttman Drogolin" w:hint="cs"/>
          <w:rtl/>
          <w:lang w:bidi="he-IL"/>
        </w:rPr>
        <w:t>מת בכגון ס' גן המלך (סי' קנ"ד) מפורש בדבריו שחולק על הפר"ח. אמנם נלעוק"ד לחדש שאין מעיק</w:t>
      </w:r>
      <w:r w:rsidR="005B7973" w:rsidRPr="00882F11">
        <w:rPr>
          <w:rFonts w:cs="Guttman Drogolin" w:hint="cs"/>
          <w:rtl/>
          <w:lang w:bidi="he-IL"/>
        </w:rPr>
        <w:t>ר</w:t>
      </w:r>
      <w:r w:rsidR="009B5074" w:rsidRPr="00882F11">
        <w:rPr>
          <w:rFonts w:cs="Guttman Drogolin" w:hint="cs"/>
          <w:rtl/>
          <w:lang w:bidi="he-IL"/>
        </w:rPr>
        <w:t xml:space="preserve"> המחלוקת שום הוכחה, והטעם שהרי לפעמים נוגע פלוגתא זו אפילו כשאינו נכנס לסעודה קבועה, וכגון מי שאכל סעודת בשר בליל שבועות ורוצה לדעת מתי יוכל לשתות קפה חלבי, הרי לשיטת הפר"ח עדיין צ"ע מתי יהא מותר לו, דהא ליכא סעודה קבועה, ולא מסתבר כלל שהולכים לפי העונה כמה זמן יש בדר"כ בין סעודה לסעודה. ולכן נראה שבכה"ג ודאי צריכים להמתין ו' שעות שלמות. וא"כ שפיר יש נ</w:t>
      </w:r>
      <w:r w:rsidR="000C18B9" w:rsidRPr="00882F11">
        <w:rPr>
          <w:rFonts w:cs="Guttman Drogolin" w:hint="cs"/>
          <w:rtl/>
          <w:lang w:bidi="he-IL"/>
        </w:rPr>
        <w:t>פ</w:t>
      </w:r>
      <w:r w:rsidR="009B5074" w:rsidRPr="00882F11">
        <w:rPr>
          <w:rFonts w:cs="Guttman Drogolin" w:hint="cs"/>
          <w:rtl/>
          <w:lang w:bidi="he-IL"/>
        </w:rPr>
        <w:t xml:space="preserve">ק"מ </w:t>
      </w:r>
      <w:r w:rsidR="009B5074" w:rsidRPr="00882F11">
        <w:rPr>
          <w:rFonts w:cs="Guttman Drogolin" w:hint="cs"/>
          <w:rtl/>
          <w:lang w:bidi="he-IL"/>
        </w:rPr>
        <w:lastRenderedPageBreak/>
        <w:t>גם לפר"ח אם הם שעות זמניות או קבועות. ולכן לפי זה ניחא למה נקטו כמה פוסקים השיעור של ו' שעות ולא כמו שש שעות או כבין סעודה לסעודה לפ</w:t>
      </w:r>
      <w:r w:rsidR="00760943" w:rsidRPr="00882F11">
        <w:rPr>
          <w:rFonts w:cs="Guttman Drogolin" w:hint="cs"/>
          <w:rtl/>
          <w:lang w:bidi="he-IL"/>
        </w:rPr>
        <w:t xml:space="preserve">י </w:t>
      </w:r>
      <w:r w:rsidR="009B5074" w:rsidRPr="00882F11">
        <w:rPr>
          <w:rFonts w:cs="Guttman Drogolin" w:hint="cs"/>
          <w:rtl/>
          <w:lang w:bidi="he-IL"/>
        </w:rPr>
        <w:t xml:space="preserve">שיטת הפר"ח. </w:t>
      </w:r>
    </w:p>
    <w:p w:rsidR="00760943" w:rsidRPr="00882F11" w:rsidRDefault="009B5074" w:rsidP="00AF2547">
      <w:pPr>
        <w:bidi/>
        <w:jc w:val="both"/>
        <w:rPr>
          <w:rFonts w:cs="Guttman Drogolin"/>
          <w:rtl/>
          <w:lang w:bidi="he-IL"/>
        </w:rPr>
      </w:pPr>
      <w:r w:rsidRPr="00882F11">
        <w:rPr>
          <w:rFonts w:cs="Guttman Drogolin" w:hint="cs"/>
          <w:rtl/>
          <w:lang w:bidi="he-IL"/>
        </w:rPr>
        <w:t xml:space="preserve">ויש מן האחרונים שאמנם נקטו דלא כדעת הפר"ח וכל שיטת הרי"ף והרמב"ם מבוסס על שיעור זמן, מ"מ דקדקו לשון הרמב"ם לומר שאין השיעור זמן שש שעות שלמות רק 'כמו' שש שעות, ולכן אמרו שיעורים אחרים לענין מהו 'כמו' שש שעות, </w:t>
      </w:r>
      <w:r w:rsidR="00760943" w:rsidRPr="00882F11">
        <w:rPr>
          <w:rFonts w:cs="Guttman Drogolin" w:hint="cs"/>
          <w:rtl/>
          <w:lang w:bidi="he-IL"/>
        </w:rPr>
        <w:t>ו</w:t>
      </w:r>
      <w:r w:rsidRPr="00882F11">
        <w:rPr>
          <w:rFonts w:cs="Guttman Drogolin" w:hint="cs"/>
          <w:rtl/>
          <w:lang w:bidi="he-IL"/>
        </w:rPr>
        <w:t>י"א עד יותר מחמש וחצי שעות (כן אומרים בשם הגר"א קוטלר, וע' גם יבי"א יו"ד סי' ד')</w:t>
      </w:r>
      <w:r w:rsidR="00760943" w:rsidRPr="00882F11">
        <w:rPr>
          <w:rFonts w:cs="Guttman Drogolin" w:hint="cs"/>
          <w:rtl/>
          <w:lang w:bidi="he-IL"/>
        </w:rPr>
        <w:t>, וכן שמעתי שהזמן עד שיכנס השעה הששית (</w:t>
      </w:r>
      <w:r w:rsidR="00AF2547" w:rsidRPr="00882F11">
        <w:rPr>
          <w:rFonts w:cs="Guttman Drogolin" w:hint="cs"/>
          <w:rtl/>
          <w:lang w:bidi="he-IL"/>
        </w:rPr>
        <w:t>וע' בהערה</w:t>
      </w:r>
      <w:r w:rsidR="00E703FC" w:rsidRPr="00882F11">
        <w:rPr>
          <w:rFonts w:cs="Guttman Drogolin" w:hint="cs"/>
          <w:rtl/>
          <w:lang w:bidi="he-IL"/>
        </w:rPr>
        <w:t xml:space="preserve"> הבאה</w:t>
      </w:r>
      <w:r w:rsidR="00760943" w:rsidRPr="00882F11">
        <w:rPr>
          <w:rFonts w:cs="Guttman Drogolin" w:hint="cs"/>
          <w:rtl/>
          <w:lang w:bidi="he-IL"/>
        </w:rPr>
        <w:t xml:space="preserve"> </w:t>
      </w:r>
      <w:r w:rsidR="00AF2547" w:rsidRPr="00882F11">
        <w:rPr>
          <w:rFonts w:cs="Guttman Drogolin" w:hint="cs"/>
          <w:rtl/>
          <w:lang w:bidi="he-IL"/>
        </w:rPr>
        <w:t>דנראה שכן נקט הגר"י אברמסקי</w:t>
      </w:r>
      <w:r w:rsidR="00760943" w:rsidRPr="00882F11">
        <w:rPr>
          <w:rFonts w:cs="Guttman Drogolin" w:hint="cs"/>
          <w:rtl/>
          <w:lang w:bidi="he-IL"/>
        </w:rPr>
        <w:t xml:space="preserve">). </w:t>
      </w:r>
    </w:p>
    <w:p w:rsidR="00781859" w:rsidRPr="00882F11" w:rsidRDefault="00760943" w:rsidP="00760943">
      <w:pPr>
        <w:bidi/>
        <w:jc w:val="both"/>
        <w:rPr>
          <w:rFonts w:cs="Guttman Drogolin"/>
          <w:rtl/>
          <w:lang w:bidi="he-IL"/>
        </w:rPr>
      </w:pPr>
      <w:r w:rsidRPr="00882F11">
        <w:rPr>
          <w:rFonts w:cs="Guttman Drogolin" w:hint="cs"/>
          <w:rtl/>
          <w:lang w:bidi="he-IL"/>
        </w:rPr>
        <w:t>ויש מכל זה נפק"מ גדולה לסעודות הקבועות שבישיבות הקדושות</w:t>
      </w:r>
      <w:r w:rsidR="00AF2547" w:rsidRPr="00882F11">
        <w:rPr>
          <w:rStyle w:val="FootnoteReference"/>
          <w:rFonts w:cs="Guttman Drogolin"/>
          <w:rtl/>
          <w:lang w:bidi="he-IL"/>
        </w:rPr>
        <w:footnoteReference w:id="187"/>
      </w:r>
      <w:r w:rsidRPr="00882F11">
        <w:rPr>
          <w:rFonts w:cs="Guttman Drogolin" w:hint="cs"/>
          <w:rtl/>
          <w:lang w:bidi="he-IL"/>
        </w:rPr>
        <w:t xml:space="preserve">, שבכמה תקופות שבמשך השנה יוצא שיש בחורים האוכלים סעודה בשרית של הישיבה בצהרים, ובערב אוכלים סעודה חלבית אע"ג שעדיין לא עברו שש שעות מזה לזה. ולכאורה ע"פ הנ"ל שפיר יש להם על מה לסמוך. ומ"מ נראה שאין להם להקל אלא כשאוכלים הסעודה הקבועה שלהם, ולא להקל בשארי הזמנים בשיעור זמן פחות משש שעות וכמש"נ. </w:t>
      </w:r>
      <w:r w:rsidR="00781859" w:rsidRPr="00882F11">
        <w:rPr>
          <w:rFonts w:cs="Guttman Drogolin" w:hint="cs"/>
          <w:rtl/>
          <w:lang w:bidi="he-IL"/>
        </w:rPr>
        <w:t>ומ"מ אפילו אחרי כל מה שכתבנו, כיון שסתימת כמה אחרונים שיש להמתין ו' שעות, י"ל שאפילו אם הראשונים לא התכוונתו להחמיר כולי האי, מ"מ נשתרבב המנהג ע"פ לשון הרמב"ם להמתין ו' שעות שלמות ולא איכפת לן אם נכנס לסעודה קבועה או לא. ולכן מקום למדקדקים להמיר בזה.</w:t>
      </w:r>
    </w:p>
    <w:p w:rsidR="00CA4553" w:rsidRPr="00882F11" w:rsidRDefault="00781859" w:rsidP="00006D15">
      <w:pPr>
        <w:bidi/>
        <w:jc w:val="both"/>
        <w:rPr>
          <w:rFonts w:cs="Guttman Drogolin"/>
          <w:rtl/>
          <w:lang w:bidi="he-IL"/>
        </w:rPr>
      </w:pPr>
      <w:r w:rsidRPr="00882F11">
        <w:rPr>
          <w:rFonts w:cs="Guttman Drogolin" w:hint="cs"/>
          <w:rtl/>
          <w:lang w:bidi="he-IL"/>
        </w:rPr>
        <w:t>ושמעתי שיש מקילים אם הל</w:t>
      </w:r>
      <w:r w:rsidR="00006D15" w:rsidRPr="00882F11">
        <w:rPr>
          <w:rFonts w:cs="Guttman Drogolin" w:hint="cs"/>
          <w:rtl/>
          <w:lang w:bidi="he-IL"/>
        </w:rPr>
        <w:t>ך</w:t>
      </w:r>
      <w:r w:rsidRPr="00882F11">
        <w:rPr>
          <w:rFonts w:cs="Guttman Drogolin" w:hint="cs"/>
          <w:rtl/>
          <w:lang w:bidi="he-IL"/>
        </w:rPr>
        <w:t xml:space="preserve"> לישון שינת קבע בין סעודה שאינו צריך ו' שעות. ולא ידוע לי מקור נאמן להיתר זה, אמנם אם אכל בסעודה קבועה וכן נכנס לסעודה קבועה אחרת יש להקל וכנ"ל.</w:t>
      </w:r>
    </w:p>
    <w:p w:rsidR="00CA4553" w:rsidRPr="00882F11" w:rsidRDefault="00CA4553" w:rsidP="0078079C">
      <w:pPr>
        <w:pStyle w:val="Heading1"/>
        <w:bidi/>
        <w:spacing w:before="0" w:line="360" w:lineRule="auto"/>
        <w:jc w:val="center"/>
        <w:rPr>
          <w:rFonts w:cs="Guttman Drogolin"/>
          <w:color w:val="auto"/>
          <w:sz w:val="24"/>
          <w:szCs w:val="24"/>
          <w:u w:val="single"/>
          <w:rtl/>
          <w:lang w:bidi="he-IL"/>
        </w:rPr>
      </w:pPr>
      <w:bookmarkStart w:id="161" w:name="_Toc496175418"/>
      <w:r w:rsidRPr="00882F11">
        <w:rPr>
          <w:rFonts w:cs="Guttman Drogolin" w:hint="cs"/>
          <w:color w:val="auto"/>
          <w:sz w:val="24"/>
          <w:szCs w:val="24"/>
          <w:u w:val="single"/>
          <w:rtl/>
          <w:lang w:bidi="he-IL"/>
        </w:rPr>
        <w:lastRenderedPageBreak/>
        <w:t>הדין כשיש משהו בין השיניים</w:t>
      </w:r>
      <w:bookmarkEnd w:id="161"/>
    </w:p>
    <w:p w:rsidR="0077715C" w:rsidRPr="00882F11" w:rsidRDefault="0050025C" w:rsidP="001F38B6">
      <w:pPr>
        <w:bidi/>
        <w:jc w:val="both"/>
        <w:rPr>
          <w:rFonts w:cs="Guttman Drogolin"/>
          <w:rtl/>
          <w:lang w:bidi="he-IL"/>
        </w:rPr>
      </w:pPr>
      <w:r>
        <w:rPr>
          <w:rFonts w:cs="Guttman Drogolin"/>
          <w:rtl/>
          <w:lang w:bidi="he-IL"/>
        </w:rPr>
        <w:fldChar w:fldCharType="begin"/>
      </w:r>
      <w:r>
        <w:instrText xml:space="preserve"> XE "</w:instrText>
      </w:r>
      <w:r w:rsidRPr="001B2B1E">
        <w:rPr>
          <w:rFonts w:hint="cs"/>
          <w:rtl/>
          <w:lang w:bidi="he-IL"/>
        </w:rPr>
        <w:instrText>בשר בחלב - חיוב המתנה</w:instrText>
      </w:r>
      <w:r w:rsidRPr="001B2B1E">
        <w:rPr>
          <w:rtl/>
        </w:rPr>
        <w:instrText>:</w:instrText>
      </w:r>
      <w:r w:rsidRPr="001B2B1E">
        <w:rPr>
          <w:rFonts w:hint="cs"/>
          <w:rtl/>
          <w:lang w:bidi="he-IL"/>
        </w:rPr>
        <w:instrText>כשמצא בשר בין השיניים</w:instrText>
      </w:r>
      <w:r>
        <w:instrText xml:space="preserve">" </w:instrText>
      </w:r>
      <w:r>
        <w:rPr>
          <w:rFonts w:cs="Guttman Drogolin"/>
          <w:rtl/>
          <w:lang w:bidi="he-IL"/>
        </w:rPr>
        <w:fldChar w:fldCharType="end"/>
      </w:r>
      <w:r w:rsidR="00006D15" w:rsidRPr="00882F11">
        <w:rPr>
          <w:rFonts w:cs="Guttman Drogolin" w:hint="cs"/>
          <w:rtl/>
          <w:lang w:bidi="he-IL"/>
        </w:rPr>
        <w:t>הרמ"א כתב שאם מצא בשר בין השיניים והסירו שצריך להדיח פיו, ו</w:t>
      </w:r>
      <w:r w:rsidR="00CA4553" w:rsidRPr="00882F11">
        <w:rPr>
          <w:rFonts w:cs="Guttman Drogolin" w:hint="cs"/>
          <w:rtl/>
          <w:lang w:bidi="he-IL"/>
        </w:rPr>
        <w:t>הש"ך בס"ק ג' הביא מ</w:t>
      </w:r>
      <w:r w:rsidR="00006D15" w:rsidRPr="00882F11">
        <w:rPr>
          <w:rFonts w:cs="Guttman Drogolin" w:hint="cs"/>
          <w:rtl/>
          <w:lang w:bidi="he-IL"/>
        </w:rPr>
        <w:t xml:space="preserve">ן הר"ן שמ"מ אינו צריך להמתין ו' שעות. </w:t>
      </w:r>
      <w:r w:rsidR="0077715C" w:rsidRPr="00882F11">
        <w:rPr>
          <w:rFonts w:cs="Guttman Drogolin" w:hint="cs"/>
          <w:rtl/>
          <w:lang w:bidi="he-IL"/>
        </w:rPr>
        <w:t xml:space="preserve">ובהגהות הפלאה פי' דהנ"מ אם לא בלע אותו משהו שבין השיניים, אבל אם בלע חייב להמתין ו' שעות. ויש הרבה האחרונים שרוצים להקל בזה, ולא ירדתי לסוף דעתם, דלא מיבעי אם בלעו קודם השש שעות שצריך למנות מזמן בליעתו, אלא אפילו אם הוא לאחר ו' שעות יש להחמרי בזה, חדא שהרי לפר"ח גם לרמב"ם יש עליו שם בשר, ועוד שהרי אנחנו מחמירים גם לשיטת רש"י, ולרש"י הרי גם הטור מודה שיש עליו שם בשר. </w:t>
      </w:r>
    </w:p>
    <w:p w:rsidR="002B0614" w:rsidRPr="00882F11" w:rsidRDefault="0077715C" w:rsidP="002B0614">
      <w:pPr>
        <w:bidi/>
        <w:jc w:val="both"/>
        <w:rPr>
          <w:rFonts w:cs="Guttman Drogolin"/>
          <w:rtl/>
          <w:lang w:bidi="he-IL"/>
        </w:rPr>
      </w:pPr>
      <w:r w:rsidRPr="00882F11">
        <w:rPr>
          <w:rFonts w:cs="Guttman Drogolin" w:hint="cs"/>
          <w:rtl/>
          <w:lang w:bidi="he-IL"/>
        </w:rPr>
        <w:t>ומ"מ כאן יש מקום עיון, שהרי כתבנו שאפילו אם המתין שיעור של כבין סעודה לסעודה מ"מ צריכים סילק ובירך. וא"כ באכל המשהו שבין השיניים (כן כל בשר פחות מכשיעור) האיך יקיים הדין של סילק ובירך. ונראה לומר שאין צריכים סילוק וברכהמ"ז בעצם, רק צריכים סעודה שני', וזה היתה יכול להתקיים כל זמן שיש בדעתו לקבוע סעודה חדשה. רק בזה סוברים התוס' והפוסקים, שאם יכול לברך ולסלק השולחן ואינו עושה כן, מוכח מזה שבאמת אינו קובע סעודה חדשה, וממילא חייבים לסלק ולברך. ולכן במקום שלא שייך זה יכול להתחילה סעודה חדשה אפילו בלי זה.</w:t>
      </w:r>
      <w:r w:rsidR="002B0614" w:rsidRPr="00882F11">
        <w:rPr>
          <w:rFonts w:cs="Guttman Drogolin" w:hint="cs"/>
          <w:rtl/>
          <w:lang w:bidi="he-IL"/>
        </w:rPr>
        <w:t xml:space="preserve"> כן נלעוק"ד אע"ג שלא מצאתי כעת מי שהעיר בזה.</w:t>
      </w:r>
    </w:p>
    <w:p w:rsidR="006B4CA5" w:rsidRPr="00662307" w:rsidRDefault="006B4CA5" w:rsidP="0078079C">
      <w:pPr>
        <w:pStyle w:val="Heading1"/>
        <w:bidi/>
        <w:spacing w:before="0" w:line="360" w:lineRule="auto"/>
        <w:jc w:val="center"/>
        <w:rPr>
          <w:rFonts w:cs="Guttman Drogolin"/>
          <w:color w:val="auto"/>
          <w:sz w:val="20"/>
          <w:szCs w:val="20"/>
          <w:u w:val="single"/>
          <w:rtl/>
          <w:lang w:bidi="he-IL"/>
        </w:rPr>
      </w:pPr>
      <w:bookmarkStart w:id="162" w:name="_Toc496175419"/>
      <w:r w:rsidRPr="00662307">
        <w:rPr>
          <w:rFonts w:cs="Guttman Drogolin" w:hint="cs"/>
          <w:color w:val="auto"/>
          <w:sz w:val="20"/>
          <w:szCs w:val="20"/>
          <w:u w:val="single"/>
          <w:rtl/>
          <w:lang w:bidi="he-IL"/>
        </w:rPr>
        <w:t>ספק אם עבר שיעור זמן כדי להתיר אכילת גבינה</w:t>
      </w:r>
      <w:bookmarkEnd w:id="162"/>
    </w:p>
    <w:p w:rsidR="00DE2639" w:rsidRPr="00882F11" w:rsidRDefault="006B4CA5" w:rsidP="00755565">
      <w:pPr>
        <w:bidi/>
        <w:jc w:val="both"/>
        <w:rPr>
          <w:rFonts w:cs="Guttman Drogolin"/>
          <w:rtl/>
          <w:lang w:bidi="he-IL"/>
        </w:rPr>
      </w:pPr>
      <w:r w:rsidRPr="00882F11">
        <w:rPr>
          <w:rFonts w:cs="Guttman Drogolin" w:hint="cs"/>
          <w:rtl/>
          <w:lang w:bidi="he-IL"/>
        </w:rPr>
        <w:t xml:space="preserve">היד יהודה בס"ק א' שאם הסתפק לו אם עברו ו' שעות או לא שיש להחמיר, ואע"ג שאינו אלא ספק דרבנן מ"מ הוי דבר שי"ל מתירין, ובזה קיי"ל להחמיר אפילו בספק דרבנן. וכמה אחרונים נחלקו עליו. חדא שהרי שיטת הצל"ח דכה"ג לא אמרינן החומרא של דבר שי"ל מתירים. </w:t>
      </w:r>
      <w:r w:rsidR="00755565" w:rsidRPr="00882F11">
        <w:rPr>
          <w:rFonts w:cs="Guttman Drogolin" w:hint="cs"/>
          <w:rtl/>
          <w:lang w:bidi="he-IL"/>
        </w:rPr>
        <w:t xml:space="preserve">והטעם שהרי רש"י ביאר הטעם שמחמירים בדבר שי"ל מתירים </w:t>
      </w:r>
      <w:r w:rsidR="00755565" w:rsidRPr="00882F11">
        <w:rPr>
          <w:rFonts w:cs="Guttman Drogolin" w:hint="cs"/>
          <w:rtl/>
          <w:lang w:bidi="he-IL"/>
        </w:rPr>
        <w:lastRenderedPageBreak/>
        <w:t>שהוא מסברא ד'עד שתאכלנו באיסור תאכלנו בהיתר'. וסבר הצל"ח דלא שייך סברא זו אלא במדי דאכילה שהרי אכילה אפשר לעשות רק פעם א', ולכן למה יעשה אותה מעשה אכילה באיסור כשיכול לעשותו בהיתר. משא"כ בשימוש שאינו מכלה את החפץ י"ל שליתי' לסברא זו, שאם אשתמש עכשיו אוכל להשתמש גם לאחר מכן. ולכן גם כאן, כיון שאינו שייך לחתיכת גבינה מסוימת רק איסור עליו לאכול מאכלים חלביים, ג"כ שייך סברת הצל"ח שאם על עצמו עכשיו אין זה קשור לאכילתו שלאחר מכן.</w:t>
      </w:r>
      <w:r w:rsidR="00AF2547" w:rsidRPr="00882F11">
        <w:rPr>
          <w:rFonts w:cs="Guttman Drogolin" w:hint="cs"/>
          <w:rtl/>
          <w:lang w:bidi="he-IL"/>
        </w:rPr>
        <w:t xml:space="preserve"> אמנם מצאתי עוד טעם להחמיר בזה מהגר"ח קנייבסקי בס' דולה ומשקה (עמ' רנ"ז) והוא שאם לא שם לב מתי זה הי' כשגמר לאכול הרי זה ספק חסרון ידיעה וא"כ ליתי' להתירא הנ"ל. ומ"מ יהי' נפק"מ שמי שאכל מאכל שאינו ידוע אם הוא בשרי או לא</w:t>
      </w:r>
      <w:r w:rsidR="003E47A5" w:rsidRPr="00882F11">
        <w:rPr>
          <w:rStyle w:val="FootnoteReference"/>
          <w:rFonts w:cs="Guttman Drogolin"/>
          <w:rtl/>
          <w:lang w:bidi="he-IL"/>
        </w:rPr>
        <w:footnoteReference w:id="188"/>
      </w:r>
      <w:r w:rsidR="00AF2547" w:rsidRPr="00882F11">
        <w:rPr>
          <w:rFonts w:cs="Guttman Drogolin" w:hint="cs"/>
          <w:rtl/>
          <w:lang w:bidi="he-IL"/>
        </w:rPr>
        <w:t xml:space="preserve">. </w:t>
      </w:r>
    </w:p>
    <w:p w:rsidR="00DE2639" w:rsidRPr="00882F11" w:rsidRDefault="00DE2639" w:rsidP="0078079C">
      <w:pPr>
        <w:pStyle w:val="Heading1"/>
        <w:bidi/>
        <w:spacing w:before="0" w:line="360" w:lineRule="auto"/>
        <w:jc w:val="center"/>
        <w:rPr>
          <w:rFonts w:cs="Guttman Drogolin"/>
          <w:color w:val="auto"/>
          <w:sz w:val="24"/>
          <w:szCs w:val="24"/>
          <w:u w:val="single"/>
          <w:rtl/>
          <w:lang w:bidi="he-IL"/>
        </w:rPr>
      </w:pPr>
      <w:bookmarkStart w:id="163" w:name="_Toc496175420"/>
      <w:r w:rsidRPr="00882F11">
        <w:rPr>
          <w:rFonts w:cs="Guttman Drogolin" w:hint="cs"/>
          <w:color w:val="auto"/>
          <w:sz w:val="24"/>
          <w:szCs w:val="24"/>
          <w:u w:val="single"/>
          <w:rtl/>
          <w:lang w:bidi="he-IL"/>
        </w:rPr>
        <w:t>המתנה מגבינה לבשר</w:t>
      </w:r>
      <w:bookmarkEnd w:id="163"/>
    </w:p>
    <w:p w:rsidR="006F3C87" w:rsidRPr="00882F11" w:rsidRDefault="0050025C" w:rsidP="006F3C87">
      <w:pPr>
        <w:bidi/>
        <w:jc w:val="both"/>
        <w:rPr>
          <w:rFonts w:cs="Guttman Drogolin"/>
          <w:rtl/>
          <w:lang w:bidi="he-IL"/>
        </w:rPr>
      </w:pPr>
      <w:r>
        <w:rPr>
          <w:rFonts w:cs="Guttman Drogolin"/>
          <w:rtl/>
          <w:lang w:bidi="he-IL"/>
        </w:rPr>
        <w:fldChar w:fldCharType="begin"/>
      </w:r>
      <w:r>
        <w:instrText xml:space="preserve"> XE "</w:instrText>
      </w:r>
      <w:r w:rsidRPr="00394F66">
        <w:rPr>
          <w:rFonts w:hint="cs"/>
          <w:rtl/>
          <w:lang w:bidi="he-IL"/>
        </w:rPr>
        <w:instrText>בשר בחלב - חיוב המתנה</w:instrText>
      </w:r>
      <w:r w:rsidRPr="00394F66">
        <w:rPr>
          <w:rtl/>
        </w:rPr>
        <w:instrText>:</w:instrText>
      </w:r>
      <w:r w:rsidRPr="00394F66">
        <w:rPr>
          <w:rFonts w:hint="cs"/>
          <w:rtl/>
          <w:lang w:bidi="he-IL"/>
        </w:rPr>
        <w:instrText>מגבינה לבשר</w:instrText>
      </w:r>
      <w:r>
        <w:instrText xml:space="preserve">" </w:instrText>
      </w:r>
      <w:r>
        <w:rPr>
          <w:rFonts w:cs="Guttman Drogolin"/>
          <w:rtl/>
          <w:lang w:bidi="he-IL"/>
        </w:rPr>
        <w:fldChar w:fldCharType="end"/>
      </w:r>
      <w:r w:rsidR="00DE2639" w:rsidRPr="00882F11">
        <w:rPr>
          <w:rFonts w:cs="Guttman Drogolin" w:hint="cs"/>
          <w:rtl/>
          <w:lang w:bidi="he-IL"/>
        </w:rPr>
        <w:t xml:space="preserve">מפורש בגמ' שאין חובת המתנה מגבינה לבשר, דהא מאותו מקום שלמדו להמתין בין בשר לגבינה חילקו להדיא בין בשר קודם לגבינה קודם. והדרכ"מ </w:t>
      </w:r>
      <w:r w:rsidR="006F3C87" w:rsidRPr="00882F11">
        <w:rPr>
          <w:rFonts w:cs="Guttman Drogolin" w:hint="cs"/>
          <w:rtl/>
          <w:lang w:bidi="he-IL"/>
        </w:rPr>
        <w:t>הארוך ס"ק ג' הביא ממרדכי שמהר"ם פעם מצא גבינה בין שיניו בזמן אכילת בשר ומאז החמיר שלא לאכול בשר אחר גבינה. ועוד הביא מאו"ה שאמנם יש להקל באכילת בשר אחרי גבינה רכה, אבל אחרי גבינה קשה מידת חסידות להמתין וכמו שנהג המהר"ם. והסיק הרמ"א שכן נוהגים להחמיר, וע"ש שיש לזה מקור מן הזוהר שהזהיר שלא לאוכלם שבעתא חדא. וכן בשו"ע המחבר סתם להקל בזה והרמ"א כתב שהמנהג הוא להחמיר</w:t>
      </w:r>
      <w:r w:rsidR="006A5D7A" w:rsidRPr="00882F11">
        <w:rPr>
          <w:rStyle w:val="FootnoteReference"/>
          <w:rFonts w:cs="Guttman Drogolin"/>
          <w:rtl/>
          <w:lang w:bidi="he-IL"/>
        </w:rPr>
        <w:footnoteReference w:id="189"/>
      </w:r>
      <w:r w:rsidR="006F3C87" w:rsidRPr="00882F11">
        <w:rPr>
          <w:rFonts w:cs="Guttman Drogolin" w:hint="cs"/>
          <w:rtl/>
          <w:lang w:bidi="he-IL"/>
        </w:rPr>
        <w:t xml:space="preserve">. </w:t>
      </w:r>
      <w:r w:rsidR="00482E5F" w:rsidRPr="00882F11">
        <w:rPr>
          <w:rFonts w:cs="Guttman Drogolin" w:hint="cs"/>
          <w:rtl/>
          <w:lang w:bidi="he-IL"/>
        </w:rPr>
        <w:t xml:space="preserve">וביש"ש (אות ו') כתב שהוא נראה כמינות </w:t>
      </w:r>
      <w:r w:rsidR="00AC2854">
        <w:rPr>
          <w:rFonts w:cs="Guttman Drogolin" w:hint="cs"/>
          <w:rtl/>
          <w:lang w:bidi="he-IL"/>
        </w:rPr>
        <w:t>ואין מקום להחמיר אחרי סתימת התל</w:t>
      </w:r>
      <w:r w:rsidR="00482E5F" w:rsidRPr="00882F11">
        <w:rPr>
          <w:rFonts w:cs="Guttman Drogolin" w:hint="cs"/>
          <w:rtl/>
          <w:lang w:bidi="he-IL"/>
        </w:rPr>
        <w:t>מוד להקל בזה. ומ"מ קיי"ל להחמיר בזה.</w:t>
      </w:r>
    </w:p>
    <w:p w:rsidR="00482E5F" w:rsidRPr="00882F11" w:rsidRDefault="006F3C87" w:rsidP="006F3C87">
      <w:pPr>
        <w:bidi/>
        <w:jc w:val="both"/>
        <w:rPr>
          <w:rFonts w:cs="Guttman Drogolin"/>
          <w:rtl/>
          <w:lang w:bidi="he-IL"/>
        </w:rPr>
      </w:pPr>
      <w:r w:rsidRPr="00882F11">
        <w:rPr>
          <w:rFonts w:cs="Guttman Drogolin" w:hint="cs"/>
          <w:rtl/>
          <w:lang w:bidi="he-IL"/>
        </w:rPr>
        <w:t xml:space="preserve">ומ"מ המנהג הוא להחמיר רק בגבינה קשה, אבל בגבינה רכה ליכא מנהג. וגבינה קשה בהיינו גבינה שעבר עליו ו' חדשים. וגבינה צהובה של </w:t>
      </w:r>
      <w:r w:rsidRPr="00882F11">
        <w:rPr>
          <w:rFonts w:cs="Guttman Drogolin" w:hint="cs"/>
          <w:rtl/>
          <w:lang w:bidi="he-IL"/>
        </w:rPr>
        <w:lastRenderedPageBreak/>
        <w:t>היום לכאורה אינה גבינה קשה, וכ"כ הרבה אחרונים</w:t>
      </w:r>
      <w:r w:rsidR="00482E5F" w:rsidRPr="00882F11">
        <w:rPr>
          <w:rFonts w:cs="Guttman Drogolin" w:hint="cs"/>
          <w:rtl/>
          <w:lang w:bidi="he-IL"/>
        </w:rPr>
        <w:t xml:space="preserve"> (ע' קיצור שו"ע (פויפר) בזה)</w:t>
      </w:r>
      <w:r w:rsidRPr="00882F11">
        <w:rPr>
          <w:rFonts w:cs="Guttman Drogolin" w:hint="cs"/>
          <w:rtl/>
          <w:lang w:bidi="he-IL"/>
        </w:rPr>
        <w:t>, אבל הגריש"א (בקובץ תשובות ח"א סי' נ"ח אות ב') החמיר בזה אפילו אם הגבינה נימך באור כגון מאכילת פיצה טרי'. ונראה שהוא חומרא יתירה, בפרט בדבר שאינו מדינא דגמ', ולא יהא אלא ספק אם הוא גבינה רכה או קשה הי' לנו להקל אפי' אילו הי' איסור דרבנן ממש, כ"ש בכה"ג. וראיתי בעיני גבינה ישנה שהוא קשה ממש ואי אפשר לאכלו אא"כ מגרד אותו וגבינה כזו שפיר הוי גבינה קשה ובכלל המנהג.</w:t>
      </w:r>
    </w:p>
    <w:p w:rsidR="00116B68" w:rsidRPr="00882F11" w:rsidRDefault="00482E5F" w:rsidP="008E2627">
      <w:pPr>
        <w:bidi/>
        <w:jc w:val="both"/>
        <w:rPr>
          <w:rFonts w:cs="Guttman Drogolin"/>
          <w:rtl/>
          <w:lang w:bidi="he-IL"/>
        </w:rPr>
      </w:pPr>
      <w:r w:rsidRPr="00882F11">
        <w:rPr>
          <w:rFonts w:cs="Guttman Drogolin" w:hint="cs"/>
          <w:rtl/>
          <w:lang w:bidi="he-IL"/>
        </w:rPr>
        <w:t>ושאלו אותי אודות אשה שפזרה גבינה 'פרמז'אן'</w:t>
      </w:r>
      <w:r w:rsidR="006F3C87" w:rsidRPr="00882F11">
        <w:rPr>
          <w:rFonts w:cs="Guttman Drogolin" w:hint="cs"/>
          <w:rtl/>
          <w:lang w:bidi="he-IL"/>
        </w:rPr>
        <w:t xml:space="preserve"> </w:t>
      </w:r>
      <w:r w:rsidRPr="00882F11">
        <w:rPr>
          <w:rFonts w:cs="Guttman Drogolin" w:hint="cs"/>
          <w:rtl/>
          <w:lang w:bidi="he-IL"/>
        </w:rPr>
        <w:t>מגורדת (שהיא לכאורה גבינה קשה) על מאכל מסוים ואכלה אותה שעה לפני שב"ק</w:t>
      </w:r>
      <w:r w:rsidR="006F3C87" w:rsidRPr="00882F11">
        <w:rPr>
          <w:rFonts w:cs="Guttman Drogolin" w:hint="cs"/>
          <w:rtl/>
          <w:lang w:bidi="he-IL"/>
        </w:rPr>
        <w:t xml:space="preserve"> </w:t>
      </w:r>
      <w:r w:rsidRPr="00882F11">
        <w:rPr>
          <w:rFonts w:cs="Guttman Drogolin" w:hint="cs"/>
          <w:rtl/>
          <w:lang w:bidi="he-IL"/>
        </w:rPr>
        <w:t>האם יש מקום להקל שתאכל הסעודת שבת שהיא בשרית</w:t>
      </w:r>
      <w:r w:rsidR="00116B68" w:rsidRPr="00882F11">
        <w:rPr>
          <w:rStyle w:val="FootnoteReference"/>
          <w:rFonts w:cs="Guttman Drogolin"/>
          <w:rtl/>
          <w:lang w:bidi="he-IL"/>
        </w:rPr>
        <w:footnoteReference w:id="190"/>
      </w:r>
      <w:r w:rsidRPr="00882F11">
        <w:rPr>
          <w:rFonts w:cs="Guttman Drogolin" w:hint="cs"/>
          <w:rtl/>
          <w:lang w:bidi="he-IL"/>
        </w:rPr>
        <w:t xml:space="preserve">. והנה בעיקר המנהג כתב הש"ך בס"ק ט"ז בשם ספר מצרף לחכמה שלשיטת הרמ"א בסע' א' לכאורה אינו צריך להמתין אלא שעה א'. ולכאורה דבר זה פשוט לנוהגים להקל כן בגבינה אחרי בשר, אבל יל"ע אם כוונתו להקל אפילו למחמירים להמתין ו' שעות אחרי אכילת בשר ג"כ. והטעם בזה שהרי המקור מזוהר לכאורה אינו מחייב אלא שעה א', וכן אם הוא מנהג שלא מדינא דגמ' דיינו כמנהג שהוא שעה א'. </w:t>
      </w:r>
      <w:r w:rsidR="008E2627" w:rsidRPr="00882F11">
        <w:rPr>
          <w:rFonts w:cs="Guttman Drogolin" w:hint="cs"/>
          <w:rtl/>
          <w:lang w:bidi="he-IL"/>
        </w:rPr>
        <w:t>ואף שכתבו הרבה אחרונים שעכשיו נהגו להמתין ו' שעות, מ"מ היינו כדי להחמיר כפי מה שנראה עיקר הדין כרמב"ם, אבל זה שאינו אלא מכח המנהג י"ל שגם הם מודים שאינו אלא לשעה א'. ו</w:t>
      </w:r>
      <w:r w:rsidRPr="00882F11">
        <w:rPr>
          <w:rFonts w:cs="Guttman Drogolin" w:hint="cs"/>
          <w:rtl/>
          <w:lang w:bidi="he-IL"/>
        </w:rPr>
        <w:t xml:space="preserve">מאידך הט"ז כתב שלפי המנהג יש להתמין ו' שעות, ובשפ"ד על הש"ך שם כתב </w:t>
      </w:r>
      <w:r w:rsidR="00C32AAB" w:rsidRPr="00882F11">
        <w:rPr>
          <w:rFonts w:cs="Guttman Drogolin" w:hint="cs"/>
          <w:rtl/>
          <w:lang w:bidi="he-IL"/>
        </w:rPr>
        <w:t xml:space="preserve">דשאר אחרונים מחמירים להמתין ו' שעות, ומ"מ הביא מפר"ח </w:t>
      </w:r>
      <w:r w:rsidR="00116B68" w:rsidRPr="00882F11">
        <w:rPr>
          <w:rFonts w:cs="Guttman Drogolin" w:hint="cs"/>
          <w:rtl/>
          <w:lang w:bidi="he-IL"/>
        </w:rPr>
        <w:t>(אות ט"ו) להקל בבשר עוף אחרי גבינה וע"ש שאכמו משום שגם הזוהר לא התכוין להחמיר אלא בבשר בקר, והסיק הפמ"ג שבגבינה קשה ראוי להחמיר. ומדקדוק לשון הפמ"ג נראה שאינו חיוב גמור להחמיר בכה"ג.</w:t>
      </w:r>
    </w:p>
    <w:p w:rsidR="00A67A62" w:rsidRPr="00882F11" w:rsidRDefault="00116B68" w:rsidP="00AC2854">
      <w:pPr>
        <w:bidi/>
        <w:jc w:val="both"/>
        <w:rPr>
          <w:rFonts w:cs="Guttman Drogolin"/>
          <w:rtl/>
          <w:lang w:bidi="he-IL"/>
        </w:rPr>
      </w:pPr>
      <w:r w:rsidRPr="00882F11">
        <w:rPr>
          <w:rFonts w:cs="Guttman Drogolin" w:hint="cs"/>
          <w:rtl/>
          <w:lang w:bidi="he-IL"/>
        </w:rPr>
        <w:t xml:space="preserve">מכל הלין נראה שבנד"ד שהוא דבר שאינו מדינא דגמ' יתכן שיש מקום להקל כש"ך לגמרי במקום </w:t>
      </w:r>
      <w:r w:rsidRPr="00882F11">
        <w:rPr>
          <w:rFonts w:cs="Guttman Drogolin" w:hint="cs"/>
          <w:rtl/>
          <w:lang w:bidi="he-IL"/>
        </w:rPr>
        <w:lastRenderedPageBreak/>
        <w:t xml:space="preserve">מצוה, וכ"ש שאם אינו אוכל אלא בשר עוף שיש להקל </w:t>
      </w:r>
      <w:r w:rsidR="00E771A3" w:rsidRPr="00882F11">
        <w:rPr>
          <w:rFonts w:cs="Guttman Drogolin" w:hint="cs"/>
          <w:rtl/>
          <w:lang w:bidi="he-IL"/>
        </w:rPr>
        <w:t>אחרי המתנת שעה עם סילוק וברכה קינוח והדחה ונט"י</w:t>
      </w:r>
      <w:r w:rsidRPr="00882F11">
        <w:rPr>
          <w:rFonts w:cs="Guttman Drogolin" w:hint="cs"/>
          <w:rtl/>
          <w:lang w:bidi="he-IL"/>
        </w:rPr>
        <w:t xml:space="preserve">.  </w:t>
      </w:r>
      <w:r w:rsidR="006F3C87" w:rsidRPr="00882F11">
        <w:rPr>
          <w:rFonts w:cs="Guttman Drogolin" w:hint="cs"/>
          <w:rtl/>
          <w:lang w:bidi="he-IL"/>
        </w:rPr>
        <w:t xml:space="preserve">  </w:t>
      </w:r>
    </w:p>
    <w:p w:rsidR="00A67A62" w:rsidRPr="00882F11" w:rsidRDefault="00A67A62" w:rsidP="00A67A62">
      <w:pPr>
        <w:bidi/>
        <w:jc w:val="both"/>
        <w:rPr>
          <w:rFonts w:cs="Guttman Drogolin"/>
          <w:rtl/>
          <w:lang w:bidi="he-IL"/>
        </w:rPr>
        <w:sectPr w:rsidR="00A67A62" w:rsidRPr="00882F11" w:rsidSect="00662307">
          <w:type w:val="continuous"/>
          <w:pgSz w:w="11907" w:h="16839" w:code="9"/>
          <w:pgMar w:top="1440" w:right="1440" w:bottom="1440" w:left="1440" w:header="720" w:footer="720" w:gutter="0"/>
          <w:cols w:num="2" w:space="720"/>
          <w:bidi/>
          <w:docGrid w:linePitch="360"/>
        </w:sectPr>
      </w:pPr>
    </w:p>
    <w:p w:rsidR="00A67A62" w:rsidRPr="00882F11" w:rsidRDefault="00A67A62" w:rsidP="00A67A62">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מ"ה</w:t>
      </w:r>
    </w:p>
    <w:p w:rsidR="00662307" w:rsidRDefault="00662307" w:rsidP="0078079C">
      <w:pPr>
        <w:pStyle w:val="Heading1"/>
        <w:bidi/>
        <w:spacing w:before="0" w:line="360" w:lineRule="auto"/>
        <w:jc w:val="center"/>
        <w:rPr>
          <w:rFonts w:cs="Guttman Drogolin"/>
          <w:color w:val="auto"/>
          <w:sz w:val="24"/>
          <w:szCs w:val="24"/>
          <w:u w:val="single"/>
          <w:rtl/>
          <w:lang w:bidi="he-IL"/>
        </w:rPr>
        <w:sectPr w:rsidR="00662307" w:rsidSect="00662307">
          <w:pgSz w:w="11907" w:h="16839" w:code="9"/>
          <w:pgMar w:top="1440" w:right="1440" w:bottom="1440" w:left="1440" w:header="720" w:footer="720" w:gutter="0"/>
          <w:cols w:space="720"/>
          <w:bidi/>
          <w:docGrid w:linePitch="360"/>
        </w:sectPr>
      </w:pPr>
    </w:p>
    <w:p w:rsidR="00A67A62" w:rsidRPr="00662307" w:rsidRDefault="00A67A62" w:rsidP="0078079C">
      <w:pPr>
        <w:pStyle w:val="Heading1"/>
        <w:bidi/>
        <w:spacing w:before="0" w:line="360" w:lineRule="auto"/>
        <w:jc w:val="center"/>
        <w:rPr>
          <w:rFonts w:cs="Guttman Drogolin"/>
          <w:color w:val="auto"/>
          <w:sz w:val="20"/>
          <w:szCs w:val="20"/>
          <w:u w:val="single"/>
          <w:rtl/>
          <w:lang w:bidi="he-IL"/>
        </w:rPr>
      </w:pPr>
      <w:bookmarkStart w:id="164" w:name="_Toc496175421"/>
      <w:r w:rsidRPr="00662307">
        <w:rPr>
          <w:rFonts w:cs="Guttman Drogolin" w:hint="cs"/>
          <w:color w:val="auto"/>
          <w:sz w:val="20"/>
          <w:szCs w:val="20"/>
          <w:u w:val="single"/>
          <w:rtl/>
          <w:lang w:bidi="he-IL"/>
        </w:rPr>
        <w:lastRenderedPageBreak/>
        <w:t>פרטי דינים בתבשיל של בשר ותבשיל של גבינה</w:t>
      </w:r>
      <w:bookmarkEnd w:id="164"/>
    </w:p>
    <w:p w:rsidR="00990256" w:rsidRPr="00882F11" w:rsidRDefault="0050025C" w:rsidP="00990256">
      <w:pPr>
        <w:bidi/>
        <w:jc w:val="both"/>
        <w:rPr>
          <w:rFonts w:cs="Guttman Drogolin"/>
          <w:rtl/>
          <w:lang w:bidi="he-IL"/>
        </w:rPr>
      </w:pPr>
      <w:r>
        <w:rPr>
          <w:rFonts w:cs="Guttman Drogolin"/>
          <w:rtl/>
          <w:lang w:bidi="he-IL"/>
        </w:rPr>
        <w:fldChar w:fldCharType="begin"/>
      </w:r>
      <w:r>
        <w:instrText xml:space="preserve"> XE "</w:instrText>
      </w:r>
      <w:r w:rsidRPr="00A6624D">
        <w:rPr>
          <w:rFonts w:hint="cs"/>
          <w:rtl/>
          <w:lang w:bidi="he-IL"/>
        </w:rPr>
        <w:instrText>בשר בחלב - חיוב המתנה</w:instrText>
      </w:r>
      <w:r w:rsidRPr="00A6624D">
        <w:rPr>
          <w:rtl/>
        </w:rPr>
        <w:instrText>:</w:instrText>
      </w:r>
      <w:r w:rsidRPr="00A6624D">
        <w:rPr>
          <w:rFonts w:hint="cs"/>
          <w:rtl/>
          <w:lang w:bidi="he-IL"/>
        </w:rPr>
        <w:instrText>בתבשיל של בשר</w:instrText>
      </w:r>
      <w:r>
        <w:instrText xml:space="preserve">" </w:instrText>
      </w:r>
      <w:r>
        <w:rPr>
          <w:rFonts w:cs="Guttman Drogolin"/>
          <w:rtl/>
          <w:lang w:bidi="he-IL"/>
        </w:rPr>
        <w:fldChar w:fldCharType="end"/>
      </w:r>
      <w:r w:rsidR="00A67A62" w:rsidRPr="00882F11">
        <w:rPr>
          <w:rFonts w:cs="Guttman Drogolin" w:hint="cs"/>
          <w:rtl/>
          <w:lang w:bidi="he-IL"/>
        </w:rPr>
        <w:t xml:space="preserve">למדנו שיש מחלוקת בין ר' שמואל לר"ת אם יש חיוב המתנה אחרי אכילת תבשיל של בשר כמו שיש אחרי אכילת בשר עצמה, שר' שמואל מחמיר ור"ת מיקל. ובשו"ע כתב המחבר להקל כדעת ר"ת והרמ"א כתב להחמיר. ולכאורה יוצא לשיטת הרמ"א שאין שום הבדל בין בשר לתבשיל של בשר. אלא דהנה על </w:t>
      </w:r>
      <w:r w:rsidR="009B1E8F" w:rsidRPr="00882F11">
        <w:rPr>
          <w:rFonts w:cs="Guttman Drogolin" w:hint="cs"/>
          <w:rtl/>
          <w:lang w:bidi="he-IL"/>
        </w:rPr>
        <w:t xml:space="preserve">דברי </w:t>
      </w:r>
      <w:r w:rsidR="00A67A62" w:rsidRPr="00882F11">
        <w:rPr>
          <w:rFonts w:cs="Guttman Drogolin" w:hint="cs"/>
          <w:rtl/>
          <w:lang w:bidi="he-IL"/>
        </w:rPr>
        <w:t xml:space="preserve">מחבר </w:t>
      </w:r>
      <w:r w:rsidR="009B1E8F" w:rsidRPr="00882F11">
        <w:rPr>
          <w:rFonts w:cs="Guttman Drogolin" w:hint="cs"/>
          <w:rtl/>
          <w:lang w:bidi="he-IL"/>
        </w:rPr>
        <w:t>שכתב בסע' ג' "אכל תבשיל בשר מותר לאכול אחריו תבשיל של גבינה והנטילה ביניהם אינה אלא רשות" הוסיף</w:t>
      </w:r>
      <w:r w:rsidR="00A67A62" w:rsidRPr="00882F11">
        <w:rPr>
          <w:rFonts w:cs="Guttman Drogolin" w:hint="cs"/>
          <w:rtl/>
          <w:lang w:bidi="he-IL"/>
        </w:rPr>
        <w:t xml:space="preserve"> הרמ"א </w:t>
      </w:r>
      <w:r w:rsidR="009B1E8F" w:rsidRPr="00882F11">
        <w:rPr>
          <w:rFonts w:cs="Guttman Drogolin" w:hint="cs"/>
          <w:rtl/>
          <w:lang w:bidi="he-IL"/>
        </w:rPr>
        <w:t>"ויש מצריכים נטילה". ולכאורה צ"ע מהו כוונת הרמ"א בזה, שהרי לשיטת עצמו לא מהני נטילה עד שימתין לסעודה הבאה וכשיטת ר' שמואל, ואילו לשיטת ר"ת בפירוש הסוגיא יוצא שאין חיוב נטילת ידים כלל כמש"כ המחבר. ובביאור הגר"א (ויש מביאים הציון שלו על השו"ע שביד אחרי הוספת הרמ"א, אבל נראה שהוא על ההוספה של הרמ"א) הביא כמקור לדברי הרמ"א פירושו של ר' שמואל אהא דבין תבשיל לתבשיל שהוא בין תבשיל של בשר לתבשיל של בשר או של חלב לשל חלב. ולכאורה הי' נראה הביאור בכוונתו שבאמת יש פ' מחלוקות בין ר' שמואל לר"ת, חדא הא דמצרכינן מדינא נטילה ב</w:t>
      </w:r>
      <w:r w:rsidR="003F3A1F" w:rsidRPr="00882F11">
        <w:rPr>
          <w:rFonts w:cs="Guttman Drogolin" w:hint="cs"/>
          <w:rtl/>
          <w:lang w:bidi="he-IL"/>
        </w:rPr>
        <w:t>ין תבשיל של בשר לגבינה עצמה, שר' שמואל</w:t>
      </w:r>
      <w:r w:rsidR="009B1E8F" w:rsidRPr="00882F11">
        <w:rPr>
          <w:rFonts w:cs="Guttman Drogolin" w:hint="cs"/>
          <w:rtl/>
          <w:lang w:bidi="he-IL"/>
        </w:rPr>
        <w:t xml:space="preserve"> פי' דמיירי</w:t>
      </w:r>
      <w:r w:rsidR="003F3A1F" w:rsidRPr="00882F11">
        <w:rPr>
          <w:rFonts w:cs="Guttman Drogolin" w:hint="cs"/>
          <w:rtl/>
          <w:lang w:bidi="he-IL"/>
        </w:rPr>
        <w:t xml:space="preserve"> בכה"ג שאכל גבינה קודם ואח"כ רוצה לאכול תבשיל של בשר, ור"ת פי' דמיירי אפילו בתבשיל של בשר קודם. ועוד בדין של בין תבשיל לתבשיל שאינו אלא נטילה של רשות, שר"ת פי' דמיירי בבין תבשיל של בשר </w:t>
      </w:r>
      <w:r w:rsidR="003F3A1F" w:rsidRPr="00882F11">
        <w:rPr>
          <w:rFonts w:cs="Guttman Drogolin" w:hint="cs"/>
          <w:rtl/>
          <w:lang w:bidi="he-IL"/>
        </w:rPr>
        <w:lastRenderedPageBreak/>
        <w:t xml:space="preserve">לתבשיל של גבינה, ור' שמואל פי' דמיירי בבין תבשיל של בשר לתבשיל של בשר. </w:t>
      </w:r>
      <w:r w:rsidR="00990256" w:rsidRPr="00882F11">
        <w:rPr>
          <w:rFonts w:cs="Guttman Drogolin" w:hint="cs"/>
          <w:rtl/>
          <w:lang w:bidi="he-IL"/>
        </w:rPr>
        <w:t xml:space="preserve">והיינו דלכאורה י"ל כשיטת ר"ת דליכא חיוב המתנה בין אחרי אכילת תבשיל של בשר, אבל מ"מ יש חיוב של נט"י, והא שמבואר שאינו אלא רשות היינו בין תבשיל של בשר לתבשיל של בשר וכמו שפי' ר' שמואל. </w:t>
      </w:r>
      <w:r w:rsidR="001B2224" w:rsidRPr="00882F11">
        <w:rPr>
          <w:rFonts w:cs="Guttman Drogolin" w:hint="cs"/>
          <w:rtl/>
          <w:lang w:bidi="he-IL"/>
        </w:rPr>
        <w:t xml:space="preserve">ולפי זה צריכים לומר שהטעם שר' שמואל </w:t>
      </w:r>
      <w:r w:rsidR="00B72E89" w:rsidRPr="00882F11">
        <w:rPr>
          <w:rFonts w:cs="Guttman Drogolin" w:hint="cs"/>
          <w:rtl/>
          <w:lang w:bidi="he-IL"/>
        </w:rPr>
        <w:t xml:space="preserve">פי' </w:t>
      </w:r>
      <w:r w:rsidR="001B2224" w:rsidRPr="00882F11">
        <w:rPr>
          <w:rFonts w:cs="Guttman Drogolin" w:hint="cs"/>
          <w:rtl/>
          <w:lang w:bidi="he-IL"/>
        </w:rPr>
        <w:t>שבין תבשיל לתבשיל הוא תבשיל של בשר לתבשיל של גבינה</w:t>
      </w:r>
      <w:r w:rsidR="00B72E89" w:rsidRPr="00882F11">
        <w:rPr>
          <w:rFonts w:cs="Guttman Drogolin" w:hint="cs"/>
          <w:rtl/>
          <w:lang w:bidi="he-IL"/>
        </w:rPr>
        <w:t xml:space="preserve"> אינו משום שיש חיוב המתנה אלא משום דסבר שיש חיוב נטילה מדינא</w:t>
      </w:r>
      <w:r w:rsidR="000A46A7" w:rsidRPr="00882F11">
        <w:rPr>
          <w:rStyle w:val="FootnoteReference"/>
          <w:rFonts w:cs="Guttman Drogolin"/>
          <w:rtl/>
          <w:lang w:bidi="he-IL"/>
        </w:rPr>
        <w:footnoteReference w:id="191"/>
      </w:r>
      <w:r w:rsidR="001B2224" w:rsidRPr="00882F11">
        <w:rPr>
          <w:rFonts w:cs="Guttman Drogolin" w:hint="cs"/>
          <w:rtl/>
          <w:lang w:bidi="he-IL"/>
        </w:rPr>
        <w:t xml:space="preserve">. </w:t>
      </w:r>
      <w:r w:rsidR="00990256" w:rsidRPr="00882F11">
        <w:rPr>
          <w:rFonts w:cs="Guttman Drogolin" w:hint="cs"/>
          <w:rtl/>
          <w:lang w:bidi="he-IL"/>
        </w:rPr>
        <w:t xml:space="preserve">ולפי </w:t>
      </w:r>
      <w:r w:rsidR="000A46A7" w:rsidRPr="00882F11">
        <w:rPr>
          <w:rFonts w:cs="Guttman Drogolin" w:hint="cs"/>
          <w:rtl/>
          <w:lang w:bidi="he-IL"/>
        </w:rPr>
        <w:t>הדברים</w:t>
      </w:r>
      <w:r w:rsidR="00990256" w:rsidRPr="00882F11">
        <w:rPr>
          <w:rFonts w:cs="Guttman Drogolin" w:hint="cs"/>
          <w:rtl/>
          <w:lang w:bidi="he-IL"/>
        </w:rPr>
        <w:t xml:space="preserve"> האלו יוצא שהרמ"א רצה לפרש לפי שיטת המחבר ולי' לא סבירא לי'.</w:t>
      </w:r>
    </w:p>
    <w:p w:rsidR="00764156" w:rsidRPr="00882F11" w:rsidRDefault="00990256" w:rsidP="000A46A7">
      <w:pPr>
        <w:bidi/>
        <w:jc w:val="both"/>
        <w:rPr>
          <w:rFonts w:cs="Guttman Drogolin"/>
          <w:rtl/>
          <w:lang w:bidi="he-IL"/>
        </w:rPr>
      </w:pPr>
      <w:r w:rsidRPr="00882F11">
        <w:rPr>
          <w:rFonts w:cs="Guttman Drogolin" w:hint="cs"/>
          <w:rtl/>
          <w:lang w:bidi="he-IL"/>
        </w:rPr>
        <w:t>אמנם בהגהות רע"א למ</w:t>
      </w:r>
      <w:r w:rsidR="000A46A7" w:rsidRPr="00882F11">
        <w:rPr>
          <w:rFonts w:cs="Guttman Drogolin" w:hint="cs"/>
          <w:rtl/>
          <w:lang w:bidi="he-IL"/>
        </w:rPr>
        <w:t>ד</w:t>
      </w:r>
      <w:r w:rsidRPr="00882F11">
        <w:rPr>
          <w:rFonts w:cs="Guttman Drogolin" w:hint="cs"/>
          <w:rtl/>
          <w:lang w:bidi="he-IL"/>
        </w:rPr>
        <w:t xml:space="preserve"> שכוונת הרמ"א לפי שיטת עצמו. והוא משום דעד כאן לא החמיר ר' שמואל להמתין אחרי אכילת תבישל של בשר אלא כשרוצה לאכול אחריו גבינה עצמה, אבל תבשיל של גבינה בלבד שפיר מותר אחרי אכילת תבשיל של בשר. ופי' שמשו"ה דקדק הרמ"א לכתוב "ונהגו עכשיו להחמיר שלא לאכול גבינה אחר תבשיל בשר" ולא שלא לאכול תבשיל של גבינה שהוא חידוש יותר גדול.</w:t>
      </w:r>
      <w:r w:rsidR="000A46A7" w:rsidRPr="00882F11">
        <w:rPr>
          <w:rFonts w:cs="Guttman Drogolin" w:hint="cs"/>
          <w:rtl/>
          <w:lang w:bidi="he-IL"/>
        </w:rPr>
        <w:t xml:space="preserve"> וכן התוס' </w:t>
      </w:r>
      <w:r w:rsidR="00945831" w:rsidRPr="00882F11">
        <w:rPr>
          <w:rFonts w:cs="Guttman Drogolin" w:hint="cs"/>
          <w:rtl/>
          <w:lang w:bidi="he-IL"/>
        </w:rPr>
        <w:t>בשם ר' שמואל לא כתבו אלא "אבל לגבינה של אחריו לא קאמר" ולא לתבשיל של גבינה שלאחריו.</w:t>
      </w:r>
      <w:r w:rsidRPr="00882F11">
        <w:rPr>
          <w:rFonts w:cs="Guttman Drogolin" w:hint="cs"/>
          <w:rtl/>
          <w:lang w:bidi="he-IL"/>
        </w:rPr>
        <w:t xml:space="preserve"> וע"ש שרצה לומר עוד שמה שהצריך הרמ"א נטילה היינו נטילה בלבד בלי קינוח והדחה, ושם בשם מנח"י דקינוח והדחה מיהא בעי. ומ"מ הסיק בשם מהרש"ל האיסור והיתר שלו לאסור אפילו תבשיל של בשר אחר תבשיל גבינה. ולולא דברי רע"א הו"א שזהו הפשטות, שלכאורה היסוד של שיטת </w:t>
      </w:r>
      <w:r w:rsidRPr="00882F11">
        <w:rPr>
          <w:rFonts w:cs="Guttman Drogolin" w:hint="cs"/>
          <w:rtl/>
          <w:lang w:bidi="he-IL"/>
        </w:rPr>
        <w:lastRenderedPageBreak/>
        <w:t>ר' שמואל הוא להשוות תבשיל של בשר לבשר עצמו, ומיני' שגם גבינה הוי כה"ג.</w:t>
      </w:r>
      <w:r w:rsidR="00945831" w:rsidRPr="00882F11">
        <w:rPr>
          <w:rFonts w:cs="Guttman Drogolin" w:hint="cs"/>
          <w:rtl/>
          <w:lang w:bidi="he-IL"/>
        </w:rPr>
        <w:t xml:space="preserve"> וכ"כ שם מהר"ם בפי' דברי התוס'.</w:t>
      </w:r>
      <w:r w:rsidR="00D85F0A" w:rsidRPr="00882F11">
        <w:rPr>
          <w:rFonts w:cs="Guttman Drogolin" w:hint="cs"/>
          <w:rtl/>
          <w:lang w:bidi="he-IL"/>
        </w:rPr>
        <w:t xml:space="preserve"> ולענין הדקדוק של רע"א בדברי הרמ"א י"ל שהוא לאו דוקא ומשום שלדידי' גבינה ותבשיל של גבינה הכל א'. </w:t>
      </w:r>
    </w:p>
    <w:p w:rsidR="005264D0" w:rsidRPr="00882F11" w:rsidRDefault="00764156" w:rsidP="005264D0">
      <w:pPr>
        <w:bidi/>
        <w:jc w:val="both"/>
        <w:rPr>
          <w:rFonts w:cs="Guttman Drogolin"/>
          <w:rtl/>
          <w:lang w:bidi="he-IL"/>
        </w:rPr>
      </w:pPr>
      <w:r w:rsidRPr="00882F11">
        <w:rPr>
          <w:rFonts w:cs="Guttman Drogolin" w:hint="cs"/>
          <w:rtl/>
          <w:lang w:bidi="he-IL"/>
        </w:rPr>
        <w:t xml:space="preserve">באופן שבאמת טעמא בעי למה נטה רע"א מהפשטות. ויתכן שהוא מא' מב' טעמים. חדא שהי' קשה לו לומר שדברי הרמ"א הם רק לשיטת המחבר, כיון שלר"ת שדברי המחבר מבוססים עליו מבואר אחרת. ועוד דהנה הרמ"א המשיך לכתוב "וכן נוהגין לאכול בשר אחר תבשיל שיש בו גבינה או חלב וכו'". </w:t>
      </w:r>
      <w:r w:rsidR="005264D0" w:rsidRPr="00882F11">
        <w:rPr>
          <w:rFonts w:cs="Guttman Drogolin" w:hint="cs"/>
          <w:rtl/>
          <w:lang w:bidi="he-IL"/>
        </w:rPr>
        <w:t>ויל"ע מהו כוונתו בזה, האם רצונו להקל בתבשיל שיש בה גבינה רכה, וא"כ פשיטא</w:t>
      </w:r>
      <w:r w:rsidR="0093420F" w:rsidRPr="00882F11">
        <w:rPr>
          <w:rStyle w:val="FootnoteReference"/>
          <w:rFonts w:cs="Guttman Drogolin"/>
          <w:rtl/>
          <w:lang w:bidi="he-IL"/>
        </w:rPr>
        <w:footnoteReference w:id="192"/>
      </w:r>
      <w:r w:rsidR="005264D0" w:rsidRPr="00882F11">
        <w:rPr>
          <w:rFonts w:cs="Guttman Drogolin" w:hint="cs"/>
          <w:rtl/>
          <w:lang w:bidi="he-IL"/>
        </w:rPr>
        <w:t xml:space="preserve">, דהא בגבינה רכה עצמה לא שמענו להחמיר, או"ד כוונתו להקל אפילו בתבשיל שיש בה גבינה קשה (וכ"כ בס' בדה"ש), ור"ל שאמנם יש מנהג להחמיר להמתין עד סעודה אחריתי גם אחרי אכילת גבינה קשה, הנ"מ באכילת גבינה קשה עצמה, אבל בתבשיל אע"פ שיש בה גבינה קשה לא נהגו להחמיר. וכן הי' הנראה לכאורה. ואם כנים הדברים לכאורה חזינן מכאן דלא קיי"ל שכל תבשיל יש לה דין של הבעין שיש בה, דהא גבינה קשה אסור ותבשיל של גבינה קשה מותר. וא"כ י"ל שדקדק רע"א מדאן דעכ" יש לחלק ביניהם, וא"כ י"ל שהאיסור לאכול גבינה לאחר מכן הוא בדקדוק. ומ"מ כל דברי רע"א אינם אלא בפי' דברי הרמ"א, אבל למעשה בסוף דבריו כתב להחמיר כמהרש"ל באו"ש שיש איסור (לכאורה הפי' איסור לאכול עד סעודה אחריתי) אפילו בתבשיל גבינה אחרי תבשיל בשר. </w:t>
      </w:r>
    </w:p>
    <w:p w:rsidR="005264D0" w:rsidRPr="00882F11" w:rsidRDefault="005264D0" w:rsidP="0078079C">
      <w:pPr>
        <w:pStyle w:val="Heading1"/>
        <w:bidi/>
        <w:spacing w:before="0" w:line="360" w:lineRule="auto"/>
        <w:jc w:val="center"/>
        <w:rPr>
          <w:rFonts w:cs="Guttman Drogolin"/>
          <w:color w:val="auto"/>
          <w:sz w:val="24"/>
          <w:szCs w:val="24"/>
          <w:u w:val="single"/>
          <w:rtl/>
          <w:lang w:bidi="he-IL"/>
        </w:rPr>
      </w:pPr>
      <w:bookmarkStart w:id="165" w:name="_Toc496175422"/>
      <w:r w:rsidRPr="00882F11">
        <w:rPr>
          <w:rFonts w:cs="Guttman Drogolin" w:hint="cs"/>
          <w:color w:val="auto"/>
          <w:sz w:val="24"/>
          <w:szCs w:val="24"/>
          <w:u w:val="single"/>
          <w:rtl/>
          <w:lang w:bidi="he-IL"/>
        </w:rPr>
        <w:t>תבשיל שנתבשל בקדירה של בשר</w:t>
      </w:r>
      <w:bookmarkEnd w:id="165"/>
    </w:p>
    <w:p w:rsidR="00020EFA" w:rsidRPr="00882F11" w:rsidRDefault="00221695" w:rsidP="006F6C11">
      <w:pPr>
        <w:bidi/>
        <w:jc w:val="both"/>
        <w:rPr>
          <w:rFonts w:cs="Guttman Drogolin"/>
          <w:rtl/>
          <w:lang w:bidi="he-IL"/>
        </w:rPr>
      </w:pPr>
      <w:r>
        <w:rPr>
          <w:rFonts w:cs="Guttman Drogolin"/>
          <w:rtl/>
          <w:lang w:bidi="he-IL"/>
        </w:rPr>
        <w:fldChar w:fldCharType="begin"/>
      </w:r>
      <w:r>
        <w:instrText xml:space="preserve"> XE "</w:instrText>
      </w:r>
      <w:r w:rsidRPr="00BF5554">
        <w:rPr>
          <w:rFonts w:hint="cs"/>
          <w:rtl/>
          <w:lang w:bidi="he-IL"/>
        </w:rPr>
        <w:instrText>בשר בחלב - חיוב המתנה</w:instrText>
      </w:r>
      <w:r w:rsidRPr="00BF5554">
        <w:rPr>
          <w:rtl/>
        </w:rPr>
        <w:instrText>:</w:instrText>
      </w:r>
      <w:r w:rsidRPr="00BF5554">
        <w:rPr>
          <w:rFonts w:hint="cs"/>
          <w:rtl/>
          <w:lang w:bidi="he-IL"/>
        </w:rPr>
        <w:instrText>בתבשיל שהתבשל בקדרה בשרית</w:instrText>
      </w:r>
      <w:r>
        <w:instrText xml:space="preserve">" </w:instrText>
      </w:r>
      <w:r>
        <w:rPr>
          <w:rFonts w:cs="Guttman Drogolin"/>
          <w:rtl/>
          <w:lang w:bidi="he-IL"/>
        </w:rPr>
        <w:fldChar w:fldCharType="end"/>
      </w:r>
      <w:r w:rsidR="005264D0" w:rsidRPr="00882F11">
        <w:rPr>
          <w:rFonts w:cs="Guttman Drogolin" w:hint="cs"/>
          <w:rtl/>
          <w:lang w:bidi="he-IL"/>
        </w:rPr>
        <w:t>אע"פ שהרמ"א החמיר להמתין אחרי אכילת תבשיל של בשר, מ"מ כתב שאם התבשל תבשיל בקדרה של בשר מותר לאכול אחריו גבינה. וה</w:t>
      </w:r>
      <w:r w:rsidR="0070655F" w:rsidRPr="00882F11">
        <w:rPr>
          <w:rFonts w:cs="Guttman Drogolin" w:hint="cs"/>
          <w:rtl/>
          <w:lang w:bidi="he-IL"/>
        </w:rPr>
        <w:t xml:space="preserve">ש"ך הקשה דהא בקדירה של בשר אינו אלא נ"ט בר נ"ט, ואפילו עם בשר עצמו גבינה עצמה </w:t>
      </w:r>
      <w:r w:rsidR="0070655F" w:rsidRPr="00882F11">
        <w:rPr>
          <w:rFonts w:cs="Guttman Drogolin" w:hint="cs"/>
          <w:rtl/>
          <w:lang w:bidi="he-IL"/>
        </w:rPr>
        <w:lastRenderedPageBreak/>
        <w:t>מותר לאכלו. ואע"ג דהכא מיירי בנתבשלו, והרמ"א הרי החמיר כשיטה הסוברת שבנתבשלו ליתי' להיתירא דנ"ט בר נ"</w:t>
      </w:r>
      <w:r w:rsidR="006F6C11" w:rsidRPr="00882F11">
        <w:rPr>
          <w:rFonts w:cs="Guttman Drogolin" w:hint="cs"/>
          <w:rtl/>
          <w:lang w:bidi="he-IL"/>
        </w:rPr>
        <w:t xml:space="preserve">ט (וכמו שהעיר כאן בבאר היטב), מ"מ כיון שהרמ"א ג"כ מיקל לענין בדיעבד לא מסתבר להחמיר עד כדי כך לענין המתנה, והכא משמע שיש חידוש בדין המתנה דליתא בתבשילין המעורבים. ולכן פי' הש"ך דהכא מיירי בסיר שאינו מקונח ולכן ליתי' להיתירא דנ"ט בר נ"ט. ובהגהות רע"א יש תי' אחר, והוא דמיירי בדבר חריף שהרי בדבר חריף קיי"ל להחמיר אפילו בדיעבד אע"פ שבנתבשלו קיי"ל להקל בדיעבד (אע"ג שדבר זה קשה מלשונם של הראשונים, ואכמ"ל בזה). </w:t>
      </w:r>
    </w:p>
    <w:p w:rsidR="00DA02A1" w:rsidRPr="00882F11" w:rsidRDefault="00DA02A1" w:rsidP="008F23C0">
      <w:pPr>
        <w:bidi/>
        <w:jc w:val="both"/>
        <w:rPr>
          <w:rFonts w:cs="Guttman Drogolin"/>
          <w:rtl/>
          <w:lang w:bidi="he-IL"/>
        </w:rPr>
      </w:pPr>
      <w:r w:rsidRPr="00882F11">
        <w:rPr>
          <w:rFonts w:cs="Guttman Drogolin" w:hint="cs"/>
          <w:rtl/>
          <w:lang w:bidi="he-IL"/>
        </w:rPr>
        <w:t>וצ"ע מהו החילוק שבין תבשיל שיש בה בשר לתבשיל נתבשל בכלי בשר, דעד כמה דלא שייך ההיתר של נ"ט בר נ"ט מהו המקום לחלק ביניהם.</w:t>
      </w:r>
      <w:r w:rsidR="001C2A27" w:rsidRPr="00882F11">
        <w:rPr>
          <w:rFonts w:cs="Guttman Drogolin" w:hint="cs"/>
          <w:rtl/>
          <w:lang w:bidi="he-IL"/>
        </w:rPr>
        <w:t xml:space="preserve"> </w:t>
      </w:r>
      <w:r w:rsidRPr="00882F11">
        <w:rPr>
          <w:rFonts w:cs="Guttman Drogolin" w:hint="cs"/>
          <w:rtl/>
          <w:lang w:bidi="he-IL"/>
        </w:rPr>
        <w:t>ו</w:t>
      </w:r>
      <w:r w:rsidR="00020EFA" w:rsidRPr="00882F11">
        <w:rPr>
          <w:rFonts w:cs="Guttman Drogolin" w:hint="cs"/>
          <w:rtl/>
          <w:lang w:bidi="he-IL"/>
        </w:rPr>
        <w:t xml:space="preserve">הנה </w:t>
      </w:r>
      <w:r w:rsidR="001C2A27" w:rsidRPr="00882F11">
        <w:rPr>
          <w:rFonts w:cs="Guttman Drogolin" w:hint="cs"/>
          <w:rtl/>
          <w:lang w:bidi="he-IL"/>
        </w:rPr>
        <w:t xml:space="preserve">לכאורה הי' נראה שאין מחלוקת בין רע"א לש"ך, ומר אמר חדא ומר חדא ולא פליגי. וכל כוונת רע"א רק לומר שיש עוד היכי תמצא חוץ ממש"כ הש"ך. אמנם </w:t>
      </w:r>
      <w:r w:rsidR="00020EFA" w:rsidRPr="00882F11">
        <w:rPr>
          <w:rFonts w:cs="Guttman Drogolin" w:hint="cs"/>
          <w:rtl/>
          <w:lang w:bidi="he-IL"/>
        </w:rPr>
        <w:t xml:space="preserve">בבית מאיר (מובא כאן בגליון השו"ע) </w:t>
      </w:r>
      <w:r w:rsidR="001C2A27" w:rsidRPr="00882F11">
        <w:rPr>
          <w:rFonts w:cs="Guttman Drogolin" w:hint="cs"/>
          <w:rtl/>
          <w:lang w:bidi="he-IL"/>
        </w:rPr>
        <w:t xml:space="preserve">הביא כפירושו של רע"א, והתקשה בדברי הש"ך, שלכאורה אם אינו מקונח זהו תבשיל של בשר ממש ואיזה מקום יש להקל בזה. ורואים </w:t>
      </w:r>
      <w:r w:rsidRPr="00882F11">
        <w:rPr>
          <w:rFonts w:cs="Guttman Drogolin" w:hint="cs"/>
          <w:rtl/>
          <w:lang w:bidi="he-IL"/>
        </w:rPr>
        <w:t xml:space="preserve">לכאורה </w:t>
      </w:r>
      <w:r w:rsidR="001C2A27" w:rsidRPr="00882F11">
        <w:rPr>
          <w:rFonts w:cs="Guttman Drogolin" w:hint="cs"/>
          <w:rtl/>
          <w:lang w:bidi="he-IL"/>
        </w:rPr>
        <w:t xml:space="preserve">שהבית </w:t>
      </w:r>
      <w:r w:rsidRPr="00882F11">
        <w:rPr>
          <w:rFonts w:cs="Guttman Drogolin" w:hint="cs"/>
          <w:rtl/>
          <w:lang w:bidi="he-IL"/>
        </w:rPr>
        <w:t>מאיר למד שכוונת הרמ"א להקל בבליעות של בשר למעורב בה בשר בעין, ולכן בדבר חריף דליכא אלא בליעות מותר, אבל קדרה שאינה מקונחת אין להתיר. ובעיקר דברי הבית מאיר לכאורה צ"ע ד</w:t>
      </w:r>
      <w:r w:rsidR="008F23C0" w:rsidRPr="00882F11">
        <w:rPr>
          <w:rFonts w:cs="Guttman Drogolin" w:hint="cs"/>
          <w:rtl/>
          <w:lang w:bidi="he-IL"/>
        </w:rPr>
        <w:t>מ</w:t>
      </w:r>
      <w:r w:rsidRPr="00882F11">
        <w:rPr>
          <w:rFonts w:cs="Guttman Drogolin" w:hint="cs"/>
          <w:rtl/>
          <w:lang w:bidi="he-IL"/>
        </w:rPr>
        <w:t>נין לו דמיירי בהתערב בה בשר בעין, הא י"ל שאין בה בשר בעין רק התבשיל קיבל טעם מבש</w:t>
      </w:r>
      <w:r w:rsidR="008F23C0" w:rsidRPr="00882F11">
        <w:rPr>
          <w:rFonts w:cs="Guttman Drogolin" w:hint="cs"/>
          <w:rtl/>
          <w:lang w:bidi="he-IL"/>
        </w:rPr>
        <w:t>ר</w:t>
      </w:r>
      <w:r w:rsidRPr="00882F11">
        <w:rPr>
          <w:rFonts w:cs="Guttman Drogolin" w:hint="cs"/>
          <w:rtl/>
          <w:lang w:bidi="he-IL"/>
        </w:rPr>
        <w:t xml:space="preserve"> בעין. ואפילו אם התערב קצת מן השמנונית מ"מ לכאורה עדיין אינו אלא טעמו ולא ממשו. וכנראה אחז הבית מאיר דעד כמה שיש חשש שהתערב בה אפילו שמנונית יש לה דין תבשיל של בשר ויש להחמיר. </w:t>
      </w:r>
    </w:p>
    <w:p w:rsidR="001729F7" w:rsidRPr="00882F11" w:rsidRDefault="00DA02A1" w:rsidP="00DA02A1">
      <w:pPr>
        <w:bidi/>
        <w:jc w:val="both"/>
        <w:rPr>
          <w:rFonts w:cs="Guttman Drogolin"/>
          <w:rtl/>
          <w:lang w:bidi="he-IL"/>
        </w:rPr>
      </w:pPr>
      <w:r w:rsidRPr="00882F11">
        <w:rPr>
          <w:rFonts w:cs="Guttman Drogolin" w:hint="cs"/>
          <w:rtl/>
          <w:lang w:bidi="he-IL"/>
        </w:rPr>
        <w:t xml:space="preserve">אמנם ראיתי ביד יהודה ס"ק </w:t>
      </w:r>
      <w:r w:rsidR="00E460BC" w:rsidRPr="00882F11">
        <w:rPr>
          <w:rFonts w:cs="Guttman Drogolin" w:hint="cs"/>
          <w:rtl/>
          <w:lang w:bidi="he-IL"/>
        </w:rPr>
        <w:t xml:space="preserve">ה' שביאר שהחילוק הוא בזה, שאם אוכלים מאכל זה בגלל הטעם בשר </w:t>
      </w:r>
      <w:r w:rsidR="00E460BC" w:rsidRPr="00882F11">
        <w:rPr>
          <w:rFonts w:cs="Guttman Drogolin" w:hint="cs"/>
          <w:rtl/>
          <w:lang w:bidi="he-IL"/>
        </w:rPr>
        <w:lastRenderedPageBreak/>
        <w:t>שבו</w:t>
      </w:r>
      <w:r w:rsidR="00E460BC" w:rsidRPr="00882F11">
        <w:rPr>
          <w:rStyle w:val="FootnoteReference"/>
          <w:rFonts w:cs="Guttman Drogolin"/>
          <w:rtl/>
          <w:lang w:bidi="he-IL"/>
        </w:rPr>
        <w:footnoteReference w:id="193"/>
      </w:r>
      <w:r w:rsidR="00E460BC" w:rsidRPr="00882F11">
        <w:rPr>
          <w:rFonts w:cs="Guttman Drogolin" w:hint="cs"/>
          <w:rtl/>
          <w:lang w:bidi="he-IL"/>
        </w:rPr>
        <w:t>, הרי זה נחשב תבשיל של בשר שמחייב המתנה, אבל אם הוא שם במקרה ואין אדם אוכלו משום הטעם בשר שבו, אע"ג שיש בה טעם בשר ואינו טעם לפגם (דאל"כ מותר עם חלב עצמו וכנ"ל) מ"מ לא נחשב תבשיל שיש בה בשר ומותר. ואעפ"כ היד יהודה חולק על הש"ך כיון שלא מוזכר חילוק זה באף מקום אלא לאלו המחמירים בנ"ט בר נ"ט שנתבשלו, ופי' דברי הרמ"א בקדרה מקונחת וכשיטתו לקמן להחמיר בנתבשלו לכתחילה. ואעפ"כ נלעוק"ד שיש מקום לומר כדברי הש"ך, שהרי למאן דמחמיר בנתבשלו הא יש כאן תבשיל של בשר ולמה יש להקל בזה. ואע"פ שי"ל כמש"כ לעיל מן הבית מאיר שהחילוק הוא בין טעם בשר לבעין של בשר בתבשיל, מ"מ יש ג"</w:t>
      </w:r>
      <w:r w:rsidR="001729F7" w:rsidRPr="00882F11">
        <w:rPr>
          <w:rFonts w:cs="Guttman Drogolin" w:hint="cs"/>
          <w:rtl/>
          <w:lang w:bidi="he-IL"/>
        </w:rPr>
        <w:t>כ לחלק ב</w:t>
      </w:r>
      <w:r w:rsidR="00E460BC" w:rsidRPr="00882F11">
        <w:rPr>
          <w:rFonts w:cs="Guttman Drogolin" w:hint="cs"/>
          <w:rtl/>
          <w:lang w:bidi="he-IL"/>
        </w:rPr>
        <w:t>ין מכוין לאינו מכוין</w:t>
      </w:r>
      <w:r w:rsidR="001729F7" w:rsidRPr="00882F11">
        <w:rPr>
          <w:rFonts w:cs="Guttman Drogolin" w:hint="cs"/>
          <w:rtl/>
          <w:lang w:bidi="he-IL"/>
        </w:rPr>
        <w:t xml:space="preserve"> וכמש"נ</w:t>
      </w:r>
      <w:r w:rsidR="00E460BC" w:rsidRPr="00882F11">
        <w:rPr>
          <w:rFonts w:cs="Guttman Drogolin" w:hint="cs"/>
          <w:rtl/>
          <w:lang w:bidi="he-IL"/>
        </w:rPr>
        <w:t>.</w:t>
      </w:r>
    </w:p>
    <w:p w:rsidR="00601039" w:rsidRPr="00882F11" w:rsidRDefault="00601039" w:rsidP="008F23C0">
      <w:pPr>
        <w:bidi/>
        <w:jc w:val="both"/>
        <w:rPr>
          <w:rFonts w:cs="Guttman Drogolin"/>
          <w:rtl/>
          <w:lang w:bidi="he-IL"/>
        </w:rPr>
      </w:pPr>
      <w:r w:rsidRPr="00882F11">
        <w:rPr>
          <w:rFonts w:cs="Guttman Drogolin" w:hint="cs"/>
          <w:rtl/>
          <w:lang w:bidi="he-IL"/>
        </w:rPr>
        <w:t xml:space="preserve">עוד יש להעיר מדברי הפמ"ג בהל' חג השבועות (או"ח סי' תצ"ד) שכתב שמי שאכל בשר אסור לו לאכול אפילו בצל שחתכו בסכין של </w:t>
      </w:r>
      <w:r w:rsidR="008F23C0" w:rsidRPr="00882F11">
        <w:rPr>
          <w:rFonts w:cs="Guttman Drogolin" w:hint="cs"/>
          <w:rtl/>
          <w:lang w:bidi="he-IL"/>
        </w:rPr>
        <w:t>חלב</w:t>
      </w:r>
      <w:r w:rsidRPr="00882F11">
        <w:rPr>
          <w:rFonts w:cs="Guttman Drogolin" w:hint="cs"/>
          <w:rtl/>
          <w:lang w:bidi="he-IL"/>
        </w:rPr>
        <w:t xml:space="preserve">. ונראה פשוט שאין סתירה מכאן לדברי הש"ך ורע"א הנ"ל, שהם אמרו שהחיוב המתנה אינו בא מכח טעם בעלמא, אבל אחרי שחייב להמתין י"ל שכל מאכל חלבי בכלל. ולדוגמא, לשיטת ר"ת שאין חיוב המתנה אחרי אכילת תבשיל של בשר, מ"מ י"ל דסבר שאם אכל בשר ממש אסור לאכול תבשיל של גבינה אפילו לדידי'. ומאידך יש סברא לומר דכמו שאינו חשוב כדי לחייב בהמתנה הה"נ שאינו חשוב לענין אכילה לאחר מכן. </w:t>
      </w:r>
      <w:r w:rsidR="00540FF8" w:rsidRPr="00882F11">
        <w:rPr>
          <w:rFonts w:cs="Guttman Drogolin" w:hint="cs"/>
          <w:rtl/>
          <w:lang w:bidi="he-IL"/>
        </w:rPr>
        <w:t>וע' בס' דבר חריף (פ"א הערה מ"ד) משמי' דהגריש"א שאפשר להקל בזה</w:t>
      </w:r>
      <w:r w:rsidR="00540FF8" w:rsidRPr="00882F11">
        <w:rPr>
          <w:rStyle w:val="FootnoteReference"/>
          <w:rFonts w:cs="Guttman Drogolin"/>
          <w:rtl/>
          <w:lang w:bidi="he-IL"/>
        </w:rPr>
        <w:footnoteReference w:id="194"/>
      </w:r>
      <w:r w:rsidR="00540FF8" w:rsidRPr="00882F11">
        <w:rPr>
          <w:rFonts w:cs="Guttman Drogolin" w:hint="cs"/>
          <w:rtl/>
          <w:lang w:bidi="he-IL"/>
        </w:rPr>
        <w:t>.</w:t>
      </w:r>
      <w:r w:rsidRPr="00882F11">
        <w:rPr>
          <w:rFonts w:cs="Guttman Drogolin" w:hint="cs"/>
          <w:rtl/>
          <w:lang w:bidi="he-IL"/>
        </w:rPr>
        <w:t xml:space="preserve"> </w:t>
      </w:r>
    </w:p>
    <w:p w:rsidR="001729F7" w:rsidRPr="00882F11" w:rsidRDefault="001729F7" w:rsidP="0078079C">
      <w:pPr>
        <w:pStyle w:val="Heading1"/>
        <w:bidi/>
        <w:spacing w:before="0" w:line="360" w:lineRule="auto"/>
        <w:jc w:val="center"/>
        <w:rPr>
          <w:rFonts w:cs="Guttman Drogolin"/>
          <w:color w:val="auto"/>
          <w:sz w:val="24"/>
          <w:szCs w:val="24"/>
          <w:u w:val="single"/>
          <w:rtl/>
          <w:lang w:bidi="he-IL"/>
        </w:rPr>
      </w:pPr>
      <w:bookmarkStart w:id="166" w:name="_Toc496175423"/>
      <w:r w:rsidRPr="00882F11">
        <w:rPr>
          <w:rFonts w:cs="Guttman Drogolin" w:hint="cs"/>
          <w:color w:val="auto"/>
          <w:sz w:val="24"/>
          <w:szCs w:val="24"/>
          <w:u w:val="single"/>
          <w:rtl/>
          <w:lang w:bidi="he-IL"/>
        </w:rPr>
        <w:t>מה נקרא תבשיל</w:t>
      </w:r>
      <w:bookmarkEnd w:id="166"/>
    </w:p>
    <w:p w:rsidR="001729F7" w:rsidRPr="00882F11" w:rsidRDefault="00221695" w:rsidP="008F23C0">
      <w:pPr>
        <w:bidi/>
        <w:jc w:val="both"/>
        <w:rPr>
          <w:rFonts w:cs="Guttman Drogolin"/>
          <w:rtl/>
          <w:lang w:bidi="he-IL"/>
        </w:rPr>
      </w:pPr>
      <w:r>
        <w:rPr>
          <w:rFonts w:cs="Guttman Drogolin"/>
          <w:rtl/>
          <w:lang w:bidi="he-IL"/>
        </w:rPr>
        <w:fldChar w:fldCharType="begin"/>
      </w:r>
      <w:r>
        <w:instrText xml:space="preserve"> XE "</w:instrText>
      </w:r>
      <w:r w:rsidRPr="00E813CC">
        <w:rPr>
          <w:rFonts w:hint="cs"/>
          <w:rtl/>
          <w:lang w:bidi="he-IL"/>
        </w:rPr>
        <w:instrText>בשר בחלב - חיוב המתנה</w:instrText>
      </w:r>
      <w:r w:rsidRPr="00E813CC">
        <w:rPr>
          <w:rtl/>
        </w:rPr>
        <w:instrText>:</w:instrText>
      </w:r>
      <w:r w:rsidRPr="00E813CC">
        <w:rPr>
          <w:rFonts w:hint="cs"/>
          <w:rtl/>
          <w:lang w:bidi="he-IL"/>
        </w:rPr>
        <w:instrText>מה נחשב בכלל תבשיל</w:instrText>
      </w:r>
      <w:r>
        <w:instrText xml:space="preserve">" </w:instrText>
      </w:r>
      <w:r>
        <w:rPr>
          <w:rFonts w:cs="Guttman Drogolin"/>
          <w:rtl/>
          <w:lang w:bidi="he-IL"/>
        </w:rPr>
        <w:fldChar w:fldCharType="end"/>
      </w:r>
      <w:r w:rsidR="001729F7" w:rsidRPr="00882F11">
        <w:rPr>
          <w:rFonts w:cs="Guttman Drogolin" w:hint="cs"/>
          <w:rtl/>
          <w:lang w:bidi="he-IL"/>
        </w:rPr>
        <w:t xml:space="preserve">לעיל כתבנו לפרש דעת הרמ"א שאמנם מחמירים שלא לאכול בשר אחרי גבינה קשה, מ"מ אחרי תבשיל שיש בה גבינה קשה מותר. וא"כ נראה להגדיר מה נקרא תבשיל של גבינה ומה נקרא </w:t>
      </w:r>
      <w:r w:rsidR="001729F7" w:rsidRPr="00882F11">
        <w:rPr>
          <w:rFonts w:cs="Guttman Drogolin" w:hint="cs"/>
          <w:rtl/>
          <w:lang w:bidi="he-IL"/>
        </w:rPr>
        <w:lastRenderedPageBreak/>
        <w:t xml:space="preserve">גבינה עצמה. דהנה לכאורה מאכל כמו פיצה, אמנם יש בה דברים אחרים חוץ מגבינה, וכן בדר"כ אין הגבינה הרוב, מ"מ זה נחשב גבינה עצמה ואם הגבינה היא גבינה קשה יש להתמין אחריו ו' שעות. והטעם משום דלא מיקרי תבשיל אא"כ הגבינה או בשר עצמם אינם ניכרים לעצמם, אבל ניכרים לעצמם דל מהכא התבשיל ואיכא בשר או גבינה. וכה"ג יש להדגיש גם לשיטת הש"ך הנ"ל, דעד כאן אינו </w:t>
      </w:r>
      <w:r w:rsidR="00601039" w:rsidRPr="00882F11">
        <w:rPr>
          <w:rFonts w:cs="Guttman Drogolin" w:hint="cs"/>
          <w:rtl/>
          <w:lang w:bidi="he-IL"/>
        </w:rPr>
        <w:t>מתיר אלא בדלית בי' בשר או גבינ</w:t>
      </w:r>
      <w:r w:rsidR="001729F7" w:rsidRPr="00882F11">
        <w:rPr>
          <w:rFonts w:cs="Guttman Drogolin" w:hint="cs"/>
          <w:rtl/>
          <w:lang w:bidi="he-IL"/>
        </w:rPr>
        <w:t xml:space="preserve">ה בעין אע"ג שאינו מכוין אליהם, אבל יש בשר בעין חייב להמתין. </w:t>
      </w:r>
    </w:p>
    <w:p w:rsidR="001729F7" w:rsidRPr="00882F11" w:rsidRDefault="001729F7" w:rsidP="0078079C">
      <w:pPr>
        <w:pStyle w:val="Heading1"/>
        <w:bidi/>
        <w:spacing w:before="0" w:line="360" w:lineRule="auto"/>
        <w:jc w:val="center"/>
        <w:rPr>
          <w:rFonts w:cs="Guttman Drogolin"/>
          <w:color w:val="auto"/>
          <w:sz w:val="24"/>
          <w:szCs w:val="24"/>
          <w:u w:val="single"/>
          <w:rtl/>
          <w:lang w:bidi="he-IL"/>
        </w:rPr>
      </w:pPr>
      <w:bookmarkStart w:id="167" w:name="_Toc496175424"/>
      <w:r w:rsidRPr="00882F11">
        <w:rPr>
          <w:rFonts w:cs="Guttman Drogolin" w:hint="cs"/>
          <w:color w:val="auto"/>
          <w:sz w:val="24"/>
          <w:szCs w:val="24"/>
          <w:u w:val="single"/>
          <w:rtl/>
          <w:lang w:bidi="he-IL"/>
        </w:rPr>
        <w:t>חיוב קינוח הדחה ונט"י למעשה</w:t>
      </w:r>
      <w:bookmarkEnd w:id="167"/>
    </w:p>
    <w:p w:rsidR="00540FF8" w:rsidRPr="00882F11" w:rsidRDefault="00221695" w:rsidP="00AC3EDE">
      <w:pPr>
        <w:bidi/>
        <w:jc w:val="both"/>
        <w:rPr>
          <w:rFonts w:cs="Guttman Drogolin"/>
          <w:rtl/>
          <w:lang w:bidi="he-IL"/>
        </w:rPr>
      </w:pPr>
      <w:r>
        <w:rPr>
          <w:rFonts w:cs="Guttman Drogolin"/>
          <w:rtl/>
          <w:lang w:bidi="he-IL"/>
        </w:rPr>
        <w:fldChar w:fldCharType="begin"/>
      </w:r>
      <w:r>
        <w:instrText xml:space="preserve"> XE "</w:instrText>
      </w:r>
      <w:r w:rsidRPr="00D82BF3">
        <w:rPr>
          <w:rFonts w:hint="cs"/>
          <w:rtl/>
          <w:lang w:bidi="he-IL"/>
        </w:rPr>
        <w:instrText>בשר בחלב - חיוב המתנה</w:instrText>
      </w:r>
      <w:r w:rsidRPr="00D82BF3">
        <w:rPr>
          <w:rtl/>
        </w:rPr>
        <w:instrText>:</w:instrText>
      </w:r>
      <w:r w:rsidRPr="00D82BF3">
        <w:rPr>
          <w:rFonts w:hint="cs"/>
          <w:rtl/>
          <w:lang w:bidi="he-IL"/>
        </w:rPr>
        <w:instrText>קינוח והדחה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C81DA9">
        <w:rPr>
          <w:rFonts w:hint="cs"/>
          <w:rtl/>
          <w:lang w:bidi="he-IL"/>
        </w:rPr>
        <w:instrText>בשר בחלב - קינוח והדחה</w:instrText>
      </w:r>
      <w:r>
        <w:instrText>" \t "</w:instrText>
      </w:r>
      <w:r w:rsidRPr="003444D4">
        <w:rPr>
          <w:rFonts w:cs="Times New Roman" w:hint="cs"/>
          <w:i/>
          <w:rtl/>
          <w:lang w:bidi="he-IL"/>
        </w:rPr>
        <w:instrText>ע</w:instrText>
      </w:r>
      <w:r w:rsidRPr="003444D4">
        <w:rPr>
          <w:rFonts w:cstheme="minorHAnsi" w:hint="cs"/>
          <w:i/>
          <w:rtl/>
          <w:lang w:bidi="he-IL"/>
        </w:rPr>
        <w:instrText xml:space="preserve">' </w:instrText>
      </w:r>
      <w:r w:rsidRPr="003444D4">
        <w:rPr>
          <w:rFonts w:cs="Times New Roman" w:hint="cs"/>
          <w:i/>
          <w:rtl/>
          <w:lang w:bidi="he-IL"/>
        </w:rPr>
        <w:instrText xml:space="preserve">בשר בחלב </w:instrText>
      </w:r>
      <w:r w:rsidRPr="003444D4">
        <w:rPr>
          <w:rFonts w:cstheme="minorHAnsi" w:hint="cs"/>
          <w:i/>
          <w:rtl/>
          <w:lang w:bidi="he-IL"/>
        </w:rPr>
        <w:instrText xml:space="preserve">- </w:instrText>
      </w:r>
      <w:r w:rsidRPr="003444D4">
        <w:rPr>
          <w:rFonts w:cs="Times New Roman" w:hint="cs"/>
          <w:i/>
          <w:rtl/>
          <w:lang w:bidi="he-IL"/>
        </w:rPr>
        <w:instrText>חיוב המתנה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C81DA9">
        <w:rPr>
          <w:rFonts w:hint="cs"/>
          <w:rtl/>
          <w:lang w:bidi="he-IL"/>
        </w:rPr>
        <w:instrText>קינוח והדחה</w:instrText>
      </w:r>
      <w:r>
        <w:instrText>" \t "</w:instrText>
      </w:r>
      <w:r w:rsidRPr="003444D4">
        <w:rPr>
          <w:rFonts w:cs="Times New Roman" w:hint="cs"/>
          <w:i/>
          <w:rtl/>
          <w:lang w:bidi="he-IL"/>
        </w:rPr>
        <w:instrText>ע</w:instrText>
      </w:r>
      <w:r w:rsidRPr="003444D4">
        <w:rPr>
          <w:rFonts w:cstheme="minorHAnsi" w:hint="cs"/>
          <w:i/>
          <w:rtl/>
          <w:lang w:bidi="he-IL"/>
        </w:rPr>
        <w:instrText xml:space="preserve">' </w:instrText>
      </w:r>
      <w:r w:rsidRPr="003444D4">
        <w:rPr>
          <w:rFonts w:cs="Times New Roman" w:hint="cs"/>
          <w:i/>
          <w:rtl/>
          <w:lang w:bidi="he-IL"/>
        </w:rPr>
        <w:instrText xml:space="preserve">בשר בחלב </w:instrText>
      </w:r>
      <w:r w:rsidRPr="003444D4">
        <w:rPr>
          <w:rFonts w:cstheme="minorHAnsi" w:hint="cs"/>
          <w:i/>
          <w:rtl/>
          <w:lang w:bidi="he-IL"/>
        </w:rPr>
        <w:instrText xml:space="preserve">- </w:instrText>
      </w:r>
      <w:r w:rsidRPr="003444D4">
        <w:rPr>
          <w:rFonts w:cs="Times New Roman" w:hint="cs"/>
          <w:i/>
          <w:rtl/>
          <w:lang w:bidi="he-IL"/>
        </w:rPr>
        <w:instrText>חיוב המתנה</w:instrText>
      </w:r>
      <w:r>
        <w:instrText xml:space="preserve">" </w:instrText>
      </w:r>
      <w:r>
        <w:rPr>
          <w:rFonts w:cs="Guttman Drogolin"/>
          <w:rtl/>
          <w:lang w:bidi="he-IL"/>
        </w:rPr>
        <w:fldChar w:fldCharType="end"/>
      </w:r>
      <w:r w:rsidR="001729F7" w:rsidRPr="00882F11">
        <w:rPr>
          <w:rFonts w:cs="Guttman Drogolin" w:hint="cs"/>
          <w:rtl/>
          <w:lang w:bidi="he-IL"/>
        </w:rPr>
        <w:t xml:space="preserve">הנה האוכל בשר או תבשיל של בשר אינו חייב בקו"ה ונט"י, דהא מ"מ חייב להתמין עד סעודה אחריתי לפי מאי דקיי"ל כשיטת הרמב"ם (ולמקילים כמו הרמ"א נחלקו נו"כ בשו"ע אם חייב בהם). </w:t>
      </w:r>
      <w:r w:rsidR="00AC3EDE" w:rsidRPr="00882F11">
        <w:rPr>
          <w:rFonts w:cs="Guttman Drogolin" w:hint="cs"/>
          <w:rtl/>
          <w:lang w:bidi="he-IL"/>
        </w:rPr>
        <w:t>ואם אכל גבינה ורוצה לאכול לאחר מכן בשר חייב בנט"י וקו"ה לפי שיטת הרמב"ם שהרי לפי שיטתו על זה נאמר עיקר הדין. ואחרי תבשיל של גבינה ג"כ חייב בנט"י לפי שיטת ר' שמואל, וכמו שביארנו לעיל (וכן הוא מפורש בתוס' הרא"ש). ובגבינה ואח"כ בשר עוף לכאורה הדין הוא להקל ואינו צריך לא נט"י ולא קו"ה, דהא לשיטת הרמב"ם על זה גופא קאמר הגמ' שנאכלת באפיקורן</w:t>
      </w:r>
      <w:r w:rsidR="00B27A63" w:rsidRPr="00882F11">
        <w:rPr>
          <w:rFonts w:cs="Guttman Drogolin" w:hint="cs"/>
          <w:rtl/>
          <w:lang w:bidi="he-IL"/>
        </w:rPr>
        <w:t>, וכן הוא בהדיא בשו"ע בסע' א'</w:t>
      </w:r>
      <w:r w:rsidR="00AC3EDE" w:rsidRPr="00882F11">
        <w:rPr>
          <w:rFonts w:cs="Guttman Drogolin" w:hint="cs"/>
          <w:rtl/>
          <w:lang w:bidi="he-IL"/>
        </w:rPr>
        <w:t>. וראיתי ביד יהודה</w:t>
      </w:r>
      <w:r w:rsidR="00B27A63" w:rsidRPr="00882F11">
        <w:rPr>
          <w:rFonts w:cs="Guttman Drogolin" w:hint="cs"/>
          <w:rtl/>
          <w:lang w:bidi="he-IL"/>
        </w:rPr>
        <w:t xml:space="preserve"> ס"ק ג' שדקדק מלשון הרמ"א שדעתו להחמיר בזה, שהרי בסע' ב' כתב "וכן נוהגין שכל שהגבינה קשה אין אוכלין אחריה בשר עוף כמו בגבינה אחר בשר ויש מקילין ואין למחות רק שיעשו קינוח והדחה". והבין ש</w:t>
      </w:r>
      <w:r w:rsidR="00DF4753" w:rsidRPr="00882F11">
        <w:rPr>
          <w:rFonts w:cs="Guttman Drogolin" w:hint="cs"/>
          <w:rtl/>
          <w:lang w:bidi="he-IL"/>
        </w:rPr>
        <w:t>'</w:t>
      </w:r>
      <w:r w:rsidR="00B27A63" w:rsidRPr="00882F11">
        <w:rPr>
          <w:rFonts w:cs="Guttman Drogolin" w:hint="cs"/>
          <w:rtl/>
          <w:lang w:bidi="he-IL"/>
        </w:rPr>
        <w:t>יעשו קו"ה</w:t>
      </w:r>
      <w:r w:rsidR="00DF4753" w:rsidRPr="00882F11">
        <w:rPr>
          <w:rFonts w:cs="Guttman Drogolin" w:hint="cs"/>
          <w:rtl/>
          <w:lang w:bidi="he-IL"/>
        </w:rPr>
        <w:t>'</w:t>
      </w:r>
      <w:r w:rsidR="00B27A63" w:rsidRPr="00882F11">
        <w:rPr>
          <w:rFonts w:cs="Guttman Drogolin" w:hint="cs"/>
          <w:rtl/>
          <w:lang w:bidi="he-IL"/>
        </w:rPr>
        <w:t xml:space="preserve"> קאי אכל מה שלעיל מיני' ואפילו גבינה ואח"כ בשר עוף. וכה"ג הביא גם מתו"ח</w:t>
      </w:r>
      <w:r w:rsidR="006A21F6" w:rsidRPr="00882F11">
        <w:rPr>
          <w:rFonts w:cs="Guttman Drogolin" w:hint="cs"/>
          <w:rtl/>
          <w:lang w:bidi="he-IL"/>
        </w:rPr>
        <w:t xml:space="preserve">. וכבר ראיתי במגי"ס שהעיר עליו שדבריו בזה תמוהים, דהוא נגד ש"ס מפורשת לכל דעות הראשונים ולא ידוע לן מי שהחמיר בזה. ואילו הי' כוונת הרמ"א להשמיענו </w:t>
      </w:r>
      <w:r w:rsidR="006A21F6" w:rsidRPr="00882F11">
        <w:rPr>
          <w:rFonts w:cs="Guttman Drogolin" w:hint="cs"/>
          <w:rtl/>
          <w:lang w:bidi="he-IL"/>
        </w:rPr>
        <w:lastRenderedPageBreak/>
        <w:t xml:space="preserve">שיש מנהג להחמיר יותר מן המבואר בש"ס הי' לנו להשמיענו דבר זה בהדיא. </w:t>
      </w:r>
      <w:r w:rsidR="00601039" w:rsidRPr="00882F11">
        <w:rPr>
          <w:rFonts w:cs="Guttman Drogolin" w:hint="cs"/>
          <w:rtl/>
          <w:lang w:bidi="he-IL"/>
        </w:rPr>
        <w:t xml:space="preserve">ולענין לשון הרמ"א (בין בשו"ע ובין בתו"ח) נראה דשפיר י"ל שהחיוב של קו"ה לא קאי אלא אבשר בקר ולא בשר עוף. </w:t>
      </w:r>
      <w:r w:rsidR="006A21F6" w:rsidRPr="00882F11">
        <w:rPr>
          <w:rFonts w:cs="Guttman Drogolin" w:hint="cs"/>
          <w:rtl/>
          <w:lang w:bidi="he-IL"/>
        </w:rPr>
        <w:t>ונראה שלמעשה קשה להחמיר בזה.</w:t>
      </w:r>
      <w:r w:rsidR="00AC3EDE" w:rsidRPr="00882F11">
        <w:rPr>
          <w:rFonts w:cs="Guttman Drogolin" w:hint="cs"/>
          <w:rtl/>
          <w:lang w:bidi="he-IL"/>
        </w:rPr>
        <w:t xml:space="preserve"> </w:t>
      </w:r>
    </w:p>
    <w:p w:rsidR="00540FF8" w:rsidRPr="00662307" w:rsidRDefault="00540FF8" w:rsidP="00662307">
      <w:pPr>
        <w:pStyle w:val="Heading1"/>
        <w:bidi/>
        <w:spacing w:before="0" w:line="240" w:lineRule="auto"/>
        <w:jc w:val="center"/>
        <w:rPr>
          <w:rFonts w:cs="Guttman Drogolin"/>
          <w:color w:val="auto"/>
          <w:sz w:val="24"/>
          <w:szCs w:val="24"/>
          <w:u w:val="single"/>
          <w:rtl/>
          <w:lang w:bidi="he-IL"/>
        </w:rPr>
      </w:pPr>
      <w:bookmarkStart w:id="168" w:name="_Toc496175425"/>
      <w:r w:rsidRPr="00662307">
        <w:rPr>
          <w:rFonts w:cs="Guttman Drogolin" w:hint="cs"/>
          <w:color w:val="auto"/>
          <w:sz w:val="24"/>
          <w:szCs w:val="24"/>
          <w:u w:val="single"/>
          <w:rtl/>
          <w:lang w:bidi="he-IL"/>
        </w:rPr>
        <w:t>בירך על מאכל של גבינה תוך ו' שעות ונזכר מיד קודם שאכל</w:t>
      </w:r>
      <w:bookmarkEnd w:id="168"/>
    </w:p>
    <w:p w:rsidR="003F3A1F" w:rsidRPr="00882F11" w:rsidRDefault="00221695" w:rsidP="00DF4753">
      <w:pPr>
        <w:bidi/>
        <w:jc w:val="both"/>
        <w:rPr>
          <w:rFonts w:cs="Guttman Drogolin"/>
          <w:rtl/>
          <w:lang w:bidi="he-IL"/>
        </w:rPr>
      </w:pPr>
      <w:r>
        <w:rPr>
          <w:rFonts w:cs="Guttman Drogolin"/>
          <w:rtl/>
          <w:lang w:bidi="he-IL"/>
        </w:rPr>
        <w:fldChar w:fldCharType="begin"/>
      </w:r>
      <w:r>
        <w:instrText xml:space="preserve"> XE "</w:instrText>
      </w:r>
      <w:r w:rsidRPr="00D75BAF">
        <w:rPr>
          <w:rFonts w:hint="cs"/>
          <w:rtl/>
          <w:lang w:bidi="he-IL"/>
        </w:rPr>
        <w:instrText>בשר בחלב - חיוב המתנה</w:instrText>
      </w:r>
      <w:r w:rsidRPr="00D75BAF">
        <w:rPr>
          <w:rtl/>
        </w:rPr>
        <w:instrText>:</w:instrText>
      </w:r>
      <w:r w:rsidRPr="00D75BAF">
        <w:rPr>
          <w:rFonts w:hint="cs"/>
          <w:rtl/>
          <w:lang w:bidi="he-IL"/>
        </w:rPr>
        <w:instrText>כשכבר בירך על המין השני אבל עדיין לא טעם ממנו</w:instrText>
      </w:r>
      <w:r>
        <w:instrText xml:space="preserve">" </w:instrText>
      </w:r>
      <w:r>
        <w:rPr>
          <w:rFonts w:cs="Guttman Drogolin"/>
          <w:rtl/>
          <w:lang w:bidi="he-IL"/>
        </w:rPr>
        <w:fldChar w:fldCharType="end"/>
      </w:r>
      <w:r w:rsidR="00540FF8" w:rsidRPr="00882F11">
        <w:rPr>
          <w:rFonts w:cs="Guttman Drogolin" w:hint="cs"/>
          <w:rtl/>
          <w:lang w:bidi="he-IL"/>
        </w:rPr>
        <w:t>האחרונים דנו מה לשעות במי שבירך ב</w:t>
      </w:r>
      <w:r w:rsidR="00DF4753" w:rsidRPr="00882F11">
        <w:rPr>
          <w:rFonts w:cs="Guttman Drogolin" w:hint="cs"/>
          <w:rtl/>
          <w:lang w:bidi="he-IL"/>
        </w:rPr>
        <w:t>ר</w:t>
      </w:r>
      <w:r w:rsidR="00540FF8" w:rsidRPr="00882F11">
        <w:rPr>
          <w:rFonts w:cs="Guttman Drogolin" w:hint="cs"/>
          <w:rtl/>
          <w:lang w:bidi="he-IL"/>
        </w:rPr>
        <w:t xml:space="preserve">כת הנהנין ושוב נזכר שהוא עדיין תוך שש שעות מאכילת בשר מה לעשות. ובדר"כ אם הוא דבר שאסור לאכילה אינו אוכל ואומר בשכמל"ו. </w:t>
      </w:r>
      <w:r w:rsidR="00DF4753" w:rsidRPr="00882F11">
        <w:rPr>
          <w:rFonts w:cs="Guttman Drogolin" w:hint="cs"/>
          <w:rtl/>
          <w:lang w:bidi="he-IL"/>
        </w:rPr>
        <w:t>א</w:t>
      </w:r>
      <w:r w:rsidR="00540FF8" w:rsidRPr="00882F11">
        <w:rPr>
          <w:rFonts w:cs="Guttman Drogolin" w:hint="cs"/>
          <w:rtl/>
          <w:lang w:bidi="he-IL"/>
        </w:rPr>
        <w:t xml:space="preserve">בל כאן יש מקום לדון אם הוא לאחר שעה א' כיון שהרמ"א הביא המנהג להקל בזה. </w:t>
      </w:r>
      <w:r w:rsidR="00123D15" w:rsidRPr="00882F11">
        <w:rPr>
          <w:rFonts w:cs="Guttman Drogolin" w:hint="cs"/>
          <w:rtl/>
          <w:lang w:bidi="he-IL"/>
        </w:rPr>
        <w:t>ע' מזה בשו"ת שבט הלוי ח"ד ססי' כ' ושו"ת תשובות והנהגות ח"ב סי' שפ"ט</w:t>
      </w:r>
      <w:r w:rsidR="00AC3EDE" w:rsidRPr="00882F11">
        <w:rPr>
          <w:rFonts w:cs="Guttman Drogolin" w:hint="cs"/>
          <w:rtl/>
          <w:lang w:bidi="he-IL"/>
        </w:rPr>
        <w:t xml:space="preserve"> </w:t>
      </w:r>
      <w:r w:rsidR="00123D15" w:rsidRPr="00882F11">
        <w:rPr>
          <w:rFonts w:cs="Guttman Drogolin" w:hint="cs"/>
          <w:rtl/>
          <w:lang w:bidi="he-IL"/>
        </w:rPr>
        <w:t xml:space="preserve">ומגילת ספר אות ו'. וכמובן אם יש מאכל אחר פרווה שהי' לפניו ודעתו עליו בשעת ברכה שעדיף שתאכלנו. </w:t>
      </w:r>
      <w:r w:rsidR="00AC3EDE" w:rsidRPr="00882F11">
        <w:rPr>
          <w:rFonts w:cs="Guttman Drogolin" w:hint="cs"/>
          <w:rtl/>
          <w:lang w:bidi="he-IL"/>
        </w:rPr>
        <w:t xml:space="preserve"> </w:t>
      </w:r>
      <w:r w:rsidR="00945831" w:rsidRPr="00882F11">
        <w:rPr>
          <w:rFonts w:cs="Guttman Drogolin" w:hint="cs"/>
          <w:rtl/>
          <w:lang w:bidi="he-IL"/>
        </w:rPr>
        <w:t xml:space="preserve"> </w:t>
      </w:r>
      <w:r w:rsidR="00990256" w:rsidRPr="00882F11">
        <w:rPr>
          <w:rFonts w:cs="Guttman Drogolin" w:hint="cs"/>
          <w:rtl/>
          <w:lang w:bidi="he-IL"/>
        </w:rPr>
        <w:t xml:space="preserve">  </w:t>
      </w:r>
    </w:p>
    <w:p w:rsidR="00123D15" w:rsidRPr="00662307" w:rsidRDefault="00123D15" w:rsidP="0078079C">
      <w:pPr>
        <w:pStyle w:val="Heading1"/>
        <w:bidi/>
        <w:spacing w:before="0" w:line="360" w:lineRule="auto"/>
        <w:jc w:val="center"/>
        <w:rPr>
          <w:rFonts w:cs="Guttman Drogolin"/>
          <w:color w:val="auto"/>
          <w:sz w:val="22"/>
          <w:szCs w:val="22"/>
          <w:u w:val="single"/>
          <w:rtl/>
          <w:lang w:bidi="he-IL"/>
        </w:rPr>
      </w:pPr>
      <w:bookmarkStart w:id="169" w:name="_Toc496175426"/>
      <w:r w:rsidRPr="00662307">
        <w:rPr>
          <w:rFonts w:cs="Guttman Drogolin" w:hint="cs"/>
          <w:color w:val="auto"/>
          <w:sz w:val="22"/>
          <w:szCs w:val="22"/>
          <w:u w:val="single"/>
          <w:rtl/>
          <w:lang w:bidi="he-IL"/>
        </w:rPr>
        <w:t xml:space="preserve">אכילת </w:t>
      </w:r>
      <w:r w:rsidR="005E44EA" w:rsidRPr="00662307">
        <w:rPr>
          <w:rFonts w:cs="Guttman Drogolin" w:hint="cs"/>
          <w:color w:val="auto"/>
          <w:sz w:val="22"/>
          <w:szCs w:val="22"/>
          <w:u w:val="single"/>
          <w:rtl/>
          <w:lang w:bidi="he-IL"/>
        </w:rPr>
        <w:t>גבינה</w:t>
      </w:r>
      <w:r w:rsidRPr="00662307">
        <w:rPr>
          <w:rFonts w:cs="Guttman Drogolin" w:hint="cs"/>
          <w:color w:val="auto"/>
          <w:sz w:val="22"/>
          <w:szCs w:val="22"/>
          <w:u w:val="single"/>
          <w:rtl/>
          <w:lang w:bidi="he-IL"/>
        </w:rPr>
        <w:t xml:space="preserve"> על אותה מפה שאכלו עליו </w:t>
      </w:r>
      <w:r w:rsidR="005E44EA" w:rsidRPr="00662307">
        <w:rPr>
          <w:rFonts w:cs="Guttman Drogolin" w:hint="cs"/>
          <w:color w:val="auto"/>
          <w:sz w:val="22"/>
          <w:szCs w:val="22"/>
          <w:u w:val="single"/>
          <w:rtl/>
          <w:lang w:bidi="he-IL"/>
        </w:rPr>
        <w:t>בשר</w:t>
      </w:r>
      <w:bookmarkEnd w:id="169"/>
    </w:p>
    <w:p w:rsidR="00E261A1" w:rsidRPr="00882F11" w:rsidRDefault="00221695" w:rsidP="00E261A1">
      <w:pPr>
        <w:bidi/>
        <w:jc w:val="both"/>
        <w:rPr>
          <w:rFonts w:cs="Guttman Drogolin"/>
          <w:rtl/>
          <w:lang w:bidi="he-IL"/>
        </w:rPr>
      </w:pPr>
      <w:r>
        <w:rPr>
          <w:rFonts w:cs="Guttman Drogolin"/>
          <w:rtl/>
          <w:lang w:bidi="he-IL"/>
        </w:rPr>
        <w:fldChar w:fldCharType="begin"/>
      </w:r>
      <w:r>
        <w:instrText xml:space="preserve"> XE "</w:instrText>
      </w:r>
      <w:r w:rsidRPr="0027618D">
        <w:rPr>
          <w:rFonts w:hint="cs"/>
          <w:rtl/>
          <w:lang w:bidi="he-IL"/>
        </w:rPr>
        <w:instrText>בשר בחלב - אכילה על מפות שונות</w:instrText>
      </w:r>
      <w:r>
        <w:instrText>" \t "</w:instrText>
      </w:r>
      <w:r w:rsidRPr="00A555EF">
        <w:rPr>
          <w:rFonts w:cs="Times New Roman" w:hint="cs"/>
          <w:i/>
          <w:rtl/>
          <w:lang w:bidi="he-IL"/>
        </w:rPr>
        <w:instrText>ע</w:instrText>
      </w:r>
      <w:r w:rsidRPr="00A555EF">
        <w:rPr>
          <w:rFonts w:cstheme="minorHAnsi" w:hint="cs"/>
          <w:i/>
          <w:rtl/>
          <w:lang w:bidi="he-IL"/>
        </w:rPr>
        <w:instrText xml:space="preserve">' </w:instrText>
      </w:r>
      <w:r w:rsidRPr="00A555EF">
        <w:rPr>
          <w:rFonts w:cs="Times New Roman" w:hint="cs"/>
          <w:i/>
          <w:rtl/>
          <w:lang w:bidi="he-IL"/>
        </w:rPr>
        <w:instrText xml:space="preserve">בשר בחלב </w:instrText>
      </w:r>
      <w:r w:rsidRPr="00A555EF">
        <w:rPr>
          <w:rFonts w:cstheme="minorHAnsi" w:hint="cs"/>
          <w:i/>
          <w:rtl/>
          <w:lang w:bidi="he-IL"/>
        </w:rPr>
        <w:instrText xml:space="preserve">- </w:instrText>
      </w:r>
      <w:r w:rsidRPr="00A555EF">
        <w:rPr>
          <w:rFonts w:cs="Times New Roman" w:hint="cs"/>
          <w:i/>
          <w:rtl/>
          <w:lang w:bidi="he-IL"/>
        </w:rPr>
        <w:instrText>איסור העלאה על שולחן א</w:instrText>
      </w:r>
      <w:r w:rsidRPr="00A555EF">
        <w:rPr>
          <w:rFonts w:cstheme="minorHAnsi" w:hint="cs"/>
          <w:i/>
          <w:rtl/>
          <w:lang w:bidi="he-IL"/>
        </w:rPr>
        <w:instrText>'</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053995">
        <w:rPr>
          <w:rFonts w:hint="cs"/>
          <w:rtl/>
          <w:lang w:bidi="he-IL"/>
        </w:rPr>
        <w:instrText>בשר בחלב - איסור העלאה על שולחן א'</w:instrText>
      </w:r>
      <w:r w:rsidRPr="00053995">
        <w:rPr>
          <w:rtl/>
        </w:rPr>
        <w:instrText>:</w:instrText>
      </w:r>
      <w:r w:rsidRPr="00053995">
        <w:rPr>
          <w:rFonts w:hint="cs"/>
          <w:rtl/>
          <w:lang w:bidi="he-IL"/>
        </w:rPr>
        <w:instrText>אכילת מין א' באותה מפה שאכלו עליו המין השני</w:instrText>
      </w:r>
      <w:r>
        <w:instrText>" \t "</w:instrText>
      </w:r>
      <w:r w:rsidRPr="00A555EF">
        <w:rPr>
          <w:rFonts w:cs="Times New Roman" w:hint="cs"/>
          <w:i/>
          <w:rtl/>
          <w:lang w:bidi="he-IL"/>
        </w:rPr>
        <w:instrText>ע</w:instrText>
      </w:r>
      <w:r w:rsidRPr="00A555EF">
        <w:rPr>
          <w:rFonts w:cstheme="minorHAnsi" w:hint="cs"/>
          <w:i/>
          <w:rtl/>
          <w:lang w:bidi="he-IL"/>
        </w:rPr>
        <w:instrText xml:space="preserve">' </w:instrText>
      </w:r>
      <w:r w:rsidRPr="00A555EF">
        <w:rPr>
          <w:rFonts w:cs="Times New Roman" w:hint="cs"/>
          <w:i/>
          <w:rtl/>
          <w:lang w:bidi="he-IL"/>
        </w:rPr>
        <w:instrText xml:space="preserve">בשר בחלב </w:instrText>
      </w:r>
      <w:r w:rsidRPr="00A555EF">
        <w:rPr>
          <w:rFonts w:cstheme="minorHAnsi" w:hint="cs"/>
          <w:i/>
          <w:rtl/>
          <w:lang w:bidi="he-IL"/>
        </w:rPr>
        <w:instrText xml:space="preserve">- </w:instrText>
      </w:r>
      <w:r w:rsidRPr="00A555EF">
        <w:rPr>
          <w:rFonts w:cs="Times New Roman" w:hint="cs"/>
          <w:i/>
          <w:rtl/>
          <w:lang w:bidi="he-IL"/>
        </w:rPr>
        <w:instrText>איסור העלאה על שולחן א</w:instrText>
      </w:r>
      <w:r w:rsidRPr="00A555EF">
        <w:rPr>
          <w:rFonts w:cstheme="minorHAnsi" w:hint="cs"/>
          <w:i/>
          <w:rtl/>
          <w:lang w:bidi="he-IL"/>
        </w:rPr>
        <w:instrText>'</w:instrText>
      </w:r>
      <w:r>
        <w:instrText xml:space="preserve">" </w:instrText>
      </w:r>
      <w:r>
        <w:rPr>
          <w:rFonts w:cs="Guttman Drogolin"/>
          <w:rtl/>
          <w:lang w:bidi="he-IL"/>
        </w:rPr>
        <w:fldChar w:fldCharType="end"/>
      </w:r>
      <w:r w:rsidR="00123D15" w:rsidRPr="00882F11">
        <w:rPr>
          <w:rFonts w:cs="Guttman Drogolin" w:hint="cs"/>
          <w:rtl/>
          <w:lang w:bidi="he-IL"/>
        </w:rPr>
        <w:t xml:space="preserve">הב"י מביא </w:t>
      </w:r>
      <w:r w:rsidR="005E44EA" w:rsidRPr="00882F11">
        <w:rPr>
          <w:rFonts w:cs="Guttman Drogolin" w:hint="cs"/>
          <w:rtl/>
          <w:lang w:bidi="he-IL"/>
        </w:rPr>
        <w:t>משו"ת הרשב"א המיוחסות לרמב"ן (סי' קע"ב) שאם יש מפה שאכלו עליו בשר שאסור לאכול עליו גבינה. ויסוד האיסור הוא מהא שאם צרר בשר וגבינה במפה א' באופן שנוגעים זה בזה שחייב להדיח, וא"כ כאן בלי הדחה יהי' אסור. וכן הביא בשו"ע. והפת"ש הביא משו"ת הרדב"ז שכתב שאין הדברים אמורים אלא כשאכלו ישירות על המפה, אבל אם אכלו על כלים שע"ג המפה לל"ב. ונראה לכא</w:t>
      </w:r>
      <w:r w:rsidR="00207C00" w:rsidRPr="00882F11">
        <w:rPr>
          <w:rFonts w:cs="Guttman Drogolin" w:hint="cs"/>
          <w:rtl/>
          <w:lang w:bidi="he-IL"/>
        </w:rPr>
        <w:t>ו</w:t>
      </w:r>
      <w:r w:rsidR="005E44EA" w:rsidRPr="00882F11">
        <w:rPr>
          <w:rFonts w:cs="Guttman Drogolin" w:hint="cs"/>
          <w:rtl/>
          <w:lang w:bidi="he-IL"/>
        </w:rPr>
        <w:t>ר</w:t>
      </w:r>
      <w:r w:rsidR="00207C00" w:rsidRPr="00882F11">
        <w:rPr>
          <w:rFonts w:cs="Guttman Drogolin" w:hint="cs"/>
          <w:rtl/>
          <w:lang w:bidi="he-IL"/>
        </w:rPr>
        <w:t>ה</w:t>
      </w:r>
      <w:r w:rsidR="005E44EA" w:rsidRPr="00882F11">
        <w:rPr>
          <w:rFonts w:cs="Guttman Drogolin" w:hint="cs"/>
          <w:rtl/>
          <w:lang w:bidi="he-IL"/>
        </w:rPr>
        <w:t xml:space="preserve"> דאע"ג שהרשב"א הביא שא</w:t>
      </w:r>
      <w:r w:rsidR="00207C00" w:rsidRPr="00882F11">
        <w:rPr>
          <w:rFonts w:cs="Guttman Drogolin" w:hint="cs"/>
          <w:rtl/>
          <w:lang w:bidi="he-IL"/>
        </w:rPr>
        <w:t>'</w:t>
      </w:r>
      <w:r w:rsidR="005E44EA" w:rsidRPr="00882F11">
        <w:rPr>
          <w:rFonts w:cs="Guttman Drogolin" w:hint="cs"/>
          <w:rtl/>
          <w:lang w:bidi="he-IL"/>
        </w:rPr>
        <w:t xml:space="preserve"> מן הטעמים בזה משום שידבק מן הבשר שע"ג המפה על הכלים, והרי אפילו מי שאוכל ע"ג כלים מניח הסכו"ם על המפה, מ"מ כיון שאכילת הבשר הוא ע"ג כלים ליכא למיחש שיש שאריות של בשר ע"ג המפה ולכן לא ידבק הבשר לכלי חלב שלאחר מכן. ולדידי עדיין לא הי' מספיק כיון שהחוש מעיד שמ"מ יש שאריות של בשר וכדומה על המפה אפילו כשאוכלים ע"ג </w:t>
      </w:r>
      <w:r w:rsidR="005E44EA" w:rsidRPr="00882F11">
        <w:rPr>
          <w:rFonts w:cs="Guttman Drogolin" w:hint="cs"/>
          <w:rtl/>
          <w:lang w:bidi="he-IL"/>
        </w:rPr>
        <w:lastRenderedPageBreak/>
        <w:t xml:space="preserve">כלים. </w:t>
      </w:r>
      <w:r w:rsidR="00E261A1" w:rsidRPr="00882F11">
        <w:rPr>
          <w:rFonts w:cs="Guttman Drogolin" w:hint="cs"/>
          <w:rtl/>
          <w:lang w:bidi="he-IL"/>
        </w:rPr>
        <w:t>ונראה שתלוי לפי הענין, ומ"מ מהני קינוח המפה במקום שאפשר לשפשף ולהדיח אותו היטב (כמו מפה של נייתון קשה וכדומה, משא"כ מפה של בד שאי אפשר ע"י זה)</w:t>
      </w:r>
      <w:r w:rsidR="00497FC3" w:rsidRPr="00882F11">
        <w:rPr>
          <w:rStyle w:val="FootnoteReference"/>
          <w:rFonts w:cs="Guttman Drogolin"/>
          <w:rtl/>
          <w:lang w:bidi="he-IL"/>
        </w:rPr>
        <w:footnoteReference w:id="195"/>
      </w:r>
      <w:r w:rsidR="00E261A1" w:rsidRPr="00882F11">
        <w:rPr>
          <w:rFonts w:cs="Guttman Drogolin" w:hint="cs"/>
          <w:rtl/>
          <w:lang w:bidi="he-IL"/>
        </w:rPr>
        <w:t>.</w:t>
      </w:r>
      <w:r w:rsidR="005E44EA" w:rsidRPr="00882F11">
        <w:rPr>
          <w:rFonts w:cs="Guttman Drogolin" w:hint="cs"/>
          <w:rtl/>
          <w:lang w:bidi="he-IL"/>
        </w:rPr>
        <w:t xml:space="preserve"> </w:t>
      </w:r>
      <w:r w:rsidR="003F3A1F" w:rsidRPr="00882F11">
        <w:rPr>
          <w:rFonts w:cs="Guttman Drogolin" w:hint="cs"/>
          <w:rtl/>
          <w:lang w:bidi="he-IL"/>
        </w:rPr>
        <w:t xml:space="preserve"> </w:t>
      </w:r>
    </w:p>
    <w:p w:rsidR="00E261A1" w:rsidRPr="00882F11" w:rsidRDefault="00E261A1" w:rsidP="0078079C">
      <w:pPr>
        <w:pStyle w:val="Heading1"/>
        <w:bidi/>
        <w:spacing w:before="0" w:line="360" w:lineRule="auto"/>
        <w:jc w:val="center"/>
        <w:rPr>
          <w:rFonts w:cs="Guttman Drogolin"/>
          <w:color w:val="auto"/>
          <w:sz w:val="24"/>
          <w:szCs w:val="24"/>
          <w:u w:val="single"/>
          <w:rtl/>
          <w:lang w:bidi="he-IL"/>
        </w:rPr>
      </w:pPr>
      <w:bookmarkStart w:id="170" w:name="_Toc496175427"/>
      <w:r w:rsidRPr="00882F11">
        <w:rPr>
          <w:rFonts w:cs="Guttman Drogolin" w:hint="cs"/>
          <w:color w:val="auto"/>
          <w:sz w:val="24"/>
          <w:szCs w:val="24"/>
          <w:u w:val="single"/>
          <w:rtl/>
          <w:lang w:bidi="he-IL"/>
        </w:rPr>
        <w:t>שאריות של לחם מסעודה בשרית</w:t>
      </w:r>
      <w:bookmarkEnd w:id="170"/>
    </w:p>
    <w:p w:rsidR="00E073A9" w:rsidRPr="00882F11" w:rsidRDefault="00221695" w:rsidP="00E073A9">
      <w:pPr>
        <w:bidi/>
        <w:jc w:val="both"/>
        <w:rPr>
          <w:rFonts w:cs="Guttman Drogolin"/>
          <w:rtl/>
          <w:lang w:bidi="he-IL"/>
        </w:rPr>
      </w:pPr>
      <w:r>
        <w:rPr>
          <w:rFonts w:cs="Guttman Drogolin"/>
          <w:rtl/>
          <w:lang w:bidi="he-IL"/>
        </w:rPr>
        <w:fldChar w:fldCharType="begin"/>
      </w:r>
      <w:r>
        <w:instrText xml:space="preserve"> XE "</w:instrText>
      </w:r>
      <w:r w:rsidRPr="00AD0BDD">
        <w:rPr>
          <w:rFonts w:hint="cs"/>
          <w:rtl/>
          <w:lang w:bidi="he-IL"/>
        </w:rPr>
        <w:instrText>בשר בחלב</w:instrText>
      </w:r>
      <w:r w:rsidRPr="00AD0BDD">
        <w:rPr>
          <w:rtl/>
        </w:rPr>
        <w:instrText>:</w:instrText>
      </w:r>
      <w:r w:rsidR="00081FD4">
        <w:rPr>
          <w:rFonts w:hint="cs"/>
          <w:rtl/>
          <w:lang w:bidi="he-IL"/>
        </w:rPr>
        <w:instrText>אכילה מ</w:instrText>
      </w:r>
      <w:r w:rsidRPr="00AD0BDD">
        <w:rPr>
          <w:rFonts w:hint="cs"/>
          <w:rtl/>
          <w:lang w:bidi="he-IL"/>
        </w:rPr>
        <w:instrText>אותה ככר לחם לבשר ולחלב</w:instrText>
      </w:r>
      <w:r>
        <w:instrText xml:space="preserve">" </w:instrText>
      </w:r>
      <w:r>
        <w:rPr>
          <w:rFonts w:cs="Guttman Drogolin"/>
          <w:rtl/>
          <w:lang w:bidi="he-IL"/>
        </w:rPr>
        <w:fldChar w:fldCharType="end"/>
      </w:r>
      <w:r w:rsidR="00E261A1" w:rsidRPr="00882F11">
        <w:rPr>
          <w:rFonts w:cs="Guttman Drogolin" w:hint="cs"/>
          <w:rtl/>
          <w:lang w:bidi="he-IL"/>
        </w:rPr>
        <w:t>ה</w:t>
      </w:r>
      <w:r w:rsidR="00E1775C" w:rsidRPr="00882F11">
        <w:rPr>
          <w:rFonts w:cs="Guttman Drogolin" w:hint="cs"/>
          <w:rtl/>
          <w:lang w:bidi="he-IL"/>
        </w:rPr>
        <w:t>ב"י כאן הביא דברי ה</w:t>
      </w:r>
      <w:r w:rsidR="00E261A1" w:rsidRPr="00882F11">
        <w:rPr>
          <w:rFonts w:cs="Guttman Drogolin" w:hint="cs"/>
          <w:rtl/>
          <w:lang w:bidi="he-IL"/>
        </w:rPr>
        <w:t>טור</w:t>
      </w:r>
      <w:r w:rsidR="00E1775C" w:rsidRPr="00882F11">
        <w:rPr>
          <w:rFonts w:cs="Guttman Drogolin" w:hint="cs"/>
          <w:rtl/>
          <w:lang w:bidi="he-IL"/>
        </w:rPr>
        <w:t xml:space="preserve"> שבסי' צ"א שצריכים לבאר את פירורי הפת הנמצאים ע"ג השולחן מסעודת בשר קודם שאוכלים עליו גבינה, ומקור האיסור הוא הירושלמי בפ' אלו דברים, אבל בעצם הוא ג"כ שייך לדין של הדחה כשנוגעים זב"ז הנ"ל. ור"ל שאסור לאכול שיורי פת מסעודה בשרית עם גבינה. ולאחר מכן הביא מהגהות אשרי בשם או"ז ש'מצוה מן המובחר' היכא דאכל גבינה ורוצה לאכול בשר צריך להעביר מעל השולחן הלחם וכל מאכל שאכלו עם גבינה קודם שאוכלים בשר. ובאג"מ (יו"ד א' סי' ל"ח) העיר ממה שנראה סתירה, דמעיקרא משמע שהוא חיוב מעיקר הדין וכדמבואר בירושלמי, ולאחר מכן הביא שיש בזה רק מצוה מן המובחר. וביאר שיש ב' סוגי שיורי פת, א' החתיכות הקטנות הנאכלות עם הבשר או גבינה (ומשמע שם דהיינו אפילו אותם פרוסות שעדיין לא נשך מהם), שאלו אסורים מעיקר הדין. ועוד הככר שחותכים ממנו הפרוסות, שבזה אין איסור מעיקר הדין אבל מ"מ מצוה מן המובחר יש. ומדברי הא"ז משמע שהדין השני עכ"פ שייך לכל המאכלים ופת לאו דוקא נקט, ומיני' לכאורה גם לדין הראשון ששייך לכל המאכלים. </w:t>
      </w:r>
      <w:r w:rsidR="00E073A9" w:rsidRPr="00882F11">
        <w:rPr>
          <w:rFonts w:cs="Guttman Drogolin" w:hint="cs"/>
          <w:rtl/>
          <w:lang w:bidi="he-IL"/>
        </w:rPr>
        <w:t xml:space="preserve">ונראה הטעם שלא חילקו </w:t>
      </w:r>
      <w:r w:rsidR="00E1775C" w:rsidRPr="00882F11">
        <w:rPr>
          <w:rFonts w:cs="Guttman Drogolin" w:hint="cs"/>
          <w:rtl/>
          <w:lang w:bidi="he-IL"/>
        </w:rPr>
        <w:t>לומר שדוקא בפת שהעיקר מאכלו של אדם גזרו ולא בכל המאכלים</w:t>
      </w:r>
      <w:r w:rsidR="00E073A9" w:rsidRPr="00882F11">
        <w:rPr>
          <w:rFonts w:cs="Guttman Drogolin" w:hint="cs"/>
          <w:rtl/>
          <w:lang w:bidi="he-IL"/>
        </w:rPr>
        <w:t xml:space="preserve"> משום דכיון שהוא מחשש נגיעה והמאכלים היו על השלוחן למה לחלק ביניהם.</w:t>
      </w:r>
      <w:r w:rsidR="00E1775C" w:rsidRPr="00882F11">
        <w:rPr>
          <w:rFonts w:cs="Guttman Drogolin" w:hint="cs"/>
          <w:rtl/>
          <w:lang w:bidi="he-IL"/>
        </w:rPr>
        <w:t xml:space="preserve"> וא"כ אם יש כגון סלט הנשאר אחרי הסעודה יהא תלוי בזה, שאם הוא בתוך הקערה הציבורית שהביאו לשולחן יש בזה מצוה מן המובחר לא </w:t>
      </w:r>
      <w:r w:rsidR="00E1775C" w:rsidRPr="00882F11">
        <w:rPr>
          <w:rFonts w:cs="Guttman Drogolin" w:hint="cs"/>
          <w:rtl/>
          <w:lang w:bidi="he-IL"/>
        </w:rPr>
        <w:lastRenderedPageBreak/>
        <w:t>לאכול סלט זה עם המין השני. ואם חילקו אותו כבר לצלחת הרי הוא אסור מעיקר הדין.</w:t>
      </w:r>
      <w:r w:rsidR="00E261A1" w:rsidRPr="00882F11">
        <w:rPr>
          <w:rFonts w:cs="Guttman Drogolin" w:hint="cs"/>
          <w:rtl/>
          <w:lang w:bidi="he-IL"/>
        </w:rPr>
        <w:t xml:space="preserve"> </w:t>
      </w:r>
      <w:r w:rsidR="009B1E8F" w:rsidRPr="00882F11">
        <w:rPr>
          <w:rFonts w:cs="Guttman Drogolin" w:hint="cs"/>
          <w:rtl/>
          <w:lang w:bidi="he-IL"/>
        </w:rPr>
        <w:t xml:space="preserve">  </w:t>
      </w:r>
      <w:r w:rsidR="00AF2547" w:rsidRPr="00882F11">
        <w:rPr>
          <w:rFonts w:cs="Guttman Drogolin" w:hint="cs"/>
          <w:rtl/>
          <w:lang w:bidi="he-IL"/>
        </w:rPr>
        <w:t xml:space="preserve"> </w:t>
      </w:r>
      <w:r w:rsidR="00755565" w:rsidRPr="00882F11">
        <w:rPr>
          <w:rFonts w:cs="Guttman Drogolin" w:hint="cs"/>
          <w:rtl/>
          <w:lang w:bidi="he-IL"/>
        </w:rPr>
        <w:t xml:space="preserve">   </w:t>
      </w:r>
      <w:r w:rsidR="0077715C" w:rsidRPr="00882F11">
        <w:rPr>
          <w:rFonts w:cs="Guttman Drogolin" w:hint="cs"/>
          <w:rtl/>
          <w:lang w:bidi="he-IL"/>
        </w:rPr>
        <w:t xml:space="preserve">  </w:t>
      </w:r>
      <w:r w:rsidR="00781859" w:rsidRPr="00882F11">
        <w:rPr>
          <w:rFonts w:cs="Guttman Drogolin" w:hint="cs"/>
          <w:rtl/>
          <w:lang w:bidi="he-IL"/>
        </w:rPr>
        <w:t xml:space="preserve"> </w:t>
      </w:r>
      <w:r w:rsidR="00760943" w:rsidRPr="00882F11">
        <w:rPr>
          <w:rFonts w:cs="Guttman Drogolin" w:hint="cs"/>
          <w:rtl/>
          <w:lang w:bidi="he-IL"/>
        </w:rPr>
        <w:t xml:space="preserve"> </w:t>
      </w:r>
      <w:r w:rsidR="009B5074" w:rsidRPr="00882F11">
        <w:rPr>
          <w:rFonts w:cs="Guttman Drogolin" w:hint="cs"/>
          <w:rtl/>
          <w:lang w:bidi="he-IL"/>
        </w:rPr>
        <w:t xml:space="preserve">  </w:t>
      </w:r>
    </w:p>
    <w:p w:rsidR="00E073A9" w:rsidRPr="00882F11" w:rsidRDefault="00E073A9" w:rsidP="00E073A9">
      <w:pPr>
        <w:bidi/>
        <w:jc w:val="both"/>
        <w:rPr>
          <w:rFonts w:cs="Guttman Drogolin"/>
          <w:b/>
          <w:bCs/>
          <w:sz w:val="28"/>
          <w:szCs w:val="28"/>
          <w:rtl/>
          <w:lang w:bidi="he-IL"/>
        </w:rPr>
      </w:pPr>
      <w:r w:rsidRPr="00882F11">
        <w:rPr>
          <w:rFonts w:cs="Guttman Drogolin" w:hint="cs"/>
          <w:b/>
          <w:bCs/>
          <w:sz w:val="28"/>
          <w:szCs w:val="28"/>
          <w:rtl/>
          <w:lang w:bidi="he-IL"/>
        </w:rPr>
        <w:t>מילואים</w:t>
      </w:r>
    </w:p>
    <w:p w:rsidR="00E073A9" w:rsidRPr="00882F11" w:rsidRDefault="00E073A9" w:rsidP="00497FC3">
      <w:pPr>
        <w:keepNext/>
        <w:bidi/>
        <w:jc w:val="both"/>
        <w:rPr>
          <w:rFonts w:cs="Guttman Drogolin"/>
          <w:b/>
          <w:bCs/>
          <w:rtl/>
          <w:lang w:bidi="he-IL"/>
        </w:rPr>
      </w:pPr>
      <w:r w:rsidRPr="00882F11">
        <w:rPr>
          <w:rFonts w:cs="Guttman Drogolin" w:hint="cs"/>
          <w:b/>
          <w:bCs/>
          <w:rtl/>
          <w:lang w:bidi="he-IL"/>
        </w:rPr>
        <w:t xml:space="preserve">בדין נט"י לשמש </w:t>
      </w:r>
    </w:p>
    <w:p w:rsidR="0044005B" w:rsidRPr="00882F11" w:rsidRDefault="00221695" w:rsidP="00E073A9">
      <w:pPr>
        <w:bidi/>
        <w:jc w:val="both"/>
        <w:rPr>
          <w:rFonts w:cs="Guttman Drogolin"/>
          <w:rtl/>
          <w:lang w:bidi="he-IL"/>
        </w:rPr>
      </w:pPr>
      <w:r>
        <w:rPr>
          <w:rFonts w:cs="Guttman Drogolin"/>
          <w:rtl/>
          <w:lang w:bidi="he-IL"/>
        </w:rPr>
        <w:fldChar w:fldCharType="begin"/>
      </w:r>
      <w:r>
        <w:instrText xml:space="preserve"> XE "</w:instrText>
      </w:r>
      <w:r w:rsidRPr="00180BC0">
        <w:rPr>
          <w:rFonts w:hint="cs"/>
          <w:rtl/>
          <w:lang w:bidi="he-IL"/>
        </w:rPr>
        <w:instrText>בשר בחלב - חיוב המתנה</w:instrText>
      </w:r>
      <w:r w:rsidRPr="00180BC0">
        <w:rPr>
          <w:rtl/>
        </w:rPr>
        <w:instrText>:</w:instrText>
      </w:r>
      <w:r w:rsidRPr="00180BC0">
        <w:rPr>
          <w:rFonts w:hint="cs"/>
          <w:rtl/>
          <w:lang w:bidi="he-IL"/>
        </w:rPr>
        <w:instrText>נט</w:instrText>
      </w:r>
      <w:r>
        <w:rPr>
          <w:rFonts w:eastAsiaTheme="minorEastAsia"/>
          <w:lang w:bidi="he-IL"/>
        </w:rPr>
        <w:instrText>\</w:instrText>
      </w:r>
      <w:r w:rsidRPr="00180BC0">
        <w:rPr>
          <w:rFonts w:hint="cs"/>
          <w:rtl/>
          <w:lang w:bidi="he-IL"/>
        </w:rPr>
        <w:instrText>"י לשמש</w:instrText>
      </w:r>
      <w:r>
        <w:instrText xml:space="preserve">" </w:instrText>
      </w:r>
      <w:r>
        <w:rPr>
          <w:rFonts w:cs="Guttman Drogolin"/>
          <w:rtl/>
          <w:lang w:bidi="he-IL"/>
        </w:rPr>
        <w:fldChar w:fldCharType="end"/>
      </w:r>
      <w:r w:rsidR="00E073A9" w:rsidRPr="00882F11">
        <w:rPr>
          <w:rFonts w:cs="Guttman Drogolin" w:hint="cs"/>
          <w:rtl/>
          <w:lang w:bidi="he-IL"/>
        </w:rPr>
        <w:t>הב"י והרמ"א כתבו שהחיוב נט"י ליתא אלא לאוכל בשר אחר גבינה ולא לשמש. והש"ך תמה בזה, דהא הכא הוי ענין מציאותי ומה איכפת לן עם השמש נוגע במאכלים או האוכל. וכדי ליישב דברי הב"י והרמ"א אולי יש לחדש שהחיוב של נט"י אינו משום שע"י זה יגע במאכלים של המין השני ויאכלם ביחד, רק שהוא משום שהאוכל נראה כאוכלם ביחד כל עוד שלא נטל ידיו בינתיים, דומיא למה שביארנו לשיטת התוס' בטעם דמהני סילק ובירך אם יש עדיין שומן בפיו. ולכן ליתי' לחיוב זה אלא לאכול ולא לשמש.</w:t>
      </w:r>
      <w:r w:rsidR="0044005B" w:rsidRPr="00882F11">
        <w:rPr>
          <w:rFonts w:cs="Guttman Drogolin" w:hint="cs"/>
          <w:rtl/>
          <w:lang w:bidi="he-IL"/>
        </w:rPr>
        <w:t xml:space="preserve"> שו"ר בכרו"פ ס"ק ו' שתי' דברי הב"י והרמ"א שלא גזרו אלא באוכל שידיו מלוכלכות ביותר וכן החמירו באוכל יותר. ונראה שאם ידוע לו שידיו מלוכלכות לכו"ע חייב להדיח ידיו כדי שלא ידבק הבשר משמנונית גבינה שעל ידיו, ולא דיברו אלא בסתמא, שמעיקר הדין אינו צריך לבדוק און ליטול, אבל גזרו אמי שאוכל, או משום שבלי עיון או נטילה נראה כאוכלם ביחד, או"ד שחששו באוכל יותר וכמש"נ.</w:t>
      </w:r>
      <w:r w:rsidR="00E073A9" w:rsidRPr="00882F11">
        <w:rPr>
          <w:rFonts w:cs="Guttman Drogolin" w:hint="cs"/>
          <w:rtl/>
          <w:lang w:bidi="he-IL"/>
        </w:rPr>
        <w:t xml:space="preserve"> </w:t>
      </w:r>
      <w:r w:rsidR="009B5074" w:rsidRPr="00882F11">
        <w:rPr>
          <w:rFonts w:cs="Guttman Drogolin" w:hint="cs"/>
          <w:rtl/>
          <w:lang w:bidi="he-IL"/>
        </w:rPr>
        <w:t xml:space="preserve"> </w:t>
      </w:r>
    </w:p>
    <w:p w:rsidR="0044005B" w:rsidRPr="00882F11" w:rsidRDefault="0044005B" w:rsidP="00497FC3">
      <w:pPr>
        <w:keepNext/>
        <w:bidi/>
        <w:jc w:val="both"/>
        <w:rPr>
          <w:rFonts w:cs="Guttman Drogolin"/>
          <w:b/>
          <w:bCs/>
          <w:rtl/>
          <w:lang w:bidi="he-IL"/>
        </w:rPr>
      </w:pPr>
      <w:r w:rsidRPr="00882F11">
        <w:rPr>
          <w:rFonts w:cs="Guttman Drogolin" w:hint="cs"/>
          <w:b/>
          <w:bCs/>
          <w:rtl/>
          <w:lang w:bidi="he-IL"/>
        </w:rPr>
        <w:t xml:space="preserve">בדין סילוק </w:t>
      </w:r>
    </w:p>
    <w:p w:rsidR="00737138" w:rsidRPr="00882F11" w:rsidRDefault="00221695" w:rsidP="0093420F">
      <w:pPr>
        <w:bidi/>
        <w:jc w:val="both"/>
        <w:rPr>
          <w:rFonts w:cs="Guttman Drogolin"/>
          <w:rtl/>
          <w:lang w:bidi="he-IL"/>
        </w:rPr>
      </w:pPr>
      <w:r>
        <w:rPr>
          <w:rFonts w:cs="Guttman Drogolin"/>
          <w:rtl/>
          <w:lang w:bidi="he-IL"/>
        </w:rPr>
        <w:fldChar w:fldCharType="begin"/>
      </w:r>
      <w:r>
        <w:instrText xml:space="preserve"> XE "</w:instrText>
      </w:r>
      <w:r w:rsidRPr="009C118C">
        <w:rPr>
          <w:rFonts w:hint="cs"/>
          <w:rtl/>
          <w:lang w:bidi="he-IL"/>
        </w:rPr>
        <w:instrText>בשר בחלב - חיוב המתנה</w:instrText>
      </w:r>
      <w:r w:rsidRPr="009C118C">
        <w:rPr>
          <w:rtl/>
        </w:rPr>
        <w:instrText>:</w:instrText>
      </w:r>
      <w:r w:rsidRPr="009C118C">
        <w:rPr>
          <w:rFonts w:hint="cs"/>
          <w:rtl/>
          <w:lang w:bidi="he-IL"/>
        </w:rPr>
        <w:instrText>סילוק השולחן</w:instrText>
      </w:r>
      <w:r>
        <w:instrText xml:space="preserve">" </w:instrText>
      </w:r>
      <w:r>
        <w:rPr>
          <w:rFonts w:cs="Guttman Drogolin"/>
          <w:rtl/>
          <w:lang w:bidi="he-IL"/>
        </w:rPr>
        <w:fldChar w:fldCharType="end"/>
      </w:r>
      <w:r w:rsidR="0044005B" w:rsidRPr="00882F11">
        <w:rPr>
          <w:rFonts w:cs="Guttman Drogolin" w:hint="cs"/>
          <w:rtl/>
          <w:lang w:bidi="he-IL"/>
        </w:rPr>
        <w:t xml:space="preserve">התוס' כתבו שבין סעודה לסעודה ר"ל </w:t>
      </w:r>
      <w:r w:rsidR="0093420F" w:rsidRPr="00882F11">
        <w:rPr>
          <w:rFonts w:cs="Guttman Drogolin" w:hint="cs"/>
          <w:rtl/>
          <w:lang w:bidi="he-IL"/>
        </w:rPr>
        <w:t>'אם</w:t>
      </w:r>
      <w:r w:rsidR="0093420F" w:rsidRPr="00882F11">
        <w:rPr>
          <w:rFonts w:cs="Guttman Drogolin"/>
          <w:rtl/>
          <w:lang w:bidi="he-IL"/>
        </w:rPr>
        <w:t xml:space="preserve"> </w:t>
      </w:r>
      <w:r w:rsidR="0093420F" w:rsidRPr="00882F11">
        <w:rPr>
          <w:rFonts w:cs="Guttman Drogolin" w:hint="cs"/>
          <w:rtl/>
          <w:lang w:bidi="he-IL"/>
        </w:rPr>
        <w:t>סילק</w:t>
      </w:r>
      <w:r w:rsidR="0093420F" w:rsidRPr="00882F11">
        <w:rPr>
          <w:rFonts w:cs="Guttman Drogolin"/>
          <w:rtl/>
          <w:lang w:bidi="he-IL"/>
        </w:rPr>
        <w:t xml:space="preserve"> </w:t>
      </w:r>
      <w:r w:rsidR="0093420F" w:rsidRPr="00882F11">
        <w:rPr>
          <w:rFonts w:cs="Guttman Drogolin" w:hint="cs"/>
          <w:rtl/>
          <w:lang w:bidi="he-IL"/>
        </w:rPr>
        <w:t>השולחן</w:t>
      </w:r>
      <w:r w:rsidR="0093420F" w:rsidRPr="00882F11">
        <w:rPr>
          <w:rFonts w:cs="Guttman Drogolin"/>
          <w:rtl/>
          <w:lang w:bidi="he-IL"/>
        </w:rPr>
        <w:t xml:space="preserve"> </w:t>
      </w:r>
      <w:r w:rsidR="0093420F" w:rsidRPr="00882F11">
        <w:rPr>
          <w:rFonts w:cs="Guttman Drogolin" w:hint="cs"/>
          <w:rtl/>
          <w:lang w:bidi="he-IL"/>
        </w:rPr>
        <w:t>ובירך</w:t>
      </w:r>
      <w:r w:rsidR="0093420F" w:rsidRPr="00882F11">
        <w:rPr>
          <w:rFonts w:cs="Guttman Drogolin"/>
          <w:rtl/>
          <w:lang w:bidi="he-IL"/>
        </w:rPr>
        <w:t xml:space="preserve"> </w:t>
      </w:r>
      <w:r w:rsidR="0093420F" w:rsidRPr="00882F11">
        <w:rPr>
          <w:rFonts w:cs="Guttman Drogolin" w:hint="cs"/>
          <w:rtl/>
          <w:lang w:bidi="he-IL"/>
        </w:rPr>
        <w:t xml:space="preserve">מותר'. והרמ"א הביא דעה שמ"מ אי אפשר לברך ע"מ להתחיל סעודה חדשה עם המים השני, וכתב על זה שאין נוהגים כן. והט"ז הבין שהטעם שאי אפשר לברך ע"מ להתחיל סעודה חדשה משום שאין זה סילוק, ולכן כתב שאי אפשר להקל בזה. וכן הגר"א הביא שזהו הטעם שאי אפשר לברך ע"מ להתחיל סעודה חדשה. והפת"ש הביא מבכור שור שלעולם חשוב סילוק גם אם מברך ע"מ להתחיל סעודה חדשה, וע"ש שהביא ראיות מן הש"ס לזה. ומ"מ דקדק לשון התוס' דלא מהני אלא כשכבר סילק דמשמע שרק בדיעבד ולא שאפשר לסלק אדעתא דהכי. </w:t>
      </w:r>
      <w:r w:rsidR="0093420F" w:rsidRPr="00882F11">
        <w:rPr>
          <w:rFonts w:cs="Guttman Drogolin" w:hint="cs"/>
          <w:rtl/>
          <w:lang w:bidi="he-IL"/>
        </w:rPr>
        <w:lastRenderedPageBreak/>
        <w:t>אבל פי' את זה מטעם אחר והוא משום שאין לברך ע"מ להתחיל סעודה חדשה משום דהוי ברכה שאינה צריכה, אבל אנן לא קיי"ל דהוי ברכה שאינה צריכה. ולולא דבריו הי' אפשר לומר שלשון עבר לאו דוקא נקטו ו</w:t>
      </w:r>
      <w:r w:rsidR="00CB4B19" w:rsidRPr="00882F11">
        <w:rPr>
          <w:rFonts w:cs="Guttman Drogolin" w:hint="cs"/>
          <w:rtl/>
          <w:lang w:bidi="he-IL"/>
        </w:rPr>
        <w:t>אפילו</w:t>
      </w:r>
      <w:r w:rsidR="0093420F" w:rsidRPr="00882F11">
        <w:rPr>
          <w:rFonts w:cs="Guttman Drogolin" w:hint="cs"/>
          <w:rtl/>
          <w:lang w:bidi="he-IL"/>
        </w:rPr>
        <w:t xml:space="preserve"> לכתחילה מותר. וע' גם בכרו"פ שתמה על הט"ז שהחמיר בזה. </w:t>
      </w:r>
    </w:p>
    <w:p w:rsidR="00737138" w:rsidRPr="00882F11" w:rsidRDefault="00737138" w:rsidP="00497FC3">
      <w:pPr>
        <w:keepNext/>
        <w:bidi/>
        <w:jc w:val="both"/>
        <w:rPr>
          <w:rFonts w:cs="Guttman Drogolin"/>
          <w:b/>
          <w:bCs/>
          <w:rtl/>
          <w:lang w:bidi="he-IL"/>
        </w:rPr>
      </w:pPr>
      <w:r w:rsidRPr="00882F11">
        <w:rPr>
          <w:rFonts w:cs="Guttman Drogolin" w:hint="cs"/>
          <w:b/>
          <w:bCs/>
          <w:rtl/>
          <w:lang w:bidi="he-IL"/>
        </w:rPr>
        <w:t xml:space="preserve">ספיקות בקינוח והדחה </w:t>
      </w:r>
    </w:p>
    <w:p w:rsidR="00236738" w:rsidRPr="00882F11" w:rsidRDefault="00221695" w:rsidP="00236738">
      <w:pPr>
        <w:bidi/>
        <w:jc w:val="both"/>
        <w:rPr>
          <w:rFonts w:cs="Guttman Drogolin"/>
          <w:rtl/>
          <w:lang w:bidi="he-IL"/>
        </w:rPr>
      </w:pPr>
      <w:r>
        <w:rPr>
          <w:rFonts w:cs="Guttman Drogolin"/>
          <w:rtl/>
          <w:lang w:bidi="he-IL"/>
        </w:rPr>
        <w:fldChar w:fldCharType="begin"/>
      </w:r>
      <w:r>
        <w:instrText xml:space="preserve"> XE "</w:instrText>
      </w:r>
      <w:r w:rsidRPr="000B0F1A">
        <w:rPr>
          <w:rFonts w:hint="cs"/>
          <w:rtl/>
          <w:lang w:bidi="he-IL"/>
        </w:rPr>
        <w:instrText>בשר בחלב - חיוב המתנה</w:instrText>
      </w:r>
      <w:r w:rsidRPr="000B0F1A">
        <w:rPr>
          <w:rtl/>
        </w:rPr>
        <w:instrText>:</w:instrText>
      </w:r>
      <w:r w:rsidRPr="000B0F1A">
        <w:rPr>
          <w:rFonts w:hint="cs"/>
          <w:rtl/>
          <w:lang w:bidi="he-IL"/>
        </w:rPr>
        <w:instrText>ספיקות בקינוח והדחה</w:instrText>
      </w:r>
      <w:r>
        <w:instrText xml:space="preserve">" </w:instrText>
      </w:r>
      <w:r>
        <w:rPr>
          <w:rFonts w:cs="Guttman Drogolin"/>
          <w:rtl/>
          <w:lang w:bidi="he-IL"/>
        </w:rPr>
        <w:fldChar w:fldCharType="end"/>
      </w:r>
      <w:r w:rsidR="00D55C63" w:rsidRPr="00882F11">
        <w:rPr>
          <w:rFonts w:cs="Guttman Drogolin" w:hint="cs"/>
          <w:rtl/>
          <w:lang w:bidi="he-IL"/>
        </w:rPr>
        <w:t xml:space="preserve">אמנם בחי' רע"א מסתפק בדעת התי' השני של התוס' שבדף ק"ד ע"ב אם צריך קינוח והדחה אע"פ שהמתין, מדויק מכמה מקומות בראשונים דעד כמה שהמתין עד סעודה אחריתי אינו צריך קינוח והדחה. אמנם פחות מזה אינו מבואר להדיא אם צריך קו"ה או לא. והנה לפי המנהג שהביא הרמ"א להקל בגבינה אחר בשר בהמתנת שעה א' כתב הש"ך בס"ק </w:t>
      </w:r>
      <w:r w:rsidR="002C595B" w:rsidRPr="00882F11">
        <w:rPr>
          <w:rFonts w:cs="Guttman Drogolin" w:hint="cs"/>
          <w:rtl/>
          <w:lang w:bidi="he-IL"/>
        </w:rPr>
        <w:t xml:space="preserve">ז' שאם המתין שעה א' שוב אינו צריך קינוח והדחה. </w:t>
      </w:r>
      <w:r w:rsidR="00C1238F" w:rsidRPr="00882F11">
        <w:rPr>
          <w:rFonts w:cs="Guttman Drogolin" w:hint="cs"/>
          <w:rtl/>
          <w:lang w:bidi="he-IL"/>
        </w:rPr>
        <w:t>ובשפ"ד</w:t>
      </w:r>
      <w:r w:rsidR="002C595B" w:rsidRPr="00882F11">
        <w:rPr>
          <w:rFonts w:cs="Guttman Drogolin" w:hint="cs"/>
          <w:rtl/>
          <w:lang w:bidi="he-IL"/>
        </w:rPr>
        <w:t xml:space="preserve"> תמה עליו, דהא השיעור זמן של שעה אינו אלא פשרה בדעת הנוהגים כן, אבל עיקר סמך המנהג הוא ע"פ זה שמספיק סילק ובירך, וכיון שכן</w:t>
      </w:r>
      <w:r w:rsidR="00C1238F" w:rsidRPr="00882F11">
        <w:rPr>
          <w:rFonts w:cs="Guttman Drogolin" w:hint="cs"/>
          <w:rtl/>
          <w:lang w:bidi="he-IL"/>
        </w:rPr>
        <w:t xml:space="preserve"> לכאורה כיון שמדינא צריך קו"ה כה"ג הה"נ לפי המנהג. ואני תמה על תמיהתו, דמאן לימא לן שצריך מדינא קו"ה לשיטת התוס', הא דבר זה תלוי בב' התירוצים לעיל, שלפי התירוץ הראשון הא אמרו דמיירי בגבינה ואח"כ בשר דהא בבשר ואח"כ גבינה צריך להמתין עד סעודה אחריתי, ולתי' השני לפי צד א' לא בעינן קו"ה אלא למי שאינו רוצה להמתין עד סעודה אחריתי, ורק לפי הצד השני יש מקום לומר כן אבל גם זה אינו מוכח. ועוד צ"ע שזה שמבואר בראשונים שבסעודה שני' אינו צריך קו"ה אינו מבואר בהדיא טעמו של דבר, ואיכא למימר דהה"נ אפילו פחות מזה, וכן נראה כוונת השו"ד שיישוב דברי הש"ך. וה</w:t>
      </w:r>
      <w:r w:rsidR="00236738" w:rsidRPr="00882F11">
        <w:rPr>
          <w:rFonts w:cs="Guttman Drogolin" w:hint="cs"/>
          <w:rtl/>
          <w:lang w:bidi="he-IL"/>
        </w:rPr>
        <w:t>רמ"א נקט שאפילו אם המתין שעה צריך קו"ה, וכן פסק ה</w:t>
      </w:r>
      <w:r w:rsidR="00C1238F" w:rsidRPr="00882F11">
        <w:rPr>
          <w:rFonts w:cs="Guttman Drogolin" w:hint="cs"/>
          <w:rtl/>
          <w:lang w:bidi="he-IL"/>
        </w:rPr>
        <w:t>ט"ז ס"</w:t>
      </w:r>
      <w:r w:rsidR="00236738" w:rsidRPr="00882F11">
        <w:rPr>
          <w:rFonts w:cs="Guttman Drogolin" w:hint="cs"/>
          <w:rtl/>
          <w:lang w:bidi="he-IL"/>
        </w:rPr>
        <w:t>ק ב</w:t>
      </w:r>
      <w:r w:rsidR="00C1238F" w:rsidRPr="00882F11">
        <w:rPr>
          <w:rFonts w:cs="Guttman Drogolin" w:hint="cs"/>
          <w:rtl/>
          <w:lang w:bidi="he-IL"/>
        </w:rPr>
        <w:t>'</w:t>
      </w:r>
      <w:r w:rsidR="00236738" w:rsidRPr="00882F11">
        <w:rPr>
          <w:rFonts w:cs="Guttman Drogolin" w:hint="cs"/>
          <w:rtl/>
          <w:lang w:bidi="he-IL"/>
        </w:rPr>
        <w:t xml:space="preserve"> בעקבתו</w:t>
      </w:r>
      <w:r w:rsidR="00C1238F" w:rsidRPr="00882F11">
        <w:rPr>
          <w:rFonts w:cs="Guttman Drogolin" w:hint="cs"/>
          <w:rtl/>
          <w:lang w:bidi="he-IL"/>
        </w:rPr>
        <w:t>.</w:t>
      </w:r>
      <w:r w:rsidR="00236738" w:rsidRPr="00882F11">
        <w:rPr>
          <w:rFonts w:cs="Guttman Drogolin" w:hint="cs"/>
          <w:rtl/>
          <w:lang w:bidi="he-IL"/>
        </w:rPr>
        <w:t xml:space="preserve"> ונראה טעמם שהרי לא שמענו שיעור זמן זה לענין קו"ה ומה"ת ששיעור זמן זה מספיק. ורק אחרי בין סעודה לסעודה אפשר לומר שסתימת הגמ' משמע דהמתנה לבד מספיק ואינו צריך קו"ה ונט"י. ומ"מ לכאורה לדינא קשה להקל כשעת הש"ך ולכן מי שאכל </w:t>
      </w:r>
      <w:r w:rsidR="00236738" w:rsidRPr="00882F11">
        <w:rPr>
          <w:rFonts w:cs="Guttman Drogolin" w:hint="cs"/>
          <w:rtl/>
          <w:lang w:bidi="he-IL"/>
        </w:rPr>
        <w:lastRenderedPageBreak/>
        <w:t>גבינה ואח"כ אוכל בשר בקר תוך שש שעות יש להחמיר ולשעות קו"ה ונט"י. וכמדומה לי העולם אינם נזהרים בזה ולכאורה סומכים עצמם בדעת הש"ך. וצ"ע.</w:t>
      </w:r>
    </w:p>
    <w:p w:rsidR="00236738" w:rsidRPr="00882F11" w:rsidRDefault="00236738" w:rsidP="00236738">
      <w:pPr>
        <w:bidi/>
        <w:jc w:val="both"/>
        <w:rPr>
          <w:rFonts w:cs="Guttman Drogolin"/>
          <w:rtl/>
          <w:lang w:bidi="he-IL"/>
        </w:rPr>
      </w:pPr>
      <w:r w:rsidRPr="00882F11">
        <w:rPr>
          <w:rFonts w:cs="Guttman Drogolin" w:hint="cs"/>
          <w:rtl/>
          <w:lang w:bidi="he-IL"/>
        </w:rPr>
        <w:t xml:space="preserve">ובענין קינוח הנה ברמב"ם לכאורה מבואר שאין זה מעשה אכילה דהא מהני אפילו פולט. ולכאורה א"כ אין כאן שיעור כזית, והשיעור שצריך הוא לפי בענין שיכול לנקות כל פיו. וע' גם בבדה"ש שהסתפק אם מספיק לאכול מאכלים או שצריך לסבב אותם בפה בכוונת קינוח. עוד נלעוק"ד שלענין זה דלא מהני ירקא, היינו ירקא מבושלת שהוא דומה לתכונה של תמרי דלא מהני, אבל ירקות קשות כמו מלפפון וגזר שפיר מהני כשהם חיות. ולא ראיתי מי שהעיר בזה. </w:t>
      </w:r>
    </w:p>
    <w:p w:rsidR="009F7832" w:rsidRPr="00882F11" w:rsidRDefault="00236738" w:rsidP="00236738">
      <w:pPr>
        <w:bidi/>
        <w:jc w:val="both"/>
        <w:rPr>
          <w:rFonts w:cs="Guttman Drogolin"/>
          <w:rtl/>
          <w:lang w:bidi="he-IL"/>
        </w:rPr>
      </w:pPr>
      <w:r w:rsidRPr="00882F11">
        <w:rPr>
          <w:rFonts w:cs="Guttman Drogolin" w:hint="cs"/>
          <w:rtl/>
          <w:lang w:bidi="he-IL"/>
        </w:rPr>
        <w:t>וראיתי אלו שאומרים שצחצוח שיניים מספיק במקום קינוח, ולדעתי אין זה מספיק כיון שאין זה מקנח אלא השיניים ולא כל הפה, ולכן אע"ג שלרמב"ם לכאורה סגי בהכי, לרש"י אין זה מספיק.</w:t>
      </w:r>
    </w:p>
    <w:p w:rsidR="00B721FF" w:rsidRPr="00882F11" w:rsidRDefault="00B721FF" w:rsidP="00497FC3">
      <w:pPr>
        <w:keepNext/>
        <w:bidi/>
        <w:jc w:val="both"/>
        <w:rPr>
          <w:rFonts w:cs="Guttman Drogolin"/>
          <w:b/>
          <w:bCs/>
          <w:rtl/>
          <w:lang w:bidi="he-IL"/>
        </w:rPr>
      </w:pPr>
      <w:r w:rsidRPr="00882F11">
        <w:rPr>
          <w:rFonts w:cs="Guttman Drogolin" w:hint="cs"/>
          <w:b/>
          <w:bCs/>
          <w:rtl/>
          <w:lang w:bidi="he-IL"/>
        </w:rPr>
        <w:t xml:space="preserve">עיונים במנהג להמתין אחרי אכילת גבינה קשה </w:t>
      </w:r>
    </w:p>
    <w:p w:rsidR="006E4E3D" w:rsidRPr="00882F11" w:rsidRDefault="00E54D3A" w:rsidP="00873F21">
      <w:pPr>
        <w:bidi/>
        <w:jc w:val="both"/>
        <w:rPr>
          <w:rFonts w:cs="Guttman Drogolin"/>
          <w:rtl/>
          <w:lang w:bidi="he-IL"/>
        </w:rPr>
      </w:pPr>
      <w:r>
        <w:rPr>
          <w:rFonts w:cs="Guttman Drogolin"/>
          <w:rtl/>
          <w:lang w:bidi="he-IL"/>
        </w:rPr>
        <w:fldChar w:fldCharType="begin"/>
      </w:r>
      <w:r>
        <w:instrText xml:space="preserve"> XE "</w:instrText>
      </w:r>
      <w:r w:rsidRPr="00394F66">
        <w:rPr>
          <w:rFonts w:hint="cs"/>
          <w:rtl/>
          <w:lang w:bidi="he-IL"/>
        </w:rPr>
        <w:instrText>בשר בחלב - חיוב המתנה</w:instrText>
      </w:r>
      <w:r w:rsidRPr="00394F66">
        <w:rPr>
          <w:rtl/>
        </w:rPr>
        <w:instrText>:</w:instrText>
      </w:r>
      <w:r w:rsidRPr="00394F66">
        <w:rPr>
          <w:rFonts w:hint="cs"/>
          <w:rtl/>
          <w:lang w:bidi="he-IL"/>
        </w:rPr>
        <w:instrText>מגבינה לבשר</w:instrText>
      </w:r>
      <w:r>
        <w:instrText xml:space="preserve">" </w:instrText>
      </w:r>
      <w:r>
        <w:rPr>
          <w:rFonts w:cs="Guttman Drogolin"/>
          <w:rtl/>
          <w:lang w:bidi="he-IL"/>
        </w:rPr>
        <w:fldChar w:fldCharType="end"/>
      </w:r>
      <w:r w:rsidR="00B721FF" w:rsidRPr="00882F11">
        <w:rPr>
          <w:rFonts w:cs="Guttman Drogolin" w:hint="cs"/>
          <w:rtl/>
          <w:lang w:bidi="he-IL"/>
        </w:rPr>
        <w:t>יל"ע מאיזה טעם אנחנו מחמירים שלא לאכול בשר אחרי אכילת גבינה קשה</w:t>
      </w:r>
      <w:r w:rsidR="006E4E3D" w:rsidRPr="00882F11">
        <w:rPr>
          <w:rFonts w:cs="Guttman Drogolin" w:hint="cs"/>
          <w:rtl/>
          <w:lang w:bidi="he-IL"/>
        </w:rPr>
        <w:t>. והט"ז ס"ק ד' הביא מאו"ה (כלל מ' דין י') שמעיקר הדין אין להחמיר משום שהטעם נמשך בפה, שרק טעם בשר נמשך בפה. ומ"מ נהגו להחמיר</w:t>
      </w:r>
      <w:r w:rsidR="007E163D" w:rsidRPr="00882F11">
        <w:rPr>
          <w:rFonts w:cs="Guttman Drogolin" w:hint="cs"/>
          <w:rtl/>
          <w:lang w:bidi="he-IL"/>
        </w:rPr>
        <w:t xml:space="preserve">. והט"ז שם כתב על זה שלפי טעם הרמב"ם הא גבינה שבין השיניים לא שמי' גבינה, שרק בבשר חידש הכתוב שאפילו בין השיניים שמו עליו. אבל בזה שהטעם נמשך שפיר יש להחמיר גם בגבינה. ולא ידעתי פירוש דבריו שהרי למעשה בגמ' מפורש דבר זה להתיר. ואולי כוונתו לומר שאמנם מעיקר הדין גם זה ליתא, אבל עכ"פ מטעם מנהג יש מקום להחמיר מטעם זה. ובמש"ז שם הביא מפר"ח שגם משום חשש בין השיניים יש להחמיר. וע"ש בהגהות חת"ס מהדו"ב מה שכתב להעיר על דברי הט"ז. וביד יהודה (הקצר ס"ק ל') הקל בגבינה שנתרככה ע"י בישול. ולא ביאר לנו טעמו, דהא נהי נמי דכה"ג אין לחשוש לבין השיניים (וגם זה לא כ"כ פשוט לעוק"ד) אבל משום </w:t>
      </w:r>
      <w:r w:rsidR="007E163D" w:rsidRPr="00882F11">
        <w:rPr>
          <w:rFonts w:cs="Guttman Drogolin" w:hint="cs"/>
          <w:rtl/>
          <w:lang w:bidi="he-IL"/>
        </w:rPr>
        <w:lastRenderedPageBreak/>
        <w:t>שהטעם נמשך עדיין יש להחמיר. וצ"ע. והגריש"א</w:t>
      </w:r>
      <w:r w:rsidR="006E4E3D" w:rsidRPr="00882F11">
        <w:rPr>
          <w:rFonts w:cs="Guttman Drogolin" w:hint="cs"/>
          <w:rtl/>
          <w:lang w:bidi="he-IL"/>
        </w:rPr>
        <w:t xml:space="preserve"> </w:t>
      </w:r>
      <w:r w:rsidR="007E163D" w:rsidRPr="00882F11">
        <w:rPr>
          <w:rFonts w:cs="Guttman Drogolin" w:hint="cs"/>
          <w:rtl/>
          <w:lang w:bidi="he-IL"/>
        </w:rPr>
        <w:t>בקובץ תשובות חשש לשני הטעמים לחייב המתנה אחרי אכילת פיצה (וכשיטתו דגבינה צהובה חשוב גבינה קשה). ונראה להדגיש שלא תמיד הרי הוא רך, שאם ממתין עד שיצטנן מ"מ אין להתיר משום דברי היד יהודה.</w:t>
      </w:r>
      <w:r w:rsidR="00506608" w:rsidRPr="00882F11">
        <w:rPr>
          <w:rFonts w:cs="Guttman Drogolin" w:hint="cs"/>
          <w:rtl/>
          <w:lang w:bidi="he-IL"/>
        </w:rPr>
        <w:t xml:space="preserve"> וע' מזה עוד בביאורים לס' בדי השולחן וכן במיל</w:t>
      </w:r>
      <w:r w:rsidR="00873F21" w:rsidRPr="00882F11">
        <w:rPr>
          <w:rFonts w:cs="Guttman Drogolin" w:hint="cs"/>
          <w:rtl/>
          <w:lang w:bidi="he-IL"/>
        </w:rPr>
        <w:t>ו</w:t>
      </w:r>
      <w:r w:rsidR="00506608" w:rsidRPr="00882F11">
        <w:rPr>
          <w:rFonts w:cs="Guttman Drogolin" w:hint="cs"/>
          <w:rtl/>
          <w:lang w:bidi="he-IL"/>
        </w:rPr>
        <w:t>אים להוצאה החדשה של היד יהודה שם.</w:t>
      </w:r>
    </w:p>
    <w:p w:rsidR="008A7C44" w:rsidRPr="00882F11" w:rsidRDefault="006E4E3D" w:rsidP="006E4E3D">
      <w:pPr>
        <w:bidi/>
        <w:jc w:val="both"/>
        <w:rPr>
          <w:rFonts w:cs="Guttman Drogolin"/>
          <w:rtl/>
          <w:lang w:bidi="he-IL"/>
        </w:rPr>
      </w:pPr>
      <w:r w:rsidRPr="00882F11">
        <w:rPr>
          <w:rFonts w:cs="Guttman Drogolin" w:hint="cs"/>
          <w:rtl/>
          <w:lang w:bidi="he-IL"/>
        </w:rPr>
        <w:t>ובענין גבינה מתולעת בבדה"ש פי' ע"פ סי' פ"ד סע' ט"ז דמיירי ביש בה תולעים ממש. ולא ידעתי טעם להחמיר דוקא בגלל התולעים (המותרים באכילה כדמבואר שם). וראיתי בערוה"ש</w:t>
      </w:r>
      <w:r w:rsidR="00C1238F" w:rsidRPr="00882F11">
        <w:rPr>
          <w:rFonts w:cs="Guttman Drogolin" w:hint="cs"/>
          <w:rtl/>
          <w:lang w:bidi="he-IL"/>
        </w:rPr>
        <w:t xml:space="preserve"> </w:t>
      </w:r>
      <w:r w:rsidRPr="00882F11">
        <w:rPr>
          <w:rFonts w:cs="Guttman Drogolin" w:hint="cs"/>
          <w:rtl/>
          <w:lang w:bidi="he-IL"/>
        </w:rPr>
        <w:t>שפי' דמיירי בכגון גבינה שוויצארית או"ד הולנדית.</w:t>
      </w:r>
      <w:r w:rsidR="00C1238F" w:rsidRPr="00882F11">
        <w:rPr>
          <w:rFonts w:cs="Guttman Drogolin" w:hint="cs"/>
          <w:rtl/>
          <w:lang w:bidi="he-IL"/>
        </w:rPr>
        <w:t xml:space="preserve">  </w:t>
      </w:r>
      <w:r w:rsidR="002C595B" w:rsidRPr="00882F11">
        <w:rPr>
          <w:rFonts w:cs="Guttman Drogolin" w:hint="cs"/>
          <w:rtl/>
          <w:lang w:bidi="he-IL"/>
        </w:rPr>
        <w:t xml:space="preserve"> </w:t>
      </w:r>
    </w:p>
    <w:p w:rsidR="008A7C44" w:rsidRPr="00882F11" w:rsidRDefault="008A7C44" w:rsidP="00497FC3">
      <w:pPr>
        <w:keepNext/>
        <w:bidi/>
        <w:jc w:val="both"/>
        <w:rPr>
          <w:rFonts w:cs="Guttman Drogolin"/>
          <w:b/>
          <w:bCs/>
          <w:rtl/>
          <w:lang w:bidi="he-IL"/>
        </w:rPr>
      </w:pPr>
      <w:r w:rsidRPr="00882F11">
        <w:rPr>
          <w:rFonts w:cs="Guttman Drogolin" w:hint="cs"/>
          <w:b/>
          <w:bCs/>
          <w:rtl/>
          <w:lang w:bidi="he-IL"/>
        </w:rPr>
        <w:t xml:space="preserve">קינוח והדחה למי שמוצא בשר עוף בין שיניו </w:t>
      </w:r>
    </w:p>
    <w:p w:rsidR="00AF5C70" w:rsidRPr="00882F11" w:rsidRDefault="00E54D3A" w:rsidP="0095606D">
      <w:pPr>
        <w:bidi/>
        <w:jc w:val="both"/>
        <w:rPr>
          <w:rFonts w:cs="Guttman Drogolin"/>
          <w:rtl/>
          <w:lang w:bidi="he-IL"/>
        </w:rPr>
      </w:pPr>
      <w:r>
        <w:rPr>
          <w:rFonts w:cs="Guttman Drogolin"/>
          <w:rtl/>
          <w:lang w:bidi="he-IL"/>
        </w:rPr>
        <w:fldChar w:fldCharType="begin"/>
      </w:r>
      <w:r>
        <w:instrText xml:space="preserve"> XE "</w:instrText>
      </w:r>
      <w:r w:rsidRPr="00AD135B">
        <w:rPr>
          <w:rFonts w:hint="cs"/>
          <w:rtl/>
          <w:lang w:bidi="he-IL"/>
        </w:rPr>
        <w:instrText>בשר בחלב - חיוב המתנה</w:instrText>
      </w:r>
      <w:r w:rsidRPr="00AD135B">
        <w:rPr>
          <w:rtl/>
        </w:rPr>
        <w:instrText>:</w:instrText>
      </w:r>
      <w:r w:rsidRPr="00AD135B">
        <w:rPr>
          <w:rFonts w:hint="cs"/>
          <w:rtl/>
          <w:lang w:bidi="he-IL"/>
        </w:rPr>
        <w:instrText>במוצא בשר עוף בין שיניו</w:instrText>
      </w:r>
      <w:r>
        <w:instrText xml:space="preserve">" </w:instrText>
      </w:r>
      <w:r>
        <w:rPr>
          <w:rFonts w:cs="Guttman Drogolin"/>
          <w:rtl/>
          <w:lang w:bidi="he-IL"/>
        </w:rPr>
        <w:fldChar w:fldCharType="end"/>
      </w:r>
      <w:r w:rsidR="008A7C44" w:rsidRPr="00882F11">
        <w:rPr>
          <w:rFonts w:cs="Guttman Drogolin" w:hint="cs"/>
          <w:rtl/>
          <w:lang w:bidi="he-IL"/>
        </w:rPr>
        <w:t>בפוסקים מבואר שאם מצא בשר בין שיניו והוציאו חייב לעשות קו"ה ונט"י. ושאל א' מן התלמידים ושיחיו מה הדין במצא בשר עוף. ונראה לכאורה שבזה לכו"ע אינו צריך דהוי בכלל עוף וגבינה נאכלין באפיקורן. ואע"ג דהתם בעוף ואח"כ גבינה, לכאורה היסוד של שניהם דעוף וגבינה הוו דרבנן, ולכן גם בעוף קודם יהא הדין כן.</w:t>
      </w:r>
    </w:p>
    <w:p w:rsidR="00911206" w:rsidRPr="00882F11" w:rsidRDefault="00911206" w:rsidP="00497FC3">
      <w:pPr>
        <w:keepNext/>
        <w:bidi/>
        <w:jc w:val="both"/>
        <w:rPr>
          <w:rFonts w:cs="Guttman Drogolin"/>
          <w:b/>
          <w:bCs/>
          <w:rtl/>
          <w:lang w:bidi="he-IL"/>
        </w:rPr>
      </w:pPr>
      <w:r w:rsidRPr="00882F11">
        <w:rPr>
          <w:rFonts w:cs="Guttman Drogolin" w:hint="cs"/>
          <w:b/>
          <w:bCs/>
          <w:rtl/>
          <w:lang w:bidi="he-IL"/>
        </w:rPr>
        <w:t xml:space="preserve">אכילת גבינה רכה ואח"כ בשר בסעודה אחת </w:t>
      </w:r>
    </w:p>
    <w:p w:rsidR="00911206" w:rsidRPr="00882F11" w:rsidRDefault="00E54D3A" w:rsidP="00A36A6B">
      <w:pPr>
        <w:bidi/>
        <w:jc w:val="both"/>
        <w:rPr>
          <w:rFonts w:cs="Guttman Drogolin"/>
          <w:rtl/>
          <w:lang w:bidi="he-IL"/>
        </w:rPr>
      </w:pPr>
      <w:r>
        <w:rPr>
          <w:rFonts w:cs="Guttman Drogolin"/>
          <w:rtl/>
          <w:lang w:bidi="he-IL"/>
        </w:rPr>
        <w:fldChar w:fldCharType="begin"/>
      </w:r>
      <w:r>
        <w:instrText xml:space="preserve"> XE "</w:instrText>
      </w:r>
      <w:r w:rsidRPr="002D636F">
        <w:rPr>
          <w:rFonts w:hint="cs"/>
          <w:rtl/>
          <w:lang w:bidi="he-IL"/>
        </w:rPr>
        <w:instrText>בשר בחלב - חיוב המתנה</w:instrText>
      </w:r>
      <w:r w:rsidRPr="002D636F">
        <w:rPr>
          <w:rtl/>
        </w:rPr>
        <w:instrText>:</w:instrText>
      </w:r>
      <w:r w:rsidRPr="002D636F">
        <w:rPr>
          <w:rFonts w:hint="cs"/>
          <w:rtl/>
          <w:lang w:bidi="he-IL"/>
        </w:rPr>
        <w:instrText>אחרי גבינה רכה בסעודה אחת</w:instrText>
      </w:r>
      <w:r>
        <w:instrText xml:space="preserve">" </w:instrText>
      </w:r>
      <w:r>
        <w:rPr>
          <w:rFonts w:cs="Guttman Drogolin"/>
          <w:rtl/>
          <w:lang w:bidi="he-IL"/>
        </w:rPr>
        <w:fldChar w:fldCharType="end"/>
      </w:r>
      <w:r w:rsidR="00911206" w:rsidRPr="00882F11">
        <w:rPr>
          <w:rFonts w:cs="Guttman Drogolin" w:hint="cs"/>
          <w:rtl/>
          <w:lang w:bidi="he-IL"/>
        </w:rPr>
        <w:t>לכאורה אין לנו מקור מן הש"ס לאסור דבר זה, דאדרבה נאכלת באפירוקן כתיב, והיינו עכ"פ חלב ואח"כ בשר עוף. וכן כתב המג"א בסי' תצ"ד ס"ק ו' שהדבר מותר וכן העתיק גם המ"ב שם ס"ק י' להלכה. והמג"א כתב שם שהדבר מבואר ביו"ד סי' פ"ט, ואינו מבואר איפה מצא המג"א שכן הדין. ו</w:t>
      </w:r>
      <w:r w:rsidR="0095606D" w:rsidRPr="00882F11">
        <w:rPr>
          <w:rFonts w:cs="Guttman Drogolin" w:hint="cs"/>
          <w:rtl/>
          <w:lang w:bidi="he-IL"/>
        </w:rPr>
        <w:t xml:space="preserve">בפמ"ג על המג"א שם הביא דברי המנח"י סי' ע"ו ס"ק ה' שכתב להחמיר ולהפריד ביניהם ע"י ברכה אחרונה, וכן </w:t>
      </w:r>
      <w:r w:rsidR="00911206" w:rsidRPr="00882F11">
        <w:rPr>
          <w:rFonts w:cs="Guttman Drogolin" w:hint="cs"/>
          <w:rtl/>
          <w:lang w:bidi="he-IL"/>
        </w:rPr>
        <w:t xml:space="preserve">בשפ"ד סי' פ"ט ס"ק ט"ז כתב במפורש שהמנהג להחמיר ולברך בין גבינה רכה לבשר. ומ"מ נראה ששורת הדין כסתימת המג"א ומ"ב, כ"ש בדבר שאין לנו בה מקור מן הגמ' לאסור וכן אינו אלא איסור מדרבנן. </w:t>
      </w:r>
      <w:r w:rsidR="0081758C" w:rsidRPr="00882F11">
        <w:rPr>
          <w:rFonts w:cs="Guttman Drogolin" w:hint="cs"/>
          <w:rtl/>
          <w:lang w:bidi="he-IL"/>
        </w:rPr>
        <w:t>אמנם יעוין באג"מ או"ח א' סי' ק"ס.</w:t>
      </w:r>
      <w:r w:rsidR="00911206" w:rsidRPr="00882F11">
        <w:rPr>
          <w:rFonts w:cs="Guttman Drogolin" w:hint="cs"/>
          <w:rtl/>
          <w:lang w:bidi="he-IL"/>
        </w:rPr>
        <w:t xml:space="preserve"> </w:t>
      </w:r>
    </w:p>
    <w:p w:rsidR="00911206" w:rsidRPr="00882F11" w:rsidRDefault="00911206" w:rsidP="00911206">
      <w:pPr>
        <w:bidi/>
        <w:jc w:val="both"/>
        <w:rPr>
          <w:rFonts w:cs="Guttman Drogolin"/>
          <w:rtl/>
          <w:lang w:bidi="he-IL"/>
        </w:rPr>
        <w:sectPr w:rsidR="00911206" w:rsidRPr="00882F11" w:rsidSect="00662307">
          <w:type w:val="continuous"/>
          <w:pgSz w:w="11907" w:h="16839" w:code="9"/>
          <w:pgMar w:top="1440" w:right="1440" w:bottom="1440" w:left="1440" w:header="720" w:footer="720" w:gutter="0"/>
          <w:cols w:num="2" w:space="720"/>
          <w:bidi/>
          <w:docGrid w:linePitch="360"/>
        </w:sectPr>
      </w:pPr>
    </w:p>
    <w:p w:rsidR="00AF5C70" w:rsidRPr="00882F11" w:rsidRDefault="00AF5C70" w:rsidP="00AF5C70">
      <w:pPr>
        <w:bidi/>
        <w:jc w:val="both"/>
        <w:rPr>
          <w:rFonts w:cs="Guttman Drogolin"/>
          <w:b/>
          <w:bCs/>
          <w:sz w:val="28"/>
          <w:szCs w:val="28"/>
          <w:u w:val="single"/>
          <w:rtl/>
          <w:lang w:bidi="he-IL"/>
        </w:rPr>
      </w:pPr>
      <w:r w:rsidRPr="00882F11">
        <w:rPr>
          <w:rFonts w:cs="Guttman Drogolin" w:hint="cs"/>
          <w:b/>
          <w:bCs/>
          <w:sz w:val="28"/>
          <w:szCs w:val="28"/>
          <w:u w:val="single"/>
          <w:rtl/>
          <w:lang w:bidi="he-IL"/>
        </w:rPr>
        <w:lastRenderedPageBreak/>
        <w:t xml:space="preserve">דיני </w:t>
      </w:r>
      <w:r w:rsidR="00950436" w:rsidRPr="00882F11">
        <w:rPr>
          <w:rFonts w:cs="Guttman Drogolin" w:hint="cs"/>
          <w:b/>
          <w:bCs/>
          <w:sz w:val="28"/>
          <w:szCs w:val="28"/>
          <w:u w:val="single"/>
          <w:rtl/>
          <w:lang w:bidi="he-IL"/>
        </w:rPr>
        <w:t>מי ש</w:t>
      </w:r>
      <w:r w:rsidRPr="00882F11">
        <w:rPr>
          <w:rFonts w:cs="Guttman Drogolin" w:hint="cs"/>
          <w:b/>
          <w:bCs/>
          <w:sz w:val="28"/>
          <w:szCs w:val="28"/>
          <w:u w:val="single"/>
          <w:rtl/>
          <w:lang w:bidi="he-IL"/>
        </w:rPr>
        <w:t>אכל בשר</w:t>
      </w:r>
    </w:p>
    <w:p w:rsidR="00AF5C70" w:rsidRPr="00882F11" w:rsidRDefault="00950436" w:rsidP="00AF5C70">
      <w:pPr>
        <w:bidi/>
        <w:spacing w:after="0"/>
        <w:jc w:val="both"/>
        <w:rPr>
          <w:rFonts w:cs="Guttman Drogolin"/>
          <w:b/>
          <w:bCs/>
          <w:rtl/>
          <w:lang w:bidi="he-IL"/>
        </w:rPr>
      </w:pPr>
      <w:r w:rsidRPr="00882F11">
        <w:rPr>
          <w:rFonts w:cs="Guttman Drogolin" w:hint="cs"/>
          <w:b/>
          <w:bCs/>
          <w:rtl/>
          <w:lang w:bidi="he-IL"/>
        </w:rPr>
        <w:t>מאיזה מא</w:t>
      </w:r>
      <w:r w:rsidR="00AF5C70" w:rsidRPr="00882F11">
        <w:rPr>
          <w:rFonts w:cs="Guttman Drogolin" w:hint="cs"/>
          <w:b/>
          <w:bCs/>
          <w:rtl/>
          <w:lang w:bidi="he-IL"/>
        </w:rPr>
        <w:t>כ</w:t>
      </w:r>
      <w:r w:rsidRPr="00882F11">
        <w:rPr>
          <w:rFonts w:cs="Guttman Drogolin" w:hint="cs"/>
          <w:b/>
          <w:bCs/>
          <w:rtl/>
          <w:lang w:bidi="he-IL"/>
        </w:rPr>
        <w:t>ל</w:t>
      </w:r>
      <w:r w:rsidR="00AF5C70" w:rsidRPr="00882F11">
        <w:rPr>
          <w:rFonts w:cs="Guttman Drogolin" w:hint="cs"/>
          <w:b/>
          <w:bCs/>
          <w:rtl/>
          <w:lang w:bidi="he-IL"/>
        </w:rPr>
        <w:t xml:space="preserve">ים חייבים להמתין שיעור של כבין סעודה לסעודה </w:t>
      </w:r>
    </w:p>
    <w:p w:rsidR="00AF5C70" w:rsidRPr="00882F11" w:rsidRDefault="00AF5C70" w:rsidP="00AF5C70">
      <w:pPr>
        <w:bidi/>
        <w:jc w:val="both"/>
        <w:rPr>
          <w:rFonts w:cs="Guttman Drogolin"/>
          <w:rtl/>
          <w:lang w:bidi="he-IL"/>
        </w:rPr>
      </w:pPr>
      <w:r w:rsidRPr="00882F11">
        <w:rPr>
          <w:rFonts w:cs="Guttman Drogolin" w:hint="cs"/>
          <w:rtl/>
          <w:lang w:bidi="he-IL"/>
        </w:rPr>
        <w:t>מאכילת בשר בהמה חי' ועוף</w:t>
      </w:r>
      <w:r w:rsidRPr="00882F11">
        <w:rPr>
          <w:rStyle w:val="FootnoteReference"/>
          <w:rFonts w:cs="Guttman Drogolin"/>
          <w:rtl/>
          <w:lang w:bidi="he-IL"/>
        </w:rPr>
        <w:footnoteReference w:id="196"/>
      </w:r>
      <w:r w:rsidRPr="00882F11">
        <w:rPr>
          <w:rFonts w:cs="Guttman Drogolin" w:hint="cs"/>
          <w:rtl/>
          <w:lang w:bidi="he-IL"/>
        </w:rPr>
        <w:t>, וכן משומן בשר</w:t>
      </w:r>
      <w:r w:rsidRPr="00882F11">
        <w:rPr>
          <w:rStyle w:val="FootnoteReference"/>
          <w:rFonts w:cs="Guttman Drogolin"/>
          <w:rtl/>
          <w:lang w:bidi="he-IL"/>
        </w:rPr>
        <w:footnoteReference w:id="197"/>
      </w:r>
      <w:r w:rsidRPr="00882F11">
        <w:rPr>
          <w:rFonts w:cs="Guttman Drogolin" w:hint="cs"/>
          <w:rtl/>
          <w:lang w:bidi="he-IL"/>
        </w:rPr>
        <w:t xml:space="preserve"> או מתבשיל שלהם</w:t>
      </w:r>
      <w:r w:rsidRPr="00882F11">
        <w:rPr>
          <w:rStyle w:val="FootnoteReference"/>
          <w:rFonts w:cs="Guttman Drogolin"/>
          <w:rtl/>
          <w:lang w:bidi="he-IL"/>
        </w:rPr>
        <w:footnoteReference w:id="198"/>
      </w:r>
      <w:r w:rsidRPr="00882F11">
        <w:rPr>
          <w:rFonts w:cs="Guttman Drogolin" w:hint="cs"/>
          <w:rtl/>
          <w:lang w:bidi="he-IL"/>
        </w:rPr>
        <w:t>, אבל לא ממאכל שהתבשל בקדרה של בשר</w:t>
      </w:r>
      <w:r w:rsidRPr="00882F11">
        <w:rPr>
          <w:rStyle w:val="FootnoteReference"/>
          <w:rFonts w:cs="Guttman Drogolin"/>
          <w:rtl/>
          <w:lang w:bidi="he-IL"/>
        </w:rPr>
        <w:footnoteReference w:id="199"/>
      </w:r>
      <w:r w:rsidR="00D55C63" w:rsidRPr="00882F11">
        <w:rPr>
          <w:rFonts w:cs="Guttman Drogolin" w:hint="cs"/>
          <w:rtl/>
          <w:lang w:bidi="he-IL"/>
        </w:rPr>
        <w:t xml:space="preserve"> </w:t>
      </w:r>
      <w:r w:rsidRPr="00882F11">
        <w:rPr>
          <w:rFonts w:cs="Guttman Drogolin" w:hint="cs"/>
          <w:rtl/>
          <w:lang w:bidi="he-IL"/>
        </w:rPr>
        <w:t>אפילו לא היתה הקדרה מקונחת</w:t>
      </w:r>
      <w:r w:rsidRPr="00882F11">
        <w:rPr>
          <w:rStyle w:val="FootnoteReference"/>
          <w:rFonts w:cs="Guttman Drogolin"/>
          <w:rtl/>
          <w:lang w:bidi="he-IL"/>
        </w:rPr>
        <w:footnoteReference w:id="200"/>
      </w:r>
      <w:r w:rsidRPr="00882F11">
        <w:rPr>
          <w:rFonts w:cs="Guttman Drogolin" w:hint="cs"/>
          <w:rtl/>
          <w:lang w:bidi="he-IL"/>
        </w:rPr>
        <w:t>, ולא מדבר חריף שנ</w:t>
      </w:r>
      <w:r w:rsidR="00950436" w:rsidRPr="00882F11">
        <w:rPr>
          <w:rFonts w:cs="Guttman Drogolin" w:hint="cs"/>
          <w:rtl/>
          <w:lang w:bidi="he-IL"/>
        </w:rPr>
        <w:t>חתך בסכין של בשר.</w:t>
      </w:r>
    </w:p>
    <w:p w:rsidR="00950436" w:rsidRPr="00882F11" w:rsidRDefault="00950436" w:rsidP="00950436">
      <w:pPr>
        <w:bidi/>
        <w:spacing w:after="0"/>
        <w:jc w:val="both"/>
        <w:rPr>
          <w:rFonts w:cs="Guttman Drogolin"/>
          <w:b/>
          <w:bCs/>
          <w:rtl/>
          <w:lang w:bidi="he-IL"/>
        </w:rPr>
      </w:pPr>
      <w:r w:rsidRPr="00882F11">
        <w:rPr>
          <w:rFonts w:cs="Guttman Drogolin" w:hint="cs"/>
          <w:b/>
          <w:bCs/>
          <w:rtl/>
          <w:lang w:bidi="he-IL"/>
        </w:rPr>
        <w:t xml:space="preserve">כשמחויב להמתין מה אסור לו לאכול </w:t>
      </w:r>
    </w:p>
    <w:p w:rsidR="00950436" w:rsidRPr="00882F11" w:rsidRDefault="00950436" w:rsidP="00950436">
      <w:pPr>
        <w:bidi/>
        <w:jc w:val="both"/>
        <w:rPr>
          <w:rFonts w:cs="Guttman Drogolin"/>
          <w:rtl/>
          <w:lang w:bidi="he-IL"/>
        </w:rPr>
      </w:pPr>
      <w:r w:rsidRPr="00882F11">
        <w:rPr>
          <w:rFonts w:cs="Guttman Drogolin" w:hint="cs"/>
          <w:rtl/>
          <w:lang w:bidi="he-IL"/>
        </w:rPr>
        <w:t>גבינה וחלב ואפילו תבשיל של גבינה או חלב</w:t>
      </w:r>
      <w:r w:rsidRPr="00882F11">
        <w:rPr>
          <w:rStyle w:val="FootnoteReference"/>
          <w:rFonts w:cs="Guttman Drogolin"/>
          <w:rtl/>
          <w:lang w:bidi="he-IL"/>
        </w:rPr>
        <w:footnoteReference w:id="201"/>
      </w:r>
      <w:r w:rsidRPr="00882F11">
        <w:rPr>
          <w:rFonts w:cs="Guttman Drogolin" w:hint="cs"/>
          <w:rtl/>
          <w:lang w:bidi="he-IL"/>
        </w:rPr>
        <w:t>, אבל דבר שנתבשל בקדרה של חלב מקונחת אפשר להקל, ויש מקילים לאכול אפילו דבר שנתבשל בקדרה חולבת שלא היתה מקונחת וכן בדבר חריף שנחתך בסכין של חלב</w:t>
      </w:r>
      <w:r w:rsidRPr="00882F11">
        <w:rPr>
          <w:rStyle w:val="FootnoteReference"/>
          <w:rFonts w:cs="Guttman Drogolin"/>
          <w:rtl/>
          <w:lang w:bidi="he-IL"/>
        </w:rPr>
        <w:footnoteReference w:id="202"/>
      </w:r>
      <w:r w:rsidRPr="00882F11">
        <w:rPr>
          <w:rFonts w:cs="Guttman Drogolin" w:hint="cs"/>
          <w:rtl/>
          <w:lang w:bidi="he-IL"/>
        </w:rPr>
        <w:t xml:space="preserve">. </w:t>
      </w:r>
    </w:p>
    <w:p w:rsidR="00950436" w:rsidRPr="00882F11" w:rsidRDefault="00950436" w:rsidP="00950436">
      <w:pPr>
        <w:bidi/>
        <w:spacing w:after="0"/>
        <w:jc w:val="both"/>
        <w:rPr>
          <w:rFonts w:cs="Guttman Drogolin"/>
          <w:b/>
          <w:bCs/>
          <w:rtl/>
          <w:lang w:bidi="he-IL"/>
        </w:rPr>
      </w:pPr>
      <w:r w:rsidRPr="00882F11">
        <w:rPr>
          <w:rFonts w:cs="Guttman Drogolin" w:hint="cs"/>
          <w:b/>
          <w:bCs/>
          <w:rtl/>
          <w:lang w:bidi="he-IL"/>
        </w:rPr>
        <w:t xml:space="preserve">מאיזה מאכלים חייבים לעשות קינוח והדחה ונט"י קודם אכילת גבינה </w:t>
      </w:r>
    </w:p>
    <w:p w:rsidR="00AF5C70" w:rsidRPr="00882F11" w:rsidRDefault="00950436" w:rsidP="00950436">
      <w:pPr>
        <w:bidi/>
        <w:jc w:val="both"/>
        <w:rPr>
          <w:rFonts w:cs="Guttman Drogolin"/>
          <w:rtl/>
          <w:lang w:bidi="he-IL"/>
        </w:rPr>
      </w:pPr>
      <w:r w:rsidRPr="00882F11">
        <w:rPr>
          <w:rFonts w:cs="Guttman Drogolin" w:hint="cs"/>
          <w:rtl/>
          <w:lang w:bidi="he-IL"/>
        </w:rPr>
        <w:t>אחרי זמן ההמתנה של כבין סעודה לסעודה אינו צריך קינוח הדחה ונט"י</w:t>
      </w:r>
      <w:r w:rsidRPr="00882F11">
        <w:rPr>
          <w:rStyle w:val="FootnoteReference"/>
          <w:rFonts w:cs="Guttman Drogolin"/>
          <w:rtl/>
          <w:lang w:bidi="he-IL"/>
        </w:rPr>
        <w:footnoteReference w:id="203"/>
      </w:r>
      <w:r w:rsidRPr="00882F11">
        <w:rPr>
          <w:rFonts w:cs="Guttman Drogolin" w:hint="cs"/>
          <w:rtl/>
          <w:lang w:bidi="he-IL"/>
        </w:rPr>
        <w:t>. וכן אחרי שמוציאים בשר בקר מבין השיניים</w:t>
      </w:r>
      <w:r w:rsidRPr="00882F11">
        <w:rPr>
          <w:rStyle w:val="FootnoteReference"/>
          <w:rFonts w:cs="Guttman Drogolin"/>
          <w:rtl/>
          <w:lang w:bidi="he-IL"/>
        </w:rPr>
        <w:footnoteReference w:id="204"/>
      </w:r>
      <w:r w:rsidRPr="00882F11">
        <w:rPr>
          <w:rFonts w:cs="Guttman Drogolin" w:hint="cs"/>
          <w:rtl/>
          <w:lang w:bidi="he-IL"/>
        </w:rPr>
        <w:t>, אבל לכאורה לא אחרי שמוציאים בשר מבין השיניים</w:t>
      </w:r>
      <w:r w:rsidRPr="00882F11">
        <w:rPr>
          <w:rStyle w:val="FootnoteReference"/>
          <w:rFonts w:cs="Guttman Drogolin"/>
          <w:rtl/>
          <w:lang w:bidi="he-IL"/>
        </w:rPr>
        <w:footnoteReference w:id="205"/>
      </w:r>
      <w:r w:rsidRPr="00882F11">
        <w:rPr>
          <w:rFonts w:cs="Guttman Drogolin" w:hint="cs"/>
          <w:rtl/>
          <w:lang w:bidi="he-IL"/>
        </w:rPr>
        <w:t xml:space="preserve">.  </w:t>
      </w:r>
    </w:p>
    <w:p w:rsidR="00A90981" w:rsidRPr="00882F11" w:rsidRDefault="00A90981" w:rsidP="00A90981">
      <w:pPr>
        <w:bidi/>
        <w:jc w:val="both"/>
        <w:rPr>
          <w:rFonts w:cs="Guttman Drogolin"/>
          <w:rtl/>
          <w:lang w:bidi="he-IL"/>
        </w:rPr>
      </w:pPr>
    </w:p>
    <w:p w:rsidR="00A90981" w:rsidRPr="00882F11" w:rsidRDefault="00A90981" w:rsidP="00A90981">
      <w:pPr>
        <w:bidi/>
        <w:jc w:val="both"/>
        <w:rPr>
          <w:rFonts w:cs="Guttman Drogolin"/>
          <w:b/>
          <w:bCs/>
          <w:sz w:val="28"/>
          <w:szCs w:val="28"/>
          <w:u w:val="single"/>
          <w:rtl/>
          <w:lang w:bidi="he-IL"/>
        </w:rPr>
      </w:pPr>
      <w:r w:rsidRPr="00882F11">
        <w:rPr>
          <w:rFonts w:cs="Guttman Drogolin" w:hint="cs"/>
          <w:b/>
          <w:bCs/>
          <w:sz w:val="28"/>
          <w:szCs w:val="28"/>
          <w:u w:val="single"/>
          <w:rtl/>
          <w:lang w:bidi="he-IL"/>
        </w:rPr>
        <w:t>דיני מי שאכל גבינה</w:t>
      </w:r>
    </w:p>
    <w:p w:rsidR="00A90981" w:rsidRPr="00882F11" w:rsidRDefault="00A90981" w:rsidP="00A90981">
      <w:pPr>
        <w:bidi/>
        <w:spacing w:after="0"/>
        <w:jc w:val="both"/>
        <w:rPr>
          <w:rFonts w:cs="Guttman Drogolin"/>
          <w:b/>
          <w:bCs/>
          <w:rtl/>
          <w:lang w:bidi="he-IL"/>
        </w:rPr>
      </w:pPr>
      <w:r w:rsidRPr="00882F11">
        <w:rPr>
          <w:rFonts w:cs="Guttman Drogolin" w:hint="cs"/>
          <w:b/>
          <w:bCs/>
          <w:rtl/>
          <w:lang w:bidi="he-IL"/>
        </w:rPr>
        <w:t xml:space="preserve">מאיזה מאכלים נוהגים להמתין שיעור של כבין סעודה לסעודה </w:t>
      </w:r>
    </w:p>
    <w:p w:rsidR="00A90981" w:rsidRPr="00882F11" w:rsidRDefault="00A90981" w:rsidP="00A90981">
      <w:pPr>
        <w:bidi/>
        <w:jc w:val="both"/>
        <w:rPr>
          <w:rFonts w:cs="Guttman Drogolin"/>
          <w:rtl/>
          <w:lang w:bidi="he-IL"/>
        </w:rPr>
      </w:pPr>
      <w:r w:rsidRPr="00882F11">
        <w:rPr>
          <w:rFonts w:cs="Guttman Drogolin" w:hint="cs"/>
          <w:rtl/>
          <w:lang w:bidi="he-IL"/>
        </w:rPr>
        <w:t>מאכילת גבינה קשה שעבר עליו ו' חדשים</w:t>
      </w:r>
      <w:r w:rsidRPr="00882F11">
        <w:rPr>
          <w:rStyle w:val="FootnoteReference"/>
          <w:rFonts w:cs="Guttman Drogolin"/>
          <w:rtl/>
          <w:lang w:bidi="he-IL"/>
        </w:rPr>
        <w:footnoteReference w:id="206"/>
      </w:r>
      <w:r w:rsidRPr="00882F11">
        <w:rPr>
          <w:rFonts w:cs="Guttman Drogolin" w:hint="cs"/>
          <w:rtl/>
          <w:lang w:bidi="he-IL"/>
        </w:rPr>
        <w:t>, אבל לא מגבינה רכה ולא מחלב, ולכאורה יש להקל אפילו מתבשיל של גבינה קשה</w:t>
      </w:r>
      <w:r w:rsidRPr="00882F11">
        <w:rPr>
          <w:rStyle w:val="FootnoteReference"/>
          <w:rFonts w:cs="Guttman Drogolin"/>
          <w:rtl/>
          <w:lang w:bidi="he-IL"/>
        </w:rPr>
        <w:footnoteReference w:id="207"/>
      </w:r>
      <w:r w:rsidRPr="00882F11">
        <w:rPr>
          <w:rFonts w:cs="Guttman Drogolin" w:hint="cs"/>
          <w:rtl/>
          <w:lang w:bidi="he-IL"/>
        </w:rPr>
        <w:t>.</w:t>
      </w:r>
    </w:p>
    <w:p w:rsidR="00A90981" w:rsidRPr="00882F11" w:rsidRDefault="00A90981" w:rsidP="00A90981">
      <w:pPr>
        <w:bidi/>
        <w:spacing w:after="0"/>
        <w:jc w:val="both"/>
        <w:rPr>
          <w:rFonts w:cs="Guttman Drogolin"/>
          <w:b/>
          <w:bCs/>
          <w:rtl/>
          <w:lang w:bidi="he-IL"/>
        </w:rPr>
      </w:pPr>
      <w:r w:rsidRPr="00882F11">
        <w:rPr>
          <w:rFonts w:cs="Guttman Drogolin" w:hint="cs"/>
          <w:b/>
          <w:bCs/>
          <w:rtl/>
          <w:lang w:bidi="he-IL"/>
        </w:rPr>
        <w:t xml:space="preserve">כמה זמן צריכים להמתין </w:t>
      </w:r>
      <w:r w:rsidR="00662307">
        <w:rPr>
          <w:rFonts w:cs="Guttman Drogolin" w:hint="cs"/>
          <w:b/>
          <w:bCs/>
          <w:rtl/>
          <w:lang w:bidi="he-IL"/>
        </w:rPr>
        <w:t>...</w:t>
      </w:r>
    </w:p>
    <w:p w:rsidR="00A90981" w:rsidRPr="00882F11" w:rsidRDefault="00A90981" w:rsidP="00A90981">
      <w:pPr>
        <w:bidi/>
        <w:jc w:val="both"/>
        <w:rPr>
          <w:rFonts w:cs="Guttman Drogolin"/>
          <w:rtl/>
          <w:lang w:bidi="he-IL"/>
        </w:rPr>
      </w:pPr>
      <w:r w:rsidRPr="00882F11">
        <w:rPr>
          <w:rFonts w:cs="Guttman Drogolin" w:hint="cs"/>
          <w:rtl/>
          <w:lang w:bidi="he-IL"/>
        </w:rPr>
        <w:lastRenderedPageBreak/>
        <w:t>שלא בשעה"ד יש להתמין שיעור של כבין סעודה לסעודה</w:t>
      </w:r>
      <w:r w:rsidRPr="00882F11">
        <w:rPr>
          <w:rStyle w:val="FootnoteReference"/>
          <w:rFonts w:cs="Guttman Drogolin"/>
          <w:rtl/>
          <w:lang w:bidi="he-IL"/>
        </w:rPr>
        <w:footnoteReference w:id="208"/>
      </w:r>
      <w:r w:rsidRPr="00882F11">
        <w:rPr>
          <w:rFonts w:cs="Guttman Drogolin" w:hint="cs"/>
          <w:rtl/>
          <w:lang w:bidi="he-IL"/>
        </w:rPr>
        <w:t xml:space="preserve"> </w:t>
      </w:r>
    </w:p>
    <w:p w:rsidR="00A90981" w:rsidRPr="00882F11" w:rsidRDefault="00A90981" w:rsidP="00A90981">
      <w:pPr>
        <w:bidi/>
        <w:jc w:val="both"/>
        <w:rPr>
          <w:rFonts w:cs="Guttman Drogolin"/>
          <w:rtl/>
          <w:lang w:bidi="he-IL"/>
        </w:rPr>
        <w:sectPr w:rsidR="00A90981" w:rsidRPr="00882F11" w:rsidSect="00882F11">
          <w:headerReference w:type="default" r:id="rId39"/>
          <w:pgSz w:w="11907" w:h="16839" w:code="9"/>
          <w:pgMar w:top="1440" w:right="1440" w:bottom="1440" w:left="1440" w:header="720" w:footer="720" w:gutter="0"/>
          <w:cols w:num="2" w:space="720"/>
          <w:bidi/>
          <w:docGrid w:linePitch="360"/>
        </w:sectPr>
      </w:pPr>
    </w:p>
    <w:p w:rsidR="00AF5C70" w:rsidRPr="00882F11" w:rsidRDefault="00AF5C70" w:rsidP="00AF5C70">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מ"ו</w:t>
      </w:r>
    </w:p>
    <w:p w:rsidR="00662307" w:rsidRDefault="00662307" w:rsidP="0078079C">
      <w:pPr>
        <w:pStyle w:val="Heading1"/>
        <w:bidi/>
        <w:spacing w:before="0" w:line="360" w:lineRule="auto"/>
        <w:jc w:val="center"/>
        <w:rPr>
          <w:rFonts w:cs="Guttman Drogolin"/>
          <w:color w:val="auto"/>
          <w:sz w:val="24"/>
          <w:szCs w:val="24"/>
          <w:u w:val="single"/>
          <w:rtl/>
          <w:lang w:bidi="he-IL"/>
        </w:rPr>
        <w:sectPr w:rsidR="00662307" w:rsidSect="00662307">
          <w:headerReference w:type="default" r:id="rId40"/>
          <w:pgSz w:w="11907" w:h="16839" w:code="9"/>
          <w:pgMar w:top="1440" w:right="1440" w:bottom="1440" w:left="1440" w:header="720" w:footer="720" w:gutter="0"/>
          <w:cols w:space="720"/>
          <w:bidi/>
          <w:docGrid w:linePitch="360"/>
        </w:sectPr>
      </w:pPr>
    </w:p>
    <w:p w:rsidR="00AF5C70" w:rsidRPr="00882F11" w:rsidRDefault="00AF5C70" w:rsidP="0078079C">
      <w:pPr>
        <w:pStyle w:val="Heading1"/>
        <w:bidi/>
        <w:spacing w:before="0" w:line="360" w:lineRule="auto"/>
        <w:jc w:val="center"/>
        <w:rPr>
          <w:rFonts w:cs="Guttman Drogolin"/>
          <w:color w:val="auto"/>
          <w:sz w:val="24"/>
          <w:szCs w:val="24"/>
          <w:u w:val="single"/>
          <w:rtl/>
          <w:lang w:bidi="he-IL"/>
        </w:rPr>
      </w:pPr>
      <w:bookmarkStart w:id="171" w:name="_Toc496175428"/>
      <w:r w:rsidRPr="00882F11">
        <w:rPr>
          <w:rFonts w:cs="Guttman Drogolin" w:hint="cs"/>
          <w:color w:val="auto"/>
          <w:sz w:val="24"/>
          <w:szCs w:val="24"/>
          <w:u w:val="single"/>
          <w:rtl/>
          <w:lang w:bidi="he-IL"/>
        </w:rPr>
        <w:lastRenderedPageBreak/>
        <w:t>בדין סכין שחתך בו גבינה או בשר</w:t>
      </w:r>
      <w:bookmarkEnd w:id="171"/>
    </w:p>
    <w:p w:rsidR="00E225DC" w:rsidRPr="00882F11" w:rsidRDefault="00E54D3A" w:rsidP="007218F6">
      <w:pPr>
        <w:bidi/>
        <w:jc w:val="both"/>
        <w:rPr>
          <w:rFonts w:cs="Guttman Drogolin"/>
          <w:rtl/>
          <w:lang w:bidi="he-IL"/>
        </w:rPr>
      </w:pPr>
      <w:r>
        <w:rPr>
          <w:rFonts w:cs="Guttman Drogolin"/>
          <w:rtl/>
          <w:lang w:bidi="he-IL"/>
        </w:rPr>
        <w:fldChar w:fldCharType="begin"/>
      </w:r>
      <w:r>
        <w:instrText xml:space="preserve"> XE "</w:instrText>
      </w:r>
      <w:r w:rsidRPr="00BD452E">
        <w:rPr>
          <w:rFonts w:hint="cs"/>
          <w:rtl/>
          <w:lang w:bidi="he-IL"/>
        </w:rPr>
        <w:instrText>בשר בחלב</w:instrText>
      </w:r>
      <w:r w:rsidRPr="00BD452E">
        <w:rPr>
          <w:rtl/>
        </w:rPr>
        <w:instrText>:</w:instrText>
      </w:r>
      <w:r w:rsidRPr="00BD452E">
        <w:rPr>
          <w:rFonts w:hint="cs"/>
          <w:rtl/>
          <w:lang w:bidi="he-IL"/>
        </w:rPr>
        <w:instrText>השתמשות באותו סכין לבשר ולחלב</w:instrText>
      </w:r>
      <w:r>
        <w:instrText xml:space="preserve">" </w:instrText>
      </w:r>
      <w:r>
        <w:rPr>
          <w:rFonts w:cs="Guttman Drogolin"/>
          <w:rtl/>
          <w:lang w:bidi="he-IL"/>
        </w:rPr>
        <w:fldChar w:fldCharType="end"/>
      </w:r>
      <w:r w:rsidR="00E75434">
        <w:rPr>
          <w:rFonts w:cs="Guttman Drogolin"/>
          <w:rtl/>
          <w:lang w:bidi="he-IL"/>
        </w:rPr>
        <w:fldChar w:fldCharType="begin"/>
      </w:r>
      <w:r w:rsidR="00E75434">
        <w:instrText xml:space="preserve"> XE "</w:instrText>
      </w:r>
      <w:r w:rsidR="00E75434" w:rsidRPr="00D53B1C">
        <w:rPr>
          <w:rFonts w:hint="cs"/>
          <w:rtl/>
          <w:lang w:bidi="he-IL"/>
        </w:rPr>
        <w:instrText>הכשר כלים</w:instrText>
      </w:r>
      <w:r w:rsidR="00E75434" w:rsidRPr="00D53B1C">
        <w:rPr>
          <w:rtl/>
        </w:rPr>
        <w:instrText>:</w:instrText>
      </w:r>
      <w:r w:rsidR="00E75434" w:rsidRPr="00D53B1C">
        <w:rPr>
          <w:rFonts w:hint="cs"/>
          <w:rtl/>
          <w:lang w:bidi="he-IL"/>
        </w:rPr>
        <w:instrText>השתמשות באותו סכין לבשר ולחלב</w:instrText>
      </w:r>
      <w:r w:rsidR="00E75434">
        <w:instrText xml:space="preserve">" </w:instrText>
      </w:r>
      <w:r w:rsidR="00E75434">
        <w:rPr>
          <w:rFonts w:cs="Guttman Drogolin"/>
          <w:rtl/>
          <w:lang w:bidi="he-IL"/>
        </w:rPr>
        <w:fldChar w:fldCharType="end"/>
      </w:r>
      <w:r w:rsidR="00AF5C70" w:rsidRPr="00882F11">
        <w:rPr>
          <w:rFonts w:cs="Guttman Drogolin" w:hint="cs"/>
          <w:rtl/>
          <w:lang w:bidi="he-IL"/>
        </w:rPr>
        <w:t>בשו"ת המיוחסות לרמב"ן שהבאנו בשיעור הקודם מבואר לא רק</w:t>
      </w:r>
      <w:r w:rsidR="00C808A6" w:rsidRPr="00882F11">
        <w:rPr>
          <w:rFonts w:cs="Guttman Drogolin"/>
          <w:lang w:bidi="he-IL"/>
        </w:rPr>
        <w:t xml:space="preserve"> </w:t>
      </w:r>
      <w:r w:rsidR="00C808A6" w:rsidRPr="00882F11">
        <w:rPr>
          <w:rFonts w:cs="Guttman Drogolin" w:hint="cs"/>
          <w:rtl/>
          <w:lang w:bidi="he-IL"/>
        </w:rPr>
        <w:t>שיש להחמיר ולא לאכול גבינה על אותה מפה שאכלו עליו בשר, אלא גם בסכין יש להחמיר שלא להשתמש באותה סכין לגבינה ולבשר. והנה לכאורה דבר פשוט שכוונת הרמב"</w:t>
      </w:r>
      <w:r w:rsidR="001A3A28" w:rsidRPr="00882F11">
        <w:rPr>
          <w:rFonts w:cs="Guttman Drogolin" w:hint="cs"/>
          <w:rtl/>
          <w:lang w:bidi="he-IL"/>
        </w:rPr>
        <w:t>ן לסכין שאינו בלוע בבשר רק שחתכו בה בשר בצונן, דהא אם היתה בלוע אסור להשתמש בה אפילו צונן בקביעות וכדמבואר ביו"ד סי' קכ"א סע' ז'</w:t>
      </w:r>
      <w:r w:rsidR="009C508C" w:rsidRPr="00882F11">
        <w:rPr>
          <w:rStyle w:val="FootnoteReference"/>
          <w:rFonts w:cs="Guttman Drogolin"/>
          <w:rtl/>
          <w:lang w:bidi="he-IL"/>
        </w:rPr>
        <w:footnoteReference w:id="209"/>
      </w:r>
      <w:r w:rsidR="001A3A28" w:rsidRPr="00882F11">
        <w:rPr>
          <w:rFonts w:cs="Guttman Drogolin" w:hint="cs"/>
          <w:rtl/>
          <w:lang w:bidi="he-IL"/>
        </w:rPr>
        <w:t>. ובזה כתב הרמב"ן שמ"מ אסור כיון שיש שמנונית על הלהב ומתערב במין השני</w:t>
      </w:r>
      <w:r w:rsidR="008D2517" w:rsidRPr="00882F11">
        <w:rPr>
          <w:rFonts w:cs="Guttman Drogolin" w:hint="cs"/>
          <w:rtl/>
          <w:lang w:bidi="he-IL"/>
        </w:rPr>
        <w:t xml:space="preserve"> וכמו בבשר וגבינה במטפחת א' ונוגעים זה בזה.</w:t>
      </w:r>
      <w:r w:rsidR="001A3A28" w:rsidRPr="00882F11">
        <w:rPr>
          <w:rFonts w:cs="Guttman Drogolin" w:hint="cs"/>
          <w:rtl/>
          <w:lang w:bidi="he-IL"/>
        </w:rPr>
        <w:t xml:space="preserve"> וכתב בזה עוד שאפילו הלחם שחותכים לבשר אסור לחתוך</w:t>
      </w:r>
      <w:r w:rsidR="00FB77DB" w:rsidRPr="00882F11">
        <w:rPr>
          <w:rFonts w:cs="Guttman Drogolin" w:hint="cs"/>
          <w:rtl/>
          <w:lang w:bidi="he-IL"/>
        </w:rPr>
        <w:t xml:space="preserve"> בסכין שחתכן בה גבינה. וע"ש שיש לזה הוכחה גם </w:t>
      </w:r>
      <w:r w:rsidR="005A43C0" w:rsidRPr="00882F11">
        <w:rPr>
          <w:rFonts w:cs="Guttman Drogolin" w:hint="cs"/>
          <w:rtl/>
          <w:lang w:bidi="he-IL"/>
        </w:rPr>
        <w:t>מן הגמ' שבדף קי"ב ע"א "קישות</w:t>
      </w:r>
      <w:r w:rsidR="005A43C0" w:rsidRPr="00882F11">
        <w:rPr>
          <w:rFonts w:cs="Guttman Drogolin"/>
          <w:rtl/>
          <w:lang w:bidi="he-IL"/>
        </w:rPr>
        <w:t xml:space="preserve"> </w:t>
      </w:r>
      <w:r w:rsidR="005A43C0" w:rsidRPr="00882F11">
        <w:rPr>
          <w:rFonts w:cs="Guttman Drogolin" w:hint="cs"/>
          <w:rtl/>
          <w:lang w:bidi="he-IL"/>
        </w:rPr>
        <w:t>גריר</w:t>
      </w:r>
      <w:r w:rsidR="005A43C0" w:rsidRPr="00882F11">
        <w:rPr>
          <w:rFonts w:cs="Guttman Drogolin"/>
          <w:rtl/>
          <w:lang w:bidi="he-IL"/>
        </w:rPr>
        <w:t xml:space="preserve"> </w:t>
      </w:r>
      <w:r w:rsidR="005A43C0" w:rsidRPr="00882F11">
        <w:rPr>
          <w:rFonts w:cs="Guttman Drogolin" w:hint="cs"/>
          <w:rtl/>
          <w:lang w:bidi="he-IL"/>
        </w:rPr>
        <w:t>לבי</w:t>
      </w:r>
      <w:r w:rsidR="005A43C0" w:rsidRPr="00882F11">
        <w:rPr>
          <w:rFonts w:cs="Guttman Drogolin"/>
          <w:rtl/>
          <w:lang w:bidi="he-IL"/>
        </w:rPr>
        <w:t xml:space="preserve"> </w:t>
      </w:r>
      <w:r w:rsidR="005A43C0" w:rsidRPr="00882F11">
        <w:rPr>
          <w:rFonts w:cs="Guttman Drogolin" w:hint="cs"/>
          <w:rtl/>
          <w:lang w:bidi="he-IL"/>
        </w:rPr>
        <w:t>פסקיה</w:t>
      </w:r>
      <w:r w:rsidR="005A43C0" w:rsidRPr="00882F11">
        <w:rPr>
          <w:rFonts w:cs="Guttman Drogolin"/>
          <w:rtl/>
          <w:lang w:bidi="he-IL"/>
        </w:rPr>
        <w:t xml:space="preserve"> </w:t>
      </w:r>
      <w:r w:rsidR="005A43C0" w:rsidRPr="00882F11">
        <w:rPr>
          <w:rFonts w:cs="Guttman Drogolin" w:hint="cs"/>
          <w:rtl/>
          <w:lang w:bidi="he-IL"/>
        </w:rPr>
        <w:t>ואכיל"</w:t>
      </w:r>
      <w:r w:rsidR="008D2517" w:rsidRPr="00882F11">
        <w:rPr>
          <w:rFonts w:cs="Guttman Drogolin" w:hint="cs"/>
          <w:rtl/>
          <w:lang w:bidi="he-IL"/>
        </w:rPr>
        <w:t xml:space="preserve">. והב"י אחרי שהביא את דבריו הביא מארחות חיים בשם ר' שמשון שיש בזה כללים. שבסכין של בשר שלא קינחו אותו כלל אסור לחתוך אפילו לחם שאוכל עם גבינה. </w:t>
      </w:r>
      <w:r w:rsidR="007F3D61" w:rsidRPr="00882F11">
        <w:rPr>
          <w:rFonts w:cs="Guttman Drogolin" w:hint="cs"/>
          <w:rtl/>
          <w:lang w:bidi="he-IL"/>
        </w:rPr>
        <w:t xml:space="preserve">ואם עשו לו נעיצה מותר לחתוך אפילו גבינה עצמה. אמנם אם קינחו אותו ולא עשו לה נעיצה אע"ג שאסור לחתוך בה גבינה עצמה מ"מ מותר לחתוך בה לחם שאוכלים עם הגבינה, וביאר הטעם משום שבלחם אינו אלא נ"ט בר נ"ט דהתירא שמותר. ומבואר לכאורה מדבריו שאפשר להסיר את השמנונית ע"י קינוח בלבד אפילו אם לא עשה נעיצה, ונעיצה היא זה שמוציאה את הבליעות. ועוד מבואר שדוחקא מוציא את הטעם מן הכלי אפילו אם אינו דבר חריף. וכן הבין גם הט"ז ס"ק ו', ולכן כתב שלדידן אין צורך בנעיצה כיון דקיי"ל </w:t>
      </w:r>
      <w:r w:rsidR="007F3D61" w:rsidRPr="00882F11">
        <w:rPr>
          <w:rFonts w:cs="Guttman Drogolin" w:hint="cs"/>
          <w:rtl/>
          <w:lang w:bidi="he-IL"/>
        </w:rPr>
        <w:lastRenderedPageBreak/>
        <w:t xml:space="preserve">שאין דוחקא מוציא בליעות אלא בדבר חריף. ושם בהגהות רע"א העיר שלכאורה דבר זה לא ניתן ליאמר, דהא מפורש </w:t>
      </w:r>
      <w:r w:rsidR="007218F6" w:rsidRPr="00882F11">
        <w:rPr>
          <w:rFonts w:cs="Guttman Drogolin" w:hint="cs"/>
          <w:rtl/>
          <w:lang w:bidi="he-IL"/>
        </w:rPr>
        <w:t>בשו"ע בשו"ע הנ"ל שאי אפשר להשתמש בסכין עכו"ם אפילו צונן בלי נעיצה, והרי ה</w:t>
      </w:r>
      <w:r w:rsidR="00E225DC" w:rsidRPr="00882F11">
        <w:rPr>
          <w:rFonts w:cs="Guttman Drogolin" w:hint="cs"/>
          <w:rtl/>
          <w:lang w:bidi="he-IL"/>
        </w:rPr>
        <w:t>ט</w:t>
      </w:r>
      <w:r w:rsidR="007218F6" w:rsidRPr="00882F11">
        <w:rPr>
          <w:rFonts w:cs="Guttman Drogolin" w:hint="cs"/>
          <w:rtl/>
          <w:lang w:bidi="he-IL"/>
        </w:rPr>
        <w:t>"ז כתב שלדידן אין צורך בנעיצה כיון שאינו יוצא ע"י</w:t>
      </w:r>
      <w:r w:rsidR="00E225DC" w:rsidRPr="00882F11">
        <w:rPr>
          <w:rFonts w:cs="Guttman Drogolin" w:hint="cs"/>
          <w:rtl/>
          <w:lang w:bidi="he-IL"/>
        </w:rPr>
        <w:t xml:space="preserve"> דוחקא בדבר שאינו חריף. ועוד העיר רע"א שלכאורה משמע מן הפוסקים שבלי נעיצה יש שמנונית על הסכין, ולזה לא אמרינן היתירא דנ"ט בר נ"ט. ונשאר בצ"ע.</w:t>
      </w:r>
    </w:p>
    <w:p w:rsidR="000962DC" w:rsidRPr="00882F11" w:rsidRDefault="00E225DC" w:rsidP="00BB5C47">
      <w:pPr>
        <w:bidi/>
        <w:jc w:val="both"/>
        <w:rPr>
          <w:rFonts w:cs="Guttman Drogolin"/>
          <w:rtl/>
          <w:lang w:bidi="he-IL"/>
        </w:rPr>
      </w:pPr>
      <w:r w:rsidRPr="00882F11">
        <w:rPr>
          <w:rFonts w:cs="Guttman Drogolin" w:hint="cs"/>
          <w:rtl/>
          <w:lang w:bidi="he-IL"/>
        </w:rPr>
        <w:t>והנה אע"ג שיש עצה להתיר מבשר לחלב ע"י נעיצה, מ"מ כתב הרמ"א בסע' ד' "אבל כבר נהגו כל ישראל להיות להם שני סכינים ולרשום אחד מהם שיהא לו היכר ונהגו לרשום של חלב ואין לשנות מנהג ישראל". ועל זה כתב הט"ז ס"ק ז' שאפילו מנהג זה אינו אלא בחתיכת גבינה עצמה, אבל מותר לחתוך פת לצורך גבינה אפילו אם לא עשה נעיצה רק קינחו</w:t>
      </w:r>
      <w:r w:rsidR="0069218D" w:rsidRPr="00882F11">
        <w:rPr>
          <w:rFonts w:cs="Guttman Drogolin" w:hint="cs"/>
          <w:rtl/>
          <w:lang w:bidi="he-IL"/>
        </w:rPr>
        <w:t xml:space="preserve"> אפילו לפי המנהג שנהגו. ובנקוה"כ</w:t>
      </w:r>
      <w:r w:rsidRPr="00882F11">
        <w:rPr>
          <w:rFonts w:cs="Guttman Drogolin" w:hint="cs"/>
          <w:rtl/>
          <w:lang w:bidi="he-IL"/>
        </w:rPr>
        <w:t xml:space="preserve"> </w:t>
      </w:r>
      <w:r w:rsidR="00421535" w:rsidRPr="00882F11">
        <w:rPr>
          <w:rFonts w:cs="Guttman Drogolin" w:hint="cs"/>
          <w:rtl/>
          <w:lang w:bidi="he-IL"/>
        </w:rPr>
        <w:t>חלק על הט"ז בזה שיש היתר של קינוח כדי לחתוך לחם</w:t>
      </w:r>
      <w:r w:rsidR="00421535" w:rsidRPr="00882F11">
        <w:rPr>
          <w:rStyle w:val="FootnoteReference"/>
          <w:rFonts w:cs="Guttman Drogolin"/>
          <w:rtl/>
          <w:lang w:bidi="he-IL"/>
        </w:rPr>
        <w:footnoteReference w:id="210"/>
      </w:r>
      <w:r w:rsidR="00421535" w:rsidRPr="00882F11">
        <w:rPr>
          <w:rFonts w:cs="Guttman Drogolin" w:hint="cs"/>
          <w:rtl/>
          <w:lang w:bidi="he-IL"/>
        </w:rPr>
        <w:t xml:space="preserve"> בין לפני המנהג בין לאחר המנהג. ובש"ך ס"ק כ"ב כתב שהחומרא שלא לסמוך על נעיצה אינו אלא שלא בשעה"ד, אבל בשעה"ד מוקמינן אדינא. ולכאורה נראה שאין כוונתו להתיר אפילו לחתוך לחם בשעה"ד אלא עם עשה נעיצה, אבל ע"י קינוח בלבד אסור אפילו לחם וכמו שביאר בנק</w:t>
      </w:r>
      <w:r w:rsidR="005C13FA" w:rsidRPr="00882F11">
        <w:rPr>
          <w:rFonts w:cs="Guttman Drogolin" w:hint="cs"/>
          <w:rtl/>
          <w:lang w:bidi="he-IL"/>
        </w:rPr>
        <w:t>ו</w:t>
      </w:r>
      <w:r w:rsidR="00421535" w:rsidRPr="00882F11">
        <w:rPr>
          <w:rFonts w:cs="Guttman Drogolin" w:hint="cs"/>
          <w:rtl/>
          <w:lang w:bidi="he-IL"/>
        </w:rPr>
        <w:t>ה"כ וכנ"ל.</w:t>
      </w:r>
      <w:r w:rsidR="005C13FA" w:rsidRPr="00882F11">
        <w:rPr>
          <w:rFonts w:cs="Guttman Drogolin" w:hint="cs"/>
          <w:rtl/>
          <w:lang w:bidi="he-IL"/>
        </w:rPr>
        <w:t xml:space="preserve"> ולכאורה לפי הנ"ל הי' נראה שאפילו אם אינו מוצ</w:t>
      </w:r>
      <w:r w:rsidR="00BB5C47" w:rsidRPr="00882F11">
        <w:rPr>
          <w:rFonts w:cs="Guttman Drogolin" w:hint="cs"/>
          <w:rtl/>
          <w:lang w:bidi="he-IL"/>
        </w:rPr>
        <w:t>א</w:t>
      </w:r>
      <w:r w:rsidR="005C13FA" w:rsidRPr="00882F11">
        <w:rPr>
          <w:rFonts w:cs="Guttman Drogolin" w:hint="cs"/>
          <w:rtl/>
          <w:lang w:bidi="he-IL"/>
        </w:rPr>
        <w:t xml:space="preserve"> אלא סכין חלבי אין לחתוך בה לחם כדי לאכלו עם בשר אפילו בשעה"ד כיון שהש"ך תמה על היתר זה וכן רע"א תמה על ביתר זה. ולכן תמוה שבכגון קיצור</w:t>
      </w:r>
      <w:r w:rsidR="005C13FA" w:rsidRPr="00882F11">
        <w:rPr>
          <w:rFonts w:cs="Guttman Drogolin"/>
          <w:rtl/>
          <w:lang w:bidi="he-IL"/>
        </w:rPr>
        <w:t xml:space="preserve"> </w:t>
      </w:r>
      <w:r w:rsidR="005C13FA" w:rsidRPr="00882F11">
        <w:rPr>
          <w:rFonts w:cs="Guttman Drogolin" w:hint="cs"/>
          <w:rtl/>
          <w:lang w:bidi="he-IL"/>
        </w:rPr>
        <w:t>שו</w:t>
      </w:r>
      <w:r w:rsidR="005C13FA" w:rsidRPr="00882F11">
        <w:rPr>
          <w:rFonts w:cs="Guttman Drogolin"/>
          <w:rtl/>
          <w:lang w:bidi="he-IL"/>
        </w:rPr>
        <w:t>"</w:t>
      </w:r>
      <w:r w:rsidR="005C13FA" w:rsidRPr="00882F11">
        <w:rPr>
          <w:rFonts w:cs="Guttman Drogolin" w:hint="cs"/>
          <w:rtl/>
          <w:lang w:bidi="he-IL"/>
        </w:rPr>
        <w:t>ע</w:t>
      </w:r>
      <w:r w:rsidR="005C13FA" w:rsidRPr="00882F11">
        <w:rPr>
          <w:rFonts w:cs="Guttman Drogolin"/>
          <w:rtl/>
          <w:lang w:bidi="he-IL"/>
        </w:rPr>
        <w:t xml:space="preserve"> (</w:t>
      </w:r>
      <w:r w:rsidR="005C13FA" w:rsidRPr="00882F11">
        <w:rPr>
          <w:rFonts w:cs="Guttman Drogolin" w:hint="cs"/>
          <w:rtl/>
          <w:lang w:bidi="he-IL"/>
        </w:rPr>
        <w:t>סי</w:t>
      </w:r>
      <w:r w:rsidR="005C13FA" w:rsidRPr="00882F11">
        <w:rPr>
          <w:rFonts w:cs="Guttman Drogolin"/>
          <w:rtl/>
          <w:lang w:bidi="he-IL"/>
        </w:rPr>
        <w:t xml:space="preserve">' </w:t>
      </w:r>
      <w:r w:rsidR="005C13FA" w:rsidRPr="00882F11">
        <w:rPr>
          <w:rFonts w:cs="Guttman Drogolin" w:hint="cs"/>
          <w:rtl/>
          <w:lang w:bidi="he-IL"/>
        </w:rPr>
        <w:t>מ</w:t>
      </w:r>
      <w:r w:rsidR="005C13FA" w:rsidRPr="00882F11">
        <w:rPr>
          <w:rFonts w:cs="Guttman Drogolin"/>
          <w:rtl/>
          <w:lang w:bidi="he-IL"/>
        </w:rPr>
        <w:t>"</w:t>
      </w:r>
      <w:r w:rsidR="005C13FA" w:rsidRPr="00882F11">
        <w:rPr>
          <w:rFonts w:cs="Guttman Drogolin" w:hint="cs"/>
          <w:rtl/>
          <w:lang w:bidi="he-IL"/>
        </w:rPr>
        <w:t>ו</w:t>
      </w:r>
      <w:r w:rsidR="005C13FA" w:rsidRPr="00882F11">
        <w:rPr>
          <w:rFonts w:cs="Guttman Drogolin"/>
          <w:rtl/>
          <w:lang w:bidi="he-IL"/>
        </w:rPr>
        <w:t xml:space="preserve"> </w:t>
      </w:r>
      <w:r w:rsidR="005C13FA" w:rsidRPr="00882F11">
        <w:rPr>
          <w:rFonts w:cs="Guttman Drogolin" w:hint="cs"/>
          <w:rtl/>
          <w:lang w:bidi="he-IL"/>
        </w:rPr>
        <w:t>סעי</w:t>
      </w:r>
      <w:r w:rsidR="005C13FA" w:rsidRPr="00882F11">
        <w:rPr>
          <w:rFonts w:cs="Guttman Drogolin"/>
          <w:rtl/>
          <w:lang w:bidi="he-IL"/>
        </w:rPr>
        <w:t xml:space="preserve">' </w:t>
      </w:r>
      <w:r w:rsidR="005C13FA" w:rsidRPr="00882F11">
        <w:rPr>
          <w:rFonts w:cs="Guttman Drogolin" w:hint="cs"/>
          <w:rtl/>
          <w:lang w:bidi="he-IL"/>
        </w:rPr>
        <w:t>י</w:t>
      </w:r>
      <w:r w:rsidR="005C13FA" w:rsidRPr="00882F11">
        <w:rPr>
          <w:rFonts w:cs="Guttman Drogolin"/>
          <w:rtl/>
          <w:lang w:bidi="he-IL"/>
        </w:rPr>
        <w:t>"</w:t>
      </w:r>
      <w:r w:rsidR="005C13FA" w:rsidRPr="00882F11">
        <w:rPr>
          <w:rFonts w:cs="Guttman Drogolin" w:hint="cs"/>
          <w:rtl/>
          <w:lang w:bidi="he-IL"/>
        </w:rPr>
        <w:t>ב) ועוד הקילו בזה בשעה"ד</w:t>
      </w:r>
      <w:r w:rsidR="005C13FA" w:rsidRPr="00882F11">
        <w:rPr>
          <w:rFonts w:cs="Guttman Drogolin"/>
          <w:rtl/>
          <w:lang w:bidi="he-IL"/>
        </w:rPr>
        <w:t xml:space="preserve">, </w:t>
      </w:r>
      <w:r w:rsidR="005C13FA" w:rsidRPr="00882F11">
        <w:rPr>
          <w:rFonts w:cs="Guttman Drogolin" w:hint="cs"/>
          <w:rtl/>
          <w:lang w:bidi="he-IL"/>
        </w:rPr>
        <w:lastRenderedPageBreak/>
        <w:t>ועוד יותר תמוה שהחכמ"א (כלל מ' די"ד) הקיל אפילו שלא בשעה"ד. וצ"ע</w:t>
      </w:r>
      <w:r w:rsidR="00BB5C47" w:rsidRPr="00882F11">
        <w:rPr>
          <w:rStyle w:val="FootnoteReference"/>
          <w:rFonts w:cs="Guttman Drogolin"/>
          <w:rtl/>
          <w:lang w:bidi="he-IL"/>
        </w:rPr>
        <w:footnoteReference w:id="211"/>
      </w:r>
      <w:r w:rsidR="005C13FA" w:rsidRPr="00882F11">
        <w:rPr>
          <w:rFonts w:cs="Guttman Drogolin" w:hint="cs"/>
          <w:rtl/>
          <w:lang w:bidi="he-IL"/>
        </w:rPr>
        <w:t>.</w:t>
      </w:r>
    </w:p>
    <w:p w:rsidR="007D1916" w:rsidRPr="00882F11" w:rsidRDefault="000962DC" w:rsidP="000962DC">
      <w:pPr>
        <w:bidi/>
        <w:jc w:val="both"/>
        <w:rPr>
          <w:rFonts w:cs="Guttman Drogolin"/>
          <w:rtl/>
          <w:lang w:bidi="he-IL"/>
        </w:rPr>
      </w:pPr>
      <w:r w:rsidRPr="00882F11">
        <w:rPr>
          <w:rFonts w:cs="Guttman Drogolin" w:hint="cs"/>
          <w:rtl/>
          <w:lang w:bidi="he-IL"/>
        </w:rPr>
        <w:t xml:space="preserve">ובעיקר ההכשר של נעיצה ע' בס' דבר חריף, קונ' דבר חריף סי' י"ח אות ה' (עמ' צ"ג) בשם הגריש"א שאין לסמוך על זה דמהני </w:t>
      </w:r>
      <w:r w:rsidR="007D42FB" w:rsidRPr="00882F11">
        <w:rPr>
          <w:rFonts w:cs="Guttman Drogolin" w:hint="cs"/>
          <w:rtl/>
          <w:lang w:bidi="he-IL"/>
        </w:rPr>
        <w:t>שפשוף בחומרי ניקוי וכיו"ב משום שאי אפשר לדעת אם זה עושה פעולת נעיצה. וכן אפילו אנעיצה בקרקע קשה עצמה אין לסמוך כיון שצריכים קרקע קשה אבל לא קרקע קשה מידי ומאן לימא לן איזה קושי צריכים לקרקע בשביל זה. והביא שם שכבר קדמו בזה בתבואות שור (סי' י' ס"ק ט"ז). ולכן כתב שבמקום שצריך נעיצה יש להכשיר ע"י עירוי. ואכמ"ל בזה</w:t>
      </w:r>
      <w:r w:rsidR="001728F4" w:rsidRPr="00882F11">
        <w:rPr>
          <w:rStyle w:val="FootnoteReference"/>
          <w:rFonts w:cs="Guttman Drogolin"/>
          <w:rtl/>
          <w:lang w:bidi="he-IL"/>
        </w:rPr>
        <w:footnoteReference w:id="212"/>
      </w:r>
      <w:r w:rsidR="007D42FB" w:rsidRPr="00882F11">
        <w:rPr>
          <w:rFonts w:cs="Guttman Drogolin" w:hint="cs"/>
          <w:rtl/>
          <w:lang w:bidi="he-IL"/>
        </w:rPr>
        <w:t xml:space="preserve">. </w:t>
      </w:r>
      <w:r w:rsidR="005C13FA" w:rsidRPr="00882F11">
        <w:rPr>
          <w:rFonts w:cs="Guttman Drogolin" w:hint="cs"/>
          <w:rtl/>
          <w:lang w:bidi="he-IL"/>
        </w:rPr>
        <w:t xml:space="preserve">  </w:t>
      </w:r>
      <w:r w:rsidR="00421535" w:rsidRPr="00882F11">
        <w:rPr>
          <w:rFonts w:cs="Guttman Drogolin" w:hint="cs"/>
          <w:rtl/>
          <w:lang w:bidi="he-IL"/>
        </w:rPr>
        <w:t xml:space="preserve">    </w:t>
      </w:r>
      <w:r w:rsidR="00E225DC" w:rsidRPr="00882F11">
        <w:rPr>
          <w:rFonts w:cs="Guttman Drogolin" w:hint="cs"/>
          <w:rtl/>
          <w:lang w:bidi="he-IL"/>
        </w:rPr>
        <w:t xml:space="preserve">  </w:t>
      </w:r>
    </w:p>
    <w:p w:rsidR="007D1916" w:rsidRPr="00882F11" w:rsidRDefault="007D1916" w:rsidP="0078079C">
      <w:pPr>
        <w:pStyle w:val="Heading1"/>
        <w:bidi/>
        <w:spacing w:before="0" w:line="360" w:lineRule="auto"/>
        <w:jc w:val="center"/>
        <w:rPr>
          <w:rFonts w:cs="Guttman Drogolin"/>
          <w:color w:val="auto"/>
          <w:sz w:val="24"/>
          <w:szCs w:val="24"/>
          <w:u w:val="single"/>
          <w:rtl/>
          <w:lang w:bidi="he-IL"/>
        </w:rPr>
      </w:pPr>
      <w:bookmarkStart w:id="172" w:name="_Toc496175429"/>
      <w:r w:rsidRPr="00882F11">
        <w:rPr>
          <w:rFonts w:cs="Guttman Drogolin" w:hint="cs"/>
          <w:color w:val="auto"/>
          <w:sz w:val="24"/>
          <w:szCs w:val="24"/>
          <w:u w:val="single"/>
          <w:rtl/>
          <w:lang w:bidi="he-IL"/>
        </w:rPr>
        <w:t>דיני חלב שבתוך קיבה</w:t>
      </w:r>
      <w:bookmarkEnd w:id="172"/>
    </w:p>
    <w:p w:rsidR="00262487" w:rsidRPr="00882F11" w:rsidRDefault="00E75434" w:rsidP="005B7973">
      <w:pPr>
        <w:bidi/>
        <w:jc w:val="both"/>
        <w:rPr>
          <w:rFonts w:cs="Guttman Drogolin"/>
          <w:rtl/>
          <w:lang w:bidi="he-IL"/>
        </w:rPr>
      </w:pPr>
      <w:r>
        <w:rPr>
          <w:rFonts w:cs="Guttman Drogolin"/>
          <w:rtl/>
          <w:lang w:bidi="he-IL"/>
        </w:rPr>
        <w:fldChar w:fldCharType="begin"/>
      </w:r>
      <w:r>
        <w:instrText xml:space="preserve"> XE "</w:instrText>
      </w:r>
      <w:r w:rsidRPr="00AB619E">
        <w:rPr>
          <w:rFonts w:hint="cs"/>
          <w:rtl/>
          <w:lang w:bidi="he-IL"/>
        </w:rPr>
        <w:instrText>בשר בחלב</w:instrText>
      </w:r>
      <w:r w:rsidRPr="00AB619E">
        <w:rPr>
          <w:rtl/>
        </w:rPr>
        <w:instrText>:</w:instrText>
      </w:r>
      <w:r w:rsidRPr="00AB619E">
        <w:rPr>
          <w:rFonts w:hint="cs"/>
          <w:rtl/>
          <w:lang w:bidi="he-IL"/>
        </w:rPr>
        <w:instrText>דין החלב שבתוך הקיבה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BC4A6D">
        <w:rPr>
          <w:rFonts w:hint="cs"/>
          <w:rtl/>
          <w:lang w:bidi="he-IL"/>
        </w:rPr>
        <w:instrText>חלב</w:instrText>
      </w:r>
      <w:r>
        <w:instrText>" \t "</w:instrText>
      </w:r>
      <w:r w:rsidRPr="00042F24">
        <w:rPr>
          <w:rFonts w:cs="Times New Roman" w:hint="cs"/>
          <w:i/>
          <w:rtl/>
          <w:lang w:bidi="he-IL"/>
        </w:rPr>
        <w:instrText>ע</w:instrText>
      </w:r>
      <w:r w:rsidRPr="00042F24">
        <w:rPr>
          <w:rFonts w:cstheme="minorHAnsi" w:hint="cs"/>
          <w:i/>
          <w:rtl/>
          <w:lang w:bidi="he-IL"/>
        </w:rPr>
        <w:instrText xml:space="preserve">' </w:instrText>
      </w:r>
      <w:r w:rsidRPr="00042F24">
        <w:rPr>
          <w:rFonts w:cs="Times New Roman" w:hint="cs"/>
          <w:i/>
          <w:rtl/>
          <w:lang w:bidi="he-IL"/>
        </w:rPr>
        <w:instrText>בשר בחלב</w:instrText>
      </w:r>
      <w:r>
        <w:instrText xml:space="preserve">" </w:instrText>
      </w:r>
      <w:r>
        <w:rPr>
          <w:rFonts w:cs="Guttman Drogolin"/>
          <w:rtl/>
          <w:lang w:bidi="he-IL"/>
        </w:rPr>
        <w:fldChar w:fldCharType="end"/>
      </w:r>
      <w:r w:rsidR="007D1916" w:rsidRPr="00882F11">
        <w:rPr>
          <w:rFonts w:cs="Guttman Drogolin" w:hint="cs"/>
          <w:rtl/>
          <w:lang w:bidi="he-IL"/>
        </w:rPr>
        <w:t xml:space="preserve">במתני' שבדף קט"ז ע"א </w:t>
      </w:r>
      <w:r w:rsidR="004F4970" w:rsidRPr="00882F11">
        <w:rPr>
          <w:rFonts w:cs="Guttman Drogolin" w:hint="cs"/>
          <w:rtl/>
          <w:lang w:bidi="he-IL"/>
        </w:rPr>
        <w:t xml:space="preserve">שקיבת עו"כ ושל נבילה אסורה, ור"ל החלב שבתוך הקיבה. ונחלקו בגמ' רב הונא ושמואל בפירשא דמתני', </w:t>
      </w:r>
      <w:r w:rsidR="00262487" w:rsidRPr="00882F11">
        <w:rPr>
          <w:rFonts w:cs="Guttman Drogolin" w:hint="cs"/>
          <w:rtl/>
          <w:lang w:bidi="he-IL"/>
        </w:rPr>
        <w:t xml:space="preserve">רב סבר שאסרו גם בהמה הניקחת מן העכו"ם ושחטו ומצא חלב בקיבה, ומשום דחיישינן שיש בה חלב מבהמה טרפה שינקה ממנו, </w:t>
      </w:r>
      <w:r w:rsidR="005B7973" w:rsidRPr="00882F11">
        <w:rPr>
          <w:rFonts w:cs="Guttman Drogolin" w:hint="cs"/>
          <w:rtl/>
          <w:lang w:bidi="he-IL"/>
        </w:rPr>
        <w:t>ועוד אסרו</w:t>
      </w:r>
      <w:r w:rsidR="00262487" w:rsidRPr="00882F11">
        <w:rPr>
          <w:rFonts w:cs="Guttman Drogolin" w:hint="cs"/>
          <w:rtl/>
          <w:lang w:bidi="he-IL"/>
        </w:rPr>
        <w:t xml:space="preserve"> קיבה שנמצא בקיבה של בהמה שנתנבלה. ושמואל סבר דחדא קאמר ולא אסרו אלא חלב שנמצא בקיבה של נבילה. ומבואר בגמ' שהטעם לאסור חלב בנבילה משום שנראה כאוכל נבילה. ועוד מבואר בגמ' שהאיסור של נבילה לא היתה אלא </w:t>
      </w:r>
      <w:r w:rsidR="005B7973" w:rsidRPr="00882F11">
        <w:rPr>
          <w:rFonts w:cs="Guttman Drogolin" w:hint="cs"/>
          <w:rtl/>
          <w:lang w:bidi="he-IL"/>
        </w:rPr>
        <w:t>מעיקרא</w:t>
      </w:r>
      <w:r w:rsidR="00262487" w:rsidRPr="00882F11">
        <w:rPr>
          <w:rFonts w:cs="Guttman Drogolin" w:hint="cs"/>
          <w:rtl/>
          <w:lang w:bidi="he-IL"/>
        </w:rPr>
        <w:t xml:space="preserve">, אבל </w:t>
      </w:r>
      <w:r w:rsidR="005B7973" w:rsidRPr="00882F11">
        <w:rPr>
          <w:rFonts w:cs="Guttman Drogolin" w:hint="cs"/>
          <w:rtl/>
          <w:lang w:bidi="he-IL"/>
        </w:rPr>
        <w:t>שוב חזרו בהם וסברו</w:t>
      </w:r>
      <w:r w:rsidR="00262487" w:rsidRPr="00882F11">
        <w:rPr>
          <w:rFonts w:cs="Guttman Drogolin" w:hint="cs"/>
          <w:rtl/>
          <w:lang w:bidi="he-IL"/>
        </w:rPr>
        <w:t xml:space="preserve"> שאפילו נמצא בקיבת נבילה מותרת. ועוד מבואר שלענין המחלוקת רב הונא ושמואל בפירושא דממתני' קיי"ל כשמואל ואין חוששין שמא ינקה מבהמה טמאה. </w:t>
      </w:r>
    </w:p>
    <w:p w:rsidR="00A13F10" w:rsidRPr="00882F11" w:rsidRDefault="00262487" w:rsidP="005B7973">
      <w:pPr>
        <w:bidi/>
        <w:jc w:val="both"/>
        <w:rPr>
          <w:rFonts w:cs="Guttman Drogolin"/>
          <w:rtl/>
          <w:lang w:bidi="he-IL"/>
        </w:rPr>
      </w:pPr>
      <w:r w:rsidRPr="00882F11">
        <w:rPr>
          <w:rFonts w:cs="Guttman Drogolin" w:hint="cs"/>
          <w:rtl/>
          <w:lang w:bidi="he-IL"/>
        </w:rPr>
        <w:t>והנה עד כאן לא נחלקו אלא בחלב הנמצא ב</w:t>
      </w:r>
      <w:r w:rsidR="005B7973" w:rsidRPr="00882F11">
        <w:rPr>
          <w:rFonts w:cs="Guttman Drogolin" w:hint="cs"/>
          <w:rtl/>
          <w:lang w:bidi="he-IL"/>
        </w:rPr>
        <w:t>ב</w:t>
      </w:r>
      <w:r w:rsidRPr="00882F11">
        <w:rPr>
          <w:rFonts w:cs="Guttman Drogolin" w:hint="cs"/>
          <w:rtl/>
          <w:lang w:bidi="he-IL"/>
        </w:rPr>
        <w:t xml:space="preserve">המה שנקנה מעכו"ם ולענין החשש שמא ינקה מבהמה טמאה, אבל במקרה שאנו יודעים שינקה מטרפה או מבהמה טמאה, לכאורה כו"ע מודו </w:t>
      </w:r>
      <w:r w:rsidR="00743678" w:rsidRPr="00882F11">
        <w:rPr>
          <w:rFonts w:cs="Guttman Drogolin" w:hint="cs"/>
          <w:rtl/>
          <w:lang w:bidi="he-IL"/>
        </w:rPr>
        <w:t xml:space="preserve">שהחלב הנמצא בקיבה אסור, וכן לכאורה הוא בהדיא במתני' "כשרה שינקה מן הטרפה קיבתה </w:t>
      </w:r>
      <w:r w:rsidR="00743678" w:rsidRPr="00882F11">
        <w:rPr>
          <w:rFonts w:cs="Guttman Drogolin" w:hint="cs"/>
          <w:rtl/>
          <w:lang w:bidi="he-IL"/>
        </w:rPr>
        <w:lastRenderedPageBreak/>
        <w:t>[פי' חלב הנמצא בקיבה] אסורה". ומשו"ה מש"כ בסוף דברי הגמ' (אצלינו בסוגריים) דהלכתא שמעמידין בקבת כשרה שינקה מן הטרפה תמוה. ומשו"ה כתב הר"ן שאינו מן הגמ' ואין הדין נכון</w:t>
      </w:r>
      <w:r w:rsidR="005B7973" w:rsidRPr="00882F11">
        <w:rPr>
          <w:rFonts w:cs="Guttman Drogolin" w:hint="cs"/>
          <w:rtl/>
          <w:lang w:bidi="he-IL"/>
        </w:rPr>
        <w:t>, וכן הוא לכאורה שיטת רש"י שם</w:t>
      </w:r>
      <w:r w:rsidR="00743678" w:rsidRPr="00882F11">
        <w:rPr>
          <w:rFonts w:cs="Guttman Drogolin" w:hint="cs"/>
          <w:rtl/>
          <w:lang w:bidi="he-IL"/>
        </w:rPr>
        <w:t xml:space="preserve">. אמנם התוס' סברי שהיא גירסא נכונה כיון שכן הוא ברוב הספרים, והביאו בשם ר"ת לחלק בין חלב צלול לחלב קרוש, שרק חלב צלול עומד בדינו דמעיקרא וכיון שהוא יוצא מן הטרפה הרי הוא אסור, וכן מוצאים לעיל בדף ק"ט ע"ב שקבה שבישלה בחלבה אסור, ומיירי בחלב צלול וכנ"ל, אבל חלב קרוש פקע מיני' שם חלב, ולכן אפילו ינק מן הטרפה כיון שקרוש הוא מותר. וע' בר"ן שהביא סמך לזה ממס' ע"ז (כ"ט ע"ב, ומובא גם ברש"י כאן) "קיבת עולה כהן שדעתו יפה </w:t>
      </w:r>
      <w:r w:rsidR="00536902" w:rsidRPr="00882F11">
        <w:rPr>
          <w:rFonts w:cs="Guttman Drogolin" w:hint="cs"/>
          <w:rtl/>
          <w:lang w:bidi="he-IL"/>
        </w:rPr>
        <w:t>ש</w:t>
      </w:r>
      <w:r w:rsidR="00743678" w:rsidRPr="00882F11">
        <w:rPr>
          <w:rFonts w:cs="Guttman Drogolin" w:hint="cs"/>
          <w:rtl/>
          <w:lang w:bidi="he-IL"/>
        </w:rPr>
        <w:t>ורפה חיה ש"מ פירשה בעלמא הוא"</w:t>
      </w:r>
      <w:r w:rsidR="00F80A6F" w:rsidRPr="00882F11">
        <w:rPr>
          <w:rFonts w:cs="Guttman Drogolin" w:hint="cs"/>
          <w:rtl/>
          <w:lang w:bidi="he-IL"/>
        </w:rPr>
        <w:t xml:space="preserve">. וע"ש בר"ן שלשיטתו כוונת הגמ' להא שאינו נאסר מחמת הקיבה שנמצא בה, שלענין זה הוי פירשה בעלמא. </w:t>
      </w:r>
      <w:r w:rsidR="005B7973" w:rsidRPr="00882F11">
        <w:rPr>
          <w:rFonts w:cs="Guttman Drogolin" w:hint="cs"/>
          <w:rtl/>
          <w:lang w:bidi="he-IL"/>
        </w:rPr>
        <w:t>ובפירוש דברי הגמ'  אליבא דר"ת נחלקו הראשונים</w:t>
      </w:r>
      <w:r w:rsidR="007861E3" w:rsidRPr="00882F11">
        <w:rPr>
          <w:rFonts w:cs="Guttman Drogolin" w:hint="cs"/>
          <w:rtl/>
          <w:lang w:bidi="he-IL"/>
        </w:rPr>
        <w:t>. בתוס' במס' ע"ז מבואר שכל הסוגיא שלנו מיירי בחלב צלול, ו</w:t>
      </w:r>
      <w:r w:rsidR="005B7973" w:rsidRPr="00882F11">
        <w:rPr>
          <w:rFonts w:cs="Guttman Drogolin" w:hint="cs"/>
          <w:rtl/>
          <w:lang w:bidi="he-IL"/>
        </w:rPr>
        <w:t>מעיקרא אסרו</w:t>
      </w:r>
      <w:r w:rsidR="007861E3" w:rsidRPr="00882F11">
        <w:rPr>
          <w:rFonts w:cs="Guttman Drogolin" w:hint="cs"/>
          <w:rtl/>
          <w:lang w:bidi="he-IL"/>
        </w:rPr>
        <w:t xml:space="preserve"> כשנמצא בקיבה</w:t>
      </w:r>
      <w:r w:rsidR="005B7973" w:rsidRPr="00882F11">
        <w:rPr>
          <w:rFonts w:cs="Guttman Drogolin" w:hint="cs"/>
          <w:rtl/>
          <w:lang w:bidi="he-IL"/>
        </w:rPr>
        <w:t xml:space="preserve"> של נבילה</w:t>
      </w:r>
      <w:r w:rsidR="007861E3" w:rsidRPr="00882F11">
        <w:rPr>
          <w:rFonts w:cs="Guttman Drogolin" w:hint="cs"/>
          <w:rtl/>
          <w:lang w:bidi="he-IL"/>
        </w:rPr>
        <w:t>, ו</w:t>
      </w:r>
      <w:r w:rsidR="005B7973" w:rsidRPr="00882F11">
        <w:rPr>
          <w:rFonts w:cs="Guttman Drogolin" w:hint="cs"/>
          <w:rtl/>
          <w:lang w:bidi="he-IL"/>
        </w:rPr>
        <w:t xml:space="preserve">לבסוף התירו חלב </w:t>
      </w:r>
      <w:r w:rsidR="007861E3" w:rsidRPr="00882F11">
        <w:rPr>
          <w:rFonts w:cs="Guttman Drogolin" w:hint="cs"/>
          <w:rtl/>
          <w:lang w:bidi="he-IL"/>
        </w:rPr>
        <w:t xml:space="preserve">צלול בקיבה מותר אם הוא חלב בהמה כשרה, אבל חלב של טריפה לעולם אסורה. ובמאירי מבואר שלמד פירוש של הסוגיא דמיירי בחלב קרוש, דס"ד כיון שאין לו שם חלב הרי הוא מתבטל לקיבת נבילה וקמ"ל שאינו מתבטל אליו ונשאר בהתירו. </w:t>
      </w:r>
    </w:p>
    <w:p w:rsidR="007861E3" w:rsidRPr="00882F11" w:rsidRDefault="00A13F10" w:rsidP="00221B6E">
      <w:pPr>
        <w:bidi/>
        <w:jc w:val="both"/>
        <w:rPr>
          <w:rFonts w:cs="Guttman Drogolin"/>
          <w:rtl/>
          <w:lang w:bidi="he-IL"/>
        </w:rPr>
      </w:pPr>
      <w:r w:rsidRPr="00882F11">
        <w:rPr>
          <w:rFonts w:cs="Guttman Drogolin" w:hint="cs"/>
          <w:rtl/>
          <w:lang w:bidi="he-IL"/>
        </w:rPr>
        <w:t>והר"ן העיר שמן הרי"ף מבואר פי' אחר</w:t>
      </w:r>
      <w:r w:rsidR="00417338" w:rsidRPr="00882F11">
        <w:rPr>
          <w:rFonts w:cs="Guttman Drogolin" w:hint="cs"/>
          <w:rtl/>
          <w:lang w:bidi="he-IL"/>
        </w:rPr>
        <w:t xml:space="preserve">, שהרי"ף </w:t>
      </w:r>
      <w:r w:rsidR="00536902" w:rsidRPr="00882F11">
        <w:rPr>
          <w:rFonts w:cs="Guttman Drogolin" w:hint="cs"/>
          <w:rtl/>
          <w:lang w:bidi="he-IL"/>
        </w:rPr>
        <w:t xml:space="preserve">כתב על </w:t>
      </w:r>
      <w:r w:rsidR="00417338" w:rsidRPr="00882F11">
        <w:rPr>
          <w:rFonts w:cs="Guttman Drogolin" w:hint="cs"/>
          <w:rtl/>
          <w:lang w:bidi="he-IL"/>
        </w:rPr>
        <w:t>הגמ' הנ"ל בדף ק"ט ע"ב שהוא לפי מתני' ראשונה, אבל למשנה אחרונה חזר הדין שאם בישלה בחלב</w:t>
      </w:r>
      <w:r w:rsidR="00536902" w:rsidRPr="00882F11">
        <w:rPr>
          <w:rFonts w:cs="Guttman Drogolin" w:hint="cs"/>
          <w:rtl/>
          <w:lang w:bidi="he-IL"/>
        </w:rPr>
        <w:t>ה</w:t>
      </w:r>
      <w:r w:rsidR="00417338" w:rsidRPr="00882F11">
        <w:rPr>
          <w:rFonts w:cs="Guttman Drogolin" w:hint="cs"/>
          <w:rtl/>
          <w:lang w:bidi="he-IL"/>
        </w:rPr>
        <w:t xml:space="preserve"> מותר.</w:t>
      </w:r>
      <w:r w:rsidR="00536902" w:rsidRPr="00882F11">
        <w:rPr>
          <w:rFonts w:cs="Guttman Drogolin" w:hint="cs"/>
          <w:rtl/>
          <w:lang w:bidi="he-IL"/>
        </w:rPr>
        <w:t xml:space="preserve"> ולכאורה התם בצלול מיירי, ולכן ע"כ מבואר שגם בצלול הנמצא בקיבה מותרת. ומבואר שסבירא לי' שאפילו חלב שיצא מן הטריפה שאסורה מדאורייתא, מ"מ אם נכנס לתוך קיבה של בהמה טהורה נהפך להיות מותרת מדאורייתא. ולכן צ"ע לדידי' לא שייך תי' ר"ת ואיך אפשר להתיר דהא במתני' מפורש שכשרה </w:t>
      </w:r>
      <w:r w:rsidR="00536902" w:rsidRPr="00882F11">
        <w:rPr>
          <w:rFonts w:cs="Guttman Drogolin" w:hint="cs"/>
          <w:rtl/>
          <w:lang w:bidi="he-IL"/>
        </w:rPr>
        <w:lastRenderedPageBreak/>
        <w:t>שינקה מן הכשרה קיבתה אסורה. וע' מש"כ בזה ב</w:t>
      </w:r>
      <w:r w:rsidR="00221B6E" w:rsidRPr="00882F11">
        <w:rPr>
          <w:rFonts w:cs="Guttman Drogolin" w:hint="cs"/>
          <w:rtl/>
          <w:lang w:bidi="he-IL"/>
        </w:rPr>
        <w:t>חי' ה</w:t>
      </w:r>
      <w:r w:rsidR="00536902" w:rsidRPr="00882F11">
        <w:rPr>
          <w:rFonts w:cs="Guttman Drogolin" w:hint="cs"/>
          <w:rtl/>
          <w:lang w:bidi="he-IL"/>
        </w:rPr>
        <w:t>רמב"ן.</w:t>
      </w:r>
      <w:r w:rsidR="00221B6E" w:rsidRPr="00882F11">
        <w:rPr>
          <w:rFonts w:cs="Guttman Drogolin" w:hint="cs"/>
          <w:rtl/>
          <w:lang w:bidi="he-IL"/>
        </w:rPr>
        <w:t xml:space="preserve"> וכשיטתו מבואר גם ברמב"ם פ"ט הט"ו </w:t>
      </w:r>
      <w:r w:rsidR="00A70B93" w:rsidRPr="00882F11">
        <w:rPr>
          <w:rFonts w:cs="Guttman Drogolin" w:hint="cs"/>
          <w:rtl/>
          <w:lang w:bidi="he-IL"/>
        </w:rPr>
        <w:t>ושם מבואר גם הטעם שאפילו צלול אבד מיני' שמו והוא משום "שהרי ישתנה במעים". ויש אחרונים הסוברים שלדידהו גם צ"ל שהתחיל התהליך.</w:t>
      </w:r>
      <w:r w:rsidR="007861E3" w:rsidRPr="00882F11">
        <w:rPr>
          <w:rFonts w:cs="Guttman Drogolin" w:hint="cs"/>
          <w:rtl/>
          <w:lang w:bidi="he-IL"/>
        </w:rPr>
        <w:t xml:space="preserve"> ויש להשוות לסוגיא של נבילה שאינה ראוי' לגר, ואכמ"ל בזה.</w:t>
      </w:r>
      <w:r w:rsidR="00536902" w:rsidRPr="00882F11">
        <w:rPr>
          <w:rFonts w:cs="Guttman Drogolin" w:hint="cs"/>
          <w:rtl/>
          <w:lang w:bidi="he-IL"/>
        </w:rPr>
        <w:t xml:space="preserve">  </w:t>
      </w:r>
    </w:p>
    <w:p w:rsidR="007861E3" w:rsidRPr="00882F11" w:rsidRDefault="007861E3" w:rsidP="0078079C">
      <w:pPr>
        <w:pStyle w:val="Heading1"/>
        <w:bidi/>
        <w:spacing w:before="0" w:line="360" w:lineRule="auto"/>
        <w:jc w:val="center"/>
        <w:rPr>
          <w:rFonts w:cs="Guttman Drogolin"/>
          <w:color w:val="auto"/>
          <w:sz w:val="24"/>
          <w:szCs w:val="24"/>
          <w:u w:val="single"/>
          <w:rtl/>
          <w:lang w:bidi="he-IL"/>
        </w:rPr>
      </w:pPr>
      <w:bookmarkStart w:id="173" w:name="_Toc496175430"/>
      <w:r w:rsidRPr="00882F11">
        <w:rPr>
          <w:rFonts w:cs="Guttman Drogolin" w:hint="cs"/>
          <w:color w:val="auto"/>
          <w:sz w:val="24"/>
          <w:szCs w:val="24"/>
          <w:u w:val="single"/>
          <w:rtl/>
          <w:lang w:bidi="he-IL"/>
        </w:rPr>
        <w:t>דיני מעמיד</w:t>
      </w:r>
      <w:bookmarkEnd w:id="173"/>
    </w:p>
    <w:p w:rsidR="007861E3" w:rsidRPr="00882F11" w:rsidRDefault="00E75434" w:rsidP="007861E3">
      <w:pPr>
        <w:bidi/>
        <w:jc w:val="both"/>
        <w:rPr>
          <w:rFonts w:cs="Guttman Drogolin"/>
          <w:rtl/>
          <w:lang w:bidi="he-IL"/>
        </w:rPr>
      </w:pPr>
      <w:r>
        <w:rPr>
          <w:rFonts w:cs="Guttman Drogolin"/>
          <w:rtl/>
          <w:lang w:bidi="he-IL"/>
        </w:rPr>
        <w:fldChar w:fldCharType="begin"/>
      </w:r>
      <w:r>
        <w:instrText xml:space="preserve"> XE "</w:instrText>
      </w:r>
      <w:r w:rsidRPr="007E7B79">
        <w:rPr>
          <w:rFonts w:hint="cs"/>
          <w:rtl/>
          <w:lang w:bidi="he-IL"/>
        </w:rPr>
        <w:instrText>מעמיד</w:instrText>
      </w:r>
      <w:r w:rsidRPr="007E7B79">
        <w:rPr>
          <w:rtl/>
        </w:rPr>
        <w:instrText>:</w:instrText>
      </w:r>
      <w:r w:rsidRPr="007E7B79">
        <w:rPr>
          <w:rFonts w:hint="cs"/>
          <w:rtl/>
          <w:lang w:bidi="he-IL"/>
        </w:rPr>
        <w:instrText>סוגיית הגמ'</w:instrText>
      </w:r>
      <w:r>
        <w:instrText xml:space="preserve">" </w:instrText>
      </w:r>
      <w:r>
        <w:rPr>
          <w:rFonts w:cs="Guttman Drogolin"/>
          <w:rtl/>
          <w:lang w:bidi="he-IL"/>
        </w:rPr>
        <w:fldChar w:fldCharType="end"/>
      </w:r>
      <w:r w:rsidR="007861E3" w:rsidRPr="00882F11">
        <w:rPr>
          <w:rFonts w:cs="Guttman Drogolin" w:hint="cs"/>
          <w:rtl/>
          <w:lang w:bidi="he-IL"/>
        </w:rPr>
        <w:t>עוד מבואר במתני' שאם העמיד חלב בעור של קיבה כשרה הדבר תלוי</w:t>
      </w:r>
      <w:r w:rsidR="00BE4221" w:rsidRPr="00882F11">
        <w:rPr>
          <w:rFonts w:cs="Guttman Drogolin" w:hint="cs"/>
          <w:rtl/>
          <w:lang w:bidi="he-IL"/>
        </w:rPr>
        <w:t>,</w:t>
      </w:r>
      <w:r w:rsidR="007861E3" w:rsidRPr="00882F11">
        <w:rPr>
          <w:rFonts w:cs="Guttman Drogolin" w:hint="cs"/>
          <w:rtl/>
          <w:lang w:bidi="he-IL"/>
        </w:rPr>
        <w:t xml:space="preserve"> שאם נותן טעם הרי זה אסור, ואם לאו מותר. ולכאורה משמע שבזה לבד שהעמיד אינו אוסר. וכן דקדקו התוס' לעיל בדף צ"ט ע"ב סוד"ה לא</w:t>
      </w:r>
      <w:r w:rsidR="007861E3" w:rsidRPr="00882F11">
        <w:rPr>
          <w:rStyle w:val="FootnoteReference"/>
          <w:rFonts w:cs="Guttman Drogolin"/>
          <w:rtl/>
          <w:lang w:bidi="he-IL"/>
        </w:rPr>
        <w:footnoteReference w:id="213"/>
      </w:r>
      <w:r w:rsidR="007861E3" w:rsidRPr="00882F11">
        <w:rPr>
          <w:rFonts w:cs="Guttman Drogolin" w:hint="cs"/>
          <w:rtl/>
          <w:lang w:bidi="he-IL"/>
        </w:rPr>
        <w:t>. והתוס' כאן הקשו דכיון שאפילו בכשרה אסור בנ"ט, למה בגבינת עכו"ם היו צריכים לטעם חשש שמעמיד בעור קיבת נבילה, הא אפילו אם היתה כשרה יש לחשוש. ותי' דכיון שאינו אלא ספק אילו היתה כשרה היינו מקילים כיון שאפילו יש בה בנ"ט אינו אסור מדאורייתא כיון שדרך בישול אסרה תורה. ורק אם יש טעם נבילה שאסור מדאורייתא אפילו שלא בדרך בישול ומשום דטכ"ע דאורייתא יש להחמיר מספק.</w:t>
      </w:r>
    </w:p>
    <w:p w:rsidR="00CF178F" w:rsidRPr="00882F11" w:rsidRDefault="007861E3" w:rsidP="007861E3">
      <w:pPr>
        <w:bidi/>
        <w:jc w:val="both"/>
        <w:rPr>
          <w:rFonts w:cs="Guttman Drogolin"/>
          <w:rtl/>
          <w:lang w:bidi="he-IL"/>
        </w:rPr>
      </w:pPr>
      <w:r w:rsidRPr="00882F11">
        <w:rPr>
          <w:rFonts w:cs="Guttman Drogolin" w:hint="cs"/>
          <w:rtl/>
          <w:lang w:bidi="he-IL"/>
        </w:rPr>
        <w:t xml:space="preserve">ובמרדכי נקט </w:t>
      </w:r>
      <w:r w:rsidR="00CF178F" w:rsidRPr="00882F11">
        <w:rPr>
          <w:rFonts w:cs="Guttman Drogolin" w:hint="cs"/>
          <w:rtl/>
          <w:lang w:bidi="he-IL"/>
        </w:rPr>
        <w:t>שבין בשר בחלב ובין נבילה אוסרים משום שמעמידים, ומש"כ במתני' שבב"ח אוסר בנ"ט היינו כשמעמידים, שגם זה נחשב נ"ט. וכלפי השאלה מגבינת עכו</w:t>
      </w:r>
      <w:r w:rsidR="00E63EA4" w:rsidRPr="00882F11">
        <w:rPr>
          <w:rFonts w:cs="Guttman Drogolin" w:hint="cs"/>
          <w:rtl/>
          <w:lang w:bidi="he-IL"/>
        </w:rPr>
        <w:t>"ם המרדכי ותוס' שוין, רק חולקים</w:t>
      </w:r>
      <w:r w:rsidR="00CF178F" w:rsidRPr="00882F11">
        <w:rPr>
          <w:rFonts w:cs="Guttman Drogolin" w:hint="cs"/>
          <w:rtl/>
          <w:lang w:bidi="he-IL"/>
        </w:rPr>
        <w:t xml:space="preserve"> אם יש מקום להחמיר כשמעמיד ואינו נותן טעם, שהמרדכי אוסר והתוס' מתירים. ולמרדכי חזינן לכאורה שיש טכ"ע דאורייתא גם ע"י מחמץ בלבד וכמו שצידדנו לעיל בשיעור י"א ע"ש.</w:t>
      </w:r>
    </w:p>
    <w:p w:rsidR="006F66A8" w:rsidRDefault="00CF178F" w:rsidP="00E63EA4">
      <w:pPr>
        <w:bidi/>
        <w:jc w:val="both"/>
        <w:rPr>
          <w:rFonts w:cs="Guttman Drogolin"/>
          <w:rtl/>
          <w:lang w:bidi="he-IL"/>
        </w:rPr>
      </w:pPr>
      <w:r w:rsidRPr="00882F11">
        <w:rPr>
          <w:rFonts w:cs="Guttman Drogolin" w:hint="cs"/>
          <w:rtl/>
          <w:lang w:bidi="he-IL"/>
        </w:rPr>
        <w:t xml:space="preserve">והר"ן הביא מר"י מגא"ש תי' אחר להא דהצריכו שיהא חשש מעמיד בעור קיבת נבילה ולא סגי בעור בין כשרה בין נבילה. והוא משום שהחשש של גבינה הוא יהא מעמיד, וזה שייך אפילו בפחות </w:t>
      </w:r>
      <w:r w:rsidRPr="00882F11">
        <w:rPr>
          <w:rFonts w:cs="Guttman Drogolin" w:hint="cs"/>
          <w:rtl/>
          <w:lang w:bidi="he-IL"/>
        </w:rPr>
        <w:lastRenderedPageBreak/>
        <w:t>משיעור נותן טעם. ואילו במתני' לא אסרו אא"כ נ"ט משום שאם אינו נ"ט אין לאסור משום בב"ח אע"ג שמעמיד</w:t>
      </w:r>
      <w:r w:rsidR="00E63EA4" w:rsidRPr="00882F11">
        <w:rPr>
          <w:rFonts w:cs="Guttman Drogolin" w:hint="cs"/>
          <w:rtl/>
          <w:lang w:bidi="he-IL"/>
        </w:rPr>
        <w:t xml:space="preserve"> וע' בחידושי הרשב"א שבאמת כתב שזהו החידוש של המתני' אם יש בה בנ"ט אסורה, דלכאורה פשיטא היא. אלא הא קמ"ל דדוקא נ"א אבל מעמיד לא</w:t>
      </w:r>
      <w:r w:rsidRPr="00882F11">
        <w:rPr>
          <w:rFonts w:cs="Guttman Drogolin" w:hint="cs"/>
          <w:rtl/>
          <w:lang w:bidi="he-IL"/>
        </w:rPr>
        <w:t>. וביאר הטעם משום שבב"ח הדין טעם אינו אך ורק היכי תמצא שלא יהא הטעם בטל, רק הרי הוא עושה את מחות האיסור, ואם ליכא טעם אין עליו שם בב"ח כלל אע"פ שלא התבטל</w:t>
      </w:r>
      <w:r w:rsidRPr="00882F11">
        <w:rPr>
          <w:rStyle w:val="FootnoteReference"/>
          <w:rFonts w:cs="Guttman Drogolin"/>
          <w:rtl/>
          <w:lang w:bidi="he-IL"/>
        </w:rPr>
        <w:footnoteReference w:id="214"/>
      </w:r>
      <w:r w:rsidRPr="00882F11">
        <w:rPr>
          <w:rFonts w:cs="Guttman Drogolin" w:hint="cs"/>
          <w:rtl/>
          <w:lang w:bidi="he-IL"/>
        </w:rPr>
        <w:t>.</w:t>
      </w:r>
      <w:r w:rsidR="006F66A8" w:rsidRPr="00882F11">
        <w:rPr>
          <w:rFonts w:cs="Guttman Drogolin" w:hint="cs"/>
          <w:rtl/>
          <w:lang w:bidi="he-IL"/>
        </w:rPr>
        <w:t xml:space="preserve"> ובשו"ת רע"א סי' ר"ז כתב לבאר שגם מדרבנן אין לאסור בב"ח, אע"ג שבב"ח אסור מדרבנן אפילו אם אינו דר</w:t>
      </w:r>
      <w:r w:rsidR="00E63EA4" w:rsidRPr="00882F11">
        <w:rPr>
          <w:rFonts w:cs="Guttman Drogolin" w:hint="cs"/>
          <w:rtl/>
          <w:lang w:bidi="he-IL"/>
        </w:rPr>
        <w:t>ך</w:t>
      </w:r>
      <w:r w:rsidR="006F66A8" w:rsidRPr="00882F11">
        <w:rPr>
          <w:rFonts w:cs="Guttman Drogolin" w:hint="cs"/>
          <w:rtl/>
          <w:lang w:bidi="he-IL"/>
        </w:rPr>
        <w:t xml:space="preserve"> בישול, ומשום דע"כ לא החמירו מדרבנן אלא בכה"ג דאילו היתה דרך בישול הי' אסור, אבל </w:t>
      </w:r>
      <w:r w:rsidR="00E63EA4" w:rsidRPr="00882F11">
        <w:rPr>
          <w:rFonts w:cs="Guttman Drogolin" w:hint="cs"/>
          <w:rtl/>
          <w:lang w:bidi="he-IL"/>
        </w:rPr>
        <w:t>בנד"ד ליכא</w:t>
      </w:r>
      <w:r w:rsidR="006F66A8" w:rsidRPr="00882F11">
        <w:rPr>
          <w:rFonts w:cs="Guttman Drogolin" w:hint="cs"/>
          <w:rtl/>
          <w:lang w:bidi="he-IL"/>
        </w:rPr>
        <w:t xml:space="preserve"> נ"ט</w:t>
      </w:r>
      <w:r w:rsidR="00E63EA4" w:rsidRPr="00882F11">
        <w:rPr>
          <w:rFonts w:cs="Guttman Drogolin" w:hint="cs"/>
          <w:rtl/>
          <w:lang w:bidi="he-IL"/>
        </w:rPr>
        <w:t>,</w:t>
      </w:r>
      <w:r w:rsidR="006F66A8" w:rsidRPr="00882F11">
        <w:rPr>
          <w:rFonts w:cs="Guttman Drogolin" w:hint="cs"/>
          <w:rtl/>
          <w:lang w:bidi="he-IL"/>
        </w:rPr>
        <w:t xml:space="preserve"> ולכן גם אם בישלו לא הי' אסור </w:t>
      </w:r>
      <w:r w:rsidR="00E63EA4" w:rsidRPr="00882F11">
        <w:rPr>
          <w:rFonts w:cs="Guttman Drogolin" w:hint="cs"/>
          <w:rtl/>
          <w:lang w:bidi="he-IL"/>
        </w:rPr>
        <w:t xml:space="preserve">מדאו' ולכן </w:t>
      </w:r>
      <w:r w:rsidR="006F66A8" w:rsidRPr="00882F11">
        <w:rPr>
          <w:rFonts w:cs="Guttman Drogolin" w:hint="cs"/>
          <w:rtl/>
          <w:lang w:bidi="he-IL"/>
        </w:rPr>
        <w:t xml:space="preserve">אין לאסור </w:t>
      </w:r>
      <w:r w:rsidR="00E63EA4" w:rsidRPr="00882F11">
        <w:rPr>
          <w:rFonts w:cs="Guttman Drogolin" w:hint="cs"/>
          <w:rtl/>
          <w:lang w:bidi="he-IL"/>
        </w:rPr>
        <w:t xml:space="preserve">אפילו מדרבנן </w:t>
      </w:r>
      <w:r w:rsidR="006F66A8" w:rsidRPr="00882F11">
        <w:rPr>
          <w:rFonts w:cs="Guttman Drogolin" w:hint="cs"/>
          <w:rtl/>
          <w:lang w:bidi="he-IL"/>
        </w:rPr>
        <w:t>אע"ג שיש כאן גם בשר וגם גבינה שלא התבטלו.</w:t>
      </w:r>
      <w:r w:rsidRPr="00882F11">
        <w:rPr>
          <w:rFonts w:cs="Guttman Drogolin" w:hint="cs"/>
          <w:rtl/>
          <w:lang w:bidi="he-IL"/>
        </w:rPr>
        <w:t xml:space="preserve"> </w:t>
      </w:r>
      <w:r w:rsidR="006F66A8" w:rsidRPr="00882F11">
        <w:rPr>
          <w:rFonts w:cs="Guttman Drogolin" w:hint="cs"/>
          <w:rtl/>
          <w:lang w:bidi="he-IL"/>
        </w:rPr>
        <w:t>ומלשון הר"י מגאש נראה שהעמדה אינה חשובה נתינת טעם, רק שהוא טעם אחר לאסור והוא דכיון שמעמיד אינו בטל.</w:t>
      </w:r>
      <w:r w:rsidRPr="00882F11">
        <w:rPr>
          <w:rFonts w:cs="Guttman Drogolin" w:hint="cs"/>
          <w:rtl/>
          <w:lang w:bidi="he-IL"/>
        </w:rPr>
        <w:t xml:space="preserve"> </w:t>
      </w:r>
    </w:p>
    <w:p w:rsidR="005539F9" w:rsidRPr="00882F11" w:rsidRDefault="005539F9" w:rsidP="005539F9">
      <w:pPr>
        <w:bidi/>
        <w:jc w:val="both"/>
        <w:rPr>
          <w:rFonts w:cs="Guttman Drogolin"/>
          <w:rtl/>
          <w:lang w:bidi="he-IL"/>
        </w:rPr>
      </w:pPr>
      <w:r>
        <w:rPr>
          <w:rFonts w:cs="Guttman Drogolin" w:hint="cs"/>
          <w:rtl/>
          <w:lang w:bidi="he-IL"/>
        </w:rPr>
        <w:t>וע' בתוה"א (ב"ג ש"ו) בשם הראב"ד עוד טעם לאסור גבינת עכו"ם אע"ג שאין בה כדי נתינת טעם, דהוא משום שבמאכלי עכו"ם לא הקילו חכמים להתיר בגלל שאין בה נתינת טעם</w:t>
      </w:r>
      <w:r>
        <w:rPr>
          <w:rStyle w:val="FootnoteReference"/>
          <w:rFonts w:cs="Guttman Drogolin"/>
          <w:rtl/>
          <w:lang w:bidi="he-IL"/>
        </w:rPr>
        <w:footnoteReference w:id="215"/>
      </w:r>
      <w:r>
        <w:rPr>
          <w:rFonts w:cs="Guttman Drogolin" w:hint="cs"/>
          <w:rtl/>
          <w:lang w:bidi="he-IL"/>
        </w:rPr>
        <w:t>.</w:t>
      </w:r>
      <w:r w:rsidR="00ED6CB8">
        <w:rPr>
          <w:rFonts w:cs="Guttman Drogolin" w:hint="cs"/>
          <w:rtl/>
          <w:lang w:bidi="he-IL"/>
        </w:rPr>
        <w:t xml:space="preserve"> כן הוא בחי' הרמב"ן למס' ע"ז ל"ה ע"א.</w:t>
      </w:r>
    </w:p>
    <w:p w:rsidR="006F66A8" w:rsidRPr="00882F11" w:rsidRDefault="006F66A8" w:rsidP="0078079C">
      <w:pPr>
        <w:pStyle w:val="Heading1"/>
        <w:bidi/>
        <w:spacing w:before="0" w:line="360" w:lineRule="auto"/>
        <w:jc w:val="center"/>
        <w:rPr>
          <w:rFonts w:cs="Guttman Drogolin"/>
          <w:color w:val="auto"/>
          <w:sz w:val="24"/>
          <w:szCs w:val="24"/>
          <w:u w:val="single"/>
          <w:rtl/>
          <w:lang w:bidi="he-IL"/>
        </w:rPr>
      </w:pPr>
      <w:bookmarkStart w:id="174" w:name="_Toc496175431"/>
      <w:r w:rsidRPr="00882F11">
        <w:rPr>
          <w:rFonts w:cs="Guttman Drogolin" w:hint="cs"/>
          <w:color w:val="auto"/>
          <w:sz w:val="24"/>
          <w:szCs w:val="24"/>
          <w:u w:val="single"/>
          <w:rtl/>
          <w:lang w:bidi="he-IL"/>
        </w:rPr>
        <w:t>דברי רש"י בדין נ"ט בר נ"ט</w:t>
      </w:r>
      <w:bookmarkEnd w:id="174"/>
    </w:p>
    <w:p w:rsidR="006F66A8" w:rsidRPr="00882F11" w:rsidRDefault="00564A2B" w:rsidP="00564A2B">
      <w:pPr>
        <w:bidi/>
        <w:jc w:val="both"/>
        <w:rPr>
          <w:rFonts w:cs="Guttman Drogolin"/>
          <w:rtl/>
          <w:lang w:bidi="he-IL"/>
        </w:rPr>
      </w:pPr>
      <w:r>
        <w:rPr>
          <w:rFonts w:cs="Guttman Drogolin"/>
          <w:rtl/>
          <w:lang w:bidi="he-IL"/>
        </w:rPr>
        <w:fldChar w:fldCharType="begin"/>
      </w:r>
      <w:r>
        <w:instrText xml:space="preserve"> XE "</w:instrText>
      </w:r>
      <w:r w:rsidRPr="00C2249F">
        <w:rPr>
          <w:rFonts w:hint="cs"/>
          <w:rtl/>
          <w:lang w:bidi="he-IL"/>
        </w:rPr>
        <w:instrText>נ</w:instrText>
      </w:r>
      <w:r>
        <w:rPr>
          <w:rFonts w:eastAsiaTheme="minorEastAsia"/>
          <w:lang w:bidi="he-IL"/>
        </w:rPr>
        <w:instrText>\</w:instrText>
      </w:r>
      <w:r w:rsidRPr="00C2249F">
        <w:rPr>
          <w:rFonts w:hint="cs"/>
          <w:rtl/>
          <w:lang w:bidi="he-IL"/>
        </w:rPr>
        <w:instrText>"ט בר נ</w:instrText>
      </w:r>
      <w:r>
        <w:rPr>
          <w:rFonts w:eastAsiaTheme="minorEastAsia"/>
          <w:lang w:bidi="he-IL"/>
        </w:rPr>
        <w:instrText>\</w:instrText>
      </w:r>
      <w:r w:rsidRPr="00C2249F">
        <w:rPr>
          <w:rFonts w:hint="cs"/>
          <w:rtl/>
          <w:lang w:bidi="he-IL"/>
        </w:rPr>
        <w:instrText>"ט</w:instrText>
      </w:r>
      <w:r w:rsidRPr="00C2249F">
        <w:rPr>
          <w:rtl/>
        </w:rPr>
        <w:instrText>:</w:instrText>
      </w:r>
      <w:r w:rsidRPr="00C2249F">
        <w:rPr>
          <w:rFonts w:hint="cs"/>
          <w:rtl/>
          <w:lang w:bidi="he-IL"/>
        </w:rPr>
        <w:instrText>הערה מדברי רש</w:instrText>
      </w:r>
      <w:r>
        <w:rPr>
          <w:rFonts w:eastAsiaTheme="minorEastAsia"/>
          <w:lang w:bidi="he-IL"/>
        </w:rPr>
        <w:instrText>\</w:instrText>
      </w:r>
      <w:r w:rsidRPr="00C2249F">
        <w:rPr>
          <w:rFonts w:hint="cs"/>
          <w:rtl/>
          <w:lang w:bidi="he-IL"/>
        </w:rPr>
        <w:instrText>"י בחולין דף קט</w:instrText>
      </w:r>
      <w:r>
        <w:rPr>
          <w:rFonts w:eastAsiaTheme="minorEastAsia"/>
          <w:lang w:bidi="he-IL"/>
        </w:rPr>
        <w:instrText>\</w:instrText>
      </w:r>
      <w:r w:rsidRPr="00C2249F">
        <w:rPr>
          <w:rFonts w:hint="cs"/>
          <w:rtl/>
          <w:lang w:bidi="he-IL"/>
        </w:rPr>
        <w:instrText>"</w:instrText>
      </w:r>
      <w:r>
        <w:rPr>
          <w:rFonts w:hint="cs"/>
          <w:rtl/>
          <w:lang w:bidi="he-IL"/>
        </w:rPr>
        <w:instrText>ז</w:instrText>
      </w:r>
      <w:r>
        <w:instrText xml:space="preserve">" </w:instrText>
      </w:r>
      <w:r>
        <w:rPr>
          <w:rFonts w:cs="Guttman Drogolin"/>
          <w:rtl/>
          <w:lang w:bidi="he-IL"/>
        </w:rPr>
        <w:fldChar w:fldCharType="end"/>
      </w:r>
      <w:r w:rsidR="006F66A8" w:rsidRPr="00882F11">
        <w:rPr>
          <w:rFonts w:cs="Guttman Drogolin" w:hint="cs"/>
          <w:rtl/>
          <w:lang w:bidi="he-IL"/>
        </w:rPr>
        <w:t xml:space="preserve">רש"י הביא שיש שהיו מתירים חלב קרוש שנמלחה בקיבתה משום דהויט נ"ט בר נ"ט. ודחה רש"י שאין להתיר משום נ"ט בר נ"ט כיון שחענ"נ. וחזינן מדברי רש"י ב' יסודות חשובות. חדא (ע' מזה בראש יוסף) שבעצם מדיני נ"ט בר נ"ט הי' לנו להתיר בין נ"ט בר נ"ט דאיסורא ובין נ"ט בר נ"ט דהיתירא. רק דכיון שחענ"ן לא הוי נ"ט בר נ"ט, דהא ההיתר אינו טעם שני וגם לה יש כח לאסור (אע"ג שלאוסרו אין כח לאסור, </w:t>
      </w:r>
      <w:r w:rsidR="006F66A8" w:rsidRPr="00882F11">
        <w:rPr>
          <w:rFonts w:cs="Guttman Drogolin" w:hint="cs"/>
          <w:rtl/>
          <w:lang w:bidi="he-IL"/>
        </w:rPr>
        <w:lastRenderedPageBreak/>
        <w:t>וכנראה זה חלוק מן הכלל דאין הנאסר אוסר יותר מן האוסרו אא"כ נאמר שרש"י חולק על כלל זה). ועוד חזינן מדברי רש"י דאמרינן חענ"ן אע"ג שאינו דרך בישול, ואע"ג דהוי בב"ח הי' לנו להתיר כיון שאינו דרך בישול וכמש"כ הר"ן כמה פעמים בסו"פ כל הבשר. ומ"מ אפשר לומר שהי"א שהביא רש"י שהתיר דבר זה סבר דלא אמרינן חענ"ן כה"ג וסבר דאמרינן נ"ט בר נ"ט גם במילתא דאיסורא.</w:t>
      </w:r>
    </w:p>
    <w:p w:rsidR="00F74E3B" w:rsidRPr="00882F11" w:rsidRDefault="00F74E3B" w:rsidP="00F74E3B">
      <w:pPr>
        <w:bidi/>
        <w:jc w:val="center"/>
        <w:rPr>
          <w:rFonts w:cs="Guttman Drogolin"/>
          <w:b/>
          <w:bCs/>
          <w:sz w:val="32"/>
          <w:szCs w:val="32"/>
          <w:rtl/>
          <w:lang w:bidi="he-IL"/>
        </w:rPr>
        <w:sectPr w:rsidR="00F74E3B" w:rsidRPr="00882F11" w:rsidSect="00662307">
          <w:type w:val="continuous"/>
          <w:pgSz w:w="11907" w:h="16839" w:code="9"/>
          <w:pgMar w:top="1440" w:right="1440" w:bottom="1440" w:left="1440" w:header="720" w:footer="720" w:gutter="0"/>
          <w:cols w:num="2" w:space="720"/>
          <w:bidi/>
          <w:docGrid w:linePitch="360"/>
        </w:sectPr>
      </w:pPr>
    </w:p>
    <w:p w:rsidR="00F74E3B" w:rsidRPr="00882F11" w:rsidRDefault="00F74E3B" w:rsidP="00F74E3B">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מ"ז</w:t>
      </w:r>
    </w:p>
    <w:p w:rsidR="00662307" w:rsidRDefault="00662307" w:rsidP="0078079C">
      <w:pPr>
        <w:pStyle w:val="Heading1"/>
        <w:bidi/>
        <w:spacing w:before="0" w:line="360" w:lineRule="auto"/>
        <w:jc w:val="center"/>
        <w:rPr>
          <w:rFonts w:cs="Guttman Drogolin"/>
          <w:color w:val="auto"/>
          <w:sz w:val="24"/>
          <w:szCs w:val="24"/>
          <w:u w:val="single"/>
          <w:rtl/>
          <w:lang w:bidi="he-IL"/>
        </w:rPr>
        <w:sectPr w:rsidR="00662307" w:rsidSect="00662307">
          <w:headerReference w:type="default" r:id="rId41"/>
          <w:pgSz w:w="11907" w:h="16839" w:code="9"/>
          <w:pgMar w:top="1440" w:right="1440" w:bottom="1440" w:left="1440" w:header="720" w:footer="720" w:gutter="0"/>
          <w:cols w:space="720"/>
          <w:bidi/>
          <w:docGrid w:linePitch="360"/>
        </w:sectPr>
      </w:pPr>
    </w:p>
    <w:p w:rsidR="00F74E3B" w:rsidRPr="00882F11" w:rsidRDefault="00F74E3B" w:rsidP="0078079C">
      <w:pPr>
        <w:pStyle w:val="Heading1"/>
        <w:bidi/>
        <w:spacing w:before="0" w:line="360" w:lineRule="auto"/>
        <w:jc w:val="center"/>
        <w:rPr>
          <w:rFonts w:cs="Guttman Drogolin"/>
          <w:color w:val="auto"/>
          <w:sz w:val="24"/>
          <w:szCs w:val="24"/>
          <w:u w:val="single"/>
          <w:rtl/>
          <w:lang w:bidi="he-IL"/>
        </w:rPr>
      </w:pPr>
      <w:bookmarkStart w:id="175" w:name="_Toc496175432"/>
      <w:r w:rsidRPr="00882F11">
        <w:rPr>
          <w:rFonts w:cs="Guttman Drogolin" w:hint="cs"/>
          <w:color w:val="auto"/>
          <w:sz w:val="24"/>
          <w:szCs w:val="24"/>
          <w:u w:val="single"/>
          <w:rtl/>
          <w:lang w:bidi="he-IL"/>
        </w:rPr>
        <w:lastRenderedPageBreak/>
        <w:t>בישול בשר בחלב לאיבוד</w:t>
      </w:r>
      <w:bookmarkEnd w:id="175"/>
    </w:p>
    <w:p w:rsidR="00CB6A8B" w:rsidRPr="00882F11" w:rsidRDefault="00564A2B" w:rsidP="00F74E3B">
      <w:pPr>
        <w:bidi/>
        <w:jc w:val="both"/>
        <w:rPr>
          <w:rFonts w:cs="Guttman Drogolin"/>
          <w:rtl/>
          <w:lang w:bidi="he-IL"/>
        </w:rPr>
      </w:pPr>
      <w:r>
        <w:rPr>
          <w:rFonts w:cs="Guttman Drogolin"/>
          <w:rtl/>
          <w:lang w:bidi="he-IL"/>
        </w:rPr>
        <w:fldChar w:fldCharType="begin"/>
      </w:r>
      <w:r>
        <w:instrText xml:space="preserve"> XE "</w:instrText>
      </w:r>
      <w:r w:rsidRPr="00EF0998">
        <w:rPr>
          <w:rFonts w:hint="cs"/>
          <w:rtl/>
          <w:lang w:bidi="he-IL"/>
        </w:rPr>
        <w:instrText>בשר בחלב - איסור בישול</w:instrText>
      </w:r>
      <w:r w:rsidRPr="00EF0998">
        <w:rPr>
          <w:rtl/>
        </w:rPr>
        <w:instrText>:</w:instrText>
      </w:r>
      <w:r w:rsidRPr="00EF0998">
        <w:rPr>
          <w:rFonts w:hint="cs"/>
          <w:rtl/>
          <w:lang w:bidi="he-IL"/>
        </w:rPr>
        <w:instrText>לאיבוד</w:instrText>
      </w:r>
      <w:r>
        <w:instrText xml:space="preserve">" </w:instrText>
      </w:r>
      <w:r>
        <w:rPr>
          <w:rFonts w:cs="Guttman Drogolin"/>
          <w:rtl/>
          <w:lang w:bidi="he-IL"/>
        </w:rPr>
        <w:fldChar w:fldCharType="end"/>
      </w:r>
      <w:r w:rsidR="00F74E3B" w:rsidRPr="00882F11">
        <w:rPr>
          <w:rFonts w:cs="Guttman Drogolin" w:hint="cs"/>
          <w:rtl/>
          <w:lang w:bidi="he-IL"/>
        </w:rPr>
        <w:t>מן הדברים הידועים, יש ג' איסורים מדאורייתא בבשר בחלב, איסור אכילה, איסור הנאה, ואיסור בישול. ואיסור בשר בחלב שייך מדאורייתא לבשר בהמה טהורה עם חלב בהמה טהורה, אבל בחי' ועוף קיי"ל שאין איסור בבשר בחלב מדאורייתא, רק מדרבנן. ואע"פ שהמשמעות הפשוטה של המתני' בר"פ כל הבשר שיש גם איסור דרבנן לבשל עוף בחלב, וכן נקט להלכה ביש"ש, מ"מ קיי"ל כשיטת הרמב"ם שאין איסור בישול בבשר בעוף בחלב אפילו מדרבנן וכמש"כ בשו"ע וכן בש"ך וט"ז.</w:t>
      </w:r>
      <w:r w:rsidR="00CB6A8B" w:rsidRPr="00882F11">
        <w:rPr>
          <w:rFonts w:cs="Guttman Drogolin" w:hint="cs"/>
          <w:rtl/>
          <w:lang w:bidi="he-IL"/>
        </w:rPr>
        <w:t xml:space="preserve"> </w:t>
      </w:r>
    </w:p>
    <w:p w:rsidR="002F426B" w:rsidRPr="00882F11" w:rsidRDefault="00CB6A8B" w:rsidP="00A2380B">
      <w:pPr>
        <w:bidi/>
        <w:jc w:val="both"/>
        <w:rPr>
          <w:rFonts w:cs="Guttman Drogolin"/>
          <w:rtl/>
          <w:lang w:bidi="he-IL"/>
        </w:rPr>
      </w:pPr>
      <w:r w:rsidRPr="00882F11">
        <w:rPr>
          <w:rFonts w:cs="Guttman Drogolin" w:hint="cs"/>
          <w:rtl/>
          <w:lang w:bidi="he-IL"/>
        </w:rPr>
        <w:t>והנה אע"ג שבעצם יש נפק"מ למעשה באיסור בישול אע"ג שיש גם איסור אכילה דהא עובר כבר משעת בישול ואפילו אינו אוכל לבסוף, מ"מ לכאורה בדרך כלל אין בזה נפק"מ, דלמה יבשל אדם דבר שאינו יכול לא לאכלו ולא ליהנות ממנו. אלא דהנה בפת"ש ס"ק ב' הביא משו"</w:t>
      </w:r>
      <w:r w:rsidR="00A2380B" w:rsidRPr="00882F11">
        <w:rPr>
          <w:rFonts w:cs="Guttman Drogolin" w:hint="cs"/>
          <w:rtl/>
          <w:lang w:bidi="he-IL"/>
        </w:rPr>
        <w:t>ת שער אפרים סי' ל"ח שדן בחמאה שנ</w:t>
      </w:r>
      <w:r w:rsidRPr="00882F11">
        <w:rPr>
          <w:rFonts w:cs="Guttman Drogolin" w:hint="cs"/>
          <w:rtl/>
          <w:lang w:bidi="he-IL"/>
        </w:rPr>
        <w:t xml:space="preserve">תבשלה בקדרה בשרית אם מותר להדליקה לנרות חנוכה. וכתב שאיסור הנאה אין בזה, משום שמצות לאו ליהנות ניתנו. אבל מ"מ פסל נרות אלו לנרות חנוכה כיון שנרות חנוכה צריכים שיעור וכתותי מיכתת שיעורי'. ויש בדבריו ב' חידושים. חדא שהרי בשר בחלב הוא מן הנקברים ואין דינו בשרפה, וא"כ מבואר דסבירא לי' </w:t>
      </w:r>
      <w:r w:rsidR="00A2380B" w:rsidRPr="00882F11">
        <w:rPr>
          <w:rFonts w:cs="Guttman Drogolin" w:hint="cs"/>
          <w:rtl/>
          <w:lang w:bidi="he-IL"/>
        </w:rPr>
        <w:t>ד</w:t>
      </w:r>
      <w:r w:rsidRPr="00882F11">
        <w:rPr>
          <w:rFonts w:cs="Guttman Drogolin" w:hint="cs"/>
          <w:rtl/>
          <w:lang w:bidi="he-IL"/>
        </w:rPr>
        <w:t xml:space="preserve">אמרינן כתותי מיכתת שיעורי' אפילו בדבר שנהוא מן הנקברין, וכן הוא שיטת התוס' במס' יבמות דף </w:t>
      </w:r>
      <w:r w:rsidR="00A24063" w:rsidRPr="00882F11">
        <w:rPr>
          <w:rFonts w:cs="Guttman Drogolin" w:hint="cs"/>
          <w:rtl/>
          <w:lang w:bidi="he-IL"/>
        </w:rPr>
        <w:t>ק"ד ע"א שבדבר הטעון גניזה</w:t>
      </w:r>
      <w:r w:rsidRPr="00882F11">
        <w:rPr>
          <w:rFonts w:cs="Guttman Drogolin" w:hint="cs"/>
          <w:rtl/>
          <w:lang w:bidi="he-IL"/>
        </w:rPr>
        <w:t xml:space="preserve"> </w:t>
      </w:r>
      <w:r w:rsidR="00A24063" w:rsidRPr="00882F11">
        <w:rPr>
          <w:rFonts w:cs="Guttman Drogolin" w:hint="cs"/>
          <w:rtl/>
          <w:lang w:bidi="he-IL"/>
        </w:rPr>
        <w:t xml:space="preserve">ג"כ אמרינן כתותי מיכתת שיעורי'. ועוד צ"ע שהרי לכאורה הדין של כתותי מיכתת שיעורי' לא נאמר אלא בדבר שצריך שיעור משום החשיבות של הדבר, וכגון לולב שצריך ד' טפחים כדי שיהא לולב חשוב בשיעורו, אבל דבר שצריך שיעור רק כדי לקיים תכלית מסוים הרי זה כשר גם אם מיכתת שיעורי'. וכ"כ בחי' רבינו חיים הלוי בסוף הלכות שבת לענין מחיצה של אשרה </w:t>
      </w:r>
      <w:r w:rsidR="00A24063" w:rsidRPr="00882F11">
        <w:rPr>
          <w:rFonts w:cs="Guttman Drogolin" w:hint="cs"/>
          <w:rtl/>
          <w:lang w:bidi="he-IL"/>
        </w:rPr>
        <w:lastRenderedPageBreak/>
        <w:t>שעדיין כשר, דאע"ג שמיכתת שיעורי' מ"מ הרי כל הענין של י' טפחים הוא כדי למנוע רגל הרבים, והרי מחיצה זו מונעת רגל הרבים אע"ג דמיכתת שיעורי', ולכן הוא כשר.</w:t>
      </w:r>
      <w:r w:rsidR="002F426B" w:rsidRPr="00882F11">
        <w:rPr>
          <w:rFonts w:cs="Guttman Drogolin" w:hint="cs"/>
          <w:rtl/>
          <w:lang w:bidi="he-IL"/>
        </w:rPr>
        <w:t xml:space="preserve"> וא"כ לכאורה גם השיעור של משתחשך עד שתכלה רגל </w:t>
      </w:r>
      <w:r w:rsidR="00A2380B" w:rsidRPr="00882F11">
        <w:rPr>
          <w:rFonts w:cs="Guttman Drogolin" w:hint="cs"/>
          <w:rtl/>
          <w:lang w:bidi="he-IL"/>
        </w:rPr>
        <w:t>מ</w:t>
      </w:r>
      <w:r w:rsidR="002F426B" w:rsidRPr="00882F11">
        <w:rPr>
          <w:rFonts w:cs="Guttman Drogolin" w:hint="cs"/>
          <w:rtl/>
          <w:lang w:bidi="he-IL"/>
        </w:rPr>
        <w:t>ן השוק אין ענינו שיהא לו שיעור חשוב של שמן, רק בעינן שבשעת ההדלקה הוא קיים לזמן המצוה, ולכן כיון שיש מספיק שמן לידלק לזמן המצוה לכאורה לא איכפת לן בהא דמיכתת שיעורי'.</w:t>
      </w:r>
    </w:p>
    <w:p w:rsidR="00F740E0" w:rsidRPr="00882F11" w:rsidRDefault="002F426B" w:rsidP="005240F6">
      <w:pPr>
        <w:bidi/>
        <w:jc w:val="both"/>
        <w:rPr>
          <w:rFonts w:cs="Guttman Drogolin"/>
          <w:rtl/>
          <w:lang w:bidi="he-IL"/>
        </w:rPr>
      </w:pPr>
      <w:r w:rsidRPr="00882F11">
        <w:rPr>
          <w:rFonts w:cs="Guttman Drogolin" w:hint="cs"/>
          <w:rtl/>
          <w:lang w:bidi="he-IL"/>
        </w:rPr>
        <w:t xml:space="preserve">ומ"מ הפת"ש ממשיך להביא דברי האליהו זוטא בסי' תרע"ג שכתב שיש עוד טעם לאסור הדלקת חמאה זו לנרות חנוכה, והוא משום שע"י ההדלקה הרי הוא מבשל בשר בחלב כיון שיש בה גם חלב וגם </w:t>
      </w:r>
      <w:r w:rsidR="00961605" w:rsidRPr="00882F11">
        <w:rPr>
          <w:rFonts w:cs="Guttman Drogolin" w:hint="cs"/>
          <w:rtl/>
          <w:lang w:bidi="he-IL"/>
        </w:rPr>
        <w:t xml:space="preserve">בליעות של </w:t>
      </w:r>
      <w:r w:rsidRPr="00882F11">
        <w:rPr>
          <w:rFonts w:cs="Guttman Drogolin" w:hint="cs"/>
          <w:rtl/>
          <w:lang w:bidi="he-IL"/>
        </w:rPr>
        <w:t>בשר.</w:t>
      </w:r>
      <w:r w:rsidR="00961605" w:rsidRPr="00882F11">
        <w:rPr>
          <w:rFonts w:cs="Guttman Drogolin" w:hint="cs"/>
          <w:rtl/>
          <w:lang w:bidi="he-IL"/>
        </w:rPr>
        <w:t xml:space="preserve"> באופן שיל"ע בדעת השער אפרים למה לא אסר מטעם פשוט זו. והנה לכאורה יש טעם פשוט למה לא סבר כן השער אפרים, והוא שהרי כבר נתבשל חמאה זו בטעם בשר שבו, ולכן אין איסור אם יבשלנו שוב, ומשום שיש לנו כלל שאין בישול אחר בישול.</w:t>
      </w:r>
      <w:r w:rsidR="0049595A" w:rsidRPr="00882F11">
        <w:rPr>
          <w:rFonts w:cs="Guttman Drogolin" w:hint="cs"/>
          <w:rtl/>
          <w:lang w:bidi="he-IL"/>
        </w:rPr>
        <w:t xml:space="preserve"> </w:t>
      </w:r>
      <w:r w:rsidR="00E64E48" w:rsidRPr="00882F11">
        <w:rPr>
          <w:rFonts w:cs="Guttman Drogolin" w:hint="cs"/>
          <w:rtl/>
          <w:lang w:bidi="he-IL"/>
        </w:rPr>
        <w:t>וכבר הבאנו לעיל</w:t>
      </w:r>
      <w:r w:rsidR="00E64E48" w:rsidRPr="00882F11">
        <w:rPr>
          <w:rStyle w:val="FootnoteReference"/>
          <w:rFonts w:cs="Guttman Drogolin"/>
          <w:rtl/>
          <w:lang w:bidi="he-IL"/>
        </w:rPr>
        <w:footnoteReference w:id="216"/>
      </w:r>
      <w:r w:rsidR="00A2380B" w:rsidRPr="00882F11">
        <w:rPr>
          <w:rFonts w:cs="Guttman Drogolin" w:hint="cs"/>
          <w:rtl/>
          <w:lang w:bidi="he-IL"/>
        </w:rPr>
        <w:t xml:space="preserve"> </w:t>
      </w:r>
      <w:r w:rsidR="00F740E0" w:rsidRPr="00882F11">
        <w:rPr>
          <w:rFonts w:cs="Guttman Drogolin" w:hint="cs"/>
          <w:rtl/>
          <w:lang w:bidi="he-IL"/>
        </w:rPr>
        <w:t>שבפי' רגמ"ה לדף ק"ח ע"א</w:t>
      </w:r>
      <w:r w:rsidR="00E64E48" w:rsidRPr="00882F11">
        <w:rPr>
          <w:rFonts w:cs="Guttman Drogolin" w:hint="cs"/>
          <w:rtl/>
          <w:lang w:bidi="he-IL"/>
        </w:rPr>
        <w:t xml:space="preserve"> </w:t>
      </w:r>
      <w:r w:rsidR="00F740E0" w:rsidRPr="00882F11">
        <w:rPr>
          <w:rFonts w:cs="Guttman Drogolin" w:hint="cs"/>
          <w:rtl/>
          <w:lang w:bidi="he-IL"/>
        </w:rPr>
        <w:t>מבואר שגם בבב"ח אחרינן שאין בישול אחר בישול. וכן הבאנו לעיל</w:t>
      </w:r>
      <w:r w:rsidR="00F740E0" w:rsidRPr="00882F11">
        <w:rPr>
          <w:rStyle w:val="FootnoteReference"/>
          <w:rFonts w:cs="Guttman Drogolin"/>
          <w:rtl/>
          <w:lang w:bidi="he-IL"/>
        </w:rPr>
        <w:footnoteReference w:id="217"/>
      </w:r>
      <w:r w:rsidR="00F740E0" w:rsidRPr="00882F11">
        <w:rPr>
          <w:rFonts w:cs="Guttman Drogolin" w:hint="cs"/>
          <w:rtl/>
          <w:lang w:bidi="he-IL"/>
        </w:rPr>
        <w:t xml:space="preserve"> שיש מקום לומר שאפילו אם יש בישול אחר בישול י"ל דהנ"מ בבישל כל א' בפני עצמו ועכשיו בא לבשלן ביחד, אבל דבר שהי' כבר מבושל ביחד ועכשיו בא לבשל אותה תערובת</w:t>
      </w:r>
      <w:r w:rsidR="005240F6" w:rsidRPr="00882F11">
        <w:rPr>
          <w:rFonts w:cs="Guttman Drogolin" w:hint="cs"/>
          <w:rtl/>
          <w:lang w:bidi="he-IL"/>
        </w:rPr>
        <w:t xml:space="preserve"> בזה אמרינן שאין בי</w:t>
      </w:r>
      <w:r w:rsidR="00F740E0" w:rsidRPr="00882F11">
        <w:rPr>
          <w:rFonts w:cs="Guttman Drogolin" w:hint="cs"/>
          <w:rtl/>
          <w:lang w:bidi="he-IL"/>
        </w:rPr>
        <w:t xml:space="preserve">שול אחר בישל. וא"כ שוב הי' צריך להיות בשבנ"ד אין בישול אחר בישול. </w:t>
      </w:r>
      <w:r w:rsidR="0049595A" w:rsidRPr="00882F11">
        <w:rPr>
          <w:rFonts w:cs="Guttman Drogolin" w:hint="cs"/>
          <w:rtl/>
          <w:lang w:bidi="he-IL"/>
        </w:rPr>
        <w:t>ועל דרך זה באמת תי' בשו"ת רע"א סי' פ"ד בהשמטות, רק שהוא הוסיף שכאן לא יהא בישול אחר בישול משום שאין לטעם בשר כח לאסור שוב כיון שלאסור שוב יהא נ"ט בר נ"ט שאינו אוסר (ומשמע באמת דאי משום בישול אחר ב</w:t>
      </w:r>
      <w:r w:rsidR="00E64E48" w:rsidRPr="00882F11">
        <w:rPr>
          <w:rFonts w:cs="Guttman Drogolin" w:hint="cs"/>
          <w:rtl/>
          <w:lang w:bidi="he-IL"/>
        </w:rPr>
        <w:t>י</w:t>
      </w:r>
      <w:r w:rsidR="0049595A" w:rsidRPr="00882F11">
        <w:rPr>
          <w:rFonts w:cs="Guttman Drogolin" w:hint="cs"/>
          <w:rtl/>
          <w:lang w:bidi="he-IL"/>
        </w:rPr>
        <w:t>שול לחוד הי' לנו לאסור</w:t>
      </w:r>
      <w:r w:rsidR="0092143A" w:rsidRPr="00882F11">
        <w:rPr>
          <w:rFonts w:cs="Guttman Drogolin" w:hint="cs"/>
          <w:rtl/>
          <w:lang w:bidi="he-IL"/>
        </w:rPr>
        <w:t>, וע' בסמוך</w:t>
      </w:r>
      <w:r w:rsidR="0049595A" w:rsidRPr="00882F11">
        <w:rPr>
          <w:rFonts w:cs="Guttman Drogolin" w:hint="cs"/>
          <w:rtl/>
          <w:lang w:bidi="he-IL"/>
        </w:rPr>
        <w:t>).</w:t>
      </w:r>
      <w:r w:rsidR="00F740E0" w:rsidRPr="00882F11">
        <w:rPr>
          <w:rFonts w:cs="Guttman Drogolin" w:hint="cs"/>
          <w:rtl/>
          <w:lang w:bidi="he-IL"/>
        </w:rPr>
        <w:t xml:space="preserve"> ומ"מ לשיטת השער אפרים ועוד שלא אסרו משום בישול בב"ח י"ל דסברי שהטעם משום שאין בישול אחר בישול.</w:t>
      </w:r>
    </w:p>
    <w:p w:rsidR="00870F95" w:rsidRPr="00882F11" w:rsidRDefault="00F740E0" w:rsidP="00E430E7">
      <w:pPr>
        <w:bidi/>
        <w:jc w:val="both"/>
        <w:rPr>
          <w:rFonts w:cs="Guttman Drogolin"/>
          <w:rtl/>
          <w:lang w:bidi="he-IL"/>
        </w:rPr>
      </w:pPr>
      <w:r w:rsidRPr="00882F11">
        <w:rPr>
          <w:rFonts w:cs="Guttman Drogolin" w:hint="cs"/>
          <w:rtl/>
          <w:lang w:bidi="he-IL"/>
        </w:rPr>
        <w:lastRenderedPageBreak/>
        <w:t>אלא שאפשר לבאר שיטת השער אפרים גם באו</w:t>
      </w:r>
      <w:r w:rsidR="005240F6" w:rsidRPr="00882F11">
        <w:rPr>
          <w:rFonts w:cs="Guttman Drogolin" w:hint="cs"/>
          <w:rtl/>
          <w:lang w:bidi="he-IL"/>
        </w:rPr>
        <w:t>פ</w:t>
      </w:r>
      <w:r w:rsidRPr="00882F11">
        <w:rPr>
          <w:rFonts w:cs="Guttman Drogolin" w:hint="cs"/>
          <w:rtl/>
          <w:lang w:bidi="he-IL"/>
        </w:rPr>
        <w:t xml:space="preserve">ן אחר. והוא דהנה בשבת אם ידליק אדם נר </w:t>
      </w:r>
      <w:r w:rsidR="00D056EF" w:rsidRPr="00882F11">
        <w:rPr>
          <w:rFonts w:cs="Guttman Drogolin" w:hint="cs"/>
          <w:rtl/>
          <w:lang w:bidi="he-IL"/>
        </w:rPr>
        <w:t>יעבור במלאכת מבעיר מדאורייתא. ויל"ע דכיון שיש שמן בנר והרי הוא מתחמם האם י</w:t>
      </w:r>
      <w:r w:rsidR="00A2380B" w:rsidRPr="00882F11">
        <w:rPr>
          <w:rFonts w:cs="Guttman Drogolin" w:hint="cs"/>
          <w:rtl/>
          <w:lang w:bidi="he-IL"/>
        </w:rPr>
        <w:t>ע</w:t>
      </w:r>
      <w:r w:rsidR="00D056EF" w:rsidRPr="00882F11">
        <w:rPr>
          <w:rFonts w:cs="Guttman Drogolin" w:hint="cs"/>
          <w:rtl/>
          <w:lang w:bidi="he-IL"/>
        </w:rPr>
        <w:t xml:space="preserve">בור גם על איסור בישול. ובשו"ת חת"ס </w:t>
      </w:r>
      <w:r w:rsidR="00E44615" w:rsidRPr="00882F11">
        <w:rPr>
          <w:rFonts w:cs="Guttman Drogolin" w:hint="cs"/>
          <w:rtl/>
          <w:lang w:bidi="he-IL"/>
        </w:rPr>
        <w:t xml:space="preserve">יו"ד </w:t>
      </w:r>
      <w:r w:rsidR="00D056EF" w:rsidRPr="00882F11">
        <w:rPr>
          <w:rFonts w:cs="Guttman Drogolin" w:hint="cs"/>
          <w:rtl/>
          <w:lang w:bidi="he-IL"/>
        </w:rPr>
        <w:t xml:space="preserve">סי' </w:t>
      </w:r>
      <w:r w:rsidR="00E44615" w:rsidRPr="00882F11">
        <w:rPr>
          <w:rFonts w:cs="Guttman Drogolin" w:hint="cs"/>
          <w:rtl/>
          <w:lang w:bidi="he-IL"/>
        </w:rPr>
        <w:t>צ"ב כתב שלא מצאנו שיהא בזה משום מלאכת מבשל. והטעם משום שלא מצאנו מלאכת מבשל אא"כ הבישול הוא לתיקון הדבר</w:t>
      </w:r>
      <w:r w:rsidR="007D0766" w:rsidRPr="00882F11">
        <w:rPr>
          <w:rFonts w:cs="Guttman Drogolin" w:hint="cs"/>
          <w:rtl/>
          <w:lang w:bidi="he-IL"/>
        </w:rPr>
        <w:t>,</w:t>
      </w:r>
      <w:r w:rsidR="00E44615" w:rsidRPr="00882F11">
        <w:rPr>
          <w:rFonts w:cs="Guttman Drogolin" w:hint="cs"/>
          <w:rtl/>
          <w:lang w:bidi="he-IL"/>
        </w:rPr>
        <w:t xml:space="preserve"> אבל בישול איבוד לאו שמי' בישול.</w:t>
      </w:r>
      <w:r w:rsidR="007D0766" w:rsidRPr="00882F11">
        <w:rPr>
          <w:rFonts w:cs="Guttman Drogolin" w:hint="cs"/>
          <w:rtl/>
          <w:lang w:bidi="he-IL"/>
        </w:rPr>
        <w:t xml:space="preserve"> והעיר החת"ס שם שמדברי הא"ז הנ"ל לכאורה חזינן שבישול לאיבוד שמי' בישול, אבל כתב שאין מזה סתירה לכלל הנ"ל, ומשום שי"ל שיש חילוק בין הבישול של בב"ח לבישול של מלאכת שבת, שענינו של מלאכת בישול הוא תיקון המאכל, ולכן כיון שמדליק הנר ואין זה אלא הרס כלפי השמן, אין כאן מלאכת בישול, אבל בב"ח עובר משום בישול בזה לבד שמבשלו. ועכ"פ בדעת השער אפרים שפיר י"ל ד</w:t>
      </w:r>
      <w:r w:rsidR="00CC2D42" w:rsidRPr="00882F11">
        <w:rPr>
          <w:rFonts w:cs="Guttman Drogolin" w:hint="cs"/>
          <w:rtl/>
          <w:lang w:bidi="he-IL"/>
        </w:rPr>
        <w:t>ס</w:t>
      </w:r>
      <w:r w:rsidR="007D0766" w:rsidRPr="00882F11">
        <w:rPr>
          <w:rFonts w:cs="Guttman Drogolin" w:hint="cs"/>
          <w:rtl/>
          <w:lang w:bidi="he-IL"/>
        </w:rPr>
        <w:t xml:space="preserve">בר כדמבואר </w:t>
      </w:r>
      <w:r w:rsidR="0068310F" w:rsidRPr="00882F11">
        <w:rPr>
          <w:rFonts w:cs="Guttman Drogolin" w:hint="cs"/>
          <w:rtl/>
          <w:lang w:bidi="he-IL"/>
        </w:rPr>
        <w:t xml:space="preserve">במדליק נר בשבת, שכמו </w:t>
      </w:r>
      <w:r w:rsidR="00CC2D42" w:rsidRPr="00882F11">
        <w:rPr>
          <w:rFonts w:cs="Guttman Drogolin" w:hint="cs"/>
          <w:rtl/>
          <w:lang w:bidi="he-IL"/>
        </w:rPr>
        <w:t xml:space="preserve">שבנרות שבת לא הוי בישול הה"נ בבב"ח. ומ"מ יש להעיר על כל זה שבתוס' הרא"ש במס' יבמות דף ו' ע"ב </w:t>
      </w:r>
      <w:r w:rsidR="00E430E7" w:rsidRPr="00882F11">
        <w:rPr>
          <w:rFonts w:cs="Guttman Drogolin" w:hint="cs"/>
          <w:rtl/>
          <w:lang w:bidi="he-IL"/>
        </w:rPr>
        <w:t xml:space="preserve">הקשה מזה שרצו לומר דר' ישמעאל סבר כר' יוסי דהבערה ללאו יצאת אהא דר' ישמעאל סבר שחייבים חטאת אהטיית נר בשבת, והביא בשם ר' מאיר לתרץ שאפילו אם הבערה ללאו יצאת מ"מ יהא חייב אהטיית נר משום </w:t>
      </w:r>
      <w:r w:rsidR="00870F95" w:rsidRPr="00882F11">
        <w:rPr>
          <w:rFonts w:cs="Guttman Drogolin" w:hint="cs"/>
          <w:rtl/>
          <w:lang w:bidi="he-IL"/>
        </w:rPr>
        <w:t>שמבשל</w:t>
      </w:r>
      <w:r w:rsidR="00E430E7" w:rsidRPr="00882F11">
        <w:rPr>
          <w:rFonts w:cs="Guttman Drogolin" w:hint="cs"/>
          <w:rtl/>
          <w:lang w:bidi="he-IL"/>
        </w:rPr>
        <w:t xml:space="preserve"> </w:t>
      </w:r>
      <w:r w:rsidR="00870F95" w:rsidRPr="00882F11">
        <w:rPr>
          <w:rFonts w:cs="Guttman Drogolin" w:hint="cs"/>
          <w:rtl/>
          <w:lang w:bidi="he-IL"/>
        </w:rPr>
        <w:t xml:space="preserve">השמן. הרי שמפורש בדבריו שיש איסור מבשל בהדלת הנר אע"פ שהוא לאיבוד. ולכן לשיטתו עכ"פ אפילו אם בישול בבב"ח ובישול בשבת שוין יהא חייב אבישול לאיבוד. ומ"מ זהו רק תי' אחד, ומשמע לכאורה שהתי' נחלקו בזה. </w:t>
      </w:r>
    </w:p>
    <w:p w:rsidR="0064664C" w:rsidRPr="00882F11" w:rsidRDefault="00870F95" w:rsidP="00931485">
      <w:pPr>
        <w:bidi/>
        <w:jc w:val="both"/>
        <w:rPr>
          <w:rFonts w:cs="Guttman Drogolin"/>
          <w:rtl/>
          <w:lang w:bidi="he-IL"/>
        </w:rPr>
      </w:pPr>
      <w:r w:rsidRPr="00882F11">
        <w:rPr>
          <w:rFonts w:cs="Guttman Drogolin" w:hint="cs"/>
          <w:rtl/>
          <w:lang w:bidi="he-IL"/>
        </w:rPr>
        <w:t xml:space="preserve">והנה שמעתי פעם שהיו מי שהי' לו ב' פחי אשפה במטבח, א' לבשרי וא' וחלבי. אמנם מנהג העולם אינו כן. וכבר העירו על זה שלכאורה יש לחשוש שבזמן </w:t>
      </w:r>
      <w:r w:rsidR="00931485" w:rsidRPr="00882F11">
        <w:rPr>
          <w:rFonts w:cs="Guttman Drogolin" w:hint="cs"/>
          <w:rtl/>
          <w:lang w:bidi="he-IL"/>
        </w:rPr>
        <w:t>ששופך לתוכו חלב רותח מכלי ראשון וכדומה הרי הוא שופך ע"ג חתיכת בשר שנמצא שם ועובר משום מבשל בב"ח. ואם בישול לאיבוד לא נאסר ניחא, אבל לאחרונים הנ"ל שנקטו שבישול ל</w:t>
      </w:r>
      <w:r w:rsidR="005240F6" w:rsidRPr="00882F11">
        <w:rPr>
          <w:rFonts w:cs="Guttman Drogolin" w:hint="cs"/>
          <w:rtl/>
          <w:lang w:bidi="he-IL"/>
        </w:rPr>
        <w:t>איבוד אסור מא"ל. ויש בזה כמה צדד</w:t>
      </w:r>
      <w:r w:rsidR="00931485" w:rsidRPr="00882F11">
        <w:rPr>
          <w:rFonts w:cs="Guttman Drogolin" w:hint="cs"/>
          <w:rtl/>
          <w:lang w:bidi="he-IL"/>
        </w:rPr>
        <w:t xml:space="preserve">ים </w:t>
      </w:r>
      <w:r w:rsidR="00931485" w:rsidRPr="00882F11">
        <w:rPr>
          <w:rFonts w:cs="Guttman Drogolin" w:hint="cs"/>
          <w:rtl/>
          <w:lang w:bidi="he-IL"/>
        </w:rPr>
        <w:lastRenderedPageBreak/>
        <w:t>להקל. חדא שהרי בדר"כ אינו פסיק רישא ממש רק ספק פסיק רישא שלעבר שנראה דעת הבה"ל להקל בו. ואפילו אם שורף את כל הפח אשפה (כדרך שהקנאים עושים בהפגנות) עדיין אינו פסיק רישא שהם א' ליד השני ונותנים טעם א' לשני, וכן לכאורה הוי נטל"פ.</w:t>
      </w:r>
    </w:p>
    <w:p w:rsidR="00AD7736" w:rsidRPr="00882F11" w:rsidRDefault="0064664C" w:rsidP="005240F6">
      <w:pPr>
        <w:bidi/>
        <w:jc w:val="both"/>
        <w:rPr>
          <w:rFonts w:cs="Guttman Drogolin"/>
          <w:rtl/>
          <w:lang w:bidi="he-IL"/>
        </w:rPr>
      </w:pPr>
      <w:r w:rsidRPr="00882F11">
        <w:rPr>
          <w:rFonts w:cs="Guttman Drogolin" w:hint="cs"/>
          <w:rtl/>
          <w:lang w:bidi="he-IL"/>
        </w:rPr>
        <w:t>ועוד העירו בכביסה במים חמים אם יש להתיר בכה"ג שמניח מגבת שניקו בה חלב עם מגבת שניקו בה בשר. ומצאתי לשו"ת שבט הקהתי (ח"ד סי' ק"צ</w:t>
      </w:r>
      <w:r w:rsidR="001B2049" w:rsidRPr="00882F11">
        <w:rPr>
          <w:rFonts w:cs="Guttman Drogolin" w:hint="cs"/>
          <w:rtl/>
          <w:lang w:bidi="he-IL"/>
        </w:rPr>
        <w:t>)</w:t>
      </w:r>
      <w:r w:rsidRPr="00882F11">
        <w:rPr>
          <w:rFonts w:cs="Guttman Drogolin" w:hint="cs"/>
          <w:rtl/>
          <w:lang w:bidi="he-IL"/>
        </w:rPr>
        <w:t xml:space="preserve"> ש</w:t>
      </w:r>
      <w:r w:rsidR="00AD7736" w:rsidRPr="00882F11">
        <w:rPr>
          <w:rFonts w:cs="Guttman Drogolin" w:hint="cs"/>
          <w:rtl/>
          <w:lang w:bidi="he-IL"/>
        </w:rPr>
        <w:t>אסף כמה טעמים להתיר את הדבר, משום שיש ששים, וכן הרבה פעמים אינם אלא בליעות וי"א שאין איסור מדאורייתא בבישול בליעות וכן נותנים בה חומר פוגם (ולכן יש להתיר אפילו אם ניקה גם חלב וגם בשר באותה מגבת אפילו כשמכבסו במים חמים).</w:t>
      </w:r>
    </w:p>
    <w:p w:rsidR="00774BC7" w:rsidRPr="00882F11" w:rsidRDefault="00AD7736" w:rsidP="00AD7736">
      <w:pPr>
        <w:bidi/>
        <w:jc w:val="both"/>
        <w:rPr>
          <w:rFonts w:cs="Guttman Drogolin"/>
          <w:rtl/>
          <w:lang w:bidi="he-IL"/>
        </w:rPr>
      </w:pPr>
      <w:r w:rsidRPr="00882F11">
        <w:rPr>
          <w:rFonts w:cs="Guttman Drogolin" w:hint="cs"/>
          <w:rtl/>
          <w:lang w:bidi="he-IL"/>
        </w:rPr>
        <w:t xml:space="preserve">ויש עוד סברא שמצאתי בשו"ת דובב מישרים </w:t>
      </w:r>
      <w:r w:rsidR="00F8137F" w:rsidRPr="00882F11">
        <w:rPr>
          <w:rFonts w:cs="Guttman Drogolin" w:hint="cs"/>
          <w:rtl/>
          <w:lang w:bidi="he-IL"/>
        </w:rPr>
        <w:t xml:space="preserve">(ח"א סי' ל') </w:t>
      </w:r>
      <w:r w:rsidRPr="00882F11">
        <w:rPr>
          <w:rFonts w:cs="Guttman Drogolin" w:hint="cs"/>
          <w:rtl/>
          <w:lang w:bidi="he-IL"/>
        </w:rPr>
        <w:t>ועוד</w:t>
      </w:r>
      <w:r w:rsidR="00F8137F" w:rsidRPr="00882F11">
        <w:rPr>
          <w:rFonts w:cs="Guttman Drogolin" w:hint="cs"/>
          <w:rtl/>
          <w:lang w:bidi="he-IL"/>
        </w:rPr>
        <w:t xml:space="preserve"> כמה אחרונים להקל. והוא ע"פ דברי</w:t>
      </w:r>
      <w:r w:rsidRPr="00882F11">
        <w:rPr>
          <w:rFonts w:cs="Guttman Drogolin" w:hint="cs"/>
          <w:rtl/>
          <w:lang w:bidi="he-IL"/>
        </w:rPr>
        <w:t xml:space="preserve"> הכס"מ בהל' טומאת מת (פ"א ה"ב) שהקשה שם למה חייב מלקות אאכילת בב"ח, הא אין פסוק מפורש שאוסר את הדבר, דהא בישול כתוב בתורה, ואף שלמידין מיני' הא אין עונשין מן הדין</w:t>
      </w:r>
      <w:r w:rsidR="0092143A" w:rsidRPr="00882F11">
        <w:rPr>
          <w:rFonts w:cs="Guttman Drogolin" w:hint="cs"/>
          <w:rtl/>
          <w:lang w:bidi="he-IL"/>
        </w:rPr>
        <w:t>, ותי' "ובשר בחלב מכיון שאסר בישולו הוי בכלל לא תאכל כל שתיעבתי לך הרי הוא בבל תאכל, א"נ דמשמע שלא אסרה תורה לבשל אלא כדי שלא יבוא לאכול". ולכן צידדו ע"פ התי' השני שאם אינו מבשל כדי לאכול אינו בכלל האיסור. ונראה שקשה לסמוך על זה, חדא שהרי אינו אלא תי' א', ועוד שאין זה אלא ביאור המקראות אבל לא מבואר בדבריו שממילא אין איסור אא"כ הוא ע"מ לאכול. ומ"מ לדברי המתירים יש היתר אפילו למקום שאין הבישול לאיבוד אבל הוא מ"מ שלא ע"מ לאכול</w:t>
      </w:r>
      <w:r w:rsidR="00A105EF" w:rsidRPr="00882F11">
        <w:rPr>
          <w:rStyle w:val="FootnoteReference"/>
          <w:rFonts w:cs="Guttman Drogolin"/>
          <w:rtl/>
          <w:lang w:bidi="he-IL"/>
        </w:rPr>
        <w:footnoteReference w:id="218"/>
      </w:r>
      <w:r w:rsidR="0092143A" w:rsidRPr="00882F11">
        <w:rPr>
          <w:rFonts w:cs="Guttman Drogolin" w:hint="cs"/>
          <w:rtl/>
          <w:lang w:bidi="he-IL"/>
        </w:rPr>
        <w:t>.</w:t>
      </w:r>
    </w:p>
    <w:p w:rsidR="00774BC7" w:rsidRPr="00882F11" w:rsidRDefault="00774BC7" w:rsidP="0078079C">
      <w:pPr>
        <w:pStyle w:val="Heading1"/>
        <w:bidi/>
        <w:spacing w:before="0" w:line="360" w:lineRule="auto"/>
        <w:jc w:val="center"/>
        <w:rPr>
          <w:rFonts w:cs="Guttman Drogolin"/>
          <w:color w:val="auto"/>
          <w:sz w:val="24"/>
          <w:szCs w:val="24"/>
          <w:u w:val="single"/>
          <w:rtl/>
          <w:lang w:bidi="he-IL"/>
        </w:rPr>
      </w:pPr>
      <w:bookmarkStart w:id="176" w:name="_Toc496175433"/>
      <w:r w:rsidRPr="00882F11">
        <w:rPr>
          <w:rFonts w:cs="Guttman Drogolin" w:hint="cs"/>
          <w:color w:val="auto"/>
          <w:sz w:val="24"/>
          <w:szCs w:val="24"/>
          <w:u w:val="single"/>
          <w:rtl/>
          <w:lang w:bidi="he-IL"/>
        </w:rPr>
        <w:t>בישול אחר כבוש</w:t>
      </w:r>
      <w:bookmarkEnd w:id="176"/>
    </w:p>
    <w:p w:rsidR="00025FAE" w:rsidRPr="00882F11" w:rsidRDefault="00E85955" w:rsidP="00E85955">
      <w:pPr>
        <w:bidi/>
        <w:jc w:val="both"/>
        <w:rPr>
          <w:rFonts w:cs="Guttman Drogolin"/>
          <w:rtl/>
          <w:lang w:bidi="he-IL"/>
        </w:rPr>
      </w:pPr>
      <w:r>
        <w:rPr>
          <w:rFonts w:cs="Guttman Drogolin"/>
          <w:rtl/>
          <w:lang w:bidi="he-IL"/>
        </w:rPr>
        <w:fldChar w:fldCharType="begin"/>
      </w:r>
      <w:r>
        <w:instrText xml:space="preserve"> XE "</w:instrText>
      </w:r>
      <w:r w:rsidRPr="00EF0998">
        <w:rPr>
          <w:rFonts w:hint="cs"/>
          <w:rtl/>
          <w:lang w:bidi="he-IL"/>
        </w:rPr>
        <w:instrText>בשר בחלב - איסור בישול</w:instrText>
      </w:r>
      <w:r w:rsidRPr="00EF0998">
        <w:rPr>
          <w:rtl/>
        </w:rPr>
        <w:instrText>:</w:instrText>
      </w:r>
      <w:r>
        <w:rPr>
          <w:rFonts w:hint="cs"/>
          <w:rtl/>
          <w:lang w:bidi="he-IL"/>
        </w:rPr>
        <w:instrText>בישול אחר כבוש</w:instrText>
      </w:r>
      <w:r>
        <w:instrText xml:space="preserve">" </w:instrText>
      </w:r>
      <w:r>
        <w:rPr>
          <w:rFonts w:cs="Guttman Drogolin"/>
          <w:rtl/>
          <w:lang w:bidi="he-IL"/>
        </w:rPr>
        <w:fldChar w:fldCharType="end"/>
      </w:r>
      <w:r w:rsidR="00774BC7" w:rsidRPr="00882F11">
        <w:rPr>
          <w:rFonts w:cs="Guttman Drogolin" w:hint="cs"/>
          <w:rtl/>
          <w:lang w:bidi="he-IL"/>
        </w:rPr>
        <w:t>רע"א ועוד מביאים מהגהות שע</w:t>
      </w:r>
      <w:r w:rsidR="005240F6" w:rsidRPr="00882F11">
        <w:rPr>
          <w:rFonts w:cs="Guttman Drogolin" w:hint="cs"/>
          <w:rtl/>
          <w:lang w:bidi="he-IL"/>
        </w:rPr>
        <w:t>ר</w:t>
      </w:r>
      <w:r w:rsidR="00774BC7" w:rsidRPr="00882F11">
        <w:rPr>
          <w:rFonts w:cs="Guttman Drogolin" w:hint="cs"/>
          <w:rtl/>
          <w:lang w:bidi="he-IL"/>
        </w:rPr>
        <w:t xml:space="preserve">י דורא שאמנם בשר שכבשו בחלב ויש בה טעם חלב אינו אסור אלא מדרבנן, מ"מ אם מבשלו אסור מדאורייתא. </w:t>
      </w:r>
      <w:r w:rsidR="00774BC7" w:rsidRPr="00882F11">
        <w:rPr>
          <w:rFonts w:cs="Guttman Drogolin" w:hint="cs"/>
          <w:rtl/>
          <w:lang w:bidi="he-IL"/>
        </w:rPr>
        <w:lastRenderedPageBreak/>
        <w:t>וע"ש ברע"א שדקדק מזה שהנ"מ כבוש, אבל בישול אחר בישול ליכא (והעיר א' מ</w:t>
      </w:r>
      <w:r w:rsidR="005240F6" w:rsidRPr="00882F11">
        <w:rPr>
          <w:rFonts w:cs="Guttman Drogolin" w:hint="cs"/>
          <w:rtl/>
          <w:lang w:bidi="he-IL"/>
        </w:rPr>
        <w:t>ן</w:t>
      </w:r>
      <w:r w:rsidR="00774BC7" w:rsidRPr="00882F11">
        <w:rPr>
          <w:rFonts w:cs="Guttman Drogolin" w:hint="cs"/>
          <w:rtl/>
          <w:lang w:bidi="he-IL"/>
        </w:rPr>
        <w:t xml:space="preserve"> התלמידים שליט"א שלכאורה א"כ קשה למה לא כתב רע"א בהשמטות לסי' פ"ד שזהו הטעם שאין איסור בישול בב"ח בנרות חנוכה. וצ"ע</w:t>
      </w:r>
      <w:r w:rsidR="005240F6" w:rsidRPr="00882F11">
        <w:rPr>
          <w:rFonts w:cs="Guttman Drogolin" w:hint="cs"/>
          <w:rtl/>
          <w:lang w:bidi="he-IL"/>
        </w:rPr>
        <w:t>)</w:t>
      </w:r>
      <w:r w:rsidR="00774BC7" w:rsidRPr="00882F11">
        <w:rPr>
          <w:rFonts w:cs="Guttman Drogolin" w:hint="cs"/>
          <w:rtl/>
          <w:lang w:bidi="he-IL"/>
        </w:rPr>
        <w:t>. והנה יש בזה כמה ספיקות. חדא דהנה בסי' שי"ח א"א ס"ק ו' כתב שלכאורה יש בישול אחר כבוש. אמנם לכאורה התם הטעם משום שההשפעה שנעשתה לחפצא שנכבשה אינה אותה השפעה שיש מבישול ע"ג האש. אבל בבב"ח</w:t>
      </w:r>
      <w:r w:rsidR="00E430E7" w:rsidRPr="00882F11">
        <w:rPr>
          <w:rFonts w:cs="Guttman Drogolin" w:hint="cs"/>
          <w:rtl/>
          <w:lang w:bidi="he-IL"/>
        </w:rPr>
        <w:t xml:space="preserve"> </w:t>
      </w:r>
      <w:r w:rsidR="00774BC7" w:rsidRPr="00882F11">
        <w:rPr>
          <w:rFonts w:cs="Guttman Drogolin" w:hint="cs"/>
          <w:rtl/>
          <w:lang w:bidi="he-IL"/>
        </w:rPr>
        <w:t xml:space="preserve">לכאורה הי' אפשר לחלק, דהא עיקר הענין של בישול בב"ח הא עשיית חפצא של בשר בחלב, והיינו ע"י זה שיש טעם בשר בחלב וטעם חלב בבשר. ומ"מ התורה לא אסרה את זה אא"כ הטעים אותו דרך בישול ולא דרך כבוש, וכן הוא לכאורה כוונת הגמ' במס' פסחים דף מ"ד ע"ב. </w:t>
      </w:r>
      <w:r w:rsidR="00606D56" w:rsidRPr="00882F11">
        <w:rPr>
          <w:rFonts w:cs="Guttman Drogolin" w:hint="cs"/>
          <w:rtl/>
          <w:lang w:bidi="he-IL"/>
        </w:rPr>
        <w:t>ואעפ"כ לכאורה הי' אפשר לומר שאמנם לא נאסר הבשר מדאורייתא ע"י זה שכבשו בחלב, מ"מ הרי כבר יש בה טעם, ועכשיו שמבשלו הרי אינו מוסיף לה כלום, ולכן עדיין אינו חייב משום מבשל בשר בחלב.</w:t>
      </w:r>
      <w:r w:rsidR="00025FAE" w:rsidRPr="00882F11">
        <w:rPr>
          <w:rFonts w:cs="Guttman Drogolin" w:hint="cs"/>
          <w:rtl/>
          <w:lang w:bidi="he-IL"/>
        </w:rPr>
        <w:t xml:space="preserve"> וע' באמת במש"ז סי' ק"ה ס"ק ב' (מצוין ברע"א) שהביא הפמ"ג דין זה מן ההגהות ש"ד וכתב עליו "אין איסור אלא במעיקרא כבוש והשתא בישול וגם זה צ"ע". הרי שהסיק שיש מקום לפקפק על סברת ההגהות ש"ד, ואיכא למימר שטעמו כנ"ל. </w:t>
      </w:r>
    </w:p>
    <w:p w:rsidR="00EB46DB" w:rsidRPr="00882F11" w:rsidRDefault="00025FAE" w:rsidP="00025FAE">
      <w:pPr>
        <w:bidi/>
        <w:jc w:val="both"/>
        <w:rPr>
          <w:rFonts w:cs="Guttman Drogolin"/>
          <w:rtl/>
          <w:lang w:bidi="he-IL"/>
        </w:rPr>
      </w:pPr>
      <w:r w:rsidRPr="00882F11">
        <w:rPr>
          <w:rFonts w:cs="Guttman Drogolin" w:hint="cs"/>
          <w:rtl/>
          <w:lang w:bidi="he-IL"/>
        </w:rPr>
        <w:t xml:space="preserve">ומ"מ חזינן לדעתי' דהגהות ש"ד שכה"ג חייב כיון שלא הי' מבושל מעיקרא. ויש להסתפק באיזה טעם חלק על הסברא הנ"ל. האם הוא בגלל שהרי כל הטעם שלא הי' איסור דאורייתא בכבוש משום שלא הי' בישול אבל שאר התנאים קיימים כיון שיש טעם בשר בחלב וכן להיפך. וכן עכשיו שהוא מוסיף המעשה בישול נהפך להיות בב"ח דאורייתא וכן יש לאסור משום מבשל בב"ח. או"ד טעמו משום שאמנם כבר יש בה טעם דרך כבוש, לא הרי הטעם שנכנס דרך כבוד הרי הוא הטעם שנכנס דרך בישול, ולכן הרי הוא מוסיף גם איכות </w:t>
      </w:r>
      <w:r w:rsidRPr="00882F11">
        <w:rPr>
          <w:rFonts w:cs="Guttman Drogolin" w:hint="cs"/>
          <w:rtl/>
          <w:lang w:bidi="he-IL"/>
        </w:rPr>
        <w:lastRenderedPageBreak/>
        <w:t xml:space="preserve">לחפצא של בב"ח בזה שמבשלו. ויל"ע לפי זה אם יהא הדין כן למ"ד בשבת שאין בישול אחר צלי. </w:t>
      </w:r>
    </w:p>
    <w:p w:rsidR="00EB46DB" w:rsidRPr="00882F11" w:rsidRDefault="00EB46DB" w:rsidP="0078079C">
      <w:pPr>
        <w:pStyle w:val="Heading1"/>
        <w:bidi/>
        <w:spacing w:before="0" w:line="360" w:lineRule="auto"/>
        <w:jc w:val="center"/>
        <w:rPr>
          <w:rFonts w:cs="Guttman Drogolin"/>
          <w:color w:val="auto"/>
          <w:sz w:val="24"/>
          <w:szCs w:val="24"/>
          <w:u w:val="single"/>
          <w:rtl/>
          <w:lang w:bidi="he-IL"/>
        </w:rPr>
      </w:pPr>
      <w:bookmarkStart w:id="177" w:name="_Toc496175434"/>
      <w:r w:rsidRPr="00882F11">
        <w:rPr>
          <w:rFonts w:cs="Guttman Drogolin" w:hint="cs"/>
          <w:color w:val="auto"/>
          <w:sz w:val="24"/>
          <w:szCs w:val="24"/>
          <w:u w:val="single"/>
          <w:rtl/>
          <w:lang w:bidi="he-IL"/>
        </w:rPr>
        <w:t>הערה בסוגי בישול השונים</w:t>
      </w:r>
      <w:bookmarkEnd w:id="177"/>
    </w:p>
    <w:p w:rsidR="0024795A" w:rsidRPr="00882F11" w:rsidRDefault="00E85955" w:rsidP="00E85955">
      <w:pPr>
        <w:bidi/>
        <w:jc w:val="both"/>
        <w:rPr>
          <w:rFonts w:cs="Guttman Drogolin"/>
          <w:rtl/>
          <w:lang w:bidi="he-IL"/>
        </w:rPr>
      </w:pPr>
      <w:r>
        <w:rPr>
          <w:rFonts w:cs="Guttman Drogolin"/>
          <w:rtl/>
          <w:lang w:bidi="he-IL"/>
        </w:rPr>
        <w:fldChar w:fldCharType="begin"/>
      </w:r>
      <w:r>
        <w:instrText xml:space="preserve"> XE "</w:instrText>
      </w:r>
      <w:r w:rsidRPr="00EF0998">
        <w:rPr>
          <w:rFonts w:hint="cs"/>
          <w:rtl/>
          <w:lang w:bidi="he-IL"/>
        </w:rPr>
        <w:instrText>בשר בחלב - איסור בישול</w:instrText>
      </w:r>
      <w:r w:rsidRPr="00EF0998">
        <w:rPr>
          <w:rtl/>
        </w:rPr>
        <w:instrText>:</w:instrText>
      </w:r>
      <w:r>
        <w:rPr>
          <w:rFonts w:hint="cs"/>
          <w:rtl/>
          <w:lang w:bidi="he-IL"/>
        </w:rPr>
        <w:instrText>חם בחם</w:instrText>
      </w:r>
      <w:r>
        <w:instrText xml:space="preserve">" </w:instrText>
      </w:r>
      <w:r>
        <w:rPr>
          <w:rFonts w:cs="Guttman Drogolin"/>
          <w:rtl/>
          <w:lang w:bidi="he-IL"/>
        </w:rPr>
        <w:fldChar w:fldCharType="end"/>
      </w:r>
      <w:r w:rsidR="00EB46DB" w:rsidRPr="00882F11">
        <w:rPr>
          <w:rFonts w:cs="Guttman Drogolin" w:hint="cs"/>
          <w:rtl/>
          <w:lang w:bidi="he-IL"/>
        </w:rPr>
        <w:t xml:space="preserve">רע"א ועוד מביאים </w:t>
      </w:r>
      <w:r w:rsidR="00116EC1" w:rsidRPr="00882F11">
        <w:rPr>
          <w:rFonts w:cs="Guttman Drogolin" w:hint="cs"/>
          <w:rtl/>
          <w:lang w:bidi="he-IL"/>
        </w:rPr>
        <w:t xml:space="preserve">דעת היש"ש (פ"ז סי' מ"ה) שבשר חם שנגע לגבינה חמה אסור רק מדרבנן. וכן דנו האחרונים בעוד סוגי בישול, וכבר ראינו שדנו בצלי, וכן שם ברע"א הביא מפר"ח שחם לתוך צונן אסור מדאורייתא. </w:t>
      </w:r>
      <w:r w:rsidR="00F6501E" w:rsidRPr="00882F11">
        <w:rPr>
          <w:rFonts w:cs="Guttman Drogolin" w:hint="cs"/>
          <w:rtl/>
          <w:lang w:bidi="he-IL"/>
        </w:rPr>
        <w:t>וע' במגי"ס סי' פ"ז אות ב' עוד כמה אופנים בזה. ויש להסתפק אם יש אופן שלא יהא חיוב על בישולו, ומ"מ יהא חפצא של בשר בחלב</w:t>
      </w:r>
      <w:bookmarkStart w:id="178" w:name="_Ref450732397"/>
      <w:r w:rsidR="00F6501E" w:rsidRPr="00882F11">
        <w:rPr>
          <w:rStyle w:val="FootnoteReference"/>
          <w:rFonts w:cs="Guttman Drogolin"/>
          <w:rtl/>
          <w:lang w:bidi="he-IL"/>
        </w:rPr>
        <w:footnoteReference w:id="219"/>
      </w:r>
      <w:bookmarkEnd w:id="178"/>
      <w:r w:rsidR="00F6501E" w:rsidRPr="00882F11">
        <w:rPr>
          <w:rFonts w:cs="Guttman Drogolin" w:hint="cs"/>
          <w:rtl/>
          <w:lang w:bidi="he-IL"/>
        </w:rPr>
        <w:t xml:space="preserve">. </w:t>
      </w:r>
    </w:p>
    <w:p w:rsidR="0024795A" w:rsidRPr="00E85955" w:rsidRDefault="0024795A" w:rsidP="0078079C">
      <w:pPr>
        <w:pStyle w:val="Heading1"/>
        <w:bidi/>
        <w:spacing w:before="0" w:line="360" w:lineRule="auto"/>
        <w:jc w:val="center"/>
        <w:rPr>
          <w:rFonts w:cs="Guttman Drogolin"/>
          <w:color w:val="auto"/>
          <w:sz w:val="20"/>
          <w:szCs w:val="20"/>
          <w:u w:val="single"/>
          <w:rtl/>
          <w:lang w:bidi="he-IL"/>
        </w:rPr>
      </w:pPr>
      <w:bookmarkStart w:id="179" w:name="_Toc496175435"/>
      <w:r w:rsidRPr="00E85955">
        <w:rPr>
          <w:rFonts w:cs="Guttman Drogolin" w:hint="cs"/>
          <w:color w:val="auto"/>
          <w:sz w:val="20"/>
          <w:szCs w:val="20"/>
          <w:u w:val="single"/>
          <w:rtl/>
          <w:lang w:bidi="he-IL"/>
        </w:rPr>
        <w:t>אם יש איסור בב"ח בחלב או בשר בהמה טמאה</w:t>
      </w:r>
      <w:bookmarkEnd w:id="179"/>
    </w:p>
    <w:p w:rsidR="009C00C0" w:rsidRPr="00882F11" w:rsidRDefault="00E85955" w:rsidP="00E85955">
      <w:pPr>
        <w:bidi/>
        <w:jc w:val="both"/>
        <w:rPr>
          <w:rFonts w:cs="Guttman Drogolin"/>
          <w:rtl/>
          <w:lang w:bidi="he-IL"/>
        </w:rPr>
      </w:pPr>
      <w:r>
        <w:rPr>
          <w:rFonts w:cs="Guttman Drogolin"/>
          <w:rtl/>
          <w:lang w:bidi="he-IL"/>
        </w:rPr>
        <w:fldChar w:fldCharType="begin"/>
      </w:r>
      <w:r>
        <w:instrText xml:space="preserve"> XE "</w:instrText>
      </w:r>
      <w:r w:rsidRPr="00EF0998">
        <w:rPr>
          <w:rFonts w:hint="cs"/>
          <w:rtl/>
          <w:lang w:bidi="he-IL"/>
        </w:rPr>
        <w:instrText>בשר בחלב - איסור בישול</w:instrText>
      </w:r>
      <w:r w:rsidRPr="00EF0998">
        <w:rPr>
          <w:rtl/>
        </w:rPr>
        <w:instrText>:</w:instrText>
      </w:r>
      <w:r>
        <w:rPr>
          <w:rFonts w:hint="cs"/>
          <w:rtl/>
          <w:lang w:bidi="he-IL"/>
        </w:rPr>
        <w:instrText>בבשר או חלב טמא</w:instrText>
      </w:r>
      <w:r>
        <w:instrText xml:space="preserve">" </w:instrText>
      </w:r>
      <w:r>
        <w:rPr>
          <w:rFonts w:cs="Guttman Drogolin"/>
          <w:rtl/>
          <w:lang w:bidi="he-IL"/>
        </w:rPr>
        <w:fldChar w:fldCharType="end"/>
      </w:r>
      <w:r w:rsidR="0024795A" w:rsidRPr="00882F11">
        <w:rPr>
          <w:rFonts w:cs="Guttman Drogolin" w:hint="cs"/>
          <w:rtl/>
          <w:lang w:bidi="he-IL"/>
        </w:rPr>
        <w:t>כתב הטור "אבל בשר טהורה בחלב בהמה טמאה או בשר טמאה בחלב טהורה ובשר חיה ועוף אפילו בחלב טהורה אינו אלא מדרבנן". ודקדק הב"י מלשון זה דסבר הטור שיש איסור מדרבנן לא רק בבשר חי' ועוף בחלב, אלא גם בבשר או חלב בהמה טמאה. ותמה על זה הב"י בתרתי, חדא שהרי לא מצאנו איסור בב"ח בבהמה טמאה בגמ'. ועוד שלא הי' טעם לאוסרו</w:t>
      </w:r>
      <w:r w:rsidR="00036DB7" w:rsidRPr="00882F11">
        <w:rPr>
          <w:rStyle w:val="FootnoteReference"/>
          <w:rFonts w:cs="Guttman Drogolin"/>
          <w:rtl/>
          <w:lang w:bidi="he-IL"/>
        </w:rPr>
        <w:footnoteReference w:id="220"/>
      </w:r>
      <w:r w:rsidR="0024795A" w:rsidRPr="00882F11">
        <w:rPr>
          <w:rFonts w:cs="Guttman Drogolin" w:hint="cs"/>
          <w:rtl/>
          <w:lang w:bidi="he-IL"/>
        </w:rPr>
        <w:t xml:space="preserve"> כיון שכבר אסור מדין בהמה טמאה. ולכן בשו"ע לא העתיק כן דסבר שבאמת אין בזה איסור בב"ח אפילו מדרבנן. וע' בט"ז ס"ק ב' בשם מהרש"ל שבאמת הגי' לשון הטור ל"או בשר טמאה בחלב טהורה </w:t>
      </w:r>
      <w:r w:rsidR="0024795A" w:rsidRPr="00882F11">
        <w:rPr>
          <w:rFonts w:cs="Guttman Drogolin" w:hint="cs"/>
          <w:u w:val="single"/>
          <w:rtl/>
          <w:lang w:bidi="he-IL"/>
        </w:rPr>
        <w:t>לא</w:t>
      </w:r>
      <w:r w:rsidR="0024795A" w:rsidRPr="00882F11">
        <w:rPr>
          <w:rFonts w:cs="Guttman Drogolin" w:hint="cs"/>
          <w:rtl/>
          <w:lang w:bidi="he-IL"/>
        </w:rPr>
        <w:t xml:space="preserve"> ובשר חיה ועוף אפילו" כדי שלא יהא האיסור דרבנן קאי אלא אחי' ועוף. אמנם בב"ח כת</w:t>
      </w:r>
      <w:r w:rsidR="009C00C0" w:rsidRPr="00882F11">
        <w:rPr>
          <w:rFonts w:cs="Guttman Drogolin" w:hint="cs"/>
          <w:rtl/>
          <w:lang w:bidi="he-IL"/>
        </w:rPr>
        <w:t>ב שיש נפק"מ באיסור בב"ח גם בבהמה טמאה, ומשום שלר' אפרים לא אומרים חענ"ן אלא בבב"ח, ולכן אם לא גזרו עליו משום בב"ח, אם בישלו חלב טהורה עם בשר טמאה, ושוב נפלו לקדרה אחרת, נהי נמי שהיו משערים כנגד כל הבשר, דהא כולו בהמה טמאה, ומ"מ לא היו משערים כנגד כל החלב. רק אם אסרו משום בב"ח ולכן אמרינן חענ"ן יש לאסרו משום בב"ח.</w:t>
      </w:r>
    </w:p>
    <w:p w:rsidR="00953C28" w:rsidRPr="00882F11" w:rsidRDefault="009C00C0" w:rsidP="009C00C0">
      <w:pPr>
        <w:bidi/>
        <w:jc w:val="both"/>
        <w:rPr>
          <w:rFonts w:cs="Guttman Drogolin"/>
          <w:rtl/>
          <w:lang w:bidi="he-IL"/>
        </w:rPr>
      </w:pPr>
      <w:r w:rsidRPr="00882F11">
        <w:rPr>
          <w:rFonts w:cs="Guttman Drogolin" w:hint="cs"/>
          <w:rtl/>
          <w:lang w:bidi="he-IL"/>
        </w:rPr>
        <w:lastRenderedPageBreak/>
        <w:t>והנה בעצם דברי הב"ח כבר העיר הש"ך בס"ק ג' שאין זה מיישב אלא א' הטענות הב"י והוא שיש נפק"מ באיסור של בב"ח, אבל עדיין לא מצאנו בש"ס שיאסרו כן, וכן הוא דקדוק לשון רש"י והר"ן שאינו אסור משום בב"ח. אבל בגוף דבריו שהי' בזה נפק"מ אילו אסורוה משום בב" ניחא לש"ך. אבל בט"ז חלק על עצם יסוד זה, ומשום דסבר  שאין אומרים חענ"ן בדבר שכבר נאסר משום באיסור אחר, וכיון שהבהמה טמאה כבר אסורה מצד עצמו לא אמרינן חענ"ן</w:t>
      </w:r>
      <w:r w:rsidR="00953C28" w:rsidRPr="00882F11">
        <w:rPr>
          <w:rFonts w:cs="Guttman Drogolin" w:hint="cs"/>
          <w:rtl/>
          <w:lang w:bidi="he-IL"/>
        </w:rPr>
        <w:t>, ומשום שלר' אפרים אין חענ"ן אא"כ ב' החתיכות היתר אוסרים א' לשני, והכא עכ"פ חד מינייהו כבר אסור</w:t>
      </w:r>
      <w:r w:rsidRPr="00882F11">
        <w:rPr>
          <w:rFonts w:cs="Guttman Drogolin" w:hint="cs"/>
          <w:rtl/>
          <w:lang w:bidi="he-IL"/>
        </w:rPr>
        <w:t>. ובנקוה"כ שם חלק על הט"ז ומשום דסבר שלא איכפת לן זה שכבר אסור כיון שעדיין לא אסרוהו משום בב"ח.</w:t>
      </w:r>
    </w:p>
    <w:p w:rsidR="008A1278" w:rsidRPr="00882F11" w:rsidRDefault="00953C28" w:rsidP="005240F6">
      <w:pPr>
        <w:bidi/>
        <w:jc w:val="both"/>
        <w:rPr>
          <w:rFonts w:cs="Guttman Drogolin"/>
          <w:rtl/>
          <w:lang w:bidi="he-IL"/>
        </w:rPr>
      </w:pPr>
      <w:r w:rsidRPr="00882F11">
        <w:rPr>
          <w:rFonts w:cs="Guttman Drogolin" w:hint="cs"/>
          <w:rtl/>
          <w:lang w:bidi="he-IL"/>
        </w:rPr>
        <w:t>והנה בש"ך סי' צ"ד ס"ק ד' מבואר שאם טעם בשר כבר נאסר משום בב"ח שוב אין בו כח לעשות חלב אחר חתיכת נבילה. וב</w:t>
      </w:r>
      <w:r w:rsidR="001F71E5" w:rsidRPr="00882F11">
        <w:rPr>
          <w:rFonts w:cs="Guttman Drogolin" w:hint="cs"/>
          <w:rtl/>
          <w:lang w:bidi="he-IL"/>
        </w:rPr>
        <w:t xml:space="preserve">שפ"ד סי' צ"ב ס"ק י' הבין הפמ"ג שבזה סתר הש"ך את משנתו כאן בנקוה"כ, שהרי כאן חלק על הט"ז דסבר שלא אומרים חענ"ן אם כבר נאסר באיסור אחר. ולולא דבריו הי' נראה שאין כל שייכות בין דברי הש"ך בסי' צ"ד לדבריו בנקוה"כ כאן, ומשום דסבר הש"ך דאע"ג שלא איכפת לן אם כבר נאסר באיסור אחר, מ"מ אם כבר נאסר משום בב"ח שוב אין לו כח לאסור חלב אחר ולעשותו נבילה, וכן לכאורה משמע מעצם דברי הנקוה"כ לולא דברי הפמ"ג. ומ"מ יעוי"ש בחוו"ד </w:t>
      </w:r>
      <w:r w:rsidR="006E5043" w:rsidRPr="00882F11">
        <w:rPr>
          <w:rFonts w:cs="Guttman Drogolin" w:hint="cs"/>
          <w:rtl/>
          <w:lang w:bidi="he-IL"/>
        </w:rPr>
        <w:t xml:space="preserve">ס"ק ד' </w:t>
      </w:r>
      <w:r w:rsidR="001F71E5" w:rsidRPr="00882F11">
        <w:rPr>
          <w:rFonts w:cs="Guttman Drogolin" w:hint="cs"/>
          <w:rtl/>
          <w:lang w:bidi="he-IL"/>
        </w:rPr>
        <w:t>שחלק על הש"ך וסבר שלא איכפת לן גם בזה שנאסר משום בב"ח, ומשום שיסוד הדבר הוא שכל שבשר</w:t>
      </w:r>
      <w:r w:rsidR="005240F6" w:rsidRPr="00882F11">
        <w:rPr>
          <w:rFonts w:cs="Guttman Drogolin" w:hint="cs"/>
          <w:rtl/>
          <w:lang w:bidi="he-IL"/>
        </w:rPr>
        <w:t xml:space="preserve"> </w:t>
      </w:r>
      <w:r w:rsidR="001F71E5" w:rsidRPr="00882F11">
        <w:rPr>
          <w:rFonts w:cs="Guttman Drogolin" w:hint="cs"/>
          <w:rtl/>
          <w:lang w:bidi="he-IL"/>
        </w:rPr>
        <w:t>אוסר דבר אחר משום בב"ח הרי הוא נעשה נבילה, ואע"ג שהבשר כבר נאסר משום בב"ח ונעשה נבילה, אין זה טעם לומר שאינו אוסר חלב אחר.</w:t>
      </w:r>
      <w:r w:rsidR="00A020C8" w:rsidRPr="00882F11">
        <w:rPr>
          <w:rFonts w:cs="Guttman Drogolin" w:hint="cs"/>
          <w:rtl/>
          <w:lang w:bidi="he-IL"/>
        </w:rPr>
        <w:t xml:space="preserve"> וצ"ע באמת סברת הש"ך והט"ז שסברו אחרת, דמנא להו שאם הבשר כבר נאסר או משום בב"ח או מאיסור אחר שלא אומרים חענ"ן</w:t>
      </w:r>
      <w:r w:rsidR="002E170C" w:rsidRPr="00882F11">
        <w:rPr>
          <w:rStyle w:val="FootnoteReference"/>
          <w:rFonts w:cs="Guttman Drogolin"/>
          <w:rtl/>
          <w:lang w:bidi="he-IL"/>
        </w:rPr>
        <w:footnoteReference w:id="221"/>
      </w:r>
      <w:r w:rsidR="00A020C8" w:rsidRPr="00882F11">
        <w:rPr>
          <w:rFonts w:cs="Guttman Drogolin" w:hint="cs"/>
          <w:rtl/>
          <w:lang w:bidi="he-IL"/>
        </w:rPr>
        <w:t>.</w:t>
      </w:r>
      <w:r w:rsidR="001F71E5" w:rsidRPr="00882F11">
        <w:rPr>
          <w:rFonts w:cs="Guttman Drogolin" w:hint="cs"/>
          <w:rtl/>
          <w:lang w:bidi="he-IL"/>
        </w:rPr>
        <w:t xml:space="preserve">    </w:t>
      </w:r>
    </w:p>
    <w:p w:rsidR="008A1278" w:rsidRPr="00882F11" w:rsidRDefault="008A1278" w:rsidP="008A1278">
      <w:pPr>
        <w:bidi/>
        <w:jc w:val="both"/>
        <w:rPr>
          <w:rFonts w:cs="Guttman Drogolin"/>
          <w:rtl/>
          <w:lang w:bidi="he-IL"/>
        </w:rPr>
        <w:sectPr w:rsidR="008A1278" w:rsidRPr="00882F11" w:rsidSect="00662307">
          <w:type w:val="continuous"/>
          <w:pgSz w:w="11907" w:h="16839" w:code="9"/>
          <w:pgMar w:top="1440" w:right="1440" w:bottom="1440" w:left="1440" w:header="720" w:footer="720" w:gutter="0"/>
          <w:cols w:num="2" w:space="720"/>
          <w:bidi/>
          <w:docGrid w:linePitch="360"/>
        </w:sectPr>
      </w:pPr>
    </w:p>
    <w:p w:rsidR="008A1278" w:rsidRPr="00882F11" w:rsidRDefault="008A1278" w:rsidP="008A1278">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מ"ח</w:t>
      </w:r>
    </w:p>
    <w:p w:rsidR="00662307" w:rsidRDefault="00662307" w:rsidP="0078079C">
      <w:pPr>
        <w:pStyle w:val="Heading1"/>
        <w:bidi/>
        <w:spacing w:before="0" w:line="360" w:lineRule="auto"/>
        <w:jc w:val="center"/>
        <w:rPr>
          <w:rFonts w:cs="Guttman Drogolin"/>
          <w:color w:val="auto"/>
          <w:sz w:val="24"/>
          <w:szCs w:val="24"/>
          <w:u w:val="single"/>
          <w:rtl/>
          <w:lang w:bidi="he-IL"/>
        </w:rPr>
        <w:sectPr w:rsidR="00662307" w:rsidSect="00662307">
          <w:pgSz w:w="11907" w:h="16839" w:code="9"/>
          <w:pgMar w:top="1440" w:right="1440" w:bottom="1440" w:left="1440" w:header="720" w:footer="720" w:gutter="0"/>
          <w:cols w:space="720"/>
          <w:bidi/>
          <w:docGrid w:linePitch="360"/>
        </w:sectPr>
      </w:pPr>
    </w:p>
    <w:p w:rsidR="008A1278" w:rsidRPr="00882F11" w:rsidRDefault="008A1278" w:rsidP="0078079C">
      <w:pPr>
        <w:pStyle w:val="Heading1"/>
        <w:bidi/>
        <w:spacing w:before="0" w:line="360" w:lineRule="auto"/>
        <w:jc w:val="center"/>
        <w:rPr>
          <w:rFonts w:cs="Guttman Drogolin"/>
          <w:color w:val="auto"/>
          <w:sz w:val="24"/>
          <w:szCs w:val="24"/>
          <w:u w:val="single"/>
          <w:rtl/>
          <w:lang w:bidi="he-IL"/>
        </w:rPr>
      </w:pPr>
      <w:bookmarkStart w:id="180" w:name="_Toc496175436"/>
      <w:r w:rsidRPr="00882F11">
        <w:rPr>
          <w:rFonts w:cs="Guttman Drogolin" w:hint="cs"/>
          <w:color w:val="auto"/>
          <w:sz w:val="24"/>
          <w:szCs w:val="24"/>
          <w:u w:val="single"/>
          <w:rtl/>
          <w:lang w:bidi="he-IL"/>
        </w:rPr>
        <w:lastRenderedPageBreak/>
        <w:t>ביאור לשון הרמ"א בסע' א'</w:t>
      </w:r>
      <w:bookmarkEnd w:id="180"/>
    </w:p>
    <w:p w:rsidR="00F74E3B" w:rsidRPr="00882F11" w:rsidRDefault="008A1278" w:rsidP="002F0857">
      <w:pPr>
        <w:bidi/>
        <w:jc w:val="both"/>
        <w:rPr>
          <w:rFonts w:cs="Guttman Drogolin"/>
          <w:rtl/>
          <w:lang w:bidi="he-IL"/>
        </w:rPr>
      </w:pPr>
      <w:r w:rsidRPr="00882F11">
        <w:rPr>
          <w:rFonts w:cs="Guttman Drogolin" w:hint="cs"/>
          <w:rtl/>
          <w:lang w:bidi="he-IL"/>
        </w:rPr>
        <w:t xml:space="preserve">בסוף סע' א' כתב הרמ"א </w:t>
      </w:r>
      <w:r w:rsidR="00262715" w:rsidRPr="00882F11">
        <w:rPr>
          <w:rFonts w:cs="Guttman Drogolin" w:hint="cs"/>
          <w:rtl/>
          <w:lang w:bidi="he-IL"/>
        </w:rPr>
        <w:t>"</w:t>
      </w:r>
      <w:r w:rsidR="002F0857" w:rsidRPr="00882F11">
        <w:rPr>
          <w:rFonts w:cs="Guttman Drogolin" w:hint="cs"/>
          <w:rtl/>
          <w:lang w:bidi="he-IL"/>
        </w:rPr>
        <w:t xml:space="preserve">כל בשר בחלב שאינו אסור מן התורה מותר בהנאה". והעירו האחרונים שלכאורה הול"ל שמותר בין בהנאה ובין בבישול. ורע"א ביאר משום שיש בשר בחלב שאינו אסור מן התורה ומ"מ אסור לבשלו מדאורייתא, וכגון בשר שנכבש בחלב או"ד נמלח בחלב, דכיון שאינו דרך בישול אינו בשר בחלב מדאורייתא, אמנם כמו"כ יש בה איסור בישול מדאורייתא כיון שעדיין לא נתבשל והמבשלו עובר על איסור בישול. וכבר הערנו בשיעור הקודם מה שיש להעיר בזה. אמנם במש"ז ס"ק א' כתב מטעם אחר והוא דאע"ג שאין איסור בישול בעצם, מ"מ אסר בשלו משום </w:t>
      </w:r>
      <w:r w:rsidR="00346140" w:rsidRPr="00882F11">
        <w:rPr>
          <w:rFonts w:cs="Guttman Drogolin" w:hint="cs"/>
          <w:rtl/>
          <w:lang w:bidi="he-IL"/>
        </w:rPr>
        <w:t>מראית</w:t>
      </w:r>
      <w:r w:rsidR="002F0857" w:rsidRPr="00882F11">
        <w:rPr>
          <w:rFonts w:cs="Guttman Drogolin" w:hint="cs"/>
          <w:rtl/>
          <w:lang w:bidi="he-IL"/>
        </w:rPr>
        <w:t xml:space="preserve"> העין.</w:t>
      </w:r>
    </w:p>
    <w:p w:rsidR="002F0857" w:rsidRPr="00882F11" w:rsidRDefault="002F0857" w:rsidP="0078079C">
      <w:pPr>
        <w:pStyle w:val="Heading1"/>
        <w:bidi/>
        <w:spacing w:before="0" w:line="360" w:lineRule="auto"/>
        <w:jc w:val="center"/>
        <w:rPr>
          <w:rFonts w:cs="Guttman Drogolin"/>
          <w:color w:val="auto"/>
          <w:sz w:val="24"/>
          <w:szCs w:val="24"/>
          <w:u w:val="single"/>
          <w:rtl/>
          <w:lang w:bidi="he-IL"/>
        </w:rPr>
      </w:pPr>
      <w:bookmarkStart w:id="181" w:name="_Toc496175437"/>
      <w:r w:rsidRPr="00882F11">
        <w:rPr>
          <w:rFonts w:cs="Guttman Drogolin" w:hint="cs"/>
          <w:color w:val="auto"/>
          <w:sz w:val="24"/>
          <w:szCs w:val="24"/>
          <w:u w:val="single"/>
          <w:rtl/>
          <w:lang w:bidi="he-IL"/>
        </w:rPr>
        <w:t>דיני מר</w:t>
      </w:r>
      <w:r w:rsidR="00495EB9" w:rsidRPr="00882F11">
        <w:rPr>
          <w:rFonts w:cs="Guttman Drogolin" w:hint="cs"/>
          <w:color w:val="auto"/>
          <w:sz w:val="24"/>
          <w:szCs w:val="24"/>
          <w:u w:val="single"/>
          <w:rtl/>
          <w:lang w:bidi="he-IL"/>
        </w:rPr>
        <w:t>א</w:t>
      </w:r>
      <w:r w:rsidRPr="00882F11">
        <w:rPr>
          <w:rFonts w:cs="Guttman Drogolin" w:hint="cs"/>
          <w:color w:val="auto"/>
          <w:sz w:val="24"/>
          <w:szCs w:val="24"/>
          <w:u w:val="single"/>
          <w:rtl/>
          <w:lang w:bidi="he-IL"/>
        </w:rPr>
        <w:t>ית העין</w:t>
      </w:r>
      <w:bookmarkEnd w:id="181"/>
    </w:p>
    <w:p w:rsidR="00192BC4" w:rsidRPr="00882F11" w:rsidRDefault="00E85955" w:rsidP="0014530A">
      <w:pPr>
        <w:bidi/>
        <w:jc w:val="both"/>
        <w:rPr>
          <w:rFonts w:cs="Guttman Drogolin"/>
          <w:rtl/>
          <w:lang w:bidi="he-IL"/>
        </w:rPr>
      </w:pPr>
      <w:r>
        <w:rPr>
          <w:rFonts w:cs="Guttman Drogolin"/>
          <w:rtl/>
          <w:lang w:bidi="he-IL"/>
        </w:rPr>
        <w:fldChar w:fldCharType="begin"/>
      </w:r>
      <w:r>
        <w:instrText xml:space="preserve"> XE "</w:instrText>
      </w:r>
      <w:r w:rsidRPr="001434C5">
        <w:rPr>
          <w:rFonts w:hint="cs"/>
          <w:rtl/>
          <w:lang w:bidi="he-IL"/>
        </w:rPr>
        <w:instrText>מראית העין</w:instrText>
      </w:r>
      <w:r w:rsidRPr="001434C5">
        <w:rPr>
          <w:rtl/>
        </w:rPr>
        <w:instrText>:</w:instrText>
      </w:r>
      <w:r w:rsidRPr="001434C5">
        <w:rPr>
          <w:rFonts w:hint="cs"/>
          <w:rtl/>
          <w:lang w:bidi="he-IL"/>
        </w:rPr>
        <w:instrText>סוגיית הגמ'</w:instrText>
      </w:r>
      <w:r>
        <w:instrText xml:space="preserve">" </w:instrText>
      </w:r>
      <w:r>
        <w:rPr>
          <w:rFonts w:cs="Guttman Drogolin"/>
          <w:rtl/>
          <w:lang w:bidi="he-IL"/>
        </w:rPr>
        <w:fldChar w:fldCharType="end"/>
      </w:r>
      <w:r w:rsidR="002F0857" w:rsidRPr="00882F11">
        <w:rPr>
          <w:rFonts w:cs="Guttman Drogolin" w:hint="cs"/>
          <w:rtl/>
          <w:lang w:bidi="he-IL"/>
        </w:rPr>
        <w:t xml:space="preserve">בכמה מקומות בש"ס מבואר שחז"ל אסרו לעשות דבר מן הדברים אע"פ שבעצם הוא מותר משום </w:t>
      </w:r>
      <w:r w:rsidR="00346140" w:rsidRPr="00882F11">
        <w:rPr>
          <w:rFonts w:cs="Guttman Drogolin" w:hint="cs"/>
          <w:rtl/>
          <w:lang w:bidi="he-IL"/>
        </w:rPr>
        <w:t>מראית</w:t>
      </w:r>
      <w:r w:rsidR="002F0857" w:rsidRPr="00882F11">
        <w:rPr>
          <w:rFonts w:cs="Guttman Drogolin" w:hint="cs"/>
          <w:rtl/>
          <w:lang w:bidi="he-IL"/>
        </w:rPr>
        <w:t xml:space="preserve"> העין</w:t>
      </w:r>
      <w:r w:rsidR="009214F9" w:rsidRPr="00882F11">
        <w:rPr>
          <w:rFonts w:cs="Guttman Drogolin" w:hint="cs"/>
          <w:rtl/>
          <w:lang w:bidi="he-IL"/>
        </w:rPr>
        <w:t>, וכגון במס' כריתות דף כ"א ע"ב מבואר שאסור לשתות דם דגים משום שנראה ששותה דם בהמה שאסור</w:t>
      </w:r>
      <w:r w:rsidR="002F0857" w:rsidRPr="00882F11">
        <w:rPr>
          <w:rFonts w:cs="Guttman Drogolin" w:hint="cs"/>
          <w:rtl/>
          <w:lang w:bidi="he-IL"/>
        </w:rPr>
        <w:t>. ואולי כדאי להקדים דברי הגרמ"פ בדינא דמראית העין, דהנה אנחנו מוצאים גם דברים שחז"ל אסרו משום חשד, כמו הדלקת נרות בבית שיש לו ב' פתחים, וכן בהנחת פאה שיש לעשותו במקום שרואים שהניחו. ולכאורה שניהם ענין א' הם, שאינם דברים האסורים בעצם אבל נראים כמו שעושה איסור. ובשו"ת אג"מ או"ח ב' סי' מ'</w:t>
      </w:r>
      <w:r w:rsidR="00D421E8" w:rsidRPr="00882F11">
        <w:rPr>
          <w:rStyle w:val="FootnoteReference"/>
          <w:rFonts w:cs="Guttman Drogolin"/>
          <w:rtl/>
          <w:lang w:bidi="he-IL"/>
        </w:rPr>
        <w:footnoteReference w:id="222"/>
      </w:r>
      <w:r w:rsidR="002F0857" w:rsidRPr="00882F11">
        <w:rPr>
          <w:rFonts w:cs="Guttman Drogolin" w:hint="cs"/>
          <w:rtl/>
          <w:lang w:bidi="he-IL"/>
        </w:rPr>
        <w:t xml:space="preserve"> כתב שהם ב' איסורים שונים, שהאיסור של מראית העין </w:t>
      </w:r>
      <w:r w:rsidR="00192BC4" w:rsidRPr="00882F11">
        <w:rPr>
          <w:rFonts w:cs="Guttman Drogolin" w:hint="cs"/>
          <w:rtl/>
          <w:lang w:bidi="he-IL"/>
        </w:rPr>
        <w:t>הוא כדי שלא ילמדו ממנו לזלזל באיסור ההוא, אבל חשד הוא באופן שלא ילמדו ממנו לזלזל באיסורין מ"מ אסור לאדם שיביא שיחשדוהו אף שלא יבא מזה קלקול לאחרים. אמנם כבר העיר בשו"ת זכרון יהוסף</w:t>
      </w:r>
      <w:r w:rsidR="00E2335C" w:rsidRPr="00882F11">
        <w:rPr>
          <w:rFonts w:cs="Guttman Drogolin" w:hint="cs"/>
          <w:rtl/>
          <w:lang w:bidi="he-IL"/>
        </w:rPr>
        <w:t xml:space="preserve"> (או"ח סי' פ"ה אות ב')</w:t>
      </w:r>
      <w:r w:rsidR="00192BC4" w:rsidRPr="00882F11">
        <w:rPr>
          <w:rFonts w:cs="Guttman Drogolin" w:hint="cs"/>
          <w:rtl/>
          <w:lang w:bidi="he-IL"/>
        </w:rPr>
        <w:t xml:space="preserve"> שאותו איסור של הנחת פאה שמבואר בש"ס בבלי שהוא אסור </w:t>
      </w:r>
      <w:r w:rsidR="00192BC4" w:rsidRPr="00882F11">
        <w:rPr>
          <w:rFonts w:cs="Guttman Drogolin" w:hint="cs"/>
          <w:rtl/>
          <w:lang w:bidi="he-IL"/>
        </w:rPr>
        <w:lastRenderedPageBreak/>
        <w:t xml:space="preserve">משום חשד מבואר בתוספתא בלשון מראית העין, ולכן </w:t>
      </w:r>
      <w:r w:rsidR="0014530A" w:rsidRPr="00882F11">
        <w:rPr>
          <w:rFonts w:cs="Guttman Drogolin" w:hint="cs"/>
          <w:rtl/>
          <w:lang w:bidi="he-IL"/>
        </w:rPr>
        <w:t>הלשונות</w:t>
      </w:r>
      <w:r w:rsidR="00192BC4" w:rsidRPr="00882F11">
        <w:rPr>
          <w:rFonts w:cs="Guttman Drogolin" w:hint="cs"/>
          <w:rtl/>
          <w:lang w:bidi="he-IL"/>
        </w:rPr>
        <w:t xml:space="preserve"> יכול</w:t>
      </w:r>
      <w:r w:rsidR="0014530A" w:rsidRPr="00882F11">
        <w:rPr>
          <w:rFonts w:cs="Guttman Drogolin" w:hint="cs"/>
          <w:rtl/>
          <w:lang w:bidi="he-IL"/>
        </w:rPr>
        <w:t>ות</w:t>
      </w:r>
      <w:r w:rsidR="00192BC4" w:rsidRPr="00882F11">
        <w:rPr>
          <w:rFonts w:cs="Guttman Drogolin" w:hint="cs"/>
          <w:rtl/>
          <w:lang w:bidi="he-IL"/>
        </w:rPr>
        <w:t xml:space="preserve"> להתחלף. ונראה שמ"מ יש ב' ענינים, רק שלפעמים לא דקו חז"ל ואמרו לשון מראית העין במקום שהאיסור משום החשד.</w:t>
      </w:r>
    </w:p>
    <w:p w:rsidR="0014530A" w:rsidRPr="00882F11" w:rsidRDefault="00192BC4" w:rsidP="0014530A">
      <w:pPr>
        <w:bidi/>
        <w:jc w:val="both"/>
        <w:rPr>
          <w:rFonts w:cs="Guttman Drogolin"/>
          <w:rtl/>
          <w:lang w:bidi="he-IL"/>
        </w:rPr>
      </w:pPr>
      <w:r w:rsidRPr="00882F11">
        <w:rPr>
          <w:rFonts w:cs="Guttman Drogolin" w:hint="cs"/>
          <w:rtl/>
          <w:lang w:bidi="he-IL"/>
        </w:rPr>
        <w:t xml:space="preserve">והנה בכל ההדברים שאסרו משום מראית העין יש לחקור, האם הוא משום שיש איסור כללי של מראית העין, וכל דבר שעושה שנראה ממנו שעושה מעשה איסור הרי הוא אסור, או"ד </w:t>
      </w:r>
      <w:r w:rsidR="00F52F27" w:rsidRPr="00882F11">
        <w:rPr>
          <w:rFonts w:cs="Guttman Drogolin" w:hint="cs"/>
          <w:rtl/>
          <w:lang w:bidi="he-IL"/>
        </w:rPr>
        <w:t>שאין איסור כללי של מראית העין, רק שיש כמה דברים שראו חז"ל שנכון לגזור בהם והטעם משום מראית העין, אבל אין לנו לאסור שארי הדברים שנראים כמעשה איסור מעצמינו. ו</w:t>
      </w:r>
      <w:r w:rsidR="009214F9" w:rsidRPr="00882F11">
        <w:rPr>
          <w:rFonts w:cs="Guttman Drogolin" w:hint="cs"/>
          <w:rtl/>
          <w:lang w:bidi="he-IL"/>
        </w:rPr>
        <w:t xml:space="preserve">נראה דעת </w:t>
      </w:r>
      <w:r w:rsidR="00F52F27" w:rsidRPr="00882F11">
        <w:rPr>
          <w:rFonts w:cs="Guttman Drogolin" w:hint="cs"/>
          <w:rtl/>
          <w:lang w:bidi="he-IL"/>
        </w:rPr>
        <w:t>הפר"ח</w:t>
      </w:r>
      <w:r w:rsidR="009214F9" w:rsidRPr="00882F11">
        <w:rPr>
          <w:rFonts w:cs="Guttman Drogolin" w:hint="cs"/>
          <w:rtl/>
          <w:lang w:bidi="he-IL"/>
        </w:rPr>
        <w:t xml:space="preserve"> בס"ק ז' דסבר דליכא איסור כללי של מראית העין ואין אנו אוסרים אלא הדברים שאסרו חז"ל. אמנם משו"ת הרשב"א (ח"ג סי' רנ"ז) מבואר אחרת, ששאלו שם לרשב"א אם מותר לבשל בחלב אשה שאין בה משום בב"ח מעיקר הדין, וכתב הרשב"א דאסור משום מראית העין. והב"י ציין את דבריו ותמה הדרכ"מ בהוראה זו, דהא משנה שלימה היא שבשר בהמה טמאה עם חלב טהור או בשר טהור עם חלב טמא מותר בבישול והנאה, ואם כדברי הרשב"א </w:t>
      </w:r>
      <w:r w:rsidR="0014530A" w:rsidRPr="00882F11">
        <w:rPr>
          <w:rFonts w:cs="Guttman Drogolin" w:hint="cs"/>
          <w:rtl/>
          <w:lang w:bidi="he-IL"/>
        </w:rPr>
        <w:t>הא יש לאסור משום מראית העין. והט"ז ס"ק ה' כתב מעצמו יישוב לקושיא זו (ודבריו יתבארו בהמשך) אבל ע' בש"ך (ס"ק ז') שכתב לתרץ דאה"נ וגם בשר טמא או חלב טמא א</w:t>
      </w:r>
      <w:r w:rsidR="0036061F" w:rsidRPr="00882F11">
        <w:rPr>
          <w:rFonts w:cs="Guttman Drogolin" w:hint="cs"/>
          <w:rtl/>
          <w:lang w:bidi="he-IL"/>
        </w:rPr>
        <w:t>ס</w:t>
      </w:r>
      <w:r w:rsidR="0014530A" w:rsidRPr="00882F11">
        <w:rPr>
          <w:rFonts w:cs="Guttman Drogolin" w:hint="cs"/>
          <w:rtl/>
          <w:lang w:bidi="he-IL"/>
        </w:rPr>
        <w:t>ורים משום מראית העין, ואין כוונת המתני' להתיר אלא בכה"ג דליכא מראית העין. ובהגהות רע"א העיר שתשובה זו כבר כתובה היא בשו"ת הרשב"א עצמו, ולכאורה נראה שהאחרונים לא זכו לראות את גוף דברי הרשב"א רק מה ש</w:t>
      </w:r>
      <w:r w:rsidR="0036061F" w:rsidRPr="00882F11">
        <w:rPr>
          <w:rFonts w:cs="Guttman Drogolin" w:hint="cs"/>
          <w:rtl/>
          <w:lang w:bidi="he-IL"/>
        </w:rPr>
        <w:t>צ</w:t>
      </w:r>
      <w:r w:rsidR="0014530A" w:rsidRPr="00882F11">
        <w:rPr>
          <w:rFonts w:cs="Guttman Drogolin" w:hint="cs"/>
          <w:rtl/>
          <w:lang w:bidi="he-IL"/>
        </w:rPr>
        <w:t xml:space="preserve">יין הב"י ומשו"ה הקשו. </w:t>
      </w:r>
    </w:p>
    <w:p w:rsidR="00BE5755" w:rsidRPr="00882F11" w:rsidRDefault="0014530A" w:rsidP="00F203E4">
      <w:pPr>
        <w:bidi/>
        <w:jc w:val="both"/>
        <w:rPr>
          <w:rFonts w:cs="Guttman Drogolin"/>
          <w:rtl/>
          <w:lang w:bidi="he-IL"/>
        </w:rPr>
      </w:pPr>
      <w:r w:rsidRPr="00882F11">
        <w:rPr>
          <w:rFonts w:cs="Guttman Drogolin" w:hint="cs"/>
          <w:rtl/>
          <w:lang w:bidi="he-IL"/>
        </w:rPr>
        <w:t xml:space="preserve">ומ"מ כתב הש"ך דאע"ג שזה מיישב את דברי הרשב"א, מ"מ סתימת לשון המתני' הנ"ל משמע </w:t>
      </w:r>
      <w:r w:rsidRPr="00882F11">
        <w:rPr>
          <w:rFonts w:cs="Guttman Drogolin" w:hint="cs"/>
          <w:rtl/>
          <w:lang w:bidi="he-IL"/>
        </w:rPr>
        <w:lastRenderedPageBreak/>
        <w:t xml:space="preserve">שלא כדבריו ושאין לאסור בישולו משום מראית העין. וביאר הש"ך שם שבמעשה הבישול </w:t>
      </w:r>
      <w:r w:rsidR="00F203E4" w:rsidRPr="00882F11">
        <w:rPr>
          <w:rFonts w:cs="Guttman Drogolin" w:hint="cs"/>
          <w:rtl/>
          <w:lang w:bidi="he-IL"/>
        </w:rPr>
        <w:t xml:space="preserve">בפני עצמו </w:t>
      </w:r>
      <w:r w:rsidRPr="00882F11">
        <w:rPr>
          <w:rFonts w:cs="Guttman Drogolin" w:hint="cs"/>
          <w:rtl/>
          <w:lang w:bidi="he-IL"/>
        </w:rPr>
        <w:t>ליכא מראית העין משום "שיכול להיות שמבשל לצורך רפואה או שאר דברים</w:t>
      </w:r>
      <w:r w:rsidRPr="00882F11">
        <w:rPr>
          <w:rStyle w:val="FootnoteReference"/>
          <w:rFonts w:cs="Guttman Drogolin"/>
          <w:rtl/>
          <w:lang w:bidi="he-IL"/>
        </w:rPr>
        <w:footnoteReference w:id="223"/>
      </w:r>
      <w:r w:rsidRPr="00882F11">
        <w:rPr>
          <w:rFonts w:cs="Guttman Drogolin" w:hint="cs"/>
          <w:rtl/>
          <w:lang w:bidi="he-IL"/>
        </w:rPr>
        <w:t xml:space="preserve">". ודבריו לכאורה אינם מובנים, דהנה לעיל בדברי הש"ך מבואר שאפילו בדברים שבאמת אסורים משום מראית העין, מ"מ משום רפואה יש להקל ולעשותו </w:t>
      </w:r>
      <w:r w:rsidR="008643B2" w:rsidRPr="00882F11">
        <w:rPr>
          <w:rFonts w:cs="Guttman Drogolin" w:hint="cs"/>
          <w:rtl/>
          <w:lang w:bidi="he-IL"/>
        </w:rPr>
        <w:t xml:space="preserve">אע"פ שהו אסור. אבל כאן הש"ך רוצה </w:t>
      </w:r>
      <w:r w:rsidR="0097795A" w:rsidRPr="00882F11">
        <w:rPr>
          <w:rFonts w:cs="Guttman Drogolin" w:hint="cs"/>
          <w:rtl/>
          <w:lang w:bidi="he-IL"/>
        </w:rPr>
        <w:t>לומר שמשום רפואה א"</w:t>
      </w:r>
      <w:r w:rsidR="008643B2" w:rsidRPr="00882F11">
        <w:rPr>
          <w:rFonts w:cs="Guttman Drogolin" w:hint="cs"/>
          <w:rtl/>
          <w:lang w:bidi="he-IL"/>
        </w:rPr>
        <w:t xml:space="preserve">נ </w:t>
      </w:r>
      <w:r w:rsidR="0036061F" w:rsidRPr="00882F11">
        <w:rPr>
          <w:rFonts w:cs="Guttman Drogolin" w:hint="cs"/>
          <w:rtl/>
          <w:lang w:bidi="he-IL"/>
        </w:rPr>
        <w:t xml:space="preserve">שאר דברים אין </w:t>
      </w:r>
      <w:r w:rsidR="008643B2" w:rsidRPr="00882F11">
        <w:rPr>
          <w:rFonts w:cs="Guttman Drogolin" w:hint="cs"/>
          <w:rtl/>
          <w:lang w:bidi="he-IL"/>
        </w:rPr>
        <w:t>מראית העין כלל, וזו צ"ע דהא אפילו אם יתלו שעושה משום רפואה, אם הוא עושה מה שחושדים אותו הא ליכא היתר משום רפואה ושוב חוזר להיות אסור משום מראית העין. וכן ראיתי בשם אמר"ב שהקשה קושיא זו על הש"ך.</w:t>
      </w:r>
      <w:r w:rsidR="00F203E4" w:rsidRPr="00882F11">
        <w:rPr>
          <w:rFonts w:cs="Guttman Drogolin" w:hint="cs"/>
          <w:rtl/>
          <w:lang w:bidi="he-IL"/>
        </w:rPr>
        <w:t xml:space="preserve"> וזכורני שהיו כאלו שרצו להוכיח מדברי הש"ך שבישול לאיבוד או שלא לשם אכילה אינו מעשה איסור. אבל לכאורה עדיין אין זה מיישב, דהא בישול לרפואה לכאורה לא הוי לאיבוד וכן הרי הוא לאכילה. </w:t>
      </w:r>
      <w:r w:rsidR="00A105EF" w:rsidRPr="00882F11">
        <w:rPr>
          <w:rFonts w:cs="Guttman Drogolin" w:hint="cs"/>
          <w:rtl/>
          <w:lang w:bidi="he-IL"/>
        </w:rPr>
        <w:t xml:space="preserve">ואולי י"ל שאם מבשל לרפואה ר"ל דבר שאינו ראוי לאכילה ואין מברכין עליו ברכת הנהנין, ולכן לא חשוב מבשל לאכילה. וכן אולי משמע קצת דאל"כ למה באמת קרא אותו לרפואה הא הוי ממש לאכילה. </w:t>
      </w:r>
      <w:r w:rsidR="00F203E4" w:rsidRPr="00882F11">
        <w:rPr>
          <w:rFonts w:cs="Guttman Drogolin" w:hint="cs"/>
          <w:rtl/>
          <w:lang w:bidi="he-IL"/>
        </w:rPr>
        <w:t xml:space="preserve">ומ"מ ביאר הש"ך שאמנם אין איסור מראית העין בבישול לחודי', מ"מ יש מראית העין אפילו במעשה הבישול אם בסופו של דבר הרי הוא אוכלו, שזה עצמו מראה חשד שמה שעשה מעיקרא היתה מעשה איסור. ולכן בבישול חלב אשה עם בשר, כיון שבסופו דבר הוא אוכלו נראין הדברים דמעיקרא ג"כ עבר בשעת בישולו, אבל בבשר טמא או חלב טמא, שבסופו של דבר לא יאכלנו בכל אופן, ליכא מראית העין בבישולו.   </w:t>
      </w:r>
    </w:p>
    <w:p w:rsidR="00346140" w:rsidRPr="00882F11" w:rsidRDefault="0097795A" w:rsidP="0036061F">
      <w:pPr>
        <w:bidi/>
        <w:jc w:val="both"/>
        <w:rPr>
          <w:rFonts w:cs="Guttman Drogolin"/>
          <w:rtl/>
          <w:lang w:bidi="he-IL"/>
        </w:rPr>
      </w:pPr>
      <w:r w:rsidRPr="00882F11">
        <w:rPr>
          <w:rFonts w:cs="Guttman Drogolin" w:hint="cs"/>
          <w:rtl/>
          <w:lang w:bidi="he-IL"/>
        </w:rPr>
        <w:t>והט"ז ס"ק ה' כתב טעם לחלק בין בשר טמא לחלב אשה משום שלא גזרו</w:t>
      </w:r>
      <w:r w:rsidRPr="00882F11">
        <w:rPr>
          <w:rStyle w:val="FootnoteReference"/>
          <w:rFonts w:cs="Guttman Drogolin"/>
          <w:rtl/>
          <w:lang w:bidi="he-IL"/>
        </w:rPr>
        <w:footnoteReference w:id="224"/>
      </w:r>
      <w:r w:rsidRPr="00882F11">
        <w:rPr>
          <w:rFonts w:cs="Guttman Drogolin" w:hint="cs"/>
          <w:rtl/>
          <w:lang w:bidi="he-IL"/>
        </w:rPr>
        <w:t xml:space="preserve"> משום מראית העין אלא במקום שבין בחלב ובין הבשר מותרים בפני עצמם, משום שכה"ג דומים לבשר בחלב אמיתי, </w:t>
      </w:r>
      <w:r w:rsidRPr="00882F11">
        <w:rPr>
          <w:rFonts w:cs="Guttman Drogolin" w:hint="cs"/>
          <w:rtl/>
          <w:lang w:bidi="he-IL"/>
        </w:rPr>
        <w:lastRenderedPageBreak/>
        <w:t>אב</w:t>
      </w:r>
      <w:r w:rsidR="0036061F" w:rsidRPr="00882F11">
        <w:rPr>
          <w:rFonts w:cs="Guttman Drogolin" w:hint="cs"/>
          <w:rtl/>
          <w:lang w:bidi="he-IL"/>
        </w:rPr>
        <w:t>ל</w:t>
      </w:r>
      <w:r w:rsidRPr="00882F11">
        <w:rPr>
          <w:rFonts w:cs="Guttman Drogolin" w:hint="cs"/>
          <w:rtl/>
          <w:lang w:bidi="he-IL"/>
        </w:rPr>
        <w:t xml:space="preserve"> כשא' מהם אסור לא גזרו. וראיתי בהערות של הגרזש"א כאן (במנח"ש לס' חולין בסוף הספר) שתמה</w:t>
      </w:r>
      <w:r w:rsidR="00F203E4" w:rsidRPr="00882F11">
        <w:rPr>
          <w:rStyle w:val="FootnoteReference"/>
          <w:rFonts w:cs="Guttman Drogolin"/>
          <w:rtl/>
          <w:lang w:bidi="he-IL"/>
        </w:rPr>
        <w:footnoteReference w:id="225"/>
      </w:r>
      <w:r w:rsidRPr="00882F11">
        <w:rPr>
          <w:rFonts w:cs="Guttman Drogolin" w:hint="cs"/>
          <w:rtl/>
          <w:lang w:bidi="he-IL"/>
        </w:rPr>
        <w:t xml:space="preserve"> איזה סברא היא זו. וכוונתו דהא מ"מ נראה כמו שעושה איסור, ו</w:t>
      </w:r>
      <w:r w:rsidR="00B44F23" w:rsidRPr="00882F11">
        <w:rPr>
          <w:rFonts w:cs="Guttman Drogolin" w:hint="cs"/>
          <w:rtl/>
          <w:lang w:bidi="he-IL"/>
        </w:rPr>
        <w:t xml:space="preserve">הרי </w:t>
      </w:r>
      <w:r w:rsidRPr="00882F11">
        <w:rPr>
          <w:rFonts w:cs="Guttman Drogolin" w:hint="cs"/>
          <w:rtl/>
          <w:lang w:bidi="he-IL"/>
        </w:rPr>
        <w:t xml:space="preserve">זהו </w:t>
      </w:r>
      <w:r w:rsidR="00B44F23" w:rsidRPr="00882F11">
        <w:rPr>
          <w:rFonts w:cs="Guttman Drogolin" w:hint="cs"/>
          <w:rtl/>
          <w:lang w:bidi="he-IL"/>
        </w:rPr>
        <w:t xml:space="preserve">כל </w:t>
      </w:r>
      <w:r w:rsidRPr="00882F11">
        <w:rPr>
          <w:rFonts w:cs="Guttman Drogolin" w:hint="cs"/>
          <w:rtl/>
          <w:lang w:bidi="he-IL"/>
        </w:rPr>
        <w:t>ענינו</w:t>
      </w:r>
      <w:r w:rsidR="00B44F23" w:rsidRPr="00882F11">
        <w:rPr>
          <w:rFonts w:cs="Guttman Drogolin" w:hint="cs"/>
          <w:rtl/>
          <w:lang w:bidi="he-IL"/>
        </w:rPr>
        <w:t xml:space="preserve"> </w:t>
      </w:r>
      <w:r w:rsidRPr="00882F11">
        <w:rPr>
          <w:rFonts w:cs="Guttman Drogolin" w:hint="cs"/>
          <w:rtl/>
          <w:lang w:bidi="he-IL"/>
        </w:rPr>
        <w:t>של מראית העין</w:t>
      </w:r>
      <w:r w:rsidR="00B44F23" w:rsidRPr="00882F11">
        <w:rPr>
          <w:rFonts w:cs="Guttman Drogolin" w:hint="cs"/>
          <w:rtl/>
          <w:lang w:bidi="he-IL"/>
        </w:rPr>
        <w:t xml:space="preserve"> לאסור דבר שאינו אסור באמת משום שנראה שעושה איסור, ולכן מה איכפת לן אם הבשר אסור או לא. ולכאורה צריכים לומר שהט"ז רוצה לחדש שלא מספיק זה לבד שנראה כמו שעושה את האיסור, אלא כדי לאסור משום </w:t>
      </w:r>
      <w:r w:rsidR="00346140" w:rsidRPr="00882F11">
        <w:rPr>
          <w:rFonts w:cs="Guttman Drogolin" w:hint="cs"/>
          <w:rtl/>
          <w:lang w:bidi="he-IL"/>
        </w:rPr>
        <w:t>מראית</w:t>
      </w:r>
      <w:r w:rsidR="00B44F23" w:rsidRPr="00882F11">
        <w:rPr>
          <w:rFonts w:cs="Guttman Drogolin" w:hint="cs"/>
          <w:rtl/>
          <w:lang w:bidi="he-IL"/>
        </w:rPr>
        <w:t xml:space="preserve"> העין צריך להיות דומה עכ"פ קצת למעשה האיסור בעצם. ולכן כאן שאין כאן ב' דברים המותרים ולכן חסר</w:t>
      </w:r>
      <w:r w:rsidR="0036061F" w:rsidRPr="00882F11">
        <w:rPr>
          <w:rFonts w:cs="Guttman Drogolin" w:hint="cs"/>
          <w:rtl/>
          <w:lang w:bidi="he-IL"/>
        </w:rPr>
        <w:t xml:space="preserve"> </w:t>
      </w:r>
      <w:r w:rsidR="00B44F23" w:rsidRPr="00882F11">
        <w:rPr>
          <w:rFonts w:cs="Guttman Drogolin" w:hint="cs"/>
          <w:rtl/>
          <w:lang w:bidi="he-IL"/>
        </w:rPr>
        <w:t xml:space="preserve">מן הדברים העיקריים לאיסור בב"ח, אין לאסור אפילו משום מראית העין. ולכאורה דבריו מבוססים על מש"כ לעיל מיני' בס"ק ב' שאם א' מהם אסור אפילו מטעם אחר שלא אומרים חענ"ן. ומ"מ הדבר צ"ע דמנין לנו התנאי החדש הזה שיהא דומה בעצם חוץ ממה שנראה שעובר באיסור.  </w:t>
      </w:r>
    </w:p>
    <w:p w:rsidR="00346140" w:rsidRPr="00882F11" w:rsidRDefault="00346140" w:rsidP="0078079C">
      <w:pPr>
        <w:pStyle w:val="Heading1"/>
        <w:bidi/>
        <w:spacing w:before="0" w:line="360" w:lineRule="auto"/>
        <w:jc w:val="center"/>
        <w:rPr>
          <w:rFonts w:cs="Guttman Drogolin"/>
          <w:color w:val="auto"/>
          <w:sz w:val="24"/>
          <w:szCs w:val="24"/>
          <w:u w:val="single"/>
          <w:rtl/>
          <w:lang w:bidi="he-IL"/>
        </w:rPr>
      </w:pPr>
      <w:bookmarkStart w:id="182" w:name="_Toc496175438"/>
      <w:r w:rsidRPr="00882F11">
        <w:rPr>
          <w:rFonts w:cs="Guttman Drogolin" w:hint="cs"/>
          <w:color w:val="auto"/>
          <w:sz w:val="24"/>
          <w:szCs w:val="24"/>
          <w:u w:val="single"/>
          <w:rtl/>
          <w:lang w:bidi="he-IL"/>
        </w:rPr>
        <w:t>מראית העין באיסורים מדרבנן</w:t>
      </w:r>
      <w:bookmarkEnd w:id="182"/>
    </w:p>
    <w:p w:rsidR="002F507E" w:rsidRPr="00882F11" w:rsidRDefault="00E85955" w:rsidP="002F507E">
      <w:pPr>
        <w:bidi/>
        <w:jc w:val="both"/>
        <w:rPr>
          <w:rFonts w:cs="Guttman Drogolin"/>
          <w:rtl/>
          <w:lang w:bidi="he-IL"/>
        </w:rPr>
      </w:pPr>
      <w:r>
        <w:rPr>
          <w:rFonts w:cs="Guttman Drogolin"/>
          <w:rtl/>
          <w:lang w:bidi="he-IL"/>
        </w:rPr>
        <w:fldChar w:fldCharType="begin"/>
      </w:r>
      <w:r>
        <w:instrText xml:space="preserve"> XE "</w:instrText>
      </w:r>
      <w:r w:rsidRPr="00257906">
        <w:rPr>
          <w:rFonts w:hint="cs"/>
          <w:rtl/>
          <w:lang w:bidi="he-IL"/>
        </w:rPr>
        <w:instrText>מראית העין</w:instrText>
      </w:r>
      <w:r w:rsidRPr="00257906">
        <w:rPr>
          <w:rtl/>
        </w:rPr>
        <w:instrText>:</w:instrText>
      </w:r>
      <w:r w:rsidRPr="00257906">
        <w:rPr>
          <w:rFonts w:hint="cs"/>
          <w:rtl/>
          <w:lang w:bidi="he-IL"/>
        </w:rPr>
        <w:instrText>באיסורים מדרבנן</w:instrText>
      </w:r>
      <w:r>
        <w:instrText xml:space="preserve">" </w:instrText>
      </w:r>
      <w:r>
        <w:rPr>
          <w:rFonts w:cs="Guttman Drogolin"/>
          <w:rtl/>
          <w:lang w:bidi="he-IL"/>
        </w:rPr>
        <w:fldChar w:fldCharType="end"/>
      </w:r>
      <w:r w:rsidR="00346140" w:rsidRPr="00882F11">
        <w:rPr>
          <w:rFonts w:cs="Guttman Drogolin" w:hint="cs"/>
          <w:rtl/>
          <w:lang w:bidi="he-IL"/>
        </w:rPr>
        <w:t>הרמ"א בסע' ג' לא החמיר להניח שקדים אצל חלב שקדים אלא כשמבשלו בבשר בקר, אבל בבשר עוף לא</w:t>
      </w:r>
      <w:r w:rsidR="00B44F23" w:rsidRPr="00882F11">
        <w:rPr>
          <w:rFonts w:cs="Guttman Drogolin" w:hint="cs"/>
          <w:rtl/>
          <w:lang w:bidi="he-IL"/>
        </w:rPr>
        <w:t xml:space="preserve"> </w:t>
      </w:r>
      <w:r w:rsidR="00346140" w:rsidRPr="00882F11">
        <w:rPr>
          <w:rFonts w:cs="Guttman Drogolin" w:hint="cs"/>
          <w:rtl/>
          <w:lang w:bidi="he-IL"/>
        </w:rPr>
        <w:t xml:space="preserve">החמיר. והבין הש"ך בס"ק ו' שדעתו לחלק בין איסור דאורייתא שיש בה משום מראית העין לאיסור דרבנן דליכא. ומשו"ה תמה הש"ך מכמה גמ' שמבואר מהם שחשו למראית העין אפילו באיסורים דרבנן. וצ"ע </w:t>
      </w:r>
      <w:r w:rsidR="0036061F" w:rsidRPr="00882F11">
        <w:rPr>
          <w:rFonts w:cs="Guttman Drogolin" w:hint="cs"/>
          <w:rtl/>
          <w:lang w:bidi="he-IL"/>
        </w:rPr>
        <w:t>מ</w:t>
      </w:r>
      <w:r w:rsidR="00346140" w:rsidRPr="00882F11">
        <w:rPr>
          <w:rFonts w:cs="Guttman Drogolin" w:hint="cs"/>
          <w:rtl/>
          <w:lang w:bidi="he-IL"/>
        </w:rPr>
        <w:t>ה יענה הרמ"א לראיות אלו. ו</w:t>
      </w:r>
      <w:r w:rsidR="002F507E" w:rsidRPr="00882F11">
        <w:rPr>
          <w:rFonts w:cs="Guttman Drogolin" w:hint="cs"/>
          <w:rtl/>
          <w:lang w:bidi="he-IL"/>
        </w:rPr>
        <w:t>ב</w:t>
      </w:r>
      <w:r w:rsidR="00346140" w:rsidRPr="00882F11">
        <w:rPr>
          <w:rFonts w:cs="Guttman Drogolin" w:hint="cs"/>
          <w:rtl/>
          <w:lang w:bidi="he-IL"/>
        </w:rPr>
        <w:t xml:space="preserve">חי' ההפלאה </w:t>
      </w:r>
      <w:r w:rsidR="002F507E" w:rsidRPr="00882F11">
        <w:rPr>
          <w:rFonts w:cs="Guttman Drogolin" w:hint="cs"/>
          <w:rtl/>
          <w:lang w:bidi="he-IL"/>
        </w:rPr>
        <w:t xml:space="preserve">וכן בנחלת צבי </w:t>
      </w:r>
      <w:r w:rsidR="00346140" w:rsidRPr="00882F11">
        <w:rPr>
          <w:rFonts w:cs="Guttman Drogolin" w:hint="cs"/>
          <w:rtl/>
          <w:lang w:bidi="he-IL"/>
        </w:rPr>
        <w:t>על אתר כתב</w:t>
      </w:r>
      <w:r w:rsidR="002F507E" w:rsidRPr="00882F11">
        <w:rPr>
          <w:rFonts w:cs="Guttman Drogolin" w:hint="cs"/>
          <w:rtl/>
          <w:lang w:bidi="he-IL"/>
        </w:rPr>
        <w:t>ו</w:t>
      </w:r>
      <w:r w:rsidR="00346140" w:rsidRPr="00882F11">
        <w:rPr>
          <w:rFonts w:cs="Guttman Drogolin" w:hint="cs"/>
          <w:rtl/>
          <w:lang w:bidi="he-IL"/>
        </w:rPr>
        <w:t xml:space="preserve"> שאין כוונת הרמ"א להקל בדרבנן אלא בצנעא, אבל בפרהסיא מודה שיש איסו</w:t>
      </w:r>
      <w:r w:rsidR="002F507E" w:rsidRPr="00882F11">
        <w:rPr>
          <w:rFonts w:cs="Guttman Drogolin" w:hint="cs"/>
          <w:rtl/>
          <w:lang w:bidi="he-IL"/>
        </w:rPr>
        <w:t xml:space="preserve">ר מראית העין אפילו באיסור דרבנן. </w:t>
      </w:r>
      <w:r w:rsidR="00E2335C" w:rsidRPr="00882F11">
        <w:rPr>
          <w:rFonts w:cs="Guttman Drogolin" w:hint="cs"/>
          <w:rtl/>
          <w:lang w:bidi="he-IL"/>
        </w:rPr>
        <w:t>ומקור לחילוק זה יש בתוס' במס' כתובות דף ס' ע"א</w:t>
      </w:r>
      <w:r w:rsidR="009667CB" w:rsidRPr="00882F11">
        <w:rPr>
          <w:rFonts w:cs="Guttman Drogolin" w:hint="cs"/>
          <w:rtl/>
          <w:lang w:bidi="he-IL"/>
        </w:rPr>
        <w:t xml:space="preserve"> (הביאו הש"ך שם)</w:t>
      </w:r>
      <w:r w:rsidR="00E2335C" w:rsidRPr="00882F11">
        <w:rPr>
          <w:rFonts w:cs="Guttman Drogolin" w:hint="cs"/>
          <w:rtl/>
          <w:lang w:bidi="he-IL"/>
        </w:rPr>
        <w:t>. שמבואר שם בגמ' "תניא</w:t>
      </w:r>
      <w:r w:rsidR="00E2335C" w:rsidRPr="00882F11">
        <w:rPr>
          <w:rFonts w:cs="Guttman Drogolin"/>
          <w:rtl/>
          <w:lang w:bidi="he-IL"/>
        </w:rPr>
        <w:t xml:space="preserve"> </w:t>
      </w:r>
      <w:r w:rsidR="00E2335C" w:rsidRPr="00882F11">
        <w:rPr>
          <w:rFonts w:cs="Guttman Drogolin" w:hint="cs"/>
          <w:rtl/>
          <w:lang w:bidi="he-IL"/>
        </w:rPr>
        <w:t>נחום</w:t>
      </w:r>
      <w:r w:rsidR="00E2335C" w:rsidRPr="00882F11">
        <w:rPr>
          <w:rFonts w:cs="Guttman Drogolin"/>
          <w:rtl/>
          <w:lang w:bidi="he-IL"/>
        </w:rPr>
        <w:t xml:space="preserve"> </w:t>
      </w:r>
      <w:r w:rsidR="00E2335C" w:rsidRPr="00882F11">
        <w:rPr>
          <w:rFonts w:cs="Guttman Drogolin" w:hint="cs"/>
          <w:rtl/>
          <w:lang w:bidi="he-IL"/>
        </w:rPr>
        <w:t>איש</w:t>
      </w:r>
      <w:r w:rsidR="00E2335C" w:rsidRPr="00882F11">
        <w:rPr>
          <w:rFonts w:cs="Guttman Drogolin"/>
          <w:rtl/>
          <w:lang w:bidi="he-IL"/>
        </w:rPr>
        <w:t xml:space="preserve"> </w:t>
      </w:r>
      <w:r w:rsidR="00E2335C" w:rsidRPr="00882F11">
        <w:rPr>
          <w:rFonts w:cs="Guttman Drogolin" w:hint="cs"/>
          <w:rtl/>
          <w:lang w:bidi="he-IL"/>
        </w:rPr>
        <w:t>גליא</w:t>
      </w:r>
      <w:r w:rsidR="00E2335C" w:rsidRPr="00882F11">
        <w:rPr>
          <w:rFonts w:cs="Guttman Drogolin"/>
          <w:rtl/>
          <w:lang w:bidi="he-IL"/>
        </w:rPr>
        <w:t xml:space="preserve"> </w:t>
      </w:r>
      <w:r w:rsidR="00E2335C" w:rsidRPr="00882F11">
        <w:rPr>
          <w:rFonts w:cs="Guttman Drogolin" w:hint="cs"/>
          <w:rtl/>
          <w:lang w:bidi="he-IL"/>
        </w:rPr>
        <w:t>אומר</w:t>
      </w:r>
      <w:r w:rsidR="00E2335C" w:rsidRPr="00882F11">
        <w:rPr>
          <w:rFonts w:cs="Guttman Drogolin"/>
          <w:rtl/>
          <w:lang w:bidi="he-IL"/>
        </w:rPr>
        <w:t xml:space="preserve"> </w:t>
      </w:r>
      <w:r w:rsidR="00E2335C" w:rsidRPr="00882F11">
        <w:rPr>
          <w:rFonts w:cs="Guttman Drogolin" w:hint="cs"/>
          <w:rtl/>
          <w:lang w:bidi="he-IL"/>
        </w:rPr>
        <w:t>צינור</w:t>
      </w:r>
      <w:r w:rsidR="00E2335C" w:rsidRPr="00882F11">
        <w:rPr>
          <w:rFonts w:cs="Guttman Drogolin"/>
          <w:rtl/>
          <w:lang w:bidi="he-IL"/>
        </w:rPr>
        <w:t xml:space="preserve"> </w:t>
      </w:r>
      <w:r w:rsidR="00E2335C" w:rsidRPr="00882F11">
        <w:rPr>
          <w:rFonts w:cs="Guttman Drogolin" w:hint="cs"/>
          <w:rtl/>
          <w:lang w:bidi="he-IL"/>
        </w:rPr>
        <w:t>שעלו</w:t>
      </w:r>
      <w:r w:rsidR="00E2335C" w:rsidRPr="00882F11">
        <w:rPr>
          <w:rFonts w:cs="Guttman Drogolin"/>
          <w:rtl/>
          <w:lang w:bidi="he-IL"/>
        </w:rPr>
        <w:t xml:space="preserve"> </w:t>
      </w:r>
      <w:r w:rsidR="00E2335C" w:rsidRPr="00882F11">
        <w:rPr>
          <w:rFonts w:cs="Guttman Drogolin" w:hint="cs"/>
          <w:rtl/>
          <w:lang w:bidi="he-IL"/>
        </w:rPr>
        <w:t>בו</w:t>
      </w:r>
      <w:r w:rsidR="00E2335C" w:rsidRPr="00882F11">
        <w:rPr>
          <w:rFonts w:cs="Guttman Drogolin"/>
          <w:rtl/>
          <w:lang w:bidi="he-IL"/>
        </w:rPr>
        <w:t xml:space="preserve"> </w:t>
      </w:r>
      <w:r w:rsidR="00E2335C" w:rsidRPr="00882F11">
        <w:rPr>
          <w:rFonts w:cs="Guttman Drogolin" w:hint="cs"/>
          <w:rtl/>
          <w:lang w:bidi="he-IL"/>
        </w:rPr>
        <w:t>קשקשין</w:t>
      </w:r>
      <w:r w:rsidR="00E2335C" w:rsidRPr="00882F11">
        <w:rPr>
          <w:rFonts w:cs="Guttman Drogolin"/>
          <w:rtl/>
          <w:lang w:bidi="he-IL"/>
        </w:rPr>
        <w:t xml:space="preserve"> </w:t>
      </w:r>
      <w:r w:rsidR="00E2335C" w:rsidRPr="00882F11">
        <w:rPr>
          <w:rFonts w:cs="Guttman Drogolin" w:hint="cs"/>
          <w:rtl/>
          <w:lang w:bidi="he-IL"/>
        </w:rPr>
        <w:t>ממעכן</w:t>
      </w:r>
      <w:r w:rsidR="00E2335C" w:rsidRPr="00882F11">
        <w:rPr>
          <w:rFonts w:cs="Guttman Drogolin"/>
          <w:rtl/>
          <w:lang w:bidi="he-IL"/>
        </w:rPr>
        <w:t xml:space="preserve"> </w:t>
      </w:r>
      <w:r w:rsidR="00E2335C" w:rsidRPr="00882F11">
        <w:rPr>
          <w:rFonts w:cs="Guttman Drogolin" w:hint="cs"/>
          <w:rtl/>
          <w:lang w:bidi="he-IL"/>
        </w:rPr>
        <w:t>ברגלו</w:t>
      </w:r>
      <w:r w:rsidR="00E2335C" w:rsidRPr="00882F11">
        <w:rPr>
          <w:rFonts w:cs="Guttman Drogolin"/>
          <w:rtl/>
          <w:lang w:bidi="he-IL"/>
        </w:rPr>
        <w:t xml:space="preserve"> </w:t>
      </w:r>
      <w:r w:rsidR="00E2335C" w:rsidRPr="00882F11">
        <w:rPr>
          <w:rFonts w:cs="Guttman Drogolin" w:hint="cs"/>
          <w:rtl/>
          <w:lang w:bidi="he-IL"/>
        </w:rPr>
        <w:t>בצנעא</w:t>
      </w:r>
      <w:r w:rsidR="00E2335C" w:rsidRPr="00882F11">
        <w:rPr>
          <w:rFonts w:cs="Guttman Drogolin"/>
          <w:rtl/>
          <w:lang w:bidi="he-IL"/>
        </w:rPr>
        <w:t xml:space="preserve"> </w:t>
      </w:r>
      <w:r w:rsidR="00E2335C" w:rsidRPr="00882F11">
        <w:rPr>
          <w:rFonts w:cs="Guttman Drogolin" w:hint="cs"/>
          <w:rtl/>
          <w:lang w:bidi="he-IL"/>
        </w:rPr>
        <w:t>בשבת</w:t>
      </w:r>
      <w:r w:rsidR="00E2335C" w:rsidRPr="00882F11">
        <w:rPr>
          <w:rFonts w:cs="Guttman Drogolin"/>
          <w:rtl/>
          <w:lang w:bidi="he-IL"/>
        </w:rPr>
        <w:t xml:space="preserve"> </w:t>
      </w:r>
      <w:r w:rsidR="00E2335C" w:rsidRPr="00882F11">
        <w:rPr>
          <w:rFonts w:cs="Guttman Drogolin" w:hint="cs"/>
          <w:rtl/>
          <w:lang w:bidi="he-IL"/>
        </w:rPr>
        <w:t>ואינו</w:t>
      </w:r>
      <w:r w:rsidR="00E2335C" w:rsidRPr="00882F11">
        <w:rPr>
          <w:rFonts w:cs="Guttman Drogolin"/>
          <w:rtl/>
          <w:lang w:bidi="he-IL"/>
        </w:rPr>
        <w:t xml:space="preserve"> </w:t>
      </w:r>
      <w:r w:rsidR="00E2335C" w:rsidRPr="00882F11">
        <w:rPr>
          <w:rFonts w:cs="Guttman Drogolin" w:hint="cs"/>
          <w:rtl/>
          <w:lang w:bidi="he-IL"/>
        </w:rPr>
        <w:t>חושש</w:t>
      </w:r>
      <w:r w:rsidR="00E2335C" w:rsidRPr="00882F11">
        <w:rPr>
          <w:rFonts w:cs="Guttman Drogolin"/>
          <w:rtl/>
          <w:lang w:bidi="he-IL"/>
        </w:rPr>
        <w:t xml:space="preserve"> </w:t>
      </w:r>
      <w:r w:rsidR="00E2335C" w:rsidRPr="00882F11">
        <w:rPr>
          <w:rFonts w:cs="Guttman Drogolin" w:hint="cs"/>
          <w:rtl/>
          <w:lang w:bidi="he-IL"/>
        </w:rPr>
        <w:t>מאי</w:t>
      </w:r>
      <w:r w:rsidR="00E2335C" w:rsidRPr="00882F11">
        <w:rPr>
          <w:rFonts w:cs="Guttman Drogolin"/>
          <w:rtl/>
          <w:lang w:bidi="he-IL"/>
        </w:rPr>
        <w:t xml:space="preserve"> </w:t>
      </w:r>
      <w:r w:rsidR="00E2335C" w:rsidRPr="00882F11">
        <w:rPr>
          <w:rFonts w:cs="Guttman Drogolin" w:hint="cs"/>
          <w:rtl/>
          <w:lang w:bidi="he-IL"/>
        </w:rPr>
        <w:t>טעמא</w:t>
      </w:r>
      <w:r w:rsidR="00E2335C" w:rsidRPr="00882F11">
        <w:rPr>
          <w:rFonts w:cs="Guttman Drogolin"/>
          <w:rtl/>
          <w:lang w:bidi="he-IL"/>
        </w:rPr>
        <w:t xml:space="preserve"> </w:t>
      </w:r>
      <w:r w:rsidR="00E2335C" w:rsidRPr="00882F11">
        <w:rPr>
          <w:rFonts w:cs="Guttman Drogolin" w:hint="cs"/>
          <w:rtl/>
          <w:lang w:bidi="he-IL"/>
        </w:rPr>
        <w:t>מתקן</w:t>
      </w:r>
      <w:r w:rsidR="00E2335C" w:rsidRPr="00882F11">
        <w:rPr>
          <w:rFonts w:cs="Guttman Drogolin"/>
          <w:rtl/>
          <w:lang w:bidi="he-IL"/>
        </w:rPr>
        <w:t xml:space="preserve"> </w:t>
      </w:r>
      <w:r w:rsidR="00E2335C" w:rsidRPr="00882F11">
        <w:rPr>
          <w:rFonts w:cs="Guttman Drogolin" w:hint="cs"/>
          <w:rtl/>
          <w:lang w:bidi="he-IL"/>
        </w:rPr>
        <w:t>כלאחר</w:t>
      </w:r>
      <w:r w:rsidR="00E2335C" w:rsidRPr="00882F11">
        <w:rPr>
          <w:rFonts w:cs="Guttman Drogolin"/>
          <w:rtl/>
          <w:lang w:bidi="he-IL"/>
        </w:rPr>
        <w:t xml:space="preserve"> </w:t>
      </w:r>
      <w:r w:rsidR="00E2335C" w:rsidRPr="00882F11">
        <w:rPr>
          <w:rFonts w:cs="Guttman Drogolin" w:hint="cs"/>
          <w:rtl/>
          <w:lang w:bidi="he-IL"/>
        </w:rPr>
        <w:t>יד</w:t>
      </w:r>
      <w:r w:rsidR="00E2335C" w:rsidRPr="00882F11">
        <w:rPr>
          <w:rFonts w:cs="Guttman Drogolin"/>
          <w:rtl/>
          <w:lang w:bidi="he-IL"/>
        </w:rPr>
        <w:t xml:space="preserve"> </w:t>
      </w:r>
      <w:r w:rsidR="00E2335C" w:rsidRPr="00882F11">
        <w:rPr>
          <w:rFonts w:cs="Guttman Drogolin" w:hint="cs"/>
          <w:rtl/>
          <w:lang w:bidi="he-IL"/>
        </w:rPr>
        <w:t>הוא</w:t>
      </w:r>
      <w:r w:rsidR="00E2335C" w:rsidRPr="00882F11">
        <w:rPr>
          <w:rFonts w:cs="Guttman Drogolin"/>
          <w:rtl/>
          <w:lang w:bidi="he-IL"/>
        </w:rPr>
        <w:t xml:space="preserve"> </w:t>
      </w:r>
      <w:r w:rsidR="00E2335C" w:rsidRPr="00882F11">
        <w:rPr>
          <w:rFonts w:cs="Guttman Drogolin" w:hint="cs"/>
          <w:rtl/>
          <w:lang w:bidi="he-IL"/>
        </w:rPr>
        <w:t>ובמקום</w:t>
      </w:r>
      <w:r w:rsidR="00E2335C" w:rsidRPr="00882F11">
        <w:rPr>
          <w:rFonts w:cs="Guttman Drogolin"/>
          <w:rtl/>
          <w:lang w:bidi="he-IL"/>
        </w:rPr>
        <w:t xml:space="preserve"> </w:t>
      </w:r>
      <w:r w:rsidR="00E2335C" w:rsidRPr="00882F11">
        <w:rPr>
          <w:rFonts w:cs="Guttman Drogolin" w:hint="cs"/>
          <w:rtl/>
          <w:lang w:bidi="he-IL"/>
        </w:rPr>
        <w:t>פסידא</w:t>
      </w:r>
      <w:r w:rsidR="00E2335C" w:rsidRPr="00882F11">
        <w:rPr>
          <w:rFonts w:cs="Guttman Drogolin"/>
          <w:rtl/>
          <w:lang w:bidi="he-IL"/>
        </w:rPr>
        <w:t xml:space="preserve"> </w:t>
      </w:r>
      <w:r w:rsidR="00E2335C" w:rsidRPr="00882F11">
        <w:rPr>
          <w:rFonts w:cs="Guttman Drogolin" w:hint="cs"/>
          <w:rtl/>
          <w:lang w:bidi="he-IL"/>
        </w:rPr>
        <w:t>לא</w:t>
      </w:r>
      <w:r w:rsidR="00E2335C" w:rsidRPr="00882F11">
        <w:rPr>
          <w:rFonts w:cs="Guttman Drogolin"/>
          <w:rtl/>
          <w:lang w:bidi="he-IL"/>
        </w:rPr>
        <w:t xml:space="preserve"> </w:t>
      </w:r>
      <w:r w:rsidR="00E2335C" w:rsidRPr="00882F11">
        <w:rPr>
          <w:rFonts w:cs="Guttman Drogolin" w:hint="cs"/>
          <w:rtl/>
          <w:lang w:bidi="he-IL"/>
        </w:rPr>
        <w:t>גזרו</w:t>
      </w:r>
      <w:r w:rsidR="00E2335C" w:rsidRPr="00882F11">
        <w:rPr>
          <w:rFonts w:cs="Guttman Drogolin"/>
          <w:rtl/>
          <w:lang w:bidi="he-IL"/>
        </w:rPr>
        <w:t xml:space="preserve"> </w:t>
      </w:r>
      <w:r w:rsidR="00E2335C" w:rsidRPr="00882F11">
        <w:rPr>
          <w:rFonts w:cs="Guttman Drogolin" w:hint="cs"/>
          <w:rtl/>
          <w:lang w:bidi="he-IL"/>
        </w:rPr>
        <w:t>בה</w:t>
      </w:r>
      <w:r w:rsidR="00E2335C" w:rsidRPr="00882F11">
        <w:rPr>
          <w:rFonts w:cs="Guttman Drogolin"/>
          <w:rtl/>
          <w:lang w:bidi="he-IL"/>
        </w:rPr>
        <w:t xml:space="preserve"> </w:t>
      </w:r>
      <w:r w:rsidR="00E2335C" w:rsidRPr="00882F11">
        <w:rPr>
          <w:rFonts w:cs="Guttman Drogolin" w:hint="cs"/>
          <w:rtl/>
          <w:lang w:bidi="he-IL"/>
        </w:rPr>
        <w:lastRenderedPageBreak/>
        <w:t>רבנן". הרי שהקיילו חז"ל לעשת תיקון כלאחר יד במקום פסידא, אבל לא הקילו לעשות כן אלא בצנעא. והקשו בתוס' דהא כל</w:t>
      </w:r>
      <w:r w:rsidR="00E2335C" w:rsidRPr="00882F11">
        <w:rPr>
          <w:rFonts w:cs="Guttman Drogolin"/>
          <w:rtl/>
          <w:lang w:bidi="he-IL"/>
        </w:rPr>
        <w:t xml:space="preserve"> </w:t>
      </w:r>
      <w:r w:rsidR="00E2335C" w:rsidRPr="00882F11">
        <w:rPr>
          <w:rFonts w:cs="Guttman Drogolin" w:hint="cs"/>
          <w:rtl/>
          <w:lang w:bidi="he-IL"/>
        </w:rPr>
        <w:t>מקום</w:t>
      </w:r>
      <w:r w:rsidR="00E2335C" w:rsidRPr="00882F11">
        <w:rPr>
          <w:rFonts w:cs="Guttman Drogolin"/>
          <w:rtl/>
          <w:lang w:bidi="he-IL"/>
        </w:rPr>
        <w:t xml:space="preserve"> </w:t>
      </w:r>
      <w:r w:rsidR="00E2335C" w:rsidRPr="00882F11">
        <w:rPr>
          <w:rFonts w:cs="Guttman Drogolin" w:hint="cs"/>
          <w:rtl/>
          <w:lang w:bidi="he-IL"/>
        </w:rPr>
        <w:t>שאסרו</w:t>
      </w:r>
      <w:r w:rsidR="00E2335C" w:rsidRPr="00882F11">
        <w:rPr>
          <w:rFonts w:cs="Guttman Drogolin"/>
          <w:rtl/>
          <w:lang w:bidi="he-IL"/>
        </w:rPr>
        <w:t xml:space="preserve"> </w:t>
      </w:r>
      <w:r w:rsidR="00E2335C" w:rsidRPr="00882F11">
        <w:rPr>
          <w:rFonts w:cs="Guttman Drogolin" w:hint="cs"/>
          <w:rtl/>
          <w:lang w:bidi="he-IL"/>
        </w:rPr>
        <w:t>חכמים</w:t>
      </w:r>
      <w:r w:rsidR="00E2335C" w:rsidRPr="00882F11">
        <w:rPr>
          <w:rFonts w:cs="Guttman Drogolin"/>
          <w:rtl/>
          <w:lang w:bidi="he-IL"/>
        </w:rPr>
        <w:t xml:space="preserve"> </w:t>
      </w:r>
      <w:r w:rsidR="00E2335C" w:rsidRPr="00882F11">
        <w:rPr>
          <w:rFonts w:cs="Guttman Drogolin" w:hint="cs"/>
          <w:rtl/>
          <w:lang w:bidi="he-IL"/>
        </w:rPr>
        <w:t>מפני</w:t>
      </w:r>
      <w:r w:rsidR="00E2335C" w:rsidRPr="00882F11">
        <w:rPr>
          <w:rFonts w:cs="Guttman Drogolin"/>
          <w:rtl/>
          <w:lang w:bidi="he-IL"/>
        </w:rPr>
        <w:t xml:space="preserve"> </w:t>
      </w:r>
      <w:r w:rsidR="00E2335C" w:rsidRPr="00882F11">
        <w:rPr>
          <w:rFonts w:cs="Guttman Drogolin" w:hint="cs"/>
          <w:rtl/>
          <w:lang w:bidi="he-IL"/>
        </w:rPr>
        <w:t>מראית</w:t>
      </w:r>
      <w:r w:rsidR="00E2335C" w:rsidRPr="00882F11">
        <w:rPr>
          <w:rFonts w:cs="Guttman Drogolin"/>
          <w:rtl/>
          <w:lang w:bidi="he-IL"/>
        </w:rPr>
        <w:t xml:space="preserve"> </w:t>
      </w:r>
      <w:r w:rsidR="00E2335C" w:rsidRPr="00882F11">
        <w:rPr>
          <w:rFonts w:cs="Guttman Drogolin" w:hint="cs"/>
          <w:rtl/>
          <w:lang w:bidi="he-IL"/>
        </w:rPr>
        <w:t>העין</w:t>
      </w:r>
      <w:r w:rsidR="00E2335C" w:rsidRPr="00882F11">
        <w:rPr>
          <w:rFonts w:cs="Guttman Drogolin"/>
          <w:rtl/>
          <w:lang w:bidi="he-IL"/>
        </w:rPr>
        <w:t xml:space="preserve"> </w:t>
      </w:r>
      <w:r w:rsidR="00E2335C" w:rsidRPr="00882F11">
        <w:rPr>
          <w:rFonts w:cs="Guttman Drogolin" w:hint="cs"/>
          <w:rtl/>
          <w:lang w:bidi="he-IL"/>
        </w:rPr>
        <w:t>אפי</w:t>
      </w:r>
      <w:r w:rsidR="00E2335C" w:rsidRPr="00882F11">
        <w:rPr>
          <w:rFonts w:cs="Guttman Drogolin"/>
          <w:rtl/>
          <w:lang w:bidi="he-IL"/>
        </w:rPr>
        <w:t xml:space="preserve">' </w:t>
      </w:r>
      <w:r w:rsidR="00E2335C" w:rsidRPr="00882F11">
        <w:rPr>
          <w:rFonts w:cs="Guttman Drogolin" w:hint="cs"/>
          <w:rtl/>
          <w:lang w:bidi="he-IL"/>
        </w:rPr>
        <w:t>בחדרי</w:t>
      </w:r>
      <w:r w:rsidR="00E2335C" w:rsidRPr="00882F11">
        <w:rPr>
          <w:rFonts w:cs="Guttman Drogolin"/>
          <w:rtl/>
          <w:lang w:bidi="he-IL"/>
        </w:rPr>
        <w:t xml:space="preserve"> </w:t>
      </w:r>
      <w:r w:rsidR="00E2335C" w:rsidRPr="00882F11">
        <w:rPr>
          <w:rFonts w:cs="Guttman Drogolin" w:hint="cs"/>
          <w:rtl/>
          <w:lang w:bidi="he-IL"/>
        </w:rPr>
        <w:t>חדרים</w:t>
      </w:r>
      <w:r w:rsidR="00E2335C" w:rsidRPr="00882F11">
        <w:rPr>
          <w:rFonts w:cs="Guttman Drogolin"/>
          <w:rtl/>
          <w:lang w:bidi="he-IL"/>
        </w:rPr>
        <w:t xml:space="preserve"> </w:t>
      </w:r>
      <w:r w:rsidR="00E2335C" w:rsidRPr="00882F11">
        <w:rPr>
          <w:rFonts w:cs="Guttman Drogolin" w:hint="cs"/>
          <w:rtl/>
          <w:lang w:bidi="he-IL"/>
        </w:rPr>
        <w:t>אסור. ולולא דבריהם לכאורה הי' אפשר לומר דאה"נ שבעלמא אסור אבל כאן הרי הקילו לעשות מתקן כלאחר יד במקום פסידא, וא"כ אל הקילו במראית העין גם, רק דלא הקילו אלא במקום בשהי' צורך, ולכן לא הי' צורך להקל אלא בצנעא ולא בפרהסיא. ואפילו את"ל שאין זה מיישב, דהא בדר"כ בצינור שאלו בו קשקשים אם הוא במקום רבים אי אפשר לעשות בצנעא וא"כ למה לא הקילו, מ"מ אפשר לומר שחז"ל הקילו בצנעא כיון שאינו איסור כ"כ גדול, אבל בפרסהיא לא היו מוכנים להקל. וצ"ע. ומ"מ התוס' כתבו ליישב את זה לומר שלא החמירו בחדרי חדרים אלא בחשד שעושה איסור דאורייתא, אבל איסור דרבנן לא החמירו לאסור בחדרי חדרים.</w:t>
      </w:r>
      <w:r w:rsidR="001E6588" w:rsidRPr="00882F11">
        <w:rPr>
          <w:rFonts w:cs="Guttman Drogolin" w:hint="cs"/>
          <w:rtl/>
          <w:lang w:bidi="he-IL"/>
        </w:rPr>
        <w:t xml:space="preserve"> </w:t>
      </w:r>
    </w:p>
    <w:p w:rsidR="009667CB" w:rsidRPr="00882F11" w:rsidRDefault="002F507E" w:rsidP="009B2B47">
      <w:pPr>
        <w:bidi/>
        <w:jc w:val="both"/>
        <w:rPr>
          <w:rFonts w:cs="Guttman Drogolin"/>
          <w:rtl/>
          <w:lang w:bidi="he-IL"/>
        </w:rPr>
      </w:pPr>
      <w:r w:rsidRPr="00882F11">
        <w:rPr>
          <w:rFonts w:cs="Guttman Drogolin" w:hint="cs"/>
          <w:rtl/>
          <w:lang w:bidi="he-IL"/>
        </w:rPr>
        <w:t xml:space="preserve">והנה </w:t>
      </w:r>
      <w:r w:rsidR="005D525B" w:rsidRPr="00882F11">
        <w:rPr>
          <w:rFonts w:cs="Guttman Drogolin" w:hint="cs"/>
          <w:rtl/>
          <w:lang w:bidi="he-IL"/>
        </w:rPr>
        <w:t>בחי' ההפלאה שם במס' כתובות ועוד</w:t>
      </w:r>
      <w:r w:rsidRPr="00882F11">
        <w:rPr>
          <w:rFonts w:cs="Guttman Drogolin" w:hint="cs"/>
          <w:rtl/>
          <w:lang w:bidi="he-IL"/>
        </w:rPr>
        <w:t xml:space="preserve"> דוחים</w:t>
      </w:r>
      <w:r w:rsidR="00E1103C" w:rsidRPr="00882F11">
        <w:rPr>
          <w:rStyle w:val="FootnoteReference"/>
          <w:rFonts w:cs="Guttman Drogolin"/>
          <w:rtl/>
          <w:lang w:bidi="he-IL"/>
        </w:rPr>
        <w:footnoteReference w:id="226"/>
      </w:r>
      <w:r w:rsidRPr="00882F11">
        <w:rPr>
          <w:rFonts w:cs="Guttman Drogolin" w:hint="cs"/>
          <w:rtl/>
          <w:lang w:bidi="he-IL"/>
        </w:rPr>
        <w:t xml:space="preserve"> שאין כוונת התוס' להקל </w:t>
      </w:r>
      <w:r w:rsidR="00350F68" w:rsidRPr="00882F11">
        <w:rPr>
          <w:rFonts w:cs="Guttman Drogolin" w:hint="cs"/>
          <w:rtl/>
          <w:lang w:bidi="he-IL"/>
        </w:rPr>
        <w:t xml:space="preserve">במראית העין באיסור דרבנן </w:t>
      </w:r>
      <w:r w:rsidR="00393AAC" w:rsidRPr="00882F11">
        <w:rPr>
          <w:rFonts w:cs="Guttman Drogolin" w:hint="cs"/>
          <w:rtl/>
          <w:lang w:bidi="he-IL"/>
        </w:rPr>
        <w:t xml:space="preserve">בכל ענין, רק במקרה שבגמ' שהוא במקום פסידא. </w:t>
      </w:r>
      <w:r w:rsidR="009B2B47" w:rsidRPr="00882F11">
        <w:rPr>
          <w:rFonts w:cs="Guttman Drogolin" w:hint="cs"/>
          <w:rtl/>
          <w:lang w:bidi="he-IL"/>
        </w:rPr>
        <w:t>ואי לקושיית הש"ך על דברי הרמ"א ע' ערוה</w:t>
      </w:r>
      <w:r w:rsidR="009B2B47" w:rsidRPr="00882F11">
        <w:rPr>
          <w:rFonts w:cs="Guttman Drogolin"/>
          <w:rtl/>
          <w:lang w:bidi="he-IL"/>
        </w:rPr>
        <w:t>"</w:t>
      </w:r>
      <w:r w:rsidR="009B2B47" w:rsidRPr="00882F11">
        <w:rPr>
          <w:rFonts w:cs="Guttman Drogolin" w:hint="cs"/>
          <w:rtl/>
          <w:lang w:bidi="he-IL"/>
        </w:rPr>
        <w:t>ש</w:t>
      </w:r>
      <w:r w:rsidR="009B2B47" w:rsidRPr="00882F11">
        <w:rPr>
          <w:rFonts w:cs="Guttman Drogolin"/>
          <w:rtl/>
          <w:lang w:bidi="he-IL"/>
        </w:rPr>
        <w:t xml:space="preserve"> (</w:t>
      </w:r>
      <w:r w:rsidR="009B2B47" w:rsidRPr="00882F11">
        <w:rPr>
          <w:rFonts w:cs="Guttman Drogolin" w:hint="cs"/>
          <w:rtl/>
          <w:lang w:bidi="he-IL"/>
        </w:rPr>
        <w:t>סעי</w:t>
      </w:r>
      <w:r w:rsidR="009B2B47" w:rsidRPr="00882F11">
        <w:rPr>
          <w:rFonts w:cs="Guttman Drogolin"/>
          <w:rtl/>
          <w:lang w:bidi="he-IL"/>
        </w:rPr>
        <w:t xml:space="preserve">' </w:t>
      </w:r>
      <w:r w:rsidR="009B2B47" w:rsidRPr="00882F11">
        <w:rPr>
          <w:rFonts w:cs="Guttman Drogolin" w:hint="cs"/>
          <w:rtl/>
          <w:lang w:bidi="he-IL"/>
        </w:rPr>
        <w:t>ט</w:t>
      </w:r>
      <w:r w:rsidR="009B2B47" w:rsidRPr="00882F11">
        <w:rPr>
          <w:rFonts w:cs="Guttman Drogolin"/>
          <w:rtl/>
          <w:lang w:bidi="he-IL"/>
        </w:rPr>
        <w:t>"</w:t>
      </w:r>
      <w:r w:rsidR="009B2B47" w:rsidRPr="00882F11">
        <w:rPr>
          <w:rFonts w:cs="Guttman Drogolin" w:hint="cs"/>
          <w:rtl/>
          <w:lang w:bidi="he-IL"/>
        </w:rPr>
        <w:t>ז</w:t>
      </w:r>
      <w:r w:rsidR="009B2B47" w:rsidRPr="00882F11">
        <w:rPr>
          <w:rFonts w:cs="Guttman Drogolin"/>
          <w:rtl/>
          <w:lang w:bidi="he-IL"/>
        </w:rPr>
        <w:t xml:space="preserve">) </w:t>
      </w:r>
      <w:r w:rsidR="009B2B47" w:rsidRPr="00882F11">
        <w:rPr>
          <w:rFonts w:cs="Guttman Drogolin" w:hint="cs"/>
          <w:rtl/>
          <w:lang w:bidi="he-IL"/>
        </w:rPr>
        <w:t>ואג</w:t>
      </w:r>
      <w:r w:rsidR="009B2B47" w:rsidRPr="00882F11">
        <w:rPr>
          <w:rFonts w:cs="Guttman Drogolin"/>
          <w:rtl/>
          <w:lang w:bidi="he-IL"/>
        </w:rPr>
        <w:t>"</w:t>
      </w:r>
      <w:r w:rsidR="009B2B47" w:rsidRPr="00882F11">
        <w:rPr>
          <w:rFonts w:cs="Guttman Drogolin" w:hint="cs"/>
          <w:rtl/>
          <w:lang w:bidi="he-IL"/>
        </w:rPr>
        <w:t>מ</w:t>
      </w:r>
      <w:r w:rsidR="009B2B47" w:rsidRPr="00882F11">
        <w:rPr>
          <w:rFonts w:cs="Guttman Drogolin"/>
          <w:rtl/>
          <w:lang w:bidi="he-IL"/>
        </w:rPr>
        <w:t xml:space="preserve"> (</w:t>
      </w:r>
      <w:r w:rsidR="009B2B47" w:rsidRPr="00882F11">
        <w:rPr>
          <w:rFonts w:cs="Guttman Drogolin" w:hint="cs"/>
          <w:rtl/>
          <w:lang w:bidi="he-IL"/>
        </w:rPr>
        <w:t>או</w:t>
      </w:r>
      <w:r w:rsidR="009B2B47" w:rsidRPr="00882F11">
        <w:rPr>
          <w:rFonts w:cs="Guttman Drogolin"/>
          <w:rtl/>
          <w:lang w:bidi="he-IL"/>
        </w:rPr>
        <w:t>"</w:t>
      </w:r>
      <w:r w:rsidR="009B2B47" w:rsidRPr="00882F11">
        <w:rPr>
          <w:rFonts w:cs="Guttman Drogolin" w:hint="cs"/>
          <w:rtl/>
          <w:lang w:bidi="he-IL"/>
        </w:rPr>
        <w:t>ח</w:t>
      </w:r>
      <w:r w:rsidR="009B2B47" w:rsidRPr="00882F11">
        <w:rPr>
          <w:rFonts w:cs="Guttman Drogolin"/>
          <w:rtl/>
          <w:lang w:bidi="he-IL"/>
        </w:rPr>
        <w:t xml:space="preserve"> </w:t>
      </w:r>
      <w:r w:rsidR="009B2B47" w:rsidRPr="00882F11">
        <w:rPr>
          <w:rFonts w:cs="Guttman Drogolin" w:hint="cs"/>
          <w:rtl/>
          <w:lang w:bidi="he-IL"/>
        </w:rPr>
        <w:t>ח</w:t>
      </w:r>
      <w:r w:rsidR="009B2B47" w:rsidRPr="00882F11">
        <w:rPr>
          <w:rFonts w:cs="Guttman Drogolin"/>
          <w:rtl/>
          <w:lang w:bidi="he-IL"/>
        </w:rPr>
        <w:t>"</w:t>
      </w:r>
      <w:r w:rsidR="009B2B47" w:rsidRPr="00882F11">
        <w:rPr>
          <w:rFonts w:cs="Guttman Drogolin" w:hint="cs"/>
          <w:rtl/>
          <w:lang w:bidi="he-IL"/>
        </w:rPr>
        <w:t>ג</w:t>
      </w:r>
      <w:r w:rsidR="009B2B47" w:rsidRPr="00882F11">
        <w:rPr>
          <w:rFonts w:cs="Guttman Drogolin"/>
          <w:rtl/>
          <w:lang w:bidi="he-IL"/>
        </w:rPr>
        <w:t xml:space="preserve"> </w:t>
      </w:r>
      <w:r w:rsidR="009B2B47" w:rsidRPr="00882F11">
        <w:rPr>
          <w:rFonts w:cs="Guttman Drogolin" w:hint="cs"/>
          <w:rtl/>
          <w:lang w:bidi="he-IL"/>
        </w:rPr>
        <w:t>סי</w:t>
      </w:r>
      <w:r w:rsidR="009B2B47" w:rsidRPr="00882F11">
        <w:rPr>
          <w:rFonts w:cs="Guttman Drogolin"/>
          <w:rtl/>
          <w:lang w:bidi="he-IL"/>
        </w:rPr>
        <w:t xml:space="preserve">' </w:t>
      </w:r>
      <w:r w:rsidR="009B2B47" w:rsidRPr="00882F11">
        <w:rPr>
          <w:rFonts w:cs="Guttman Drogolin" w:hint="cs"/>
          <w:rtl/>
          <w:lang w:bidi="he-IL"/>
        </w:rPr>
        <w:t>נ</w:t>
      </w:r>
      <w:r w:rsidR="009B2B47" w:rsidRPr="00882F11">
        <w:rPr>
          <w:rFonts w:cs="Guttman Drogolin"/>
          <w:rtl/>
          <w:lang w:bidi="he-IL"/>
        </w:rPr>
        <w:t xml:space="preserve">' </w:t>
      </w:r>
      <w:r w:rsidR="009B2B47" w:rsidRPr="00882F11">
        <w:rPr>
          <w:rFonts w:cs="Guttman Drogolin" w:hint="cs"/>
          <w:rtl/>
          <w:lang w:bidi="he-IL"/>
        </w:rPr>
        <w:t>ד</w:t>
      </w:r>
      <w:r w:rsidR="009B2B47" w:rsidRPr="00882F11">
        <w:rPr>
          <w:rFonts w:cs="Guttman Drogolin"/>
          <w:rtl/>
          <w:lang w:bidi="he-IL"/>
        </w:rPr>
        <w:t>"</w:t>
      </w:r>
      <w:r w:rsidR="009B2B47" w:rsidRPr="00882F11">
        <w:rPr>
          <w:rFonts w:cs="Guttman Drogolin" w:hint="cs"/>
          <w:rtl/>
          <w:lang w:bidi="he-IL"/>
        </w:rPr>
        <w:t>ה</w:t>
      </w:r>
      <w:r w:rsidR="009B2B47" w:rsidRPr="00882F11">
        <w:rPr>
          <w:rFonts w:cs="Guttman Drogolin"/>
          <w:rtl/>
          <w:lang w:bidi="he-IL"/>
        </w:rPr>
        <w:t xml:space="preserve"> </w:t>
      </w:r>
      <w:r w:rsidR="009B2B47" w:rsidRPr="00882F11">
        <w:rPr>
          <w:rFonts w:cs="Guttman Drogolin" w:hint="cs"/>
          <w:rtl/>
          <w:lang w:bidi="he-IL"/>
        </w:rPr>
        <w:t>ומצד) שכתבו לחלק בענין אחר, שכל ראיות הש"ך הם מאיסורי שבת, ויתכן דאיסורי שבת שאני דחמירי. ומ"מ</w:t>
      </w:r>
      <w:r w:rsidR="00393AAC" w:rsidRPr="00882F11">
        <w:rPr>
          <w:rFonts w:cs="Guttman Drogolin" w:hint="cs"/>
          <w:rtl/>
          <w:lang w:bidi="he-IL"/>
        </w:rPr>
        <w:t xml:space="preserve"> לעוק"ד אין זה משמע מסתימת דברי התוס'</w:t>
      </w:r>
      <w:r w:rsidR="005D525B" w:rsidRPr="00882F11">
        <w:rPr>
          <w:rFonts w:cs="Guttman Drogolin" w:hint="cs"/>
          <w:rtl/>
          <w:lang w:bidi="he-IL"/>
        </w:rPr>
        <w:t xml:space="preserve">. </w:t>
      </w:r>
      <w:r w:rsidR="009B2B47" w:rsidRPr="00882F11">
        <w:rPr>
          <w:rFonts w:cs="Guttman Drogolin" w:hint="cs"/>
          <w:rtl/>
          <w:lang w:bidi="he-IL"/>
        </w:rPr>
        <w:t xml:space="preserve">וכן המ"ב בסי' ש"א ס"ק קס"ה הסיק להקל בזה אפילו שלא במקום פסידא. </w:t>
      </w:r>
    </w:p>
    <w:p w:rsidR="003A3284" w:rsidRPr="00882F11" w:rsidRDefault="009667CB" w:rsidP="003A3284">
      <w:pPr>
        <w:bidi/>
        <w:jc w:val="both"/>
        <w:rPr>
          <w:rFonts w:cs="Guttman Drogolin"/>
          <w:rtl/>
          <w:lang w:bidi="he-IL"/>
        </w:rPr>
      </w:pPr>
      <w:r w:rsidRPr="00882F11">
        <w:rPr>
          <w:rFonts w:cs="Guttman Drogolin" w:hint="cs"/>
          <w:rtl/>
          <w:lang w:bidi="he-IL"/>
        </w:rPr>
        <w:t>ויוצא לכאורה לדינא שמחמירים במראית העין בכל האיסורים בין דאורייתא ובין דרבנן, ובין באלו המוזכרים בש"ס בהדיא ובין אלו שלא</w:t>
      </w:r>
      <w:r w:rsidR="003A3284" w:rsidRPr="00882F11">
        <w:rPr>
          <w:rFonts w:cs="Guttman Drogolin" w:hint="cs"/>
          <w:rtl/>
          <w:lang w:bidi="he-IL"/>
        </w:rPr>
        <w:t xml:space="preserve">. ומ"מ התוספת חומרא של חדרי חדרים ליכא אלא במראית העין לאיסור דאורייתא, אבל באיסור דרבנן לא. ואמנם לשון הגמ' הוא חדרי חדרים, בפוסקים מבואר שהאיסור של מראית העין כשלא החמירו בחדרי חדרים היינו בסעודות הגדולות, ומשמע שאצלו בבית אפילו בפני בני ביתו </w:t>
      </w:r>
      <w:r w:rsidR="003A3284" w:rsidRPr="00882F11">
        <w:rPr>
          <w:rFonts w:cs="Guttman Drogolin" w:hint="cs"/>
          <w:rtl/>
          <w:lang w:bidi="he-IL"/>
        </w:rPr>
        <w:lastRenderedPageBreak/>
        <w:t xml:space="preserve">ואורחים אין צריך להחמיר במראית העין לאיסור דרבנן, ולשון חדרי חדרים שנקטו היינו לחומרא, שכשהחמירו אפילו שלא בפרהסיא אפילו בחדרי חדרים החמירו. </w:t>
      </w:r>
    </w:p>
    <w:p w:rsidR="00D43763" w:rsidRPr="00882F11" w:rsidRDefault="003A3284" w:rsidP="003A3284">
      <w:pPr>
        <w:bidi/>
        <w:jc w:val="both"/>
        <w:rPr>
          <w:rFonts w:cs="Guttman Drogolin"/>
          <w:rtl/>
          <w:lang w:bidi="he-IL"/>
        </w:rPr>
      </w:pPr>
      <w:r w:rsidRPr="00882F11">
        <w:rPr>
          <w:rFonts w:cs="Guttman Drogolin" w:hint="cs"/>
          <w:rtl/>
          <w:lang w:bidi="he-IL"/>
        </w:rPr>
        <w:t>ובענין הקולא שבאיסור דרבנן, הנה הט"ז כתב להחמיר בבשר עוף מב' טעמים, חדא משום שיבאו להקל גם בבשר בהמה ולא ידעו לחלק בין דין עוף לדין בשר בהמה, וכן משום שלפעמים בשר עוף נראה כבשר בהמה, וכגון בבשר טחון. ולכאורה לענין הטענה הראשונה חזינן לדעתי' ש</w:t>
      </w:r>
      <w:r w:rsidR="0036061F" w:rsidRPr="00882F11">
        <w:rPr>
          <w:rFonts w:cs="Guttman Drogolin" w:hint="cs"/>
          <w:rtl/>
          <w:lang w:bidi="he-IL"/>
        </w:rPr>
        <w:t>ל הרמ"א דלא סבר כן, שה</w:t>
      </w:r>
      <w:r w:rsidRPr="00882F11">
        <w:rPr>
          <w:rFonts w:cs="Guttman Drogolin" w:hint="cs"/>
          <w:rtl/>
          <w:lang w:bidi="he-IL"/>
        </w:rPr>
        <w:t>רי הקיל בבשר עוף ולא חשש לזה שיבאו להקל באיסור דאורייתא דבשר בהמה. אמנם לענין הטענה השני' יכול להיות שגם הרמ"א מודה אם הוא בענין שאינו ניכר. וע' בסמוך.</w:t>
      </w:r>
    </w:p>
    <w:p w:rsidR="00D43763" w:rsidRPr="00882F11" w:rsidRDefault="00D43763" w:rsidP="0078079C">
      <w:pPr>
        <w:pStyle w:val="Heading1"/>
        <w:bidi/>
        <w:spacing w:before="0" w:line="360" w:lineRule="auto"/>
        <w:jc w:val="center"/>
        <w:rPr>
          <w:rFonts w:cs="Guttman Drogolin"/>
          <w:color w:val="auto"/>
          <w:sz w:val="24"/>
          <w:szCs w:val="24"/>
          <w:u w:val="single"/>
          <w:rtl/>
          <w:lang w:bidi="he-IL"/>
        </w:rPr>
      </w:pPr>
      <w:bookmarkStart w:id="183" w:name="_Toc496175439"/>
      <w:r w:rsidRPr="00882F11">
        <w:rPr>
          <w:rFonts w:cs="Guttman Drogolin" w:hint="cs"/>
          <w:color w:val="auto"/>
          <w:sz w:val="24"/>
          <w:szCs w:val="24"/>
          <w:u w:val="single"/>
          <w:rtl/>
          <w:lang w:bidi="he-IL"/>
        </w:rPr>
        <w:t>בהא דמהני היכר להתיר מראית העין</w:t>
      </w:r>
      <w:bookmarkEnd w:id="183"/>
    </w:p>
    <w:p w:rsidR="00D43763" w:rsidRPr="00882F11" w:rsidRDefault="00E85955" w:rsidP="00D43763">
      <w:pPr>
        <w:bidi/>
        <w:jc w:val="both"/>
        <w:rPr>
          <w:rFonts w:cs="Guttman Drogolin"/>
          <w:rtl/>
          <w:lang w:bidi="he-IL"/>
        </w:rPr>
      </w:pPr>
      <w:r>
        <w:rPr>
          <w:rFonts w:cs="Guttman Drogolin"/>
          <w:rtl/>
          <w:lang w:bidi="he-IL"/>
        </w:rPr>
        <w:fldChar w:fldCharType="begin"/>
      </w:r>
      <w:r>
        <w:instrText xml:space="preserve"> XE "</w:instrText>
      </w:r>
      <w:r w:rsidRPr="001D15A3">
        <w:rPr>
          <w:rFonts w:hint="cs"/>
          <w:rtl/>
          <w:lang w:bidi="he-IL"/>
        </w:rPr>
        <w:instrText>מראית העין</w:instrText>
      </w:r>
      <w:r w:rsidRPr="001D15A3">
        <w:rPr>
          <w:rtl/>
        </w:rPr>
        <w:instrText>:</w:instrText>
      </w:r>
      <w:r w:rsidRPr="001D15A3">
        <w:rPr>
          <w:rFonts w:hint="cs"/>
          <w:rtl/>
          <w:lang w:bidi="he-IL"/>
        </w:rPr>
        <w:instrText>אי מהני היכר</w:instrText>
      </w:r>
      <w:r>
        <w:instrText xml:space="preserve">" </w:instrText>
      </w:r>
      <w:r>
        <w:rPr>
          <w:rFonts w:cs="Guttman Drogolin"/>
          <w:rtl/>
          <w:lang w:bidi="he-IL"/>
        </w:rPr>
        <w:fldChar w:fldCharType="end"/>
      </w:r>
      <w:r w:rsidR="00D43763" w:rsidRPr="00882F11">
        <w:rPr>
          <w:rFonts w:cs="Guttman Drogolin" w:hint="cs"/>
          <w:rtl/>
          <w:lang w:bidi="he-IL"/>
        </w:rPr>
        <w:t>בסוגיא דמס' כריתות דף כ"א ע"ב מבואר דאע"ג שאסור דם דגים משום מראית העין, מ"מ אם יש בה קשקשים יש להקל. ומשו"ה נקט הרמ"א כאן שהגם שאסור לבשל בשר בהמה בחלב שקדים, מ"מ אם מניח לידו שקדים מותר. אמנם יעוין בהגהות רע"א בסי' ס"ו סע ט' שהעיר שהרי לשון הגמ' הוא 'דאית ביה קשקשים', ורש"י שם הוסיף 'דאית ביה בדם קשקשים'. וכתב שמשמע דלא מהני אא"כ הקשקשים בתוך הדם אבל ליד הדם לא מהני. והוסיף עוד להסתפק אם מהני להניח קשקשים בתוך הדם. וכן דקדק מתוס' שם שכתבו דלא שייך קשקשים בהלכי שתים. ולכאורה צ"ע דהא יכול להניח קשקשים לתוך דם מהלכי שתים. אמנם דקדק רע"א מלשון הרמ"א דלית לי' חומרות אלו, דהא כתב דמהני להניח שקדים ליד החלב שקדים כדי להתיר מראית העין.</w:t>
      </w:r>
    </w:p>
    <w:p w:rsidR="003A3284" w:rsidRPr="00882F11" w:rsidRDefault="00D43763" w:rsidP="002455B1">
      <w:pPr>
        <w:bidi/>
        <w:jc w:val="both"/>
        <w:rPr>
          <w:rFonts w:cs="Guttman Drogolin"/>
          <w:rtl/>
          <w:lang w:bidi="he-IL"/>
        </w:rPr>
      </w:pPr>
      <w:r w:rsidRPr="00882F11">
        <w:rPr>
          <w:rFonts w:cs="Guttman Drogolin" w:hint="cs"/>
          <w:rtl/>
          <w:lang w:bidi="he-IL"/>
        </w:rPr>
        <w:t xml:space="preserve">והנה הטעם להצריך קשקשים של עצמו ולא מהני להניח לאחר מכן לכאורה הוי משום דאל"כ עיקרא הי' עליו איסור של מראית העין, כיון דמעיקרא לא הי' בה היכר, ואע"ג שהניח קשקשים לאחר </w:t>
      </w:r>
      <w:r w:rsidRPr="00882F11">
        <w:rPr>
          <w:rFonts w:cs="Guttman Drogolin" w:hint="cs"/>
          <w:rtl/>
          <w:lang w:bidi="he-IL"/>
        </w:rPr>
        <w:lastRenderedPageBreak/>
        <w:t>מכן מ"מ כיון שחל האיסור תו לא פקע. והטעם לומר דלא מהני אא"כ הם בתוך הדם י"ל שאינו היכר מספיק טוב בלי זה, דמי אומר שהקשקשים מסמנים היכר לדם זה, רק אם הוא בפנים הרי הוא מוכח מיני' ובי'. ומ"מ הרי דקדק רע"א דרמ"א הקיי</w:t>
      </w:r>
      <w:r w:rsidR="0036061F" w:rsidRPr="00882F11">
        <w:rPr>
          <w:rFonts w:cs="Guttman Drogolin" w:hint="cs"/>
          <w:rtl/>
          <w:lang w:bidi="he-IL"/>
        </w:rPr>
        <w:t>"</w:t>
      </w:r>
      <w:r w:rsidRPr="00882F11">
        <w:rPr>
          <w:rFonts w:cs="Guttman Drogolin" w:hint="cs"/>
          <w:rtl/>
          <w:lang w:bidi="he-IL"/>
        </w:rPr>
        <w:t>ל בזה, וא"כ לכאורה הכי קיי"ל. ונראה פשוט לעוק"ד שאין כאן דין של קשקשים או שקדים, ומהני כל היכר המוכיח שאין זה חלב אמיתי או דם אמיתי, ול</w:t>
      </w:r>
      <w:r w:rsidR="002455B1" w:rsidRPr="00882F11">
        <w:rPr>
          <w:rFonts w:cs="Guttman Drogolin" w:hint="cs"/>
          <w:rtl/>
          <w:lang w:bidi="he-IL"/>
        </w:rPr>
        <w:t>כ</w:t>
      </w:r>
      <w:r w:rsidRPr="00882F11">
        <w:rPr>
          <w:rFonts w:cs="Guttman Drogolin" w:hint="cs"/>
          <w:rtl/>
          <w:lang w:bidi="he-IL"/>
        </w:rPr>
        <w:t>ן מהני להניח את הקופסא שלידו שמפורש בה שאינו חלב אמיתי, וגם פתק הכתוב בה שאין זה חלב אמיתי מהני</w:t>
      </w:r>
      <w:r w:rsidR="002455B1" w:rsidRPr="00882F11">
        <w:rPr>
          <w:rStyle w:val="FootnoteReference"/>
          <w:rFonts w:cs="Guttman Drogolin"/>
          <w:rtl/>
          <w:lang w:bidi="he-IL"/>
        </w:rPr>
        <w:footnoteReference w:id="227"/>
      </w:r>
      <w:r w:rsidRPr="00882F11">
        <w:rPr>
          <w:rFonts w:cs="Guttman Drogolin" w:hint="cs"/>
          <w:rtl/>
          <w:lang w:bidi="he-IL"/>
        </w:rPr>
        <w:t>. ולהיפך, נראין הדברים שהיום לא הי' מהני להניח שקדים כיון שאין הדרך לסמן ע"י זה ולא ידע הרואה ע"י זה שאין זה חלב אמיתי.</w:t>
      </w:r>
    </w:p>
    <w:p w:rsidR="003A3284" w:rsidRPr="00882F11" w:rsidRDefault="003A3284" w:rsidP="0078079C">
      <w:pPr>
        <w:pStyle w:val="Heading1"/>
        <w:bidi/>
        <w:spacing w:before="0" w:line="360" w:lineRule="auto"/>
        <w:jc w:val="center"/>
        <w:rPr>
          <w:rFonts w:cs="Guttman Drogolin"/>
          <w:color w:val="auto"/>
          <w:sz w:val="24"/>
          <w:szCs w:val="24"/>
          <w:u w:val="single"/>
          <w:rtl/>
          <w:lang w:bidi="he-IL"/>
        </w:rPr>
      </w:pPr>
      <w:bookmarkStart w:id="184" w:name="_Toc496175440"/>
      <w:r w:rsidRPr="00882F11">
        <w:rPr>
          <w:rFonts w:cs="Guttman Drogolin" w:hint="cs"/>
          <w:color w:val="auto"/>
          <w:sz w:val="24"/>
          <w:szCs w:val="24"/>
          <w:u w:val="single"/>
          <w:rtl/>
          <w:lang w:bidi="he-IL"/>
        </w:rPr>
        <w:t>תחליפי חלב ובשר של היום</w:t>
      </w:r>
      <w:bookmarkEnd w:id="184"/>
    </w:p>
    <w:p w:rsidR="003A3284" w:rsidRPr="00882F11" w:rsidRDefault="00E85955" w:rsidP="00D670E4">
      <w:pPr>
        <w:bidi/>
        <w:jc w:val="both"/>
        <w:rPr>
          <w:rFonts w:cs="Guttman Drogolin"/>
          <w:rtl/>
          <w:lang w:bidi="he-IL"/>
        </w:rPr>
      </w:pPr>
      <w:r>
        <w:rPr>
          <w:rFonts w:cs="Guttman Drogolin"/>
          <w:rtl/>
          <w:lang w:bidi="he-IL"/>
        </w:rPr>
        <w:fldChar w:fldCharType="begin"/>
      </w:r>
      <w:r>
        <w:instrText xml:space="preserve"> XE "</w:instrText>
      </w:r>
      <w:r w:rsidRPr="00F807A3">
        <w:rPr>
          <w:rFonts w:hint="cs"/>
          <w:rtl/>
          <w:lang w:bidi="he-IL"/>
        </w:rPr>
        <w:instrText>מראית העין</w:instrText>
      </w:r>
      <w:r w:rsidRPr="00F807A3">
        <w:rPr>
          <w:rtl/>
        </w:rPr>
        <w:instrText>:</w:instrText>
      </w:r>
      <w:r w:rsidRPr="00F807A3">
        <w:rPr>
          <w:rFonts w:hint="cs"/>
          <w:rtl/>
          <w:lang w:bidi="he-IL"/>
        </w:rPr>
        <w:instrText>תחליפי חלב ובשר של היום</w:instrText>
      </w:r>
      <w:r>
        <w:instrText xml:space="preserve">" </w:instrText>
      </w:r>
      <w:r>
        <w:rPr>
          <w:rFonts w:cs="Guttman Drogolin"/>
          <w:rtl/>
          <w:lang w:bidi="he-IL"/>
        </w:rPr>
        <w:fldChar w:fldCharType="end"/>
      </w:r>
      <w:r w:rsidR="003A3284" w:rsidRPr="00882F11">
        <w:rPr>
          <w:rFonts w:cs="Guttman Drogolin" w:hint="cs"/>
          <w:rtl/>
          <w:lang w:bidi="he-IL"/>
        </w:rPr>
        <w:t xml:space="preserve">ע"פ הדברים האלו דנו הפוסקים </w:t>
      </w:r>
      <w:r w:rsidR="00D670E4" w:rsidRPr="00882F11">
        <w:rPr>
          <w:rFonts w:cs="Guttman Drogolin" w:hint="cs"/>
          <w:rtl/>
          <w:lang w:bidi="he-IL"/>
        </w:rPr>
        <w:t>ב</w:t>
      </w:r>
      <w:r w:rsidR="003A3284" w:rsidRPr="00882F11">
        <w:rPr>
          <w:rFonts w:cs="Guttman Drogolin" w:hint="cs"/>
          <w:rtl/>
          <w:lang w:bidi="he-IL"/>
        </w:rPr>
        <w:t xml:space="preserve">כמה דברים הנפוצים היום כתחליף לבשר או לחלב האם מותר להשתמש בו במין השני או"ד יש בזה משום מראית העין. </w:t>
      </w:r>
      <w:r w:rsidR="00C464D6" w:rsidRPr="00882F11">
        <w:rPr>
          <w:rFonts w:cs="Guttman Drogolin" w:hint="cs"/>
          <w:rtl/>
          <w:lang w:bidi="he-IL"/>
        </w:rPr>
        <w:t>והנה זה דבר פשוט כביעתא בכותחא שהתחליף צריך להיות דומה לאותו מין כדי לאסור. ולכן כגון שניצל תירס או שניצל טבעול אין בהם משום מראית העין, דמה"ת דהוו בשרי. אבל יל</w:t>
      </w:r>
      <w:r w:rsidR="00C31F68" w:rsidRPr="00882F11">
        <w:rPr>
          <w:rFonts w:cs="Guttman Drogolin" w:hint="cs"/>
          <w:rtl/>
          <w:lang w:bidi="he-IL"/>
        </w:rPr>
        <w:t>"ע מה הדין בנקנקיות פרווה, וכן גלידה פרווה, וכן מלבין קפה פרווה.</w:t>
      </w:r>
    </w:p>
    <w:p w:rsidR="00C31F68" w:rsidRPr="00882F11" w:rsidRDefault="00C31F68" w:rsidP="00D43763">
      <w:pPr>
        <w:bidi/>
        <w:jc w:val="both"/>
        <w:rPr>
          <w:rFonts w:cs="Guttman Drogolin"/>
          <w:rtl/>
          <w:lang w:bidi="he-IL"/>
        </w:rPr>
      </w:pPr>
      <w:r w:rsidRPr="00882F11">
        <w:rPr>
          <w:rFonts w:cs="Guttman Drogolin" w:hint="cs"/>
          <w:rtl/>
          <w:lang w:bidi="he-IL"/>
        </w:rPr>
        <w:t xml:space="preserve">והנה </w:t>
      </w:r>
      <w:r w:rsidR="00CD4F27" w:rsidRPr="00882F11">
        <w:rPr>
          <w:rFonts w:cs="Guttman Drogolin" w:hint="cs"/>
          <w:rtl/>
          <w:lang w:bidi="he-IL"/>
        </w:rPr>
        <w:t>בכגון גלידה פרווה או מלבין קפה הא אין החשד שעובר איסור דאורייתא, דהא הוי איסור דרבנן של בשר ואח"כ חלב באותה סעודה, ולכן אם עושה כן בתוך ביתו ודאי שאין בזה איסור כיון שאינו בפרהסיא. אבל עדיין יל"ע אם יש לאסור בסעודות גדולות כמו חתונה ומכבדים במנה אחרונה גלידה פרווה או קפה אם מלבין מה דינו. ובבדה"ש ס"ק מ"ח החמיר להצריך היכר.</w:t>
      </w:r>
    </w:p>
    <w:p w:rsidR="007B7D44" w:rsidRPr="00882F11" w:rsidRDefault="00284FFB" w:rsidP="00252DD6">
      <w:pPr>
        <w:bidi/>
        <w:jc w:val="both"/>
        <w:rPr>
          <w:rFonts w:cs="Guttman Drogolin"/>
          <w:rtl/>
          <w:lang w:bidi="he-IL"/>
        </w:rPr>
      </w:pPr>
      <w:r w:rsidRPr="00882F11">
        <w:rPr>
          <w:rFonts w:cs="Guttman Drogolin" w:hint="cs"/>
          <w:rtl/>
          <w:lang w:bidi="he-IL"/>
        </w:rPr>
        <w:t xml:space="preserve">וכבר העירו שיש טעם להקל היום בכל הדברים האלו כיון שהשימוש בהם נפוץ וממילא אין בה </w:t>
      </w:r>
      <w:r w:rsidRPr="00882F11">
        <w:rPr>
          <w:rFonts w:cs="Guttman Drogolin" w:hint="cs"/>
          <w:rtl/>
          <w:lang w:bidi="he-IL"/>
        </w:rPr>
        <w:lastRenderedPageBreak/>
        <w:t>משום מראית העין. והנה בעצם סברא זו ע' בכרו"פ</w:t>
      </w:r>
      <w:r w:rsidR="00252DD6" w:rsidRPr="00882F11">
        <w:rPr>
          <w:rFonts w:cs="Guttman Drogolin" w:hint="cs"/>
          <w:rtl/>
          <w:lang w:bidi="he-IL"/>
        </w:rPr>
        <w:t xml:space="preserve"> שהעיר אהא דקאמרו האחרונים שיש איסור מראית העין בחלב אשה עם בשר עוף, דהא במקומו של יוסי היו אוכלין בשר עוף בחלב ולמה לא אסרו משום מראית העין שנראה כבשר בהמה לפמש"כ הט"ז שיש בה מראית העין לבשר בהמה טהורה. ותי' שלא אסרו דם אלא משום שלא הי' שכיח להכניס דם דגים בכלי, אבל במקומו של ר' יוסי שהי' שכיח אין כאן משום מראית העין</w:t>
      </w:r>
      <w:r w:rsidR="007B7D44" w:rsidRPr="00882F11">
        <w:rPr>
          <w:rStyle w:val="FootnoteReference"/>
          <w:rFonts w:cs="Guttman Drogolin"/>
          <w:rtl/>
          <w:lang w:bidi="he-IL"/>
        </w:rPr>
        <w:footnoteReference w:id="228"/>
      </w:r>
      <w:r w:rsidR="00252DD6" w:rsidRPr="00882F11">
        <w:rPr>
          <w:rFonts w:cs="Guttman Drogolin" w:hint="cs"/>
          <w:rtl/>
          <w:lang w:bidi="he-IL"/>
        </w:rPr>
        <w:t>. וע' במגי"ס שהעיר עוד מאו"ח סי' רמ"ג סע' ב' שאם רוב מנהג אנשי העיר לעשות באופן המותר אין כאן חשד כלל, וכן הוא לכאורה פשוט מסברא. אמנם יש לדון אם יש מראית העין אע"פ שאינו הרוב אבל מ"מ תשמיש נפוץ הוא. ושם במגי"ס רצה להקל בזה, אלא שהעיר שבביאורים לס' בדה"ש עמ' י"א כתב שמשמעות הרמ"א שהי' הדרך לעשות חלב משקדים, מ"מ אסרוהו משום מראית העין. וע"ש מש"כ ליישב בדבר, ודבריו מחודשים.</w:t>
      </w:r>
    </w:p>
    <w:p w:rsidR="00DC6606" w:rsidRPr="00882F11" w:rsidRDefault="007B7D44" w:rsidP="0068577A">
      <w:pPr>
        <w:bidi/>
        <w:jc w:val="both"/>
        <w:rPr>
          <w:rFonts w:cs="Guttman Drogolin"/>
          <w:rtl/>
          <w:lang w:bidi="he-IL"/>
        </w:rPr>
      </w:pPr>
      <w:r w:rsidRPr="00882F11">
        <w:rPr>
          <w:rFonts w:cs="Guttman Drogolin" w:hint="cs"/>
          <w:rtl/>
          <w:lang w:bidi="he-IL"/>
        </w:rPr>
        <w:t>ולדינא הנה לכאורה נראה פשוט שאם ישתה אדם כוס של חלב שקדים בימינו בסעודה בשרית יהא בזה משום מראית העין, דהא אין הנהוג לשתות חלב כזה בכוס והרי זה מראה חשד. ופשוט דלא מהני בזה הא דמיירי ביראים ושלמים, שהרי גזרו מראית העין אפילו עליהם, רק תלוי אם היינו אומרים כן מעצמינו אפילו אין אנו יודעים מיהו האוכל את הדבר. ובכוס חלב שקדים, כיון שאין זה השימוש הרגיל שלו יש חשד (אע"ג שאינו אלא חשד של איסור דרבנן מ"מ יהא אסור לעשות כן בסעודות גדולות בלי היכר). ובגלידה פרווה לכאורה יש להתיר יותר</w:t>
      </w:r>
      <w:r w:rsidR="0068577A" w:rsidRPr="00882F11">
        <w:rPr>
          <w:rFonts w:cs="Guttman Drogolin" w:hint="cs"/>
          <w:rtl/>
          <w:lang w:bidi="he-IL"/>
        </w:rPr>
        <w:t xml:space="preserve"> מסברא הנ"ל, שהרי יוצרים את זה ל</w:t>
      </w:r>
      <w:r w:rsidRPr="00882F11">
        <w:rPr>
          <w:rFonts w:cs="Guttman Drogolin" w:hint="cs"/>
          <w:rtl/>
          <w:lang w:bidi="he-IL"/>
        </w:rPr>
        <w:t xml:space="preserve">רוב ולתכלית זו. אמנם ראיתי להעיר דהרי מ"מ הוא מבוסס על האדם האכלו, דלכאורה עכו"ם, או אפילו יהודי שאינו שומר תורה ומצות לא הי' אוכל דוקא גלידה פרווה בסוף הסעודה, וכן יהודי שומר תו"מ לא הי' אוכל גלידה </w:t>
      </w:r>
      <w:r w:rsidRPr="00882F11">
        <w:rPr>
          <w:rFonts w:cs="Guttman Drogolin" w:hint="cs"/>
          <w:rtl/>
          <w:lang w:bidi="he-IL"/>
        </w:rPr>
        <w:lastRenderedPageBreak/>
        <w:t xml:space="preserve">פרווה בסוף סעודה חלבית. וא"כ י"ל שנחשב מראית העין. ויש לומר גם לצד השני, שמ"מ השתמיש הגלידה כגון זו נפוץ יהי' הטעם איך שיהי' וא"כ לא יהא בה משום מראית כהעין. וכמדומה לי מנהג העולם להקל בזה אפילו בסעודות הגדולות ומסברא הנ"ל. ומ"מ נראה פשוט שאפילו אם הסברא הנ"ל נכונה, מ"מ אין להגיש את זה לפני </w:t>
      </w:r>
      <w:r w:rsidR="0068577A" w:rsidRPr="00882F11">
        <w:rPr>
          <w:rFonts w:cs="Guttman Drogolin" w:hint="cs"/>
          <w:rtl/>
          <w:lang w:bidi="he-IL"/>
        </w:rPr>
        <w:t>אלו</w:t>
      </w:r>
      <w:r w:rsidRPr="00882F11">
        <w:rPr>
          <w:rFonts w:cs="Guttman Drogolin" w:hint="cs"/>
          <w:rtl/>
          <w:lang w:bidi="he-IL"/>
        </w:rPr>
        <w:t xml:space="preserve"> שאינם שומרי תו"מ רח"ל אם אצלהם אין הנהוג לאכול גלידה פרווה כלל, </w:t>
      </w:r>
      <w:r w:rsidR="00DC6606" w:rsidRPr="00882F11">
        <w:rPr>
          <w:rFonts w:cs="Guttman Drogolin" w:hint="cs"/>
          <w:rtl/>
          <w:lang w:bidi="he-IL"/>
        </w:rPr>
        <w:t>דא"כ ודאי הוי מראית העין.</w:t>
      </w:r>
    </w:p>
    <w:p w:rsidR="00DC6606" w:rsidRPr="00882F11" w:rsidRDefault="00DC6606" w:rsidP="00DC6606">
      <w:pPr>
        <w:bidi/>
        <w:jc w:val="both"/>
        <w:rPr>
          <w:rFonts w:cs="Guttman Drogolin"/>
          <w:rtl/>
          <w:lang w:bidi="he-IL"/>
        </w:rPr>
      </w:pPr>
      <w:r w:rsidRPr="00882F11">
        <w:rPr>
          <w:rFonts w:cs="Guttman Drogolin" w:hint="cs"/>
          <w:rtl/>
          <w:lang w:bidi="he-IL"/>
        </w:rPr>
        <w:t>ואסיים להעיר במי שאכל דבר שנראה בשרי לכל הדעות ואסוכר לכו"ע משום מראית העין עם חלב, האם יהא אסור לו לאכול לאחר מכן דבר חלבי ממש, דהא הרואה אינו רואה איסור לא בהתחלה ולא לבסוף, רק אם ראה גם את האכילה הראשונה וגם האכילה השני' יש חשד, ויתכן שכולי האי לא חששו רבנן. ומ"מ אפילו אם ניקל בזה, לא תהני סברא זו לגלידה בסעודות גדולות, ששם ניכר אפילו בשעת אכילת הגלידה שהו</w:t>
      </w:r>
      <w:r w:rsidR="00D421E8" w:rsidRPr="00882F11">
        <w:rPr>
          <w:rFonts w:cs="Guttman Drogolin" w:hint="cs"/>
          <w:rtl/>
          <w:lang w:bidi="he-IL"/>
        </w:rPr>
        <w:t>א</w:t>
      </w:r>
      <w:r w:rsidRPr="00882F11">
        <w:rPr>
          <w:rFonts w:cs="Guttman Drogolin" w:hint="cs"/>
          <w:rtl/>
          <w:lang w:bidi="he-IL"/>
        </w:rPr>
        <w:t xml:space="preserve"> אחרי אכילת סעודה בשרית. </w:t>
      </w:r>
    </w:p>
    <w:p w:rsidR="00D421E8" w:rsidRPr="00882F11" w:rsidRDefault="00D421E8" w:rsidP="00662307">
      <w:pPr>
        <w:pStyle w:val="Heading1"/>
        <w:bidi/>
        <w:spacing w:before="0" w:line="240" w:lineRule="auto"/>
        <w:jc w:val="center"/>
        <w:rPr>
          <w:rFonts w:cs="Guttman Drogolin"/>
          <w:color w:val="auto"/>
          <w:sz w:val="24"/>
          <w:szCs w:val="24"/>
          <w:u w:val="single"/>
          <w:rtl/>
          <w:lang w:bidi="he-IL"/>
        </w:rPr>
      </w:pPr>
      <w:bookmarkStart w:id="185" w:name="_Toc496175441"/>
      <w:r w:rsidRPr="00882F11">
        <w:rPr>
          <w:rFonts w:cs="Guttman Drogolin" w:hint="cs"/>
          <w:color w:val="auto"/>
          <w:sz w:val="24"/>
          <w:szCs w:val="24"/>
          <w:u w:val="single"/>
          <w:rtl/>
          <w:lang w:bidi="he-IL"/>
        </w:rPr>
        <w:t>הערה בדין אכילת גבינה אחרי אכילת ביצה שיש לה דין בשר עוף</w:t>
      </w:r>
      <w:bookmarkEnd w:id="185"/>
    </w:p>
    <w:p w:rsidR="0092055B" w:rsidRPr="00882F11" w:rsidRDefault="00E85955" w:rsidP="001B7EF2">
      <w:pPr>
        <w:bidi/>
        <w:jc w:val="both"/>
        <w:rPr>
          <w:rFonts w:cs="Guttman Drogolin"/>
          <w:rtl/>
          <w:lang w:bidi="he-IL"/>
        </w:rPr>
      </w:pPr>
      <w:r>
        <w:rPr>
          <w:rFonts w:cs="Guttman Drogolin"/>
          <w:rtl/>
          <w:lang w:bidi="he-IL"/>
        </w:rPr>
        <w:fldChar w:fldCharType="begin"/>
      </w:r>
      <w:r>
        <w:instrText xml:space="preserve"> XE "</w:instrText>
      </w:r>
      <w:r w:rsidRPr="003D18BE">
        <w:rPr>
          <w:rFonts w:hint="cs"/>
          <w:rtl/>
          <w:lang w:bidi="he-IL"/>
        </w:rPr>
        <w:instrText>בשר בחלב - חיוב המתנה</w:instrText>
      </w:r>
      <w:r w:rsidRPr="003D18BE">
        <w:rPr>
          <w:rtl/>
        </w:rPr>
        <w:instrText>:</w:instrText>
      </w:r>
      <w:r w:rsidRPr="003D18BE">
        <w:rPr>
          <w:rFonts w:hint="cs"/>
          <w:rtl/>
          <w:lang w:bidi="he-IL"/>
        </w:rPr>
        <w:instrText>אכילת גבינה אחרי ביצה שדינה כבשר עוף</w:instrText>
      </w:r>
      <w:r>
        <w:instrText xml:space="preserve">" </w:instrText>
      </w:r>
      <w:r>
        <w:rPr>
          <w:rFonts w:cs="Guttman Drogolin"/>
          <w:rtl/>
          <w:lang w:bidi="he-IL"/>
        </w:rPr>
        <w:fldChar w:fldCharType="end"/>
      </w:r>
      <w:r w:rsidR="00D421E8" w:rsidRPr="00882F11">
        <w:rPr>
          <w:rFonts w:cs="Guttman Drogolin" w:hint="cs"/>
          <w:rtl/>
          <w:lang w:bidi="he-IL"/>
        </w:rPr>
        <w:t xml:space="preserve">סעיף ה' עוסקת בדין ביצה ממתי נחשבת כביצה ולא כחלק של גוף העוף כדי שיהא דינו כפרווה ולא כבשרי. והחמיר כשיטת הרשב"א שאינו חשוב ביצה גמורה אא"כ יש לה גם חלבון, וקודם לזה אסור לבשלו בחלב. אמנם הסיק כדברי הארחות חיים המובא בב"י שאעפ"כ מותר לאכול גבינה אחרי ביצים כאלו. </w:t>
      </w:r>
      <w:r w:rsidR="0092055B" w:rsidRPr="00882F11">
        <w:rPr>
          <w:rFonts w:cs="Guttman Drogolin" w:hint="cs"/>
          <w:rtl/>
          <w:lang w:bidi="he-IL"/>
        </w:rPr>
        <w:t xml:space="preserve">וע' בפר"ח שהתקשה בדין זה כיון שלשיטתו לוקה על זה משום עוף טמא. </w:t>
      </w:r>
      <w:r w:rsidR="00D421E8" w:rsidRPr="00882F11">
        <w:rPr>
          <w:rFonts w:cs="Guttman Drogolin" w:hint="cs"/>
          <w:rtl/>
          <w:lang w:bidi="he-IL"/>
        </w:rPr>
        <w:t xml:space="preserve">וביד יהודה </w:t>
      </w:r>
      <w:r w:rsidR="001B7EF2" w:rsidRPr="00882F11">
        <w:rPr>
          <w:rFonts w:cs="Guttman Drogolin" w:hint="cs"/>
          <w:rtl/>
          <w:lang w:bidi="he-IL"/>
        </w:rPr>
        <w:t xml:space="preserve">ס"ק ח' ביאר שהרי הטעם שהחמירו רק בבשר ואח"כ גבינה ולא ההיפך משום שדוקא הטעם של הבשר נמשך או משום שדוקא בשר נכנס בין השיניים, וא"כ הכא דמיירי בביצה אע"ג שדינו כבשר מ"מ אין לו התכונה של בשר ולכן אינו חייב להמתין. ועדיין צריך לי עיון, לא מיבעי לשיטת הרמ"א שמחמיר אפילו בתבשיל בשר שלא לאכול אחריו גבינה (ולכן קשה למה לא השיג על זה הרמ"א), אלא אפילו לשיטת המחבר שמיקל בזה מ"מ לכאורה גם הוא </w:t>
      </w:r>
      <w:r w:rsidR="001B7EF2" w:rsidRPr="00882F11">
        <w:rPr>
          <w:rFonts w:cs="Guttman Drogolin" w:hint="cs"/>
          <w:rtl/>
          <w:lang w:bidi="he-IL"/>
        </w:rPr>
        <w:lastRenderedPageBreak/>
        <w:t>מחמיר בשומן של בשר וכמש"כ הרשב"א כיון ששם בשר עליו וא"כ מאי שנא הכא שהקילו. וצ"ע.</w:t>
      </w:r>
    </w:p>
    <w:p w:rsidR="0092055B" w:rsidRPr="00882F11" w:rsidRDefault="0092055B" w:rsidP="0078079C">
      <w:pPr>
        <w:pStyle w:val="Heading1"/>
        <w:bidi/>
        <w:spacing w:before="0" w:line="360" w:lineRule="auto"/>
        <w:jc w:val="center"/>
        <w:rPr>
          <w:rFonts w:cs="Guttman Drogolin"/>
          <w:color w:val="auto"/>
          <w:sz w:val="24"/>
          <w:szCs w:val="24"/>
          <w:u w:val="single"/>
          <w:rtl/>
          <w:lang w:bidi="he-IL"/>
        </w:rPr>
      </w:pPr>
      <w:bookmarkStart w:id="186" w:name="_Toc496175442"/>
      <w:r w:rsidRPr="00882F11">
        <w:rPr>
          <w:rFonts w:cs="Guttman Drogolin" w:hint="cs"/>
          <w:color w:val="auto"/>
          <w:sz w:val="24"/>
          <w:szCs w:val="24"/>
          <w:u w:val="single"/>
          <w:rtl/>
          <w:lang w:bidi="he-IL"/>
        </w:rPr>
        <w:t>בדין מעושן</w:t>
      </w:r>
      <w:bookmarkEnd w:id="186"/>
    </w:p>
    <w:p w:rsidR="0092055B" w:rsidRDefault="00E85955" w:rsidP="0092055B">
      <w:pPr>
        <w:bidi/>
        <w:jc w:val="both"/>
        <w:rPr>
          <w:rFonts w:cs="Guttman Drogolin"/>
          <w:rtl/>
          <w:lang w:bidi="he-IL"/>
        </w:rPr>
      </w:pPr>
      <w:r>
        <w:rPr>
          <w:rFonts w:cs="Guttman Drogolin"/>
          <w:rtl/>
          <w:lang w:bidi="he-IL"/>
        </w:rPr>
        <w:fldChar w:fldCharType="begin"/>
      </w:r>
      <w:r>
        <w:instrText xml:space="preserve"> XE "</w:instrText>
      </w:r>
      <w:r w:rsidRPr="00017D0E">
        <w:rPr>
          <w:rFonts w:hint="cs"/>
          <w:rtl/>
          <w:lang w:bidi="he-IL"/>
        </w:rPr>
        <w:instrText>בשר בחלב</w:instrText>
      </w:r>
      <w:r w:rsidRPr="00017D0E">
        <w:rPr>
          <w:rtl/>
        </w:rPr>
        <w:instrText>:</w:instrText>
      </w:r>
      <w:r w:rsidRPr="00017D0E">
        <w:rPr>
          <w:rFonts w:hint="cs"/>
          <w:rtl/>
          <w:lang w:bidi="he-IL"/>
        </w:rPr>
        <w:instrText>מעושן</w:instrText>
      </w:r>
      <w:r>
        <w:instrText xml:space="preserve">" </w:instrText>
      </w:r>
      <w:r>
        <w:rPr>
          <w:rFonts w:cs="Guttman Drogolin"/>
          <w:rtl/>
          <w:lang w:bidi="he-IL"/>
        </w:rPr>
        <w:fldChar w:fldCharType="end"/>
      </w:r>
      <w:r w:rsidR="0092055B" w:rsidRPr="00882F11">
        <w:rPr>
          <w:rFonts w:cs="Guttman Drogolin" w:hint="cs"/>
          <w:rtl/>
          <w:lang w:bidi="he-IL"/>
        </w:rPr>
        <w:t xml:space="preserve">הירושלמי הסתפק אם מעושן חשוב כבישול בין לענין שבת ובין לענין בב"ח. ולכאורה צ"ע איזה מקום יש להתספק בזה כיון שהוא מתבשל מכח חום שמקורו מע"ג האש. </w:t>
      </w:r>
      <w:r w:rsidR="005C7905" w:rsidRPr="00882F11">
        <w:rPr>
          <w:rFonts w:cs="Guttman Drogolin" w:hint="cs"/>
          <w:rtl/>
          <w:lang w:bidi="he-IL"/>
        </w:rPr>
        <w:t>ובכרו"פ ראיתי שיסוד הספק משום שאינו דרך בישול, וע"ש שמשו"ה הספק של הירולשמי לענין שבת והספק לענין בב"ח הוו ב' ספיקות נפרדות (ובביאור הגר"א הוכיח שהבבלי סבר שחייבים על מעושן בשבת, ולדברי הכרו"פ אין מזה ראי' לענין בב"ח). ומכאן מקור לכל הסוגי בישול שדנו בה האחרונים אם חייבים עליהם משום בב"ח או דהוו שלא כדרך בישול ואינו חייב.</w:t>
      </w:r>
      <w:r w:rsidR="0092055B" w:rsidRPr="00882F11">
        <w:rPr>
          <w:rFonts w:cs="Guttman Drogolin" w:hint="cs"/>
          <w:rtl/>
          <w:lang w:bidi="he-IL"/>
        </w:rPr>
        <w:t xml:space="preserve"> </w:t>
      </w:r>
    </w:p>
    <w:p w:rsidR="00D154D1" w:rsidRPr="00882F11" w:rsidRDefault="00D154D1" w:rsidP="00D154D1">
      <w:pPr>
        <w:bidi/>
        <w:jc w:val="both"/>
        <w:rPr>
          <w:rFonts w:cs="Guttman Drogolin"/>
          <w:rtl/>
          <w:lang w:bidi="he-IL"/>
        </w:rPr>
      </w:pPr>
      <w:r>
        <w:rPr>
          <w:rFonts w:cs="Guttman Drogolin" w:hint="cs"/>
          <w:rtl/>
          <w:lang w:bidi="he-IL"/>
        </w:rPr>
        <w:t>שו"ר בשם חדרי דעה סי' פ"ז ס"ק ו' שכתב שכל מה שהסתפקו במעושן אינו אלא במעושן צונן, אבל במעושן חם ודאי בישול הוא. וע' גם בס' בישול ישראל (בעניני בישול עכו"ם) סי' ח'.</w:t>
      </w:r>
    </w:p>
    <w:p w:rsidR="00BC25C6" w:rsidRPr="00882F11" w:rsidRDefault="001B7EF2" w:rsidP="0092055B">
      <w:pPr>
        <w:bidi/>
        <w:jc w:val="both"/>
        <w:rPr>
          <w:rFonts w:cs="Guttman Drogolin"/>
          <w:rtl/>
          <w:lang w:bidi="he-IL"/>
        </w:rPr>
        <w:sectPr w:rsidR="00BC25C6" w:rsidRPr="00882F11" w:rsidSect="00662307">
          <w:type w:val="continuous"/>
          <w:pgSz w:w="11907" w:h="16839" w:code="9"/>
          <w:pgMar w:top="1440" w:right="1440" w:bottom="1440" w:left="1440" w:header="720" w:footer="720" w:gutter="0"/>
          <w:cols w:num="2" w:space="720"/>
          <w:bidi/>
          <w:docGrid w:linePitch="360"/>
        </w:sectPr>
      </w:pPr>
      <w:r w:rsidRPr="00882F11">
        <w:rPr>
          <w:rFonts w:cs="Guttman Drogolin" w:hint="cs"/>
          <w:rtl/>
          <w:lang w:bidi="he-IL"/>
        </w:rPr>
        <w:t xml:space="preserve">    </w:t>
      </w:r>
      <w:r w:rsidR="00D421E8" w:rsidRPr="00882F11">
        <w:rPr>
          <w:rFonts w:cs="Guttman Drogolin" w:hint="cs"/>
          <w:rtl/>
          <w:lang w:bidi="he-IL"/>
        </w:rPr>
        <w:t xml:space="preserve">  </w:t>
      </w:r>
    </w:p>
    <w:p w:rsidR="00BC25C6" w:rsidRPr="00882F11" w:rsidRDefault="00BC25C6" w:rsidP="00BC25C6">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מ"ט</w:t>
      </w:r>
    </w:p>
    <w:p w:rsidR="00662307" w:rsidRDefault="00662307" w:rsidP="0078079C">
      <w:pPr>
        <w:pStyle w:val="Heading1"/>
        <w:bidi/>
        <w:spacing w:before="0" w:line="360" w:lineRule="auto"/>
        <w:jc w:val="center"/>
        <w:rPr>
          <w:rFonts w:cs="Guttman Drogolin"/>
          <w:color w:val="auto"/>
          <w:sz w:val="24"/>
          <w:szCs w:val="24"/>
          <w:u w:val="single"/>
          <w:rtl/>
          <w:lang w:bidi="he-IL"/>
        </w:rPr>
        <w:sectPr w:rsidR="00662307" w:rsidSect="00662307">
          <w:pgSz w:w="11907" w:h="16839" w:code="9"/>
          <w:pgMar w:top="1440" w:right="1440" w:bottom="1440" w:left="1440" w:header="720" w:footer="720" w:gutter="0"/>
          <w:cols w:space="720"/>
          <w:bidi/>
          <w:docGrid w:linePitch="360"/>
        </w:sectPr>
      </w:pPr>
    </w:p>
    <w:p w:rsidR="00BC25C6" w:rsidRPr="00882F11" w:rsidRDefault="00BC25C6" w:rsidP="0078079C">
      <w:pPr>
        <w:pStyle w:val="Heading1"/>
        <w:bidi/>
        <w:spacing w:before="0" w:line="360" w:lineRule="auto"/>
        <w:jc w:val="center"/>
        <w:rPr>
          <w:rFonts w:cs="Guttman Drogolin"/>
          <w:color w:val="auto"/>
          <w:sz w:val="24"/>
          <w:szCs w:val="24"/>
          <w:u w:val="single"/>
          <w:rtl/>
          <w:lang w:bidi="he-IL"/>
        </w:rPr>
      </w:pPr>
      <w:bookmarkStart w:id="187" w:name="_Toc496175443"/>
      <w:r w:rsidRPr="00882F11">
        <w:rPr>
          <w:rFonts w:cs="Guttman Drogolin" w:hint="cs"/>
          <w:color w:val="auto"/>
          <w:sz w:val="24"/>
          <w:szCs w:val="24"/>
          <w:u w:val="single"/>
          <w:rtl/>
          <w:lang w:bidi="he-IL"/>
        </w:rPr>
        <w:lastRenderedPageBreak/>
        <w:t>דברי המחבר בסע' ו'</w:t>
      </w:r>
      <w:bookmarkEnd w:id="187"/>
    </w:p>
    <w:p w:rsidR="00D421E8" w:rsidRPr="00882F11" w:rsidRDefault="00682322" w:rsidP="008A402C">
      <w:pPr>
        <w:bidi/>
        <w:jc w:val="both"/>
        <w:rPr>
          <w:rFonts w:cs="Guttman Drogolin"/>
          <w:rtl/>
          <w:lang w:bidi="he-IL"/>
        </w:rPr>
      </w:pPr>
      <w:r>
        <w:rPr>
          <w:rFonts w:cs="Guttman Drogolin"/>
          <w:rtl/>
          <w:lang w:bidi="he-IL"/>
        </w:rPr>
        <w:fldChar w:fldCharType="begin"/>
      </w:r>
      <w:r>
        <w:instrText xml:space="preserve"> XE "</w:instrText>
      </w:r>
      <w:r w:rsidRPr="00E1297F">
        <w:rPr>
          <w:rFonts w:hint="cs"/>
          <w:rtl/>
          <w:lang w:bidi="he-IL"/>
        </w:rPr>
        <w:instrText>בשר בחלב - איסור בישול</w:instrText>
      </w:r>
      <w:r w:rsidRPr="00E1297F">
        <w:rPr>
          <w:rtl/>
        </w:rPr>
        <w:instrText>:</w:instrText>
      </w:r>
      <w:r w:rsidRPr="00E1297F">
        <w:rPr>
          <w:rFonts w:hint="cs"/>
          <w:rtl/>
          <w:lang w:bidi="he-IL"/>
        </w:rPr>
        <w:instrText>כמה דוגמות שאין חייבים עליהם</w:instrText>
      </w:r>
      <w:r>
        <w:instrText xml:space="preserve">" </w:instrText>
      </w:r>
      <w:r>
        <w:rPr>
          <w:rFonts w:cs="Guttman Drogolin"/>
          <w:rtl/>
          <w:lang w:bidi="he-IL"/>
        </w:rPr>
        <w:fldChar w:fldCharType="end"/>
      </w:r>
      <w:r w:rsidR="00BC25C6" w:rsidRPr="00882F11">
        <w:rPr>
          <w:rFonts w:cs="Guttman Drogolin" w:hint="cs"/>
          <w:rtl/>
          <w:lang w:bidi="he-IL"/>
        </w:rPr>
        <w:t>בשו"ע סע' ו' הביא המחבר רשימה של דברים שאין חייבים עליהם משום בישול, אבל כולהו לאו חדא טעמא אית בהו</w:t>
      </w:r>
      <w:r w:rsidR="001F4C23" w:rsidRPr="00882F11">
        <w:rPr>
          <w:rFonts w:cs="Guttman Drogolin" w:hint="cs"/>
          <w:rtl/>
          <w:lang w:bidi="he-IL"/>
        </w:rPr>
        <w:t>, שהרי במעושן הוא ספק בירושלמי אם חייבים עליו או לא, ובחמי טברי' הוא ני</w:t>
      </w:r>
      <w:r w:rsidR="0068577A" w:rsidRPr="00882F11">
        <w:rPr>
          <w:rFonts w:cs="Guttman Drogolin" w:hint="cs"/>
          <w:rtl/>
          <w:lang w:bidi="he-IL"/>
        </w:rPr>
        <w:t>ד</w:t>
      </w:r>
      <w:r w:rsidR="001F4C23" w:rsidRPr="00882F11">
        <w:rPr>
          <w:rFonts w:cs="Guttman Drogolin" w:hint="cs"/>
          <w:rtl/>
          <w:lang w:bidi="he-IL"/>
        </w:rPr>
        <w:t xml:space="preserve">ון אחר במס' שבת, ותרוייהו משום דרך הבישול שלהם, משא"כ בכגון מי חלב אטו חלב מתה שטעמם משום שאין בהם חיוב משום מבשל בשר בחלב מדאורייתא כלל. </w:t>
      </w:r>
    </w:p>
    <w:p w:rsidR="00154D74" w:rsidRPr="00882F11" w:rsidRDefault="00154D74" w:rsidP="00154D74">
      <w:pPr>
        <w:bidi/>
        <w:jc w:val="both"/>
        <w:rPr>
          <w:rFonts w:cs="Guttman Drogolin"/>
          <w:rtl/>
          <w:lang w:bidi="he-IL"/>
        </w:rPr>
      </w:pPr>
      <w:r w:rsidRPr="00882F11">
        <w:rPr>
          <w:rFonts w:cs="Guttman Drogolin" w:hint="cs"/>
          <w:rtl/>
          <w:lang w:bidi="he-IL"/>
        </w:rPr>
        <w:t>והרמ"</w:t>
      </w:r>
      <w:r w:rsidR="00BF329F" w:rsidRPr="00882F11">
        <w:rPr>
          <w:rFonts w:cs="Guttman Drogolin" w:hint="cs"/>
          <w:rtl/>
          <w:lang w:bidi="he-IL"/>
        </w:rPr>
        <w:t>א כתב שבחלב מתה</w:t>
      </w:r>
      <w:r w:rsidRPr="00882F11">
        <w:rPr>
          <w:rFonts w:cs="Guttman Drogolin" w:hint="cs"/>
          <w:rtl/>
          <w:lang w:bidi="he-IL"/>
        </w:rPr>
        <w:t xml:space="preserve"> וכן במי חלב יש לאסור בישולם לכתחילה</w:t>
      </w:r>
      <w:r w:rsidRPr="00882F11">
        <w:rPr>
          <w:rStyle w:val="FootnoteReference"/>
          <w:rFonts w:cs="Guttman Drogolin"/>
          <w:rtl/>
          <w:lang w:bidi="he-IL"/>
        </w:rPr>
        <w:footnoteReference w:id="229"/>
      </w:r>
      <w:r w:rsidRPr="00882F11">
        <w:rPr>
          <w:rFonts w:cs="Guttman Drogolin" w:hint="cs"/>
          <w:rtl/>
          <w:lang w:bidi="he-IL"/>
        </w:rPr>
        <w:t xml:space="preserve">. </w:t>
      </w:r>
      <w:r w:rsidR="00BF329F" w:rsidRPr="00882F11">
        <w:rPr>
          <w:rFonts w:cs="Guttman Drogolin" w:hint="cs"/>
          <w:rtl/>
          <w:lang w:bidi="he-IL"/>
        </w:rPr>
        <w:t xml:space="preserve">והעיר רע"א שלכאורה הי' צריך להיות שאין בהם איסור בישול כלל כיון שאין בהם משום בב"ח מדאורייתא. והביא בשם התפארת למשה לחלק שאם החלב או הבשר הם ממין בהמה טהורה אע"ג שאין בחלק של זה הבהמה או החלב משום בב"ח מדאורייתא, מ"מ גזרו על זה מדרבנן, משא"כ </w:t>
      </w:r>
      <w:r w:rsidR="008F3458" w:rsidRPr="00882F11">
        <w:rPr>
          <w:rFonts w:cs="Guttman Drogolin" w:hint="cs"/>
          <w:rtl/>
          <w:lang w:bidi="he-IL"/>
        </w:rPr>
        <w:t xml:space="preserve">בכגון עוף שהוא מין אחר אין בזה אפילו איסור דרבנן. ומ"מ התקשה בזה רע"א דהא לא מצאנו מקור לאיסור דרבנן זה מן הש"ס. </w:t>
      </w:r>
    </w:p>
    <w:p w:rsidR="00916DB5" w:rsidRPr="00882F11" w:rsidRDefault="008F3458" w:rsidP="0068577A">
      <w:pPr>
        <w:bidi/>
        <w:jc w:val="both"/>
        <w:rPr>
          <w:rFonts w:cs="Guttman Drogolin"/>
          <w:rtl/>
          <w:lang w:bidi="he-IL"/>
        </w:rPr>
      </w:pPr>
      <w:r w:rsidRPr="00882F11">
        <w:rPr>
          <w:rFonts w:cs="Guttman Drogolin" w:hint="cs"/>
          <w:rtl/>
          <w:lang w:bidi="he-IL"/>
        </w:rPr>
        <w:t>ובהאי כללא נראה להדגיש ב' דברים, חדא שהרי מבואר בש"ך ט"ז שיש ב' מיני חלב זכר, חלב של בהמה זכר, וחלב של בן אדם זכר, והדין שלהם חלוק, שחל</w:t>
      </w:r>
      <w:r w:rsidR="0068577A" w:rsidRPr="00882F11">
        <w:rPr>
          <w:rFonts w:cs="Guttman Drogolin" w:hint="cs"/>
          <w:rtl/>
          <w:lang w:bidi="he-IL"/>
        </w:rPr>
        <w:t>ב</w:t>
      </w:r>
      <w:r w:rsidRPr="00882F11">
        <w:rPr>
          <w:rFonts w:cs="Guttman Drogolin" w:hint="cs"/>
          <w:rtl/>
          <w:lang w:bidi="he-IL"/>
        </w:rPr>
        <w:t xml:space="preserve"> של אדם זכר אינו אסור אפילו מדרבנן דומיא דחלב אשה (חוץ מעניני מראית העין), אבל חלב של בהמה זכר אסור מדרבנן. אמנם אינו מפורש בדבריו אם יש בחלב כזה איסור בישול מדרבנן כמו במי חלב וחלב שחוטה. והי' נראה לכאורה </w:t>
      </w:r>
      <w:r w:rsidR="00916DB5" w:rsidRPr="00882F11">
        <w:rPr>
          <w:rFonts w:cs="Guttman Drogolin" w:hint="cs"/>
          <w:rtl/>
          <w:lang w:bidi="he-IL"/>
        </w:rPr>
        <w:t>שיש בה איסו</w:t>
      </w:r>
      <w:r w:rsidR="0068577A" w:rsidRPr="00882F11">
        <w:rPr>
          <w:rFonts w:cs="Guttman Drogolin" w:hint="cs"/>
          <w:rtl/>
          <w:lang w:bidi="he-IL"/>
        </w:rPr>
        <w:t>ר</w:t>
      </w:r>
      <w:r w:rsidR="00916DB5" w:rsidRPr="00882F11">
        <w:rPr>
          <w:rFonts w:cs="Guttman Drogolin" w:hint="cs"/>
          <w:rtl/>
          <w:lang w:bidi="he-IL"/>
        </w:rPr>
        <w:t xml:space="preserve"> דרבנן, דאע"ג שאין חלב מבהמה זכר שהוא אסור מדאורייתא, מ"מ הרי זה חשוב מין האסור כיון שהוא בהמה ויש חלב בהמה שהיא אסורה מדאורייתא. </w:t>
      </w:r>
    </w:p>
    <w:p w:rsidR="00923F7F" w:rsidRPr="00882F11" w:rsidRDefault="00916DB5" w:rsidP="00923F7F">
      <w:pPr>
        <w:bidi/>
        <w:jc w:val="both"/>
        <w:rPr>
          <w:rFonts w:cs="Guttman Drogolin"/>
          <w:rtl/>
          <w:lang w:bidi="he-IL"/>
        </w:rPr>
      </w:pPr>
      <w:r w:rsidRPr="00882F11">
        <w:rPr>
          <w:rFonts w:cs="Guttman Drogolin" w:hint="cs"/>
          <w:rtl/>
          <w:lang w:bidi="he-IL"/>
        </w:rPr>
        <w:t>ובמה שאסור דם בחלב הקשה רע"א</w:t>
      </w:r>
      <w:r w:rsidR="00923F7F" w:rsidRPr="00882F11">
        <w:rPr>
          <w:rFonts w:cs="Guttman Drogolin" w:hint="cs"/>
          <w:rtl/>
          <w:lang w:bidi="he-IL"/>
        </w:rPr>
        <w:t xml:space="preserve"> דהא הדם אסור מ"מ ולכן לא הי' צורך לאסור משום בב"ח </w:t>
      </w:r>
      <w:r w:rsidR="00923F7F" w:rsidRPr="00882F11">
        <w:rPr>
          <w:rFonts w:cs="Guttman Drogolin" w:hint="cs"/>
          <w:rtl/>
          <w:lang w:bidi="he-IL"/>
        </w:rPr>
        <w:lastRenderedPageBreak/>
        <w:t>וכמו בבשר בהמה טמאה או חלב טמאה. ולכאורה הי' מקום לפקפק בקושיא זו, שהרי מעיקרא הביא מתפארת למשה דאע"ג שאין איסור בישול בשר וחלב שאסור מדרבנן, מ"מ אם הוא מין שיש בה בב"ח מדאורייתא אסור. וא"כ לכאורה י"ל נמי דאע"ג שלא הי' צורך לאסור בשר טמא או חלב טמא, היינו דוקא בהו שהיו חז"ל צריכים לחדש בהם איסור דרבנן, שבזה אמרינן שלא הי</w:t>
      </w:r>
      <w:r w:rsidR="0068577A" w:rsidRPr="00882F11">
        <w:rPr>
          <w:rFonts w:cs="Guttman Drogolin" w:hint="cs"/>
          <w:rtl/>
          <w:lang w:bidi="he-IL"/>
        </w:rPr>
        <w:t>' צורך ולא גזרו. אבל בדבר שהוא מ</w:t>
      </w:r>
      <w:r w:rsidR="00923F7F" w:rsidRPr="00882F11">
        <w:rPr>
          <w:rFonts w:cs="Guttman Drogolin" w:hint="cs"/>
          <w:rtl/>
          <w:lang w:bidi="he-IL"/>
        </w:rPr>
        <w:t>ין טהור, י"ל שהי' גזרה כללית לאסור כל אותו מין</w:t>
      </w:r>
      <w:r w:rsidR="0068577A" w:rsidRPr="00882F11">
        <w:rPr>
          <w:rFonts w:cs="Guttman Drogolin" w:hint="cs"/>
          <w:rtl/>
          <w:lang w:bidi="he-IL"/>
        </w:rPr>
        <w:t xml:space="preserve"> מדרבנן כשאין </w:t>
      </w:r>
      <w:r w:rsidR="00923F7F" w:rsidRPr="00882F11">
        <w:rPr>
          <w:rFonts w:cs="Guttman Drogolin" w:hint="cs"/>
          <w:rtl/>
          <w:lang w:bidi="he-IL"/>
        </w:rPr>
        <w:t xml:space="preserve">בה איסור דאורייתא. ולכן אע"ג שלא צורך לאסרו הרי הוא אסור ממילא. </w:t>
      </w:r>
    </w:p>
    <w:p w:rsidR="008F3458" w:rsidRPr="00882F11" w:rsidRDefault="00923F7F" w:rsidP="00923F7F">
      <w:pPr>
        <w:bidi/>
        <w:jc w:val="both"/>
        <w:rPr>
          <w:rFonts w:cs="Guttman Drogolin"/>
          <w:rtl/>
          <w:lang w:bidi="he-IL"/>
        </w:rPr>
      </w:pPr>
      <w:r w:rsidRPr="00882F11">
        <w:rPr>
          <w:rFonts w:cs="Guttman Drogolin" w:hint="cs"/>
          <w:rtl/>
          <w:lang w:bidi="he-IL"/>
        </w:rPr>
        <w:t xml:space="preserve">והגרמ"פ באג"מ יו"ד א' סי' ל"ז העיר שלכאורה דם לאו בשר הוא ולא הי' צורך לאסרו, ע"ש ראיות שדבר שאין דמה בשר לא אסרו, וע"ש טעם שבדם מ"מ אסרו. </w:t>
      </w:r>
      <w:r w:rsidR="00155101" w:rsidRPr="00882F11">
        <w:rPr>
          <w:rFonts w:cs="Guttman Drogolin" w:hint="cs"/>
          <w:rtl/>
          <w:lang w:bidi="he-IL"/>
        </w:rPr>
        <w:t>וכן שם העיר שיתכן שאין איסור בב"ח בדם כלל, ופטור לאו דוקא פטור אבל אסור לענין דם נקט.</w:t>
      </w:r>
      <w:r w:rsidRPr="00882F11">
        <w:rPr>
          <w:rFonts w:cs="Guttman Drogolin" w:hint="cs"/>
          <w:rtl/>
          <w:lang w:bidi="he-IL"/>
        </w:rPr>
        <w:t xml:space="preserve">  </w:t>
      </w:r>
      <w:r w:rsidR="00916DB5" w:rsidRPr="00882F11">
        <w:rPr>
          <w:rFonts w:cs="Guttman Drogolin" w:hint="cs"/>
          <w:rtl/>
          <w:lang w:bidi="he-IL"/>
        </w:rPr>
        <w:t xml:space="preserve"> </w:t>
      </w:r>
      <w:r w:rsidR="008F3458" w:rsidRPr="00882F11">
        <w:rPr>
          <w:rFonts w:cs="Guttman Drogolin" w:hint="cs"/>
          <w:rtl/>
          <w:lang w:bidi="he-IL"/>
        </w:rPr>
        <w:t xml:space="preserve">  </w:t>
      </w:r>
    </w:p>
    <w:p w:rsidR="00155101" w:rsidRPr="00662307" w:rsidRDefault="00155101" w:rsidP="0078079C">
      <w:pPr>
        <w:pStyle w:val="Heading1"/>
        <w:bidi/>
        <w:spacing w:before="0" w:line="360" w:lineRule="auto"/>
        <w:jc w:val="center"/>
        <w:rPr>
          <w:rFonts w:cs="Guttman Drogolin"/>
          <w:color w:val="auto"/>
          <w:sz w:val="18"/>
          <w:szCs w:val="18"/>
          <w:u w:val="single"/>
          <w:rtl/>
          <w:lang w:bidi="he-IL"/>
        </w:rPr>
      </w:pPr>
      <w:bookmarkStart w:id="188" w:name="_Toc496175444"/>
      <w:r w:rsidRPr="00662307">
        <w:rPr>
          <w:rFonts w:cs="Guttman Drogolin" w:hint="cs"/>
          <w:color w:val="auto"/>
          <w:sz w:val="18"/>
          <w:szCs w:val="18"/>
          <w:u w:val="single"/>
          <w:rtl/>
          <w:lang w:bidi="he-IL"/>
        </w:rPr>
        <w:t>האיסור לחתות בגחלים מתחת לקדירה שבלוע בה בב"ח</w:t>
      </w:r>
      <w:bookmarkEnd w:id="188"/>
    </w:p>
    <w:p w:rsidR="00686B69" w:rsidRPr="00882F11" w:rsidRDefault="00682322" w:rsidP="0068577A">
      <w:pPr>
        <w:bidi/>
        <w:jc w:val="both"/>
        <w:rPr>
          <w:rFonts w:cs="Guttman Drogolin"/>
          <w:rtl/>
          <w:lang w:bidi="he-IL"/>
        </w:rPr>
      </w:pPr>
      <w:r>
        <w:rPr>
          <w:rFonts w:cs="Guttman Drogolin"/>
          <w:rtl/>
          <w:lang w:bidi="he-IL"/>
        </w:rPr>
        <w:fldChar w:fldCharType="begin"/>
      </w:r>
      <w:r>
        <w:instrText xml:space="preserve"> XE "</w:instrText>
      </w:r>
      <w:r w:rsidRPr="00257007">
        <w:rPr>
          <w:rFonts w:hint="cs"/>
          <w:rtl/>
          <w:lang w:bidi="he-IL"/>
        </w:rPr>
        <w:instrText>בשר בחלב - איסור בישול</w:instrText>
      </w:r>
      <w:r w:rsidRPr="00257007">
        <w:rPr>
          <w:rtl/>
        </w:rPr>
        <w:instrText>:</w:instrText>
      </w:r>
      <w:r w:rsidRPr="00257007">
        <w:rPr>
          <w:rFonts w:hint="cs"/>
          <w:rtl/>
          <w:lang w:bidi="he-IL"/>
        </w:rPr>
        <w:instrText>דברי הרמ</w:instrText>
      </w:r>
      <w:r>
        <w:rPr>
          <w:rFonts w:eastAsiaTheme="minorEastAsia"/>
          <w:lang w:bidi="he-IL"/>
        </w:rPr>
        <w:instrText>\</w:instrText>
      </w:r>
      <w:r w:rsidRPr="00257007">
        <w:rPr>
          <w:rFonts w:hint="cs"/>
          <w:rtl/>
          <w:lang w:bidi="he-IL"/>
        </w:rPr>
        <w:instrText>"א בחיתוי תחת לקדירה</w:instrText>
      </w:r>
      <w:r>
        <w:instrText xml:space="preserve">" </w:instrText>
      </w:r>
      <w:r>
        <w:rPr>
          <w:rFonts w:cs="Guttman Drogolin"/>
          <w:rtl/>
          <w:lang w:bidi="he-IL"/>
        </w:rPr>
        <w:fldChar w:fldCharType="end"/>
      </w:r>
      <w:r w:rsidR="00B84D8B" w:rsidRPr="00882F11">
        <w:rPr>
          <w:rFonts w:cs="Guttman Drogolin" w:hint="cs"/>
          <w:rtl/>
          <w:lang w:bidi="he-IL"/>
        </w:rPr>
        <w:t xml:space="preserve">כתב </w:t>
      </w:r>
      <w:r w:rsidR="00155101" w:rsidRPr="00882F11">
        <w:rPr>
          <w:rFonts w:cs="Guttman Drogolin" w:hint="cs"/>
          <w:rtl/>
          <w:lang w:bidi="he-IL"/>
        </w:rPr>
        <w:t>הרמ"א בסע' ו'</w:t>
      </w:r>
      <w:r w:rsidR="00B84D8B" w:rsidRPr="00882F11">
        <w:rPr>
          <w:rFonts w:cs="Guttman Drogolin" w:hint="cs"/>
          <w:rtl/>
          <w:lang w:bidi="he-IL"/>
        </w:rPr>
        <w:t xml:space="preserve"> "יש אומרים דאסור לחתות האש תחת קדירה של גויה לפי שהם מבשלים בהם פעמים חלב פעמים בשר והמחתה תחת קדירה שלה בא לידי בישול בשר בחלב". ומקור הדברים במרדכי המובא בדרכ"מ, והנוסח היותר מקורי נמצא גם בש"ך ס"ק י"ח והוא "שאסור לבשל בשר בבית ישראל בקדירה של גוי שמא יחתה הישראל כו' לכן צריך לשפחות גויות שתי קדירות אחת של בשר ואחת של חלב".</w:t>
      </w:r>
      <w:r w:rsidR="00686B69" w:rsidRPr="00882F11">
        <w:rPr>
          <w:rFonts w:cs="Guttman Drogolin" w:hint="cs"/>
          <w:rtl/>
          <w:lang w:bidi="he-IL"/>
        </w:rPr>
        <w:t xml:space="preserve"> ונראה לבאר כמה נקודות בהוראה זו.</w:t>
      </w:r>
    </w:p>
    <w:p w:rsidR="00686B69" w:rsidRPr="00882F11" w:rsidRDefault="00686B69" w:rsidP="00686B69">
      <w:pPr>
        <w:bidi/>
        <w:jc w:val="both"/>
        <w:rPr>
          <w:rFonts w:cs="Guttman Drogolin"/>
          <w:rtl/>
          <w:lang w:bidi="he-IL"/>
        </w:rPr>
      </w:pPr>
      <w:r w:rsidRPr="00882F11">
        <w:rPr>
          <w:rFonts w:cs="Guttman Drogolin" w:hint="cs"/>
          <w:rtl/>
          <w:lang w:bidi="he-IL"/>
        </w:rPr>
        <w:t xml:space="preserve">קודם נראה להדגיש שמתוכן דבריו פשוט שמש"כ שאין לבשל בשר וכו' היינו שאין להרשות שיתבשל קדירה כזו בתוך ביתו, דאילו הי' איסור לבשלו לא היו צריכים להגיע לזה שיש חשש חיתוי הא עצם המעשה צריך לאסור. וכן זה שמורה לו שידאג לב' קדירות עבור השפחות, אין מזה ראי' </w:t>
      </w:r>
      <w:r w:rsidRPr="00882F11">
        <w:rPr>
          <w:rFonts w:cs="Guttman Drogolin" w:hint="cs"/>
          <w:rtl/>
          <w:lang w:bidi="he-IL"/>
        </w:rPr>
        <w:lastRenderedPageBreak/>
        <w:t>שאפשר לסמוך על השפחה שלא תבשל שום פעם בב"ח וכן שלא תחליף א' בשני, רק דכיון שיש הוראה כזו בתוך ביתו שוב ליכא חשש שדוקא באותו זמן שהיא מחתה את האש יהי' שם בשר בחלב דאפשר לסמוך על רוב פעמים דמירתת ואינה עושה כן.</w:t>
      </w:r>
    </w:p>
    <w:p w:rsidR="00D53E77" w:rsidRPr="00882F11" w:rsidRDefault="00682322" w:rsidP="00686B69">
      <w:pPr>
        <w:bidi/>
        <w:jc w:val="both"/>
        <w:rPr>
          <w:rFonts w:cs="Guttman Drogolin"/>
          <w:rtl/>
          <w:lang w:bidi="he-IL"/>
        </w:rPr>
      </w:pPr>
      <w:r>
        <w:rPr>
          <w:rFonts w:cs="Guttman Drogolin"/>
          <w:rtl/>
          <w:lang w:bidi="he-IL"/>
        </w:rPr>
        <w:fldChar w:fldCharType="begin"/>
      </w:r>
      <w:r>
        <w:instrText xml:space="preserve"> XE "</w:instrText>
      </w:r>
      <w:r w:rsidRPr="00CB1882">
        <w:rPr>
          <w:rFonts w:hint="cs"/>
          <w:rtl/>
          <w:lang w:bidi="he-IL"/>
        </w:rPr>
        <w:instrText>בשר בחלב - איסור בישול</w:instrText>
      </w:r>
      <w:r w:rsidRPr="00CB1882">
        <w:rPr>
          <w:rtl/>
        </w:rPr>
        <w:instrText>:</w:instrText>
      </w:r>
      <w:r w:rsidRPr="00CB1882">
        <w:rPr>
          <w:rFonts w:hint="cs"/>
          <w:rtl/>
          <w:lang w:bidi="he-IL"/>
        </w:rPr>
        <w:instrText>בבליעות</w:instrText>
      </w:r>
      <w:r>
        <w:instrText xml:space="preserve">" </w:instrText>
      </w:r>
      <w:r>
        <w:rPr>
          <w:rFonts w:cs="Guttman Drogolin"/>
          <w:rtl/>
          <w:lang w:bidi="he-IL"/>
        </w:rPr>
        <w:fldChar w:fldCharType="end"/>
      </w:r>
      <w:r w:rsidR="00686B69" w:rsidRPr="00882F11">
        <w:rPr>
          <w:rFonts w:cs="Guttman Drogolin" w:hint="cs"/>
          <w:rtl/>
          <w:lang w:bidi="he-IL"/>
        </w:rPr>
        <w:t>והש"ך כתב על דברי המרדכי דזה שאסר לבשל בשר בתוך קדרה, בשר לאו דוקא נקט והה"נ שאר</w:t>
      </w:r>
      <w:r w:rsidR="00CD7281" w:rsidRPr="00882F11">
        <w:rPr>
          <w:rFonts w:cs="Guttman Drogolin" w:hint="cs"/>
          <w:rtl/>
          <w:lang w:bidi="he-IL"/>
        </w:rPr>
        <w:t xml:space="preserve"> </w:t>
      </w:r>
      <w:r w:rsidR="00686B69" w:rsidRPr="00882F11">
        <w:rPr>
          <w:rFonts w:cs="Guttman Drogolin" w:hint="cs"/>
          <w:rtl/>
          <w:lang w:bidi="he-IL"/>
        </w:rPr>
        <w:t>דברים ומשום דזיל בתר טעמא. והנה לכאורה לולא דבריו הי' אפשר לומר דבשר ד</w:t>
      </w:r>
      <w:r>
        <w:rPr>
          <w:rFonts w:cs="Guttman Drogolin" w:hint="cs"/>
          <w:rtl/>
          <w:lang w:bidi="he-IL"/>
        </w:rPr>
        <w:t>ו</w:t>
      </w:r>
      <w:r w:rsidR="00686B69" w:rsidRPr="00882F11">
        <w:rPr>
          <w:rFonts w:cs="Guttman Drogolin" w:hint="cs"/>
          <w:rtl/>
          <w:lang w:bidi="he-IL"/>
        </w:rPr>
        <w:t>קא נקט, שאם לא ידעינן שי</w:t>
      </w:r>
      <w:r w:rsidR="0097206D" w:rsidRPr="00882F11">
        <w:rPr>
          <w:rFonts w:cs="Guttman Drogolin" w:hint="cs"/>
          <w:rtl/>
          <w:lang w:bidi="he-IL"/>
        </w:rPr>
        <w:t>ש שם בשר או חלב לא היינו אוסרי</w:t>
      </w:r>
      <w:r w:rsidR="00686B69" w:rsidRPr="00882F11">
        <w:rPr>
          <w:rFonts w:cs="Guttman Drogolin" w:hint="cs"/>
          <w:rtl/>
          <w:lang w:bidi="he-IL"/>
        </w:rPr>
        <w:t xml:space="preserve">ם משום בישול בב"ח, דזה לבד שיש בליעות של </w:t>
      </w:r>
      <w:r w:rsidR="004C13D3" w:rsidRPr="00882F11">
        <w:rPr>
          <w:rFonts w:cs="Guttman Drogolin" w:hint="cs"/>
          <w:rtl/>
          <w:lang w:bidi="he-IL"/>
        </w:rPr>
        <w:t>בשר וחלב בתוך הקדירה אינו</w:t>
      </w:r>
      <w:r w:rsidR="00072D92" w:rsidRPr="00882F11">
        <w:rPr>
          <w:rFonts w:cs="Guttman Drogolin" w:hint="cs"/>
          <w:rtl/>
          <w:lang w:bidi="he-IL"/>
        </w:rPr>
        <w:t xml:space="preserve"> בכלל האיסור של </w:t>
      </w:r>
      <w:r w:rsidR="004C13D3" w:rsidRPr="00882F11">
        <w:rPr>
          <w:rFonts w:cs="Guttman Drogolin" w:hint="cs"/>
          <w:rtl/>
          <w:lang w:bidi="he-IL"/>
        </w:rPr>
        <w:t>בישול בב"ח</w:t>
      </w:r>
      <w:r w:rsidR="00072D92" w:rsidRPr="00882F11">
        <w:rPr>
          <w:rFonts w:cs="Guttman Drogolin" w:hint="cs"/>
          <w:rtl/>
          <w:lang w:bidi="he-IL"/>
        </w:rPr>
        <w:t>, שהאיסור אינו כולל אלא כשמבשל מאכל של בשר או חלב, ואפילו אם אינו אלא חלב בבליעות של בשר או בשר בבליעות של חלב יש לאסור (ולרע"א זהו הביאור במתני' שבדף צ"ז ע"א), אבל מאכל פרווה אע"ג שמכניס לתוכה בילעות של ב</w:t>
      </w:r>
      <w:r w:rsidR="00CD7281" w:rsidRPr="00882F11">
        <w:rPr>
          <w:rFonts w:cs="Guttman Drogolin" w:hint="cs"/>
          <w:rtl/>
          <w:lang w:bidi="he-IL"/>
        </w:rPr>
        <w:t>ב"ח ואוסרו משום בב"ח אין איסור. ולדוגמא אפילו לפשמ"כ דכה"ג יש לאסור נראה פשוט שאם מחמם קדירה ריקנית שיש בה בליעות של בב"ח אינו עובר משום בישול</w:t>
      </w:r>
      <w:r w:rsidR="003D3441" w:rsidRPr="00882F11">
        <w:rPr>
          <w:rStyle w:val="FootnoteReference"/>
          <w:rFonts w:cs="Guttman Drogolin"/>
          <w:rtl/>
          <w:lang w:bidi="he-IL"/>
        </w:rPr>
        <w:footnoteReference w:id="230"/>
      </w:r>
      <w:r w:rsidR="00CD7281" w:rsidRPr="00882F11">
        <w:rPr>
          <w:rFonts w:cs="Guttman Drogolin" w:hint="cs"/>
          <w:rtl/>
          <w:lang w:bidi="he-IL"/>
        </w:rPr>
        <w:t>, דהא אינו מבשל שום מאכל. וא"כ י"ל דהה"נ אם מבשל מאכל פרווה אינו בכלל האיסור של בישול בב"ח אפילו כשאוסרו בבליעות של בב"ח.</w:t>
      </w:r>
      <w:r w:rsidR="00072D92" w:rsidRPr="00882F11">
        <w:rPr>
          <w:rFonts w:cs="Guttman Drogolin" w:hint="cs"/>
          <w:rtl/>
          <w:lang w:bidi="he-IL"/>
        </w:rPr>
        <w:t xml:space="preserve"> </w:t>
      </w:r>
    </w:p>
    <w:p w:rsidR="00B731F3" w:rsidRPr="00882F11" w:rsidRDefault="00682322" w:rsidP="00B731F3">
      <w:pPr>
        <w:bidi/>
        <w:jc w:val="both"/>
        <w:rPr>
          <w:rFonts w:cs="Guttman Drogolin"/>
          <w:rtl/>
          <w:lang w:bidi="he-IL"/>
        </w:rPr>
      </w:pPr>
      <w:r>
        <w:rPr>
          <w:rFonts w:cs="Guttman Drogolin"/>
          <w:rtl/>
          <w:lang w:bidi="he-IL"/>
        </w:rPr>
        <w:fldChar w:fldCharType="begin"/>
      </w:r>
      <w:r>
        <w:instrText xml:space="preserve"> XE "</w:instrText>
      </w:r>
      <w:r w:rsidRPr="00532237">
        <w:rPr>
          <w:rFonts w:hint="cs"/>
          <w:rtl/>
          <w:lang w:bidi="he-IL"/>
        </w:rPr>
        <w:instrText>בשר בחלב - איסור בישול</w:instrText>
      </w:r>
      <w:r w:rsidRPr="00532237">
        <w:rPr>
          <w:rtl/>
        </w:rPr>
        <w:instrText>:</w:instrText>
      </w:r>
      <w:r w:rsidRPr="00532237">
        <w:rPr>
          <w:rFonts w:hint="cs"/>
          <w:rtl/>
          <w:lang w:bidi="he-IL"/>
        </w:rPr>
        <w:instrText>בישול אחר בישול</w:instrText>
      </w:r>
      <w:r>
        <w:instrText xml:space="preserve">" </w:instrText>
      </w:r>
      <w:r>
        <w:rPr>
          <w:rFonts w:cs="Guttman Drogolin"/>
          <w:rtl/>
          <w:lang w:bidi="he-IL"/>
        </w:rPr>
        <w:fldChar w:fldCharType="end"/>
      </w:r>
      <w:r w:rsidR="00D53E77" w:rsidRPr="00882F11">
        <w:rPr>
          <w:rFonts w:cs="Guttman Drogolin" w:hint="cs"/>
          <w:rtl/>
          <w:lang w:bidi="he-IL"/>
        </w:rPr>
        <w:t xml:space="preserve">ועוד מבואר לכאורה שיש לאסור משום בישול בשר בחלב אפילו אם כבר נתבשלו. והנה הרמ"א הסיק שכל אלו אינם אלא חומרות בעלמא, וכפשוטו דבריו מוסבים על כל ההוראות שבסע' זה. וכ"כ גם הש"ך שהוראה זו אינו אלא חומרא בעלמא. והכרו"פ בס"ק י"ג נקט מעיקרא שהוא חומרא בעלמא כיון שגם בבב"ח אין בישול אחר </w:t>
      </w:r>
      <w:r w:rsidR="00D53E77" w:rsidRPr="00882F11">
        <w:rPr>
          <w:rFonts w:cs="Guttman Drogolin" w:hint="cs"/>
          <w:rtl/>
          <w:lang w:bidi="he-IL"/>
        </w:rPr>
        <w:lastRenderedPageBreak/>
        <w:t>בישול, אבל שוב דחה מכח הגמ' שבדף ק"ד ע"ב ששם לכאורה מבואר שיש בישול אחר בישול, דהא העלאת הבשר מסתמא מיירי בבשר מבושל, ומ"מ חששו לבישול אחר בישול</w:t>
      </w:r>
      <w:r w:rsidR="00423393" w:rsidRPr="00882F11">
        <w:rPr>
          <w:rStyle w:val="FootnoteReference"/>
          <w:rFonts w:cs="Guttman Drogolin"/>
          <w:rtl/>
          <w:lang w:bidi="he-IL"/>
        </w:rPr>
        <w:footnoteReference w:id="231"/>
      </w:r>
      <w:r w:rsidR="00D53E77" w:rsidRPr="00882F11">
        <w:rPr>
          <w:rFonts w:cs="Guttman Drogolin" w:hint="cs"/>
          <w:rtl/>
          <w:lang w:bidi="he-IL"/>
        </w:rPr>
        <w:t>. אלא שבזה שכבר הערנו לעיל</w:t>
      </w:r>
      <w:r w:rsidR="0011092C" w:rsidRPr="00882F11">
        <w:rPr>
          <w:rStyle w:val="FootnoteReference"/>
          <w:rFonts w:cs="Guttman Drogolin"/>
          <w:rtl/>
          <w:lang w:bidi="he-IL"/>
        </w:rPr>
        <w:footnoteReference w:id="232"/>
      </w:r>
      <w:r w:rsidR="0012612A" w:rsidRPr="00882F11">
        <w:rPr>
          <w:rFonts w:cs="Guttman Drogolin" w:hint="cs"/>
          <w:rtl/>
          <w:lang w:bidi="he-IL"/>
        </w:rPr>
        <w:t xml:space="preserve"> שכמה אחרונים חילקו בין הדברים, שאמנם אין בישול אחר בישול כשחוזר ומבשל אותו חתיכת בשר עם אותה חתיכת גבינה, אבל אם מבשל בשר מבושל עם גבינה מבושלת שעדיין לא נתבשלו ביחד יש לאסור משום בישול אחר בישול. וא"כ י"ל שכאן יהא אסור. וכן נקט היד יהודה שיש לאסור אבל לא משום בישול הבליעות שבתוך הקדירה שמבשלם לתוך מאכל פרווה, </w:t>
      </w:r>
      <w:r w:rsidR="00B731F3" w:rsidRPr="00882F11">
        <w:rPr>
          <w:rFonts w:cs="Guttman Drogolin" w:hint="cs"/>
          <w:rtl/>
          <w:lang w:bidi="he-IL"/>
        </w:rPr>
        <w:t>ר</w:t>
      </w:r>
      <w:r w:rsidR="0012612A" w:rsidRPr="00882F11">
        <w:rPr>
          <w:rFonts w:cs="Guttman Drogolin" w:hint="cs"/>
          <w:rtl/>
          <w:lang w:bidi="he-IL"/>
        </w:rPr>
        <w:t xml:space="preserve">ק שיש חשש שהיו בליעות של בשר ועכשיו מבשל חלב שעדיין לא התבשל עמו, וכן הדגיש שלדבריו </w:t>
      </w:r>
      <w:r w:rsidR="00423393" w:rsidRPr="00882F11">
        <w:rPr>
          <w:rFonts w:cs="Guttman Drogolin" w:hint="cs"/>
          <w:rtl/>
          <w:lang w:bidi="he-IL"/>
        </w:rPr>
        <w:t xml:space="preserve">לשון בשר דנקט המרדכי דוקא נקט ודלא כנ"ל מהש"ך. </w:t>
      </w:r>
      <w:r w:rsidR="00B731F3" w:rsidRPr="00882F11">
        <w:rPr>
          <w:rFonts w:cs="Guttman Drogolin" w:hint="cs"/>
          <w:rtl/>
          <w:lang w:bidi="he-IL"/>
        </w:rPr>
        <w:t>ועדיין יש מקום לחלק שאפילו אם אין בישול אחר בישול באותו מאכל של בשרבחלב שבישול מקודם, מ"מ יש לומר שאם חוזר ומבשל באופן בנכנס למאכל חדש שעדיין לא היו לו בליעות של בב"ח יש איסור בישול.</w:t>
      </w:r>
    </w:p>
    <w:p w:rsidR="002455B1" w:rsidRPr="00882F11" w:rsidRDefault="00B731F3" w:rsidP="0099418B">
      <w:pPr>
        <w:bidi/>
        <w:jc w:val="both"/>
        <w:rPr>
          <w:rFonts w:cs="Guttman Drogolin"/>
          <w:rtl/>
          <w:lang w:bidi="he-IL"/>
        </w:rPr>
      </w:pPr>
      <w:r w:rsidRPr="00882F11">
        <w:rPr>
          <w:rFonts w:cs="Guttman Drogolin" w:hint="cs"/>
          <w:rtl/>
          <w:lang w:bidi="he-IL"/>
        </w:rPr>
        <w:t>והנה בהאי ענינא ע' בשו"ת דברי מלכיאל ח"</w:t>
      </w:r>
      <w:r w:rsidR="0099418B" w:rsidRPr="00882F11">
        <w:rPr>
          <w:rFonts w:cs="Guttman Drogolin" w:hint="cs"/>
          <w:rtl/>
          <w:lang w:bidi="he-IL"/>
        </w:rPr>
        <w:t>ב</w:t>
      </w:r>
      <w:r w:rsidRPr="00882F11">
        <w:rPr>
          <w:rFonts w:cs="Guttman Drogolin" w:hint="cs"/>
          <w:rtl/>
          <w:lang w:bidi="he-IL"/>
        </w:rPr>
        <w:t xml:space="preserve"> סי' מ' שכתב דמש"כ הש"ך הנ"ל בסוף דבריו שאין זה אלא חומרא בעלמא לא קאי על עצם האיסור לחתות מתחת לקדרה של גוי', רק על מה שאסר לבשר להתבשל בבית של יהודי, דהא זהו חומרא נוספת כיון שי"ל שיזהיר בני ביתו שלא לחתות מתחת לקדרה של גוי', אבל לעולם עיקר החיתוי אסור מדינא. אלא שלכאורה דבריו קשים, דהא ניחא ללשון הש"ך, אבל הרי גם הרמ"א כתב שאינו אלא חומרא בעלמא, והרמ"א לא כתב הוראה זו לאסור בשר של גוי' להתבשל בבית ישראל. וא"כ לכאורה מבואר מן הרמ"א שגם </w:t>
      </w:r>
      <w:r w:rsidRPr="00882F11">
        <w:rPr>
          <w:rFonts w:cs="Guttman Drogolin" w:hint="cs"/>
          <w:rtl/>
          <w:lang w:bidi="he-IL"/>
        </w:rPr>
        <w:lastRenderedPageBreak/>
        <w:t xml:space="preserve">החיתוי מתחת קדירה של גוי' ג"כ אינו אלא חומרא בעלמא. ויל"ע מהו טעמו של דבר, והבאנו כבר טעם א' והוא משום שאין בישול אחר בישול בב"ח, אבל יש לזה ג"כ ביאורים אחרים בפוסקים. </w:t>
      </w:r>
    </w:p>
    <w:p w:rsidR="00B458DB" w:rsidRPr="00882F11" w:rsidRDefault="002455B1" w:rsidP="00D3528E">
      <w:pPr>
        <w:bidi/>
        <w:jc w:val="both"/>
        <w:rPr>
          <w:rFonts w:cs="Guttman Drogolin"/>
          <w:rtl/>
          <w:lang w:bidi="he-IL"/>
        </w:rPr>
      </w:pPr>
      <w:r w:rsidRPr="00882F11">
        <w:rPr>
          <w:rFonts w:cs="Guttman Drogolin" w:hint="cs"/>
          <w:rtl/>
          <w:lang w:bidi="he-IL"/>
        </w:rPr>
        <w:t xml:space="preserve">בשו"ת חת"ס </w:t>
      </w:r>
      <w:r w:rsidR="00D3528E" w:rsidRPr="00882F11">
        <w:rPr>
          <w:rFonts w:cs="Guttman Drogolin" w:hint="cs"/>
          <w:rtl/>
          <w:lang w:bidi="he-IL"/>
        </w:rPr>
        <w:t xml:space="preserve">סי' צ"ב הביא כמה עוד כמה טעמים למה אין כאן אלא חומרא בעלמא. חדא שהרי יתכן שלא בישלו בה בב"ח, ועוד שמא אינו בן יומו, ועוד דאולי יש ששים. </w:t>
      </w:r>
      <w:r w:rsidR="00682322">
        <w:rPr>
          <w:rFonts w:cs="Guttman Drogolin"/>
          <w:rtl/>
          <w:lang w:bidi="he-IL"/>
        </w:rPr>
        <w:fldChar w:fldCharType="begin"/>
      </w:r>
      <w:r w:rsidR="00682322">
        <w:instrText xml:space="preserve"> XE "</w:instrText>
      </w:r>
      <w:r w:rsidR="00682322" w:rsidRPr="00CA3464">
        <w:rPr>
          <w:rFonts w:hint="cs"/>
          <w:rtl/>
          <w:lang w:bidi="he-IL"/>
        </w:rPr>
        <w:instrText>דבר שאינו מתכוין</w:instrText>
      </w:r>
      <w:r w:rsidR="00682322" w:rsidRPr="00CA3464">
        <w:rPr>
          <w:rtl/>
        </w:rPr>
        <w:instrText>:</w:instrText>
      </w:r>
      <w:r w:rsidR="00682322" w:rsidRPr="00CA3464">
        <w:rPr>
          <w:rFonts w:hint="cs"/>
          <w:rtl/>
          <w:lang w:bidi="he-IL"/>
        </w:rPr>
        <w:instrText>פסיק רישא לשעבר</w:instrText>
      </w:r>
      <w:r w:rsidR="00682322">
        <w:instrText xml:space="preserve">" </w:instrText>
      </w:r>
      <w:r w:rsidR="00682322">
        <w:rPr>
          <w:rFonts w:cs="Guttman Drogolin"/>
          <w:rtl/>
          <w:lang w:bidi="he-IL"/>
        </w:rPr>
        <w:fldChar w:fldCharType="end"/>
      </w:r>
      <w:r w:rsidR="00D3528E" w:rsidRPr="00882F11">
        <w:rPr>
          <w:rFonts w:cs="Guttman Drogolin" w:hint="cs"/>
          <w:rtl/>
          <w:lang w:bidi="he-IL"/>
        </w:rPr>
        <w:t xml:space="preserve">והנה גם בהגהות רע"א כאן דן בכמה מן הטעמים האלו, ומשום הספק דדלמא אין בה בב"ח כתב רע"א עוד יותר, דכיון שאינו אלא ספק לכאורה אין כאן ספק איסור רק דבר שאינו מתכוין, וכן לא הוי פסיק רישא כיון שאינו אלא ספק. אמנם כתב דיתכן דכה"ג חשיב פס"ר כיון שהספק שלפנינו הוא ספק שלעבר, וכיון שע"פ הנתונים שכבר קיימים אם יש בליעות של בב"ח הרי הוא עושה מעשה בישול של בב"ח אין זה אלא ספק אם הוא פס"ר או לא, ואין להתיר משום דשא"מ. רק שהוסיף דכאן הוי פס"ר דלא ניחא לי', ולערוך לכאורה יש להתיר. </w:t>
      </w:r>
      <w:r w:rsidR="00EE45A1" w:rsidRPr="00882F11">
        <w:rPr>
          <w:rFonts w:cs="Guttman Drogolin" w:hint="cs"/>
          <w:rtl/>
          <w:lang w:bidi="he-IL"/>
        </w:rPr>
        <w:t>אלא שכתב שלפי התוס' דמחמרי בפס"ר דלא ניחא לי' יש לאסור</w:t>
      </w:r>
      <w:r w:rsidR="00EE45A1" w:rsidRPr="00882F11">
        <w:rPr>
          <w:rStyle w:val="FootnoteReference"/>
          <w:rFonts w:cs="Guttman Drogolin"/>
          <w:rtl/>
          <w:lang w:bidi="he-IL"/>
        </w:rPr>
        <w:footnoteReference w:id="233"/>
      </w:r>
      <w:r w:rsidR="00EE45A1" w:rsidRPr="00882F11">
        <w:rPr>
          <w:rFonts w:cs="Guttman Drogolin" w:hint="cs"/>
          <w:rtl/>
          <w:lang w:bidi="he-IL"/>
        </w:rPr>
        <w:t>. וכן הביא שהרא"ש כתב שהערוך מודה בכל התורה כולה אע"ג שהתוס' משמע שדברי הערוך הם גם בכה"ת כולה</w:t>
      </w:r>
      <w:r w:rsidR="0019653C" w:rsidRPr="00882F11">
        <w:rPr>
          <w:rStyle w:val="FootnoteReference"/>
          <w:rFonts w:cs="Guttman Drogolin"/>
          <w:rtl/>
          <w:lang w:bidi="he-IL"/>
        </w:rPr>
        <w:footnoteReference w:id="234"/>
      </w:r>
      <w:r w:rsidR="00EE45A1" w:rsidRPr="00882F11">
        <w:rPr>
          <w:rFonts w:cs="Guttman Drogolin" w:hint="cs"/>
          <w:rtl/>
          <w:lang w:bidi="he-IL"/>
        </w:rPr>
        <w:t>.</w:t>
      </w:r>
      <w:r w:rsidR="00D3528E" w:rsidRPr="00882F11">
        <w:rPr>
          <w:rFonts w:cs="Guttman Drogolin" w:hint="cs"/>
          <w:rtl/>
          <w:lang w:bidi="he-IL"/>
        </w:rPr>
        <w:t xml:space="preserve"> </w:t>
      </w:r>
      <w:r w:rsidR="0019653C" w:rsidRPr="00882F11">
        <w:rPr>
          <w:rFonts w:cs="Guttman Drogolin" w:hint="cs"/>
          <w:rtl/>
          <w:lang w:bidi="he-IL"/>
        </w:rPr>
        <w:t xml:space="preserve">ולענין הא דאינו בן יומו שלכאורה הי' לנו לומר שסתם כלים אינם בני יומן ולכן אין חשש של בישול בב"ח, אבל תלה הדבר בטעם דסתם כלים אינם בני יומן, שאם הוא </w:t>
      </w:r>
      <w:r w:rsidR="00B458DB" w:rsidRPr="00882F11">
        <w:rPr>
          <w:rFonts w:cs="Guttman Drogolin" w:hint="cs"/>
          <w:rtl/>
          <w:lang w:bidi="he-IL"/>
        </w:rPr>
        <w:t xml:space="preserve">כטעמו של הרשב"א שהוא </w:t>
      </w:r>
      <w:r w:rsidR="0019653C" w:rsidRPr="00882F11">
        <w:rPr>
          <w:rFonts w:cs="Guttman Drogolin" w:hint="cs"/>
          <w:rtl/>
          <w:lang w:bidi="he-IL"/>
        </w:rPr>
        <w:t xml:space="preserve">משום </w:t>
      </w:r>
      <w:r w:rsidR="00B458DB" w:rsidRPr="00882F11">
        <w:rPr>
          <w:rFonts w:cs="Guttman Drogolin" w:hint="cs"/>
          <w:rtl/>
          <w:lang w:bidi="he-IL"/>
        </w:rPr>
        <w:t xml:space="preserve">ספק לא בישל כלל ואפילו בישל ספק דלמא בישל מים ניחא אבל אם כטור שהוא ספק לא בישל בתוך העל"ע וספק פוגם התבשיל, לא מהני ספק ספיקא זו אלא להתיר התבשיל אבל לענין בישול כולה חדא ספיקא היא. </w:t>
      </w:r>
    </w:p>
    <w:p w:rsidR="00506BFB" w:rsidRPr="00882F11" w:rsidRDefault="00B458DB" w:rsidP="004A281F">
      <w:pPr>
        <w:bidi/>
        <w:jc w:val="both"/>
        <w:rPr>
          <w:rFonts w:cs="Guttman Drogolin"/>
          <w:rtl/>
          <w:lang w:bidi="he-IL"/>
        </w:rPr>
      </w:pPr>
      <w:r w:rsidRPr="00882F11">
        <w:rPr>
          <w:rFonts w:cs="Guttman Drogolin" w:hint="cs"/>
          <w:rtl/>
          <w:lang w:bidi="he-IL"/>
        </w:rPr>
        <w:t xml:space="preserve">ובכרו"פ ס"ק י"ג הסיק הטעם שאינו אלא חומרא בעלמא משום שאין איסור בישול בבליעות של בב"ח. והוכיח כן מדברי התוס' במס' חולין דף ק' ע"ב, ששם הוכיחו שאין חענ"ן בשאר איסורים </w:t>
      </w:r>
      <w:r w:rsidRPr="00882F11">
        <w:rPr>
          <w:rFonts w:cs="Guttman Drogolin" w:hint="cs"/>
          <w:rtl/>
          <w:lang w:bidi="he-IL"/>
        </w:rPr>
        <w:lastRenderedPageBreak/>
        <w:t>מהגעלת כלי מדין. ולכאורה צ"ע שאם בישלו בב"</w:t>
      </w:r>
      <w:r w:rsidR="00506BFB" w:rsidRPr="00882F11">
        <w:rPr>
          <w:rFonts w:cs="Guttman Drogolin" w:hint="cs"/>
          <w:rtl/>
          <w:lang w:bidi="he-IL"/>
        </w:rPr>
        <w:t xml:space="preserve">ח בכלי זה, כיון שאין ששים במים כנגדו אפילו אם הי' אפשר להכשירו הא עובר משום בישול בב"ח. וע"כ כנ"ל שאין איסור בישול בב"ח בבליעות. </w:t>
      </w:r>
      <w:r w:rsidR="0099418B" w:rsidRPr="00882F11">
        <w:rPr>
          <w:rFonts w:cs="Guttman Drogolin" w:hint="cs"/>
          <w:rtl/>
          <w:lang w:bidi="he-IL"/>
        </w:rPr>
        <w:t xml:space="preserve">ובסוף דבריו הדגיש דהיינו בליעות שכבר התבשלו. </w:t>
      </w:r>
      <w:r w:rsidR="00506BFB" w:rsidRPr="00882F11">
        <w:rPr>
          <w:rFonts w:cs="Guttman Drogolin" w:hint="cs"/>
          <w:rtl/>
          <w:lang w:bidi="he-IL"/>
        </w:rPr>
        <w:t>וע' רע"א (שו"ת ח"ד הוצאת המאור סי' צ"ה אות ב', ומקורו בס' הזכרון וזאת ליהודה) שהביא מי ששאל על זה</w:t>
      </w:r>
      <w:r w:rsidR="0099418B" w:rsidRPr="00882F11">
        <w:rPr>
          <w:rFonts w:cs="Guttman Drogolin" w:hint="cs"/>
          <w:rtl/>
          <w:lang w:bidi="he-IL"/>
        </w:rPr>
        <w:t xml:space="preserve"> שאם דאם רק בליעות שהתבשלו אין בהם משום בישול בב"ח, עדייו צ"ע דהא בכלי מדין הי' כל האיסורים</w:t>
      </w:r>
      <w:r w:rsidR="004A281F" w:rsidRPr="00882F11">
        <w:rPr>
          <w:rFonts w:cs="Guttman Drogolin" w:hint="cs"/>
          <w:rtl/>
          <w:lang w:bidi="he-IL"/>
        </w:rPr>
        <w:t xml:space="preserve"> (וכמו שמבואר בתוס' במס' פסחים דף מ"ד ע"ב ד"ה אלא)</w:t>
      </w:r>
      <w:r w:rsidR="0099418B" w:rsidRPr="00882F11">
        <w:rPr>
          <w:rFonts w:cs="Guttman Drogolin" w:hint="cs"/>
          <w:rtl/>
          <w:lang w:bidi="he-IL"/>
        </w:rPr>
        <w:t>, ולכן י"ל שהי' ג"כ כבוש של בב"ח, והרי יש בישול אחר כבוש</w:t>
      </w:r>
      <w:r w:rsidR="00506BFB" w:rsidRPr="00882F11">
        <w:rPr>
          <w:rFonts w:cs="Guttman Drogolin" w:hint="cs"/>
          <w:rtl/>
          <w:lang w:bidi="he-IL"/>
        </w:rPr>
        <w:t>.</w:t>
      </w:r>
      <w:r w:rsidR="0099418B" w:rsidRPr="00882F11">
        <w:rPr>
          <w:rFonts w:cs="Guttman Drogolin" w:hint="cs"/>
          <w:rtl/>
          <w:lang w:bidi="he-IL"/>
        </w:rPr>
        <w:t xml:space="preserve"> וע"ש מה שהאריך רע"א בזה. ובעצם דבריו לא ידעתי למה הכרו"פ הי' צריך לומר שדוקא בהתבשלו אין איסור בישול בב"ח בבליעות בלבד.</w:t>
      </w:r>
    </w:p>
    <w:p w:rsidR="00506BFB" w:rsidRPr="00662307" w:rsidRDefault="00506BFB" w:rsidP="0078079C">
      <w:pPr>
        <w:pStyle w:val="Heading1"/>
        <w:bidi/>
        <w:spacing w:before="0" w:line="360" w:lineRule="auto"/>
        <w:jc w:val="center"/>
        <w:rPr>
          <w:rFonts w:cs="Guttman Drogolin"/>
          <w:color w:val="auto"/>
          <w:sz w:val="18"/>
          <w:szCs w:val="18"/>
          <w:u w:val="single"/>
          <w:rtl/>
          <w:lang w:bidi="he-IL"/>
        </w:rPr>
      </w:pPr>
      <w:bookmarkStart w:id="189" w:name="_Toc496175445"/>
      <w:r w:rsidRPr="00662307">
        <w:rPr>
          <w:rFonts w:cs="Guttman Drogolin" w:hint="cs"/>
          <w:color w:val="auto"/>
          <w:sz w:val="18"/>
          <w:szCs w:val="18"/>
          <w:u w:val="single"/>
          <w:rtl/>
          <w:lang w:bidi="he-IL"/>
        </w:rPr>
        <w:t>עירוב מים שהדיחו בהם כלי בשר עם מים של כלי חלב</w:t>
      </w:r>
      <w:bookmarkEnd w:id="189"/>
    </w:p>
    <w:p w:rsidR="009A4A9E" w:rsidRPr="00882F11" w:rsidRDefault="00682322" w:rsidP="00B50976">
      <w:pPr>
        <w:bidi/>
        <w:jc w:val="both"/>
        <w:rPr>
          <w:rFonts w:cs="Guttman Drogolin"/>
          <w:rtl/>
          <w:lang w:bidi="he-IL"/>
        </w:rPr>
      </w:pPr>
      <w:r>
        <w:rPr>
          <w:rFonts w:cs="Guttman Drogolin"/>
          <w:rtl/>
          <w:lang w:bidi="he-IL"/>
        </w:rPr>
        <w:fldChar w:fldCharType="begin"/>
      </w:r>
      <w:r>
        <w:instrText xml:space="preserve"> XE "</w:instrText>
      </w:r>
      <w:r w:rsidRPr="00C13EFF">
        <w:rPr>
          <w:rFonts w:hint="cs"/>
          <w:rtl/>
          <w:lang w:bidi="he-IL"/>
        </w:rPr>
        <w:instrText>בשר בחלב</w:instrText>
      </w:r>
      <w:r w:rsidRPr="00C13EFF">
        <w:rPr>
          <w:rtl/>
        </w:rPr>
        <w:instrText>:</w:instrText>
      </w:r>
      <w:r w:rsidRPr="00C13EFF">
        <w:rPr>
          <w:rFonts w:hint="cs"/>
          <w:rtl/>
          <w:lang w:bidi="he-IL"/>
        </w:rPr>
        <w:instrText>עירוב מים שהדיחו בהם כלי בשר עם מים של כלי חלב</w:instrText>
      </w:r>
      <w:r>
        <w:instrText xml:space="preserve">" </w:instrText>
      </w:r>
      <w:r>
        <w:rPr>
          <w:rFonts w:cs="Guttman Drogolin"/>
          <w:rtl/>
          <w:lang w:bidi="he-IL"/>
        </w:rPr>
        <w:fldChar w:fldCharType="end"/>
      </w:r>
      <w:r w:rsidR="00506BFB" w:rsidRPr="00882F11">
        <w:rPr>
          <w:rFonts w:cs="Guttman Drogolin" w:hint="cs"/>
          <w:rtl/>
          <w:lang w:bidi="he-IL"/>
        </w:rPr>
        <w:t xml:space="preserve">עוד מביא הרמ"א שם שאין לערב מים שהדיחו </w:t>
      </w:r>
      <w:r w:rsidR="003C6556" w:rsidRPr="00882F11">
        <w:rPr>
          <w:rFonts w:cs="Guttman Drogolin" w:hint="cs"/>
          <w:rtl/>
          <w:lang w:bidi="he-IL"/>
        </w:rPr>
        <w:t xml:space="preserve">בהם כלי בשר עם מים שהדיחו בהם כלי חלב וליתן לפני בהמה דאסורים בהנאה. והש"ך </w:t>
      </w:r>
      <w:r w:rsidR="009A4A9E" w:rsidRPr="00882F11">
        <w:rPr>
          <w:rFonts w:cs="Guttman Drogolin" w:hint="cs"/>
          <w:rtl/>
          <w:lang w:bidi="he-IL"/>
        </w:rPr>
        <w:t>פי' דמיירי במים רותחין, דאל"כ אינו אסור בהנאה. והקשה רע"א (וכן הביא בשם הכרו"פ) דא"כ לכאורה למה בעינן לאסרו משום איסור הנאה תיפו"ל משום איסור בישול. ורע"א תי' שי"ל שיש ששים רק שאסור לערב משום שאין מבטלין איסור לכתחילה. ולכאורה הי' אפשר לדחות השאלה, דאסור בהנאה לרבותא נקט שאפילו ע</w:t>
      </w:r>
      <w:r w:rsidR="00B50976">
        <w:rPr>
          <w:rFonts w:cs="Guttman Drogolin" w:hint="cs"/>
          <w:rtl/>
          <w:lang w:bidi="he-IL"/>
        </w:rPr>
        <w:t>י</w:t>
      </w:r>
      <w:r w:rsidR="009A4A9E" w:rsidRPr="00882F11">
        <w:rPr>
          <w:rFonts w:cs="Guttman Drogolin" w:hint="cs"/>
          <w:rtl/>
          <w:lang w:bidi="he-IL"/>
        </w:rPr>
        <w:t xml:space="preserve">רבו עכו"ם </w:t>
      </w:r>
      <w:r w:rsidR="00B50976">
        <w:rPr>
          <w:rFonts w:cs="Guttman Drogolin" w:hint="cs"/>
          <w:rtl/>
          <w:lang w:bidi="he-IL"/>
        </w:rPr>
        <w:t xml:space="preserve">או </w:t>
      </w:r>
      <w:r w:rsidR="009A4A9E" w:rsidRPr="00882F11">
        <w:rPr>
          <w:rFonts w:cs="Guttman Drogolin" w:hint="cs"/>
          <w:rtl/>
          <w:lang w:bidi="he-IL"/>
        </w:rPr>
        <w:t xml:space="preserve">שהוא עצמו עירבו בטעות עדיין אסור ליתנו לפני בהמה משום איסור הנאה. </w:t>
      </w:r>
    </w:p>
    <w:p w:rsidR="00BE230D" w:rsidRPr="00882F11" w:rsidRDefault="009A4A9E" w:rsidP="00BE230D">
      <w:pPr>
        <w:bidi/>
        <w:jc w:val="both"/>
        <w:rPr>
          <w:rFonts w:cs="Guttman Drogolin"/>
          <w:rtl/>
          <w:lang w:bidi="he-IL"/>
        </w:rPr>
      </w:pPr>
      <w:r w:rsidRPr="00882F11">
        <w:rPr>
          <w:rFonts w:cs="Guttman Drogolin" w:hint="cs"/>
          <w:rtl/>
          <w:lang w:bidi="he-IL"/>
        </w:rPr>
        <w:t>במקור הדברים מבואר שלא התכוין לאסור במים רותחין בלבד אלא אפילו במים צוננין, וכוונתו שאין לערב לכתחילה ע</w:t>
      </w:r>
      <w:r w:rsidR="00B50976">
        <w:rPr>
          <w:rFonts w:cs="Guttman Drogolin" w:hint="cs"/>
          <w:rtl/>
          <w:lang w:bidi="he-IL"/>
        </w:rPr>
        <w:t>"</w:t>
      </w:r>
      <w:r w:rsidRPr="00882F11">
        <w:rPr>
          <w:rFonts w:cs="Guttman Drogolin" w:hint="cs"/>
          <w:rtl/>
          <w:lang w:bidi="he-IL"/>
        </w:rPr>
        <w:t>מ ליהנות ממנו. ולדבריו יוצא ההיפך מן הנ"ל וכל האיסור ההוא לכתחילה, אבל אם עירבו מותר בדיעבד. וכן הביא רע"א עצמו שיטה זו לעיל ד"ה מו</w:t>
      </w:r>
      <w:r w:rsidR="00A2380B" w:rsidRPr="00882F11">
        <w:rPr>
          <w:rFonts w:cs="Guttman Drogolin" w:hint="cs"/>
          <w:rtl/>
          <w:lang w:bidi="he-IL"/>
        </w:rPr>
        <w:t>ת</w:t>
      </w:r>
      <w:r w:rsidRPr="00882F11">
        <w:rPr>
          <w:rFonts w:cs="Guttman Drogolin" w:hint="cs"/>
          <w:rtl/>
          <w:lang w:bidi="he-IL"/>
        </w:rPr>
        <w:t xml:space="preserve">ר בהנאה בשם המנח"י. אמנם עיקר הדבר אינו מובן למה יהא </w:t>
      </w:r>
      <w:r w:rsidRPr="00882F11">
        <w:rPr>
          <w:rFonts w:cs="Guttman Drogolin" w:hint="cs"/>
          <w:rtl/>
          <w:lang w:bidi="he-IL"/>
        </w:rPr>
        <w:lastRenderedPageBreak/>
        <w:t xml:space="preserve">בזה איסור ומי אסרו, הא קיי"ל שבב"ח דרבנן מותר בהנאה. וראיתי יד יהודה שרצה לומר שלכתחיילה חוששין לאלו הסוברים שגם בב"ח דרבנן אסור בהנאה, ולכן עכ"פ אין לעשות דבר כזה לכתחילה. </w:t>
      </w:r>
      <w:r w:rsidR="00BE230D" w:rsidRPr="00882F11">
        <w:rPr>
          <w:rFonts w:cs="Guttman Drogolin" w:hint="cs"/>
          <w:rtl/>
          <w:lang w:bidi="he-IL"/>
        </w:rPr>
        <w:t>אלא דא"כ למה הקילו בבישול הא בישול הוי תמיד לכתחילה. וצ"ע.</w:t>
      </w:r>
    </w:p>
    <w:p w:rsidR="009A4A9E" w:rsidRPr="00882F11" w:rsidRDefault="00BE230D" w:rsidP="00665095">
      <w:pPr>
        <w:bidi/>
        <w:jc w:val="both"/>
        <w:rPr>
          <w:rFonts w:cs="Guttman Drogolin"/>
          <w:rtl/>
          <w:lang w:bidi="he-IL"/>
        </w:rPr>
      </w:pPr>
      <w:r w:rsidRPr="00882F11">
        <w:rPr>
          <w:rFonts w:cs="Guttman Drogolin" w:hint="cs"/>
          <w:rtl/>
          <w:lang w:bidi="he-IL"/>
        </w:rPr>
        <w:t>וגם בזה הרי מבואר ברמ"א שאינו אלא חומרא בעלמא. ואם מיירי במים צוננים הא ניחא בפשוטו דהא מעיקר הדין אין איסור הנאה בבשר בחלב דרבנן. אבל אפילו מיירי ברו</w:t>
      </w:r>
      <w:r w:rsidR="00665095">
        <w:rPr>
          <w:rFonts w:cs="Guttman Drogolin" w:hint="cs"/>
          <w:rtl/>
          <w:lang w:bidi="he-IL"/>
        </w:rPr>
        <w:t>ת</w:t>
      </w:r>
      <w:r w:rsidRPr="00882F11">
        <w:rPr>
          <w:rFonts w:cs="Guttman Drogolin" w:hint="cs"/>
          <w:rtl/>
          <w:lang w:bidi="he-IL"/>
        </w:rPr>
        <w:t>חין לכאורה י"ל שכאן לא הוי דרך בישול</w:t>
      </w:r>
      <w:r w:rsidRPr="00882F11">
        <w:rPr>
          <w:rStyle w:val="FootnoteReference"/>
          <w:rFonts w:cs="Guttman Drogolin"/>
          <w:rtl/>
          <w:lang w:bidi="he-IL"/>
        </w:rPr>
        <w:footnoteReference w:id="235"/>
      </w:r>
      <w:r w:rsidRPr="00882F11">
        <w:rPr>
          <w:rFonts w:cs="Guttman Drogolin" w:hint="cs"/>
          <w:rtl/>
          <w:lang w:bidi="he-IL"/>
        </w:rPr>
        <w:t xml:space="preserve"> כיון שאינו אלא כלי שני</w:t>
      </w:r>
      <w:r w:rsidR="00B50976">
        <w:rPr>
          <w:rFonts w:cs="Guttman Drogolin" w:hint="cs"/>
          <w:rtl/>
          <w:lang w:bidi="he-IL"/>
        </w:rPr>
        <w:t xml:space="preserve"> </w:t>
      </w:r>
      <w:r w:rsidRPr="00882F11">
        <w:rPr>
          <w:rFonts w:cs="Guttman Drogolin" w:hint="cs"/>
          <w:rtl/>
          <w:lang w:bidi="he-IL"/>
        </w:rPr>
        <w:t>(כן ראיתי בשם ערוה"ש, והבדה"ש התקשה בזה ולא ידעתי למה), וכן מסתברא שיש עכ"פ ספק אם היס"ב. וכן יתכן שיש ששים או שנטל"פ.</w:t>
      </w:r>
      <w:r w:rsidR="009A4A9E" w:rsidRPr="00882F11">
        <w:rPr>
          <w:rFonts w:cs="Guttman Drogolin" w:hint="cs"/>
          <w:rtl/>
          <w:lang w:bidi="he-IL"/>
        </w:rPr>
        <w:t xml:space="preserve">   </w:t>
      </w:r>
    </w:p>
    <w:p w:rsidR="00BE230D" w:rsidRPr="00882F11" w:rsidRDefault="00BE230D" w:rsidP="0078079C">
      <w:pPr>
        <w:pStyle w:val="Heading1"/>
        <w:bidi/>
        <w:spacing w:before="0" w:line="360" w:lineRule="auto"/>
        <w:jc w:val="center"/>
        <w:rPr>
          <w:rFonts w:cs="Guttman Drogolin"/>
          <w:color w:val="auto"/>
          <w:sz w:val="24"/>
          <w:szCs w:val="24"/>
          <w:u w:val="single"/>
          <w:rtl/>
          <w:lang w:bidi="he-IL"/>
        </w:rPr>
      </w:pPr>
      <w:bookmarkStart w:id="190" w:name="_Toc496175446"/>
      <w:r w:rsidRPr="00882F11">
        <w:rPr>
          <w:rFonts w:cs="Guttman Drogolin" w:hint="cs"/>
          <w:color w:val="auto"/>
          <w:sz w:val="24"/>
          <w:szCs w:val="24"/>
          <w:u w:val="single"/>
          <w:rtl/>
          <w:lang w:bidi="he-IL"/>
        </w:rPr>
        <w:t>לבשל בכלי שעושין בו מים לחפיפת הראש</w:t>
      </w:r>
      <w:bookmarkEnd w:id="190"/>
    </w:p>
    <w:p w:rsidR="009A4A9E" w:rsidRPr="00882F11" w:rsidRDefault="00AA2339" w:rsidP="0014630D">
      <w:pPr>
        <w:bidi/>
        <w:jc w:val="both"/>
        <w:rPr>
          <w:rFonts w:cs="Guttman Drogolin"/>
          <w:rtl/>
          <w:lang w:bidi="he-IL"/>
        </w:rPr>
      </w:pPr>
      <w:r>
        <w:rPr>
          <w:rFonts w:cs="Guttman Drogolin"/>
          <w:rtl/>
          <w:lang w:bidi="he-IL"/>
        </w:rPr>
        <w:fldChar w:fldCharType="begin"/>
      </w:r>
      <w:r>
        <w:instrText xml:space="preserve"> XE "</w:instrText>
      </w:r>
      <w:r w:rsidRPr="00C06C17">
        <w:rPr>
          <w:rFonts w:hint="cs"/>
          <w:rtl/>
          <w:lang w:bidi="he-IL"/>
        </w:rPr>
        <w:instrText>בשר בחלב - איסור הנאה</w:instrText>
      </w:r>
      <w:r w:rsidRPr="00C06C17">
        <w:rPr>
          <w:rtl/>
        </w:rPr>
        <w:instrText>:</w:instrText>
      </w:r>
      <w:r w:rsidRPr="00C06C17">
        <w:rPr>
          <w:rFonts w:hint="cs"/>
          <w:rtl/>
          <w:lang w:bidi="he-IL"/>
        </w:rPr>
        <w:instrText>כלי שעושים בו מים חפיפת הראש</w:instrText>
      </w:r>
      <w:r>
        <w:instrText xml:space="preserve">" </w:instrText>
      </w:r>
      <w:r>
        <w:rPr>
          <w:rFonts w:cs="Guttman Drogolin"/>
          <w:rtl/>
          <w:lang w:bidi="he-IL"/>
        </w:rPr>
        <w:fldChar w:fldCharType="end"/>
      </w:r>
      <w:r w:rsidR="00BE230D" w:rsidRPr="00882F11">
        <w:rPr>
          <w:rFonts w:cs="Guttman Drogolin" w:hint="cs"/>
          <w:rtl/>
          <w:lang w:bidi="he-IL"/>
        </w:rPr>
        <w:t xml:space="preserve">עוד כתב שם הרמ"א שכלי שעושין בה מים לחפיפת הראש אין לשמש בו דעושין אותה (פי' המי חפית הראש) מאפר שעל הכירה ורגילות הוא להתערב שם בשר וחלב. והש"ך ס"ק כ' הקשה דא"כ איך אפשר להשתמש במי חפיפת הראש </w:t>
      </w:r>
      <w:r w:rsidR="0014630D" w:rsidRPr="00882F11">
        <w:rPr>
          <w:rFonts w:cs="Guttman Drogolin" w:hint="cs"/>
          <w:rtl/>
          <w:lang w:bidi="he-IL"/>
        </w:rPr>
        <w:t>הא גם בה יש בב"ח. ותי' דשאני התם שאינו נהנה מגוף הדבר. ולכאורה כוונתו לעומת הדין של הרמ"א דמיירי באכילה, ולכן אסור כיון שמ"מ אוכל אותו. וע' בערוה"ש סעי</w:t>
      </w:r>
      <w:r w:rsidR="0014630D" w:rsidRPr="00882F11">
        <w:rPr>
          <w:rFonts w:cs="Guttman Drogolin"/>
          <w:rtl/>
          <w:lang w:bidi="he-IL"/>
        </w:rPr>
        <w:t xml:space="preserve">' </w:t>
      </w:r>
      <w:r w:rsidR="0014630D" w:rsidRPr="00882F11">
        <w:rPr>
          <w:rFonts w:cs="Guttman Drogolin" w:hint="cs"/>
          <w:rtl/>
          <w:lang w:bidi="he-IL"/>
        </w:rPr>
        <w:t>ל</w:t>
      </w:r>
      <w:r w:rsidR="0014630D" w:rsidRPr="00882F11">
        <w:rPr>
          <w:rFonts w:cs="Guttman Drogolin"/>
          <w:rtl/>
          <w:lang w:bidi="he-IL"/>
        </w:rPr>
        <w:t>"</w:t>
      </w:r>
      <w:r w:rsidR="0014630D" w:rsidRPr="00882F11">
        <w:rPr>
          <w:rFonts w:cs="Guttman Drogolin" w:hint="cs"/>
          <w:rtl/>
          <w:lang w:bidi="he-IL"/>
        </w:rPr>
        <w:t>ג שביאר הטעם שאינו אלא חומרא וכמו שמסיק הרמ"א</w:t>
      </w:r>
      <w:r w:rsidR="0014630D" w:rsidRPr="00882F11">
        <w:rPr>
          <w:rFonts w:cs="Guttman Drogolin"/>
          <w:rtl/>
          <w:lang w:bidi="he-IL"/>
        </w:rPr>
        <w:t xml:space="preserve"> </w:t>
      </w:r>
      <w:r w:rsidR="0014630D" w:rsidRPr="00882F11">
        <w:rPr>
          <w:rFonts w:cs="Guttman Drogolin" w:hint="cs"/>
          <w:rtl/>
          <w:lang w:bidi="he-IL"/>
        </w:rPr>
        <w:t>ש</w:t>
      </w:r>
      <w:r w:rsidR="0014630D" w:rsidRPr="00882F11">
        <w:rPr>
          <w:rFonts w:cs="Guttman Drogolin"/>
          <w:rtl/>
          <w:lang w:bidi="he-IL"/>
        </w:rPr>
        <w:t>"</w:t>
      </w:r>
      <w:r w:rsidR="0014630D" w:rsidRPr="00882F11">
        <w:rPr>
          <w:rFonts w:cs="Guttman Drogolin" w:hint="cs"/>
          <w:rtl/>
          <w:lang w:bidi="he-IL"/>
        </w:rPr>
        <w:t>בודאי</w:t>
      </w:r>
      <w:r w:rsidR="0014630D" w:rsidRPr="00882F11">
        <w:rPr>
          <w:rFonts w:cs="Guttman Drogolin"/>
          <w:rtl/>
          <w:lang w:bidi="he-IL"/>
        </w:rPr>
        <w:t xml:space="preserve"> </w:t>
      </w:r>
      <w:r w:rsidR="0014630D" w:rsidRPr="00882F11">
        <w:rPr>
          <w:rFonts w:cs="Guttman Drogolin" w:hint="cs"/>
          <w:rtl/>
          <w:lang w:bidi="he-IL"/>
        </w:rPr>
        <w:t>כבר</w:t>
      </w:r>
      <w:r w:rsidR="0014630D" w:rsidRPr="00882F11">
        <w:rPr>
          <w:rFonts w:cs="Guttman Drogolin"/>
          <w:rtl/>
          <w:lang w:bidi="he-IL"/>
        </w:rPr>
        <w:t xml:space="preserve"> </w:t>
      </w:r>
      <w:r w:rsidR="0014630D" w:rsidRPr="00882F11">
        <w:rPr>
          <w:rFonts w:cs="Guttman Drogolin" w:hint="cs"/>
          <w:rtl/>
          <w:lang w:bidi="he-IL"/>
        </w:rPr>
        <w:t>נשרף</w:t>
      </w:r>
      <w:r w:rsidR="0014630D" w:rsidRPr="00882F11">
        <w:rPr>
          <w:rFonts w:cs="Guttman Drogolin"/>
          <w:rtl/>
          <w:lang w:bidi="he-IL"/>
        </w:rPr>
        <w:t xml:space="preserve"> </w:t>
      </w:r>
      <w:r w:rsidR="0014630D" w:rsidRPr="00882F11">
        <w:rPr>
          <w:rFonts w:cs="Guttman Drogolin" w:hint="cs"/>
          <w:rtl/>
          <w:lang w:bidi="he-IL"/>
        </w:rPr>
        <w:t>כל</w:t>
      </w:r>
      <w:r w:rsidR="0014630D" w:rsidRPr="00882F11">
        <w:rPr>
          <w:rFonts w:cs="Guttman Drogolin"/>
          <w:rtl/>
          <w:lang w:bidi="he-IL"/>
        </w:rPr>
        <w:t xml:space="preserve"> </w:t>
      </w:r>
      <w:r w:rsidR="0014630D" w:rsidRPr="00882F11">
        <w:rPr>
          <w:rFonts w:cs="Guttman Drogolin" w:hint="cs"/>
          <w:rtl/>
          <w:lang w:bidi="he-IL"/>
        </w:rPr>
        <w:t>הלחלוחית</w:t>
      </w:r>
      <w:r w:rsidR="0014630D" w:rsidRPr="00882F11">
        <w:rPr>
          <w:rFonts w:cs="Guttman Drogolin"/>
          <w:rtl/>
          <w:lang w:bidi="he-IL"/>
        </w:rPr>
        <w:t xml:space="preserve"> </w:t>
      </w:r>
      <w:r w:rsidR="0014630D" w:rsidRPr="00882F11">
        <w:rPr>
          <w:rFonts w:cs="Guttman Drogolin" w:hint="cs"/>
          <w:rtl/>
          <w:lang w:bidi="he-IL"/>
        </w:rPr>
        <w:t>וגם</w:t>
      </w:r>
      <w:r w:rsidR="0014630D" w:rsidRPr="00882F11">
        <w:rPr>
          <w:rFonts w:cs="Guttman Drogolin"/>
          <w:rtl/>
          <w:lang w:bidi="he-IL"/>
        </w:rPr>
        <w:t xml:space="preserve"> </w:t>
      </w:r>
      <w:r w:rsidR="0014630D" w:rsidRPr="00882F11">
        <w:rPr>
          <w:rFonts w:cs="Guttman Drogolin" w:hint="cs"/>
          <w:rtl/>
          <w:lang w:bidi="he-IL"/>
        </w:rPr>
        <w:t>הוא</w:t>
      </w:r>
      <w:r w:rsidR="0014630D" w:rsidRPr="00882F11">
        <w:rPr>
          <w:rFonts w:cs="Guttman Drogolin"/>
          <w:rtl/>
          <w:lang w:bidi="he-IL"/>
        </w:rPr>
        <w:t xml:space="preserve"> </w:t>
      </w:r>
      <w:r w:rsidR="0014630D" w:rsidRPr="00882F11">
        <w:rPr>
          <w:rFonts w:cs="Guttman Drogolin" w:hint="cs"/>
          <w:rtl/>
          <w:lang w:bidi="he-IL"/>
        </w:rPr>
        <w:t>טעם</w:t>
      </w:r>
      <w:r w:rsidR="0014630D" w:rsidRPr="00882F11">
        <w:rPr>
          <w:rFonts w:cs="Guttman Drogolin"/>
          <w:rtl/>
          <w:lang w:bidi="he-IL"/>
        </w:rPr>
        <w:t xml:space="preserve"> </w:t>
      </w:r>
      <w:r w:rsidR="0014630D" w:rsidRPr="00882F11">
        <w:rPr>
          <w:rFonts w:cs="Guttman Drogolin" w:hint="cs"/>
          <w:rtl/>
          <w:lang w:bidi="he-IL"/>
        </w:rPr>
        <w:t>לפגם</w:t>
      </w:r>
      <w:r w:rsidR="0014630D" w:rsidRPr="00882F11">
        <w:rPr>
          <w:rFonts w:cs="Guttman Drogolin"/>
          <w:rtl/>
          <w:lang w:bidi="he-IL"/>
        </w:rPr>
        <w:t xml:space="preserve"> </w:t>
      </w:r>
      <w:r w:rsidR="0014630D" w:rsidRPr="00882F11">
        <w:rPr>
          <w:rFonts w:cs="Guttman Drogolin" w:hint="cs"/>
          <w:rtl/>
          <w:lang w:bidi="he-IL"/>
        </w:rPr>
        <w:t>ואף</w:t>
      </w:r>
      <w:r w:rsidR="0014630D" w:rsidRPr="00882F11">
        <w:rPr>
          <w:rFonts w:cs="Guttman Drogolin"/>
          <w:rtl/>
          <w:lang w:bidi="he-IL"/>
        </w:rPr>
        <w:t xml:space="preserve"> </w:t>
      </w:r>
      <w:r w:rsidR="0014630D" w:rsidRPr="00882F11">
        <w:rPr>
          <w:rFonts w:cs="Guttman Drogolin" w:hint="cs"/>
          <w:rtl/>
          <w:lang w:bidi="he-IL"/>
        </w:rPr>
        <w:t>על</w:t>
      </w:r>
      <w:r w:rsidR="0014630D" w:rsidRPr="00882F11">
        <w:rPr>
          <w:rFonts w:cs="Guttman Drogolin"/>
          <w:rtl/>
          <w:lang w:bidi="he-IL"/>
        </w:rPr>
        <w:t xml:space="preserve"> </w:t>
      </w:r>
      <w:r w:rsidR="0014630D" w:rsidRPr="00882F11">
        <w:rPr>
          <w:rFonts w:cs="Guttman Drogolin" w:hint="cs"/>
          <w:rtl/>
          <w:lang w:bidi="he-IL"/>
        </w:rPr>
        <w:t>פי</w:t>
      </w:r>
      <w:r w:rsidR="0014630D" w:rsidRPr="00882F11">
        <w:rPr>
          <w:rFonts w:cs="Guttman Drogolin"/>
          <w:rtl/>
          <w:lang w:bidi="he-IL"/>
        </w:rPr>
        <w:t xml:space="preserve"> </w:t>
      </w:r>
      <w:r w:rsidR="0014630D" w:rsidRPr="00882F11">
        <w:rPr>
          <w:rFonts w:cs="Guttman Drogolin" w:hint="cs"/>
          <w:rtl/>
          <w:lang w:bidi="he-IL"/>
        </w:rPr>
        <w:t>שכתבנו</w:t>
      </w:r>
      <w:r w:rsidR="0014630D" w:rsidRPr="00882F11">
        <w:rPr>
          <w:rFonts w:cs="Guttman Drogolin"/>
          <w:rtl/>
          <w:lang w:bidi="he-IL"/>
        </w:rPr>
        <w:t xml:space="preserve"> </w:t>
      </w:r>
      <w:r w:rsidR="0014630D" w:rsidRPr="00882F11">
        <w:rPr>
          <w:rFonts w:cs="Guttman Drogolin" w:hint="cs"/>
          <w:rtl/>
          <w:lang w:bidi="he-IL"/>
        </w:rPr>
        <w:t>בשם</w:t>
      </w:r>
      <w:r w:rsidR="0014630D" w:rsidRPr="00882F11">
        <w:rPr>
          <w:rFonts w:cs="Guttman Drogolin"/>
          <w:rtl/>
          <w:lang w:bidi="he-IL"/>
        </w:rPr>
        <w:t xml:space="preserve"> </w:t>
      </w:r>
      <w:r w:rsidR="0014630D" w:rsidRPr="00882F11">
        <w:rPr>
          <w:rFonts w:cs="Guttman Drogolin" w:hint="cs"/>
          <w:rtl/>
          <w:lang w:bidi="he-IL"/>
        </w:rPr>
        <w:t>הרמב</w:t>
      </w:r>
      <w:r w:rsidR="0014630D" w:rsidRPr="00882F11">
        <w:rPr>
          <w:rFonts w:cs="Guttman Drogolin"/>
          <w:rtl/>
          <w:lang w:bidi="he-IL"/>
        </w:rPr>
        <w:t>"</w:t>
      </w:r>
      <w:r w:rsidR="0014630D" w:rsidRPr="00882F11">
        <w:rPr>
          <w:rFonts w:cs="Guttman Drogolin" w:hint="cs"/>
          <w:rtl/>
          <w:lang w:bidi="he-IL"/>
        </w:rPr>
        <w:t>ם</w:t>
      </w:r>
      <w:r w:rsidR="0014630D" w:rsidRPr="00882F11">
        <w:rPr>
          <w:rFonts w:cs="Guttman Drogolin"/>
          <w:rtl/>
          <w:lang w:bidi="he-IL"/>
        </w:rPr>
        <w:t xml:space="preserve"> </w:t>
      </w:r>
      <w:r w:rsidR="0014630D" w:rsidRPr="00882F11">
        <w:rPr>
          <w:rFonts w:cs="Guttman Drogolin" w:hint="cs"/>
          <w:rtl/>
          <w:lang w:bidi="he-IL"/>
        </w:rPr>
        <w:t>בסעיף</w:t>
      </w:r>
      <w:r w:rsidR="0014630D" w:rsidRPr="00882F11">
        <w:rPr>
          <w:rFonts w:cs="Guttman Drogolin"/>
          <w:rtl/>
          <w:lang w:bidi="he-IL"/>
        </w:rPr>
        <w:t xml:space="preserve"> </w:t>
      </w:r>
      <w:r w:rsidR="0014630D" w:rsidRPr="00882F11">
        <w:rPr>
          <w:rFonts w:cs="Guttman Drogolin" w:hint="cs"/>
          <w:rtl/>
          <w:lang w:bidi="he-IL"/>
        </w:rPr>
        <w:t>ג</w:t>
      </w:r>
      <w:r w:rsidR="0014630D" w:rsidRPr="00882F11">
        <w:rPr>
          <w:rFonts w:cs="Guttman Drogolin"/>
          <w:rtl/>
          <w:lang w:bidi="he-IL"/>
        </w:rPr>
        <w:t xml:space="preserve">' </w:t>
      </w:r>
      <w:r w:rsidR="0014630D" w:rsidRPr="00882F11">
        <w:rPr>
          <w:rFonts w:cs="Guttman Drogolin" w:hint="cs"/>
          <w:rtl/>
          <w:lang w:bidi="he-IL"/>
        </w:rPr>
        <w:t>דבשר</w:t>
      </w:r>
      <w:r w:rsidR="0014630D" w:rsidRPr="00882F11">
        <w:rPr>
          <w:rFonts w:cs="Guttman Drogolin"/>
          <w:rtl/>
          <w:lang w:bidi="he-IL"/>
        </w:rPr>
        <w:t xml:space="preserve"> </w:t>
      </w:r>
      <w:r w:rsidR="0014630D" w:rsidRPr="00882F11">
        <w:rPr>
          <w:rFonts w:cs="Guttman Drogolin" w:hint="cs"/>
          <w:rtl/>
          <w:lang w:bidi="he-IL"/>
        </w:rPr>
        <w:t>בחלב</w:t>
      </w:r>
      <w:r w:rsidR="0014630D" w:rsidRPr="00882F11">
        <w:rPr>
          <w:rFonts w:cs="Guttman Drogolin"/>
          <w:rtl/>
          <w:lang w:bidi="he-IL"/>
        </w:rPr>
        <w:t xml:space="preserve"> </w:t>
      </w:r>
      <w:r w:rsidR="0014630D" w:rsidRPr="00882F11">
        <w:rPr>
          <w:rFonts w:cs="Guttman Drogolin" w:hint="cs"/>
          <w:rtl/>
          <w:lang w:bidi="he-IL"/>
        </w:rPr>
        <w:t>אסור</w:t>
      </w:r>
      <w:r w:rsidR="0014630D" w:rsidRPr="00882F11">
        <w:rPr>
          <w:rFonts w:cs="Guttman Drogolin"/>
          <w:rtl/>
          <w:lang w:bidi="he-IL"/>
        </w:rPr>
        <w:t xml:space="preserve"> </w:t>
      </w:r>
      <w:r w:rsidR="0014630D" w:rsidRPr="00882F11">
        <w:rPr>
          <w:rFonts w:cs="Guttman Drogolin" w:hint="cs"/>
          <w:rtl/>
          <w:lang w:bidi="he-IL"/>
        </w:rPr>
        <w:t>אף</w:t>
      </w:r>
      <w:r w:rsidR="0014630D" w:rsidRPr="00882F11">
        <w:rPr>
          <w:rFonts w:cs="Guttman Drogolin"/>
          <w:rtl/>
          <w:lang w:bidi="he-IL"/>
        </w:rPr>
        <w:t xml:space="preserve"> </w:t>
      </w:r>
      <w:r w:rsidR="0014630D" w:rsidRPr="00882F11">
        <w:rPr>
          <w:rFonts w:cs="Guttman Drogolin" w:hint="cs"/>
          <w:rtl/>
          <w:lang w:bidi="he-IL"/>
        </w:rPr>
        <w:t>אם</w:t>
      </w:r>
      <w:r w:rsidR="0014630D" w:rsidRPr="00882F11">
        <w:rPr>
          <w:rFonts w:cs="Guttman Drogolin"/>
          <w:rtl/>
          <w:lang w:bidi="he-IL"/>
        </w:rPr>
        <w:t xml:space="preserve"> </w:t>
      </w:r>
      <w:r w:rsidR="0014630D" w:rsidRPr="00882F11">
        <w:rPr>
          <w:rFonts w:cs="Guttman Drogolin" w:hint="cs"/>
          <w:rtl/>
          <w:lang w:bidi="he-IL"/>
        </w:rPr>
        <w:t>נתנו</w:t>
      </w:r>
      <w:r w:rsidR="0014630D" w:rsidRPr="00882F11">
        <w:rPr>
          <w:rFonts w:cs="Guttman Drogolin"/>
          <w:rtl/>
          <w:lang w:bidi="he-IL"/>
        </w:rPr>
        <w:t xml:space="preserve"> </w:t>
      </w:r>
      <w:r w:rsidR="0014630D" w:rsidRPr="00882F11">
        <w:rPr>
          <w:rFonts w:cs="Guttman Drogolin" w:hint="cs"/>
          <w:rtl/>
          <w:lang w:bidi="he-IL"/>
        </w:rPr>
        <w:t>בהם</w:t>
      </w:r>
      <w:r w:rsidR="0014630D" w:rsidRPr="00882F11">
        <w:rPr>
          <w:rFonts w:cs="Guttman Drogolin"/>
          <w:rtl/>
          <w:lang w:bidi="he-IL"/>
        </w:rPr>
        <w:t xml:space="preserve"> </w:t>
      </w:r>
      <w:r w:rsidR="0014630D" w:rsidRPr="00882F11">
        <w:rPr>
          <w:rFonts w:cs="Guttman Drogolin" w:hint="cs"/>
          <w:rtl/>
          <w:lang w:bidi="he-IL"/>
        </w:rPr>
        <w:t>ראש</w:t>
      </w:r>
      <w:r w:rsidR="0014630D" w:rsidRPr="00882F11">
        <w:rPr>
          <w:rFonts w:cs="Guttman Drogolin"/>
          <w:rtl/>
          <w:lang w:bidi="he-IL"/>
        </w:rPr>
        <w:t xml:space="preserve"> </w:t>
      </w:r>
      <w:r w:rsidR="0014630D" w:rsidRPr="00882F11">
        <w:rPr>
          <w:rFonts w:cs="Guttman Drogolin" w:hint="cs"/>
          <w:rtl/>
          <w:lang w:bidi="he-IL"/>
        </w:rPr>
        <w:t>ולענה</w:t>
      </w:r>
      <w:r w:rsidR="0014630D" w:rsidRPr="00882F11">
        <w:rPr>
          <w:rFonts w:cs="Guttman Drogolin"/>
          <w:rtl/>
          <w:lang w:bidi="he-IL"/>
        </w:rPr>
        <w:t xml:space="preserve"> </w:t>
      </w:r>
      <w:r w:rsidR="0014630D" w:rsidRPr="00882F11">
        <w:rPr>
          <w:rFonts w:cs="Guttman Drogolin" w:hint="cs"/>
          <w:rtl/>
          <w:lang w:bidi="he-IL"/>
        </w:rPr>
        <w:t>ע</w:t>
      </w:r>
      <w:r w:rsidR="0014630D" w:rsidRPr="00882F11">
        <w:rPr>
          <w:rFonts w:cs="Guttman Drogolin"/>
          <w:rtl/>
          <w:lang w:bidi="he-IL"/>
        </w:rPr>
        <w:t>"</w:t>
      </w:r>
      <w:r w:rsidR="0014630D" w:rsidRPr="00882F11">
        <w:rPr>
          <w:rFonts w:cs="Guttman Drogolin" w:hint="cs"/>
          <w:rtl/>
          <w:lang w:bidi="he-IL"/>
        </w:rPr>
        <w:t>ש</w:t>
      </w:r>
      <w:r w:rsidR="0014630D" w:rsidRPr="00882F11">
        <w:rPr>
          <w:rFonts w:cs="Guttman Drogolin"/>
          <w:rtl/>
          <w:lang w:bidi="he-IL"/>
        </w:rPr>
        <w:t xml:space="preserve"> </w:t>
      </w:r>
      <w:r w:rsidR="0014630D" w:rsidRPr="00882F11">
        <w:rPr>
          <w:rFonts w:cs="Guttman Drogolin" w:hint="cs"/>
          <w:rtl/>
          <w:lang w:bidi="he-IL"/>
        </w:rPr>
        <w:t>זהו</w:t>
      </w:r>
      <w:r w:rsidR="0014630D" w:rsidRPr="00882F11">
        <w:rPr>
          <w:rFonts w:cs="Guttman Drogolin"/>
          <w:rtl/>
          <w:lang w:bidi="he-IL"/>
        </w:rPr>
        <w:t xml:space="preserve"> </w:t>
      </w:r>
      <w:r w:rsidR="0014630D" w:rsidRPr="00882F11">
        <w:rPr>
          <w:rFonts w:cs="Guttman Drogolin" w:hint="cs"/>
          <w:rtl/>
          <w:lang w:bidi="he-IL"/>
        </w:rPr>
        <w:t>כשכבר</w:t>
      </w:r>
      <w:r w:rsidR="0014630D" w:rsidRPr="00882F11">
        <w:rPr>
          <w:rFonts w:cs="Guttman Drogolin"/>
          <w:rtl/>
          <w:lang w:bidi="he-IL"/>
        </w:rPr>
        <w:t xml:space="preserve"> </w:t>
      </w:r>
      <w:r w:rsidR="0014630D" w:rsidRPr="00882F11">
        <w:rPr>
          <w:rFonts w:cs="Guttman Drogolin" w:hint="cs"/>
          <w:rtl/>
          <w:lang w:bidi="he-IL"/>
        </w:rPr>
        <w:t>נעשה</w:t>
      </w:r>
      <w:r w:rsidR="0014630D" w:rsidRPr="00882F11">
        <w:rPr>
          <w:rFonts w:cs="Guttman Drogolin"/>
          <w:rtl/>
          <w:lang w:bidi="he-IL"/>
        </w:rPr>
        <w:t xml:space="preserve"> </w:t>
      </w:r>
      <w:r w:rsidR="0014630D" w:rsidRPr="00882F11">
        <w:rPr>
          <w:rFonts w:cs="Guttman Drogolin" w:hint="cs"/>
          <w:rtl/>
          <w:lang w:bidi="he-IL"/>
        </w:rPr>
        <w:t>בשר</w:t>
      </w:r>
      <w:r w:rsidR="0014630D" w:rsidRPr="00882F11">
        <w:rPr>
          <w:rFonts w:cs="Guttman Drogolin"/>
          <w:rtl/>
          <w:lang w:bidi="he-IL"/>
        </w:rPr>
        <w:t xml:space="preserve"> </w:t>
      </w:r>
      <w:r w:rsidR="0014630D" w:rsidRPr="00882F11">
        <w:rPr>
          <w:rFonts w:cs="Guttman Drogolin" w:hint="cs"/>
          <w:rtl/>
          <w:lang w:bidi="he-IL"/>
        </w:rPr>
        <w:t>בחלב</w:t>
      </w:r>
      <w:r w:rsidR="0014630D" w:rsidRPr="00882F11">
        <w:rPr>
          <w:rFonts w:cs="Guttman Drogolin"/>
          <w:rtl/>
          <w:lang w:bidi="he-IL"/>
        </w:rPr>
        <w:t xml:space="preserve"> </w:t>
      </w:r>
      <w:r w:rsidR="0014630D" w:rsidRPr="00882F11">
        <w:rPr>
          <w:rFonts w:cs="Guttman Drogolin" w:hint="cs"/>
          <w:rtl/>
          <w:lang w:bidi="he-IL"/>
        </w:rPr>
        <w:t>אבל</w:t>
      </w:r>
      <w:r w:rsidR="0014630D" w:rsidRPr="00882F11">
        <w:rPr>
          <w:rFonts w:cs="Guttman Drogolin"/>
          <w:rtl/>
          <w:lang w:bidi="he-IL"/>
        </w:rPr>
        <w:t xml:space="preserve"> </w:t>
      </w:r>
      <w:r w:rsidR="0014630D" w:rsidRPr="00882F11">
        <w:rPr>
          <w:rFonts w:cs="Guttman Drogolin" w:hint="cs"/>
          <w:rtl/>
          <w:lang w:bidi="he-IL"/>
        </w:rPr>
        <w:t>לעשות</w:t>
      </w:r>
      <w:r w:rsidR="0014630D" w:rsidRPr="00882F11">
        <w:rPr>
          <w:rFonts w:cs="Guttman Drogolin"/>
          <w:rtl/>
          <w:lang w:bidi="he-IL"/>
        </w:rPr>
        <w:t xml:space="preserve"> </w:t>
      </w:r>
      <w:r w:rsidR="0014630D" w:rsidRPr="00882F11">
        <w:rPr>
          <w:rFonts w:cs="Guttman Drogolin" w:hint="cs"/>
          <w:rtl/>
          <w:lang w:bidi="he-IL"/>
        </w:rPr>
        <w:t>בשר</w:t>
      </w:r>
      <w:r w:rsidR="0014630D" w:rsidRPr="00882F11">
        <w:rPr>
          <w:rFonts w:cs="Guttman Drogolin"/>
          <w:rtl/>
          <w:lang w:bidi="he-IL"/>
        </w:rPr>
        <w:t xml:space="preserve"> </w:t>
      </w:r>
      <w:r w:rsidR="0014630D" w:rsidRPr="00882F11">
        <w:rPr>
          <w:rFonts w:cs="Guttman Drogolin" w:hint="cs"/>
          <w:rtl/>
          <w:lang w:bidi="he-IL"/>
        </w:rPr>
        <w:t>בחלב</w:t>
      </w:r>
      <w:r w:rsidR="0014630D" w:rsidRPr="00882F11">
        <w:rPr>
          <w:rFonts w:cs="Guttman Drogolin"/>
          <w:rtl/>
          <w:lang w:bidi="he-IL"/>
        </w:rPr>
        <w:t xml:space="preserve"> </w:t>
      </w:r>
      <w:r w:rsidR="0014630D" w:rsidRPr="00882F11">
        <w:rPr>
          <w:rFonts w:cs="Guttman Drogolin" w:hint="cs"/>
          <w:rtl/>
          <w:lang w:bidi="he-IL"/>
        </w:rPr>
        <w:t>ע</w:t>
      </w:r>
      <w:r w:rsidR="0014630D" w:rsidRPr="00882F11">
        <w:rPr>
          <w:rFonts w:cs="Guttman Drogolin"/>
          <w:rtl/>
          <w:lang w:bidi="he-IL"/>
        </w:rPr>
        <w:t>"</w:t>
      </w:r>
      <w:r w:rsidR="0014630D" w:rsidRPr="00882F11">
        <w:rPr>
          <w:rFonts w:cs="Guttman Drogolin" w:hint="cs"/>
          <w:rtl/>
          <w:lang w:bidi="he-IL"/>
        </w:rPr>
        <w:t>י</w:t>
      </w:r>
      <w:r w:rsidR="0014630D" w:rsidRPr="00882F11">
        <w:rPr>
          <w:rFonts w:cs="Guttman Drogolin"/>
          <w:rtl/>
          <w:lang w:bidi="he-IL"/>
        </w:rPr>
        <w:t xml:space="preserve"> </w:t>
      </w:r>
      <w:r w:rsidR="0014630D" w:rsidRPr="00882F11">
        <w:rPr>
          <w:rFonts w:cs="Guttman Drogolin" w:hint="cs"/>
          <w:rtl/>
          <w:lang w:bidi="he-IL"/>
        </w:rPr>
        <w:t>דברים</w:t>
      </w:r>
      <w:r w:rsidR="0014630D" w:rsidRPr="00882F11">
        <w:rPr>
          <w:rFonts w:cs="Guttman Drogolin"/>
          <w:rtl/>
          <w:lang w:bidi="he-IL"/>
        </w:rPr>
        <w:t xml:space="preserve"> </w:t>
      </w:r>
      <w:r w:rsidR="0014630D" w:rsidRPr="00882F11">
        <w:rPr>
          <w:rFonts w:cs="Guttman Drogolin" w:hint="cs"/>
          <w:rtl/>
          <w:lang w:bidi="he-IL"/>
        </w:rPr>
        <w:t>הפוגמים</w:t>
      </w:r>
      <w:r w:rsidR="0014630D" w:rsidRPr="00882F11">
        <w:rPr>
          <w:rFonts w:cs="Guttman Drogolin"/>
          <w:rtl/>
          <w:lang w:bidi="he-IL"/>
        </w:rPr>
        <w:t xml:space="preserve"> </w:t>
      </w:r>
      <w:r w:rsidR="0014630D" w:rsidRPr="00882F11">
        <w:rPr>
          <w:rFonts w:cs="Guttman Drogolin" w:hint="cs"/>
          <w:rtl/>
          <w:lang w:bidi="he-IL"/>
        </w:rPr>
        <w:t>זה</w:t>
      </w:r>
      <w:r w:rsidR="0014630D" w:rsidRPr="00882F11">
        <w:rPr>
          <w:rFonts w:cs="Guttman Drogolin"/>
          <w:rtl/>
          <w:lang w:bidi="he-IL"/>
        </w:rPr>
        <w:t xml:space="preserve"> </w:t>
      </w:r>
      <w:r w:rsidR="0014630D" w:rsidRPr="00882F11">
        <w:rPr>
          <w:rFonts w:cs="Guttman Drogolin" w:hint="cs"/>
          <w:rtl/>
          <w:lang w:bidi="he-IL"/>
        </w:rPr>
        <w:t>לא</w:t>
      </w:r>
      <w:r w:rsidR="0014630D" w:rsidRPr="00882F11">
        <w:rPr>
          <w:rFonts w:cs="Guttman Drogolin"/>
          <w:rtl/>
          <w:lang w:bidi="he-IL"/>
        </w:rPr>
        <w:t xml:space="preserve"> </w:t>
      </w:r>
      <w:r w:rsidR="0014630D" w:rsidRPr="00882F11">
        <w:rPr>
          <w:rFonts w:cs="Guttman Drogolin" w:hint="cs"/>
          <w:rtl/>
          <w:lang w:bidi="he-IL"/>
        </w:rPr>
        <w:t>שמענו</w:t>
      </w:r>
      <w:r w:rsidR="0014630D" w:rsidRPr="00882F11">
        <w:rPr>
          <w:rFonts w:cs="Guttman Drogolin"/>
          <w:rtl/>
          <w:lang w:bidi="he-IL"/>
        </w:rPr>
        <w:t xml:space="preserve"> </w:t>
      </w:r>
      <w:r w:rsidR="0014630D" w:rsidRPr="00882F11">
        <w:rPr>
          <w:rFonts w:cs="Guttman Drogolin" w:hint="cs"/>
          <w:rtl/>
          <w:lang w:bidi="he-IL"/>
        </w:rPr>
        <w:t>ודינו</w:t>
      </w:r>
      <w:r w:rsidR="0014630D" w:rsidRPr="00882F11">
        <w:rPr>
          <w:rFonts w:cs="Guttman Drogolin"/>
          <w:rtl/>
          <w:lang w:bidi="he-IL"/>
        </w:rPr>
        <w:t xml:space="preserve"> </w:t>
      </w:r>
      <w:r w:rsidR="0014630D" w:rsidRPr="00882F11">
        <w:rPr>
          <w:rFonts w:cs="Guttman Drogolin" w:hint="cs"/>
          <w:rtl/>
          <w:lang w:bidi="he-IL"/>
        </w:rPr>
        <w:t>ככל</w:t>
      </w:r>
      <w:r w:rsidR="0014630D" w:rsidRPr="00882F11">
        <w:rPr>
          <w:rFonts w:cs="Guttman Drogolin"/>
          <w:rtl/>
          <w:lang w:bidi="he-IL"/>
        </w:rPr>
        <w:t xml:space="preserve"> </w:t>
      </w:r>
      <w:r w:rsidR="0014630D" w:rsidRPr="00882F11">
        <w:rPr>
          <w:rFonts w:cs="Guttman Drogolin" w:hint="cs"/>
          <w:rtl/>
          <w:lang w:bidi="he-IL"/>
        </w:rPr>
        <w:t>האיסורים</w:t>
      </w:r>
      <w:r w:rsidR="0014630D" w:rsidRPr="00882F11">
        <w:rPr>
          <w:rFonts w:cs="Guttman Drogolin"/>
          <w:rtl/>
          <w:lang w:bidi="he-IL"/>
        </w:rPr>
        <w:t xml:space="preserve"> </w:t>
      </w:r>
      <w:r w:rsidR="0014630D" w:rsidRPr="00882F11">
        <w:rPr>
          <w:rFonts w:cs="Guttman Drogolin" w:hint="cs"/>
          <w:rtl/>
          <w:lang w:bidi="he-IL"/>
        </w:rPr>
        <w:t>דנותן</w:t>
      </w:r>
      <w:r w:rsidR="0014630D" w:rsidRPr="00882F11">
        <w:rPr>
          <w:rFonts w:cs="Guttman Drogolin"/>
          <w:rtl/>
          <w:lang w:bidi="he-IL"/>
        </w:rPr>
        <w:t xml:space="preserve"> </w:t>
      </w:r>
      <w:r w:rsidR="0014630D" w:rsidRPr="00882F11">
        <w:rPr>
          <w:rFonts w:cs="Guttman Drogolin" w:hint="cs"/>
          <w:rtl/>
          <w:lang w:bidi="he-IL"/>
        </w:rPr>
        <w:t>טעם</w:t>
      </w:r>
      <w:r w:rsidR="0014630D" w:rsidRPr="00882F11">
        <w:rPr>
          <w:rFonts w:cs="Guttman Drogolin"/>
          <w:rtl/>
          <w:lang w:bidi="he-IL"/>
        </w:rPr>
        <w:t xml:space="preserve"> </w:t>
      </w:r>
      <w:r w:rsidR="0014630D" w:rsidRPr="00882F11">
        <w:rPr>
          <w:rFonts w:cs="Guttman Drogolin" w:hint="cs"/>
          <w:rtl/>
          <w:lang w:bidi="he-IL"/>
        </w:rPr>
        <w:t>לפגם</w:t>
      </w:r>
      <w:r w:rsidR="0014630D" w:rsidRPr="00882F11">
        <w:rPr>
          <w:rFonts w:cs="Guttman Drogolin"/>
          <w:rtl/>
          <w:lang w:bidi="he-IL"/>
        </w:rPr>
        <w:t xml:space="preserve"> </w:t>
      </w:r>
      <w:r w:rsidR="0014630D" w:rsidRPr="00882F11">
        <w:rPr>
          <w:rFonts w:cs="Guttman Drogolin" w:hint="cs"/>
          <w:rtl/>
          <w:lang w:bidi="he-IL"/>
        </w:rPr>
        <w:t>מותר</w:t>
      </w:r>
      <w:r w:rsidR="0014630D" w:rsidRPr="00882F11">
        <w:rPr>
          <w:rFonts w:cs="Guttman Drogolin"/>
          <w:rtl/>
          <w:lang w:bidi="he-IL"/>
        </w:rPr>
        <w:t xml:space="preserve"> [</w:t>
      </w:r>
      <w:r w:rsidR="0014630D" w:rsidRPr="00882F11">
        <w:rPr>
          <w:rFonts w:cs="Guttman Drogolin" w:hint="cs"/>
          <w:rtl/>
          <w:lang w:bidi="he-IL"/>
        </w:rPr>
        <w:t>וכ</w:t>
      </w:r>
      <w:r w:rsidR="0014630D" w:rsidRPr="00882F11">
        <w:rPr>
          <w:rFonts w:cs="Guttman Drogolin"/>
          <w:rtl/>
          <w:lang w:bidi="he-IL"/>
        </w:rPr>
        <w:t>"</w:t>
      </w:r>
      <w:r w:rsidR="0014630D" w:rsidRPr="00882F11">
        <w:rPr>
          <w:rFonts w:cs="Guttman Drogolin" w:hint="cs"/>
          <w:rtl/>
          <w:lang w:bidi="he-IL"/>
        </w:rPr>
        <w:t>כ</w:t>
      </w:r>
      <w:r w:rsidR="0014630D" w:rsidRPr="00882F11">
        <w:rPr>
          <w:rFonts w:cs="Guttman Drogolin"/>
          <w:rtl/>
          <w:lang w:bidi="he-IL"/>
        </w:rPr>
        <w:t xml:space="preserve"> </w:t>
      </w:r>
      <w:r w:rsidR="0014630D" w:rsidRPr="00882F11">
        <w:rPr>
          <w:rFonts w:cs="Guttman Drogolin" w:hint="cs"/>
          <w:rtl/>
          <w:lang w:bidi="he-IL"/>
        </w:rPr>
        <w:t>הפליתי</w:t>
      </w:r>
      <w:r w:rsidR="0014630D" w:rsidRPr="00882F11">
        <w:rPr>
          <w:rFonts w:cs="Guttman Drogolin"/>
          <w:rtl/>
          <w:lang w:bidi="he-IL"/>
        </w:rPr>
        <w:t xml:space="preserve"> </w:t>
      </w:r>
      <w:r w:rsidR="0014630D" w:rsidRPr="00882F11">
        <w:rPr>
          <w:rFonts w:cs="Guttman Drogolin" w:hint="cs"/>
          <w:rtl/>
          <w:lang w:bidi="he-IL"/>
        </w:rPr>
        <w:t>סקט</w:t>
      </w:r>
      <w:r w:rsidR="0014630D" w:rsidRPr="00882F11">
        <w:rPr>
          <w:rFonts w:cs="Guttman Drogolin"/>
          <w:rtl/>
          <w:lang w:bidi="he-IL"/>
        </w:rPr>
        <w:t>"</w:t>
      </w:r>
      <w:r w:rsidR="0014630D" w:rsidRPr="00882F11">
        <w:rPr>
          <w:rFonts w:cs="Guttman Drogolin" w:hint="cs"/>
          <w:rtl/>
          <w:lang w:bidi="he-IL"/>
        </w:rPr>
        <w:t>ו</w:t>
      </w:r>
      <w:r w:rsidR="0014630D" w:rsidRPr="00882F11">
        <w:rPr>
          <w:rFonts w:cs="Guttman Drogolin"/>
          <w:rtl/>
          <w:lang w:bidi="he-IL"/>
        </w:rPr>
        <w:t>]"</w:t>
      </w:r>
      <w:r w:rsidR="0014630D" w:rsidRPr="00882F11">
        <w:rPr>
          <w:rFonts w:cs="Guttman Drogolin" w:hint="cs"/>
          <w:rtl/>
          <w:lang w:bidi="he-IL"/>
        </w:rPr>
        <w:t>.</w:t>
      </w:r>
    </w:p>
    <w:p w:rsidR="0014630D" w:rsidRPr="00882F11" w:rsidRDefault="0014630D" w:rsidP="0078079C">
      <w:pPr>
        <w:pStyle w:val="Heading1"/>
        <w:bidi/>
        <w:spacing w:before="0" w:line="360" w:lineRule="auto"/>
        <w:jc w:val="center"/>
        <w:rPr>
          <w:rFonts w:cs="Guttman Drogolin"/>
          <w:color w:val="auto"/>
          <w:sz w:val="24"/>
          <w:szCs w:val="24"/>
          <w:u w:val="single"/>
          <w:rtl/>
          <w:lang w:bidi="he-IL"/>
        </w:rPr>
      </w:pPr>
      <w:bookmarkStart w:id="191" w:name="_Toc496175447"/>
      <w:r w:rsidRPr="00882F11">
        <w:rPr>
          <w:rFonts w:cs="Guttman Drogolin" w:hint="cs"/>
          <w:color w:val="auto"/>
          <w:sz w:val="24"/>
          <w:szCs w:val="24"/>
          <w:u w:val="single"/>
          <w:rtl/>
          <w:lang w:bidi="he-IL"/>
        </w:rPr>
        <w:t>בשר בחלב בעצמות</w:t>
      </w:r>
      <w:bookmarkEnd w:id="191"/>
    </w:p>
    <w:p w:rsidR="004E77BF" w:rsidRPr="00882F11" w:rsidRDefault="00AA2339" w:rsidP="0014630D">
      <w:pPr>
        <w:bidi/>
        <w:jc w:val="both"/>
        <w:rPr>
          <w:rFonts w:cs="Guttman Drogolin"/>
          <w:rtl/>
          <w:lang w:bidi="he-IL"/>
        </w:rPr>
      </w:pPr>
      <w:r>
        <w:rPr>
          <w:rFonts w:cs="Guttman Drogolin"/>
          <w:rtl/>
          <w:lang w:bidi="he-IL"/>
        </w:rPr>
        <w:fldChar w:fldCharType="begin"/>
      </w:r>
      <w:r>
        <w:instrText xml:space="preserve"> XE "</w:instrText>
      </w:r>
      <w:r w:rsidRPr="00281076">
        <w:rPr>
          <w:rFonts w:hint="cs"/>
          <w:rtl/>
          <w:lang w:bidi="he-IL"/>
        </w:rPr>
        <w:instrText>בשר בחלב</w:instrText>
      </w:r>
      <w:r w:rsidRPr="00281076">
        <w:rPr>
          <w:rtl/>
        </w:rPr>
        <w:instrText>:</w:instrText>
      </w:r>
      <w:r w:rsidRPr="00281076">
        <w:rPr>
          <w:rFonts w:hint="cs"/>
          <w:rtl/>
          <w:lang w:bidi="he-IL"/>
        </w:rPr>
        <w:instrText>בעצמות</w:instrText>
      </w:r>
      <w:r>
        <w:instrText xml:space="preserve">" </w:instrText>
      </w:r>
      <w:r>
        <w:rPr>
          <w:rFonts w:cs="Guttman Drogolin"/>
          <w:rtl/>
          <w:lang w:bidi="he-IL"/>
        </w:rPr>
        <w:fldChar w:fldCharType="end"/>
      </w:r>
      <w:r w:rsidR="0014630D" w:rsidRPr="00882F11">
        <w:rPr>
          <w:rFonts w:cs="Guttman Drogolin" w:hint="cs"/>
          <w:rtl/>
          <w:lang w:bidi="he-IL"/>
        </w:rPr>
        <w:t>כתב המחבר בסע' ז' שהמב</w:t>
      </w:r>
      <w:r w:rsidR="003D3441" w:rsidRPr="00882F11">
        <w:rPr>
          <w:rFonts w:cs="Guttman Drogolin" w:hint="cs"/>
          <w:rtl/>
          <w:lang w:bidi="he-IL"/>
        </w:rPr>
        <w:t>ש</w:t>
      </w:r>
      <w:r w:rsidR="0014630D" w:rsidRPr="00882F11">
        <w:rPr>
          <w:rFonts w:cs="Guttman Drogolin" w:hint="cs"/>
          <w:rtl/>
          <w:lang w:bidi="he-IL"/>
        </w:rPr>
        <w:t xml:space="preserve">ל שליל או עור או עצמות או קרנים וכדומה בחלב פטור, ופי' הש"ך ס"ק כ"ב שמ"מ איסור דרבנן איכא. וע' ביד יהודה שפי' שרק העצמות נאסרים, דהא העצמות אינם </w:t>
      </w:r>
      <w:r w:rsidR="0014630D" w:rsidRPr="00882F11">
        <w:rPr>
          <w:rFonts w:cs="Guttman Drogolin" w:hint="cs"/>
          <w:rtl/>
          <w:lang w:bidi="he-IL"/>
        </w:rPr>
        <w:lastRenderedPageBreak/>
        <w:t xml:space="preserve">נותנים טעם, אלא אדרבה הרי הוא מצטרף לשיעור של להיתר של התבשיל וכדלקמן בסי' צ"ט, ולכן איך יאסרו החלב. רק העצמות שיש להם טעם חלב אסורים באכילה. ועדיין צ"ע דהא כיון שאין החלב נאסר גם הבשר אינו נאסר וכמו שהבאנו כמה פעמים מרע"א. וע' בבדה"ש שהביא מא"ז שעצמות אינם בולעים, וא"כ גם פי' זה לא שייך. ופי' דיתכן דמיירי בלאוכלם ביחד אע"ג שלא נתנו טעם א' בשני. אבל א"כ זהו דלא ככלל של רע"א שאין איסור בצונן בצונן בכה"ג שאינו יכול לבא לידי טעם. וצ"ע. </w:t>
      </w:r>
    </w:p>
    <w:p w:rsidR="004E77BF" w:rsidRPr="00882F11" w:rsidRDefault="004E77BF" w:rsidP="004E77BF">
      <w:pPr>
        <w:bidi/>
        <w:jc w:val="both"/>
        <w:rPr>
          <w:rFonts w:cs="Guttman Drogolin"/>
          <w:rtl/>
          <w:lang w:bidi="he-IL"/>
        </w:rPr>
      </w:pPr>
    </w:p>
    <w:p w:rsidR="004E77BF" w:rsidRPr="00882F11" w:rsidRDefault="004E77BF" w:rsidP="004E77BF">
      <w:pPr>
        <w:bidi/>
        <w:jc w:val="both"/>
        <w:rPr>
          <w:rFonts w:cs="Guttman Drogolin"/>
          <w:rtl/>
          <w:lang w:bidi="he-IL"/>
        </w:rPr>
        <w:sectPr w:rsidR="004E77BF" w:rsidRPr="00882F11" w:rsidSect="00662307">
          <w:type w:val="continuous"/>
          <w:pgSz w:w="11907" w:h="16839" w:code="9"/>
          <w:pgMar w:top="1440" w:right="1440" w:bottom="1440" w:left="1440" w:header="720" w:footer="720" w:gutter="0"/>
          <w:cols w:num="2" w:space="720"/>
          <w:bidi/>
          <w:docGrid w:linePitch="360"/>
        </w:sectPr>
      </w:pPr>
    </w:p>
    <w:p w:rsidR="004E77BF" w:rsidRPr="00882F11" w:rsidRDefault="004E77BF" w:rsidP="004E77BF">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נ'</w:t>
      </w:r>
    </w:p>
    <w:p w:rsidR="00662307" w:rsidRDefault="00662307" w:rsidP="0078079C">
      <w:pPr>
        <w:pStyle w:val="Heading1"/>
        <w:bidi/>
        <w:spacing w:before="0" w:line="360" w:lineRule="auto"/>
        <w:jc w:val="center"/>
        <w:rPr>
          <w:rFonts w:cs="Guttman Drogolin"/>
          <w:color w:val="auto"/>
          <w:sz w:val="24"/>
          <w:szCs w:val="24"/>
          <w:u w:val="single"/>
          <w:rtl/>
          <w:lang w:bidi="he-IL"/>
        </w:rPr>
        <w:sectPr w:rsidR="00662307" w:rsidSect="00662307">
          <w:pgSz w:w="11907" w:h="16839" w:code="9"/>
          <w:pgMar w:top="1440" w:right="1440" w:bottom="1440" w:left="1440" w:header="720" w:footer="720" w:gutter="0"/>
          <w:cols w:space="720"/>
          <w:bidi/>
          <w:docGrid w:linePitch="360"/>
        </w:sectPr>
      </w:pPr>
    </w:p>
    <w:p w:rsidR="004E77BF" w:rsidRPr="00882F11" w:rsidRDefault="00F12ADF" w:rsidP="0078079C">
      <w:pPr>
        <w:pStyle w:val="Heading1"/>
        <w:bidi/>
        <w:spacing w:before="0" w:line="360" w:lineRule="auto"/>
        <w:jc w:val="center"/>
        <w:rPr>
          <w:rFonts w:cs="Guttman Drogolin"/>
          <w:color w:val="auto"/>
          <w:sz w:val="24"/>
          <w:szCs w:val="24"/>
          <w:u w:val="single"/>
          <w:rtl/>
          <w:lang w:bidi="he-IL"/>
        </w:rPr>
      </w:pPr>
      <w:bookmarkStart w:id="192" w:name="_Toc496175448"/>
      <w:r w:rsidRPr="00882F11">
        <w:rPr>
          <w:rFonts w:cs="Guttman Drogolin" w:hint="cs"/>
          <w:color w:val="auto"/>
          <w:sz w:val="24"/>
          <w:szCs w:val="24"/>
          <w:u w:val="single"/>
          <w:rtl/>
          <w:lang w:bidi="he-IL"/>
        </w:rPr>
        <w:lastRenderedPageBreak/>
        <w:t>הערה בהגעלת כלי מדין</w:t>
      </w:r>
      <w:bookmarkEnd w:id="192"/>
    </w:p>
    <w:p w:rsidR="00B26CB2" w:rsidRPr="00882F11" w:rsidRDefault="00DA1D59" w:rsidP="00D64A12">
      <w:pPr>
        <w:bidi/>
        <w:jc w:val="both"/>
        <w:rPr>
          <w:rFonts w:cs="Guttman Drogolin"/>
          <w:rtl/>
          <w:lang w:bidi="he-IL"/>
        </w:rPr>
      </w:pPr>
      <w:r>
        <w:rPr>
          <w:rFonts w:cs="Guttman Drogolin"/>
          <w:rtl/>
          <w:lang w:bidi="he-IL"/>
        </w:rPr>
        <w:fldChar w:fldCharType="begin"/>
      </w:r>
      <w:r>
        <w:instrText xml:space="preserve"> XE "</w:instrText>
      </w:r>
      <w:r w:rsidRPr="00C41F7F">
        <w:rPr>
          <w:rFonts w:hint="cs"/>
          <w:rtl/>
          <w:lang w:bidi="he-IL"/>
        </w:rPr>
        <w:instrText>כלי מדין</w:instrText>
      </w:r>
      <w:r w:rsidRPr="00C41F7F">
        <w:rPr>
          <w:rtl/>
        </w:rPr>
        <w:instrText>:</w:instrText>
      </w:r>
      <w:r w:rsidRPr="00C41F7F">
        <w:rPr>
          <w:rFonts w:hint="cs"/>
          <w:rtl/>
          <w:lang w:bidi="he-IL"/>
        </w:rPr>
        <w:instrText>הערות בפרשת הגעלת כלי מדין</w:instrText>
      </w:r>
      <w:r>
        <w:instrText xml:space="preserve">" </w:instrText>
      </w:r>
      <w:r>
        <w:rPr>
          <w:rFonts w:cs="Guttman Drogolin"/>
          <w:rtl/>
          <w:lang w:bidi="he-IL"/>
        </w:rPr>
        <w:fldChar w:fldCharType="end"/>
      </w:r>
      <w:r w:rsidR="00156B2C" w:rsidRPr="00882F11">
        <w:rPr>
          <w:rFonts w:cs="Guttman Drogolin" w:hint="cs"/>
          <w:rtl/>
          <w:lang w:bidi="he-IL"/>
        </w:rPr>
        <w:t>בשיעור הקודם הבאנו מרע"א ששאל בכלי מדין למה אין איסור בישול בב"ח, כיון שיתכן שהיו בה בליעות של בב"ח הכבושים. והתעוררתי בשאלה נוספת, שהרי שיטת הב"י סי' ק"ג היא (מובא גם בהגהות רע"א סי' צ'</w:t>
      </w:r>
      <w:r w:rsidR="004A281F" w:rsidRPr="00882F11">
        <w:rPr>
          <w:rFonts w:cs="Guttman Drogolin" w:hint="cs"/>
          <w:rtl/>
          <w:lang w:bidi="he-IL"/>
        </w:rPr>
        <w:t xml:space="preserve"> </w:t>
      </w:r>
      <w:r w:rsidR="00156B2C" w:rsidRPr="00882F11">
        <w:rPr>
          <w:rFonts w:cs="Guttman Drogolin" w:hint="cs"/>
          <w:rtl/>
          <w:lang w:bidi="he-IL"/>
        </w:rPr>
        <w:t xml:space="preserve">ט"ז ס"ק ד') שאפילו אם אין אומרים חענ"ן אלא בב"ח וכשיטת ר' אפרים וסייעתו, מ"מ </w:t>
      </w:r>
      <w:r w:rsidR="004A281F" w:rsidRPr="00882F11">
        <w:rPr>
          <w:rFonts w:cs="Guttman Drogolin" w:hint="cs"/>
          <w:rtl/>
          <w:lang w:bidi="he-IL"/>
        </w:rPr>
        <w:t>ג</w:t>
      </w:r>
      <w:r w:rsidR="00FD1E5F" w:rsidRPr="00882F11">
        <w:rPr>
          <w:rFonts w:cs="Guttman Drogolin" w:hint="cs"/>
          <w:rtl/>
          <w:lang w:bidi="he-IL"/>
        </w:rPr>
        <w:t>ם במאכל פרווה שיש בה בלי</w:t>
      </w:r>
      <w:r w:rsidR="004A281F" w:rsidRPr="00882F11">
        <w:rPr>
          <w:rFonts w:cs="Guttman Drogolin" w:hint="cs"/>
          <w:rtl/>
          <w:lang w:bidi="he-IL"/>
        </w:rPr>
        <w:t xml:space="preserve">עות של </w:t>
      </w:r>
      <w:r w:rsidR="00156B2C" w:rsidRPr="00882F11">
        <w:rPr>
          <w:rFonts w:cs="Guttman Drogolin" w:hint="cs"/>
          <w:rtl/>
          <w:lang w:bidi="he-IL"/>
        </w:rPr>
        <w:t>בב"ח אומרים חענ"ן.</w:t>
      </w:r>
      <w:r w:rsidR="004A281F" w:rsidRPr="00882F11">
        <w:rPr>
          <w:rFonts w:cs="Guttman Drogolin" w:hint="cs"/>
          <w:rtl/>
          <w:lang w:bidi="he-IL"/>
        </w:rPr>
        <w:t xml:space="preserve"> ולכאורה לשיטתו דברי התוס' אינם מובנים, דמה מביאים ראי' לר' אפרים מהגעלת כלי מדין משום דאל"כ לא שייך הגעלה כיון שבכל מי ההגעלה אומרים חענ"ן, הא גם לר' אפרים היינו צריכים לומר חענ"ן </w:t>
      </w:r>
      <w:r w:rsidR="00E05BC1" w:rsidRPr="00882F11">
        <w:rPr>
          <w:rFonts w:cs="Guttman Drogolin" w:hint="cs"/>
          <w:rtl/>
          <w:lang w:bidi="he-IL"/>
        </w:rPr>
        <w:t xml:space="preserve">כיון שאין ששים כנגד הבליעות של בב"ח, וכיון שאוסר המים משום בב"ח אמרינן חענ"ן וכמש"כ התוס' לשיטת ר"ת. ולכאורה י"ל שהרי רע"א הוכיח דאמרינן חענ"ן בשאר איסורים מדאורייתא אליבא דר"ת, דאל"כ איזה ראי' יש מן התורה בכלי מדין. ואם כן י"ל שאפילו אם לרבינו אפרים אמרינן חענ"ן במאכל הבלוע מבליעות של בב"ח, אין זה אלא דין דרבנן, דהא מעיקר הדין אין לומר חענ"ן בב"ח אליבא דר' אפרים אלא כשיוצרים בב"ח ע"י זה שבשר חלב מתבשלים יחד, ומשום שזהו מהות האיסור, רק שמ"מ כיון שיש חענ"ן בב"ח גזרו גם בנבלע מבליעות של בב"ח. וא"כ אין קושיא מהגעלת כלי מדין אפילו </w:t>
      </w:r>
      <w:r w:rsidR="00680794">
        <w:rPr>
          <w:rFonts w:cs="Guttman Drogolin" w:hint="cs"/>
          <w:rtl/>
          <w:lang w:bidi="he-IL"/>
        </w:rPr>
        <w:t>לשיטת</w:t>
      </w:r>
      <w:r w:rsidR="00E05BC1" w:rsidRPr="00882F11">
        <w:rPr>
          <w:rFonts w:cs="Guttman Drogolin" w:hint="cs"/>
          <w:rtl/>
          <w:lang w:bidi="he-IL"/>
        </w:rPr>
        <w:t xml:space="preserve"> הב"י הנ"ל. </w:t>
      </w:r>
    </w:p>
    <w:p w:rsidR="00B26CB2" w:rsidRPr="00882F11" w:rsidRDefault="00B26CB2" w:rsidP="0078079C">
      <w:pPr>
        <w:pStyle w:val="Heading1"/>
        <w:bidi/>
        <w:spacing w:before="0" w:line="360" w:lineRule="auto"/>
        <w:jc w:val="center"/>
        <w:rPr>
          <w:rFonts w:cs="Guttman Drogolin"/>
          <w:color w:val="auto"/>
          <w:sz w:val="24"/>
          <w:szCs w:val="24"/>
          <w:u w:val="single"/>
          <w:rtl/>
          <w:lang w:bidi="he-IL"/>
        </w:rPr>
      </w:pPr>
      <w:bookmarkStart w:id="193" w:name="_Toc496175449"/>
      <w:r w:rsidRPr="00882F11">
        <w:rPr>
          <w:rFonts w:cs="Guttman Drogolin" w:hint="cs"/>
          <w:color w:val="auto"/>
          <w:sz w:val="24"/>
          <w:szCs w:val="24"/>
          <w:u w:val="single"/>
          <w:rtl/>
          <w:lang w:bidi="he-IL"/>
        </w:rPr>
        <w:t>צ"ע בדברי רע"א בסע' ו'</w:t>
      </w:r>
      <w:bookmarkEnd w:id="193"/>
    </w:p>
    <w:p w:rsidR="0014630D" w:rsidRPr="00882F11" w:rsidRDefault="00471576" w:rsidP="00B26CB2">
      <w:pPr>
        <w:bidi/>
        <w:jc w:val="both"/>
        <w:rPr>
          <w:rFonts w:cs="Guttman Drogolin"/>
          <w:rtl/>
          <w:lang w:bidi="he-IL"/>
        </w:rPr>
      </w:pPr>
      <w:r>
        <w:rPr>
          <w:rFonts w:cs="Guttman Drogolin"/>
          <w:rtl/>
          <w:lang w:bidi="he-IL"/>
        </w:rPr>
        <w:fldChar w:fldCharType="begin"/>
      </w:r>
      <w:r>
        <w:instrText xml:space="preserve"> XE "</w:instrText>
      </w:r>
      <w:r w:rsidRPr="00880183">
        <w:rPr>
          <w:rFonts w:hint="cs"/>
          <w:rtl/>
          <w:lang w:bidi="he-IL"/>
        </w:rPr>
        <w:instrText>בשר בחלב - איסור בישול</w:instrText>
      </w:r>
      <w:r w:rsidRPr="00880183">
        <w:rPr>
          <w:rtl/>
        </w:rPr>
        <w:instrText>:</w:instrText>
      </w:r>
      <w:r w:rsidRPr="00880183">
        <w:rPr>
          <w:rFonts w:hint="cs"/>
          <w:rtl/>
          <w:lang w:bidi="he-IL"/>
        </w:rPr>
        <w:instrText>דברי רע</w:instrText>
      </w:r>
      <w:r>
        <w:rPr>
          <w:rFonts w:eastAsiaTheme="minorEastAsia"/>
          <w:lang w:bidi="he-IL"/>
        </w:rPr>
        <w:instrText>\</w:instrText>
      </w:r>
      <w:r w:rsidRPr="00880183">
        <w:rPr>
          <w:rFonts w:hint="cs"/>
          <w:rtl/>
          <w:lang w:bidi="he-IL"/>
        </w:rPr>
        <w:instrText>"א בחיתוי מתחת לקדירה</w:instrText>
      </w:r>
      <w:r>
        <w:instrText xml:space="preserve">" </w:instrText>
      </w:r>
      <w:r>
        <w:rPr>
          <w:rFonts w:cs="Guttman Drogolin"/>
          <w:rtl/>
          <w:lang w:bidi="he-IL"/>
        </w:rPr>
        <w:fldChar w:fldCharType="end"/>
      </w:r>
      <w:r w:rsidR="00B26CB2" w:rsidRPr="00882F11">
        <w:rPr>
          <w:rFonts w:cs="Guttman Drogolin" w:hint="cs"/>
          <w:rtl/>
          <w:lang w:bidi="he-IL"/>
        </w:rPr>
        <w:t xml:space="preserve">רע"א בסוף דבריו בסע' ו' אהא דאסר הרמ"א לחתות גחלים מתחת לקדרה כתב שיש מקום להתיר משום דסתם כלים אינם בני יומן, אלא דתלה זה במחלוקת הרשב"א והטור בביאור הדין דסתם כלים אינם בני יומן, שלרשב"א שהטעם משום ספק לא התבשל בו שום דבר, ואפילו התבשל ספק דלמא התבשל בו מים ניחא, אבל לטור שהוא ספק אם כבר נפגם מה שבתוכו ספק אולי פוגם את התבשיל לגבי בישול הוו שניהם חדא ספיקא. ולא הבנתי את דבריו, שאמנם אפשר </w:t>
      </w:r>
      <w:r w:rsidR="00B26CB2" w:rsidRPr="00882F11">
        <w:rPr>
          <w:rFonts w:cs="Guttman Drogolin" w:hint="cs"/>
          <w:rtl/>
          <w:lang w:bidi="he-IL"/>
        </w:rPr>
        <w:lastRenderedPageBreak/>
        <w:t xml:space="preserve">לשמוע דספק פגום וספק פוגם הוי חדא ספיקא כיון שהכל תלוי אם הוא פגום, אבל שיהי' דבר זה תלוי אם האיסור הוא איסור בישול או איסור המאכל לא הבנתי. וצ"ע.    </w:t>
      </w:r>
      <w:r w:rsidR="00E05BC1" w:rsidRPr="00882F11">
        <w:rPr>
          <w:rFonts w:cs="Guttman Drogolin" w:hint="cs"/>
          <w:rtl/>
          <w:lang w:bidi="he-IL"/>
        </w:rPr>
        <w:t xml:space="preserve"> </w:t>
      </w:r>
      <w:r w:rsidR="004A281F" w:rsidRPr="00882F11">
        <w:rPr>
          <w:rFonts w:cs="Guttman Drogolin" w:hint="cs"/>
          <w:rtl/>
          <w:lang w:bidi="he-IL"/>
        </w:rPr>
        <w:t xml:space="preserve"> </w:t>
      </w:r>
      <w:r w:rsidR="00156B2C" w:rsidRPr="00882F11">
        <w:rPr>
          <w:rFonts w:cs="Guttman Drogolin" w:hint="cs"/>
          <w:rtl/>
          <w:lang w:bidi="he-IL"/>
        </w:rPr>
        <w:t xml:space="preserve">  </w:t>
      </w:r>
    </w:p>
    <w:p w:rsidR="003E6F89" w:rsidRPr="00882F11" w:rsidRDefault="003E6F89" w:rsidP="0078079C">
      <w:pPr>
        <w:pStyle w:val="Heading1"/>
        <w:bidi/>
        <w:spacing w:before="0" w:line="360" w:lineRule="auto"/>
        <w:jc w:val="center"/>
        <w:rPr>
          <w:rFonts w:cs="Guttman Drogolin"/>
          <w:color w:val="auto"/>
          <w:sz w:val="24"/>
          <w:szCs w:val="24"/>
          <w:u w:val="single"/>
          <w:rtl/>
          <w:lang w:bidi="he-IL"/>
        </w:rPr>
      </w:pPr>
      <w:bookmarkStart w:id="194" w:name="_Toc496175450"/>
      <w:r w:rsidRPr="00882F11">
        <w:rPr>
          <w:rFonts w:cs="Guttman Drogolin" w:hint="cs"/>
          <w:color w:val="auto"/>
          <w:sz w:val="24"/>
          <w:szCs w:val="24"/>
          <w:u w:val="single"/>
          <w:rtl/>
          <w:lang w:bidi="he-IL"/>
        </w:rPr>
        <w:t>השיטות בקצרה הדין חלב הנמצא בקיבה</w:t>
      </w:r>
      <w:bookmarkEnd w:id="194"/>
    </w:p>
    <w:p w:rsidR="00D43763" w:rsidRPr="00882F11" w:rsidRDefault="00AA2339" w:rsidP="003E6F89">
      <w:pPr>
        <w:bidi/>
        <w:jc w:val="both"/>
        <w:rPr>
          <w:rFonts w:cs="Guttman Drogolin"/>
          <w:rtl/>
          <w:lang w:bidi="he-IL"/>
        </w:rPr>
      </w:pPr>
      <w:r>
        <w:rPr>
          <w:rFonts w:cs="Guttman Drogolin"/>
          <w:rtl/>
          <w:lang w:bidi="he-IL"/>
        </w:rPr>
        <w:fldChar w:fldCharType="begin"/>
      </w:r>
      <w:r>
        <w:instrText xml:space="preserve"> XE "</w:instrText>
      </w:r>
      <w:r w:rsidRPr="00C254A5">
        <w:rPr>
          <w:rFonts w:hint="cs"/>
          <w:rtl/>
          <w:lang w:bidi="he-IL"/>
        </w:rPr>
        <w:instrText>חלב הקיבה</w:instrText>
      </w:r>
      <w:r w:rsidRPr="00C254A5">
        <w:rPr>
          <w:rtl/>
        </w:rPr>
        <w:instrText>:</w:instrText>
      </w:r>
      <w:r w:rsidRPr="00C254A5">
        <w:rPr>
          <w:rFonts w:hint="cs"/>
          <w:rtl/>
          <w:lang w:bidi="he-IL"/>
        </w:rPr>
        <w:instrText>שיטות הראשונים</w:instrText>
      </w:r>
      <w:r>
        <w:instrText xml:space="preserve">" </w:instrText>
      </w:r>
      <w:r>
        <w:rPr>
          <w:rFonts w:cs="Guttman Drogolin"/>
          <w:rtl/>
          <w:lang w:bidi="he-IL"/>
        </w:rPr>
        <w:fldChar w:fldCharType="end"/>
      </w:r>
      <w:r w:rsidR="003E6F89" w:rsidRPr="00882F11">
        <w:rPr>
          <w:rFonts w:cs="Guttman Drogolin" w:hint="cs"/>
          <w:rtl/>
          <w:lang w:bidi="he-IL"/>
        </w:rPr>
        <w:t>בדין החלב הנמצא בקיבה ביארנו בסוף זמן שעבר (שיעור מ"ו) ונחזור על השיטות העיקריות בקצרה:</w:t>
      </w:r>
    </w:p>
    <w:p w:rsidR="003E6F89" w:rsidRPr="00882F11" w:rsidRDefault="003E6F89" w:rsidP="003E6F89">
      <w:pPr>
        <w:pStyle w:val="ListParagraph"/>
        <w:numPr>
          <w:ilvl w:val="0"/>
          <w:numId w:val="10"/>
        </w:numPr>
        <w:bidi/>
        <w:jc w:val="both"/>
        <w:rPr>
          <w:rFonts w:cs="Guttman Drogolin"/>
          <w:lang w:bidi="he-IL"/>
        </w:rPr>
      </w:pPr>
      <w:r w:rsidRPr="00882F11">
        <w:rPr>
          <w:rFonts w:cs="Guttman Drogolin" w:hint="cs"/>
          <w:rtl/>
          <w:lang w:bidi="he-IL"/>
        </w:rPr>
        <w:t xml:space="preserve">שיטת רש"י והר"ן שכל החלב הנמצא בקיבה הרי הוא </w:t>
      </w:r>
      <w:r w:rsidR="006754B3" w:rsidRPr="00882F11">
        <w:rPr>
          <w:rFonts w:cs="Guttman Drogolin" w:hint="cs"/>
          <w:rtl/>
          <w:lang w:bidi="he-IL"/>
        </w:rPr>
        <w:t xml:space="preserve">בדינו, ולכן אם הוא חלב מבהמה טמאה הרי הוא עדיין באיסורו, וכן אם הוא מבהמה טהורה הרי זה אוסר משום בב"ח. </w:t>
      </w:r>
    </w:p>
    <w:p w:rsidR="006754B3" w:rsidRPr="00882F11" w:rsidRDefault="006754B3" w:rsidP="006754B3">
      <w:pPr>
        <w:pStyle w:val="ListParagraph"/>
        <w:numPr>
          <w:ilvl w:val="0"/>
          <w:numId w:val="10"/>
        </w:numPr>
        <w:bidi/>
        <w:jc w:val="both"/>
        <w:rPr>
          <w:rFonts w:cs="Guttman Drogolin"/>
          <w:lang w:bidi="he-IL"/>
        </w:rPr>
      </w:pPr>
      <w:r w:rsidRPr="00882F11">
        <w:rPr>
          <w:rFonts w:cs="Guttman Drogolin" w:hint="cs"/>
          <w:rtl/>
          <w:lang w:bidi="he-IL"/>
        </w:rPr>
        <w:t xml:space="preserve">שיטת הרי"ף והרמב"ם הוא להיפך, שהחלב שבקיבה פקע מיני' שם חלב, ולכן אפילו אם הוא מבהמה טמאה הרי זה מותר, וכן אינו אוסר משום בב"ח. </w:t>
      </w:r>
    </w:p>
    <w:p w:rsidR="00573E46" w:rsidRPr="00882F11" w:rsidRDefault="006754B3" w:rsidP="006754B3">
      <w:pPr>
        <w:pStyle w:val="ListParagraph"/>
        <w:numPr>
          <w:ilvl w:val="0"/>
          <w:numId w:val="10"/>
        </w:numPr>
        <w:bidi/>
        <w:jc w:val="both"/>
        <w:rPr>
          <w:rFonts w:cs="Guttman Drogolin"/>
          <w:lang w:bidi="he-IL"/>
        </w:rPr>
      </w:pPr>
      <w:r w:rsidRPr="00882F11">
        <w:rPr>
          <w:rFonts w:cs="Guttman Drogolin" w:hint="cs"/>
          <w:rtl/>
          <w:lang w:bidi="he-IL"/>
        </w:rPr>
        <w:t xml:space="preserve">שיטת ר"ת שיש לחלק בין חלב קרוש לחלב שאינו קרוש, שחלב קרוש הרי הוא פירשה בעלמא והדין בה שאינו חלב לא לאיסור חלב טמא ולא לענין בשר בחלב, אבל חלב צלול דינו כחלב בין לזה ובין לזה. </w:t>
      </w:r>
    </w:p>
    <w:p w:rsidR="0023026B" w:rsidRPr="00882F11" w:rsidRDefault="00573E46" w:rsidP="00573E46">
      <w:pPr>
        <w:bidi/>
        <w:jc w:val="both"/>
        <w:rPr>
          <w:rFonts w:cs="Guttman Drogolin"/>
          <w:rtl/>
          <w:lang w:bidi="he-IL"/>
        </w:rPr>
      </w:pPr>
      <w:r w:rsidRPr="00882F11">
        <w:rPr>
          <w:rFonts w:cs="Guttman Drogolin" w:hint="cs"/>
          <w:rtl/>
          <w:lang w:bidi="he-IL"/>
        </w:rPr>
        <w:t xml:space="preserve">ובשו"ע המחבר בסע' ט' הביא שיטת הרי"ף והרמב"ם כדעת העיקרית, ושיש אוסרים. וכאן השו"ע לא ביאר אם כוונתו לאסור כשיטת ר"ת או כשיטת רש"י, אבל בסי' פ"א (ששם הביא השיטות כלפי הדין של חלב טמא) מבואר שכוותנו שי"א כשיטת ר"ת, וכתב כאן הרמ"א שאנחנו נוהגים כאוסרים ור"ל כשיטת ר"ת. והש"ך והט"ז </w:t>
      </w:r>
      <w:r w:rsidR="0023026B" w:rsidRPr="00882F11">
        <w:rPr>
          <w:rFonts w:cs="Guttman Drogolin" w:hint="cs"/>
          <w:rtl/>
          <w:lang w:bidi="he-IL"/>
        </w:rPr>
        <w:t>הביאו בשם רש"ל להחמיר כשיטת רש"י</w:t>
      </w:r>
      <w:r w:rsidR="0006788E" w:rsidRPr="00882F11">
        <w:rPr>
          <w:rFonts w:cs="Guttman Drogolin" w:hint="cs"/>
          <w:rtl/>
          <w:lang w:bidi="he-IL"/>
        </w:rPr>
        <w:t>.</w:t>
      </w:r>
    </w:p>
    <w:p w:rsidR="0023026B" w:rsidRPr="00882F11" w:rsidRDefault="0023026B" w:rsidP="0078079C">
      <w:pPr>
        <w:pStyle w:val="Heading1"/>
        <w:keepLines w:val="0"/>
        <w:bidi/>
        <w:spacing w:before="0" w:line="360" w:lineRule="auto"/>
        <w:jc w:val="center"/>
        <w:rPr>
          <w:rFonts w:cs="Guttman Drogolin"/>
          <w:color w:val="auto"/>
          <w:sz w:val="24"/>
          <w:szCs w:val="24"/>
          <w:u w:val="single"/>
          <w:rtl/>
          <w:lang w:bidi="he-IL"/>
        </w:rPr>
      </w:pPr>
      <w:bookmarkStart w:id="195" w:name="_Toc496175451"/>
      <w:r w:rsidRPr="00882F11">
        <w:rPr>
          <w:rFonts w:cs="Guttman Drogolin" w:hint="cs"/>
          <w:color w:val="auto"/>
          <w:sz w:val="24"/>
          <w:szCs w:val="24"/>
          <w:u w:val="single"/>
          <w:rtl/>
          <w:lang w:bidi="he-IL"/>
        </w:rPr>
        <w:lastRenderedPageBreak/>
        <w:t>השיטות בקצרה בדין מעמיד</w:t>
      </w:r>
      <w:bookmarkEnd w:id="195"/>
    </w:p>
    <w:p w:rsidR="0023026B" w:rsidRPr="00882F11" w:rsidRDefault="00471576" w:rsidP="0023026B">
      <w:pPr>
        <w:keepNext/>
        <w:bidi/>
        <w:jc w:val="both"/>
        <w:rPr>
          <w:rFonts w:cs="Guttman Drogolin"/>
          <w:rtl/>
          <w:lang w:bidi="he-IL"/>
        </w:rPr>
      </w:pPr>
      <w:r>
        <w:rPr>
          <w:rFonts w:cs="Guttman Drogolin"/>
          <w:rtl/>
          <w:lang w:bidi="he-IL"/>
        </w:rPr>
        <w:fldChar w:fldCharType="begin"/>
      </w:r>
      <w:r>
        <w:instrText xml:space="preserve"> XE "</w:instrText>
      </w:r>
      <w:r w:rsidRPr="00C27A6D">
        <w:rPr>
          <w:rFonts w:hint="cs"/>
          <w:rtl/>
          <w:lang w:bidi="he-IL"/>
        </w:rPr>
        <w:instrText>מעמיד</w:instrText>
      </w:r>
      <w:r w:rsidRPr="00C27A6D">
        <w:rPr>
          <w:rtl/>
        </w:rPr>
        <w:instrText>:</w:instrText>
      </w:r>
      <w:r w:rsidRPr="00C27A6D">
        <w:rPr>
          <w:rFonts w:hint="cs"/>
          <w:rtl/>
          <w:lang w:bidi="he-IL"/>
        </w:rPr>
        <w:instrText>השיטות בקצרה</w:instrText>
      </w:r>
      <w:r>
        <w:instrText xml:space="preserve">" </w:instrText>
      </w:r>
      <w:r>
        <w:rPr>
          <w:rFonts w:cs="Guttman Drogolin"/>
          <w:rtl/>
          <w:lang w:bidi="he-IL"/>
        </w:rPr>
        <w:fldChar w:fldCharType="end"/>
      </w:r>
      <w:r w:rsidR="0023026B" w:rsidRPr="00882F11">
        <w:rPr>
          <w:rFonts w:cs="Guttman Drogolin" w:hint="cs"/>
          <w:rtl/>
          <w:lang w:bidi="he-IL"/>
        </w:rPr>
        <w:t>ונביא ג"כ בקצרה השיטות בדין מעמיד:</w:t>
      </w:r>
    </w:p>
    <w:p w:rsidR="0023026B" w:rsidRPr="00882F11" w:rsidRDefault="0023026B" w:rsidP="0023026B">
      <w:pPr>
        <w:pStyle w:val="ListParagraph"/>
        <w:keepNext/>
        <w:numPr>
          <w:ilvl w:val="0"/>
          <w:numId w:val="11"/>
        </w:numPr>
        <w:bidi/>
        <w:jc w:val="both"/>
        <w:rPr>
          <w:rFonts w:cs="Guttman Drogolin"/>
          <w:lang w:bidi="he-IL"/>
        </w:rPr>
      </w:pPr>
      <w:r w:rsidRPr="00882F11">
        <w:rPr>
          <w:rFonts w:cs="Guttman Drogolin" w:hint="cs"/>
          <w:rtl/>
          <w:lang w:bidi="he-IL"/>
        </w:rPr>
        <w:t xml:space="preserve">שיטת ר"ת דליכא איסור מעמיד כלל, וכדמשמע ממתני' שלא אסרו כשמעמיד בדבר איסור אלא כשאין ששים, שאז יש לאסור משום הטעם שלה, אבל זה עצמו שמעמיד מאכל אחר אינו טעם לאסור. </w:t>
      </w:r>
    </w:p>
    <w:p w:rsidR="0023026B" w:rsidRPr="00882F11" w:rsidRDefault="0023026B" w:rsidP="00A2380B">
      <w:pPr>
        <w:pStyle w:val="ListParagraph"/>
        <w:keepNext/>
        <w:numPr>
          <w:ilvl w:val="0"/>
          <w:numId w:val="11"/>
        </w:numPr>
        <w:bidi/>
        <w:jc w:val="both"/>
        <w:rPr>
          <w:rFonts w:cs="Guttman Drogolin"/>
          <w:lang w:bidi="he-IL"/>
        </w:rPr>
      </w:pPr>
      <w:r w:rsidRPr="00882F11">
        <w:rPr>
          <w:rFonts w:cs="Guttman Drogolin" w:hint="cs"/>
          <w:rtl/>
          <w:lang w:bidi="he-IL"/>
        </w:rPr>
        <w:t>שיטת ר' שמשון שאם העמיד מאכל בין בדבר איסור ובין בבשר בחלב הרי זה אוסר, ומש"כ במתני' בנ"ט הכ</w:t>
      </w:r>
      <w:r w:rsidR="00A2380B" w:rsidRPr="00882F11">
        <w:rPr>
          <w:rFonts w:cs="Guttman Drogolin" w:hint="cs"/>
          <w:rtl/>
          <w:lang w:bidi="he-IL"/>
        </w:rPr>
        <w:t>וונה להעמדה</w:t>
      </w:r>
      <w:r w:rsidRPr="00882F11">
        <w:rPr>
          <w:rFonts w:cs="Guttman Drogolin" w:hint="cs"/>
          <w:rtl/>
          <w:lang w:bidi="he-IL"/>
        </w:rPr>
        <w:t>, שגם הוא נחשב נ"ט.</w:t>
      </w:r>
    </w:p>
    <w:p w:rsidR="00B93B8C" w:rsidRPr="00882F11" w:rsidRDefault="00B93B8C" w:rsidP="00B93B8C">
      <w:pPr>
        <w:pStyle w:val="ListParagraph"/>
        <w:keepNext/>
        <w:numPr>
          <w:ilvl w:val="0"/>
          <w:numId w:val="11"/>
        </w:numPr>
        <w:bidi/>
        <w:jc w:val="both"/>
        <w:rPr>
          <w:rFonts w:cs="Guttman Drogolin"/>
          <w:lang w:bidi="he-IL"/>
        </w:rPr>
      </w:pPr>
      <w:r w:rsidRPr="00882F11">
        <w:rPr>
          <w:rFonts w:cs="Guttman Drogolin" w:hint="cs"/>
          <w:rtl/>
          <w:lang w:bidi="he-IL"/>
        </w:rPr>
        <w:t xml:space="preserve">שיטת </w:t>
      </w:r>
      <w:r w:rsidR="0023026B" w:rsidRPr="00882F11">
        <w:rPr>
          <w:rFonts w:cs="Guttman Drogolin" w:hint="cs"/>
          <w:rtl/>
          <w:lang w:bidi="he-IL"/>
        </w:rPr>
        <w:t xml:space="preserve">הרשב"א ור"י מגאש </w:t>
      </w:r>
      <w:r w:rsidRPr="00882F11">
        <w:rPr>
          <w:rFonts w:cs="Guttman Drogolin" w:hint="cs"/>
          <w:rtl/>
          <w:lang w:bidi="he-IL"/>
        </w:rPr>
        <w:t>שאמנם שאר איסורים אוסרים משום מעמיד, אבל בב"ח אין איסור מעמיד. והטעם משום שמעמיד מונע ביטול, ולכן באיסורים אין המעמיד בטל, אבל בב"ח אע"ג שהחלב אינו בטל כשמעמיד, מ"מ אינו נותן טעם, ובב"ח אינו אוסר אא"כ נותן טעם אפילו כשאינו בטל.</w:t>
      </w:r>
    </w:p>
    <w:p w:rsidR="00B93B8C" w:rsidRPr="00882F11" w:rsidRDefault="00B93B8C" w:rsidP="00B93B8C">
      <w:pPr>
        <w:keepNext/>
        <w:bidi/>
        <w:jc w:val="both"/>
        <w:rPr>
          <w:rFonts w:cs="Guttman Drogolin"/>
          <w:rtl/>
          <w:lang w:bidi="he-IL"/>
        </w:rPr>
      </w:pPr>
      <w:r w:rsidRPr="00882F11">
        <w:rPr>
          <w:rFonts w:cs="Guttman Drogolin" w:hint="cs"/>
          <w:rtl/>
          <w:lang w:bidi="he-IL"/>
        </w:rPr>
        <w:t xml:space="preserve">והנה בדעת הר"י מגאש הקשה רע"א בשו"ת סי' ר"ז דנהי נמי שאין איסור מדאורייתא אא"כ נותנים טעם א' לשני, אבל מ"מ איסור דרבנן איכא, ולכן עדיין צ"ע למה התיר הר"י מגאש מטעם הנ"ל ולא אסר מדרבנן מיהת. ותי' רע"א דעד כאן לא אסרו משום בב"ח מדרבנן אלא בכה"ג דאילו הי' מבושל הי' נ"ט ואסור מדאורייתא, אבל בנד"ד שאין בה כדי נתינת טעם גם מדרבנן אינו אסור. </w:t>
      </w:r>
    </w:p>
    <w:p w:rsidR="00B73FFF" w:rsidRPr="00882F11" w:rsidRDefault="00B93B8C" w:rsidP="006A3557">
      <w:pPr>
        <w:keepNext/>
        <w:bidi/>
        <w:jc w:val="both"/>
        <w:rPr>
          <w:rFonts w:cs="Guttman Drogolin"/>
          <w:rtl/>
          <w:lang w:bidi="he-IL"/>
        </w:rPr>
      </w:pPr>
      <w:r w:rsidRPr="00882F11">
        <w:rPr>
          <w:rFonts w:cs="Guttman Drogolin" w:hint="cs"/>
          <w:rtl/>
          <w:lang w:bidi="he-IL"/>
        </w:rPr>
        <w:t xml:space="preserve">ומיני' שיש להבין באיזה ענין חולק ר' שמשון ואוסר גם בב"ח. ולכאורה י"ל שחלק על הכלל הזה של רע"א לומר שאם יש בב"ח בעין </w:t>
      </w:r>
      <w:r w:rsidR="00E703F1" w:rsidRPr="00882F11">
        <w:rPr>
          <w:rFonts w:cs="Guttman Drogolin" w:hint="cs"/>
          <w:rtl/>
          <w:lang w:bidi="he-IL"/>
        </w:rPr>
        <w:t xml:space="preserve">יש לאסור מדרבנן אע"פ שאינו יכול לתת בה טעם. אבל מקודם הבאנו צד שאולי היסוד של איסור מעמיד הוא משום דהוי מין ממיני נתינת טעם. ולכן אולי יש לבא ולחדש שאם מבשל בב"ח באופן שא' </w:t>
      </w:r>
      <w:r w:rsidR="00E703F1" w:rsidRPr="00882F11">
        <w:rPr>
          <w:rFonts w:cs="Guttman Drogolin" w:hint="cs"/>
          <w:rtl/>
          <w:lang w:bidi="he-IL"/>
        </w:rPr>
        <w:lastRenderedPageBreak/>
        <w:t xml:space="preserve">מעמיד את השני, אע"ג שאין החיך מכיר בו, מ"מ יש כאן בב"ח מדאורייתא. וחידוש הוא. </w:t>
      </w:r>
    </w:p>
    <w:p w:rsidR="006A3557" w:rsidRPr="00882F11" w:rsidRDefault="00B73FFF" w:rsidP="006A3557">
      <w:pPr>
        <w:keepNext/>
        <w:bidi/>
        <w:jc w:val="both"/>
        <w:rPr>
          <w:rFonts w:cs="Guttman Drogolin"/>
          <w:rtl/>
          <w:lang w:bidi="he-IL"/>
        </w:rPr>
      </w:pPr>
      <w:r w:rsidRPr="00882F11">
        <w:rPr>
          <w:rFonts w:cs="Guttman Drogolin" w:hint="cs"/>
          <w:rtl/>
          <w:lang w:bidi="he-IL"/>
        </w:rPr>
        <w:t xml:space="preserve">ויש לנו בזה מקום עיון, שהרי הרשב"א במס' חולין דף צ"ח ע"ב הביא מן הראב"ד לבאר הטעם דטעם לא בטיל משום שהוא ניכר. ואע"ג שהבאנו שיש חולקים על זה </w:t>
      </w:r>
      <w:r w:rsidR="006A3557" w:rsidRPr="00882F11">
        <w:rPr>
          <w:rFonts w:cs="Guttman Drogolin" w:hint="cs"/>
          <w:rtl/>
          <w:lang w:bidi="he-IL"/>
        </w:rPr>
        <w:t xml:space="preserve">(ע' כגון לעיל שיעור י' מהגר"א קוטלר), מ"מ מדברי הרשב"א בשם הראב"ד הנ"ל כך נראה. וא"כ לכאורה צ"ע למה ר"ת לא אזיל בתר מעמיד, הא הרי הוא ניכר. וכן אפילו לשאר הראשונים שאוסרים משום מעמיד, מ"מ רוב פוסקים נוקטים שאיסור מעמיד אינו אלא מדרבנן (דלא כמג"א סי' תמ"ב ס"ק ט' בדעת הטור), וכ"כ למה הא ניכר הוא ומדאורייתא לא בטיל. וחשבתי לומר שאפילו אם יש יסוד דדבר הניכר לא בטל, הנ"מ כשהאיסור עצמו ניכר, אבל אם הוא עצמו אינו ניכר רק עשה פעולה שעל ידו יש לנו זכר מן האיסור, אין כאן היכר המבטל את הביטול. וא"כ י"ל שזהו הטעם שלא אומרים שאינו בטל משום ההיכר שבו. </w:t>
      </w:r>
    </w:p>
    <w:p w:rsidR="006A3557" w:rsidRPr="00882F11" w:rsidRDefault="006A3557" w:rsidP="0078079C">
      <w:pPr>
        <w:pStyle w:val="Heading1"/>
        <w:bidi/>
        <w:spacing w:before="0" w:line="360" w:lineRule="auto"/>
        <w:jc w:val="center"/>
        <w:rPr>
          <w:rFonts w:cs="Guttman Drogolin"/>
          <w:color w:val="auto"/>
          <w:sz w:val="24"/>
          <w:szCs w:val="24"/>
          <w:u w:val="single"/>
          <w:rtl/>
          <w:lang w:bidi="he-IL"/>
        </w:rPr>
      </w:pPr>
      <w:bookmarkStart w:id="196" w:name="_Toc496175452"/>
      <w:r w:rsidRPr="00882F11">
        <w:rPr>
          <w:rFonts w:cs="Guttman Drogolin" w:hint="cs"/>
          <w:color w:val="auto"/>
          <w:sz w:val="24"/>
          <w:szCs w:val="24"/>
          <w:u w:val="single"/>
          <w:rtl/>
          <w:lang w:bidi="he-IL"/>
        </w:rPr>
        <w:t>חלב הקיבה שנמלח בעורו</w:t>
      </w:r>
      <w:bookmarkEnd w:id="196"/>
    </w:p>
    <w:p w:rsidR="00C537E5" w:rsidRPr="00882F11" w:rsidRDefault="00471576" w:rsidP="0097151B">
      <w:pPr>
        <w:keepNext/>
        <w:bidi/>
        <w:jc w:val="both"/>
        <w:rPr>
          <w:rFonts w:cs="Guttman Drogolin"/>
          <w:rtl/>
          <w:lang w:bidi="he-IL"/>
        </w:rPr>
      </w:pPr>
      <w:r>
        <w:rPr>
          <w:rFonts w:cs="Guttman Drogolin"/>
          <w:rtl/>
          <w:lang w:bidi="he-IL"/>
        </w:rPr>
        <w:fldChar w:fldCharType="begin"/>
      </w:r>
      <w:r>
        <w:instrText xml:space="preserve"> XE "</w:instrText>
      </w:r>
      <w:r w:rsidRPr="001567AF">
        <w:rPr>
          <w:rFonts w:hint="cs"/>
          <w:rtl/>
          <w:lang w:bidi="he-IL"/>
        </w:rPr>
        <w:instrText>חלב הקיבה</w:instrText>
      </w:r>
      <w:r w:rsidRPr="001567AF">
        <w:rPr>
          <w:rtl/>
        </w:rPr>
        <w:instrText>:</w:instrText>
      </w:r>
      <w:r w:rsidRPr="001567AF">
        <w:rPr>
          <w:rFonts w:hint="cs"/>
          <w:rtl/>
          <w:lang w:bidi="he-IL"/>
        </w:rPr>
        <w:instrText>שנמלח בעורו</w:instrText>
      </w:r>
      <w:r>
        <w:instrText xml:space="preserve">" </w:instrText>
      </w:r>
      <w:r>
        <w:rPr>
          <w:rFonts w:cs="Guttman Drogolin"/>
          <w:rtl/>
          <w:lang w:bidi="he-IL"/>
        </w:rPr>
        <w:fldChar w:fldCharType="end"/>
      </w:r>
      <w:r w:rsidR="00485B07" w:rsidRPr="00882F11">
        <w:rPr>
          <w:rFonts w:cs="Guttman Drogolin" w:hint="cs"/>
          <w:rtl/>
          <w:lang w:bidi="he-IL"/>
        </w:rPr>
        <w:t xml:space="preserve">הנה אפילו אם החלב נחשב כפירשא בעלמא (בקרוש לשיטת ר"ת, ואפילו בצלול לדעת הרי"ף והרמב"ם) ואין לו דין חלב, מ"מ לכאורה אם מלח החלב בעור הקיבה אי אפשר להעמיד בה גבינות. והיינו משום דאע"ג שאין חלב הקיבה נחשב כחלב ואינו נאסר מטעם העור, מ"מ הרי הטעם בשר עצמו של העור יאסור את החלב שנעשה גבינה. אלא שהב"י הביא בזה פלוגתא, וי"א שגם כה"ג אין הגבינה אסורה. ובטעם הדבר כתב הב"י, </w:t>
      </w:r>
      <w:r w:rsidR="0097151B" w:rsidRPr="00882F11">
        <w:rPr>
          <w:rFonts w:cs="Guttman Drogolin" w:hint="cs"/>
          <w:rtl/>
          <w:lang w:bidi="he-IL"/>
        </w:rPr>
        <w:t>"שהרי דגים שקבלו טעם בשר מותר לחברם אח"כ עם חלב וכל שכן זה שהוא פרש גמור". והדרכ"מ הקשה על זה דליכא להתיר משום דינא דנ"ט בר נ"ט, דהא אין כאן מספיק נותני טעם כדי להתיר, שהא אין כאן טעם שני בהיתר בין לשיטת התוס' ובין לשיטת הרמב"ן.</w:t>
      </w:r>
      <w:r w:rsidR="00C537E5" w:rsidRPr="00882F11">
        <w:rPr>
          <w:rFonts w:cs="Guttman Drogolin" w:hint="cs"/>
          <w:rtl/>
          <w:lang w:bidi="he-IL"/>
        </w:rPr>
        <w:t xml:space="preserve"> ולכן ביאר הרמ"א הטעם משום שנעשה פירשה בעלמא. ובעצם הדבר שמבואר שיש כאן היתר של נ"ט בר נ"ט כן מבואר שם בפירש"י, והרמב"ן שם הביא מי שדקדק מזה שבאמת סבר שאפילו טעם שני </w:t>
      </w:r>
      <w:r w:rsidR="00C537E5" w:rsidRPr="00882F11">
        <w:rPr>
          <w:rFonts w:cs="Guttman Drogolin" w:hint="cs"/>
          <w:rtl/>
          <w:lang w:bidi="he-IL"/>
        </w:rPr>
        <w:lastRenderedPageBreak/>
        <w:t xml:space="preserve">באיסור אינו אוסר, אבל לשיטת השו"ע לא מהני דהא שיטה זו לא מובא בשו"ע. </w:t>
      </w:r>
    </w:p>
    <w:p w:rsidR="00C537E5" w:rsidRPr="00882F11" w:rsidRDefault="00C537E5" w:rsidP="0006788E">
      <w:pPr>
        <w:keepNext/>
        <w:bidi/>
        <w:jc w:val="both"/>
        <w:rPr>
          <w:rFonts w:cs="Guttman Drogolin"/>
          <w:rtl/>
          <w:lang w:bidi="he-IL"/>
        </w:rPr>
      </w:pPr>
      <w:r w:rsidRPr="00882F11">
        <w:rPr>
          <w:rFonts w:cs="Guttman Drogolin" w:hint="cs"/>
          <w:rtl/>
          <w:lang w:bidi="he-IL"/>
        </w:rPr>
        <w:t>ובשיטת הב"י ביאר הש"ך בס"ק ל"א</w:t>
      </w:r>
      <w:r w:rsidR="0097151B" w:rsidRPr="00882F11">
        <w:rPr>
          <w:rFonts w:cs="Guttman Drogolin" w:hint="cs"/>
          <w:rtl/>
          <w:lang w:bidi="he-IL"/>
        </w:rPr>
        <w:t xml:space="preserve"> </w:t>
      </w:r>
      <w:r w:rsidRPr="00882F11">
        <w:rPr>
          <w:rFonts w:cs="Guttman Drogolin" w:hint="cs"/>
          <w:rtl/>
          <w:lang w:bidi="he-IL"/>
        </w:rPr>
        <w:t xml:space="preserve">שאמנם אין כאן טעם שני בהיתר, מ"מ הרי יסוד ההיתר של נ"ט בר נ"ט הוא משום דאיקליש טעם המאכל, ובזה אמרינן שאמנם בדר"כ בעינן טעם שני בהיתר כדי להתיר את המאכל, מ"מ כשנכנס הטעם לתוך פירשא, הטעם בשר איקליש טפי ויש טעם היתר אפילו בטעם שני. ולכאורה דבריו לא שייכים אלא לשיטת הרמב"ן דסבר שבעלמא בעינן טעם שלישי, וכאן סגי בטעם שני, אבל לשיטת התוס' דסבר שאפילו בטעם שני יש היתר, רק הדבר תלוי אם נאסר מיד או לאחר זמן, לכאורה יש מספיק מדת קלישות בתרוייהו, וא"כ עדיין תיקשי למה </w:t>
      </w:r>
      <w:r w:rsidR="0006788E" w:rsidRPr="00882F11">
        <w:rPr>
          <w:rFonts w:cs="Guttman Drogolin" w:hint="cs"/>
          <w:rtl/>
          <w:lang w:bidi="he-IL"/>
        </w:rPr>
        <w:t>ב</w:t>
      </w:r>
      <w:r w:rsidRPr="00882F11">
        <w:rPr>
          <w:rFonts w:cs="Guttman Drogolin" w:hint="cs"/>
          <w:rtl/>
          <w:lang w:bidi="he-IL"/>
        </w:rPr>
        <w:t>עלמא מותר וכאן אסור. ועוד קשה לי בדברי הש"ך שאם זהו יסודו של הב"י לכאורה הוא חידוש גדול והו"ל לש"ס להשמיענו דבר זה. וצ"ע.</w:t>
      </w:r>
    </w:p>
    <w:p w:rsidR="00C537E5" w:rsidRPr="00882F11" w:rsidRDefault="00C537E5" w:rsidP="00C537E5">
      <w:pPr>
        <w:keepNext/>
        <w:bidi/>
        <w:jc w:val="both"/>
        <w:rPr>
          <w:rFonts w:cs="Guttman Drogolin"/>
          <w:rtl/>
          <w:lang w:bidi="he-IL"/>
        </w:rPr>
      </w:pPr>
      <w:r w:rsidRPr="00882F11">
        <w:rPr>
          <w:rFonts w:cs="Guttman Drogolin" w:hint="cs"/>
          <w:rtl/>
          <w:lang w:bidi="he-IL"/>
        </w:rPr>
        <w:t xml:space="preserve">וביאור שיטת הרמ"א, וכן הוא בט"ז, שלכאורה להיתר של נ"ט בר נ"ט בעינן עוד נ"ט כדי להתיר. אבל כאן מותר מטעם אחר משום שהפירשא קלקל את הטעם בשר ונעשה גם הוא פירשא, ולכן אינו אוסר. </w:t>
      </w:r>
    </w:p>
    <w:p w:rsidR="00BF25BC" w:rsidRPr="00882F11" w:rsidRDefault="00C537E5" w:rsidP="00C537E5">
      <w:pPr>
        <w:keepNext/>
        <w:bidi/>
        <w:jc w:val="both"/>
        <w:rPr>
          <w:rFonts w:cs="Guttman Drogolin"/>
          <w:rtl/>
          <w:lang w:bidi="he-IL"/>
        </w:rPr>
      </w:pPr>
      <w:r w:rsidRPr="00882F11">
        <w:rPr>
          <w:rFonts w:cs="Guttman Drogolin" w:hint="cs"/>
          <w:rtl/>
          <w:lang w:bidi="he-IL"/>
        </w:rPr>
        <w:t>ומ"מ לכאורה יש מקום שאלה, דבין לפי ביאורו של הדרכ"מ ובין לפי ביאורו של הש"ך עדיין קשה, שהרי גם כלי אין לו תורת מאכל, ומ"מ אם נכנס בו טעם אפשר לכלי לאסור את המאכל, ולכן אפילו אם פירשא בעלמא אין לו תורת מאכל, למה יהא גרוע מכלי שלא אומרים בה שהוא מקלקל ביותר. ונראה הפשוט בזה, שכלי אע"ג שהוא לא נאכל, מ"מ אינו מקלקל את הטעם להיות פירשא.</w:t>
      </w:r>
      <w:r w:rsidR="0006788E" w:rsidRPr="00882F11">
        <w:rPr>
          <w:rFonts w:cs="Guttman Drogolin" w:hint="cs"/>
          <w:rtl/>
          <w:lang w:bidi="he-IL"/>
        </w:rPr>
        <w:t xml:space="preserve"> ואע"ג דאיכא למ"ד שאפילו בכלי בן</w:t>
      </w:r>
      <w:r w:rsidRPr="00882F11">
        <w:rPr>
          <w:rFonts w:cs="Guttman Drogolin" w:hint="cs"/>
          <w:rtl/>
          <w:lang w:bidi="he-IL"/>
        </w:rPr>
        <w:t xml:space="preserve"> יומו אי אפשר דלא פגמא פורתא</w:t>
      </w:r>
      <w:r w:rsidR="00BF25BC" w:rsidRPr="00882F11">
        <w:rPr>
          <w:rFonts w:cs="Guttman Drogolin" w:hint="cs"/>
          <w:rtl/>
          <w:lang w:bidi="he-IL"/>
        </w:rPr>
        <w:t xml:space="preserve">, מ"מ אין לו </w:t>
      </w:r>
      <w:r w:rsidR="00BF25BC" w:rsidRPr="00882F11">
        <w:rPr>
          <w:rFonts w:cs="Guttman Drogolin" w:hint="cs"/>
          <w:rtl/>
          <w:lang w:bidi="he-IL"/>
        </w:rPr>
        <w:lastRenderedPageBreak/>
        <w:t>הכח לעשותו פירשא, וכן לא להקליש הטעם כ"כ. ולכן פירשא הרי הוא חלוק מכלי.</w:t>
      </w:r>
    </w:p>
    <w:p w:rsidR="006A3557" w:rsidRPr="00882F11" w:rsidRDefault="00BF25BC" w:rsidP="00655EB3">
      <w:pPr>
        <w:keepNext/>
        <w:bidi/>
        <w:jc w:val="both"/>
        <w:rPr>
          <w:rFonts w:cs="Guttman Drogolin"/>
          <w:rtl/>
          <w:lang w:bidi="he-IL"/>
        </w:rPr>
      </w:pPr>
      <w:r w:rsidRPr="00882F11">
        <w:rPr>
          <w:rFonts w:cs="Guttman Drogolin" w:hint="cs"/>
          <w:rtl/>
          <w:lang w:bidi="he-IL"/>
        </w:rPr>
        <w:t>ובשו"ע מבואר שאם החלב בלע טעם בשר ואינו פירשא בעלמא, מ"מ הגבינה מותרת אם יש ששים בתבשיל כנגד חלב הקיבה.</w:t>
      </w:r>
      <w:r w:rsidR="00F22701" w:rsidRPr="00882F11">
        <w:rPr>
          <w:rFonts w:cs="Guttman Drogolin" w:hint="cs"/>
          <w:rtl/>
          <w:lang w:bidi="he-IL"/>
        </w:rPr>
        <w:t xml:space="preserve"> והקשה על זה הש"ך בס"ק ל', דהא אם החלב אינו כפירשא הרי גם חלב הקיבה נאסר משום בב"ח, והרי הטעם שאין איסור מעמיד בב"ח משום שצריכים טעם, והכא שכבר נאסר משום בב"ח הי' לו לאסור משום מעמיד, ולכן למה אם יש ששים הרי הוא מותר, הא כיון שהעמיד וכבר נאסר יש לאסור משום מעמיד. ותי' הש"ך דהכא בבב"ח שאינו דרך בישול עדיין לא אמרינן </w:t>
      </w:r>
      <w:r w:rsidR="00A2380B" w:rsidRPr="00882F11">
        <w:rPr>
          <w:rFonts w:cs="Guttman Drogolin" w:hint="cs"/>
          <w:rtl/>
          <w:lang w:bidi="he-IL"/>
        </w:rPr>
        <w:t>שאסורה מחמת עצמה</w:t>
      </w:r>
      <w:r w:rsidR="00A2380B" w:rsidRPr="00882F11">
        <w:rPr>
          <w:rStyle w:val="FootnoteReference"/>
          <w:rFonts w:cs="Guttman Drogolin"/>
          <w:rtl/>
          <w:lang w:bidi="he-IL"/>
        </w:rPr>
        <w:footnoteReference w:id="236"/>
      </w:r>
      <w:r w:rsidR="00F22701" w:rsidRPr="00882F11">
        <w:rPr>
          <w:rFonts w:cs="Guttman Drogolin" w:hint="cs"/>
          <w:rtl/>
          <w:lang w:bidi="he-IL"/>
        </w:rPr>
        <w:t xml:space="preserve">, ולכן עדיין אינו אוסר משום מעמיד. ולכאורה הי' אפשר לומר דכיון שאין איסור בב"ח שכבוש ומליח אלא מדרבנן, </w:t>
      </w:r>
      <w:r w:rsidR="00655EB3" w:rsidRPr="00882F11">
        <w:rPr>
          <w:rFonts w:cs="Guttman Drogolin" w:hint="cs"/>
          <w:rtl/>
          <w:lang w:bidi="he-IL"/>
        </w:rPr>
        <w:t>ובאיסור כזה לא חשוב אסורה מחמת עצמה כמו ש</w:t>
      </w:r>
      <w:r w:rsidR="00F22701" w:rsidRPr="00882F11">
        <w:rPr>
          <w:rFonts w:cs="Guttman Drogolin" w:hint="cs"/>
          <w:rtl/>
          <w:lang w:bidi="he-IL"/>
        </w:rPr>
        <w:t>לא אומרים חענ"ן באיסורים דרבנן, וכן הוא שיטת הט"ז לקמן סי' צ' ס"ק ד' שלא אומרים חענ"ן באיסורים דרבנן אפילו למ"ד יש חענ"ן בשאר איסורים. אבל נראה שאין זה ביאור דברי הש"ך, רק כוונתו דכיון שאין כאן בישול, אע"</w:t>
      </w:r>
      <w:r w:rsidR="00B526C2" w:rsidRPr="00882F11">
        <w:rPr>
          <w:rFonts w:cs="Guttman Drogolin" w:hint="cs"/>
          <w:rtl/>
          <w:lang w:bidi="he-IL"/>
        </w:rPr>
        <w:t xml:space="preserve">ג שיש בליעות </w:t>
      </w:r>
      <w:r w:rsidR="00F22701" w:rsidRPr="00882F11">
        <w:rPr>
          <w:rFonts w:cs="Guttman Drogolin" w:hint="cs"/>
          <w:rtl/>
          <w:lang w:bidi="he-IL"/>
        </w:rPr>
        <w:t>של תרוייהו בתוכו, אין כאן חפצא דאיסורא, רק תערובת של בשר וחלב שבמקרה אי אפשר לאוכלן ביחד</w:t>
      </w:r>
      <w:r w:rsidR="00B526C2" w:rsidRPr="00882F11">
        <w:rPr>
          <w:rFonts w:cs="Guttman Drogolin" w:hint="cs"/>
          <w:rtl/>
          <w:lang w:bidi="he-IL"/>
        </w:rPr>
        <w:t xml:space="preserve">. וכיון שכל א' היתר, גם אחרי שהוא מעמיד אין לנו אלא חלב בפני עצמו ובשר בפני עצמו. וכיון שעכשיו אין מספיק טעם בשר בתוך הגבינה, אין כאן איסור. ולעולם יתכן לשיטת הש"ך </w:t>
      </w:r>
      <w:r w:rsidR="00655EB3" w:rsidRPr="00882F11">
        <w:rPr>
          <w:rFonts w:cs="Guttman Drogolin" w:hint="cs"/>
          <w:rtl/>
          <w:lang w:bidi="he-IL"/>
        </w:rPr>
        <w:t>גם בבב"ח דרבנן (כגון בשר עוף שנתבשלה בחלב) חשוב אסור מחמת עצמו</w:t>
      </w:r>
      <w:r w:rsidR="00B526C2" w:rsidRPr="00882F11">
        <w:rPr>
          <w:rFonts w:cs="Guttman Drogolin" w:hint="cs"/>
          <w:rtl/>
          <w:lang w:bidi="he-IL"/>
        </w:rPr>
        <w:t>.</w:t>
      </w:r>
      <w:r w:rsidR="00655EB3" w:rsidRPr="00882F11">
        <w:rPr>
          <w:rFonts w:cs="Guttman Drogolin" w:hint="cs"/>
          <w:rtl/>
          <w:lang w:bidi="he-IL"/>
        </w:rPr>
        <w:t xml:space="preserve"> וכן אומרים חענ"ן.</w:t>
      </w:r>
      <w:r w:rsidR="00F22701" w:rsidRPr="00882F11">
        <w:rPr>
          <w:rFonts w:cs="Guttman Drogolin" w:hint="cs"/>
          <w:rtl/>
          <w:lang w:bidi="he-IL"/>
        </w:rPr>
        <w:t xml:space="preserve"> </w:t>
      </w:r>
      <w:r w:rsidRPr="00882F11">
        <w:rPr>
          <w:rFonts w:cs="Guttman Drogolin" w:hint="cs"/>
          <w:rtl/>
          <w:lang w:bidi="he-IL"/>
        </w:rPr>
        <w:t xml:space="preserve"> </w:t>
      </w:r>
      <w:r w:rsidR="00C537E5" w:rsidRPr="00882F11">
        <w:rPr>
          <w:rFonts w:cs="Guttman Drogolin" w:hint="cs"/>
          <w:rtl/>
          <w:lang w:bidi="he-IL"/>
        </w:rPr>
        <w:t xml:space="preserve">   </w:t>
      </w:r>
    </w:p>
    <w:p w:rsidR="006A3557" w:rsidRPr="00882F11" w:rsidRDefault="006A3557" w:rsidP="0078079C">
      <w:pPr>
        <w:pStyle w:val="Heading1"/>
        <w:bidi/>
        <w:spacing w:before="0" w:line="360" w:lineRule="auto"/>
        <w:jc w:val="center"/>
        <w:rPr>
          <w:rFonts w:cs="Guttman Drogolin"/>
          <w:color w:val="auto"/>
          <w:sz w:val="24"/>
          <w:szCs w:val="24"/>
          <w:u w:val="single"/>
          <w:rtl/>
          <w:lang w:bidi="he-IL"/>
        </w:rPr>
      </w:pPr>
      <w:bookmarkStart w:id="197" w:name="_Toc496175453"/>
      <w:r w:rsidRPr="00882F11">
        <w:rPr>
          <w:rFonts w:cs="Guttman Drogolin" w:hint="cs"/>
          <w:color w:val="auto"/>
          <w:sz w:val="24"/>
          <w:szCs w:val="24"/>
          <w:u w:val="single"/>
          <w:rtl/>
          <w:lang w:bidi="he-IL"/>
        </w:rPr>
        <w:t>עור שהתייבש ונעשה כעץ</w:t>
      </w:r>
      <w:bookmarkEnd w:id="197"/>
    </w:p>
    <w:p w:rsidR="006A3557" w:rsidRPr="00882F11" w:rsidRDefault="00471576" w:rsidP="006A3557">
      <w:pPr>
        <w:keepNext/>
        <w:bidi/>
        <w:jc w:val="both"/>
        <w:rPr>
          <w:rFonts w:cs="Guttman Drogolin"/>
          <w:rtl/>
          <w:lang w:bidi="he-IL"/>
        </w:rPr>
      </w:pPr>
      <w:r>
        <w:rPr>
          <w:rFonts w:cs="Guttman Drogolin"/>
          <w:rtl/>
          <w:lang w:bidi="he-IL"/>
        </w:rPr>
        <w:fldChar w:fldCharType="begin"/>
      </w:r>
      <w:r>
        <w:instrText xml:space="preserve"> XE "</w:instrText>
      </w:r>
      <w:r w:rsidRPr="00F90112">
        <w:rPr>
          <w:rFonts w:hint="cs"/>
          <w:rtl/>
          <w:lang w:bidi="he-IL"/>
        </w:rPr>
        <w:instrText>בשר בחלב</w:instrText>
      </w:r>
      <w:r w:rsidRPr="00F90112">
        <w:rPr>
          <w:rtl/>
        </w:rPr>
        <w:instrText>:</w:instrText>
      </w:r>
      <w:r w:rsidRPr="00F90112">
        <w:rPr>
          <w:rFonts w:hint="cs"/>
          <w:rtl/>
          <w:lang w:bidi="he-IL"/>
        </w:rPr>
        <w:instrText>בעור שנתייבש ונעשה כעץ</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B63889">
        <w:rPr>
          <w:rFonts w:hint="cs"/>
          <w:rtl/>
          <w:lang w:bidi="he-IL"/>
        </w:rPr>
        <w:instrText>עור</w:instrText>
      </w:r>
      <w:r w:rsidRPr="00B63889">
        <w:rPr>
          <w:rtl/>
        </w:rPr>
        <w:instrText>:</w:instrText>
      </w:r>
      <w:r w:rsidRPr="00B63889">
        <w:rPr>
          <w:rFonts w:hint="cs"/>
          <w:rtl/>
          <w:lang w:bidi="he-IL"/>
        </w:rPr>
        <w:instrText>שנתייבש ונעשה כעץ</w:instrText>
      </w:r>
      <w:r>
        <w:instrText xml:space="preserve">" </w:instrText>
      </w:r>
      <w:r>
        <w:rPr>
          <w:rFonts w:cs="Guttman Drogolin"/>
          <w:rtl/>
          <w:lang w:bidi="he-IL"/>
        </w:rPr>
        <w:fldChar w:fldCharType="end"/>
      </w:r>
      <w:r w:rsidR="00B526C2" w:rsidRPr="00882F11">
        <w:rPr>
          <w:rFonts w:cs="Guttman Drogolin" w:hint="cs"/>
          <w:rtl/>
          <w:lang w:bidi="he-IL"/>
        </w:rPr>
        <w:t>מבואר ברמ"א שעור שהתקשה ונעשה כעץ מותר עם חלב, ולכן מותר להכניס בה חלב.</w:t>
      </w:r>
      <w:r w:rsidR="007C5C91" w:rsidRPr="00882F11">
        <w:rPr>
          <w:rFonts w:cs="Guttman Drogolin" w:hint="cs"/>
          <w:rtl/>
          <w:lang w:bidi="he-IL"/>
        </w:rPr>
        <w:t xml:space="preserve"> ונראה שמטעם זה מותר להניח מאכל גם ע"ג ספה של עור אע"ג שכפשוטו הוא לכה"פ נבילה, ואולי גם בהמה או חי' טמאה. אמנם בש"ך כתב בס"ק ל"ג </w:t>
      </w:r>
      <w:r w:rsidR="007C5C91" w:rsidRPr="00882F11">
        <w:rPr>
          <w:rFonts w:cs="Guttman Drogolin" w:hint="cs"/>
          <w:rtl/>
          <w:lang w:bidi="he-IL"/>
        </w:rPr>
        <w:lastRenderedPageBreak/>
        <w:t>שמ"מ נראה לכתחילה אין לעשות כן. וא"כ יל"ע אם יש חילוק בין הא דש"ך לספה של עור, או דאה"נ וגם כאן לכתחילה אין לעשות כן.</w:t>
      </w:r>
    </w:p>
    <w:p w:rsidR="002F0857" w:rsidRPr="00882F11" w:rsidRDefault="007C5C91" w:rsidP="0006788E">
      <w:pPr>
        <w:keepNext/>
        <w:bidi/>
        <w:jc w:val="both"/>
        <w:rPr>
          <w:rFonts w:cs="Guttman Drogolin"/>
          <w:rtl/>
          <w:lang w:bidi="he-IL"/>
        </w:rPr>
      </w:pPr>
      <w:r w:rsidRPr="00882F11">
        <w:rPr>
          <w:rFonts w:cs="Guttman Drogolin" w:hint="cs"/>
          <w:rtl/>
          <w:lang w:bidi="he-IL"/>
        </w:rPr>
        <w:t>ומהלכה זו ועוד מקומות הוציא האחיעזר הדין שג'לטין הנעשה מעצמות נבילות מותרות, דהא נ</w:t>
      </w:r>
      <w:r w:rsidR="00D22E51" w:rsidRPr="00882F11">
        <w:rPr>
          <w:rFonts w:cs="Guttman Drogolin" w:hint="cs"/>
          <w:rtl/>
          <w:lang w:bidi="he-IL"/>
        </w:rPr>
        <w:t>עשו כעץ. והגרמ"פ והמנח"י חלקו על</w:t>
      </w:r>
      <w:r w:rsidRPr="00882F11">
        <w:rPr>
          <w:rFonts w:cs="Guttman Drogolin" w:hint="cs"/>
          <w:rtl/>
          <w:lang w:bidi="he-IL"/>
        </w:rPr>
        <w:t xml:space="preserve">יו וסברו שעדיין הוא אסור. ולמעשה הכשרות מהדרין אינם מאשרים ג'לטין, והיום יש ג'לטין העשוי מדג כשר ועוד שאין בהם שום איסור. והסתפקתי אם בכל אופן יש איסור לבשל דבר העשוי מג'לטין של דג עם בשר, או שיש בזה משום חשש סכנה. </w:t>
      </w:r>
      <w:r w:rsidR="0006788E" w:rsidRPr="00882F11">
        <w:rPr>
          <w:rFonts w:cs="Guttman Drogolin" w:hint="cs"/>
          <w:rtl/>
          <w:lang w:bidi="he-IL"/>
        </w:rPr>
        <w:t>וזהו</w:t>
      </w:r>
      <w:r w:rsidR="00D22E51" w:rsidRPr="00882F11">
        <w:rPr>
          <w:rFonts w:cs="Guttman Drogolin" w:hint="cs"/>
          <w:rtl/>
          <w:lang w:bidi="he-IL"/>
        </w:rPr>
        <w:t xml:space="preserve"> נפק"מ למי שרו</w:t>
      </w:r>
      <w:r w:rsidR="0006788E" w:rsidRPr="00882F11">
        <w:rPr>
          <w:rFonts w:cs="Guttman Drogolin" w:hint="cs"/>
          <w:rtl/>
          <w:lang w:bidi="he-IL"/>
        </w:rPr>
        <w:t>צ</w:t>
      </w:r>
      <w:r w:rsidR="00D22E51" w:rsidRPr="00882F11">
        <w:rPr>
          <w:rFonts w:cs="Guttman Drogolin" w:hint="cs"/>
          <w:rtl/>
          <w:lang w:bidi="he-IL"/>
        </w:rPr>
        <w:t>ה לצלות מ</w:t>
      </w:r>
      <w:r w:rsidR="0006788E" w:rsidRPr="00882F11">
        <w:rPr>
          <w:rFonts w:cs="Guttman Drogolin" w:hint="cs"/>
          <w:rtl/>
          <w:lang w:bidi="he-IL"/>
        </w:rPr>
        <w:t>ר</w:t>
      </w:r>
      <w:r w:rsidR="00D22E51" w:rsidRPr="00882F11">
        <w:rPr>
          <w:rFonts w:cs="Guttman Drogolin" w:hint="cs"/>
          <w:rtl/>
          <w:lang w:bidi="he-IL"/>
        </w:rPr>
        <w:t xml:space="preserve">שמלו ע"ג מנגל שיש עליו שאריות של בשר (ובטעם בשר לבד אין איסור) וראיתי בס' אשרי האיש בשם הגריש"א שאין לחשוש לזה, ויל"ע אם הוא ממקור בר סמכא. </w:t>
      </w:r>
    </w:p>
    <w:p w:rsidR="00540AFF" w:rsidRPr="00882F11" w:rsidRDefault="00540AFF" w:rsidP="00540AFF">
      <w:pPr>
        <w:keepNext/>
        <w:bidi/>
        <w:jc w:val="both"/>
        <w:rPr>
          <w:rFonts w:cs="Guttman Drogolin"/>
          <w:rtl/>
          <w:lang w:bidi="he-IL"/>
        </w:rPr>
        <w:sectPr w:rsidR="00540AFF" w:rsidRPr="00882F11" w:rsidSect="00662307">
          <w:type w:val="continuous"/>
          <w:pgSz w:w="11907" w:h="16839" w:code="9"/>
          <w:pgMar w:top="1440" w:right="1440" w:bottom="1440" w:left="1440" w:header="720" w:footer="720" w:gutter="0"/>
          <w:cols w:num="2" w:space="720"/>
          <w:bidi/>
          <w:docGrid w:linePitch="360"/>
        </w:sectPr>
      </w:pPr>
    </w:p>
    <w:p w:rsidR="00540AFF" w:rsidRPr="00882F11" w:rsidRDefault="00540AFF" w:rsidP="00540AFF">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נ"א</w:t>
      </w:r>
    </w:p>
    <w:p w:rsidR="00DA1D59" w:rsidRDefault="00DA1D59" w:rsidP="0078079C">
      <w:pPr>
        <w:pStyle w:val="Heading1"/>
        <w:bidi/>
        <w:spacing w:before="0" w:line="360" w:lineRule="auto"/>
        <w:jc w:val="center"/>
        <w:rPr>
          <w:rFonts w:cs="Guttman Drogolin"/>
          <w:color w:val="auto"/>
          <w:sz w:val="24"/>
          <w:szCs w:val="24"/>
          <w:u w:val="single"/>
          <w:rtl/>
          <w:lang w:bidi="he-IL"/>
        </w:rPr>
        <w:sectPr w:rsidR="00DA1D59" w:rsidSect="00DA1D59">
          <w:pgSz w:w="11907" w:h="16839" w:code="9"/>
          <w:pgMar w:top="1440" w:right="1440" w:bottom="1440" w:left="1440" w:header="720" w:footer="720" w:gutter="0"/>
          <w:cols w:space="720"/>
          <w:bidi/>
          <w:docGrid w:linePitch="360"/>
        </w:sectPr>
      </w:pPr>
    </w:p>
    <w:p w:rsidR="00540AFF" w:rsidRPr="00882F11" w:rsidRDefault="00540AFF" w:rsidP="0078079C">
      <w:pPr>
        <w:pStyle w:val="Heading1"/>
        <w:bidi/>
        <w:spacing w:before="0" w:line="360" w:lineRule="auto"/>
        <w:jc w:val="center"/>
        <w:rPr>
          <w:rFonts w:cs="Guttman Drogolin"/>
          <w:color w:val="auto"/>
          <w:sz w:val="24"/>
          <w:szCs w:val="24"/>
          <w:u w:val="single"/>
          <w:rtl/>
          <w:lang w:bidi="he-IL"/>
        </w:rPr>
      </w:pPr>
      <w:bookmarkStart w:id="198" w:name="_Toc496175454"/>
      <w:r w:rsidRPr="00882F11">
        <w:rPr>
          <w:rFonts w:cs="Guttman Drogolin" w:hint="cs"/>
          <w:color w:val="auto"/>
          <w:sz w:val="24"/>
          <w:szCs w:val="24"/>
          <w:u w:val="single"/>
          <w:rtl/>
          <w:lang w:bidi="he-IL"/>
        </w:rPr>
        <w:lastRenderedPageBreak/>
        <w:t>חענ"ן בעור הקיבה</w:t>
      </w:r>
      <w:bookmarkEnd w:id="198"/>
    </w:p>
    <w:p w:rsidR="00D90BDC" w:rsidRPr="00882F11" w:rsidRDefault="00471576" w:rsidP="00CC696E">
      <w:pPr>
        <w:keepNext/>
        <w:bidi/>
        <w:jc w:val="both"/>
        <w:rPr>
          <w:rFonts w:cs="Guttman Drogolin"/>
          <w:rtl/>
          <w:lang w:bidi="he-IL"/>
        </w:rPr>
      </w:pPr>
      <w:r>
        <w:rPr>
          <w:rFonts w:cs="Guttman Drogolin"/>
          <w:rtl/>
          <w:lang w:bidi="he-IL"/>
        </w:rPr>
        <w:fldChar w:fldCharType="begin"/>
      </w:r>
      <w:r>
        <w:instrText xml:space="preserve"> XE "</w:instrText>
      </w:r>
      <w:r w:rsidRPr="00866B7B">
        <w:rPr>
          <w:rFonts w:hint="cs"/>
          <w:rtl/>
          <w:lang w:bidi="he-IL"/>
        </w:rPr>
        <w:instrText>חענ</w:instrText>
      </w:r>
      <w:r>
        <w:rPr>
          <w:rFonts w:eastAsiaTheme="minorEastAsia"/>
          <w:lang w:bidi="he-IL"/>
        </w:rPr>
        <w:instrText>\</w:instrText>
      </w:r>
      <w:r w:rsidRPr="00866B7B">
        <w:rPr>
          <w:rFonts w:hint="cs"/>
          <w:rtl/>
          <w:lang w:bidi="he-IL"/>
        </w:rPr>
        <w:instrText>"ן</w:instrText>
      </w:r>
      <w:r w:rsidRPr="00866B7B">
        <w:rPr>
          <w:rtl/>
        </w:rPr>
        <w:instrText>:</w:instrText>
      </w:r>
      <w:r w:rsidRPr="00866B7B">
        <w:rPr>
          <w:rFonts w:hint="cs"/>
          <w:rtl/>
          <w:lang w:bidi="he-IL"/>
        </w:rPr>
        <w:instrText>בעור הקיבה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965F25">
        <w:rPr>
          <w:rFonts w:hint="cs"/>
          <w:rtl/>
          <w:lang w:bidi="he-IL"/>
        </w:rPr>
        <w:instrText>עור הקיבה</w:instrText>
      </w:r>
      <w:r w:rsidRPr="00965F25">
        <w:rPr>
          <w:rtl/>
        </w:rPr>
        <w:instrText>:</w:instrText>
      </w:r>
      <w:r w:rsidRPr="00965F25">
        <w:rPr>
          <w:rFonts w:hint="cs"/>
          <w:rtl/>
          <w:lang w:bidi="he-IL"/>
        </w:rPr>
        <w:instrText>חענ</w:instrText>
      </w:r>
      <w:r>
        <w:rPr>
          <w:rFonts w:eastAsiaTheme="minorEastAsia"/>
          <w:lang w:bidi="he-IL"/>
        </w:rPr>
        <w:instrText>\</w:instrText>
      </w:r>
      <w:r w:rsidRPr="00965F25">
        <w:rPr>
          <w:rFonts w:hint="cs"/>
          <w:rtl/>
          <w:lang w:bidi="he-IL"/>
        </w:rPr>
        <w:instrText>"ן</w:instrText>
      </w:r>
      <w:r>
        <w:instrText xml:space="preserve">" </w:instrText>
      </w:r>
      <w:r>
        <w:rPr>
          <w:rFonts w:cs="Guttman Drogolin"/>
          <w:rtl/>
          <w:lang w:bidi="he-IL"/>
        </w:rPr>
        <w:fldChar w:fldCharType="end"/>
      </w:r>
      <w:r w:rsidR="00540AFF" w:rsidRPr="00882F11">
        <w:rPr>
          <w:rFonts w:cs="Guttman Drogolin" w:hint="cs"/>
          <w:rtl/>
          <w:lang w:bidi="he-IL"/>
        </w:rPr>
        <w:t>המחבר בשו"ע סע' י"א כתב שאם העמיד גבינה בעור קיבת כשרה אם יש בה טעם בשר אסורה ואם לאו מותרת. וכתב על זה הש"ך בס"ק ל"ד שטעם בדוקא נקט, ומשום שאפילו אם אין ששים, אם טעמו קפילא ואין בה טעם בשר הרי זה מותר. אמנם כל זה הוא לשיטת המחבר, אבל הרי הרמ"א ברסי' צ"ח כתב שאנן לא סמכינן אקפילא, ולכן לדידן צריכים ששים. והעיר על זה רע"א, שלכאורה י</w:t>
      </w:r>
      <w:r w:rsidR="00CC696E" w:rsidRPr="00882F11">
        <w:rPr>
          <w:rFonts w:cs="Guttman Drogolin" w:hint="cs"/>
          <w:rtl/>
          <w:lang w:bidi="he-IL"/>
        </w:rPr>
        <w:t>ש</w:t>
      </w:r>
      <w:r w:rsidR="00540AFF" w:rsidRPr="00882F11">
        <w:rPr>
          <w:rFonts w:cs="Guttman Drogolin" w:hint="cs"/>
          <w:rtl/>
          <w:lang w:bidi="he-IL"/>
        </w:rPr>
        <w:t xml:space="preserve"> עוד טעם לומר שאי אפשר בקפילא, ומשום שהחלב נכנס לעור הבשר ומקבל טעם ונע"נ קודם שיוצא, דוגמת מה שמצאנו בדף ק"ח ע"ב בחלב נבילה, וא"כ ודאי שאי אפשר להתיר ע</w:t>
      </w:r>
      <w:r w:rsidR="00D90BDC" w:rsidRPr="00882F11">
        <w:rPr>
          <w:rFonts w:cs="Guttman Drogolin" w:hint="cs"/>
          <w:rtl/>
          <w:lang w:bidi="he-IL"/>
        </w:rPr>
        <w:t>"י טעימת קפילא, דהא קפילא לא מהני אלא לטעם בשר אבל החלב הא הוי מין במינו, ולכן אי אפשר אלא ע"י ששים</w:t>
      </w:r>
      <w:r w:rsidR="00D90BDC" w:rsidRPr="00882F11">
        <w:rPr>
          <w:rStyle w:val="FootnoteReference"/>
          <w:rFonts w:cs="Guttman Drogolin"/>
          <w:rtl/>
          <w:lang w:bidi="he-IL"/>
        </w:rPr>
        <w:footnoteReference w:id="237"/>
      </w:r>
      <w:r w:rsidR="00D90BDC" w:rsidRPr="00882F11">
        <w:rPr>
          <w:rFonts w:cs="Guttman Drogolin" w:hint="cs"/>
          <w:rtl/>
          <w:lang w:bidi="he-IL"/>
        </w:rPr>
        <w:t>. ואע"ג ששיטת הט"ז בסי' צ' ס"ק ד' הוא שלא אומרים חענ"ן באיסורים דרבנן, הנ"מ לשיטת המחבר, אבל הש"ך כאן מיירי לשיטת הרמ"א, ולרמ"א גם הט"ז מודה שאומרים חענ"ן באיסורים דרבנן, ולכן נשאלת השאלה למה כתב הש"ך רק מכח זה דלא סומכין על טעימת קפילא, הא לשיטת הרמ"א עצמו אפילו היינו סומכים על קפילא לא הי' אפשר להתיר ע"י טעם (ונפק"מ בעבר וטעמו ישראל).</w:t>
      </w:r>
    </w:p>
    <w:p w:rsidR="007876F0" w:rsidRPr="00882F11" w:rsidRDefault="001B7347" w:rsidP="00FE6E3A">
      <w:pPr>
        <w:keepNext/>
        <w:bidi/>
        <w:jc w:val="both"/>
        <w:rPr>
          <w:rFonts w:cs="Guttman Drogolin"/>
          <w:rtl/>
          <w:lang w:bidi="he-IL"/>
        </w:rPr>
      </w:pPr>
      <w:r w:rsidRPr="00882F11">
        <w:rPr>
          <w:rFonts w:cs="Guttman Drogolin" w:hint="cs"/>
          <w:rtl/>
          <w:lang w:bidi="he-IL"/>
        </w:rPr>
        <w:t xml:space="preserve">והנה בשיעור הקודם ביארנו שיטת הש"ך בס"ק ל', דלא אמרינן חענ"ן בחלב הנכבש או נמלח בבשר, וביארנו שלכאורה טעם בזה משום שאין כאן יצירה של איסור בב"ח כיון שאינו דרך בישול רק </w:t>
      </w:r>
      <w:r w:rsidR="00FE6E3A" w:rsidRPr="00882F11">
        <w:rPr>
          <w:rFonts w:cs="Guttman Drogolin" w:hint="cs"/>
          <w:rtl/>
          <w:lang w:bidi="he-IL"/>
        </w:rPr>
        <w:t xml:space="preserve">תערובת של בב"ח שאסור לאוכלם ביחד, ולכן אפילו לשיטת הרמ"א הי' צריך להיות שאין חענ"ן בהא דעור הקיבה. ולכאורה אין לומר שרע"א סבר שדברי ההש"ך הם כט"ז בסי' צ' ס"ק ד', ולכן אי אפשר לומר כביאור זה בדעת הרמ"א, שהרי </w:t>
      </w:r>
      <w:r w:rsidR="00FE6E3A" w:rsidRPr="00882F11">
        <w:rPr>
          <w:rFonts w:cs="Guttman Drogolin" w:hint="cs"/>
          <w:rtl/>
          <w:lang w:bidi="he-IL"/>
        </w:rPr>
        <w:lastRenderedPageBreak/>
        <w:t>דברי הש"ך שם בס"ק ל' הם לפרש דברי הרמ"א, וע"כ כוונת הש"ך לביאור אחר מהט"ז וכנ"ל. וא"כ לכאורה</w:t>
      </w:r>
      <w:r w:rsidR="006C33F9" w:rsidRPr="00882F11">
        <w:rPr>
          <w:rFonts w:cs="Guttman Drogolin" w:hint="cs"/>
          <w:rtl/>
          <w:lang w:bidi="he-IL"/>
        </w:rPr>
        <w:t xml:space="preserve"> </w:t>
      </w:r>
      <w:r w:rsidR="00FE6E3A" w:rsidRPr="00882F11">
        <w:rPr>
          <w:rFonts w:cs="Guttman Drogolin" w:hint="cs"/>
          <w:rtl/>
          <w:lang w:bidi="he-IL"/>
        </w:rPr>
        <w:t>לא קשה קושיית רע"א כלל, דכיון דמיירי בכבוש או מלוח ליכא חענ"ן וממילא ליכא חלב נבילה. ורע"א עצמו על דברי הש"ך בס</w:t>
      </w:r>
      <w:r w:rsidR="006C33F9" w:rsidRPr="00882F11">
        <w:rPr>
          <w:rFonts w:cs="Guttman Drogolin" w:hint="cs"/>
          <w:rtl/>
          <w:lang w:bidi="he-IL"/>
        </w:rPr>
        <w:t>"ק ל' הביא ראי'</w:t>
      </w:r>
      <w:r w:rsidR="00FE6E3A" w:rsidRPr="00882F11">
        <w:rPr>
          <w:rFonts w:cs="Guttman Drogolin" w:hint="cs"/>
          <w:rtl/>
          <w:lang w:bidi="he-IL"/>
        </w:rPr>
        <w:t xml:space="preserve"> לדברי הש"ך מסע' י"א, רק מטעם אחר, ומשום שאם שלא כדברי הש"ך, העור הי' צריך להיות נע"נ וממילא אוסר במעמיד במשהו. וא"כ עד כמה שמוכח מסע' זה דלא אומרים חענ"ן בעור הקיבה, לכאורה הה"נ דלא אמרינן לי' גם בחלב שנבלע בה, וא"כ מה היתה קושיית רע"א כלל. וה' יאיר עיני.</w:t>
      </w:r>
    </w:p>
    <w:p w:rsidR="000A1AFF" w:rsidRPr="00882F11" w:rsidRDefault="007876F0" w:rsidP="007876F0">
      <w:pPr>
        <w:keepNext/>
        <w:bidi/>
        <w:jc w:val="both"/>
        <w:rPr>
          <w:rFonts w:cs="Guttman Drogolin"/>
          <w:rtl/>
          <w:lang w:bidi="he-IL"/>
        </w:rPr>
      </w:pPr>
      <w:r w:rsidRPr="00882F11">
        <w:rPr>
          <w:rFonts w:cs="Guttman Drogolin" w:hint="cs"/>
          <w:rtl/>
          <w:lang w:bidi="he-IL"/>
        </w:rPr>
        <w:t>וע' ברע"א בהערותיו לחוו"ד ססי' זה דנקט שגם לשיטת הש"ך בב"ח שע"י כבוש או מלוח אמרינן שהוא חהר"ל. וגם זה לא הבנתי למה, וכן ראיתי בחכמ"א</w:t>
      </w:r>
      <w:r w:rsidRPr="00882F11">
        <w:rPr>
          <w:rFonts w:cs="Guttman Drogolin"/>
          <w:rtl/>
          <w:lang w:bidi="he-IL"/>
        </w:rPr>
        <w:t xml:space="preserve"> (</w:t>
      </w:r>
      <w:r w:rsidRPr="00882F11">
        <w:rPr>
          <w:rFonts w:cs="Guttman Drogolin" w:hint="cs"/>
          <w:rtl/>
          <w:lang w:bidi="he-IL"/>
        </w:rPr>
        <w:t>כלל</w:t>
      </w:r>
      <w:r w:rsidRPr="00882F11">
        <w:rPr>
          <w:rFonts w:cs="Guttman Drogolin"/>
          <w:rtl/>
          <w:lang w:bidi="he-IL"/>
        </w:rPr>
        <w:t xml:space="preserve"> </w:t>
      </w:r>
      <w:r w:rsidRPr="00882F11">
        <w:rPr>
          <w:rFonts w:cs="Guttman Drogolin" w:hint="cs"/>
          <w:rtl/>
          <w:lang w:bidi="he-IL"/>
        </w:rPr>
        <w:t>נ</w:t>
      </w:r>
      <w:r w:rsidRPr="00882F11">
        <w:rPr>
          <w:rFonts w:cs="Guttman Drogolin"/>
          <w:rtl/>
          <w:lang w:bidi="he-IL"/>
        </w:rPr>
        <w:t>"</w:t>
      </w:r>
      <w:r w:rsidRPr="00882F11">
        <w:rPr>
          <w:rFonts w:cs="Guttman Drogolin" w:hint="cs"/>
          <w:rtl/>
          <w:lang w:bidi="he-IL"/>
        </w:rPr>
        <w:t>ג</w:t>
      </w:r>
      <w:r w:rsidRPr="00882F11">
        <w:rPr>
          <w:rFonts w:cs="Guttman Drogolin"/>
          <w:rtl/>
          <w:lang w:bidi="he-IL"/>
        </w:rPr>
        <w:t xml:space="preserve"> </w:t>
      </w:r>
      <w:r w:rsidRPr="00882F11">
        <w:rPr>
          <w:rFonts w:cs="Guttman Drogolin" w:hint="cs"/>
          <w:rtl/>
          <w:lang w:bidi="he-IL"/>
        </w:rPr>
        <w:t>סעי</w:t>
      </w:r>
      <w:r w:rsidRPr="00882F11">
        <w:rPr>
          <w:rFonts w:cs="Guttman Drogolin"/>
          <w:rtl/>
          <w:lang w:bidi="he-IL"/>
        </w:rPr>
        <w:t xml:space="preserve">' </w:t>
      </w:r>
      <w:r w:rsidRPr="00882F11">
        <w:rPr>
          <w:rFonts w:cs="Guttman Drogolin" w:hint="cs"/>
          <w:rtl/>
          <w:lang w:bidi="he-IL"/>
        </w:rPr>
        <w:t>ל</w:t>
      </w:r>
      <w:r w:rsidRPr="00882F11">
        <w:rPr>
          <w:rFonts w:cs="Guttman Drogolin"/>
          <w:rtl/>
          <w:lang w:bidi="he-IL"/>
        </w:rPr>
        <w:t>"</w:t>
      </w:r>
      <w:r w:rsidRPr="00882F11">
        <w:rPr>
          <w:rFonts w:cs="Guttman Drogolin" w:hint="cs"/>
          <w:rtl/>
          <w:lang w:bidi="he-IL"/>
        </w:rPr>
        <w:t>ג</w:t>
      </w:r>
      <w:r w:rsidRPr="00882F11">
        <w:rPr>
          <w:rFonts w:cs="Guttman Drogolin"/>
          <w:rtl/>
          <w:lang w:bidi="he-IL"/>
        </w:rPr>
        <w:t xml:space="preserve">) </w:t>
      </w:r>
      <w:r w:rsidRPr="00882F11">
        <w:rPr>
          <w:rFonts w:cs="Guttman Drogolin" w:hint="cs"/>
          <w:rtl/>
          <w:lang w:bidi="he-IL"/>
        </w:rPr>
        <w:t>ושו"ת מהרש</w:t>
      </w:r>
      <w:r w:rsidRPr="00882F11">
        <w:rPr>
          <w:rFonts w:cs="Guttman Drogolin"/>
          <w:rtl/>
          <w:lang w:bidi="he-IL"/>
        </w:rPr>
        <w:t>"</w:t>
      </w:r>
      <w:r w:rsidRPr="00882F11">
        <w:rPr>
          <w:rFonts w:cs="Guttman Drogolin" w:hint="cs"/>
          <w:rtl/>
          <w:lang w:bidi="he-IL"/>
        </w:rPr>
        <w:t>ם</w:t>
      </w:r>
      <w:r w:rsidRPr="00882F11">
        <w:rPr>
          <w:rFonts w:cs="Guttman Drogolin"/>
          <w:rtl/>
          <w:lang w:bidi="he-IL"/>
        </w:rPr>
        <w:t xml:space="preserve"> (</w:t>
      </w:r>
      <w:r w:rsidRPr="00882F11">
        <w:rPr>
          <w:rFonts w:cs="Guttman Drogolin" w:hint="cs"/>
          <w:rtl/>
          <w:lang w:bidi="he-IL"/>
        </w:rPr>
        <w:t>ח</w:t>
      </w:r>
      <w:r w:rsidRPr="00882F11">
        <w:rPr>
          <w:rFonts w:cs="Guttman Drogolin"/>
          <w:rtl/>
          <w:lang w:bidi="he-IL"/>
        </w:rPr>
        <w:t>"</w:t>
      </w:r>
      <w:r w:rsidRPr="00882F11">
        <w:rPr>
          <w:rFonts w:cs="Guttman Drogolin" w:hint="cs"/>
          <w:rtl/>
          <w:lang w:bidi="he-IL"/>
        </w:rPr>
        <w:t>ג</w:t>
      </w:r>
      <w:r w:rsidRPr="00882F11">
        <w:rPr>
          <w:rFonts w:cs="Guttman Drogolin"/>
          <w:rtl/>
          <w:lang w:bidi="he-IL"/>
        </w:rPr>
        <w:t xml:space="preserve"> </w:t>
      </w:r>
      <w:r w:rsidRPr="00882F11">
        <w:rPr>
          <w:rFonts w:cs="Guttman Drogolin" w:hint="cs"/>
          <w:rtl/>
          <w:lang w:bidi="he-IL"/>
        </w:rPr>
        <w:t>סוף</w:t>
      </w:r>
      <w:r w:rsidRPr="00882F11">
        <w:rPr>
          <w:rFonts w:cs="Guttman Drogolin"/>
          <w:rtl/>
          <w:lang w:bidi="he-IL"/>
        </w:rPr>
        <w:t xml:space="preserve"> </w:t>
      </w:r>
      <w:r w:rsidRPr="00882F11">
        <w:rPr>
          <w:rFonts w:cs="Guttman Drogolin" w:hint="cs"/>
          <w:rtl/>
          <w:lang w:bidi="he-IL"/>
        </w:rPr>
        <w:t>סי</w:t>
      </w:r>
      <w:r w:rsidRPr="00882F11">
        <w:rPr>
          <w:rFonts w:cs="Guttman Drogolin"/>
          <w:rtl/>
          <w:lang w:bidi="he-IL"/>
        </w:rPr>
        <w:t xml:space="preserve">' </w:t>
      </w:r>
      <w:r w:rsidRPr="00882F11">
        <w:rPr>
          <w:rFonts w:cs="Guttman Drogolin" w:hint="cs"/>
          <w:rtl/>
          <w:lang w:bidi="he-IL"/>
        </w:rPr>
        <w:t>ק</w:t>
      </w:r>
      <w:r w:rsidRPr="00882F11">
        <w:rPr>
          <w:rFonts w:cs="Guttman Drogolin"/>
          <w:rtl/>
          <w:lang w:bidi="he-IL"/>
        </w:rPr>
        <w:t>"</w:t>
      </w:r>
      <w:r w:rsidRPr="00882F11">
        <w:rPr>
          <w:rFonts w:cs="Guttman Drogolin" w:hint="cs"/>
          <w:rtl/>
          <w:lang w:bidi="he-IL"/>
        </w:rPr>
        <w:t>ו) שנקטו בדעת הש"ך דלא הוי ח</w:t>
      </w:r>
      <w:r w:rsidR="006C33F9" w:rsidRPr="00882F11">
        <w:rPr>
          <w:rFonts w:cs="Guttman Drogolin" w:hint="cs"/>
          <w:rtl/>
          <w:lang w:bidi="he-IL"/>
        </w:rPr>
        <w:t>ה</w:t>
      </w:r>
      <w:r w:rsidRPr="00882F11">
        <w:rPr>
          <w:rFonts w:cs="Guttman Drogolin" w:hint="cs"/>
          <w:rtl/>
          <w:lang w:bidi="he-IL"/>
        </w:rPr>
        <w:t xml:space="preserve">ר"ל. וצ"ע. </w:t>
      </w:r>
      <w:r w:rsidR="00FE6E3A" w:rsidRPr="00882F11">
        <w:rPr>
          <w:rFonts w:cs="Guttman Drogolin" w:hint="cs"/>
          <w:rtl/>
          <w:lang w:bidi="he-IL"/>
        </w:rPr>
        <w:t xml:space="preserve"> </w:t>
      </w:r>
    </w:p>
    <w:p w:rsidR="000A1AFF" w:rsidRPr="00882F11" w:rsidRDefault="000A1AFF" w:rsidP="0078079C">
      <w:pPr>
        <w:pStyle w:val="Heading1"/>
        <w:bidi/>
        <w:spacing w:before="0" w:line="360" w:lineRule="auto"/>
        <w:jc w:val="center"/>
        <w:rPr>
          <w:rFonts w:cs="Guttman Drogolin"/>
          <w:color w:val="auto"/>
          <w:sz w:val="24"/>
          <w:szCs w:val="24"/>
          <w:u w:val="single"/>
          <w:rtl/>
          <w:lang w:bidi="he-IL"/>
        </w:rPr>
      </w:pPr>
      <w:bookmarkStart w:id="199" w:name="_Toc496175455"/>
      <w:r w:rsidRPr="00882F11">
        <w:rPr>
          <w:rFonts w:cs="Guttman Drogolin" w:hint="cs"/>
          <w:color w:val="auto"/>
          <w:sz w:val="24"/>
          <w:szCs w:val="24"/>
          <w:u w:val="single"/>
          <w:rtl/>
          <w:lang w:bidi="he-IL"/>
        </w:rPr>
        <w:t>חקירה בדין מעמיד, ובדין ענזימים</w:t>
      </w:r>
      <w:bookmarkEnd w:id="199"/>
    </w:p>
    <w:p w:rsidR="007876F0" w:rsidRPr="00882F11" w:rsidRDefault="00471576" w:rsidP="006C33F9">
      <w:pPr>
        <w:keepNext/>
        <w:bidi/>
        <w:jc w:val="both"/>
        <w:rPr>
          <w:rFonts w:cs="Guttman Drogolin"/>
          <w:rtl/>
          <w:lang w:bidi="he-IL"/>
        </w:rPr>
      </w:pPr>
      <w:r>
        <w:rPr>
          <w:rFonts w:cs="Guttman Drogolin"/>
          <w:rtl/>
          <w:lang w:bidi="he-IL"/>
        </w:rPr>
        <w:fldChar w:fldCharType="begin"/>
      </w:r>
      <w:r>
        <w:instrText xml:space="preserve"> XE "</w:instrText>
      </w:r>
      <w:r w:rsidRPr="00ED75BF">
        <w:rPr>
          <w:rFonts w:hint="cs"/>
          <w:rtl/>
          <w:lang w:bidi="he-IL"/>
        </w:rPr>
        <w:instrText>מעמיד</w:instrText>
      </w:r>
      <w:r w:rsidRPr="00ED75BF">
        <w:rPr>
          <w:rtl/>
        </w:rPr>
        <w:instrText>:</w:instrText>
      </w:r>
      <w:r w:rsidRPr="00ED75BF">
        <w:rPr>
          <w:rFonts w:hint="cs"/>
          <w:rtl/>
          <w:lang w:bidi="he-IL"/>
        </w:rPr>
        <w:instrText>חקירה בדינו</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24036C">
        <w:rPr>
          <w:rFonts w:hint="cs"/>
          <w:rtl/>
          <w:lang w:bidi="he-IL"/>
        </w:rPr>
        <w:instrText>מעמיד</w:instrText>
      </w:r>
      <w:r w:rsidRPr="0024036C">
        <w:rPr>
          <w:rtl/>
        </w:rPr>
        <w:instrText>:</w:instrText>
      </w:r>
      <w:r w:rsidRPr="0024036C">
        <w:rPr>
          <w:rFonts w:hint="cs"/>
          <w:rtl/>
          <w:lang w:bidi="he-IL"/>
        </w:rPr>
        <w:instrText>ענזימים</w:instrText>
      </w:r>
      <w:r>
        <w:instrText xml:space="preserve">" </w:instrText>
      </w:r>
      <w:r>
        <w:rPr>
          <w:rFonts w:cs="Guttman Drogolin"/>
          <w:rtl/>
          <w:lang w:bidi="he-IL"/>
        </w:rPr>
        <w:fldChar w:fldCharType="end"/>
      </w:r>
      <w:r w:rsidR="000A1AFF" w:rsidRPr="00882F11">
        <w:rPr>
          <w:rFonts w:cs="Guttman Drogolin" w:hint="cs"/>
          <w:rtl/>
          <w:lang w:bidi="he-IL"/>
        </w:rPr>
        <w:t>קיי"ל להלכה שאם יש איסור האסור מחמת עצמו הרי הוא אוסר משום מעמיד, אבל בב"ח לא. ופוסקי זמנינו דנו לפי זה אם יש להתיר מאכל שיש בה ענזימים</w:t>
      </w:r>
      <w:r w:rsidR="007876F0" w:rsidRPr="00882F11">
        <w:rPr>
          <w:rStyle w:val="FootnoteReference"/>
          <w:rFonts w:cs="Guttman Drogolin"/>
          <w:rtl/>
          <w:lang w:bidi="he-IL"/>
        </w:rPr>
        <w:footnoteReference w:id="238"/>
      </w:r>
      <w:r w:rsidR="000A1AFF" w:rsidRPr="00882F11">
        <w:rPr>
          <w:rFonts w:cs="Guttman Drogolin" w:hint="cs"/>
          <w:rtl/>
          <w:lang w:bidi="he-IL"/>
        </w:rPr>
        <w:t xml:space="preserve"> של בהמה טמאה וכדומה.</w:t>
      </w:r>
      <w:r w:rsidR="007876F0" w:rsidRPr="00882F11">
        <w:rPr>
          <w:rFonts w:cs="Guttman Drogolin" w:hint="cs"/>
          <w:rtl/>
          <w:lang w:bidi="he-IL"/>
        </w:rPr>
        <w:t xml:space="preserve"> וע' שו"ת שבט הלוי ח"י סי' ק"כ ושו"ת תשובות והנהגות (ח"ד סי' קפ"ז) מש"כ בזה (וע"ע קובץ אור ישאל גליונות י"ז </w:t>
      </w:r>
      <w:r w:rsidR="007876F0" w:rsidRPr="00882F11">
        <w:rPr>
          <w:rFonts w:cs="Guttman Drogolin"/>
          <w:rtl/>
          <w:lang w:bidi="he-IL"/>
        </w:rPr>
        <w:t>–</w:t>
      </w:r>
      <w:r w:rsidR="007876F0" w:rsidRPr="00882F11">
        <w:rPr>
          <w:rFonts w:cs="Guttman Drogolin" w:hint="cs"/>
          <w:rtl/>
          <w:lang w:bidi="he-IL"/>
        </w:rPr>
        <w:t xml:space="preserve"> י"ט).</w:t>
      </w:r>
    </w:p>
    <w:p w:rsidR="00745193" w:rsidRPr="00882F11" w:rsidRDefault="007876F0" w:rsidP="006C33F9">
      <w:pPr>
        <w:keepNext/>
        <w:tabs>
          <w:tab w:val="right" w:pos="7497"/>
        </w:tabs>
        <w:bidi/>
        <w:jc w:val="both"/>
        <w:rPr>
          <w:rFonts w:cs="Guttman Drogolin"/>
          <w:rtl/>
          <w:lang w:bidi="he-IL"/>
        </w:rPr>
      </w:pPr>
      <w:r w:rsidRPr="00882F11">
        <w:rPr>
          <w:rFonts w:cs="Guttman Drogolin" w:hint="cs"/>
          <w:rtl/>
          <w:lang w:bidi="he-IL"/>
        </w:rPr>
        <w:t>הנה בלפחות א' מן המקרים שביררתי עליו, הענזימים אינם עושים את המאכל קשה כמו שהוא בגבינה, רק שעושה פעולה למאכל כדי שתהא יותר קל לעיכול (כן התברר לי במזון שקוראים "נוטרמגן</w:t>
      </w:r>
      <w:r w:rsidR="00A20D20" w:rsidRPr="00882F11">
        <w:rPr>
          <w:rFonts w:cs="Guttman Drogolin" w:hint="cs"/>
          <w:rtl/>
          <w:lang w:bidi="he-IL"/>
        </w:rPr>
        <w:t>"</w:t>
      </w:r>
      <w:r w:rsidRPr="00882F11">
        <w:rPr>
          <w:rStyle w:val="FootnoteReference"/>
          <w:rFonts w:cs="Guttman Drogolin"/>
          <w:rtl/>
          <w:lang w:bidi="he-IL"/>
        </w:rPr>
        <w:footnoteReference w:id="239"/>
      </w:r>
      <w:r w:rsidR="00A20D20" w:rsidRPr="00882F11">
        <w:rPr>
          <w:rFonts w:cs="Guttman Drogolin" w:hint="cs"/>
          <w:rtl/>
          <w:lang w:bidi="he-IL"/>
        </w:rPr>
        <w:t xml:space="preserve">). ובמקרה כזה יש לדון אם דינו כמעמיד, ולכן הרי הוא אסור מדרבנן לרוב </w:t>
      </w:r>
      <w:r w:rsidR="00A20D20" w:rsidRPr="00882F11">
        <w:rPr>
          <w:rFonts w:cs="Guttman Drogolin" w:hint="cs"/>
          <w:rtl/>
          <w:lang w:bidi="he-IL"/>
        </w:rPr>
        <w:lastRenderedPageBreak/>
        <w:t xml:space="preserve">הפוסקים (ודלא כמג"א בדעת הטור), או שאין זה לא טעם ולא מעמיד ולכן הרי הוא מאכל של היתר. ולכאורה יש לנו ראי' מתוס' בדף צ"ט ע"ב שהשוו מחמץ למעמיד, ואע"ג </w:t>
      </w:r>
      <w:r w:rsidR="006C33F9" w:rsidRPr="00882F11">
        <w:rPr>
          <w:rFonts w:cs="Guttman Drogolin" w:hint="cs"/>
          <w:rtl/>
          <w:lang w:bidi="he-IL"/>
        </w:rPr>
        <w:t>שהם סוברים</w:t>
      </w:r>
      <w:r w:rsidR="00A20D20" w:rsidRPr="00882F11">
        <w:rPr>
          <w:rFonts w:cs="Guttman Drogolin" w:hint="cs"/>
          <w:rtl/>
          <w:lang w:bidi="he-IL"/>
        </w:rPr>
        <w:t xml:space="preserve"> שבין זה ובין זה אינם אוסרים. אבל לכאורה נפק"מ לדידן שאוסרים במעמד ששניהם קרואים מעמיד ואוסרים. וחזינן שהענין של מעמיד הוא </w:t>
      </w:r>
      <w:r w:rsidR="00745193" w:rsidRPr="00882F11">
        <w:rPr>
          <w:rFonts w:cs="Guttman Drogolin" w:hint="cs"/>
          <w:rtl/>
          <w:lang w:bidi="he-IL"/>
        </w:rPr>
        <w:t>ש</w:t>
      </w:r>
      <w:r w:rsidR="00A20D20" w:rsidRPr="00882F11">
        <w:rPr>
          <w:rFonts w:cs="Guttman Drogolin" w:hint="cs"/>
          <w:rtl/>
          <w:lang w:bidi="he-IL"/>
        </w:rPr>
        <w:t xml:space="preserve">יש פעולה ניכרת במאכל וזה עצמו אוסרו מדרבנן. אלא שאפילו את"ל כן </w:t>
      </w:r>
      <w:r w:rsidR="00745193" w:rsidRPr="00882F11">
        <w:rPr>
          <w:rFonts w:cs="Guttman Drogolin" w:hint="cs"/>
          <w:rtl/>
          <w:lang w:bidi="he-IL"/>
        </w:rPr>
        <w:t>אולי י"ל דהנ"מ כשניכרת לעין, אבל במקרה כנ"ל שלא רואים שום דבר רק דידעינן שהוא עכשיו יותר קל לעיכול, וא"כ אינו אסור אפילו מדרבנן. וצ"ע.</w:t>
      </w:r>
      <w:r w:rsidR="00A20D20" w:rsidRPr="00882F11">
        <w:rPr>
          <w:rFonts w:cs="Guttman Drogolin" w:hint="cs"/>
          <w:rtl/>
          <w:lang w:bidi="he-IL"/>
        </w:rPr>
        <w:t xml:space="preserve"> </w:t>
      </w:r>
      <w:r w:rsidRPr="00882F11">
        <w:rPr>
          <w:rFonts w:cs="Guttman Drogolin" w:hint="cs"/>
          <w:rtl/>
          <w:lang w:bidi="he-IL"/>
        </w:rPr>
        <w:t xml:space="preserve"> </w:t>
      </w:r>
      <w:r w:rsidR="000A1AFF" w:rsidRPr="00882F11">
        <w:rPr>
          <w:rFonts w:cs="Guttman Drogolin" w:hint="cs"/>
          <w:rtl/>
          <w:lang w:bidi="he-IL"/>
        </w:rPr>
        <w:t xml:space="preserve"> </w:t>
      </w:r>
      <w:r w:rsidR="00FE6E3A" w:rsidRPr="00882F11">
        <w:rPr>
          <w:rFonts w:cs="Guttman Drogolin" w:hint="cs"/>
          <w:rtl/>
          <w:lang w:bidi="he-IL"/>
        </w:rPr>
        <w:t xml:space="preserve"> </w:t>
      </w:r>
      <w:r w:rsidR="001B7347" w:rsidRPr="00882F11">
        <w:rPr>
          <w:rFonts w:cs="Guttman Drogolin" w:hint="cs"/>
          <w:rtl/>
          <w:lang w:bidi="he-IL"/>
        </w:rPr>
        <w:t xml:space="preserve"> </w:t>
      </w:r>
    </w:p>
    <w:p w:rsidR="00745193" w:rsidRPr="00882F11" w:rsidRDefault="00745193" w:rsidP="0078079C">
      <w:pPr>
        <w:pStyle w:val="Heading1"/>
        <w:bidi/>
        <w:spacing w:before="0" w:line="360" w:lineRule="auto"/>
        <w:jc w:val="center"/>
        <w:rPr>
          <w:rFonts w:cs="Guttman Drogolin"/>
          <w:color w:val="auto"/>
          <w:sz w:val="24"/>
          <w:szCs w:val="24"/>
          <w:u w:val="single"/>
          <w:rtl/>
          <w:lang w:bidi="he-IL"/>
        </w:rPr>
      </w:pPr>
      <w:bookmarkStart w:id="200" w:name="_Toc496175456"/>
      <w:r w:rsidRPr="00882F11">
        <w:rPr>
          <w:rFonts w:cs="Guttman Drogolin" w:hint="cs"/>
          <w:color w:val="auto"/>
          <w:sz w:val="24"/>
          <w:szCs w:val="24"/>
          <w:u w:val="single"/>
          <w:rtl/>
          <w:lang w:bidi="he-IL"/>
        </w:rPr>
        <w:t>בשר נבילה בחלב</w:t>
      </w:r>
      <w:bookmarkEnd w:id="200"/>
    </w:p>
    <w:p w:rsidR="00FE1B6B" w:rsidRPr="00882F11" w:rsidRDefault="00471576" w:rsidP="00CC696E">
      <w:pPr>
        <w:keepNext/>
        <w:tabs>
          <w:tab w:val="right" w:pos="7497"/>
        </w:tabs>
        <w:bidi/>
        <w:jc w:val="both"/>
        <w:rPr>
          <w:rFonts w:cs="Guttman Drogolin"/>
          <w:rtl/>
          <w:lang w:bidi="he-IL"/>
        </w:rPr>
      </w:pPr>
      <w:r>
        <w:rPr>
          <w:rFonts w:cs="Guttman Drogolin"/>
          <w:rtl/>
          <w:lang w:bidi="he-IL"/>
        </w:rPr>
        <w:fldChar w:fldCharType="begin"/>
      </w:r>
      <w:r>
        <w:instrText xml:space="preserve"> XE "</w:instrText>
      </w:r>
      <w:r w:rsidRPr="00F22352">
        <w:rPr>
          <w:rFonts w:hint="cs"/>
          <w:rtl/>
          <w:lang w:bidi="he-IL"/>
        </w:rPr>
        <w:instrText>בשר בחלב</w:instrText>
      </w:r>
      <w:r w:rsidRPr="00F22352">
        <w:rPr>
          <w:rtl/>
        </w:rPr>
        <w:instrText>:</w:instrText>
      </w:r>
      <w:r w:rsidRPr="00F22352">
        <w:rPr>
          <w:rFonts w:hint="cs"/>
          <w:rtl/>
          <w:lang w:bidi="he-IL"/>
        </w:rPr>
        <w:instrText>בבשר נבילה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B37A2B">
        <w:rPr>
          <w:rFonts w:hint="cs"/>
          <w:rtl/>
          <w:lang w:bidi="he-IL"/>
        </w:rPr>
        <w:instrText>בשר בחלב</w:instrText>
      </w:r>
      <w:r w:rsidRPr="00B37A2B">
        <w:rPr>
          <w:rtl/>
        </w:rPr>
        <w:instrText>:</w:instrText>
      </w:r>
      <w:r w:rsidRPr="00B37A2B">
        <w:rPr>
          <w:rFonts w:hint="cs"/>
          <w:rtl/>
          <w:lang w:bidi="he-IL"/>
        </w:rPr>
        <w:instrText>הנקודה הנפלאה של הרמב</w:instrText>
      </w:r>
      <w:r>
        <w:rPr>
          <w:rFonts w:eastAsiaTheme="minorEastAsia"/>
          <w:lang w:bidi="he-IL"/>
        </w:rPr>
        <w:instrText>\</w:instrText>
      </w:r>
      <w:r w:rsidRPr="00B37A2B">
        <w:rPr>
          <w:rFonts w:hint="cs"/>
          <w:rtl/>
          <w:lang w:bidi="he-IL"/>
        </w:rPr>
        <w:instrText>"ם</w:instrText>
      </w:r>
      <w:r>
        <w:instrText xml:space="preserve">" </w:instrText>
      </w:r>
      <w:r>
        <w:rPr>
          <w:rFonts w:cs="Guttman Drogolin"/>
          <w:rtl/>
          <w:lang w:bidi="he-IL"/>
        </w:rPr>
        <w:fldChar w:fldCharType="end"/>
      </w:r>
      <w:r w:rsidR="00745193" w:rsidRPr="00882F11">
        <w:rPr>
          <w:rFonts w:cs="Guttman Drogolin" w:hint="cs"/>
          <w:rtl/>
          <w:lang w:bidi="he-IL"/>
        </w:rPr>
        <w:t>במס' חולין דף קי"ג ע"ב מבואר מחלוקת אם בשר נבילה אסור משום בב"ח או לא משום שאין איסור חל על איסור, וכן דנו אם יש לאסור עכ"פ בבישול. והרמב"ם בפ"ט ה"ו מהל' מאכ"א פסק</w:t>
      </w:r>
      <w:r w:rsidR="009A0273" w:rsidRPr="00882F11">
        <w:rPr>
          <w:rFonts w:cs="Guttman Drogolin" w:hint="cs"/>
          <w:rtl/>
          <w:lang w:bidi="he-IL"/>
        </w:rPr>
        <w:t xml:space="preserve"> שאין איסור אכילה של בב"ח אם בישלו בשר</w:t>
      </w:r>
      <w:r w:rsidR="00484258" w:rsidRPr="00882F11">
        <w:rPr>
          <w:rFonts w:cs="Guttman Drogolin" w:hint="cs"/>
          <w:rtl/>
          <w:lang w:bidi="he-IL"/>
        </w:rPr>
        <w:t xml:space="preserve"> </w:t>
      </w:r>
      <w:r w:rsidR="009A0273" w:rsidRPr="00882F11">
        <w:rPr>
          <w:rFonts w:cs="Guttman Drogolin" w:hint="cs"/>
          <w:rtl/>
          <w:lang w:bidi="he-IL"/>
        </w:rPr>
        <w:t>נבילה בחלב אבל</w:t>
      </w:r>
      <w:r w:rsidR="00484258" w:rsidRPr="00882F11">
        <w:rPr>
          <w:rFonts w:cs="Guttman Drogolin" w:hint="cs"/>
          <w:rtl/>
          <w:lang w:bidi="he-IL"/>
        </w:rPr>
        <w:t xml:space="preserve"> יש איסו</w:t>
      </w:r>
      <w:r w:rsidR="009A0273" w:rsidRPr="00882F11">
        <w:rPr>
          <w:rFonts w:cs="Guttman Drogolin" w:hint="cs"/>
          <w:rtl/>
          <w:lang w:bidi="he-IL"/>
        </w:rPr>
        <w:t>ר בישול. והרמב"ם לא כתב אם יש בזה איסור הנאה או לא.</w:t>
      </w:r>
      <w:r w:rsidR="00484258" w:rsidRPr="00882F11">
        <w:rPr>
          <w:rFonts w:cs="Guttman Drogolin" w:hint="cs"/>
          <w:rtl/>
          <w:lang w:bidi="he-IL"/>
        </w:rPr>
        <w:t xml:space="preserve"> </w:t>
      </w:r>
      <w:r w:rsidR="001D0232" w:rsidRPr="00882F11">
        <w:rPr>
          <w:rFonts w:cs="Guttman Drogolin" w:hint="cs"/>
          <w:rtl/>
          <w:lang w:bidi="he-IL"/>
        </w:rPr>
        <w:t>ולפום ריהטא הי' צריך להיות אסור בהנאה, דהא בזה אין איסור חל על איסור כיון שעדיין לא הי' אסור בהנאה. אלא דא"כ הי' לו להיות אסור גם באכילה, ואין לומר שאין איסור חל על איסור, דהא יש כאן איסור מוסיף כיון שניתוסף איסור הנאה. ובתוס' במס' חולין דף ק"א ע"א מבואר שאפילו אם ניתוסף איסור הנאה אין זה נחשב איסור מוסיף שאינו אלא חומרא. ולדבריו ניחא הא דאיכא איסור הנ</w:t>
      </w:r>
      <w:r w:rsidR="00CC696E" w:rsidRPr="00882F11">
        <w:rPr>
          <w:rFonts w:cs="Guttman Drogolin" w:hint="cs"/>
          <w:rtl/>
          <w:lang w:bidi="he-IL"/>
        </w:rPr>
        <w:t>א</w:t>
      </w:r>
      <w:r w:rsidR="001D0232" w:rsidRPr="00882F11">
        <w:rPr>
          <w:rFonts w:cs="Guttman Drogolin" w:hint="cs"/>
          <w:rtl/>
          <w:lang w:bidi="he-IL"/>
        </w:rPr>
        <w:t xml:space="preserve">ה ומ"מ לא חל איסור אכילה. </w:t>
      </w:r>
      <w:r w:rsidR="00276E53" w:rsidRPr="00882F11">
        <w:rPr>
          <w:rFonts w:cs="Guttman Drogolin" w:hint="cs"/>
          <w:rtl/>
          <w:lang w:bidi="he-IL"/>
        </w:rPr>
        <w:t xml:space="preserve">אלא שהקשה הלח"מ דכה"ג אי אפשר לומר בדעת הרמב"ם שהרי הרמב"ם כתב שבקדשים חל איסור אכילה על איסור חלב כיון שיש איסור מוסיף משום האיסור הנאה שבו. וכבר העירו החת"ס ועוד על הלח"מ שהרמב"ם עצמו כבר התייחס לקושיא זו בפיהמ"ש למס' כריתות במה שמפורסם בשמו </w:t>
      </w:r>
      <w:r w:rsidR="000B31BC" w:rsidRPr="00882F11">
        <w:rPr>
          <w:rFonts w:cs="Guttman Drogolin" w:hint="cs"/>
          <w:rtl/>
          <w:lang w:bidi="he-IL"/>
        </w:rPr>
        <w:t xml:space="preserve">כ'נקודה הנפלאה'. וביאר שם דעד כאן לא אמרינן שאיסור הנאה הוי איסור מוסיף אלא כשלא הי' עדיין איסור אכילה, אבל איסור הנאה שמוסיף על איסור אכילה נחשב הכל א'. ולכן בב"ח שיש בין איסור אכילה ובין איסור הנאה, לא חל לא האיסור </w:t>
      </w:r>
      <w:r w:rsidR="000B31BC" w:rsidRPr="00882F11">
        <w:rPr>
          <w:rFonts w:cs="Guttman Drogolin" w:hint="cs"/>
          <w:rtl/>
          <w:lang w:bidi="he-IL"/>
        </w:rPr>
        <w:lastRenderedPageBreak/>
        <w:t xml:space="preserve">אכילה ולא האיסור הנאה, אבל בקדשים שאין איסור אכילה רק איסור הנאה, אמרינן שאיסור חל על איסור. </w:t>
      </w:r>
    </w:p>
    <w:p w:rsidR="0079601F" w:rsidRPr="00882F11" w:rsidRDefault="00FE1B6B" w:rsidP="00FE1B6B">
      <w:pPr>
        <w:keepNext/>
        <w:tabs>
          <w:tab w:val="right" w:pos="7497"/>
        </w:tabs>
        <w:bidi/>
        <w:jc w:val="both"/>
        <w:rPr>
          <w:rFonts w:cs="Guttman Drogolin"/>
          <w:rtl/>
          <w:lang w:bidi="he-IL"/>
        </w:rPr>
      </w:pPr>
      <w:r w:rsidRPr="00882F11">
        <w:rPr>
          <w:rFonts w:cs="Guttman Drogolin" w:hint="cs"/>
          <w:rtl/>
          <w:lang w:bidi="he-IL"/>
        </w:rPr>
        <w:t>ומבארים את דבריו ע"פ דברי הרמב"ם בסה"מ</w:t>
      </w:r>
      <w:r w:rsidR="001D0232" w:rsidRPr="00882F11">
        <w:rPr>
          <w:rFonts w:cs="Guttman Drogolin" w:hint="cs"/>
          <w:rtl/>
          <w:lang w:bidi="he-IL"/>
        </w:rPr>
        <w:t xml:space="preserve"> </w:t>
      </w:r>
      <w:r w:rsidR="007C4302" w:rsidRPr="00882F11">
        <w:rPr>
          <w:rFonts w:cs="Guttman Drogolin" w:hint="cs"/>
          <w:rtl/>
          <w:lang w:bidi="he-IL"/>
        </w:rPr>
        <w:t xml:space="preserve">ל"ת קפ"ז שכל מה שאסרה התורה באכילה והנאה </w:t>
      </w:r>
      <w:r w:rsidR="0079601F" w:rsidRPr="00882F11">
        <w:rPr>
          <w:rFonts w:cs="Guttman Drogolin" w:hint="cs"/>
          <w:rtl/>
          <w:lang w:bidi="he-IL"/>
        </w:rPr>
        <w:t>הכל ענין א', שאכיל</w:t>
      </w:r>
      <w:r w:rsidR="006C33F9" w:rsidRPr="00882F11">
        <w:rPr>
          <w:rFonts w:cs="Guttman Drogolin" w:hint="cs"/>
          <w:rtl/>
          <w:lang w:bidi="he-IL"/>
        </w:rPr>
        <w:t>ה הוא מין ממיני ההנאה. וע' פ"ח ה</w:t>
      </w:r>
      <w:r w:rsidR="0079601F" w:rsidRPr="00882F11">
        <w:rPr>
          <w:rFonts w:cs="Guttman Drogolin" w:hint="cs"/>
          <w:rtl/>
          <w:lang w:bidi="he-IL"/>
        </w:rPr>
        <w:t>ט"ז מהל' מאכלות אסורות דליכא חיוב מלקות אהנאה כשיש איסור על האכילה, והרה"מ ביאר דהוי כמו חצי שיעור, ולהנ"ל היינו שכשיש בין איסור אכילה ובין איסור הנאה, עיקר הדרך הנאה שאסרה תורה הוא האכילה, ואגב זה אסור שאר ההנאות אבל אין הנאה כזו עיקר האיסור. והנ"מ כשיש איסור אכילה והכל איסור א' וכנ"ל, אבל בקדשים דליכא אלא איסור הנאה ולא איסור אכילה הרי חל על איסור חלב.</w:t>
      </w:r>
    </w:p>
    <w:p w:rsidR="00BF7458" w:rsidRPr="00882F11" w:rsidRDefault="0079601F" w:rsidP="00BF7458">
      <w:pPr>
        <w:keepNext/>
        <w:tabs>
          <w:tab w:val="right" w:pos="7497"/>
        </w:tabs>
        <w:bidi/>
        <w:jc w:val="both"/>
        <w:rPr>
          <w:rFonts w:cs="Guttman Drogolin"/>
          <w:rtl/>
          <w:lang w:bidi="he-IL"/>
        </w:rPr>
      </w:pPr>
      <w:r w:rsidRPr="00882F11">
        <w:rPr>
          <w:rFonts w:cs="Guttman Drogolin" w:hint="cs"/>
          <w:rtl/>
          <w:lang w:bidi="he-IL"/>
        </w:rPr>
        <w:t xml:space="preserve">ומ"מ יש חולקים על הרמב"ם וסוברים שנבלה שהתבשלה בחלב אסור בהנאה, ע' רשב"א ורמב"ן בסוגיית הגמ' שם. וכן להלכה נחלקו האחרונים היכי קיי"ל, שהדגמ"ר כתב דכיון שהרמב"ם מיקל בזה, וכן התוס' הנ"ל אע"ג שי"ל שחולקים על הרמב"ם מ"מ יש לומר שגם הם מודים, אפשר להקל בזה. ובפת"ש ס"ק </w:t>
      </w:r>
      <w:r w:rsidR="0054453B" w:rsidRPr="00882F11">
        <w:rPr>
          <w:rFonts w:cs="Guttman Drogolin" w:hint="cs"/>
          <w:rtl/>
          <w:lang w:bidi="he-IL"/>
        </w:rPr>
        <w:t xml:space="preserve">ו' שהביא מן הפתיחה לפמ"ג ד"ה ולענין </w:t>
      </w:r>
      <w:r w:rsidR="00BF7458" w:rsidRPr="00882F11">
        <w:rPr>
          <w:rFonts w:cs="Guttman Drogolin" w:hint="cs"/>
          <w:rtl/>
          <w:lang w:bidi="he-IL"/>
        </w:rPr>
        <w:t xml:space="preserve">(במהדו' הישנה ד"ה עוד) </w:t>
      </w:r>
      <w:r w:rsidR="0054453B" w:rsidRPr="00882F11">
        <w:rPr>
          <w:rFonts w:cs="Guttman Drogolin" w:hint="cs"/>
          <w:rtl/>
          <w:lang w:bidi="he-IL"/>
        </w:rPr>
        <w:t>שיש לאסור</w:t>
      </w:r>
      <w:r w:rsidR="00BF7458" w:rsidRPr="00882F11">
        <w:rPr>
          <w:rFonts w:cs="Guttman Drogolin" w:hint="cs"/>
          <w:rtl/>
          <w:lang w:bidi="he-IL"/>
        </w:rPr>
        <w:t>, וכן הוא לכאורה צריך להיות כיון שיש ראשונים החולקיים על הרמב"ם ולדידהו יש בזה איסור דאורייתא</w:t>
      </w:r>
      <w:r w:rsidR="0054453B" w:rsidRPr="00882F11">
        <w:rPr>
          <w:rFonts w:cs="Guttman Drogolin" w:hint="cs"/>
          <w:rtl/>
          <w:lang w:bidi="he-IL"/>
        </w:rPr>
        <w:t xml:space="preserve">. וע"ש </w:t>
      </w:r>
      <w:r w:rsidR="00BF7458" w:rsidRPr="00882F11">
        <w:rPr>
          <w:rFonts w:cs="Guttman Drogolin" w:hint="cs"/>
          <w:rtl/>
          <w:lang w:bidi="he-IL"/>
        </w:rPr>
        <w:t xml:space="preserve">עוד </w:t>
      </w:r>
      <w:r w:rsidR="0054453B" w:rsidRPr="00882F11">
        <w:rPr>
          <w:rFonts w:cs="Guttman Drogolin" w:hint="cs"/>
          <w:rtl/>
          <w:lang w:bidi="he-IL"/>
        </w:rPr>
        <w:t xml:space="preserve">שלכאורה יש לו שם טעמא אלימתא, והוא משום שאפילו את"ל שאין איסור הנאה חל על איסור נבילה, מ"מ הגמ' ביבמות דף ל"ב ע"ב שיש נפק"מ </w:t>
      </w:r>
      <w:r w:rsidR="00BF7458" w:rsidRPr="00882F11">
        <w:rPr>
          <w:rFonts w:cs="Guttman Drogolin" w:hint="cs"/>
          <w:rtl/>
          <w:lang w:bidi="he-IL"/>
        </w:rPr>
        <w:t xml:space="preserve">אפילו באיסור דלא חל שאם עבר אינו יכול לקוברו ליד מי שאכל איסור כשאין איסור שהי' צריך לחול ולא חל משום כללא דאין איסור חל על איסור. ולכן משמע לכאורה שהאיסור קיים אע"ג שלא חל, ולכן הי' צריך להיות אסור גם לרמב"ם. אמנם ע' לשון הרמב"ם שם בפיהמ"ש שכתב </w:t>
      </w:r>
      <w:r w:rsidR="00BF7458" w:rsidRPr="00882F11">
        <w:rPr>
          <w:rFonts w:cs="Guttman Drogolin" w:hint="cs"/>
          <w:rtl/>
          <w:lang w:bidi="he-IL"/>
        </w:rPr>
        <w:lastRenderedPageBreak/>
        <w:t xml:space="preserve">שחלב דרך בישול מותר בהנאה </w:t>
      </w:r>
      <w:r w:rsidR="00BF7458" w:rsidRPr="00882F11">
        <w:rPr>
          <w:rFonts w:cs="Guttman Drogolin"/>
          <w:rtl/>
          <w:lang w:bidi="he-IL"/>
        </w:rPr>
        <w:t>–</w:t>
      </w:r>
      <w:r w:rsidR="00BF7458" w:rsidRPr="00882F11">
        <w:rPr>
          <w:rFonts w:cs="Guttman Drogolin" w:hint="cs"/>
          <w:rtl/>
          <w:lang w:bidi="he-IL"/>
        </w:rPr>
        <w:t xml:space="preserve"> משמע מותר לגמרי. וצ"ע.  </w:t>
      </w:r>
    </w:p>
    <w:p w:rsidR="00AE26E3" w:rsidRPr="00882F11" w:rsidRDefault="00BF7458" w:rsidP="00AE26E3">
      <w:pPr>
        <w:keepNext/>
        <w:tabs>
          <w:tab w:val="right" w:pos="7497"/>
        </w:tabs>
        <w:bidi/>
        <w:jc w:val="both"/>
        <w:rPr>
          <w:rFonts w:cs="Guttman Drogolin"/>
          <w:rtl/>
          <w:lang w:bidi="he-IL"/>
        </w:rPr>
      </w:pPr>
      <w:r w:rsidRPr="00882F11">
        <w:rPr>
          <w:rFonts w:cs="Guttman Drogolin" w:hint="cs"/>
          <w:rtl/>
          <w:lang w:bidi="he-IL"/>
        </w:rPr>
        <w:t>והנה א</w:t>
      </w:r>
      <w:r w:rsidR="00EE4458" w:rsidRPr="00882F11">
        <w:rPr>
          <w:rFonts w:cs="Guttman Drogolin" w:hint="cs"/>
          <w:rtl/>
          <w:lang w:bidi="he-IL"/>
        </w:rPr>
        <w:t xml:space="preserve">פילו אם איסור הנאה ואכילה אינם </w:t>
      </w:r>
      <w:r w:rsidRPr="00882F11">
        <w:rPr>
          <w:rFonts w:cs="Guttman Drogolin" w:hint="cs"/>
          <w:rtl/>
          <w:lang w:bidi="he-IL"/>
        </w:rPr>
        <w:t xml:space="preserve">חלים על איסור הנבילה, עדיין צ"ע למה לא חל על החלב שאינו נבילה. ועוד יותר מזה העיר רע"א בדו"ח (מערכה ז') שאחרי שהוא חל על החלב הי' ממילא צריך לחול גם על הנבלה מדין איסור כולל. וכתב בזה רע"א </w:t>
      </w:r>
      <w:r w:rsidR="00AE26E3" w:rsidRPr="00882F11">
        <w:rPr>
          <w:rFonts w:cs="Guttman Drogolin" w:hint="cs"/>
          <w:rtl/>
          <w:lang w:bidi="he-IL"/>
        </w:rPr>
        <w:t xml:space="preserve">שלעולם החלב אסור בהנאה, אבל הנבילה עדיין אינה אסורה משום איסור כולל, ומשום דלא אמרינן איסור כולל אלא כשאותו איסור אוסר בין את החלב ובין את הבשר, וכאן הרי הבשר אסור משום הטעם חלב שבו, לעומת החלב שאסור מטעם אחר ומשום הטעם בשר שבו. ולכן ליכא איסור כולל. ויוצא שאם יש תערובת של בשר נבילה וחלב שנתבשלו למעשה הרי הוא אסור בהנאה, רק לא מטעם הנבילה שבו רק מטעם החלב. </w:t>
      </w:r>
    </w:p>
    <w:p w:rsidR="00540AFF" w:rsidRPr="00882F11" w:rsidRDefault="00AE26E3" w:rsidP="009A46C1">
      <w:pPr>
        <w:keepNext/>
        <w:tabs>
          <w:tab w:val="right" w:pos="7497"/>
        </w:tabs>
        <w:bidi/>
        <w:jc w:val="both"/>
        <w:rPr>
          <w:rFonts w:cs="Guttman Drogolin"/>
          <w:rtl/>
          <w:lang w:bidi="he-IL"/>
        </w:rPr>
      </w:pPr>
      <w:r w:rsidRPr="00882F11">
        <w:rPr>
          <w:rFonts w:cs="Guttman Drogolin" w:hint="cs"/>
          <w:rtl/>
          <w:lang w:bidi="he-IL"/>
        </w:rPr>
        <w:t xml:space="preserve">והנה לכאורה צ"ע, דהא רע"א בשו"ת סי' ר"ז ביאר לשיטת הרמב"ן דליתי' לאיסורא דבב"ח אא"כ בין הבשר ובין החלב נאסרים. ולכאורה א"כ הי' צריך להיות לפי זה דליכא קושיא כלל מן החלב, דכיון שאין הנבילה אסורה משום בב"ח, גם החלב לא יהי' אסור משום בב"ח. וא"כ מהו כל קושיית רע"א. וראיתי בס' מגי"ס לסי' פ"ז אות ה' שר"ל שכל הכלל של רע"א לא שייך אלא </w:t>
      </w:r>
      <w:r w:rsidR="00F87C61" w:rsidRPr="00882F11">
        <w:rPr>
          <w:rFonts w:cs="Guttman Drogolin" w:hint="cs"/>
          <w:rtl/>
          <w:lang w:bidi="he-IL"/>
        </w:rPr>
        <w:t xml:space="preserve">כשאינם נותנים טעם זה בזה, אבל אם נותנם טעם זה בזה לעולם נאסרים אע"ג שאין החלות איסור חל אתרוייהו. ולכאורה אין זה נכון, רק ביאור הכלל הוא שהאיסור של בשר בחלב הוא במהותו כששניהם אוסרים א' לשני, אבל זה שא' נאסר אינו במהותו בכלל האיסור בב"ח. </w:t>
      </w:r>
      <w:r w:rsidR="00D17BA9" w:rsidRPr="00882F11">
        <w:rPr>
          <w:rFonts w:cs="Guttman Drogolin" w:hint="cs"/>
          <w:rtl/>
          <w:lang w:bidi="he-IL"/>
        </w:rPr>
        <w:t xml:space="preserve">ואם זהו הביאור בדבריו לכאורה גם תירוצו של רע"א לא מיישב, שלכאורה לפי הביאור הזה אין כאן ב' איסורים שונים, א' הבשר שנאסר ע"י החלב וא' החלב שנאסר ע"י הבשר, רק איסור של שניהם אוסרים א' לשני. ועוד צ"ע לפי דבריו מה יהא הביאור בדברי הט"ז כאן ס"ק ד' שאין לומר חענ"ן בבשר טמא וחלב משום שלא אומרים חענ"ן </w:t>
      </w:r>
      <w:r w:rsidR="00D17BA9" w:rsidRPr="00882F11">
        <w:rPr>
          <w:rFonts w:cs="Guttman Drogolin" w:hint="cs"/>
          <w:rtl/>
          <w:lang w:bidi="he-IL"/>
        </w:rPr>
        <w:lastRenderedPageBreak/>
        <w:t xml:space="preserve">בדבר שהוא כבר אסור. והקשנו דהא אין הנפק"מ בבשר הטמא רק בחלב שעמו, והוא עדיין לא נאסר. ואמרנו שהוא מתבאר ע"פ דברי רע"א בדעת הרמב"ן הנ"ל. אמנם אם כדברי המגי"ס הדרה קושיא לדוכתי', דהא טעם איכא רק איסורא ליכא. </w:t>
      </w:r>
      <w:r w:rsidR="009A46C1" w:rsidRPr="00882F11">
        <w:rPr>
          <w:rFonts w:cs="Guttman Drogolin" w:hint="cs"/>
          <w:rtl/>
          <w:lang w:bidi="he-IL"/>
        </w:rPr>
        <w:t>וחשבתי אולי עוד ביאור בדעת הט"ז והוא שהחלב לא נאסר משום חענ"ן כיון שיש טעם נבילה בחלב ואמרינן טכ"ע ונהפך ההיתר להיות איסור, ולכן בחלב איסור אפשר שיחול איסור.</w:t>
      </w:r>
      <w:r w:rsidR="00540AFF" w:rsidRPr="00882F11">
        <w:rPr>
          <w:rFonts w:cs="Guttman Drogolin" w:hint="cs"/>
          <w:rtl/>
          <w:lang w:bidi="he-IL"/>
        </w:rPr>
        <w:t xml:space="preserve"> </w:t>
      </w:r>
      <w:r w:rsidR="009A46C1" w:rsidRPr="00882F11">
        <w:rPr>
          <w:rFonts w:cs="Guttman Drogolin" w:hint="cs"/>
          <w:rtl/>
          <w:lang w:bidi="he-IL"/>
        </w:rPr>
        <w:t>וצ"ע.</w:t>
      </w:r>
    </w:p>
    <w:p w:rsidR="009A46C1" w:rsidRPr="00882F11" w:rsidRDefault="009A46C1" w:rsidP="006C33F9">
      <w:pPr>
        <w:keepNext/>
        <w:tabs>
          <w:tab w:val="right" w:pos="7497"/>
        </w:tabs>
        <w:bidi/>
        <w:jc w:val="both"/>
        <w:rPr>
          <w:rFonts w:cs="Guttman Drogolin"/>
          <w:rtl/>
          <w:lang w:bidi="he-IL"/>
        </w:rPr>
      </w:pPr>
      <w:r w:rsidRPr="00882F11">
        <w:rPr>
          <w:rFonts w:cs="Guttman Drogolin" w:hint="cs"/>
          <w:rtl/>
          <w:lang w:bidi="he-IL"/>
        </w:rPr>
        <w:t>ומ"מ באחרונים אחרים מבואר עוד יישובים לקושיא זו. בשו"ת חת"ס סי' צ"ב נקט שאמנם הי' רק ס"ד דבשר אסרה תורה ולא חלב, מ"מ גם למסקנא העיקר תלוי בבשר, ולכן כיון שבנביל</w:t>
      </w:r>
      <w:r w:rsidR="006C33F9" w:rsidRPr="00882F11">
        <w:rPr>
          <w:rFonts w:cs="Guttman Drogolin" w:hint="cs"/>
          <w:rtl/>
          <w:lang w:bidi="he-IL"/>
        </w:rPr>
        <w:t>ה</w:t>
      </w:r>
      <w:r w:rsidRPr="00882F11">
        <w:rPr>
          <w:rFonts w:cs="Guttman Drogolin" w:hint="cs"/>
          <w:rtl/>
          <w:lang w:bidi="he-IL"/>
        </w:rPr>
        <w:t xml:space="preserve"> אין הבשר נאסר גם החלב לא יכול להיות נאסר. ויוצא שאם הי' חלב של בהמה טריפה עם בשר כשרה גם החלב יהי' אסור. ובחזו"א סי' כ"ב העיר על זה שלכאורה כאן יש חלות איסור של בשר בחלב, רק שאין חל על איסור אחר. תדע שהרי הרמב"ם פסק שהוא אסור בבישול. ולכאורה י"ל שזהו גם הטעם דרע"א לא תי' ע"פ כלל דברי הרמב"ן דליכא איסור בב"ח אא"כ שניהם נאסרים, דכאן בעצם שניהם נאסרים רק שאין כל האיסורים חלים וכנ"ל. אמנם עדיין אינו מיושב איך להבין תי' רע"א לפי היסוד הזה וכמש"נ.</w:t>
      </w:r>
    </w:p>
    <w:p w:rsidR="00DF649D" w:rsidRPr="00882F11" w:rsidRDefault="009A46C1" w:rsidP="009A46C1">
      <w:pPr>
        <w:keepNext/>
        <w:tabs>
          <w:tab w:val="right" w:pos="7497"/>
        </w:tabs>
        <w:bidi/>
        <w:jc w:val="both"/>
        <w:rPr>
          <w:rFonts w:cs="Guttman Drogolin"/>
          <w:rtl/>
          <w:lang w:bidi="he-IL"/>
        </w:rPr>
      </w:pPr>
      <w:r w:rsidRPr="00882F11">
        <w:rPr>
          <w:rFonts w:cs="Guttman Drogolin" w:hint="cs"/>
          <w:rtl/>
          <w:lang w:bidi="he-IL"/>
        </w:rPr>
        <w:t>והחזו"א שם כתב ליישב משום שהאיסור של בב"ח אינו איסור שהחלב אוסר את הבשר והבשר את החלב, רק ששניהם עושים ברי' חדשה של בשר בחלב, ולכן איסור זה אינו יכול לחול על הב</w:t>
      </w:r>
      <w:r w:rsidR="006C33F9" w:rsidRPr="00882F11">
        <w:rPr>
          <w:rFonts w:cs="Guttman Drogolin" w:hint="cs"/>
          <w:rtl/>
          <w:lang w:bidi="he-IL"/>
        </w:rPr>
        <w:t>ר</w:t>
      </w:r>
      <w:r w:rsidRPr="00882F11">
        <w:rPr>
          <w:rFonts w:cs="Guttman Drogolin" w:hint="cs"/>
          <w:rtl/>
          <w:lang w:bidi="he-IL"/>
        </w:rPr>
        <w:t>י' החדשה כיון שחלק ממנו כבר נאסר ואין איסור חל על איסור. ונראה שהוא חידוש שלכאורה הי' צריך להיות ההיפך, דכיון שיש לו מקום לחול לענין החלב גם על הטעם בשר יכול לחול ולכן יחול על התערובת החדשה. ועוד יש להעיר שעצם זה הוא חידוש בהבנת האיסור של בב"ח, והבאנו מקודם</w:t>
      </w:r>
      <w:r w:rsidRPr="00882F11">
        <w:rPr>
          <w:rStyle w:val="FootnoteReference"/>
          <w:rFonts w:cs="Guttman Drogolin"/>
          <w:rtl/>
          <w:lang w:bidi="he-IL"/>
        </w:rPr>
        <w:footnoteReference w:id="240"/>
      </w:r>
      <w:r w:rsidRPr="00882F11">
        <w:rPr>
          <w:rFonts w:cs="Guttman Drogolin" w:hint="cs"/>
          <w:rtl/>
          <w:lang w:bidi="he-IL"/>
        </w:rPr>
        <w:t xml:space="preserve"> שבמשנת ר' אהרון למס' יבמות נקט שהאיסור משום שכל א' אוסר את השני, וע"ש שהבאנו ראי' לזה מס"ד דבשר אסרה </w:t>
      </w:r>
      <w:r w:rsidRPr="00882F11">
        <w:rPr>
          <w:rFonts w:cs="Guttman Drogolin" w:hint="cs"/>
          <w:rtl/>
          <w:lang w:bidi="he-IL"/>
        </w:rPr>
        <w:lastRenderedPageBreak/>
        <w:t>תורה ולא חלב, ולס"ד זו ודאי אי א</w:t>
      </w:r>
      <w:r w:rsidR="006C33F9" w:rsidRPr="00882F11">
        <w:rPr>
          <w:rFonts w:cs="Guttman Drogolin" w:hint="cs"/>
          <w:rtl/>
          <w:lang w:bidi="he-IL"/>
        </w:rPr>
        <w:t>פ</w:t>
      </w:r>
      <w:r w:rsidRPr="00882F11">
        <w:rPr>
          <w:rFonts w:cs="Guttman Drogolin" w:hint="cs"/>
          <w:rtl/>
          <w:lang w:bidi="he-IL"/>
        </w:rPr>
        <w:t xml:space="preserve">שר לומר כחזו"א. ואפילו למסקנא </w:t>
      </w:r>
      <w:r w:rsidR="002251FF" w:rsidRPr="00882F11">
        <w:rPr>
          <w:rFonts w:cs="Guttman Drogolin" w:hint="cs"/>
          <w:rtl/>
          <w:lang w:bidi="he-IL"/>
        </w:rPr>
        <w:t>שגם החלב אסרה תורה, קשה לומר שהגמ' חזרה מכל מהות האיסור של בב"ח. וצ"ע.</w:t>
      </w:r>
      <w:r w:rsidRPr="00882F11">
        <w:rPr>
          <w:rFonts w:cs="Guttman Drogolin" w:hint="cs"/>
          <w:rtl/>
          <w:lang w:bidi="he-IL"/>
        </w:rPr>
        <w:t xml:space="preserve">  </w:t>
      </w:r>
    </w:p>
    <w:p w:rsidR="00DF649D" w:rsidRPr="00882F11" w:rsidRDefault="00DF649D" w:rsidP="00DF649D">
      <w:pPr>
        <w:keepNext/>
        <w:tabs>
          <w:tab w:val="right" w:pos="7497"/>
        </w:tabs>
        <w:bidi/>
        <w:jc w:val="both"/>
        <w:rPr>
          <w:rFonts w:cs="Guttman Drogolin"/>
          <w:rtl/>
          <w:lang w:bidi="he-IL"/>
        </w:rPr>
        <w:sectPr w:rsidR="00DF649D" w:rsidRPr="00882F11" w:rsidSect="00DA1D59">
          <w:type w:val="continuous"/>
          <w:pgSz w:w="11907" w:h="16839" w:code="9"/>
          <w:pgMar w:top="1440" w:right="1440" w:bottom="1440" w:left="1440" w:header="720" w:footer="720" w:gutter="0"/>
          <w:cols w:num="2" w:space="720"/>
          <w:bidi/>
          <w:docGrid w:linePitch="360"/>
        </w:sectPr>
      </w:pPr>
    </w:p>
    <w:p w:rsidR="00DF649D" w:rsidRPr="00882F11" w:rsidRDefault="00DF649D" w:rsidP="00DF649D">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נ"ב</w:t>
      </w:r>
    </w:p>
    <w:p w:rsidR="00DA1D59" w:rsidRDefault="00DA1D59" w:rsidP="0078079C">
      <w:pPr>
        <w:pStyle w:val="Heading1"/>
        <w:bidi/>
        <w:spacing w:before="0" w:line="360" w:lineRule="auto"/>
        <w:jc w:val="center"/>
        <w:rPr>
          <w:rFonts w:cs="Guttman Drogolin"/>
          <w:color w:val="auto"/>
          <w:sz w:val="24"/>
          <w:szCs w:val="24"/>
          <w:u w:val="single"/>
          <w:rtl/>
          <w:lang w:bidi="he-IL"/>
        </w:rPr>
        <w:sectPr w:rsidR="00DA1D59" w:rsidSect="00DA1D59">
          <w:headerReference w:type="default" r:id="rId42"/>
          <w:pgSz w:w="11907" w:h="16839" w:code="9"/>
          <w:pgMar w:top="1440" w:right="1440" w:bottom="1440" w:left="1440" w:header="720" w:footer="720" w:gutter="0"/>
          <w:cols w:space="720"/>
          <w:bidi/>
          <w:docGrid w:linePitch="360"/>
        </w:sectPr>
      </w:pPr>
    </w:p>
    <w:p w:rsidR="00DF649D" w:rsidRPr="00882F11" w:rsidRDefault="00DF649D" w:rsidP="0078079C">
      <w:pPr>
        <w:pStyle w:val="Heading1"/>
        <w:bidi/>
        <w:spacing w:before="0" w:line="360" w:lineRule="auto"/>
        <w:jc w:val="center"/>
        <w:rPr>
          <w:rFonts w:cs="Guttman Drogolin"/>
          <w:color w:val="auto"/>
          <w:sz w:val="24"/>
          <w:szCs w:val="24"/>
          <w:u w:val="single"/>
          <w:rtl/>
          <w:lang w:bidi="he-IL"/>
        </w:rPr>
      </w:pPr>
      <w:bookmarkStart w:id="201" w:name="_Toc496175457"/>
      <w:r w:rsidRPr="00882F11">
        <w:rPr>
          <w:rFonts w:cs="Guttman Drogolin" w:hint="cs"/>
          <w:color w:val="auto"/>
          <w:sz w:val="24"/>
          <w:szCs w:val="24"/>
          <w:u w:val="single"/>
          <w:rtl/>
          <w:lang w:bidi="he-IL"/>
        </w:rPr>
        <w:lastRenderedPageBreak/>
        <w:t>מאי נפק"מ שיש חלב נבילה</w:t>
      </w:r>
      <w:bookmarkEnd w:id="201"/>
    </w:p>
    <w:p w:rsidR="00DF649D" w:rsidRPr="00882F11" w:rsidRDefault="00471576" w:rsidP="00DF649D">
      <w:pPr>
        <w:keepNext/>
        <w:tabs>
          <w:tab w:val="right" w:pos="7497"/>
        </w:tabs>
        <w:bidi/>
        <w:jc w:val="both"/>
        <w:rPr>
          <w:rFonts w:cs="Guttman Drogolin"/>
          <w:rtl/>
          <w:lang w:bidi="he-IL"/>
        </w:rPr>
      </w:pPr>
      <w:r>
        <w:rPr>
          <w:rFonts w:cs="Guttman Drogolin"/>
          <w:rtl/>
          <w:lang w:bidi="he-IL"/>
        </w:rPr>
        <w:fldChar w:fldCharType="begin"/>
      </w:r>
      <w:r>
        <w:instrText xml:space="preserve"> XE "</w:instrText>
      </w:r>
      <w:r w:rsidRPr="00864FA6">
        <w:rPr>
          <w:rFonts w:hint="cs"/>
          <w:rtl/>
          <w:lang w:bidi="he-IL"/>
        </w:rPr>
        <w:instrText>חלב נבילה</w:instrText>
      </w:r>
      <w:r w:rsidRPr="00864FA6">
        <w:rPr>
          <w:rtl/>
        </w:rPr>
        <w:instrText>:</w:instrText>
      </w:r>
      <w:r w:rsidRPr="00864FA6">
        <w:rPr>
          <w:rFonts w:hint="cs"/>
          <w:rtl/>
          <w:lang w:bidi="he-IL"/>
        </w:rPr>
        <w:instrText>מאי נפק</w:instrText>
      </w:r>
      <w:r>
        <w:rPr>
          <w:rFonts w:eastAsiaTheme="minorEastAsia"/>
          <w:lang w:bidi="he-IL"/>
        </w:rPr>
        <w:instrText>\</w:instrText>
      </w:r>
      <w:r w:rsidRPr="00864FA6">
        <w:rPr>
          <w:rFonts w:hint="cs"/>
          <w:rtl/>
          <w:lang w:bidi="he-IL"/>
        </w:rPr>
        <w:instrText>"מ בדינה</w:instrText>
      </w:r>
      <w:r>
        <w:instrText xml:space="preserve">" </w:instrText>
      </w:r>
      <w:r>
        <w:rPr>
          <w:rFonts w:cs="Guttman Drogolin"/>
          <w:rtl/>
          <w:lang w:bidi="he-IL"/>
        </w:rPr>
        <w:fldChar w:fldCharType="end"/>
      </w:r>
      <w:r w:rsidR="00DF649D" w:rsidRPr="00882F11">
        <w:rPr>
          <w:rFonts w:cs="Guttman Drogolin" w:hint="cs"/>
          <w:rtl/>
          <w:lang w:bidi="he-IL"/>
        </w:rPr>
        <w:t>במס' חולין בדף ק"ח ע"א שואלת הגמ' אהא דאמרינן דסבר רב ש</w:t>
      </w:r>
      <w:r w:rsidR="00DC784B">
        <w:rPr>
          <w:rFonts w:cs="Guttman Drogolin" w:hint="cs"/>
          <w:rtl/>
          <w:lang w:bidi="he-IL"/>
        </w:rPr>
        <w:t>אפשר לסוחטו</w:t>
      </w:r>
      <w:r w:rsidR="00DF649D" w:rsidRPr="00882F11">
        <w:rPr>
          <w:rFonts w:cs="Guttman Drogolin" w:hint="cs"/>
          <w:rtl/>
          <w:lang w:bidi="he-IL"/>
        </w:rPr>
        <w:t xml:space="preserve"> אסור וחתיכה עצמה נעשית נבלה מהא דקאמר רב שכזית</w:t>
      </w:r>
      <w:r w:rsidR="00DF649D" w:rsidRPr="00882F11">
        <w:rPr>
          <w:rFonts w:cs="Guttman Drogolin"/>
          <w:rtl/>
          <w:lang w:bidi="he-IL"/>
        </w:rPr>
        <w:t xml:space="preserve"> </w:t>
      </w:r>
      <w:r w:rsidR="00DF649D" w:rsidRPr="00882F11">
        <w:rPr>
          <w:rFonts w:cs="Guttman Drogolin" w:hint="cs"/>
          <w:rtl/>
          <w:lang w:bidi="he-IL"/>
        </w:rPr>
        <w:t>בשר</w:t>
      </w:r>
      <w:r w:rsidR="00DF649D" w:rsidRPr="00882F11">
        <w:rPr>
          <w:rFonts w:cs="Guttman Drogolin"/>
          <w:rtl/>
          <w:lang w:bidi="he-IL"/>
        </w:rPr>
        <w:t xml:space="preserve"> </w:t>
      </w:r>
      <w:r w:rsidR="00DF649D" w:rsidRPr="00882F11">
        <w:rPr>
          <w:rFonts w:cs="Guttman Drogolin" w:hint="cs"/>
          <w:rtl/>
          <w:lang w:bidi="he-IL"/>
        </w:rPr>
        <w:t>שנפל</w:t>
      </w:r>
      <w:r w:rsidR="00DF649D" w:rsidRPr="00882F11">
        <w:rPr>
          <w:rFonts w:cs="Guttman Drogolin"/>
          <w:rtl/>
          <w:lang w:bidi="he-IL"/>
        </w:rPr>
        <w:t xml:space="preserve"> </w:t>
      </w:r>
      <w:r w:rsidR="00DF649D" w:rsidRPr="00882F11">
        <w:rPr>
          <w:rFonts w:cs="Guttman Drogolin" w:hint="cs"/>
          <w:rtl/>
          <w:lang w:bidi="he-IL"/>
        </w:rPr>
        <w:t>לתוך</w:t>
      </w:r>
      <w:r w:rsidR="00DF649D" w:rsidRPr="00882F11">
        <w:rPr>
          <w:rFonts w:cs="Guttman Drogolin"/>
          <w:rtl/>
          <w:lang w:bidi="he-IL"/>
        </w:rPr>
        <w:t xml:space="preserve"> </w:t>
      </w:r>
      <w:r w:rsidR="00DF649D" w:rsidRPr="00882F11">
        <w:rPr>
          <w:rFonts w:cs="Guttman Drogolin" w:hint="cs"/>
          <w:rtl/>
          <w:lang w:bidi="he-IL"/>
        </w:rPr>
        <w:t>יורה</w:t>
      </w:r>
      <w:r w:rsidR="00DF649D" w:rsidRPr="00882F11">
        <w:rPr>
          <w:rFonts w:cs="Guttman Drogolin"/>
          <w:rtl/>
          <w:lang w:bidi="he-IL"/>
        </w:rPr>
        <w:t xml:space="preserve"> </w:t>
      </w:r>
      <w:r w:rsidR="00DF649D" w:rsidRPr="00882F11">
        <w:rPr>
          <w:rFonts w:cs="Guttman Drogolin" w:hint="cs"/>
          <w:rtl/>
          <w:lang w:bidi="he-IL"/>
        </w:rPr>
        <w:t>של</w:t>
      </w:r>
      <w:r w:rsidR="00DF649D" w:rsidRPr="00882F11">
        <w:rPr>
          <w:rFonts w:cs="Guttman Drogolin"/>
          <w:rtl/>
          <w:lang w:bidi="he-IL"/>
        </w:rPr>
        <w:t xml:space="preserve"> </w:t>
      </w:r>
      <w:r w:rsidR="00DF649D" w:rsidRPr="00882F11">
        <w:rPr>
          <w:rFonts w:cs="Guttman Drogolin" w:hint="cs"/>
          <w:rtl/>
          <w:lang w:bidi="he-IL"/>
        </w:rPr>
        <w:t>חלב</w:t>
      </w:r>
      <w:r w:rsidR="00DF649D" w:rsidRPr="00882F11">
        <w:rPr>
          <w:rFonts w:cs="Guttman Drogolin"/>
          <w:rtl/>
          <w:lang w:bidi="he-IL"/>
        </w:rPr>
        <w:t xml:space="preserve"> </w:t>
      </w:r>
      <w:r w:rsidR="00DF649D" w:rsidRPr="00882F11">
        <w:rPr>
          <w:rFonts w:cs="Guttman Drogolin" w:hint="cs"/>
          <w:rtl/>
          <w:lang w:bidi="he-IL"/>
        </w:rPr>
        <w:t>בשר</w:t>
      </w:r>
      <w:r w:rsidR="00DF649D" w:rsidRPr="00882F11">
        <w:rPr>
          <w:rFonts w:cs="Guttman Drogolin"/>
          <w:rtl/>
          <w:lang w:bidi="he-IL"/>
        </w:rPr>
        <w:t xml:space="preserve"> </w:t>
      </w:r>
      <w:r w:rsidR="00DF649D" w:rsidRPr="00882F11">
        <w:rPr>
          <w:rFonts w:cs="Guttman Drogolin" w:hint="cs"/>
          <w:rtl/>
          <w:lang w:bidi="he-IL"/>
        </w:rPr>
        <w:t>אסור</w:t>
      </w:r>
      <w:r w:rsidR="00DF649D" w:rsidRPr="00882F11">
        <w:rPr>
          <w:rFonts w:cs="Guttman Drogolin"/>
          <w:rtl/>
          <w:lang w:bidi="he-IL"/>
        </w:rPr>
        <w:t xml:space="preserve"> </w:t>
      </w:r>
      <w:r w:rsidR="00DF649D" w:rsidRPr="00882F11">
        <w:rPr>
          <w:rFonts w:cs="Guttman Drogolin" w:hint="cs"/>
          <w:rtl/>
          <w:lang w:bidi="he-IL"/>
        </w:rPr>
        <w:t>וחלב</w:t>
      </w:r>
      <w:r w:rsidR="00DF649D" w:rsidRPr="00882F11">
        <w:rPr>
          <w:rFonts w:cs="Guttman Drogolin"/>
          <w:rtl/>
          <w:lang w:bidi="he-IL"/>
        </w:rPr>
        <w:t xml:space="preserve"> </w:t>
      </w:r>
      <w:r w:rsidR="00DF649D" w:rsidRPr="00882F11">
        <w:rPr>
          <w:rFonts w:cs="Guttman Drogolin" w:hint="cs"/>
          <w:rtl/>
          <w:lang w:bidi="he-IL"/>
        </w:rPr>
        <w:t xml:space="preserve">מותר, ואם </w:t>
      </w:r>
      <w:r w:rsidR="00DC784B">
        <w:rPr>
          <w:rFonts w:cs="Guttman Drogolin" w:hint="cs"/>
          <w:rtl/>
          <w:lang w:bidi="he-IL"/>
        </w:rPr>
        <w:t>אפשר לסוחטו</w:t>
      </w:r>
      <w:r w:rsidR="00DF649D" w:rsidRPr="00882F11">
        <w:rPr>
          <w:rFonts w:cs="Guttman Drogolin" w:hint="cs"/>
          <w:rtl/>
          <w:lang w:bidi="he-IL"/>
        </w:rPr>
        <w:t xml:space="preserve"> אסור למה החלב מולר הא החלב נבילה היא. וכוונת הגמ' שהחלב נבלע בחתיכת בשר ונאסר משום בב"ח ונעשית נבילה (אם </w:t>
      </w:r>
      <w:r w:rsidR="00DC784B">
        <w:rPr>
          <w:rFonts w:cs="Guttman Drogolin" w:hint="cs"/>
          <w:rtl/>
          <w:lang w:bidi="he-IL"/>
        </w:rPr>
        <w:t>אפשר לסוחטו</w:t>
      </w:r>
      <w:r w:rsidR="00DF649D" w:rsidRPr="00882F11">
        <w:rPr>
          <w:rFonts w:cs="Guttman Drogolin" w:hint="cs"/>
          <w:rtl/>
          <w:lang w:bidi="he-IL"/>
        </w:rPr>
        <w:t xml:space="preserve"> אסור). ולכן לרב דסבר</w:t>
      </w:r>
      <w:r w:rsidR="00CC696E" w:rsidRPr="00882F11">
        <w:rPr>
          <w:rFonts w:cs="Guttman Drogolin" w:hint="cs"/>
          <w:rtl/>
          <w:lang w:bidi="he-IL"/>
        </w:rPr>
        <w:t xml:space="preserve"> </w:t>
      </w:r>
      <w:r w:rsidR="00DF649D" w:rsidRPr="00882F11">
        <w:rPr>
          <w:rFonts w:cs="Guttman Drogolin" w:hint="cs"/>
          <w:rtl/>
          <w:lang w:bidi="he-IL"/>
        </w:rPr>
        <w:t>מין במינו לא בטל הי' צריך להיות הדין שהחלב נע"נ, ולכן אע"ג שהוציאו את הבשר מן החלב הא יש 'חלב נבילה' בתוך החלב הכשרה ואוסרו במשהו כיון שמין במינו לא בטל. והגמ' מתרצת לבסוף דמיירי בקדרה רותחת ול</w:t>
      </w:r>
      <w:r w:rsidR="00CC696E" w:rsidRPr="00882F11">
        <w:rPr>
          <w:rFonts w:cs="Guttman Drogolin" w:hint="cs"/>
          <w:rtl/>
          <w:lang w:bidi="he-IL"/>
        </w:rPr>
        <w:t>כן מיבלע בלע ומיפלט לא פליט, אבל</w:t>
      </w:r>
      <w:r w:rsidR="00DF649D" w:rsidRPr="00882F11">
        <w:rPr>
          <w:rFonts w:cs="Guttman Drogolin" w:hint="cs"/>
          <w:rtl/>
          <w:lang w:bidi="he-IL"/>
        </w:rPr>
        <w:t xml:space="preserve"> אה"נ אילו לא הי' קדרה רותחת גם החלב הי' צריך להיות אסור משום תערובת החלב נבילה שבה. </w:t>
      </w:r>
    </w:p>
    <w:p w:rsidR="009A46C1" w:rsidRPr="00882F11" w:rsidRDefault="00DF649D" w:rsidP="00DF649D">
      <w:pPr>
        <w:keepNext/>
        <w:tabs>
          <w:tab w:val="right" w:pos="7497"/>
        </w:tabs>
        <w:bidi/>
        <w:jc w:val="both"/>
        <w:rPr>
          <w:rFonts w:cs="Guttman Drogolin"/>
          <w:rtl/>
          <w:lang w:bidi="he-IL"/>
        </w:rPr>
      </w:pPr>
      <w:r w:rsidRPr="00882F11">
        <w:rPr>
          <w:rFonts w:cs="Guttman Drogolin" w:hint="cs"/>
          <w:rtl/>
          <w:lang w:bidi="he-IL"/>
        </w:rPr>
        <w:t>ודרך אגב יש להעיר שבהא דקדרה רותחת נראה פשוט שאין הכוונה ליד סולדת בו בלבד, דהא כשאינו רותחת הא מבואר בגמ' דפליט, והרי גם לפליטה צריכים לכה"פ שיעור יס"ב. ולכן כפשוטו שיעור רותחת היינו שמעלה אבעבועות, אבל פחות מזה אע"ג שחם הרי זה גם מפליט ולכן החלב נבילה הי' אוסר.</w:t>
      </w:r>
    </w:p>
    <w:p w:rsidR="00DF649D" w:rsidRPr="00882F11" w:rsidRDefault="00DF649D" w:rsidP="00CC696E">
      <w:pPr>
        <w:keepNext/>
        <w:tabs>
          <w:tab w:val="right" w:pos="7497"/>
        </w:tabs>
        <w:bidi/>
        <w:jc w:val="both"/>
        <w:rPr>
          <w:rFonts w:cs="Guttman Drogolin"/>
          <w:rtl/>
          <w:lang w:bidi="he-IL"/>
        </w:rPr>
      </w:pPr>
      <w:r w:rsidRPr="00882F11">
        <w:rPr>
          <w:rFonts w:cs="Guttman Drogolin" w:hint="cs"/>
          <w:rtl/>
          <w:lang w:bidi="he-IL"/>
        </w:rPr>
        <w:t>ומ"מ הנה לדינא אע"ג שבפחות מרותחת החלב נבילה נכנס בקדירה, מ"מ אין זה אוסר דהא קיי"ל כרוב ראשונים דסברי מין במינו בטל מדאורייתא ברוב ומדרבנן בס'. ולכן נפק"מ זה ליכא לדיד</w:t>
      </w:r>
      <w:r w:rsidR="00CC696E" w:rsidRPr="00882F11">
        <w:rPr>
          <w:rFonts w:cs="Guttman Drogolin" w:hint="cs"/>
          <w:rtl/>
          <w:lang w:bidi="he-IL"/>
        </w:rPr>
        <w:t>ן</w:t>
      </w:r>
      <w:r w:rsidRPr="00882F11">
        <w:rPr>
          <w:rFonts w:cs="Guttman Drogolin" w:hint="cs"/>
          <w:rtl/>
          <w:lang w:bidi="he-IL"/>
        </w:rPr>
        <w:t xml:space="preserve">. אבל מ"מ אנחנו מוצאים עוד נפק"מ בזה בראשונים. שהרי ברמב"ם וגם בשו"ע מבואר דאע"ג שבעלמא מהני טעימת קפילא אע"ג דלא ידעינן שיש ששים כנגד האיסור, הנ"מ בעלמא, אבל בבב"ח לא מהני טעימת קפילא. והטעם משום שחוץ מן הטעם בשר שבחלב, הרי יש גם </w:t>
      </w:r>
      <w:r w:rsidRPr="00882F11">
        <w:rPr>
          <w:rFonts w:cs="Guttman Drogolin" w:hint="cs"/>
          <w:rtl/>
          <w:lang w:bidi="he-IL"/>
        </w:rPr>
        <w:lastRenderedPageBreak/>
        <w:t>חלב נבילה, והחלב נבילה הרי יש לו אותו טעם של החלב הכשרה, ולכן מאי אהני לן הא דטעם הקפילא וא</w:t>
      </w:r>
      <w:r w:rsidR="006B0C75" w:rsidRPr="00882F11">
        <w:rPr>
          <w:rFonts w:cs="Guttman Drogolin" w:hint="cs"/>
          <w:rtl/>
          <w:lang w:bidi="he-IL"/>
        </w:rPr>
        <w:t>מר שאין כאן טעם בשר, הא עדיי</w:t>
      </w:r>
      <w:r w:rsidRPr="00882F11">
        <w:rPr>
          <w:rFonts w:cs="Guttman Drogolin" w:hint="cs"/>
          <w:rtl/>
          <w:lang w:bidi="he-IL"/>
        </w:rPr>
        <w:t xml:space="preserve">ן צריכים לברר שאין החלב נבילה אוסר, וזה אי אפשר אא"כ יש ס'. </w:t>
      </w:r>
    </w:p>
    <w:p w:rsidR="00A33D18" w:rsidRPr="00882F11" w:rsidRDefault="00DF649D" w:rsidP="00CC696E">
      <w:pPr>
        <w:keepNext/>
        <w:tabs>
          <w:tab w:val="right" w:pos="7497"/>
        </w:tabs>
        <w:bidi/>
        <w:jc w:val="both"/>
        <w:rPr>
          <w:rFonts w:cs="Guttman Drogolin"/>
          <w:rtl/>
          <w:lang w:bidi="he-IL"/>
        </w:rPr>
      </w:pPr>
      <w:r w:rsidRPr="00882F11">
        <w:rPr>
          <w:rFonts w:cs="Guttman Drogolin" w:hint="cs"/>
          <w:rtl/>
          <w:lang w:bidi="he-IL"/>
        </w:rPr>
        <w:t xml:space="preserve">ונחלקו האחרונים אם נפק"מ זו קיימת גם בחענ"ן בשאר איסורים (לאלו שסוברים דאמרינן חענ"ן בשאר איסורים), דרע"א סבר שגם בחענ"ן בשאר איסורים אי אפשר ע"י טעימת קפילא כיון שהרוטב של היתר נכנס לחתיכת איסור ונע"נ, ולכן אי אפשר שנדע שיש היתר אא"כ יש ששים. ולכן ברסי' צ"ח דן באיזה ענין באמת שייך טעימת קפילה, וע"ש מש"כ בזה. אמנם </w:t>
      </w:r>
      <w:r w:rsidR="00A33D18" w:rsidRPr="00882F11">
        <w:rPr>
          <w:rFonts w:cs="Guttman Drogolin" w:hint="cs"/>
          <w:rtl/>
          <w:lang w:bidi="he-IL"/>
        </w:rPr>
        <w:t>אחרים</w:t>
      </w:r>
      <w:r w:rsidRPr="00882F11">
        <w:rPr>
          <w:rFonts w:cs="Guttman Drogolin" w:hint="cs"/>
          <w:rtl/>
          <w:lang w:bidi="he-IL"/>
        </w:rPr>
        <w:t xml:space="preserve"> </w:t>
      </w:r>
      <w:r w:rsidR="00A33D18" w:rsidRPr="00882F11">
        <w:rPr>
          <w:rFonts w:cs="Guttman Drogolin" w:hint="cs"/>
          <w:rtl/>
          <w:lang w:bidi="he-IL"/>
        </w:rPr>
        <w:t>(ע' חוו</w:t>
      </w:r>
      <w:r w:rsidR="00A33D18" w:rsidRPr="00882F11">
        <w:rPr>
          <w:rFonts w:cs="Guttman Drogolin"/>
          <w:rtl/>
          <w:lang w:bidi="he-IL"/>
        </w:rPr>
        <w:t>"</w:t>
      </w:r>
      <w:r w:rsidR="00A33D18" w:rsidRPr="00882F11">
        <w:rPr>
          <w:rFonts w:cs="Guttman Drogolin" w:hint="cs"/>
          <w:rtl/>
          <w:lang w:bidi="he-IL"/>
        </w:rPr>
        <w:t>ד</w:t>
      </w:r>
      <w:r w:rsidR="00A33D18" w:rsidRPr="00882F11">
        <w:rPr>
          <w:rFonts w:cs="Guttman Drogolin"/>
          <w:rtl/>
          <w:lang w:bidi="he-IL"/>
        </w:rPr>
        <w:t xml:space="preserve"> </w:t>
      </w:r>
      <w:r w:rsidR="00A33D18" w:rsidRPr="00882F11">
        <w:rPr>
          <w:rFonts w:cs="Guttman Drogolin" w:hint="cs"/>
          <w:rtl/>
          <w:lang w:bidi="he-IL"/>
        </w:rPr>
        <w:t>כאן</w:t>
      </w:r>
      <w:r w:rsidR="00A33D18" w:rsidRPr="00882F11">
        <w:rPr>
          <w:rFonts w:cs="Guttman Drogolin"/>
          <w:rtl/>
          <w:lang w:bidi="he-IL"/>
        </w:rPr>
        <w:t xml:space="preserve">, </w:t>
      </w:r>
      <w:r w:rsidR="00A33D18" w:rsidRPr="00882F11">
        <w:rPr>
          <w:rFonts w:cs="Guttman Drogolin" w:hint="cs"/>
          <w:rtl/>
          <w:lang w:bidi="he-IL"/>
        </w:rPr>
        <w:t>וכן</w:t>
      </w:r>
      <w:r w:rsidR="00A33D18" w:rsidRPr="00882F11">
        <w:rPr>
          <w:rFonts w:cs="Guttman Drogolin"/>
          <w:rtl/>
          <w:lang w:bidi="he-IL"/>
        </w:rPr>
        <w:t xml:space="preserve"> </w:t>
      </w:r>
      <w:r w:rsidR="00A33D18" w:rsidRPr="00882F11">
        <w:rPr>
          <w:rFonts w:cs="Guttman Drogolin" w:hint="cs"/>
          <w:rtl/>
          <w:lang w:bidi="he-IL"/>
        </w:rPr>
        <w:t>בשו</w:t>
      </w:r>
      <w:r w:rsidR="00A33D18" w:rsidRPr="00882F11">
        <w:rPr>
          <w:rFonts w:cs="Guttman Drogolin"/>
          <w:rtl/>
          <w:lang w:bidi="he-IL"/>
        </w:rPr>
        <w:t>"</w:t>
      </w:r>
      <w:r w:rsidR="00A33D18" w:rsidRPr="00882F11">
        <w:rPr>
          <w:rFonts w:cs="Guttman Drogolin" w:hint="cs"/>
          <w:rtl/>
          <w:lang w:bidi="he-IL"/>
        </w:rPr>
        <w:t>ת</w:t>
      </w:r>
      <w:r w:rsidR="00A33D18" w:rsidRPr="00882F11">
        <w:rPr>
          <w:rFonts w:cs="Guttman Drogolin"/>
          <w:rtl/>
          <w:lang w:bidi="he-IL"/>
        </w:rPr>
        <w:t xml:space="preserve"> </w:t>
      </w:r>
      <w:r w:rsidR="00A33D18" w:rsidRPr="00882F11">
        <w:rPr>
          <w:rFonts w:cs="Guttman Drogolin" w:hint="cs"/>
          <w:rtl/>
          <w:lang w:bidi="he-IL"/>
        </w:rPr>
        <w:t>חת</w:t>
      </w:r>
      <w:r w:rsidR="00A33D18" w:rsidRPr="00882F11">
        <w:rPr>
          <w:rFonts w:cs="Guttman Drogolin"/>
          <w:rtl/>
          <w:lang w:bidi="he-IL"/>
        </w:rPr>
        <w:t>"</w:t>
      </w:r>
      <w:r w:rsidR="00A33D18" w:rsidRPr="00882F11">
        <w:rPr>
          <w:rFonts w:cs="Guttman Drogolin" w:hint="cs"/>
          <w:rtl/>
          <w:lang w:bidi="he-IL"/>
        </w:rPr>
        <w:t>ס</w:t>
      </w:r>
      <w:r w:rsidR="00A33D18" w:rsidRPr="00882F11">
        <w:rPr>
          <w:rFonts w:cs="Guttman Drogolin"/>
          <w:rtl/>
          <w:lang w:bidi="he-IL"/>
        </w:rPr>
        <w:t xml:space="preserve"> </w:t>
      </w:r>
      <w:r w:rsidR="00A33D18" w:rsidRPr="00882F11">
        <w:rPr>
          <w:rFonts w:cs="Guttman Drogolin" w:hint="cs"/>
          <w:rtl/>
          <w:lang w:bidi="he-IL"/>
        </w:rPr>
        <w:t>יו</w:t>
      </w:r>
      <w:r w:rsidR="00A33D18" w:rsidRPr="00882F11">
        <w:rPr>
          <w:rFonts w:cs="Guttman Drogolin"/>
          <w:rtl/>
          <w:lang w:bidi="he-IL"/>
        </w:rPr>
        <w:t>"</w:t>
      </w:r>
      <w:r w:rsidR="00A33D18" w:rsidRPr="00882F11">
        <w:rPr>
          <w:rFonts w:cs="Guttman Drogolin" w:hint="cs"/>
          <w:rtl/>
          <w:lang w:bidi="he-IL"/>
        </w:rPr>
        <w:t>ד</w:t>
      </w:r>
      <w:r w:rsidR="00A33D18" w:rsidRPr="00882F11">
        <w:rPr>
          <w:rFonts w:cs="Guttman Drogolin"/>
          <w:rtl/>
          <w:lang w:bidi="he-IL"/>
        </w:rPr>
        <w:t xml:space="preserve"> </w:t>
      </w:r>
      <w:r w:rsidR="00A33D18" w:rsidRPr="00882F11">
        <w:rPr>
          <w:rFonts w:cs="Guttman Drogolin" w:hint="cs"/>
          <w:rtl/>
          <w:lang w:bidi="he-IL"/>
        </w:rPr>
        <w:t>סי</w:t>
      </w:r>
      <w:r w:rsidR="00A33D18" w:rsidRPr="00882F11">
        <w:rPr>
          <w:rFonts w:cs="Guttman Drogolin"/>
          <w:rtl/>
          <w:lang w:bidi="he-IL"/>
        </w:rPr>
        <w:t xml:space="preserve">' </w:t>
      </w:r>
      <w:r w:rsidR="00A33D18" w:rsidRPr="00882F11">
        <w:rPr>
          <w:rFonts w:cs="Guttman Drogolin" w:hint="cs"/>
          <w:rtl/>
          <w:lang w:bidi="he-IL"/>
        </w:rPr>
        <w:t>ע</w:t>
      </w:r>
      <w:r w:rsidR="00A33D18" w:rsidRPr="00882F11">
        <w:rPr>
          <w:rFonts w:cs="Guttman Drogolin"/>
          <w:rtl/>
          <w:lang w:bidi="he-IL"/>
        </w:rPr>
        <w:t>"</w:t>
      </w:r>
      <w:r w:rsidR="00A33D18" w:rsidRPr="00882F11">
        <w:rPr>
          <w:rFonts w:cs="Guttman Drogolin" w:hint="cs"/>
          <w:rtl/>
          <w:lang w:bidi="he-IL"/>
        </w:rPr>
        <w:t>א</w:t>
      </w:r>
      <w:r w:rsidR="00A33D18" w:rsidRPr="00882F11">
        <w:rPr>
          <w:rFonts w:cs="Guttman Drogolin"/>
          <w:rtl/>
          <w:lang w:bidi="he-IL"/>
        </w:rPr>
        <w:t xml:space="preserve"> </w:t>
      </w:r>
      <w:r w:rsidR="00A33D18" w:rsidRPr="00882F11">
        <w:rPr>
          <w:rFonts w:cs="Guttman Drogolin" w:hint="cs"/>
          <w:rtl/>
          <w:lang w:bidi="he-IL"/>
        </w:rPr>
        <w:t>אות</w:t>
      </w:r>
      <w:r w:rsidR="00A33D18" w:rsidRPr="00882F11">
        <w:rPr>
          <w:rFonts w:cs="Guttman Drogolin"/>
          <w:rtl/>
          <w:lang w:bidi="he-IL"/>
        </w:rPr>
        <w:t xml:space="preserve"> </w:t>
      </w:r>
      <w:r w:rsidR="00A33D18" w:rsidRPr="00882F11">
        <w:rPr>
          <w:rFonts w:cs="Guttman Drogolin" w:hint="cs"/>
          <w:rtl/>
          <w:lang w:bidi="he-IL"/>
        </w:rPr>
        <w:t>י</w:t>
      </w:r>
      <w:r w:rsidR="00A33D18" w:rsidRPr="00882F11">
        <w:rPr>
          <w:rFonts w:cs="Guttman Drogolin"/>
          <w:rtl/>
          <w:lang w:bidi="he-IL"/>
        </w:rPr>
        <w:t>"</w:t>
      </w:r>
      <w:r w:rsidR="00A33D18" w:rsidRPr="00882F11">
        <w:rPr>
          <w:rFonts w:cs="Guttman Drogolin" w:hint="cs"/>
          <w:rtl/>
          <w:lang w:bidi="he-IL"/>
        </w:rPr>
        <w:t xml:space="preserve">ב) </w:t>
      </w:r>
      <w:r w:rsidRPr="00882F11">
        <w:rPr>
          <w:rFonts w:cs="Guttman Drogolin" w:hint="cs"/>
          <w:rtl/>
          <w:lang w:bidi="he-IL"/>
        </w:rPr>
        <w:t>נקטו</w:t>
      </w:r>
      <w:r w:rsidR="00A33D18" w:rsidRPr="00882F11">
        <w:rPr>
          <w:rFonts w:cs="Guttman Drogolin" w:hint="cs"/>
          <w:rtl/>
          <w:lang w:bidi="he-IL"/>
        </w:rPr>
        <w:t xml:space="preserve"> שבחענ"ן בשאר איסורים שפיר אפשר לסמוך אקפילא, ומשום דאמרינן שאין הנאסר יכול להיות יותר חמור מן האוסרו, וכמו שכתבו התוס' במלח שבלע דם שאין המלח אוסר יותר מן הדם הי' ליכול לאסור אע"ג שיש למלח יותר כח לתת טעם מדם. ודבריהם תלוים בפי' דברי הגמ' שבדף צ"ט ע"א, ע' לעיל בשיעור כ"ב שהארכנו בזה. </w:t>
      </w:r>
    </w:p>
    <w:p w:rsidR="006B0931" w:rsidRPr="00882F11" w:rsidRDefault="00A33D18" w:rsidP="00CC696E">
      <w:pPr>
        <w:keepNext/>
        <w:tabs>
          <w:tab w:val="right" w:pos="7497"/>
        </w:tabs>
        <w:bidi/>
        <w:jc w:val="both"/>
        <w:rPr>
          <w:rFonts w:cs="Guttman Drogolin"/>
          <w:rtl/>
          <w:lang w:bidi="he-IL"/>
        </w:rPr>
      </w:pPr>
      <w:r w:rsidRPr="00882F11">
        <w:rPr>
          <w:rFonts w:cs="Guttman Drogolin" w:hint="cs"/>
          <w:rtl/>
          <w:lang w:bidi="he-IL"/>
        </w:rPr>
        <w:t>והנה ג</w:t>
      </w:r>
      <w:r w:rsidR="00CC696E" w:rsidRPr="00882F11">
        <w:rPr>
          <w:rFonts w:cs="Guttman Drogolin" w:hint="cs"/>
          <w:rtl/>
          <w:lang w:bidi="he-IL"/>
        </w:rPr>
        <w:t>ם נפק"מ זו ליתי' לדידן כיון שכת</w:t>
      </w:r>
      <w:r w:rsidRPr="00882F11">
        <w:rPr>
          <w:rFonts w:cs="Guttman Drogolin" w:hint="cs"/>
          <w:rtl/>
          <w:lang w:bidi="he-IL"/>
        </w:rPr>
        <w:t>ב</w:t>
      </w:r>
      <w:r w:rsidR="00CC696E" w:rsidRPr="00882F11">
        <w:rPr>
          <w:rFonts w:cs="Guttman Drogolin" w:hint="cs"/>
          <w:rtl/>
          <w:lang w:bidi="he-IL"/>
        </w:rPr>
        <w:t xml:space="preserve"> </w:t>
      </w:r>
      <w:r w:rsidRPr="00882F11">
        <w:rPr>
          <w:rFonts w:cs="Guttman Drogolin" w:hint="cs"/>
          <w:rtl/>
          <w:lang w:bidi="he-IL"/>
        </w:rPr>
        <w:t>הרמ"א ברסי' צ"ח דקיי"ל שלא לסמוך אטעימת קפילא</w:t>
      </w:r>
      <w:r w:rsidRPr="00882F11">
        <w:rPr>
          <w:rStyle w:val="FootnoteReference"/>
          <w:rFonts w:cs="Guttman Drogolin"/>
          <w:rtl/>
          <w:lang w:bidi="he-IL"/>
        </w:rPr>
        <w:footnoteReference w:id="241"/>
      </w:r>
      <w:r w:rsidRPr="00882F11">
        <w:rPr>
          <w:rFonts w:cs="Guttman Drogolin" w:hint="cs"/>
          <w:rtl/>
          <w:lang w:bidi="he-IL"/>
        </w:rPr>
        <w:t>. אמנם לכאורה הי' צריך להיות עוד נפק"מ בחלב נבילה, והוא בב' אנפי. חדא שהרי כיון דאמרינן שחלב שנבלע בחתיכה נע"נ ושוב יוצא ממנו אם אינו קדרה רותחת, לכאורה י"ל שאחרי שהחלב הראשון נכנס ויוצא, שוב נכנס עוד חלב ויוצא, וכן לעול</w:t>
      </w:r>
      <w:r w:rsidR="006B0931" w:rsidRPr="00882F11">
        <w:rPr>
          <w:rFonts w:cs="Guttman Drogolin" w:hint="cs"/>
          <w:rtl/>
          <w:lang w:bidi="he-IL"/>
        </w:rPr>
        <w:t>ם עד</w:t>
      </w:r>
      <w:r w:rsidRPr="00882F11">
        <w:rPr>
          <w:rFonts w:cs="Guttman Drogolin" w:hint="cs"/>
          <w:rtl/>
          <w:lang w:bidi="he-IL"/>
        </w:rPr>
        <w:t xml:space="preserve"> שיהא בקדרה יותר חלב נבילה משיעור החתיכה שנפלה לתוך החלב.</w:t>
      </w:r>
      <w:r w:rsidR="006B0931" w:rsidRPr="00882F11">
        <w:rPr>
          <w:rFonts w:cs="Guttman Drogolin" w:hint="cs"/>
          <w:rtl/>
          <w:lang w:bidi="he-IL"/>
        </w:rPr>
        <w:t xml:space="preserve"> וא"</w:t>
      </w:r>
      <w:r w:rsidR="006B0C75" w:rsidRPr="00882F11">
        <w:rPr>
          <w:rFonts w:cs="Guttman Drogolin" w:hint="cs"/>
          <w:rtl/>
          <w:lang w:bidi="he-IL"/>
        </w:rPr>
        <w:t>כ האיך אפש</w:t>
      </w:r>
      <w:r w:rsidR="006B0931" w:rsidRPr="00882F11">
        <w:rPr>
          <w:rFonts w:cs="Guttman Drogolin" w:hint="cs"/>
          <w:rtl/>
          <w:lang w:bidi="he-IL"/>
        </w:rPr>
        <w:t xml:space="preserve">ר להתיר אפילו אם יש ששים כנגד החתיכה. </w:t>
      </w:r>
    </w:p>
    <w:p w:rsidR="00AB32C0" w:rsidRPr="00882F11" w:rsidRDefault="006B0931" w:rsidP="008B0600">
      <w:pPr>
        <w:keepNext/>
        <w:tabs>
          <w:tab w:val="right" w:pos="7497"/>
        </w:tabs>
        <w:bidi/>
        <w:jc w:val="both"/>
        <w:rPr>
          <w:rFonts w:cs="Guttman Drogolin"/>
          <w:rtl/>
          <w:lang w:bidi="he-IL"/>
        </w:rPr>
      </w:pPr>
      <w:r w:rsidRPr="00882F11">
        <w:rPr>
          <w:rFonts w:cs="Guttman Drogolin" w:hint="cs"/>
          <w:rtl/>
          <w:lang w:bidi="he-IL"/>
        </w:rPr>
        <w:t xml:space="preserve">וקושיא זו הקשה הרמב"ן בחידושין למס' חולין דף ק"ח ע"א, וכתב עליו ב' תירוצים. חדא שהחלב </w:t>
      </w:r>
      <w:r w:rsidRPr="00882F11">
        <w:rPr>
          <w:rFonts w:cs="Guttman Drogolin" w:hint="cs"/>
          <w:rtl/>
          <w:lang w:bidi="he-IL"/>
        </w:rPr>
        <w:lastRenderedPageBreak/>
        <w:t>נבילה מיד שיצא מן הח</w:t>
      </w:r>
      <w:r w:rsidR="008B0600" w:rsidRPr="00882F11">
        <w:rPr>
          <w:rFonts w:cs="Guttman Drogolin" w:hint="cs"/>
          <w:rtl/>
          <w:lang w:bidi="he-IL"/>
        </w:rPr>
        <w:t>ת</w:t>
      </w:r>
      <w:r w:rsidRPr="00882F11">
        <w:rPr>
          <w:rFonts w:cs="Guttman Drogolin" w:hint="cs"/>
          <w:rtl/>
          <w:lang w:bidi="he-IL"/>
        </w:rPr>
        <w:t>יכה בטלה ברוב, ואע"ג שיוצא גם עוד חלב נבילה, קמא קמא בטיל. והנ"מ עד שיתוסף מספיק טעם של בשר, שכשיש טעם בשר הרי הוא חוזר וניעור ואסור משום הטעם בשר שבו</w:t>
      </w:r>
      <w:bookmarkStart w:id="202" w:name="_Ref452362796"/>
      <w:r w:rsidR="000611D3" w:rsidRPr="00882F11">
        <w:rPr>
          <w:rStyle w:val="FootnoteReference"/>
          <w:rFonts w:cs="Guttman Drogolin"/>
          <w:rtl/>
          <w:lang w:bidi="he-IL"/>
        </w:rPr>
        <w:footnoteReference w:id="242"/>
      </w:r>
      <w:bookmarkEnd w:id="202"/>
      <w:r w:rsidRPr="00882F11">
        <w:rPr>
          <w:rFonts w:cs="Guttman Drogolin" w:hint="cs"/>
          <w:rtl/>
          <w:lang w:bidi="he-IL"/>
        </w:rPr>
        <w:t>. ובפר"ח הקשה אתי' זה דהא קיי"ל שחוזר וניעור</w:t>
      </w:r>
      <w:r w:rsidR="000611D3" w:rsidRPr="00882F11">
        <w:rPr>
          <w:rFonts w:cs="Guttman Drogolin" w:hint="cs"/>
          <w:rtl/>
          <w:lang w:bidi="he-IL"/>
        </w:rPr>
        <w:t>, וע' מש"כ בזה בחזו"א יו</w:t>
      </w:r>
      <w:r w:rsidR="000611D3" w:rsidRPr="00882F11">
        <w:rPr>
          <w:rFonts w:cs="Guttman Drogolin"/>
          <w:rtl/>
          <w:lang w:bidi="he-IL"/>
        </w:rPr>
        <w:t>"</w:t>
      </w:r>
      <w:r w:rsidR="000611D3" w:rsidRPr="00882F11">
        <w:rPr>
          <w:rFonts w:cs="Guttman Drogolin" w:hint="cs"/>
          <w:rtl/>
          <w:lang w:bidi="he-IL"/>
        </w:rPr>
        <w:t>ד</w:t>
      </w:r>
      <w:r w:rsidR="000611D3" w:rsidRPr="00882F11">
        <w:rPr>
          <w:rFonts w:cs="Guttman Drogolin"/>
          <w:rtl/>
          <w:lang w:bidi="he-IL"/>
        </w:rPr>
        <w:t xml:space="preserve"> </w:t>
      </w:r>
      <w:r w:rsidR="000611D3" w:rsidRPr="00882F11">
        <w:rPr>
          <w:rFonts w:cs="Guttman Drogolin" w:hint="cs"/>
          <w:rtl/>
          <w:lang w:bidi="he-IL"/>
        </w:rPr>
        <w:t>סי</w:t>
      </w:r>
      <w:r w:rsidR="000611D3" w:rsidRPr="00882F11">
        <w:rPr>
          <w:rFonts w:cs="Guttman Drogolin"/>
          <w:rtl/>
          <w:lang w:bidi="he-IL"/>
        </w:rPr>
        <w:t xml:space="preserve">' </w:t>
      </w:r>
      <w:r w:rsidR="000611D3" w:rsidRPr="00882F11">
        <w:rPr>
          <w:rFonts w:cs="Guttman Drogolin" w:hint="cs"/>
          <w:rtl/>
          <w:lang w:bidi="he-IL"/>
        </w:rPr>
        <w:t>י</w:t>
      </w:r>
      <w:r w:rsidR="000611D3" w:rsidRPr="00882F11">
        <w:rPr>
          <w:rFonts w:cs="Guttman Drogolin"/>
          <w:rtl/>
          <w:lang w:bidi="he-IL"/>
        </w:rPr>
        <w:t>"</w:t>
      </w:r>
      <w:r w:rsidR="000611D3" w:rsidRPr="00882F11">
        <w:rPr>
          <w:rFonts w:cs="Guttman Drogolin" w:hint="cs"/>
          <w:rtl/>
          <w:lang w:bidi="he-IL"/>
        </w:rPr>
        <w:t>ח</w:t>
      </w:r>
      <w:r w:rsidR="000611D3" w:rsidRPr="00882F11">
        <w:rPr>
          <w:rFonts w:cs="Guttman Drogolin"/>
          <w:rtl/>
          <w:lang w:bidi="he-IL"/>
        </w:rPr>
        <w:t xml:space="preserve"> </w:t>
      </w:r>
      <w:r w:rsidR="000611D3" w:rsidRPr="00882F11">
        <w:rPr>
          <w:rFonts w:cs="Guttman Drogolin" w:hint="cs"/>
          <w:rtl/>
          <w:lang w:bidi="he-IL"/>
        </w:rPr>
        <w:t>ס</w:t>
      </w:r>
      <w:r w:rsidR="000611D3" w:rsidRPr="00882F11">
        <w:rPr>
          <w:rFonts w:cs="Guttman Drogolin"/>
          <w:rtl/>
          <w:lang w:bidi="he-IL"/>
        </w:rPr>
        <w:t>"</w:t>
      </w:r>
      <w:r w:rsidR="000611D3" w:rsidRPr="00882F11">
        <w:rPr>
          <w:rFonts w:cs="Guttman Drogolin" w:hint="cs"/>
          <w:rtl/>
          <w:lang w:bidi="he-IL"/>
        </w:rPr>
        <w:t>ק</w:t>
      </w:r>
      <w:r w:rsidR="000611D3" w:rsidRPr="00882F11">
        <w:rPr>
          <w:rFonts w:cs="Guttman Drogolin"/>
          <w:rtl/>
          <w:lang w:bidi="he-IL"/>
        </w:rPr>
        <w:t xml:space="preserve"> </w:t>
      </w:r>
      <w:r w:rsidR="000611D3" w:rsidRPr="00882F11">
        <w:rPr>
          <w:rFonts w:cs="Guttman Drogolin" w:hint="cs"/>
          <w:rtl/>
          <w:lang w:bidi="he-IL"/>
        </w:rPr>
        <w:t>א</w:t>
      </w:r>
      <w:r w:rsidR="000611D3" w:rsidRPr="00882F11">
        <w:rPr>
          <w:rFonts w:cs="Guttman Drogolin"/>
          <w:rtl/>
          <w:lang w:bidi="he-IL"/>
        </w:rPr>
        <w:t>'</w:t>
      </w:r>
      <w:r w:rsidR="000611D3" w:rsidRPr="00882F11">
        <w:rPr>
          <w:rFonts w:cs="Guttman Drogolin" w:hint="cs"/>
          <w:rtl/>
          <w:lang w:bidi="he-IL"/>
        </w:rPr>
        <w:t xml:space="preserve">. </w:t>
      </w:r>
      <w:r w:rsidRPr="00882F11">
        <w:rPr>
          <w:rFonts w:cs="Guttman Drogolin" w:hint="cs"/>
          <w:rtl/>
          <w:lang w:bidi="he-IL"/>
        </w:rPr>
        <w:t>עוד תי' הרמב"ן שטבע החתיכה שאינו מוציא חלב נבילה מעצמו יותר משיעור עצמו אפילו אם יתבשל לזמן ממושך.</w:t>
      </w:r>
    </w:p>
    <w:p w:rsidR="00B3079F" w:rsidRPr="00882F11" w:rsidRDefault="00BA7132" w:rsidP="00CC696E">
      <w:pPr>
        <w:keepNext/>
        <w:tabs>
          <w:tab w:val="right" w:pos="7497"/>
        </w:tabs>
        <w:bidi/>
        <w:jc w:val="both"/>
        <w:rPr>
          <w:rFonts w:cs="Guttman Drogolin"/>
          <w:rtl/>
          <w:lang w:bidi="he-IL"/>
        </w:rPr>
      </w:pPr>
      <w:r w:rsidRPr="00882F11">
        <w:rPr>
          <w:rFonts w:cs="Guttman Drogolin" w:hint="cs"/>
          <w:rtl/>
          <w:lang w:bidi="he-IL"/>
        </w:rPr>
        <w:t>ולכאורה הי' אפשר לומר בזה עוד תי' לקושיית הרמב"ן, שהרי הבאנו מקודם שיטת הט"ז בסי' פ"ז ס"</w:t>
      </w:r>
      <w:r w:rsidR="002E170C" w:rsidRPr="00882F11">
        <w:rPr>
          <w:rFonts w:cs="Guttman Drogolin" w:hint="cs"/>
          <w:rtl/>
          <w:lang w:bidi="he-IL"/>
        </w:rPr>
        <w:t>ק ב</w:t>
      </w:r>
      <w:r w:rsidRPr="00882F11">
        <w:rPr>
          <w:rFonts w:cs="Guttman Drogolin" w:hint="cs"/>
          <w:rtl/>
          <w:lang w:bidi="he-IL"/>
        </w:rPr>
        <w:t>' שלא אומרים חענ"ן בדבר שהוא כבר אסור מטעם אחר, ולכן אם יש בשר טמא שנתבשל עם חלב טהור, אי אפשר לומר חענ"ן לאסור את החלב, דהא בבשר אי אפשר לומר חענ"ן כיון שכבר נאסר, וכיון שאי אפשר לומר כן בבשר ממילא אי אפשר לומר כן גם בחלב. וכן הש"ך, אע"ג שחלק על הט"ז שם בנקוה"כ, מ"מ הערנו שבסי' צ"ד ס"ק ד' לכאורה מבואר שגם הש"ך מודה לדבריו אם הבשר כבר נאסר משום בב"ח. וא"כ לכאורה פשוט שאי אפשר לחשוש ליותר משיעור א' של חלב, דהא בשעה שנאסר החתיכה משום בב"ח, גם החלב שנכנס בו נאסר משום בב"ח, אבל לאחר מכן שחלב חדש נכנס, שוב אינו נאסר כיון שהבשר כבר נאסר. ולכאורה א"כ חזינן מקושיית הרמב"ן דלית לי' לא כט"ז ולא כש"ך.</w:t>
      </w:r>
      <w:r w:rsidR="006B0931" w:rsidRPr="00882F11">
        <w:rPr>
          <w:rFonts w:cs="Guttman Drogolin" w:hint="cs"/>
          <w:rtl/>
          <w:lang w:bidi="he-IL"/>
        </w:rPr>
        <w:t xml:space="preserve"> </w:t>
      </w:r>
    </w:p>
    <w:p w:rsidR="006B0C75" w:rsidRPr="00882F11" w:rsidRDefault="00B3079F" w:rsidP="006B0C75">
      <w:pPr>
        <w:keepNext/>
        <w:tabs>
          <w:tab w:val="right" w:pos="7497"/>
        </w:tabs>
        <w:bidi/>
        <w:jc w:val="both"/>
        <w:rPr>
          <w:rFonts w:cs="Guttman Drogolin"/>
          <w:rtl/>
          <w:lang w:bidi="he-IL"/>
        </w:rPr>
      </w:pPr>
      <w:r w:rsidRPr="00882F11">
        <w:rPr>
          <w:rFonts w:cs="Guttman Drogolin" w:hint="cs"/>
          <w:rtl/>
          <w:lang w:bidi="he-IL"/>
        </w:rPr>
        <w:t xml:space="preserve">ועוד יש להקשות, דנהי נמי שלא יוצא מן החתיכה שיעור חלב נבילה יותר משיעור החתיכה, מ"מ למה מבואר בשו"ע שאם חתיכת בשר נפל לתוך יורה של חלב שהוא מותר אם יש ששים כנגד החתיכה, הא חוץ מן החתיכת בשר יש גם חלב נבילה מאותו שיעור, וא"כ לכאורה צריכים שיעור פעמיים ס' כדי לבטלו. כן הקשה בס' כרו"פ (אלא </w:t>
      </w:r>
      <w:r w:rsidRPr="00882F11">
        <w:rPr>
          <w:rFonts w:cs="Guttman Drogolin" w:hint="cs"/>
          <w:rtl/>
          <w:lang w:bidi="he-IL"/>
        </w:rPr>
        <w:lastRenderedPageBreak/>
        <w:t>שלשונו שם שיצטרך שיעור ס"</w:t>
      </w:r>
      <w:r w:rsidR="006B0C75" w:rsidRPr="00882F11">
        <w:rPr>
          <w:rFonts w:cs="Guttman Drogolin" w:hint="cs"/>
          <w:rtl/>
          <w:lang w:bidi="he-IL"/>
        </w:rPr>
        <w:t>א, ושיעור זה צ"ע לכאורה דהא יש כפל שיעור האיסור ולכן לכאורה יצטרך כפל שיעור היתר)</w:t>
      </w:r>
      <w:r w:rsidR="006B0C75" w:rsidRPr="00882F11">
        <w:rPr>
          <w:rStyle w:val="FootnoteReference"/>
          <w:rFonts w:cs="Guttman Drogolin"/>
          <w:rtl/>
          <w:lang w:bidi="he-IL"/>
        </w:rPr>
        <w:footnoteReference w:id="243"/>
      </w:r>
      <w:r w:rsidR="006B0C75" w:rsidRPr="00882F11">
        <w:rPr>
          <w:rFonts w:cs="Guttman Drogolin" w:hint="cs"/>
          <w:rtl/>
          <w:lang w:bidi="he-IL"/>
        </w:rPr>
        <w:t xml:space="preserve">. </w:t>
      </w:r>
    </w:p>
    <w:p w:rsidR="00890952" w:rsidRPr="00882F11" w:rsidRDefault="00AB32C0" w:rsidP="004A575E">
      <w:pPr>
        <w:keepNext/>
        <w:tabs>
          <w:tab w:val="right" w:pos="7497"/>
        </w:tabs>
        <w:bidi/>
        <w:jc w:val="both"/>
        <w:rPr>
          <w:rFonts w:cs="Guttman Drogolin"/>
          <w:rtl/>
          <w:lang w:bidi="he-IL"/>
        </w:rPr>
      </w:pPr>
      <w:r w:rsidRPr="00882F11">
        <w:rPr>
          <w:rFonts w:cs="Guttman Drogolin" w:hint="cs"/>
          <w:rtl/>
          <w:lang w:bidi="he-IL"/>
        </w:rPr>
        <w:t xml:space="preserve">ובתי' קושיא זו יש מן האחרונים </w:t>
      </w:r>
      <w:r w:rsidR="004A575E" w:rsidRPr="00882F11">
        <w:rPr>
          <w:rFonts w:cs="Guttman Drogolin" w:hint="cs"/>
          <w:rtl/>
          <w:lang w:bidi="he-IL"/>
        </w:rPr>
        <w:t xml:space="preserve">(ע' ש"ך הארוך סי' צ"ד ד"ה טור ואם תחב) </w:t>
      </w:r>
      <w:r w:rsidRPr="00882F11">
        <w:rPr>
          <w:rFonts w:cs="Guttman Drogolin" w:hint="cs"/>
          <w:rtl/>
          <w:lang w:bidi="he-IL"/>
        </w:rPr>
        <w:t>שאומרים שלעולם אע"ג שיש חלב נבילה אין צריך אלא שיעור ששים, והטעם משום דקיי"ל שאיסורים מבטלים זה את זה, ולכן אע"ג שיש כאן בין חלב נבילה ובין טעם בשר, מ"מ הטעם בשר מצטרף עם החלב הכשר לבטל את החלב נבילה, וכן החלב נבילה מצטרפת עם החלב הכשר לבטל את הטעם בשר, נמצא שיש ס' לבטל כל א' וא'. רק עומד לנגדינו דברי התבו</w:t>
      </w:r>
      <w:r w:rsidRPr="00882F11">
        <w:rPr>
          <w:rFonts w:cs="Guttman Drogolin"/>
          <w:rtl/>
          <w:lang w:bidi="he-IL"/>
        </w:rPr>
        <w:t>"</w:t>
      </w:r>
      <w:r w:rsidRPr="00882F11">
        <w:rPr>
          <w:rFonts w:cs="Guttman Drogolin" w:hint="cs"/>
          <w:rtl/>
          <w:lang w:bidi="he-IL"/>
        </w:rPr>
        <w:t>ש</w:t>
      </w:r>
      <w:r w:rsidRPr="00882F11">
        <w:rPr>
          <w:rFonts w:cs="Guttman Drogolin"/>
          <w:rtl/>
          <w:lang w:bidi="he-IL"/>
        </w:rPr>
        <w:t xml:space="preserve"> (</w:t>
      </w:r>
      <w:r w:rsidRPr="00882F11">
        <w:rPr>
          <w:rFonts w:cs="Guttman Drogolin" w:hint="cs"/>
          <w:rtl/>
          <w:lang w:bidi="he-IL"/>
        </w:rPr>
        <w:t>סי</w:t>
      </w:r>
      <w:r w:rsidRPr="00882F11">
        <w:rPr>
          <w:rFonts w:cs="Guttman Drogolin"/>
          <w:rtl/>
          <w:lang w:bidi="he-IL"/>
        </w:rPr>
        <w:t xml:space="preserve">' </w:t>
      </w:r>
      <w:r w:rsidRPr="00882F11">
        <w:rPr>
          <w:rFonts w:cs="Guttman Drogolin" w:hint="cs"/>
          <w:rtl/>
          <w:lang w:bidi="he-IL"/>
        </w:rPr>
        <w:t>ל</w:t>
      </w:r>
      <w:r w:rsidRPr="00882F11">
        <w:rPr>
          <w:rFonts w:cs="Guttman Drogolin"/>
          <w:rtl/>
          <w:lang w:bidi="he-IL"/>
        </w:rPr>
        <w:t>"</w:t>
      </w:r>
      <w:r w:rsidRPr="00882F11">
        <w:rPr>
          <w:rFonts w:cs="Guttman Drogolin" w:hint="cs"/>
          <w:rtl/>
          <w:lang w:bidi="he-IL"/>
        </w:rPr>
        <w:t>ג</w:t>
      </w:r>
      <w:r w:rsidRPr="00882F11">
        <w:rPr>
          <w:rFonts w:cs="Guttman Drogolin"/>
          <w:rtl/>
          <w:lang w:bidi="he-IL"/>
        </w:rPr>
        <w:t xml:space="preserve"> </w:t>
      </w:r>
      <w:r w:rsidRPr="00882F11">
        <w:rPr>
          <w:rFonts w:cs="Guttman Drogolin" w:hint="cs"/>
          <w:rtl/>
          <w:lang w:bidi="he-IL"/>
        </w:rPr>
        <w:t>סוס</w:t>
      </w:r>
      <w:r w:rsidRPr="00882F11">
        <w:rPr>
          <w:rFonts w:cs="Guttman Drogolin"/>
          <w:rtl/>
          <w:lang w:bidi="he-IL"/>
        </w:rPr>
        <w:t>"</w:t>
      </w:r>
      <w:r w:rsidRPr="00882F11">
        <w:rPr>
          <w:rFonts w:cs="Guttman Drogolin" w:hint="cs"/>
          <w:rtl/>
          <w:lang w:bidi="he-IL"/>
        </w:rPr>
        <w:t>ק</w:t>
      </w:r>
      <w:r w:rsidRPr="00882F11">
        <w:rPr>
          <w:rFonts w:cs="Guttman Drogolin"/>
          <w:rtl/>
          <w:lang w:bidi="he-IL"/>
        </w:rPr>
        <w:t xml:space="preserve"> </w:t>
      </w:r>
      <w:r w:rsidRPr="00882F11">
        <w:rPr>
          <w:rFonts w:cs="Guttman Drogolin" w:hint="cs"/>
          <w:rtl/>
          <w:lang w:bidi="he-IL"/>
        </w:rPr>
        <w:t>ה</w:t>
      </w:r>
      <w:r w:rsidRPr="00882F11">
        <w:rPr>
          <w:rFonts w:cs="Guttman Drogolin"/>
          <w:rtl/>
          <w:lang w:bidi="he-IL"/>
        </w:rPr>
        <w:t xml:space="preserve">') </w:t>
      </w:r>
      <w:r w:rsidRPr="00882F11">
        <w:rPr>
          <w:rFonts w:cs="Guttman Drogolin" w:hint="cs"/>
          <w:rtl/>
          <w:lang w:bidi="he-IL"/>
        </w:rPr>
        <w:t>שכתב שאם יש שני טעמים משם איסור א' לא אמרינן שהאיסורים מבטלים זה את זה (והביאו</w:t>
      </w:r>
      <w:r w:rsidRPr="00882F11">
        <w:rPr>
          <w:rFonts w:cs="Guttman Drogolin"/>
          <w:rtl/>
          <w:lang w:bidi="he-IL"/>
        </w:rPr>
        <w:t xml:space="preserve"> </w:t>
      </w:r>
      <w:r w:rsidRPr="00882F11">
        <w:rPr>
          <w:rFonts w:cs="Guttman Drogolin" w:hint="cs"/>
          <w:rtl/>
          <w:lang w:bidi="he-IL"/>
        </w:rPr>
        <w:t>רע"א בגליון</w:t>
      </w:r>
      <w:r w:rsidRPr="00882F11">
        <w:rPr>
          <w:rFonts w:cs="Guttman Drogolin"/>
          <w:rtl/>
          <w:lang w:bidi="he-IL"/>
        </w:rPr>
        <w:t xml:space="preserve"> </w:t>
      </w:r>
      <w:r w:rsidRPr="00882F11">
        <w:rPr>
          <w:rFonts w:cs="Guttman Drogolin" w:hint="cs"/>
          <w:rtl/>
          <w:lang w:bidi="he-IL"/>
        </w:rPr>
        <w:t xml:space="preserve">השו"ע ססי' צ"ח). </w:t>
      </w:r>
      <w:r w:rsidR="004A575E" w:rsidRPr="00882F11">
        <w:rPr>
          <w:rFonts w:cs="Guttman Drogolin" w:hint="cs"/>
          <w:rtl/>
          <w:lang w:bidi="he-IL"/>
        </w:rPr>
        <w:t xml:space="preserve">וכן העיר בפמ"ג (א"א סי' צ"ד ס"ק ד') על יישוב זו לקושיא הנ"ל. </w:t>
      </w:r>
    </w:p>
    <w:p w:rsidR="00AB32C0" w:rsidRPr="00882F11" w:rsidRDefault="00890952" w:rsidP="00CC696E">
      <w:pPr>
        <w:keepNext/>
        <w:tabs>
          <w:tab w:val="right" w:pos="7497"/>
        </w:tabs>
        <w:bidi/>
        <w:jc w:val="both"/>
        <w:rPr>
          <w:rFonts w:cs="Guttman Drogolin"/>
          <w:rtl/>
          <w:lang w:bidi="he-IL"/>
        </w:rPr>
      </w:pPr>
      <w:r w:rsidRPr="00882F11">
        <w:rPr>
          <w:rFonts w:cs="Guttman Drogolin" w:hint="cs"/>
          <w:rtl/>
          <w:lang w:bidi="he-IL"/>
        </w:rPr>
        <w:t>ומעיקרא חשבתי שיש עוד הערה על תי' זה. דהנה הפמ"ג בפתיחה</w:t>
      </w:r>
      <w:r w:rsidR="00D84371" w:rsidRPr="00882F11">
        <w:rPr>
          <w:rFonts w:cs="Guttman Drogolin" w:hint="cs"/>
          <w:rtl/>
          <w:lang w:bidi="he-IL"/>
        </w:rPr>
        <w:t xml:space="preserve"> להל' תערובות</w:t>
      </w:r>
      <w:r w:rsidRPr="00882F11">
        <w:rPr>
          <w:rFonts w:cs="Guttman Drogolin" w:hint="cs"/>
          <w:rtl/>
          <w:lang w:bidi="he-IL"/>
        </w:rPr>
        <w:t xml:space="preserve"> מביא מאו"ה </w:t>
      </w:r>
      <w:r w:rsidR="00D84371" w:rsidRPr="00882F11">
        <w:rPr>
          <w:rFonts w:cs="Guttman Drogolin" w:hint="cs"/>
          <w:rtl/>
          <w:lang w:bidi="he-IL"/>
        </w:rPr>
        <w:t>"זית בשר וזית חלב לחמשים ותשע של היתר אף דמצטרפין למלקות וחשובין כמין אחד מ"מ הואיל ולא נאסרו מקודם לא נאסרו". ובחי' ר' חיים הלוי (פ"י ה"ט מהלכות מאכלות אסורות) דקדק</w:t>
      </w:r>
      <w:r w:rsidR="00CC696E" w:rsidRPr="00882F11">
        <w:rPr>
          <w:rFonts w:cs="Guttman Drogolin" w:hint="cs"/>
          <w:rtl/>
          <w:lang w:bidi="he-IL"/>
        </w:rPr>
        <w:t xml:space="preserve"> </w:t>
      </w:r>
      <w:r w:rsidR="00D84371" w:rsidRPr="00882F11">
        <w:rPr>
          <w:rFonts w:cs="Guttman Drogolin" w:hint="cs"/>
          <w:rtl/>
          <w:lang w:bidi="he-IL"/>
        </w:rPr>
        <w:t>מלשונו דהנ"מ כשעדיין לא נאסרו, אבל בנאסרו מקודם ולאחר מכן נפלו לחמשים ותשע של היתר הרי הם אוסרים. והקשה על זה הגר"ח דמאיזה טעם יהיו אוסרים זה את זה, הא אין כאן לא טעם חלב בפני עצמו ולא טעם בשר בפני עצמו, וכמו בשאר איסורים אילו הי' כזית דם וכזית חלב שנפלו למ"ט של היתר לא היינו אוסרים כיון שאין טעם של א' מהם בפני עצמו, וא"כ מאי שנא הכא. ותי' הגר"ח דלא אמרינן שאין מצטרפין אלא בשאר איסורים, אבל בבב"ח</w:t>
      </w:r>
      <w:r w:rsidR="00AB32C0" w:rsidRPr="00882F11">
        <w:rPr>
          <w:rFonts w:cs="Guttman Drogolin" w:hint="cs"/>
          <w:rtl/>
          <w:lang w:bidi="he-IL"/>
        </w:rPr>
        <w:t xml:space="preserve"> </w:t>
      </w:r>
      <w:r w:rsidR="00D84371" w:rsidRPr="00882F11">
        <w:rPr>
          <w:rFonts w:cs="Guttman Drogolin" w:hint="cs"/>
          <w:rtl/>
          <w:lang w:bidi="he-IL"/>
        </w:rPr>
        <w:t xml:space="preserve">הרי מהות האיסור הוא תערובת הטעמים של </w:t>
      </w:r>
      <w:r w:rsidR="00D84371" w:rsidRPr="00882F11">
        <w:rPr>
          <w:rFonts w:cs="Guttman Drogolin" w:hint="cs"/>
          <w:rtl/>
          <w:lang w:bidi="he-IL"/>
        </w:rPr>
        <w:lastRenderedPageBreak/>
        <w:t>בשר בחלב, ולכן אין לומר שאין כאן טעם של בב"ח, דהא איכא, ולכן מצטרפין לאיסור. ולכאורה א"כ י"ל שאפילו אם בעלמא ב' איסורים שיש להם טעם שונה מצטרפין לבטל זה את זה אע"פ שהם משם א', אבל בב"ח לא</w:t>
      </w:r>
      <w:r w:rsidR="00CC696E" w:rsidRPr="00882F11">
        <w:rPr>
          <w:rFonts w:cs="Guttman Drogolin" w:hint="cs"/>
          <w:rtl/>
          <w:lang w:bidi="he-IL"/>
        </w:rPr>
        <w:t xml:space="preserve"> </w:t>
      </w:r>
      <w:r w:rsidR="00D84371" w:rsidRPr="00882F11">
        <w:rPr>
          <w:rFonts w:cs="Guttman Drogolin" w:hint="cs"/>
          <w:rtl/>
          <w:lang w:bidi="he-IL"/>
        </w:rPr>
        <w:t>יהא הדין כן. אבל שוב חשבתי שיתכן שנד"ד זה אחרת, דהא מעורב הוא בחלב, ולכן אין לומר שהוא טועם בב"ח, ולכן אם אין טעם בשר כיון שיש ריבוי חלב אין לאסור, משא"כ כשטועם טעם חדש של בשר וחלב יח</w:t>
      </w:r>
      <w:r w:rsidR="00CC696E" w:rsidRPr="00882F11">
        <w:rPr>
          <w:rFonts w:cs="Guttman Drogolin" w:hint="cs"/>
          <w:rtl/>
          <w:lang w:bidi="he-IL"/>
        </w:rPr>
        <w:t>ד</w:t>
      </w:r>
      <w:r w:rsidR="00D84371" w:rsidRPr="00882F11">
        <w:rPr>
          <w:rFonts w:cs="Guttman Drogolin" w:hint="cs"/>
          <w:rtl/>
          <w:lang w:bidi="he-IL"/>
        </w:rPr>
        <w:t xml:space="preserve"> בשאר החתיכות של היתר, כיון שעכ"פ טועם הבשר והחלב יחדיו יש לאסור. </w:t>
      </w:r>
    </w:p>
    <w:p w:rsidR="000C32F6" w:rsidRPr="00882F11" w:rsidRDefault="00D84371" w:rsidP="00D84371">
      <w:pPr>
        <w:keepNext/>
        <w:tabs>
          <w:tab w:val="right" w:pos="7497"/>
        </w:tabs>
        <w:bidi/>
        <w:jc w:val="both"/>
        <w:rPr>
          <w:rFonts w:cs="Guttman Drogolin"/>
          <w:rtl/>
          <w:lang w:bidi="he-IL"/>
        </w:rPr>
      </w:pPr>
      <w:r w:rsidRPr="00882F11">
        <w:rPr>
          <w:rFonts w:cs="Guttman Drogolin" w:hint="cs"/>
          <w:rtl/>
          <w:lang w:bidi="he-IL"/>
        </w:rPr>
        <w:t>ומ"מ בתי' קושיא זו למה לא צריכים פעמיים ס', תירצו כמה אחרונים</w:t>
      </w:r>
      <w:r w:rsidR="001C0A26" w:rsidRPr="00882F11">
        <w:rPr>
          <w:rFonts w:cs="Guttman Drogolin" w:hint="cs"/>
          <w:rtl/>
          <w:lang w:bidi="he-IL"/>
        </w:rPr>
        <w:t xml:space="preserve"> שהרי האיסור של החלב נבילה בתוך החלב הכשר אינו מדאורייתא אם יש רוב חלב כשר. וא"כ אע"ג שמדרבנן צריכים ס', כולי האי לא גזרו רבנן שיצטרך פעמיים ס' בכה"ג. כן מבואר מדברי הפמ"ג שם וכן מביאור הגר"א סי' צ"ח ס"ק כ'. ודדבר זה נפק"מ למבואר בסי' צ"ד בענין כף שהכניסו פעמיים לתוך התבשיל, וכן חתיכה שנפלה פעמיים לתוך התבשיל בסי' צ"ח סע' ד', ובעזהי"ת בהמשך הדברים נעיין בה יותר.</w:t>
      </w:r>
    </w:p>
    <w:p w:rsidR="000C32F6" w:rsidRPr="00882F11" w:rsidRDefault="000C32F6" w:rsidP="0078079C">
      <w:pPr>
        <w:pStyle w:val="Heading1"/>
        <w:bidi/>
        <w:spacing w:before="0" w:line="360" w:lineRule="auto"/>
        <w:jc w:val="center"/>
        <w:rPr>
          <w:rFonts w:cs="Guttman Drogolin"/>
          <w:color w:val="auto"/>
          <w:sz w:val="24"/>
          <w:szCs w:val="24"/>
          <w:u w:val="single"/>
          <w:rtl/>
          <w:lang w:bidi="he-IL"/>
        </w:rPr>
      </w:pPr>
      <w:bookmarkStart w:id="203" w:name="_Toc496175458"/>
      <w:r w:rsidRPr="00882F11">
        <w:rPr>
          <w:rFonts w:cs="Guttman Drogolin" w:hint="cs"/>
          <w:color w:val="auto"/>
          <w:sz w:val="24"/>
          <w:szCs w:val="24"/>
          <w:u w:val="single"/>
          <w:rtl/>
          <w:lang w:bidi="he-IL"/>
        </w:rPr>
        <w:t>בדין חתיכה שמקצתה בתוך הרוטב</w:t>
      </w:r>
      <w:bookmarkEnd w:id="203"/>
    </w:p>
    <w:p w:rsidR="002E0B32" w:rsidRPr="00882F11" w:rsidRDefault="00FD2A5D" w:rsidP="007C50E0">
      <w:pPr>
        <w:keepNext/>
        <w:tabs>
          <w:tab w:val="right" w:pos="7497"/>
        </w:tabs>
        <w:bidi/>
        <w:jc w:val="both"/>
        <w:rPr>
          <w:rFonts w:cs="Guttman Drogolin"/>
          <w:rtl/>
          <w:lang w:bidi="he-IL"/>
        </w:rPr>
      </w:pPr>
      <w:r>
        <w:rPr>
          <w:rFonts w:cs="Guttman Drogolin"/>
          <w:rtl/>
          <w:lang w:bidi="he-IL"/>
        </w:rPr>
        <w:fldChar w:fldCharType="begin"/>
      </w:r>
      <w:r>
        <w:instrText xml:space="preserve"> XE "</w:instrText>
      </w:r>
      <w:r w:rsidRPr="00D7622D">
        <w:rPr>
          <w:rFonts w:hint="cs"/>
          <w:rtl/>
          <w:lang w:bidi="he-IL"/>
        </w:rPr>
        <w:instrText>צלי</w:instrText>
      </w:r>
      <w:r w:rsidRPr="00D7622D">
        <w:rPr>
          <w:rtl/>
        </w:rPr>
        <w:instrText>:</w:instrText>
      </w:r>
      <w:r w:rsidRPr="00D7622D">
        <w:rPr>
          <w:rFonts w:hint="cs"/>
          <w:rtl/>
          <w:lang w:bidi="he-IL"/>
        </w:rPr>
        <w:instrText>מה הדין בחתיכה שמקצתה בתוך הרוטב</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775E3D">
        <w:rPr>
          <w:rFonts w:hint="cs"/>
          <w:rtl/>
          <w:lang w:bidi="he-IL"/>
        </w:rPr>
        <w:instrText>בישול</w:instrText>
      </w:r>
      <w:r w:rsidRPr="00775E3D">
        <w:rPr>
          <w:rtl/>
        </w:rPr>
        <w:instrText>:</w:instrText>
      </w:r>
      <w:r w:rsidRPr="00775E3D">
        <w:rPr>
          <w:rFonts w:hint="cs"/>
          <w:rtl/>
          <w:lang w:bidi="he-IL"/>
        </w:rPr>
        <w:instrText>מה הדין בחתיכה שמקצתה בתוך הרוטב</w:instrText>
      </w:r>
      <w:r>
        <w:instrText xml:space="preserve">" </w:instrText>
      </w:r>
      <w:r>
        <w:rPr>
          <w:rFonts w:cs="Guttman Drogolin"/>
          <w:rtl/>
          <w:lang w:bidi="he-IL"/>
        </w:rPr>
        <w:fldChar w:fldCharType="end"/>
      </w:r>
      <w:r w:rsidR="000C32F6" w:rsidRPr="00882F11">
        <w:rPr>
          <w:rFonts w:cs="Guttman Drogolin" w:hint="cs"/>
          <w:rtl/>
          <w:lang w:bidi="he-IL"/>
        </w:rPr>
        <w:t xml:space="preserve">בסוגיא דטיפת חלב שנפלה על החתיכה </w:t>
      </w:r>
      <w:r w:rsidR="002E0B32" w:rsidRPr="00882F11">
        <w:rPr>
          <w:rFonts w:cs="Guttman Drogolin" w:hint="cs"/>
          <w:rtl/>
          <w:lang w:bidi="he-IL"/>
        </w:rPr>
        <w:t>מבואר שכשנפל הטיפת חלב על החתיכה, אפשר לשער בס' כנגד כולו של החתיכה,</w:t>
      </w:r>
      <w:r w:rsidR="007C50E0" w:rsidRPr="00882F11">
        <w:rPr>
          <w:rFonts w:cs="Guttman Drogolin" w:hint="cs"/>
          <w:rtl/>
          <w:lang w:bidi="he-IL"/>
        </w:rPr>
        <w:t xml:space="preserve"> </w:t>
      </w:r>
      <w:r w:rsidR="002E0B32" w:rsidRPr="00882F11">
        <w:rPr>
          <w:rFonts w:cs="Guttman Drogolin" w:hint="cs"/>
          <w:rtl/>
          <w:lang w:bidi="he-IL"/>
        </w:rPr>
        <w:t>ולא עם השאר התבשיל. ודנו הראשונים היכי מיירי. ור"י למד דמיירי בחתיכה שהיא כולה חוץ לרוטב התבשיל, ולכן אין בשאר התבשיל מצטרף אליו לבטל הטיפת חלב. אלא שלדעתו נשאלת השאלה לאידך גיסא, שאם אין החתיכה בת</w:t>
      </w:r>
      <w:r w:rsidR="008B0600" w:rsidRPr="00882F11">
        <w:rPr>
          <w:rFonts w:cs="Guttman Drogolin" w:hint="cs"/>
          <w:rtl/>
          <w:lang w:bidi="he-IL"/>
        </w:rPr>
        <w:t>וך התבשיל כלל, למה משערין בכל ה</w:t>
      </w:r>
      <w:r w:rsidR="002E0B32" w:rsidRPr="00882F11">
        <w:rPr>
          <w:rFonts w:cs="Guttman Drogolin" w:hint="cs"/>
          <w:rtl/>
          <w:lang w:bidi="he-IL"/>
        </w:rPr>
        <w:t>ח</w:t>
      </w:r>
      <w:r w:rsidR="008B0600" w:rsidRPr="00882F11">
        <w:rPr>
          <w:rFonts w:cs="Guttman Drogolin" w:hint="cs"/>
          <w:rtl/>
          <w:lang w:bidi="he-IL"/>
        </w:rPr>
        <w:t>ת</w:t>
      </w:r>
      <w:r w:rsidR="002E0B32" w:rsidRPr="00882F11">
        <w:rPr>
          <w:rFonts w:cs="Guttman Drogolin" w:hint="cs"/>
          <w:rtl/>
          <w:lang w:bidi="he-IL"/>
        </w:rPr>
        <w:t>יכה, הא לכאורה אינו אלא צל</w:t>
      </w:r>
      <w:r w:rsidR="00CC696E" w:rsidRPr="00882F11">
        <w:rPr>
          <w:rFonts w:cs="Guttman Drogolin" w:hint="cs"/>
          <w:rtl/>
          <w:lang w:bidi="he-IL"/>
        </w:rPr>
        <w:t>י שאינו צריך אלא קליפ</w:t>
      </w:r>
      <w:r w:rsidR="002E0B32" w:rsidRPr="00882F11">
        <w:rPr>
          <w:rFonts w:cs="Guttman Drogolin" w:hint="cs"/>
          <w:rtl/>
          <w:lang w:bidi="he-IL"/>
        </w:rPr>
        <w:t xml:space="preserve">ה או נטילה. וי"א משום שהבל הקדרה עושהו בישול (אע"ג שלא מהני לצרף כל התבשיל), וי"א משום שחלב </w:t>
      </w:r>
      <w:r w:rsidR="002E0B32" w:rsidRPr="00882F11">
        <w:rPr>
          <w:rFonts w:cs="Guttman Drogolin" w:hint="cs"/>
          <w:rtl/>
          <w:lang w:bidi="he-IL"/>
        </w:rPr>
        <w:lastRenderedPageBreak/>
        <w:t xml:space="preserve">מפעפע ולכן אפילו אם הוא צלי מתפשט בכל החתיכה. </w:t>
      </w:r>
    </w:p>
    <w:p w:rsidR="002E0B32" w:rsidRPr="00882F11" w:rsidRDefault="002E0B32" w:rsidP="00CC696E">
      <w:pPr>
        <w:keepNext/>
        <w:tabs>
          <w:tab w:val="right" w:pos="7497"/>
        </w:tabs>
        <w:bidi/>
        <w:jc w:val="both"/>
        <w:rPr>
          <w:rFonts w:cs="Guttman Drogolin"/>
          <w:rtl/>
          <w:lang w:bidi="he-IL"/>
        </w:rPr>
      </w:pPr>
      <w:r w:rsidRPr="00882F11">
        <w:rPr>
          <w:rFonts w:cs="Guttman Drogolin" w:hint="cs"/>
          <w:rtl/>
          <w:lang w:bidi="he-IL"/>
        </w:rPr>
        <w:t>והתוס' בדף צ"ו ע"ב הביאו מפירש"י דמיירי במקצתו בתוך הרוטב, והערנו לעיל</w:t>
      </w:r>
      <w:r w:rsidRPr="00882F11">
        <w:rPr>
          <w:rStyle w:val="FootnoteReference"/>
          <w:rFonts w:cs="Guttman Drogolin"/>
          <w:rtl/>
          <w:lang w:bidi="he-IL"/>
        </w:rPr>
        <w:footnoteReference w:id="244"/>
      </w:r>
      <w:r w:rsidRPr="00882F11">
        <w:rPr>
          <w:rFonts w:cs="Guttman Drogolin" w:hint="cs"/>
          <w:rtl/>
          <w:lang w:bidi="he-IL"/>
        </w:rPr>
        <w:t xml:space="preserve"> שיתכן שרש"י הי' מוכרח לפרש כן משום דלית לי' תי' הנ"ל, ואי אפשר לשער בכל החתיכה אא"כ החתיכה עכ"פ מקצתו בתוך הרוטב, שאז אפשר לומר בכולו שהוא מתבשל ולכן משערין בכולו. ולשיטתו יוצא חידוש שאע"פ שהחתיכה מקצתו בתוך הרוטב, אין הרוטב מועיל לבטל את הטיפת חלב ואין משערין אלא בחתיכה עצמה. וע' כאן בב"י וכן שם במהרש"א מהו המקור לעצם דבר זה שכן סבר רש"י.</w:t>
      </w:r>
    </w:p>
    <w:p w:rsidR="002D2CBF" w:rsidRPr="00882F11" w:rsidRDefault="001A3ADA" w:rsidP="007C50E0">
      <w:pPr>
        <w:keepNext/>
        <w:tabs>
          <w:tab w:val="right" w:pos="7497"/>
        </w:tabs>
        <w:bidi/>
        <w:jc w:val="both"/>
        <w:rPr>
          <w:rFonts w:cs="Guttman Drogolin"/>
          <w:rtl/>
          <w:lang w:bidi="he-IL"/>
        </w:rPr>
      </w:pPr>
      <w:r w:rsidRPr="00882F11">
        <w:rPr>
          <w:rFonts w:cs="Guttman Drogolin" w:hint="cs"/>
          <w:rtl/>
          <w:lang w:bidi="he-IL"/>
        </w:rPr>
        <w:t xml:space="preserve">והנה </w:t>
      </w:r>
      <w:r w:rsidR="002E0B32" w:rsidRPr="00882F11">
        <w:rPr>
          <w:rFonts w:cs="Guttman Drogolin" w:hint="cs"/>
          <w:rtl/>
          <w:lang w:bidi="he-IL"/>
        </w:rPr>
        <w:t>לדברי רש"י</w:t>
      </w:r>
      <w:r w:rsidRPr="00882F11">
        <w:rPr>
          <w:rFonts w:cs="Guttman Drogolin" w:hint="cs"/>
          <w:rtl/>
          <w:lang w:bidi="he-IL"/>
        </w:rPr>
        <w:t xml:space="preserve"> יש מקום עיון, דלכאורה יש כאן תרתי דסתרי, דהא אם החלק של החתיכה שמתחת לרוטב מהני לבטל הטיפת חלב למה אין הרוטב עצמה ג"כ מהני. ובאמת נחלקו המפרשים לשיטת רש"י מהו הדין בחתיכה שמקצתה בתוך הרוטב בכה"ג שאין ששים בחתיכה נגד הטיפת חלב.</w:t>
      </w:r>
      <w:r w:rsidR="007C50E0" w:rsidRPr="00882F11">
        <w:rPr>
          <w:rFonts w:cs="Guttman Drogolin" w:hint="cs"/>
          <w:rtl/>
          <w:lang w:bidi="he-IL"/>
        </w:rPr>
        <w:t xml:space="preserve"> </w:t>
      </w:r>
    </w:p>
    <w:p w:rsidR="002D2CBF" w:rsidRPr="00882F11" w:rsidRDefault="002D2CBF" w:rsidP="00CC696E">
      <w:pPr>
        <w:keepNext/>
        <w:tabs>
          <w:tab w:val="right" w:pos="7497"/>
        </w:tabs>
        <w:bidi/>
        <w:jc w:val="both"/>
        <w:rPr>
          <w:rFonts w:cs="Guttman Drogolin"/>
          <w:rtl/>
          <w:lang w:bidi="he-IL"/>
        </w:rPr>
      </w:pPr>
      <w:r w:rsidRPr="00882F11">
        <w:rPr>
          <w:rFonts w:cs="Guttman Drogolin" w:hint="cs"/>
          <w:rtl/>
          <w:lang w:bidi="he-IL"/>
        </w:rPr>
        <w:t xml:space="preserve">הר"ן למד שהחתיכה אוסרת את כל התבשיל אע"פ שלא ניער את התבשיל ומשום דלית לי' הכלל שאין הנאסר יכול לאסור במקום שאין החתיכה יכולה להתפשט. ולכן אפילו אם אין החתיכה בתוך הרוטב יש לו כח לאסור את כל התבשיל. אמנם יל"ע לשאר הראשונים דאית להו הכלל שאין הנאסר יכול לאסור וכו' מה הם סוברים בחתיכה שמקצתה בתוך הרוטב אליבא לרש"י. </w:t>
      </w:r>
    </w:p>
    <w:p w:rsidR="007E4A11" w:rsidRPr="00882F11" w:rsidRDefault="007E4A11" w:rsidP="0078079C">
      <w:pPr>
        <w:pStyle w:val="Heading1"/>
        <w:bidi/>
        <w:spacing w:before="0" w:line="360" w:lineRule="auto"/>
        <w:jc w:val="center"/>
        <w:rPr>
          <w:rFonts w:cs="Guttman Drogolin"/>
          <w:color w:val="auto"/>
          <w:sz w:val="24"/>
          <w:szCs w:val="24"/>
          <w:u w:val="single"/>
          <w:rtl/>
          <w:lang w:bidi="he-IL"/>
        </w:rPr>
      </w:pPr>
      <w:bookmarkStart w:id="204" w:name="_Toc496175459"/>
      <w:r w:rsidRPr="00882F11">
        <w:rPr>
          <w:rFonts w:cs="Guttman Drogolin" w:hint="cs"/>
          <w:color w:val="auto"/>
          <w:sz w:val="24"/>
          <w:szCs w:val="24"/>
          <w:u w:val="single"/>
          <w:rtl/>
          <w:lang w:bidi="he-IL"/>
        </w:rPr>
        <w:t>בדעת המרדכי אליבא דרש"י</w:t>
      </w:r>
      <w:bookmarkEnd w:id="204"/>
    </w:p>
    <w:p w:rsidR="007E4A11" w:rsidRPr="00882F11" w:rsidRDefault="00471576" w:rsidP="007E4A11">
      <w:pPr>
        <w:keepNext/>
        <w:tabs>
          <w:tab w:val="right" w:pos="7497"/>
        </w:tabs>
        <w:bidi/>
        <w:jc w:val="both"/>
        <w:rPr>
          <w:rFonts w:cs="Guttman Drogolin"/>
          <w:rtl/>
          <w:lang w:bidi="he-IL"/>
        </w:rPr>
      </w:pPr>
      <w:r>
        <w:rPr>
          <w:rFonts w:cs="Guttman Drogolin"/>
          <w:rtl/>
          <w:lang w:bidi="he-IL"/>
        </w:rPr>
        <w:fldChar w:fldCharType="begin"/>
      </w:r>
      <w:r>
        <w:instrText xml:space="preserve"> XE "</w:instrText>
      </w:r>
      <w:r w:rsidRPr="00405895">
        <w:rPr>
          <w:rFonts w:hint="cs"/>
          <w:rtl/>
          <w:lang w:bidi="he-IL"/>
        </w:rPr>
        <w:instrText>צלי</w:instrText>
      </w:r>
      <w:r w:rsidRPr="00405895">
        <w:rPr>
          <w:rtl/>
        </w:rPr>
        <w:instrText>:</w:instrText>
      </w:r>
      <w:r>
        <w:rPr>
          <w:rFonts w:hint="cs"/>
          <w:rtl/>
          <w:lang w:bidi="he-IL"/>
        </w:rPr>
        <w:instrText xml:space="preserve">חתיכה </w:instrText>
      </w:r>
      <w:r w:rsidRPr="00405895">
        <w:rPr>
          <w:rFonts w:hint="cs"/>
          <w:rtl/>
          <w:lang w:bidi="he-IL"/>
        </w:rPr>
        <w:instrText>שמקצתה בתוך הרוטב - עיונים לשיטת רש</w:instrText>
      </w:r>
      <w:r>
        <w:rPr>
          <w:rFonts w:eastAsiaTheme="minorEastAsia"/>
          <w:lang w:bidi="he-IL"/>
        </w:rPr>
        <w:instrText>\</w:instrText>
      </w:r>
      <w:r w:rsidRPr="00405895">
        <w:rPr>
          <w:rFonts w:hint="cs"/>
          <w:rtl/>
          <w:lang w:bidi="he-IL"/>
        </w:rPr>
        <w:instrText>"י</w:instrText>
      </w:r>
      <w:r>
        <w:instrText xml:space="preserve">" </w:instrText>
      </w:r>
      <w:r>
        <w:rPr>
          <w:rFonts w:cs="Guttman Drogolin"/>
          <w:rtl/>
          <w:lang w:bidi="he-IL"/>
        </w:rPr>
        <w:fldChar w:fldCharType="end"/>
      </w:r>
      <w:r w:rsidR="002D2CBF" w:rsidRPr="00882F11">
        <w:rPr>
          <w:rFonts w:cs="Guttman Drogolin" w:hint="cs"/>
          <w:rtl/>
          <w:lang w:bidi="he-IL"/>
        </w:rPr>
        <w:t>ו</w:t>
      </w:r>
      <w:r w:rsidR="007C50E0" w:rsidRPr="00882F11">
        <w:rPr>
          <w:rFonts w:cs="Guttman Drogolin" w:hint="cs"/>
          <w:rtl/>
          <w:lang w:bidi="he-IL"/>
        </w:rPr>
        <w:t xml:space="preserve">הדרכ"מ מביא מן המרדכי </w:t>
      </w:r>
      <w:r w:rsidR="00CB6CEC" w:rsidRPr="00882F11">
        <w:rPr>
          <w:rFonts w:cs="Guttman Drogolin" w:hint="cs"/>
          <w:rtl/>
          <w:lang w:bidi="he-IL"/>
        </w:rPr>
        <w:t xml:space="preserve">(סי' תרצ"א) </w:t>
      </w:r>
      <w:r w:rsidR="007C50E0" w:rsidRPr="00882F11">
        <w:rPr>
          <w:rFonts w:cs="Guttman Drogolin" w:hint="cs"/>
          <w:rtl/>
          <w:lang w:bidi="he-IL"/>
        </w:rPr>
        <w:t xml:space="preserve">לחלק בין החלק התחתון של החתיכה לחלק העליון, שאמנם אם אין ששים בחתיכה נגד הטיפת חלב שנפל עליו </w:t>
      </w:r>
      <w:r w:rsidR="00A82F34" w:rsidRPr="00882F11">
        <w:rPr>
          <w:rFonts w:cs="Guttman Drogolin" w:hint="cs"/>
          <w:rtl/>
          <w:lang w:bidi="he-IL"/>
        </w:rPr>
        <w:t>ה</w:t>
      </w:r>
      <w:r w:rsidR="007C50E0" w:rsidRPr="00882F11">
        <w:rPr>
          <w:rFonts w:cs="Guttman Drogolin" w:hint="cs"/>
          <w:rtl/>
          <w:lang w:bidi="he-IL"/>
        </w:rPr>
        <w:t>חתיכה אסורה משום בב"ח, הנ"מ בחלק החתיכה שהיא למעלה מן המרוטב, אבל החלק שמתחת לרוטב הרי היא מותרת</w:t>
      </w:r>
      <w:r w:rsidR="0000022E" w:rsidRPr="00882F11">
        <w:rPr>
          <w:rFonts w:cs="Guttman Drogolin" w:hint="cs"/>
          <w:rtl/>
          <w:lang w:bidi="he-IL"/>
        </w:rPr>
        <w:t xml:space="preserve">. ומלשון המרדכי מבואר שהטעם משום שאין הבליעות של חלב מגיעות עד החלק שלמטה מן הרוטב, דאילו היו </w:t>
      </w:r>
      <w:r w:rsidR="0000022E" w:rsidRPr="00882F11">
        <w:rPr>
          <w:rFonts w:cs="Guttman Drogolin" w:hint="cs"/>
          <w:rtl/>
          <w:lang w:bidi="he-IL"/>
        </w:rPr>
        <w:lastRenderedPageBreak/>
        <w:t xml:space="preserve">מגיעים לשם הי' הקדרה מצטרף לבטלה וכשיטת ר"י. </w:t>
      </w:r>
      <w:r w:rsidR="007E4A11" w:rsidRPr="00882F11">
        <w:rPr>
          <w:rFonts w:cs="Guttman Drogolin" w:hint="cs"/>
          <w:rtl/>
          <w:lang w:bidi="he-IL"/>
        </w:rPr>
        <w:t>וע"ש דצריך להיות שב' שלישי בחתיכה הם מחוץ לרוטב דאל"כ גם רש"י מודה לר"י. ויוצא לדבריו שכל המחלוקת בין ר"י לרש"י הוא במרחק שעובר הבליעות של חלב כששליש החתיכה נמצא ברוטב, שלר"ת הרי עובר בכל החתיכה, ולרש"י אינו מגיע אלא עד מקום הרוטב</w:t>
      </w:r>
      <w:r w:rsidR="00CB6CEC" w:rsidRPr="00882F11">
        <w:rPr>
          <w:rStyle w:val="FootnoteReference"/>
          <w:rFonts w:cs="Guttman Drogolin"/>
          <w:rtl/>
          <w:lang w:bidi="he-IL"/>
        </w:rPr>
        <w:footnoteReference w:id="245"/>
      </w:r>
      <w:r w:rsidR="007E4A11" w:rsidRPr="00882F11">
        <w:rPr>
          <w:rFonts w:cs="Guttman Drogolin" w:hint="cs"/>
          <w:rtl/>
          <w:lang w:bidi="he-IL"/>
        </w:rPr>
        <w:t>.</w:t>
      </w:r>
    </w:p>
    <w:p w:rsidR="0000022E" w:rsidRPr="00882F11" w:rsidRDefault="0000022E" w:rsidP="007E4A11">
      <w:pPr>
        <w:keepNext/>
        <w:tabs>
          <w:tab w:val="right" w:pos="7497"/>
        </w:tabs>
        <w:bidi/>
        <w:jc w:val="both"/>
        <w:rPr>
          <w:rFonts w:cs="Guttman Drogolin"/>
          <w:rtl/>
          <w:lang w:bidi="he-IL"/>
        </w:rPr>
      </w:pPr>
      <w:r w:rsidRPr="00882F11">
        <w:rPr>
          <w:rFonts w:cs="Guttman Drogolin" w:hint="cs"/>
          <w:rtl/>
          <w:lang w:bidi="he-IL"/>
        </w:rPr>
        <w:t>ו</w:t>
      </w:r>
      <w:r w:rsidR="00993DCC" w:rsidRPr="00882F11">
        <w:rPr>
          <w:rFonts w:cs="Guttman Drogolin" w:hint="cs"/>
          <w:rtl/>
          <w:lang w:bidi="he-IL"/>
        </w:rPr>
        <w:t xml:space="preserve">המשיך </w:t>
      </w:r>
      <w:r w:rsidR="007E4A11" w:rsidRPr="00882F11">
        <w:rPr>
          <w:rFonts w:cs="Guttman Drogolin" w:hint="cs"/>
          <w:rtl/>
          <w:lang w:bidi="he-IL"/>
        </w:rPr>
        <w:t xml:space="preserve">המרדכי </w:t>
      </w:r>
      <w:r w:rsidR="00993DCC" w:rsidRPr="00882F11">
        <w:rPr>
          <w:rFonts w:cs="Guttman Drogolin" w:hint="cs"/>
          <w:rtl/>
          <w:lang w:bidi="he-IL"/>
        </w:rPr>
        <w:t>לבאר ד</w:t>
      </w:r>
      <w:r w:rsidRPr="00882F11">
        <w:rPr>
          <w:rFonts w:cs="Guttman Drogolin" w:hint="cs"/>
          <w:rtl/>
          <w:lang w:bidi="he-IL"/>
        </w:rPr>
        <w:t>כיון שאינו מגיע אלא לחלק שמחוץ לרוטב, צריכים לומר חענ"ן בחצי חתיכה, ולא אומרים חענ"ן בחצי חתיכה וכשיטת הרא"ם</w:t>
      </w:r>
      <w:r w:rsidR="00993DCC" w:rsidRPr="00882F11">
        <w:rPr>
          <w:rStyle w:val="FootnoteReference"/>
          <w:rFonts w:cs="Guttman Drogolin"/>
          <w:rtl/>
          <w:lang w:bidi="he-IL"/>
        </w:rPr>
        <w:footnoteReference w:id="246"/>
      </w:r>
      <w:r w:rsidRPr="00882F11">
        <w:rPr>
          <w:rFonts w:cs="Guttman Drogolin" w:hint="cs"/>
          <w:rtl/>
          <w:lang w:bidi="he-IL"/>
        </w:rPr>
        <w:t>.</w:t>
      </w:r>
      <w:r w:rsidR="00993DCC" w:rsidRPr="00882F11">
        <w:rPr>
          <w:rFonts w:cs="Guttman Drogolin" w:hint="cs"/>
          <w:rtl/>
          <w:lang w:bidi="he-IL"/>
        </w:rPr>
        <w:t xml:space="preserve"> ונראה שהי' צריך לזה דאילו הי' נע"נ לא היינו צריכים ניעור וכיסוי כדי לאסור התבשיל וכשיטת הר"ן, וכן הט"ז בדעת המחבר (ע' שיעור הבא). אלא דא"כ עדיין צ"ע, שאם אין אומרים חענ"ן</w:t>
      </w:r>
      <w:r w:rsidR="007E4A11" w:rsidRPr="00882F11">
        <w:rPr>
          <w:rFonts w:cs="Guttman Drogolin" w:hint="cs"/>
          <w:rtl/>
          <w:lang w:bidi="he-IL"/>
        </w:rPr>
        <w:t xml:space="preserve"> למה יש לאסור בדניער וכיסה לבסוף הא אין חענ"ן בחצי חתיכה. ואולי י"ל דאע"ג שאין אומרים חענ"ן בחצי חתיכה מ"מ </w:t>
      </w:r>
      <w:r w:rsidR="00DC784B">
        <w:rPr>
          <w:rFonts w:cs="Guttman Drogolin" w:hint="cs"/>
          <w:rtl/>
          <w:lang w:bidi="he-IL"/>
        </w:rPr>
        <w:t>אפשר לסוחטו</w:t>
      </w:r>
      <w:r w:rsidR="007E4A11" w:rsidRPr="00882F11">
        <w:rPr>
          <w:rFonts w:cs="Guttman Drogolin" w:hint="cs"/>
          <w:rtl/>
          <w:lang w:bidi="he-IL"/>
        </w:rPr>
        <w:t xml:space="preserve"> אסור אומרים בחצי חתיכה, ולכן בלי ניעור אינו אוסר את הקדרה, אבל מ"מ הרי הבליעות של חלב התפשטו עד מקום הרוטב. ולכן מיד כשינער הבליעות יכנסו לשאר החתיכה, ומ"מ לא מהני הרוטב להתיר החתיכה כיון ש</w:t>
      </w:r>
      <w:r w:rsidR="00DC784B">
        <w:rPr>
          <w:rFonts w:cs="Guttman Drogolin" w:hint="cs"/>
          <w:rtl/>
          <w:lang w:bidi="he-IL"/>
        </w:rPr>
        <w:t>אפשר לסוחטו</w:t>
      </w:r>
      <w:r w:rsidR="007E4A11" w:rsidRPr="00882F11">
        <w:rPr>
          <w:rFonts w:cs="Guttman Drogolin" w:hint="cs"/>
          <w:rtl/>
          <w:lang w:bidi="he-IL"/>
        </w:rPr>
        <w:t xml:space="preserve"> אסור, ולכן בסוף הם יאסרו כל החתיכה, וממילא החתיכה נע"נ וצריכים ששים כנגד כל החתיכה. וצ"ע</w:t>
      </w:r>
      <w:r w:rsidR="004A1BB5" w:rsidRPr="00882F11">
        <w:rPr>
          <w:rStyle w:val="FootnoteReference"/>
          <w:rFonts w:cs="Guttman Drogolin"/>
          <w:rtl/>
          <w:lang w:bidi="he-IL"/>
        </w:rPr>
        <w:footnoteReference w:id="247"/>
      </w:r>
      <w:r w:rsidR="007E4A11" w:rsidRPr="00882F11">
        <w:rPr>
          <w:rFonts w:cs="Guttman Drogolin" w:hint="cs"/>
          <w:rtl/>
          <w:lang w:bidi="he-IL"/>
        </w:rPr>
        <w:t xml:space="preserve">.  </w:t>
      </w:r>
      <w:r w:rsidR="00993DCC" w:rsidRPr="00882F11">
        <w:rPr>
          <w:rFonts w:cs="Guttman Drogolin" w:hint="cs"/>
          <w:rtl/>
          <w:lang w:bidi="he-IL"/>
        </w:rPr>
        <w:t xml:space="preserve"> </w:t>
      </w:r>
    </w:p>
    <w:p w:rsidR="002D2CBF" w:rsidRPr="00882F11" w:rsidRDefault="00CB6CEC" w:rsidP="00CB6CEC">
      <w:pPr>
        <w:keepNext/>
        <w:tabs>
          <w:tab w:val="right" w:pos="7497"/>
        </w:tabs>
        <w:bidi/>
        <w:jc w:val="both"/>
        <w:rPr>
          <w:rFonts w:cs="Guttman Drogolin"/>
          <w:rtl/>
          <w:lang w:bidi="he-IL"/>
        </w:rPr>
      </w:pPr>
      <w:r w:rsidRPr="00882F11">
        <w:rPr>
          <w:rFonts w:cs="Guttman Drogolin" w:hint="cs"/>
          <w:rtl/>
          <w:lang w:bidi="he-IL"/>
        </w:rPr>
        <w:t>וע"ש במרדכי שהביא עוד פירוש בשם יש שהיו רוצים לומר</w:t>
      </w:r>
      <w:r w:rsidR="007E4A11" w:rsidRPr="00882F11">
        <w:rPr>
          <w:rFonts w:cs="Guttman Drogolin" w:hint="cs"/>
          <w:rtl/>
          <w:lang w:bidi="he-IL"/>
        </w:rPr>
        <w:t xml:space="preserve">. </w:t>
      </w:r>
      <w:r w:rsidRPr="00882F11">
        <w:rPr>
          <w:rFonts w:cs="Guttman Drogolin" w:hint="cs"/>
          <w:rtl/>
          <w:lang w:bidi="he-IL"/>
        </w:rPr>
        <w:t xml:space="preserve">ונראה משם פי' אחר בדברי רש"י (ע' בחזו"א סי' ט"ז ס"ק א' דמש"כ המרדכי שהוא שיבוש היינו לפי שיטת ר"י) </w:t>
      </w:r>
      <w:r w:rsidR="007E4A11" w:rsidRPr="00882F11">
        <w:rPr>
          <w:rFonts w:cs="Guttman Drogolin" w:hint="cs"/>
          <w:rtl/>
          <w:lang w:bidi="he-IL"/>
        </w:rPr>
        <w:t>והוא שלעולם</w:t>
      </w:r>
      <w:r w:rsidR="0000022E" w:rsidRPr="00882F11">
        <w:rPr>
          <w:rFonts w:cs="Guttman Drogolin" w:hint="cs"/>
          <w:rtl/>
          <w:lang w:bidi="he-IL"/>
        </w:rPr>
        <w:t xml:space="preserve"> </w:t>
      </w:r>
      <w:r w:rsidR="007E4A11" w:rsidRPr="00882F11">
        <w:rPr>
          <w:rFonts w:cs="Guttman Drogolin" w:hint="cs"/>
          <w:rtl/>
          <w:lang w:bidi="he-IL"/>
        </w:rPr>
        <w:t xml:space="preserve">הטיפת חלב מגיע עד לחלק שמתחת לרוטב. אבל עד כמה </w:t>
      </w:r>
      <w:r w:rsidR="007E4A11" w:rsidRPr="00882F11">
        <w:rPr>
          <w:rFonts w:cs="Guttman Drogolin" w:hint="cs"/>
          <w:rtl/>
          <w:lang w:bidi="he-IL"/>
        </w:rPr>
        <w:lastRenderedPageBreak/>
        <w:t>שמגיע לחלק הזה הרי הוא מתערב עם שאר התבשיל ומתבטל. ומ"מ רק החלק התחתון שהיא</w:t>
      </w:r>
      <w:r w:rsidR="00132525" w:rsidRPr="00882F11">
        <w:rPr>
          <w:rFonts w:cs="Guttman Drogolin" w:hint="cs"/>
          <w:rtl/>
          <w:lang w:bidi="he-IL"/>
        </w:rPr>
        <w:t xml:space="preserve"> </w:t>
      </w:r>
      <w:r w:rsidR="007E4A11" w:rsidRPr="00882F11">
        <w:rPr>
          <w:rFonts w:cs="Guttman Drogolin" w:hint="cs"/>
          <w:rtl/>
          <w:lang w:bidi="he-IL"/>
        </w:rPr>
        <w:t>בתוך הרוטב, אבל החלק העליון הרי הוא כחתיכה שכולה חוץ לרוטב ולא מהני לה התבשיל</w:t>
      </w:r>
      <w:r w:rsidR="00132525" w:rsidRPr="00882F11">
        <w:rPr>
          <w:rStyle w:val="FootnoteReference"/>
          <w:rFonts w:cs="Guttman Drogolin"/>
          <w:rtl/>
          <w:lang w:bidi="he-IL"/>
        </w:rPr>
        <w:footnoteReference w:id="248"/>
      </w:r>
      <w:r w:rsidR="007E4A11" w:rsidRPr="00882F11">
        <w:rPr>
          <w:rFonts w:cs="Guttman Drogolin" w:hint="cs"/>
          <w:rtl/>
          <w:lang w:bidi="he-IL"/>
        </w:rPr>
        <w:t xml:space="preserve">. </w:t>
      </w:r>
      <w:r w:rsidR="00132525" w:rsidRPr="00882F11">
        <w:rPr>
          <w:rFonts w:cs="Guttman Drogolin" w:hint="cs"/>
          <w:rtl/>
          <w:lang w:bidi="he-IL"/>
        </w:rPr>
        <w:t>ומ"מ יש להסתפק אם השיעור ששים הוא בחלק</w:t>
      </w:r>
      <w:r w:rsidR="007C50E0" w:rsidRPr="00882F11">
        <w:rPr>
          <w:rFonts w:cs="Guttman Drogolin" w:hint="cs"/>
          <w:rtl/>
          <w:lang w:bidi="he-IL"/>
        </w:rPr>
        <w:t xml:space="preserve"> </w:t>
      </w:r>
      <w:r w:rsidR="00132525" w:rsidRPr="00882F11">
        <w:rPr>
          <w:rFonts w:cs="Guttman Drogolin" w:hint="cs"/>
          <w:rtl/>
          <w:lang w:bidi="he-IL"/>
        </w:rPr>
        <w:t>העליון לבד, ומשום דיתכן שטעם החלב נכנס בו כולו דלא ידעינן כמה הלך למעלה וכמה למטה. או"ד ש</w:t>
      </w:r>
      <w:r w:rsidR="007C50E0" w:rsidRPr="00882F11">
        <w:rPr>
          <w:rFonts w:cs="Guttman Drogolin" w:hint="cs"/>
          <w:rtl/>
          <w:lang w:bidi="he-IL"/>
        </w:rPr>
        <w:t xml:space="preserve">החלק התחתון של החתיכה שהוא מתחת לרוטב מצטרף עם חלק העליון לההתיר אפילו חלק העליון, </w:t>
      </w:r>
      <w:r w:rsidR="00132525" w:rsidRPr="00882F11">
        <w:rPr>
          <w:rFonts w:cs="Guttman Drogolin" w:hint="cs"/>
          <w:rtl/>
          <w:lang w:bidi="he-IL"/>
        </w:rPr>
        <w:t>אע"ג שזה לכאורה</w:t>
      </w:r>
      <w:r w:rsidR="007C50E0" w:rsidRPr="00882F11">
        <w:rPr>
          <w:rFonts w:cs="Guttman Drogolin" w:hint="cs"/>
          <w:rtl/>
          <w:lang w:bidi="he-IL"/>
        </w:rPr>
        <w:t xml:space="preserve"> צ"ע ממ"נ, שאם מצטרף עם החלק העליון, למה לא מצטרף אליו שאר התבשיל</w:t>
      </w:r>
      <w:r w:rsidR="00132525" w:rsidRPr="00882F11">
        <w:rPr>
          <w:rFonts w:cs="Guttman Drogolin" w:hint="cs"/>
          <w:rtl/>
          <w:lang w:bidi="he-IL"/>
        </w:rPr>
        <w:t>,</w:t>
      </w:r>
      <w:r w:rsidR="007C50E0" w:rsidRPr="00882F11">
        <w:rPr>
          <w:rFonts w:cs="Guttman Drogolin" w:hint="cs"/>
          <w:rtl/>
          <w:lang w:bidi="he-IL"/>
        </w:rPr>
        <w:t xml:space="preserve"> צריכים לומר שמ"מ יש לחלק העליון של החתיכה יותר חיבור לחלק התחתון של החתיכה ממה שיש לו חיבור עם הרוטב, ומ"מ החלק התחתון עצמו מספיק מעורב עם הרוטב לומר שאין החלק התחתון נאסר אם יש ס' בתבשיל נגד </w:t>
      </w:r>
      <w:r w:rsidR="002D2CBF" w:rsidRPr="00882F11">
        <w:rPr>
          <w:rFonts w:cs="Guttman Drogolin" w:hint="cs"/>
          <w:rtl/>
          <w:lang w:bidi="he-IL"/>
        </w:rPr>
        <w:t xml:space="preserve">הטיפת </w:t>
      </w:r>
      <w:r w:rsidR="007C50E0" w:rsidRPr="00882F11">
        <w:rPr>
          <w:rFonts w:cs="Guttman Drogolin" w:hint="cs"/>
          <w:rtl/>
          <w:lang w:bidi="he-IL"/>
        </w:rPr>
        <w:t>חלב.</w:t>
      </w:r>
      <w:r w:rsidR="00132525" w:rsidRPr="00882F11">
        <w:rPr>
          <w:rFonts w:cs="Guttman Drogolin" w:hint="cs"/>
          <w:rtl/>
          <w:lang w:bidi="he-IL"/>
        </w:rPr>
        <w:t xml:space="preserve"> וי"ל שהחלק העליון לא נע"נ וכנ"ל בעיקר דעת המרדכי. אבל י"ל עוד שנע"נ אבל אינו אוסר לא החלק התחתון ולא שאר התבשיל, שמה שיוצא מן החלב כבר יצא והתבטל בתבשיל, ומה שלא יצא שוב לא יצא, ולכן אע"פ שנע"נ, מ"מ כיון שהחלב אינו יוצא גם הבשר אינו אוסר משום חענ"ן, וכשיטת התוס' בדף צ"ו ע"ב</w:t>
      </w:r>
      <w:r w:rsidR="00FE2E82" w:rsidRPr="00882F11">
        <w:rPr>
          <w:rStyle w:val="FootnoteReference"/>
          <w:rFonts w:cs="Guttman Drogolin"/>
          <w:rtl/>
          <w:lang w:bidi="he-IL"/>
        </w:rPr>
        <w:footnoteReference w:id="249"/>
      </w:r>
      <w:r w:rsidR="00132525" w:rsidRPr="00882F11">
        <w:rPr>
          <w:rFonts w:cs="Guttman Drogolin" w:hint="cs"/>
          <w:rtl/>
          <w:lang w:bidi="he-IL"/>
        </w:rPr>
        <w:t>.</w:t>
      </w:r>
    </w:p>
    <w:p w:rsidR="00D84371" w:rsidRPr="00882F11" w:rsidRDefault="002D2CBF" w:rsidP="008B0600">
      <w:pPr>
        <w:keepNext/>
        <w:tabs>
          <w:tab w:val="right" w:pos="7497"/>
        </w:tabs>
        <w:bidi/>
        <w:jc w:val="both"/>
        <w:rPr>
          <w:rFonts w:cs="Guttman Drogolin"/>
          <w:rtl/>
          <w:lang w:bidi="he-IL"/>
        </w:rPr>
      </w:pPr>
      <w:r w:rsidRPr="00882F11">
        <w:rPr>
          <w:rFonts w:cs="Guttman Drogolin" w:hint="cs"/>
          <w:rtl/>
          <w:lang w:bidi="he-IL"/>
        </w:rPr>
        <w:t>ושיטת</w:t>
      </w:r>
      <w:r w:rsidR="00FD2A5D">
        <w:rPr>
          <w:rFonts w:cs="Guttman Drogolin" w:hint="cs"/>
          <w:rtl/>
          <w:lang w:bidi="he-IL"/>
        </w:rPr>
        <w:t xml:space="preserve"> הטור נראה שאמנם ה</w:t>
      </w:r>
      <w:r w:rsidRPr="00882F11">
        <w:rPr>
          <w:rFonts w:cs="Guttman Drogolin" w:hint="cs"/>
          <w:rtl/>
          <w:lang w:bidi="he-IL"/>
        </w:rPr>
        <w:t>חתיכה נאסרה אע"ג שמקצתה בתוך הרוטב, מ"מ אין התבשיל נאסר אפילו אם אין ששים כנגד החלק התחתון של הח</w:t>
      </w:r>
      <w:r w:rsidR="008B0600" w:rsidRPr="00882F11">
        <w:rPr>
          <w:rFonts w:cs="Guttman Drogolin" w:hint="cs"/>
          <w:rtl/>
          <w:lang w:bidi="he-IL"/>
        </w:rPr>
        <w:t>ת</w:t>
      </w:r>
      <w:r w:rsidRPr="00882F11">
        <w:rPr>
          <w:rFonts w:cs="Guttman Drogolin" w:hint="cs"/>
          <w:rtl/>
          <w:lang w:bidi="he-IL"/>
        </w:rPr>
        <w:t xml:space="preserve">יכה. </w:t>
      </w:r>
      <w:r w:rsidR="00A82F34" w:rsidRPr="00882F11">
        <w:rPr>
          <w:rFonts w:cs="Guttman Drogolin" w:hint="cs"/>
          <w:rtl/>
          <w:lang w:bidi="he-IL"/>
        </w:rPr>
        <w:t xml:space="preserve">וצריכים לומר לדעתו שאפילו החלק התחתון יש לו דין של חתיכה שהיא חוץ לרוטב, ולכן הרי היא נאסרת ע"י הטיפת חלב אם אין ששים בחתיכה לבטל את הטיפה, ומ"מ אין </w:t>
      </w:r>
      <w:r w:rsidR="00A82F34" w:rsidRPr="00882F11">
        <w:rPr>
          <w:rFonts w:cs="Guttman Drogolin" w:hint="cs"/>
          <w:rtl/>
          <w:lang w:bidi="he-IL"/>
        </w:rPr>
        <w:lastRenderedPageBreak/>
        <w:t>החתיכה אוסרת את שאר התבשיל אע"פ שהחתיכה אסורה והיא מקצתה בתוך הרוטב</w:t>
      </w:r>
      <w:r w:rsidRPr="00882F11">
        <w:rPr>
          <w:rFonts w:cs="Guttman Drogolin" w:hint="cs"/>
          <w:rtl/>
          <w:lang w:bidi="he-IL"/>
        </w:rPr>
        <w:t xml:space="preserve">. </w:t>
      </w:r>
    </w:p>
    <w:p w:rsidR="00631E17" w:rsidRPr="00882F11" w:rsidRDefault="00631E17" w:rsidP="00631E17">
      <w:pPr>
        <w:keepNext/>
        <w:tabs>
          <w:tab w:val="right" w:pos="7497"/>
        </w:tabs>
        <w:bidi/>
        <w:jc w:val="both"/>
        <w:rPr>
          <w:rFonts w:cs="Guttman Drogolin"/>
          <w:rtl/>
          <w:lang w:bidi="he-IL"/>
        </w:rPr>
        <w:sectPr w:rsidR="00631E17" w:rsidRPr="00882F11" w:rsidSect="00DA1D59">
          <w:type w:val="continuous"/>
          <w:pgSz w:w="11907" w:h="16839" w:code="9"/>
          <w:pgMar w:top="1440" w:right="1440" w:bottom="1440" w:left="1440" w:header="720" w:footer="720" w:gutter="0"/>
          <w:cols w:num="2" w:space="720"/>
          <w:bidi/>
          <w:docGrid w:linePitch="360"/>
        </w:sectPr>
      </w:pPr>
    </w:p>
    <w:p w:rsidR="00631E17" w:rsidRPr="00882F11" w:rsidRDefault="00631E17" w:rsidP="00631E17">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נ"ג</w:t>
      </w:r>
    </w:p>
    <w:p w:rsidR="00DA1D59" w:rsidRDefault="00DA1D59" w:rsidP="0078079C">
      <w:pPr>
        <w:pStyle w:val="Heading1"/>
        <w:bidi/>
        <w:spacing w:before="0" w:line="360" w:lineRule="auto"/>
        <w:jc w:val="center"/>
        <w:rPr>
          <w:rFonts w:cs="Guttman Drogolin"/>
          <w:color w:val="auto"/>
          <w:sz w:val="24"/>
          <w:szCs w:val="24"/>
          <w:u w:val="single"/>
          <w:rtl/>
          <w:lang w:bidi="he-IL"/>
        </w:rPr>
        <w:sectPr w:rsidR="00DA1D59" w:rsidSect="00DA1D59">
          <w:pgSz w:w="11907" w:h="16839" w:code="9"/>
          <w:pgMar w:top="1440" w:right="1440" w:bottom="1440" w:left="1440" w:header="720" w:footer="720" w:gutter="0"/>
          <w:cols w:space="720"/>
          <w:bidi/>
          <w:docGrid w:linePitch="360"/>
        </w:sectPr>
      </w:pPr>
    </w:p>
    <w:p w:rsidR="00631E17" w:rsidRPr="00DA1D59" w:rsidRDefault="00631E17" w:rsidP="0078079C">
      <w:pPr>
        <w:pStyle w:val="Heading1"/>
        <w:bidi/>
        <w:spacing w:before="0" w:line="360" w:lineRule="auto"/>
        <w:jc w:val="center"/>
        <w:rPr>
          <w:rFonts w:cs="Guttman Drogolin"/>
          <w:color w:val="auto"/>
          <w:sz w:val="20"/>
          <w:szCs w:val="20"/>
          <w:u w:val="single"/>
          <w:rtl/>
          <w:lang w:bidi="he-IL"/>
        </w:rPr>
      </w:pPr>
      <w:bookmarkStart w:id="205" w:name="_Toc496175460"/>
      <w:r w:rsidRPr="00DA1D59">
        <w:rPr>
          <w:rFonts w:cs="Guttman Drogolin" w:hint="cs"/>
          <w:color w:val="auto"/>
          <w:sz w:val="20"/>
          <w:szCs w:val="20"/>
          <w:u w:val="single"/>
          <w:rtl/>
          <w:lang w:bidi="he-IL"/>
        </w:rPr>
        <w:lastRenderedPageBreak/>
        <w:t>שיטת המחבר בדין חתיכה שמקצתה בתוך הרוטב</w:t>
      </w:r>
      <w:bookmarkEnd w:id="205"/>
    </w:p>
    <w:p w:rsidR="009316BD" w:rsidRPr="00882F11" w:rsidRDefault="00471576" w:rsidP="00791EC8">
      <w:pPr>
        <w:tabs>
          <w:tab w:val="right" w:pos="7497"/>
        </w:tabs>
        <w:bidi/>
        <w:jc w:val="both"/>
        <w:rPr>
          <w:rFonts w:cs="Guttman Drogolin"/>
          <w:rtl/>
          <w:lang w:bidi="he-IL"/>
        </w:rPr>
      </w:pPr>
      <w:r>
        <w:rPr>
          <w:rFonts w:cs="Guttman Drogolin"/>
          <w:rtl/>
          <w:lang w:bidi="he-IL"/>
        </w:rPr>
        <w:fldChar w:fldCharType="begin"/>
      </w:r>
      <w:r>
        <w:instrText xml:space="preserve"> XE "</w:instrText>
      </w:r>
      <w:r w:rsidRPr="00437A07">
        <w:rPr>
          <w:rFonts w:hint="cs"/>
          <w:rtl/>
          <w:lang w:bidi="he-IL"/>
        </w:rPr>
        <w:instrText>צלי</w:instrText>
      </w:r>
      <w:r w:rsidRPr="00437A07">
        <w:rPr>
          <w:rtl/>
        </w:rPr>
        <w:instrText>:</w:instrText>
      </w:r>
      <w:r w:rsidRPr="00437A07">
        <w:rPr>
          <w:rFonts w:hint="cs"/>
          <w:rtl/>
          <w:lang w:bidi="he-IL"/>
        </w:rPr>
        <w:instrText>חתיכה שמקצתה בתוך הרוטב - שיטת המחבר</w:instrText>
      </w:r>
      <w:r>
        <w:instrText xml:space="preserve">" </w:instrText>
      </w:r>
      <w:r>
        <w:rPr>
          <w:rFonts w:cs="Guttman Drogolin"/>
          <w:rtl/>
          <w:lang w:bidi="he-IL"/>
        </w:rPr>
        <w:fldChar w:fldCharType="end"/>
      </w:r>
      <w:r w:rsidR="00631E17" w:rsidRPr="00882F11">
        <w:rPr>
          <w:rFonts w:cs="Guttman Drogolin" w:hint="cs"/>
          <w:rtl/>
          <w:lang w:bidi="he-IL"/>
        </w:rPr>
        <w:t>בשיעור הקודם הבאנו בקיצור השיטות שנאמרו לשיטת רש"י שהמתני' שבדף ק"ח ע"א מיירי בחתיכה שמקצתה בתוך הרוטב.</w:t>
      </w:r>
      <w:r w:rsidR="00A82F34" w:rsidRPr="00882F11">
        <w:rPr>
          <w:rFonts w:cs="Guttman Drogolin" w:hint="cs"/>
          <w:rtl/>
          <w:lang w:bidi="he-IL"/>
        </w:rPr>
        <w:t xml:space="preserve"> ויל"ע מהו שיטת המחבר והרמ"א בדין זה. והנה ז"ל המחבר בשו"ע סע' ב' (בלי הוספת הרמ"א) שמקורו ברמב"ם "נפל חלב לתוך קדירה של בשר טועמין החתיכה שנפל עליה החלב אם אין בה טעם חלב הכל מותר ואם יש בחתיכה טעם חלב נאסרה אותה חתיכה ומשערים בכולה אם היה בכל מה שיש בקדירה </w:t>
      </w:r>
      <w:r w:rsidR="007F40D1" w:rsidRPr="00882F11">
        <w:rPr>
          <w:rFonts w:cs="Guttman Drogolin" w:hint="cs"/>
          <w:rtl/>
          <w:lang w:bidi="he-IL"/>
        </w:rPr>
        <w:t xml:space="preserve">מהחתיכות והירק והמרק והתבלין כדי שתהא חתיכה זו אחד מששים מהכל החתיכה אסורה והשאר מותר וכו'". והנה המחבר המשיך מיד לבאר  שמשערים בכל החתיכה ולא פירש לנו שהי' כאן ניעור של החתיכה לתוך התבשיל. ולמד מזה הט"ז בס"ק ב' דע"כ מיירי בחתיכה שמקצתה בתוך הרוטב וכשיטת רש"י דכה"ג אין מצרפין את שאר הקדרה לבטל את הטיפה. ולכן החתיכה אוסרת מיד את שאר התבשיל, דכיון שהיא מונחת בתוך התבשיל יש לה כח לאסור התבשיל אפילו אינו עושה שום ניעור. ושיטתו דומה לשיטת הר"ן הנ"ל בשיעור הקודם, רק שלר"ן החתיכה אוסרת את כל התבשיל אפילו אם אין החתיכה מונחת לתוך הרוטב. ואילו הט"ז סבר בדעת המחבר דאע"ג שהחתיכה נאסרת ונע"נ ומתחיל לאסור כל הקדרה אע"ג שלא ניער, מ"מ אין החתיכה יכול לאסור אא"כ מקצתה בתוך הרוטב. וטעם החילוק שביניהם משום שהר"ן סבר שאחרי שחתיכה נע"נ הרי הבשר אוסר מצד עצמו אינו צריך תערובת חלב עם הבשר כדי לאסור, ולכן הרי הוא אוסר את החתיכה שמתחתיו ולא איכפת לן אם בליעה עוברת מחתיכה לחתיכה בלי רוטב או לא. אבל הט"ז סבר כדמבואר בתוס' בדף צ"ו ע"ב שלעולם אין הבשר אוסר במקום שאין החלב יכול להתפשט, ולכן אם אינו בתוך הרוטב אין החלב יכול להתפשט ולכן אין החתיכה יכולה לאסור את שאר התבשיל. אבל כשמקצתו בתוך הרוטב </w:t>
      </w:r>
      <w:r w:rsidR="009316BD" w:rsidRPr="00882F11">
        <w:rPr>
          <w:rFonts w:cs="Guttman Drogolin" w:hint="cs"/>
          <w:rtl/>
          <w:lang w:bidi="he-IL"/>
        </w:rPr>
        <w:t xml:space="preserve">יוצא </w:t>
      </w:r>
      <w:r w:rsidR="009316BD" w:rsidRPr="00882F11">
        <w:rPr>
          <w:rFonts w:cs="Guttman Drogolin" w:hint="cs"/>
          <w:rtl/>
          <w:lang w:bidi="he-IL"/>
        </w:rPr>
        <w:lastRenderedPageBreak/>
        <w:t>החלב מן החתיכה, ואע"פ כן אין שאר התבשיל מצטרף לבטל את החתיכה, ומשום הטיפה אוסרת קודם את החתיכה ואח"כ יוצא.</w:t>
      </w:r>
    </w:p>
    <w:p w:rsidR="007840F3" w:rsidRPr="00882F11" w:rsidRDefault="009316BD" w:rsidP="00912531">
      <w:pPr>
        <w:tabs>
          <w:tab w:val="right" w:pos="7497"/>
        </w:tabs>
        <w:bidi/>
        <w:jc w:val="both"/>
        <w:rPr>
          <w:rFonts w:cs="Guttman Drogolin"/>
          <w:rtl/>
          <w:lang w:bidi="he-IL"/>
        </w:rPr>
      </w:pPr>
      <w:r w:rsidRPr="00882F11">
        <w:rPr>
          <w:rFonts w:cs="Guttman Drogolin" w:hint="cs"/>
          <w:rtl/>
          <w:lang w:bidi="he-IL"/>
        </w:rPr>
        <w:t xml:space="preserve">ויש על דברי הט"ז ב' קושיות. בנקוה"כ העיר שהרי המשך לשון המחבר שם "במה דברים אמורים </w:t>
      </w:r>
      <w:r w:rsidR="007840F3" w:rsidRPr="00882F11">
        <w:rPr>
          <w:rFonts w:cs="Guttman Drogolin" w:hint="cs"/>
          <w:rtl/>
          <w:lang w:bidi="he-IL"/>
        </w:rPr>
        <w:t xml:space="preserve">בשלא ניער הקדרה בתחילה כשנפל החלב אלא לבסוף ולא כיסה אבל אם ניער מתחילה ועד סוף או שכיסה בשעת נפילה ועד סוף הכל מצטרף לבטל טעם החלב". הרי שהחמבר פי' בהדיא דמיירי בכה"ג שנפל לתוך הקדרה, ולכן שפיר אפשר לומר שלעולם המחבר סבר כשיטת ר"י, ואינו אוסר אא"כ נפל לתוך הרוטב, ובהכי מיירי המחבר. והט"ז ע"כ סבר שה"בד"א" אין ר"ל שכה"ג דוקא אוסר, רק הכוונה לומר שאם ינער קודם שהחלב יאסור את החתיכה אפשר לצרף את שאר התבשיל לבטל הטיפת חלב, אבל לעולם כדי לאסור לא בעינן ניעור. </w:t>
      </w:r>
    </w:p>
    <w:p w:rsidR="009024DC" w:rsidRPr="00882F11" w:rsidRDefault="007840F3" w:rsidP="009024DC">
      <w:pPr>
        <w:tabs>
          <w:tab w:val="right" w:pos="7497"/>
        </w:tabs>
        <w:bidi/>
        <w:jc w:val="both"/>
        <w:rPr>
          <w:rFonts w:cs="Guttman Drogolin"/>
          <w:rtl/>
          <w:lang w:bidi="he-IL"/>
        </w:rPr>
      </w:pPr>
      <w:r w:rsidRPr="00882F11">
        <w:rPr>
          <w:rFonts w:cs="Guttman Drogolin" w:hint="cs"/>
          <w:rtl/>
          <w:lang w:bidi="he-IL"/>
        </w:rPr>
        <w:t xml:space="preserve">עוד </w:t>
      </w:r>
      <w:r w:rsidR="00F10620" w:rsidRPr="00882F11">
        <w:rPr>
          <w:rFonts w:cs="Guttman Drogolin" w:hint="cs"/>
          <w:rtl/>
          <w:lang w:bidi="he-IL"/>
        </w:rPr>
        <w:t>ע'</w:t>
      </w:r>
      <w:r w:rsidRPr="00882F11">
        <w:rPr>
          <w:rFonts w:cs="Guttman Drogolin" w:hint="cs"/>
          <w:rtl/>
          <w:lang w:bidi="he-IL"/>
        </w:rPr>
        <w:t xml:space="preserve"> בשפ"ד ס"ק ג'</w:t>
      </w:r>
      <w:r w:rsidR="00F10620" w:rsidRPr="00882F11">
        <w:rPr>
          <w:rFonts w:cs="Guttman Drogolin" w:hint="cs"/>
          <w:rtl/>
          <w:lang w:bidi="he-IL"/>
        </w:rPr>
        <w:t xml:space="preserve"> שהעיר בזה שאחרי שניערו את החתיכה לתוך התבשיל שוב לא מהני טעימת קפילא לדעת אם נאסרה החתיכה, דהא יתכן שהחתיכה נע"נ ושוב פלט את הטעם חל</w:t>
      </w:r>
      <w:r w:rsidR="008D416E" w:rsidRPr="00882F11">
        <w:rPr>
          <w:rFonts w:cs="Guttman Drogolin" w:hint="cs"/>
          <w:rtl/>
          <w:lang w:bidi="he-IL"/>
        </w:rPr>
        <w:t>ב</w:t>
      </w:r>
      <w:r w:rsidR="00F10620" w:rsidRPr="00882F11">
        <w:rPr>
          <w:rFonts w:cs="Guttman Drogolin" w:hint="cs"/>
          <w:rtl/>
          <w:lang w:bidi="he-IL"/>
        </w:rPr>
        <w:t xml:space="preserve"> שבו.</w:t>
      </w:r>
      <w:r w:rsidR="008D416E" w:rsidRPr="00882F11">
        <w:rPr>
          <w:rFonts w:cs="Guttman Drogolin" w:hint="cs"/>
          <w:rtl/>
          <w:lang w:bidi="he-IL"/>
        </w:rPr>
        <w:t xml:space="preserve"> ולכן פירש דצ"ל דמיירי בכה"ג שטעמו הקפילא קודם שניערו בקדירה. וראיתי בס' מגילת ספר שהעיר שמ"מ לדברי הט"ז בדעת המחבר הנ"ל עדיין צ"ע, דהא מבואר מלשון המחבר דמהני טעימת קפילא, ולכאורה צ"ע באיזה ענין תהני הא הרי הוא מעורב כבר והוא אוסר שאר הקדירה בלי לנער אותו ומשום שחלב מן הטעם חלב יוצא עם הבשר, וא"כ צ"ע למה לא נחוש שהחתיכה נע"</w:t>
      </w:r>
      <w:r w:rsidR="009024DC" w:rsidRPr="00882F11">
        <w:rPr>
          <w:rFonts w:cs="Guttman Drogolin" w:hint="cs"/>
          <w:rtl/>
          <w:lang w:bidi="he-IL"/>
        </w:rPr>
        <w:t>נ קודם שלטעמו הקפילא ולעולם מ</w:t>
      </w:r>
      <w:r w:rsidR="008D416E" w:rsidRPr="00882F11">
        <w:rPr>
          <w:rFonts w:cs="Guttman Drogolin" w:hint="cs"/>
          <w:rtl/>
          <w:lang w:bidi="he-IL"/>
        </w:rPr>
        <w:t>עיקרא הי' בו נתינת טעם ונע"נ.</w:t>
      </w:r>
      <w:r w:rsidR="009024DC" w:rsidRPr="00882F11">
        <w:rPr>
          <w:rFonts w:cs="Guttman Drogolin" w:hint="cs"/>
          <w:rtl/>
          <w:lang w:bidi="he-IL"/>
        </w:rPr>
        <w:t xml:space="preserve"> ולכאורה צריכים לומר שחתך חלק מן החתיכה קודם שהתחיל טעם הח</w:t>
      </w:r>
      <w:r w:rsidR="006C33F9" w:rsidRPr="00882F11">
        <w:rPr>
          <w:rFonts w:cs="Guttman Drogolin" w:hint="cs"/>
          <w:rtl/>
          <w:lang w:bidi="he-IL"/>
        </w:rPr>
        <w:t>ל</w:t>
      </w:r>
      <w:r w:rsidR="009024DC" w:rsidRPr="00882F11">
        <w:rPr>
          <w:rFonts w:cs="Guttman Drogolin" w:hint="cs"/>
          <w:rtl/>
          <w:lang w:bidi="he-IL"/>
        </w:rPr>
        <w:t>ב להתערב עם הקדירה, וצריך עיון מנין לנו לדעת שיעור זמן זה. וצ"ע.</w:t>
      </w:r>
    </w:p>
    <w:p w:rsidR="009024DC" w:rsidRPr="00882F11" w:rsidRDefault="009024DC" w:rsidP="009024DC">
      <w:pPr>
        <w:tabs>
          <w:tab w:val="right" w:pos="7497"/>
        </w:tabs>
        <w:bidi/>
        <w:jc w:val="both"/>
        <w:rPr>
          <w:rFonts w:cs="Guttman Drogolin"/>
          <w:rtl/>
          <w:lang w:bidi="he-IL"/>
        </w:rPr>
      </w:pPr>
      <w:r w:rsidRPr="00882F11">
        <w:rPr>
          <w:rFonts w:cs="Guttman Drogolin" w:hint="cs"/>
          <w:rtl/>
          <w:lang w:bidi="he-IL"/>
        </w:rPr>
        <w:t xml:space="preserve">והש"ך למד שהשו"ע סבר כר"י שכן הוא דעת רוב הפוסקים, ולכן אילו הי' ברוטב התבשיל הי' מספיק בס' בתבשיל נגד הטיפת חלב, והא דנאסר </w:t>
      </w:r>
      <w:r w:rsidRPr="00882F11">
        <w:rPr>
          <w:rFonts w:cs="Guttman Drogolin" w:hint="cs"/>
          <w:rtl/>
          <w:lang w:bidi="he-IL"/>
        </w:rPr>
        <w:lastRenderedPageBreak/>
        <w:t>החתיכה הוא כשהחתיכה חוץ לרוטב, ואין החתיכה אוסכת את שאר התבשיל אלא כשניער החתיכה לתוך התבשיל לאחר שנע"נ.</w:t>
      </w:r>
    </w:p>
    <w:p w:rsidR="009024DC" w:rsidRPr="00DA1D59" w:rsidRDefault="009024DC" w:rsidP="0078079C">
      <w:pPr>
        <w:pStyle w:val="Heading1"/>
        <w:keepLines w:val="0"/>
        <w:bidi/>
        <w:spacing w:before="0" w:line="360" w:lineRule="auto"/>
        <w:jc w:val="center"/>
        <w:rPr>
          <w:rFonts w:cs="Guttman Drogolin"/>
          <w:color w:val="auto"/>
          <w:sz w:val="20"/>
          <w:szCs w:val="20"/>
          <w:u w:val="single"/>
          <w:rtl/>
          <w:lang w:bidi="he-IL"/>
        </w:rPr>
      </w:pPr>
      <w:bookmarkStart w:id="206" w:name="_Toc496175461"/>
      <w:r w:rsidRPr="00DA1D59">
        <w:rPr>
          <w:rFonts w:cs="Guttman Drogolin" w:hint="cs"/>
          <w:color w:val="auto"/>
          <w:sz w:val="20"/>
          <w:szCs w:val="20"/>
          <w:u w:val="single"/>
          <w:rtl/>
          <w:lang w:bidi="he-IL"/>
        </w:rPr>
        <w:t>שיטת הרמ"א בדין חתיכה שמקצתה בתוך הרוטב</w:t>
      </w:r>
      <w:bookmarkEnd w:id="206"/>
    </w:p>
    <w:p w:rsidR="00CC06BA" w:rsidRPr="00882F11" w:rsidRDefault="005E1A06" w:rsidP="005E1A06">
      <w:pPr>
        <w:bidi/>
        <w:jc w:val="both"/>
        <w:rPr>
          <w:rFonts w:cs="Guttman Drogolin"/>
          <w:rtl/>
          <w:lang w:bidi="he-IL"/>
        </w:rPr>
      </w:pPr>
      <w:r>
        <w:rPr>
          <w:rFonts w:cs="Guttman Drogolin"/>
          <w:rtl/>
          <w:lang w:bidi="he-IL"/>
        </w:rPr>
        <w:fldChar w:fldCharType="begin"/>
      </w:r>
      <w:r>
        <w:instrText xml:space="preserve"> XE "</w:instrText>
      </w:r>
      <w:r w:rsidRPr="00437A07">
        <w:rPr>
          <w:rFonts w:hint="cs"/>
          <w:rtl/>
          <w:lang w:bidi="he-IL"/>
        </w:rPr>
        <w:instrText>צלי</w:instrText>
      </w:r>
      <w:r w:rsidRPr="00437A07">
        <w:rPr>
          <w:rtl/>
        </w:rPr>
        <w:instrText>:</w:instrText>
      </w:r>
      <w:r w:rsidRPr="00437A07">
        <w:rPr>
          <w:rFonts w:hint="cs"/>
          <w:rtl/>
          <w:lang w:bidi="he-IL"/>
        </w:rPr>
        <w:instrText>חתיכה שמקצתה בתוך הרוטב - שיטת ה</w:instrText>
      </w:r>
      <w:r>
        <w:rPr>
          <w:rFonts w:hint="cs"/>
          <w:rtl/>
          <w:lang w:bidi="he-IL"/>
        </w:rPr>
        <w:instrText>רמ</w:instrText>
      </w:r>
      <w:r>
        <w:rPr>
          <w:rFonts w:eastAsiaTheme="minorEastAsia"/>
          <w:lang w:bidi="he-IL"/>
        </w:rPr>
        <w:instrText>\</w:instrText>
      </w:r>
      <w:r>
        <w:rPr>
          <w:rFonts w:hint="cs"/>
          <w:rtl/>
          <w:lang w:bidi="he-IL"/>
        </w:rPr>
        <w:instrText>"א</w:instrText>
      </w:r>
      <w:r>
        <w:instrText xml:space="preserve">" </w:instrText>
      </w:r>
      <w:r>
        <w:rPr>
          <w:rFonts w:cs="Guttman Drogolin"/>
          <w:rtl/>
          <w:lang w:bidi="he-IL"/>
        </w:rPr>
        <w:fldChar w:fldCharType="end"/>
      </w:r>
      <w:r w:rsidR="009024DC" w:rsidRPr="00882F11">
        <w:rPr>
          <w:rFonts w:cs="Guttman Drogolin" w:hint="cs"/>
          <w:rtl/>
          <w:lang w:bidi="he-IL"/>
        </w:rPr>
        <w:t xml:space="preserve">אחרי דברי המחבר הנ"ל הוסיף הרמ"א שם "וכן אם לא ניער כלל לא בתחילה ולא בסוף ולא כיסה כלל אם יש ששים בקדירה נגד טיפת חלב שנפל אינו אסור רק החתיכה לבד ושאר הקדירה מותר וכו'". והנה עד כה ראינו שיש שיטה שסוברת </w:t>
      </w:r>
      <w:r w:rsidR="00D600DC" w:rsidRPr="00882F11">
        <w:rPr>
          <w:rFonts w:cs="Guttman Drogolin" w:hint="cs"/>
          <w:rtl/>
          <w:lang w:bidi="he-IL"/>
        </w:rPr>
        <w:t xml:space="preserve">שאם </w:t>
      </w:r>
      <w:r w:rsidR="006C33F9" w:rsidRPr="00882F11">
        <w:rPr>
          <w:rFonts w:cs="Guttman Drogolin" w:hint="cs"/>
          <w:rtl/>
          <w:lang w:bidi="he-IL"/>
        </w:rPr>
        <w:t>הוא בתוך הרוטב כל התבשיל מצטרף ל</w:t>
      </w:r>
      <w:r w:rsidR="00D600DC" w:rsidRPr="00882F11">
        <w:rPr>
          <w:rFonts w:cs="Guttman Drogolin" w:hint="cs"/>
          <w:rtl/>
          <w:lang w:bidi="he-IL"/>
        </w:rPr>
        <w:t>בטל הטיפת חלב, וזהו שיטת ר"י. ולשיטת רש"י ראינו שי"א שהחתיכה אוסרת מיד וצריכים ס' בתבשיל כנגד כל החתיכה (וכן למד הט"ז בביאור שיטת המחבר), וי"א שאמנם החתיכה נאסרה מ"מ אינו אוסר את התבשיל, כיון שלרש"י מקצתו בתוך הרוטב הוא כמו כולו מחוץ לרוטב בין לענין זה שאין התבשיל מצטרף לבטל הטיפת חלב ובין לענין זה שאינו פולט לתבשיל אחר שנאסר. ולכן תמהו הש"ך והט"ז כאן</w:t>
      </w:r>
      <w:r w:rsidR="00CC06BA" w:rsidRPr="00882F11">
        <w:rPr>
          <w:rFonts w:cs="Guttman Drogolin" w:hint="cs"/>
          <w:rtl/>
          <w:lang w:bidi="he-IL"/>
        </w:rPr>
        <w:t xml:space="preserve"> על דברי הרמ"א, שלכאורה ממ"נ אם סובר כשיטת ר"י הי' גם החתיכה צרכה להיות מותר, ואם כרש"י וכט"ז הי' צריך לאסור את התבשיל אא"כ יש ששים כנגד החתיכה ולא רק הטיפת חלב, ואם דלא כט"ז הי' צריך להיות שהתבשיל מותר אע"ג שאין ששים בתבשיל כנגד הטיפת חלב. ומכח קושיות אלו כתבו הבאר הגולה (לולא דמסתפינא) וביאור הגר"א שבאמת יש כאן טעות סופר ואין כוונת הרמ"א אלא לאסור החתיכה אם אין בה ששים כנגד הטיפת חלב כשלא ניער. </w:t>
      </w:r>
    </w:p>
    <w:p w:rsidR="00BE4E6E" w:rsidRPr="00882F11" w:rsidRDefault="00CC06BA" w:rsidP="006C33F9">
      <w:pPr>
        <w:bidi/>
        <w:jc w:val="both"/>
        <w:rPr>
          <w:rFonts w:cs="Guttman Drogolin"/>
          <w:rtl/>
          <w:lang w:bidi="he-IL"/>
        </w:rPr>
      </w:pPr>
      <w:r w:rsidRPr="00882F11">
        <w:rPr>
          <w:rFonts w:cs="Guttman Drogolin" w:hint="cs"/>
          <w:rtl/>
          <w:lang w:bidi="he-IL"/>
        </w:rPr>
        <w:t xml:space="preserve">והנו"כ כתבו כמה דרכים ליישב בגירסא שלפנינו. הט"ז כתב שכוונת הרמ"א לשיטת ר"י שבמקצתו בתוך הרוטב הכל מצטרף לבטל את הטיפה, ומ"מ הנ"מ להתיר הקדרה אבל החתיכה עדיין אסורה אפילו לר"י, ודבר זה אינו מובן, דהא זהו עצם היסוד של שיטת ר"י להתיר גם החתיכה אם מקצתו בתוך הרוטב כשיש ס' בכל הקדירה. והש"ך כתב שכוונת הרמ"א להחמיר בין כר"י ובין כרש"י, ומיירי במקצתו בתוך הרוטב, ולכן החתיכה אסורה משום שלשיטת רש"י אין התבשיל מהני לבטל הטיפת חלב אע"פ שמקצתו </w:t>
      </w:r>
      <w:r w:rsidRPr="00882F11">
        <w:rPr>
          <w:rFonts w:cs="Guttman Drogolin" w:hint="cs"/>
          <w:rtl/>
          <w:lang w:bidi="he-IL"/>
        </w:rPr>
        <w:lastRenderedPageBreak/>
        <w:t xml:space="preserve">בתוך הרוטב, ומ"מ צריכים ס' כנגד הטיפת חלב משום דאע"ג שלשיטת רש"י אין הטיפה יוצא מן החתיכה, מ"מ לר"י הכל מצטרף לבטלו, ואם אין ששים בתבשיל לבטל את הטיפה הכל אסור. ורע"א וחוו"ד כתבו עוד ביאור שלישי, והוא משום שאנן מחמרינן שכל דבר חשוב שמן, ובדבר שמן הרי הוא עובר מחתיכה לחתיכה בלי רוטב, ולכן אע"ג </w:t>
      </w:r>
      <w:r w:rsidR="00A9673F" w:rsidRPr="00882F11">
        <w:rPr>
          <w:rFonts w:cs="Guttman Drogolin" w:hint="cs"/>
          <w:rtl/>
          <w:lang w:bidi="he-IL"/>
        </w:rPr>
        <w:t>שהוא למעלה מן הרוטב צריכים לחשוש שהחלב עובר לתבשיל ואם אין ששים כנגד הטיפה הרי היא אסורה.</w:t>
      </w:r>
    </w:p>
    <w:p w:rsidR="00BE4E6E" w:rsidRPr="00882F11" w:rsidRDefault="00A9673F" w:rsidP="00BE4C71">
      <w:pPr>
        <w:bidi/>
        <w:jc w:val="both"/>
        <w:rPr>
          <w:rFonts w:cs="Guttman Drogolin"/>
          <w:rtl/>
          <w:lang w:bidi="he-IL"/>
        </w:rPr>
      </w:pPr>
      <w:r w:rsidRPr="00882F11">
        <w:rPr>
          <w:rFonts w:cs="Guttman Drogolin" w:hint="cs"/>
          <w:rtl/>
          <w:lang w:bidi="he-IL"/>
        </w:rPr>
        <w:t xml:space="preserve">והט"ז הקשה לפירושו שמ"מ הו"ל לרמ"א לכתוב וי"א כיון שהיא דעה חולקת על המחבר לשיטתו שהמחבר פסק כרש"י, אבל לש"ך כוונת הרמ"א על דרך זה, שאם למעלה מן הרוטב החתיכה אסורה והתבשי מותרת, ואם בתוך התבשיל צריכים ששים כנגד הטיפה, אבל </w:t>
      </w:r>
      <w:r w:rsidR="00BE4E6E" w:rsidRPr="00882F11">
        <w:rPr>
          <w:rFonts w:cs="Guttman Drogolin" w:hint="cs"/>
          <w:rtl/>
          <w:lang w:bidi="he-IL"/>
        </w:rPr>
        <w:t>מ"מ לשיטתו הו"ל לרמ"א להדגיש שהנ"מ כשנפל הטיפת חלב על חתיכה שהיא חוץ לרוטב, אבל אם נפל עליו כשמקצתו בתוך הרוטב וכו'. וצ"ע.</w:t>
      </w:r>
    </w:p>
    <w:p w:rsidR="009024DC" w:rsidRPr="00882F11" w:rsidRDefault="00BE4E6E" w:rsidP="00BE4C71">
      <w:pPr>
        <w:bidi/>
        <w:jc w:val="both"/>
        <w:rPr>
          <w:rFonts w:cs="Guttman Drogolin"/>
          <w:rtl/>
          <w:lang w:bidi="he-IL"/>
        </w:rPr>
      </w:pPr>
      <w:r w:rsidRPr="00882F11">
        <w:rPr>
          <w:rFonts w:cs="Guttman Drogolin" w:hint="cs"/>
          <w:rtl/>
          <w:lang w:bidi="he-IL"/>
        </w:rPr>
        <w:t>וחשבתי עוד מהלך על דרכו של הש"ך, רק במקום לומר שהרמ"א מחמיר בין כשיטת רש"י ובין כשיטת ר"י, י"ל דלעולם סבר כשיטת רש"</w:t>
      </w:r>
      <w:r w:rsidR="00223EE7" w:rsidRPr="00882F11">
        <w:rPr>
          <w:rFonts w:cs="Guttman Drogolin" w:hint="cs"/>
          <w:rtl/>
          <w:lang w:bidi="he-IL"/>
        </w:rPr>
        <w:t>י, רק רש"י עצמו לא התיר אא"כ יש ששים בקדרה. ואע"ג דסבר</w:t>
      </w:r>
      <w:r w:rsidR="00A9673F" w:rsidRPr="00882F11">
        <w:rPr>
          <w:rFonts w:cs="Guttman Drogolin" w:hint="cs"/>
          <w:rtl/>
          <w:lang w:bidi="he-IL"/>
        </w:rPr>
        <w:t xml:space="preserve"> </w:t>
      </w:r>
      <w:r w:rsidR="00223EE7" w:rsidRPr="00882F11">
        <w:rPr>
          <w:rFonts w:cs="Guttman Drogolin" w:hint="cs"/>
          <w:rtl/>
          <w:lang w:bidi="he-IL"/>
        </w:rPr>
        <w:t>שאי אפשר לצרף את שאר הקדירה, היינו משום דלא ידעינן כמה נפיק מיני', ולכן צריכים להחמיר שלא יצא ממנו אא"כ יש ששים בחתיכה נגד הטיפה, אבל אה"נ יש גם צד דנפיק מיני' עד כולה, ואם יצא ממנו יש לו דין סופו להתפשט, ולכן צריכים גם ששים בקדירה כנגד הטיפה של חלב.</w:t>
      </w:r>
      <w:r w:rsidR="00CC06BA" w:rsidRPr="00882F11">
        <w:rPr>
          <w:rFonts w:cs="Guttman Drogolin" w:hint="cs"/>
          <w:rtl/>
          <w:lang w:bidi="he-IL"/>
        </w:rPr>
        <w:t xml:space="preserve">  </w:t>
      </w:r>
      <w:r w:rsidR="00D600DC" w:rsidRPr="00882F11">
        <w:rPr>
          <w:rFonts w:cs="Guttman Drogolin" w:hint="cs"/>
          <w:rtl/>
          <w:lang w:bidi="he-IL"/>
        </w:rPr>
        <w:t xml:space="preserve"> </w:t>
      </w:r>
      <w:r w:rsidR="009024DC" w:rsidRPr="00882F11">
        <w:rPr>
          <w:rFonts w:cs="Guttman Drogolin" w:hint="cs"/>
          <w:rtl/>
          <w:lang w:bidi="he-IL"/>
        </w:rPr>
        <w:t xml:space="preserve"> </w:t>
      </w:r>
    </w:p>
    <w:p w:rsidR="00223EE7" w:rsidRPr="00882F11" w:rsidRDefault="00223EE7" w:rsidP="0078079C">
      <w:pPr>
        <w:pStyle w:val="Heading1"/>
        <w:bidi/>
        <w:spacing w:before="0" w:line="360" w:lineRule="auto"/>
        <w:jc w:val="center"/>
        <w:rPr>
          <w:rFonts w:cs="Guttman Drogolin"/>
          <w:color w:val="auto"/>
          <w:sz w:val="24"/>
          <w:szCs w:val="24"/>
          <w:u w:val="single"/>
          <w:rtl/>
          <w:lang w:bidi="he-IL"/>
        </w:rPr>
      </w:pPr>
      <w:bookmarkStart w:id="207" w:name="_Toc496175462"/>
      <w:r w:rsidRPr="00882F11">
        <w:rPr>
          <w:rFonts w:cs="Guttman Drogolin" w:hint="cs"/>
          <w:color w:val="auto"/>
          <w:sz w:val="24"/>
          <w:szCs w:val="24"/>
          <w:u w:val="single"/>
          <w:rtl/>
          <w:lang w:bidi="he-IL"/>
        </w:rPr>
        <w:t>בדין ניעור מתחילה ועד סוף</w:t>
      </w:r>
      <w:bookmarkEnd w:id="207"/>
    </w:p>
    <w:p w:rsidR="003D6706" w:rsidRPr="00882F11" w:rsidRDefault="005E1A06" w:rsidP="00BE4C71">
      <w:pPr>
        <w:tabs>
          <w:tab w:val="right" w:pos="7497"/>
        </w:tabs>
        <w:bidi/>
        <w:jc w:val="both"/>
        <w:rPr>
          <w:rFonts w:cs="Guttman Drogolin"/>
          <w:rtl/>
          <w:lang w:bidi="he-IL"/>
        </w:rPr>
      </w:pPr>
      <w:r>
        <w:rPr>
          <w:rFonts w:cs="Guttman Drogolin"/>
          <w:rtl/>
          <w:lang w:bidi="he-IL"/>
        </w:rPr>
        <w:fldChar w:fldCharType="begin"/>
      </w:r>
      <w:r>
        <w:instrText xml:space="preserve"> XE "</w:instrText>
      </w:r>
      <w:r w:rsidRPr="008F61AC">
        <w:rPr>
          <w:rFonts w:hint="cs"/>
          <w:rtl/>
          <w:lang w:bidi="he-IL"/>
        </w:rPr>
        <w:instrText>חענ</w:instrText>
      </w:r>
      <w:r>
        <w:rPr>
          <w:rFonts w:eastAsiaTheme="minorEastAsia"/>
          <w:lang w:bidi="he-IL"/>
        </w:rPr>
        <w:instrText>\</w:instrText>
      </w:r>
      <w:r w:rsidRPr="008F61AC">
        <w:rPr>
          <w:rFonts w:hint="cs"/>
          <w:rtl/>
          <w:lang w:bidi="he-IL"/>
        </w:rPr>
        <w:instrText>"ן</w:instrText>
      </w:r>
      <w:r w:rsidRPr="008F61AC">
        <w:rPr>
          <w:rtl/>
        </w:rPr>
        <w:instrText>:</w:instrText>
      </w:r>
      <w:r w:rsidRPr="008F61AC">
        <w:rPr>
          <w:rFonts w:hint="cs"/>
          <w:rtl/>
          <w:lang w:bidi="he-IL"/>
        </w:rPr>
        <w:instrText>ניעור מתחילה ועד סוף</w:instrText>
      </w:r>
      <w:r>
        <w:instrText xml:space="preserve">" </w:instrText>
      </w:r>
      <w:r>
        <w:rPr>
          <w:rFonts w:cs="Guttman Drogolin"/>
          <w:rtl/>
          <w:lang w:bidi="he-IL"/>
        </w:rPr>
        <w:fldChar w:fldCharType="end"/>
      </w:r>
      <w:r w:rsidR="00974C90" w:rsidRPr="00882F11">
        <w:rPr>
          <w:rFonts w:cs="Guttman Drogolin" w:hint="cs"/>
          <w:rtl/>
          <w:lang w:bidi="he-IL"/>
        </w:rPr>
        <w:t xml:space="preserve">איתא </w:t>
      </w:r>
      <w:r w:rsidR="00F53FB1" w:rsidRPr="00882F11">
        <w:rPr>
          <w:rFonts w:cs="Guttman Drogolin" w:hint="cs"/>
          <w:rtl/>
          <w:lang w:bidi="he-IL"/>
        </w:rPr>
        <w:t>ב</w:t>
      </w:r>
      <w:r w:rsidR="00974C90" w:rsidRPr="00882F11">
        <w:rPr>
          <w:rFonts w:cs="Guttman Drogolin" w:hint="cs"/>
          <w:rtl/>
          <w:lang w:bidi="he-IL"/>
        </w:rPr>
        <w:t>ברייתא שב</w:t>
      </w:r>
      <w:r w:rsidR="00F53FB1" w:rsidRPr="00882F11">
        <w:rPr>
          <w:rFonts w:cs="Guttman Drogolin" w:hint="cs"/>
          <w:rtl/>
          <w:lang w:bidi="he-IL"/>
        </w:rPr>
        <w:t>גמ' שב</w:t>
      </w:r>
      <w:r w:rsidR="00974C90" w:rsidRPr="00882F11">
        <w:rPr>
          <w:rFonts w:cs="Guttman Drogolin" w:hint="cs"/>
          <w:rtl/>
          <w:lang w:bidi="he-IL"/>
        </w:rPr>
        <w:t xml:space="preserve">מס' חולין </w:t>
      </w:r>
      <w:r w:rsidR="00F53FB1" w:rsidRPr="00882F11">
        <w:rPr>
          <w:rFonts w:cs="Guttman Drogolin" w:hint="cs"/>
          <w:rtl/>
          <w:lang w:bidi="he-IL"/>
        </w:rPr>
        <w:t>דף ק"ח ע"ב</w:t>
      </w:r>
      <w:r w:rsidR="00974C90" w:rsidRPr="00882F11">
        <w:rPr>
          <w:rFonts w:cs="Guttman Drogolin" w:hint="cs"/>
          <w:rtl/>
          <w:lang w:bidi="he-IL"/>
        </w:rPr>
        <w:t xml:space="preserve"> "טפת</w:t>
      </w:r>
      <w:r w:rsidR="00974C90" w:rsidRPr="00882F11">
        <w:rPr>
          <w:rFonts w:cs="Guttman Drogolin"/>
          <w:rtl/>
          <w:lang w:bidi="he-IL"/>
        </w:rPr>
        <w:t xml:space="preserve"> </w:t>
      </w:r>
      <w:r w:rsidR="00974C90" w:rsidRPr="00882F11">
        <w:rPr>
          <w:rFonts w:cs="Guttman Drogolin" w:hint="cs"/>
          <w:rtl/>
          <w:lang w:bidi="he-IL"/>
        </w:rPr>
        <w:t>חלב</w:t>
      </w:r>
      <w:r w:rsidR="00974C90" w:rsidRPr="00882F11">
        <w:rPr>
          <w:rFonts w:cs="Guttman Drogolin"/>
          <w:rtl/>
          <w:lang w:bidi="he-IL"/>
        </w:rPr>
        <w:t xml:space="preserve"> </w:t>
      </w:r>
      <w:r w:rsidR="00974C90" w:rsidRPr="00882F11">
        <w:rPr>
          <w:rFonts w:cs="Guttman Drogolin" w:hint="cs"/>
          <w:rtl/>
          <w:lang w:bidi="he-IL"/>
        </w:rPr>
        <w:t>שנפלה</w:t>
      </w:r>
      <w:r w:rsidR="00974C90" w:rsidRPr="00882F11">
        <w:rPr>
          <w:rFonts w:cs="Guttman Drogolin"/>
          <w:rtl/>
          <w:lang w:bidi="he-IL"/>
        </w:rPr>
        <w:t xml:space="preserve"> </w:t>
      </w:r>
      <w:r w:rsidR="00974C90" w:rsidRPr="00882F11">
        <w:rPr>
          <w:rFonts w:cs="Guttman Drogolin" w:hint="cs"/>
          <w:rtl/>
          <w:lang w:bidi="he-IL"/>
        </w:rPr>
        <w:t>על</w:t>
      </w:r>
      <w:r w:rsidR="00974C90" w:rsidRPr="00882F11">
        <w:rPr>
          <w:rFonts w:cs="Guttman Drogolin"/>
          <w:rtl/>
          <w:lang w:bidi="he-IL"/>
        </w:rPr>
        <w:t xml:space="preserve"> </w:t>
      </w:r>
      <w:r w:rsidR="00974C90" w:rsidRPr="00882F11">
        <w:rPr>
          <w:rFonts w:cs="Guttman Drogolin" w:hint="cs"/>
          <w:rtl/>
          <w:lang w:bidi="he-IL"/>
        </w:rPr>
        <w:t>החתיכה</w:t>
      </w:r>
      <w:r w:rsidR="00974C90" w:rsidRPr="00882F11">
        <w:rPr>
          <w:rFonts w:cs="Guttman Drogolin"/>
          <w:rtl/>
          <w:lang w:bidi="he-IL"/>
        </w:rPr>
        <w:t xml:space="preserve"> </w:t>
      </w:r>
      <w:r w:rsidR="00974C90" w:rsidRPr="00882F11">
        <w:rPr>
          <w:rFonts w:cs="Guttman Drogolin" w:hint="cs"/>
          <w:rtl/>
          <w:lang w:bidi="he-IL"/>
        </w:rPr>
        <w:t>כיון</w:t>
      </w:r>
      <w:r w:rsidR="00974C90" w:rsidRPr="00882F11">
        <w:rPr>
          <w:rFonts w:cs="Guttman Drogolin"/>
          <w:rtl/>
          <w:lang w:bidi="he-IL"/>
        </w:rPr>
        <w:t xml:space="preserve"> </w:t>
      </w:r>
      <w:r w:rsidR="00974C90" w:rsidRPr="00882F11">
        <w:rPr>
          <w:rFonts w:cs="Guttman Drogolin" w:hint="cs"/>
          <w:rtl/>
          <w:lang w:bidi="he-IL"/>
        </w:rPr>
        <w:t>שנתנה</w:t>
      </w:r>
      <w:r w:rsidR="00974C90" w:rsidRPr="00882F11">
        <w:rPr>
          <w:rFonts w:cs="Guttman Drogolin"/>
          <w:rtl/>
          <w:lang w:bidi="he-IL"/>
        </w:rPr>
        <w:t xml:space="preserve"> </w:t>
      </w:r>
      <w:r w:rsidR="00974C90" w:rsidRPr="00882F11">
        <w:rPr>
          <w:rFonts w:cs="Guttman Drogolin" w:hint="cs"/>
          <w:rtl/>
          <w:lang w:bidi="he-IL"/>
        </w:rPr>
        <w:t>טעם</w:t>
      </w:r>
      <w:r w:rsidR="00974C90" w:rsidRPr="00882F11">
        <w:rPr>
          <w:rFonts w:cs="Guttman Drogolin"/>
          <w:rtl/>
          <w:lang w:bidi="he-IL"/>
        </w:rPr>
        <w:t xml:space="preserve"> </w:t>
      </w:r>
      <w:r w:rsidR="00974C90" w:rsidRPr="00882F11">
        <w:rPr>
          <w:rFonts w:cs="Guttman Drogolin" w:hint="cs"/>
          <w:rtl/>
          <w:lang w:bidi="he-IL"/>
        </w:rPr>
        <w:t>בחתיכה</w:t>
      </w:r>
      <w:r w:rsidR="00974C90" w:rsidRPr="00882F11">
        <w:rPr>
          <w:rFonts w:cs="Guttman Drogolin"/>
          <w:rtl/>
          <w:lang w:bidi="he-IL"/>
        </w:rPr>
        <w:t xml:space="preserve"> </w:t>
      </w:r>
      <w:r w:rsidR="00974C90" w:rsidRPr="00882F11">
        <w:rPr>
          <w:rFonts w:cs="Guttman Drogolin" w:hint="cs"/>
          <w:rtl/>
          <w:lang w:bidi="he-IL"/>
        </w:rPr>
        <w:t>החתיכה</w:t>
      </w:r>
      <w:r w:rsidR="00974C90" w:rsidRPr="00882F11">
        <w:rPr>
          <w:rFonts w:cs="Guttman Drogolin"/>
          <w:rtl/>
          <w:lang w:bidi="he-IL"/>
        </w:rPr>
        <w:t xml:space="preserve"> </w:t>
      </w:r>
      <w:r w:rsidR="00974C90" w:rsidRPr="00882F11">
        <w:rPr>
          <w:rFonts w:cs="Guttman Drogolin" w:hint="cs"/>
          <w:rtl/>
          <w:lang w:bidi="he-IL"/>
        </w:rPr>
        <w:t>עצמה</w:t>
      </w:r>
      <w:r w:rsidR="00974C90" w:rsidRPr="00882F11">
        <w:rPr>
          <w:rFonts w:cs="Guttman Drogolin"/>
          <w:rtl/>
          <w:lang w:bidi="he-IL"/>
        </w:rPr>
        <w:t xml:space="preserve"> </w:t>
      </w:r>
      <w:r w:rsidR="00974C90" w:rsidRPr="00882F11">
        <w:rPr>
          <w:rFonts w:cs="Guttman Drogolin" w:hint="cs"/>
          <w:rtl/>
          <w:lang w:bidi="he-IL"/>
        </w:rPr>
        <w:t>נעשת</w:t>
      </w:r>
      <w:r w:rsidR="00974C90" w:rsidRPr="00882F11">
        <w:rPr>
          <w:rFonts w:cs="Guttman Drogolin"/>
          <w:rtl/>
          <w:lang w:bidi="he-IL"/>
        </w:rPr>
        <w:t xml:space="preserve"> </w:t>
      </w:r>
      <w:r w:rsidR="00974C90" w:rsidRPr="00882F11">
        <w:rPr>
          <w:rFonts w:cs="Guttman Drogolin" w:hint="cs"/>
          <w:rtl/>
          <w:lang w:bidi="he-IL"/>
        </w:rPr>
        <w:t>נבלה</w:t>
      </w:r>
      <w:r w:rsidR="00974C90" w:rsidRPr="00882F11">
        <w:rPr>
          <w:rFonts w:cs="Guttman Drogolin"/>
          <w:rtl/>
          <w:lang w:bidi="he-IL"/>
        </w:rPr>
        <w:t xml:space="preserve"> </w:t>
      </w:r>
      <w:r w:rsidR="00974C90" w:rsidRPr="00882F11">
        <w:rPr>
          <w:rFonts w:cs="Guttman Drogolin" w:hint="cs"/>
          <w:rtl/>
          <w:lang w:bidi="he-IL"/>
        </w:rPr>
        <w:t>ואוסרת</w:t>
      </w:r>
      <w:r w:rsidR="00974C90" w:rsidRPr="00882F11">
        <w:rPr>
          <w:rFonts w:cs="Guttman Drogolin"/>
          <w:rtl/>
          <w:lang w:bidi="he-IL"/>
        </w:rPr>
        <w:t xml:space="preserve"> </w:t>
      </w:r>
      <w:r w:rsidR="00974C90" w:rsidRPr="00882F11">
        <w:rPr>
          <w:rFonts w:cs="Guttman Drogolin" w:hint="cs"/>
          <w:rtl/>
          <w:lang w:bidi="he-IL"/>
        </w:rPr>
        <w:t>כל</w:t>
      </w:r>
      <w:r w:rsidR="00974C90" w:rsidRPr="00882F11">
        <w:rPr>
          <w:rFonts w:cs="Guttman Drogolin"/>
          <w:rtl/>
          <w:lang w:bidi="he-IL"/>
        </w:rPr>
        <w:t xml:space="preserve"> </w:t>
      </w:r>
      <w:r w:rsidR="00974C90" w:rsidRPr="00882F11">
        <w:rPr>
          <w:rFonts w:cs="Guttman Drogolin" w:hint="cs"/>
          <w:rtl/>
          <w:lang w:bidi="he-IL"/>
        </w:rPr>
        <w:t>החתיכות</w:t>
      </w:r>
      <w:r w:rsidR="00974C90" w:rsidRPr="00882F11">
        <w:rPr>
          <w:rFonts w:cs="Guttman Drogolin"/>
          <w:rtl/>
          <w:lang w:bidi="he-IL"/>
        </w:rPr>
        <w:t xml:space="preserve"> </w:t>
      </w:r>
      <w:r w:rsidR="00974C90" w:rsidRPr="00882F11">
        <w:rPr>
          <w:rFonts w:cs="Guttman Drogolin" w:hint="cs"/>
          <w:rtl/>
          <w:lang w:bidi="he-IL"/>
        </w:rPr>
        <w:t>כולן</w:t>
      </w:r>
      <w:r w:rsidR="00974C90" w:rsidRPr="00882F11">
        <w:rPr>
          <w:rFonts w:cs="Guttman Drogolin"/>
          <w:rtl/>
          <w:lang w:bidi="he-IL"/>
        </w:rPr>
        <w:t xml:space="preserve"> </w:t>
      </w:r>
      <w:r w:rsidR="00974C90" w:rsidRPr="00882F11">
        <w:rPr>
          <w:rFonts w:cs="Guttman Drogolin" w:hint="cs"/>
          <w:rtl/>
          <w:lang w:bidi="he-IL"/>
        </w:rPr>
        <w:t>מפני</w:t>
      </w:r>
      <w:r w:rsidR="00974C90" w:rsidRPr="00882F11">
        <w:rPr>
          <w:rFonts w:cs="Guttman Drogolin"/>
          <w:rtl/>
          <w:lang w:bidi="he-IL"/>
        </w:rPr>
        <w:t xml:space="preserve"> </w:t>
      </w:r>
      <w:r w:rsidR="00974C90" w:rsidRPr="00882F11">
        <w:rPr>
          <w:rFonts w:cs="Guttman Drogolin" w:hint="cs"/>
          <w:rtl/>
          <w:lang w:bidi="he-IL"/>
        </w:rPr>
        <w:t>שהן</w:t>
      </w:r>
      <w:r w:rsidR="00974C90" w:rsidRPr="00882F11">
        <w:rPr>
          <w:rFonts w:cs="Guttman Drogolin"/>
          <w:rtl/>
          <w:lang w:bidi="he-IL"/>
        </w:rPr>
        <w:t xml:space="preserve"> </w:t>
      </w:r>
      <w:r w:rsidR="00974C90" w:rsidRPr="00882F11">
        <w:rPr>
          <w:rFonts w:cs="Guttman Drogolin" w:hint="cs"/>
          <w:rtl/>
          <w:lang w:bidi="he-IL"/>
        </w:rPr>
        <w:t>מינה</w:t>
      </w:r>
      <w:r w:rsidR="00974C90" w:rsidRPr="00882F11">
        <w:rPr>
          <w:rFonts w:cs="Guttman Drogolin"/>
          <w:rtl/>
          <w:lang w:bidi="he-IL"/>
        </w:rPr>
        <w:t xml:space="preserve"> </w:t>
      </w:r>
      <w:r w:rsidR="00974C90" w:rsidRPr="00882F11">
        <w:rPr>
          <w:rFonts w:cs="Guttman Drogolin" w:hint="cs"/>
          <w:rtl/>
          <w:lang w:bidi="he-IL"/>
        </w:rPr>
        <w:t>דברי</w:t>
      </w:r>
      <w:r w:rsidR="00974C90" w:rsidRPr="00882F11">
        <w:rPr>
          <w:rFonts w:cs="Guttman Drogolin"/>
          <w:rtl/>
          <w:lang w:bidi="he-IL"/>
        </w:rPr>
        <w:t xml:space="preserve"> </w:t>
      </w:r>
      <w:r w:rsidR="00974C90" w:rsidRPr="00882F11">
        <w:rPr>
          <w:rFonts w:cs="Guttman Drogolin" w:hint="cs"/>
          <w:rtl/>
          <w:lang w:bidi="he-IL"/>
        </w:rPr>
        <w:t>ר</w:t>
      </w:r>
      <w:r w:rsidR="00974C90" w:rsidRPr="00882F11">
        <w:rPr>
          <w:rFonts w:cs="Guttman Drogolin"/>
          <w:rtl/>
          <w:lang w:bidi="he-IL"/>
        </w:rPr>
        <w:t xml:space="preserve">' </w:t>
      </w:r>
      <w:r w:rsidR="00974C90" w:rsidRPr="00882F11">
        <w:rPr>
          <w:rFonts w:cs="Guttman Drogolin" w:hint="cs"/>
          <w:rtl/>
          <w:lang w:bidi="he-IL"/>
        </w:rPr>
        <w:t>יהודה</w:t>
      </w:r>
      <w:r w:rsidR="00974C90" w:rsidRPr="00882F11">
        <w:rPr>
          <w:rFonts w:cs="Guttman Drogolin"/>
          <w:rtl/>
          <w:lang w:bidi="he-IL"/>
        </w:rPr>
        <w:t xml:space="preserve"> </w:t>
      </w:r>
      <w:r w:rsidR="00974C90" w:rsidRPr="00882F11">
        <w:rPr>
          <w:rFonts w:cs="Guttman Drogolin" w:hint="cs"/>
          <w:rtl/>
          <w:lang w:bidi="he-IL"/>
        </w:rPr>
        <w:t>וחכ"א</w:t>
      </w:r>
      <w:r w:rsidR="00974C90" w:rsidRPr="00882F11">
        <w:rPr>
          <w:rFonts w:cs="Guttman Drogolin"/>
          <w:rtl/>
          <w:lang w:bidi="he-IL"/>
        </w:rPr>
        <w:t xml:space="preserve"> </w:t>
      </w:r>
      <w:r w:rsidR="00974C90" w:rsidRPr="00882F11">
        <w:rPr>
          <w:rFonts w:cs="Guttman Drogolin" w:hint="cs"/>
          <w:rtl/>
          <w:lang w:bidi="he-IL"/>
        </w:rPr>
        <w:t>עד</w:t>
      </w:r>
      <w:r w:rsidR="00974C90" w:rsidRPr="00882F11">
        <w:rPr>
          <w:rFonts w:cs="Guttman Drogolin"/>
          <w:rtl/>
          <w:lang w:bidi="he-IL"/>
        </w:rPr>
        <w:t xml:space="preserve"> </w:t>
      </w:r>
      <w:r w:rsidR="00974C90" w:rsidRPr="00882F11">
        <w:rPr>
          <w:rFonts w:cs="Guttman Drogolin" w:hint="cs"/>
          <w:rtl/>
          <w:lang w:bidi="he-IL"/>
        </w:rPr>
        <w:t>שתתן</w:t>
      </w:r>
      <w:r w:rsidR="00974C90" w:rsidRPr="00882F11">
        <w:rPr>
          <w:rFonts w:cs="Guttman Drogolin"/>
          <w:rtl/>
          <w:lang w:bidi="he-IL"/>
        </w:rPr>
        <w:t xml:space="preserve"> </w:t>
      </w:r>
      <w:r w:rsidR="00974C90" w:rsidRPr="00882F11">
        <w:rPr>
          <w:rFonts w:cs="Guttman Drogolin" w:hint="cs"/>
          <w:rtl/>
          <w:lang w:bidi="he-IL"/>
        </w:rPr>
        <w:t>טעם</w:t>
      </w:r>
      <w:r w:rsidR="00974C90" w:rsidRPr="00882F11">
        <w:rPr>
          <w:rFonts w:cs="Guttman Drogolin"/>
          <w:rtl/>
          <w:lang w:bidi="he-IL"/>
        </w:rPr>
        <w:t xml:space="preserve"> </w:t>
      </w:r>
      <w:r w:rsidR="00974C90" w:rsidRPr="00882F11">
        <w:rPr>
          <w:rFonts w:cs="Guttman Drogolin" w:hint="cs"/>
          <w:rtl/>
          <w:lang w:bidi="he-IL"/>
        </w:rPr>
        <w:t>ברוטב</w:t>
      </w:r>
      <w:r w:rsidR="00974C90" w:rsidRPr="00882F11">
        <w:rPr>
          <w:rFonts w:cs="Guttman Drogolin"/>
          <w:rtl/>
          <w:lang w:bidi="he-IL"/>
        </w:rPr>
        <w:t xml:space="preserve"> </w:t>
      </w:r>
      <w:r w:rsidR="00974C90" w:rsidRPr="00882F11">
        <w:rPr>
          <w:rFonts w:cs="Guttman Drogolin" w:hint="cs"/>
          <w:rtl/>
          <w:lang w:bidi="he-IL"/>
        </w:rPr>
        <w:t>ובקיפה</w:t>
      </w:r>
      <w:r w:rsidR="00974C90" w:rsidRPr="00882F11">
        <w:rPr>
          <w:rFonts w:cs="Guttman Drogolin"/>
          <w:rtl/>
          <w:lang w:bidi="he-IL"/>
        </w:rPr>
        <w:t xml:space="preserve"> </w:t>
      </w:r>
      <w:r w:rsidR="00974C90" w:rsidRPr="00882F11">
        <w:rPr>
          <w:rFonts w:cs="Guttman Drogolin" w:hint="cs"/>
          <w:rtl/>
          <w:lang w:bidi="he-IL"/>
        </w:rPr>
        <w:t>ובחתיכות"</w:t>
      </w:r>
      <w:r w:rsidR="00974C90" w:rsidRPr="00882F11">
        <w:rPr>
          <w:rFonts w:cs="Guttman Drogolin"/>
          <w:rtl/>
          <w:lang w:bidi="he-IL"/>
        </w:rPr>
        <w:t xml:space="preserve"> </w:t>
      </w:r>
      <w:r w:rsidR="00974C90" w:rsidRPr="00882F11">
        <w:rPr>
          <w:rFonts w:cs="Guttman Drogolin" w:hint="cs"/>
          <w:rtl/>
          <w:lang w:bidi="he-IL"/>
        </w:rPr>
        <w:t>ורבי</w:t>
      </w:r>
      <w:r w:rsidR="00974C90" w:rsidRPr="00882F11">
        <w:rPr>
          <w:rFonts w:cs="Guttman Drogolin"/>
          <w:rtl/>
          <w:lang w:bidi="he-IL"/>
        </w:rPr>
        <w:t xml:space="preserve"> </w:t>
      </w:r>
      <w:r w:rsidR="00974C90" w:rsidRPr="00882F11">
        <w:rPr>
          <w:rFonts w:cs="Guttman Drogolin" w:hint="cs"/>
          <w:rtl/>
          <w:lang w:bidi="he-IL"/>
        </w:rPr>
        <w:t>נתן הכרעה להלכה בדבריהם והוא שנראין</w:t>
      </w:r>
      <w:r w:rsidR="00974C90" w:rsidRPr="00882F11">
        <w:rPr>
          <w:rFonts w:cs="Guttman Drogolin"/>
          <w:rtl/>
          <w:lang w:bidi="he-IL"/>
        </w:rPr>
        <w:t xml:space="preserve"> </w:t>
      </w:r>
      <w:r w:rsidR="00974C90" w:rsidRPr="00882F11">
        <w:rPr>
          <w:rFonts w:cs="Guttman Drogolin" w:hint="cs"/>
          <w:rtl/>
          <w:lang w:bidi="he-IL"/>
        </w:rPr>
        <w:t>דברי</w:t>
      </w:r>
      <w:r w:rsidR="00974C90" w:rsidRPr="00882F11">
        <w:rPr>
          <w:rFonts w:cs="Guttman Drogolin"/>
          <w:rtl/>
          <w:lang w:bidi="he-IL"/>
        </w:rPr>
        <w:t xml:space="preserve"> </w:t>
      </w:r>
      <w:r w:rsidR="00974C90" w:rsidRPr="00882F11">
        <w:rPr>
          <w:rFonts w:cs="Guttman Drogolin" w:hint="cs"/>
          <w:rtl/>
          <w:lang w:bidi="he-IL"/>
        </w:rPr>
        <w:t>ר</w:t>
      </w:r>
      <w:r w:rsidR="00974C90" w:rsidRPr="00882F11">
        <w:rPr>
          <w:rFonts w:cs="Guttman Drogolin"/>
          <w:rtl/>
          <w:lang w:bidi="he-IL"/>
        </w:rPr>
        <w:t xml:space="preserve">' </w:t>
      </w:r>
      <w:r w:rsidR="00974C90" w:rsidRPr="00882F11">
        <w:rPr>
          <w:rFonts w:cs="Guttman Drogolin" w:hint="cs"/>
          <w:rtl/>
          <w:lang w:bidi="he-IL"/>
        </w:rPr>
        <w:t>יהודה</w:t>
      </w:r>
      <w:r w:rsidR="00974C90" w:rsidRPr="00882F11">
        <w:rPr>
          <w:rFonts w:cs="Guttman Drogolin"/>
          <w:rtl/>
          <w:lang w:bidi="he-IL"/>
        </w:rPr>
        <w:t xml:space="preserve"> </w:t>
      </w:r>
      <w:r w:rsidR="00974C90" w:rsidRPr="00882F11">
        <w:rPr>
          <w:rFonts w:cs="Guttman Drogolin" w:hint="cs"/>
          <w:rtl/>
          <w:lang w:bidi="he-IL"/>
        </w:rPr>
        <w:t>בשלא</w:t>
      </w:r>
      <w:r w:rsidR="00974C90" w:rsidRPr="00882F11">
        <w:rPr>
          <w:rFonts w:cs="Guttman Drogolin"/>
          <w:rtl/>
          <w:lang w:bidi="he-IL"/>
        </w:rPr>
        <w:t xml:space="preserve"> </w:t>
      </w:r>
      <w:r w:rsidR="00974C90" w:rsidRPr="00882F11">
        <w:rPr>
          <w:rFonts w:cs="Guttman Drogolin" w:hint="cs"/>
          <w:rtl/>
          <w:lang w:bidi="he-IL"/>
        </w:rPr>
        <w:t>ניער</w:t>
      </w:r>
      <w:r w:rsidR="00974C90" w:rsidRPr="00882F11">
        <w:rPr>
          <w:rFonts w:cs="Guttman Drogolin"/>
          <w:rtl/>
          <w:lang w:bidi="he-IL"/>
        </w:rPr>
        <w:t xml:space="preserve"> </w:t>
      </w:r>
      <w:r w:rsidR="00974C90" w:rsidRPr="00882F11">
        <w:rPr>
          <w:rFonts w:cs="Guttman Drogolin" w:hint="cs"/>
          <w:rtl/>
          <w:lang w:bidi="he-IL"/>
        </w:rPr>
        <w:t>ושלא</w:t>
      </w:r>
      <w:r w:rsidR="00974C90" w:rsidRPr="00882F11">
        <w:rPr>
          <w:rFonts w:cs="Guttman Drogolin"/>
          <w:rtl/>
          <w:lang w:bidi="he-IL"/>
        </w:rPr>
        <w:t xml:space="preserve"> </w:t>
      </w:r>
      <w:r w:rsidR="00974C90" w:rsidRPr="00882F11">
        <w:rPr>
          <w:rFonts w:cs="Guttman Drogolin" w:hint="cs"/>
          <w:rtl/>
          <w:lang w:bidi="he-IL"/>
        </w:rPr>
        <w:t>כסה</w:t>
      </w:r>
      <w:r w:rsidR="00974C90" w:rsidRPr="00882F11">
        <w:rPr>
          <w:rFonts w:cs="Guttman Drogolin"/>
          <w:rtl/>
          <w:lang w:bidi="he-IL"/>
        </w:rPr>
        <w:t xml:space="preserve"> </w:t>
      </w:r>
      <w:r w:rsidR="00974C90" w:rsidRPr="00882F11">
        <w:rPr>
          <w:rFonts w:cs="Guttman Drogolin" w:hint="cs"/>
          <w:rtl/>
          <w:lang w:bidi="he-IL"/>
        </w:rPr>
        <w:t>ודברי</w:t>
      </w:r>
      <w:r w:rsidR="00974C90" w:rsidRPr="00882F11">
        <w:rPr>
          <w:rFonts w:cs="Guttman Drogolin"/>
          <w:rtl/>
          <w:lang w:bidi="he-IL"/>
        </w:rPr>
        <w:t xml:space="preserve"> </w:t>
      </w:r>
      <w:r w:rsidR="00974C90" w:rsidRPr="00882F11">
        <w:rPr>
          <w:rFonts w:cs="Guttman Drogolin" w:hint="cs"/>
          <w:rtl/>
          <w:lang w:bidi="he-IL"/>
        </w:rPr>
        <w:t>חכמים</w:t>
      </w:r>
      <w:r w:rsidR="00974C90" w:rsidRPr="00882F11">
        <w:rPr>
          <w:rFonts w:cs="Guttman Drogolin"/>
          <w:rtl/>
          <w:lang w:bidi="he-IL"/>
        </w:rPr>
        <w:t xml:space="preserve"> </w:t>
      </w:r>
      <w:r w:rsidR="00974C90" w:rsidRPr="00882F11">
        <w:rPr>
          <w:rFonts w:cs="Guttman Drogolin" w:hint="cs"/>
          <w:rtl/>
          <w:lang w:bidi="he-IL"/>
        </w:rPr>
        <w:t>בשניער</w:t>
      </w:r>
      <w:r w:rsidR="00974C90" w:rsidRPr="00882F11">
        <w:rPr>
          <w:rFonts w:cs="Guttman Drogolin"/>
          <w:rtl/>
          <w:lang w:bidi="he-IL"/>
        </w:rPr>
        <w:t xml:space="preserve"> </w:t>
      </w:r>
      <w:r w:rsidR="00974C90" w:rsidRPr="00882F11">
        <w:rPr>
          <w:rFonts w:cs="Guttman Drogolin" w:hint="cs"/>
          <w:rtl/>
          <w:lang w:bidi="he-IL"/>
        </w:rPr>
        <w:t xml:space="preserve">וכסה. ושואלת הגמ' מהו כוונת </w:t>
      </w:r>
      <w:r w:rsidR="00974C90" w:rsidRPr="00882F11">
        <w:rPr>
          <w:rFonts w:cs="Guttman Drogolin" w:hint="cs"/>
          <w:rtl/>
          <w:lang w:bidi="he-IL"/>
        </w:rPr>
        <w:lastRenderedPageBreak/>
        <w:t xml:space="preserve">רבי בלא ניער ולא כיסה, שלא יכול להיות שלא ניער כלל דאל"כ לא פלט, ולכן ביאר הגמ' דמיירי בכה"ג שלא ניער אלא לבסוף, ואע"ג שלבסוף פלט קסבר  </w:t>
      </w:r>
      <w:r w:rsidR="00DC784B">
        <w:rPr>
          <w:rFonts w:cs="Guttman Drogolin" w:hint="cs"/>
          <w:rtl/>
          <w:lang w:bidi="he-IL"/>
        </w:rPr>
        <w:t>אפשר לסוחטו</w:t>
      </w:r>
      <w:r w:rsidR="00974C90" w:rsidRPr="00882F11">
        <w:rPr>
          <w:rFonts w:cs="Guttman Drogolin" w:hint="cs"/>
          <w:rtl/>
          <w:lang w:bidi="he-IL"/>
        </w:rPr>
        <w:t xml:space="preserve"> אסור. ו</w:t>
      </w:r>
      <w:r w:rsidR="003D6706" w:rsidRPr="00882F11">
        <w:rPr>
          <w:rFonts w:cs="Guttman Drogolin" w:hint="cs"/>
          <w:rtl/>
          <w:lang w:bidi="he-IL"/>
        </w:rPr>
        <w:t>אומרת הגמ' "מכלל</w:t>
      </w:r>
      <w:r w:rsidR="003D6706" w:rsidRPr="00882F11">
        <w:rPr>
          <w:rFonts w:cs="Guttman Drogolin"/>
          <w:rtl/>
          <w:lang w:bidi="he-IL"/>
        </w:rPr>
        <w:t xml:space="preserve"> </w:t>
      </w:r>
      <w:r w:rsidR="003D6706" w:rsidRPr="00882F11">
        <w:rPr>
          <w:rFonts w:cs="Guttman Drogolin" w:hint="cs"/>
          <w:rtl/>
          <w:lang w:bidi="he-IL"/>
        </w:rPr>
        <w:t>דר</w:t>
      </w:r>
      <w:r w:rsidR="003D6706" w:rsidRPr="00882F11">
        <w:rPr>
          <w:rFonts w:cs="Guttman Drogolin"/>
          <w:rtl/>
          <w:lang w:bidi="he-IL"/>
        </w:rPr>
        <w:t xml:space="preserve">' </w:t>
      </w:r>
      <w:r w:rsidR="003D6706" w:rsidRPr="00882F11">
        <w:rPr>
          <w:rFonts w:cs="Guttman Drogolin" w:hint="cs"/>
          <w:rtl/>
          <w:lang w:bidi="he-IL"/>
        </w:rPr>
        <w:t>יהודה</w:t>
      </w:r>
      <w:r w:rsidR="003D6706" w:rsidRPr="00882F11">
        <w:rPr>
          <w:rFonts w:cs="Guttman Drogolin"/>
          <w:rtl/>
          <w:lang w:bidi="he-IL"/>
        </w:rPr>
        <w:t xml:space="preserve"> </w:t>
      </w:r>
      <w:r w:rsidR="003D6706" w:rsidRPr="00882F11">
        <w:rPr>
          <w:rFonts w:cs="Guttman Drogolin" w:hint="cs"/>
          <w:rtl/>
          <w:lang w:bidi="he-IL"/>
        </w:rPr>
        <w:t>סבר</w:t>
      </w:r>
      <w:r w:rsidR="003D6706" w:rsidRPr="00882F11">
        <w:rPr>
          <w:rFonts w:cs="Guttman Drogolin"/>
          <w:rtl/>
          <w:lang w:bidi="he-IL"/>
        </w:rPr>
        <w:t xml:space="preserve"> </w:t>
      </w:r>
      <w:r w:rsidR="003D6706" w:rsidRPr="00882F11">
        <w:rPr>
          <w:rFonts w:cs="Guttman Drogolin" w:hint="cs"/>
          <w:rtl/>
          <w:lang w:bidi="he-IL"/>
        </w:rPr>
        <w:t>כי</w:t>
      </w:r>
      <w:r w:rsidR="003D6706" w:rsidRPr="00882F11">
        <w:rPr>
          <w:rFonts w:cs="Guttman Drogolin"/>
          <w:rtl/>
          <w:lang w:bidi="he-IL"/>
        </w:rPr>
        <w:t xml:space="preserve"> </w:t>
      </w:r>
      <w:r w:rsidR="003D6706" w:rsidRPr="00882F11">
        <w:rPr>
          <w:rFonts w:cs="Guttman Drogolin" w:hint="cs"/>
          <w:rtl/>
          <w:lang w:bidi="he-IL"/>
        </w:rPr>
        <w:t>ניער</w:t>
      </w:r>
      <w:r w:rsidR="003D6706" w:rsidRPr="00882F11">
        <w:rPr>
          <w:rFonts w:cs="Guttman Drogolin"/>
          <w:rtl/>
          <w:lang w:bidi="he-IL"/>
        </w:rPr>
        <w:t xml:space="preserve"> </w:t>
      </w:r>
      <w:r w:rsidR="003D6706" w:rsidRPr="00882F11">
        <w:rPr>
          <w:rFonts w:cs="Guttman Drogolin" w:hint="cs"/>
          <w:rtl/>
          <w:lang w:bidi="he-IL"/>
        </w:rPr>
        <w:t>מתחלה</w:t>
      </w:r>
      <w:r w:rsidR="003D6706" w:rsidRPr="00882F11">
        <w:rPr>
          <w:rFonts w:cs="Guttman Drogolin"/>
          <w:rtl/>
          <w:lang w:bidi="he-IL"/>
        </w:rPr>
        <w:t xml:space="preserve"> </w:t>
      </w:r>
      <w:r w:rsidR="003D6706" w:rsidRPr="00882F11">
        <w:rPr>
          <w:rFonts w:cs="Guttman Drogolin" w:hint="cs"/>
          <w:rtl/>
          <w:lang w:bidi="he-IL"/>
        </w:rPr>
        <w:t>ועד</w:t>
      </w:r>
      <w:r w:rsidR="003D6706" w:rsidRPr="00882F11">
        <w:rPr>
          <w:rFonts w:cs="Guttman Drogolin"/>
          <w:rtl/>
          <w:lang w:bidi="he-IL"/>
        </w:rPr>
        <w:t xml:space="preserve"> </w:t>
      </w:r>
      <w:r w:rsidR="003D6706" w:rsidRPr="00882F11">
        <w:rPr>
          <w:rFonts w:cs="Guttman Drogolin" w:hint="cs"/>
          <w:rtl/>
          <w:lang w:bidi="he-IL"/>
        </w:rPr>
        <w:t>סוף</w:t>
      </w:r>
      <w:r w:rsidR="003D6706" w:rsidRPr="00882F11">
        <w:rPr>
          <w:rFonts w:cs="Guttman Drogolin"/>
          <w:rtl/>
          <w:lang w:bidi="he-IL"/>
        </w:rPr>
        <w:t xml:space="preserve"> </w:t>
      </w:r>
      <w:r w:rsidR="003D6706" w:rsidRPr="00882F11">
        <w:rPr>
          <w:rFonts w:cs="Guttman Drogolin" w:hint="cs"/>
          <w:rtl/>
          <w:lang w:bidi="he-IL"/>
        </w:rPr>
        <w:t>וכסה</w:t>
      </w:r>
      <w:r w:rsidR="003D6706" w:rsidRPr="00882F11">
        <w:rPr>
          <w:rFonts w:cs="Guttman Drogolin"/>
          <w:rtl/>
          <w:lang w:bidi="he-IL"/>
        </w:rPr>
        <w:t xml:space="preserve"> </w:t>
      </w:r>
      <w:r w:rsidR="003D6706" w:rsidRPr="00882F11">
        <w:rPr>
          <w:rFonts w:cs="Guttman Drogolin" w:hint="cs"/>
          <w:rtl/>
          <w:lang w:bidi="he-IL"/>
        </w:rPr>
        <w:t>מתחלה</w:t>
      </w:r>
      <w:r w:rsidR="003D6706" w:rsidRPr="00882F11">
        <w:rPr>
          <w:rFonts w:cs="Guttman Drogolin"/>
          <w:rtl/>
          <w:lang w:bidi="he-IL"/>
        </w:rPr>
        <w:t xml:space="preserve"> </w:t>
      </w:r>
      <w:r w:rsidR="003D6706" w:rsidRPr="00882F11">
        <w:rPr>
          <w:rFonts w:cs="Guttman Drogolin" w:hint="cs"/>
          <w:rtl/>
          <w:lang w:bidi="he-IL"/>
        </w:rPr>
        <w:t>ועד</w:t>
      </w:r>
      <w:r w:rsidR="003D6706" w:rsidRPr="00882F11">
        <w:rPr>
          <w:rFonts w:cs="Guttman Drogolin"/>
          <w:rtl/>
          <w:lang w:bidi="he-IL"/>
        </w:rPr>
        <w:t xml:space="preserve"> </w:t>
      </w:r>
      <w:r w:rsidR="003D6706" w:rsidRPr="00882F11">
        <w:rPr>
          <w:rFonts w:cs="Guttman Drogolin" w:hint="cs"/>
          <w:rtl/>
          <w:lang w:bidi="he-IL"/>
        </w:rPr>
        <w:t>סוף</w:t>
      </w:r>
      <w:r w:rsidR="003D6706" w:rsidRPr="00882F11">
        <w:rPr>
          <w:rFonts w:cs="Guttman Drogolin"/>
          <w:rtl/>
          <w:lang w:bidi="he-IL"/>
        </w:rPr>
        <w:t xml:space="preserve"> </w:t>
      </w:r>
      <w:r w:rsidR="003D6706" w:rsidRPr="00882F11">
        <w:rPr>
          <w:rFonts w:cs="Guttman Drogolin" w:hint="cs"/>
          <w:rtl/>
          <w:lang w:bidi="he-IL"/>
        </w:rPr>
        <w:t>אסור</w:t>
      </w:r>
      <w:r w:rsidR="003D6706" w:rsidRPr="00882F11">
        <w:rPr>
          <w:rFonts w:cs="Guttman Drogolin"/>
          <w:rtl/>
          <w:lang w:bidi="he-IL"/>
        </w:rPr>
        <w:t xml:space="preserve"> </w:t>
      </w:r>
      <w:r w:rsidR="003D6706" w:rsidRPr="00882F11">
        <w:rPr>
          <w:rFonts w:cs="Guttman Drogolin" w:hint="cs"/>
          <w:rtl/>
          <w:lang w:bidi="he-IL"/>
        </w:rPr>
        <w:t>אמאי</w:t>
      </w:r>
      <w:r w:rsidR="003D6706" w:rsidRPr="00882F11">
        <w:rPr>
          <w:rFonts w:cs="Guttman Drogolin"/>
          <w:rtl/>
          <w:lang w:bidi="he-IL"/>
        </w:rPr>
        <w:t xml:space="preserve"> </w:t>
      </w:r>
      <w:r w:rsidR="003D6706" w:rsidRPr="00882F11">
        <w:rPr>
          <w:rFonts w:cs="Guttman Drogolin" w:hint="cs"/>
          <w:rtl/>
          <w:lang w:bidi="he-IL"/>
        </w:rPr>
        <w:t>הא</w:t>
      </w:r>
      <w:r w:rsidR="003D6706" w:rsidRPr="00882F11">
        <w:rPr>
          <w:rFonts w:cs="Guttman Drogolin"/>
          <w:rtl/>
          <w:lang w:bidi="he-IL"/>
        </w:rPr>
        <w:t xml:space="preserve"> </w:t>
      </w:r>
      <w:r w:rsidR="003D6706" w:rsidRPr="00882F11">
        <w:rPr>
          <w:rFonts w:cs="Guttman Drogolin" w:hint="cs"/>
          <w:rtl/>
          <w:lang w:bidi="he-IL"/>
        </w:rPr>
        <w:t>לא</w:t>
      </w:r>
      <w:r w:rsidR="003D6706" w:rsidRPr="00882F11">
        <w:rPr>
          <w:rFonts w:cs="Guttman Drogolin"/>
          <w:rtl/>
          <w:lang w:bidi="he-IL"/>
        </w:rPr>
        <w:t xml:space="preserve"> </w:t>
      </w:r>
      <w:r w:rsidR="003D6706" w:rsidRPr="00882F11">
        <w:rPr>
          <w:rFonts w:cs="Guttman Drogolin" w:hint="cs"/>
          <w:rtl/>
          <w:lang w:bidi="he-IL"/>
        </w:rPr>
        <w:t>בלע</w:t>
      </w:r>
      <w:r w:rsidR="003D6706" w:rsidRPr="00882F11">
        <w:rPr>
          <w:rFonts w:cs="Guttman Drogolin"/>
          <w:rtl/>
          <w:lang w:bidi="he-IL"/>
        </w:rPr>
        <w:t xml:space="preserve"> </w:t>
      </w:r>
      <w:r w:rsidR="003D6706" w:rsidRPr="00882F11">
        <w:rPr>
          <w:rFonts w:cs="Guttman Drogolin" w:hint="cs"/>
          <w:rtl/>
          <w:lang w:bidi="he-IL"/>
        </w:rPr>
        <w:t>כלל</w:t>
      </w:r>
      <w:r w:rsidR="003D6706" w:rsidRPr="00882F11">
        <w:rPr>
          <w:rFonts w:cs="Guttman Drogolin"/>
          <w:rtl/>
          <w:lang w:bidi="he-IL"/>
        </w:rPr>
        <w:t xml:space="preserve"> </w:t>
      </w:r>
      <w:r w:rsidR="003D6706" w:rsidRPr="00882F11">
        <w:rPr>
          <w:rFonts w:cs="Guttman Drogolin" w:hint="cs"/>
          <w:rtl/>
          <w:lang w:bidi="he-IL"/>
        </w:rPr>
        <w:t>אימא</w:t>
      </w:r>
      <w:r w:rsidR="003D6706" w:rsidRPr="00882F11">
        <w:rPr>
          <w:rFonts w:cs="Guttman Drogolin"/>
          <w:rtl/>
          <w:lang w:bidi="he-IL"/>
        </w:rPr>
        <w:t xml:space="preserve"> </w:t>
      </w:r>
      <w:r w:rsidR="003D6706" w:rsidRPr="00882F11">
        <w:rPr>
          <w:rFonts w:cs="Guttman Drogolin" w:hint="cs"/>
          <w:rtl/>
          <w:lang w:bidi="he-IL"/>
        </w:rPr>
        <w:t>לא</w:t>
      </w:r>
      <w:r w:rsidR="003D6706" w:rsidRPr="00882F11">
        <w:rPr>
          <w:rFonts w:cs="Guttman Drogolin"/>
          <w:rtl/>
          <w:lang w:bidi="he-IL"/>
        </w:rPr>
        <w:t xml:space="preserve"> </w:t>
      </w:r>
      <w:r w:rsidR="003D6706" w:rsidRPr="00882F11">
        <w:rPr>
          <w:rFonts w:cs="Guttman Drogolin" w:hint="cs"/>
          <w:rtl/>
          <w:lang w:bidi="he-IL"/>
        </w:rPr>
        <w:t>ניער</w:t>
      </w:r>
      <w:r w:rsidR="003D6706" w:rsidRPr="00882F11">
        <w:rPr>
          <w:rFonts w:cs="Guttman Drogolin"/>
          <w:rtl/>
          <w:lang w:bidi="he-IL"/>
        </w:rPr>
        <w:t xml:space="preserve"> </w:t>
      </w:r>
      <w:r w:rsidR="003D6706" w:rsidRPr="00882F11">
        <w:rPr>
          <w:rFonts w:cs="Guttman Drogolin" w:hint="cs"/>
          <w:rtl/>
          <w:lang w:bidi="he-IL"/>
        </w:rPr>
        <w:t>יפה</w:t>
      </w:r>
      <w:r w:rsidR="003D6706" w:rsidRPr="00882F11">
        <w:rPr>
          <w:rFonts w:cs="Guttman Drogolin"/>
          <w:rtl/>
          <w:lang w:bidi="he-IL"/>
        </w:rPr>
        <w:t xml:space="preserve"> </w:t>
      </w:r>
      <w:r w:rsidR="003D6706" w:rsidRPr="00882F11">
        <w:rPr>
          <w:rFonts w:cs="Guttman Drogolin" w:hint="cs"/>
          <w:rtl/>
          <w:lang w:bidi="he-IL"/>
        </w:rPr>
        <w:t>יפה</w:t>
      </w:r>
      <w:r w:rsidR="003D6706" w:rsidRPr="00882F11">
        <w:rPr>
          <w:rFonts w:cs="Guttman Drogolin"/>
          <w:rtl/>
          <w:lang w:bidi="he-IL"/>
        </w:rPr>
        <w:t xml:space="preserve"> </w:t>
      </w:r>
      <w:r w:rsidR="003D6706" w:rsidRPr="00882F11">
        <w:rPr>
          <w:rFonts w:cs="Guttman Drogolin" w:hint="cs"/>
          <w:rtl/>
          <w:lang w:bidi="he-IL"/>
        </w:rPr>
        <w:t>ולא</w:t>
      </w:r>
      <w:r w:rsidR="003D6706" w:rsidRPr="00882F11">
        <w:rPr>
          <w:rFonts w:cs="Guttman Drogolin"/>
          <w:rtl/>
          <w:lang w:bidi="he-IL"/>
        </w:rPr>
        <w:t xml:space="preserve"> </w:t>
      </w:r>
      <w:r w:rsidR="003D6706" w:rsidRPr="00882F11">
        <w:rPr>
          <w:rFonts w:cs="Guttman Drogolin" w:hint="cs"/>
          <w:rtl/>
          <w:lang w:bidi="he-IL"/>
        </w:rPr>
        <w:t>כסה</w:t>
      </w:r>
      <w:r w:rsidR="003D6706" w:rsidRPr="00882F11">
        <w:rPr>
          <w:rFonts w:cs="Guttman Drogolin"/>
          <w:rtl/>
          <w:lang w:bidi="he-IL"/>
        </w:rPr>
        <w:t xml:space="preserve"> </w:t>
      </w:r>
      <w:r w:rsidR="003D6706" w:rsidRPr="00882F11">
        <w:rPr>
          <w:rFonts w:cs="Guttman Drogolin" w:hint="cs"/>
          <w:rtl/>
          <w:lang w:bidi="he-IL"/>
        </w:rPr>
        <w:t>יפה</w:t>
      </w:r>
      <w:r w:rsidR="003D6706" w:rsidRPr="00882F11">
        <w:rPr>
          <w:rFonts w:cs="Guttman Drogolin"/>
          <w:rtl/>
          <w:lang w:bidi="he-IL"/>
        </w:rPr>
        <w:t xml:space="preserve"> </w:t>
      </w:r>
      <w:r w:rsidR="003D6706" w:rsidRPr="00882F11">
        <w:rPr>
          <w:rFonts w:cs="Guttman Drogolin" w:hint="cs"/>
          <w:rtl/>
          <w:lang w:bidi="he-IL"/>
        </w:rPr>
        <w:t>יפה".</w:t>
      </w:r>
    </w:p>
    <w:p w:rsidR="00C24167" w:rsidRPr="00882F11" w:rsidRDefault="003D6706" w:rsidP="009F7A36">
      <w:pPr>
        <w:tabs>
          <w:tab w:val="right" w:pos="7497"/>
        </w:tabs>
        <w:bidi/>
        <w:jc w:val="both"/>
        <w:rPr>
          <w:rFonts w:cs="Guttman Drogolin"/>
          <w:rtl/>
          <w:lang w:bidi="he-IL"/>
        </w:rPr>
      </w:pPr>
      <w:r w:rsidRPr="00882F11">
        <w:rPr>
          <w:rFonts w:cs="Guttman Drogolin" w:hint="cs"/>
          <w:rtl/>
          <w:lang w:bidi="he-IL"/>
        </w:rPr>
        <w:t>והנה לפום ריהטא, וכן נקטו הרבה פוסקים, הזמן של 'תחילה' ו'סוף' הוא דכדי שיהא החתיכה מותרת ולא תהא נאסר משום דנעשית נבילה (וכמ"ד חענ"ן) צריך לנער אותו בתבשיל כדי שהתבשיל יתערב עמו מיד ויהא סופו והתפשט ולא יעשה נבילה. והזמן של 'לבסוף' הוא כשלא עשה כן מיד ולכן נאסר החתיכה ונע"נ ושוב צריכים ששים כנגד החתיכה. ולכן לכאורה לשון הגמ' צ"ע במש"כ דר' יהודה אסר כשניער 'מתחילה ועד סוף', דהול"ל לגמ' לומר שחלק כניער מתחילה. והפוסקים האלו ע"כ נוקטים דלשון זה לאו דוקא נקט. אבל הב"י ועוד הבינו בדעת הרמב"ם</w:t>
      </w:r>
      <w:r w:rsidR="009F7A36" w:rsidRPr="00882F11">
        <w:rPr>
          <w:rStyle w:val="FootnoteReference"/>
          <w:rFonts w:cs="Guttman Drogolin"/>
          <w:rtl/>
          <w:lang w:bidi="he-IL"/>
        </w:rPr>
        <w:footnoteReference w:id="250"/>
      </w:r>
      <w:r w:rsidRPr="00882F11">
        <w:rPr>
          <w:rFonts w:cs="Guttman Drogolin" w:hint="cs"/>
          <w:rtl/>
          <w:lang w:bidi="he-IL"/>
        </w:rPr>
        <w:t xml:space="preserve"> </w:t>
      </w:r>
      <w:r w:rsidR="00BE4C71" w:rsidRPr="00882F11">
        <w:rPr>
          <w:rFonts w:cs="Guttman Drogolin" w:hint="cs"/>
          <w:rtl/>
          <w:lang w:bidi="he-IL"/>
        </w:rPr>
        <w:t>שצריכים דוקא ניעור מתחילה ועד סוף. והט"ז הקשה על זה, שאם יש תוספת מעלה בניעור מתחילה ועד סוף, האיך דקדקו בגמ' לומר דר' יהודה אוסר אפילו כשניער מתחילה ועד סוף, דלמא לא חלק ר' יהודה אלא כשניער מתחילה אבל מתחילה ועד סוף מודה, ובזה קאמר רבי שניעור בתחילה ג"כ מהני. וע"ש שכתב שהרמב"</w:t>
      </w:r>
      <w:r w:rsidR="003A01EB" w:rsidRPr="00882F11">
        <w:rPr>
          <w:rFonts w:cs="Guttman Drogolin" w:hint="cs"/>
          <w:rtl/>
          <w:lang w:bidi="he-IL"/>
        </w:rPr>
        <w:t>ם הבין שיש בזה סתירות בגמ'</w:t>
      </w:r>
      <w:r w:rsidR="009F7A36" w:rsidRPr="00882F11">
        <w:rPr>
          <w:rFonts w:cs="Guttman Drogolin" w:hint="cs"/>
          <w:rtl/>
          <w:lang w:bidi="he-IL"/>
        </w:rPr>
        <w:t xml:space="preserve"> שמצד א' מעיקרא משמע שלחכמים סגי בניעור מתחילה בלחוד</w:t>
      </w:r>
      <w:r w:rsidR="003A01EB" w:rsidRPr="00882F11">
        <w:rPr>
          <w:rFonts w:cs="Guttman Drogolin" w:hint="cs"/>
          <w:rtl/>
          <w:lang w:bidi="he-IL"/>
        </w:rPr>
        <w:t>,</w:t>
      </w:r>
      <w:r w:rsidR="009F7A36" w:rsidRPr="00882F11">
        <w:rPr>
          <w:rFonts w:cs="Guttman Drogolin" w:hint="cs"/>
          <w:rtl/>
          <w:lang w:bidi="he-IL"/>
        </w:rPr>
        <w:t xml:space="preserve"> ואילו בסוף משמע שלחכמים בעינן ניעור מתחילה ועד סוף. וביאר ש</w:t>
      </w:r>
      <w:r w:rsidR="003A01EB" w:rsidRPr="00882F11">
        <w:rPr>
          <w:rFonts w:cs="Guttman Drogolin" w:hint="cs"/>
          <w:rtl/>
          <w:lang w:bidi="he-IL"/>
        </w:rPr>
        <w:t>הרמב"ם נקט להחמיר</w:t>
      </w:r>
      <w:r w:rsidR="0067523A" w:rsidRPr="00882F11">
        <w:rPr>
          <w:rFonts w:cs="Guttman Drogolin" w:hint="cs"/>
          <w:rtl/>
          <w:lang w:bidi="he-IL"/>
        </w:rPr>
        <w:t xml:space="preserve"> והטור נקט להקל.</w:t>
      </w:r>
      <w:r w:rsidR="003A01EB" w:rsidRPr="00882F11">
        <w:rPr>
          <w:rFonts w:cs="Guttman Drogolin" w:hint="cs"/>
          <w:rtl/>
          <w:lang w:bidi="he-IL"/>
        </w:rPr>
        <w:t xml:space="preserve"> ולולא דבריו לכאורה הי' אפשר לומר שהרמב"ם סבר שאם לא ניער אלא בתחילה הי' פשוט מסברא שגם לחכמים לא מהני, שבזה </w:t>
      </w:r>
      <w:r w:rsidR="003A01EB" w:rsidRPr="00882F11">
        <w:rPr>
          <w:rFonts w:cs="Guttman Drogolin" w:hint="cs"/>
          <w:rtl/>
          <w:lang w:bidi="he-IL"/>
        </w:rPr>
        <w:lastRenderedPageBreak/>
        <w:t xml:space="preserve">כו"ע מודו שיש לחשוש שלא ניער או כיסה יפה יפה. </w:t>
      </w:r>
      <w:r w:rsidR="0067523A" w:rsidRPr="00882F11">
        <w:rPr>
          <w:rFonts w:cs="Guttman Drogolin" w:hint="cs"/>
          <w:rtl/>
          <w:lang w:bidi="he-IL"/>
        </w:rPr>
        <w:t>ולפי זה גם לכא סתירה בדברי הגמ'.</w:t>
      </w:r>
    </w:p>
    <w:p w:rsidR="00E84B30" w:rsidRPr="00882F11" w:rsidRDefault="00C24167" w:rsidP="00D60B34">
      <w:pPr>
        <w:tabs>
          <w:tab w:val="right" w:pos="7497"/>
        </w:tabs>
        <w:bidi/>
        <w:jc w:val="both"/>
        <w:rPr>
          <w:rFonts w:cs="Guttman Drogolin"/>
          <w:rtl/>
          <w:lang w:bidi="he-IL"/>
        </w:rPr>
      </w:pPr>
      <w:r w:rsidRPr="00882F11">
        <w:rPr>
          <w:rFonts w:cs="Guttman Drogolin" w:hint="cs"/>
          <w:rtl/>
          <w:lang w:bidi="he-IL"/>
        </w:rPr>
        <w:t xml:space="preserve">ומ"מ יש לבאר מהו באמת הענין הזה של ניעור וכיסוי 'יפה', ובמה נחלקו שאר הפוסקים לומר שאינו צריך. והנה הב"י הביא ממהר"י ן חביב לשאול למה צריכים ניעור בכלל לשיטת ר"י, הא מיד שנכנס לתוך הרוטב הרי הוא מתערב עם שאר התבשיל. ותי' הט"ז ס"ק ד' </w:t>
      </w:r>
      <w:r w:rsidR="00D60B34" w:rsidRPr="00882F11">
        <w:rPr>
          <w:rFonts w:cs="Guttman Drogolin" w:hint="cs"/>
          <w:rtl/>
          <w:lang w:bidi="he-IL"/>
        </w:rPr>
        <w:t>ד"כיון שהקדירה מליאה וא"א להכניס היטב החתיכה שמונחת בחוץ על החתיכה אחרת שמקצתה ברוטב</w:t>
      </w:r>
      <w:r w:rsidR="00D60B34" w:rsidRPr="00882F11">
        <w:rPr>
          <w:rStyle w:val="FootnoteReference"/>
          <w:rFonts w:cs="Guttman Drogolin"/>
          <w:rtl/>
          <w:lang w:bidi="he-IL"/>
        </w:rPr>
        <w:footnoteReference w:id="251"/>
      </w:r>
      <w:r w:rsidR="00D60B34" w:rsidRPr="00882F11">
        <w:rPr>
          <w:rFonts w:cs="Guttman Drogolin" w:hint="cs"/>
          <w:rtl/>
          <w:lang w:bidi="he-IL"/>
        </w:rPr>
        <w:t xml:space="preserve"> וכו' ע"כ</w:t>
      </w:r>
      <w:r w:rsidRPr="00882F11">
        <w:rPr>
          <w:rFonts w:cs="Guttman Drogolin" w:hint="cs"/>
          <w:rtl/>
          <w:lang w:bidi="he-IL"/>
        </w:rPr>
        <w:t xml:space="preserve"> </w:t>
      </w:r>
      <w:r w:rsidR="00D60B34" w:rsidRPr="00882F11">
        <w:rPr>
          <w:rFonts w:cs="Guttman Drogolin" w:hint="cs"/>
          <w:rtl/>
          <w:lang w:bidi="he-IL"/>
        </w:rPr>
        <w:t xml:space="preserve">צריך שינער הקדירה ויהיו עליונים למטה". </w:t>
      </w:r>
      <w:r w:rsidR="00395061" w:rsidRPr="00882F11">
        <w:rPr>
          <w:rFonts w:cs="Guttman Drogolin" w:hint="cs"/>
          <w:rtl/>
          <w:lang w:bidi="he-IL"/>
        </w:rPr>
        <w:t>ומשמע מדבריו שלשיטת רש"י פשוט למה בעינן ניעור, ולכאורה ר"ל שלדעתו פשוט שצריכים לדאוג שהרוטב יהא למעלה מן החתיכה</w:t>
      </w:r>
      <w:r w:rsidR="00395061" w:rsidRPr="00882F11">
        <w:rPr>
          <w:rStyle w:val="FootnoteReference"/>
          <w:rFonts w:cs="Guttman Drogolin"/>
          <w:rtl/>
          <w:lang w:bidi="he-IL"/>
        </w:rPr>
        <w:footnoteReference w:id="252"/>
      </w:r>
      <w:r w:rsidR="00395061" w:rsidRPr="00882F11">
        <w:rPr>
          <w:rFonts w:cs="Guttman Drogolin" w:hint="cs"/>
          <w:rtl/>
          <w:lang w:bidi="he-IL"/>
        </w:rPr>
        <w:t xml:space="preserve"> ובזה </w:t>
      </w:r>
      <w:r w:rsidR="009812C8" w:rsidRPr="00882F11">
        <w:rPr>
          <w:rFonts w:cs="Guttman Drogolin" w:hint="cs"/>
          <w:rtl/>
          <w:lang w:bidi="he-IL"/>
        </w:rPr>
        <w:t>שפיר צריכים ניעור.</w:t>
      </w:r>
      <w:r w:rsidR="00A9314A" w:rsidRPr="00882F11">
        <w:rPr>
          <w:rFonts w:cs="Guttman Drogolin" w:hint="cs"/>
          <w:rtl/>
          <w:lang w:bidi="he-IL"/>
        </w:rPr>
        <w:t xml:space="preserve"> אמנם כתב הש"ך שם בנקוה"כ דלא נהירין דבריו, ולשיטתו כתב בס"ק ה' שגם הטור לא התכוין לפרש שיטת הרמב"ם שצריכים מתחילה ועד סוף, רק לפרש את דבריו</w:t>
      </w:r>
      <w:r w:rsidR="00E84B30" w:rsidRPr="00882F11">
        <w:rPr>
          <w:rFonts w:cs="Guttman Drogolin" w:hint="cs"/>
          <w:rtl/>
          <w:lang w:bidi="he-IL"/>
        </w:rPr>
        <w:t xml:space="preserve">. </w:t>
      </w:r>
    </w:p>
    <w:p w:rsidR="00F238CA" w:rsidRPr="00882F11" w:rsidRDefault="00E84B30" w:rsidP="00E84B30">
      <w:pPr>
        <w:tabs>
          <w:tab w:val="right" w:pos="7497"/>
        </w:tabs>
        <w:bidi/>
        <w:jc w:val="both"/>
        <w:rPr>
          <w:rFonts w:cs="Guttman Drogolin"/>
          <w:rtl/>
          <w:lang w:bidi="he-IL"/>
        </w:rPr>
      </w:pPr>
      <w:r w:rsidRPr="00882F11">
        <w:rPr>
          <w:rFonts w:cs="Guttman Drogolin" w:hint="cs"/>
          <w:rtl/>
          <w:lang w:bidi="he-IL"/>
        </w:rPr>
        <w:t xml:space="preserve">וע"פ זה יש לבאר נמי מהו 'מתחילה ועד סוף'. בט"ז ס"ק ו' ביאר לנו מהו מתחילה ועד סוף לשיטת הרמב"ם, והוא שינער עד זמן שיכלה ממשות של טיפה, ובעינן לי' משום שכל זמן שיש ממשות של טיפה חיישינן שמא יעלה אותה חתיכה בענין שיאסור החתיכה וע"פ הנ"ל היינו שצריכים לדאוג שהחתיכה יהי' באופן שהרוטב מערב אותו עד שיכלה הטיפה. ומשו"ה רצה לחדש שהטור גם סבר דבעינן לי' להכי רק סבר שמתחילה עד סוף של הרמב"ם היינו עד שסילקו מן האש. ומשמע מדבריו שאלו שאינם צריכים מתחילה ועד סוף אין ר"ל שלא בעינן עד שיכלה הטיפה, רק שהם סוברים שזהו בכלל ניעור מתחילה. ויל"ע בזה. </w:t>
      </w:r>
    </w:p>
    <w:p w:rsidR="00F238CA" w:rsidRPr="00882F11" w:rsidRDefault="000611D3" w:rsidP="0078079C">
      <w:pPr>
        <w:pStyle w:val="Heading1"/>
        <w:bidi/>
        <w:spacing w:before="0" w:line="360" w:lineRule="auto"/>
        <w:jc w:val="center"/>
        <w:rPr>
          <w:rFonts w:cs="Guttman Drogolin"/>
          <w:color w:val="auto"/>
          <w:sz w:val="24"/>
          <w:szCs w:val="24"/>
          <w:u w:val="single"/>
          <w:rtl/>
          <w:lang w:bidi="he-IL"/>
        </w:rPr>
      </w:pPr>
      <w:bookmarkStart w:id="208" w:name="_Toc496175463"/>
      <w:r w:rsidRPr="00882F11">
        <w:rPr>
          <w:rFonts w:cs="Guttman Drogolin" w:hint="cs"/>
          <w:color w:val="auto"/>
          <w:sz w:val="24"/>
          <w:szCs w:val="24"/>
          <w:u w:val="single"/>
          <w:rtl/>
          <w:lang w:bidi="he-IL"/>
        </w:rPr>
        <w:lastRenderedPageBreak/>
        <w:t>אם יש אי</w:t>
      </w:r>
      <w:r w:rsidR="00F238CA" w:rsidRPr="00882F11">
        <w:rPr>
          <w:rFonts w:cs="Guttman Drogolin" w:hint="cs"/>
          <w:color w:val="auto"/>
          <w:sz w:val="24"/>
          <w:szCs w:val="24"/>
          <w:u w:val="single"/>
          <w:rtl/>
          <w:lang w:bidi="he-IL"/>
        </w:rPr>
        <w:t>ס</w:t>
      </w:r>
      <w:r w:rsidRPr="00882F11">
        <w:rPr>
          <w:rFonts w:cs="Guttman Drogolin" w:hint="cs"/>
          <w:color w:val="auto"/>
          <w:sz w:val="24"/>
          <w:szCs w:val="24"/>
          <w:u w:val="single"/>
          <w:rtl/>
          <w:lang w:bidi="he-IL"/>
        </w:rPr>
        <w:t>ו</w:t>
      </w:r>
      <w:r w:rsidR="00F238CA" w:rsidRPr="00882F11">
        <w:rPr>
          <w:rFonts w:cs="Guttman Drogolin" w:hint="cs"/>
          <w:color w:val="auto"/>
          <w:sz w:val="24"/>
          <w:szCs w:val="24"/>
          <w:u w:val="single"/>
          <w:rtl/>
          <w:lang w:bidi="he-IL"/>
        </w:rPr>
        <w:t>ר בישול בניעור הקדירה</w:t>
      </w:r>
      <w:bookmarkEnd w:id="208"/>
    </w:p>
    <w:p w:rsidR="00F238CA" w:rsidRPr="00882F11" w:rsidRDefault="005E1A06" w:rsidP="00F238CA">
      <w:pPr>
        <w:tabs>
          <w:tab w:val="right" w:pos="7497"/>
        </w:tabs>
        <w:bidi/>
        <w:jc w:val="both"/>
        <w:rPr>
          <w:rFonts w:cs="Guttman Drogolin"/>
          <w:rtl/>
          <w:lang w:bidi="he-IL"/>
        </w:rPr>
      </w:pPr>
      <w:r>
        <w:rPr>
          <w:rFonts w:cs="Guttman Drogolin"/>
          <w:rtl/>
          <w:lang w:bidi="he-IL"/>
        </w:rPr>
        <w:fldChar w:fldCharType="begin"/>
      </w:r>
      <w:r>
        <w:instrText xml:space="preserve"> XE "</w:instrText>
      </w:r>
      <w:r w:rsidRPr="00E0251A">
        <w:rPr>
          <w:rFonts w:hint="cs"/>
          <w:rtl/>
          <w:lang w:bidi="he-IL"/>
        </w:rPr>
        <w:instrText>בשר בחלב - איסור בישול</w:instrText>
      </w:r>
      <w:r w:rsidRPr="00E0251A">
        <w:rPr>
          <w:rtl/>
        </w:rPr>
        <w:instrText>:</w:instrText>
      </w:r>
      <w:r w:rsidRPr="00E0251A">
        <w:rPr>
          <w:rFonts w:hint="cs"/>
          <w:rtl/>
          <w:lang w:bidi="he-IL"/>
        </w:rPr>
        <w:instrText>בניעור הקדרה שנפל בה טיפת חלב</w:instrText>
      </w:r>
      <w:r>
        <w:instrText xml:space="preserve">" </w:instrText>
      </w:r>
      <w:r>
        <w:rPr>
          <w:rFonts w:cs="Guttman Drogolin"/>
          <w:rtl/>
          <w:lang w:bidi="he-IL"/>
        </w:rPr>
        <w:fldChar w:fldCharType="end"/>
      </w:r>
      <w:r w:rsidR="00F238CA" w:rsidRPr="00882F11">
        <w:rPr>
          <w:rFonts w:cs="Guttman Drogolin" w:hint="cs"/>
          <w:rtl/>
          <w:lang w:bidi="he-IL"/>
        </w:rPr>
        <w:t>כתב הרמב"ם שאם נפל למרק או"ד לחתיכות ואינו יודע איזה יכול לנער הקדירה לאחר מכן ושוב לא יאסר. והט"ז הקש</w:t>
      </w:r>
      <w:r w:rsidR="000611D3" w:rsidRPr="00882F11">
        <w:rPr>
          <w:rFonts w:cs="Guttman Drogolin" w:hint="cs"/>
          <w:rtl/>
          <w:lang w:bidi="he-IL"/>
        </w:rPr>
        <w:t>ה ל</w:t>
      </w:r>
      <w:r w:rsidR="006C33F9" w:rsidRPr="00882F11">
        <w:rPr>
          <w:rFonts w:cs="Guttman Drogolin" w:hint="cs"/>
          <w:rtl/>
          <w:lang w:bidi="he-IL"/>
        </w:rPr>
        <w:t>מ</w:t>
      </w:r>
      <w:r w:rsidR="000611D3" w:rsidRPr="00882F11">
        <w:rPr>
          <w:rFonts w:cs="Guttman Drogolin" w:hint="cs"/>
          <w:rtl/>
          <w:lang w:bidi="he-IL"/>
        </w:rPr>
        <w:t>ה מותר לנער הא הוי ביטול איס</w:t>
      </w:r>
      <w:r w:rsidR="00F238CA" w:rsidRPr="00882F11">
        <w:rPr>
          <w:rFonts w:cs="Guttman Drogolin" w:hint="cs"/>
          <w:rtl/>
          <w:lang w:bidi="he-IL"/>
        </w:rPr>
        <w:t>ור לכתחילה, ותי' דהכא כיון שהכל מעורב כבר אין כאן ביטול לכתחילה, וע"ש טעם העירוב. והקשה רע"א שלכאורה דל מהכא ביטול איסור לכתחילה, הא לכאורה משמע שמתיר לנער אפילו בדליכא ששים, ולכאורה בדליכא ששים ליהוי אסור משום איסור בישול בב"ח.</w:t>
      </w:r>
    </w:p>
    <w:p w:rsidR="005C09F5" w:rsidRPr="00882F11" w:rsidRDefault="00F238CA" w:rsidP="00F238CA">
      <w:pPr>
        <w:tabs>
          <w:tab w:val="right" w:pos="7497"/>
        </w:tabs>
        <w:bidi/>
        <w:jc w:val="both"/>
        <w:rPr>
          <w:rFonts w:cs="Guttman Drogolin"/>
          <w:rtl/>
          <w:lang w:bidi="he-IL"/>
        </w:rPr>
      </w:pPr>
      <w:r w:rsidRPr="00882F11">
        <w:rPr>
          <w:rFonts w:cs="Guttman Drogolin" w:hint="cs"/>
          <w:rtl/>
          <w:lang w:bidi="he-IL"/>
        </w:rPr>
        <w:t xml:space="preserve">ונאמרו כמה תירוצים באחרונים לקושיא זו. בשיעור מ"ט הבאנו שיטת הכרו"פ שאם מבשל בליעות של בב"ח שכבר נתבשלו אין כאן משום בישול בב"ח. וע"ש שהוכיח כן מעצם דברי השו"ע כאן וכנ"ל (ושם מבואר דסבר שאלמלא סברא זו הי' אסור לבשל אע"ג דאיכא ששים). ולדבריו צע"ק למה לא הביא הרמ"א כאן להחמיר כמו שהביא בבסע' ו'. ובשו"ת אג"מ יו"ד א' סי' ל"ט הביא מאחיו ליישב משום דהוי ספק פס"ר שלעבר, ולשיטת הט"ז דבר זה בכלל דינא דדבר שאינו מתכוין שמותר. וע"ש שהגרמ"פ עצמו כתב שאין כן השגה על רע"א כיון ששם בסע' ו' חלק על זה וסבר שהוא בכל פס"ר והוי ספק איסור, אלא שהעיר בזה שלא הביא דברי הט"ז כאן כמו שהביא לעיל. וכתב שם הגרמ"פ עוד' ב' יישובים. חדא שי"ל שאין לזה ספק שלעבר כיון שהוא ספק לכל העולם. ועוד כתב סברא מחודשת שאם דעתו לעשות להיפך לעולם אין לו דין מכוין אפילו אם הוא פס"ר, וע"ש מה שהביא מרש"י במס' שבת דף ע"ה לסייע לסברא זו, ואכמ"ל בדבריו. </w:t>
      </w:r>
    </w:p>
    <w:p w:rsidR="005C09F5" w:rsidRPr="00882F11" w:rsidRDefault="005C09F5" w:rsidP="005C09F5">
      <w:pPr>
        <w:tabs>
          <w:tab w:val="right" w:pos="7497"/>
        </w:tabs>
        <w:bidi/>
        <w:jc w:val="both"/>
        <w:rPr>
          <w:rFonts w:cs="Guttman Drogolin"/>
          <w:rtl/>
          <w:lang w:bidi="he-IL"/>
        </w:rPr>
      </w:pPr>
    </w:p>
    <w:p w:rsidR="002F27C0" w:rsidRPr="00882F11" w:rsidRDefault="00BA5D5A" w:rsidP="00655EB3">
      <w:pPr>
        <w:tabs>
          <w:tab w:val="right" w:pos="7497"/>
        </w:tabs>
        <w:bidi/>
        <w:jc w:val="both"/>
        <w:rPr>
          <w:rFonts w:cs="Guttman Drogolin"/>
          <w:b/>
          <w:bCs/>
          <w:rtl/>
          <w:lang w:bidi="he-IL"/>
        </w:rPr>
      </w:pPr>
      <w:r w:rsidRPr="00882F11">
        <w:rPr>
          <w:rFonts w:cs="Guttman Drogolin" w:hint="cs"/>
          <w:b/>
          <w:bCs/>
          <w:rtl/>
          <w:lang w:bidi="he-IL"/>
        </w:rPr>
        <w:t xml:space="preserve">גוף </w:t>
      </w:r>
      <w:r w:rsidR="005C09F5" w:rsidRPr="00882F11">
        <w:rPr>
          <w:rFonts w:cs="Guttman Drogolin" w:hint="cs"/>
          <w:b/>
          <w:bCs/>
          <w:rtl/>
          <w:lang w:bidi="he-IL"/>
        </w:rPr>
        <w:t xml:space="preserve">דברי הרמב"ם </w:t>
      </w:r>
      <w:r w:rsidRPr="00882F11">
        <w:rPr>
          <w:rFonts w:cs="Guttman Drogolin" w:hint="cs"/>
          <w:b/>
          <w:bCs/>
          <w:rtl/>
          <w:lang w:bidi="he-IL"/>
        </w:rPr>
        <w:t>ב</w:t>
      </w:r>
      <w:r w:rsidR="005C09F5" w:rsidRPr="00882F11">
        <w:rPr>
          <w:rFonts w:cs="Guttman Drogolin" w:hint="cs"/>
          <w:b/>
          <w:bCs/>
          <w:rtl/>
          <w:lang w:bidi="he-IL"/>
        </w:rPr>
        <w:t>נפל טיפת דם ע</w:t>
      </w:r>
      <w:r w:rsidR="00655EB3" w:rsidRPr="00882F11">
        <w:rPr>
          <w:rFonts w:cs="Guttman Drogolin" w:hint="cs"/>
          <w:b/>
          <w:bCs/>
          <w:rtl/>
          <w:lang w:bidi="he-IL"/>
        </w:rPr>
        <w:t>ל</w:t>
      </w:r>
      <w:r w:rsidR="005C09F5" w:rsidRPr="00882F11">
        <w:rPr>
          <w:rFonts w:cs="Guttman Drogolin" w:hint="cs"/>
          <w:b/>
          <w:bCs/>
          <w:rtl/>
          <w:lang w:bidi="he-IL"/>
        </w:rPr>
        <w:t xml:space="preserve"> א' מן החתיכות ואינו יודע איזה כתבתי לקמן בשיעור הבא.</w:t>
      </w:r>
      <w:r w:rsidR="00F238CA" w:rsidRPr="00882F11">
        <w:rPr>
          <w:rFonts w:cs="Guttman Drogolin" w:hint="cs"/>
          <w:b/>
          <w:bCs/>
          <w:rtl/>
          <w:lang w:bidi="he-IL"/>
        </w:rPr>
        <w:t xml:space="preserve">   </w:t>
      </w:r>
    </w:p>
    <w:p w:rsidR="002F27C0" w:rsidRPr="00882F11" w:rsidRDefault="002F27C0" w:rsidP="002F27C0">
      <w:pPr>
        <w:tabs>
          <w:tab w:val="right" w:pos="7497"/>
        </w:tabs>
        <w:bidi/>
        <w:jc w:val="both"/>
        <w:rPr>
          <w:rFonts w:cs="Guttman Drogolin"/>
          <w:rtl/>
          <w:lang w:bidi="he-IL"/>
        </w:rPr>
        <w:sectPr w:rsidR="002F27C0" w:rsidRPr="00882F11" w:rsidSect="00DA1D59">
          <w:type w:val="continuous"/>
          <w:pgSz w:w="11907" w:h="16839" w:code="9"/>
          <w:pgMar w:top="1440" w:right="1440" w:bottom="1440" w:left="1440" w:header="720" w:footer="720" w:gutter="0"/>
          <w:cols w:num="2" w:space="720"/>
          <w:bidi/>
          <w:docGrid w:linePitch="360"/>
        </w:sectPr>
      </w:pPr>
    </w:p>
    <w:p w:rsidR="002F27C0" w:rsidRPr="00882F11" w:rsidRDefault="002F27C0" w:rsidP="002F27C0">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נ"ד</w:t>
      </w:r>
    </w:p>
    <w:p w:rsidR="00DA1D59" w:rsidRDefault="00DA1D59" w:rsidP="0078079C">
      <w:pPr>
        <w:pStyle w:val="Heading1"/>
        <w:bidi/>
        <w:spacing w:before="0" w:line="360" w:lineRule="auto"/>
        <w:jc w:val="center"/>
        <w:rPr>
          <w:rFonts w:cs="Guttman Drogolin"/>
          <w:color w:val="auto"/>
          <w:sz w:val="24"/>
          <w:szCs w:val="24"/>
          <w:u w:val="single"/>
          <w:rtl/>
          <w:lang w:bidi="he-IL"/>
        </w:rPr>
        <w:sectPr w:rsidR="00DA1D59" w:rsidSect="00DA1D59">
          <w:pgSz w:w="11907" w:h="16839" w:code="9"/>
          <w:pgMar w:top="1440" w:right="1440" w:bottom="1440" w:left="1440" w:header="720" w:footer="720" w:gutter="0"/>
          <w:cols w:space="720"/>
          <w:bidi/>
          <w:docGrid w:linePitch="360"/>
        </w:sectPr>
      </w:pPr>
    </w:p>
    <w:p w:rsidR="002F27C0" w:rsidRPr="00DA1D59" w:rsidRDefault="002F27C0" w:rsidP="00DA1D59">
      <w:pPr>
        <w:pStyle w:val="Heading1"/>
        <w:bidi/>
        <w:spacing w:before="0" w:line="240" w:lineRule="auto"/>
        <w:jc w:val="center"/>
        <w:rPr>
          <w:rFonts w:cs="Guttman Drogolin"/>
          <w:color w:val="auto"/>
          <w:sz w:val="20"/>
          <w:szCs w:val="20"/>
          <w:u w:val="single"/>
          <w:rtl/>
          <w:lang w:bidi="he-IL"/>
        </w:rPr>
      </w:pPr>
      <w:bookmarkStart w:id="209" w:name="_Toc496175464"/>
      <w:r w:rsidRPr="00DA1D59">
        <w:rPr>
          <w:rFonts w:cs="Guttman Drogolin" w:hint="cs"/>
          <w:color w:val="auto"/>
          <w:sz w:val="20"/>
          <w:szCs w:val="20"/>
          <w:u w:val="single"/>
          <w:rtl/>
          <w:lang w:bidi="he-IL"/>
        </w:rPr>
        <w:lastRenderedPageBreak/>
        <w:t>סיכום השיטות להלכה בדין חענ"ן בשאר איסורים</w:t>
      </w:r>
      <w:r w:rsidR="004A53F0" w:rsidRPr="00DA1D59">
        <w:rPr>
          <w:rFonts w:cs="Guttman Drogolin" w:hint="cs"/>
          <w:color w:val="auto"/>
          <w:sz w:val="20"/>
          <w:szCs w:val="20"/>
          <w:u w:val="single"/>
          <w:rtl/>
          <w:lang w:bidi="he-IL"/>
        </w:rPr>
        <w:t>,</w:t>
      </w:r>
      <w:r w:rsidRPr="00DA1D59">
        <w:rPr>
          <w:rFonts w:cs="Guttman Drogolin" w:hint="cs"/>
          <w:color w:val="auto"/>
          <w:sz w:val="20"/>
          <w:szCs w:val="20"/>
          <w:u w:val="single"/>
          <w:rtl/>
          <w:lang w:bidi="he-IL"/>
        </w:rPr>
        <w:t xml:space="preserve"> ובמחלוקת רש"י ור"י בחתיכה שמקצתה ברוטב</w:t>
      </w:r>
      <w:bookmarkEnd w:id="209"/>
    </w:p>
    <w:p w:rsidR="009109F3" w:rsidRPr="00882F11" w:rsidRDefault="005E1A06" w:rsidP="005E1A06">
      <w:pPr>
        <w:tabs>
          <w:tab w:val="right" w:pos="7497"/>
        </w:tabs>
        <w:bidi/>
        <w:jc w:val="both"/>
        <w:rPr>
          <w:rFonts w:cs="Guttman Drogolin"/>
          <w:rtl/>
          <w:lang w:bidi="he-IL"/>
        </w:rPr>
      </w:pPr>
      <w:r>
        <w:rPr>
          <w:rFonts w:cs="Guttman Drogolin"/>
          <w:rtl/>
          <w:lang w:bidi="he-IL"/>
        </w:rPr>
        <w:fldChar w:fldCharType="begin"/>
      </w:r>
      <w:r>
        <w:instrText xml:space="preserve"> XE "</w:instrText>
      </w:r>
      <w:r w:rsidRPr="00334E72">
        <w:rPr>
          <w:rFonts w:hint="cs"/>
          <w:rtl/>
          <w:lang w:bidi="he-IL"/>
        </w:rPr>
        <w:instrText>חענ</w:instrText>
      </w:r>
      <w:r>
        <w:rPr>
          <w:rFonts w:eastAsiaTheme="minorEastAsia"/>
          <w:lang w:bidi="he-IL"/>
        </w:rPr>
        <w:instrText>\</w:instrText>
      </w:r>
      <w:r w:rsidRPr="00334E72">
        <w:rPr>
          <w:rFonts w:hint="cs"/>
          <w:rtl/>
          <w:lang w:bidi="he-IL"/>
        </w:rPr>
        <w:instrText>"ן</w:instrText>
      </w:r>
      <w:r w:rsidRPr="00334E72">
        <w:rPr>
          <w:rtl/>
        </w:rPr>
        <w:instrText>:</w:instrText>
      </w:r>
      <w:r w:rsidRPr="00334E72">
        <w:rPr>
          <w:rFonts w:hint="cs"/>
          <w:rtl/>
          <w:lang w:bidi="he-IL"/>
        </w:rPr>
        <w:instrText>בשאר איסורים - להלכה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4E1C3F">
        <w:rPr>
          <w:rFonts w:hint="cs"/>
          <w:rtl/>
          <w:lang w:bidi="he-IL"/>
        </w:rPr>
        <w:instrText>צלי</w:instrText>
      </w:r>
      <w:r w:rsidRPr="004E1C3F">
        <w:rPr>
          <w:rtl/>
        </w:rPr>
        <w:instrText>:</w:instrText>
      </w:r>
      <w:r w:rsidRPr="004E1C3F">
        <w:rPr>
          <w:rFonts w:hint="cs"/>
          <w:rtl/>
          <w:lang w:bidi="he-IL"/>
        </w:rPr>
        <w:instrText xml:space="preserve">חתיכה שמקתה בתוך הרוטב - </w:instrText>
      </w:r>
      <w:r>
        <w:rPr>
          <w:rFonts w:hint="cs"/>
          <w:rtl/>
          <w:lang w:bidi="he-IL"/>
        </w:rPr>
        <w:instrText>ה</w:instrText>
      </w:r>
      <w:r w:rsidRPr="004E1C3F">
        <w:rPr>
          <w:rFonts w:hint="cs"/>
          <w:rtl/>
          <w:lang w:bidi="he-IL"/>
        </w:rPr>
        <w:instrText>הלכה</w:instrText>
      </w:r>
      <w:r>
        <w:instrText xml:space="preserve">" </w:instrText>
      </w:r>
      <w:r>
        <w:rPr>
          <w:rFonts w:cs="Guttman Drogolin"/>
          <w:rtl/>
          <w:lang w:bidi="he-IL"/>
        </w:rPr>
        <w:fldChar w:fldCharType="end"/>
      </w:r>
      <w:r w:rsidR="002F27C0" w:rsidRPr="00882F11">
        <w:rPr>
          <w:rFonts w:cs="Guttman Drogolin" w:hint="cs"/>
          <w:rtl/>
          <w:lang w:bidi="he-IL"/>
        </w:rPr>
        <w:t>כידוע יש מחלוקת הראשונים אם אמרינן חענ"ן בשאר איסורים או לא, דר' אפרים סבר שלא</w:t>
      </w:r>
      <w:r w:rsidR="009109F3" w:rsidRPr="00882F11">
        <w:rPr>
          <w:rFonts w:cs="Guttman Drogolin" w:hint="cs"/>
          <w:rtl/>
          <w:lang w:bidi="he-IL"/>
        </w:rPr>
        <w:t xml:space="preserve"> </w:t>
      </w:r>
      <w:r w:rsidR="002F27C0" w:rsidRPr="00882F11">
        <w:rPr>
          <w:rFonts w:cs="Guttman Drogolin" w:hint="cs"/>
          <w:rtl/>
          <w:lang w:bidi="he-IL"/>
        </w:rPr>
        <w:t xml:space="preserve">אמרינן דחתיכה עצמה נעשית נבילה אלא בבשר בחלב, ור"ת סבר דאמרינן חענ"ן גם בשאר איסורי תורה. </w:t>
      </w:r>
      <w:r w:rsidR="009109F3" w:rsidRPr="00882F11">
        <w:rPr>
          <w:rFonts w:cs="Guttman Drogolin" w:hint="cs"/>
          <w:rtl/>
          <w:lang w:bidi="he-IL"/>
        </w:rPr>
        <w:t xml:space="preserve">ונפק"מ שאם אומרים חענ"ן בשאר איסורים, אף אם אנחנו יודעים כמות האיסור שנבלע בהיתר מ"מ צריכים לשאר כנגד כל החתיכה שבלע איסור, דהא נעשית נבילה. אבל אם אין חענ"ן בשאר איסורים אין צריכים לשער אלא כנגד האיסור שבלע. (וכמובן הנ"מ בדידעינן כמות האיסור שנבלע, אבל היתר שבלע איסור ואין אנחנו יודעים כמות שבלע, צריכים לשער כנגד כל החתיכה אע"ג שאנחנו יודעים שלאו כולו איסור, ומשום דלא ידעינן כמה נפיק מינה). </w:t>
      </w:r>
    </w:p>
    <w:p w:rsidR="00487FE2" w:rsidRPr="00882F11" w:rsidRDefault="002F27C0" w:rsidP="009109F3">
      <w:pPr>
        <w:tabs>
          <w:tab w:val="right" w:pos="7497"/>
        </w:tabs>
        <w:bidi/>
        <w:jc w:val="both"/>
        <w:rPr>
          <w:rFonts w:cs="Guttman Drogolin"/>
          <w:rtl/>
          <w:lang w:bidi="he-IL"/>
        </w:rPr>
      </w:pPr>
      <w:r w:rsidRPr="00882F11">
        <w:rPr>
          <w:rFonts w:cs="Guttman Drogolin" w:hint="cs"/>
          <w:rtl/>
          <w:lang w:bidi="he-IL"/>
        </w:rPr>
        <w:t xml:space="preserve">ונקטו הרבה ראשונים שלעולם כו"ע מודו שעיקר הדין דחענ"ן לא שייך אלא באיסורא דבב"ח, ומשום שרק בזה אמרינן שחל איסור חדש על הבשר והחלב שלא הי' שם מקודם, ולכן כיון שהאיסור חל </w:t>
      </w:r>
      <w:r w:rsidR="00487FE2" w:rsidRPr="00882F11">
        <w:rPr>
          <w:rFonts w:cs="Guttman Drogolin" w:hint="cs"/>
          <w:rtl/>
          <w:lang w:bidi="he-IL"/>
        </w:rPr>
        <w:t>הרי הוא נשאר</w:t>
      </w:r>
      <w:r w:rsidR="004A53F0" w:rsidRPr="00882F11">
        <w:rPr>
          <w:rStyle w:val="FootnoteReference"/>
          <w:rFonts w:cs="Guttman Drogolin"/>
          <w:rtl/>
          <w:lang w:bidi="he-IL"/>
        </w:rPr>
        <w:footnoteReference w:id="253"/>
      </w:r>
      <w:r w:rsidR="00487FE2" w:rsidRPr="00882F11">
        <w:rPr>
          <w:rFonts w:cs="Guttman Drogolin" w:hint="cs"/>
          <w:rtl/>
          <w:lang w:bidi="he-IL"/>
        </w:rPr>
        <w:t>, אבל בשאר איסורים אין טעם מדאורייתא לומר שהחתיכה של היתר נעשית חפצא דאיסורא. רק נחלקו אם מ"מ גזרו גם באיסורים שיהא החתיכת היתר נע"נ</w:t>
      </w:r>
      <w:r w:rsidR="004A53F0" w:rsidRPr="00882F11">
        <w:rPr>
          <w:rStyle w:val="FootnoteReference"/>
          <w:rFonts w:cs="Guttman Drogolin"/>
          <w:rtl/>
          <w:lang w:bidi="he-IL"/>
        </w:rPr>
        <w:footnoteReference w:id="254"/>
      </w:r>
      <w:r w:rsidR="00487FE2" w:rsidRPr="00882F11">
        <w:rPr>
          <w:rFonts w:cs="Guttman Drogolin" w:hint="cs"/>
          <w:rtl/>
          <w:lang w:bidi="he-IL"/>
        </w:rPr>
        <w:t>.</w:t>
      </w:r>
      <w:r w:rsidR="004A53F0" w:rsidRPr="00882F11">
        <w:rPr>
          <w:rFonts w:cs="Guttman Drogolin" w:hint="cs"/>
          <w:rtl/>
          <w:lang w:bidi="he-IL"/>
        </w:rPr>
        <w:t xml:space="preserve"> אמנם יש סוברים שחענ"ן בשאר איסורים הוא ג"כ דיין דאורייתא. ובסוגית הגמ' מבואר שדין חענ"ן תלוי אי אמרינן </w:t>
      </w:r>
      <w:r w:rsidR="00DC784B">
        <w:rPr>
          <w:rFonts w:cs="Guttman Drogolin" w:hint="cs"/>
          <w:rtl/>
          <w:lang w:bidi="he-IL"/>
        </w:rPr>
        <w:t>אפשר לסוחטו</w:t>
      </w:r>
      <w:r w:rsidR="004A53F0" w:rsidRPr="00882F11">
        <w:rPr>
          <w:rFonts w:cs="Guttman Drogolin" w:hint="cs"/>
          <w:rtl/>
          <w:lang w:bidi="he-IL"/>
        </w:rPr>
        <w:t xml:space="preserve"> מותר או </w:t>
      </w:r>
      <w:r w:rsidR="00DC784B">
        <w:rPr>
          <w:rFonts w:cs="Guttman Drogolin" w:hint="cs"/>
          <w:rtl/>
          <w:lang w:bidi="he-IL"/>
        </w:rPr>
        <w:t>אפשר לסוחטו</w:t>
      </w:r>
      <w:r w:rsidR="004A53F0" w:rsidRPr="00882F11">
        <w:rPr>
          <w:rFonts w:cs="Guttman Drogolin" w:hint="cs"/>
          <w:rtl/>
          <w:lang w:bidi="he-IL"/>
        </w:rPr>
        <w:t xml:space="preserve"> אסור. ולשיטת ר' אפרים ודעימי' דסברי שלא אומרים חענ"ן בשאר איסורים נחלקו אם מ"מ אפשר להתיר החתיכה שבלע איסור אם חוזר ומבשלו בקדירה אחרת, שי"א דכיון דלא אמרינן בשאר איסורים </w:t>
      </w:r>
      <w:r w:rsidR="00DC784B">
        <w:rPr>
          <w:rFonts w:cs="Guttman Drogolin" w:hint="cs"/>
          <w:rtl/>
          <w:lang w:bidi="he-IL"/>
        </w:rPr>
        <w:t>אפשר לסוחטו</w:t>
      </w:r>
      <w:r w:rsidR="004A53F0" w:rsidRPr="00882F11">
        <w:rPr>
          <w:rFonts w:cs="Guttman Drogolin" w:hint="cs"/>
          <w:rtl/>
          <w:lang w:bidi="he-IL"/>
        </w:rPr>
        <w:t xml:space="preserve"> אסור יוצא שגם החתיכה עצמה ניתרת כשחוזר ומבשלו בקדרה שיש בה ס' כנגד הבליעת איסו דמעיקרא, ושיטת הרשב"א היא דאע"ג דלא אמרינן </w:t>
      </w:r>
      <w:r w:rsidR="00DC784B">
        <w:rPr>
          <w:rFonts w:cs="Guttman Drogolin" w:hint="cs"/>
          <w:rtl/>
          <w:lang w:bidi="he-IL"/>
        </w:rPr>
        <w:t>אפשר לסוחטו</w:t>
      </w:r>
      <w:r w:rsidR="004A53F0" w:rsidRPr="00882F11">
        <w:rPr>
          <w:rFonts w:cs="Guttman Drogolin" w:hint="cs"/>
          <w:rtl/>
          <w:lang w:bidi="he-IL"/>
        </w:rPr>
        <w:t xml:space="preserve"> אאסור בשאר איסורים, החתיכה עצמה נשארת </w:t>
      </w:r>
      <w:r w:rsidR="004A53F0" w:rsidRPr="00882F11">
        <w:rPr>
          <w:rFonts w:cs="Guttman Drogolin" w:hint="cs"/>
          <w:rtl/>
          <w:lang w:bidi="he-IL"/>
        </w:rPr>
        <w:lastRenderedPageBreak/>
        <w:t>באיסורה ומשום שאין סחיטה באוכלין (ויוצא שכוונת הדין ד</w:t>
      </w:r>
      <w:r w:rsidR="00DC784B">
        <w:rPr>
          <w:rFonts w:cs="Guttman Drogolin" w:hint="cs"/>
          <w:rtl/>
          <w:lang w:bidi="he-IL"/>
        </w:rPr>
        <w:t>אפשר לסוחטו</w:t>
      </w:r>
      <w:r w:rsidR="004A53F0" w:rsidRPr="00882F11">
        <w:rPr>
          <w:rFonts w:cs="Guttman Drogolin" w:hint="cs"/>
          <w:rtl/>
          <w:lang w:bidi="he-IL"/>
        </w:rPr>
        <w:t xml:space="preserve"> מותר היינו דאילו הי' </w:t>
      </w:r>
      <w:r w:rsidR="00DC784B">
        <w:rPr>
          <w:rFonts w:cs="Guttman Drogolin" w:hint="cs"/>
          <w:rtl/>
          <w:lang w:bidi="he-IL"/>
        </w:rPr>
        <w:t>אפשר לסוחטו</w:t>
      </w:r>
      <w:r w:rsidR="004A53F0" w:rsidRPr="00882F11">
        <w:rPr>
          <w:rFonts w:cs="Guttman Drogolin" w:hint="cs"/>
          <w:rtl/>
          <w:lang w:bidi="he-IL"/>
        </w:rPr>
        <w:t xml:space="preserve"> היק מותר, אבל למעשה אי </w:t>
      </w:r>
      <w:r w:rsidR="00DC784B">
        <w:rPr>
          <w:rFonts w:cs="Guttman Drogolin" w:hint="cs"/>
          <w:rtl/>
          <w:lang w:bidi="he-IL"/>
        </w:rPr>
        <w:t>אפשר לסוחטו</w:t>
      </w:r>
      <w:r w:rsidR="004A53F0" w:rsidRPr="00882F11">
        <w:rPr>
          <w:rFonts w:cs="Guttman Drogolin" w:hint="cs"/>
          <w:rtl/>
          <w:lang w:bidi="he-IL"/>
        </w:rPr>
        <w:t>)</w:t>
      </w:r>
      <w:r w:rsidR="00CE2DC0" w:rsidRPr="00882F11">
        <w:rPr>
          <w:rStyle w:val="FootnoteReference"/>
          <w:rFonts w:cs="Guttman Drogolin"/>
          <w:rtl/>
          <w:lang w:bidi="he-IL"/>
        </w:rPr>
        <w:footnoteReference w:id="255"/>
      </w:r>
      <w:r w:rsidR="004A53F0" w:rsidRPr="00882F11">
        <w:rPr>
          <w:rFonts w:cs="Guttman Drogolin" w:hint="cs"/>
          <w:rtl/>
          <w:lang w:bidi="he-IL"/>
        </w:rPr>
        <w:t xml:space="preserve">. </w:t>
      </w:r>
      <w:r w:rsidR="00487FE2" w:rsidRPr="00882F11">
        <w:rPr>
          <w:rFonts w:cs="Guttman Drogolin" w:hint="cs"/>
          <w:rtl/>
          <w:lang w:bidi="he-IL"/>
        </w:rPr>
        <w:t xml:space="preserve"> </w:t>
      </w:r>
    </w:p>
    <w:p w:rsidR="00407FD2" w:rsidRPr="00882F11" w:rsidRDefault="002F27C0" w:rsidP="00487FE2">
      <w:pPr>
        <w:tabs>
          <w:tab w:val="right" w:pos="7497"/>
        </w:tabs>
        <w:bidi/>
        <w:jc w:val="both"/>
        <w:rPr>
          <w:rFonts w:cs="Guttman Drogolin"/>
          <w:rtl/>
          <w:lang w:bidi="he-IL"/>
        </w:rPr>
      </w:pPr>
      <w:r w:rsidRPr="00882F11">
        <w:rPr>
          <w:rFonts w:cs="Guttman Drogolin" w:hint="cs"/>
          <w:rtl/>
          <w:lang w:bidi="he-IL"/>
        </w:rPr>
        <w:t>ויל"ע היכי קיי"ל במחלוקת זו. המחבר בסע' ד' סתם להקל כשיטת רבינו אפרים</w:t>
      </w:r>
      <w:r w:rsidR="004A53F0" w:rsidRPr="00882F11">
        <w:rPr>
          <w:rFonts w:cs="Guttman Drogolin" w:hint="cs"/>
          <w:rtl/>
          <w:lang w:bidi="he-IL"/>
        </w:rPr>
        <w:t>. ומבואר בב"י דטעמא דילי' משום שהרה"מ (פ"ט ה"י) נקט בדעת הרמב"ם דסבר כרבינו אפרים</w:t>
      </w:r>
      <w:r w:rsidR="005D3452" w:rsidRPr="00882F11">
        <w:rPr>
          <w:rFonts w:cs="Guttman Drogolin" w:hint="cs"/>
          <w:rtl/>
          <w:lang w:bidi="he-IL"/>
        </w:rPr>
        <w:t>, דהא לא הביא הדין של חענ"ן כ"א בבב"ח, וכן הביא הדין דאין המדומע מדמע אלא לפי חשבון. וכן הטור כתב בשם אביו הרא"ש דסבר כר' אפרים, ואע"ג שהב"י דן במקור לדבר זה, מ"מ דבריו נוטים למש"כ הטור בדעת הרא"ש. זאת ועוד שהרי כל המחלוקת אי אמרינן חענ"ן בשאר איסורים או לא אינו אלא מדרבנן, ולכן כיון שהרא"ש ורמב"ם סוברים כר' אפרים, ואינו אלא חומרא מדרבנן, הדין הוא להקל. וכאן סתם המחבר כדעת הטור דסבר שגם החתיכה עצמה חוזרת להיתירו, והעירו הנו"כ שזהו נגד מש"כ הוא עצמו לקמן בסי' ק"ו, וע"ש בדבריהם כמה ישובים לזה, והיוצא מדבריהם שהעיקר לשיטת המחבר שהחתיכה נשארת באיסורה.</w:t>
      </w:r>
    </w:p>
    <w:p w:rsidR="0095606D" w:rsidRPr="00882F11" w:rsidRDefault="0095606D" w:rsidP="0095606D">
      <w:pPr>
        <w:tabs>
          <w:tab w:val="right" w:pos="7497"/>
        </w:tabs>
        <w:bidi/>
        <w:jc w:val="both"/>
        <w:rPr>
          <w:rFonts w:cs="Guttman Drogolin"/>
          <w:rtl/>
          <w:lang w:bidi="he-IL"/>
        </w:rPr>
      </w:pPr>
      <w:r w:rsidRPr="00882F11">
        <w:rPr>
          <w:rFonts w:cs="Guttman Drogolin" w:hint="cs"/>
          <w:rtl/>
          <w:lang w:bidi="he-IL"/>
        </w:rPr>
        <w:t>ולענין המחלוקת בין ר"י לרש"י לא כתב המחבר בהיא מה הדין, וכמו שכבר הזכרנו שיטת הט"ז לפרש דברי המחבר דסבר כשיטת רש"י, ושלשיטת אפילו לא ניער את הקדרה צריכים ששים כנגד החתיכה להתיר התבשיל, והש"ך שם בנקוה"כ חלק עליו שאין משמעות כזאת במחבר, וכן הביא מכמה אחרונים שהבינו ששיטת הרמב"ם (שהוא מקור לשונו של המחבר) כר"י, ובש"ך הביא שכן הוא דעת רוב הראשונים, ולכן נראה שכן הוא עיקר הדין (אבל לא כתב במפורש שלשיטתו זהו שיטת המחבר).</w:t>
      </w:r>
    </w:p>
    <w:p w:rsidR="0090412A" w:rsidRPr="00882F11" w:rsidRDefault="00407FD2" w:rsidP="00C63395">
      <w:pPr>
        <w:tabs>
          <w:tab w:val="right" w:pos="7497"/>
        </w:tabs>
        <w:bidi/>
        <w:jc w:val="both"/>
        <w:rPr>
          <w:rFonts w:cs="Guttman Drogolin"/>
          <w:rtl/>
          <w:lang w:bidi="he-IL"/>
        </w:rPr>
      </w:pPr>
      <w:r w:rsidRPr="00882F11">
        <w:rPr>
          <w:rFonts w:cs="Guttman Drogolin" w:hint="cs"/>
          <w:rtl/>
          <w:lang w:bidi="he-IL"/>
        </w:rPr>
        <w:lastRenderedPageBreak/>
        <w:t>וכל זה הוא לשיטת המחבר, אבל הרמ"א כתב</w:t>
      </w:r>
      <w:r w:rsidR="002F27C0" w:rsidRPr="00882F11">
        <w:rPr>
          <w:rFonts w:cs="Guttman Drogolin" w:hint="cs"/>
          <w:rtl/>
          <w:lang w:bidi="he-IL"/>
        </w:rPr>
        <w:t xml:space="preserve"> </w:t>
      </w:r>
      <w:r w:rsidR="0095606D" w:rsidRPr="00882F11">
        <w:rPr>
          <w:rFonts w:cs="Guttman Drogolin" w:hint="cs"/>
          <w:rtl/>
          <w:lang w:bidi="he-IL"/>
        </w:rPr>
        <w:t>להחמיר לצדדין, ור"ל שמחמירים שיש חענ"ן גם בשאר איסורים</w:t>
      </w:r>
      <w:r w:rsidR="00D160E5" w:rsidRPr="00882F11">
        <w:rPr>
          <w:rFonts w:cs="Guttman Drogolin" w:hint="cs"/>
          <w:rtl/>
          <w:lang w:bidi="he-IL"/>
        </w:rPr>
        <w:t xml:space="preserve">, וכן מחמירים כשיטת רש"י שאם החתיכה מקצתה בתוך הרוטב שהחתיכה נאסרת, אבל לא מחמירים כשיטת רש"י שהחתיכה נאסרת בשאר איסורים, דכיון שי"א שלא אומרים חענ"ן בשאר איסורים כלל, ויש להקל כשיטתם לפסוק כשיטת ר"י להקל. </w:t>
      </w:r>
      <w:r w:rsidR="00C63395" w:rsidRPr="00882F11">
        <w:rPr>
          <w:rFonts w:cs="Guttman Drogolin" w:hint="cs"/>
          <w:rtl/>
          <w:lang w:bidi="he-IL"/>
        </w:rPr>
        <w:t>והוסיף</w:t>
      </w:r>
      <w:r w:rsidR="00C63395" w:rsidRPr="00882F11">
        <w:rPr>
          <w:rFonts w:cs="Guttman Drogolin"/>
          <w:rtl/>
          <w:lang w:bidi="he-IL"/>
        </w:rPr>
        <w:t xml:space="preserve"> </w:t>
      </w:r>
      <w:r w:rsidR="00C63395" w:rsidRPr="00882F11">
        <w:rPr>
          <w:rFonts w:cs="Guttman Drogolin" w:hint="cs"/>
          <w:rtl/>
          <w:lang w:bidi="he-IL"/>
        </w:rPr>
        <w:t>שאין</w:t>
      </w:r>
      <w:r w:rsidR="00C63395" w:rsidRPr="00882F11">
        <w:rPr>
          <w:rFonts w:cs="Guttman Drogolin"/>
          <w:rtl/>
          <w:lang w:bidi="he-IL"/>
        </w:rPr>
        <w:t xml:space="preserve"> </w:t>
      </w:r>
      <w:r w:rsidR="00C63395" w:rsidRPr="00882F11">
        <w:rPr>
          <w:rFonts w:cs="Guttman Drogolin" w:hint="cs"/>
          <w:rtl/>
          <w:lang w:bidi="he-IL"/>
        </w:rPr>
        <w:t>להקל</w:t>
      </w:r>
      <w:r w:rsidR="00C63395" w:rsidRPr="00882F11">
        <w:rPr>
          <w:rFonts w:cs="Guttman Drogolin"/>
          <w:rtl/>
          <w:lang w:bidi="he-IL"/>
        </w:rPr>
        <w:t xml:space="preserve"> </w:t>
      </w:r>
      <w:r w:rsidR="00C63395" w:rsidRPr="00882F11">
        <w:rPr>
          <w:rFonts w:cs="Guttman Drogolin" w:hint="cs"/>
          <w:rtl/>
          <w:lang w:bidi="he-IL"/>
        </w:rPr>
        <w:t>אלא</w:t>
      </w:r>
      <w:r w:rsidR="00C63395" w:rsidRPr="00882F11">
        <w:rPr>
          <w:rFonts w:cs="Guttman Drogolin"/>
          <w:rtl/>
          <w:lang w:bidi="he-IL"/>
        </w:rPr>
        <w:t xml:space="preserve"> </w:t>
      </w:r>
      <w:r w:rsidR="00C63395" w:rsidRPr="00882F11">
        <w:rPr>
          <w:rFonts w:cs="Guttman Drogolin" w:hint="cs"/>
          <w:rtl/>
          <w:lang w:bidi="he-IL"/>
        </w:rPr>
        <w:t>להתיר</w:t>
      </w:r>
      <w:r w:rsidR="00C63395" w:rsidRPr="00882F11">
        <w:rPr>
          <w:rFonts w:cs="Guttman Drogolin"/>
          <w:rtl/>
          <w:lang w:bidi="he-IL"/>
        </w:rPr>
        <w:t xml:space="preserve"> </w:t>
      </w:r>
      <w:r w:rsidR="00C63395" w:rsidRPr="00882F11">
        <w:rPr>
          <w:rFonts w:cs="Guttman Drogolin" w:hint="cs"/>
          <w:rtl/>
          <w:lang w:bidi="he-IL"/>
        </w:rPr>
        <w:t>את</w:t>
      </w:r>
      <w:r w:rsidR="00C63395" w:rsidRPr="00882F11">
        <w:rPr>
          <w:rFonts w:cs="Guttman Drogolin"/>
          <w:rtl/>
          <w:lang w:bidi="he-IL"/>
        </w:rPr>
        <w:t xml:space="preserve"> </w:t>
      </w:r>
      <w:r w:rsidR="00C63395" w:rsidRPr="00882F11">
        <w:rPr>
          <w:rFonts w:cs="Guttman Drogolin" w:hint="cs"/>
          <w:rtl/>
          <w:lang w:bidi="he-IL"/>
        </w:rPr>
        <w:t>התבשיל</w:t>
      </w:r>
      <w:r w:rsidR="00C63395" w:rsidRPr="00882F11">
        <w:rPr>
          <w:rFonts w:cs="Guttman Drogolin"/>
          <w:rtl/>
          <w:lang w:bidi="he-IL"/>
        </w:rPr>
        <w:t xml:space="preserve">, </w:t>
      </w:r>
      <w:r w:rsidR="00C63395" w:rsidRPr="00882F11">
        <w:rPr>
          <w:rFonts w:cs="Guttman Drogolin" w:hint="cs"/>
          <w:rtl/>
          <w:lang w:bidi="he-IL"/>
        </w:rPr>
        <w:t>אבל</w:t>
      </w:r>
      <w:r w:rsidR="00C63395" w:rsidRPr="00882F11">
        <w:rPr>
          <w:rFonts w:cs="Guttman Drogolin"/>
          <w:rtl/>
          <w:lang w:bidi="he-IL"/>
        </w:rPr>
        <w:t xml:space="preserve"> </w:t>
      </w:r>
      <w:r w:rsidR="00C63395" w:rsidRPr="00882F11">
        <w:rPr>
          <w:rFonts w:cs="Guttman Drogolin" w:hint="cs"/>
          <w:rtl/>
          <w:lang w:bidi="he-IL"/>
        </w:rPr>
        <w:t>החתיכה</w:t>
      </w:r>
      <w:r w:rsidR="00C63395" w:rsidRPr="00882F11">
        <w:rPr>
          <w:rFonts w:cs="Guttman Drogolin"/>
          <w:rtl/>
          <w:lang w:bidi="he-IL"/>
        </w:rPr>
        <w:t xml:space="preserve"> </w:t>
      </w:r>
      <w:r w:rsidR="00C63395" w:rsidRPr="00882F11">
        <w:rPr>
          <w:rFonts w:cs="Guttman Drogolin" w:hint="cs"/>
          <w:rtl/>
          <w:lang w:bidi="he-IL"/>
        </w:rPr>
        <w:t>נשאר</w:t>
      </w:r>
      <w:r w:rsidR="00C63395" w:rsidRPr="00882F11">
        <w:rPr>
          <w:rFonts w:cs="Guttman Drogolin"/>
          <w:rtl/>
          <w:lang w:bidi="he-IL"/>
        </w:rPr>
        <w:t xml:space="preserve"> </w:t>
      </w:r>
      <w:r w:rsidR="00C63395" w:rsidRPr="00882F11">
        <w:rPr>
          <w:rFonts w:cs="Guttman Drogolin" w:hint="cs"/>
          <w:rtl/>
          <w:lang w:bidi="he-IL"/>
        </w:rPr>
        <w:t>אסור</w:t>
      </w:r>
      <w:r w:rsidR="00C63395" w:rsidRPr="00882F11">
        <w:rPr>
          <w:rFonts w:cs="Guttman Drogolin"/>
          <w:rtl/>
          <w:lang w:bidi="he-IL"/>
        </w:rPr>
        <w:t xml:space="preserve"> </w:t>
      </w:r>
      <w:r w:rsidR="00C63395" w:rsidRPr="00882F11">
        <w:rPr>
          <w:rFonts w:cs="Guttman Drogolin" w:hint="cs"/>
          <w:rtl/>
          <w:lang w:bidi="he-IL"/>
        </w:rPr>
        <w:t>וכדעת</w:t>
      </w:r>
      <w:r w:rsidR="00C63395" w:rsidRPr="00882F11">
        <w:rPr>
          <w:rFonts w:cs="Guttman Drogolin"/>
          <w:rtl/>
          <w:lang w:bidi="he-IL"/>
        </w:rPr>
        <w:t xml:space="preserve"> </w:t>
      </w:r>
      <w:r w:rsidR="00C63395" w:rsidRPr="00882F11">
        <w:rPr>
          <w:rFonts w:cs="Guttman Drogolin" w:hint="cs"/>
          <w:rtl/>
          <w:lang w:bidi="he-IL"/>
        </w:rPr>
        <w:t>המחבר</w:t>
      </w:r>
      <w:r w:rsidR="00C63395" w:rsidRPr="00882F11">
        <w:rPr>
          <w:rFonts w:cs="Guttman Drogolin"/>
          <w:rtl/>
          <w:lang w:bidi="he-IL"/>
        </w:rPr>
        <w:t xml:space="preserve"> </w:t>
      </w:r>
      <w:r w:rsidR="00C63395" w:rsidRPr="00882F11">
        <w:rPr>
          <w:rFonts w:cs="Guttman Drogolin" w:hint="cs"/>
          <w:rtl/>
          <w:lang w:bidi="he-IL"/>
        </w:rPr>
        <w:t>בסי</w:t>
      </w:r>
      <w:r w:rsidR="00C63395" w:rsidRPr="00882F11">
        <w:rPr>
          <w:rFonts w:cs="Guttman Drogolin"/>
          <w:rtl/>
          <w:lang w:bidi="he-IL"/>
        </w:rPr>
        <w:t xml:space="preserve">' </w:t>
      </w:r>
      <w:r w:rsidR="00C63395" w:rsidRPr="00882F11">
        <w:rPr>
          <w:rFonts w:cs="Guttman Drogolin" w:hint="cs"/>
          <w:rtl/>
          <w:lang w:bidi="he-IL"/>
        </w:rPr>
        <w:t>ק</w:t>
      </w:r>
      <w:r w:rsidR="00C63395" w:rsidRPr="00882F11">
        <w:rPr>
          <w:rFonts w:cs="Guttman Drogolin"/>
          <w:rtl/>
          <w:lang w:bidi="he-IL"/>
        </w:rPr>
        <w:t>"</w:t>
      </w:r>
      <w:r w:rsidR="00C63395" w:rsidRPr="00882F11">
        <w:rPr>
          <w:rFonts w:cs="Guttman Drogolin" w:hint="cs"/>
          <w:rtl/>
          <w:lang w:bidi="he-IL"/>
        </w:rPr>
        <w:t>ו</w:t>
      </w:r>
      <w:r w:rsidR="00C63395" w:rsidRPr="00882F11">
        <w:rPr>
          <w:rFonts w:cs="Guttman Drogolin"/>
          <w:rtl/>
          <w:lang w:bidi="he-IL"/>
        </w:rPr>
        <w:t xml:space="preserve"> </w:t>
      </w:r>
      <w:r w:rsidR="00C63395" w:rsidRPr="00882F11">
        <w:rPr>
          <w:rFonts w:cs="Guttman Drogolin" w:hint="cs"/>
          <w:rtl/>
          <w:lang w:bidi="he-IL"/>
        </w:rPr>
        <w:t>שאפילו</w:t>
      </w:r>
      <w:r w:rsidR="00C63395" w:rsidRPr="00882F11">
        <w:rPr>
          <w:rFonts w:cs="Guttman Drogolin"/>
          <w:rtl/>
          <w:lang w:bidi="he-IL"/>
        </w:rPr>
        <w:t xml:space="preserve"> </w:t>
      </w:r>
      <w:r w:rsidR="00C63395" w:rsidRPr="00882F11">
        <w:rPr>
          <w:rFonts w:cs="Guttman Drogolin" w:hint="cs"/>
          <w:rtl/>
          <w:lang w:bidi="he-IL"/>
        </w:rPr>
        <w:t>לר</w:t>
      </w:r>
      <w:r w:rsidR="00C63395" w:rsidRPr="00882F11">
        <w:rPr>
          <w:rFonts w:cs="Guttman Drogolin"/>
          <w:rtl/>
          <w:lang w:bidi="he-IL"/>
        </w:rPr>
        <w:t xml:space="preserve">' </w:t>
      </w:r>
      <w:r w:rsidR="00C63395" w:rsidRPr="00882F11">
        <w:rPr>
          <w:rFonts w:cs="Guttman Drogolin" w:hint="cs"/>
          <w:rtl/>
          <w:lang w:bidi="he-IL"/>
        </w:rPr>
        <w:t>אפרים</w:t>
      </w:r>
      <w:r w:rsidR="00C63395" w:rsidRPr="00882F11">
        <w:rPr>
          <w:rFonts w:cs="Guttman Drogolin"/>
          <w:rtl/>
          <w:lang w:bidi="he-IL"/>
        </w:rPr>
        <w:t xml:space="preserve"> </w:t>
      </w:r>
      <w:r w:rsidR="00C63395" w:rsidRPr="00882F11">
        <w:rPr>
          <w:rFonts w:cs="Guttman Drogolin" w:hint="cs"/>
          <w:rtl/>
          <w:lang w:bidi="he-IL"/>
        </w:rPr>
        <w:t>הרי</w:t>
      </w:r>
      <w:r w:rsidR="00C63395" w:rsidRPr="00882F11">
        <w:rPr>
          <w:rFonts w:cs="Guttman Drogolin"/>
          <w:rtl/>
          <w:lang w:bidi="he-IL"/>
        </w:rPr>
        <w:t xml:space="preserve"> </w:t>
      </w:r>
      <w:r w:rsidR="00C63395" w:rsidRPr="00882F11">
        <w:rPr>
          <w:rFonts w:cs="Guttman Drogolin" w:hint="cs"/>
          <w:rtl/>
          <w:lang w:bidi="he-IL"/>
        </w:rPr>
        <w:t>היא</w:t>
      </w:r>
      <w:r w:rsidR="00C63395" w:rsidRPr="00882F11">
        <w:rPr>
          <w:rFonts w:cs="Guttman Drogolin"/>
          <w:rtl/>
          <w:lang w:bidi="he-IL"/>
        </w:rPr>
        <w:t xml:space="preserve"> </w:t>
      </w:r>
      <w:r w:rsidR="00C63395" w:rsidRPr="00882F11">
        <w:rPr>
          <w:rFonts w:cs="Guttman Drogolin" w:hint="cs"/>
          <w:rtl/>
          <w:lang w:bidi="he-IL"/>
        </w:rPr>
        <w:t>נשארת</w:t>
      </w:r>
      <w:r w:rsidR="00C63395" w:rsidRPr="00882F11">
        <w:rPr>
          <w:rFonts w:cs="Guttman Drogolin"/>
          <w:rtl/>
          <w:lang w:bidi="he-IL"/>
        </w:rPr>
        <w:t xml:space="preserve"> </w:t>
      </w:r>
      <w:r w:rsidR="00C63395" w:rsidRPr="00882F11">
        <w:rPr>
          <w:rFonts w:cs="Guttman Drogolin" w:hint="cs"/>
          <w:rtl/>
          <w:lang w:bidi="he-IL"/>
        </w:rPr>
        <w:t xml:space="preserve">באיסורה. </w:t>
      </w:r>
      <w:r w:rsidR="00D160E5" w:rsidRPr="00882F11">
        <w:rPr>
          <w:rFonts w:cs="Guttman Drogolin" w:hint="cs"/>
          <w:rtl/>
          <w:lang w:bidi="he-IL"/>
        </w:rPr>
        <w:t>והנ"מ כשאין האיסור דבוק, אבל באיסור דבוק יש להחמיר.</w:t>
      </w:r>
      <w:r w:rsidR="00F921E2" w:rsidRPr="00882F11">
        <w:rPr>
          <w:rFonts w:cs="Guttman Drogolin" w:hint="cs"/>
          <w:rtl/>
          <w:lang w:bidi="he-IL"/>
        </w:rPr>
        <w:t xml:space="preserve"> ולפי ביאורו של הש"ך בדברי הרמ"א לעיל בסע' ב' הכוונה כאן לומר שבב"ח אנחנו מחמירים ביו כשיטת ר"י ובין כשיטת רש"י, ולכן צריכים ששים כנגד הטיפת חלב (כר"י) וכן החתיכה עצמה נאסרת</w:t>
      </w:r>
      <w:r w:rsidR="0095606D" w:rsidRPr="00882F11">
        <w:rPr>
          <w:rFonts w:cs="Guttman Drogolin" w:hint="cs"/>
          <w:rtl/>
          <w:lang w:bidi="he-IL"/>
        </w:rPr>
        <w:t xml:space="preserve"> </w:t>
      </w:r>
      <w:r w:rsidR="00F921E2" w:rsidRPr="00882F11">
        <w:rPr>
          <w:rFonts w:cs="Guttman Drogolin" w:hint="cs"/>
          <w:rtl/>
          <w:lang w:bidi="he-IL"/>
        </w:rPr>
        <w:t>(כרש"י)</w:t>
      </w:r>
      <w:r w:rsidR="00F106C9" w:rsidRPr="00882F11">
        <w:rPr>
          <w:rStyle w:val="FootnoteReference"/>
          <w:rFonts w:cs="Guttman Drogolin"/>
          <w:rtl/>
          <w:lang w:bidi="he-IL"/>
        </w:rPr>
        <w:footnoteReference w:id="256"/>
      </w:r>
      <w:r w:rsidR="00F921E2" w:rsidRPr="00882F11">
        <w:rPr>
          <w:rFonts w:cs="Guttman Drogolin" w:hint="cs"/>
          <w:rtl/>
          <w:lang w:bidi="he-IL"/>
        </w:rPr>
        <w:t>. אבל הט"ז שם כתב שכוונת הרמ"א לפי' מחודש</w:t>
      </w:r>
      <w:r w:rsidR="00903350" w:rsidRPr="00882F11">
        <w:rPr>
          <w:rFonts w:cs="Guttman Drogolin" w:hint="cs"/>
          <w:rtl/>
          <w:lang w:bidi="he-IL"/>
        </w:rPr>
        <w:t xml:space="preserve"> </w:t>
      </w:r>
      <w:r w:rsidR="00F106C9" w:rsidRPr="00882F11">
        <w:rPr>
          <w:rFonts w:cs="Guttman Drogolin" w:hint="cs"/>
          <w:rtl/>
          <w:lang w:bidi="he-IL"/>
        </w:rPr>
        <w:t xml:space="preserve">בשיטת ר"י, ולכן הקשה הט"ז עצמו שדברי הרמ"א בסע' ב' לפי פירושו אינם מטעימים לדבריו בסע' ד'. </w:t>
      </w:r>
    </w:p>
    <w:p w:rsidR="009109F3" w:rsidRPr="00882F11" w:rsidRDefault="0090412A" w:rsidP="00223069">
      <w:pPr>
        <w:tabs>
          <w:tab w:val="right" w:pos="7497"/>
        </w:tabs>
        <w:bidi/>
        <w:jc w:val="both"/>
        <w:rPr>
          <w:rFonts w:cs="Guttman Drogolin"/>
          <w:rtl/>
          <w:lang w:bidi="he-IL"/>
        </w:rPr>
      </w:pPr>
      <w:r w:rsidRPr="00882F11">
        <w:rPr>
          <w:rFonts w:cs="Guttman Drogolin" w:hint="cs"/>
          <w:rtl/>
          <w:lang w:bidi="he-IL"/>
        </w:rPr>
        <w:t>ובזה שמחמירים גם כשיטת רש"י, יל"ע עד כמה אוסרים החתיכה לשיטתו, שהרי הבאנו כמה פירושים בשיטת רש"י. והט"ז כתב שהחתיכה מיד אוסרת את שאר קדרה אא"כ יש ששים כנגדו כיון שאומרים חענ"ן בחתיכה ההיא. והש"ך בס"ק י"ג כתב שגם לשיטת רש"י אין הקדרה נאסרת אא"כ ניער או כיסה. ויל"ע היכי קיי"ל בענין זה</w:t>
      </w:r>
      <w:r w:rsidR="00223069" w:rsidRPr="00882F11">
        <w:rPr>
          <w:rFonts w:cs="Guttman Drogolin" w:hint="cs"/>
          <w:rtl/>
          <w:lang w:bidi="he-IL"/>
        </w:rPr>
        <w:t>. ובפר"ח ס"ק ט"ו ג"כ נקט שלשיטת רש"י אין התבשיל נאסר, וכ"כ בחכמ"א כלל מ"ד ד"א. ולכן נראה העיקר עכ"פ להקל כדבריהם, בפרט בדבר שאינו אלא מחלוקת, דהא לר"י הכל מותר. ויל"ע אם יש מקום להקל גם כשיטת המרדכי הנ"ל</w:t>
      </w:r>
      <w:r w:rsidR="00223069" w:rsidRPr="00882F11">
        <w:rPr>
          <w:rStyle w:val="FootnoteReference"/>
          <w:rFonts w:cs="Guttman Drogolin"/>
          <w:rtl/>
          <w:lang w:bidi="he-IL"/>
        </w:rPr>
        <w:footnoteReference w:id="257"/>
      </w:r>
      <w:r w:rsidR="00223069" w:rsidRPr="00882F11">
        <w:rPr>
          <w:rFonts w:cs="Guttman Drogolin" w:hint="cs"/>
          <w:rtl/>
          <w:lang w:bidi="he-IL"/>
        </w:rPr>
        <w:t>.</w:t>
      </w:r>
    </w:p>
    <w:p w:rsidR="009109F3" w:rsidRPr="00882F11" w:rsidRDefault="009109F3" w:rsidP="0078079C">
      <w:pPr>
        <w:pStyle w:val="Heading1"/>
        <w:bidi/>
        <w:spacing w:before="0" w:line="360" w:lineRule="auto"/>
        <w:jc w:val="center"/>
        <w:rPr>
          <w:rFonts w:cs="Guttman Drogolin"/>
          <w:color w:val="auto"/>
          <w:sz w:val="24"/>
          <w:szCs w:val="24"/>
          <w:u w:val="single"/>
          <w:rtl/>
          <w:lang w:bidi="he-IL"/>
        </w:rPr>
      </w:pPr>
      <w:bookmarkStart w:id="210" w:name="_Toc496175465"/>
      <w:r w:rsidRPr="00882F11">
        <w:rPr>
          <w:rFonts w:cs="Guttman Drogolin" w:hint="cs"/>
          <w:color w:val="auto"/>
          <w:sz w:val="24"/>
          <w:szCs w:val="24"/>
          <w:u w:val="single"/>
          <w:rtl/>
          <w:lang w:bidi="he-IL"/>
        </w:rPr>
        <w:t>חענ"ן בלח בלח</w:t>
      </w:r>
      <w:bookmarkEnd w:id="210"/>
    </w:p>
    <w:p w:rsidR="00CB7523" w:rsidRPr="00882F11" w:rsidRDefault="005E1A06" w:rsidP="007750C3">
      <w:pPr>
        <w:tabs>
          <w:tab w:val="right" w:pos="7497"/>
        </w:tabs>
        <w:bidi/>
        <w:jc w:val="both"/>
        <w:rPr>
          <w:rFonts w:cs="Guttman Drogolin"/>
          <w:rtl/>
          <w:lang w:bidi="he-IL"/>
        </w:rPr>
      </w:pPr>
      <w:r>
        <w:rPr>
          <w:rFonts w:cs="Guttman Drogolin"/>
          <w:rtl/>
          <w:lang w:bidi="he-IL"/>
        </w:rPr>
        <w:fldChar w:fldCharType="begin"/>
      </w:r>
      <w:r>
        <w:instrText xml:space="preserve"> XE "</w:instrText>
      </w:r>
      <w:r w:rsidRPr="00951E73">
        <w:rPr>
          <w:rFonts w:hint="cs"/>
          <w:rtl/>
          <w:lang w:bidi="he-IL"/>
        </w:rPr>
        <w:instrText>חענ</w:instrText>
      </w:r>
      <w:r>
        <w:rPr>
          <w:rFonts w:eastAsiaTheme="minorEastAsia"/>
          <w:lang w:bidi="he-IL"/>
        </w:rPr>
        <w:instrText>\</w:instrText>
      </w:r>
      <w:r w:rsidRPr="00951E73">
        <w:rPr>
          <w:rFonts w:hint="cs"/>
          <w:rtl/>
          <w:lang w:bidi="he-IL"/>
        </w:rPr>
        <w:instrText>"ן</w:instrText>
      </w:r>
      <w:r w:rsidRPr="00951E73">
        <w:rPr>
          <w:rtl/>
        </w:rPr>
        <w:instrText>:</w:instrText>
      </w:r>
      <w:r w:rsidRPr="00951E73">
        <w:rPr>
          <w:rFonts w:hint="cs"/>
          <w:rtl/>
          <w:lang w:bidi="he-IL"/>
        </w:rPr>
        <w:instrText>בלח בלח</w:instrText>
      </w:r>
      <w:r>
        <w:instrText xml:space="preserve">" </w:instrText>
      </w:r>
      <w:r>
        <w:rPr>
          <w:rFonts w:cs="Guttman Drogolin"/>
          <w:rtl/>
          <w:lang w:bidi="he-IL"/>
        </w:rPr>
        <w:fldChar w:fldCharType="end"/>
      </w:r>
      <w:r w:rsidR="009109F3" w:rsidRPr="00882F11">
        <w:rPr>
          <w:rFonts w:cs="Guttman Drogolin" w:hint="cs"/>
          <w:rtl/>
          <w:lang w:bidi="he-IL"/>
        </w:rPr>
        <w:t xml:space="preserve">הוסיף הרמ"א וכתב שאם מדובר בלח בלח בשאר איסורים יש מקום להקל בהפ"מ. והיינו שאמנם </w:t>
      </w:r>
      <w:r w:rsidR="009109F3" w:rsidRPr="00882F11">
        <w:rPr>
          <w:rFonts w:cs="Guttman Drogolin" w:hint="cs"/>
          <w:rtl/>
          <w:lang w:bidi="he-IL"/>
        </w:rPr>
        <w:lastRenderedPageBreak/>
        <w:t>אין אנו מקיליים בחענ"ן בשאר איסורים אפילו במקום הפ"מ, מ"מ כשיש לנו עוד סניף להקל כמו השיטה הסוברת</w:t>
      </w:r>
      <w:r w:rsidR="00956879" w:rsidRPr="00882F11">
        <w:rPr>
          <w:rFonts w:cs="Guttman Drogolin" w:hint="cs"/>
          <w:rtl/>
          <w:lang w:bidi="he-IL"/>
        </w:rPr>
        <w:t xml:space="preserve"> שאין חענ"ן בלח בלח, אפשר להקל בהפ"מ. וזה שונה מחתיכה שמקצתה בתוך הרוטב, שבזה הקיל הרמ"א בשאר איסורים אפילו שלא במקום הפסד, וכנראה הטעם משום </w:t>
      </w:r>
      <w:r w:rsidR="00C63395" w:rsidRPr="00882F11">
        <w:rPr>
          <w:rFonts w:cs="Guttman Drogolin" w:hint="cs"/>
          <w:rtl/>
          <w:lang w:bidi="he-IL"/>
        </w:rPr>
        <w:t xml:space="preserve">שהשיטה הסוברת אין חענ"ן בלח בלח אינו מספיק בר סמכא לסמוך עליו כמו שיטת ר"י. </w:t>
      </w:r>
      <w:r w:rsidR="00CB7523" w:rsidRPr="00882F11">
        <w:rPr>
          <w:rFonts w:cs="Guttman Drogolin" w:hint="cs"/>
          <w:rtl/>
          <w:lang w:bidi="he-IL"/>
        </w:rPr>
        <w:t>ואולי הי' משמע</w:t>
      </w:r>
      <w:r w:rsidR="00C63395" w:rsidRPr="00882F11">
        <w:rPr>
          <w:rFonts w:cs="Guttman Drogolin" w:hint="cs"/>
          <w:rtl/>
          <w:lang w:bidi="he-IL"/>
        </w:rPr>
        <w:t xml:space="preserve"> </w:t>
      </w:r>
      <w:r w:rsidR="00CB7523" w:rsidRPr="00882F11">
        <w:rPr>
          <w:rFonts w:cs="Guttman Drogolin" w:hint="cs"/>
          <w:rtl/>
          <w:lang w:bidi="he-IL"/>
        </w:rPr>
        <w:t>מ</w:t>
      </w:r>
      <w:r w:rsidR="00C63395" w:rsidRPr="00882F11">
        <w:rPr>
          <w:rFonts w:cs="Guttman Drogolin" w:hint="cs"/>
          <w:rtl/>
          <w:lang w:bidi="he-IL"/>
        </w:rPr>
        <w:t xml:space="preserve">דברי הרמ"א וכן הש"ך (ס"ק ט"ו) בשם ספר אפי רברבי שהטעם שמחמירים בלח בלח בב"ח משום שכיון שאין לנו שיטת ר' אפרים לתוספת סניף לקולא. והעיר הש"ך שלכאורה בב"ח כן הוא מדינא, שאין מקום להקל בלח בלח בבב"ח. והוכיח שכן הדין משום דלכאורה זהו חלב נבילה, ור"ל שבחלב נבילה הטעם בשר מן החתיכה נבלע בחלב, ולכן הרי זה לח בלח ומ"מ החלב נע"נ. </w:t>
      </w:r>
      <w:r w:rsidR="008A6E1A" w:rsidRPr="00882F11">
        <w:rPr>
          <w:rFonts w:cs="Guttman Drogolin" w:hint="cs"/>
          <w:rtl/>
          <w:lang w:bidi="he-IL"/>
        </w:rPr>
        <w:t>וכבר העירו הראשונים בקושיא זו, ותי' הרמב"ן (ק"ח ע"ב [מעיקרא בסוף המס'] ד"ה וזו מוצאינו)</w:t>
      </w:r>
      <w:r w:rsidR="00956879" w:rsidRPr="00882F11">
        <w:rPr>
          <w:rFonts w:cs="Guttman Drogolin" w:hint="cs"/>
          <w:rtl/>
          <w:lang w:bidi="he-IL"/>
        </w:rPr>
        <w:t xml:space="preserve"> </w:t>
      </w:r>
      <w:r w:rsidR="008A6E1A" w:rsidRPr="00882F11">
        <w:rPr>
          <w:rFonts w:cs="Guttman Drogolin" w:hint="cs"/>
          <w:rtl/>
          <w:lang w:bidi="he-IL"/>
        </w:rPr>
        <w:t xml:space="preserve">ותי' שנתבשלו שאני. </w:t>
      </w:r>
      <w:r w:rsidR="00CB7523" w:rsidRPr="00882F11">
        <w:rPr>
          <w:rFonts w:cs="Guttman Drogolin" w:hint="cs"/>
          <w:rtl/>
          <w:lang w:bidi="he-IL"/>
        </w:rPr>
        <w:t>וכן הביא בט"ז ס"ק ט"ו מרש"ל שהה"נ בשאר איסורים אם הוא דרך בישול יש לאסו</w:t>
      </w:r>
      <w:r w:rsidR="007750C3" w:rsidRPr="00882F11">
        <w:rPr>
          <w:rFonts w:cs="Guttman Drogolin" w:hint="cs"/>
          <w:rtl/>
          <w:lang w:bidi="he-IL"/>
        </w:rPr>
        <w:t>ר</w:t>
      </w:r>
      <w:r w:rsidR="00CB7523" w:rsidRPr="00882F11">
        <w:rPr>
          <w:rFonts w:cs="Guttman Drogolin" w:hint="cs"/>
          <w:rtl/>
          <w:lang w:bidi="he-IL"/>
        </w:rPr>
        <w:t xml:space="preserve"> חענ"ן בשאר איסורים אפילו במקום הפ"מ. אבל בשו"ת נובי"ת סי' מ"ט הבין שמן הש"ך מדויק שלא אסרו אלא בב"ח ולא בכל דרך בישול, והביאו הפת"ש ס"ק ב'.</w:t>
      </w:r>
    </w:p>
    <w:p w:rsidR="00CB7523" w:rsidRPr="00882F11" w:rsidRDefault="00CB7523" w:rsidP="0078079C">
      <w:pPr>
        <w:pStyle w:val="Heading1"/>
        <w:bidi/>
        <w:spacing w:before="0" w:line="360" w:lineRule="auto"/>
        <w:jc w:val="center"/>
        <w:rPr>
          <w:rFonts w:cs="Guttman Drogolin"/>
          <w:color w:val="auto"/>
          <w:sz w:val="24"/>
          <w:szCs w:val="24"/>
          <w:u w:val="single"/>
          <w:rtl/>
          <w:lang w:bidi="he-IL"/>
        </w:rPr>
      </w:pPr>
      <w:bookmarkStart w:id="211" w:name="_Toc496175466"/>
      <w:r w:rsidRPr="00882F11">
        <w:rPr>
          <w:rFonts w:cs="Guttman Drogolin" w:hint="cs"/>
          <w:color w:val="auto"/>
          <w:sz w:val="24"/>
          <w:szCs w:val="24"/>
          <w:u w:val="single"/>
          <w:rtl/>
          <w:lang w:bidi="he-IL"/>
        </w:rPr>
        <w:t>חענ"ן כשאינו ידוע על איזה חתיכה נפל</w:t>
      </w:r>
      <w:bookmarkEnd w:id="211"/>
    </w:p>
    <w:p w:rsidR="00171546" w:rsidRPr="00882F11" w:rsidRDefault="005E1A06" w:rsidP="000C18B9">
      <w:pPr>
        <w:tabs>
          <w:tab w:val="right" w:pos="7497"/>
        </w:tabs>
        <w:bidi/>
        <w:jc w:val="both"/>
        <w:rPr>
          <w:rFonts w:cs="Guttman Drogolin"/>
          <w:rtl/>
          <w:lang w:bidi="he-IL"/>
        </w:rPr>
      </w:pPr>
      <w:r>
        <w:rPr>
          <w:rFonts w:cs="Guttman Drogolin"/>
          <w:rtl/>
          <w:lang w:bidi="he-IL"/>
        </w:rPr>
        <w:fldChar w:fldCharType="begin"/>
      </w:r>
      <w:r>
        <w:instrText xml:space="preserve"> XE "</w:instrText>
      </w:r>
      <w:r w:rsidRPr="009C339C">
        <w:rPr>
          <w:rFonts w:hint="cs"/>
          <w:rtl/>
          <w:lang w:bidi="he-IL"/>
        </w:rPr>
        <w:instrText>חענ</w:instrText>
      </w:r>
      <w:r>
        <w:rPr>
          <w:rFonts w:eastAsiaTheme="minorEastAsia"/>
          <w:lang w:bidi="he-IL"/>
        </w:rPr>
        <w:instrText>\</w:instrText>
      </w:r>
      <w:r w:rsidRPr="009C339C">
        <w:rPr>
          <w:rFonts w:hint="cs"/>
          <w:rtl/>
          <w:lang w:bidi="he-IL"/>
        </w:rPr>
        <w:instrText>"ן</w:instrText>
      </w:r>
      <w:r w:rsidRPr="009C339C">
        <w:rPr>
          <w:rtl/>
        </w:rPr>
        <w:instrText>:</w:instrText>
      </w:r>
      <w:r w:rsidRPr="009C339C">
        <w:rPr>
          <w:rFonts w:hint="cs"/>
          <w:rtl/>
          <w:lang w:bidi="he-IL"/>
        </w:rPr>
        <w:instrText>כשאינו ידוע על איזה חתיכה נפל</w:instrText>
      </w:r>
      <w:r>
        <w:instrText xml:space="preserve">" </w:instrText>
      </w:r>
      <w:r>
        <w:rPr>
          <w:rFonts w:cs="Guttman Drogolin"/>
          <w:rtl/>
          <w:lang w:bidi="he-IL"/>
        </w:rPr>
        <w:fldChar w:fldCharType="end"/>
      </w:r>
      <w:r w:rsidR="005C09F5" w:rsidRPr="00882F11">
        <w:rPr>
          <w:rFonts w:cs="Guttman Drogolin" w:hint="cs"/>
          <w:rtl/>
          <w:lang w:bidi="he-IL"/>
        </w:rPr>
        <w:t>לעיל בסוף סע</w:t>
      </w:r>
      <w:r w:rsidR="00171546" w:rsidRPr="00882F11">
        <w:rPr>
          <w:rFonts w:cs="Guttman Drogolin" w:hint="cs"/>
          <w:rtl/>
          <w:lang w:bidi="he-IL"/>
        </w:rPr>
        <w:t>'</w:t>
      </w:r>
      <w:r w:rsidR="005C09F5" w:rsidRPr="00882F11">
        <w:rPr>
          <w:rFonts w:cs="Guttman Drogolin" w:hint="cs"/>
          <w:rtl/>
          <w:lang w:bidi="he-IL"/>
        </w:rPr>
        <w:t xml:space="preserve"> ב' כתב השו"ע שאם נפל טיפת חלב ע"ג </w:t>
      </w:r>
      <w:r w:rsidR="00BA5D5A" w:rsidRPr="00882F11">
        <w:rPr>
          <w:rFonts w:cs="Guttman Drogolin" w:hint="cs"/>
          <w:rtl/>
          <w:lang w:bidi="he-IL"/>
        </w:rPr>
        <w:t>חתיכה א' ואינו יודע על איזה חתיכה נפל, שיכול לנער את הקדירה כולה עד שישוב ויתערב הכל ואם יש ס' כנגד הטי</w:t>
      </w:r>
      <w:r w:rsidR="00724C44" w:rsidRPr="00882F11">
        <w:rPr>
          <w:rFonts w:cs="Guttman Drogolin" w:hint="cs"/>
          <w:rtl/>
          <w:lang w:bidi="he-IL"/>
        </w:rPr>
        <w:t>פ</w:t>
      </w:r>
      <w:r w:rsidR="00BA5D5A" w:rsidRPr="00882F11">
        <w:rPr>
          <w:rFonts w:cs="Guttman Drogolin" w:hint="cs"/>
          <w:rtl/>
          <w:lang w:bidi="he-IL"/>
        </w:rPr>
        <w:t xml:space="preserve">ת חלב הרי הוא מותר. ומקור הוראה זו ברמב"ם ובב"י הביא ממהר"י ן' חביב לפרש שאין כוונת הרמב"ם לומר שיוכל לערבו לאחר שנפל בו, אבל הרבה מפרשים נקטו שדברי הרמב"ם הם דוקא, ואפילו לאחר מכן יכול לערבו ולהתירו. והרה"מ בפ"ט </w:t>
      </w:r>
      <w:r w:rsidR="00724C44" w:rsidRPr="00882F11">
        <w:rPr>
          <w:rFonts w:cs="Guttman Drogolin" w:hint="cs"/>
          <w:rtl/>
          <w:lang w:bidi="he-IL"/>
        </w:rPr>
        <w:t xml:space="preserve">ה"ח </w:t>
      </w:r>
      <w:r w:rsidR="00724C44" w:rsidRPr="00882F11">
        <w:rPr>
          <w:rFonts w:cs="Guttman Drogolin"/>
          <w:rtl/>
          <w:lang w:bidi="he-IL"/>
        </w:rPr>
        <w:t>–</w:t>
      </w:r>
      <w:r w:rsidR="00724C44" w:rsidRPr="00882F11">
        <w:rPr>
          <w:rFonts w:cs="Guttman Drogolin" w:hint="cs"/>
          <w:rtl/>
          <w:lang w:bidi="he-IL"/>
        </w:rPr>
        <w:t xml:space="preserve"> י' ביאר</w:t>
      </w:r>
      <w:r w:rsidR="000E063D" w:rsidRPr="00882F11">
        <w:rPr>
          <w:rFonts w:cs="Guttman Drogolin" w:hint="cs"/>
          <w:rtl/>
          <w:lang w:bidi="he-IL"/>
        </w:rPr>
        <w:t xml:space="preserve"> </w:t>
      </w:r>
      <w:r w:rsidR="00724C44" w:rsidRPr="00882F11">
        <w:rPr>
          <w:rFonts w:cs="Guttman Drogolin" w:hint="cs"/>
          <w:rtl/>
          <w:lang w:bidi="he-IL"/>
        </w:rPr>
        <w:t xml:space="preserve">דלא אמרינן חענ"ן כשלא נודע איזו חתיכה </w:t>
      </w:r>
      <w:r w:rsidR="00724C44" w:rsidRPr="00882F11">
        <w:rPr>
          <w:rFonts w:cs="Guttman Drogolin" w:hint="cs"/>
          <w:rtl/>
          <w:lang w:bidi="he-IL"/>
        </w:rPr>
        <w:lastRenderedPageBreak/>
        <w:t>היא</w:t>
      </w:r>
      <w:r w:rsidR="000E063D" w:rsidRPr="00882F11">
        <w:rPr>
          <w:rStyle w:val="FootnoteReference"/>
          <w:rFonts w:cs="Guttman Drogolin"/>
          <w:rtl/>
          <w:lang w:bidi="he-IL"/>
        </w:rPr>
        <w:footnoteReference w:id="258"/>
      </w:r>
      <w:r w:rsidR="00724C44" w:rsidRPr="00882F11">
        <w:rPr>
          <w:rFonts w:cs="Guttman Drogolin" w:hint="cs"/>
          <w:rtl/>
          <w:lang w:bidi="he-IL"/>
        </w:rPr>
        <w:t>. וכן הביאו הש"ך והט"ז הביאור הגר"א. אמנם סתמו ולא פירשו לנו למה שיהא הדין כ</w:t>
      </w:r>
      <w:r w:rsidR="000E063D" w:rsidRPr="00882F11">
        <w:rPr>
          <w:rFonts w:cs="Guttman Drogolin" w:hint="cs"/>
          <w:rtl/>
          <w:lang w:bidi="he-IL"/>
        </w:rPr>
        <w:t>ן</w:t>
      </w:r>
      <w:r w:rsidR="00724C44" w:rsidRPr="00882F11">
        <w:rPr>
          <w:rFonts w:cs="Guttman Drogolin" w:hint="cs"/>
          <w:rtl/>
          <w:lang w:bidi="he-IL"/>
        </w:rPr>
        <w:t>, דהא ידעינן שנפל על א' מן החתיכות רק לא ידעינן איזה, וא"כ למה לא יהא או</w:t>
      </w:r>
      <w:r w:rsidR="000E063D" w:rsidRPr="00882F11">
        <w:rPr>
          <w:rFonts w:cs="Guttman Drogolin" w:hint="cs"/>
          <w:rtl/>
          <w:lang w:bidi="he-IL"/>
        </w:rPr>
        <w:t>ת</w:t>
      </w:r>
      <w:r w:rsidR="00724C44" w:rsidRPr="00882F11">
        <w:rPr>
          <w:rFonts w:cs="Guttman Drogolin" w:hint="cs"/>
          <w:rtl/>
          <w:lang w:bidi="he-IL"/>
        </w:rPr>
        <w:t>ה חתיכה נבילה איפה שיהי'.</w:t>
      </w:r>
      <w:r w:rsidR="00171546" w:rsidRPr="00882F11">
        <w:rPr>
          <w:rFonts w:cs="Guttman Drogolin" w:hint="cs"/>
          <w:rtl/>
          <w:lang w:bidi="he-IL"/>
        </w:rPr>
        <w:t xml:space="preserve"> וצ"ע.</w:t>
      </w:r>
    </w:p>
    <w:p w:rsidR="00171546" w:rsidRPr="00882F11" w:rsidRDefault="00171546" w:rsidP="0078079C">
      <w:pPr>
        <w:pStyle w:val="Heading1"/>
        <w:bidi/>
        <w:spacing w:before="0" w:line="360" w:lineRule="auto"/>
        <w:jc w:val="center"/>
        <w:rPr>
          <w:rFonts w:cs="Guttman Drogolin"/>
          <w:color w:val="auto"/>
          <w:sz w:val="24"/>
          <w:szCs w:val="24"/>
          <w:u w:val="single"/>
          <w:rtl/>
          <w:lang w:bidi="he-IL"/>
        </w:rPr>
      </w:pPr>
      <w:bookmarkStart w:id="212" w:name="_Toc496175467"/>
      <w:r w:rsidRPr="00882F11">
        <w:rPr>
          <w:rFonts w:cs="Guttman Drogolin" w:hint="cs"/>
          <w:color w:val="auto"/>
          <w:sz w:val="24"/>
          <w:szCs w:val="24"/>
          <w:u w:val="single"/>
          <w:rtl/>
          <w:lang w:bidi="he-IL"/>
        </w:rPr>
        <w:t>שיטת הראב"ד בדין חענ"ן</w:t>
      </w:r>
      <w:bookmarkEnd w:id="212"/>
    </w:p>
    <w:p w:rsidR="00A12859" w:rsidRPr="00882F11" w:rsidRDefault="005E1A06" w:rsidP="00D56E8E">
      <w:pPr>
        <w:tabs>
          <w:tab w:val="right" w:pos="7497"/>
        </w:tabs>
        <w:bidi/>
        <w:jc w:val="both"/>
        <w:rPr>
          <w:rFonts w:cs="Guttman Drogolin"/>
          <w:rtl/>
          <w:lang w:bidi="he-IL"/>
        </w:rPr>
      </w:pPr>
      <w:r>
        <w:rPr>
          <w:rFonts w:cs="Guttman Drogolin"/>
          <w:rtl/>
          <w:lang w:bidi="he-IL"/>
        </w:rPr>
        <w:fldChar w:fldCharType="begin"/>
      </w:r>
      <w:r>
        <w:instrText xml:space="preserve"> XE "</w:instrText>
      </w:r>
      <w:r w:rsidRPr="00C038CE">
        <w:rPr>
          <w:rFonts w:hint="cs"/>
          <w:rtl/>
          <w:lang w:bidi="he-IL"/>
        </w:rPr>
        <w:instrText>חענ</w:instrText>
      </w:r>
      <w:r>
        <w:rPr>
          <w:rFonts w:eastAsiaTheme="minorEastAsia"/>
          <w:lang w:bidi="he-IL"/>
        </w:rPr>
        <w:instrText>\</w:instrText>
      </w:r>
      <w:r w:rsidRPr="00C038CE">
        <w:rPr>
          <w:rFonts w:hint="cs"/>
          <w:rtl/>
          <w:lang w:bidi="he-IL"/>
        </w:rPr>
        <w:instrText>"ן</w:instrText>
      </w:r>
      <w:r w:rsidRPr="00C038CE">
        <w:rPr>
          <w:rtl/>
        </w:rPr>
        <w:instrText>:</w:instrText>
      </w:r>
      <w:r w:rsidRPr="00C038CE">
        <w:rPr>
          <w:rFonts w:hint="cs"/>
          <w:rtl/>
          <w:lang w:bidi="he-IL"/>
        </w:rPr>
        <w:instrText>שיטת הראב</w:instrText>
      </w:r>
      <w:r>
        <w:rPr>
          <w:rFonts w:eastAsiaTheme="minorEastAsia"/>
          <w:lang w:bidi="he-IL"/>
        </w:rPr>
        <w:instrText>\</w:instrText>
      </w:r>
      <w:r w:rsidRPr="00C038CE">
        <w:rPr>
          <w:rFonts w:hint="cs"/>
          <w:rtl/>
          <w:lang w:bidi="he-IL"/>
        </w:rPr>
        <w:instrText>"ד</w:instrText>
      </w:r>
      <w:r w:rsidR="00D56E8E">
        <w:rPr>
          <w:rFonts w:hint="cs"/>
          <w:rtl/>
          <w:lang w:bidi="he-IL"/>
        </w:rPr>
        <w:instrText>, ובדברי הגר</w:instrText>
      </w:r>
      <w:r w:rsidR="00D56E8E">
        <w:rPr>
          <w:rFonts w:eastAsiaTheme="minorEastAsia"/>
          <w:lang w:bidi="he-IL"/>
        </w:rPr>
        <w:instrText>\</w:instrText>
      </w:r>
      <w:r w:rsidR="00D56E8E">
        <w:rPr>
          <w:rFonts w:eastAsiaTheme="minorEastAsia" w:hint="cs"/>
          <w:rtl/>
          <w:lang w:bidi="he-IL"/>
        </w:rPr>
        <w:instrText>"ח</w:instrText>
      </w:r>
      <w:r>
        <w:instrText xml:space="preserve">" </w:instrText>
      </w:r>
      <w:r>
        <w:rPr>
          <w:rFonts w:cs="Guttman Drogolin"/>
          <w:rtl/>
          <w:lang w:bidi="he-IL"/>
        </w:rPr>
        <w:fldChar w:fldCharType="end"/>
      </w:r>
      <w:r w:rsidR="00171546" w:rsidRPr="00882F11">
        <w:rPr>
          <w:rFonts w:cs="Guttman Drogolin" w:hint="cs"/>
          <w:rtl/>
          <w:lang w:bidi="he-IL"/>
        </w:rPr>
        <w:t xml:space="preserve">הראב"ד בהשגות לפ"ט ה"ט השיג על מש"כ הרמב"ם שצריכים ששים כנגד כל החתיכה </w:t>
      </w:r>
      <w:r w:rsidR="00EC0514" w:rsidRPr="00882F11">
        <w:rPr>
          <w:rFonts w:cs="Guttman Drogolin" w:hint="cs"/>
          <w:rtl/>
          <w:lang w:bidi="he-IL"/>
        </w:rPr>
        <w:t xml:space="preserve">וכתב </w:t>
      </w:r>
      <w:r w:rsidR="001B2DB2" w:rsidRPr="00882F11">
        <w:rPr>
          <w:rFonts w:cs="Guttman Drogolin" w:hint="cs"/>
          <w:rtl/>
          <w:lang w:bidi="he-IL"/>
        </w:rPr>
        <w:t xml:space="preserve">[אם קצת הוספת מילים מדילי לתוספת הסבר] </w:t>
      </w:r>
      <w:r w:rsidR="00171546" w:rsidRPr="00882F11">
        <w:rPr>
          <w:rFonts w:cs="Guttman Drogolin" w:hint="cs"/>
          <w:rtl/>
          <w:lang w:bidi="he-IL"/>
        </w:rPr>
        <w:t xml:space="preserve">"א"א אין אנו אומרים כן שלא שמענו כל החתיכה עצמה נעשית נבלה אלא לדעת ר' יהודה דמחמיר מין במינו אבל לרבנן לא. ולדברי הכל אם לא ניער כלל אין שאר החתיכות נאסרות ומתניתין הכי משמע טיפת חלב שנפלה ע"ג חתיכה ויש בה נותן טעם באותה חתיכה ניער את הקדירה אם יש נותן טעם בכל הקדרה אסורה </w:t>
      </w:r>
      <w:r w:rsidR="00256D83" w:rsidRPr="00882F11">
        <w:rPr>
          <w:rFonts w:cs="Guttman Drogolin" w:hint="cs"/>
          <w:rtl/>
          <w:lang w:bidi="he-IL"/>
        </w:rPr>
        <w:t xml:space="preserve">[עד כאן דברי הגמ', ומעיר הראב"ד] </w:t>
      </w:r>
      <w:r w:rsidR="00171546" w:rsidRPr="00882F11">
        <w:rPr>
          <w:rFonts w:cs="Guttman Drogolin" w:hint="cs"/>
          <w:rtl/>
          <w:lang w:bidi="he-IL"/>
        </w:rPr>
        <w:t xml:space="preserve">למה לי ניער את הקדרה </w:t>
      </w:r>
      <w:r w:rsidR="00EC0514" w:rsidRPr="00882F11">
        <w:rPr>
          <w:rFonts w:cs="Guttman Drogolin" w:hint="cs"/>
          <w:rtl/>
          <w:lang w:bidi="he-IL"/>
        </w:rPr>
        <w:t xml:space="preserve">הלא החתיכה קבלה טעם חלב ונעשית נבלה ובלא ניעור הרי יוצא מאותה חתיכה רוטב לשאר חתיכות והוא </w:t>
      </w:r>
      <w:r w:rsidR="004165E3" w:rsidRPr="00882F11">
        <w:rPr>
          <w:rFonts w:cs="Guttman Drogolin" w:hint="cs"/>
          <w:rtl/>
          <w:lang w:bidi="he-IL"/>
        </w:rPr>
        <w:t>רוטב</w:t>
      </w:r>
      <w:r w:rsidR="00EC0514" w:rsidRPr="00882F11">
        <w:rPr>
          <w:rFonts w:cs="Guttman Drogolin" w:hint="cs"/>
          <w:rtl/>
          <w:lang w:bidi="he-IL"/>
        </w:rPr>
        <w:t xml:space="preserve"> נבילה </w:t>
      </w:r>
      <w:r w:rsidR="004165E3" w:rsidRPr="00882F11">
        <w:rPr>
          <w:rFonts w:cs="Guttman Drogolin" w:hint="cs"/>
          <w:rtl/>
          <w:lang w:bidi="he-IL"/>
        </w:rPr>
        <w:t xml:space="preserve">אלא ש"מ [שבלי ניעור אין החתיכה עצמה אוסרת את שאר החתיכות לכו"ע] דבעינן שיצא מן החלב האסור לחתיכות והוא חלב נבלה </w:t>
      </w:r>
      <w:r w:rsidR="00EC0514" w:rsidRPr="00882F11">
        <w:rPr>
          <w:rFonts w:cs="Guttman Drogolin" w:hint="cs"/>
          <w:rtl/>
          <w:lang w:bidi="he-IL"/>
        </w:rPr>
        <w:t>שקיבל טעם בשר ואם יש באותו חלב כדי ליתן טעם בכל החתיכות אסורות לרבנ</w:t>
      </w:r>
      <w:r w:rsidR="00256D83" w:rsidRPr="00882F11">
        <w:rPr>
          <w:rFonts w:cs="Guttman Drogolin" w:hint="cs"/>
          <w:rtl/>
          <w:lang w:bidi="he-IL"/>
        </w:rPr>
        <w:t>ן</w:t>
      </w:r>
      <w:r w:rsidR="00EC0514" w:rsidRPr="00882F11">
        <w:rPr>
          <w:rFonts w:cs="Guttman Drogolin" w:hint="cs"/>
          <w:rtl/>
          <w:lang w:bidi="he-IL"/>
        </w:rPr>
        <w:t xml:space="preserve"> ולר</w:t>
      </w:r>
      <w:r w:rsidR="004165E3" w:rsidRPr="00882F11">
        <w:rPr>
          <w:rFonts w:cs="Guttman Drogolin" w:hint="cs"/>
          <w:rtl/>
          <w:lang w:bidi="he-IL"/>
        </w:rPr>
        <w:t>'</w:t>
      </w:r>
      <w:r w:rsidR="00EC0514" w:rsidRPr="00882F11">
        <w:rPr>
          <w:rFonts w:cs="Guttman Drogolin" w:hint="cs"/>
          <w:rtl/>
          <w:lang w:bidi="he-IL"/>
        </w:rPr>
        <w:t xml:space="preserve"> יהודה נמי אע"ג דאמר חתיכה עצמה נעשית נבלה </w:t>
      </w:r>
      <w:r w:rsidR="001B2DB2" w:rsidRPr="00882F11">
        <w:rPr>
          <w:rFonts w:cs="Guttman Drogolin" w:hint="cs"/>
          <w:rtl/>
          <w:lang w:bidi="he-IL"/>
        </w:rPr>
        <w:t xml:space="preserve">[ולכן לפי דברינו הי' צריך להיות אסור גם בלי ניעור, וא"כ אין זה דברי הכל ודלא כמש"כ] </w:t>
      </w:r>
      <w:r w:rsidR="00EC0514" w:rsidRPr="00882F11">
        <w:rPr>
          <w:rFonts w:cs="Guttman Drogolin" w:hint="cs"/>
          <w:rtl/>
          <w:lang w:bidi="he-IL"/>
        </w:rPr>
        <w:t>הא אמרינן בגמרא נראין דברי ר"י בשלא ניער והוינן בה מאי לא ניער אי לימא לא ניער כלל מיבלע בלע ולא פליט אלמא אע"ג דאמרינן חתיכה עצמה נעשית נבלה ואוסרת שאר החתיכות במשהו לא אמ' אלא בשניער והוא תימה שהרי יוצא מן החתיכה רוטב בלא שום ניעור ואם היא נבלה מה צורך לניעור שיצא משם חלב</w:t>
      </w:r>
      <w:r w:rsidR="001B2DB2" w:rsidRPr="00882F11">
        <w:rPr>
          <w:rFonts w:cs="Guttman Drogolin" w:hint="cs"/>
          <w:rtl/>
          <w:lang w:bidi="he-IL"/>
        </w:rPr>
        <w:t xml:space="preserve"> [ולכאורה כוונתו כאן בסוף לומר </w:t>
      </w:r>
      <w:r w:rsidR="00A12859" w:rsidRPr="00882F11">
        <w:rPr>
          <w:rFonts w:cs="Guttman Drogolin" w:hint="cs"/>
          <w:rtl/>
          <w:lang w:bidi="he-IL"/>
        </w:rPr>
        <w:t xml:space="preserve">שמצד א' אין זה מובן באמת למה לר' יהודה צריכים ניעור, </w:t>
      </w:r>
      <w:r w:rsidR="00A12859" w:rsidRPr="00882F11">
        <w:rPr>
          <w:rFonts w:cs="Guttman Drogolin" w:hint="cs"/>
          <w:rtl/>
          <w:lang w:bidi="he-IL"/>
        </w:rPr>
        <w:lastRenderedPageBreak/>
        <w:t>אבל מאידך כן מבואר בגמ' שגם לדידי' צריכים ניעור]</w:t>
      </w:r>
      <w:r w:rsidR="00EC0514" w:rsidRPr="00882F11">
        <w:rPr>
          <w:rFonts w:cs="Guttman Drogolin" w:hint="cs"/>
          <w:rtl/>
          <w:lang w:bidi="he-IL"/>
        </w:rPr>
        <w:t>".</w:t>
      </w:r>
      <w:r w:rsidR="00A12859" w:rsidRPr="00882F11">
        <w:rPr>
          <w:rFonts w:cs="Guttman Drogolin" w:hint="cs"/>
          <w:rtl/>
          <w:lang w:bidi="he-IL"/>
        </w:rPr>
        <w:t xml:space="preserve"> </w:t>
      </w:r>
    </w:p>
    <w:p w:rsidR="000F1CBA" w:rsidRPr="00882F11" w:rsidRDefault="00A12859" w:rsidP="00483922">
      <w:pPr>
        <w:tabs>
          <w:tab w:val="right" w:pos="7497"/>
        </w:tabs>
        <w:bidi/>
        <w:jc w:val="both"/>
        <w:rPr>
          <w:rFonts w:cs="Guttman Drogolin"/>
          <w:rtl/>
          <w:lang w:bidi="he-IL"/>
        </w:rPr>
      </w:pPr>
      <w:r w:rsidRPr="00882F11">
        <w:rPr>
          <w:rFonts w:cs="Guttman Drogolin" w:hint="cs"/>
          <w:rtl/>
          <w:lang w:bidi="he-IL"/>
        </w:rPr>
        <w:t>ובחי' ר' חיים הלוי על אתר פי' הפלוגתא שבין הרמב"ם לראב"ד כך, שלכאורה יש להסתפק למה אמרינן חענ"ן, האם זה בגלל שאחרי שבשר וחלב נתנו טעם זה בזה יש כאן ב' חפצים חדשים של איסור שזהו מה שנתחדש בפרשת בב"ח שחלב ובשר שנתבשלו זה בזה נהפכו להיות חפצא דאיסורא. ולכן הוו מעכשיו חפצא דאיסורא וכבר אין צורך מעכשיו שיהא טעם בשר בחלב או להיפך, שזה לא היתה אלא כדי לייצר האיסור דבשר בחלב, אבל אחרי היצור הרי הם אסורים לעולם ועד. או"ד שלעולם ליכא חפצא של דבר הנאסר משום בב"ח אא"כ יש לנו תערובת של בשר וחלב, אבל אחרי ה</w:t>
      </w:r>
      <w:r w:rsidR="000F1CBA" w:rsidRPr="00882F11">
        <w:rPr>
          <w:rFonts w:cs="Guttman Drogolin" w:hint="cs"/>
          <w:rtl/>
          <w:lang w:bidi="he-IL"/>
        </w:rPr>
        <w:t>י</w:t>
      </w:r>
      <w:r w:rsidRPr="00882F11">
        <w:rPr>
          <w:rFonts w:cs="Guttman Drogolin" w:hint="cs"/>
          <w:rtl/>
          <w:lang w:bidi="he-IL"/>
        </w:rPr>
        <w:t xml:space="preserve">פרד א' מן השני כבר אין לנו חתיכה דאיסורא של בב"ח. וא"כ הא דאמרינן חענ"ן, אין זה בגלל </w:t>
      </w:r>
      <w:r w:rsidR="00133DB1" w:rsidRPr="00882F11">
        <w:rPr>
          <w:rFonts w:cs="Guttman Drogolin" w:hint="cs"/>
          <w:rtl/>
          <w:lang w:bidi="he-IL"/>
        </w:rPr>
        <w:t>שזהו חפצא דאיסורא של בב"ח, רק אע"ג שכבר אין לנו חפצא דאיסורא דבב"ח מ"מ כיון שנאסר פעם א' שוב לא פקע איסורי'. ונקט הגר"ח דסבר הראב"ד</w:t>
      </w:r>
      <w:r w:rsidR="00724E7E" w:rsidRPr="00882F11">
        <w:rPr>
          <w:rFonts w:cs="Guttman Drogolin" w:hint="cs"/>
          <w:rtl/>
          <w:lang w:bidi="he-IL"/>
        </w:rPr>
        <w:t xml:space="preserve"> כמו הפירוש השני. ולכן ביאר הגר"ח </w:t>
      </w:r>
      <w:r w:rsidR="000F1CBA" w:rsidRPr="00882F11">
        <w:rPr>
          <w:rFonts w:cs="Guttman Drogolin" w:hint="cs"/>
          <w:rtl/>
          <w:lang w:bidi="he-IL"/>
        </w:rPr>
        <w:t>דכיון שאין כאן דבר שאסור בעצם רק שחל עליו איסור וכיון שחל תו לא פקע, יש לחלק בין טעם כעיקר למין במינו לא בטל. והוא שבדין טכ"ע לא נאר הלכה שהטעם לא בטל, רק אע"פ שחל עליו ביטול הרי הוא אוסר כיון שמרגיש טעמו. ולכן כיון שאין כן בשר בחלב, רק שיש כאן חפצא שלא פקע איסורו לאחר שחל עליו איסור לא אמרינן בי' טכ"ע. אחרת היא דין מין במינו לא בטל אליבא דר' יהודה, שבזה אמרינן שהמשהו לא בטל, וכיון שחל על המשהו הזה איסור ולא פקע מיני' האיסור, יש לאסור. ולכן סבר הראב"ד שרק לר' יהודה י"ל חענ"ן, משום שרק לדידי' י"ל שהחתיכה אוסרת אע"ג שאין כאן חפצא דאיסורא, אבל לרבנן אפילו אם החתיכה נותן טעם בתבשיל לא יאסור וכמש"נ.</w:t>
      </w:r>
    </w:p>
    <w:p w:rsidR="00132D09" w:rsidRPr="00882F11" w:rsidRDefault="000F1CBA" w:rsidP="000F1CBA">
      <w:pPr>
        <w:tabs>
          <w:tab w:val="right" w:pos="7497"/>
        </w:tabs>
        <w:bidi/>
        <w:jc w:val="both"/>
        <w:rPr>
          <w:rFonts w:cs="Guttman Drogolin"/>
          <w:rtl/>
          <w:lang w:bidi="he-IL"/>
        </w:rPr>
      </w:pPr>
      <w:r w:rsidRPr="00882F11">
        <w:rPr>
          <w:rFonts w:cs="Guttman Drogolin" w:hint="cs"/>
          <w:rtl/>
          <w:lang w:bidi="he-IL"/>
        </w:rPr>
        <w:lastRenderedPageBreak/>
        <w:t xml:space="preserve">ויש לי כמה הערות בדברי מרן הגר"ח. קודם כל זה עצמו צ"ע למה לא נימא שנאמר דין טכ"ע בדבר שאינה אסורה אלא משום דאיסורו לא פקע מיני', דמה"ת. </w:t>
      </w:r>
      <w:r w:rsidR="00132D09" w:rsidRPr="00882F11">
        <w:rPr>
          <w:rFonts w:cs="Guttman Drogolin" w:hint="cs"/>
          <w:rtl/>
          <w:lang w:bidi="he-IL"/>
        </w:rPr>
        <w:t>ועוד יש לבאר שהרי הגר"ח בפ"י מהל' מעה"ק כתב שהדין של טכ"ע מחדש שהטעם לא בטל. אלא שבזה נראה לומר שאין הדין של טכ"ע גילוי מילתא בעלמא דטעמא לא בטיל, רק הוא חידוש הקרא לומר דדדבר שיש לו טעם אינו אסור ומשום שחידשה תורה לומר שכש</w:t>
      </w:r>
      <w:r w:rsidR="004E5B09" w:rsidRPr="00882F11">
        <w:rPr>
          <w:rFonts w:cs="Guttman Drogolin" w:hint="cs"/>
          <w:rtl/>
          <w:lang w:bidi="he-IL"/>
        </w:rPr>
        <w:t>יש טעם לא יתבטל. אבל מ"מ בדבר של</w:t>
      </w:r>
      <w:r w:rsidR="00132D09" w:rsidRPr="00882F11">
        <w:rPr>
          <w:rFonts w:cs="Guttman Drogolin" w:hint="cs"/>
          <w:rtl/>
          <w:lang w:bidi="he-IL"/>
        </w:rPr>
        <w:t xml:space="preserve">א נתחדש בו דין טכ"ע לא יהי' הפקעת דין ביטול. </w:t>
      </w:r>
    </w:p>
    <w:p w:rsidR="002C141C" w:rsidRPr="00882F11" w:rsidRDefault="00132D09" w:rsidP="00132D09">
      <w:pPr>
        <w:tabs>
          <w:tab w:val="right" w:pos="7497"/>
        </w:tabs>
        <w:bidi/>
        <w:jc w:val="both"/>
        <w:rPr>
          <w:rFonts w:cs="Guttman Drogolin"/>
          <w:rtl/>
          <w:lang w:bidi="he-IL"/>
        </w:rPr>
      </w:pPr>
      <w:r w:rsidRPr="00882F11">
        <w:rPr>
          <w:rFonts w:cs="Guttman Drogolin" w:hint="cs"/>
          <w:rtl/>
          <w:lang w:bidi="he-IL"/>
        </w:rPr>
        <w:t xml:space="preserve">ועוד צ"ע שהרי משמעות דברי הגר"ח שהראב"ד סבר שאפילו אם חענ"ן, מ"מ אם הטעם בשר יוצא בלי טעם חלב חסר בחפצא בב"ח ולכן אינו אוסר. אבל לשון הראב"ד משמע ההיפך, </w:t>
      </w:r>
      <w:r w:rsidR="001341A8" w:rsidRPr="00882F11">
        <w:rPr>
          <w:rFonts w:cs="Guttman Drogolin" w:hint="cs"/>
          <w:rtl/>
          <w:lang w:bidi="he-IL"/>
        </w:rPr>
        <w:t xml:space="preserve">דלר' יהודה דסבר חענ"ן (כיון דסבר מין במינו לא בטל) לא הי' מובן לו למה בעינן ניעור אע"ג שכן מבואר בגמ'. </w:t>
      </w:r>
    </w:p>
    <w:p w:rsidR="008B7F89" w:rsidRPr="00882F11" w:rsidRDefault="002C141C" w:rsidP="002C141C">
      <w:pPr>
        <w:tabs>
          <w:tab w:val="right" w:pos="7497"/>
        </w:tabs>
        <w:bidi/>
        <w:jc w:val="both"/>
        <w:rPr>
          <w:rFonts w:cs="Guttman Drogolin"/>
          <w:rtl/>
          <w:lang w:bidi="he-IL"/>
        </w:rPr>
      </w:pPr>
      <w:r w:rsidRPr="00882F11">
        <w:rPr>
          <w:rFonts w:cs="Guttman Drogolin" w:hint="cs"/>
          <w:rtl/>
          <w:lang w:bidi="he-IL"/>
        </w:rPr>
        <w:t>וע' בחי' הרמב"ן שם ב"ף ק"ח וכן בתמים דעים לראב"ד סי' ז' עוד בביאור שיטת הראב"ד.</w:t>
      </w:r>
      <w:r w:rsidR="000F1CBA" w:rsidRPr="00882F11">
        <w:rPr>
          <w:rFonts w:cs="Guttman Drogolin" w:hint="cs"/>
          <w:rtl/>
          <w:lang w:bidi="he-IL"/>
        </w:rPr>
        <w:t xml:space="preserve">   </w:t>
      </w:r>
    </w:p>
    <w:p w:rsidR="008B7F89" w:rsidRPr="00882F11" w:rsidRDefault="008B7F89" w:rsidP="008B7F89">
      <w:pPr>
        <w:tabs>
          <w:tab w:val="right" w:pos="7497"/>
        </w:tabs>
        <w:bidi/>
        <w:jc w:val="both"/>
        <w:rPr>
          <w:rFonts w:cs="Guttman Drogolin"/>
          <w:rtl/>
          <w:lang w:bidi="he-IL"/>
        </w:rPr>
        <w:sectPr w:rsidR="008B7F89" w:rsidRPr="00882F11" w:rsidSect="00DA1D59">
          <w:type w:val="continuous"/>
          <w:pgSz w:w="11907" w:h="16839" w:code="9"/>
          <w:pgMar w:top="1440" w:right="1440" w:bottom="1440" w:left="1440" w:header="720" w:footer="720" w:gutter="0"/>
          <w:cols w:num="2" w:space="720"/>
          <w:bidi/>
          <w:docGrid w:linePitch="360"/>
        </w:sectPr>
      </w:pPr>
    </w:p>
    <w:p w:rsidR="008B7F89" w:rsidRPr="00882F11" w:rsidRDefault="008B7F89" w:rsidP="008B7F89">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נ"ה</w:t>
      </w:r>
    </w:p>
    <w:p w:rsidR="00DA1D59" w:rsidRDefault="00DA1D59" w:rsidP="0078079C">
      <w:pPr>
        <w:pStyle w:val="Heading1"/>
        <w:bidi/>
        <w:spacing w:before="0" w:line="360" w:lineRule="auto"/>
        <w:jc w:val="center"/>
        <w:rPr>
          <w:rFonts w:cs="Guttman Drogolin"/>
          <w:color w:val="auto"/>
          <w:sz w:val="24"/>
          <w:szCs w:val="24"/>
          <w:u w:val="single"/>
          <w:rtl/>
          <w:lang w:bidi="he-IL"/>
        </w:rPr>
        <w:sectPr w:rsidR="00DA1D59" w:rsidSect="00DA1D59">
          <w:headerReference w:type="default" r:id="rId43"/>
          <w:pgSz w:w="11907" w:h="16839" w:code="9"/>
          <w:pgMar w:top="1440" w:right="1440" w:bottom="1440" w:left="1440" w:header="720" w:footer="720" w:gutter="0"/>
          <w:cols w:space="720"/>
          <w:bidi/>
          <w:docGrid w:linePitch="360"/>
        </w:sectPr>
      </w:pPr>
    </w:p>
    <w:p w:rsidR="008B7F89" w:rsidRPr="00882F11" w:rsidRDefault="008B7F89" w:rsidP="0078079C">
      <w:pPr>
        <w:pStyle w:val="Heading1"/>
        <w:bidi/>
        <w:spacing w:before="0" w:line="360" w:lineRule="auto"/>
        <w:jc w:val="center"/>
        <w:rPr>
          <w:rFonts w:cs="Guttman Drogolin"/>
          <w:color w:val="auto"/>
          <w:sz w:val="24"/>
          <w:szCs w:val="24"/>
          <w:u w:val="single"/>
          <w:rtl/>
          <w:lang w:bidi="he-IL"/>
        </w:rPr>
      </w:pPr>
      <w:bookmarkStart w:id="213" w:name="_Toc496175468"/>
      <w:r w:rsidRPr="00882F11">
        <w:rPr>
          <w:rFonts w:cs="Guttman Drogolin" w:hint="cs"/>
          <w:color w:val="auto"/>
          <w:sz w:val="24"/>
          <w:szCs w:val="24"/>
          <w:u w:val="single"/>
          <w:rtl/>
          <w:lang w:bidi="he-IL"/>
        </w:rPr>
        <w:lastRenderedPageBreak/>
        <w:t>חענ"ן באיסור משהו</w:t>
      </w:r>
      <w:bookmarkEnd w:id="213"/>
    </w:p>
    <w:p w:rsidR="00D65797" w:rsidRPr="00882F11" w:rsidRDefault="005E1A06" w:rsidP="00655EB3">
      <w:pPr>
        <w:tabs>
          <w:tab w:val="right" w:pos="7497"/>
        </w:tabs>
        <w:bidi/>
        <w:jc w:val="both"/>
        <w:rPr>
          <w:rFonts w:cs="Guttman Drogolin"/>
          <w:rtl/>
          <w:lang w:bidi="he-IL"/>
        </w:rPr>
      </w:pPr>
      <w:r>
        <w:rPr>
          <w:rFonts w:cs="Guttman Drogolin"/>
          <w:rtl/>
          <w:lang w:bidi="he-IL"/>
        </w:rPr>
        <w:fldChar w:fldCharType="begin"/>
      </w:r>
      <w:r>
        <w:instrText xml:space="preserve"> XE "</w:instrText>
      </w:r>
      <w:r w:rsidRPr="003467EE">
        <w:rPr>
          <w:rFonts w:hint="cs"/>
          <w:rtl/>
          <w:lang w:bidi="he-IL"/>
        </w:rPr>
        <w:instrText>חענ</w:instrText>
      </w:r>
      <w:r>
        <w:rPr>
          <w:rFonts w:eastAsiaTheme="minorEastAsia"/>
          <w:lang w:bidi="he-IL"/>
        </w:rPr>
        <w:instrText>\</w:instrText>
      </w:r>
      <w:r w:rsidRPr="003467EE">
        <w:rPr>
          <w:rFonts w:hint="cs"/>
          <w:rtl/>
          <w:lang w:bidi="he-IL"/>
        </w:rPr>
        <w:instrText>"ן</w:instrText>
      </w:r>
      <w:r w:rsidRPr="003467EE">
        <w:rPr>
          <w:rtl/>
        </w:rPr>
        <w:instrText>:</w:instrText>
      </w:r>
      <w:r w:rsidRPr="003467EE">
        <w:rPr>
          <w:rFonts w:hint="cs"/>
          <w:rtl/>
          <w:lang w:bidi="he-IL"/>
        </w:rPr>
        <w:instrText>באיסור משהו</w:instrText>
      </w:r>
      <w:r>
        <w:instrText xml:space="preserve">" </w:instrText>
      </w:r>
      <w:r>
        <w:rPr>
          <w:rFonts w:cs="Guttman Drogolin"/>
          <w:rtl/>
          <w:lang w:bidi="he-IL"/>
        </w:rPr>
        <w:fldChar w:fldCharType="end"/>
      </w:r>
      <w:r w:rsidR="008B7F89" w:rsidRPr="00882F11">
        <w:rPr>
          <w:rFonts w:cs="Guttman Drogolin" w:hint="cs"/>
          <w:rtl/>
          <w:lang w:bidi="he-IL"/>
        </w:rPr>
        <w:t>המחלוקת שבין ר' אפרי</w:t>
      </w:r>
      <w:r w:rsidR="001F431F" w:rsidRPr="00882F11">
        <w:rPr>
          <w:rFonts w:cs="Guttman Drogolin" w:hint="cs"/>
          <w:rtl/>
          <w:lang w:bidi="he-IL"/>
        </w:rPr>
        <w:t>ם ור"ת מבוססת על פירוש דברי רב שבדף ק' ע"א "כיון</w:t>
      </w:r>
      <w:r w:rsidR="001F431F" w:rsidRPr="00882F11">
        <w:rPr>
          <w:rFonts w:cs="Guttman Drogolin"/>
          <w:rtl/>
          <w:lang w:bidi="he-IL"/>
        </w:rPr>
        <w:t xml:space="preserve"> </w:t>
      </w:r>
      <w:r w:rsidR="001F431F" w:rsidRPr="00882F11">
        <w:rPr>
          <w:rFonts w:cs="Guttman Drogolin" w:hint="cs"/>
          <w:rtl/>
          <w:lang w:bidi="he-IL"/>
        </w:rPr>
        <w:t>שנתן</w:t>
      </w:r>
      <w:r w:rsidR="001F431F" w:rsidRPr="00882F11">
        <w:rPr>
          <w:rFonts w:cs="Guttman Drogolin"/>
          <w:rtl/>
          <w:lang w:bidi="he-IL"/>
        </w:rPr>
        <w:t xml:space="preserve"> </w:t>
      </w:r>
      <w:r w:rsidR="001F431F" w:rsidRPr="00882F11">
        <w:rPr>
          <w:rFonts w:cs="Guttman Drogolin" w:hint="cs"/>
          <w:rtl/>
          <w:lang w:bidi="he-IL"/>
        </w:rPr>
        <w:t>טעם</w:t>
      </w:r>
      <w:r w:rsidR="001F431F" w:rsidRPr="00882F11">
        <w:rPr>
          <w:rFonts w:cs="Guttman Drogolin"/>
          <w:rtl/>
          <w:lang w:bidi="he-IL"/>
        </w:rPr>
        <w:t xml:space="preserve"> </w:t>
      </w:r>
      <w:r w:rsidR="001F431F" w:rsidRPr="00882F11">
        <w:rPr>
          <w:rFonts w:cs="Guttman Drogolin" w:hint="cs"/>
          <w:rtl/>
          <w:lang w:bidi="he-IL"/>
        </w:rPr>
        <w:t>בחתיכה</w:t>
      </w:r>
      <w:r w:rsidR="001F431F" w:rsidRPr="00882F11">
        <w:rPr>
          <w:rFonts w:cs="Guttman Drogolin"/>
          <w:rtl/>
          <w:lang w:bidi="he-IL"/>
        </w:rPr>
        <w:t xml:space="preserve"> </w:t>
      </w:r>
      <w:r w:rsidR="001F431F" w:rsidRPr="00882F11">
        <w:rPr>
          <w:rFonts w:cs="Guttman Drogolin" w:hint="cs"/>
          <w:rtl/>
          <w:lang w:bidi="he-IL"/>
        </w:rPr>
        <w:t>חתיכה</w:t>
      </w:r>
      <w:r w:rsidR="001F431F" w:rsidRPr="00882F11">
        <w:rPr>
          <w:rFonts w:cs="Guttman Drogolin"/>
          <w:rtl/>
          <w:lang w:bidi="he-IL"/>
        </w:rPr>
        <w:t xml:space="preserve"> </w:t>
      </w:r>
      <w:r w:rsidR="001F431F" w:rsidRPr="00882F11">
        <w:rPr>
          <w:rFonts w:cs="Guttman Drogolin" w:hint="cs"/>
          <w:rtl/>
          <w:lang w:bidi="he-IL"/>
        </w:rPr>
        <w:t>עצמה</w:t>
      </w:r>
      <w:r w:rsidR="001F431F" w:rsidRPr="00882F11">
        <w:rPr>
          <w:rFonts w:cs="Guttman Drogolin"/>
          <w:rtl/>
          <w:lang w:bidi="he-IL"/>
        </w:rPr>
        <w:t xml:space="preserve"> </w:t>
      </w:r>
      <w:r w:rsidR="001F431F" w:rsidRPr="00882F11">
        <w:rPr>
          <w:rFonts w:cs="Guttman Drogolin" w:hint="cs"/>
          <w:rtl/>
          <w:lang w:bidi="he-IL"/>
        </w:rPr>
        <w:t>נעשת</w:t>
      </w:r>
      <w:r w:rsidR="001F431F" w:rsidRPr="00882F11">
        <w:rPr>
          <w:rFonts w:cs="Guttman Drogolin"/>
          <w:rtl/>
          <w:lang w:bidi="he-IL"/>
        </w:rPr>
        <w:t xml:space="preserve"> </w:t>
      </w:r>
      <w:r w:rsidR="001F431F" w:rsidRPr="00882F11">
        <w:rPr>
          <w:rFonts w:cs="Guttman Drogolin" w:hint="cs"/>
          <w:rtl/>
          <w:lang w:bidi="he-IL"/>
        </w:rPr>
        <w:t>נבלה", והקשו על זה דכיון שחתיכה שנאסרה נעשית נבילה למה צריך להיות שנתן טעם בחתיכה, הא קיי"ל שמין במינו לא בטל ולכן אפילו לא נתן טעם רק נכנס בה משהו נאסרה החתיכה ונע"נ. ומכח קושיא זו נקט ר' אפרים שבאמת הכלל דחתיכה עצמה נע"נ לא שייך אלא בבשר בחלב, וכיון שהגמ' שם מיירי בשאר איסורים אין החתיכה נע"</w:t>
      </w:r>
      <w:r w:rsidR="00E84778" w:rsidRPr="00882F11">
        <w:rPr>
          <w:rFonts w:cs="Guttman Drogolin" w:hint="cs"/>
          <w:rtl/>
          <w:lang w:bidi="he-IL"/>
        </w:rPr>
        <w:t>נ (וכנראה לשון חתיכה עצמה נעשית נבילה לאו דוקא נקט). אבל ר"ת סבר שה</w:t>
      </w:r>
      <w:r w:rsidR="00655EB3" w:rsidRPr="00882F11">
        <w:rPr>
          <w:rFonts w:cs="Guttman Drogolin" w:hint="cs"/>
          <w:rtl/>
          <w:lang w:bidi="he-IL"/>
        </w:rPr>
        <w:t>ד</w:t>
      </w:r>
      <w:r w:rsidR="00E84778" w:rsidRPr="00882F11">
        <w:rPr>
          <w:rFonts w:cs="Guttman Drogolin" w:hint="cs"/>
          <w:rtl/>
          <w:lang w:bidi="he-IL"/>
        </w:rPr>
        <w:t xml:space="preserve">ין חענ"ן שייכת גם בשאר איסורים, ולכן לדידי' תיקשי למה בעינן נתינת טעם. </w:t>
      </w:r>
      <w:r w:rsidR="00D65797" w:rsidRPr="00882F11">
        <w:rPr>
          <w:rFonts w:cs="Guttman Drogolin" w:hint="cs"/>
          <w:rtl/>
          <w:lang w:bidi="he-IL"/>
        </w:rPr>
        <w:t>ותי' דהא דאמרינן חענ"ן הנ"מ כשנאסרה החתיכה ע"י נתינת טעם, אבל אם נאסרה ע"י משהו לא. ובמילים אחרים היינו שאפילו לדידן שאנחנו מחמירים כשיטת ר"ת מ"מ דבר שלא נאסר אלא ע"י איסור משהו יש להקל בשאר איסורים. ואע"ג שיש מן הראשונים שדוחים שלשון נתינת טעם לאו דוקא נקט, שיטתם לא מובא בפוסקים.</w:t>
      </w:r>
    </w:p>
    <w:p w:rsidR="00164DBE" w:rsidRPr="00882F11" w:rsidRDefault="00D65797" w:rsidP="00164DBE">
      <w:pPr>
        <w:tabs>
          <w:tab w:val="right" w:pos="7497"/>
        </w:tabs>
        <w:bidi/>
        <w:jc w:val="both"/>
        <w:rPr>
          <w:rFonts w:cs="Guttman Drogolin"/>
          <w:rtl/>
          <w:lang w:bidi="he-IL"/>
        </w:rPr>
      </w:pPr>
      <w:r w:rsidRPr="00882F11">
        <w:rPr>
          <w:rFonts w:cs="Guttman Drogolin" w:hint="cs"/>
          <w:rtl/>
          <w:lang w:bidi="he-IL"/>
        </w:rPr>
        <w:t xml:space="preserve">וקודם שנבאר כלל זה שאין אומרים חענ"ן בנאסר באיסור משהו, יש להעיר עוד דבר, והוא </w:t>
      </w:r>
      <w:r w:rsidR="00F4633E" w:rsidRPr="00882F11">
        <w:rPr>
          <w:rFonts w:cs="Guttman Drogolin" w:hint="cs"/>
          <w:rtl/>
          <w:lang w:bidi="he-IL"/>
        </w:rPr>
        <w:t>ד</w:t>
      </w:r>
      <w:r w:rsidRPr="00882F11">
        <w:rPr>
          <w:rFonts w:cs="Guttman Drogolin" w:hint="cs"/>
          <w:rtl/>
          <w:lang w:bidi="he-IL"/>
        </w:rPr>
        <w:t>למה צריכים</w:t>
      </w:r>
      <w:r w:rsidR="00F4633E" w:rsidRPr="00882F11">
        <w:rPr>
          <w:rFonts w:cs="Guttman Drogolin" w:hint="cs"/>
          <w:rtl/>
          <w:lang w:bidi="he-IL"/>
        </w:rPr>
        <w:t xml:space="preserve"> לומר חענ"ן</w:t>
      </w:r>
      <w:r w:rsidR="00133DB1" w:rsidRPr="00882F11">
        <w:rPr>
          <w:rFonts w:cs="Guttman Drogolin" w:hint="cs"/>
          <w:rtl/>
          <w:lang w:bidi="he-IL"/>
        </w:rPr>
        <w:t xml:space="preserve"> </w:t>
      </w:r>
      <w:r w:rsidR="00F4633E" w:rsidRPr="00882F11">
        <w:rPr>
          <w:rFonts w:cs="Guttman Drogolin" w:hint="cs"/>
          <w:rtl/>
          <w:lang w:bidi="he-IL"/>
        </w:rPr>
        <w:t>כדי לאסור כלל, הא כיון דמיירי באיסור משהו, הא יש איסור משהו בתוך החתיכה, ולכן למה לא יאסור אותה איסור משהו בעצמו. ונחלקו המפרשים ביישוב קושיא זו. הש"ך</w:t>
      </w:r>
      <w:r w:rsidR="00164DBE" w:rsidRPr="00882F11">
        <w:rPr>
          <w:rFonts w:cs="Guttman Drogolin" w:hint="cs"/>
          <w:rtl/>
          <w:lang w:bidi="he-IL"/>
        </w:rPr>
        <w:t xml:space="preserve"> בנקוה"כ</w:t>
      </w:r>
      <w:r w:rsidR="00F4633E" w:rsidRPr="00882F11">
        <w:rPr>
          <w:rFonts w:cs="Guttman Drogolin" w:hint="cs"/>
          <w:rtl/>
          <w:lang w:bidi="he-IL"/>
        </w:rPr>
        <w:t xml:space="preserve"> למד דכיון שאין האיסור משהו יוצא אלא ע"י כח אחר, אינו אוסר ע"י עצמו. וביאר </w:t>
      </w:r>
      <w:r w:rsidR="008E5F13" w:rsidRPr="00882F11">
        <w:rPr>
          <w:rFonts w:cs="Guttman Drogolin" w:hint="cs"/>
          <w:rtl/>
          <w:lang w:bidi="he-IL"/>
        </w:rPr>
        <w:t>הש"ך דכיון שכח אחר מעורב בו</w:t>
      </w:r>
      <w:r w:rsidR="00285E46" w:rsidRPr="00882F11">
        <w:rPr>
          <w:rFonts w:cs="Guttman Drogolin" w:hint="cs"/>
          <w:rtl/>
          <w:lang w:bidi="he-IL"/>
        </w:rPr>
        <w:t xml:space="preserve"> הרי הוא כמין באינו מינו ולכן לא בטל. וביארנו שלכאורה אין כוונת הש"ך לומר דהוי מין בשאינו מינו ממש, דהא </w:t>
      </w:r>
      <w:r w:rsidR="00F432DD" w:rsidRPr="00882F11">
        <w:rPr>
          <w:rFonts w:cs="Guttman Drogolin" w:hint="cs"/>
          <w:rtl/>
          <w:lang w:bidi="he-IL"/>
        </w:rPr>
        <w:t xml:space="preserve">בין איסור מינו ובין היתר מינו חשובים מאותו מין, רק כוונתו שהמעלה שיש לאיסור מינו למנוע ממנו ביטול ליכא אלא בדבר שאינו איסור קלוש, אבל איסור קלוש שכח אחר מעורב בו אין לו </w:t>
      </w:r>
      <w:r w:rsidR="00F432DD" w:rsidRPr="00882F11">
        <w:rPr>
          <w:rFonts w:cs="Guttman Drogolin" w:hint="cs"/>
          <w:rtl/>
          <w:lang w:bidi="he-IL"/>
        </w:rPr>
        <w:lastRenderedPageBreak/>
        <w:t>המעלה למנוע הביטול מדין מין במינו. ועכ"פ משום כלל זה נקט הש"ך דהא דאין החתיכה שנאסרה במשהו חוזרת ואוסרת ע"י משהו, הנ"מ בדברים שאינם אוסרים ע"י משהו</w:t>
      </w:r>
      <w:r w:rsidR="00164DBE" w:rsidRPr="00882F11">
        <w:rPr>
          <w:rFonts w:cs="Guttman Drogolin" w:hint="cs"/>
          <w:rtl/>
          <w:lang w:bidi="he-IL"/>
        </w:rPr>
        <w:t xml:space="preserve"> אלא במין במינו, אבל איסורים האוסרים במשהו אפילו במין בשאינו מינו, כגון חפץ בפסח, בזה אמרינן שהאיסור משהו שבחתיכה יש לה כח לאסור במשהו אע"ג שלא אומרים חענ"ן באיסור משהו.</w:t>
      </w:r>
    </w:p>
    <w:p w:rsidR="0005325B" w:rsidRPr="00882F11" w:rsidRDefault="00164DBE" w:rsidP="00E90998">
      <w:pPr>
        <w:tabs>
          <w:tab w:val="right" w:pos="7497"/>
        </w:tabs>
        <w:bidi/>
        <w:jc w:val="both"/>
        <w:rPr>
          <w:rFonts w:cs="Guttman Drogolin"/>
          <w:rtl/>
          <w:lang w:bidi="he-IL"/>
        </w:rPr>
      </w:pPr>
      <w:r w:rsidRPr="00882F11">
        <w:rPr>
          <w:rFonts w:cs="Guttman Drogolin" w:hint="cs"/>
          <w:rtl/>
          <w:lang w:bidi="he-IL"/>
        </w:rPr>
        <w:t xml:space="preserve">והנה כלל זה של הש"ך לא שייך אלא לדידי' שסבר שבחמץ בפסח גם חתיכה האוסרת ע"י משהו אוסרת תבשיל אחר במשהו. אבל הט"ז </w:t>
      </w:r>
      <w:r w:rsidR="00266BC6" w:rsidRPr="00882F11">
        <w:rPr>
          <w:rFonts w:cs="Guttman Drogolin" w:hint="cs"/>
          <w:rtl/>
          <w:lang w:bidi="he-IL"/>
        </w:rPr>
        <w:t xml:space="preserve">סבר שגם בחמץ בפסח אין חתיכה שנאסרה ע"י משהו אוסרת תבשיל אחר במשהו. ולכן לדידי' הדרה קושיא לדוכתי', למה אין המשהו עצמו אוסרת במשהו. ובהגהות רע"א </w:t>
      </w:r>
      <w:r w:rsidR="00140A36" w:rsidRPr="00882F11">
        <w:rPr>
          <w:rFonts w:cs="Guttman Drogolin" w:hint="cs"/>
          <w:rtl/>
          <w:lang w:bidi="he-IL"/>
        </w:rPr>
        <w:t xml:space="preserve">למד בדעתו שמשהו בעלמא של טעם אינו יוצא מן החתיכה לאחר שנבלע בו, ולכן אינו אוסר ע"י עצמו. וע"כ הא דדנו ר"ת ור' אפרים אי אמרינן חענ"ן בשאר איסורים א"נ באיסור משהו לפי זה, היינו משום דאילו חענ"ן היינו אומרים </w:t>
      </w:r>
      <w:r w:rsidR="00FD3559" w:rsidRPr="00882F11">
        <w:rPr>
          <w:rFonts w:cs="Guttman Drogolin" w:hint="cs"/>
          <w:rtl/>
          <w:lang w:bidi="he-IL"/>
        </w:rPr>
        <w:t>שהחתיכה אוסרת מצד עצמו אע"ג שאין משהו יוצא ממנו. וא"כ לכאורה חזינן לדעתייהו שלא אומרים הכלל שאין הנאסר אוסר במקום שאין האיסור יכול להתפשט, והעיר רע"א שזהו דחוק שהתוס' בדף צ"ו ע"ב סתמו דאין הנאסר אוסר וכו' והתוס' בדף ק' לא סוברים כלל זה. ולכן כתב רע"א לדחות בין לר"ת ובין לר</w:t>
      </w:r>
      <w:r w:rsidR="001C4EDB" w:rsidRPr="00882F11">
        <w:rPr>
          <w:rFonts w:cs="Guttman Drogolin" w:hint="cs"/>
          <w:rtl/>
          <w:lang w:bidi="he-IL"/>
        </w:rPr>
        <w:t>'</w:t>
      </w:r>
      <w:r w:rsidR="00FD3559" w:rsidRPr="00882F11">
        <w:rPr>
          <w:rFonts w:cs="Guttman Drogolin" w:hint="cs"/>
          <w:rtl/>
          <w:lang w:bidi="he-IL"/>
        </w:rPr>
        <w:t xml:space="preserve"> אפרים. </w:t>
      </w:r>
      <w:r w:rsidR="001C4EDB" w:rsidRPr="00882F11">
        <w:rPr>
          <w:rFonts w:cs="Guttman Drogolin" w:hint="cs"/>
          <w:rtl/>
          <w:lang w:bidi="he-IL"/>
        </w:rPr>
        <w:t xml:space="preserve">לר' אפרים ביאר רע"א שלעולם סבר שבב"ח אמרינן שאין הנאסר אוסר אלא במקום שהאוסרו יכול להתפשט, אבל סבר ר' אפרים שאין הדין כן אלא בחענ"ן דבב"ח, אבל אילו הי' הדין דאמרינן חענ"ן בשאר איסורים הי' צריך להיות הדין שהנאסר אוסר אפילו במקום שאין האיסור יכול להתפשט. וביאר הטעם משום דבשלמא בב"ח י"ל שאין כאן חפצא של בב"ח אא"כ יש כאן גם בשר וגם חלב, ומשום דרק ע"י תערובת של תרוייהו יש לנו החפצא דאיסורא. </w:t>
      </w:r>
      <w:r w:rsidR="00E90998" w:rsidRPr="00882F11">
        <w:rPr>
          <w:rFonts w:cs="Guttman Drogolin" w:hint="cs"/>
          <w:rtl/>
          <w:lang w:bidi="he-IL"/>
        </w:rPr>
        <w:t xml:space="preserve">אבל אי אמרינן חענ"ן בשאר איסורים, הא אין זה משום יצור איסור חדש ע"י תערובת טעמים, רק </w:t>
      </w:r>
      <w:r w:rsidR="00E90998" w:rsidRPr="00882F11">
        <w:rPr>
          <w:rFonts w:cs="Guttman Drogolin" w:hint="cs"/>
          <w:rtl/>
          <w:lang w:bidi="he-IL"/>
        </w:rPr>
        <w:lastRenderedPageBreak/>
        <w:t>דכיון שנאסר נאסר, וא"כ שפיר יש לומר שישאר באיסורו אפילו נפרד ממנו האיסור. ומשו"ה הוכיח ר' אפרים דע"כ לא אומרים חענ"ן בשאר איסורים אע"ג שאין המשהו יכול להיות נפלט, דאילו אמרנו חענ"ן בשאר איסורים הי' צריך לאסור אע"ג שאין האוסר יכול להתפשט. ולר"ת הביא בשם הכרו"פ לבאר שזהו עצמו הטעם דלא אומרים חענ"ן באיסור משהו, לא משום החסרון של איסור משהו לעשות חלות איסור, רק משום שאין המשהו יוצא וממילא אין הנאסר אוסר במקום שאין האיסור יכול להתפשט.</w:t>
      </w:r>
    </w:p>
    <w:p w:rsidR="00D13CC3" w:rsidRPr="00882F11" w:rsidRDefault="0005325B" w:rsidP="00D13CC3">
      <w:pPr>
        <w:tabs>
          <w:tab w:val="right" w:pos="7497"/>
        </w:tabs>
        <w:bidi/>
        <w:jc w:val="both"/>
        <w:rPr>
          <w:rFonts w:cs="Guttman Drogolin"/>
          <w:rtl/>
          <w:lang w:bidi="he-IL"/>
        </w:rPr>
      </w:pPr>
      <w:r w:rsidRPr="00882F11">
        <w:rPr>
          <w:rFonts w:cs="Guttman Drogolin" w:hint="cs"/>
          <w:rtl/>
          <w:lang w:bidi="he-IL"/>
        </w:rPr>
        <w:t>ופשוט שביאור זה של הכרו"פ לא שייך אלא לפמש"כ הכרו"פ שהטעם שאין חענ"ן באיסור משהו משום שאין המשהו יכול לצאת מן החתיכה. אבל הש"ך הנ"ל הרי סבר שהמשהו יוצא מן החתיכה, ולכן לדידי' תיקשי מהו באמת הטעם דלא אמרינן חענ"ן באיסור משהו אליבא דש"ך. והבאנו כמה יישובים לזה. חדא שי"ל</w:t>
      </w:r>
      <w:r w:rsidR="00D13CC3" w:rsidRPr="00882F11">
        <w:rPr>
          <w:rFonts w:cs="Guttman Drogolin" w:hint="cs"/>
          <w:rtl/>
          <w:lang w:bidi="he-IL"/>
        </w:rPr>
        <w:t xml:space="preserve"> שחענ"ן בשאר איסורים אסור מדאורייתא וכמו שדייק רע"א מסוף דברי התוס' כאן, וי"א שהמקור לדין חענ"ן בשאר איסורים הוא מדינא דטכ"ע ומשום דאמרינן שנהפך ההיתר להיות איסור. וא"כ פשוט שאי אפשר לומר חענ"ן בשאר איסורים אא"כ נותן טעם. ואפילו אם חענ"ן בשאר איסורים אינו אסור אלא מדרבנן, מ"מ מבארים ע"פ מש"כ הר"ן שחענ"ן בשאר איסורים אסור גזרה אטו בב"ח, ולכן כמו שבב"ח לא אמרינן חענ"ן אא"כ נתן טעם, דהא דרך בישול אסרה תורה, הה"נ בשאר איסורים. וכן יש בזה עוד ביאורים, דיתכן שרק בדבר החשוב אמרינן חענ"ן ולא במשהו בעלמא. </w:t>
      </w:r>
    </w:p>
    <w:p w:rsidR="00E12683" w:rsidRPr="00882F11" w:rsidRDefault="00D13CC3" w:rsidP="00655EB3">
      <w:pPr>
        <w:tabs>
          <w:tab w:val="right" w:pos="7497"/>
        </w:tabs>
        <w:bidi/>
        <w:jc w:val="both"/>
        <w:rPr>
          <w:rFonts w:cs="Guttman Drogolin"/>
          <w:rtl/>
          <w:lang w:bidi="he-IL"/>
        </w:rPr>
      </w:pPr>
      <w:r w:rsidRPr="00882F11">
        <w:rPr>
          <w:rFonts w:cs="Guttman Drogolin" w:hint="cs"/>
          <w:rtl/>
          <w:lang w:bidi="he-IL"/>
        </w:rPr>
        <w:t>ולענין מש"כ רע"א בדברי הט"ז, לכאורה מדויק בט"ז פי' אחר. דהא הט"ז כתב דאע"ג שלא אומרים חענ"ן בחתיכה שלא נאסרה א</w:t>
      </w:r>
      <w:r w:rsidR="00655EB3" w:rsidRPr="00882F11">
        <w:rPr>
          <w:rFonts w:cs="Guttman Drogolin" w:hint="cs"/>
          <w:rtl/>
          <w:lang w:bidi="he-IL"/>
        </w:rPr>
        <w:t>ל</w:t>
      </w:r>
      <w:r w:rsidRPr="00882F11">
        <w:rPr>
          <w:rFonts w:cs="Guttman Drogolin" w:hint="cs"/>
          <w:rtl/>
          <w:lang w:bidi="he-IL"/>
        </w:rPr>
        <w:t>א באיסור משהו, מ"מ צריכים ששים כנגד החתיכה כדי להתיר את התבשיל. והש"ך בנקוה"כ שם באמת תמה על הט"ז, שאם אומרים חענ"ן למה צריכים ששים כנגד החתיכה, הא אין החתיכה אסורה</w:t>
      </w:r>
      <w:r w:rsidR="00F47E37" w:rsidRPr="00882F11">
        <w:rPr>
          <w:rFonts w:cs="Guttman Drogolin" w:hint="cs"/>
          <w:rtl/>
          <w:lang w:bidi="he-IL"/>
        </w:rPr>
        <w:t xml:space="preserve"> (וע"ש שהביא לשונות הראשונים שבאמת לא צריכים אפילו ששים כנגד החתיכה)</w:t>
      </w:r>
      <w:r w:rsidRPr="00882F11">
        <w:rPr>
          <w:rFonts w:cs="Guttman Drogolin" w:hint="cs"/>
          <w:rtl/>
          <w:lang w:bidi="he-IL"/>
        </w:rPr>
        <w:t xml:space="preserve">. </w:t>
      </w:r>
      <w:r w:rsidR="00E12683" w:rsidRPr="00882F11">
        <w:rPr>
          <w:rFonts w:cs="Guttman Drogolin" w:hint="cs"/>
          <w:rtl/>
          <w:lang w:bidi="he-IL"/>
        </w:rPr>
        <w:t xml:space="preserve">ולכאורה </w:t>
      </w:r>
      <w:r w:rsidR="00E12683" w:rsidRPr="00882F11">
        <w:rPr>
          <w:rFonts w:cs="Guttman Drogolin" w:hint="cs"/>
          <w:rtl/>
          <w:lang w:bidi="he-IL"/>
        </w:rPr>
        <w:lastRenderedPageBreak/>
        <w:t xml:space="preserve">חזינן לדעתי' דהט"ז דסבר שכל דברי התוס' אינו דלא אמרינן חענ"ן באיסור משהו כלל, רק דלא אמרינן חענ"ן כדי לאסור גם תבשיל אחר במשהו. </w:t>
      </w:r>
      <w:r w:rsidR="00655EB3" w:rsidRPr="00882F11">
        <w:rPr>
          <w:rFonts w:cs="Guttman Drogolin" w:hint="cs"/>
          <w:rtl/>
          <w:lang w:bidi="he-IL"/>
        </w:rPr>
        <w:t>ו</w:t>
      </w:r>
      <w:r w:rsidR="00E12683" w:rsidRPr="00882F11">
        <w:rPr>
          <w:rFonts w:cs="Guttman Drogolin" w:hint="cs"/>
          <w:rtl/>
          <w:lang w:bidi="he-IL"/>
        </w:rPr>
        <w:t>היינו דסבר שכלל דברי התוס' הוא חידוש בדין דברים האוסרים במשהו, דאע"ג שיש לך דבר האוסר במשהו אפילו מדאורייתא (דהא דין מין במינו לא בטל הוא דין מדאורייתא), הנ"מ אם איסורו מחמת עצמו, אבל דבר שאינו אסור מחמת עצמו רק מחמת שנאסר, אינו אוסר דבר אחר ע"י משהו.</w:t>
      </w:r>
    </w:p>
    <w:p w:rsidR="00E12683" w:rsidRPr="00882F11" w:rsidRDefault="00E12683" w:rsidP="00E12683">
      <w:pPr>
        <w:tabs>
          <w:tab w:val="right" w:pos="7497"/>
        </w:tabs>
        <w:bidi/>
        <w:jc w:val="both"/>
        <w:rPr>
          <w:rFonts w:cs="Guttman Drogolin"/>
          <w:rtl/>
          <w:lang w:bidi="he-IL"/>
        </w:rPr>
      </w:pPr>
      <w:r w:rsidRPr="00882F11">
        <w:rPr>
          <w:rFonts w:cs="Guttman Drogolin" w:hint="cs"/>
          <w:rtl/>
          <w:lang w:bidi="he-IL"/>
        </w:rPr>
        <w:t>יוצא לסיכום:</w:t>
      </w:r>
    </w:p>
    <w:p w:rsidR="00DF649D" w:rsidRPr="00882F11" w:rsidRDefault="00F47E37" w:rsidP="00E12683">
      <w:pPr>
        <w:pStyle w:val="ListParagraph"/>
        <w:numPr>
          <w:ilvl w:val="0"/>
          <w:numId w:val="12"/>
        </w:numPr>
        <w:tabs>
          <w:tab w:val="right" w:pos="7497"/>
        </w:tabs>
        <w:bidi/>
        <w:ind w:left="747" w:hanging="450"/>
        <w:jc w:val="both"/>
        <w:rPr>
          <w:rFonts w:cs="Guttman Drogolin"/>
          <w:lang w:bidi="he-IL"/>
        </w:rPr>
      </w:pPr>
      <w:r w:rsidRPr="00882F11">
        <w:rPr>
          <w:rFonts w:cs="Guttman Drogolin" w:hint="cs"/>
          <w:rtl/>
          <w:lang w:bidi="he-IL"/>
        </w:rPr>
        <w:t xml:space="preserve">לשיטת הש"ך כלל דברי התוס' שאמנם יוצא משהו מן חתיכה כשמבשלו בקדרה אחרת, אבל מ"מ אין לו אלא דין במין בשאינו מינו ולכן הרי הוא בטל, והנ"מ בדבר שלא נאמר חומרת משהו אלא במין במינו, אבל בחמץ בפסח שאסור בשמנהו אפילו במין בשאינו מינו אע"ג שגם בזה לא אומרים חענ"ן, מ"מ המשהו עצמו יכול לאסור.  </w:t>
      </w:r>
    </w:p>
    <w:p w:rsidR="00F47E37" w:rsidRPr="00882F11" w:rsidRDefault="00F47E37" w:rsidP="00F47E37">
      <w:pPr>
        <w:pStyle w:val="ListParagraph"/>
        <w:numPr>
          <w:ilvl w:val="0"/>
          <w:numId w:val="12"/>
        </w:numPr>
        <w:tabs>
          <w:tab w:val="right" w:pos="7497"/>
        </w:tabs>
        <w:bidi/>
        <w:ind w:left="747" w:hanging="450"/>
        <w:jc w:val="both"/>
        <w:rPr>
          <w:rFonts w:cs="Guttman Drogolin"/>
          <w:lang w:bidi="he-IL"/>
        </w:rPr>
      </w:pPr>
      <w:r w:rsidRPr="00882F11">
        <w:rPr>
          <w:rFonts w:cs="Guttman Drogolin" w:hint="cs"/>
          <w:rtl/>
          <w:lang w:bidi="he-IL"/>
        </w:rPr>
        <w:t>שיטת רע"א בדעת הט"ז שמשהו הבלוע בחתיכה אינו יוצא, ולכן אין החתיכה אוסרת כנגד כולו כיון שאין הנאסר יכול לאסור במקום שאין האיסור יכול להתפשט.</w:t>
      </w:r>
    </w:p>
    <w:p w:rsidR="00F47E37" w:rsidRPr="00882F11" w:rsidRDefault="00F47E37" w:rsidP="00F47E37">
      <w:pPr>
        <w:pStyle w:val="ListParagraph"/>
        <w:numPr>
          <w:ilvl w:val="0"/>
          <w:numId w:val="12"/>
        </w:numPr>
        <w:tabs>
          <w:tab w:val="right" w:pos="7497"/>
        </w:tabs>
        <w:bidi/>
        <w:ind w:left="747" w:hanging="450"/>
        <w:jc w:val="both"/>
        <w:rPr>
          <w:rFonts w:cs="Guttman Drogolin"/>
          <w:lang w:bidi="he-IL"/>
        </w:rPr>
      </w:pPr>
      <w:r w:rsidRPr="00882F11">
        <w:rPr>
          <w:rFonts w:cs="Guttman Drogolin" w:hint="cs"/>
          <w:rtl/>
          <w:lang w:bidi="he-IL"/>
        </w:rPr>
        <w:t>ביאור אחר בדעת הט"ז שאומרים חענ"ן אפילו בדבר שנאסר במשהו, רק לא עד כדי כך שיכול לאסור דבר אחר במשהו.</w:t>
      </w:r>
      <w:r w:rsidR="00B94CA5" w:rsidRPr="00882F11">
        <w:rPr>
          <w:rFonts w:cs="Guttman Drogolin" w:hint="cs"/>
          <w:rtl/>
          <w:lang w:bidi="he-IL"/>
        </w:rPr>
        <w:t xml:space="preserve"> (ונפק"מ בין הביאורים בדעת הט"ז אם צריכים ששים כנגד החתיכה שנאסרה ע"י משהו, ובט"ז מפורש שצריכים לזה ס').</w:t>
      </w:r>
    </w:p>
    <w:p w:rsidR="00B94CA5" w:rsidRPr="00DA1D59" w:rsidRDefault="00B94CA5" w:rsidP="00B94CA5">
      <w:pPr>
        <w:pStyle w:val="Heading1"/>
        <w:bidi/>
        <w:spacing w:before="0" w:line="360" w:lineRule="auto"/>
        <w:ind w:left="27"/>
        <w:jc w:val="center"/>
        <w:rPr>
          <w:rFonts w:cs="Guttman Drogolin"/>
          <w:color w:val="auto"/>
          <w:sz w:val="20"/>
          <w:szCs w:val="20"/>
          <w:u w:val="single"/>
          <w:rtl/>
          <w:lang w:bidi="he-IL"/>
        </w:rPr>
      </w:pPr>
      <w:bookmarkStart w:id="214" w:name="_Toc496175469"/>
      <w:r w:rsidRPr="00DA1D59">
        <w:rPr>
          <w:rFonts w:cs="Guttman Drogolin" w:hint="cs"/>
          <w:color w:val="auto"/>
          <w:sz w:val="20"/>
          <w:szCs w:val="20"/>
          <w:u w:val="single"/>
          <w:rtl/>
          <w:lang w:bidi="he-IL"/>
        </w:rPr>
        <w:t>חתיכה שנאסרה ע"י נתינת טעם אם חוזר להיתירו</w:t>
      </w:r>
      <w:bookmarkEnd w:id="214"/>
    </w:p>
    <w:p w:rsidR="00486E46" w:rsidRPr="00882F11" w:rsidRDefault="005E1A06" w:rsidP="00D366F9">
      <w:pPr>
        <w:pStyle w:val="ListParagraph"/>
        <w:tabs>
          <w:tab w:val="right" w:pos="7497"/>
        </w:tabs>
        <w:bidi/>
        <w:ind w:left="27"/>
        <w:jc w:val="both"/>
        <w:rPr>
          <w:rFonts w:cs="Guttman Drogolin"/>
          <w:rtl/>
          <w:lang w:bidi="he-IL"/>
        </w:rPr>
      </w:pPr>
      <w:r>
        <w:rPr>
          <w:rFonts w:cs="Guttman Drogolin"/>
          <w:rtl/>
          <w:lang w:bidi="he-IL"/>
        </w:rPr>
        <w:fldChar w:fldCharType="begin"/>
      </w:r>
      <w:r>
        <w:instrText xml:space="preserve"> XE "</w:instrText>
      </w:r>
      <w:r w:rsidR="00DC784B">
        <w:rPr>
          <w:rFonts w:hint="cs"/>
          <w:rtl/>
          <w:lang w:bidi="he-IL"/>
        </w:rPr>
        <w:instrText>אפשר לסוחטו</w:instrText>
      </w:r>
      <w:r w:rsidRPr="003D1726">
        <w:rPr>
          <w:rtl/>
        </w:rPr>
        <w:instrText>:</w:instrText>
      </w:r>
      <w:r w:rsidRPr="003D1726">
        <w:rPr>
          <w:rFonts w:hint="cs"/>
          <w:rtl/>
          <w:lang w:bidi="he-IL"/>
        </w:rPr>
        <w:instrText>אם אפשר להכשיר חתיכה שנאסרה</w:instrText>
      </w:r>
      <w:r>
        <w:instrText xml:space="preserve">" </w:instrText>
      </w:r>
      <w:r>
        <w:rPr>
          <w:rFonts w:cs="Guttman Drogolin"/>
          <w:rtl/>
          <w:lang w:bidi="he-IL"/>
        </w:rPr>
        <w:fldChar w:fldCharType="end"/>
      </w:r>
      <w:r w:rsidR="00A86A6A" w:rsidRPr="00882F11">
        <w:rPr>
          <w:rFonts w:cs="Guttman Drogolin" w:hint="cs"/>
          <w:rtl/>
          <w:lang w:bidi="he-IL"/>
        </w:rPr>
        <w:t>בשיטת ר' אפרים דלא אמרינן חענ"ן בשאר איסורים נחלקו הראשונים אם החתיכה עצמה יכולה לחזור להיתירו. והנה דבר זה נראה מוסכם לכל הראשונים שאין עצה לכתחילה להתיר החתיכה שנאסרה ע"י נתינת טעם. ול</w:t>
      </w:r>
      <w:r w:rsidR="00D366F9" w:rsidRPr="00882F11">
        <w:rPr>
          <w:rFonts w:cs="Guttman Drogolin" w:hint="cs"/>
          <w:rtl/>
          <w:lang w:bidi="he-IL"/>
        </w:rPr>
        <w:t>א</w:t>
      </w:r>
      <w:r w:rsidR="00A86A6A" w:rsidRPr="00882F11">
        <w:rPr>
          <w:rFonts w:cs="Guttman Drogolin" w:hint="cs"/>
          <w:rtl/>
          <w:lang w:bidi="he-IL"/>
        </w:rPr>
        <w:t xml:space="preserve"> ידוע לי מקור נאמן לדבר זה חוץ ממה שלא אמ</w:t>
      </w:r>
      <w:r w:rsidR="00D366F9" w:rsidRPr="00882F11">
        <w:rPr>
          <w:rFonts w:cs="Guttman Drogolin" w:hint="cs"/>
          <w:rtl/>
          <w:lang w:bidi="he-IL"/>
        </w:rPr>
        <w:t xml:space="preserve">רו לנו </w:t>
      </w:r>
      <w:r w:rsidR="00D366F9" w:rsidRPr="00882F11">
        <w:rPr>
          <w:rFonts w:cs="Guttman Drogolin" w:hint="cs"/>
          <w:rtl/>
          <w:lang w:bidi="he-IL"/>
        </w:rPr>
        <w:lastRenderedPageBreak/>
        <w:t>חז"ל שבכל המקרים שיש חתי</w:t>
      </w:r>
      <w:r w:rsidR="00A86A6A" w:rsidRPr="00882F11">
        <w:rPr>
          <w:rFonts w:cs="Guttman Drogolin" w:hint="cs"/>
          <w:rtl/>
          <w:lang w:bidi="he-IL"/>
        </w:rPr>
        <w:t>כה שנאסרה שיש עצה פשוטה להחזירה להיתירה הראשון. והנידון שלנו אם בדיעבד הרי הוא חוזר להתירו (ויתכן שהטעם שלא התירו להחזירו להיתירו לכתחילה משום שאין מבטלין איסור לכתחילה, ואכמ"ל בזה). ובשעתו כשלמדנו הסוגיות של חענ"ן הבאנו עיקרי השיטות הזה, ונחזור עליהם בקיצור. שיטת רש"י היא שהחתיכה חוזרת להיתירו, וכן הוא שיטת הטור בסי' ק"ו. והר"ן סובר על דרך שיטת רש"י שהחתיכה יכול לחזור להיתרו הראשון, רק דלא תלינן שיצא מספיק איסור מיני' כדי להתיר את החתיכה. אמנם גם הר"ן מודה שאם טעמו קפילא ואמר שאין בה נתינת טעם, חזר החתיכה להיות מותרת.</w:t>
      </w:r>
      <w:r w:rsidR="00486E46" w:rsidRPr="00882F11">
        <w:rPr>
          <w:rFonts w:cs="Guttman Drogolin" w:hint="cs"/>
          <w:rtl/>
          <w:lang w:bidi="he-IL"/>
        </w:rPr>
        <w:t xml:space="preserve"> </w:t>
      </w:r>
    </w:p>
    <w:p w:rsidR="00FB04CA" w:rsidRPr="00882F11" w:rsidRDefault="00486E46" w:rsidP="00655EB3">
      <w:pPr>
        <w:tabs>
          <w:tab w:val="right" w:pos="7497"/>
        </w:tabs>
        <w:bidi/>
        <w:jc w:val="both"/>
        <w:rPr>
          <w:rFonts w:cs="Guttman Drogolin"/>
          <w:rtl/>
          <w:lang w:bidi="he-IL"/>
        </w:rPr>
      </w:pPr>
      <w:r w:rsidRPr="00882F11">
        <w:rPr>
          <w:rFonts w:cs="Guttman Drogolin" w:hint="cs"/>
          <w:rtl/>
          <w:lang w:bidi="he-IL"/>
        </w:rPr>
        <w:t xml:space="preserve">והטור </w:t>
      </w:r>
      <w:r w:rsidR="00FB04CA" w:rsidRPr="00882F11">
        <w:rPr>
          <w:rFonts w:cs="Guttman Drogolin" w:hint="cs"/>
          <w:rtl/>
          <w:lang w:bidi="he-IL"/>
        </w:rPr>
        <w:t xml:space="preserve">כאן </w:t>
      </w:r>
      <w:r w:rsidRPr="00882F11">
        <w:rPr>
          <w:rFonts w:cs="Guttman Drogolin" w:hint="cs"/>
          <w:rtl/>
          <w:lang w:bidi="he-IL"/>
        </w:rPr>
        <w:t>הביא שיטת הרשב"א שהח</w:t>
      </w:r>
      <w:r w:rsidR="00655EB3" w:rsidRPr="00882F11">
        <w:rPr>
          <w:rFonts w:cs="Guttman Drogolin" w:hint="cs"/>
          <w:rtl/>
          <w:lang w:bidi="he-IL"/>
        </w:rPr>
        <w:t>ת</w:t>
      </w:r>
      <w:r w:rsidRPr="00882F11">
        <w:rPr>
          <w:rFonts w:cs="Guttman Drogolin" w:hint="cs"/>
          <w:rtl/>
          <w:lang w:bidi="he-IL"/>
        </w:rPr>
        <w:t>יכה אינה חוזרת להיתירו הראשון, ותמה עליו הטור וז"ל "</w:t>
      </w:r>
      <w:r w:rsidR="003A0339" w:rsidRPr="00882F11">
        <w:rPr>
          <w:rFonts w:cs="Guttman Drogolin" w:hint="cs"/>
          <w:rtl/>
          <w:lang w:bidi="he-IL"/>
        </w:rPr>
        <w:t xml:space="preserve">ואיני מבין דבריו דכיון שהכל מצטרף לבטלו על כרחך הטעם מתבלבל בכולו וכיון שמתבלבל בכולו אם כן נתבטל". ושם בב"י "ואני אומר שאיני מבין דברי רבינו [הטור] שכתב דכיון שהכל מצטרף לבטלו ע"כ הטעם מתבלבל בכולו כלומר כל טעם האיסור הבלוע בחתיכה זו מתבלבל בכל החתיכות דמנין לו להכריח כן דאי משום דמצרכינן ששים כנגד כל האיסור אין משם ראיה דהא אפילו אם ברור לנו שאין הכל מתפשט ומתבלבל אנו מצריכים ששים כנגד כולו וכדאמרינן גבי כחל בדידיה משערין דאי במאי דנפק מיניה מנא ידעינן והכי נמי דכוותה". </w:t>
      </w:r>
    </w:p>
    <w:p w:rsidR="00B94CA5" w:rsidRPr="00882F11" w:rsidRDefault="00FB04CA" w:rsidP="00FB04CA">
      <w:pPr>
        <w:tabs>
          <w:tab w:val="right" w:pos="7497"/>
        </w:tabs>
        <w:bidi/>
        <w:jc w:val="both"/>
        <w:rPr>
          <w:rFonts w:cs="Guttman Drogolin"/>
          <w:rtl/>
          <w:lang w:bidi="he-IL"/>
        </w:rPr>
      </w:pPr>
      <w:r w:rsidRPr="00882F11">
        <w:rPr>
          <w:rFonts w:cs="Guttman Drogolin" w:hint="cs"/>
          <w:rtl/>
          <w:lang w:bidi="he-IL"/>
        </w:rPr>
        <w:t>והדרכ"מ כתב בפירוש השגת הטור דהא בניער וכיסה מעיקרא אמרינן שגם החתיכה עצמה לא נאסרה אם יש ששים כנגד החלב או האיסור, וא"כ הכא נמי נימא הכי, דמאי שנא. ואינו ברור לי אם כוונת הרמ"א לפרש את עצם הלשון של הטור, דמש"כ "דכיון שהכל מצטרף לבטלו"</w:t>
      </w:r>
      <w:r w:rsidR="003A0339" w:rsidRPr="00882F11">
        <w:rPr>
          <w:rFonts w:cs="Guttman Drogolin" w:hint="cs"/>
          <w:rtl/>
          <w:lang w:bidi="he-IL"/>
        </w:rPr>
        <w:t xml:space="preserve"> </w:t>
      </w:r>
      <w:r w:rsidRPr="00882F11">
        <w:rPr>
          <w:rFonts w:cs="Guttman Drogolin" w:hint="cs"/>
          <w:rtl/>
          <w:lang w:bidi="he-IL"/>
        </w:rPr>
        <w:t>ר"ל בכה"ג שניער וכיסה מעיקרא, או"ד דאע"ג שאין זה עצם כוונת הטור, מ"מ כן יש להשיב לפי שיטת הטור. ועכ"פ לענין עצם הערת הרמ"א לכאורה צריכים לומר לשיטת הרשב"א שיש לחלק בין היכא שכבר הפסיק הבליע מלהתפשט, לבין היכא דסופו להתפשט.</w:t>
      </w:r>
    </w:p>
    <w:p w:rsidR="00AC7FD4" w:rsidRPr="00882F11" w:rsidRDefault="00FB04CA" w:rsidP="00AC7FD4">
      <w:pPr>
        <w:tabs>
          <w:tab w:val="right" w:pos="7497"/>
        </w:tabs>
        <w:bidi/>
        <w:jc w:val="both"/>
        <w:rPr>
          <w:rFonts w:cs="Guttman Drogolin"/>
          <w:rtl/>
          <w:lang w:bidi="he-IL"/>
        </w:rPr>
      </w:pPr>
      <w:r w:rsidRPr="00882F11">
        <w:rPr>
          <w:rFonts w:cs="Guttman Drogolin" w:hint="cs"/>
          <w:rtl/>
          <w:lang w:bidi="he-IL"/>
        </w:rPr>
        <w:lastRenderedPageBreak/>
        <w:t>והנה הב"י שם העיר שמשמעות הרשב"א שהחתיכה עצמה נשארת באיסורה ולא מהני לה טעימת קפילא. ומשו"ה תמה הב"י למה יהא הדין כן, דכיון שלשיטת ר אפרים לא אומרים חענ"ן בשאר איסורים, וכן ליכא טעם איסור בחתיכה, למה לא תהני טעימת קפילא. ותי' הב"י "ושמא יש לומר דכיון שכבר נאסרה אע"פ שנפלט קצת מאיסור שבה לעולם אסורה עד שיפלוט כולו לגמרי</w:t>
      </w:r>
      <w:r w:rsidR="00F76283" w:rsidRPr="00882F11">
        <w:rPr>
          <w:rFonts w:cs="Guttman Drogolin" w:hint="cs"/>
          <w:rtl/>
          <w:lang w:bidi="he-IL"/>
        </w:rPr>
        <w:t xml:space="preserve"> ולא ישאר בה ממנו כלל". והב"י סתם ולא פירש למה באמת יהא הדין כן. ובש"ך ס"ק </w:t>
      </w:r>
      <w:r w:rsidR="00BF4264" w:rsidRPr="00882F11">
        <w:rPr>
          <w:rFonts w:cs="Guttman Drogolin" w:hint="cs"/>
          <w:rtl/>
          <w:lang w:bidi="he-IL"/>
        </w:rPr>
        <w:t xml:space="preserve">ב' כתב שהטעם משום שגם רבינו אפרים מודה שבשאר איסורים אמרינן </w:t>
      </w:r>
      <w:r w:rsidR="00DC784B">
        <w:rPr>
          <w:rFonts w:cs="Guttman Drogolin" w:hint="cs"/>
          <w:rtl/>
          <w:lang w:bidi="he-IL"/>
        </w:rPr>
        <w:t>אפשר לסוחטו</w:t>
      </w:r>
      <w:r w:rsidR="00BF4264" w:rsidRPr="00882F11">
        <w:rPr>
          <w:rFonts w:cs="Guttman Drogolin" w:hint="cs"/>
          <w:rtl/>
          <w:lang w:bidi="he-IL"/>
        </w:rPr>
        <w:t xml:space="preserve"> אסור, ולא חלק רבינו אפרים אלא בזה שלא אומרים שהחתיכה נע"נ, ולכן לא צריכים ששים כנגד כל החתיכה. וכן מבואר בביאור הגר"א ס"ק ג'. </w:t>
      </w:r>
      <w:r w:rsidR="00AC7FD4" w:rsidRPr="00882F11">
        <w:rPr>
          <w:rFonts w:cs="Guttman Drogolin" w:hint="cs"/>
          <w:rtl/>
          <w:lang w:bidi="he-IL"/>
        </w:rPr>
        <w:t xml:space="preserve">וכ"כ הפמ"ג בפירוש לשון הב"י הנ"ל. </w:t>
      </w:r>
      <w:r w:rsidR="00BF4264" w:rsidRPr="00882F11">
        <w:rPr>
          <w:rFonts w:cs="Guttman Drogolin" w:hint="cs"/>
          <w:rtl/>
          <w:lang w:bidi="he-IL"/>
        </w:rPr>
        <w:t xml:space="preserve">ורע"א שם בהגהות שו"ע הביא מכרו"פ שתמה בזה, שלפי זה יוצא לשיטת רבינו אפרים דהא דמבואר ברמ"א שבלח בלח אומרים שאין צריכים אלא ששים כנגד האיסור דמעיקרא ולא כנגד כולו אפילו לשיטת הרשב"א הנ"ל, היינו משום שבלח בלח לא אומרים </w:t>
      </w:r>
      <w:r w:rsidR="00DC784B">
        <w:rPr>
          <w:rFonts w:cs="Guttman Drogolin" w:hint="cs"/>
          <w:rtl/>
          <w:lang w:bidi="he-IL"/>
        </w:rPr>
        <w:t>אפשר לסוחטו</w:t>
      </w:r>
      <w:r w:rsidR="00BF4264" w:rsidRPr="00882F11">
        <w:rPr>
          <w:rFonts w:cs="Guttman Drogolin" w:hint="cs"/>
          <w:rtl/>
          <w:lang w:bidi="he-IL"/>
        </w:rPr>
        <w:t xml:space="preserve"> אסור. וא"כ לכאורה הי' צריך להיות הדין דכיון ש</w:t>
      </w:r>
      <w:r w:rsidR="00DC784B">
        <w:rPr>
          <w:rFonts w:cs="Guttman Drogolin" w:hint="cs"/>
          <w:rtl/>
          <w:lang w:bidi="he-IL"/>
        </w:rPr>
        <w:t>אפשר לסוחטו</w:t>
      </w:r>
      <w:r w:rsidR="00BF4264" w:rsidRPr="00882F11">
        <w:rPr>
          <w:rFonts w:cs="Guttman Drogolin" w:hint="cs"/>
          <w:rtl/>
          <w:lang w:bidi="he-IL"/>
        </w:rPr>
        <w:t xml:space="preserve"> כה"ג מותר גם חענ"ן לא אמרינן, דהא אמרו בגמ' בהדיא בדף ק"ח ע"א שאם </w:t>
      </w:r>
      <w:r w:rsidR="00DC784B">
        <w:rPr>
          <w:rFonts w:cs="Guttman Drogolin" w:hint="cs"/>
          <w:rtl/>
          <w:lang w:bidi="he-IL"/>
        </w:rPr>
        <w:t>אפשר לסוחטו</w:t>
      </w:r>
      <w:r w:rsidR="00BF4264" w:rsidRPr="00882F11">
        <w:rPr>
          <w:rFonts w:cs="Guttman Drogolin" w:hint="cs"/>
          <w:rtl/>
          <w:lang w:bidi="he-IL"/>
        </w:rPr>
        <w:t xml:space="preserve"> מותר חתיכה אמאי נעשית נבילה. וא"כ למה אמרינן חענ"ן בלח בלח בב"ח, וכדמבואר מהא</w:t>
      </w:r>
      <w:r w:rsidR="00FA4A86" w:rsidRPr="00882F11">
        <w:rPr>
          <w:rFonts w:cs="Guttman Drogolin" w:hint="cs"/>
          <w:rtl/>
          <w:lang w:bidi="he-IL"/>
        </w:rPr>
        <w:t xml:space="preserve"> </w:t>
      </w:r>
      <w:r w:rsidR="00BF4264" w:rsidRPr="00882F11">
        <w:rPr>
          <w:rFonts w:cs="Guttman Drogolin" w:hint="cs"/>
          <w:rtl/>
          <w:lang w:bidi="he-IL"/>
        </w:rPr>
        <w:t>דחלב נבילה וכנ"ל בשיעור הקודם</w:t>
      </w:r>
      <w:r w:rsidR="00FA4A86" w:rsidRPr="00882F11">
        <w:rPr>
          <w:rFonts w:cs="Guttman Drogolin" w:hint="cs"/>
          <w:rtl/>
          <w:lang w:bidi="he-IL"/>
        </w:rPr>
        <w:t>. וכתב בזה רע"א שכל זה אינו לפי המבארים שהטעם שהחתיכה עצמה נשארת באיסורה אליבא דרשב"א משום ש</w:t>
      </w:r>
      <w:r w:rsidR="00DC784B">
        <w:rPr>
          <w:rFonts w:cs="Guttman Drogolin" w:hint="cs"/>
          <w:rtl/>
          <w:lang w:bidi="he-IL"/>
        </w:rPr>
        <w:t>אפשר לסוחטו</w:t>
      </w:r>
      <w:r w:rsidR="00FA4A86" w:rsidRPr="00882F11">
        <w:rPr>
          <w:rFonts w:cs="Guttman Drogolin" w:hint="cs"/>
          <w:rtl/>
          <w:lang w:bidi="he-IL"/>
        </w:rPr>
        <w:t xml:space="preserve"> אסור, אבל ברשב"א עצמו מבואר טעם אחר, והוא דאע"ג ש</w:t>
      </w:r>
      <w:r w:rsidR="00DC784B">
        <w:rPr>
          <w:rFonts w:cs="Guttman Drogolin" w:hint="cs"/>
          <w:rtl/>
          <w:lang w:bidi="he-IL"/>
        </w:rPr>
        <w:t>אפשר לסוחטו</w:t>
      </w:r>
      <w:r w:rsidR="00FA4A86" w:rsidRPr="00882F11">
        <w:rPr>
          <w:rFonts w:cs="Guttman Drogolin" w:hint="cs"/>
          <w:rtl/>
          <w:lang w:bidi="he-IL"/>
        </w:rPr>
        <w:t xml:space="preserve"> מותר מ"מ אין סחיטה באוכלין, ולכן לא יוכל להתירו אע"ג ש</w:t>
      </w:r>
      <w:r w:rsidR="00DC784B">
        <w:rPr>
          <w:rFonts w:cs="Guttman Drogolin" w:hint="cs"/>
          <w:rtl/>
          <w:lang w:bidi="he-IL"/>
        </w:rPr>
        <w:t>אפשר לסוחטו</w:t>
      </w:r>
      <w:r w:rsidR="00FA4A86" w:rsidRPr="00882F11">
        <w:rPr>
          <w:rFonts w:cs="Guttman Drogolin" w:hint="cs"/>
          <w:rtl/>
          <w:lang w:bidi="he-IL"/>
        </w:rPr>
        <w:t xml:space="preserve"> מותר (ופי </w:t>
      </w:r>
      <w:r w:rsidR="00DC784B">
        <w:rPr>
          <w:rFonts w:cs="Guttman Drogolin" w:hint="cs"/>
          <w:rtl/>
          <w:lang w:bidi="he-IL"/>
        </w:rPr>
        <w:t>אפשר לסוחטו</w:t>
      </w:r>
      <w:r w:rsidR="00FA4A86" w:rsidRPr="00882F11">
        <w:rPr>
          <w:rFonts w:cs="Guttman Drogolin" w:hint="cs"/>
          <w:rtl/>
          <w:lang w:bidi="he-IL"/>
        </w:rPr>
        <w:t xml:space="preserve"> מותר היינו ע"כ אילו הי' </w:t>
      </w:r>
      <w:r w:rsidR="00DC784B">
        <w:rPr>
          <w:rFonts w:cs="Guttman Drogolin" w:hint="cs"/>
          <w:rtl/>
          <w:lang w:bidi="he-IL"/>
        </w:rPr>
        <w:t>אפשר לסוחטו</w:t>
      </w:r>
      <w:r w:rsidR="00FA4A86" w:rsidRPr="00882F11">
        <w:rPr>
          <w:rFonts w:cs="Guttman Drogolin" w:hint="cs"/>
          <w:rtl/>
          <w:lang w:bidi="he-IL"/>
        </w:rPr>
        <w:t xml:space="preserve">). </w:t>
      </w:r>
      <w:r w:rsidR="00AC7FD4" w:rsidRPr="00882F11">
        <w:rPr>
          <w:rFonts w:cs="Guttman Drogolin" w:hint="cs"/>
          <w:rtl/>
          <w:lang w:bidi="he-IL"/>
        </w:rPr>
        <w:t>ולעולם אין החתיכה נשארת באיסורה כלל, ולכן בלח בלח לא צריכים אלא ששים כנגד האסור דמעיקרא.</w:t>
      </w:r>
    </w:p>
    <w:p w:rsidR="00AC7FD4" w:rsidRPr="00882F11" w:rsidRDefault="00AC7FD4" w:rsidP="00AC7FD4">
      <w:pPr>
        <w:tabs>
          <w:tab w:val="right" w:pos="7497"/>
        </w:tabs>
        <w:bidi/>
        <w:jc w:val="both"/>
        <w:rPr>
          <w:rFonts w:cs="Guttman Drogolin"/>
          <w:rtl/>
          <w:lang w:bidi="he-IL"/>
        </w:rPr>
      </w:pPr>
      <w:r w:rsidRPr="00882F11">
        <w:rPr>
          <w:rFonts w:cs="Guttman Drogolin" w:hint="cs"/>
          <w:rtl/>
          <w:lang w:bidi="he-IL"/>
        </w:rPr>
        <w:t xml:space="preserve">אמנם לפי דברי רע"א הדרה הקושיא לדוכתי' למה לא תהני טעימת קפילא אם טועם ואומר שאין טעם איסור. ורע"א עצמו כתב שם סברא </w:t>
      </w:r>
      <w:r w:rsidRPr="00882F11">
        <w:rPr>
          <w:rFonts w:cs="Guttman Drogolin" w:hint="cs"/>
          <w:rtl/>
          <w:lang w:bidi="he-IL"/>
        </w:rPr>
        <w:lastRenderedPageBreak/>
        <w:t>שי"ל דדבר שיש לו חזקת איסור שאני, שבזה לא סמכינן אטעימת קפילא. ועוד י"ל דלא סמכינן אקפילא לאחר שכבר נח האיסור בתוכו על נתינת טעם, משום שי"ל שאע"ג שיצא טעם מן החלק של החתיכה שכבר טעמו הנכרי, מ"מ אין זה מוכיח על שאר החתיכה לומר שאין בה טעם.</w:t>
      </w:r>
    </w:p>
    <w:p w:rsidR="00AC7FD4" w:rsidRPr="00882F11" w:rsidRDefault="003C2769" w:rsidP="00AC7FD4">
      <w:pPr>
        <w:tabs>
          <w:tab w:val="right" w:pos="7497"/>
        </w:tabs>
        <w:bidi/>
        <w:jc w:val="both"/>
        <w:rPr>
          <w:rFonts w:cs="Guttman Drogolin"/>
          <w:rtl/>
          <w:lang w:bidi="he-IL"/>
        </w:rPr>
      </w:pPr>
      <w:r w:rsidRPr="00882F11">
        <w:rPr>
          <w:rFonts w:cs="Guttman Drogolin" w:hint="cs"/>
          <w:rtl/>
          <w:lang w:bidi="he-IL"/>
        </w:rPr>
        <w:t xml:space="preserve">ודרך יותר מפולפל מצאתי בחוו"ד ס"ק א'. דהנה י"א שבטעם בעיקר נהפך גם ההיתר להיות איסור. ושיטת המרדכי היא שאיסור שנתחדש בתערובת לא אמרינן בה ביטול. ולכן סבר הרשב"א שאפילו יסחוט טעמו ממנו, מ"מ מיד בדיכא טעם יש איסור בתערובת, ושוב אינו יכול להתבטל וכנ"ל.  </w:t>
      </w:r>
    </w:p>
    <w:p w:rsidR="00396702" w:rsidRPr="00882F11" w:rsidRDefault="00396702" w:rsidP="00396702">
      <w:pPr>
        <w:tabs>
          <w:tab w:val="right" w:pos="7497"/>
        </w:tabs>
        <w:bidi/>
        <w:jc w:val="both"/>
        <w:rPr>
          <w:rFonts w:cs="Guttman Drogolin"/>
          <w:rtl/>
          <w:lang w:bidi="he-IL"/>
        </w:rPr>
        <w:sectPr w:rsidR="00396702" w:rsidRPr="00882F11" w:rsidSect="00DA1D59">
          <w:type w:val="continuous"/>
          <w:pgSz w:w="11907" w:h="16839" w:code="9"/>
          <w:pgMar w:top="1440" w:right="1440" w:bottom="1440" w:left="1440" w:header="720" w:footer="720" w:gutter="0"/>
          <w:cols w:num="2" w:space="720"/>
          <w:bidi/>
          <w:docGrid w:linePitch="360"/>
        </w:sectPr>
      </w:pPr>
    </w:p>
    <w:p w:rsidR="00396702" w:rsidRPr="00882F11" w:rsidRDefault="00396702" w:rsidP="00396702">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נ"ו</w:t>
      </w:r>
    </w:p>
    <w:p w:rsidR="00DA1D59" w:rsidRDefault="00DA1D59" w:rsidP="0078079C">
      <w:pPr>
        <w:pStyle w:val="Heading1"/>
        <w:bidi/>
        <w:spacing w:before="0" w:line="360" w:lineRule="auto"/>
        <w:jc w:val="center"/>
        <w:rPr>
          <w:rFonts w:cs="Guttman Drogolin"/>
          <w:color w:val="auto"/>
          <w:sz w:val="24"/>
          <w:szCs w:val="24"/>
          <w:u w:val="single"/>
          <w:rtl/>
          <w:lang w:bidi="he-IL"/>
        </w:rPr>
        <w:sectPr w:rsidR="00DA1D59" w:rsidSect="00DA1D59">
          <w:headerReference w:type="default" r:id="rId44"/>
          <w:pgSz w:w="11907" w:h="16839" w:code="9"/>
          <w:pgMar w:top="1440" w:right="1440" w:bottom="1440" w:left="1440" w:header="720" w:footer="720" w:gutter="0"/>
          <w:cols w:space="720"/>
          <w:bidi/>
          <w:docGrid w:linePitch="360"/>
        </w:sectPr>
      </w:pPr>
    </w:p>
    <w:p w:rsidR="00396702" w:rsidRPr="00882F11" w:rsidRDefault="00396702" w:rsidP="00DA1D59">
      <w:pPr>
        <w:pStyle w:val="Heading1"/>
        <w:bidi/>
        <w:spacing w:before="0" w:line="240" w:lineRule="auto"/>
        <w:jc w:val="center"/>
        <w:rPr>
          <w:rFonts w:cs="Guttman Drogolin"/>
          <w:color w:val="auto"/>
          <w:sz w:val="24"/>
          <w:szCs w:val="24"/>
          <w:u w:val="single"/>
          <w:rtl/>
          <w:lang w:bidi="he-IL"/>
        </w:rPr>
      </w:pPr>
      <w:bookmarkStart w:id="215" w:name="_Toc496175470"/>
      <w:r w:rsidRPr="00882F11">
        <w:rPr>
          <w:rFonts w:cs="Guttman Drogolin" w:hint="cs"/>
          <w:color w:val="auto"/>
          <w:sz w:val="24"/>
          <w:szCs w:val="24"/>
          <w:u w:val="single"/>
          <w:rtl/>
          <w:lang w:bidi="he-IL"/>
        </w:rPr>
        <w:lastRenderedPageBreak/>
        <w:t>עוד בדעת הט"ז בביאור השיטה שלא אומרים חענ"ן באיסור משהו</w:t>
      </w:r>
      <w:bookmarkEnd w:id="215"/>
    </w:p>
    <w:p w:rsidR="00396702" w:rsidRPr="00882F11" w:rsidRDefault="005E1A06" w:rsidP="00396702">
      <w:pPr>
        <w:tabs>
          <w:tab w:val="right" w:pos="7497"/>
        </w:tabs>
        <w:bidi/>
        <w:jc w:val="both"/>
        <w:rPr>
          <w:rFonts w:cs="Guttman Drogolin"/>
          <w:rtl/>
          <w:lang w:bidi="he-IL"/>
        </w:rPr>
      </w:pPr>
      <w:r>
        <w:rPr>
          <w:rFonts w:cs="Guttman Drogolin"/>
          <w:rtl/>
          <w:lang w:bidi="he-IL"/>
        </w:rPr>
        <w:fldChar w:fldCharType="begin"/>
      </w:r>
      <w:r>
        <w:instrText xml:space="preserve"> XE "</w:instrText>
      </w:r>
      <w:r w:rsidRPr="00992EDF">
        <w:rPr>
          <w:rFonts w:hint="cs"/>
          <w:rtl/>
          <w:lang w:bidi="he-IL"/>
        </w:rPr>
        <w:instrText>חענ</w:instrText>
      </w:r>
      <w:r>
        <w:rPr>
          <w:rFonts w:eastAsiaTheme="minorEastAsia"/>
          <w:lang w:bidi="he-IL"/>
        </w:rPr>
        <w:instrText>\</w:instrText>
      </w:r>
      <w:r w:rsidRPr="00992EDF">
        <w:rPr>
          <w:rFonts w:hint="cs"/>
          <w:rtl/>
          <w:lang w:bidi="he-IL"/>
        </w:rPr>
        <w:instrText>"ן</w:instrText>
      </w:r>
      <w:r w:rsidRPr="00992EDF">
        <w:rPr>
          <w:rtl/>
        </w:rPr>
        <w:instrText>:</w:instrText>
      </w:r>
      <w:r w:rsidRPr="00992EDF">
        <w:rPr>
          <w:rFonts w:hint="cs"/>
          <w:rtl/>
          <w:lang w:bidi="he-IL"/>
        </w:rPr>
        <w:instrText>באיסור משהו</w:instrText>
      </w:r>
      <w:r>
        <w:instrText xml:space="preserve">" </w:instrText>
      </w:r>
      <w:r>
        <w:rPr>
          <w:rFonts w:cs="Guttman Drogolin"/>
          <w:rtl/>
          <w:lang w:bidi="he-IL"/>
        </w:rPr>
        <w:fldChar w:fldCharType="end"/>
      </w:r>
      <w:r w:rsidR="00396702" w:rsidRPr="00882F11">
        <w:rPr>
          <w:rFonts w:cs="Guttman Drogolin" w:hint="cs"/>
          <w:rtl/>
          <w:lang w:bidi="he-IL"/>
        </w:rPr>
        <w:t xml:space="preserve">בשיעור הקודם הבאנו ביאורו של רע"א בדעת הט"ז סי' צ"ב ס"ק ט"ז שהטעם שאין אומרים חענ"ן באיסור משהו משום הכלל שאין הנאסר אוסר במקום שאין האיסור יכול להתפשט. ועוד פירוש כתבנו והוא דאע"ג שבעצם אומרים חענ"ן, מ"מ יש כלל בדברים שאינם מתבטלים אפילו באיסור משהו שאין הדבר כן אלא בדבר שהאסור מצד עצמו, אבל דבר שאינו אסור אלא משום שנאסר מדין חענ"ן לא. </w:t>
      </w:r>
    </w:p>
    <w:p w:rsidR="000722AB" w:rsidRPr="00882F11" w:rsidRDefault="00021306" w:rsidP="000722AB">
      <w:pPr>
        <w:tabs>
          <w:tab w:val="right" w:pos="7497"/>
        </w:tabs>
        <w:bidi/>
        <w:jc w:val="both"/>
        <w:rPr>
          <w:rFonts w:cs="Guttman Drogolin"/>
          <w:rtl/>
          <w:lang w:bidi="he-IL"/>
        </w:rPr>
      </w:pPr>
      <w:r w:rsidRPr="00882F11">
        <w:rPr>
          <w:rFonts w:cs="Guttman Drogolin" w:hint="cs"/>
          <w:rtl/>
          <w:lang w:bidi="he-IL"/>
        </w:rPr>
        <w:t>ולפי הביאורים האלו לכאורה יהי' נפק"מ לדינא. שלכאורה לפי הנ"ל בעצם אומרים חענ"ן גם בדבר שנאסר באיסור משהו. וא"כ לכאורה אם איסור לח אסר היתר לח באיסור משהו, הי' צריך להיות הדי</w:t>
      </w:r>
      <w:r w:rsidR="000722AB" w:rsidRPr="00882F11">
        <w:rPr>
          <w:rFonts w:cs="Guttman Drogolin" w:hint="cs"/>
          <w:rtl/>
          <w:lang w:bidi="he-IL"/>
        </w:rPr>
        <w:t>ן</w:t>
      </w:r>
      <w:r w:rsidRPr="00882F11">
        <w:rPr>
          <w:rFonts w:cs="Guttman Drogolin" w:hint="cs"/>
          <w:rtl/>
          <w:lang w:bidi="he-IL"/>
        </w:rPr>
        <w:t xml:space="preserve"> שאומרים חענ"ן וצריכים ששים כנגד כל התערובת דלח בלח אם ישפך לתוך תערובת אחר.</w:t>
      </w:r>
      <w:r w:rsidR="000722AB" w:rsidRPr="00882F11">
        <w:rPr>
          <w:rFonts w:cs="Guttman Drogolin" w:hint="cs"/>
          <w:rtl/>
          <w:lang w:bidi="he-IL"/>
        </w:rPr>
        <w:t xml:space="preserve"> ואף שבמין במינו אין בזה נפק"מ, דהא במין במינו הרי זה יאסר משום המשהו שמתוכו בלבד ואפילו בלי חענ"ן, אבל נפק"מ במין בשאינו מינו נמי צריכים ששים כנגד כל התערובת.</w:t>
      </w:r>
      <w:r w:rsidRPr="00882F11">
        <w:rPr>
          <w:rFonts w:cs="Guttman Drogolin" w:hint="cs"/>
          <w:rtl/>
          <w:lang w:bidi="he-IL"/>
        </w:rPr>
        <w:t xml:space="preserve"> שלפי הטעם של רע"א הא בלח בלח שפיר נכנס</w:t>
      </w:r>
      <w:r w:rsidR="000722AB" w:rsidRPr="00882F11">
        <w:rPr>
          <w:rFonts w:cs="Guttman Drogolin" w:hint="cs"/>
          <w:rtl/>
          <w:lang w:bidi="he-IL"/>
        </w:rPr>
        <w:t xml:space="preserve"> המשהו לתוך התערובת השני, שרק ב</w:t>
      </w:r>
      <w:r w:rsidRPr="00882F11">
        <w:rPr>
          <w:rFonts w:cs="Guttman Drogolin" w:hint="cs"/>
          <w:rtl/>
          <w:lang w:bidi="he-IL"/>
        </w:rPr>
        <w:t xml:space="preserve">בלוע בחתיכה הוא דאמרינן שאינו יוצא. </w:t>
      </w:r>
      <w:r w:rsidR="003544E6" w:rsidRPr="00882F11">
        <w:rPr>
          <w:rFonts w:cs="Guttman Drogolin" w:hint="cs"/>
          <w:rtl/>
          <w:lang w:bidi="he-IL"/>
        </w:rPr>
        <w:t xml:space="preserve">וכ"כ הפמ"ג לדינא לפי פי' זה. </w:t>
      </w:r>
      <w:r w:rsidRPr="00882F11">
        <w:rPr>
          <w:rFonts w:cs="Guttman Drogolin" w:hint="cs"/>
          <w:rtl/>
          <w:lang w:bidi="he-IL"/>
        </w:rPr>
        <w:t xml:space="preserve">וכן לפי הביאור השני </w:t>
      </w:r>
      <w:r w:rsidR="002E686B" w:rsidRPr="00882F11">
        <w:rPr>
          <w:rFonts w:cs="Guttman Drogolin" w:hint="cs"/>
          <w:rtl/>
          <w:lang w:bidi="he-IL"/>
        </w:rPr>
        <w:t xml:space="preserve">הנ"ל הא אמרינן חענ"ן, ולמה לא יצטרך ששים כנגדו, ואדרבה כתבנו שלכאורה ראי' לדברינו מזה שכתב הט"ז בהדיא </w:t>
      </w:r>
      <w:r w:rsidR="000722AB" w:rsidRPr="00882F11">
        <w:rPr>
          <w:rFonts w:cs="Guttman Drogolin" w:hint="cs"/>
          <w:rtl/>
          <w:lang w:bidi="he-IL"/>
        </w:rPr>
        <w:t xml:space="preserve">שצריכים ששיים כנגד דבר שנאסר באיסור משהו. </w:t>
      </w:r>
    </w:p>
    <w:p w:rsidR="00021306" w:rsidRPr="00882F11" w:rsidRDefault="000722AB" w:rsidP="000722AB">
      <w:pPr>
        <w:tabs>
          <w:tab w:val="right" w:pos="7497"/>
        </w:tabs>
        <w:bidi/>
        <w:jc w:val="both"/>
        <w:rPr>
          <w:rFonts w:cs="Guttman Drogolin"/>
          <w:rtl/>
          <w:lang w:bidi="he-IL"/>
        </w:rPr>
      </w:pPr>
      <w:r w:rsidRPr="00882F11">
        <w:rPr>
          <w:rFonts w:cs="Guttman Drogolin" w:hint="cs"/>
          <w:rtl/>
          <w:lang w:bidi="he-IL"/>
        </w:rPr>
        <w:t xml:space="preserve">ולכאורה דבר שזה נסתר מדברי התוס' שבדף ק' ע"ב, ששם רצו להוכיח כשיטת ר' אפרים שלא אומרים חענ"ן בשאר איסורים מן הגמ' שבמס' ע"ז שנפל יין נסך לתוך יין כשר ולאחר מכן נפל לתוכו מים שהמים מתירו, ומבואר לכאורה שלא אומרים חענ"ן. ותי' שגם שם מיירי באיסור משהו. ולכאורה לפי הנ"ל הי' צריך להיות שאינו ניתר אפילו אי אמרינן חענ"ן באיסור משהו וכמש"נ. ולכאורה מבואר דלא כנ"ל. </w:t>
      </w:r>
      <w:r w:rsidR="003544E6" w:rsidRPr="00882F11">
        <w:rPr>
          <w:rFonts w:cs="Guttman Drogolin" w:hint="cs"/>
          <w:rtl/>
          <w:lang w:bidi="he-IL"/>
        </w:rPr>
        <w:t xml:space="preserve">ובעצם הקושיא הזאת </w:t>
      </w:r>
      <w:r w:rsidR="003544E6" w:rsidRPr="00882F11">
        <w:rPr>
          <w:rFonts w:cs="Guttman Drogolin" w:hint="cs"/>
          <w:rtl/>
          <w:lang w:bidi="he-IL"/>
        </w:rPr>
        <w:lastRenderedPageBreak/>
        <w:t xml:space="preserve">שואל הנקוה"כ על הט"ז, ולכן עכ"פ חזינן שזהו הביאור בשיטתו, ולרע"א לכאורה אינו צריך ששים כנגד החתיכה רק כנגד תערובת לח בלח, אבל גם זה אינו וכנ"ל. וכן העיר בס' יד יהודה שלכאורה דברי הפמ"ג נסתרים מדברי התוס'. וצ"ע.  </w:t>
      </w:r>
      <w:r w:rsidRPr="00882F11">
        <w:rPr>
          <w:rFonts w:cs="Guttman Drogolin" w:hint="cs"/>
          <w:rtl/>
          <w:lang w:bidi="he-IL"/>
        </w:rPr>
        <w:t xml:space="preserve"> </w:t>
      </w:r>
      <w:r w:rsidR="00021306" w:rsidRPr="00882F11">
        <w:rPr>
          <w:rFonts w:cs="Guttman Drogolin" w:hint="cs"/>
          <w:rtl/>
          <w:lang w:bidi="he-IL"/>
        </w:rPr>
        <w:t xml:space="preserve"> </w:t>
      </w:r>
    </w:p>
    <w:p w:rsidR="003544E6" w:rsidRPr="00DA1D59" w:rsidRDefault="003544E6" w:rsidP="0078079C">
      <w:pPr>
        <w:pStyle w:val="Heading1"/>
        <w:bidi/>
        <w:spacing w:before="0" w:line="360" w:lineRule="auto"/>
        <w:jc w:val="center"/>
        <w:rPr>
          <w:rFonts w:cs="Guttman Drogolin"/>
          <w:color w:val="auto"/>
          <w:sz w:val="22"/>
          <w:szCs w:val="22"/>
          <w:u w:val="single"/>
          <w:rtl/>
          <w:lang w:bidi="he-IL"/>
        </w:rPr>
      </w:pPr>
      <w:bookmarkStart w:id="216" w:name="_Toc496175471"/>
      <w:r w:rsidRPr="00DA1D59">
        <w:rPr>
          <w:rFonts w:cs="Guttman Drogolin" w:hint="cs"/>
          <w:color w:val="auto"/>
          <w:sz w:val="22"/>
          <w:szCs w:val="22"/>
          <w:u w:val="single"/>
          <w:rtl/>
          <w:lang w:bidi="he-IL"/>
        </w:rPr>
        <w:t>חענ"ן בשאר דברים האוסרים ביותר בששים</w:t>
      </w:r>
      <w:bookmarkEnd w:id="216"/>
    </w:p>
    <w:p w:rsidR="00FB04CA" w:rsidRPr="00882F11" w:rsidRDefault="005E1A06" w:rsidP="00F05160">
      <w:pPr>
        <w:tabs>
          <w:tab w:val="right" w:pos="7497"/>
        </w:tabs>
        <w:bidi/>
        <w:jc w:val="both"/>
        <w:rPr>
          <w:rFonts w:cs="Guttman Drogolin"/>
          <w:rtl/>
          <w:lang w:bidi="he-IL"/>
        </w:rPr>
      </w:pPr>
      <w:r>
        <w:rPr>
          <w:rFonts w:cs="Guttman Drogolin"/>
          <w:rtl/>
          <w:lang w:bidi="he-IL"/>
        </w:rPr>
        <w:fldChar w:fldCharType="begin"/>
      </w:r>
      <w:r>
        <w:instrText xml:space="preserve"> XE "</w:instrText>
      </w:r>
      <w:r w:rsidRPr="00E130DB">
        <w:rPr>
          <w:rFonts w:hint="cs"/>
          <w:rtl/>
          <w:lang w:bidi="he-IL"/>
        </w:rPr>
        <w:instrText>חענ</w:instrText>
      </w:r>
      <w:r>
        <w:rPr>
          <w:rFonts w:eastAsiaTheme="minorEastAsia"/>
          <w:lang w:bidi="he-IL"/>
        </w:rPr>
        <w:instrText>\</w:instrText>
      </w:r>
      <w:r w:rsidRPr="00E130DB">
        <w:rPr>
          <w:rFonts w:hint="cs"/>
          <w:rtl/>
          <w:lang w:bidi="he-IL"/>
        </w:rPr>
        <w:instrText>"ן</w:instrText>
      </w:r>
      <w:r w:rsidRPr="00E130DB">
        <w:rPr>
          <w:rtl/>
        </w:rPr>
        <w:instrText>:</w:instrText>
      </w:r>
      <w:r w:rsidRPr="00E130DB">
        <w:rPr>
          <w:rFonts w:hint="cs"/>
          <w:rtl/>
          <w:lang w:bidi="he-IL"/>
        </w:rPr>
        <w:instrText>בדברים האוסרים ביותר מששים</w:instrText>
      </w:r>
      <w:r>
        <w:instrText xml:space="preserve">" </w:instrText>
      </w:r>
      <w:r>
        <w:rPr>
          <w:rFonts w:cs="Guttman Drogolin"/>
          <w:rtl/>
          <w:lang w:bidi="he-IL"/>
        </w:rPr>
        <w:fldChar w:fldCharType="end"/>
      </w:r>
      <w:r w:rsidR="003544E6" w:rsidRPr="00882F11">
        <w:rPr>
          <w:rFonts w:cs="Guttman Drogolin" w:hint="cs"/>
          <w:rtl/>
          <w:lang w:bidi="he-IL"/>
        </w:rPr>
        <w:t>רע"א כאן בגליון שו"ע</w:t>
      </w:r>
      <w:r w:rsidR="00DA47B1" w:rsidRPr="00882F11">
        <w:rPr>
          <w:rFonts w:cs="Guttman Drogolin" w:hint="cs"/>
          <w:rtl/>
          <w:lang w:bidi="he-IL"/>
        </w:rPr>
        <w:t xml:space="preserve"> מציין לדברי המש"ז בסי' ק' ס"ק א' (ד"ה ודע דמ"ש הטור) שדן לפי כלל דברי ר"ת </w:t>
      </w:r>
      <w:r w:rsidR="0074454F" w:rsidRPr="00882F11">
        <w:rPr>
          <w:rFonts w:cs="Guttman Drogolin" w:hint="cs"/>
          <w:rtl/>
          <w:lang w:bidi="he-IL"/>
        </w:rPr>
        <w:t xml:space="preserve">שלא אומרים חענ"ן בדבר שנאסר באיסור משהו, האם הה"נ בשארי הכללים המונעים ביטול, כגון דבר המעמיד, או מחמץ, או מידי דלטעמא עבידא. ומעיקרא דן הפמ"ג לומר שגם בכה"ג לא אומרים חענ"ן אליבא דר"ת, וטעמא דילי' ע"פ סברת הר"ן שטעם שאומרים חענ"ן בשאר איסורים שהוא גזרה אטו בשר בחלב, וכיון שכן, כיון דכה"ג אינו אוסר בב"ח כיון שדרך ישול אסרה תורה, </w:t>
      </w:r>
      <w:r w:rsidR="00F05160" w:rsidRPr="00882F11">
        <w:rPr>
          <w:rFonts w:cs="Guttman Drogolin" w:hint="cs"/>
          <w:rtl/>
          <w:lang w:bidi="he-IL"/>
        </w:rPr>
        <w:t xml:space="preserve">לא אמרינן בהו שחענ"ן. וזהו לפי שיטתו שהטעם שלא אומרים חענ"ן באיסור משהו משום שהוא גזרה אטו בב"ח, ובבח עצמו אינו נאר באיסור משהו. ושוב דחה ממשעות דסברי הר"ן, שכתב להקשות מן המתני שאין המדומע מדמע ואין המחומץ מחמץ אלא לפי חשבון, ולכאורה כיון דמיירי במחמץ הא גם ר"ת מודה שלא אומרים חענ"ן. וע"כ דסבר הר"ן שרק דברים האוסרים במשהו ממש אמרו כלל זה ולא בשארי הדברים. ונראה לבאר בזה, דקודם כל הא הר"ן בסוף דבריו שם באמת כתב שהטעם שלא אומרים חענ"ן כיון שאינו דרך בישול, ולכן לפי כלל דבריו סוף סוף לא נע"נ. ונראה פשוט שאין כוונ הפמ"ג להוכיח שהר"ן סבר שבמחמץ לא אמירנן חענ"ן, רק כוונתו להוכיח שלפי הכלל של ר"ת שאין חענ"ן האיסור משהו בלי כלליים נוספים אין מחמץ בכלל איסור משהו. ובזה נראה שביאור הדברים, שאמנם הר"ן כתב שחענ"ן בשאר איסורים הוא גזרה אטו בב"ח, מ"מ אין זה מחייב שיהא האיסור אוסר דרך איסור בב"ח, ולכן ס"ד שגם מחמץ עושה חענ"ן. רק שלכאורה לפי </w:t>
      </w:r>
      <w:r w:rsidR="00F05160" w:rsidRPr="00882F11">
        <w:rPr>
          <w:rFonts w:cs="Guttman Drogolin" w:hint="cs"/>
          <w:rtl/>
          <w:lang w:bidi="he-IL"/>
        </w:rPr>
        <w:lastRenderedPageBreak/>
        <w:t xml:space="preserve">זה אי אפשר לומר שהטעם שאין חענ"ן באיסור משהו משום שכה"ג לא נאסר בב"ח, דא"כ באמת צ"ע מאי שנא מעמיד מחמץ ומילתא דלטעמא עבידא משאר איסור משהו. וע"כ צריכים לומר כטעמים אחרים שנאמרו.    </w:t>
      </w:r>
      <w:r w:rsidR="0074454F" w:rsidRPr="00882F11">
        <w:rPr>
          <w:rFonts w:cs="Guttman Drogolin" w:hint="cs"/>
          <w:rtl/>
          <w:lang w:bidi="he-IL"/>
        </w:rPr>
        <w:t xml:space="preserve">  </w:t>
      </w:r>
    </w:p>
    <w:p w:rsidR="00DA47B1" w:rsidRPr="00882F11" w:rsidRDefault="00DA47B1" w:rsidP="00DA1D59">
      <w:pPr>
        <w:pStyle w:val="Heading1"/>
        <w:bidi/>
        <w:spacing w:before="0" w:line="240" w:lineRule="auto"/>
        <w:jc w:val="center"/>
        <w:rPr>
          <w:rFonts w:cs="Guttman Drogolin"/>
          <w:color w:val="auto"/>
          <w:sz w:val="24"/>
          <w:szCs w:val="24"/>
          <w:u w:val="single"/>
          <w:rtl/>
          <w:lang w:bidi="he-IL"/>
        </w:rPr>
      </w:pPr>
      <w:bookmarkStart w:id="217" w:name="_Toc496175472"/>
      <w:r w:rsidRPr="00882F11">
        <w:rPr>
          <w:rFonts w:cs="Guttman Drogolin" w:hint="cs"/>
          <w:color w:val="auto"/>
          <w:sz w:val="24"/>
          <w:szCs w:val="24"/>
          <w:u w:val="single"/>
          <w:rtl/>
          <w:lang w:bidi="he-IL"/>
        </w:rPr>
        <w:t>הערות לסיכום בדברי הראשונים בחענ"ן בשאר איסורים ובאיסור משהו</w:t>
      </w:r>
      <w:bookmarkEnd w:id="217"/>
    </w:p>
    <w:p w:rsidR="00DA7F88" w:rsidRPr="00882F11" w:rsidRDefault="005E1A06" w:rsidP="00DA7F88">
      <w:pPr>
        <w:tabs>
          <w:tab w:val="right" w:pos="7497"/>
        </w:tabs>
        <w:bidi/>
        <w:jc w:val="both"/>
        <w:rPr>
          <w:rFonts w:cs="Guttman Drogolin"/>
          <w:rtl/>
          <w:lang w:bidi="he-IL"/>
        </w:rPr>
      </w:pPr>
      <w:r>
        <w:rPr>
          <w:rFonts w:cs="Guttman Drogolin"/>
          <w:rtl/>
          <w:lang w:bidi="he-IL"/>
        </w:rPr>
        <w:fldChar w:fldCharType="begin"/>
      </w:r>
      <w:r>
        <w:instrText xml:space="preserve"> XE "</w:instrText>
      </w:r>
      <w:r w:rsidRPr="00C24E20">
        <w:rPr>
          <w:rFonts w:hint="cs"/>
          <w:rtl/>
          <w:lang w:bidi="he-IL"/>
        </w:rPr>
        <w:instrText>חענ</w:instrText>
      </w:r>
      <w:r>
        <w:rPr>
          <w:rFonts w:eastAsiaTheme="minorEastAsia"/>
          <w:lang w:bidi="he-IL"/>
        </w:rPr>
        <w:instrText>\</w:instrText>
      </w:r>
      <w:r w:rsidRPr="00C24E20">
        <w:rPr>
          <w:rFonts w:hint="cs"/>
          <w:rtl/>
          <w:lang w:bidi="he-IL"/>
        </w:rPr>
        <w:instrText>"ן</w:instrText>
      </w:r>
      <w:r w:rsidRPr="00C24E20">
        <w:rPr>
          <w:rtl/>
        </w:rPr>
        <w:instrText>:</w:instrText>
      </w:r>
      <w:r w:rsidRPr="00C24E20">
        <w:rPr>
          <w:rFonts w:hint="cs"/>
          <w:rtl/>
          <w:lang w:bidi="he-IL"/>
        </w:rPr>
        <w:instrText>באיסור משהו</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60489B">
        <w:rPr>
          <w:rFonts w:hint="cs"/>
          <w:rtl/>
          <w:lang w:bidi="he-IL"/>
        </w:rPr>
        <w:instrText>חענ</w:instrText>
      </w:r>
      <w:r>
        <w:rPr>
          <w:rFonts w:eastAsiaTheme="minorEastAsia"/>
          <w:lang w:bidi="he-IL"/>
        </w:rPr>
        <w:instrText>\</w:instrText>
      </w:r>
      <w:r w:rsidRPr="0060489B">
        <w:rPr>
          <w:rFonts w:hint="cs"/>
          <w:rtl/>
          <w:lang w:bidi="he-IL"/>
        </w:rPr>
        <w:instrText>"ן</w:instrText>
      </w:r>
      <w:r w:rsidRPr="0060489B">
        <w:rPr>
          <w:rtl/>
        </w:rPr>
        <w:instrText>:</w:instrText>
      </w:r>
      <w:r w:rsidRPr="0060489B">
        <w:rPr>
          <w:rFonts w:hint="cs"/>
          <w:rtl/>
          <w:lang w:bidi="he-IL"/>
        </w:rPr>
        <w:instrText>בשאר איסורים</w:instrText>
      </w:r>
      <w:r>
        <w:instrText xml:space="preserve">" </w:instrText>
      </w:r>
      <w:r>
        <w:rPr>
          <w:rFonts w:cs="Guttman Drogolin"/>
          <w:rtl/>
          <w:lang w:bidi="he-IL"/>
        </w:rPr>
        <w:fldChar w:fldCharType="end"/>
      </w:r>
      <w:r w:rsidR="00335104" w:rsidRPr="00882F11">
        <w:rPr>
          <w:rFonts w:cs="Guttman Drogolin" w:hint="cs"/>
          <w:rtl/>
          <w:lang w:bidi="he-IL"/>
        </w:rPr>
        <w:t>הבאנו כמה ביאורים בדעת הרשב"א שאין החתיכה חוזרת להיתירו אע"ג שלא אומרים חענ"ן בשאר איסורים.</w:t>
      </w:r>
      <w:r w:rsidR="005874A0" w:rsidRPr="00882F11">
        <w:rPr>
          <w:rFonts w:cs="Guttman Drogolin" w:hint="cs"/>
          <w:rtl/>
          <w:lang w:bidi="he-IL"/>
        </w:rPr>
        <w:t xml:space="preserve"> והנה בחי' הרשב"א הביא מש"כ רבינו אפרים לבאר שיטתו שלא אומרים חענן בשאר איסורים. ומעיקרא הוכיח מיי"נ שנפל ליין וכן ממתני' דמס' תמורה הנ"ל כשיטתו שלא אומרים חענ"ן בשאר איסורים. אמנם כתב ר' אפרים דאע"ג שהוא עצמו אחז שמראיות אלו אין חענ"ן בשאר איסורים, יש מקום לחלק דשאני בין חתיכה שבלע איסור ללח בלח, שבלח בלח יכול משקה שיתוסף לאחר מכן להצטרף ולבטל אבל בחתיכה לא. והוסיף רבינו אפרים דאע"ג דאיכא למ"ד </w:t>
      </w:r>
      <w:r w:rsidR="00DC784B">
        <w:rPr>
          <w:rFonts w:cs="Guttman Drogolin" w:hint="cs"/>
          <w:rtl/>
          <w:lang w:bidi="he-IL"/>
        </w:rPr>
        <w:t>אפשר לסוחטו</w:t>
      </w:r>
      <w:r w:rsidR="005874A0" w:rsidRPr="00882F11">
        <w:rPr>
          <w:rFonts w:cs="Guttman Drogolin" w:hint="cs"/>
          <w:rtl/>
          <w:lang w:bidi="he-IL"/>
        </w:rPr>
        <w:t xml:space="preserve"> מותר, וא"כ לכאורה לא איכפת לן זה שבחתיכה אין המשקה שלאחר מכן יכול להצטרף ולבטל האיסור שבלע, פי' ר' אפרים שמ"ד </w:t>
      </w:r>
      <w:r w:rsidR="00DC784B">
        <w:rPr>
          <w:rFonts w:cs="Guttman Drogolin" w:hint="cs"/>
          <w:rtl/>
          <w:lang w:bidi="he-IL"/>
        </w:rPr>
        <w:t>אפשר לסוחטו</w:t>
      </w:r>
      <w:r w:rsidR="005874A0" w:rsidRPr="00882F11">
        <w:rPr>
          <w:rFonts w:cs="Guttman Drogolin" w:hint="cs"/>
          <w:rtl/>
          <w:lang w:bidi="he-IL"/>
        </w:rPr>
        <w:t xml:space="preserve"> מותר לא אמר כן אלא בשאר איסורים, אבל בעלמא לא. ביאר שלמ"ד </w:t>
      </w:r>
      <w:r w:rsidR="00DC784B">
        <w:rPr>
          <w:rFonts w:cs="Guttman Drogolin" w:hint="cs"/>
          <w:rtl/>
          <w:lang w:bidi="he-IL"/>
        </w:rPr>
        <w:t>אפשר לסוחטו</w:t>
      </w:r>
      <w:r w:rsidR="005874A0" w:rsidRPr="00882F11">
        <w:rPr>
          <w:rFonts w:cs="Guttman Drogolin" w:hint="cs"/>
          <w:rtl/>
          <w:lang w:bidi="he-IL"/>
        </w:rPr>
        <w:t xml:space="preserve"> מותר בבב"ח אמרינן </w:t>
      </w:r>
      <w:r w:rsidR="00D52F45" w:rsidRPr="00882F11">
        <w:rPr>
          <w:rFonts w:cs="Guttman Drogolin" w:hint="cs"/>
          <w:rtl/>
          <w:lang w:bidi="he-IL"/>
        </w:rPr>
        <w:t xml:space="preserve">שאין הטעם בשר </w:t>
      </w:r>
      <w:r w:rsidR="005874A0" w:rsidRPr="00882F11">
        <w:rPr>
          <w:rFonts w:cs="Guttman Drogolin" w:hint="cs"/>
          <w:rtl/>
          <w:lang w:bidi="he-IL"/>
        </w:rPr>
        <w:t xml:space="preserve">נהפך להיות חפצא דאיסורא ולכן אינו אוסר בשר אחר משום מין במינו. </w:t>
      </w:r>
      <w:r w:rsidR="00DA7F88" w:rsidRPr="00882F11">
        <w:rPr>
          <w:rFonts w:cs="Guttman Drogolin" w:hint="cs"/>
          <w:rtl/>
          <w:lang w:bidi="he-IL"/>
        </w:rPr>
        <w:t>רק</w:t>
      </w:r>
      <w:r w:rsidR="00D52F45" w:rsidRPr="00882F11">
        <w:rPr>
          <w:rFonts w:cs="Guttman Drogolin" w:hint="cs"/>
          <w:rtl/>
          <w:lang w:bidi="he-IL"/>
        </w:rPr>
        <w:t xml:space="preserve"> למ"ד</w:t>
      </w:r>
      <w:r w:rsidR="00DA7F88" w:rsidRPr="00882F11">
        <w:rPr>
          <w:rFonts w:cs="Guttman Drogolin" w:hint="cs"/>
          <w:rtl/>
          <w:lang w:bidi="he-IL"/>
        </w:rPr>
        <w:t xml:space="preserve"> </w:t>
      </w:r>
      <w:r w:rsidR="00DC784B">
        <w:rPr>
          <w:rFonts w:cs="Guttman Drogolin" w:hint="cs"/>
          <w:rtl/>
          <w:lang w:bidi="he-IL"/>
        </w:rPr>
        <w:t>אפשר לסוחטו</w:t>
      </w:r>
      <w:r w:rsidR="00DA7F88" w:rsidRPr="00882F11">
        <w:rPr>
          <w:rFonts w:cs="Guttman Drogolin" w:hint="cs"/>
          <w:rtl/>
          <w:lang w:bidi="he-IL"/>
        </w:rPr>
        <w:t xml:space="preserve"> אסור נהפך הבשר להיות חפצ דנבילה.</w:t>
      </w:r>
    </w:p>
    <w:p w:rsidR="000C2A9E" w:rsidRPr="00882F11" w:rsidRDefault="00DA7F88" w:rsidP="008A554D">
      <w:pPr>
        <w:tabs>
          <w:tab w:val="right" w:pos="7497"/>
        </w:tabs>
        <w:bidi/>
        <w:jc w:val="both"/>
        <w:rPr>
          <w:rFonts w:cs="Guttman Drogolin"/>
          <w:rtl/>
          <w:lang w:bidi="he-IL"/>
        </w:rPr>
      </w:pPr>
      <w:r w:rsidRPr="00882F11">
        <w:rPr>
          <w:rFonts w:cs="Guttman Drogolin" w:hint="cs"/>
          <w:rtl/>
          <w:lang w:bidi="he-IL"/>
        </w:rPr>
        <w:t>ואע"ג שהרשב"א תמה על זה שחילק רבינו אפרים בין בבב"ח לשאר איסורים לענין היתר החתיכה עצמה, כבר הבאנו</w:t>
      </w:r>
      <w:r w:rsidRPr="00882F11">
        <w:rPr>
          <w:rStyle w:val="FootnoteReference"/>
          <w:rFonts w:cs="Guttman Drogolin"/>
          <w:rtl/>
          <w:lang w:bidi="he-IL"/>
        </w:rPr>
        <w:footnoteReference w:id="259"/>
      </w:r>
      <w:r w:rsidRPr="00882F11">
        <w:rPr>
          <w:rFonts w:cs="Guttman Drogolin" w:hint="cs"/>
          <w:rtl/>
          <w:lang w:bidi="he-IL"/>
        </w:rPr>
        <w:t xml:space="preserve"> מחי' הריטב"א</w:t>
      </w:r>
      <w:r w:rsidR="005874A0" w:rsidRPr="00882F11">
        <w:rPr>
          <w:rFonts w:cs="Guttman Drogolin" w:hint="cs"/>
          <w:rtl/>
          <w:lang w:bidi="he-IL"/>
        </w:rPr>
        <w:t xml:space="preserve"> </w:t>
      </w:r>
      <w:r w:rsidRPr="00882F11">
        <w:rPr>
          <w:rFonts w:cs="Guttman Drogolin" w:hint="cs"/>
          <w:rtl/>
          <w:lang w:bidi="he-IL"/>
        </w:rPr>
        <w:t>לבאר טעמו של ר' אפרים, והוא משום שהאיסור של בב"ח שאין בה טעם חלב או בשר אין עליו שם בשר בחלב כלל, משא"כ בשאר איסורים לא פקע שמם מהם. באופן שהרשב"א ע"כ חולק על יסוד זה</w:t>
      </w:r>
      <w:r w:rsidR="00791EC8" w:rsidRPr="00882F11">
        <w:rPr>
          <w:rFonts w:cs="Guttman Drogolin" w:hint="cs"/>
          <w:rtl/>
          <w:lang w:bidi="he-IL"/>
        </w:rPr>
        <w:t>, ולכן סבר שהחתיכה אף פעם</w:t>
      </w:r>
      <w:r w:rsidR="000C2A9E" w:rsidRPr="00882F11">
        <w:rPr>
          <w:rFonts w:cs="Guttman Drogolin" w:hint="cs"/>
          <w:rtl/>
          <w:lang w:bidi="he-IL"/>
        </w:rPr>
        <w:t xml:space="preserve"> לא ניתרת לא בשאר איסורים ולא בבב"ח.</w:t>
      </w:r>
    </w:p>
    <w:p w:rsidR="006850EB" w:rsidRPr="00882F11" w:rsidRDefault="00152476" w:rsidP="006850EB">
      <w:pPr>
        <w:tabs>
          <w:tab w:val="right" w:pos="7497"/>
        </w:tabs>
        <w:bidi/>
        <w:jc w:val="both"/>
        <w:rPr>
          <w:rFonts w:cs="Guttman Drogolin"/>
          <w:rtl/>
          <w:lang w:bidi="he-IL"/>
        </w:rPr>
      </w:pPr>
      <w:r w:rsidRPr="00882F11">
        <w:rPr>
          <w:rFonts w:cs="Guttman Drogolin" w:hint="cs"/>
          <w:rtl/>
          <w:lang w:bidi="he-IL"/>
        </w:rPr>
        <w:lastRenderedPageBreak/>
        <w:t>ולכאורה יוצא כלל הדברים, שהנה כבר הבאנו שמשמעות הרשב"א שהחתיכה עצמה לאחוזרת להיתירו כלל אפילו טעמו קפילא ואמר שאין זה טעמא דמעיקרא. והבאנו לזה כמה טעמים בשיעור הקודם. ונראה לכאורה לבאר שהדין של טכ"ע הוא שהתורה אסרה לאכול חתיכת היתר שיש בה איסור. וגדר הדברים הוא שחל דין זה על החתיכת היתר כיון דמעיקרא נתן האיסור טעם המורגש בחתיכה. אמנם האיסור הזה נשאר אע"ג שהטעם כבר אינו מורגש, שהרגשת טעם לא נצרך אלא לחלות האיסור דמעיקרא, אבל כיון שחל דין בחתיכה ליאסר</w:t>
      </w:r>
      <w:r w:rsidR="00F44302" w:rsidRPr="00882F11">
        <w:rPr>
          <w:rFonts w:cs="Guttman Drogolin" w:hint="cs"/>
          <w:rtl/>
          <w:lang w:bidi="he-IL"/>
        </w:rPr>
        <w:t>,</w:t>
      </w:r>
      <w:r w:rsidRPr="00882F11">
        <w:rPr>
          <w:rFonts w:cs="Guttman Drogolin" w:hint="cs"/>
          <w:rtl/>
          <w:lang w:bidi="he-IL"/>
        </w:rPr>
        <w:t xml:space="preserve"> שוב לא פקע מיני' משום חסרון טעם המורגש. </w:t>
      </w:r>
      <w:r w:rsidR="00F44302" w:rsidRPr="00882F11">
        <w:rPr>
          <w:rFonts w:cs="Guttman Drogolin" w:hint="cs"/>
          <w:rtl/>
          <w:lang w:bidi="he-IL"/>
        </w:rPr>
        <w:t>ומ"מ בעינן שישאר בה עכ"פ משהו של האיסור דמעיקרא, שלא חל דין על החפצא של היתר ליעשות נבילה, רק שהתורה אסרה לאכול החתיכה משום הטעם איסור שבה אע"ג שאינו מורגש. ו</w:t>
      </w:r>
      <w:r w:rsidRPr="00882F11">
        <w:rPr>
          <w:rFonts w:cs="Guttman Drogolin" w:hint="cs"/>
          <w:rtl/>
          <w:lang w:bidi="he-IL"/>
        </w:rPr>
        <w:t xml:space="preserve">הנ"מ בשאר איסורים, אבל בב"ח סבר רבינו אפרים שכשיצא ממנו טעם החלב או הבשר, חזר החתיכה להיתירו למ"ד </w:t>
      </w:r>
      <w:r w:rsidR="00DC784B">
        <w:rPr>
          <w:rFonts w:cs="Guttman Drogolin" w:hint="cs"/>
          <w:rtl/>
          <w:lang w:bidi="he-IL"/>
        </w:rPr>
        <w:t>אפשר לסוחטו</w:t>
      </w:r>
      <w:r w:rsidRPr="00882F11">
        <w:rPr>
          <w:rFonts w:cs="Guttman Drogolin" w:hint="cs"/>
          <w:rtl/>
          <w:lang w:bidi="he-IL"/>
        </w:rPr>
        <w:t xml:space="preserve"> מותר, והטעם משום שבב"ח אין כאן אך ורק חסרון הטעם שגרם לדין טכ"ע דמעיקרא, רק שמעכשיו כבר אין כאן החפצא דאיסורא דבב"ח בחתיכה, ומשום שבב"ח טעם הוא חלק מחפצא דאיסורא. ולכן כיון שיצא ממנו טעמו הרי זה כיצא ממנו איסורו ולכן כל החתיכה חוזרת להיתירו. וכל זה למ"ד </w:t>
      </w:r>
      <w:r w:rsidR="00DC784B">
        <w:rPr>
          <w:rFonts w:cs="Guttman Drogolin" w:hint="cs"/>
          <w:rtl/>
          <w:lang w:bidi="he-IL"/>
        </w:rPr>
        <w:t>אפשר לסוחטו</w:t>
      </w:r>
      <w:r w:rsidRPr="00882F11">
        <w:rPr>
          <w:rFonts w:cs="Guttman Drogolin" w:hint="cs"/>
          <w:rtl/>
          <w:lang w:bidi="he-IL"/>
        </w:rPr>
        <w:t xml:space="preserve"> מותר אליבא דר' אפרים, אבל למ"ד </w:t>
      </w:r>
      <w:r w:rsidR="00DC784B">
        <w:rPr>
          <w:rFonts w:cs="Guttman Drogolin" w:hint="cs"/>
          <w:rtl/>
          <w:lang w:bidi="he-IL"/>
        </w:rPr>
        <w:t>אפשר לסוחטו</w:t>
      </w:r>
      <w:r w:rsidRPr="00882F11">
        <w:rPr>
          <w:rFonts w:cs="Guttman Drogolin" w:hint="cs"/>
          <w:rtl/>
          <w:lang w:bidi="he-IL"/>
        </w:rPr>
        <w:t xml:space="preserve"> אסור, אמרינן שגם בב"ח כיון שנתן החלב טעם בבשר ולהיפך, נהפכו הבשר והחלב להיות חפצא דאיסורא בעצם, ובזה הם אסורים יותר מבליעות שאר איסורים בתוך היתר שבהם סבר רבינו אפרים דלכו"ע לא אומרים</w:t>
      </w:r>
      <w:r w:rsidR="00F44302" w:rsidRPr="00882F11">
        <w:rPr>
          <w:rFonts w:cs="Guttman Drogolin" w:hint="cs"/>
          <w:rtl/>
          <w:lang w:bidi="he-IL"/>
        </w:rPr>
        <w:t xml:space="preserve"> </w:t>
      </w:r>
      <w:r w:rsidR="00DC784B">
        <w:rPr>
          <w:rFonts w:cs="Guttman Drogolin" w:hint="cs"/>
          <w:rtl/>
          <w:lang w:bidi="he-IL"/>
        </w:rPr>
        <w:t>אפשר לסוחטו</w:t>
      </w:r>
      <w:r w:rsidR="00F44302" w:rsidRPr="00882F11">
        <w:rPr>
          <w:rFonts w:cs="Guttman Drogolin" w:hint="cs"/>
          <w:rtl/>
          <w:lang w:bidi="he-IL"/>
        </w:rPr>
        <w:t xml:space="preserve"> מותר, שבשאר איסורים אין לחלק ההיתר של החתיכה שם איסור, אבל בב"ח למ"ד </w:t>
      </w:r>
      <w:r w:rsidR="00DC784B">
        <w:rPr>
          <w:rFonts w:cs="Guttman Drogolin" w:hint="cs"/>
          <w:rtl/>
          <w:lang w:bidi="he-IL"/>
        </w:rPr>
        <w:t>אפשר לסוחטו</w:t>
      </w:r>
      <w:r w:rsidR="00F44302" w:rsidRPr="00882F11">
        <w:rPr>
          <w:rFonts w:cs="Guttman Drogolin" w:hint="cs"/>
          <w:rtl/>
          <w:lang w:bidi="he-IL"/>
        </w:rPr>
        <w:t xml:space="preserve"> אסור יש בין לבשר ובין לחלק שם איסור בעצם. ויוצא </w:t>
      </w:r>
      <w:r w:rsidR="006850EB" w:rsidRPr="00882F11">
        <w:rPr>
          <w:rFonts w:cs="Guttman Drogolin" w:hint="cs"/>
          <w:rtl/>
          <w:lang w:bidi="he-IL"/>
        </w:rPr>
        <w:t xml:space="preserve">שהמחלוקת של </w:t>
      </w:r>
      <w:r w:rsidR="00DC784B">
        <w:rPr>
          <w:rFonts w:cs="Guttman Drogolin" w:hint="cs"/>
          <w:rtl/>
          <w:lang w:bidi="he-IL"/>
        </w:rPr>
        <w:t>אפשר לסוחטו</w:t>
      </w:r>
      <w:r w:rsidR="006850EB" w:rsidRPr="00882F11">
        <w:rPr>
          <w:rFonts w:cs="Guttman Drogolin" w:hint="cs"/>
          <w:rtl/>
          <w:lang w:bidi="he-IL"/>
        </w:rPr>
        <w:t xml:space="preserve"> אסור או מותר הוא אם צריכים טעם בשר או חלב להיות חפצא דאיסורא שבב"ח או לא, ולמ"ד לא בעינן אין </w:t>
      </w:r>
      <w:r w:rsidR="006850EB" w:rsidRPr="00882F11">
        <w:rPr>
          <w:rFonts w:cs="Guttman Drogolin" w:hint="cs"/>
          <w:rtl/>
          <w:lang w:bidi="he-IL"/>
        </w:rPr>
        <w:lastRenderedPageBreak/>
        <w:t>התנאי של נתינת טעם אלא כדי לייצר את האיסור מעיקרא.</w:t>
      </w:r>
    </w:p>
    <w:p w:rsidR="00DA47B1" w:rsidRPr="00882F11" w:rsidRDefault="006850EB" w:rsidP="000D5142">
      <w:pPr>
        <w:tabs>
          <w:tab w:val="right" w:pos="7497"/>
        </w:tabs>
        <w:bidi/>
        <w:jc w:val="both"/>
        <w:rPr>
          <w:rFonts w:cs="Guttman Drogolin"/>
          <w:rtl/>
          <w:lang w:bidi="he-IL"/>
        </w:rPr>
      </w:pPr>
      <w:r w:rsidRPr="00882F11">
        <w:rPr>
          <w:rFonts w:cs="Guttman Drogolin" w:hint="cs"/>
          <w:rtl/>
          <w:lang w:bidi="he-IL"/>
        </w:rPr>
        <w:t xml:space="preserve">ובזה חלק הרשב"א וסבר </w:t>
      </w:r>
      <w:r w:rsidR="00A9793C" w:rsidRPr="00882F11">
        <w:rPr>
          <w:rFonts w:cs="Guttman Drogolin" w:hint="cs"/>
          <w:rtl/>
          <w:lang w:bidi="he-IL"/>
        </w:rPr>
        <w:t xml:space="preserve">שאפילו למ"ד </w:t>
      </w:r>
      <w:r w:rsidR="00DC784B">
        <w:rPr>
          <w:rFonts w:cs="Guttman Drogolin" w:hint="cs"/>
          <w:rtl/>
          <w:lang w:bidi="he-IL"/>
        </w:rPr>
        <w:t>אפשר לסוחטו</w:t>
      </w:r>
      <w:r w:rsidR="00A9793C" w:rsidRPr="00882F11">
        <w:rPr>
          <w:rFonts w:cs="Guttman Drogolin" w:hint="cs"/>
          <w:rtl/>
          <w:lang w:bidi="he-IL"/>
        </w:rPr>
        <w:t xml:space="preserve"> מותר מ"מ החתיכה נשארת באיסורה</w:t>
      </w:r>
      <w:r w:rsidR="000D5142" w:rsidRPr="00882F11">
        <w:rPr>
          <w:rFonts w:cs="Guttman Drogolin" w:hint="cs"/>
          <w:rtl/>
          <w:lang w:bidi="he-IL"/>
        </w:rPr>
        <w:t xml:space="preserve"> אפילו באיסורא דבב"ח</w:t>
      </w:r>
      <w:r w:rsidR="00A9793C" w:rsidRPr="00882F11">
        <w:rPr>
          <w:rFonts w:cs="Guttman Drogolin" w:hint="cs"/>
          <w:rtl/>
          <w:lang w:bidi="he-IL"/>
        </w:rPr>
        <w:t>,</w:t>
      </w:r>
      <w:r w:rsidR="000D5142" w:rsidRPr="00882F11">
        <w:rPr>
          <w:rFonts w:cs="Guttman Drogolin" w:hint="cs"/>
          <w:rtl/>
          <w:lang w:bidi="he-IL"/>
        </w:rPr>
        <w:t xml:space="preserve"> ולכאורה דבר זה צרריך פירוש, דכיון שהחלב והבשר הוו היתר בעצם למ"ד </w:t>
      </w:r>
      <w:r w:rsidR="00DC784B">
        <w:rPr>
          <w:rFonts w:cs="Guttman Drogolin" w:hint="cs"/>
          <w:rtl/>
          <w:lang w:bidi="he-IL"/>
        </w:rPr>
        <w:t>אפשר לסוחטו</w:t>
      </w:r>
      <w:r w:rsidR="000D5142" w:rsidRPr="00882F11">
        <w:rPr>
          <w:rFonts w:cs="Guttman Drogolin" w:hint="cs"/>
          <w:rtl/>
          <w:lang w:bidi="he-IL"/>
        </w:rPr>
        <w:t xml:space="preserve"> מותר, רק שהורה אסרה הצירוף של תרוייהו, למה לא יחזור החתיכה להיתירו הקודם כשאין בה טעם חלב. ונראה שהרשב"א סבר דאע"ג שצריכים טעם בשר וחלב כדי שיהא לבשר וחלב עצמו שם איסור בעצם, מ"מ הנ"מ לאסור אחרים, אבל כיון שהחתיכה עצמה מעורבת בב"ח שפעם נתנו טעם זה בזה, הרי הם נשארים באיסורם. והטעם משום שלמד" </w:t>
      </w:r>
      <w:r w:rsidR="00DC784B">
        <w:rPr>
          <w:rFonts w:cs="Guttman Drogolin" w:hint="cs"/>
          <w:rtl/>
          <w:lang w:bidi="he-IL"/>
        </w:rPr>
        <w:t>אפשר לסוחטו</w:t>
      </w:r>
      <w:r w:rsidR="000D5142" w:rsidRPr="00882F11">
        <w:rPr>
          <w:rFonts w:cs="Guttman Drogolin" w:hint="cs"/>
          <w:rtl/>
          <w:lang w:bidi="he-IL"/>
        </w:rPr>
        <w:t xml:space="preserve"> מותר, שם בשר בחלב ליכא אלא כשיש תערובת של בב"ח. ולכן אם טעם בשר לבד או טעם חלב לבד נתנו טעם אחרי שנאסרו, אין החתיכת היתר מקבל טעם מ'בב"ח'. אבל החתיכה עצמה יש בה בב"ח, ואע"ג שאין בה עכשיו נתנת טעם, לא איכפת לן, דלא צריכים נתינת טעם בב"ח אלא כדי לייצר את חלות האיסור, אבל השם איסור יכול להיות קיים גם בלי זה. וכל זה למ"ד אפש לסחטו מותר, אבל למ"ד אפשר לסחט ואסור, כיון שנאסרו הבשר והחלב בנתינת טעם, הרי הם מעכשיו אוסרים מצד עצמם ולא צריכים טעם אידך.  </w:t>
      </w:r>
      <w:r w:rsidR="00A9793C" w:rsidRPr="00882F11">
        <w:rPr>
          <w:rFonts w:cs="Guttman Drogolin" w:hint="cs"/>
          <w:rtl/>
          <w:lang w:bidi="he-IL"/>
        </w:rPr>
        <w:t xml:space="preserve"> </w:t>
      </w:r>
      <w:r w:rsidR="00152476" w:rsidRPr="00882F11">
        <w:rPr>
          <w:rFonts w:cs="Guttman Drogolin" w:hint="cs"/>
          <w:rtl/>
          <w:lang w:bidi="he-IL"/>
        </w:rPr>
        <w:t xml:space="preserve">  </w:t>
      </w:r>
      <w:r w:rsidR="00DA7F88" w:rsidRPr="00882F11">
        <w:rPr>
          <w:rFonts w:cs="Guttman Drogolin" w:hint="cs"/>
          <w:rtl/>
          <w:lang w:bidi="he-IL"/>
        </w:rPr>
        <w:t xml:space="preserve">  </w:t>
      </w:r>
      <w:r w:rsidR="005874A0" w:rsidRPr="00882F11">
        <w:rPr>
          <w:rFonts w:cs="Guttman Drogolin" w:hint="cs"/>
          <w:rtl/>
          <w:lang w:bidi="he-IL"/>
        </w:rPr>
        <w:t xml:space="preserve">   </w:t>
      </w:r>
      <w:r w:rsidR="00335104" w:rsidRPr="00882F11">
        <w:rPr>
          <w:rFonts w:cs="Guttman Drogolin" w:hint="cs"/>
          <w:rtl/>
          <w:lang w:bidi="he-IL"/>
        </w:rPr>
        <w:t xml:space="preserve">   </w:t>
      </w:r>
    </w:p>
    <w:p w:rsidR="00DA47B1" w:rsidRPr="00882F11" w:rsidRDefault="000D5142" w:rsidP="000D5142">
      <w:pPr>
        <w:tabs>
          <w:tab w:val="right" w:pos="7497"/>
        </w:tabs>
        <w:bidi/>
        <w:jc w:val="both"/>
        <w:rPr>
          <w:rFonts w:cs="Guttman Drogolin"/>
          <w:rtl/>
          <w:lang w:bidi="he-IL"/>
        </w:rPr>
      </w:pPr>
      <w:r w:rsidRPr="00882F11">
        <w:rPr>
          <w:rFonts w:cs="Guttman Drogolin" w:hint="cs"/>
          <w:rtl/>
          <w:lang w:bidi="he-IL"/>
        </w:rPr>
        <w:t xml:space="preserve">ולענין דינא בחענ"ן באיסור משהו בתערובת של מין בשאינו מינו, </w:t>
      </w:r>
      <w:r w:rsidR="00AD182B" w:rsidRPr="00882F11">
        <w:rPr>
          <w:rFonts w:cs="Guttman Drogolin" w:hint="cs"/>
          <w:rtl/>
          <w:lang w:bidi="he-IL"/>
        </w:rPr>
        <w:t>ע' בשעה"צ סי' תס"ז ס"ק ס"ז ש</w:t>
      </w:r>
      <w:r w:rsidR="00D3467C" w:rsidRPr="00882F11">
        <w:rPr>
          <w:rFonts w:cs="Guttman Drogolin" w:hint="cs"/>
          <w:rtl/>
          <w:lang w:bidi="he-IL"/>
        </w:rPr>
        <w:t>התיר בהאנה, ו</w:t>
      </w:r>
      <w:r w:rsidR="00AD182B" w:rsidRPr="00882F11">
        <w:rPr>
          <w:rFonts w:cs="Guttman Drogolin" w:hint="cs"/>
          <w:rtl/>
          <w:lang w:bidi="he-IL"/>
        </w:rPr>
        <w:t>במקום הפ"מ ומניעת שמחת יו"ט אפשר לסמוך על הט"</w:t>
      </w:r>
      <w:r w:rsidR="00645FF0" w:rsidRPr="00882F11">
        <w:rPr>
          <w:rFonts w:cs="Guttman Drogolin" w:hint="cs"/>
          <w:rtl/>
          <w:lang w:bidi="he-IL"/>
        </w:rPr>
        <w:t>ז אפילו לאכול התערובת השני.</w:t>
      </w:r>
      <w:r w:rsidR="00AD182B" w:rsidRPr="00882F11">
        <w:rPr>
          <w:rFonts w:cs="Guttman Drogolin" w:hint="cs"/>
          <w:rtl/>
          <w:lang w:bidi="he-IL"/>
        </w:rPr>
        <w:t xml:space="preserve"> </w:t>
      </w:r>
      <w:r w:rsidR="00DA47B1" w:rsidRPr="00882F11">
        <w:rPr>
          <w:rFonts w:cs="Guttman Drogolin" w:hint="cs"/>
          <w:rtl/>
          <w:lang w:bidi="he-IL"/>
        </w:rPr>
        <w:t xml:space="preserve">  </w:t>
      </w:r>
    </w:p>
    <w:p w:rsidR="00DA47B1" w:rsidRPr="00882F11" w:rsidRDefault="00DA47B1" w:rsidP="0078079C">
      <w:pPr>
        <w:pStyle w:val="Heading1"/>
        <w:bidi/>
        <w:spacing w:before="0" w:line="360" w:lineRule="auto"/>
        <w:jc w:val="center"/>
        <w:rPr>
          <w:rFonts w:cs="Guttman Drogolin"/>
          <w:color w:val="auto"/>
          <w:sz w:val="24"/>
          <w:szCs w:val="24"/>
          <w:u w:val="single"/>
          <w:rtl/>
          <w:lang w:bidi="he-IL"/>
        </w:rPr>
      </w:pPr>
      <w:bookmarkStart w:id="218" w:name="_Toc496175473"/>
      <w:r w:rsidRPr="00882F11">
        <w:rPr>
          <w:rFonts w:cs="Guttman Drogolin" w:hint="cs"/>
          <w:color w:val="auto"/>
          <w:sz w:val="24"/>
          <w:szCs w:val="24"/>
          <w:u w:val="single"/>
          <w:rtl/>
          <w:lang w:bidi="he-IL"/>
        </w:rPr>
        <w:t xml:space="preserve">הקדמה לדינים המוזכרים בסע' ה' </w:t>
      </w:r>
      <w:r w:rsidRPr="00882F11">
        <w:rPr>
          <w:rFonts w:cs="Guttman Drogolin"/>
          <w:color w:val="auto"/>
          <w:sz w:val="24"/>
          <w:szCs w:val="24"/>
          <w:u w:val="single"/>
          <w:rtl/>
          <w:lang w:bidi="he-IL"/>
        </w:rPr>
        <w:t>–</w:t>
      </w:r>
      <w:r w:rsidRPr="00882F11">
        <w:rPr>
          <w:rFonts w:cs="Guttman Drogolin" w:hint="cs"/>
          <w:color w:val="auto"/>
          <w:sz w:val="24"/>
          <w:szCs w:val="24"/>
          <w:u w:val="single"/>
          <w:rtl/>
          <w:lang w:bidi="he-IL"/>
        </w:rPr>
        <w:t xml:space="preserve"> ז'</w:t>
      </w:r>
      <w:bookmarkEnd w:id="218"/>
    </w:p>
    <w:p w:rsidR="00D2493B" w:rsidRPr="00882F11" w:rsidRDefault="00B71530" w:rsidP="00D2493B">
      <w:pPr>
        <w:tabs>
          <w:tab w:val="right" w:pos="7497"/>
        </w:tabs>
        <w:bidi/>
        <w:jc w:val="both"/>
        <w:rPr>
          <w:rFonts w:cs="Guttman Drogolin"/>
          <w:rtl/>
          <w:lang w:bidi="he-IL"/>
        </w:rPr>
      </w:pPr>
      <w:r>
        <w:rPr>
          <w:rFonts w:cs="Guttman Drogolin"/>
          <w:rtl/>
          <w:lang w:bidi="he-IL"/>
        </w:rPr>
        <w:fldChar w:fldCharType="begin"/>
      </w:r>
      <w:r>
        <w:instrText xml:space="preserve"> XE "</w:instrText>
      </w:r>
      <w:r w:rsidRPr="00212D8A">
        <w:rPr>
          <w:rFonts w:hint="cs"/>
          <w:rtl/>
          <w:lang w:bidi="he-IL"/>
        </w:rPr>
        <w:instrText>טיפת חלב שנפלה על הקדרה</w:instrText>
      </w:r>
      <w:r w:rsidRPr="00212D8A">
        <w:rPr>
          <w:rtl/>
        </w:rPr>
        <w:instrText>:</w:instrText>
      </w:r>
      <w:r w:rsidRPr="00212D8A">
        <w:rPr>
          <w:rFonts w:hint="cs"/>
          <w:rtl/>
          <w:lang w:bidi="he-IL"/>
        </w:rPr>
        <w:instrText>הקדמה לסוגיא</w:instrText>
      </w:r>
      <w:r>
        <w:instrText xml:space="preserve">" </w:instrText>
      </w:r>
      <w:r>
        <w:rPr>
          <w:rFonts w:cs="Guttman Drogolin"/>
          <w:rtl/>
          <w:lang w:bidi="he-IL"/>
        </w:rPr>
        <w:fldChar w:fldCharType="end"/>
      </w:r>
      <w:r w:rsidR="00D3467C" w:rsidRPr="00882F11">
        <w:rPr>
          <w:rFonts w:cs="Guttman Drogolin" w:hint="cs"/>
          <w:rtl/>
          <w:lang w:bidi="he-IL"/>
        </w:rPr>
        <w:t xml:space="preserve">ארבעת הסעיפים הראשונים </w:t>
      </w:r>
      <w:r w:rsidR="00D2493B" w:rsidRPr="00882F11">
        <w:rPr>
          <w:rFonts w:cs="Guttman Drogolin" w:hint="cs"/>
          <w:rtl/>
          <w:lang w:bidi="he-IL"/>
        </w:rPr>
        <w:t>של סי' צ"ב עוסקים בדין טיפ</w:t>
      </w:r>
      <w:r w:rsidR="00410C3F" w:rsidRPr="00882F11">
        <w:rPr>
          <w:rFonts w:cs="Guttman Drogolin" w:hint="cs"/>
          <w:rtl/>
          <w:lang w:bidi="he-IL"/>
        </w:rPr>
        <w:t>ת חלב שנפלה על החתיכה שהוא סוגי</w:t>
      </w:r>
      <w:r w:rsidR="00D2493B" w:rsidRPr="00882F11">
        <w:rPr>
          <w:rFonts w:cs="Guttman Drogolin" w:hint="cs"/>
          <w:rtl/>
          <w:lang w:bidi="he-IL"/>
        </w:rPr>
        <w:t>ת הגמ' במס' חולין דף ק"ח. סעיפים ה' עד ז' עוסקים בדין טיפת חלב שנפלה על הקדירה. ויש כמה טעמים שהדין הזה שונה מדין נפל ע"ג חתיכה.</w:t>
      </w:r>
    </w:p>
    <w:p w:rsidR="00597C4C" w:rsidRPr="00882F11" w:rsidRDefault="00D2493B" w:rsidP="00655EB3">
      <w:pPr>
        <w:tabs>
          <w:tab w:val="right" w:pos="7497"/>
        </w:tabs>
        <w:bidi/>
        <w:jc w:val="both"/>
        <w:rPr>
          <w:rFonts w:cs="Guttman Drogolin"/>
          <w:rtl/>
          <w:lang w:bidi="he-IL"/>
        </w:rPr>
      </w:pPr>
      <w:r w:rsidRPr="00882F11">
        <w:rPr>
          <w:rFonts w:cs="Guttman Drogolin" w:hint="cs"/>
          <w:rtl/>
          <w:lang w:bidi="he-IL"/>
        </w:rPr>
        <w:lastRenderedPageBreak/>
        <w:t>א' מהם מקורו בסוגיא דמס' זבחים דף צ"ו ע"ב, דאיתא שם "בעא</w:t>
      </w:r>
      <w:r w:rsidRPr="00882F11">
        <w:rPr>
          <w:rFonts w:cs="Guttman Drogolin"/>
          <w:rtl/>
          <w:lang w:bidi="he-IL"/>
        </w:rPr>
        <w:t xml:space="preserve"> </w:t>
      </w:r>
      <w:r w:rsidRPr="00882F11">
        <w:rPr>
          <w:rFonts w:cs="Guttman Drogolin" w:hint="cs"/>
          <w:rtl/>
          <w:lang w:bidi="he-IL"/>
        </w:rPr>
        <w:t>מיניה</w:t>
      </w:r>
      <w:r w:rsidRPr="00882F11">
        <w:rPr>
          <w:rFonts w:cs="Guttman Drogolin"/>
          <w:rtl/>
          <w:lang w:bidi="he-IL"/>
        </w:rPr>
        <w:t xml:space="preserve"> </w:t>
      </w:r>
      <w:r w:rsidRPr="00882F11">
        <w:rPr>
          <w:rFonts w:cs="Guttman Drogolin" w:hint="cs"/>
          <w:rtl/>
          <w:lang w:bidi="he-IL"/>
        </w:rPr>
        <w:t>בישל</w:t>
      </w:r>
      <w:r w:rsidRPr="00882F11">
        <w:rPr>
          <w:rFonts w:cs="Guttman Drogolin"/>
          <w:rtl/>
          <w:lang w:bidi="he-IL"/>
        </w:rPr>
        <w:t xml:space="preserve"> </w:t>
      </w:r>
      <w:r w:rsidRPr="00882F11">
        <w:rPr>
          <w:rFonts w:cs="Guttman Drogolin" w:hint="cs"/>
          <w:rtl/>
          <w:lang w:bidi="he-IL"/>
        </w:rPr>
        <w:t>במקצת</w:t>
      </w:r>
      <w:r w:rsidRPr="00882F11">
        <w:rPr>
          <w:rFonts w:cs="Guttman Drogolin"/>
          <w:rtl/>
          <w:lang w:bidi="he-IL"/>
        </w:rPr>
        <w:t xml:space="preserve"> </w:t>
      </w:r>
      <w:r w:rsidRPr="00882F11">
        <w:rPr>
          <w:rFonts w:cs="Guttman Drogolin" w:hint="cs"/>
          <w:rtl/>
          <w:lang w:bidi="he-IL"/>
        </w:rPr>
        <w:t>כלי</w:t>
      </w:r>
      <w:r w:rsidRPr="00882F11">
        <w:rPr>
          <w:rFonts w:cs="Guttman Drogolin"/>
          <w:rtl/>
          <w:lang w:bidi="he-IL"/>
        </w:rPr>
        <w:t xml:space="preserve"> </w:t>
      </w:r>
      <w:r w:rsidRPr="00882F11">
        <w:rPr>
          <w:rFonts w:cs="Guttman Drogolin" w:hint="cs"/>
          <w:rtl/>
          <w:lang w:bidi="he-IL"/>
        </w:rPr>
        <w:t>טעון</w:t>
      </w:r>
      <w:r w:rsidRPr="00882F11">
        <w:rPr>
          <w:rFonts w:cs="Guttman Drogolin"/>
          <w:rtl/>
          <w:lang w:bidi="he-IL"/>
        </w:rPr>
        <w:t xml:space="preserve"> </w:t>
      </w:r>
      <w:r w:rsidRPr="00882F11">
        <w:rPr>
          <w:rFonts w:cs="Guttman Drogolin" w:hint="cs"/>
          <w:rtl/>
          <w:lang w:bidi="he-IL"/>
        </w:rPr>
        <w:t>מריקה</w:t>
      </w:r>
      <w:r w:rsidRPr="00882F11">
        <w:rPr>
          <w:rFonts w:cs="Guttman Drogolin"/>
          <w:rtl/>
          <w:lang w:bidi="he-IL"/>
        </w:rPr>
        <w:t xml:space="preserve"> </w:t>
      </w:r>
      <w:r w:rsidRPr="00882F11">
        <w:rPr>
          <w:rFonts w:cs="Guttman Drogolin" w:hint="cs"/>
          <w:rtl/>
          <w:lang w:bidi="he-IL"/>
        </w:rPr>
        <w:t>ושטיפה</w:t>
      </w:r>
      <w:r w:rsidRPr="00882F11">
        <w:rPr>
          <w:rFonts w:cs="Guttman Drogolin"/>
          <w:rtl/>
          <w:lang w:bidi="he-IL"/>
        </w:rPr>
        <w:t xml:space="preserve"> </w:t>
      </w:r>
      <w:r w:rsidRPr="00882F11">
        <w:rPr>
          <w:rFonts w:cs="Guttman Drogolin" w:hint="cs"/>
          <w:rtl/>
          <w:lang w:bidi="he-IL"/>
        </w:rPr>
        <w:t>או</w:t>
      </w:r>
      <w:r w:rsidRPr="00882F11">
        <w:rPr>
          <w:rFonts w:cs="Guttman Drogolin"/>
          <w:rtl/>
          <w:lang w:bidi="he-IL"/>
        </w:rPr>
        <w:t xml:space="preserve"> </w:t>
      </w:r>
      <w:r w:rsidRPr="00882F11">
        <w:rPr>
          <w:rFonts w:cs="Guttman Drogolin" w:hint="cs"/>
          <w:rtl/>
          <w:lang w:bidi="he-IL"/>
        </w:rPr>
        <w:t>אין</w:t>
      </w:r>
      <w:r w:rsidRPr="00882F11">
        <w:rPr>
          <w:rFonts w:cs="Guttman Drogolin"/>
          <w:rtl/>
          <w:lang w:bidi="he-IL"/>
        </w:rPr>
        <w:t xml:space="preserve"> </w:t>
      </w:r>
      <w:r w:rsidRPr="00882F11">
        <w:rPr>
          <w:rFonts w:cs="Guttman Drogolin" w:hint="cs"/>
          <w:rtl/>
          <w:lang w:bidi="he-IL"/>
        </w:rPr>
        <w:t>טעון" ומעיקרא א</w:t>
      </w:r>
      <w:r w:rsidR="00D64A12" w:rsidRPr="00882F11">
        <w:rPr>
          <w:rFonts w:cs="Guttman Drogolin" w:hint="cs"/>
          <w:rtl/>
          <w:lang w:bidi="he-IL"/>
        </w:rPr>
        <w:t>"</w:t>
      </w:r>
      <w:r w:rsidRPr="00882F11">
        <w:rPr>
          <w:rFonts w:cs="Guttman Drogolin" w:hint="cs"/>
          <w:rtl/>
          <w:lang w:bidi="he-IL"/>
        </w:rPr>
        <w:t>ל</w:t>
      </w:r>
      <w:r w:rsidRPr="00882F11">
        <w:rPr>
          <w:rFonts w:cs="Guttman Drogolin"/>
          <w:rtl/>
          <w:lang w:bidi="he-IL"/>
        </w:rPr>
        <w:t xml:space="preserve"> </w:t>
      </w:r>
      <w:r w:rsidRPr="00882F11">
        <w:rPr>
          <w:rFonts w:cs="Guttman Drogolin" w:hint="cs"/>
          <w:rtl/>
          <w:lang w:bidi="he-IL"/>
        </w:rPr>
        <w:t>שאינו</w:t>
      </w:r>
      <w:r w:rsidRPr="00882F11">
        <w:rPr>
          <w:rFonts w:cs="Guttman Drogolin"/>
          <w:rtl/>
          <w:lang w:bidi="he-IL"/>
        </w:rPr>
        <w:t xml:space="preserve"> </w:t>
      </w:r>
      <w:r w:rsidRPr="00882F11">
        <w:rPr>
          <w:rFonts w:cs="Guttman Drogolin" w:hint="cs"/>
          <w:rtl/>
          <w:lang w:bidi="he-IL"/>
        </w:rPr>
        <w:t>טעון</w:t>
      </w:r>
      <w:r w:rsidRPr="00882F11">
        <w:rPr>
          <w:rFonts w:cs="Guttman Drogolin"/>
          <w:rtl/>
          <w:lang w:bidi="he-IL"/>
        </w:rPr>
        <w:t xml:space="preserve"> </w:t>
      </w:r>
      <w:r w:rsidRPr="00882F11">
        <w:rPr>
          <w:rFonts w:cs="Guttman Drogolin" w:hint="cs"/>
          <w:rtl/>
          <w:lang w:bidi="he-IL"/>
        </w:rPr>
        <w:t>והשוה לדין הזאת דם על הבגד שאינו</w:t>
      </w:r>
      <w:r w:rsidRPr="00882F11">
        <w:rPr>
          <w:rFonts w:cs="Guttman Drogolin"/>
          <w:rtl/>
          <w:lang w:bidi="he-IL"/>
        </w:rPr>
        <w:t xml:space="preserve"> </w:t>
      </w:r>
      <w:r w:rsidRPr="00882F11">
        <w:rPr>
          <w:rFonts w:cs="Guttman Drogolin" w:hint="cs"/>
          <w:rtl/>
          <w:lang w:bidi="he-IL"/>
        </w:rPr>
        <w:t>צריך לכבס</w:t>
      </w:r>
      <w:r w:rsidRPr="00882F11">
        <w:rPr>
          <w:rFonts w:cs="Guttman Drogolin"/>
          <w:rtl/>
          <w:lang w:bidi="he-IL"/>
        </w:rPr>
        <w:t xml:space="preserve"> </w:t>
      </w:r>
      <w:r w:rsidRPr="00882F11">
        <w:rPr>
          <w:rFonts w:cs="Guttman Drogolin" w:hint="cs"/>
          <w:rtl/>
          <w:lang w:bidi="he-IL"/>
        </w:rPr>
        <w:t>אלא</w:t>
      </w:r>
      <w:r w:rsidRPr="00882F11">
        <w:rPr>
          <w:rFonts w:cs="Guttman Drogolin"/>
          <w:rtl/>
          <w:lang w:bidi="he-IL"/>
        </w:rPr>
        <w:t xml:space="preserve"> </w:t>
      </w:r>
      <w:r w:rsidRPr="00882F11">
        <w:rPr>
          <w:rFonts w:cs="Guttman Drogolin" w:hint="cs"/>
          <w:rtl/>
          <w:lang w:bidi="he-IL"/>
        </w:rPr>
        <w:t>מקום</w:t>
      </w:r>
      <w:r w:rsidRPr="00882F11">
        <w:rPr>
          <w:rFonts w:cs="Guttman Drogolin"/>
          <w:rtl/>
          <w:lang w:bidi="he-IL"/>
        </w:rPr>
        <w:t xml:space="preserve"> </w:t>
      </w:r>
      <w:r w:rsidRPr="00882F11">
        <w:rPr>
          <w:rFonts w:cs="Guttman Drogolin" w:hint="cs"/>
          <w:rtl/>
          <w:lang w:bidi="he-IL"/>
        </w:rPr>
        <w:t>הדם. אמנם לבסוף חילק ביין דין כיבוס למריקה ושטיפה, משום ש"דם</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מפעפע</w:t>
      </w:r>
      <w:r w:rsidRPr="00882F11">
        <w:rPr>
          <w:rFonts w:cs="Guttman Drogolin"/>
          <w:rtl/>
          <w:lang w:bidi="he-IL"/>
        </w:rPr>
        <w:t xml:space="preserve"> </w:t>
      </w:r>
      <w:r w:rsidRPr="00882F11">
        <w:rPr>
          <w:rFonts w:cs="Guttman Drogolin" w:hint="cs"/>
          <w:rtl/>
          <w:lang w:bidi="he-IL"/>
        </w:rPr>
        <w:t>בישול</w:t>
      </w:r>
      <w:r w:rsidRPr="00882F11">
        <w:rPr>
          <w:rFonts w:cs="Guttman Drogolin"/>
          <w:rtl/>
          <w:lang w:bidi="he-IL"/>
        </w:rPr>
        <w:t xml:space="preserve"> </w:t>
      </w:r>
      <w:r w:rsidRPr="00882F11">
        <w:rPr>
          <w:rFonts w:cs="Guttman Drogolin" w:hint="cs"/>
          <w:rtl/>
          <w:lang w:bidi="he-IL"/>
        </w:rPr>
        <w:t>מפעפע". ומכח סברא זו ועוד מסיק הגמ' דטעון מריקה ושטיפה בכל הכלי. ושואלת הגמ' "וטעמא</w:t>
      </w:r>
      <w:r w:rsidRPr="00882F11">
        <w:rPr>
          <w:rFonts w:cs="Guttman Drogolin"/>
          <w:rtl/>
          <w:lang w:bidi="he-IL"/>
        </w:rPr>
        <w:t xml:space="preserve"> </w:t>
      </w:r>
      <w:r w:rsidRPr="00882F11">
        <w:rPr>
          <w:rFonts w:cs="Guttman Drogolin" w:hint="cs"/>
          <w:rtl/>
          <w:lang w:bidi="he-IL"/>
        </w:rPr>
        <w:t>מאי", והתשיבה</w:t>
      </w:r>
      <w:r w:rsidRPr="00882F11">
        <w:rPr>
          <w:rFonts w:cs="Guttman Drogolin"/>
          <w:rtl/>
          <w:lang w:bidi="he-IL"/>
        </w:rPr>
        <w:t xml:space="preserve"> </w:t>
      </w:r>
      <w:r w:rsidRPr="00882F11">
        <w:rPr>
          <w:rFonts w:cs="Guttman Drogolin" w:hint="cs"/>
          <w:rtl/>
          <w:lang w:bidi="he-IL"/>
        </w:rPr>
        <w:t>"אמר</w:t>
      </w:r>
      <w:r w:rsidRPr="00882F11">
        <w:rPr>
          <w:rFonts w:cs="Guttman Drogolin"/>
          <w:rtl/>
          <w:lang w:bidi="he-IL"/>
        </w:rPr>
        <w:t xml:space="preserve"> </w:t>
      </w:r>
      <w:r w:rsidRPr="00882F11">
        <w:rPr>
          <w:rFonts w:cs="Guttman Drogolin" w:hint="cs"/>
          <w:rtl/>
          <w:lang w:bidi="he-IL"/>
        </w:rPr>
        <w:t>קרא</w:t>
      </w:r>
      <w:r w:rsidRPr="00882F11">
        <w:rPr>
          <w:rFonts w:cs="Guttman Drogolin"/>
          <w:rtl/>
          <w:lang w:bidi="he-IL"/>
        </w:rPr>
        <w:t xml:space="preserve"> </w:t>
      </w:r>
      <w:r w:rsidRPr="00882F11">
        <w:rPr>
          <w:rFonts w:cs="Guttman Drogolin" w:hint="cs"/>
          <w:rtl/>
          <w:lang w:bidi="he-IL"/>
        </w:rPr>
        <w:t>ואם</w:t>
      </w:r>
      <w:r w:rsidRPr="00882F11">
        <w:rPr>
          <w:rFonts w:cs="Guttman Drogolin"/>
          <w:rtl/>
          <w:lang w:bidi="he-IL"/>
        </w:rPr>
        <w:t xml:space="preserve"> </w:t>
      </w:r>
      <w:r w:rsidRPr="00882F11">
        <w:rPr>
          <w:rFonts w:cs="Guttman Drogolin" w:hint="cs"/>
          <w:rtl/>
          <w:lang w:bidi="he-IL"/>
        </w:rPr>
        <w:t>בכלי</w:t>
      </w:r>
      <w:r w:rsidRPr="00882F11">
        <w:rPr>
          <w:rFonts w:cs="Guttman Drogolin"/>
          <w:rtl/>
          <w:lang w:bidi="he-IL"/>
        </w:rPr>
        <w:t xml:space="preserve"> </w:t>
      </w:r>
      <w:r w:rsidRPr="00882F11">
        <w:rPr>
          <w:rFonts w:cs="Guttman Drogolin" w:hint="cs"/>
          <w:rtl/>
          <w:lang w:bidi="he-IL"/>
        </w:rPr>
        <w:t>נחשת</w:t>
      </w:r>
      <w:r w:rsidRPr="00882F11">
        <w:rPr>
          <w:rFonts w:cs="Guttman Drogolin"/>
          <w:rtl/>
          <w:lang w:bidi="he-IL"/>
        </w:rPr>
        <w:t xml:space="preserve"> </w:t>
      </w:r>
      <w:r w:rsidRPr="00882F11">
        <w:rPr>
          <w:rFonts w:cs="Guttman Drogolin" w:hint="cs"/>
          <w:rtl/>
          <w:lang w:bidi="he-IL"/>
        </w:rPr>
        <w:t>בושלה</w:t>
      </w:r>
      <w:r w:rsidRPr="00882F11">
        <w:rPr>
          <w:rFonts w:cs="Guttman Drogolin"/>
          <w:rtl/>
          <w:lang w:bidi="he-IL"/>
        </w:rPr>
        <w:t xml:space="preserve"> </w:t>
      </w:r>
      <w:r w:rsidRPr="00882F11">
        <w:rPr>
          <w:rFonts w:cs="Guttman Drogolin" w:hint="cs"/>
          <w:rtl/>
          <w:lang w:bidi="he-IL"/>
        </w:rPr>
        <w:t>ואפילו</w:t>
      </w:r>
      <w:r w:rsidRPr="00882F11">
        <w:rPr>
          <w:rFonts w:cs="Guttman Drogolin"/>
          <w:rtl/>
          <w:lang w:bidi="he-IL"/>
        </w:rPr>
        <w:t xml:space="preserve"> </w:t>
      </w:r>
      <w:r w:rsidRPr="00882F11">
        <w:rPr>
          <w:rFonts w:cs="Guttman Drogolin" w:hint="cs"/>
          <w:rtl/>
          <w:lang w:bidi="he-IL"/>
        </w:rPr>
        <w:t>במקצת</w:t>
      </w:r>
      <w:r w:rsidRPr="00882F11">
        <w:rPr>
          <w:rFonts w:cs="Guttman Drogolin"/>
          <w:rtl/>
          <w:lang w:bidi="he-IL"/>
        </w:rPr>
        <w:t xml:space="preserve"> </w:t>
      </w:r>
      <w:r w:rsidRPr="00882F11">
        <w:rPr>
          <w:rFonts w:cs="Guttman Drogolin" w:hint="cs"/>
          <w:rtl/>
          <w:lang w:bidi="he-IL"/>
        </w:rPr>
        <w:t xml:space="preserve">כלי". ולפום ריהטא חזינן מן הגמ' שבישול מפעפע בתוך כלי, ולכאורה א"כ הי' צריך להיות ממש כמו חתיכה. אלא שיש על הגמ' ב' הערות. חדא שאם באמת מפעפע בכל הכלי, </w:t>
      </w:r>
      <w:r w:rsidR="00597C4C" w:rsidRPr="00882F11">
        <w:rPr>
          <w:rFonts w:cs="Guttman Drogolin" w:hint="cs"/>
          <w:rtl/>
          <w:lang w:bidi="he-IL"/>
        </w:rPr>
        <w:t xml:space="preserve">למה שאלו מאי טעמא צריך מריקה ושטיפה בכל הכלי, </w:t>
      </w:r>
      <w:r w:rsidR="00655EB3" w:rsidRPr="00882F11">
        <w:rPr>
          <w:rFonts w:cs="Guttman Drogolin" w:hint="cs"/>
          <w:rtl/>
          <w:lang w:bidi="he-IL"/>
        </w:rPr>
        <w:t>לכאורה</w:t>
      </w:r>
      <w:r w:rsidR="00597C4C" w:rsidRPr="00882F11">
        <w:rPr>
          <w:rFonts w:cs="Guttman Drogolin" w:hint="cs"/>
          <w:rtl/>
          <w:lang w:bidi="he-IL"/>
        </w:rPr>
        <w:t xml:space="preserve"> פשוט כיון שמפעפע הרי </w:t>
      </w:r>
      <w:r w:rsidR="00655EB3" w:rsidRPr="00882F11">
        <w:rPr>
          <w:rFonts w:cs="Guttman Drogolin" w:hint="cs"/>
          <w:rtl/>
          <w:lang w:bidi="he-IL"/>
        </w:rPr>
        <w:t xml:space="preserve">מריקה ושטיפה </w:t>
      </w:r>
      <w:r w:rsidR="00597C4C" w:rsidRPr="00882F11">
        <w:rPr>
          <w:rFonts w:cs="Guttman Drogolin" w:hint="cs"/>
          <w:rtl/>
          <w:lang w:bidi="he-IL"/>
        </w:rPr>
        <w:t>צריך בכל הכלי. ועוד דיעוין בתוס' שהתקשו בעצם האיבעיא, דממ"נ, אם אין כל הכלי חם, מה"ת שיצטרך בכל הכלי. ואם כולו על האש, הא מפעפע בכולו ולמה לא יצטרך. ואם זהו גופא האיבעיא אם מפעפע בכל הכלי או לא, למה הסתפקו רק בדין מריקה ושטיפה ולא בהגעלה לכל איסורים. והתוס' נשארים בקושיא.</w:t>
      </w:r>
    </w:p>
    <w:p w:rsidR="0047041A" w:rsidRPr="00882F11" w:rsidRDefault="00597C4C" w:rsidP="00655EB3">
      <w:pPr>
        <w:tabs>
          <w:tab w:val="right" w:pos="7497"/>
        </w:tabs>
        <w:bidi/>
        <w:jc w:val="both"/>
        <w:rPr>
          <w:rFonts w:cs="Guttman Drogolin"/>
          <w:rtl/>
          <w:lang w:bidi="he-IL"/>
        </w:rPr>
      </w:pPr>
      <w:r w:rsidRPr="00882F11">
        <w:rPr>
          <w:rFonts w:cs="Guttman Drogolin" w:hint="cs"/>
          <w:rtl/>
          <w:lang w:bidi="he-IL"/>
        </w:rPr>
        <w:t xml:space="preserve">ויש כמה מהלכים בראשונים וכמו שנראה בעזהי"ת בדין פעפוע בכלי ע"פ גמ' זו. ונביא א' מהם, דהנה </w:t>
      </w:r>
      <w:r w:rsidR="00655EB3" w:rsidRPr="00882F11">
        <w:rPr>
          <w:rFonts w:cs="Guttman Drogolin" w:hint="cs"/>
          <w:rtl/>
          <w:lang w:bidi="he-IL"/>
        </w:rPr>
        <w:t xml:space="preserve">כתוב </w:t>
      </w:r>
      <w:r w:rsidRPr="00882F11">
        <w:rPr>
          <w:rFonts w:cs="Guttman Drogolin" w:hint="cs"/>
          <w:rtl/>
          <w:lang w:bidi="he-IL"/>
        </w:rPr>
        <w:t xml:space="preserve">בבדק הבית </w:t>
      </w:r>
      <w:r w:rsidR="00D1532C" w:rsidRPr="00882F11">
        <w:rPr>
          <w:rFonts w:cs="Guttman Drogolin" w:hint="cs"/>
          <w:rtl/>
          <w:lang w:bidi="he-IL"/>
        </w:rPr>
        <w:t>ב"ד ש"ד ד"ה עוד כתב וכלי חרס (עמ' שס"ו הוצאת מה"ק) שכשמכשירים כלי שבלע בשר או חלב, אינו צריך להכשיר אלא</w:t>
      </w:r>
      <w:r w:rsidR="00410C3F" w:rsidRPr="00882F11">
        <w:rPr>
          <w:rFonts w:cs="Guttman Drogolin" w:hint="cs"/>
          <w:rtl/>
          <w:lang w:bidi="he-IL"/>
        </w:rPr>
        <w:t xml:space="preserve"> אותו מקום שבלע, "ואע"פ שאמרו בז</w:t>
      </w:r>
      <w:r w:rsidR="00D1532C" w:rsidRPr="00882F11">
        <w:rPr>
          <w:rFonts w:cs="Guttman Drogolin" w:hint="cs"/>
          <w:rtl/>
          <w:lang w:bidi="he-IL"/>
        </w:rPr>
        <w:t>בחים לענין מריקה ושטיפה דאם נשתמש בכלי במקצת צריך מריקה ושטיפה בכלו ההיא לענין קדשים היא אבל לחולין כלל גדול בידינו כבולעו כך פולטו"</w:t>
      </w:r>
      <w:r w:rsidR="00D80BAF" w:rsidRPr="00882F11">
        <w:rPr>
          <w:rStyle w:val="FootnoteReference"/>
          <w:rFonts w:cs="Guttman Drogolin"/>
          <w:rtl/>
          <w:lang w:bidi="he-IL"/>
        </w:rPr>
        <w:footnoteReference w:id="260"/>
      </w:r>
      <w:r w:rsidR="00D1532C" w:rsidRPr="00882F11">
        <w:rPr>
          <w:rFonts w:cs="Guttman Drogolin" w:hint="cs"/>
          <w:rtl/>
          <w:lang w:bidi="he-IL"/>
        </w:rPr>
        <w:t xml:space="preserve">. </w:t>
      </w:r>
      <w:r w:rsidR="0047041A" w:rsidRPr="00882F11">
        <w:rPr>
          <w:rFonts w:cs="Guttman Drogolin" w:hint="cs"/>
          <w:rtl/>
          <w:lang w:bidi="he-IL"/>
        </w:rPr>
        <w:t xml:space="preserve">ולכאורה כוונתו, שאמנם הגמ' סוברת שבישול מפעפע בתוך כלי, מ"מ הי' ספק אם צריכים מריקה ושטיפה בכולו, כיון שבחולין סגי לן בהכשר אותו מקצת כלי שבלע האיסור, דכבולעו כך פולטו. ובזה יש לנו גזה"כ בקדשים שמ"מ בעינן מריקה ושטיפה בכל הכלי. וא"כ שפיר י"ל שבבב"ח (ולא בבליעה שכבר אסורה </w:t>
      </w:r>
      <w:r w:rsidR="0047041A" w:rsidRPr="00882F11">
        <w:rPr>
          <w:rFonts w:cs="Guttman Drogolin" w:hint="cs"/>
          <w:rtl/>
          <w:lang w:bidi="he-IL"/>
        </w:rPr>
        <w:lastRenderedPageBreak/>
        <w:t>וכדמבואר שם בבד"ה) אם לא הכשיר אותו מקום מ"מ כולו בלוע חלב. ויש כאלו שלומדים דכיון שהאיסור מתפשט בכל הכלי, אם יש ששים בכלי לבטל האיסור אין הטיפה אוסרת כלל. ויש כאלו שחוששים אולי אינו מפעפע</w:t>
      </w:r>
      <w:r w:rsidR="00D1532C" w:rsidRPr="00882F11">
        <w:rPr>
          <w:rFonts w:cs="Guttman Drogolin" w:hint="cs"/>
          <w:rtl/>
          <w:lang w:bidi="he-IL"/>
        </w:rPr>
        <w:t xml:space="preserve"> </w:t>
      </w:r>
      <w:r w:rsidR="0047041A" w:rsidRPr="00882F11">
        <w:rPr>
          <w:rFonts w:cs="Guttman Drogolin" w:hint="cs"/>
          <w:rtl/>
          <w:lang w:bidi="he-IL"/>
        </w:rPr>
        <w:t>בכל הכלי רק במקצת הכלי. ולכן שיטת מהר"ם המובא בטור שאם יש ס' פעמים ס' (3600) היתר בקדירה נגד החלב הקדירה מותרת, אבל פחות מזה לא. והטעם שחוששים אולי הטיפה התפשטה עד ס' כמותה ולא עד בכלל, וממילא נעשית נבילה, ולכן צריכים ששים בתבשיל כנגד ששים של בליעות שבתוך הכלי כדי להתיר התבשיל, וזהו ס' פעמים ס'. וי"א שיש מקום לומר שהטיפה נכנס מיד בפנים התבשיל, וכן שלא נכנס מן הטיפה לתבשיל בכלל, ובעזהי"ת בהמשך נאריך בזה יותר.</w:t>
      </w:r>
    </w:p>
    <w:p w:rsidR="0047041A" w:rsidRPr="00882F11" w:rsidRDefault="0047041A" w:rsidP="0047041A">
      <w:pPr>
        <w:tabs>
          <w:tab w:val="right" w:pos="7497"/>
        </w:tabs>
        <w:bidi/>
        <w:jc w:val="both"/>
        <w:rPr>
          <w:rFonts w:cs="Guttman Drogolin"/>
          <w:rtl/>
          <w:lang w:bidi="he-IL"/>
        </w:rPr>
      </w:pPr>
      <w:r w:rsidRPr="00882F11">
        <w:rPr>
          <w:rFonts w:cs="Guttman Drogolin" w:hint="cs"/>
          <w:rtl/>
          <w:lang w:bidi="he-IL"/>
        </w:rPr>
        <w:t>ובכלל החומרא להצריך ס' פעמים ס', הוא שאין לומר שאין הבליעות שהיו מקודם בכלי נע"נ משום שסוף טעם הטיפה של חלב להתפשט, משום דאמרינן שהי' מונח מעיקרא בכלי ונע"נ,</w:t>
      </w:r>
      <w:r w:rsidR="00410C3F" w:rsidRPr="00882F11">
        <w:rPr>
          <w:rFonts w:cs="Guttman Drogolin" w:hint="cs"/>
          <w:rtl/>
          <w:lang w:bidi="he-IL"/>
        </w:rPr>
        <w:t xml:space="preserve"> ו</w:t>
      </w:r>
      <w:r w:rsidRPr="00882F11">
        <w:rPr>
          <w:rFonts w:cs="Guttman Drogolin" w:hint="cs"/>
          <w:rtl/>
          <w:lang w:bidi="he-IL"/>
        </w:rPr>
        <w:t>רק לאחר מכן יצא, דוגמת מה שמצאנו בחלב נבילה דאע"ג שסופו להתפשט הרי היא אסורה, דאמרינן שהוא מונח בחתיכה ומנותק משאר התבשיל. אבל לאלו שאומרים שנכנס מיד לתבשיל לא נימא הכי.</w:t>
      </w:r>
    </w:p>
    <w:p w:rsidR="00DA47B1" w:rsidRPr="00882F11" w:rsidRDefault="00410C3F" w:rsidP="0047041A">
      <w:pPr>
        <w:tabs>
          <w:tab w:val="right" w:pos="7497"/>
        </w:tabs>
        <w:bidi/>
        <w:jc w:val="both"/>
        <w:rPr>
          <w:rFonts w:cs="Guttman Drogolin"/>
          <w:rtl/>
          <w:lang w:bidi="he-IL"/>
        </w:rPr>
      </w:pPr>
      <w:r w:rsidRPr="00882F11">
        <w:rPr>
          <w:rFonts w:cs="Guttman Drogolin" w:hint="cs"/>
          <w:rtl/>
          <w:lang w:bidi="he-IL"/>
        </w:rPr>
        <w:t xml:space="preserve">ועוד נידון </w:t>
      </w:r>
      <w:r w:rsidR="0047041A" w:rsidRPr="00882F11">
        <w:rPr>
          <w:rFonts w:cs="Guttman Drogolin" w:hint="cs"/>
          <w:rtl/>
          <w:lang w:bidi="he-IL"/>
        </w:rPr>
        <w:t>חשוב בסוגיין הוא דכגון השיטה המצריכה ששים פעמים ששים סבר שהבליעות שהיו מקודם בכלי (דמיירי בכלי ישן) נע"נ ע"י בליעות של ח</w:t>
      </w:r>
      <w:r w:rsidR="00655EB3" w:rsidRPr="00882F11">
        <w:rPr>
          <w:rFonts w:cs="Guttman Drogolin" w:hint="cs"/>
          <w:rtl/>
          <w:lang w:bidi="he-IL"/>
        </w:rPr>
        <w:t>לב שנכנסים בה עכשיו. וזה מחייב אות</w:t>
      </w:r>
      <w:r w:rsidR="0047041A" w:rsidRPr="00882F11">
        <w:rPr>
          <w:rFonts w:cs="Guttman Drogolin" w:hint="cs"/>
          <w:rtl/>
          <w:lang w:bidi="he-IL"/>
        </w:rPr>
        <w:t>נו לומר דאמרינן חענ"ן גם בבלוע בכלי. והבאנו מקודם ששיטת הרמב"ן בדף צ"ז ע"ב דלא אמרינן חענ"ן בבלוע בכלי. ולשיט</w:t>
      </w:r>
      <w:r w:rsidR="00655EB3" w:rsidRPr="00882F11">
        <w:rPr>
          <w:rFonts w:cs="Guttman Drogolin" w:hint="cs"/>
          <w:rtl/>
          <w:lang w:bidi="he-IL"/>
        </w:rPr>
        <w:t>ת</w:t>
      </w:r>
      <w:r w:rsidR="0047041A" w:rsidRPr="00882F11">
        <w:rPr>
          <w:rFonts w:cs="Guttman Drogolin" w:hint="cs"/>
          <w:rtl/>
          <w:lang w:bidi="he-IL"/>
        </w:rPr>
        <w:t xml:space="preserve">ו ודאי שאין צריכים ששים פעמים ששים, דהא הבלוע לא נע"נ. ובטעם דלא אמירנן חענ"ן בבלוע בכלי, הבאנו אז ביאורו של התרוה"ד </w:t>
      </w:r>
      <w:r w:rsidR="00EE5F55" w:rsidRPr="00882F11">
        <w:rPr>
          <w:rFonts w:cs="Guttman Drogolin" w:hint="cs"/>
          <w:rtl/>
          <w:lang w:bidi="he-IL"/>
        </w:rPr>
        <w:t xml:space="preserve">(סי' קפ"ג) </w:t>
      </w:r>
      <w:r w:rsidR="0047041A" w:rsidRPr="00882F11">
        <w:rPr>
          <w:rFonts w:cs="Guttman Drogolin" w:hint="cs"/>
          <w:rtl/>
          <w:lang w:bidi="he-IL"/>
        </w:rPr>
        <w:t>שהוא משום דהוי כטומאה בלועה. ועכשיו מצאתי לזה עוד ביאורים. ע' בחזו"א</w:t>
      </w:r>
      <w:r w:rsidR="00EE5F55" w:rsidRPr="00882F11">
        <w:rPr>
          <w:rFonts w:cs="Guttman Drogolin" w:hint="cs"/>
          <w:rtl/>
          <w:lang w:bidi="he-IL"/>
        </w:rPr>
        <w:t xml:space="preserve"> סי' ט"ז ס"ק ג' שביאר שהוא משום שהבליעה נטפלת לכלי ולכן אין ל</w:t>
      </w:r>
      <w:r w:rsidRPr="00882F11">
        <w:rPr>
          <w:rFonts w:cs="Guttman Drogolin" w:hint="cs"/>
          <w:rtl/>
          <w:lang w:bidi="he-IL"/>
        </w:rPr>
        <w:t>ו</w:t>
      </w:r>
      <w:r w:rsidR="00EE5F55" w:rsidRPr="00882F11">
        <w:rPr>
          <w:rFonts w:cs="Guttman Drogolin" w:hint="cs"/>
          <w:rtl/>
          <w:lang w:bidi="he-IL"/>
        </w:rPr>
        <w:t xml:space="preserve"> שם אוכל ולא חל עליו שם איסור (וע' חזו"א ססי' ל"ב שגם תמה על ביאורו של התרוה"ד). ובמש"ז </w:t>
      </w:r>
      <w:r w:rsidR="00EE5F55" w:rsidRPr="00882F11">
        <w:rPr>
          <w:rFonts w:cs="Guttman Drogolin" w:hint="cs"/>
          <w:rtl/>
          <w:lang w:bidi="he-IL"/>
        </w:rPr>
        <w:lastRenderedPageBreak/>
        <w:t xml:space="preserve">סי' צ"ב ס"ק ח' משום שאין דרך בישול בכך. ונראה שדעת הפוסקים בהאי נידון בהמשך. </w:t>
      </w:r>
      <w:r w:rsidR="0047041A" w:rsidRPr="00882F11">
        <w:rPr>
          <w:rFonts w:cs="Guttman Drogolin" w:hint="cs"/>
          <w:rtl/>
          <w:lang w:bidi="he-IL"/>
        </w:rPr>
        <w:t xml:space="preserve"> </w:t>
      </w:r>
      <w:r w:rsidR="00D1532C" w:rsidRPr="00882F11">
        <w:rPr>
          <w:rFonts w:cs="Guttman Drogolin" w:hint="cs"/>
          <w:rtl/>
          <w:lang w:bidi="he-IL"/>
        </w:rPr>
        <w:t xml:space="preserve"> </w:t>
      </w:r>
      <w:r w:rsidR="00D2493B" w:rsidRPr="00882F11">
        <w:rPr>
          <w:rFonts w:cs="Guttman Drogolin" w:hint="cs"/>
          <w:rtl/>
          <w:lang w:bidi="he-IL"/>
        </w:rPr>
        <w:t xml:space="preserve">  </w:t>
      </w:r>
    </w:p>
    <w:p w:rsidR="00597634" w:rsidRPr="00882F11" w:rsidRDefault="00597634" w:rsidP="00DA47B1">
      <w:pPr>
        <w:tabs>
          <w:tab w:val="right" w:pos="7497"/>
        </w:tabs>
        <w:bidi/>
        <w:jc w:val="both"/>
        <w:rPr>
          <w:rFonts w:cs="Guttman Drogolin"/>
          <w:rtl/>
          <w:lang w:bidi="he-IL"/>
        </w:rPr>
        <w:sectPr w:rsidR="00597634" w:rsidRPr="00882F11" w:rsidSect="00DA1D59">
          <w:type w:val="continuous"/>
          <w:pgSz w:w="11907" w:h="16839" w:code="9"/>
          <w:pgMar w:top="1440" w:right="1440" w:bottom="1440" w:left="1440" w:header="720" w:footer="720" w:gutter="0"/>
          <w:cols w:num="2" w:space="720"/>
          <w:bidi/>
          <w:docGrid w:linePitch="360"/>
        </w:sectPr>
      </w:pPr>
    </w:p>
    <w:p w:rsidR="00597634" w:rsidRPr="00882F11" w:rsidRDefault="00597634" w:rsidP="00597634">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נ"ז</w:t>
      </w:r>
    </w:p>
    <w:p w:rsidR="00DA1D59" w:rsidRDefault="00DA1D59" w:rsidP="0078079C">
      <w:pPr>
        <w:pStyle w:val="Heading1"/>
        <w:bidi/>
        <w:spacing w:before="0" w:line="360" w:lineRule="auto"/>
        <w:jc w:val="center"/>
        <w:rPr>
          <w:rFonts w:cs="Guttman Drogolin"/>
          <w:color w:val="auto"/>
          <w:sz w:val="24"/>
          <w:szCs w:val="24"/>
          <w:u w:val="single"/>
          <w:rtl/>
          <w:lang w:bidi="he-IL"/>
        </w:rPr>
        <w:sectPr w:rsidR="00DA1D59" w:rsidSect="00DA1D59">
          <w:headerReference w:type="default" r:id="rId45"/>
          <w:pgSz w:w="11907" w:h="16839" w:code="9"/>
          <w:pgMar w:top="1440" w:right="1440" w:bottom="1440" w:left="1440" w:header="720" w:footer="720" w:gutter="0"/>
          <w:cols w:space="720"/>
          <w:bidi/>
          <w:docGrid w:linePitch="360"/>
        </w:sectPr>
      </w:pPr>
    </w:p>
    <w:p w:rsidR="00597634" w:rsidRPr="00882F11" w:rsidRDefault="00597634" w:rsidP="0078079C">
      <w:pPr>
        <w:pStyle w:val="Heading1"/>
        <w:bidi/>
        <w:spacing w:before="0" w:line="360" w:lineRule="auto"/>
        <w:jc w:val="center"/>
        <w:rPr>
          <w:rFonts w:cs="Guttman Drogolin"/>
          <w:color w:val="auto"/>
          <w:sz w:val="24"/>
          <w:szCs w:val="24"/>
          <w:u w:val="single"/>
          <w:rtl/>
          <w:lang w:bidi="he-IL"/>
        </w:rPr>
      </w:pPr>
      <w:bookmarkStart w:id="219" w:name="_Toc496175474"/>
      <w:r w:rsidRPr="00882F11">
        <w:rPr>
          <w:rFonts w:cs="Guttman Drogolin" w:hint="cs"/>
          <w:color w:val="auto"/>
          <w:sz w:val="24"/>
          <w:szCs w:val="24"/>
          <w:u w:val="single"/>
          <w:rtl/>
          <w:lang w:bidi="he-IL"/>
        </w:rPr>
        <w:lastRenderedPageBreak/>
        <w:t>השיטות בדין טיפת חלב שנפל על הקדרה</w:t>
      </w:r>
      <w:bookmarkEnd w:id="219"/>
    </w:p>
    <w:p w:rsidR="00597634" w:rsidRPr="00882F11" w:rsidRDefault="00597634" w:rsidP="00597634">
      <w:pPr>
        <w:tabs>
          <w:tab w:val="right" w:pos="7497"/>
        </w:tabs>
        <w:bidi/>
        <w:jc w:val="both"/>
        <w:rPr>
          <w:rFonts w:cs="Guttman Drogolin"/>
          <w:rtl/>
          <w:lang w:bidi="he-IL"/>
        </w:rPr>
      </w:pPr>
      <w:r w:rsidRPr="00882F11">
        <w:rPr>
          <w:rFonts w:cs="Guttman Drogolin" w:hint="cs"/>
          <w:rtl/>
          <w:lang w:bidi="he-IL"/>
        </w:rPr>
        <w:t>ראינו בטיפת חלב שנפל על החתיכה שמשערין בכל החתיכה לבטל הטיפת חלב בס'. ולפום ריהטא בנפל טיפת חלב על הקדרה יהי' אותו דין, וכן נראה שפסק הראב"ן המובא בב"י בשם המרדכי בשמו</w:t>
      </w:r>
      <w:r w:rsidR="00576990" w:rsidRPr="00882F11">
        <w:rPr>
          <w:rStyle w:val="FootnoteReference"/>
          <w:rFonts w:cs="Guttman Drogolin"/>
          <w:rtl/>
          <w:lang w:bidi="he-IL"/>
        </w:rPr>
        <w:footnoteReference w:id="261"/>
      </w:r>
      <w:r w:rsidRPr="00882F11">
        <w:rPr>
          <w:rFonts w:cs="Guttman Drogolin" w:hint="cs"/>
          <w:rtl/>
          <w:lang w:bidi="he-IL"/>
        </w:rPr>
        <w:t xml:space="preserve"> (ושם במרדכי הביא עוד מתשובת ראב"ן בזה ומבואר שהתיר גם משום שאין חענ"ן בבלוע בכלי, וע"ש הגהת הרמ"א מש"כ ליישב עירוב הטעמים שלו). אמנם משאר הפוסקים נראה שדין קדירה חלוק מדין חתיכה, וזה יכול להיות מכמה טעמים:</w:t>
      </w:r>
    </w:p>
    <w:p w:rsidR="00E6317F" w:rsidRPr="00882F11" w:rsidRDefault="00E6317F" w:rsidP="00597634">
      <w:pPr>
        <w:tabs>
          <w:tab w:val="right" w:pos="7497"/>
        </w:tabs>
        <w:bidi/>
        <w:jc w:val="both"/>
        <w:rPr>
          <w:rFonts w:cs="Guttman Drogolin"/>
          <w:b/>
          <w:bCs/>
          <w:rtl/>
          <w:lang w:bidi="he-IL"/>
        </w:rPr>
      </w:pPr>
      <w:r w:rsidRPr="00882F11">
        <w:rPr>
          <w:rFonts w:cs="Guttman Drogolin" w:hint="cs"/>
          <w:b/>
          <w:bCs/>
          <w:u w:val="single"/>
          <w:rtl/>
          <w:lang w:bidi="he-IL"/>
        </w:rPr>
        <w:t>טעמים להחמיר בקדרה יותר מחתיכה</w:t>
      </w:r>
      <w:r w:rsidR="00597634" w:rsidRPr="00882F11">
        <w:rPr>
          <w:rFonts w:cs="Guttman Drogolin" w:hint="cs"/>
          <w:b/>
          <w:bCs/>
          <w:u w:val="single"/>
          <w:rtl/>
          <w:lang w:bidi="he-IL"/>
        </w:rPr>
        <w:t xml:space="preserve"> </w:t>
      </w:r>
    </w:p>
    <w:p w:rsidR="00873EB5" w:rsidRPr="00882F11" w:rsidRDefault="00B71530" w:rsidP="00DA1D59">
      <w:pPr>
        <w:pStyle w:val="ListParagraph"/>
        <w:numPr>
          <w:ilvl w:val="0"/>
          <w:numId w:val="13"/>
        </w:numPr>
        <w:tabs>
          <w:tab w:val="right" w:pos="7497"/>
        </w:tabs>
        <w:bidi/>
        <w:ind w:left="283" w:hanging="270"/>
        <w:jc w:val="both"/>
        <w:rPr>
          <w:rFonts w:cs="Guttman Drogolin"/>
          <w:lang w:bidi="he-IL"/>
        </w:rPr>
      </w:pPr>
      <w:r>
        <w:rPr>
          <w:rFonts w:cs="Guttman Drogolin"/>
          <w:rtl/>
          <w:lang w:bidi="he-IL"/>
        </w:rPr>
        <w:fldChar w:fldCharType="begin"/>
      </w:r>
      <w:r>
        <w:instrText xml:space="preserve"> XE "</w:instrText>
      </w:r>
      <w:r w:rsidRPr="004D4A42">
        <w:rPr>
          <w:rFonts w:hint="cs"/>
          <w:rtl/>
          <w:lang w:bidi="he-IL"/>
        </w:rPr>
        <w:instrText>טיפת חלב שנפלה על הקדרה</w:instrText>
      </w:r>
      <w:r w:rsidRPr="004D4A42">
        <w:rPr>
          <w:rtl/>
        </w:rPr>
        <w:instrText>:</w:instrText>
      </w:r>
      <w:r w:rsidRPr="004D4A42">
        <w:rPr>
          <w:rFonts w:hint="cs"/>
          <w:rtl/>
          <w:lang w:bidi="he-IL"/>
        </w:rPr>
        <w:instrText>טעם להחמיר בה יותר מחתיכה</w:instrText>
      </w:r>
      <w:r>
        <w:instrText xml:space="preserve">" </w:instrText>
      </w:r>
      <w:r>
        <w:rPr>
          <w:rFonts w:cs="Guttman Drogolin"/>
          <w:rtl/>
          <w:lang w:bidi="he-IL"/>
        </w:rPr>
        <w:fldChar w:fldCharType="end"/>
      </w:r>
      <w:r w:rsidR="00E6317F" w:rsidRPr="00882F11">
        <w:rPr>
          <w:rFonts w:cs="Guttman Drogolin" w:hint="cs"/>
          <w:rtl/>
          <w:lang w:bidi="he-IL"/>
        </w:rPr>
        <w:t>הבליעות אינם מתפשטות בתוך דפני הכלי כמו שהן מתפשטות בתוך אוכל. וזה יכול להיות משום שאין הבל מחוץ לכלי (שזהו הטעם שהביא הר"ן לומר דהא דטיפת חלב שנפלה על החתיכה אינו חשוב כצלי) ולכן הוי כצלי</w:t>
      </w:r>
      <w:r w:rsidR="00E6317F" w:rsidRPr="00882F11">
        <w:rPr>
          <w:rStyle w:val="FootnoteReference"/>
          <w:rFonts w:cs="Guttman Drogolin"/>
          <w:rtl/>
          <w:lang w:bidi="he-IL"/>
        </w:rPr>
        <w:footnoteReference w:id="262"/>
      </w:r>
      <w:r w:rsidR="00E6317F" w:rsidRPr="00882F11">
        <w:rPr>
          <w:rFonts w:cs="Guttman Drogolin" w:hint="cs"/>
          <w:rtl/>
          <w:lang w:bidi="he-IL"/>
        </w:rPr>
        <w:t xml:space="preserve">, או"ד משום שטבע האוכל שונה מטבע כלי ולכן אינו מתפשט (ודבר זה תלוי בפי' דברי הגמ' שבמס' זבחים דף צ"ו ע"ב הנ"ל בשיעור הקודם). </w:t>
      </w:r>
    </w:p>
    <w:p w:rsidR="007E2F9D" w:rsidRPr="00882F11" w:rsidRDefault="00873EB5" w:rsidP="00DA1D59">
      <w:pPr>
        <w:pStyle w:val="ListParagraph"/>
        <w:numPr>
          <w:ilvl w:val="0"/>
          <w:numId w:val="13"/>
        </w:numPr>
        <w:tabs>
          <w:tab w:val="right" w:pos="7497"/>
        </w:tabs>
        <w:bidi/>
        <w:ind w:left="283" w:hanging="270"/>
        <w:jc w:val="both"/>
        <w:rPr>
          <w:rFonts w:cs="Guttman Drogolin"/>
          <w:lang w:bidi="he-IL"/>
        </w:rPr>
      </w:pPr>
      <w:r w:rsidRPr="00882F11">
        <w:rPr>
          <w:rFonts w:cs="Guttman Drogolin" w:hint="cs"/>
          <w:rtl/>
          <w:lang w:bidi="he-IL"/>
        </w:rPr>
        <w:t>אפילו אם הוא מתפשט בכלי כמו שמתפשט באוכל, מ"מ עדיין י"ל שאינו מתבטל בששים מן הכלי כיון שאין לכלי פליטה מעצמה ולכן אין ששים של פליטה כדי לבטל הבליעות מן הטיפת חלב. ואפילו אם יש בליעות של בשר בתוך הכלי, וכן מחמי</w:t>
      </w:r>
      <w:r w:rsidR="00410C3F" w:rsidRPr="00882F11">
        <w:rPr>
          <w:rFonts w:cs="Guttman Drogolin" w:hint="cs"/>
          <w:rtl/>
          <w:lang w:bidi="he-IL"/>
        </w:rPr>
        <w:t>רים לומר שיש שיעור בליעות כנגד כ</w:t>
      </w:r>
      <w:r w:rsidRPr="00882F11">
        <w:rPr>
          <w:rFonts w:cs="Guttman Drogolin" w:hint="cs"/>
          <w:rtl/>
          <w:lang w:bidi="he-IL"/>
        </w:rPr>
        <w:t>ל הכלי ומשום דלא ידעינן כמה נפיק מיני', מ"מ אין זה אלא דין לחומרא, אבל לקולא ודאי אין כולו בליעות ואי אפשר לשער בס' כנגד כל הכלי.</w:t>
      </w:r>
    </w:p>
    <w:p w:rsidR="006E2BA8" w:rsidRPr="00882F11" w:rsidRDefault="007E2F9D" w:rsidP="007E2F9D">
      <w:pPr>
        <w:tabs>
          <w:tab w:val="right" w:pos="7497"/>
        </w:tabs>
        <w:bidi/>
        <w:jc w:val="both"/>
        <w:rPr>
          <w:rFonts w:cs="Guttman Drogolin"/>
          <w:rtl/>
          <w:lang w:bidi="he-IL"/>
        </w:rPr>
      </w:pPr>
      <w:r w:rsidRPr="00882F11">
        <w:rPr>
          <w:rFonts w:cs="Guttman Drogolin" w:hint="cs"/>
          <w:rtl/>
          <w:lang w:bidi="he-IL"/>
        </w:rPr>
        <w:lastRenderedPageBreak/>
        <w:t>ועכשיו נבאר השיטות השונות בדין טיפת חלב שנפל על הקדרה:</w:t>
      </w:r>
    </w:p>
    <w:p w:rsidR="006E2BA8" w:rsidRPr="00882F11" w:rsidRDefault="006E2BA8" w:rsidP="006E2BA8">
      <w:pPr>
        <w:tabs>
          <w:tab w:val="right" w:pos="7497"/>
        </w:tabs>
        <w:bidi/>
        <w:jc w:val="both"/>
        <w:rPr>
          <w:rFonts w:cs="Guttman Drogolin"/>
          <w:b/>
          <w:bCs/>
          <w:rtl/>
          <w:lang w:bidi="he-IL"/>
        </w:rPr>
      </w:pPr>
      <w:r w:rsidRPr="00882F11">
        <w:rPr>
          <w:rFonts w:cs="Guttman Drogolin" w:hint="cs"/>
          <w:b/>
          <w:bCs/>
          <w:u w:val="single"/>
          <w:rtl/>
          <w:lang w:bidi="he-IL"/>
        </w:rPr>
        <w:t>שיטת הסמ"ג</w:t>
      </w:r>
    </w:p>
    <w:p w:rsidR="00980D35" w:rsidRPr="00882F11" w:rsidRDefault="00B71530" w:rsidP="00410C3F">
      <w:pPr>
        <w:tabs>
          <w:tab w:val="right" w:pos="7497"/>
        </w:tabs>
        <w:bidi/>
        <w:jc w:val="both"/>
        <w:rPr>
          <w:rFonts w:cs="Guttman Drogolin"/>
          <w:rtl/>
          <w:lang w:bidi="he-IL"/>
        </w:rPr>
      </w:pPr>
      <w:r>
        <w:rPr>
          <w:rFonts w:cs="Guttman Drogolin"/>
          <w:rtl/>
          <w:lang w:bidi="he-IL"/>
        </w:rPr>
        <w:fldChar w:fldCharType="begin"/>
      </w:r>
      <w:r>
        <w:instrText xml:space="preserve"> XE "</w:instrText>
      </w:r>
      <w:r w:rsidRPr="001A2EC2">
        <w:rPr>
          <w:rFonts w:hint="cs"/>
          <w:rtl/>
          <w:lang w:bidi="he-IL"/>
        </w:rPr>
        <w:instrText>טיפת חלב שנפלה על הקדרה</w:instrText>
      </w:r>
      <w:r w:rsidRPr="001A2EC2">
        <w:rPr>
          <w:rtl/>
        </w:rPr>
        <w:instrText>:</w:instrText>
      </w:r>
      <w:r w:rsidRPr="001A2EC2">
        <w:rPr>
          <w:rFonts w:hint="cs"/>
          <w:rtl/>
          <w:lang w:bidi="he-IL"/>
        </w:rPr>
        <w:instrText>שיטת הסמ</w:instrText>
      </w:r>
      <w:r>
        <w:rPr>
          <w:rFonts w:eastAsiaTheme="minorEastAsia"/>
          <w:lang w:bidi="he-IL"/>
        </w:rPr>
        <w:instrText>\</w:instrText>
      </w:r>
      <w:r w:rsidRPr="001A2EC2">
        <w:rPr>
          <w:rFonts w:hint="cs"/>
          <w:rtl/>
          <w:lang w:bidi="he-IL"/>
        </w:rPr>
        <w:instrText>"ג</w:instrText>
      </w:r>
      <w:r>
        <w:instrText xml:space="preserve">" </w:instrText>
      </w:r>
      <w:r>
        <w:rPr>
          <w:rFonts w:cs="Guttman Drogolin"/>
          <w:rtl/>
          <w:lang w:bidi="he-IL"/>
        </w:rPr>
        <w:fldChar w:fldCharType="end"/>
      </w:r>
      <w:r w:rsidR="006E2BA8" w:rsidRPr="00882F11">
        <w:rPr>
          <w:rFonts w:cs="Guttman Drogolin" w:hint="cs"/>
          <w:rtl/>
          <w:lang w:bidi="he-IL"/>
        </w:rPr>
        <w:t>כתב הטור "טיפת חלב שנפלה על הקדרה שאצל האש מבחוץ אפילו אם יש בתבשיל ששים כנגדה אינו יכול לבטלה ואם כן הטיפה אוסרת הקדרה כל סביבותיה ונאסר התבשיל שבה". וכה"ג הביא שם בב"י בשם סמ"ג. והנה מיד אח"כ מביא הטור שיטת המהר"ם רוטנברג שאם יש ס' פעמים ס' כנגד הטיפה שהתבשיל מותרת (ונאריך בשיטתו בהמשך). וכמה אחרונים נקטו שגם הטור כאן לא התכוין לחלוק על זה וכן לא הסמ"ג</w:t>
      </w:r>
      <w:r w:rsidR="00F96030" w:rsidRPr="00882F11">
        <w:rPr>
          <w:rFonts w:cs="Guttman Drogolin" w:hint="cs"/>
          <w:rtl/>
          <w:lang w:bidi="he-IL"/>
        </w:rPr>
        <w:t xml:space="preserve">, וכן באמת מדויק מלשון הטור וכמו שהעיר שם בב"י, שהרי כתב "וכתב ה"ר מאיר וכו'" ולא "וה"ר מאיר כתב וכו'". ומ"מ סבר הב"י שהוא שיטה אחרת משיטת מהר"ם, ולא מהני התבשיל שבקדרה לבטל הטיפת חלב אפילו אם יש ששים פעמים ששים כנגד הטיפה, ושזה מדויק ממה שסתם ואסר התבשיל שמשמע שאסר אותו מכל מקום. אלא שהעירו האחרונים שלכאורה חשבונו של המהר"ם חשבון צדק היא, דאיך יתכן שיאסור יותר מס' פעמים ס' כנגדו, דהא אם מתפשט בבליעות שיש בהם יותר מששים הרי הטיפה מתבטלת בבליעות אלו, ואם הוא פחות מס' הרי צריך להיות דמהני ששים פעמים ששים. </w:t>
      </w:r>
    </w:p>
    <w:p w:rsidR="009273E0" w:rsidRPr="00882F11" w:rsidRDefault="00980D35" w:rsidP="00410C3F">
      <w:pPr>
        <w:tabs>
          <w:tab w:val="right" w:pos="7497"/>
        </w:tabs>
        <w:bidi/>
        <w:jc w:val="both"/>
        <w:rPr>
          <w:rFonts w:cs="Guttman Drogolin"/>
          <w:rtl/>
          <w:lang w:bidi="he-IL"/>
        </w:rPr>
      </w:pPr>
      <w:r w:rsidRPr="00882F11">
        <w:rPr>
          <w:rFonts w:cs="Guttman Drogolin" w:hint="cs"/>
          <w:rtl/>
          <w:lang w:bidi="he-IL"/>
        </w:rPr>
        <w:t>ולכאורה מה שצריכים לומר בביאור שיטה זו דסבר שאומרים חענ"ן בכלי עצמו. ור"ל שלא אומרים חענ"ן אך ורק במה שבלוע בכלי, אלא חרסי הכלי עצמו נעשים נבילה. וע' בחי' הרמב"ן בדף צ"ז ע"ב שהביא בשם הראב"ד שאומרים חענ"ן בחרסי הכלי</w:t>
      </w:r>
      <w:r w:rsidRPr="00882F11">
        <w:rPr>
          <w:rStyle w:val="FootnoteReference"/>
          <w:rFonts w:cs="Guttman Drogolin"/>
          <w:rtl/>
          <w:lang w:bidi="he-IL"/>
        </w:rPr>
        <w:footnoteReference w:id="263"/>
      </w:r>
      <w:r w:rsidRPr="00882F11">
        <w:rPr>
          <w:rFonts w:cs="Guttman Drogolin" w:hint="cs"/>
          <w:rtl/>
          <w:lang w:bidi="he-IL"/>
        </w:rPr>
        <w:t xml:space="preserve">, ורק בכלי חרס והדומה לו </w:t>
      </w:r>
      <w:r w:rsidRPr="00882F11">
        <w:rPr>
          <w:rFonts w:cs="Guttman Drogolin" w:hint="cs"/>
          <w:rtl/>
          <w:lang w:bidi="he-IL"/>
        </w:rPr>
        <w:lastRenderedPageBreak/>
        <w:t xml:space="preserve">ששאין הבליעה יוצא ממנו, אבל בכלי מתכת וכדומה ששייך בהם הגעלה, כיון שהבליעות אינם מתאחדות עם הכלי לא אומרים חענ"ן בכלי. וכן סבר נמי שהבליעה </w:t>
      </w:r>
      <w:r w:rsidR="007025EB" w:rsidRPr="00882F11">
        <w:rPr>
          <w:rFonts w:cs="Guttman Drogolin" w:hint="cs"/>
          <w:rtl/>
          <w:lang w:bidi="he-IL"/>
        </w:rPr>
        <w:t>מתפשטת בכל הכלי. ואע"ג שי"א שא</w:t>
      </w:r>
      <w:r w:rsidRPr="00882F11">
        <w:rPr>
          <w:rFonts w:cs="Guttman Drogolin" w:hint="cs"/>
          <w:rtl/>
          <w:lang w:bidi="he-IL"/>
        </w:rPr>
        <w:t>ם מתפשט בשיעור יו</w:t>
      </w:r>
      <w:r w:rsidR="009273E0" w:rsidRPr="00882F11">
        <w:rPr>
          <w:rFonts w:cs="Guttman Drogolin" w:hint="cs"/>
          <w:rtl/>
          <w:lang w:bidi="he-IL"/>
        </w:rPr>
        <w:t>ת</w:t>
      </w:r>
      <w:r w:rsidRPr="00882F11">
        <w:rPr>
          <w:rFonts w:cs="Guttman Drogolin" w:hint="cs"/>
          <w:rtl/>
          <w:lang w:bidi="he-IL"/>
        </w:rPr>
        <w:t>ר מששים כמותו הרי הוא מתבטל, סבר דעה זו שאין זה נכון אלא כיון שאין פליטה של היתר להתנגד לבליעת החלב כולו נאסר. ו</w:t>
      </w:r>
      <w:r w:rsidR="00410C3F" w:rsidRPr="00882F11">
        <w:rPr>
          <w:rFonts w:cs="Guttman Drogolin" w:hint="cs"/>
          <w:rtl/>
          <w:lang w:bidi="he-IL"/>
        </w:rPr>
        <w:t>פ</w:t>
      </w:r>
      <w:r w:rsidRPr="00882F11">
        <w:rPr>
          <w:rFonts w:cs="Guttman Drogolin" w:hint="cs"/>
          <w:rtl/>
          <w:lang w:bidi="he-IL"/>
        </w:rPr>
        <w:t xml:space="preserve">שוט שלא אומרים חענ"ן בכלי ע"י טיפת חלב שנפל עליו אלא משום שיש בה בליעות של בשר הנאסרים עכשיו, דהא לא אומרים חענ"ן אלא באיסור ולא בהיתר. אלא שבזה אמרינן דלא הי' ששים בבליעות של בשר כנגד הטיפת חלב, ולכן הכלי הבליעות נע"נ וממילא גם הכלי נע"נ. וע' בט"ז סי' צ"ח ס"ק ח' </w:t>
      </w:r>
      <w:r w:rsidR="009273E0" w:rsidRPr="00882F11">
        <w:rPr>
          <w:rFonts w:cs="Guttman Drogolin" w:hint="cs"/>
          <w:rtl/>
          <w:lang w:bidi="he-IL"/>
        </w:rPr>
        <w:t xml:space="preserve">שביאר שזהו ג"כ שיטת המרדכי. </w:t>
      </w:r>
    </w:p>
    <w:p w:rsidR="00AD710B" w:rsidRPr="00882F11" w:rsidRDefault="009273E0" w:rsidP="009273E0">
      <w:pPr>
        <w:tabs>
          <w:tab w:val="right" w:pos="7497"/>
        </w:tabs>
        <w:bidi/>
        <w:jc w:val="both"/>
        <w:rPr>
          <w:rFonts w:cs="Guttman Drogolin"/>
          <w:rtl/>
          <w:lang w:bidi="he-IL"/>
        </w:rPr>
      </w:pPr>
      <w:r w:rsidRPr="00882F11">
        <w:rPr>
          <w:rFonts w:cs="Guttman Drogolin" w:hint="cs"/>
          <w:rtl/>
          <w:lang w:bidi="he-IL"/>
        </w:rPr>
        <w:t xml:space="preserve">אלא שהאחרונים תמהו על זה שיהי' הכלי עצמה נע"נ, דהא אין לחסרי כלי פליטה מעצמה, ולמה יצטרך שיעור לבטל גם חרסי הכלי שאינם יכולים לאסור. לכאורה מה שצריכים לומר בזה שסוברים שהטעם שאומרים </w:t>
      </w:r>
      <w:r w:rsidR="00C16D4A" w:rsidRPr="00882F11">
        <w:rPr>
          <w:rFonts w:cs="Guttman Drogolin" w:hint="cs"/>
          <w:rtl/>
          <w:lang w:bidi="he-IL"/>
        </w:rPr>
        <w:t>ח</w:t>
      </w:r>
      <w:r w:rsidRPr="00882F11">
        <w:rPr>
          <w:rFonts w:cs="Guttman Drogolin" w:hint="cs"/>
          <w:rtl/>
          <w:lang w:bidi="he-IL"/>
        </w:rPr>
        <w:t xml:space="preserve">ענ"ן בשאר איסורים הוא כמש"כ היראים </w:t>
      </w:r>
      <w:r w:rsidR="00C16D4A" w:rsidRPr="00882F11">
        <w:rPr>
          <w:rFonts w:cs="Guttman Drogolin" w:hint="cs"/>
          <w:rtl/>
          <w:lang w:bidi="he-IL"/>
        </w:rPr>
        <w:t>סי מ"ח</w:t>
      </w:r>
      <w:r w:rsidR="00C16D4A" w:rsidRPr="00882F11">
        <w:rPr>
          <w:rStyle w:val="FootnoteReference"/>
          <w:rFonts w:cs="Guttman Drogolin"/>
          <w:rtl/>
          <w:lang w:bidi="he-IL"/>
        </w:rPr>
        <w:footnoteReference w:id="264"/>
      </w:r>
      <w:r w:rsidR="00C16D4A" w:rsidRPr="00882F11">
        <w:rPr>
          <w:rFonts w:cs="Guttman Drogolin" w:hint="cs"/>
          <w:rtl/>
          <w:lang w:bidi="he-IL"/>
        </w:rPr>
        <w:t xml:space="preserve"> דכיון</w:t>
      </w:r>
      <w:r w:rsidR="00C16D4A" w:rsidRPr="00882F11">
        <w:rPr>
          <w:rFonts w:cs="Guttman Drogolin"/>
          <w:rtl/>
          <w:lang w:bidi="he-IL"/>
        </w:rPr>
        <w:t xml:space="preserve"> </w:t>
      </w:r>
      <w:r w:rsidR="00C16D4A" w:rsidRPr="00882F11">
        <w:rPr>
          <w:rFonts w:cs="Guttman Drogolin" w:hint="cs"/>
          <w:rtl/>
          <w:lang w:bidi="he-IL"/>
        </w:rPr>
        <w:t>שנקרא</w:t>
      </w:r>
      <w:r w:rsidR="00C16D4A" w:rsidRPr="00882F11">
        <w:rPr>
          <w:rFonts w:cs="Guttman Drogolin"/>
          <w:rtl/>
          <w:lang w:bidi="he-IL"/>
        </w:rPr>
        <w:t xml:space="preserve"> </w:t>
      </w:r>
      <w:r w:rsidR="00C16D4A" w:rsidRPr="00882F11">
        <w:rPr>
          <w:rFonts w:cs="Guttman Drogolin" w:hint="cs"/>
          <w:rtl/>
          <w:lang w:bidi="he-IL"/>
        </w:rPr>
        <w:t>שם</w:t>
      </w:r>
      <w:r w:rsidR="00C16D4A" w:rsidRPr="00882F11">
        <w:rPr>
          <w:rFonts w:cs="Guttman Drogolin"/>
          <w:rtl/>
          <w:lang w:bidi="he-IL"/>
        </w:rPr>
        <w:t xml:space="preserve"> </w:t>
      </w:r>
      <w:r w:rsidR="00C16D4A" w:rsidRPr="00882F11">
        <w:rPr>
          <w:rFonts w:cs="Guttman Drogolin" w:hint="cs"/>
          <w:rtl/>
          <w:lang w:bidi="he-IL"/>
        </w:rPr>
        <w:t>איסור</w:t>
      </w:r>
      <w:r w:rsidR="00C16D4A" w:rsidRPr="00882F11">
        <w:rPr>
          <w:rFonts w:cs="Guttman Drogolin"/>
          <w:rtl/>
          <w:lang w:bidi="he-IL"/>
        </w:rPr>
        <w:t xml:space="preserve"> </w:t>
      </w:r>
      <w:r w:rsidR="00C16D4A" w:rsidRPr="00882F11">
        <w:rPr>
          <w:rFonts w:cs="Guttman Drogolin" w:hint="cs"/>
          <w:rtl/>
          <w:lang w:bidi="he-IL"/>
        </w:rPr>
        <w:t>על</w:t>
      </w:r>
      <w:r w:rsidR="00C16D4A" w:rsidRPr="00882F11">
        <w:rPr>
          <w:rFonts w:cs="Guttman Drogolin"/>
          <w:rtl/>
          <w:lang w:bidi="he-IL"/>
        </w:rPr>
        <w:t xml:space="preserve"> </w:t>
      </w:r>
      <w:r w:rsidR="00C16D4A" w:rsidRPr="00882F11">
        <w:rPr>
          <w:rFonts w:cs="Guttman Drogolin" w:hint="cs"/>
          <w:rtl/>
          <w:lang w:bidi="he-IL"/>
        </w:rPr>
        <w:t>החתיכה</w:t>
      </w:r>
      <w:r w:rsidR="00C16D4A" w:rsidRPr="00882F11">
        <w:rPr>
          <w:rFonts w:cs="Guttman Drogolin"/>
          <w:rtl/>
          <w:lang w:bidi="he-IL"/>
        </w:rPr>
        <w:t xml:space="preserve"> </w:t>
      </w:r>
      <w:r w:rsidR="00C16D4A" w:rsidRPr="00882F11">
        <w:rPr>
          <w:rFonts w:cs="Guttman Drogolin" w:hint="cs"/>
          <w:rtl/>
          <w:lang w:bidi="he-IL"/>
        </w:rPr>
        <w:t>אם</w:t>
      </w:r>
      <w:r w:rsidR="00C16D4A" w:rsidRPr="00882F11">
        <w:rPr>
          <w:rFonts w:cs="Guttman Drogolin"/>
          <w:rtl/>
          <w:lang w:bidi="he-IL"/>
        </w:rPr>
        <w:t xml:space="preserve"> </w:t>
      </w:r>
      <w:r w:rsidR="00C16D4A" w:rsidRPr="00882F11">
        <w:rPr>
          <w:rFonts w:cs="Guttman Drogolin" w:hint="cs"/>
          <w:rtl/>
          <w:lang w:bidi="he-IL"/>
        </w:rPr>
        <w:t>יבאו</w:t>
      </w:r>
      <w:r w:rsidR="00C16D4A" w:rsidRPr="00882F11">
        <w:rPr>
          <w:rFonts w:cs="Guttman Drogolin"/>
          <w:rtl/>
          <w:lang w:bidi="he-IL"/>
        </w:rPr>
        <w:t xml:space="preserve"> </w:t>
      </w:r>
      <w:r w:rsidR="00C16D4A" w:rsidRPr="00882F11">
        <w:rPr>
          <w:rFonts w:cs="Guttman Drogolin" w:hint="cs"/>
          <w:rtl/>
          <w:lang w:bidi="he-IL"/>
        </w:rPr>
        <w:t>להקל</w:t>
      </w:r>
      <w:r w:rsidR="00C16D4A" w:rsidRPr="00882F11">
        <w:rPr>
          <w:rFonts w:cs="Guttman Drogolin"/>
          <w:rtl/>
          <w:lang w:bidi="he-IL"/>
        </w:rPr>
        <w:t xml:space="preserve"> </w:t>
      </w:r>
      <w:r w:rsidR="00C16D4A" w:rsidRPr="00882F11">
        <w:rPr>
          <w:rFonts w:cs="Guttman Drogolin" w:hint="cs"/>
          <w:rtl/>
          <w:lang w:bidi="he-IL"/>
        </w:rPr>
        <w:t>ולא</w:t>
      </w:r>
      <w:r w:rsidR="00C16D4A" w:rsidRPr="00882F11">
        <w:rPr>
          <w:rFonts w:cs="Guttman Drogolin"/>
          <w:rtl/>
          <w:lang w:bidi="he-IL"/>
        </w:rPr>
        <w:t xml:space="preserve"> </w:t>
      </w:r>
      <w:r w:rsidR="00C16D4A" w:rsidRPr="00882F11">
        <w:rPr>
          <w:rFonts w:cs="Guttman Drogolin" w:hint="cs"/>
          <w:rtl/>
          <w:lang w:bidi="he-IL"/>
        </w:rPr>
        <w:t>לשער</w:t>
      </w:r>
      <w:r w:rsidR="00C16D4A" w:rsidRPr="00882F11">
        <w:rPr>
          <w:rFonts w:cs="Guttman Drogolin"/>
          <w:rtl/>
          <w:lang w:bidi="he-IL"/>
        </w:rPr>
        <w:t xml:space="preserve"> </w:t>
      </w:r>
      <w:r w:rsidR="00C16D4A" w:rsidRPr="00882F11">
        <w:rPr>
          <w:rFonts w:cs="Guttman Drogolin" w:hint="cs"/>
          <w:rtl/>
          <w:lang w:bidi="he-IL"/>
        </w:rPr>
        <w:t>בכולו</w:t>
      </w:r>
      <w:r w:rsidR="00C16D4A" w:rsidRPr="00882F11">
        <w:rPr>
          <w:rFonts w:cs="Guttman Drogolin"/>
          <w:rtl/>
          <w:lang w:bidi="he-IL"/>
        </w:rPr>
        <w:t xml:space="preserve"> </w:t>
      </w:r>
      <w:r w:rsidR="00C16D4A" w:rsidRPr="00882F11">
        <w:rPr>
          <w:rFonts w:cs="Guttman Drogolin" w:hint="cs"/>
          <w:rtl/>
          <w:lang w:bidi="he-IL"/>
        </w:rPr>
        <w:t>יבאו</w:t>
      </w:r>
      <w:r w:rsidR="00C16D4A" w:rsidRPr="00882F11">
        <w:rPr>
          <w:rFonts w:cs="Guttman Drogolin"/>
          <w:rtl/>
          <w:lang w:bidi="he-IL"/>
        </w:rPr>
        <w:t xml:space="preserve"> </w:t>
      </w:r>
      <w:r w:rsidR="00C16D4A" w:rsidRPr="00882F11">
        <w:rPr>
          <w:rFonts w:cs="Guttman Drogolin" w:hint="cs"/>
          <w:rtl/>
          <w:lang w:bidi="he-IL"/>
        </w:rPr>
        <w:t>להקל</w:t>
      </w:r>
      <w:r w:rsidR="00C16D4A" w:rsidRPr="00882F11">
        <w:rPr>
          <w:rFonts w:cs="Guttman Drogolin"/>
          <w:rtl/>
          <w:lang w:bidi="he-IL"/>
        </w:rPr>
        <w:t xml:space="preserve"> </w:t>
      </w:r>
      <w:r w:rsidR="00C16D4A" w:rsidRPr="00882F11">
        <w:rPr>
          <w:rFonts w:cs="Guttman Drogolin" w:hint="cs"/>
          <w:rtl/>
          <w:lang w:bidi="he-IL"/>
        </w:rPr>
        <w:t>גם</w:t>
      </w:r>
      <w:r w:rsidR="00C16D4A" w:rsidRPr="00882F11">
        <w:rPr>
          <w:rFonts w:cs="Guttman Drogolin"/>
          <w:rtl/>
          <w:lang w:bidi="he-IL"/>
        </w:rPr>
        <w:t xml:space="preserve"> </w:t>
      </w:r>
      <w:r w:rsidR="00C16D4A" w:rsidRPr="00882F11">
        <w:rPr>
          <w:rFonts w:cs="Guttman Drogolin" w:hint="cs"/>
          <w:rtl/>
          <w:lang w:bidi="he-IL"/>
        </w:rPr>
        <w:t>בחתיכת</w:t>
      </w:r>
      <w:r w:rsidR="00C16D4A" w:rsidRPr="00882F11">
        <w:rPr>
          <w:rFonts w:cs="Guttman Drogolin"/>
          <w:rtl/>
          <w:lang w:bidi="he-IL"/>
        </w:rPr>
        <w:t xml:space="preserve"> </w:t>
      </w:r>
      <w:r w:rsidR="00C16D4A" w:rsidRPr="00882F11">
        <w:rPr>
          <w:rFonts w:cs="Guttman Drogolin" w:hint="cs"/>
          <w:rtl/>
          <w:lang w:bidi="he-IL"/>
        </w:rPr>
        <w:t xml:space="preserve">נבילה, ור"ל שהוא חומרא לשער כנגד כולו אע"פ שאין כולו איסור ממש. וכן הוא בהדיא שם ביראים כשיטת הראב"ד הנ"ל שכלי חרס נע"נ, והוא לטעמי' וכנ"ל. </w:t>
      </w:r>
    </w:p>
    <w:p w:rsidR="00AD710B" w:rsidRPr="00882F11" w:rsidRDefault="00AD710B" w:rsidP="00AD710B">
      <w:pPr>
        <w:tabs>
          <w:tab w:val="right" w:pos="7497"/>
        </w:tabs>
        <w:bidi/>
        <w:jc w:val="both"/>
        <w:rPr>
          <w:rFonts w:cs="Guttman Drogolin"/>
          <w:b/>
          <w:bCs/>
          <w:rtl/>
          <w:lang w:bidi="he-IL"/>
        </w:rPr>
      </w:pPr>
      <w:r w:rsidRPr="00882F11">
        <w:rPr>
          <w:rFonts w:cs="Guttman Drogolin" w:hint="cs"/>
          <w:b/>
          <w:bCs/>
          <w:u w:val="single"/>
          <w:rtl/>
          <w:lang w:bidi="he-IL"/>
        </w:rPr>
        <w:t>שיטת המהר"ם רוטנברג</w:t>
      </w:r>
    </w:p>
    <w:p w:rsidR="007025EB" w:rsidRPr="00882F11" w:rsidRDefault="00B71530" w:rsidP="007025EB">
      <w:pPr>
        <w:tabs>
          <w:tab w:val="right" w:pos="7497"/>
        </w:tabs>
        <w:bidi/>
        <w:jc w:val="both"/>
        <w:rPr>
          <w:rFonts w:cs="Guttman Drogolin"/>
          <w:rtl/>
          <w:lang w:bidi="he-IL"/>
        </w:rPr>
      </w:pPr>
      <w:r>
        <w:rPr>
          <w:rFonts w:cs="Guttman Drogolin"/>
          <w:rtl/>
          <w:lang w:bidi="he-IL"/>
        </w:rPr>
        <w:fldChar w:fldCharType="begin"/>
      </w:r>
      <w:r>
        <w:instrText xml:space="preserve"> XE "</w:instrText>
      </w:r>
      <w:r w:rsidRPr="003336EC">
        <w:rPr>
          <w:rFonts w:hint="cs"/>
          <w:rtl/>
          <w:lang w:bidi="he-IL"/>
        </w:rPr>
        <w:instrText>טיפת חלב שנפלה על הקדרה</w:instrText>
      </w:r>
      <w:r w:rsidRPr="003336EC">
        <w:rPr>
          <w:rtl/>
        </w:rPr>
        <w:instrText>:</w:instrText>
      </w:r>
      <w:r w:rsidRPr="003336EC">
        <w:rPr>
          <w:rFonts w:hint="cs"/>
          <w:rtl/>
          <w:lang w:bidi="he-IL"/>
        </w:rPr>
        <w:instrText>שיטת המהר</w:instrText>
      </w:r>
      <w:r>
        <w:rPr>
          <w:rFonts w:eastAsiaTheme="minorEastAsia"/>
          <w:lang w:bidi="he-IL"/>
        </w:rPr>
        <w:instrText>\</w:instrText>
      </w:r>
      <w:r w:rsidRPr="003336EC">
        <w:rPr>
          <w:rFonts w:hint="cs"/>
          <w:rtl/>
          <w:lang w:bidi="he-IL"/>
        </w:rPr>
        <w:instrText>"ם רוטנברג</w:instrText>
      </w:r>
      <w:r>
        <w:instrText xml:space="preserve">" </w:instrText>
      </w:r>
      <w:r>
        <w:rPr>
          <w:rFonts w:cs="Guttman Drogolin"/>
          <w:rtl/>
          <w:lang w:bidi="he-IL"/>
        </w:rPr>
        <w:fldChar w:fldCharType="end"/>
      </w:r>
      <w:r w:rsidR="00AD710B" w:rsidRPr="00882F11">
        <w:rPr>
          <w:rFonts w:cs="Guttman Drogolin" w:hint="cs"/>
          <w:rtl/>
          <w:lang w:bidi="he-IL"/>
        </w:rPr>
        <w:t>לאחר מכן הביא הטור שיטת מהר"ם רוטנברג שאם יש ס' פעמים ס' נגד הטיפת חלב</w:t>
      </w:r>
      <w:r w:rsidR="007025EB" w:rsidRPr="00882F11">
        <w:rPr>
          <w:rFonts w:cs="Guttman Drogolin" w:hint="cs"/>
          <w:rtl/>
          <w:lang w:bidi="he-IL"/>
        </w:rPr>
        <w:t xml:space="preserve"> דמעיקרא שהתבשיל מותרת. וע"כ סבר שלא אומרים חענ"ן בחרסי הכלי עצמן רק בבלוע בכלי. ולכן סבר מהר"ם דממ"נ, אם התפשט הבליעה ביותר בששים מן הטעם בשר הבלוע בכלי, הטעם </w:t>
      </w:r>
      <w:r w:rsidR="007025EB" w:rsidRPr="00882F11">
        <w:rPr>
          <w:rFonts w:cs="Guttman Drogolin" w:hint="cs"/>
          <w:rtl/>
          <w:lang w:bidi="he-IL"/>
        </w:rPr>
        <w:lastRenderedPageBreak/>
        <w:t xml:space="preserve">הבלוע של בשר יבטל הטעם חלב ולא יאסר, ולכן ע"כ אם יש בלוע של איסור אינו אלא בפחות מס' כנגד הטיפה, אבל עכ"פ כיון שזה נע"נ שוב צריכים ששים מן התבשיל כנגד הבלוע שנע"נ, אבל אם יש ס' פעמים ס' של הטיפה דמעיקרא ודאי התבשיל מותרת. </w:t>
      </w:r>
      <w:r w:rsidR="006C686B" w:rsidRPr="00882F11">
        <w:rPr>
          <w:rFonts w:cs="Guttman Drogolin" w:hint="cs"/>
          <w:rtl/>
          <w:lang w:bidi="he-IL"/>
        </w:rPr>
        <w:t>והש"ך העיר שלכאורה ס' פעמים ס' לאו דוקא נקט, והעיקר שצריכים ס' פעמים ס"א חסר משהו. והטעם שהרי מעיקרא כשנפל הטיפה על הקדירה יש לטיפה יכולת לאסור בלוע של בשר עד ששים כנגדו ולא עד בכלל, ולכן יוצא שיש בקדירה טיפה של חלב שנאסר ועוד ששים פחות משהו בבליעות של בשר. והיינו סה"כ ס"א פחות משהו בליעות של איסור. ועל זה צריכים ששים כנגדו בתבשיל כדי להתירו, הרי ס"א פחות משהו כפול ס'. ופי' הש"ך דלאו דוקא נקט</w:t>
      </w:r>
      <w:r w:rsidR="00363E58" w:rsidRPr="00882F11">
        <w:rPr>
          <w:rStyle w:val="FootnoteReference"/>
          <w:rFonts w:cs="Guttman Drogolin"/>
          <w:rtl/>
          <w:lang w:bidi="he-IL"/>
        </w:rPr>
        <w:footnoteReference w:id="265"/>
      </w:r>
      <w:r w:rsidR="006C686B" w:rsidRPr="00882F11">
        <w:rPr>
          <w:rFonts w:cs="Guttman Drogolin" w:hint="cs"/>
          <w:rtl/>
          <w:lang w:bidi="he-IL"/>
        </w:rPr>
        <w:t xml:space="preserve">.  </w:t>
      </w:r>
    </w:p>
    <w:p w:rsidR="00435324" w:rsidRPr="00882F11" w:rsidRDefault="007025EB" w:rsidP="00435324">
      <w:pPr>
        <w:tabs>
          <w:tab w:val="right" w:pos="7497"/>
        </w:tabs>
        <w:bidi/>
        <w:jc w:val="both"/>
        <w:rPr>
          <w:rFonts w:cs="Guttman Drogolin"/>
          <w:rtl/>
          <w:lang w:bidi="he-IL"/>
        </w:rPr>
      </w:pPr>
      <w:r w:rsidRPr="00882F11">
        <w:rPr>
          <w:rFonts w:cs="Guttman Drogolin" w:hint="cs"/>
          <w:rtl/>
          <w:lang w:bidi="he-IL"/>
        </w:rPr>
        <w:t xml:space="preserve">ודקדק הב"י שמהר"ם לא איכפת לי' אם זה כנגד הרוטב או לא, ולכאורה גם הדעה הראשונה (אם חולקת על דעה זו) לא איכפת לי' אם הוא כנגד הרוטב או שלא כנגד הרוטב. </w:t>
      </w:r>
      <w:r w:rsidR="00435324" w:rsidRPr="00882F11">
        <w:rPr>
          <w:rFonts w:cs="Guttman Drogolin" w:hint="cs"/>
          <w:rtl/>
          <w:lang w:bidi="he-IL"/>
        </w:rPr>
        <w:t xml:space="preserve">ואין לומר שהטעם משום שהטעם של איסור אינו מתפשט לתוך הקדירה, דהא א"כ לא יאסור התבשיל כלל. רק הטעם ע"כ משום דאמרינן שהטעם מתפשט בב' כוחות, וכיון שהוא בב' כוחות אמרינן שהבלוע בכלי נע"נ מקודם, ורק אח"כ ממשיך להתפשט לתוך הקדרה. וזה כמו שמצאנו בחלב נבילה שלא אומרים שלא נע"נ כיון שסופו להתפשט, שהחלב הבלוע בחתיכה נע"נ קודם ורק לאחר מכן יוצא מן החתיכה. </w:t>
      </w:r>
    </w:p>
    <w:p w:rsidR="00E078F3" w:rsidRPr="00882F11" w:rsidRDefault="00435324" w:rsidP="00410C3F">
      <w:pPr>
        <w:tabs>
          <w:tab w:val="right" w:pos="7497"/>
        </w:tabs>
        <w:bidi/>
        <w:jc w:val="both"/>
        <w:rPr>
          <w:rFonts w:cs="Guttman Drogolin"/>
          <w:rtl/>
          <w:lang w:bidi="he-IL"/>
        </w:rPr>
      </w:pPr>
      <w:r w:rsidRPr="00882F11">
        <w:rPr>
          <w:rFonts w:cs="Guttman Drogolin" w:hint="cs"/>
          <w:rtl/>
          <w:lang w:bidi="he-IL"/>
        </w:rPr>
        <w:t xml:space="preserve">והנה </w:t>
      </w:r>
      <w:r w:rsidR="009A0D72" w:rsidRPr="00882F11">
        <w:rPr>
          <w:rFonts w:cs="Guttman Drogolin" w:hint="cs"/>
          <w:rtl/>
          <w:lang w:bidi="he-IL"/>
        </w:rPr>
        <w:t>הב</w:t>
      </w:r>
      <w:r w:rsidRPr="00882F11">
        <w:rPr>
          <w:rFonts w:cs="Guttman Drogolin" w:hint="cs"/>
          <w:rtl/>
          <w:lang w:bidi="he-IL"/>
        </w:rPr>
        <w:t>"י</w:t>
      </w:r>
      <w:r w:rsidR="009A0D72" w:rsidRPr="00882F11">
        <w:rPr>
          <w:rFonts w:cs="Guttman Drogolin" w:hint="cs"/>
          <w:rtl/>
          <w:lang w:bidi="he-IL"/>
        </w:rPr>
        <w:t xml:space="preserve"> כתב שהטעם שהחמיר המהר"ם משום דחיישינן דלמא אין הטיפה מתפשטת בכל הכלי. ולכאורה היינו משום שלמד דאע"ג שמבואר במס' זבחים שהבליעה מפעפעת בתוך הכלי, מ"מ אין זה בכל הכלי (או שעכ"פ יש בזה ספק בגמ'). </w:t>
      </w:r>
      <w:r w:rsidR="009A0D72" w:rsidRPr="00882F11">
        <w:rPr>
          <w:rFonts w:cs="Guttman Drogolin" w:hint="cs"/>
          <w:rtl/>
          <w:lang w:bidi="he-IL"/>
        </w:rPr>
        <w:lastRenderedPageBreak/>
        <w:t>ולכאורה צ"ע, דהא מ"מ איכא ממנ"פ, שאפילו אם מתפשט בכל הכלי, אין אנחנו יודעים שיש ששים בבלוע בכלי לבטל הטיפת חלב אפילו אם אנחנו יודעים שיש ששים בכלי עצמו, וא"כ למה אילו ידענו שמתפשט יותר הי' מותר. ולכאורה הט</w:t>
      </w:r>
      <w:r w:rsidR="00410C3F" w:rsidRPr="00882F11">
        <w:rPr>
          <w:rFonts w:cs="Guttman Drogolin" w:hint="cs"/>
          <w:rtl/>
          <w:lang w:bidi="he-IL"/>
        </w:rPr>
        <w:t>עם בזה משום דלא בעינן ששים בבליעות של היתר</w:t>
      </w:r>
      <w:r w:rsidR="009A0D72" w:rsidRPr="00882F11">
        <w:rPr>
          <w:rFonts w:cs="Guttman Drogolin" w:hint="cs"/>
          <w:rtl/>
          <w:lang w:bidi="he-IL"/>
        </w:rPr>
        <w:t xml:space="preserve"> כדי להתיר, דזה לבד שהטיפה מתפשטת לתוך ס' כמותה הוי סיבה לומר שאינו נותן טעם</w:t>
      </w:r>
      <w:r w:rsidR="00B0508C" w:rsidRPr="00882F11">
        <w:rPr>
          <w:rStyle w:val="FootnoteReference"/>
          <w:rFonts w:cs="Guttman Drogolin"/>
          <w:rtl/>
          <w:lang w:bidi="he-IL"/>
        </w:rPr>
        <w:footnoteReference w:id="266"/>
      </w:r>
      <w:r w:rsidR="009A0D72" w:rsidRPr="00882F11">
        <w:rPr>
          <w:rFonts w:cs="Guttman Drogolin" w:hint="cs"/>
          <w:rtl/>
          <w:lang w:bidi="he-IL"/>
        </w:rPr>
        <w:t>. וזהו לכאורה סברת המקילים לשער ששים בעצמות ששים כנגד האיסור</w:t>
      </w:r>
      <w:r w:rsidR="009A0D72" w:rsidRPr="00882F11">
        <w:rPr>
          <w:rStyle w:val="FootnoteReference"/>
          <w:rFonts w:cs="Guttman Drogolin"/>
          <w:rtl/>
          <w:lang w:bidi="he-IL"/>
        </w:rPr>
        <w:footnoteReference w:id="267"/>
      </w:r>
      <w:r w:rsidR="009A0D72" w:rsidRPr="00882F11">
        <w:rPr>
          <w:rFonts w:cs="Guttman Drogolin" w:hint="cs"/>
          <w:rtl/>
          <w:lang w:bidi="he-IL"/>
        </w:rPr>
        <w:t>.</w:t>
      </w:r>
      <w:r w:rsidR="003F0BD7" w:rsidRPr="00882F11">
        <w:rPr>
          <w:rFonts w:cs="Guttman Drogolin" w:hint="cs"/>
          <w:rtl/>
          <w:lang w:bidi="he-IL"/>
        </w:rPr>
        <w:t xml:space="preserve"> ומ"מ כשממשיך הב"י להביא דברי המרדכי בשם מהר"ם, מבואר בדבריו שאין זה רק חיישינן בעלמא רק שכן מוכח מן הסוגיא שבמס' זבחים שאינו מתפשט בכולו, ומשום דא"כ למה צריכים גזה"כ להצריך מריקה ושטי</w:t>
      </w:r>
      <w:r w:rsidR="00E078F3" w:rsidRPr="00882F11">
        <w:rPr>
          <w:rFonts w:cs="Guttman Drogolin" w:hint="cs"/>
          <w:rtl/>
          <w:lang w:bidi="he-IL"/>
        </w:rPr>
        <w:t>פ</w:t>
      </w:r>
      <w:r w:rsidR="003F0BD7" w:rsidRPr="00882F11">
        <w:rPr>
          <w:rFonts w:cs="Guttman Drogolin" w:hint="cs"/>
          <w:rtl/>
          <w:lang w:bidi="he-IL"/>
        </w:rPr>
        <w:t>ה בכל הכלי הא כן הדין גם בשאר איסורים</w:t>
      </w:r>
      <w:r w:rsidR="00EB6C2F" w:rsidRPr="00882F11">
        <w:rPr>
          <w:rStyle w:val="FootnoteReference"/>
          <w:rFonts w:cs="Guttman Drogolin"/>
          <w:rtl/>
          <w:lang w:bidi="he-IL"/>
        </w:rPr>
        <w:footnoteReference w:id="268"/>
      </w:r>
      <w:r w:rsidR="003F0BD7" w:rsidRPr="00882F11">
        <w:rPr>
          <w:rFonts w:cs="Guttman Drogolin" w:hint="cs"/>
          <w:rtl/>
          <w:lang w:bidi="he-IL"/>
        </w:rPr>
        <w:t xml:space="preserve">. </w:t>
      </w:r>
    </w:p>
    <w:p w:rsidR="00E078F3" w:rsidRPr="00882F11" w:rsidRDefault="00E078F3" w:rsidP="00E078F3">
      <w:pPr>
        <w:tabs>
          <w:tab w:val="right" w:pos="7497"/>
        </w:tabs>
        <w:bidi/>
        <w:jc w:val="both"/>
        <w:rPr>
          <w:rFonts w:cs="Guttman Drogolin"/>
          <w:b/>
          <w:bCs/>
          <w:rtl/>
          <w:lang w:bidi="he-IL"/>
        </w:rPr>
      </w:pPr>
      <w:r w:rsidRPr="00882F11">
        <w:rPr>
          <w:rFonts w:cs="Guttman Drogolin" w:hint="cs"/>
          <w:b/>
          <w:bCs/>
          <w:u w:val="single"/>
          <w:rtl/>
          <w:lang w:bidi="he-IL"/>
        </w:rPr>
        <w:t>שיטת הסמ"ק</w:t>
      </w:r>
    </w:p>
    <w:p w:rsidR="00D80BAF" w:rsidRPr="00882F11" w:rsidRDefault="00B71530" w:rsidP="00D80BAF">
      <w:pPr>
        <w:tabs>
          <w:tab w:val="right" w:pos="7497"/>
        </w:tabs>
        <w:bidi/>
        <w:jc w:val="both"/>
        <w:rPr>
          <w:rFonts w:cs="Guttman Drogolin"/>
          <w:rtl/>
          <w:lang w:bidi="he-IL"/>
        </w:rPr>
      </w:pPr>
      <w:r>
        <w:rPr>
          <w:rFonts w:cs="Guttman Drogolin"/>
          <w:rtl/>
          <w:lang w:bidi="he-IL"/>
        </w:rPr>
        <w:fldChar w:fldCharType="begin"/>
      </w:r>
      <w:r>
        <w:instrText xml:space="preserve"> XE "</w:instrText>
      </w:r>
      <w:r w:rsidRPr="008C69D8">
        <w:rPr>
          <w:rFonts w:hint="cs"/>
          <w:rtl/>
          <w:lang w:bidi="he-IL"/>
        </w:rPr>
        <w:instrText>טיפת חלב שנפלה על הקדרה</w:instrText>
      </w:r>
      <w:r w:rsidRPr="008C69D8">
        <w:rPr>
          <w:rtl/>
        </w:rPr>
        <w:instrText>:</w:instrText>
      </w:r>
      <w:r w:rsidRPr="008C69D8">
        <w:rPr>
          <w:rFonts w:hint="cs"/>
          <w:rtl/>
          <w:lang w:bidi="he-IL"/>
        </w:rPr>
        <w:instrText>שיטת תהסמ</w:instrText>
      </w:r>
      <w:r>
        <w:rPr>
          <w:rFonts w:eastAsiaTheme="minorEastAsia"/>
          <w:lang w:bidi="he-IL"/>
        </w:rPr>
        <w:instrText>\</w:instrText>
      </w:r>
      <w:r w:rsidRPr="008C69D8">
        <w:rPr>
          <w:rFonts w:hint="cs"/>
          <w:rtl/>
          <w:lang w:bidi="he-IL"/>
        </w:rPr>
        <w:instrText>"ק</w:instrText>
      </w:r>
      <w:r>
        <w:instrText xml:space="preserve">" </w:instrText>
      </w:r>
      <w:r>
        <w:rPr>
          <w:rFonts w:cs="Guttman Drogolin"/>
          <w:rtl/>
          <w:lang w:bidi="he-IL"/>
        </w:rPr>
        <w:fldChar w:fldCharType="end"/>
      </w:r>
      <w:r w:rsidR="00E078F3" w:rsidRPr="00882F11">
        <w:rPr>
          <w:rFonts w:cs="Guttman Drogolin" w:hint="cs"/>
          <w:rtl/>
          <w:lang w:bidi="he-IL"/>
        </w:rPr>
        <w:t>לאחר מכן מביא הטור שיטת הסמ"ק שיש חילוק בין נפל ה</w:t>
      </w:r>
      <w:r w:rsidR="00D80BAF" w:rsidRPr="00882F11">
        <w:rPr>
          <w:rFonts w:cs="Guttman Drogolin" w:hint="cs"/>
          <w:rtl/>
          <w:lang w:bidi="he-IL"/>
        </w:rPr>
        <w:t xml:space="preserve">טיפה כנגד הרוטב לנפל כנגד הריקן, שאם נפל כנגד הרוטב מותר ע"י ששים כנגד הטיפה לבד, ומשום דאמרינן דמהני התבשיל לבטל הטיפה בששים. אבל אם נפל כנגד הריקן לא מהני התבשיל לבטל הטיפה ולכן הכלי שלמעלה מן הרוטב נע"נ. אמנם אפילו אם נפל כנגד הריקן אין התבשיל נאסר (אם יש ס' כנגד הטיפה) אם אינו מזיז אותו ומניחו להצטנן, דהא הכלי נאסר ולא התבשיל, ואחרי שיצטנן לא יהא אסור. </w:t>
      </w:r>
    </w:p>
    <w:p w:rsidR="00B0508C" w:rsidRPr="00882F11" w:rsidRDefault="00D80BAF" w:rsidP="00B0508C">
      <w:pPr>
        <w:tabs>
          <w:tab w:val="right" w:pos="7497"/>
        </w:tabs>
        <w:bidi/>
        <w:jc w:val="both"/>
        <w:rPr>
          <w:rFonts w:cs="Guttman Drogolin"/>
          <w:rtl/>
          <w:lang w:bidi="he-IL"/>
        </w:rPr>
      </w:pPr>
      <w:r w:rsidRPr="00882F11">
        <w:rPr>
          <w:rFonts w:cs="Guttman Drogolin" w:hint="cs"/>
          <w:rtl/>
          <w:lang w:bidi="he-IL"/>
        </w:rPr>
        <w:t xml:space="preserve">והב"י הביא לשון הסמ"ק ושם מבואר שהבין שהגמ' במס' זבחים מסתפקת אם מפעפעת בכל הכלי או לא. </w:t>
      </w:r>
      <w:r w:rsidR="00D64A12" w:rsidRPr="00882F11">
        <w:rPr>
          <w:rFonts w:cs="Guttman Drogolin" w:hint="cs"/>
          <w:rtl/>
          <w:lang w:bidi="he-IL"/>
        </w:rPr>
        <w:t>וכתב על זה "הילכך כשנפלה כנגד הרוטב ויש ברוטב ששים מן הטיפה מותר ממה נפשך אי מפעפעת בכל הכלי הרי נתבטלה ואם אינה מפעפעת אז לא יאסר אבל נפלה נגד הריקן שמא מפעפעת בדופן הקדרה עד סמוך לרוטב כל כך שאין ששים מן הטיפה ונעשה אותו מק</w:t>
      </w:r>
      <w:r w:rsidR="00724B87" w:rsidRPr="00882F11">
        <w:rPr>
          <w:rFonts w:cs="Guttman Drogolin" w:hint="cs"/>
          <w:rtl/>
          <w:lang w:bidi="he-IL"/>
        </w:rPr>
        <w:t>צ</w:t>
      </w:r>
      <w:r w:rsidR="00D64A12" w:rsidRPr="00882F11">
        <w:rPr>
          <w:rFonts w:cs="Guttman Drogolin" w:hint="cs"/>
          <w:rtl/>
          <w:lang w:bidi="he-IL"/>
        </w:rPr>
        <w:t>ת כלי נבלה וכו'"</w:t>
      </w:r>
      <w:r w:rsidR="00724B87" w:rsidRPr="00882F11">
        <w:rPr>
          <w:rFonts w:cs="Guttman Drogolin" w:hint="cs"/>
          <w:rtl/>
          <w:lang w:bidi="he-IL"/>
        </w:rPr>
        <w:t xml:space="preserve">. ונחלקו הפוסקים בביאור שיטתו. דהנה </w:t>
      </w:r>
      <w:r w:rsidR="00724B87" w:rsidRPr="00882F11">
        <w:rPr>
          <w:rFonts w:cs="Guttman Drogolin" w:hint="cs"/>
          <w:rtl/>
          <w:lang w:bidi="he-IL"/>
        </w:rPr>
        <w:lastRenderedPageBreak/>
        <w:t xml:space="preserve">יש להסתפק מהו כוונת הסמ"ק במש"כ שאם מפעפעת הרי נתבטלה. והב"י למד שאם מפעפעת בכל הכלי הרי נתבטלה בכל הכלי, וכמו שביארנו לעיל בשיטת מהר"ם דאז מהני כל הכלי לבטלו בששים. ולפי זה צריך ביאור הצד שאינה מפעפעת, שאם אינה מפעפעת כלל, א"כ </w:t>
      </w:r>
      <w:r w:rsidR="00B0508C" w:rsidRPr="00882F11">
        <w:rPr>
          <w:rFonts w:cs="Guttman Drogolin" w:hint="cs"/>
          <w:rtl/>
          <w:lang w:bidi="he-IL"/>
        </w:rPr>
        <w:t>מ</w:t>
      </w:r>
      <w:r w:rsidR="00724B87" w:rsidRPr="00882F11">
        <w:rPr>
          <w:rFonts w:cs="Guttman Drogolin" w:hint="cs"/>
          <w:rtl/>
          <w:lang w:bidi="he-IL"/>
        </w:rPr>
        <w:t>אי שנא כנגד ה</w:t>
      </w:r>
      <w:r w:rsidR="00B0508C" w:rsidRPr="00882F11">
        <w:rPr>
          <w:rFonts w:cs="Guttman Drogolin" w:hint="cs"/>
          <w:rtl/>
          <w:lang w:bidi="he-IL"/>
        </w:rPr>
        <w:t xml:space="preserve">רוטב משלא כנגד הרוטב, הא </w:t>
      </w:r>
      <w:r w:rsidR="00724B87" w:rsidRPr="00882F11">
        <w:rPr>
          <w:rFonts w:cs="Guttman Drogolin" w:hint="cs"/>
          <w:rtl/>
          <w:lang w:bidi="he-IL"/>
        </w:rPr>
        <w:t>אם מפעפעת נתבטלה בכלי, ואם אינה מפעפעת הרי אינו אוסר.</w:t>
      </w:r>
      <w:r w:rsidR="00B0508C" w:rsidRPr="00882F11">
        <w:rPr>
          <w:rFonts w:cs="Guttman Drogolin" w:hint="cs"/>
          <w:rtl/>
          <w:lang w:bidi="he-IL"/>
        </w:rPr>
        <w:t xml:space="preserve"> ומשו"ה פי' הב"י (וכן נקט גם הש"ך) שכוונתו שאם אינה מפעפעת ב</w:t>
      </w:r>
      <w:r w:rsidR="00B0508C" w:rsidRPr="00882F11">
        <w:rPr>
          <w:rFonts w:cs="Guttman Drogolin" w:hint="cs"/>
          <w:i/>
          <w:iCs/>
          <w:rtl/>
          <w:lang w:bidi="he-IL"/>
        </w:rPr>
        <w:t>כל הכלי</w:t>
      </w:r>
      <w:r w:rsidR="00B0508C" w:rsidRPr="00882F11">
        <w:rPr>
          <w:rFonts w:cs="Guttman Drogolin" w:hint="cs"/>
          <w:rtl/>
          <w:lang w:bidi="he-IL"/>
        </w:rPr>
        <w:t xml:space="preserve"> אז אמרינן שהוא נכנס לתוך הרוטב והרוטב מבטלו. ולכן דוקא כנד הרוטב יש להתיר כשיש ששים בתבשיל נגד הטיפה, אבל כנגד הריקן, כיון שעל הצד שאינה מפעפעת בכולה י"ל שמפעפעת במקצתו ולא ידעינן כמה, לכן אותו חלק של הכלי נע"נ, צריכים ששים כנגדו.</w:t>
      </w:r>
    </w:p>
    <w:p w:rsidR="002C085A" w:rsidRPr="00882F11" w:rsidRDefault="00B0508C" w:rsidP="002C085A">
      <w:pPr>
        <w:tabs>
          <w:tab w:val="right" w:pos="7497"/>
        </w:tabs>
        <w:bidi/>
        <w:jc w:val="both"/>
        <w:rPr>
          <w:rFonts w:cs="Guttman Drogolin"/>
          <w:rtl/>
          <w:lang w:bidi="he-IL"/>
        </w:rPr>
      </w:pPr>
      <w:r w:rsidRPr="00882F11">
        <w:rPr>
          <w:rFonts w:cs="Guttman Drogolin" w:hint="cs"/>
          <w:rtl/>
          <w:lang w:bidi="he-IL"/>
        </w:rPr>
        <w:t xml:space="preserve">וכאן הבן שואל, למה אמרינן שאם הוא מתפשט בכולו אינו נכנס לתוך התבשיל, ואם מפעפעת רק מקצת נכנס לתוך התבשיל. </w:t>
      </w:r>
      <w:r w:rsidR="00BF0BAE" w:rsidRPr="00882F11">
        <w:rPr>
          <w:rFonts w:cs="Guttman Drogolin" w:hint="cs"/>
          <w:rtl/>
          <w:lang w:bidi="he-IL"/>
        </w:rPr>
        <w:t>וע' מש"כ בחוו"ד ס"ק י"ג לבאר את דבריו. אמנם הט"ז וחזו"א הבינו שבזה חלק הסמ"ק על מהר"ם, שמהר"</w:t>
      </w:r>
      <w:r w:rsidR="002C085A" w:rsidRPr="00882F11">
        <w:rPr>
          <w:rFonts w:cs="Guttman Drogolin" w:hint="cs"/>
          <w:rtl/>
          <w:lang w:bidi="he-IL"/>
        </w:rPr>
        <w:t>ם סבר שהטיפת חלב נכנס לתוך הקדה בב' כוחות, קודם לבליעות שבתוך הקדירה ושם נע"נ, ולאחר מכן לתוך התבשיל. אבל סמ"ק סבר שהכל הוא בכח א', ולכן אם נפל כנגד הרוטב</w:t>
      </w:r>
      <w:r w:rsidR="00BF0BAE" w:rsidRPr="00882F11">
        <w:rPr>
          <w:rFonts w:cs="Guttman Drogolin" w:hint="cs"/>
          <w:rtl/>
          <w:lang w:bidi="he-IL"/>
        </w:rPr>
        <w:t xml:space="preserve"> </w:t>
      </w:r>
      <w:r w:rsidR="002C085A" w:rsidRPr="00882F11">
        <w:rPr>
          <w:rFonts w:cs="Guttman Drogolin" w:hint="cs"/>
          <w:rtl/>
          <w:lang w:bidi="he-IL"/>
        </w:rPr>
        <w:t>גם הכלי וגם הרוטב מצטרף לבטל הטיפה (רק דלא ידעינן כמה יש בתוך הקדירה, וכן לא ידעינן כמה הוא מתפשט). ולכן סבר הט"ז שהקדירה אינה נאסרת, דהא הכל מצטרף לבטלו ולכן כיון שסופו להתפשט הכל מותר. רק שלא כנגד הרוטב אמרינן דיתכן שנכנס לכלי ואינו מגיע לרוטב, ולכן אותו חלק נע"נ ואם ינער דרכו יהא אסור.</w:t>
      </w:r>
    </w:p>
    <w:p w:rsidR="002C085A" w:rsidRPr="00882F11" w:rsidRDefault="002C085A" w:rsidP="0078079C">
      <w:pPr>
        <w:pStyle w:val="Heading1"/>
        <w:bidi/>
        <w:spacing w:before="0" w:line="360" w:lineRule="auto"/>
        <w:jc w:val="center"/>
        <w:rPr>
          <w:rFonts w:cs="Guttman Drogolin"/>
          <w:color w:val="auto"/>
          <w:sz w:val="24"/>
          <w:szCs w:val="24"/>
          <w:u w:val="single"/>
          <w:rtl/>
          <w:lang w:bidi="he-IL"/>
        </w:rPr>
      </w:pPr>
      <w:bookmarkStart w:id="220" w:name="_Toc496175475"/>
      <w:r w:rsidRPr="00882F11">
        <w:rPr>
          <w:rFonts w:cs="Guttman Drogolin" w:hint="cs"/>
          <w:color w:val="auto"/>
          <w:sz w:val="24"/>
          <w:szCs w:val="24"/>
          <w:u w:val="single"/>
          <w:rtl/>
          <w:lang w:bidi="he-IL"/>
        </w:rPr>
        <w:t>בהא דמצרפינן כל הקדירה לבטל הטיפה</w:t>
      </w:r>
      <w:bookmarkEnd w:id="220"/>
    </w:p>
    <w:p w:rsidR="002C085A" w:rsidRPr="00882F11" w:rsidRDefault="00B71530" w:rsidP="008F6805">
      <w:pPr>
        <w:tabs>
          <w:tab w:val="right" w:pos="7497"/>
        </w:tabs>
        <w:bidi/>
        <w:jc w:val="both"/>
        <w:rPr>
          <w:rFonts w:cs="Guttman Drogolin"/>
          <w:rtl/>
          <w:lang w:bidi="he-IL"/>
        </w:rPr>
      </w:pPr>
      <w:r>
        <w:rPr>
          <w:rFonts w:cs="Guttman Drogolin"/>
          <w:rtl/>
          <w:lang w:bidi="he-IL"/>
        </w:rPr>
        <w:fldChar w:fldCharType="begin"/>
      </w:r>
      <w:r>
        <w:instrText xml:space="preserve"> XE "</w:instrText>
      </w:r>
      <w:r w:rsidRPr="00035675">
        <w:rPr>
          <w:rFonts w:hint="cs"/>
          <w:rtl/>
          <w:lang w:bidi="he-IL"/>
        </w:rPr>
        <w:instrText>טיפת חלב שנפלה ע הקדרה</w:instrText>
      </w:r>
      <w:r w:rsidRPr="00035675">
        <w:rPr>
          <w:rtl/>
        </w:rPr>
        <w:instrText>:</w:instrText>
      </w:r>
      <w:r w:rsidRPr="00035675">
        <w:rPr>
          <w:rFonts w:hint="cs"/>
          <w:rtl/>
          <w:lang w:bidi="he-IL"/>
        </w:rPr>
        <w:instrText>צירוף כל הקדרה לבטל הטיפה</w:instrText>
      </w:r>
      <w:r>
        <w:instrText xml:space="preserve">" </w:instrText>
      </w:r>
      <w:r>
        <w:rPr>
          <w:rFonts w:cs="Guttman Drogolin"/>
          <w:rtl/>
          <w:lang w:bidi="he-IL"/>
        </w:rPr>
        <w:fldChar w:fldCharType="end"/>
      </w:r>
      <w:r w:rsidR="002C085A" w:rsidRPr="00882F11">
        <w:rPr>
          <w:rFonts w:cs="Guttman Drogolin" w:hint="cs"/>
          <w:rtl/>
          <w:lang w:bidi="he-IL"/>
        </w:rPr>
        <w:t xml:space="preserve">בשיטת סמ"ק חזינן שצרפינן כל התבשיל לבטל הטיפה אם נפל כנגד הרוטב. והנה בטיפת חלב שנפל על החתיכה הי' מחלוקת בין ר"י לרש"י אי אמרינן בחלב שנפל על חתיכה שמקצתה בתוך </w:t>
      </w:r>
      <w:r w:rsidR="002C085A" w:rsidRPr="00882F11">
        <w:rPr>
          <w:rFonts w:cs="Guttman Drogolin" w:hint="cs"/>
          <w:rtl/>
          <w:lang w:bidi="he-IL"/>
        </w:rPr>
        <w:lastRenderedPageBreak/>
        <w:t xml:space="preserve">הרוטב שכל התבשיל מצטרף לבטל הטיפה או לא. </w:t>
      </w:r>
      <w:r w:rsidR="008F6805" w:rsidRPr="00882F11">
        <w:rPr>
          <w:rFonts w:cs="Guttman Drogolin" w:hint="cs"/>
          <w:rtl/>
          <w:lang w:bidi="he-IL"/>
        </w:rPr>
        <w:t xml:space="preserve">וא"כ לכאורה צ"ע, דהנה להנהו דסברי שהטיפת חלב נכנס לתבשיל בב' כוחות, י"ל דהנ"מ בכלי שטבעו שונה מאוכל, ולכן אפילו לר"י יהא הדין שאין התבשיל מצטרף לבטלו. אבל לסמ"ק דסבר דהוי בכח א', בשלמא לר"י ניחא, אבל לרש"י מא"ל. ואולי צ"ל שגם בזה שאני כלי, ובכלי מצטרף הרוטב מבפנים לבטל הטיפה משא"כ באוכל. ומ"מ גם לר"י יש כאן חידוש, דהא עד כאן לא שמענו אלא כשעכ"פ מקצת החתיכה בתוך הרוטב, אבל כאן אינו שקוע ברוטב כלל רק מונח על גביו. ע' בב"ח שכתב שכשנפל שלא כנגד הרוטב אילו הי' מגיע עד לרוטב הי' הכל מותר, אע"ג שחלק מן הבליעה מחוץ לרוטב וכשיטת ר"י. ומשמע שלשיטת רש"י יהא אסור. וע' בהגהות חכמת מנוח לטור הוצאת מכון המאור </w:t>
      </w:r>
      <w:r w:rsidR="00240B57" w:rsidRPr="00882F11">
        <w:rPr>
          <w:rFonts w:cs="Guttman Drogolin" w:hint="cs"/>
          <w:rtl/>
          <w:lang w:bidi="he-IL"/>
        </w:rPr>
        <w:t>שכצה לומר שכל מה שאסרו טיפת חלב שנפל על הקדירה לסמ"ג ומהר"ם היינו לשיטת רש"י, אבל לר"י הכל יתבטל דהא הוי מקצתו בתוך הרוטב. וזה דלא כנ"ל והוא  דחוק לכאורה. ועדיין צ"ע.</w:t>
      </w:r>
      <w:r w:rsidR="002C085A" w:rsidRPr="00882F11">
        <w:rPr>
          <w:rFonts w:cs="Guttman Drogolin" w:hint="cs"/>
          <w:rtl/>
          <w:lang w:bidi="he-IL"/>
        </w:rPr>
        <w:t xml:space="preserve"> </w:t>
      </w:r>
    </w:p>
    <w:p w:rsidR="000B65B7" w:rsidRPr="00882F11" w:rsidRDefault="000B65B7" w:rsidP="000B65B7">
      <w:pPr>
        <w:tabs>
          <w:tab w:val="right" w:pos="7497"/>
        </w:tabs>
        <w:bidi/>
        <w:jc w:val="both"/>
        <w:rPr>
          <w:rFonts w:cs="Guttman Drogolin"/>
          <w:rtl/>
          <w:lang w:bidi="he-IL"/>
        </w:rPr>
        <w:sectPr w:rsidR="000B65B7" w:rsidRPr="00882F11" w:rsidSect="00DA1D59">
          <w:type w:val="continuous"/>
          <w:pgSz w:w="11907" w:h="16839" w:code="9"/>
          <w:pgMar w:top="1440" w:right="1440" w:bottom="1440" w:left="1440" w:header="720" w:footer="720" w:gutter="0"/>
          <w:cols w:num="2" w:space="720"/>
          <w:bidi/>
          <w:docGrid w:linePitch="360"/>
        </w:sectPr>
      </w:pPr>
    </w:p>
    <w:p w:rsidR="000B65B7" w:rsidRPr="00882F11" w:rsidRDefault="000B65B7" w:rsidP="000B65B7">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נ"ח</w:t>
      </w:r>
    </w:p>
    <w:p w:rsidR="00DA1D59" w:rsidRDefault="00DA1D59" w:rsidP="0078079C">
      <w:pPr>
        <w:pStyle w:val="Heading1"/>
        <w:bidi/>
        <w:spacing w:before="0" w:line="360" w:lineRule="auto"/>
        <w:jc w:val="center"/>
        <w:rPr>
          <w:rFonts w:cs="Guttman Drogolin"/>
          <w:color w:val="auto"/>
          <w:sz w:val="24"/>
          <w:szCs w:val="24"/>
          <w:u w:val="single"/>
          <w:rtl/>
          <w:lang w:bidi="he-IL"/>
        </w:rPr>
        <w:sectPr w:rsidR="00DA1D59" w:rsidSect="00DA1D59">
          <w:pgSz w:w="11907" w:h="16839" w:code="9"/>
          <w:pgMar w:top="1440" w:right="1440" w:bottom="1440" w:left="1440" w:header="720" w:footer="720" w:gutter="0"/>
          <w:cols w:space="720"/>
          <w:bidi/>
          <w:docGrid w:linePitch="360"/>
        </w:sectPr>
      </w:pPr>
    </w:p>
    <w:p w:rsidR="000B65B7" w:rsidRPr="00882F11" w:rsidRDefault="000B65B7" w:rsidP="0078079C">
      <w:pPr>
        <w:pStyle w:val="Heading1"/>
        <w:bidi/>
        <w:spacing w:before="0" w:line="360" w:lineRule="auto"/>
        <w:jc w:val="center"/>
        <w:rPr>
          <w:rFonts w:cs="Guttman Drogolin"/>
          <w:color w:val="auto"/>
          <w:sz w:val="24"/>
          <w:szCs w:val="24"/>
          <w:u w:val="single"/>
          <w:rtl/>
          <w:lang w:bidi="he-IL"/>
        </w:rPr>
      </w:pPr>
      <w:bookmarkStart w:id="221" w:name="_Toc496175476"/>
      <w:r w:rsidRPr="00882F11">
        <w:rPr>
          <w:rFonts w:cs="Guttman Drogolin" w:hint="cs"/>
          <w:color w:val="auto"/>
          <w:sz w:val="24"/>
          <w:szCs w:val="24"/>
          <w:u w:val="single"/>
          <w:rtl/>
          <w:lang w:bidi="he-IL"/>
        </w:rPr>
        <w:lastRenderedPageBreak/>
        <w:t>עוד בדעת הסמ"ק</w:t>
      </w:r>
      <w:bookmarkEnd w:id="221"/>
    </w:p>
    <w:p w:rsidR="000B65B7" w:rsidRPr="00882F11" w:rsidRDefault="00B71530" w:rsidP="000B65B7">
      <w:pPr>
        <w:tabs>
          <w:tab w:val="right" w:pos="7497"/>
        </w:tabs>
        <w:bidi/>
        <w:jc w:val="both"/>
        <w:rPr>
          <w:rFonts w:cs="Guttman Drogolin"/>
          <w:rtl/>
          <w:lang w:bidi="he-IL"/>
        </w:rPr>
      </w:pPr>
      <w:r>
        <w:rPr>
          <w:rFonts w:cs="Guttman Drogolin"/>
          <w:rtl/>
          <w:lang w:bidi="he-IL"/>
        </w:rPr>
        <w:fldChar w:fldCharType="begin"/>
      </w:r>
      <w:r>
        <w:instrText xml:space="preserve"> XE "</w:instrText>
      </w:r>
      <w:r w:rsidRPr="00FA0AE8">
        <w:rPr>
          <w:rFonts w:hint="cs"/>
          <w:rtl/>
          <w:lang w:bidi="he-IL"/>
        </w:rPr>
        <w:instrText>טיפת חלב שנפלה על הקדרה</w:instrText>
      </w:r>
      <w:r w:rsidRPr="00FA0AE8">
        <w:rPr>
          <w:rtl/>
        </w:rPr>
        <w:instrText>:</w:instrText>
      </w:r>
      <w:r w:rsidRPr="00FA0AE8">
        <w:rPr>
          <w:rFonts w:hint="cs"/>
          <w:rtl/>
          <w:lang w:bidi="he-IL"/>
        </w:rPr>
        <w:instrText>שיטת הסמ</w:instrText>
      </w:r>
      <w:r>
        <w:rPr>
          <w:rFonts w:eastAsiaTheme="minorEastAsia"/>
          <w:lang w:bidi="he-IL"/>
        </w:rPr>
        <w:instrText>\</w:instrText>
      </w:r>
      <w:r w:rsidRPr="00FA0AE8">
        <w:rPr>
          <w:rFonts w:hint="cs"/>
          <w:rtl/>
          <w:lang w:bidi="he-IL"/>
        </w:rPr>
        <w:instrText>"ק</w:instrText>
      </w:r>
      <w:r>
        <w:instrText xml:space="preserve">" </w:instrText>
      </w:r>
      <w:r>
        <w:rPr>
          <w:rFonts w:cs="Guttman Drogolin"/>
          <w:rtl/>
          <w:lang w:bidi="he-IL"/>
        </w:rPr>
        <w:fldChar w:fldCharType="end"/>
      </w:r>
      <w:r w:rsidR="000B65B7" w:rsidRPr="00882F11">
        <w:rPr>
          <w:rFonts w:cs="Guttman Drogolin" w:hint="cs"/>
          <w:rtl/>
          <w:lang w:bidi="he-IL"/>
        </w:rPr>
        <w:t xml:space="preserve">בשיעור הקודם הבאנו דעת הסמ"ק שיש חילוק בין טיפת חלב שנפל כנגד הרוטב לטיפת חלב שנפל כנגד הריקן. ואמרנו שלכאורה המחלוקת בין הסמ"ק למהר"ם הוא שלמהר"ם הטיפת חלב נכנסת לתבשיל בב' כוחות, ולכן הקדירה נעשית נבילה קודם שנכנס לתבשיל ולכן צריכים לבטל את כל הקדירה שנע"נ, ואילו הסמ"ק סבר שהטיפת חלב נכנסת לקדירה בכח א', ולכן כל התבשיל והקדרה מצטרפין ביחד לבטל הטיפה. אלא שהסמ"ק כתב שיש ספק אם הטיפה מפעפעת או אינה מפעפעת, ונחלקו האחרונים בביאור דבריו. </w:t>
      </w:r>
    </w:p>
    <w:p w:rsidR="000B65B7" w:rsidRPr="00882F11" w:rsidRDefault="000B65B7" w:rsidP="00361D6D">
      <w:pPr>
        <w:tabs>
          <w:tab w:val="right" w:pos="7497"/>
        </w:tabs>
        <w:bidi/>
        <w:jc w:val="both"/>
        <w:rPr>
          <w:rFonts w:cs="Guttman Drogolin"/>
          <w:rtl/>
          <w:lang w:bidi="he-IL"/>
        </w:rPr>
      </w:pPr>
      <w:r w:rsidRPr="00882F11">
        <w:rPr>
          <w:rFonts w:cs="Guttman Drogolin" w:hint="cs"/>
          <w:rtl/>
          <w:lang w:bidi="he-IL"/>
        </w:rPr>
        <w:t xml:space="preserve">דעת הט"ז </w:t>
      </w:r>
      <w:r w:rsidR="00CA7C80" w:rsidRPr="00882F11">
        <w:rPr>
          <w:rFonts w:cs="Guttman Drogolin" w:hint="cs"/>
          <w:rtl/>
          <w:lang w:bidi="he-IL"/>
        </w:rPr>
        <w:t xml:space="preserve">(ס"ק י"ט) </w:t>
      </w:r>
      <w:r w:rsidRPr="00882F11">
        <w:rPr>
          <w:rFonts w:cs="Guttman Drogolin" w:hint="cs"/>
          <w:rtl/>
          <w:lang w:bidi="he-IL"/>
        </w:rPr>
        <w:t>שהספק אם הטיפה מפעפעת או אינה מפעפעת כלל. ולכן אם נפל כנגד</w:t>
      </w:r>
      <w:r w:rsidR="00361D6D" w:rsidRPr="00882F11">
        <w:rPr>
          <w:rFonts w:cs="Guttman Drogolin" w:hint="cs"/>
          <w:rtl/>
          <w:lang w:bidi="he-IL"/>
        </w:rPr>
        <w:t xml:space="preserve"> הרוטב, הרי היא מותרת ממנ"פ, שאם הטיפה מפעפעת הא </w:t>
      </w:r>
      <w:r w:rsidRPr="00882F11">
        <w:rPr>
          <w:rFonts w:cs="Guttman Drogolin" w:hint="cs"/>
          <w:rtl/>
          <w:lang w:bidi="he-IL"/>
        </w:rPr>
        <w:t xml:space="preserve">מפעפעת לתוך התבשיל ולכן כל הקדירה מצטרפת לבטל הטיפה. </w:t>
      </w:r>
      <w:r w:rsidR="00FF38FE" w:rsidRPr="00882F11">
        <w:rPr>
          <w:rFonts w:cs="Guttman Drogolin" w:hint="cs"/>
          <w:rtl/>
          <w:lang w:bidi="he-IL"/>
        </w:rPr>
        <w:t xml:space="preserve">ואם אינה מפעפעת הא הטיפה נשארת במקומה ואינה יכולה לאסור. והנ"מ כנגד הרוטב, אבל כנגד הריקן </w:t>
      </w:r>
      <w:r w:rsidR="00FB029A" w:rsidRPr="00882F11">
        <w:rPr>
          <w:rFonts w:cs="Guttman Drogolin" w:hint="cs"/>
          <w:rtl/>
          <w:lang w:bidi="he-IL"/>
        </w:rPr>
        <w:t xml:space="preserve">יש לומר שמפעפעת אבל אינה מפעפעת עד הרוטב, ולכן החלק של הקדרה שבה התפשטה נע"נ, ולכן אע"ג שאינה אוסרת התבשיל מ"מ הקדרה נאסרת ואם יעלה התבשיל על דפנות הקדרה יש לחוש ולאסור התבשיל אם אין ששים פעמים ששים כנגד הטיפה. </w:t>
      </w:r>
      <w:r w:rsidR="000B3E63" w:rsidRPr="00882F11">
        <w:rPr>
          <w:rFonts w:cs="Guttman Drogolin" w:hint="cs"/>
          <w:rtl/>
          <w:lang w:bidi="he-IL"/>
        </w:rPr>
        <w:t>ולשיטתו כתב הט"ז שאם נפל הטיפה כנגד הרוטב אין הקדרה צריכה הגעלה, דהא אם נתבטלה ברוטב הא נתבטלה, ואם לא נתבטלה הא שוב לא יפעפע גם בפעם השני ולכן אינו צריך הכשר. והט"ז העי</w:t>
      </w:r>
      <w:r w:rsidR="00361D6D" w:rsidRPr="00882F11">
        <w:rPr>
          <w:rFonts w:cs="Guttman Drogolin" w:hint="cs"/>
          <w:rtl/>
          <w:lang w:bidi="he-IL"/>
        </w:rPr>
        <w:t xml:space="preserve">ר שלכאורה לשון הסמ"ק דחוק לפי פירושו, דהא לדבריו הטעם שהוא מותר כנגד הרוטב אם מפעפעת משום שנתבטלה בתבשיל, ולשון הסמ"ק </w:t>
      </w:r>
      <w:r w:rsidR="00CA7C80" w:rsidRPr="00882F11">
        <w:rPr>
          <w:rFonts w:cs="Guttman Drogolin" w:hint="cs"/>
          <w:rtl/>
          <w:lang w:bidi="he-IL"/>
        </w:rPr>
        <w:t>"אי מפעפעת בכל הכלי הרי נתבטלה", שמשמע שרק משום שנתבטלה בכלי מותרת אי מפעפעת. וכתב הט"</w:t>
      </w:r>
      <w:r w:rsidR="00290A15" w:rsidRPr="00882F11">
        <w:rPr>
          <w:rFonts w:cs="Guttman Drogolin" w:hint="cs"/>
          <w:rtl/>
          <w:lang w:bidi="he-IL"/>
        </w:rPr>
        <w:t xml:space="preserve">ז ליישב </w:t>
      </w:r>
      <w:r w:rsidR="00CA7C80" w:rsidRPr="00882F11">
        <w:rPr>
          <w:rFonts w:cs="Guttman Drogolin" w:hint="cs"/>
          <w:rtl/>
          <w:lang w:bidi="he-IL"/>
        </w:rPr>
        <w:t xml:space="preserve">לשון </w:t>
      </w:r>
      <w:r w:rsidR="00290A15" w:rsidRPr="00882F11">
        <w:rPr>
          <w:rFonts w:cs="Guttman Drogolin" w:hint="cs"/>
          <w:rtl/>
          <w:lang w:bidi="he-IL"/>
        </w:rPr>
        <w:t xml:space="preserve">'בכל </w:t>
      </w:r>
      <w:r w:rsidR="00290A15" w:rsidRPr="00882F11">
        <w:rPr>
          <w:rFonts w:cs="Guttman Drogolin" w:hint="cs"/>
          <w:rtl/>
          <w:lang w:bidi="he-IL"/>
        </w:rPr>
        <w:lastRenderedPageBreak/>
        <w:t>הכלי' דנקט דגריר בתר לשון הגמ' ובאמת כוונתו כנ"ל.</w:t>
      </w:r>
    </w:p>
    <w:p w:rsidR="00290A15" w:rsidRPr="00882F11" w:rsidRDefault="00290A15" w:rsidP="00290A15">
      <w:pPr>
        <w:tabs>
          <w:tab w:val="right" w:pos="7497"/>
        </w:tabs>
        <w:bidi/>
        <w:jc w:val="both"/>
        <w:rPr>
          <w:rFonts w:cs="Guttman Drogolin"/>
          <w:rtl/>
          <w:lang w:bidi="he-IL"/>
        </w:rPr>
      </w:pPr>
      <w:r w:rsidRPr="00882F11">
        <w:rPr>
          <w:rFonts w:cs="Guttman Drogolin" w:hint="cs"/>
          <w:rtl/>
          <w:lang w:bidi="he-IL"/>
        </w:rPr>
        <w:t xml:space="preserve">והש"ך וב"י נקטו דברי הסמ"ק כפשוטו, ולכן ביארו שכוונת ה"ממ"נ" של הסמ"ק כך, שאם הבליעה מתפשטת בכל הכלי הא הכלי מבטל את הטיפה, ואם אינה מפעפעת אלא במקצתו, מ"מ י"ל שהיא נכנסת לתוך התבשיל </w:t>
      </w:r>
      <w:r w:rsidR="003F657F" w:rsidRPr="00882F11">
        <w:rPr>
          <w:rFonts w:cs="Guttman Drogolin" w:hint="cs"/>
          <w:rtl/>
          <w:lang w:bidi="he-IL"/>
        </w:rPr>
        <w:t xml:space="preserve">והתבשיל מבטלו בששים. ונפק"מ בין הב"י לט"ז, שלט"ז אפילו אם אין ששים בקדרה כנגד הטיפה יש להתיר אם יש ששים בתבשיל כנגד הטיפה, אבל לב"י צריכים ששים גם בקדרה עצמה וגם בתבשיל כנגד הטיפה כדי להתיר. </w:t>
      </w:r>
    </w:p>
    <w:p w:rsidR="003F657F" w:rsidRPr="00882F11" w:rsidRDefault="003F657F" w:rsidP="003F657F">
      <w:pPr>
        <w:tabs>
          <w:tab w:val="right" w:pos="7497"/>
        </w:tabs>
        <w:bidi/>
        <w:jc w:val="both"/>
        <w:rPr>
          <w:rFonts w:cs="Guttman Drogolin"/>
          <w:rtl/>
          <w:lang w:bidi="he-IL"/>
        </w:rPr>
      </w:pPr>
      <w:r w:rsidRPr="00882F11">
        <w:rPr>
          <w:rFonts w:cs="Guttman Drogolin" w:hint="cs"/>
          <w:rtl/>
          <w:lang w:bidi="he-IL"/>
        </w:rPr>
        <w:t xml:space="preserve">ומ"מ דברי הב"י והש"ך צ"ע, שהרי אם נפל כנגד הריקן אמרינן שיש צד שאינו מתפשט בכולו רק במקצתו, דאל"כ הא גם כנגד הריקן יש להתיר אם יש ששים בקדרה כנגד הטיפה. וכיון שיתכן שאינו מתפשט אלא במקצתו, וכן יש צד שאינו נכנס לתבשיל אלא מתפשט בכלי לבד וכדאמרינן שאם מתפשט בכולו הרי הוא מתבטל בכלי, א"כ למה לא נימא שגם אם נפל כנגד הרוטב יש לאסור כיון שיתכן שלא התפשט אלא במקצתו וכן אינו נכנס לתוך התבשיל. וע"כ חזינן לדעתייהו דש"ך וב"י דסברי דעד כמה שמתפשט בכולו יש לומר שהוא משום שיש לטיפה התקשרות מסוימת לכלי, וכיון שכן הרי אינו נכנס לתוך התבשיל. רק על הצד שאינו מתפשט בכולו אמרינן שאין לטיפת חלב התקשרות מסוימת לכלי, ולכן כמו שמתפשט בכלי מתפשט נמי בתבשיל, ולכן אם יש ששים בתבשיל כנגד הטיפה הרי היא מותרת.  </w:t>
      </w:r>
    </w:p>
    <w:p w:rsidR="00934739" w:rsidRPr="00882F11" w:rsidRDefault="00934739" w:rsidP="0078079C">
      <w:pPr>
        <w:pStyle w:val="Heading1"/>
        <w:bidi/>
        <w:spacing w:before="0" w:line="360" w:lineRule="auto"/>
        <w:jc w:val="center"/>
        <w:rPr>
          <w:rFonts w:cs="Guttman Drogolin"/>
          <w:color w:val="auto"/>
          <w:sz w:val="24"/>
          <w:szCs w:val="24"/>
          <w:u w:val="single"/>
          <w:rtl/>
          <w:lang w:bidi="he-IL"/>
        </w:rPr>
      </w:pPr>
      <w:bookmarkStart w:id="222" w:name="_Toc496175477"/>
      <w:r w:rsidRPr="00882F11">
        <w:rPr>
          <w:rFonts w:cs="Guttman Drogolin" w:hint="cs"/>
          <w:color w:val="auto"/>
          <w:sz w:val="24"/>
          <w:szCs w:val="24"/>
          <w:u w:val="single"/>
          <w:rtl/>
          <w:lang w:bidi="he-IL"/>
        </w:rPr>
        <w:t>דינו של הכלי כשנפל הטיפה כנגד הרוטב</w:t>
      </w:r>
      <w:bookmarkEnd w:id="222"/>
    </w:p>
    <w:p w:rsidR="001607DF" w:rsidRPr="00882F11" w:rsidRDefault="00B71530" w:rsidP="00791EC8">
      <w:pPr>
        <w:tabs>
          <w:tab w:val="right" w:pos="7497"/>
        </w:tabs>
        <w:bidi/>
        <w:jc w:val="both"/>
        <w:rPr>
          <w:rFonts w:cs="Guttman Drogolin"/>
          <w:rtl/>
          <w:lang w:bidi="he-IL"/>
        </w:rPr>
      </w:pPr>
      <w:r>
        <w:rPr>
          <w:rFonts w:cs="Guttman Drogolin"/>
          <w:rtl/>
          <w:lang w:bidi="he-IL"/>
        </w:rPr>
        <w:fldChar w:fldCharType="begin"/>
      </w:r>
      <w:r>
        <w:instrText xml:space="preserve"> XE "</w:instrText>
      </w:r>
      <w:r w:rsidRPr="00595421">
        <w:rPr>
          <w:rFonts w:hint="cs"/>
          <w:rtl/>
          <w:lang w:bidi="he-IL"/>
        </w:rPr>
        <w:instrText>טיפת חלב שנפלה על הקדרה</w:instrText>
      </w:r>
      <w:r w:rsidRPr="00595421">
        <w:rPr>
          <w:rtl/>
        </w:rPr>
        <w:instrText>:</w:instrText>
      </w:r>
      <w:r w:rsidRPr="00595421">
        <w:rPr>
          <w:rFonts w:hint="cs"/>
          <w:rtl/>
          <w:lang w:bidi="he-IL"/>
        </w:rPr>
        <w:instrText>נפל כנגד הרוטב - דינו של הכלי</w:instrText>
      </w:r>
      <w:r>
        <w:instrText xml:space="preserve">" </w:instrText>
      </w:r>
      <w:r>
        <w:rPr>
          <w:rFonts w:cs="Guttman Drogolin"/>
          <w:rtl/>
          <w:lang w:bidi="he-IL"/>
        </w:rPr>
        <w:fldChar w:fldCharType="end"/>
      </w:r>
      <w:r w:rsidR="00934739" w:rsidRPr="00882F11">
        <w:rPr>
          <w:rFonts w:cs="Guttman Drogolin" w:hint="cs"/>
          <w:rtl/>
          <w:lang w:bidi="he-IL"/>
        </w:rPr>
        <w:t xml:space="preserve">כמו שהזכרנו, שיטת הט"ז שאם נפל הטיפה כנגד הרוטב שיש להתיר את הכלי ממנ"פ ומן הטעם שנתבאר לעיל. אבל הרמ"א בסע' ו' </w:t>
      </w:r>
      <w:r w:rsidR="00CF4FD8" w:rsidRPr="00882F11">
        <w:rPr>
          <w:rFonts w:cs="Guttman Drogolin" w:hint="cs"/>
          <w:rtl/>
          <w:lang w:bidi="he-IL"/>
        </w:rPr>
        <w:t>כתב שאם נפל הרבה חלב</w:t>
      </w:r>
      <w:r w:rsidR="00B662E2" w:rsidRPr="00882F11">
        <w:rPr>
          <w:rFonts w:cs="Guttman Drogolin" w:hint="cs"/>
          <w:rtl/>
          <w:lang w:bidi="he-IL"/>
        </w:rPr>
        <w:t xml:space="preserve"> כנגד האש באופן שאינו נשרף</w:t>
      </w:r>
      <w:r w:rsidR="00CF4FD8" w:rsidRPr="00882F11">
        <w:rPr>
          <w:rStyle w:val="FootnoteReference"/>
          <w:rFonts w:cs="Guttman Drogolin"/>
          <w:rtl/>
          <w:lang w:bidi="he-IL"/>
        </w:rPr>
        <w:footnoteReference w:id="269"/>
      </w:r>
      <w:r w:rsidR="00B662E2" w:rsidRPr="00882F11">
        <w:rPr>
          <w:rFonts w:cs="Guttman Drogolin" w:hint="cs"/>
          <w:rtl/>
          <w:lang w:bidi="he-IL"/>
        </w:rPr>
        <w:t xml:space="preserve"> </w:t>
      </w:r>
      <w:r w:rsidR="00B662E2" w:rsidRPr="00882F11">
        <w:rPr>
          <w:rFonts w:cs="Guttman Drogolin" w:hint="cs"/>
          <w:rtl/>
          <w:lang w:bidi="he-IL"/>
        </w:rPr>
        <w:lastRenderedPageBreak/>
        <w:t>(ולכן דינו כנפל הטיפה כנגד הרוטב ולא כנגד האש) הקדרה אסורה. וכן דקדק הט"ז בס"ק י"ז מאו"ה</w:t>
      </w:r>
      <w:r w:rsidR="00B662E2" w:rsidRPr="00882F11">
        <w:rPr>
          <w:rStyle w:val="FootnoteReference"/>
          <w:rFonts w:cs="Guttman Drogolin"/>
          <w:rtl/>
          <w:lang w:bidi="he-IL"/>
        </w:rPr>
        <w:footnoteReference w:id="270"/>
      </w:r>
      <w:r w:rsidR="00B662E2" w:rsidRPr="00882F11">
        <w:rPr>
          <w:rFonts w:cs="Guttman Drogolin" w:hint="cs"/>
          <w:rtl/>
          <w:lang w:bidi="he-IL"/>
        </w:rPr>
        <w:t>, רק שהביא מרש"ל שחלק וסבר שמדינא מותר רק שיש לאסור לכתחילה משום הרואים, והסכים עמו. והבאנו לעיל טעמו של הט"ז להקל משום שהטיפה או נתבטלה או אינו יוצא פעם שני. ויל"ע מהו טעמו של הרמ"א, ובפרט ע"פ דרכו של הב"י והש"ך בשיטת הסמ"ק, דהא לפי דרכם כאורה ג"כ צריך הקדירה להיות מותרת ממ"נ, אם מתפשט בכל הכלי הרי היא מותרת, ואם לא הא מתבטל בתבשיל, וא"כ למה יש לאסור הכלי. והתי' מבואר בש"ך ס"ק</w:t>
      </w:r>
      <w:r w:rsidR="001607DF" w:rsidRPr="00882F11">
        <w:rPr>
          <w:rFonts w:cs="Guttman Drogolin" w:hint="cs"/>
          <w:rtl/>
          <w:lang w:bidi="he-IL"/>
        </w:rPr>
        <w:t xml:space="preserve"> כ"ז, משום דחיישינן שלא נכנס הכל בפנים אלא נשאר משהו בדופן הקדרה. ולכאורה ר"ל שנחלקו הש"ך הט"ז בזה, שהט"ז סבר שכיון שלא התפשט הטיפה בבישול הראשון, שוב לא יתפשט גם בבישול השני, ולכן אין טעם להכשיר הכלי. אבל הש"ך סובר, שאפילו על הצד שלא התפשט הכל בפעם הראשון, יתכן שהחלק שלא התפשט יתפשט בבישול השני, ולכן צריכים להכשיר הקדרה קודם שמשתמשים בה פע</w:t>
      </w:r>
      <w:r w:rsidR="00791EC8" w:rsidRPr="00882F11">
        <w:rPr>
          <w:rFonts w:cs="Guttman Drogolin" w:hint="cs"/>
          <w:rtl/>
          <w:lang w:bidi="he-IL"/>
        </w:rPr>
        <w:t>ם</w:t>
      </w:r>
      <w:r w:rsidR="001607DF" w:rsidRPr="00882F11">
        <w:rPr>
          <w:rFonts w:cs="Guttman Drogolin" w:hint="cs"/>
          <w:rtl/>
          <w:lang w:bidi="he-IL"/>
        </w:rPr>
        <w:t xml:space="preserve"> שני.</w:t>
      </w:r>
    </w:p>
    <w:p w:rsidR="000B60D9" w:rsidRPr="00882F11" w:rsidRDefault="001607DF" w:rsidP="001607DF">
      <w:pPr>
        <w:tabs>
          <w:tab w:val="right" w:pos="7497"/>
        </w:tabs>
        <w:bidi/>
        <w:jc w:val="both"/>
        <w:rPr>
          <w:rFonts w:cs="Guttman Drogolin"/>
          <w:rtl/>
          <w:lang w:bidi="he-IL"/>
        </w:rPr>
      </w:pPr>
      <w:r w:rsidRPr="00882F11">
        <w:rPr>
          <w:rFonts w:cs="Guttman Drogolin" w:hint="cs"/>
          <w:rtl/>
          <w:lang w:bidi="he-IL"/>
        </w:rPr>
        <w:t>ולכאורה על דרך זה מתבארת עוד דין המוזכר ברמ"א שם, והוא שהחמיר לערות הכל</w:t>
      </w:r>
      <w:r w:rsidR="005E7EB7" w:rsidRPr="00882F11">
        <w:rPr>
          <w:rFonts w:cs="Guttman Drogolin" w:hint="cs"/>
          <w:rtl/>
          <w:lang w:bidi="he-IL"/>
        </w:rPr>
        <w:t xml:space="preserve"> </w:t>
      </w:r>
      <w:r w:rsidRPr="00882F11">
        <w:rPr>
          <w:rFonts w:cs="Guttman Drogolin" w:hint="cs"/>
          <w:rtl/>
          <w:lang w:bidi="he-IL"/>
        </w:rPr>
        <w:t>בצד האחר שלא כנגד הטיפה.</w:t>
      </w:r>
      <w:r w:rsidR="00577B4A" w:rsidRPr="00882F11">
        <w:rPr>
          <w:rFonts w:cs="Guttman Drogolin" w:hint="cs"/>
          <w:rtl/>
          <w:lang w:bidi="he-IL"/>
        </w:rPr>
        <w:t xml:space="preserve"> ולכאורה לפי שיטת הט"ז אין ענין לעשות כן, דהא ממנ"פ לא יאסר, שאם אינו מתפשט הא לא יאסר גם לאחר זמן כמו שאינו אוסר בבישול שני, ואם מתפשט הא נתבטלה. רק לפי דרכו של הש"ך וב"י </w:t>
      </w:r>
      <w:r w:rsidR="000B60D9" w:rsidRPr="00882F11">
        <w:rPr>
          <w:rFonts w:cs="Guttman Drogolin" w:hint="cs"/>
          <w:rtl/>
          <w:lang w:bidi="he-IL"/>
        </w:rPr>
        <w:t xml:space="preserve">כתב הש"ך בס"ק כ"ח הטעם דחיישינן שמא יפעפע יותר מכאן ואילך. ולכאורה זהו ע"פ דרכו שאע"פ שלא התפשט מעיקרא חיישינן יפעפע לאחר זמן. </w:t>
      </w:r>
    </w:p>
    <w:p w:rsidR="005D360F" w:rsidRPr="00882F11" w:rsidRDefault="005D360F" w:rsidP="00EA37CB">
      <w:pPr>
        <w:tabs>
          <w:tab w:val="right" w:pos="7497"/>
        </w:tabs>
        <w:bidi/>
        <w:jc w:val="both"/>
        <w:rPr>
          <w:rFonts w:cs="Guttman Drogolin"/>
          <w:rtl/>
          <w:lang w:bidi="he-IL"/>
        </w:rPr>
      </w:pPr>
      <w:r w:rsidRPr="00882F11">
        <w:rPr>
          <w:rFonts w:cs="Guttman Drogolin" w:hint="cs"/>
          <w:rtl/>
          <w:lang w:bidi="he-IL"/>
        </w:rPr>
        <w:t xml:space="preserve">ומלשון הש"ך בס"ק כ"ז מבואר שהכלי נאסר ונפק"מ לבישול שני "לכך אם בשל בקדרה תבשיל אחר דינו כמו בפעם הראשון וסגי בששים נגד הטפה אם נפלה כנגד כמו בפעם הראשון". ודקדק רע"א שמשמע שאם בפעם השני בישל למטה </w:t>
      </w:r>
      <w:r w:rsidRPr="00882F11">
        <w:rPr>
          <w:rFonts w:cs="Guttman Drogolin" w:hint="cs"/>
          <w:rtl/>
          <w:lang w:bidi="he-IL"/>
        </w:rPr>
        <w:lastRenderedPageBreak/>
        <w:t xml:space="preserve">ממקום הטיפה </w:t>
      </w:r>
      <w:r w:rsidR="00EA37CB" w:rsidRPr="00882F11">
        <w:rPr>
          <w:rFonts w:cs="Guttman Drogolin" w:hint="cs"/>
          <w:rtl/>
          <w:lang w:bidi="he-IL"/>
        </w:rPr>
        <w:t>היינו חוששים שהטיפה התפשט במקום הריקן וכל הכלי שלמעשה מן הרוטב נע"נ. באופן שהקשה רע"א דא"כ אם ינער את התבשיל הראשון כבר יש לומר שהכלי נע"נ כיון שאין בה תבשיל, וא"כ אפילו אם בבישול שני הטיפה כנגד הרוטב מ"מ יש לאסור כיון שהכלי נאסר בינתיים. ומ"מ הסיק</w:t>
      </w:r>
      <w:r w:rsidR="00C1112A" w:rsidRPr="00882F11">
        <w:rPr>
          <w:rFonts w:cs="Guttman Drogolin" w:hint="cs"/>
          <w:rtl/>
          <w:lang w:bidi="he-IL"/>
        </w:rPr>
        <w:t xml:space="preserve"> רע"א שלכאורה יש לאסור שאין הטיפ</w:t>
      </w:r>
      <w:r w:rsidR="00EA37CB" w:rsidRPr="00882F11">
        <w:rPr>
          <w:rFonts w:cs="Guttman Drogolin" w:hint="cs"/>
          <w:rtl/>
          <w:lang w:bidi="he-IL"/>
        </w:rPr>
        <w:t xml:space="preserve">ה מתפשטת כיון שאין רוטב ע"ש. ובחוו"ד ס"ק י"ד </w:t>
      </w:r>
      <w:r w:rsidR="00D3769E" w:rsidRPr="00882F11">
        <w:rPr>
          <w:rFonts w:cs="Guttman Drogolin" w:hint="cs"/>
          <w:rtl/>
          <w:lang w:bidi="he-IL"/>
        </w:rPr>
        <w:t>כתב לבאר שבנפל כנגד הריקן אינו כמו צלי ומשום דע"י הבישול שבקדרה מתפשט וכן יש שם הבל וזיעה. ולדבריו לכאורה י"ל שבזמן שאין תבשיל בתוכו הוי כבלי רוטב ואינו מתפשט</w:t>
      </w:r>
      <w:r w:rsidR="00DF0954" w:rsidRPr="00882F11">
        <w:rPr>
          <w:rFonts w:cs="Guttman Drogolin" w:hint="cs"/>
          <w:rtl/>
          <w:lang w:bidi="he-IL"/>
        </w:rPr>
        <w:t xml:space="preserve">, וא"כ לכאורה מיושב הערת רע"א. ורע"א עצמו לא התייחס בהדיא אם קושייתו על כל הענין של כנגד הרוטב או"ד רק בנידונו של הש"ך. וכל הענין עדיין צ"ע. </w:t>
      </w:r>
      <w:r w:rsidR="00EA37CB" w:rsidRPr="00882F11">
        <w:rPr>
          <w:rFonts w:cs="Guttman Drogolin" w:hint="cs"/>
          <w:rtl/>
          <w:lang w:bidi="he-IL"/>
        </w:rPr>
        <w:t xml:space="preserve"> </w:t>
      </w:r>
      <w:r w:rsidRPr="00882F11">
        <w:rPr>
          <w:rFonts w:cs="Guttman Drogolin" w:hint="cs"/>
          <w:rtl/>
          <w:lang w:bidi="he-IL"/>
        </w:rPr>
        <w:t xml:space="preserve">   </w:t>
      </w:r>
    </w:p>
    <w:p w:rsidR="000B60D9" w:rsidRPr="00882F11" w:rsidRDefault="000B60D9" w:rsidP="0078079C">
      <w:pPr>
        <w:pStyle w:val="Heading1"/>
        <w:bidi/>
        <w:spacing w:before="0" w:line="360" w:lineRule="auto"/>
        <w:jc w:val="center"/>
        <w:rPr>
          <w:rFonts w:cs="Guttman Drogolin"/>
          <w:color w:val="auto"/>
          <w:sz w:val="24"/>
          <w:szCs w:val="24"/>
          <w:u w:val="single"/>
          <w:rtl/>
          <w:lang w:bidi="he-IL"/>
        </w:rPr>
      </w:pPr>
      <w:bookmarkStart w:id="223" w:name="_Toc496175478"/>
      <w:r w:rsidRPr="00882F11">
        <w:rPr>
          <w:rFonts w:cs="Guttman Drogolin" w:hint="cs"/>
          <w:color w:val="auto"/>
          <w:sz w:val="24"/>
          <w:szCs w:val="24"/>
          <w:u w:val="single"/>
          <w:rtl/>
          <w:lang w:bidi="he-IL"/>
        </w:rPr>
        <w:t>הא דבעינן לנער לאידך גיסא</w:t>
      </w:r>
      <w:bookmarkEnd w:id="223"/>
    </w:p>
    <w:p w:rsidR="00B62D69" w:rsidRPr="00882F11" w:rsidRDefault="00B71530" w:rsidP="000B60D9">
      <w:pPr>
        <w:tabs>
          <w:tab w:val="right" w:pos="7497"/>
        </w:tabs>
        <w:bidi/>
        <w:jc w:val="both"/>
        <w:rPr>
          <w:rFonts w:cs="Guttman Drogolin"/>
          <w:rtl/>
          <w:lang w:bidi="he-IL"/>
        </w:rPr>
      </w:pPr>
      <w:r>
        <w:rPr>
          <w:rFonts w:cs="Guttman Drogolin"/>
          <w:rtl/>
          <w:lang w:bidi="he-IL"/>
        </w:rPr>
        <w:fldChar w:fldCharType="begin"/>
      </w:r>
      <w:r>
        <w:instrText xml:space="preserve"> XE "</w:instrText>
      </w:r>
      <w:r w:rsidRPr="008B0E33">
        <w:rPr>
          <w:rFonts w:hint="cs"/>
          <w:rtl/>
          <w:lang w:bidi="he-IL"/>
        </w:rPr>
        <w:instrText>טיפת חלב שנפלה על הקדרה</w:instrText>
      </w:r>
      <w:r w:rsidRPr="008B0E33">
        <w:rPr>
          <w:rtl/>
        </w:rPr>
        <w:instrText>:</w:instrText>
      </w:r>
      <w:r w:rsidRPr="008B0E33">
        <w:rPr>
          <w:rFonts w:hint="cs"/>
          <w:rtl/>
          <w:lang w:bidi="he-IL"/>
        </w:rPr>
        <w:instrText>באיזה ענין מותר לנער את הקדרה</w:instrText>
      </w:r>
      <w:r>
        <w:instrText xml:space="preserve">" </w:instrText>
      </w:r>
      <w:r>
        <w:rPr>
          <w:rFonts w:cs="Guttman Drogolin"/>
          <w:rtl/>
          <w:lang w:bidi="he-IL"/>
        </w:rPr>
        <w:fldChar w:fldCharType="end"/>
      </w:r>
      <w:r w:rsidR="000B60D9" w:rsidRPr="00882F11">
        <w:rPr>
          <w:rFonts w:cs="Guttman Drogolin" w:hint="cs"/>
          <w:rtl/>
          <w:lang w:bidi="he-IL"/>
        </w:rPr>
        <w:t>ולכאורה יל"ע הו הענין לנער לאידך גיסא. ולכאורה היינו משום שאם מנער לקראת הצד ששם נפל הטיפה יש לחשוש שיאסר ע"י זה. וע' בש"ך ס"ק כ"א שכתב לענין מש"כ השו"ע בסע' ו' שיניחנו עד שיצטנן, שגם לא תהא מערה אותו לאידך גיסא כיון דחיישינן דלמא ע"י זה שמנער ילך ל</w:t>
      </w:r>
      <w:r w:rsidR="00B62D69" w:rsidRPr="00882F11">
        <w:rPr>
          <w:rFonts w:cs="Guttman Drogolin" w:hint="cs"/>
          <w:rtl/>
          <w:lang w:bidi="he-IL"/>
        </w:rPr>
        <w:t>ת</w:t>
      </w:r>
      <w:r w:rsidR="000B60D9" w:rsidRPr="00882F11">
        <w:rPr>
          <w:rFonts w:cs="Guttman Drogolin" w:hint="cs"/>
          <w:rtl/>
          <w:lang w:bidi="he-IL"/>
        </w:rPr>
        <w:t xml:space="preserve">וך הצד שנאסר וממילא הכלי יאסר את התבשיל. </w:t>
      </w:r>
      <w:r w:rsidR="00B62D69" w:rsidRPr="00882F11">
        <w:rPr>
          <w:rFonts w:cs="Guttman Drogolin" w:hint="cs"/>
          <w:rtl/>
          <w:lang w:bidi="he-IL"/>
        </w:rPr>
        <w:t xml:space="preserve">ולכאורה צ"ע דכיון שנפל כנגד הריקן, למה לא נימא שהוא כבר התפשט גם לאידך גיסא ומשו"ה לא מהני זה שינער לאידך גיסא. ולכאורה י"ל שהש"ך מיירי בכה"ג דאילו הי' מתפשט לאידך גיסא ודאי איכא ס' כנגד הטיפה ולכן יש להתיר. אבל יש שלמדו בדעת הש"ך דאע"ג שמתפשט במקום הרוקן, הנ"מ למטה מן הטיפה אבל אינו מתפשט מסביב. ומ"מ יש אחרונים מפורשים שלמדו שהטיפה מתפשטת מסביב לקדרה ולכן אפילו אם ינערנו לאידך גיסא יש לחשוש שהריקן יאסור התבשיל. </w:t>
      </w:r>
    </w:p>
    <w:p w:rsidR="00B62D69" w:rsidRPr="00882F11" w:rsidRDefault="00B62D69" w:rsidP="0078079C">
      <w:pPr>
        <w:pStyle w:val="Heading1"/>
        <w:bidi/>
        <w:spacing w:before="0" w:line="360" w:lineRule="auto"/>
        <w:jc w:val="center"/>
        <w:rPr>
          <w:rFonts w:cs="Guttman Drogolin"/>
          <w:color w:val="auto"/>
          <w:sz w:val="24"/>
          <w:szCs w:val="24"/>
          <w:u w:val="single"/>
          <w:rtl/>
          <w:lang w:bidi="he-IL"/>
        </w:rPr>
      </w:pPr>
      <w:bookmarkStart w:id="224" w:name="_Toc496175479"/>
      <w:r w:rsidRPr="00882F11">
        <w:rPr>
          <w:rFonts w:cs="Guttman Drogolin" w:hint="cs"/>
          <w:color w:val="auto"/>
          <w:sz w:val="24"/>
          <w:szCs w:val="24"/>
          <w:u w:val="single"/>
          <w:rtl/>
          <w:lang w:bidi="he-IL"/>
        </w:rPr>
        <w:lastRenderedPageBreak/>
        <w:t>שיטת המחבר בסע' ז'</w:t>
      </w:r>
      <w:bookmarkEnd w:id="224"/>
    </w:p>
    <w:p w:rsidR="00F95666" w:rsidRPr="00882F11" w:rsidRDefault="00B71530" w:rsidP="00B62D69">
      <w:pPr>
        <w:tabs>
          <w:tab w:val="right" w:pos="7497"/>
        </w:tabs>
        <w:bidi/>
        <w:jc w:val="both"/>
        <w:rPr>
          <w:rFonts w:cs="Guttman Drogolin"/>
          <w:rtl/>
          <w:lang w:bidi="he-IL"/>
        </w:rPr>
      </w:pPr>
      <w:r>
        <w:rPr>
          <w:rFonts w:cs="Guttman Drogolin"/>
          <w:rtl/>
          <w:lang w:bidi="he-IL"/>
        </w:rPr>
        <w:fldChar w:fldCharType="begin"/>
      </w:r>
      <w:r>
        <w:instrText xml:space="preserve"> XE "</w:instrText>
      </w:r>
      <w:r w:rsidRPr="00E22896">
        <w:rPr>
          <w:rFonts w:hint="cs"/>
          <w:rtl/>
          <w:lang w:bidi="he-IL"/>
        </w:rPr>
        <w:instrText>טיפת חלב שנפלה על הקדרה</w:instrText>
      </w:r>
      <w:r w:rsidRPr="00E22896">
        <w:rPr>
          <w:rtl/>
        </w:rPr>
        <w:instrText>:</w:instrText>
      </w:r>
      <w:r w:rsidRPr="00E22896">
        <w:rPr>
          <w:rFonts w:hint="cs"/>
          <w:rtl/>
          <w:lang w:bidi="he-IL"/>
        </w:rPr>
        <w:instrText>שיטת המחבר</w:instrText>
      </w:r>
      <w:r>
        <w:instrText xml:space="preserve">" </w:instrText>
      </w:r>
      <w:r>
        <w:rPr>
          <w:rFonts w:cs="Guttman Drogolin"/>
          <w:rtl/>
          <w:lang w:bidi="he-IL"/>
        </w:rPr>
        <w:fldChar w:fldCharType="end"/>
      </w:r>
      <w:r w:rsidR="00B62D69" w:rsidRPr="00882F11">
        <w:rPr>
          <w:rFonts w:cs="Guttman Drogolin" w:hint="cs"/>
          <w:rtl/>
          <w:lang w:bidi="he-IL"/>
        </w:rPr>
        <w:t xml:space="preserve">כתב השו"ע בסע' ז' "יש מי שמתיר בשעת הדחק כגון בערב שבת אפי' שלא כנגד הרוטב אפילו שלא כנגד האש על ידי ששים". ונחלקו האחרונים בביאור שיטתו. דהנה השו"ע בסע' ו' הביא שנוהגים לאסור התבשיל אם נפל כנגד הריקן אפילו ולא מהני צינון. וטעם המנהג משום דאע"ג שאם לא ינענע אין הריקן יכול לאסור, מ"מ חיישינן שהי' קצת נינוע ונאסר. והש"ך בס"ק כ"ד הביא בשם הפוסקים דלא כמנהג זה ומתירים לכתחילה ע"י צינון. והט"ז בס"ק כ' הביא מפרישה להקל שאפילו לפי המנהג יוכל לנער לאידך גיסא. ומ"מ המחבר הביא המנהג להחמיר, ולכן י"ל שכוונת המחבר להקל בשעת הדחק שלא ע"י צינון. באופן </w:t>
      </w:r>
      <w:r w:rsidR="00F95666" w:rsidRPr="00882F11">
        <w:rPr>
          <w:rFonts w:cs="Guttman Drogolin" w:hint="cs"/>
          <w:rtl/>
          <w:lang w:bidi="he-IL"/>
        </w:rPr>
        <w:t xml:space="preserve">שלשיטת הש"ך עצמו אין הלכה זו לנוגע למעשה, שהרי הביא שגדולי הדור לא סבירא להו מנהג זה כלל. וכן לכאורה מבואר בנקוה"כ על ט"ז סי' צ"ח ס"ק ח', וכן העיר שם במש"ז. </w:t>
      </w:r>
    </w:p>
    <w:p w:rsidR="00F95666" w:rsidRPr="00882F11" w:rsidRDefault="00F95666" w:rsidP="00F95666">
      <w:pPr>
        <w:tabs>
          <w:tab w:val="right" w:pos="7497"/>
        </w:tabs>
        <w:bidi/>
        <w:jc w:val="both"/>
        <w:rPr>
          <w:rFonts w:cs="Guttman Drogolin"/>
          <w:rtl/>
          <w:lang w:bidi="he-IL"/>
        </w:rPr>
      </w:pPr>
      <w:r w:rsidRPr="00882F11">
        <w:rPr>
          <w:rFonts w:cs="Guttman Drogolin" w:hint="cs"/>
          <w:rtl/>
          <w:lang w:bidi="he-IL"/>
        </w:rPr>
        <w:t xml:space="preserve">והנה לפי פירוש זה מתברר לכאורה עוד חידוש. שהרי כנגד הריקן אמרנו שעכ"פ מעיקר הדין מהני צינון, אבל אינו מפורש שצריכים גם שיהא בתבשיל שלמטה ששים כנגד הטיפה. אבל לפי פירוש זה יוצא בדברי המחבר מפורש שגם למעלה מן הרוטב אינו מותר אפילו ע"י צינון אא"כ יש בתבשיל ששים כנגד הטיפה. ולכאורה הטעם בזה פשוט, דהא זה שאינו מתפשט אלא עד הרוטב אינו דבר מוכרח, דהא יתכן שמתפשט גם למטה מן הרוטב. רק טעם האוסרים משום שאם מתפשט למטה אין טעם לאסור כיון שיש ששים בתבשיל כנגד הטיפה, ולכן אין מקום להחמיר אא"כ לא התפשט עד התבשיל שלכן בכה"ג אמירנן חענ"ן בכלי. ומיני' דעכ"פ צריכים ששים בתבשיל כנגד הטיפה כדי להתיר אפילו ע"י צינון. ויש בזה קצת הערה שהשו"ע השמיט פרט זה בתנאי ההיתר כשנפל כנגד הריקן, אבל י"ל שהי' מובן מאליו כיון שהתחיל לבאר שאם הוא כנגד הרוטב הרי הוא מותר אם יש ששים בתבשיל, ועל זה קאי דינא דכנגד הריקן דאפילו כה"ג הריקן נע"נ. </w:t>
      </w:r>
    </w:p>
    <w:p w:rsidR="00DF0954" w:rsidRPr="00882F11" w:rsidRDefault="00F95666" w:rsidP="005D360F">
      <w:pPr>
        <w:tabs>
          <w:tab w:val="right" w:pos="7497"/>
        </w:tabs>
        <w:bidi/>
        <w:jc w:val="both"/>
        <w:rPr>
          <w:rFonts w:cs="Guttman Drogolin"/>
          <w:rtl/>
          <w:lang w:bidi="he-IL"/>
        </w:rPr>
      </w:pPr>
      <w:r w:rsidRPr="00882F11">
        <w:rPr>
          <w:rFonts w:cs="Guttman Drogolin" w:hint="cs"/>
          <w:rtl/>
          <w:lang w:bidi="he-IL"/>
        </w:rPr>
        <w:lastRenderedPageBreak/>
        <w:t>אבל בביאור הגר"א כאן (וכן לכאורה מבואר שם בט"ז) פירש שכוונת השו"ע להקל אפילו</w:t>
      </w:r>
      <w:r w:rsidR="002D6CF2" w:rsidRPr="00882F11">
        <w:rPr>
          <w:rFonts w:cs="Guttman Drogolin" w:hint="cs"/>
          <w:rtl/>
          <w:lang w:bidi="he-IL"/>
        </w:rPr>
        <w:t xml:space="preserve"> אם מנער כנגד הריקן בששים בתבשיל כנגד הטיפה ולאו דוקא כנגד החלק של הכלי דנע"נ. </w:t>
      </w:r>
      <w:r w:rsidR="005D360F" w:rsidRPr="00882F11">
        <w:rPr>
          <w:rFonts w:cs="Guttman Drogolin" w:hint="cs"/>
          <w:rtl/>
          <w:lang w:bidi="he-IL"/>
        </w:rPr>
        <w:t>והעם דמקילינן כשיטות הסוברות שאין חענ"ן בבלוע בכלי, כשיטת הראב"ן וכן הרמב"ן ורשב"א בדף צ"ז ע"ב. וע' ביד יהודה שנקט שאפשר להקל למעשה כשיטת הגר"א כיון שאפילו לפירוש הראשון דלית להו הא שאין חענ"ן בבלוע, מ"מ אין כאן אלא ספק דלמא התפשט ונע"נ.</w:t>
      </w:r>
    </w:p>
    <w:p w:rsidR="00DF0954" w:rsidRPr="00882F11" w:rsidRDefault="00DF0954" w:rsidP="0078079C">
      <w:pPr>
        <w:pStyle w:val="Heading1"/>
        <w:bidi/>
        <w:spacing w:before="0" w:line="360" w:lineRule="auto"/>
        <w:jc w:val="center"/>
        <w:rPr>
          <w:rFonts w:cs="Guttman Drogolin"/>
          <w:color w:val="auto"/>
          <w:sz w:val="24"/>
          <w:szCs w:val="24"/>
          <w:u w:val="single"/>
          <w:rtl/>
          <w:lang w:bidi="he-IL"/>
        </w:rPr>
      </w:pPr>
      <w:bookmarkStart w:id="225" w:name="_Toc496175480"/>
      <w:r w:rsidRPr="00882F11">
        <w:rPr>
          <w:rFonts w:cs="Guttman Drogolin" w:hint="cs"/>
          <w:color w:val="auto"/>
          <w:sz w:val="24"/>
          <w:szCs w:val="24"/>
          <w:u w:val="single"/>
          <w:rtl/>
          <w:lang w:bidi="he-IL"/>
        </w:rPr>
        <w:t>נפל הטיפה ע"ג הכיסוי</w:t>
      </w:r>
      <w:bookmarkEnd w:id="225"/>
    </w:p>
    <w:p w:rsidR="00394DF1" w:rsidRPr="00882F11" w:rsidRDefault="00B71530" w:rsidP="00791EC8">
      <w:pPr>
        <w:tabs>
          <w:tab w:val="right" w:pos="7497"/>
        </w:tabs>
        <w:bidi/>
        <w:jc w:val="both"/>
        <w:rPr>
          <w:rFonts w:cs="Guttman Drogolin"/>
          <w:rtl/>
          <w:lang w:bidi="he-IL"/>
        </w:rPr>
      </w:pPr>
      <w:r>
        <w:rPr>
          <w:rFonts w:cs="Guttman Drogolin"/>
          <w:rtl/>
          <w:lang w:bidi="he-IL"/>
        </w:rPr>
        <w:fldChar w:fldCharType="begin"/>
      </w:r>
      <w:r>
        <w:instrText xml:space="preserve"> XE "</w:instrText>
      </w:r>
      <w:r w:rsidRPr="00A70D74">
        <w:rPr>
          <w:rFonts w:hint="cs"/>
          <w:rtl/>
          <w:lang w:bidi="he-IL"/>
        </w:rPr>
        <w:instrText>טיפת חלב שנפלה על הקדרה</w:instrText>
      </w:r>
      <w:r w:rsidRPr="00A70D74">
        <w:rPr>
          <w:rtl/>
        </w:rPr>
        <w:instrText>:</w:instrText>
      </w:r>
      <w:r w:rsidRPr="00A70D74">
        <w:rPr>
          <w:rFonts w:hint="cs"/>
          <w:rtl/>
          <w:lang w:bidi="he-IL"/>
        </w:rPr>
        <w:instrText>כשנפל הטיפה ע</w:instrText>
      </w:r>
      <w:r>
        <w:rPr>
          <w:rFonts w:eastAsiaTheme="minorEastAsia"/>
          <w:lang w:bidi="he-IL"/>
        </w:rPr>
        <w:instrText>\</w:instrText>
      </w:r>
      <w:r w:rsidRPr="00A70D74">
        <w:rPr>
          <w:rFonts w:hint="cs"/>
          <w:rtl/>
          <w:lang w:bidi="he-IL"/>
        </w:rPr>
        <w:instrText>"ג כיסוי הקדרה</w:instrText>
      </w:r>
      <w:r>
        <w:instrText xml:space="preserve">" </w:instrText>
      </w:r>
      <w:r>
        <w:rPr>
          <w:rFonts w:cs="Guttman Drogolin"/>
          <w:rtl/>
          <w:lang w:bidi="he-IL"/>
        </w:rPr>
        <w:fldChar w:fldCharType="end"/>
      </w:r>
      <w:r w:rsidR="00DF0954" w:rsidRPr="00882F11">
        <w:rPr>
          <w:rFonts w:cs="Guttman Drogolin" w:hint="cs"/>
          <w:rtl/>
          <w:lang w:bidi="he-IL"/>
        </w:rPr>
        <w:t xml:space="preserve">הרמ"א בסוף הסעיף כתב </w:t>
      </w:r>
      <w:r w:rsidR="00394DF1" w:rsidRPr="00882F11">
        <w:rPr>
          <w:rFonts w:cs="Guttman Drogolin" w:hint="cs"/>
          <w:rtl/>
          <w:lang w:bidi="he-IL"/>
        </w:rPr>
        <w:t>שאם נפל הטיפה ע"ג כיסוי הקדרה הרי זה כנפל כנגד הרוטב ולכן אם יש ששים כנגד הטיפה מותר. והטעם משום שהזיעה עולה עד לכיסוי ולכן כל התבשיל מתערב עם הכיסוי, וע"ש שהנ"מ בהתחיל להרתיח, ובנו"כ ביארו, שאם לא התחיל להרתיח פשיטא שמותר, דאם ליכא רתיחות איך יאסור הכיסוי את התבשיל, הא הוו ב' כלים שאינם אוסרים זא"ז בלי רוטב. והט"ז (ס"ק כ"ח) מביא ממהרש"ל שאע"פ שיש זיעה ויכול הכיסוי לאסור את התבשיל, אין כל התבשיל מצטרף אליו לבטלו, דחיישינן דלמא כשנפל הטיפה לא עלתה הרתיחה עד לכיסוי ממש, והסכים עמו הט"ז. ולכאורה הדבר צ"ע, שהרי הגר"א הביא ראי'' לדינו של הרמ"א מהא דניער וכיסה שבדף ק"ח ע"ב, והרי שם מבואר שאם יש טיפת חלב שנפל ע"ג חתיכה באופן שאין התבשיל מצטרף לבטלו, שאם מכסה הקדרה הכל</w:t>
      </w:r>
      <w:r w:rsidR="00791EC8" w:rsidRPr="00882F11">
        <w:rPr>
          <w:rFonts w:cs="Guttman Drogolin" w:hint="cs"/>
          <w:rtl/>
          <w:lang w:bidi="he-IL"/>
        </w:rPr>
        <w:t xml:space="preserve"> מתערב לבטלו, וא"כ מאי שנא החתי</w:t>
      </w:r>
      <w:r w:rsidR="00394DF1" w:rsidRPr="00882F11">
        <w:rPr>
          <w:rFonts w:cs="Guttman Drogolin" w:hint="cs"/>
          <w:rtl/>
          <w:lang w:bidi="he-IL"/>
        </w:rPr>
        <w:t>כה ההיא מן הכיסוי של הקדרה. ו</w:t>
      </w:r>
      <w:r w:rsidR="00160265" w:rsidRPr="00882F11">
        <w:rPr>
          <w:rFonts w:cs="Guttman Drogolin" w:hint="cs"/>
          <w:rtl/>
          <w:lang w:bidi="he-IL"/>
        </w:rPr>
        <w:t>ע' מש"כ בזה החוו"ד</w:t>
      </w:r>
      <w:r w:rsidR="00394DF1" w:rsidRPr="00882F11">
        <w:rPr>
          <w:rFonts w:cs="Guttman Drogolin" w:hint="cs"/>
          <w:rtl/>
          <w:lang w:bidi="he-IL"/>
        </w:rPr>
        <w:t xml:space="preserve">. </w:t>
      </w:r>
    </w:p>
    <w:p w:rsidR="00160265" w:rsidRPr="00882F11" w:rsidRDefault="00394DF1" w:rsidP="00160265">
      <w:pPr>
        <w:tabs>
          <w:tab w:val="right" w:pos="7497"/>
        </w:tabs>
        <w:bidi/>
        <w:jc w:val="both"/>
        <w:rPr>
          <w:rFonts w:cs="Guttman Drogolin"/>
          <w:rtl/>
          <w:lang w:bidi="he-IL"/>
        </w:rPr>
      </w:pPr>
      <w:r w:rsidRPr="00882F11">
        <w:rPr>
          <w:rFonts w:cs="Guttman Drogolin" w:hint="cs"/>
          <w:rtl/>
          <w:lang w:bidi="he-IL"/>
        </w:rPr>
        <w:t>והט"ז כתב הטעם להחמיר בזה משום דספיקא דאורייתא לחומרא, והעירו ה</w:t>
      </w:r>
      <w:r w:rsidR="00160265" w:rsidRPr="00882F11">
        <w:rPr>
          <w:rFonts w:cs="Guttman Drogolin" w:hint="cs"/>
          <w:rtl/>
          <w:lang w:bidi="he-IL"/>
        </w:rPr>
        <w:t xml:space="preserve">פמ"ג וחוו"ד דלכאורה אם הקדרה היא קדרה של בשר עם אותו טעם של הבליעות שבכיסוי אין כאן איסור דאורייתא, שהא אפילו אם הבליעות נע"נ הא הוו מין במינו שמדאורייתא בטל ברובא. ולכן צ"ע דמיירי בכה"ג שיש תבשיל בקדרה שאינו אותו טעם של בליעות הבשר שבכיסוי, ולכן הוי איסור דאורייתא. </w:t>
      </w:r>
    </w:p>
    <w:p w:rsidR="00A0502E" w:rsidRPr="00882F11" w:rsidRDefault="00160265" w:rsidP="005E5009">
      <w:pPr>
        <w:tabs>
          <w:tab w:val="right" w:pos="7497"/>
        </w:tabs>
        <w:bidi/>
        <w:jc w:val="both"/>
        <w:rPr>
          <w:rFonts w:cs="Guttman Drogolin"/>
          <w:rtl/>
          <w:lang w:bidi="he-IL"/>
        </w:rPr>
      </w:pPr>
      <w:r w:rsidRPr="00882F11">
        <w:rPr>
          <w:rFonts w:cs="Guttman Drogolin" w:hint="cs"/>
          <w:rtl/>
          <w:lang w:bidi="he-IL"/>
        </w:rPr>
        <w:lastRenderedPageBreak/>
        <w:t xml:space="preserve">עוד לכאורה חזינן </w:t>
      </w:r>
      <w:r w:rsidR="005E5009" w:rsidRPr="00882F11">
        <w:rPr>
          <w:rFonts w:cs="Guttman Drogolin" w:hint="cs"/>
          <w:rtl/>
          <w:lang w:bidi="he-IL"/>
        </w:rPr>
        <w:t>לדעתי' דט"ז שבלוע בכלי חשוב דרך בישול</w:t>
      </w:r>
      <w:r w:rsidR="00486C09" w:rsidRPr="00882F11">
        <w:rPr>
          <w:rFonts w:cs="Guttman Drogolin" w:hint="cs"/>
          <w:rtl/>
          <w:lang w:bidi="he-IL"/>
        </w:rPr>
        <w:t xml:space="preserve"> ואוסרים מדאורייתא.</w:t>
      </w:r>
      <w:r w:rsidR="005E5009" w:rsidRPr="00882F11">
        <w:rPr>
          <w:rFonts w:cs="Guttman Drogolin" w:hint="cs"/>
          <w:rtl/>
          <w:lang w:bidi="he-IL"/>
        </w:rPr>
        <w:t xml:space="preserve"> </w:t>
      </w:r>
      <w:r w:rsidRPr="00882F11">
        <w:rPr>
          <w:rFonts w:cs="Guttman Drogolin" w:hint="cs"/>
          <w:rtl/>
          <w:lang w:bidi="he-IL"/>
        </w:rPr>
        <w:t xml:space="preserve"> </w:t>
      </w:r>
      <w:r w:rsidR="00394DF1" w:rsidRPr="00882F11">
        <w:rPr>
          <w:rFonts w:cs="Guttman Drogolin" w:hint="cs"/>
          <w:rtl/>
          <w:lang w:bidi="he-IL"/>
        </w:rPr>
        <w:t xml:space="preserve"> </w:t>
      </w:r>
      <w:r w:rsidR="005D360F" w:rsidRPr="00882F11">
        <w:rPr>
          <w:rFonts w:cs="Guttman Drogolin" w:hint="cs"/>
          <w:rtl/>
          <w:lang w:bidi="he-IL"/>
        </w:rPr>
        <w:t xml:space="preserve">  </w:t>
      </w:r>
      <w:r w:rsidR="00B62D69" w:rsidRPr="00882F11">
        <w:rPr>
          <w:rFonts w:cs="Guttman Drogolin" w:hint="cs"/>
          <w:rtl/>
          <w:lang w:bidi="he-IL"/>
        </w:rPr>
        <w:t xml:space="preserve"> </w:t>
      </w:r>
      <w:r w:rsidR="00B662E2" w:rsidRPr="00882F11">
        <w:rPr>
          <w:rFonts w:cs="Guttman Drogolin" w:hint="cs"/>
          <w:rtl/>
          <w:lang w:bidi="he-IL"/>
        </w:rPr>
        <w:t xml:space="preserve"> </w:t>
      </w:r>
      <w:r w:rsidR="002C085A" w:rsidRPr="00882F11">
        <w:rPr>
          <w:rFonts w:cs="Guttman Drogolin" w:hint="cs"/>
          <w:rtl/>
          <w:lang w:bidi="he-IL"/>
        </w:rPr>
        <w:t xml:space="preserve">  </w:t>
      </w:r>
      <w:r w:rsidR="00B0508C" w:rsidRPr="00882F11">
        <w:rPr>
          <w:rFonts w:cs="Guttman Drogolin" w:hint="cs"/>
          <w:rtl/>
          <w:lang w:bidi="he-IL"/>
        </w:rPr>
        <w:t xml:space="preserve">  </w:t>
      </w:r>
    </w:p>
    <w:p w:rsidR="00A0502E" w:rsidRPr="00882F11" w:rsidRDefault="00A0502E" w:rsidP="00A0502E">
      <w:pPr>
        <w:tabs>
          <w:tab w:val="right" w:pos="7497"/>
        </w:tabs>
        <w:bidi/>
        <w:jc w:val="both"/>
        <w:rPr>
          <w:rFonts w:cs="Guttman Drogolin"/>
          <w:rtl/>
          <w:lang w:bidi="he-IL"/>
        </w:rPr>
        <w:sectPr w:rsidR="00A0502E" w:rsidRPr="00882F11" w:rsidSect="00DA1D59">
          <w:type w:val="continuous"/>
          <w:pgSz w:w="11907" w:h="16839" w:code="9"/>
          <w:pgMar w:top="1440" w:right="1440" w:bottom="1440" w:left="1440" w:header="720" w:footer="720" w:gutter="0"/>
          <w:cols w:num="2" w:space="720"/>
          <w:bidi/>
          <w:docGrid w:linePitch="360"/>
        </w:sectPr>
      </w:pPr>
    </w:p>
    <w:p w:rsidR="00A0502E" w:rsidRPr="00882F11" w:rsidRDefault="00A0502E" w:rsidP="00A0502E">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נ"ט</w:t>
      </w:r>
    </w:p>
    <w:p w:rsidR="00DA1D59" w:rsidRDefault="00DA1D59" w:rsidP="0078079C">
      <w:pPr>
        <w:pStyle w:val="Heading1"/>
        <w:bidi/>
        <w:spacing w:before="0" w:line="360" w:lineRule="auto"/>
        <w:jc w:val="center"/>
        <w:rPr>
          <w:rFonts w:cs="Guttman Drogolin"/>
          <w:color w:val="auto"/>
          <w:sz w:val="24"/>
          <w:szCs w:val="24"/>
          <w:u w:val="single"/>
          <w:rtl/>
          <w:lang w:bidi="he-IL"/>
        </w:rPr>
        <w:sectPr w:rsidR="00DA1D59" w:rsidSect="00DA1D59">
          <w:headerReference w:type="default" r:id="rId46"/>
          <w:pgSz w:w="11907" w:h="16839" w:code="9"/>
          <w:pgMar w:top="1440" w:right="1440" w:bottom="1440" w:left="1440" w:header="720" w:footer="720" w:gutter="0"/>
          <w:cols w:space="720"/>
          <w:bidi/>
          <w:docGrid w:linePitch="360"/>
        </w:sectPr>
      </w:pPr>
    </w:p>
    <w:p w:rsidR="00A0502E" w:rsidRPr="00882F11" w:rsidRDefault="00D01F86" w:rsidP="0078079C">
      <w:pPr>
        <w:pStyle w:val="Heading1"/>
        <w:bidi/>
        <w:spacing w:before="0" w:line="360" w:lineRule="auto"/>
        <w:jc w:val="center"/>
        <w:rPr>
          <w:rFonts w:cs="Guttman Drogolin"/>
          <w:color w:val="auto"/>
          <w:sz w:val="24"/>
          <w:szCs w:val="24"/>
          <w:u w:val="single"/>
          <w:rtl/>
          <w:lang w:bidi="he-IL"/>
        </w:rPr>
      </w:pPr>
      <w:bookmarkStart w:id="226" w:name="_Toc496175481"/>
      <w:r w:rsidRPr="00882F11">
        <w:rPr>
          <w:rFonts w:cs="Guttman Drogolin" w:hint="cs"/>
          <w:color w:val="auto"/>
          <w:sz w:val="24"/>
          <w:szCs w:val="24"/>
          <w:u w:val="single"/>
          <w:rtl/>
          <w:lang w:bidi="he-IL"/>
        </w:rPr>
        <w:lastRenderedPageBreak/>
        <w:t>טיפה הנופלת על הריקן בקדרה מכוסה</w:t>
      </w:r>
      <w:bookmarkEnd w:id="226"/>
    </w:p>
    <w:p w:rsidR="00413668" w:rsidRPr="00882F11" w:rsidRDefault="00B71530" w:rsidP="00D01F86">
      <w:pPr>
        <w:tabs>
          <w:tab w:val="right" w:pos="7497"/>
        </w:tabs>
        <w:bidi/>
        <w:jc w:val="both"/>
        <w:rPr>
          <w:rFonts w:cs="Guttman Drogolin"/>
          <w:rtl/>
          <w:lang w:bidi="he-IL"/>
        </w:rPr>
      </w:pPr>
      <w:r>
        <w:rPr>
          <w:rFonts w:cs="Guttman Drogolin"/>
          <w:rtl/>
          <w:lang w:bidi="he-IL"/>
        </w:rPr>
        <w:fldChar w:fldCharType="begin"/>
      </w:r>
      <w:r>
        <w:instrText xml:space="preserve"> XE "</w:instrText>
      </w:r>
      <w:r w:rsidRPr="008146D2">
        <w:rPr>
          <w:rFonts w:hint="cs"/>
          <w:rtl/>
          <w:lang w:bidi="he-IL"/>
        </w:rPr>
        <w:instrText>טיפת חלב שנפלה על הקדרה</w:instrText>
      </w:r>
      <w:r w:rsidRPr="008146D2">
        <w:rPr>
          <w:rtl/>
        </w:rPr>
        <w:instrText>:</w:instrText>
      </w:r>
      <w:r w:rsidRPr="008146D2">
        <w:rPr>
          <w:rFonts w:hint="cs"/>
          <w:rtl/>
          <w:lang w:bidi="he-IL"/>
        </w:rPr>
        <w:instrText>כשנפל כנגד הריקן בקדרה מכוסה</w:instrText>
      </w:r>
      <w:r>
        <w:instrText xml:space="preserve">" </w:instrText>
      </w:r>
      <w:r>
        <w:rPr>
          <w:rFonts w:cs="Guttman Drogolin"/>
          <w:rtl/>
          <w:lang w:bidi="he-IL"/>
        </w:rPr>
        <w:fldChar w:fldCharType="end"/>
      </w:r>
      <w:r w:rsidR="00A0502E" w:rsidRPr="00882F11">
        <w:rPr>
          <w:rFonts w:cs="Guttman Drogolin" w:hint="cs"/>
          <w:rtl/>
          <w:lang w:bidi="he-IL"/>
        </w:rPr>
        <w:t xml:space="preserve">בשיעור הקודם הבאנו </w:t>
      </w:r>
      <w:r w:rsidR="00D01F86" w:rsidRPr="00882F11">
        <w:rPr>
          <w:rFonts w:cs="Guttman Drogolin" w:hint="cs"/>
          <w:rtl/>
          <w:lang w:bidi="he-IL"/>
        </w:rPr>
        <w:t xml:space="preserve">מש"כ הרמ"א שאם נפל הטיפת חלב ע"ג כיסוי הקדרה הרי זה כנפל כנגד הרוטב ולכן איין צריכים אלא ששים כנגד הטיפה. והעיר הפר"ח </w:t>
      </w:r>
      <w:r w:rsidR="00413668" w:rsidRPr="00882F11">
        <w:rPr>
          <w:rFonts w:cs="Guttman Drogolin" w:hint="cs"/>
          <w:rtl/>
          <w:lang w:bidi="he-IL"/>
        </w:rPr>
        <w:t xml:space="preserve">(ס"ק כ"ג) </w:t>
      </w:r>
      <w:r w:rsidR="00D01F86" w:rsidRPr="00882F11">
        <w:rPr>
          <w:rFonts w:cs="Guttman Drogolin" w:hint="cs"/>
          <w:rtl/>
          <w:lang w:bidi="he-IL"/>
        </w:rPr>
        <w:t>שלכאורה לא זו בלבד שאם נפלה ע"ג הכיסוי עצמה הרי הוא חשוב ככנגד הרוטב, אלא גם אם נפל כנגד הריקן ג"כ חשוב כנגד הרוטב אם הקדרה מכוסה. וטעמו פשוט, דכיון שעולה הזיעה עד לכיסוי עצמה חזינן שכל הקדרה נחשב כאילו מלא הרוטב, ולכן אין כאן כנגד הריקן כלל. וע' ביאור הגר"א ס"ק כ"ט</w:t>
      </w:r>
      <w:r w:rsidR="00724B87" w:rsidRPr="00882F11">
        <w:rPr>
          <w:rFonts w:cs="Guttman Drogolin" w:hint="cs"/>
          <w:rtl/>
          <w:lang w:bidi="he-IL"/>
        </w:rPr>
        <w:t xml:space="preserve"> </w:t>
      </w:r>
      <w:r w:rsidR="00D01F86" w:rsidRPr="00882F11">
        <w:rPr>
          <w:rFonts w:cs="Guttman Drogolin" w:hint="cs"/>
          <w:rtl/>
          <w:lang w:bidi="he-IL"/>
        </w:rPr>
        <w:t>שג"כ הביא דברי הפר"ח לדינא.</w:t>
      </w:r>
    </w:p>
    <w:p w:rsidR="001042AE" w:rsidRPr="00882F11" w:rsidRDefault="00413668" w:rsidP="008D03CD">
      <w:pPr>
        <w:tabs>
          <w:tab w:val="right" w:pos="7497"/>
        </w:tabs>
        <w:bidi/>
        <w:jc w:val="both"/>
        <w:rPr>
          <w:rFonts w:cs="Guttman Drogolin"/>
          <w:rtl/>
          <w:lang w:bidi="he-IL"/>
        </w:rPr>
      </w:pPr>
      <w:r w:rsidRPr="00882F11">
        <w:rPr>
          <w:rFonts w:cs="Guttman Drogolin" w:hint="cs"/>
          <w:rtl/>
          <w:lang w:bidi="he-IL"/>
        </w:rPr>
        <w:t>והנה לכאורה יש העיר שהרי לשון הרמ"א "טיפה הנופלת על גבי כיסוי קדירה</w:t>
      </w:r>
      <w:r w:rsidR="00D01F86" w:rsidRPr="00882F11">
        <w:rPr>
          <w:rFonts w:cs="Guttman Drogolin" w:hint="cs"/>
          <w:rtl/>
          <w:lang w:bidi="he-IL"/>
        </w:rPr>
        <w:t xml:space="preserve"> </w:t>
      </w:r>
      <w:r w:rsidRPr="00882F11">
        <w:rPr>
          <w:rFonts w:cs="Guttman Drogolin" w:hint="cs"/>
          <w:rtl/>
          <w:lang w:bidi="he-IL"/>
        </w:rPr>
        <w:t xml:space="preserve">דינה כנפלה וכו'", ולכאורה לדברי הפר"ח הי' עדיף לרמ"א לכתוב 'טיפה הנופלת ע"ג קדרה מכוסה' שהרי לפי הנ"ל כל שהקדירה מכוסה דינו ככנגד הרוטב, ולכן למה נקט הרמ"א שדוקא שנפל ע"ג הכיסוי. ולולא דברי האחרונים הנ"ל הי' אפשר לומר דהנה הבאנו בשיעור הקודם שהרש"ל והט"ז חולקים על הרמ"א וסוברים שאי אפשר לסמוך </w:t>
      </w:r>
      <w:r w:rsidR="008D03CD" w:rsidRPr="00882F11">
        <w:rPr>
          <w:rFonts w:cs="Guttman Drogolin" w:hint="cs"/>
          <w:rtl/>
          <w:lang w:bidi="he-IL"/>
        </w:rPr>
        <w:t xml:space="preserve">על הזיעה כדי לצרף את כל התבשיל. ואע"ג ששאר האחרונים חולקים על זה, מ"מ י"ל </w:t>
      </w:r>
      <w:r w:rsidRPr="00882F11">
        <w:rPr>
          <w:rFonts w:cs="Guttman Drogolin" w:hint="cs"/>
          <w:rtl/>
          <w:lang w:bidi="he-IL"/>
        </w:rPr>
        <w:t>דעד כאן לא אמרינן שהזיעה מצרפת את כל התבשיל אלא בזיעה העולה ל</w:t>
      </w:r>
      <w:r w:rsidR="008D03CD" w:rsidRPr="00882F11">
        <w:rPr>
          <w:rFonts w:cs="Guttman Drogolin" w:hint="cs"/>
          <w:rtl/>
          <w:lang w:bidi="he-IL"/>
        </w:rPr>
        <w:t>מ</w:t>
      </w:r>
      <w:r w:rsidRPr="00882F11">
        <w:rPr>
          <w:rFonts w:cs="Guttman Drogolin" w:hint="cs"/>
          <w:rtl/>
          <w:lang w:bidi="he-IL"/>
        </w:rPr>
        <w:t>עלה, שרק בזיעה כזו יש כח להשפיע ולהטעים</w:t>
      </w:r>
      <w:r w:rsidR="008D03CD" w:rsidRPr="00882F11">
        <w:rPr>
          <w:rFonts w:cs="Guttman Drogolin" w:hint="cs"/>
          <w:rtl/>
          <w:lang w:bidi="he-IL"/>
        </w:rPr>
        <w:t xml:space="preserve">, אבל זיעה שהולך לצדדים, אפילו אם יש לו כח לאסור כיון שנגע בדפנות הכלי כשהם חמים, מ"מ אי אפשר לצרף את כל התבשיל לבטל הטיפה. </w:t>
      </w:r>
      <w:r w:rsidR="001042AE" w:rsidRPr="00882F11">
        <w:rPr>
          <w:rFonts w:cs="Guttman Drogolin" w:hint="cs"/>
          <w:rtl/>
          <w:lang w:bidi="he-IL"/>
        </w:rPr>
        <w:t>ואם כנים הדברים שפיר נקט הרמ"א שנפל ע"ג הכיסוי דוקא.</w:t>
      </w:r>
    </w:p>
    <w:p w:rsidR="00564024" w:rsidRPr="00882F11" w:rsidRDefault="00564024" w:rsidP="0078079C">
      <w:pPr>
        <w:pStyle w:val="Heading1"/>
        <w:bidi/>
        <w:spacing w:before="0" w:line="360" w:lineRule="auto"/>
        <w:jc w:val="center"/>
        <w:rPr>
          <w:rFonts w:cs="Guttman Drogolin"/>
          <w:color w:val="auto"/>
          <w:sz w:val="24"/>
          <w:szCs w:val="24"/>
          <w:u w:val="single"/>
          <w:rtl/>
          <w:lang w:bidi="he-IL"/>
        </w:rPr>
      </w:pPr>
      <w:bookmarkStart w:id="227" w:name="_Toc496175482"/>
      <w:r w:rsidRPr="00882F11">
        <w:rPr>
          <w:rFonts w:cs="Guttman Drogolin" w:hint="cs"/>
          <w:color w:val="auto"/>
          <w:sz w:val="24"/>
          <w:szCs w:val="24"/>
          <w:u w:val="single"/>
          <w:rtl/>
          <w:lang w:bidi="he-IL"/>
        </w:rPr>
        <w:t>זיעה ההולכת לצדדין</w:t>
      </w:r>
      <w:bookmarkEnd w:id="227"/>
    </w:p>
    <w:p w:rsidR="00B961B6" w:rsidRPr="00882F11" w:rsidRDefault="008F16ED" w:rsidP="00564024">
      <w:pPr>
        <w:tabs>
          <w:tab w:val="right" w:pos="7497"/>
        </w:tabs>
        <w:bidi/>
        <w:jc w:val="both"/>
        <w:rPr>
          <w:rFonts w:cs="Guttman Drogolin"/>
          <w:rtl/>
          <w:lang w:bidi="he-IL"/>
        </w:rPr>
      </w:pPr>
      <w:r>
        <w:rPr>
          <w:rFonts w:cs="Guttman Drogolin"/>
          <w:rtl/>
          <w:lang w:bidi="he-IL"/>
        </w:rPr>
        <w:fldChar w:fldCharType="begin"/>
      </w:r>
      <w:r>
        <w:instrText xml:space="preserve"> XE "</w:instrText>
      </w:r>
      <w:r w:rsidRPr="00926025">
        <w:rPr>
          <w:rFonts w:hint="cs"/>
          <w:rtl/>
          <w:lang w:bidi="he-IL"/>
        </w:rPr>
        <w:instrText>זיעה</w:instrText>
      </w:r>
      <w:r w:rsidRPr="00926025">
        <w:rPr>
          <w:rtl/>
        </w:rPr>
        <w:instrText>:</w:instrText>
      </w:r>
      <w:r w:rsidRPr="00926025">
        <w:rPr>
          <w:rFonts w:hint="cs"/>
          <w:rtl/>
          <w:lang w:bidi="he-IL"/>
        </w:rPr>
        <w:instrText>ההולכת לצדדין</w:instrText>
      </w:r>
      <w:r>
        <w:instrText xml:space="preserve">" </w:instrText>
      </w:r>
      <w:r>
        <w:rPr>
          <w:rFonts w:cs="Guttman Drogolin"/>
          <w:rtl/>
          <w:lang w:bidi="he-IL"/>
        </w:rPr>
        <w:fldChar w:fldCharType="end"/>
      </w:r>
      <w:r w:rsidR="00564024" w:rsidRPr="00882F11">
        <w:rPr>
          <w:rFonts w:cs="Guttman Drogolin" w:hint="cs"/>
          <w:rtl/>
          <w:lang w:bidi="he-IL"/>
        </w:rPr>
        <w:t xml:space="preserve">ובעיקר הענין של זיעה שהולכת לצדדין, מצאתי בס' עצי העלה כאן (ס"ק ב') שכתב שאין לו כח לאסור. ע"ש שדקדק כן מדברי מרמ"א בסע' ח' שכתב "וכל זה מיירי שהמחבת מגולה והזיעה עולה מן המאכל עצמו וכו'", דלמה הי' צריך לומר </w:t>
      </w:r>
      <w:r w:rsidR="00564024" w:rsidRPr="00882F11">
        <w:rPr>
          <w:rFonts w:cs="Guttman Drogolin" w:hint="cs"/>
          <w:rtl/>
          <w:lang w:bidi="he-IL"/>
        </w:rPr>
        <w:lastRenderedPageBreak/>
        <w:t xml:space="preserve">שהמחבת מגולה, דיינו בזה שהזיעה עולה בכל אופן שיעלה. וע"כ ביאר שבאמת אין הזיעה אוסר אא"כ הקדירה מגולה, ואם יעלה זיעה מקדירה מכוסה אינו אוסר. </w:t>
      </w:r>
      <w:r w:rsidR="001E7C83" w:rsidRPr="00882F11">
        <w:rPr>
          <w:rFonts w:cs="Guttman Drogolin" w:hint="cs"/>
          <w:rtl/>
          <w:lang w:bidi="he-IL"/>
        </w:rPr>
        <w:t xml:space="preserve">וע"ש שרצה לדקדק כדבריו מדברי המש"ז בס"ק כ"ט. </w:t>
      </w:r>
      <w:r w:rsidR="00564024" w:rsidRPr="00882F11">
        <w:rPr>
          <w:rFonts w:cs="Guttman Drogolin" w:hint="cs"/>
          <w:rtl/>
          <w:lang w:bidi="he-IL"/>
        </w:rPr>
        <w:t>ובביא</w:t>
      </w:r>
      <w:r w:rsidR="001E7C83" w:rsidRPr="00882F11">
        <w:rPr>
          <w:rFonts w:cs="Guttman Drogolin" w:hint="cs"/>
          <w:rtl/>
          <w:lang w:bidi="he-IL"/>
        </w:rPr>
        <w:t>ו</w:t>
      </w:r>
      <w:r w:rsidR="00564024" w:rsidRPr="00882F11">
        <w:rPr>
          <w:rFonts w:cs="Guttman Drogolin" w:hint="cs"/>
          <w:rtl/>
          <w:lang w:bidi="he-IL"/>
        </w:rPr>
        <w:t xml:space="preserve">ר האי דינא כתב </w:t>
      </w:r>
      <w:r w:rsidR="001E7C83" w:rsidRPr="00882F11">
        <w:rPr>
          <w:rFonts w:cs="Guttman Drogolin" w:hint="cs"/>
          <w:rtl/>
          <w:lang w:bidi="he-IL"/>
        </w:rPr>
        <w:t xml:space="preserve">שאין כח לשיעה לאסור אא"כ הוא עולה למעלה כטבעו, אבל לצדדין שאין זה טבעו אין לו כח לאסור. </w:t>
      </w:r>
      <w:r w:rsidR="00B961B6" w:rsidRPr="00882F11">
        <w:rPr>
          <w:rFonts w:cs="Guttman Drogolin" w:hint="cs"/>
          <w:rtl/>
          <w:lang w:bidi="he-IL"/>
        </w:rPr>
        <w:t>ונראה שדבריו מובנים ע"פ דברי שו"ת הב"ח החדשות סי' כ"ד שכתב להסתפק אם זיעה אוסרת קדרה שלמעלה רק במקום שאי אפשר לזיעה לצאת, שרק אז יש כח של לחץ כדי שהזיעה יאסר, או"ד אפילו כשיש לו מקום לצאת בצדדין. ומעיקרא ר"ל שאינו אוסר אלא כשאין לו מקום להתפשט, ושזהו הטעם לחלק בין הא דרא"ש להא דמצאנו שבשר כשר ובשר נבילה שנצלו בתנור א' אינם אוסרים א' את השני. אבל לבסוף העיר שמדויק ברמ"א כאן שאוסר אפילו במקום שיכול ללכת לצדדין, שהרי לא התיר תליית בשר למעלה מקדירות של חלב אלא משום שהחלב צוננת אבל בלי זה לא. ובזה סבר העצי העולה דאע"ג שאין אנו מקילים אפילו כשיכול ללכת לצדדין, הנ"מ בזיעה שבאמת אינה הולכת לצדדין, אבל בזיעה ההולכ</w:t>
      </w:r>
      <w:r w:rsidR="005B1E46">
        <w:rPr>
          <w:rFonts w:cs="Guttman Drogolin" w:hint="cs"/>
          <w:rtl/>
          <w:lang w:bidi="he-IL"/>
        </w:rPr>
        <w:t>ת</w:t>
      </w:r>
      <w:r w:rsidR="00B961B6" w:rsidRPr="00882F11">
        <w:rPr>
          <w:rFonts w:cs="Guttman Drogolin" w:hint="cs"/>
          <w:rtl/>
          <w:lang w:bidi="he-IL"/>
        </w:rPr>
        <w:t xml:space="preserve"> לצדדין כו"ע מודו.  </w:t>
      </w:r>
    </w:p>
    <w:p w:rsidR="001E7C83" w:rsidRPr="00882F11" w:rsidRDefault="001E7C83" w:rsidP="00B961B6">
      <w:pPr>
        <w:tabs>
          <w:tab w:val="right" w:pos="7497"/>
        </w:tabs>
        <w:bidi/>
        <w:jc w:val="both"/>
        <w:rPr>
          <w:rFonts w:cs="Guttman Drogolin"/>
          <w:rtl/>
          <w:lang w:bidi="he-IL"/>
        </w:rPr>
      </w:pPr>
      <w:r w:rsidRPr="00882F11">
        <w:rPr>
          <w:rFonts w:cs="Guttman Drogolin" w:hint="cs"/>
          <w:rtl/>
          <w:lang w:bidi="he-IL"/>
        </w:rPr>
        <w:t>ולדברי</w:t>
      </w:r>
      <w:r w:rsidR="00B961B6" w:rsidRPr="00882F11">
        <w:rPr>
          <w:rFonts w:cs="Guttman Drogolin" w:hint="cs"/>
          <w:rtl/>
          <w:lang w:bidi="he-IL"/>
        </w:rPr>
        <w:t xml:space="preserve"> העצי העולה</w:t>
      </w:r>
      <w:r w:rsidRPr="00882F11">
        <w:rPr>
          <w:rFonts w:cs="Guttman Drogolin" w:hint="cs"/>
          <w:rtl/>
          <w:lang w:bidi="he-IL"/>
        </w:rPr>
        <w:t xml:space="preserve"> לכאורה פשוט שאין לומר כחידושו של הפר"ח הנ"ל. אמנם דבריו מחודשים גם אם לא נימא כפר"ח, דאע"ג שי"ל שאין כל הקדרה מצטרפת לבטל את הטיפה כשנפל לצדדין, מ"מ איכא למימר שהזיעה אוסרת היא, ולכן כיון שנגע לי' מן הצדדין. ובזה חידש לן העצי העולה שגם זה אינו אוסר כיון שאינו עולה למעלה כטבעה וכמש"נ.</w:t>
      </w:r>
    </w:p>
    <w:p w:rsidR="001E7C83" w:rsidRPr="00882F11" w:rsidRDefault="001E7C83" w:rsidP="0078079C">
      <w:pPr>
        <w:pStyle w:val="Heading1"/>
        <w:bidi/>
        <w:spacing w:before="0" w:line="360" w:lineRule="auto"/>
        <w:jc w:val="center"/>
        <w:rPr>
          <w:rFonts w:cs="Guttman Drogolin"/>
          <w:color w:val="auto"/>
          <w:sz w:val="24"/>
          <w:szCs w:val="24"/>
          <w:u w:val="single"/>
          <w:rtl/>
          <w:lang w:bidi="he-IL"/>
        </w:rPr>
      </w:pPr>
      <w:bookmarkStart w:id="228" w:name="_Toc496175483"/>
      <w:r w:rsidRPr="00882F11">
        <w:rPr>
          <w:rFonts w:cs="Guttman Drogolin" w:hint="cs"/>
          <w:color w:val="auto"/>
          <w:sz w:val="24"/>
          <w:szCs w:val="24"/>
          <w:u w:val="single"/>
          <w:rtl/>
          <w:lang w:bidi="he-IL"/>
        </w:rPr>
        <w:t>זיעה צוננת</w:t>
      </w:r>
      <w:bookmarkEnd w:id="228"/>
    </w:p>
    <w:p w:rsidR="0010302C" w:rsidRPr="00882F11" w:rsidRDefault="008F16ED" w:rsidP="0010302C">
      <w:pPr>
        <w:tabs>
          <w:tab w:val="right" w:pos="7497"/>
        </w:tabs>
        <w:bidi/>
        <w:jc w:val="both"/>
        <w:rPr>
          <w:rFonts w:cs="Guttman Drogolin"/>
          <w:rtl/>
          <w:lang w:bidi="he-IL"/>
        </w:rPr>
      </w:pPr>
      <w:r>
        <w:rPr>
          <w:rFonts w:cs="Guttman Drogolin"/>
          <w:rtl/>
          <w:lang w:bidi="he-IL"/>
        </w:rPr>
        <w:fldChar w:fldCharType="begin"/>
      </w:r>
      <w:r>
        <w:instrText xml:space="preserve"> XE "</w:instrText>
      </w:r>
      <w:r w:rsidRPr="000B5C05">
        <w:rPr>
          <w:rFonts w:hint="cs"/>
          <w:rtl/>
          <w:lang w:bidi="he-IL"/>
        </w:rPr>
        <w:instrText>זיעה</w:instrText>
      </w:r>
      <w:r w:rsidRPr="000B5C05">
        <w:rPr>
          <w:rtl/>
        </w:rPr>
        <w:instrText>:</w:instrText>
      </w:r>
      <w:r w:rsidRPr="000B5C05">
        <w:rPr>
          <w:rFonts w:hint="cs"/>
          <w:rtl/>
          <w:lang w:bidi="he-IL"/>
        </w:rPr>
        <w:instrText>צוננת</w:instrText>
      </w:r>
      <w:r>
        <w:instrText xml:space="preserve">" </w:instrText>
      </w:r>
      <w:r>
        <w:rPr>
          <w:rFonts w:cs="Guttman Drogolin"/>
          <w:rtl/>
          <w:lang w:bidi="he-IL"/>
        </w:rPr>
        <w:fldChar w:fldCharType="end"/>
      </w:r>
      <w:r w:rsidR="0010302C" w:rsidRPr="00882F11">
        <w:rPr>
          <w:rFonts w:cs="Guttman Drogolin" w:hint="cs"/>
          <w:rtl/>
          <w:lang w:bidi="he-IL"/>
        </w:rPr>
        <w:t xml:space="preserve">כתב הרמ"א שכל מה שאנחנו מחמירים לאסור זיעה אינו אלא בזיעה שהיס"ב, אבל אם לאו אינו אוסר, ולכן נוהגים לתלות בשר לייבש על הקדירות של חלב ואין חוששין לזיעה העולה מן הקדירות, שהרי שם הוא זיעה צוננת ואינה </w:t>
      </w:r>
      <w:r w:rsidR="0010302C" w:rsidRPr="00882F11">
        <w:rPr>
          <w:rFonts w:cs="Guttman Drogolin" w:hint="cs"/>
          <w:rtl/>
          <w:lang w:bidi="he-IL"/>
        </w:rPr>
        <w:lastRenderedPageBreak/>
        <w:t>אוסרת. ועל פניו הוראה פשוטה היא זו, דלמה יהי' כח לזיעה לאסור יותר ממשקין של חלב ממש, דצונן שלהם אינו אוסר.</w:t>
      </w:r>
    </w:p>
    <w:p w:rsidR="00B961B6" w:rsidRPr="00882F11" w:rsidRDefault="0010302C" w:rsidP="008B731A">
      <w:pPr>
        <w:tabs>
          <w:tab w:val="right" w:pos="7497"/>
        </w:tabs>
        <w:bidi/>
        <w:jc w:val="both"/>
        <w:rPr>
          <w:rFonts w:cs="Guttman Drogolin"/>
          <w:rtl/>
          <w:lang w:bidi="he-IL"/>
        </w:rPr>
      </w:pPr>
      <w:r w:rsidRPr="00882F11">
        <w:rPr>
          <w:rFonts w:cs="Guttman Drogolin" w:hint="cs"/>
          <w:rtl/>
          <w:lang w:bidi="he-IL"/>
        </w:rPr>
        <w:t xml:space="preserve">אלא דהנה לכאורה יל"ע, דאע"ג שאין לזיעה הצוננת כח להבליע, אבל מ"מ יצטרכו להדיח הבשר שתלוי למעלה מן הקדירות כמו שצריכים להדיח בשר שנשפך עליו חלב צונן. וכן באמת כתב הפמ"ג לדינא </w:t>
      </w:r>
      <w:r w:rsidR="008B731A" w:rsidRPr="00882F11">
        <w:rPr>
          <w:rFonts w:cs="Guttman Drogolin" w:hint="cs"/>
          <w:rtl/>
          <w:lang w:bidi="he-IL"/>
        </w:rPr>
        <w:t>בסדר</w:t>
      </w:r>
      <w:r w:rsidR="008B731A" w:rsidRPr="00882F11">
        <w:rPr>
          <w:rFonts w:cs="Guttman Drogolin"/>
          <w:rtl/>
          <w:lang w:bidi="he-IL"/>
        </w:rPr>
        <w:t xml:space="preserve"> </w:t>
      </w:r>
      <w:r w:rsidR="008B731A" w:rsidRPr="00882F11">
        <w:rPr>
          <w:rFonts w:cs="Guttman Drogolin" w:hint="cs"/>
          <w:rtl/>
          <w:lang w:bidi="he-IL"/>
        </w:rPr>
        <w:t>והנהגות</w:t>
      </w:r>
      <w:r w:rsidR="008B731A" w:rsidRPr="00882F11">
        <w:rPr>
          <w:rFonts w:cs="Guttman Drogolin"/>
          <w:rtl/>
          <w:lang w:bidi="he-IL"/>
        </w:rPr>
        <w:t xml:space="preserve"> </w:t>
      </w:r>
      <w:r w:rsidR="008B731A" w:rsidRPr="00882F11">
        <w:rPr>
          <w:rFonts w:cs="Guttman Drogolin" w:hint="cs"/>
          <w:rtl/>
          <w:lang w:bidi="he-IL"/>
        </w:rPr>
        <w:t>הנשאל</w:t>
      </w:r>
      <w:r w:rsidR="008B731A" w:rsidRPr="00882F11">
        <w:rPr>
          <w:rFonts w:cs="Guttman Drogolin"/>
          <w:rtl/>
          <w:lang w:bidi="he-IL"/>
        </w:rPr>
        <w:t xml:space="preserve"> </w:t>
      </w:r>
      <w:r w:rsidR="008B731A" w:rsidRPr="00882F11">
        <w:rPr>
          <w:rFonts w:cs="Guttman Drogolin" w:hint="cs"/>
          <w:rtl/>
          <w:lang w:bidi="he-IL"/>
        </w:rPr>
        <w:t>עם</w:t>
      </w:r>
      <w:r w:rsidR="008B731A" w:rsidRPr="00882F11">
        <w:rPr>
          <w:rFonts w:cs="Guttman Drogolin"/>
          <w:rtl/>
          <w:lang w:bidi="he-IL"/>
        </w:rPr>
        <w:t xml:space="preserve"> </w:t>
      </w:r>
      <w:r w:rsidR="008B731A" w:rsidRPr="00882F11">
        <w:rPr>
          <w:rFonts w:cs="Guttman Drogolin" w:hint="cs"/>
          <w:rtl/>
          <w:lang w:bidi="he-IL"/>
        </w:rPr>
        <w:t>השואל</w:t>
      </w:r>
      <w:r w:rsidR="008B731A" w:rsidRPr="00882F11">
        <w:rPr>
          <w:rFonts w:cs="Guttman Drogolin"/>
          <w:rtl/>
          <w:lang w:bidi="he-IL"/>
        </w:rPr>
        <w:t xml:space="preserve"> </w:t>
      </w:r>
      <w:r w:rsidR="008B731A" w:rsidRPr="00882F11">
        <w:rPr>
          <w:rFonts w:cs="Guttman Drogolin" w:hint="cs"/>
          <w:rtl/>
          <w:lang w:bidi="he-IL"/>
        </w:rPr>
        <w:t>באו</w:t>
      </w:r>
      <w:r w:rsidR="008B731A" w:rsidRPr="00882F11">
        <w:rPr>
          <w:rFonts w:cs="Guttman Drogolin"/>
          <w:rtl/>
          <w:lang w:bidi="he-IL"/>
        </w:rPr>
        <w:t>"</w:t>
      </w:r>
      <w:r w:rsidR="008B731A" w:rsidRPr="00882F11">
        <w:rPr>
          <w:rFonts w:cs="Guttman Drogolin" w:hint="cs"/>
          <w:rtl/>
          <w:lang w:bidi="he-IL"/>
        </w:rPr>
        <w:t>ה</w:t>
      </w:r>
      <w:r w:rsidR="008B731A" w:rsidRPr="00882F11">
        <w:rPr>
          <w:rFonts w:cs="Guttman Drogolin"/>
          <w:rtl/>
          <w:lang w:bidi="he-IL"/>
        </w:rPr>
        <w:t xml:space="preserve"> </w:t>
      </w:r>
      <w:r w:rsidR="008B731A" w:rsidRPr="00882F11">
        <w:rPr>
          <w:rFonts w:cs="Guttman Drogolin" w:hint="cs"/>
          <w:rtl/>
          <w:lang w:bidi="he-IL"/>
        </w:rPr>
        <w:t>סדר</w:t>
      </w:r>
      <w:r w:rsidR="008B731A" w:rsidRPr="00882F11">
        <w:rPr>
          <w:rFonts w:cs="Guttman Drogolin"/>
          <w:rtl/>
          <w:lang w:bidi="he-IL"/>
        </w:rPr>
        <w:t xml:space="preserve"> </w:t>
      </w:r>
      <w:r w:rsidR="008B731A" w:rsidRPr="00882F11">
        <w:rPr>
          <w:rFonts w:cs="Guttman Drogolin" w:hint="cs"/>
          <w:rtl/>
          <w:lang w:bidi="he-IL"/>
        </w:rPr>
        <w:t>ב</w:t>
      </w:r>
      <w:r w:rsidR="008B731A" w:rsidRPr="00882F11">
        <w:rPr>
          <w:rFonts w:cs="Guttman Drogolin"/>
          <w:rtl/>
          <w:lang w:bidi="he-IL"/>
        </w:rPr>
        <w:t xml:space="preserve">' </w:t>
      </w:r>
      <w:r w:rsidR="008B731A" w:rsidRPr="00882F11">
        <w:rPr>
          <w:rFonts w:cs="Guttman Drogolin" w:hint="cs"/>
          <w:rtl/>
          <w:lang w:bidi="he-IL"/>
        </w:rPr>
        <w:t>אות</w:t>
      </w:r>
      <w:r w:rsidR="008B731A" w:rsidRPr="00882F11">
        <w:rPr>
          <w:rFonts w:cs="Guttman Drogolin"/>
          <w:rtl/>
          <w:lang w:bidi="he-IL"/>
        </w:rPr>
        <w:t xml:space="preserve"> </w:t>
      </w:r>
      <w:r w:rsidR="008B731A" w:rsidRPr="00882F11">
        <w:rPr>
          <w:rFonts w:cs="Guttman Drogolin" w:hint="cs"/>
          <w:rtl/>
          <w:lang w:bidi="he-IL"/>
        </w:rPr>
        <w:t>ל</w:t>
      </w:r>
      <w:r w:rsidR="008B731A" w:rsidRPr="00882F11">
        <w:rPr>
          <w:rFonts w:cs="Guttman Drogolin"/>
          <w:rtl/>
          <w:lang w:bidi="he-IL"/>
        </w:rPr>
        <w:t>"</w:t>
      </w:r>
      <w:r w:rsidR="008B731A" w:rsidRPr="00882F11">
        <w:rPr>
          <w:rFonts w:cs="Guttman Drogolin" w:hint="cs"/>
          <w:rtl/>
          <w:lang w:bidi="he-IL"/>
        </w:rPr>
        <w:t xml:space="preserve">ו. ולכאורה א"כ אין טעם להקל לתלות הבשר למעלה אא"כ הבשר דרכו בהדחה. ואיכא למימר שהטעם שהרמ"א לא הזכיר כל זה משום שבן הי' באמת הדרך לרחוץ הבשר שתולין לייבש, ולכן הי' מובן מאליו. אלא שראיתי בס' בינת הצבי שהעיר שעדיין יהי' נפק"מ שאם הוא שם לכ"ד שעות יהא חשוב ככבוש ושוב לא תהני הדחה, וכן יש בשרים הבולעים </w:t>
      </w:r>
      <w:r w:rsidR="00B961B6" w:rsidRPr="00882F11">
        <w:rPr>
          <w:rFonts w:cs="Guttman Drogolin" w:hint="cs"/>
          <w:rtl/>
          <w:lang w:bidi="he-IL"/>
        </w:rPr>
        <w:t>אפילו צונן, ובכל הני יהא הדין שנאסר ע"י הזיעה אפילו אינו צונן, ולמה סתם הרמ"א להקל, ובפרט שלכאורה היו הבשרים אלו תלוים ליותר מזמן של מעל"ע. ואולי י"ל ששכבה דקה כזו אינו עושה כבוש. וצ"ע.</w:t>
      </w:r>
    </w:p>
    <w:p w:rsidR="005F69B6" w:rsidRPr="00882F11" w:rsidRDefault="00B961B6" w:rsidP="00B961B6">
      <w:pPr>
        <w:tabs>
          <w:tab w:val="right" w:pos="7497"/>
        </w:tabs>
        <w:bidi/>
        <w:jc w:val="both"/>
        <w:rPr>
          <w:rFonts w:cs="Guttman Drogolin"/>
          <w:rtl/>
          <w:lang w:bidi="he-IL"/>
        </w:rPr>
      </w:pPr>
      <w:r w:rsidRPr="00882F11">
        <w:rPr>
          <w:rFonts w:cs="Guttman Drogolin" w:hint="cs"/>
          <w:rtl/>
          <w:lang w:bidi="he-IL"/>
        </w:rPr>
        <w:t>והנה בהאי דינא דזיעה צוננת אינה אוסרת הביא רע"א ממהרא"י דהנ"מ כשאין הקדרה שלמעלה רותחת, אבל אם היא רותחת גם זיעה צוננת אוסרת. והטעם בזה פשוט</w:t>
      </w:r>
      <w:r w:rsidR="005F69B6" w:rsidRPr="00882F11">
        <w:rPr>
          <w:rFonts w:cs="Guttman Drogolin" w:hint="cs"/>
          <w:rtl/>
          <w:lang w:bidi="he-IL"/>
        </w:rPr>
        <w:t>, שלכאורה כל הענין של זיעה רותחת משום שרק חם יכול להבליע ולא צונן, ולכן בקדירה שהיא עצמה רותחת הא יש חום ויכול ליבלע.</w:t>
      </w:r>
    </w:p>
    <w:p w:rsidR="002B70CD" w:rsidRPr="00882F11" w:rsidRDefault="005F69B6" w:rsidP="005F69B6">
      <w:pPr>
        <w:tabs>
          <w:tab w:val="right" w:pos="7497"/>
        </w:tabs>
        <w:bidi/>
        <w:jc w:val="both"/>
        <w:rPr>
          <w:rFonts w:cs="Guttman Drogolin"/>
          <w:rtl/>
          <w:lang w:bidi="he-IL"/>
        </w:rPr>
      </w:pPr>
      <w:r w:rsidRPr="00882F11">
        <w:rPr>
          <w:rFonts w:cs="Guttman Drogolin" w:hint="cs"/>
          <w:rtl/>
          <w:lang w:bidi="he-IL"/>
        </w:rPr>
        <w:t xml:space="preserve">אבל היד יהודה ס"ק </w:t>
      </w:r>
      <w:r w:rsidR="00E410A4" w:rsidRPr="00882F11">
        <w:rPr>
          <w:rFonts w:cs="Guttman Drogolin" w:hint="cs"/>
          <w:rtl/>
          <w:lang w:bidi="he-IL"/>
        </w:rPr>
        <w:t xml:space="preserve">נ"ה התקשה בזה, דהא הרמ"א סתם וכתב שאם הזיעה צוננת הכל מותר, והו"ל לפרושי דמיירי בקדירה שלמעלה צוננת, דהא בדר"כ קדירה המונחת ע"ג כירה חמה היא. והביא שבדרכ"מ נראה שהי' גירסא אחרת מן המובא בהגהות רע"א, והוא שאם הזיעה צוננת אינו אוסר אע"ג שמה שמונח בבקדירה רותחת היא. והיינו שאם הזיעה כבר הצטנן אין לו כח לאסור כלל ואין זה קשור להיותו חם או צונן. </w:t>
      </w:r>
      <w:r w:rsidR="002B70CD" w:rsidRPr="00882F11">
        <w:rPr>
          <w:rFonts w:cs="Guttman Drogolin" w:hint="cs"/>
          <w:rtl/>
          <w:lang w:bidi="he-IL"/>
        </w:rPr>
        <w:t xml:space="preserve">וע"ש </w:t>
      </w:r>
      <w:r w:rsidR="002B70CD" w:rsidRPr="00882F11">
        <w:rPr>
          <w:rFonts w:cs="Guttman Drogolin" w:hint="cs"/>
          <w:rtl/>
          <w:lang w:bidi="he-IL"/>
        </w:rPr>
        <w:lastRenderedPageBreak/>
        <w:t>שדקדק כדבריו גם מדברי המג"א בסי' תנ"א ס"ק מ"ד</w:t>
      </w:r>
      <w:r w:rsidR="00D54FA7" w:rsidRPr="00882F11">
        <w:rPr>
          <w:rStyle w:val="FootnoteReference"/>
          <w:rFonts w:cs="Guttman Drogolin"/>
          <w:rtl/>
          <w:lang w:bidi="he-IL"/>
        </w:rPr>
        <w:footnoteReference w:id="271"/>
      </w:r>
      <w:r w:rsidR="002B70CD" w:rsidRPr="00882F11">
        <w:rPr>
          <w:rFonts w:cs="Guttman Drogolin" w:hint="cs"/>
          <w:rtl/>
          <w:lang w:bidi="he-IL"/>
        </w:rPr>
        <w:t xml:space="preserve">. </w:t>
      </w:r>
      <w:r w:rsidR="00E410A4" w:rsidRPr="00882F11">
        <w:rPr>
          <w:rFonts w:cs="Guttman Drogolin" w:hint="cs"/>
          <w:rtl/>
          <w:lang w:bidi="he-IL"/>
        </w:rPr>
        <w:t xml:space="preserve">והביאור הוא ע"ד מש"כ לעיל בדעת העצי העולה, דעד כאן לא מחמירים לאסור כשהזיעה יכולה להתפשט אלא אם הזיעה קרובה כ"כ שעדיין חמה היא, שרק אז יש לו כח לחץ לאסור, אבל אחרי שכבר הצטנן פקע כוחו לאסור, ולכן שוב אינו אוסר אפילו לקדרה חמה. ולדברי היד יהודה לכאורה י"ל </w:t>
      </w:r>
      <w:r w:rsidR="00A97333" w:rsidRPr="00882F11">
        <w:rPr>
          <w:rFonts w:cs="Guttman Drogolin" w:hint="cs"/>
          <w:rtl/>
          <w:lang w:bidi="he-IL"/>
        </w:rPr>
        <w:t>שהבשר שהוא למעלה מן הקדירות של חלב אינו צריך גם הדחה,, אבל גם זה יש דחות, שלעולם הדחה בעי, רק שמ"מ לא יהי' לו כח להבליע וכמש"נ.</w:t>
      </w:r>
    </w:p>
    <w:p w:rsidR="002B70CD" w:rsidRPr="00882F11" w:rsidRDefault="002B70CD" w:rsidP="002B70CD">
      <w:pPr>
        <w:tabs>
          <w:tab w:val="right" w:pos="7497"/>
        </w:tabs>
        <w:bidi/>
        <w:jc w:val="both"/>
        <w:rPr>
          <w:rFonts w:cs="Guttman Drogolin"/>
          <w:rtl/>
          <w:lang w:bidi="he-IL"/>
        </w:rPr>
      </w:pPr>
      <w:r w:rsidRPr="00882F11">
        <w:rPr>
          <w:rFonts w:cs="Guttman Drogolin" w:hint="cs"/>
          <w:rtl/>
          <w:lang w:bidi="he-IL"/>
        </w:rPr>
        <w:t>וכל הנ"ל נקפ"מ גדולה לכמה מקרים שכיחים שבתוך הבית היהודי. למשל, אם יניח א' סיר בשרי פתוח ליד המיחם של מים בענין שהאדים שמן הסיר נוגעים ביחם, לכאורה יש לומר שאסור להשתמש במים אלו למשקה חלבי (כגון קפה עם חלב) דהא יש בה בליעות של בשר. וכן אם יש ב' קדירות ע"ג הכיריים שאותו זמן והבל מא' נוגעת השני האם אוסרתו. ובודאי יש להחמיר לכתחילה בכל זה.</w:t>
      </w:r>
    </w:p>
    <w:p w:rsidR="002B70CD" w:rsidRPr="00882F11" w:rsidRDefault="002B70CD" w:rsidP="00DA1D59">
      <w:pPr>
        <w:pStyle w:val="Heading1"/>
        <w:bidi/>
        <w:spacing w:before="0" w:line="240" w:lineRule="auto"/>
        <w:jc w:val="center"/>
        <w:rPr>
          <w:rFonts w:cs="Guttman Drogolin"/>
          <w:color w:val="auto"/>
          <w:sz w:val="24"/>
          <w:szCs w:val="24"/>
          <w:u w:val="single"/>
          <w:rtl/>
          <w:lang w:bidi="he-IL"/>
        </w:rPr>
      </w:pPr>
      <w:bookmarkStart w:id="229" w:name="_Toc496175484"/>
      <w:r w:rsidRPr="00882F11">
        <w:rPr>
          <w:rFonts w:cs="Guttman Drogolin" w:hint="cs"/>
          <w:color w:val="auto"/>
          <w:sz w:val="24"/>
          <w:szCs w:val="24"/>
          <w:u w:val="single"/>
          <w:rtl/>
          <w:lang w:bidi="he-IL"/>
        </w:rPr>
        <w:t>קדירה למעלה מקדירה ויש זיעה ביניהם האם אוסרת גם התחתון</w:t>
      </w:r>
      <w:bookmarkEnd w:id="229"/>
    </w:p>
    <w:p w:rsidR="00564024" w:rsidRPr="00882F11" w:rsidRDefault="008F16ED" w:rsidP="002B70CD">
      <w:pPr>
        <w:tabs>
          <w:tab w:val="right" w:pos="7497"/>
        </w:tabs>
        <w:bidi/>
        <w:jc w:val="both"/>
        <w:rPr>
          <w:rFonts w:cs="Guttman Drogolin"/>
          <w:rtl/>
          <w:lang w:bidi="he-IL"/>
        </w:rPr>
      </w:pPr>
      <w:r>
        <w:rPr>
          <w:rFonts w:cs="Guttman Drogolin"/>
          <w:rtl/>
          <w:lang w:bidi="he-IL"/>
        </w:rPr>
        <w:fldChar w:fldCharType="begin"/>
      </w:r>
      <w:r>
        <w:instrText xml:space="preserve"> XE "</w:instrText>
      </w:r>
      <w:r w:rsidRPr="0053568C">
        <w:rPr>
          <w:rFonts w:hint="cs"/>
          <w:rtl/>
          <w:lang w:bidi="he-IL"/>
        </w:rPr>
        <w:instrText>זיעה</w:instrText>
      </w:r>
      <w:r w:rsidRPr="0053568C">
        <w:rPr>
          <w:rtl/>
        </w:rPr>
        <w:instrText>:</w:instrText>
      </w:r>
      <w:r w:rsidRPr="0053568C">
        <w:rPr>
          <w:rFonts w:hint="cs"/>
          <w:rtl/>
          <w:lang w:bidi="he-IL"/>
        </w:rPr>
        <w:instrText>ב' קדרות זו ע</w:instrText>
      </w:r>
      <w:r>
        <w:rPr>
          <w:rFonts w:eastAsiaTheme="minorEastAsia"/>
          <w:lang w:bidi="he-IL"/>
        </w:rPr>
        <w:instrText>\</w:instrText>
      </w:r>
      <w:r w:rsidRPr="0053568C">
        <w:rPr>
          <w:rFonts w:hint="cs"/>
          <w:rtl/>
          <w:lang w:bidi="he-IL"/>
        </w:rPr>
        <w:instrText>"ג זו אם העליון אוסרת התחתון</w:instrText>
      </w:r>
      <w:r>
        <w:instrText xml:space="preserve">" </w:instrText>
      </w:r>
      <w:r>
        <w:rPr>
          <w:rFonts w:cs="Guttman Drogolin"/>
          <w:rtl/>
          <w:lang w:bidi="he-IL"/>
        </w:rPr>
        <w:fldChar w:fldCharType="end"/>
      </w:r>
      <w:r w:rsidR="002B70CD" w:rsidRPr="00882F11">
        <w:rPr>
          <w:rFonts w:cs="Guttman Drogolin" w:hint="cs"/>
          <w:rtl/>
          <w:lang w:bidi="he-IL"/>
        </w:rPr>
        <w:t>הדגמ"ר כאן כתב שאם יש זיעה שעולה למעלה לאסור הקדירה העליונה, הזיעה יורדת גם למטה כדי לאסור גם תחתון. ודבר זה פשוט ומבואר כאן בפוסקים בזיעה שבתוך קדירה מכוסה, שאם יש כיסוי של איסור או"ד כיסוי של חלב ע"ג בשר, הזיעה מערבת את שניהם ואוסרתו. אמנם בהגהות אמרי ברוך על הדגמ"ר כתב שלא נאמר דבר זה שהזיעה אוסרת גם למטה אלא בכה"ג שהוא בתוך קדירה ואין לזיעה מקום להתפשט, אבל כשיש לו מקום להתפשט, אמנם הכריע הב"ח שגם כה"ג הזיעה אוסרת, הנ"מ למעלה, אבל למטה לא, שזה פשוט דכה"ג אינו יורדת למטה.</w:t>
      </w:r>
      <w:r w:rsidR="0010302C" w:rsidRPr="00882F11">
        <w:rPr>
          <w:rFonts w:cs="Guttman Drogolin" w:hint="cs"/>
          <w:rtl/>
          <w:lang w:bidi="he-IL"/>
        </w:rPr>
        <w:t xml:space="preserve">  </w:t>
      </w:r>
    </w:p>
    <w:p w:rsidR="002B70CD" w:rsidRPr="00882F11" w:rsidRDefault="002B70CD" w:rsidP="0078079C">
      <w:pPr>
        <w:pStyle w:val="Heading1"/>
        <w:bidi/>
        <w:spacing w:before="0" w:line="360" w:lineRule="auto"/>
        <w:jc w:val="center"/>
        <w:rPr>
          <w:rFonts w:cs="Guttman Drogolin"/>
          <w:color w:val="auto"/>
          <w:sz w:val="24"/>
          <w:szCs w:val="24"/>
          <w:u w:val="single"/>
          <w:rtl/>
          <w:lang w:bidi="he-IL"/>
        </w:rPr>
      </w:pPr>
      <w:bookmarkStart w:id="230" w:name="_Toc496175485"/>
      <w:r w:rsidRPr="00882F11">
        <w:rPr>
          <w:rFonts w:cs="Guttman Drogolin" w:hint="cs"/>
          <w:color w:val="auto"/>
          <w:sz w:val="24"/>
          <w:szCs w:val="24"/>
          <w:u w:val="single"/>
          <w:rtl/>
          <w:lang w:bidi="he-IL"/>
        </w:rPr>
        <w:t>בדין גר</w:t>
      </w:r>
      <w:r w:rsidR="00AB33CD" w:rsidRPr="00882F11">
        <w:rPr>
          <w:rFonts w:cs="Guttman Drogolin" w:hint="cs"/>
          <w:color w:val="auto"/>
          <w:sz w:val="24"/>
          <w:szCs w:val="24"/>
          <w:u w:val="single"/>
          <w:rtl/>
          <w:lang w:bidi="he-IL"/>
        </w:rPr>
        <w:t>ירה שצריכים כשנטף חלב על הכלי</w:t>
      </w:r>
      <w:bookmarkEnd w:id="230"/>
    </w:p>
    <w:p w:rsidR="00633470" w:rsidRPr="00882F11" w:rsidRDefault="008F16ED" w:rsidP="00633470">
      <w:pPr>
        <w:tabs>
          <w:tab w:val="right" w:pos="7497"/>
        </w:tabs>
        <w:bidi/>
        <w:jc w:val="both"/>
        <w:rPr>
          <w:rFonts w:cs="Guttman Drogolin"/>
          <w:rtl/>
          <w:lang w:bidi="he-IL"/>
        </w:rPr>
      </w:pPr>
      <w:r>
        <w:rPr>
          <w:rFonts w:cs="Guttman Drogolin"/>
          <w:rtl/>
          <w:lang w:bidi="he-IL"/>
        </w:rPr>
        <w:fldChar w:fldCharType="begin"/>
      </w:r>
      <w:r>
        <w:instrText xml:space="preserve"> XE "</w:instrText>
      </w:r>
      <w:r w:rsidRPr="000D2CFB">
        <w:rPr>
          <w:rFonts w:hint="cs"/>
          <w:rtl/>
          <w:lang w:bidi="he-IL"/>
        </w:rPr>
        <w:instrText>הכשר כלים</w:instrText>
      </w:r>
      <w:r w:rsidRPr="000D2CFB">
        <w:rPr>
          <w:rtl/>
        </w:rPr>
        <w:instrText>:</w:instrText>
      </w:r>
      <w:r w:rsidRPr="000D2CFB">
        <w:rPr>
          <w:rFonts w:hint="cs"/>
          <w:rtl/>
          <w:lang w:bidi="he-IL"/>
        </w:rPr>
        <w:instrText>גרירה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291499">
        <w:rPr>
          <w:rFonts w:hint="cs"/>
          <w:rtl/>
          <w:lang w:bidi="he-IL"/>
        </w:rPr>
        <w:instrText>הכשר כלים</w:instrText>
      </w:r>
      <w:r w:rsidRPr="00291499">
        <w:rPr>
          <w:rtl/>
        </w:rPr>
        <w:instrText>:</w:instrText>
      </w:r>
      <w:r w:rsidRPr="00291499">
        <w:rPr>
          <w:rFonts w:hint="cs"/>
          <w:rtl/>
          <w:lang w:bidi="he-IL"/>
        </w:rPr>
        <w:instrText>כשנטף חלב על הכלי</w:instrText>
      </w:r>
      <w:r>
        <w:instrText xml:space="preserve">" </w:instrText>
      </w:r>
      <w:r>
        <w:rPr>
          <w:rFonts w:cs="Guttman Drogolin"/>
          <w:rtl/>
          <w:lang w:bidi="he-IL"/>
        </w:rPr>
        <w:fldChar w:fldCharType="end"/>
      </w:r>
      <w:r w:rsidR="00AB33CD" w:rsidRPr="00882F11">
        <w:rPr>
          <w:rFonts w:cs="Guttman Drogolin" w:hint="cs"/>
          <w:rtl/>
          <w:lang w:bidi="he-IL"/>
        </w:rPr>
        <w:t xml:space="preserve">המחבר בסע' ט' </w:t>
      </w:r>
      <w:r w:rsidR="00083687" w:rsidRPr="00882F11">
        <w:rPr>
          <w:rFonts w:cs="Guttman Drogolin" w:hint="cs"/>
          <w:rtl/>
          <w:lang w:bidi="he-IL"/>
        </w:rPr>
        <w:t>הביא מן התרוה"ד לחלק בין היכא שנטף חלב מנ</w:t>
      </w:r>
      <w:r w:rsidR="00633470" w:rsidRPr="00882F11">
        <w:rPr>
          <w:rFonts w:cs="Guttman Drogolin" w:hint="cs"/>
          <w:rtl/>
          <w:lang w:bidi="he-IL"/>
        </w:rPr>
        <w:t>ר</w:t>
      </w:r>
      <w:r w:rsidR="00083687" w:rsidRPr="00882F11">
        <w:rPr>
          <w:rFonts w:cs="Guttman Drogolin" w:hint="cs"/>
          <w:rtl/>
          <w:lang w:bidi="he-IL"/>
        </w:rPr>
        <w:t xml:space="preserve"> העשוי כשעוה להיכא שנטף </w:t>
      </w:r>
      <w:r w:rsidR="00083687" w:rsidRPr="00882F11">
        <w:rPr>
          <w:rFonts w:cs="Guttman Drogolin" w:hint="cs"/>
          <w:rtl/>
          <w:lang w:bidi="he-IL"/>
        </w:rPr>
        <w:lastRenderedPageBreak/>
        <w:t>מחלב מהותך.</w:t>
      </w:r>
      <w:r w:rsidR="00633470" w:rsidRPr="00882F11">
        <w:rPr>
          <w:rFonts w:cs="Guttman Drogolin" w:hint="cs"/>
          <w:rtl/>
          <w:lang w:bidi="he-IL"/>
        </w:rPr>
        <w:t xml:space="preserve"> ומבואר שם הטעם שכשהוא כמו שעוה אין זה אלא כעירוי שנפסק הקילוח אבל במהותך החמירו טפי כיון שהוא במקום השלהבת ולכן אפילו נפסק הקילוח צריך הגעלה.</w:t>
      </w:r>
    </w:p>
    <w:p w:rsidR="002B70CD" w:rsidRPr="00882F11" w:rsidRDefault="00633470" w:rsidP="00633470">
      <w:pPr>
        <w:tabs>
          <w:tab w:val="right" w:pos="7497"/>
        </w:tabs>
        <w:bidi/>
        <w:jc w:val="both"/>
        <w:rPr>
          <w:rFonts w:cs="Guttman Drogolin"/>
          <w:rtl/>
          <w:lang w:bidi="he-IL"/>
        </w:rPr>
      </w:pPr>
      <w:r w:rsidRPr="00882F11">
        <w:rPr>
          <w:rFonts w:cs="Guttman Drogolin" w:hint="cs"/>
          <w:rtl/>
          <w:lang w:bidi="he-IL"/>
        </w:rPr>
        <w:t xml:space="preserve">ולענין זה שצריכים גרירה נחלקו האחרונים. בש"ך סי' צ"ג ס"ק ו' (מובא בהגהות רע"א כאן) מבואר דר"ל שצריכים לקלוף את הכלי במקום שנטף. אבל החזו"א </w:t>
      </w:r>
      <w:r w:rsidR="00F83A7D" w:rsidRPr="00882F11">
        <w:rPr>
          <w:rFonts w:cs="Guttman Drogolin" w:hint="cs"/>
          <w:rtl/>
          <w:lang w:bidi="he-IL"/>
        </w:rPr>
        <w:t xml:space="preserve">(סי' ט' ס"ק ו') </w:t>
      </w:r>
      <w:r w:rsidRPr="00882F11">
        <w:rPr>
          <w:rFonts w:cs="Guttman Drogolin" w:hint="cs"/>
          <w:rtl/>
          <w:lang w:bidi="he-IL"/>
        </w:rPr>
        <w:t xml:space="preserve">למד שכוונתו שצריכים לגרור את החלב שנדבק, אבל הכלי עצמו לא נבלע לו מאומה ולכן אינו צריך הכשר כלל. ודבר זה נפק"מ גדולה לדבר השכיח כגון אם ניתז טיפה רוטב בשרית ע"ג כוס חלבי של חרס, שלפי שיטת הש"ך </w:t>
      </w:r>
      <w:r w:rsidR="00F25478" w:rsidRPr="00882F11">
        <w:rPr>
          <w:rFonts w:cs="Guttman Drogolin" w:hint="cs"/>
          <w:rtl/>
          <w:lang w:bidi="he-IL"/>
        </w:rPr>
        <w:t>חייבים לקלוף אותו, וכיון שבכלים של היום אם קולפים כבר זורקים יפסידו את הכלי. אבל לחזו"א הכלי נשארת בהיתירו. ויתכן שיש בזה עוד סניפים להקל בנושא, ואכמ"ל.</w:t>
      </w:r>
      <w:r w:rsidR="00083687" w:rsidRPr="00882F11">
        <w:rPr>
          <w:rFonts w:cs="Guttman Drogolin" w:hint="cs"/>
          <w:rtl/>
          <w:lang w:bidi="he-IL"/>
        </w:rPr>
        <w:t xml:space="preserve">  </w:t>
      </w:r>
    </w:p>
    <w:p w:rsidR="00F25478" w:rsidRPr="00882F11" w:rsidRDefault="00C02C01" w:rsidP="0078079C">
      <w:pPr>
        <w:pStyle w:val="Heading1"/>
        <w:bidi/>
        <w:spacing w:before="0" w:line="360" w:lineRule="auto"/>
        <w:jc w:val="center"/>
        <w:rPr>
          <w:rFonts w:cs="Guttman Drogolin"/>
          <w:color w:val="auto"/>
          <w:sz w:val="24"/>
          <w:szCs w:val="24"/>
          <w:u w:val="single"/>
          <w:rtl/>
          <w:lang w:bidi="he-IL"/>
        </w:rPr>
      </w:pPr>
      <w:bookmarkStart w:id="231" w:name="_Toc496175486"/>
      <w:r w:rsidRPr="00882F11">
        <w:rPr>
          <w:rFonts w:cs="Guttman Drogolin" w:hint="cs"/>
          <w:color w:val="auto"/>
          <w:sz w:val="24"/>
          <w:szCs w:val="24"/>
          <w:u w:val="single"/>
          <w:rtl/>
          <w:lang w:bidi="he-IL"/>
        </w:rPr>
        <w:t>הערה ב</w:t>
      </w:r>
      <w:r w:rsidR="00F25478" w:rsidRPr="00882F11">
        <w:rPr>
          <w:rFonts w:cs="Guttman Drogolin" w:hint="cs"/>
          <w:color w:val="auto"/>
          <w:sz w:val="24"/>
          <w:szCs w:val="24"/>
          <w:u w:val="single"/>
          <w:rtl/>
          <w:lang w:bidi="he-IL"/>
        </w:rPr>
        <w:t>דין כף</w:t>
      </w:r>
      <w:bookmarkEnd w:id="231"/>
    </w:p>
    <w:p w:rsidR="00F25478" w:rsidRPr="00882F11" w:rsidRDefault="008F16ED" w:rsidP="00F25478">
      <w:pPr>
        <w:tabs>
          <w:tab w:val="right" w:pos="7497"/>
        </w:tabs>
        <w:bidi/>
        <w:jc w:val="both"/>
        <w:rPr>
          <w:rFonts w:cs="Guttman Drogolin"/>
          <w:rtl/>
          <w:lang w:bidi="he-IL"/>
        </w:rPr>
      </w:pPr>
      <w:r>
        <w:rPr>
          <w:rFonts w:cs="Guttman Drogolin"/>
          <w:rtl/>
          <w:lang w:bidi="he-IL"/>
        </w:rPr>
        <w:fldChar w:fldCharType="begin"/>
      </w:r>
      <w:r>
        <w:instrText xml:space="preserve"> XE "</w:instrText>
      </w:r>
      <w:r w:rsidRPr="00882AC2">
        <w:rPr>
          <w:rFonts w:hint="cs"/>
          <w:rtl/>
          <w:lang w:bidi="he-IL"/>
        </w:rPr>
        <w:instrText>כלי ראשון</w:instrText>
      </w:r>
      <w:r w:rsidRPr="00882AC2">
        <w:rPr>
          <w:rtl/>
        </w:rPr>
        <w:instrText>:</w:instrText>
      </w:r>
      <w:r w:rsidRPr="00882AC2">
        <w:rPr>
          <w:rFonts w:hint="cs"/>
          <w:rtl/>
          <w:lang w:bidi="he-IL"/>
        </w:rPr>
        <w:instrText>דין הכף</w:instrText>
      </w:r>
      <w:r>
        <w:instrText xml:space="preserve">" </w:instrText>
      </w:r>
      <w:r>
        <w:rPr>
          <w:rFonts w:cs="Guttman Drogolin"/>
          <w:rtl/>
          <w:lang w:bidi="he-IL"/>
        </w:rPr>
        <w:fldChar w:fldCharType="end"/>
      </w:r>
      <w:r w:rsidR="00F25478" w:rsidRPr="00882F11">
        <w:rPr>
          <w:rFonts w:cs="Guttman Drogolin" w:hint="cs"/>
          <w:rtl/>
          <w:lang w:bidi="he-IL"/>
        </w:rPr>
        <w:t>בסוף הסימן יש לנו את דברי הט"ז המפורסמים דכף שהכניסו לת</w:t>
      </w:r>
      <w:r w:rsidR="000446AE" w:rsidRPr="00882F11">
        <w:rPr>
          <w:rFonts w:cs="Guttman Drogolin" w:hint="cs"/>
          <w:rtl/>
          <w:lang w:bidi="he-IL"/>
        </w:rPr>
        <w:t>וך כלי ראשון דינו ככלי ראשון, ו</w:t>
      </w:r>
      <w:r w:rsidR="00F25478" w:rsidRPr="00882F11">
        <w:rPr>
          <w:rFonts w:cs="Guttman Drogolin" w:hint="cs"/>
          <w:rtl/>
          <w:lang w:bidi="he-IL"/>
        </w:rPr>
        <w:t xml:space="preserve">חלק בזה על </w:t>
      </w:r>
      <w:r w:rsidR="008C21BD" w:rsidRPr="00882F11">
        <w:rPr>
          <w:rFonts w:cs="Guttman Drogolin" w:hint="cs"/>
          <w:rtl/>
          <w:lang w:bidi="he-IL"/>
        </w:rPr>
        <w:t>המהרי"ל. ואין כאן המקום להאריך כ"כ כיון שעיקר הסוגיות של כלי ראשון וכלי דשני נמצאים במס' שבת ופסחים, ושייכים לסי' ק"ה וכן להלכות שבת, אבל אביא כאן הערה א' בדבריו, והוא במה שכתב בסוף דבריו בשם תרוה"ד שכשהוציא הכף מן הקדירה שיש לו דין כלי שני, וכתב שם הט"ז לחלק בין הוציאו ריקן להוציאו מלא, שבריקן אין לו דין של כלי ראשון</w:t>
      </w:r>
      <w:r w:rsidR="00983F97" w:rsidRPr="00882F11">
        <w:rPr>
          <w:rFonts w:cs="Guttman Drogolin" w:hint="cs"/>
          <w:rtl/>
          <w:lang w:bidi="he-IL"/>
        </w:rPr>
        <w:t>, וכתב שכן הדין גם בכלי ראשון שהוסר מן האש ריקן ששוב אין לו דין של כלי ראשון. ולכאורה דבר זה תמוה, דהא בגמ' שבמס' שבת דף מ"א ע"א מבואר שמיחם שפינה ממנו מים אסור ליתן בה מים מועטים, וע"כ יש לו דין של כלי ראשון. וביד יהודה בסוף הסימן העיר מזה וכתב אולי לדחות דהוי חומרא דשבת.</w:t>
      </w:r>
    </w:p>
    <w:p w:rsidR="00983F97" w:rsidRPr="00882F11" w:rsidRDefault="00983F97" w:rsidP="00DA1D59">
      <w:pPr>
        <w:pStyle w:val="Heading1"/>
        <w:bidi/>
        <w:spacing w:before="0" w:line="240" w:lineRule="auto"/>
        <w:jc w:val="center"/>
        <w:rPr>
          <w:rFonts w:cs="Guttman Drogolin"/>
          <w:color w:val="auto"/>
          <w:sz w:val="24"/>
          <w:szCs w:val="24"/>
          <w:u w:val="single"/>
          <w:rtl/>
          <w:lang w:bidi="he-IL"/>
        </w:rPr>
      </w:pPr>
      <w:bookmarkStart w:id="232" w:name="_Toc496175487"/>
      <w:r w:rsidRPr="00882F11">
        <w:rPr>
          <w:rFonts w:cs="Guttman Drogolin" w:hint="cs"/>
          <w:color w:val="auto"/>
          <w:sz w:val="24"/>
          <w:szCs w:val="24"/>
          <w:u w:val="single"/>
          <w:rtl/>
          <w:lang w:bidi="he-IL"/>
        </w:rPr>
        <w:t xml:space="preserve">קדירה שבישל בה בשר ואחר מעל"ע בישל בה חלב </w:t>
      </w:r>
      <w:r w:rsidRPr="00882F11">
        <w:rPr>
          <w:rFonts w:cs="Guttman Drogolin"/>
          <w:color w:val="auto"/>
          <w:sz w:val="24"/>
          <w:szCs w:val="24"/>
          <w:u w:val="single"/>
          <w:rtl/>
          <w:lang w:bidi="he-IL"/>
        </w:rPr>
        <w:t>–</w:t>
      </w:r>
      <w:r w:rsidRPr="00882F11">
        <w:rPr>
          <w:rFonts w:cs="Guttman Drogolin" w:hint="cs"/>
          <w:color w:val="auto"/>
          <w:sz w:val="24"/>
          <w:szCs w:val="24"/>
          <w:u w:val="single"/>
          <w:rtl/>
          <w:lang w:bidi="he-IL"/>
        </w:rPr>
        <w:t xml:space="preserve"> לבשל בה ירקות</w:t>
      </w:r>
      <w:bookmarkEnd w:id="232"/>
    </w:p>
    <w:p w:rsidR="00F06124" w:rsidRPr="00882F11" w:rsidRDefault="008F16ED" w:rsidP="000D1188">
      <w:pPr>
        <w:tabs>
          <w:tab w:val="right" w:pos="7497"/>
        </w:tabs>
        <w:bidi/>
        <w:jc w:val="both"/>
        <w:rPr>
          <w:rFonts w:cs="Guttman Drogolin"/>
          <w:rtl/>
          <w:lang w:bidi="he-IL"/>
        </w:rPr>
      </w:pPr>
      <w:r>
        <w:rPr>
          <w:rFonts w:cs="Guttman Drogolin"/>
          <w:rtl/>
          <w:lang w:bidi="he-IL"/>
        </w:rPr>
        <w:fldChar w:fldCharType="begin"/>
      </w:r>
      <w:r>
        <w:instrText xml:space="preserve"> XE "</w:instrText>
      </w:r>
      <w:r w:rsidRPr="00D16CBB">
        <w:rPr>
          <w:rFonts w:hint="cs"/>
          <w:rtl/>
          <w:lang w:bidi="he-IL"/>
        </w:rPr>
        <w:instrText>הכשר כלים</w:instrText>
      </w:r>
      <w:r w:rsidRPr="00D16CBB">
        <w:rPr>
          <w:rtl/>
        </w:rPr>
        <w:instrText>:</w:instrText>
      </w:r>
      <w:r w:rsidRPr="00D16CBB">
        <w:rPr>
          <w:rFonts w:hint="cs"/>
          <w:rtl/>
          <w:lang w:bidi="he-IL"/>
        </w:rPr>
        <w:instrText>כלי שבלע ואחר מעל</w:instrText>
      </w:r>
      <w:r>
        <w:rPr>
          <w:rFonts w:eastAsiaTheme="minorEastAsia"/>
          <w:lang w:bidi="he-IL"/>
        </w:rPr>
        <w:instrText>\</w:instrText>
      </w:r>
      <w:r w:rsidRPr="00D16CBB">
        <w:rPr>
          <w:rFonts w:hint="cs"/>
          <w:rtl/>
          <w:lang w:bidi="he-IL"/>
        </w:rPr>
        <w:instrText>"ע בלע חלב - מה דינו (ובירקות)</w:instrText>
      </w:r>
      <w:r>
        <w:instrText xml:space="preserve">" </w:instrText>
      </w:r>
      <w:r>
        <w:rPr>
          <w:rFonts w:cs="Guttman Drogolin"/>
          <w:rtl/>
          <w:lang w:bidi="he-IL"/>
        </w:rPr>
        <w:fldChar w:fldCharType="end"/>
      </w:r>
      <w:r w:rsidR="00067BF7">
        <w:rPr>
          <w:rFonts w:cs="Guttman Drogolin"/>
          <w:rtl/>
          <w:lang w:bidi="he-IL"/>
        </w:rPr>
        <w:fldChar w:fldCharType="begin"/>
      </w:r>
      <w:r w:rsidR="00067BF7">
        <w:instrText xml:space="preserve"> XE "</w:instrText>
      </w:r>
      <w:r w:rsidR="00067BF7" w:rsidRPr="00E960F1">
        <w:rPr>
          <w:rFonts w:hint="cs"/>
          <w:rtl/>
          <w:lang w:bidi="he-IL"/>
        </w:rPr>
        <w:instrText>פרווה</w:instrText>
      </w:r>
      <w:r w:rsidR="00067BF7" w:rsidRPr="00E960F1">
        <w:rPr>
          <w:rtl/>
        </w:rPr>
        <w:instrText>:</w:instrText>
      </w:r>
      <w:r w:rsidR="00067BF7" w:rsidRPr="00E960F1">
        <w:rPr>
          <w:rFonts w:hint="cs"/>
          <w:rtl/>
          <w:lang w:bidi="he-IL"/>
        </w:rPr>
        <w:instrText>בקדרה שנבלע בה מחלב ולאחר מעל</w:instrText>
      </w:r>
      <w:r w:rsidR="00067BF7">
        <w:rPr>
          <w:rFonts w:eastAsiaTheme="minorEastAsia"/>
          <w:lang w:bidi="he-IL"/>
        </w:rPr>
        <w:instrText>\</w:instrText>
      </w:r>
      <w:r w:rsidR="00067BF7" w:rsidRPr="00E960F1">
        <w:rPr>
          <w:rFonts w:hint="cs"/>
          <w:rtl/>
          <w:lang w:bidi="he-IL"/>
        </w:rPr>
        <w:instrText>"ע גם מבשר</w:instrText>
      </w:r>
      <w:r w:rsidR="00067BF7">
        <w:instrText xml:space="preserve">" </w:instrText>
      </w:r>
      <w:r w:rsidR="00067BF7">
        <w:rPr>
          <w:rFonts w:cs="Guttman Drogolin"/>
          <w:rtl/>
          <w:lang w:bidi="he-IL"/>
        </w:rPr>
        <w:fldChar w:fldCharType="end"/>
      </w:r>
      <w:r w:rsidR="00983F97" w:rsidRPr="00882F11">
        <w:rPr>
          <w:rFonts w:cs="Guttman Drogolin" w:hint="cs"/>
          <w:rtl/>
          <w:lang w:bidi="he-IL"/>
        </w:rPr>
        <w:t>ה</w:t>
      </w:r>
      <w:r w:rsidR="000D1188" w:rsidRPr="00882F11">
        <w:rPr>
          <w:rFonts w:cs="Guttman Drogolin" w:hint="cs"/>
          <w:rtl/>
          <w:lang w:bidi="he-IL"/>
        </w:rPr>
        <w:t>טור</w:t>
      </w:r>
      <w:r w:rsidR="00983F97" w:rsidRPr="00882F11">
        <w:rPr>
          <w:rFonts w:cs="Guttman Drogolin" w:hint="cs"/>
          <w:rtl/>
          <w:lang w:bidi="he-IL"/>
        </w:rPr>
        <w:t xml:space="preserve"> בסי' צ"</w:t>
      </w:r>
      <w:r w:rsidR="000D1188" w:rsidRPr="00882F11">
        <w:rPr>
          <w:rFonts w:cs="Guttman Drogolin" w:hint="cs"/>
          <w:rtl/>
          <w:lang w:bidi="he-IL"/>
        </w:rPr>
        <w:t xml:space="preserve">ג הביא מרבינו פרץ שאם בשלו בשר בקדירה ואח"כ חלב אפילו לאחר מעל"ע שחייבים להכשיר הקדירה. ושם בב"י כתב דהנ"מ </w:t>
      </w:r>
      <w:r w:rsidR="000D1188" w:rsidRPr="00882F11">
        <w:rPr>
          <w:rFonts w:cs="Guttman Drogolin" w:hint="cs"/>
          <w:rtl/>
          <w:lang w:bidi="he-IL"/>
        </w:rPr>
        <w:lastRenderedPageBreak/>
        <w:t xml:space="preserve">לבשל בה או בשר או חלב, אבל מותר לבשל בה ירקות. ובפוסקים מבואר שגם ירקות אסור ע"פ מנהג. ולכאורה צ"ע מהו הטעם להקל מדינא בירקות. והגר"א כתב ס"ק ה' טעם משום שאין כאן בלע של איסור. ולכאורה מאי איכפת לן, הא כמו שאסור לבשל בה חלב או בשר לאחר כ"ד שעות, דהגזירה דאינו בן יומו אטו בן יומו אומר שאסור בבליעות של כגון חלב אינו ב"י אסור עם בשר כמו חלב עצמו, הה"נ שיהא אסור בירקות, דאילו היו הבליעות של בשר ושל חלב בן יומו הי' אוסר התבשיל. ואע"ג שאולי י"ל שאין כאן בב"ח דאורייתא, מ"מ ליהוי אסור משום שיש טעם משניהם שלא כדרך בישול כמו בכבוש. ויל"ע בזה.  </w:t>
      </w:r>
      <w:r w:rsidR="00413668" w:rsidRPr="00882F11">
        <w:rPr>
          <w:rFonts w:cs="Guttman Drogolin" w:hint="cs"/>
          <w:rtl/>
          <w:lang w:bidi="he-IL"/>
        </w:rPr>
        <w:t xml:space="preserve">  </w:t>
      </w:r>
      <w:r w:rsidR="00724B87" w:rsidRPr="00882F11">
        <w:rPr>
          <w:rFonts w:cs="Guttman Drogolin" w:hint="cs"/>
          <w:rtl/>
          <w:lang w:bidi="he-IL"/>
        </w:rPr>
        <w:t xml:space="preserve"> </w:t>
      </w:r>
      <w:r w:rsidR="00D80BAF" w:rsidRPr="00882F11">
        <w:rPr>
          <w:rFonts w:cs="Guttman Drogolin" w:hint="cs"/>
          <w:rtl/>
          <w:lang w:bidi="he-IL"/>
        </w:rPr>
        <w:t xml:space="preserve">  </w:t>
      </w:r>
      <w:r w:rsidR="009273E0" w:rsidRPr="00882F11">
        <w:rPr>
          <w:rFonts w:cs="Guttman Drogolin" w:hint="cs"/>
          <w:rtl/>
          <w:lang w:bidi="he-IL"/>
        </w:rPr>
        <w:t xml:space="preserve"> </w:t>
      </w:r>
      <w:r w:rsidR="00F96030" w:rsidRPr="00882F11">
        <w:rPr>
          <w:rFonts w:cs="Guttman Drogolin" w:hint="cs"/>
          <w:rtl/>
          <w:lang w:bidi="he-IL"/>
        </w:rPr>
        <w:t xml:space="preserve">  </w:t>
      </w:r>
    </w:p>
    <w:p w:rsidR="00F06124" w:rsidRPr="00882F11" w:rsidRDefault="00F06124" w:rsidP="00F06124">
      <w:pPr>
        <w:tabs>
          <w:tab w:val="right" w:pos="7497"/>
        </w:tabs>
        <w:bidi/>
        <w:jc w:val="both"/>
        <w:rPr>
          <w:rFonts w:cs="Guttman Drogolin"/>
          <w:rtl/>
          <w:lang w:bidi="he-IL"/>
        </w:rPr>
        <w:sectPr w:rsidR="00F06124" w:rsidRPr="00882F11" w:rsidSect="00DA1D59">
          <w:type w:val="continuous"/>
          <w:pgSz w:w="11907" w:h="16839" w:code="9"/>
          <w:pgMar w:top="1440" w:right="1440" w:bottom="1440" w:left="1440" w:header="720" w:footer="720" w:gutter="0"/>
          <w:cols w:num="2" w:space="720"/>
          <w:bidi/>
          <w:docGrid w:linePitch="360"/>
        </w:sectPr>
      </w:pPr>
    </w:p>
    <w:p w:rsidR="00F06124" w:rsidRPr="00882F11" w:rsidRDefault="00F06124" w:rsidP="00F06124">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ס'</w:t>
      </w:r>
    </w:p>
    <w:p w:rsidR="00DA1D59" w:rsidRDefault="00DA1D59" w:rsidP="00C173D5">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sectPr w:rsidR="00DA1D59" w:rsidSect="00DA1D59">
          <w:headerReference w:type="default" r:id="rId47"/>
          <w:pgSz w:w="11907" w:h="16839" w:code="9"/>
          <w:pgMar w:top="1440" w:right="1440" w:bottom="1440" w:left="1440" w:header="720" w:footer="720" w:gutter="0"/>
          <w:cols w:space="720"/>
          <w:bidi/>
          <w:docGrid w:linePitch="360"/>
        </w:sectPr>
      </w:pPr>
    </w:p>
    <w:p w:rsidR="00F06124" w:rsidRPr="00882F11" w:rsidRDefault="00C173D5" w:rsidP="00C173D5">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pPr>
      <w:bookmarkStart w:id="233" w:name="_Toc496175488"/>
      <w:r w:rsidRPr="00882F11">
        <w:rPr>
          <w:rFonts w:asciiTheme="majorHAnsi" w:eastAsiaTheme="majorEastAsia" w:hAnsiTheme="majorHAnsi" w:cs="Guttman Drogolin" w:hint="cs"/>
          <w:b/>
          <w:bCs/>
          <w:sz w:val="24"/>
          <w:szCs w:val="24"/>
          <w:u w:val="single"/>
          <w:rtl/>
          <w:lang w:bidi="he-IL"/>
        </w:rPr>
        <w:lastRenderedPageBreak/>
        <w:t>דברי הטור בשם בעל העיטור</w:t>
      </w:r>
      <w:bookmarkEnd w:id="233"/>
    </w:p>
    <w:p w:rsidR="00DA47B1" w:rsidRPr="00882F11" w:rsidRDefault="00067BF7" w:rsidP="0069218D">
      <w:pPr>
        <w:tabs>
          <w:tab w:val="right" w:pos="7497"/>
        </w:tabs>
        <w:bidi/>
        <w:jc w:val="both"/>
        <w:rPr>
          <w:rFonts w:cs="Guttman Drogolin"/>
          <w:rtl/>
          <w:lang w:bidi="he-IL"/>
        </w:rPr>
      </w:pPr>
      <w:r>
        <w:rPr>
          <w:rFonts w:cs="Guttman Drogolin"/>
          <w:rtl/>
          <w:lang w:bidi="he-IL"/>
        </w:rPr>
        <w:fldChar w:fldCharType="begin"/>
      </w:r>
      <w:r>
        <w:instrText xml:space="preserve"> XE "</w:instrText>
      </w:r>
      <w:r w:rsidRPr="0041278B">
        <w:rPr>
          <w:rFonts w:hint="cs"/>
          <w:rtl/>
          <w:lang w:bidi="he-IL"/>
        </w:rPr>
        <w:instrText>הכשר כלים</w:instrText>
      </w:r>
      <w:r w:rsidRPr="0041278B">
        <w:rPr>
          <w:rtl/>
        </w:rPr>
        <w:instrText>:</w:instrText>
      </w:r>
      <w:r w:rsidRPr="0041278B">
        <w:rPr>
          <w:rFonts w:hint="cs"/>
          <w:rtl/>
          <w:lang w:bidi="he-IL"/>
        </w:rPr>
        <w:instrText>בישל חלב בקדירה בשרית - האם זה מכשיר אותו</w:instrText>
      </w:r>
      <w:r>
        <w:instrText xml:space="preserve">" </w:instrText>
      </w:r>
      <w:r>
        <w:rPr>
          <w:rFonts w:cs="Guttman Drogolin"/>
          <w:rtl/>
          <w:lang w:bidi="he-IL"/>
        </w:rPr>
        <w:fldChar w:fldCharType="end"/>
      </w:r>
      <w:r w:rsidR="00C173D5" w:rsidRPr="00882F11">
        <w:rPr>
          <w:rFonts w:cs="Guttman Drogolin" w:hint="cs"/>
          <w:rtl/>
          <w:lang w:bidi="he-IL"/>
        </w:rPr>
        <w:t>הטור בסי' צ"ג הביא בשם בעל העיטור לדון</w:t>
      </w:r>
      <w:r w:rsidR="0069218D" w:rsidRPr="00882F11">
        <w:rPr>
          <w:rFonts w:cs="Guttman Drogolin" w:hint="cs"/>
          <w:rtl/>
          <w:lang w:bidi="he-IL"/>
        </w:rPr>
        <w:t xml:space="preserve"> במי שבישל חלב בקדרה בשרית והיתה ס' כנגד הטעם בשר מה דינו של הקדרה. והביא שם ג' שיטות: א) שמותר להשתמש בו חלב, ב) שאסור להשתמש בו</w:t>
      </w:r>
      <w:r w:rsidR="00C173D5" w:rsidRPr="00882F11">
        <w:rPr>
          <w:rFonts w:cs="Guttman Drogolin" w:hint="cs"/>
          <w:rtl/>
          <w:lang w:bidi="he-IL"/>
        </w:rPr>
        <w:t xml:space="preserve"> </w:t>
      </w:r>
      <w:r w:rsidR="0069218D" w:rsidRPr="00882F11">
        <w:rPr>
          <w:rFonts w:cs="Guttman Drogolin" w:hint="cs"/>
          <w:rtl/>
          <w:lang w:bidi="he-IL"/>
        </w:rPr>
        <w:t>בין חלב ובין בשר, ג) (וזהו שיטת העיטור עצמו) מותר להשתמש בו גם בשר וגם חלב. ושם בטור תמה עליו דלמה יהא מותר להשתמש בו חלב, הא בקדרה של חרס אמרינן (פסחים ל' ע"ב) שהעידה תורה שאין הבליעה יוצא מידי דופיו לעולם. ושם בב"י כתב תמה דלכאורה הי' לו לתמוה עוד יותר על השיטת העיטור עצמו המתרת להשתמש</w:t>
      </w:r>
      <w:r w:rsidR="00535E2C" w:rsidRPr="00882F11">
        <w:rPr>
          <w:rFonts w:cs="Guttman Drogolin" w:hint="cs"/>
          <w:rtl/>
          <w:lang w:bidi="he-IL"/>
        </w:rPr>
        <w:t xml:space="preserve"> בה בשר הא בישל בו חלב עכשיו. ו</w:t>
      </w:r>
      <w:r w:rsidR="0069218D" w:rsidRPr="00882F11">
        <w:rPr>
          <w:rFonts w:cs="Guttman Drogolin" w:hint="cs"/>
          <w:rtl/>
          <w:lang w:bidi="he-IL"/>
        </w:rPr>
        <w:t>כ</w:t>
      </w:r>
      <w:r w:rsidR="00535E2C" w:rsidRPr="00882F11">
        <w:rPr>
          <w:rFonts w:cs="Guttman Drogolin" w:hint="cs"/>
          <w:rtl/>
          <w:lang w:bidi="he-IL"/>
        </w:rPr>
        <w:t>ת</w:t>
      </w:r>
      <w:r w:rsidR="0069218D" w:rsidRPr="00882F11">
        <w:rPr>
          <w:rFonts w:cs="Guttman Drogolin" w:hint="cs"/>
          <w:rtl/>
          <w:lang w:bidi="he-IL"/>
        </w:rPr>
        <w:t>ב דאה"נ רק כוונת הט"ז שאפילו להשתמש בה חלב צ"ע. ושם בב"י הביא ממהר"י ן חביב שתי' שעל החלב מובן למה מותר ומשום דמיירי בחלב שהוציאו אותו כשעדיין רותחת, והכלי איידי דטריד למיפלט לא בלע. אבל הביא מר' יעקב שתמה דמ"מ הבליעות של בשר איך יצאו הא התורה העידה על כלי חרס וכו'.</w:t>
      </w:r>
    </w:p>
    <w:p w:rsidR="00FC4E2D" w:rsidRPr="00882F11" w:rsidRDefault="0069218D" w:rsidP="0069218D">
      <w:pPr>
        <w:tabs>
          <w:tab w:val="right" w:pos="7497"/>
        </w:tabs>
        <w:bidi/>
        <w:jc w:val="both"/>
        <w:rPr>
          <w:rFonts w:cs="Guttman Drogolin"/>
          <w:rtl/>
          <w:lang w:bidi="he-IL"/>
        </w:rPr>
      </w:pPr>
      <w:r w:rsidRPr="00882F11">
        <w:rPr>
          <w:rFonts w:cs="Guttman Drogolin" w:hint="cs"/>
          <w:rtl/>
          <w:lang w:bidi="he-IL"/>
        </w:rPr>
        <w:t>והט"ז בס"ק</w:t>
      </w:r>
      <w:r w:rsidR="006C0963" w:rsidRPr="00882F11">
        <w:rPr>
          <w:rFonts w:cs="Guttman Drogolin" w:hint="cs"/>
          <w:rtl/>
          <w:lang w:bidi="he-IL"/>
        </w:rPr>
        <w:t xml:space="preserve"> א' כתב ליישב שיטת העיטור, שהרי הבאנו לעיל שיטת מהר"ם דסבר שבחולין אמרינן שאין הבליעה מתפשטת בכל הכלי, דאל"כ למה בעינן גזה"כ דמריקה ושטיפה בכל הכלי, הא בכל הגעלה בעינן בכל הכלי כיון שמתפשט. והקשה הט"ז דלפי זה</w:t>
      </w:r>
      <w:r w:rsidR="00EB6C2F" w:rsidRPr="00882F11">
        <w:rPr>
          <w:rFonts w:cs="Guttman Drogolin" w:hint="cs"/>
          <w:rtl/>
          <w:lang w:bidi="he-IL"/>
        </w:rPr>
        <w:t xml:space="preserve"> למה לא אמרינן דהה"נ בכלי חרס שלעלם יש לו הגעלה, רק שמ"מ יש גזה"כ בכלי חרס שצריך שבירה. ולכן סבר הט"ז שלעולם אה"נ ולחולין אמרינן שהגעה מהני לכלי חרס, רק שגזרו בחולין אטו קדשים שנאמר בה דין שבירה. ומ"מ עד כאן לא גזרו אלא כשנאסר, אבל אם אין בה אלא בליעות של היתר כגון בשר או חלב שלא נאסרו, הרי זה כאב"י שמתירים בדיעבד ולא נאמר הגזירה. וכרו"פ השיג על הט"ז שעיקר טענת המהר"ם היתה בזה שחילק הגמ' בין קדשים לתרומה, וכתב על זה בפמ"ג שבלשון </w:t>
      </w:r>
      <w:r w:rsidR="00EB6C2F" w:rsidRPr="00882F11">
        <w:rPr>
          <w:rFonts w:cs="Guttman Drogolin" w:hint="cs"/>
          <w:rtl/>
          <w:lang w:bidi="he-IL"/>
        </w:rPr>
        <w:lastRenderedPageBreak/>
        <w:t xml:space="preserve">המהר"ם לא נראה כן. ומ"מ העיר היד יהודה שלכאורה דברי הט"ז הם נגד לשון הגמ', שהרי התורה העידה על כלי חרס שאינו יוצא מידי דופיו לעולם. והנראה לומר בדעת הט"ז </w:t>
      </w:r>
      <w:r w:rsidR="00FC4E2D" w:rsidRPr="00882F11">
        <w:rPr>
          <w:rFonts w:cs="Guttman Drogolin" w:hint="cs"/>
          <w:rtl/>
          <w:lang w:bidi="he-IL"/>
        </w:rPr>
        <w:t>שסבר שאין כוונת הגמ' שדבר ברור הוא שאינו יוצא מידי דופיו, אלא שאין לסמוך על זה כיון שיש פעמים שאינו יוצא. ובזה סבר הט"ז שלעולם מעיקר הדין יש לסמוך שיצא ממנו, רק חומרא הוא בקדשים שלא לסמוך על זה.</w:t>
      </w:r>
    </w:p>
    <w:p w:rsidR="00C46E52" w:rsidRPr="00882F11" w:rsidRDefault="00FC4E2D" w:rsidP="00FC4E2D">
      <w:pPr>
        <w:tabs>
          <w:tab w:val="right" w:pos="7497"/>
        </w:tabs>
        <w:bidi/>
        <w:jc w:val="both"/>
        <w:rPr>
          <w:rFonts w:cs="Guttman Drogolin"/>
          <w:rtl/>
          <w:lang w:bidi="he-IL"/>
        </w:rPr>
      </w:pPr>
      <w:r w:rsidRPr="00882F11">
        <w:rPr>
          <w:rFonts w:cs="Guttman Drogolin" w:hint="cs"/>
          <w:rtl/>
          <w:lang w:bidi="he-IL"/>
        </w:rPr>
        <w:t xml:space="preserve">ומ"מ שם ביד יהודה הביא מלשון העיטור עצמו דטעמא אחרינא איכא. </w:t>
      </w:r>
      <w:r w:rsidR="00D8125B" w:rsidRPr="00882F11">
        <w:rPr>
          <w:rFonts w:cs="Guttman Drogolin" w:hint="cs"/>
          <w:rtl/>
          <w:lang w:bidi="he-IL"/>
        </w:rPr>
        <w:t>והוא דסבר שבכלי חרס אם בישל כשיש ס' נגדו או הגעילו ג' פעמים אע"ג שעדיין אינו יוצא ממנו את כל הטעם, מ"מ לא נשאר בה אלא טעם משהו, ובקדשים הקפידה תורה על טעם משהו, אבל בחולין מותר לבטלו לכתחילה.</w:t>
      </w:r>
    </w:p>
    <w:p w:rsidR="00C46E52" w:rsidRPr="00882F11" w:rsidRDefault="00C46E52" w:rsidP="00C46E52">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pPr>
      <w:bookmarkStart w:id="234" w:name="_Toc496175489"/>
      <w:r w:rsidRPr="00882F11">
        <w:rPr>
          <w:rFonts w:asciiTheme="majorHAnsi" w:eastAsiaTheme="majorEastAsia" w:hAnsiTheme="majorHAnsi" w:cs="Guttman Drogolin" w:hint="cs"/>
          <w:b/>
          <w:bCs/>
          <w:sz w:val="24"/>
          <w:szCs w:val="24"/>
          <w:u w:val="single"/>
          <w:rtl/>
          <w:lang w:bidi="he-IL"/>
        </w:rPr>
        <w:t>שיטת הרשב"א בבישל בה ירקות</w:t>
      </w:r>
      <w:bookmarkEnd w:id="234"/>
    </w:p>
    <w:p w:rsidR="001019D2" w:rsidRPr="00882F11" w:rsidRDefault="00067BF7" w:rsidP="001019D2">
      <w:pPr>
        <w:tabs>
          <w:tab w:val="right" w:pos="7497"/>
        </w:tabs>
        <w:bidi/>
        <w:jc w:val="both"/>
        <w:rPr>
          <w:rFonts w:cs="Guttman Drogolin"/>
          <w:rtl/>
          <w:lang w:bidi="he-IL"/>
        </w:rPr>
      </w:pPr>
      <w:r>
        <w:rPr>
          <w:rFonts w:cs="Guttman Drogolin"/>
          <w:rtl/>
          <w:lang w:bidi="he-IL"/>
        </w:rPr>
        <w:fldChar w:fldCharType="begin"/>
      </w:r>
      <w:r>
        <w:instrText xml:space="preserve"> XE "</w:instrText>
      </w:r>
      <w:r w:rsidRPr="00393FD5">
        <w:rPr>
          <w:rFonts w:hint="cs"/>
          <w:rtl/>
          <w:lang w:bidi="he-IL"/>
        </w:rPr>
        <w:instrText>הכשר כלים</w:instrText>
      </w:r>
      <w:r w:rsidRPr="00393FD5">
        <w:rPr>
          <w:rtl/>
        </w:rPr>
        <w:instrText>:</w:instrText>
      </w:r>
      <w:r w:rsidRPr="00393FD5">
        <w:rPr>
          <w:rFonts w:hint="cs"/>
          <w:rtl/>
          <w:lang w:bidi="he-IL"/>
        </w:rPr>
        <w:instrText>בישול ירקות - אם מכשיר הכלי</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C15C7C">
        <w:rPr>
          <w:rFonts w:hint="cs"/>
          <w:rtl/>
          <w:lang w:bidi="he-IL"/>
        </w:rPr>
        <w:instrText>הגעלת כלים</w:instrText>
      </w:r>
      <w:r w:rsidRPr="00C15C7C">
        <w:rPr>
          <w:rtl/>
        </w:rPr>
        <w:instrText>:</w:instrText>
      </w:r>
      <w:r w:rsidRPr="00C15C7C">
        <w:rPr>
          <w:rFonts w:hint="cs"/>
          <w:rtl/>
          <w:lang w:bidi="he-IL"/>
        </w:rPr>
        <w:instrText>בישול ירקות - אם מכשיר הכלי</w:instrText>
      </w:r>
      <w:r>
        <w:instrText xml:space="preserve">" </w:instrText>
      </w:r>
      <w:r>
        <w:rPr>
          <w:rFonts w:cs="Guttman Drogolin"/>
          <w:rtl/>
          <w:lang w:bidi="he-IL"/>
        </w:rPr>
        <w:fldChar w:fldCharType="end"/>
      </w:r>
      <w:r w:rsidR="00C46E52" w:rsidRPr="00882F11">
        <w:rPr>
          <w:rFonts w:cs="Guttman Drogolin" w:hint="cs"/>
          <w:rtl/>
          <w:lang w:bidi="he-IL"/>
        </w:rPr>
        <w:t xml:space="preserve">לאחר </w:t>
      </w:r>
      <w:r w:rsidR="002E68AF" w:rsidRPr="00882F11">
        <w:rPr>
          <w:rFonts w:cs="Guttman Drogolin" w:hint="cs"/>
          <w:rtl/>
          <w:lang w:bidi="he-IL"/>
        </w:rPr>
        <w:t>מכן ה</w:t>
      </w:r>
      <w:r w:rsidR="00C46E52" w:rsidRPr="00882F11">
        <w:rPr>
          <w:rFonts w:cs="Guttman Drogolin" w:hint="cs"/>
          <w:rtl/>
          <w:lang w:bidi="he-IL"/>
        </w:rPr>
        <w:t>ביא הטור את שיטת הרשב"</w:t>
      </w:r>
      <w:r w:rsidR="00D978C2" w:rsidRPr="00882F11">
        <w:rPr>
          <w:rFonts w:cs="Guttman Drogolin" w:hint="cs"/>
          <w:rtl/>
          <w:lang w:bidi="he-IL"/>
        </w:rPr>
        <w:t>א</w:t>
      </w:r>
      <w:r w:rsidR="002E68AF" w:rsidRPr="00882F11">
        <w:rPr>
          <w:rFonts w:cs="Guttman Drogolin" w:hint="cs"/>
          <w:rtl/>
          <w:lang w:bidi="he-IL"/>
        </w:rPr>
        <w:t xml:space="preserve"> שאם בישל ירקות בקדרה בשרית דשוב מותר לבשל בה חלב</w:t>
      </w:r>
      <w:r w:rsidR="00EC745B" w:rsidRPr="00882F11">
        <w:rPr>
          <w:rFonts w:cs="Guttman Drogolin" w:hint="cs"/>
          <w:rtl/>
          <w:lang w:bidi="he-IL"/>
        </w:rPr>
        <w:t>, והנ"מ כה"ג דהיתירא בלע, אבל איסורא בלע לא מהני</w:t>
      </w:r>
      <w:r w:rsidR="002E68AF" w:rsidRPr="00882F11">
        <w:rPr>
          <w:rFonts w:cs="Guttman Drogolin" w:hint="cs"/>
          <w:rtl/>
          <w:lang w:bidi="he-IL"/>
        </w:rPr>
        <w:t xml:space="preserve">. </w:t>
      </w:r>
      <w:r w:rsidR="00D978C2" w:rsidRPr="00882F11">
        <w:rPr>
          <w:rFonts w:cs="Guttman Drogolin" w:hint="cs"/>
          <w:rtl/>
          <w:lang w:bidi="he-IL"/>
        </w:rPr>
        <w:t>ומבואר שם טעמו משום שהבישול מחליש את הבליעה שבקדרה ושוב לא יחול עליו איסור דומיא דמה שמצאנו בנ"ט בר נ"ט. והטור הביא את שיטתו ולא חלק עליו, ולכן תמה הב"י</w:t>
      </w:r>
      <w:r w:rsidR="0069218D" w:rsidRPr="00882F11">
        <w:rPr>
          <w:rFonts w:cs="Guttman Drogolin" w:hint="cs"/>
          <w:rtl/>
          <w:lang w:bidi="he-IL"/>
        </w:rPr>
        <w:t xml:space="preserve"> </w:t>
      </w:r>
      <w:r w:rsidR="00D978C2" w:rsidRPr="00882F11">
        <w:rPr>
          <w:rFonts w:cs="Guttman Drogolin" w:hint="cs"/>
          <w:rtl/>
          <w:lang w:bidi="he-IL"/>
        </w:rPr>
        <w:t>מאי שנא הכא שלא תמה הטור, ואילו אשיטת בעל העיטור תמה, שלכאורה שניהם יסוד א' להם. ומסקנת הב"י שהרשב"א מיירי דוקא בכלי שטף, דרק בכלי שטף שאין בליעתו מרובה</w:t>
      </w:r>
      <w:r w:rsidR="00EC745B" w:rsidRPr="00882F11">
        <w:rPr>
          <w:rFonts w:cs="Guttman Drogolin" w:hint="cs"/>
          <w:rtl/>
          <w:lang w:bidi="he-IL"/>
        </w:rPr>
        <w:t xml:space="preserve"> י"ל דאיקליש טעמו ואינו נאסר. אלא דשוב הקשה הב"י על הטור ממה שהביא בסי' צ"ד את דברי ס' התרומה</w:t>
      </w:r>
      <w:r w:rsidR="00EC745B" w:rsidRPr="00882F11">
        <w:rPr>
          <w:rStyle w:val="FootnoteReference"/>
          <w:rFonts w:cs="Guttman Drogolin"/>
          <w:rtl/>
          <w:lang w:bidi="he-IL"/>
        </w:rPr>
        <w:footnoteReference w:id="272"/>
      </w:r>
      <w:r w:rsidR="00EC745B" w:rsidRPr="00882F11">
        <w:rPr>
          <w:rFonts w:cs="Guttman Drogolin" w:hint="cs"/>
          <w:rtl/>
          <w:lang w:bidi="he-IL"/>
        </w:rPr>
        <w:t xml:space="preserve"> </w:t>
      </w:r>
      <w:r w:rsidR="00960981" w:rsidRPr="00882F11">
        <w:rPr>
          <w:rFonts w:cs="Guttman Drogolin" w:hint="cs"/>
          <w:rtl/>
          <w:lang w:bidi="he-IL"/>
        </w:rPr>
        <w:t xml:space="preserve">שאם בישלו מים בקדרה תוך מעל"ע מבישול בשר או חלב שנעשית לפגם מבליעת הבשר או החלב משום שאין חענ"ן בהיתירא (משא"כ בבלע איסור שצריכים מעל"ע מבישול השני). ולכאורה אם כדברי הרשב"א </w:t>
      </w:r>
      <w:r w:rsidR="001019D2" w:rsidRPr="00882F11">
        <w:rPr>
          <w:rFonts w:cs="Guttman Drogolin" w:hint="cs"/>
          <w:rtl/>
          <w:lang w:bidi="he-IL"/>
        </w:rPr>
        <w:t xml:space="preserve">הרי זה מתיר </w:t>
      </w:r>
      <w:r w:rsidR="001019D2" w:rsidRPr="00882F11">
        <w:rPr>
          <w:rFonts w:cs="Guttman Drogolin" w:hint="cs"/>
          <w:rtl/>
          <w:lang w:bidi="he-IL"/>
        </w:rPr>
        <w:lastRenderedPageBreak/>
        <w:t xml:space="preserve">את הכלי לכתחילה ולא רק שנעשה לפגם מן השעה הראשונה. והט"ז בס"ק ב' תי' שיש לחלק בין היכא שבישל בה ירקות וידוע שהי' אותו שיעור בישול שהי' מקודם, שזה חשוב כהגעלה ומותר, לבין היכא שלא דקדק, ולכן בעינן שיהיו הבליעות לפגם, ואינו מוכשר ואסור להשתמש בה לכתחילה. והנקוה"כ כתב דהא דהרשב"א מיירי בכלי מתכת והס' תרומה מיירי בכלי חרס. </w:t>
      </w:r>
    </w:p>
    <w:p w:rsidR="0069218D" w:rsidRPr="00882F11" w:rsidRDefault="001019D2" w:rsidP="007566A9">
      <w:pPr>
        <w:tabs>
          <w:tab w:val="right" w:pos="7497"/>
        </w:tabs>
        <w:bidi/>
        <w:jc w:val="both"/>
        <w:rPr>
          <w:rFonts w:cs="Guttman Drogolin"/>
          <w:rtl/>
          <w:lang w:bidi="he-IL"/>
        </w:rPr>
      </w:pPr>
      <w:r w:rsidRPr="00882F11">
        <w:rPr>
          <w:rFonts w:cs="Guttman Drogolin" w:hint="cs"/>
          <w:rtl/>
          <w:lang w:bidi="he-IL"/>
        </w:rPr>
        <w:t xml:space="preserve">ובעיקר הנידון יש להדגיש שהרשב"א לא סבר שיש כאן הגעלה ממש, רק דסגי כיון שנחלש. ולכאורה צ"ע למה לא יחשב הגעלה ממש. </w:t>
      </w:r>
      <w:r w:rsidR="007566A9" w:rsidRPr="00882F11">
        <w:rPr>
          <w:rFonts w:cs="Guttman Drogolin" w:hint="cs"/>
          <w:rtl/>
          <w:lang w:bidi="he-IL"/>
        </w:rPr>
        <w:t>ולשיטת הרשב"א עצמה ניחא, דהא סבירא לי שאם נפל איסור על מקצת כלי צריך הגעלה בכל הכלי, ולא מהני בזה הסברא דכולעו כך פולטו. אמנם אפילו לשיטת הרא"ה דמהני הגעלה בכה"ג, מ"מ יש לחשוש לניצוצות, ולכן אין כאן הגעלה גמורה וכדמבואר בסוף מס' ע"ז.</w:t>
      </w:r>
      <w:r w:rsidR="00960981" w:rsidRPr="00882F11">
        <w:rPr>
          <w:rFonts w:cs="Guttman Drogolin" w:hint="cs"/>
          <w:rtl/>
          <w:lang w:bidi="he-IL"/>
        </w:rPr>
        <w:t xml:space="preserve"> </w:t>
      </w:r>
    </w:p>
    <w:p w:rsidR="007566A9" w:rsidRPr="00882F11" w:rsidRDefault="007566A9" w:rsidP="007566A9">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pPr>
      <w:bookmarkStart w:id="235" w:name="_Toc496175490"/>
      <w:r w:rsidRPr="00882F11">
        <w:rPr>
          <w:rFonts w:asciiTheme="majorHAnsi" w:eastAsiaTheme="majorEastAsia" w:hAnsiTheme="majorHAnsi" w:cs="Guttman Drogolin" w:hint="cs"/>
          <w:b/>
          <w:bCs/>
          <w:sz w:val="24"/>
          <w:szCs w:val="24"/>
          <w:u w:val="single"/>
          <w:rtl/>
          <w:lang w:bidi="he-IL"/>
        </w:rPr>
        <w:t>בענין כיסוי הקדרה</w:t>
      </w:r>
      <w:bookmarkEnd w:id="235"/>
    </w:p>
    <w:p w:rsidR="007566A9" w:rsidRPr="00882F11" w:rsidRDefault="00067BF7" w:rsidP="00002AEF">
      <w:pPr>
        <w:tabs>
          <w:tab w:val="right" w:pos="7497"/>
        </w:tabs>
        <w:bidi/>
        <w:jc w:val="both"/>
        <w:rPr>
          <w:rFonts w:cs="Guttman Drogolin"/>
          <w:rtl/>
          <w:lang w:bidi="he-IL"/>
        </w:rPr>
      </w:pPr>
      <w:r>
        <w:rPr>
          <w:rFonts w:cs="Guttman Drogolin"/>
          <w:rtl/>
          <w:lang w:bidi="he-IL"/>
        </w:rPr>
        <w:fldChar w:fldCharType="begin"/>
      </w:r>
      <w:r>
        <w:instrText xml:space="preserve"> XE "</w:instrText>
      </w:r>
      <w:r w:rsidRPr="004D6215">
        <w:rPr>
          <w:rFonts w:hint="cs"/>
          <w:rtl/>
          <w:lang w:bidi="he-IL"/>
        </w:rPr>
        <w:instrText>כיסוי הקדרה</w:instrText>
      </w:r>
      <w:r w:rsidRPr="004D6215">
        <w:rPr>
          <w:rtl/>
        </w:rPr>
        <w:instrText>:</w:instrText>
      </w:r>
      <w:r w:rsidRPr="004D6215">
        <w:rPr>
          <w:rFonts w:hint="cs"/>
          <w:rtl/>
          <w:lang w:bidi="he-IL"/>
        </w:rPr>
        <w:instrText>אם אוסר</w:instrText>
      </w:r>
      <w:r>
        <w:instrText xml:space="preserve">" </w:instrText>
      </w:r>
      <w:r>
        <w:rPr>
          <w:rFonts w:cs="Guttman Drogolin"/>
          <w:rtl/>
          <w:lang w:bidi="he-IL"/>
        </w:rPr>
        <w:fldChar w:fldCharType="end"/>
      </w:r>
      <w:r w:rsidR="007566A9" w:rsidRPr="00882F11">
        <w:rPr>
          <w:rFonts w:cs="Guttman Drogolin" w:hint="cs"/>
          <w:rtl/>
          <w:lang w:bidi="he-IL"/>
        </w:rPr>
        <w:t xml:space="preserve">הרמ"א בסוגיין דן בכמה אופנים של כיסוי קדרה מתי אוסר. והטעם שכיסוי הקדרה אוסר משום שזיעה עולה מן התבשיל עד הכיסוי ושוב יורדת מן הכיסוי לתבשיל, באופן שכל הטעם שבכיסוי נכנס לתבששיל ואוסרו. ופשוט שבכה"ג שגם הכיסוי וגם הקדירה רותחין שהכיסוי אוסר. וכן </w:t>
      </w:r>
      <w:r w:rsidR="00002AEF" w:rsidRPr="00882F11">
        <w:rPr>
          <w:rFonts w:cs="Guttman Drogolin" w:hint="cs"/>
          <w:rtl/>
          <w:lang w:bidi="he-IL"/>
        </w:rPr>
        <w:t>כ</w:t>
      </w:r>
      <w:r w:rsidR="007566A9" w:rsidRPr="00882F11">
        <w:rPr>
          <w:rFonts w:cs="Guttman Drogolin" w:hint="cs"/>
          <w:rtl/>
          <w:lang w:bidi="he-IL"/>
        </w:rPr>
        <w:t xml:space="preserve">שהקדרה רותחת והכיסוי צונן מ"מ תתאה גבר </w:t>
      </w:r>
      <w:r w:rsidR="00002AEF" w:rsidRPr="00882F11">
        <w:rPr>
          <w:rFonts w:cs="Guttman Drogolin" w:hint="cs"/>
          <w:rtl/>
          <w:lang w:bidi="he-IL"/>
        </w:rPr>
        <w:t xml:space="preserve">והכיסוי אוסרת (אם היד סולדת בזיעה </w:t>
      </w:r>
      <w:r w:rsidR="00002AEF" w:rsidRPr="00882F11">
        <w:rPr>
          <w:rFonts w:cs="Guttman Drogolin"/>
          <w:rtl/>
          <w:lang w:bidi="he-IL"/>
        </w:rPr>
        <w:t>–</w:t>
      </w:r>
      <w:r w:rsidR="00002AEF" w:rsidRPr="00882F11">
        <w:rPr>
          <w:rFonts w:cs="Guttman Drogolin" w:hint="cs"/>
          <w:rtl/>
          <w:lang w:bidi="he-IL"/>
        </w:rPr>
        <w:t xml:space="preserve"> ש"ך ס"ק ה'). ואם הקדרה צוננת והכיסוי רותח נחלקו </w:t>
      </w:r>
      <w:r w:rsidR="0052044B" w:rsidRPr="00882F11">
        <w:rPr>
          <w:rFonts w:cs="Guttman Drogolin" w:hint="cs"/>
          <w:rtl/>
          <w:lang w:bidi="he-IL"/>
        </w:rPr>
        <w:t xml:space="preserve">הפוסקים אם אוסר הקדרה, והש"ך נוטה לאסור. וכל הנ"ל אם יש לחלוחית מן הכיסוי, אבל אם אין לחלוחית לא הוי אלא כב' כלים שאין בליעה עוברת מא' לשני בלי רוטב. </w:t>
      </w:r>
    </w:p>
    <w:p w:rsidR="0052044B" w:rsidRPr="00882F11" w:rsidRDefault="0052044B" w:rsidP="0052044B">
      <w:pPr>
        <w:tabs>
          <w:tab w:val="right" w:pos="7497"/>
        </w:tabs>
        <w:bidi/>
        <w:jc w:val="both"/>
        <w:rPr>
          <w:rFonts w:cs="Guttman Drogolin"/>
          <w:rtl/>
          <w:lang w:bidi="he-IL"/>
        </w:rPr>
      </w:pPr>
      <w:r w:rsidRPr="00882F11">
        <w:rPr>
          <w:rFonts w:cs="Guttman Drogolin" w:hint="cs"/>
          <w:rtl/>
          <w:lang w:bidi="he-IL"/>
        </w:rPr>
        <w:t xml:space="preserve">והרמ"א הביא מנהג מקומו לאסור אפילו אם הכיסוי אינו בן יומו. והרמ"א בטעם המנהג ונטה להקל אבל מכח המנהג לא הקיל אא"כ יש עוד סניף להקל או כשהוא לצורך שבת או הפסד. והש"ך מעיקרא הביא מתו"ח להמיר בזיעה וריחא יש מטעם מן התבשיל עצמו. אבל הביא שיש סברות במהרש"ל לדחות סברא זו, ומסיק הטעם במנהג משום שהכיסוי צר ומצטבר מאכל בעין </w:t>
      </w:r>
      <w:r w:rsidRPr="00882F11">
        <w:rPr>
          <w:rFonts w:cs="Guttman Drogolin" w:hint="cs"/>
          <w:rtl/>
          <w:lang w:bidi="he-IL"/>
        </w:rPr>
        <w:lastRenderedPageBreak/>
        <w:t>במקום שאינו יכול לנקותו היטב, ומאכל בעין לא נעשה לפגם אחרי מעל"ע, ומשו"ה הי' המנהג לאסור. וכ"כ הט"ז. וע"ש בש"ך שמ"מ אין זה עיקר הדין רק מנהג, ולכאורה טעמו משום שבדרך כלל גם אם יש בעין אינו בישעור ביכול לאסור, וכן מסתמא אינה ראוי' לגר.</w:t>
      </w:r>
    </w:p>
    <w:p w:rsidR="0052044B" w:rsidRPr="00882F11" w:rsidRDefault="0052044B" w:rsidP="0052044B">
      <w:pPr>
        <w:tabs>
          <w:tab w:val="right" w:pos="7497"/>
        </w:tabs>
        <w:bidi/>
        <w:jc w:val="both"/>
        <w:rPr>
          <w:rFonts w:cs="Guttman Drogolin"/>
          <w:rtl/>
          <w:lang w:bidi="he-IL"/>
        </w:rPr>
      </w:pPr>
      <w:r w:rsidRPr="00882F11">
        <w:rPr>
          <w:rFonts w:cs="Guttman Drogolin" w:hint="cs"/>
          <w:rtl/>
          <w:lang w:bidi="he-IL"/>
        </w:rPr>
        <w:t xml:space="preserve">והש"ך בס"ק </w:t>
      </w:r>
      <w:r w:rsidR="00F32B5D" w:rsidRPr="00882F11">
        <w:rPr>
          <w:rFonts w:cs="Guttman Drogolin" w:hint="cs"/>
          <w:rtl/>
          <w:lang w:bidi="he-IL"/>
        </w:rPr>
        <w:t>ד' כתב עוד דכיון שיש בעין חיישינן שעלה זיעה עד ס' כנגדו ואסר הבעין, ושוב אסר את הכיסוי כיון שנתפשט בכיסוי ולכן צריכים ששים כנגד כל הכיסוי. ורע"א תמה בזה בתרתי, חדא דלמה יש לנו לחשוש לעד ס' כנגדו, הא אם ששים בתבשיל לא יהא אלא כמש"כ הרמ"א בסי' צ"ב ססע' ז' שמשערין בכל הקדרה והוי ככנגד הרוטב. ור"ל שאמנם המהרש"ל והט"ז חלקו על זה, אבל הש"ך נראה שהסכים עם הרמ"א. ועוד הקשה רע"א דמה איכפת לן אם מפעפע בבליכות שבכיסוי הקדרה, הא הבליעות שבקדרה הם לפגם ואין הטעם של הבעין אוסרו.</w:t>
      </w:r>
    </w:p>
    <w:p w:rsidR="00F32B5D" w:rsidRPr="00882F11" w:rsidRDefault="00F32B5D" w:rsidP="00F32B5D">
      <w:pPr>
        <w:tabs>
          <w:tab w:val="right" w:pos="7497"/>
        </w:tabs>
        <w:bidi/>
        <w:jc w:val="both"/>
        <w:rPr>
          <w:rFonts w:cs="Guttman Drogolin"/>
          <w:rtl/>
          <w:lang w:bidi="he-IL"/>
        </w:rPr>
      </w:pPr>
      <w:r w:rsidRPr="00882F11">
        <w:rPr>
          <w:rFonts w:cs="Guttman Drogolin" w:hint="cs"/>
          <w:rtl/>
          <w:lang w:bidi="he-IL"/>
        </w:rPr>
        <w:t>והנה בהאי קושיא בתרא לא ירדתי לסוף דעתו, שהרי הש"ך בס"ק כ"ג העיר שאפילו בקדירה ריקנית הי' לנו לאסור משום הבליעות של התבשיל של בשר הנמצא בה עכשיו, ותי' דשמא בישול אינו מפעפע בכל הכלי, וכן עוד תירוצים ע"ש. ולכאורה כאן שהזיעה ודאי עולה למעלה והוי ככנגד הרוטב שפיר יש להתחשב עם הזיעה של בשר העולה עכשיו ויאסור את הכיסוי. וצ"ע. ולענין הקושיא השני' כתב ביד יהודה ס"ק ה' דיתכן כאן מיירי בכה"ג שהזיעה עדיין לא הי' עולה יפה אבל הכיסוי הי' חם ולכן נאסר.</w:t>
      </w:r>
    </w:p>
    <w:p w:rsidR="001E2837" w:rsidRPr="00882F11" w:rsidRDefault="001E2837" w:rsidP="001E2837">
      <w:pPr>
        <w:tabs>
          <w:tab w:val="right" w:pos="7497"/>
        </w:tabs>
        <w:bidi/>
        <w:jc w:val="both"/>
        <w:rPr>
          <w:rFonts w:cs="Guttman Drogolin"/>
          <w:rtl/>
          <w:lang w:bidi="he-IL"/>
        </w:rPr>
        <w:sectPr w:rsidR="001E2837" w:rsidRPr="00882F11" w:rsidSect="00DA1D59">
          <w:type w:val="continuous"/>
          <w:pgSz w:w="11907" w:h="16839" w:code="9"/>
          <w:pgMar w:top="1440" w:right="1440" w:bottom="1440" w:left="1440" w:header="720" w:footer="720" w:gutter="0"/>
          <w:cols w:num="2" w:space="720"/>
          <w:bidi/>
          <w:docGrid w:linePitch="360"/>
        </w:sectPr>
      </w:pPr>
    </w:p>
    <w:p w:rsidR="001E2837" w:rsidRPr="00882F11" w:rsidRDefault="001E2837" w:rsidP="001E2837">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ס"א</w:t>
      </w:r>
    </w:p>
    <w:p w:rsidR="00DA1D59" w:rsidRDefault="00DA1D59" w:rsidP="0078079C">
      <w:pPr>
        <w:pStyle w:val="Heading1"/>
        <w:bidi/>
        <w:spacing w:before="0" w:line="360" w:lineRule="auto"/>
        <w:jc w:val="center"/>
        <w:rPr>
          <w:rFonts w:cs="Guttman Drogolin"/>
          <w:color w:val="auto"/>
          <w:sz w:val="24"/>
          <w:szCs w:val="24"/>
          <w:u w:val="single"/>
          <w:rtl/>
          <w:lang w:bidi="he-IL"/>
        </w:rPr>
        <w:sectPr w:rsidR="00DA1D59" w:rsidSect="00DA1D59">
          <w:pgSz w:w="11907" w:h="16839" w:code="9"/>
          <w:pgMar w:top="1440" w:right="1440" w:bottom="1440" w:left="1440" w:header="720" w:footer="720" w:gutter="0"/>
          <w:cols w:space="720"/>
          <w:bidi/>
          <w:docGrid w:linePitch="360"/>
        </w:sectPr>
      </w:pPr>
    </w:p>
    <w:p w:rsidR="001E2837" w:rsidRPr="00882F11" w:rsidRDefault="001E2837" w:rsidP="0078079C">
      <w:pPr>
        <w:pStyle w:val="Heading1"/>
        <w:bidi/>
        <w:spacing w:before="0" w:line="360" w:lineRule="auto"/>
        <w:jc w:val="center"/>
        <w:rPr>
          <w:rFonts w:cs="Guttman Drogolin"/>
          <w:color w:val="auto"/>
          <w:sz w:val="24"/>
          <w:szCs w:val="24"/>
          <w:u w:val="single"/>
          <w:rtl/>
          <w:lang w:bidi="he-IL"/>
        </w:rPr>
      </w:pPr>
      <w:bookmarkStart w:id="236" w:name="_Toc496175491"/>
      <w:r w:rsidRPr="00882F11">
        <w:rPr>
          <w:rFonts w:cs="Guttman Drogolin" w:hint="cs"/>
          <w:color w:val="auto"/>
          <w:sz w:val="24"/>
          <w:szCs w:val="24"/>
          <w:u w:val="single"/>
          <w:rtl/>
          <w:lang w:bidi="he-IL"/>
        </w:rPr>
        <w:lastRenderedPageBreak/>
        <w:t>עוד בדעת הרשב"א</w:t>
      </w:r>
      <w:bookmarkEnd w:id="236"/>
    </w:p>
    <w:p w:rsidR="00630FA1" w:rsidRPr="00882F11" w:rsidRDefault="00067BF7" w:rsidP="00D23E32">
      <w:pPr>
        <w:tabs>
          <w:tab w:val="right" w:pos="7497"/>
        </w:tabs>
        <w:bidi/>
        <w:jc w:val="both"/>
        <w:rPr>
          <w:rFonts w:cs="Guttman Drogolin"/>
          <w:rtl/>
          <w:lang w:bidi="he-IL"/>
        </w:rPr>
      </w:pPr>
      <w:r>
        <w:rPr>
          <w:rFonts w:cs="Guttman Drogolin"/>
          <w:rtl/>
          <w:lang w:bidi="he-IL"/>
        </w:rPr>
        <w:fldChar w:fldCharType="begin"/>
      </w:r>
      <w:r>
        <w:instrText xml:space="preserve"> XE "</w:instrText>
      </w:r>
      <w:r w:rsidRPr="00393FD5">
        <w:rPr>
          <w:rFonts w:hint="cs"/>
          <w:rtl/>
          <w:lang w:bidi="he-IL"/>
        </w:rPr>
        <w:instrText>הכשר כלים</w:instrText>
      </w:r>
      <w:r w:rsidRPr="00393FD5">
        <w:rPr>
          <w:rtl/>
        </w:rPr>
        <w:instrText>:</w:instrText>
      </w:r>
      <w:r w:rsidRPr="00393FD5">
        <w:rPr>
          <w:rFonts w:hint="cs"/>
          <w:rtl/>
          <w:lang w:bidi="he-IL"/>
        </w:rPr>
        <w:instrText>בישול ירקות - אם מכשיר הכלי</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C15C7C">
        <w:rPr>
          <w:rFonts w:hint="cs"/>
          <w:rtl/>
          <w:lang w:bidi="he-IL"/>
        </w:rPr>
        <w:instrText>הגעלת כלים</w:instrText>
      </w:r>
      <w:r w:rsidRPr="00C15C7C">
        <w:rPr>
          <w:rtl/>
        </w:rPr>
        <w:instrText>:</w:instrText>
      </w:r>
      <w:r w:rsidRPr="00C15C7C">
        <w:rPr>
          <w:rFonts w:hint="cs"/>
          <w:rtl/>
          <w:lang w:bidi="he-IL"/>
        </w:rPr>
        <w:instrText>בישול ירקות - אם מכשיר הכלי</w:instrText>
      </w:r>
      <w:r>
        <w:instrText xml:space="preserve">" </w:instrText>
      </w:r>
      <w:r>
        <w:rPr>
          <w:rFonts w:cs="Guttman Drogolin"/>
          <w:rtl/>
          <w:lang w:bidi="he-IL"/>
        </w:rPr>
        <w:fldChar w:fldCharType="end"/>
      </w:r>
      <w:r w:rsidR="001E2837" w:rsidRPr="00882F11">
        <w:rPr>
          <w:rFonts w:cs="Guttman Drogolin" w:hint="cs"/>
          <w:rtl/>
          <w:lang w:bidi="he-IL"/>
        </w:rPr>
        <w:t>בשיעור הקודם דיברנו אודות חידושו של הרשב"א שאם</w:t>
      </w:r>
      <w:r w:rsidR="001B03A9" w:rsidRPr="00882F11">
        <w:rPr>
          <w:rFonts w:cs="Guttman Drogolin" w:hint="cs"/>
          <w:rtl/>
          <w:lang w:bidi="he-IL"/>
        </w:rPr>
        <w:t xml:space="preserve"> בישלו ירקות בקדרה של בשר שמור לאחר מכן לבשל בה חלב. ולכאורה מונחים בדברי הרשב"א שתי חידושים. חדא מה שמפורש בדבריו </w:t>
      </w:r>
      <w:r w:rsidR="00B04E1F" w:rsidRPr="00882F11">
        <w:rPr>
          <w:rFonts w:cs="Guttman Drogolin" w:hint="cs"/>
          <w:rtl/>
          <w:lang w:bidi="he-IL"/>
        </w:rPr>
        <w:t xml:space="preserve">דאע"ג דבאיסורא בלע אם תשמישתו באור צריך גם הכשר ע"י האור, מ"מ בהיתירא בלע סגי לן בהגעלה. והטעם בזה משום שאמנם אינו מוציא את כל הבליעות ע"י הגעלה כיון שהיתה תשמישתו ע"י האור, מ"מ הרי הוא מחליש את הבליעות מספיק כדי שלא יחול חלות איסור על הבליעות של היתר, ועל דרך מה שמצאנו בדינא דנ"ט בר נ"ט שאין איסור חל עליו. ועוד חידוש השמיענו הרשב"א (לרוב המפרשים) והוא שהרי תהליך ההגעלה היא כשמכניס את הכלי הכלי מתחת למי ההגעלה המעלין רתיחות. ובסוף מס' ע"ז מבואר שאם יש כלי שאי אפשר להכניסו לתוך כלי אחר יש לו לעשות לו שפה נוספת לפיו כדי שיוכלו למלאות אותו למעלה מפיו, ואז יבשל המים בתוך הכלי וגם זה יכשיר את הכלי. והנה לכאורה בישול קדרה שיש בה ירקות </w:t>
      </w:r>
      <w:r w:rsidR="00011736" w:rsidRPr="00882F11">
        <w:rPr>
          <w:rFonts w:cs="Guttman Drogolin" w:hint="cs"/>
          <w:rtl/>
          <w:lang w:bidi="he-IL"/>
        </w:rPr>
        <w:t xml:space="preserve">לכאורה אינו מקיים הגעלה ממש דהא ליכא שפה נוספת. </w:t>
      </w:r>
      <w:r w:rsidR="00D23E32" w:rsidRPr="00882F11">
        <w:rPr>
          <w:rFonts w:cs="Guttman Drogolin" w:hint="cs"/>
          <w:rtl/>
          <w:lang w:bidi="he-IL"/>
        </w:rPr>
        <w:t>ומ"מ נקטו רוב המפרשים שהרשב"א הקיל להכשיר הקדרה גם באופן זה. והיינו אע"ג ששיטת הרשב"א עצמו שאם נבלע איסור במקצת כלי צריך להגעיל את כל הכלי. ו</w:t>
      </w:r>
      <w:r w:rsidR="00630FA1" w:rsidRPr="00882F11">
        <w:rPr>
          <w:rFonts w:cs="Guttman Drogolin" w:hint="cs"/>
          <w:rtl/>
          <w:lang w:bidi="he-IL"/>
        </w:rPr>
        <w:t>היי</w:t>
      </w:r>
      <w:r w:rsidR="00D23E32" w:rsidRPr="00882F11">
        <w:rPr>
          <w:rFonts w:cs="Guttman Drogolin" w:hint="cs"/>
          <w:rtl/>
          <w:lang w:bidi="he-IL"/>
        </w:rPr>
        <w:t xml:space="preserve">נו ג"כ מטעם הנ"ל, שאין כאן הגעלה ממש, רק דאיקליש הטעם, ולכן כיון שהיתירא בלע לא יחול עליו שם איסור. </w:t>
      </w:r>
    </w:p>
    <w:p w:rsidR="00DF1810" w:rsidRPr="00882F11" w:rsidRDefault="00DF1810" w:rsidP="00DF1810">
      <w:pPr>
        <w:tabs>
          <w:tab w:val="right" w:pos="7497"/>
        </w:tabs>
        <w:bidi/>
        <w:jc w:val="both"/>
        <w:rPr>
          <w:rFonts w:cs="Guttman Drogolin"/>
          <w:rtl/>
          <w:lang w:bidi="he-IL"/>
        </w:rPr>
      </w:pPr>
      <w:r w:rsidRPr="00882F11">
        <w:rPr>
          <w:rFonts w:cs="Guttman Drogolin" w:hint="cs"/>
          <w:rtl/>
          <w:lang w:bidi="he-IL"/>
        </w:rPr>
        <w:t xml:space="preserve">והנה לכאורה דברי הרשב"א אמורים רק בבלע היתר, אבל בלע איסור, אע"ג שעכשיו אינו בן ימו הא דין אינו בן יומו כבן יומו, וכיון שאילו הי' בן יומו לא הי' נחלש לא נאמר היתר זה. והנה העיר א' מן התלמידים שיחיו, שלכאורה אם יש טעם בשר שאינו יומו בתוך הכלי, ושוב בישל בה חלב, שהי' צריך להיות שבעצם נאסר הבלעות של בשר שהתוך הכלי, רק שאינם יכולים לאסור תבשיל </w:t>
      </w:r>
      <w:r w:rsidRPr="00882F11">
        <w:rPr>
          <w:rFonts w:cs="Guttman Drogolin" w:hint="cs"/>
          <w:rtl/>
          <w:lang w:bidi="he-IL"/>
        </w:rPr>
        <w:lastRenderedPageBreak/>
        <w:t>אחר כיון שפוגמים אותו תבשילץ וא"כ לכאורה הי' צריך להיות הדין שאם כן הי' לא הי' מועיל בישול ירקות להכשיר הכלי אע"ג שאין הבליעות שבתוכו אוסרים משום בב"ח כיון שפוגמים התבשיל, מ"מ במקום שהם הרי נאסרו וראוים לגר ונע"נ. וצ"ע. וכה"ג יש להעיר על ביאור הגר"א סי' צ"ג ס"ק ה', אלא דהתם י"ל דאזלינן בתר לבסוף שלמעשה לא הי' יכול לאסור. וצ"ע</w:t>
      </w:r>
      <w:r w:rsidR="00BD2677" w:rsidRPr="00882F11">
        <w:rPr>
          <w:rStyle w:val="FootnoteReference"/>
          <w:rFonts w:cs="Guttman Drogolin"/>
          <w:rtl/>
          <w:lang w:bidi="he-IL"/>
        </w:rPr>
        <w:footnoteReference w:id="273"/>
      </w:r>
      <w:r w:rsidRPr="00882F11">
        <w:rPr>
          <w:rFonts w:cs="Guttman Drogolin" w:hint="cs"/>
          <w:rtl/>
          <w:lang w:bidi="he-IL"/>
        </w:rPr>
        <w:t xml:space="preserve">.  </w:t>
      </w:r>
    </w:p>
    <w:p w:rsidR="00630FA1" w:rsidRPr="00882F11" w:rsidRDefault="00630FA1" w:rsidP="00DA1D59">
      <w:pPr>
        <w:pStyle w:val="Heading1"/>
        <w:bidi/>
        <w:spacing w:before="0" w:line="240" w:lineRule="auto"/>
        <w:jc w:val="center"/>
        <w:rPr>
          <w:rFonts w:cs="Guttman Drogolin"/>
          <w:color w:val="auto"/>
          <w:sz w:val="24"/>
          <w:szCs w:val="24"/>
          <w:u w:val="single"/>
          <w:rtl/>
          <w:lang w:bidi="he-IL"/>
        </w:rPr>
      </w:pPr>
      <w:bookmarkStart w:id="237" w:name="_Toc496175492"/>
      <w:r w:rsidRPr="00882F11">
        <w:rPr>
          <w:rFonts w:cs="Guttman Drogolin" w:hint="cs"/>
          <w:color w:val="auto"/>
          <w:sz w:val="24"/>
          <w:szCs w:val="24"/>
          <w:u w:val="single"/>
          <w:rtl/>
          <w:lang w:bidi="he-IL"/>
        </w:rPr>
        <w:t>בקושיית הדרכ"מ על המנהג להחמיר בכיסוי שאינו בן יומו</w:t>
      </w:r>
      <w:bookmarkEnd w:id="237"/>
    </w:p>
    <w:p w:rsidR="00630FA1" w:rsidRPr="00882F11" w:rsidRDefault="00067BF7" w:rsidP="00630FA1">
      <w:pPr>
        <w:tabs>
          <w:tab w:val="right" w:pos="7497"/>
        </w:tabs>
        <w:bidi/>
        <w:jc w:val="both"/>
        <w:rPr>
          <w:rFonts w:cs="Guttman Drogolin"/>
          <w:rtl/>
          <w:lang w:bidi="he-IL"/>
        </w:rPr>
      </w:pPr>
      <w:r>
        <w:rPr>
          <w:rFonts w:cs="Guttman Drogolin"/>
          <w:rtl/>
          <w:lang w:bidi="he-IL"/>
        </w:rPr>
        <w:fldChar w:fldCharType="begin"/>
      </w:r>
      <w:r>
        <w:instrText xml:space="preserve"> XE "</w:instrText>
      </w:r>
      <w:r w:rsidRPr="00594C2A">
        <w:rPr>
          <w:rFonts w:hint="cs"/>
          <w:rtl/>
          <w:lang w:bidi="he-IL"/>
        </w:rPr>
        <w:instrText>כיסוי קדרה</w:instrText>
      </w:r>
      <w:r w:rsidRPr="00594C2A">
        <w:rPr>
          <w:rtl/>
        </w:rPr>
        <w:instrText>:</w:instrText>
      </w:r>
      <w:r w:rsidRPr="00594C2A">
        <w:rPr>
          <w:rFonts w:hint="cs"/>
          <w:rtl/>
          <w:lang w:bidi="he-IL"/>
        </w:rPr>
        <w:instrText>אם אוסר - באינו בן יומו</w:instrText>
      </w:r>
      <w:r>
        <w:instrText xml:space="preserve">" </w:instrText>
      </w:r>
      <w:r>
        <w:rPr>
          <w:rFonts w:cs="Guttman Drogolin"/>
          <w:rtl/>
          <w:lang w:bidi="he-IL"/>
        </w:rPr>
        <w:fldChar w:fldCharType="end"/>
      </w:r>
      <w:r w:rsidR="00630FA1" w:rsidRPr="00882F11">
        <w:rPr>
          <w:rFonts w:cs="Guttman Drogolin" w:hint="cs"/>
          <w:rtl/>
          <w:lang w:bidi="he-IL"/>
        </w:rPr>
        <w:t>כמו שכבר הבאנו הרמ"א מביא שהמנהג בזמנו היתה להטריף הקדרה שהניחו עליו כיסוי מן המין השני אפילו אם כיסו אותו בכיסוי שאינו ב"י. ומעיקרא ר"ל שהטעם להחמיר משום דרק שכהטעם נכנס ישירות מן הכלי שאינו בן יומו אל התבשיל אמרינן שנכנס מעט מעט ובטל, אבל דרך זיעה אינו מתבטל. אבל תמה על זה דא"כ זה עצמו יהא הטעם שאסור לבשל בכלי שאינו בן יומו לכתחילה, דהא הרי הוא מבטל איסור, ואין מבטלין איסור לכתחילה, ובמס' ע"ז מבואר הטעם משום דגזרינו אינו בן יומו אטו בן יומו.</w:t>
      </w:r>
    </w:p>
    <w:p w:rsidR="00150E64" w:rsidRPr="00882F11" w:rsidRDefault="00630FA1" w:rsidP="005D2BEA">
      <w:pPr>
        <w:tabs>
          <w:tab w:val="right" w:pos="7497"/>
        </w:tabs>
        <w:bidi/>
        <w:jc w:val="both"/>
        <w:rPr>
          <w:rFonts w:cs="Guttman Drogolin"/>
          <w:rtl/>
          <w:lang w:bidi="he-IL"/>
        </w:rPr>
      </w:pPr>
      <w:r w:rsidRPr="00882F11">
        <w:rPr>
          <w:rFonts w:cs="Guttman Drogolin" w:hint="cs"/>
          <w:rtl/>
          <w:lang w:bidi="he-IL"/>
        </w:rPr>
        <w:t xml:space="preserve">ולכאורה יש לשאול שאלת הרמ"א אעפ"כ, דהא הרבה ראשונים נקטו שהבליעות הבלועות בקדירה שאינו בן יומו הרי הם ראוים לגר בעצם, רק שמ"מ אינו אוסר, או משום שאינו נהנה מהם או"ד משום ביטול ברוב. וא"כ לכאורה צ"ע למה בכל כלי שאינו בן יומו לא אמרינן שאין מבטלין איסור לכתחילה. ובאמת הרא"ה בבד"ה הוכיח מכח קושיא זו שאין הדין כן, ובאמת </w:t>
      </w:r>
      <w:r w:rsidR="0079700B" w:rsidRPr="00882F11">
        <w:rPr>
          <w:rFonts w:cs="Guttman Drogolin" w:hint="cs"/>
          <w:rtl/>
          <w:lang w:bidi="he-IL"/>
        </w:rPr>
        <w:t xml:space="preserve">הבליעה שבתוך הכלי פגום לגמרי. אבל הרשב"א סבר לא כן, ותי' </w:t>
      </w:r>
      <w:r w:rsidR="00150E64" w:rsidRPr="00882F11">
        <w:rPr>
          <w:rFonts w:cs="Guttman Drogolin" w:hint="cs"/>
          <w:rtl/>
          <w:lang w:bidi="he-IL"/>
        </w:rPr>
        <w:t>הרשב"א במשמה"ב שכל האיסור של ביטול איסור לכתחילה אינו אלא מדרבנן, ומטעם דלמא יצמצ</w:t>
      </w:r>
      <w:r w:rsidR="005D2BEA" w:rsidRPr="00882F11">
        <w:rPr>
          <w:rFonts w:cs="Guttman Drogolin" w:hint="cs"/>
          <w:rtl/>
          <w:lang w:bidi="he-IL"/>
        </w:rPr>
        <w:t>ם</w:t>
      </w:r>
      <w:r w:rsidR="00150E64" w:rsidRPr="00882F11">
        <w:rPr>
          <w:rFonts w:cs="Guttman Drogolin" w:hint="cs"/>
          <w:rtl/>
          <w:lang w:bidi="he-IL"/>
        </w:rPr>
        <w:t xml:space="preserve"> בשיעור היתר ולא יהא שיעור ביטול. ולכן במקום שדרך התשמיש הוא בשפע לא שייך הדין שאין מבטלין איסור לכתחילה. ולכן בכלי שבלע איסור ותשמישתו בשפע יוצא שאין </w:t>
      </w:r>
      <w:r w:rsidR="00150E64" w:rsidRPr="00882F11">
        <w:rPr>
          <w:rFonts w:cs="Guttman Drogolin" w:hint="cs"/>
          <w:rtl/>
          <w:lang w:bidi="he-IL"/>
        </w:rPr>
        <w:lastRenderedPageBreak/>
        <w:t>לאסור משום שאין מבטלין איסור לכתחילה ומיני' דבעינן טעם נוסף.</w:t>
      </w:r>
    </w:p>
    <w:p w:rsidR="00150E64" w:rsidRPr="00882F11" w:rsidRDefault="00150E64" w:rsidP="00150E64">
      <w:pPr>
        <w:tabs>
          <w:tab w:val="right" w:pos="7497"/>
        </w:tabs>
        <w:bidi/>
        <w:jc w:val="both"/>
        <w:rPr>
          <w:rFonts w:cs="Guttman Drogolin"/>
          <w:rtl/>
          <w:lang w:bidi="he-IL"/>
        </w:rPr>
      </w:pPr>
      <w:r w:rsidRPr="00882F11">
        <w:rPr>
          <w:rFonts w:cs="Guttman Drogolin" w:hint="cs"/>
          <w:rtl/>
          <w:lang w:bidi="he-IL"/>
        </w:rPr>
        <w:t>אבל ראוי להדגיש שבאמת בתוס' רי"ד שם במס' ע"ז נקט שהטעם לאסור הכלי לכתחילה משום שאין מבטלין איסור לכתחילה. ולכאורה נראה מדבריו שם שלא הי' לו הגירסא בגמ' שאינו בן יומו אטו בן יומו, רק רש"י הוא דהקשה ותי' כן. וכ"כ גם המאירי (ו</w:t>
      </w:r>
      <w:r w:rsidR="005D2BEA" w:rsidRPr="00882F11">
        <w:rPr>
          <w:rFonts w:cs="Guttman Drogolin" w:hint="cs"/>
          <w:rtl/>
          <w:lang w:bidi="he-IL"/>
        </w:rPr>
        <w:t xml:space="preserve">ע' בס' הישר לר"ת סי' תש"ץ שכתב </w:t>
      </w:r>
      <w:r w:rsidRPr="00882F11">
        <w:rPr>
          <w:rFonts w:cs="Guttman Drogolin" w:hint="cs"/>
          <w:rtl/>
          <w:lang w:bidi="he-IL"/>
        </w:rPr>
        <w:t xml:space="preserve">בהדיא דאית דלא גרסי בגמ' שהטעם משום שאינו בן יומו אטו בן יומו). </w:t>
      </w:r>
      <w:r w:rsidR="00C11EA8" w:rsidRPr="00882F11">
        <w:rPr>
          <w:rFonts w:cs="Guttman Drogolin" w:hint="cs"/>
          <w:rtl/>
          <w:lang w:bidi="he-IL"/>
        </w:rPr>
        <w:t>(וע' עד לקמן בשיעור ס"ט).</w:t>
      </w:r>
    </w:p>
    <w:p w:rsidR="00AC785D" w:rsidRPr="00882F11" w:rsidRDefault="00AC785D" w:rsidP="00150E64">
      <w:pPr>
        <w:tabs>
          <w:tab w:val="right" w:pos="7497"/>
        </w:tabs>
        <w:bidi/>
        <w:jc w:val="both"/>
        <w:rPr>
          <w:rFonts w:cs="Guttman Drogolin"/>
          <w:rtl/>
          <w:lang w:bidi="he-IL"/>
        </w:rPr>
        <w:sectPr w:rsidR="00AC785D" w:rsidRPr="00882F11" w:rsidSect="00DA1D59">
          <w:type w:val="continuous"/>
          <w:pgSz w:w="11907" w:h="16839" w:code="9"/>
          <w:pgMar w:top="1440" w:right="1440" w:bottom="1440" w:left="1440" w:header="720" w:footer="720" w:gutter="0"/>
          <w:cols w:num="2" w:space="720"/>
          <w:bidi/>
          <w:docGrid w:linePitch="360"/>
        </w:sectPr>
      </w:pPr>
    </w:p>
    <w:p w:rsidR="00AC785D" w:rsidRPr="00882F11" w:rsidRDefault="00AC785D" w:rsidP="00AC785D">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ס"ב</w:t>
      </w:r>
    </w:p>
    <w:p w:rsidR="00DA1D59" w:rsidRDefault="00DA1D59" w:rsidP="0078079C">
      <w:pPr>
        <w:pStyle w:val="Heading1"/>
        <w:bidi/>
        <w:spacing w:before="0" w:line="360" w:lineRule="auto"/>
        <w:jc w:val="center"/>
        <w:rPr>
          <w:rFonts w:cs="Guttman Drogolin"/>
          <w:color w:val="auto"/>
          <w:sz w:val="24"/>
          <w:szCs w:val="24"/>
          <w:u w:val="single"/>
          <w:rtl/>
          <w:lang w:bidi="he-IL"/>
        </w:rPr>
        <w:sectPr w:rsidR="00DA1D59" w:rsidSect="00DA1D59">
          <w:headerReference w:type="default" r:id="rId48"/>
          <w:pgSz w:w="11907" w:h="16839" w:code="9"/>
          <w:pgMar w:top="1440" w:right="1440" w:bottom="1440" w:left="1440" w:header="720" w:footer="720" w:gutter="0"/>
          <w:cols w:space="720"/>
          <w:bidi/>
          <w:docGrid w:linePitch="360"/>
        </w:sectPr>
      </w:pPr>
    </w:p>
    <w:p w:rsidR="00AC785D" w:rsidRPr="00882F11" w:rsidRDefault="00AC785D" w:rsidP="0078079C">
      <w:pPr>
        <w:pStyle w:val="Heading1"/>
        <w:bidi/>
        <w:spacing w:before="0" w:line="360" w:lineRule="auto"/>
        <w:jc w:val="center"/>
        <w:rPr>
          <w:rFonts w:cs="Guttman Drogolin"/>
          <w:color w:val="auto"/>
          <w:sz w:val="24"/>
          <w:szCs w:val="24"/>
          <w:u w:val="single"/>
          <w:rtl/>
          <w:lang w:bidi="he-IL"/>
        </w:rPr>
      </w:pPr>
      <w:bookmarkStart w:id="238" w:name="_Toc496175493"/>
      <w:r w:rsidRPr="00882F11">
        <w:rPr>
          <w:rFonts w:cs="Guttman Drogolin" w:hint="cs"/>
          <w:color w:val="auto"/>
          <w:sz w:val="24"/>
          <w:szCs w:val="24"/>
          <w:u w:val="single"/>
          <w:rtl/>
          <w:lang w:bidi="he-IL"/>
        </w:rPr>
        <w:lastRenderedPageBreak/>
        <w:t>בדין חם מקצתו חם כולו</w:t>
      </w:r>
      <w:bookmarkEnd w:id="238"/>
    </w:p>
    <w:p w:rsidR="00CF6CD5" w:rsidRPr="00882F11" w:rsidRDefault="00067BF7" w:rsidP="00CF6CD5">
      <w:pPr>
        <w:tabs>
          <w:tab w:val="right" w:pos="7497"/>
        </w:tabs>
        <w:bidi/>
        <w:jc w:val="both"/>
        <w:rPr>
          <w:rFonts w:cs="Guttman Drogolin"/>
          <w:rtl/>
          <w:lang w:bidi="he-IL"/>
        </w:rPr>
      </w:pPr>
      <w:r>
        <w:rPr>
          <w:rFonts w:cs="Guttman Drogolin"/>
          <w:rtl/>
          <w:lang w:bidi="he-IL"/>
        </w:rPr>
        <w:fldChar w:fldCharType="begin"/>
      </w:r>
      <w:r>
        <w:instrText xml:space="preserve"> XE "</w:instrText>
      </w:r>
      <w:r w:rsidRPr="004E4AE4">
        <w:rPr>
          <w:rFonts w:hint="cs"/>
          <w:rtl/>
          <w:lang w:bidi="he-IL"/>
        </w:rPr>
        <w:instrText>חם מקצתו חם כולו</w:instrText>
      </w:r>
      <w:r w:rsidRPr="004E4AE4">
        <w:rPr>
          <w:rtl/>
        </w:rPr>
        <w:instrText>:</w:instrText>
      </w:r>
      <w:r w:rsidRPr="004E4AE4">
        <w:rPr>
          <w:rFonts w:hint="cs"/>
          <w:rtl/>
          <w:lang w:bidi="he-IL"/>
        </w:rPr>
        <w:instrText>סוגיית הגמ'</w:instrText>
      </w:r>
      <w:r>
        <w:instrText xml:space="preserve">" </w:instrText>
      </w:r>
      <w:r>
        <w:rPr>
          <w:rFonts w:cs="Guttman Drogolin"/>
          <w:rtl/>
          <w:lang w:bidi="he-IL"/>
        </w:rPr>
        <w:fldChar w:fldCharType="end"/>
      </w:r>
      <w:r w:rsidR="00AC785D" w:rsidRPr="00882F11">
        <w:rPr>
          <w:rFonts w:cs="Guttman Drogolin" w:hint="cs"/>
          <w:rtl/>
          <w:lang w:bidi="he-IL"/>
        </w:rPr>
        <w:t xml:space="preserve">בר"פ כיצד צולין מבואר שאין צולין את הקרבן פסח בשפוד של מתכת משום שאם עושה כן יהא חשש שהוא צלוי ע"י השפוד, ובעינן צלי אש ולא צלי מחמת דבר אחר. </w:t>
      </w:r>
      <w:r w:rsidR="00DF0770" w:rsidRPr="00882F11">
        <w:rPr>
          <w:rFonts w:cs="Guttman Drogolin" w:hint="cs"/>
          <w:rtl/>
          <w:lang w:bidi="he-IL"/>
        </w:rPr>
        <w:t xml:space="preserve">אמנם לא מבואר שם בהדיא שבליעות שבתוך כלי מתכת </w:t>
      </w:r>
      <w:r w:rsidR="00E221D5" w:rsidRPr="00882F11">
        <w:rPr>
          <w:rFonts w:cs="Guttman Drogolin" w:hint="cs"/>
          <w:rtl/>
          <w:lang w:bidi="he-IL"/>
        </w:rPr>
        <w:t xml:space="preserve">מתפשטים משום דינא דחם מקצתו חם כולו. וכן כבר הבאנו שבגמ' שבמס' זבחים דף צ"ו ע"ב מבואר שבקדשים אם בישל במקצת כלי צריך מריקה ושטיפה בכל הכלי, ושנחלקו הראשונים אם מבואר מיני' שגם באו"ה הבליעות מתפשטות בכל הכלי או"ד במקצת הכלי או"ד שאינו מתפשט כלל. </w:t>
      </w:r>
      <w:r w:rsidR="00CF6CD5" w:rsidRPr="00882F11">
        <w:rPr>
          <w:rFonts w:cs="Guttman Drogolin" w:hint="cs"/>
          <w:rtl/>
          <w:lang w:bidi="he-IL"/>
        </w:rPr>
        <w:t>וכן בעעיקר הכלל דחם מקצתן חם כולו מבואר בתוך האריכות של היד יהודה בסי' צ"ב סק ל"ו ששיטת הרשב"א ועוד שנאמר כלל זה אפילו אם החלק השני של הכלי אינו חם. ור"ל שאמנם לענין צליית קרבן פסח הנידון הוא שאם חלק מן המתכת התחמם חיישינן שגם כולו יתחמם ולכן יהי' הק"פ צלוי גם ע"י המתכת, אבל מ"מ הכלל דחם מקצתו חם כולו אומרת לנו שאפילו אם לא התחמם הצד השני מ"מ עברו הבליעות בכולו. ובביאור הענין כתב היד יהודה שם שסבר הרשב"א שאותו תכונה שיש למתכת להעביר חום מחלק שאצצל האש לחלק השני יש בכוו גם להעביר בליעות ממקום א' בכלי למקום שני.</w:t>
      </w:r>
    </w:p>
    <w:p w:rsidR="003E1335" w:rsidRPr="00882F11" w:rsidRDefault="00CF6CD5" w:rsidP="00522D5E">
      <w:pPr>
        <w:tabs>
          <w:tab w:val="right" w:pos="7497"/>
        </w:tabs>
        <w:bidi/>
        <w:jc w:val="both"/>
        <w:rPr>
          <w:rFonts w:cs="Guttman Drogolin"/>
          <w:rtl/>
          <w:lang w:bidi="he-IL"/>
        </w:rPr>
      </w:pPr>
      <w:r w:rsidRPr="00882F11">
        <w:rPr>
          <w:rFonts w:cs="Guttman Drogolin" w:hint="cs"/>
          <w:rtl/>
          <w:lang w:bidi="he-IL"/>
        </w:rPr>
        <w:t>והטור כאן בתחיל</w:t>
      </w:r>
      <w:r w:rsidR="003E1335" w:rsidRPr="00882F11">
        <w:rPr>
          <w:rFonts w:cs="Guttman Drogolin" w:hint="cs"/>
          <w:rtl/>
          <w:lang w:bidi="he-IL"/>
        </w:rPr>
        <w:t>ת הסימן הביא מחלוקת הראשונים בתחב כף חולבת לתוך תבשיל של בשר אם משערים רק כנגד החלק של הכלי שהיתה בתוך התבשיל או"ד כנגד כולו, ומשום דאמרינן חם מקצתו חם כולו. והסיק הרמ"א כדעת המקילים שאין צריכים לשער כנגד כולו. ולכאורה א"כ יו</w:t>
      </w:r>
      <w:r w:rsidR="00522D5E" w:rsidRPr="00882F11">
        <w:rPr>
          <w:rFonts w:cs="Guttman Drogolin" w:hint="cs"/>
          <w:rtl/>
          <w:lang w:bidi="he-IL"/>
        </w:rPr>
        <w:t>צ</w:t>
      </w:r>
      <w:r w:rsidR="003E1335" w:rsidRPr="00882F11">
        <w:rPr>
          <w:rFonts w:cs="Guttman Drogolin" w:hint="cs"/>
          <w:rtl/>
          <w:lang w:bidi="he-IL"/>
        </w:rPr>
        <w:t>א דלא אמרינן חם מקצתו חם כולו כדי שיתפשט הבליעות מחלק א' מן הכלי לחלק השני. ומשו"ה תמהו הפוסקים שהרי לעיל בסי' צ"ב ס</w:t>
      </w:r>
      <w:r w:rsidR="00522D5E" w:rsidRPr="00882F11">
        <w:rPr>
          <w:rFonts w:cs="Guttman Drogolin" w:hint="cs"/>
          <w:rtl/>
          <w:lang w:bidi="he-IL"/>
        </w:rPr>
        <w:t>ע'</w:t>
      </w:r>
      <w:r w:rsidR="003E1335" w:rsidRPr="00882F11">
        <w:rPr>
          <w:rFonts w:cs="Guttman Drogolin" w:hint="cs"/>
          <w:rtl/>
          <w:lang w:bidi="he-IL"/>
        </w:rPr>
        <w:t xml:space="preserve"> ה' מבואר שאם נפל טיפת חלב אקדירה של בשר שע"ג האש כנגד הריקן דחיישינן שמא התפשט </w:t>
      </w:r>
      <w:r w:rsidR="003E1335" w:rsidRPr="00882F11">
        <w:rPr>
          <w:rFonts w:cs="Guttman Drogolin" w:hint="cs"/>
          <w:rtl/>
          <w:lang w:bidi="he-IL"/>
        </w:rPr>
        <w:lastRenderedPageBreak/>
        <w:t>הטעם במקום הריקן ולכן אם לאחר מכן נשפך התבשיל דרך הריקן צריכים ששים פעמים ששים כנגד הטיפה כדי להתיר את התבשיל, ולכאורה כ"כ למה, הא קיי"ל כאן שאין הכלל דחם מקצתו חם כולו אומר לנו שהתפשט הטעם מחלק א' של הכלי לחלק השני.</w:t>
      </w:r>
    </w:p>
    <w:p w:rsidR="005909B3" w:rsidRPr="00882F11" w:rsidRDefault="003E1335" w:rsidP="00D74A05">
      <w:pPr>
        <w:tabs>
          <w:tab w:val="right" w:pos="7497"/>
        </w:tabs>
        <w:bidi/>
        <w:jc w:val="both"/>
        <w:rPr>
          <w:rFonts w:cs="Guttman Drogolin"/>
          <w:rtl/>
          <w:lang w:bidi="he-IL"/>
        </w:rPr>
      </w:pPr>
      <w:r w:rsidRPr="00882F11">
        <w:rPr>
          <w:rFonts w:cs="Guttman Drogolin" w:hint="cs"/>
          <w:rtl/>
          <w:lang w:bidi="he-IL"/>
        </w:rPr>
        <w:t xml:space="preserve">ונאמרו באחרונים כמה תירוצין לקושיא זו. </w:t>
      </w:r>
      <w:r w:rsidR="00D74A05" w:rsidRPr="00882F11">
        <w:rPr>
          <w:rFonts w:cs="Guttman Drogolin" w:hint="cs"/>
          <w:rtl/>
          <w:lang w:bidi="he-IL"/>
        </w:rPr>
        <w:t>מן המג"א בסי' תנ"א ס"ק כ"ד מתבאר שיש לחלק בין מבליע למפליט. ור"ל שאמנם ע"י הכלל דחם מקצתו חם כולו הבליעות נבלעות בחלק השני של הכלי שלא התחמם, מ"מ אין בכוחו להפליט מן החלק של הכלי שעדיין לא התחמם לתוך התבשיל. ולכן בסי' צ"ב דמיירי בהתפשטות הטעם ממקום נפילת הטיפה לשאר המקומות של הכלי שפיר אמרינן דחם מקצתו חם כולו מהני לזה. אבל בסי' צ"ד דמיירי שמפליט מחלק הכלי שמחוץ לתבשיל אל תוך התבשיל, אע"ג ששיטת ר' פרץ היא שגם לענין זה נאמר הכלל דחם מקצתו חם כולו, מ"מ קיי"ל לקולא דלא אמירנן כן.</w:t>
      </w:r>
      <w:r w:rsidR="005B33EA" w:rsidRPr="00882F11">
        <w:rPr>
          <w:rFonts w:cs="Guttman Drogolin" w:hint="cs"/>
          <w:rtl/>
          <w:lang w:bidi="he-IL"/>
        </w:rPr>
        <w:t xml:space="preserve"> </w:t>
      </w:r>
    </w:p>
    <w:p w:rsidR="00D74A05" w:rsidRPr="00882F11" w:rsidRDefault="005B33EA" w:rsidP="005909B3">
      <w:pPr>
        <w:tabs>
          <w:tab w:val="right" w:pos="7497"/>
        </w:tabs>
        <w:bidi/>
        <w:jc w:val="both"/>
        <w:rPr>
          <w:rFonts w:cs="Guttman Drogolin"/>
          <w:rtl/>
          <w:lang w:bidi="he-IL"/>
        </w:rPr>
      </w:pPr>
      <w:r w:rsidRPr="00882F11">
        <w:rPr>
          <w:rFonts w:cs="Guttman Drogolin" w:hint="cs"/>
          <w:rtl/>
          <w:lang w:bidi="he-IL"/>
        </w:rPr>
        <w:t xml:space="preserve">והעירו התלמידים שיחיו שלכאורה אם כדברי המג"א יהא קשה לנו דברי השו"ע בסע' ז', שהרי כתב המחבר שם </w:t>
      </w:r>
      <w:r w:rsidR="005909B3" w:rsidRPr="00882F11">
        <w:rPr>
          <w:rFonts w:cs="Guttman Drogolin" w:hint="cs"/>
          <w:rtl/>
          <w:lang w:bidi="he-IL"/>
        </w:rPr>
        <w:t>"יש מי שמתיר בשעת הדחק כגון בערב שבת אפי' שלא כנגד הרוטב אפילו שלא כנגד האש על ידי ס'".</w:t>
      </w:r>
      <w:r w:rsidR="00D74A05" w:rsidRPr="00882F11">
        <w:rPr>
          <w:rFonts w:cs="Guttman Drogolin" w:hint="cs"/>
          <w:rtl/>
          <w:lang w:bidi="he-IL"/>
        </w:rPr>
        <w:t xml:space="preserve"> </w:t>
      </w:r>
      <w:r w:rsidR="005909B3" w:rsidRPr="00882F11">
        <w:rPr>
          <w:rFonts w:cs="Guttman Drogolin" w:hint="cs"/>
          <w:rtl/>
          <w:lang w:bidi="he-IL"/>
        </w:rPr>
        <w:t>ונחלקו הפרשים בביאור דבריו. שכמה אחרונים נקטו שאין כוונתו להקל אלא במנהג שנהגו שלא לסמוך אצינון, והגר"א נקט שכוונתו להקל אפילו שפך דרך פיו משום שמקילים לומר שאין חענ"ן בבלוע בכלי. וא"כ הביאור במש"כ "על ידי ס'" תלוי לפי הפירושים, שלגר"א הכוונה דאע"ג שעבר דרך הריקן מותר על ידי ס' דהא אין חענ"ן בבלוע בכלי. אבל לשאר המפרשים הא מיירי בכה"ג שלא עבר דרך הריקן, וא"כ ע"כ</w:t>
      </w:r>
      <w:r w:rsidR="007473EA" w:rsidRPr="00882F11">
        <w:rPr>
          <w:rFonts w:cs="Guttman Drogolin" w:hint="cs"/>
          <w:rtl/>
          <w:lang w:bidi="he-IL"/>
        </w:rPr>
        <w:t xml:space="preserve"> הביאור בזה שגם כנגד הריקן צריכים ס' משום דאל"כ יש חשש שהתפשט הבליעות שמן הטיפה לתוך התבשיל ואם אין ששים יהא אסור. ולכן בשלמא לפי' הגר"א ניחא, אבל לשאר</w:t>
      </w:r>
      <w:r w:rsidR="00090094" w:rsidRPr="00882F11">
        <w:rPr>
          <w:rFonts w:cs="Guttman Drogolin" w:hint="cs"/>
          <w:rtl/>
          <w:lang w:bidi="he-IL"/>
        </w:rPr>
        <w:t xml:space="preserve"> </w:t>
      </w:r>
      <w:r w:rsidR="007473EA" w:rsidRPr="00882F11">
        <w:rPr>
          <w:rFonts w:cs="Guttman Drogolin" w:hint="cs"/>
          <w:rtl/>
          <w:lang w:bidi="he-IL"/>
        </w:rPr>
        <w:t xml:space="preserve">המפרשים מבואר </w:t>
      </w:r>
      <w:r w:rsidR="007473EA" w:rsidRPr="00882F11">
        <w:rPr>
          <w:rFonts w:cs="Guttman Drogolin" w:hint="cs"/>
          <w:rtl/>
          <w:lang w:bidi="he-IL"/>
        </w:rPr>
        <w:lastRenderedPageBreak/>
        <w:t>דחיישינן דלמא הטעם שמן הטיפה התפשט למטה מדין חן מקצתו חם כולו, וזהו דלא כדברי המג"א. וצ"ע.</w:t>
      </w:r>
      <w:r w:rsidR="005909B3" w:rsidRPr="00882F11">
        <w:rPr>
          <w:rFonts w:cs="Guttman Drogolin" w:hint="cs"/>
          <w:rtl/>
          <w:lang w:bidi="he-IL"/>
        </w:rPr>
        <w:t xml:space="preserve"> </w:t>
      </w:r>
    </w:p>
    <w:p w:rsidR="00020AD3" w:rsidRPr="00882F11" w:rsidRDefault="00D74A05" w:rsidP="00490E06">
      <w:pPr>
        <w:tabs>
          <w:tab w:val="right" w:pos="7497"/>
        </w:tabs>
        <w:bidi/>
        <w:jc w:val="both"/>
        <w:rPr>
          <w:rFonts w:cs="Guttman Drogolin"/>
          <w:rtl/>
          <w:lang w:bidi="he-IL"/>
        </w:rPr>
      </w:pPr>
      <w:r w:rsidRPr="00882F11">
        <w:rPr>
          <w:rFonts w:cs="Guttman Drogolin" w:hint="cs"/>
          <w:rtl/>
          <w:lang w:bidi="he-IL"/>
        </w:rPr>
        <w:t>וע' בחוו"ד בסי' צ"ב ס"ק ט"ז שהרבה להשיב על דברי המג"</w:t>
      </w:r>
      <w:r w:rsidR="00490E06" w:rsidRPr="00882F11">
        <w:rPr>
          <w:rFonts w:cs="Guttman Drogolin" w:hint="cs"/>
          <w:rtl/>
          <w:lang w:bidi="he-IL"/>
        </w:rPr>
        <w:t>א, ומשו"ה נקט שיש חילוק אחר, והוא שבסי' צ"ב מיירי בכלי שהוא חם גם בחלק הריקן, ובזה שפיר אמרינן שמתפשטים הבליעות. אבל כאן בסי' צ"ד מיירי ביד הכלי שעדיין לא התחמם, ולכן אין הבליעות מתפשטים</w:t>
      </w:r>
      <w:r w:rsidR="00020AD3" w:rsidRPr="00882F11">
        <w:rPr>
          <w:rFonts w:cs="Guttman Drogolin" w:hint="cs"/>
          <w:rtl/>
          <w:lang w:bidi="he-IL"/>
        </w:rPr>
        <w:t xml:space="preserve"> (ובזה חלק ר' פרץ והדעה הראשונה במחבר דגם אם לא התחמם מתפשט)</w:t>
      </w:r>
      <w:r w:rsidR="00490E06" w:rsidRPr="00882F11">
        <w:rPr>
          <w:rFonts w:cs="Guttman Drogolin" w:hint="cs"/>
          <w:rtl/>
          <w:lang w:bidi="he-IL"/>
        </w:rPr>
        <w:t>. וכ"כ גם רע"א בהגהותיו לדברי המג"א שם. ולדבריהם לכאורה אין כאן חומרא של חם מקצתו חם כולו לענין התפשטות הבליעות, שאם חם הוא מתפשט, ואם לא לא. חוץ ממה שי"ל שהכלל של חם מקצתו חם כולו אומר לנו שאם אין אנו יודעים א</w:t>
      </w:r>
      <w:r w:rsidR="00BE3E0D">
        <w:rPr>
          <w:rFonts w:cs="Guttman Drogolin" w:hint="cs"/>
          <w:rtl/>
          <w:lang w:bidi="he-IL"/>
        </w:rPr>
        <w:t>ם</w:t>
      </w:r>
      <w:r w:rsidR="00490E06" w:rsidRPr="00882F11">
        <w:rPr>
          <w:rFonts w:cs="Guttman Drogolin" w:hint="cs"/>
          <w:rtl/>
          <w:lang w:bidi="he-IL"/>
        </w:rPr>
        <w:t xml:space="preserve"> התחמם הצד השני או לא אמרינן שמסתמא התחמם. וכן יוצא נפק"מ שאם ידוע לנו שאפילו חלק מן הכלי</w:t>
      </w:r>
      <w:r w:rsidR="00020AD3" w:rsidRPr="00882F11">
        <w:rPr>
          <w:rFonts w:cs="Guttman Drogolin" w:hint="cs"/>
          <w:rtl/>
          <w:lang w:bidi="he-IL"/>
        </w:rPr>
        <w:t xml:space="preserve"> שמחוץ לרוטב התחמם צריכים לשער כנגד אותו חלק גם.</w:t>
      </w:r>
    </w:p>
    <w:p w:rsidR="00020AD3" w:rsidRPr="00882F11" w:rsidRDefault="00020AD3" w:rsidP="00020AD3">
      <w:pPr>
        <w:tabs>
          <w:tab w:val="right" w:pos="7497"/>
        </w:tabs>
        <w:bidi/>
        <w:jc w:val="both"/>
        <w:rPr>
          <w:rFonts w:cs="Guttman Drogolin"/>
          <w:rtl/>
          <w:lang w:bidi="he-IL"/>
        </w:rPr>
      </w:pPr>
      <w:r w:rsidRPr="00882F11">
        <w:rPr>
          <w:rFonts w:cs="Guttman Drogolin" w:hint="cs"/>
          <w:rtl/>
          <w:lang w:bidi="he-IL"/>
        </w:rPr>
        <w:t>עוד יישוב יש לסתירה זו ביד יהודה סי' צ"ב ס"ק ל"ו (ע"ש אריכות בכל הסוגיא) והוא שיש לחלק בין כלי המתחמם ע"י האש דשפיר אמרינן בה חם מקצתו חם כולו, לכלי שלא התחמם אלא ע"י התבשיל (כהא דסי' צ"ד) דקיי"ל בה שאין טעם מתפשט (והדעה הראשונה בשו"ע חולקת על זה)</w:t>
      </w:r>
      <w:r w:rsidR="009837F8" w:rsidRPr="00882F11">
        <w:rPr>
          <w:rStyle w:val="FootnoteReference"/>
          <w:rFonts w:cs="Guttman Drogolin"/>
          <w:rtl/>
          <w:lang w:bidi="he-IL"/>
        </w:rPr>
        <w:footnoteReference w:id="274"/>
      </w:r>
      <w:r w:rsidRPr="00882F11">
        <w:rPr>
          <w:rFonts w:cs="Guttman Drogolin" w:hint="cs"/>
          <w:rtl/>
          <w:lang w:bidi="he-IL"/>
        </w:rPr>
        <w:t>.</w:t>
      </w:r>
    </w:p>
    <w:p w:rsidR="00020AD3" w:rsidRPr="00882F11" w:rsidRDefault="00020AD3" w:rsidP="00020AD3">
      <w:pPr>
        <w:tabs>
          <w:tab w:val="right" w:pos="7497"/>
        </w:tabs>
        <w:bidi/>
        <w:jc w:val="both"/>
        <w:rPr>
          <w:rFonts w:cs="Guttman Drogolin"/>
          <w:rtl/>
          <w:lang w:bidi="he-IL"/>
        </w:rPr>
      </w:pPr>
      <w:r w:rsidRPr="00882F11">
        <w:rPr>
          <w:rFonts w:cs="Guttman Drogolin" w:hint="cs"/>
          <w:rtl/>
          <w:lang w:bidi="he-IL"/>
        </w:rPr>
        <w:t>וע' בש"ך וכן בפת"ש לענין כנגד כמה מן הכף צריכים לשער ולא אמרינן לאו אדעתי'.</w:t>
      </w:r>
      <w:r w:rsidR="00490E06" w:rsidRPr="00882F11">
        <w:rPr>
          <w:rFonts w:cs="Guttman Drogolin" w:hint="cs"/>
          <w:rtl/>
          <w:lang w:bidi="he-IL"/>
        </w:rPr>
        <w:t xml:space="preserve">  </w:t>
      </w:r>
    </w:p>
    <w:p w:rsidR="00020AD3" w:rsidRPr="0000469F" w:rsidRDefault="00020AD3" w:rsidP="0078079C">
      <w:pPr>
        <w:pStyle w:val="Heading1"/>
        <w:bidi/>
        <w:spacing w:before="0" w:line="360" w:lineRule="auto"/>
        <w:jc w:val="center"/>
        <w:rPr>
          <w:rFonts w:cs="Guttman Drogolin"/>
          <w:color w:val="auto"/>
          <w:sz w:val="20"/>
          <w:szCs w:val="20"/>
          <w:u w:val="single"/>
          <w:rtl/>
          <w:lang w:bidi="he-IL"/>
        </w:rPr>
      </w:pPr>
      <w:bookmarkStart w:id="239" w:name="_Toc496175494"/>
      <w:r w:rsidRPr="0000469F">
        <w:rPr>
          <w:rFonts w:cs="Guttman Drogolin" w:hint="cs"/>
          <w:color w:val="auto"/>
          <w:sz w:val="20"/>
          <w:szCs w:val="20"/>
          <w:u w:val="single"/>
          <w:rtl/>
          <w:lang w:bidi="he-IL"/>
        </w:rPr>
        <w:t>אם צריכים פעמיים ששים כשהכניס הכף פעמיים</w:t>
      </w:r>
      <w:bookmarkEnd w:id="239"/>
    </w:p>
    <w:p w:rsidR="00C1597A" w:rsidRPr="00882F11" w:rsidRDefault="00067BF7" w:rsidP="00A2380B">
      <w:pPr>
        <w:tabs>
          <w:tab w:val="right" w:pos="7497"/>
        </w:tabs>
        <w:bidi/>
        <w:jc w:val="both"/>
        <w:rPr>
          <w:rFonts w:cs="Guttman Drogolin"/>
          <w:rtl/>
          <w:lang w:bidi="he-IL"/>
        </w:rPr>
      </w:pPr>
      <w:r>
        <w:rPr>
          <w:rFonts w:cs="Guttman Drogolin"/>
          <w:rtl/>
          <w:lang w:bidi="he-IL"/>
        </w:rPr>
        <w:fldChar w:fldCharType="begin"/>
      </w:r>
      <w:r>
        <w:instrText xml:space="preserve"> XE "</w:instrText>
      </w:r>
      <w:r w:rsidRPr="00622B74">
        <w:rPr>
          <w:rFonts w:hint="cs"/>
          <w:rtl/>
          <w:lang w:bidi="he-IL"/>
        </w:rPr>
        <w:instrText>הכניס כף פעמיים</w:instrText>
      </w:r>
      <w:r w:rsidRPr="00622B74">
        <w:rPr>
          <w:rtl/>
        </w:rPr>
        <w:instrText>:</w:instrText>
      </w:r>
      <w:r w:rsidRPr="00622B74">
        <w:rPr>
          <w:rFonts w:hint="cs"/>
          <w:rtl/>
          <w:lang w:bidi="he-IL"/>
        </w:rPr>
        <w:instrText>אם צריכים פעמיים ששים</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C609BA">
        <w:rPr>
          <w:rFonts w:hint="cs"/>
          <w:rtl/>
          <w:lang w:bidi="he-IL"/>
        </w:rPr>
        <w:instrText>שיעור ששים</w:instrText>
      </w:r>
      <w:r w:rsidRPr="00C609BA">
        <w:rPr>
          <w:rtl/>
        </w:rPr>
        <w:instrText>:</w:instrText>
      </w:r>
      <w:r w:rsidRPr="00C609BA">
        <w:rPr>
          <w:rFonts w:hint="cs"/>
          <w:rtl/>
          <w:lang w:bidi="he-IL"/>
        </w:rPr>
        <w:instrText>אם מספיק בהכניס כף פעמיים</w:instrText>
      </w:r>
      <w:r>
        <w:instrText xml:space="preserve">" </w:instrText>
      </w:r>
      <w:r>
        <w:rPr>
          <w:rFonts w:cs="Guttman Drogolin"/>
          <w:rtl/>
          <w:lang w:bidi="he-IL"/>
        </w:rPr>
        <w:fldChar w:fldCharType="end"/>
      </w:r>
      <w:r w:rsidR="00FD52F9" w:rsidRPr="00882F11">
        <w:rPr>
          <w:rFonts w:cs="Guttman Drogolin" w:hint="cs"/>
          <w:rtl/>
          <w:lang w:bidi="he-IL"/>
        </w:rPr>
        <w:t xml:space="preserve">כתב הטור שאם הכניס הכף ב' פעמים לתוך התבשיל שצריך ב' פעמים ששים כדי להתיר את התבשיל. </w:t>
      </w:r>
      <w:r w:rsidR="00D50BC9" w:rsidRPr="00882F11">
        <w:rPr>
          <w:rFonts w:cs="Guttman Drogolin" w:hint="cs"/>
          <w:rtl/>
          <w:lang w:bidi="he-IL"/>
        </w:rPr>
        <w:t>והב"י הביא משו"ת תרוה"ד</w:t>
      </w:r>
      <w:r w:rsidR="00FD52F9" w:rsidRPr="00882F11">
        <w:rPr>
          <w:rFonts w:cs="Guttman Drogolin" w:hint="cs"/>
          <w:rtl/>
          <w:lang w:bidi="he-IL"/>
        </w:rPr>
        <w:t xml:space="preserve"> </w:t>
      </w:r>
      <w:r w:rsidR="00D50BC9" w:rsidRPr="00882F11">
        <w:rPr>
          <w:rFonts w:cs="Guttman Drogolin" w:hint="cs"/>
          <w:rtl/>
          <w:lang w:bidi="he-IL"/>
        </w:rPr>
        <w:t xml:space="preserve">סי' קפ"ג שמנהג המורים להקל בזה. והמעיין שם בשו"ת תרוה"ד יראה דמעיקרא נקט כדבר פשוט שצריכים פעמיים ששים, וכן שצריך שיעור זה אפילו לא הוציא את הכף מן התבשיל. הטעם משום דחיישינן </w:t>
      </w:r>
      <w:r w:rsidR="00C1597A" w:rsidRPr="00882F11">
        <w:rPr>
          <w:rFonts w:cs="Guttman Drogolin" w:hint="cs"/>
          <w:rtl/>
          <w:lang w:bidi="he-IL"/>
        </w:rPr>
        <w:t xml:space="preserve">שמא נפלט הטעם חלב שבכף </w:t>
      </w:r>
      <w:r w:rsidR="00C1597A" w:rsidRPr="00882F11">
        <w:rPr>
          <w:rFonts w:cs="Guttman Drogolin" w:hint="cs"/>
          <w:rtl/>
          <w:lang w:bidi="he-IL"/>
        </w:rPr>
        <w:lastRenderedPageBreak/>
        <w:t xml:space="preserve">ונשאר חלק ממנו מספיק שיוכל לאסור נ"ט חלקים כמותו, וממילא צריכים ס' כנגד הטעם חלב דמעיקרא ועוד ס' כנגד הטעם בשר שנאסר לאחר מכן. </w:t>
      </w:r>
    </w:p>
    <w:p w:rsidR="00EA5403" w:rsidRPr="00882F11" w:rsidRDefault="00C1597A" w:rsidP="00A2380B">
      <w:pPr>
        <w:tabs>
          <w:tab w:val="right" w:pos="7497"/>
        </w:tabs>
        <w:bidi/>
        <w:jc w:val="both"/>
        <w:rPr>
          <w:rFonts w:cs="Guttman Drogolin"/>
          <w:rtl/>
          <w:lang w:bidi="he-IL"/>
        </w:rPr>
      </w:pPr>
      <w:r w:rsidRPr="00882F11">
        <w:rPr>
          <w:rFonts w:cs="Guttman Drogolin" w:hint="cs"/>
          <w:rtl/>
          <w:lang w:bidi="he-IL"/>
        </w:rPr>
        <w:t>והעיר על זה התרוה"ד שאמנם הי' נראה שכן הדין לכאורה, אבל מנה</w:t>
      </w:r>
      <w:r w:rsidR="00EA5403" w:rsidRPr="00882F11">
        <w:rPr>
          <w:rFonts w:cs="Guttman Drogolin" w:hint="cs"/>
          <w:rtl/>
          <w:lang w:bidi="he-IL"/>
        </w:rPr>
        <w:t>ג</w:t>
      </w:r>
      <w:r w:rsidRPr="00882F11">
        <w:rPr>
          <w:rFonts w:cs="Guttman Drogolin" w:hint="cs"/>
          <w:rtl/>
          <w:lang w:bidi="he-IL"/>
        </w:rPr>
        <w:t xml:space="preserve"> המורים אינו אלא להצריך פעם א' ששים. ונתן ב' טעמים לדבר. חדא שי"א דלא אמרינן חענ"ן בבלוע בכלי. ועוד שהרי הטעם חלב שאוסר הבליעות שנכנסו לכף בפעם השני סופו להתפשט לתוך שאר התבשיל ולכן אינו אוסר. ואע"ג שבדף ק"ח ע"ב כשנפל חתיכת בשר לתוך יורה רותחת של חלב אמרינן שטעם חלב נכנס לחתיכה ונאסר ושוב אוסר את שאר החלב מדין מין במינו לא בטל ולא מתירים משום שסופו להתפשט כתב התרוה"ד שיש לחלק בין חתיכה שבלע טעם עכשיו לכלי הבולע טעם עכשיו, דכיון שטבע החתיכה לבלוע יותר אמרינן שהבליעה שבחתיכה מנותק משאר החלב ולכן הוא נאסר קודם ולא אמרינן הדין של סופו להתפשט. אבל כלי שאין קל לבלוע אמרינן שהוא עדיין מחובר לשאר התבשיל ולא אמרינן שסופו להתפשט.</w:t>
      </w:r>
    </w:p>
    <w:p w:rsidR="005B33EA" w:rsidRPr="00882F11" w:rsidRDefault="00EA5403" w:rsidP="005B33EA">
      <w:pPr>
        <w:tabs>
          <w:tab w:val="right" w:pos="7497"/>
        </w:tabs>
        <w:bidi/>
        <w:jc w:val="both"/>
        <w:rPr>
          <w:rFonts w:cs="Guttman Drogolin"/>
          <w:rtl/>
          <w:lang w:bidi="he-IL"/>
        </w:rPr>
      </w:pPr>
      <w:r w:rsidRPr="00882F11">
        <w:rPr>
          <w:rFonts w:cs="Guttman Drogolin" w:hint="cs"/>
          <w:rtl/>
          <w:lang w:bidi="he-IL"/>
        </w:rPr>
        <w:t xml:space="preserve">והעיר התרוה"ד שלכאורה </w:t>
      </w:r>
      <w:r w:rsidR="0025475C" w:rsidRPr="00882F11">
        <w:rPr>
          <w:rFonts w:cs="Guttman Drogolin" w:hint="cs"/>
          <w:rtl/>
          <w:lang w:bidi="he-IL"/>
        </w:rPr>
        <w:t xml:space="preserve">הטעם השני לא שייך אא"כ לא הוציא את הכף בינתיים, אבל הוציא את הכף בינתיים הרי בשעה שהוציא אותו ודאי אינו מקושר עם שאר התבשיל, ולכאורה באותה שעה יש לו לאסור </w:t>
      </w:r>
      <w:r w:rsidR="005B33EA" w:rsidRPr="00882F11">
        <w:rPr>
          <w:rFonts w:cs="Guttman Drogolin" w:hint="cs"/>
          <w:rtl/>
          <w:lang w:bidi="he-IL"/>
        </w:rPr>
        <w:t>את הכף. ולפי הטעם שאין חענ"ן בבלוע בכלי ניחא, אבל לפי הטעם השני קשה. ותי' התרוה"ד שבזמן שהוציא את הכף מן התבשיל יש לו דין כלי שני ולכן אינו אוסר את הבליעות שבתוכו. וכבר ראינו שהט"ז בססי' צ"ב התקשה בזה לשיטתו שהכף שבתבשיל יש לו דין כלי ראשון, ומשו"ה חידש שאם הוציאו ריקן אין לו דין כלי ראשון גם לדידי'.</w:t>
      </w:r>
    </w:p>
    <w:p w:rsidR="007473EA" w:rsidRPr="00882F11" w:rsidRDefault="005B33EA" w:rsidP="007473EA">
      <w:pPr>
        <w:tabs>
          <w:tab w:val="right" w:pos="7497"/>
        </w:tabs>
        <w:bidi/>
        <w:jc w:val="both"/>
        <w:rPr>
          <w:rFonts w:cs="Guttman Drogolin"/>
          <w:rtl/>
          <w:lang w:bidi="he-IL"/>
        </w:rPr>
      </w:pPr>
      <w:r w:rsidRPr="00882F11">
        <w:rPr>
          <w:rFonts w:cs="Guttman Drogolin" w:hint="cs"/>
          <w:rtl/>
          <w:lang w:bidi="he-IL"/>
        </w:rPr>
        <w:t xml:space="preserve">והנה </w:t>
      </w:r>
      <w:r w:rsidR="007473EA" w:rsidRPr="00882F11">
        <w:rPr>
          <w:rFonts w:cs="Guttman Drogolin" w:hint="cs"/>
          <w:rtl/>
          <w:lang w:bidi="he-IL"/>
        </w:rPr>
        <w:t xml:space="preserve">להלכה קיי"ל עכ"פ שלא בשעה"ד שיש חענ"ן בבלוע, שכן מבואר מדברי השו"ע בסי' צ"ב סע' ה' </w:t>
      </w:r>
      <w:r w:rsidR="00A2380B" w:rsidRPr="00882F11">
        <w:rPr>
          <w:rFonts w:cs="Guttman Drogolin" w:hint="cs"/>
          <w:rtl/>
          <w:lang w:bidi="he-IL"/>
        </w:rPr>
        <w:t xml:space="preserve">וסי' צ"ח סע' ה' </w:t>
      </w:r>
      <w:r w:rsidR="007473EA" w:rsidRPr="00882F11">
        <w:rPr>
          <w:rFonts w:cs="Guttman Drogolin" w:hint="cs"/>
          <w:rtl/>
          <w:lang w:bidi="he-IL"/>
        </w:rPr>
        <w:t xml:space="preserve">בהא דאסרינן כנגד הריקן. ואע"ג שלפי הגר"א מקילין בדין חענ"ן בבלוע </w:t>
      </w:r>
      <w:r w:rsidR="007473EA" w:rsidRPr="00882F11">
        <w:rPr>
          <w:rFonts w:cs="Guttman Drogolin" w:hint="cs"/>
          <w:rtl/>
          <w:lang w:bidi="he-IL"/>
        </w:rPr>
        <w:lastRenderedPageBreak/>
        <w:t>בכלי בשעה"ד, מ"מ משמעות הרמ"א הוא להקל אפילו שלא בשעה"ד. וע"כ הטעם</w:t>
      </w:r>
      <w:r w:rsidR="00A2380B" w:rsidRPr="00882F11">
        <w:rPr>
          <w:rStyle w:val="FootnoteReference"/>
          <w:rFonts w:cs="Guttman Drogolin"/>
          <w:rtl/>
          <w:lang w:bidi="he-IL"/>
        </w:rPr>
        <w:footnoteReference w:id="275"/>
      </w:r>
      <w:r w:rsidR="007473EA" w:rsidRPr="00882F11">
        <w:rPr>
          <w:rFonts w:cs="Guttman Drogolin" w:hint="cs"/>
          <w:rtl/>
          <w:lang w:bidi="he-IL"/>
        </w:rPr>
        <w:t xml:space="preserve"> שהקיל כאן הוא בצירוף הא דחשוב מצורף לתבשיל ולכן סופו להתפשט. וע"כ הא דמקילין אפילו כשהוציא הכף ממנו היינו משום דאפילו את"ל דמחמירים שיש לו דין כלי ראשן אפילו הוציאו ריקן (ודלא כט"ז הנ"ל) מ"מ אין אנו מחמירים הכל ביחד, ור"ל שאין מחמירים שיש לו דין כלי ראשון וגם חענ"ן בבלוע בכלי ביחד. באופן שלכאורה הביאור במ"ד שצריכים פעמיים ס' כשהכניס פעמיים הוא משום שמחמירים שניהם ביחד, שיש לו דין כלי ראשון וכן יש חענ"ן בבלוע בכלי. </w:t>
      </w:r>
    </w:p>
    <w:p w:rsidR="007473EA" w:rsidRPr="00882F11" w:rsidRDefault="007473EA" w:rsidP="0078079C">
      <w:pPr>
        <w:pStyle w:val="Heading1"/>
        <w:bidi/>
        <w:spacing w:before="0" w:line="360" w:lineRule="auto"/>
        <w:jc w:val="center"/>
        <w:rPr>
          <w:rFonts w:cs="Guttman Drogolin"/>
          <w:color w:val="auto"/>
          <w:sz w:val="24"/>
          <w:szCs w:val="24"/>
          <w:u w:val="single"/>
          <w:rtl/>
          <w:lang w:bidi="he-IL"/>
        </w:rPr>
      </w:pPr>
      <w:bookmarkStart w:id="240" w:name="_Toc496175495"/>
      <w:r w:rsidRPr="00882F11">
        <w:rPr>
          <w:rFonts w:cs="Guttman Drogolin" w:hint="cs"/>
          <w:color w:val="auto"/>
          <w:sz w:val="24"/>
          <w:szCs w:val="24"/>
          <w:u w:val="single"/>
          <w:rtl/>
          <w:lang w:bidi="he-IL"/>
        </w:rPr>
        <w:t>בדברי הש"ך בסי' צ"ד ס"ק ד'</w:t>
      </w:r>
      <w:bookmarkEnd w:id="240"/>
    </w:p>
    <w:p w:rsidR="00E55F18" w:rsidRPr="00882F11" w:rsidRDefault="00067BF7" w:rsidP="00924C6B">
      <w:pPr>
        <w:tabs>
          <w:tab w:val="right" w:pos="7497"/>
        </w:tabs>
        <w:bidi/>
        <w:jc w:val="both"/>
        <w:rPr>
          <w:rFonts w:cs="Guttman Drogolin"/>
          <w:rtl/>
          <w:lang w:bidi="he-IL"/>
        </w:rPr>
      </w:pPr>
      <w:r>
        <w:rPr>
          <w:rFonts w:cs="Guttman Drogolin"/>
          <w:rtl/>
          <w:lang w:bidi="he-IL"/>
        </w:rPr>
        <w:fldChar w:fldCharType="begin"/>
      </w:r>
      <w:r>
        <w:instrText xml:space="preserve"> XE "</w:instrText>
      </w:r>
      <w:r w:rsidRPr="00E12881">
        <w:rPr>
          <w:rFonts w:hint="cs"/>
          <w:rtl/>
          <w:lang w:bidi="he-IL"/>
        </w:rPr>
        <w:instrText>הכניס כף פעמיים</w:instrText>
      </w:r>
      <w:r w:rsidRPr="00E12881">
        <w:rPr>
          <w:rtl/>
        </w:rPr>
        <w:instrText>:</w:instrText>
      </w:r>
      <w:r w:rsidRPr="00E12881">
        <w:rPr>
          <w:rFonts w:hint="cs"/>
          <w:rtl/>
          <w:lang w:bidi="he-IL"/>
        </w:rPr>
        <w:instrText>דברי הש</w:instrText>
      </w:r>
      <w:r>
        <w:rPr>
          <w:rFonts w:eastAsiaTheme="minorEastAsia"/>
          <w:lang w:bidi="he-IL"/>
        </w:rPr>
        <w:instrText>\</w:instrText>
      </w:r>
      <w:r w:rsidRPr="00E12881">
        <w:rPr>
          <w:rFonts w:hint="cs"/>
          <w:rtl/>
          <w:lang w:bidi="he-IL"/>
        </w:rPr>
        <w:instrText>"ך בסי' צ</w:instrText>
      </w:r>
      <w:r>
        <w:rPr>
          <w:rFonts w:eastAsiaTheme="minorEastAsia"/>
          <w:lang w:bidi="he-IL"/>
        </w:rPr>
        <w:instrText>\</w:instrText>
      </w:r>
      <w:r w:rsidRPr="00E12881">
        <w:rPr>
          <w:rFonts w:hint="cs"/>
          <w:rtl/>
          <w:lang w:bidi="he-IL"/>
        </w:rPr>
        <w:instrText>"ד ס</w:instrText>
      </w:r>
      <w:r>
        <w:rPr>
          <w:rFonts w:eastAsiaTheme="minorEastAsia"/>
          <w:lang w:bidi="he-IL"/>
        </w:rPr>
        <w:instrText>\</w:instrText>
      </w:r>
      <w:r w:rsidRPr="00E12881">
        <w:rPr>
          <w:rFonts w:hint="cs"/>
          <w:rtl/>
          <w:lang w:bidi="he-IL"/>
        </w:rPr>
        <w:instrText>"ק ד'</w:instrText>
      </w:r>
      <w:r>
        <w:instrText xml:space="preserve">" </w:instrText>
      </w:r>
      <w:r>
        <w:rPr>
          <w:rFonts w:cs="Guttman Drogolin"/>
          <w:rtl/>
          <w:lang w:bidi="he-IL"/>
        </w:rPr>
        <w:fldChar w:fldCharType="end"/>
      </w:r>
      <w:r w:rsidR="007473EA" w:rsidRPr="00882F11">
        <w:rPr>
          <w:rFonts w:cs="Guttman Drogolin" w:hint="cs"/>
          <w:rtl/>
          <w:lang w:bidi="he-IL"/>
        </w:rPr>
        <w:t xml:space="preserve">כתב הש"ך בסי' צ"ד ס"ק ד' </w:t>
      </w:r>
      <w:r w:rsidR="003C10A7" w:rsidRPr="00882F11">
        <w:rPr>
          <w:rFonts w:cs="Guttman Drogolin" w:hint="cs"/>
          <w:rtl/>
          <w:lang w:bidi="he-IL"/>
        </w:rPr>
        <w:t>דאפילו מי שצריך ב' פעמים ששים כשהכניס הכף פעמיים, היינו רק פעמיים, אבל הכניס יותר מפעמיים אינ</w:t>
      </w:r>
      <w:r w:rsidR="00E55F18" w:rsidRPr="00882F11">
        <w:rPr>
          <w:rFonts w:cs="Guttman Drogolin" w:hint="cs"/>
          <w:rtl/>
          <w:lang w:bidi="he-IL"/>
        </w:rPr>
        <w:t>ו צריך יותר מזה. והטעם משום שאחרי שנאסר החלב שנשאר בכלי בפעם שני, שוב אין לו כח לאסור לאחר מכן. והטעם משום דהמחבר לשיט</w:t>
      </w:r>
      <w:r w:rsidR="00924C6B" w:rsidRPr="00882F11">
        <w:rPr>
          <w:rFonts w:cs="Guttman Drogolin" w:hint="cs"/>
          <w:rtl/>
          <w:lang w:bidi="he-IL"/>
        </w:rPr>
        <w:t>תו שפסק כר' אפרי</w:t>
      </w:r>
      <w:r w:rsidR="00E55F18" w:rsidRPr="00882F11">
        <w:rPr>
          <w:rFonts w:cs="Guttman Drogolin" w:hint="cs"/>
          <w:rtl/>
          <w:lang w:bidi="he-IL"/>
        </w:rPr>
        <w:t xml:space="preserve">ם שלא אומרים חענ"ן בשאר איסורים, ולכן כיון שאין לחלב כח לאסור בשר אחר </w:t>
      </w:r>
      <w:r w:rsidR="00924C6B" w:rsidRPr="00882F11">
        <w:rPr>
          <w:rFonts w:cs="Guttman Drogolin" w:hint="cs"/>
          <w:rtl/>
          <w:lang w:bidi="he-IL"/>
        </w:rPr>
        <w:t xml:space="preserve">בעצמו מדין </w:t>
      </w:r>
      <w:r w:rsidR="00E55F18" w:rsidRPr="00882F11">
        <w:rPr>
          <w:rFonts w:cs="Guttman Drogolin" w:hint="cs"/>
          <w:rtl/>
          <w:lang w:bidi="he-IL"/>
        </w:rPr>
        <w:t xml:space="preserve">בב"ח כיון שכבר נאסר, גם אינו יכול לאסור משום איסור בב"ח של </w:t>
      </w:r>
      <w:r w:rsidR="00924C6B" w:rsidRPr="00882F11">
        <w:rPr>
          <w:rFonts w:cs="Guttman Drogolin" w:hint="cs"/>
          <w:rtl/>
          <w:lang w:bidi="he-IL"/>
        </w:rPr>
        <w:t>שכבר חל על החלב</w:t>
      </w:r>
      <w:r w:rsidR="00E55F18" w:rsidRPr="00882F11">
        <w:rPr>
          <w:rFonts w:cs="Guttman Drogolin" w:hint="cs"/>
          <w:rtl/>
          <w:lang w:bidi="he-IL"/>
        </w:rPr>
        <w:t xml:space="preserve"> כיון שזה דומה לחענ"ן בשאר איסורים.</w:t>
      </w:r>
      <w:r w:rsidR="00DF1810" w:rsidRPr="00882F11">
        <w:rPr>
          <w:rFonts w:cs="Guttman Drogolin" w:hint="cs"/>
          <w:rtl/>
          <w:lang w:bidi="he-IL"/>
        </w:rPr>
        <w:t xml:space="preserve"> וע"ש שחלק בזה אסמ"ק ומשום דסבר הסמ"ק דאמרינן חענ"ן בשאר איסורים</w:t>
      </w:r>
      <w:r w:rsidR="00C409C1" w:rsidRPr="00882F11">
        <w:rPr>
          <w:rStyle w:val="FootnoteReference"/>
          <w:rFonts w:cs="Guttman Drogolin"/>
          <w:rtl/>
          <w:lang w:bidi="he-IL"/>
        </w:rPr>
        <w:footnoteReference w:id="276"/>
      </w:r>
      <w:r w:rsidR="00DF1810" w:rsidRPr="00882F11">
        <w:rPr>
          <w:rFonts w:cs="Guttman Drogolin" w:hint="cs"/>
          <w:rtl/>
          <w:lang w:bidi="he-IL"/>
        </w:rPr>
        <w:t>.</w:t>
      </w:r>
    </w:p>
    <w:p w:rsidR="00CD7478" w:rsidRPr="00882F11" w:rsidRDefault="00E55F18" w:rsidP="00CD7478">
      <w:pPr>
        <w:tabs>
          <w:tab w:val="right" w:pos="7497"/>
        </w:tabs>
        <w:bidi/>
        <w:jc w:val="both"/>
        <w:rPr>
          <w:rFonts w:cs="Guttman Drogolin"/>
          <w:rtl/>
          <w:lang w:bidi="he-IL"/>
        </w:rPr>
      </w:pPr>
      <w:r w:rsidRPr="00882F11">
        <w:rPr>
          <w:rFonts w:cs="Guttman Drogolin" w:hint="cs"/>
          <w:rtl/>
          <w:lang w:bidi="he-IL"/>
        </w:rPr>
        <w:t>ויש בדברי הש"ך כמה חידושים. חדא כבר הבאנו לעיל</w:t>
      </w:r>
      <w:r w:rsidRPr="00882F11">
        <w:rPr>
          <w:rStyle w:val="FootnoteReference"/>
          <w:rFonts w:cs="Guttman Drogolin"/>
          <w:rtl/>
          <w:lang w:bidi="he-IL"/>
        </w:rPr>
        <w:footnoteReference w:id="277"/>
      </w:r>
      <w:r w:rsidRPr="00882F11">
        <w:rPr>
          <w:rFonts w:cs="Guttman Drogolin" w:hint="cs"/>
          <w:rtl/>
          <w:lang w:bidi="he-IL"/>
        </w:rPr>
        <w:t xml:space="preserve"> שהפמ"ג (בשפ</w:t>
      </w:r>
      <w:r w:rsidRPr="00882F11">
        <w:rPr>
          <w:rFonts w:cs="Guttman Drogolin"/>
          <w:rtl/>
          <w:lang w:bidi="he-IL"/>
        </w:rPr>
        <w:t>"</w:t>
      </w:r>
      <w:r w:rsidRPr="00882F11">
        <w:rPr>
          <w:rFonts w:cs="Guttman Drogolin" w:hint="cs"/>
          <w:rtl/>
          <w:lang w:bidi="he-IL"/>
        </w:rPr>
        <w:t>ד</w:t>
      </w:r>
      <w:r w:rsidRPr="00882F11">
        <w:rPr>
          <w:rFonts w:cs="Guttman Drogolin"/>
          <w:rtl/>
          <w:lang w:bidi="he-IL"/>
        </w:rPr>
        <w:t xml:space="preserve"> </w:t>
      </w:r>
      <w:r w:rsidRPr="00882F11">
        <w:rPr>
          <w:rFonts w:cs="Guttman Drogolin" w:hint="cs"/>
          <w:rtl/>
          <w:lang w:bidi="he-IL"/>
        </w:rPr>
        <w:t>סי</w:t>
      </w:r>
      <w:r w:rsidRPr="00882F11">
        <w:rPr>
          <w:rFonts w:cs="Guttman Drogolin"/>
          <w:rtl/>
          <w:lang w:bidi="he-IL"/>
        </w:rPr>
        <w:t xml:space="preserve">' </w:t>
      </w:r>
      <w:r w:rsidRPr="00882F11">
        <w:rPr>
          <w:rFonts w:cs="Guttman Drogolin" w:hint="cs"/>
          <w:rtl/>
          <w:lang w:bidi="he-IL"/>
        </w:rPr>
        <w:t>צ</w:t>
      </w:r>
      <w:r w:rsidRPr="00882F11">
        <w:rPr>
          <w:rFonts w:cs="Guttman Drogolin"/>
          <w:rtl/>
          <w:lang w:bidi="he-IL"/>
        </w:rPr>
        <w:t>"</w:t>
      </w:r>
      <w:r w:rsidRPr="00882F11">
        <w:rPr>
          <w:rFonts w:cs="Guttman Drogolin" w:hint="cs"/>
          <w:rtl/>
          <w:lang w:bidi="he-IL"/>
        </w:rPr>
        <w:t>ב</w:t>
      </w:r>
      <w:r w:rsidRPr="00882F11">
        <w:rPr>
          <w:rFonts w:cs="Guttman Drogolin"/>
          <w:rtl/>
          <w:lang w:bidi="he-IL"/>
        </w:rPr>
        <w:t xml:space="preserve"> </w:t>
      </w:r>
      <w:r w:rsidRPr="00882F11">
        <w:rPr>
          <w:rFonts w:cs="Guttman Drogolin" w:hint="cs"/>
          <w:rtl/>
          <w:lang w:bidi="he-IL"/>
        </w:rPr>
        <w:t>ס</w:t>
      </w:r>
      <w:r w:rsidRPr="00882F11">
        <w:rPr>
          <w:rFonts w:cs="Guttman Drogolin"/>
          <w:rtl/>
          <w:lang w:bidi="he-IL"/>
        </w:rPr>
        <w:t>"</w:t>
      </w:r>
      <w:r w:rsidRPr="00882F11">
        <w:rPr>
          <w:rFonts w:cs="Guttman Drogolin" w:hint="cs"/>
          <w:rtl/>
          <w:lang w:bidi="he-IL"/>
        </w:rPr>
        <w:t>ק</w:t>
      </w:r>
      <w:r w:rsidRPr="00882F11">
        <w:rPr>
          <w:rFonts w:cs="Guttman Drogolin"/>
          <w:rtl/>
          <w:lang w:bidi="he-IL"/>
        </w:rPr>
        <w:t xml:space="preserve"> </w:t>
      </w:r>
      <w:r w:rsidRPr="00882F11">
        <w:rPr>
          <w:rFonts w:cs="Guttman Drogolin" w:hint="cs"/>
          <w:rtl/>
          <w:lang w:bidi="he-IL"/>
        </w:rPr>
        <w:t>י</w:t>
      </w:r>
      <w:r w:rsidRPr="00882F11">
        <w:rPr>
          <w:rFonts w:cs="Guttman Drogolin"/>
          <w:rtl/>
          <w:lang w:bidi="he-IL"/>
        </w:rPr>
        <w:t>'</w:t>
      </w:r>
      <w:r w:rsidRPr="00882F11">
        <w:rPr>
          <w:rFonts w:cs="Guttman Drogolin" w:hint="cs"/>
          <w:rtl/>
          <w:lang w:bidi="he-IL"/>
        </w:rPr>
        <w:t xml:space="preserve">) הקשה </w:t>
      </w:r>
      <w:r w:rsidRPr="00882F11">
        <w:rPr>
          <w:rFonts w:cs="Guttman Drogolin" w:hint="cs"/>
          <w:rtl/>
          <w:lang w:bidi="he-IL"/>
        </w:rPr>
        <w:lastRenderedPageBreak/>
        <w:t xml:space="preserve">שלכאורה הש"ך סותר את עצמו, שהרי לעיל בנקוה"כ חלק על הט"ז סי' פ"ז ס"ק ב', שהט"ז סבר שא"א לומר חענ"ן בבשר טמא בחלב (ולכן אין בה נפק"מ באיסור בב"ח בבר טמא) כיון שלא אומרים חענ"ן בדבר שכבר נאסר, והש"ך סבר דלא  איכפת לן שכבר נאסר. ואילו הכא נקט הש"ך כדבר פשוט שאינו אוסר אחר שכבר נאסר משום בב"ח. והערנו שלכאורה יש לחלק בין נאסר משום איסור אחר לנאסר משום בב"ח, וסבר הש"ך דלא איכפת לן באמת נאסר כבר משום איסור אחר אבל אם כבר יצר בב"ח פעם א' שוב אינו אוסר משום בב"ח. ומ"מ ע' כאן בחוו"ד שתמה בחידוש זה, דלמה לא יוכל בשר או חלב שכבר נאסרו לאסור עוד בשר או חלב משום בב"ח. וכן יש בזה נפק"מ עצומה, שלש"ך לכאורה יוצא שאם נפל בשר לתוך יורה רותחת ונאסר משום בב"ח, אין חלב נאסר אפילו אם יוציא חלב מן </w:t>
      </w:r>
      <w:r w:rsidR="00CD7478" w:rsidRPr="00882F11">
        <w:rPr>
          <w:rFonts w:cs="Guttman Drogolin" w:hint="cs"/>
          <w:rtl/>
          <w:lang w:bidi="he-IL"/>
        </w:rPr>
        <w:t>ה</w:t>
      </w:r>
      <w:r w:rsidRPr="00882F11">
        <w:rPr>
          <w:rFonts w:cs="Guttman Drogolin" w:hint="cs"/>
          <w:rtl/>
          <w:lang w:bidi="he-IL"/>
        </w:rPr>
        <w:t>תערובת באופן שלא ישאר ששים בחלב נגד הבשר, ומשום</w:t>
      </w:r>
      <w:r w:rsidR="007473EA" w:rsidRPr="00882F11">
        <w:rPr>
          <w:rFonts w:cs="Guttman Drogolin" w:hint="cs"/>
          <w:rtl/>
          <w:lang w:bidi="he-IL"/>
        </w:rPr>
        <w:t xml:space="preserve"> </w:t>
      </w:r>
      <w:r w:rsidR="00CD7478" w:rsidRPr="00882F11">
        <w:rPr>
          <w:rFonts w:cs="Guttman Drogolin" w:hint="cs"/>
          <w:rtl/>
          <w:lang w:bidi="he-IL"/>
        </w:rPr>
        <w:t>שלאחר שנאסר הבשר שוב אינו יכול לאסור החלב וכנ"ל.</w:t>
      </w:r>
    </w:p>
    <w:p w:rsidR="00D366F9" w:rsidRPr="00882F11" w:rsidRDefault="00CD7478" w:rsidP="00CD7478">
      <w:pPr>
        <w:tabs>
          <w:tab w:val="right" w:pos="7497"/>
        </w:tabs>
        <w:bidi/>
        <w:jc w:val="both"/>
        <w:rPr>
          <w:rFonts w:cs="Guttman Drogolin"/>
          <w:rtl/>
          <w:lang w:bidi="he-IL"/>
        </w:rPr>
      </w:pPr>
      <w:r w:rsidRPr="00882F11">
        <w:rPr>
          <w:rFonts w:cs="Guttman Drogolin" w:hint="cs"/>
          <w:rtl/>
          <w:lang w:bidi="he-IL"/>
        </w:rPr>
        <w:t>עוד מבואר בש"ך שאליבא דר' אפרים דבר שנאסר משום בב"ח אינו אוסר כגון ירקות. וזהו דלא כמש"כ הב"י בסי' ק"ג, וכבר העיר מזה רע"</w:t>
      </w:r>
      <w:r w:rsidR="00DF1810" w:rsidRPr="00882F11">
        <w:rPr>
          <w:rFonts w:cs="Guttman Drogolin" w:hint="cs"/>
          <w:rtl/>
          <w:lang w:bidi="he-IL"/>
        </w:rPr>
        <w:t>א לע</w:t>
      </w:r>
      <w:r w:rsidRPr="00882F11">
        <w:rPr>
          <w:rFonts w:cs="Guttman Drogolin" w:hint="cs"/>
          <w:rtl/>
          <w:lang w:bidi="he-IL"/>
        </w:rPr>
        <w:t>יל בהגהות לסי' צ'.</w:t>
      </w:r>
      <w:r w:rsidR="007473EA" w:rsidRPr="00882F11">
        <w:rPr>
          <w:rFonts w:cs="Guttman Drogolin" w:hint="cs"/>
          <w:rtl/>
          <w:lang w:bidi="he-IL"/>
        </w:rPr>
        <w:t xml:space="preserve"> </w:t>
      </w:r>
    </w:p>
    <w:p w:rsidR="00753F28" w:rsidRPr="00882F11" w:rsidRDefault="0025475C" w:rsidP="00D366F9">
      <w:pPr>
        <w:tabs>
          <w:tab w:val="right" w:pos="7497"/>
        </w:tabs>
        <w:bidi/>
        <w:jc w:val="both"/>
        <w:rPr>
          <w:rFonts w:cs="Guttman Drogolin"/>
          <w:rtl/>
          <w:lang w:bidi="he-IL"/>
        </w:rPr>
        <w:sectPr w:rsidR="00753F28" w:rsidRPr="00882F11" w:rsidSect="00DA1D59">
          <w:type w:val="continuous"/>
          <w:pgSz w:w="11907" w:h="16839" w:code="9"/>
          <w:pgMar w:top="1440" w:right="1440" w:bottom="1440" w:left="1440" w:header="720" w:footer="720" w:gutter="0"/>
          <w:cols w:num="2" w:space="720"/>
          <w:bidi/>
          <w:docGrid w:linePitch="360"/>
        </w:sectPr>
      </w:pPr>
      <w:r w:rsidRPr="00882F11">
        <w:rPr>
          <w:rFonts w:cs="Guttman Drogolin" w:hint="cs"/>
          <w:rtl/>
          <w:lang w:bidi="he-IL"/>
        </w:rPr>
        <w:t xml:space="preserve"> </w:t>
      </w:r>
    </w:p>
    <w:p w:rsidR="00753F28" w:rsidRPr="00882F11" w:rsidRDefault="00753F28" w:rsidP="00753F28">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ס"ג</w:t>
      </w:r>
    </w:p>
    <w:p w:rsidR="0000469F" w:rsidRDefault="0000469F" w:rsidP="0078079C">
      <w:pPr>
        <w:pStyle w:val="Heading1"/>
        <w:bidi/>
        <w:spacing w:before="0" w:line="360" w:lineRule="auto"/>
        <w:jc w:val="center"/>
        <w:rPr>
          <w:rFonts w:cs="Guttman Drogolin"/>
          <w:color w:val="auto"/>
          <w:sz w:val="24"/>
          <w:szCs w:val="24"/>
          <w:u w:val="single"/>
          <w:rtl/>
          <w:lang w:bidi="he-IL"/>
        </w:rPr>
        <w:sectPr w:rsidR="0000469F" w:rsidSect="0000469F">
          <w:pgSz w:w="11907" w:h="16839" w:code="9"/>
          <w:pgMar w:top="1440" w:right="1440" w:bottom="1440" w:left="1440" w:header="720" w:footer="720" w:gutter="0"/>
          <w:cols w:space="720"/>
          <w:bidi/>
          <w:docGrid w:linePitch="360"/>
        </w:sectPr>
      </w:pPr>
    </w:p>
    <w:p w:rsidR="00753F28" w:rsidRPr="0000469F" w:rsidRDefault="00753F28" w:rsidP="0078079C">
      <w:pPr>
        <w:pStyle w:val="Heading1"/>
        <w:bidi/>
        <w:spacing w:before="0" w:line="360" w:lineRule="auto"/>
        <w:jc w:val="center"/>
        <w:rPr>
          <w:rFonts w:cs="Guttman Drogolin"/>
          <w:color w:val="auto"/>
          <w:sz w:val="18"/>
          <w:szCs w:val="18"/>
          <w:u w:val="single"/>
          <w:rtl/>
          <w:lang w:bidi="he-IL"/>
        </w:rPr>
      </w:pPr>
      <w:bookmarkStart w:id="241" w:name="_Toc496175496"/>
      <w:r w:rsidRPr="0000469F">
        <w:rPr>
          <w:rFonts w:cs="Guttman Drogolin" w:hint="cs"/>
          <w:color w:val="auto"/>
          <w:sz w:val="18"/>
          <w:szCs w:val="18"/>
          <w:u w:val="single"/>
          <w:rtl/>
          <w:lang w:bidi="he-IL"/>
        </w:rPr>
        <w:lastRenderedPageBreak/>
        <w:t>ביאור שיטת הרמ"א בטעם להקל כשהכניס כף פעמיים</w:t>
      </w:r>
      <w:bookmarkEnd w:id="241"/>
    </w:p>
    <w:p w:rsidR="004B10EE" w:rsidRPr="00882F11" w:rsidRDefault="00067BF7" w:rsidP="00AF628C">
      <w:pPr>
        <w:tabs>
          <w:tab w:val="right" w:pos="7497"/>
        </w:tabs>
        <w:bidi/>
        <w:jc w:val="both"/>
        <w:rPr>
          <w:rFonts w:cs="Guttman Drogolin"/>
          <w:rtl/>
          <w:lang w:bidi="he-IL"/>
        </w:rPr>
      </w:pPr>
      <w:r>
        <w:rPr>
          <w:rFonts w:cs="Guttman Drogolin"/>
          <w:rtl/>
          <w:lang w:bidi="he-IL"/>
        </w:rPr>
        <w:fldChar w:fldCharType="begin"/>
      </w:r>
      <w:r>
        <w:instrText xml:space="preserve"> XE "</w:instrText>
      </w:r>
      <w:r w:rsidRPr="00A31E1C">
        <w:rPr>
          <w:rFonts w:hint="cs"/>
          <w:rtl/>
          <w:lang w:bidi="he-IL"/>
        </w:rPr>
        <w:instrText>הכניס כף פעמיים</w:instrText>
      </w:r>
      <w:r w:rsidRPr="00A31E1C">
        <w:rPr>
          <w:rtl/>
        </w:rPr>
        <w:instrText>:</w:instrText>
      </w:r>
      <w:r w:rsidRPr="00A31E1C">
        <w:rPr>
          <w:rFonts w:hint="cs"/>
          <w:rtl/>
          <w:lang w:bidi="he-IL"/>
        </w:rPr>
        <w:instrText>טעם  שהקיל הרמ</w:instrText>
      </w:r>
      <w:r>
        <w:rPr>
          <w:rFonts w:eastAsiaTheme="minorEastAsia"/>
          <w:lang w:bidi="he-IL"/>
        </w:rPr>
        <w:instrText>\</w:instrText>
      </w:r>
      <w:r w:rsidRPr="00A31E1C">
        <w:rPr>
          <w:rFonts w:hint="cs"/>
          <w:rtl/>
          <w:lang w:bidi="he-IL"/>
        </w:rPr>
        <w:instrText>"א בדינו</w:instrText>
      </w:r>
      <w:r>
        <w:instrText xml:space="preserve">" </w:instrText>
      </w:r>
      <w:r>
        <w:rPr>
          <w:rFonts w:cs="Guttman Drogolin"/>
          <w:rtl/>
          <w:lang w:bidi="he-IL"/>
        </w:rPr>
        <w:fldChar w:fldCharType="end"/>
      </w:r>
      <w:r w:rsidR="003A6865" w:rsidRPr="00882F11">
        <w:rPr>
          <w:rFonts w:cs="Guttman Drogolin" w:hint="cs"/>
          <w:rtl/>
          <w:lang w:bidi="he-IL"/>
        </w:rPr>
        <w:t xml:space="preserve">בשיעור הקודם הבאנו ביאורו של התרוה"ד בטעם למה אין מחמירים להצריך פעמיים ששים כשהכניס הכף פעמיים, והוא משום שי"ל שאין חענ"ן בבלוע בכלי, וכן יתכן שבכלי אמרינן שהבלוע בכלי עגיין מקושר בתבשיל ולכן אפילו אם אומרים חענ"ן בבלוע מ"מ כאן אמרינן שסופו להתפשט ולכן לא נע"נ. והנה הרמ"א בסע' ב' הקיל כשיטת התרוה"ד. אלא שלכאורה עדיין צ"ע, דהא כתב הרמ"א בסי' צ"ח סע' ד' </w:t>
      </w:r>
      <w:r w:rsidR="004B10EE" w:rsidRPr="00882F11">
        <w:rPr>
          <w:rFonts w:cs="Guttman Drogolin" w:hint="cs"/>
          <w:rtl/>
          <w:lang w:bidi="he-IL"/>
        </w:rPr>
        <w:t>"איסור</w:t>
      </w:r>
      <w:r w:rsidR="004B10EE" w:rsidRPr="00882F11">
        <w:rPr>
          <w:rFonts w:cs="Guttman Drogolin"/>
          <w:rtl/>
          <w:lang w:bidi="he-IL"/>
        </w:rPr>
        <w:t xml:space="preserve"> </w:t>
      </w:r>
      <w:r w:rsidR="004B10EE" w:rsidRPr="00882F11">
        <w:rPr>
          <w:rFonts w:cs="Guttman Drogolin" w:hint="cs"/>
          <w:rtl/>
          <w:lang w:bidi="he-IL"/>
        </w:rPr>
        <w:t>שנתבטל</w:t>
      </w:r>
      <w:r w:rsidR="004B10EE" w:rsidRPr="00882F11">
        <w:rPr>
          <w:rFonts w:cs="Guttman Drogolin"/>
          <w:rtl/>
          <w:lang w:bidi="he-IL"/>
        </w:rPr>
        <w:t xml:space="preserve"> </w:t>
      </w:r>
      <w:r w:rsidR="004B10EE" w:rsidRPr="00882F11">
        <w:rPr>
          <w:rFonts w:cs="Guttman Drogolin" w:hint="cs"/>
          <w:rtl/>
          <w:lang w:bidi="he-IL"/>
        </w:rPr>
        <w:t>בקדירה</w:t>
      </w:r>
      <w:r w:rsidR="004B10EE" w:rsidRPr="00882F11">
        <w:rPr>
          <w:rFonts w:cs="Guttman Drogolin"/>
          <w:rtl/>
          <w:lang w:bidi="he-IL"/>
        </w:rPr>
        <w:t xml:space="preserve"> </w:t>
      </w:r>
      <w:r w:rsidR="004B10EE" w:rsidRPr="00882F11">
        <w:rPr>
          <w:rFonts w:cs="Guttman Drogolin" w:hint="cs"/>
          <w:rtl/>
          <w:lang w:bidi="he-IL"/>
        </w:rPr>
        <w:t>והסירוהו</w:t>
      </w:r>
      <w:r w:rsidR="004B10EE" w:rsidRPr="00882F11">
        <w:rPr>
          <w:rFonts w:cs="Guttman Drogolin"/>
          <w:rtl/>
          <w:lang w:bidi="he-IL"/>
        </w:rPr>
        <w:t xml:space="preserve"> </w:t>
      </w:r>
      <w:r w:rsidR="004B10EE" w:rsidRPr="00882F11">
        <w:rPr>
          <w:rFonts w:cs="Guttman Drogolin" w:hint="cs"/>
          <w:rtl/>
          <w:lang w:bidi="he-IL"/>
        </w:rPr>
        <w:t>משם</w:t>
      </w:r>
      <w:r w:rsidR="004B10EE" w:rsidRPr="00882F11">
        <w:rPr>
          <w:rFonts w:cs="Guttman Drogolin"/>
          <w:rtl/>
          <w:lang w:bidi="he-IL"/>
        </w:rPr>
        <w:t xml:space="preserve">, </w:t>
      </w:r>
      <w:r w:rsidR="004B10EE" w:rsidRPr="00882F11">
        <w:rPr>
          <w:rFonts w:cs="Guttman Drogolin" w:hint="cs"/>
          <w:rtl/>
          <w:lang w:bidi="he-IL"/>
        </w:rPr>
        <w:t>ונפל</w:t>
      </w:r>
      <w:r w:rsidR="004B10EE" w:rsidRPr="00882F11">
        <w:rPr>
          <w:rFonts w:cs="Guttman Drogolin"/>
          <w:rtl/>
          <w:lang w:bidi="he-IL"/>
        </w:rPr>
        <w:t xml:space="preserve"> </w:t>
      </w:r>
      <w:r w:rsidR="004B10EE" w:rsidRPr="00882F11">
        <w:rPr>
          <w:rFonts w:cs="Guttman Drogolin" w:hint="cs"/>
          <w:rtl/>
          <w:lang w:bidi="he-IL"/>
        </w:rPr>
        <w:t>לקדירה</w:t>
      </w:r>
      <w:r w:rsidR="004B10EE" w:rsidRPr="00882F11">
        <w:rPr>
          <w:rFonts w:cs="Guttman Drogolin"/>
          <w:rtl/>
          <w:lang w:bidi="he-IL"/>
        </w:rPr>
        <w:t xml:space="preserve"> </w:t>
      </w:r>
      <w:r w:rsidR="004B10EE" w:rsidRPr="00882F11">
        <w:rPr>
          <w:rFonts w:cs="Guttman Drogolin" w:hint="cs"/>
          <w:rtl/>
          <w:lang w:bidi="he-IL"/>
        </w:rPr>
        <w:t>אחרת</w:t>
      </w:r>
      <w:r w:rsidR="004B10EE" w:rsidRPr="00882F11">
        <w:rPr>
          <w:rFonts w:cs="Guttman Drogolin"/>
          <w:rtl/>
          <w:lang w:bidi="he-IL"/>
        </w:rPr>
        <w:t xml:space="preserve">, </w:t>
      </w:r>
      <w:r w:rsidR="004B10EE" w:rsidRPr="00882F11">
        <w:rPr>
          <w:rFonts w:cs="Guttman Drogolin" w:hint="cs"/>
          <w:rtl/>
          <w:lang w:bidi="he-IL"/>
        </w:rPr>
        <w:t>צריך</w:t>
      </w:r>
      <w:r w:rsidR="004B10EE" w:rsidRPr="00882F11">
        <w:rPr>
          <w:rFonts w:cs="Guttman Drogolin"/>
          <w:rtl/>
          <w:lang w:bidi="he-IL"/>
        </w:rPr>
        <w:t xml:space="preserve"> </w:t>
      </w:r>
      <w:r w:rsidR="004B10EE" w:rsidRPr="00882F11">
        <w:rPr>
          <w:rFonts w:cs="Guttman Drogolin" w:hint="cs"/>
          <w:rtl/>
          <w:lang w:bidi="he-IL"/>
        </w:rPr>
        <w:t>לחזור</w:t>
      </w:r>
      <w:r w:rsidR="004B10EE" w:rsidRPr="00882F11">
        <w:rPr>
          <w:rFonts w:cs="Guttman Drogolin"/>
          <w:rtl/>
          <w:lang w:bidi="he-IL"/>
        </w:rPr>
        <w:t xml:space="preserve"> </w:t>
      </w:r>
      <w:r w:rsidR="004B10EE" w:rsidRPr="00882F11">
        <w:rPr>
          <w:rFonts w:cs="Guttman Drogolin" w:hint="cs"/>
          <w:rtl/>
          <w:lang w:bidi="he-IL"/>
        </w:rPr>
        <w:t>ולבטלו</w:t>
      </w:r>
      <w:r w:rsidR="004B10EE" w:rsidRPr="00882F11">
        <w:rPr>
          <w:rFonts w:cs="Guttman Drogolin"/>
          <w:rtl/>
          <w:lang w:bidi="he-IL"/>
        </w:rPr>
        <w:t xml:space="preserve"> </w:t>
      </w:r>
      <w:r w:rsidR="004B10EE" w:rsidRPr="00882F11">
        <w:rPr>
          <w:rFonts w:cs="Guttman Drogolin" w:hint="cs"/>
          <w:rtl/>
          <w:lang w:bidi="he-IL"/>
        </w:rPr>
        <w:t>בששים</w:t>
      </w:r>
      <w:r w:rsidR="004B10EE" w:rsidRPr="00882F11">
        <w:rPr>
          <w:rFonts w:cs="Guttman Drogolin"/>
          <w:rtl/>
          <w:lang w:bidi="he-IL"/>
        </w:rPr>
        <w:t xml:space="preserve"> </w:t>
      </w:r>
      <w:r w:rsidR="004B10EE" w:rsidRPr="00882F11">
        <w:rPr>
          <w:rFonts w:cs="Guttman Drogolin" w:hint="cs"/>
          <w:rtl/>
          <w:lang w:bidi="he-IL"/>
        </w:rPr>
        <w:t>נגד</w:t>
      </w:r>
      <w:r w:rsidR="004B10EE" w:rsidRPr="00882F11">
        <w:rPr>
          <w:rFonts w:cs="Guttman Drogolin"/>
          <w:rtl/>
          <w:lang w:bidi="he-IL"/>
        </w:rPr>
        <w:t xml:space="preserve"> </w:t>
      </w:r>
      <w:r w:rsidR="004B10EE" w:rsidRPr="00882F11">
        <w:rPr>
          <w:rFonts w:cs="Guttman Drogolin" w:hint="cs"/>
          <w:rtl/>
          <w:lang w:bidi="he-IL"/>
        </w:rPr>
        <w:t>כולו</w:t>
      </w:r>
      <w:r w:rsidR="004B10EE" w:rsidRPr="00882F11">
        <w:rPr>
          <w:rFonts w:cs="Guttman Drogolin"/>
          <w:rtl/>
          <w:lang w:bidi="he-IL"/>
        </w:rPr>
        <w:t xml:space="preserve">, </w:t>
      </w:r>
      <w:r w:rsidR="004B10EE" w:rsidRPr="00882F11">
        <w:rPr>
          <w:rFonts w:cs="Guttman Drogolin" w:hint="cs"/>
          <w:rtl/>
          <w:lang w:bidi="he-IL"/>
        </w:rPr>
        <w:t>וכן</w:t>
      </w:r>
      <w:r w:rsidR="004B10EE" w:rsidRPr="00882F11">
        <w:rPr>
          <w:rFonts w:cs="Guttman Drogolin"/>
          <w:rtl/>
          <w:lang w:bidi="he-IL"/>
        </w:rPr>
        <w:t xml:space="preserve"> </w:t>
      </w:r>
      <w:r w:rsidR="004B10EE" w:rsidRPr="00882F11">
        <w:rPr>
          <w:rFonts w:cs="Guttman Drogolin" w:hint="cs"/>
          <w:rtl/>
          <w:lang w:bidi="he-IL"/>
        </w:rPr>
        <w:t>לעולם</w:t>
      </w:r>
      <w:r w:rsidR="004B10EE" w:rsidRPr="00882F11">
        <w:rPr>
          <w:rFonts w:cs="Guttman Drogolin"/>
          <w:rtl/>
          <w:lang w:bidi="he-IL"/>
        </w:rPr>
        <w:t xml:space="preserve"> </w:t>
      </w:r>
      <w:r w:rsidR="004B10EE" w:rsidRPr="00882F11">
        <w:rPr>
          <w:rFonts w:cs="Guttman Drogolin" w:hint="cs"/>
          <w:rtl/>
          <w:lang w:bidi="he-IL"/>
        </w:rPr>
        <w:t>אבל</w:t>
      </w:r>
      <w:r w:rsidR="004B10EE" w:rsidRPr="00882F11">
        <w:rPr>
          <w:rFonts w:cs="Guttman Drogolin"/>
          <w:rtl/>
          <w:lang w:bidi="he-IL"/>
        </w:rPr>
        <w:t xml:space="preserve"> </w:t>
      </w:r>
      <w:r w:rsidR="004B10EE" w:rsidRPr="00882F11">
        <w:rPr>
          <w:rFonts w:cs="Guttman Drogolin" w:hint="cs"/>
          <w:rtl/>
          <w:lang w:bidi="he-IL"/>
        </w:rPr>
        <w:t>אם</w:t>
      </w:r>
      <w:r w:rsidR="004B10EE" w:rsidRPr="00882F11">
        <w:rPr>
          <w:rFonts w:cs="Guttman Drogolin"/>
          <w:rtl/>
          <w:lang w:bidi="he-IL"/>
        </w:rPr>
        <w:t xml:space="preserve"> </w:t>
      </w:r>
      <w:r w:rsidR="004B10EE" w:rsidRPr="00882F11">
        <w:rPr>
          <w:rFonts w:cs="Guttman Drogolin" w:hint="cs"/>
          <w:rtl/>
          <w:lang w:bidi="he-IL"/>
        </w:rPr>
        <w:t>נפל</w:t>
      </w:r>
      <w:r w:rsidR="004B10EE" w:rsidRPr="00882F11">
        <w:rPr>
          <w:rFonts w:cs="Guttman Drogolin"/>
          <w:rtl/>
          <w:lang w:bidi="he-IL"/>
        </w:rPr>
        <w:t xml:space="preserve"> </w:t>
      </w:r>
      <w:r w:rsidR="004B10EE" w:rsidRPr="00882F11">
        <w:rPr>
          <w:rFonts w:cs="Guttman Drogolin" w:hint="cs"/>
          <w:rtl/>
          <w:lang w:bidi="he-IL"/>
        </w:rPr>
        <w:t>לקדירה</w:t>
      </w:r>
      <w:r w:rsidR="004B10EE" w:rsidRPr="00882F11">
        <w:rPr>
          <w:rFonts w:cs="Guttman Drogolin"/>
          <w:rtl/>
          <w:lang w:bidi="he-IL"/>
        </w:rPr>
        <w:t xml:space="preserve"> </w:t>
      </w:r>
      <w:r w:rsidR="004B10EE" w:rsidRPr="00882F11">
        <w:rPr>
          <w:rFonts w:cs="Guttman Drogolin" w:hint="cs"/>
          <w:rtl/>
          <w:lang w:bidi="he-IL"/>
        </w:rPr>
        <w:t>הראשונה</w:t>
      </w:r>
      <w:r w:rsidR="004B10EE" w:rsidRPr="00882F11">
        <w:rPr>
          <w:rFonts w:cs="Guttman Drogolin"/>
          <w:rtl/>
          <w:lang w:bidi="he-IL"/>
        </w:rPr>
        <w:t xml:space="preserve"> </w:t>
      </w:r>
      <w:r w:rsidR="004B10EE" w:rsidRPr="00882F11">
        <w:rPr>
          <w:rFonts w:cs="Guttman Drogolin" w:hint="cs"/>
          <w:rtl/>
          <w:lang w:bidi="he-IL"/>
        </w:rPr>
        <w:t>ב</w:t>
      </w:r>
      <w:r w:rsidR="004B10EE" w:rsidRPr="00882F11">
        <w:rPr>
          <w:rFonts w:cs="Guttman Drogolin"/>
          <w:rtl/>
          <w:lang w:bidi="he-IL"/>
        </w:rPr>
        <w:t xml:space="preserve">' </w:t>
      </w:r>
      <w:r w:rsidR="004B10EE" w:rsidRPr="00882F11">
        <w:rPr>
          <w:rFonts w:cs="Guttman Drogolin" w:hint="cs"/>
          <w:rtl/>
          <w:lang w:bidi="he-IL"/>
        </w:rPr>
        <w:t>פעמים</w:t>
      </w:r>
      <w:r w:rsidR="004B10EE" w:rsidRPr="00882F11">
        <w:rPr>
          <w:rFonts w:cs="Guttman Drogolin"/>
          <w:rtl/>
          <w:lang w:bidi="he-IL"/>
        </w:rPr>
        <w:t xml:space="preserve">, </w:t>
      </w:r>
      <w:r w:rsidR="004B10EE" w:rsidRPr="00882F11">
        <w:rPr>
          <w:rFonts w:cs="Guttman Drogolin" w:hint="cs"/>
          <w:rtl/>
          <w:lang w:bidi="he-IL"/>
        </w:rPr>
        <w:t>אין</w:t>
      </w:r>
      <w:r w:rsidR="004B10EE" w:rsidRPr="00882F11">
        <w:rPr>
          <w:rFonts w:cs="Guttman Drogolin"/>
          <w:rtl/>
          <w:lang w:bidi="he-IL"/>
        </w:rPr>
        <w:t xml:space="preserve"> </w:t>
      </w:r>
      <w:r w:rsidR="004B10EE" w:rsidRPr="00882F11">
        <w:rPr>
          <w:rFonts w:cs="Guttman Drogolin" w:hint="cs"/>
          <w:rtl/>
          <w:lang w:bidi="he-IL"/>
        </w:rPr>
        <w:t>צריך</w:t>
      </w:r>
      <w:r w:rsidR="004B10EE" w:rsidRPr="00882F11">
        <w:rPr>
          <w:rFonts w:cs="Guttman Drogolin"/>
          <w:rtl/>
          <w:lang w:bidi="he-IL"/>
        </w:rPr>
        <w:t xml:space="preserve"> </w:t>
      </w:r>
      <w:r w:rsidR="004B10EE" w:rsidRPr="00882F11">
        <w:rPr>
          <w:rFonts w:cs="Guttman Drogolin" w:hint="cs"/>
          <w:rtl/>
          <w:lang w:bidi="he-IL"/>
        </w:rPr>
        <w:t>רק</w:t>
      </w:r>
      <w:r w:rsidR="004B10EE" w:rsidRPr="00882F11">
        <w:rPr>
          <w:rFonts w:cs="Guttman Drogolin"/>
          <w:rtl/>
          <w:lang w:bidi="he-IL"/>
        </w:rPr>
        <w:t xml:space="preserve"> </w:t>
      </w:r>
      <w:r w:rsidR="004B10EE" w:rsidRPr="00882F11">
        <w:rPr>
          <w:rFonts w:cs="Guttman Drogolin" w:hint="cs"/>
          <w:rtl/>
          <w:lang w:bidi="he-IL"/>
        </w:rPr>
        <w:t>ששים</w:t>
      </w:r>
      <w:r w:rsidR="004B10EE" w:rsidRPr="00882F11">
        <w:rPr>
          <w:rFonts w:cs="Guttman Drogolin"/>
          <w:rtl/>
          <w:lang w:bidi="he-IL"/>
        </w:rPr>
        <w:t xml:space="preserve"> </w:t>
      </w:r>
      <w:r w:rsidR="004B10EE" w:rsidRPr="00882F11">
        <w:rPr>
          <w:rFonts w:cs="Guttman Drogolin" w:hint="cs"/>
          <w:rtl/>
          <w:lang w:bidi="he-IL"/>
        </w:rPr>
        <w:t>אחת</w:t>
      </w:r>
      <w:r w:rsidR="004B10EE" w:rsidRPr="00882F11">
        <w:rPr>
          <w:rFonts w:cs="Guttman Drogolin"/>
          <w:rtl/>
          <w:lang w:bidi="he-IL"/>
        </w:rPr>
        <w:t xml:space="preserve"> </w:t>
      </w:r>
      <w:r w:rsidR="004B10EE" w:rsidRPr="00882F11">
        <w:rPr>
          <w:rFonts w:cs="Guttman Drogolin" w:hint="cs"/>
          <w:rtl/>
          <w:lang w:bidi="he-IL"/>
        </w:rPr>
        <w:t>כנגדו". הרי שגם בחתיכת אוכל לא הצריך אלא פעם א' ששים, ולכאורה צ"ע דהא כשנפל פעם הראשון הפליט מטעם עצמו לתוך התבשיל, ולאחר מכן י"ל שבלע החתיכה מן התבשיל עצמה ונע"נ, ושוב הפליט החלק של התבשיל שנע"נ לתוך התבשיל, ולכן צריכים גם ששים כנגד הטעם ההוא, והיינו סך הכל פעמיים ששים. והכא לא שייכים דברי התרוה"ד, דהא באוכלין ודאי לא אמרינן שהוא מקושר לתבשיל, וכן באוכלין ודאי אמרינן חענ"ן, שכל זה מבואר מסוגיא דחלב נבילה. וא"כ לכאורה מבואר דאיכא טעמא אחרינא להקל בזה, ויל"ע מהו.</w:t>
      </w:r>
    </w:p>
    <w:p w:rsidR="00397E35" w:rsidRPr="00882F11" w:rsidRDefault="004B10EE" w:rsidP="00EF6AC7">
      <w:pPr>
        <w:tabs>
          <w:tab w:val="right" w:pos="7497"/>
        </w:tabs>
        <w:bidi/>
        <w:jc w:val="both"/>
        <w:rPr>
          <w:rFonts w:cs="Guttman Drogolin"/>
          <w:rtl/>
          <w:lang w:bidi="he-IL"/>
        </w:rPr>
      </w:pPr>
      <w:r w:rsidRPr="00882F11">
        <w:rPr>
          <w:rFonts w:cs="Guttman Drogolin" w:hint="cs"/>
          <w:rtl/>
          <w:lang w:bidi="he-IL"/>
        </w:rPr>
        <w:t xml:space="preserve">והנה אפילו לדעה המחמירה שצריכים </w:t>
      </w:r>
      <w:r w:rsidR="00EF6AC7" w:rsidRPr="00882F11">
        <w:rPr>
          <w:rFonts w:cs="Guttman Drogolin" w:hint="cs"/>
          <w:rtl/>
          <w:lang w:bidi="he-IL"/>
        </w:rPr>
        <w:t>פעמיים ששים, הנ"מ בדלא נודע בינתיים, אבל נודע בינתיים אמרינן שהטעם איסור הראשון כבר התבטל, ואפילו אם לאחר מכן התבשיל שנבלע נע"נ ושוב נ</w:t>
      </w:r>
      <w:r w:rsidR="00AF628C" w:rsidRPr="00882F11">
        <w:rPr>
          <w:rFonts w:cs="Guttman Drogolin" w:hint="cs"/>
          <w:rtl/>
          <w:lang w:bidi="he-IL"/>
        </w:rPr>
        <w:t xml:space="preserve">פלט לתוכו הא אין צריך לבטל </w:t>
      </w:r>
      <w:r w:rsidR="00EF6AC7" w:rsidRPr="00882F11">
        <w:rPr>
          <w:rFonts w:cs="Guttman Drogolin" w:hint="cs"/>
          <w:rtl/>
          <w:lang w:bidi="he-IL"/>
        </w:rPr>
        <w:t>אלא אותו, דהא הטעם הראשון כבר התבטל כיון שנודע בינתיים. וה</w:t>
      </w:r>
      <w:r w:rsidRPr="00882F11">
        <w:rPr>
          <w:rFonts w:cs="Guttman Drogolin" w:hint="cs"/>
          <w:rtl/>
          <w:lang w:bidi="he-IL"/>
        </w:rPr>
        <w:t xml:space="preserve">ש"ך בס"ק </w:t>
      </w:r>
      <w:r w:rsidR="00EF6AC7" w:rsidRPr="00882F11">
        <w:rPr>
          <w:rFonts w:cs="Guttman Drogolin" w:hint="cs"/>
          <w:rtl/>
          <w:lang w:bidi="he-IL"/>
        </w:rPr>
        <w:t>ה' העיר שלכאורה דעת</w:t>
      </w:r>
      <w:r w:rsidR="00EF6AC7" w:rsidRPr="00882F11">
        <w:rPr>
          <w:rFonts w:cs="Guttman Drogolin"/>
          <w:rtl/>
          <w:lang w:bidi="he-IL"/>
        </w:rPr>
        <w:t xml:space="preserve"> </w:t>
      </w:r>
      <w:r w:rsidR="00EF6AC7" w:rsidRPr="00882F11">
        <w:rPr>
          <w:rFonts w:cs="Guttman Drogolin" w:hint="cs"/>
          <w:rtl/>
          <w:lang w:bidi="he-IL"/>
        </w:rPr>
        <w:t>ב</w:t>
      </w:r>
      <w:r w:rsidR="00EF6AC7" w:rsidRPr="00882F11">
        <w:rPr>
          <w:rFonts w:cs="Guttman Drogolin"/>
          <w:rtl/>
          <w:lang w:bidi="he-IL"/>
        </w:rPr>
        <w:t>"</w:t>
      </w:r>
      <w:r w:rsidR="00EF6AC7" w:rsidRPr="00882F11">
        <w:rPr>
          <w:rFonts w:cs="Guttman Drogolin" w:hint="cs"/>
          <w:rtl/>
          <w:lang w:bidi="he-IL"/>
        </w:rPr>
        <w:t>י</w:t>
      </w:r>
      <w:r w:rsidR="00EF6AC7" w:rsidRPr="00882F11">
        <w:rPr>
          <w:rFonts w:cs="Guttman Drogolin"/>
          <w:rtl/>
          <w:lang w:bidi="he-IL"/>
        </w:rPr>
        <w:t xml:space="preserve"> </w:t>
      </w:r>
      <w:r w:rsidR="00EF6AC7" w:rsidRPr="00882F11">
        <w:rPr>
          <w:rFonts w:cs="Guttman Drogolin" w:hint="cs"/>
          <w:rtl/>
          <w:lang w:bidi="he-IL"/>
        </w:rPr>
        <w:t>לקמן</w:t>
      </w:r>
      <w:r w:rsidR="00EF6AC7" w:rsidRPr="00882F11">
        <w:rPr>
          <w:rFonts w:cs="Guttman Drogolin"/>
          <w:rtl/>
          <w:lang w:bidi="he-IL"/>
        </w:rPr>
        <w:t xml:space="preserve"> </w:t>
      </w:r>
      <w:r w:rsidR="00EF6AC7" w:rsidRPr="00882F11">
        <w:rPr>
          <w:rFonts w:cs="Guttman Drogolin" w:hint="cs"/>
          <w:rtl/>
          <w:lang w:bidi="he-IL"/>
        </w:rPr>
        <w:t>ס</w:t>
      </w:r>
      <w:r w:rsidR="00EF6AC7" w:rsidRPr="00882F11">
        <w:rPr>
          <w:rFonts w:cs="Guttman Drogolin"/>
          <w:rtl/>
          <w:lang w:bidi="he-IL"/>
        </w:rPr>
        <w:t>"</w:t>
      </w:r>
      <w:r w:rsidR="00EF6AC7" w:rsidRPr="00882F11">
        <w:rPr>
          <w:rFonts w:cs="Guttman Drogolin" w:hint="cs"/>
          <w:rtl/>
          <w:lang w:bidi="he-IL"/>
        </w:rPr>
        <w:t>ס</w:t>
      </w:r>
      <w:r w:rsidR="00EF6AC7" w:rsidRPr="00882F11">
        <w:rPr>
          <w:rFonts w:cs="Guttman Drogolin"/>
          <w:rtl/>
          <w:lang w:bidi="he-IL"/>
        </w:rPr>
        <w:t xml:space="preserve"> </w:t>
      </w:r>
      <w:r w:rsidR="00EF6AC7" w:rsidRPr="00882F11">
        <w:rPr>
          <w:rFonts w:cs="Guttman Drogolin" w:hint="cs"/>
          <w:rtl/>
          <w:lang w:bidi="he-IL"/>
        </w:rPr>
        <w:t>צ</w:t>
      </w:r>
      <w:r w:rsidR="00EF6AC7" w:rsidRPr="00882F11">
        <w:rPr>
          <w:rFonts w:cs="Guttman Drogolin"/>
          <w:rtl/>
          <w:lang w:bidi="he-IL"/>
        </w:rPr>
        <w:t>"</w:t>
      </w:r>
      <w:r w:rsidR="00EF6AC7" w:rsidRPr="00882F11">
        <w:rPr>
          <w:rFonts w:cs="Guttman Drogolin" w:hint="cs"/>
          <w:rtl/>
          <w:lang w:bidi="he-IL"/>
        </w:rPr>
        <w:t>ט</w:t>
      </w:r>
      <w:r w:rsidR="00EF6AC7" w:rsidRPr="00882F11">
        <w:rPr>
          <w:rFonts w:cs="Guttman Drogolin"/>
          <w:rtl/>
          <w:lang w:bidi="he-IL"/>
        </w:rPr>
        <w:t xml:space="preserve"> </w:t>
      </w:r>
      <w:r w:rsidR="00EF6AC7" w:rsidRPr="00882F11">
        <w:rPr>
          <w:rFonts w:cs="Guttman Drogolin" w:hint="cs"/>
          <w:rtl/>
          <w:lang w:bidi="he-IL"/>
        </w:rPr>
        <w:t>דאם</w:t>
      </w:r>
      <w:r w:rsidR="00EF6AC7" w:rsidRPr="00882F11">
        <w:rPr>
          <w:rFonts w:cs="Guttman Drogolin"/>
          <w:rtl/>
          <w:lang w:bidi="he-IL"/>
        </w:rPr>
        <w:t xml:space="preserve"> </w:t>
      </w:r>
      <w:r w:rsidR="00EF6AC7" w:rsidRPr="00882F11">
        <w:rPr>
          <w:rFonts w:cs="Guttman Drogolin" w:hint="cs"/>
          <w:rtl/>
          <w:lang w:bidi="he-IL"/>
        </w:rPr>
        <w:t>נפל</w:t>
      </w:r>
      <w:r w:rsidR="00EF6AC7" w:rsidRPr="00882F11">
        <w:rPr>
          <w:rFonts w:cs="Guttman Drogolin"/>
          <w:rtl/>
          <w:lang w:bidi="he-IL"/>
        </w:rPr>
        <w:t xml:space="preserve"> </w:t>
      </w:r>
      <w:r w:rsidR="00EF6AC7" w:rsidRPr="00882F11">
        <w:rPr>
          <w:rFonts w:cs="Guttman Drogolin" w:hint="cs"/>
          <w:rtl/>
          <w:lang w:bidi="he-IL"/>
        </w:rPr>
        <w:t>כזית</w:t>
      </w:r>
      <w:r w:rsidR="00EF6AC7" w:rsidRPr="00882F11">
        <w:rPr>
          <w:rFonts w:cs="Guttman Drogolin"/>
          <w:rtl/>
          <w:lang w:bidi="he-IL"/>
        </w:rPr>
        <w:t xml:space="preserve"> </w:t>
      </w:r>
      <w:r w:rsidR="00EF6AC7" w:rsidRPr="00882F11">
        <w:rPr>
          <w:rFonts w:cs="Guttman Drogolin" w:hint="cs"/>
          <w:rtl/>
          <w:lang w:bidi="he-IL"/>
        </w:rPr>
        <w:t>איסור</w:t>
      </w:r>
      <w:r w:rsidR="00EF6AC7" w:rsidRPr="00882F11">
        <w:rPr>
          <w:rFonts w:cs="Guttman Drogolin"/>
          <w:rtl/>
          <w:lang w:bidi="he-IL"/>
        </w:rPr>
        <w:t xml:space="preserve"> </w:t>
      </w:r>
      <w:r w:rsidR="00EF6AC7" w:rsidRPr="00882F11">
        <w:rPr>
          <w:rFonts w:cs="Guttman Drogolin" w:hint="cs"/>
          <w:rtl/>
          <w:lang w:bidi="he-IL"/>
        </w:rPr>
        <w:t>לתוך</w:t>
      </w:r>
      <w:r w:rsidR="00EF6AC7" w:rsidRPr="00882F11">
        <w:rPr>
          <w:rFonts w:cs="Guttman Drogolin"/>
          <w:rtl/>
          <w:lang w:bidi="he-IL"/>
        </w:rPr>
        <w:t xml:space="preserve"> </w:t>
      </w:r>
      <w:r w:rsidR="00EF6AC7" w:rsidRPr="00882F11">
        <w:rPr>
          <w:rFonts w:cs="Guttman Drogolin" w:hint="cs"/>
          <w:rtl/>
          <w:lang w:bidi="he-IL"/>
        </w:rPr>
        <w:t>ס</w:t>
      </w:r>
      <w:r w:rsidR="00EF6AC7" w:rsidRPr="00882F11">
        <w:rPr>
          <w:rFonts w:cs="Guttman Drogolin"/>
          <w:rtl/>
          <w:lang w:bidi="he-IL"/>
        </w:rPr>
        <w:t xml:space="preserve">' </w:t>
      </w:r>
      <w:r w:rsidR="00EF6AC7" w:rsidRPr="00882F11">
        <w:rPr>
          <w:rFonts w:cs="Guttman Drogolin" w:hint="cs"/>
          <w:rtl/>
          <w:lang w:bidi="he-IL"/>
        </w:rPr>
        <w:t>זיתים</w:t>
      </w:r>
      <w:r w:rsidR="00EF6AC7" w:rsidRPr="00882F11">
        <w:rPr>
          <w:rFonts w:cs="Guttman Drogolin"/>
          <w:rtl/>
          <w:lang w:bidi="he-IL"/>
        </w:rPr>
        <w:t xml:space="preserve"> </w:t>
      </w:r>
      <w:r w:rsidR="00EF6AC7" w:rsidRPr="00882F11">
        <w:rPr>
          <w:rFonts w:cs="Guttman Drogolin" w:hint="cs"/>
          <w:rtl/>
          <w:lang w:bidi="he-IL"/>
        </w:rPr>
        <w:t>היתר</w:t>
      </w:r>
      <w:r w:rsidR="00EF6AC7" w:rsidRPr="00882F11">
        <w:rPr>
          <w:rFonts w:cs="Guttman Drogolin"/>
          <w:rtl/>
          <w:lang w:bidi="he-IL"/>
        </w:rPr>
        <w:t xml:space="preserve"> </w:t>
      </w:r>
      <w:r w:rsidR="00EF6AC7" w:rsidRPr="00882F11">
        <w:rPr>
          <w:rFonts w:cs="Guttman Drogolin" w:hint="cs"/>
          <w:rtl/>
          <w:lang w:bidi="he-IL"/>
        </w:rPr>
        <w:t>ואח</w:t>
      </w:r>
      <w:r w:rsidR="00EF6AC7" w:rsidRPr="00882F11">
        <w:rPr>
          <w:rFonts w:cs="Guttman Drogolin"/>
          <w:rtl/>
          <w:lang w:bidi="he-IL"/>
        </w:rPr>
        <w:t>"</w:t>
      </w:r>
      <w:r w:rsidR="00EF6AC7" w:rsidRPr="00882F11">
        <w:rPr>
          <w:rFonts w:cs="Guttman Drogolin" w:hint="cs"/>
          <w:rtl/>
          <w:lang w:bidi="he-IL"/>
        </w:rPr>
        <w:t>כ</w:t>
      </w:r>
      <w:r w:rsidR="00EF6AC7" w:rsidRPr="00882F11">
        <w:rPr>
          <w:rFonts w:cs="Guttman Drogolin"/>
          <w:rtl/>
          <w:lang w:bidi="he-IL"/>
        </w:rPr>
        <w:t xml:space="preserve"> </w:t>
      </w:r>
      <w:r w:rsidR="00EF6AC7" w:rsidRPr="00882F11">
        <w:rPr>
          <w:rFonts w:cs="Guttman Drogolin" w:hint="cs"/>
          <w:rtl/>
          <w:lang w:bidi="he-IL"/>
        </w:rPr>
        <w:t>חזר</w:t>
      </w:r>
      <w:r w:rsidR="00EF6AC7" w:rsidRPr="00882F11">
        <w:rPr>
          <w:rFonts w:cs="Guttman Drogolin"/>
          <w:rtl/>
          <w:lang w:bidi="he-IL"/>
        </w:rPr>
        <w:t xml:space="preserve"> </w:t>
      </w:r>
      <w:r w:rsidR="00EF6AC7" w:rsidRPr="00882F11">
        <w:rPr>
          <w:rFonts w:cs="Guttman Drogolin" w:hint="cs"/>
          <w:rtl/>
          <w:lang w:bidi="he-IL"/>
        </w:rPr>
        <w:t>ונפל</w:t>
      </w:r>
      <w:r w:rsidR="00EF6AC7" w:rsidRPr="00882F11">
        <w:rPr>
          <w:rFonts w:cs="Guttman Drogolin"/>
          <w:rtl/>
          <w:lang w:bidi="he-IL"/>
        </w:rPr>
        <w:t xml:space="preserve"> </w:t>
      </w:r>
      <w:r w:rsidR="00EF6AC7" w:rsidRPr="00882F11">
        <w:rPr>
          <w:rFonts w:cs="Guttman Drogolin" w:hint="cs"/>
          <w:rtl/>
          <w:lang w:bidi="he-IL"/>
        </w:rPr>
        <w:t>כזית</w:t>
      </w:r>
      <w:r w:rsidR="00EF6AC7" w:rsidRPr="00882F11">
        <w:rPr>
          <w:rFonts w:cs="Guttman Drogolin"/>
          <w:rtl/>
          <w:lang w:bidi="he-IL"/>
        </w:rPr>
        <w:t xml:space="preserve"> </w:t>
      </w:r>
      <w:r w:rsidR="00EF6AC7" w:rsidRPr="00882F11">
        <w:rPr>
          <w:rFonts w:cs="Guttman Drogolin" w:hint="cs"/>
          <w:rtl/>
          <w:lang w:bidi="he-IL"/>
        </w:rPr>
        <w:t>איסור</w:t>
      </w:r>
      <w:r w:rsidR="00EF6AC7" w:rsidRPr="00882F11">
        <w:rPr>
          <w:rFonts w:cs="Guttman Drogolin"/>
          <w:rtl/>
          <w:lang w:bidi="he-IL"/>
        </w:rPr>
        <w:t xml:space="preserve"> </w:t>
      </w:r>
      <w:r w:rsidR="00EF6AC7" w:rsidRPr="00882F11">
        <w:rPr>
          <w:rFonts w:cs="Guttman Drogolin" w:hint="cs"/>
          <w:rtl/>
          <w:lang w:bidi="he-IL"/>
        </w:rPr>
        <w:t>חוזר</w:t>
      </w:r>
      <w:r w:rsidR="00EF6AC7" w:rsidRPr="00882F11">
        <w:rPr>
          <w:rFonts w:cs="Guttman Drogolin"/>
          <w:rtl/>
          <w:lang w:bidi="he-IL"/>
        </w:rPr>
        <w:t xml:space="preserve"> </w:t>
      </w:r>
      <w:r w:rsidR="00EF6AC7" w:rsidRPr="00882F11">
        <w:rPr>
          <w:rFonts w:cs="Guttman Drogolin" w:hint="cs"/>
          <w:rtl/>
          <w:lang w:bidi="he-IL"/>
        </w:rPr>
        <w:t>וניעור</w:t>
      </w:r>
      <w:r w:rsidR="00EF6AC7" w:rsidRPr="00882F11">
        <w:rPr>
          <w:rFonts w:cs="Guttman Drogolin"/>
          <w:rtl/>
          <w:lang w:bidi="he-IL"/>
        </w:rPr>
        <w:t xml:space="preserve"> </w:t>
      </w:r>
      <w:r w:rsidR="00EF6AC7" w:rsidRPr="00882F11">
        <w:rPr>
          <w:rFonts w:cs="Guttman Drogolin" w:hint="cs"/>
          <w:rtl/>
          <w:lang w:bidi="he-IL"/>
        </w:rPr>
        <w:t>אפי</w:t>
      </w:r>
      <w:r w:rsidR="00EF6AC7" w:rsidRPr="00882F11">
        <w:rPr>
          <w:rFonts w:cs="Guttman Drogolin"/>
          <w:rtl/>
          <w:lang w:bidi="he-IL"/>
        </w:rPr>
        <w:t xml:space="preserve">' </w:t>
      </w:r>
      <w:r w:rsidR="00EF6AC7" w:rsidRPr="00882F11">
        <w:rPr>
          <w:rFonts w:cs="Guttman Drogolin" w:hint="cs"/>
          <w:rtl/>
          <w:lang w:bidi="he-IL"/>
        </w:rPr>
        <w:t>מין</w:t>
      </w:r>
      <w:r w:rsidR="00EF6AC7" w:rsidRPr="00882F11">
        <w:rPr>
          <w:rFonts w:cs="Guttman Drogolin"/>
          <w:rtl/>
          <w:lang w:bidi="he-IL"/>
        </w:rPr>
        <w:t xml:space="preserve"> </w:t>
      </w:r>
      <w:r w:rsidR="00EF6AC7" w:rsidRPr="00882F11">
        <w:rPr>
          <w:rFonts w:cs="Guttman Drogolin" w:hint="cs"/>
          <w:rtl/>
          <w:lang w:bidi="he-IL"/>
        </w:rPr>
        <w:t>במינו</w:t>
      </w:r>
      <w:r w:rsidR="00EF6AC7" w:rsidRPr="00882F11">
        <w:rPr>
          <w:rFonts w:cs="Guttman Drogolin"/>
          <w:rtl/>
          <w:lang w:bidi="he-IL"/>
        </w:rPr>
        <w:t xml:space="preserve"> </w:t>
      </w:r>
      <w:r w:rsidR="00EF6AC7" w:rsidRPr="00882F11">
        <w:rPr>
          <w:rFonts w:cs="Guttman Drogolin" w:hint="cs"/>
          <w:rtl/>
          <w:lang w:bidi="he-IL"/>
        </w:rPr>
        <w:t>אפילו</w:t>
      </w:r>
      <w:r w:rsidR="00EF6AC7" w:rsidRPr="00882F11">
        <w:rPr>
          <w:rFonts w:cs="Guttman Drogolin"/>
          <w:rtl/>
          <w:lang w:bidi="he-IL"/>
        </w:rPr>
        <w:t xml:space="preserve"> </w:t>
      </w:r>
      <w:r w:rsidR="00EF6AC7" w:rsidRPr="00882F11">
        <w:rPr>
          <w:rFonts w:cs="Guttman Drogolin" w:hint="cs"/>
          <w:rtl/>
          <w:lang w:bidi="he-IL"/>
        </w:rPr>
        <w:t>נודע</w:t>
      </w:r>
      <w:r w:rsidR="00EF6AC7" w:rsidRPr="00882F11">
        <w:rPr>
          <w:rFonts w:cs="Guttman Drogolin"/>
          <w:rtl/>
          <w:lang w:bidi="he-IL"/>
        </w:rPr>
        <w:t xml:space="preserve"> </w:t>
      </w:r>
      <w:r w:rsidR="00EF6AC7" w:rsidRPr="00882F11">
        <w:rPr>
          <w:rFonts w:cs="Guttman Drogolin" w:hint="cs"/>
          <w:rtl/>
          <w:lang w:bidi="he-IL"/>
        </w:rPr>
        <w:t>בנתיים</w:t>
      </w:r>
      <w:r w:rsidR="00EF6AC7" w:rsidRPr="00882F11">
        <w:rPr>
          <w:rFonts w:cs="Guttman Drogolin"/>
          <w:rtl/>
          <w:lang w:bidi="he-IL"/>
        </w:rPr>
        <w:t xml:space="preserve"> </w:t>
      </w:r>
      <w:r w:rsidR="00EF6AC7" w:rsidRPr="00882F11">
        <w:rPr>
          <w:rFonts w:cs="Guttman Drogolin" w:hint="cs"/>
          <w:rtl/>
          <w:lang w:bidi="he-IL"/>
        </w:rPr>
        <w:t xml:space="preserve">וא"כ מאי אהני לן זה דנודע בינתיים. וכה"ג קשה על מש"כ הרמב"ן בדף ק"ח ע"ב ותי' דאע"ג </w:t>
      </w:r>
      <w:r w:rsidR="00EF6AC7" w:rsidRPr="00882F11">
        <w:rPr>
          <w:rFonts w:cs="Guttman Drogolin" w:hint="cs"/>
          <w:rtl/>
          <w:lang w:bidi="he-IL"/>
        </w:rPr>
        <w:lastRenderedPageBreak/>
        <w:t>שבעלמא מין</w:t>
      </w:r>
      <w:r w:rsidR="00EF6AC7" w:rsidRPr="00882F11">
        <w:rPr>
          <w:rFonts w:cs="Guttman Drogolin"/>
          <w:rtl/>
          <w:lang w:bidi="he-IL"/>
        </w:rPr>
        <w:t xml:space="preserve"> </w:t>
      </w:r>
      <w:r w:rsidR="00EF6AC7" w:rsidRPr="00882F11">
        <w:rPr>
          <w:rFonts w:cs="Guttman Drogolin" w:hint="cs"/>
          <w:rtl/>
          <w:lang w:bidi="he-IL"/>
        </w:rPr>
        <w:t>במינו</w:t>
      </w:r>
      <w:r w:rsidR="00EF6AC7" w:rsidRPr="00882F11">
        <w:rPr>
          <w:rFonts w:cs="Guttman Drogolin"/>
          <w:rtl/>
          <w:lang w:bidi="he-IL"/>
        </w:rPr>
        <w:t xml:space="preserve"> </w:t>
      </w:r>
      <w:r w:rsidR="00EF6AC7" w:rsidRPr="00882F11">
        <w:rPr>
          <w:rFonts w:cs="Guttman Drogolin" w:hint="cs"/>
          <w:rtl/>
          <w:lang w:bidi="he-IL"/>
        </w:rPr>
        <w:t>נמי</w:t>
      </w:r>
      <w:r w:rsidR="00EF6AC7" w:rsidRPr="00882F11">
        <w:rPr>
          <w:rFonts w:cs="Guttman Drogolin"/>
          <w:rtl/>
          <w:lang w:bidi="he-IL"/>
        </w:rPr>
        <w:t xml:space="preserve"> </w:t>
      </w:r>
      <w:r w:rsidR="00EF6AC7" w:rsidRPr="00882F11">
        <w:rPr>
          <w:rFonts w:cs="Guttman Drogolin" w:hint="cs"/>
          <w:rtl/>
          <w:lang w:bidi="he-IL"/>
        </w:rPr>
        <w:t>אינו</w:t>
      </w:r>
      <w:r w:rsidR="00EF6AC7" w:rsidRPr="00882F11">
        <w:rPr>
          <w:rFonts w:cs="Guttman Drogolin"/>
          <w:rtl/>
          <w:lang w:bidi="he-IL"/>
        </w:rPr>
        <w:t xml:space="preserve"> </w:t>
      </w:r>
      <w:r w:rsidR="00EF6AC7" w:rsidRPr="00882F11">
        <w:rPr>
          <w:rFonts w:cs="Guttman Drogolin" w:hint="cs"/>
          <w:rtl/>
          <w:lang w:bidi="he-IL"/>
        </w:rPr>
        <w:t>נ</w:t>
      </w:r>
      <w:r w:rsidR="00EF6AC7" w:rsidRPr="00882F11">
        <w:rPr>
          <w:rFonts w:cs="Guttman Drogolin"/>
          <w:rtl/>
          <w:lang w:bidi="he-IL"/>
        </w:rPr>
        <w:t>"</w:t>
      </w:r>
      <w:r w:rsidR="00EF6AC7" w:rsidRPr="00882F11">
        <w:rPr>
          <w:rFonts w:cs="Guttman Drogolin" w:hint="cs"/>
          <w:rtl/>
          <w:lang w:bidi="he-IL"/>
        </w:rPr>
        <w:t>ט</w:t>
      </w:r>
      <w:r w:rsidR="00EF6AC7" w:rsidRPr="00882F11">
        <w:rPr>
          <w:rFonts w:cs="Guttman Drogolin"/>
          <w:rtl/>
          <w:lang w:bidi="he-IL"/>
        </w:rPr>
        <w:t xml:space="preserve"> </w:t>
      </w:r>
      <w:r w:rsidR="00EF6AC7" w:rsidRPr="00882F11">
        <w:rPr>
          <w:rFonts w:cs="Guttman Drogolin" w:hint="cs"/>
          <w:rtl/>
          <w:lang w:bidi="he-IL"/>
        </w:rPr>
        <w:t>ומ</w:t>
      </w:r>
      <w:r w:rsidR="00EF6AC7" w:rsidRPr="00882F11">
        <w:rPr>
          <w:rFonts w:cs="Guttman Drogolin"/>
          <w:rtl/>
          <w:lang w:bidi="he-IL"/>
        </w:rPr>
        <w:t>"</w:t>
      </w:r>
      <w:r w:rsidR="00EF6AC7" w:rsidRPr="00882F11">
        <w:rPr>
          <w:rFonts w:cs="Guttman Drogolin" w:hint="cs"/>
          <w:rtl/>
          <w:lang w:bidi="he-IL"/>
        </w:rPr>
        <w:t>מ</w:t>
      </w:r>
      <w:r w:rsidR="00EF6AC7" w:rsidRPr="00882F11">
        <w:rPr>
          <w:rFonts w:cs="Guttman Drogolin"/>
          <w:rtl/>
          <w:lang w:bidi="he-IL"/>
        </w:rPr>
        <w:t xml:space="preserve"> </w:t>
      </w:r>
      <w:r w:rsidR="00EF6AC7" w:rsidRPr="00882F11">
        <w:rPr>
          <w:rFonts w:cs="Guttman Drogolin" w:hint="cs"/>
          <w:rtl/>
          <w:lang w:bidi="he-IL"/>
        </w:rPr>
        <w:t>כיון</w:t>
      </w:r>
      <w:r w:rsidR="00EF6AC7" w:rsidRPr="00882F11">
        <w:rPr>
          <w:rFonts w:cs="Guttman Drogolin"/>
          <w:rtl/>
          <w:lang w:bidi="he-IL"/>
        </w:rPr>
        <w:t xml:space="preserve"> </w:t>
      </w:r>
      <w:r w:rsidR="00EF6AC7" w:rsidRPr="00882F11">
        <w:rPr>
          <w:rFonts w:cs="Guttman Drogolin" w:hint="cs"/>
          <w:rtl/>
          <w:lang w:bidi="he-IL"/>
        </w:rPr>
        <w:t>דראוי</w:t>
      </w:r>
      <w:r w:rsidR="00EF6AC7" w:rsidRPr="00882F11">
        <w:rPr>
          <w:rFonts w:cs="Guttman Drogolin"/>
          <w:rtl/>
          <w:lang w:bidi="he-IL"/>
        </w:rPr>
        <w:t xml:space="preserve"> </w:t>
      </w:r>
      <w:r w:rsidR="00EF6AC7" w:rsidRPr="00882F11">
        <w:rPr>
          <w:rFonts w:cs="Guttman Drogolin" w:hint="cs"/>
          <w:rtl/>
          <w:lang w:bidi="he-IL"/>
        </w:rPr>
        <w:t>ליתן</w:t>
      </w:r>
      <w:r w:rsidR="00EF6AC7" w:rsidRPr="00882F11">
        <w:rPr>
          <w:rFonts w:cs="Guttman Drogolin"/>
          <w:rtl/>
          <w:lang w:bidi="he-IL"/>
        </w:rPr>
        <w:t xml:space="preserve"> </w:t>
      </w:r>
      <w:r w:rsidR="00EF6AC7" w:rsidRPr="00882F11">
        <w:rPr>
          <w:rFonts w:cs="Guttman Drogolin" w:hint="cs"/>
          <w:rtl/>
          <w:lang w:bidi="he-IL"/>
        </w:rPr>
        <w:t>טעם</w:t>
      </w:r>
      <w:r w:rsidR="00EF6AC7" w:rsidRPr="00882F11">
        <w:rPr>
          <w:rFonts w:cs="Guttman Drogolin"/>
          <w:rtl/>
          <w:lang w:bidi="he-IL"/>
        </w:rPr>
        <w:t xml:space="preserve"> </w:t>
      </w:r>
      <w:r w:rsidR="00397E35" w:rsidRPr="00882F11">
        <w:rPr>
          <w:rFonts w:cs="Guttman Drogolin" w:hint="cs"/>
          <w:rtl/>
          <w:lang w:bidi="he-IL"/>
        </w:rPr>
        <w:t xml:space="preserve">אסרו </w:t>
      </w:r>
      <w:r w:rsidR="00EF6AC7" w:rsidRPr="00882F11">
        <w:rPr>
          <w:rFonts w:cs="Guttman Drogolin" w:hint="cs"/>
          <w:rtl/>
          <w:lang w:bidi="he-IL"/>
        </w:rPr>
        <w:t>"זה</w:t>
      </w:r>
      <w:r w:rsidR="00EF6AC7" w:rsidRPr="00882F11">
        <w:rPr>
          <w:rFonts w:cs="Guttman Drogolin"/>
          <w:rtl/>
          <w:lang w:bidi="he-IL"/>
        </w:rPr>
        <w:t xml:space="preserve"> </w:t>
      </w:r>
      <w:r w:rsidR="00EF6AC7" w:rsidRPr="00882F11">
        <w:rPr>
          <w:rFonts w:cs="Guttman Drogolin" w:hint="cs"/>
          <w:rtl/>
          <w:lang w:bidi="he-IL"/>
        </w:rPr>
        <w:t>לא</w:t>
      </w:r>
      <w:r w:rsidR="00EF6AC7" w:rsidRPr="00882F11">
        <w:rPr>
          <w:rFonts w:cs="Guttman Drogolin"/>
          <w:rtl/>
          <w:lang w:bidi="he-IL"/>
        </w:rPr>
        <w:t xml:space="preserve"> </w:t>
      </w:r>
      <w:r w:rsidR="00EF6AC7" w:rsidRPr="00882F11">
        <w:rPr>
          <w:rFonts w:cs="Guttman Drogolin" w:hint="cs"/>
          <w:rtl/>
          <w:lang w:bidi="he-IL"/>
        </w:rPr>
        <w:t>שייך</w:t>
      </w:r>
      <w:r w:rsidR="00EF6AC7" w:rsidRPr="00882F11">
        <w:rPr>
          <w:rFonts w:cs="Guttman Drogolin"/>
          <w:rtl/>
          <w:lang w:bidi="he-IL"/>
        </w:rPr>
        <w:t xml:space="preserve"> </w:t>
      </w:r>
      <w:r w:rsidR="00EF6AC7" w:rsidRPr="00882F11">
        <w:rPr>
          <w:rFonts w:cs="Guttman Drogolin" w:hint="cs"/>
          <w:rtl/>
          <w:lang w:bidi="he-IL"/>
        </w:rPr>
        <w:t>הכא</w:t>
      </w:r>
      <w:r w:rsidR="00EF6AC7" w:rsidRPr="00882F11">
        <w:rPr>
          <w:rFonts w:cs="Guttman Drogolin"/>
          <w:rtl/>
          <w:lang w:bidi="he-IL"/>
        </w:rPr>
        <w:t xml:space="preserve"> </w:t>
      </w:r>
      <w:r w:rsidR="00EF6AC7" w:rsidRPr="00882F11">
        <w:rPr>
          <w:rFonts w:cs="Guttman Drogolin" w:hint="cs"/>
          <w:rtl/>
          <w:lang w:bidi="he-IL"/>
        </w:rPr>
        <w:t>ודו</w:t>
      </w:r>
      <w:r w:rsidR="00EF6AC7" w:rsidRPr="00882F11">
        <w:rPr>
          <w:rFonts w:cs="Guttman Drogolin"/>
          <w:rtl/>
          <w:lang w:bidi="he-IL"/>
        </w:rPr>
        <w:t>"</w:t>
      </w:r>
      <w:r w:rsidR="00EF6AC7" w:rsidRPr="00882F11">
        <w:rPr>
          <w:rFonts w:cs="Guttman Drogolin" w:hint="cs"/>
          <w:rtl/>
          <w:lang w:bidi="he-IL"/>
        </w:rPr>
        <w:t xml:space="preserve">ק". ודבריו </w:t>
      </w:r>
      <w:r w:rsidR="00AF628C" w:rsidRPr="00882F11">
        <w:rPr>
          <w:rFonts w:cs="Guttman Drogolin" w:hint="cs"/>
          <w:rtl/>
          <w:lang w:bidi="he-IL"/>
        </w:rPr>
        <w:t xml:space="preserve">סתומים וצריכים פירוש. </w:t>
      </w:r>
    </w:p>
    <w:p w:rsidR="00F24AE9" w:rsidRPr="00882F11" w:rsidRDefault="00397E35" w:rsidP="00756525">
      <w:pPr>
        <w:tabs>
          <w:tab w:val="right" w:pos="7497"/>
        </w:tabs>
        <w:bidi/>
        <w:jc w:val="both"/>
        <w:rPr>
          <w:rFonts w:cs="Guttman Drogolin"/>
          <w:rtl/>
          <w:lang w:bidi="he-IL"/>
        </w:rPr>
      </w:pPr>
      <w:r w:rsidRPr="00882F11">
        <w:rPr>
          <w:rFonts w:cs="Guttman Drogolin" w:hint="cs"/>
          <w:rtl/>
          <w:lang w:bidi="he-IL"/>
        </w:rPr>
        <w:t>ויעיון בביאור הגר"א שם בסי' צ"ח סע' ד' (ס"ק כ') שכתב</w:t>
      </w:r>
      <w:r w:rsidR="00F24AE9" w:rsidRPr="00882F11">
        <w:rPr>
          <w:rFonts w:cs="Guttman Drogolin" w:hint="cs"/>
          <w:rtl/>
          <w:lang w:bidi="he-IL"/>
        </w:rPr>
        <w:t xml:space="preserve"> הטעם שמקיל</w:t>
      </w:r>
      <w:r w:rsidR="00021023" w:rsidRPr="00882F11">
        <w:rPr>
          <w:rFonts w:cs="Guttman Drogolin" w:hint="cs"/>
          <w:rtl/>
          <w:lang w:bidi="he-IL"/>
        </w:rPr>
        <w:t>ים בפעם א' ששים אפילו נפל החתיכה לתוך התבשיל פעמיים משום</w:t>
      </w:r>
      <w:r w:rsidRPr="00882F11">
        <w:rPr>
          <w:rFonts w:cs="Guttman Drogolin" w:hint="cs"/>
          <w:rtl/>
          <w:lang w:bidi="he-IL"/>
        </w:rPr>
        <w:t xml:space="preserve"> </w:t>
      </w:r>
      <w:r w:rsidR="00021023" w:rsidRPr="00882F11">
        <w:rPr>
          <w:rFonts w:cs="Guttman Drogolin" w:hint="cs"/>
          <w:rtl/>
          <w:lang w:bidi="he-IL"/>
        </w:rPr>
        <w:t>ד</w:t>
      </w:r>
      <w:r w:rsidRPr="00882F11">
        <w:rPr>
          <w:rFonts w:cs="Guttman Drogolin" w:hint="cs"/>
          <w:rtl/>
          <w:lang w:bidi="he-IL"/>
        </w:rPr>
        <w:t>"אף</w:t>
      </w:r>
      <w:r w:rsidRPr="00882F11">
        <w:rPr>
          <w:rFonts w:cs="Guttman Drogolin"/>
          <w:rtl/>
          <w:lang w:bidi="he-IL"/>
        </w:rPr>
        <w:t xml:space="preserve"> </w:t>
      </w:r>
      <w:r w:rsidRPr="00882F11">
        <w:rPr>
          <w:rFonts w:cs="Guttman Drogolin" w:hint="cs"/>
          <w:rtl/>
          <w:lang w:bidi="he-IL"/>
        </w:rPr>
        <w:t>על</w:t>
      </w:r>
      <w:r w:rsidRPr="00882F11">
        <w:rPr>
          <w:rFonts w:cs="Guttman Drogolin"/>
          <w:rtl/>
          <w:lang w:bidi="he-IL"/>
        </w:rPr>
        <w:t xml:space="preserve"> </w:t>
      </w:r>
      <w:r w:rsidRPr="00882F11">
        <w:rPr>
          <w:rFonts w:cs="Guttman Drogolin" w:hint="cs"/>
          <w:rtl/>
          <w:lang w:bidi="he-IL"/>
        </w:rPr>
        <w:t>גב</w:t>
      </w:r>
      <w:r w:rsidRPr="00882F11">
        <w:rPr>
          <w:rFonts w:cs="Guttman Drogolin"/>
          <w:rtl/>
          <w:lang w:bidi="he-IL"/>
        </w:rPr>
        <w:t xml:space="preserve"> </w:t>
      </w:r>
      <w:r w:rsidRPr="00882F11">
        <w:rPr>
          <w:rFonts w:cs="Guttman Drogolin" w:hint="cs"/>
          <w:rtl/>
          <w:lang w:bidi="he-IL"/>
        </w:rPr>
        <w:t>דבלוע</w:t>
      </w:r>
      <w:r w:rsidRPr="00882F11">
        <w:rPr>
          <w:rFonts w:cs="Guttman Drogolin"/>
          <w:rtl/>
          <w:lang w:bidi="he-IL"/>
        </w:rPr>
        <w:t xml:space="preserve"> </w:t>
      </w:r>
      <w:r w:rsidRPr="00882F11">
        <w:rPr>
          <w:rFonts w:cs="Guttman Drogolin" w:hint="cs"/>
          <w:rtl/>
          <w:lang w:bidi="he-IL"/>
        </w:rPr>
        <w:t>שבו</w:t>
      </w:r>
      <w:r w:rsidRPr="00882F11">
        <w:rPr>
          <w:rFonts w:cs="Guttman Drogolin"/>
          <w:rtl/>
          <w:lang w:bidi="he-IL"/>
        </w:rPr>
        <w:t xml:space="preserve"> </w:t>
      </w:r>
      <w:r w:rsidRPr="00882F11">
        <w:rPr>
          <w:rFonts w:cs="Guttman Drogolin" w:hint="cs"/>
          <w:rtl/>
          <w:lang w:bidi="he-IL"/>
        </w:rPr>
        <w:t>נ</w:t>
      </w:r>
      <w:r w:rsidRPr="00882F11">
        <w:rPr>
          <w:rFonts w:cs="Guttman Drogolin"/>
          <w:rtl/>
          <w:lang w:bidi="he-IL"/>
        </w:rPr>
        <w:t>"</w:t>
      </w:r>
      <w:r w:rsidRPr="00882F11">
        <w:rPr>
          <w:rFonts w:cs="Guttman Drogolin" w:hint="cs"/>
          <w:rtl/>
          <w:lang w:bidi="he-IL"/>
        </w:rPr>
        <w:t>נ</w:t>
      </w:r>
      <w:r w:rsidRPr="00882F11">
        <w:rPr>
          <w:rFonts w:cs="Guttman Drogolin"/>
          <w:rtl/>
          <w:lang w:bidi="he-IL"/>
        </w:rPr>
        <w:t xml:space="preserve"> </w:t>
      </w:r>
      <w:r w:rsidRPr="00882F11">
        <w:rPr>
          <w:rFonts w:cs="Guttman Drogolin" w:hint="cs"/>
          <w:rtl/>
          <w:lang w:bidi="he-IL"/>
        </w:rPr>
        <w:t>והוי</w:t>
      </w:r>
      <w:r w:rsidRPr="00882F11">
        <w:rPr>
          <w:rFonts w:cs="Guttman Drogolin"/>
          <w:rtl/>
          <w:lang w:bidi="he-IL"/>
        </w:rPr>
        <w:t xml:space="preserve"> </w:t>
      </w:r>
      <w:r w:rsidRPr="00882F11">
        <w:rPr>
          <w:rFonts w:cs="Guttman Drogolin" w:hint="cs"/>
          <w:rtl/>
          <w:lang w:bidi="he-IL"/>
        </w:rPr>
        <w:t>כאיסור</w:t>
      </w:r>
      <w:r w:rsidRPr="00882F11">
        <w:rPr>
          <w:rFonts w:cs="Guttman Drogolin"/>
          <w:rtl/>
          <w:lang w:bidi="he-IL"/>
        </w:rPr>
        <w:t xml:space="preserve"> </w:t>
      </w:r>
      <w:r w:rsidRPr="00882F11">
        <w:rPr>
          <w:rFonts w:cs="Guttman Drogolin" w:hint="cs"/>
          <w:rtl/>
          <w:lang w:bidi="he-IL"/>
        </w:rPr>
        <w:t>אחר</w:t>
      </w:r>
      <w:r w:rsidRPr="00882F11">
        <w:rPr>
          <w:rFonts w:cs="Guttman Drogolin"/>
          <w:rtl/>
          <w:lang w:bidi="he-IL"/>
        </w:rPr>
        <w:t xml:space="preserve"> </w:t>
      </w:r>
      <w:r w:rsidRPr="00882F11">
        <w:rPr>
          <w:rFonts w:cs="Guttman Drogolin" w:hint="cs"/>
          <w:rtl/>
          <w:lang w:bidi="he-IL"/>
        </w:rPr>
        <w:t>שנפל</w:t>
      </w:r>
      <w:r w:rsidRPr="00882F11">
        <w:rPr>
          <w:rFonts w:cs="Guttman Drogolin"/>
          <w:rtl/>
          <w:lang w:bidi="he-IL"/>
        </w:rPr>
        <w:t xml:space="preserve"> </w:t>
      </w:r>
      <w:r w:rsidRPr="00882F11">
        <w:rPr>
          <w:rFonts w:cs="Guttman Drogolin" w:hint="cs"/>
          <w:rtl/>
          <w:lang w:bidi="he-IL"/>
        </w:rPr>
        <w:t>דאוסר</w:t>
      </w:r>
      <w:r w:rsidRPr="00882F11">
        <w:rPr>
          <w:rFonts w:cs="Guttman Drogolin"/>
          <w:rtl/>
          <w:lang w:bidi="he-IL"/>
        </w:rPr>
        <w:t xml:space="preserve"> </w:t>
      </w:r>
      <w:r w:rsidR="00021023" w:rsidRPr="00882F11">
        <w:rPr>
          <w:rFonts w:cs="Guttman Drogolin" w:hint="cs"/>
          <w:rtl/>
          <w:lang w:bidi="he-IL"/>
        </w:rPr>
        <w:t>וכו'</w:t>
      </w:r>
      <w:r w:rsidRPr="00882F11">
        <w:rPr>
          <w:rFonts w:cs="Guttman Drogolin"/>
          <w:rtl/>
          <w:lang w:bidi="he-IL"/>
        </w:rPr>
        <w:t xml:space="preserve"> </w:t>
      </w:r>
      <w:r w:rsidRPr="00882F11">
        <w:rPr>
          <w:rFonts w:cs="Guttman Drogolin" w:hint="cs"/>
          <w:rtl/>
          <w:lang w:bidi="he-IL"/>
        </w:rPr>
        <w:t>דהא</w:t>
      </w:r>
      <w:r w:rsidRPr="00882F11">
        <w:rPr>
          <w:rFonts w:cs="Guttman Drogolin"/>
          <w:rtl/>
          <w:lang w:bidi="he-IL"/>
        </w:rPr>
        <w:t xml:space="preserve"> </w:t>
      </w:r>
      <w:r w:rsidRPr="00882F11">
        <w:rPr>
          <w:rFonts w:cs="Guttman Drogolin" w:hint="cs"/>
          <w:rtl/>
          <w:lang w:bidi="he-IL"/>
        </w:rPr>
        <w:t>אותו</w:t>
      </w:r>
      <w:r w:rsidRPr="00882F11">
        <w:rPr>
          <w:rFonts w:cs="Guttman Drogolin"/>
          <w:rtl/>
          <w:lang w:bidi="he-IL"/>
        </w:rPr>
        <w:t xml:space="preserve"> </w:t>
      </w:r>
      <w:r w:rsidRPr="00882F11">
        <w:rPr>
          <w:rFonts w:cs="Guttman Drogolin" w:hint="cs"/>
          <w:rtl/>
          <w:lang w:bidi="he-IL"/>
        </w:rPr>
        <w:t>הבלוע</w:t>
      </w:r>
      <w:r w:rsidRPr="00882F11">
        <w:rPr>
          <w:rFonts w:cs="Guttman Drogolin"/>
          <w:rtl/>
          <w:lang w:bidi="he-IL"/>
        </w:rPr>
        <w:t xml:space="preserve"> </w:t>
      </w:r>
      <w:r w:rsidRPr="00882F11">
        <w:rPr>
          <w:rFonts w:cs="Guttman Drogolin" w:hint="cs"/>
          <w:rtl/>
          <w:lang w:bidi="he-IL"/>
        </w:rPr>
        <w:t>הוי</w:t>
      </w:r>
      <w:r w:rsidRPr="00882F11">
        <w:rPr>
          <w:rFonts w:cs="Guttman Drogolin"/>
          <w:rtl/>
          <w:lang w:bidi="he-IL"/>
        </w:rPr>
        <w:t xml:space="preserve"> </w:t>
      </w:r>
      <w:r w:rsidRPr="00882F11">
        <w:rPr>
          <w:rFonts w:cs="Guttman Drogolin" w:hint="cs"/>
          <w:rtl/>
          <w:lang w:bidi="he-IL"/>
        </w:rPr>
        <w:t>בקדירה</w:t>
      </w:r>
      <w:r w:rsidRPr="00882F11">
        <w:rPr>
          <w:rFonts w:cs="Guttman Drogolin"/>
          <w:rtl/>
          <w:lang w:bidi="he-IL"/>
        </w:rPr>
        <w:t xml:space="preserve"> </w:t>
      </w:r>
      <w:r w:rsidRPr="00882F11">
        <w:rPr>
          <w:rFonts w:cs="Guttman Drogolin" w:hint="cs"/>
          <w:rtl/>
          <w:lang w:bidi="he-IL"/>
        </w:rPr>
        <w:t>מין</w:t>
      </w:r>
      <w:r w:rsidRPr="00882F11">
        <w:rPr>
          <w:rFonts w:cs="Guttman Drogolin"/>
          <w:rtl/>
          <w:lang w:bidi="he-IL"/>
        </w:rPr>
        <w:t xml:space="preserve"> </w:t>
      </w:r>
      <w:r w:rsidRPr="00882F11">
        <w:rPr>
          <w:rFonts w:cs="Guttman Drogolin" w:hint="cs"/>
          <w:rtl/>
          <w:lang w:bidi="he-IL"/>
        </w:rPr>
        <w:t>במינו</w:t>
      </w:r>
      <w:r w:rsidRPr="00882F11">
        <w:rPr>
          <w:rFonts w:cs="Guttman Drogolin"/>
          <w:rtl/>
          <w:lang w:bidi="he-IL"/>
        </w:rPr>
        <w:t xml:space="preserve"> </w:t>
      </w:r>
      <w:r w:rsidRPr="00882F11">
        <w:rPr>
          <w:rFonts w:cs="Guttman Drogolin" w:hint="cs"/>
          <w:rtl/>
          <w:lang w:bidi="he-IL"/>
        </w:rPr>
        <w:t>ובכה</w:t>
      </w:r>
      <w:r w:rsidRPr="00882F11">
        <w:rPr>
          <w:rFonts w:cs="Guttman Drogolin"/>
          <w:rtl/>
          <w:lang w:bidi="he-IL"/>
        </w:rPr>
        <w:t>"</w:t>
      </w:r>
      <w:r w:rsidRPr="00882F11">
        <w:rPr>
          <w:rFonts w:cs="Guttman Drogolin" w:hint="cs"/>
          <w:rtl/>
          <w:lang w:bidi="he-IL"/>
        </w:rPr>
        <w:t>ג</w:t>
      </w:r>
      <w:r w:rsidRPr="00882F11">
        <w:rPr>
          <w:rFonts w:cs="Guttman Drogolin"/>
          <w:rtl/>
          <w:lang w:bidi="he-IL"/>
        </w:rPr>
        <w:t xml:space="preserve"> </w:t>
      </w:r>
      <w:r w:rsidRPr="00882F11">
        <w:rPr>
          <w:rFonts w:cs="Guttman Drogolin" w:hint="cs"/>
          <w:rtl/>
          <w:lang w:bidi="he-IL"/>
        </w:rPr>
        <w:t>אוקמוה</w:t>
      </w:r>
      <w:r w:rsidRPr="00882F11">
        <w:rPr>
          <w:rFonts w:cs="Guttman Drogolin"/>
          <w:rtl/>
          <w:lang w:bidi="he-IL"/>
        </w:rPr>
        <w:t xml:space="preserve"> </w:t>
      </w:r>
      <w:r w:rsidRPr="00882F11">
        <w:rPr>
          <w:rFonts w:cs="Guttman Drogolin" w:hint="cs"/>
          <w:rtl/>
          <w:lang w:bidi="he-IL"/>
        </w:rPr>
        <w:t>אדאורייתא</w:t>
      </w:r>
      <w:r w:rsidRPr="00882F11">
        <w:rPr>
          <w:rFonts w:cs="Guttman Drogolin"/>
          <w:rtl/>
          <w:lang w:bidi="he-IL"/>
        </w:rPr>
        <w:t xml:space="preserve"> </w:t>
      </w:r>
      <w:r w:rsidRPr="00882F11">
        <w:rPr>
          <w:rFonts w:cs="Guttman Drogolin" w:hint="cs"/>
          <w:rtl/>
          <w:lang w:bidi="he-IL"/>
        </w:rPr>
        <w:t>ברובא</w:t>
      </w:r>
      <w:r w:rsidRPr="00882F11">
        <w:rPr>
          <w:rFonts w:cs="Guttman Drogolin"/>
          <w:rtl/>
          <w:lang w:bidi="he-IL"/>
        </w:rPr>
        <w:t xml:space="preserve"> </w:t>
      </w:r>
      <w:r w:rsidRPr="00882F11">
        <w:rPr>
          <w:rFonts w:cs="Guttman Drogolin" w:hint="cs"/>
          <w:rtl/>
          <w:lang w:bidi="he-IL"/>
        </w:rPr>
        <w:t>וכמ</w:t>
      </w:r>
      <w:r w:rsidRPr="00882F11">
        <w:rPr>
          <w:rFonts w:cs="Guttman Drogolin"/>
          <w:rtl/>
          <w:lang w:bidi="he-IL"/>
        </w:rPr>
        <w:t>"</w:t>
      </w:r>
      <w:r w:rsidRPr="00882F11">
        <w:rPr>
          <w:rFonts w:cs="Guttman Drogolin" w:hint="cs"/>
          <w:rtl/>
          <w:lang w:bidi="he-IL"/>
        </w:rPr>
        <w:t>ש</w:t>
      </w:r>
      <w:r w:rsidRPr="00882F11">
        <w:rPr>
          <w:rFonts w:cs="Guttman Drogolin"/>
          <w:rtl/>
          <w:lang w:bidi="he-IL"/>
        </w:rPr>
        <w:t xml:space="preserve"> </w:t>
      </w:r>
      <w:r w:rsidRPr="00882F11">
        <w:rPr>
          <w:rFonts w:cs="Guttman Drogolin" w:hint="cs"/>
          <w:rtl/>
          <w:lang w:bidi="he-IL"/>
        </w:rPr>
        <w:t>הרא</w:t>
      </w:r>
      <w:r w:rsidRPr="00882F11">
        <w:rPr>
          <w:rFonts w:cs="Guttman Drogolin"/>
          <w:rtl/>
          <w:lang w:bidi="he-IL"/>
        </w:rPr>
        <w:t>"</w:t>
      </w:r>
      <w:r w:rsidRPr="00882F11">
        <w:rPr>
          <w:rFonts w:cs="Guttman Drogolin" w:hint="cs"/>
          <w:rtl/>
          <w:lang w:bidi="he-IL"/>
        </w:rPr>
        <w:t>ש</w:t>
      </w:r>
      <w:r w:rsidRPr="00882F11">
        <w:rPr>
          <w:rFonts w:cs="Guttman Drogolin"/>
          <w:rtl/>
          <w:lang w:bidi="he-IL"/>
        </w:rPr>
        <w:t xml:space="preserve"> </w:t>
      </w:r>
      <w:r w:rsidRPr="00882F11">
        <w:rPr>
          <w:rFonts w:cs="Guttman Drogolin" w:hint="cs"/>
          <w:rtl/>
          <w:lang w:bidi="he-IL"/>
        </w:rPr>
        <w:t>בפ</w:t>
      </w:r>
      <w:r w:rsidRPr="00882F11">
        <w:rPr>
          <w:rFonts w:cs="Guttman Drogolin"/>
          <w:rtl/>
          <w:lang w:bidi="he-IL"/>
        </w:rPr>
        <w:t xml:space="preserve">' </w:t>
      </w:r>
      <w:r w:rsidRPr="00882F11">
        <w:rPr>
          <w:rFonts w:cs="Guttman Drogolin" w:hint="cs"/>
          <w:rtl/>
          <w:lang w:bidi="he-IL"/>
        </w:rPr>
        <w:t>ג</w:t>
      </w:r>
      <w:r w:rsidRPr="00882F11">
        <w:rPr>
          <w:rFonts w:cs="Guttman Drogolin"/>
          <w:rtl/>
          <w:lang w:bidi="he-IL"/>
        </w:rPr>
        <w:t>"</w:t>
      </w:r>
      <w:r w:rsidRPr="00882F11">
        <w:rPr>
          <w:rFonts w:cs="Guttman Drogolin" w:hint="cs"/>
          <w:rtl/>
          <w:lang w:bidi="he-IL"/>
        </w:rPr>
        <w:t>ה</w:t>
      </w:r>
      <w:r w:rsidRPr="00882F11">
        <w:rPr>
          <w:rFonts w:cs="Guttman Drogolin"/>
          <w:rtl/>
          <w:lang w:bidi="he-IL"/>
        </w:rPr>
        <w:t xml:space="preserve"> </w:t>
      </w:r>
      <w:r w:rsidRPr="00882F11">
        <w:rPr>
          <w:rFonts w:cs="Guttman Drogolin" w:hint="cs"/>
          <w:rtl/>
          <w:lang w:bidi="he-IL"/>
        </w:rPr>
        <w:t>דמין</w:t>
      </w:r>
      <w:r w:rsidRPr="00882F11">
        <w:rPr>
          <w:rFonts w:cs="Guttman Drogolin"/>
          <w:rtl/>
          <w:lang w:bidi="he-IL"/>
        </w:rPr>
        <w:t xml:space="preserve"> </w:t>
      </w:r>
      <w:r w:rsidRPr="00882F11">
        <w:rPr>
          <w:rFonts w:cs="Guttman Drogolin" w:hint="cs"/>
          <w:rtl/>
          <w:lang w:bidi="he-IL"/>
        </w:rPr>
        <w:t>במינו</w:t>
      </w:r>
      <w:r w:rsidRPr="00882F11">
        <w:rPr>
          <w:rFonts w:cs="Guttman Drogolin"/>
          <w:rtl/>
          <w:lang w:bidi="he-IL"/>
        </w:rPr>
        <w:t xml:space="preserve"> </w:t>
      </w:r>
      <w:r w:rsidRPr="00882F11">
        <w:rPr>
          <w:rFonts w:cs="Guttman Drogolin" w:hint="cs"/>
          <w:rtl/>
          <w:lang w:bidi="he-IL"/>
        </w:rPr>
        <w:t>בס</w:t>
      </w:r>
      <w:r w:rsidRPr="00882F11">
        <w:rPr>
          <w:rFonts w:cs="Guttman Drogolin"/>
          <w:rtl/>
          <w:lang w:bidi="he-IL"/>
        </w:rPr>
        <w:t xml:space="preserve">' </w:t>
      </w:r>
      <w:r w:rsidRPr="00882F11">
        <w:rPr>
          <w:rFonts w:cs="Guttman Drogolin" w:hint="cs"/>
          <w:rtl/>
          <w:lang w:bidi="he-IL"/>
        </w:rPr>
        <w:t>גזירה</w:t>
      </w:r>
      <w:r w:rsidRPr="00882F11">
        <w:rPr>
          <w:rFonts w:cs="Guttman Drogolin"/>
          <w:rtl/>
          <w:lang w:bidi="he-IL"/>
        </w:rPr>
        <w:t xml:space="preserve"> </w:t>
      </w:r>
      <w:r w:rsidRPr="00882F11">
        <w:rPr>
          <w:rFonts w:cs="Guttman Drogolin" w:hint="cs"/>
          <w:rtl/>
          <w:lang w:bidi="he-IL"/>
        </w:rPr>
        <w:t>אטו</w:t>
      </w:r>
      <w:r w:rsidRPr="00882F11">
        <w:rPr>
          <w:rFonts w:cs="Guttman Drogolin"/>
          <w:rtl/>
          <w:lang w:bidi="he-IL"/>
        </w:rPr>
        <w:t xml:space="preserve"> </w:t>
      </w:r>
      <w:r w:rsidRPr="00882F11">
        <w:rPr>
          <w:rFonts w:cs="Guttman Drogolin" w:hint="cs"/>
          <w:rtl/>
          <w:lang w:bidi="he-IL"/>
        </w:rPr>
        <w:t>שא</w:t>
      </w:r>
      <w:r w:rsidRPr="00882F11">
        <w:rPr>
          <w:rFonts w:cs="Guttman Drogolin"/>
          <w:rtl/>
          <w:lang w:bidi="he-IL"/>
        </w:rPr>
        <w:t>"</w:t>
      </w:r>
      <w:r w:rsidRPr="00882F11">
        <w:rPr>
          <w:rFonts w:cs="Guttman Drogolin" w:hint="cs"/>
          <w:rtl/>
          <w:lang w:bidi="he-IL"/>
        </w:rPr>
        <w:t>מ</w:t>
      </w:r>
      <w:r w:rsidRPr="00882F11">
        <w:rPr>
          <w:rFonts w:cs="Guttman Drogolin"/>
          <w:rtl/>
          <w:lang w:bidi="he-IL"/>
        </w:rPr>
        <w:t xml:space="preserve"> </w:t>
      </w:r>
      <w:r w:rsidRPr="00882F11">
        <w:rPr>
          <w:rFonts w:cs="Guttman Drogolin" w:hint="cs"/>
          <w:rtl/>
          <w:lang w:bidi="he-IL"/>
        </w:rPr>
        <w:t>משא</w:t>
      </w:r>
      <w:r w:rsidRPr="00882F11">
        <w:rPr>
          <w:rFonts w:cs="Guttman Drogolin"/>
          <w:rtl/>
          <w:lang w:bidi="he-IL"/>
        </w:rPr>
        <w:t>"</w:t>
      </w:r>
      <w:r w:rsidRPr="00882F11">
        <w:rPr>
          <w:rFonts w:cs="Guttman Drogolin" w:hint="cs"/>
          <w:rtl/>
          <w:lang w:bidi="he-IL"/>
        </w:rPr>
        <w:t>כ</w:t>
      </w:r>
      <w:r w:rsidRPr="00882F11">
        <w:rPr>
          <w:rFonts w:cs="Guttman Drogolin"/>
          <w:rtl/>
          <w:lang w:bidi="he-IL"/>
        </w:rPr>
        <w:t xml:space="preserve"> </w:t>
      </w:r>
      <w:r w:rsidRPr="00882F11">
        <w:rPr>
          <w:rFonts w:cs="Guttman Drogolin" w:hint="cs"/>
          <w:rtl/>
          <w:lang w:bidi="he-IL"/>
        </w:rPr>
        <w:t>בכה</w:t>
      </w:r>
      <w:r w:rsidRPr="00882F11">
        <w:rPr>
          <w:rFonts w:cs="Guttman Drogolin"/>
          <w:rtl/>
          <w:lang w:bidi="he-IL"/>
        </w:rPr>
        <w:t>"</w:t>
      </w:r>
      <w:r w:rsidRPr="00882F11">
        <w:rPr>
          <w:rFonts w:cs="Guttman Drogolin" w:hint="cs"/>
          <w:rtl/>
          <w:lang w:bidi="he-IL"/>
        </w:rPr>
        <w:t>ג</w:t>
      </w:r>
      <w:r w:rsidRPr="00882F11">
        <w:rPr>
          <w:rFonts w:cs="Guttman Drogolin"/>
          <w:rtl/>
          <w:lang w:bidi="he-IL"/>
        </w:rPr>
        <w:t xml:space="preserve"> </w:t>
      </w:r>
      <w:r w:rsidRPr="00882F11">
        <w:rPr>
          <w:rFonts w:cs="Guttman Drogolin" w:hint="cs"/>
          <w:rtl/>
          <w:lang w:bidi="he-IL"/>
        </w:rPr>
        <w:t>דליכא</w:t>
      </w:r>
      <w:r w:rsidRPr="00882F11">
        <w:rPr>
          <w:rFonts w:cs="Guttman Drogolin"/>
          <w:rtl/>
          <w:lang w:bidi="he-IL"/>
        </w:rPr>
        <w:t xml:space="preserve"> </w:t>
      </w:r>
      <w:r w:rsidRPr="00882F11">
        <w:rPr>
          <w:rFonts w:cs="Guttman Drogolin" w:hint="cs"/>
          <w:rtl/>
          <w:lang w:bidi="he-IL"/>
        </w:rPr>
        <w:t>למיגזר</w:t>
      </w:r>
      <w:r w:rsidRPr="00882F11">
        <w:rPr>
          <w:rFonts w:cs="Guttman Drogolin"/>
          <w:rtl/>
          <w:lang w:bidi="he-IL"/>
        </w:rPr>
        <w:t xml:space="preserve"> </w:t>
      </w:r>
      <w:r w:rsidRPr="00882F11">
        <w:rPr>
          <w:rFonts w:cs="Guttman Drogolin" w:hint="cs"/>
          <w:rtl/>
          <w:lang w:bidi="he-IL"/>
        </w:rPr>
        <w:t>דא</w:t>
      </w:r>
      <w:r w:rsidRPr="00882F11">
        <w:rPr>
          <w:rFonts w:cs="Guttman Drogolin"/>
          <w:rtl/>
          <w:lang w:bidi="he-IL"/>
        </w:rPr>
        <w:t>"</w:t>
      </w:r>
      <w:r w:rsidRPr="00882F11">
        <w:rPr>
          <w:rFonts w:cs="Guttman Drogolin" w:hint="cs"/>
          <w:rtl/>
          <w:lang w:bidi="he-IL"/>
        </w:rPr>
        <w:t>א</w:t>
      </w:r>
      <w:r w:rsidRPr="00882F11">
        <w:rPr>
          <w:rFonts w:cs="Guttman Drogolin"/>
          <w:rtl/>
          <w:lang w:bidi="he-IL"/>
        </w:rPr>
        <w:t xml:space="preserve"> </w:t>
      </w:r>
      <w:r w:rsidRPr="00882F11">
        <w:rPr>
          <w:rFonts w:cs="Guttman Drogolin" w:hint="cs"/>
          <w:rtl/>
          <w:lang w:bidi="he-IL"/>
        </w:rPr>
        <w:t>באותו</w:t>
      </w:r>
      <w:r w:rsidRPr="00882F11">
        <w:rPr>
          <w:rFonts w:cs="Guttman Drogolin"/>
          <w:rtl/>
          <w:lang w:bidi="he-IL"/>
        </w:rPr>
        <w:t xml:space="preserve"> </w:t>
      </w:r>
      <w:r w:rsidRPr="00882F11">
        <w:rPr>
          <w:rFonts w:cs="Guttman Drogolin" w:hint="cs"/>
          <w:rtl/>
          <w:lang w:bidi="he-IL"/>
        </w:rPr>
        <w:t>קדירה</w:t>
      </w:r>
      <w:r w:rsidRPr="00882F11">
        <w:rPr>
          <w:rFonts w:cs="Guttman Drogolin"/>
          <w:rtl/>
          <w:lang w:bidi="he-IL"/>
        </w:rPr>
        <w:t xml:space="preserve"> </w:t>
      </w:r>
      <w:r w:rsidRPr="00882F11">
        <w:rPr>
          <w:rFonts w:cs="Guttman Drogolin" w:hint="cs"/>
          <w:rtl/>
          <w:lang w:bidi="he-IL"/>
        </w:rPr>
        <w:t>אלא</w:t>
      </w:r>
      <w:r w:rsidRPr="00882F11">
        <w:rPr>
          <w:rFonts w:cs="Guttman Drogolin"/>
          <w:rtl/>
          <w:lang w:bidi="he-IL"/>
        </w:rPr>
        <w:t xml:space="preserve"> </w:t>
      </w:r>
      <w:r w:rsidRPr="00882F11">
        <w:rPr>
          <w:rFonts w:cs="Guttman Drogolin" w:hint="cs"/>
          <w:rtl/>
          <w:lang w:bidi="he-IL"/>
        </w:rPr>
        <w:t>במינו</w:t>
      </w:r>
      <w:r w:rsidRPr="00882F11">
        <w:rPr>
          <w:rFonts w:cs="Guttman Drogolin"/>
          <w:rtl/>
          <w:lang w:bidi="he-IL"/>
        </w:rPr>
        <w:t xml:space="preserve"> </w:t>
      </w:r>
      <w:r w:rsidRPr="00882F11">
        <w:rPr>
          <w:rFonts w:cs="Guttman Drogolin" w:hint="cs"/>
          <w:rtl/>
          <w:lang w:bidi="he-IL"/>
        </w:rPr>
        <w:t>ועש</w:t>
      </w:r>
      <w:r w:rsidRPr="00882F11">
        <w:rPr>
          <w:rFonts w:cs="Guttman Drogolin"/>
          <w:rtl/>
          <w:lang w:bidi="he-IL"/>
        </w:rPr>
        <w:t>"</w:t>
      </w:r>
      <w:r w:rsidRPr="00882F11">
        <w:rPr>
          <w:rFonts w:cs="Guttman Drogolin" w:hint="cs"/>
          <w:rtl/>
          <w:lang w:bidi="he-IL"/>
        </w:rPr>
        <w:t>ך</w:t>
      </w:r>
      <w:r w:rsidRPr="00882F11">
        <w:rPr>
          <w:rFonts w:cs="Guttman Drogolin"/>
          <w:rtl/>
          <w:lang w:bidi="he-IL"/>
        </w:rPr>
        <w:t xml:space="preserve"> </w:t>
      </w:r>
      <w:r w:rsidRPr="00882F11">
        <w:rPr>
          <w:rFonts w:cs="Guttman Drogolin" w:hint="cs"/>
          <w:rtl/>
          <w:lang w:bidi="he-IL"/>
        </w:rPr>
        <w:t>סי</w:t>
      </w:r>
      <w:r w:rsidRPr="00882F11">
        <w:rPr>
          <w:rFonts w:cs="Guttman Drogolin"/>
          <w:rtl/>
          <w:lang w:bidi="he-IL"/>
        </w:rPr>
        <w:t xml:space="preserve">' </w:t>
      </w:r>
      <w:r w:rsidRPr="00882F11">
        <w:rPr>
          <w:rFonts w:cs="Guttman Drogolin" w:hint="cs"/>
          <w:rtl/>
          <w:lang w:bidi="he-IL"/>
        </w:rPr>
        <w:t>צ</w:t>
      </w:r>
      <w:r w:rsidRPr="00882F11">
        <w:rPr>
          <w:rFonts w:cs="Guttman Drogolin"/>
          <w:rtl/>
          <w:lang w:bidi="he-IL"/>
        </w:rPr>
        <w:t>"</w:t>
      </w:r>
      <w:r w:rsidRPr="00882F11">
        <w:rPr>
          <w:rFonts w:cs="Guttman Drogolin" w:hint="cs"/>
          <w:rtl/>
          <w:lang w:bidi="he-IL"/>
        </w:rPr>
        <w:t>ד</w:t>
      </w:r>
      <w:r w:rsidRPr="00882F11">
        <w:rPr>
          <w:rFonts w:cs="Guttman Drogolin"/>
          <w:rtl/>
          <w:lang w:bidi="he-IL"/>
        </w:rPr>
        <w:t xml:space="preserve"> </w:t>
      </w:r>
      <w:r w:rsidRPr="00882F11">
        <w:rPr>
          <w:rFonts w:cs="Guttman Drogolin" w:hint="cs"/>
          <w:rtl/>
          <w:lang w:bidi="he-IL"/>
        </w:rPr>
        <w:t>ס</w:t>
      </w:r>
      <w:r w:rsidRPr="00882F11">
        <w:rPr>
          <w:rFonts w:cs="Guttman Drogolin"/>
          <w:rtl/>
          <w:lang w:bidi="he-IL"/>
        </w:rPr>
        <w:t>"</w:t>
      </w:r>
      <w:r w:rsidRPr="00882F11">
        <w:rPr>
          <w:rFonts w:cs="Guttman Drogolin" w:hint="cs"/>
          <w:rtl/>
          <w:lang w:bidi="he-IL"/>
        </w:rPr>
        <w:t>ק</w:t>
      </w:r>
      <w:r w:rsidRPr="00882F11">
        <w:rPr>
          <w:rFonts w:cs="Guttman Drogolin"/>
          <w:rtl/>
          <w:lang w:bidi="he-IL"/>
        </w:rPr>
        <w:t xml:space="preserve"> </w:t>
      </w:r>
      <w:r w:rsidRPr="00882F11">
        <w:rPr>
          <w:rFonts w:cs="Guttman Drogolin" w:hint="cs"/>
          <w:rtl/>
          <w:lang w:bidi="he-IL"/>
        </w:rPr>
        <w:t>ה</w:t>
      </w:r>
      <w:r w:rsidRPr="00882F11">
        <w:rPr>
          <w:rFonts w:cs="Guttman Drogolin"/>
          <w:rtl/>
          <w:lang w:bidi="he-IL"/>
        </w:rPr>
        <w:t>'</w:t>
      </w:r>
      <w:r w:rsidR="00021023" w:rsidRPr="00882F11">
        <w:rPr>
          <w:rFonts w:cs="Guttman Drogolin" w:hint="cs"/>
          <w:rtl/>
          <w:lang w:bidi="he-IL"/>
        </w:rPr>
        <w:t xml:space="preserve">". </w:t>
      </w:r>
      <w:r w:rsidR="003F27C0" w:rsidRPr="00882F11">
        <w:rPr>
          <w:rFonts w:cs="Guttman Drogolin" w:hint="cs"/>
          <w:rtl/>
          <w:lang w:bidi="he-IL"/>
        </w:rPr>
        <w:t xml:space="preserve">ונראה הביאור בכוונתו, שהרי בעצם מין במינו בטל מדאורייתא, רק שגזרו מין במינו אטו מין בשאינו מינו. והאי גזרה דמין במינו אטו מין בשאינו מינו פירושו דאע"ג שעכשיו המינא דאיסורא מתערב במינו, אולי יתערב פעם אחרת באינו מינו. ולכן כה"ג לא גזרו, דכיון שמטבעו א"א אפשר לאיסור כה"ג שיהא מין בשאינו מינו, דהא כל האיסור </w:t>
      </w:r>
      <w:r w:rsidR="00F24AE9" w:rsidRPr="00882F11">
        <w:rPr>
          <w:rFonts w:cs="Guttman Drogolin" w:hint="cs"/>
          <w:rtl/>
          <w:lang w:bidi="he-IL"/>
        </w:rPr>
        <w:t xml:space="preserve">נהייתה מכח המינא דהיתירא, א"כ לא גזרו במין במינו אטו שינו מינו. וגר"א בסוף דבריו ציין לדברי הש"ך הנ"ל, ולכאורה כוונתו לומר שזהו עצמו פירוש דברי הש"ך, שלא אומרים חוזר וניעור במין במינו כה"ג שלא יכול לבא לידי מין בשאינו מינו. </w:t>
      </w:r>
      <w:r w:rsidR="00B4543E" w:rsidRPr="00882F11">
        <w:rPr>
          <w:rFonts w:cs="Guttman Drogolin" w:hint="cs"/>
          <w:rtl/>
          <w:lang w:bidi="he-IL"/>
        </w:rPr>
        <w:t>ובמש"ז ס"ק ב' אולי משמע ביאור אחר בזה, וע' מגי"ס סי' צ"ד אות ט' מש"כ בזה.</w:t>
      </w:r>
      <w:r w:rsidR="00756525" w:rsidRPr="00882F11">
        <w:rPr>
          <w:rFonts w:cs="Guttman Drogolin" w:hint="cs"/>
          <w:rtl/>
          <w:lang w:bidi="he-IL"/>
        </w:rPr>
        <w:t xml:space="preserve"> וע' עוד בחזו"א סי' ט"ז ס"ק ג' מש"כ בענין. </w:t>
      </w:r>
    </w:p>
    <w:p w:rsidR="001577BD" w:rsidRPr="00882F11" w:rsidRDefault="001577BD" w:rsidP="001577BD">
      <w:pPr>
        <w:tabs>
          <w:tab w:val="right" w:pos="7497"/>
        </w:tabs>
        <w:bidi/>
        <w:jc w:val="both"/>
        <w:rPr>
          <w:rFonts w:cs="Guttman Drogolin"/>
          <w:rtl/>
          <w:lang w:bidi="he-IL"/>
        </w:rPr>
      </w:pPr>
      <w:r w:rsidRPr="00882F11">
        <w:rPr>
          <w:rFonts w:cs="Guttman Drogolin" w:hint="cs"/>
          <w:rtl/>
          <w:lang w:bidi="he-IL"/>
        </w:rPr>
        <w:t>ונראה להדגיש דע"כ התרוה"ד לא סבירא לי' טעמם של הגר"א ועוד בביאור ההיתר של ששים בהכניס כף פעמיים, ומשו"ה הי' נצרך לטעמים אחרים.</w:t>
      </w:r>
    </w:p>
    <w:p w:rsidR="0074056C" w:rsidRPr="00882F11" w:rsidRDefault="0074056C" w:rsidP="0078079C">
      <w:pPr>
        <w:pStyle w:val="Heading1"/>
        <w:bidi/>
        <w:spacing w:before="0" w:line="360" w:lineRule="auto"/>
        <w:jc w:val="center"/>
        <w:rPr>
          <w:rFonts w:cs="Guttman Drogolin"/>
          <w:color w:val="auto"/>
          <w:sz w:val="24"/>
          <w:szCs w:val="24"/>
          <w:u w:val="single"/>
          <w:rtl/>
          <w:lang w:bidi="he-IL"/>
        </w:rPr>
      </w:pPr>
      <w:bookmarkStart w:id="242" w:name="_Toc496175497"/>
      <w:r w:rsidRPr="00882F11">
        <w:rPr>
          <w:rFonts w:cs="Guttman Drogolin" w:hint="cs"/>
          <w:color w:val="auto"/>
          <w:sz w:val="24"/>
          <w:szCs w:val="24"/>
          <w:u w:val="single"/>
          <w:rtl/>
          <w:lang w:bidi="he-IL"/>
        </w:rPr>
        <w:t>האם קיי"ל להקל כטעמו של התרוה"ד</w:t>
      </w:r>
      <w:bookmarkEnd w:id="242"/>
    </w:p>
    <w:p w:rsidR="001577BD" w:rsidRPr="00882F11" w:rsidRDefault="00067BF7" w:rsidP="0074056C">
      <w:pPr>
        <w:tabs>
          <w:tab w:val="right" w:pos="7497"/>
        </w:tabs>
        <w:bidi/>
        <w:jc w:val="both"/>
        <w:rPr>
          <w:rFonts w:cs="Guttman Drogolin"/>
          <w:rtl/>
          <w:lang w:bidi="he-IL"/>
        </w:rPr>
      </w:pPr>
      <w:r>
        <w:rPr>
          <w:rFonts w:cs="Guttman Drogolin"/>
          <w:rtl/>
          <w:lang w:bidi="he-IL"/>
        </w:rPr>
        <w:fldChar w:fldCharType="begin"/>
      </w:r>
      <w:r>
        <w:instrText xml:space="preserve"> XE "</w:instrText>
      </w:r>
      <w:r w:rsidRPr="00A7111C">
        <w:rPr>
          <w:rFonts w:hint="cs"/>
          <w:rtl/>
          <w:lang w:bidi="he-IL"/>
        </w:rPr>
        <w:instrText>הכניס כף פעמיים</w:instrText>
      </w:r>
      <w:r w:rsidRPr="00A7111C">
        <w:rPr>
          <w:rtl/>
        </w:rPr>
        <w:instrText>:</w:instrText>
      </w:r>
      <w:r w:rsidRPr="00A7111C">
        <w:rPr>
          <w:rFonts w:hint="cs"/>
          <w:rtl/>
          <w:lang w:bidi="he-IL"/>
        </w:rPr>
        <w:instrText>האם פוסקים כטעמו של תרוה</w:instrText>
      </w:r>
      <w:r>
        <w:rPr>
          <w:rFonts w:eastAsiaTheme="minorEastAsia"/>
          <w:lang w:bidi="he-IL"/>
        </w:rPr>
        <w:instrText>\</w:instrText>
      </w:r>
      <w:r w:rsidRPr="00A7111C">
        <w:rPr>
          <w:rFonts w:hint="cs"/>
          <w:rtl/>
          <w:lang w:bidi="he-IL"/>
        </w:rPr>
        <w:instrText>"ד להקל בזה</w:instrText>
      </w:r>
      <w:r>
        <w:instrText xml:space="preserve">" </w:instrText>
      </w:r>
      <w:r>
        <w:rPr>
          <w:rFonts w:cs="Guttman Drogolin"/>
          <w:rtl/>
          <w:lang w:bidi="he-IL"/>
        </w:rPr>
        <w:fldChar w:fldCharType="end"/>
      </w:r>
      <w:r w:rsidR="0074056C" w:rsidRPr="00882F11">
        <w:rPr>
          <w:rFonts w:cs="Guttman Drogolin" w:hint="cs"/>
          <w:rtl/>
          <w:lang w:bidi="he-IL"/>
        </w:rPr>
        <w:t xml:space="preserve">והנה אע"ג שמבואר ברמ"א בסי' צ"ח סע' ד' דקי"ל להקל ולא להצריך פעמיים ס' אפילו במאכל של איסור שנפל לקדירה, </w:t>
      </w:r>
      <w:r w:rsidR="00A2380B" w:rsidRPr="00882F11">
        <w:rPr>
          <w:rFonts w:cs="Guttman Drogolin" w:hint="cs"/>
          <w:rtl/>
          <w:lang w:bidi="he-IL"/>
        </w:rPr>
        <w:t>מ"מ אין זה אומר דלא קיי"ל להקל כ</w:t>
      </w:r>
      <w:r w:rsidR="0074056C" w:rsidRPr="00882F11">
        <w:rPr>
          <w:rFonts w:cs="Guttman Drogolin" w:hint="cs"/>
          <w:rtl/>
          <w:lang w:bidi="he-IL"/>
        </w:rPr>
        <w:t xml:space="preserve">טעמו של התרוה"ד, רק דלא צריכים </w:t>
      </w:r>
      <w:r w:rsidR="0074056C" w:rsidRPr="00882F11">
        <w:rPr>
          <w:rFonts w:cs="Guttman Drogolin" w:hint="cs"/>
          <w:rtl/>
          <w:lang w:bidi="he-IL"/>
        </w:rPr>
        <w:lastRenderedPageBreak/>
        <w:t xml:space="preserve">לטעם זה. ולכן עדיין יש לע' האם קיי"ל גם כטעמו להקל. </w:t>
      </w:r>
    </w:p>
    <w:p w:rsidR="00B95CE5" w:rsidRPr="00882F11" w:rsidRDefault="001577BD" w:rsidP="00AF7ABE">
      <w:pPr>
        <w:tabs>
          <w:tab w:val="right" w:pos="7497"/>
        </w:tabs>
        <w:bidi/>
        <w:jc w:val="both"/>
        <w:rPr>
          <w:rFonts w:cs="Guttman Drogolin"/>
          <w:rtl/>
          <w:lang w:bidi="he-IL"/>
        </w:rPr>
      </w:pPr>
      <w:r w:rsidRPr="00882F11">
        <w:rPr>
          <w:rFonts w:cs="Guttman Drogolin" w:hint="cs"/>
          <w:rtl/>
          <w:lang w:bidi="he-IL"/>
        </w:rPr>
        <w:t xml:space="preserve">והנה בסע' ג' כתב השו"ע שאם יש ששים כנגד הכף שהתבשיל מותר והכף אסורה בין עם חלב ובין עם בשר, וכן אוסרת בדיעבד אם הכניסו בין בחלב ובין בבשר אפילו בדיעבד, ובלבד שיהא בן </w:t>
      </w:r>
      <w:r w:rsidR="00900A93" w:rsidRPr="00882F11">
        <w:rPr>
          <w:rFonts w:cs="Guttman Drogolin" w:hint="cs"/>
          <w:rtl/>
          <w:lang w:bidi="he-IL"/>
        </w:rPr>
        <w:t>יומו. והש"ך שם בס"ק י' כתב דהא ד</w:t>
      </w:r>
      <w:r w:rsidRPr="00882F11">
        <w:rPr>
          <w:rFonts w:cs="Guttman Drogolin" w:hint="cs"/>
          <w:rtl/>
          <w:lang w:bidi="he-IL"/>
        </w:rPr>
        <w:t>בעינן שיהא בן יומו, אין ר"ל בן יומו מתשמישתו הראשון, אלא אם הוא בן יומו מתשמישתו השני ג"כ סגי, דהא הבשר והחלב נעשו נבילה, ואם א' מהם מני יומו הרי הוא אוסר כמו כל נבילה. וע"ש שכתב שדבר זה פשוט הוא, ומש"כ בב"ח דבעינן ב"י גם מתשמיש הראשון אינו אלא טעות. ובחוו"ד</w:t>
      </w:r>
      <w:r w:rsidR="0074056C" w:rsidRPr="00882F11">
        <w:rPr>
          <w:rFonts w:cs="Guttman Drogolin" w:hint="cs"/>
          <w:rtl/>
          <w:lang w:bidi="he-IL"/>
        </w:rPr>
        <w:t xml:space="preserve"> </w:t>
      </w:r>
      <w:r w:rsidRPr="00882F11">
        <w:rPr>
          <w:rFonts w:cs="Guttman Drogolin" w:hint="cs"/>
          <w:rtl/>
          <w:lang w:bidi="he-IL"/>
        </w:rPr>
        <w:t xml:space="preserve">ס"ק ו' </w:t>
      </w:r>
      <w:r w:rsidR="00C27899" w:rsidRPr="00882F11">
        <w:rPr>
          <w:rFonts w:cs="Guttman Drogolin" w:hint="cs"/>
          <w:rtl/>
          <w:lang w:bidi="he-IL"/>
        </w:rPr>
        <w:t xml:space="preserve">כתב שנראין לו דברי הב"ח, שהרי בהא דכף לכאורה יש לנו ב' הטעמים של התרוה"ד, שהרי הבליעות שבכף מחוברות לתבשיל כל זמן שהוא בתבשיל, וכן צריכים לדין חענ"ן בבלוע. ושם בהגהות רע"א העיר עליו שלכאורה אע"פ שיש לומר כן </w:t>
      </w:r>
      <w:r w:rsidR="00091034" w:rsidRPr="00882F11">
        <w:rPr>
          <w:rFonts w:cs="Guttman Drogolin" w:hint="cs"/>
          <w:rtl/>
          <w:lang w:bidi="he-IL"/>
        </w:rPr>
        <w:t xml:space="preserve">במקרה המובא בשו"ע, דהיינו חזר והכניסו ליורה של חלב או בשר, אבל אם הכניס הכף לאחר מכן לתוך ירקות </w:t>
      </w:r>
      <w:r w:rsidR="00C27899" w:rsidRPr="00882F11">
        <w:rPr>
          <w:rFonts w:cs="Guttman Drogolin" w:hint="cs"/>
          <w:rtl/>
          <w:lang w:bidi="he-IL"/>
        </w:rPr>
        <w:t>י"ל ש</w:t>
      </w:r>
      <w:r w:rsidR="00091034" w:rsidRPr="00882F11">
        <w:rPr>
          <w:rFonts w:cs="Guttman Drogolin" w:hint="cs"/>
          <w:rtl/>
          <w:lang w:bidi="he-IL"/>
        </w:rPr>
        <w:t>גם</w:t>
      </w:r>
      <w:r w:rsidR="00C27899" w:rsidRPr="00882F11">
        <w:rPr>
          <w:rFonts w:cs="Guttman Drogolin" w:hint="cs"/>
          <w:rtl/>
          <w:lang w:bidi="he-IL"/>
        </w:rPr>
        <w:t xml:space="preserve"> התרוה"ד</w:t>
      </w:r>
      <w:r w:rsidR="00091034" w:rsidRPr="00882F11">
        <w:rPr>
          <w:rFonts w:cs="Guttman Drogolin" w:hint="cs"/>
          <w:rtl/>
          <w:lang w:bidi="he-IL"/>
        </w:rPr>
        <w:t xml:space="preserve"> לא הי' מיקל. והטעם לחלק ביניהם שבב"ח הא הוו מין במינו ולכן מדאורייתא בטל ברוב</w:t>
      </w:r>
      <w:r w:rsidR="00C27899" w:rsidRPr="00882F11">
        <w:rPr>
          <w:rFonts w:cs="Guttman Drogolin" w:hint="cs"/>
          <w:rtl/>
          <w:lang w:bidi="he-IL"/>
        </w:rPr>
        <w:t xml:space="preserve">, </w:t>
      </w:r>
      <w:r w:rsidR="00091034" w:rsidRPr="00882F11">
        <w:rPr>
          <w:rFonts w:cs="Guttman Drogolin" w:hint="cs"/>
          <w:rtl/>
          <w:lang w:bidi="he-IL"/>
        </w:rPr>
        <w:t>אבל אם הכניסו לתוך ירקות</w:t>
      </w:r>
      <w:r w:rsidR="00AF7ABE" w:rsidRPr="00882F11">
        <w:rPr>
          <w:rFonts w:cs="Guttman Drogolin" w:hint="cs"/>
          <w:rtl/>
          <w:lang w:bidi="he-IL"/>
        </w:rPr>
        <w:t xml:space="preserve"> שאין בהם ששים כנגד המין השני</w:t>
      </w:r>
      <w:r w:rsidR="00091034" w:rsidRPr="00882F11">
        <w:rPr>
          <w:rFonts w:cs="Guttman Drogolin" w:hint="cs"/>
          <w:rtl/>
          <w:lang w:bidi="he-IL"/>
        </w:rPr>
        <w:t xml:space="preserve"> הא הטעם בשר יאסר מדין טכ"ע הואיל כבר ונאסר</w:t>
      </w:r>
      <w:r w:rsidR="00AF7ABE" w:rsidRPr="00882F11">
        <w:rPr>
          <w:rFonts w:cs="Guttman Drogolin" w:hint="cs"/>
          <w:rtl/>
          <w:lang w:bidi="he-IL"/>
        </w:rPr>
        <w:t xml:space="preserve"> משום בב"ח</w:t>
      </w:r>
      <w:r w:rsidR="00091034" w:rsidRPr="00882F11">
        <w:rPr>
          <w:rFonts w:cs="Guttman Drogolin" w:hint="cs"/>
          <w:rtl/>
          <w:lang w:bidi="he-IL"/>
        </w:rPr>
        <w:t>, ויתכן שלענין דין דאורייתא לא מקילין הסברות של התרוה"ד.</w:t>
      </w:r>
      <w:r w:rsidR="00B95CE5" w:rsidRPr="00882F11">
        <w:rPr>
          <w:rFonts w:cs="Guttman Drogolin" w:hint="cs"/>
          <w:rtl/>
          <w:lang w:bidi="he-IL"/>
        </w:rPr>
        <w:t xml:space="preserve"> </w:t>
      </w:r>
    </w:p>
    <w:p w:rsidR="008D2C04" w:rsidRPr="00882F11" w:rsidRDefault="00B95CE5" w:rsidP="00900A93">
      <w:pPr>
        <w:tabs>
          <w:tab w:val="right" w:pos="7497"/>
        </w:tabs>
        <w:bidi/>
        <w:jc w:val="both"/>
        <w:rPr>
          <w:rFonts w:cs="Guttman Drogolin"/>
          <w:rtl/>
          <w:lang w:bidi="he-IL"/>
        </w:rPr>
      </w:pPr>
      <w:r w:rsidRPr="00882F11">
        <w:rPr>
          <w:rFonts w:cs="Guttman Drogolin" w:hint="cs"/>
          <w:rtl/>
          <w:lang w:bidi="he-IL"/>
        </w:rPr>
        <w:t xml:space="preserve">וע' גם בהגהות רע"א על הש"ך שם שכתב להשיג על הש"ך שכתב שהוא פשוט לאיסור שלכאורה </w:t>
      </w:r>
      <w:r w:rsidRPr="00882F11">
        <w:rPr>
          <w:rFonts w:cs="Guttman Drogolin" w:hint="cs"/>
          <w:rtl/>
          <w:lang w:bidi="he-IL"/>
        </w:rPr>
        <w:lastRenderedPageBreak/>
        <w:t>יש לנו עוד טעם להקל בזה, ומשום דכיון שהבליעות מתשמישתו הראשון הם לפגם, אע"ג שהבליעות שמתשמיש השני עדיין לשבח, מ"מ הרי מבואר בתוס' בדף ק"ח ע"ב שבמלח שבלע דם אין צרי</w:t>
      </w:r>
      <w:r w:rsidR="00F45F99" w:rsidRPr="00882F11">
        <w:rPr>
          <w:rFonts w:cs="Guttman Drogolin" w:hint="cs"/>
          <w:rtl/>
          <w:lang w:bidi="he-IL"/>
        </w:rPr>
        <w:t>כים אלא ס' כנגד הדם אפילו למ"ד ד</w:t>
      </w:r>
      <w:r w:rsidRPr="00882F11">
        <w:rPr>
          <w:rFonts w:cs="Guttman Drogolin" w:hint="cs"/>
          <w:rtl/>
          <w:lang w:bidi="he-IL"/>
        </w:rPr>
        <w:t>אמרינן חענ"ן בשאר איסורים אע"ג שהמלח עצמו נותן טעם ביותר מששים, ומשום שיש לנו כלל שאין הנאסר אוסר יותר מאילו היה כולו דם. וכן הה"נ הכא דכיון שאין בשר אוסר אלא עם חלב, וחד מינייהו לפגם, גם השני אינו אוסר. ואם הי' ס"ד דשאני בליעות שאינן בני יומן מהא דדם, הא מבואר להדיא ברמ"א בסי' קל"ד בע י"ב דאמרינן כה"ג כשהבליעות הם לפגם. וכתב רע"א דאולי סבר הש"ך דלא אמרינן בבב"ח הסברא של התוס' רק בשאר איסורים (וצ"ע למה כתב רע"א 'אולי', הא בהדיא כן הוא דעת הש"ך בסי' ק"ה ס"ק י"ז). והוסיף רע"א שאפילו את"ל כן הא מ"מ ישנם לסברות התרוה"</w:t>
      </w:r>
      <w:r w:rsidR="002D68F2" w:rsidRPr="00882F11">
        <w:rPr>
          <w:rFonts w:cs="Guttman Drogolin" w:hint="cs"/>
          <w:rtl/>
          <w:lang w:bidi="he-IL"/>
        </w:rPr>
        <w:t>ד</w:t>
      </w:r>
      <w:r w:rsidRPr="00882F11">
        <w:rPr>
          <w:rFonts w:cs="Guttman Drogolin" w:hint="cs"/>
          <w:rtl/>
          <w:lang w:bidi="he-IL"/>
        </w:rPr>
        <w:t xml:space="preserve"> </w:t>
      </w:r>
      <w:r w:rsidR="002D68F2" w:rsidRPr="00882F11">
        <w:rPr>
          <w:rFonts w:cs="Guttman Drogolin" w:hint="cs"/>
          <w:rtl/>
          <w:lang w:bidi="he-IL"/>
        </w:rPr>
        <w:t>והסיק "ואם</w:t>
      </w:r>
      <w:r w:rsidR="002D68F2" w:rsidRPr="00882F11">
        <w:rPr>
          <w:rFonts w:cs="Guttman Drogolin"/>
          <w:rtl/>
          <w:lang w:bidi="he-IL"/>
        </w:rPr>
        <w:t xml:space="preserve"> </w:t>
      </w:r>
      <w:r w:rsidR="002D68F2" w:rsidRPr="00882F11">
        <w:rPr>
          <w:rFonts w:cs="Guttman Drogolin" w:hint="cs"/>
          <w:rtl/>
          <w:lang w:bidi="he-IL"/>
        </w:rPr>
        <w:t>כן</w:t>
      </w:r>
      <w:r w:rsidR="002D68F2" w:rsidRPr="00882F11">
        <w:rPr>
          <w:rFonts w:cs="Guttman Drogolin"/>
          <w:rtl/>
          <w:lang w:bidi="he-IL"/>
        </w:rPr>
        <w:t xml:space="preserve"> </w:t>
      </w:r>
      <w:r w:rsidR="002D68F2" w:rsidRPr="00882F11">
        <w:rPr>
          <w:rFonts w:cs="Guttman Drogolin" w:hint="cs"/>
          <w:rtl/>
          <w:lang w:bidi="he-IL"/>
        </w:rPr>
        <w:t>בצירוף</w:t>
      </w:r>
      <w:r w:rsidR="002D68F2" w:rsidRPr="00882F11">
        <w:rPr>
          <w:rFonts w:cs="Guttman Drogolin"/>
          <w:rtl/>
          <w:lang w:bidi="he-IL"/>
        </w:rPr>
        <w:t xml:space="preserve"> </w:t>
      </w:r>
      <w:r w:rsidR="002D68F2" w:rsidRPr="00882F11">
        <w:rPr>
          <w:rFonts w:cs="Guttman Drogolin" w:hint="cs"/>
          <w:rtl/>
          <w:lang w:bidi="he-IL"/>
        </w:rPr>
        <w:t>ג</w:t>
      </w:r>
      <w:r w:rsidR="002D68F2" w:rsidRPr="00882F11">
        <w:rPr>
          <w:rFonts w:cs="Guttman Drogolin"/>
          <w:rtl/>
          <w:lang w:bidi="he-IL"/>
        </w:rPr>
        <w:t>"</w:t>
      </w:r>
      <w:r w:rsidR="002D68F2" w:rsidRPr="00882F11">
        <w:rPr>
          <w:rFonts w:cs="Guttman Drogolin" w:hint="cs"/>
          <w:rtl/>
          <w:lang w:bidi="he-IL"/>
        </w:rPr>
        <w:t>כ</w:t>
      </w:r>
      <w:r w:rsidR="002D68F2" w:rsidRPr="00882F11">
        <w:rPr>
          <w:rFonts w:cs="Guttman Drogolin"/>
          <w:rtl/>
          <w:lang w:bidi="he-IL"/>
        </w:rPr>
        <w:t xml:space="preserve"> </w:t>
      </w:r>
      <w:r w:rsidR="002D68F2" w:rsidRPr="00882F11">
        <w:rPr>
          <w:rFonts w:cs="Guttman Drogolin" w:hint="cs"/>
          <w:rtl/>
          <w:lang w:bidi="he-IL"/>
        </w:rPr>
        <w:t>הסברא</w:t>
      </w:r>
      <w:r w:rsidR="002D68F2" w:rsidRPr="00882F11">
        <w:rPr>
          <w:rFonts w:cs="Guttman Drogolin"/>
          <w:rtl/>
          <w:lang w:bidi="he-IL"/>
        </w:rPr>
        <w:t xml:space="preserve"> </w:t>
      </w:r>
      <w:r w:rsidR="002D68F2" w:rsidRPr="00882F11">
        <w:rPr>
          <w:rFonts w:cs="Guttman Drogolin" w:hint="cs"/>
          <w:rtl/>
          <w:lang w:bidi="he-IL"/>
        </w:rPr>
        <w:t>דאין</w:t>
      </w:r>
      <w:r w:rsidR="002D68F2" w:rsidRPr="00882F11">
        <w:rPr>
          <w:rFonts w:cs="Guttman Drogolin"/>
          <w:rtl/>
          <w:lang w:bidi="he-IL"/>
        </w:rPr>
        <w:t xml:space="preserve"> </w:t>
      </w:r>
      <w:r w:rsidR="002D68F2" w:rsidRPr="00882F11">
        <w:rPr>
          <w:rFonts w:cs="Guttman Drogolin" w:hint="cs"/>
          <w:rtl/>
          <w:lang w:bidi="he-IL"/>
        </w:rPr>
        <w:t>הנאסר</w:t>
      </w:r>
      <w:r w:rsidR="002D68F2" w:rsidRPr="00882F11">
        <w:rPr>
          <w:rFonts w:cs="Guttman Drogolin"/>
          <w:rtl/>
          <w:lang w:bidi="he-IL"/>
        </w:rPr>
        <w:t xml:space="preserve"> </w:t>
      </w:r>
      <w:r w:rsidR="002D68F2" w:rsidRPr="00882F11">
        <w:rPr>
          <w:rFonts w:cs="Guttman Drogolin" w:hint="cs"/>
          <w:rtl/>
          <w:lang w:bidi="he-IL"/>
        </w:rPr>
        <w:t>יש</w:t>
      </w:r>
      <w:r w:rsidR="002D68F2" w:rsidRPr="00882F11">
        <w:rPr>
          <w:rFonts w:cs="Guttman Drogolin"/>
          <w:rtl/>
          <w:lang w:bidi="he-IL"/>
        </w:rPr>
        <w:t xml:space="preserve"> </w:t>
      </w:r>
      <w:r w:rsidR="002D68F2" w:rsidRPr="00882F11">
        <w:rPr>
          <w:rFonts w:cs="Guttman Drogolin" w:hint="cs"/>
          <w:rtl/>
          <w:lang w:bidi="he-IL"/>
        </w:rPr>
        <w:t>להתיר</w:t>
      </w:r>
      <w:r w:rsidR="002D68F2" w:rsidRPr="00882F11">
        <w:rPr>
          <w:rFonts w:cs="Guttman Drogolin"/>
          <w:rtl/>
          <w:lang w:bidi="he-IL"/>
        </w:rPr>
        <w:t xml:space="preserve"> </w:t>
      </w:r>
      <w:r w:rsidR="002D68F2" w:rsidRPr="00882F11">
        <w:rPr>
          <w:rFonts w:cs="Guttman Drogolin" w:hint="cs"/>
          <w:rtl/>
          <w:lang w:bidi="he-IL"/>
        </w:rPr>
        <w:t>בהפ</w:t>
      </w:r>
      <w:r w:rsidR="002D68F2" w:rsidRPr="00882F11">
        <w:rPr>
          <w:rFonts w:cs="Guttman Drogolin"/>
          <w:rtl/>
          <w:lang w:bidi="he-IL"/>
        </w:rPr>
        <w:t>"</w:t>
      </w:r>
      <w:r w:rsidR="002D68F2" w:rsidRPr="00882F11">
        <w:rPr>
          <w:rFonts w:cs="Guttman Drogolin" w:hint="cs"/>
          <w:rtl/>
          <w:lang w:bidi="he-IL"/>
        </w:rPr>
        <w:t>מ</w:t>
      </w:r>
      <w:r w:rsidR="002D68F2" w:rsidRPr="00882F11">
        <w:rPr>
          <w:rFonts w:cs="Guttman Drogolin"/>
          <w:rtl/>
          <w:lang w:bidi="he-IL"/>
        </w:rPr>
        <w:t xml:space="preserve"> </w:t>
      </w:r>
      <w:r w:rsidR="002D68F2" w:rsidRPr="00882F11">
        <w:rPr>
          <w:rFonts w:cs="Guttman Drogolin" w:hint="cs"/>
          <w:rtl/>
          <w:lang w:bidi="he-IL"/>
        </w:rPr>
        <w:t>וצ</w:t>
      </w:r>
      <w:r w:rsidR="002D68F2" w:rsidRPr="00882F11">
        <w:rPr>
          <w:rFonts w:cs="Guttman Drogolin"/>
          <w:rtl/>
          <w:lang w:bidi="he-IL"/>
        </w:rPr>
        <w:t>"</w:t>
      </w:r>
      <w:r w:rsidR="002D68F2" w:rsidRPr="00882F11">
        <w:rPr>
          <w:rFonts w:cs="Guttman Drogolin" w:hint="cs"/>
          <w:rtl/>
          <w:lang w:bidi="he-IL"/>
        </w:rPr>
        <w:t>ע</w:t>
      </w:r>
      <w:r w:rsidR="002D68F2" w:rsidRPr="00882F11">
        <w:rPr>
          <w:rFonts w:cs="Guttman Drogolin"/>
          <w:rtl/>
          <w:lang w:bidi="he-IL"/>
        </w:rPr>
        <w:t xml:space="preserve"> </w:t>
      </w:r>
      <w:r w:rsidR="002D68F2" w:rsidRPr="00882F11">
        <w:rPr>
          <w:rFonts w:cs="Guttman Drogolin" w:hint="cs"/>
          <w:rtl/>
          <w:lang w:bidi="he-IL"/>
        </w:rPr>
        <w:t xml:space="preserve">לדינא". הרי שלכאורה אפילו בבב"ח (דהא רע"א כאן לא הדגיש שאין דבריו אמורים אלא בשאר איסורים) לא רצה להקל כתרוה"ד אפילו בכה"ג שיש עוד סברא להקל. ובאמת הוא צע"ג מאחר והתרוה"ד כתב שכן הוא מנהג המורים וע"פ סברות אלו, וכן הרי שיטת התוס' צ"ו ע"ב </w:t>
      </w:r>
      <w:r w:rsidR="00900A93" w:rsidRPr="00882F11">
        <w:rPr>
          <w:rFonts w:cs="Guttman Drogolin" w:hint="cs"/>
          <w:rtl/>
          <w:lang w:bidi="he-IL"/>
        </w:rPr>
        <w:t xml:space="preserve">דאמרינן </w:t>
      </w:r>
      <w:r w:rsidR="002D68F2" w:rsidRPr="00882F11">
        <w:rPr>
          <w:rFonts w:cs="Guttman Drogolin" w:hint="cs"/>
          <w:rtl/>
          <w:lang w:bidi="he-IL"/>
        </w:rPr>
        <w:t>שאין הנאסר אוסר גם בבב"ח, וכן הרי הגר"א ביאר שיטת השו"ע בסי' צ"ב סע' ז' דמקילינן כסברא שאין חענ"ן בבלוע בכלי לבד בשעה"ד, וכ"ש וכ"ש בכה"ג. וצ"ע</w:t>
      </w:r>
      <w:r w:rsidR="00EB6DF4" w:rsidRPr="00882F11">
        <w:rPr>
          <w:rStyle w:val="FootnoteReference"/>
          <w:rFonts w:cs="Guttman Drogolin"/>
          <w:rtl/>
          <w:lang w:bidi="he-IL"/>
        </w:rPr>
        <w:footnoteReference w:id="278"/>
      </w:r>
      <w:r w:rsidR="002D68F2" w:rsidRPr="00882F11">
        <w:rPr>
          <w:rFonts w:cs="Guttman Drogolin" w:hint="cs"/>
          <w:rtl/>
          <w:lang w:bidi="he-IL"/>
        </w:rPr>
        <w:t>.</w:t>
      </w:r>
    </w:p>
    <w:p w:rsidR="00756525" w:rsidRPr="00882F11" w:rsidRDefault="008D2C04" w:rsidP="00F2219F">
      <w:pPr>
        <w:tabs>
          <w:tab w:val="right" w:pos="7497"/>
        </w:tabs>
        <w:bidi/>
        <w:jc w:val="both"/>
        <w:rPr>
          <w:rFonts w:cs="Guttman Drogolin"/>
          <w:rtl/>
          <w:lang w:bidi="he-IL"/>
        </w:rPr>
      </w:pPr>
      <w:r w:rsidRPr="00882F11">
        <w:rPr>
          <w:rFonts w:cs="Guttman Drogolin" w:hint="cs"/>
          <w:rtl/>
          <w:lang w:bidi="he-IL"/>
        </w:rPr>
        <w:lastRenderedPageBreak/>
        <w:t xml:space="preserve">ומענין לענין באותו ענין ע' רע"א על הש"ך בס"ק ב', ששם כתב הש"ך שכשעושים חשבון אם הכלי הוא בן יומו או לא צריך להיות דוקא תוך יום של בישול חלב, אבל בישול מים אינו עולה בחשבון, והוסיף דהנ"מ בהיתירא בלע, אבל איסורא בלע מחשבין מעל"ע משעת בישול המים אא"כ הי' במים ששים. וביאר רע"א </w:t>
      </w:r>
      <w:r w:rsidR="00F2219F" w:rsidRPr="00882F11">
        <w:rPr>
          <w:rFonts w:cs="Guttman Drogolin" w:hint="cs"/>
          <w:rtl/>
          <w:lang w:bidi="he-IL"/>
        </w:rPr>
        <w:t>ש</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יש</w:t>
      </w:r>
      <w:r w:rsidRPr="00882F11">
        <w:rPr>
          <w:rFonts w:cs="Guttman Drogolin"/>
          <w:rtl/>
          <w:lang w:bidi="he-IL"/>
        </w:rPr>
        <w:t xml:space="preserve"> </w:t>
      </w:r>
      <w:r w:rsidRPr="00882F11">
        <w:rPr>
          <w:rFonts w:cs="Guttman Drogolin" w:hint="cs"/>
          <w:rtl/>
          <w:lang w:bidi="he-IL"/>
        </w:rPr>
        <w:t>במים</w:t>
      </w:r>
      <w:r w:rsidRPr="00882F11">
        <w:rPr>
          <w:rFonts w:cs="Guttman Drogolin"/>
          <w:rtl/>
          <w:lang w:bidi="he-IL"/>
        </w:rPr>
        <w:t xml:space="preserve"> </w:t>
      </w:r>
      <w:r w:rsidRPr="00882F11">
        <w:rPr>
          <w:rFonts w:cs="Guttman Drogolin" w:hint="cs"/>
          <w:rtl/>
          <w:lang w:bidi="he-IL"/>
        </w:rPr>
        <w:t>ס</w:t>
      </w:r>
      <w:r w:rsidRPr="00882F11">
        <w:rPr>
          <w:rFonts w:cs="Guttman Drogolin"/>
          <w:rtl/>
          <w:lang w:bidi="he-IL"/>
        </w:rPr>
        <w:t xml:space="preserve">' </w:t>
      </w:r>
      <w:r w:rsidRPr="00882F11">
        <w:rPr>
          <w:rFonts w:cs="Guttman Drogolin" w:hint="cs"/>
          <w:rtl/>
          <w:lang w:bidi="he-IL"/>
        </w:rPr>
        <w:t>מחשבים</w:t>
      </w:r>
      <w:r w:rsidRPr="00882F11">
        <w:rPr>
          <w:rFonts w:cs="Guttman Drogolin"/>
          <w:rtl/>
          <w:lang w:bidi="he-IL"/>
        </w:rPr>
        <w:t xml:space="preserve"> </w:t>
      </w:r>
      <w:r w:rsidRPr="00882F11">
        <w:rPr>
          <w:rFonts w:cs="Guttman Drogolin" w:hint="cs"/>
          <w:rtl/>
          <w:lang w:bidi="he-IL"/>
        </w:rPr>
        <w:t>מעל</w:t>
      </w:r>
      <w:r w:rsidRPr="00882F11">
        <w:rPr>
          <w:rFonts w:cs="Guttman Drogolin"/>
          <w:rtl/>
          <w:lang w:bidi="he-IL"/>
        </w:rPr>
        <w:t>"</w:t>
      </w:r>
      <w:r w:rsidRPr="00882F11">
        <w:rPr>
          <w:rFonts w:cs="Guttman Drogolin" w:hint="cs"/>
          <w:rtl/>
          <w:lang w:bidi="he-IL"/>
        </w:rPr>
        <w:t>ע</w:t>
      </w:r>
      <w:r w:rsidRPr="00882F11">
        <w:rPr>
          <w:rFonts w:cs="Guttman Drogolin"/>
          <w:rtl/>
          <w:lang w:bidi="he-IL"/>
        </w:rPr>
        <w:t xml:space="preserve"> </w:t>
      </w:r>
      <w:r w:rsidRPr="00882F11">
        <w:rPr>
          <w:rFonts w:cs="Guttman Drogolin" w:hint="cs"/>
          <w:rtl/>
          <w:lang w:bidi="he-IL"/>
        </w:rPr>
        <w:t>מן</w:t>
      </w:r>
      <w:r w:rsidRPr="00882F11">
        <w:rPr>
          <w:rFonts w:cs="Guttman Drogolin"/>
          <w:rtl/>
          <w:lang w:bidi="he-IL"/>
        </w:rPr>
        <w:t xml:space="preserve"> </w:t>
      </w:r>
      <w:r w:rsidRPr="00882F11">
        <w:rPr>
          <w:rFonts w:cs="Guttman Drogolin" w:hint="cs"/>
          <w:rtl/>
          <w:lang w:bidi="he-IL"/>
        </w:rPr>
        <w:t>שמוש</w:t>
      </w:r>
      <w:r w:rsidRPr="00882F11">
        <w:rPr>
          <w:rFonts w:cs="Guttman Drogolin"/>
          <w:rtl/>
          <w:lang w:bidi="he-IL"/>
        </w:rPr>
        <w:t xml:space="preserve"> </w:t>
      </w:r>
      <w:r w:rsidRPr="00882F11">
        <w:rPr>
          <w:rFonts w:cs="Guttman Drogolin" w:hint="cs"/>
          <w:rtl/>
          <w:lang w:bidi="he-IL"/>
        </w:rPr>
        <w:t>האיסור</w:t>
      </w:r>
      <w:r w:rsidRPr="00882F11">
        <w:rPr>
          <w:rFonts w:cs="Guttman Drogolin"/>
          <w:rtl/>
          <w:lang w:bidi="he-IL"/>
        </w:rPr>
        <w:t xml:space="preserve"> </w:t>
      </w:r>
      <w:r w:rsidR="00F2219F" w:rsidRPr="00882F11">
        <w:rPr>
          <w:rFonts w:cs="Guttman Drogolin" w:hint="cs"/>
          <w:rtl/>
          <w:lang w:bidi="he-IL"/>
        </w:rPr>
        <w:t>ו</w:t>
      </w:r>
      <w:r w:rsidRPr="00882F11">
        <w:rPr>
          <w:rFonts w:cs="Guttman Drogolin" w:hint="cs"/>
          <w:rtl/>
          <w:lang w:bidi="he-IL"/>
        </w:rPr>
        <w:t>לא</w:t>
      </w:r>
      <w:r w:rsidRPr="00882F11">
        <w:rPr>
          <w:rFonts w:cs="Guttman Drogolin"/>
          <w:rtl/>
          <w:lang w:bidi="he-IL"/>
        </w:rPr>
        <w:t xml:space="preserve"> </w:t>
      </w:r>
      <w:r w:rsidR="00F2219F" w:rsidRPr="00882F11">
        <w:rPr>
          <w:rFonts w:cs="Guttman Drogolin" w:hint="cs"/>
          <w:rtl/>
          <w:lang w:bidi="he-IL"/>
        </w:rPr>
        <w:t xml:space="preserve">אמרינן </w:t>
      </w:r>
      <w:r w:rsidRPr="00882F11">
        <w:rPr>
          <w:rFonts w:cs="Guttman Drogolin" w:hint="cs"/>
          <w:rtl/>
          <w:lang w:bidi="he-IL"/>
        </w:rPr>
        <w:t>דכשהוציאו</w:t>
      </w:r>
      <w:r w:rsidRPr="00882F11">
        <w:rPr>
          <w:rFonts w:cs="Guttman Drogolin"/>
          <w:rtl/>
          <w:lang w:bidi="he-IL"/>
        </w:rPr>
        <w:t xml:space="preserve"> </w:t>
      </w:r>
      <w:r w:rsidRPr="00882F11">
        <w:rPr>
          <w:rFonts w:cs="Guttman Drogolin" w:hint="cs"/>
          <w:rtl/>
          <w:lang w:bidi="he-IL"/>
        </w:rPr>
        <w:t>הכף</w:t>
      </w:r>
      <w:r w:rsidRPr="00882F11">
        <w:rPr>
          <w:rFonts w:cs="Guttman Drogolin"/>
          <w:rtl/>
          <w:lang w:bidi="he-IL"/>
        </w:rPr>
        <w:t xml:space="preserve"> </w:t>
      </w:r>
      <w:r w:rsidRPr="00882F11">
        <w:rPr>
          <w:rFonts w:cs="Guttman Drogolin" w:hint="cs"/>
          <w:rtl/>
          <w:lang w:bidi="he-IL"/>
        </w:rPr>
        <w:t>והוא</w:t>
      </w:r>
      <w:r w:rsidRPr="00882F11">
        <w:rPr>
          <w:rFonts w:cs="Guttman Drogolin"/>
          <w:rtl/>
          <w:lang w:bidi="he-IL"/>
        </w:rPr>
        <w:t xml:space="preserve"> </w:t>
      </w:r>
      <w:r w:rsidRPr="00882F11">
        <w:rPr>
          <w:rFonts w:cs="Guttman Drogolin" w:hint="cs"/>
          <w:rtl/>
          <w:lang w:bidi="he-IL"/>
        </w:rPr>
        <w:t>רותח</w:t>
      </w:r>
      <w:r w:rsidRPr="00882F11">
        <w:rPr>
          <w:rFonts w:cs="Guttman Drogolin"/>
          <w:rtl/>
          <w:lang w:bidi="he-IL"/>
        </w:rPr>
        <w:t xml:space="preserve"> </w:t>
      </w:r>
      <w:r w:rsidRPr="00882F11">
        <w:rPr>
          <w:rFonts w:cs="Guttman Drogolin" w:hint="cs"/>
          <w:rtl/>
          <w:lang w:bidi="he-IL"/>
        </w:rPr>
        <w:t>נעשה</w:t>
      </w:r>
      <w:r w:rsidRPr="00882F11">
        <w:rPr>
          <w:rFonts w:cs="Guttman Drogolin"/>
          <w:rtl/>
          <w:lang w:bidi="he-IL"/>
        </w:rPr>
        <w:t xml:space="preserve"> </w:t>
      </w:r>
      <w:r w:rsidRPr="00882F11">
        <w:rPr>
          <w:rFonts w:cs="Guttman Drogolin" w:hint="cs"/>
          <w:rtl/>
          <w:lang w:bidi="he-IL"/>
        </w:rPr>
        <w:t>המים</w:t>
      </w:r>
      <w:r w:rsidRPr="00882F11">
        <w:rPr>
          <w:rFonts w:cs="Guttman Drogolin"/>
          <w:rtl/>
          <w:lang w:bidi="he-IL"/>
        </w:rPr>
        <w:t xml:space="preserve"> </w:t>
      </w:r>
      <w:r w:rsidRPr="00882F11">
        <w:rPr>
          <w:rFonts w:cs="Guttman Drogolin" w:hint="cs"/>
          <w:rtl/>
          <w:lang w:bidi="he-IL"/>
        </w:rPr>
        <w:t>הבלוע</w:t>
      </w:r>
      <w:r w:rsidRPr="00882F11">
        <w:rPr>
          <w:rFonts w:cs="Guttman Drogolin"/>
          <w:rtl/>
          <w:lang w:bidi="he-IL"/>
        </w:rPr>
        <w:t xml:space="preserve"> </w:t>
      </w:r>
      <w:r w:rsidRPr="00882F11">
        <w:rPr>
          <w:rFonts w:cs="Guttman Drogolin" w:hint="cs"/>
          <w:rtl/>
          <w:lang w:bidi="he-IL"/>
        </w:rPr>
        <w:t>בכף</w:t>
      </w:r>
      <w:r w:rsidRPr="00882F11">
        <w:rPr>
          <w:rFonts w:cs="Guttman Drogolin"/>
          <w:rtl/>
          <w:lang w:bidi="he-IL"/>
        </w:rPr>
        <w:t xml:space="preserve"> </w:t>
      </w:r>
      <w:r w:rsidRPr="00882F11">
        <w:rPr>
          <w:rFonts w:cs="Guttman Drogolin" w:hint="cs"/>
          <w:rtl/>
          <w:lang w:bidi="he-IL"/>
        </w:rPr>
        <w:t>נבילה</w:t>
      </w:r>
      <w:r w:rsidRPr="00882F11">
        <w:rPr>
          <w:rFonts w:cs="Guttman Drogolin"/>
          <w:rtl/>
          <w:lang w:bidi="he-IL"/>
        </w:rPr>
        <w:t xml:space="preserve"> </w:t>
      </w:r>
      <w:r w:rsidRPr="00882F11">
        <w:rPr>
          <w:rFonts w:cs="Guttman Drogolin" w:hint="cs"/>
          <w:rtl/>
          <w:lang w:bidi="he-IL"/>
        </w:rPr>
        <w:t>מהאיסור</w:t>
      </w:r>
      <w:r w:rsidRPr="00882F11">
        <w:rPr>
          <w:rFonts w:cs="Guttman Drogolin"/>
          <w:rtl/>
          <w:lang w:bidi="he-IL"/>
        </w:rPr>
        <w:t xml:space="preserve"> </w:t>
      </w:r>
      <w:r w:rsidRPr="00882F11">
        <w:rPr>
          <w:rFonts w:cs="Guttman Drogolin" w:hint="cs"/>
          <w:rtl/>
          <w:lang w:bidi="he-IL"/>
        </w:rPr>
        <w:t>הבלוע</w:t>
      </w:r>
      <w:r w:rsidRPr="00882F11">
        <w:rPr>
          <w:rFonts w:cs="Guttman Drogolin"/>
          <w:rtl/>
          <w:lang w:bidi="he-IL"/>
        </w:rPr>
        <w:t xml:space="preserve"> </w:t>
      </w:r>
      <w:r w:rsidRPr="00882F11">
        <w:rPr>
          <w:rFonts w:cs="Guttman Drogolin" w:hint="cs"/>
          <w:rtl/>
          <w:lang w:bidi="he-IL"/>
        </w:rPr>
        <w:t>בו</w:t>
      </w:r>
      <w:r w:rsidRPr="00882F11">
        <w:rPr>
          <w:rFonts w:cs="Guttman Drogolin"/>
          <w:rtl/>
          <w:lang w:bidi="he-IL"/>
        </w:rPr>
        <w:t xml:space="preserve"> </w:t>
      </w:r>
      <w:r w:rsidRPr="00882F11">
        <w:rPr>
          <w:rFonts w:cs="Guttman Drogolin" w:hint="cs"/>
          <w:rtl/>
          <w:lang w:bidi="he-IL"/>
        </w:rPr>
        <w:t>כיון</w:t>
      </w:r>
      <w:r w:rsidRPr="00882F11">
        <w:rPr>
          <w:rFonts w:cs="Guttman Drogolin"/>
          <w:rtl/>
          <w:lang w:bidi="he-IL"/>
        </w:rPr>
        <w:t xml:space="preserve"> </w:t>
      </w:r>
      <w:r w:rsidRPr="00882F11">
        <w:rPr>
          <w:rFonts w:cs="Guttman Drogolin" w:hint="cs"/>
          <w:rtl/>
          <w:lang w:bidi="he-IL"/>
        </w:rPr>
        <w:t>דהאיסור</w:t>
      </w:r>
      <w:r w:rsidRPr="00882F11">
        <w:rPr>
          <w:rFonts w:cs="Guttman Drogolin"/>
          <w:rtl/>
          <w:lang w:bidi="he-IL"/>
        </w:rPr>
        <w:t xml:space="preserve"> </w:t>
      </w:r>
      <w:r w:rsidRPr="00882F11">
        <w:rPr>
          <w:rFonts w:cs="Guttman Drogolin" w:hint="cs"/>
          <w:rtl/>
          <w:lang w:bidi="he-IL"/>
        </w:rPr>
        <w:t>שנשאר</w:t>
      </w:r>
      <w:r w:rsidRPr="00882F11">
        <w:rPr>
          <w:rFonts w:cs="Guttman Drogolin"/>
          <w:rtl/>
          <w:lang w:bidi="he-IL"/>
        </w:rPr>
        <w:t xml:space="preserve"> </w:t>
      </w:r>
      <w:r w:rsidRPr="00882F11">
        <w:rPr>
          <w:rFonts w:cs="Guttman Drogolin" w:hint="cs"/>
          <w:rtl/>
          <w:lang w:bidi="he-IL"/>
        </w:rPr>
        <w:t>בלוע</w:t>
      </w:r>
      <w:r w:rsidRPr="00882F11">
        <w:rPr>
          <w:rFonts w:cs="Guttman Drogolin"/>
          <w:rtl/>
          <w:lang w:bidi="he-IL"/>
        </w:rPr>
        <w:t xml:space="preserve"> </w:t>
      </w:r>
      <w:r w:rsidRPr="00882F11">
        <w:rPr>
          <w:rFonts w:cs="Guttman Drogolin" w:hint="cs"/>
          <w:rtl/>
          <w:lang w:bidi="he-IL"/>
        </w:rPr>
        <w:t>פגום</w:t>
      </w:r>
      <w:r w:rsidRPr="00882F11">
        <w:rPr>
          <w:rFonts w:cs="Guttman Drogolin"/>
          <w:rtl/>
          <w:lang w:bidi="he-IL"/>
        </w:rPr>
        <w:t xml:space="preserve"> </w:t>
      </w:r>
      <w:r w:rsidRPr="00882F11">
        <w:rPr>
          <w:rFonts w:cs="Guttman Drogolin" w:hint="cs"/>
          <w:rtl/>
          <w:lang w:bidi="he-IL"/>
        </w:rPr>
        <w:t>ואמרינן</w:t>
      </w:r>
      <w:r w:rsidRPr="00882F11">
        <w:rPr>
          <w:rFonts w:cs="Guttman Drogolin"/>
          <w:rtl/>
          <w:lang w:bidi="he-IL"/>
        </w:rPr>
        <w:t xml:space="preserve"> </w:t>
      </w:r>
      <w:r w:rsidRPr="00882F11">
        <w:rPr>
          <w:rFonts w:cs="Guttman Drogolin" w:hint="cs"/>
          <w:rtl/>
          <w:lang w:bidi="he-IL"/>
        </w:rPr>
        <w:t>דאין</w:t>
      </w:r>
      <w:r w:rsidRPr="00882F11">
        <w:rPr>
          <w:rFonts w:cs="Guttman Drogolin"/>
          <w:rtl/>
          <w:lang w:bidi="he-IL"/>
        </w:rPr>
        <w:t xml:space="preserve"> </w:t>
      </w:r>
      <w:r w:rsidRPr="00882F11">
        <w:rPr>
          <w:rFonts w:cs="Guttman Drogolin" w:hint="cs"/>
          <w:rtl/>
          <w:lang w:bidi="he-IL"/>
        </w:rPr>
        <w:t>הנאסר</w:t>
      </w:r>
      <w:r w:rsidRPr="00882F11">
        <w:rPr>
          <w:rFonts w:cs="Guttman Drogolin"/>
          <w:rtl/>
          <w:lang w:bidi="he-IL"/>
        </w:rPr>
        <w:t xml:space="preserve"> </w:t>
      </w:r>
      <w:r w:rsidRPr="00882F11">
        <w:rPr>
          <w:rFonts w:cs="Guttman Drogolin" w:hint="cs"/>
          <w:rtl/>
          <w:lang w:bidi="he-IL"/>
        </w:rPr>
        <w:t>המים</w:t>
      </w:r>
      <w:r w:rsidRPr="00882F11">
        <w:rPr>
          <w:rFonts w:cs="Guttman Drogolin"/>
          <w:rtl/>
          <w:lang w:bidi="he-IL"/>
        </w:rPr>
        <w:t xml:space="preserve"> </w:t>
      </w:r>
      <w:r w:rsidRPr="00882F11">
        <w:rPr>
          <w:rFonts w:cs="Guttman Drogolin" w:hint="cs"/>
          <w:rtl/>
          <w:lang w:bidi="he-IL"/>
        </w:rPr>
        <w:t>חמיר</w:t>
      </w:r>
      <w:r w:rsidRPr="00882F11">
        <w:rPr>
          <w:rFonts w:cs="Guttman Drogolin"/>
          <w:rtl/>
          <w:lang w:bidi="he-IL"/>
        </w:rPr>
        <w:t xml:space="preserve"> </w:t>
      </w:r>
      <w:r w:rsidRPr="00882F11">
        <w:rPr>
          <w:rFonts w:cs="Guttman Drogolin" w:hint="cs"/>
          <w:rtl/>
          <w:lang w:bidi="he-IL"/>
        </w:rPr>
        <w:t>מהאוסר</w:t>
      </w:r>
      <w:r w:rsidRPr="00882F11">
        <w:rPr>
          <w:rFonts w:cs="Guttman Drogolin"/>
          <w:rtl/>
          <w:lang w:bidi="he-IL"/>
        </w:rPr>
        <w:t xml:space="preserve"> </w:t>
      </w:r>
      <w:r w:rsidR="00F2219F" w:rsidRPr="00882F11">
        <w:rPr>
          <w:rFonts w:cs="Guttman Drogolin" w:hint="cs"/>
          <w:rtl/>
          <w:lang w:bidi="he-IL"/>
        </w:rPr>
        <w:t>כנ"ל מ</w:t>
      </w:r>
      <w:r w:rsidRPr="00882F11">
        <w:rPr>
          <w:rFonts w:cs="Guttman Drogolin" w:hint="cs"/>
          <w:rtl/>
          <w:lang w:bidi="he-IL"/>
        </w:rPr>
        <w:t>הרמ</w:t>
      </w:r>
      <w:r w:rsidRPr="00882F11">
        <w:rPr>
          <w:rFonts w:cs="Guttman Drogolin"/>
          <w:rtl/>
          <w:lang w:bidi="he-IL"/>
        </w:rPr>
        <w:t>"</w:t>
      </w:r>
      <w:r w:rsidRPr="00882F11">
        <w:rPr>
          <w:rFonts w:cs="Guttman Drogolin" w:hint="cs"/>
          <w:rtl/>
          <w:lang w:bidi="he-IL"/>
        </w:rPr>
        <w:t>א</w:t>
      </w:r>
      <w:r w:rsidRPr="00882F11">
        <w:rPr>
          <w:rFonts w:cs="Guttman Drogolin"/>
          <w:rtl/>
          <w:lang w:bidi="he-IL"/>
        </w:rPr>
        <w:t xml:space="preserve"> </w:t>
      </w:r>
      <w:r w:rsidR="00F2219F" w:rsidRPr="00882F11">
        <w:rPr>
          <w:rFonts w:cs="Guttman Drogolin" w:hint="cs"/>
          <w:rtl/>
          <w:lang w:bidi="he-IL"/>
        </w:rPr>
        <w:t>ב</w:t>
      </w:r>
      <w:r w:rsidRPr="00882F11">
        <w:rPr>
          <w:rFonts w:cs="Guttman Drogolin" w:hint="cs"/>
          <w:rtl/>
          <w:lang w:bidi="he-IL"/>
        </w:rPr>
        <w:t>סי</w:t>
      </w:r>
      <w:r w:rsidRPr="00882F11">
        <w:rPr>
          <w:rFonts w:cs="Guttman Drogolin"/>
          <w:rtl/>
          <w:lang w:bidi="he-IL"/>
        </w:rPr>
        <w:t xml:space="preserve">' </w:t>
      </w:r>
      <w:r w:rsidRPr="00882F11">
        <w:rPr>
          <w:rFonts w:cs="Guttman Drogolin" w:hint="cs"/>
          <w:rtl/>
          <w:lang w:bidi="he-IL"/>
        </w:rPr>
        <w:t>קל</w:t>
      </w:r>
      <w:r w:rsidRPr="00882F11">
        <w:rPr>
          <w:rFonts w:cs="Guttman Drogolin"/>
          <w:rtl/>
          <w:lang w:bidi="he-IL"/>
        </w:rPr>
        <w:t>"</w:t>
      </w:r>
      <w:r w:rsidRPr="00882F11">
        <w:rPr>
          <w:rFonts w:cs="Guttman Drogolin" w:hint="cs"/>
          <w:rtl/>
          <w:lang w:bidi="he-IL"/>
        </w:rPr>
        <w:t>ד</w:t>
      </w:r>
      <w:r w:rsidRPr="00882F11">
        <w:rPr>
          <w:rFonts w:cs="Guttman Drogolin"/>
          <w:rtl/>
          <w:lang w:bidi="he-IL"/>
        </w:rPr>
        <w:t xml:space="preserve"> </w:t>
      </w:r>
      <w:r w:rsidRPr="00882F11">
        <w:rPr>
          <w:rFonts w:cs="Guttman Drogolin" w:hint="cs"/>
          <w:rtl/>
          <w:lang w:bidi="he-IL"/>
        </w:rPr>
        <w:t>סי</w:t>
      </w:r>
      <w:r w:rsidRPr="00882F11">
        <w:rPr>
          <w:rFonts w:cs="Guttman Drogolin"/>
          <w:rtl/>
          <w:lang w:bidi="he-IL"/>
        </w:rPr>
        <w:t>"</w:t>
      </w:r>
      <w:r w:rsidRPr="00882F11">
        <w:rPr>
          <w:rFonts w:cs="Guttman Drogolin" w:hint="cs"/>
          <w:rtl/>
          <w:lang w:bidi="he-IL"/>
        </w:rPr>
        <w:t>ב</w:t>
      </w:r>
      <w:r w:rsidR="00F2219F" w:rsidRPr="00882F11">
        <w:rPr>
          <w:rFonts w:cs="Guttman Drogolin" w:hint="cs"/>
          <w:rtl/>
          <w:lang w:bidi="he-IL"/>
        </w:rPr>
        <w:t>.</w:t>
      </w:r>
      <w:r w:rsidRPr="00882F11">
        <w:rPr>
          <w:rFonts w:cs="Guttman Drogolin"/>
          <w:rtl/>
          <w:lang w:bidi="he-IL"/>
        </w:rPr>
        <w:t xml:space="preserve"> </w:t>
      </w:r>
      <w:r w:rsidR="00F2219F" w:rsidRPr="00882F11">
        <w:rPr>
          <w:rFonts w:cs="Guttman Drogolin" w:hint="cs"/>
          <w:rtl/>
          <w:lang w:bidi="he-IL"/>
        </w:rPr>
        <w:t>והא דאסרינן</w:t>
      </w:r>
      <w:r w:rsidRPr="00882F11">
        <w:rPr>
          <w:rFonts w:cs="Guttman Drogolin"/>
          <w:rtl/>
          <w:lang w:bidi="he-IL"/>
        </w:rPr>
        <w:t xml:space="preserve"> </w:t>
      </w:r>
      <w:r w:rsidR="00F2219F" w:rsidRPr="00882F11">
        <w:rPr>
          <w:rFonts w:cs="Guttman Drogolin" w:hint="cs"/>
          <w:rtl/>
          <w:lang w:bidi="he-IL"/>
        </w:rPr>
        <w:t>כש</w:t>
      </w:r>
      <w:r w:rsidRPr="00882F11">
        <w:rPr>
          <w:rFonts w:cs="Guttman Drogolin" w:hint="cs"/>
          <w:rtl/>
          <w:lang w:bidi="he-IL"/>
        </w:rPr>
        <w:t>אין</w:t>
      </w:r>
      <w:r w:rsidRPr="00882F11">
        <w:rPr>
          <w:rFonts w:cs="Guttman Drogolin"/>
          <w:rtl/>
          <w:lang w:bidi="he-IL"/>
        </w:rPr>
        <w:t xml:space="preserve"> </w:t>
      </w:r>
      <w:r w:rsidRPr="00882F11">
        <w:rPr>
          <w:rFonts w:cs="Guttman Drogolin" w:hint="cs"/>
          <w:rtl/>
          <w:lang w:bidi="he-IL"/>
        </w:rPr>
        <w:t>במים</w:t>
      </w:r>
      <w:r w:rsidRPr="00882F11">
        <w:rPr>
          <w:rFonts w:cs="Guttman Drogolin"/>
          <w:rtl/>
          <w:lang w:bidi="he-IL"/>
        </w:rPr>
        <w:t xml:space="preserve"> </w:t>
      </w:r>
      <w:r w:rsidRPr="00882F11">
        <w:rPr>
          <w:rFonts w:cs="Guttman Drogolin" w:hint="cs"/>
          <w:rtl/>
          <w:lang w:bidi="he-IL"/>
        </w:rPr>
        <w:t>ס</w:t>
      </w:r>
      <w:r w:rsidRPr="00882F11">
        <w:rPr>
          <w:rFonts w:cs="Guttman Drogolin"/>
          <w:rtl/>
          <w:lang w:bidi="he-IL"/>
        </w:rPr>
        <w:t xml:space="preserve">' </w:t>
      </w:r>
      <w:r w:rsidR="00F2219F" w:rsidRPr="00882F11">
        <w:rPr>
          <w:rFonts w:cs="Guttman Drogolin" w:hint="cs"/>
          <w:rtl/>
          <w:lang w:bidi="he-IL"/>
        </w:rPr>
        <w:t>היינו משום ד</w:t>
      </w:r>
      <w:r w:rsidRPr="00882F11">
        <w:rPr>
          <w:rFonts w:cs="Guttman Drogolin" w:hint="cs"/>
          <w:rtl/>
          <w:lang w:bidi="he-IL"/>
        </w:rPr>
        <w:t>חיישינן</w:t>
      </w:r>
      <w:r w:rsidRPr="00882F11">
        <w:rPr>
          <w:rFonts w:cs="Guttman Drogolin"/>
          <w:rtl/>
          <w:lang w:bidi="he-IL"/>
        </w:rPr>
        <w:t xml:space="preserve"> </w:t>
      </w:r>
      <w:r w:rsidRPr="00882F11">
        <w:rPr>
          <w:rFonts w:cs="Guttman Drogolin" w:hint="cs"/>
          <w:rtl/>
          <w:lang w:bidi="he-IL"/>
        </w:rPr>
        <w:t>שיצא</w:t>
      </w:r>
      <w:r w:rsidRPr="00882F11">
        <w:rPr>
          <w:rFonts w:cs="Guttman Drogolin"/>
          <w:rtl/>
          <w:lang w:bidi="he-IL"/>
        </w:rPr>
        <w:t xml:space="preserve"> </w:t>
      </w:r>
      <w:r w:rsidRPr="00882F11">
        <w:rPr>
          <w:rFonts w:cs="Guttman Drogolin" w:hint="cs"/>
          <w:rtl/>
          <w:lang w:bidi="he-IL"/>
        </w:rPr>
        <w:t>מהאיסור</w:t>
      </w:r>
      <w:r w:rsidRPr="00882F11">
        <w:rPr>
          <w:rFonts w:cs="Guttman Drogolin"/>
          <w:rtl/>
          <w:lang w:bidi="he-IL"/>
        </w:rPr>
        <w:t xml:space="preserve"> </w:t>
      </w:r>
      <w:r w:rsidRPr="00882F11">
        <w:rPr>
          <w:rFonts w:cs="Guttman Drogolin" w:hint="cs"/>
          <w:rtl/>
          <w:lang w:bidi="he-IL"/>
        </w:rPr>
        <w:t>לחוץ</w:t>
      </w:r>
      <w:r w:rsidRPr="00882F11">
        <w:rPr>
          <w:rFonts w:cs="Guttman Drogolin"/>
          <w:rtl/>
          <w:lang w:bidi="he-IL"/>
        </w:rPr>
        <w:t xml:space="preserve"> </w:t>
      </w:r>
      <w:r w:rsidRPr="00882F11">
        <w:rPr>
          <w:rFonts w:cs="Guttman Drogolin" w:hint="cs"/>
          <w:rtl/>
          <w:lang w:bidi="he-IL"/>
        </w:rPr>
        <w:t>וכיון</w:t>
      </w:r>
      <w:r w:rsidRPr="00882F11">
        <w:rPr>
          <w:rFonts w:cs="Guttman Drogolin"/>
          <w:rtl/>
          <w:lang w:bidi="he-IL"/>
        </w:rPr>
        <w:t xml:space="preserve"> </w:t>
      </w:r>
      <w:r w:rsidRPr="00882F11">
        <w:rPr>
          <w:rFonts w:cs="Guttman Drogolin" w:hint="cs"/>
          <w:rtl/>
          <w:lang w:bidi="he-IL"/>
        </w:rPr>
        <w:t>דהאיסור</w:t>
      </w:r>
      <w:r w:rsidRPr="00882F11">
        <w:rPr>
          <w:rFonts w:cs="Guttman Drogolin"/>
          <w:rtl/>
          <w:lang w:bidi="he-IL"/>
        </w:rPr>
        <w:t xml:space="preserve"> </w:t>
      </w:r>
      <w:r w:rsidRPr="00882F11">
        <w:rPr>
          <w:rFonts w:cs="Guttman Drogolin" w:hint="cs"/>
          <w:rtl/>
          <w:lang w:bidi="he-IL"/>
        </w:rPr>
        <w:t>רגע</w:t>
      </w:r>
      <w:r w:rsidRPr="00882F11">
        <w:rPr>
          <w:rFonts w:cs="Guttman Drogolin"/>
          <w:rtl/>
          <w:lang w:bidi="he-IL"/>
        </w:rPr>
        <w:t xml:space="preserve"> </w:t>
      </w:r>
      <w:r w:rsidRPr="00882F11">
        <w:rPr>
          <w:rFonts w:cs="Guttman Drogolin" w:hint="cs"/>
          <w:rtl/>
          <w:lang w:bidi="he-IL"/>
        </w:rPr>
        <w:t>א</w:t>
      </w:r>
      <w:r w:rsidRPr="00882F11">
        <w:rPr>
          <w:rFonts w:cs="Guttman Drogolin"/>
          <w:rtl/>
          <w:lang w:bidi="he-IL"/>
        </w:rPr>
        <w:t xml:space="preserve">' </w:t>
      </w:r>
      <w:r w:rsidRPr="00882F11">
        <w:rPr>
          <w:rFonts w:cs="Guttman Drogolin" w:hint="cs"/>
          <w:rtl/>
          <w:lang w:bidi="he-IL"/>
        </w:rPr>
        <w:t>חוץ</w:t>
      </w:r>
      <w:r w:rsidRPr="00882F11">
        <w:rPr>
          <w:rFonts w:cs="Guttman Drogolin"/>
          <w:rtl/>
          <w:lang w:bidi="he-IL"/>
        </w:rPr>
        <w:t xml:space="preserve"> </w:t>
      </w:r>
      <w:r w:rsidRPr="00882F11">
        <w:rPr>
          <w:rFonts w:cs="Guttman Drogolin" w:hint="cs"/>
          <w:rtl/>
          <w:lang w:bidi="he-IL"/>
        </w:rPr>
        <w:t>לקדירה</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מפגם</w:t>
      </w:r>
      <w:r w:rsidRPr="00882F11">
        <w:rPr>
          <w:rFonts w:cs="Guttman Drogolin"/>
          <w:rtl/>
          <w:lang w:bidi="he-IL"/>
        </w:rPr>
        <w:t xml:space="preserve"> </w:t>
      </w:r>
      <w:r w:rsidR="00F2219F" w:rsidRPr="00882F11">
        <w:rPr>
          <w:rFonts w:cs="Guttman Drogolin" w:hint="cs"/>
          <w:rtl/>
          <w:lang w:bidi="he-IL"/>
        </w:rPr>
        <w:t xml:space="preserve">(ע' </w:t>
      </w:r>
      <w:r w:rsidRPr="00882F11">
        <w:rPr>
          <w:rFonts w:cs="Guttman Drogolin" w:hint="cs"/>
          <w:rtl/>
          <w:lang w:bidi="he-IL"/>
        </w:rPr>
        <w:t>ש</w:t>
      </w:r>
      <w:r w:rsidRPr="00882F11">
        <w:rPr>
          <w:rFonts w:cs="Guttman Drogolin"/>
          <w:rtl/>
          <w:lang w:bidi="he-IL"/>
        </w:rPr>
        <w:t>"</w:t>
      </w:r>
      <w:r w:rsidRPr="00882F11">
        <w:rPr>
          <w:rFonts w:cs="Guttman Drogolin" w:hint="cs"/>
          <w:rtl/>
          <w:lang w:bidi="he-IL"/>
        </w:rPr>
        <w:t>ך</w:t>
      </w:r>
      <w:r w:rsidRPr="00882F11">
        <w:rPr>
          <w:rFonts w:cs="Guttman Drogolin"/>
          <w:rtl/>
          <w:lang w:bidi="he-IL"/>
        </w:rPr>
        <w:t xml:space="preserve"> </w:t>
      </w:r>
      <w:r w:rsidR="00F2219F" w:rsidRPr="00882F11">
        <w:rPr>
          <w:rFonts w:cs="Guttman Drogolin" w:hint="cs"/>
          <w:rtl/>
          <w:lang w:bidi="he-IL"/>
        </w:rPr>
        <w:t xml:space="preserve">סי' צ"ד </w:t>
      </w:r>
      <w:r w:rsidRPr="00882F11">
        <w:rPr>
          <w:rFonts w:cs="Guttman Drogolin" w:hint="cs"/>
          <w:rtl/>
          <w:lang w:bidi="he-IL"/>
        </w:rPr>
        <w:t>ס</w:t>
      </w:r>
      <w:r w:rsidRPr="00882F11">
        <w:rPr>
          <w:rFonts w:cs="Guttman Drogolin"/>
          <w:rtl/>
          <w:lang w:bidi="he-IL"/>
        </w:rPr>
        <w:t>"</w:t>
      </w:r>
      <w:r w:rsidRPr="00882F11">
        <w:rPr>
          <w:rFonts w:cs="Guttman Drogolin" w:hint="cs"/>
          <w:rtl/>
          <w:lang w:bidi="he-IL"/>
        </w:rPr>
        <w:t>ק</w:t>
      </w:r>
      <w:r w:rsidRPr="00882F11">
        <w:rPr>
          <w:rFonts w:cs="Guttman Drogolin"/>
          <w:rtl/>
          <w:lang w:bidi="he-IL"/>
        </w:rPr>
        <w:t xml:space="preserve"> </w:t>
      </w:r>
      <w:r w:rsidRPr="00882F11">
        <w:rPr>
          <w:rFonts w:cs="Guttman Drogolin" w:hint="cs"/>
          <w:rtl/>
          <w:lang w:bidi="he-IL"/>
        </w:rPr>
        <w:t>כ</w:t>
      </w:r>
      <w:r w:rsidRPr="00882F11">
        <w:rPr>
          <w:rFonts w:cs="Guttman Drogolin"/>
          <w:rtl/>
          <w:lang w:bidi="he-IL"/>
        </w:rPr>
        <w:t>"</w:t>
      </w:r>
      <w:r w:rsidRPr="00882F11">
        <w:rPr>
          <w:rFonts w:cs="Guttman Drogolin" w:hint="cs"/>
          <w:rtl/>
          <w:lang w:bidi="he-IL"/>
        </w:rPr>
        <w:t>ב</w:t>
      </w:r>
      <w:r w:rsidRPr="00882F11">
        <w:rPr>
          <w:rFonts w:cs="Guttman Drogolin"/>
          <w:rtl/>
          <w:lang w:bidi="he-IL"/>
        </w:rPr>
        <w:t>)</w:t>
      </w:r>
      <w:r w:rsidR="00F2219F" w:rsidRPr="00882F11">
        <w:rPr>
          <w:rFonts w:cs="Guttman Drogolin" w:hint="cs"/>
          <w:rtl/>
          <w:lang w:bidi="he-IL"/>
        </w:rPr>
        <w:t xml:space="preserve">. והוסיף שיש להתיר גם משום סברות התורה"ד הנ"ל. </w:t>
      </w:r>
    </w:p>
    <w:p w:rsidR="00F2219F" w:rsidRPr="00882F11" w:rsidRDefault="00F2219F" w:rsidP="0078079C">
      <w:pPr>
        <w:pStyle w:val="Heading1"/>
        <w:bidi/>
        <w:spacing w:before="0" w:line="360" w:lineRule="auto"/>
        <w:jc w:val="center"/>
        <w:rPr>
          <w:rFonts w:cs="Guttman Drogolin"/>
          <w:color w:val="auto"/>
          <w:sz w:val="24"/>
          <w:szCs w:val="24"/>
          <w:u w:val="single"/>
          <w:rtl/>
          <w:lang w:bidi="he-IL"/>
        </w:rPr>
      </w:pPr>
      <w:bookmarkStart w:id="243" w:name="_Toc496175498"/>
      <w:r w:rsidRPr="00882F11">
        <w:rPr>
          <w:rFonts w:cs="Guttman Drogolin" w:hint="cs"/>
          <w:color w:val="auto"/>
          <w:sz w:val="24"/>
          <w:szCs w:val="24"/>
          <w:u w:val="single"/>
          <w:rtl/>
          <w:lang w:bidi="he-IL"/>
        </w:rPr>
        <w:t>הנאה מן הקדרה שנאסרה</w:t>
      </w:r>
      <w:bookmarkEnd w:id="243"/>
    </w:p>
    <w:p w:rsidR="006770E7" w:rsidRPr="00882F11" w:rsidRDefault="00067BF7" w:rsidP="004D5D27">
      <w:pPr>
        <w:tabs>
          <w:tab w:val="right" w:pos="7497"/>
        </w:tabs>
        <w:bidi/>
        <w:jc w:val="both"/>
        <w:rPr>
          <w:rFonts w:cs="Guttman Drogolin"/>
          <w:rtl/>
          <w:lang w:bidi="he-IL"/>
        </w:rPr>
      </w:pPr>
      <w:r>
        <w:rPr>
          <w:rFonts w:cs="Guttman Drogolin"/>
          <w:rtl/>
          <w:lang w:bidi="he-IL"/>
        </w:rPr>
        <w:fldChar w:fldCharType="begin"/>
      </w:r>
      <w:r>
        <w:instrText xml:space="preserve"> XE "</w:instrText>
      </w:r>
      <w:r w:rsidRPr="00B44F6A">
        <w:rPr>
          <w:rFonts w:hint="cs"/>
          <w:rtl/>
          <w:lang w:bidi="he-IL"/>
        </w:rPr>
        <w:instrText>בשר בחלב - איסור הנאה</w:instrText>
      </w:r>
      <w:r w:rsidRPr="00B44F6A">
        <w:rPr>
          <w:rtl/>
        </w:rPr>
        <w:instrText>:</w:instrText>
      </w:r>
      <w:r w:rsidRPr="00B44F6A">
        <w:rPr>
          <w:rFonts w:hint="cs"/>
          <w:rtl/>
          <w:lang w:bidi="he-IL"/>
        </w:rPr>
        <w:instrText>מן הקדרה שבישלו בה</w:instrText>
      </w:r>
      <w:r>
        <w:instrText xml:space="preserve">" </w:instrText>
      </w:r>
      <w:r>
        <w:rPr>
          <w:rFonts w:cs="Guttman Drogolin"/>
          <w:rtl/>
          <w:lang w:bidi="he-IL"/>
        </w:rPr>
        <w:fldChar w:fldCharType="end"/>
      </w:r>
      <w:r w:rsidR="006770E7" w:rsidRPr="00882F11">
        <w:rPr>
          <w:rFonts w:cs="Guttman Drogolin" w:hint="cs"/>
          <w:rtl/>
          <w:lang w:bidi="he-IL"/>
        </w:rPr>
        <w:t>כתוב בשו"ע סע' ד' "ואם</w:t>
      </w:r>
      <w:r w:rsidR="006770E7" w:rsidRPr="00882F11">
        <w:rPr>
          <w:rFonts w:cs="Guttman Drogolin"/>
          <w:rtl/>
          <w:lang w:bidi="he-IL"/>
        </w:rPr>
        <w:t xml:space="preserve"> </w:t>
      </w:r>
      <w:r w:rsidR="006770E7" w:rsidRPr="00882F11">
        <w:rPr>
          <w:rFonts w:cs="Guttman Drogolin" w:hint="cs"/>
          <w:rtl/>
          <w:lang w:bidi="he-IL"/>
        </w:rPr>
        <w:t>אין</w:t>
      </w:r>
      <w:r w:rsidR="006770E7" w:rsidRPr="00882F11">
        <w:rPr>
          <w:rFonts w:cs="Guttman Drogolin"/>
          <w:rtl/>
          <w:lang w:bidi="he-IL"/>
        </w:rPr>
        <w:t xml:space="preserve"> </w:t>
      </w:r>
      <w:r w:rsidR="006770E7" w:rsidRPr="00882F11">
        <w:rPr>
          <w:rFonts w:cs="Guttman Drogolin" w:hint="cs"/>
          <w:rtl/>
          <w:lang w:bidi="he-IL"/>
        </w:rPr>
        <w:t>ס</w:t>
      </w:r>
      <w:r w:rsidR="006770E7" w:rsidRPr="00882F11">
        <w:rPr>
          <w:rFonts w:cs="Guttman Drogolin"/>
          <w:rtl/>
          <w:lang w:bidi="he-IL"/>
        </w:rPr>
        <w:t>'</w:t>
      </w:r>
      <w:r w:rsidR="006770E7" w:rsidRPr="00882F11">
        <w:rPr>
          <w:rFonts w:cs="Guttman Drogolin" w:hint="cs"/>
          <w:rtl/>
          <w:lang w:bidi="he-IL"/>
        </w:rPr>
        <w:t xml:space="preserve"> [בתבשיל נגד הכף]</w:t>
      </w:r>
      <w:r w:rsidR="006770E7" w:rsidRPr="00882F11">
        <w:rPr>
          <w:rFonts w:cs="Guttman Drogolin"/>
          <w:rtl/>
          <w:lang w:bidi="he-IL"/>
        </w:rPr>
        <w:t xml:space="preserve"> </w:t>
      </w:r>
      <w:r w:rsidR="006770E7" w:rsidRPr="00882F11">
        <w:rPr>
          <w:rFonts w:cs="Guttman Drogolin" w:hint="cs"/>
          <w:rtl/>
          <w:lang w:bidi="he-IL"/>
        </w:rPr>
        <w:t>הכל</w:t>
      </w:r>
      <w:r w:rsidR="006770E7" w:rsidRPr="00882F11">
        <w:rPr>
          <w:rFonts w:cs="Guttman Drogolin"/>
          <w:rtl/>
          <w:lang w:bidi="he-IL"/>
        </w:rPr>
        <w:t xml:space="preserve"> </w:t>
      </w:r>
      <w:r w:rsidR="006770E7" w:rsidRPr="00882F11">
        <w:rPr>
          <w:rFonts w:cs="Guttman Drogolin" w:hint="cs"/>
          <w:rtl/>
          <w:lang w:bidi="he-IL"/>
        </w:rPr>
        <w:t>אסור</w:t>
      </w:r>
      <w:r w:rsidR="006770E7" w:rsidRPr="00882F11">
        <w:rPr>
          <w:rFonts w:cs="Guttman Drogolin"/>
          <w:rtl/>
          <w:lang w:bidi="he-IL"/>
        </w:rPr>
        <w:t xml:space="preserve"> </w:t>
      </w:r>
      <w:r w:rsidR="006770E7" w:rsidRPr="00882F11">
        <w:rPr>
          <w:rFonts w:cs="Guttman Drogolin" w:hint="cs"/>
          <w:rtl/>
          <w:lang w:bidi="he-IL"/>
        </w:rPr>
        <w:t>בהנאה</w:t>
      </w:r>
      <w:r w:rsidR="006770E7" w:rsidRPr="00882F11">
        <w:rPr>
          <w:rFonts w:cs="Guttman Drogolin"/>
          <w:rtl/>
          <w:lang w:bidi="he-IL"/>
        </w:rPr>
        <w:t xml:space="preserve"> </w:t>
      </w:r>
      <w:r w:rsidR="006770E7" w:rsidRPr="00882F11">
        <w:rPr>
          <w:rFonts w:cs="Guttman Drogolin" w:hint="cs"/>
          <w:rtl/>
          <w:lang w:bidi="he-IL"/>
        </w:rPr>
        <w:t>אפילו</w:t>
      </w:r>
      <w:r w:rsidR="006770E7" w:rsidRPr="00882F11">
        <w:rPr>
          <w:rFonts w:cs="Guttman Drogolin"/>
          <w:rtl/>
          <w:lang w:bidi="he-IL"/>
        </w:rPr>
        <w:t xml:space="preserve"> </w:t>
      </w:r>
      <w:r w:rsidR="006770E7" w:rsidRPr="00882F11">
        <w:rPr>
          <w:rFonts w:cs="Guttman Drogolin" w:hint="cs"/>
          <w:rtl/>
          <w:lang w:bidi="he-IL"/>
        </w:rPr>
        <w:t>הקדירה</w:t>
      </w:r>
      <w:r w:rsidR="006770E7" w:rsidRPr="00882F11">
        <w:rPr>
          <w:rFonts w:cs="Guttman Drogolin"/>
          <w:rtl/>
          <w:lang w:bidi="he-IL"/>
        </w:rPr>
        <w:t xml:space="preserve"> </w:t>
      </w:r>
      <w:r w:rsidR="006770E7" w:rsidRPr="00882F11">
        <w:rPr>
          <w:rFonts w:cs="Guttman Drogolin" w:hint="cs"/>
          <w:rtl/>
          <w:lang w:bidi="he-IL"/>
        </w:rPr>
        <w:t>אך</w:t>
      </w:r>
      <w:r w:rsidR="006770E7" w:rsidRPr="00882F11">
        <w:rPr>
          <w:rFonts w:cs="Guttman Drogolin"/>
          <w:rtl/>
          <w:lang w:bidi="he-IL"/>
        </w:rPr>
        <w:t xml:space="preserve"> </w:t>
      </w:r>
      <w:r w:rsidR="006770E7" w:rsidRPr="00882F11">
        <w:rPr>
          <w:rFonts w:cs="Guttman Drogolin" w:hint="cs"/>
          <w:rtl/>
          <w:lang w:bidi="he-IL"/>
        </w:rPr>
        <w:t>מותר</w:t>
      </w:r>
      <w:r w:rsidR="006770E7" w:rsidRPr="00882F11">
        <w:rPr>
          <w:rFonts w:cs="Guttman Drogolin"/>
          <w:rtl/>
          <w:lang w:bidi="he-IL"/>
        </w:rPr>
        <w:t xml:space="preserve"> </w:t>
      </w:r>
      <w:r w:rsidR="006770E7" w:rsidRPr="00882F11">
        <w:rPr>
          <w:rFonts w:cs="Guttman Drogolin" w:hint="cs"/>
          <w:rtl/>
          <w:lang w:bidi="he-IL"/>
        </w:rPr>
        <w:t>לתת</w:t>
      </w:r>
      <w:r w:rsidR="006770E7" w:rsidRPr="00882F11">
        <w:rPr>
          <w:rFonts w:cs="Guttman Drogolin"/>
          <w:rtl/>
          <w:lang w:bidi="he-IL"/>
        </w:rPr>
        <w:t xml:space="preserve"> </w:t>
      </w:r>
      <w:r w:rsidR="006770E7" w:rsidRPr="00882F11">
        <w:rPr>
          <w:rFonts w:cs="Guttman Drogolin" w:hint="cs"/>
          <w:rtl/>
          <w:lang w:bidi="he-IL"/>
        </w:rPr>
        <w:t>לתוכה</w:t>
      </w:r>
      <w:r w:rsidR="006770E7" w:rsidRPr="00882F11">
        <w:rPr>
          <w:rFonts w:cs="Guttman Drogolin"/>
          <w:rtl/>
          <w:lang w:bidi="he-IL"/>
        </w:rPr>
        <w:t xml:space="preserve"> </w:t>
      </w:r>
      <w:r w:rsidR="006770E7" w:rsidRPr="00882F11">
        <w:rPr>
          <w:rFonts w:cs="Guttman Drogolin" w:hint="cs"/>
          <w:rtl/>
          <w:lang w:bidi="he-IL"/>
        </w:rPr>
        <w:t>פירות</w:t>
      </w:r>
      <w:r w:rsidR="006770E7" w:rsidRPr="00882F11">
        <w:rPr>
          <w:rFonts w:cs="Guttman Drogolin"/>
          <w:rtl/>
          <w:lang w:bidi="he-IL"/>
        </w:rPr>
        <w:t xml:space="preserve"> </w:t>
      </w:r>
      <w:r w:rsidR="006770E7" w:rsidRPr="00882F11">
        <w:rPr>
          <w:rFonts w:cs="Guttman Drogolin" w:hint="cs"/>
          <w:rtl/>
          <w:lang w:bidi="he-IL"/>
        </w:rPr>
        <w:t>או</w:t>
      </w:r>
      <w:r w:rsidR="006770E7" w:rsidRPr="00882F11">
        <w:rPr>
          <w:rFonts w:cs="Guttman Drogolin"/>
          <w:rtl/>
          <w:lang w:bidi="he-IL"/>
        </w:rPr>
        <w:t xml:space="preserve"> </w:t>
      </w:r>
      <w:r w:rsidR="006770E7" w:rsidRPr="00882F11">
        <w:rPr>
          <w:rFonts w:cs="Guttman Drogolin" w:hint="cs"/>
          <w:rtl/>
          <w:lang w:bidi="he-IL"/>
        </w:rPr>
        <w:t>צונן</w:t>
      </w:r>
      <w:r w:rsidR="006770E7" w:rsidRPr="00882F11">
        <w:rPr>
          <w:rFonts w:cs="Guttman Drogolin"/>
          <w:rtl/>
          <w:lang w:bidi="he-IL"/>
        </w:rPr>
        <w:t xml:space="preserve"> </w:t>
      </w:r>
      <w:r w:rsidR="006770E7" w:rsidRPr="00882F11">
        <w:rPr>
          <w:rFonts w:cs="Guttman Drogolin" w:hint="cs"/>
          <w:rtl/>
          <w:lang w:bidi="he-IL"/>
        </w:rPr>
        <w:t>כיון</w:t>
      </w:r>
      <w:r w:rsidR="006770E7" w:rsidRPr="00882F11">
        <w:rPr>
          <w:rFonts w:cs="Guttman Drogolin"/>
          <w:rtl/>
          <w:lang w:bidi="he-IL"/>
        </w:rPr>
        <w:t xml:space="preserve"> </w:t>
      </w:r>
      <w:r w:rsidR="006770E7" w:rsidRPr="00882F11">
        <w:rPr>
          <w:rFonts w:cs="Guttman Drogolin" w:hint="cs"/>
          <w:rtl/>
          <w:lang w:bidi="he-IL"/>
        </w:rPr>
        <w:t>שאינו</w:t>
      </w:r>
      <w:r w:rsidR="006770E7" w:rsidRPr="00882F11">
        <w:rPr>
          <w:rFonts w:cs="Guttman Drogolin"/>
          <w:rtl/>
          <w:lang w:bidi="he-IL"/>
        </w:rPr>
        <w:t xml:space="preserve"> </w:t>
      </w:r>
      <w:r w:rsidR="006770E7" w:rsidRPr="00882F11">
        <w:rPr>
          <w:rFonts w:cs="Guttman Drogolin" w:hint="cs"/>
          <w:rtl/>
          <w:lang w:bidi="he-IL"/>
        </w:rPr>
        <w:t>נהנה</w:t>
      </w:r>
      <w:r w:rsidR="006770E7" w:rsidRPr="00882F11">
        <w:rPr>
          <w:rFonts w:cs="Guttman Drogolin"/>
          <w:rtl/>
          <w:lang w:bidi="he-IL"/>
        </w:rPr>
        <w:t xml:space="preserve"> </w:t>
      </w:r>
      <w:r w:rsidR="006770E7" w:rsidRPr="00882F11">
        <w:rPr>
          <w:rFonts w:cs="Guttman Drogolin" w:hint="cs"/>
          <w:rtl/>
          <w:lang w:bidi="he-IL"/>
        </w:rPr>
        <w:t>מגוף</w:t>
      </w:r>
      <w:r w:rsidR="006770E7" w:rsidRPr="00882F11">
        <w:rPr>
          <w:rFonts w:cs="Guttman Drogolin"/>
          <w:rtl/>
          <w:lang w:bidi="he-IL"/>
        </w:rPr>
        <w:t xml:space="preserve"> </w:t>
      </w:r>
      <w:r w:rsidR="006770E7" w:rsidRPr="00882F11">
        <w:rPr>
          <w:rFonts w:cs="Guttman Drogolin" w:hint="cs"/>
          <w:rtl/>
          <w:lang w:bidi="he-IL"/>
        </w:rPr>
        <w:t xml:space="preserve">האיסור". ויל"ע כוונת השו"ע בהא שהכל אסור בהנאה אפילו הקדרה, הא השו"ע מסיים שמותר לתת לתוכו פירות או צונן, ופירשו התו"כ דהיינו אפילו דבר לח (והחידוש בדבר לח הוא שנהנה יותר מעצם הכלי כיון שצריכים כלי כדי להחזיר דבר לח משא"כ בדבר גוש). ולכאורה מבואר במג"א בסי' ת"נ ס"ק י"ב שהכוונה שאסור למכור הכלי לנכרי כיון שע"י זה נהנה מן הבלוע בכלי. ותמה בזה הבית מאיר כאן (בגליון השו"ע) דלמה יהא אסור למכור הכלי כיון שאינו מעלהו בדמים </w:t>
      </w:r>
      <w:r w:rsidR="006770E7" w:rsidRPr="00882F11">
        <w:rPr>
          <w:rFonts w:cs="Guttman Drogolin" w:hint="cs"/>
          <w:rtl/>
          <w:lang w:bidi="he-IL"/>
        </w:rPr>
        <w:lastRenderedPageBreak/>
        <w:t>משום שבלע הבב"ח. ולכן נטה הבית מאיר לומר שאין כוונת השו"ע לומר שהכלי באמת נאסר בהנאה, רק שהוא בדרך זה, שהכל אסור אפילו הקדרה, והמאכל אסור אסור אפילו בהנאה. ולכאורה זהו דוחק בלשון המחבר.</w:t>
      </w:r>
    </w:p>
    <w:p w:rsidR="006770E7" w:rsidRPr="00882F11" w:rsidRDefault="006770E7" w:rsidP="006770E7">
      <w:pPr>
        <w:tabs>
          <w:tab w:val="right" w:pos="7497"/>
        </w:tabs>
        <w:bidi/>
        <w:jc w:val="both"/>
        <w:rPr>
          <w:rFonts w:cs="Guttman Drogolin"/>
          <w:rtl/>
          <w:lang w:bidi="he-IL"/>
        </w:rPr>
      </w:pPr>
      <w:r w:rsidRPr="00882F11">
        <w:rPr>
          <w:rFonts w:cs="Guttman Drogolin" w:hint="cs"/>
          <w:rtl/>
          <w:lang w:bidi="he-IL"/>
        </w:rPr>
        <w:t xml:space="preserve">והי' נראה לכאורה שגם הש"ך התייחס לנקודה זו, דהא בס"ק י"א אמה שכתב השו"ע הכל אסור בהנאה אפילו הקדרה הביא דברי ההגהות אשרי </w:t>
      </w:r>
      <w:r w:rsidR="006C0551" w:rsidRPr="00882F11">
        <w:rPr>
          <w:rFonts w:cs="Guttman Drogolin" w:hint="cs"/>
          <w:rtl/>
          <w:lang w:bidi="he-IL"/>
        </w:rPr>
        <w:t xml:space="preserve">בשם או"ז </w:t>
      </w:r>
      <w:r w:rsidRPr="00882F11">
        <w:rPr>
          <w:rFonts w:cs="Guttman Drogolin" w:hint="cs"/>
          <w:rtl/>
          <w:lang w:bidi="he-IL"/>
        </w:rPr>
        <w:t>שאם בישל בקדרה אפילו אינו בת יומא צריך להוליך הנאה לים המלח. ולכאורה כוונתו בזה לבאר האיסור הנאה שיש בשו"ע גם על הקדרה. אבל דברי הגהות אשרי גופם צריכים ביאור, שאם הבליעות אינם בני יומם למה יצטרך להוליך הנאה לים המלח כיון שאינו נהנה מן הבבב"ח.</w:t>
      </w:r>
    </w:p>
    <w:p w:rsidR="006C0551" w:rsidRPr="00882F11" w:rsidRDefault="006770E7" w:rsidP="006770E7">
      <w:pPr>
        <w:tabs>
          <w:tab w:val="right" w:pos="7497"/>
        </w:tabs>
        <w:bidi/>
        <w:jc w:val="both"/>
        <w:rPr>
          <w:rFonts w:cs="Guttman Drogolin"/>
          <w:rtl/>
          <w:lang w:bidi="he-IL"/>
        </w:rPr>
      </w:pPr>
      <w:r w:rsidRPr="00882F11">
        <w:rPr>
          <w:rFonts w:cs="Guttman Drogolin" w:hint="cs"/>
          <w:rtl/>
          <w:lang w:bidi="he-IL"/>
        </w:rPr>
        <w:t>ומצאתי בביאורים לס' בדי השולחן</w:t>
      </w:r>
      <w:r w:rsidR="006C0551" w:rsidRPr="00882F11">
        <w:rPr>
          <w:rFonts w:cs="Guttman Drogolin" w:hint="cs"/>
          <w:rtl/>
          <w:lang w:bidi="he-IL"/>
        </w:rPr>
        <w:t xml:space="preserve"> (סוף עמ' צ"ד ד"ה אך) שהביא ביאור א' דכיון שיש בליעות של בב"ח בדפני הקדרה (והבליעות לעצמן ראוים לגר וכדעת הרשב"א ועוד כמה ראשונים) הרי זה נותן דין איסור הנאה לכל הכלי. וע"ש שכתב שכן משמע מן הכרו"פ (כוונתו לס"ק ז'), אלא שהעיר שאם זהו הביאור הרי מבואר בשו"ע שאין זה אסור. ויתכן שכוונת הש"ך להביא דעת הא"ז אבל לא לפרש בזה דעת שו"ע ודלא כמש"כ, אבל אם כמו שדייקנו עדיין צ"ע.</w:t>
      </w:r>
    </w:p>
    <w:p w:rsidR="006C0551" w:rsidRPr="00882F11" w:rsidRDefault="006C0551" w:rsidP="006C0551">
      <w:pPr>
        <w:tabs>
          <w:tab w:val="right" w:pos="7497"/>
        </w:tabs>
        <w:bidi/>
        <w:jc w:val="both"/>
        <w:rPr>
          <w:rFonts w:cs="Guttman Drogolin"/>
          <w:rtl/>
          <w:lang w:bidi="he-IL"/>
        </w:rPr>
      </w:pPr>
      <w:r w:rsidRPr="00882F11">
        <w:rPr>
          <w:rFonts w:cs="Guttman Drogolin" w:hint="cs"/>
          <w:rtl/>
          <w:lang w:bidi="he-IL"/>
        </w:rPr>
        <w:t xml:space="preserve">ושם הביא עוד פי' והוא שנהנה בזה שהקדרה טעון בבליעות ולכן לא יבלע מן התבשיל שלאחר מכן. ויוצא נפק"מ במידת ההנאה, שלפי הביאור הראשון הוא כמה ישלם על תשמיש א' בקדרה, אבל לפי ביאור זה היינו שמשלם כמה שהי' מפסיד </w:t>
      </w:r>
      <w:r w:rsidRPr="00882F11">
        <w:rPr>
          <w:rFonts w:cs="Guttman Drogolin" w:hint="cs"/>
          <w:rtl/>
          <w:lang w:bidi="he-IL"/>
        </w:rPr>
        <w:lastRenderedPageBreak/>
        <w:t>מן התבשיל. ומ"מ לפי ביאור זה שפיר י"ל שזהו ג"כ דעת השו"ע.</w:t>
      </w:r>
    </w:p>
    <w:p w:rsidR="006C0551" w:rsidRPr="00882F11" w:rsidRDefault="006C0551" w:rsidP="0078079C">
      <w:pPr>
        <w:pStyle w:val="Heading1"/>
        <w:bidi/>
        <w:spacing w:before="0" w:line="360" w:lineRule="auto"/>
        <w:jc w:val="center"/>
        <w:rPr>
          <w:rFonts w:cs="Guttman Drogolin"/>
          <w:color w:val="auto"/>
          <w:sz w:val="24"/>
          <w:szCs w:val="24"/>
          <w:u w:val="single"/>
          <w:rtl/>
          <w:lang w:bidi="he-IL"/>
        </w:rPr>
      </w:pPr>
      <w:bookmarkStart w:id="244" w:name="_Toc496175499"/>
      <w:r w:rsidRPr="00882F11">
        <w:rPr>
          <w:rFonts w:cs="Guttman Drogolin" w:hint="cs"/>
          <w:color w:val="auto"/>
          <w:sz w:val="24"/>
          <w:szCs w:val="24"/>
          <w:u w:val="single"/>
          <w:rtl/>
          <w:lang w:bidi="he-IL"/>
        </w:rPr>
        <w:t>אם יש איסור להאכיל בב"ח לאחרים</w:t>
      </w:r>
      <w:bookmarkEnd w:id="244"/>
    </w:p>
    <w:p w:rsidR="006C0551" w:rsidRPr="00882F11" w:rsidRDefault="003529B2" w:rsidP="006C0551">
      <w:pPr>
        <w:tabs>
          <w:tab w:val="right" w:pos="7497"/>
        </w:tabs>
        <w:bidi/>
        <w:jc w:val="both"/>
        <w:rPr>
          <w:rFonts w:cs="Guttman Drogolin"/>
          <w:rtl/>
          <w:lang w:bidi="he-IL"/>
        </w:rPr>
      </w:pPr>
      <w:r>
        <w:rPr>
          <w:rFonts w:cs="Guttman Drogolin"/>
          <w:rtl/>
          <w:lang w:bidi="he-IL"/>
        </w:rPr>
        <w:fldChar w:fldCharType="begin"/>
      </w:r>
      <w:r>
        <w:instrText xml:space="preserve"> XE "</w:instrText>
      </w:r>
      <w:r w:rsidRPr="00994FD4">
        <w:rPr>
          <w:rFonts w:hint="cs"/>
          <w:rtl/>
          <w:lang w:bidi="he-IL"/>
        </w:rPr>
        <w:instrText>בשר בחלב - איסור להאכילו לבהמה</w:instrText>
      </w:r>
      <w:r w:rsidRPr="00994FD4">
        <w:rPr>
          <w:rtl/>
        </w:rPr>
        <w:instrText>:</w:instrText>
      </w:r>
      <w:r w:rsidRPr="00994FD4">
        <w:rPr>
          <w:rFonts w:hint="cs"/>
          <w:rtl/>
          <w:lang w:bidi="he-IL"/>
        </w:rPr>
        <w:instrText>אם יש</w:instrText>
      </w:r>
      <w:r>
        <w:instrText xml:space="preserve">" </w:instrText>
      </w:r>
      <w:r>
        <w:rPr>
          <w:rFonts w:cs="Guttman Drogolin"/>
          <w:rtl/>
          <w:lang w:bidi="he-IL"/>
        </w:rPr>
        <w:fldChar w:fldCharType="end"/>
      </w:r>
      <w:r w:rsidR="006C0551" w:rsidRPr="00882F11">
        <w:rPr>
          <w:rFonts w:cs="Guttman Drogolin" w:hint="cs"/>
          <w:rtl/>
          <w:lang w:bidi="he-IL"/>
        </w:rPr>
        <w:t>הט"ז בס"ק ד' הביא מכמה פוסקים שבב"ח שאסור בהנאה לא מיבעי שאינו יכול להאכלו לכלבו אלא גם לבהמה של הפקר אין להאכילו וצריך להשליחו לבית הכסא. ומקור הדבר הוא דברי השו"ע באו"ח סי' תמ"ח סע' ו' "אסור</w:t>
      </w:r>
      <w:r w:rsidR="006C0551" w:rsidRPr="00882F11">
        <w:rPr>
          <w:rFonts w:cs="Guttman Drogolin"/>
          <w:rtl/>
          <w:lang w:bidi="he-IL"/>
        </w:rPr>
        <w:t xml:space="preserve"> </w:t>
      </w:r>
      <w:r w:rsidR="006C0551" w:rsidRPr="00882F11">
        <w:rPr>
          <w:rFonts w:cs="Guttman Drogolin" w:hint="cs"/>
          <w:rtl/>
          <w:lang w:bidi="he-IL"/>
        </w:rPr>
        <w:t>להאכיל</w:t>
      </w:r>
      <w:r w:rsidR="006C0551" w:rsidRPr="00882F11">
        <w:rPr>
          <w:rFonts w:cs="Guttman Drogolin"/>
          <w:rtl/>
          <w:lang w:bidi="he-IL"/>
        </w:rPr>
        <w:t xml:space="preserve"> </w:t>
      </w:r>
      <w:r w:rsidR="006C0551" w:rsidRPr="00882F11">
        <w:rPr>
          <w:rFonts w:cs="Guttman Drogolin" w:hint="cs"/>
          <w:rtl/>
          <w:lang w:bidi="he-IL"/>
        </w:rPr>
        <w:t>חמצו</w:t>
      </w:r>
      <w:r w:rsidR="006C0551" w:rsidRPr="00882F11">
        <w:rPr>
          <w:rFonts w:cs="Guttman Drogolin"/>
          <w:rtl/>
          <w:lang w:bidi="he-IL"/>
        </w:rPr>
        <w:t xml:space="preserve"> </w:t>
      </w:r>
      <w:r w:rsidR="006C0551" w:rsidRPr="00882F11">
        <w:rPr>
          <w:rFonts w:cs="Guttman Drogolin" w:hint="cs"/>
          <w:rtl/>
          <w:lang w:bidi="he-IL"/>
        </w:rPr>
        <w:t>בפסח</w:t>
      </w:r>
      <w:r w:rsidR="006C0551" w:rsidRPr="00882F11">
        <w:rPr>
          <w:rFonts w:cs="Guttman Drogolin"/>
          <w:rtl/>
          <w:lang w:bidi="he-IL"/>
        </w:rPr>
        <w:t xml:space="preserve"> </w:t>
      </w:r>
      <w:r w:rsidR="006C0551" w:rsidRPr="00882F11">
        <w:rPr>
          <w:rFonts w:cs="Guttman Drogolin" w:hint="cs"/>
          <w:rtl/>
          <w:lang w:bidi="he-IL"/>
        </w:rPr>
        <w:t>אפילו</w:t>
      </w:r>
      <w:r w:rsidR="006C0551" w:rsidRPr="00882F11">
        <w:rPr>
          <w:rFonts w:cs="Guttman Drogolin"/>
          <w:rtl/>
          <w:lang w:bidi="he-IL"/>
        </w:rPr>
        <w:t xml:space="preserve"> </w:t>
      </w:r>
      <w:r w:rsidR="006C0551" w:rsidRPr="00882F11">
        <w:rPr>
          <w:rFonts w:cs="Guttman Drogolin" w:hint="cs"/>
          <w:rtl/>
          <w:lang w:bidi="he-IL"/>
        </w:rPr>
        <w:t>לבהמת</w:t>
      </w:r>
      <w:r w:rsidR="006C0551" w:rsidRPr="00882F11">
        <w:rPr>
          <w:rFonts w:cs="Guttman Drogolin"/>
          <w:rtl/>
          <w:lang w:bidi="he-IL"/>
        </w:rPr>
        <w:t xml:space="preserve"> </w:t>
      </w:r>
      <w:r w:rsidR="006C0551" w:rsidRPr="00882F11">
        <w:rPr>
          <w:rFonts w:cs="Guttman Drogolin" w:hint="cs"/>
          <w:rtl/>
          <w:lang w:bidi="he-IL"/>
        </w:rPr>
        <w:t>אחרים</w:t>
      </w:r>
      <w:r w:rsidR="006C0551" w:rsidRPr="00882F11">
        <w:rPr>
          <w:rFonts w:cs="Guttman Drogolin"/>
          <w:rtl/>
          <w:lang w:bidi="he-IL"/>
        </w:rPr>
        <w:t xml:space="preserve"> </w:t>
      </w:r>
      <w:r w:rsidR="006C0551" w:rsidRPr="00882F11">
        <w:rPr>
          <w:rFonts w:cs="Guttman Drogolin" w:hint="cs"/>
          <w:rtl/>
          <w:lang w:bidi="he-IL"/>
        </w:rPr>
        <w:t>או</w:t>
      </w:r>
      <w:r w:rsidR="006C0551" w:rsidRPr="00882F11">
        <w:rPr>
          <w:rFonts w:cs="Guttman Drogolin"/>
          <w:rtl/>
          <w:lang w:bidi="he-IL"/>
        </w:rPr>
        <w:t xml:space="preserve"> </w:t>
      </w:r>
      <w:r w:rsidR="006C0551" w:rsidRPr="00882F11">
        <w:rPr>
          <w:rFonts w:cs="Guttman Drogolin" w:hint="cs"/>
          <w:rtl/>
          <w:lang w:bidi="he-IL"/>
        </w:rPr>
        <w:t>של</w:t>
      </w:r>
      <w:r w:rsidR="006C0551" w:rsidRPr="00882F11">
        <w:rPr>
          <w:rFonts w:cs="Guttman Drogolin"/>
          <w:rtl/>
          <w:lang w:bidi="he-IL"/>
        </w:rPr>
        <w:t xml:space="preserve"> </w:t>
      </w:r>
      <w:r w:rsidR="006C0551" w:rsidRPr="00882F11">
        <w:rPr>
          <w:rFonts w:cs="Guttman Drogolin" w:hint="cs"/>
          <w:rtl/>
          <w:lang w:bidi="he-IL"/>
        </w:rPr>
        <w:t>הפקר"</w:t>
      </w:r>
      <w:r w:rsidR="006C0551" w:rsidRPr="00882F11">
        <w:rPr>
          <w:rFonts w:cs="Guttman Drogolin"/>
          <w:rtl/>
          <w:lang w:bidi="he-IL"/>
        </w:rPr>
        <w:t>.</w:t>
      </w:r>
      <w:r w:rsidR="006C0551" w:rsidRPr="00882F11">
        <w:rPr>
          <w:rFonts w:cs="Guttman Drogolin" w:hint="cs"/>
          <w:rtl/>
          <w:lang w:bidi="he-IL"/>
        </w:rPr>
        <w:t xml:space="preserve"> ושם בנו"כ מבואר שמקור האיסור מירושלמי פ"ב ה"א "לא</w:t>
      </w:r>
      <w:r w:rsidR="006C0551" w:rsidRPr="00882F11">
        <w:rPr>
          <w:rFonts w:cs="Guttman Drogolin"/>
          <w:rtl/>
          <w:lang w:bidi="he-IL"/>
        </w:rPr>
        <w:t xml:space="preserve"> </w:t>
      </w:r>
      <w:r w:rsidR="006C0551" w:rsidRPr="00882F11">
        <w:rPr>
          <w:rFonts w:cs="Guttman Drogolin" w:hint="cs"/>
          <w:rtl/>
          <w:lang w:bidi="he-IL"/>
        </w:rPr>
        <w:t>יאכל</w:t>
      </w:r>
      <w:r w:rsidR="006C0551" w:rsidRPr="00882F11">
        <w:rPr>
          <w:rFonts w:cs="Guttman Drogolin"/>
          <w:rtl/>
          <w:lang w:bidi="he-IL"/>
        </w:rPr>
        <w:t xml:space="preserve"> </w:t>
      </w:r>
      <w:r w:rsidR="006C0551" w:rsidRPr="00882F11">
        <w:rPr>
          <w:rFonts w:cs="Guttman Drogolin" w:hint="cs"/>
          <w:rtl/>
          <w:lang w:bidi="he-IL"/>
        </w:rPr>
        <w:t>חמץ</w:t>
      </w:r>
      <w:r w:rsidR="006C0551" w:rsidRPr="00882F11">
        <w:rPr>
          <w:rFonts w:cs="Guttman Drogolin"/>
          <w:rtl/>
          <w:lang w:bidi="he-IL"/>
        </w:rPr>
        <w:t xml:space="preserve"> </w:t>
      </w:r>
      <w:r w:rsidR="006C0551" w:rsidRPr="00882F11">
        <w:rPr>
          <w:rFonts w:cs="Guttman Drogolin" w:hint="cs"/>
          <w:rtl/>
          <w:lang w:bidi="he-IL"/>
        </w:rPr>
        <w:t>אפילו</w:t>
      </w:r>
      <w:r w:rsidR="006C0551" w:rsidRPr="00882F11">
        <w:rPr>
          <w:rFonts w:cs="Guttman Drogolin"/>
          <w:rtl/>
          <w:lang w:bidi="he-IL"/>
        </w:rPr>
        <w:t xml:space="preserve"> </w:t>
      </w:r>
      <w:r w:rsidR="006C0551" w:rsidRPr="00882F11">
        <w:rPr>
          <w:rFonts w:cs="Guttman Drogolin" w:hint="cs"/>
          <w:rtl/>
          <w:lang w:bidi="he-IL"/>
        </w:rPr>
        <w:t>לכלבים</w:t>
      </w:r>
      <w:r w:rsidR="006C0551" w:rsidRPr="00882F11">
        <w:rPr>
          <w:rFonts w:cs="Guttman Drogolin"/>
          <w:rtl/>
          <w:lang w:bidi="he-IL"/>
        </w:rPr>
        <w:t xml:space="preserve"> </w:t>
      </w:r>
      <w:r w:rsidR="006C0551" w:rsidRPr="00882F11">
        <w:rPr>
          <w:rFonts w:cs="Guttman Drogolin" w:hint="cs"/>
          <w:rtl/>
          <w:lang w:bidi="he-IL"/>
        </w:rPr>
        <w:t>במה</w:t>
      </w:r>
      <w:r w:rsidR="006C0551" w:rsidRPr="00882F11">
        <w:rPr>
          <w:rFonts w:cs="Guttman Drogolin"/>
          <w:rtl/>
          <w:lang w:bidi="he-IL"/>
        </w:rPr>
        <w:t xml:space="preserve"> </w:t>
      </w:r>
      <w:r w:rsidR="006C0551" w:rsidRPr="00882F11">
        <w:rPr>
          <w:rFonts w:cs="Guttman Drogolin" w:hint="cs"/>
          <w:rtl/>
          <w:lang w:bidi="he-IL"/>
        </w:rPr>
        <w:t>אנן</w:t>
      </w:r>
      <w:r w:rsidR="006C0551" w:rsidRPr="00882F11">
        <w:rPr>
          <w:rFonts w:cs="Guttman Drogolin"/>
          <w:rtl/>
          <w:lang w:bidi="he-IL"/>
        </w:rPr>
        <w:t xml:space="preserve"> </w:t>
      </w:r>
      <w:r w:rsidR="006C0551" w:rsidRPr="00882F11">
        <w:rPr>
          <w:rFonts w:cs="Guttman Drogolin" w:hint="cs"/>
          <w:rtl/>
          <w:lang w:bidi="he-IL"/>
        </w:rPr>
        <w:t>קיימין</w:t>
      </w:r>
      <w:r w:rsidR="006C0551" w:rsidRPr="00882F11">
        <w:rPr>
          <w:rFonts w:cs="Guttman Drogolin"/>
          <w:rtl/>
          <w:lang w:bidi="he-IL"/>
        </w:rPr>
        <w:t xml:space="preserve"> </w:t>
      </w:r>
      <w:r w:rsidR="006C0551" w:rsidRPr="00882F11">
        <w:rPr>
          <w:rFonts w:cs="Guttman Drogolin" w:hint="cs"/>
          <w:rtl/>
          <w:lang w:bidi="he-IL"/>
        </w:rPr>
        <w:t>אם</w:t>
      </w:r>
      <w:r w:rsidR="006C0551" w:rsidRPr="00882F11">
        <w:rPr>
          <w:rFonts w:cs="Guttman Drogolin"/>
          <w:rtl/>
          <w:lang w:bidi="he-IL"/>
        </w:rPr>
        <w:t xml:space="preserve"> </w:t>
      </w:r>
      <w:r w:rsidR="006C0551" w:rsidRPr="00882F11">
        <w:rPr>
          <w:rFonts w:cs="Guttman Drogolin" w:hint="cs"/>
          <w:rtl/>
          <w:lang w:bidi="he-IL"/>
        </w:rPr>
        <w:t>לכלבו</w:t>
      </w:r>
      <w:r w:rsidR="006C0551" w:rsidRPr="00882F11">
        <w:rPr>
          <w:rFonts w:cs="Guttman Drogolin"/>
          <w:rtl/>
          <w:lang w:bidi="he-IL"/>
        </w:rPr>
        <w:t xml:space="preserve"> </w:t>
      </w:r>
      <w:r w:rsidR="006C0551" w:rsidRPr="00882F11">
        <w:rPr>
          <w:rFonts w:cs="Guttman Drogolin" w:hint="cs"/>
          <w:rtl/>
          <w:lang w:bidi="he-IL"/>
        </w:rPr>
        <w:t>היינו</w:t>
      </w:r>
      <w:r w:rsidR="006C0551" w:rsidRPr="00882F11">
        <w:rPr>
          <w:rFonts w:cs="Guttman Drogolin"/>
          <w:rtl/>
          <w:lang w:bidi="he-IL"/>
        </w:rPr>
        <w:t xml:space="preserve"> </w:t>
      </w:r>
      <w:r w:rsidR="006C0551" w:rsidRPr="00882F11">
        <w:rPr>
          <w:rFonts w:cs="Guttman Drogolin" w:hint="cs"/>
          <w:rtl/>
          <w:lang w:bidi="he-IL"/>
        </w:rPr>
        <w:t>הנאה</w:t>
      </w:r>
      <w:r w:rsidR="006C0551" w:rsidRPr="00882F11">
        <w:rPr>
          <w:rFonts w:cs="Guttman Drogolin"/>
          <w:rtl/>
          <w:lang w:bidi="he-IL"/>
        </w:rPr>
        <w:t xml:space="preserve">, </w:t>
      </w:r>
      <w:r w:rsidR="006C0551" w:rsidRPr="00882F11">
        <w:rPr>
          <w:rFonts w:cs="Guttman Drogolin" w:hint="cs"/>
          <w:rtl/>
          <w:lang w:bidi="he-IL"/>
        </w:rPr>
        <w:t>אלא</w:t>
      </w:r>
      <w:r w:rsidR="006C0551" w:rsidRPr="00882F11">
        <w:rPr>
          <w:rFonts w:cs="Guttman Drogolin"/>
          <w:rtl/>
          <w:lang w:bidi="he-IL"/>
        </w:rPr>
        <w:t xml:space="preserve"> </w:t>
      </w:r>
      <w:r w:rsidR="006C0551" w:rsidRPr="00882F11">
        <w:rPr>
          <w:rFonts w:cs="Guttman Drogolin" w:hint="cs"/>
          <w:rtl/>
          <w:lang w:bidi="he-IL"/>
        </w:rPr>
        <w:t>אפילו</w:t>
      </w:r>
      <w:r w:rsidR="006C0551" w:rsidRPr="00882F11">
        <w:rPr>
          <w:rFonts w:cs="Guttman Drogolin"/>
          <w:rtl/>
          <w:lang w:bidi="he-IL"/>
        </w:rPr>
        <w:t xml:space="preserve"> </w:t>
      </w:r>
      <w:r w:rsidR="006C0551" w:rsidRPr="00882F11">
        <w:rPr>
          <w:rFonts w:cs="Guttman Drogolin" w:hint="cs"/>
          <w:rtl/>
          <w:lang w:bidi="he-IL"/>
        </w:rPr>
        <w:t>לכלבים</w:t>
      </w:r>
      <w:r w:rsidR="006C0551" w:rsidRPr="00882F11">
        <w:rPr>
          <w:rFonts w:cs="Guttman Drogolin"/>
          <w:rtl/>
          <w:lang w:bidi="he-IL"/>
        </w:rPr>
        <w:t xml:space="preserve"> </w:t>
      </w:r>
      <w:r w:rsidR="006C0551" w:rsidRPr="00882F11">
        <w:rPr>
          <w:rFonts w:cs="Guttman Drogolin" w:hint="cs"/>
          <w:rtl/>
          <w:lang w:bidi="he-IL"/>
        </w:rPr>
        <w:t xml:space="preserve">אחרים". אלא דכיון שזהו המקור הביא המקו"ח (שם ס"ק י') שהוא דין מסוים החמץ </w:t>
      </w:r>
      <w:r w:rsidR="00032449" w:rsidRPr="00882F11">
        <w:rPr>
          <w:rFonts w:cs="Guttman Drogolin" w:hint="cs"/>
          <w:rtl/>
          <w:lang w:bidi="he-IL"/>
        </w:rPr>
        <w:t xml:space="preserve">שנאמר בה לא יאכל, </w:t>
      </w:r>
      <w:r w:rsidR="006C0551" w:rsidRPr="00882F11">
        <w:rPr>
          <w:rFonts w:cs="Guttman Drogolin" w:hint="cs"/>
          <w:rtl/>
          <w:lang w:bidi="he-IL"/>
        </w:rPr>
        <w:t>ולא בשאר איסורי הנאה. ו</w:t>
      </w:r>
      <w:r w:rsidR="00032449" w:rsidRPr="00882F11">
        <w:rPr>
          <w:rFonts w:cs="Guttman Drogolin" w:hint="cs"/>
          <w:rtl/>
          <w:lang w:bidi="he-IL"/>
        </w:rPr>
        <w:t>לפי זה צ"ע בהנהו פוסקים שהה"נ שאסור בבב"ח. ומ"מ לשיטתם לכאורה חזינן שבכלל איסור הנאה הוא שאסור גם להנות לאחרים. ואולי הוא משום שיש לו מזה הנאה כיון שיש חשש שנה</w:t>
      </w:r>
      <w:r w:rsidR="00EF74A9" w:rsidRPr="00882F11">
        <w:rPr>
          <w:rFonts w:cs="Guttman Drogolin" w:hint="cs"/>
          <w:rtl/>
          <w:lang w:bidi="he-IL"/>
        </w:rPr>
        <w:t>נה מזה שמשביע רצונו להאכיל בהמה.</w:t>
      </w:r>
      <w:r w:rsidR="00032449" w:rsidRPr="00882F11">
        <w:rPr>
          <w:rFonts w:cs="Guttman Drogolin" w:hint="cs"/>
          <w:rtl/>
          <w:lang w:bidi="he-IL"/>
        </w:rPr>
        <w:t xml:space="preserve"> וצ"ע.</w:t>
      </w:r>
      <w:r w:rsidR="006C0551" w:rsidRPr="00882F11">
        <w:rPr>
          <w:rFonts w:cs="Guttman Drogolin"/>
          <w:rtl/>
          <w:lang w:bidi="he-IL"/>
        </w:rPr>
        <w:t xml:space="preserve">  </w:t>
      </w:r>
      <w:r w:rsidR="006C0551" w:rsidRPr="00882F11">
        <w:rPr>
          <w:rFonts w:cs="Guttman Drogolin" w:hint="cs"/>
          <w:rtl/>
          <w:lang w:bidi="he-IL"/>
        </w:rPr>
        <w:t xml:space="preserve"> </w:t>
      </w:r>
    </w:p>
    <w:p w:rsidR="0022112B" w:rsidRPr="00882F11" w:rsidRDefault="0022112B" w:rsidP="0022112B">
      <w:pPr>
        <w:tabs>
          <w:tab w:val="right" w:pos="7497"/>
        </w:tabs>
        <w:bidi/>
        <w:jc w:val="both"/>
        <w:rPr>
          <w:rFonts w:cs="Guttman Drogolin"/>
          <w:rtl/>
          <w:lang w:bidi="he-IL"/>
        </w:rPr>
        <w:sectPr w:rsidR="0022112B" w:rsidRPr="00882F11" w:rsidSect="0000469F">
          <w:type w:val="continuous"/>
          <w:pgSz w:w="11907" w:h="16839" w:code="9"/>
          <w:pgMar w:top="1440" w:right="1440" w:bottom="1440" w:left="1440" w:header="720" w:footer="720" w:gutter="0"/>
          <w:cols w:num="2" w:space="720"/>
          <w:bidi/>
          <w:docGrid w:linePitch="360"/>
        </w:sectPr>
      </w:pPr>
    </w:p>
    <w:p w:rsidR="0022112B" w:rsidRPr="00882F11" w:rsidRDefault="0022112B" w:rsidP="0022112B">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ס"ד</w:t>
      </w:r>
    </w:p>
    <w:p w:rsidR="0000469F" w:rsidRDefault="0000469F" w:rsidP="0078079C">
      <w:pPr>
        <w:pStyle w:val="Heading1"/>
        <w:bidi/>
        <w:spacing w:before="0" w:line="360" w:lineRule="auto"/>
        <w:jc w:val="center"/>
        <w:rPr>
          <w:rFonts w:cs="Guttman Drogolin"/>
          <w:color w:val="auto"/>
          <w:sz w:val="24"/>
          <w:szCs w:val="24"/>
          <w:u w:val="single"/>
          <w:rtl/>
          <w:lang w:bidi="he-IL"/>
        </w:rPr>
        <w:sectPr w:rsidR="0000469F" w:rsidSect="0000469F">
          <w:headerReference w:type="default" r:id="rId49"/>
          <w:pgSz w:w="11907" w:h="16839" w:code="9"/>
          <w:pgMar w:top="1440" w:right="1440" w:bottom="1440" w:left="1440" w:header="720" w:footer="720" w:gutter="0"/>
          <w:cols w:space="720"/>
          <w:bidi/>
          <w:docGrid w:linePitch="360"/>
        </w:sectPr>
      </w:pPr>
    </w:p>
    <w:p w:rsidR="0022112B" w:rsidRPr="00882F11" w:rsidRDefault="0022112B" w:rsidP="0078079C">
      <w:pPr>
        <w:pStyle w:val="Heading1"/>
        <w:bidi/>
        <w:spacing w:before="0" w:line="360" w:lineRule="auto"/>
        <w:jc w:val="center"/>
        <w:rPr>
          <w:rFonts w:cs="Guttman Drogolin"/>
          <w:color w:val="auto"/>
          <w:sz w:val="24"/>
          <w:szCs w:val="24"/>
          <w:u w:val="single"/>
          <w:rtl/>
          <w:lang w:bidi="he-IL"/>
        </w:rPr>
      </w:pPr>
      <w:bookmarkStart w:id="245" w:name="_Toc496175500"/>
      <w:r w:rsidRPr="00882F11">
        <w:rPr>
          <w:rFonts w:cs="Guttman Drogolin" w:hint="cs"/>
          <w:color w:val="auto"/>
          <w:sz w:val="24"/>
          <w:szCs w:val="24"/>
          <w:u w:val="single"/>
          <w:rtl/>
          <w:lang w:bidi="he-IL"/>
        </w:rPr>
        <w:lastRenderedPageBreak/>
        <w:t>מילי דהקדמה לסי' צ"ד סע' ה'</w:t>
      </w:r>
      <w:bookmarkEnd w:id="245"/>
    </w:p>
    <w:p w:rsidR="00DF4BDA" w:rsidRPr="00882F11" w:rsidRDefault="005472CF" w:rsidP="00DF4BDA">
      <w:pPr>
        <w:tabs>
          <w:tab w:val="right" w:pos="7497"/>
        </w:tabs>
        <w:bidi/>
        <w:jc w:val="both"/>
        <w:rPr>
          <w:rFonts w:cs="Guttman Drogolin"/>
          <w:rtl/>
          <w:lang w:bidi="he-IL"/>
        </w:rPr>
      </w:pPr>
      <w:r>
        <w:rPr>
          <w:rFonts w:cs="Guttman Drogolin"/>
          <w:rtl/>
          <w:lang w:bidi="he-IL"/>
        </w:rPr>
        <w:fldChar w:fldCharType="begin"/>
      </w:r>
      <w:r>
        <w:instrText xml:space="preserve"> XE "</w:instrText>
      </w:r>
      <w:r w:rsidRPr="00E319D7">
        <w:rPr>
          <w:rFonts w:hint="cs"/>
          <w:rtl/>
          <w:lang w:bidi="he-IL"/>
        </w:rPr>
        <w:instrText>נ</w:instrText>
      </w:r>
      <w:r>
        <w:rPr>
          <w:rFonts w:eastAsiaTheme="minorEastAsia"/>
          <w:lang w:bidi="he-IL"/>
        </w:rPr>
        <w:instrText>\</w:instrText>
      </w:r>
      <w:r w:rsidRPr="00E319D7">
        <w:rPr>
          <w:rFonts w:hint="cs"/>
          <w:rtl/>
          <w:lang w:bidi="he-IL"/>
        </w:rPr>
        <w:instrText>"ט בר נ</w:instrText>
      </w:r>
      <w:r>
        <w:rPr>
          <w:rFonts w:eastAsiaTheme="minorEastAsia"/>
          <w:lang w:bidi="he-IL"/>
        </w:rPr>
        <w:instrText>\</w:instrText>
      </w:r>
      <w:r w:rsidRPr="00E319D7">
        <w:rPr>
          <w:rFonts w:hint="cs"/>
          <w:rtl/>
          <w:lang w:bidi="he-IL"/>
        </w:rPr>
        <w:instrText>"ט</w:instrText>
      </w:r>
      <w:r w:rsidRPr="00E319D7">
        <w:rPr>
          <w:rtl/>
        </w:rPr>
        <w:instrText>:</w:instrText>
      </w:r>
      <w:r w:rsidRPr="00E319D7">
        <w:rPr>
          <w:rFonts w:hint="cs"/>
          <w:rtl/>
          <w:lang w:bidi="he-IL"/>
        </w:rPr>
        <w:instrText>הדחת קערות - וא' מן הקערות אינו בן יומו</w:instrText>
      </w:r>
      <w:r>
        <w:instrText xml:space="preserve">" </w:instrText>
      </w:r>
      <w:r>
        <w:rPr>
          <w:rFonts w:cs="Guttman Drogolin"/>
          <w:rtl/>
          <w:lang w:bidi="he-IL"/>
        </w:rPr>
        <w:fldChar w:fldCharType="end"/>
      </w:r>
      <w:r w:rsidR="003529B2">
        <w:rPr>
          <w:rFonts w:cs="Guttman Drogolin"/>
          <w:rtl/>
          <w:lang w:bidi="he-IL"/>
        </w:rPr>
        <w:fldChar w:fldCharType="begin"/>
      </w:r>
      <w:r w:rsidR="003529B2">
        <w:instrText xml:space="preserve"> XE "</w:instrText>
      </w:r>
      <w:r w:rsidR="003529B2" w:rsidRPr="002E3CBF">
        <w:rPr>
          <w:rFonts w:hint="cs"/>
          <w:rtl/>
          <w:lang w:bidi="he-IL"/>
        </w:rPr>
        <w:instrText>נ</w:instrText>
      </w:r>
      <w:r w:rsidR="003529B2">
        <w:rPr>
          <w:rFonts w:eastAsiaTheme="minorEastAsia"/>
          <w:lang w:bidi="he-IL"/>
        </w:rPr>
        <w:instrText>\</w:instrText>
      </w:r>
      <w:r w:rsidR="003529B2" w:rsidRPr="002E3CBF">
        <w:rPr>
          <w:rFonts w:hint="cs"/>
          <w:rtl/>
          <w:lang w:bidi="he-IL"/>
        </w:rPr>
        <w:instrText>"ט בר נ</w:instrText>
      </w:r>
      <w:r w:rsidR="003529B2">
        <w:rPr>
          <w:rFonts w:eastAsiaTheme="minorEastAsia"/>
          <w:lang w:bidi="he-IL"/>
        </w:rPr>
        <w:instrText>\</w:instrText>
      </w:r>
      <w:r w:rsidR="003529B2" w:rsidRPr="002E3CBF">
        <w:rPr>
          <w:rFonts w:hint="cs"/>
          <w:rtl/>
          <w:lang w:bidi="he-IL"/>
        </w:rPr>
        <w:instrText>"ט</w:instrText>
      </w:r>
      <w:r w:rsidR="003529B2" w:rsidRPr="002E3CBF">
        <w:rPr>
          <w:rtl/>
        </w:rPr>
        <w:instrText>:</w:instrText>
      </w:r>
      <w:r w:rsidR="003529B2" w:rsidRPr="002E3CBF">
        <w:rPr>
          <w:rFonts w:hint="cs"/>
          <w:rtl/>
          <w:lang w:bidi="he-IL"/>
        </w:rPr>
        <w:instrText>הכניס כף חלבי לקדרה של ירקות ולאחר מכן כף בשרי</w:instrText>
      </w:r>
      <w:r w:rsidR="003529B2">
        <w:instrText xml:space="preserve">" </w:instrText>
      </w:r>
      <w:r w:rsidR="003529B2">
        <w:rPr>
          <w:rFonts w:cs="Guttman Drogolin"/>
          <w:rtl/>
          <w:lang w:bidi="he-IL"/>
        </w:rPr>
        <w:fldChar w:fldCharType="end"/>
      </w:r>
      <w:r w:rsidR="00DF4BDA" w:rsidRPr="00882F11">
        <w:rPr>
          <w:rFonts w:cs="Guttman Drogolin" w:hint="cs"/>
          <w:rtl/>
          <w:lang w:bidi="he-IL"/>
        </w:rPr>
        <w:t>כדי לעמוד על דעת השו"ע ורמ"א ונו"כ כאן יש להקדים כמה נקודות מדיני נ"ט בר נ"ט</w:t>
      </w:r>
      <w:r w:rsidR="00CF0D4D" w:rsidRPr="00882F11">
        <w:rPr>
          <w:rStyle w:val="FootnoteReference"/>
          <w:rFonts w:cs="Guttman Drogolin"/>
          <w:rtl/>
          <w:lang w:bidi="he-IL"/>
        </w:rPr>
        <w:footnoteReference w:id="279"/>
      </w:r>
      <w:r w:rsidR="00DF4BDA" w:rsidRPr="00882F11">
        <w:rPr>
          <w:rFonts w:cs="Guttman Drogolin" w:hint="cs"/>
          <w:rtl/>
          <w:lang w:bidi="he-IL"/>
        </w:rPr>
        <w:t>:</w:t>
      </w:r>
    </w:p>
    <w:p w:rsidR="00DF4BDA" w:rsidRPr="00882F11" w:rsidRDefault="00DF4BDA" w:rsidP="00E42FCC">
      <w:pPr>
        <w:pStyle w:val="ListParagraph"/>
        <w:numPr>
          <w:ilvl w:val="0"/>
          <w:numId w:val="14"/>
        </w:numPr>
        <w:tabs>
          <w:tab w:val="right" w:pos="7497"/>
        </w:tabs>
        <w:bidi/>
        <w:ind w:left="387"/>
        <w:jc w:val="both"/>
        <w:rPr>
          <w:rFonts w:cs="Guttman Drogolin"/>
          <w:lang w:bidi="he-IL"/>
        </w:rPr>
      </w:pPr>
      <w:r w:rsidRPr="00882F11">
        <w:rPr>
          <w:rFonts w:cs="Guttman Drogolin" w:hint="cs"/>
          <w:rtl/>
          <w:lang w:bidi="he-IL"/>
        </w:rPr>
        <w:t>קיי"ל דנ"ט בר נ"ט</w:t>
      </w:r>
      <w:r w:rsidR="0022112B" w:rsidRPr="00882F11">
        <w:rPr>
          <w:rFonts w:cs="Guttman Drogolin" w:hint="cs"/>
          <w:rtl/>
          <w:lang w:bidi="he-IL"/>
        </w:rPr>
        <w:t xml:space="preserve"> </w:t>
      </w:r>
      <w:r w:rsidRPr="00882F11">
        <w:rPr>
          <w:rFonts w:cs="Guttman Drogolin" w:hint="cs"/>
          <w:rtl/>
          <w:lang w:bidi="he-IL"/>
        </w:rPr>
        <w:t>אינו מותר אלא בהיתרא אבל לא באיסורא. והיינו שכשיש ב' נ"ט של בשר או של חלב שוב אינם נאסרים ע"י המין השני. והטעם משום שאמנם יש טעם המורגש מ"מ הוקלש הטעם בענין שאינו יכול להיות נאסר.</w:t>
      </w:r>
    </w:p>
    <w:p w:rsidR="008E0476" w:rsidRPr="00882F11" w:rsidRDefault="00DF4BDA" w:rsidP="008E0476">
      <w:pPr>
        <w:pStyle w:val="ListParagraph"/>
        <w:numPr>
          <w:ilvl w:val="0"/>
          <w:numId w:val="14"/>
        </w:numPr>
        <w:tabs>
          <w:tab w:val="right" w:pos="7497"/>
        </w:tabs>
        <w:bidi/>
        <w:ind w:left="387"/>
        <w:jc w:val="both"/>
        <w:rPr>
          <w:rFonts w:cs="Guttman Drogolin"/>
          <w:lang w:bidi="he-IL"/>
        </w:rPr>
      </w:pPr>
      <w:r w:rsidRPr="00882F11">
        <w:rPr>
          <w:rFonts w:cs="Guttman Drogolin" w:hint="cs"/>
          <w:rtl/>
          <w:lang w:bidi="he-IL"/>
        </w:rPr>
        <w:t>בדין נ"ט בר נ"ט מוזכר בגמ' (קי"א ע"ב) שדגים שעלו בקערה מותר לאוכלם בכותח. ונחלקו הראשונים אם ב'עלו' ר"ל דוקא עלו כשא' מהם חם, אבל אם נתבשלו דגים בקערה אסור לאוכלם בכותח, והטעם משום שכשנתבשלו לא הוקלש הטעם מספיק שלא יהא נאסר בטעם הב', או"ד אפילו נתבשלו כעלו, וגם אם נתבשלו מותר מדין נ"ט בר נ"ט.</w:t>
      </w:r>
    </w:p>
    <w:p w:rsidR="00E42FCC" w:rsidRPr="00882F11" w:rsidRDefault="008E0476" w:rsidP="008E0476">
      <w:pPr>
        <w:pStyle w:val="ListParagraph"/>
        <w:numPr>
          <w:ilvl w:val="0"/>
          <w:numId w:val="14"/>
        </w:numPr>
        <w:tabs>
          <w:tab w:val="right" w:pos="7497"/>
        </w:tabs>
        <w:bidi/>
        <w:ind w:left="387"/>
        <w:jc w:val="both"/>
        <w:rPr>
          <w:rFonts w:cs="Guttman Drogolin"/>
          <w:lang w:bidi="he-IL"/>
        </w:rPr>
      </w:pPr>
      <w:r w:rsidRPr="00882F11">
        <w:rPr>
          <w:rFonts w:cs="Guttman Drogolin" w:hint="cs"/>
          <w:rtl/>
          <w:lang w:bidi="he-IL"/>
        </w:rPr>
        <w:t xml:space="preserve">התוס' כותבים בכמה מקומות שאפילו למאן דמחמיר שבנתבשלו ליתי' להיתירא דנ"ט בר נ"ט, הנ"מ בדליכא אלא ב' נותני טעם, אבל אם יש ג' נותני טעם מותר אפילו נתבשלו. וכן </w:t>
      </w:r>
      <w:r w:rsidR="00DF4BDA" w:rsidRPr="00882F11">
        <w:rPr>
          <w:rFonts w:cs="Guttman Drogolin" w:hint="cs"/>
          <w:rtl/>
          <w:lang w:bidi="he-IL"/>
        </w:rPr>
        <w:t xml:space="preserve"> </w:t>
      </w:r>
    </w:p>
    <w:p w:rsidR="008E0476" w:rsidRPr="00882F11" w:rsidRDefault="00E42FCC" w:rsidP="00E42FCC">
      <w:pPr>
        <w:pStyle w:val="ListParagraph"/>
        <w:numPr>
          <w:ilvl w:val="0"/>
          <w:numId w:val="14"/>
        </w:numPr>
        <w:tabs>
          <w:tab w:val="right" w:pos="7497"/>
        </w:tabs>
        <w:bidi/>
        <w:ind w:left="387"/>
        <w:jc w:val="both"/>
        <w:rPr>
          <w:rFonts w:cs="Guttman Drogolin"/>
          <w:lang w:bidi="he-IL"/>
        </w:rPr>
      </w:pPr>
      <w:r w:rsidRPr="00882F11">
        <w:rPr>
          <w:rFonts w:cs="Guttman Drogolin" w:hint="cs"/>
          <w:rtl/>
          <w:lang w:bidi="he-IL"/>
        </w:rPr>
        <w:t xml:space="preserve">בדינא דנ"ט בר נ"ט יש לע' אם הוא מותר לכתחילה או בדיעבד. והענין של 'לכתחילה' או 'בדיעבד' תלוי באיזה שלב של הסדר של 'דגים שעלו בקערה מותר לאכולן בכותח'. דהנה קיי"ל דאע"ג שדגי שעלו בקערה מותר לאוכלן בכותח, מ"מ אסור להעלות דגים בקערה לכתחילה כדי לאוכלן בכותח. אמנם לכאורה הלשון של 'מותר' לאוכלן בכותח משמע דלא מיבעי במותר לאוכלן אם הם כבר בכותח, אלא גם לכתחילה מותר להניחם בכותח אפילו אחרי שהיו בקערה. ור"ל שכל הדין שאסור לעשות נ"ט בר נ"ט לכתחילה, היינו להכניס הטעם בשר בדגים לכתחילה </w:t>
      </w:r>
      <w:r w:rsidRPr="00882F11">
        <w:rPr>
          <w:rFonts w:cs="Guttman Drogolin" w:hint="cs"/>
          <w:rtl/>
          <w:lang w:bidi="he-IL"/>
        </w:rPr>
        <w:lastRenderedPageBreak/>
        <w:t xml:space="preserve">כדי לאוכלה בחלב, אבל אחרי שכבר יש בו הטעם שני של בשר כבר מותר לאוכלה בחלב גם לכתחילה. אמנם דעת הב"י ברסי' צ"ה שאפילו אם כבר עלו הדגים בקערה מ"מ אסור להניחה בכותח לכתחילה, וכל כוונת הגמ' אינו אלא </w:t>
      </w:r>
      <w:r w:rsidR="008E0476" w:rsidRPr="00882F11">
        <w:rPr>
          <w:rFonts w:cs="Guttman Drogolin" w:hint="cs"/>
          <w:rtl/>
          <w:lang w:bidi="he-IL"/>
        </w:rPr>
        <w:t>שאם נפל לכותח שמותר לאוכלו.</w:t>
      </w:r>
    </w:p>
    <w:p w:rsidR="008E0476" w:rsidRPr="00882F11" w:rsidRDefault="008E0476" w:rsidP="008E0476">
      <w:pPr>
        <w:pStyle w:val="ListParagraph"/>
        <w:numPr>
          <w:ilvl w:val="0"/>
          <w:numId w:val="14"/>
        </w:numPr>
        <w:tabs>
          <w:tab w:val="right" w:pos="7497"/>
        </w:tabs>
        <w:bidi/>
        <w:ind w:left="387"/>
        <w:jc w:val="both"/>
        <w:rPr>
          <w:rFonts w:cs="Guttman Drogolin"/>
          <w:lang w:bidi="he-IL"/>
        </w:rPr>
      </w:pPr>
      <w:r w:rsidRPr="00882F11">
        <w:rPr>
          <w:rFonts w:cs="Guttman Drogolin" w:hint="cs"/>
          <w:rtl/>
          <w:lang w:bidi="he-IL"/>
        </w:rPr>
        <w:t>לדינא נחלקו המחבר והרמ"א ברסי' צ"ה. המחבר נקט לגמרי כדעת המקילים דנתבשלו כעלו. והרמ"א נקט להחמיר לכתחילה כדעת המחירים, אבל גם הוא מיקל לענין דיעבד. וע"פ הנ"ל ר"ל שאמנם דגים שעלו בקערה מותר להניחם לכתחילה בתוך כותח, מ"מ בנתבשלו כיון שי"א שאין בה ההיתר של נ"ט בר נ"ט אין ל הקל לכתחילה להניחו לתוך כותח. אבל בדיעבד שכבר הונח לתוך הכותח סבר הרמ"א שאפשר להקל כשיטות הסוברות שגם בנתבשלו נאמר ההיתר של נ"ט בר נ"ט.</w:t>
      </w:r>
    </w:p>
    <w:p w:rsidR="00CF0D4D" w:rsidRPr="00882F11" w:rsidRDefault="008E0476" w:rsidP="00CF0D4D">
      <w:pPr>
        <w:pStyle w:val="ListParagraph"/>
        <w:numPr>
          <w:ilvl w:val="0"/>
          <w:numId w:val="14"/>
        </w:numPr>
        <w:tabs>
          <w:tab w:val="right" w:pos="7497"/>
        </w:tabs>
        <w:bidi/>
        <w:ind w:left="387"/>
        <w:jc w:val="both"/>
        <w:rPr>
          <w:rFonts w:cs="Guttman Drogolin"/>
          <w:lang w:bidi="he-IL"/>
        </w:rPr>
      </w:pPr>
      <w:r w:rsidRPr="00882F11">
        <w:rPr>
          <w:rFonts w:cs="Guttman Drogolin" w:hint="cs"/>
          <w:rtl/>
          <w:lang w:bidi="he-IL"/>
        </w:rPr>
        <w:t>נחלקו הראשונים בדין הדחת קערות, ור"ל במדיח קערות שהם בני יומן של חלב או בשר</w:t>
      </w:r>
      <w:r w:rsidR="00E42FCC" w:rsidRPr="00882F11">
        <w:rPr>
          <w:rFonts w:cs="Guttman Drogolin" w:hint="cs"/>
          <w:rtl/>
          <w:lang w:bidi="he-IL"/>
        </w:rPr>
        <w:t xml:space="preserve"> </w:t>
      </w:r>
      <w:r w:rsidRPr="00882F11">
        <w:rPr>
          <w:rFonts w:cs="Guttman Drogolin" w:hint="cs"/>
          <w:rtl/>
          <w:lang w:bidi="he-IL"/>
        </w:rPr>
        <w:t>שבתוך יורה של המין השני שיש בה מים רותחין. שיטת התוס' וס' התרומה שאם הניחו כלי בשר או חלב בני יומן לתוך יורה רותחת של מים שהוא בן יומו לחלב או בשר שהכל אסור.</w:t>
      </w:r>
      <w:r w:rsidR="00CF0D4D" w:rsidRPr="00882F11">
        <w:rPr>
          <w:rFonts w:cs="Guttman Drogolin" w:hint="cs"/>
          <w:rtl/>
          <w:lang w:bidi="he-IL"/>
        </w:rPr>
        <w:t xml:space="preserve"> ונאמרו בזה ב' טעמים. או בגלל שהטעמים נפגשיים במים ואוסרים א' את השני, או שאפילו אם לא אמרינן כן מ"מ חיישינן דלמא יגעו הכלים זה בזה ויאסרו א' את השני אפילו בלי אמצעות המים. והרמב"ן סבר שגם בהדחת קערות קיים ההיתר של נ"ט בר נ"ט ומותר. וגם בזה נחלקו המחבר והרמ"א, המחבר בסי' צ"ה סע' נקט כשיטת הרמב"ן, והרמ"א החמיר כתוס' וס' התרומה. </w:t>
      </w:r>
    </w:p>
    <w:p w:rsidR="00CF0D4D" w:rsidRPr="0000469F" w:rsidRDefault="008B4A7C" w:rsidP="008B4A7C">
      <w:pPr>
        <w:pStyle w:val="Heading1"/>
        <w:bidi/>
        <w:spacing w:before="0" w:line="360" w:lineRule="auto"/>
        <w:ind w:left="27"/>
        <w:jc w:val="center"/>
        <w:rPr>
          <w:rFonts w:cs="Guttman Drogolin"/>
          <w:color w:val="auto"/>
          <w:sz w:val="22"/>
          <w:szCs w:val="22"/>
          <w:u w:val="single"/>
          <w:rtl/>
          <w:lang w:bidi="he-IL"/>
        </w:rPr>
      </w:pPr>
      <w:bookmarkStart w:id="246" w:name="_Toc496175501"/>
      <w:r w:rsidRPr="0000469F">
        <w:rPr>
          <w:rFonts w:cs="Guttman Drogolin" w:hint="cs"/>
          <w:color w:val="auto"/>
          <w:sz w:val="22"/>
          <w:szCs w:val="22"/>
          <w:u w:val="single"/>
          <w:rtl/>
          <w:lang w:bidi="he-IL"/>
        </w:rPr>
        <w:lastRenderedPageBreak/>
        <w:t xml:space="preserve">ביאור דברי השו"ע </w:t>
      </w:r>
      <w:r w:rsidR="00576990" w:rsidRPr="0000469F">
        <w:rPr>
          <w:rFonts w:cs="Guttman Drogolin" w:hint="cs"/>
          <w:color w:val="auto"/>
          <w:sz w:val="22"/>
          <w:szCs w:val="22"/>
          <w:u w:val="single"/>
          <w:rtl/>
          <w:lang w:bidi="he-IL"/>
        </w:rPr>
        <w:t xml:space="preserve">והרמ"א </w:t>
      </w:r>
      <w:r w:rsidRPr="0000469F">
        <w:rPr>
          <w:rFonts w:cs="Guttman Drogolin" w:hint="cs"/>
          <w:color w:val="auto"/>
          <w:sz w:val="22"/>
          <w:szCs w:val="22"/>
          <w:u w:val="single"/>
          <w:rtl/>
          <w:lang w:bidi="he-IL"/>
        </w:rPr>
        <w:t>ב</w:t>
      </w:r>
      <w:r w:rsidR="00CF0D4D" w:rsidRPr="0000469F">
        <w:rPr>
          <w:rFonts w:cs="Guttman Drogolin" w:hint="cs"/>
          <w:color w:val="auto"/>
          <w:sz w:val="22"/>
          <w:szCs w:val="22"/>
          <w:u w:val="single"/>
          <w:rtl/>
          <w:lang w:bidi="he-IL"/>
        </w:rPr>
        <w:t>סי' צ"ד סע' ה'</w:t>
      </w:r>
      <w:bookmarkEnd w:id="246"/>
    </w:p>
    <w:p w:rsidR="00181420" w:rsidRPr="00882F11" w:rsidRDefault="008B4A7C" w:rsidP="00181420">
      <w:pPr>
        <w:tabs>
          <w:tab w:val="right" w:pos="7497"/>
        </w:tabs>
        <w:bidi/>
        <w:jc w:val="both"/>
        <w:rPr>
          <w:rFonts w:cs="Guttman Drogolin"/>
          <w:rtl/>
          <w:lang w:bidi="he-IL"/>
        </w:rPr>
      </w:pPr>
      <w:r w:rsidRPr="00882F11">
        <w:rPr>
          <w:rFonts w:cs="Guttman Drogolin" w:hint="cs"/>
          <w:rtl/>
          <w:lang w:bidi="he-IL"/>
        </w:rPr>
        <w:t>כתב המחבר בסי' צ"ד סע' ה' "אם</w:t>
      </w:r>
      <w:r w:rsidRPr="00882F11">
        <w:rPr>
          <w:rFonts w:cs="Guttman Drogolin"/>
          <w:rtl/>
          <w:lang w:bidi="he-IL"/>
        </w:rPr>
        <w:t xml:space="preserve"> </w:t>
      </w:r>
      <w:r w:rsidRPr="00882F11">
        <w:rPr>
          <w:rFonts w:cs="Guttman Drogolin" w:hint="cs"/>
          <w:rtl/>
          <w:lang w:bidi="he-IL"/>
        </w:rPr>
        <w:t>בשלו</w:t>
      </w:r>
      <w:r w:rsidRPr="00882F11">
        <w:rPr>
          <w:rFonts w:cs="Guttman Drogolin"/>
          <w:rtl/>
          <w:lang w:bidi="he-IL"/>
        </w:rPr>
        <w:t xml:space="preserve"> </w:t>
      </w:r>
      <w:r w:rsidRPr="00882F11">
        <w:rPr>
          <w:rFonts w:cs="Guttman Drogolin" w:hint="cs"/>
          <w:rtl/>
          <w:lang w:bidi="he-IL"/>
        </w:rPr>
        <w:t>מים</w:t>
      </w:r>
      <w:r w:rsidRPr="00882F11">
        <w:rPr>
          <w:rFonts w:cs="Guttman Drogolin"/>
          <w:rtl/>
          <w:lang w:bidi="he-IL"/>
        </w:rPr>
        <w:t xml:space="preserve"> </w:t>
      </w:r>
      <w:r w:rsidRPr="00882F11">
        <w:rPr>
          <w:rFonts w:cs="Guttman Drogolin" w:hint="cs"/>
          <w:rtl/>
          <w:lang w:bidi="he-IL"/>
        </w:rPr>
        <w:t>בקדרה</w:t>
      </w:r>
      <w:r w:rsidRPr="00882F11">
        <w:rPr>
          <w:rFonts w:cs="Guttman Drogolin"/>
          <w:rtl/>
          <w:lang w:bidi="he-IL"/>
        </w:rPr>
        <w:t xml:space="preserve"> </w:t>
      </w:r>
      <w:r w:rsidRPr="00882F11">
        <w:rPr>
          <w:rFonts w:cs="Guttman Drogolin" w:hint="cs"/>
          <w:rtl/>
          <w:lang w:bidi="he-IL"/>
        </w:rPr>
        <w:t>חדשה</w:t>
      </w:r>
      <w:r w:rsidRPr="00882F11">
        <w:rPr>
          <w:rFonts w:cs="Guttman Drogolin"/>
          <w:rtl/>
          <w:lang w:bidi="he-IL"/>
        </w:rPr>
        <w:t xml:space="preserve"> </w:t>
      </w:r>
      <w:r w:rsidRPr="00882F11">
        <w:rPr>
          <w:rFonts w:cs="Guttman Drogolin" w:hint="cs"/>
          <w:rtl/>
          <w:lang w:bidi="he-IL"/>
        </w:rPr>
        <w:t>ותחבו</w:t>
      </w:r>
      <w:r w:rsidRPr="00882F11">
        <w:rPr>
          <w:rFonts w:cs="Guttman Drogolin"/>
          <w:rtl/>
          <w:lang w:bidi="he-IL"/>
        </w:rPr>
        <w:t xml:space="preserve"> </w:t>
      </w:r>
      <w:r w:rsidRPr="00882F11">
        <w:rPr>
          <w:rFonts w:cs="Guttman Drogolin" w:hint="cs"/>
          <w:rtl/>
          <w:lang w:bidi="he-IL"/>
        </w:rPr>
        <w:t>בה</w:t>
      </w:r>
      <w:r w:rsidRPr="00882F11">
        <w:rPr>
          <w:rFonts w:cs="Guttman Drogolin"/>
          <w:rtl/>
          <w:lang w:bidi="he-IL"/>
        </w:rPr>
        <w:t xml:space="preserve"> </w:t>
      </w:r>
      <w:r w:rsidRPr="00882F11">
        <w:rPr>
          <w:rFonts w:cs="Guttman Drogolin" w:hint="cs"/>
          <w:rtl/>
          <w:lang w:bidi="he-IL"/>
        </w:rPr>
        <w:t>כף</w:t>
      </w:r>
      <w:r w:rsidRPr="00882F11">
        <w:rPr>
          <w:rFonts w:cs="Guttman Drogolin"/>
          <w:rtl/>
          <w:lang w:bidi="he-IL"/>
        </w:rPr>
        <w:t xml:space="preserve"> </w:t>
      </w:r>
      <w:r w:rsidRPr="00882F11">
        <w:rPr>
          <w:rFonts w:cs="Guttman Drogolin" w:hint="cs"/>
          <w:rtl/>
          <w:lang w:bidi="he-IL"/>
        </w:rPr>
        <w:t>חולבת</w:t>
      </w:r>
      <w:r w:rsidRPr="00882F11">
        <w:rPr>
          <w:rFonts w:cs="Guttman Drogolin"/>
          <w:rtl/>
          <w:lang w:bidi="he-IL"/>
        </w:rPr>
        <w:t xml:space="preserve"> </w:t>
      </w:r>
      <w:r w:rsidRPr="00882F11">
        <w:rPr>
          <w:rFonts w:cs="Guttman Drogolin" w:hint="cs"/>
          <w:rtl/>
          <w:lang w:bidi="he-IL"/>
        </w:rPr>
        <w:t>ואחר</w:t>
      </w:r>
      <w:r w:rsidRPr="00882F11">
        <w:rPr>
          <w:rFonts w:cs="Guttman Drogolin"/>
          <w:rtl/>
          <w:lang w:bidi="he-IL"/>
        </w:rPr>
        <w:t xml:space="preserve"> </w:t>
      </w:r>
      <w:r w:rsidRPr="00882F11">
        <w:rPr>
          <w:rFonts w:cs="Guttman Drogolin" w:hint="cs"/>
          <w:rtl/>
          <w:lang w:bidi="he-IL"/>
        </w:rPr>
        <w:t>כך</w:t>
      </w:r>
      <w:r w:rsidRPr="00882F11">
        <w:rPr>
          <w:rFonts w:cs="Guttman Drogolin"/>
          <w:rtl/>
          <w:lang w:bidi="he-IL"/>
        </w:rPr>
        <w:t xml:space="preserve"> </w:t>
      </w:r>
      <w:r w:rsidRPr="00882F11">
        <w:rPr>
          <w:rFonts w:cs="Guttman Drogolin" w:hint="cs"/>
          <w:rtl/>
          <w:lang w:bidi="he-IL"/>
        </w:rPr>
        <w:t>חזרו</w:t>
      </w:r>
      <w:r w:rsidRPr="00882F11">
        <w:rPr>
          <w:rFonts w:cs="Guttman Drogolin"/>
          <w:rtl/>
          <w:lang w:bidi="he-IL"/>
        </w:rPr>
        <w:t xml:space="preserve"> </w:t>
      </w:r>
      <w:r w:rsidRPr="00882F11">
        <w:rPr>
          <w:rFonts w:cs="Guttman Drogolin" w:hint="cs"/>
          <w:rtl/>
          <w:lang w:bidi="he-IL"/>
        </w:rPr>
        <w:t>ובשלו</w:t>
      </w:r>
      <w:r w:rsidRPr="00882F11">
        <w:rPr>
          <w:rFonts w:cs="Guttman Drogolin"/>
          <w:rtl/>
          <w:lang w:bidi="he-IL"/>
        </w:rPr>
        <w:t xml:space="preserve"> </w:t>
      </w:r>
      <w:r w:rsidRPr="00882F11">
        <w:rPr>
          <w:rFonts w:cs="Guttman Drogolin" w:hint="cs"/>
          <w:rtl/>
          <w:lang w:bidi="he-IL"/>
        </w:rPr>
        <w:t>בה</w:t>
      </w:r>
      <w:r w:rsidRPr="00882F11">
        <w:rPr>
          <w:rFonts w:cs="Guttman Drogolin"/>
          <w:rtl/>
          <w:lang w:bidi="he-IL"/>
        </w:rPr>
        <w:t xml:space="preserve"> </w:t>
      </w:r>
      <w:r w:rsidRPr="00882F11">
        <w:rPr>
          <w:rFonts w:cs="Guttman Drogolin" w:hint="cs"/>
          <w:rtl/>
          <w:lang w:bidi="he-IL"/>
        </w:rPr>
        <w:t>מים</w:t>
      </w:r>
      <w:r w:rsidRPr="00882F11">
        <w:rPr>
          <w:rFonts w:cs="Guttman Drogolin"/>
          <w:rtl/>
          <w:lang w:bidi="he-IL"/>
        </w:rPr>
        <w:t xml:space="preserve"> </w:t>
      </w:r>
      <w:r w:rsidRPr="00882F11">
        <w:rPr>
          <w:rFonts w:cs="Guttman Drogolin" w:hint="cs"/>
          <w:rtl/>
          <w:lang w:bidi="he-IL"/>
        </w:rPr>
        <w:t>פעם</w:t>
      </w:r>
      <w:r w:rsidRPr="00882F11">
        <w:rPr>
          <w:rFonts w:cs="Guttman Drogolin"/>
          <w:rtl/>
          <w:lang w:bidi="he-IL"/>
        </w:rPr>
        <w:t xml:space="preserve"> </w:t>
      </w:r>
      <w:r w:rsidRPr="00882F11">
        <w:rPr>
          <w:rFonts w:cs="Guttman Drogolin" w:hint="cs"/>
          <w:rtl/>
          <w:lang w:bidi="he-IL"/>
        </w:rPr>
        <w:t>אחרת</w:t>
      </w:r>
      <w:r w:rsidRPr="00882F11">
        <w:rPr>
          <w:rFonts w:cs="Guttman Drogolin"/>
          <w:rtl/>
          <w:lang w:bidi="he-IL"/>
        </w:rPr>
        <w:t xml:space="preserve"> </w:t>
      </w:r>
      <w:r w:rsidRPr="00882F11">
        <w:rPr>
          <w:rFonts w:cs="Guttman Drogolin" w:hint="cs"/>
          <w:rtl/>
          <w:lang w:bidi="he-IL"/>
        </w:rPr>
        <w:t>ותחבו</w:t>
      </w:r>
      <w:r w:rsidRPr="00882F11">
        <w:rPr>
          <w:rFonts w:cs="Guttman Drogolin"/>
          <w:rtl/>
          <w:lang w:bidi="he-IL"/>
        </w:rPr>
        <w:t xml:space="preserve"> </w:t>
      </w:r>
      <w:r w:rsidRPr="00882F11">
        <w:rPr>
          <w:rFonts w:cs="Guttman Drogolin" w:hint="cs"/>
          <w:rtl/>
          <w:lang w:bidi="he-IL"/>
        </w:rPr>
        <w:t>בה</w:t>
      </w:r>
      <w:r w:rsidRPr="00882F11">
        <w:rPr>
          <w:rFonts w:cs="Guttman Drogolin"/>
          <w:rtl/>
          <w:lang w:bidi="he-IL"/>
        </w:rPr>
        <w:t xml:space="preserve"> </w:t>
      </w:r>
      <w:r w:rsidRPr="00882F11">
        <w:rPr>
          <w:rFonts w:cs="Guttman Drogolin" w:hint="cs"/>
          <w:rtl/>
          <w:lang w:bidi="he-IL"/>
        </w:rPr>
        <w:t>כף</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בשר</w:t>
      </w:r>
      <w:r w:rsidRPr="00882F11">
        <w:rPr>
          <w:rFonts w:cs="Guttman Drogolin"/>
          <w:rtl/>
          <w:lang w:bidi="he-IL"/>
        </w:rPr>
        <w:t xml:space="preserve"> </w:t>
      </w:r>
      <w:r w:rsidRPr="00882F11">
        <w:rPr>
          <w:rFonts w:cs="Guttman Drogolin" w:hint="cs"/>
          <w:rtl/>
          <w:lang w:bidi="he-IL"/>
        </w:rPr>
        <w:t>ושתי</w:t>
      </w:r>
      <w:r w:rsidRPr="00882F11">
        <w:rPr>
          <w:rFonts w:cs="Guttman Drogolin"/>
          <w:rtl/>
          <w:lang w:bidi="he-IL"/>
        </w:rPr>
        <w:t xml:space="preserve"> </w:t>
      </w:r>
      <w:r w:rsidRPr="00882F11">
        <w:rPr>
          <w:rFonts w:cs="Guttman Drogolin" w:hint="cs"/>
          <w:rtl/>
          <w:lang w:bidi="he-IL"/>
        </w:rPr>
        <w:t>הכפות</w:t>
      </w:r>
      <w:r w:rsidRPr="00882F11">
        <w:rPr>
          <w:rFonts w:cs="Guttman Drogolin"/>
          <w:rtl/>
          <w:lang w:bidi="he-IL"/>
        </w:rPr>
        <w:t xml:space="preserve"> </w:t>
      </w:r>
      <w:r w:rsidRPr="00882F11">
        <w:rPr>
          <w:rFonts w:cs="Guttman Drogolin" w:hint="cs"/>
          <w:rtl/>
          <w:lang w:bidi="he-IL"/>
        </w:rPr>
        <w:t>היו</w:t>
      </w:r>
      <w:r w:rsidRPr="00882F11">
        <w:rPr>
          <w:rFonts w:cs="Guttman Drogolin"/>
          <w:rtl/>
          <w:lang w:bidi="he-IL"/>
        </w:rPr>
        <w:t xml:space="preserve"> </w:t>
      </w:r>
      <w:r w:rsidRPr="00882F11">
        <w:rPr>
          <w:rFonts w:cs="Guttman Drogolin" w:hint="cs"/>
          <w:rtl/>
          <w:lang w:bidi="he-IL"/>
        </w:rPr>
        <w:t>בני</w:t>
      </w:r>
      <w:r w:rsidRPr="00882F11">
        <w:rPr>
          <w:rFonts w:cs="Guttman Drogolin"/>
          <w:rtl/>
          <w:lang w:bidi="he-IL"/>
        </w:rPr>
        <w:t xml:space="preserve"> </w:t>
      </w:r>
      <w:r w:rsidRPr="00882F11">
        <w:rPr>
          <w:rFonts w:cs="Guttman Drogolin" w:hint="cs"/>
          <w:rtl/>
          <w:lang w:bidi="he-IL"/>
        </w:rPr>
        <w:t>יומן</w:t>
      </w:r>
      <w:r w:rsidRPr="00882F11">
        <w:rPr>
          <w:rFonts w:cs="Guttman Drogolin"/>
          <w:rtl/>
          <w:lang w:bidi="he-IL"/>
        </w:rPr>
        <w:t xml:space="preserve"> </w:t>
      </w:r>
      <w:r w:rsidRPr="00882F11">
        <w:rPr>
          <w:rFonts w:cs="Guttman Drogolin" w:hint="cs"/>
          <w:rtl/>
          <w:lang w:bidi="he-IL"/>
        </w:rPr>
        <w:t>ובשום</w:t>
      </w:r>
      <w:r w:rsidRPr="00882F11">
        <w:rPr>
          <w:rFonts w:cs="Guttman Drogolin"/>
          <w:rtl/>
          <w:lang w:bidi="he-IL"/>
        </w:rPr>
        <w:t xml:space="preserve"> </w:t>
      </w:r>
      <w:r w:rsidRPr="00882F11">
        <w:rPr>
          <w:rFonts w:cs="Guttman Drogolin" w:hint="cs"/>
          <w:rtl/>
          <w:lang w:bidi="he-IL"/>
        </w:rPr>
        <w:t>אחד</w:t>
      </w:r>
      <w:r w:rsidRPr="00882F11">
        <w:rPr>
          <w:rFonts w:cs="Guttman Drogolin"/>
          <w:rtl/>
          <w:lang w:bidi="he-IL"/>
        </w:rPr>
        <w:t xml:space="preserve"> </w:t>
      </w:r>
      <w:r w:rsidRPr="00882F11">
        <w:rPr>
          <w:rFonts w:cs="Guttman Drogolin" w:hint="cs"/>
          <w:rtl/>
          <w:lang w:bidi="he-IL"/>
        </w:rPr>
        <w:t>מהפעמים</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היה</w:t>
      </w:r>
      <w:r w:rsidRPr="00882F11">
        <w:rPr>
          <w:rFonts w:cs="Guttman Drogolin"/>
          <w:rtl/>
          <w:lang w:bidi="he-IL"/>
        </w:rPr>
        <w:t xml:space="preserve"> </w:t>
      </w:r>
      <w:r w:rsidRPr="00882F11">
        <w:rPr>
          <w:rFonts w:cs="Guttman Drogolin" w:hint="cs"/>
          <w:rtl/>
          <w:lang w:bidi="he-IL"/>
        </w:rPr>
        <w:t>במים</w:t>
      </w:r>
      <w:r w:rsidRPr="00882F11">
        <w:rPr>
          <w:rFonts w:cs="Guttman Drogolin"/>
          <w:rtl/>
          <w:lang w:bidi="he-IL"/>
        </w:rPr>
        <w:t xml:space="preserve"> </w:t>
      </w:r>
      <w:r w:rsidRPr="00882F11">
        <w:rPr>
          <w:rFonts w:cs="Guttman Drogolin" w:hint="cs"/>
          <w:rtl/>
          <w:lang w:bidi="he-IL"/>
        </w:rPr>
        <w:t>ששים</w:t>
      </w:r>
      <w:r w:rsidRPr="00882F11">
        <w:rPr>
          <w:rFonts w:cs="Guttman Drogolin"/>
          <w:rtl/>
          <w:lang w:bidi="he-IL"/>
        </w:rPr>
        <w:t xml:space="preserve"> </w:t>
      </w:r>
      <w:r w:rsidRPr="00882F11">
        <w:rPr>
          <w:rFonts w:cs="Guttman Drogolin" w:hint="cs"/>
          <w:rtl/>
          <w:lang w:bidi="he-IL"/>
        </w:rPr>
        <w:t>אסור</w:t>
      </w:r>
      <w:r w:rsidRPr="00882F11">
        <w:rPr>
          <w:rFonts w:cs="Guttman Drogolin"/>
          <w:rtl/>
          <w:lang w:bidi="he-IL"/>
        </w:rPr>
        <w:t xml:space="preserve"> </w:t>
      </w:r>
      <w:r w:rsidRPr="00882F11">
        <w:rPr>
          <w:rFonts w:cs="Guttman Drogolin" w:hint="cs"/>
          <w:rtl/>
          <w:lang w:bidi="he-IL"/>
        </w:rPr>
        <w:t>להשתמש</w:t>
      </w:r>
      <w:r w:rsidRPr="00882F11">
        <w:rPr>
          <w:rFonts w:cs="Guttman Drogolin"/>
          <w:rtl/>
          <w:lang w:bidi="he-IL"/>
        </w:rPr>
        <w:t xml:space="preserve"> </w:t>
      </w:r>
      <w:r w:rsidRPr="00882F11">
        <w:rPr>
          <w:rFonts w:cs="Guttman Drogolin" w:hint="cs"/>
          <w:rtl/>
          <w:lang w:bidi="he-IL"/>
        </w:rPr>
        <w:t>בקדירה</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בשר</w:t>
      </w:r>
      <w:r w:rsidRPr="00882F11">
        <w:rPr>
          <w:rFonts w:cs="Guttman Drogolin"/>
          <w:rtl/>
          <w:lang w:bidi="he-IL"/>
        </w:rPr>
        <w:t xml:space="preserve"> </w:t>
      </w:r>
      <w:r w:rsidRPr="00882F11">
        <w:rPr>
          <w:rFonts w:cs="Guttman Drogolin" w:hint="cs"/>
          <w:rtl/>
          <w:lang w:bidi="he-IL"/>
        </w:rPr>
        <w:t>ולא</w:t>
      </w:r>
      <w:r w:rsidRPr="00882F11">
        <w:rPr>
          <w:rFonts w:cs="Guttman Drogolin"/>
          <w:rtl/>
          <w:lang w:bidi="he-IL"/>
        </w:rPr>
        <w:t xml:space="preserve"> </w:t>
      </w:r>
      <w:r w:rsidRPr="00882F11">
        <w:rPr>
          <w:rFonts w:cs="Guttman Drogolin" w:hint="cs"/>
          <w:rtl/>
          <w:lang w:bidi="he-IL"/>
        </w:rPr>
        <w:t>חלב</w:t>
      </w:r>
      <w:r w:rsidRPr="00882F11">
        <w:rPr>
          <w:rFonts w:cs="Guttman Drogolin"/>
          <w:rtl/>
          <w:lang w:bidi="he-IL"/>
        </w:rPr>
        <w:t xml:space="preserve"> </w:t>
      </w:r>
      <w:r w:rsidRPr="00882F11">
        <w:rPr>
          <w:rFonts w:cs="Guttman Drogolin" w:hint="cs"/>
          <w:rtl/>
          <w:lang w:bidi="he-IL"/>
        </w:rPr>
        <w:t>אבל</w:t>
      </w:r>
      <w:r w:rsidRPr="00882F11">
        <w:rPr>
          <w:rFonts w:cs="Guttman Drogolin"/>
          <w:rtl/>
          <w:lang w:bidi="he-IL"/>
        </w:rPr>
        <w:t xml:space="preserve"> </w:t>
      </w:r>
      <w:r w:rsidRPr="00882F11">
        <w:rPr>
          <w:rFonts w:cs="Guttman Drogolin" w:hint="cs"/>
          <w:rtl/>
          <w:lang w:bidi="he-IL"/>
        </w:rPr>
        <w:t>שאר</w:t>
      </w:r>
      <w:r w:rsidRPr="00882F11">
        <w:rPr>
          <w:rFonts w:cs="Guttman Drogolin"/>
          <w:rtl/>
          <w:lang w:bidi="he-IL"/>
        </w:rPr>
        <w:t xml:space="preserve"> </w:t>
      </w:r>
      <w:r w:rsidRPr="00882F11">
        <w:rPr>
          <w:rFonts w:cs="Guttman Drogolin" w:hint="cs"/>
          <w:rtl/>
          <w:lang w:bidi="he-IL"/>
        </w:rPr>
        <w:t>דבר</w:t>
      </w:r>
      <w:r w:rsidRPr="00882F11">
        <w:rPr>
          <w:rFonts w:cs="Guttman Drogolin"/>
          <w:rtl/>
          <w:lang w:bidi="he-IL"/>
        </w:rPr>
        <w:t xml:space="preserve"> </w:t>
      </w:r>
      <w:r w:rsidRPr="00882F11">
        <w:rPr>
          <w:rFonts w:cs="Guttman Drogolin" w:hint="cs"/>
          <w:rtl/>
          <w:lang w:bidi="he-IL"/>
        </w:rPr>
        <w:t>מותר</w:t>
      </w:r>
      <w:r w:rsidRPr="00882F11">
        <w:rPr>
          <w:rFonts w:cs="Guttman Drogolin"/>
          <w:rtl/>
          <w:lang w:bidi="he-IL"/>
        </w:rPr>
        <w:t xml:space="preserve"> </w:t>
      </w:r>
      <w:r w:rsidRPr="00882F11">
        <w:rPr>
          <w:rFonts w:cs="Guttman Drogolin" w:hint="cs"/>
          <w:rtl/>
          <w:lang w:bidi="he-IL"/>
        </w:rPr>
        <w:t>לבשל</w:t>
      </w:r>
      <w:r w:rsidRPr="00882F11">
        <w:rPr>
          <w:rFonts w:cs="Guttman Drogolin"/>
          <w:rtl/>
          <w:lang w:bidi="he-IL"/>
        </w:rPr>
        <w:t xml:space="preserve"> </w:t>
      </w:r>
      <w:r w:rsidRPr="00882F11">
        <w:rPr>
          <w:rFonts w:cs="Guttman Drogolin" w:hint="cs"/>
          <w:rtl/>
          <w:lang w:bidi="he-IL"/>
        </w:rPr>
        <w:t>מאחר</w:t>
      </w:r>
      <w:r w:rsidRPr="00882F11">
        <w:rPr>
          <w:rFonts w:cs="Guttman Drogolin"/>
          <w:rtl/>
          <w:lang w:bidi="he-IL"/>
        </w:rPr>
        <w:t xml:space="preserve"> </w:t>
      </w:r>
      <w:r w:rsidRPr="00882F11">
        <w:rPr>
          <w:rFonts w:cs="Guttman Drogolin" w:hint="cs"/>
          <w:rtl/>
          <w:lang w:bidi="he-IL"/>
        </w:rPr>
        <w:t>שהיתה</w:t>
      </w:r>
      <w:r w:rsidRPr="00882F11">
        <w:rPr>
          <w:rFonts w:cs="Guttman Drogolin"/>
          <w:rtl/>
          <w:lang w:bidi="he-IL"/>
        </w:rPr>
        <w:t xml:space="preserve"> </w:t>
      </w:r>
      <w:r w:rsidRPr="00882F11">
        <w:rPr>
          <w:rFonts w:cs="Guttman Drogolin" w:hint="cs"/>
          <w:rtl/>
          <w:lang w:bidi="he-IL"/>
        </w:rPr>
        <w:t>חדשה</w:t>
      </w:r>
      <w:r w:rsidRPr="00882F11">
        <w:rPr>
          <w:rFonts w:cs="Guttman Drogolin"/>
          <w:rtl/>
          <w:lang w:bidi="he-IL"/>
        </w:rPr>
        <w:t xml:space="preserve"> </w:t>
      </w:r>
      <w:r w:rsidRPr="00882F11">
        <w:rPr>
          <w:rFonts w:cs="Guttman Drogolin" w:hint="cs"/>
          <w:rtl/>
          <w:lang w:bidi="he-IL"/>
        </w:rPr>
        <w:t>שלא</w:t>
      </w:r>
      <w:r w:rsidRPr="00882F11">
        <w:rPr>
          <w:rFonts w:cs="Guttman Drogolin"/>
          <w:rtl/>
          <w:lang w:bidi="he-IL"/>
        </w:rPr>
        <w:t xml:space="preserve"> </w:t>
      </w:r>
      <w:r w:rsidRPr="00882F11">
        <w:rPr>
          <w:rFonts w:cs="Guttman Drogolin" w:hint="cs"/>
          <w:rtl/>
          <w:lang w:bidi="he-IL"/>
        </w:rPr>
        <w:t>בשלו</w:t>
      </w:r>
      <w:r w:rsidRPr="00882F11">
        <w:rPr>
          <w:rFonts w:cs="Guttman Drogolin"/>
          <w:rtl/>
          <w:lang w:bidi="he-IL"/>
        </w:rPr>
        <w:t xml:space="preserve"> </w:t>
      </w:r>
      <w:r w:rsidRPr="00882F11">
        <w:rPr>
          <w:rFonts w:cs="Guttman Drogolin" w:hint="cs"/>
          <w:rtl/>
          <w:lang w:bidi="he-IL"/>
        </w:rPr>
        <w:t>בה</w:t>
      </w:r>
      <w:r w:rsidRPr="00882F11">
        <w:rPr>
          <w:rFonts w:cs="Guttman Drogolin"/>
          <w:rtl/>
          <w:lang w:bidi="he-IL"/>
        </w:rPr>
        <w:t xml:space="preserve"> </w:t>
      </w:r>
      <w:r w:rsidRPr="00882F11">
        <w:rPr>
          <w:rFonts w:cs="Guttman Drogolin" w:hint="cs"/>
          <w:rtl/>
          <w:lang w:bidi="he-IL"/>
        </w:rPr>
        <w:t xml:space="preserve">מעולם" והמקור לדבריו מבואר בב"י מסמ"ק </w:t>
      </w:r>
      <w:r w:rsidR="00181420" w:rsidRPr="00882F11">
        <w:rPr>
          <w:rFonts w:cs="Guttman Drogolin" w:hint="cs"/>
          <w:rtl/>
          <w:lang w:bidi="he-IL"/>
        </w:rPr>
        <w:t xml:space="preserve">(מוזכר בהגהות סמ"ק אות א') </w:t>
      </w:r>
      <w:r w:rsidRPr="00882F11">
        <w:rPr>
          <w:rFonts w:cs="Guttman Drogolin" w:hint="cs"/>
          <w:rtl/>
          <w:lang w:bidi="he-IL"/>
        </w:rPr>
        <w:t>סי' רי"ג. וכבר תמה בדרכ"מ על דברי הסמ"ק, דהא "הוי</w:t>
      </w:r>
      <w:r w:rsidRPr="00882F11">
        <w:rPr>
          <w:rFonts w:cs="Guttman Drogolin"/>
          <w:rtl/>
          <w:lang w:bidi="he-IL"/>
        </w:rPr>
        <w:t xml:space="preserve"> </w:t>
      </w:r>
      <w:r w:rsidRPr="00882F11">
        <w:rPr>
          <w:rFonts w:cs="Guttman Drogolin" w:hint="cs"/>
          <w:rtl/>
          <w:lang w:bidi="he-IL"/>
        </w:rPr>
        <w:t>נ</w:t>
      </w:r>
      <w:r w:rsidRPr="00882F11">
        <w:rPr>
          <w:rFonts w:cs="Guttman Drogolin"/>
          <w:rtl/>
          <w:lang w:bidi="he-IL"/>
        </w:rPr>
        <w:t>"</w:t>
      </w:r>
      <w:r w:rsidRPr="00882F11">
        <w:rPr>
          <w:rFonts w:cs="Guttman Drogolin" w:hint="cs"/>
          <w:rtl/>
          <w:lang w:bidi="he-IL"/>
        </w:rPr>
        <w:t>ט</w:t>
      </w:r>
      <w:r w:rsidRPr="00882F11">
        <w:rPr>
          <w:rFonts w:cs="Guttman Drogolin"/>
          <w:rtl/>
          <w:lang w:bidi="he-IL"/>
        </w:rPr>
        <w:t xml:space="preserve"> </w:t>
      </w:r>
      <w:r w:rsidRPr="00882F11">
        <w:rPr>
          <w:rFonts w:cs="Guttman Drogolin" w:hint="cs"/>
          <w:rtl/>
          <w:lang w:bidi="he-IL"/>
        </w:rPr>
        <w:t>בר</w:t>
      </w:r>
      <w:r w:rsidRPr="00882F11">
        <w:rPr>
          <w:rFonts w:cs="Guttman Drogolin"/>
          <w:rtl/>
          <w:lang w:bidi="he-IL"/>
        </w:rPr>
        <w:t xml:space="preserve"> </w:t>
      </w:r>
      <w:r w:rsidRPr="00882F11">
        <w:rPr>
          <w:rFonts w:cs="Guttman Drogolin" w:hint="cs"/>
          <w:rtl/>
          <w:lang w:bidi="he-IL"/>
        </w:rPr>
        <w:t>נ</w:t>
      </w:r>
      <w:r w:rsidRPr="00882F11">
        <w:rPr>
          <w:rFonts w:cs="Guttman Drogolin"/>
          <w:rtl/>
          <w:lang w:bidi="he-IL"/>
        </w:rPr>
        <w:t>"</w:t>
      </w:r>
      <w:r w:rsidRPr="00882F11">
        <w:rPr>
          <w:rFonts w:cs="Guttman Drogolin" w:hint="cs"/>
          <w:rtl/>
          <w:lang w:bidi="he-IL"/>
        </w:rPr>
        <w:t>ט</w:t>
      </w:r>
      <w:r w:rsidRPr="00882F11">
        <w:rPr>
          <w:rFonts w:cs="Guttman Drogolin"/>
          <w:rtl/>
          <w:lang w:bidi="he-IL"/>
        </w:rPr>
        <w:t xml:space="preserve"> </w:t>
      </w:r>
      <w:r w:rsidRPr="00882F11">
        <w:rPr>
          <w:rFonts w:cs="Guttman Drogolin" w:hint="cs"/>
          <w:rtl/>
          <w:lang w:bidi="he-IL"/>
        </w:rPr>
        <w:t>המאכל</w:t>
      </w:r>
      <w:r w:rsidRPr="00882F11">
        <w:rPr>
          <w:rFonts w:cs="Guttman Drogolin"/>
          <w:rtl/>
          <w:lang w:bidi="he-IL"/>
        </w:rPr>
        <w:t xml:space="preserve"> </w:t>
      </w:r>
      <w:r w:rsidRPr="00882F11">
        <w:rPr>
          <w:rFonts w:cs="Guttman Drogolin" w:hint="cs"/>
          <w:rtl/>
          <w:lang w:bidi="he-IL"/>
        </w:rPr>
        <w:t>בכף</w:t>
      </w:r>
      <w:r w:rsidRPr="00882F11">
        <w:rPr>
          <w:rFonts w:cs="Guttman Drogolin"/>
          <w:rtl/>
          <w:lang w:bidi="he-IL"/>
        </w:rPr>
        <w:t xml:space="preserve"> </w:t>
      </w:r>
      <w:r w:rsidRPr="00882F11">
        <w:rPr>
          <w:rFonts w:cs="Guttman Drogolin" w:hint="cs"/>
          <w:rtl/>
          <w:lang w:bidi="he-IL"/>
        </w:rPr>
        <w:t>והכף</w:t>
      </w:r>
      <w:r w:rsidRPr="00882F11">
        <w:rPr>
          <w:rFonts w:cs="Guttman Drogolin"/>
          <w:rtl/>
          <w:lang w:bidi="he-IL"/>
        </w:rPr>
        <w:t xml:space="preserve"> </w:t>
      </w:r>
      <w:r w:rsidRPr="00882F11">
        <w:rPr>
          <w:rFonts w:cs="Guttman Drogolin" w:hint="cs"/>
          <w:rtl/>
          <w:lang w:bidi="he-IL"/>
        </w:rPr>
        <w:t>לקדרה</w:t>
      </w:r>
      <w:r w:rsidRPr="00882F11">
        <w:rPr>
          <w:rFonts w:cs="Guttman Drogolin"/>
          <w:rtl/>
          <w:lang w:bidi="he-IL"/>
        </w:rPr>
        <w:t xml:space="preserve"> </w:t>
      </w:r>
      <w:r w:rsidRPr="00882F11">
        <w:rPr>
          <w:rFonts w:cs="Guttman Drogolin" w:hint="cs"/>
          <w:rtl/>
          <w:lang w:bidi="he-IL"/>
        </w:rPr>
        <w:t>או</w:t>
      </w:r>
      <w:r w:rsidRPr="00882F11">
        <w:rPr>
          <w:rFonts w:cs="Guttman Drogolin"/>
          <w:rtl/>
          <w:lang w:bidi="he-IL"/>
        </w:rPr>
        <w:t xml:space="preserve"> </w:t>
      </w:r>
      <w:r w:rsidRPr="00882F11">
        <w:rPr>
          <w:rFonts w:cs="Guttman Drogolin" w:hint="cs"/>
          <w:rtl/>
          <w:lang w:bidi="he-IL"/>
        </w:rPr>
        <w:t>אפילו</w:t>
      </w:r>
      <w:r w:rsidRPr="00882F11">
        <w:rPr>
          <w:rFonts w:cs="Guttman Drogolin"/>
          <w:rtl/>
          <w:lang w:bidi="he-IL"/>
        </w:rPr>
        <w:t xml:space="preserve"> </w:t>
      </w:r>
      <w:r w:rsidRPr="00882F11">
        <w:rPr>
          <w:rFonts w:cs="Guttman Drogolin" w:hint="cs"/>
          <w:rtl/>
          <w:lang w:bidi="he-IL"/>
        </w:rPr>
        <w:t>איכא</w:t>
      </w:r>
      <w:r w:rsidRPr="00882F11">
        <w:rPr>
          <w:rFonts w:cs="Guttman Drogolin"/>
          <w:rtl/>
          <w:lang w:bidi="he-IL"/>
        </w:rPr>
        <w:t xml:space="preserve"> </w:t>
      </w:r>
      <w:r w:rsidRPr="00882F11">
        <w:rPr>
          <w:rFonts w:cs="Guttman Drogolin" w:hint="cs"/>
          <w:rtl/>
          <w:lang w:bidi="he-IL"/>
        </w:rPr>
        <w:t>למימר</w:t>
      </w:r>
      <w:r w:rsidRPr="00882F11">
        <w:rPr>
          <w:rFonts w:cs="Guttman Drogolin"/>
          <w:rtl/>
          <w:lang w:bidi="he-IL"/>
        </w:rPr>
        <w:t xml:space="preserve"> </w:t>
      </w:r>
      <w:r w:rsidRPr="00882F11">
        <w:rPr>
          <w:rFonts w:cs="Guttman Drogolin" w:hint="cs"/>
          <w:rtl/>
          <w:lang w:bidi="he-IL"/>
        </w:rPr>
        <w:t>הכף</w:t>
      </w:r>
      <w:r w:rsidRPr="00882F11">
        <w:rPr>
          <w:rFonts w:cs="Guttman Drogolin"/>
          <w:rtl/>
          <w:lang w:bidi="he-IL"/>
        </w:rPr>
        <w:t xml:space="preserve"> </w:t>
      </w:r>
      <w:r w:rsidRPr="00882F11">
        <w:rPr>
          <w:rFonts w:cs="Guttman Drogolin" w:hint="cs"/>
          <w:rtl/>
          <w:lang w:bidi="he-IL"/>
        </w:rPr>
        <w:t>למים</w:t>
      </w:r>
      <w:r w:rsidRPr="00882F11">
        <w:rPr>
          <w:rFonts w:cs="Guttman Drogolin"/>
          <w:rtl/>
          <w:lang w:bidi="he-IL"/>
        </w:rPr>
        <w:t xml:space="preserve"> </w:t>
      </w:r>
      <w:r w:rsidRPr="00882F11">
        <w:rPr>
          <w:rFonts w:cs="Guttman Drogolin" w:hint="cs"/>
          <w:rtl/>
          <w:lang w:bidi="he-IL"/>
        </w:rPr>
        <w:t>והמים</w:t>
      </w:r>
      <w:r w:rsidRPr="00882F11">
        <w:rPr>
          <w:rFonts w:cs="Guttman Drogolin"/>
          <w:rtl/>
          <w:lang w:bidi="he-IL"/>
        </w:rPr>
        <w:t xml:space="preserve"> </w:t>
      </w:r>
      <w:r w:rsidRPr="00882F11">
        <w:rPr>
          <w:rFonts w:cs="Guttman Drogolin" w:hint="cs"/>
          <w:rtl/>
          <w:lang w:bidi="he-IL"/>
        </w:rPr>
        <w:t>לקדרה</w:t>
      </w:r>
      <w:r w:rsidRPr="00882F11">
        <w:rPr>
          <w:rFonts w:cs="Guttman Drogolin"/>
          <w:rtl/>
          <w:lang w:bidi="he-IL"/>
        </w:rPr>
        <w:t xml:space="preserve"> </w:t>
      </w:r>
      <w:r w:rsidRPr="00882F11">
        <w:rPr>
          <w:rFonts w:cs="Guttman Drogolin" w:hint="cs"/>
          <w:rtl/>
          <w:lang w:bidi="he-IL"/>
        </w:rPr>
        <w:t>והוי</w:t>
      </w:r>
      <w:r w:rsidRPr="00882F11">
        <w:rPr>
          <w:rFonts w:cs="Guttman Drogolin"/>
          <w:rtl/>
          <w:lang w:bidi="he-IL"/>
        </w:rPr>
        <w:t xml:space="preserve"> </w:t>
      </w:r>
      <w:r w:rsidRPr="00882F11">
        <w:rPr>
          <w:rFonts w:cs="Guttman Drogolin" w:hint="cs"/>
          <w:rtl/>
          <w:lang w:bidi="he-IL"/>
        </w:rPr>
        <w:t>ג</w:t>
      </w:r>
      <w:r w:rsidRPr="00882F11">
        <w:rPr>
          <w:rFonts w:cs="Guttman Drogolin"/>
          <w:rtl/>
          <w:lang w:bidi="he-IL"/>
        </w:rPr>
        <w:t xml:space="preserve">' </w:t>
      </w:r>
      <w:r w:rsidRPr="00882F11">
        <w:rPr>
          <w:rFonts w:cs="Guttman Drogolin" w:hint="cs"/>
          <w:rtl/>
          <w:lang w:bidi="he-IL"/>
        </w:rPr>
        <w:t>נותן</w:t>
      </w:r>
      <w:r w:rsidRPr="00882F11">
        <w:rPr>
          <w:rFonts w:cs="Guttman Drogolin"/>
          <w:rtl/>
          <w:lang w:bidi="he-IL"/>
        </w:rPr>
        <w:t xml:space="preserve"> </w:t>
      </w:r>
      <w:r w:rsidRPr="00882F11">
        <w:rPr>
          <w:rFonts w:cs="Guttman Drogolin" w:hint="cs"/>
          <w:rtl/>
          <w:lang w:bidi="he-IL"/>
        </w:rPr>
        <w:t>טעם</w:t>
      </w:r>
      <w:r w:rsidRPr="00882F11">
        <w:rPr>
          <w:rFonts w:cs="Guttman Drogolin"/>
          <w:rtl/>
          <w:lang w:bidi="he-IL"/>
        </w:rPr>
        <w:t xml:space="preserve"> </w:t>
      </w:r>
      <w:r w:rsidRPr="00882F11">
        <w:rPr>
          <w:rFonts w:cs="Guttman Drogolin" w:hint="cs"/>
          <w:rtl/>
          <w:lang w:bidi="he-IL"/>
        </w:rPr>
        <w:t>ועדיין</w:t>
      </w:r>
      <w:r w:rsidRPr="00882F11">
        <w:rPr>
          <w:rFonts w:cs="Guttman Drogolin"/>
          <w:rtl/>
          <w:lang w:bidi="he-IL"/>
        </w:rPr>
        <w:t xml:space="preserve"> </w:t>
      </w:r>
      <w:r w:rsidRPr="00882F11">
        <w:rPr>
          <w:rFonts w:cs="Guttman Drogolin" w:hint="cs"/>
          <w:rtl/>
          <w:lang w:bidi="he-IL"/>
        </w:rPr>
        <w:t>היתר</w:t>
      </w:r>
      <w:r w:rsidRPr="00882F11">
        <w:rPr>
          <w:rFonts w:cs="Guttman Drogolin"/>
          <w:rtl/>
          <w:lang w:bidi="he-IL"/>
        </w:rPr>
        <w:t xml:space="preserve"> </w:t>
      </w:r>
      <w:r w:rsidRPr="00882F11">
        <w:rPr>
          <w:rFonts w:cs="Guttman Drogolin" w:hint="cs"/>
          <w:rtl/>
          <w:lang w:bidi="he-IL"/>
        </w:rPr>
        <w:t xml:space="preserve">הוא". </w:t>
      </w:r>
      <w:r w:rsidR="00181420" w:rsidRPr="00882F11">
        <w:rPr>
          <w:rFonts w:cs="Guttman Drogolin" w:hint="cs"/>
          <w:rtl/>
          <w:lang w:bidi="he-IL"/>
        </w:rPr>
        <w:t>ותי'</w:t>
      </w:r>
      <w:r w:rsidRPr="00882F11">
        <w:rPr>
          <w:rFonts w:cs="Guttman Drogolin" w:hint="cs"/>
          <w:rtl/>
          <w:lang w:bidi="he-IL"/>
        </w:rPr>
        <w:t xml:space="preserve"> שהוא משום שחושש לכתחילה לשיטה המחמירה דלא אמר</w:t>
      </w:r>
      <w:r w:rsidR="00181420" w:rsidRPr="00882F11">
        <w:rPr>
          <w:rFonts w:cs="Guttman Drogolin" w:hint="cs"/>
          <w:rtl/>
          <w:lang w:bidi="he-IL"/>
        </w:rPr>
        <w:t>י</w:t>
      </w:r>
      <w:r w:rsidRPr="00882F11">
        <w:rPr>
          <w:rFonts w:cs="Guttman Drogolin" w:hint="cs"/>
          <w:rtl/>
          <w:lang w:bidi="he-IL"/>
        </w:rPr>
        <w:t xml:space="preserve">נן ההיתר של נ"ט בר נ"ט בנתבשלו. </w:t>
      </w:r>
      <w:r w:rsidR="00181420" w:rsidRPr="00882F11">
        <w:rPr>
          <w:rFonts w:cs="Guttman Drogolin" w:hint="cs"/>
          <w:rtl/>
          <w:lang w:bidi="he-IL"/>
        </w:rPr>
        <w:t>וע' באמת שם בהגהות סמ"ק שהעיר שג"כ העיר כה"ג על מורו הסמ"ק.</w:t>
      </w:r>
    </w:p>
    <w:p w:rsidR="00576990" w:rsidRPr="00882F11" w:rsidRDefault="00181420" w:rsidP="00576990">
      <w:pPr>
        <w:tabs>
          <w:tab w:val="right" w:pos="7497"/>
        </w:tabs>
        <w:bidi/>
        <w:jc w:val="both"/>
        <w:rPr>
          <w:rFonts w:cs="Guttman Drogolin"/>
          <w:rtl/>
          <w:lang w:bidi="he-IL"/>
        </w:rPr>
      </w:pPr>
      <w:r w:rsidRPr="00882F11">
        <w:rPr>
          <w:rFonts w:cs="Guttman Drogolin" w:hint="cs"/>
          <w:rtl/>
          <w:lang w:bidi="he-IL"/>
        </w:rPr>
        <w:t xml:space="preserve">והש"ך בס"ק </w:t>
      </w:r>
      <w:r w:rsidR="00576990" w:rsidRPr="00882F11">
        <w:rPr>
          <w:rFonts w:cs="Guttman Drogolin" w:hint="cs"/>
          <w:rtl/>
          <w:lang w:bidi="he-IL"/>
        </w:rPr>
        <w:t>ט"ו</w:t>
      </w:r>
      <w:r w:rsidRPr="00882F11">
        <w:rPr>
          <w:rFonts w:cs="Guttman Drogolin" w:hint="cs"/>
          <w:rtl/>
          <w:lang w:bidi="he-IL"/>
        </w:rPr>
        <w:t xml:space="preserve"> האריך לתמוה על ה</w:t>
      </w:r>
      <w:r w:rsidR="00D25FDE" w:rsidRPr="00882F11">
        <w:rPr>
          <w:rFonts w:cs="Guttman Drogolin" w:hint="cs"/>
          <w:rtl/>
          <w:lang w:bidi="he-IL"/>
        </w:rPr>
        <w:t>מחבר ב</w:t>
      </w:r>
      <w:r w:rsidRPr="00882F11">
        <w:rPr>
          <w:rFonts w:cs="Guttman Drogolin" w:hint="cs"/>
          <w:rtl/>
          <w:lang w:bidi="he-IL"/>
        </w:rPr>
        <w:t>שו"ע</w:t>
      </w:r>
      <w:r w:rsidR="00D25FDE" w:rsidRPr="00882F11">
        <w:rPr>
          <w:rFonts w:cs="Guttman Drogolin" w:hint="cs"/>
          <w:rtl/>
          <w:lang w:bidi="he-IL"/>
        </w:rPr>
        <w:t xml:space="preserve"> שהחמיר שלא להשתמש בקדרה לא חלב ולא בשר כיון ששיטת המחבר עצמו להקל אפילו לכתחילה שלא לחוש שאין בנתבשלו משום היתירא דנ"ט בר נ"ט. ועוד הקשה בזה דמשמע שאין להתיר אפילו אם ירקות אלא כה"ג שהכניס הכפות לתוך קדרה חדשה, שמשע דאילו היתה בלועה בליעות בן יומו הי' אסור לבשל בו אפילו ירקות ומשום שנאסר מדין בב"ח. וגם זהו נגד דעת המחבר  לקמן בסי' צ"ה שהקיל כרמב"ן בדינא דהדחת קערות. ועוד תמה הש"ך שהרי מסתימת הרמ"א כאן משמע שהסכים לדברי השו"ע. וא"כ גם על הרמ"א צ"ע, דהא אע"ג שהחמיר הרמ"א לכחתילה בדינא דנתבשלו, מ"מ הרי הכא הוו ג' נ"ט, וכן ב' כלים, ולכן הי' לנו להתיר אפילו לשיטת הרמ"א. </w:t>
      </w:r>
      <w:r w:rsidR="00576990" w:rsidRPr="00882F11">
        <w:rPr>
          <w:rFonts w:cs="Guttman Drogolin" w:hint="cs"/>
          <w:rtl/>
          <w:lang w:bidi="he-IL"/>
        </w:rPr>
        <w:t>ונשאר הש"ך בזה בצ"ע.</w:t>
      </w:r>
    </w:p>
    <w:p w:rsidR="00576990" w:rsidRPr="00882F11" w:rsidRDefault="00576990" w:rsidP="00576990">
      <w:pPr>
        <w:tabs>
          <w:tab w:val="right" w:pos="7497"/>
        </w:tabs>
        <w:bidi/>
        <w:jc w:val="both"/>
        <w:rPr>
          <w:rFonts w:cs="Guttman Drogolin"/>
          <w:rtl/>
          <w:lang w:bidi="he-IL"/>
        </w:rPr>
      </w:pPr>
      <w:r w:rsidRPr="00882F11">
        <w:rPr>
          <w:rFonts w:cs="Guttman Drogolin" w:hint="cs"/>
          <w:rtl/>
          <w:lang w:bidi="he-IL"/>
        </w:rPr>
        <w:t>ויש לט"ז ב' ביאורים בדעת המחבר, וא' מהם מבוסס על דברי הרמ"א בהמשך, אז קודם נבאר דברי הרמ"א כדי לעמוד על דבריו.</w:t>
      </w:r>
    </w:p>
    <w:p w:rsidR="00F52022" w:rsidRPr="00882F11" w:rsidRDefault="00576990" w:rsidP="00F52022">
      <w:pPr>
        <w:tabs>
          <w:tab w:val="right" w:pos="7497"/>
        </w:tabs>
        <w:bidi/>
        <w:jc w:val="both"/>
        <w:rPr>
          <w:rFonts w:cs="Guttman Drogolin"/>
          <w:rtl/>
          <w:lang w:bidi="he-IL"/>
        </w:rPr>
      </w:pPr>
      <w:r w:rsidRPr="00882F11">
        <w:rPr>
          <w:rFonts w:cs="Guttman Drogolin" w:hint="cs"/>
          <w:rtl/>
          <w:lang w:bidi="he-IL"/>
        </w:rPr>
        <w:t>וז"ל הרמ"א שם "קדירה</w:t>
      </w:r>
      <w:r w:rsidRPr="00882F11">
        <w:rPr>
          <w:rFonts w:cs="Guttman Drogolin"/>
          <w:rtl/>
          <w:lang w:bidi="he-IL"/>
        </w:rPr>
        <w:t xml:space="preserve"> </w:t>
      </w:r>
      <w:r w:rsidRPr="00882F11">
        <w:rPr>
          <w:rFonts w:cs="Guttman Drogolin" w:hint="cs"/>
          <w:rtl/>
          <w:lang w:bidi="he-IL"/>
        </w:rPr>
        <w:t>שבשלו</w:t>
      </w:r>
      <w:r w:rsidRPr="00882F11">
        <w:rPr>
          <w:rFonts w:cs="Guttman Drogolin"/>
          <w:rtl/>
          <w:lang w:bidi="he-IL"/>
        </w:rPr>
        <w:t xml:space="preserve"> </w:t>
      </w:r>
      <w:r w:rsidRPr="00882F11">
        <w:rPr>
          <w:rFonts w:cs="Guttman Drogolin" w:hint="cs"/>
          <w:rtl/>
          <w:lang w:bidi="he-IL"/>
        </w:rPr>
        <w:t>בה</w:t>
      </w:r>
      <w:r w:rsidRPr="00882F11">
        <w:rPr>
          <w:rFonts w:cs="Guttman Drogolin"/>
          <w:rtl/>
          <w:lang w:bidi="he-IL"/>
        </w:rPr>
        <w:t xml:space="preserve"> </w:t>
      </w:r>
      <w:r w:rsidRPr="00882F11">
        <w:rPr>
          <w:rFonts w:cs="Guttman Drogolin" w:hint="cs"/>
          <w:rtl/>
          <w:lang w:bidi="he-IL"/>
        </w:rPr>
        <w:t>ירקות</w:t>
      </w:r>
      <w:r w:rsidRPr="00882F11">
        <w:rPr>
          <w:rFonts w:cs="Guttman Drogolin"/>
          <w:rtl/>
          <w:lang w:bidi="he-IL"/>
        </w:rPr>
        <w:t xml:space="preserve"> </w:t>
      </w:r>
      <w:r w:rsidRPr="00882F11">
        <w:rPr>
          <w:rFonts w:cs="Guttman Drogolin" w:hint="cs"/>
          <w:rtl/>
          <w:lang w:bidi="he-IL"/>
        </w:rPr>
        <w:t>או</w:t>
      </w:r>
      <w:r w:rsidRPr="00882F11">
        <w:rPr>
          <w:rFonts w:cs="Guttman Drogolin"/>
          <w:rtl/>
          <w:lang w:bidi="he-IL"/>
        </w:rPr>
        <w:t xml:space="preserve"> </w:t>
      </w:r>
      <w:r w:rsidRPr="00882F11">
        <w:rPr>
          <w:rFonts w:cs="Guttman Drogolin" w:hint="cs"/>
          <w:rtl/>
          <w:lang w:bidi="he-IL"/>
        </w:rPr>
        <w:t>מים</w:t>
      </w:r>
      <w:r w:rsidRPr="00882F11">
        <w:rPr>
          <w:rFonts w:cs="Guttman Drogolin"/>
          <w:rtl/>
          <w:lang w:bidi="he-IL"/>
        </w:rPr>
        <w:t xml:space="preserve"> </w:t>
      </w:r>
      <w:r w:rsidRPr="00882F11">
        <w:rPr>
          <w:rFonts w:cs="Guttman Drogolin" w:hint="cs"/>
          <w:rtl/>
          <w:lang w:bidi="he-IL"/>
        </w:rPr>
        <w:t>ותחבו</w:t>
      </w:r>
      <w:r w:rsidRPr="00882F11">
        <w:rPr>
          <w:rFonts w:cs="Guttman Drogolin"/>
          <w:rtl/>
          <w:lang w:bidi="he-IL"/>
        </w:rPr>
        <w:t xml:space="preserve"> </w:t>
      </w:r>
      <w:r w:rsidRPr="00882F11">
        <w:rPr>
          <w:rFonts w:cs="Guttman Drogolin" w:hint="cs"/>
          <w:rtl/>
          <w:lang w:bidi="he-IL"/>
        </w:rPr>
        <w:t>בה</w:t>
      </w:r>
      <w:r w:rsidRPr="00882F11">
        <w:rPr>
          <w:rFonts w:cs="Guttman Drogolin"/>
          <w:rtl/>
          <w:lang w:bidi="he-IL"/>
        </w:rPr>
        <w:t xml:space="preserve"> </w:t>
      </w:r>
      <w:r w:rsidRPr="00882F11">
        <w:rPr>
          <w:rFonts w:cs="Guttman Drogolin" w:hint="cs"/>
          <w:rtl/>
          <w:lang w:bidi="he-IL"/>
        </w:rPr>
        <w:t>כף</w:t>
      </w:r>
      <w:r w:rsidRPr="00882F11">
        <w:rPr>
          <w:rFonts w:cs="Guttman Drogolin"/>
          <w:rtl/>
          <w:lang w:bidi="he-IL"/>
        </w:rPr>
        <w:t xml:space="preserve"> </w:t>
      </w:r>
      <w:r w:rsidRPr="00882F11">
        <w:rPr>
          <w:rFonts w:cs="Guttman Drogolin" w:hint="cs"/>
          <w:rtl/>
          <w:lang w:bidi="he-IL"/>
        </w:rPr>
        <w:t>בן</w:t>
      </w:r>
      <w:r w:rsidRPr="00882F11">
        <w:rPr>
          <w:rFonts w:cs="Guttman Drogolin"/>
          <w:rtl/>
          <w:lang w:bidi="he-IL"/>
        </w:rPr>
        <w:t xml:space="preserve"> </w:t>
      </w:r>
      <w:r w:rsidRPr="00882F11">
        <w:rPr>
          <w:rFonts w:cs="Guttman Drogolin" w:hint="cs"/>
          <w:rtl/>
          <w:lang w:bidi="he-IL"/>
        </w:rPr>
        <w:t>יומו</w:t>
      </w:r>
      <w:r w:rsidRPr="00882F11">
        <w:rPr>
          <w:rFonts w:cs="Guttman Drogolin"/>
          <w:rtl/>
          <w:lang w:bidi="he-IL"/>
        </w:rPr>
        <w:t xml:space="preserve">, </w:t>
      </w:r>
      <w:r w:rsidRPr="00882F11">
        <w:rPr>
          <w:rFonts w:cs="Guttman Drogolin" w:hint="cs"/>
          <w:rtl/>
          <w:lang w:bidi="he-IL"/>
        </w:rPr>
        <w:t>והקדירה</w:t>
      </w:r>
      <w:r w:rsidRPr="00882F11">
        <w:rPr>
          <w:rFonts w:cs="Guttman Drogolin"/>
          <w:rtl/>
          <w:lang w:bidi="he-IL"/>
        </w:rPr>
        <w:t xml:space="preserve"> </w:t>
      </w:r>
      <w:r w:rsidRPr="00882F11">
        <w:rPr>
          <w:rFonts w:cs="Guttman Drogolin" w:hint="cs"/>
          <w:rtl/>
          <w:lang w:bidi="he-IL"/>
        </w:rPr>
        <w:t>אינה</w:t>
      </w:r>
      <w:r w:rsidRPr="00882F11">
        <w:rPr>
          <w:rFonts w:cs="Guttman Drogolin"/>
          <w:rtl/>
          <w:lang w:bidi="he-IL"/>
        </w:rPr>
        <w:t xml:space="preserve"> </w:t>
      </w:r>
      <w:r w:rsidRPr="00882F11">
        <w:rPr>
          <w:rFonts w:cs="Guttman Drogolin" w:hint="cs"/>
          <w:rtl/>
          <w:lang w:bidi="he-IL"/>
        </w:rPr>
        <w:t>בת</w:t>
      </w:r>
      <w:r w:rsidRPr="00882F11">
        <w:rPr>
          <w:rFonts w:cs="Guttman Drogolin"/>
          <w:rtl/>
          <w:lang w:bidi="he-IL"/>
        </w:rPr>
        <w:t xml:space="preserve"> </w:t>
      </w:r>
      <w:r w:rsidRPr="00882F11">
        <w:rPr>
          <w:rFonts w:cs="Guttman Drogolin" w:hint="cs"/>
          <w:rtl/>
          <w:lang w:bidi="he-IL"/>
        </w:rPr>
        <w:t>יומא</w:t>
      </w:r>
      <w:r w:rsidRPr="00882F11">
        <w:rPr>
          <w:rFonts w:cs="Guttman Drogolin"/>
          <w:rtl/>
          <w:lang w:bidi="he-IL"/>
        </w:rPr>
        <w:t xml:space="preserve">, </w:t>
      </w:r>
      <w:r w:rsidRPr="00882F11">
        <w:rPr>
          <w:rFonts w:cs="Guttman Drogolin" w:hint="cs"/>
          <w:rtl/>
          <w:lang w:bidi="he-IL"/>
        </w:rPr>
        <w:lastRenderedPageBreak/>
        <w:t>או</w:t>
      </w:r>
      <w:r w:rsidRPr="00882F11">
        <w:rPr>
          <w:rFonts w:cs="Guttman Drogolin"/>
          <w:rtl/>
          <w:lang w:bidi="he-IL"/>
        </w:rPr>
        <w:t xml:space="preserve"> </w:t>
      </w:r>
      <w:r w:rsidRPr="00882F11">
        <w:rPr>
          <w:rFonts w:cs="Guttman Drogolin" w:hint="cs"/>
          <w:rtl/>
          <w:lang w:bidi="he-IL"/>
        </w:rPr>
        <w:t>להפך</w:t>
      </w:r>
      <w:r w:rsidRPr="00882F11">
        <w:rPr>
          <w:rFonts w:cs="Guttman Drogolin"/>
          <w:rtl/>
          <w:lang w:bidi="he-IL"/>
        </w:rPr>
        <w:t xml:space="preserve">, </w:t>
      </w:r>
      <w:r w:rsidRPr="00882F11">
        <w:rPr>
          <w:rFonts w:cs="Guttman Drogolin" w:hint="cs"/>
          <w:rtl/>
          <w:lang w:bidi="he-IL"/>
        </w:rPr>
        <w:t>או</w:t>
      </w:r>
      <w:r w:rsidRPr="00882F11">
        <w:rPr>
          <w:rFonts w:cs="Guttman Drogolin"/>
          <w:rtl/>
          <w:lang w:bidi="he-IL"/>
        </w:rPr>
        <w:t xml:space="preserve"> </w:t>
      </w:r>
      <w:r w:rsidRPr="00882F11">
        <w:rPr>
          <w:rFonts w:cs="Guttman Drogolin" w:hint="cs"/>
          <w:rtl/>
          <w:lang w:bidi="he-IL"/>
        </w:rPr>
        <w:t>שיש</w:t>
      </w:r>
      <w:r w:rsidRPr="00882F11">
        <w:rPr>
          <w:rFonts w:cs="Guttman Drogolin"/>
          <w:rtl/>
          <w:lang w:bidi="he-IL"/>
        </w:rPr>
        <w:t xml:space="preserve"> </w:t>
      </w:r>
      <w:r w:rsidRPr="00882F11">
        <w:rPr>
          <w:rFonts w:cs="Guttman Drogolin" w:hint="cs"/>
          <w:rtl/>
          <w:lang w:bidi="he-IL"/>
        </w:rPr>
        <w:t>במאכל</w:t>
      </w:r>
      <w:r w:rsidRPr="00882F11">
        <w:rPr>
          <w:rFonts w:cs="Guttman Drogolin"/>
          <w:rtl/>
          <w:lang w:bidi="he-IL"/>
        </w:rPr>
        <w:t xml:space="preserve"> </w:t>
      </w:r>
      <w:r w:rsidRPr="00882F11">
        <w:rPr>
          <w:rFonts w:cs="Guttman Drogolin" w:hint="cs"/>
          <w:rtl/>
          <w:lang w:bidi="he-IL"/>
        </w:rPr>
        <w:t>ששים</w:t>
      </w:r>
      <w:r w:rsidRPr="00882F11">
        <w:rPr>
          <w:rFonts w:cs="Guttman Drogolin"/>
          <w:rtl/>
          <w:lang w:bidi="he-IL"/>
        </w:rPr>
        <w:t xml:space="preserve">, </w:t>
      </w:r>
      <w:r w:rsidRPr="00882F11">
        <w:rPr>
          <w:rFonts w:cs="Guttman Drogolin" w:hint="cs"/>
          <w:rtl/>
          <w:lang w:bidi="he-IL"/>
        </w:rPr>
        <w:t>הכל</w:t>
      </w:r>
      <w:r w:rsidRPr="00882F11">
        <w:rPr>
          <w:rFonts w:cs="Guttman Drogolin"/>
          <w:rtl/>
          <w:lang w:bidi="he-IL"/>
        </w:rPr>
        <w:t xml:space="preserve"> </w:t>
      </w:r>
      <w:r w:rsidRPr="00882F11">
        <w:rPr>
          <w:rFonts w:cs="Guttman Drogolin" w:hint="cs"/>
          <w:rtl/>
          <w:lang w:bidi="he-IL"/>
        </w:rPr>
        <w:t>שרי</w:t>
      </w:r>
      <w:r w:rsidRPr="00882F11">
        <w:rPr>
          <w:rFonts w:cs="Guttman Drogolin"/>
          <w:rtl/>
          <w:lang w:bidi="he-IL"/>
        </w:rPr>
        <w:t xml:space="preserve">. </w:t>
      </w:r>
      <w:r w:rsidRPr="00882F11">
        <w:rPr>
          <w:rFonts w:cs="Guttman Drogolin" w:hint="cs"/>
          <w:rtl/>
          <w:lang w:bidi="he-IL"/>
        </w:rPr>
        <w:t>ונוהגין</w:t>
      </w:r>
      <w:r w:rsidRPr="00882F11">
        <w:rPr>
          <w:rFonts w:cs="Guttman Drogolin"/>
          <w:rtl/>
          <w:lang w:bidi="he-IL"/>
        </w:rPr>
        <w:t xml:space="preserve"> </w:t>
      </w:r>
      <w:r w:rsidRPr="00882F11">
        <w:rPr>
          <w:rFonts w:cs="Guttman Drogolin" w:hint="cs"/>
          <w:rtl/>
          <w:lang w:bidi="he-IL"/>
        </w:rPr>
        <w:t>להחמיר</w:t>
      </w:r>
      <w:r w:rsidRPr="00882F11">
        <w:rPr>
          <w:rFonts w:cs="Guttman Drogolin"/>
          <w:rtl/>
          <w:lang w:bidi="he-IL"/>
        </w:rPr>
        <w:t xml:space="preserve"> </w:t>
      </w:r>
      <w:r w:rsidRPr="00882F11">
        <w:rPr>
          <w:rFonts w:cs="Guttman Drogolin" w:hint="cs"/>
          <w:rtl/>
          <w:lang w:bidi="he-IL"/>
        </w:rPr>
        <w:t>לאכול</w:t>
      </w:r>
      <w:r w:rsidRPr="00882F11">
        <w:rPr>
          <w:rFonts w:cs="Guttman Drogolin"/>
          <w:rtl/>
          <w:lang w:bidi="he-IL"/>
        </w:rPr>
        <w:t xml:space="preserve"> </w:t>
      </w:r>
      <w:r w:rsidRPr="00882F11">
        <w:rPr>
          <w:rFonts w:cs="Guttman Drogolin" w:hint="cs"/>
          <w:rtl/>
          <w:lang w:bidi="he-IL"/>
        </w:rPr>
        <w:t>המאכל</w:t>
      </w:r>
      <w:r w:rsidRPr="00882F11">
        <w:rPr>
          <w:rFonts w:cs="Guttman Drogolin"/>
          <w:rtl/>
          <w:lang w:bidi="he-IL"/>
        </w:rPr>
        <w:t xml:space="preserve"> </w:t>
      </w:r>
      <w:r w:rsidRPr="00882F11">
        <w:rPr>
          <w:rFonts w:cs="Guttman Drogolin" w:hint="cs"/>
          <w:rtl/>
          <w:lang w:bidi="he-IL"/>
        </w:rPr>
        <w:t>כמין</w:t>
      </w:r>
      <w:r w:rsidRPr="00882F11">
        <w:rPr>
          <w:rFonts w:cs="Guttman Drogolin"/>
          <w:rtl/>
          <w:lang w:bidi="he-IL"/>
        </w:rPr>
        <w:t xml:space="preserve"> </w:t>
      </w:r>
      <w:r w:rsidRPr="00882F11">
        <w:rPr>
          <w:rFonts w:cs="Guttman Drogolin" w:hint="cs"/>
          <w:rtl/>
          <w:lang w:bidi="he-IL"/>
        </w:rPr>
        <w:t>הכלי</w:t>
      </w:r>
      <w:r w:rsidRPr="00882F11">
        <w:rPr>
          <w:rFonts w:cs="Guttman Drogolin"/>
          <w:rtl/>
          <w:lang w:bidi="he-IL"/>
        </w:rPr>
        <w:t xml:space="preserve"> </w:t>
      </w:r>
      <w:r w:rsidRPr="00882F11">
        <w:rPr>
          <w:rFonts w:cs="Guttman Drogolin" w:hint="cs"/>
          <w:rtl/>
          <w:lang w:bidi="he-IL"/>
        </w:rPr>
        <w:t>שהוא</w:t>
      </w:r>
      <w:r w:rsidRPr="00882F11">
        <w:rPr>
          <w:rFonts w:cs="Guttman Drogolin"/>
          <w:rtl/>
          <w:lang w:bidi="he-IL"/>
        </w:rPr>
        <w:t xml:space="preserve"> </w:t>
      </w:r>
      <w:r w:rsidRPr="00882F11">
        <w:rPr>
          <w:rFonts w:cs="Guttman Drogolin" w:hint="cs"/>
          <w:rtl/>
          <w:lang w:bidi="he-IL"/>
        </w:rPr>
        <w:t>בן</w:t>
      </w:r>
      <w:r w:rsidRPr="00882F11">
        <w:rPr>
          <w:rFonts w:cs="Guttman Drogolin"/>
          <w:rtl/>
          <w:lang w:bidi="he-IL"/>
        </w:rPr>
        <w:t xml:space="preserve"> </w:t>
      </w:r>
      <w:r w:rsidRPr="00882F11">
        <w:rPr>
          <w:rFonts w:cs="Guttman Drogolin" w:hint="cs"/>
          <w:rtl/>
          <w:lang w:bidi="he-IL"/>
        </w:rPr>
        <w:t>יומו</w:t>
      </w:r>
      <w:r w:rsidRPr="00882F11">
        <w:rPr>
          <w:rFonts w:cs="Guttman Drogolin"/>
          <w:rtl/>
          <w:lang w:bidi="he-IL"/>
        </w:rPr>
        <w:t xml:space="preserve">, </w:t>
      </w:r>
      <w:r w:rsidRPr="00882F11">
        <w:rPr>
          <w:rFonts w:cs="Guttman Drogolin" w:hint="cs"/>
          <w:rtl/>
          <w:lang w:bidi="he-IL"/>
        </w:rPr>
        <w:t>ולאסור</w:t>
      </w:r>
      <w:r w:rsidRPr="00882F11">
        <w:rPr>
          <w:rFonts w:cs="Guttman Drogolin"/>
          <w:rtl/>
          <w:lang w:bidi="he-IL"/>
        </w:rPr>
        <w:t xml:space="preserve"> </w:t>
      </w:r>
      <w:r w:rsidRPr="00882F11">
        <w:rPr>
          <w:rFonts w:cs="Guttman Drogolin" w:hint="cs"/>
          <w:rtl/>
          <w:lang w:bidi="he-IL"/>
        </w:rPr>
        <w:t>הכלי</w:t>
      </w:r>
      <w:r w:rsidRPr="00882F11">
        <w:rPr>
          <w:rFonts w:cs="Guttman Drogolin"/>
          <w:rtl/>
          <w:lang w:bidi="he-IL"/>
        </w:rPr>
        <w:t xml:space="preserve"> </w:t>
      </w:r>
      <w:r w:rsidRPr="00882F11">
        <w:rPr>
          <w:rFonts w:cs="Guttman Drogolin" w:hint="cs"/>
          <w:rtl/>
          <w:lang w:bidi="he-IL"/>
        </w:rPr>
        <w:t>שאינו</w:t>
      </w:r>
      <w:r w:rsidRPr="00882F11">
        <w:rPr>
          <w:rFonts w:cs="Guttman Drogolin"/>
          <w:rtl/>
          <w:lang w:bidi="he-IL"/>
        </w:rPr>
        <w:t xml:space="preserve"> </w:t>
      </w:r>
      <w:r w:rsidRPr="00882F11">
        <w:rPr>
          <w:rFonts w:cs="Guttman Drogolin" w:hint="cs"/>
          <w:rtl/>
          <w:lang w:bidi="he-IL"/>
        </w:rPr>
        <w:t>בן</w:t>
      </w:r>
      <w:r w:rsidRPr="00882F11">
        <w:rPr>
          <w:rFonts w:cs="Guttman Drogolin"/>
          <w:rtl/>
          <w:lang w:bidi="he-IL"/>
        </w:rPr>
        <w:t xml:space="preserve"> </w:t>
      </w:r>
      <w:r w:rsidRPr="00882F11">
        <w:rPr>
          <w:rFonts w:cs="Guttman Drogolin" w:hint="cs"/>
          <w:rtl/>
          <w:lang w:bidi="he-IL"/>
        </w:rPr>
        <w:t>יומו</w:t>
      </w:r>
      <w:r w:rsidRPr="00882F11">
        <w:rPr>
          <w:rFonts w:cs="Guttman Drogolin"/>
          <w:rtl/>
          <w:lang w:bidi="he-IL"/>
        </w:rPr>
        <w:t xml:space="preserve"> (</w:t>
      </w:r>
      <w:r w:rsidRPr="00882F11">
        <w:rPr>
          <w:rFonts w:cs="Guttman Drogolin" w:hint="cs"/>
          <w:rtl/>
          <w:lang w:bidi="he-IL"/>
        </w:rPr>
        <w:t>ארוך</w:t>
      </w:r>
      <w:r w:rsidRPr="00882F11">
        <w:rPr>
          <w:rFonts w:cs="Guttman Drogolin"/>
          <w:rtl/>
          <w:lang w:bidi="he-IL"/>
        </w:rPr>
        <w:t xml:space="preserve"> </w:t>
      </w:r>
      <w:r w:rsidRPr="00882F11">
        <w:rPr>
          <w:rFonts w:cs="Guttman Drogolin" w:hint="cs"/>
          <w:rtl/>
          <w:lang w:bidi="he-IL"/>
        </w:rPr>
        <w:t>כלל</w:t>
      </w:r>
      <w:r w:rsidRPr="00882F11">
        <w:rPr>
          <w:rFonts w:cs="Guttman Drogolin"/>
          <w:rtl/>
          <w:lang w:bidi="he-IL"/>
        </w:rPr>
        <w:t xml:space="preserve"> </w:t>
      </w:r>
      <w:r w:rsidRPr="00882F11">
        <w:rPr>
          <w:rFonts w:cs="Guttman Drogolin" w:hint="cs"/>
          <w:rtl/>
          <w:lang w:bidi="he-IL"/>
        </w:rPr>
        <w:t>ל</w:t>
      </w:r>
      <w:r w:rsidRPr="00882F11">
        <w:rPr>
          <w:rFonts w:cs="Guttman Drogolin"/>
          <w:rtl/>
          <w:lang w:bidi="he-IL"/>
        </w:rPr>
        <w:t>"</w:t>
      </w:r>
      <w:r w:rsidRPr="00882F11">
        <w:rPr>
          <w:rFonts w:cs="Guttman Drogolin" w:hint="cs"/>
          <w:rtl/>
          <w:lang w:bidi="he-IL"/>
        </w:rPr>
        <w:t>ז</w:t>
      </w:r>
      <w:r w:rsidRPr="00882F11">
        <w:rPr>
          <w:rFonts w:cs="Guttman Drogolin"/>
          <w:rtl/>
          <w:lang w:bidi="he-IL"/>
        </w:rPr>
        <w:t xml:space="preserve">), </w:t>
      </w:r>
      <w:r w:rsidRPr="00882F11">
        <w:rPr>
          <w:rFonts w:cs="Guttman Drogolin" w:hint="cs"/>
          <w:rtl/>
          <w:lang w:bidi="he-IL"/>
        </w:rPr>
        <w:t>ואינו</w:t>
      </w:r>
      <w:r w:rsidRPr="00882F11">
        <w:rPr>
          <w:rFonts w:cs="Guttman Drogolin"/>
          <w:rtl/>
          <w:lang w:bidi="he-IL"/>
        </w:rPr>
        <w:t xml:space="preserve"> </w:t>
      </w:r>
      <w:r w:rsidRPr="00882F11">
        <w:rPr>
          <w:rFonts w:cs="Guttman Drogolin" w:hint="cs"/>
          <w:rtl/>
          <w:lang w:bidi="he-IL"/>
        </w:rPr>
        <w:t>אלא</w:t>
      </w:r>
      <w:r w:rsidRPr="00882F11">
        <w:rPr>
          <w:rFonts w:cs="Guttman Drogolin"/>
          <w:rtl/>
          <w:lang w:bidi="he-IL"/>
        </w:rPr>
        <w:t xml:space="preserve"> </w:t>
      </w:r>
      <w:r w:rsidRPr="00882F11">
        <w:rPr>
          <w:rFonts w:cs="Guttman Drogolin" w:hint="cs"/>
          <w:rtl/>
          <w:lang w:bidi="he-IL"/>
        </w:rPr>
        <w:t>חומרא</w:t>
      </w:r>
      <w:r w:rsidRPr="00882F11">
        <w:rPr>
          <w:rFonts w:cs="Guttman Drogolin"/>
          <w:rtl/>
          <w:lang w:bidi="he-IL"/>
        </w:rPr>
        <w:t xml:space="preserve"> </w:t>
      </w:r>
      <w:r w:rsidRPr="00882F11">
        <w:rPr>
          <w:rFonts w:cs="Guttman Drogolin" w:hint="cs"/>
          <w:rtl/>
          <w:lang w:bidi="he-IL"/>
        </w:rPr>
        <w:t>בעלמא</w:t>
      </w:r>
      <w:r w:rsidRPr="00882F11">
        <w:rPr>
          <w:rFonts w:cs="Guttman Drogolin"/>
          <w:rtl/>
          <w:lang w:bidi="he-IL"/>
        </w:rPr>
        <w:t xml:space="preserve">, </w:t>
      </w:r>
      <w:r w:rsidRPr="00882F11">
        <w:rPr>
          <w:rFonts w:cs="Guttman Drogolin" w:hint="cs"/>
          <w:rtl/>
          <w:lang w:bidi="he-IL"/>
        </w:rPr>
        <w:t>כי</w:t>
      </w:r>
      <w:r w:rsidRPr="00882F11">
        <w:rPr>
          <w:rFonts w:cs="Guttman Drogolin"/>
          <w:rtl/>
          <w:lang w:bidi="he-IL"/>
        </w:rPr>
        <w:t xml:space="preserve"> </w:t>
      </w:r>
      <w:r w:rsidRPr="00882F11">
        <w:rPr>
          <w:rFonts w:cs="Guttman Drogolin" w:hint="cs"/>
          <w:rtl/>
          <w:lang w:bidi="he-IL"/>
        </w:rPr>
        <w:t>מדינא</w:t>
      </w:r>
      <w:r w:rsidRPr="00882F11">
        <w:rPr>
          <w:rFonts w:cs="Guttman Drogolin"/>
          <w:rtl/>
          <w:lang w:bidi="he-IL"/>
        </w:rPr>
        <w:t xml:space="preserve"> </w:t>
      </w:r>
      <w:r w:rsidRPr="00882F11">
        <w:rPr>
          <w:rFonts w:cs="Guttman Drogolin" w:hint="cs"/>
          <w:rtl/>
          <w:lang w:bidi="he-IL"/>
        </w:rPr>
        <w:t>הכל</w:t>
      </w:r>
      <w:r w:rsidRPr="00882F11">
        <w:rPr>
          <w:rFonts w:cs="Guttman Drogolin"/>
          <w:rtl/>
          <w:lang w:bidi="he-IL"/>
        </w:rPr>
        <w:t xml:space="preserve"> </w:t>
      </w:r>
      <w:r w:rsidRPr="00882F11">
        <w:rPr>
          <w:rFonts w:cs="Guttman Drogolin" w:hint="cs"/>
          <w:rtl/>
          <w:lang w:bidi="he-IL"/>
        </w:rPr>
        <w:t>שרי"</w:t>
      </w:r>
      <w:r w:rsidR="00F52022" w:rsidRPr="00882F11">
        <w:rPr>
          <w:rFonts w:cs="Guttman Drogolin" w:hint="cs"/>
          <w:rtl/>
          <w:lang w:bidi="he-IL"/>
        </w:rPr>
        <w:t xml:space="preserve">. והנה זה שמחלקים בין הכלי שהוא בן יומו לכלי שאינו בן יומו פשוט, שהרי הכלי שהוא בן יומו יש לו כח לתת טעם לשבח לכלי שאינו בן יומו, ואילו הכלי שאינו בן יומו אינו נותן אלא טעם לפגם. ולכן הכלי שהוא בן יומו יש לו כח לתת למאכל דינו של הכלי, וכן לאסור הכלי שאינו בן יומו שהוא מן המין השני. </w:t>
      </w:r>
    </w:p>
    <w:p w:rsidR="007B7B4A" w:rsidRPr="00882F11" w:rsidRDefault="007B7B4A" w:rsidP="00C43EC1">
      <w:pPr>
        <w:tabs>
          <w:tab w:val="right" w:pos="7497"/>
        </w:tabs>
        <w:bidi/>
        <w:jc w:val="both"/>
        <w:rPr>
          <w:rFonts w:cs="Guttman Drogolin"/>
          <w:rtl/>
          <w:lang w:bidi="he-IL"/>
        </w:rPr>
      </w:pPr>
      <w:r w:rsidRPr="00882F11">
        <w:rPr>
          <w:rFonts w:cs="Guttman Drogolin" w:hint="cs"/>
          <w:rtl/>
          <w:lang w:bidi="he-IL"/>
        </w:rPr>
        <w:t xml:space="preserve">אלא דהנה מבואר ברמ"א שגם בזה לא הי' לנו להחמיר מעיקר הדין אלא שנהגו להחמיר. ולכן תמה הש"ך </w:t>
      </w:r>
      <w:r w:rsidR="00C43EC1" w:rsidRPr="00882F11">
        <w:rPr>
          <w:rFonts w:cs="Guttman Drogolin" w:hint="cs"/>
          <w:rtl/>
          <w:lang w:bidi="he-IL"/>
        </w:rPr>
        <w:t xml:space="preserve">ס"ק י"ח </w:t>
      </w:r>
      <w:r w:rsidRPr="00882F11">
        <w:rPr>
          <w:rFonts w:cs="Guttman Drogolin" w:hint="cs"/>
          <w:rtl/>
          <w:lang w:bidi="he-IL"/>
        </w:rPr>
        <w:t xml:space="preserve">שלענין המאכל לכאורה אין זה רק מנהג לחומרא, שהרי כבר הזכרנו שהרמ"א החמיר לכתחילה כשיטת הריב"ן שנתבשלו לא נאמר בה הדין של נ"ט בר נ"ט, וזהו ממש דינא דנתבשלו (דהא לירקות שבקדירה ליכא ג' נ"ט ולא ב' כלים). ולכן </w:t>
      </w:r>
      <w:r w:rsidR="00EC53E4" w:rsidRPr="00882F11">
        <w:rPr>
          <w:rFonts w:cs="Guttman Drogolin" w:hint="cs"/>
          <w:rtl/>
          <w:lang w:bidi="he-IL"/>
        </w:rPr>
        <w:t>הגי'</w:t>
      </w:r>
      <w:r w:rsidRPr="00882F11">
        <w:rPr>
          <w:rFonts w:cs="Guttman Drogolin" w:hint="cs"/>
          <w:rtl/>
          <w:lang w:bidi="he-IL"/>
        </w:rPr>
        <w:t xml:space="preserve"> הש"ך</w:t>
      </w:r>
      <w:r w:rsidR="00EC53E4" w:rsidRPr="00882F11">
        <w:rPr>
          <w:rFonts w:cs="Guttman Drogolin" w:hint="cs"/>
          <w:rtl/>
          <w:lang w:bidi="he-IL"/>
        </w:rPr>
        <w:t xml:space="preserve"> את לשון הרמ"א הנ"ל "לאכול</w:t>
      </w:r>
      <w:r w:rsidR="00EC53E4" w:rsidRPr="00882F11">
        <w:rPr>
          <w:rFonts w:cs="Guttman Drogolin"/>
          <w:rtl/>
          <w:lang w:bidi="he-IL"/>
        </w:rPr>
        <w:t xml:space="preserve"> </w:t>
      </w:r>
      <w:r w:rsidR="00EC53E4" w:rsidRPr="00882F11">
        <w:rPr>
          <w:rFonts w:cs="Guttman Drogolin" w:hint="cs"/>
          <w:rtl/>
          <w:lang w:bidi="he-IL"/>
        </w:rPr>
        <w:t>המאכל</w:t>
      </w:r>
      <w:r w:rsidR="00EC53E4" w:rsidRPr="00882F11">
        <w:rPr>
          <w:rFonts w:cs="Guttman Drogolin"/>
          <w:rtl/>
          <w:lang w:bidi="he-IL"/>
        </w:rPr>
        <w:t xml:space="preserve"> </w:t>
      </w:r>
      <w:r w:rsidR="00EC53E4" w:rsidRPr="00882F11">
        <w:rPr>
          <w:rFonts w:cs="Guttman Drogolin" w:hint="cs"/>
          <w:u w:val="single"/>
          <w:rtl/>
          <w:lang w:bidi="he-IL"/>
        </w:rPr>
        <w:t>כ</w:t>
      </w:r>
      <w:r w:rsidR="00EC53E4" w:rsidRPr="00882F11">
        <w:rPr>
          <w:rFonts w:cs="Guttman Drogolin" w:hint="cs"/>
          <w:rtl/>
          <w:lang w:bidi="he-IL"/>
        </w:rPr>
        <w:t>מין</w:t>
      </w:r>
      <w:r w:rsidR="00EC53E4" w:rsidRPr="00882F11">
        <w:rPr>
          <w:rFonts w:cs="Guttman Drogolin"/>
          <w:rtl/>
          <w:lang w:bidi="he-IL"/>
        </w:rPr>
        <w:t xml:space="preserve"> </w:t>
      </w:r>
      <w:r w:rsidR="00EC53E4" w:rsidRPr="00882F11">
        <w:rPr>
          <w:rFonts w:cs="Guttman Drogolin" w:hint="cs"/>
          <w:rtl/>
          <w:lang w:bidi="he-IL"/>
        </w:rPr>
        <w:t>הכלי" ל" לאכול</w:t>
      </w:r>
      <w:r w:rsidR="00EC53E4" w:rsidRPr="00882F11">
        <w:rPr>
          <w:rFonts w:cs="Guttman Drogolin"/>
          <w:rtl/>
          <w:lang w:bidi="he-IL"/>
        </w:rPr>
        <w:t xml:space="preserve"> </w:t>
      </w:r>
      <w:r w:rsidR="00EC53E4" w:rsidRPr="00882F11">
        <w:rPr>
          <w:rFonts w:cs="Guttman Drogolin" w:hint="cs"/>
          <w:rtl/>
          <w:lang w:bidi="he-IL"/>
        </w:rPr>
        <w:t>המאכל</w:t>
      </w:r>
      <w:r w:rsidR="00EC53E4" w:rsidRPr="00882F11">
        <w:rPr>
          <w:rFonts w:cs="Guttman Drogolin"/>
          <w:rtl/>
          <w:lang w:bidi="he-IL"/>
        </w:rPr>
        <w:t xml:space="preserve"> </w:t>
      </w:r>
      <w:r w:rsidR="00EC53E4" w:rsidRPr="00882F11">
        <w:rPr>
          <w:rFonts w:cs="Guttman Drogolin" w:hint="cs"/>
          <w:u w:val="single"/>
          <w:rtl/>
          <w:lang w:bidi="he-IL"/>
        </w:rPr>
        <w:t>ב</w:t>
      </w:r>
      <w:r w:rsidR="00EC53E4" w:rsidRPr="00882F11">
        <w:rPr>
          <w:rFonts w:cs="Guttman Drogolin" w:hint="cs"/>
          <w:rtl/>
          <w:lang w:bidi="he-IL"/>
        </w:rPr>
        <w:t>מין</w:t>
      </w:r>
      <w:r w:rsidR="00EC53E4" w:rsidRPr="00882F11">
        <w:rPr>
          <w:rFonts w:cs="Guttman Drogolin"/>
          <w:rtl/>
          <w:lang w:bidi="he-IL"/>
        </w:rPr>
        <w:t xml:space="preserve"> </w:t>
      </w:r>
      <w:r w:rsidR="00EC53E4" w:rsidRPr="00882F11">
        <w:rPr>
          <w:rFonts w:cs="Guttman Drogolin" w:hint="cs"/>
          <w:rtl/>
          <w:lang w:bidi="he-IL"/>
        </w:rPr>
        <w:t xml:space="preserve">הכלי". ור"ל שמעיקר הדין אמנם מחמירים שלא לאכלו בכותח אם נתבשלו, אבל לא מחמרינן להניחו בהכלי שהוא </w:t>
      </w:r>
      <w:r w:rsidR="006739A2" w:rsidRPr="00882F11">
        <w:rPr>
          <w:rFonts w:cs="Guttman Drogolin" w:hint="cs"/>
          <w:rtl/>
          <w:lang w:bidi="he-IL"/>
        </w:rPr>
        <w:t>ממין הטעם שנכנס לוך המאכל. ובזה כתב הרמ"א שמ"מ אנחנו מחמירים להניחו בכלי ההוא</w:t>
      </w:r>
      <w:r w:rsidR="007762A7" w:rsidRPr="00882F11">
        <w:rPr>
          <w:rFonts w:cs="Guttman Drogolin" w:hint="cs"/>
          <w:rtl/>
          <w:lang w:bidi="he-IL"/>
        </w:rPr>
        <w:t>. וע"פ פי' זה תמה הש"ך, שהרי הרמ"א לקמן בסי' צ</w:t>
      </w:r>
      <w:r w:rsidR="008D79C4" w:rsidRPr="00882F11">
        <w:rPr>
          <w:rFonts w:cs="Guttman Drogolin" w:hint="cs"/>
          <w:rtl/>
          <w:lang w:bidi="he-IL"/>
        </w:rPr>
        <w:t xml:space="preserve">"ה הקיל שאפשר באמת להניחו בכלי </w:t>
      </w:r>
      <w:r w:rsidR="007762A7" w:rsidRPr="00882F11">
        <w:rPr>
          <w:rFonts w:cs="Guttman Drogolin" w:hint="cs"/>
          <w:rtl/>
          <w:lang w:bidi="he-IL"/>
        </w:rPr>
        <w:t>של המין השני, ולא העיר ממנהג זה. וכתב הש"ך ליישב דאו שהוא מנהג קצת קהילות אבל לא מנהג קבוע, או"ד דשאני נד"ד דאיכא לאחלופי בכה"ג דתרוייהו בני יומן, שבזה מחמירים כתוס' וס' התרומה בדינא דהדחת קערות.</w:t>
      </w:r>
    </w:p>
    <w:p w:rsidR="00C43EC1" w:rsidRPr="00882F11" w:rsidRDefault="007762A7" w:rsidP="00C43EC1">
      <w:pPr>
        <w:tabs>
          <w:tab w:val="right" w:pos="7497"/>
        </w:tabs>
        <w:bidi/>
        <w:jc w:val="both"/>
        <w:rPr>
          <w:rFonts w:cs="Guttman Drogolin"/>
          <w:rtl/>
          <w:lang w:bidi="he-IL"/>
        </w:rPr>
      </w:pPr>
      <w:r w:rsidRPr="00882F11">
        <w:rPr>
          <w:rFonts w:cs="Guttman Drogolin" w:hint="cs"/>
          <w:rtl/>
          <w:lang w:bidi="he-IL"/>
        </w:rPr>
        <w:t xml:space="preserve">וכל זה הוא לענין המאכל, </w:t>
      </w:r>
      <w:r w:rsidR="00C43EC1" w:rsidRPr="00882F11">
        <w:rPr>
          <w:rFonts w:cs="Guttman Drogolin" w:hint="cs"/>
          <w:rtl/>
          <w:lang w:bidi="he-IL"/>
        </w:rPr>
        <w:t>ולענין</w:t>
      </w:r>
      <w:r w:rsidRPr="00882F11">
        <w:rPr>
          <w:rFonts w:cs="Guttman Drogolin" w:hint="cs"/>
          <w:rtl/>
          <w:lang w:bidi="he-IL"/>
        </w:rPr>
        <w:t xml:space="preserve"> הכלי </w:t>
      </w:r>
      <w:r w:rsidR="00C43EC1" w:rsidRPr="00882F11">
        <w:rPr>
          <w:rFonts w:cs="Guttman Drogolin" w:hint="cs"/>
          <w:rtl/>
          <w:lang w:bidi="he-IL"/>
        </w:rPr>
        <w:t>העיר הש"ך בס"ק כ"א שלפי דברי המחבר כאן לכאורה גם הכלי הי' צריך להיות אסור מדינא. וכתב לחלק שאולי שאני התם שהכלי לא הי' חלבי מעיקרא אלא ע"י הכנסת כף, משא"כ כאן שהיתה חלבי ממש רק אינו ב"י, בזה אמרינן שאין מוציאין הכלי מחזקתו ע"י הכנסת כף. וסיים הש"ך שמ"מ לדינא ד</w:t>
      </w:r>
      <w:r w:rsidR="00C53D53" w:rsidRPr="00882F11">
        <w:rPr>
          <w:rFonts w:cs="Guttman Drogolin" w:hint="cs"/>
          <w:rtl/>
          <w:lang w:bidi="he-IL"/>
        </w:rPr>
        <w:t>ב</w:t>
      </w:r>
      <w:r w:rsidR="00C43EC1" w:rsidRPr="00882F11">
        <w:rPr>
          <w:rFonts w:cs="Guttman Drogolin" w:hint="cs"/>
          <w:rtl/>
          <w:lang w:bidi="he-IL"/>
        </w:rPr>
        <w:t xml:space="preserve">רי המחבר קשים וכמש"נ. </w:t>
      </w:r>
      <w:r w:rsidR="00011520" w:rsidRPr="00882F11">
        <w:rPr>
          <w:rFonts w:cs="Guttman Drogolin" w:hint="cs"/>
          <w:rtl/>
          <w:lang w:bidi="he-IL"/>
        </w:rPr>
        <w:t>דהא ג' נ"ט וב' כלים.</w:t>
      </w:r>
    </w:p>
    <w:p w:rsidR="0085692F" w:rsidRPr="00882F11" w:rsidRDefault="00C43EC1" w:rsidP="0085692F">
      <w:pPr>
        <w:tabs>
          <w:tab w:val="right" w:pos="7497"/>
        </w:tabs>
        <w:bidi/>
        <w:jc w:val="both"/>
        <w:rPr>
          <w:rFonts w:cs="Guttman Drogolin"/>
          <w:rtl/>
          <w:lang w:bidi="he-IL"/>
        </w:rPr>
      </w:pPr>
      <w:r w:rsidRPr="00882F11">
        <w:rPr>
          <w:rFonts w:cs="Guttman Drogolin" w:hint="cs"/>
          <w:rtl/>
          <w:lang w:bidi="he-IL"/>
        </w:rPr>
        <w:lastRenderedPageBreak/>
        <w:t xml:space="preserve">אמנם כל זה הוא לפי המהלך של הש"ך, אבל הט"ז בס"ק </w:t>
      </w:r>
      <w:r w:rsidR="0085692F" w:rsidRPr="00882F11">
        <w:rPr>
          <w:rFonts w:cs="Guttman Drogolin" w:hint="cs"/>
          <w:rtl/>
          <w:lang w:bidi="he-IL"/>
        </w:rPr>
        <w:t>ו' כתב הטעם שחומרא של הרמ"א משום שאוסרים המאכל שיהא לו דין של הכלי שהוא בן יומו, וכיון שמערים אותו מאכל מכלי זה, אינו בדין שיהא המאכל כמין הכלי והכלי שמערים ממנו מותר. ושם בט"ז מבואר שדברי המחבר כאן הם מבוססים על מנהג זה של הרמ"א (וזהו דלא כש"ך שהבין שהוא חומרא נוספת על דברי המחבר שהם מדינא (אע"ג שנתקשה הש"ך בדבריו וכנ"ל). ור"ל שכוונת השו"ע ג"כ אינו אלא למנהג להחמיר. אמנם הט"ז לא ביאר לנו מהו הטעם להחמיר במאכל עצמו, ובפרט לשיטת המחבר דסבר שבנתבשלו ג"כ נאמר הדין של נ"ט בר נ"ט. וצ"ע.</w:t>
      </w:r>
    </w:p>
    <w:p w:rsidR="00204320" w:rsidRPr="00882F11" w:rsidRDefault="0085692F" w:rsidP="00204320">
      <w:pPr>
        <w:tabs>
          <w:tab w:val="right" w:pos="7497"/>
        </w:tabs>
        <w:bidi/>
        <w:jc w:val="both"/>
        <w:rPr>
          <w:rFonts w:cs="Guttman Drogolin"/>
          <w:rtl/>
          <w:lang w:bidi="he-IL"/>
        </w:rPr>
      </w:pPr>
      <w:r w:rsidRPr="00882F11">
        <w:rPr>
          <w:rFonts w:cs="Guttman Drogolin" w:hint="cs"/>
          <w:rtl/>
          <w:lang w:bidi="he-IL"/>
        </w:rPr>
        <w:t xml:space="preserve">ובדף אחרון כתב הט"ז טעם אחר בדברי המחבר, והוא שהרי הב"י </w:t>
      </w:r>
      <w:r w:rsidR="00F45DA1" w:rsidRPr="00882F11">
        <w:rPr>
          <w:rFonts w:cs="Guttman Drogolin" w:hint="cs"/>
          <w:rtl/>
          <w:lang w:bidi="he-IL"/>
        </w:rPr>
        <w:t>בסי' צ"ה כתב שאין סומכים על היתירא דנ"ט בר נ"ט לכתחילה אפילו אם כבר עלו הדגים בקערה, ו</w:t>
      </w:r>
      <w:r w:rsidR="00EF6ABA" w:rsidRPr="00882F11">
        <w:rPr>
          <w:rFonts w:cs="Guttman Drogolin" w:hint="cs"/>
          <w:rtl/>
          <w:lang w:bidi="he-IL"/>
        </w:rPr>
        <w:t>לכאורה כוונתו ש</w:t>
      </w:r>
      <w:r w:rsidR="00F45DA1" w:rsidRPr="00882F11">
        <w:rPr>
          <w:rFonts w:cs="Guttman Drogolin" w:hint="cs"/>
          <w:rtl/>
          <w:lang w:bidi="he-IL"/>
        </w:rPr>
        <w:t>א"כ הה"נ בג' נ"ט וכן ב' כלים.</w:t>
      </w:r>
      <w:r w:rsidR="00EF6ABA" w:rsidRPr="00882F11">
        <w:rPr>
          <w:rFonts w:cs="Guttman Drogolin" w:hint="cs"/>
          <w:rtl/>
          <w:lang w:bidi="he-IL"/>
        </w:rPr>
        <w:t xml:space="preserve"> וע"ש שביאר שהא דנקט דשרי כיון שהשתמש בכף השני לאחר מעל"ע</w:t>
      </w:r>
      <w:r w:rsidR="00F45DA1" w:rsidRPr="00882F11">
        <w:rPr>
          <w:rFonts w:cs="Guttman Drogolin" w:hint="cs"/>
          <w:rtl/>
          <w:lang w:bidi="he-IL"/>
        </w:rPr>
        <w:t xml:space="preserve"> </w:t>
      </w:r>
      <w:r w:rsidR="00EF6ABA" w:rsidRPr="00882F11">
        <w:rPr>
          <w:rFonts w:cs="Guttman Drogolin" w:hint="cs"/>
          <w:rtl/>
          <w:lang w:bidi="he-IL"/>
        </w:rPr>
        <w:t>בדוקא נקט, ולא משום מ</w:t>
      </w:r>
      <w:r w:rsidR="000A1779" w:rsidRPr="00882F11">
        <w:rPr>
          <w:rFonts w:cs="Guttman Drogolin" w:hint="cs"/>
          <w:rtl/>
          <w:lang w:bidi="he-IL"/>
        </w:rPr>
        <w:t>עשה שההי' וכמו שטען הש"ך. והביאור שאם יש יותר מזמן מעל"ע מן התשמיש הראשון, א"כ לא צריכים להיתירא דנ"ט בר נ"ט, דהא כבר נעשית לפגם, ולא אמרינן בזה אינו ב"י אטו ב"י כיון שהוא נ"ט בר נ"ט (ולא דמי להא דמבואר ברמ"א בסי' צ"ה שמחמירים נ"ט בר נ"ט שאינו ב"י לכתחילה, דהתם מיירי שהבליעות שבתוך הכלי היו נ"ט גמור, רק רוצה להשתמש בה חדבר שלא יהי' אלא נ"ט בר נ"ט, משא"כ בנד"ד), ולענין השימוש השני אה"נ אי אפשר להשתמש בה כמין השני כל זמן שהוא בן יומו. אבל אם הוא תוך מעל"ע אפילו משימוש הראשון אסור להשתמש בה לא חלב ולא בשר כיון שהוי נ"ט בר נ"ט לכתחילה. ושם חילק בין כלי חדש לכלי ישן (וכמש"כ שם הרמ"א) שבכלי שכבר בלוע טעם גמור ממין א' ושוב הכניס כף שע"י זה יש טעם דנ"ט בר נ"ט, לא צריכים להחמיר שלא להשתמש בטעם ההפכי של הנ"ט בר נ"ט, דכיון שכבר יש בה טעם גמור מן המין ההוא הוי הנידון של נ"ט בר נ"ט כדיעבד ו</w:t>
      </w:r>
      <w:r w:rsidR="00204320" w:rsidRPr="00882F11">
        <w:rPr>
          <w:rFonts w:cs="Guttman Drogolin" w:hint="cs"/>
          <w:rtl/>
          <w:lang w:bidi="he-IL"/>
        </w:rPr>
        <w:t>ל</w:t>
      </w:r>
      <w:r w:rsidR="000A1779" w:rsidRPr="00882F11">
        <w:rPr>
          <w:rFonts w:cs="Guttman Drogolin" w:hint="cs"/>
          <w:rtl/>
          <w:lang w:bidi="he-IL"/>
        </w:rPr>
        <w:t>א</w:t>
      </w:r>
      <w:r w:rsidR="00204320" w:rsidRPr="00882F11">
        <w:rPr>
          <w:rFonts w:cs="Guttman Drogolin" w:hint="cs"/>
          <w:rtl/>
          <w:lang w:bidi="he-IL"/>
        </w:rPr>
        <w:t xml:space="preserve"> </w:t>
      </w:r>
      <w:r w:rsidR="000A1779" w:rsidRPr="00882F11">
        <w:rPr>
          <w:rFonts w:cs="Guttman Drogolin" w:hint="cs"/>
          <w:rtl/>
          <w:lang w:bidi="he-IL"/>
        </w:rPr>
        <w:t>ל</w:t>
      </w:r>
      <w:r w:rsidR="00204320" w:rsidRPr="00882F11">
        <w:rPr>
          <w:rFonts w:cs="Guttman Drogolin" w:hint="cs"/>
          <w:rtl/>
          <w:lang w:bidi="he-IL"/>
        </w:rPr>
        <w:t>כ</w:t>
      </w:r>
      <w:r w:rsidR="000A1779" w:rsidRPr="00882F11">
        <w:rPr>
          <w:rFonts w:cs="Guttman Drogolin" w:hint="cs"/>
          <w:rtl/>
          <w:lang w:bidi="he-IL"/>
        </w:rPr>
        <w:t>תחילה</w:t>
      </w:r>
      <w:r w:rsidR="00204320" w:rsidRPr="00882F11">
        <w:rPr>
          <w:rFonts w:cs="Guttman Drogolin" w:hint="cs"/>
          <w:rtl/>
          <w:lang w:bidi="he-IL"/>
        </w:rPr>
        <w:t xml:space="preserve">. רק כששני הטעמים הם נ"ט בר נ"ט </w:t>
      </w:r>
      <w:r w:rsidR="00204320" w:rsidRPr="00882F11">
        <w:rPr>
          <w:rFonts w:cs="Guttman Drogolin" w:hint="cs"/>
          <w:rtl/>
          <w:lang w:bidi="he-IL"/>
        </w:rPr>
        <w:lastRenderedPageBreak/>
        <w:t xml:space="preserve">ויש נידון לפנינו כאיזה טעם לקבוע הכלי, וזה הוי כלכתחילה. </w:t>
      </w:r>
    </w:p>
    <w:p w:rsidR="00204320" w:rsidRPr="00882F11" w:rsidRDefault="00204320" w:rsidP="00204320">
      <w:pPr>
        <w:tabs>
          <w:tab w:val="right" w:pos="7497"/>
        </w:tabs>
        <w:bidi/>
        <w:jc w:val="both"/>
        <w:rPr>
          <w:rFonts w:cs="Guttman Drogolin"/>
          <w:rtl/>
          <w:lang w:bidi="he-IL"/>
        </w:rPr>
      </w:pPr>
      <w:r w:rsidRPr="00882F11">
        <w:rPr>
          <w:rFonts w:cs="Guttman Drogolin" w:hint="cs"/>
          <w:rtl/>
          <w:lang w:bidi="he-IL"/>
        </w:rPr>
        <w:t>וע"ש שכתב דאע"ג שהט"ז עצמו כתב שאין איסור להניח הדג לתוך החלב לכתחילה, מ"מ הרי הרמ"א החמיר לענין נתבשלו לכתחילה, ולכן אפילו לדידן יש לאסור. ויוצא אם כן שהרמ"א מחמיר לכתחילה אפילו בג' נ"ט וכן בב' כלים, וצ"ע מה יעשה הט"ז עם הראיות של הש"ך שאפילו למ"ד נתבשלו לא מ"מ מודה בהני.</w:t>
      </w:r>
    </w:p>
    <w:p w:rsidR="007762A7" w:rsidRPr="00882F11" w:rsidRDefault="00F45DA1" w:rsidP="00204320">
      <w:pPr>
        <w:tabs>
          <w:tab w:val="right" w:pos="7497"/>
        </w:tabs>
        <w:bidi/>
        <w:jc w:val="both"/>
        <w:rPr>
          <w:rFonts w:cs="Guttman Drogolin"/>
          <w:lang w:bidi="he-IL"/>
        </w:rPr>
      </w:pPr>
      <w:r w:rsidRPr="00882F11">
        <w:rPr>
          <w:rFonts w:cs="Guttman Drogolin" w:hint="cs"/>
          <w:rtl/>
          <w:lang w:bidi="he-IL"/>
        </w:rPr>
        <w:t>והש"ך שם בקונ' אחרון דחה דבריו</w:t>
      </w:r>
      <w:r w:rsidR="008A341B" w:rsidRPr="00882F11">
        <w:rPr>
          <w:rFonts w:cs="Guttman Drogolin" w:hint="cs"/>
          <w:rtl/>
          <w:lang w:bidi="he-IL"/>
        </w:rPr>
        <w:t xml:space="preserve">, ובעיקר משום שאפילו את"ל כן מ"מ הכא הוי כבדיעבד כיון שכבר הכניס הכף, והוי דוגמת דג שכבר נכנס לכותח. </w:t>
      </w:r>
      <w:r w:rsidR="0085692F" w:rsidRPr="00882F11">
        <w:rPr>
          <w:rFonts w:cs="Guttman Drogolin" w:hint="cs"/>
          <w:rtl/>
          <w:lang w:bidi="he-IL"/>
        </w:rPr>
        <w:t xml:space="preserve">  </w:t>
      </w:r>
      <w:r w:rsidR="00011520" w:rsidRPr="00882F11">
        <w:rPr>
          <w:rFonts w:cs="Guttman Drogolin" w:hint="cs"/>
          <w:rtl/>
          <w:lang w:bidi="he-IL"/>
        </w:rPr>
        <w:t xml:space="preserve">  </w:t>
      </w:r>
      <w:r w:rsidR="007762A7" w:rsidRPr="00882F11">
        <w:rPr>
          <w:rFonts w:cs="Guttman Drogolin" w:hint="cs"/>
          <w:rtl/>
          <w:lang w:bidi="he-IL"/>
        </w:rPr>
        <w:t xml:space="preserve"> </w:t>
      </w:r>
    </w:p>
    <w:p w:rsidR="007B7B4A" w:rsidRPr="00882F11" w:rsidRDefault="007B7B4A" w:rsidP="007B7B4A">
      <w:pPr>
        <w:tabs>
          <w:tab w:val="right" w:pos="7497"/>
        </w:tabs>
        <w:bidi/>
        <w:jc w:val="both"/>
        <w:rPr>
          <w:rFonts w:cs="Guttman Drogolin"/>
          <w:rtl/>
          <w:lang w:bidi="he-IL"/>
        </w:rPr>
      </w:pPr>
    </w:p>
    <w:p w:rsidR="008A341B" w:rsidRPr="00C53875" w:rsidRDefault="008A341B" w:rsidP="007B7B4A">
      <w:pPr>
        <w:tabs>
          <w:tab w:val="right" w:pos="7497"/>
        </w:tabs>
        <w:bidi/>
        <w:jc w:val="both"/>
        <w:rPr>
          <w:rFonts w:cs="Guttman Drogolin"/>
          <w:b/>
          <w:bCs/>
          <w:sz w:val="28"/>
          <w:szCs w:val="28"/>
          <w:rtl/>
          <w:lang w:bidi="he-IL"/>
        </w:rPr>
      </w:pPr>
      <w:r w:rsidRPr="00C53875">
        <w:rPr>
          <w:rFonts w:cs="Guttman Drogolin" w:hint="cs"/>
          <w:b/>
          <w:bCs/>
          <w:sz w:val="28"/>
          <w:szCs w:val="28"/>
          <w:rtl/>
          <w:lang w:bidi="he-IL"/>
        </w:rPr>
        <w:t>מילואים</w:t>
      </w:r>
    </w:p>
    <w:p w:rsidR="00576990" w:rsidRPr="00882F11" w:rsidRDefault="00F52022" w:rsidP="00321A9D">
      <w:pPr>
        <w:pStyle w:val="ListParagraph"/>
        <w:numPr>
          <w:ilvl w:val="0"/>
          <w:numId w:val="15"/>
        </w:numPr>
        <w:tabs>
          <w:tab w:val="right" w:pos="387"/>
        </w:tabs>
        <w:bidi/>
        <w:ind w:left="117" w:hanging="90"/>
        <w:jc w:val="both"/>
        <w:rPr>
          <w:rFonts w:cs="Guttman Drogolin"/>
          <w:lang w:bidi="he-IL"/>
        </w:rPr>
      </w:pPr>
      <w:r w:rsidRPr="00882F11">
        <w:rPr>
          <w:rFonts w:cs="Guttman Drogolin" w:hint="cs"/>
          <w:rtl/>
          <w:lang w:bidi="he-IL"/>
        </w:rPr>
        <w:t>נראה שלהדגיש שהש"ך</w:t>
      </w:r>
      <w:r w:rsidR="00BD39F3" w:rsidRPr="00882F11">
        <w:rPr>
          <w:rFonts w:cs="Guttman Drogolin" w:hint="cs"/>
          <w:rtl/>
          <w:lang w:bidi="he-IL"/>
        </w:rPr>
        <w:t xml:space="preserve"> (ס"ק ט"ו, וכן ס"ק כ"א) </w:t>
      </w:r>
      <w:r w:rsidRPr="00882F11">
        <w:rPr>
          <w:rFonts w:cs="Guttman Drogolin" w:hint="cs"/>
          <w:rtl/>
          <w:lang w:bidi="he-IL"/>
        </w:rPr>
        <w:t xml:space="preserve">נתן לנו עוד כלל בענין זה, והוא שנותנים לכלי דינו של הטעם העיקרית אע"ג שמדינא אינו אוסר. </w:t>
      </w:r>
      <w:r w:rsidR="00BD39F3" w:rsidRPr="00882F11">
        <w:rPr>
          <w:rFonts w:cs="Guttman Drogolin" w:hint="cs"/>
          <w:rtl/>
          <w:lang w:bidi="he-IL"/>
        </w:rPr>
        <w:t>ודקדק כן מדברי ההגהות סמ"ק. ולא ידוע לנו מניין לו לסמ"ק חומרא זו. וע' במגי"ס אות י"ד שצידד לומר שכל חומרא זו אינו אלא כשמ"מ צריך לקבוע כלי א' לבשר וא' לחלב, דמהיות טוב יש לבחור זה שעוקר טעמו ממין א' שהוא יהי' לתשמיש זו, אבל אם אינו צריך אלא כלי ממין השני ודאי אינו צריך להחמיר בזה.</w:t>
      </w:r>
      <w:r w:rsidRPr="00882F11">
        <w:rPr>
          <w:rFonts w:cs="Guttman Drogolin" w:hint="cs"/>
          <w:rtl/>
          <w:lang w:bidi="he-IL"/>
        </w:rPr>
        <w:t xml:space="preserve"> </w:t>
      </w:r>
    </w:p>
    <w:p w:rsidR="00321A9D" w:rsidRPr="00882F11" w:rsidRDefault="00321A9D" w:rsidP="00321A9D">
      <w:pPr>
        <w:pStyle w:val="ListParagraph"/>
        <w:numPr>
          <w:ilvl w:val="0"/>
          <w:numId w:val="15"/>
        </w:numPr>
        <w:tabs>
          <w:tab w:val="right" w:pos="387"/>
        </w:tabs>
        <w:bidi/>
        <w:ind w:left="117" w:hanging="90"/>
        <w:jc w:val="both"/>
        <w:rPr>
          <w:rFonts w:cs="Guttman Drogolin"/>
          <w:rtl/>
          <w:lang w:bidi="he-IL"/>
        </w:rPr>
      </w:pPr>
      <w:r w:rsidRPr="00882F11">
        <w:rPr>
          <w:rFonts w:cs="Guttman Drogolin" w:hint="cs"/>
          <w:rtl/>
          <w:lang w:bidi="he-IL"/>
        </w:rPr>
        <w:t xml:space="preserve">בענין דברי הש"ך בס"ק כ' - ע' מש"כ לקמן שיעור ס"ו </w:t>
      </w:r>
    </w:p>
    <w:p w:rsidR="00321A9D" w:rsidRPr="00882F11" w:rsidRDefault="00321A9D" w:rsidP="00321A9D">
      <w:pPr>
        <w:tabs>
          <w:tab w:val="right" w:pos="7497"/>
        </w:tabs>
        <w:bidi/>
        <w:spacing w:before="240"/>
        <w:jc w:val="both"/>
        <w:rPr>
          <w:rFonts w:cs="Guttman Drogolin"/>
          <w:rtl/>
          <w:lang w:bidi="he-IL"/>
        </w:rPr>
        <w:sectPr w:rsidR="00321A9D" w:rsidRPr="00882F11" w:rsidSect="0000469F">
          <w:type w:val="continuous"/>
          <w:pgSz w:w="11907" w:h="16839" w:code="9"/>
          <w:pgMar w:top="1440" w:right="1440" w:bottom="1440" w:left="1440" w:header="720" w:footer="720" w:gutter="0"/>
          <w:cols w:num="2" w:space="720"/>
          <w:bidi/>
          <w:docGrid w:linePitch="360"/>
        </w:sectPr>
      </w:pPr>
    </w:p>
    <w:p w:rsidR="006448F6" w:rsidRPr="00882F11" w:rsidRDefault="006448F6" w:rsidP="006448F6">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ס"ה</w:t>
      </w:r>
    </w:p>
    <w:p w:rsidR="0000469F" w:rsidRDefault="0000469F" w:rsidP="0078079C">
      <w:pPr>
        <w:pStyle w:val="Heading1"/>
        <w:bidi/>
        <w:spacing w:before="0" w:line="360" w:lineRule="auto"/>
        <w:jc w:val="center"/>
        <w:rPr>
          <w:rFonts w:cs="Guttman Drogolin"/>
          <w:color w:val="auto"/>
          <w:sz w:val="24"/>
          <w:szCs w:val="24"/>
          <w:u w:val="single"/>
          <w:rtl/>
          <w:lang w:bidi="he-IL"/>
        </w:rPr>
        <w:sectPr w:rsidR="0000469F" w:rsidSect="0000469F">
          <w:headerReference w:type="default" r:id="rId50"/>
          <w:pgSz w:w="11907" w:h="16839" w:code="9"/>
          <w:pgMar w:top="1440" w:right="1440" w:bottom="1440" w:left="1440" w:header="720" w:footer="720" w:gutter="0"/>
          <w:cols w:space="720"/>
          <w:bidi/>
          <w:docGrid w:linePitch="360"/>
        </w:sectPr>
      </w:pPr>
    </w:p>
    <w:p w:rsidR="006448F6" w:rsidRPr="00882F11" w:rsidRDefault="006448F6" w:rsidP="0078079C">
      <w:pPr>
        <w:pStyle w:val="Heading1"/>
        <w:bidi/>
        <w:spacing w:before="0" w:line="360" w:lineRule="auto"/>
        <w:jc w:val="center"/>
        <w:rPr>
          <w:rFonts w:cs="Guttman Drogolin"/>
          <w:color w:val="auto"/>
          <w:sz w:val="24"/>
          <w:szCs w:val="24"/>
          <w:u w:val="single"/>
          <w:rtl/>
          <w:lang w:bidi="he-IL"/>
        </w:rPr>
      </w:pPr>
      <w:bookmarkStart w:id="247" w:name="_Toc496175502"/>
      <w:r w:rsidRPr="00882F11">
        <w:rPr>
          <w:rFonts w:cs="Guttman Drogolin" w:hint="cs"/>
          <w:color w:val="auto"/>
          <w:sz w:val="24"/>
          <w:szCs w:val="24"/>
          <w:u w:val="single"/>
          <w:rtl/>
          <w:lang w:bidi="he-IL"/>
        </w:rPr>
        <w:lastRenderedPageBreak/>
        <w:t>עוד הערה בסי' צ"ד סע' ה'</w:t>
      </w:r>
      <w:bookmarkEnd w:id="247"/>
    </w:p>
    <w:p w:rsidR="00EB768E" w:rsidRPr="00882F11" w:rsidRDefault="006448F6" w:rsidP="006448F6">
      <w:pPr>
        <w:tabs>
          <w:tab w:val="right" w:pos="7497"/>
        </w:tabs>
        <w:bidi/>
        <w:jc w:val="both"/>
        <w:rPr>
          <w:rFonts w:cs="Guttman Drogolin"/>
          <w:rtl/>
          <w:lang w:bidi="he-IL"/>
        </w:rPr>
      </w:pPr>
      <w:r w:rsidRPr="00882F11">
        <w:rPr>
          <w:rFonts w:cs="Guttman Drogolin" w:hint="cs"/>
          <w:rtl/>
          <w:lang w:bidi="he-IL"/>
        </w:rPr>
        <w:t>בכל מה שדנו בסע' ה' לענין איסור השתמשות בכלי שהכניסו בה כף חולבת מצאתי ביד יהודה (קצר סס"ק כ"ה) שאפילו המחבר שאוסר הנ"מ כשהוא בן יומו, אבל אינו בן יומו גם המחבר מודה שמותר. ומדברי הט"ז בדף אחרון כך יוצא, שהרי ביאר שיטת המחבר שחוששין לנ"ט בר נ"ט לכתחילה, ומשו"ה דוקא כשיש מעל"ע בין הכנסת הכף החולבת להכנסת הכף הבשרי שרי, דאז הטעם הראשון כבר נפגם ואין חוששין לנ"ט בר נ"ט אפילו לכתחילה אא"כ הוא לשבח, אבל לפגם לא. והסברא בזה פשוט</w:t>
      </w:r>
      <w:r w:rsidR="00EB768E" w:rsidRPr="00882F11">
        <w:rPr>
          <w:rFonts w:cs="Guttman Drogolin" w:hint="cs"/>
          <w:rtl/>
          <w:lang w:bidi="he-IL"/>
        </w:rPr>
        <w:t>ה,</w:t>
      </w:r>
      <w:r w:rsidRPr="00882F11">
        <w:rPr>
          <w:rFonts w:cs="Guttman Drogolin" w:hint="cs"/>
          <w:rtl/>
          <w:lang w:bidi="he-IL"/>
        </w:rPr>
        <w:t xml:space="preserve"> </w:t>
      </w:r>
      <w:r w:rsidR="00EB768E" w:rsidRPr="00882F11">
        <w:rPr>
          <w:rFonts w:cs="Guttman Drogolin" w:hint="cs"/>
          <w:rtl/>
          <w:lang w:bidi="he-IL"/>
        </w:rPr>
        <w:t>ד</w:t>
      </w:r>
      <w:r w:rsidRPr="00882F11">
        <w:rPr>
          <w:rFonts w:cs="Guttman Drogolin" w:hint="cs"/>
          <w:rtl/>
          <w:lang w:bidi="he-IL"/>
        </w:rPr>
        <w:t>כיון</w:t>
      </w:r>
      <w:r w:rsidR="00EB768E" w:rsidRPr="00882F11">
        <w:rPr>
          <w:rFonts w:cs="Guttman Drogolin" w:hint="cs"/>
          <w:rtl/>
          <w:lang w:bidi="he-IL"/>
        </w:rPr>
        <w:t xml:space="preserve"> שכל האיסור כשאינו בן יומו דגזרינן אינו ב"י אטו בן יומו, כאן שאינו אלא איסור לכתחילה אין לאסור. ובדעת הש"ך הרי לא הבין את שיטת המחבר, ולכן קשה לשער מה יהא הדין לדעתו בדעת המחבר, אבל מ"מ כן מסתבר להורות כיון שאין כאן איסור המובן לנו מדינא. וראיתי בבדי השלחן </w:t>
      </w:r>
      <w:r w:rsidR="0025296E" w:rsidRPr="00882F11">
        <w:rPr>
          <w:rFonts w:cs="Guttman Drogolin" w:hint="cs"/>
          <w:rtl/>
          <w:lang w:bidi="he-IL"/>
        </w:rPr>
        <w:t>ס"ק נ"ג</w:t>
      </w:r>
      <w:r w:rsidR="0025296E" w:rsidRPr="00882F11">
        <w:rPr>
          <w:rStyle w:val="FootnoteReference"/>
          <w:rFonts w:cs="Guttman Drogolin"/>
          <w:rtl/>
          <w:lang w:bidi="he-IL"/>
        </w:rPr>
        <w:footnoteReference w:id="280"/>
      </w:r>
      <w:r w:rsidR="0025296E" w:rsidRPr="00882F11">
        <w:rPr>
          <w:rFonts w:cs="Guttman Drogolin" w:hint="cs"/>
          <w:rtl/>
          <w:lang w:bidi="he-IL"/>
        </w:rPr>
        <w:t xml:space="preserve"> </w:t>
      </w:r>
      <w:r w:rsidR="00EB768E" w:rsidRPr="00882F11">
        <w:rPr>
          <w:rFonts w:cs="Guttman Drogolin" w:hint="cs"/>
          <w:rtl/>
          <w:lang w:bidi="he-IL"/>
        </w:rPr>
        <w:t>שחילק בין הא דיד יהודה לדין קביעת תשמיש לכלי, שזה נשארים בקביעותו הקודמת אפילו לאחר מעל"ע. ולכאורה גם בזה י"ל שאין הענין אלא כשקובע הכלי לשימושו תוך מעל"ע (ומאז כבר קבוע לעולם) אבל לאחר מעל"ע יכול לקבוע איך שרוצים.</w:t>
      </w:r>
    </w:p>
    <w:p w:rsidR="00EB768E" w:rsidRPr="00882F11" w:rsidRDefault="00EB768E" w:rsidP="0078079C">
      <w:pPr>
        <w:pStyle w:val="Heading1"/>
        <w:bidi/>
        <w:spacing w:before="0" w:line="360" w:lineRule="auto"/>
        <w:jc w:val="center"/>
        <w:rPr>
          <w:rFonts w:cs="Guttman Drogolin"/>
          <w:color w:val="auto"/>
          <w:sz w:val="24"/>
          <w:szCs w:val="24"/>
          <w:u w:val="single"/>
          <w:rtl/>
          <w:lang w:bidi="he-IL"/>
        </w:rPr>
      </w:pPr>
      <w:bookmarkStart w:id="248" w:name="_Toc496175503"/>
      <w:r w:rsidRPr="00882F11">
        <w:rPr>
          <w:rFonts w:cs="Guttman Drogolin" w:hint="cs"/>
          <w:color w:val="auto"/>
          <w:sz w:val="24"/>
          <w:szCs w:val="24"/>
          <w:u w:val="single"/>
          <w:rtl/>
          <w:lang w:bidi="he-IL"/>
        </w:rPr>
        <w:t xml:space="preserve">סי' צ"ד סע' </w:t>
      </w:r>
      <w:r w:rsidR="00231547" w:rsidRPr="00882F11">
        <w:rPr>
          <w:rFonts w:cs="Guttman Drogolin" w:hint="cs"/>
          <w:color w:val="auto"/>
          <w:sz w:val="24"/>
          <w:szCs w:val="24"/>
          <w:u w:val="single"/>
          <w:rtl/>
          <w:lang w:bidi="he-IL"/>
        </w:rPr>
        <w:t>ו</w:t>
      </w:r>
      <w:r w:rsidRPr="00882F11">
        <w:rPr>
          <w:rFonts w:cs="Guttman Drogolin" w:hint="cs"/>
          <w:color w:val="auto"/>
          <w:sz w:val="24"/>
          <w:szCs w:val="24"/>
          <w:u w:val="single"/>
          <w:rtl/>
          <w:lang w:bidi="he-IL"/>
        </w:rPr>
        <w:t>'</w:t>
      </w:r>
      <w:bookmarkEnd w:id="248"/>
    </w:p>
    <w:p w:rsidR="00141FAB" w:rsidRPr="00882F11" w:rsidRDefault="003A0197" w:rsidP="000F139F">
      <w:pPr>
        <w:tabs>
          <w:tab w:val="right" w:pos="7497"/>
        </w:tabs>
        <w:bidi/>
        <w:jc w:val="both"/>
        <w:rPr>
          <w:rFonts w:cs="Guttman Drogolin"/>
          <w:rtl/>
          <w:lang w:bidi="he-IL"/>
        </w:rPr>
      </w:pPr>
      <w:r>
        <w:rPr>
          <w:rFonts w:cs="Guttman Drogolin"/>
          <w:rtl/>
          <w:lang w:bidi="he-IL"/>
        </w:rPr>
        <w:fldChar w:fldCharType="begin"/>
      </w:r>
      <w:r>
        <w:instrText xml:space="preserve"> XE "</w:instrText>
      </w:r>
      <w:r w:rsidRPr="00ED54CB">
        <w:rPr>
          <w:rFonts w:hint="cs"/>
          <w:rtl/>
          <w:lang w:bidi="he-IL"/>
        </w:rPr>
        <w:instrText>אפשר לסוחטו</w:instrText>
      </w:r>
      <w:r w:rsidRPr="00ED54CB">
        <w:rPr>
          <w:rtl/>
        </w:rPr>
        <w:instrText>:</w:instrText>
      </w:r>
      <w:r w:rsidRPr="00ED54CB">
        <w:rPr>
          <w:rFonts w:hint="cs"/>
          <w:rtl/>
          <w:lang w:bidi="he-IL"/>
        </w:rPr>
        <w:instrText xml:space="preserve">אם אפשר </w:instrText>
      </w:r>
      <w:r w:rsidR="000F139F">
        <w:rPr>
          <w:rFonts w:hint="cs"/>
          <w:rtl/>
          <w:lang w:bidi="he-IL"/>
        </w:rPr>
        <w:instrText>להתיר</w:instrText>
      </w:r>
      <w:r w:rsidRPr="00ED54CB">
        <w:rPr>
          <w:rFonts w:hint="cs"/>
          <w:rtl/>
          <w:lang w:bidi="he-IL"/>
        </w:rPr>
        <w:instrText xml:space="preserve"> אוכל הבלוע </w:instrText>
      </w:r>
      <w:r w:rsidR="000F139F">
        <w:rPr>
          <w:rFonts w:hint="cs"/>
          <w:rtl/>
          <w:lang w:bidi="he-IL"/>
        </w:rPr>
        <w:instrText>איסור</w:instrText>
      </w:r>
      <w:r>
        <w:instrText xml:space="preserve">" </w:instrText>
      </w:r>
      <w:r>
        <w:rPr>
          <w:rFonts w:cs="Guttman Drogolin"/>
          <w:rtl/>
          <w:lang w:bidi="he-IL"/>
        </w:rPr>
        <w:fldChar w:fldCharType="end"/>
      </w:r>
      <w:r w:rsidR="00141FAB" w:rsidRPr="00882F11">
        <w:rPr>
          <w:rFonts w:cs="Guttman Drogolin" w:hint="cs"/>
          <w:rtl/>
          <w:lang w:bidi="he-IL"/>
        </w:rPr>
        <w:t xml:space="preserve">כתב </w:t>
      </w:r>
      <w:r w:rsidR="00231547" w:rsidRPr="00882F11">
        <w:rPr>
          <w:rFonts w:cs="Guttman Drogolin" w:hint="cs"/>
          <w:rtl/>
          <w:lang w:bidi="he-IL"/>
        </w:rPr>
        <w:t>המחבר בסע' ו'</w:t>
      </w:r>
      <w:r w:rsidR="00141FAB" w:rsidRPr="00882F11">
        <w:rPr>
          <w:rFonts w:cs="Guttman Drogolin" w:hint="cs"/>
          <w:rtl/>
          <w:lang w:bidi="he-IL"/>
        </w:rPr>
        <w:t xml:space="preserve"> "בצלים</w:t>
      </w:r>
      <w:r w:rsidR="00141FAB" w:rsidRPr="00882F11">
        <w:rPr>
          <w:rFonts w:cs="Guttman Drogolin"/>
          <w:rtl/>
          <w:lang w:bidi="he-IL"/>
        </w:rPr>
        <w:t xml:space="preserve"> </w:t>
      </w:r>
      <w:r w:rsidR="00141FAB" w:rsidRPr="00882F11">
        <w:rPr>
          <w:rFonts w:cs="Guttman Drogolin" w:hint="cs"/>
          <w:rtl/>
          <w:lang w:bidi="he-IL"/>
        </w:rPr>
        <w:t>או</w:t>
      </w:r>
      <w:r w:rsidR="00141FAB" w:rsidRPr="00882F11">
        <w:rPr>
          <w:rFonts w:cs="Guttman Drogolin"/>
          <w:rtl/>
          <w:lang w:bidi="he-IL"/>
        </w:rPr>
        <w:t xml:space="preserve"> </w:t>
      </w:r>
      <w:r w:rsidR="00141FAB" w:rsidRPr="00882F11">
        <w:rPr>
          <w:rFonts w:cs="Guttman Drogolin" w:hint="cs"/>
          <w:rtl/>
          <w:lang w:bidi="he-IL"/>
        </w:rPr>
        <w:t>ירקות</w:t>
      </w:r>
      <w:r w:rsidR="00141FAB" w:rsidRPr="00882F11">
        <w:rPr>
          <w:rFonts w:cs="Guttman Drogolin"/>
          <w:rtl/>
          <w:lang w:bidi="he-IL"/>
        </w:rPr>
        <w:t xml:space="preserve"> </w:t>
      </w:r>
      <w:r w:rsidR="00141FAB" w:rsidRPr="00882F11">
        <w:rPr>
          <w:rFonts w:cs="Guttman Drogolin" w:hint="cs"/>
          <w:rtl/>
          <w:lang w:bidi="he-IL"/>
        </w:rPr>
        <w:t>שבלועים</w:t>
      </w:r>
      <w:r w:rsidR="00141FAB" w:rsidRPr="00882F11">
        <w:rPr>
          <w:rFonts w:cs="Guttman Drogolin"/>
          <w:rtl/>
          <w:lang w:bidi="he-IL"/>
        </w:rPr>
        <w:t xml:space="preserve"> </w:t>
      </w:r>
      <w:r w:rsidR="00141FAB" w:rsidRPr="00882F11">
        <w:rPr>
          <w:rFonts w:cs="Guttman Drogolin" w:hint="cs"/>
          <w:rtl/>
          <w:lang w:bidi="he-IL"/>
        </w:rPr>
        <w:t>מבשר</w:t>
      </w:r>
      <w:r w:rsidR="00141FAB" w:rsidRPr="00882F11">
        <w:rPr>
          <w:rFonts w:cs="Guttman Drogolin"/>
          <w:rtl/>
          <w:lang w:bidi="he-IL"/>
        </w:rPr>
        <w:t xml:space="preserve"> </w:t>
      </w:r>
      <w:r w:rsidR="00141FAB" w:rsidRPr="00882F11">
        <w:rPr>
          <w:rFonts w:cs="Guttman Drogolin" w:hint="cs"/>
          <w:rtl/>
          <w:lang w:bidi="he-IL"/>
        </w:rPr>
        <w:t>ובשלם</w:t>
      </w:r>
      <w:r w:rsidR="00141FAB" w:rsidRPr="00882F11">
        <w:rPr>
          <w:rFonts w:cs="Guttman Drogolin"/>
          <w:rtl/>
          <w:lang w:bidi="he-IL"/>
        </w:rPr>
        <w:t xml:space="preserve"> </w:t>
      </w:r>
      <w:r w:rsidR="00141FAB" w:rsidRPr="00882F11">
        <w:rPr>
          <w:rFonts w:cs="Guttman Drogolin" w:hint="cs"/>
          <w:rtl/>
          <w:lang w:bidi="he-IL"/>
        </w:rPr>
        <w:t>בקדרה</w:t>
      </w:r>
      <w:r w:rsidR="00141FAB" w:rsidRPr="00882F11">
        <w:rPr>
          <w:rFonts w:cs="Guttman Drogolin"/>
          <w:rtl/>
          <w:lang w:bidi="he-IL"/>
        </w:rPr>
        <w:t xml:space="preserve"> </w:t>
      </w:r>
      <w:r w:rsidR="00141FAB" w:rsidRPr="00882F11">
        <w:rPr>
          <w:rFonts w:cs="Guttman Drogolin" w:hint="cs"/>
          <w:rtl/>
          <w:lang w:bidi="he-IL"/>
        </w:rPr>
        <w:t>חולבת</w:t>
      </w:r>
      <w:r w:rsidR="00141FAB" w:rsidRPr="00882F11">
        <w:rPr>
          <w:rFonts w:cs="Guttman Drogolin"/>
          <w:rtl/>
          <w:lang w:bidi="he-IL"/>
        </w:rPr>
        <w:t xml:space="preserve"> </w:t>
      </w:r>
      <w:r w:rsidR="00141FAB" w:rsidRPr="00882F11">
        <w:rPr>
          <w:rFonts w:cs="Guttman Drogolin" w:hint="cs"/>
          <w:rtl/>
          <w:lang w:bidi="he-IL"/>
        </w:rPr>
        <w:t>אם</w:t>
      </w:r>
      <w:r w:rsidR="00141FAB" w:rsidRPr="00882F11">
        <w:rPr>
          <w:rFonts w:cs="Guttman Drogolin"/>
          <w:rtl/>
          <w:lang w:bidi="he-IL"/>
        </w:rPr>
        <w:t xml:space="preserve"> </w:t>
      </w:r>
      <w:r w:rsidR="00141FAB" w:rsidRPr="00882F11">
        <w:rPr>
          <w:rFonts w:cs="Guttman Drogolin" w:hint="cs"/>
          <w:rtl/>
          <w:lang w:bidi="he-IL"/>
        </w:rPr>
        <w:t>ידוע</w:t>
      </w:r>
      <w:r w:rsidR="00141FAB" w:rsidRPr="00882F11">
        <w:rPr>
          <w:rFonts w:cs="Guttman Drogolin"/>
          <w:rtl/>
          <w:lang w:bidi="he-IL"/>
        </w:rPr>
        <w:t xml:space="preserve"> </w:t>
      </w:r>
      <w:r w:rsidR="00141FAB" w:rsidRPr="00882F11">
        <w:rPr>
          <w:rFonts w:cs="Guttman Drogolin" w:hint="cs"/>
          <w:rtl/>
          <w:lang w:bidi="he-IL"/>
        </w:rPr>
        <w:t>כמה</w:t>
      </w:r>
      <w:r w:rsidR="00141FAB" w:rsidRPr="00882F11">
        <w:rPr>
          <w:rFonts w:cs="Guttman Drogolin"/>
          <w:rtl/>
          <w:lang w:bidi="he-IL"/>
        </w:rPr>
        <w:t xml:space="preserve"> </w:t>
      </w:r>
      <w:r w:rsidR="00141FAB" w:rsidRPr="00882F11">
        <w:rPr>
          <w:rFonts w:cs="Guttman Drogolin" w:hint="cs"/>
          <w:rtl/>
          <w:lang w:bidi="he-IL"/>
        </w:rPr>
        <w:t>בשר</w:t>
      </w:r>
      <w:r w:rsidR="00141FAB" w:rsidRPr="00882F11">
        <w:rPr>
          <w:rFonts w:cs="Guttman Drogolin"/>
          <w:rtl/>
          <w:lang w:bidi="he-IL"/>
        </w:rPr>
        <w:t xml:space="preserve"> </w:t>
      </w:r>
      <w:r w:rsidR="00141FAB" w:rsidRPr="00882F11">
        <w:rPr>
          <w:rFonts w:cs="Guttman Drogolin" w:hint="cs"/>
          <w:rtl/>
          <w:lang w:bidi="he-IL"/>
        </w:rPr>
        <w:lastRenderedPageBreak/>
        <w:t>בלוע</w:t>
      </w:r>
      <w:r w:rsidR="00141FAB" w:rsidRPr="00882F11">
        <w:rPr>
          <w:rFonts w:cs="Guttman Drogolin"/>
          <w:rtl/>
          <w:lang w:bidi="he-IL"/>
        </w:rPr>
        <w:t xml:space="preserve"> </w:t>
      </w:r>
      <w:r w:rsidR="00141FAB" w:rsidRPr="00882F11">
        <w:rPr>
          <w:rFonts w:cs="Guttman Drogolin" w:hint="cs"/>
          <w:rtl/>
          <w:lang w:bidi="he-IL"/>
        </w:rPr>
        <w:t>בבצלים</w:t>
      </w:r>
      <w:r w:rsidR="00141FAB" w:rsidRPr="00882F11">
        <w:rPr>
          <w:rFonts w:cs="Guttman Drogolin"/>
          <w:rtl/>
          <w:lang w:bidi="he-IL"/>
        </w:rPr>
        <w:t xml:space="preserve"> </w:t>
      </w:r>
      <w:r w:rsidR="00141FAB" w:rsidRPr="00882F11">
        <w:rPr>
          <w:rFonts w:cs="Guttman Drogolin" w:hint="cs"/>
          <w:rtl/>
          <w:lang w:bidi="he-IL"/>
        </w:rPr>
        <w:t>ובירקות</w:t>
      </w:r>
      <w:r w:rsidR="00141FAB" w:rsidRPr="00882F11">
        <w:rPr>
          <w:rFonts w:cs="Guttman Drogolin"/>
          <w:rtl/>
          <w:lang w:bidi="he-IL"/>
        </w:rPr>
        <w:t xml:space="preserve"> </w:t>
      </w:r>
      <w:r w:rsidR="00141FAB" w:rsidRPr="00882F11">
        <w:rPr>
          <w:rFonts w:cs="Guttman Drogolin" w:hint="cs"/>
          <w:rtl/>
          <w:lang w:bidi="he-IL"/>
        </w:rPr>
        <w:t>אין</w:t>
      </w:r>
      <w:r w:rsidR="00141FAB" w:rsidRPr="00882F11">
        <w:rPr>
          <w:rFonts w:cs="Guttman Drogolin"/>
          <w:rtl/>
          <w:lang w:bidi="he-IL"/>
        </w:rPr>
        <w:t xml:space="preserve"> </w:t>
      </w:r>
      <w:r w:rsidR="00141FAB" w:rsidRPr="00882F11">
        <w:rPr>
          <w:rFonts w:cs="Guttman Drogolin" w:hint="cs"/>
          <w:rtl/>
          <w:lang w:bidi="he-IL"/>
        </w:rPr>
        <w:t>צריך</w:t>
      </w:r>
      <w:r w:rsidR="00141FAB" w:rsidRPr="00882F11">
        <w:rPr>
          <w:rFonts w:cs="Guttman Drogolin"/>
          <w:rtl/>
          <w:lang w:bidi="he-IL"/>
        </w:rPr>
        <w:t xml:space="preserve"> </w:t>
      </w:r>
      <w:r w:rsidR="00141FAB" w:rsidRPr="00882F11">
        <w:rPr>
          <w:rFonts w:cs="Guttman Drogolin" w:hint="cs"/>
          <w:rtl/>
          <w:lang w:bidi="he-IL"/>
        </w:rPr>
        <w:t>ס</w:t>
      </w:r>
      <w:r w:rsidR="00141FAB" w:rsidRPr="00882F11">
        <w:rPr>
          <w:rFonts w:cs="Guttman Drogolin"/>
          <w:rtl/>
          <w:lang w:bidi="he-IL"/>
        </w:rPr>
        <w:t xml:space="preserve">' </w:t>
      </w:r>
      <w:r w:rsidR="00141FAB" w:rsidRPr="00882F11">
        <w:rPr>
          <w:rFonts w:cs="Guttman Drogolin" w:hint="cs"/>
          <w:rtl/>
          <w:lang w:bidi="he-IL"/>
        </w:rPr>
        <w:t>אלא</w:t>
      </w:r>
      <w:r w:rsidR="00141FAB" w:rsidRPr="00882F11">
        <w:rPr>
          <w:rFonts w:cs="Guttman Drogolin"/>
          <w:rtl/>
          <w:lang w:bidi="he-IL"/>
        </w:rPr>
        <w:t xml:space="preserve"> </w:t>
      </w:r>
      <w:r w:rsidR="00141FAB" w:rsidRPr="00882F11">
        <w:rPr>
          <w:rFonts w:cs="Guttman Drogolin" w:hint="cs"/>
          <w:rtl/>
          <w:lang w:bidi="he-IL"/>
        </w:rPr>
        <w:t>כנגד</w:t>
      </w:r>
      <w:r w:rsidR="00141FAB" w:rsidRPr="00882F11">
        <w:rPr>
          <w:rFonts w:cs="Guttman Drogolin"/>
          <w:rtl/>
          <w:lang w:bidi="he-IL"/>
        </w:rPr>
        <w:t xml:space="preserve"> </w:t>
      </w:r>
      <w:r w:rsidR="00141FAB" w:rsidRPr="00882F11">
        <w:rPr>
          <w:rFonts w:cs="Guttman Drogolin" w:hint="cs"/>
          <w:rtl/>
          <w:lang w:bidi="he-IL"/>
        </w:rPr>
        <w:t xml:space="preserve">הבשר". ועיקר כוונת השו"ע לחדש דכיון שלא אומרים חענ"ן בהיתר אין צריך לשער כנגד כל הבצל או ירק, דהא לא נעשו נבילה, רק כנגד כמות הבשר שבלוע בהם. </w:t>
      </w:r>
    </w:p>
    <w:p w:rsidR="00141FAB" w:rsidRPr="00882F11" w:rsidRDefault="00141FAB" w:rsidP="00141FAB">
      <w:pPr>
        <w:tabs>
          <w:tab w:val="right" w:pos="7497"/>
        </w:tabs>
        <w:bidi/>
        <w:jc w:val="both"/>
        <w:rPr>
          <w:rFonts w:cs="Guttman Drogolin"/>
          <w:rtl/>
          <w:lang w:bidi="he-IL"/>
        </w:rPr>
      </w:pPr>
      <w:r w:rsidRPr="00882F11">
        <w:rPr>
          <w:rFonts w:cs="Guttman Drogolin" w:hint="cs"/>
          <w:rtl/>
          <w:lang w:bidi="he-IL"/>
        </w:rPr>
        <w:t>והנה המחבר לעיל בסי' צ"</w:t>
      </w:r>
      <w:r w:rsidR="00772E65" w:rsidRPr="00882F11">
        <w:rPr>
          <w:rFonts w:cs="Guttman Drogolin" w:hint="cs"/>
          <w:rtl/>
          <w:lang w:bidi="he-IL"/>
        </w:rPr>
        <w:t>ב סע' ד' הכריע כשיטת ר' אפרים ד</w:t>
      </w:r>
      <w:r w:rsidRPr="00882F11">
        <w:rPr>
          <w:rFonts w:cs="Guttman Drogolin" w:hint="cs"/>
          <w:rtl/>
          <w:lang w:bidi="he-IL"/>
        </w:rPr>
        <w:t>סבר שלא אומרים חענ"ן בשאר איסורים, רק בבב"ח. ולכאורה א"כ אין כ"כ חידוש שלא אומרים חענ"ן בהיתר, דהא גם באיסור לא אומרים אא"כ בשר אוסר חלב. וכבר העיר מזה הש"ך בס"ק כ"ג, וכתב שע"כ אין כוונת השו"ע אלא לאפוקי</w:t>
      </w:r>
      <w:r w:rsidRPr="00882F11">
        <w:rPr>
          <w:rFonts w:cs="Guttman Drogolin"/>
          <w:rtl/>
          <w:lang w:bidi="he-IL"/>
        </w:rPr>
        <w:t xml:space="preserve"> </w:t>
      </w:r>
      <w:r w:rsidRPr="00882F11">
        <w:rPr>
          <w:rFonts w:cs="Guttman Drogolin" w:hint="cs"/>
          <w:rtl/>
          <w:lang w:bidi="he-IL"/>
        </w:rPr>
        <w:t>בצלים</w:t>
      </w:r>
      <w:r w:rsidRPr="00882F11">
        <w:rPr>
          <w:rFonts w:cs="Guttman Drogolin"/>
          <w:rtl/>
          <w:lang w:bidi="he-IL"/>
        </w:rPr>
        <w:t xml:space="preserve"> </w:t>
      </w:r>
      <w:r w:rsidRPr="00882F11">
        <w:rPr>
          <w:rFonts w:cs="Guttman Drogolin" w:hint="cs"/>
          <w:rtl/>
          <w:lang w:bidi="he-IL"/>
        </w:rPr>
        <w:t>שהיו</w:t>
      </w:r>
      <w:r w:rsidRPr="00882F11">
        <w:rPr>
          <w:rFonts w:cs="Guttman Drogolin"/>
          <w:rtl/>
          <w:lang w:bidi="he-IL"/>
        </w:rPr>
        <w:t xml:space="preserve"> </w:t>
      </w:r>
      <w:r w:rsidRPr="00882F11">
        <w:rPr>
          <w:rFonts w:cs="Guttman Drogolin" w:hint="cs"/>
          <w:rtl/>
          <w:lang w:bidi="he-IL"/>
        </w:rPr>
        <w:t>בלועים</w:t>
      </w:r>
      <w:r w:rsidRPr="00882F11">
        <w:rPr>
          <w:rFonts w:cs="Guttman Drogolin"/>
          <w:rtl/>
          <w:lang w:bidi="he-IL"/>
        </w:rPr>
        <w:t xml:space="preserve"> </w:t>
      </w:r>
      <w:r w:rsidRPr="00882F11">
        <w:rPr>
          <w:rFonts w:cs="Guttman Drogolin" w:hint="cs"/>
          <w:rtl/>
          <w:lang w:bidi="he-IL"/>
        </w:rPr>
        <w:t>כולן</w:t>
      </w:r>
      <w:r w:rsidRPr="00882F11">
        <w:rPr>
          <w:rFonts w:cs="Guttman Drogolin"/>
          <w:rtl/>
          <w:lang w:bidi="he-IL"/>
        </w:rPr>
        <w:t xml:space="preserve"> </w:t>
      </w:r>
      <w:r w:rsidRPr="00882F11">
        <w:rPr>
          <w:rFonts w:cs="Guttman Drogolin" w:hint="cs"/>
          <w:rtl/>
          <w:lang w:bidi="he-IL"/>
        </w:rPr>
        <w:t>מחלב</w:t>
      </w:r>
      <w:r w:rsidRPr="00882F11">
        <w:rPr>
          <w:rFonts w:cs="Guttman Drogolin"/>
          <w:rtl/>
          <w:lang w:bidi="he-IL"/>
        </w:rPr>
        <w:t xml:space="preserve"> </w:t>
      </w:r>
      <w:r w:rsidRPr="00882F11">
        <w:rPr>
          <w:rFonts w:cs="Guttman Drogolin" w:hint="cs"/>
          <w:rtl/>
          <w:lang w:bidi="he-IL"/>
        </w:rPr>
        <w:t>שבלעו</w:t>
      </w:r>
      <w:r w:rsidRPr="00882F11">
        <w:rPr>
          <w:rFonts w:cs="Guttman Drogolin"/>
          <w:rtl/>
          <w:lang w:bidi="he-IL"/>
        </w:rPr>
        <w:t xml:space="preserve"> </w:t>
      </w:r>
      <w:r w:rsidRPr="00882F11">
        <w:rPr>
          <w:rFonts w:cs="Guttman Drogolin" w:hint="cs"/>
          <w:rtl/>
          <w:lang w:bidi="he-IL"/>
        </w:rPr>
        <w:t>אח</w:t>
      </w:r>
      <w:r w:rsidRPr="00882F11">
        <w:rPr>
          <w:rFonts w:cs="Guttman Drogolin"/>
          <w:rtl/>
          <w:lang w:bidi="he-IL"/>
        </w:rPr>
        <w:t>"</w:t>
      </w:r>
      <w:r w:rsidRPr="00882F11">
        <w:rPr>
          <w:rFonts w:cs="Guttman Drogolin" w:hint="cs"/>
          <w:rtl/>
          <w:lang w:bidi="he-IL"/>
        </w:rPr>
        <w:t>כ</w:t>
      </w:r>
      <w:r w:rsidRPr="00882F11">
        <w:rPr>
          <w:rFonts w:cs="Guttman Drogolin"/>
          <w:rtl/>
          <w:lang w:bidi="he-IL"/>
        </w:rPr>
        <w:t xml:space="preserve"> </w:t>
      </w:r>
      <w:r w:rsidRPr="00882F11">
        <w:rPr>
          <w:rFonts w:cs="Guttman Drogolin" w:hint="cs"/>
          <w:rtl/>
          <w:lang w:bidi="he-IL"/>
        </w:rPr>
        <w:t>בשר</w:t>
      </w:r>
      <w:r w:rsidRPr="00882F11">
        <w:rPr>
          <w:rFonts w:cs="Guttman Drogolin"/>
          <w:rtl/>
          <w:lang w:bidi="he-IL"/>
        </w:rPr>
        <w:t xml:space="preserve"> </w:t>
      </w:r>
      <w:r w:rsidRPr="00882F11">
        <w:rPr>
          <w:rFonts w:cs="Guttman Drogolin" w:hint="cs"/>
          <w:rtl/>
          <w:lang w:bidi="he-IL"/>
        </w:rPr>
        <w:t>דלא</w:t>
      </w:r>
      <w:r w:rsidRPr="00882F11">
        <w:rPr>
          <w:rFonts w:cs="Guttman Drogolin"/>
          <w:rtl/>
          <w:lang w:bidi="he-IL"/>
        </w:rPr>
        <w:t xml:space="preserve"> </w:t>
      </w:r>
      <w:r w:rsidRPr="00882F11">
        <w:rPr>
          <w:rFonts w:cs="Guttman Drogolin" w:hint="cs"/>
          <w:rtl/>
          <w:lang w:bidi="he-IL"/>
        </w:rPr>
        <w:t>סגי</w:t>
      </w:r>
      <w:r w:rsidRPr="00882F11">
        <w:rPr>
          <w:rFonts w:cs="Guttman Drogolin"/>
          <w:rtl/>
          <w:lang w:bidi="he-IL"/>
        </w:rPr>
        <w:t xml:space="preserve"> </w:t>
      </w:r>
      <w:r w:rsidRPr="00882F11">
        <w:rPr>
          <w:rFonts w:cs="Guttman Drogolin" w:hint="cs"/>
          <w:rtl/>
          <w:lang w:bidi="he-IL"/>
        </w:rPr>
        <w:t>בס</w:t>
      </w:r>
      <w:r w:rsidRPr="00882F11">
        <w:rPr>
          <w:rFonts w:cs="Guttman Drogolin"/>
          <w:rtl/>
          <w:lang w:bidi="he-IL"/>
        </w:rPr>
        <w:t xml:space="preserve">' </w:t>
      </w:r>
      <w:r w:rsidRPr="00882F11">
        <w:rPr>
          <w:rFonts w:cs="Guttman Drogolin" w:hint="cs"/>
          <w:rtl/>
          <w:lang w:bidi="he-IL"/>
        </w:rPr>
        <w:t>נגד</w:t>
      </w:r>
      <w:r w:rsidRPr="00882F11">
        <w:rPr>
          <w:rFonts w:cs="Guttman Drogolin"/>
          <w:rtl/>
          <w:lang w:bidi="he-IL"/>
        </w:rPr>
        <w:t xml:space="preserve"> </w:t>
      </w:r>
      <w:r w:rsidRPr="00882F11">
        <w:rPr>
          <w:rFonts w:cs="Guttman Drogolin" w:hint="cs"/>
          <w:rtl/>
          <w:lang w:bidi="he-IL"/>
        </w:rPr>
        <w:t xml:space="preserve">הבשר. והוא דחוק קצת. </w:t>
      </w:r>
    </w:p>
    <w:p w:rsidR="0041448F" w:rsidRPr="00882F11" w:rsidRDefault="00141FAB" w:rsidP="002415D9">
      <w:pPr>
        <w:tabs>
          <w:tab w:val="right" w:pos="7497"/>
        </w:tabs>
        <w:bidi/>
        <w:jc w:val="both"/>
        <w:rPr>
          <w:rFonts w:cs="Guttman Drogolin"/>
          <w:rtl/>
          <w:lang w:bidi="he-IL"/>
        </w:rPr>
      </w:pPr>
      <w:r w:rsidRPr="00882F11">
        <w:rPr>
          <w:rFonts w:cs="Guttman Drogolin" w:hint="cs"/>
          <w:rtl/>
          <w:lang w:bidi="he-IL"/>
        </w:rPr>
        <w:t xml:space="preserve">ויתכן שיש בזה עוד יישוב. </w:t>
      </w:r>
      <w:r w:rsidR="002415D9" w:rsidRPr="00882F11">
        <w:rPr>
          <w:rFonts w:cs="Guttman Drogolin" w:hint="cs"/>
          <w:rtl/>
          <w:lang w:bidi="he-IL"/>
        </w:rPr>
        <w:t>שבכה"ג הי' בלוע איסור אע"ג שגם בזה לא בעינן אלא ס' כנגד האיסור לדעת ר' אפרים, אבל אי</w:t>
      </w:r>
      <w:r w:rsidR="00DC784B">
        <w:rPr>
          <w:rFonts w:cs="Guttman Drogolin" w:hint="cs"/>
          <w:rtl/>
          <w:lang w:bidi="he-IL"/>
        </w:rPr>
        <w:t>ן זה מתיר את המאכל עצמו שהיתה ב</w:t>
      </w:r>
      <w:r w:rsidR="002415D9" w:rsidRPr="00882F11">
        <w:rPr>
          <w:rFonts w:cs="Guttman Drogolin" w:hint="cs"/>
          <w:rtl/>
          <w:lang w:bidi="he-IL"/>
        </w:rPr>
        <w:t xml:space="preserve">לוע בו. ולכן י"ל שהמחבר נקט היתר שבזה גם המאכל מותר. אלא </w:t>
      </w:r>
      <w:r w:rsidRPr="00882F11">
        <w:rPr>
          <w:rFonts w:cs="Guttman Drogolin" w:hint="cs"/>
          <w:rtl/>
          <w:lang w:bidi="he-IL"/>
        </w:rPr>
        <w:t xml:space="preserve">דהנה יל"ע אם בכה"ג שבישל ירקות או בצלים הבלועים בשר בקדרה חולבת ויש ששים כנגד הבשר, האם זה מתיר רק את הקדרה או גם </w:t>
      </w:r>
      <w:r w:rsidR="003D529D" w:rsidRPr="00882F11">
        <w:rPr>
          <w:rFonts w:cs="Guttman Drogolin" w:hint="cs"/>
          <w:rtl/>
          <w:lang w:bidi="he-IL"/>
        </w:rPr>
        <w:t xml:space="preserve">את </w:t>
      </w:r>
      <w:r w:rsidRPr="00882F11">
        <w:rPr>
          <w:rFonts w:cs="Guttman Drogolin" w:hint="cs"/>
          <w:rtl/>
          <w:lang w:bidi="he-IL"/>
        </w:rPr>
        <w:t>הבצלים.</w:t>
      </w:r>
      <w:r w:rsidR="003D529D" w:rsidRPr="00882F11">
        <w:rPr>
          <w:rFonts w:cs="Guttman Drogolin" w:hint="cs"/>
          <w:rtl/>
          <w:lang w:bidi="he-IL"/>
        </w:rPr>
        <w:t xml:space="preserve"> והנה לכאורה הדבר תלוי, שהרי לשיטת ר' אפרים דסבר שלא אומרים חענ"ן בשאר איסורים ג"כ יש להסתפק אם אפשר להתיר את המאכל שבלע טעם איסור. וכמו שהזכרנו נחלקו הראשונים בזה, דשיטת הטור בסי' ק"ו שלר' אפרים שאין אומרים </w:t>
      </w:r>
      <w:r w:rsidR="003D529D" w:rsidRPr="00882F11">
        <w:rPr>
          <w:rFonts w:cs="Guttman Drogolin" w:hint="cs"/>
          <w:rtl/>
          <w:lang w:bidi="he-IL"/>
        </w:rPr>
        <w:lastRenderedPageBreak/>
        <w:t xml:space="preserve">חענ"ן בשאר אסורים גם המאכל עצמו יחזור להיתירו אם יבשל אותו בקדרה שיש בה ששים כנגד הבלוע בה. והרשב"א חלק וסבר </w:t>
      </w:r>
      <w:r w:rsidR="0041448F" w:rsidRPr="00882F11">
        <w:rPr>
          <w:rFonts w:cs="Guttman Drogolin" w:hint="cs"/>
          <w:rtl/>
          <w:lang w:bidi="he-IL"/>
        </w:rPr>
        <w:t>שאין המאכל ניתר, וכל הדין שאין חענ"ן בשאר איסורים לא עוזר לנו אלא לענין זה שאינו צריך לשאר כנגד כל האוכל. והשו"ע שם נקט להחמיר כשיטת הרשב"א.</w:t>
      </w:r>
    </w:p>
    <w:p w:rsidR="002D2676" w:rsidRPr="00882F11" w:rsidRDefault="0041448F" w:rsidP="0041448F">
      <w:pPr>
        <w:tabs>
          <w:tab w:val="right" w:pos="7497"/>
        </w:tabs>
        <w:bidi/>
        <w:jc w:val="both"/>
        <w:rPr>
          <w:rFonts w:cs="Guttman Drogolin"/>
          <w:rtl/>
          <w:lang w:bidi="he-IL"/>
        </w:rPr>
      </w:pPr>
      <w:r w:rsidRPr="00882F11">
        <w:rPr>
          <w:rFonts w:cs="Guttman Drogolin" w:hint="cs"/>
          <w:rtl/>
          <w:lang w:bidi="he-IL"/>
        </w:rPr>
        <w:t xml:space="preserve">ובדעת הרשב"א ג"כ נחלקו המפרשים מהו הטעם שלו. הש"ך פי' שהוא משום דאע"ג דסבר שלא אומרים חענ"ן בשאר איסורים, אבל </w:t>
      </w:r>
      <w:r w:rsidR="00DC784B">
        <w:rPr>
          <w:rFonts w:cs="Guttman Drogolin" w:hint="cs"/>
          <w:rtl/>
          <w:lang w:bidi="he-IL"/>
        </w:rPr>
        <w:t>אפשר לסוחטו</w:t>
      </w:r>
      <w:r w:rsidRPr="00882F11">
        <w:rPr>
          <w:rFonts w:cs="Guttman Drogolin" w:hint="cs"/>
          <w:rtl/>
          <w:lang w:bidi="he-IL"/>
        </w:rPr>
        <w:t xml:space="preserve"> אסור אומרים גם בשאר איסורים. </w:t>
      </w:r>
      <w:r w:rsidR="002D2676" w:rsidRPr="00882F11">
        <w:rPr>
          <w:rFonts w:cs="Guttman Drogolin" w:hint="cs"/>
          <w:rtl/>
          <w:lang w:bidi="he-IL"/>
        </w:rPr>
        <w:t xml:space="preserve">אבל רע"א הוכיח שלר' אפרים בשאר איסורים </w:t>
      </w:r>
      <w:r w:rsidR="00DC784B">
        <w:rPr>
          <w:rFonts w:cs="Guttman Drogolin" w:hint="cs"/>
          <w:rtl/>
          <w:lang w:bidi="he-IL"/>
        </w:rPr>
        <w:t>אפשר לסוחטו</w:t>
      </w:r>
      <w:r w:rsidR="002D2676" w:rsidRPr="00882F11">
        <w:rPr>
          <w:rFonts w:cs="Guttman Drogolin" w:hint="cs"/>
          <w:rtl/>
          <w:lang w:bidi="he-IL"/>
        </w:rPr>
        <w:t xml:space="preserve"> מותר, והטעם שהמאכל נשאר באיסורו משום שאין סחיטה באוכלין, ור"ל שלא חל על המאכל בעצמו שום איסור שנשאר לאחר שנסחט ממנו הטעם איסור, אבל מ"מ אמרינן שאין האיסור נסחט ממנו באופן שאינו נותן בה טעם. </w:t>
      </w:r>
    </w:p>
    <w:p w:rsidR="00841E92" w:rsidRPr="00882F11" w:rsidRDefault="002D2676" w:rsidP="00DC784B">
      <w:pPr>
        <w:tabs>
          <w:tab w:val="right" w:pos="7497"/>
        </w:tabs>
        <w:bidi/>
        <w:jc w:val="both"/>
        <w:rPr>
          <w:rFonts w:cs="Guttman Drogolin"/>
          <w:rtl/>
          <w:lang w:bidi="he-IL"/>
        </w:rPr>
      </w:pPr>
      <w:r w:rsidRPr="00882F11">
        <w:rPr>
          <w:rFonts w:cs="Guttman Drogolin" w:hint="cs"/>
          <w:rtl/>
          <w:lang w:bidi="he-IL"/>
        </w:rPr>
        <w:t xml:space="preserve">ולכן לענין שאלתינו הנ"ל לכאורה הדבר תלוי, שלדעת הש"ך שהמאכל נאסר משום שבשאר איסורים נמי אמרינן </w:t>
      </w:r>
      <w:r w:rsidR="00DC784B">
        <w:rPr>
          <w:rFonts w:cs="Guttman Drogolin" w:hint="cs"/>
          <w:rtl/>
          <w:lang w:bidi="he-IL"/>
        </w:rPr>
        <w:t>אפשר לסוחטו</w:t>
      </w:r>
      <w:r w:rsidRPr="00882F11">
        <w:rPr>
          <w:rFonts w:cs="Guttman Drogolin" w:hint="cs"/>
          <w:rtl/>
          <w:lang w:bidi="he-IL"/>
        </w:rPr>
        <w:t xml:space="preserve"> אסור, יתכן דהנ"מ באיסורא, אבל בהיתירא ליכא למימר </w:t>
      </w:r>
      <w:r w:rsidR="00DC784B">
        <w:rPr>
          <w:rFonts w:cs="Guttman Drogolin" w:hint="cs"/>
          <w:rtl/>
          <w:lang w:bidi="he-IL"/>
        </w:rPr>
        <w:t>אפשר לסוחטו</w:t>
      </w:r>
      <w:r w:rsidRPr="00882F11">
        <w:rPr>
          <w:rFonts w:cs="Guttman Drogolin" w:hint="cs"/>
          <w:rtl/>
          <w:lang w:bidi="he-IL"/>
        </w:rPr>
        <w:t xml:space="preserve"> אסור. אבל לרע"א דהוי משום שאין סחיטה באוכלין, לכאורה כלל זה שייך גם להיתירא. ויעוין בש"ך שם </w:t>
      </w:r>
      <w:r w:rsidR="000617C0" w:rsidRPr="00882F11">
        <w:rPr>
          <w:rFonts w:cs="Guttman Drogolin" w:hint="cs"/>
          <w:rtl/>
          <w:lang w:bidi="he-IL"/>
        </w:rPr>
        <w:t>שהביא משו"ת מהר"ם לובלין להתיר גם הירקות והבצלים אם יש ס' כנגד הטעם בשר. ולכאורה הי' נראה שזהו לשיטתו</w:t>
      </w:r>
      <w:r w:rsidR="009D6375" w:rsidRPr="00882F11">
        <w:rPr>
          <w:rStyle w:val="FootnoteReference"/>
          <w:rFonts w:cs="Guttman Drogolin"/>
          <w:rtl/>
          <w:lang w:bidi="he-IL"/>
        </w:rPr>
        <w:footnoteReference w:id="281"/>
      </w:r>
      <w:r w:rsidR="000617C0" w:rsidRPr="00882F11">
        <w:rPr>
          <w:rFonts w:cs="Guttman Drogolin" w:hint="cs"/>
          <w:rtl/>
          <w:lang w:bidi="he-IL"/>
        </w:rPr>
        <w:t xml:space="preserve"> שטעמו של הרשב"א משום ש</w:t>
      </w:r>
      <w:r w:rsidR="00DC784B">
        <w:rPr>
          <w:rFonts w:cs="Guttman Drogolin" w:hint="cs"/>
          <w:rtl/>
          <w:lang w:bidi="he-IL"/>
        </w:rPr>
        <w:t>אפשר לסוחטו</w:t>
      </w:r>
      <w:r w:rsidR="000617C0" w:rsidRPr="00882F11">
        <w:rPr>
          <w:rFonts w:cs="Guttman Drogolin" w:hint="cs"/>
          <w:rtl/>
          <w:lang w:bidi="he-IL"/>
        </w:rPr>
        <w:t xml:space="preserve"> אסור בשאר איסורים, אבל בהיתר לא.</w:t>
      </w:r>
      <w:r w:rsidR="00501101" w:rsidRPr="00882F11">
        <w:rPr>
          <w:rFonts w:cs="Guttman Drogolin" w:hint="cs"/>
          <w:rtl/>
          <w:lang w:bidi="he-IL"/>
        </w:rPr>
        <w:t xml:space="preserve"> אבל רע"א כאן בגליון שו"ע (וכן הוא בהגהות לחוו"ד ר</w:t>
      </w:r>
      <w:r w:rsidR="009D6375" w:rsidRPr="00882F11">
        <w:rPr>
          <w:rFonts w:cs="Guttman Drogolin" w:hint="cs"/>
          <w:rtl/>
          <w:lang w:bidi="he-IL"/>
        </w:rPr>
        <w:t>ס</w:t>
      </w:r>
      <w:r w:rsidR="00501101" w:rsidRPr="00882F11">
        <w:rPr>
          <w:rFonts w:cs="Guttman Drogolin" w:hint="cs"/>
          <w:rtl/>
          <w:lang w:bidi="he-IL"/>
        </w:rPr>
        <w:t xml:space="preserve">י' צ"ב, ובשו"ת סי' ס"ז) כתב מעיקרא לדייק לשון השו"ע שהדין לא נאמר אלא כשבישל ירקות בקדירה חולבת, אבל בחלב עצמו לא, ולכאורה הוא לשיטתו שאין הגעלה באוכלין, ולכן כשבישל הירק </w:t>
      </w:r>
      <w:r w:rsidR="00501101" w:rsidRPr="00882F11">
        <w:rPr>
          <w:rFonts w:cs="Guttman Drogolin" w:hint="cs"/>
          <w:rtl/>
          <w:lang w:bidi="he-IL"/>
        </w:rPr>
        <w:lastRenderedPageBreak/>
        <w:t>בחלב</w:t>
      </w:r>
      <w:r w:rsidR="0099437B" w:rsidRPr="00882F11">
        <w:rPr>
          <w:rFonts w:cs="Guttman Drogolin" w:hint="cs"/>
          <w:rtl/>
          <w:lang w:bidi="he-IL"/>
        </w:rPr>
        <w:t xml:space="preserve"> עצמו נכנס החלב לתוך הירק ואוסר הטעם בשר שבו. ושם העיר שלדעת המהר"ם מלובלין אין הדין כן, ו</w:t>
      </w:r>
      <w:r w:rsidR="009D6375" w:rsidRPr="00882F11">
        <w:rPr>
          <w:rFonts w:cs="Guttman Drogolin" w:hint="cs"/>
          <w:rtl/>
          <w:lang w:bidi="he-IL"/>
        </w:rPr>
        <w:t>שברמ"א לקמן בס</w:t>
      </w:r>
      <w:r w:rsidR="0099437B" w:rsidRPr="00882F11">
        <w:rPr>
          <w:rFonts w:cs="Guttman Drogolin" w:hint="cs"/>
          <w:rtl/>
          <w:lang w:bidi="he-IL"/>
        </w:rPr>
        <w:t>י</w:t>
      </w:r>
      <w:r w:rsidR="009D6375" w:rsidRPr="00882F11">
        <w:rPr>
          <w:rFonts w:cs="Guttman Drogolin" w:hint="cs"/>
          <w:rtl/>
          <w:lang w:bidi="he-IL"/>
        </w:rPr>
        <w:t>'</w:t>
      </w:r>
      <w:r w:rsidR="0099437B" w:rsidRPr="00882F11">
        <w:rPr>
          <w:rFonts w:cs="Guttman Drogolin" w:hint="cs"/>
          <w:rtl/>
          <w:lang w:bidi="he-IL"/>
        </w:rPr>
        <w:t xml:space="preserve"> צ"ה סע' ב' מדויק כמהר"ם לובלין (וכן מבואר בט"ז בסי' צ"ו ס"ק </w:t>
      </w:r>
      <w:r w:rsidR="00365698" w:rsidRPr="00882F11">
        <w:rPr>
          <w:rFonts w:cs="Guttman Drogolin" w:hint="cs"/>
          <w:rtl/>
          <w:lang w:bidi="he-IL"/>
        </w:rPr>
        <w:t>ה</w:t>
      </w:r>
      <w:r w:rsidR="0099437B" w:rsidRPr="00882F11">
        <w:rPr>
          <w:rFonts w:cs="Guttman Drogolin" w:hint="cs"/>
          <w:rtl/>
          <w:lang w:bidi="he-IL"/>
        </w:rPr>
        <w:t xml:space="preserve">'). אלא דטעמא בעי למה יהא הירק מותר כיון </w:t>
      </w:r>
      <w:r w:rsidR="00841E92" w:rsidRPr="00882F11">
        <w:rPr>
          <w:rFonts w:cs="Guttman Drogolin" w:hint="cs"/>
          <w:rtl/>
          <w:lang w:bidi="he-IL"/>
        </w:rPr>
        <w:t>שאין הבשר נפלט ממנו</w:t>
      </w:r>
      <w:r w:rsidR="009D6375" w:rsidRPr="00882F11">
        <w:rPr>
          <w:rStyle w:val="FootnoteReference"/>
          <w:rFonts w:cs="Guttman Drogolin"/>
          <w:rtl/>
          <w:lang w:bidi="he-IL"/>
        </w:rPr>
        <w:footnoteReference w:id="282"/>
      </w:r>
      <w:r w:rsidR="00841E92" w:rsidRPr="00882F11">
        <w:rPr>
          <w:rFonts w:cs="Guttman Drogolin" w:hint="cs"/>
          <w:rtl/>
          <w:lang w:bidi="he-IL"/>
        </w:rPr>
        <w:t>, וא"כ הי' צריך ליאסר.</w:t>
      </w:r>
    </w:p>
    <w:p w:rsidR="001044CC" w:rsidRPr="00882F11" w:rsidRDefault="000F139F" w:rsidP="000F139F">
      <w:pPr>
        <w:tabs>
          <w:tab w:val="right" w:pos="7497"/>
        </w:tabs>
        <w:bidi/>
        <w:jc w:val="both"/>
        <w:rPr>
          <w:rFonts w:cs="Guttman Drogolin"/>
          <w:rtl/>
          <w:lang w:bidi="he-IL"/>
        </w:rPr>
      </w:pPr>
      <w:r>
        <w:rPr>
          <w:rFonts w:cs="Guttman Drogolin"/>
          <w:rtl/>
          <w:lang w:bidi="he-IL"/>
        </w:rPr>
        <w:fldChar w:fldCharType="begin"/>
      </w:r>
      <w:r>
        <w:instrText xml:space="preserve"> XE "</w:instrText>
      </w:r>
      <w:r w:rsidRPr="00ED54CB">
        <w:rPr>
          <w:rFonts w:hint="cs"/>
          <w:rtl/>
          <w:lang w:bidi="he-IL"/>
        </w:rPr>
        <w:instrText>אפשר לסוחטו</w:instrText>
      </w:r>
      <w:r w:rsidRPr="00ED54CB">
        <w:rPr>
          <w:rtl/>
        </w:rPr>
        <w:instrText>:</w:instrText>
      </w:r>
      <w:r w:rsidRPr="00ED54CB">
        <w:rPr>
          <w:rFonts w:hint="cs"/>
          <w:rtl/>
          <w:lang w:bidi="he-IL"/>
        </w:rPr>
        <w:instrText>אם אפשר לסחוט אוכל הבלוע היתר</w:instrText>
      </w:r>
      <w:r>
        <w:instrText xml:space="preserve">" </w:instrText>
      </w:r>
      <w:r>
        <w:rPr>
          <w:rFonts w:cs="Guttman Drogolin"/>
          <w:rtl/>
          <w:lang w:bidi="he-IL"/>
        </w:rPr>
        <w:fldChar w:fldCharType="end"/>
      </w:r>
      <w:r w:rsidR="001044CC" w:rsidRPr="00882F11">
        <w:rPr>
          <w:rFonts w:cs="Guttman Drogolin" w:hint="cs"/>
          <w:rtl/>
          <w:lang w:bidi="he-IL"/>
        </w:rPr>
        <w:t>ו</w:t>
      </w:r>
      <w:r w:rsidR="00897020" w:rsidRPr="00882F11">
        <w:rPr>
          <w:rFonts w:cs="Guttman Drogolin" w:hint="cs"/>
          <w:rtl/>
          <w:lang w:bidi="he-IL"/>
        </w:rPr>
        <w:t xml:space="preserve">רע"א שם העיר עוד יותר מזה, שלכאורה אם בישל הבצלים בחלב ממש, היו צריכים ששים כנגד שיעור הבצלים ומטעם אחר. והוא שהרי </w:t>
      </w:r>
      <w:r w:rsidR="001044CC" w:rsidRPr="00882F11">
        <w:rPr>
          <w:rFonts w:cs="Guttman Drogolin" w:hint="cs"/>
          <w:rtl/>
          <w:lang w:bidi="he-IL"/>
        </w:rPr>
        <w:t>החלב נכנס לבצל והוא נאסר ע"י הטעם בשר ושוב יוצא מן הבצל, והרי הוא כמו חלב נבילה שצריכים שיעור ס' כנגד הבצל משום החלב נביילה שנאסר דוגמת בשר שנפל ליורה רותחת שצריכים ששים כנגד שיעור הבשר משום החלב נבילה. ובשלמא אם אינו אלא קדרה חולבת ניחא כיון שאינו אלא נ"ט בר נ"ט שנכנס לבצל ולכן אינו נאסר ע"י הטעם בשר (ורק אם יש ס', אבל אם ליכא ששים הרי זה אסור כמו בהדחת קערות וכן השו"ע שהקיל בהדחות קערות יודה בזה כיון ששהטעם לא נחלש ע"י האוכלין, ורק בקערות הקילו), אבל אם מיירי בחלב ממש ליכא למימר הכי והכל הי' צריך ליאסר.</w:t>
      </w:r>
      <w:r w:rsidR="00A225AF" w:rsidRPr="00882F11">
        <w:rPr>
          <w:rFonts w:cs="Guttman Drogolin" w:hint="cs"/>
          <w:rtl/>
          <w:lang w:bidi="he-IL"/>
        </w:rPr>
        <w:t xml:space="preserve"> וע' גם ב</w:t>
      </w:r>
      <w:r>
        <w:rPr>
          <w:rFonts w:cs="Guttman Drogolin" w:hint="cs"/>
          <w:rtl/>
          <w:lang w:bidi="he-IL"/>
        </w:rPr>
        <w:t>כ</w:t>
      </w:r>
      <w:r w:rsidR="00A225AF" w:rsidRPr="00882F11">
        <w:rPr>
          <w:rFonts w:cs="Guttman Drogolin" w:hint="cs"/>
          <w:rtl/>
          <w:lang w:bidi="he-IL"/>
        </w:rPr>
        <w:t>רו"פ כאן ס"ק ח' שהעיר ע"ד זה.</w:t>
      </w:r>
    </w:p>
    <w:p w:rsidR="00365698" w:rsidRPr="00882F11" w:rsidRDefault="00A225AF" w:rsidP="001044CC">
      <w:pPr>
        <w:tabs>
          <w:tab w:val="right" w:pos="7497"/>
        </w:tabs>
        <w:bidi/>
        <w:jc w:val="both"/>
        <w:rPr>
          <w:rFonts w:cs="Guttman Drogolin"/>
          <w:rtl/>
          <w:lang w:bidi="he-IL"/>
        </w:rPr>
      </w:pPr>
      <w:r w:rsidRPr="00882F11">
        <w:rPr>
          <w:rFonts w:cs="Guttman Drogolin" w:hint="cs"/>
          <w:rtl/>
          <w:lang w:bidi="he-IL"/>
        </w:rPr>
        <w:t xml:space="preserve">ויעוין בחוו"ד ברסי' צ"ב שעמד על מדוכה זו, וכתב לבאר שעיקר המחלוקת אם </w:t>
      </w:r>
      <w:r w:rsidR="00DC784B">
        <w:rPr>
          <w:rFonts w:cs="Guttman Drogolin" w:hint="cs"/>
          <w:rtl/>
          <w:lang w:bidi="he-IL"/>
        </w:rPr>
        <w:t>אפשר לסוחטו</w:t>
      </w:r>
      <w:r w:rsidRPr="00882F11">
        <w:rPr>
          <w:rFonts w:cs="Guttman Drogolin" w:hint="cs"/>
          <w:rtl/>
          <w:lang w:bidi="he-IL"/>
        </w:rPr>
        <w:t xml:space="preserve"> מותר או אסור הוא משום שכשמבשלים החתיכת בשר ש</w:t>
      </w:r>
      <w:r w:rsidR="00FF7294" w:rsidRPr="00882F11">
        <w:rPr>
          <w:rFonts w:cs="Guttman Drogolin" w:hint="cs"/>
          <w:rtl/>
          <w:lang w:bidi="he-IL"/>
        </w:rPr>
        <w:t xml:space="preserve">כבר </w:t>
      </w:r>
      <w:r w:rsidRPr="00882F11">
        <w:rPr>
          <w:rFonts w:cs="Guttman Drogolin" w:hint="cs"/>
          <w:rtl/>
          <w:lang w:bidi="he-IL"/>
        </w:rPr>
        <w:t>נבלע בה טעם</w:t>
      </w:r>
      <w:r w:rsidR="00FF7294" w:rsidRPr="00882F11">
        <w:rPr>
          <w:rFonts w:cs="Guttman Drogolin" w:hint="cs"/>
          <w:rtl/>
          <w:lang w:bidi="he-IL"/>
        </w:rPr>
        <w:t xml:space="preserve"> חלב</w:t>
      </w:r>
      <w:r w:rsidRPr="00882F11">
        <w:rPr>
          <w:rFonts w:cs="Guttman Drogolin" w:hint="cs"/>
          <w:rtl/>
          <w:lang w:bidi="he-IL"/>
        </w:rPr>
        <w:t xml:space="preserve"> </w:t>
      </w:r>
      <w:r w:rsidR="00FF7294" w:rsidRPr="00882F11">
        <w:rPr>
          <w:rFonts w:cs="Guttman Drogolin" w:hint="cs"/>
          <w:rtl/>
          <w:lang w:bidi="he-IL"/>
        </w:rPr>
        <w:t>בתוך ירקות, אמרינן שהטעם של חלב נחלש. ומ"מ כיון שכבר נאסר הרי הוא עומד באיסורו</w:t>
      </w:r>
      <w:r w:rsidR="00FF7294" w:rsidRPr="00882F11">
        <w:rPr>
          <w:rStyle w:val="FootnoteReference"/>
          <w:rFonts w:cs="Guttman Drogolin"/>
          <w:rtl/>
          <w:lang w:bidi="he-IL"/>
        </w:rPr>
        <w:footnoteReference w:id="283"/>
      </w:r>
      <w:r w:rsidR="00966509" w:rsidRPr="00882F11">
        <w:rPr>
          <w:rFonts w:cs="Guttman Drogolin" w:hint="cs"/>
          <w:rtl/>
          <w:lang w:bidi="he-IL"/>
        </w:rPr>
        <w:t xml:space="preserve"> וכדאמרינן בנ"ט בר נ"ט שהוא מותר רק בהיתירא ולא באיסורא. ומיני' שאפשר להבין גם דינו שח מהר"ם לובלין, דכיון שהבצל היתירא בלע, והטעם בשר שלו </w:t>
      </w:r>
      <w:r w:rsidR="00966509" w:rsidRPr="00882F11">
        <w:rPr>
          <w:rFonts w:cs="Guttman Drogolin" w:hint="cs"/>
          <w:rtl/>
          <w:lang w:bidi="he-IL"/>
        </w:rPr>
        <w:lastRenderedPageBreak/>
        <w:t>נחלש, אין לו כח לאסור</w:t>
      </w:r>
      <w:bookmarkStart w:id="249" w:name="_Ref456347347"/>
      <w:r w:rsidR="00D33541" w:rsidRPr="00882F11">
        <w:rPr>
          <w:rStyle w:val="FootnoteReference"/>
          <w:rFonts w:cs="Guttman Drogolin"/>
          <w:rtl/>
          <w:lang w:bidi="he-IL"/>
        </w:rPr>
        <w:footnoteReference w:id="284"/>
      </w:r>
      <w:bookmarkEnd w:id="249"/>
      <w:r w:rsidR="00966509" w:rsidRPr="00882F11">
        <w:rPr>
          <w:rFonts w:cs="Guttman Drogolin" w:hint="cs"/>
          <w:rtl/>
          <w:lang w:bidi="he-IL"/>
        </w:rPr>
        <w:t xml:space="preserve"> החלב משום בב"ח. </w:t>
      </w:r>
      <w:r w:rsidR="00365698" w:rsidRPr="00882F11">
        <w:rPr>
          <w:rFonts w:cs="Guttman Drogolin" w:hint="cs"/>
          <w:rtl/>
          <w:lang w:bidi="he-IL"/>
        </w:rPr>
        <w:t xml:space="preserve">ואע"ג דמעיקרא כשנכנס החלב עדיין לא נחלש הבשר, סבר החוו"ד דכיון שסופו ליסחט נידון על שם סופו וגם עכשיו אינו אוסר, והוכיח דאמרינן הכי מדמצאנו שבסופו להתפשט אינו נע"נ. </w:t>
      </w:r>
    </w:p>
    <w:p w:rsidR="00995EEF" w:rsidRPr="00882F11" w:rsidRDefault="00995EEF" w:rsidP="00365698">
      <w:pPr>
        <w:tabs>
          <w:tab w:val="right" w:pos="7497"/>
        </w:tabs>
        <w:bidi/>
        <w:jc w:val="both"/>
        <w:rPr>
          <w:rFonts w:cs="Guttman Drogolin"/>
          <w:rtl/>
          <w:lang w:bidi="he-IL"/>
        </w:rPr>
      </w:pPr>
      <w:r w:rsidRPr="00882F11">
        <w:rPr>
          <w:rFonts w:cs="Guttman Drogolin" w:hint="cs"/>
          <w:rtl/>
          <w:lang w:bidi="he-IL"/>
        </w:rPr>
        <w:t xml:space="preserve">ולכאורה יש מקום עיון בדברי החוו"ד. חדא שלכאורה הטעם שבסופו להתפשט לא אומרים חענ"ן אין זה סברא של נידון ספו משום תחילתו, רק דבר שאינו עומד רק עובר וסופו לצאת אין נחשב כ'אוסר', ולכן לא נע"נ. אבל זה שסופו להיות נקלש אינו טעם לומר שלא נאסר. וכה"ג העיר בחזו"א סי' י"ח ס"ק ז'. ועוד דהא ניחא לומר שמשו"ה לא יהא נאסר, אבל לומר שמשו"ה לא יהי' אוסר למה, הא בזמן שיהא נחלש כבר אין החלב צריך לטעם בשר שאסרו. ואם החוו"ד כתב את דבריו לפי סברת רע"א בדעת הרמב"ן ניחא, דכיון שאין הטעם בשר נאסר גם אינו אוסר החלב. </w:t>
      </w:r>
    </w:p>
    <w:p w:rsidR="002415D9" w:rsidRPr="00882F11" w:rsidRDefault="00995EEF" w:rsidP="000C18B9">
      <w:pPr>
        <w:tabs>
          <w:tab w:val="right" w:pos="7497"/>
        </w:tabs>
        <w:bidi/>
        <w:jc w:val="both"/>
        <w:rPr>
          <w:rFonts w:cs="Guttman Drogolin"/>
          <w:rtl/>
          <w:lang w:bidi="he-IL"/>
        </w:rPr>
      </w:pPr>
      <w:r w:rsidRPr="00882F11">
        <w:rPr>
          <w:rFonts w:cs="Guttman Drogolin" w:hint="cs"/>
          <w:rtl/>
          <w:lang w:bidi="he-IL"/>
        </w:rPr>
        <w:t>והחזו"א עצמו ביאר הענין באופן אחר.</w:t>
      </w:r>
      <w:r w:rsidR="00BD33BA" w:rsidRPr="00882F11">
        <w:rPr>
          <w:rFonts w:cs="Guttman Drogolin" w:hint="cs"/>
          <w:rtl/>
          <w:lang w:bidi="he-IL"/>
        </w:rPr>
        <w:t xml:space="preserve"> והוא שהרי הבאנו מכבר דברי התרוה"ד שמחלק בין חתיכת בשר שבלע חלב לקדירה בשרי שבישל בה חלב, שבחתיכה אמרינן שהחלב נעשה נבילה ושוב צריכים ס' כנגד החלב נבילה, ובקדרה אמרינן סופו להתפשט ולא נע"נ. ועל פניו הא דבצל הוי אוכל ולכן עדיין תיקשי, וזהו בעצם נוסח השאלה של החוו"ד הנ"ל. אבל החזו"א שם דן לומר שאין חילוק בין כלי לאוכל, רק החילוק הוא בין נבלע בדבר שנותן בה טעם מעצמו, לנבלע בדבר שאין בה נ"ט מעצמו, רק שיש בה טעם נבלע בו. והיינו שרק כשנבלע בתוך דבר שנותן טעם מעצמו אמרינן שיש בה כח לאסור דבר שנכנס בה ולעשותו נבילה ולא אמרינן הכלל של סופו להתפשט, אבל אם אין בה אלא טעם ממקום אחר, אמרינן שאין הטעם אוסר דהוי כסו</w:t>
      </w:r>
      <w:r w:rsidR="000C18B9" w:rsidRPr="00882F11">
        <w:rPr>
          <w:rFonts w:cs="Guttman Drogolin" w:hint="cs"/>
          <w:rtl/>
          <w:lang w:bidi="he-IL"/>
        </w:rPr>
        <w:t>פ</w:t>
      </w:r>
      <w:r w:rsidR="00BD33BA" w:rsidRPr="00882F11">
        <w:rPr>
          <w:rFonts w:cs="Guttman Drogolin" w:hint="cs"/>
          <w:rtl/>
          <w:lang w:bidi="he-IL"/>
        </w:rPr>
        <w:t>ו להתפשט. ולכן הא דבצלים הוי ככלי שלא אמרינן שהחלב שנכנס בה נע"נ, ולכן אין צריכים אלא ששים כנגד הטעם בשר.</w:t>
      </w:r>
    </w:p>
    <w:p w:rsidR="006E2429" w:rsidRPr="00882F11" w:rsidRDefault="002415D9" w:rsidP="000C18B9">
      <w:pPr>
        <w:tabs>
          <w:tab w:val="right" w:pos="7497"/>
        </w:tabs>
        <w:bidi/>
        <w:jc w:val="both"/>
        <w:rPr>
          <w:rFonts w:cs="Guttman Drogolin"/>
          <w:rtl/>
          <w:lang w:bidi="he-IL"/>
        </w:rPr>
      </w:pPr>
      <w:r w:rsidRPr="00882F11">
        <w:rPr>
          <w:rFonts w:cs="Guttman Drogolin" w:hint="cs"/>
          <w:rtl/>
          <w:lang w:bidi="he-IL"/>
        </w:rPr>
        <w:lastRenderedPageBreak/>
        <w:t>ועדיין יש כאן מקום עיון, שלכאורה נהי נמי שאין החלב נאסר מטעמו של החזו"א, אבל הבשר שאינו יוצא הרי נאסר. ובשלמא אם כשיטת הרמב"ן שצריכים אוסרים זא"ז כדי שיהא אפילו א' מהם נאסר ניחא, די"ל כיון שאין החלב נאסר גם הטעם בשר לא נע"נ. אבל לשיטת התוס' (והחזו"א נקט דקיי"ל לדינא כוותי') שהבשר נאסר, א"כ לכאורה יוצא שלרמ"א שהחמיר דאמרינן חענ"ן בשאר איסורים שגם הבצל נאסר משום שהוא בלוע בבשר של איסור, וא"כ שוב יצטרך ס' כנגד כל הבצל. וא"כ הא ניחא לשיטת המחבר, אבל מדלא השיג הרמ"א משמע דגם איהו סבירא לי' הכי, וצ"ע אמאי.</w:t>
      </w:r>
      <w:r w:rsidR="006E2429" w:rsidRPr="00882F11">
        <w:rPr>
          <w:rFonts w:cs="Guttman Drogolin" w:hint="cs"/>
          <w:rtl/>
          <w:lang w:bidi="he-IL"/>
        </w:rPr>
        <w:t xml:space="preserve"> וע' שם בס"ק י"א מש"כ החזו"א בשאלה זו.</w:t>
      </w:r>
      <w:r w:rsidRPr="00882F11">
        <w:rPr>
          <w:rFonts w:cs="Guttman Drogolin" w:hint="cs"/>
          <w:rtl/>
          <w:lang w:bidi="he-IL"/>
        </w:rPr>
        <w:t xml:space="preserve"> </w:t>
      </w:r>
      <w:r w:rsidR="00BD33BA" w:rsidRPr="00882F11">
        <w:rPr>
          <w:rFonts w:cs="Guttman Drogolin" w:hint="cs"/>
          <w:rtl/>
          <w:lang w:bidi="he-IL"/>
        </w:rPr>
        <w:t xml:space="preserve">  </w:t>
      </w:r>
    </w:p>
    <w:p w:rsidR="006E2429" w:rsidRPr="0000469F" w:rsidRDefault="006E2429" w:rsidP="0078079C">
      <w:pPr>
        <w:pStyle w:val="Heading1"/>
        <w:bidi/>
        <w:spacing w:before="0" w:line="360" w:lineRule="auto"/>
        <w:jc w:val="center"/>
        <w:rPr>
          <w:rFonts w:cs="Guttman Drogolin"/>
          <w:color w:val="auto"/>
          <w:sz w:val="20"/>
          <w:szCs w:val="20"/>
          <w:u w:val="single"/>
          <w:rtl/>
          <w:lang w:bidi="he-IL"/>
        </w:rPr>
      </w:pPr>
      <w:bookmarkStart w:id="250" w:name="_Toc496175504"/>
      <w:r w:rsidRPr="0000469F">
        <w:rPr>
          <w:rFonts w:cs="Guttman Drogolin" w:hint="cs"/>
          <w:color w:val="auto"/>
          <w:sz w:val="20"/>
          <w:szCs w:val="20"/>
          <w:u w:val="single"/>
          <w:rtl/>
          <w:lang w:bidi="he-IL"/>
        </w:rPr>
        <w:t>בדברי סה"ת בבישל ירקות תוך הזמן של מעל"ע</w:t>
      </w:r>
      <w:bookmarkEnd w:id="250"/>
    </w:p>
    <w:p w:rsidR="006E2429" w:rsidRPr="00882F11" w:rsidRDefault="000F139F" w:rsidP="00312A06">
      <w:pPr>
        <w:tabs>
          <w:tab w:val="right" w:pos="7497"/>
        </w:tabs>
        <w:bidi/>
        <w:jc w:val="both"/>
        <w:rPr>
          <w:rFonts w:cs="Guttman Drogolin"/>
          <w:rtl/>
          <w:lang w:bidi="he-IL"/>
        </w:rPr>
      </w:pPr>
      <w:r>
        <w:rPr>
          <w:rFonts w:cs="Guttman Drogolin"/>
          <w:rtl/>
          <w:lang w:bidi="he-IL"/>
        </w:rPr>
        <w:fldChar w:fldCharType="begin"/>
      </w:r>
      <w:r>
        <w:instrText xml:space="preserve"> XE "</w:instrText>
      </w:r>
      <w:r w:rsidRPr="00CB2FB1">
        <w:rPr>
          <w:rFonts w:hint="cs"/>
          <w:rtl/>
          <w:lang w:bidi="he-IL"/>
        </w:rPr>
        <w:instrText>נותן טעם לפגם</w:instrText>
      </w:r>
      <w:r w:rsidRPr="00CB2FB1">
        <w:rPr>
          <w:rtl/>
        </w:rPr>
        <w:instrText>:</w:instrText>
      </w:r>
      <w:r w:rsidRPr="00CB2FB1">
        <w:rPr>
          <w:rFonts w:hint="cs"/>
          <w:rtl/>
          <w:lang w:bidi="he-IL"/>
        </w:rPr>
        <w:instrText>בישל מים בכלי שאינו בן יומו</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7F4B0F">
        <w:rPr>
          <w:rFonts w:hint="cs"/>
          <w:rtl/>
          <w:lang w:bidi="he-IL"/>
        </w:rPr>
        <w:instrText>בן יומו</w:instrText>
      </w:r>
      <w:r>
        <w:instrText>" \t "</w:instrText>
      </w:r>
      <w:r w:rsidRPr="0014106F">
        <w:rPr>
          <w:rFonts w:cs="Times New Roman" w:hint="cs"/>
          <w:i/>
          <w:rtl/>
          <w:lang w:bidi="he-IL"/>
        </w:rPr>
        <w:instrText>ע</w:instrText>
      </w:r>
      <w:r w:rsidRPr="0014106F">
        <w:rPr>
          <w:rFonts w:cstheme="minorHAnsi" w:hint="cs"/>
          <w:i/>
          <w:rtl/>
          <w:lang w:bidi="he-IL"/>
        </w:rPr>
        <w:instrText xml:space="preserve">' </w:instrText>
      </w:r>
      <w:r w:rsidRPr="0014106F">
        <w:rPr>
          <w:rFonts w:cs="Times New Roman" w:hint="cs"/>
          <w:i/>
          <w:rtl/>
          <w:lang w:bidi="he-IL"/>
        </w:rPr>
        <w:instrText>נותן טעם לפגם</w:instrText>
      </w:r>
      <w:r>
        <w:instrText xml:space="preserve">" </w:instrText>
      </w:r>
      <w:r>
        <w:rPr>
          <w:rFonts w:cs="Guttman Drogolin"/>
          <w:rtl/>
          <w:lang w:bidi="he-IL"/>
        </w:rPr>
        <w:fldChar w:fldCharType="end"/>
      </w:r>
      <w:r w:rsidR="006E2429" w:rsidRPr="00882F11">
        <w:rPr>
          <w:rFonts w:cs="Guttman Drogolin" w:hint="cs"/>
          <w:rtl/>
          <w:lang w:bidi="he-IL"/>
        </w:rPr>
        <w:t>הב"י כאן וכן הש"ך בס"ק כ"ב דנים בדברי סה"ת שמי שבישל בתוך כלי, ובתוך מעל"ע (או בתוך לינת לילה לשיטת ר"ת) בישל בה מים</w:t>
      </w:r>
      <w:r w:rsidR="00312A06" w:rsidRPr="00882F11">
        <w:rPr>
          <w:rFonts w:cs="Guttman Drogolin" w:hint="cs"/>
          <w:rtl/>
          <w:lang w:bidi="he-IL"/>
        </w:rPr>
        <w:t>,</w:t>
      </w:r>
      <w:r w:rsidR="006E2429" w:rsidRPr="00882F11">
        <w:rPr>
          <w:rFonts w:cs="Guttman Drogolin" w:hint="cs"/>
          <w:rtl/>
          <w:lang w:bidi="he-IL"/>
        </w:rPr>
        <w:t xml:space="preserve"> האם זה מבטל את הזמן של מעל"ע וצריכים להתחיל הזמן של מעל"ע מזמן הבישול השני או לא. </w:t>
      </w:r>
      <w:r w:rsidR="00312A06" w:rsidRPr="00882F11">
        <w:rPr>
          <w:rFonts w:cs="Guttman Drogolin" w:hint="cs"/>
          <w:rtl/>
          <w:lang w:bidi="he-IL"/>
        </w:rPr>
        <w:t>והסה"ת</w:t>
      </w:r>
      <w:r w:rsidR="006E2429" w:rsidRPr="00882F11">
        <w:rPr>
          <w:rFonts w:cs="Guttman Drogolin" w:hint="cs"/>
          <w:rtl/>
          <w:lang w:bidi="he-IL"/>
        </w:rPr>
        <w:t xml:space="preserve"> כתב לחלק בזה בין איסור להיתר, שלענין איסורא אמרינן שצריך למנות מן הזמן השני, אבל לענין היתירא כגון בב"ח מונה מזמן הראשון. </w:t>
      </w:r>
      <w:r w:rsidR="00312A06" w:rsidRPr="00882F11">
        <w:rPr>
          <w:rFonts w:cs="Guttman Drogolin" w:hint="cs"/>
          <w:rtl/>
          <w:lang w:bidi="he-IL"/>
        </w:rPr>
        <w:t>ונחלקו המפרשים בטעם לחלק ביניהם</w:t>
      </w:r>
      <w:r w:rsidR="006E2429" w:rsidRPr="00882F11">
        <w:rPr>
          <w:rFonts w:cs="Guttman Drogolin" w:hint="cs"/>
          <w:rtl/>
          <w:lang w:bidi="he-IL"/>
        </w:rPr>
        <w:t>.</w:t>
      </w:r>
    </w:p>
    <w:p w:rsidR="00312A06" w:rsidRPr="00882F11" w:rsidRDefault="006E2429" w:rsidP="007176B5">
      <w:pPr>
        <w:tabs>
          <w:tab w:val="right" w:pos="7497"/>
        </w:tabs>
        <w:bidi/>
        <w:jc w:val="both"/>
        <w:rPr>
          <w:rFonts w:cs="Guttman Drogolin"/>
          <w:rtl/>
          <w:lang w:bidi="he-IL"/>
        </w:rPr>
      </w:pPr>
      <w:r w:rsidRPr="00882F11">
        <w:rPr>
          <w:rFonts w:cs="Guttman Drogolin" w:hint="cs"/>
          <w:rtl/>
          <w:lang w:bidi="he-IL"/>
        </w:rPr>
        <w:t xml:space="preserve">והנה </w:t>
      </w:r>
      <w:r w:rsidR="00312A06" w:rsidRPr="00882F11">
        <w:rPr>
          <w:rFonts w:cs="Guttman Drogolin" w:hint="cs"/>
          <w:rtl/>
          <w:lang w:bidi="he-IL"/>
        </w:rPr>
        <w:t>מתוס' בע"ז ועוד ראשונים מבואר הטעם להחמיר באיסורא משום דאמרינן בה חענ"ן. ו</w:t>
      </w:r>
      <w:r w:rsidRPr="00882F11">
        <w:rPr>
          <w:rFonts w:cs="Guttman Drogolin" w:hint="cs"/>
          <w:rtl/>
          <w:lang w:bidi="he-IL"/>
        </w:rPr>
        <w:t>יל"ע מאיזה טעם הי' לנו להקל אלמלא הדין חענ"ן. ולכאורה התי' פשוט שהי' לנו להקל משום שאחרי מעל"ע נעשה הבליעה לפגם</w:t>
      </w:r>
      <w:r w:rsidR="00312A06" w:rsidRPr="00882F11">
        <w:rPr>
          <w:rFonts w:cs="Guttman Drogolin" w:hint="cs"/>
          <w:rtl/>
          <w:lang w:bidi="he-IL"/>
        </w:rPr>
        <w:t xml:space="preserve"> אע"ג שבישלו בינתיים</w:t>
      </w:r>
      <w:r w:rsidRPr="00882F11">
        <w:rPr>
          <w:rFonts w:cs="Guttman Drogolin" w:hint="cs"/>
          <w:rtl/>
          <w:lang w:bidi="he-IL"/>
        </w:rPr>
        <w:t>, ולכן באיסורא</w:t>
      </w:r>
      <w:r w:rsidR="00312A06" w:rsidRPr="00882F11">
        <w:rPr>
          <w:rFonts w:cs="Guttman Drogolin" w:hint="cs"/>
          <w:rtl/>
          <w:lang w:bidi="he-IL"/>
        </w:rPr>
        <w:t xml:space="preserve"> דאמרינן חענ"ן לא איכפת לן בזה שהבליעה דמעיקרא נ</w:t>
      </w:r>
      <w:r w:rsidR="007176B5" w:rsidRPr="00882F11">
        <w:rPr>
          <w:rFonts w:cs="Guttman Drogolin" w:hint="cs"/>
          <w:rtl/>
          <w:lang w:bidi="he-IL"/>
        </w:rPr>
        <w:t>פגמה</w:t>
      </w:r>
      <w:r w:rsidR="00312A06" w:rsidRPr="00882F11">
        <w:rPr>
          <w:rFonts w:cs="Guttman Drogolin" w:hint="cs"/>
          <w:rtl/>
          <w:lang w:bidi="he-IL"/>
        </w:rPr>
        <w:t xml:space="preserve">, שהרי המים שבינתיים נעשו נבילה, והבליעות של מים עדיין לא נעשו לפגם. ובהיתירא הא לא אמרינן חענ"ן ולכן כיון שהם לפגם הרי הם מותרות. וכן לכאורה מבואר בתוס' במס' ע"ז דף ע"ו ע"א. ולכאורה שלשיטת ר' אפרים שלא אומרים חענ"ן בשאר איסורים יוצא שבכל </w:t>
      </w:r>
      <w:r w:rsidR="00312A06" w:rsidRPr="00882F11">
        <w:rPr>
          <w:rFonts w:cs="Guttman Drogolin" w:hint="cs"/>
          <w:rtl/>
          <w:lang w:bidi="he-IL"/>
        </w:rPr>
        <w:lastRenderedPageBreak/>
        <w:t>האיסורים חוץ מבב"ח נמי יהא הדין שאם בישל מים בינתיים הרי הוא לפגם ומותר. ויעוין בב"י סי' ק"ג שיש מי שמתיר אפילו באיסורא אם בישל מים בינתיים, ולכאורה לפי זה הטעם בדעת המתירים משום שהנאסר אינו אסור יותר מן האוסרו, וכיון שהאוסר הוא לפגם גם המים אינם אוסרים. באופן שסה"ת לית לי' כלל זה, ואע"ג שהבליעה נפגמה המים עדיין באיסורה.</w:t>
      </w:r>
    </w:p>
    <w:p w:rsidR="00511732" w:rsidRPr="00882F11" w:rsidRDefault="00312A06" w:rsidP="00511732">
      <w:pPr>
        <w:tabs>
          <w:tab w:val="right" w:pos="7497"/>
        </w:tabs>
        <w:bidi/>
        <w:jc w:val="both"/>
        <w:rPr>
          <w:rFonts w:cs="Guttman Drogolin"/>
          <w:rtl/>
          <w:lang w:bidi="he-IL"/>
        </w:rPr>
      </w:pPr>
      <w:r w:rsidRPr="00882F11">
        <w:rPr>
          <w:rFonts w:cs="Guttman Drogolin" w:hint="cs"/>
          <w:rtl/>
          <w:lang w:bidi="he-IL"/>
        </w:rPr>
        <w:t>ובסמ"</w:t>
      </w:r>
      <w:r w:rsidR="00511732" w:rsidRPr="00882F11">
        <w:rPr>
          <w:rFonts w:cs="Guttman Drogolin" w:hint="cs"/>
          <w:rtl/>
          <w:lang w:bidi="he-IL"/>
        </w:rPr>
        <w:t xml:space="preserve">ק (מובא בש"ך שם) מבואר שהטעם להקל בהיתירא משום שבהיתירא אמרינן לי' להיתירא דנ"ט בר נ"ט, ולכן אם בישל בינתיים אין ההיתר אוסר כיון שנעשה נ"ט בר נ"ט, אבל באיסורא הרי זה מותר משום שאמרינן חענ"ן. ולכאורה מבואר מדברי הסמ"ק כמה הלכתא גבירתא. חדא דמבואר לדבריו דאלמלא ההיתר של נ"ט בר נ"ט הי' צריך להיות אסור. וא"כ חזינן לדעתי' שיש למים שבישל בה תכונה לבטל כח של הכלי לפגום הבליעות, ולכן בעצם היינו צריכים למנות מעל"ע מזמן הבישול השני, אבל מ"מ בהיתירא מקילין כיון שהוא נ"ט בר נ"ט. ועוד מבואר שאלמלא הדין של חענ"ן היינו אומרים גם באיסורא שהוא מותר. וע"כ היינו משום שבעצם ההיתר של נ"ט בר נ"ט שייך גם באיסורא, והטעם בזה פשוט משום דסבר שגדר ההיתר של נ"ט בר נ"ט שנחלש הטעם ואין לו דין טעם, ולכן למה </w:t>
      </w:r>
      <w:r w:rsidR="00C352F9" w:rsidRPr="00882F11">
        <w:rPr>
          <w:rFonts w:cs="Guttman Drogolin" w:hint="cs"/>
          <w:rtl/>
          <w:lang w:bidi="he-IL"/>
        </w:rPr>
        <w:t>לח</w:t>
      </w:r>
      <w:r w:rsidR="00511732" w:rsidRPr="00882F11">
        <w:rPr>
          <w:rFonts w:cs="Guttman Drogolin" w:hint="cs"/>
          <w:rtl/>
          <w:lang w:bidi="he-IL"/>
        </w:rPr>
        <w:t xml:space="preserve">לק בין איסור להיתר. ונפק"מ שלר' אפרים שאין חענ"ן בשאר איסורים יהא הדין שאומרים נ"ט בר נ"ט גם באיסורא. </w:t>
      </w:r>
    </w:p>
    <w:p w:rsidR="00F92ABE" w:rsidRPr="00882F11" w:rsidRDefault="00511732" w:rsidP="00511732">
      <w:pPr>
        <w:tabs>
          <w:tab w:val="right" w:pos="7497"/>
        </w:tabs>
        <w:bidi/>
        <w:jc w:val="both"/>
        <w:rPr>
          <w:rFonts w:cs="Guttman Drogolin"/>
          <w:rtl/>
          <w:lang w:bidi="he-IL"/>
        </w:rPr>
      </w:pPr>
      <w:r w:rsidRPr="00882F11">
        <w:rPr>
          <w:rFonts w:cs="Guttman Drogolin" w:hint="cs"/>
          <w:rtl/>
          <w:lang w:bidi="he-IL"/>
        </w:rPr>
        <w:t xml:space="preserve">והש"ך ס"ק כ"ב ועוד אחרונים העירו שלכמב ראשונים מבואר שאין זה נכון, ושאפילו לר' אפרים לא מונים מזמן הראשון אלא מזמן השני. וצ"ע אמאי, הא לא אמרינן חענ"ן. וסבר הש"ך דע"כ משום שסוברים כמו ככה ראשונים שלא נאמר הדין נ"ט בר נ"ט באיסור אפילו לא אומרים חענ"ן. והטעם משום שהדין של נ"ט בר נ"ט הוא לומר דכין שנחלש לא חיול עליו איסור, ולכן דבר שהוא כבר איסור לא שייך לגבי' היתירא דנ"ט בר נ"ט. </w:t>
      </w:r>
      <w:r w:rsidR="00F92ABE" w:rsidRPr="00882F11">
        <w:rPr>
          <w:rFonts w:cs="Guttman Drogolin" w:hint="cs"/>
          <w:rtl/>
          <w:lang w:bidi="he-IL"/>
        </w:rPr>
        <w:t>ויוצא שגם הש"ך סבירא לי' כסמ"ק שבישול המים יש</w:t>
      </w:r>
      <w:r w:rsidRPr="00882F11">
        <w:rPr>
          <w:rFonts w:cs="Guttman Drogolin" w:hint="cs"/>
          <w:rtl/>
          <w:lang w:bidi="he-IL"/>
        </w:rPr>
        <w:t xml:space="preserve"> </w:t>
      </w:r>
      <w:r w:rsidR="00F92ABE" w:rsidRPr="00882F11">
        <w:rPr>
          <w:rFonts w:cs="Guttman Drogolin" w:hint="cs"/>
          <w:rtl/>
          <w:lang w:bidi="he-IL"/>
        </w:rPr>
        <w:t>בכחה</w:t>
      </w:r>
      <w:r w:rsidRPr="00882F11">
        <w:rPr>
          <w:rFonts w:cs="Guttman Drogolin" w:hint="cs"/>
          <w:rtl/>
          <w:lang w:bidi="he-IL"/>
        </w:rPr>
        <w:t xml:space="preserve"> </w:t>
      </w:r>
      <w:r w:rsidR="00F92ABE" w:rsidRPr="00882F11">
        <w:rPr>
          <w:rFonts w:cs="Guttman Drogolin" w:hint="cs"/>
          <w:rtl/>
          <w:lang w:bidi="he-IL"/>
        </w:rPr>
        <w:t xml:space="preserve">תכונה לבטל כח של הכלי לפגום הבליעות, ולכן רק בנ"ט בר נ"ט מותר אבל </w:t>
      </w:r>
      <w:r w:rsidR="00F92ABE" w:rsidRPr="00882F11">
        <w:rPr>
          <w:rFonts w:cs="Guttman Drogolin" w:hint="cs"/>
          <w:rtl/>
          <w:lang w:bidi="he-IL"/>
        </w:rPr>
        <w:lastRenderedPageBreak/>
        <w:t xml:space="preserve">בלי זה לא. וכן דקדק רע"א בהגהותיו לש"ך ס"ק ב' לעיל. </w:t>
      </w:r>
    </w:p>
    <w:p w:rsidR="00F92ABE" w:rsidRPr="00882F11" w:rsidRDefault="00F92ABE" w:rsidP="00F92ABE">
      <w:pPr>
        <w:tabs>
          <w:tab w:val="right" w:pos="7497"/>
        </w:tabs>
        <w:bidi/>
        <w:jc w:val="both"/>
        <w:rPr>
          <w:rFonts w:cs="Guttman Drogolin"/>
          <w:rtl/>
          <w:lang w:bidi="he-IL"/>
        </w:rPr>
      </w:pPr>
      <w:r w:rsidRPr="00882F11">
        <w:rPr>
          <w:rFonts w:cs="Guttman Drogolin" w:hint="cs"/>
          <w:rtl/>
          <w:lang w:bidi="he-IL"/>
        </w:rPr>
        <w:t>ויל"ע מהו הטעם החולקים על הסה"ת לדעת הסמ"ק ולדעת הש"ך. ולש"ך ע"כ צריכים לומר שהוא משום שחלק על יסוד הנ"ל וסבר שהבישול אינו מונע אותו מלהיות לפגם. ולסמ"ק אפשר לומר שהוא משום דכיון שיש לאיסור הכח להיות מותר מדין נ"ט בר נ"ט אין הנאסר אוסר יותר מן האוסרו.</w:t>
      </w:r>
    </w:p>
    <w:p w:rsidR="0099437B" w:rsidRPr="00882F11" w:rsidRDefault="00F92ABE" w:rsidP="00F92ABE">
      <w:pPr>
        <w:tabs>
          <w:tab w:val="right" w:pos="7497"/>
        </w:tabs>
        <w:bidi/>
        <w:jc w:val="both"/>
        <w:rPr>
          <w:rFonts w:cs="Guttman Drogolin"/>
          <w:rtl/>
          <w:lang w:bidi="he-IL"/>
        </w:rPr>
      </w:pPr>
      <w:r w:rsidRPr="00882F11">
        <w:rPr>
          <w:rFonts w:cs="Guttman Drogolin" w:hint="cs"/>
          <w:rtl/>
          <w:lang w:bidi="he-IL"/>
        </w:rPr>
        <w:t>ולמ"ד שמוני</w:t>
      </w:r>
      <w:r w:rsidR="00321A9D" w:rsidRPr="00882F11">
        <w:rPr>
          <w:rFonts w:cs="Guttman Drogolin" w:hint="cs"/>
          <w:rtl/>
          <w:lang w:bidi="he-IL"/>
        </w:rPr>
        <w:t>ם</w:t>
      </w:r>
      <w:r w:rsidRPr="00882F11">
        <w:rPr>
          <w:rFonts w:cs="Guttman Drogolin" w:hint="cs"/>
          <w:rtl/>
          <w:lang w:bidi="he-IL"/>
        </w:rPr>
        <w:t xml:space="preserve"> מן הבישול הראשון כל מאן כדאית לי' לכאורה יל"ע למה סגי במעל"ע (או לילה א') הא מ"מ כל זמן שהוא במים אינו עולה בחשבון. וע' מש"כ לעיל שיעור ל"ה מזה. </w:t>
      </w:r>
      <w:r w:rsidR="006E2429" w:rsidRPr="00882F11">
        <w:rPr>
          <w:rFonts w:cs="Guttman Drogolin" w:hint="cs"/>
          <w:rtl/>
          <w:lang w:bidi="he-IL"/>
        </w:rPr>
        <w:t xml:space="preserve"> </w:t>
      </w:r>
      <w:r w:rsidR="00BD33BA" w:rsidRPr="00882F11">
        <w:rPr>
          <w:rFonts w:cs="Guttman Drogolin" w:hint="cs"/>
          <w:rtl/>
          <w:lang w:bidi="he-IL"/>
        </w:rPr>
        <w:t xml:space="preserve"> </w:t>
      </w:r>
      <w:r w:rsidR="00995EEF" w:rsidRPr="00882F11">
        <w:rPr>
          <w:rFonts w:cs="Guttman Drogolin" w:hint="cs"/>
          <w:rtl/>
          <w:lang w:bidi="he-IL"/>
        </w:rPr>
        <w:t xml:space="preserve">   </w:t>
      </w:r>
      <w:r w:rsidR="001044CC" w:rsidRPr="00882F11">
        <w:rPr>
          <w:rFonts w:cs="Guttman Drogolin" w:hint="cs"/>
          <w:rtl/>
          <w:lang w:bidi="he-IL"/>
        </w:rPr>
        <w:t xml:space="preserve">   </w:t>
      </w:r>
      <w:r w:rsidR="0099437B" w:rsidRPr="00882F11">
        <w:rPr>
          <w:rFonts w:cs="Guttman Drogolin" w:hint="cs"/>
          <w:rtl/>
          <w:lang w:bidi="he-IL"/>
        </w:rPr>
        <w:t xml:space="preserve">  </w:t>
      </w:r>
    </w:p>
    <w:p w:rsidR="0099437B" w:rsidRPr="00882F11" w:rsidRDefault="0099437B" w:rsidP="0099437B">
      <w:pPr>
        <w:tabs>
          <w:tab w:val="right" w:pos="7497"/>
        </w:tabs>
        <w:bidi/>
        <w:jc w:val="both"/>
        <w:rPr>
          <w:rFonts w:cs="Guttman Drogolin"/>
          <w:rtl/>
          <w:lang w:bidi="he-IL"/>
        </w:rPr>
      </w:pPr>
    </w:p>
    <w:p w:rsidR="0099437B" w:rsidRPr="00882F11" w:rsidRDefault="0099437B" w:rsidP="0099437B">
      <w:pPr>
        <w:tabs>
          <w:tab w:val="right" w:pos="7497"/>
        </w:tabs>
        <w:bidi/>
        <w:jc w:val="both"/>
        <w:rPr>
          <w:rFonts w:cs="Guttman Drogolin"/>
          <w:rtl/>
          <w:lang w:bidi="he-IL"/>
        </w:rPr>
      </w:pPr>
      <w:r w:rsidRPr="00882F11">
        <w:rPr>
          <w:rFonts w:cs="Guttman Drogolin" w:hint="cs"/>
          <w:rtl/>
          <w:lang w:bidi="he-IL"/>
        </w:rPr>
        <w:t>אביא כאן לשון השו"ת מהר"ם לובלין סי' כ</w:t>
      </w:r>
      <w:r w:rsidR="005F26E5" w:rsidRPr="00882F11">
        <w:rPr>
          <w:rFonts w:cs="Guttman Drogolin" w:hint="cs"/>
          <w:rtl/>
          <w:lang w:bidi="he-IL"/>
        </w:rPr>
        <w:t>"</w:t>
      </w:r>
      <w:r w:rsidRPr="00882F11">
        <w:rPr>
          <w:rFonts w:cs="Guttman Drogolin" w:hint="cs"/>
          <w:rtl/>
          <w:lang w:bidi="he-IL"/>
        </w:rPr>
        <w:t>ח לתועלת הלומדים:</w:t>
      </w:r>
    </w:p>
    <w:p w:rsidR="0099437B" w:rsidRPr="00882F11" w:rsidRDefault="0099437B" w:rsidP="0099437B">
      <w:pPr>
        <w:bidi/>
        <w:jc w:val="both"/>
        <w:rPr>
          <w:rFonts w:cs="Guttman Drogolin"/>
        </w:rPr>
      </w:pPr>
      <w:r w:rsidRPr="00882F11">
        <w:rPr>
          <w:rFonts w:cs="Guttman Drogolin" w:hint="cs"/>
          <w:rtl/>
          <w:lang w:bidi="he-IL"/>
        </w:rPr>
        <w:t>השם</w:t>
      </w:r>
      <w:r w:rsidRPr="00882F11">
        <w:rPr>
          <w:rFonts w:cs="Guttman Drogolin"/>
          <w:rtl/>
        </w:rPr>
        <w:t xml:space="preserve"> </w:t>
      </w:r>
      <w:r w:rsidRPr="00882F11">
        <w:rPr>
          <w:rFonts w:cs="Guttman Drogolin" w:hint="cs"/>
          <w:rtl/>
          <w:lang w:bidi="he-IL"/>
        </w:rPr>
        <w:t>יטב</w:t>
      </w:r>
      <w:r w:rsidRPr="00882F11">
        <w:rPr>
          <w:rFonts w:cs="Guttman Drogolin"/>
          <w:rtl/>
        </w:rPr>
        <w:t xml:space="preserve"> </w:t>
      </w:r>
      <w:r w:rsidRPr="00882F11">
        <w:rPr>
          <w:rFonts w:cs="Guttman Drogolin" w:hint="cs"/>
          <w:rtl/>
          <w:lang w:bidi="he-IL"/>
        </w:rPr>
        <w:t>לך</w:t>
      </w:r>
      <w:r w:rsidRPr="00882F11">
        <w:rPr>
          <w:rFonts w:cs="Guttman Drogolin"/>
          <w:rtl/>
        </w:rPr>
        <w:t xml:space="preserve"> </w:t>
      </w:r>
      <w:r w:rsidRPr="00882F11">
        <w:rPr>
          <w:rFonts w:cs="Guttman Drogolin" w:hint="cs"/>
          <w:rtl/>
          <w:lang w:bidi="he-IL"/>
        </w:rPr>
        <w:t>הכתיבה</w:t>
      </w:r>
      <w:r w:rsidRPr="00882F11">
        <w:rPr>
          <w:rFonts w:cs="Guttman Drogolin"/>
          <w:rtl/>
        </w:rPr>
        <w:t xml:space="preserve"> </w:t>
      </w:r>
      <w:r w:rsidRPr="00882F11">
        <w:rPr>
          <w:rFonts w:cs="Guttman Drogolin" w:hint="cs"/>
          <w:rtl/>
          <w:lang w:bidi="he-IL"/>
        </w:rPr>
        <w:t>עם</w:t>
      </w:r>
      <w:r w:rsidRPr="00882F11">
        <w:rPr>
          <w:rFonts w:cs="Guttman Drogolin"/>
          <w:rtl/>
        </w:rPr>
        <w:t xml:space="preserve"> </w:t>
      </w:r>
      <w:r w:rsidRPr="00882F11">
        <w:rPr>
          <w:rFonts w:cs="Guttman Drogolin" w:hint="cs"/>
          <w:rtl/>
          <w:lang w:bidi="he-IL"/>
        </w:rPr>
        <w:t>החתימה</w:t>
      </w:r>
      <w:r w:rsidRPr="00882F11">
        <w:rPr>
          <w:rFonts w:cs="Guttman Drogolin"/>
          <w:rtl/>
        </w:rPr>
        <w:t xml:space="preserve"> </w:t>
      </w:r>
      <w:r w:rsidRPr="00882F11">
        <w:rPr>
          <w:rFonts w:cs="Guttman Drogolin" w:hint="cs"/>
          <w:rtl/>
          <w:lang w:bidi="he-IL"/>
        </w:rPr>
        <w:t>אהו</w:t>
      </w:r>
      <w:r w:rsidRPr="00882F11">
        <w:rPr>
          <w:rFonts w:cs="Guttman Drogolin"/>
          <w:rtl/>
        </w:rPr>
        <w:t xml:space="preserve">' </w:t>
      </w:r>
      <w:r w:rsidRPr="00882F11">
        <w:rPr>
          <w:rFonts w:cs="Guttman Drogolin" w:hint="cs"/>
          <w:rtl/>
          <w:lang w:bidi="he-IL"/>
        </w:rPr>
        <w:t>האלוף</w:t>
      </w:r>
      <w:r w:rsidRPr="00882F11">
        <w:rPr>
          <w:rFonts w:cs="Guttman Drogolin"/>
          <w:rtl/>
        </w:rPr>
        <w:t xml:space="preserve"> </w:t>
      </w:r>
      <w:r w:rsidRPr="00882F11">
        <w:rPr>
          <w:rFonts w:cs="Guttman Drogolin" w:hint="cs"/>
          <w:rtl/>
          <w:lang w:bidi="he-IL"/>
        </w:rPr>
        <w:t>הר</w:t>
      </w:r>
      <w:r w:rsidRPr="00882F11">
        <w:rPr>
          <w:rFonts w:cs="Guttman Drogolin"/>
          <w:rtl/>
        </w:rPr>
        <w:t>"</w:t>
      </w:r>
      <w:r w:rsidRPr="00882F11">
        <w:rPr>
          <w:rFonts w:cs="Guttman Drogolin" w:hint="cs"/>
          <w:rtl/>
          <w:lang w:bidi="he-IL"/>
        </w:rPr>
        <w:t>ר</w:t>
      </w:r>
      <w:r w:rsidRPr="00882F11">
        <w:rPr>
          <w:rFonts w:cs="Guttman Drogolin"/>
          <w:rtl/>
        </w:rPr>
        <w:t xml:space="preserve"> </w:t>
      </w:r>
      <w:r w:rsidRPr="00882F11">
        <w:rPr>
          <w:rFonts w:cs="Guttman Drogolin" w:hint="cs"/>
          <w:rtl/>
          <w:lang w:bidi="he-IL"/>
        </w:rPr>
        <w:t>דוד</w:t>
      </w:r>
      <w:r w:rsidRPr="00882F11">
        <w:rPr>
          <w:rFonts w:cs="Guttman Drogolin"/>
          <w:rtl/>
        </w:rPr>
        <w:t xml:space="preserve"> </w:t>
      </w:r>
      <w:r w:rsidRPr="00882F11">
        <w:rPr>
          <w:rFonts w:cs="Guttman Drogolin" w:hint="cs"/>
          <w:rtl/>
          <w:lang w:bidi="he-IL"/>
        </w:rPr>
        <w:t>י</w:t>
      </w:r>
      <w:r w:rsidRPr="00882F11">
        <w:rPr>
          <w:rFonts w:cs="Guttman Drogolin"/>
          <w:rtl/>
        </w:rPr>
        <w:t>"</w:t>
      </w:r>
      <w:r w:rsidRPr="00882F11">
        <w:rPr>
          <w:rFonts w:cs="Guttman Drogolin" w:hint="cs"/>
          <w:rtl/>
          <w:lang w:bidi="he-IL"/>
        </w:rPr>
        <w:t>צו</w:t>
      </w:r>
      <w:r w:rsidRPr="00882F11">
        <w:rPr>
          <w:rFonts w:cs="Guttman Drogolin"/>
          <w:rtl/>
        </w:rPr>
        <w:t xml:space="preserve"> </w:t>
      </w:r>
      <w:r w:rsidRPr="00882F11">
        <w:rPr>
          <w:rFonts w:cs="Guttman Drogolin" w:hint="cs"/>
          <w:rtl/>
          <w:lang w:bidi="he-IL"/>
        </w:rPr>
        <w:t>וכאל</w:t>
      </w:r>
      <w:r w:rsidRPr="00882F11">
        <w:rPr>
          <w:rFonts w:cs="Guttman Drogolin"/>
          <w:rtl/>
        </w:rPr>
        <w:t>"</w:t>
      </w:r>
      <w:r w:rsidRPr="00882F11">
        <w:rPr>
          <w:rFonts w:cs="Guttman Drogolin" w:hint="cs"/>
          <w:rtl/>
          <w:lang w:bidi="he-IL"/>
        </w:rPr>
        <w:t>ש</w:t>
      </w:r>
      <w:r w:rsidRPr="00882F11">
        <w:rPr>
          <w:rFonts w:cs="Guttman Drogolin"/>
          <w:rtl/>
        </w:rPr>
        <w:t xml:space="preserve">. </w:t>
      </w:r>
      <w:r w:rsidRPr="00882F11">
        <w:rPr>
          <w:rFonts w:cs="Guttman Drogolin" w:hint="cs"/>
          <w:rtl/>
          <w:lang w:bidi="he-IL"/>
        </w:rPr>
        <w:t>מפני</w:t>
      </w:r>
      <w:r w:rsidRPr="00882F11">
        <w:rPr>
          <w:rFonts w:cs="Guttman Drogolin"/>
          <w:rtl/>
        </w:rPr>
        <w:t xml:space="preserve"> </w:t>
      </w:r>
      <w:r w:rsidRPr="00882F11">
        <w:rPr>
          <w:rFonts w:cs="Guttman Drogolin" w:hint="cs"/>
          <w:rtl/>
          <w:lang w:bidi="he-IL"/>
        </w:rPr>
        <w:t>אפס</w:t>
      </w:r>
      <w:r w:rsidRPr="00882F11">
        <w:rPr>
          <w:rFonts w:cs="Guttman Drogolin"/>
          <w:rtl/>
        </w:rPr>
        <w:t xml:space="preserve"> </w:t>
      </w:r>
      <w:r w:rsidRPr="00882F11">
        <w:rPr>
          <w:rFonts w:cs="Guttman Drogolin" w:hint="cs"/>
          <w:rtl/>
          <w:lang w:bidi="he-IL"/>
        </w:rPr>
        <w:t>הפנאי</w:t>
      </w:r>
      <w:r w:rsidRPr="00882F11">
        <w:rPr>
          <w:rFonts w:cs="Guttman Drogolin"/>
          <w:rtl/>
        </w:rPr>
        <w:t xml:space="preserve"> </w:t>
      </w:r>
      <w:r w:rsidRPr="00882F11">
        <w:rPr>
          <w:rFonts w:cs="Guttman Drogolin" w:hint="cs"/>
          <w:rtl/>
          <w:lang w:bidi="he-IL"/>
        </w:rPr>
        <w:t>וטרדת</w:t>
      </w:r>
      <w:r w:rsidRPr="00882F11">
        <w:rPr>
          <w:rFonts w:cs="Guttman Drogolin"/>
          <w:rtl/>
        </w:rPr>
        <w:t xml:space="preserve"> </w:t>
      </w:r>
      <w:r w:rsidRPr="00882F11">
        <w:rPr>
          <w:rFonts w:cs="Guttman Drogolin" w:hint="cs"/>
          <w:rtl/>
          <w:lang w:bidi="he-IL"/>
        </w:rPr>
        <w:t>היום</w:t>
      </w:r>
      <w:r w:rsidRPr="00882F11">
        <w:rPr>
          <w:rFonts w:cs="Guttman Drogolin"/>
          <w:rtl/>
        </w:rPr>
        <w:t xml:space="preserve"> </w:t>
      </w:r>
      <w:r w:rsidRPr="00882F11">
        <w:rPr>
          <w:rFonts w:cs="Guttman Drogolin" w:hint="cs"/>
          <w:rtl/>
          <w:lang w:bidi="he-IL"/>
        </w:rPr>
        <w:t>הטוב</w:t>
      </w:r>
      <w:r w:rsidRPr="00882F11">
        <w:rPr>
          <w:rFonts w:cs="Guttman Drogolin"/>
          <w:rtl/>
        </w:rPr>
        <w:t xml:space="preserve"> </w:t>
      </w:r>
      <w:r w:rsidRPr="00882F11">
        <w:rPr>
          <w:rFonts w:cs="Guttman Drogolin" w:hint="cs"/>
          <w:rtl/>
          <w:lang w:bidi="he-IL"/>
        </w:rPr>
        <w:t>היום</w:t>
      </w:r>
      <w:r w:rsidRPr="00882F11">
        <w:rPr>
          <w:rFonts w:cs="Guttman Drogolin"/>
          <w:rtl/>
        </w:rPr>
        <w:t xml:space="preserve"> </w:t>
      </w:r>
      <w:r w:rsidRPr="00882F11">
        <w:rPr>
          <w:rFonts w:cs="Guttman Drogolin" w:hint="cs"/>
          <w:rtl/>
          <w:lang w:bidi="he-IL"/>
        </w:rPr>
        <w:t>הנורא</w:t>
      </w:r>
      <w:r w:rsidRPr="00882F11">
        <w:rPr>
          <w:rFonts w:cs="Guttman Drogolin"/>
          <w:rtl/>
        </w:rPr>
        <w:t xml:space="preserve"> </w:t>
      </w:r>
      <w:r w:rsidRPr="00882F11">
        <w:rPr>
          <w:rFonts w:cs="Guttman Drogolin" w:hint="cs"/>
          <w:rtl/>
          <w:lang w:bidi="he-IL"/>
        </w:rPr>
        <w:t>לא</w:t>
      </w:r>
      <w:r w:rsidRPr="00882F11">
        <w:rPr>
          <w:rFonts w:cs="Guttman Drogolin"/>
          <w:rtl/>
        </w:rPr>
        <w:t xml:space="preserve"> </w:t>
      </w:r>
      <w:r w:rsidRPr="00882F11">
        <w:rPr>
          <w:rFonts w:cs="Guttman Drogolin" w:hint="cs"/>
          <w:rtl/>
          <w:lang w:bidi="he-IL"/>
        </w:rPr>
        <w:t>אוכל</w:t>
      </w:r>
      <w:r w:rsidRPr="00882F11">
        <w:rPr>
          <w:rFonts w:cs="Guttman Drogolin"/>
          <w:rtl/>
        </w:rPr>
        <w:t xml:space="preserve"> </w:t>
      </w:r>
      <w:r w:rsidRPr="00882F11">
        <w:rPr>
          <w:rFonts w:cs="Guttman Drogolin" w:hint="cs"/>
          <w:rtl/>
          <w:lang w:bidi="he-IL"/>
        </w:rPr>
        <w:t>להאריך</w:t>
      </w:r>
      <w:r w:rsidRPr="00882F11">
        <w:rPr>
          <w:rFonts w:cs="Guttman Drogolin"/>
          <w:rtl/>
        </w:rPr>
        <w:t xml:space="preserve"> </w:t>
      </w:r>
      <w:r w:rsidRPr="00882F11">
        <w:rPr>
          <w:rFonts w:cs="Guttman Drogolin" w:hint="cs"/>
          <w:rtl/>
          <w:lang w:bidi="he-IL"/>
        </w:rPr>
        <w:t>רק</w:t>
      </w:r>
      <w:r w:rsidRPr="00882F11">
        <w:rPr>
          <w:rFonts w:cs="Guttman Drogolin"/>
          <w:rtl/>
        </w:rPr>
        <w:t xml:space="preserve"> </w:t>
      </w:r>
      <w:r w:rsidRPr="00882F11">
        <w:rPr>
          <w:rFonts w:cs="Guttman Drogolin" w:hint="cs"/>
          <w:rtl/>
          <w:lang w:bidi="he-IL"/>
        </w:rPr>
        <w:t>אשב</w:t>
      </w:r>
      <w:r w:rsidRPr="00882F11">
        <w:rPr>
          <w:rFonts w:cs="Guttman Drogolin"/>
          <w:rtl/>
        </w:rPr>
        <w:t xml:space="preserve"> </w:t>
      </w:r>
      <w:r w:rsidRPr="00882F11">
        <w:rPr>
          <w:rFonts w:cs="Guttman Drogolin" w:hint="cs"/>
          <w:rtl/>
          <w:lang w:bidi="he-IL"/>
        </w:rPr>
        <w:t>בקצרה</w:t>
      </w:r>
      <w:r w:rsidRPr="00882F11">
        <w:rPr>
          <w:rFonts w:cs="Guttman Drogolin"/>
          <w:rtl/>
        </w:rPr>
        <w:t xml:space="preserve"> </w:t>
      </w:r>
      <w:r w:rsidRPr="00882F11">
        <w:rPr>
          <w:rFonts w:cs="Guttman Drogolin" w:hint="cs"/>
          <w:rtl/>
          <w:lang w:bidi="he-IL"/>
        </w:rPr>
        <w:t>על</w:t>
      </w:r>
      <w:r w:rsidRPr="00882F11">
        <w:rPr>
          <w:rFonts w:cs="Guttman Drogolin"/>
          <w:rtl/>
        </w:rPr>
        <w:t xml:space="preserve"> </w:t>
      </w:r>
      <w:r w:rsidRPr="00882F11">
        <w:rPr>
          <w:rFonts w:cs="Guttman Drogolin" w:hint="cs"/>
          <w:rtl/>
          <w:lang w:bidi="he-IL"/>
        </w:rPr>
        <w:t>דבר</w:t>
      </w:r>
      <w:r w:rsidRPr="00882F11">
        <w:rPr>
          <w:rFonts w:cs="Guttman Drogolin"/>
          <w:rtl/>
        </w:rPr>
        <w:t xml:space="preserve"> </w:t>
      </w:r>
      <w:r w:rsidRPr="00882F11">
        <w:rPr>
          <w:rFonts w:cs="Guttman Drogolin" w:hint="cs"/>
          <w:rtl/>
          <w:lang w:bidi="he-IL"/>
        </w:rPr>
        <w:t>שאלתך</w:t>
      </w:r>
      <w:r w:rsidRPr="00882F11">
        <w:rPr>
          <w:rFonts w:cs="Guttman Drogolin"/>
          <w:rtl/>
        </w:rPr>
        <w:t xml:space="preserve"> </w:t>
      </w:r>
      <w:r w:rsidRPr="00882F11">
        <w:rPr>
          <w:rFonts w:cs="Guttman Drogolin" w:hint="cs"/>
          <w:rtl/>
          <w:lang w:bidi="he-IL"/>
        </w:rPr>
        <w:t>מה</w:t>
      </w:r>
      <w:r w:rsidRPr="00882F11">
        <w:rPr>
          <w:rFonts w:cs="Guttman Drogolin"/>
          <w:rtl/>
        </w:rPr>
        <w:t xml:space="preserve"> </w:t>
      </w:r>
      <w:r w:rsidRPr="00882F11">
        <w:rPr>
          <w:rFonts w:cs="Guttman Drogolin" w:hint="cs"/>
          <w:rtl/>
          <w:lang w:bidi="he-IL"/>
        </w:rPr>
        <w:t>ששאלתני</w:t>
      </w:r>
      <w:r w:rsidRPr="00882F11">
        <w:rPr>
          <w:rFonts w:cs="Guttman Drogolin"/>
          <w:rtl/>
        </w:rPr>
        <w:t xml:space="preserve"> </w:t>
      </w:r>
      <w:r w:rsidRPr="00882F11">
        <w:rPr>
          <w:rFonts w:cs="Guttman Drogolin" w:hint="cs"/>
          <w:rtl/>
          <w:lang w:bidi="he-IL"/>
        </w:rPr>
        <w:t>על</w:t>
      </w:r>
      <w:r w:rsidRPr="00882F11">
        <w:rPr>
          <w:rFonts w:cs="Guttman Drogolin"/>
          <w:rtl/>
        </w:rPr>
        <w:t xml:space="preserve"> </w:t>
      </w:r>
      <w:r w:rsidRPr="00882F11">
        <w:rPr>
          <w:rFonts w:cs="Guttman Drogolin" w:hint="cs"/>
          <w:rtl/>
          <w:lang w:bidi="he-IL"/>
        </w:rPr>
        <w:t>בצל</w:t>
      </w:r>
      <w:r w:rsidRPr="00882F11">
        <w:rPr>
          <w:rFonts w:cs="Guttman Drogolin"/>
          <w:rtl/>
        </w:rPr>
        <w:t xml:space="preserve"> </w:t>
      </w:r>
      <w:r w:rsidRPr="00882F11">
        <w:rPr>
          <w:rFonts w:cs="Guttman Drogolin" w:hint="cs"/>
          <w:rtl/>
          <w:lang w:bidi="he-IL"/>
        </w:rPr>
        <w:t>שנחתך</w:t>
      </w:r>
      <w:r w:rsidRPr="00882F11">
        <w:rPr>
          <w:rFonts w:cs="Guttman Drogolin"/>
          <w:rtl/>
        </w:rPr>
        <w:t xml:space="preserve"> </w:t>
      </w:r>
      <w:r w:rsidRPr="00882F11">
        <w:rPr>
          <w:rFonts w:cs="Guttman Drogolin" w:hint="cs"/>
          <w:rtl/>
          <w:lang w:bidi="he-IL"/>
        </w:rPr>
        <w:t>בסכין</w:t>
      </w:r>
      <w:r w:rsidRPr="00882F11">
        <w:rPr>
          <w:rFonts w:cs="Guttman Drogolin"/>
          <w:rtl/>
        </w:rPr>
        <w:t xml:space="preserve"> </w:t>
      </w:r>
      <w:r w:rsidRPr="00882F11">
        <w:rPr>
          <w:rFonts w:cs="Guttman Drogolin" w:hint="cs"/>
          <w:rtl/>
          <w:lang w:bidi="he-IL"/>
        </w:rPr>
        <w:t>של</w:t>
      </w:r>
      <w:r w:rsidRPr="00882F11">
        <w:rPr>
          <w:rFonts w:cs="Guttman Drogolin"/>
          <w:rtl/>
        </w:rPr>
        <w:t xml:space="preserve"> </w:t>
      </w:r>
      <w:r w:rsidRPr="00882F11">
        <w:rPr>
          <w:rFonts w:cs="Guttman Drogolin" w:hint="cs"/>
          <w:rtl/>
          <w:lang w:bidi="he-IL"/>
        </w:rPr>
        <w:t>בשר</w:t>
      </w:r>
      <w:r w:rsidRPr="00882F11">
        <w:rPr>
          <w:rFonts w:cs="Guttman Drogolin"/>
          <w:rtl/>
        </w:rPr>
        <w:t xml:space="preserve"> </w:t>
      </w:r>
      <w:r w:rsidRPr="00882F11">
        <w:rPr>
          <w:rFonts w:cs="Guttman Drogolin" w:hint="cs"/>
          <w:rtl/>
          <w:lang w:bidi="he-IL"/>
        </w:rPr>
        <w:t>ונתנו</w:t>
      </w:r>
      <w:r w:rsidRPr="00882F11">
        <w:rPr>
          <w:rFonts w:cs="Guttman Drogolin"/>
          <w:rtl/>
        </w:rPr>
        <w:t xml:space="preserve"> </w:t>
      </w:r>
      <w:r w:rsidRPr="00882F11">
        <w:rPr>
          <w:rFonts w:cs="Guttman Drogolin" w:hint="cs"/>
          <w:rtl/>
          <w:lang w:bidi="he-IL"/>
        </w:rPr>
        <w:t>אותו</w:t>
      </w:r>
      <w:r w:rsidRPr="00882F11">
        <w:rPr>
          <w:rFonts w:cs="Guttman Drogolin"/>
          <w:rtl/>
        </w:rPr>
        <w:t xml:space="preserve"> </w:t>
      </w:r>
      <w:r w:rsidRPr="00882F11">
        <w:rPr>
          <w:rFonts w:cs="Guttman Drogolin" w:hint="cs"/>
          <w:rtl/>
          <w:lang w:bidi="he-IL"/>
        </w:rPr>
        <w:t>לתבשיל</w:t>
      </w:r>
      <w:r w:rsidRPr="00882F11">
        <w:rPr>
          <w:rFonts w:cs="Guttman Drogolin"/>
          <w:rtl/>
        </w:rPr>
        <w:t xml:space="preserve"> </w:t>
      </w:r>
      <w:r w:rsidRPr="00882F11">
        <w:rPr>
          <w:rFonts w:cs="Guttman Drogolin" w:hint="cs"/>
          <w:rtl/>
          <w:lang w:bidi="he-IL"/>
        </w:rPr>
        <w:t>של</w:t>
      </w:r>
      <w:r w:rsidRPr="00882F11">
        <w:rPr>
          <w:rFonts w:cs="Guttman Drogolin"/>
          <w:rtl/>
        </w:rPr>
        <w:t xml:space="preserve"> </w:t>
      </w:r>
      <w:r w:rsidRPr="00882F11">
        <w:rPr>
          <w:rFonts w:cs="Guttman Drogolin" w:hint="cs"/>
          <w:rtl/>
          <w:lang w:bidi="he-IL"/>
        </w:rPr>
        <w:t>חלב</w:t>
      </w:r>
      <w:r w:rsidRPr="00882F11">
        <w:rPr>
          <w:rFonts w:cs="Guttman Drogolin"/>
          <w:rtl/>
        </w:rPr>
        <w:t xml:space="preserve"> </w:t>
      </w:r>
      <w:r w:rsidRPr="00882F11">
        <w:rPr>
          <w:rFonts w:cs="Guttman Drogolin" w:hint="cs"/>
          <w:rtl/>
          <w:lang w:bidi="he-IL"/>
        </w:rPr>
        <w:t>ויש</w:t>
      </w:r>
      <w:r w:rsidRPr="00882F11">
        <w:rPr>
          <w:rFonts w:cs="Guttman Drogolin"/>
          <w:rtl/>
        </w:rPr>
        <w:t xml:space="preserve"> </w:t>
      </w:r>
      <w:r w:rsidRPr="00882F11">
        <w:rPr>
          <w:rFonts w:cs="Guttman Drogolin" w:hint="cs"/>
          <w:rtl/>
          <w:lang w:bidi="he-IL"/>
        </w:rPr>
        <w:t>בתבשיל</w:t>
      </w:r>
      <w:r w:rsidRPr="00882F11">
        <w:rPr>
          <w:rFonts w:cs="Guttman Drogolin"/>
          <w:rtl/>
        </w:rPr>
        <w:t xml:space="preserve"> </w:t>
      </w:r>
      <w:r w:rsidRPr="00882F11">
        <w:rPr>
          <w:rFonts w:cs="Guttman Drogolin" w:hint="cs"/>
          <w:rtl/>
          <w:lang w:bidi="he-IL"/>
        </w:rPr>
        <w:t>ס</w:t>
      </w:r>
      <w:r w:rsidRPr="00882F11">
        <w:rPr>
          <w:rFonts w:cs="Guttman Drogolin"/>
          <w:rtl/>
        </w:rPr>
        <w:t xml:space="preserve">' </w:t>
      </w:r>
      <w:r w:rsidRPr="00882F11">
        <w:rPr>
          <w:rFonts w:cs="Guttman Drogolin" w:hint="cs"/>
          <w:rtl/>
          <w:lang w:bidi="he-IL"/>
        </w:rPr>
        <w:t>נגד</w:t>
      </w:r>
      <w:r w:rsidRPr="00882F11">
        <w:rPr>
          <w:rFonts w:cs="Guttman Drogolin"/>
          <w:rtl/>
        </w:rPr>
        <w:t xml:space="preserve"> </w:t>
      </w:r>
      <w:r w:rsidRPr="00882F11">
        <w:rPr>
          <w:rFonts w:cs="Guttman Drogolin" w:hint="cs"/>
          <w:rtl/>
          <w:lang w:bidi="he-IL"/>
        </w:rPr>
        <w:t>כל</w:t>
      </w:r>
      <w:r w:rsidRPr="00882F11">
        <w:rPr>
          <w:rFonts w:cs="Guttman Drogolin"/>
          <w:rtl/>
        </w:rPr>
        <w:t xml:space="preserve"> </w:t>
      </w:r>
      <w:r w:rsidRPr="00882F11">
        <w:rPr>
          <w:rFonts w:cs="Guttman Drogolin" w:hint="cs"/>
          <w:rtl/>
          <w:lang w:bidi="he-IL"/>
        </w:rPr>
        <w:t>הבצל</w:t>
      </w:r>
      <w:r w:rsidRPr="00882F11">
        <w:rPr>
          <w:rFonts w:cs="Guttman Drogolin"/>
          <w:rtl/>
        </w:rPr>
        <w:t xml:space="preserve"> </w:t>
      </w:r>
      <w:r w:rsidRPr="00882F11">
        <w:rPr>
          <w:rFonts w:cs="Guttman Drogolin" w:hint="cs"/>
          <w:rtl/>
          <w:lang w:bidi="he-IL"/>
        </w:rPr>
        <w:t>אך</w:t>
      </w:r>
      <w:r w:rsidRPr="00882F11">
        <w:rPr>
          <w:rFonts w:cs="Guttman Drogolin"/>
          <w:rtl/>
        </w:rPr>
        <w:t xml:space="preserve"> </w:t>
      </w:r>
      <w:r w:rsidRPr="00882F11">
        <w:rPr>
          <w:rFonts w:cs="Guttman Drogolin" w:hint="cs"/>
          <w:rtl/>
          <w:lang w:bidi="he-IL"/>
        </w:rPr>
        <w:t>שהבצל</w:t>
      </w:r>
      <w:r w:rsidRPr="00882F11">
        <w:rPr>
          <w:rFonts w:cs="Guttman Drogolin"/>
          <w:rtl/>
        </w:rPr>
        <w:t xml:space="preserve"> </w:t>
      </w:r>
      <w:r w:rsidRPr="00882F11">
        <w:rPr>
          <w:rFonts w:cs="Guttman Drogolin" w:hint="cs"/>
          <w:rtl/>
          <w:lang w:bidi="he-IL"/>
        </w:rPr>
        <w:t>לא</w:t>
      </w:r>
      <w:r w:rsidRPr="00882F11">
        <w:rPr>
          <w:rFonts w:cs="Guttman Drogolin"/>
          <w:rtl/>
        </w:rPr>
        <w:t xml:space="preserve"> </w:t>
      </w:r>
      <w:r w:rsidRPr="00882F11">
        <w:rPr>
          <w:rFonts w:cs="Guttman Drogolin" w:hint="cs"/>
          <w:rtl/>
          <w:lang w:bidi="he-IL"/>
        </w:rPr>
        <w:t>נמחה</w:t>
      </w:r>
      <w:r w:rsidRPr="00882F11">
        <w:rPr>
          <w:rFonts w:cs="Guttman Drogolin"/>
          <w:rtl/>
        </w:rPr>
        <w:t xml:space="preserve"> </w:t>
      </w:r>
      <w:r w:rsidRPr="00882F11">
        <w:rPr>
          <w:rFonts w:cs="Guttman Drogolin" w:hint="cs"/>
          <w:rtl/>
          <w:lang w:bidi="he-IL"/>
        </w:rPr>
        <w:t>לגמרי</w:t>
      </w:r>
      <w:r w:rsidRPr="00882F11">
        <w:rPr>
          <w:rFonts w:cs="Guttman Drogolin"/>
          <w:rtl/>
        </w:rPr>
        <w:t xml:space="preserve"> </w:t>
      </w:r>
      <w:r w:rsidRPr="00882F11">
        <w:rPr>
          <w:rFonts w:cs="Guttman Drogolin" w:hint="cs"/>
          <w:rtl/>
          <w:lang w:bidi="he-IL"/>
        </w:rPr>
        <w:t>כדרכו</w:t>
      </w:r>
      <w:r w:rsidRPr="00882F11">
        <w:rPr>
          <w:rFonts w:cs="Guttman Drogolin"/>
          <w:rtl/>
        </w:rPr>
        <w:t xml:space="preserve"> </w:t>
      </w:r>
      <w:r w:rsidRPr="00882F11">
        <w:rPr>
          <w:rFonts w:cs="Guttman Drogolin" w:hint="cs"/>
          <w:rtl/>
          <w:lang w:bidi="he-IL"/>
        </w:rPr>
        <w:t>נמצא</w:t>
      </w:r>
      <w:r w:rsidRPr="00882F11">
        <w:rPr>
          <w:rFonts w:cs="Guttman Drogolin"/>
          <w:rtl/>
        </w:rPr>
        <w:t xml:space="preserve"> </w:t>
      </w:r>
      <w:r w:rsidRPr="00882F11">
        <w:rPr>
          <w:rFonts w:cs="Guttman Drogolin" w:hint="cs"/>
          <w:rtl/>
          <w:lang w:bidi="he-IL"/>
        </w:rPr>
        <w:t>שהבצל</w:t>
      </w:r>
      <w:r w:rsidRPr="00882F11">
        <w:rPr>
          <w:rFonts w:cs="Guttman Drogolin"/>
          <w:rtl/>
        </w:rPr>
        <w:t xml:space="preserve"> </w:t>
      </w:r>
      <w:r w:rsidRPr="00882F11">
        <w:rPr>
          <w:rFonts w:cs="Guttman Drogolin" w:hint="cs"/>
          <w:rtl/>
          <w:lang w:bidi="he-IL"/>
        </w:rPr>
        <w:t>בלוע</w:t>
      </w:r>
      <w:r w:rsidRPr="00882F11">
        <w:rPr>
          <w:rFonts w:cs="Guttman Drogolin"/>
          <w:rtl/>
        </w:rPr>
        <w:t xml:space="preserve"> </w:t>
      </w:r>
      <w:r w:rsidRPr="00882F11">
        <w:rPr>
          <w:rFonts w:cs="Guttman Drogolin" w:hint="cs"/>
          <w:rtl/>
          <w:lang w:bidi="he-IL"/>
        </w:rPr>
        <w:t>מבשר</w:t>
      </w:r>
      <w:r w:rsidRPr="00882F11">
        <w:rPr>
          <w:rFonts w:cs="Guttman Drogolin"/>
          <w:rtl/>
        </w:rPr>
        <w:t xml:space="preserve"> </w:t>
      </w:r>
      <w:r w:rsidRPr="00882F11">
        <w:rPr>
          <w:rFonts w:cs="Guttman Drogolin" w:hint="cs"/>
          <w:rtl/>
          <w:lang w:bidi="he-IL"/>
        </w:rPr>
        <w:t>וחלב</w:t>
      </w:r>
      <w:r w:rsidRPr="00882F11">
        <w:rPr>
          <w:rFonts w:cs="Guttman Drogolin"/>
          <w:rtl/>
        </w:rPr>
        <w:t xml:space="preserve"> </w:t>
      </w:r>
      <w:r w:rsidRPr="00882F11">
        <w:rPr>
          <w:rFonts w:cs="Guttman Drogolin" w:hint="cs"/>
          <w:rtl/>
          <w:lang w:bidi="he-IL"/>
        </w:rPr>
        <w:t>וחתיכא</w:t>
      </w:r>
      <w:r w:rsidRPr="00882F11">
        <w:rPr>
          <w:rFonts w:cs="Guttman Drogolin"/>
          <w:rtl/>
        </w:rPr>
        <w:t xml:space="preserve"> </w:t>
      </w:r>
      <w:r w:rsidRPr="00882F11">
        <w:rPr>
          <w:rFonts w:cs="Guttman Drogolin" w:hint="cs"/>
          <w:rtl/>
          <w:lang w:bidi="he-IL"/>
        </w:rPr>
        <w:t>דאיסורא</w:t>
      </w:r>
      <w:r w:rsidRPr="00882F11">
        <w:rPr>
          <w:rFonts w:cs="Guttman Drogolin"/>
          <w:rtl/>
        </w:rPr>
        <w:t xml:space="preserve"> </w:t>
      </w:r>
      <w:r w:rsidRPr="00882F11">
        <w:rPr>
          <w:rFonts w:cs="Guttman Drogolin" w:hint="cs"/>
          <w:rtl/>
          <w:lang w:bidi="he-IL"/>
        </w:rPr>
        <w:t>וקשה</w:t>
      </w:r>
      <w:r w:rsidRPr="00882F11">
        <w:rPr>
          <w:rFonts w:cs="Guttman Drogolin"/>
          <w:rtl/>
        </w:rPr>
        <w:t xml:space="preserve"> </w:t>
      </w:r>
      <w:r w:rsidRPr="00882F11">
        <w:rPr>
          <w:rFonts w:cs="Guttman Drogolin" w:hint="cs"/>
          <w:rtl/>
          <w:lang w:bidi="he-IL"/>
        </w:rPr>
        <w:t>לפרוש</w:t>
      </w:r>
      <w:r w:rsidRPr="00882F11">
        <w:rPr>
          <w:rFonts w:cs="Guttman Drogolin"/>
          <w:rtl/>
        </w:rPr>
        <w:t xml:space="preserve"> </w:t>
      </w:r>
      <w:r w:rsidRPr="00882F11">
        <w:rPr>
          <w:rFonts w:cs="Guttman Drogolin" w:hint="cs"/>
          <w:rtl/>
          <w:lang w:bidi="he-IL"/>
        </w:rPr>
        <w:t>עכ</w:t>
      </w:r>
      <w:r w:rsidRPr="00882F11">
        <w:rPr>
          <w:rFonts w:cs="Guttman Drogolin"/>
          <w:rtl/>
        </w:rPr>
        <w:t>"</w:t>
      </w:r>
      <w:r w:rsidRPr="00882F11">
        <w:rPr>
          <w:rFonts w:cs="Guttman Drogolin" w:hint="cs"/>
          <w:rtl/>
          <w:lang w:bidi="he-IL"/>
        </w:rPr>
        <w:t>ל</w:t>
      </w:r>
      <w:r w:rsidRPr="00882F11">
        <w:rPr>
          <w:rFonts w:cs="Guttman Drogolin"/>
        </w:rPr>
        <w:t xml:space="preserve">: </w:t>
      </w:r>
    </w:p>
    <w:p w:rsidR="00473F0F" w:rsidRPr="00882F11" w:rsidRDefault="0099437B" w:rsidP="0099437B">
      <w:pPr>
        <w:tabs>
          <w:tab w:val="right" w:pos="7497"/>
        </w:tabs>
        <w:bidi/>
        <w:jc w:val="both"/>
        <w:rPr>
          <w:rFonts w:cs="Guttman Drogolin"/>
          <w:rtl/>
          <w:lang w:bidi="he-IL"/>
        </w:rPr>
      </w:pPr>
      <w:r w:rsidRPr="00882F11">
        <w:rPr>
          <w:rFonts w:cs="Guttman Drogolin" w:hint="cs"/>
          <w:rtl/>
          <w:lang w:bidi="he-IL"/>
        </w:rPr>
        <w:t>תשובה</w:t>
      </w:r>
      <w:r w:rsidRPr="00882F11">
        <w:rPr>
          <w:rFonts w:cs="Guttman Drogolin"/>
          <w:rtl/>
        </w:rPr>
        <w:t xml:space="preserve"> </w:t>
      </w:r>
      <w:r w:rsidRPr="00882F11">
        <w:rPr>
          <w:rFonts w:cs="Guttman Drogolin" w:hint="cs"/>
          <w:rtl/>
          <w:lang w:bidi="he-IL"/>
        </w:rPr>
        <w:t>דע</w:t>
      </w:r>
      <w:r w:rsidRPr="00882F11">
        <w:rPr>
          <w:rFonts w:cs="Guttman Drogolin"/>
          <w:rtl/>
        </w:rPr>
        <w:t xml:space="preserve"> </w:t>
      </w:r>
      <w:r w:rsidRPr="00882F11">
        <w:rPr>
          <w:rFonts w:cs="Guttman Drogolin" w:hint="cs"/>
          <w:rtl/>
          <w:lang w:bidi="he-IL"/>
        </w:rPr>
        <w:t>אהובי</w:t>
      </w:r>
      <w:r w:rsidRPr="00882F11">
        <w:rPr>
          <w:rFonts w:cs="Guttman Drogolin"/>
          <w:rtl/>
        </w:rPr>
        <w:t xml:space="preserve"> </w:t>
      </w:r>
      <w:r w:rsidRPr="00882F11">
        <w:rPr>
          <w:rFonts w:cs="Guttman Drogolin" w:hint="cs"/>
          <w:rtl/>
          <w:lang w:bidi="he-IL"/>
        </w:rPr>
        <w:t>שאנו</w:t>
      </w:r>
      <w:r w:rsidRPr="00882F11">
        <w:rPr>
          <w:rFonts w:cs="Guttman Drogolin"/>
          <w:rtl/>
        </w:rPr>
        <w:t xml:space="preserve"> </w:t>
      </w:r>
      <w:r w:rsidRPr="00882F11">
        <w:rPr>
          <w:rFonts w:cs="Guttman Drogolin" w:hint="cs"/>
          <w:rtl/>
          <w:lang w:bidi="he-IL"/>
        </w:rPr>
        <w:t>ק</w:t>
      </w:r>
      <w:r w:rsidRPr="00882F11">
        <w:rPr>
          <w:rFonts w:cs="Guttman Drogolin"/>
          <w:rtl/>
        </w:rPr>
        <w:t>"</w:t>
      </w:r>
      <w:r w:rsidRPr="00882F11">
        <w:rPr>
          <w:rFonts w:cs="Guttman Drogolin" w:hint="cs"/>
          <w:rtl/>
          <w:lang w:bidi="he-IL"/>
        </w:rPr>
        <w:t>ל</w:t>
      </w:r>
      <w:r w:rsidRPr="00882F11">
        <w:rPr>
          <w:rFonts w:cs="Guttman Drogolin"/>
          <w:rtl/>
        </w:rPr>
        <w:t xml:space="preserve"> </w:t>
      </w:r>
      <w:r w:rsidRPr="00882F11">
        <w:rPr>
          <w:rFonts w:cs="Guttman Drogolin" w:hint="cs"/>
          <w:rtl/>
          <w:lang w:bidi="he-IL"/>
        </w:rPr>
        <w:t>שאין</w:t>
      </w:r>
      <w:r w:rsidRPr="00882F11">
        <w:rPr>
          <w:rFonts w:cs="Guttman Drogolin"/>
          <w:rtl/>
        </w:rPr>
        <w:t xml:space="preserve"> </w:t>
      </w:r>
      <w:r w:rsidRPr="00882F11">
        <w:rPr>
          <w:rFonts w:cs="Guttman Drogolin" w:hint="cs"/>
          <w:rtl/>
          <w:lang w:bidi="he-IL"/>
        </w:rPr>
        <w:t>מצריכין</w:t>
      </w:r>
      <w:r w:rsidRPr="00882F11">
        <w:rPr>
          <w:rFonts w:cs="Guttman Drogolin"/>
          <w:rtl/>
        </w:rPr>
        <w:t xml:space="preserve"> </w:t>
      </w:r>
      <w:r w:rsidRPr="00882F11">
        <w:rPr>
          <w:rFonts w:cs="Guttman Drogolin" w:hint="cs"/>
          <w:rtl/>
          <w:lang w:bidi="he-IL"/>
        </w:rPr>
        <w:t>ס</w:t>
      </w:r>
      <w:r w:rsidRPr="00882F11">
        <w:rPr>
          <w:rFonts w:cs="Guttman Drogolin"/>
          <w:rtl/>
        </w:rPr>
        <w:t xml:space="preserve">' </w:t>
      </w:r>
      <w:r w:rsidRPr="00882F11">
        <w:rPr>
          <w:rFonts w:cs="Guttman Drogolin" w:hint="cs"/>
          <w:rtl/>
          <w:lang w:bidi="he-IL"/>
        </w:rPr>
        <w:t>נגד</w:t>
      </w:r>
      <w:r w:rsidRPr="00882F11">
        <w:rPr>
          <w:rFonts w:cs="Guttman Drogolin"/>
          <w:rtl/>
        </w:rPr>
        <w:t xml:space="preserve"> </w:t>
      </w:r>
      <w:r w:rsidRPr="00882F11">
        <w:rPr>
          <w:rFonts w:cs="Guttman Drogolin" w:hint="cs"/>
          <w:rtl/>
          <w:lang w:bidi="he-IL"/>
        </w:rPr>
        <w:t>כל</w:t>
      </w:r>
      <w:r w:rsidRPr="00882F11">
        <w:rPr>
          <w:rFonts w:cs="Guttman Drogolin"/>
          <w:rtl/>
        </w:rPr>
        <w:t xml:space="preserve"> </w:t>
      </w:r>
      <w:r w:rsidRPr="00882F11">
        <w:rPr>
          <w:rFonts w:cs="Guttman Drogolin" w:hint="cs"/>
          <w:rtl/>
          <w:lang w:bidi="he-IL"/>
        </w:rPr>
        <w:t>הבצל</w:t>
      </w:r>
      <w:r w:rsidRPr="00882F11">
        <w:rPr>
          <w:rFonts w:cs="Guttman Drogolin"/>
          <w:rtl/>
        </w:rPr>
        <w:t xml:space="preserve"> </w:t>
      </w:r>
      <w:r w:rsidRPr="00882F11">
        <w:rPr>
          <w:rFonts w:cs="Guttman Drogolin" w:hint="cs"/>
          <w:rtl/>
          <w:lang w:bidi="he-IL"/>
        </w:rPr>
        <w:t>כ</w:t>
      </w:r>
      <w:r w:rsidRPr="00882F11">
        <w:rPr>
          <w:rFonts w:cs="Guttman Drogolin"/>
          <w:rtl/>
        </w:rPr>
        <w:t>"</w:t>
      </w:r>
      <w:r w:rsidRPr="00882F11">
        <w:rPr>
          <w:rFonts w:cs="Guttman Drogolin" w:hint="cs"/>
          <w:rtl/>
          <w:lang w:bidi="he-IL"/>
        </w:rPr>
        <w:t>א</w:t>
      </w:r>
      <w:r w:rsidRPr="00882F11">
        <w:rPr>
          <w:rFonts w:cs="Guttman Drogolin"/>
          <w:rtl/>
        </w:rPr>
        <w:t xml:space="preserve"> </w:t>
      </w:r>
      <w:r w:rsidRPr="00882F11">
        <w:rPr>
          <w:rFonts w:cs="Guttman Drogolin" w:hint="cs"/>
          <w:rtl/>
          <w:lang w:bidi="he-IL"/>
        </w:rPr>
        <w:t>נגד</w:t>
      </w:r>
      <w:r w:rsidRPr="00882F11">
        <w:rPr>
          <w:rFonts w:cs="Guttman Drogolin"/>
          <w:rtl/>
        </w:rPr>
        <w:t xml:space="preserve"> </w:t>
      </w:r>
      <w:r w:rsidRPr="00882F11">
        <w:rPr>
          <w:rFonts w:cs="Guttman Drogolin" w:hint="cs"/>
          <w:rtl/>
          <w:lang w:bidi="he-IL"/>
        </w:rPr>
        <w:t>מקום</w:t>
      </w:r>
      <w:r w:rsidRPr="00882F11">
        <w:rPr>
          <w:rFonts w:cs="Guttman Drogolin"/>
          <w:rtl/>
        </w:rPr>
        <w:t xml:space="preserve"> </w:t>
      </w:r>
      <w:r w:rsidRPr="00882F11">
        <w:rPr>
          <w:rFonts w:cs="Guttman Drogolin" w:hint="cs"/>
          <w:rtl/>
          <w:lang w:bidi="he-IL"/>
        </w:rPr>
        <w:t>הסכין</w:t>
      </w:r>
      <w:r w:rsidRPr="00882F11">
        <w:rPr>
          <w:rFonts w:cs="Guttman Drogolin"/>
          <w:rtl/>
        </w:rPr>
        <w:t xml:space="preserve"> </w:t>
      </w:r>
      <w:r w:rsidRPr="00882F11">
        <w:rPr>
          <w:rFonts w:cs="Guttman Drogolin" w:hint="cs"/>
          <w:rtl/>
          <w:lang w:bidi="he-IL"/>
        </w:rPr>
        <w:t>שנגעה</w:t>
      </w:r>
      <w:r w:rsidRPr="00882F11">
        <w:rPr>
          <w:rFonts w:cs="Guttman Drogolin"/>
          <w:rtl/>
        </w:rPr>
        <w:t xml:space="preserve"> </w:t>
      </w:r>
      <w:r w:rsidRPr="00882F11">
        <w:rPr>
          <w:rFonts w:cs="Guttman Drogolin" w:hint="cs"/>
          <w:rtl/>
          <w:lang w:bidi="he-IL"/>
        </w:rPr>
        <w:t>בבצל</w:t>
      </w:r>
      <w:r w:rsidRPr="00882F11">
        <w:rPr>
          <w:rFonts w:cs="Guttman Drogolin"/>
          <w:rtl/>
        </w:rPr>
        <w:t xml:space="preserve"> </w:t>
      </w:r>
      <w:r w:rsidRPr="00882F11">
        <w:rPr>
          <w:rFonts w:cs="Guttman Drogolin" w:hint="cs"/>
          <w:rtl/>
          <w:lang w:bidi="he-IL"/>
        </w:rPr>
        <w:t>שהרי</w:t>
      </w:r>
      <w:r w:rsidRPr="00882F11">
        <w:rPr>
          <w:rFonts w:cs="Guttman Drogolin"/>
          <w:rtl/>
        </w:rPr>
        <w:t xml:space="preserve"> </w:t>
      </w:r>
      <w:r w:rsidRPr="00882F11">
        <w:rPr>
          <w:rFonts w:cs="Guttman Drogolin" w:hint="cs"/>
          <w:rtl/>
          <w:lang w:bidi="he-IL"/>
        </w:rPr>
        <w:t>הבצל</w:t>
      </w:r>
      <w:r w:rsidRPr="00882F11">
        <w:rPr>
          <w:rFonts w:cs="Guttman Drogolin"/>
          <w:rtl/>
        </w:rPr>
        <w:t xml:space="preserve"> </w:t>
      </w:r>
      <w:r w:rsidRPr="00882F11">
        <w:rPr>
          <w:rFonts w:cs="Guttman Drogolin" w:hint="cs"/>
          <w:rtl/>
          <w:lang w:bidi="he-IL"/>
        </w:rPr>
        <w:t>לא</w:t>
      </w:r>
      <w:r w:rsidRPr="00882F11">
        <w:rPr>
          <w:rFonts w:cs="Guttman Drogolin"/>
          <w:rtl/>
        </w:rPr>
        <w:t xml:space="preserve"> </w:t>
      </w:r>
      <w:r w:rsidRPr="00882F11">
        <w:rPr>
          <w:rFonts w:cs="Guttman Drogolin" w:hint="cs"/>
          <w:rtl/>
          <w:lang w:bidi="he-IL"/>
        </w:rPr>
        <w:t>נעשית</w:t>
      </w:r>
      <w:r w:rsidRPr="00882F11">
        <w:rPr>
          <w:rFonts w:cs="Guttman Drogolin"/>
          <w:rtl/>
        </w:rPr>
        <w:t xml:space="preserve"> </w:t>
      </w:r>
      <w:r w:rsidRPr="00882F11">
        <w:rPr>
          <w:rFonts w:cs="Guttman Drogolin" w:hint="cs"/>
          <w:rtl/>
          <w:lang w:bidi="he-IL"/>
        </w:rPr>
        <w:t>נבלה</w:t>
      </w:r>
      <w:r w:rsidRPr="00882F11">
        <w:rPr>
          <w:rFonts w:cs="Guttman Drogolin"/>
          <w:rtl/>
        </w:rPr>
        <w:t xml:space="preserve"> </w:t>
      </w:r>
      <w:r w:rsidRPr="00882F11">
        <w:rPr>
          <w:rFonts w:cs="Guttman Drogolin" w:hint="cs"/>
          <w:rtl/>
          <w:lang w:bidi="he-IL"/>
        </w:rPr>
        <w:t>וחתיכה</w:t>
      </w:r>
      <w:r w:rsidRPr="00882F11">
        <w:rPr>
          <w:rFonts w:cs="Guttman Drogolin"/>
          <w:rtl/>
        </w:rPr>
        <w:t xml:space="preserve"> </w:t>
      </w:r>
      <w:r w:rsidRPr="00882F11">
        <w:rPr>
          <w:rFonts w:cs="Guttman Drogolin" w:hint="cs"/>
          <w:rtl/>
          <w:lang w:bidi="he-IL"/>
        </w:rPr>
        <w:t>דאיסורא</w:t>
      </w:r>
      <w:r w:rsidRPr="00882F11">
        <w:rPr>
          <w:rFonts w:cs="Guttman Drogolin"/>
          <w:rtl/>
        </w:rPr>
        <w:t xml:space="preserve"> </w:t>
      </w:r>
      <w:r w:rsidRPr="00882F11">
        <w:rPr>
          <w:rFonts w:cs="Guttman Drogolin" w:hint="cs"/>
          <w:rtl/>
          <w:lang w:bidi="he-IL"/>
        </w:rPr>
        <w:t>דהא</w:t>
      </w:r>
      <w:r w:rsidRPr="00882F11">
        <w:rPr>
          <w:rFonts w:cs="Guttman Drogolin"/>
          <w:rtl/>
        </w:rPr>
        <w:t xml:space="preserve"> </w:t>
      </w:r>
      <w:r w:rsidRPr="00882F11">
        <w:rPr>
          <w:rFonts w:cs="Guttman Drogolin" w:hint="cs"/>
          <w:rtl/>
          <w:lang w:bidi="he-IL"/>
        </w:rPr>
        <w:t>קודם</w:t>
      </w:r>
      <w:r w:rsidRPr="00882F11">
        <w:rPr>
          <w:rFonts w:cs="Guttman Drogolin"/>
          <w:rtl/>
        </w:rPr>
        <w:t xml:space="preserve"> </w:t>
      </w:r>
      <w:r w:rsidRPr="00882F11">
        <w:rPr>
          <w:rFonts w:cs="Guttman Drogolin" w:hint="cs"/>
          <w:rtl/>
          <w:lang w:bidi="he-IL"/>
        </w:rPr>
        <w:t>שנתנה</w:t>
      </w:r>
      <w:r w:rsidRPr="00882F11">
        <w:rPr>
          <w:rFonts w:cs="Guttman Drogolin"/>
          <w:rtl/>
        </w:rPr>
        <w:t xml:space="preserve"> </w:t>
      </w:r>
      <w:r w:rsidRPr="00882F11">
        <w:rPr>
          <w:rFonts w:cs="Guttman Drogolin" w:hint="cs"/>
          <w:rtl/>
          <w:lang w:bidi="he-IL"/>
        </w:rPr>
        <w:t>לתוך</w:t>
      </w:r>
      <w:r w:rsidRPr="00882F11">
        <w:rPr>
          <w:rFonts w:cs="Guttman Drogolin"/>
          <w:rtl/>
        </w:rPr>
        <w:t xml:space="preserve"> </w:t>
      </w:r>
      <w:r w:rsidRPr="00882F11">
        <w:rPr>
          <w:rFonts w:cs="Guttman Drogolin" w:hint="cs"/>
          <w:rtl/>
          <w:lang w:bidi="he-IL"/>
        </w:rPr>
        <w:t>החלב</w:t>
      </w:r>
      <w:r w:rsidRPr="00882F11">
        <w:rPr>
          <w:rFonts w:cs="Guttman Drogolin"/>
          <w:rtl/>
        </w:rPr>
        <w:t xml:space="preserve"> </w:t>
      </w:r>
      <w:r w:rsidRPr="00882F11">
        <w:rPr>
          <w:rFonts w:cs="Guttman Drogolin" w:hint="cs"/>
          <w:rtl/>
          <w:lang w:bidi="he-IL"/>
        </w:rPr>
        <w:t>היה</w:t>
      </w:r>
      <w:r w:rsidRPr="00882F11">
        <w:rPr>
          <w:rFonts w:cs="Guttman Drogolin"/>
          <w:rtl/>
        </w:rPr>
        <w:t xml:space="preserve"> </w:t>
      </w:r>
      <w:r w:rsidRPr="00882F11">
        <w:rPr>
          <w:rFonts w:cs="Guttman Drogolin" w:hint="cs"/>
          <w:rtl/>
          <w:lang w:bidi="he-IL"/>
        </w:rPr>
        <w:t>כולו</w:t>
      </w:r>
      <w:r w:rsidRPr="00882F11">
        <w:rPr>
          <w:rFonts w:cs="Guttman Drogolin"/>
          <w:rtl/>
        </w:rPr>
        <w:t xml:space="preserve"> </w:t>
      </w:r>
      <w:r w:rsidRPr="00882F11">
        <w:rPr>
          <w:rFonts w:cs="Guttman Drogolin" w:hint="cs"/>
          <w:rtl/>
          <w:lang w:bidi="he-IL"/>
        </w:rPr>
        <w:t>היתר</w:t>
      </w:r>
      <w:r w:rsidRPr="00882F11">
        <w:rPr>
          <w:rFonts w:cs="Guttman Drogolin"/>
          <w:rtl/>
        </w:rPr>
        <w:t xml:space="preserve"> </w:t>
      </w:r>
      <w:r w:rsidRPr="00882F11">
        <w:rPr>
          <w:rFonts w:cs="Guttman Drogolin" w:hint="cs"/>
          <w:rtl/>
          <w:lang w:bidi="he-IL"/>
        </w:rPr>
        <w:t>ולכך</w:t>
      </w:r>
      <w:r w:rsidRPr="00882F11">
        <w:rPr>
          <w:rFonts w:cs="Guttman Drogolin"/>
          <w:rtl/>
        </w:rPr>
        <w:t xml:space="preserve"> </w:t>
      </w:r>
      <w:r w:rsidRPr="00882F11">
        <w:rPr>
          <w:rFonts w:cs="Guttman Drogolin" w:hint="cs"/>
          <w:rtl/>
          <w:lang w:bidi="he-IL"/>
        </w:rPr>
        <w:t>אין</w:t>
      </w:r>
      <w:r w:rsidRPr="00882F11">
        <w:rPr>
          <w:rFonts w:cs="Guttman Drogolin"/>
          <w:rtl/>
        </w:rPr>
        <w:t xml:space="preserve"> </w:t>
      </w:r>
      <w:r w:rsidRPr="00882F11">
        <w:rPr>
          <w:rFonts w:cs="Guttman Drogolin" w:hint="cs"/>
          <w:rtl/>
          <w:lang w:bidi="he-IL"/>
        </w:rPr>
        <w:t>אנו</w:t>
      </w:r>
      <w:r w:rsidRPr="00882F11">
        <w:rPr>
          <w:rFonts w:cs="Guttman Drogolin"/>
          <w:rtl/>
        </w:rPr>
        <w:t xml:space="preserve"> </w:t>
      </w:r>
      <w:r w:rsidRPr="00882F11">
        <w:rPr>
          <w:rFonts w:cs="Guttman Drogolin" w:hint="cs"/>
          <w:rtl/>
          <w:lang w:bidi="he-IL"/>
        </w:rPr>
        <w:t>צריכין</w:t>
      </w:r>
      <w:r w:rsidRPr="00882F11">
        <w:rPr>
          <w:rFonts w:cs="Guttman Drogolin"/>
          <w:rtl/>
        </w:rPr>
        <w:t xml:space="preserve"> </w:t>
      </w:r>
      <w:r w:rsidRPr="00882F11">
        <w:rPr>
          <w:rFonts w:cs="Guttman Drogolin" w:hint="cs"/>
          <w:rtl/>
          <w:lang w:bidi="he-IL"/>
        </w:rPr>
        <w:t>לשער</w:t>
      </w:r>
      <w:r w:rsidRPr="00882F11">
        <w:rPr>
          <w:rFonts w:cs="Guttman Drogolin"/>
          <w:rtl/>
        </w:rPr>
        <w:t xml:space="preserve"> </w:t>
      </w:r>
      <w:r w:rsidRPr="00882F11">
        <w:rPr>
          <w:rFonts w:cs="Guttman Drogolin" w:hint="cs"/>
          <w:rtl/>
          <w:lang w:bidi="he-IL"/>
        </w:rPr>
        <w:t>כי</w:t>
      </w:r>
      <w:r w:rsidRPr="00882F11">
        <w:rPr>
          <w:rFonts w:cs="Guttman Drogolin"/>
          <w:rtl/>
        </w:rPr>
        <w:t xml:space="preserve"> </w:t>
      </w:r>
      <w:r w:rsidRPr="00882F11">
        <w:rPr>
          <w:rFonts w:cs="Guttman Drogolin" w:hint="cs"/>
          <w:rtl/>
          <w:lang w:bidi="he-IL"/>
        </w:rPr>
        <w:t>אם</w:t>
      </w:r>
      <w:r w:rsidRPr="00882F11">
        <w:rPr>
          <w:rFonts w:cs="Guttman Drogolin"/>
          <w:rtl/>
        </w:rPr>
        <w:t xml:space="preserve"> </w:t>
      </w:r>
      <w:r w:rsidRPr="00882F11">
        <w:rPr>
          <w:rFonts w:cs="Guttman Drogolin" w:hint="cs"/>
          <w:rtl/>
          <w:lang w:bidi="he-IL"/>
        </w:rPr>
        <w:t>נגד</w:t>
      </w:r>
      <w:r w:rsidRPr="00882F11">
        <w:rPr>
          <w:rFonts w:cs="Guttman Drogolin"/>
          <w:rtl/>
        </w:rPr>
        <w:t xml:space="preserve"> </w:t>
      </w:r>
      <w:r w:rsidRPr="00882F11">
        <w:rPr>
          <w:rFonts w:cs="Guttman Drogolin" w:hint="cs"/>
          <w:rtl/>
          <w:lang w:bidi="he-IL"/>
        </w:rPr>
        <w:t>טעם</w:t>
      </w:r>
      <w:r w:rsidRPr="00882F11">
        <w:rPr>
          <w:rFonts w:cs="Guttman Drogolin"/>
          <w:rtl/>
        </w:rPr>
        <w:t xml:space="preserve"> </w:t>
      </w:r>
      <w:r w:rsidRPr="00882F11">
        <w:rPr>
          <w:rFonts w:cs="Guttman Drogolin" w:hint="cs"/>
          <w:rtl/>
          <w:lang w:bidi="he-IL"/>
        </w:rPr>
        <w:t>הבשר</w:t>
      </w:r>
      <w:r w:rsidRPr="00882F11">
        <w:rPr>
          <w:rFonts w:cs="Guttman Drogolin"/>
          <w:rtl/>
        </w:rPr>
        <w:t xml:space="preserve"> </w:t>
      </w:r>
      <w:r w:rsidRPr="00882F11">
        <w:rPr>
          <w:rFonts w:cs="Guttman Drogolin" w:hint="cs"/>
          <w:rtl/>
          <w:lang w:bidi="he-IL"/>
        </w:rPr>
        <w:t>הבלוע</w:t>
      </w:r>
      <w:r w:rsidRPr="00882F11">
        <w:rPr>
          <w:rFonts w:cs="Guttman Drogolin"/>
          <w:rtl/>
        </w:rPr>
        <w:t xml:space="preserve"> </w:t>
      </w:r>
      <w:r w:rsidRPr="00882F11">
        <w:rPr>
          <w:rFonts w:cs="Guttman Drogolin" w:hint="cs"/>
          <w:rtl/>
          <w:lang w:bidi="he-IL"/>
        </w:rPr>
        <w:t>בבצל</w:t>
      </w:r>
      <w:r w:rsidRPr="00882F11">
        <w:rPr>
          <w:rFonts w:cs="Guttman Drogolin"/>
          <w:rtl/>
        </w:rPr>
        <w:t xml:space="preserve"> </w:t>
      </w:r>
      <w:r w:rsidRPr="00882F11">
        <w:rPr>
          <w:rFonts w:cs="Guttman Drogolin" w:hint="cs"/>
          <w:rtl/>
          <w:lang w:bidi="he-IL"/>
        </w:rPr>
        <w:t>ואין</w:t>
      </w:r>
      <w:r w:rsidRPr="00882F11">
        <w:rPr>
          <w:rFonts w:cs="Guttman Drogolin"/>
          <w:rtl/>
        </w:rPr>
        <w:t xml:space="preserve"> </w:t>
      </w:r>
      <w:r w:rsidRPr="00882F11">
        <w:rPr>
          <w:rFonts w:cs="Guttman Drogolin" w:hint="cs"/>
          <w:rtl/>
          <w:lang w:bidi="he-IL"/>
        </w:rPr>
        <w:t>אנו</w:t>
      </w:r>
      <w:r w:rsidRPr="00882F11">
        <w:rPr>
          <w:rFonts w:cs="Guttman Drogolin"/>
          <w:rtl/>
        </w:rPr>
        <w:t xml:space="preserve"> </w:t>
      </w:r>
      <w:r w:rsidRPr="00882F11">
        <w:rPr>
          <w:rFonts w:cs="Guttman Drogolin" w:hint="cs"/>
          <w:rtl/>
          <w:lang w:bidi="he-IL"/>
        </w:rPr>
        <w:t>יודעים</w:t>
      </w:r>
      <w:r w:rsidRPr="00882F11">
        <w:rPr>
          <w:rFonts w:cs="Guttman Drogolin"/>
          <w:rtl/>
        </w:rPr>
        <w:t xml:space="preserve"> </w:t>
      </w:r>
      <w:r w:rsidRPr="00882F11">
        <w:rPr>
          <w:rFonts w:cs="Guttman Drogolin" w:hint="cs"/>
          <w:rtl/>
          <w:lang w:bidi="he-IL"/>
        </w:rPr>
        <w:t>כמה</w:t>
      </w:r>
      <w:r w:rsidRPr="00882F11">
        <w:rPr>
          <w:rFonts w:cs="Guttman Drogolin"/>
          <w:rtl/>
        </w:rPr>
        <w:t xml:space="preserve"> </w:t>
      </w:r>
      <w:r w:rsidRPr="00882F11">
        <w:rPr>
          <w:rFonts w:cs="Guttman Drogolin" w:hint="cs"/>
          <w:rtl/>
          <w:lang w:bidi="he-IL"/>
        </w:rPr>
        <w:t>הוא</w:t>
      </w:r>
      <w:r w:rsidRPr="00882F11">
        <w:rPr>
          <w:rFonts w:cs="Guttman Drogolin"/>
          <w:rtl/>
        </w:rPr>
        <w:t xml:space="preserve"> </w:t>
      </w:r>
      <w:r w:rsidRPr="00882F11">
        <w:rPr>
          <w:rFonts w:cs="Guttman Drogolin" w:hint="cs"/>
          <w:rtl/>
          <w:lang w:bidi="he-IL"/>
        </w:rPr>
        <w:t>ולכך</w:t>
      </w:r>
      <w:r w:rsidRPr="00882F11">
        <w:rPr>
          <w:rFonts w:cs="Guttman Drogolin"/>
          <w:rtl/>
        </w:rPr>
        <w:t xml:space="preserve"> </w:t>
      </w:r>
      <w:r w:rsidRPr="00882F11">
        <w:rPr>
          <w:rFonts w:cs="Guttman Drogolin" w:hint="cs"/>
          <w:rtl/>
          <w:lang w:bidi="he-IL"/>
        </w:rPr>
        <w:t>אנו</w:t>
      </w:r>
      <w:r w:rsidRPr="00882F11">
        <w:rPr>
          <w:rFonts w:cs="Guttman Drogolin"/>
          <w:rtl/>
        </w:rPr>
        <w:t xml:space="preserve"> </w:t>
      </w:r>
      <w:r w:rsidRPr="00882F11">
        <w:rPr>
          <w:rFonts w:cs="Guttman Drogolin" w:hint="cs"/>
          <w:rtl/>
          <w:lang w:bidi="he-IL"/>
        </w:rPr>
        <w:t>משערין</w:t>
      </w:r>
      <w:r w:rsidRPr="00882F11">
        <w:rPr>
          <w:rFonts w:cs="Guttman Drogolin"/>
          <w:rtl/>
        </w:rPr>
        <w:t xml:space="preserve"> </w:t>
      </w:r>
      <w:r w:rsidRPr="00882F11">
        <w:rPr>
          <w:rFonts w:cs="Guttman Drogolin" w:hint="cs"/>
          <w:rtl/>
          <w:lang w:bidi="he-IL"/>
        </w:rPr>
        <w:t>נגד</w:t>
      </w:r>
      <w:r w:rsidRPr="00882F11">
        <w:rPr>
          <w:rFonts w:cs="Guttman Drogolin"/>
          <w:rtl/>
        </w:rPr>
        <w:t xml:space="preserve"> </w:t>
      </w:r>
      <w:r w:rsidRPr="00882F11">
        <w:rPr>
          <w:rFonts w:cs="Guttman Drogolin" w:hint="cs"/>
          <w:rtl/>
          <w:lang w:bidi="he-IL"/>
        </w:rPr>
        <w:t>מקום</w:t>
      </w:r>
      <w:r w:rsidRPr="00882F11">
        <w:rPr>
          <w:rFonts w:cs="Guttman Drogolin"/>
          <w:rtl/>
        </w:rPr>
        <w:t xml:space="preserve"> </w:t>
      </w:r>
      <w:r w:rsidRPr="00882F11">
        <w:rPr>
          <w:rFonts w:cs="Guttman Drogolin" w:hint="cs"/>
          <w:rtl/>
          <w:lang w:bidi="he-IL"/>
        </w:rPr>
        <w:t>הסכין</w:t>
      </w:r>
      <w:r w:rsidRPr="00882F11">
        <w:rPr>
          <w:rFonts w:cs="Guttman Drogolin"/>
          <w:rtl/>
        </w:rPr>
        <w:t xml:space="preserve"> </w:t>
      </w:r>
      <w:r w:rsidRPr="00882F11">
        <w:rPr>
          <w:rFonts w:cs="Guttman Drogolin" w:hint="cs"/>
          <w:rtl/>
          <w:lang w:bidi="he-IL"/>
        </w:rPr>
        <w:t>שהרי</w:t>
      </w:r>
      <w:r w:rsidRPr="00882F11">
        <w:rPr>
          <w:rFonts w:cs="Guttman Drogolin"/>
          <w:rtl/>
        </w:rPr>
        <w:t xml:space="preserve"> </w:t>
      </w:r>
      <w:r w:rsidRPr="00882F11">
        <w:rPr>
          <w:rFonts w:cs="Guttman Drogolin" w:hint="cs"/>
          <w:rtl/>
          <w:lang w:bidi="he-IL"/>
        </w:rPr>
        <w:t>א</w:t>
      </w:r>
      <w:r w:rsidRPr="00882F11">
        <w:rPr>
          <w:rFonts w:cs="Guttman Drogolin"/>
          <w:rtl/>
        </w:rPr>
        <w:t>"</w:t>
      </w:r>
      <w:r w:rsidRPr="00882F11">
        <w:rPr>
          <w:rFonts w:cs="Guttman Drogolin" w:hint="cs"/>
          <w:rtl/>
          <w:lang w:bidi="he-IL"/>
        </w:rPr>
        <w:t>א</w:t>
      </w:r>
      <w:r w:rsidRPr="00882F11">
        <w:rPr>
          <w:rFonts w:cs="Guttman Drogolin"/>
          <w:rtl/>
        </w:rPr>
        <w:t xml:space="preserve"> </w:t>
      </w:r>
      <w:r w:rsidRPr="00882F11">
        <w:rPr>
          <w:rFonts w:cs="Guttman Drogolin" w:hint="cs"/>
          <w:rtl/>
          <w:lang w:bidi="he-IL"/>
        </w:rPr>
        <w:t>שיהי</w:t>
      </w:r>
      <w:r w:rsidRPr="00882F11">
        <w:rPr>
          <w:rFonts w:cs="Guttman Drogolin"/>
          <w:rtl/>
        </w:rPr>
        <w:t xml:space="preserve">' </w:t>
      </w:r>
      <w:r w:rsidRPr="00882F11">
        <w:rPr>
          <w:rFonts w:cs="Guttman Drogolin" w:hint="cs"/>
          <w:rtl/>
          <w:lang w:bidi="he-IL"/>
        </w:rPr>
        <w:t>הטעם</w:t>
      </w:r>
      <w:r w:rsidRPr="00882F11">
        <w:rPr>
          <w:rFonts w:cs="Guttman Drogolin"/>
          <w:rtl/>
        </w:rPr>
        <w:t xml:space="preserve"> </w:t>
      </w:r>
      <w:r w:rsidRPr="00882F11">
        <w:rPr>
          <w:rFonts w:cs="Guttman Drogolin" w:hint="cs"/>
          <w:rtl/>
          <w:lang w:bidi="he-IL"/>
        </w:rPr>
        <w:t>יותר</w:t>
      </w:r>
      <w:r w:rsidRPr="00882F11">
        <w:rPr>
          <w:rFonts w:cs="Guttman Drogolin"/>
          <w:rtl/>
        </w:rPr>
        <w:t xml:space="preserve"> </w:t>
      </w:r>
      <w:r w:rsidRPr="00882F11">
        <w:rPr>
          <w:rFonts w:cs="Guttman Drogolin" w:hint="cs"/>
          <w:rtl/>
          <w:lang w:bidi="he-IL"/>
        </w:rPr>
        <w:t>מאות</w:t>
      </w:r>
      <w:r w:rsidRPr="00882F11">
        <w:rPr>
          <w:rFonts w:cs="Guttman Drogolin"/>
          <w:rtl/>
        </w:rPr>
        <w:t xml:space="preserve">' </w:t>
      </w:r>
      <w:r w:rsidRPr="00882F11">
        <w:rPr>
          <w:rFonts w:cs="Guttman Drogolin" w:hint="cs"/>
          <w:rtl/>
          <w:lang w:bidi="he-IL"/>
        </w:rPr>
        <w:t>חתיכה</w:t>
      </w:r>
      <w:r w:rsidRPr="00882F11">
        <w:rPr>
          <w:rFonts w:cs="Guttman Drogolin"/>
          <w:rtl/>
        </w:rPr>
        <w:t xml:space="preserve"> </w:t>
      </w:r>
      <w:r w:rsidRPr="00882F11">
        <w:rPr>
          <w:rFonts w:cs="Guttman Drogolin" w:hint="cs"/>
          <w:rtl/>
          <w:lang w:bidi="he-IL"/>
        </w:rPr>
        <w:t>של</w:t>
      </w:r>
      <w:r w:rsidRPr="00882F11">
        <w:rPr>
          <w:rFonts w:cs="Guttman Drogolin"/>
          <w:rtl/>
        </w:rPr>
        <w:t xml:space="preserve"> </w:t>
      </w:r>
      <w:r w:rsidRPr="00882F11">
        <w:rPr>
          <w:rFonts w:cs="Guttman Drogolin" w:hint="cs"/>
          <w:rtl/>
          <w:lang w:bidi="he-IL"/>
        </w:rPr>
        <w:t>סכין</w:t>
      </w:r>
      <w:r w:rsidRPr="00882F11">
        <w:rPr>
          <w:rFonts w:cs="Guttman Drogolin"/>
          <w:rtl/>
        </w:rPr>
        <w:t xml:space="preserve"> </w:t>
      </w:r>
      <w:r w:rsidRPr="00882F11">
        <w:rPr>
          <w:rFonts w:cs="Guttman Drogolin" w:hint="cs"/>
          <w:rtl/>
          <w:lang w:bidi="he-IL"/>
        </w:rPr>
        <w:t>שנגע</w:t>
      </w:r>
      <w:r w:rsidRPr="00882F11">
        <w:rPr>
          <w:rFonts w:cs="Guttman Drogolin"/>
          <w:rtl/>
        </w:rPr>
        <w:t xml:space="preserve"> </w:t>
      </w:r>
      <w:r w:rsidRPr="00882F11">
        <w:rPr>
          <w:rFonts w:cs="Guttman Drogolin" w:hint="cs"/>
          <w:rtl/>
          <w:lang w:bidi="he-IL"/>
        </w:rPr>
        <w:t>בבצל</w:t>
      </w:r>
      <w:r w:rsidRPr="00882F11">
        <w:rPr>
          <w:rFonts w:cs="Guttman Drogolin"/>
          <w:rtl/>
        </w:rPr>
        <w:t xml:space="preserve"> </w:t>
      </w:r>
      <w:r w:rsidRPr="00882F11">
        <w:rPr>
          <w:rFonts w:cs="Guttman Drogolin" w:hint="cs"/>
          <w:rtl/>
          <w:lang w:bidi="he-IL"/>
        </w:rPr>
        <w:t>כשחתכה</w:t>
      </w:r>
      <w:r w:rsidRPr="00882F11">
        <w:rPr>
          <w:rFonts w:cs="Guttman Drogolin"/>
          <w:rtl/>
        </w:rPr>
        <w:t xml:space="preserve"> </w:t>
      </w:r>
      <w:r w:rsidRPr="00882F11">
        <w:rPr>
          <w:rFonts w:cs="Guttman Drogolin" w:hint="cs"/>
          <w:rtl/>
          <w:lang w:bidi="he-IL"/>
        </w:rPr>
        <w:t>אך</w:t>
      </w:r>
      <w:r w:rsidRPr="00882F11">
        <w:rPr>
          <w:rFonts w:cs="Guttman Drogolin"/>
          <w:rtl/>
        </w:rPr>
        <w:t xml:space="preserve"> </w:t>
      </w:r>
      <w:r w:rsidRPr="00882F11">
        <w:rPr>
          <w:rFonts w:cs="Guttman Drogolin" w:hint="cs"/>
          <w:rtl/>
          <w:lang w:bidi="he-IL"/>
        </w:rPr>
        <w:t>כשהסכין</w:t>
      </w:r>
      <w:r w:rsidRPr="00882F11">
        <w:rPr>
          <w:rFonts w:cs="Guttman Drogolin"/>
          <w:rtl/>
        </w:rPr>
        <w:t xml:space="preserve"> </w:t>
      </w:r>
      <w:r w:rsidRPr="00882F11">
        <w:rPr>
          <w:rFonts w:cs="Guttman Drogolin" w:hint="cs"/>
          <w:rtl/>
          <w:lang w:bidi="he-IL"/>
        </w:rPr>
        <w:t>גדול</w:t>
      </w:r>
      <w:r w:rsidRPr="00882F11">
        <w:rPr>
          <w:rFonts w:cs="Guttman Drogolin"/>
          <w:rtl/>
        </w:rPr>
        <w:t xml:space="preserve"> </w:t>
      </w:r>
      <w:r w:rsidRPr="00882F11">
        <w:rPr>
          <w:rFonts w:cs="Guttman Drogolin" w:hint="cs"/>
          <w:rtl/>
          <w:lang w:bidi="he-IL"/>
        </w:rPr>
        <w:t>וחתך</w:t>
      </w:r>
      <w:r w:rsidRPr="00882F11">
        <w:rPr>
          <w:rFonts w:cs="Guttman Drogolin"/>
          <w:rtl/>
        </w:rPr>
        <w:t xml:space="preserve"> </w:t>
      </w:r>
      <w:r w:rsidRPr="00882F11">
        <w:rPr>
          <w:rFonts w:cs="Guttman Drogolin" w:hint="cs"/>
          <w:rtl/>
          <w:lang w:bidi="he-IL"/>
        </w:rPr>
        <w:t>בכולו</w:t>
      </w:r>
      <w:r w:rsidRPr="00882F11">
        <w:rPr>
          <w:rFonts w:cs="Guttman Drogolin"/>
          <w:rtl/>
        </w:rPr>
        <w:t xml:space="preserve"> </w:t>
      </w:r>
      <w:r w:rsidRPr="00882F11">
        <w:rPr>
          <w:rFonts w:cs="Guttman Drogolin" w:hint="cs"/>
          <w:rtl/>
          <w:lang w:bidi="he-IL"/>
        </w:rPr>
        <w:t>והבצל</w:t>
      </w:r>
      <w:r w:rsidRPr="00882F11">
        <w:rPr>
          <w:rFonts w:cs="Guttman Drogolin"/>
          <w:rtl/>
        </w:rPr>
        <w:t xml:space="preserve"> </w:t>
      </w:r>
      <w:r w:rsidRPr="00882F11">
        <w:rPr>
          <w:rFonts w:cs="Guttman Drogolin" w:hint="cs"/>
          <w:rtl/>
          <w:lang w:bidi="he-IL"/>
        </w:rPr>
        <w:t>היא</w:t>
      </w:r>
      <w:r w:rsidRPr="00882F11">
        <w:rPr>
          <w:rFonts w:cs="Guttman Drogolin"/>
          <w:rtl/>
        </w:rPr>
        <w:t xml:space="preserve"> </w:t>
      </w:r>
      <w:r w:rsidRPr="00882F11">
        <w:rPr>
          <w:rFonts w:cs="Guttman Drogolin" w:hint="cs"/>
          <w:rtl/>
          <w:lang w:bidi="he-IL"/>
        </w:rPr>
        <w:t>קטנה</w:t>
      </w:r>
      <w:r w:rsidRPr="00882F11">
        <w:rPr>
          <w:rFonts w:cs="Guttman Drogolin"/>
          <w:rtl/>
        </w:rPr>
        <w:t xml:space="preserve"> </w:t>
      </w:r>
      <w:r w:rsidRPr="00882F11">
        <w:rPr>
          <w:rFonts w:cs="Guttman Drogolin" w:hint="cs"/>
          <w:rtl/>
          <w:lang w:bidi="he-IL"/>
        </w:rPr>
        <w:t>אז</w:t>
      </w:r>
      <w:r w:rsidRPr="00882F11">
        <w:rPr>
          <w:rFonts w:cs="Guttman Drogolin"/>
          <w:rtl/>
        </w:rPr>
        <w:t xml:space="preserve"> </w:t>
      </w:r>
      <w:r w:rsidRPr="00882F11">
        <w:rPr>
          <w:rFonts w:cs="Guttman Drogolin" w:hint="cs"/>
          <w:rtl/>
          <w:lang w:bidi="he-IL"/>
        </w:rPr>
        <w:t>אנו</w:t>
      </w:r>
      <w:r w:rsidRPr="00882F11">
        <w:rPr>
          <w:rFonts w:cs="Guttman Drogolin"/>
          <w:rtl/>
        </w:rPr>
        <w:t xml:space="preserve"> </w:t>
      </w:r>
      <w:r w:rsidRPr="00882F11">
        <w:rPr>
          <w:rFonts w:cs="Guttman Drogolin" w:hint="cs"/>
          <w:rtl/>
          <w:lang w:bidi="he-IL"/>
        </w:rPr>
        <w:t>משערינן</w:t>
      </w:r>
      <w:r w:rsidRPr="00882F11">
        <w:rPr>
          <w:rFonts w:cs="Guttman Drogolin"/>
          <w:rtl/>
        </w:rPr>
        <w:t xml:space="preserve"> </w:t>
      </w:r>
      <w:r w:rsidRPr="00882F11">
        <w:rPr>
          <w:rFonts w:cs="Guttman Drogolin" w:hint="cs"/>
          <w:rtl/>
          <w:lang w:bidi="he-IL"/>
        </w:rPr>
        <w:t>נגד</w:t>
      </w:r>
      <w:r w:rsidRPr="00882F11">
        <w:rPr>
          <w:rFonts w:cs="Guttman Drogolin"/>
          <w:rtl/>
        </w:rPr>
        <w:t xml:space="preserve"> </w:t>
      </w:r>
      <w:r w:rsidRPr="00882F11">
        <w:rPr>
          <w:rFonts w:cs="Guttman Drogolin" w:hint="cs"/>
          <w:rtl/>
          <w:lang w:bidi="he-IL"/>
        </w:rPr>
        <w:t>הבצל</w:t>
      </w:r>
      <w:r w:rsidRPr="00882F11">
        <w:rPr>
          <w:rFonts w:cs="Guttman Drogolin"/>
          <w:rtl/>
        </w:rPr>
        <w:t xml:space="preserve"> </w:t>
      </w:r>
      <w:r w:rsidRPr="00882F11">
        <w:rPr>
          <w:rFonts w:cs="Guttman Drogolin" w:hint="cs"/>
          <w:rtl/>
          <w:lang w:bidi="he-IL"/>
        </w:rPr>
        <w:t>דהא</w:t>
      </w:r>
      <w:r w:rsidRPr="00882F11">
        <w:rPr>
          <w:rFonts w:cs="Guttman Drogolin"/>
          <w:rtl/>
        </w:rPr>
        <w:t xml:space="preserve"> </w:t>
      </w:r>
      <w:r w:rsidRPr="00882F11">
        <w:rPr>
          <w:rFonts w:cs="Guttman Drogolin" w:hint="cs"/>
          <w:rtl/>
          <w:lang w:bidi="he-IL"/>
        </w:rPr>
        <w:t>עכ</w:t>
      </w:r>
      <w:r w:rsidRPr="00882F11">
        <w:rPr>
          <w:rFonts w:cs="Guttman Drogolin"/>
          <w:rtl/>
        </w:rPr>
        <w:t>"</w:t>
      </w:r>
      <w:r w:rsidRPr="00882F11">
        <w:rPr>
          <w:rFonts w:cs="Guttman Drogolin" w:hint="cs"/>
          <w:rtl/>
          <w:lang w:bidi="he-IL"/>
        </w:rPr>
        <w:t>פ</w:t>
      </w:r>
      <w:r w:rsidRPr="00882F11">
        <w:rPr>
          <w:rFonts w:cs="Guttman Drogolin"/>
          <w:rtl/>
        </w:rPr>
        <w:t xml:space="preserve"> </w:t>
      </w:r>
      <w:r w:rsidRPr="00882F11">
        <w:rPr>
          <w:rFonts w:cs="Guttman Drogolin" w:hint="cs"/>
          <w:rtl/>
          <w:lang w:bidi="he-IL"/>
        </w:rPr>
        <w:t>הטעם</w:t>
      </w:r>
      <w:r w:rsidRPr="00882F11">
        <w:rPr>
          <w:rFonts w:cs="Guttman Drogolin"/>
          <w:rtl/>
        </w:rPr>
        <w:t xml:space="preserve"> </w:t>
      </w:r>
      <w:r w:rsidRPr="00882F11">
        <w:rPr>
          <w:rFonts w:cs="Guttman Drogolin" w:hint="cs"/>
          <w:rtl/>
          <w:lang w:bidi="he-IL"/>
        </w:rPr>
        <w:t>שנכנס</w:t>
      </w:r>
      <w:r w:rsidRPr="00882F11">
        <w:rPr>
          <w:rFonts w:cs="Guttman Drogolin"/>
          <w:rtl/>
        </w:rPr>
        <w:t xml:space="preserve"> </w:t>
      </w:r>
      <w:r w:rsidRPr="00882F11">
        <w:rPr>
          <w:rFonts w:cs="Guttman Drogolin" w:hint="cs"/>
          <w:rtl/>
          <w:lang w:bidi="he-IL"/>
        </w:rPr>
        <w:t>מהסכין</w:t>
      </w:r>
      <w:r w:rsidRPr="00882F11">
        <w:rPr>
          <w:rFonts w:cs="Guttman Drogolin"/>
          <w:rtl/>
        </w:rPr>
        <w:t xml:space="preserve"> </w:t>
      </w:r>
      <w:r w:rsidRPr="00882F11">
        <w:rPr>
          <w:rFonts w:cs="Guttman Drogolin" w:hint="cs"/>
          <w:rtl/>
          <w:lang w:bidi="he-IL"/>
        </w:rPr>
        <w:t>תוך</w:t>
      </w:r>
      <w:r w:rsidRPr="00882F11">
        <w:rPr>
          <w:rFonts w:cs="Guttman Drogolin"/>
          <w:rtl/>
        </w:rPr>
        <w:t xml:space="preserve"> </w:t>
      </w:r>
      <w:r w:rsidRPr="00882F11">
        <w:rPr>
          <w:rFonts w:cs="Guttman Drogolin" w:hint="cs"/>
          <w:rtl/>
          <w:lang w:bidi="he-IL"/>
        </w:rPr>
        <w:t>הבצל</w:t>
      </w:r>
      <w:r w:rsidRPr="00882F11">
        <w:rPr>
          <w:rFonts w:cs="Guttman Drogolin"/>
          <w:rtl/>
        </w:rPr>
        <w:t xml:space="preserve"> </w:t>
      </w:r>
      <w:r w:rsidRPr="00882F11">
        <w:rPr>
          <w:rFonts w:cs="Guttman Drogolin" w:hint="cs"/>
          <w:rtl/>
          <w:lang w:bidi="he-IL"/>
        </w:rPr>
        <w:t>א</w:t>
      </w:r>
      <w:r w:rsidRPr="00882F11">
        <w:rPr>
          <w:rFonts w:cs="Guttman Drogolin"/>
          <w:rtl/>
        </w:rPr>
        <w:t>"</w:t>
      </w:r>
      <w:r w:rsidRPr="00882F11">
        <w:rPr>
          <w:rFonts w:cs="Guttman Drogolin" w:hint="cs"/>
          <w:rtl/>
          <w:lang w:bidi="he-IL"/>
        </w:rPr>
        <w:t>א</w:t>
      </w:r>
      <w:r w:rsidRPr="00882F11">
        <w:rPr>
          <w:rFonts w:cs="Guttman Drogolin"/>
          <w:rtl/>
        </w:rPr>
        <w:t xml:space="preserve"> </w:t>
      </w:r>
      <w:r w:rsidRPr="00882F11">
        <w:rPr>
          <w:rFonts w:cs="Guttman Drogolin" w:hint="cs"/>
          <w:rtl/>
          <w:lang w:bidi="he-IL"/>
        </w:rPr>
        <w:t>להיות</w:t>
      </w:r>
      <w:r w:rsidRPr="00882F11">
        <w:rPr>
          <w:rFonts w:cs="Guttman Drogolin"/>
          <w:rtl/>
        </w:rPr>
        <w:t xml:space="preserve"> </w:t>
      </w:r>
      <w:r w:rsidRPr="00882F11">
        <w:rPr>
          <w:rFonts w:cs="Guttman Drogolin" w:hint="cs"/>
          <w:rtl/>
          <w:lang w:bidi="he-IL"/>
        </w:rPr>
        <w:t>יותר</w:t>
      </w:r>
      <w:r w:rsidRPr="00882F11">
        <w:rPr>
          <w:rFonts w:cs="Guttman Drogolin"/>
          <w:rtl/>
        </w:rPr>
        <w:t xml:space="preserve"> </w:t>
      </w:r>
      <w:r w:rsidRPr="00882F11">
        <w:rPr>
          <w:rFonts w:cs="Guttman Drogolin" w:hint="cs"/>
          <w:rtl/>
          <w:lang w:bidi="he-IL"/>
        </w:rPr>
        <w:t>מהבצל</w:t>
      </w:r>
      <w:r w:rsidRPr="00882F11">
        <w:rPr>
          <w:rFonts w:cs="Guttman Drogolin"/>
          <w:rtl/>
        </w:rPr>
        <w:t xml:space="preserve"> </w:t>
      </w:r>
      <w:r w:rsidRPr="00882F11">
        <w:rPr>
          <w:rFonts w:cs="Guttman Drogolin" w:hint="cs"/>
          <w:rtl/>
          <w:lang w:bidi="he-IL"/>
        </w:rPr>
        <w:t>אף</w:t>
      </w:r>
      <w:r w:rsidRPr="00882F11">
        <w:rPr>
          <w:rFonts w:cs="Guttman Drogolin"/>
          <w:rtl/>
        </w:rPr>
        <w:t xml:space="preserve"> </w:t>
      </w:r>
      <w:r w:rsidRPr="00882F11">
        <w:rPr>
          <w:rFonts w:cs="Guttman Drogolin" w:hint="cs"/>
          <w:rtl/>
          <w:lang w:bidi="he-IL"/>
        </w:rPr>
        <w:t>שהסכין</w:t>
      </w:r>
      <w:r w:rsidRPr="00882F11">
        <w:rPr>
          <w:rFonts w:cs="Guttman Drogolin"/>
          <w:rtl/>
        </w:rPr>
        <w:t xml:space="preserve"> </w:t>
      </w:r>
      <w:r w:rsidRPr="00882F11">
        <w:rPr>
          <w:rFonts w:cs="Guttman Drogolin" w:hint="cs"/>
          <w:rtl/>
          <w:lang w:bidi="he-IL"/>
        </w:rPr>
        <w:t>גדול</w:t>
      </w:r>
      <w:r w:rsidRPr="00882F11">
        <w:rPr>
          <w:rFonts w:cs="Guttman Drogolin"/>
          <w:rtl/>
        </w:rPr>
        <w:t xml:space="preserve"> </w:t>
      </w:r>
      <w:r w:rsidRPr="00882F11">
        <w:rPr>
          <w:rFonts w:cs="Guttman Drogolin" w:hint="cs"/>
          <w:rtl/>
          <w:lang w:bidi="he-IL"/>
        </w:rPr>
        <w:t>מאד</w:t>
      </w:r>
      <w:r w:rsidRPr="00882F11">
        <w:rPr>
          <w:rFonts w:cs="Guttman Drogolin"/>
          <w:rtl/>
        </w:rPr>
        <w:t xml:space="preserve"> </w:t>
      </w:r>
      <w:r w:rsidRPr="00882F11">
        <w:rPr>
          <w:rFonts w:cs="Guttman Drogolin" w:hint="cs"/>
          <w:rtl/>
          <w:lang w:bidi="he-IL"/>
        </w:rPr>
        <w:t>סוף</w:t>
      </w:r>
      <w:r w:rsidRPr="00882F11">
        <w:rPr>
          <w:rFonts w:cs="Guttman Drogolin"/>
          <w:rtl/>
        </w:rPr>
        <w:t xml:space="preserve"> </w:t>
      </w:r>
      <w:r w:rsidRPr="00882F11">
        <w:rPr>
          <w:rFonts w:cs="Guttman Drogolin" w:hint="cs"/>
          <w:rtl/>
          <w:lang w:bidi="he-IL"/>
        </w:rPr>
        <w:t>דבר</w:t>
      </w:r>
      <w:r w:rsidRPr="00882F11">
        <w:rPr>
          <w:rFonts w:cs="Guttman Drogolin"/>
          <w:rtl/>
        </w:rPr>
        <w:t xml:space="preserve"> </w:t>
      </w:r>
      <w:r w:rsidRPr="00882F11">
        <w:rPr>
          <w:rFonts w:cs="Guttman Drogolin" w:hint="cs"/>
          <w:rtl/>
          <w:lang w:bidi="he-IL"/>
        </w:rPr>
        <w:t>שכשחתך</w:t>
      </w:r>
      <w:r w:rsidRPr="00882F11">
        <w:rPr>
          <w:rFonts w:cs="Guttman Drogolin"/>
          <w:rtl/>
        </w:rPr>
        <w:t xml:space="preserve"> </w:t>
      </w:r>
      <w:r w:rsidRPr="00882F11">
        <w:rPr>
          <w:rFonts w:cs="Guttman Drogolin" w:hint="cs"/>
          <w:rtl/>
          <w:lang w:bidi="he-IL"/>
        </w:rPr>
        <w:t>הבצל</w:t>
      </w:r>
      <w:r w:rsidRPr="00882F11">
        <w:rPr>
          <w:rFonts w:cs="Guttman Drogolin"/>
          <w:rtl/>
        </w:rPr>
        <w:t xml:space="preserve"> </w:t>
      </w:r>
      <w:r w:rsidRPr="00882F11">
        <w:rPr>
          <w:rFonts w:cs="Guttman Drogolin" w:hint="cs"/>
          <w:rtl/>
          <w:lang w:bidi="he-IL"/>
        </w:rPr>
        <w:t>בסכין</w:t>
      </w:r>
      <w:r w:rsidRPr="00882F11">
        <w:rPr>
          <w:rFonts w:cs="Guttman Drogolin"/>
          <w:rtl/>
        </w:rPr>
        <w:t xml:space="preserve"> </w:t>
      </w:r>
      <w:r w:rsidRPr="00882F11">
        <w:rPr>
          <w:rFonts w:cs="Guttman Drogolin" w:hint="cs"/>
          <w:rtl/>
          <w:lang w:bidi="he-IL"/>
        </w:rPr>
        <w:t>של</w:t>
      </w:r>
      <w:r w:rsidRPr="00882F11">
        <w:rPr>
          <w:rFonts w:cs="Guttman Drogolin"/>
          <w:rtl/>
        </w:rPr>
        <w:t xml:space="preserve"> </w:t>
      </w:r>
      <w:r w:rsidRPr="00882F11">
        <w:rPr>
          <w:rFonts w:cs="Guttman Drogolin" w:hint="cs"/>
          <w:rtl/>
          <w:lang w:bidi="he-IL"/>
        </w:rPr>
        <w:t>בשר</w:t>
      </w:r>
      <w:r w:rsidRPr="00882F11">
        <w:rPr>
          <w:rFonts w:cs="Guttman Drogolin"/>
          <w:rtl/>
        </w:rPr>
        <w:t xml:space="preserve"> </w:t>
      </w:r>
      <w:r w:rsidRPr="00882F11">
        <w:rPr>
          <w:rFonts w:cs="Guttman Drogolin" w:hint="cs"/>
          <w:rtl/>
          <w:lang w:bidi="he-IL"/>
        </w:rPr>
        <w:t>שהוא</w:t>
      </w:r>
      <w:r w:rsidRPr="00882F11">
        <w:rPr>
          <w:rFonts w:cs="Guttman Drogolin"/>
          <w:rtl/>
        </w:rPr>
        <w:t xml:space="preserve"> </w:t>
      </w:r>
      <w:r w:rsidRPr="00882F11">
        <w:rPr>
          <w:rFonts w:cs="Guttman Drogolin" w:hint="cs"/>
          <w:rtl/>
          <w:lang w:bidi="he-IL"/>
        </w:rPr>
        <w:t>היתר</w:t>
      </w:r>
      <w:r w:rsidRPr="00882F11">
        <w:rPr>
          <w:rFonts w:cs="Guttman Drogolin"/>
          <w:rtl/>
        </w:rPr>
        <w:t xml:space="preserve"> </w:t>
      </w:r>
      <w:r w:rsidRPr="00882F11">
        <w:rPr>
          <w:rFonts w:cs="Guttman Drogolin" w:hint="cs"/>
          <w:rtl/>
          <w:lang w:bidi="he-IL"/>
        </w:rPr>
        <w:t>לא</w:t>
      </w:r>
      <w:r w:rsidRPr="00882F11">
        <w:rPr>
          <w:rFonts w:cs="Guttman Drogolin"/>
          <w:rtl/>
        </w:rPr>
        <w:t xml:space="preserve"> </w:t>
      </w:r>
      <w:r w:rsidRPr="00882F11">
        <w:rPr>
          <w:rFonts w:cs="Guttman Drogolin" w:hint="cs"/>
          <w:rtl/>
          <w:lang w:bidi="he-IL"/>
        </w:rPr>
        <w:t>שייך</w:t>
      </w:r>
      <w:r w:rsidRPr="00882F11">
        <w:rPr>
          <w:rFonts w:cs="Guttman Drogolin"/>
          <w:rtl/>
        </w:rPr>
        <w:t xml:space="preserve"> </w:t>
      </w:r>
      <w:r w:rsidRPr="00882F11">
        <w:rPr>
          <w:rFonts w:cs="Guttman Drogolin" w:hint="cs"/>
          <w:rtl/>
          <w:lang w:bidi="he-IL"/>
        </w:rPr>
        <w:t>לומר</w:t>
      </w:r>
      <w:r w:rsidRPr="00882F11">
        <w:rPr>
          <w:rFonts w:cs="Guttman Drogolin"/>
          <w:rtl/>
        </w:rPr>
        <w:t xml:space="preserve"> </w:t>
      </w:r>
      <w:r w:rsidRPr="00882F11">
        <w:rPr>
          <w:rFonts w:cs="Guttman Drogolin" w:hint="cs"/>
          <w:rtl/>
          <w:lang w:bidi="he-IL"/>
        </w:rPr>
        <w:t>שהבצל</w:t>
      </w:r>
      <w:r w:rsidRPr="00882F11">
        <w:rPr>
          <w:rFonts w:cs="Guttman Drogolin"/>
          <w:rtl/>
        </w:rPr>
        <w:t xml:space="preserve"> </w:t>
      </w:r>
      <w:r w:rsidRPr="00882F11">
        <w:rPr>
          <w:rFonts w:cs="Guttman Drogolin" w:hint="cs"/>
          <w:rtl/>
          <w:lang w:bidi="he-IL"/>
        </w:rPr>
        <w:t>נעשית</w:t>
      </w:r>
      <w:r w:rsidRPr="00882F11">
        <w:rPr>
          <w:rFonts w:cs="Guttman Drogolin"/>
          <w:rtl/>
        </w:rPr>
        <w:t xml:space="preserve"> </w:t>
      </w:r>
      <w:r w:rsidRPr="00882F11">
        <w:rPr>
          <w:rFonts w:cs="Guttman Drogolin" w:hint="cs"/>
          <w:rtl/>
          <w:lang w:bidi="he-IL"/>
        </w:rPr>
        <w:t>נבלה</w:t>
      </w:r>
      <w:r w:rsidRPr="00882F11">
        <w:rPr>
          <w:rFonts w:cs="Guttman Drogolin"/>
          <w:rtl/>
        </w:rPr>
        <w:t xml:space="preserve"> </w:t>
      </w:r>
      <w:r w:rsidRPr="00882F11">
        <w:rPr>
          <w:rFonts w:cs="Guttman Drogolin" w:hint="cs"/>
          <w:rtl/>
          <w:lang w:bidi="he-IL"/>
        </w:rPr>
        <w:t>וחתיכה</w:t>
      </w:r>
      <w:r w:rsidRPr="00882F11">
        <w:rPr>
          <w:rFonts w:cs="Guttman Drogolin"/>
          <w:rtl/>
        </w:rPr>
        <w:t xml:space="preserve"> </w:t>
      </w:r>
      <w:r w:rsidRPr="00882F11">
        <w:rPr>
          <w:rFonts w:cs="Guttman Drogolin" w:hint="cs"/>
          <w:rtl/>
          <w:lang w:bidi="he-IL"/>
        </w:rPr>
        <w:t>דאיסורא</w:t>
      </w:r>
      <w:r w:rsidRPr="00882F11">
        <w:rPr>
          <w:rFonts w:cs="Guttman Drogolin"/>
          <w:rtl/>
        </w:rPr>
        <w:t xml:space="preserve">. </w:t>
      </w:r>
      <w:r w:rsidRPr="00882F11">
        <w:rPr>
          <w:rFonts w:cs="Guttman Drogolin" w:hint="cs"/>
          <w:rtl/>
          <w:lang w:bidi="he-IL"/>
        </w:rPr>
        <w:t>ולכך</w:t>
      </w:r>
      <w:r w:rsidRPr="00882F11">
        <w:rPr>
          <w:rFonts w:cs="Guttman Drogolin"/>
          <w:rtl/>
        </w:rPr>
        <w:t xml:space="preserve"> </w:t>
      </w:r>
      <w:r w:rsidRPr="00882F11">
        <w:rPr>
          <w:rFonts w:cs="Guttman Drogolin" w:hint="cs"/>
          <w:rtl/>
          <w:lang w:bidi="he-IL"/>
        </w:rPr>
        <w:lastRenderedPageBreak/>
        <w:t>כשיש</w:t>
      </w:r>
      <w:r w:rsidRPr="00882F11">
        <w:rPr>
          <w:rFonts w:cs="Guttman Drogolin"/>
          <w:rtl/>
        </w:rPr>
        <w:t xml:space="preserve"> </w:t>
      </w:r>
      <w:r w:rsidRPr="00882F11">
        <w:rPr>
          <w:rFonts w:cs="Guttman Drogolin" w:hint="cs"/>
          <w:rtl/>
          <w:lang w:bidi="he-IL"/>
        </w:rPr>
        <w:t>בקדירה</w:t>
      </w:r>
      <w:r w:rsidRPr="00882F11">
        <w:rPr>
          <w:rFonts w:cs="Guttman Drogolin"/>
          <w:rtl/>
        </w:rPr>
        <w:t xml:space="preserve"> </w:t>
      </w:r>
      <w:r w:rsidRPr="00882F11">
        <w:rPr>
          <w:rFonts w:cs="Guttman Drogolin" w:hint="cs"/>
          <w:rtl/>
          <w:lang w:bidi="he-IL"/>
        </w:rPr>
        <w:t>של</w:t>
      </w:r>
      <w:r w:rsidRPr="00882F11">
        <w:rPr>
          <w:rFonts w:cs="Guttman Drogolin"/>
          <w:rtl/>
        </w:rPr>
        <w:t xml:space="preserve"> </w:t>
      </w:r>
      <w:r w:rsidRPr="00882F11">
        <w:rPr>
          <w:rFonts w:cs="Guttman Drogolin" w:hint="cs"/>
          <w:rtl/>
          <w:lang w:bidi="he-IL"/>
        </w:rPr>
        <w:t>חלב</w:t>
      </w:r>
      <w:r w:rsidRPr="00882F11">
        <w:rPr>
          <w:rFonts w:cs="Guttman Drogolin"/>
          <w:rtl/>
        </w:rPr>
        <w:t xml:space="preserve"> </w:t>
      </w:r>
      <w:r w:rsidRPr="00882F11">
        <w:rPr>
          <w:rFonts w:cs="Guttman Drogolin" w:hint="cs"/>
          <w:rtl/>
          <w:lang w:bidi="he-IL"/>
        </w:rPr>
        <w:t>ששים</w:t>
      </w:r>
      <w:r w:rsidRPr="00882F11">
        <w:rPr>
          <w:rFonts w:cs="Guttman Drogolin"/>
          <w:rtl/>
        </w:rPr>
        <w:t xml:space="preserve"> </w:t>
      </w:r>
      <w:r w:rsidRPr="00882F11">
        <w:rPr>
          <w:rFonts w:cs="Guttman Drogolin" w:hint="cs"/>
          <w:rtl/>
          <w:lang w:bidi="he-IL"/>
        </w:rPr>
        <w:t>לבטל</w:t>
      </w:r>
      <w:r w:rsidRPr="00882F11">
        <w:rPr>
          <w:rFonts w:cs="Guttman Drogolin"/>
          <w:rtl/>
        </w:rPr>
        <w:t xml:space="preserve"> </w:t>
      </w:r>
      <w:r w:rsidRPr="00882F11">
        <w:rPr>
          <w:rFonts w:cs="Guttman Drogolin" w:hint="cs"/>
          <w:rtl/>
          <w:lang w:bidi="he-IL"/>
        </w:rPr>
        <w:t>טעם</w:t>
      </w:r>
      <w:r w:rsidRPr="00882F11">
        <w:rPr>
          <w:rFonts w:cs="Guttman Drogolin"/>
          <w:rtl/>
        </w:rPr>
        <w:t xml:space="preserve"> </w:t>
      </w:r>
      <w:r w:rsidRPr="00882F11">
        <w:rPr>
          <w:rFonts w:cs="Guttman Drogolin" w:hint="cs"/>
          <w:rtl/>
          <w:lang w:bidi="he-IL"/>
        </w:rPr>
        <w:t>הבשר</w:t>
      </w:r>
      <w:r w:rsidRPr="00882F11">
        <w:rPr>
          <w:rFonts w:cs="Guttman Drogolin"/>
          <w:rtl/>
        </w:rPr>
        <w:t xml:space="preserve"> </w:t>
      </w:r>
      <w:r w:rsidRPr="00882F11">
        <w:rPr>
          <w:rFonts w:cs="Guttman Drogolin" w:hint="cs"/>
          <w:rtl/>
          <w:lang w:bidi="he-IL"/>
        </w:rPr>
        <w:t>הבלוע</w:t>
      </w:r>
      <w:r w:rsidRPr="00882F11">
        <w:rPr>
          <w:rFonts w:cs="Guttman Drogolin"/>
          <w:rtl/>
        </w:rPr>
        <w:t xml:space="preserve"> </w:t>
      </w:r>
      <w:r w:rsidRPr="00882F11">
        <w:rPr>
          <w:rFonts w:cs="Guttman Drogolin" w:hint="cs"/>
          <w:rtl/>
          <w:lang w:bidi="he-IL"/>
        </w:rPr>
        <w:t>בבצל</w:t>
      </w:r>
      <w:r w:rsidRPr="00882F11">
        <w:rPr>
          <w:rFonts w:cs="Guttman Drogolin"/>
          <w:rtl/>
        </w:rPr>
        <w:t xml:space="preserve"> </w:t>
      </w:r>
      <w:r w:rsidRPr="00882F11">
        <w:rPr>
          <w:rFonts w:cs="Guttman Drogolin" w:hint="cs"/>
          <w:rtl/>
          <w:lang w:bidi="he-IL"/>
        </w:rPr>
        <w:t>אז</w:t>
      </w:r>
      <w:r w:rsidRPr="00882F11">
        <w:rPr>
          <w:rFonts w:cs="Guttman Drogolin"/>
          <w:rtl/>
        </w:rPr>
        <w:t xml:space="preserve"> </w:t>
      </w:r>
      <w:r w:rsidRPr="00882F11">
        <w:rPr>
          <w:rFonts w:cs="Guttman Drogolin" w:hint="cs"/>
          <w:rtl/>
          <w:lang w:bidi="he-IL"/>
        </w:rPr>
        <w:t>אף</w:t>
      </w:r>
      <w:r w:rsidRPr="00882F11">
        <w:rPr>
          <w:rFonts w:cs="Guttman Drogolin"/>
          <w:rtl/>
        </w:rPr>
        <w:t xml:space="preserve"> </w:t>
      </w:r>
      <w:r w:rsidRPr="00882F11">
        <w:rPr>
          <w:rFonts w:cs="Guttman Drogolin" w:hint="cs"/>
          <w:rtl/>
          <w:lang w:bidi="he-IL"/>
        </w:rPr>
        <w:t>הבצל</w:t>
      </w:r>
      <w:r w:rsidRPr="00882F11">
        <w:rPr>
          <w:rFonts w:cs="Guttman Drogolin"/>
          <w:rtl/>
        </w:rPr>
        <w:t xml:space="preserve"> </w:t>
      </w:r>
      <w:r w:rsidRPr="00882F11">
        <w:rPr>
          <w:rFonts w:cs="Guttman Drogolin" w:hint="cs"/>
          <w:rtl/>
          <w:lang w:bidi="he-IL"/>
        </w:rPr>
        <w:t>מותר</w:t>
      </w:r>
      <w:r w:rsidRPr="00882F11">
        <w:rPr>
          <w:rFonts w:cs="Guttman Drogolin"/>
          <w:rtl/>
        </w:rPr>
        <w:t xml:space="preserve"> </w:t>
      </w:r>
      <w:r w:rsidRPr="00882F11">
        <w:rPr>
          <w:rFonts w:cs="Guttman Drogolin" w:hint="cs"/>
          <w:rtl/>
          <w:lang w:bidi="he-IL"/>
        </w:rPr>
        <w:t>אף</w:t>
      </w:r>
      <w:r w:rsidRPr="00882F11">
        <w:rPr>
          <w:rFonts w:cs="Guttman Drogolin"/>
          <w:rtl/>
        </w:rPr>
        <w:t xml:space="preserve"> </w:t>
      </w:r>
      <w:r w:rsidRPr="00882F11">
        <w:rPr>
          <w:rFonts w:cs="Guttman Drogolin" w:hint="cs"/>
          <w:rtl/>
          <w:lang w:bidi="he-IL"/>
        </w:rPr>
        <w:t>על</w:t>
      </w:r>
      <w:r w:rsidRPr="00882F11">
        <w:rPr>
          <w:rFonts w:cs="Guttman Drogolin"/>
          <w:rtl/>
        </w:rPr>
        <w:t xml:space="preserve"> </w:t>
      </w:r>
      <w:r w:rsidRPr="00882F11">
        <w:rPr>
          <w:rFonts w:cs="Guttman Drogolin" w:hint="cs"/>
          <w:rtl/>
          <w:lang w:bidi="he-IL"/>
        </w:rPr>
        <w:t>פי</w:t>
      </w:r>
      <w:r w:rsidRPr="00882F11">
        <w:rPr>
          <w:rFonts w:cs="Guttman Drogolin"/>
          <w:rtl/>
        </w:rPr>
        <w:t xml:space="preserve"> </w:t>
      </w:r>
      <w:r w:rsidRPr="00882F11">
        <w:rPr>
          <w:rFonts w:cs="Guttman Drogolin" w:hint="cs"/>
          <w:rtl/>
          <w:lang w:bidi="he-IL"/>
        </w:rPr>
        <w:t>שלא</w:t>
      </w:r>
      <w:r w:rsidRPr="00882F11">
        <w:rPr>
          <w:rFonts w:cs="Guttman Drogolin"/>
          <w:rtl/>
        </w:rPr>
        <w:t xml:space="preserve"> </w:t>
      </w:r>
      <w:r w:rsidRPr="00882F11">
        <w:rPr>
          <w:rFonts w:cs="Guttman Drogolin" w:hint="cs"/>
          <w:rtl/>
          <w:lang w:bidi="he-IL"/>
        </w:rPr>
        <w:t>נמחה</w:t>
      </w:r>
      <w:r w:rsidRPr="00882F11">
        <w:rPr>
          <w:rFonts w:cs="Guttman Drogolin"/>
          <w:rtl/>
        </w:rPr>
        <w:t xml:space="preserve"> </w:t>
      </w:r>
      <w:r w:rsidRPr="00882F11">
        <w:rPr>
          <w:rFonts w:cs="Guttman Drogolin" w:hint="cs"/>
          <w:rtl/>
          <w:lang w:bidi="he-IL"/>
        </w:rPr>
        <w:t>ונתמעך</w:t>
      </w:r>
      <w:r w:rsidRPr="00882F11">
        <w:rPr>
          <w:rFonts w:cs="Guttman Drogolin"/>
          <w:rtl/>
        </w:rPr>
        <w:t xml:space="preserve"> </w:t>
      </w:r>
      <w:r w:rsidRPr="00882F11">
        <w:rPr>
          <w:rFonts w:cs="Guttman Drogolin" w:hint="cs"/>
          <w:rtl/>
          <w:lang w:bidi="he-IL"/>
        </w:rPr>
        <w:t>ואין</w:t>
      </w:r>
      <w:r w:rsidRPr="00882F11">
        <w:rPr>
          <w:rFonts w:cs="Guttman Drogolin"/>
          <w:rtl/>
        </w:rPr>
        <w:t xml:space="preserve"> </w:t>
      </w:r>
      <w:r w:rsidRPr="00882F11">
        <w:rPr>
          <w:rFonts w:cs="Guttman Drogolin" w:hint="cs"/>
          <w:rtl/>
          <w:lang w:bidi="he-IL"/>
        </w:rPr>
        <w:t>צריך</w:t>
      </w:r>
      <w:r w:rsidRPr="00882F11">
        <w:rPr>
          <w:rFonts w:cs="Guttman Drogolin"/>
          <w:rtl/>
        </w:rPr>
        <w:t xml:space="preserve"> </w:t>
      </w:r>
      <w:r w:rsidRPr="00882F11">
        <w:rPr>
          <w:rFonts w:cs="Guttman Drogolin" w:hint="cs"/>
          <w:rtl/>
          <w:lang w:bidi="he-IL"/>
        </w:rPr>
        <w:t>להפרישה</w:t>
      </w:r>
      <w:r w:rsidRPr="00882F11">
        <w:rPr>
          <w:rFonts w:cs="Guttman Drogolin"/>
          <w:rtl/>
        </w:rPr>
        <w:t xml:space="preserve">. </w:t>
      </w:r>
      <w:r w:rsidRPr="00882F11">
        <w:rPr>
          <w:rFonts w:cs="Guttman Drogolin" w:hint="cs"/>
          <w:rtl/>
          <w:lang w:bidi="he-IL"/>
        </w:rPr>
        <w:t>אבל</w:t>
      </w:r>
      <w:r w:rsidRPr="00882F11">
        <w:rPr>
          <w:rFonts w:cs="Guttman Drogolin"/>
          <w:rtl/>
        </w:rPr>
        <w:t xml:space="preserve"> </w:t>
      </w:r>
      <w:r w:rsidRPr="00882F11">
        <w:rPr>
          <w:rFonts w:cs="Guttman Drogolin" w:hint="cs"/>
          <w:rtl/>
          <w:lang w:bidi="he-IL"/>
        </w:rPr>
        <w:t>אם</w:t>
      </w:r>
      <w:r w:rsidRPr="00882F11">
        <w:rPr>
          <w:rFonts w:cs="Guttman Drogolin"/>
          <w:rtl/>
        </w:rPr>
        <w:t xml:space="preserve"> </w:t>
      </w:r>
      <w:r w:rsidRPr="00882F11">
        <w:rPr>
          <w:rFonts w:cs="Guttman Drogolin" w:hint="cs"/>
          <w:rtl/>
          <w:lang w:bidi="he-IL"/>
        </w:rPr>
        <w:t>חתכו</w:t>
      </w:r>
      <w:r w:rsidRPr="00882F11">
        <w:rPr>
          <w:rFonts w:cs="Guttman Drogolin"/>
          <w:rtl/>
        </w:rPr>
        <w:t xml:space="preserve"> </w:t>
      </w:r>
      <w:r w:rsidRPr="00882F11">
        <w:rPr>
          <w:rFonts w:cs="Guttman Drogolin" w:hint="cs"/>
          <w:rtl/>
          <w:lang w:bidi="he-IL"/>
        </w:rPr>
        <w:t>הבצל</w:t>
      </w:r>
      <w:r w:rsidRPr="00882F11">
        <w:rPr>
          <w:rFonts w:cs="Guttman Drogolin"/>
          <w:rtl/>
        </w:rPr>
        <w:t xml:space="preserve"> </w:t>
      </w:r>
      <w:r w:rsidRPr="00882F11">
        <w:rPr>
          <w:rFonts w:cs="Guttman Drogolin" w:hint="cs"/>
          <w:rtl/>
          <w:lang w:bidi="he-IL"/>
        </w:rPr>
        <w:t>בסכין</w:t>
      </w:r>
      <w:r w:rsidRPr="00882F11">
        <w:rPr>
          <w:rFonts w:cs="Guttman Drogolin"/>
          <w:rtl/>
        </w:rPr>
        <w:t xml:space="preserve"> </w:t>
      </w:r>
      <w:r w:rsidRPr="00882F11">
        <w:rPr>
          <w:rFonts w:cs="Guttman Drogolin" w:hint="cs"/>
          <w:rtl/>
          <w:lang w:bidi="he-IL"/>
        </w:rPr>
        <w:t>של</w:t>
      </w:r>
      <w:r w:rsidRPr="00882F11">
        <w:rPr>
          <w:rFonts w:cs="Guttman Drogolin"/>
          <w:rtl/>
        </w:rPr>
        <w:t xml:space="preserve"> </w:t>
      </w:r>
      <w:r w:rsidRPr="00882F11">
        <w:rPr>
          <w:rFonts w:cs="Guttman Drogolin" w:hint="cs"/>
          <w:rtl/>
          <w:lang w:bidi="he-IL"/>
        </w:rPr>
        <w:t>עכו</w:t>
      </w:r>
      <w:r w:rsidRPr="00882F11">
        <w:rPr>
          <w:rFonts w:cs="Guttman Drogolin"/>
          <w:rtl/>
        </w:rPr>
        <w:t>"</w:t>
      </w:r>
      <w:r w:rsidRPr="00882F11">
        <w:rPr>
          <w:rFonts w:cs="Guttman Drogolin" w:hint="cs"/>
          <w:rtl/>
          <w:lang w:bidi="he-IL"/>
        </w:rPr>
        <w:t>ם</w:t>
      </w:r>
      <w:r w:rsidRPr="00882F11">
        <w:rPr>
          <w:rFonts w:cs="Guttman Drogolin"/>
          <w:rtl/>
        </w:rPr>
        <w:t xml:space="preserve"> </w:t>
      </w:r>
      <w:r w:rsidRPr="00882F11">
        <w:rPr>
          <w:rFonts w:cs="Guttman Drogolin" w:hint="cs"/>
          <w:rtl/>
          <w:lang w:bidi="he-IL"/>
        </w:rPr>
        <w:t>אז</w:t>
      </w:r>
      <w:r w:rsidRPr="00882F11">
        <w:rPr>
          <w:rFonts w:cs="Guttman Drogolin"/>
          <w:rtl/>
        </w:rPr>
        <w:t xml:space="preserve"> </w:t>
      </w:r>
      <w:r w:rsidRPr="00882F11">
        <w:rPr>
          <w:rFonts w:cs="Guttman Drogolin" w:hint="cs"/>
          <w:rtl/>
          <w:lang w:bidi="he-IL"/>
        </w:rPr>
        <w:t>כדי</w:t>
      </w:r>
      <w:r w:rsidRPr="00882F11">
        <w:rPr>
          <w:rFonts w:cs="Guttman Drogolin"/>
          <w:rtl/>
        </w:rPr>
        <w:t xml:space="preserve"> </w:t>
      </w:r>
      <w:r w:rsidRPr="00882F11">
        <w:rPr>
          <w:rFonts w:cs="Guttman Drogolin" w:hint="cs"/>
          <w:rtl/>
          <w:lang w:bidi="he-IL"/>
        </w:rPr>
        <w:t>נטילה</w:t>
      </w:r>
      <w:r w:rsidRPr="00882F11">
        <w:rPr>
          <w:rFonts w:cs="Guttman Drogolin"/>
          <w:rtl/>
        </w:rPr>
        <w:t xml:space="preserve"> </w:t>
      </w:r>
      <w:r w:rsidRPr="00882F11">
        <w:rPr>
          <w:rFonts w:cs="Guttman Drogolin" w:hint="cs"/>
          <w:rtl/>
          <w:lang w:bidi="he-IL"/>
        </w:rPr>
        <w:t>מהבצל</w:t>
      </w:r>
      <w:r w:rsidRPr="00882F11">
        <w:rPr>
          <w:rFonts w:cs="Guttman Drogolin"/>
          <w:rtl/>
        </w:rPr>
        <w:t xml:space="preserve"> </w:t>
      </w:r>
      <w:r w:rsidRPr="00882F11">
        <w:rPr>
          <w:rFonts w:cs="Guttman Drogolin" w:hint="cs"/>
          <w:rtl/>
          <w:lang w:bidi="he-IL"/>
        </w:rPr>
        <w:t>דהיינו</w:t>
      </w:r>
      <w:r w:rsidRPr="00882F11">
        <w:rPr>
          <w:rFonts w:cs="Guttman Drogolin"/>
          <w:rtl/>
        </w:rPr>
        <w:t xml:space="preserve"> </w:t>
      </w:r>
      <w:r w:rsidRPr="00882F11">
        <w:rPr>
          <w:rFonts w:cs="Guttman Drogolin" w:hint="cs"/>
          <w:rtl/>
          <w:lang w:bidi="he-IL"/>
        </w:rPr>
        <w:t>כעובי</w:t>
      </w:r>
      <w:r w:rsidRPr="00882F11">
        <w:rPr>
          <w:rFonts w:cs="Guttman Drogolin"/>
          <w:rtl/>
        </w:rPr>
        <w:t xml:space="preserve"> </w:t>
      </w:r>
      <w:r w:rsidRPr="00882F11">
        <w:rPr>
          <w:rFonts w:cs="Guttman Drogolin" w:hint="cs"/>
          <w:rtl/>
          <w:lang w:bidi="he-IL"/>
        </w:rPr>
        <w:t>אצבע</w:t>
      </w:r>
      <w:r w:rsidRPr="00882F11">
        <w:rPr>
          <w:rFonts w:cs="Guttman Drogolin"/>
          <w:rtl/>
        </w:rPr>
        <w:t xml:space="preserve"> </w:t>
      </w:r>
      <w:r w:rsidRPr="00882F11">
        <w:rPr>
          <w:rFonts w:cs="Guttman Drogolin" w:hint="cs"/>
          <w:rtl/>
          <w:lang w:bidi="he-IL"/>
        </w:rPr>
        <w:t>נעשית</w:t>
      </w:r>
      <w:r w:rsidRPr="00882F11">
        <w:rPr>
          <w:rFonts w:cs="Guttman Drogolin"/>
          <w:rtl/>
        </w:rPr>
        <w:t xml:space="preserve"> </w:t>
      </w:r>
      <w:r w:rsidRPr="00882F11">
        <w:rPr>
          <w:rFonts w:cs="Guttman Drogolin" w:hint="cs"/>
          <w:rtl/>
          <w:lang w:bidi="he-IL"/>
        </w:rPr>
        <w:t>נבלה</w:t>
      </w:r>
      <w:r w:rsidRPr="00882F11">
        <w:rPr>
          <w:rFonts w:cs="Guttman Drogolin"/>
          <w:rtl/>
        </w:rPr>
        <w:t xml:space="preserve"> </w:t>
      </w:r>
      <w:r w:rsidRPr="00882F11">
        <w:rPr>
          <w:rFonts w:cs="Guttman Drogolin" w:hint="cs"/>
          <w:rtl/>
          <w:lang w:bidi="he-IL"/>
        </w:rPr>
        <w:t>וחתיכה</w:t>
      </w:r>
      <w:r w:rsidRPr="00882F11">
        <w:rPr>
          <w:rFonts w:cs="Guttman Drogolin"/>
          <w:rtl/>
        </w:rPr>
        <w:t xml:space="preserve"> </w:t>
      </w:r>
      <w:r w:rsidRPr="00882F11">
        <w:rPr>
          <w:rFonts w:cs="Guttman Drogolin" w:hint="cs"/>
          <w:rtl/>
          <w:lang w:bidi="he-IL"/>
        </w:rPr>
        <w:t>דאיסורא</w:t>
      </w:r>
      <w:r w:rsidRPr="00882F11">
        <w:rPr>
          <w:rFonts w:cs="Guttman Drogolin"/>
          <w:rtl/>
        </w:rPr>
        <w:t xml:space="preserve"> </w:t>
      </w:r>
      <w:r w:rsidRPr="00882F11">
        <w:rPr>
          <w:rFonts w:cs="Guttman Drogolin" w:hint="cs"/>
          <w:rtl/>
          <w:lang w:bidi="he-IL"/>
        </w:rPr>
        <w:t>ואם</w:t>
      </w:r>
      <w:r w:rsidRPr="00882F11">
        <w:rPr>
          <w:rFonts w:cs="Guttman Drogolin"/>
          <w:rtl/>
        </w:rPr>
        <w:t xml:space="preserve"> </w:t>
      </w:r>
      <w:r w:rsidRPr="00882F11">
        <w:rPr>
          <w:rFonts w:cs="Guttman Drogolin" w:hint="cs"/>
          <w:rtl/>
          <w:lang w:bidi="he-IL"/>
        </w:rPr>
        <w:t>חתכה</w:t>
      </w:r>
      <w:r w:rsidRPr="00882F11">
        <w:rPr>
          <w:rFonts w:cs="Guttman Drogolin"/>
          <w:rtl/>
        </w:rPr>
        <w:t xml:space="preserve"> </w:t>
      </w:r>
      <w:r w:rsidRPr="00882F11">
        <w:rPr>
          <w:rFonts w:cs="Guttman Drogolin" w:hint="cs"/>
          <w:rtl/>
          <w:lang w:bidi="he-IL"/>
        </w:rPr>
        <w:t>דק</w:t>
      </w:r>
      <w:r w:rsidRPr="00882F11">
        <w:rPr>
          <w:rFonts w:cs="Guttman Drogolin"/>
          <w:rtl/>
        </w:rPr>
        <w:t xml:space="preserve"> </w:t>
      </w:r>
      <w:r w:rsidRPr="00882F11">
        <w:rPr>
          <w:rFonts w:cs="Guttman Drogolin" w:hint="cs"/>
          <w:rtl/>
          <w:lang w:bidi="he-IL"/>
        </w:rPr>
        <w:t>דק</w:t>
      </w:r>
      <w:r w:rsidRPr="00882F11">
        <w:rPr>
          <w:rFonts w:cs="Guttman Drogolin"/>
          <w:rtl/>
        </w:rPr>
        <w:t xml:space="preserve"> </w:t>
      </w:r>
      <w:r w:rsidRPr="00882F11">
        <w:rPr>
          <w:rFonts w:cs="Guttman Drogolin" w:hint="cs"/>
          <w:rtl/>
          <w:lang w:bidi="he-IL"/>
        </w:rPr>
        <w:t>אז</w:t>
      </w:r>
      <w:r w:rsidRPr="00882F11">
        <w:rPr>
          <w:rFonts w:cs="Guttman Drogolin"/>
          <w:rtl/>
        </w:rPr>
        <w:t xml:space="preserve"> </w:t>
      </w:r>
      <w:r w:rsidRPr="00882F11">
        <w:rPr>
          <w:rFonts w:cs="Guttman Drogolin" w:hint="cs"/>
          <w:rtl/>
          <w:lang w:bidi="he-IL"/>
        </w:rPr>
        <w:t>כל</w:t>
      </w:r>
      <w:r w:rsidRPr="00882F11">
        <w:rPr>
          <w:rFonts w:cs="Guttman Drogolin"/>
          <w:rtl/>
        </w:rPr>
        <w:t xml:space="preserve"> </w:t>
      </w:r>
      <w:r w:rsidRPr="00882F11">
        <w:rPr>
          <w:rFonts w:cs="Guttman Drogolin" w:hint="cs"/>
          <w:rtl/>
          <w:lang w:bidi="he-IL"/>
        </w:rPr>
        <w:t>הבצל</w:t>
      </w:r>
      <w:r w:rsidRPr="00882F11">
        <w:rPr>
          <w:rFonts w:cs="Guttman Drogolin"/>
          <w:rtl/>
        </w:rPr>
        <w:t xml:space="preserve"> </w:t>
      </w:r>
      <w:r w:rsidRPr="00882F11">
        <w:rPr>
          <w:rFonts w:cs="Guttman Drogolin" w:hint="cs"/>
          <w:rtl/>
          <w:lang w:bidi="he-IL"/>
        </w:rPr>
        <w:t>נעשית</w:t>
      </w:r>
      <w:r w:rsidRPr="00882F11">
        <w:rPr>
          <w:rFonts w:cs="Guttman Drogolin"/>
          <w:rtl/>
        </w:rPr>
        <w:t xml:space="preserve"> </w:t>
      </w:r>
      <w:r w:rsidRPr="00882F11">
        <w:rPr>
          <w:rFonts w:cs="Guttman Drogolin" w:hint="cs"/>
          <w:rtl/>
          <w:lang w:bidi="he-IL"/>
        </w:rPr>
        <w:t>נבלה</w:t>
      </w:r>
      <w:r w:rsidRPr="00882F11">
        <w:rPr>
          <w:rFonts w:cs="Guttman Drogolin"/>
          <w:rtl/>
        </w:rPr>
        <w:t xml:space="preserve"> </w:t>
      </w:r>
      <w:r w:rsidRPr="00882F11">
        <w:rPr>
          <w:rFonts w:cs="Guttman Drogolin" w:hint="cs"/>
          <w:rtl/>
          <w:lang w:bidi="he-IL"/>
        </w:rPr>
        <w:t>ואם</w:t>
      </w:r>
      <w:r w:rsidRPr="00882F11">
        <w:rPr>
          <w:rFonts w:cs="Guttman Drogolin"/>
          <w:rtl/>
        </w:rPr>
        <w:t xml:space="preserve"> </w:t>
      </w:r>
      <w:r w:rsidRPr="00882F11">
        <w:rPr>
          <w:rFonts w:cs="Guttman Drogolin" w:hint="cs"/>
          <w:rtl/>
          <w:lang w:bidi="he-IL"/>
        </w:rPr>
        <w:t>נתנה</w:t>
      </w:r>
      <w:r w:rsidRPr="00882F11">
        <w:rPr>
          <w:rFonts w:cs="Guttman Drogolin"/>
          <w:rtl/>
        </w:rPr>
        <w:t xml:space="preserve"> </w:t>
      </w:r>
      <w:r w:rsidRPr="00882F11">
        <w:rPr>
          <w:rFonts w:cs="Guttman Drogolin" w:hint="cs"/>
          <w:rtl/>
          <w:lang w:bidi="he-IL"/>
        </w:rPr>
        <w:t>אחר</w:t>
      </w:r>
      <w:r w:rsidRPr="00882F11">
        <w:rPr>
          <w:rFonts w:cs="Guttman Drogolin"/>
          <w:rtl/>
        </w:rPr>
        <w:t xml:space="preserve"> </w:t>
      </w:r>
      <w:r w:rsidRPr="00882F11">
        <w:rPr>
          <w:rFonts w:cs="Guttman Drogolin" w:hint="cs"/>
          <w:rtl/>
          <w:lang w:bidi="he-IL"/>
        </w:rPr>
        <w:t>כך</w:t>
      </w:r>
      <w:r w:rsidRPr="00882F11">
        <w:rPr>
          <w:rFonts w:cs="Guttman Drogolin"/>
          <w:rtl/>
        </w:rPr>
        <w:t xml:space="preserve"> </w:t>
      </w:r>
      <w:r w:rsidRPr="00882F11">
        <w:rPr>
          <w:rFonts w:cs="Guttman Drogolin" w:hint="cs"/>
          <w:rtl/>
          <w:lang w:bidi="he-IL"/>
        </w:rPr>
        <w:t>לתוך</w:t>
      </w:r>
      <w:r w:rsidRPr="00882F11">
        <w:rPr>
          <w:rFonts w:cs="Guttman Drogolin"/>
          <w:rtl/>
        </w:rPr>
        <w:t xml:space="preserve"> </w:t>
      </w:r>
      <w:r w:rsidRPr="00882F11">
        <w:rPr>
          <w:rFonts w:cs="Guttman Drogolin" w:hint="cs"/>
          <w:rtl/>
          <w:lang w:bidi="he-IL"/>
        </w:rPr>
        <w:t>קדרה</w:t>
      </w:r>
      <w:r w:rsidRPr="00882F11">
        <w:rPr>
          <w:rFonts w:cs="Guttman Drogolin"/>
          <w:rtl/>
        </w:rPr>
        <w:t xml:space="preserve"> </w:t>
      </w:r>
      <w:r w:rsidRPr="00882F11">
        <w:rPr>
          <w:rFonts w:cs="Guttman Drogolin" w:hint="cs"/>
          <w:rtl/>
          <w:lang w:bidi="he-IL"/>
        </w:rPr>
        <w:t>של</w:t>
      </w:r>
      <w:r w:rsidRPr="00882F11">
        <w:rPr>
          <w:rFonts w:cs="Guttman Drogolin"/>
          <w:rtl/>
        </w:rPr>
        <w:t xml:space="preserve"> </w:t>
      </w:r>
      <w:r w:rsidRPr="00882F11">
        <w:rPr>
          <w:rFonts w:cs="Guttman Drogolin" w:hint="cs"/>
          <w:rtl/>
          <w:lang w:bidi="he-IL"/>
        </w:rPr>
        <w:t>היתר</w:t>
      </w:r>
      <w:r w:rsidRPr="00882F11">
        <w:rPr>
          <w:rFonts w:cs="Guttman Drogolin"/>
          <w:rtl/>
        </w:rPr>
        <w:t xml:space="preserve"> </w:t>
      </w:r>
      <w:r w:rsidRPr="00882F11">
        <w:rPr>
          <w:rFonts w:cs="Guttman Drogolin" w:hint="cs"/>
          <w:rtl/>
          <w:lang w:bidi="he-IL"/>
        </w:rPr>
        <w:t>אז</w:t>
      </w:r>
      <w:r w:rsidRPr="00882F11">
        <w:rPr>
          <w:rFonts w:cs="Guttman Drogolin"/>
          <w:rtl/>
        </w:rPr>
        <w:t xml:space="preserve"> </w:t>
      </w:r>
      <w:r w:rsidRPr="00882F11">
        <w:rPr>
          <w:rFonts w:cs="Guttman Drogolin" w:hint="cs"/>
          <w:rtl/>
          <w:lang w:bidi="he-IL"/>
        </w:rPr>
        <w:t>צריך</w:t>
      </w:r>
      <w:r w:rsidRPr="00882F11">
        <w:rPr>
          <w:rFonts w:cs="Guttman Drogolin"/>
          <w:rtl/>
        </w:rPr>
        <w:t xml:space="preserve"> </w:t>
      </w:r>
      <w:r w:rsidRPr="00882F11">
        <w:rPr>
          <w:rFonts w:cs="Guttman Drogolin" w:hint="cs"/>
          <w:rtl/>
          <w:lang w:bidi="he-IL"/>
        </w:rPr>
        <w:t>ששים</w:t>
      </w:r>
      <w:r w:rsidRPr="00882F11">
        <w:rPr>
          <w:rFonts w:cs="Guttman Drogolin"/>
          <w:rtl/>
        </w:rPr>
        <w:t xml:space="preserve"> </w:t>
      </w:r>
      <w:r w:rsidRPr="00882F11">
        <w:rPr>
          <w:rFonts w:cs="Guttman Drogolin" w:hint="cs"/>
          <w:rtl/>
          <w:lang w:bidi="he-IL"/>
        </w:rPr>
        <w:t>נגד</w:t>
      </w:r>
      <w:r w:rsidRPr="00882F11">
        <w:rPr>
          <w:rFonts w:cs="Guttman Drogolin"/>
          <w:rtl/>
        </w:rPr>
        <w:t xml:space="preserve"> </w:t>
      </w:r>
      <w:r w:rsidRPr="00882F11">
        <w:rPr>
          <w:rFonts w:cs="Guttman Drogolin" w:hint="cs"/>
          <w:rtl/>
          <w:lang w:bidi="he-IL"/>
        </w:rPr>
        <w:t>כל</w:t>
      </w:r>
      <w:r w:rsidRPr="00882F11">
        <w:rPr>
          <w:rFonts w:cs="Guttman Drogolin"/>
          <w:rtl/>
        </w:rPr>
        <w:t xml:space="preserve"> </w:t>
      </w:r>
      <w:r w:rsidRPr="00882F11">
        <w:rPr>
          <w:rFonts w:cs="Guttman Drogolin" w:hint="cs"/>
          <w:rtl/>
          <w:lang w:bidi="he-IL"/>
        </w:rPr>
        <w:t>הבצל</w:t>
      </w:r>
      <w:r w:rsidRPr="00882F11">
        <w:rPr>
          <w:rFonts w:cs="Guttman Drogolin"/>
          <w:rtl/>
        </w:rPr>
        <w:t xml:space="preserve"> </w:t>
      </w:r>
      <w:r w:rsidRPr="00882F11">
        <w:rPr>
          <w:rFonts w:cs="Guttman Drogolin" w:hint="cs"/>
          <w:rtl/>
          <w:lang w:bidi="he-IL"/>
        </w:rPr>
        <w:t>ואם</w:t>
      </w:r>
      <w:r w:rsidRPr="00882F11">
        <w:rPr>
          <w:rFonts w:cs="Guttman Drogolin"/>
          <w:rtl/>
        </w:rPr>
        <w:t xml:space="preserve"> </w:t>
      </w:r>
      <w:r w:rsidRPr="00882F11">
        <w:rPr>
          <w:rFonts w:cs="Guttman Drogolin" w:hint="cs"/>
          <w:rtl/>
          <w:lang w:bidi="he-IL"/>
        </w:rPr>
        <w:t>יש</w:t>
      </w:r>
      <w:r w:rsidRPr="00882F11">
        <w:rPr>
          <w:rFonts w:cs="Guttman Drogolin"/>
          <w:rtl/>
        </w:rPr>
        <w:t xml:space="preserve"> </w:t>
      </w:r>
      <w:r w:rsidRPr="00882F11">
        <w:rPr>
          <w:rFonts w:cs="Guttman Drogolin" w:hint="cs"/>
          <w:rtl/>
          <w:lang w:bidi="he-IL"/>
        </w:rPr>
        <w:t>ששים</w:t>
      </w:r>
      <w:r w:rsidRPr="00882F11">
        <w:rPr>
          <w:rFonts w:cs="Guttman Drogolin"/>
          <w:rtl/>
        </w:rPr>
        <w:t xml:space="preserve"> </w:t>
      </w:r>
      <w:r w:rsidRPr="00882F11">
        <w:rPr>
          <w:rFonts w:cs="Guttman Drogolin" w:hint="cs"/>
          <w:rtl/>
          <w:lang w:bidi="he-IL"/>
        </w:rPr>
        <w:t>התבשיל</w:t>
      </w:r>
      <w:r w:rsidRPr="00882F11">
        <w:rPr>
          <w:rFonts w:cs="Guttman Drogolin"/>
          <w:rtl/>
        </w:rPr>
        <w:t xml:space="preserve"> </w:t>
      </w:r>
      <w:r w:rsidRPr="00882F11">
        <w:rPr>
          <w:rFonts w:cs="Guttman Drogolin" w:hint="cs"/>
          <w:rtl/>
          <w:lang w:bidi="he-IL"/>
        </w:rPr>
        <w:t>הוא</w:t>
      </w:r>
      <w:r w:rsidRPr="00882F11">
        <w:rPr>
          <w:rFonts w:cs="Guttman Drogolin"/>
          <w:rtl/>
        </w:rPr>
        <w:t xml:space="preserve"> </w:t>
      </w:r>
      <w:r w:rsidRPr="00882F11">
        <w:rPr>
          <w:rFonts w:cs="Guttman Drogolin" w:hint="cs"/>
          <w:rtl/>
          <w:lang w:bidi="he-IL"/>
        </w:rPr>
        <w:t>מותר</w:t>
      </w:r>
      <w:r w:rsidRPr="00882F11">
        <w:rPr>
          <w:rFonts w:cs="Guttman Drogolin"/>
          <w:rtl/>
        </w:rPr>
        <w:t xml:space="preserve"> </w:t>
      </w:r>
      <w:r w:rsidRPr="00882F11">
        <w:rPr>
          <w:rFonts w:cs="Guttman Drogolin" w:hint="cs"/>
          <w:rtl/>
          <w:lang w:bidi="he-IL"/>
        </w:rPr>
        <w:t>אבל</w:t>
      </w:r>
      <w:r w:rsidRPr="00882F11">
        <w:rPr>
          <w:rFonts w:cs="Guttman Drogolin"/>
          <w:rtl/>
        </w:rPr>
        <w:t xml:space="preserve"> </w:t>
      </w:r>
      <w:r w:rsidRPr="00882F11">
        <w:rPr>
          <w:rFonts w:cs="Guttman Drogolin" w:hint="cs"/>
          <w:rtl/>
          <w:lang w:bidi="he-IL"/>
        </w:rPr>
        <w:t>הבצלים</w:t>
      </w:r>
      <w:r w:rsidRPr="00882F11">
        <w:rPr>
          <w:rFonts w:cs="Guttman Drogolin"/>
          <w:rtl/>
        </w:rPr>
        <w:t xml:space="preserve"> </w:t>
      </w:r>
      <w:r w:rsidRPr="00882F11">
        <w:rPr>
          <w:rFonts w:cs="Guttman Drogolin" w:hint="cs"/>
          <w:rtl/>
          <w:lang w:bidi="he-IL"/>
        </w:rPr>
        <w:t>צריך</w:t>
      </w:r>
      <w:r w:rsidRPr="00882F11">
        <w:rPr>
          <w:rFonts w:cs="Guttman Drogolin"/>
          <w:rtl/>
        </w:rPr>
        <w:t xml:space="preserve"> </w:t>
      </w:r>
      <w:r w:rsidRPr="00882F11">
        <w:rPr>
          <w:rFonts w:cs="Guttman Drogolin" w:hint="cs"/>
          <w:rtl/>
          <w:lang w:bidi="he-IL"/>
        </w:rPr>
        <w:t>להפרישן</w:t>
      </w:r>
      <w:r w:rsidRPr="00882F11">
        <w:rPr>
          <w:rFonts w:cs="Guttman Drogolin"/>
          <w:rtl/>
        </w:rPr>
        <w:t xml:space="preserve"> </w:t>
      </w:r>
      <w:r w:rsidRPr="00882F11">
        <w:rPr>
          <w:rFonts w:cs="Guttman Drogolin" w:hint="cs"/>
          <w:rtl/>
          <w:lang w:bidi="he-IL"/>
        </w:rPr>
        <w:t>מהתבשיל</w:t>
      </w:r>
      <w:r w:rsidRPr="00882F11">
        <w:rPr>
          <w:rFonts w:cs="Guttman Drogolin"/>
          <w:rtl/>
        </w:rPr>
        <w:t xml:space="preserve"> </w:t>
      </w:r>
      <w:r w:rsidRPr="00882F11">
        <w:rPr>
          <w:rFonts w:cs="Guttman Drogolin" w:hint="cs"/>
          <w:rtl/>
          <w:lang w:bidi="he-IL"/>
        </w:rPr>
        <w:t>על</w:t>
      </w:r>
      <w:r w:rsidRPr="00882F11">
        <w:rPr>
          <w:rFonts w:cs="Guttman Drogolin"/>
          <w:rtl/>
        </w:rPr>
        <w:t xml:space="preserve"> </w:t>
      </w:r>
      <w:r w:rsidRPr="00882F11">
        <w:rPr>
          <w:rFonts w:cs="Guttman Drogolin" w:hint="cs"/>
          <w:rtl/>
          <w:lang w:bidi="he-IL"/>
        </w:rPr>
        <w:t>ידי</w:t>
      </w:r>
      <w:r w:rsidRPr="00882F11">
        <w:rPr>
          <w:rFonts w:cs="Guttman Drogolin"/>
          <w:rtl/>
        </w:rPr>
        <w:t xml:space="preserve"> </w:t>
      </w:r>
      <w:r w:rsidRPr="00882F11">
        <w:rPr>
          <w:rFonts w:cs="Guttman Drogolin" w:hint="cs"/>
          <w:rtl/>
          <w:lang w:bidi="he-IL"/>
        </w:rPr>
        <w:t>סינון</w:t>
      </w:r>
      <w:r w:rsidRPr="00882F11">
        <w:rPr>
          <w:rFonts w:cs="Guttman Drogolin"/>
          <w:rtl/>
        </w:rPr>
        <w:t xml:space="preserve"> </w:t>
      </w:r>
      <w:r w:rsidRPr="00882F11">
        <w:rPr>
          <w:rFonts w:cs="Guttman Drogolin" w:hint="cs"/>
          <w:rtl/>
          <w:lang w:bidi="he-IL"/>
        </w:rPr>
        <w:t>או</w:t>
      </w:r>
      <w:r w:rsidRPr="00882F11">
        <w:rPr>
          <w:rFonts w:cs="Guttman Drogolin"/>
          <w:rtl/>
        </w:rPr>
        <w:t xml:space="preserve"> </w:t>
      </w:r>
      <w:r w:rsidRPr="00882F11">
        <w:rPr>
          <w:rFonts w:cs="Guttman Drogolin" w:hint="cs"/>
          <w:rtl/>
          <w:lang w:bidi="he-IL"/>
        </w:rPr>
        <w:t>ענין</w:t>
      </w:r>
      <w:r w:rsidRPr="00882F11">
        <w:rPr>
          <w:rFonts w:cs="Guttman Drogolin"/>
          <w:rtl/>
        </w:rPr>
        <w:t xml:space="preserve"> </w:t>
      </w:r>
      <w:r w:rsidRPr="00882F11">
        <w:rPr>
          <w:rFonts w:cs="Guttman Drogolin" w:hint="cs"/>
          <w:rtl/>
          <w:lang w:bidi="he-IL"/>
        </w:rPr>
        <w:t>אחר</w:t>
      </w:r>
      <w:r w:rsidRPr="00882F11">
        <w:rPr>
          <w:rFonts w:cs="Guttman Drogolin"/>
          <w:rtl/>
        </w:rPr>
        <w:t xml:space="preserve"> </w:t>
      </w:r>
      <w:r w:rsidRPr="00882F11">
        <w:rPr>
          <w:rFonts w:cs="Guttman Drogolin" w:hint="cs"/>
          <w:rtl/>
          <w:lang w:bidi="he-IL"/>
        </w:rPr>
        <w:t>במה</w:t>
      </w:r>
      <w:r w:rsidRPr="00882F11">
        <w:rPr>
          <w:rFonts w:cs="Guttman Drogolin"/>
          <w:rtl/>
        </w:rPr>
        <w:t xml:space="preserve"> </w:t>
      </w:r>
      <w:r w:rsidRPr="00882F11">
        <w:rPr>
          <w:rFonts w:cs="Guttman Drogolin" w:hint="cs"/>
          <w:rtl/>
          <w:lang w:bidi="he-IL"/>
        </w:rPr>
        <w:t>שאפשר</w:t>
      </w:r>
      <w:r w:rsidRPr="00882F11">
        <w:rPr>
          <w:rFonts w:cs="Guttman Drogolin"/>
          <w:rtl/>
        </w:rPr>
        <w:t xml:space="preserve"> </w:t>
      </w:r>
      <w:r w:rsidRPr="00882F11">
        <w:rPr>
          <w:rFonts w:cs="Guttman Drogolin" w:hint="cs"/>
          <w:rtl/>
          <w:lang w:bidi="he-IL"/>
        </w:rPr>
        <w:t>משום</w:t>
      </w:r>
      <w:r w:rsidRPr="00882F11">
        <w:rPr>
          <w:rFonts w:cs="Guttman Drogolin"/>
          <w:rtl/>
        </w:rPr>
        <w:t xml:space="preserve"> </w:t>
      </w:r>
      <w:r w:rsidRPr="00882F11">
        <w:rPr>
          <w:rFonts w:cs="Guttman Drogolin" w:hint="cs"/>
          <w:rtl/>
          <w:lang w:bidi="he-IL"/>
        </w:rPr>
        <w:t>דק</w:t>
      </w:r>
      <w:r w:rsidRPr="00882F11">
        <w:rPr>
          <w:rFonts w:cs="Guttman Drogolin"/>
          <w:rtl/>
        </w:rPr>
        <w:t>"</w:t>
      </w:r>
      <w:r w:rsidRPr="00882F11">
        <w:rPr>
          <w:rFonts w:cs="Guttman Drogolin" w:hint="cs"/>
          <w:rtl/>
          <w:lang w:bidi="he-IL"/>
        </w:rPr>
        <w:t>ל</w:t>
      </w:r>
      <w:r w:rsidRPr="00882F11">
        <w:rPr>
          <w:rFonts w:cs="Guttman Drogolin"/>
          <w:rtl/>
        </w:rPr>
        <w:t xml:space="preserve"> </w:t>
      </w:r>
      <w:r w:rsidRPr="00882F11">
        <w:rPr>
          <w:rFonts w:cs="Guttman Drogolin" w:hint="cs"/>
          <w:rtl/>
          <w:lang w:bidi="he-IL"/>
        </w:rPr>
        <w:t>אפשר</w:t>
      </w:r>
      <w:r w:rsidRPr="00882F11">
        <w:rPr>
          <w:rFonts w:cs="Guttman Drogolin"/>
          <w:rtl/>
        </w:rPr>
        <w:t xml:space="preserve"> </w:t>
      </w:r>
      <w:r w:rsidRPr="00882F11">
        <w:rPr>
          <w:rFonts w:cs="Guttman Drogolin" w:hint="cs"/>
          <w:rtl/>
          <w:lang w:bidi="he-IL"/>
        </w:rPr>
        <w:t>לסוחטו</w:t>
      </w:r>
      <w:r w:rsidRPr="00882F11">
        <w:rPr>
          <w:rFonts w:cs="Guttman Drogolin"/>
          <w:rtl/>
        </w:rPr>
        <w:t xml:space="preserve"> </w:t>
      </w:r>
      <w:r w:rsidRPr="00882F11">
        <w:rPr>
          <w:rFonts w:cs="Guttman Drogolin" w:hint="cs"/>
          <w:rtl/>
          <w:lang w:bidi="he-IL"/>
        </w:rPr>
        <w:t>אסור</w:t>
      </w:r>
      <w:r w:rsidRPr="00882F11">
        <w:rPr>
          <w:rFonts w:cs="Guttman Drogolin"/>
          <w:rtl/>
        </w:rPr>
        <w:t xml:space="preserve"> </w:t>
      </w:r>
      <w:r w:rsidRPr="00882F11">
        <w:rPr>
          <w:rFonts w:cs="Guttman Drogolin" w:hint="cs"/>
          <w:rtl/>
          <w:lang w:bidi="he-IL"/>
        </w:rPr>
        <w:t>וזהו</w:t>
      </w:r>
      <w:r w:rsidRPr="00882F11">
        <w:rPr>
          <w:rFonts w:cs="Guttman Drogolin"/>
          <w:rtl/>
        </w:rPr>
        <w:t xml:space="preserve"> </w:t>
      </w:r>
      <w:r w:rsidRPr="00882F11">
        <w:rPr>
          <w:rFonts w:cs="Guttman Drogolin" w:hint="cs"/>
          <w:rtl/>
          <w:lang w:bidi="he-IL"/>
        </w:rPr>
        <w:t>דבר</w:t>
      </w:r>
      <w:r w:rsidRPr="00882F11">
        <w:rPr>
          <w:rFonts w:cs="Guttman Drogolin"/>
          <w:rtl/>
        </w:rPr>
        <w:t xml:space="preserve"> </w:t>
      </w:r>
      <w:r w:rsidRPr="00882F11">
        <w:rPr>
          <w:rFonts w:cs="Guttman Drogolin" w:hint="cs"/>
          <w:rtl/>
          <w:lang w:bidi="he-IL"/>
        </w:rPr>
        <w:t>פשוט</w:t>
      </w:r>
      <w:r w:rsidRPr="00882F11">
        <w:rPr>
          <w:rFonts w:cs="Guttman Drogolin"/>
          <w:rtl/>
        </w:rPr>
        <w:t xml:space="preserve"> </w:t>
      </w:r>
      <w:r w:rsidRPr="00882F11">
        <w:rPr>
          <w:rFonts w:cs="Guttman Drogolin" w:hint="cs"/>
          <w:rtl/>
          <w:lang w:bidi="he-IL"/>
        </w:rPr>
        <w:t>מבואר</w:t>
      </w:r>
      <w:r w:rsidRPr="00882F11">
        <w:rPr>
          <w:rFonts w:cs="Guttman Drogolin"/>
          <w:rtl/>
        </w:rPr>
        <w:t xml:space="preserve"> </w:t>
      </w:r>
      <w:r w:rsidRPr="00882F11">
        <w:rPr>
          <w:rFonts w:cs="Guttman Drogolin" w:hint="cs"/>
          <w:rtl/>
          <w:lang w:bidi="he-IL"/>
        </w:rPr>
        <w:t>בטור</w:t>
      </w:r>
      <w:r w:rsidRPr="00882F11">
        <w:rPr>
          <w:rFonts w:cs="Guttman Drogolin"/>
          <w:rtl/>
        </w:rPr>
        <w:t xml:space="preserve"> </w:t>
      </w:r>
      <w:r w:rsidRPr="00882F11">
        <w:rPr>
          <w:rFonts w:cs="Guttman Drogolin" w:hint="cs"/>
          <w:rtl/>
          <w:lang w:bidi="he-IL"/>
        </w:rPr>
        <w:t>י</w:t>
      </w:r>
      <w:r w:rsidRPr="00882F11">
        <w:rPr>
          <w:rFonts w:cs="Guttman Drogolin"/>
          <w:rtl/>
        </w:rPr>
        <w:t>"</w:t>
      </w:r>
      <w:r w:rsidRPr="00882F11">
        <w:rPr>
          <w:rFonts w:cs="Guttman Drogolin" w:hint="cs"/>
          <w:rtl/>
          <w:lang w:bidi="he-IL"/>
        </w:rPr>
        <w:t>ד</w:t>
      </w:r>
      <w:r w:rsidRPr="00882F11">
        <w:rPr>
          <w:rFonts w:cs="Guttman Drogolin"/>
          <w:rtl/>
        </w:rPr>
        <w:t xml:space="preserve"> </w:t>
      </w:r>
      <w:r w:rsidRPr="00882F11">
        <w:rPr>
          <w:rFonts w:cs="Guttman Drogolin" w:hint="cs"/>
          <w:rtl/>
          <w:lang w:bidi="he-IL"/>
        </w:rPr>
        <w:t>סימן</w:t>
      </w:r>
      <w:r w:rsidRPr="00882F11">
        <w:rPr>
          <w:rFonts w:cs="Guttman Drogolin"/>
          <w:rtl/>
        </w:rPr>
        <w:t xml:space="preserve"> </w:t>
      </w:r>
      <w:r w:rsidRPr="00882F11">
        <w:rPr>
          <w:rFonts w:cs="Guttman Drogolin" w:hint="cs"/>
          <w:rtl/>
          <w:lang w:bidi="he-IL"/>
        </w:rPr>
        <w:t>צ</w:t>
      </w:r>
      <w:r w:rsidRPr="00882F11">
        <w:rPr>
          <w:rFonts w:cs="Guttman Drogolin"/>
          <w:rtl/>
        </w:rPr>
        <w:t>"</w:t>
      </w:r>
      <w:r w:rsidRPr="00882F11">
        <w:rPr>
          <w:rFonts w:cs="Guttman Drogolin" w:hint="cs"/>
          <w:rtl/>
          <w:lang w:bidi="he-IL"/>
        </w:rPr>
        <w:t>ז</w:t>
      </w:r>
      <w:r w:rsidRPr="00882F11">
        <w:rPr>
          <w:rFonts w:cs="Guttman Drogolin"/>
          <w:rtl/>
        </w:rPr>
        <w:t xml:space="preserve"> </w:t>
      </w:r>
      <w:r w:rsidRPr="00882F11">
        <w:rPr>
          <w:rFonts w:cs="Guttman Drogolin" w:hint="cs"/>
          <w:rtl/>
          <w:lang w:bidi="he-IL"/>
        </w:rPr>
        <w:t>ובסמ</w:t>
      </w:r>
      <w:r w:rsidRPr="00882F11">
        <w:rPr>
          <w:rFonts w:cs="Guttman Drogolin"/>
          <w:rtl/>
        </w:rPr>
        <w:t>"</w:t>
      </w:r>
      <w:r w:rsidRPr="00882F11">
        <w:rPr>
          <w:rFonts w:cs="Guttman Drogolin" w:hint="cs"/>
          <w:rtl/>
          <w:lang w:bidi="he-IL"/>
        </w:rPr>
        <w:t>ג</w:t>
      </w:r>
      <w:r w:rsidRPr="00882F11">
        <w:rPr>
          <w:rFonts w:cs="Guttman Drogolin"/>
          <w:rtl/>
        </w:rPr>
        <w:t xml:space="preserve"> </w:t>
      </w:r>
      <w:r w:rsidRPr="00882F11">
        <w:rPr>
          <w:rFonts w:cs="Guttman Drogolin" w:hint="cs"/>
          <w:rtl/>
          <w:lang w:bidi="he-IL"/>
        </w:rPr>
        <w:t>סימן</w:t>
      </w:r>
      <w:r w:rsidRPr="00882F11">
        <w:rPr>
          <w:rFonts w:cs="Guttman Drogolin"/>
          <w:rtl/>
        </w:rPr>
        <w:t xml:space="preserve"> </w:t>
      </w:r>
      <w:r w:rsidRPr="00882F11">
        <w:rPr>
          <w:rFonts w:cs="Guttman Drogolin" w:hint="cs"/>
          <w:rtl/>
          <w:lang w:bidi="he-IL"/>
        </w:rPr>
        <w:t>ק</w:t>
      </w:r>
      <w:r w:rsidRPr="00882F11">
        <w:rPr>
          <w:rFonts w:cs="Guttman Drogolin"/>
          <w:rtl/>
        </w:rPr>
        <w:t>"</w:t>
      </w:r>
      <w:r w:rsidRPr="00882F11">
        <w:rPr>
          <w:rFonts w:cs="Guttman Drogolin" w:hint="cs"/>
          <w:rtl/>
          <w:lang w:bidi="he-IL"/>
        </w:rPr>
        <w:t>מ</w:t>
      </w:r>
      <w:r w:rsidRPr="00882F11">
        <w:rPr>
          <w:rFonts w:cs="Guttman Drogolin"/>
          <w:rtl/>
        </w:rPr>
        <w:t xml:space="preserve"> </w:t>
      </w:r>
      <w:r w:rsidRPr="00882F11">
        <w:rPr>
          <w:rFonts w:cs="Guttman Drogolin" w:hint="cs"/>
          <w:rtl/>
          <w:lang w:bidi="he-IL"/>
        </w:rPr>
        <w:t>וקמ</w:t>
      </w:r>
      <w:r w:rsidRPr="00882F11">
        <w:rPr>
          <w:rFonts w:cs="Guttman Drogolin"/>
          <w:rtl/>
        </w:rPr>
        <w:t>"</w:t>
      </w:r>
      <w:r w:rsidRPr="00882F11">
        <w:rPr>
          <w:rFonts w:cs="Guttman Drogolin" w:hint="cs"/>
          <w:rtl/>
          <w:lang w:bidi="he-IL"/>
        </w:rPr>
        <w:t>א</w:t>
      </w:r>
      <w:r w:rsidRPr="00882F11">
        <w:rPr>
          <w:rFonts w:cs="Guttman Drogolin"/>
          <w:rtl/>
        </w:rPr>
        <w:t xml:space="preserve"> </w:t>
      </w:r>
      <w:r w:rsidRPr="00882F11">
        <w:rPr>
          <w:rFonts w:cs="Guttman Drogolin" w:hint="cs"/>
          <w:rtl/>
          <w:lang w:bidi="he-IL"/>
        </w:rPr>
        <w:t>ובא</w:t>
      </w:r>
      <w:r w:rsidRPr="00882F11">
        <w:rPr>
          <w:rFonts w:cs="Guttman Drogolin"/>
          <w:rtl/>
        </w:rPr>
        <w:t>"</w:t>
      </w:r>
      <w:r w:rsidRPr="00882F11">
        <w:rPr>
          <w:rFonts w:cs="Guttman Drogolin" w:hint="cs"/>
          <w:rtl/>
          <w:lang w:bidi="he-IL"/>
        </w:rPr>
        <w:t>ו</w:t>
      </w:r>
      <w:r w:rsidRPr="00882F11">
        <w:rPr>
          <w:rFonts w:cs="Guttman Drogolin"/>
          <w:rtl/>
        </w:rPr>
        <w:t xml:space="preserve"> </w:t>
      </w:r>
      <w:r w:rsidRPr="00882F11">
        <w:rPr>
          <w:rFonts w:cs="Guttman Drogolin" w:hint="cs"/>
          <w:rtl/>
          <w:lang w:bidi="he-IL"/>
        </w:rPr>
        <w:t>הארוך</w:t>
      </w:r>
      <w:r w:rsidRPr="00882F11">
        <w:rPr>
          <w:rFonts w:cs="Guttman Drogolin"/>
          <w:rtl/>
        </w:rPr>
        <w:t xml:space="preserve"> </w:t>
      </w:r>
      <w:r w:rsidRPr="00882F11">
        <w:rPr>
          <w:rFonts w:cs="Guttman Drogolin" w:hint="cs"/>
          <w:rtl/>
          <w:lang w:bidi="he-IL"/>
        </w:rPr>
        <w:t>סימן</w:t>
      </w:r>
      <w:r w:rsidRPr="00882F11">
        <w:rPr>
          <w:rFonts w:cs="Guttman Drogolin"/>
          <w:rtl/>
        </w:rPr>
        <w:t xml:space="preserve"> </w:t>
      </w:r>
      <w:r w:rsidRPr="00882F11">
        <w:rPr>
          <w:rFonts w:cs="Guttman Drogolin" w:hint="cs"/>
          <w:rtl/>
          <w:lang w:bidi="he-IL"/>
        </w:rPr>
        <w:t>ל</w:t>
      </w:r>
      <w:r w:rsidRPr="00882F11">
        <w:rPr>
          <w:rFonts w:cs="Guttman Drogolin"/>
          <w:rtl/>
        </w:rPr>
        <w:t>"</w:t>
      </w:r>
      <w:r w:rsidRPr="00882F11">
        <w:rPr>
          <w:rFonts w:cs="Guttman Drogolin" w:hint="cs"/>
          <w:rtl/>
          <w:lang w:bidi="he-IL"/>
        </w:rPr>
        <w:t>ח</w:t>
      </w:r>
      <w:r w:rsidRPr="00882F11">
        <w:rPr>
          <w:rFonts w:cs="Guttman Drogolin"/>
          <w:rtl/>
        </w:rPr>
        <w:t xml:space="preserve"> </w:t>
      </w:r>
      <w:r w:rsidRPr="00882F11">
        <w:rPr>
          <w:rFonts w:cs="Guttman Drogolin" w:hint="cs"/>
          <w:rtl/>
          <w:lang w:bidi="he-IL"/>
        </w:rPr>
        <w:t>וביתר</w:t>
      </w:r>
      <w:r w:rsidRPr="00882F11">
        <w:rPr>
          <w:rFonts w:cs="Guttman Drogolin"/>
          <w:rtl/>
        </w:rPr>
        <w:t xml:space="preserve"> </w:t>
      </w:r>
      <w:r w:rsidRPr="00882F11">
        <w:rPr>
          <w:rFonts w:cs="Guttman Drogolin" w:hint="cs"/>
          <w:rtl/>
          <w:lang w:bidi="he-IL"/>
        </w:rPr>
        <w:t>פוסקים</w:t>
      </w:r>
      <w:r w:rsidRPr="00882F11">
        <w:rPr>
          <w:rFonts w:cs="Guttman Drogolin"/>
          <w:rtl/>
        </w:rPr>
        <w:t xml:space="preserve"> </w:t>
      </w:r>
      <w:r w:rsidRPr="00882F11">
        <w:rPr>
          <w:rFonts w:cs="Guttman Drogolin" w:hint="cs"/>
          <w:rtl/>
          <w:lang w:bidi="he-IL"/>
        </w:rPr>
        <w:t>אשר</w:t>
      </w:r>
      <w:r w:rsidRPr="00882F11">
        <w:rPr>
          <w:rFonts w:cs="Guttman Drogolin"/>
          <w:rtl/>
        </w:rPr>
        <w:t xml:space="preserve"> </w:t>
      </w:r>
      <w:r w:rsidRPr="00882F11">
        <w:rPr>
          <w:rFonts w:cs="Guttman Drogolin" w:hint="cs"/>
          <w:rtl/>
          <w:lang w:bidi="he-IL"/>
        </w:rPr>
        <w:t>עתה</w:t>
      </w:r>
      <w:r w:rsidRPr="00882F11">
        <w:rPr>
          <w:rFonts w:cs="Guttman Drogolin"/>
          <w:rtl/>
        </w:rPr>
        <w:t xml:space="preserve"> </w:t>
      </w:r>
      <w:r w:rsidRPr="00882F11">
        <w:rPr>
          <w:rFonts w:cs="Guttman Drogolin" w:hint="cs"/>
          <w:rtl/>
          <w:lang w:bidi="he-IL"/>
        </w:rPr>
        <w:t>אין</w:t>
      </w:r>
      <w:r w:rsidRPr="00882F11">
        <w:rPr>
          <w:rFonts w:cs="Guttman Drogolin"/>
          <w:rtl/>
        </w:rPr>
        <w:t xml:space="preserve"> </w:t>
      </w:r>
      <w:r w:rsidRPr="00882F11">
        <w:rPr>
          <w:rFonts w:cs="Guttman Drogolin" w:hint="cs"/>
          <w:rtl/>
          <w:lang w:bidi="he-IL"/>
        </w:rPr>
        <w:t>פנאי</w:t>
      </w:r>
      <w:r w:rsidRPr="00882F11">
        <w:rPr>
          <w:rFonts w:cs="Guttman Drogolin"/>
          <w:rtl/>
        </w:rPr>
        <w:t xml:space="preserve"> </w:t>
      </w:r>
      <w:r w:rsidRPr="00882F11">
        <w:rPr>
          <w:rFonts w:cs="Guttman Drogolin" w:hint="cs"/>
          <w:rtl/>
          <w:lang w:bidi="he-IL"/>
        </w:rPr>
        <w:t>להאריך</w:t>
      </w:r>
      <w:r w:rsidRPr="00882F11">
        <w:rPr>
          <w:rFonts w:cs="Guttman Drogolin"/>
        </w:rPr>
        <w:t>:</w:t>
      </w:r>
      <w:r w:rsidR="002D2676" w:rsidRPr="00882F11">
        <w:rPr>
          <w:rFonts w:cs="Guttman Drogolin" w:hint="cs"/>
          <w:rtl/>
          <w:lang w:bidi="he-IL"/>
        </w:rPr>
        <w:t xml:space="preserve">  </w:t>
      </w:r>
      <w:r w:rsidR="003D529D" w:rsidRPr="00882F11">
        <w:rPr>
          <w:rFonts w:cs="Guttman Drogolin" w:hint="cs"/>
          <w:rtl/>
          <w:lang w:bidi="he-IL"/>
        </w:rPr>
        <w:t xml:space="preserve">   </w:t>
      </w:r>
    </w:p>
    <w:p w:rsidR="00C02C01" w:rsidRPr="00882F11" w:rsidRDefault="00C02C01" w:rsidP="00C02C01">
      <w:pPr>
        <w:tabs>
          <w:tab w:val="right" w:pos="7497"/>
        </w:tabs>
        <w:bidi/>
        <w:jc w:val="both"/>
        <w:rPr>
          <w:rFonts w:cs="Guttman Drogolin"/>
          <w:rtl/>
          <w:lang w:bidi="he-IL"/>
        </w:rPr>
        <w:sectPr w:rsidR="00C02C01" w:rsidRPr="00882F11" w:rsidSect="0000469F">
          <w:type w:val="continuous"/>
          <w:pgSz w:w="11907" w:h="16839" w:code="9"/>
          <w:pgMar w:top="1440" w:right="1440" w:bottom="1440" w:left="1440" w:header="720" w:footer="720" w:gutter="0"/>
          <w:cols w:num="2" w:space="720"/>
          <w:bidi/>
          <w:docGrid w:linePitch="360"/>
        </w:sectPr>
      </w:pPr>
    </w:p>
    <w:p w:rsidR="00C02C01" w:rsidRPr="00882F11" w:rsidRDefault="00C02C01" w:rsidP="00C02C01">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ס"ו</w:t>
      </w:r>
    </w:p>
    <w:p w:rsidR="0000469F" w:rsidRDefault="0000469F" w:rsidP="0078079C">
      <w:pPr>
        <w:pStyle w:val="Heading1"/>
        <w:bidi/>
        <w:spacing w:before="0" w:line="360" w:lineRule="auto"/>
        <w:jc w:val="center"/>
        <w:rPr>
          <w:rFonts w:cs="Guttman Drogolin"/>
          <w:color w:val="auto"/>
          <w:sz w:val="24"/>
          <w:szCs w:val="24"/>
          <w:u w:val="single"/>
          <w:rtl/>
          <w:lang w:bidi="he-IL"/>
        </w:rPr>
        <w:sectPr w:rsidR="0000469F" w:rsidSect="0000469F">
          <w:headerReference w:type="default" r:id="rId51"/>
          <w:pgSz w:w="11907" w:h="16839" w:code="9"/>
          <w:pgMar w:top="1440" w:right="1440" w:bottom="1440" w:left="1440" w:header="720" w:footer="720" w:gutter="0"/>
          <w:cols w:space="720"/>
          <w:bidi/>
          <w:docGrid w:linePitch="360"/>
        </w:sectPr>
      </w:pPr>
    </w:p>
    <w:p w:rsidR="00C02C01" w:rsidRPr="00882F11" w:rsidRDefault="00C02C01" w:rsidP="0078079C">
      <w:pPr>
        <w:pStyle w:val="Heading1"/>
        <w:bidi/>
        <w:spacing w:before="0" w:line="360" w:lineRule="auto"/>
        <w:jc w:val="center"/>
        <w:rPr>
          <w:rFonts w:cs="Guttman Drogolin"/>
          <w:color w:val="auto"/>
          <w:sz w:val="24"/>
          <w:szCs w:val="24"/>
          <w:u w:val="single"/>
          <w:rtl/>
          <w:lang w:bidi="he-IL"/>
        </w:rPr>
      </w:pPr>
      <w:bookmarkStart w:id="251" w:name="_Toc496175505"/>
      <w:r w:rsidRPr="00882F11">
        <w:rPr>
          <w:rFonts w:cs="Guttman Drogolin" w:hint="cs"/>
          <w:color w:val="auto"/>
          <w:sz w:val="24"/>
          <w:szCs w:val="24"/>
          <w:u w:val="single"/>
          <w:rtl/>
          <w:lang w:bidi="he-IL"/>
        </w:rPr>
        <w:lastRenderedPageBreak/>
        <w:t>עוד נקודה בסי' צ"ד סע' ה'</w:t>
      </w:r>
      <w:bookmarkEnd w:id="251"/>
    </w:p>
    <w:p w:rsidR="00C02C01" w:rsidRPr="00882F11" w:rsidRDefault="000F139F" w:rsidP="005C079E">
      <w:pPr>
        <w:tabs>
          <w:tab w:val="right" w:pos="7497"/>
        </w:tabs>
        <w:bidi/>
        <w:jc w:val="both"/>
        <w:rPr>
          <w:rFonts w:cs="Guttman Drogolin"/>
          <w:rtl/>
          <w:lang w:bidi="he-IL"/>
        </w:rPr>
      </w:pPr>
      <w:r>
        <w:rPr>
          <w:rFonts w:cs="Guttman Drogolin"/>
          <w:rtl/>
          <w:lang w:bidi="he-IL"/>
        </w:rPr>
        <w:fldChar w:fldCharType="begin"/>
      </w:r>
      <w:r>
        <w:instrText xml:space="preserve"> XE "</w:instrText>
      </w:r>
      <w:r w:rsidRPr="0053380F">
        <w:rPr>
          <w:rFonts w:hint="cs"/>
          <w:rtl/>
          <w:lang w:bidi="he-IL"/>
        </w:rPr>
        <w:instrText>הכשר כלים</w:instrText>
      </w:r>
      <w:r w:rsidRPr="0053380F">
        <w:rPr>
          <w:rtl/>
        </w:rPr>
        <w:instrText>:</w:instrText>
      </w:r>
      <w:r w:rsidRPr="0053380F">
        <w:rPr>
          <w:rFonts w:hint="cs"/>
          <w:rtl/>
          <w:lang w:bidi="he-IL"/>
        </w:rPr>
        <w:instrText>בישל חלב בקדירה בשרית - האם בה מכשיר אותו</w:instrText>
      </w:r>
      <w:r>
        <w:instrText xml:space="preserve">" </w:instrText>
      </w:r>
      <w:r>
        <w:rPr>
          <w:rFonts w:cs="Guttman Drogolin"/>
          <w:rtl/>
          <w:lang w:bidi="he-IL"/>
        </w:rPr>
        <w:fldChar w:fldCharType="end"/>
      </w:r>
      <w:r w:rsidR="00C02C01" w:rsidRPr="00882F11">
        <w:rPr>
          <w:rFonts w:cs="Guttman Drogolin" w:hint="cs"/>
          <w:rtl/>
          <w:lang w:bidi="he-IL"/>
        </w:rPr>
        <w:t>כבר בסי' צ"ג ציין הש"ך לדבריו כאן בס"ק כ</w:t>
      </w:r>
      <w:r w:rsidR="005C079E" w:rsidRPr="00882F11">
        <w:rPr>
          <w:rFonts w:cs="Guttman Drogolin" w:hint="cs"/>
          <w:rtl/>
          <w:lang w:bidi="he-IL"/>
        </w:rPr>
        <w:t>', שמעיקר הדין קדרה שבישלו בה</w:t>
      </w:r>
      <w:r w:rsidR="00C02C01" w:rsidRPr="00882F11">
        <w:rPr>
          <w:rFonts w:cs="Guttman Drogolin" w:hint="cs"/>
          <w:rtl/>
          <w:lang w:bidi="he-IL"/>
        </w:rPr>
        <w:t xml:space="preserve"> גם בשר וגם חלב רק לא בשעה שהיו שניהם בני יומן</w:t>
      </w:r>
      <w:r w:rsidR="005C079E" w:rsidRPr="00882F11">
        <w:rPr>
          <w:rFonts w:cs="Guttman Drogolin" w:hint="cs"/>
          <w:rtl/>
          <w:lang w:bidi="he-IL"/>
        </w:rPr>
        <w:t xml:space="preserve"> אסור לבשל בה בין בשר (משום הטעם חלב שבה) ובין חלב (משום הטעם בשר שבה) מ"מ מותר לבשל בה ירקות, אבל המנהג הוא לאסור גם שאר דברים. ודברים מוסבים על מש"כ שם הרמ"א "ונוהגין</w:t>
      </w:r>
      <w:r w:rsidR="005C079E" w:rsidRPr="00882F11">
        <w:rPr>
          <w:rFonts w:cs="Guttman Drogolin"/>
          <w:rtl/>
          <w:lang w:bidi="he-IL"/>
        </w:rPr>
        <w:t xml:space="preserve"> </w:t>
      </w:r>
      <w:r w:rsidR="005C079E" w:rsidRPr="00882F11">
        <w:rPr>
          <w:rFonts w:cs="Guttman Drogolin" w:hint="cs"/>
          <w:rtl/>
          <w:lang w:bidi="he-IL"/>
        </w:rPr>
        <w:t>להחמיר</w:t>
      </w:r>
      <w:r w:rsidR="005C079E" w:rsidRPr="00882F11">
        <w:rPr>
          <w:rFonts w:cs="Guttman Drogolin"/>
          <w:rtl/>
          <w:lang w:bidi="he-IL"/>
        </w:rPr>
        <w:t xml:space="preserve"> </w:t>
      </w:r>
      <w:r w:rsidR="005C079E" w:rsidRPr="00882F11">
        <w:rPr>
          <w:rFonts w:cs="Guttman Drogolin" w:hint="cs"/>
          <w:rtl/>
          <w:lang w:bidi="he-IL"/>
        </w:rPr>
        <w:t>לאכול</w:t>
      </w:r>
      <w:r w:rsidR="005C079E" w:rsidRPr="00882F11">
        <w:rPr>
          <w:rFonts w:cs="Guttman Drogolin"/>
          <w:rtl/>
          <w:lang w:bidi="he-IL"/>
        </w:rPr>
        <w:t xml:space="preserve"> </w:t>
      </w:r>
      <w:r w:rsidR="005C079E" w:rsidRPr="00882F11">
        <w:rPr>
          <w:rFonts w:cs="Guttman Drogolin" w:hint="cs"/>
          <w:rtl/>
          <w:lang w:bidi="he-IL"/>
        </w:rPr>
        <w:t>המאכל</w:t>
      </w:r>
      <w:r w:rsidR="005C079E" w:rsidRPr="00882F11">
        <w:rPr>
          <w:rFonts w:cs="Guttman Drogolin"/>
          <w:rtl/>
          <w:lang w:bidi="he-IL"/>
        </w:rPr>
        <w:t xml:space="preserve"> </w:t>
      </w:r>
      <w:r w:rsidR="005C079E" w:rsidRPr="00882F11">
        <w:rPr>
          <w:rFonts w:cs="Guttman Drogolin" w:hint="cs"/>
          <w:rtl/>
          <w:lang w:bidi="he-IL"/>
        </w:rPr>
        <w:t>כמין</w:t>
      </w:r>
      <w:r w:rsidR="005C079E" w:rsidRPr="00882F11">
        <w:rPr>
          <w:rFonts w:cs="Guttman Drogolin"/>
          <w:rtl/>
          <w:lang w:bidi="he-IL"/>
        </w:rPr>
        <w:t xml:space="preserve"> </w:t>
      </w:r>
      <w:r w:rsidR="005C079E" w:rsidRPr="00882F11">
        <w:rPr>
          <w:rFonts w:cs="Guttman Drogolin" w:hint="cs"/>
          <w:rtl/>
          <w:lang w:bidi="he-IL"/>
        </w:rPr>
        <w:t>הכלי</w:t>
      </w:r>
      <w:r w:rsidR="005C079E" w:rsidRPr="00882F11">
        <w:rPr>
          <w:rFonts w:cs="Guttman Drogolin"/>
          <w:rtl/>
          <w:lang w:bidi="he-IL"/>
        </w:rPr>
        <w:t xml:space="preserve"> </w:t>
      </w:r>
      <w:r w:rsidR="005C079E" w:rsidRPr="00882F11">
        <w:rPr>
          <w:rFonts w:cs="Guttman Drogolin" w:hint="cs"/>
          <w:rtl/>
          <w:lang w:bidi="he-IL"/>
        </w:rPr>
        <w:t>שהוא</w:t>
      </w:r>
      <w:r w:rsidR="005C079E" w:rsidRPr="00882F11">
        <w:rPr>
          <w:rFonts w:cs="Guttman Drogolin"/>
          <w:rtl/>
          <w:lang w:bidi="he-IL"/>
        </w:rPr>
        <w:t xml:space="preserve"> </w:t>
      </w:r>
      <w:r w:rsidR="005C079E" w:rsidRPr="00882F11">
        <w:rPr>
          <w:rFonts w:cs="Guttman Drogolin" w:hint="cs"/>
          <w:rtl/>
          <w:lang w:bidi="he-IL"/>
        </w:rPr>
        <w:t>בן</w:t>
      </w:r>
      <w:r w:rsidR="005C079E" w:rsidRPr="00882F11">
        <w:rPr>
          <w:rFonts w:cs="Guttman Drogolin"/>
          <w:rtl/>
          <w:lang w:bidi="he-IL"/>
        </w:rPr>
        <w:t xml:space="preserve"> </w:t>
      </w:r>
      <w:r w:rsidR="005C079E" w:rsidRPr="00882F11">
        <w:rPr>
          <w:rFonts w:cs="Guttman Drogolin" w:hint="cs"/>
          <w:rtl/>
          <w:lang w:bidi="he-IL"/>
        </w:rPr>
        <w:t>יומו</w:t>
      </w:r>
      <w:r w:rsidR="005C079E" w:rsidRPr="00882F11">
        <w:rPr>
          <w:rFonts w:cs="Guttman Drogolin"/>
          <w:rtl/>
          <w:lang w:bidi="he-IL"/>
        </w:rPr>
        <w:t xml:space="preserve"> </w:t>
      </w:r>
      <w:r w:rsidR="005C079E" w:rsidRPr="00882F11">
        <w:rPr>
          <w:rFonts w:cs="Guttman Drogolin" w:hint="cs"/>
          <w:rtl/>
          <w:lang w:bidi="he-IL"/>
        </w:rPr>
        <w:t>ולאסור</w:t>
      </w:r>
      <w:r w:rsidR="005C079E" w:rsidRPr="00882F11">
        <w:rPr>
          <w:rFonts w:cs="Guttman Drogolin"/>
          <w:rtl/>
          <w:lang w:bidi="he-IL"/>
        </w:rPr>
        <w:t xml:space="preserve"> </w:t>
      </w:r>
      <w:r w:rsidR="005C079E" w:rsidRPr="00882F11">
        <w:rPr>
          <w:rFonts w:cs="Guttman Drogolin" w:hint="cs"/>
          <w:rtl/>
          <w:lang w:bidi="he-IL"/>
        </w:rPr>
        <w:t>הכלי</w:t>
      </w:r>
      <w:r w:rsidR="005C079E" w:rsidRPr="00882F11">
        <w:rPr>
          <w:rFonts w:cs="Guttman Drogolin"/>
          <w:rtl/>
          <w:lang w:bidi="he-IL"/>
        </w:rPr>
        <w:t xml:space="preserve"> </w:t>
      </w:r>
      <w:r w:rsidR="005C079E" w:rsidRPr="00882F11">
        <w:rPr>
          <w:rFonts w:cs="Guttman Drogolin" w:hint="cs"/>
          <w:rtl/>
          <w:lang w:bidi="he-IL"/>
        </w:rPr>
        <w:t>שאינו</w:t>
      </w:r>
      <w:r w:rsidR="005C079E" w:rsidRPr="00882F11">
        <w:rPr>
          <w:rFonts w:cs="Guttman Drogolin"/>
          <w:rtl/>
          <w:lang w:bidi="he-IL"/>
        </w:rPr>
        <w:t xml:space="preserve"> </w:t>
      </w:r>
      <w:r w:rsidR="005C079E" w:rsidRPr="00882F11">
        <w:rPr>
          <w:rFonts w:cs="Guttman Drogolin" w:hint="cs"/>
          <w:rtl/>
          <w:lang w:bidi="he-IL"/>
        </w:rPr>
        <w:t>בן</w:t>
      </w:r>
      <w:r w:rsidR="005C079E" w:rsidRPr="00882F11">
        <w:rPr>
          <w:rFonts w:cs="Guttman Drogolin"/>
          <w:rtl/>
          <w:lang w:bidi="he-IL"/>
        </w:rPr>
        <w:t xml:space="preserve"> </w:t>
      </w:r>
      <w:r w:rsidR="005C079E" w:rsidRPr="00882F11">
        <w:rPr>
          <w:rFonts w:cs="Guttman Drogolin" w:hint="cs"/>
          <w:rtl/>
          <w:lang w:bidi="he-IL"/>
        </w:rPr>
        <w:t xml:space="preserve">יומו". הרי שהרמ"א סתם לאסור הכלי ומשמע לגמרי. ואע"ג שאפשר לדחות שכוונתו </w:t>
      </w:r>
      <w:r w:rsidR="004340F8" w:rsidRPr="00882F11">
        <w:rPr>
          <w:rFonts w:cs="Guttman Drogolin" w:hint="cs"/>
          <w:rtl/>
          <w:lang w:bidi="he-IL"/>
        </w:rPr>
        <w:t>לאסור מה שמובן מאליו לאסור ולעולם ירקות מותר, הש"ך בס"ק כ' ציין לדברי התו"ח כלל פ"ה דין ה' שכתב במפורש שהמנהג לאסור</w:t>
      </w:r>
      <w:r w:rsidR="00321A9D" w:rsidRPr="00882F11">
        <w:rPr>
          <w:rFonts w:cs="Guttman Drogolin" w:hint="cs"/>
          <w:rtl/>
          <w:lang w:bidi="he-IL"/>
        </w:rPr>
        <w:t xml:space="preserve"> אפילו ירקות. ושם בתו"ח לא נתן טעם לדבריו. וראיתי בבדי השולחן שהוא משום שרואים את החלב והבשר כאילו נותנים טעם לשבח, ובכה"ג הרי הם אוסרים גם ירקות. אבל יל"ע בזה שהרי בכלי חדש של המחבר שם בסע' ה' כתב התו"ח להקל בשל בה ירקות, ואם מטעם זה מאי שנא. וצ"ע.</w:t>
      </w:r>
      <w:r w:rsidR="004340F8" w:rsidRPr="00882F11">
        <w:rPr>
          <w:rFonts w:cs="Guttman Drogolin" w:hint="cs"/>
          <w:rtl/>
          <w:lang w:bidi="he-IL"/>
        </w:rPr>
        <w:t xml:space="preserve"> </w:t>
      </w:r>
      <w:r w:rsidR="00C02C01" w:rsidRPr="00882F11">
        <w:rPr>
          <w:rFonts w:cs="Guttman Drogolin" w:hint="cs"/>
          <w:rtl/>
          <w:lang w:bidi="he-IL"/>
        </w:rPr>
        <w:t xml:space="preserve"> </w:t>
      </w:r>
    </w:p>
    <w:p w:rsidR="00321A9D" w:rsidRPr="00882F11" w:rsidRDefault="00321A9D" w:rsidP="0078079C">
      <w:pPr>
        <w:pStyle w:val="Heading1"/>
        <w:bidi/>
        <w:spacing w:before="0" w:line="360" w:lineRule="auto"/>
        <w:jc w:val="center"/>
        <w:rPr>
          <w:rFonts w:cs="Guttman Drogolin"/>
          <w:color w:val="auto"/>
          <w:sz w:val="24"/>
          <w:szCs w:val="24"/>
          <w:u w:val="single"/>
          <w:rtl/>
          <w:lang w:bidi="he-IL"/>
        </w:rPr>
      </w:pPr>
      <w:bookmarkStart w:id="252" w:name="_Toc496175506"/>
      <w:r w:rsidRPr="00882F11">
        <w:rPr>
          <w:rFonts w:cs="Guttman Drogolin" w:hint="cs"/>
          <w:color w:val="auto"/>
          <w:sz w:val="24"/>
          <w:szCs w:val="24"/>
          <w:u w:val="single"/>
          <w:rtl/>
          <w:lang w:bidi="he-IL"/>
        </w:rPr>
        <w:t>עוד בדברי הש"ך בסי' צ"</w:t>
      </w:r>
      <w:r w:rsidR="00052066" w:rsidRPr="00882F11">
        <w:rPr>
          <w:rFonts w:cs="Guttman Drogolin" w:hint="cs"/>
          <w:color w:val="auto"/>
          <w:sz w:val="24"/>
          <w:szCs w:val="24"/>
          <w:u w:val="single"/>
          <w:rtl/>
          <w:lang w:bidi="he-IL"/>
        </w:rPr>
        <w:t>ד</w:t>
      </w:r>
      <w:r w:rsidRPr="00882F11">
        <w:rPr>
          <w:rFonts w:cs="Guttman Drogolin" w:hint="cs"/>
          <w:color w:val="auto"/>
          <w:sz w:val="24"/>
          <w:szCs w:val="24"/>
          <w:u w:val="single"/>
          <w:rtl/>
          <w:lang w:bidi="he-IL"/>
        </w:rPr>
        <w:t xml:space="preserve"> ס"ק כ"ב</w:t>
      </w:r>
      <w:bookmarkEnd w:id="252"/>
    </w:p>
    <w:p w:rsidR="00166277" w:rsidRPr="00882F11" w:rsidRDefault="000F139F" w:rsidP="00BD24A9">
      <w:pPr>
        <w:tabs>
          <w:tab w:val="right" w:pos="7497"/>
        </w:tabs>
        <w:bidi/>
        <w:jc w:val="both"/>
        <w:rPr>
          <w:rFonts w:cs="Guttman Drogolin"/>
          <w:rtl/>
          <w:lang w:bidi="he-IL"/>
        </w:rPr>
      </w:pPr>
      <w:r>
        <w:rPr>
          <w:rFonts w:cs="Guttman Drogolin"/>
          <w:rtl/>
          <w:lang w:bidi="he-IL"/>
        </w:rPr>
        <w:fldChar w:fldCharType="begin"/>
      </w:r>
      <w:r>
        <w:instrText xml:space="preserve"> XE "</w:instrText>
      </w:r>
      <w:r w:rsidRPr="00CB2FB1">
        <w:rPr>
          <w:rFonts w:hint="cs"/>
          <w:rtl/>
          <w:lang w:bidi="he-IL"/>
        </w:rPr>
        <w:instrText>נותן טעם לפגם</w:instrText>
      </w:r>
      <w:r w:rsidRPr="00CB2FB1">
        <w:rPr>
          <w:rtl/>
        </w:rPr>
        <w:instrText>:</w:instrText>
      </w:r>
      <w:r w:rsidRPr="00CB2FB1">
        <w:rPr>
          <w:rFonts w:hint="cs"/>
          <w:rtl/>
          <w:lang w:bidi="he-IL"/>
        </w:rPr>
        <w:instrText>בישל מים בכלי שאינו בן יומו</w:instrText>
      </w:r>
      <w:r>
        <w:instrText xml:space="preserve">" </w:instrText>
      </w:r>
      <w:r>
        <w:rPr>
          <w:rFonts w:cs="Guttman Drogolin"/>
          <w:rtl/>
          <w:lang w:bidi="he-IL"/>
        </w:rPr>
        <w:fldChar w:fldCharType="end"/>
      </w:r>
      <w:r w:rsidR="00321A9D" w:rsidRPr="00882F11">
        <w:rPr>
          <w:rFonts w:cs="Guttman Drogolin" w:hint="cs"/>
          <w:rtl/>
          <w:lang w:bidi="he-IL"/>
        </w:rPr>
        <w:t xml:space="preserve">בשיעור הקודם הבאנו את דעת הש"ך שכשבישל מים תוך מעל"ע מזמן שבישלו בה איסור, שאין מונים מעל"ע מזמן הבישול הראשון רק מזמן הבישול השני אפילו לרבינו אפרים דלית לי' חענ"ן בשאר איסורים, ומשום דליתי' להיתירא דנ"ט בר נ"ט </w:t>
      </w:r>
      <w:r w:rsidR="005F26E5" w:rsidRPr="00882F11">
        <w:rPr>
          <w:rFonts w:cs="Guttman Drogolin" w:hint="cs"/>
          <w:rtl/>
          <w:lang w:bidi="he-IL"/>
        </w:rPr>
        <w:t>אלא בהיתירא ולא באיסורא. אלא דהנה בס' התרומה עצמו סי' ע"ה כתב עוד טעם להתיר בהיתר לעומת איסור ומשום שיש לנו כלל במס' תמורה דף י"ב ע"א שאין המדומע מדמע אלא לפי חשבון</w:t>
      </w:r>
      <w:r w:rsidR="00BD24A9" w:rsidRPr="00882F11">
        <w:rPr>
          <w:rFonts w:cs="Guttman Drogolin" w:hint="cs"/>
          <w:rtl/>
          <w:lang w:bidi="he-IL"/>
        </w:rPr>
        <w:t>.</w:t>
      </w:r>
      <w:r w:rsidR="005F26E5" w:rsidRPr="00882F11">
        <w:rPr>
          <w:rFonts w:cs="Guttman Drogolin" w:hint="cs"/>
          <w:rtl/>
          <w:lang w:bidi="he-IL"/>
        </w:rPr>
        <w:t xml:space="preserve"> והיינו שאם בישלו משהו במים בענין שלא אומרים חענ"ן (וע' בראשונים בסוגיא דחענ"ן שדנו ע"פ מתני' זו אם אומרים חענ"ן בשאר איסורים או לא)</w:t>
      </w:r>
      <w:r w:rsidR="00BD24A9" w:rsidRPr="00882F11">
        <w:rPr>
          <w:rFonts w:cs="Guttman Drogolin" w:hint="cs"/>
          <w:rtl/>
          <w:lang w:bidi="he-IL"/>
        </w:rPr>
        <w:t xml:space="preserve">, אם בישלו ד"מ כזית איסור בה' כזיתים מים, ולאחר מכן נפל כזית מן המים לתוך מים אחרים, לא צריכים ששים כזיתים של המים </w:t>
      </w:r>
      <w:r w:rsidR="00BD24A9" w:rsidRPr="00882F11">
        <w:rPr>
          <w:rFonts w:cs="Guttman Drogolin" w:hint="cs"/>
          <w:rtl/>
          <w:lang w:bidi="he-IL"/>
        </w:rPr>
        <w:lastRenderedPageBreak/>
        <w:t xml:space="preserve">השניים כדי להתיר, דהא אמרינן שאין האיסור אוסר אלא לפי שיעור, ולכן אמרינן שאין במים אלא א' בה' של טעם איסור, ולכן אין צריכים אלא ששים חמשי ביצים של איסור. ולכן בהיתירא אחרי שמבשל מים, אע"ג שנכנס בה מן הטעם שיש בכלי ואין ששים כנגדו, אבל מ"מ אין כל הטעם חוזר ונבלע לתוך דפני הכלי, רק לפי חשבון של הטעם מן הכלי והמים ביחד. באופן שאחר מכן יש הרבה פחות מן הטעם בשר או חלב שהי' בה מקודם, ולכן יש ששים כנגד הטעם ההוא והרי הוא מותר. </w:t>
      </w:r>
    </w:p>
    <w:p w:rsidR="00087EFD" w:rsidRPr="00882F11" w:rsidRDefault="00166277" w:rsidP="000F139F">
      <w:pPr>
        <w:tabs>
          <w:tab w:val="right" w:pos="7497"/>
        </w:tabs>
        <w:bidi/>
        <w:jc w:val="both"/>
        <w:rPr>
          <w:rFonts w:cs="Guttman Drogolin"/>
          <w:rtl/>
          <w:lang w:bidi="he-IL"/>
        </w:rPr>
      </w:pPr>
      <w:r w:rsidRPr="00882F11">
        <w:rPr>
          <w:rFonts w:cs="Guttman Drogolin" w:hint="cs"/>
          <w:rtl/>
          <w:lang w:bidi="he-IL"/>
        </w:rPr>
        <w:t>ומיני' שיש לשאול על הש"ך למה אוסר באיסורא אפילו אם לא אומרים חענ"ן, נהי נמי שאי</w:t>
      </w:r>
      <w:r w:rsidR="000F139F">
        <w:rPr>
          <w:rFonts w:cs="Guttman Drogolin" w:hint="cs"/>
          <w:rtl/>
          <w:lang w:bidi="he-IL"/>
        </w:rPr>
        <w:t>ן</w:t>
      </w:r>
      <w:r w:rsidRPr="00882F11">
        <w:rPr>
          <w:rFonts w:cs="Guttman Drogolin" w:hint="cs"/>
          <w:rtl/>
          <w:lang w:bidi="he-IL"/>
        </w:rPr>
        <w:t xml:space="preserve"> הטעם איסור פגום וכן לית בה ההיתר של נ"ט בר נ"ט, מ"מ הא אינו אוסר אלא לפי חשבון, וא"כ ליהוי מותר כהאי סברא של ס' התרומה. והפמ"ג על אתר התייחס לקושיא זו ותי' "דבכל</w:t>
      </w:r>
      <w:r w:rsidRPr="00882F11">
        <w:rPr>
          <w:rFonts w:cs="Guttman Drogolin"/>
          <w:rtl/>
          <w:lang w:bidi="he-IL"/>
        </w:rPr>
        <w:t xml:space="preserve"> </w:t>
      </w:r>
      <w:r w:rsidRPr="00882F11">
        <w:rPr>
          <w:rFonts w:cs="Guttman Drogolin" w:hint="cs"/>
          <w:rtl/>
          <w:lang w:bidi="he-IL"/>
        </w:rPr>
        <w:t>הקדירה</w:t>
      </w:r>
      <w:r w:rsidRPr="00882F11">
        <w:rPr>
          <w:rFonts w:cs="Guttman Drogolin"/>
          <w:rtl/>
          <w:lang w:bidi="he-IL"/>
        </w:rPr>
        <w:t xml:space="preserve"> </w:t>
      </w:r>
      <w:r w:rsidRPr="00882F11">
        <w:rPr>
          <w:rFonts w:cs="Guttman Drogolin" w:hint="cs"/>
          <w:rtl/>
          <w:lang w:bidi="he-IL"/>
        </w:rPr>
        <w:t>משערין</w:t>
      </w:r>
      <w:r w:rsidRPr="00882F11">
        <w:rPr>
          <w:rFonts w:cs="Guttman Drogolin"/>
          <w:rtl/>
          <w:lang w:bidi="he-IL"/>
        </w:rPr>
        <w:t xml:space="preserve"> </w:t>
      </w:r>
      <w:r w:rsidRPr="00882F11">
        <w:rPr>
          <w:rFonts w:cs="Guttman Drogolin" w:hint="cs"/>
          <w:rtl/>
          <w:lang w:bidi="he-IL"/>
        </w:rPr>
        <w:t>דלא</w:t>
      </w:r>
      <w:r w:rsidRPr="00882F11">
        <w:rPr>
          <w:rFonts w:cs="Guttman Drogolin"/>
          <w:rtl/>
          <w:lang w:bidi="he-IL"/>
        </w:rPr>
        <w:t xml:space="preserve"> </w:t>
      </w:r>
      <w:r w:rsidRPr="00882F11">
        <w:rPr>
          <w:rFonts w:cs="Guttman Drogolin" w:hint="cs"/>
          <w:rtl/>
          <w:lang w:bidi="he-IL"/>
        </w:rPr>
        <w:t>ידעינן</w:t>
      </w:r>
      <w:r w:rsidRPr="00882F11">
        <w:rPr>
          <w:rFonts w:cs="Guttman Drogolin"/>
          <w:rtl/>
          <w:lang w:bidi="he-IL"/>
        </w:rPr>
        <w:t xml:space="preserve"> </w:t>
      </w:r>
      <w:r w:rsidRPr="00882F11">
        <w:rPr>
          <w:rFonts w:cs="Guttman Drogolin" w:hint="cs"/>
          <w:rtl/>
          <w:lang w:bidi="he-IL"/>
        </w:rPr>
        <w:t>שיעורא</w:t>
      </w:r>
      <w:r w:rsidRPr="00882F11">
        <w:rPr>
          <w:rFonts w:cs="Guttman Drogolin"/>
          <w:rtl/>
          <w:lang w:bidi="he-IL"/>
        </w:rPr>
        <w:t xml:space="preserve"> </w:t>
      </w:r>
      <w:r w:rsidRPr="00882F11">
        <w:rPr>
          <w:rFonts w:cs="Guttman Drogolin" w:hint="cs"/>
          <w:rtl/>
          <w:lang w:bidi="he-IL"/>
        </w:rPr>
        <w:t>משום</w:t>
      </w:r>
      <w:r w:rsidRPr="00882F11">
        <w:rPr>
          <w:rFonts w:cs="Guttman Drogolin"/>
          <w:rtl/>
          <w:lang w:bidi="he-IL"/>
        </w:rPr>
        <w:t xml:space="preserve"> </w:t>
      </w:r>
      <w:r w:rsidRPr="00882F11">
        <w:rPr>
          <w:rFonts w:cs="Guttman Drogolin" w:hint="cs"/>
          <w:rtl/>
          <w:lang w:bidi="he-IL"/>
        </w:rPr>
        <w:t>הכי</w:t>
      </w:r>
      <w:r w:rsidRPr="00882F11">
        <w:rPr>
          <w:rFonts w:cs="Guttman Drogolin"/>
          <w:rtl/>
          <w:lang w:bidi="he-IL"/>
        </w:rPr>
        <w:t xml:space="preserve"> </w:t>
      </w:r>
      <w:r w:rsidRPr="00882F11">
        <w:rPr>
          <w:rFonts w:cs="Guttman Drogolin" w:hint="cs"/>
          <w:rtl/>
          <w:lang w:bidi="he-IL"/>
        </w:rPr>
        <w:t>אין</w:t>
      </w:r>
      <w:r w:rsidRPr="00882F11">
        <w:rPr>
          <w:rFonts w:cs="Guttman Drogolin"/>
          <w:rtl/>
          <w:lang w:bidi="he-IL"/>
        </w:rPr>
        <w:t xml:space="preserve"> </w:t>
      </w:r>
      <w:r w:rsidRPr="00882F11">
        <w:rPr>
          <w:rFonts w:cs="Guttman Drogolin" w:hint="cs"/>
          <w:rtl/>
          <w:lang w:bidi="he-IL"/>
        </w:rPr>
        <w:t>שייך</w:t>
      </w:r>
      <w:r w:rsidRPr="00882F11">
        <w:rPr>
          <w:rFonts w:cs="Guttman Drogolin"/>
          <w:rtl/>
          <w:lang w:bidi="he-IL"/>
        </w:rPr>
        <w:t xml:space="preserve"> </w:t>
      </w:r>
      <w:r w:rsidRPr="00882F11">
        <w:rPr>
          <w:rFonts w:cs="Guttman Drogolin" w:hint="cs"/>
          <w:rtl/>
          <w:lang w:bidi="he-IL"/>
        </w:rPr>
        <w:t>לומר</w:t>
      </w:r>
      <w:r w:rsidRPr="00882F11">
        <w:rPr>
          <w:rFonts w:cs="Guttman Drogolin"/>
          <w:rtl/>
          <w:lang w:bidi="he-IL"/>
        </w:rPr>
        <w:t xml:space="preserve"> </w:t>
      </w:r>
      <w:r w:rsidRPr="00882F11">
        <w:rPr>
          <w:rFonts w:cs="Guttman Drogolin" w:hint="cs"/>
          <w:rtl/>
          <w:lang w:bidi="he-IL"/>
        </w:rPr>
        <w:t>אין</w:t>
      </w:r>
      <w:r w:rsidRPr="00882F11">
        <w:rPr>
          <w:rFonts w:cs="Guttman Drogolin"/>
          <w:rtl/>
          <w:lang w:bidi="he-IL"/>
        </w:rPr>
        <w:t xml:space="preserve"> </w:t>
      </w:r>
      <w:r w:rsidRPr="00882F11">
        <w:rPr>
          <w:rFonts w:cs="Guttman Drogolin" w:hint="cs"/>
          <w:rtl/>
          <w:lang w:bidi="he-IL"/>
        </w:rPr>
        <w:t>המדומע</w:t>
      </w:r>
      <w:r w:rsidRPr="00882F11">
        <w:rPr>
          <w:rFonts w:cs="Guttman Drogolin"/>
          <w:rtl/>
          <w:lang w:bidi="he-IL"/>
        </w:rPr>
        <w:t xml:space="preserve"> </w:t>
      </w:r>
      <w:r w:rsidRPr="00882F11">
        <w:rPr>
          <w:rFonts w:cs="Guttman Drogolin" w:hint="cs"/>
          <w:rtl/>
          <w:lang w:bidi="he-IL"/>
        </w:rPr>
        <w:t>משא</w:t>
      </w:r>
      <w:r w:rsidRPr="00882F11">
        <w:rPr>
          <w:rFonts w:cs="Guttman Drogolin"/>
          <w:rtl/>
          <w:lang w:bidi="he-IL"/>
        </w:rPr>
        <w:t>"</w:t>
      </w:r>
      <w:r w:rsidRPr="00882F11">
        <w:rPr>
          <w:rFonts w:cs="Guttman Drogolin" w:hint="cs"/>
          <w:rtl/>
          <w:lang w:bidi="he-IL"/>
        </w:rPr>
        <w:t>כ</w:t>
      </w:r>
      <w:r w:rsidRPr="00882F11">
        <w:rPr>
          <w:rFonts w:cs="Guttman Drogolin"/>
          <w:rtl/>
          <w:lang w:bidi="he-IL"/>
        </w:rPr>
        <w:t xml:space="preserve"> </w:t>
      </w:r>
      <w:r w:rsidRPr="00882F11">
        <w:rPr>
          <w:rFonts w:cs="Guttman Drogolin" w:hint="cs"/>
          <w:rtl/>
          <w:lang w:bidi="he-IL"/>
        </w:rPr>
        <w:t>בידעינן</w:t>
      </w:r>
      <w:r w:rsidRPr="00882F11">
        <w:rPr>
          <w:rFonts w:cs="Guttman Drogolin"/>
          <w:rtl/>
          <w:lang w:bidi="he-IL"/>
        </w:rPr>
        <w:t xml:space="preserve"> </w:t>
      </w:r>
      <w:r w:rsidRPr="00882F11">
        <w:rPr>
          <w:rFonts w:cs="Guttman Drogolin" w:hint="cs"/>
          <w:rtl/>
          <w:lang w:bidi="he-IL"/>
        </w:rPr>
        <w:t>שיעורא", וכתב על זה בהגהת רע"א</w:t>
      </w:r>
      <w:r w:rsidRPr="00882F11">
        <w:rPr>
          <w:rFonts w:cs="Guttman Drogolin"/>
          <w:rtl/>
          <w:lang w:bidi="he-IL"/>
        </w:rPr>
        <w:t xml:space="preserve"> </w:t>
      </w:r>
      <w:r w:rsidRPr="00882F11">
        <w:rPr>
          <w:rFonts w:cs="Guttman Drogolin" w:hint="cs"/>
          <w:rtl/>
          <w:lang w:bidi="he-IL"/>
        </w:rPr>
        <w:t>"אינו</w:t>
      </w:r>
      <w:r w:rsidRPr="00882F11">
        <w:rPr>
          <w:rFonts w:cs="Guttman Drogolin"/>
          <w:rtl/>
          <w:lang w:bidi="he-IL"/>
        </w:rPr>
        <w:t xml:space="preserve"> </w:t>
      </w:r>
      <w:r w:rsidRPr="00882F11">
        <w:rPr>
          <w:rFonts w:cs="Guttman Drogolin" w:hint="cs"/>
          <w:rtl/>
          <w:lang w:bidi="he-IL"/>
        </w:rPr>
        <w:t>מובן</w:t>
      </w:r>
      <w:r w:rsidRPr="00882F11">
        <w:rPr>
          <w:rFonts w:cs="Guttman Drogolin"/>
          <w:rtl/>
          <w:lang w:bidi="he-IL"/>
        </w:rPr>
        <w:t xml:space="preserve"> </w:t>
      </w:r>
      <w:r w:rsidRPr="00882F11">
        <w:rPr>
          <w:rFonts w:cs="Guttman Drogolin" w:hint="cs"/>
          <w:rtl/>
          <w:lang w:bidi="he-IL"/>
        </w:rPr>
        <w:t>דמה</w:t>
      </w:r>
      <w:r w:rsidRPr="00882F11">
        <w:rPr>
          <w:rFonts w:cs="Guttman Drogolin"/>
          <w:rtl/>
          <w:lang w:bidi="he-IL"/>
        </w:rPr>
        <w:t xml:space="preserve"> </w:t>
      </w:r>
      <w:r w:rsidRPr="00882F11">
        <w:rPr>
          <w:rFonts w:cs="Guttman Drogolin" w:hint="cs"/>
          <w:rtl/>
          <w:lang w:bidi="he-IL"/>
        </w:rPr>
        <w:t>בכך</w:t>
      </w:r>
      <w:r w:rsidRPr="00882F11">
        <w:rPr>
          <w:rFonts w:cs="Guttman Drogolin"/>
          <w:rtl/>
          <w:lang w:bidi="he-IL"/>
        </w:rPr>
        <w:t xml:space="preserve"> </w:t>
      </w:r>
      <w:r w:rsidRPr="00882F11">
        <w:rPr>
          <w:rFonts w:cs="Guttman Drogolin" w:hint="cs"/>
          <w:rtl/>
          <w:lang w:bidi="he-IL"/>
        </w:rPr>
        <w:t>דמשערין</w:t>
      </w:r>
      <w:r w:rsidRPr="00882F11">
        <w:rPr>
          <w:rFonts w:cs="Guttman Drogolin"/>
          <w:rtl/>
          <w:lang w:bidi="he-IL"/>
        </w:rPr>
        <w:t xml:space="preserve"> </w:t>
      </w:r>
      <w:r w:rsidRPr="00882F11">
        <w:rPr>
          <w:rFonts w:cs="Guttman Drogolin" w:hint="cs"/>
          <w:rtl/>
          <w:lang w:bidi="he-IL"/>
        </w:rPr>
        <w:t>בכל</w:t>
      </w:r>
      <w:r w:rsidRPr="00882F11">
        <w:rPr>
          <w:rFonts w:cs="Guttman Drogolin"/>
          <w:rtl/>
          <w:lang w:bidi="he-IL"/>
        </w:rPr>
        <w:t xml:space="preserve"> </w:t>
      </w:r>
      <w:r w:rsidRPr="00882F11">
        <w:rPr>
          <w:rFonts w:cs="Guttman Drogolin" w:hint="cs"/>
          <w:rtl/>
          <w:lang w:bidi="he-IL"/>
        </w:rPr>
        <w:t>הקדירה</w:t>
      </w:r>
      <w:r w:rsidRPr="00882F11">
        <w:rPr>
          <w:rFonts w:cs="Guttman Drogolin"/>
          <w:rtl/>
          <w:lang w:bidi="he-IL"/>
        </w:rPr>
        <w:t xml:space="preserve"> </w:t>
      </w:r>
      <w:r w:rsidRPr="00882F11">
        <w:rPr>
          <w:rFonts w:cs="Guttman Drogolin" w:hint="cs"/>
          <w:rtl/>
          <w:lang w:bidi="he-IL"/>
        </w:rPr>
        <w:t>דאמרינן</w:t>
      </w:r>
      <w:r w:rsidRPr="00882F11">
        <w:rPr>
          <w:rFonts w:cs="Guttman Drogolin"/>
          <w:rtl/>
          <w:lang w:bidi="he-IL"/>
        </w:rPr>
        <w:t xml:space="preserve"> </w:t>
      </w:r>
      <w:r w:rsidRPr="00882F11">
        <w:rPr>
          <w:rFonts w:cs="Guttman Drogolin" w:hint="cs"/>
          <w:rtl/>
          <w:lang w:bidi="he-IL"/>
        </w:rPr>
        <w:t>דהכל</w:t>
      </w:r>
      <w:r w:rsidRPr="00882F11">
        <w:rPr>
          <w:rFonts w:cs="Guttman Drogolin"/>
          <w:rtl/>
          <w:lang w:bidi="he-IL"/>
        </w:rPr>
        <w:t xml:space="preserve"> </w:t>
      </w:r>
      <w:r w:rsidRPr="00882F11">
        <w:rPr>
          <w:rFonts w:cs="Guttman Drogolin" w:hint="cs"/>
          <w:rtl/>
          <w:lang w:bidi="he-IL"/>
        </w:rPr>
        <w:t>נפלט</w:t>
      </w:r>
      <w:r w:rsidRPr="00882F11">
        <w:rPr>
          <w:rFonts w:cs="Guttman Drogolin"/>
          <w:rtl/>
          <w:lang w:bidi="he-IL"/>
        </w:rPr>
        <w:t xml:space="preserve">, </w:t>
      </w:r>
      <w:r w:rsidRPr="00882F11">
        <w:rPr>
          <w:rFonts w:cs="Guttman Drogolin" w:hint="cs"/>
          <w:rtl/>
          <w:lang w:bidi="he-IL"/>
        </w:rPr>
        <w:t>מכל</w:t>
      </w:r>
      <w:r w:rsidRPr="00882F11">
        <w:rPr>
          <w:rFonts w:cs="Guttman Drogolin"/>
          <w:rtl/>
          <w:lang w:bidi="he-IL"/>
        </w:rPr>
        <w:t xml:space="preserve"> </w:t>
      </w:r>
      <w:r w:rsidRPr="00882F11">
        <w:rPr>
          <w:rFonts w:cs="Guttman Drogolin" w:hint="cs"/>
          <w:rtl/>
          <w:lang w:bidi="he-IL"/>
        </w:rPr>
        <w:t>מקום</w:t>
      </w:r>
      <w:r w:rsidRPr="00882F11">
        <w:rPr>
          <w:rFonts w:cs="Guttman Drogolin"/>
          <w:rtl/>
          <w:lang w:bidi="he-IL"/>
        </w:rPr>
        <w:t xml:space="preserve"> </w:t>
      </w:r>
      <w:r w:rsidRPr="00882F11">
        <w:rPr>
          <w:rFonts w:cs="Guttman Drogolin" w:hint="cs"/>
          <w:rtl/>
          <w:lang w:bidi="he-IL"/>
        </w:rPr>
        <w:t>כשחזר</w:t>
      </w:r>
      <w:r w:rsidRPr="00882F11">
        <w:rPr>
          <w:rFonts w:cs="Guttman Drogolin"/>
          <w:rtl/>
          <w:lang w:bidi="he-IL"/>
        </w:rPr>
        <w:t xml:space="preserve"> </w:t>
      </w:r>
      <w:r w:rsidRPr="00882F11">
        <w:rPr>
          <w:rFonts w:cs="Guttman Drogolin" w:hint="cs"/>
          <w:rtl/>
          <w:lang w:bidi="he-IL"/>
        </w:rPr>
        <w:t>ונבלעו</w:t>
      </w:r>
      <w:r w:rsidRPr="00882F11">
        <w:rPr>
          <w:rFonts w:cs="Guttman Drogolin"/>
          <w:rtl/>
          <w:lang w:bidi="he-IL"/>
        </w:rPr>
        <w:t xml:space="preserve"> </w:t>
      </w:r>
      <w:r w:rsidRPr="00882F11">
        <w:rPr>
          <w:rFonts w:cs="Guttman Drogolin" w:hint="cs"/>
          <w:rtl/>
          <w:lang w:bidi="he-IL"/>
        </w:rPr>
        <w:t>המים</w:t>
      </w:r>
      <w:r w:rsidRPr="00882F11">
        <w:rPr>
          <w:rFonts w:cs="Guttman Drogolin"/>
          <w:rtl/>
          <w:lang w:bidi="he-IL"/>
        </w:rPr>
        <w:t xml:space="preserve"> </w:t>
      </w:r>
      <w:r w:rsidRPr="00882F11">
        <w:rPr>
          <w:rFonts w:cs="Guttman Drogolin" w:hint="cs"/>
          <w:rtl/>
          <w:lang w:bidi="he-IL"/>
        </w:rPr>
        <w:t>שהם</w:t>
      </w:r>
      <w:r w:rsidRPr="00882F11">
        <w:rPr>
          <w:rFonts w:cs="Guttman Drogolin"/>
          <w:rtl/>
          <w:lang w:bidi="he-IL"/>
        </w:rPr>
        <w:t xml:space="preserve"> </w:t>
      </w:r>
      <w:r w:rsidRPr="00882F11">
        <w:rPr>
          <w:rFonts w:cs="Guttman Drogolin" w:hint="cs"/>
          <w:rtl/>
          <w:lang w:bidi="he-IL"/>
        </w:rPr>
        <w:t>דרך</w:t>
      </w:r>
      <w:r w:rsidRPr="00882F11">
        <w:rPr>
          <w:rFonts w:cs="Guttman Drogolin"/>
          <w:rtl/>
          <w:lang w:bidi="he-IL"/>
        </w:rPr>
        <w:t xml:space="preserve"> </w:t>
      </w:r>
      <w:r w:rsidRPr="00882F11">
        <w:rPr>
          <w:rFonts w:cs="Guttman Drogolin" w:hint="cs"/>
          <w:rtl/>
          <w:lang w:bidi="he-IL"/>
        </w:rPr>
        <w:t>משל</w:t>
      </w:r>
      <w:r w:rsidRPr="00882F11">
        <w:rPr>
          <w:rFonts w:cs="Guttman Drogolin"/>
          <w:rtl/>
          <w:lang w:bidi="he-IL"/>
        </w:rPr>
        <w:t xml:space="preserve"> </w:t>
      </w:r>
      <w:r w:rsidRPr="00882F11">
        <w:rPr>
          <w:rFonts w:cs="Guttman Drogolin" w:hint="cs"/>
          <w:rtl/>
          <w:lang w:bidi="he-IL"/>
        </w:rPr>
        <w:t>ששה</w:t>
      </w:r>
      <w:r w:rsidRPr="00882F11">
        <w:rPr>
          <w:rFonts w:cs="Guttman Drogolin"/>
          <w:rtl/>
          <w:lang w:bidi="he-IL"/>
        </w:rPr>
        <w:t xml:space="preserve"> </w:t>
      </w:r>
      <w:r w:rsidRPr="00882F11">
        <w:rPr>
          <w:rFonts w:cs="Guttman Drogolin" w:hint="cs"/>
          <w:rtl/>
          <w:lang w:bidi="he-IL"/>
        </w:rPr>
        <w:t>פעמים</w:t>
      </w:r>
      <w:r w:rsidRPr="00882F11">
        <w:rPr>
          <w:rFonts w:cs="Guttman Drogolin"/>
          <w:rtl/>
          <w:lang w:bidi="he-IL"/>
        </w:rPr>
        <w:t xml:space="preserve"> </w:t>
      </w:r>
      <w:r w:rsidRPr="00882F11">
        <w:rPr>
          <w:rFonts w:cs="Guttman Drogolin" w:hint="cs"/>
          <w:rtl/>
          <w:lang w:bidi="he-IL"/>
        </w:rPr>
        <w:t>נגד</w:t>
      </w:r>
      <w:r w:rsidRPr="00882F11">
        <w:rPr>
          <w:rFonts w:cs="Guttman Drogolin"/>
          <w:rtl/>
          <w:lang w:bidi="he-IL"/>
        </w:rPr>
        <w:t xml:space="preserve"> </w:t>
      </w:r>
      <w:r w:rsidRPr="00882F11">
        <w:rPr>
          <w:rFonts w:cs="Guttman Drogolin" w:hint="cs"/>
          <w:rtl/>
          <w:lang w:bidi="he-IL"/>
        </w:rPr>
        <w:t>הקדירה</w:t>
      </w:r>
      <w:r w:rsidRPr="00882F11">
        <w:rPr>
          <w:rFonts w:cs="Guttman Drogolin"/>
          <w:rtl/>
          <w:lang w:bidi="he-IL"/>
        </w:rPr>
        <w:t xml:space="preserve">, </w:t>
      </w:r>
      <w:r w:rsidRPr="00882F11">
        <w:rPr>
          <w:rFonts w:cs="Guttman Drogolin" w:hint="cs"/>
          <w:rtl/>
          <w:lang w:bidi="he-IL"/>
        </w:rPr>
        <w:t>ובודאי</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נבלעו</w:t>
      </w:r>
      <w:r w:rsidRPr="00882F11">
        <w:rPr>
          <w:rFonts w:cs="Guttman Drogolin"/>
          <w:rtl/>
          <w:lang w:bidi="he-IL"/>
        </w:rPr>
        <w:t xml:space="preserve"> </w:t>
      </w:r>
      <w:r w:rsidRPr="00882F11">
        <w:rPr>
          <w:rFonts w:cs="Guttman Drogolin" w:hint="cs"/>
          <w:rtl/>
          <w:lang w:bidi="he-IL"/>
        </w:rPr>
        <w:t>בקדירה</w:t>
      </w:r>
      <w:r w:rsidRPr="00882F11">
        <w:rPr>
          <w:rFonts w:cs="Guttman Drogolin"/>
          <w:rtl/>
          <w:lang w:bidi="he-IL"/>
        </w:rPr>
        <w:t xml:space="preserve"> </w:t>
      </w:r>
      <w:r w:rsidRPr="00882F11">
        <w:rPr>
          <w:rFonts w:cs="Guttman Drogolin" w:hint="cs"/>
          <w:rtl/>
          <w:lang w:bidi="he-IL"/>
        </w:rPr>
        <w:t>רק</w:t>
      </w:r>
      <w:r w:rsidRPr="00882F11">
        <w:rPr>
          <w:rFonts w:cs="Guttman Drogolin"/>
          <w:rtl/>
          <w:lang w:bidi="he-IL"/>
        </w:rPr>
        <w:t xml:space="preserve"> </w:t>
      </w:r>
      <w:r w:rsidRPr="00882F11">
        <w:rPr>
          <w:rFonts w:cs="Guttman Drogolin" w:hint="cs"/>
          <w:rtl/>
          <w:lang w:bidi="he-IL"/>
        </w:rPr>
        <w:t>חלק</w:t>
      </w:r>
      <w:r w:rsidRPr="00882F11">
        <w:rPr>
          <w:rFonts w:cs="Guttman Drogolin"/>
          <w:rtl/>
          <w:lang w:bidi="he-IL"/>
        </w:rPr>
        <w:t xml:space="preserve"> </w:t>
      </w:r>
      <w:r w:rsidRPr="00882F11">
        <w:rPr>
          <w:rFonts w:cs="Guttman Drogolin" w:hint="cs"/>
          <w:rtl/>
          <w:lang w:bidi="he-IL"/>
        </w:rPr>
        <w:t>שישים</w:t>
      </w:r>
      <w:r w:rsidRPr="00882F11">
        <w:rPr>
          <w:rFonts w:cs="Guttman Drogolin"/>
          <w:rtl/>
          <w:lang w:bidi="he-IL"/>
        </w:rPr>
        <w:t xml:space="preserve"> </w:t>
      </w:r>
      <w:r w:rsidRPr="00882F11">
        <w:rPr>
          <w:rFonts w:cs="Guttman Drogolin" w:hint="cs"/>
          <w:rtl/>
          <w:lang w:bidi="he-IL"/>
        </w:rPr>
        <w:t>מהמים</w:t>
      </w:r>
      <w:r w:rsidRPr="00882F11">
        <w:rPr>
          <w:rFonts w:cs="Guttman Drogolin"/>
          <w:rtl/>
          <w:lang w:bidi="he-IL"/>
        </w:rPr>
        <w:t xml:space="preserve"> </w:t>
      </w:r>
      <w:r w:rsidRPr="00882F11">
        <w:rPr>
          <w:rFonts w:cs="Guttman Drogolin" w:hint="cs"/>
          <w:rtl/>
          <w:lang w:bidi="he-IL"/>
        </w:rPr>
        <w:t>ובהם</w:t>
      </w:r>
      <w:r w:rsidRPr="00882F11">
        <w:rPr>
          <w:rFonts w:cs="Guttman Drogolin"/>
          <w:rtl/>
          <w:lang w:bidi="he-IL"/>
        </w:rPr>
        <w:t xml:space="preserve"> </w:t>
      </w:r>
      <w:r w:rsidRPr="00882F11">
        <w:rPr>
          <w:rFonts w:cs="Guttman Drogolin" w:hint="cs"/>
          <w:rtl/>
          <w:lang w:bidi="he-IL"/>
        </w:rPr>
        <w:t>לפי</w:t>
      </w:r>
      <w:r w:rsidRPr="00882F11">
        <w:rPr>
          <w:rFonts w:cs="Guttman Drogolin"/>
          <w:rtl/>
          <w:lang w:bidi="he-IL"/>
        </w:rPr>
        <w:t xml:space="preserve"> </w:t>
      </w:r>
      <w:r w:rsidRPr="00882F11">
        <w:rPr>
          <w:rFonts w:cs="Guttman Drogolin" w:hint="cs"/>
          <w:rtl/>
          <w:lang w:bidi="he-IL"/>
        </w:rPr>
        <w:t>ערך</w:t>
      </w:r>
      <w:r w:rsidRPr="00882F11">
        <w:rPr>
          <w:rFonts w:cs="Guttman Drogolin"/>
          <w:rtl/>
          <w:lang w:bidi="he-IL"/>
        </w:rPr>
        <w:t xml:space="preserve"> </w:t>
      </w:r>
      <w:r w:rsidRPr="00882F11">
        <w:rPr>
          <w:rFonts w:cs="Guttman Drogolin" w:hint="cs"/>
          <w:rtl/>
          <w:lang w:bidi="he-IL"/>
        </w:rPr>
        <w:t>חלק</w:t>
      </w:r>
      <w:r w:rsidRPr="00882F11">
        <w:rPr>
          <w:rFonts w:cs="Guttman Drogolin"/>
          <w:rtl/>
          <w:lang w:bidi="he-IL"/>
        </w:rPr>
        <w:t xml:space="preserve"> </w:t>
      </w:r>
      <w:r w:rsidRPr="00882F11">
        <w:rPr>
          <w:rFonts w:cs="Guttman Drogolin" w:hint="cs"/>
          <w:rtl/>
          <w:lang w:bidi="he-IL"/>
        </w:rPr>
        <w:t>שישית</w:t>
      </w:r>
      <w:r w:rsidRPr="00882F11">
        <w:rPr>
          <w:rFonts w:cs="Guttman Drogolin"/>
          <w:rtl/>
          <w:lang w:bidi="he-IL"/>
        </w:rPr>
        <w:t xml:space="preserve"> </w:t>
      </w:r>
      <w:r w:rsidRPr="00882F11">
        <w:rPr>
          <w:rFonts w:cs="Guttman Drogolin" w:hint="cs"/>
          <w:rtl/>
          <w:lang w:bidi="he-IL"/>
        </w:rPr>
        <w:t>מהטעם</w:t>
      </w:r>
      <w:r w:rsidRPr="00882F11">
        <w:rPr>
          <w:rFonts w:cs="Guttman Drogolin"/>
          <w:rtl/>
          <w:lang w:bidi="he-IL"/>
        </w:rPr>
        <w:t xml:space="preserve"> </w:t>
      </w:r>
      <w:r w:rsidRPr="00882F11">
        <w:rPr>
          <w:rFonts w:cs="Guttman Drogolin" w:hint="cs"/>
          <w:rtl/>
          <w:lang w:bidi="he-IL"/>
        </w:rPr>
        <w:t>האיסור</w:t>
      </w:r>
      <w:r w:rsidRPr="00882F11">
        <w:rPr>
          <w:rFonts w:cs="Guttman Drogolin"/>
          <w:rtl/>
          <w:lang w:bidi="he-IL"/>
        </w:rPr>
        <w:t xml:space="preserve"> </w:t>
      </w:r>
      <w:r w:rsidRPr="00882F11">
        <w:rPr>
          <w:rFonts w:cs="Guttman Drogolin" w:hint="cs"/>
          <w:rtl/>
          <w:lang w:bidi="he-IL"/>
        </w:rPr>
        <w:t xml:space="preserve">שבתוכו". </w:t>
      </w:r>
      <w:r w:rsidR="00B303D3" w:rsidRPr="00882F11">
        <w:rPr>
          <w:rFonts w:cs="Guttman Drogolin" w:hint="cs"/>
          <w:rtl/>
          <w:lang w:bidi="he-IL"/>
        </w:rPr>
        <w:t xml:space="preserve">וע' גם הגהות רע"א למש"ז סי' צ"ב ס"ק כ"ד שהעיר שמדברי הש"ך נראה דלית לי' כלל זה שאינו אוסר אלא לפי שיעור, והביא שכן מבואר גם בפרישה, אלא שהוסיף להעיר שלכאורה מתוס' בדף ק' ע"א </w:t>
      </w:r>
      <w:r w:rsidR="00EE6EDC" w:rsidRPr="00882F11">
        <w:rPr>
          <w:rFonts w:cs="Guttman Drogolin" w:hint="cs"/>
          <w:rtl/>
          <w:lang w:bidi="he-IL"/>
        </w:rPr>
        <w:t xml:space="preserve">מבואר שאינו אלא לפי שיעור, שהרי זהו הטעם שלרבינו אפרים ניחא הגעלת כלי מדין, משום שיכול לבשל כמה וכמה פעמים ובסוף יהי' ששים, הרי דאמרינן שאינו אוסר אלא לפי שיעור (ושם ברע"א ציין לדברי הש"ך בסי' צ"ה ס"ק כ"א שהביא סברא זו מתוס'). </w:t>
      </w:r>
      <w:r w:rsidR="009A2280" w:rsidRPr="00882F11">
        <w:rPr>
          <w:rFonts w:cs="Guttman Drogolin" w:hint="cs"/>
          <w:rtl/>
          <w:lang w:bidi="he-IL"/>
        </w:rPr>
        <w:t>ובחוו"</w:t>
      </w:r>
      <w:r w:rsidR="00087EFD" w:rsidRPr="00882F11">
        <w:rPr>
          <w:rFonts w:cs="Guttman Drogolin" w:hint="cs"/>
          <w:rtl/>
          <w:lang w:bidi="he-IL"/>
        </w:rPr>
        <w:t xml:space="preserve">ד </w:t>
      </w:r>
      <w:r w:rsidR="009A2280" w:rsidRPr="00882F11">
        <w:rPr>
          <w:rFonts w:cs="Guttman Drogolin" w:hint="cs"/>
          <w:rtl/>
          <w:lang w:bidi="he-IL"/>
        </w:rPr>
        <w:t xml:space="preserve">ס"ק י"א בעצם למד בש"ך אחרת דאה"נ ואם יש ששים כנגד </w:t>
      </w:r>
      <w:r w:rsidR="009A2280" w:rsidRPr="00882F11">
        <w:rPr>
          <w:rFonts w:cs="Guttman Drogolin" w:hint="cs"/>
          <w:rtl/>
          <w:lang w:bidi="he-IL"/>
        </w:rPr>
        <w:lastRenderedPageBreak/>
        <w:t>האיסור הנשאר אינו אסור, אבל נפק"מ בדליכא</w:t>
      </w:r>
      <w:r w:rsidR="00CF2B7A" w:rsidRPr="00882F11">
        <w:rPr>
          <w:rStyle w:val="FootnoteReference"/>
          <w:rFonts w:cs="Guttman Drogolin"/>
          <w:rtl/>
          <w:lang w:bidi="he-IL"/>
        </w:rPr>
        <w:footnoteReference w:id="285"/>
      </w:r>
      <w:r w:rsidR="009A2280" w:rsidRPr="00882F11">
        <w:rPr>
          <w:rFonts w:cs="Guttman Drogolin" w:hint="cs"/>
          <w:rtl/>
          <w:lang w:bidi="he-IL"/>
        </w:rPr>
        <w:t>.</w:t>
      </w:r>
    </w:p>
    <w:p w:rsidR="00B10CE4" w:rsidRPr="00882F11" w:rsidRDefault="00087EFD" w:rsidP="00B10CE4">
      <w:pPr>
        <w:tabs>
          <w:tab w:val="right" w:pos="7497"/>
        </w:tabs>
        <w:bidi/>
        <w:jc w:val="both"/>
        <w:rPr>
          <w:rFonts w:cs="Guttman Drogolin"/>
          <w:rtl/>
          <w:lang w:bidi="he-IL"/>
        </w:rPr>
      </w:pPr>
      <w:r w:rsidRPr="00882F11">
        <w:rPr>
          <w:rFonts w:cs="Guttman Drogolin" w:hint="cs"/>
          <w:rtl/>
          <w:lang w:bidi="he-IL"/>
        </w:rPr>
        <w:t>וכמה אחרונים מביאים מאו"ה כלל</w:t>
      </w:r>
      <w:r w:rsidRPr="00882F11">
        <w:rPr>
          <w:rFonts w:cs="Guttman Drogolin"/>
          <w:rtl/>
          <w:lang w:bidi="he-IL"/>
        </w:rPr>
        <w:t xml:space="preserve"> </w:t>
      </w:r>
      <w:r w:rsidRPr="00882F11">
        <w:rPr>
          <w:rFonts w:cs="Guttman Drogolin" w:hint="cs"/>
          <w:rtl/>
          <w:lang w:bidi="he-IL"/>
        </w:rPr>
        <w:t>כ</w:t>
      </w:r>
      <w:r w:rsidRPr="00882F11">
        <w:rPr>
          <w:rFonts w:cs="Guttman Drogolin"/>
          <w:rtl/>
          <w:lang w:bidi="he-IL"/>
        </w:rPr>
        <w:t>"</w:t>
      </w:r>
      <w:r w:rsidRPr="00882F11">
        <w:rPr>
          <w:rFonts w:cs="Guttman Drogolin" w:hint="cs"/>
          <w:rtl/>
          <w:lang w:bidi="he-IL"/>
        </w:rPr>
        <w:t>ד</w:t>
      </w:r>
      <w:r w:rsidRPr="00882F11">
        <w:rPr>
          <w:rFonts w:cs="Guttman Drogolin"/>
          <w:rtl/>
          <w:lang w:bidi="he-IL"/>
        </w:rPr>
        <w:t xml:space="preserve"> </w:t>
      </w:r>
      <w:r w:rsidRPr="00882F11">
        <w:rPr>
          <w:rFonts w:cs="Guttman Drogolin" w:hint="cs"/>
          <w:rtl/>
          <w:lang w:bidi="he-IL"/>
        </w:rPr>
        <w:t>דין</w:t>
      </w:r>
      <w:r w:rsidRPr="00882F11">
        <w:rPr>
          <w:rFonts w:cs="Guttman Drogolin"/>
          <w:rtl/>
          <w:lang w:bidi="he-IL"/>
        </w:rPr>
        <w:t xml:space="preserve"> </w:t>
      </w:r>
      <w:r w:rsidRPr="00882F11">
        <w:rPr>
          <w:rFonts w:cs="Guttman Drogolin" w:hint="cs"/>
          <w:rtl/>
          <w:lang w:bidi="he-IL"/>
        </w:rPr>
        <w:t>ח</w:t>
      </w:r>
      <w:r w:rsidRPr="00882F11">
        <w:rPr>
          <w:rFonts w:cs="Guttman Drogolin"/>
          <w:rtl/>
          <w:lang w:bidi="he-IL"/>
        </w:rPr>
        <w:t>'</w:t>
      </w:r>
      <w:r w:rsidRPr="00882F11">
        <w:rPr>
          <w:rFonts w:cs="Guttman Drogolin" w:hint="cs"/>
          <w:rtl/>
          <w:lang w:bidi="he-IL"/>
        </w:rPr>
        <w:t xml:space="preserve"> שברוטב של בשר אמרינן, ור"ל בשר שהתבשל במים ונעשה רוטב, דין כולו כבשר. </w:t>
      </w:r>
      <w:r w:rsidR="00B10CE4" w:rsidRPr="00882F11">
        <w:rPr>
          <w:rFonts w:cs="Guttman Drogolin" w:hint="cs"/>
          <w:rtl/>
          <w:lang w:bidi="he-IL"/>
        </w:rPr>
        <w:t>אמנם לא הבנתי כ"כ הטעם לחלק בזה, וכן ראיתי בבדי השלחן (ביאורים לסי' צ"ג ד"ה נגד) שהתקשה בזה. ולשון השו</w:t>
      </w:r>
      <w:r w:rsidR="00B10CE4" w:rsidRPr="00882F11">
        <w:rPr>
          <w:rFonts w:cs="Guttman Drogolin"/>
          <w:rtl/>
          <w:lang w:bidi="he-IL"/>
        </w:rPr>
        <w:t>"</w:t>
      </w:r>
      <w:r w:rsidR="00B10CE4" w:rsidRPr="00882F11">
        <w:rPr>
          <w:rFonts w:cs="Guttman Drogolin" w:hint="cs"/>
          <w:rtl/>
          <w:lang w:bidi="he-IL"/>
        </w:rPr>
        <w:t>ת</w:t>
      </w:r>
      <w:r w:rsidR="00B10CE4" w:rsidRPr="00882F11">
        <w:rPr>
          <w:rFonts w:cs="Guttman Drogolin"/>
          <w:rtl/>
          <w:lang w:bidi="he-IL"/>
        </w:rPr>
        <w:t xml:space="preserve"> </w:t>
      </w:r>
      <w:r w:rsidR="00B10CE4" w:rsidRPr="00882F11">
        <w:rPr>
          <w:rFonts w:cs="Guttman Drogolin" w:hint="cs"/>
          <w:rtl/>
          <w:lang w:bidi="he-IL"/>
        </w:rPr>
        <w:t>שואל</w:t>
      </w:r>
      <w:r w:rsidR="00B10CE4" w:rsidRPr="00882F11">
        <w:rPr>
          <w:rFonts w:cs="Guttman Drogolin"/>
          <w:rtl/>
          <w:lang w:bidi="he-IL"/>
        </w:rPr>
        <w:t xml:space="preserve"> </w:t>
      </w:r>
      <w:r w:rsidR="00B10CE4" w:rsidRPr="00882F11">
        <w:rPr>
          <w:rFonts w:cs="Guttman Drogolin" w:hint="cs"/>
          <w:rtl/>
          <w:lang w:bidi="he-IL"/>
        </w:rPr>
        <w:t>ומשיב</w:t>
      </w:r>
      <w:r w:rsidR="00B10CE4" w:rsidRPr="00882F11">
        <w:rPr>
          <w:rFonts w:cs="Guttman Drogolin"/>
          <w:rtl/>
          <w:lang w:bidi="he-IL"/>
        </w:rPr>
        <w:t xml:space="preserve"> </w:t>
      </w:r>
      <w:r w:rsidR="00B10CE4" w:rsidRPr="00882F11">
        <w:rPr>
          <w:rFonts w:cs="Guttman Drogolin" w:hint="cs"/>
          <w:rtl/>
          <w:lang w:bidi="he-IL"/>
        </w:rPr>
        <w:t>(תניינא</w:t>
      </w:r>
      <w:r w:rsidR="00B10CE4" w:rsidRPr="00882F11">
        <w:rPr>
          <w:rFonts w:cs="Guttman Drogolin"/>
          <w:rtl/>
          <w:lang w:bidi="he-IL"/>
        </w:rPr>
        <w:t xml:space="preserve"> </w:t>
      </w:r>
      <w:r w:rsidR="00B10CE4" w:rsidRPr="00882F11">
        <w:rPr>
          <w:rFonts w:cs="Guttman Drogolin" w:hint="cs"/>
          <w:rtl/>
          <w:lang w:bidi="he-IL"/>
        </w:rPr>
        <w:t>ח"ד</w:t>
      </w:r>
      <w:r w:rsidR="00B10CE4" w:rsidRPr="00882F11">
        <w:rPr>
          <w:rFonts w:cs="Guttman Drogolin"/>
          <w:rtl/>
          <w:lang w:bidi="he-IL"/>
        </w:rPr>
        <w:t xml:space="preserve"> </w:t>
      </w:r>
      <w:r w:rsidR="00B10CE4" w:rsidRPr="00882F11">
        <w:rPr>
          <w:rFonts w:cs="Guttman Drogolin" w:hint="cs"/>
          <w:rtl/>
          <w:lang w:bidi="he-IL"/>
        </w:rPr>
        <w:t>סי'</w:t>
      </w:r>
      <w:r w:rsidR="00B10CE4" w:rsidRPr="00882F11">
        <w:rPr>
          <w:rFonts w:cs="Guttman Drogolin"/>
          <w:rtl/>
          <w:lang w:bidi="he-IL"/>
        </w:rPr>
        <w:t xml:space="preserve"> </w:t>
      </w:r>
      <w:r w:rsidR="00B10CE4" w:rsidRPr="00882F11">
        <w:rPr>
          <w:rFonts w:cs="Guttman Drogolin" w:hint="cs"/>
          <w:rtl/>
          <w:lang w:bidi="he-IL"/>
        </w:rPr>
        <w:t>י"ב) "ואני</w:t>
      </w:r>
      <w:r w:rsidR="00B10CE4" w:rsidRPr="00882F11">
        <w:rPr>
          <w:rFonts w:cs="Guttman Drogolin"/>
          <w:rtl/>
          <w:lang w:bidi="he-IL"/>
        </w:rPr>
        <w:t xml:space="preserve"> </w:t>
      </w:r>
      <w:r w:rsidR="00B10CE4" w:rsidRPr="00882F11">
        <w:rPr>
          <w:rFonts w:cs="Guttman Drogolin" w:hint="cs"/>
          <w:rtl/>
          <w:lang w:bidi="he-IL"/>
        </w:rPr>
        <w:t>רציתי</w:t>
      </w:r>
      <w:r w:rsidR="00B10CE4" w:rsidRPr="00882F11">
        <w:rPr>
          <w:rFonts w:cs="Guttman Drogolin"/>
          <w:rtl/>
          <w:lang w:bidi="he-IL"/>
        </w:rPr>
        <w:t xml:space="preserve"> </w:t>
      </w:r>
      <w:r w:rsidR="00B10CE4" w:rsidRPr="00882F11">
        <w:rPr>
          <w:rFonts w:cs="Guttman Drogolin" w:hint="cs"/>
          <w:rtl/>
          <w:lang w:bidi="he-IL"/>
        </w:rPr>
        <w:t>לחלק</w:t>
      </w:r>
      <w:r w:rsidR="00B10CE4" w:rsidRPr="00882F11">
        <w:rPr>
          <w:rFonts w:cs="Guttman Drogolin"/>
          <w:rtl/>
          <w:lang w:bidi="he-IL"/>
        </w:rPr>
        <w:t xml:space="preserve"> </w:t>
      </w:r>
      <w:r w:rsidR="00B10CE4" w:rsidRPr="00882F11">
        <w:rPr>
          <w:rFonts w:cs="Guttman Drogolin" w:hint="cs"/>
          <w:rtl/>
          <w:lang w:bidi="he-IL"/>
        </w:rPr>
        <w:t>בין</w:t>
      </w:r>
      <w:r w:rsidR="00B10CE4" w:rsidRPr="00882F11">
        <w:rPr>
          <w:rFonts w:cs="Guttman Drogolin"/>
          <w:rtl/>
          <w:lang w:bidi="he-IL"/>
        </w:rPr>
        <w:t xml:space="preserve"> </w:t>
      </w:r>
      <w:r w:rsidR="00B10CE4" w:rsidRPr="00882F11">
        <w:rPr>
          <w:rFonts w:cs="Guttman Drogolin" w:hint="cs"/>
          <w:rtl/>
          <w:lang w:bidi="he-IL"/>
        </w:rPr>
        <w:t>בשר</w:t>
      </w:r>
      <w:r w:rsidR="00B10CE4" w:rsidRPr="00882F11">
        <w:rPr>
          <w:rFonts w:cs="Guttman Drogolin"/>
          <w:rtl/>
          <w:lang w:bidi="he-IL"/>
        </w:rPr>
        <w:t xml:space="preserve"> </w:t>
      </w:r>
      <w:r w:rsidR="00B10CE4" w:rsidRPr="00882F11">
        <w:rPr>
          <w:rFonts w:cs="Guttman Drogolin" w:hint="cs"/>
          <w:rtl/>
          <w:lang w:bidi="he-IL"/>
        </w:rPr>
        <w:t>לחלב</w:t>
      </w:r>
      <w:r w:rsidR="00B10CE4" w:rsidRPr="00882F11">
        <w:rPr>
          <w:rFonts w:cs="Guttman Drogolin"/>
          <w:rtl/>
          <w:lang w:bidi="he-IL"/>
        </w:rPr>
        <w:t xml:space="preserve"> </w:t>
      </w:r>
      <w:r w:rsidR="00B10CE4" w:rsidRPr="00882F11">
        <w:rPr>
          <w:rFonts w:cs="Guttman Drogolin" w:hint="cs"/>
          <w:rtl/>
          <w:lang w:bidi="he-IL"/>
        </w:rPr>
        <w:t>מטעם</w:t>
      </w:r>
      <w:r w:rsidR="00B10CE4" w:rsidRPr="00882F11">
        <w:rPr>
          <w:rFonts w:cs="Guttman Drogolin"/>
          <w:rtl/>
          <w:lang w:bidi="he-IL"/>
        </w:rPr>
        <w:t xml:space="preserve"> </w:t>
      </w:r>
      <w:r w:rsidR="00B10CE4" w:rsidRPr="00882F11">
        <w:rPr>
          <w:rFonts w:cs="Guttman Drogolin" w:hint="cs"/>
          <w:rtl/>
          <w:lang w:bidi="he-IL"/>
        </w:rPr>
        <w:t>דברוטב</w:t>
      </w:r>
      <w:r w:rsidR="00B10CE4" w:rsidRPr="00882F11">
        <w:rPr>
          <w:rFonts w:cs="Guttman Drogolin"/>
          <w:rtl/>
          <w:lang w:bidi="he-IL"/>
        </w:rPr>
        <w:t xml:space="preserve"> </w:t>
      </w:r>
      <w:r w:rsidR="00B10CE4" w:rsidRPr="00882F11">
        <w:rPr>
          <w:rFonts w:cs="Guttman Drogolin" w:hint="cs"/>
          <w:rtl/>
          <w:lang w:bidi="he-IL"/>
        </w:rPr>
        <w:t>של</w:t>
      </w:r>
      <w:r w:rsidR="00B10CE4" w:rsidRPr="00882F11">
        <w:rPr>
          <w:rFonts w:cs="Guttman Drogolin"/>
          <w:rtl/>
          <w:lang w:bidi="he-IL"/>
        </w:rPr>
        <w:t xml:space="preserve"> </w:t>
      </w:r>
      <w:r w:rsidR="00B10CE4" w:rsidRPr="00882F11">
        <w:rPr>
          <w:rFonts w:cs="Guttman Drogolin" w:hint="cs"/>
          <w:rtl/>
          <w:lang w:bidi="he-IL"/>
        </w:rPr>
        <w:t>בשר</w:t>
      </w:r>
      <w:r w:rsidR="00B10CE4" w:rsidRPr="00882F11">
        <w:rPr>
          <w:rFonts w:cs="Guttman Drogolin"/>
          <w:rtl/>
          <w:lang w:bidi="he-IL"/>
        </w:rPr>
        <w:t xml:space="preserve"> </w:t>
      </w:r>
      <w:r w:rsidR="00B10CE4" w:rsidRPr="00882F11">
        <w:rPr>
          <w:rFonts w:cs="Guttman Drogolin" w:hint="cs"/>
          <w:rtl/>
          <w:lang w:bidi="he-IL"/>
        </w:rPr>
        <w:t>כל</w:t>
      </w:r>
      <w:r w:rsidR="00B10CE4" w:rsidRPr="00882F11">
        <w:rPr>
          <w:rFonts w:cs="Guttman Drogolin"/>
          <w:rtl/>
          <w:lang w:bidi="he-IL"/>
        </w:rPr>
        <w:t xml:space="preserve"> </w:t>
      </w:r>
      <w:r w:rsidR="00B10CE4" w:rsidRPr="00882F11">
        <w:rPr>
          <w:rFonts w:cs="Guttman Drogolin" w:hint="cs"/>
          <w:rtl/>
          <w:lang w:bidi="he-IL"/>
        </w:rPr>
        <w:t>המים</w:t>
      </w:r>
      <w:r w:rsidR="00B10CE4" w:rsidRPr="00882F11">
        <w:rPr>
          <w:rFonts w:cs="Guttman Drogolin"/>
          <w:rtl/>
          <w:lang w:bidi="he-IL"/>
        </w:rPr>
        <w:t xml:space="preserve"> </w:t>
      </w:r>
      <w:r w:rsidR="00B10CE4" w:rsidRPr="00882F11">
        <w:rPr>
          <w:rFonts w:cs="Guttman Drogolin" w:hint="cs"/>
          <w:rtl/>
          <w:lang w:bidi="he-IL"/>
        </w:rPr>
        <w:t>נקרא</w:t>
      </w:r>
      <w:r w:rsidR="00B10CE4" w:rsidRPr="00882F11">
        <w:rPr>
          <w:rFonts w:cs="Guttman Drogolin"/>
          <w:rtl/>
          <w:lang w:bidi="he-IL"/>
        </w:rPr>
        <w:t xml:space="preserve"> </w:t>
      </w:r>
      <w:r w:rsidR="00B10CE4" w:rsidRPr="00882F11">
        <w:rPr>
          <w:rFonts w:cs="Guttman Drogolin" w:hint="cs"/>
          <w:rtl/>
          <w:lang w:bidi="he-IL"/>
        </w:rPr>
        <w:t>רוטב</w:t>
      </w:r>
      <w:r w:rsidR="00B10CE4" w:rsidRPr="00882F11">
        <w:rPr>
          <w:rFonts w:cs="Guttman Drogolin"/>
          <w:rtl/>
          <w:lang w:bidi="he-IL"/>
        </w:rPr>
        <w:t xml:space="preserve"> </w:t>
      </w:r>
      <w:r w:rsidR="00B10CE4" w:rsidRPr="00882F11">
        <w:rPr>
          <w:rFonts w:cs="Guttman Drogolin" w:hint="cs"/>
          <w:rtl/>
          <w:lang w:bidi="he-IL"/>
        </w:rPr>
        <w:t>של</w:t>
      </w:r>
      <w:r w:rsidR="00B10CE4" w:rsidRPr="00882F11">
        <w:rPr>
          <w:rFonts w:cs="Guttman Drogolin"/>
          <w:rtl/>
          <w:lang w:bidi="he-IL"/>
        </w:rPr>
        <w:t xml:space="preserve"> </w:t>
      </w:r>
      <w:r w:rsidR="00B10CE4" w:rsidRPr="00882F11">
        <w:rPr>
          <w:rFonts w:cs="Guttman Drogolin" w:hint="cs"/>
          <w:rtl/>
          <w:lang w:bidi="he-IL"/>
        </w:rPr>
        <w:t>בשר". וגם זה לא מובן לי, שאטו לשון של בני אדם הופך מים להיות בשר ממש. ומלשון האו"ה  "דקיי</w:t>
      </w:r>
      <w:r w:rsidR="00B10CE4" w:rsidRPr="00882F11">
        <w:rPr>
          <w:rFonts w:cs="Guttman Drogolin"/>
          <w:rtl/>
          <w:lang w:bidi="he-IL"/>
        </w:rPr>
        <w:t>"</w:t>
      </w:r>
      <w:r w:rsidR="00B10CE4" w:rsidRPr="00882F11">
        <w:rPr>
          <w:rFonts w:cs="Guttman Drogolin" w:hint="cs"/>
          <w:rtl/>
          <w:lang w:bidi="he-IL"/>
        </w:rPr>
        <w:t>ל</w:t>
      </w:r>
      <w:r w:rsidR="00B10CE4" w:rsidRPr="00882F11">
        <w:rPr>
          <w:rFonts w:cs="Guttman Drogolin"/>
          <w:rtl/>
          <w:lang w:bidi="he-IL"/>
        </w:rPr>
        <w:t xml:space="preserve"> </w:t>
      </w:r>
      <w:r w:rsidR="00B10CE4" w:rsidRPr="00882F11">
        <w:rPr>
          <w:rFonts w:cs="Guttman Drogolin" w:hint="cs"/>
          <w:rtl/>
          <w:lang w:bidi="he-IL"/>
        </w:rPr>
        <w:t>כמ</w:t>
      </w:r>
      <w:r w:rsidR="00B10CE4" w:rsidRPr="00882F11">
        <w:rPr>
          <w:rFonts w:cs="Guttman Drogolin"/>
          <w:rtl/>
          <w:lang w:bidi="he-IL"/>
        </w:rPr>
        <w:t>"</w:t>
      </w:r>
      <w:r w:rsidR="00B10CE4" w:rsidRPr="00882F11">
        <w:rPr>
          <w:rFonts w:cs="Guttman Drogolin" w:hint="cs"/>
          <w:rtl/>
          <w:lang w:bidi="he-IL"/>
        </w:rPr>
        <w:t>ד</w:t>
      </w:r>
      <w:r w:rsidR="00B10CE4" w:rsidRPr="00882F11">
        <w:rPr>
          <w:rFonts w:cs="Guttman Drogolin"/>
          <w:rtl/>
          <w:lang w:bidi="he-IL"/>
        </w:rPr>
        <w:t xml:space="preserve"> </w:t>
      </w:r>
      <w:r w:rsidR="00B10CE4" w:rsidRPr="00882F11">
        <w:rPr>
          <w:rFonts w:cs="Guttman Drogolin" w:hint="cs"/>
          <w:rtl/>
          <w:lang w:bidi="he-IL"/>
        </w:rPr>
        <w:t>דמשערי</w:t>
      </w:r>
      <w:r w:rsidR="00B10CE4" w:rsidRPr="00882F11">
        <w:rPr>
          <w:rFonts w:cs="Guttman Drogolin"/>
          <w:rtl/>
          <w:lang w:bidi="he-IL"/>
        </w:rPr>
        <w:t xml:space="preserve">' </w:t>
      </w:r>
      <w:r w:rsidR="00B10CE4" w:rsidRPr="00882F11">
        <w:rPr>
          <w:rFonts w:cs="Guttman Drogolin" w:hint="cs"/>
          <w:rtl/>
          <w:lang w:bidi="he-IL"/>
        </w:rPr>
        <w:t>כאלו</w:t>
      </w:r>
      <w:r w:rsidR="00B10CE4" w:rsidRPr="00882F11">
        <w:rPr>
          <w:rFonts w:cs="Guttman Drogolin"/>
          <w:rtl/>
          <w:lang w:bidi="he-IL"/>
        </w:rPr>
        <w:t xml:space="preserve"> </w:t>
      </w:r>
      <w:r w:rsidR="00B10CE4" w:rsidRPr="00882F11">
        <w:rPr>
          <w:rFonts w:cs="Guttman Drogolin" w:hint="cs"/>
          <w:rtl/>
          <w:lang w:bidi="he-IL"/>
        </w:rPr>
        <w:t>המים</w:t>
      </w:r>
      <w:r w:rsidR="00B10CE4" w:rsidRPr="00882F11">
        <w:rPr>
          <w:rFonts w:cs="Guttman Drogolin"/>
          <w:rtl/>
          <w:lang w:bidi="he-IL"/>
        </w:rPr>
        <w:t xml:space="preserve"> </w:t>
      </w:r>
      <w:r w:rsidR="00B10CE4" w:rsidRPr="00882F11">
        <w:rPr>
          <w:rFonts w:cs="Guttman Drogolin" w:hint="cs"/>
          <w:rtl/>
          <w:lang w:bidi="he-IL"/>
        </w:rPr>
        <w:t>בשר</w:t>
      </w:r>
      <w:r w:rsidR="00B10CE4" w:rsidRPr="00882F11">
        <w:rPr>
          <w:rFonts w:cs="Guttman Drogolin"/>
          <w:rtl/>
          <w:lang w:bidi="he-IL"/>
        </w:rPr>
        <w:t xml:space="preserve"> </w:t>
      </w:r>
      <w:r w:rsidR="00B10CE4" w:rsidRPr="00882F11">
        <w:rPr>
          <w:rFonts w:cs="Guttman Drogolin" w:hint="cs"/>
          <w:rtl/>
          <w:lang w:bidi="he-IL"/>
        </w:rPr>
        <w:t>ולא</w:t>
      </w:r>
      <w:r w:rsidR="00B10CE4" w:rsidRPr="00882F11">
        <w:rPr>
          <w:rFonts w:cs="Guttman Drogolin"/>
          <w:rtl/>
          <w:lang w:bidi="he-IL"/>
        </w:rPr>
        <w:t xml:space="preserve"> </w:t>
      </w:r>
      <w:r w:rsidR="00B10CE4" w:rsidRPr="00882F11">
        <w:rPr>
          <w:rFonts w:cs="Guttman Drogolin" w:hint="cs"/>
          <w:rtl/>
          <w:lang w:bidi="he-IL"/>
        </w:rPr>
        <w:t>כמ</w:t>
      </w:r>
      <w:r w:rsidR="00B10CE4" w:rsidRPr="00882F11">
        <w:rPr>
          <w:rFonts w:cs="Guttman Drogolin"/>
          <w:rtl/>
          <w:lang w:bidi="he-IL"/>
        </w:rPr>
        <w:t>"</w:t>
      </w:r>
      <w:r w:rsidR="00B10CE4" w:rsidRPr="00882F11">
        <w:rPr>
          <w:rFonts w:cs="Guttman Drogolin" w:hint="cs"/>
          <w:rtl/>
          <w:lang w:bidi="he-IL"/>
        </w:rPr>
        <w:t>ד</w:t>
      </w:r>
      <w:r w:rsidR="00B10CE4" w:rsidRPr="00882F11">
        <w:rPr>
          <w:rFonts w:cs="Guttman Drogolin"/>
          <w:rtl/>
          <w:lang w:bidi="he-IL"/>
        </w:rPr>
        <w:t xml:space="preserve"> </w:t>
      </w:r>
      <w:r w:rsidR="00B10CE4" w:rsidRPr="00882F11">
        <w:rPr>
          <w:rFonts w:cs="Guttman Drogolin" w:hint="cs"/>
          <w:rtl/>
          <w:lang w:bidi="he-IL"/>
        </w:rPr>
        <w:t>במה</w:t>
      </w:r>
      <w:r w:rsidR="00B10CE4" w:rsidRPr="00882F11">
        <w:rPr>
          <w:rFonts w:cs="Guttman Drogolin"/>
          <w:rtl/>
          <w:lang w:bidi="he-IL"/>
        </w:rPr>
        <w:t xml:space="preserve"> </w:t>
      </w:r>
      <w:r w:rsidR="00B10CE4" w:rsidRPr="00882F11">
        <w:rPr>
          <w:rFonts w:cs="Guttman Drogolin" w:hint="cs"/>
          <w:rtl/>
          <w:lang w:bidi="he-IL"/>
        </w:rPr>
        <w:t>דבלעי</w:t>
      </w:r>
      <w:r w:rsidR="00B10CE4" w:rsidRPr="00882F11">
        <w:rPr>
          <w:rFonts w:cs="Guttman Drogolin"/>
          <w:rtl/>
          <w:lang w:bidi="he-IL"/>
        </w:rPr>
        <w:t xml:space="preserve"> </w:t>
      </w:r>
      <w:r w:rsidR="00B10CE4" w:rsidRPr="00882F11">
        <w:rPr>
          <w:rFonts w:cs="Guttman Drogolin" w:hint="cs"/>
          <w:rtl/>
          <w:lang w:bidi="he-IL"/>
        </w:rPr>
        <w:t>מיא</w:t>
      </w:r>
      <w:r w:rsidR="00B10CE4" w:rsidRPr="00882F11">
        <w:rPr>
          <w:rFonts w:cs="Guttman Drogolin"/>
          <w:rtl/>
          <w:lang w:bidi="he-IL"/>
        </w:rPr>
        <w:t xml:space="preserve"> </w:t>
      </w:r>
      <w:r w:rsidR="00B10CE4" w:rsidRPr="00882F11">
        <w:rPr>
          <w:rFonts w:cs="Guttman Drogolin" w:hint="cs"/>
          <w:rtl/>
          <w:lang w:bidi="he-IL"/>
        </w:rPr>
        <w:t>וא</w:t>
      </w:r>
      <w:r w:rsidR="00B10CE4" w:rsidRPr="00882F11">
        <w:rPr>
          <w:rFonts w:cs="Guttman Drogolin"/>
          <w:rtl/>
          <w:lang w:bidi="he-IL"/>
        </w:rPr>
        <w:t>"</w:t>
      </w:r>
      <w:r w:rsidR="00B10CE4" w:rsidRPr="00882F11">
        <w:rPr>
          <w:rFonts w:cs="Guttman Drogolin" w:hint="cs"/>
          <w:rtl/>
          <w:lang w:bidi="he-IL"/>
        </w:rPr>
        <w:t>כ</w:t>
      </w:r>
      <w:r w:rsidR="00B10CE4" w:rsidRPr="00882F11">
        <w:rPr>
          <w:rFonts w:cs="Guttman Drogolin"/>
          <w:rtl/>
          <w:lang w:bidi="he-IL"/>
        </w:rPr>
        <w:t xml:space="preserve"> </w:t>
      </w:r>
      <w:r w:rsidR="00B10CE4" w:rsidRPr="00882F11">
        <w:rPr>
          <w:rFonts w:cs="Guttman Drogolin" w:hint="cs"/>
          <w:rtl/>
          <w:lang w:bidi="he-IL"/>
        </w:rPr>
        <w:t>הוי</w:t>
      </w:r>
      <w:r w:rsidR="00B10CE4" w:rsidRPr="00882F11">
        <w:rPr>
          <w:rFonts w:cs="Guttman Drogolin"/>
          <w:rtl/>
          <w:lang w:bidi="he-IL"/>
        </w:rPr>
        <w:t xml:space="preserve"> </w:t>
      </w:r>
      <w:r w:rsidR="00B10CE4" w:rsidRPr="00882F11">
        <w:rPr>
          <w:rFonts w:cs="Guttman Drogolin" w:hint="cs"/>
          <w:rtl/>
          <w:lang w:bidi="he-IL"/>
        </w:rPr>
        <w:t>חתיכא</w:t>
      </w:r>
      <w:r w:rsidR="00B10CE4" w:rsidRPr="00882F11">
        <w:rPr>
          <w:rFonts w:cs="Guttman Drogolin"/>
          <w:rtl/>
          <w:lang w:bidi="he-IL"/>
        </w:rPr>
        <w:t xml:space="preserve"> </w:t>
      </w:r>
      <w:r w:rsidR="00B10CE4" w:rsidRPr="00882F11">
        <w:rPr>
          <w:rFonts w:cs="Guttman Drogolin" w:hint="cs"/>
          <w:rtl/>
          <w:lang w:bidi="he-IL"/>
        </w:rPr>
        <w:t>גופא</w:t>
      </w:r>
      <w:r w:rsidR="00B10CE4" w:rsidRPr="00882F11">
        <w:rPr>
          <w:rFonts w:cs="Guttman Drogolin"/>
          <w:rtl/>
          <w:lang w:bidi="he-IL"/>
        </w:rPr>
        <w:t xml:space="preserve"> </w:t>
      </w:r>
      <w:r w:rsidR="00B10CE4" w:rsidRPr="00882F11">
        <w:rPr>
          <w:rFonts w:cs="Guttman Drogolin" w:hint="cs"/>
          <w:rtl/>
          <w:lang w:bidi="he-IL"/>
        </w:rPr>
        <w:t>דאיסורא</w:t>
      </w:r>
      <w:r w:rsidR="00B10CE4" w:rsidRPr="00882F11">
        <w:rPr>
          <w:rFonts w:cs="Guttman Drogolin"/>
          <w:rtl/>
          <w:lang w:bidi="he-IL"/>
        </w:rPr>
        <w:t xml:space="preserve"> </w:t>
      </w:r>
      <w:r w:rsidR="00B10CE4" w:rsidRPr="00882F11">
        <w:rPr>
          <w:rFonts w:cs="Guttman Drogolin" w:hint="cs"/>
          <w:rtl/>
          <w:lang w:bidi="he-IL"/>
        </w:rPr>
        <w:t>וסברא</w:t>
      </w:r>
      <w:r w:rsidR="00B10CE4" w:rsidRPr="00882F11">
        <w:rPr>
          <w:rFonts w:cs="Guttman Drogolin"/>
          <w:rtl/>
          <w:lang w:bidi="he-IL"/>
        </w:rPr>
        <w:t xml:space="preserve"> </w:t>
      </w:r>
      <w:r w:rsidR="00B10CE4" w:rsidRPr="00882F11">
        <w:rPr>
          <w:rFonts w:cs="Guttman Drogolin" w:hint="cs"/>
          <w:rtl/>
          <w:lang w:bidi="he-IL"/>
        </w:rPr>
        <w:t>הוא</w:t>
      </w:r>
      <w:r w:rsidR="00B10CE4" w:rsidRPr="00882F11">
        <w:rPr>
          <w:rFonts w:cs="Guttman Drogolin"/>
          <w:rtl/>
          <w:lang w:bidi="he-IL"/>
        </w:rPr>
        <w:t xml:space="preserve"> </w:t>
      </w:r>
      <w:r w:rsidR="00B10CE4" w:rsidRPr="00882F11">
        <w:rPr>
          <w:rFonts w:cs="Guttman Drogolin" w:hint="cs"/>
          <w:rtl/>
          <w:lang w:bidi="he-IL"/>
        </w:rPr>
        <w:t>דאי</w:t>
      </w:r>
      <w:r w:rsidR="00B10CE4" w:rsidRPr="00882F11">
        <w:rPr>
          <w:rFonts w:cs="Guttman Drogolin"/>
          <w:rtl/>
          <w:lang w:bidi="he-IL"/>
        </w:rPr>
        <w:t xml:space="preserve"> </w:t>
      </w:r>
      <w:r w:rsidR="00B10CE4" w:rsidRPr="00882F11">
        <w:rPr>
          <w:rFonts w:cs="Guttman Drogolin" w:hint="cs"/>
          <w:rtl/>
          <w:lang w:bidi="he-IL"/>
        </w:rPr>
        <w:t>אפשר</w:t>
      </w:r>
      <w:r w:rsidR="00B10CE4" w:rsidRPr="00882F11">
        <w:rPr>
          <w:rFonts w:cs="Guttman Drogolin"/>
          <w:rtl/>
          <w:lang w:bidi="he-IL"/>
        </w:rPr>
        <w:t xml:space="preserve"> </w:t>
      </w:r>
      <w:r w:rsidR="00B10CE4" w:rsidRPr="00882F11">
        <w:rPr>
          <w:rFonts w:cs="Guttman Drogolin" w:hint="cs"/>
          <w:rtl/>
          <w:lang w:bidi="he-IL"/>
        </w:rPr>
        <w:t>לעמוד</w:t>
      </w:r>
      <w:r w:rsidR="00B10CE4" w:rsidRPr="00882F11">
        <w:rPr>
          <w:rFonts w:cs="Guttman Drogolin"/>
          <w:rtl/>
          <w:lang w:bidi="he-IL"/>
        </w:rPr>
        <w:t xml:space="preserve"> </w:t>
      </w:r>
      <w:r w:rsidR="00B10CE4" w:rsidRPr="00882F11">
        <w:rPr>
          <w:rFonts w:cs="Guttman Drogolin" w:hint="cs"/>
          <w:rtl/>
          <w:lang w:bidi="he-IL"/>
        </w:rPr>
        <w:t>על</w:t>
      </w:r>
      <w:r w:rsidR="00B10CE4" w:rsidRPr="00882F11">
        <w:rPr>
          <w:rFonts w:cs="Guttman Drogolin"/>
          <w:rtl/>
          <w:lang w:bidi="he-IL"/>
        </w:rPr>
        <w:t xml:space="preserve"> </w:t>
      </w:r>
      <w:r w:rsidR="00B10CE4" w:rsidRPr="00882F11">
        <w:rPr>
          <w:rFonts w:cs="Guttman Drogolin" w:hint="cs"/>
          <w:rtl/>
          <w:lang w:bidi="he-IL"/>
        </w:rPr>
        <w:t>השיעור</w:t>
      </w:r>
      <w:r w:rsidR="00B10CE4" w:rsidRPr="00882F11">
        <w:rPr>
          <w:rFonts w:cs="Guttman Drogolin"/>
          <w:rtl/>
          <w:lang w:bidi="he-IL"/>
        </w:rPr>
        <w:t xml:space="preserve"> </w:t>
      </w:r>
      <w:r w:rsidR="00B10CE4" w:rsidRPr="00882F11">
        <w:rPr>
          <w:rFonts w:cs="Guttman Drogolin" w:hint="cs"/>
          <w:rtl/>
          <w:lang w:bidi="he-IL"/>
        </w:rPr>
        <w:t>כמה</w:t>
      </w:r>
      <w:r w:rsidR="00B10CE4" w:rsidRPr="00882F11">
        <w:rPr>
          <w:rFonts w:cs="Guttman Drogolin"/>
          <w:rtl/>
          <w:lang w:bidi="he-IL"/>
        </w:rPr>
        <w:t xml:space="preserve"> </w:t>
      </w:r>
      <w:r w:rsidR="00B10CE4" w:rsidRPr="00882F11">
        <w:rPr>
          <w:rFonts w:cs="Guttman Drogolin" w:hint="cs"/>
          <w:rtl/>
          <w:lang w:bidi="he-IL"/>
        </w:rPr>
        <w:t>בלע"</w:t>
      </w:r>
      <w:r w:rsidR="00B10CE4" w:rsidRPr="00882F11">
        <w:rPr>
          <w:rFonts w:cs="Guttman Drogolin"/>
          <w:rtl/>
          <w:lang w:bidi="he-IL"/>
        </w:rPr>
        <w:t xml:space="preserve"> </w:t>
      </w:r>
      <w:r w:rsidR="00B10CE4" w:rsidRPr="00882F11">
        <w:rPr>
          <w:rFonts w:cs="Guttman Drogolin" w:hint="cs"/>
          <w:rtl/>
          <w:lang w:bidi="he-IL"/>
        </w:rPr>
        <w:t>לכאורה הי' משמע שאין כוונתו לומר שיש לו דין בשר ממש, רק דכיון שהתבשל בה כ"כ בשר, לא ידעינן כמה נבלע בו.</w:t>
      </w:r>
      <w:r w:rsidR="00B10CE4" w:rsidRPr="00882F11">
        <w:rPr>
          <w:rFonts w:cs="Guttman Drogolin"/>
          <w:rtl/>
          <w:lang w:bidi="he-IL"/>
        </w:rPr>
        <w:t xml:space="preserve"> </w:t>
      </w:r>
      <w:r w:rsidR="00B10CE4" w:rsidRPr="00882F11">
        <w:rPr>
          <w:rFonts w:cs="Guttman Drogolin" w:hint="cs"/>
          <w:rtl/>
          <w:lang w:bidi="he-IL"/>
        </w:rPr>
        <w:t>וצ"ע.</w:t>
      </w:r>
    </w:p>
    <w:p w:rsidR="00B10CE4" w:rsidRPr="00882F11" w:rsidRDefault="00B10CE4" w:rsidP="0078079C">
      <w:pPr>
        <w:pStyle w:val="Heading1"/>
        <w:bidi/>
        <w:spacing w:before="0" w:line="360" w:lineRule="auto"/>
        <w:jc w:val="center"/>
        <w:rPr>
          <w:rFonts w:cs="Guttman Drogolin"/>
          <w:color w:val="auto"/>
          <w:sz w:val="24"/>
          <w:szCs w:val="24"/>
          <w:u w:val="single"/>
          <w:rtl/>
          <w:lang w:bidi="he-IL"/>
        </w:rPr>
      </w:pPr>
      <w:bookmarkStart w:id="253" w:name="_Toc496175507"/>
      <w:r w:rsidRPr="00882F11">
        <w:rPr>
          <w:rFonts w:cs="Guttman Drogolin" w:hint="cs"/>
          <w:color w:val="auto"/>
          <w:sz w:val="24"/>
          <w:szCs w:val="24"/>
          <w:u w:val="single"/>
          <w:rtl/>
          <w:lang w:bidi="he-IL"/>
        </w:rPr>
        <w:t>דוחקא דסכינא בדבר רותח</w:t>
      </w:r>
      <w:bookmarkEnd w:id="253"/>
    </w:p>
    <w:p w:rsidR="0019566F" w:rsidRPr="00882F11" w:rsidRDefault="000F139F" w:rsidP="0019566F">
      <w:pPr>
        <w:tabs>
          <w:tab w:val="right" w:pos="7497"/>
        </w:tabs>
        <w:bidi/>
        <w:jc w:val="both"/>
        <w:rPr>
          <w:rFonts w:cs="Guttman Drogolin"/>
          <w:rtl/>
          <w:lang w:bidi="he-IL"/>
        </w:rPr>
      </w:pPr>
      <w:r>
        <w:rPr>
          <w:rFonts w:cs="Guttman Drogolin"/>
          <w:rtl/>
          <w:lang w:bidi="he-IL"/>
        </w:rPr>
        <w:fldChar w:fldCharType="begin"/>
      </w:r>
      <w:r>
        <w:instrText xml:space="preserve"> XE "</w:instrText>
      </w:r>
      <w:r w:rsidRPr="004A6D63">
        <w:rPr>
          <w:rFonts w:hint="cs"/>
          <w:rtl/>
          <w:lang w:bidi="he-IL"/>
        </w:rPr>
        <w:instrText>כלי שני</w:instrText>
      </w:r>
      <w:r w:rsidRPr="004A6D63">
        <w:rPr>
          <w:rtl/>
        </w:rPr>
        <w:instrText>:</w:instrText>
      </w:r>
      <w:r w:rsidRPr="004A6D63">
        <w:rPr>
          <w:rFonts w:hint="cs"/>
          <w:rtl/>
          <w:lang w:bidi="he-IL"/>
        </w:rPr>
        <w:instrText>עם דוחקא דסכינא</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DA28E5">
        <w:rPr>
          <w:rFonts w:hint="cs"/>
          <w:rtl/>
          <w:lang w:bidi="he-IL"/>
        </w:rPr>
        <w:instrText>דוחקא דסכינא</w:instrText>
      </w:r>
      <w:r w:rsidRPr="00DA28E5">
        <w:rPr>
          <w:rtl/>
        </w:rPr>
        <w:instrText>:</w:instrText>
      </w:r>
      <w:r w:rsidRPr="00DA28E5">
        <w:rPr>
          <w:rFonts w:hint="cs"/>
          <w:rtl/>
          <w:lang w:bidi="he-IL"/>
        </w:rPr>
        <w:instrText>בדבר רותח</w:instrText>
      </w:r>
      <w:r>
        <w:instrText xml:space="preserve">" </w:instrText>
      </w:r>
      <w:r>
        <w:rPr>
          <w:rFonts w:cs="Guttman Drogolin"/>
          <w:rtl/>
          <w:lang w:bidi="he-IL"/>
        </w:rPr>
        <w:fldChar w:fldCharType="end"/>
      </w:r>
      <w:r w:rsidR="0019566F" w:rsidRPr="00882F11">
        <w:rPr>
          <w:rFonts w:cs="Guttman Drogolin" w:hint="cs"/>
          <w:rtl/>
          <w:lang w:bidi="he-IL"/>
        </w:rPr>
        <w:t xml:space="preserve">כתב </w:t>
      </w:r>
      <w:r w:rsidR="00B10CE4" w:rsidRPr="00882F11">
        <w:rPr>
          <w:rFonts w:cs="Guttman Drogolin" w:hint="cs"/>
          <w:rtl/>
          <w:lang w:bidi="he-IL"/>
        </w:rPr>
        <w:t xml:space="preserve">הטור בסוף הסימן </w:t>
      </w:r>
      <w:r w:rsidR="0019566F" w:rsidRPr="00882F11">
        <w:rPr>
          <w:rFonts w:cs="Guttman Drogolin" w:hint="cs"/>
          <w:rtl/>
          <w:lang w:bidi="he-IL"/>
        </w:rPr>
        <w:t>"וכתב</w:t>
      </w:r>
      <w:r w:rsidR="0019566F" w:rsidRPr="00882F11">
        <w:rPr>
          <w:rFonts w:cs="Guttman Drogolin"/>
          <w:rtl/>
          <w:lang w:bidi="he-IL"/>
        </w:rPr>
        <w:t xml:space="preserve"> </w:t>
      </w:r>
      <w:r w:rsidR="0019566F" w:rsidRPr="00882F11">
        <w:rPr>
          <w:rFonts w:cs="Guttman Drogolin" w:hint="cs"/>
          <w:rtl/>
          <w:lang w:bidi="he-IL"/>
        </w:rPr>
        <w:t>ה</w:t>
      </w:r>
      <w:r w:rsidR="0019566F" w:rsidRPr="00882F11">
        <w:rPr>
          <w:rFonts w:cs="Guttman Drogolin"/>
          <w:rtl/>
          <w:lang w:bidi="he-IL"/>
        </w:rPr>
        <w:t>"</w:t>
      </w:r>
      <w:r w:rsidR="0019566F" w:rsidRPr="00882F11">
        <w:rPr>
          <w:rFonts w:cs="Guttman Drogolin" w:hint="cs"/>
          <w:rtl/>
          <w:lang w:bidi="he-IL"/>
        </w:rPr>
        <w:t>ר</w:t>
      </w:r>
      <w:r w:rsidR="0019566F" w:rsidRPr="00882F11">
        <w:rPr>
          <w:rFonts w:cs="Guttman Drogolin"/>
          <w:rtl/>
          <w:lang w:bidi="he-IL"/>
        </w:rPr>
        <w:t xml:space="preserve"> </w:t>
      </w:r>
      <w:r w:rsidR="0019566F" w:rsidRPr="00882F11">
        <w:rPr>
          <w:rFonts w:cs="Guttman Drogolin" w:hint="cs"/>
          <w:rtl/>
          <w:lang w:bidi="he-IL"/>
        </w:rPr>
        <w:t>פרץ</w:t>
      </w:r>
      <w:r w:rsidR="0019566F" w:rsidRPr="00882F11">
        <w:rPr>
          <w:rFonts w:cs="Guttman Drogolin"/>
          <w:rtl/>
          <w:lang w:bidi="he-IL"/>
        </w:rPr>
        <w:t xml:space="preserve"> </w:t>
      </w:r>
      <w:r w:rsidR="0019566F" w:rsidRPr="00882F11">
        <w:rPr>
          <w:rFonts w:cs="Guttman Drogolin" w:hint="cs"/>
          <w:rtl/>
          <w:lang w:bidi="he-IL"/>
        </w:rPr>
        <w:t>יש</w:t>
      </w:r>
      <w:r w:rsidR="0019566F" w:rsidRPr="00882F11">
        <w:rPr>
          <w:rFonts w:cs="Guttman Drogolin"/>
          <w:rtl/>
          <w:lang w:bidi="he-IL"/>
        </w:rPr>
        <w:t xml:space="preserve"> </w:t>
      </w:r>
      <w:r w:rsidR="0019566F" w:rsidRPr="00882F11">
        <w:rPr>
          <w:rFonts w:cs="Guttman Drogolin" w:hint="cs"/>
          <w:rtl/>
          <w:lang w:bidi="he-IL"/>
        </w:rPr>
        <w:t>רוצים</w:t>
      </w:r>
      <w:r w:rsidR="0019566F" w:rsidRPr="00882F11">
        <w:rPr>
          <w:rFonts w:cs="Guttman Drogolin"/>
          <w:rtl/>
          <w:lang w:bidi="he-IL"/>
        </w:rPr>
        <w:t xml:space="preserve"> </w:t>
      </w:r>
      <w:r w:rsidR="0019566F" w:rsidRPr="00882F11">
        <w:rPr>
          <w:rFonts w:cs="Guttman Drogolin" w:hint="cs"/>
          <w:rtl/>
          <w:lang w:bidi="he-IL"/>
        </w:rPr>
        <w:t>להתיר</w:t>
      </w:r>
      <w:r w:rsidR="0019566F" w:rsidRPr="00882F11">
        <w:rPr>
          <w:rFonts w:cs="Guttman Drogolin"/>
          <w:rtl/>
          <w:lang w:bidi="he-IL"/>
        </w:rPr>
        <w:t xml:space="preserve"> </w:t>
      </w:r>
      <w:r w:rsidR="0019566F" w:rsidRPr="00882F11">
        <w:rPr>
          <w:rFonts w:cs="Guttman Drogolin" w:hint="cs"/>
          <w:rtl/>
          <w:lang w:bidi="he-IL"/>
        </w:rPr>
        <w:t>בשר</w:t>
      </w:r>
      <w:r w:rsidR="0019566F" w:rsidRPr="00882F11">
        <w:rPr>
          <w:rFonts w:cs="Guttman Drogolin"/>
          <w:rtl/>
          <w:lang w:bidi="he-IL"/>
        </w:rPr>
        <w:t xml:space="preserve"> </w:t>
      </w:r>
      <w:r w:rsidR="0019566F" w:rsidRPr="00882F11">
        <w:rPr>
          <w:rFonts w:cs="Guttman Drogolin" w:hint="cs"/>
          <w:rtl/>
          <w:lang w:bidi="he-IL"/>
        </w:rPr>
        <w:t>רותח</w:t>
      </w:r>
      <w:r w:rsidR="0019566F" w:rsidRPr="00882F11">
        <w:rPr>
          <w:rFonts w:cs="Guttman Drogolin"/>
          <w:rtl/>
          <w:lang w:bidi="he-IL"/>
        </w:rPr>
        <w:t xml:space="preserve"> </w:t>
      </w:r>
      <w:r w:rsidR="0019566F" w:rsidRPr="00882F11">
        <w:rPr>
          <w:rFonts w:cs="Guttman Drogolin" w:hint="cs"/>
          <w:rtl/>
          <w:lang w:bidi="he-IL"/>
        </w:rPr>
        <w:t>שחתכו</w:t>
      </w:r>
      <w:r w:rsidR="0019566F" w:rsidRPr="00882F11">
        <w:rPr>
          <w:rFonts w:cs="Guttman Drogolin"/>
          <w:rtl/>
          <w:lang w:bidi="he-IL"/>
        </w:rPr>
        <w:t xml:space="preserve"> </w:t>
      </w:r>
      <w:r w:rsidR="0019566F" w:rsidRPr="00882F11">
        <w:rPr>
          <w:rFonts w:cs="Guttman Drogolin" w:hint="cs"/>
          <w:rtl/>
          <w:lang w:bidi="he-IL"/>
        </w:rPr>
        <w:t>בסכין</w:t>
      </w:r>
      <w:r w:rsidR="0019566F" w:rsidRPr="00882F11">
        <w:rPr>
          <w:rFonts w:cs="Guttman Drogolin"/>
          <w:rtl/>
          <w:lang w:bidi="he-IL"/>
        </w:rPr>
        <w:t xml:space="preserve"> </w:t>
      </w:r>
      <w:r w:rsidR="0019566F" w:rsidRPr="00882F11">
        <w:rPr>
          <w:rFonts w:cs="Guttman Drogolin" w:hint="cs"/>
          <w:rtl/>
          <w:lang w:bidi="he-IL"/>
        </w:rPr>
        <w:t>חולבת</w:t>
      </w:r>
      <w:r w:rsidR="0019566F" w:rsidRPr="00882F11">
        <w:rPr>
          <w:rFonts w:cs="Guttman Drogolin"/>
          <w:rtl/>
          <w:lang w:bidi="he-IL"/>
        </w:rPr>
        <w:t xml:space="preserve"> </w:t>
      </w:r>
      <w:r w:rsidR="0019566F" w:rsidRPr="00882F11">
        <w:rPr>
          <w:rFonts w:cs="Guttman Drogolin" w:hint="cs"/>
          <w:rtl/>
          <w:lang w:bidi="he-IL"/>
        </w:rPr>
        <w:t>ע</w:t>
      </w:r>
      <w:r w:rsidR="0019566F" w:rsidRPr="00882F11">
        <w:rPr>
          <w:rFonts w:cs="Guttman Drogolin"/>
          <w:rtl/>
          <w:lang w:bidi="he-IL"/>
        </w:rPr>
        <w:t>"</w:t>
      </w:r>
      <w:r w:rsidR="0019566F" w:rsidRPr="00882F11">
        <w:rPr>
          <w:rFonts w:cs="Guttman Drogolin" w:hint="cs"/>
          <w:rtl/>
          <w:lang w:bidi="he-IL"/>
        </w:rPr>
        <w:t>י</w:t>
      </w:r>
      <w:r w:rsidR="0019566F" w:rsidRPr="00882F11">
        <w:rPr>
          <w:rFonts w:cs="Guttman Drogolin"/>
          <w:rtl/>
          <w:lang w:bidi="he-IL"/>
        </w:rPr>
        <w:t xml:space="preserve"> </w:t>
      </w:r>
      <w:r w:rsidR="0019566F" w:rsidRPr="00882F11">
        <w:rPr>
          <w:rFonts w:cs="Guttman Drogolin" w:hint="cs"/>
          <w:rtl/>
          <w:lang w:bidi="he-IL"/>
        </w:rPr>
        <w:t>קליפה</w:t>
      </w:r>
      <w:r w:rsidR="0019566F" w:rsidRPr="00882F11">
        <w:rPr>
          <w:rFonts w:cs="Guttman Drogolin"/>
          <w:rtl/>
          <w:lang w:bidi="he-IL"/>
        </w:rPr>
        <w:t xml:space="preserve"> </w:t>
      </w:r>
      <w:r w:rsidR="0019566F" w:rsidRPr="00882F11">
        <w:rPr>
          <w:rFonts w:cs="Guttman Drogolin" w:hint="cs"/>
          <w:rtl/>
          <w:lang w:bidi="he-IL"/>
        </w:rPr>
        <w:t>וכדאמרינן</w:t>
      </w:r>
      <w:r w:rsidR="0019566F" w:rsidRPr="00882F11">
        <w:rPr>
          <w:rFonts w:cs="Guttman Drogolin"/>
          <w:rtl/>
          <w:lang w:bidi="he-IL"/>
        </w:rPr>
        <w:t xml:space="preserve"> </w:t>
      </w:r>
      <w:r w:rsidR="0019566F" w:rsidRPr="00882F11">
        <w:rPr>
          <w:rFonts w:cs="Guttman Drogolin" w:hint="cs"/>
          <w:rtl/>
          <w:lang w:bidi="he-IL"/>
        </w:rPr>
        <w:t>גבי</w:t>
      </w:r>
      <w:r w:rsidR="0019566F" w:rsidRPr="00882F11">
        <w:rPr>
          <w:rFonts w:cs="Guttman Drogolin"/>
          <w:rtl/>
          <w:lang w:bidi="he-IL"/>
        </w:rPr>
        <w:t xml:space="preserve"> </w:t>
      </w:r>
      <w:r w:rsidR="0019566F" w:rsidRPr="00882F11">
        <w:rPr>
          <w:rFonts w:cs="Guttman Drogolin" w:hint="cs"/>
          <w:rtl/>
          <w:lang w:bidi="he-IL"/>
        </w:rPr>
        <w:t>בית</w:t>
      </w:r>
      <w:r w:rsidR="0019566F" w:rsidRPr="00882F11">
        <w:rPr>
          <w:rFonts w:cs="Guttman Drogolin"/>
          <w:rtl/>
          <w:lang w:bidi="he-IL"/>
        </w:rPr>
        <w:t xml:space="preserve"> </w:t>
      </w:r>
      <w:r w:rsidR="0019566F" w:rsidRPr="00882F11">
        <w:rPr>
          <w:rFonts w:cs="Guttman Drogolin" w:hint="cs"/>
          <w:rtl/>
          <w:lang w:bidi="he-IL"/>
        </w:rPr>
        <w:t>השחיטה</w:t>
      </w:r>
      <w:r w:rsidR="0019566F" w:rsidRPr="00882F11">
        <w:rPr>
          <w:rFonts w:cs="Guttman Drogolin"/>
          <w:rtl/>
          <w:lang w:bidi="he-IL"/>
        </w:rPr>
        <w:t xml:space="preserve"> </w:t>
      </w:r>
      <w:r w:rsidR="0019566F" w:rsidRPr="00882F11">
        <w:rPr>
          <w:rFonts w:cs="Guttman Drogolin" w:hint="cs"/>
          <w:rtl/>
          <w:lang w:bidi="he-IL"/>
        </w:rPr>
        <w:t>רותח</w:t>
      </w:r>
      <w:r w:rsidR="0019566F" w:rsidRPr="00882F11">
        <w:rPr>
          <w:rFonts w:cs="Guttman Drogolin"/>
          <w:rtl/>
          <w:lang w:bidi="he-IL"/>
        </w:rPr>
        <w:t xml:space="preserve"> </w:t>
      </w:r>
      <w:r w:rsidR="0019566F" w:rsidRPr="00882F11">
        <w:rPr>
          <w:rFonts w:cs="Guttman Drogolin" w:hint="cs"/>
          <w:rtl/>
          <w:lang w:bidi="he-IL"/>
        </w:rPr>
        <w:t>וסגי</w:t>
      </w:r>
      <w:r w:rsidR="0019566F" w:rsidRPr="00882F11">
        <w:rPr>
          <w:rFonts w:cs="Guttman Drogolin"/>
          <w:rtl/>
          <w:lang w:bidi="he-IL"/>
        </w:rPr>
        <w:t xml:space="preserve"> </w:t>
      </w:r>
      <w:r w:rsidR="0019566F" w:rsidRPr="00882F11">
        <w:rPr>
          <w:rFonts w:cs="Guttman Drogolin" w:hint="cs"/>
          <w:rtl/>
          <w:lang w:bidi="he-IL"/>
        </w:rPr>
        <w:t>בקליפה</w:t>
      </w:r>
      <w:r w:rsidR="0019566F" w:rsidRPr="00882F11">
        <w:rPr>
          <w:rFonts w:cs="Guttman Drogolin"/>
          <w:rtl/>
          <w:lang w:bidi="he-IL"/>
        </w:rPr>
        <w:t xml:space="preserve"> </w:t>
      </w:r>
      <w:r w:rsidR="0019566F" w:rsidRPr="00882F11">
        <w:rPr>
          <w:rFonts w:cs="Guttman Drogolin" w:hint="cs"/>
          <w:rtl/>
          <w:lang w:bidi="he-IL"/>
        </w:rPr>
        <w:t>ולא</w:t>
      </w:r>
      <w:r w:rsidR="0019566F" w:rsidRPr="00882F11">
        <w:rPr>
          <w:rFonts w:cs="Guttman Drogolin"/>
          <w:rtl/>
          <w:lang w:bidi="he-IL"/>
        </w:rPr>
        <w:t xml:space="preserve"> </w:t>
      </w:r>
      <w:r w:rsidR="0019566F" w:rsidRPr="00882F11">
        <w:rPr>
          <w:rFonts w:cs="Guttman Drogolin" w:hint="cs"/>
          <w:rtl/>
          <w:lang w:bidi="he-IL"/>
        </w:rPr>
        <w:t>דמי</w:t>
      </w:r>
      <w:r w:rsidR="0019566F" w:rsidRPr="00882F11">
        <w:rPr>
          <w:rFonts w:cs="Guttman Drogolin"/>
          <w:rtl/>
          <w:lang w:bidi="he-IL"/>
        </w:rPr>
        <w:t xml:space="preserve"> </w:t>
      </w:r>
      <w:r w:rsidR="0019566F" w:rsidRPr="00882F11">
        <w:rPr>
          <w:rFonts w:cs="Guttman Drogolin" w:hint="cs"/>
          <w:rtl/>
          <w:lang w:bidi="he-IL"/>
        </w:rPr>
        <w:t>להתם</w:t>
      </w:r>
      <w:r w:rsidR="0019566F" w:rsidRPr="00882F11">
        <w:rPr>
          <w:rFonts w:cs="Guttman Drogolin"/>
          <w:rtl/>
          <w:lang w:bidi="he-IL"/>
        </w:rPr>
        <w:t xml:space="preserve"> </w:t>
      </w:r>
      <w:r w:rsidR="0019566F" w:rsidRPr="00882F11">
        <w:rPr>
          <w:rFonts w:cs="Guttman Drogolin" w:hint="cs"/>
          <w:rtl/>
          <w:lang w:bidi="he-IL"/>
        </w:rPr>
        <w:t>דהתם</w:t>
      </w:r>
      <w:r w:rsidR="0019566F" w:rsidRPr="00882F11">
        <w:rPr>
          <w:rFonts w:cs="Guttman Drogolin"/>
          <w:rtl/>
          <w:lang w:bidi="he-IL"/>
        </w:rPr>
        <w:t xml:space="preserve"> </w:t>
      </w:r>
      <w:r w:rsidR="0019566F" w:rsidRPr="00882F11">
        <w:rPr>
          <w:rFonts w:cs="Guttman Drogolin" w:hint="cs"/>
          <w:rtl/>
          <w:lang w:bidi="he-IL"/>
        </w:rPr>
        <w:t>אין</w:t>
      </w:r>
      <w:r w:rsidR="0019566F" w:rsidRPr="00882F11">
        <w:rPr>
          <w:rFonts w:cs="Guttman Drogolin"/>
          <w:rtl/>
          <w:lang w:bidi="he-IL"/>
        </w:rPr>
        <w:t xml:space="preserve"> </w:t>
      </w:r>
      <w:r w:rsidR="0019566F" w:rsidRPr="00882F11">
        <w:rPr>
          <w:rFonts w:cs="Guttman Drogolin" w:hint="cs"/>
          <w:rtl/>
          <w:lang w:bidi="he-IL"/>
        </w:rPr>
        <w:t>כל</w:t>
      </w:r>
      <w:r w:rsidR="0019566F" w:rsidRPr="00882F11">
        <w:rPr>
          <w:rFonts w:cs="Guttman Drogolin"/>
          <w:rtl/>
          <w:lang w:bidi="he-IL"/>
        </w:rPr>
        <w:t xml:space="preserve"> </w:t>
      </w:r>
      <w:r w:rsidR="0019566F" w:rsidRPr="00882F11">
        <w:rPr>
          <w:rFonts w:cs="Guttman Drogolin" w:hint="cs"/>
          <w:rtl/>
          <w:lang w:bidi="he-IL"/>
        </w:rPr>
        <w:t>הבהמה</w:t>
      </w:r>
      <w:r w:rsidR="0019566F" w:rsidRPr="00882F11">
        <w:rPr>
          <w:rFonts w:cs="Guttman Drogolin"/>
          <w:rtl/>
          <w:lang w:bidi="he-IL"/>
        </w:rPr>
        <w:t xml:space="preserve"> </w:t>
      </w:r>
      <w:r w:rsidR="0019566F" w:rsidRPr="00882F11">
        <w:rPr>
          <w:rFonts w:cs="Guttman Drogolin" w:hint="cs"/>
          <w:rtl/>
          <w:lang w:bidi="he-IL"/>
        </w:rPr>
        <w:t>רותחת</w:t>
      </w:r>
      <w:r w:rsidR="0019566F" w:rsidRPr="00882F11">
        <w:rPr>
          <w:rFonts w:cs="Guttman Drogolin"/>
          <w:rtl/>
          <w:lang w:bidi="he-IL"/>
        </w:rPr>
        <w:t xml:space="preserve"> </w:t>
      </w:r>
      <w:r w:rsidR="0019566F" w:rsidRPr="00882F11">
        <w:rPr>
          <w:rFonts w:cs="Guttman Drogolin" w:hint="cs"/>
          <w:rtl/>
          <w:lang w:bidi="he-IL"/>
        </w:rPr>
        <w:t>אלא</w:t>
      </w:r>
      <w:r w:rsidR="0019566F" w:rsidRPr="00882F11">
        <w:rPr>
          <w:rFonts w:cs="Guttman Drogolin"/>
          <w:rtl/>
          <w:lang w:bidi="he-IL"/>
        </w:rPr>
        <w:t xml:space="preserve"> </w:t>
      </w:r>
      <w:r w:rsidR="0019566F" w:rsidRPr="00882F11">
        <w:rPr>
          <w:rFonts w:cs="Guttman Drogolin" w:hint="cs"/>
          <w:rtl/>
          <w:lang w:bidi="he-IL"/>
        </w:rPr>
        <w:t>מקום</w:t>
      </w:r>
      <w:r w:rsidR="0019566F" w:rsidRPr="00882F11">
        <w:rPr>
          <w:rFonts w:cs="Guttman Drogolin"/>
          <w:rtl/>
          <w:lang w:bidi="he-IL"/>
        </w:rPr>
        <w:t xml:space="preserve"> </w:t>
      </w:r>
      <w:r w:rsidR="0019566F" w:rsidRPr="00882F11">
        <w:rPr>
          <w:rFonts w:cs="Guttman Drogolin" w:hint="cs"/>
          <w:rtl/>
          <w:lang w:bidi="he-IL"/>
        </w:rPr>
        <w:t>בית</w:t>
      </w:r>
      <w:r w:rsidR="0019566F" w:rsidRPr="00882F11">
        <w:rPr>
          <w:rFonts w:cs="Guttman Drogolin"/>
          <w:rtl/>
          <w:lang w:bidi="he-IL"/>
        </w:rPr>
        <w:t xml:space="preserve"> </w:t>
      </w:r>
      <w:r w:rsidR="0019566F" w:rsidRPr="00882F11">
        <w:rPr>
          <w:rFonts w:cs="Guttman Drogolin" w:hint="cs"/>
          <w:rtl/>
          <w:lang w:bidi="he-IL"/>
        </w:rPr>
        <w:t>השחיטה</w:t>
      </w:r>
      <w:r w:rsidR="0019566F" w:rsidRPr="00882F11">
        <w:rPr>
          <w:rFonts w:cs="Guttman Drogolin"/>
          <w:rtl/>
          <w:lang w:bidi="he-IL"/>
        </w:rPr>
        <w:t xml:space="preserve"> </w:t>
      </w:r>
      <w:r w:rsidR="0019566F" w:rsidRPr="00882F11">
        <w:rPr>
          <w:rFonts w:cs="Guttman Drogolin" w:hint="cs"/>
          <w:rtl/>
          <w:lang w:bidi="he-IL"/>
        </w:rPr>
        <w:t>לבד</w:t>
      </w:r>
      <w:r w:rsidR="0019566F" w:rsidRPr="00882F11">
        <w:rPr>
          <w:rFonts w:cs="Guttman Drogolin"/>
          <w:rtl/>
          <w:lang w:bidi="he-IL"/>
        </w:rPr>
        <w:t xml:space="preserve"> </w:t>
      </w:r>
      <w:r w:rsidR="0019566F" w:rsidRPr="00882F11">
        <w:rPr>
          <w:rFonts w:cs="Guttman Drogolin" w:hint="cs"/>
          <w:rtl/>
          <w:lang w:bidi="he-IL"/>
        </w:rPr>
        <w:t>אבל</w:t>
      </w:r>
      <w:r w:rsidR="0019566F" w:rsidRPr="00882F11">
        <w:rPr>
          <w:rFonts w:cs="Guttman Drogolin"/>
          <w:rtl/>
          <w:lang w:bidi="he-IL"/>
        </w:rPr>
        <w:t xml:space="preserve"> </w:t>
      </w:r>
      <w:r w:rsidR="0019566F" w:rsidRPr="00882F11">
        <w:rPr>
          <w:rFonts w:cs="Guttman Drogolin" w:hint="cs"/>
          <w:rtl/>
          <w:lang w:bidi="he-IL"/>
        </w:rPr>
        <w:t>חתיכה</w:t>
      </w:r>
      <w:r w:rsidR="0019566F" w:rsidRPr="00882F11">
        <w:rPr>
          <w:rFonts w:cs="Guttman Drogolin"/>
          <w:rtl/>
          <w:lang w:bidi="he-IL"/>
        </w:rPr>
        <w:t xml:space="preserve"> </w:t>
      </w:r>
      <w:r w:rsidR="0019566F" w:rsidRPr="00882F11">
        <w:rPr>
          <w:rFonts w:cs="Guttman Drogolin" w:hint="cs"/>
          <w:rtl/>
          <w:lang w:bidi="he-IL"/>
        </w:rPr>
        <w:t>שכולה</w:t>
      </w:r>
      <w:r w:rsidR="0019566F" w:rsidRPr="00882F11">
        <w:rPr>
          <w:rFonts w:cs="Guttman Drogolin"/>
          <w:rtl/>
          <w:lang w:bidi="he-IL"/>
        </w:rPr>
        <w:t xml:space="preserve"> </w:t>
      </w:r>
      <w:r w:rsidR="0019566F" w:rsidRPr="00882F11">
        <w:rPr>
          <w:rFonts w:cs="Guttman Drogolin" w:hint="cs"/>
          <w:rtl/>
          <w:lang w:bidi="he-IL"/>
        </w:rPr>
        <w:t>רותחת</w:t>
      </w:r>
      <w:r w:rsidR="0019566F" w:rsidRPr="00882F11">
        <w:rPr>
          <w:rFonts w:cs="Guttman Drogolin"/>
          <w:rtl/>
          <w:lang w:bidi="he-IL"/>
        </w:rPr>
        <w:t xml:space="preserve"> </w:t>
      </w:r>
      <w:r w:rsidR="0019566F" w:rsidRPr="00882F11">
        <w:rPr>
          <w:rFonts w:cs="Guttman Drogolin" w:hint="cs"/>
          <w:rtl/>
          <w:lang w:bidi="he-IL"/>
        </w:rPr>
        <w:t>כשחותכין</w:t>
      </w:r>
      <w:r w:rsidR="0019566F" w:rsidRPr="00882F11">
        <w:rPr>
          <w:rFonts w:cs="Guttman Drogolin"/>
          <w:rtl/>
          <w:lang w:bidi="he-IL"/>
        </w:rPr>
        <w:t xml:space="preserve"> </w:t>
      </w:r>
      <w:r w:rsidR="0019566F" w:rsidRPr="00882F11">
        <w:rPr>
          <w:rFonts w:cs="Guttman Drogolin" w:hint="cs"/>
          <w:rtl/>
          <w:lang w:bidi="he-IL"/>
        </w:rPr>
        <w:t>אותה</w:t>
      </w:r>
      <w:r w:rsidR="0019566F" w:rsidRPr="00882F11">
        <w:rPr>
          <w:rFonts w:cs="Guttman Drogolin"/>
          <w:rtl/>
          <w:lang w:bidi="he-IL"/>
        </w:rPr>
        <w:t xml:space="preserve"> </w:t>
      </w:r>
      <w:r w:rsidR="0019566F" w:rsidRPr="00882F11">
        <w:rPr>
          <w:rFonts w:cs="Guttman Drogolin" w:hint="cs"/>
          <w:rtl/>
          <w:lang w:bidi="he-IL"/>
        </w:rPr>
        <w:t>בסכין</w:t>
      </w:r>
      <w:r w:rsidR="0019566F" w:rsidRPr="00882F11">
        <w:rPr>
          <w:rFonts w:cs="Guttman Drogolin"/>
          <w:rtl/>
          <w:lang w:bidi="he-IL"/>
        </w:rPr>
        <w:t xml:space="preserve"> </w:t>
      </w:r>
      <w:r w:rsidR="0019566F" w:rsidRPr="00882F11">
        <w:rPr>
          <w:rFonts w:cs="Guttman Drogolin" w:hint="cs"/>
          <w:rtl/>
          <w:lang w:bidi="he-IL"/>
        </w:rPr>
        <w:t>חולבת</w:t>
      </w:r>
      <w:r w:rsidR="0019566F" w:rsidRPr="00882F11">
        <w:rPr>
          <w:rFonts w:cs="Guttman Drogolin"/>
          <w:rtl/>
          <w:lang w:bidi="he-IL"/>
        </w:rPr>
        <w:t xml:space="preserve"> </w:t>
      </w:r>
      <w:r w:rsidR="0019566F" w:rsidRPr="00882F11">
        <w:rPr>
          <w:rFonts w:cs="Guttman Drogolin" w:hint="cs"/>
          <w:rtl/>
          <w:lang w:bidi="he-IL"/>
        </w:rPr>
        <w:t>מתפשט</w:t>
      </w:r>
      <w:r w:rsidR="0019566F" w:rsidRPr="00882F11">
        <w:rPr>
          <w:rFonts w:cs="Guttman Drogolin"/>
          <w:rtl/>
          <w:lang w:bidi="he-IL"/>
        </w:rPr>
        <w:t xml:space="preserve"> </w:t>
      </w:r>
      <w:r w:rsidR="0019566F" w:rsidRPr="00882F11">
        <w:rPr>
          <w:rFonts w:cs="Guttman Drogolin" w:hint="cs"/>
          <w:rtl/>
          <w:lang w:bidi="he-IL"/>
        </w:rPr>
        <w:t>בכולה</w:t>
      </w:r>
      <w:r w:rsidR="0019566F" w:rsidRPr="00882F11">
        <w:rPr>
          <w:rFonts w:cs="Guttman Drogolin"/>
          <w:rtl/>
          <w:lang w:bidi="he-IL"/>
        </w:rPr>
        <w:t xml:space="preserve"> </w:t>
      </w:r>
      <w:r w:rsidR="0019566F" w:rsidRPr="00882F11">
        <w:rPr>
          <w:rFonts w:cs="Guttman Drogolin" w:hint="cs"/>
          <w:rtl/>
          <w:lang w:bidi="he-IL"/>
        </w:rPr>
        <w:t>וכולה</w:t>
      </w:r>
      <w:r w:rsidR="0019566F" w:rsidRPr="00882F11">
        <w:rPr>
          <w:rFonts w:cs="Guttman Drogolin"/>
          <w:rtl/>
          <w:lang w:bidi="he-IL"/>
        </w:rPr>
        <w:t xml:space="preserve"> </w:t>
      </w:r>
      <w:r w:rsidR="0019566F" w:rsidRPr="00882F11">
        <w:rPr>
          <w:rFonts w:cs="Guttman Drogolin" w:hint="cs"/>
          <w:rtl/>
          <w:lang w:bidi="he-IL"/>
        </w:rPr>
        <w:t>אסורה</w:t>
      </w:r>
      <w:r w:rsidR="0019566F" w:rsidRPr="00882F11">
        <w:rPr>
          <w:rFonts w:cs="Guttman Drogolin"/>
          <w:rtl/>
          <w:lang w:bidi="he-IL"/>
        </w:rPr>
        <w:t xml:space="preserve"> </w:t>
      </w:r>
      <w:r w:rsidR="0019566F" w:rsidRPr="00882F11">
        <w:rPr>
          <w:rFonts w:cs="Guttman Drogolin" w:hint="cs"/>
          <w:rtl/>
          <w:lang w:bidi="he-IL"/>
        </w:rPr>
        <w:t>אם</w:t>
      </w:r>
      <w:r w:rsidR="0019566F" w:rsidRPr="00882F11">
        <w:rPr>
          <w:rFonts w:cs="Guttman Drogolin"/>
          <w:rtl/>
          <w:lang w:bidi="he-IL"/>
        </w:rPr>
        <w:t xml:space="preserve"> </w:t>
      </w:r>
      <w:r w:rsidR="0019566F" w:rsidRPr="00882F11">
        <w:rPr>
          <w:rFonts w:cs="Guttman Drogolin" w:hint="cs"/>
          <w:rtl/>
          <w:lang w:bidi="he-IL"/>
        </w:rPr>
        <w:t>אין</w:t>
      </w:r>
      <w:r w:rsidR="0019566F" w:rsidRPr="00882F11">
        <w:rPr>
          <w:rFonts w:cs="Guttman Drogolin"/>
          <w:rtl/>
          <w:lang w:bidi="he-IL"/>
        </w:rPr>
        <w:t xml:space="preserve"> </w:t>
      </w:r>
      <w:r w:rsidR="0019566F" w:rsidRPr="00882F11">
        <w:rPr>
          <w:rFonts w:cs="Guttman Drogolin" w:hint="cs"/>
          <w:rtl/>
          <w:lang w:bidi="he-IL"/>
        </w:rPr>
        <w:t>בה</w:t>
      </w:r>
      <w:r w:rsidR="0019566F" w:rsidRPr="00882F11">
        <w:rPr>
          <w:rFonts w:cs="Guttman Drogolin"/>
          <w:rtl/>
          <w:lang w:bidi="he-IL"/>
        </w:rPr>
        <w:t xml:space="preserve"> </w:t>
      </w:r>
      <w:r w:rsidR="0019566F" w:rsidRPr="00882F11">
        <w:rPr>
          <w:rFonts w:cs="Guttman Drogolin" w:hint="cs"/>
          <w:rtl/>
          <w:lang w:bidi="he-IL"/>
        </w:rPr>
        <w:t>ששים</w:t>
      </w:r>
      <w:r w:rsidR="0019566F" w:rsidRPr="00882F11">
        <w:rPr>
          <w:rFonts w:cs="Guttman Drogolin"/>
          <w:rtl/>
          <w:lang w:bidi="he-IL"/>
        </w:rPr>
        <w:t xml:space="preserve"> </w:t>
      </w:r>
      <w:r w:rsidR="0019566F" w:rsidRPr="00882F11">
        <w:rPr>
          <w:rFonts w:cs="Guttman Drogolin" w:hint="cs"/>
          <w:rtl/>
          <w:lang w:bidi="he-IL"/>
        </w:rPr>
        <w:t>כנגד</w:t>
      </w:r>
      <w:r w:rsidR="0019566F" w:rsidRPr="00882F11">
        <w:rPr>
          <w:rFonts w:cs="Guttman Drogolin"/>
          <w:rtl/>
          <w:lang w:bidi="he-IL"/>
        </w:rPr>
        <w:t xml:space="preserve"> </w:t>
      </w:r>
      <w:r w:rsidR="0019566F" w:rsidRPr="00882F11">
        <w:rPr>
          <w:rFonts w:cs="Guttman Drogolin" w:hint="cs"/>
          <w:rtl/>
          <w:lang w:bidi="he-IL"/>
        </w:rPr>
        <w:t>כל</w:t>
      </w:r>
      <w:r w:rsidR="0019566F" w:rsidRPr="00882F11">
        <w:rPr>
          <w:rFonts w:cs="Guttman Drogolin"/>
          <w:rtl/>
          <w:lang w:bidi="he-IL"/>
        </w:rPr>
        <w:t xml:space="preserve"> </w:t>
      </w:r>
      <w:r w:rsidR="0019566F" w:rsidRPr="00882F11">
        <w:rPr>
          <w:rFonts w:cs="Guttman Drogolin" w:hint="cs"/>
          <w:rtl/>
          <w:lang w:bidi="he-IL"/>
        </w:rPr>
        <w:t>הסכין". הרי שאפילו החולקים על רבינו פרץ לא חלקו אלא משום שהי' ראי' מבית השחיטה, ובזה חילק רבינו פרץ בין בית השחיטה לבד לכל הבהמה רותח. ולכאורה כל הענין צ"ע, דהא בצי קיי"ל שאינו מתפשט אלא כדי קליפה או כדי נטילה וכמו שדנו התוס' בדף צ"ו ע"ב אם אינו דבר שמן המפעפע, וא"כ מאי שנא הכא דאמרינן שמתפשט בכולו.</w:t>
      </w:r>
    </w:p>
    <w:p w:rsidR="00CD7F28" w:rsidRPr="00882F11" w:rsidRDefault="0019566F" w:rsidP="00CD7F28">
      <w:pPr>
        <w:tabs>
          <w:tab w:val="right" w:pos="7497"/>
        </w:tabs>
        <w:bidi/>
        <w:jc w:val="both"/>
        <w:rPr>
          <w:rFonts w:cs="Guttman Drogolin"/>
          <w:rtl/>
          <w:lang w:bidi="he-IL"/>
        </w:rPr>
      </w:pPr>
      <w:r w:rsidRPr="00882F11">
        <w:rPr>
          <w:rFonts w:cs="Guttman Drogolin" w:hint="cs"/>
          <w:rtl/>
          <w:lang w:bidi="he-IL"/>
        </w:rPr>
        <w:lastRenderedPageBreak/>
        <w:t>קושיא זו הקשה הש"ך בס"ק כ"ז</w:t>
      </w:r>
      <w:r w:rsidR="00A26381" w:rsidRPr="00882F11">
        <w:rPr>
          <w:rFonts w:cs="Guttman Drogolin" w:hint="cs"/>
          <w:rtl/>
          <w:lang w:bidi="he-IL"/>
        </w:rPr>
        <w:t xml:space="preserve"> והתירוץ הראשון שיש לחלק בין דבר חם בלי רוחקא לעם דוחקא, ומשום שע"י דוחקא דסכינא נבלע יותר, ומשו"ה צריכים ששים בכל החתיכה. והב"י הקשה ממקו"א, והוא ממה שהביא בשם רבינו ירוחם "מעשה</w:t>
      </w:r>
      <w:r w:rsidR="00A26381" w:rsidRPr="00882F11">
        <w:rPr>
          <w:rFonts w:cs="Guttman Drogolin"/>
          <w:rtl/>
          <w:lang w:bidi="he-IL"/>
        </w:rPr>
        <w:t xml:space="preserve"> </w:t>
      </w:r>
      <w:r w:rsidR="00A26381" w:rsidRPr="00882F11">
        <w:rPr>
          <w:rFonts w:cs="Guttman Drogolin" w:hint="cs"/>
          <w:rtl/>
          <w:lang w:bidi="he-IL"/>
        </w:rPr>
        <w:t>היה</w:t>
      </w:r>
      <w:r w:rsidR="00A26381" w:rsidRPr="00882F11">
        <w:rPr>
          <w:rFonts w:cs="Guttman Drogolin"/>
          <w:rtl/>
          <w:lang w:bidi="he-IL"/>
        </w:rPr>
        <w:t xml:space="preserve"> </w:t>
      </w:r>
      <w:r w:rsidR="00A26381" w:rsidRPr="00882F11">
        <w:rPr>
          <w:rFonts w:cs="Guttman Drogolin" w:hint="cs"/>
          <w:rtl/>
          <w:lang w:bidi="he-IL"/>
        </w:rPr>
        <w:t>ונפל</w:t>
      </w:r>
      <w:r w:rsidR="00A26381" w:rsidRPr="00882F11">
        <w:rPr>
          <w:rFonts w:cs="Guttman Drogolin"/>
          <w:rtl/>
          <w:lang w:bidi="he-IL"/>
        </w:rPr>
        <w:t xml:space="preserve"> </w:t>
      </w:r>
      <w:r w:rsidR="00A26381" w:rsidRPr="00882F11">
        <w:rPr>
          <w:rFonts w:cs="Guttman Drogolin" w:hint="cs"/>
          <w:rtl/>
          <w:lang w:bidi="he-IL"/>
        </w:rPr>
        <w:t>תוך</w:t>
      </w:r>
      <w:r w:rsidR="00A26381" w:rsidRPr="00882F11">
        <w:rPr>
          <w:rFonts w:cs="Guttman Drogolin"/>
          <w:rtl/>
          <w:lang w:bidi="he-IL"/>
        </w:rPr>
        <w:t xml:space="preserve"> </w:t>
      </w:r>
      <w:r w:rsidR="00A26381" w:rsidRPr="00882F11">
        <w:rPr>
          <w:rFonts w:cs="Guttman Drogolin" w:hint="cs"/>
          <w:rtl/>
          <w:lang w:bidi="he-IL"/>
        </w:rPr>
        <w:t>תנור</w:t>
      </w:r>
      <w:r w:rsidR="00A26381" w:rsidRPr="00882F11">
        <w:rPr>
          <w:rFonts w:cs="Guttman Drogolin"/>
          <w:rtl/>
          <w:lang w:bidi="he-IL"/>
        </w:rPr>
        <w:t xml:space="preserve"> </w:t>
      </w:r>
      <w:r w:rsidR="00A26381" w:rsidRPr="00882F11">
        <w:rPr>
          <w:rFonts w:cs="Guttman Drogolin" w:hint="cs"/>
          <w:rtl/>
          <w:lang w:bidi="he-IL"/>
        </w:rPr>
        <w:t>של</w:t>
      </w:r>
      <w:r w:rsidR="00A26381" w:rsidRPr="00882F11">
        <w:rPr>
          <w:rFonts w:cs="Guttman Drogolin"/>
          <w:rtl/>
          <w:lang w:bidi="he-IL"/>
        </w:rPr>
        <w:t xml:space="preserve"> </w:t>
      </w:r>
      <w:r w:rsidR="00A26381" w:rsidRPr="00882F11">
        <w:rPr>
          <w:rFonts w:cs="Guttman Drogolin" w:hint="cs"/>
          <w:rtl/>
          <w:lang w:bidi="he-IL"/>
        </w:rPr>
        <w:t>פנאד</w:t>
      </w:r>
      <w:r w:rsidR="00A26381" w:rsidRPr="00882F11">
        <w:rPr>
          <w:rFonts w:cs="Guttman Drogolin"/>
          <w:rtl/>
          <w:lang w:bidi="he-IL"/>
        </w:rPr>
        <w:t>"</w:t>
      </w:r>
      <w:r w:rsidR="00A26381" w:rsidRPr="00882F11">
        <w:rPr>
          <w:rFonts w:cs="Guttman Drogolin" w:hint="cs"/>
          <w:rtl/>
          <w:lang w:bidi="he-IL"/>
        </w:rPr>
        <w:t>ש</w:t>
      </w:r>
      <w:r w:rsidR="00A26381" w:rsidRPr="00882F11">
        <w:rPr>
          <w:rFonts w:cs="Guttman Drogolin"/>
          <w:rtl/>
          <w:lang w:bidi="he-IL"/>
        </w:rPr>
        <w:t xml:space="preserve"> </w:t>
      </w:r>
      <w:r w:rsidR="00A26381" w:rsidRPr="00882F11">
        <w:rPr>
          <w:rFonts w:cs="Guttman Drogolin" w:hint="cs"/>
          <w:rtl/>
          <w:lang w:bidi="he-IL"/>
        </w:rPr>
        <w:t>גבינה</w:t>
      </w:r>
      <w:r w:rsidR="00A26381" w:rsidRPr="00882F11">
        <w:rPr>
          <w:rFonts w:cs="Guttman Drogolin"/>
          <w:rtl/>
          <w:lang w:bidi="he-IL"/>
        </w:rPr>
        <w:t xml:space="preserve"> </w:t>
      </w:r>
      <w:r w:rsidR="00A26381" w:rsidRPr="00882F11">
        <w:rPr>
          <w:rFonts w:cs="Guttman Drogolin" w:hint="cs"/>
          <w:rtl/>
          <w:lang w:bidi="he-IL"/>
        </w:rPr>
        <w:t>והתיר</w:t>
      </w:r>
      <w:r w:rsidR="00A26381" w:rsidRPr="00882F11">
        <w:rPr>
          <w:rFonts w:cs="Guttman Drogolin"/>
          <w:rtl/>
          <w:lang w:bidi="he-IL"/>
        </w:rPr>
        <w:t xml:space="preserve"> </w:t>
      </w:r>
      <w:r w:rsidR="00A26381" w:rsidRPr="00882F11">
        <w:rPr>
          <w:rFonts w:cs="Guttman Drogolin" w:hint="cs"/>
          <w:rtl/>
          <w:lang w:bidi="he-IL"/>
        </w:rPr>
        <w:t>ר</w:t>
      </w:r>
      <w:r w:rsidR="00A26381" w:rsidRPr="00882F11">
        <w:rPr>
          <w:rFonts w:cs="Guttman Drogolin"/>
          <w:rtl/>
          <w:lang w:bidi="he-IL"/>
        </w:rPr>
        <w:t>"</w:t>
      </w:r>
      <w:r w:rsidR="00A26381" w:rsidRPr="00882F11">
        <w:rPr>
          <w:rFonts w:cs="Guttman Drogolin" w:hint="cs"/>
          <w:rtl/>
          <w:lang w:bidi="he-IL"/>
        </w:rPr>
        <w:t>י</w:t>
      </w:r>
      <w:r w:rsidR="00A26381" w:rsidRPr="00882F11">
        <w:rPr>
          <w:rFonts w:cs="Guttman Drogolin"/>
          <w:rtl/>
          <w:lang w:bidi="he-IL"/>
        </w:rPr>
        <w:t xml:space="preserve"> </w:t>
      </w:r>
      <w:r w:rsidR="00A26381" w:rsidRPr="00882F11">
        <w:rPr>
          <w:rFonts w:cs="Guttman Drogolin" w:hint="cs"/>
          <w:rtl/>
          <w:lang w:bidi="he-IL"/>
        </w:rPr>
        <w:t>הפנאד</w:t>
      </w:r>
      <w:r w:rsidR="00A26381" w:rsidRPr="00882F11">
        <w:rPr>
          <w:rFonts w:cs="Guttman Drogolin"/>
          <w:rtl/>
          <w:lang w:bidi="he-IL"/>
        </w:rPr>
        <w:t>"</w:t>
      </w:r>
      <w:r w:rsidR="00A26381" w:rsidRPr="00882F11">
        <w:rPr>
          <w:rFonts w:cs="Guttman Drogolin" w:hint="cs"/>
          <w:rtl/>
          <w:lang w:bidi="he-IL"/>
        </w:rPr>
        <w:t>ש</w:t>
      </w:r>
      <w:r w:rsidR="00A26381" w:rsidRPr="00882F11">
        <w:rPr>
          <w:rFonts w:cs="Guttman Drogolin"/>
          <w:rtl/>
          <w:lang w:bidi="he-IL"/>
        </w:rPr>
        <w:t xml:space="preserve"> </w:t>
      </w:r>
      <w:r w:rsidR="00A26381" w:rsidRPr="00882F11">
        <w:rPr>
          <w:rFonts w:cs="Guttman Drogolin" w:hint="cs"/>
          <w:rtl/>
          <w:lang w:bidi="he-IL"/>
        </w:rPr>
        <w:t>בקליפה</w:t>
      </w:r>
      <w:r w:rsidR="00A26381" w:rsidRPr="00882F11">
        <w:rPr>
          <w:rFonts w:cs="Guttman Drogolin"/>
          <w:rtl/>
          <w:lang w:bidi="he-IL"/>
        </w:rPr>
        <w:t xml:space="preserve"> </w:t>
      </w:r>
      <w:r w:rsidR="00A26381" w:rsidRPr="00882F11">
        <w:rPr>
          <w:rFonts w:cs="Guttman Drogolin" w:hint="cs"/>
          <w:rtl/>
          <w:lang w:bidi="he-IL"/>
        </w:rPr>
        <w:t>להסיר</w:t>
      </w:r>
      <w:r w:rsidR="00A26381" w:rsidRPr="00882F11">
        <w:rPr>
          <w:rFonts w:cs="Guttman Drogolin"/>
          <w:rtl/>
          <w:lang w:bidi="he-IL"/>
        </w:rPr>
        <w:t xml:space="preserve"> </w:t>
      </w:r>
      <w:r w:rsidR="00A26381" w:rsidRPr="00882F11">
        <w:rPr>
          <w:rFonts w:cs="Guttman Drogolin" w:hint="cs"/>
          <w:rtl/>
          <w:lang w:bidi="he-IL"/>
        </w:rPr>
        <w:t>מעליה</w:t>
      </w:r>
      <w:r w:rsidR="00A26381" w:rsidRPr="00882F11">
        <w:rPr>
          <w:rFonts w:cs="Guttman Drogolin"/>
          <w:rtl/>
          <w:lang w:bidi="he-IL"/>
        </w:rPr>
        <w:t xml:space="preserve"> </w:t>
      </w:r>
      <w:r w:rsidR="00A26381" w:rsidRPr="00882F11">
        <w:rPr>
          <w:rFonts w:cs="Guttman Drogolin" w:hint="cs"/>
          <w:rtl/>
          <w:lang w:bidi="he-IL"/>
        </w:rPr>
        <w:t>ואפילו</w:t>
      </w:r>
      <w:r w:rsidR="00A26381" w:rsidRPr="00882F11">
        <w:rPr>
          <w:rFonts w:cs="Guttman Drogolin"/>
          <w:rtl/>
          <w:lang w:bidi="he-IL"/>
        </w:rPr>
        <w:t xml:space="preserve"> </w:t>
      </w:r>
      <w:r w:rsidR="00A26381" w:rsidRPr="00882F11">
        <w:rPr>
          <w:rFonts w:cs="Guttman Drogolin" w:hint="cs"/>
          <w:rtl/>
          <w:lang w:bidi="he-IL"/>
        </w:rPr>
        <w:t>שהגבינה</w:t>
      </w:r>
      <w:r w:rsidR="00A26381" w:rsidRPr="00882F11">
        <w:rPr>
          <w:rFonts w:cs="Guttman Drogolin"/>
          <w:rtl/>
          <w:lang w:bidi="he-IL"/>
        </w:rPr>
        <w:t xml:space="preserve"> </w:t>
      </w:r>
      <w:r w:rsidR="00A26381" w:rsidRPr="00882F11">
        <w:rPr>
          <w:rFonts w:cs="Guttman Drogolin" w:hint="cs"/>
          <w:rtl/>
          <w:lang w:bidi="he-IL"/>
        </w:rPr>
        <w:t>לחה</w:t>
      </w:r>
      <w:r w:rsidR="00A26381" w:rsidRPr="00882F11">
        <w:rPr>
          <w:rFonts w:cs="Guttman Drogolin"/>
          <w:rtl/>
          <w:lang w:bidi="he-IL"/>
        </w:rPr>
        <w:t xml:space="preserve"> </w:t>
      </w:r>
      <w:r w:rsidR="00A26381" w:rsidRPr="00882F11">
        <w:rPr>
          <w:rFonts w:cs="Guttman Drogolin" w:hint="cs"/>
          <w:rtl/>
          <w:lang w:bidi="he-IL"/>
        </w:rPr>
        <w:t>שאין</w:t>
      </w:r>
      <w:r w:rsidR="00A26381" w:rsidRPr="00882F11">
        <w:rPr>
          <w:rFonts w:cs="Guttman Drogolin"/>
          <w:rtl/>
          <w:lang w:bidi="he-IL"/>
        </w:rPr>
        <w:t xml:space="preserve"> </w:t>
      </w:r>
      <w:r w:rsidR="00A26381" w:rsidRPr="00882F11">
        <w:rPr>
          <w:rFonts w:cs="Guttman Drogolin" w:hint="cs"/>
          <w:rtl/>
          <w:lang w:bidi="he-IL"/>
        </w:rPr>
        <w:t>דרך</w:t>
      </w:r>
      <w:r w:rsidR="00A26381" w:rsidRPr="00882F11">
        <w:rPr>
          <w:rFonts w:cs="Guttman Drogolin"/>
          <w:rtl/>
          <w:lang w:bidi="he-IL"/>
        </w:rPr>
        <w:t xml:space="preserve"> </w:t>
      </w:r>
      <w:r w:rsidR="00A26381" w:rsidRPr="00882F11">
        <w:rPr>
          <w:rFonts w:cs="Guttman Drogolin" w:hint="cs"/>
          <w:rtl/>
          <w:lang w:bidi="he-IL"/>
        </w:rPr>
        <w:t>גבינה</w:t>
      </w:r>
      <w:r w:rsidR="00A26381" w:rsidRPr="00882F11">
        <w:rPr>
          <w:rFonts w:cs="Guttman Drogolin"/>
          <w:rtl/>
          <w:lang w:bidi="he-IL"/>
        </w:rPr>
        <w:t xml:space="preserve"> </w:t>
      </w:r>
      <w:r w:rsidR="00A26381" w:rsidRPr="00882F11">
        <w:rPr>
          <w:rFonts w:cs="Guttman Drogolin" w:hint="cs"/>
          <w:rtl/>
          <w:lang w:bidi="he-IL"/>
        </w:rPr>
        <w:t>ליכנס</w:t>
      </w:r>
      <w:r w:rsidR="00A26381" w:rsidRPr="00882F11">
        <w:rPr>
          <w:rFonts w:cs="Guttman Drogolin"/>
          <w:rtl/>
          <w:lang w:bidi="he-IL"/>
        </w:rPr>
        <w:t xml:space="preserve"> </w:t>
      </w:r>
      <w:r w:rsidR="00A26381" w:rsidRPr="00882F11">
        <w:rPr>
          <w:rFonts w:cs="Guttman Drogolin" w:hint="cs"/>
          <w:rtl/>
          <w:lang w:bidi="he-IL"/>
        </w:rPr>
        <w:t>כל</w:t>
      </w:r>
      <w:r w:rsidR="00A26381" w:rsidRPr="00882F11">
        <w:rPr>
          <w:rFonts w:cs="Guttman Drogolin"/>
          <w:rtl/>
          <w:lang w:bidi="he-IL"/>
        </w:rPr>
        <w:t xml:space="preserve"> </w:t>
      </w:r>
      <w:r w:rsidR="00A26381" w:rsidRPr="00882F11">
        <w:rPr>
          <w:rFonts w:cs="Guttman Drogolin" w:hint="cs"/>
          <w:rtl/>
          <w:lang w:bidi="he-IL"/>
        </w:rPr>
        <w:t>כך". הרי דכאן לא הצריך ששים בכל החתיכה, והעיר הב"י דמאי שנא מהא דר' פרץ. וגם בזה כתב הב"י תי' א' כנ"ל מהש"ך, שיש לחלק בין היכא דאיכא דוחקא להיכא דליכא. ולכאורה צ"ע למה הב"י לא הקשה מכל צלי רק מהא דרבינו ירוחם.</w:t>
      </w:r>
      <w:r w:rsidR="00CD7F28" w:rsidRPr="00882F11">
        <w:rPr>
          <w:rFonts w:cs="Guttman Drogolin" w:hint="cs"/>
          <w:rtl/>
          <w:lang w:bidi="he-IL"/>
        </w:rPr>
        <w:t xml:space="preserve"> ולכאורה י"ל שהי' פשוט לו לב"י שעם דוחקא שאני, אבל כיון ר' ירוחם כתב שיש לגבינה תכונה שאינו נכנס כל כך עדיין קשה. ולכן חידש שגם בזה אמרינן אמרינן דדוחקא שאני.</w:t>
      </w:r>
    </w:p>
    <w:p w:rsidR="005F26E5" w:rsidRPr="00882F11" w:rsidRDefault="00CD7F28" w:rsidP="00CD7F28">
      <w:pPr>
        <w:tabs>
          <w:tab w:val="right" w:pos="7497"/>
        </w:tabs>
        <w:bidi/>
        <w:jc w:val="both"/>
        <w:rPr>
          <w:rFonts w:cs="Guttman Drogolin"/>
          <w:rtl/>
          <w:lang w:bidi="he-IL"/>
        </w:rPr>
      </w:pPr>
      <w:r w:rsidRPr="00882F11">
        <w:rPr>
          <w:rFonts w:cs="Guttman Drogolin" w:hint="cs"/>
          <w:rtl/>
          <w:lang w:bidi="he-IL"/>
        </w:rPr>
        <w:t>ואנחנו מוצאים כאן חומרא דדוחקא גם במקום אחר. והוא שהרי הרמ"א הוסיף על דברי המחבר "וכל</w:t>
      </w:r>
      <w:r w:rsidRPr="00882F11">
        <w:rPr>
          <w:rFonts w:cs="Guttman Drogolin"/>
          <w:rtl/>
          <w:lang w:bidi="he-IL"/>
        </w:rPr>
        <w:t xml:space="preserve"> </w:t>
      </w:r>
      <w:r w:rsidRPr="00882F11">
        <w:rPr>
          <w:rFonts w:cs="Guttman Drogolin" w:hint="cs"/>
          <w:rtl/>
          <w:lang w:bidi="he-IL"/>
        </w:rPr>
        <w:t>זה</w:t>
      </w:r>
      <w:r w:rsidRPr="00882F11">
        <w:rPr>
          <w:rFonts w:cs="Guttman Drogolin"/>
          <w:rtl/>
          <w:lang w:bidi="he-IL"/>
        </w:rPr>
        <w:t xml:space="preserve"> </w:t>
      </w:r>
      <w:r w:rsidRPr="00882F11">
        <w:rPr>
          <w:rFonts w:cs="Guttman Drogolin" w:hint="cs"/>
          <w:rtl/>
          <w:lang w:bidi="he-IL"/>
        </w:rPr>
        <w:t>בבשר</w:t>
      </w:r>
      <w:r w:rsidRPr="00882F11">
        <w:rPr>
          <w:rFonts w:cs="Guttman Drogolin"/>
          <w:rtl/>
          <w:lang w:bidi="he-IL"/>
        </w:rPr>
        <w:t xml:space="preserve"> </w:t>
      </w:r>
      <w:r w:rsidRPr="00882F11">
        <w:rPr>
          <w:rFonts w:cs="Guttman Drogolin" w:hint="cs"/>
          <w:rtl/>
          <w:lang w:bidi="he-IL"/>
        </w:rPr>
        <w:t>רותח</w:t>
      </w:r>
      <w:r w:rsidRPr="00882F11">
        <w:rPr>
          <w:rFonts w:cs="Guttman Drogolin"/>
          <w:rtl/>
          <w:lang w:bidi="he-IL"/>
        </w:rPr>
        <w:t xml:space="preserve"> </w:t>
      </w:r>
      <w:r w:rsidRPr="00882F11">
        <w:rPr>
          <w:rFonts w:cs="Guttman Drogolin" w:hint="cs"/>
          <w:rtl/>
          <w:lang w:bidi="he-IL"/>
        </w:rPr>
        <w:t>בכלי</w:t>
      </w:r>
      <w:r w:rsidRPr="00882F11">
        <w:rPr>
          <w:rFonts w:cs="Guttman Drogolin"/>
          <w:rtl/>
          <w:lang w:bidi="he-IL"/>
        </w:rPr>
        <w:t xml:space="preserve"> </w:t>
      </w:r>
      <w:r w:rsidRPr="00882F11">
        <w:rPr>
          <w:rFonts w:cs="Guttman Drogolin" w:hint="cs"/>
          <w:rtl/>
          <w:lang w:bidi="he-IL"/>
        </w:rPr>
        <w:t>ראשון</w:t>
      </w:r>
      <w:r w:rsidRPr="00882F11">
        <w:rPr>
          <w:rFonts w:cs="Guttman Drogolin"/>
          <w:rtl/>
          <w:lang w:bidi="he-IL"/>
        </w:rPr>
        <w:t xml:space="preserve"> </w:t>
      </w:r>
      <w:r w:rsidRPr="00882F11">
        <w:rPr>
          <w:rFonts w:cs="Guttman Drogolin" w:hint="cs"/>
          <w:rtl/>
          <w:lang w:bidi="he-IL"/>
        </w:rPr>
        <w:t>ואז</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הסכין</w:t>
      </w:r>
      <w:r w:rsidRPr="00882F11">
        <w:rPr>
          <w:rFonts w:cs="Guttman Drogolin"/>
          <w:rtl/>
          <w:lang w:bidi="he-IL"/>
        </w:rPr>
        <w:t xml:space="preserve"> </w:t>
      </w:r>
      <w:r w:rsidRPr="00882F11">
        <w:rPr>
          <w:rFonts w:cs="Guttman Drogolin" w:hint="cs"/>
          <w:rtl/>
          <w:lang w:bidi="he-IL"/>
        </w:rPr>
        <w:t>בן</w:t>
      </w:r>
      <w:r w:rsidRPr="00882F11">
        <w:rPr>
          <w:rFonts w:cs="Guttman Drogolin"/>
          <w:rtl/>
          <w:lang w:bidi="he-IL"/>
        </w:rPr>
        <w:t xml:space="preserve"> </w:t>
      </w:r>
      <w:r w:rsidRPr="00882F11">
        <w:rPr>
          <w:rFonts w:cs="Guttman Drogolin" w:hint="cs"/>
          <w:rtl/>
          <w:lang w:bidi="he-IL"/>
        </w:rPr>
        <w:t>יומו</w:t>
      </w:r>
      <w:r w:rsidRPr="00882F11">
        <w:rPr>
          <w:rFonts w:cs="Guttman Drogolin"/>
          <w:rtl/>
          <w:lang w:bidi="he-IL"/>
        </w:rPr>
        <w:t xml:space="preserve"> </w:t>
      </w:r>
      <w:r w:rsidRPr="00882F11">
        <w:rPr>
          <w:rFonts w:cs="Guttman Drogolin" w:hint="cs"/>
          <w:rtl/>
          <w:lang w:bidi="he-IL"/>
        </w:rPr>
        <w:t>וכו' אבל</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הוא</w:t>
      </w:r>
      <w:r w:rsidRPr="00882F11">
        <w:rPr>
          <w:rFonts w:cs="Guttman Drogolin"/>
          <w:rtl/>
          <w:lang w:bidi="he-IL"/>
        </w:rPr>
        <w:t xml:space="preserve"> </w:t>
      </w:r>
      <w:r w:rsidRPr="00882F11">
        <w:rPr>
          <w:rFonts w:cs="Guttman Drogolin" w:hint="cs"/>
          <w:rtl/>
          <w:lang w:bidi="he-IL"/>
        </w:rPr>
        <w:t>כלי</w:t>
      </w:r>
      <w:r w:rsidRPr="00882F11">
        <w:rPr>
          <w:rFonts w:cs="Guttman Drogolin"/>
          <w:rtl/>
          <w:lang w:bidi="he-IL"/>
        </w:rPr>
        <w:t xml:space="preserve"> </w:t>
      </w:r>
      <w:r w:rsidRPr="00882F11">
        <w:rPr>
          <w:rFonts w:cs="Guttman Drogolin" w:hint="cs"/>
          <w:rtl/>
          <w:lang w:bidi="he-IL"/>
        </w:rPr>
        <w:t>שני</w:t>
      </w:r>
      <w:r w:rsidRPr="00882F11">
        <w:rPr>
          <w:rFonts w:cs="Guttman Drogolin"/>
          <w:rtl/>
          <w:lang w:bidi="he-IL"/>
        </w:rPr>
        <w:t xml:space="preserve"> </w:t>
      </w:r>
      <w:r w:rsidRPr="00882F11">
        <w:rPr>
          <w:rFonts w:cs="Guttman Drogolin" w:hint="cs"/>
          <w:rtl/>
          <w:lang w:bidi="he-IL"/>
        </w:rPr>
        <w:t>הבשר</w:t>
      </w:r>
      <w:r w:rsidRPr="00882F11">
        <w:rPr>
          <w:rFonts w:cs="Guttman Drogolin"/>
          <w:rtl/>
          <w:lang w:bidi="he-IL"/>
        </w:rPr>
        <w:t xml:space="preserve"> </w:t>
      </w:r>
      <w:r w:rsidRPr="00882F11">
        <w:rPr>
          <w:rFonts w:cs="Guttman Drogolin" w:hint="cs"/>
          <w:rtl/>
          <w:lang w:bidi="he-IL"/>
        </w:rPr>
        <w:t>צריך</w:t>
      </w:r>
      <w:r w:rsidRPr="00882F11">
        <w:rPr>
          <w:rFonts w:cs="Guttman Drogolin"/>
          <w:rtl/>
          <w:lang w:bidi="he-IL"/>
        </w:rPr>
        <w:t xml:space="preserve"> </w:t>
      </w:r>
      <w:r w:rsidRPr="00882F11">
        <w:rPr>
          <w:rFonts w:cs="Guttman Drogolin" w:hint="cs"/>
          <w:rtl/>
          <w:lang w:bidi="he-IL"/>
        </w:rPr>
        <w:t>קליפה וכו'" ושם בט"ז העיר בזה שלא הביא הרמ"א את דברי האו"ה דסבר דעד כאן לא אמרינן דכלי שני הוי כצונן אלא בלי דוחקא דסכינא, אבל עם דוחקא דסכינא גם כלי שני אוסר. וע"ש שיש שסוברים שכל דבר בגוש בכלי שני הוי ככלי ראשון כיון דלית לי' דפנות המקררות, שזהו יסוד ההיתר של כלי שני וכדמבואר במס' שבת דף מ' ע"ב, אבל איהו לא החמיר</w:t>
      </w:r>
      <w:r w:rsidR="00D7429E" w:rsidRPr="00882F11">
        <w:rPr>
          <w:rFonts w:cs="Guttman Drogolin" w:hint="cs"/>
          <w:rtl/>
          <w:lang w:bidi="he-IL"/>
        </w:rPr>
        <w:t xml:space="preserve"> </w:t>
      </w:r>
      <w:r w:rsidR="00D47EE9" w:rsidRPr="00882F11">
        <w:rPr>
          <w:rFonts w:cs="Guttman Drogolin" w:hint="cs"/>
          <w:rtl/>
          <w:lang w:bidi="he-IL"/>
        </w:rPr>
        <w:t>אלא במקום דוחקא.</w:t>
      </w:r>
      <w:r w:rsidR="00A26381" w:rsidRPr="00882F11">
        <w:rPr>
          <w:rFonts w:cs="Guttman Drogolin" w:hint="cs"/>
          <w:rtl/>
          <w:lang w:bidi="he-IL"/>
        </w:rPr>
        <w:t xml:space="preserve"> </w:t>
      </w:r>
      <w:r w:rsidR="0019566F" w:rsidRPr="00882F11">
        <w:rPr>
          <w:rFonts w:cs="Guttman Drogolin" w:hint="cs"/>
          <w:rtl/>
          <w:lang w:bidi="he-IL"/>
        </w:rPr>
        <w:t xml:space="preserve"> </w:t>
      </w:r>
      <w:r w:rsidR="00BD24A9" w:rsidRPr="00882F11">
        <w:rPr>
          <w:rFonts w:cs="Guttman Drogolin" w:hint="cs"/>
          <w:rtl/>
          <w:lang w:bidi="he-IL"/>
        </w:rPr>
        <w:t xml:space="preserve"> </w:t>
      </w:r>
    </w:p>
    <w:p w:rsidR="00FA1278" w:rsidRPr="00882F11" w:rsidRDefault="00FA1278" w:rsidP="00FA1278">
      <w:pPr>
        <w:tabs>
          <w:tab w:val="right" w:pos="7497"/>
        </w:tabs>
        <w:bidi/>
        <w:jc w:val="both"/>
        <w:rPr>
          <w:rFonts w:cs="Guttman Drogolin"/>
          <w:rtl/>
          <w:lang w:bidi="he-IL"/>
        </w:rPr>
      </w:pPr>
      <w:r w:rsidRPr="00882F11">
        <w:rPr>
          <w:rFonts w:cs="Guttman Drogolin" w:hint="cs"/>
          <w:rtl/>
          <w:lang w:bidi="he-IL"/>
        </w:rPr>
        <w:t xml:space="preserve">ויש נידון בט"ז ובנקוה"כ אם צריכים ס' ג"כ נגד השמנונית, דכפשוטו צריך וכמו שהעיר הט"ז אבל מ"מ הנקוה"כ כתב ליישב שיטת הר' פרץ שאינו צריך כיון דדבר מועט הוא. ור"ל שיש איסור </w:t>
      </w:r>
      <w:r w:rsidRPr="00882F11">
        <w:rPr>
          <w:rFonts w:cs="Guttman Drogolin" w:hint="cs"/>
          <w:rtl/>
          <w:lang w:bidi="he-IL"/>
        </w:rPr>
        <w:lastRenderedPageBreak/>
        <w:t xml:space="preserve">שכמותו כ"כ מועטת שאינו יכול להשפיע אע"פ שאין ס' כנגדו, וצ"ע מנין לנו חידוש כזה. </w:t>
      </w:r>
    </w:p>
    <w:p w:rsidR="009858D5" w:rsidRPr="00882F11" w:rsidRDefault="009858D5" w:rsidP="009858D5">
      <w:pPr>
        <w:tabs>
          <w:tab w:val="right" w:pos="7497"/>
        </w:tabs>
        <w:bidi/>
        <w:jc w:val="both"/>
        <w:rPr>
          <w:rFonts w:cs="Guttman Drogolin"/>
          <w:rtl/>
          <w:lang w:bidi="he-IL"/>
        </w:rPr>
      </w:pPr>
      <w:r w:rsidRPr="00882F11">
        <w:rPr>
          <w:rFonts w:cs="Guttman Drogolin" w:hint="cs"/>
          <w:rtl/>
          <w:lang w:bidi="he-IL"/>
        </w:rPr>
        <w:t>והב"י והש"ך מביאים עוד תי' שאין חילוק בין עם דוחקא לבלי דוחקא, אבל שאני הכא שיש שמנונית. וע' בחוו"ד שהעיר דא"כ גם באינו בן יומו היינו צריכים ס', ותי' שאין צריך ששים אא"כ יש גם בליעות של הסכין וגם שמנונית.</w:t>
      </w:r>
    </w:p>
    <w:p w:rsidR="00FA1278" w:rsidRPr="00882F11" w:rsidRDefault="00FA1278" w:rsidP="00FA1278">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pPr>
      <w:bookmarkStart w:id="254" w:name="_Toc496175508"/>
      <w:r w:rsidRPr="00882F11">
        <w:rPr>
          <w:rFonts w:asciiTheme="majorHAnsi" w:eastAsiaTheme="majorEastAsia" w:hAnsiTheme="majorHAnsi" w:cs="Guttman Drogolin" w:hint="cs"/>
          <w:b/>
          <w:bCs/>
          <w:sz w:val="24"/>
          <w:szCs w:val="24"/>
          <w:u w:val="single"/>
          <w:rtl/>
          <w:lang w:bidi="he-IL"/>
        </w:rPr>
        <w:t>כחו של כלי להלפיט לתוך מאכל</w:t>
      </w:r>
      <w:bookmarkEnd w:id="254"/>
    </w:p>
    <w:p w:rsidR="00FA1278" w:rsidRPr="00882F11" w:rsidRDefault="000F139F" w:rsidP="00FA1278">
      <w:pPr>
        <w:tabs>
          <w:tab w:val="right" w:pos="7497"/>
        </w:tabs>
        <w:bidi/>
        <w:jc w:val="both"/>
        <w:rPr>
          <w:rFonts w:cs="Guttman Drogolin"/>
          <w:rtl/>
          <w:lang w:bidi="he-IL"/>
        </w:rPr>
      </w:pPr>
      <w:r>
        <w:rPr>
          <w:rFonts w:cs="Guttman Drogolin"/>
          <w:rtl/>
          <w:lang w:bidi="he-IL"/>
        </w:rPr>
        <w:fldChar w:fldCharType="begin"/>
      </w:r>
      <w:r>
        <w:instrText xml:space="preserve"> XE "</w:instrText>
      </w:r>
      <w:r w:rsidRPr="00C06367">
        <w:rPr>
          <w:rFonts w:hint="cs"/>
          <w:rtl/>
          <w:lang w:bidi="he-IL"/>
        </w:rPr>
        <w:instrText>צלי</w:instrText>
      </w:r>
      <w:r w:rsidRPr="00C06367">
        <w:rPr>
          <w:rtl/>
        </w:rPr>
        <w:instrText>:</w:instrText>
      </w:r>
      <w:r w:rsidRPr="00C06367">
        <w:rPr>
          <w:rFonts w:hint="cs"/>
          <w:rtl/>
          <w:lang w:bidi="he-IL"/>
        </w:rPr>
        <w:instrText>עד כמה כלי מפליט לתוך מאכל</w:instrText>
      </w:r>
      <w:r>
        <w:instrText xml:space="preserve">" </w:instrText>
      </w:r>
      <w:r>
        <w:rPr>
          <w:rFonts w:cs="Guttman Drogolin"/>
          <w:rtl/>
          <w:lang w:bidi="he-IL"/>
        </w:rPr>
        <w:fldChar w:fldCharType="end"/>
      </w:r>
      <w:r w:rsidR="00FA1278" w:rsidRPr="00882F11">
        <w:rPr>
          <w:rFonts w:cs="Guttman Drogolin" w:hint="cs"/>
          <w:rtl/>
          <w:lang w:bidi="he-IL"/>
        </w:rPr>
        <w:t>כתב הב"י בסוף הסימן בשם רבינו</w:t>
      </w:r>
      <w:r w:rsidR="00FA1278" w:rsidRPr="00882F11">
        <w:rPr>
          <w:rFonts w:cs="Guttman Drogolin"/>
          <w:rtl/>
          <w:lang w:bidi="he-IL"/>
        </w:rPr>
        <w:t xml:space="preserve"> </w:t>
      </w:r>
      <w:r w:rsidR="00FA1278" w:rsidRPr="00882F11">
        <w:rPr>
          <w:rFonts w:cs="Guttman Drogolin" w:hint="cs"/>
          <w:rtl/>
          <w:lang w:bidi="he-IL"/>
        </w:rPr>
        <w:t>ירוחם</w:t>
      </w:r>
      <w:r w:rsidR="00FA1278" w:rsidRPr="00882F11">
        <w:rPr>
          <w:rFonts w:cs="Guttman Drogolin"/>
          <w:rtl/>
          <w:lang w:bidi="he-IL"/>
        </w:rPr>
        <w:t xml:space="preserve"> </w:t>
      </w:r>
      <w:r w:rsidR="00FA1278" w:rsidRPr="00882F11">
        <w:rPr>
          <w:rFonts w:cs="Guttman Drogolin" w:hint="cs"/>
          <w:rtl/>
          <w:lang w:bidi="he-IL"/>
        </w:rPr>
        <w:t>מעשה</w:t>
      </w:r>
      <w:r w:rsidR="00FA1278" w:rsidRPr="00882F11">
        <w:rPr>
          <w:rFonts w:cs="Guttman Drogolin"/>
          <w:rtl/>
          <w:lang w:bidi="he-IL"/>
        </w:rPr>
        <w:t xml:space="preserve"> </w:t>
      </w:r>
      <w:r>
        <w:rPr>
          <w:rFonts w:cs="Guttman Drogolin" w:hint="cs"/>
          <w:rtl/>
          <w:lang w:bidi="he-IL"/>
        </w:rPr>
        <w:t>ש</w:t>
      </w:r>
      <w:r w:rsidR="00FA1278" w:rsidRPr="00882F11">
        <w:rPr>
          <w:rFonts w:cs="Guttman Drogolin" w:hint="cs"/>
          <w:rtl/>
          <w:lang w:bidi="he-IL"/>
        </w:rPr>
        <w:t>היה</w:t>
      </w:r>
      <w:r w:rsidR="00FA1278" w:rsidRPr="00882F11">
        <w:rPr>
          <w:rFonts w:cs="Guttman Drogolin"/>
          <w:rtl/>
          <w:lang w:bidi="he-IL"/>
        </w:rPr>
        <w:t xml:space="preserve"> </w:t>
      </w:r>
      <w:r w:rsidR="00FA1278" w:rsidRPr="00882F11">
        <w:rPr>
          <w:rFonts w:cs="Guttman Drogolin" w:hint="cs"/>
          <w:rtl/>
          <w:lang w:bidi="he-IL"/>
        </w:rPr>
        <w:t>ונפל</w:t>
      </w:r>
      <w:r w:rsidR="00FA1278" w:rsidRPr="00882F11">
        <w:rPr>
          <w:rFonts w:cs="Guttman Drogolin"/>
          <w:rtl/>
          <w:lang w:bidi="he-IL"/>
        </w:rPr>
        <w:t xml:space="preserve"> </w:t>
      </w:r>
      <w:r w:rsidR="00FA1278" w:rsidRPr="00882F11">
        <w:rPr>
          <w:rFonts w:cs="Guttman Drogolin" w:hint="cs"/>
          <w:rtl/>
          <w:lang w:bidi="he-IL"/>
        </w:rPr>
        <w:t>תוך</w:t>
      </w:r>
      <w:r w:rsidR="00FA1278" w:rsidRPr="00882F11">
        <w:rPr>
          <w:rFonts w:cs="Guttman Drogolin"/>
          <w:rtl/>
          <w:lang w:bidi="he-IL"/>
        </w:rPr>
        <w:t xml:space="preserve"> </w:t>
      </w:r>
      <w:r w:rsidR="00FA1278" w:rsidRPr="00882F11">
        <w:rPr>
          <w:rFonts w:cs="Guttman Drogolin" w:hint="cs"/>
          <w:rtl/>
          <w:lang w:bidi="he-IL"/>
        </w:rPr>
        <w:t>תנור</w:t>
      </w:r>
      <w:r w:rsidR="00FA1278" w:rsidRPr="00882F11">
        <w:rPr>
          <w:rFonts w:cs="Guttman Drogolin"/>
          <w:rtl/>
          <w:lang w:bidi="he-IL"/>
        </w:rPr>
        <w:t xml:space="preserve"> </w:t>
      </w:r>
      <w:r w:rsidR="00FA1278" w:rsidRPr="00882F11">
        <w:rPr>
          <w:rFonts w:cs="Guttman Drogolin" w:hint="cs"/>
          <w:rtl/>
          <w:lang w:bidi="he-IL"/>
        </w:rPr>
        <w:t>של</w:t>
      </w:r>
      <w:r w:rsidR="00FA1278" w:rsidRPr="00882F11">
        <w:rPr>
          <w:rFonts w:cs="Guttman Drogolin"/>
          <w:rtl/>
          <w:lang w:bidi="he-IL"/>
        </w:rPr>
        <w:t xml:space="preserve"> </w:t>
      </w:r>
      <w:r w:rsidR="00FA1278" w:rsidRPr="00882F11">
        <w:rPr>
          <w:rFonts w:cs="Guttman Drogolin" w:hint="cs"/>
          <w:rtl/>
          <w:lang w:bidi="he-IL"/>
        </w:rPr>
        <w:t>פנאד</w:t>
      </w:r>
      <w:r w:rsidR="00FA1278" w:rsidRPr="00882F11">
        <w:rPr>
          <w:rFonts w:cs="Guttman Drogolin"/>
          <w:rtl/>
          <w:lang w:bidi="he-IL"/>
        </w:rPr>
        <w:t>"</w:t>
      </w:r>
      <w:r w:rsidR="00FA1278" w:rsidRPr="00882F11">
        <w:rPr>
          <w:rFonts w:cs="Guttman Drogolin" w:hint="cs"/>
          <w:rtl/>
          <w:lang w:bidi="he-IL"/>
        </w:rPr>
        <w:t>ש</w:t>
      </w:r>
      <w:r w:rsidR="00FA1278" w:rsidRPr="00882F11">
        <w:rPr>
          <w:rFonts w:cs="Guttman Drogolin"/>
          <w:rtl/>
          <w:lang w:bidi="he-IL"/>
        </w:rPr>
        <w:t xml:space="preserve"> </w:t>
      </w:r>
      <w:r w:rsidR="00FA1278" w:rsidRPr="00882F11">
        <w:rPr>
          <w:rFonts w:cs="Guttman Drogolin" w:hint="cs"/>
          <w:rtl/>
          <w:lang w:bidi="he-IL"/>
        </w:rPr>
        <w:t>גבינה</w:t>
      </w:r>
      <w:r w:rsidR="00FA1278" w:rsidRPr="00882F11">
        <w:rPr>
          <w:rFonts w:cs="Guttman Drogolin"/>
          <w:rtl/>
          <w:lang w:bidi="he-IL"/>
        </w:rPr>
        <w:t xml:space="preserve"> </w:t>
      </w:r>
      <w:r w:rsidR="00FA1278" w:rsidRPr="00882F11">
        <w:rPr>
          <w:rFonts w:cs="Guttman Drogolin" w:hint="cs"/>
          <w:rtl/>
          <w:lang w:bidi="he-IL"/>
        </w:rPr>
        <w:t>והתיר</w:t>
      </w:r>
      <w:r w:rsidR="00FA1278" w:rsidRPr="00882F11">
        <w:rPr>
          <w:rFonts w:cs="Guttman Drogolin"/>
          <w:rtl/>
          <w:lang w:bidi="he-IL"/>
        </w:rPr>
        <w:t xml:space="preserve"> </w:t>
      </w:r>
      <w:r w:rsidR="00FA1278" w:rsidRPr="00882F11">
        <w:rPr>
          <w:rFonts w:cs="Guttman Drogolin" w:hint="cs"/>
          <w:rtl/>
          <w:lang w:bidi="he-IL"/>
        </w:rPr>
        <w:t>ר</w:t>
      </w:r>
      <w:r w:rsidR="00FA1278" w:rsidRPr="00882F11">
        <w:rPr>
          <w:rFonts w:cs="Guttman Drogolin"/>
          <w:rtl/>
          <w:lang w:bidi="he-IL"/>
        </w:rPr>
        <w:t>"</w:t>
      </w:r>
      <w:r w:rsidR="00FA1278" w:rsidRPr="00882F11">
        <w:rPr>
          <w:rFonts w:cs="Guttman Drogolin" w:hint="cs"/>
          <w:rtl/>
          <w:lang w:bidi="he-IL"/>
        </w:rPr>
        <w:t>י</w:t>
      </w:r>
      <w:r w:rsidR="00FA1278" w:rsidRPr="00882F11">
        <w:rPr>
          <w:rFonts w:cs="Guttman Drogolin"/>
          <w:rtl/>
          <w:lang w:bidi="he-IL"/>
        </w:rPr>
        <w:t xml:space="preserve"> </w:t>
      </w:r>
      <w:r w:rsidR="00FA1278" w:rsidRPr="00882F11">
        <w:rPr>
          <w:rFonts w:cs="Guttman Drogolin" w:hint="cs"/>
          <w:rtl/>
          <w:lang w:bidi="he-IL"/>
        </w:rPr>
        <w:t>הפנאד</w:t>
      </w:r>
      <w:r w:rsidR="00FA1278" w:rsidRPr="00882F11">
        <w:rPr>
          <w:rFonts w:cs="Guttman Drogolin"/>
          <w:rtl/>
          <w:lang w:bidi="he-IL"/>
        </w:rPr>
        <w:t>"</w:t>
      </w:r>
      <w:r w:rsidR="00FA1278" w:rsidRPr="00882F11">
        <w:rPr>
          <w:rFonts w:cs="Guttman Drogolin" w:hint="cs"/>
          <w:rtl/>
          <w:lang w:bidi="he-IL"/>
        </w:rPr>
        <w:t>ש</w:t>
      </w:r>
      <w:r w:rsidR="00FA1278" w:rsidRPr="00882F11">
        <w:rPr>
          <w:rFonts w:cs="Guttman Drogolin"/>
          <w:rtl/>
          <w:lang w:bidi="he-IL"/>
        </w:rPr>
        <w:t xml:space="preserve"> </w:t>
      </w:r>
      <w:r w:rsidR="00FA1278" w:rsidRPr="00882F11">
        <w:rPr>
          <w:rFonts w:cs="Guttman Drogolin" w:hint="cs"/>
          <w:rtl/>
          <w:lang w:bidi="he-IL"/>
        </w:rPr>
        <w:t>בקליפה</w:t>
      </w:r>
      <w:r w:rsidR="00FA1278" w:rsidRPr="00882F11">
        <w:rPr>
          <w:rFonts w:cs="Guttman Drogolin"/>
          <w:rtl/>
          <w:lang w:bidi="he-IL"/>
        </w:rPr>
        <w:t xml:space="preserve"> </w:t>
      </w:r>
      <w:r w:rsidR="00FA1278" w:rsidRPr="00882F11">
        <w:rPr>
          <w:rFonts w:cs="Guttman Drogolin" w:hint="cs"/>
          <w:rtl/>
          <w:lang w:bidi="he-IL"/>
        </w:rPr>
        <w:t>להסיר</w:t>
      </w:r>
      <w:r w:rsidR="00FA1278" w:rsidRPr="00882F11">
        <w:rPr>
          <w:rFonts w:cs="Guttman Drogolin"/>
          <w:rtl/>
          <w:lang w:bidi="he-IL"/>
        </w:rPr>
        <w:t xml:space="preserve"> </w:t>
      </w:r>
      <w:r w:rsidR="00FA1278" w:rsidRPr="00882F11">
        <w:rPr>
          <w:rFonts w:cs="Guttman Drogolin" w:hint="cs"/>
          <w:rtl/>
          <w:lang w:bidi="he-IL"/>
        </w:rPr>
        <w:t>מעליה</w:t>
      </w:r>
      <w:r w:rsidR="00FA1278" w:rsidRPr="00882F11">
        <w:rPr>
          <w:rFonts w:cs="Guttman Drogolin"/>
          <w:rtl/>
          <w:lang w:bidi="he-IL"/>
        </w:rPr>
        <w:t xml:space="preserve"> </w:t>
      </w:r>
      <w:r w:rsidR="00FA1278" w:rsidRPr="00882F11">
        <w:rPr>
          <w:rFonts w:cs="Guttman Drogolin" w:hint="cs"/>
          <w:rtl/>
          <w:lang w:bidi="he-IL"/>
        </w:rPr>
        <w:t>ואפילו</w:t>
      </w:r>
      <w:r w:rsidR="00FA1278" w:rsidRPr="00882F11">
        <w:rPr>
          <w:rFonts w:cs="Guttman Drogolin"/>
          <w:rtl/>
          <w:lang w:bidi="he-IL"/>
        </w:rPr>
        <w:t xml:space="preserve"> </w:t>
      </w:r>
      <w:r w:rsidR="00FA1278" w:rsidRPr="00882F11">
        <w:rPr>
          <w:rFonts w:cs="Guttman Drogolin" w:hint="cs"/>
          <w:rtl/>
          <w:lang w:bidi="he-IL"/>
        </w:rPr>
        <w:t>שהגבינה</w:t>
      </w:r>
      <w:r w:rsidR="00FA1278" w:rsidRPr="00882F11">
        <w:rPr>
          <w:rFonts w:cs="Guttman Drogolin"/>
          <w:rtl/>
          <w:lang w:bidi="he-IL"/>
        </w:rPr>
        <w:t xml:space="preserve"> </w:t>
      </w:r>
      <w:r w:rsidR="00FA1278" w:rsidRPr="00882F11">
        <w:rPr>
          <w:rFonts w:cs="Guttman Drogolin" w:hint="cs"/>
          <w:rtl/>
          <w:lang w:bidi="he-IL"/>
        </w:rPr>
        <w:t>לחה</w:t>
      </w:r>
      <w:r w:rsidR="00FA1278" w:rsidRPr="00882F11">
        <w:rPr>
          <w:rFonts w:cs="Guttman Drogolin"/>
          <w:rtl/>
          <w:lang w:bidi="he-IL"/>
        </w:rPr>
        <w:t xml:space="preserve"> </w:t>
      </w:r>
      <w:r w:rsidR="00FA1278" w:rsidRPr="00882F11">
        <w:rPr>
          <w:rFonts w:cs="Guttman Drogolin" w:hint="cs"/>
          <w:rtl/>
          <w:lang w:bidi="he-IL"/>
        </w:rPr>
        <w:t>שאין</w:t>
      </w:r>
      <w:r w:rsidR="00FA1278" w:rsidRPr="00882F11">
        <w:rPr>
          <w:rFonts w:cs="Guttman Drogolin"/>
          <w:rtl/>
          <w:lang w:bidi="he-IL"/>
        </w:rPr>
        <w:t xml:space="preserve"> </w:t>
      </w:r>
      <w:r w:rsidR="00FA1278" w:rsidRPr="00882F11">
        <w:rPr>
          <w:rFonts w:cs="Guttman Drogolin" w:hint="cs"/>
          <w:rtl/>
          <w:lang w:bidi="he-IL"/>
        </w:rPr>
        <w:t>דרך</w:t>
      </w:r>
      <w:r w:rsidR="00FA1278" w:rsidRPr="00882F11">
        <w:rPr>
          <w:rFonts w:cs="Guttman Drogolin"/>
          <w:rtl/>
          <w:lang w:bidi="he-IL"/>
        </w:rPr>
        <w:t xml:space="preserve"> </w:t>
      </w:r>
      <w:r w:rsidR="00FA1278" w:rsidRPr="00882F11">
        <w:rPr>
          <w:rFonts w:cs="Guttman Drogolin" w:hint="cs"/>
          <w:rtl/>
          <w:lang w:bidi="he-IL"/>
        </w:rPr>
        <w:t>גבינה</w:t>
      </w:r>
      <w:r w:rsidR="00FA1278" w:rsidRPr="00882F11">
        <w:rPr>
          <w:rFonts w:cs="Guttman Drogolin"/>
          <w:rtl/>
          <w:lang w:bidi="he-IL"/>
        </w:rPr>
        <w:t xml:space="preserve"> </w:t>
      </w:r>
      <w:r w:rsidR="00FA1278" w:rsidRPr="00882F11">
        <w:rPr>
          <w:rFonts w:cs="Guttman Drogolin" w:hint="cs"/>
          <w:rtl/>
          <w:lang w:bidi="he-IL"/>
        </w:rPr>
        <w:t>ליכנס</w:t>
      </w:r>
      <w:r w:rsidR="00FA1278" w:rsidRPr="00882F11">
        <w:rPr>
          <w:rFonts w:cs="Guttman Drogolin"/>
          <w:rtl/>
          <w:lang w:bidi="he-IL"/>
        </w:rPr>
        <w:t xml:space="preserve"> </w:t>
      </w:r>
      <w:r w:rsidR="00FA1278" w:rsidRPr="00882F11">
        <w:rPr>
          <w:rFonts w:cs="Guttman Drogolin" w:hint="cs"/>
          <w:rtl/>
          <w:lang w:bidi="he-IL"/>
        </w:rPr>
        <w:t>כל</w:t>
      </w:r>
      <w:r w:rsidR="00FA1278" w:rsidRPr="00882F11">
        <w:rPr>
          <w:rFonts w:cs="Guttman Drogolin"/>
          <w:rtl/>
          <w:lang w:bidi="he-IL"/>
        </w:rPr>
        <w:t xml:space="preserve"> </w:t>
      </w:r>
      <w:r w:rsidR="00FA1278" w:rsidRPr="00882F11">
        <w:rPr>
          <w:rFonts w:cs="Guttman Drogolin" w:hint="cs"/>
          <w:rtl/>
          <w:lang w:bidi="he-IL"/>
        </w:rPr>
        <w:t>כך.</w:t>
      </w:r>
      <w:r w:rsidR="00FA1278" w:rsidRPr="00882F11">
        <w:rPr>
          <w:rFonts w:cs="Guttman Drogolin"/>
          <w:rtl/>
          <w:lang w:bidi="he-IL"/>
        </w:rPr>
        <w:t xml:space="preserve"> </w:t>
      </w:r>
      <w:r w:rsidR="00FA1278" w:rsidRPr="00882F11">
        <w:rPr>
          <w:rFonts w:cs="Guttman Drogolin" w:hint="cs"/>
          <w:rtl/>
          <w:lang w:bidi="he-IL"/>
        </w:rPr>
        <w:t>וכתב על זה הב"י שנראה</w:t>
      </w:r>
      <w:r w:rsidR="00FA1278" w:rsidRPr="00882F11">
        <w:rPr>
          <w:rFonts w:cs="Guttman Drogolin"/>
          <w:rtl/>
          <w:lang w:bidi="he-IL"/>
        </w:rPr>
        <w:t xml:space="preserve"> </w:t>
      </w:r>
      <w:r w:rsidR="00FA1278" w:rsidRPr="00882F11">
        <w:rPr>
          <w:rFonts w:cs="Guttman Drogolin" w:hint="cs"/>
          <w:rtl/>
          <w:lang w:bidi="he-IL"/>
        </w:rPr>
        <w:t>ללמוד</w:t>
      </w:r>
      <w:r w:rsidR="00FA1278" w:rsidRPr="00882F11">
        <w:rPr>
          <w:rFonts w:cs="Guttman Drogolin"/>
          <w:rtl/>
          <w:lang w:bidi="he-IL"/>
        </w:rPr>
        <w:t xml:space="preserve"> </w:t>
      </w:r>
      <w:r w:rsidR="00FA1278" w:rsidRPr="00882F11">
        <w:rPr>
          <w:rFonts w:cs="Guttman Drogolin" w:hint="cs"/>
          <w:rtl/>
          <w:lang w:bidi="he-IL"/>
        </w:rPr>
        <w:t>מכאן</w:t>
      </w:r>
      <w:r w:rsidR="00FA1278" w:rsidRPr="00882F11">
        <w:rPr>
          <w:rFonts w:cs="Guttman Drogolin"/>
          <w:rtl/>
          <w:lang w:bidi="he-IL"/>
        </w:rPr>
        <w:t xml:space="preserve"> </w:t>
      </w:r>
      <w:r w:rsidR="00FA1278" w:rsidRPr="00882F11">
        <w:rPr>
          <w:rFonts w:cs="Guttman Drogolin" w:hint="cs"/>
          <w:rtl/>
          <w:lang w:bidi="he-IL"/>
        </w:rPr>
        <w:t>לגבינה</w:t>
      </w:r>
      <w:r w:rsidR="00FA1278" w:rsidRPr="00882F11">
        <w:rPr>
          <w:rFonts w:cs="Guttman Drogolin"/>
          <w:rtl/>
          <w:lang w:bidi="he-IL"/>
        </w:rPr>
        <w:t xml:space="preserve"> </w:t>
      </w:r>
      <w:r w:rsidR="00FA1278" w:rsidRPr="00882F11">
        <w:rPr>
          <w:rFonts w:cs="Guttman Drogolin" w:hint="cs"/>
          <w:rtl/>
          <w:lang w:bidi="he-IL"/>
        </w:rPr>
        <w:t>בבצק</w:t>
      </w:r>
      <w:r w:rsidR="00FA1278" w:rsidRPr="00882F11">
        <w:rPr>
          <w:rFonts w:cs="Guttman Drogolin"/>
          <w:rtl/>
          <w:lang w:bidi="he-IL"/>
        </w:rPr>
        <w:t xml:space="preserve"> </w:t>
      </w:r>
      <w:r w:rsidR="00FA1278" w:rsidRPr="00882F11">
        <w:rPr>
          <w:rFonts w:cs="Guttman Drogolin" w:hint="cs"/>
          <w:rtl/>
          <w:lang w:bidi="he-IL"/>
        </w:rPr>
        <w:t>שמטגנין</w:t>
      </w:r>
      <w:r w:rsidR="00FA1278" w:rsidRPr="00882F11">
        <w:rPr>
          <w:rFonts w:cs="Guttman Drogolin"/>
          <w:rtl/>
          <w:lang w:bidi="he-IL"/>
        </w:rPr>
        <w:t xml:space="preserve"> </w:t>
      </w:r>
      <w:r w:rsidR="00FA1278" w:rsidRPr="00882F11">
        <w:rPr>
          <w:rFonts w:cs="Guttman Drogolin" w:hint="cs"/>
          <w:rtl/>
          <w:lang w:bidi="he-IL"/>
        </w:rPr>
        <w:t>בשמן</w:t>
      </w:r>
      <w:r w:rsidR="00FA1278" w:rsidRPr="00882F11">
        <w:rPr>
          <w:rFonts w:cs="Guttman Drogolin"/>
          <w:rtl/>
          <w:lang w:bidi="he-IL"/>
        </w:rPr>
        <w:t xml:space="preserve"> </w:t>
      </w:r>
      <w:r w:rsidR="00FA1278" w:rsidRPr="00882F11">
        <w:rPr>
          <w:rFonts w:cs="Guttman Drogolin" w:hint="cs"/>
          <w:rtl/>
          <w:lang w:bidi="he-IL"/>
        </w:rPr>
        <w:t>שנתנוה</w:t>
      </w:r>
      <w:r w:rsidR="00FA1278" w:rsidRPr="00882F11">
        <w:rPr>
          <w:rFonts w:cs="Guttman Drogolin"/>
          <w:rtl/>
          <w:lang w:bidi="he-IL"/>
        </w:rPr>
        <w:t xml:space="preserve"> </w:t>
      </w:r>
      <w:r w:rsidR="00FA1278" w:rsidRPr="00882F11">
        <w:rPr>
          <w:rFonts w:cs="Guttman Drogolin" w:hint="cs"/>
          <w:rtl/>
          <w:lang w:bidi="he-IL"/>
        </w:rPr>
        <w:t>חמה</w:t>
      </w:r>
      <w:r w:rsidR="00FA1278" w:rsidRPr="00882F11">
        <w:rPr>
          <w:rFonts w:cs="Guttman Drogolin"/>
          <w:rtl/>
          <w:lang w:bidi="he-IL"/>
        </w:rPr>
        <w:t xml:space="preserve"> </w:t>
      </w:r>
      <w:r w:rsidR="00FA1278" w:rsidRPr="00882F11">
        <w:rPr>
          <w:rFonts w:cs="Guttman Drogolin" w:hint="cs"/>
          <w:rtl/>
          <w:lang w:bidi="he-IL"/>
        </w:rPr>
        <w:t>בקערת</w:t>
      </w:r>
      <w:r w:rsidR="00FA1278" w:rsidRPr="00882F11">
        <w:rPr>
          <w:rFonts w:cs="Guttman Drogolin"/>
          <w:rtl/>
          <w:lang w:bidi="he-IL"/>
        </w:rPr>
        <w:t xml:space="preserve"> </w:t>
      </w:r>
      <w:r w:rsidR="00FA1278" w:rsidRPr="00882F11">
        <w:rPr>
          <w:rFonts w:cs="Guttman Drogolin" w:hint="cs"/>
          <w:rtl/>
          <w:lang w:bidi="he-IL"/>
        </w:rPr>
        <w:t>בשר</w:t>
      </w:r>
      <w:r w:rsidR="00FA1278" w:rsidRPr="00882F11">
        <w:rPr>
          <w:rFonts w:cs="Guttman Drogolin"/>
          <w:rtl/>
          <w:lang w:bidi="he-IL"/>
        </w:rPr>
        <w:t xml:space="preserve"> </w:t>
      </w:r>
      <w:r w:rsidR="00FA1278" w:rsidRPr="00882F11">
        <w:rPr>
          <w:rFonts w:cs="Guttman Drogolin" w:hint="cs"/>
          <w:rtl/>
          <w:lang w:bidi="he-IL"/>
        </w:rPr>
        <w:t>בת</w:t>
      </w:r>
      <w:r w:rsidR="00FA1278" w:rsidRPr="00882F11">
        <w:rPr>
          <w:rFonts w:cs="Guttman Drogolin"/>
          <w:rtl/>
          <w:lang w:bidi="he-IL"/>
        </w:rPr>
        <w:t xml:space="preserve"> </w:t>
      </w:r>
      <w:r w:rsidR="00FA1278" w:rsidRPr="00882F11">
        <w:rPr>
          <w:rFonts w:cs="Guttman Drogolin" w:hint="cs"/>
          <w:rtl/>
          <w:lang w:bidi="he-IL"/>
        </w:rPr>
        <w:t>יומא</w:t>
      </w:r>
      <w:r w:rsidR="00FA1278" w:rsidRPr="00882F11">
        <w:rPr>
          <w:rFonts w:cs="Guttman Drogolin"/>
          <w:rtl/>
          <w:lang w:bidi="he-IL"/>
        </w:rPr>
        <w:t xml:space="preserve"> </w:t>
      </w:r>
      <w:r w:rsidR="00FA1278" w:rsidRPr="00882F11">
        <w:rPr>
          <w:rFonts w:cs="Guttman Drogolin" w:hint="cs"/>
          <w:rtl/>
          <w:lang w:bidi="he-IL"/>
        </w:rPr>
        <w:t>שאינה</w:t>
      </w:r>
      <w:r w:rsidR="00FA1278" w:rsidRPr="00882F11">
        <w:rPr>
          <w:rFonts w:cs="Guttman Drogolin"/>
          <w:rtl/>
          <w:lang w:bidi="he-IL"/>
        </w:rPr>
        <w:t xml:space="preserve"> </w:t>
      </w:r>
      <w:r w:rsidR="00FA1278" w:rsidRPr="00882F11">
        <w:rPr>
          <w:rFonts w:cs="Guttman Drogolin" w:hint="cs"/>
          <w:rtl/>
          <w:lang w:bidi="he-IL"/>
        </w:rPr>
        <w:t>צריכה</w:t>
      </w:r>
      <w:r w:rsidR="00FA1278" w:rsidRPr="00882F11">
        <w:rPr>
          <w:rFonts w:cs="Guttman Drogolin"/>
          <w:rtl/>
          <w:lang w:bidi="he-IL"/>
        </w:rPr>
        <w:t xml:space="preserve"> </w:t>
      </w:r>
      <w:r w:rsidR="00FA1278" w:rsidRPr="00882F11">
        <w:rPr>
          <w:rFonts w:cs="Guttman Drogolin" w:hint="cs"/>
          <w:rtl/>
          <w:lang w:bidi="he-IL"/>
        </w:rPr>
        <w:t>אלא</w:t>
      </w:r>
      <w:r w:rsidR="00FA1278" w:rsidRPr="00882F11">
        <w:rPr>
          <w:rFonts w:cs="Guttman Drogolin"/>
          <w:rtl/>
          <w:lang w:bidi="he-IL"/>
        </w:rPr>
        <w:t xml:space="preserve"> </w:t>
      </w:r>
      <w:r w:rsidR="00FA1278" w:rsidRPr="00882F11">
        <w:rPr>
          <w:rFonts w:cs="Guttman Drogolin" w:hint="cs"/>
          <w:rtl/>
          <w:lang w:bidi="he-IL"/>
        </w:rPr>
        <w:t>קליפה</w:t>
      </w:r>
      <w:r w:rsidR="00FA1278" w:rsidRPr="00882F11">
        <w:rPr>
          <w:rFonts w:cs="Guttman Drogolin"/>
          <w:rtl/>
          <w:lang w:bidi="he-IL"/>
        </w:rPr>
        <w:t xml:space="preserve"> </w:t>
      </w:r>
      <w:r w:rsidR="00FA1278" w:rsidRPr="00882F11">
        <w:rPr>
          <w:rFonts w:cs="Guttman Drogolin" w:hint="cs"/>
          <w:rtl/>
          <w:lang w:bidi="he-IL"/>
        </w:rPr>
        <w:t>בלבד.</w:t>
      </w:r>
      <w:r w:rsidR="009E35CF" w:rsidRPr="00882F11">
        <w:rPr>
          <w:rFonts w:cs="Guttman Drogolin" w:hint="cs"/>
          <w:rtl/>
          <w:lang w:bidi="he-IL"/>
        </w:rPr>
        <w:t xml:space="preserve"> </w:t>
      </w:r>
    </w:p>
    <w:p w:rsidR="009E35CF" w:rsidRPr="00882F11" w:rsidRDefault="009E35CF" w:rsidP="009E35CF">
      <w:pPr>
        <w:tabs>
          <w:tab w:val="right" w:pos="7497"/>
        </w:tabs>
        <w:bidi/>
        <w:jc w:val="both"/>
        <w:rPr>
          <w:rFonts w:cs="Guttman Drogolin"/>
          <w:rtl/>
          <w:lang w:bidi="he-IL"/>
        </w:rPr>
      </w:pPr>
      <w:r w:rsidRPr="00882F11">
        <w:rPr>
          <w:rFonts w:cs="Guttman Drogolin" w:hint="cs"/>
          <w:rtl/>
          <w:lang w:bidi="he-IL"/>
        </w:rPr>
        <w:t>והנה בסי' ק"ה ש"ך ס"ק כ"ב כתב שאע"פ שאין בליה עוברת מחתיכה לחתיכה בלי רוטב, וכן אינו עובר מכלי לכלי בי רוטב, אבל עוברת מכלי לחתיכה בלי רוטב. אמנם אינו מבואר כמה עובר מן הכלי לאוכל. ולכאורה חזינן מדברי השו"ע שעובר כדי קליפה.</w:t>
      </w:r>
    </w:p>
    <w:p w:rsidR="009E35CF" w:rsidRPr="00882F11" w:rsidRDefault="009E35CF" w:rsidP="009E35CF">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pPr>
      <w:bookmarkStart w:id="255" w:name="_Toc496175509"/>
      <w:r w:rsidRPr="00882F11">
        <w:rPr>
          <w:rFonts w:asciiTheme="majorHAnsi" w:eastAsiaTheme="majorEastAsia" w:hAnsiTheme="majorHAnsi" w:cs="Guttman Drogolin" w:hint="cs"/>
          <w:b/>
          <w:bCs/>
          <w:sz w:val="24"/>
          <w:szCs w:val="24"/>
          <w:u w:val="single"/>
          <w:rtl/>
          <w:lang w:bidi="he-IL"/>
        </w:rPr>
        <w:t>ביאור ההיתר של סעיף ט'</w:t>
      </w:r>
      <w:bookmarkEnd w:id="255"/>
    </w:p>
    <w:p w:rsidR="009E35CF" w:rsidRPr="00882F11" w:rsidRDefault="000F139F" w:rsidP="009E35CF">
      <w:pPr>
        <w:tabs>
          <w:tab w:val="right" w:pos="7497"/>
        </w:tabs>
        <w:bidi/>
        <w:jc w:val="both"/>
        <w:rPr>
          <w:rFonts w:cs="Guttman Drogolin"/>
          <w:rtl/>
          <w:lang w:bidi="he-IL"/>
        </w:rPr>
      </w:pPr>
      <w:r>
        <w:rPr>
          <w:rFonts w:cs="Guttman Drogolin"/>
          <w:rtl/>
          <w:lang w:bidi="he-IL"/>
        </w:rPr>
        <w:fldChar w:fldCharType="begin"/>
      </w:r>
      <w:r>
        <w:instrText xml:space="preserve"> XE "</w:instrText>
      </w:r>
      <w:r w:rsidRPr="007B779E">
        <w:rPr>
          <w:rFonts w:hint="cs"/>
          <w:rtl/>
          <w:lang w:bidi="he-IL"/>
        </w:rPr>
        <w:instrText>נ</w:instrText>
      </w:r>
      <w:r>
        <w:rPr>
          <w:rFonts w:eastAsiaTheme="minorEastAsia"/>
          <w:lang w:bidi="he-IL"/>
        </w:rPr>
        <w:instrText>\</w:instrText>
      </w:r>
      <w:r w:rsidRPr="007B779E">
        <w:rPr>
          <w:rFonts w:hint="cs"/>
          <w:rtl/>
          <w:lang w:bidi="he-IL"/>
        </w:rPr>
        <w:instrText>"ט בר נ</w:instrText>
      </w:r>
      <w:r>
        <w:rPr>
          <w:rFonts w:eastAsiaTheme="minorEastAsia"/>
          <w:lang w:bidi="he-IL"/>
        </w:rPr>
        <w:instrText>\</w:instrText>
      </w:r>
      <w:r w:rsidRPr="007B779E">
        <w:rPr>
          <w:rFonts w:hint="cs"/>
          <w:rtl/>
          <w:lang w:bidi="he-IL"/>
        </w:rPr>
        <w:instrText>"ט</w:instrText>
      </w:r>
      <w:r w:rsidRPr="007B779E">
        <w:rPr>
          <w:rtl/>
        </w:rPr>
        <w:instrText>:</w:instrText>
      </w:r>
      <w:r w:rsidRPr="007B779E">
        <w:rPr>
          <w:rFonts w:hint="cs"/>
          <w:rtl/>
          <w:lang w:bidi="he-IL"/>
        </w:rPr>
        <w:instrText>בנתבשלו - ביאור סימן צ</w:instrText>
      </w:r>
      <w:r>
        <w:rPr>
          <w:rFonts w:eastAsiaTheme="minorEastAsia"/>
          <w:lang w:bidi="he-IL"/>
        </w:rPr>
        <w:instrText>\</w:instrText>
      </w:r>
      <w:r w:rsidRPr="007B779E">
        <w:rPr>
          <w:rFonts w:hint="cs"/>
          <w:rtl/>
          <w:lang w:bidi="he-IL"/>
        </w:rPr>
        <w:instrText>"ד סעיף ט'</w:instrText>
      </w:r>
      <w:r>
        <w:instrText xml:space="preserve">" </w:instrText>
      </w:r>
      <w:r>
        <w:rPr>
          <w:rFonts w:cs="Guttman Drogolin"/>
          <w:rtl/>
          <w:lang w:bidi="he-IL"/>
        </w:rPr>
        <w:fldChar w:fldCharType="end"/>
      </w:r>
      <w:r w:rsidR="009E35CF" w:rsidRPr="00882F11">
        <w:rPr>
          <w:rFonts w:cs="Guttman Drogolin" w:hint="cs"/>
          <w:rtl/>
          <w:lang w:bidi="he-IL"/>
        </w:rPr>
        <w:t>השו"ע התיר משום דהוי נ"ט בר נ"ט, ובש"ך ס"ק ל"ד ביאר שגם הרמ"א מודה לזה אע"ג שהחמיר לכתחילה שלא לסמוך אנ"ט בר נ"ט היכא דהוי דרך בישול, מ"מ הכא יש כאן תרתי למעליותא כיון שי"א שהוא נטל"פ, ולכן ביחד עם המ"ד דנתבשלו כעלו אפשר להקל לכתחילה גם לרמ"א.</w:t>
      </w:r>
    </w:p>
    <w:p w:rsidR="005F26E5" w:rsidRPr="00882F11" w:rsidRDefault="005F26E5" w:rsidP="005F26E5">
      <w:pPr>
        <w:tabs>
          <w:tab w:val="right" w:pos="7497"/>
        </w:tabs>
        <w:bidi/>
        <w:jc w:val="both"/>
        <w:rPr>
          <w:rFonts w:cs="Guttman Drogolin"/>
          <w:rtl/>
          <w:lang w:bidi="he-IL"/>
        </w:rPr>
      </w:pPr>
      <w:r w:rsidRPr="00882F11">
        <w:rPr>
          <w:rFonts w:cs="Guttman Drogolin" w:hint="cs"/>
          <w:rtl/>
          <w:lang w:bidi="he-IL"/>
        </w:rPr>
        <w:t>אביא כאן לשון סי' התרומה סי' ע"ה לתועלת הלומדים:</w:t>
      </w:r>
    </w:p>
    <w:p w:rsidR="00477017" w:rsidRPr="00882F11" w:rsidRDefault="005F26E5" w:rsidP="005F26E5">
      <w:pPr>
        <w:tabs>
          <w:tab w:val="right" w:pos="7497"/>
        </w:tabs>
        <w:bidi/>
        <w:jc w:val="both"/>
        <w:rPr>
          <w:rFonts w:cs="Guttman Drogolin"/>
          <w:rtl/>
          <w:lang w:bidi="he-IL"/>
        </w:rPr>
      </w:pPr>
      <w:r w:rsidRPr="00882F11">
        <w:rPr>
          <w:rFonts w:cs="Guttman Drogolin" w:hint="cs"/>
          <w:rtl/>
          <w:lang w:bidi="he-IL"/>
        </w:rPr>
        <w:t>עוד</w:t>
      </w:r>
      <w:r w:rsidRPr="00882F11">
        <w:rPr>
          <w:rFonts w:cs="Guttman Drogolin"/>
          <w:rtl/>
          <w:lang w:bidi="he-IL"/>
        </w:rPr>
        <w:t xml:space="preserve"> </w:t>
      </w:r>
      <w:r w:rsidRPr="00882F11">
        <w:rPr>
          <w:rFonts w:cs="Guttman Drogolin" w:hint="cs"/>
          <w:rtl/>
          <w:lang w:bidi="he-IL"/>
        </w:rPr>
        <w:t>כשהחכם</w:t>
      </w:r>
      <w:r w:rsidRPr="00882F11">
        <w:rPr>
          <w:rFonts w:cs="Guttman Drogolin"/>
          <w:rtl/>
          <w:lang w:bidi="he-IL"/>
        </w:rPr>
        <w:t xml:space="preserve"> </w:t>
      </w:r>
      <w:r w:rsidRPr="00882F11">
        <w:rPr>
          <w:rFonts w:cs="Guttman Drogolin" w:hint="cs"/>
          <w:rtl/>
          <w:lang w:bidi="he-IL"/>
        </w:rPr>
        <w:t>בא</w:t>
      </w:r>
      <w:r w:rsidRPr="00882F11">
        <w:rPr>
          <w:rFonts w:cs="Guttman Drogolin"/>
          <w:rtl/>
          <w:lang w:bidi="he-IL"/>
        </w:rPr>
        <w:t xml:space="preserve"> </w:t>
      </w:r>
      <w:r w:rsidRPr="00882F11">
        <w:rPr>
          <w:rFonts w:cs="Guttman Drogolin" w:hint="cs"/>
          <w:rtl/>
          <w:lang w:bidi="he-IL"/>
        </w:rPr>
        <w:t>להתיר</w:t>
      </w:r>
      <w:r w:rsidRPr="00882F11">
        <w:rPr>
          <w:rFonts w:cs="Guttman Drogolin"/>
          <w:rtl/>
          <w:lang w:bidi="he-IL"/>
        </w:rPr>
        <w:t xml:space="preserve"> </w:t>
      </w:r>
      <w:r w:rsidRPr="00882F11">
        <w:rPr>
          <w:rFonts w:cs="Guttman Drogolin" w:hint="cs"/>
          <w:rtl/>
          <w:lang w:bidi="he-IL"/>
        </w:rPr>
        <w:t>תבשיל</w:t>
      </w:r>
      <w:r w:rsidRPr="00882F11">
        <w:rPr>
          <w:rFonts w:cs="Guttman Drogolin"/>
          <w:rtl/>
          <w:lang w:bidi="he-IL"/>
        </w:rPr>
        <w:t xml:space="preserve"> </w:t>
      </w:r>
      <w:r w:rsidRPr="00882F11">
        <w:rPr>
          <w:rFonts w:cs="Guttman Drogolin" w:hint="cs"/>
          <w:rtl/>
          <w:lang w:bidi="he-IL"/>
        </w:rPr>
        <w:t>שהיה</w:t>
      </w:r>
      <w:r w:rsidRPr="00882F11">
        <w:rPr>
          <w:rFonts w:cs="Guttman Drogolin"/>
          <w:rtl/>
          <w:lang w:bidi="he-IL"/>
        </w:rPr>
        <w:t xml:space="preserve"> </w:t>
      </w:r>
      <w:r w:rsidRPr="00882F11">
        <w:rPr>
          <w:rFonts w:cs="Guttman Drogolin" w:hint="cs"/>
          <w:rtl/>
          <w:lang w:bidi="he-IL"/>
        </w:rPr>
        <w:t>בכלי</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איסור</w:t>
      </w:r>
      <w:r w:rsidRPr="00882F11">
        <w:rPr>
          <w:rFonts w:cs="Guttman Drogolin"/>
          <w:rtl/>
          <w:lang w:bidi="he-IL"/>
        </w:rPr>
        <w:t xml:space="preserve"> </w:t>
      </w:r>
      <w:r w:rsidRPr="00882F11">
        <w:rPr>
          <w:rFonts w:cs="Guttman Drogolin" w:hint="cs"/>
          <w:rtl/>
          <w:lang w:bidi="he-IL"/>
        </w:rPr>
        <w:t>ורוצה</w:t>
      </w:r>
      <w:r w:rsidRPr="00882F11">
        <w:rPr>
          <w:rFonts w:cs="Guttman Drogolin"/>
          <w:rtl/>
          <w:lang w:bidi="he-IL"/>
        </w:rPr>
        <w:t xml:space="preserve"> </w:t>
      </w:r>
      <w:r w:rsidRPr="00882F11">
        <w:rPr>
          <w:rFonts w:cs="Guttman Drogolin" w:hint="cs"/>
          <w:rtl/>
          <w:lang w:bidi="he-IL"/>
        </w:rPr>
        <w:t>להתיר</w:t>
      </w:r>
      <w:r w:rsidRPr="00882F11">
        <w:rPr>
          <w:rFonts w:cs="Guttman Drogolin"/>
          <w:rtl/>
          <w:lang w:bidi="he-IL"/>
        </w:rPr>
        <w:t xml:space="preserve"> </w:t>
      </w:r>
      <w:r w:rsidRPr="00882F11">
        <w:rPr>
          <w:rFonts w:cs="Guttman Drogolin" w:hint="cs"/>
          <w:rtl/>
          <w:lang w:bidi="he-IL"/>
        </w:rPr>
        <w:t>תבשיל</w:t>
      </w:r>
      <w:r w:rsidRPr="00882F11">
        <w:rPr>
          <w:rFonts w:cs="Guttman Drogolin"/>
          <w:rtl/>
          <w:lang w:bidi="he-IL"/>
        </w:rPr>
        <w:t xml:space="preserve"> </w:t>
      </w:r>
      <w:r w:rsidRPr="00882F11">
        <w:rPr>
          <w:rFonts w:cs="Guttman Drogolin" w:hint="cs"/>
          <w:rtl/>
          <w:lang w:bidi="he-IL"/>
        </w:rPr>
        <w:t>בשביל</w:t>
      </w:r>
      <w:r w:rsidRPr="00882F11">
        <w:rPr>
          <w:rFonts w:cs="Guttman Drogolin"/>
          <w:rtl/>
          <w:lang w:bidi="he-IL"/>
        </w:rPr>
        <w:t xml:space="preserve"> </w:t>
      </w:r>
      <w:r w:rsidRPr="00882F11">
        <w:rPr>
          <w:rFonts w:cs="Guttman Drogolin" w:hint="cs"/>
          <w:rtl/>
          <w:lang w:bidi="he-IL"/>
        </w:rPr>
        <w:t>כלי</w:t>
      </w:r>
      <w:r w:rsidRPr="00882F11">
        <w:rPr>
          <w:rFonts w:cs="Guttman Drogolin"/>
          <w:rtl/>
          <w:lang w:bidi="he-IL"/>
        </w:rPr>
        <w:t xml:space="preserve"> </w:t>
      </w:r>
      <w:r w:rsidRPr="00882F11">
        <w:rPr>
          <w:rFonts w:cs="Guttman Drogolin" w:hint="cs"/>
          <w:rtl/>
          <w:lang w:bidi="he-IL"/>
        </w:rPr>
        <w:t>שלא</w:t>
      </w:r>
      <w:r w:rsidRPr="00882F11">
        <w:rPr>
          <w:rFonts w:cs="Guttman Drogolin"/>
          <w:rtl/>
          <w:lang w:bidi="he-IL"/>
        </w:rPr>
        <w:t xml:space="preserve"> </w:t>
      </w:r>
      <w:r w:rsidRPr="00882F11">
        <w:rPr>
          <w:rFonts w:cs="Guttman Drogolin" w:hint="cs"/>
          <w:rtl/>
          <w:lang w:bidi="he-IL"/>
        </w:rPr>
        <w:t>עשו</w:t>
      </w:r>
      <w:r w:rsidRPr="00882F11">
        <w:rPr>
          <w:rFonts w:cs="Guttman Drogolin"/>
          <w:rtl/>
          <w:lang w:bidi="he-IL"/>
        </w:rPr>
        <w:t xml:space="preserve"> </w:t>
      </w:r>
      <w:r w:rsidRPr="00882F11">
        <w:rPr>
          <w:rFonts w:cs="Guttman Drogolin" w:hint="cs"/>
          <w:rtl/>
          <w:lang w:bidi="he-IL"/>
        </w:rPr>
        <w:t>בו</w:t>
      </w:r>
      <w:r w:rsidRPr="00882F11">
        <w:rPr>
          <w:rFonts w:cs="Guttman Drogolin"/>
          <w:rtl/>
          <w:lang w:bidi="he-IL"/>
        </w:rPr>
        <w:t xml:space="preserve"> </w:t>
      </w:r>
      <w:r w:rsidRPr="00882F11">
        <w:rPr>
          <w:rFonts w:cs="Guttman Drogolin" w:hint="cs"/>
          <w:rtl/>
          <w:lang w:bidi="he-IL"/>
        </w:rPr>
        <w:t>איסור</w:t>
      </w:r>
      <w:r w:rsidRPr="00882F11">
        <w:rPr>
          <w:rFonts w:cs="Guttman Drogolin"/>
          <w:rtl/>
          <w:lang w:bidi="he-IL"/>
        </w:rPr>
        <w:t xml:space="preserve"> </w:t>
      </w:r>
      <w:r w:rsidRPr="00882F11">
        <w:rPr>
          <w:rFonts w:cs="Guttman Drogolin" w:hint="cs"/>
          <w:rtl/>
          <w:lang w:bidi="he-IL"/>
        </w:rPr>
        <w:t>מעת</w:t>
      </w:r>
      <w:r w:rsidRPr="00882F11">
        <w:rPr>
          <w:rFonts w:cs="Guttman Drogolin"/>
          <w:rtl/>
          <w:lang w:bidi="he-IL"/>
        </w:rPr>
        <w:t xml:space="preserve"> </w:t>
      </w:r>
      <w:r w:rsidRPr="00882F11">
        <w:rPr>
          <w:rFonts w:cs="Guttman Drogolin" w:hint="cs"/>
          <w:rtl/>
          <w:lang w:bidi="he-IL"/>
        </w:rPr>
        <w:t>לעת</w:t>
      </w:r>
      <w:r w:rsidRPr="00882F11">
        <w:rPr>
          <w:rFonts w:cs="Guttman Drogolin"/>
          <w:rtl/>
          <w:lang w:bidi="he-IL"/>
        </w:rPr>
        <w:t xml:space="preserve"> </w:t>
      </w:r>
      <w:r w:rsidRPr="00882F11">
        <w:rPr>
          <w:rFonts w:cs="Guttman Drogolin" w:hint="cs"/>
          <w:rtl/>
          <w:lang w:bidi="he-IL"/>
        </w:rPr>
        <w:t>או</w:t>
      </w:r>
      <w:r w:rsidRPr="00882F11">
        <w:rPr>
          <w:rFonts w:cs="Guttman Drogolin"/>
          <w:rtl/>
          <w:lang w:bidi="he-IL"/>
        </w:rPr>
        <w:t xml:space="preserve"> </w:t>
      </w:r>
      <w:r w:rsidRPr="00882F11">
        <w:rPr>
          <w:rFonts w:cs="Guttman Drogolin" w:hint="cs"/>
          <w:rtl/>
          <w:lang w:bidi="he-IL"/>
        </w:rPr>
        <w:t>פעמים</w:t>
      </w:r>
      <w:r w:rsidRPr="00882F11">
        <w:rPr>
          <w:rFonts w:cs="Guttman Drogolin"/>
          <w:rtl/>
          <w:lang w:bidi="he-IL"/>
        </w:rPr>
        <w:t xml:space="preserve"> </w:t>
      </w:r>
      <w:r w:rsidRPr="00882F11">
        <w:rPr>
          <w:rFonts w:cs="Guttman Drogolin" w:hint="cs"/>
          <w:rtl/>
          <w:lang w:bidi="he-IL"/>
        </w:rPr>
        <w:t>כבר</w:t>
      </w:r>
      <w:r w:rsidRPr="00882F11">
        <w:rPr>
          <w:rFonts w:cs="Guttman Drogolin"/>
          <w:rtl/>
          <w:lang w:bidi="he-IL"/>
        </w:rPr>
        <w:t xml:space="preserve"> </w:t>
      </w:r>
      <w:r w:rsidRPr="00882F11">
        <w:rPr>
          <w:rFonts w:cs="Guttman Drogolin" w:hint="cs"/>
          <w:rtl/>
          <w:lang w:bidi="he-IL"/>
        </w:rPr>
        <w:t>יש</w:t>
      </w:r>
      <w:r w:rsidRPr="00882F11">
        <w:rPr>
          <w:rFonts w:cs="Guttman Drogolin"/>
          <w:rtl/>
          <w:lang w:bidi="he-IL"/>
        </w:rPr>
        <w:t xml:space="preserve"> </w:t>
      </w:r>
      <w:r w:rsidRPr="00882F11">
        <w:rPr>
          <w:rFonts w:cs="Guttman Drogolin" w:hint="cs"/>
          <w:rtl/>
          <w:lang w:bidi="he-IL"/>
        </w:rPr>
        <w:t>שבוע</w:t>
      </w:r>
      <w:r w:rsidRPr="00882F11">
        <w:rPr>
          <w:rFonts w:cs="Guttman Drogolin"/>
          <w:rtl/>
          <w:lang w:bidi="he-IL"/>
        </w:rPr>
        <w:t xml:space="preserve"> </w:t>
      </w:r>
      <w:r w:rsidRPr="00882F11">
        <w:rPr>
          <w:rFonts w:cs="Guttman Drogolin" w:hint="cs"/>
          <w:rtl/>
          <w:lang w:bidi="he-IL"/>
        </w:rPr>
        <w:t>שצריך</w:t>
      </w:r>
      <w:r w:rsidRPr="00882F11">
        <w:rPr>
          <w:rFonts w:cs="Guttman Drogolin"/>
          <w:rtl/>
          <w:lang w:bidi="he-IL"/>
        </w:rPr>
        <w:t xml:space="preserve"> </w:t>
      </w:r>
      <w:r w:rsidRPr="00882F11">
        <w:rPr>
          <w:rFonts w:cs="Guttman Drogolin" w:hint="cs"/>
          <w:rtl/>
          <w:lang w:bidi="he-IL"/>
        </w:rPr>
        <w:t>לחקור</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בכלי</w:t>
      </w:r>
      <w:r w:rsidRPr="00882F11">
        <w:rPr>
          <w:rFonts w:cs="Guttman Drogolin"/>
          <w:rtl/>
          <w:lang w:bidi="he-IL"/>
        </w:rPr>
        <w:t xml:space="preserve"> </w:t>
      </w:r>
      <w:r w:rsidRPr="00882F11">
        <w:rPr>
          <w:rFonts w:cs="Guttman Drogolin" w:hint="cs"/>
          <w:rtl/>
          <w:lang w:bidi="he-IL"/>
        </w:rPr>
        <w:t>הוחמו</w:t>
      </w:r>
      <w:r w:rsidRPr="00882F11">
        <w:rPr>
          <w:rFonts w:cs="Guttman Drogolin"/>
          <w:rtl/>
          <w:lang w:bidi="he-IL"/>
        </w:rPr>
        <w:t xml:space="preserve"> </w:t>
      </w:r>
      <w:r w:rsidRPr="00882F11">
        <w:rPr>
          <w:rFonts w:cs="Guttman Drogolin" w:hint="cs"/>
          <w:rtl/>
          <w:lang w:bidi="he-IL"/>
        </w:rPr>
        <w:t>המים</w:t>
      </w:r>
      <w:r w:rsidRPr="00882F11">
        <w:rPr>
          <w:rFonts w:cs="Guttman Drogolin"/>
          <w:rtl/>
          <w:lang w:bidi="he-IL"/>
        </w:rPr>
        <w:t xml:space="preserve"> </w:t>
      </w:r>
      <w:r w:rsidRPr="00882F11">
        <w:rPr>
          <w:rFonts w:cs="Guttman Drogolin" w:hint="cs"/>
          <w:rtl/>
          <w:lang w:bidi="he-IL"/>
        </w:rPr>
        <w:t>לבדן</w:t>
      </w:r>
      <w:r w:rsidRPr="00882F11">
        <w:rPr>
          <w:rFonts w:cs="Guttman Drogolin"/>
          <w:rtl/>
          <w:lang w:bidi="he-IL"/>
        </w:rPr>
        <w:t xml:space="preserve"> </w:t>
      </w:r>
      <w:r w:rsidRPr="00882F11">
        <w:rPr>
          <w:rFonts w:cs="Guttman Drogolin" w:hint="cs"/>
          <w:rtl/>
          <w:lang w:bidi="he-IL"/>
        </w:rPr>
        <w:t>בתוך</w:t>
      </w:r>
      <w:r w:rsidRPr="00882F11">
        <w:rPr>
          <w:rFonts w:cs="Guttman Drogolin"/>
          <w:rtl/>
          <w:lang w:bidi="he-IL"/>
        </w:rPr>
        <w:t xml:space="preserve"> </w:t>
      </w:r>
      <w:r w:rsidRPr="00882F11">
        <w:rPr>
          <w:rFonts w:cs="Guttman Drogolin" w:hint="cs"/>
          <w:rtl/>
          <w:lang w:bidi="he-IL"/>
        </w:rPr>
        <w:t>מעת</w:t>
      </w:r>
      <w:r w:rsidRPr="00882F11">
        <w:rPr>
          <w:rFonts w:cs="Guttman Drogolin"/>
          <w:rtl/>
          <w:lang w:bidi="he-IL"/>
        </w:rPr>
        <w:t xml:space="preserve"> </w:t>
      </w:r>
      <w:r w:rsidRPr="00882F11">
        <w:rPr>
          <w:rFonts w:cs="Guttman Drogolin" w:hint="cs"/>
          <w:rtl/>
          <w:lang w:bidi="he-IL"/>
        </w:rPr>
        <w:t>לעת</w:t>
      </w:r>
      <w:r w:rsidRPr="00882F11">
        <w:rPr>
          <w:rFonts w:cs="Guttman Drogolin"/>
          <w:rtl/>
          <w:lang w:bidi="he-IL"/>
        </w:rPr>
        <w:t xml:space="preserve"> </w:t>
      </w:r>
      <w:r w:rsidRPr="00882F11">
        <w:rPr>
          <w:rFonts w:cs="Guttman Drogolin" w:hint="cs"/>
          <w:rtl/>
          <w:lang w:bidi="he-IL"/>
        </w:rPr>
        <w:t>שעשו</w:t>
      </w:r>
      <w:r w:rsidRPr="00882F11">
        <w:rPr>
          <w:rFonts w:cs="Guttman Drogolin"/>
          <w:rtl/>
          <w:lang w:bidi="he-IL"/>
        </w:rPr>
        <w:t xml:space="preserve"> </w:t>
      </w:r>
      <w:r w:rsidRPr="00882F11">
        <w:rPr>
          <w:rFonts w:cs="Guttman Drogolin" w:hint="cs"/>
          <w:rtl/>
          <w:lang w:bidi="he-IL"/>
        </w:rPr>
        <w:t>בו</w:t>
      </w:r>
      <w:r w:rsidRPr="00882F11">
        <w:rPr>
          <w:rFonts w:cs="Guttman Drogolin"/>
          <w:rtl/>
          <w:lang w:bidi="he-IL"/>
        </w:rPr>
        <w:t xml:space="preserve"> </w:t>
      </w:r>
      <w:r w:rsidRPr="00882F11">
        <w:rPr>
          <w:rFonts w:cs="Guttman Drogolin" w:hint="cs"/>
          <w:rtl/>
          <w:lang w:bidi="he-IL"/>
        </w:rPr>
        <w:t>האיסור</w:t>
      </w:r>
      <w:r w:rsidRPr="00882F11">
        <w:rPr>
          <w:rFonts w:cs="Guttman Drogolin"/>
          <w:rtl/>
          <w:lang w:bidi="he-IL"/>
        </w:rPr>
        <w:t xml:space="preserve"> </w:t>
      </w:r>
      <w:r w:rsidRPr="00882F11">
        <w:rPr>
          <w:rFonts w:cs="Guttman Drogolin" w:hint="cs"/>
          <w:rtl/>
          <w:lang w:bidi="he-IL"/>
        </w:rPr>
        <w:t>דכך</w:t>
      </w:r>
      <w:r w:rsidRPr="00882F11">
        <w:rPr>
          <w:rFonts w:cs="Guttman Drogolin"/>
          <w:rtl/>
          <w:lang w:bidi="he-IL"/>
        </w:rPr>
        <w:t xml:space="preserve"> </w:t>
      </w:r>
      <w:r w:rsidRPr="00882F11">
        <w:rPr>
          <w:rFonts w:cs="Guttman Drogolin" w:hint="cs"/>
          <w:rtl/>
          <w:lang w:bidi="he-IL"/>
        </w:rPr>
        <w:t>שוה</w:t>
      </w:r>
      <w:r w:rsidRPr="00882F11">
        <w:rPr>
          <w:rFonts w:cs="Guttman Drogolin"/>
          <w:rtl/>
          <w:lang w:bidi="he-IL"/>
        </w:rPr>
        <w:t xml:space="preserve"> </w:t>
      </w:r>
      <w:r w:rsidRPr="00882F11">
        <w:rPr>
          <w:rFonts w:cs="Guttman Drogolin" w:hint="cs"/>
          <w:rtl/>
          <w:lang w:bidi="he-IL"/>
        </w:rPr>
        <w:t>המים</w:t>
      </w:r>
      <w:r w:rsidRPr="00882F11">
        <w:rPr>
          <w:rFonts w:cs="Guttman Drogolin"/>
          <w:rtl/>
          <w:lang w:bidi="he-IL"/>
        </w:rPr>
        <w:t xml:space="preserve"> </w:t>
      </w:r>
      <w:r w:rsidRPr="00882F11">
        <w:rPr>
          <w:rFonts w:cs="Guttman Drogolin" w:hint="cs"/>
          <w:rtl/>
          <w:lang w:bidi="he-IL"/>
        </w:rPr>
        <w:t>לבדן</w:t>
      </w:r>
      <w:r w:rsidRPr="00882F11">
        <w:rPr>
          <w:rFonts w:cs="Guttman Drogolin"/>
          <w:rtl/>
          <w:lang w:bidi="he-IL"/>
        </w:rPr>
        <w:t xml:space="preserve"> </w:t>
      </w:r>
      <w:r w:rsidRPr="00882F11">
        <w:rPr>
          <w:rFonts w:cs="Guttman Drogolin" w:hint="cs"/>
          <w:rtl/>
          <w:lang w:bidi="he-IL"/>
        </w:rPr>
        <w:t>כמו</w:t>
      </w:r>
      <w:r w:rsidRPr="00882F11">
        <w:rPr>
          <w:rFonts w:cs="Guttman Drogolin"/>
          <w:rtl/>
          <w:lang w:bidi="he-IL"/>
        </w:rPr>
        <w:t xml:space="preserve"> </w:t>
      </w:r>
      <w:r w:rsidRPr="00882F11">
        <w:rPr>
          <w:rFonts w:cs="Guttman Drogolin" w:hint="cs"/>
          <w:rtl/>
          <w:lang w:bidi="he-IL"/>
        </w:rPr>
        <w:t>האיסור</w:t>
      </w:r>
      <w:r w:rsidRPr="00882F11">
        <w:rPr>
          <w:rFonts w:cs="Guttman Drogolin"/>
          <w:rtl/>
          <w:lang w:bidi="he-IL"/>
        </w:rPr>
        <w:t xml:space="preserve"> </w:t>
      </w:r>
      <w:r w:rsidRPr="00882F11">
        <w:rPr>
          <w:rFonts w:cs="Guttman Drogolin" w:hint="cs"/>
          <w:rtl/>
          <w:lang w:bidi="he-IL"/>
        </w:rPr>
        <w:t>עצמו</w:t>
      </w:r>
      <w:r w:rsidRPr="00882F11">
        <w:rPr>
          <w:rFonts w:cs="Guttman Drogolin"/>
          <w:rtl/>
          <w:lang w:bidi="he-IL"/>
        </w:rPr>
        <w:t xml:space="preserve"> </w:t>
      </w:r>
      <w:r w:rsidRPr="00882F11">
        <w:rPr>
          <w:rFonts w:cs="Guttman Drogolin" w:hint="cs"/>
          <w:rtl/>
          <w:lang w:bidi="he-IL"/>
        </w:rPr>
        <w:t>דכל</w:t>
      </w:r>
      <w:r w:rsidRPr="00882F11">
        <w:rPr>
          <w:rFonts w:cs="Guttman Drogolin"/>
          <w:rtl/>
          <w:lang w:bidi="he-IL"/>
        </w:rPr>
        <w:t xml:space="preserve"> </w:t>
      </w:r>
      <w:r w:rsidRPr="00882F11">
        <w:rPr>
          <w:rFonts w:cs="Guttman Drogolin" w:hint="cs"/>
          <w:rtl/>
          <w:lang w:bidi="he-IL"/>
        </w:rPr>
        <w:t>המים</w:t>
      </w:r>
      <w:r w:rsidRPr="00882F11">
        <w:rPr>
          <w:rFonts w:cs="Guttman Drogolin"/>
          <w:rtl/>
          <w:lang w:bidi="he-IL"/>
        </w:rPr>
        <w:t xml:space="preserve"> </w:t>
      </w:r>
      <w:r w:rsidRPr="00882F11">
        <w:rPr>
          <w:rFonts w:cs="Guttman Drogolin" w:hint="cs"/>
          <w:rtl/>
          <w:lang w:bidi="he-IL"/>
        </w:rPr>
        <w:t>נעשו</w:t>
      </w:r>
      <w:r w:rsidRPr="00882F11">
        <w:rPr>
          <w:rFonts w:cs="Guttman Drogolin"/>
          <w:rtl/>
          <w:lang w:bidi="he-IL"/>
        </w:rPr>
        <w:t xml:space="preserve"> </w:t>
      </w:r>
      <w:r w:rsidRPr="00882F11">
        <w:rPr>
          <w:rFonts w:cs="Guttman Drogolin" w:hint="cs"/>
          <w:rtl/>
          <w:lang w:bidi="he-IL"/>
        </w:rPr>
        <w:t>נבלה</w:t>
      </w:r>
      <w:r w:rsidRPr="00882F11">
        <w:rPr>
          <w:rFonts w:cs="Guttman Drogolin"/>
          <w:rtl/>
          <w:lang w:bidi="he-IL"/>
        </w:rPr>
        <w:t xml:space="preserve"> </w:t>
      </w:r>
      <w:r w:rsidRPr="00882F11">
        <w:rPr>
          <w:rFonts w:cs="Guttman Drogolin" w:hint="cs"/>
          <w:rtl/>
          <w:lang w:bidi="he-IL"/>
        </w:rPr>
        <w:t>כיון</w:t>
      </w:r>
      <w:r w:rsidRPr="00882F11">
        <w:rPr>
          <w:rFonts w:cs="Guttman Drogolin"/>
          <w:rtl/>
          <w:lang w:bidi="he-IL"/>
        </w:rPr>
        <w:t xml:space="preserve"> </w:t>
      </w:r>
      <w:r w:rsidRPr="00882F11">
        <w:rPr>
          <w:rFonts w:cs="Guttman Drogolin" w:hint="cs"/>
          <w:rtl/>
          <w:lang w:bidi="he-IL"/>
        </w:rPr>
        <w:t>שלא</w:t>
      </w:r>
      <w:r w:rsidRPr="00882F11">
        <w:rPr>
          <w:rFonts w:cs="Guttman Drogolin"/>
          <w:rtl/>
          <w:lang w:bidi="he-IL"/>
        </w:rPr>
        <w:t xml:space="preserve"> </w:t>
      </w:r>
      <w:r w:rsidRPr="00882F11">
        <w:rPr>
          <w:rFonts w:cs="Guttman Drogolin" w:hint="cs"/>
          <w:rtl/>
          <w:lang w:bidi="he-IL"/>
        </w:rPr>
        <w:t>היה</w:t>
      </w:r>
      <w:r w:rsidRPr="00882F11">
        <w:rPr>
          <w:rFonts w:cs="Guttman Drogolin"/>
          <w:rtl/>
          <w:lang w:bidi="he-IL"/>
        </w:rPr>
        <w:t xml:space="preserve"> </w:t>
      </w:r>
      <w:r w:rsidRPr="00882F11">
        <w:rPr>
          <w:rFonts w:cs="Guttman Drogolin" w:hint="cs"/>
          <w:rtl/>
          <w:lang w:bidi="he-IL"/>
        </w:rPr>
        <w:t>בהם</w:t>
      </w:r>
      <w:r w:rsidRPr="00882F11">
        <w:rPr>
          <w:rFonts w:cs="Guttman Drogolin"/>
          <w:rtl/>
          <w:lang w:bidi="he-IL"/>
        </w:rPr>
        <w:t xml:space="preserve"> </w:t>
      </w:r>
      <w:r w:rsidRPr="00882F11">
        <w:rPr>
          <w:rFonts w:cs="Guttman Drogolin" w:hint="cs"/>
          <w:rtl/>
          <w:lang w:bidi="he-IL"/>
        </w:rPr>
        <w:t>ששים</w:t>
      </w:r>
      <w:r w:rsidRPr="00882F11">
        <w:rPr>
          <w:rFonts w:cs="Guttman Drogolin"/>
          <w:rtl/>
          <w:lang w:bidi="he-IL"/>
        </w:rPr>
        <w:t xml:space="preserve"> </w:t>
      </w:r>
      <w:r w:rsidRPr="00882F11">
        <w:rPr>
          <w:rFonts w:cs="Guttman Drogolin" w:hint="cs"/>
          <w:rtl/>
          <w:lang w:bidi="he-IL"/>
        </w:rPr>
        <w:t>לבטל</w:t>
      </w:r>
      <w:r w:rsidRPr="00882F11">
        <w:rPr>
          <w:rFonts w:cs="Guttman Drogolin"/>
          <w:rtl/>
          <w:lang w:bidi="he-IL"/>
        </w:rPr>
        <w:t xml:space="preserve"> </w:t>
      </w:r>
      <w:r w:rsidRPr="00882F11">
        <w:rPr>
          <w:rFonts w:cs="Guttman Drogolin" w:hint="cs"/>
          <w:rtl/>
          <w:lang w:bidi="he-IL"/>
        </w:rPr>
        <w:t>פליטת</w:t>
      </w:r>
      <w:r w:rsidRPr="00882F11">
        <w:rPr>
          <w:rFonts w:cs="Guttman Drogolin"/>
          <w:rtl/>
          <w:lang w:bidi="he-IL"/>
        </w:rPr>
        <w:t xml:space="preserve"> </w:t>
      </w:r>
      <w:r w:rsidRPr="00882F11">
        <w:rPr>
          <w:rFonts w:cs="Guttman Drogolin" w:hint="cs"/>
          <w:rtl/>
          <w:lang w:bidi="he-IL"/>
        </w:rPr>
        <w:t>הכלי</w:t>
      </w:r>
      <w:r w:rsidRPr="00882F11">
        <w:rPr>
          <w:rFonts w:cs="Guttman Drogolin"/>
          <w:rtl/>
          <w:lang w:bidi="he-IL"/>
        </w:rPr>
        <w:t xml:space="preserve"> </w:t>
      </w:r>
      <w:r w:rsidRPr="00882F11">
        <w:rPr>
          <w:rFonts w:cs="Guttman Drogolin" w:hint="cs"/>
          <w:rtl/>
          <w:lang w:bidi="he-IL"/>
        </w:rPr>
        <w:t>דבדידיה</w:t>
      </w:r>
      <w:r w:rsidRPr="00882F11">
        <w:rPr>
          <w:rFonts w:cs="Guttman Drogolin"/>
          <w:rtl/>
          <w:lang w:bidi="he-IL"/>
        </w:rPr>
        <w:t xml:space="preserve"> </w:t>
      </w:r>
      <w:r w:rsidRPr="00882F11">
        <w:rPr>
          <w:rFonts w:cs="Guttman Drogolin" w:hint="cs"/>
          <w:rtl/>
          <w:lang w:bidi="he-IL"/>
        </w:rPr>
        <w:lastRenderedPageBreak/>
        <w:t>משערי</w:t>
      </w:r>
      <w:r w:rsidRPr="00882F11">
        <w:rPr>
          <w:rFonts w:cs="Guttman Drogolin"/>
          <w:rtl/>
          <w:lang w:bidi="he-IL"/>
        </w:rPr>
        <w:t xml:space="preserve">' </w:t>
      </w:r>
      <w:r w:rsidRPr="00882F11">
        <w:rPr>
          <w:rFonts w:cs="Guttman Drogolin" w:hint="cs"/>
          <w:rtl/>
          <w:lang w:bidi="he-IL"/>
        </w:rPr>
        <w:t>וחזרו</w:t>
      </w:r>
      <w:r w:rsidRPr="00882F11">
        <w:rPr>
          <w:rFonts w:cs="Guttman Drogolin"/>
          <w:rtl/>
          <w:lang w:bidi="he-IL"/>
        </w:rPr>
        <w:t xml:space="preserve"> </w:t>
      </w:r>
      <w:r w:rsidRPr="00882F11">
        <w:rPr>
          <w:rFonts w:cs="Guttman Drogolin" w:hint="cs"/>
          <w:rtl/>
          <w:lang w:bidi="he-IL"/>
        </w:rPr>
        <w:t>ונבלעו</w:t>
      </w:r>
      <w:r w:rsidRPr="00882F11">
        <w:rPr>
          <w:rFonts w:cs="Guttman Drogolin"/>
          <w:rtl/>
          <w:lang w:bidi="he-IL"/>
        </w:rPr>
        <w:t xml:space="preserve"> </w:t>
      </w:r>
      <w:r w:rsidRPr="00882F11">
        <w:rPr>
          <w:rFonts w:cs="Guttman Drogolin" w:hint="cs"/>
          <w:rtl/>
          <w:lang w:bidi="he-IL"/>
        </w:rPr>
        <w:t>אבל</w:t>
      </w:r>
      <w:r w:rsidRPr="00882F11">
        <w:rPr>
          <w:rFonts w:cs="Guttman Drogolin"/>
          <w:rtl/>
          <w:lang w:bidi="he-IL"/>
        </w:rPr>
        <w:t xml:space="preserve"> </w:t>
      </w:r>
      <w:r w:rsidRPr="00882F11">
        <w:rPr>
          <w:rFonts w:cs="Guttman Drogolin" w:hint="cs"/>
          <w:rtl/>
          <w:lang w:bidi="he-IL"/>
        </w:rPr>
        <w:t>היתר</w:t>
      </w:r>
      <w:r w:rsidRPr="00882F11">
        <w:rPr>
          <w:rFonts w:cs="Guttman Drogolin"/>
          <w:rtl/>
          <w:lang w:bidi="he-IL"/>
        </w:rPr>
        <w:t xml:space="preserve"> </w:t>
      </w:r>
      <w:r w:rsidRPr="00882F11">
        <w:rPr>
          <w:rFonts w:cs="Guttman Drogolin" w:hint="cs"/>
          <w:rtl/>
          <w:lang w:bidi="he-IL"/>
        </w:rPr>
        <w:t>בהיתר</w:t>
      </w:r>
      <w:r w:rsidRPr="00882F11">
        <w:rPr>
          <w:rFonts w:cs="Guttman Drogolin"/>
          <w:rtl/>
          <w:lang w:bidi="he-IL"/>
        </w:rPr>
        <w:t xml:space="preserve"> </w:t>
      </w:r>
      <w:r w:rsidRPr="00882F11">
        <w:rPr>
          <w:rFonts w:cs="Guttman Drogolin" w:hint="cs"/>
          <w:rtl/>
          <w:lang w:bidi="he-IL"/>
        </w:rPr>
        <w:t>אין</w:t>
      </w:r>
      <w:r w:rsidRPr="00882F11">
        <w:rPr>
          <w:rFonts w:cs="Guttman Drogolin"/>
          <w:rtl/>
          <w:lang w:bidi="he-IL"/>
        </w:rPr>
        <w:t xml:space="preserve"> </w:t>
      </w:r>
      <w:r w:rsidRPr="00882F11">
        <w:rPr>
          <w:rFonts w:cs="Guttman Drogolin" w:hint="cs"/>
          <w:rtl/>
          <w:lang w:bidi="he-IL"/>
        </w:rPr>
        <w:t>הדין</w:t>
      </w:r>
      <w:r w:rsidRPr="00882F11">
        <w:rPr>
          <w:rFonts w:cs="Guttman Drogolin"/>
          <w:rtl/>
          <w:lang w:bidi="he-IL"/>
        </w:rPr>
        <w:t xml:space="preserve"> </w:t>
      </w:r>
      <w:r w:rsidRPr="00882F11">
        <w:rPr>
          <w:rFonts w:cs="Guttman Drogolin" w:hint="cs"/>
          <w:rtl/>
          <w:lang w:bidi="he-IL"/>
        </w:rPr>
        <w:t>כן</w:t>
      </w:r>
      <w:r w:rsidRPr="00882F11">
        <w:rPr>
          <w:rFonts w:cs="Guttman Drogolin"/>
          <w:rtl/>
          <w:lang w:bidi="he-IL"/>
        </w:rPr>
        <w:t xml:space="preserve"> </w:t>
      </w:r>
      <w:r w:rsidRPr="00882F11">
        <w:rPr>
          <w:rFonts w:cs="Guttman Drogolin" w:hint="cs"/>
          <w:rtl/>
          <w:lang w:bidi="he-IL"/>
        </w:rPr>
        <w:t>כמו</w:t>
      </w:r>
      <w:r w:rsidRPr="00882F11">
        <w:rPr>
          <w:rFonts w:cs="Guttman Drogolin"/>
          <w:rtl/>
          <w:lang w:bidi="he-IL"/>
        </w:rPr>
        <w:t xml:space="preserve"> </w:t>
      </w:r>
      <w:r w:rsidRPr="00882F11">
        <w:rPr>
          <w:rFonts w:cs="Guttman Drogolin" w:hint="cs"/>
          <w:rtl/>
          <w:lang w:bidi="he-IL"/>
        </w:rPr>
        <w:t>בשר</w:t>
      </w:r>
      <w:r w:rsidRPr="00882F11">
        <w:rPr>
          <w:rFonts w:cs="Guttman Drogolin"/>
          <w:rtl/>
          <w:lang w:bidi="he-IL"/>
        </w:rPr>
        <w:t xml:space="preserve"> </w:t>
      </w:r>
      <w:r w:rsidRPr="00882F11">
        <w:rPr>
          <w:rFonts w:cs="Guttman Drogolin" w:hint="cs"/>
          <w:rtl/>
          <w:lang w:bidi="he-IL"/>
        </w:rPr>
        <w:t>בכלי</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חלב</w:t>
      </w:r>
      <w:r w:rsidRPr="00882F11">
        <w:rPr>
          <w:rFonts w:cs="Guttman Drogolin"/>
          <w:rtl/>
          <w:lang w:bidi="he-IL"/>
        </w:rPr>
        <w:t xml:space="preserve"> </w:t>
      </w:r>
      <w:r w:rsidRPr="00882F11">
        <w:rPr>
          <w:rFonts w:cs="Guttman Drogolin" w:hint="cs"/>
          <w:rtl/>
          <w:lang w:bidi="he-IL"/>
        </w:rPr>
        <w:t>או</w:t>
      </w:r>
      <w:r w:rsidRPr="00882F11">
        <w:rPr>
          <w:rFonts w:cs="Guttman Drogolin"/>
          <w:rtl/>
          <w:lang w:bidi="he-IL"/>
        </w:rPr>
        <w:t xml:space="preserve"> </w:t>
      </w:r>
      <w:r w:rsidRPr="00882F11">
        <w:rPr>
          <w:rFonts w:cs="Guttman Drogolin" w:hint="cs"/>
          <w:rtl/>
          <w:lang w:bidi="he-IL"/>
        </w:rPr>
        <w:t>חלב</w:t>
      </w:r>
      <w:r w:rsidRPr="00882F11">
        <w:rPr>
          <w:rFonts w:cs="Guttman Drogolin"/>
          <w:rtl/>
          <w:lang w:bidi="he-IL"/>
        </w:rPr>
        <w:t xml:space="preserve"> </w:t>
      </w:r>
      <w:r w:rsidRPr="00882F11">
        <w:rPr>
          <w:rFonts w:cs="Guttman Drogolin" w:hint="cs"/>
          <w:rtl/>
          <w:lang w:bidi="he-IL"/>
        </w:rPr>
        <w:t>בכלי</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בשר</w:t>
      </w:r>
      <w:r w:rsidRPr="00882F11">
        <w:rPr>
          <w:rFonts w:cs="Guttman Drogolin"/>
          <w:rtl/>
          <w:lang w:bidi="he-IL"/>
        </w:rPr>
        <w:t xml:space="preserve"> </w:t>
      </w:r>
      <w:r w:rsidRPr="00882F11">
        <w:rPr>
          <w:rFonts w:cs="Guttman Drogolin" w:hint="cs"/>
          <w:rtl/>
          <w:lang w:bidi="he-IL"/>
        </w:rPr>
        <w:t>דאם</w:t>
      </w:r>
      <w:r w:rsidRPr="00882F11">
        <w:rPr>
          <w:rFonts w:cs="Guttman Drogolin"/>
          <w:rtl/>
          <w:lang w:bidi="he-IL"/>
        </w:rPr>
        <w:t xml:space="preserve"> </w:t>
      </w:r>
      <w:r w:rsidRPr="00882F11">
        <w:rPr>
          <w:rFonts w:cs="Guttman Drogolin" w:hint="cs"/>
          <w:rtl/>
          <w:lang w:bidi="he-IL"/>
        </w:rPr>
        <w:t>הכלי</w:t>
      </w:r>
      <w:r w:rsidRPr="00882F11">
        <w:rPr>
          <w:rFonts w:cs="Guttman Drogolin"/>
          <w:rtl/>
          <w:lang w:bidi="he-IL"/>
        </w:rPr>
        <w:t xml:space="preserve"> </w:t>
      </w:r>
      <w:r w:rsidRPr="00882F11">
        <w:rPr>
          <w:rFonts w:cs="Guttman Drogolin" w:hint="cs"/>
          <w:rtl/>
          <w:lang w:bidi="he-IL"/>
        </w:rPr>
        <w:t>אינו</w:t>
      </w:r>
      <w:r w:rsidRPr="00882F11">
        <w:rPr>
          <w:rFonts w:cs="Guttman Drogolin"/>
          <w:rtl/>
          <w:lang w:bidi="he-IL"/>
        </w:rPr>
        <w:t xml:space="preserve"> </w:t>
      </w:r>
      <w:r w:rsidRPr="00882F11">
        <w:rPr>
          <w:rFonts w:cs="Guttman Drogolin" w:hint="cs"/>
          <w:rtl/>
          <w:lang w:bidi="he-IL"/>
        </w:rPr>
        <w:t>בן</w:t>
      </w:r>
      <w:r w:rsidRPr="00882F11">
        <w:rPr>
          <w:rFonts w:cs="Guttman Drogolin"/>
          <w:rtl/>
          <w:lang w:bidi="he-IL"/>
        </w:rPr>
        <w:t xml:space="preserve"> </w:t>
      </w:r>
      <w:r w:rsidRPr="00882F11">
        <w:rPr>
          <w:rFonts w:cs="Guttman Drogolin" w:hint="cs"/>
          <w:rtl/>
          <w:lang w:bidi="he-IL"/>
        </w:rPr>
        <w:t>יומו</w:t>
      </w:r>
      <w:r w:rsidRPr="00882F11">
        <w:rPr>
          <w:rFonts w:cs="Guttman Drogolin"/>
          <w:rtl/>
          <w:lang w:bidi="he-IL"/>
        </w:rPr>
        <w:t xml:space="preserve"> </w:t>
      </w:r>
      <w:r w:rsidRPr="00882F11">
        <w:rPr>
          <w:rFonts w:cs="Guttman Drogolin" w:hint="cs"/>
          <w:rtl/>
          <w:lang w:bidi="he-IL"/>
        </w:rPr>
        <w:t>הכל</w:t>
      </w:r>
      <w:r w:rsidRPr="00882F11">
        <w:rPr>
          <w:rFonts w:cs="Guttman Drogolin"/>
          <w:rtl/>
          <w:lang w:bidi="he-IL"/>
        </w:rPr>
        <w:t xml:space="preserve"> </w:t>
      </w:r>
      <w:r w:rsidRPr="00882F11">
        <w:rPr>
          <w:rFonts w:cs="Guttman Drogolin" w:hint="cs"/>
          <w:rtl/>
          <w:lang w:bidi="he-IL"/>
        </w:rPr>
        <w:t>מותר</w:t>
      </w:r>
      <w:r w:rsidRPr="00882F11">
        <w:rPr>
          <w:rFonts w:cs="Guttman Drogolin"/>
          <w:rtl/>
          <w:lang w:bidi="he-IL"/>
        </w:rPr>
        <w:t xml:space="preserve"> </w:t>
      </w:r>
      <w:r w:rsidRPr="00882F11">
        <w:rPr>
          <w:rFonts w:cs="Guttman Drogolin" w:hint="cs"/>
          <w:rtl/>
          <w:lang w:bidi="he-IL"/>
        </w:rPr>
        <w:t>אף</w:t>
      </w:r>
      <w:r w:rsidRPr="00882F11">
        <w:rPr>
          <w:rFonts w:cs="Guttman Drogolin"/>
          <w:rtl/>
          <w:lang w:bidi="he-IL"/>
        </w:rPr>
        <w:t xml:space="preserve"> </w:t>
      </w:r>
      <w:r w:rsidRPr="00882F11">
        <w:rPr>
          <w:rFonts w:cs="Guttman Drogolin" w:hint="cs"/>
          <w:rtl/>
          <w:lang w:bidi="he-IL"/>
        </w:rPr>
        <w:t>על</w:t>
      </w:r>
      <w:r w:rsidRPr="00882F11">
        <w:rPr>
          <w:rFonts w:cs="Guttman Drogolin"/>
          <w:rtl/>
          <w:lang w:bidi="he-IL"/>
        </w:rPr>
        <w:t xml:space="preserve"> </w:t>
      </w:r>
      <w:r w:rsidRPr="00882F11">
        <w:rPr>
          <w:rFonts w:cs="Guttman Drogolin" w:hint="cs"/>
          <w:rtl/>
          <w:lang w:bidi="he-IL"/>
        </w:rPr>
        <w:t>פי</w:t>
      </w:r>
      <w:r w:rsidRPr="00882F11">
        <w:rPr>
          <w:rFonts w:cs="Guttman Drogolin"/>
          <w:rtl/>
          <w:lang w:bidi="he-IL"/>
        </w:rPr>
        <w:t xml:space="preserve"> </w:t>
      </w:r>
      <w:r w:rsidRPr="00882F11">
        <w:rPr>
          <w:rFonts w:cs="Guttman Drogolin" w:hint="cs"/>
          <w:rtl/>
          <w:lang w:bidi="he-IL"/>
        </w:rPr>
        <w:t>שעשו</w:t>
      </w:r>
      <w:r w:rsidRPr="00882F11">
        <w:rPr>
          <w:rFonts w:cs="Guttman Drogolin"/>
          <w:rtl/>
          <w:lang w:bidi="he-IL"/>
        </w:rPr>
        <w:t xml:space="preserve"> </w:t>
      </w:r>
      <w:r w:rsidRPr="00882F11">
        <w:rPr>
          <w:rFonts w:cs="Guttman Drogolin" w:hint="cs"/>
          <w:rtl/>
          <w:lang w:bidi="he-IL"/>
        </w:rPr>
        <w:t>בו</w:t>
      </w:r>
      <w:r w:rsidRPr="00882F11">
        <w:rPr>
          <w:rFonts w:cs="Guttman Drogolin"/>
          <w:rtl/>
          <w:lang w:bidi="he-IL"/>
        </w:rPr>
        <w:t xml:space="preserve"> </w:t>
      </w:r>
      <w:r w:rsidRPr="00882F11">
        <w:rPr>
          <w:rFonts w:cs="Guttman Drogolin" w:hint="cs"/>
          <w:rtl/>
          <w:lang w:bidi="he-IL"/>
        </w:rPr>
        <w:t>המים</w:t>
      </w:r>
      <w:r w:rsidRPr="00882F11">
        <w:rPr>
          <w:rFonts w:cs="Guttman Drogolin"/>
          <w:rtl/>
          <w:lang w:bidi="he-IL"/>
        </w:rPr>
        <w:t xml:space="preserve"> </w:t>
      </w:r>
      <w:r w:rsidRPr="00882F11">
        <w:rPr>
          <w:rFonts w:cs="Guttman Drogolin" w:hint="cs"/>
          <w:rtl/>
          <w:lang w:bidi="he-IL"/>
        </w:rPr>
        <w:t>חמין</w:t>
      </w:r>
      <w:r w:rsidRPr="00882F11">
        <w:rPr>
          <w:rFonts w:cs="Guttman Drogolin"/>
          <w:rtl/>
          <w:lang w:bidi="he-IL"/>
        </w:rPr>
        <w:t xml:space="preserve"> </w:t>
      </w:r>
      <w:r w:rsidRPr="00882F11">
        <w:rPr>
          <w:rFonts w:cs="Guttman Drogolin" w:hint="cs"/>
          <w:rtl/>
          <w:lang w:bidi="he-IL"/>
        </w:rPr>
        <w:t>לעולם</w:t>
      </w:r>
      <w:r w:rsidRPr="00882F11">
        <w:rPr>
          <w:rFonts w:cs="Guttman Drogolin"/>
          <w:rtl/>
          <w:lang w:bidi="he-IL"/>
        </w:rPr>
        <w:t xml:space="preserve"> </w:t>
      </w:r>
      <w:r w:rsidRPr="00882F11">
        <w:rPr>
          <w:rFonts w:cs="Guttman Drogolin" w:hint="cs"/>
          <w:rtl/>
          <w:lang w:bidi="he-IL"/>
        </w:rPr>
        <w:t>לפי</w:t>
      </w:r>
      <w:r w:rsidRPr="00882F11">
        <w:rPr>
          <w:rFonts w:cs="Guttman Drogolin"/>
          <w:rtl/>
          <w:lang w:bidi="he-IL"/>
        </w:rPr>
        <w:t xml:space="preserve"> </w:t>
      </w:r>
      <w:r w:rsidRPr="00882F11">
        <w:rPr>
          <w:rFonts w:cs="Guttman Drogolin" w:hint="cs"/>
          <w:rtl/>
          <w:lang w:bidi="he-IL"/>
        </w:rPr>
        <w:t>שכל</w:t>
      </w:r>
      <w:r w:rsidRPr="00882F11">
        <w:rPr>
          <w:rFonts w:cs="Guttman Drogolin"/>
          <w:rtl/>
          <w:lang w:bidi="he-IL"/>
        </w:rPr>
        <w:t xml:space="preserve"> </w:t>
      </w:r>
      <w:r w:rsidRPr="00882F11">
        <w:rPr>
          <w:rFonts w:cs="Guttman Drogolin" w:hint="cs"/>
          <w:rtl/>
          <w:lang w:bidi="he-IL"/>
        </w:rPr>
        <w:t>המים</w:t>
      </w:r>
      <w:r w:rsidRPr="00882F11">
        <w:rPr>
          <w:rFonts w:cs="Guttman Drogolin"/>
          <w:rtl/>
          <w:lang w:bidi="he-IL"/>
        </w:rPr>
        <w:t xml:space="preserve"> </w:t>
      </w:r>
      <w:r w:rsidRPr="00882F11">
        <w:rPr>
          <w:rFonts w:cs="Guttman Drogolin" w:hint="cs"/>
          <w:rtl/>
          <w:lang w:bidi="he-IL"/>
        </w:rPr>
        <w:t>אין</w:t>
      </w:r>
      <w:r w:rsidRPr="00882F11">
        <w:rPr>
          <w:rFonts w:cs="Guttman Drogolin"/>
          <w:rtl/>
          <w:lang w:bidi="he-IL"/>
        </w:rPr>
        <w:t xml:space="preserve"> </w:t>
      </w:r>
      <w:r w:rsidRPr="00882F11">
        <w:rPr>
          <w:rFonts w:cs="Guttman Drogolin" w:hint="cs"/>
          <w:rtl/>
          <w:lang w:bidi="he-IL"/>
        </w:rPr>
        <w:t>להם</w:t>
      </w:r>
      <w:r w:rsidRPr="00882F11">
        <w:rPr>
          <w:rFonts w:cs="Guttman Drogolin"/>
          <w:rtl/>
          <w:lang w:bidi="he-IL"/>
        </w:rPr>
        <w:t xml:space="preserve"> </w:t>
      </w:r>
      <w:r w:rsidRPr="00882F11">
        <w:rPr>
          <w:rFonts w:cs="Guttman Drogolin" w:hint="cs"/>
          <w:rtl/>
          <w:lang w:bidi="he-IL"/>
        </w:rPr>
        <w:t>דין</w:t>
      </w:r>
      <w:r w:rsidRPr="00882F11">
        <w:rPr>
          <w:rFonts w:cs="Guttman Drogolin"/>
          <w:rtl/>
          <w:lang w:bidi="he-IL"/>
        </w:rPr>
        <w:t xml:space="preserve"> </w:t>
      </w:r>
      <w:r w:rsidRPr="00882F11">
        <w:rPr>
          <w:rFonts w:cs="Guttman Drogolin" w:hint="cs"/>
          <w:rtl/>
          <w:lang w:bidi="he-IL"/>
        </w:rPr>
        <w:t>פליטה</w:t>
      </w:r>
      <w:r w:rsidRPr="00882F11">
        <w:rPr>
          <w:rFonts w:cs="Guttman Drogolin"/>
          <w:rtl/>
          <w:lang w:bidi="he-IL"/>
        </w:rPr>
        <w:t xml:space="preserve"> </w:t>
      </w:r>
      <w:r w:rsidRPr="00882F11">
        <w:rPr>
          <w:rFonts w:cs="Guttman Drogolin" w:hint="cs"/>
          <w:rtl/>
          <w:lang w:bidi="he-IL"/>
        </w:rPr>
        <w:t>מן</w:t>
      </w:r>
      <w:r w:rsidRPr="00882F11">
        <w:rPr>
          <w:rFonts w:cs="Guttman Drogolin"/>
          <w:rtl/>
          <w:lang w:bidi="he-IL"/>
        </w:rPr>
        <w:t xml:space="preserve"> </w:t>
      </w:r>
      <w:r w:rsidRPr="00882F11">
        <w:rPr>
          <w:rFonts w:cs="Guttman Drogolin" w:hint="cs"/>
          <w:rtl/>
          <w:lang w:bidi="he-IL"/>
        </w:rPr>
        <w:t>הכלי</w:t>
      </w:r>
      <w:r w:rsidRPr="00882F11">
        <w:rPr>
          <w:rFonts w:cs="Guttman Drogolin"/>
          <w:rtl/>
          <w:lang w:bidi="he-IL"/>
        </w:rPr>
        <w:t xml:space="preserve"> </w:t>
      </w:r>
      <w:r w:rsidRPr="00882F11">
        <w:rPr>
          <w:rFonts w:cs="Guttman Drogolin" w:hint="cs"/>
          <w:rtl/>
          <w:lang w:bidi="he-IL"/>
        </w:rPr>
        <w:t>שהרי</w:t>
      </w:r>
      <w:r w:rsidRPr="00882F11">
        <w:rPr>
          <w:rFonts w:cs="Guttman Drogolin"/>
          <w:rtl/>
          <w:lang w:bidi="he-IL"/>
        </w:rPr>
        <w:t xml:space="preserve"> </w:t>
      </w:r>
      <w:r w:rsidRPr="00882F11">
        <w:rPr>
          <w:rFonts w:cs="Guttman Drogolin" w:hint="cs"/>
          <w:rtl/>
          <w:lang w:bidi="he-IL"/>
        </w:rPr>
        <w:t>הן</w:t>
      </w:r>
      <w:r w:rsidRPr="00882F11">
        <w:rPr>
          <w:rFonts w:cs="Guttman Drogolin"/>
          <w:rtl/>
          <w:lang w:bidi="he-IL"/>
        </w:rPr>
        <w:t xml:space="preserve"> </w:t>
      </w:r>
      <w:r w:rsidRPr="00882F11">
        <w:rPr>
          <w:rFonts w:cs="Guttman Drogolin" w:hint="cs"/>
          <w:rtl/>
          <w:lang w:bidi="he-IL"/>
        </w:rPr>
        <w:t>היתר</w:t>
      </w:r>
      <w:r w:rsidRPr="00882F11">
        <w:rPr>
          <w:rFonts w:cs="Guttman Drogolin"/>
          <w:rtl/>
          <w:lang w:bidi="he-IL"/>
        </w:rPr>
        <w:t xml:space="preserve"> </w:t>
      </w:r>
      <w:r w:rsidRPr="00882F11">
        <w:rPr>
          <w:rFonts w:cs="Guttman Drogolin" w:hint="cs"/>
          <w:rtl/>
          <w:lang w:bidi="he-IL"/>
        </w:rPr>
        <w:t>וכי</w:t>
      </w:r>
      <w:r w:rsidRPr="00882F11">
        <w:rPr>
          <w:rFonts w:cs="Guttman Drogolin"/>
          <w:rtl/>
          <w:lang w:bidi="he-IL"/>
        </w:rPr>
        <w:t xml:space="preserve"> </w:t>
      </w:r>
      <w:r w:rsidRPr="00882F11">
        <w:rPr>
          <w:rFonts w:cs="Guttman Drogolin" w:hint="cs"/>
          <w:rtl/>
          <w:lang w:bidi="he-IL"/>
        </w:rPr>
        <w:t>חזרו</w:t>
      </w:r>
      <w:r w:rsidRPr="00882F11">
        <w:rPr>
          <w:rFonts w:cs="Guttman Drogolin"/>
          <w:rtl/>
          <w:lang w:bidi="he-IL"/>
        </w:rPr>
        <w:t xml:space="preserve"> </w:t>
      </w:r>
      <w:r w:rsidRPr="00882F11">
        <w:rPr>
          <w:rFonts w:cs="Guttman Drogolin" w:hint="cs"/>
          <w:rtl/>
          <w:lang w:bidi="he-IL"/>
        </w:rPr>
        <w:t>ונבלעו</w:t>
      </w:r>
      <w:r w:rsidRPr="00882F11">
        <w:rPr>
          <w:rFonts w:cs="Guttman Drogolin"/>
          <w:rtl/>
          <w:lang w:bidi="he-IL"/>
        </w:rPr>
        <w:t xml:space="preserve"> </w:t>
      </w:r>
      <w:r w:rsidRPr="00882F11">
        <w:rPr>
          <w:rFonts w:cs="Guttman Drogolin" w:hint="cs"/>
          <w:rtl/>
          <w:lang w:bidi="he-IL"/>
        </w:rPr>
        <w:t>בכלי</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נבלע</w:t>
      </w:r>
      <w:r w:rsidRPr="00882F11">
        <w:rPr>
          <w:rFonts w:cs="Guttman Drogolin"/>
          <w:rtl/>
          <w:lang w:bidi="he-IL"/>
        </w:rPr>
        <w:t xml:space="preserve"> </w:t>
      </w:r>
      <w:r w:rsidRPr="00882F11">
        <w:rPr>
          <w:rFonts w:cs="Guttman Drogolin" w:hint="cs"/>
          <w:rtl/>
          <w:lang w:bidi="he-IL"/>
        </w:rPr>
        <w:t>רק</w:t>
      </w:r>
      <w:r w:rsidRPr="00882F11">
        <w:rPr>
          <w:rFonts w:cs="Guttman Drogolin"/>
          <w:rtl/>
          <w:lang w:bidi="he-IL"/>
        </w:rPr>
        <w:t xml:space="preserve"> </w:t>
      </w:r>
      <w:r w:rsidRPr="00882F11">
        <w:rPr>
          <w:rFonts w:cs="Guttman Drogolin" w:hint="cs"/>
          <w:rtl/>
          <w:lang w:bidi="he-IL"/>
        </w:rPr>
        <w:t>מעט</w:t>
      </w:r>
      <w:r w:rsidRPr="00882F11">
        <w:rPr>
          <w:rFonts w:cs="Guttman Drogolin"/>
          <w:rtl/>
          <w:lang w:bidi="he-IL"/>
        </w:rPr>
        <w:t xml:space="preserve"> </w:t>
      </w:r>
      <w:r w:rsidRPr="00882F11">
        <w:rPr>
          <w:rFonts w:cs="Guttman Drogolin" w:hint="cs"/>
          <w:rtl/>
          <w:lang w:bidi="he-IL"/>
        </w:rPr>
        <w:t>מן</w:t>
      </w:r>
      <w:r w:rsidRPr="00882F11">
        <w:rPr>
          <w:rFonts w:cs="Guttman Drogolin"/>
          <w:rtl/>
          <w:lang w:bidi="he-IL"/>
        </w:rPr>
        <w:t xml:space="preserve"> </w:t>
      </w:r>
      <w:r w:rsidRPr="00882F11">
        <w:rPr>
          <w:rFonts w:cs="Guttman Drogolin" w:hint="cs"/>
          <w:rtl/>
          <w:lang w:bidi="he-IL"/>
        </w:rPr>
        <w:t>הבשר</w:t>
      </w:r>
      <w:r w:rsidRPr="00882F11">
        <w:rPr>
          <w:rFonts w:cs="Guttman Drogolin"/>
          <w:rtl/>
          <w:lang w:bidi="he-IL"/>
        </w:rPr>
        <w:t xml:space="preserve"> </w:t>
      </w:r>
      <w:r w:rsidRPr="00882F11">
        <w:rPr>
          <w:rFonts w:cs="Guttman Drogolin" w:hint="cs"/>
          <w:rtl/>
          <w:lang w:bidi="he-IL"/>
        </w:rPr>
        <w:t>שנפלט</w:t>
      </w:r>
      <w:r w:rsidRPr="00882F11">
        <w:rPr>
          <w:rFonts w:cs="Guttman Drogolin"/>
          <w:rtl/>
          <w:lang w:bidi="he-IL"/>
        </w:rPr>
        <w:t xml:space="preserve"> </w:t>
      </w:r>
      <w:r w:rsidRPr="00882F11">
        <w:rPr>
          <w:rFonts w:cs="Guttman Drogolin" w:hint="cs"/>
          <w:rtl/>
          <w:lang w:bidi="he-IL"/>
        </w:rPr>
        <w:t>מן</w:t>
      </w:r>
      <w:r w:rsidRPr="00882F11">
        <w:rPr>
          <w:rFonts w:cs="Guttman Drogolin"/>
          <w:rtl/>
          <w:lang w:bidi="he-IL"/>
        </w:rPr>
        <w:t xml:space="preserve"> </w:t>
      </w:r>
      <w:r w:rsidRPr="00882F11">
        <w:rPr>
          <w:rFonts w:cs="Guttman Drogolin" w:hint="cs"/>
          <w:rtl/>
          <w:lang w:bidi="he-IL"/>
        </w:rPr>
        <w:t>הכלי</w:t>
      </w:r>
      <w:r w:rsidRPr="00882F11">
        <w:rPr>
          <w:rFonts w:cs="Guttman Drogolin"/>
          <w:rtl/>
          <w:lang w:bidi="he-IL"/>
        </w:rPr>
        <w:t xml:space="preserve"> </w:t>
      </w:r>
      <w:r w:rsidRPr="00882F11">
        <w:rPr>
          <w:rFonts w:cs="Guttman Drogolin" w:hint="cs"/>
          <w:rtl/>
          <w:lang w:bidi="he-IL"/>
        </w:rPr>
        <w:t>או</w:t>
      </w:r>
      <w:r w:rsidRPr="00882F11">
        <w:rPr>
          <w:rFonts w:cs="Guttman Drogolin"/>
          <w:rtl/>
          <w:lang w:bidi="he-IL"/>
        </w:rPr>
        <w:t xml:space="preserve"> </w:t>
      </w:r>
      <w:r w:rsidRPr="00882F11">
        <w:rPr>
          <w:rFonts w:cs="Guttman Drogolin" w:hint="cs"/>
          <w:rtl/>
          <w:lang w:bidi="he-IL"/>
        </w:rPr>
        <w:t>מן</w:t>
      </w:r>
      <w:r w:rsidRPr="00882F11">
        <w:rPr>
          <w:rFonts w:cs="Guttman Drogolin"/>
          <w:rtl/>
          <w:lang w:bidi="he-IL"/>
        </w:rPr>
        <w:t xml:space="preserve"> </w:t>
      </w:r>
      <w:r w:rsidRPr="00882F11">
        <w:rPr>
          <w:rFonts w:cs="Guttman Drogolin" w:hint="cs"/>
          <w:rtl/>
          <w:lang w:bidi="he-IL"/>
        </w:rPr>
        <w:t>החלב</w:t>
      </w:r>
      <w:r w:rsidRPr="00882F11">
        <w:rPr>
          <w:rFonts w:cs="Guttman Drogolin"/>
          <w:rtl/>
          <w:lang w:bidi="he-IL"/>
        </w:rPr>
        <w:t xml:space="preserve"> </w:t>
      </w:r>
      <w:r w:rsidRPr="00882F11">
        <w:rPr>
          <w:rFonts w:cs="Guttman Drogolin" w:hint="cs"/>
          <w:rtl/>
          <w:lang w:bidi="he-IL"/>
        </w:rPr>
        <w:t>המעורב</w:t>
      </w:r>
      <w:r w:rsidRPr="00882F11">
        <w:rPr>
          <w:rFonts w:cs="Guttman Drogolin"/>
          <w:rtl/>
          <w:lang w:bidi="he-IL"/>
        </w:rPr>
        <w:t xml:space="preserve"> </w:t>
      </w:r>
      <w:r w:rsidRPr="00882F11">
        <w:rPr>
          <w:rFonts w:cs="Guttman Drogolin" w:hint="cs"/>
          <w:rtl/>
          <w:lang w:bidi="he-IL"/>
        </w:rPr>
        <w:t>במים</w:t>
      </w:r>
      <w:r w:rsidRPr="00882F11">
        <w:rPr>
          <w:rFonts w:cs="Guttman Drogolin"/>
          <w:rtl/>
          <w:lang w:bidi="he-IL"/>
        </w:rPr>
        <w:t xml:space="preserve"> </w:t>
      </w:r>
      <w:r w:rsidRPr="00882F11">
        <w:rPr>
          <w:rFonts w:cs="Guttman Drogolin" w:hint="cs"/>
          <w:rtl/>
          <w:lang w:bidi="he-IL"/>
        </w:rPr>
        <w:t>שהרי</w:t>
      </w:r>
      <w:r w:rsidRPr="00882F11">
        <w:rPr>
          <w:rFonts w:cs="Guttman Drogolin"/>
          <w:rtl/>
          <w:lang w:bidi="he-IL"/>
        </w:rPr>
        <w:t xml:space="preserve"> </w:t>
      </w:r>
      <w:r w:rsidRPr="00882F11">
        <w:rPr>
          <w:rFonts w:cs="Guttman Drogolin" w:hint="cs"/>
          <w:rtl/>
          <w:lang w:bidi="he-IL"/>
        </w:rPr>
        <w:t>עשר</w:t>
      </w:r>
      <w:r w:rsidRPr="00882F11">
        <w:rPr>
          <w:rFonts w:cs="Guttman Drogolin"/>
          <w:rtl/>
          <w:lang w:bidi="he-IL"/>
        </w:rPr>
        <w:t xml:space="preserve"> </w:t>
      </w:r>
      <w:r w:rsidRPr="00882F11">
        <w:rPr>
          <w:rFonts w:cs="Guttman Drogolin" w:hint="cs"/>
          <w:rtl/>
          <w:lang w:bidi="he-IL"/>
        </w:rPr>
        <w:t>ידות</w:t>
      </w:r>
      <w:r w:rsidRPr="00882F11">
        <w:rPr>
          <w:rFonts w:cs="Guttman Drogolin"/>
          <w:rtl/>
          <w:lang w:bidi="he-IL"/>
        </w:rPr>
        <w:t xml:space="preserve"> </w:t>
      </w:r>
      <w:r w:rsidRPr="00882F11">
        <w:rPr>
          <w:rFonts w:cs="Guttman Drogolin" w:hint="cs"/>
          <w:rtl/>
          <w:lang w:bidi="he-IL"/>
        </w:rPr>
        <w:t>חזרו</w:t>
      </w:r>
      <w:r w:rsidRPr="00882F11">
        <w:rPr>
          <w:rFonts w:cs="Guttman Drogolin"/>
          <w:rtl/>
          <w:lang w:bidi="he-IL"/>
        </w:rPr>
        <w:t xml:space="preserve"> </w:t>
      </w:r>
      <w:r w:rsidRPr="00882F11">
        <w:rPr>
          <w:rFonts w:cs="Guttman Drogolin" w:hint="cs"/>
          <w:rtl/>
          <w:lang w:bidi="he-IL"/>
        </w:rPr>
        <w:t>ונבלעו</w:t>
      </w:r>
      <w:r w:rsidRPr="00882F11">
        <w:rPr>
          <w:rFonts w:cs="Guttman Drogolin"/>
          <w:rtl/>
          <w:lang w:bidi="he-IL"/>
        </w:rPr>
        <w:t xml:space="preserve"> </w:t>
      </w:r>
      <w:r w:rsidRPr="00882F11">
        <w:rPr>
          <w:rFonts w:cs="Guttman Drogolin" w:hint="cs"/>
          <w:rtl/>
          <w:lang w:bidi="he-IL"/>
        </w:rPr>
        <w:t>המים</w:t>
      </w:r>
      <w:r w:rsidRPr="00882F11">
        <w:rPr>
          <w:rFonts w:cs="Guttman Drogolin"/>
          <w:rtl/>
          <w:lang w:bidi="he-IL"/>
        </w:rPr>
        <w:t xml:space="preserve"> </w:t>
      </w:r>
      <w:r w:rsidRPr="00882F11">
        <w:rPr>
          <w:rFonts w:cs="Guttman Drogolin" w:hint="cs"/>
          <w:rtl/>
          <w:lang w:bidi="he-IL"/>
        </w:rPr>
        <w:t>שהן</w:t>
      </w:r>
      <w:r w:rsidRPr="00882F11">
        <w:rPr>
          <w:rFonts w:cs="Guttman Drogolin"/>
          <w:rtl/>
          <w:lang w:bidi="he-IL"/>
        </w:rPr>
        <w:t xml:space="preserve"> </w:t>
      </w:r>
      <w:r w:rsidRPr="00882F11">
        <w:rPr>
          <w:rFonts w:cs="Guttman Drogolin" w:hint="cs"/>
          <w:rtl/>
          <w:lang w:bidi="he-IL"/>
        </w:rPr>
        <w:t>היתר</w:t>
      </w:r>
      <w:r w:rsidRPr="00882F11">
        <w:rPr>
          <w:rFonts w:cs="Guttman Drogolin"/>
          <w:rtl/>
          <w:lang w:bidi="he-IL"/>
        </w:rPr>
        <w:t xml:space="preserve"> </w:t>
      </w:r>
      <w:r w:rsidRPr="00882F11">
        <w:rPr>
          <w:rFonts w:cs="Guttman Drogolin" w:hint="cs"/>
          <w:rtl/>
          <w:lang w:bidi="he-IL"/>
        </w:rPr>
        <w:t>יותר</w:t>
      </w:r>
      <w:r w:rsidRPr="00882F11">
        <w:rPr>
          <w:rFonts w:cs="Guttman Drogolin"/>
          <w:rtl/>
          <w:lang w:bidi="he-IL"/>
        </w:rPr>
        <w:t xml:space="preserve"> </w:t>
      </w:r>
      <w:r w:rsidRPr="00882F11">
        <w:rPr>
          <w:rFonts w:cs="Guttman Drogolin" w:hint="cs"/>
          <w:rtl/>
          <w:lang w:bidi="he-IL"/>
        </w:rPr>
        <w:t>משחזר</w:t>
      </w:r>
      <w:r w:rsidRPr="00882F11">
        <w:rPr>
          <w:rFonts w:cs="Guttman Drogolin"/>
          <w:rtl/>
          <w:lang w:bidi="he-IL"/>
        </w:rPr>
        <w:t xml:space="preserve"> </w:t>
      </w:r>
      <w:r w:rsidRPr="00882F11">
        <w:rPr>
          <w:rFonts w:cs="Guttman Drogolin" w:hint="cs"/>
          <w:rtl/>
          <w:lang w:bidi="he-IL"/>
        </w:rPr>
        <w:t>ונבלע</w:t>
      </w:r>
      <w:r w:rsidRPr="00882F11">
        <w:rPr>
          <w:rFonts w:cs="Guttman Drogolin"/>
          <w:rtl/>
          <w:lang w:bidi="he-IL"/>
        </w:rPr>
        <w:t xml:space="preserve"> </w:t>
      </w:r>
      <w:r w:rsidRPr="00882F11">
        <w:rPr>
          <w:rFonts w:cs="Guttman Drogolin" w:hint="cs"/>
          <w:rtl/>
          <w:lang w:bidi="he-IL"/>
        </w:rPr>
        <w:t>מן</w:t>
      </w:r>
      <w:r w:rsidRPr="00882F11">
        <w:rPr>
          <w:rFonts w:cs="Guttman Drogolin"/>
          <w:rtl/>
          <w:lang w:bidi="he-IL"/>
        </w:rPr>
        <w:t xml:space="preserve"> </w:t>
      </w:r>
      <w:r w:rsidRPr="00882F11">
        <w:rPr>
          <w:rFonts w:cs="Guttman Drogolin" w:hint="cs"/>
          <w:rtl/>
          <w:lang w:bidi="he-IL"/>
        </w:rPr>
        <w:t>הכלי</w:t>
      </w:r>
      <w:r w:rsidRPr="00882F11">
        <w:rPr>
          <w:rFonts w:cs="Guttman Drogolin"/>
          <w:rtl/>
          <w:lang w:bidi="he-IL"/>
        </w:rPr>
        <w:t xml:space="preserve"> </w:t>
      </w:r>
      <w:r w:rsidRPr="00882F11">
        <w:rPr>
          <w:rFonts w:cs="Guttman Drogolin" w:hint="cs"/>
          <w:rtl/>
          <w:lang w:bidi="he-IL"/>
        </w:rPr>
        <w:t>הפליטה</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כלי</w:t>
      </w:r>
      <w:r w:rsidRPr="00882F11">
        <w:rPr>
          <w:rFonts w:cs="Guttman Drogolin"/>
          <w:rtl/>
          <w:lang w:bidi="he-IL"/>
        </w:rPr>
        <w:t xml:space="preserve"> </w:t>
      </w:r>
      <w:r w:rsidRPr="00882F11">
        <w:rPr>
          <w:rFonts w:cs="Guttman Drogolin" w:hint="cs"/>
          <w:rtl/>
          <w:lang w:bidi="he-IL"/>
        </w:rPr>
        <w:t>דדוקא</w:t>
      </w:r>
      <w:r w:rsidRPr="00882F11">
        <w:rPr>
          <w:rFonts w:cs="Guttman Drogolin"/>
          <w:rtl/>
          <w:lang w:bidi="he-IL"/>
        </w:rPr>
        <w:t xml:space="preserve"> </w:t>
      </w:r>
      <w:r w:rsidRPr="00882F11">
        <w:rPr>
          <w:rFonts w:cs="Guttman Drogolin" w:hint="cs"/>
          <w:rtl/>
          <w:lang w:bidi="he-IL"/>
        </w:rPr>
        <w:t>באיסור</w:t>
      </w:r>
      <w:r w:rsidRPr="00882F11">
        <w:rPr>
          <w:rFonts w:cs="Guttman Drogolin"/>
          <w:rtl/>
          <w:lang w:bidi="he-IL"/>
        </w:rPr>
        <w:t xml:space="preserve"> </w:t>
      </w:r>
      <w:r w:rsidRPr="00882F11">
        <w:rPr>
          <w:rFonts w:cs="Guttman Drogolin" w:hint="cs"/>
          <w:rtl/>
          <w:lang w:bidi="he-IL"/>
        </w:rPr>
        <w:t>אמרי</w:t>
      </w:r>
      <w:r w:rsidRPr="00882F11">
        <w:rPr>
          <w:rFonts w:cs="Guttman Drogolin"/>
          <w:rtl/>
          <w:lang w:bidi="he-IL"/>
        </w:rPr>
        <w:t xml:space="preserve">' </w:t>
      </w:r>
      <w:r w:rsidRPr="00882F11">
        <w:rPr>
          <w:rFonts w:cs="Guttman Drogolin" w:hint="cs"/>
          <w:rtl/>
          <w:lang w:bidi="he-IL"/>
        </w:rPr>
        <w:t>חתיכה</w:t>
      </w:r>
      <w:r w:rsidRPr="00882F11">
        <w:rPr>
          <w:rFonts w:cs="Guttman Drogolin"/>
          <w:rtl/>
          <w:lang w:bidi="he-IL"/>
        </w:rPr>
        <w:t xml:space="preserve"> </w:t>
      </w:r>
      <w:r w:rsidRPr="00882F11">
        <w:rPr>
          <w:rFonts w:cs="Guttman Drogolin" w:hint="cs"/>
          <w:rtl/>
          <w:lang w:bidi="he-IL"/>
        </w:rPr>
        <w:t>עצמה</w:t>
      </w:r>
      <w:r w:rsidRPr="00882F11">
        <w:rPr>
          <w:rFonts w:cs="Guttman Drogolin"/>
          <w:rtl/>
          <w:lang w:bidi="he-IL"/>
        </w:rPr>
        <w:t xml:space="preserve"> </w:t>
      </w:r>
      <w:r w:rsidRPr="00882F11">
        <w:rPr>
          <w:rFonts w:cs="Guttman Drogolin" w:hint="cs"/>
          <w:rtl/>
          <w:lang w:bidi="he-IL"/>
        </w:rPr>
        <w:t>נעשית</w:t>
      </w:r>
      <w:r w:rsidRPr="00882F11">
        <w:rPr>
          <w:rFonts w:cs="Guttman Drogolin"/>
          <w:rtl/>
          <w:lang w:bidi="he-IL"/>
        </w:rPr>
        <w:t xml:space="preserve"> </w:t>
      </w:r>
      <w:r w:rsidRPr="00882F11">
        <w:rPr>
          <w:rFonts w:cs="Guttman Drogolin" w:hint="cs"/>
          <w:rtl/>
          <w:lang w:bidi="he-IL"/>
        </w:rPr>
        <w:t>נבלה</w:t>
      </w:r>
      <w:r w:rsidRPr="00882F11">
        <w:rPr>
          <w:rFonts w:cs="Guttman Drogolin"/>
          <w:rtl/>
          <w:lang w:bidi="he-IL"/>
        </w:rPr>
        <w:t xml:space="preserve"> </w:t>
      </w:r>
      <w:r w:rsidRPr="00882F11">
        <w:rPr>
          <w:rFonts w:cs="Guttman Drogolin" w:hint="cs"/>
          <w:rtl/>
          <w:lang w:bidi="he-IL"/>
        </w:rPr>
        <w:t>שכל</w:t>
      </w:r>
      <w:r w:rsidRPr="00882F11">
        <w:rPr>
          <w:rFonts w:cs="Guttman Drogolin"/>
          <w:rtl/>
          <w:lang w:bidi="he-IL"/>
        </w:rPr>
        <w:t xml:space="preserve"> </w:t>
      </w:r>
      <w:r w:rsidRPr="00882F11">
        <w:rPr>
          <w:rFonts w:cs="Guttman Drogolin" w:hint="cs"/>
          <w:rtl/>
          <w:lang w:bidi="he-IL"/>
        </w:rPr>
        <w:t>המים</w:t>
      </w:r>
      <w:r w:rsidRPr="00882F11">
        <w:rPr>
          <w:rFonts w:cs="Guttman Drogolin"/>
          <w:rtl/>
          <w:lang w:bidi="he-IL"/>
        </w:rPr>
        <w:t xml:space="preserve"> </w:t>
      </w:r>
      <w:r w:rsidRPr="00882F11">
        <w:rPr>
          <w:rFonts w:cs="Guttman Drogolin" w:hint="cs"/>
          <w:rtl/>
          <w:lang w:bidi="he-IL"/>
        </w:rPr>
        <w:t>קרויים</w:t>
      </w:r>
      <w:r w:rsidRPr="00882F11">
        <w:rPr>
          <w:rFonts w:cs="Guttman Drogolin"/>
          <w:rtl/>
          <w:lang w:bidi="he-IL"/>
        </w:rPr>
        <w:t xml:space="preserve"> </w:t>
      </w:r>
      <w:r w:rsidRPr="00882F11">
        <w:rPr>
          <w:rFonts w:cs="Guttman Drogolin" w:hint="cs"/>
          <w:rtl/>
          <w:lang w:bidi="he-IL"/>
        </w:rPr>
        <w:t>איסור</w:t>
      </w:r>
      <w:r w:rsidRPr="00882F11">
        <w:rPr>
          <w:rFonts w:cs="Guttman Drogolin"/>
          <w:rtl/>
          <w:lang w:bidi="he-IL"/>
        </w:rPr>
        <w:t xml:space="preserve">. </w:t>
      </w:r>
      <w:r w:rsidRPr="00882F11">
        <w:rPr>
          <w:rFonts w:cs="Guttman Drogolin" w:hint="cs"/>
          <w:rtl/>
          <w:lang w:bidi="he-IL"/>
        </w:rPr>
        <w:t>ועוד</w:t>
      </w:r>
      <w:r w:rsidRPr="00882F11">
        <w:rPr>
          <w:rFonts w:cs="Guttman Drogolin"/>
          <w:rtl/>
          <w:lang w:bidi="he-IL"/>
        </w:rPr>
        <w:t xml:space="preserve"> </w:t>
      </w:r>
      <w:r w:rsidRPr="00882F11">
        <w:rPr>
          <w:rFonts w:cs="Guttman Drogolin" w:hint="cs"/>
          <w:rtl/>
          <w:lang w:bidi="he-IL"/>
        </w:rPr>
        <w:t>יש</w:t>
      </w:r>
      <w:r w:rsidRPr="00882F11">
        <w:rPr>
          <w:rFonts w:cs="Guttman Drogolin"/>
          <w:rtl/>
          <w:lang w:bidi="he-IL"/>
        </w:rPr>
        <w:t xml:space="preserve"> </w:t>
      </w:r>
      <w:r w:rsidRPr="00882F11">
        <w:rPr>
          <w:rFonts w:cs="Guttman Drogolin" w:hint="cs"/>
          <w:rtl/>
          <w:lang w:bidi="he-IL"/>
        </w:rPr>
        <w:t>לו</w:t>
      </w:r>
      <w:r w:rsidRPr="00882F11">
        <w:rPr>
          <w:rFonts w:cs="Guttman Drogolin"/>
          <w:rtl/>
          <w:lang w:bidi="he-IL"/>
        </w:rPr>
        <w:t xml:space="preserve"> </w:t>
      </w:r>
      <w:r w:rsidRPr="00882F11">
        <w:rPr>
          <w:rFonts w:cs="Guttman Drogolin" w:hint="cs"/>
          <w:rtl/>
          <w:lang w:bidi="he-IL"/>
        </w:rPr>
        <w:t>להתיר</w:t>
      </w:r>
      <w:r w:rsidRPr="00882F11">
        <w:rPr>
          <w:rFonts w:cs="Guttman Drogolin"/>
          <w:rtl/>
          <w:lang w:bidi="he-IL"/>
        </w:rPr>
        <w:t xml:space="preserve"> </w:t>
      </w:r>
      <w:r w:rsidRPr="00882F11">
        <w:rPr>
          <w:rFonts w:cs="Guttman Drogolin" w:hint="cs"/>
          <w:rtl/>
          <w:lang w:bidi="he-IL"/>
        </w:rPr>
        <w:t>משום</w:t>
      </w:r>
      <w:r w:rsidRPr="00882F11">
        <w:rPr>
          <w:rFonts w:cs="Guttman Drogolin"/>
          <w:rtl/>
          <w:lang w:bidi="he-IL"/>
        </w:rPr>
        <w:t xml:space="preserve"> </w:t>
      </w:r>
      <w:r w:rsidRPr="00882F11">
        <w:rPr>
          <w:rFonts w:cs="Guttman Drogolin" w:hint="cs"/>
          <w:rtl/>
          <w:lang w:bidi="he-IL"/>
        </w:rPr>
        <w:t>נותן</w:t>
      </w:r>
      <w:r w:rsidRPr="00882F11">
        <w:rPr>
          <w:rFonts w:cs="Guttman Drogolin"/>
          <w:rtl/>
          <w:lang w:bidi="he-IL"/>
        </w:rPr>
        <w:t xml:space="preserve"> </w:t>
      </w:r>
      <w:r w:rsidRPr="00882F11">
        <w:rPr>
          <w:rFonts w:cs="Guttman Drogolin" w:hint="cs"/>
          <w:rtl/>
          <w:lang w:bidi="he-IL"/>
        </w:rPr>
        <w:t>טעם</w:t>
      </w:r>
      <w:r w:rsidRPr="00882F11">
        <w:rPr>
          <w:rFonts w:cs="Guttman Drogolin"/>
          <w:rtl/>
          <w:lang w:bidi="he-IL"/>
        </w:rPr>
        <w:t xml:space="preserve"> </w:t>
      </w:r>
      <w:r w:rsidRPr="00882F11">
        <w:rPr>
          <w:rFonts w:cs="Guttman Drogolin" w:hint="cs"/>
          <w:rtl/>
          <w:lang w:bidi="he-IL"/>
        </w:rPr>
        <w:t>בר</w:t>
      </w:r>
      <w:r w:rsidRPr="00882F11">
        <w:rPr>
          <w:rFonts w:cs="Guttman Drogolin"/>
          <w:rtl/>
          <w:lang w:bidi="he-IL"/>
        </w:rPr>
        <w:t xml:space="preserve"> </w:t>
      </w:r>
      <w:r w:rsidRPr="00882F11">
        <w:rPr>
          <w:rFonts w:cs="Guttman Drogolin" w:hint="cs"/>
          <w:rtl/>
          <w:lang w:bidi="he-IL"/>
        </w:rPr>
        <w:t>נותן</w:t>
      </w:r>
      <w:r w:rsidRPr="00882F11">
        <w:rPr>
          <w:rFonts w:cs="Guttman Drogolin"/>
          <w:rtl/>
          <w:lang w:bidi="he-IL"/>
        </w:rPr>
        <w:t xml:space="preserve"> </w:t>
      </w:r>
      <w:r w:rsidRPr="00882F11">
        <w:rPr>
          <w:rFonts w:cs="Guttman Drogolin" w:hint="cs"/>
          <w:rtl/>
          <w:lang w:bidi="he-IL"/>
        </w:rPr>
        <w:t>טעם</w:t>
      </w:r>
      <w:r w:rsidRPr="00882F11">
        <w:rPr>
          <w:rFonts w:cs="Guttman Drogolin"/>
          <w:rtl/>
          <w:lang w:bidi="he-IL"/>
        </w:rPr>
        <w:t xml:space="preserve"> </w:t>
      </w:r>
      <w:r w:rsidRPr="00882F11">
        <w:rPr>
          <w:rFonts w:cs="Guttman Drogolin" w:hint="cs"/>
          <w:rtl/>
          <w:lang w:bidi="he-IL"/>
        </w:rPr>
        <w:t>ואפי</w:t>
      </w:r>
      <w:r w:rsidRPr="00882F11">
        <w:rPr>
          <w:rFonts w:cs="Guttman Drogolin"/>
          <w:rtl/>
          <w:lang w:bidi="he-IL"/>
        </w:rPr>
        <w:t xml:space="preserve">' </w:t>
      </w:r>
      <w:r w:rsidRPr="00882F11">
        <w:rPr>
          <w:rFonts w:cs="Guttman Drogolin" w:hint="cs"/>
          <w:rtl/>
          <w:lang w:bidi="he-IL"/>
        </w:rPr>
        <w:t>נאמר</w:t>
      </w:r>
      <w:r w:rsidRPr="00882F11">
        <w:rPr>
          <w:rFonts w:cs="Guttman Drogolin"/>
          <w:rtl/>
          <w:lang w:bidi="he-IL"/>
        </w:rPr>
        <w:t xml:space="preserve"> </w:t>
      </w:r>
      <w:r w:rsidRPr="00882F11">
        <w:rPr>
          <w:rFonts w:cs="Guttman Drogolin" w:hint="cs"/>
          <w:rtl/>
          <w:lang w:bidi="he-IL"/>
        </w:rPr>
        <w:t>דוקא</w:t>
      </w:r>
      <w:r w:rsidRPr="00882F11">
        <w:rPr>
          <w:rFonts w:cs="Guttman Drogolin"/>
          <w:rtl/>
          <w:lang w:bidi="he-IL"/>
        </w:rPr>
        <w:t xml:space="preserve"> </w:t>
      </w:r>
      <w:r w:rsidRPr="00882F11">
        <w:rPr>
          <w:rFonts w:cs="Guttman Drogolin" w:hint="cs"/>
          <w:rtl/>
          <w:lang w:bidi="he-IL"/>
        </w:rPr>
        <w:t>דגים</w:t>
      </w:r>
      <w:r w:rsidRPr="00882F11">
        <w:rPr>
          <w:rFonts w:cs="Guttman Drogolin"/>
          <w:rtl/>
          <w:lang w:bidi="he-IL"/>
        </w:rPr>
        <w:t xml:space="preserve"> </w:t>
      </w:r>
      <w:r w:rsidRPr="00882F11">
        <w:rPr>
          <w:rFonts w:cs="Guttman Drogolin" w:hint="cs"/>
          <w:rtl/>
          <w:lang w:bidi="he-IL"/>
        </w:rPr>
        <w:t>שעלו</w:t>
      </w:r>
      <w:r w:rsidRPr="00882F11">
        <w:rPr>
          <w:rFonts w:cs="Guttman Drogolin"/>
          <w:rtl/>
          <w:lang w:bidi="he-IL"/>
        </w:rPr>
        <w:t xml:space="preserve"> </w:t>
      </w:r>
      <w:r w:rsidRPr="00882F11">
        <w:rPr>
          <w:rFonts w:cs="Guttman Drogolin" w:hint="cs"/>
          <w:rtl/>
          <w:lang w:bidi="he-IL"/>
        </w:rPr>
        <w:t>בקערה</w:t>
      </w:r>
      <w:r w:rsidRPr="00882F11">
        <w:rPr>
          <w:rFonts w:cs="Guttman Drogolin"/>
          <w:rtl/>
          <w:lang w:bidi="he-IL"/>
        </w:rPr>
        <w:t xml:space="preserve"> </w:t>
      </w:r>
      <w:r w:rsidRPr="00882F11">
        <w:rPr>
          <w:rFonts w:cs="Guttman Drogolin" w:hint="cs"/>
          <w:rtl/>
          <w:lang w:bidi="he-IL"/>
        </w:rPr>
        <w:t>מותר</w:t>
      </w:r>
      <w:r w:rsidRPr="00882F11">
        <w:rPr>
          <w:rFonts w:cs="Guttman Drogolin"/>
          <w:rtl/>
          <w:lang w:bidi="he-IL"/>
        </w:rPr>
        <w:t xml:space="preserve"> </w:t>
      </w:r>
      <w:r w:rsidRPr="00882F11">
        <w:rPr>
          <w:rFonts w:cs="Guttman Drogolin" w:hint="cs"/>
          <w:rtl/>
          <w:lang w:bidi="he-IL"/>
        </w:rPr>
        <w:t>אבל</w:t>
      </w:r>
      <w:r w:rsidRPr="00882F11">
        <w:rPr>
          <w:rFonts w:cs="Guttman Drogolin"/>
          <w:rtl/>
          <w:lang w:bidi="he-IL"/>
        </w:rPr>
        <w:t xml:space="preserve"> </w:t>
      </w:r>
      <w:r w:rsidRPr="00882F11">
        <w:rPr>
          <w:rFonts w:cs="Guttman Drogolin" w:hint="cs"/>
          <w:rtl/>
          <w:lang w:bidi="he-IL"/>
        </w:rPr>
        <w:t>נתבשלו</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הכא</w:t>
      </w:r>
      <w:r w:rsidRPr="00882F11">
        <w:rPr>
          <w:rFonts w:cs="Guttman Drogolin"/>
          <w:rtl/>
          <w:lang w:bidi="he-IL"/>
        </w:rPr>
        <w:t xml:space="preserve"> </w:t>
      </w:r>
      <w:r w:rsidRPr="00882F11">
        <w:rPr>
          <w:rFonts w:cs="Guttman Drogolin" w:hint="cs"/>
          <w:rtl/>
          <w:lang w:bidi="he-IL"/>
        </w:rPr>
        <w:t>איכא</w:t>
      </w:r>
      <w:r w:rsidRPr="00882F11">
        <w:rPr>
          <w:rFonts w:cs="Guttman Drogolin"/>
          <w:rtl/>
          <w:lang w:bidi="he-IL"/>
        </w:rPr>
        <w:t xml:space="preserve"> </w:t>
      </w:r>
      <w:r w:rsidRPr="00882F11">
        <w:rPr>
          <w:rFonts w:cs="Guttman Drogolin" w:hint="cs"/>
          <w:rtl/>
          <w:lang w:bidi="he-IL"/>
        </w:rPr>
        <w:t>שלשה</w:t>
      </w:r>
      <w:r w:rsidRPr="00882F11">
        <w:rPr>
          <w:rFonts w:cs="Guttman Drogolin"/>
          <w:rtl/>
          <w:lang w:bidi="he-IL"/>
        </w:rPr>
        <w:t xml:space="preserve"> </w:t>
      </w:r>
      <w:r w:rsidRPr="00882F11">
        <w:rPr>
          <w:rFonts w:cs="Guttman Drogolin" w:hint="cs"/>
          <w:rtl/>
          <w:lang w:bidi="he-IL"/>
        </w:rPr>
        <w:t>נותני</w:t>
      </w:r>
      <w:r w:rsidRPr="00882F11">
        <w:rPr>
          <w:rFonts w:cs="Guttman Drogolin"/>
          <w:rtl/>
          <w:lang w:bidi="he-IL"/>
        </w:rPr>
        <w:t xml:space="preserve"> </w:t>
      </w:r>
      <w:r w:rsidRPr="00882F11">
        <w:rPr>
          <w:rFonts w:cs="Guttman Drogolin" w:hint="cs"/>
          <w:rtl/>
          <w:lang w:bidi="he-IL"/>
        </w:rPr>
        <w:t>טעם</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היתר</w:t>
      </w:r>
      <w:r w:rsidRPr="00882F11">
        <w:rPr>
          <w:rFonts w:cs="Guttman Drogolin"/>
          <w:rtl/>
          <w:lang w:bidi="he-IL"/>
        </w:rPr>
        <w:t xml:space="preserve">. </w:t>
      </w:r>
      <w:r w:rsidRPr="00882F11">
        <w:rPr>
          <w:rFonts w:cs="Guttman Drogolin" w:hint="cs"/>
          <w:rtl/>
          <w:lang w:bidi="he-IL"/>
        </w:rPr>
        <w:t>הראשון</w:t>
      </w:r>
      <w:r w:rsidRPr="00882F11">
        <w:rPr>
          <w:rFonts w:cs="Guttman Drogolin"/>
          <w:rtl/>
          <w:lang w:bidi="he-IL"/>
        </w:rPr>
        <w:t xml:space="preserve"> </w:t>
      </w:r>
      <w:r w:rsidRPr="00882F11">
        <w:rPr>
          <w:rFonts w:cs="Guttman Drogolin" w:hint="cs"/>
          <w:rtl/>
          <w:lang w:bidi="he-IL"/>
        </w:rPr>
        <w:t>נכנס</w:t>
      </w:r>
      <w:r w:rsidRPr="00882F11">
        <w:rPr>
          <w:rFonts w:cs="Guttman Drogolin"/>
          <w:rtl/>
          <w:lang w:bidi="he-IL"/>
        </w:rPr>
        <w:t xml:space="preserve"> </w:t>
      </w:r>
      <w:r w:rsidRPr="00882F11">
        <w:rPr>
          <w:rFonts w:cs="Guttman Drogolin" w:hint="cs"/>
          <w:rtl/>
          <w:lang w:bidi="he-IL"/>
        </w:rPr>
        <w:t>בכלי</w:t>
      </w:r>
      <w:r w:rsidRPr="00882F11">
        <w:rPr>
          <w:rFonts w:cs="Guttman Drogolin"/>
          <w:rtl/>
          <w:lang w:bidi="he-IL"/>
        </w:rPr>
        <w:t xml:space="preserve"> </w:t>
      </w:r>
      <w:r w:rsidRPr="00882F11">
        <w:rPr>
          <w:rFonts w:cs="Guttman Drogolin" w:hint="cs"/>
          <w:rtl/>
          <w:lang w:bidi="he-IL"/>
        </w:rPr>
        <w:t>ומשם</w:t>
      </w:r>
      <w:r w:rsidRPr="00882F11">
        <w:rPr>
          <w:rFonts w:cs="Guttman Drogolin"/>
          <w:rtl/>
          <w:lang w:bidi="he-IL"/>
        </w:rPr>
        <w:t xml:space="preserve"> </w:t>
      </w:r>
      <w:r w:rsidRPr="00882F11">
        <w:rPr>
          <w:rFonts w:cs="Guttman Drogolin" w:hint="cs"/>
          <w:rtl/>
          <w:lang w:bidi="he-IL"/>
        </w:rPr>
        <w:t>למים</w:t>
      </w:r>
      <w:r w:rsidRPr="00882F11">
        <w:rPr>
          <w:rFonts w:cs="Guttman Drogolin"/>
          <w:rtl/>
          <w:lang w:bidi="he-IL"/>
        </w:rPr>
        <w:t xml:space="preserve"> </w:t>
      </w:r>
      <w:r w:rsidRPr="00882F11">
        <w:rPr>
          <w:rFonts w:cs="Guttman Drogolin" w:hint="cs"/>
          <w:rtl/>
          <w:lang w:bidi="he-IL"/>
        </w:rPr>
        <w:t>ומן</w:t>
      </w:r>
      <w:r w:rsidRPr="00882F11">
        <w:rPr>
          <w:rFonts w:cs="Guttman Drogolin"/>
          <w:rtl/>
          <w:lang w:bidi="he-IL"/>
        </w:rPr>
        <w:t xml:space="preserve"> </w:t>
      </w:r>
      <w:r w:rsidRPr="00882F11">
        <w:rPr>
          <w:rFonts w:cs="Guttman Drogolin" w:hint="cs"/>
          <w:rtl/>
          <w:lang w:bidi="he-IL"/>
        </w:rPr>
        <w:t>המים</w:t>
      </w:r>
      <w:r w:rsidRPr="00882F11">
        <w:rPr>
          <w:rFonts w:cs="Guttman Drogolin"/>
          <w:rtl/>
          <w:lang w:bidi="he-IL"/>
        </w:rPr>
        <w:t xml:space="preserve"> </w:t>
      </w:r>
      <w:r w:rsidRPr="00882F11">
        <w:rPr>
          <w:rFonts w:cs="Guttman Drogolin" w:hint="cs"/>
          <w:rtl/>
          <w:lang w:bidi="he-IL"/>
        </w:rPr>
        <w:t>חוזר</w:t>
      </w:r>
      <w:r w:rsidRPr="00882F11">
        <w:rPr>
          <w:rFonts w:cs="Guttman Drogolin"/>
          <w:rtl/>
          <w:lang w:bidi="he-IL"/>
        </w:rPr>
        <w:t xml:space="preserve"> </w:t>
      </w:r>
      <w:r w:rsidRPr="00882F11">
        <w:rPr>
          <w:rFonts w:cs="Guttman Drogolin" w:hint="cs"/>
          <w:rtl/>
          <w:lang w:bidi="he-IL"/>
        </w:rPr>
        <w:t>ונבלע</w:t>
      </w:r>
      <w:r w:rsidRPr="00882F11">
        <w:rPr>
          <w:rFonts w:cs="Guttman Drogolin"/>
          <w:rtl/>
          <w:lang w:bidi="he-IL"/>
        </w:rPr>
        <w:t xml:space="preserve"> </w:t>
      </w:r>
      <w:r w:rsidRPr="00882F11">
        <w:rPr>
          <w:rFonts w:cs="Guttman Drogolin" w:hint="cs"/>
          <w:rtl/>
          <w:lang w:bidi="he-IL"/>
        </w:rPr>
        <w:t>בכלי</w:t>
      </w:r>
      <w:r w:rsidRPr="00882F11">
        <w:rPr>
          <w:rFonts w:cs="Guttman Drogolin"/>
          <w:rtl/>
          <w:lang w:bidi="he-IL"/>
        </w:rPr>
        <w:t xml:space="preserve"> </w:t>
      </w:r>
      <w:r w:rsidRPr="00882F11">
        <w:rPr>
          <w:rFonts w:cs="Guttman Drogolin" w:hint="cs"/>
          <w:rtl/>
          <w:lang w:bidi="he-IL"/>
        </w:rPr>
        <w:t>הרי</w:t>
      </w:r>
      <w:r w:rsidRPr="00882F11">
        <w:rPr>
          <w:rFonts w:cs="Guttman Drogolin"/>
          <w:rtl/>
          <w:lang w:bidi="he-IL"/>
        </w:rPr>
        <w:t xml:space="preserve"> </w:t>
      </w:r>
      <w:r w:rsidRPr="00882F11">
        <w:rPr>
          <w:rFonts w:cs="Guttman Drogolin" w:hint="cs"/>
          <w:rtl/>
          <w:lang w:bidi="he-IL"/>
        </w:rPr>
        <w:t>שלשה</w:t>
      </w:r>
      <w:r w:rsidRPr="00882F11">
        <w:rPr>
          <w:rFonts w:cs="Guttman Drogolin"/>
          <w:rtl/>
          <w:lang w:bidi="he-IL"/>
        </w:rPr>
        <w:t xml:space="preserve"> </w:t>
      </w:r>
      <w:r w:rsidRPr="00882F11">
        <w:rPr>
          <w:rFonts w:cs="Guttman Drogolin" w:hint="cs"/>
          <w:rtl/>
          <w:lang w:bidi="he-IL"/>
        </w:rPr>
        <w:t>וכ</w:t>
      </w:r>
      <w:r w:rsidRPr="00882F11">
        <w:rPr>
          <w:rFonts w:cs="Guttman Drogolin"/>
          <w:rtl/>
          <w:lang w:bidi="he-IL"/>
        </w:rPr>
        <w:t>"</w:t>
      </w:r>
      <w:r w:rsidRPr="00882F11">
        <w:rPr>
          <w:rFonts w:cs="Guttman Drogolin" w:hint="cs"/>
          <w:rtl/>
          <w:lang w:bidi="he-IL"/>
        </w:rPr>
        <w:t>ש</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הוחמו</w:t>
      </w:r>
      <w:r w:rsidRPr="00882F11">
        <w:rPr>
          <w:rFonts w:cs="Guttman Drogolin"/>
          <w:rtl/>
          <w:lang w:bidi="he-IL"/>
        </w:rPr>
        <w:t xml:space="preserve"> </w:t>
      </w:r>
      <w:r w:rsidRPr="00882F11">
        <w:rPr>
          <w:rFonts w:cs="Guttman Drogolin" w:hint="cs"/>
          <w:rtl/>
          <w:lang w:bidi="he-IL"/>
        </w:rPr>
        <w:t>המים</w:t>
      </w:r>
      <w:r w:rsidRPr="00882F11">
        <w:rPr>
          <w:rFonts w:cs="Guttman Drogolin"/>
          <w:rtl/>
          <w:lang w:bidi="he-IL"/>
        </w:rPr>
        <w:t xml:space="preserve"> </w:t>
      </w:r>
      <w:r w:rsidRPr="00882F11">
        <w:rPr>
          <w:rFonts w:cs="Guttman Drogolin" w:hint="cs"/>
          <w:rtl/>
          <w:lang w:bidi="he-IL"/>
        </w:rPr>
        <w:t>הרבה</w:t>
      </w:r>
      <w:r w:rsidRPr="00882F11">
        <w:rPr>
          <w:rFonts w:cs="Guttman Drogolin"/>
          <w:rtl/>
          <w:lang w:bidi="he-IL"/>
        </w:rPr>
        <w:t xml:space="preserve"> </w:t>
      </w:r>
      <w:r w:rsidRPr="00882F11">
        <w:rPr>
          <w:rFonts w:cs="Guttman Drogolin" w:hint="cs"/>
          <w:rtl/>
          <w:lang w:bidi="he-IL"/>
        </w:rPr>
        <w:t>פעמים</w:t>
      </w:r>
      <w:r w:rsidRPr="00882F11">
        <w:rPr>
          <w:rFonts w:cs="Guttman Drogolin"/>
          <w:rtl/>
          <w:lang w:bidi="he-IL"/>
        </w:rPr>
        <w:t xml:space="preserve"> </w:t>
      </w:r>
      <w:r w:rsidRPr="00882F11">
        <w:rPr>
          <w:rFonts w:cs="Guttman Drogolin" w:hint="cs"/>
          <w:rtl/>
          <w:lang w:bidi="he-IL"/>
        </w:rPr>
        <w:t>דאיכא</w:t>
      </w:r>
      <w:r w:rsidRPr="00882F11">
        <w:rPr>
          <w:rFonts w:cs="Guttman Drogolin"/>
          <w:rtl/>
          <w:lang w:bidi="he-IL"/>
        </w:rPr>
        <w:t xml:space="preserve"> </w:t>
      </w:r>
      <w:r w:rsidRPr="00882F11">
        <w:rPr>
          <w:rFonts w:cs="Guttman Drogolin" w:hint="cs"/>
          <w:rtl/>
          <w:lang w:bidi="he-IL"/>
        </w:rPr>
        <w:t>נותני</w:t>
      </w:r>
      <w:r w:rsidRPr="00882F11">
        <w:rPr>
          <w:rFonts w:cs="Guttman Drogolin"/>
          <w:rtl/>
          <w:lang w:bidi="he-IL"/>
        </w:rPr>
        <w:t xml:space="preserve"> </w:t>
      </w:r>
      <w:r w:rsidRPr="00882F11">
        <w:rPr>
          <w:rFonts w:cs="Guttman Drogolin" w:hint="cs"/>
          <w:rtl/>
          <w:lang w:bidi="he-IL"/>
        </w:rPr>
        <w:t>טעם</w:t>
      </w:r>
      <w:r w:rsidRPr="00882F11">
        <w:rPr>
          <w:rFonts w:cs="Guttman Drogolin"/>
          <w:rtl/>
          <w:lang w:bidi="he-IL"/>
        </w:rPr>
        <w:t xml:space="preserve"> </w:t>
      </w:r>
      <w:r w:rsidRPr="00882F11">
        <w:rPr>
          <w:rFonts w:cs="Guttman Drogolin" w:hint="cs"/>
          <w:rtl/>
          <w:lang w:bidi="he-IL"/>
        </w:rPr>
        <w:t>הרבה</w:t>
      </w:r>
      <w:r w:rsidRPr="00882F11">
        <w:rPr>
          <w:rFonts w:cs="Guttman Drogolin"/>
          <w:rtl/>
          <w:lang w:bidi="he-IL"/>
        </w:rPr>
        <w:t xml:space="preserve"> </w:t>
      </w:r>
      <w:r w:rsidRPr="00882F11">
        <w:rPr>
          <w:rFonts w:cs="Guttman Drogolin" w:hint="cs"/>
          <w:rtl/>
          <w:lang w:bidi="he-IL"/>
        </w:rPr>
        <w:t>ומותר</w:t>
      </w:r>
      <w:r w:rsidRPr="00882F11">
        <w:rPr>
          <w:rFonts w:cs="Guttman Drogolin"/>
          <w:rtl/>
          <w:lang w:bidi="he-IL"/>
        </w:rPr>
        <w:t xml:space="preserve">. </w:t>
      </w:r>
    </w:p>
    <w:p w:rsidR="00477017" w:rsidRPr="00882F11" w:rsidRDefault="00477017" w:rsidP="00477017">
      <w:pPr>
        <w:tabs>
          <w:tab w:val="right" w:pos="7497"/>
        </w:tabs>
        <w:bidi/>
        <w:jc w:val="both"/>
        <w:rPr>
          <w:rFonts w:cs="Guttman Drogolin"/>
          <w:rtl/>
          <w:lang w:bidi="he-IL"/>
        </w:rPr>
        <w:sectPr w:rsidR="00477017" w:rsidRPr="00882F11" w:rsidSect="0000469F">
          <w:type w:val="continuous"/>
          <w:pgSz w:w="11907" w:h="16839" w:code="9"/>
          <w:pgMar w:top="1440" w:right="1440" w:bottom="1440" w:left="1440" w:header="720" w:footer="720" w:gutter="0"/>
          <w:cols w:num="2" w:space="720"/>
          <w:bidi/>
          <w:docGrid w:linePitch="360"/>
        </w:sectPr>
      </w:pPr>
    </w:p>
    <w:p w:rsidR="00477017" w:rsidRPr="00882F11" w:rsidRDefault="00477017" w:rsidP="00477017">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ס"ז</w:t>
      </w:r>
    </w:p>
    <w:p w:rsidR="0000469F" w:rsidRDefault="0000469F" w:rsidP="0078079C">
      <w:pPr>
        <w:pStyle w:val="Heading1"/>
        <w:bidi/>
        <w:spacing w:before="0" w:line="360" w:lineRule="auto"/>
        <w:jc w:val="center"/>
        <w:rPr>
          <w:rFonts w:cs="Guttman Drogolin"/>
          <w:color w:val="auto"/>
          <w:sz w:val="24"/>
          <w:szCs w:val="24"/>
          <w:u w:val="single"/>
          <w:rtl/>
          <w:lang w:bidi="he-IL"/>
        </w:rPr>
        <w:sectPr w:rsidR="0000469F" w:rsidSect="0000469F">
          <w:headerReference w:type="default" r:id="rId52"/>
          <w:pgSz w:w="11907" w:h="16839" w:code="9"/>
          <w:pgMar w:top="1440" w:right="1440" w:bottom="1440" w:left="1440" w:header="720" w:footer="720" w:gutter="0"/>
          <w:cols w:space="720"/>
          <w:bidi/>
          <w:docGrid w:linePitch="360"/>
        </w:sectPr>
      </w:pPr>
    </w:p>
    <w:p w:rsidR="00477017" w:rsidRPr="0000469F" w:rsidRDefault="00477017" w:rsidP="0078079C">
      <w:pPr>
        <w:pStyle w:val="Heading1"/>
        <w:bidi/>
        <w:spacing w:before="0" w:line="360" w:lineRule="auto"/>
        <w:jc w:val="center"/>
        <w:rPr>
          <w:rFonts w:cs="Guttman Drogolin"/>
          <w:color w:val="auto"/>
          <w:sz w:val="20"/>
          <w:szCs w:val="20"/>
          <w:u w:val="single"/>
          <w:rtl/>
          <w:lang w:bidi="he-IL"/>
        </w:rPr>
      </w:pPr>
      <w:bookmarkStart w:id="256" w:name="_Toc496175510"/>
      <w:r w:rsidRPr="0000469F">
        <w:rPr>
          <w:rFonts w:cs="Guttman Drogolin" w:hint="cs"/>
          <w:color w:val="auto"/>
          <w:sz w:val="20"/>
          <w:szCs w:val="20"/>
          <w:u w:val="single"/>
          <w:rtl/>
          <w:lang w:bidi="he-IL"/>
        </w:rPr>
        <w:lastRenderedPageBreak/>
        <w:t>נקודות שדנו שבהם הפוסקים בדינא דנ"ט בר נ"ט</w:t>
      </w:r>
      <w:bookmarkEnd w:id="256"/>
    </w:p>
    <w:p w:rsidR="008D3CD0" w:rsidRPr="00882F11" w:rsidRDefault="000F139F" w:rsidP="000F139F">
      <w:pPr>
        <w:tabs>
          <w:tab w:val="right" w:pos="7497"/>
        </w:tabs>
        <w:bidi/>
        <w:jc w:val="both"/>
        <w:rPr>
          <w:rFonts w:cs="Guttman Drogolin"/>
          <w:rtl/>
          <w:lang w:bidi="he-IL"/>
        </w:rPr>
      </w:pPr>
      <w:r>
        <w:rPr>
          <w:rFonts w:cs="Guttman Drogolin"/>
          <w:rtl/>
          <w:lang w:bidi="he-IL"/>
        </w:rPr>
        <w:fldChar w:fldCharType="begin"/>
      </w:r>
      <w:r>
        <w:instrText xml:space="preserve"> XE "</w:instrText>
      </w:r>
      <w:r w:rsidRPr="009A512E">
        <w:rPr>
          <w:rFonts w:hint="cs"/>
          <w:rtl/>
          <w:lang w:bidi="he-IL"/>
        </w:rPr>
        <w:instrText>נ</w:instrText>
      </w:r>
      <w:r>
        <w:rPr>
          <w:rFonts w:eastAsiaTheme="minorEastAsia"/>
          <w:lang w:bidi="he-IL"/>
        </w:rPr>
        <w:instrText>\</w:instrText>
      </w:r>
      <w:r w:rsidRPr="009A512E">
        <w:rPr>
          <w:rFonts w:hint="cs"/>
          <w:rtl/>
          <w:lang w:bidi="he-IL"/>
        </w:rPr>
        <w:instrText>"ט בר נ</w:instrText>
      </w:r>
      <w:r>
        <w:rPr>
          <w:rFonts w:eastAsiaTheme="minorEastAsia"/>
          <w:lang w:bidi="he-IL"/>
        </w:rPr>
        <w:instrText>\</w:instrText>
      </w:r>
      <w:r w:rsidRPr="009A512E">
        <w:rPr>
          <w:rFonts w:hint="cs"/>
          <w:rtl/>
          <w:lang w:bidi="he-IL"/>
        </w:rPr>
        <w:instrText>"ט</w:instrText>
      </w:r>
      <w:r w:rsidRPr="009A512E">
        <w:rPr>
          <w:rtl/>
        </w:rPr>
        <w:instrText>:</w:instrText>
      </w:r>
      <w:r w:rsidRPr="009A512E">
        <w:rPr>
          <w:rFonts w:hint="cs"/>
          <w:rtl/>
          <w:lang w:bidi="he-IL"/>
        </w:rPr>
        <w:instrText>נקודות שדנו בה</w:instrText>
      </w:r>
      <w:r>
        <w:instrText xml:space="preserve">" </w:instrText>
      </w:r>
      <w:r>
        <w:rPr>
          <w:rFonts w:cs="Guttman Drogolin"/>
          <w:rtl/>
          <w:lang w:bidi="he-IL"/>
        </w:rPr>
        <w:fldChar w:fldCharType="end"/>
      </w:r>
      <w:r w:rsidR="00477017" w:rsidRPr="00882F11">
        <w:rPr>
          <w:rFonts w:cs="Guttman Drogolin" w:hint="cs"/>
          <w:rtl/>
          <w:lang w:bidi="he-IL"/>
        </w:rPr>
        <w:t>ה</w:t>
      </w:r>
      <w:r w:rsidR="008D3CD0" w:rsidRPr="00882F11">
        <w:rPr>
          <w:rFonts w:cs="Guttman Drogolin" w:hint="cs"/>
          <w:rtl/>
          <w:lang w:bidi="he-IL"/>
        </w:rPr>
        <w:t>ודגמא שנתנה הגמ' להית</w:t>
      </w:r>
      <w:r w:rsidR="00477017" w:rsidRPr="00882F11">
        <w:rPr>
          <w:rFonts w:cs="Guttman Drogolin" w:hint="cs"/>
          <w:rtl/>
          <w:lang w:bidi="he-IL"/>
        </w:rPr>
        <w:t>ירא דנ"ט בר נ"ט הוא בדגים שעלו בקערה שמותר לאכלן בכותח. וי</w:t>
      </w:r>
      <w:r w:rsidR="008D3CD0" w:rsidRPr="00882F11">
        <w:rPr>
          <w:rFonts w:cs="Guttman Drogolin" w:hint="cs"/>
          <w:rtl/>
          <w:lang w:bidi="he-IL"/>
        </w:rPr>
        <w:t>ש כמה פרטים בדוגמא זאת, ודנו הפו</w:t>
      </w:r>
      <w:r w:rsidR="00477017" w:rsidRPr="00882F11">
        <w:rPr>
          <w:rFonts w:cs="Guttman Drogolin" w:hint="cs"/>
          <w:rtl/>
          <w:lang w:bidi="he-IL"/>
        </w:rPr>
        <w:t>סקים אם זה דוקא או לאו דוקא.</w:t>
      </w:r>
      <w:r w:rsidR="008D3CD0" w:rsidRPr="00882F11">
        <w:rPr>
          <w:rFonts w:cs="Guttman Drogolin" w:hint="cs"/>
          <w:rtl/>
          <w:lang w:bidi="he-IL"/>
        </w:rPr>
        <w:t xml:space="preserve"> (ובאופן כללי כל זמן שיש שאלה בעניני נ"ט בר נ"ט מומלץ להשוות אותו לדוגמא של הגמ' לראות אם מותר היא או לא). ונדבר עכשיו בה' נקודות:</w:t>
      </w:r>
    </w:p>
    <w:p w:rsidR="008D3CD0" w:rsidRPr="00882F11" w:rsidRDefault="008D3CD0" w:rsidP="0000469F">
      <w:pPr>
        <w:pStyle w:val="ListParagraph"/>
        <w:numPr>
          <w:ilvl w:val="0"/>
          <w:numId w:val="16"/>
        </w:numPr>
        <w:tabs>
          <w:tab w:val="right" w:pos="7497"/>
        </w:tabs>
        <w:bidi/>
        <w:ind w:left="373"/>
        <w:jc w:val="both"/>
        <w:rPr>
          <w:rFonts w:cs="Guttman Drogolin"/>
          <w:lang w:bidi="he-IL"/>
        </w:rPr>
      </w:pPr>
      <w:r w:rsidRPr="00882F11">
        <w:rPr>
          <w:rFonts w:cs="Guttman Drogolin" w:hint="cs"/>
          <w:rtl/>
          <w:lang w:bidi="he-IL"/>
        </w:rPr>
        <w:t>הא דדגים מיירי בהיתירא (וכדמוכח מהא שההיתר הוא לאכלן בכותח).</w:t>
      </w:r>
    </w:p>
    <w:p w:rsidR="008D3CD0" w:rsidRPr="00882F11" w:rsidRDefault="008D3CD0" w:rsidP="0000469F">
      <w:pPr>
        <w:pStyle w:val="ListParagraph"/>
        <w:numPr>
          <w:ilvl w:val="0"/>
          <w:numId w:val="16"/>
        </w:numPr>
        <w:tabs>
          <w:tab w:val="right" w:pos="7497"/>
        </w:tabs>
        <w:bidi/>
        <w:ind w:left="373"/>
        <w:jc w:val="both"/>
        <w:rPr>
          <w:rFonts w:cs="Guttman Drogolin"/>
          <w:lang w:bidi="he-IL"/>
        </w:rPr>
      </w:pPr>
      <w:r w:rsidRPr="00882F11">
        <w:rPr>
          <w:rFonts w:cs="Guttman Drogolin" w:hint="cs"/>
          <w:rtl/>
          <w:lang w:bidi="he-IL"/>
        </w:rPr>
        <w:t>יש העברת טעם א' לתוך כלי וא' לתוך אוכלין</w:t>
      </w:r>
    </w:p>
    <w:p w:rsidR="008D3CD0" w:rsidRPr="00882F11" w:rsidRDefault="008D3CD0" w:rsidP="0000469F">
      <w:pPr>
        <w:pStyle w:val="ListParagraph"/>
        <w:numPr>
          <w:ilvl w:val="0"/>
          <w:numId w:val="16"/>
        </w:numPr>
        <w:tabs>
          <w:tab w:val="right" w:pos="7497"/>
        </w:tabs>
        <w:bidi/>
        <w:ind w:left="373"/>
        <w:jc w:val="both"/>
        <w:rPr>
          <w:rFonts w:cs="Guttman Drogolin"/>
          <w:lang w:bidi="he-IL"/>
        </w:rPr>
      </w:pPr>
      <w:r w:rsidRPr="00882F11">
        <w:rPr>
          <w:rFonts w:cs="Guttman Drogolin" w:hint="cs"/>
          <w:rtl/>
          <w:lang w:bidi="he-IL"/>
        </w:rPr>
        <w:t>סדר הדברין הוא דקודם נכנס לכלי ורק לאחר מכן לאוכלין</w:t>
      </w:r>
    </w:p>
    <w:p w:rsidR="008D3CD0" w:rsidRPr="00882F11" w:rsidRDefault="008D3CD0" w:rsidP="0000469F">
      <w:pPr>
        <w:pStyle w:val="ListParagraph"/>
        <w:numPr>
          <w:ilvl w:val="0"/>
          <w:numId w:val="16"/>
        </w:numPr>
        <w:tabs>
          <w:tab w:val="right" w:pos="7497"/>
        </w:tabs>
        <w:bidi/>
        <w:ind w:left="373"/>
        <w:jc w:val="both"/>
        <w:rPr>
          <w:rFonts w:cs="Guttman Drogolin"/>
          <w:lang w:bidi="he-IL"/>
        </w:rPr>
      </w:pPr>
      <w:r w:rsidRPr="00882F11">
        <w:rPr>
          <w:rFonts w:cs="Guttman Drogolin" w:hint="cs"/>
          <w:rtl/>
          <w:lang w:bidi="he-IL"/>
        </w:rPr>
        <w:t>שהי' זה בב' כוחות, ור"ל קודם הי' הכנסת טעם לתוך כלי, ורק לאחר מכן הי' הכנסת טעם לתוך מאכל</w:t>
      </w:r>
    </w:p>
    <w:p w:rsidR="008D3CD0" w:rsidRPr="00882F11" w:rsidRDefault="008D3CD0" w:rsidP="0000469F">
      <w:pPr>
        <w:pStyle w:val="ListParagraph"/>
        <w:numPr>
          <w:ilvl w:val="0"/>
          <w:numId w:val="16"/>
        </w:numPr>
        <w:tabs>
          <w:tab w:val="right" w:pos="7497"/>
        </w:tabs>
        <w:bidi/>
        <w:ind w:left="373"/>
        <w:jc w:val="both"/>
        <w:rPr>
          <w:rFonts w:cs="Guttman Drogolin"/>
          <w:lang w:bidi="he-IL"/>
        </w:rPr>
      </w:pPr>
      <w:r w:rsidRPr="00882F11">
        <w:rPr>
          <w:rFonts w:cs="Guttman Drogolin" w:hint="cs"/>
          <w:rtl/>
          <w:lang w:bidi="he-IL"/>
        </w:rPr>
        <w:t xml:space="preserve">ש'עלו' לכלי </w:t>
      </w:r>
    </w:p>
    <w:p w:rsidR="008D3CD0" w:rsidRPr="00882F11" w:rsidRDefault="008D3CD0" w:rsidP="0078079C">
      <w:pPr>
        <w:pStyle w:val="Heading1"/>
        <w:bidi/>
        <w:spacing w:before="0" w:line="360" w:lineRule="auto"/>
        <w:jc w:val="center"/>
        <w:rPr>
          <w:rFonts w:cs="Guttman Drogolin"/>
          <w:color w:val="auto"/>
          <w:sz w:val="24"/>
          <w:szCs w:val="24"/>
          <w:u w:val="single"/>
          <w:rtl/>
          <w:lang w:bidi="he-IL"/>
        </w:rPr>
      </w:pPr>
      <w:bookmarkStart w:id="257" w:name="_Toc496175511"/>
      <w:r w:rsidRPr="00882F11">
        <w:rPr>
          <w:rFonts w:cs="Guttman Drogolin" w:hint="cs"/>
          <w:color w:val="auto"/>
          <w:sz w:val="24"/>
          <w:szCs w:val="24"/>
          <w:u w:val="single"/>
          <w:rtl/>
          <w:lang w:bidi="he-IL"/>
        </w:rPr>
        <w:t>נ"ט בר נ"ט באיסורא</w:t>
      </w:r>
      <w:bookmarkEnd w:id="257"/>
    </w:p>
    <w:p w:rsidR="00622F66" w:rsidRPr="00882F11" w:rsidRDefault="000F139F" w:rsidP="00622F66">
      <w:pPr>
        <w:tabs>
          <w:tab w:val="right" w:pos="7497"/>
        </w:tabs>
        <w:bidi/>
        <w:jc w:val="both"/>
        <w:rPr>
          <w:rFonts w:cs="Guttman Drogolin"/>
          <w:rtl/>
          <w:lang w:bidi="he-IL"/>
        </w:rPr>
      </w:pPr>
      <w:r>
        <w:rPr>
          <w:rFonts w:cs="Guttman Drogolin"/>
          <w:rtl/>
          <w:lang w:bidi="he-IL"/>
        </w:rPr>
        <w:fldChar w:fldCharType="begin"/>
      </w:r>
      <w:r>
        <w:instrText xml:space="preserve"> XE "</w:instrText>
      </w:r>
      <w:r w:rsidRPr="002C213C">
        <w:rPr>
          <w:rFonts w:hint="cs"/>
          <w:rtl/>
          <w:lang w:bidi="he-IL"/>
        </w:rPr>
        <w:instrText>נ</w:instrText>
      </w:r>
      <w:r>
        <w:rPr>
          <w:rFonts w:eastAsiaTheme="minorEastAsia"/>
          <w:lang w:bidi="he-IL"/>
        </w:rPr>
        <w:instrText>\</w:instrText>
      </w:r>
      <w:r w:rsidRPr="002C213C">
        <w:rPr>
          <w:rFonts w:hint="cs"/>
          <w:rtl/>
          <w:lang w:bidi="he-IL"/>
        </w:rPr>
        <w:instrText>"ט בר נ</w:instrText>
      </w:r>
      <w:r>
        <w:rPr>
          <w:rFonts w:eastAsiaTheme="minorEastAsia"/>
          <w:lang w:bidi="he-IL"/>
        </w:rPr>
        <w:instrText>\</w:instrText>
      </w:r>
      <w:r w:rsidRPr="002C213C">
        <w:rPr>
          <w:rFonts w:hint="cs"/>
          <w:rtl/>
          <w:lang w:bidi="he-IL"/>
        </w:rPr>
        <w:instrText>"ט</w:instrText>
      </w:r>
      <w:r w:rsidRPr="002C213C">
        <w:rPr>
          <w:rtl/>
        </w:rPr>
        <w:instrText>:</w:instrText>
      </w:r>
      <w:r w:rsidRPr="002C213C">
        <w:rPr>
          <w:rFonts w:hint="cs"/>
          <w:rtl/>
          <w:lang w:bidi="he-IL"/>
        </w:rPr>
        <w:instrText>באיסורא</w:instrText>
      </w:r>
      <w:r>
        <w:instrText xml:space="preserve">" </w:instrText>
      </w:r>
      <w:r>
        <w:rPr>
          <w:rFonts w:cs="Guttman Drogolin"/>
          <w:rtl/>
          <w:lang w:bidi="he-IL"/>
        </w:rPr>
        <w:fldChar w:fldCharType="end"/>
      </w:r>
      <w:r w:rsidR="008D3CD0" w:rsidRPr="00882F11">
        <w:rPr>
          <w:rFonts w:cs="Guttman Drogolin" w:hint="cs"/>
          <w:rtl/>
          <w:lang w:bidi="he-IL"/>
        </w:rPr>
        <w:t xml:space="preserve">אע"פ שיש מן הראשונים שהביאו צד שההיתר של נ"ט בר נ"ט שייך גם באיסורא, מ"מ לא קיי"ל כן. והנה אם ההיתר של נ"ט בר נ"ט שייך גם באיסורא, אפשר לפרש הטעם בזה בב' אנפי. או שבנ"ט בר נ"ט תלינן דליכא נתינת טעם, </w:t>
      </w:r>
      <w:r w:rsidR="00622F66" w:rsidRPr="00882F11">
        <w:rPr>
          <w:rFonts w:cs="Guttman Drogolin" w:hint="cs"/>
          <w:rtl/>
          <w:lang w:bidi="he-IL"/>
        </w:rPr>
        <w:t>וכן מבואר ביש"ש פ"ח סי' ס"א ולכן כתב שאם טעם המאכל והרגיש הטעם שבה הרי זה אסור גם בהיתירא. א"נ י"ל דלעולם י"ל שיש טעם המורגש אפילו באיסורא, רק שעל על טעם קלוש כזה לא אמרינן הדין של טכ"ע.</w:t>
      </w:r>
    </w:p>
    <w:p w:rsidR="0097528A" w:rsidRPr="00882F11" w:rsidRDefault="00622F66" w:rsidP="003242C3">
      <w:pPr>
        <w:tabs>
          <w:tab w:val="right" w:pos="7497"/>
        </w:tabs>
        <w:bidi/>
        <w:jc w:val="both"/>
        <w:rPr>
          <w:rFonts w:cs="Guttman Drogolin"/>
          <w:rtl/>
          <w:lang w:bidi="he-IL"/>
        </w:rPr>
      </w:pPr>
      <w:r w:rsidRPr="00882F11">
        <w:rPr>
          <w:rFonts w:cs="Guttman Drogolin" w:hint="cs"/>
          <w:rtl/>
          <w:lang w:bidi="he-IL"/>
        </w:rPr>
        <w:t>ומיני' שיש לבאר טעמם של אלו הסוברים דליתי' להיתירא דנ"ט בר נ"ט אלא בהיתירא. ומן הסמ"ק המובא בש"ך</w:t>
      </w:r>
      <w:r w:rsidR="008D3CD0" w:rsidRPr="00882F11">
        <w:rPr>
          <w:rFonts w:cs="Guttman Drogolin" w:hint="cs"/>
          <w:rtl/>
          <w:lang w:bidi="he-IL"/>
        </w:rPr>
        <w:t xml:space="preserve"> </w:t>
      </w:r>
      <w:r w:rsidRPr="00882F11">
        <w:rPr>
          <w:rFonts w:cs="Guttman Drogolin" w:hint="cs"/>
          <w:rtl/>
          <w:lang w:bidi="he-IL"/>
        </w:rPr>
        <w:t xml:space="preserve">בסי' צ"ד ס"ק כ"ב מבואר שהטעם היחיד משום שבאיסורא אומרים דחענ"ן, אבל בהיתירא לא. ומיני' שבאופן שאין אומרים חענ"ן, וכגון לשיטת ר' אפרים דסבר לא אומרים חענ"ן אלא בבב"ח, גם ההיתר של נ"ט בר נ"ט קיים. ושם בש"ל העיר בקושי של הוראה זו לכמה וכמה </w:t>
      </w:r>
      <w:r w:rsidRPr="00882F11">
        <w:rPr>
          <w:rFonts w:cs="Guttman Drogolin" w:hint="cs"/>
          <w:rtl/>
          <w:lang w:bidi="he-IL"/>
        </w:rPr>
        <w:lastRenderedPageBreak/>
        <w:t>ראשונים, ולכן כתב שהדין של נ"ט בר נ"ט לא נאמר באיסורא אפילו אם לא אומרים חענ"ן. ויעוין ב</w:t>
      </w:r>
      <w:r w:rsidR="00B478AD" w:rsidRPr="00882F11">
        <w:rPr>
          <w:rFonts w:cs="Guttman Drogolin" w:hint="cs"/>
          <w:rtl/>
          <w:lang w:bidi="he-IL"/>
        </w:rPr>
        <w:t>אמת בס' גינת ורדים (לבעל הפמ"ג) כלל ס"ה שרצה לומר שהחומרא בנ"ט בר נ"ט דאיסורא אינו אלא מדרבנן (ודלא כמו</w:t>
      </w:r>
      <w:r w:rsidR="008226E0" w:rsidRPr="00882F11">
        <w:rPr>
          <w:rFonts w:cs="Guttman Drogolin" w:hint="cs"/>
          <w:rtl/>
          <w:lang w:bidi="he-IL"/>
        </w:rPr>
        <w:t xml:space="preserve"> שדייק כאן במש"ז ס"ק א' מרשב"א)</w:t>
      </w:r>
      <w:r w:rsidR="00B478AD" w:rsidRPr="00882F11">
        <w:rPr>
          <w:rFonts w:cs="Guttman Drogolin" w:hint="cs"/>
          <w:rtl/>
          <w:lang w:bidi="he-IL"/>
        </w:rPr>
        <w:t xml:space="preserve">, ולכאורה היינו משום דסבר שביאור ההיתר של נ"ט בר נ"ט הוא כטעמים הנ"ל. אבל אם הוא דין דאורייתא ע"כ הטעם משום שלעולם הטעם שנשאר בנ"ט בר נ"ט יש בה דין טכ"ע מדאורייתא, אבל מ"מ בהיתירא מותר, דכיון שנחלש אי אפשר שיחול </w:t>
      </w:r>
      <w:r w:rsidR="0097528A" w:rsidRPr="00882F11">
        <w:rPr>
          <w:rFonts w:cs="Guttman Drogolin" w:hint="cs"/>
          <w:rtl/>
          <w:lang w:bidi="he-IL"/>
        </w:rPr>
        <w:t xml:space="preserve">עליו איסור, רק אם כבר חל עליו איסור אמרינן שהטעם איסור עובר ממקום למקום ואוסר. </w:t>
      </w:r>
    </w:p>
    <w:p w:rsidR="0097528A" w:rsidRPr="0000469F" w:rsidRDefault="0097528A" w:rsidP="0078079C">
      <w:pPr>
        <w:pStyle w:val="Heading1"/>
        <w:bidi/>
        <w:spacing w:before="0" w:line="360" w:lineRule="auto"/>
        <w:jc w:val="center"/>
        <w:rPr>
          <w:rFonts w:cs="Guttman Drogolin"/>
          <w:color w:val="auto"/>
          <w:sz w:val="18"/>
          <w:szCs w:val="18"/>
          <w:u w:val="single"/>
          <w:rtl/>
          <w:lang w:bidi="he-IL"/>
        </w:rPr>
      </w:pPr>
      <w:bookmarkStart w:id="258" w:name="_Toc496175512"/>
      <w:r w:rsidRPr="0000469F">
        <w:rPr>
          <w:rFonts w:cs="Guttman Drogolin" w:hint="cs"/>
          <w:color w:val="auto"/>
          <w:sz w:val="18"/>
          <w:szCs w:val="18"/>
          <w:u w:val="single"/>
          <w:rtl/>
          <w:lang w:bidi="he-IL"/>
        </w:rPr>
        <w:t>נ"ט בר נ"ט באוכלין</w:t>
      </w:r>
      <w:r w:rsidR="00E75C70" w:rsidRPr="0000469F">
        <w:rPr>
          <w:rFonts w:cs="Guttman Drogolin" w:hint="cs"/>
          <w:color w:val="auto"/>
          <w:sz w:val="18"/>
          <w:szCs w:val="18"/>
          <w:u w:val="single"/>
          <w:rtl/>
          <w:lang w:bidi="he-IL"/>
        </w:rPr>
        <w:t>, וכן כשיש כלי אבל הוא אחרון</w:t>
      </w:r>
      <w:bookmarkEnd w:id="258"/>
    </w:p>
    <w:p w:rsidR="00E75C70" w:rsidRPr="00882F11" w:rsidRDefault="0097528A" w:rsidP="00C352F9">
      <w:pPr>
        <w:tabs>
          <w:tab w:val="right" w:pos="7497"/>
        </w:tabs>
        <w:bidi/>
        <w:jc w:val="both"/>
        <w:rPr>
          <w:rFonts w:cs="Guttman Drogolin"/>
          <w:rtl/>
          <w:lang w:bidi="he-IL"/>
        </w:rPr>
      </w:pPr>
      <w:r w:rsidRPr="00882F11">
        <w:rPr>
          <w:rFonts w:cs="Guttman Drogolin" w:hint="cs"/>
          <w:rtl/>
          <w:lang w:bidi="he-IL"/>
        </w:rPr>
        <w:t xml:space="preserve">הנה בדוגמא דדגים </w:t>
      </w:r>
      <w:r w:rsidR="00C352F9" w:rsidRPr="00882F11">
        <w:rPr>
          <w:rFonts w:cs="Guttman Drogolin" w:hint="cs"/>
          <w:rtl/>
          <w:lang w:bidi="he-IL"/>
        </w:rPr>
        <w:t xml:space="preserve">מוכח ששייך חלק מן </w:t>
      </w:r>
      <w:r w:rsidRPr="00882F11">
        <w:rPr>
          <w:rFonts w:cs="Guttman Drogolin" w:hint="cs"/>
          <w:rtl/>
          <w:lang w:bidi="he-IL"/>
        </w:rPr>
        <w:t xml:space="preserve">החלשת הטעם ע"י אוכלין, דהיינו הדגים. אמנם דנו האחרונים אם אפשר שיעשה נ"ט בר נ"ט כולו ע"י אוכלין, או"ד בעינן עכ"פ כלי א'. ובמש"ז ס"ק א' הביא מס' </w:t>
      </w:r>
      <w:r w:rsidR="00E75C70" w:rsidRPr="00882F11">
        <w:rPr>
          <w:rFonts w:cs="Guttman Drogolin" w:hint="cs"/>
          <w:rtl/>
          <w:lang w:bidi="he-IL"/>
        </w:rPr>
        <w:t>התרומה</w:t>
      </w:r>
      <w:r w:rsidR="00E75C70" w:rsidRPr="00882F11">
        <w:rPr>
          <w:rFonts w:cs="Guttman Drogolin"/>
          <w:rtl/>
          <w:lang w:bidi="he-IL"/>
        </w:rPr>
        <w:t xml:space="preserve"> </w:t>
      </w:r>
      <w:r w:rsidR="00E75C70" w:rsidRPr="00882F11">
        <w:rPr>
          <w:rFonts w:cs="Guttman Drogolin" w:hint="cs"/>
          <w:rtl/>
          <w:lang w:bidi="he-IL"/>
        </w:rPr>
        <w:t>סי</w:t>
      </w:r>
      <w:r w:rsidR="00E75C70" w:rsidRPr="00882F11">
        <w:rPr>
          <w:rFonts w:cs="Guttman Drogolin"/>
          <w:rtl/>
          <w:lang w:bidi="he-IL"/>
        </w:rPr>
        <w:t xml:space="preserve">' </w:t>
      </w:r>
      <w:r w:rsidR="00E75C70" w:rsidRPr="00882F11">
        <w:rPr>
          <w:rFonts w:cs="Guttman Drogolin" w:hint="cs"/>
          <w:rtl/>
          <w:lang w:bidi="he-IL"/>
        </w:rPr>
        <w:t>ס</w:t>
      </w:r>
      <w:r w:rsidR="00E75C70" w:rsidRPr="00882F11">
        <w:rPr>
          <w:rFonts w:cs="Guttman Drogolin"/>
          <w:rtl/>
          <w:lang w:bidi="he-IL"/>
        </w:rPr>
        <w:t>"</w:t>
      </w:r>
      <w:r w:rsidR="00E75C70" w:rsidRPr="00882F11">
        <w:rPr>
          <w:rFonts w:cs="Guttman Drogolin" w:hint="cs"/>
          <w:rtl/>
          <w:lang w:bidi="he-IL"/>
        </w:rPr>
        <w:t>א</w:t>
      </w:r>
      <w:r w:rsidR="00E75C70" w:rsidRPr="00882F11">
        <w:rPr>
          <w:rFonts w:cs="Guttman Drogolin"/>
          <w:rtl/>
          <w:lang w:bidi="he-IL"/>
        </w:rPr>
        <w:t xml:space="preserve"> </w:t>
      </w:r>
      <w:r w:rsidR="00E75C70" w:rsidRPr="00882F11">
        <w:rPr>
          <w:rFonts w:cs="Guttman Drogolin" w:hint="cs"/>
          <w:rtl/>
          <w:lang w:bidi="he-IL"/>
        </w:rPr>
        <w:t>שכתב</w:t>
      </w:r>
      <w:r w:rsidR="00E75C70" w:rsidRPr="00882F11">
        <w:rPr>
          <w:rFonts w:cs="Guttman Drogolin"/>
          <w:rtl/>
          <w:lang w:bidi="he-IL"/>
        </w:rPr>
        <w:t xml:space="preserve"> </w:t>
      </w:r>
      <w:r w:rsidR="00E75C70" w:rsidRPr="00882F11">
        <w:rPr>
          <w:rFonts w:cs="Guttman Drogolin" w:hint="cs"/>
          <w:rtl/>
          <w:lang w:bidi="he-IL"/>
        </w:rPr>
        <w:t>"אין</w:t>
      </w:r>
      <w:r w:rsidR="00E75C70" w:rsidRPr="00882F11">
        <w:rPr>
          <w:rFonts w:cs="Guttman Drogolin"/>
          <w:rtl/>
          <w:lang w:bidi="he-IL"/>
        </w:rPr>
        <w:t xml:space="preserve"> </w:t>
      </w:r>
      <w:r w:rsidR="00E75C70" w:rsidRPr="00882F11">
        <w:rPr>
          <w:rFonts w:cs="Guttman Drogolin" w:hint="cs"/>
          <w:rtl/>
          <w:lang w:bidi="he-IL"/>
        </w:rPr>
        <w:t>לאפות</w:t>
      </w:r>
      <w:r w:rsidR="00E75C70" w:rsidRPr="00882F11">
        <w:rPr>
          <w:rFonts w:cs="Guttman Drogolin"/>
          <w:rtl/>
          <w:lang w:bidi="he-IL"/>
        </w:rPr>
        <w:t xml:space="preserve"> </w:t>
      </w:r>
      <w:r w:rsidR="00E75C70" w:rsidRPr="00882F11">
        <w:rPr>
          <w:rFonts w:cs="Guttman Drogolin" w:hint="cs"/>
          <w:rtl/>
          <w:lang w:bidi="he-IL"/>
        </w:rPr>
        <w:t>עוגה</w:t>
      </w:r>
      <w:r w:rsidR="00E75C70" w:rsidRPr="00882F11">
        <w:rPr>
          <w:rFonts w:cs="Guttman Drogolin"/>
          <w:rtl/>
          <w:lang w:bidi="he-IL"/>
        </w:rPr>
        <w:t xml:space="preserve"> </w:t>
      </w:r>
      <w:r w:rsidR="00E75C70" w:rsidRPr="00882F11">
        <w:rPr>
          <w:rFonts w:cs="Guttman Drogolin" w:hint="cs"/>
          <w:rtl/>
          <w:lang w:bidi="he-IL"/>
        </w:rPr>
        <w:t>בצד</w:t>
      </w:r>
      <w:r w:rsidR="00E75C70" w:rsidRPr="00882F11">
        <w:rPr>
          <w:rFonts w:cs="Guttman Drogolin"/>
          <w:rtl/>
          <w:lang w:bidi="he-IL"/>
        </w:rPr>
        <w:t xml:space="preserve"> </w:t>
      </w:r>
      <w:r w:rsidR="00E75C70" w:rsidRPr="00882F11">
        <w:rPr>
          <w:rFonts w:cs="Guttman Drogolin" w:hint="cs"/>
          <w:rtl/>
          <w:lang w:bidi="he-IL"/>
        </w:rPr>
        <w:t>פשטיד</w:t>
      </w:r>
      <w:r w:rsidR="00E75C70" w:rsidRPr="00882F11">
        <w:rPr>
          <w:rFonts w:cs="Guttman Drogolin"/>
          <w:rtl/>
          <w:lang w:bidi="he-IL"/>
        </w:rPr>
        <w:t>"</w:t>
      </w:r>
      <w:r w:rsidR="00E75C70" w:rsidRPr="00882F11">
        <w:rPr>
          <w:rFonts w:cs="Guttman Drogolin" w:hint="cs"/>
          <w:rtl/>
          <w:lang w:bidi="he-IL"/>
        </w:rPr>
        <w:t>א</w:t>
      </w:r>
      <w:r w:rsidR="00E75C70" w:rsidRPr="00882F11">
        <w:rPr>
          <w:rFonts w:cs="Guttman Drogolin"/>
          <w:rtl/>
          <w:lang w:bidi="he-IL"/>
        </w:rPr>
        <w:t xml:space="preserve"> </w:t>
      </w:r>
      <w:r w:rsidR="00E75C70" w:rsidRPr="00882F11">
        <w:rPr>
          <w:rFonts w:cs="Guttman Drogolin" w:hint="cs"/>
          <w:rtl/>
          <w:lang w:bidi="he-IL"/>
        </w:rPr>
        <w:t>דאין</w:t>
      </w:r>
      <w:r w:rsidR="00E75C70" w:rsidRPr="00882F11">
        <w:rPr>
          <w:rFonts w:cs="Guttman Drogolin"/>
          <w:rtl/>
          <w:lang w:bidi="he-IL"/>
        </w:rPr>
        <w:t xml:space="preserve"> </w:t>
      </w:r>
      <w:r w:rsidR="00E75C70" w:rsidRPr="00882F11">
        <w:rPr>
          <w:rFonts w:cs="Guttman Drogolin" w:hint="cs"/>
          <w:rtl/>
          <w:lang w:bidi="he-IL"/>
        </w:rPr>
        <w:t>להתיר</w:t>
      </w:r>
      <w:r w:rsidR="00E75C70" w:rsidRPr="00882F11">
        <w:rPr>
          <w:rFonts w:cs="Guttman Drogolin"/>
          <w:rtl/>
          <w:lang w:bidi="he-IL"/>
        </w:rPr>
        <w:t xml:space="preserve"> </w:t>
      </w:r>
      <w:r w:rsidR="00E75C70" w:rsidRPr="00882F11">
        <w:rPr>
          <w:rFonts w:cs="Guttman Drogolin" w:hint="cs"/>
          <w:rtl/>
          <w:lang w:bidi="he-IL"/>
        </w:rPr>
        <w:t>מטעם</w:t>
      </w:r>
      <w:r w:rsidR="00E75C70" w:rsidRPr="00882F11">
        <w:rPr>
          <w:rFonts w:cs="Guttman Drogolin"/>
          <w:rtl/>
          <w:lang w:bidi="he-IL"/>
        </w:rPr>
        <w:t xml:space="preserve"> </w:t>
      </w:r>
      <w:r w:rsidR="00E75C70" w:rsidRPr="00882F11">
        <w:rPr>
          <w:rFonts w:cs="Guttman Drogolin" w:hint="cs"/>
          <w:rtl/>
          <w:lang w:bidi="he-IL"/>
        </w:rPr>
        <w:t>נ</w:t>
      </w:r>
      <w:r w:rsidR="00E75C70" w:rsidRPr="00882F11">
        <w:rPr>
          <w:rFonts w:cs="Guttman Drogolin"/>
          <w:rtl/>
          <w:lang w:bidi="he-IL"/>
        </w:rPr>
        <w:t>"</w:t>
      </w:r>
      <w:r w:rsidR="00E75C70" w:rsidRPr="00882F11">
        <w:rPr>
          <w:rFonts w:cs="Guttman Drogolin" w:hint="cs"/>
          <w:rtl/>
          <w:lang w:bidi="he-IL"/>
        </w:rPr>
        <w:t>ט</w:t>
      </w:r>
      <w:r w:rsidR="00E75C70" w:rsidRPr="00882F11">
        <w:rPr>
          <w:rFonts w:cs="Guttman Drogolin"/>
          <w:rtl/>
          <w:lang w:bidi="he-IL"/>
        </w:rPr>
        <w:t xml:space="preserve"> </w:t>
      </w:r>
      <w:r w:rsidR="00E75C70" w:rsidRPr="00882F11">
        <w:rPr>
          <w:rFonts w:cs="Guttman Drogolin" w:hint="cs"/>
          <w:rtl/>
          <w:lang w:bidi="he-IL"/>
        </w:rPr>
        <w:t>בר</w:t>
      </w:r>
      <w:r w:rsidR="00E75C70" w:rsidRPr="00882F11">
        <w:rPr>
          <w:rFonts w:cs="Guttman Drogolin"/>
          <w:rtl/>
          <w:lang w:bidi="he-IL"/>
        </w:rPr>
        <w:t xml:space="preserve"> </w:t>
      </w:r>
      <w:r w:rsidR="00E75C70" w:rsidRPr="00882F11">
        <w:rPr>
          <w:rFonts w:cs="Guttman Drogolin" w:hint="cs"/>
          <w:rtl/>
          <w:lang w:bidi="he-IL"/>
        </w:rPr>
        <w:t>נ</w:t>
      </w:r>
      <w:r w:rsidR="00E75C70" w:rsidRPr="00882F11">
        <w:rPr>
          <w:rFonts w:cs="Guttman Drogolin"/>
          <w:rtl/>
          <w:lang w:bidi="he-IL"/>
        </w:rPr>
        <w:t>"</w:t>
      </w:r>
      <w:r w:rsidR="00E75C70" w:rsidRPr="00882F11">
        <w:rPr>
          <w:rFonts w:cs="Guttman Drogolin" w:hint="cs"/>
          <w:rtl/>
          <w:lang w:bidi="he-IL"/>
        </w:rPr>
        <w:t>ט</w:t>
      </w:r>
      <w:r w:rsidR="00E75C70" w:rsidRPr="00882F11">
        <w:rPr>
          <w:rFonts w:cs="Guttman Drogolin"/>
          <w:rtl/>
          <w:lang w:bidi="he-IL"/>
        </w:rPr>
        <w:t xml:space="preserve"> </w:t>
      </w:r>
      <w:r w:rsidR="00E75C70" w:rsidRPr="00882F11">
        <w:rPr>
          <w:rFonts w:cs="Guttman Drogolin" w:hint="cs"/>
          <w:rtl/>
          <w:lang w:bidi="he-IL"/>
        </w:rPr>
        <w:t>דשמא</w:t>
      </w:r>
      <w:r w:rsidR="00E75C70" w:rsidRPr="00882F11">
        <w:rPr>
          <w:rFonts w:cs="Guttman Drogolin"/>
          <w:rtl/>
          <w:lang w:bidi="he-IL"/>
        </w:rPr>
        <w:t xml:space="preserve"> </w:t>
      </w:r>
      <w:r w:rsidR="00E75C70" w:rsidRPr="00882F11">
        <w:rPr>
          <w:rFonts w:cs="Guttman Drogolin" w:hint="cs"/>
          <w:rtl/>
          <w:lang w:bidi="he-IL"/>
        </w:rPr>
        <w:t>זהו</w:t>
      </w:r>
      <w:r w:rsidR="00E75C70" w:rsidRPr="00882F11">
        <w:rPr>
          <w:rFonts w:cs="Guttman Drogolin"/>
          <w:rtl/>
          <w:lang w:bidi="he-IL"/>
        </w:rPr>
        <w:t xml:space="preserve"> </w:t>
      </w:r>
      <w:r w:rsidR="00E75C70" w:rsidRPr="00882F11">
        <w:rPr>
          <w:rFonts w:cs="Guttman Drogolin" w:hint="cs"/>
          <w:rtl/>
          <w:lang w:bidi="he-IL"/>
        </w:rPr>
        <w:t>בכלי</w:t>
      </w:r>
      <w:r w:rsidR="00E75C70" w:rsidRPr="00882F11">
        <w:rPr>
          <w:rFonts w:cs="Guttman Drogolin"/>
          <w:rtl/>
          <w:lang w:bidi="he-IL"/>
        </w:rPr>
        <w:t xml:space="preserve"> </w:t>
      </w:r>
      <w:r w:rsidR="00E75C70" w:rsidRPr="00882F11">
        <w:rPr>
          <w:rFonts w:cs="Guttman Drogolin" w:hint="cs"/>
          <w:rtl/>
          <w:lang w:bidi="he-IL"/>
        </w:rPr>
        <w:t>אבל</w:t>
      </w:r>
      <w:r w:rsidR="00E75C70" w:rsidRPr="00882F11">
        <w:rPr>
          <w:rFonts w:cs="Guttman Drogolin"/>
          <w:rtl/>
          <w:lang w:bidi="he-IL"/>
        </w:rPr>
        <w:t xml:space="preserve"> </w:t>
      </w:r>
      <w:r w:rsidR="00E75C70" w:rsidRPr="00882F11">
        <w:rPr>
          <w:rFonts w:cs="Guttman Drogolin" w:hint="cs"/>
          <w:rtl/>
          <w:lang w:bidi="he-IL"/>
        </w:rPr>
        <w:t>באוכל</w:t>
      </w:r>
      <w:r w:rsidR="00E75C70" w:rsidRPr="00882F11">
        <w:rPr>
          <w:rFonts w:cs="Guttman Drogolin"/>
          <w:rtl/>
          <w:lang w:bidi="he-IL"/>
        </w:rPr>
        <w:t xml:space="preserve"> </w:t>
      </w:r>
      <w:r w:rsidR="00E75C70" w:rsidRPr="00882F11">
        <w:rPr>
          <w:rFonts w:cs="Guttman Drogolin" w:hint="cs"/>
          <w:rtl/>
          <w:lang w:bidi="he-IL"/>
        </w:rPr>
        <w:t>הכל</w:t>
      </w:r>
      <w:r w:rsidR="00E75C70" w:rsidRPr="00882F11">
        <w:rPr>
          <w:rFonts w:cs="Guttman Drogolin"/>
          <w:rtl/>
          <w:lang w:bidi="he-IL"/>
        </w:rPr>
        <w:t xml:space="preserve"> </w:t>
      </w:r>
      <w:r w:rsidR="00E75C70" w:rsidRPr="00882F11">
        <w:rPr>
          <w:rFonts w:cs="Guttman Drogolin" w:hint="cs"/>
          <w:rtl/>
          <w:lang w:bidi="he-IL"/>
        </w:rPr>
        <w:t>אחד</w:t>
      </w:r>
      <w:r w:rsidR="00E75C70" w:rsidRPr="00882F11">
        <w:rPr>
          <w:rFonts w:cs="Guttman Drogolin"/>
          <w:rtl/>
          <w:lang w:bidi="he-IL"/>
        </w:rPr>
        <w:t xml:space="preserve"> </w:t>
      </w:r>
      <w:r w:rsidR="00E75C70" w:rsidRPr="00882F11">
        <w:rPr>
          <w:rFonts w:cs="Guttman Drogolin" w:hint="cs"/>
          <w:rtl/>
          <w:lang w:bidi="he-IL"/>
        </w:rPr>
        <w:t>הוא"</w:t>
      </w:r>
      <w:r w:rsidR="00E75C70" w:rsidRPr="00882F11">
        <w:rPr>
          <w:rFonts w:cs="Guttman Drogolin"/>
          <w:rtl/>
          <w:lang w:bidi="he-IL"/>
        </w:rPr>
        <w:t xml:space="preserve"> </w:t>
      </w:r>
      <w:r w:rsidR="00E75C70" w:rsidRPr="00882F11">
        <w:rPr>
          <w:rFonts w:cs="Guttman Drogolin" w:hint="cs"/>
          <w:rtl/>
          <w:lang w:bidi="he-IL"/>
        </w:rPr>
        <w:t>ובשם ס' שערי</w:t>
      </w:r>
      <w:r w:rsidR="00E75C70" w:rsidRPr="00882F11">
        <w:rPr>
          <w:rFonts w:cs="Guttman Drogolin"/>
          <w:rtl/>
          <w:lang w:bidi="he-IL"/>
        </w:rPr>
        <w:t xml:space="preserve"> </w:t>
      </w:r>
      <w:r w:rsidR="00E75C70" w:rsidRPr="00882F11">
        <w:rPr>
          <w:rFonts w:cs="Guttman Drogolin" w:hint="cs"/>
          <w:rtl/>
          <w:lang w:bidi="he-IL"/>
        </w:rPr>
        <w:t>דורא</w:t>
      </w:r>
      <w:r w:rsidR="00E75C70" w:rsidRPr="00882F11">
        <w:rPr>
          <w:rFonts w:cs="Guttman Drogolin"/>
          <w:rtl/>
          <w:lang w:bidi="he-IL"/>
        </w:rPr>
        <w:t xml:space="preserve"> </w:t>
      </w:r>
      <w:r w:rsidR="00E75C70" w:rsidRPr="00882F11">
        <w:rPr>
          <w:rFonts w:cs="Guttman Drogolin" w:hint="cs"/>
          <w:rtl/>
          <w:lang w:bidi="he-IL"/>
        </w:rPr>
        <w:t>סי</w:t>
      </w:r>
      <w:r w:rsidR="00E75C70" w:rsidRPr="00882F11">
        <w:rPr>
          <w:rFonts w:cs="Guttman Drogolin"/>
          <w:rtl/>
          <w:lang w:bidi="he-IL"/>
        </w:rPr>
        <w:t xml:space="preserve">' </w:t>
      </w:r>
      <w:r w:rsidR="00E75C70" w:rsidRPr="00882F11">
        <w:rPr>
          <w:rFonts w:cs="Guttman Drogolin" w:hint="cs"/>
          <w:rtl/>
          <w:lang w:bidi="he-IL"/>
        </w:rPr>
        <w:t>ס</w:t>
      </w:r>
      <w:r w:rsidR="00E75C70" w:rsidRPr="00882F11">
        <w:rPr>
          <w:rFonts w:cs="Guttman Drogolin"/>
          <w:rtl/>
          <w:lang w:bidi="he-IL"/>
        </w:rPr>
        <w:t xml:space="preserve">' </w:t>
      </w:r>
      <w:r w:rsidR="00E75C70" w:rsidRPr="00882F11">
        <w:rPr>
          <w:rFonts w:cs="Guttman Drogolin" w:hint="cs"/>
          <w:rtl/>
          <w:lang w:bidi="he-IL"/>
        </w:rPr>
        <w:t>שהביא</w:t>
      </w:r>
      <w:r w:rsidR="00E75C70" w:rsidRPr="00882F11">
        <w:rPr>
          <w:rFonts w:cs="Guttman Drogolin"/>
          <w:rtl/>
          <w:lang w:bidi="he-IL"/>
        </w:rPr>
        <w:t xml:space="preserve"> </w:t>
      </w:r>
      <w:r w:rsidR="00E75C70" w:rsidRPr="00882F11">
        <w:rPr>
          <w:rFonts w:cs="Guttman Drogolin" w:hint="cs"/>
          <w:rtl/>
          <w:lang w:bidi="he-IL"/>
        </w:rPr>
        <w:t>דברי</w:t>
      </w:r>
      <w:r w:rsidR="00E75C70" w:rsidRPr="00882F11">
        <w:rPr>
          <w:rFonts w:cs="Guttman Drogolin"/>
          <w:rtl/>
          <w:lang w:bidi="he-IL"/>
        </w:rPr>
        <w:t xml:space="preserve"> </w:t>
      </w:r>
      <w:r w:rsidR="00E75C70" w:rsidRPr="00882F11">
        <w:rPr>
          <w:rFonts w:cs="Guttman Drogolin" w:hint="cs"/>
          <w:rtl/>
          <w:lang w:bidi="he-IL"/>
        </w:rPr>
        <w:t>סה</w:t>
      </w:r>
      <w:r w:rsidR="00E75C70" w:rsidRPr="00882F11">
        <w:rPr>
          <w:rFonts w:cs="Guttman Drogolin"/>
          <w:rtl/>
          <w:lang w:bidi="he-IL"/>
        </w:rPr>
        <w:t>"</w:t>
      </w:r>
      <w:r w:rsidR="00E75C70" w:rsidRPr="00882F11">
        <w:rPr>
          <w:rFonts w:cs="Guttman Drogolin" w:hint="cs"/>
          <w:rtl/>
          <w:lang w:bidi="he-IL"/>
        </w:rPr>
        <w:t>ת</w:t>
      </w:r>
      <w:r w:rsidR="00E75C70" w:rsidRPr="00882F11">
        <w:rPr>
          <w:rFonts w:cs="Guttman Drogolin"/>
          <w:rtl/>
          <w:lang w:bidi="he-IL"/>
        </w:rPr>
        <w:t xml:space="preserve"> </w:t>
      </w:r>
      <w:r w:rsidR="00E75C70" w:rsidRPr="00882F11">
        <w:rPr>
          <w:rFonts w:cs="Guttman Drogolin" w:hint="cs"/>
          <w:rtl/>
          <w:lang w:bidi="he-IL"/>
        </w:rPr>
        <w:t>השמיט</w:t>
      </w:r>
      <w:r w:rsidR="00E75C70" w:rsidRPr="00882F11">
        <w:rPr>
          <w:rFonts w:cs="Guttman Drogolin"/>
          <w:rtl/>
          <w:lang w:bidi="he-IL"/>
        </w:rPr>
        <w:t xml:space="preserve"> </w:t>
      </w:r>
      <w:r w:rsidR="005D68F4" w:rsidRPr="00882F11">
        <w:rPr>
          <w:rFonts w:cs="Guttman Drogolin" w:hint="cs"/>
          <w:rtl/>
          <w:lang w:bidi="he-IL"/>
        </w:rPr>
        <w:t>ה</w:t>
      </w:r>
      <w:r w:rsidR="00E75C70" w:rsidRPr="00882F11">
        <w:rPr>
          <w:rFonts w:cs="Guttman Drogolin" w:hint="cs"/>
          <w:rtl/>
          <w:lang w:bidi="he-IL"/>
        </w:rPr>
        <w:t>מ</w:t>
      </w:r>
      <w:r w:rsidR="005D68F4" w:rsidRPr="00882F11">
        <w:rPr>
          <w:rFonts w:cs="Guttman Drogolin" w:hint="cs"/>
          <w:rtl/>
          <w:lang w:bidi="he-IL"/>
        </w:rPr>
        <w:t>י</w:t>
      </w:r>
      <w:r w:rsidR="00E75C70" w:rsidRPr="00882F11">
        <w:rPr>
          <w:rFonts w:cs="Guttman Drogolin" w:hint="cs"/>
          <w:rtl/>
          <w:lang w:bidi="he-IL"/>
        </w:rPr>
        <w:t>ל</w:t>
      </w:r>
      <w:r w:rsidR="005D68F4" w:rsidRPr="00882F11">
        <w:rPr>
          <w:rFonts w:cs="Guttman Drogolin" w:hint="cs"/>
          <w:rtl/>
          <w:lang w:bidi="he-IL"/>
        </w:rPr>
        <w:t>ה</w:t>
      </w:r>
      <w:r w:rsidR="00E75C70" w:rsidRPr="00882F11">
        <w:rPr>
          <w:rFonts w:cs="Guttman Drogolin"/>
          <w:rtl/>
          <w:lang w:bidi="he-IL"/>
        </w:rPr>
        <w:t xml:space="preserve"> "</w:t>
      </w:r>
      <w:r w:rsidR="00E75C70" w:rsidRPr="00882F11">
        <w:rPr>
          <w:rFonts w:cs="Guttman Drogolin" w:hint="cs"/>
          <w:rtl/>
          <w:lang w:bidi="he-IL"/>
        </w:rPr>
        <w:t>שמא</w:t>
      </w:r>
      <w:r w:rsidR="00E75C70" w:rsidRPr="00882F11">
        <w:rPr>
          <w:rFonts w:cs="Guttman Drogolin"/>
          <w:rtl/>
          <w:lang w:bidi="he-IL"/>
        </w:rPr>
        <w:t>"</w:t>
      </w:r>
      <w:r w:rsidR="00E75C70" w:rsidRPr="00882F11">
        <w:rPr>
          <w:rFonts w:cs="Guttman Drogolin" w:hint="cs"/>
          <w:rtl/>
          <w:lang w:bidi="he-IL"/>
        </w:rPr>
        <w:t>. הרי שאין נ"ט בר נ"ט אא"כ חד מינייהו בכלי. ושם במש"ז מבואר שלפי צד זה אפילו אלף נ"ט וכולם באוכלין עדיין בטעמו עומד ונאסר. ודבר זה צריך פירוש, דהרי חזינן דעכ"פ אחד מן נותני הטעם מועילים להחליש הטעם היתר כדי שלא יהא נאסר, וא"כ למה פשיטא לי' שאפילו אלף נ"ט באוכלין לא מהני.</w:t>
      </w:r>
    </w:p>
    <w:p w:rsidR="00A94822" w:rsidRPr="00882F11" w:rsidRDefault="00E75C70" w:rsidP="00E75C70">
      <w:pPr>
        <w:tabs>
          <w:tab w:val="right" w:pos="7497"/>
        </w:tabs>
        <w:bidi/>
        <w:jc w:val="both"/>
        <w:rPr>
          <w:rFonts w:cs="Guttman Drogolin"/>
          <w:rtl/>
          <w:lang w:bidi="he-IL"/>
        </w:rPr>
      </w:pPr>
      <w:r w:rsidRPr="00882F11">
        <w:rPr>
          <w:rFonts w:cs="Guttman Drogolin" w:hint="cs"/>
          <w:rtl/>
          <w:lang w:bidi="he-IL"/>
        </w:rPr>
        <w:t xml:space="preserve">ולכאורה התשובה משום שעיקר החלשת הטעם ע"י כלי, והחלשה שע"י אוכלין אינו אלא חזי לאיצטרופי. אלא שגם בזה יש ב' מהלכים, שהרי במש"ז שם כתב שלפי דבריו אם יהי' הטעם באוכל ורק לאחר מכן בכלי לא יהי' ההיתר של נ"ט בר נ"ט. ולכאורה צ"ע למה פשיטא לי' שהדין כן, הא הכא איכא טעם א' שנכנס בכלי, רק שהיפך הסדר. ונראה הברור בכוונתו שהכח של </w:t>
      </w:r>
      <w:r w:rsidRPr="00882F11">
        <w:rPr>
          <w:rFonts w:cs="Guttman Drogolin" w:hint="cs"/>
          <w:rtl/>
          <w:lang w:bidi="he-IL"/>
        </w:rPr>
        <w:lastRenderedPageBreak/>
        <w:t xml:space="preserve">אוכלין להחליש טעם אינו אלא להוסיף על החלשת כלי, אבל אין לו כח להחליש טעם בעצמו כלל. ומשו"ה פשיטא לי' שבאוכלין אפילו אלף נ"ט לא מהני, דאע"ג דמהני אחר כלי, מ"מ היינו מטעם הנ"ל, שיש לאוכלין כח להחליש טעם שנחלש ע"י כלי, אבל </w:t>
      </w:r>
      <w:r w:rsidR="00A94822" w:rsidRPr="00882F11">
        <w:rPr>
          <w:rFonts w:cs="Guttman Drogolin" w:hint="cs"/>
          <w:rtl/>
          <w:lang w:bidi="he-IL"/>
        </w:rPr>
        <w:t xml:space="preserve">בפני עצמו אינו עושה כלום. וכן אם הי' באוכלין תחילה לא מהני דהא עדיין לא הי' בכלי. </w:t>
      </w:r>
    </w:p>
    <w:p w:rsidR="00A77BE7" w:rsidRPr="00882F11" w:rsidRDefault="00A94822" w:rsidP="00D61B62">
      <w:pPr>
        <w:tabs>
          <w:tab w:val="right" w:pos="7497"/>
        </w:tabs>
        <w:bidi/>
        <w:jc w:val="both"/>
        <w:rPr>
          <w:rFonts w:cs="Guttman Drogolin"/>
          <w:rtl/>
          <w:lang w:bidi="he-IL"/>
        </w:rPr>
      </w:pPr>
      <w:r w:rsidRPr="00882F11">
        <w:rPr>
          <w:rFonts w:cs="Guttman Drogolin" w:hint="cs"/>
          <w:rtl/>
          <w:lang w:bidi="he-IL"/>
        </w:rPr>
        <w:t>ובעיקר הנידון אם אומרים נ"ט בר נ"ט באוכלין</w:t>
      </w:r>
      <w:r w:rsidR="009E3FE3" w:rsidRPr="00882F11">
        <w:rPr>
          <w:rStyle w:val="FootnoteReference"/>
          <w:rFonts w:cs="Guttman Drogolin"/>
          <w:rtl/>
          <w:lang w:bidi="he-IL"/>
        </w:rPr>
        <w:footnoteReference w:id="286"/>
      </w:r>
      <w:r w:rsidRPr="00882F11">
        <w:rPr>
          <w:rFonts w:cs="Guttman Drogolin" w:hint="cs"/>
          <w:rtl/>
          <w:lang w:bidi="he-IL"/>
        </w:rPr>
        <w:t xml:space="preserve">, ע' בפת"ש שהביא שו"ת פני ארי' </w:t>
      </w:r>
      <w:r w:rsidR="00A77BE7" w:rsidRPr="00882F11">
        <w:rPr>
          <w:rFonts w:cs="Guttman Drogolin" w:hint="cs"/>
          <w:rtl/>
          <w:lang w:bidi="he-IL"/>
        </w:rPr>
        <w:t>(ברסלוי)</w:t>
      </w:r>
      <w:r w:rsidR="00D17230" w:rsidRPr="00882F11">
        <w:rPr>
          <w:rStyle w:val="FootnoteReference"/>
          <w:rFonts w:cs="Guttman Drogolin"/>
          <w:rtl/>
          <w:lang w:bidi="he-IL"/>
        </w:rPr>
        <w:footnoteReference w:id="287"/>
      </w:r>
      <w:r w:rsidR="00A77BE7" w:rsidRPr="00882F11">
        <w:rPr>
          <w:rFonts w:cs="Guttman Drogolin" w:hint="cs"/>
          <w:rtl/>
          <w:lang w:bidi="he-IL"/>
        </w:rPr>
        <w:t xml:space="preserve"> </w:t>
      </w:r>
      <w:r w:rsidR="00275E79" w:rsidRPr="00882F11">
        <w:rPr>
          <w:rFonts w:cs="Guttman Drogolin" w:hint="cs"/>
          <w:rtl/>
          <w:lang w:bidi="he-IL"/>
        </w:rPr>
        <w:t xml:space="preserve">סי' מ"ח ומ"ט </w:t>
      </w:r>
      <w:r w:rsidRPr="00882F11">
        <w:rPr>
          <w:rFonts w:cs="Guttman Drogolin" w:hint="cs"/>
          <w:rtl/>
          <w:lang w:bidi="he-IL"/>
        </w:rPr>
        <w:t>שחלק על זה וסבר דכ"ש שיש נ"ט בר נ"ט באוכלין</w:t>
      </w:r>
      <w:r w:rsidR="00421FC6" w:rsidRPr="00882F11">
        <w:rPr>
          <w:rFonts w:cs="Guttman Drogolin" w:hint="cs"/>
          <w:rtl/>
          <w:lang w:bidi="he-IL"/>
        </w:rPr>
        <w:t xml:space="preserve"> (וע"ש שדברי השע"ד תמוהי</w:t>
      </w:r>
      <w:r w:rsidR="00A77BE7" w:rsidRPr="00882F11">
        <w:rPr>
          <w:rFonts w:cs="Guttman Drogolin" w:hint="cs"/>
          <w:rtl/>
          <w:lang w:bidi="he-IL"/>
        </w:rPr>
        <w:t>ם וע"כ יש שם ט"ס)</w:t>
      </w:r>
      <w:r w:rsidRPr="00882F11">
        <w:rPr>
          <w:rFonts w:cs="Guttman Drogolin" w:hint="cs"/>
          <w:rtl/>
          <w:lang w:bidi="he-IL"/>
        </w:rPr>
        <w:t xml:space="preserve">. וע"כ לדידי' הגמ' דיבר בהוה. ומ"מ חזינן כאן סברות הפוכות, שלמש"ז יש סברא דכלי עדיף מאוכלין, ולפני ארי' אוכלין עדיף מכלי, וצ"ע בביאור המחלוקת. ונראה הפשוט בזה </w:t>
      </w:r>
      <w:r w:rsidR="00A77BE7" w:rsidRPr="00882F11">
        <w:rPr>
          <w:rFonts w:cs="Guttman Drogolin" w:hint="cs"/>
          <w:rtl/>
          <w:lang w:bidi="he-IL"/>
        </w:rPr>
        <w:t>שהמש"ז סבר דכמו שרואים שיש לכלי לעשות טעם הבלוע בו לפגם</w:t>
      </w:r>
      <w:r w:rsidR="00E75C70" w:rsidRPr="00882F11">
        <w:rPr>
          <w:rFonts w:cs="Guttman Drogolin" w:hint="cs"/>
          <w:rtl/>
          <w:lang w:bidi="he-IL"/>
        </w:rPr>
        <w:t xml:space="preserve"> </w:t>
      </w:r>
      <w:r w:rsidR="00D61B62" w:rsidRPr="00882F11">
        <w:rPr>
          <w:rFonts w:cs="Guttman Drogolin" w:hint="cs"/>
          <w:rtl/>
          <w:lang w:bidi="he-IL"/>
        </w:rPr>
        <w:t>(אחרי מעל"ע, וכן יש צד בגמ'</w:t>
      </w:r>
      <w:r w:rsidR="00A77BE7" w:rsidRPr="00882F11">
        <w:rPr>
          <w:rFonts w:cs="Guttman Drogolin" w:hint="cs"/>
          <w:rtl/>
          <w:lang w:bidi="he-IL"/>
        </w:rPr>
        <w:t xml:space="preserve"> שאפילו בב"י נפגם פורתא) הה"נ שיש בכחו להחליש טעם, אבל אוכלין שהטעם הבלוע שבו אף פעם לא נפגם גם החלשה אינו עושה. והפני ארי' סבר שפגם לחוד והחשלה לחוד, וכן אוכלין עדיף, שהרי קיי"ל שאין טעם עובר מחתיכה לחתיכה בלי רוטב, ואילו מכלי לאוכלין עובר בלי רוטב וכמש"כ הש"ך בסי' ק"ה ס"ק כ"ב ומשום שאין לו פליטה מעצמו. וא"כ הה"נ הכא הי' לנו להקל יותר מאוכל לאוכל יותר מכלי לאוכל</w:t>
      </w:r>
      <w:r w:rsidR="00D61B62" w:rsidRPr="00882F11">
        <w:rPr>
          <w:rFonts w:cs="Guttman Drogolin" w:hint="cs"/>
          <w:rtl/>
          <w:lang w:bidi="he-IL"/>
        </w:rPr>
        <w:t xml:space="preserve"> (כן הוא להדיא שם בפ</w:t>
      </w:r>
      <w:r w:rsidR="00B255D1" w:rsidRPr="00882F11">
        <w:rPr>
          <w:rFonts w:cs="Guttman Drogolin" w:hint="cs"/>
          <w:rtl/>
          <w:lang w:bidi="he-IL"/>
        </w:rPr>
        <w:t>ני ארי' סי' מ"ח)</w:t>
      </w:r>
      <w:r w:rsidR="00A77BE7" w:rsidRPr="00882F11">
        <w:rPr>
          <w:rFonts w:cs="Guttman Drogolin" w:hint="cs"/>
          <w:rtl/>
          <w:lang w:bidi="he-IL"/>
        </w:rPr>
        <w:t xml:space="preserve">. </w:t>
      </w:r>
      <w:r w:rsidR="00B255D1" w:rsidRPr="00882F11">
        <w:rPr>
          <w:rFonts w:cs="Guttman Drogolin" w:hint="cs"/>
          <w:rtl/>
          <w:lang w:bidi="he-IL"/>
        </w:rPr>
        <w:t xml:space="preserve">וכוונתו בזה דנהי </w:t>
      </w:r>
      <w:r w:rsidR="00275E79" w:rsidRPr="00882F11">
        <w:rPr>
          <w:rFonts w:cs="Guttman Drogolin" w:hint="cs"/>
          <w:rtl/>
          <w:lang w:bidi="he-IL"/>
        </w:rPr>
        <w:t xml:space="preserve">שלמעשה חזינן שגם מכלי לאוכל יש נ"ט בר נ"ט, אבל א"כ כ"ש שהדין נכון בב' אוכלין. </w:t>
      </w:r>
      <w:r w:rsidR="00A77BE7" w:rsidRPr="00882F11">
        <w:rPr>
          <w:rFonts w:cs="Guttman Drogolin" w:hint="cs"/>
          <w:rtl/>
          <w:lang w:bidi="he-IL"/>
        </w:rPr>
        <w:t>וע"כ המש"ז סבר בזה דאע"ג שמכלי לאוכל עובר בלי רוטב, מ"מ א</w:t>
      </w:r>
      <w:r w:rsidR="00D61B62" w:rsidRPr="00882F11">
        <w:rPr>
          <w:rFonts w:cs="Guttman Drogolin" w:hint="cs"/>
          <w:rtl/>
          <w:lang w:bidi="he-IL"/>
        </w:rPr>
        <w:t>ח</w:t>
      </w:r>
      <w:r w:rsidR="00A77BE7" w:rsidRPr="00882F11">
        <w:rPr>
          <w:rFonts w:cs="Guttman Drogolin" w:hint="cs"/>
          <w:rtl/>
          <w:lang w:bidi="he-IL"/>
        </w:rPr>
        <w:t xml:space="preserve">רי שהוא עובר נחלש, משא"כ באוכלין </w:t>
      </w:r>
      <w:r w:rsidR="00D61B62" w:rsidRPr="00882F11">
        <w:rPr>
          <w:rFonts w:cs="Guttman Drogolin" w:hint="cs"/>
          <w:rtl/>
          <w:lang w:bidi="he-IL"/>
        </w:rPr>
        <w:t>ד</w:t>
      </w:r>
      <w:r w:rsidR="00A77BE7" w:rsidRPr="00882F11">
        <w:rPr>
          <w:rFonts w:cs="Guttman Drogolin" w:hint="cs"/>
          <w:rtl/>
          <w:lang w:bidi="he-IL"/>
        </w:rPr>
        <w:t>אע"ג שאינו עובר בלי רוטב, אחרי שהוא עובר לא נחלש כלל</w:t>
      </w:r>
      <w:bookmarkStart w:id="259" w:name="_Ref456958424"/>
      <w:r w:rsidR="00A76255" w:rsidRPr="00882F11">
        <w:rPr>
          <w:rStyle w:val="FootnoteReference"/>
          <w:rFonts w:cs="Guttman Drogolin"/>
          <w:rtl/>
          <w:lang w:bidi="he-IL"/>
        </w:rPr>
        <w:footnoteReference w:id="288"/>
      </w:r>
      <w:bookmarkEnd w:id="259"/>
      <w:r w:rsidR="00A77BE7" w:rsidRPr="00882F11">
        <w:rPr>
          <w:rFonts w:cs="Guttman Drogolin" w:hint="cs"/>
          <w:rtl/>
          <w:lang w:bidi="he-IL"/>
        </w:rPr>
        <w:t>.</w:t>
      </w:r>
    </w:p>
    <w:p w:rsidR="00CB546D" w:rsidRPr="00882F11" w:rsidRDefault="00A77BE7" w:rsidP="00C22363">
      <w:pPr>
        <w:tabs>
          <w:tab w:val="right" w:pos="7497"/>
        </w:tabs>
        <w:bidi/>
        <w:jc w:val="both"/>
        <w:rPr>
          <w:rFonts w:cs="Guttman Drogolin"/>
          <w:rtl/>
          <w:lang w:bidi="he-IL"/>
        </w:rPr>
      </w:pPr>
      <w:r w:rsidRPr="00882F11">
        <w:rPr>
          <w:rFonts w:cs="Guttman Drogolin" w:hint="cs"/>
          <w:rtl/>
          <w:lang w:bidi="he-IL"/>
        </w:rPr>
        <w:lastRenderedPageBreak/>
        <w:t xml:space="preserve">ובהא דהחמיר המש"ז אם נכנס לאוכלין תחילה, ע' ביד יהודה </w:t>
      </w:r>
      <w:r w:rsidR="00B255D1" w:rsidRPr="00882F11">
        <w:rPr>
          <w:rFonts w:cs="Guttman Drogolin" w:hint="cs"/>
          <w:rtl/>
          <w:lang w:bidi="he-IL"/>
        </w:rPr>
        <w:t>שחלק עליו</w:t>
      </w:r>
      <w:r w:rsidR="00D17230" w:rsidRPr="00882F11">
        <w:rPr>
          <w:rStyle w:val="FootnoteReference"/>
          <w:rFonts w:cs="Guttman Drogolin"/>
          <w:rtl/>
          <w:lang w:bidi="he-IL"/>
        </w:rPr>
        <w:footnoteReference w:id="289"/>
      </w:r>
      <w:r w:rsidR="00B255D1" w:rsidRPr="00882F11">
        <w:rPr>
          <w:rFonts w:cs="Guttman Drogolin" w:hint="cs"/>
          <w:rtl/>
          <w:lang w:bidi="he-IL"/>
        </w:rPr>
        <w:t xml:space="preserve"> בזה וסבר דנהי </w:t>
      </w:r>
      <w:r w:rsidR="00275E79" w:rsidRPr="00882F11">
        <w:rPr>
          <w:rFonts w:cs="Guttman Drogolin" w:hint="cs"/>
          <w:rtl/>
          <w:lang w:bidi="he-IL"/>
        </w:rPr>
        <w:t>ד</w:t>
      </w:r>
      <w:r w:rsidR="00B255D1" w:rsidRPr="00882F11">
        <w:rPr>
          <w:rFonts w:cs="Guttman Drogolin" w:hint="cs"/>
          <w:rtl/>
          <w:lang w:bidi="he-IL"/>
        </w:rPr>
        <w:t>בעינן החלשת כלי, מ"מ יכול להיות גם השני' ולא איכפת לן כאיזה סדר הוא.</w:t>
      </w:r>
      <w:r w:rsidR="00275E79" w:rsidRPr="00882F11">
        <w:rPr>
          <w:rFonts w:cs="Guttman Drogolin" w:hint="cs"/>
          <w:rtl/>
          <w:lang w:bidi="he-IL"/>
        </w:rPr>
        <w:t xml:space="preserve"> וע"ש שהוכיח כדבריו מדברי הרמב"ן בסוגיא דנ"ט בר נ"ט</w:t>
      </w:r>
      <w:r w:rsidR="00B255D1" w:rsidRPr="00882F11">
        <w:rPr>
          <w:rFonts w:cs="Guttman Drogolin" w:hint="cs"/>
          <w:rtl/>
          <w:lang w:bidi="he-IL"/>
        </w:rPr>
        <w:t xml:space="preserve"> </w:t>
      </w:r>
      <w:r w:rsidR="00275E79" w:rsidRPr="00882F11">
        <w:rPr>
          <w:rFonts w:cs="Guttman Drogolin" w:hint="cs"/>
          <w:rtl/>
          <w:lang w:bidi="he-IL"/>
        </w:rPr>
        <w:t>דאהא דרב</w:t>
      </w:r>
      <w:r w:rsidR="00275E79" w:rsidRPr="00882F11">
        <w:rPr>
          <w:rFonts w:cs="Guttman Drogolin"/>
          <w:rtl/>
          <w:lang w:bidi="he-IL"/>
        </w:rPr>
        <w:t xml:space="preserve"> </w:t>
      </w:r>
      <w:r w:rsidR="00275E79" w:rsidRPr="00882F11">
        <w:rPr>
          <w:rFonts w:cs="Guttman Drogolin" w:hint="cs"/>
          <w:rtl/>
          <w:lang w:bidi="he-IL"/>
        </w:rPr>
        <w:t>עבדו</w:t>
      </w:r>
      <w:r w:rsidR="00275E79" w:rsidRPr="00882F11">
        <w:rPr>
          <w:rFonts w:cs="Guttman Drogolin"/>
          <w:rtl/>
          <w:lang w:bidi="he-IL"/>
        </w:rPr>
        <w:t xml:space="preserve"> </w:t>
      </w:r>
      <w:r w:rsidR="00275E79" w:rsidRPr="00882F11">
        <w:rPr>
          <w:rFonts w:cs="Guttman Drogolin" w:hint="cs"/>
          <w:rtl/>
          <w:lang w:bidi="he-IL"/>
        </w:rPr>
        <w:t>ליה</w:t>
      </w:r>
      <w:r w:rsidR="00275E79" w:rsidRPr="00882F11">
        <w:rPr>
          <w:rFonts w:cs="Guttman Drogolin"/>
          <w:rtl/>
          <w:lang w:bidi="he-IL"/>
        </w:rPr>
        <w:t xml:space="preserve"> </w:t>
      </w:r>
      <w:r w:rsidR="00275E79" w:rsidRPr="00882F11">
        <w:rPr>
          <w:rFonts w:cs="Guttman Drogolin" w:hint="cs"/>
          <w:rtl/>
          <w:lang w:bidi="he-IL"/>
        </w:rPr>
        <w:t>שיפא</w:t>
      </w:r>
      <w:r w:rsidR="00275E79" w:rsidRPr="00882F11">
        <w:rPr>
          <w:rFonts w:cs="Guttman Drogolin"/>
          <w:rtl/>
          <w:lang w:bidi="he-IL"/>
        </w:rPr>
        <w:t xml:space="preserve"> </w:t>
      </w:r>
      <w:r w:rsidR="00275E79" w:rsidRPr="00882F11">
        <w:rPr>
          <w:rFonts w:cs="Guttman Drogolin" w:hint="cs"/>
          <w:rtl/>
          <w:lang w:bidi="he-IL"/>
        </w:rPr>
        <w:t xml:space="preserve">בצעא </w:t>
      </w:r>
      <w:r w:rsidR="00CB546D" w:rsidRPr="00882F11">
        <w:rPr>
          <w:rFonts w:cs="Guttman Drogolin" w:hint="cs"/>
          <w:rtl/>
          <w:lang w:bidi="he-IL"/>
        </w:rPr>
        <w:t xml:space="preserve">(תרופה בצלחת) </w:t>
      </w:r>
      <w:r w:rsidR="00275E79" w:rsidRPr="00882F11">
        <w:rPr>
          <w:rFonts w:cs="Guttman Drogolin" w:hint="cs"/>
          <w:rtl/>
          <w:lang w:bidi="he-IL"/>
        </w:rPr>
        <w:t>ו</w:t>
      </w:r>
      <w:r w:rsidR="00CB546D" w:rsidRPr="00882F11">
        <w:rPr>
          <w:rFonts w:cs="Guttman Drogolin" w:hint="cs"/>
          <w:rtl/>
          <w:lang w:bidi="he-IL"/>
        </w:rPr>
        <w:t>לאחר שבישלו באותה צלחת תבשיל אחר (שהוא דוגמת הדגים שעלו בקערה</w:t>
      </w:r>
      <w:r w:rsidR="00C22363" w:rsidRPr="00882F11">
        <w:rPr>
          <w:rFonts w:cs="Guttman Drogolin" w:hint="cs"/>
          <w:rtl/>
          <w:lang w:bidi="he-IL"/>
        </w:rPr>
        <w:t xml:space="preserve"> ביחס לתרופה</w:t>
      </w:r>
      <w:r w:rsidR="00CB546D" w:rsidRPr="00882F11">
        <w:rPr>
          <w:rFonts w:cs="Guttman Drogolin" w:hint="cs"/>
          <w:rtl/>
          <w:lang w:bidi="he-IL"/>
        </w:rPr>
        <w:t xml:space="preserve">) </w:t>
      </w:r>
      <w:r w:rsidR="00275E79" w:rsidRPr="00882F11">
        <w:rPr>
          <w:rFonts w:cs="Guttman Drogolin" w:hint="cs"/>
          <w:rtl/>
          <w:lang w:bidi="he-IL"/>
        </w:rPr>
        <w:t xml:space="preserve">טעם הדבר מר </w:t>
      </w:r>
      <w:r w:rsidR="00CB546D" w:rsidRPr="00882F11">
        <w:rPr>
          <w:rFonts w:cs="Guttman Drogolin" w:hint="cs"/>
          <w:rtl/>
          <w:lang w:bidi="he-IL"/>
        </w:rPr>
        <w:t xml:space="preserve">בתבשיל. </w:t>
      </w:r>
      <w:r w:rsidR="00275E79" w:rsidRPr="00882F11">
        <w:rPr>
          <w:rFonts w:cs="Guttman Drogolin" w:hint="cs"/>
          <w:rtl/>
          <w:lang w:bidi="he-IL"/>
        </w:rPr>
        <w:t>ו</w:t>
      </w:r>
      <w:r w:rsidR="00C22363" w:rsidRPr="00882F11">
        <w:rPr>
          <w:rFonts w:cs="Guttman Drogolin" w:hint="cs"/>
          <w:rtl/>
          <w:lang w:bidi="he-IL"/>
        </w:rPr>
        <w:t>מעיקרא רצו ל</w:t>
      </w:r>
      <w:r w:rsidR="00275E79" w:rsidRPr="00882F11">
        <w:rPr>
          <w:rFonts w:cs="Guttman Drogolin" w:hint="cs"/>
          <w:rtl/>
          <w:lang w:bidi="he-IL"/>
        </w:rPr>
        <w:t>הוכיח מזה ש</w:t>
      </w:r>
      <w:r w:rsidR="00C22363" w:rsidRPr="00882F11">
        <w:rPr>
          <w:rFonts w:cs="Guttman Drogolin" w:hint="cs"/>
          <w:rtl/>
          <w:lang w:bidi="he-IL"/>
        </w:rPr>
        <w:t>שיטת רב ש</w:t>
      </w:r>
      <w:r w:rsidR="00275E79" w:rsidRPr="00882F11">
        <w:rPr>
          <w:rFonts w:cs="Guttman Drogolin" w:hint="cs"/>
          <w:rtl/>
          <w:lang w:bidi="he-IL"/>
        </w:rPr>
        <w:t>יש איסור בנ"ט בר נ"ט (</w:t>
      </w:r>
      <w:r w:rsidR="00C22363" w:rsidRPr="00882F11">
        <w:rPr>
          <w:rFonts w:cs="Guttman Drogolin" w:hint="cs"/>
          <w:rtl/>
          <w:lang w:bidi="he-IL"/>
        </w:rPr>
        <w:t>ו</w:t>
      </w:r>
      <w:r w:rsidR="00275E79" w:rsidRPr="00882F11">
        <w:rPr>
          <w:rFonts w:cs="Guttman Drogolin" w:hint="cs"/>
          <w:rtl/>
          <w:lang w:bidi="he-IL"/>
        </w:rPr>
        <w:t>לא קיי"ל כוותי'</w:t>
      </w:r>
      <w:r w:rsidR="00C22363" w:rsidRPr="00882F11">
        <w:rPr>
          <w:rFonts w:cs="Guttman Drogolin" w:hint="cs"/>
          <w:rtl/>
          <w:lang w:bidi="he-IL"/>
        </w:rPr>
        <w:t>, וכן מ"מ הגמ' דוחה שאין מזה ראי' שזהו שיטת רב כיון שהתרופה נפיש מרירי'</w:t>
      </w:r>
      <w:r w:rsidR="00275E79" w:rsidRPr="00882F11">
        <w:rPr>
          <w:rFonts w:cs="Guttman Drogolin" w:hint="cs"/>
          <w:rtl/>
          <w:lang w:bidi="he-IL"/>
        </w:rPr>
        <w:t>), והקשה הרמב"ן דהא אינו אלא טעם שני (וכשיטתו דטעם ב' אינו מותר, רק שאינו אוסר). ופי'</w:t>
      </w:r>
      <w:r w:rsidR="00CB546D" w:rsidRPr="00882F11">
        <w:rPr>
          <w:rFonts w:cs="Guttman Drogolin" w:hint="cs"/>
          <w:rtl/>
          <w:lang w:bidi="he-IL"/>
        </w:rPr>
        <w:t xml:space="preserve"> שלא הי' מאכל שהי' בצלחת מר בעצמו, רק שבלע ממאכל מר. הרי לך טעם ראשון במאכל וטעם שני בכלי ומ"מ הי' בה משום נ"ט בר נ"ט. וראיתי במגי"ס בשם הג</w:t>
      </w:r>
      <w:r w:rsidR="00D17230" w:rsidRPr="00882F11">
        <w:rPr>
          <w:rFonts w:cs="Guttman Drogolin" w:hint="cs"/>
          <w:rtl/>
          <w:lang w:bidi="he-IL"/>
        </w:rPr>
        <w:t>ו</w:t>
      </w:r>
      <w:r w:rsidR="00CB546D" w:rsidRPr="00882F11">
        <w:rPr>
          <w:rFonts w:cs="Guttman Drogolin" w:hint="cs"/>
          <w:rtl/>
          <w:lang w:bidi="he-IL"/>
        </w:rPr>
        <w:t>"ר דכתב דאה"נ ולרמב"ן אין ה</w:t>
      </w:r>
      <w:r w:rsidR="00D61B62" w:rsidRPr="00882F11">
        <w:rPr>
          <w:rFonts w:cs="Guttman Drogolin" w:hint="cs"/>
          <w:rtl/>
          <w:lang w:bidi="he-IL"/>
        </w:rPr>
        <w:t>ד</w:t>
      </w:r>
      <w:r w:rsidR="00CB546D" w:rsidRPr="00882F11">
        <w:rPr>
          <w:rFonts w:cs="Guttman Drogolin" w:hint="cs"/>
          <w:rtl/>
          <w:lang w:bidi="he-IL"/>
        </w:rPr>
        <w:t xml:space="preserve">ין כן אבל הרבה חולקים על הרמב"ן וסוברים שטעם שני בהיתר ג"כ מותר וא"כ אין צריכים לאוקימתא של הרמב"ן. ומ"מ לכאורה ראי' טובה הי' זו, דנהי שאין צריכים לאוקימתא, אבל זה לבד שיש טעם ראשון באוכל לא נראה מן הרמב"ן שהי' חידוש, וגם לתוס' וסייעתו י"ל שהוא מותר. </w:t>
      </w:r>
      <w:r w:rsidR="003242C3" w:rsidRPr="00882F11">
        <w:rPr>
          <w:rFonts w:cs="Guttman Drogolin" w:hint="cs"/>
          <w:rtl/>
          <w:lang w:bidi="he-IL"/>
        </w:rPr>
        <w:t>ומ"מ הביאור לשיטת היד יהודה היא דאע"ג שע"י אוכל לבד לא אומרים ההיתר של נ"ט בר נ"ט, מ"מ אם יש עיקר ההחלשה, גם השאר מצטרפין אליו, לא שנא לפ</w:t>
      </w:r>
      <w:r w:rsidR="00D61B62" w:rsidRPr="00882F11">
        <w:rPr>
          <w:rFonts w:cs="Guttman Drogolin" w:hint="cs"/>
          <w:rtl/>
          <w:lang w:bidi="he-IL"/>
        </w:rPr>
        <w:t>נ</w:t>
      </w:r>
      <w:r w:rsidR="003242C3" w:rsidRPr="00882F11">
        <w:rPr>
          <w:rFonts w:cs="Guttman Drogolin" w:hint="cs"/>
          <w:rtl/>
          <w:lang w:bidi="he-IL"/>
        </w:rPr>
        <w:t>י ולא שנא אחרי. ולכאורה חזינן לדעתי' שיש כח גם לאוכלין להחליש, רק כחו פחות, ואיכא למימר לדידי' שאלפי נ"ט באוכלין הי' ג"כ מותר. ויל"ע בזה.</w:t>
      </w:r>
      <w:r w:rsidR="00275E79" w:rsidRPr="00882F11">
        <w:rPr>
          <w:rFonts w:cs="Guttman Drogolin" w:hint="cs"/>
          <w:rtl/>
          <w:lang w:bidi="he-IL"/>
        </w:rPr>
        <w:t xml:space="preserve"> </w:t>
      </w:r>
      <w:r w:rsidRPr="00882F11">
        <w:rPr>
          <w:rFonts w:cs="Guttman Drogolin" w:hint="cs"/>
          <w:rtl/>
          <w:lang w:bidi="he-IL"/>
        </w:rPr>
        <w:t xml:space="preserve"> </w:t>
      </w:r>
      <w:r w:rsidR="0097528A" w:rsidRPr="00882F11">
        <w:rPr>
          <w:rFonts w:cs="Guttman Drogolin" w:hint="cs"/>
          <w:rtl/>
          <w:lang w:bidi="he-IL"/>
        </w:rPr>
        <w:t xml:space="preserve"> </w:t>
      </w:r>
      <w:r w:rsidR="00B478AD" w:rsidRPr="00882F11">
        <w:rPr>
          <w:rFonts w:cs="Guttman Drogolin" w:hint="cs"/>
          <w:rtl/>
          <w:lang w:bidi="he-IL"/>
        </w:rPr>
        <w:t xml:space="preserve"> </w:t>
      </w:r>
      <w:r w:rsidR="00622F66" w:rsidRPr="00882F11">
        <w:rPr>
          <w:rFonts w:cs="Guttman Drogolin" w:hint="cs"/>
          <w:rtl/>
          <w:lang w:bidi="he-IL"/>
        </w:rPr>
        <w:t xml:space="preserve">  </w:t>
      </w:r>
    </w:p>
    <w:p w:rsidR="00CB546D" w:rsidRPr="0000469F" w:rsidRDefault="00CB546D" w:rsidP="0078079C">
      <w:pPr>
        <w:pStyle w:val="Heading1"/>
        <w:bidi/>
        <w:spacing w:before="0" w:line="360" w:lineRule="auto"/>
        <w:jc w:val="center"/>
        <w:rPr>
          <w:rFonts w:cs="Guttman Drogolin"/>
          <w:color w:val="auto"/>
          <w:sz w:val="22"/>
          <w:szCs w:val="22"/>
          <w:u w:val="single"/>
          <w:rtl/>
          <w:lang w:bidi="he-IL"/>
        </w:rPr>
      </w:pPr>
      <w:bookmarkStart w:id="260" w:name="_Toc496175513"/>
      <w:r w:rsidRPr="0000469F">
        <w:rPr>
          <w:rFonts w:cs="Guttman Drogolin" w:hint="cs"/>
          <w:color w:val="auto"/>
          <w:sz w:val="22"/>
          <w:szCs w:val="22"/>
          <w:u w:val="single"/>
          <w:rtl/>
          <w:lang w:bidi="he-IL"/>
        </w:rPr>
        <w:t xml:space="preserve">אי אמרינן </w:t>
      </w:r>
      <w:r w:rsidR="00447903" w:rsidRPr="0000469F">
        <w:rPr>
          <w:rFonts w:cs="Guttman Drogolin" w:hint="cs"/>
          <w:color w:val="auto"/>
          <w:sz w:val="22"/>
          <w:szCs w:val="22"/>
          <w:u w:val="single"/>
          <w:rtl/>
          <w:lang w:bidi="he-IL"/>
        </w:rPr>
        <w:t xml:space="preserve">לי' </w:t>
      </w:r>
      <w:r w:rsidRPr="0000469F">
        <w:rPr>
          <w:rFonts w:cs="Guttman Drogolin" w:hint="cs"/>
          <w:color w:val="auto"/>
          <w:sz w:val="22"/>
          <w:szCs w:val="22"/>
          <w:u w:val="single"/>
          <w:rtl/>
          <w:lang w:bidi="he-IL"/>
        </w:rPr>
        <w:t>להיתירא דנ"ט בר נ"ט בכח א'</w:t>
      </w:r>
      <w:bookmarkEnd w:id="260"/>
    </w:p>
    <w:p w:rsidR="00C22363" w:rsidRPr="00882F11" w:rsidRDefault="000F139F" w:rsidP="00C22363">
      <w:pPr>
        <w:tabs>
          <w:tab w:val="right" w:pos="7497"/>
        </w:tabs>
        <w:bidi/>
        <w:jc w:val="both"/>
        <w:rPr>
          <w:rFonts w:cs="Guttman Drogolin"/>
          <w:rtl/>
          <w:lang w:bidi="he-IL"/>
        </w:rPr>
      </w:pPr>
      <w:r>
        <w:rPr>
          <w:rFonts w:cs="Guttman Drogolin"/>
          <w:rtl/>
          <w:lang w:bidi="he-IL"/>
        </w:rPr>
        <w:fldChar w:fldCharType="begin"/>
      </w:r>
      <w:r>
        <w:instrText xml:space="preserve"> XE "</w:instrText>
      </w:r>
      <w:r w:rsidRPr="003D0975">
        <w:rPr>
          <w:rFonts w:hint="cs"/>
          <w:rtl/>
          <w:lang w:bidi="he-IL"/>
        </w:rPr>
        <w:instrText>נ</w:instrText>
      </w:r>
      <w:r>
        <w:rPr>
          <w:rFonts w:eastAsiaTheme="minorEastAsia"/>
          <w:lang w:bidi="he-IL"/>
        </w:rPr>
        <w:instrText>\</w:instrText>
      </w:r>
      <w:r w:rsidRPr="003D0975">
        <w:rPr>
          <w:rFonts w:hint="cs"/>
          <w:rtl/>
          <w:lang w:bidi="he-IL"/>
        </w:rPr>
        <w:instrText>"ט בר נ</w:instrText>
      </w:r>
      <w:r>
        <w:rPr>
          <w:rFonts w:eastAsiaTheme="minorEastAsia"/>
          <w:lang w:bidi="he-IL"/>
        </w:rPr>
        <w:instrText>\</w:instrText>
      </w:r>
      <w:r w:rsidRPr="003D0975">
        <w:rPr>
          <w:rFonts w:hint="cs"/>
          <w:rtl/>
          <w:lang w:bidi="he-IL"/>
        </w:rPr>
        <w:instrText>"ט</w:instrText>
      </w:r>
      <w:r w:rsidRPr="003D0975">
        <w:rPr>
          <w:rtl/>
        </w:rPr>
        <w:instrText>:</w:instrText>
      </w:r>
      <w:r w:rsidRPr="003D0975">
        <w:rPr>
          <w:rFonts w:hint="cs"/>
          <w:rtl/>
          <w:lang w:bidi="he-IL"/>
        </w:rPr>
        <w:instrText>בכח אחד</w:instrText>
      </w:r>
      <w:r>
        <w:instrText xml:space="preserve">" </w:instrText>
      </w:r>
      <w:r>
        <w:rPr>
          <w:rFonts w:cs="Guttman Drogolin"/>
          <w:rtl/>
          <w:lang w:bidi="he-IL"/>
        </w:rPr>
        <w:fldChar w:fldCharType="end"/>
      </w:r>
      <w:r w:rsidR="00CB546D" w:rsidRPr="00882F11">
        <w:rPr>
          <w:rFonts w:cs="Guttman Drogolin" w:hint="cs"/>
          <w:rtl/>
          <w:lang w:bidi="he-IL"/>
        </w:rPr>
        <w:t xml:space="preserve">שם בפת"ש הביא מחלוקת החוו"ד </w:t>
      </w:r>
      <w:r w:rsidR="00C22363" w:rsidRPr="00882F11">
        <w:rPr>
          <w:rFonts w:cs="Guttman Drogolin" w:hint="cs"/>
          <w:rtl/>
          <w:lang w:bidi="he-IL"/>
        </w:rPr>
        <w:t xml:space="preserve">(ס"ק א') </w:t>
      </w:r>
      <w:r w:rsidR="00CB546D" w:rsidRPr="00882F11">
        <w:rPr>
          <w:rFonts w:cs="Guttman Drogolin" w:hint="cs"/>
          <w:rtl/>
          <w:lang w:bidi="he-IL"/>
        </w:rPr>
        <w:t xml:space="preserve">והבית אפרים </w:t>
      </w:r>
      <w:r w:rsidR="00C22363" w:rsidRPr="00882F11">
        <w:rPr>
          <w:rFonts w:cs="Guttman Drogolin" w:hint="cs"/>
          <w:rtl/>
          <w:lang w:bidi="he-IL"/>
        </w:rPr>
        <w:t xml:space="preserve">(סי' ל"ז) </w:t>
      </w:r>
      <w:r w:rsidR="00CB546D" w:rsidRPr="00882F11">
        <w:rPr>
          <w:rFonts w:cs="Guttman Drogolin" w:hint="cs"/>
          <w:rtl/>
          <w:lang w:bidi="he-IL"/>
        </w:rPr>
        <w:t>אי אמרינן לי' להיתירא דנ"ט בר נ"ט אפילו כשכל ההעברות של טעם הי</w:t>
      </w:r>
      <w:r w:rsidR="00BB0DC5" w:rsidRPr="00882F11">
        <w:rPr>
          <w:rFonts w:cs="Guttman Drogolin" w:hint="cs"/>
          <w:rtl/>
          <w:lang w:bidi="he-IL"/>
        </w:rPr>
        <w:t>ו</w:t>
      </w:r>
      <w:r w:rsidR="00CB546D" w:rsidRPr="00882F11">
        <w:rPr>
          <w:rFonts w:cs="Guttman Drogolin" w:hint="cs"/>
          <w:rtl/>
          <w:lang w:bidi="he-IL"/>
        </w:rPr>
        <w:t xml:space="preserve"> בבת א', </w:t>
      </w:r>
      <w:r w:rsidR="00CB546D" w:rsidRPr="00882F11">
        <w:rPr>
          <w:rFonts w:cs="Guttman Drogolin" w:hint="cs"/>
          <w:rtl/>
          <w:lang w:bidi="he-IL"/>
        </w:rPr>
        <w:lastRenderedPageBreak/>
        <w:t>שהחוו"ד החמיר והבית אפרים הקיל</w:t>
      </w:r>
      <w:r w:rsidR="00DE235C" w:rsidRPr="00882F11">
        <w:rPr>
          <w:rStyle w:val="FootnoteReference"/>
          <w:rFonts w:cs="Guttman Drogolin"/>
          <w:rtl/>
          <w:lang w:bidi="he-IL"/>
        </w:rPr>
        <w:footnoteReference w:id="290"/>
      </w:r>
      <w:r w:rsidR="00CB546D" w:rsidRPr="00882F11">
        <w:rPr>
          <w:rFonts w:cs="Guttman Drogolin" w:hint="cs"/>
          <w:rtl/>
          <w:lang w:bidi="he-IL"/>
        </w:rPr>
        <w:t>.</w:t>
      </w:r>
      <w:r w:rsidR="00C22363" w:rsidRPr="00882F11">
        <w:rPr>
          <w:rFonts w:cs="Guttman Drogolin" w:hint="cs"/>
          <w:rtl/>
          <w:lang w:bidi="he-IL"/>
        </w:rPr>
        <w:t xml:space="preserve"> החוו"ד הוכיח דע"כ בבת א' שאני מדברי הט"ז סי' צ"ב ס"ק כ"ד. שם כתב הט"ז בשם או"ה</w:t>
      </w:r>
      <w:r w:rsidR="00C22363" w:rsidRPr="00882F11">
        <w:rPr>
          <w:rFonts w:cs="Guttman Drogolin"/>
          <w:rtl/>
          <w:lang w:bidi="he-IL"/>
        </w:rPr>
        <w:t xml:space="preserve"> </w:t>
      </w:r>
      <w:r w:rsidR="00C22363" w:rsidRPr="00882F11">
        <w:rPr>
          <w:rFonts w:cs="Guttman Drogolin" w:hint="cs"/>
          <w:rtl/>
          <w:lang w:bidi="he-IL"/>
        </w:rPr>
        <w:t>שאם</w:t>
      </w:r>
      <w:r w:rsidR="00C22363" w:rsidRPr="00882F11">
        <w:rPr>
          <w:rFonts w:cs="Guttman Drogolin"/>
          <w:rtl/>
          <w:lang w:bidi="he-IL"/>
        </w:rPr>
        <w:t xml:space="preserve"> </w:t>
      </w:r>
      <w:r w:rsidR="00C22363" w:rsidRPr="00882F11">
        <w:rPr>
          <w:rFonts w:cs="Guttman Drogolin" w:hint="cs"/>
          <w:rtl/>
          <w:lang w:bidi="he-IL"/>
        </w:rPr>
        <w:t>נפל</w:t>
      </w:r>
      <w:r w:rsidR="00C22363" w:rsidRPr="00882F11">
        <w:rPr>
          <w:rFonts w:cs="Guttman Drogolin"/>
          <w:rtl/>
          <w:lang w:bidi="he-IL"/>
        </w:rPr>
        <w:t xml:space="preserve"> </w:t>
      </w:r>
      <w:r w:rsidR="00C22363" w:rsidRPr="00882F11">
        <w:rPr>
          <w:rFonts w:cs="Guttman Drogolin" w:hint="cs"/>
          <w:rtl/>
          <w:lang w:bidi="he-IL"/>
        </w:rPr>
        <w:t>טיפת</w:t>
      </w:r>
      <w:r w:rsidR="00C22363" w:rsidRPr="00882F11">
        <w:rPr>
          <w:rFonts w:cs="Guttman Drogolin"/>
          <w:rtl/>
          <w:lang w:bidi="he-IL"/>
        </w:rPr>
        <w:t xml:space="preserve"> </w:t>
      </w:r>
      <w:r w:rsidR="00C22363" w:rsidRPr="00882F11">
        <w:rPr>
          <w:rFonts w:cs="Guttman Drogolin" w:hint="cs"/>
          <w:rtl/>
          <w:lang w:bidi="he-IL"/>
        </w:rPr>
        <w:t>חלב</w:t>
      </w:r>
      <w:r w:rsidR="00C22363" w:rsidRPr="00882F11">
        <w:rPr>
          <w:rFonts w:cs="Guttman Drogolin"/>
          <w:rtl/>
          <w:lang w:bidi="he-IL"/>
        </w:rPr>
        <w:t xml:space="preserve"> </w:t>
      </w:r>
      <w:r w:rsidR="00C22363" w:rsidRPr="00882F11">
        <w:rPr>
          <w:rFonts w:cs="Guttman Drogolin" w:hint="cs"/>
          <w:rtl/>
          <w:lang w:bidi="he-IL"/>
        </w:rPr>
        <w:t>על</w:t>
      </w:r>
      <w:r w:rsidR="00C22363" w:rsidRPr="00882F11">
        <w:rPr>
          <w:rFonts w:cs="Guttman Drogolin"/>
          <w:rtl/>
          <w:lang w:bidi="he-IL"/>
        </w:rPr>
        <w:t xml:space="preserve"> </w:t>
      </w:r>
      <w:r w:rsidR="00C22363" w:rsidRPr="00882F11">
        <w:rPr>
          <w:rFonts w:cs="Guttman Drogolin" w:hint="cs"/>
          <w:rtl/>
          <w:lang w:bidi="he-IL"/>
        </w:rPr>
        <w:t>הקדירה</w:t>
      </w:r>
      <w:r w:rsidR="00C22363" w:rsidRPr="00882F11">
        <w:rPr>
          <w:rFonts w:cs="Guttman Drogolin"/>
          <w:rtl/>
          <w:lang w:bidi="he-IL"/>
        </w:rPr>
        <w:t xml:space="preserve"> </w:t>
      </w:r>
      <w:r w:rsidR="00C22363" w:rsidRPr="00882F11">
        <w:rPr>
          <w:rFonts w:cs="Guttman Drogolin" w:hint="cs"/>
          <w:rtl/>
          <w:lang w:bidi="he-IL"/>
        </w:rPr>
        <w:t>עם</w:t>
      </w:r>
      <w:r w:rsidR="00C22363" w:rsidRPr="00882F11">
        <w:rPr>
          <w:rFonts w:cs="Guttman Drogolin"/>
          <w:rtl/>
          <w:lang w:bidi="he-IL"/>
        </w:rPr>
        <w:t xml:space="preserve"> </w:t>
      </w:r>
      <w:r w:rsidR="00C22363" w:rsidRPr="00882F11">
        <w:rPr>
          <w:rFonts w:cs="Guttman Drogolin" w:hint="cs"/>
          <w:rtl/>
          <w:lang w:bidi="he-IL"/>
        </w:rPr>
        <w:t>מים</w:t>
      </w:r>
      <w:r w:rsidR="00C22363" w:rsidRPr="00882F11">
        <w:rPr>
          <w:rFonts w:cs="Guttman Drogolin"/>
          <w:rtl/>
          <w:lang w:bidi="he-IL"/>
        </w:rPr>
        <w:t xml:space="preserve"> </w:t>
      </w:r>
      <w:r w:rsidR="00C22363" w:rsidRPr="00882F11">
        <w:rPr>
          <w:rFonts w:cs="Guttman Drogolin" w:hint="cs"/>
          <w:rtl/>
          <w:lang w:bidi="he-IL"/>
        </w:rPr>
        <w:t>אצל</w:t>
      </w:r>
      <w:r w:rsidR="00C22363" w:rsidRPr="00882F11">
        <w:rPr>
          <w:rFonts w:cs="Guttman Drogolin"/>
          <w:rtl/>
          <w:lang w:bidi="he-IL"/>
        </w:rPr>
        <w:t xml:space="preserve"> </w:t>
      </w:r>
      <w:r w:rsidR="00C22363" w:rsidRPr="00882F11">
        <w:rPr>
          <w:rFonts w:cs="Guttman Drogolin" w:hint="cs"/>
          <w:rtl/>
          <w:lang w:bidi="he-IL"/>
        </w:rPr>
        <w:t>האש</w:t>
      </w:r>
      <w:r w:rsidR="00C22363" w:rsidRPr="00882F11">
        <w:rPr>
          <w:rFonts w:cs="Guttman Drogolin"/>
          <w:rtl/>
          <w:lang w:bidi="he-IL"/>
        </w:rPr>
        <w:t xml:space="preserve"> </w:t>
      </w:r>
      <w:r w:rsidR="00C22363" w:rsidRPr="00882F11">
        <w:rPr>
          <w:rFonts w:cs="Guttman Drogolin" w:hint="cs"/>
          <w:rtl/>
          <w:lang w:bidi="he-IL"/>
        </w:rPr>
        <w:t>ובתוך</w:t>
      </w:r>
      <w:r w:rsidR="00C22363" w:rsidRPr="00882F11">
        <w:rPr>
          <w:rFonts w:cs="Guttman Drogolin"/>
          <w:rtl/>
          <w:lang w:bidi="he-IL"/>
        </w:rPr>
        <w:t xml:space="preserve"> </w:t>
      </w:r>
      <w:r w:rsidR="00C22363" w:rsidRPr="00882F11">
        <w:rPr>
          <w:rFonts w:cs="Guttman Drogolin" w:hint="cs"/>
          <w:rtl/>
          <w:lang w:bidi="he-IL"/>
        </w:rPr>
        <w:t>מעת</w:t>
      </w:r>
      <w:r w:rsidR="00C22363" w:rsidRPr="00882F11">
        <w:rPr>
          <w:rFonts w:cs="Guttman Drogolin"/>
          <w:rtl/>
          <w:lang w:bidi="he-IL"/>
        </w:rPr>
        <w:t xml:space="preserve"> </w:t>
      </w:r>
      <w:r w:rsidR="00C22363" w:rsidRPr="00882F11">
        <w:rPr>
          <w:rFonts w:cs="Guttman Drogolin" w:hint="cs"/>
          <w:rtl/>
          <w:lang w:bidi="he-IL"/>
        </w:rPr>
        <w:t>לעת</w:t>
      </w:r>
      <w:r w:rsidR="00C22363" w:rsidRPr="00882F11">
        <w:rPr>
          <w:rFonts w:cs="Guttman Drogolin"/>
          <w:rtl/>
          <w:lang w:bidi="he-IL"/>
        </w:rPr>
        <w:t xml:space="preserve"> </w:t>
      </w:r>
      <w:r w:rsidR="00C22363" w:rsidRPr="00882F11">
        <w:rPr>
          <w:rFonts w:cs="Guttman Drogolin" w:hint="cs"/>
          <w:rtl/>
          <w:lang w:bidi="he-IL"/>
        </w:rPr>
        <w:t>בשלו</w:t>
      </w:r>
      <w:r w:rsidR="00C22363" w:rsidRPr="00882F11">
        <w:rPr>
          <w:rFonts w:cs="Guttman Drogolin"/>
          <w:rtl/>
          <w:lang w:bidi="he-IL"/>
        </w:rPr>
        <w:t xml:space="preserve"> </w:t>
      </w:r>
      <w:r w:rsidR="00C22363" w:rsidRPr="00882F11">
        <w:rPr>
          <w:rFonts w:cs="Guttman Drogolin" w:hint="cs"/>
          <w:rtl/>
          <w:lang w:bidi="he-IL"/>
        </w:rPr>
        <w:t>בה</w:t>
      </w:r>
      <w:r w:rsidR="00C22363" w:rsidRPr="00882F11">
        <w:rPr>
          <w:rFonts w:cs="Guttman Drogolin"/>
          <w:rtl/>
          <w:lang w:bidi="he-IL"/>
        </w:rPr>
        <w:t xml:space="preserve"> </w:t>
      </w:r>
      <w:r w:rsidR="00C22363" w:rsidRPr="00882F11">
        <w:rPr>
          <w:rFonts w:cs="Guttman Drogolin" w:hint="cs"/>
          <w:rtl/>
          <w:lang w:bidi="he-IL"/>
        </w:rPr>
        <w:t>בשר</w:t>
      </w:r>
      <w:r w:rsidR="00C22363" w:rsidRPr="00882F11">
        <w:rPr>
          <w:rFonts w:cs="Guttman Drogolin"/>
          <w:rtl/>
          <w:lang w:bidi="he-IL"/>
        </w:rPr>
        <w:t xml:space="preserve"> </w:t>
      </w:r>
      <w:r w:rsidR="00C22363" w:rsidRPr="00882F11">
        <w:rPr>
          <w:rFonts w:cs="Guttman Drogolin" w:hint="cs"/>
          <w:rtl/>
          <w:lang w:bidi="he-IL"/>
        </w:rPr>
        <w:t>אפילו</w:t>
      </w:r>
      <w:r w:rsidR="00C22363" w:rsidRPr="00882F11">
        <w:rPr>
          <w:rFonts w:cs="Guttman Drogolin"/>
          <w:rtl/>
          <w:lang w:bidi="he-IL"/>
        </w:rPr>
        <w:t xml:space="preserve"> </w:t>
      </w:r>
      <w:r w:rsidR="00C22363" w:rsidRPr="00882F11">
        <w:rPr>
          <w:rFonts w:cs="Guttman Drogolin" w:hint="cs"/>
          <w:rtl/>
          <w:lang w:bidi="he-IL"/>
        </w:rPr>
        <w:t>לא</w:t>
      </w:r>
      <w:r w:rsidR="00C22363" w:rsidRPr="00882F11">
        <w:rPr>
          <w:rFonts w:cs="Guttman Drogolin"/>
          <w:rtl/>
          <w:lang w:bidi="he-IL"/>
        </w:rPr>
        <w:t xml:space="preserve"> </w:t>
      </w:r>
      <w:r w:rsidR="00C22363" w:rsidRPr="00882F11">
        <w:rPr>
          <w:rFonts w:cs="Guttman Drogolin" w:hint="cs"/>
          <w:rtl/>
          <w:lang w:bidi="he-IL"/>
        </w:rPr>
        <w:t>היה</w:t>
      </w:r>
      <w:r w:rsidR="00C22363" w:rsidRPr="00882F11">
        <w:rPr>
          <w:rFonts w:cs="Guttman Drogolin"/>
          <w:rtl/>
          <w:lang w:bidi="he-IL"/>
        </w:rPr>
        <w:t xml:space="preserve"> </w:t>
      </w:r>
      <w:r w:rsidR="00C22363" w:rsidRPr="00882F11">
        <w:rPr>
          <w:rFonts w:cs="Guttman Drogolin" w:hint="cs"/>
          <w:rtl/>
          <w:lang w:bidi="he-IL"/>
        </w:rPr>
        <w:t>ס</w:t>
      </w:r>
      <w:r w:rsidR="00C22363" w:rsidRPr="00882F11">
        <w:rPr>
          <w:rFonts w:cs="Guttman Drogolin"/>
          <w:rtl/>
          <w:lang w:bidi="he-IL"/>
        </w:rPr>
        <w:t xml:space="preserve">' </w:t>
      </w:r>
      <w:r w:rsidR="00C22363" w:rsidRPr="00882F11">
        <w:rPr>
          <w:rFonts w:cs="Guttman Drogolin" w:hint="cs"/>
          <w:rtl/>
          <w:lang w:bidi="he-IL"/>
        </w:rPr>
        <w:t>במים</w:t>
      </w:r>
      <w:r w:rsidR="00C22363" w:rsidRPr="00882F11">
        <w:rPr>
          <w:rFonts w:cs="Guttman Drogolin"/>
          <w:rtl/>
          <w:lang w:bidi="he-IL"/>
        </w:rPr>
        <w:t xml:space="preserve"> </w:t>
      </w:r>
      <w:r w:rsidR="00C22363" w:rsidRPr="00882F11">
        <w:rPr>
          <w:rFonts w:cs="Guttman Drogolin" w:hint="cs"/>
          <w:rtl/>
          <w:lang w:bidi="he-IL"/>
        </w:rPr>
        <w:t>נגד</w:t>
      </w:r>
      <w:r w:rsidR="00C22363" w:rsidRPr="00882F11">
        <w:rPr>
          <w:rFonts w:cs="Guttman Drogolin"/>
          <w:rtl/>
          <w:lang w:bidi="he-IL"/>
        </w:rPr>
        <w:t xml:space="preserve"> </w:t>
      </w:r>
      <w:r w:rsidR="00C22363" w:rsidRPr="00882F11">
        <w:rPr>
          <w:rFonts w:cs="Guttman Drogolin" w:hint="cs"/>
          <w:rtl/>
          <w:lang w:bidi="he-IL"/>
        </w:rPr>
        <w:t>הטיפה</w:t>
      </w:r>
      <w:r w:rsidR="00C22363" w:rsidRPr="00882F11">
        <w:rPr>
          <w:rFonts w:cs="Guttman Drogolin"/>
          <w:rtl/>
          <w:lang w:bidi="he-IL"/>
        </w:rPr>
        <w:t xml:space="preserve"> </w:t>
      </w:r>
      <w:r w:rsidR="00C22363" w:rsidRPr="00882F11">
        <w:rPr>
          <w:rFonts w:cs="Guttman Drogolin" w:hint="cs"/>
          <w:rtl/>
          <w:lang w:bidi="he-IL"/>
        </w:rPr>
        <w:t>מותר</w:t>
      </w:r>
      <w:r w:rsidR="00C22363" w:rsidRPr="00882F11">
        <w:rPr>
          <w:rFonts w:cs="Guttman Drogolin"/>
          <w:rtl/>
          <w:lang w:bidi="he-IL"/>
        </w:rPr>
        <w:t xml:space="preserve"> </w:t>
      </w:r>
      <w:r w:rsidR="00C22363" w:rsidRPr="00882F11">
        <w:rPr>
          <w:rFonts w:cs="Guttman Drogolin" w:hint="cs"/>
          <w:rtl/>
          <w:lang w:bidi="he-IL"/>
        </w:rPr>
        <w:t>הבשר. והטעם משום שאפילו אם</w:t>
      </w:r>
      <w:r w:rsidR="00C22363" w:rsidRPr="00882F11">
        <w:rPr>
          <w:rFonts w:cs="Guttman Drogolin"/>
          <w:rtl/>
          <w:lang w:bidi="he-IL"/>
        </w:rPr>
        <w:t xml:space="preserve"> </w:t>
      </w:r>
      <w:r w:rsidR="00C22363" w:rsidRPr="00882F11">
        <w:rPr>
          <w:rFonts w:cs="Guttman Drogolin" w:hint="cs"/>
          <w:rtl/>
          <w:lang w:bidi="he-IL"/>
        </w:rPr>
        <w:t>עוברת</w:t>
      </w:r>
      <w:r w:rsidR="00C22363" w:rsidRPr="00882F11">
        <w:rPr>
          <w:rFonts w:cs="Guttman Drogolin"/>
          <w:rtl/>
          <w:lang w:bidi="he-IL"/>
        </w:rPr>
        <w:t xml:space="preserve"> </w:t>
      </w:r>
      <w:r w:rsidR="00C22363" w:rsidRPr="00882F11">
        <w:rPr>
          <w:rFonts w:cs="Guttman Drogolin" w:hint="cs"/>
          <w:rtl/>
          <w:lang w:bidi="he-IL"/>
        </w:rPr>
        <w:t>לפנים</w:t>
      </w:r>
      <w:r w:rsidR="00C22363" w:rsidRPr="00882F11">
        <w:rPr>
          <w:rFonts w:cs="Guttman Drogolin"/>
          <w:rtl/>
          <w:lang w:bidi="he-IL"/>
        </w:rPr>
        <w:t xml:space="preserve"> </w:t>
      </w:r>
      <w:r w:rsidR="00C22363" w:rsidRPr="00882F11">
        <w:rPr>
          <w:rFonts w:cs="Guttman Drogolin" w:hint="cs"/>
          <w:rtl/>
          <w:lang w:bidi="he-IL"/>
        </w:rPr>
        <w:t>תחלה</w:t>
      </w:r>
      <w:r w:rsidR="00C22363" w:rsidRPr="00882F11">
        <w:rPr>
          <w:rFonts w:cs="Guttman Drogolin"/>
          <w:rtl/>
          <w:lang w:bidi="he-IL"/>
        </w:rPr>
        <w:t xml:space="preserve"> </w:t>
      </w:r>
      <w:r w:rsidR="00C22363" w:rsidRPr="00882F11">
        <w:rPr>
          <w:rFonts w:cs="Guttman Drogolin" w:hint="cs"/>
          <w:rtl/>
          <w:lang w:bidi="he-IL"/>
        </w:rPr>
        <w:t>מ</w:t>
      </w:r>
      <w:r w:rsidR="00C22363" w:rsidRPr="00882F11">
        <w:rPr>
          <w:rFonts w:cs="Guttman Drogolin"/>
          <w:rtl/>
          <w:lang w:bidi="he-IL"/>
        </w:rPr>
        <w:t>"</w:t>
      </w:r>
      <w:r w:rsidR="00C22363" w:rsidRPr="00882F11">
        <w:rPr>
          <w:rFonts w:cs="Guttman Drogolin" w:hint="cs"/>
          <w:rtl/>
          <w:lang w:bidi="he-IL"/>
        </w:rPr>
        <w:t>מ</w:t>
      </w:r>
      <w:r w:rsidR="00C22363" w:rsidRPr="00882F11">
        <w:rPr>
          <w:rFonts w:cs="Guttman Drogolin"/>
          <w:rtl/>
          <w:lang w:bidi="he-IL"/>
        </w:rPr>
        <w:t xml:space="preserve"> </w:t>
      </w:r>
      <w:r w:rsidR="00C22363" w:rsidRPr="00882F11">
        <w:rPr>
          <w:rFonts w:cs="Guttman Drogolin" w:hint="cs"/>
          <w:rtl/>
          <w:lang w:bidi="he-IL"/>
        </w:rPr>
        <w:t>אין</w:t>
      </w:r>
      <w:r w:rsidR="00C22363" w:rsidRPr="00882F11">
        <w:rPr>
          <w:rFonts w:cs="Guttman Drogolin"/>
          <w:rtl/>
          <w:lang w:bidi="he-IL"/>
        </w:rPr>
        <w:t xml:space="preserve"> </w:t>
      </w:r>
      <w:r w:rsidR="00C22363" w:rsidRPr="00882F11">
        <w:rPr>
          <w:rFonts w:cs="Guttman Drogolin" w:hint="cs"/>
          <w:rtl/>
          <w:lang w:bidi="he-IL"/>
        </w:rPr>
        <w:t>בקדרה</w:t>
      </w:r>
      <w:r w:rsidR="00C22363" w:rsidRPr="00882F11">
        <w:rPr>
          <w:rFonts w:cs="Guttman Drogolin"/>
          <w:rtl/>
          <w:lang w:bidi="he-IL"/>
        </w:rPr>
        <w:t xml:space="preserve"> </w:t>
      </w:r>
      <w:r w:rsidR="00C22363" w:rsidRPr="00882F11">
        <w:rPr>
          <w:rFonts w:cs="Guttman Drogolin" w:hint="cs"/>
          <w:rtl/>
          <w:lang w:bidi="he-IL"/>
        </w:rPr>
        <w:t>מן</w:t>
      </w:r>
      <w:r w:rsidR="00C22363" w:rsidRPr="00882F11">
        <w:rPr>
          <w:rFonts w:cs="Guttman Drogolin"/>
          <w:rtl/>
          <w:lang w:bidi="he-IL"/>
        </w:rPr>
        <w:t xml:space="preserve"> </w:t>
      </w:r>
      <w:r w:rsidR="00C22363" w:rsidRPr="00882F11">
        <w:rPr>
          <w:rFonts w:cs="Guttman Drogolin" w:hint="cs"/>
          <w:rtl/>
          <w:lang w:bidi="he-IL"/>
        </w:rPr>
        <w:t>החלב</w:t>
      </w:r>
      <w:r w:rsidR="00C22363" w:rsidRPr="00882F11">
        <w:rPr>
          <w:rFonts w:cs="Guttman Drogolin"/>
          <w:rtl/>
          <w:lang w:bidi="he-IL"/>
        </w:rPr>
        <w:t xml:space="preserve"> </w:t>
      </w:r>
      <w:r w:rsidR="00C22363" w:rsidRPr="00882F11">
        <w:rPr>
          <w:rFonts w:cs="Guttman Drogolin" w:hint="cs"/>
          <w:rtl/>
          <w:lang w:bidi="he-IL"/>
        </w:rPr>
        <w:t>אלא</w:t>
      </w:r>
      <w:r w:rsidR="00C22363" w:rsidRPr="00882F11">
        <w:rPr>
          <w:rFonts w:cs="Guttman Drogolin"/>
          <w:rtl/>
          <w:lang w:bidi="he-IL"/>
        </w:rPr>
        <w:t xml:space="preserve"> </w:t>
      </w:r>
      <w:r w:rsidR="00C22363" w:rsidRPr="00882F11">
        <w:rPr>
          <w:rFonts w:cs="Guttman Drogolin" w:hint="cs"/>
          <w:rtl/>
          <w:lang w:bidi="he-IL"/>
        </w:rPr>
        <w:t>לפי</w:t>
      </w:r>
      <w:r w:rsidR="00C22363" w:rsidRPr="00882F11">
        <w:rPr>
          <w:rFonts w:cs="Guttman Drogolin"/>
          <w:rtl/>
          <w:lang w:bidi="he-IL"/>
        </w:rPr>
        <w:t xml:space="preserve"> </w:t>
      </w:r>
      <w:r w:rsidR="00C22363" w:rsidRPr="00882F11">
        <w:rPr>
          <w:rFonts w:cs="Guttman Drogolin" w:hint="cs"/>
          <w:rtl/>
          <w:lang w:bidi="he-IL"/>
        </w:rPr>
        <w:t>שיעור</w:t>
      </w:r>
      <w:r w:rsidR="00C22363" w:rsidRPr="00882F11">
        <w:rPr>
          <w:rFonts w:cs="Guttman Drogolin"/>
          <w:rtl/>
          <w:lang w:bidi="he-IL"/>
        </w:rPr>
        <w:t xml:space="preserve"> </w:t>
      </w:r>
      <w:r w:rsidR="00C22363" w:rsidRPr="00882F11">
        <w:rPr>
          <w:rFonts w:cs="Guttman Drogolin" w:hint="cs"/>
          <w:rtl/>
          <w:lang w:bidi="he-IL"/>
        </w:rPr>
        <w:t>המדומע</w:t>
      </w:r>
      <w:r w:rsidR="00C22363" w:rsidRPr="00882F11">
        <w:rPr>
          <w:rFonts w:cs="Guttman Drogolin"/>
          <w:rtl/>
          <w:lang w:bidi="he-IL"/>
        </w:rPr>
        <w:t xml:space="preserve"> </w:t>
      </w:r>
      <w:r w:rsidR="00C22363" w:rsidRPr="00882F11">
        <w:rPr>
          <w:rFonts w:cs="Guttman Drogolin" w:hint="cs"/>
          <w:rtl/>
          <w:lang w:bidi="he-IL"/>
        </w:rPr>
        <w:t>במים</w:t>
      </w:r>
      <w:r w:rsidR="00C22363" w:rsidRPr="00882F11">
        <w:rPr>
          <w:rFonts w:cs="Guttman Drogolin"/>
          <w:rtl/>
          <w:lang w:bidi="he-IL"/>
        </w:rPr>
        <w:t xml:space="preserve"> </w:t>
      </w:r>
      <w:r w:rsidR="00C22363" w:rsidRPr="00882F11">
        <w:rPr>
          <w:rFonts w:cs="Guttman Drogolin" w:hint="cs"/>
          <w:rtl/>
          <w:lang w:bidi="he-IL"/>
        </w:rPr>
        <w:t>ונגד</w:t>
      </w:r>
      <w:r w:rsidR="00C22363" w:rsidRPr="00882F11">
        <w:rPr>
          <w:rFonts w:cs="Guttman Drogolin"/>
          <w:rtl/>
          <w:lang w:bidi="he-IL"/>
        </w:rPr>
        <w:t xml:space="preserve"> </w:t>
      </w:r>
      <w:r w:rsidR="00C22363" w:rsidRPr="00882F11">
        <w:rPr>
          <w:rFonts w:cs="Guttman Drogolin" w:hint="cs"/>
          <w:rtl/>
          <w:lang w:bidi="he-IL"/>
        </w:rPr>
        <w:t>הדבר</w:t>
      </w:r>
      <w:r w:rsidR="00C22363" w:rsidRPr="00882F11">
        <w:rPr>
          <w:rFonts w:cs="Guttman Drogolin"/>
          <w:rtl/>
          <w:lang w:bidi="he-IL"/>
        </w:rPr>
        <w:t xml:space="preserve"> </w:t>
      </w:r>
      <w:r w:rsidR="00C22363" w:rsidRPr="00882F11">
        <w:rPr>
          <w:rFonts w:cs="Guttman Drogolin" w:hint="cs"/>
          <w:rtl/>
          <w:lang w:bidi="he-IL"/>
        </w:rPr>
        <w:t>המועט</w:t>
      </w:r>
      <w:r w:rsidR="00C22363" w:rsidRPr="00882F11">
        <w:rPr>
          <w:rFonts w:cs="Guttman Drogolin"/>
          <w:rtl/>
          <w:lang w:bidi="he-IL"/>
        </w:rPr>
        <w:t xml:space="preserve"> </w:t>
      </w:r>
      <w:r w:rsidR="00C22363" w:rsidRPr="00882F11">
        <w:rPr>
          <w:rFonts w:cs="Guttman Drogolin" w:hint="cs"/>
          <w:rtl/>
          <w:lang w:bidi="he-IL"/>
        </w:rPr>
        <w:t>ההוא</w:t>
      </w:r>
      <w:r w:rsidR="00C22363" w:rsidRPr="00882F11">
        <w:rPr>
          <w:rFonts w:cs="Guttman Drogolin"/>
          <w:rtl/>
          <w:lang w:bidi="he-IL"/>
        </w:rPr>
        <w:t xml:space="preserve"> </w:t>
      </w:r>
      <w:r w:rsidR="00C22363" w:rsidRPr="00882F11">
        <w:rPr>
          <w:rFonts w:cs="Guttman Drogolin" w:hint="cs"/>
          <w:rtl/>
          <w:lang w:bidi="he-IL"/>
        </w:rPr>
        <w:t>מסתמא</w:t>
      </w:r>
      <w:r w:rsidR="00C22363" w:rsidRPr="00882F11">
        <w:rPr>
          <w:rFonts w:cs="Guttman Drogolin"/>
          <w:rtl/>
          <w:lang w:bidi="he-IL"/>
        </w:rPr>
        <w:t xml:space="preserve"> </w:t>
      </w:r>
      <w:r w:rsidR="00C22363" w:rsidRPr="00882F11">
        <w:rPr>
          <w:rFonts w:cs="Guttman Drogolin" w:hint="cs"/>
          <w:rtl/>
          <w:lang w:bidi="he-IL"/>
        </w:rPr>
        <w:t>יש</w:t>
      </w:r>
      <w:r w:rsidR="00C22363" w:rsidRPr="00882F11">
        <w:rPr>
          <w:rFonts w:cs="Guttman Drogolin"/>
          <w:rtl/>
          <w:lang w:bidi="he-IL"/>
        </w:rPr>
        <w:t xml:space="preserve"> </w:t>
      </w:r>
      <w:r w:rsidR="00C22363" w:rsidRPr="00882F11">
        <w:rPr>
          <w:rFonts w:cs="Guttman Drogolin" w:hint="cs"/>
          <w:rtl/>
          <w:lang w:bidi="he-IL"/>
        </w:rPr>
        <w:t>ס</w:t>
      </w:r>
      <w:r w:rsidR="00C22363" w:rsidRPr="00882F11">
        <w:rPr>
          <w:rFonts w:cs="Guttman Drogolin"/>
          <w:rtl/>
          <w:lang w:bidi="he-IL"/>
        </w:rPr>
        <w:t xml:space="preserve">' </w:t>
      </w:r>
      <w:r w:rsidR="00C22363" w:rsidRPr="00882F11">
        <w:rPr>
          <w:rFonts w:cs="Guttman Drogolin" w:hint="cs"/>
          <w:rtl/>
          <w:lang w:bidi="he-IL"/>
        </w:rPr>
        <w:t>בבשר. והקשה החוו"ד שלכאורה צ"ע, שמשמע מן הט"ז שאם באמת ליכא ס' כנגד הטעם חלב שחזר ונכנס הרי הוא אסור. וצ"ע אמאי הא נעשה נ"ט בר נ"ט, מן הטיפה לקדרה, ומשם למים, ומשם חזרה לקדרה. וע"כ דהתם שאני כיון שהכל בכח א'</w:t>
      </w:r>
      <w:r w:rsidR="00C1112A" w:rsidRPr="00882F11">
        <w:rPr>
          <w:rStyle w:val="FootnoteReference"/>
          <w:rFonts w:cs="Guttman Drogolin"/>
          <w:rtl/>
          <w:lang w:bidi="he-IL"/>
        </w:rPr>
        <w:footnoteReference w:id="291"/>
      </w:r>
      <w:r w:rsidR="00C22363" w:rsidRPr="00882F11">
        <w:rPr>
          <w:rFonts w:cs="Guttman Drogolin" w:hint="cs"/>
          <w:rtl/>
          <w:lang w:bidi="he-IL"/>
        </w:rPr>
        <w:t>.</w:t>
      </w:r>
    </w:p>
    <w:p w:rsidR="00C1112A" w:rsidRPr="00882F11" w:rsidRDefault="00C22363" w:rsidP="00421FC6">
      <w:pPr>
        <w:tabs>
          <w:tab w:val="right" w:pos="7497"/>
        </w:tabs>
        <w:bidi/>
        <w:jc w:val="both"/>
        <w:rPr>
          <w:rFonts w:cs="Guttman Drogolin"/>
          <w:rtl/>
          <w:lang w:bidi="he-IL"/>
        </w:rPr>
      </w:pPr>
      <w:r w:rsidRPr="00882F11">
        <w:rPr>
          <w:rFonts w:cs="Guttman Drogolin" w:hint="cs"/>
          <w:rtl/>
          <w:lang w:bidi="he-IL"/>
        </w:rPr>
        <w:t xml:space="preserve">ובבית אפרים שם הוכיח לאידך גיסא מהסה"ת ושע"ד הנ"ל. </w:t>
      </w:r>
      <w:r w:rsidR="00421FC6" w:rsidRPr="00882F11">
        <w:rPr>
          <w:rFonts w:cs="Guttman Drogolin" w:hint="cs"/>
          <w:rtl/>
          <w:lang w:bidi="he-IL"/>
        </w:rPr>
        <w:t>שהרי שם דנו בעוגה לצד פשטידא משום נ"ט בר נ"ט באוכלין, ומשמע דאילו היינו מקילים בנ"ט בר נ"ט באוכלין הי' מותר, אע"ג שהכל בכח א'. ודחה הראי' מן האו"ה, ומשום שאו"ה חד טעמא נקט, ומשום שהוא פשוט יותר כיון שיש המחמירים בנתבשלו אפילו אם יש ג' נ"ט.</w:t>
      </w:r>
    </w:p>
    <w:p w:rsidR="00EB1465" w:rsidRPr="00882F11" w:rsidRDefault="00C1112A" w:rsidP="00EB1465">
      <w:pPr>
        <w:tabs>
          <w:tab w:val="right" w:pos="7497"/>
        </w:tabs>
        <w:bidi/>
        <w:jc w:val="both"/>
        <w:rPr>
          <w:rFonts w:cs="Guttman Drogolin"/>
          <w:rtl/>
          <w:lang w:bidi="he-IL"/>
        </w:rPr>
      </w:pPr>
      <w:r w:rsidRPr="00882F11">
        <w:rPr>
          <w:rFonts w:cs="Guttman Drogolin" w:hint="cs"/>
          <w:rtl/>
          <w:lang w:bidi="he-IL"/>
        </w:rPr>
        <w:t>והבית אפרים הוכיח עוד כשיטתו מדברי הראשונים בניד</w:t>
      </w:r>
      <w:r w:rsidR="00BB0DC5" w:rsidRPr="00882F11">
        <w:rPr>
          <w:rFonts w:cs="Guttman Drogolin" w:hint="cs"/>
          <w:rtl/>
          <w:lang w:bidi="he-IL"/>
        </w:rPr>
        <w:t>ו</w:t>
      </w:r>
      <w:r w:rsidRPr="00882F11">
        <w:rPr>
          <w:rFonts w:cs="Guttman Drogolin" w:hint="cs"/>
          <w:rtl/>
          <w:lang w:bidi="he-IL"/>
        </w:rPr>
        <w:t xml:space="preserve">ן של סה"ת, שבבישלו היתר בתוך כלי ותוך מעל"ע בישלו מים יש להתיר משום דהוי נ"ט בר נ"ט, מן הכלי למים ושוב מן המים לכלי. וצ"ע דהרי מן הכלי למים ומן המים לכלי הכל הוי בבת אחת. וכן בהכשר כלים לפסח שכתבו התוס' וכמה ראשונים שמותר להגעיל אפילו בני יומן לפני פסח כיון </w:t>
      </w:r>
      <w:r w:rsidR="00EB1465" w:rsidRPr="00882F11">
        <w:rPr>
          <w:rFonts w:cs="Guttman Drogolin" w:hint="cs"/>
          <w:rtl/>
          <w:lang w:bidi="he-IL"/>
        </w:rPr>
        <w:t>ד</w:t>
      </w:r>
      <w:r w:rsidRPr="00882F11">
        <w:rPr>
          <w:rFonts w:cs="Guttman Drogolin" w:hint="cs"/>
          <w:rtl/>
          <w:lang w:bidi="he-IL"/>
        </w:rPr>
        <w:t>הוי נ"ט בר נ"ט דהיתירא (וכשיטתם דחמץ הוי היתירא בלע).</w:t>
      </w:r>
      <w:r w:rsidR="00EB1465" w:rsidRPr="00882F11">
        <w:rPr>
          <w:rFonts w:cs="Guttman Drogolin" w:hint="cs"/>
          <w:rtl/>
          <w:lang w:bidi="he-IL"/>
        </w:rPr>
        <w:t xml:space="preserve"> וצ"ע דהא מן הכלי למים ושוב לכלי הכל הוי בבת א'. וע"כ כשיטת הבית אפרים דלא איכפת לן אם זה הי' בב' כוחות או בכח א'.</w:t>
      </w:r>
    </w:p>
    <w:p w:rsidR="003242C3" w:rsidRPr="00882F11" w:rsidRDefault="00EB1465" w:rsidP="00BB0DC5">
      <w:pPr>
        <w:tabs>
          <w:tab w:val="right" w:pos="7497"/>
        </w:tabs>
        <w:bidi/>
        <w:jc w:val="both"/>
        <w:rPr>
          <w:rFonts w:cs="Guttman Drogolin"/>
          <w:rtl/>
          <w:lang w:bidi="he-IL"/>
        </w:rPr>
      </w:pPr>
      <w:r w:rsidRPr="00882F11">
        <w:rPr>
          <w:rFonts w:cs="Guttman Drogolin" w:hint="cs"/>
          <w:rtl/>
          <w:lang w:bidi="he-IL"/>
        </w:rPr>
        <w:lastRenderedPageBreak/>
        <w:t>ולכאורה לשיטת החוו"ד יש לומר דעד כאן לא מחמרינן אלא כשכל הי' בכח א', אבל אם הי' בב' כוחות, אע"ג שיותר מנ"ט אחת היתה בכח א', ונ"ט א</w:t>
      </w:r>
      <w:r w:rsidR="00BB0DC5" w:rsidRPr="00882F11">
        <w:rPr>
          <w:rFonts w:cs="Guttman Drogolin" w:hint="cs"/>
          <w:rtl/>
          <w:lang w:bidi="he-IL"/>
        </w:rPr>
        <w:t>ח</w:t>
      </w:r>
      <w:r w:rsidRPr="00882F11">
        <w:rPr>
          <w:rFonts w:cs="Guttman Drogolin" w:hint="cs"/>
          <w:rtl/>
          <w:lang w:bidi="he-IL"/>
        </w:rPr>
        <w:t>ר בכח שני, גם החוו"ד מודה להיתר. ונראה שהבית אפרים לא סבר כן משום שהבין שטעמו של החוו"ד שכל הענין של נ"ט בר נ"ט אינו משום שעבר למספר מקומות חדשות, רק משום שהיו מספר מסוים של העברות, ולכן גם ב' טעמים שנעשו בבת אחת חשיבי רק כנ"ט א'. וראיתי במגי"ס אות ז' שכתב לדחות ראיות הנ"ל באופן אחר קצת, והוא שגם החוו"ד אינו מחמיר אלא בנ"ט ראשון, אבל אם הראשון הי' בכח אחר בנפרד, שאר הנ"ט חזו לאי</w:t>
      </w:r>
      <w:r w:rsidR="00BB0DC5" w:rsidRPr="00882F11">
        <w:rPr>
          <w:rFonts w:cs="Guttman Drogolin" w:hint="cs"/>
          <w:rtl/>
          <w:lang w:bidi="he-IL"/>
        </w:rPr>
        <w:t>צ</w:t>
      </w:r>
      <w:r w:rsidRPr="00882F11">
        <w:rPr>
          <w:rFonts w:cs="Guttman Drogolin" w:hint="cs"/>
          <w:rtl/>
          <w:lang w:bidi="he-IL"/>
        </w:rPr>
        <w:t>טרופי (וזהו סברא הדומ</w:t>
      </w:r>
      <w:r w:rsidR="00BB0DC5" w:rsidRPr="00882F11">
        <w:rPr>
          <w:rFonts w:cs="Guttman Drogolin" w:hint="cs"/>
          <w:rtl/>
          <w:lang w:bidi="he-IL"/>
        </w:rPr>
        <w:t>ה</w:t>
      </w:r>
      <w:r w:rsidRPr="00882F11">
        <w:rPr>
          <w:rFonts w:cs="Guttman Drogolin" w:hint="cs"/>
          <w:rtl/>
          <w:lang w:bidi="he-IL"/>
        </w:rPr>
        <w:t xml:space="preserve"> למש"כ לעיל בדעת המש"ז בנ"ט בר נ"ט כאוכלין, שאם כבר חל עיקר ההחלשה יש כח לדברים אחרים להשפיע גם).</w:t>
      </w:r>
    </w:p>
    <w:p w:rsidR="003242C3" w:rsidRPr="00882F11" w:rsidRDefault="003242C3" w:rsidP="0078079C">
      <w:pPr>
        <w:pStyle w:val="Heading1"/>
        <w:bidi/>
        <w:spacing w:before="0" w:line="360" w:lineRule="auto"/>
        <w:jc w:val="center"/>
        <w:rPr>
          <w:rFonts w:cs="Guttman Drogolin"/>
          <w:color w:val="auto"/>
          <w:sz w:val="24"/>
          <w:szCs w:val="24"/>
          <w:u w:val="single"/>
          <w:rtl/>
          <w:lang w:bidi="he-IL"/>
        </w:rPr>
      </w:pPr>
      <w:bookmarkStart w:id="261" w:name="_Toc496175514"/>
      <w:r w:rsidRPr="00882F11">
        <w:rPr>
          <w:rFonts w:cs="Guttman Drogolin" w:hint="cs"/>
          <w:color w:val="auto"/>
          <w:sz w:val="24"/>
          <w:szCs w:val="24"/>
          <w:u w:val="single"/>
          <w:rtl/>
          <w:lang w:bidi="he-IL"/>
        </w:rPr>
        <w:t>נתבשלו או נצלו</w:t>
      </w:r>
      <w:bookmarkEnd w:id="261"/>
    </w:p>
    <w:p w:rsidR="00A76255" w:rsidRPr="00882F11" w:rsidRDefault="005472CF" w:rsidP="009E3FE3">
      <w:pPr>
        <w:tabs>
          <w:tab w:val="right" w:pos="7497"/>
        </w:tabs>
        <w:bidi/>
        <w:jc w:val="both"/>
        <w:rPr>
          <w:rFonts w:cs="Guttman Drogolin"/>
          <w:rtl/>
          <w:lang w:bidi="he-IL"/>
        </w:rPr>
      </w:pPr>
      <w:r>
        <w:rPr>
          <w:rFonts w:cs="Guttman Drogolin"/>
          <w:rtl/>
          <w:lang w:bidi="he-IL"/>
        </w:rPr>
        <w:fldChar w:fldCharType="begin"/>
      </w:r>
      <w:r>
        <w:instrText xml:space="preserve"> XE "</w:instrText>
      </w:r>
      <w:r w:rsidRPr="00B70BF0">
        <w:rPr>
          <w:rFonts w:hint="cs"/>
          <w:rtl/>
          <w:lang w:bidi="he-IL"/>
        </w:rPr>
        <w:instrText>נ</w:instrText>
      </w:r>
      <w:r>
        <w:rPr>
          <w:rFonts w:eastAsiaTheme="minorEastAsia"/>
          <w:lang w:bidi="he-IL"/>
        </w:rPr>
        <w:instrText>\</w:instrText>
      </w:r>
      <w:r w:rsidRPr="00B70BF0">
        <w:rPr>
          <w:rFonts w:hint="cs"/>
          <w:rtl/>
          <w:lang w:bidi="he-IL"/>
        </w:rPr>
        <w:instrText>"ט בר נ</w:instrText>
      </w:r>
      <w:r>
        <w:rPr>
          <w:rFonts w:eastAsiaTheme="minorEastAsia"/>
          <w:lang w:bidi="he-IL"/>
        </w:rPr>
        <w:instrText>\</w:instrText>
      </w:r>
      <w:r w:rsidRPr="00B70BF0">
        <w:rPr>
          <w:rFonts w:hint="cs"/>
          <w:rtl/>
          <w:lang w:bidi="he-IL"/>
        </w:rPr>
        <w:instrText>"ט</w:instrText>
      </w:r>
      <w:r w:rsidRPr="00B70BF0">
        <w:rPr>
          <w:rtl/>
        </w:rPr>
        <w:instrText>:</w:instrText>
      </w:r>
      <w:r w:rsidRPr="00B70BF0">
        <w:rPr>
          <w:rFonts w:hint="cs"/>
          <w:rtl/>
          <w:lang w:bidi="he-IL"/>
        </w:rPr>
        <w:instrText>בנתבשלו או נצלו</w:instrText>
      </w:r>
      <w:r>
        <w:instrText xml:space="preserve">" </w:instrText>
      </w:r>
      <w:r>
        <w:rPr>
          <w:rFonts w:cs="Guttman Drogolin"/>
          <w:rtl/>
          <w:lang w:bidi="he-IL"/>
        </w:rPr>
        <w:fldChar w:fldCharType="end"/>
      </w:r>
      <w:r w:rsidR="00165C87" w:rsidRPr="00882F11">
        <w:rPr>
          <w:rFonts w:cs="Guttman Drogolin" w:hint="cs"/>
          <w:rtl/>
          <w:lang w:bidi="he-IL"/>
        </w:rPr>
        <w:t>נחלקו הראשונים בהאי דינא דנ"ט בר נ"ט כשההעברה היתה דרך בישול או צלי אם מותר או לא.</w:t>
      </w:r>
      <w:r w:rsidR="00EB1465" w:rsidRPr="00882F11">
        <w:rPr>
          <w:rFonts w:cs="Guttman Drogolin" w:hint="cs"/>
          <w:rtl/>
          <w:lang w:bidi="he-IL"/>
        </w:rPr>
        <w:t xml:space="preserve"> </w:t>
      </w:r>
      <w:r w:rsidR="00165C87" w:rsidRPr="00882F11">
        <w:rPr>
          <w:rFonts w:cs="Guttman Drogolin" w:hint="cs"/>
          <w:rtl/>
          <w:lang w:bidi="he-IL"/>
        </w:rPr>
        <w:t xml:space="preserve">והטעם משום דיתכן דרק כש'עלו' בקערה לא נכנס הטעם כ"כ בחוזק ולכן ישנא להיתירא דנ"ט בר נ"ט, אבל בבישול או צלי לא. ויש ראשונים המחלקים בין נצלו לנתבשלו. אמנם מבואר מדבריהם שאין זה חילוק כ"כ בין סוג הבישול, רק דמאן במיקל בנתבשלו, היינו משום שבנתבשלו יש ג' נ"ט, מן הבשר לקדירה, מן הקדירה למים, ומן המים למאכל, ובג' נ"ט כו"ע מודו שקיים ההיתר של נ"ט בר נ"ט אפילו בנתבשלו. וע' ברא"ש (מובא בב"י) שאפילו אם יגע המאכל לקדירה עדיין י"ל דאיקליש כיון שעיקר הטעם מגיע מן המים. </w:t>
      </w:r>
      <w:r w:rsidR="009E3FE3" w:rsidRPr="00882F11">
        <w:rPr>
          <w:rFonts w:cs="Guttman Drogolin" w:hint="cs"/>
          <w:rtl/>
          <w:lang w:bidi="he-IL"/>
        </w:rPr>
        <w:t xml:space="preserve">ומתוס' קי"א ע"ב </w:t>
      </w:r>
      <w:r w:rsidR="009E3FE3" w:rsidRPr="00882F11">
        <w:rPr>
          <w:rFonts w:cs="Guttman Drogolin" w:hint="cs"/>
          <w:rtl/>
          <w:lang w:bidi="he-IL"/>
        </w:rPr>
        <w:lastRenderedPageBreak/>
        <w:t>ושם במהרש"א מבואר טעם המחמירים בנתבשלו משום שבאמת חיישינן לנגיעה</w:t>
      </w:r>
      <w:r w:rsidR="00DE235C" w:rsidRPr="00882F11">
        <w:rPr>
          <w:rStyle w:val="FootnoteReference"/>
          <w:rFonts w:cs="Guttman Drogolin"/>
          <w:rtl/>
          <w:lang w:bidi="he-IL"/>
        </w:rPr>
        <w:footnoteReference w:id="292"/>
      </w:r>
      <w:r w:rsidR="009E3FE3" w:rsidRPr="00882F11">
        <w:rPr>
          <w:rFonts w:cs="Guttman Drogolin" w:hint="cs"/>
          <w:rtl/>
          <w:lang w:bidi="he-IL"/>
        </w:rPr>
        <w:t>.</w:t>
      </w:r>
    </w:p>
    <w:p w:rsidR="00DA72FF" w:rsidRPr="00882F11" w:rsidRDefault="00DA72FF" w:rsidP="00225E07">
      <w:pPr>
        <w:tabs>
          <w:tab w:val="right" w:pos="7497"/>
        </w:tabs>
        <w:bidi/>
        <w:jc w:val="both"/>
        <w:rPr>
          <w:rFonts w:cs="Guttman Drogolin"/>
          <w:rtl/>
          <w:lang w:bidi="he-IL"/>
        </w:rPr>
      </w:pPr>
      <w:r w:rsidRPr="00882F11">
        <w:rPr>
          <w:rFonts w:cs="Guttman Drogolin" w:hint="cs"/>
          <w:rtl/>
          <w:lang w:bidi="he-IL"/>
        </w:rPr>
        <w:t xml:space="preserve">ויש להדגיש שאפילו למחמירים בנתבשלו או נצלו, אין זה בגלל שבאין בהם שום החלשת הטעם, דהא הש"ך בסי' צ"ד ס"ק </w:t>
      </w:r>
      <w:r w:rsidR="00225E07" w:rsidRPr="00882F11">
        <w:rPr>
          <w:rFonts w:cs="Guttman Drogolin" w:hint="cs"/>
          <w:rtl/>
          <w:lang w:bidi="he-IL"/>
        </w:rPr>
        <w:t>ט</w:t>
      </w:r>
      <w:r w:rsidRPr="00882F11">
        <w:rPr>
          <w:rFonts w:cs="Guttman Drogolin" w:hint="cs"/>
          <w:rtl/>
          <w:lang w:bidi="he-IL"/>
        </w:rPr>
        <w:t>"</w:t>
      </w:r>
      <w:r w:rsidR="00225E07" w:rsidRPr="00882F11">
        <w:rPr>
          <w:rFonts w:cs="Guttman Drogolin" w:hint="cs"/>
          <w:rtl/>
          <w:lang w:bidi="he-IL"/>
        </w:rPr>
        <w:t>ו</w:t>
      </w:r>
      <w:r w:rsidRPr="00882F11">
        <w:rPr>
          <w:rFonts w:cs="Guttman Drogolin" w:hint="cs"/>
          <w:rtl/>
          <w:lang w:bidi="he-IL"/>
        </w:rPr>
        <w:t xml:space="preserve"> האריך להכיח שבג' נ"ט או ב' כלים כו"ע מודו שמותר. </w:t>
      </w:r>
      <w:r w:rsidR="008E1059" w:rsidRPr="00882F11">
        <w:rPr>
          <w:rFonts w:cs="Guttman Drogolin" w:hint="cs"/>
          <w:rtl/>
          <w:lang w:bidi="he-IL"/>
        </w:rPr>
        <w:t>רק שבנתבשלו עדיין לא נחלש מספיק כדי להיות מותר. וע' בשו"ת בית אפרים סי' ל"ז שבאמת הביא שיש דעות החולקות וסוברות שגם ג' נ"ט לא מהני למחמירים בנתבשלו</w:t>
      </w:r>
      <w:r w:rsidR="001D7C3B" w:rsidRPr="00882F11">
        <w:rPr>
          <w:rFonts w:cs="Guttman Drogolin" w:hint="cs"/>
          <w:rtl/>
          <w:lang w:bidi="he-IL"/>
        </w:rPr>
        <w:t xml:space="preserve"> (ע' או"ה כלל ל"ד אות ה')</w:t>
      </w:r>
      <w:r w:rsidR="008E1059" w:rsidRPr="00882F11">
        <w:rPr>
          <w:rFonts w:cs="Guttman Drogolin" w:hint="cs"/>
          <w:rtl/>
          <w:lang w:bidi="he-IL"/>
        </w:rPr>
        <w:t>, והביאור בשיטתם פשוט שלית להו כנ"ל, שסוברים שנתבשלו או נצלו אין להם שום החלשת טעם כלל.</w:t>
      </w:r>
    </w:p>
    <w:p w:rsidR="00A76255" w:rsidRPr="00882F11" w:rsidRDefault="009E3FE3" w:rsidP="00A76255">
      <w:pPr>
        <w:pStyle w:val="Heading1"/>
        <w:bidi/>
        <w:spacing w:before="0" w:line="360" w:lineRule="auto"/>
        <w:jc w:val="center"/>
        <w:rPr>
          <w:rFonts w:cs="Guttman Drogolin"/>
          <w:color w:val="auto"/>
          <w:sz w:val="24"/>
          <w:szCs w:val="24"/>
          <w:u w:val="single"/>
          <w:rtl/>
          <w:lang w:bidi="he-IL"/>
        </w:rPr>
      </w:pPr>
      <w:r w:rsidRPr="00882F11">
        <w:rPr>
          <w:rFonts w:cs="Guttman Drogolin" w:hint="cs"/>
          <w:rtl/>
          <w:lang w:bidi="he-IL"/>
        </w:rPr>
        <w:t xml:space="preserve"> </w:t>
      </w:r>
      <w:bookmarkStart w:id="262" w:name="_Toc496175515"/>
      <w:r w:rsidR="00A76255" w:rsidRPr="00882F11">
        <w:rPr>
          <w:rFonts w:cs="Guttman Drogolin" w:hint="cs"/>
          <w:color w:val="auto"/>
          <w:sz w:val="24"/>
          <w:szCs w:val="24"/>
          <w:u w:val="single"/>
          <w:rtl/>
          <w:lang w:bidi="he-IL"/>
        </w:rPr>
        <w:t>נ"ט בר נ"ט לכתחילה</w:t>
      </w:r>
      <w:bookmarkEnd w:id="262"/>
    </w:p>
    <w:p w:rsidR="002C7EBC" w:rsidRPr="00882F11" w:rsidRDefault="005472CF" w:rsidP="00D47EE9">
      <w:pPr>
        <w:tabs>
          <w:tab w:val="right" w:pos="7497"/>
        </w:tabs>
        <w:bidi/>
        <w:jc w:val="both"/>
        <w:rPr>
          <w:rFonts w:cs="Guttman Drogolin"/>
          <w:rtl/>
          <w:lang w:bidi="he-IL"/>
        </w:rPr>
      </w:pPr>
      <w:r>
        <w:rPr>
          <w:rFonts w:cs="Guttman Drogolin"/>
          <w:rtl/>
          <w:lang w:bidi="he-IL"/>
        </w:rPr>
        <w:fldChar w:fldCharType="begin"/>
      </w:r>
      <w:r>
        <w:instrText xml:space="preserve"> XE "</w:instrText>
      </w:r>
      <w:r w:rsidRPr="00780E7E">
        <w:rPr>
          <w:rFonts w:hint="cs"/>
          <w:rtl/>
          <w:lang w:bidi="he-IL"/>
        </w:rPr>
        <w:instrText>נ</w:instrText>
      </w:r>
      <w:r>
        <w:rPr>
          <w:rFonts w:eastAsiaTheme="minorEastAsia"/>
          <w:lang w:bidi="he-IL"/>
        </w:rPr>
        <w:instrText>\</w:instrText>
      </w:r>
      <w:r w:rsidRPr="00780E7E">
        <w:rPr>
          <w:rFonts w:hint="cs"/>
          <w:rtl/>
          <w:lang w:bidi="he-IL"/>
        </w:rPr>
        <w:instrText>"ט בר נ</w:instrText>
      </w:r>
      <w:r>
        <w:rPr>
          <w:rFonts w:eastAsiaTheme="minorEastAsia"/>
          <w:lang w:bidi="he-IL"/>
        </w:rPr>
        <w:instrText>\</w:instrText>
      </w:r>
      <w:r w:rsidRPr="00780E7E">
        <w:rPr>
          <w:rFonts w:hint="cs"/>
          <w:rtl/>
          <w:lang w:bidi="he-IL"/>
        </w:rPr>
        <w:instrText>"ט</w:instrText>
      </w:r>
      <w:r w:rsidRPr="00780E7E">
        <w:rPr>
          <w:rtl/>
        </w:rPr>
        <w:instrText>:</w:instrText>
      </w:r>
      <w:r w:rsidRPr="00780E7E">
        <w:rPr>
          <w:rFonts w:hint="cs"/>
          <w:rtl/>
          <w:lang w:bidi="he-IL"/>
        </w:rPr>
        <w:instrText>לכתחילה</w:instrText>
      </w:r>
      <w:r>
        <w:instrText xml:space="preserve">" </w:instrText>
      </w:r>
      <w:r>
        <w:rPr>
          <w:rFonts w:cs="Guttman Drogolin"/>
          <w:rtl/>
          <w:lang w:bidi="he-IL"/>
        </w:rPr>
        <w:fldChar w:fldCharType="end"/>
      </w:r>
      <w:r w:rsidR="00A76255" w:rsidRPr="00882F11">
        <w:rPr>
          <w:rFonts w:cs="Guttman Drogolin" w:hint="cs"/>
          <w:rtl/>
          <w:lang w:bidi="he-IL"/>
        </w:rPr>
        <w:t>הב"י הביא</w:t>
      </w:r>
      <w:r w:rsidR="00D519DE" w:rsidRPr="00882F11">
        <w:rPr>
          <w:rFonts w:cs="Guttman Drogolin" w:hint="cs"/>
          <w:rtl/>
          <w:lang w:bidi="he-IL"/>
        </w:rPr>
        <w:t xml:space="preserve"> שיטת סמ"ק והגהות מיי' דאע"ג שנ"ט בר נ"ט דהיתירא מותר הנ"מ בדיעבד, אבל לכתחילה אסור. וכתב שזה סותר דברי ס' התרומה שכתב</w:t>
      </w:r>
      <w:r w:rsidR="00D519DE" w:rsidRPr="00882F11">
        <w:rPr>
          <w:rFonts w:cs="Guttman Drogolin"/>
          <w:rtl/>
          <w:lang w:bidi="he-IL"/>
        </w:rPr>
        <w:t xml:space="preserve"> </w:t>
      </w:r>
      <w:r w:rsidR="00D519DE" w:rsidRPr="00882F11">
        <w:rPr>
          <w:rFonts w:cs="Guttman Drogolin" w:hint="cs"/>
          <w:rtl/>
          <w:lang w:bidi="he-IL"/>
        </w:rPr>
        <w:t>במפתחות</w:t>
      </w:r>
      <w:r w:rsidR="00D519DE" w:rsidRPr="00882F11">
        <w:rPr>
          <w:rFonts w:cs="Guttman Drogolin"/>
          <w:rtl/>
          <w:lang w:bidi="he-IL"/>
        </w:rPr>
        <w:t xml:space="preserve"> (</w:t>
      </w:r>
      <w:r w:rsidR="002C7EBC" w:rsidRPr="00882F11">
        <w:rPr>
          <w:rFonts w:cs="Guttman Drogolin" w:hint="cs"/>
          <w:rtl/>
          <w:lang w:bidi="he-IL"/>
        </w:rPr>
        <w:t>ל</w:t>
      </w:r>
      <w:r w:rsidR="00D519DE" w:rsidRPr="00882F11">
        <w:rPr>
          <w:rFonts w:cs="Guttman Drogolin" w:hint="cs"/>
          <w:rtl/>
          <w:lang w:bidi="he-IL"/>
        </w:rPr>
        <w:t>סי</w:t>
      </w:r>
      <w:r w:rsidR="00D519DE" w:rsidRPr="00882F11">
        <w:rPr>
          <w:rFonts w:cs="Guttman Drogolin"/>
          <w:rtl/>
          <w:lang w:bidi="he-IL"/>
        </w:rPr>
        <w:t xml:space="preserve">' </w:t>
      </w:r>
      <w:r w:rsidR="00D519DE" w:rsidRPr="00882F11">
        <w:rPr>
          <w:rFonts w:cs="Guttman Drogolin" w:hint="cs"/>
          <w:rtl/>
          <w:lang w:bidi="he-IL"/>
        </w:rPr>
        <w:t>ס"א</w:t>
      </w:r>
      <w:r w:rsidR="00D519DE" w:rsidRPr="00882F11">
        <w:rPr>
          <w:rFonts w:cs="Guttman Drogolin"/>
          <w:rtl/>
          <w:lang w:bidi="he-IL"/>
        </w:rPr>
        <w:t xml:space="preserve">) </w:t>
      </w:r>
      <w:r w:rsidR="00D519DE" w:rsidRPr="00882F11">
        <w:rPr>
          <w:rFonts w:cs="Guttman Drogolin" w:hint="cs"/>
          <w:rtl/>
          <w:lang w:bidi="he-IL"/>
        </w:rPr>
        <w:t>דקטניות</w:t>
      </w:r>
      <w:r w:rsidR="00D519DE" w:rsidRPr="00882F11">
        <w:rPr>
          <w:rFonts w:cs="Guttman Drogolin"/>
          <w:rtl/>
          <w:lang w:bidi="he-IL"/>
        </w:rPr>
        <w:t xml:space="preserve"> </w:t>
      </w:r>
      <w:r w:rsidR="00D519DE" w:rsidRPr="00882F11">
        <w:rPr>
          <w:rFonts w:cs="Guttman Drogolin" w:hint="cs"/>
          <w:rtl/>
          <w:lang w:bidi="he-IL"/>
        </w:rPr>
        <w:t>שבשל</w:t>
      </w:r>
      <w:r w:rsidR="00D519DE" w:rsidRPr="00882F11">
        <w:rPr>
          <w:rFonts w:cs="Guttman Drogolin"/>
          <w:rtl/>
          <w:lang w:bidi="he-IL"/>
        </w:rPr>
        <w:t xml:space="preserve"> </w:t>
      </w:r>
      <w:r w:rsidR="00D519DE" w:rsidRPr="00882F11">
        <w:rPr>
          <w:rFonts w:cs="Guttman Drogolin" w:hint="cs"/>
          <w:rtl/>
          <w:lang w:bidi="he-IL"/>
        </w:rPr>
        <w:t>בקדרה</w:t>
      </w:r>
      <w:r w:rsidR="00D519DE" w:rsidRPr="00882F11">
        <w:rPr>
          <w:rFonts w:cs="Guttman Drogolin"/>
          <w:rtl/>
          <w:lang w:bidi="he-IL"/>
        </w:rPr>
        <w:t xml:space="preserve"> </w:t>
      </w:r>
      <w:r w:rsidR="00D519DE" w:rsidRPr="00882F11">
        <w:rPr>
          <w:rFonts w:cs="Guttman Drogolin" w:hint="cs"/>
          <w:rtl/>
          <w:lang w:bidi="he-IL"/>
        </w:rPr>
        <w:t>חולבת</w:t>
      </w:r>
      <w:r w:rsidR="00D519DE" w:rsidRPr="00882F11">
        <w:rPr>
          <w:rFonts w:cs="Guttman Drogolin"/>
          <w:rtl/>
          <w:lang w:bidi="he-IL"/>
        </w:rPr>
        <w:t xml:space="preserve"> </w:t>
      </w:r>
      <w:r w:rsidR="00D519DE" w:rsidRPr="00882F11">
        <w:rPr>
          <w:rFonts w:cs="Guttman Drogolin" w:hint="cs"/>
          <w:rtl/>
          <w:lang w:bidi="he-IL"/>
        </w:rPr>
        <w:t>מותר</w:t>
      </w:r>
      <w:r w:rsidR="00D519DE" w:rsidRPr="00882F11">
        <w:rPr>
          <w:rFonts w:cs="Guttman Drogolin"/>
          <w:rtl/>
          <w:lang w:bidi="he-IL"/>
        </w:rPr>
        <w:t xml:space="preserve"> </w:t>
      </w:r>
      <w:r w:rsidR="00D519DE" w:rsidRPr="00882F11">
        <w:rPr>
          <w:rFonts w:cs="Guttman Drogolin" w:hint="cs"/>
          <w:rtl/>
          <w:lang w:bidi="he-IL"/>
        </w:rPr>
        <w:t>לכתחלה</w:t>
      </w:r>
      <w:r w:rsidR="00D519DE" w:rsidRPr="00882F11">
        <w:rPr>
          <w:rFonts w:cs="Guttman Drogolin"/>
          <w:rtl/>
          <w:lang w:bidi="he-IL"/>
        </w:rPr>
        <w:t xml:space="preserve"> </w:t>
      </w:r>
      <w:r w:rsidR="00D519DE" w:rsidRPr="00882F11">
        <w:rPr>
          <w:rFonts w:cs="Guttman Drogolin" w:hint="cs"/>
          <w:rtl/>
          <w:lang w:bidi="he-IL"/>
        </w:rPr>
        <w:t>לערותן</w:t>
      </w:r>
      <w:r w:rsidR="00D519DE" w:rsidRPr="00882F11">
        <w:rPr>
          <w:rFonts w:cs="Guttman Drogolin"/>
          <w:rtl/>
          <w:lang w:bidi="he-IL"/>
        </w:rPr>
        <w:t xml:space="preserve"> </w:t>
      </w:r>
      <w:r w:rsidR="00D519DE" w:rsidRPr="00882F11">
        <w:rPr>
          <w:rFonts w:cs="Guttman Drogolin" w:hint="cs"/>
          <w:rtl/>
          <w:lang w:bidi="he-IL"/>
        </w:rPr>
        <w:t>בקדרה</w:t>
      </w:r>
      <w:r w:rsidR="00D519DE" w:rsidRPr="00882F11">
        <w:rPr>
          <w:rFonts w:cs="Guttman Drogolin"/>
          <w:rtl/>
          <w:lang w:bidi="he-IL"/>
        </w:rPr>
        <w:t xml:space="preserve"> </w:t>
      </w:r>
      <w:r w:rsidR="00D519DE" w:rsidRPr="00882F11">
        <w:rPr>
          <w:rFonts w:cs="Guttman Drogolin" w:hint="cs"/>
          <w:rtl/>
          <w:lang w:bidi="he-IL"/>
        </w:rPr>
        <w:t>של</w:t>
      </w:r>
      <w:r w:rsidR="00D519DE" w:rsidRPr="00882F11">
        <w:rPr>
          <w:rFonts w:cs="Guttman Drogolin"/>
          <w:rtl/>
          <w:lang w:bidi="he-IL"/>
        </w:rPr>
        <w:t xml:space="preserve"> </w:t>
      </w:r>
      <w:r w:rsidR="00D519DE" w:rsidRPr="00882F11">
        <w:rPr>
          <w:rFonts w:cs="Guttman Drogolin" w:hint="cs"/>
          <w:rtl/>
          <w:lang w:bidi="he-IL"/>
        </w:rPr>
        <w:t>בשר</w:t>
      </w:r>
      <w:r w:rsidR="00D519DE" w:rsidRPr="00882F11">
        <w:rPr>
          <w:rFonts w:cs="Guttman Drogolin"/>
          <w:rtl/>
          <w:lang w:bidi="he-IL"/>
        </w:rPr>
        <w:t xml:space="preserve"> </w:t>
      </w:r>
      <w:r w:rsidR="00D519DE" w:rsidRPr="00882F11">
        <w:rPr>
          <w:rFonts w:cs="Guttman Drogolin" w:hint="cs"/>
          <w:rtl/>
          <w:lang w:bidi="he-IL"/>
        </w:rPr>
        <w:t>ואפילו</w:t>
      </w:r>
      <w:r w:rsidR="00D519DE" w:rsidRPr="00882F11">
        <w:rPr>
          <w:rFonts w:cs="Guttman Drogolin"/>
          <w:rtl/>
          <w:lang w:bidi="he-IL"/>
        </w:rPr>
        <w:t xml:space="preserve"> </w:t>
      </w:r>
      <w:r w:rsidR="00D519DE" w:rsidRPr="00882F11">
        <w:rPr>
          <w:rFonts w:cs="Guttman Drogolin" w:hint="cs"/>
          <w:rtl/>
          <w:lang w:bidi="he-IL"/>
        </w:rPr>
        <w:t>הקדרה</w:t>
      </w:r>
      <w:r w:rsidR="00D519DE" w:rsidRPr="00882F11">
        <w:rPr>
          <w:rFonts w:cs="Guttman Drogolin"/>
          <w:rtl/>
          <w:lang w:bidi="he-IL"/>
        </w:rPr>
        <w:t xml:space="preserve"> </w:t>
      </w:r>
      <w:r w:rsidR="00D519DE" w:rsidRPr="00882F11">
        <w:rPr>
          <w:rFonts w:cs="Guttman Drogolin" w:hint="cs"/>
          <w:rtl/>
          <w:lang w:bidi="he-IL"/>
        </w:rPr>
        <w:t>בת</w:t>
      </w:r>
      <w:r w:rsidR="00D519DE" w:rsidRPr="00882F11">
        <w:rPr>
          <w:rFonts w:cs="Guttman Drogolin"/>
          <w:rtl/>
          <w:lang w:bidi="he-IL"/>
        </w:rPr>
        <w:t xml:space="preserve"> </w:t>
      </w:r>
      <w:r w:rsidR="00D519DE" w:rsidRPr="00882F11">
        <w:rPr>
          <w:rFonts w:cs="Guttman Drogolin" w:hint="cs"/>
          <w:rtl/>
          <w:lang w:bidi="he-IL"/>
        </w:rPr>
        <w:t>יומא</w:t>
      </w:r>
      <w:r w:rsidR="00D519DE" w:rsidRPr="00882F11">
        <w:rPr>
          <w:rFonts w:cs="Guttman Drogolin"/>
          <w:rtl/>
          <w:lang w:bidi="he-IL"/>
        </w:rPr>
        <w:t xml:space="preserve"> </w:t>
      </w:r>
      <w:r w:rsidR="00D519DE" w:rsidRPr="00882F11">
        <w:rPr>
          <w:rFonts w:cs="Guttman Drogolin" w:hint="cs"/>
          <w:rtl/>
          <w:lang w:bidi="he-IL"/>
        </w:rPr>
        <w:t>כמו</w:t>
      </w:r>
      <w:r w:rsidR="00D519DE" w:rsidRPr="00882F11">
        <w:rPr>
          <w:rFonts w:cs="Guttman Drogolin"/>
          <w:rtl/>
          <w:lang w:bidi="he-IL"/>
        </w:rPr>
        <w:t xml:space="preserve"> </w:t>
      </w:r>
      <w:r w:rsidR="00D519DE" w:rsidRPr="00882F11">
        <w:rPr>
          <w:rFonts w:cs="Guttman Drogolin" w:hint="cs"/>
          <w:rtl/>
          <w:lang w:bidi="he-IL"/>
        </w:rPr>
        <w:t>דגים</w:t>
      </w:r>
      <w:r w:rsidR="00D519DE" w:rsidRPr="00882F11">
        <w:rPr>
          <w:rFonts w:cs="Guttman Drogolin"/>
          <w:rtl/>
          <w:lang w:bidi="he-IL"/>
        </w:rPr>
        <w:t xml:space="preserve"> </w:t>
      </w:r>
      <w:r w:rsidR="00D519DE" w:rsidRPr="00882F11">
        <w:rPr>
          <w:rFonts w:cs="Guttman Drogolin" w:hint="cs"/>
          <w:rtl/>
          <w:lang w:bidi="he-IL"/>
        </w:rPr>
        <w:t>שעלו</w:t>
      </w:r>
      <w:r w:rsidR="00D519DE" w:rsidRPr="00882F11">
        <w:rPr>
          <w:rFonts w:cs="Guttman Drogolin"/>
          <w:rtl/>
          <w:lang w:bidi="he-IL"/>
        </w:rPr>
        <w:t xml:space="preserve"> </w:t>
      </w:r>
      <w:r w:rsidR="00D519DE" w:rsidRPr="00882F11">
        <w:rPr>
          <w:rFonts w:cs="Guttman Drogolin" w:hint="cs"/>
          <w:rtl/>
          <w:lang w:bidi="he-IL"/>
        </w:rPr>
        <w:t>בקערה</w:t>
      </w:r>
      <w:r w:rsidR="002C7EBC" w:rsidRPr="00882F11">
        <w:rPr>
          <w:rFonts w:cs="Guttman Drogolin" w:hint="cs"/>
          <w:rtl/>
          <w:lang w:bidi="he-IL"/>
        </w:rPr>
        <w:t>.</w:t>
      </w:r>
      <w:r w:rsidR="00A76255" w:rsidRPr="00882F11">
        <w:rPr>
          <w:rFonts w:cs="Guttman Drogolin" w:hint="cs"/>
          <w:rtl/>
          <w:lang w:bidi="he-IL"/>
        </w:rPr>
        <w:t xml:space="preserve"> </w:t>
      </w:r>
      <w:r w:rsidR="002C7EBC" w:rsidRPr="00882F11">
        <w:rPr>
          <w:rFonts w:cs="Guttman Drogolin" w:hint="cs"/>
          <w:rtl/>
          <w:lang w:bidi="he-IL"/>
        </w:rPr>
        <w:t xml:space="preserve">וע' דרכ"מ </w:t>
      </w:r>
      <w:r w:rsidR="00D47EE9" w:rsidRPr="00882F11">
        <w:rPr>
          <w:rFonts w:cs="Guttman Drogolin" w:hint="cs"/>
          <w:rtl/>
          <w:lang w:bidi="he-IL"/>
        </w:rPr>
        <w:t>וט"ז ס"ק ד' ושם בנקוה"כ</w:t>
      </w:r>
      <w:r w:rsidR="002C7EBC" w:rsidRPr="00882F11">
        <w:rPr>
          <w:rFonts w:cs="Guttman Drogolin" w:hint="cs"/>
          <w:rtl/>
          <w:lang w:bidi="he-IL"/>
        </w:rPr>
        <w:t xml:space="preserve"> שהעירו שאין נידון לראי', שאמנם אסור להכניס הטעם לאוכל ויעשה נ"ט בר נ"ט, מ"מ אחרי שכבר נכנס הטעם ההוא לתוך האוכל אין איסור לאוכלם בכותח, וכתבו שכן הוא משמעות לשון הגמ' ש'מותר' לאוכלן בכותח. וע"כ הב"י סבר לאו דוקא ו'מותר' לאוכלם בכותח אין ר"ל אלא שאם נפל לכותח מותר לאוכלם</w:t>
      </w:r>
      <w:r w:rsidR="00E52061" w:rsidRPr="00882F11">
        <w:rPr>
          <w:rStyle w:val="FootnoteReference"/>
          <w:rFonts w:cs="Guttman Drogolin"/>
          <w:rtl/>
          <w:lang w:bidi="he-IL"/>
        </w:rPr>
        <w:footnoteReference w:id="293"/>
      </w:r>
      <w:r w:rsidR="002C7EBC" w:rsidRPr="00882F11">
        <w:rPr>
          <w:rFonts w:cs="Guttman Drogolin" w:hint="cs"/>
          <w:rtl/>
          <w:lang w:bidi="he-IL"/>
        </w:rPr>
        <w:t>.</w:t>
      </w:r>
      <w:r w:rsidR="00DA72FF" w:rsidRPr="00882F11">
        <w:rPr>
          <w:rFonts w:cs="Guttman Drogolin" w:hint="cs"/>
          <w:rtl/>
          <w:lang w:bidi="he-IL"/>
        </w:rPr>
        <w:t xml:space="preserve"> ו</w:t>
      </w:r>
      <w:r w:rsidR="002C7EBC" w:rsidRPr="00882F11">
        <w:rPr>
          <w:rFonts w:cs="Guttman Drogolin" w:hint="cs"/>
          <w:rtl/>
          <w:lang w:bidi="he-IL"/>
        </w:rPr>
        <w:t xml:space="preserve">מ"מ טעמא בעי, </w:t>
      </w:r>
      <w:r w:rsidR="00DA72FF" w:rsidRPr="00882F11">
        <w:rPr>
          <w:rFonts w:cs="Guttman Drogolin" w:hint="cs"/>
          <w:rtl/>
          <w:lang w:bidi="he-IL"/>
        </w:rPr>
        <w:t xml:space="preserve">לשיטת שאר האחרונים המחלקים כנ"ל, </w:t>
      </w:r>
      <w:r w:rsidR="002C7EBC" w:rsidRPr="00882F11">
        <w:rPr>
          <w:rFonts w:cs="Guttman Drogolin" w:hint="cs"/>
          <w:rtl/>
          <w:lang w:bidi="he-IL"/>
        </w:rPr>
        <w:t xml:space="preserve">מאי שנא הכנסת הדג לכותח שמותר </w:t>
      </w:r>
      <w:r w:rsidR="002C7EBC" w:rsidRPr="00882F11">
        <w:rPr>
          <w:rFonts w:cs="Guttman Drogolin" w:hint="cs"/>
          <w:rtl/>
          <w:lang w:bidi="he-IL"/>
        </w:rPr>
        <w:lastRenderedPageBreak/>
        <w:t>לכתחילה מהכנסת הטעם לתוך הדג כדי להניחו בכותח שאסור.</w:t>
      </w:r>
    </w:p>
    <w:p w:rsidR="00DA72FF" w:rsidRPr="00882F11" w:rsidRDefault="002C7EBC" w:rsidP="00DA72FF">
      <w:pPr>
        <w:tabs>
          <w:tab w:val="right" w:pos="7497"/>
        </w:tabs>
        <w:bidi/>
        <w:jc w:val="both"/>
        <w:rPr>
          <w:rFonts w:cs="Guttman Drogolin"/>
          <w:rtl/>
          <w:lang w:bidi="he-IL"/>
        </w:rPr>
      </w:pPr>
      <w:r w:rsidRPr="00882F11">
        <w:rPr>
          <w:rFonts w:cs="Guttman Drogolin" w:hint="cs"/>
          <w:rtl/>
          <w:lang w:bidi="he-IL"/>
        </w:rPr>
        <w:t>והנה ב</w:t>
      </w:r>
      <w:r w:rsidR="00DA72FF" w:rsidRPr="00882F11">
        <w:rPr>
          <w:rFonts w:cs="Guttman Drogolin" w:hint="cs"/>
          <w:rtl/>
          <w:lang w:bidi="he-IL"/>
        </w:rPr>
        <w:t>מ</w:t>
      </w:r>
      <w:r w:rsidRPr="00882F11">
        <w:rPr>
          <w:rFonts w:cs="Guttman Drogolin" w:hint="cs"/>
          <w:rtl/>
          <w:lang w:bidi="he-IL"/>
        </w:rPr>
        <w:t>ש"</w:t>
      </w:r>
      <w:r w:rsidR="00DA72FF" w:rsidRPr="00882F11">
        <w:rPr>
          <w:rFonts w:cs="Guttman Drogolin" w:hint="cs"/>
          <w:rtl/>
          <w:lang w:bidi="he-IL"/>
        </w:rPr>
        <w:t>ז ס"ק ד' כתב דהוי כעין ביטול איסור לכתחילה. וא"כ לכאורה הדברים מובנים היטב, שקודם שהכניס הטעם לתוך המאכל הרי זה בכלל ביטול איסור לכתחילה שאסור, אבל לאחר שהוא כבר במאכל אין כאן ביטול איסור לכתחילה. ואפילו לשיטת הרמב"ן וסייעתו שאינו מותר עד שיגיע למקום השלישי, מ"מ יש לומר דכיון שהוא שמצב שיהי' מיילא מותר שם אין איסור. וצ"ע. ולפי דבריו יהי' נפק"מ שאם עבר ועשה כן יהי' אסור לכתחילה. וע' בפר"ח שהביא כה"ג ממנחת כהן שאוסר בדיעבד, וכתב עליו דכיון שסתימת הפוסקים משמע שמותר בדיעבד, נראה שאין כאן אלא הרחקה בעלמא ולא כעין ביטול איסור לכתחילה, ולכן אין לאסור בדיעבד. ולפי הביאור הזה עדיין צ"ע מאי שנא. וי"ל.</w:t>
      </w:r>
    </w:p>
    <w:p w:rsidR="00DA72FF" w:rsidRPr="00882F11" w:rsidRDefault="00DA72FF" w:rsidP="0000469F">
      <w:pPr>
        <w:pStyle w:val="Heading1"/>
        <w:bidi/>
        <w:spacing w:before="0" w:line="240" w:lineRule="auto"/>
        <w:jc w:val="center"/>
        <w:rPr>
          <w:rFonts w:cs="Guttman Drogolin"/>
          <w:color w:val="auto"/>
          <w:sz w:val="24"/>
          <w:szCs w:val="24"/>
          <w:u w:val="single"/>
          <w:rtl/>
          <w:lang w:bidi="he-IL"/>
        </w:rPr>
      </w:pPr>
      <w:bookmarkStart w:id="263" w:name="_Toc496175516"/>
      <w:r w:rsidRPr="00882F11">
        <w:rPr>
          <w:rFonts w:cs="Guttman Drogolin" w:hint="cs"/>
          <w:color w:val="auto"/>
          <w:sz w:val="24"/>
          <w:szCs w:val="24"/>
          <w:u w:val="single"/>
          <w:rtl/>
          <w:lang w:bidi="he-IL"/>
        </w:rPr>
        <w:t xml:space="preserve">הדין למעשה בנתבשלו ונצלו, וכן לענין </w:t>
      </w:r>
      <w:r w:rsidR="007334F1" w:rsidRPr="00882F11">
        <w:rPr>
          <w:rFonts w:cs="Guttman Drogolin" w:hint="cs"/>
          <w:color w:val="auto"/>
          <w:sz w:val="24"/>
          <w:szCs w:val="24"/>
          <w:u w:val="single"/>
          <w:rtl/>
          <w:lang w:bidi="he-IL"/>
        </w:rPr>
        <w:t xml:space="preserve">נ"ט בר נ"ט </w:t>
      </w:r>
      <w:r w:rsidRPr="00882F11">
        <w:rPr>
          <w:rFonts w:cs="Guttman Drogolin" w:hint="cs"/>
          <w:color w:val="auto"/>
          <w:sz w:val="24"/>
          <w:szCs w:val="24"/>
          <w:u w:val="single"/>
          <w:rtl/>
          <w:lang w:bidi="he-IL"/>
        </w:rPr>
        <w:t>לכתחילה ובדיעבד</w:t>
      </w:r>
      <w:bookmarkEnd w:id="263"/>
    </w:p>
    <w:p w:rsidR="007334F1" w:rsidRPr="00882F11" w:rsidRDefault="005472CF" w:rsidP="00DA72FF">
      <w:pPr>
        <w:tabs>
          <w:tab w:val="right" w:pos="7497"/>
        </w:tabs>
        <w:bidi/>
        <w:jc w:val="both"/>
        <w:rPr>
          <w:rFonts w:cs="Guttman Drogolin"/>
          <w:rtl/>
          <w:lang w:bidi="he-IL"/>
        </w:rPr>
      </w:pPr>
      <w:r>
        <w:rPr>
          <w:rFonts w:cs="Guttman Drogolin"/>
          <w:rtl/>
          <w:lang w:bidi="he-IL"/>
        </w:rPr>
        <w:fldChar w:fldCharType="begin"/>
      </w:r>
      <w:r>
        <w:instrText xml:space="preserve"> XE "</w:instrText>
      </w:r>
      <w:r w:rsidRPr="00E051B4">
        <w:rPr>
          <w:rFonts w:hint="cs"/>
          <w:rtl/>
          <w:lang w:bidi="he-IL"/>
        </w:rPr>
        <w:instrText>נ</w:instrText>
      </w:r>
      <w:r>
        <w:rPr>
          <w:rFonts w:eastAsiaTheme="minorEastAsia"/>
          <w:lang w:bidi="he-IL"/>
        </w:rPr>
        <w:instrText>\</w:instrText>
      </w:r>
      <w:r w:rsidRPr="00E051B4">
        <w:rPr>
          <w:rFonts w:hint="cs"/>
          <w:rtl/>
          <w:lang w:bidi="he-IL"/>
        </w:rPr>
        <w:instrText>"ט בר נ</w:instrText>
      </w:r>
      <w:r>
        <w:rPr>
          <w:rFonts w:eastAsiaTheme="minorEastAsia"/>
          <w:lang w:bidi="he-IL"/>
        </w:rPr>
        <w:instrText>\</w:instrText>
      </w:r>
      <w:r w:rsidRPr="00E051B4">
        <w:rPr>
          <w:rFonts w:hint="cs"/>
          <w:rtl/>
          <w:lang w:bidi="he-IL"/>
        </w:rPr>
        <w:instrText>"ט</w:instrText>
      </w:r>
      <w:r w:rsidRPr="00E051B4">
        <w:rPr>
          <w:rtl/>
        </w:rPr>
        <w:instrText>:</w:instrText>
      </w:r>
      <w:r w:rsidRPr="00E051B4">
        <w:rPr>
          <w:rFonts w:hint="cs"/>
          <w:rtl/>
          <w:lang w:bidi="he-IL"/>
        </w:rPr>
        <w:instrText>בנתבשלו או נצלו - הדין למעשה</w:instrText>
      </w:r>
      <w:r>
        <w:instrText xml:space="preserve">" </w:instrText>
      </w:r>
      <w:r>
        <w:rPr>
          <w:rFonts w:cs="Guttman Drogolin"/>
          <w:rtl/>
          <w:lang w:bidi="he-IL"/>
        </w:rPr>
        <w:fldChar w:fldCharType="end"/>
      </w:r>
      <w:r w:rsidR="00DA72FF" w:rsidRPr="00882F11">
        <w:rPr>
          <w:rFonts w:cs="Guttman Drogolin" w:hint="cs"/>
          <w:rtl/>
          <w:lang w:bidi="he-IL"/>
        </w:rPr>
        <w:t>לענין מעשה השו"ע מיקל לענין נתבשלו לגמרי</w:t>
      </w:r>
      <w:r w:rsidR="008E1059" w:rsidRPr="00882F11">
        <w:rPr>
          <w:rFonts w:cs="Guttman Drogolin" w:hint="cs"/>
          <w:rtl/>
          <w:lang w:bidi="he-IL"/>
        </w:rPr>
        <w:t>, אמנם יתכן שאין זה אלא בדיעבד אבל לכתחילה אוסר כל נ"ט בר נ"ט אפילו ליתנן לכותח, וכן פי' הט"ז בדף האחרון את דברי המחבר בסי' צ"ד סע' ה'. והרמ"א ועוד נו"כ מקילים בנ"ט בר נ"ט אם כבר עלו הדגים לתוך הקערה שמותר לכתחילה לאוכלם בכותח, אבל מחמירים שאסור לעשות כן לכתחילה. והנ"מ בעלו, אבל בנתבשלו אסר לכתחילה לאוכלם בכותח, והקיל בדיעבד אם כבר נפלו תלתוך הכותח. והטעם משום שאמנם מדיני נ"ט</w:t>
      </w:r>
      <w:r w:rsidR="00DA72FF" w:rsidRPr="00882F11">
        <w:rPr>
          <w:rFonts w:cs="Guttman Drogolin" w:hint="cs"/>
          <w:rtl/>
          <w:lang w:bidi="he-IL"/>
        </w:rPr>
        <w:t xml:space="preserve"> </w:t>
      </w:r>
      <w:r w:rsidR="008E1059" w:rsidRPr="00882F11">
        <w:rPr>
          <w:rFonts w:cs="Guttman Drogolin" w:hint="cs"/>
          <w:rtl/>
          <w:lang w:bidi="he-IL"/>
        </w:rPr>
        <w:t xml:space="preserve">בר נ"ט מותר ליתנם לכותח אם כבר עלו בקערה, מ"מ מחמירים לכתחילה כשיטה הסוברת </w:t>
      </w:r>
      <w:r w:rsidR="008E1059" w:rsidRPr="00882F11">
        <w:rPr>
          <w:rFonts w:cs="Guttman Drogolin" w:hint="cs"/>
          <w:rtl/>
          <w:lang w:bidi="he-IL"/>
        </w:rPr>
        <w:lastRenderedPageBreak/>
        <w:t>שבנתבשלו ליכא היתירא דנ"ט בר נ</w:t>
      </w:r>
      <w:r w:rsidR="001D7C3B" w:rsidRPr="00882F11">
        <w:rPr>
          <w:rFonts w:cs="Guttman Drogolin" w:hint="cs"/>
          <w:rtl/>
          <w:lang w:bidi="he-IL"/>
        </w:rPr>
        <w:t>"ט, ולכן אם לא נתן בכותח, עדיף ל</w:t>
      </w:r>
      <w:r w:rsidR="008E1059" w:rsidRPr="00882F11">
        <w:rPr>
          <w:rFonts w:cs="Guttman Drogolin" w:hint="cs"/>
          <w:rtl/>
          <w:lang w:bidi="he-IL"/>
        </w:rPr>
        <w:t xml:space="preserve">החמיר כשיטה הזאת ולא ליתנם לכותח. אבל בדיעבד שכבר נפל לכותח גם הרמ"א סבר שאפשר להקל כשיטה הסוברת שאין חילוק בין נתבשלו לעלו. ולענין נצלו ע' בש"ך ס"ק ד' בשם רש"ל שאין להקל אפילו בדיעבד. </w:t>
      </w:r>
      <w:r w:rsidR="00DF656F" w:rsidRPr="00882F11">
        <w:rPr>
          <w:rFonts w:cs="Guttman Drogolin" w:hint="cs"/>
          <w:rtl/>
          <w:lang w:bidi="he-IL"/>
        </w:rPr>
        <w:t>אמנם בס' בדי השולחן (סס"ק כ"ה)</w:t>
      </w:r>
      <w:r w:rsidR="002C7EBC" w:rsidRPr="00882F11">
        <w:rPr>
          <w:rFonts w:cs="Guttman Drogolin" w:hint="cs"/>
          <w:rtl/>
          <w:lang w:bidi="he-IL"/>
        </w:rPr>
        <w:t xml:space="preserve"> </w:t>
      </w:r>
      <w:r w:rsidR="00DF656F" w:rsidRPr="00882F11">
        <w:rPr>
          <w:rFonts w:cs="Guttman Drogolin" w:hint="cs"/>
          <w:rtl/>
          <w:lang w:bidi="he-IL"/>
        </w:rPr>
        <w:t>העיר שאמנם יש שאחזו כדעת רש"ל (החוו"ד והבית לחם יהודה) מ"מ הרבה גדולי אחרונים דעתם להקל בדיעבד אפילו נצלו (פר"ח מנ"י וחכמ"א) ולכן הסיק שעיקר הדין להקל גם בזה בדיעבד, אבל המחמיר תע"ב.</w:t>
      </w:r>
      <w:r w:rsidR="002C7EBC" w:rsidRPr="00882F11">
        <w:rPr>
          <w:rFonts w:cs="Guttman Drogolin" w:hint="cs"/>
          <w:rtl/>
          <w:lang w:bidi="he-IL"/>
        </w:rPr>
        <w:t xml:space="preserve"> </w:t>
      </w:r>
      <w:r w:rsidR="009E3FE3" w:rsidRPr="00882F11">
        <w:rPr>
          <w:rFonts w:cs="Guttman Drogolin" w:hint="cs"/>
          <w:rtl/>
          <w:lang w:bidi="he-IL"/>
        </w:rPr>
        <w:t xml:space="preserve"> </w:t>
      </w:r>
      <w:r w:rsidR="00EB1465" w:rsidRPr="00882F11">
        <w:rPr>
          <w:rFonts w:cs="Guttman Drogolin" w:hint="cs"/>
          <w:rtl/>
          <w:lang w:bidi="he-IL"/>
        </w:rPr>
        <w:t xml:space="preserve"> </w:t>
      </w:r>
    </w:p>
    <w:p w:rsidR="007334F1" w:rsidRPr="00882F11" w:rsidRDefault="007334F1" w:rsidP="0078079C">
      <w:pPr>
        <w:pStyle w:val="Heading1"/>
        <w:bidi/>
        <w:spacing w:before="0" w:line="360" w:lineRule="auto"/>
        <w:jc w:val="center"/>
        <w:rPr>
          <w:rFonts w:cs="Guttman Drogolin"/>
          <w:color w:val="auto"/>
          <w:sz w:val="24"/>
          <w:szCs w:val="24"/>
          <w:u w:val="single"/>
          <w:rtl/>
          <w:lang w:bidi="he-IL"/>
        </w:rPr>
      </w:pPr>
      <w:bookmarkStart w:id="264" w:name="_Toc496175517"/>
      <w:r w:rsidRPr="00882F11">
        <w:rPr>
          <w:rFonts w:cs="Guttman Drogolin" w:hint="cs"/>
          <w:color w:val="auto"/>
          <w:sz w:val="24"/>
          <w:szCs w:val="24"/>
          <w:u w:val="single"/>
          <w:rtl/>
          <w:lang w:bidi="he-IL"/>
        </w:rPr>
        <w:t>נ"ט בר נ"ט שאינו ב"י לכתחילה</w:t>
      </w:r>
      <w:bookmarkEnd w:id="264"/>
    </w:p>
    <w:p w:rsidR="00CB39A9" w:rsidRPr="00882F11" w:rsidRDefault="005472CF" w:rsidP="00CB39A9">
      <w:pPr>
        <w:tabs>
          <w:tab w:val="right" w:pos="7497"/>
        </w:tabs>
        <w:bidi/>
        <w:jc w:val="both"/>
        <w:rPr>
          <w:rFonts w:cs="Guttman Drogolin"/>
          <w:rtl/>
          <w:lang w:bidi="he-IL"/>
        </w:rPr>
      </w:pPr>
      <w:r>
        <w:rPr>
          <w:rFonts w:cs="Guttman Drogolin"/>
          <w:rtl/>
          <w:lang w:bidi="he-IL"/>
        </w:rPr>
        <w:fldChar w:fldCharType="begin"/>
      </w:r>
      <w:r>
        <w:instrText xml:space="preserve"> XE "</w:instrText>
      </w:r>
      <w:r w:rsidRPr="001A3236">
        <w:rPr>
          <w:rFonts w:hint="cs"/>
          <w:rtl/>
          <w:lang w:bidi="he-IL"/>
        </w:rPr>
        <w:instrText>נ</w:instrText>
      </w:r>
      <w:r>
        <w:rPr>
          <w:rFonts w:eastAsiaTheme="minorEastAsia"/>
          <w:lang w:bidi="he-IL"/>
        </w:rPr>
        <w:instrText>\</w:instrText>
      </w:r>
      <w:r w:rsidRPr="001A3236">
        <w:rPr>
          <w:rFonts w:hint="cs"/>
          <w:rtl/>
          <w:lang w:bidi="he-IL"/>
        </w:rPr>
        <w:instrText>"ט בר נ</w:instrText>
      </w:r>
      <w:r>
        <w:rPr>
          <w:rFonts w:eastAsiaTheme="minorEastAsia"/>
          <w:lang w:bidi="he-IL"/>
        </w:rPr>
        <w:instrText>\</w:instrText>
      </w:r>
      <w:r w:rsidRPr="001A3236">
        <w:rPr>
          <w:rFonts w:hint="cs"/>
          <w:rtl/>
          <w:lang w:bidi="he-IL"/>
        </w:rPr>
        <w:instrText>"ט</w:instrText>
      </w:r>
      <w:r w:rsidRPr="001A3236">
        <w:rPr>
          <w:rtl/>
        </w:rPr>
        <w:instrText>:</w:instrText>
      </w:r>
      <w:r w:rsidRPr="001A3236">
        <w:rPr>
          <w:rFonts w:hint="cs"/>
          <w:rtl/>
          <w:lang w:bidi="he-IL"/>
        </w:rPr>
        <w:instrText>לכתחילה - בכלי שאינו בן יומו</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3B1808">
        <w:rPr>
          <w:rFonts w:hint="cs"/>
          <w:rtl/>
          <w:lang w:bidi="he-IL"/>
        </w:rPr>
        <w:instrText>כלי שאינו בן יומו</w:instrText>
      </w:r>
      <w:r w:rsidRPr="003B1808">
        <w:rPr>
          <w:rtl/>
        </w:rPr>
        <w:instrText>:</w:instrText>
      </w:r>
      <w:r w:rsidRPr="003B1808">
        <w:rPr>
          <w:rFonts w:hint="cs"/>
          <w:rtl/>
          <w:lang w:bidi="he-IL"/>
        </w:rPr>
        <w:instrText>לכתחילה - בנ</w:instrText>
      </w:r>
      <w:r>
        <w:rPr>
          <w:rFonts w:eastAsiaTheme="minorEastAsia"/>
          <w:lang w:bidi="he-IL"/>
        </w:rPr>
        <w:instrText>\</w:instrText>
      </w:r>
      <w:r w:rsidRPr="003B1808">
        <w:rPr>
          <w:rFonts w:hint="cs"/>
          <w:rtl/>
          <w:lang w:bidi="he-IL"/>
        </w:rPr>
        <w:instrText>"ט בר נ</w:instrText>
      </w:r>
      <w:r>
        <w:rPr>
          <w:rFonts w:eastAsiaTheme="minorEastAsia"/>
          <w:lang w:bidi="he-IL"/>
        </w:rPr>
        <w:instrText>\</w:instrText>
      </w:r>
      <w:r w:rsidRPr="003B1808">
        <w:rPr>
          <w:rFonts w:hint="cs"/>
          <w:rtl/>
          <w:lang w:bidi="he-IL"/>
        </w:rPr>
        <w:instrText>"ט דהיתירא</w:instrText>
      </w:r>
      <w:r>
        <w:instrText xml:space="preserve">" </w:instrText>
      </w:r>
      <w:r>
        <w:rPr>
          <w:rFonts w:cs="Guttman Drogolin"/>
          <w:rtl/>
          <w:lang w:bidi="he-IL"/>
        </w:rPr>
        <w:fldChar w:fldCharType="end"/>
      </w:r>
      <w:r w:rsidR="007334F1" w:rsidRPr="00882F11">
        <w:rPr>
          <w:rFonts w:cs="Guttman Drogolin" w:hint="cs"/>
          <w:rtl/>
          <w:lang w:bidi="he-IL"/>
        </w:rPr>
        <w:t xml:space="preserve">כתב הרמ"א </w:t>
      </w:r>
      <w:r w:rsidR="00CB39A9" w:rsidRPr="00882F11">
        <w:rPr>
          <w:rFonts w:cs="Guttman Drogolin" w:hint="cs"/>
          <w:rtl/>
          <w:lang w:bidi="he-IL"/>
        </w:rPr>
        <w:t>"וכן</w:t>
      </w:r>
      <w:r w:rsidR="00CB39A9" w:rsidRPr="00882F11">
        <w:rPr>
          <w:rFonts w:cs="Guttman Drogolin"/>
          <w:rtl/>
          <w:lang w:bidi="he-IL"/>
        </w:rPr>
        <w:t xml:space="preserve"> </w:t>
      </w:r>
      <w:r w:rsidR="00CB39A9" w:rsidRPr="00882F11">
        <w:rPr>
          <w:rFonts w:cs="Guttman Drogolin" w:hint="cs"/>
          <w:rtl/>
          <w:lang w:bidi="he-IL"/>
        </w:rPr>
        <w:t>אם</w:t>
      </w:r>
      <w:r w:rsidR="00CB39A9" w:rsidRPr="00882F11">
        <w:rPr>
          <w:rFonts w:cs="Guttman Drogolin"/>
          <w:rtl/>
          <w:lang w:bidi="he-IL"/>
        </w:rPr>
        <w:t xml:space="preserve"> </w:t>
      </w:r>
      <w:r w:rsidR="00CB39A9" w:rsidRPr="00882F11">
        <w:rPr>
          <w:rFonts w:cs="Guttman Drogolin" w:hint="cs"/>
          <w:rtl/>
          <w:lang w:bidi="he-IL"/>
        </w:rPr>
        <w:t>היה</w:t>
      </w:r>
      <w:r w:rsidR="00CB39A9" w:rsidRPr="00882F11">
        <w:rPr>
          <w:rFonts w:cs="Guttman Drogolin"/>
          <w:rtl/>
          <w:lang w:bidi="he-IL"/>
        </w:rPr>
        <w:t xml:space="preserve"> </w:t>
      </w:r>
      <w:r w:rsidR="00CB39A9" w:rsidRPr="00882F11">
        <w:rPr>
          <w:rFonts w:cs="Guttman Drogolin" w:hint="cs"/>
          <w:rtl/>
          <w:lang w:bidi="he-IL"/>
        </w:rPr>
        <w:t>הכלי</w:t>
      </w:r>
      <w:r w:rsidR="00CB39A9" w:rsidRPr="00882F11">
        <w:rPr>
          <w:rFonts w:cs="Guttman Drogolin"/>
          <w:rtl/>
          <w:lang w:bidi="he-IL"/>
        </w:rPr>
        <w:t xml:space="preserve"> </w:t>
      </w:r>
      <w:r w:rsidR="00CB39A9" w:rsidRPr="00882F11">
        <w:rPr>
          <w:rFonts w:cs="Guttman Drogolin" w:hint="cs"/>
          <w:rtl/>
          <w:lang w:bidi="he-IL"/>
        </w:rPr>
        <w:t>שנתבשלו</w:t>
      </w:r>
      <w:r w:rsidR="00CB39A9" w:rsidRPr="00882F11">
        <w:rPr>
          <w:rFonts w:cs="Guttman Drogolin"/>
          <w:rtl/>
          <w:lang w:bidi="he-IL"/>
        </w:rPr>
        <w:t xml:space="preserve"> </w:t>
      </w:r>
      <w:r w:rsidR="00CB39A9" w:rsidRPr="00882F11">
        <w:rPr>
          <w:rFonts w:cs="Guttman Drogolin" w:hint="cs"/>
          <w:rtl/>
          <w:lang w:bidi="he-IL"/>
        </w:rPr>
        <w:t>או</w:t>
      </w:r>
      <w:r w:rsidR="00CB39A9" w:rsidRPr="00882F11">
        <w:rPr>
          <w:rFonts w:cs="Guttman Drogolin"/>
          <w:rtl/>
          <w:lang w:bidi="he-IL"/>
        </w:rPr>
        <w:t xml:space="preserve"> </w:t>
      </w:r>
      <w:r w:rsidR="00CB39A9" w:rsidRPr="00882F11">
        <w:rPr>
          <w:rFonts w:cs="Guttman Drogolin" w:hint="cs"/>
          <w:rtl/>
          <w:lang w:bidi="he-IL"/>
        </w:rPr>
        <w:t>נצלו</w:t>
      </w:r>
      <w:r w:rsidR="00CB39A9" w:rsidRPr="00882F11">
        <w:rPr>
          <w:rFonts w:cs="Guttman Drogolin"/>
          <w:rtl/>
          <w:lang w:bidi="he-IL"/>
        </w:rPr>
        <w:t xml:space="preserve"> </w:t>
      </w:r>
      <w:r w:rsidR="00CB39A9" w:rsidRPr="00882F11">
        <w:rPr>
          <w:rFonts w:cs="Guttman Drogolin" w:hint="cs"/>
          <w:rtl/>
          <w:lang w:bidi="he-IL"/>
        </w:rPr>
        <w:t>בו</w:t>
      </w:r>
      <w:r w:rsidR="00CB39A9" w:rsidRPr="00882F11">
        <w:rPr>
          <w:rFonts w:cs="Guttman Drogolin"/>
          <w:rtl/>
          <w:lang w:bidi="he-IL"/>
        </w:rPr>
        <w:t xml:space="preserve"> </w:t>
      </w:r>
      <w:r w:rsidR="00CB39A9" w:rsidRPr="00882F11">
        <w:rPr>
          <w:rFonts w:cs="Guttman Drogolin" w:hint="cs"/>
          <w:rtl/>
          <w:lang w:bidi="he-IL"/>
        </w:rPr>
        <w:t>לפגם</w:t>
      </w:r>
      <w:r w:rsidR="00CB39A9" w:rsidRPr="00882F11">
        <w:rPr>
          <w:rFonts w:cs="Guttman Drogolin"/>
          <w:rtl/>
          <w:lang w:bidi="he-IL"/>
        </w:rPr>
        <w:t xml:space="preserve"> </w:t>
      </w:r>
      <w:r w:rsidR="00CB39A9" w:rsidRPr="00882F11">
        <w:rPr>
          <w:rFonts w:cs="Guttman Drogolin" w:hint="cs"/>
          <w:rtl/>
          <w:lang w:bidi="he-IL"/>
        </w:rPr>
        <w:t>שלא</w:t>
      </w:r>
      <w:r w:rsidR="00CB39A9" w:rsidRPr="00882F11">
        <w:rPr>
          <w:rFonts w:cs="Guttman Drogolin"/>
          <w:rtl/>
          <w:lang w:bidi="he-IL"/>
        </w:rPr>
        <w:t xml:space="preserve"> </w:t>
      </w:r>
      <w:r w:rsidR="00CB39A9" w:rsidRPr="00882F11">
        <w:rPr>
          <w:rFonts w:cs="Guttman Drogolin" w:hint="cs"/>
          <w:rtl/>
          <w:lang w:bidi="he-IL"/>
        </w:rPr>
        <w:t>היה</w:t>
      </w:r>
      <w:r w:rsidR="00CB39A9" w:rsidRPr="00882F11">
        <w:rPr>
          <w:rFonts w:cs="Guttman Drogolin"/>
          <w:rtl/>
          <w:lang w:bidi="he-IL"/>
        </w:rPr>
        <w:t xml:space="preserve"> </w:t>
      </w:r>
      <w:r w:rsidR="00CB39A9" w:rsidRPr="00882F11">
        <w:rPr>
          <w:rFonts w:cs="Guttman Drogolin" w:hint="cs"/>
          <w:rtl/>
          <w:lang w:bidi="he-IL"/>
        </w:rPr>
        <w:t>בן</w:t>
      </w:r>
      <w:r w:rsidR="00CB39A9" w:rsidRPr="00882F11">
        <w:rPr>
          <w:rFonts w:cs="Guttman Drogolin"/>
          <w:rtl/>
          <w:lang w:bidi="he-IL"/>
        </w:rPr>
        <w:t xml:space="preserve"> </w:t>
      </w:r>
      <w:r w:rsidR="00CB39A9" w:rsidRPr="00882F11">
        <w:rPr>
          <w:rFonts w:cs="Guttman Drogolin" w:hint="cs"/>
          <w:rtl/>
          <w:lang w:bidi="he-IL"/>
        </w:rPr>
        <w:t>יומו</w:t>
      </w:r>
      <w:r w:rsidR="00CB39A9" w:rsidRPr="00882F11">
        <w:rPr>
          <w:rFonts w:cs="Guttman Drogolin"/>
          <w:rtl/>
          <w:lang w:bidi="he-IL"/>
        </w:rPr>
        <w:t xml:space="preserve"> </w:t>
      </w:r>
      <w:r w:rsidR="00CB39A9" w:rsidRPr="00882F11">
        <w:rPr>
          <w:rFonts w:cs="Guttman Drogolin" w:hint="cs"/>
          <w:rtl/>
          <w:lang w:bidi="he-IL"/>
        </w:rPr>
        <w:t>נוהגין</w:t>
      </w:r>
      <w:r w:rsidR="00CB39A9" w:rsidRPr="00882F11">
        <w:rPr>
          <w:rFonts w:cs="Guttman Drogolin"/>
          <w:rtl/>
          <w:lang w:bidi="he-IL"/>
        </w:rPr>
        <w:t xml:space="preserve"> </w:t>
      </w:r>
      <w:r w:rsidR="00CB39A9" w:rsidRPr="00882F11">
        <w:rPr>
          <w:rFonts w:cs="Guttman Drogolin" w:hint="cs"/>
          <w:rtl/>
          <w:lang w:bidi="he-IL"/>
        </w:rPr>
        <w:t>היתר</w:t>
      </w:r>
      <w:r w:rsidR="00CB39A9" w:rsidRPr="00882F11">
        <w:rPr>
          <w:rFonts w:cs="Guttman Drogolin"/>
          <w:rtl/>
          <w:lang w:bidi="he-IL"/>
        </w:rPr>
        <w:t xml:space="preserve"> </w:t>
      </w:r>
      <w:r w:rsidR="00CB39A9" w:rsidRPr="00882F11">
        <w:rPr>
          <w:rFonts w:cs="Guttman Drogolin" w:hint="cs"/>
          <w:rtl/>
          <w:lang w:bidi="he-IL"/>
        </w:rPr>
        <w:t>לכתחלה</w:t>
      </w:r>
      <w:r w:rsidR="00CB39A9" w:rsidRPr="00882F11">
        <w:rPr>
          <w:rFonts w:cs="Guttman Drogolin"/>
          <w:rtl/>
          <w:lang w:bidi="he-IL"/>
        </w:rPr>
        <w:t xml:space="preserve"> </w:t>
      </w:r>
      <w:r w:rsidR="00CB39A9" w:rsidRPr="00882F11">
        <w:rPr>
          <w:rFonts w:cs="Guttman Drogolin" w:hint="cs"/>
          <w:rtl/>
          <w:lang w:bidi="he-IL"/>
        </w:rPr>
        <w:t>לאכלו</w:t>
      </w:r>
      <w:r w:rsidR="00CB39A9" w:rsidRPr="00882F11">
        <w:rPr>
          <w:rFonts w:cs="Guttman Drogolin"/>
          <w:rtl/>
          <w:lang w:bidi="he-IL"/>
        </w:rPr>
        <w:t xml:space="preserve"> </w:t>
      </w:r>
      <w:r w:rsidR="00CB39A9" w:rsidRPr="00882F11">
        <w:rPr>
          <w:rFonts w:cs="Guttman Drogolin" w:hint="cs"/>
          <w:rtl/>
          <w:lang w:bidi="he-IL"/>
        </w:rPr>
        <w:t>עם</w:t>
      </w:r>
      <w:r w:rsidR="00CB39A9" w:rsidRPr="00882F11">
        <w:rPr>
          <w:rFonts w:cs="Guttman Drogolin"/>
          <w:rtl/>
          <w:lang w:bidi="he-IL"/>
        </w:rPr>
        <w:t xml:space="preserve"> </w:t>
      </w:r>
      <w:r w:rsidR="00CB39A9" w:rsidRPr="00882F11">
        <w:rPr>
          <w:rFonts w:cs="Guttman Drogolin" w:hint="cs"/>
          <w:rtl/>
          <w:lang w:bidi="he-IL"/>
        </w:rPr>
        <w:t>המין</w:t>
      </w:r>
      <w:r w:rsidR="00CB39A9" w:rsidRPr="00882F11">
        <w:rPr>
          <w:rFonts w:cs="Guttman Drogolin"/>
          <w:rtl/>
          <w:lang w:bidi="he-IL"/>
        </w:rPr>
        <w:t xml:space="preserve"> </w:t>
      </w:r>
      <w:r w:rsidR="00CB39A9" w:rsidRPr="00882F11">
        <w:rPr>
          <w:rFonts w:cs="Guttman Drogolin" w:hint="cs"/>
          <w:rtl/>
          <w:lang w:bidi="he-IL"/>
        </w:rPr>
        <w:t xml:space="preserve">השני". וע' בבדה"ש ס"ק ל"ב שכתב שהחידוש הואו דהו"א דרק באיסור מקילין בנטל"פ בדיעבד כיון דאל"כ יהא אסור בכילה, אבל בהיתר כיון שיכול לאכלו עם מינו לא יאכלנו עם המין השני, קמ"ל שגם בזה מותר. וע"כ חידוש זה ליכא אלא בנתבשלו, דהא בעלו הרי אפילו בן יומו מותר לאכלו לכתחילה בכותח. </w:t>
      </w:r>
    </w:p>
    <w:p w:rsidR="00BC63AE" w:rsidRPr="00882F11" w:rsidRDefault="00CB39A9" w:rsidP="00CB39A9">
      <w:pPr>
        <w:tabs>
          <w:tab w:val="right" w:pos="7497"/>
        </w:tabs>
        <w:bidi/>
        <w:jc w:val="both"/>
        <w:rPr>
          <w:rFonts w:cs="Guttman Drogolin"/>
          <w:rtl/>
          <w:lang w:bidi="he-IL"/>
        </w:rPr>
      </w:pPr>
      <w:r w:rsidRPr="00882F11">
        <w:rPr>
          <w:rFonts w:cs="Guttman Drogolin" w:hint="cs"/>
          <w:rtl/>
          <w:lang w:bidi="he-IL"/>
        </w:rPr>
        <w:t xml:space="preserve">והרמ"א נקט שכן הדין בדיעבד, ומשמע שלכתחילה אסור. ור"ל שאם רוצה לבשל ירקות בכלי בשרי שאינו ב"י כדי ליתנן בחלב אסור. וכן הוא בהדיא לדינא בחכמ"א </w:t>
      </w:r>
      <w:r w:rsidR="00BC63AE" w:rsidRPr="00882F11">
        <w:rPr>
          <w:rFonts w:cs="Guttman Drogolin" w:hint="cs"/>
          <w:rtl/>
          <w:lang w:bidi="he-IL"/>
        </w:rPr>
        <w:t>כלל מ"ח ד"ב, רק שהיקל אם אין לו כלי אחר דהוי כדיעבד, וע"ש שדקדק כן מאו"ה. ובבדה"ש דקדק מביאור הגר"א כאן בס"ק י' דלית לי' כדבר החכמ"א שגם לכתחילה מותר לבשל בכלי שאינו בן יומו דבר שאילו הי' בן יומו הי' מותר משום דהוי נ"ט בר נ"ט. שכתב על דברי הרמ"א "בכה</w:t>
      </w:r>
      <w:r w:rsidR="00BC63AE" w:rsidRPr="00882F11">
        <w:rPr>
          <w:rFonts w:cs="Guttman Drogolin"/>
          <w:rtl/>
          <w:lang w:bidi="he-IL"/>
        </w:rPr>
        <w:t>"</w:t>
      </w:r>
      <w:r w:rsidR="00BC63AE" w:rsidRPr="00882F11">
        <w:rPr>
          <w:rFonts w:cs="Guttman Drogolin" w:hint="cs"/>
          <w:rtl/>
          <w:lang w:bidi="he-IL"/>
        </w:rPr>
        <w:t>ג</w:t>
      </w:r>
      <w:r w:rsidR="00BC63AE" w:rsidRPr="00882F11">
        <w:rPr>
          <w:rFonts w:cs="Guttman Drogolin"/>
          <w:rtl/>
          <w:lang w:bidi="he-IL"/>
        </w:rPr>
        <w:t xml:space="preserve"> </w:t>
      </w:r>
      <w:r w:rsidR="00BC63AE" w:rsidRPr="00882F11">
        <w:rPr>
          <w:rFonts w:cs="Guttman Drogolin" w:hint="cs"/>
          <w:rtl/>
          <w:lang w:bidi="he-IL"/>
        </w:rPr>
        <w:t>[שהוא אינו בן יומו] אף</w:t>
      </w:r>
      <w:r w:rsidR="00BC63AE" w:rsidRPr="00882F11">
        <w:rPr>
          <w:rFonts w:cs="Guttman Drogolin"/>
          <w:rtl/>
          <w:lang w:bidi="he-IL"/>
        </w:rPr>
        <w:t xml:space="preserve"> </w:t>
      </w:r>
      <w:r w:rsidR="00BC63AE" w:rsidRPr="00882F11">
        <w:rPr>
          <w:rFonts w:cs="Guttman Drogolin" w:hint="cs"/>
          <w:rtl/>
          <w:lang w:bidi="he-IL"/>
        </w:rPr>
        <w:t>בשל</w:t>
      </w:r>
      <w:r w:rsidR="00BC63AE" w:rsidRPr="00882F11">
        <w:rPr>
          <w:rFonts w:cs="Guttman Drogolin"/>
          <w:rtl/>
          <w:lang w:bidi="he-IL"/>
        </w:rPr>
        <w:t xml:space="preserve"> </w:t>
      </w:r>
      <w:r w:rsidR="00BC63AE" w:rsidRPr="00882F11">
        <w:rPr>
          <w:rFonts w:cs="Guttman Drogolin" w:hint="cs"/>
          <w:rtl/>
          <w:lang w:bidi="he-IL"/>
        </w:rPr>
        <w:t>איסור</w:t>
      </w:r>
      <w:r w:rsidR="00BC63AE" w:rsidRPr="00882F11">
        <w:rPr>
          <w:rFonts w:cs="Guttman Drogolin"/>
          <w:rtl/>
          <w:lang w:bidi="he-IL"/>
        </w:rPr>
        <w:t xml:space="preserve"> </w:t>
      </w:r>
      <w:r w:rsidR="00BC63AE" w:rsidRPr="00882F11">
        <w:rPr>
          <w:rFonts w:cs="Guttman Drogolin" w:hint="cs"/>
          <w:rtl/>
          <w:lang w:bidi="he-IL"/>
        </w:rPr>
        <w:t>מותר</w:t>
      </w:r>
      <w:r w:rsidR="00BC63AE" w:rsidRPr="00882F11">
        <w:rPr>
          <w:rFonts w:cs="Guttman Drogolin"/>
          <w:rtl/>
          <w:lang w:bidi="he-IL"/>
        </w:rPr>
        <w:t xml:space="preserve"> </w:t>
      </w:r>
      <w:r w:rsidR="00BC63AE" w:rsidRPr="00882F11">
        <w:rPr>
          <w:rFonts w:cs="Guttman Drogolin" w:hint="cs"/>
          <w:rtl/>
          <w:lang w:bidi="he-IL"/>
        </w:rPr>
        <w:t>כמ</w:t>
      </w:r>
      <w:r w:rsidR="00BC63AE" w:rsidRPr="00882F11">
        <w:rPr>
          <w:rFonts w:cs="Guttman Drogolin"/>
          <w:rtl/>
          <w:lang w:bidi="he-IL"/>
        </w:rPr>
        <w:t>"</w:t>
      </w:r>
      <w:r w:rsidR="00BC63AE" w:rsidRPr="00882F11">
        <w:rPr>
          <w:rFonts w:cs="Guttman Drogolin" w:hint="cs"/>
          <w:rtl/>
          <w:lang w:bidi="he-IL"/>
        </w:rPr>
        <w:t>ש</w:t>
      </w:r>
      <w:r w:rsidR="00BC63AE" w:rsidRPr="00882F11">
        <w:rPr>
          <w:rFonts w:cs="Guttman Drogolin"/>
          <w:rtl/>
          <w:lang w:bidi="he-IL"/>
        </w:rPr>
        <w:t xml:space="preserve"> </w:t>
      </w:r>
      <w:r w:rsidR="00BC63AE" w:rsidRPr="00882F11">
        <w:rPr>
          <w:rFonts w:cs="Guttman Drogolin" w:hint="cs"/>
          <w:rtl/>
          <w:lang w:bidi="he-IL"/>
        </w:rPr>
        <w:t>בתוס</w:t>
      </w:r>
      <w:r w:rsidR="00BC63AE" w:rsidRPr="00882F11">
        <w:rPr>
          <w:rFonts w:cs="Guttman Drogolin"/>
          <w:rtl/>
          <w:lang w:bidi="he-IL"/>
        </w:rPr>
        <w:t xml:space="preserve">' </w:t>
      </w:r>
      <w:r w:rsidR="00BC63AE" w:rsidRPr="00882F11">
        <w:rPr>
          <w:rFonts w:cs="Guttman Drogolin" w:hint="cs"/>
          <w:rtl/>
          <w:lang w:bidi="he-IL"/>
        </w:rPr>
        <w:t>ע</w:t>
      </w:r>
      <w:r w:rsidR="00BC63AE" w:rsidRPr="00882F11">
        <w:rPr>
          <w:rFonts w:cs="Guttman Drogolin"/>
          <w:rtl/>
          <w:lang w:bidi="he-IL"/>
        </w:rPr>
        <w:t>"</w:t>
      </w:r>
      <w:r w:rsidR="00BC63AE" w:rsidRPr="00882F11">
        <w:rPr>
          <w:rFonts w:cs="Guttman Drogolin" w:hint="cs"/>
          <w:rtl/>
          <w:lang w:bidi="he-IL"/>
        </w:rPr>
        <w:t>ז</w:t>
      </w:r>
      <w:r w:rsidR="00BC63AE" w:rsidRPr="00882F11">
        <w:rPr>
          <w:rFonts w:cs="Guttman Drogolin"/>
          <w:rtl/>
          <w:lang w:bidi="he-IL"/>
        </w:rPr>
        <w:t xml:space="preserve"> </w:t>
      </w:r>
      <w:r w:rsidR="00BC63AE" w:rsidRPr="00882F11">
        <w:rPr>
          <w:rFonts w:cs="Guttman Drogolin" w:hint="cs"/>
          <w:rtl/>
          <w:lang w:bidi="he-IL"/>
        </w:rPr>
        <w:t>ע</w:t>
      </w:r>
      <w:r w:rsidR="00BC63AE" w:rsidRPr="00882F11">
        <w:rPr>
          <w:rFonts w:cs="Guttman Drogolin"/>
          <w:rtl/>
          <w:lang w:bidi="he-IL"/>
        </w:rPr>
        <w:t>"</w:t>
      </w:r>
      <w:r w:rsidR="00BC63AE" w:rsidRPr="00882F11">
        <w:rPr>
          <w:rFonts w:cs="Guttman Drogolin" w:hint="cs"/>
          <w:rtl/>
          <w:lang w:bidi="he-IL"/>
        </w:rPr>
        <w:t>ו</w:t>
      </w:r>
      <w:r w:rsidR="00BC63AE" w:rsidRPr="00882F11">
        <w:rPr>
          <w:rFonts w:cs="Guttman Drogolin"/>
          <w:rtl/>
          <w:lang w:bidi="he-IL"/>
        </w:rPr>
        <w:t xml:space="preserve"> </w:t>
      </w:r>
      <w:r w:rsidR="00BC63AE" w:rsidRPr="00882F11">
        <w:rPr>
          <w:rFonts w:cs="Guttman Drogolin" w:hint="cs"/>
          <w:rtl/>
          <w:lang w:bidi="he-IL"/>
        </w:rPr>
        <w:t>א</w:t>
      </w:r>
      <w:r w:rsidR="00BC63AE" w:rsidRPr="00882F11">
        <w:rPr>
          <w:rFonts w:cs="Guttman Drogolin"/>
          <w:rtl/>
          <w:lang w:bidi="he-IL"/>
        </w:rPr>
        <w:t xml:space="preserve">' </w:t>
      </w:r>
      <w:r w:rsidR="00BC63AE" w:rsidRPr="00882F11">
        <w:rPr>
          <w:rFonts w:cs="Guttman Drogolin" w:hint="cs"/>
          <w:rtl/>
          <w:lang w:bidi="he-IL"/>
        </w:rPr>
        <w:t>ד</w:t>
      </w:r>
      <w:r w:rsidR="00BC63AE" w:rsidRPr="00882F11">
        <w:rPr>
          <w:rFonts w:cs="Guttman Drogolin"/>
          <w:rtl/>
          <w:lang w:bidi="he-IL"/>
        </w:rPr>
        <w:t>"</w:t>
      </w:r>
      <w:r w:rsidR="00BC63AE" w:rsidRPr="00882F11">
        <w:rPr>
          <w:rFonts w:cs="Guttman Drogolin" w:hint="cs"/>
          <w:rtl/>
          <w:lang w:bidi="he-IL"/>
        </w:rPr>
        <w:t>ה</w:t>
      </w:r>
      <w:r w:rsidR="00BC63AE" w:rsidRPr="00882F11">
        <w:rPr>
          <w:rFonts w:cs="Guttman Drogolin"/>
          <w:rtl/>
          <w:lang w:bidi="he-IL"/>
        </w:rPr>
        <w:t xml:space="preserve"> </w:t>
      </w:r>
      <w:r w:rsidR="00BC63AE" w:rsidRPr="00882F11">
        <w:rPr>
          <w:rFonts w:cs="Guttman Drogolin" w:hint="cs"/>
          <w:rtl/>
          <w:lang w:bidi="he-IL"/>
        </w:rPr>
        <w:t>מכאן</w:t>
      </w:r>
      <w:r w:rsidR="00BC63AE" w:rsidRPr="00882F11">
        <w:rPr>
          <w:rFonts w:cs="Guttman Drogolin"/>
          <w:rtl/>
          <w:lang w:bidi="he-IL"/>
        </w:rPr>
        <w:t xml:space="preserve"> </w:t>
      </w:r>
      <w:r w:rsidR="00BC63AE" w:rsidRPr="00882F11">
        <w:rPr>
          <w:rFonts w:cs="Guttman Drogolin" w:hint="cs"/>
          <w:rtl/>
          <w:lang w:bidi="he-IL"/>
        </w:rPr>
        <w:t>וכמ</w:t>
      </w:r>
      <w:r w:rsidR="00BC63AE" w:rsidRPr="00882F11">
        <w:rPr>
          <w:rFonts w:cs="Guttman Drogolin"/>
          <w:rtl/>
          <w:lang w:bidi="he-IL"/>
        </w:rPr>
        <w:t>"</w:t>
      </w:r>
      <w:r w:rsidR="00BC63AE" w:rsidRPr="00882F11">
        <w:rPr>
          <w:rFonts w:cs="Guttman Drogolin" w:hint="cs"/>
          <w:rtl/>
          <w:lang w:bidi="he-IL"/>
        </w:rPr>
        <w:t>ש</w:t>
      </w:r>
      <w:r w:rsidR="00BC63AE" w:rsidRPr="00882F11">
        <w:rPr>
          <w:rFonts w:cs="Guttman Drogolin"/>
          <w:rtl/>
          <w:lang w:bidi="he-IL"/>
        </w:rPr>
        <w:t xml:space="preserve"> </w:t>
      </w:r>
      <w:r w:rsidR="00BC63AE" w:rsidRPr="00882F11">
        <w:rPr>
          <w:rFonts w:cs="Guttman Drogolin" w:hint="cs"/>
          <w:rtl/>
          <w:lang w:bidi="he-IL"/>
        </w:rPr>
        <w:t>שם</w:t>
      </w:r>
      <w:r w:rsidR="00BC63AE" w:rsidRPr="00882F11">
        <w:rPr>
          <w:rFonts w:cs="Guttman Drogolin"/>
          <w:rtl/>
          <w:lang w:bidi="he-IL"/>
        </w:rPr>
        <w:t xml:space="preserve"> </w:t>
      </w:r>
      <w:r w:rsidR="00BC63AE" w:rsidRPr="00882F11">
        <w:rPr>
          <w:rFonts w:cs="Guttman Drogolin" w:hint="cs"/>
          <w:rtl/>
          <w:lang w:bidi="he-IL"/>
        </w:rPr>
        <w:t>ל</w:t>
      </w:r>
      <w:r w:rsidR="00BC63AE" w:rsidRPr="00882F11">
        <w:rPr>
          <w:rFonts w:cs="Guttman Drogolin"/>
          <w:rtl/>
          <w:lang w:bidi="he-IL"/>
        </w:rPr>
        <w:t>"</w:t>
      </w:r>
      <w:r w:rsidR="00BC63AE" w:rsidRPr="00882F11">
        <w:rPr>
          <w:rFonts w:cs="Guttman Drogolin" w:hint="cs"/>
          <w:rtl/>
          <w:lang w:bidi="he-IL"/>
        </w:rPr>
        <w:t>ח</w:t>
      </w:r>
      <w:r w:rsidR="00BC63AE" w:rsidRPr="00882F11">
        <w:rPr>
          <w:rFonts w:cs="Guttman Drogolin"/>
          <w:rtl/>
          <w:lang w:bidi="he-IL"/>
        </w:rPr>
        <w:t xml:space="preserve"> </w:t>
      </w:r>
      <w:r w:rsidR="00BC63AE" w:rsidRPr="00882F11">
        <w:rPr>
          <w:rFonts w:cs="Guttman Drogolin" w:hint="cs"/>
          <w:rtl/>
          <w:lang w:bidi="he-IL"/>
        </w:rPr>
        <w:t>ב</w:t>
      </w:r>
      <w:r w:rsidR="00BC63AE" w:rsidRPr="00882F11">
        <w:rPr>
          <w:rFonts w:cs="Guttman Drogolin"/>
          <w:rtl/>
          <w:lang w:bidi="he-IL"/>
        </w:rPr>
        <w:t xml:space="preserve">' </w:t>
      </w:r>
      <w:r w:rsidR="00BC63AE" w:rsidRPr="00882F11">
        <w:rPr>
          <w:rFonts w:cs="Guttman Drogolin" w:hint="cs"/>
          <w:rtl/>
          <w:lang w:bidi="he-IL"/>
        </w:rPr>
        <w:t>ואף</w:t>
      </w:r>
      <w:r w:rsidR="00BC63AE" w:rsidRPr="00882F11">
        <w:rPr>
          <w:rFonts w:cs="Guttman Drogolin"/>
          <w:rtl/>
          <w:lang w:bidi="he-IL"/>
        </w:rPr>
        <w:t xml:space="preserve"> </w:t>
      </w:r>
      <w:r w:rsidR="00BC63AE" w:rsidRPr="00882F11">
        <w:rPr>
          <w:rFonts w:cs="Guttman Drogolin" w:hint="cs"/>
          <w:rtl/>
          <w:lang w:bidi="he-IL"/>
        </w:rPr>
        <w:t>בקדירה</w:t>
      </w:r>
      <w:r w:rsidR="00BC63AE" w:rsidRPr="00882F11">
        <w:rPr>
          <w:rFonts w:cs="Guttman Drogolin"/>
          <w:rtl/>
          <w:lang w:bidi="he-IL"/>
        </w:rPr>
        <w:t xml:space="preserve"> </w:t>
      </w:r>
      <w:r w:rsidR="00BC63AE" w:rsidRPr="00882F11">
        <w:rPr>
          <w:rFonts w:cs="Guttman Drogolin" w:hint="cs"/>
          <w:rtl/>
          <w:lang w:bidi="he-IL"/>
        </w:rPr>
        <w:lastRenderedPageBreak/>
        <w:t>אין</w:t>
      </w:r>
      <w:r w:rsidR="00BC63AE" w:rsidRPr="00882F11">
        <w:rPr>
          <w:rFonts w:cs="Guttman Drogolin"/>
          <w:rtl/>
          <w:lang w:bidi="he-IL"/>
        </w:rPr>
        <w:t xml:space="preserve"> </w:t>
      </w:r>
      <w:r w:rsidR="00BC63AE" w:rsidRPr="00882F11">
        <w:rPr>
          <w:rFonts w:cs="Guttman Drogolin" w:hint="cs"/>
          <w:rtl/>
          <w:lang w:bidi="he-IL"/>
        </w:rPr>
        <w:t>אסור</w:t>
      </w:r>
      <w:r w:rsidR="00BC63AE" w:rsidRPr="00882F11">
        <w:rPr>
          <w:rFonts w:cs="Guttman Drogolin"/>
          <w:rtl/>
          <w:lang w:bidi="he-IL"/>
        </w:rPr>
        <w:t xml:space="preserve"> </w:t>
      </w:r>
      <w:r w:rsidR="00BC63AE" w:rsidRPr="00882F11">
        <w:rPr>
          <w:rFonts w:cs="Guttman Drogolin" w:hint="cs"/>
          <w:rtl/>
          <w:lang w:bidi="he-IL"/>
        </w:rPr>
        <w:t>לכתחלה</w:t>
      </w:r>
      <w:r w:rsidR="00BC63AE" w:rsidRPr="00882F11">
        <w:rPr>
          <w:rFonts w:cs="Guttman Drogolin"/>
          <w:rtl/>
          <w:lang w:bidi="he-IL"/>
        </w:rPr>
        <w:t xml:space="preserve"> </w:t>
      </w:r>
      <w:r w:rsidR="00BC63AE" w:rsidRPr="00882F11">
        <w:rPr>
          <w:rFonts w:cs="Guttman Drogolin" w:hint="cs"/>
          <w:rtl/>
          <w:lang w:bidi="he-IL"/>
        </w:rPr>
        <w:t>שאינה</w:t>
      </w:r>
      <w:r w:rsidR="00BC63AE" w:rsidRPr="00882F11">
        <w:rPr>
          <w:rFonts w:cs="Guttman Drogolin"/>
          <w:rtl/>
          <w:lang w:bidi="he-IL"/>
        </w:rPr>
        <w:t xml:space="preserve"> </w:t>
      </w:r>
      <w:r w:rsidR="00BC63AE" w:rsidRPr="00882F11">
        <w:rPr>
          <w:rFonts w:cs="Guttman Drogolin" w:hint="cs"/>
          <w:rtl/>
          <w:lang w:bidi="he-IL"/>
        </w:rPr>
        <w:t>ב</w:t>
      </w:r>
      <w:r w:rsidR="00BC63AE" w:rsidRPr="00882F11">
        <w:rPr>
          <w:rFonts w:cs="Guttman Drogolin"/>
          <w:rtl/>
          <w:lang w:bidi="he-IL"/>
        </w:rPr>
        <w:t>"</w:t>
      </w:r>
      <w:r w:rsidR="00BC63AE" w:rsidRPr="00882F11">
        <w:rPr>
          <w:rFonts w:cs="Guttman Drogolin" w:hint="cs"/>
          <w:rtl/>
          <w:lang w:bidi="he-IL"/>
        </w:rPr>
        <w:t>י</w:t>
      </w:r>
      <w:r w:rsidR="00BC63AE" w:rsidRPr="00882F11">
        <w:rPr>
          <w:rFonts w:cs="Guttman Drogolin"/>
          <w:rtl/>
          <w:lang w:bidi="he-IL"/>
        </w:rPr>
        <w:t xml:space="preserve"> </w:t>
      </w:r>
      <w:r w:rsidR="00BC63AE" w:rsidRPr="00882F11">
        <w:rPr>
          <w:rFonts w:cs="Guttman Drogolin" w:hint="cs"/>
          <w:rtl/>
          <w:lang w:bidi="he-IL"/>
        </w:rPr>
        <w:t>אלא</w:t>
      </w:r>
      <w:r w:rsidR="00BC63AE" w:rsidRPr="00882F11">
        <w:rPr>
          <w:rFonts w:cs="Guttman Drogolin"/>
          <w:rtl/>
          <w:lang w:bidi="he-IL"/>
        </w:rPr>
        <w:t xml:space="preserve"> </w:t>
      </w:r>
      <w:r w:rsidR="00BC63AE" w:rsidRPr="00882F11">
        <w:rPr>
          <w:rFonts w:cs="Guttman Drogolin" w:hint="cs"/>
          <w:rtl/>
          <w:lang w:bidi="he-IL"/>
        </w:rPr>
        <w:t>משום</w:t>
      </w:r>
      <w:r w:rsidR="00BC63AE" w:rsidRPr="00882F11">
        <w:rPr>
          <w:rFonts w:cs="Guttman Drogolin"/>
          <w:rtl/>
          <w:lang w:bidi="he-IL"/>
        </w:rPr>
        <w:t xml:space="preserve"> </w:t>
      </w:r>
      <w:r w:rsidR="00BC63AE" w:rsidRPr="00882F11">
        <w:rPr>
          <w:rFonts w:cs="Guttman Drogolin" w:hint="cs"/>
          <w:rtl/>
          <w:lang w:bidi="he-IL"/>
        </w:rPr>
        <w:t>גזירה</w:t>
      </w:r>
      <w:r w:rsidR="00BC63AE" w:rsidRPr="00882F11">
        <w:rPr>
          <w:rFonts w:cs="Guttman Drogolin"/>
          <w:rtl/>
          <w:lang w:bidi="he-IL"/>
        </w:rPr>
        <w:t xml:space="preserve"> </w:t>
      </w:r>
      <w:r w:rsidR="00BC63AE" w:rsidRPr="00882F11">
        <w:rPr>
          <w:rFonts w:cs="Guttman Drogolin" w:hint="cs"/>
          <w:rtl/>
          <w:lang w:bidi="he-IL"/>
        </w:rPr>
        <w:t>אטו</w:t>
      </w:r>
      <w:r w:rsidR="00BC63AE" w:rsidRPr="00882F11">
        <w:rPr>
          <w:rFonts w:cs="Guttman Drogolin"/>
          <w:rtl/>
          <w:lang w:bidi="he-IL"/>
        </w:rPr>
        <w:t xml:space="preserve"> </w:t>
      </w:r>
      <w:r w:rsidR="00BC63AE" w:rsidRPr="00882F11">
        <w:rPr>
          <w:rFonts w:cs="Guttman Drogolin" w:hint="cs"/>
          <w:rtl/>
          <w:lang w:bidi="he-IL"/>
        </w:rPr>
        <w:t>ב</w:t>
      </w:r>
      <w:r w:rsidR="00BC63AE" w:rsidRPr="00882F11">
        <w:rPr>
          <w:rFonts w:cs="Guttman Drogolin"/>
          <w:rtl/>
          <w:lang w:bidi="he-IL"/>
        </w:rPr>
        <w:t>"</w:t>
      </w:r>
      <w:r w:rsidR="00BC63AE" w:rsidRPr="00882F11">
        <w:rPr>
          <w:rFonts w:cs="Guttman Drogolin" w:hint="cs"/>
          <w:rtl/>
          <w:lang w:bidi="he-IL"/>
        </w:rPr>
        <w:t>י</w:t>
      </w:r>
      <w:r w:rsidR="00BC63AE" w:rsidRPr="00882F11">
        <w:rPr>
          <w:rFonts w:cs="Guttman Drogolin"/>
          <w:rtl/>
          <w:lang w:bidi="he-IL"/>
        </w:rPr>
        <w:t xml:space="preserve"> </w:t>
      </w:r>
      <w:r w:rsidR="00BC63AE" w:rsidRPr="00882F11">
        <w:rPr>
          <w:rFonts w:cs="Guttman Drogolin" w:hint="cs"/>
          <w:rtl/>
          <w:lang w:bidi="he-IL"/>
        </w:rPr>
        <w:t>משא</w:t>
      </w:r>
      <w:r w:rsidR="00BC63AE" w:rsidRPr="00882F11">
        <w:rPr>
          <w:rFonts w:cs="Guttman Drogolin"/>
          <w:rtl/>
          <w:lang w:bidi="he-IL"/>
        </w:rPr>
        <w:t>"</w:t>
      </w:r>
      <w:r w:rsidR="00BC63AE" w:rsidRPr="00882F11">
        <w:rPr>
          <w:rFonts w:cs="Guttman Drogolin" w:hint="cs"/>
          <w:rtl/>
          <w:lang w:bidi="he-IL"/>
        </w:rPr>
        <w:t>כ</w:t>
      </w:r>
      <w:r w:rsidR="00BC63AE" w:rsidRPr="00882F11">
        <w:rPr>
          <w:rFonts w:cs="Guttman Drogolin"/>
          <w:rtl/>
          <w:lang w:bidi="he-IL"/>
        </w:rPr>
        <w:t xml:space="preserve"> </w:t>
      </w:r>
      <w:r w:rsidR="00BC63AE" w:rsidRPr="00882F11">
        <w:rPr>
          <w:rFonts w:cs="Guttman Drogolin" w:hint="cs"/>
          <w:rtl/>
          <w:lang w:bidi="he-IL"/>
        </w:rPr>
        <w:t>כאן</w:t>
      </w:r>
      <w:r w:rsidR="00BC63AE" w:rsidRPr="00882F11">
        <w:rPr>
          <w:rFonts w:cs="Guttman Drogolin"/>
          <w:rtl/>
          <w:lang w:bidi="he-IL"/>
        </w:rPr>
        <w:t xml:space="preserve"> </w:t>
      </w:r>
      <w:r w:rsidR="00BC63AE" w:rsidRPr="00882F11">
        <w:rPr>
          <w:rFonts w:cs="Guttman Drogolin" w:hint="cs"/>
          <w:rtl/>
          <w:lang w:bidi="he-IL"/>
        </w:rPr>
        <w:t>דאף</w:t>
      </w:r>
      <w:r w:rsidR="00BC63AE" w:rsidRPr="00882F11">
        <w:rPr>
          <w:rFonts w:cs="Guttman Drogolin"/>
          <w:rtl/>
          <w:lang w:bidi="he-IL"/>
        </w:rPr>
        <w:t xml:space="preserve"> </w:t>
      </w:r>
      <w:r w:rsidR="00BC63AE" w:rsidRPr="00882F11">
        <w:rPr>
          <w:rFonts w:cs="Guttman Drogolin" w:hint="cs"/>
          <w:rtl/>
          <w:lang w:bidi="he-IL"/>
        </w:rPr>
        <w:t>ב</w:t>
      </w:r>
      <w:r w:rsidR="00BC63AE" w:rsidRPr="00882F11">
        <w:rPr>
          <w:rFonts w:cs="Guttman Drogolin"/>
          <w:rtl/>
          <w:lang w:bidi="he-IL"/>
        </w:rPr>
        <w:t>"</w:t>
      </w:r>
      <w:r w:rsidR="00BC63AE" w:rsidRPr="00882F11">
        <w:rPr>
          <w:rFonts w:cs="Guttman Drogolin" w:hint="cs"/>
          <w:rtl/>
          <w:lang w:bidi="he-IL"/>
        </w:rPr>
        <w:t>י</w:t>
      </w:r>
      <w:r w:rsidR="00BC63AE" w:rsidRPr="00882F11">
        <w:rPr>
          <w:rFonts w:cs="Guttman Drogolin"/>
          <w:rtl/>
          <w:lang w:bidi="he-IL"/>
        </w:rPr>
        <w:t xml:space="preserve"> </w:t>
      </w:r>
      <w:r w:rsidR="00BC63AE" w:rsidRPr="00882F11">
        <w:rPr>
          <w:rFonts w:cs="Guttman Drogolin" w:hint="cs"/>
          <w:rtl/>
          <w:lang w:bidi="he-IL"/>
        </w:rPr>
        <w:t>מותר</w:t>
      </w:r>
      <w:r w:rsidR="00BC63AE" w:rsidRPr="00882F11">
        <w:rPr>
          <w:rFonts w:cs="Guttman Drogolin"/>
          <w:rtl/>
          <w:lang w:bidi="he-IL"/>
        </w:rPr>
        <w:t xml:space="preserve"> </w:t>
      </w:r>
      <w:r w:rsidR="00BC63AE" w:rsidRPr="00882F11">
        <w:rPr>
          <w:rFonts w:cs="Guttman Drogolin" w:hint="cs"/>
          <w:rtl/>
          <w:lang w:bidi="he-IL"/>
        </w:rPr>
        <w:t>מדינא</w:t>
      </w:r>
      <w:r w:rsidR="00BC63AE" w:rsidRPr="00882F11">
        <w:rPr>
          <w:rFonts w:cs="Guttman Drogolin"/>
          <w:rtl/>
          <w:lang w:bidi="he-IL"/>
        </w:rPr>
        <w:t xml:space="preserve"> </w:t>
      </w:r>
      <w:r w:rsidR="00BC63AE" w:rsidRPr="00882F11">
        <w:rPr>
          <w:rFonts w:cs="Guttman Drogolin" w:hint="cs"/>
          <w:rtl/>
          <w:lang w:bidi="he-IL"/>
        </w:rPr>
        <w:t>כנ</w:t>
      </w:r>
      <w:r w:rsidR="00BC63AE" w:rsidRPr="00882F11">
        <w:rPr>
          <w:rFonts w:cs="Guttman Drogolin"/>
          <w:rtl/>
          <w:lang w:bidi="he-IL"/>
        </w:rPr>
        <w:t>"</w:t>
      </w:r>
      <w:r w:rsidR="00BC63AE" w:rsidRPr="00882F11">
        <w:rPr>
          <w:rFonts w:cs="Guttman Drogolin" w:hint="cs"/>
          <w:rtl/>
          <w:lang w:bidi="he-IL"/>
        </w:rPr>
        <w:t>ל". ור"ל שהבין סוף דבריו שהחומרא של קדירה לכתחילה לא שייך כאן כיון דהוי גזירה אינו ב"י אטו ב"י, וכאן הרי מותר בדיעבד. (וע' מגי"ס שדחה משמעות זו מדברי הגר"א).</w:t>
      </w:r>
    </w:p>
    <w:p w:rsidR="00CB39A9" w:rsidRPr="00882F11" w:rsidRDefault="00BC63AE" w:rsidP="00951ABC">
      <w:pPr>
        <w:tabs>
          <w:tab w:val="right" w:pos="7497"/>
        </w:tabs>
        <w:bidi/>
        <w:jc w:val="both"/>
        <w:rPr>
          <w:rFonts w:cs="Guttman Drogolin"/>
          <w:rtl/>
          <w:lang w:bidi="he-IL"/>
        </w:rPr>
      </w:pPr>
      <w:r w:rsidRPr="00882F11">
        <w:rPr>
          <w:rFonts w:cs="Guttman Drogolin" w:hint="cs"/>
          <w:rtl/>
          <w:lang w:bidi="he-IL"/>
        </w:rPr>
        <w:t>ומ"מ מסופקני אפילו לדברי החכמ"א אם כוונתו להחמיר דוקא בא"י ונ"ט בר נ"ט בנתבשלו או"ד אפילו באלו. ור"ל שיש לומר דכיון שהרמ"א החמיר לכתחילה כדעת המחלקיים בין נתבשלו לעלו, לכן כיון שלשיטתם נתבשלו לית לי' ההיתר של נ"ט בר נ"ט, א"כ לשיטה זו יוצא שיש כאן טעם שאלמלא</w:t>
      </w:r>
      <w:r w:rsidRPr="00882F11">
        <w:rPr>
          <w:rFonts w:cs="Guttman Drogolin"/>
          <w:rtl/>
          <w:lang w:bidi="he-IL"/>
        </w:rPr>
        <w:t xml:space="preserve"> </w:t>
      </w:r>
      <w:r w:rsidRPr="00882F11">
        <w:rPr>
          <w:rFonts w:cs="Guttman Drogolin" w:hint="cs"/>
          <w:rtl/>
          <w:lang w:bidi="he-IL"/>
        </w:rPr>
        <w:t>זה שהי' אב"י הי' אסור. ולכן לכתחילה אין משתמשים בכלי זה שאינו בן יומו, וכמו כלל דברי הרמ"א שאוסרים נתבשלו לכתחילה. (אע"פ שהי' מקום להקל גם בנתבשלו, כיון שסוף כל סוף אנחנו מקילים בדיעבד בנתבשלו אפילו בבן יומו, ולכן אין להחמיר לכתחילה באינו ב"י). אמנם להניח מאכל חם בכלי בשרי שאינו בן יומו ע"מ לאכלו בכותח</w:t>
      </w:r>
      <w:r w:rsidR="00951ABC" w:rsidRPr="00882F11">
        <w:rPr>
          <w:rFonts w:cs="Guttman Drogolin" w:hint="cs"/>
          <w:rtl/>
          <w:lang w:bidi="he-IL"/>
        </w:rPr>
        <w:t xml:space="preserve"> אולי גם הרמ"א והחכמ"א מקילים</w:t>
      </w:r>
      <w:r w:rsidR="001D7C3B" w:rsidRPr="00882F11">
        <w:rPr>
          <w:rStyle w:val="FootnoteReference"/>
          <w:rFonts w:cs="Guttman Drogolin"/>
          <w:rtl/>
          <w:lang w:bidi="he-IL"/>
        </w:rPr>
        <w:footnoteReference w:id="294"/>
      </w:r>
      <w:r w:rsidR="00951ABC" w:rsidRPr="00882F11">
        <w:rPr>
          <w:rFonts w:cs="Guttman Drogolin" w:hint="cs"/>
          <w:rtl/>
          <w:lang w:bidi="he-IL"/>
        </w:rPr>
        <w:t>. והטעם משום שכל הגזירה של אב"י הוא אטו ב"י, ולכן כאן שלכו"ע מותר בדיעבד אין מקום להחמיר באב"י לכתחילה. וא"כ הי' יוצא הדין שאמנם אסור לבשל בכלי שאינו בו יומו ע"מ להשתמש בו במין השני, אבל מותר להניח מאכל חם על הכלי כדי לאכלו עם הכלי השני. ולא מצאתי בהדיא מי שדן בזה</w:t>
      </w:r>
      <w:r w:rsidR="001D7C3B" w:rsidRPr="00882F11">
        <w:rPr>
          <w:rStyle w:val="FootnoteReference"/>
          <w:rFonts w:cs="Guttman Drogolin"/>
          <w:rtl/>
          <w:lang w:bidi="he-IL"/>
        </w:rPr>
        <w:footnoteReference w:id="295"/>
      </w:r>
      <w:r w:rsidR="00951ABC" w:rsidRPr="00882F11">
        <w:rPr>
          <w:rFonts w:cs="Guttman Drogolin" w:hint="cs"/>
          <w:rtl/>
          <w:lang w:bidi="he-IL"/>
        </w:rPr>
        <w:t xml:space="preserve">.  </w:t>
      </w:r>
      <w:r w:rsidRPr="00882F11">
        <w:rPr>
          <w:rFonts w:cs="Guttman Drogolin" w:hint="cs"/>
          <w:rtl/>
          <w:lang w:bidi="he-IL"/>
        </w:rPr>
        <w:t xml:space="preserve"> </w:t>
      </w:r>
      <w:r w:rsidR="00CB39A9" w:rsidRPr="00882F11">
        <w:rPr>
          <w:rFonts w:cs="Guttman Drogolin" w:hint="cs"/>
          <w:rtl/>
          <w:lang w:bidi="he-IL"/>
        </w:rPr>
        <w:t xml:space="preserve"> </w:t>
      </w:r>
    </w:p>
    <w:p w:rsidR="001D7C3B" w:rsidRPr="0000469F" w:rsidRDefault="001D7C3B" w:rsidP="0078079C">
      <w:pPr>
        <w:pStyle w:val="Heading1"/>
        <w:bidi/>
        <w:spacing w:before="0" w:line="360" w:lineRule="auto"/>
        <w:jc w:val="center"/>
        <w:rPr>
          <w:rFonts w:cs="Guttman Drogolin"/>
          <w:color w:val="auto"/>
          <w:sz w:val="18"/>
          <w:szCs w:val="18"/>
          <w:u w:val="single"/>
          <w:rtl/>
          <w:lang w:bidi="he-IL"/>
        </w:rPr>
      </w:pPr>
      <w:bookmarkStart w:id="265" w:name="_Toc496175518"/>
      <w:r w:rsidRPr="0000469F">
        <w:rPr>
          <w:rFonts w:cs="Guttman Drogolin" w:hint="cs"/>
          <w:color w:val="auto"/>
          <w:sz w:val="18"/>
          <w:szCs w:val="18"/>
          <w:u w:val="single"/>
          <w:rtl/>
          <w:lang w:bidi="he-IL"/>
        </w:rPr>
        <w:t xml:space="preserve">דגים שעלו בקערה </w:t>
      </w:r>
      <w:r w:rsidRPr="0000469F">
        <w:rPr>
          <w:rFonts w:cs="Guttman Drogolin"/>
          <w:color w:val="auto"/>
          <w:sz w:val="18"/>
          <w:szCs w:val="18"/>
          <w:u w:val="single"/>
          <w:rtl/>
          <w:lang w:bidi="he-IL"/>
        </w:rPr>
        <w:t>–</w:t>
      </w:r>
      <w:r w:rsidRPr="0000469F">
        <w:rPr>
          <w:rFonts w:cs="Guttman Drogolin" w:hint="cs"/>
          <w:color w:val="auto"/>
          <w:sz w:val="18"/>
          <w:szCs w:val="18"/>
          <w:u w:val="single"/>
          <w:rtl/>
          <w:lang w:bidi="he-IL"/>
        </w:rPr>
        <w:t xml:space="preserve"> לענין החשש </w:t>
      </w:r>
      <w:r w:rsidR="003827FA" w:rsidRPr="0000469F">
        <w:rPr>
          <w:rFonts w:cs="Guttman Drogolin" w:hint="cs"/>
          <w:color w:val="auto"/>
          <w:sz w:val="18"/>
          <w:szCs w:val="18"/>
          <w:u w:val="single"/>
          <w:rtl/>
          <w:lang w:bidi="he-IL"/>
        </w:rPr>
        <w:t>ס</w:t>
      </w:r>
      <w:r w:rsidRPr="0000469F">
        <w:rPr>
          <w:rFonts w:cs="Guttman Drogolin" w:hint="cs"/>
          <w:color w:val="auto"/>
          <w:sz w:val="18"/>
          <w:szCs w:val="18"/>
          <w:u w:val="single"/>
          <w:rtl/>
          <w:lang w:bidi="he-IL"/>
        </w:rPr>
        <w:t>כנה דבשר ודגים</w:t>
      </w:r>
      <w:bookmarkEnd w:id="265"/>
    </w:p>
    <w:p w:rsidR="00CB39A9" w:rsidRPr="00882F11" w:rsidRDefault="005472CF" w:rsidP="0050040C">
      <w:pPr>
        <w:tabs>
          <w:tab w:val="right" w:pos="7497"/>
        </w:tabs>
        <w:bidi/>
        <w:jc w:val="both"/>
        <w:rPr>
          <w:rFonts w:cs="Guttman Drogolin"/>
          <w:rtl/>
          <w:lang w:bidi="he-IL"/>
        </w:rPr>
      </w:pPr>
      <w:r>
        <w:rPr>
          <w:rFonts w:cs="Guttman Drogolin"/>
          <w:rtl/>
          <w:lang w:bidi="he-IL"/>
        </w:rPr>
        <w:fldChar w:fldCharType="begin"/>
      </w:r>
      <w:r>
        <w:instrText xml:space="preserve"> XE "</w:instrText>
      </w:r>
      <w:r w:rsidRPr="007950C2">
        <w:rPr>
          <w:rFonts w:hint="cs"/>
          <w:rtl/>
          <w:lang w:bidi="he-IL"/>
        </w:rPr>
        <w:instrText>בשר ודגים</w:instrText>
      </w:r>
      <w:r w:rsidRPr="007950C2">
        <w:rPr>
          <w:rtl/>
        </w:rPr>
        <w:instrText>:</w:instrText>
      </w:r>
      <w:r w:rsidRPr="007950C2">
        <w:rPr>
          <w:rFonts w:hint="cs"/>
          <w:rtl/>
          <w:lang w:bidi="he-IL"/>
        </w:rPr>
        <w:instrText>בבליעות בכלי</w:instrText>
      </w:r>
      <w:r>
        <w:instrText xml:space="preserve">" </w:instrText>
      </w:r>
      <w:r>
        <w:rPr>
          <w:rFonts w:cs="Guttman Drogolin"/>
          <w:rtl/>
          <w:lang w:bidi="he-IL"/>
        </w:rPr>
        <w:fldChar w:fldCharType="end"/>
      </w:r>
      <w:r w:rsidR="0050040C" w:rsidRPr="00882F11">
        <w:rPr>
          <w:rFonts w:cs="Guttman Drogolin" w:hint="cs"/>
          <w:rtl/>
          <w:lang w:bidi="he-IL"/>
        </w:rPr>
        <w:t xml:space="preserve">הט"ז בס"ק ג' דן בשאלה דלכאורה דל מהכא אכילת הדגים בכותח, הא דגים אסורים עם בשר משום סכנה. וע"ש ובמש"ז שביאר דבריו שבאמת יש הוכחה מן הגמ' שאין בבליעות שמן הקדירה איסור משום סכנה, (ומה שמשמע מרש"י שם בסוגיא להקל עם בשר ממש היינו משום שלא דן </w:t>
      </w:r>
      <w:r w:rsidR="0050040C" w:rsidRPr="00882F11">
        <w:rPr>
          <w:rFonts w:cs="Guttman Drogolin" w:hint="cs"/>
          <w:rtl/>
          <w:lang w:bidi="he-IL"/>
        </w:rPr>
        <w:lastRenderedPageBreak/>
        <w:t xml:space="preserve">אלא בבב"ח. ובחוו"ד דן שאין לנו ראי' לנתבשלו לאלו המחלקים בין נתבשלו לעלו, אבל לכאורה יש ראי' לשיטת הרמב"ן שטעם שנני אין לו היתר של נ"ט בר נ"ט ומ"מ הדגין מותרים, ומיני' גם לנתבשלו. </w:t>
      </w:r>
    </w:p>
    <w:p w:rsidR="001D7C3B" w:rsidRPr="00882F11" w:rsidRDefault="001D7C3B" w:rsidP="0050040C">
      <w:pPr>
        <w:tabs>
          <w:tab w:val="right" w:pos="7497"/>
        </w:tabs>
        <w:bidi/>
        <w:jc w:val="both"/>
        <w:rPr>
          <w:rFonts w:cs="Guttman Drogolin"/>
          <w:rtl/>
          <w:lang w:bidi="he-IL"/>
        </w:rPr>
      </w:pPr>
      <w:r w:rsidRPr="00882F11">
        <w:rPr>
          <w:rFonts w:cs="Guttman Drogolin" w:hint="cs"/>
          <w:rtl/>
          <w:lang w:bidi="he-IL"/>
        </w:rPr>
        <w:t xml:space="preserve">ומעשה במי שבטעות הניח דג עטוף </w:t>
      </w:r>
      <w:r w:rsidR="0050040C" w:rsidRPr="00882F11">
        <w:rPr>
          <w:rFonts w:cs="Guttman Drogolin" w:hint="cs"/>
          <w:rtl/>
          <w:lang w:bidi="he-IL"/>
        </w:rPr>
        <w:t xml:space="preserve">טוב </w:t>
      </w:r>
      <w:r w:rsidRPr="00882F11">
        <w:rPr>
          <w:rFonts w:cs="Guttman Drogolin" w:hint="cs"/>
          <w:rtl/>
          <w:lang w:bidi="he-IL"/>
        </w:rPr>
        <w:t>בנייר כסף לתוך חמין בשרי</w:t>
      </w:r>
      <w:r w:rsidR="0050040C" w:rsidRPr="00882F11">
        <w:rPr>
          <w:rFonts w:cs="Guttman Drogolin" w:hint="cs"/>
          <w:rtl/>
          <w:lang w:bidi="he-IL"/>
        </w:rPr>
        <w:t>, והפנים לא הי' רטוב כלל. לכאורה יש להקל בזה כיון שהנייר הוי ככלי והרי בליעות מכלי אינם אוסרים אפילו אם מרגיש טעם הדג (כמו שיכול להרגיש טעם הבליעות של בשר לתוך הדג, דלמה לא). אמנם במקרה ההוא הי' ריח חזק של דג ולכאורה יש לחשוש שאמנם הי' נראה שלא הי' אלא בליעות מבבלי אולי נכנס ממקום אחר. וכן לשיטת החוו"ד לכאורה י"ל שאין זה בליעה בלל מכלי כיון דאגיד לחוץ ממנו כיון שהוא כח א'.</w:t>
      </w:r>
    </w:p>
    <w:p w:rsidR="00D4042F" w:rsidRPr="00882F11" w:rsidRDefault="00D4042F" w:rsidP="00D4042F">
      <w:pPr>
        <w:tabs>
          <w:tab w:val="right" w:pos="7497"/>
        </w:tabs>
        <w:bidi/>
        <w:jc w:val="both"/>
        <w:rPr>
          <w:rFonts w:cs="Guttman Drogolin"/>
          <w:rtl/>
          <w:lang w:bidi="he-IL"/>
        </w:rPr>
        <w:sectPr w:rsidR="00D4042F" w:rsidRPr="00882F11" w:rsidSect="0000469F">
          <w:type w:val="continuous"/>
          <w:pgSz w:w="11907" w:h="16839" w:code="9"/>
          <w:pgMar w:top="1440" w:right="1440" w:bottom="1440" w:left="1440" w:header="720" w:footer="720" w:gutter="0"/>
          <w:cols w:num="2" w:space="720"/>
          <w:bidi/>
          <w:docGrid w:linePitch="360"/>
        </w:sectPr>
      </w:pPr>
    </w:p>
    <w:p w:rsidR="00D4042F" w:rsidRPr="00882F11" w:rsidRDefault="00D4042F" w:rsidP="00D4042F">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ס"ח</w:t>
      </w:r>
    </w:p>
    <w:p w:rsidR="0000469F" w:rsidRDefault="0000469F" w:rsidP="0078079C">
      <w:pPr>
        <w:pStyle w:val="Heading1"/>
        <w:bidi/>
        <w:spacing w:before="0" w:line="360" w:lineRule="auto"/>
        <w:jc w:val="center"/>
        <w:rPr>
          <w:rFonts w:cs="Guttman Drogolin"/>
          <w:color w:val="auto"/>
          <w:sz w:val="24"/>
          <w:szCs w:val="24"/>
          <w:u w:val="single"/>
          <w:rtl/>
          <w:lang w:bidi="he-IL"/>
        </w:rPr>
        <w:sectPr w:rsidR="0000469F" w:rsidSect="0000469F">
          <w:headerReference w:type="default" r:id="rId53"/>
          <w:pgSz w:w="11907" w:h="16839" w:code="9"/>
          <w:pgMar w:top="1440" w:right="1440" w:bottom="1440" w:left="1440" w:header="720" w:footer="720" w:gutter="0"/>
          <w:cols w:space="720"/>
          <w:bidi/>
          <w:docGrid w:linePitch="360"/>
        </w:sectPr>
      </w:pPr>
    </w:p>
    <w:p w:rsidR="00D4042F" w:rsidRPr="00882F11" w:rsidRDefault="00D4042F" w:rsidP="0000469F">
      <w:pPr>
        <w:pStyle w:val="Heading1"/>
        <w:bidi/>
        <w:spacing w:before="0" w:line="240" w:lineRule="auto"/>
        <w:jc w:val="center"/>
        <w:rPr>
          <w:rFonts w:cs="Guttman Drogolin"/>
          <w:color w:val="auto"/>
          <w:sz w:val="24"/>
          <w:szCs w:val="24"/>
          <w:u w:val="single"/>
          <w:rtl/>
          <w:lang w:bidi="he-IL"/>
        </w:rPr>
      </w:pPr>
      <w:bookmarkStart w:id="266" w:name="_Toc496175519"/>
      <w:r w:rsidRPr="00882F11">
        <w:rPr>
          <w:rFonts w:cs="Guttman Drogolin" w:hint="cs"/>
          <w:color w:val="auto"/>
          <w:sz w:val="24"/>
          <w:szCs w:val="24"/>
          <w:u w:val="single"/>
          <w:rtl/>
          <w:lang w:bidi="he-IL"/>
        </w:rPr>
        <w:lastRenderedPageBreak/>
        <w:t>הקולא של הרמ"א להניח המאכל דנ"ט בר נ"ט דנתבשלו בכלי של המין השני</w:t>
      </w:r>
      <w:bookmarkEnd w:id="266"/>
    </w:p>
    <w:p w:rsidR="00CC48D7" w:rsidRPr="00882F11" w:rsidRDefault="005472CF" w:rsidP="008429F3">
      <w:pPr>
        <w:tabs>
          <w:tab w:val="right" w:pos="7497"/>
        </w:tabs>
        <w:bidi/>
        <w:jc w:val="both"/>
        <w:rPr>
          <w:rFonts w:cs="Guttman Drogolin"/>
          <w:rtl/>
          <w:lang w:bidi="he-IL"/>
        </w:rPr>
      </w:pPr>
      <w:r>
        <w:rPr>
          <w:rFonts w:cs="Guttman Drogolin"/>
          <w:rtl/>
          <w:lang w:bidi="he-IL"/>
        </w:rPr>
        <w:fldChar w:fldCharType="begin"/>
      </w:r>
      <w:r>
        <w:instrText xml:space="preserve"> XE "</w:instrText>
      </w:r>
      <w:r w:rsidRPr="004E5B4C">
        <w:rPr>
          <w:rFonts w:hint="cs"/>
          <w:rtl/>
          <w:lang w:bidi="he-IL"/>
        </w:rPr>
        <w:instrText>נ</w:instrText>
      </w:r>
      <w:r>
        <w:rPr>
          <w:rFonts w:eastAsiaTheme="minorEastAsia"/>
          <w:lang w:bidi="he-IL"/>
        </w:rPr>
        <w:instrText>\</w:instrText>
      </w:r>
      <w:r w:rsidRPr="004E5B4C">
        <w:rPr>
          <w:rFonts w:hint="cs"/>
          <w:rtl/>
          <w:lang w:bidi="he-IL"/>
        </w:rPr>
        <w:instrText>"ט בר נ</w:instrText>
      </w:r>
      <w:r>
        <w:rPr>
          <w:rFonts w:eastAsiaTheme="minorEastAsia"/>
          <w:lang w:bidi="he-IL"/>
        </w:rPr>
        <w:instrText>\</w:instrText>
      </w:r>
      <w:r w:rsidRPr="004E5B4C">
        <w:rPr>
          <w:rFonts w:hint="cs"/>
          <w:rtl/>
          <w:lang w:bidi="he-IL"/>
        </w:rPr>
        <w:instrText>"ט</w:instrText>
      </w:r>
      <w:r w:rsidRPr="004E5B4C">
        <w:rPr>
          <w:rtl/>
        </w:rPr>
        <w:instrText>:</w:instrText>
      </w:r>
      <w:r w:rsidRPr="004E5B4C">
        <w:rPr>
          <w:rFonts w:hint="cs"/>
          <w:rtl/>
          <w:lang w:bidi="he-IL"/>
        </w:rPr>
        <w:instrText>בנתבשלו או נצלו - להניחה בכלי של המין השני</w:instrText>
      </w:r>
      <w:r>
        <w:instrText xml:space="preserve">" </w:instrText>
      </w:r>
      <w:r>
        <w:rPr>
          <w:rFonts w:cs="Guttman Drogolin"/>
          <w:rtl/>
          <w:lang w:bidi="he-IL"/>
        </w:rPr>
        <w:fldChar w:fldCharType="end"/>
      </w:r>
      <w:r w:rsidR="00D4042F" w:rsidRPr="00882F11">
        <w:rPr>
          <w:rFonts w:cs="Guttman Drogolin" w:hint="cs"/>
          <w:rtl/>
          <w:lang w:bidi="he-IL"/>
        </w:rPr>
        <w:t>אע"פ ששיטת הרמ"א להחמיר לכתחילה שאם נתבשלו הדגים בקערה שאין להם ההיתר של נ"ט בר נ"ט מ"מ כתב "ודוקא</w:t>
      </w:r>
      <w:r w:rsidR="00D4042F" w:rsidRPr="00882F11">
        <w:rPr>
          <w:rFonts w:cs="Guttman Drogolin"/>
          <w:rtl/>
          <w:lang w:bidi="he-IL"/>
        </w:rPr>
        <w:t xml:space="preserve"> </w:t>
      </w:r>
      <w:r w:rsidR="00D4042F" w:rsidRPr="00882F11">
        <w:rPr>
          <w:rFonts w:cs="Guttman Drogolin" w:hint="cs"/>
          <w:rtl/>
          <w:lang w:bidi="he-IL"/>
        </w:rPr>
        <w:t>לאכול</w:t>
      </w:r>
      <w:r w:rsidR="00D4042F" w:rsidRPr="00882F11">
        <w:rPr>
          <w:rFonts w:cs="Guttman Drogolin"/>
          <w:rtl/>
          <w:lang w:bidi="he-IL"/>
        </w:rPr>
        <w:t xml:space="preserve"> </w:t>
      </w:r>
      <w:r w:rsidR="00D4042F" w:rsidRPr="00882F11">
        <w:rPr>
          <w:rFonts w:cs="Guttman Drogolin" w:hint="cs"/>
          <w:rtl/>
          <w:lang w:bidi="he-IL"/>
        </w:rPr>
        <w:t>עם</w:t>
      </w:r>
      <w:r w:rsidR="00D4042F" w:rsidRPr="00882F11">
        <w:rPr>
          <w:rFonts w:cs="Guttman Drogolin"/>
          <w:rtl/>
          <w:lang w:bidi="he-IL"/>
        </w:rPr>
        <w:t xml:space="preserve"> </w:t>
      </w:r>
      <w:r w:rsidR="00D4042F" w:rsidRPr="00882F11">
        <w:rPr>
          <w:rFonts w:cs="Guttman Drogolin" w:hint="cs"/>
          <w:rtl/>
          <w:lang w:bidi="he-IL"/>
        </w:rPr>
        <w:t>חלב</w:t>
      </w:r>
      <w:r w:rsidR="00D4042F" w:rsidRPr="00882F11">
        <w:rPr>
          <w:rFonts w:cs="Guttman Drogolin"/>
          <w:rtl/>
          <w:lang w:bidi="he-IL"/>
        </w:rPr>
        <w:t xml:space="preserve"> </w:t>
      </w:r>
      <w:r w:rsidR="00D4042F" w:rsidRPr="00882F11">
        <w:rPr>
          <w:rFonts w:cs="Guttman Drogolin" w:hint="cs"/>
          <w:rtl/>
          <w:lang w:bidi="he-IL"/>
        </w:rPr>
        <w:t>והבשר</w:t>
      </w:r>
      <w:r w:rsidR="00D4042F" w:rsidRPr="00882F11">
        <w:rPr>
          <w:rFonts w:cs="Guttman Drogolin"/>
          <w:rtl/>
          <w:lang w:bidi="he-IL"/>
        </w:rPr>
        <w:t xml:space="preserve"> </w:t>
      </w:r>
      <w:r w:rsidR="00D4042F" w:rsidRPr="00882F11">
        <w:rPr>
          <w:rFonts w:cs="Guttman Drogolin" w:hint="cs"/>
          <w:rtl/>
          <w:lang w:bidi="he-IL"/>
        </w:rPr>
        <w:t>עצמו</w:t>
      </w:r>
      <w:r w:rsidR="00D4042F" w:rsidRPr="00882F11">
        <w:rPr>
          <w:rFonts w:cs="Guttman Drogolin"/>
          <w:rtl/>
          <w:lang w:bidi="he-IL"/>
        </w:rPr>
        <w:t xml:space="preserve">, </w:t>
      </w:r>
      <w:r w:rsidR="00D4042F" w:rsidRPr="00882F11">
        <w:rPr>
          <w:rFonts w:cs="Guttman Drogolin" w:hint="cs"/>
          <w:rtl/>
          <w:lang w:bidi="he-IL"/>
        </w:rPr>
        <w:t>אבל</w:t>
      </w:r>
      <w:r w:rsidR="00D4042F" w:rsidRPr="00882F11">
        <w:rPr>
          <w:rFonts w:cs="Guttman Drogolin"/>
          <w:rtl/>
          <w:lang w:bidi="he-IL"/>
        </w:rPr>
        <w:t xml:space="preserve"> </w:t>
      </w:r>
      <w:r w:rsidR="00D4042F" w:rsidRPr="00882F11">
        <w:rPr>
          <w:rFonts w:cs="Guttman Drogolin" w:hint="cs"/>
          <w:rtl/>
          <w:lang w:bidi="he-IL"/>
        </w:rPr>
        <w:t>ליתנן</w:t>
      </w:r>
      <w:r w:rsidR="00D4042F" w:rsidRPr="00882F11">
        <w:rPr>
          <w:rFonts w:cs="Guttman Drogolin"/>
          <w:rtl/>
          <w:lang w:bidi="he-IL"/>
        </w:rPr>
        <w:t xml:space="preserve"> </w:t>
      </w:r>
      <w:r w:rsidR="00D4042F" w:rsidRPr="00882F11">
        <w:rPr>
          <w:rFonts w:cs="Guttman Drogolin" w:hint="cs"/>
          <w:rtl/>
          <w:lang w:bidi="he-IL"/>
        </w:rPr>
        <w:t>בכלי</w:t>
      </w:r>
      <w:r w:rsidR="00D4042F" w:rsidRPr="00882F11">
        <w:rPr>
          <w:rFonts w:cs="Guttman Drogolin"/>
          <w:rtl/>
          <w:lang w:bidi="he-IL"/>
        </w:rPr>
        <w:t xml:space="preserve"> </w:t>
      </w:r>
      <w:r w:rsidR="00D4042F" w:rsidRPr="00882F11">
        <w:rPr>
          <w:rFonts w:cs="Guttman Drogolin" w:hint="cs"/>
          <w:rtl/>
          <w:lang w:bidi="he-IL"/>
        </w:rPr>
        <w:t>שלהם</w:t>
      </w:r>
      <w:r w:rsidR="00D4042F" w:rsidRPr="00882F11">
        <w:rPr>
          <w:rFonts w:cs="Guttman Drogolin"/>
          <w:rtl/>
          <w:lang w:bidi="he-IL"/>
        </w:rPr>
        <w:t xml:space="preserve">, </w:t>
      </w:r>
      <w:r w:rsidR="00D4042F" w:rsidRPr="00882F11">
        <w:rPr>
          <w:rFonts w:cs="Guttman Drogolin" w:hint="cs"/>
          <w:rtl/>
          <w:lang w:bidi="he-IL"/>
        </w:rPr>
        <w:t>מותר</w:t>
      </w:r>
      <w:r w:rsidR="00D4042F" w:rsidRPr="00882F11">
        <w:rPr>
          <w:rFonts w:cs="Guttman Drogolin"/>
          <w:rtl/>
          <w:lang w:bidi="he-IL"/>
        </w:rPr>
        <w:t xml:space="preserve"> </w:t>
      </w:r>
      <w:r w:rsidR="00D4042F" w:rsidRPr="00882F11">
        <w:rPr>
          <w:rFonts w:cs="Guttman Drogolin" w:hint="cs"/>
          <w:rtl/>
          <w:lang w:bidi="he-IL"/>
        </w:rPr>
        <w:t>לכתחלה</w:t>
      </w:r>
      <w:r w:rsidR="001D1A80" w:rsidRPr="00882F11">
        <w:rPr>
          <w:rFonts w:cs="Guttman Drogolin" w:hint="cs"/>
          <w:rtl/>
          <w:lang w:bidi="he-IL"/>
        </w:rPr>
        <w:t>". ויל"ע בטעמו בקולא זו. והט"ז כתב בזה בס"ק ה' "דבזה</w:t>
      </w:r>
      <w:r w:rsidR="001D1A80" w:rsidRPr="00882F11">
        <w:rPr>
          <w:rFonts w:cs="Guttman Drogolin"/>
          <w:rtl/>
          <w:lang w:bidi="he-IL"/>
        </w:rPr>
        <w:t xml:space="preserve"> </w:t>
      </w:r>
      <w:r w:rsidR="001D1A80" w:rsidRPr="00882F11">
        <w:rPr>
          <w:rFonts w:cs="Guttman Drogolin" w:hint="cs"/>
          <w:rtl/>
          <w:lang w:bidi="he-IL"/>
        </w:rPr>
        <w:t>אנו</w:t>
      </w:r>
      <w:r w:rsidR="001D1A80" w:rsidRPr="00882F11">
        <w:rPr>
          <w:rFonts w:cs="Guttman Drogolin"/>
          <w:rtl/>
          <w:lang w:bidi="he-IL"/>
        </w:rPr>
        <w:t xml:space="preserve"> </w:t>
      </w:r>
      <w:r w:rsidR="001D1A80" w:rsidRPr="00882F11">
        <w:rPr>
          <w:rFonts w:cs="Guttman Drogolin" w:hint="cs"/>
          <w:rtl/>
          <w:lang w:bidi="he-IL"/>
        </w:rPr>
        <w:t>סומכים</w:t>
      </w:r>
      <w:r w:rsidR="001D1A80" w:rsidRPr="00882F11">
        <w:rPr>
          <w:rFonts w:cs="Guttman Drogolin"/>
          <w:rtl/>
          <w:lang w:bidi="he-IL"/>
        </w:rPr>
        <w:t xml:space="preserve"> </w:t>
      </w:r>
      <w:r w:rsidR="001D1A80" w:rsidRPr="00882F11">
        <w:rPr>
          <w:rFonts w:cs="Guttman Drogolin" w:hint="cs"/>
          <w:rtl/>
          <w:lang w:bidi="he-IL"/>
        </w:rPr>
        <w:t>על</w:t>
      </w:r>
      <w:r w:rsidR="001D1A80" w:rsidRPr="00882F11">
        <w:rPr>
          <w:rFonts w:cs="Guttman Drogolin"/>
          <w:rtl/>
          <w:lang w:bidi="he-IL"/>
        </w:rPr>
        <w:t xml:space="preserve"> </w:t>
      </w:r>
      <w:r w:rsidR="001D1A80" w:rsidRPr="00882F11">
        <w:rPr>
          <w:rFonts w:cs="Guttman Drogolin" w:hint="cs"/>
          <w:rtl/>
          <w:lang w:bidi="he-IL"/>
        </w:rPr>
        <w:t>המתירין</w:t>
      </w:r>
      <w:r w:rsidR="001D1A80" w:rsidRPr="00882F11">
        <w:rPr>
          <w:rFonts w:cs="Guttman Drogolin"/>
          <w:rtl/>
          <w:lang w:bidi="he-IL"/>
        </w:rPr>
        <w:t xml:space="preserve"> </w:t>
      </w:r>
      <w:r w:rsidR="001D1A80" w:rsidRPr="00882F11">
        <w:rPr>
          <w:rFonts w:cs="Guttman Drogolin" w:hint="cs"/>
          <w:rtl/>
          <w:lang w:bidi="he-IL"/>
        </w:rPr>
        <w:t>גם</w:t>
      </w:r>
      <w:r w:rsidR="001D1A80" w:rsidRPr="00882F11">
        <w:rPr>
          <w:rFonts w:cs="Guttman Drogolin"/>
          <w:rtl/>
          <w:lang w:bidi="he-IL"/>
        </w:rPr>
        <w:t xml:space="preserve"> </w:t>
      </w:r>
      <w:r w:rsidR="001D1A80" w:rsidRPr="00882F11">
        <w:rPr>
          <w:rFonts w:cs="Guttman Drogolin" w:hint="cs"/>
          <w:rtl/>
          <w:lang w:bidi="he-IL"/>
        </w:rPr>
        <w:t>בבישול</w:t>
      </w:r>
      <w:r w:rsidR="001D1A80" w:rsidRPr="00882F11">
        <w:rPr>
          <w:rFonts w:cs="Guttman Drogolin"/>
          <w:rtl/>
          <w:lang w:bidi="he-IL"/>
        </w:rPr>
        <w:t xml:space="preserve"> </w:t>
      </w:r>
      <w:r w:rsidR="001D1A80" w:rsidRPr="00882F11">
        <w:rPr>
          <w:rFonts w:cs="Guttman Drogolin" w:hint="cs"/>
          <w:rtl/>
          <w:lang w:bidi="he-IL"/>
        </w:rPr>
        <w:t>וצלייה</w:t>
      </w:r>
      <w:r w:rsidR="001D1A80" w:rsidRPr="00882F11">
        <w:rPr>
          <w:rFonts w:cs="Guttman Drogolin"/>
          <w:rtl/>
          <w:lang w:bidi="he-IL"/>
        </w:rPr>
        <w:t xml:space="preserve"> </w:t>
      </w:r>
      <w:r w:rsidR="001D1A80" w:rsidRPr="00882F11">
        <w:rPr>
          <w:rFonts w:cs="Guttman Drogolin" w:hint="cs"/>
          <w:rtl/>
          <w:lang w:bidi="he-IL"/>
        </w:rPr>
        <w:t>נ</w:t>
      </w:r>
      <w:r w:rsidR="001D1A80" w:rsidRPr="00882F11">
        <w:rPr>
          <w:rFonts w:cs="Guttman Drogolin"/>
          <w:rtl/>
          <w:lang w:bidi="he-IL"/>
        </w:rPr>
        <w:t>"</w:t>
      </w:r>
      <w:r w:rsidR="001D1A80" w:rsidRPr="00882F11">
        <w:rPr>
          <w:rFonts w:cs="Guttman Drogolin" w:hint="cs"/>
          <w:rtl/>
          <w:lang w:bidi="he-IL"/>
        </w:rPr>
        <w:t>ט</w:t>
      </w:r>
      <w:r w:rsidR="001D1A80" w:rsidRPr="00882F11">
        <w:rPr>
          <w:rFonts w:cs="Guttman Drogolin"/>
          <w:rtl/>
          <w:lang w:bidi="he-IL"/>
        </w:rPr>
        <w:t xml:space="preserve"> </w:t>
      </w:r>
      <w:r w:rsidR="001D1A80" w:rsidRPr="00882F11">
        <w:rPr>
          <w:rFonts w:cs="Guttman Drogolin" w:hint="cs"/>
          <w:rtl/>
          <w:lang w:bidi="he-IL"/>
        </w:rPr>
        <w:t>בר</w:t>
      </w:r>
      <w:r w:rsidR="001D1A80" w:rsidRPr="00882F11">
        <w:rPr>
          <w:rFonts w:cs="Guttman Drogolin"/>
          <w:rtl/>
          <w:lang w:bidi="he-IL"/>
        </w:rPr>
        <w:t xml:space="preserve"> </w:t>
      </w:r>
      <w:r w:rsidR="001D1A80" w:rsidRPr="00882F11">
        <w:rPr>
          <w:rFonts w:cs="Guttman Drogolin" w:hint="cs"/>
          <w:rtl/>
          <w:lang w:bidi="he-IL"/>
        </w:rPr>
        <w:t>נ</w:t>
      </w:r>
      <w:r w:rsidR="001D1A80" w:rsidRPr="00882F11">
        <w:rPr>
          <w:rFonts w:cs="Guttman Drogolin"/>
          <w:rtl/>
          <w:lang w:bidi="he-IL"/>
        </w:rPr>
        <w:t>"</w:t>
      </w:r>
      <w:r w:rsidR="001D1A80" w:rsidRPr="00882F11">
        <w:rPr>
          <w:rFonts w:cs="Guttman Drogolin" w:hint="cs"/>
          <w:rtl/>
          <w:lang w:bidi="he-IL"/>
        </w:rPr>
        <w:t>ט". ולכאורה רצונו לומר שאמנם בממשות של המין השני מתירים לכתחילה כשנתבשלו, בטעם שבכלי מקילים. ובמש"ז העיר שלכאורה משמע מהט"ז שזהו כעין פשרה של הרמ"א, ובאמת אין אנו צריכים לפשרות, דהא הדברים מפורשים ברא"ש, שהרא"ש</w:t>
      </w:r>
      <w:r w:rsidR="008429F3" w:rsidRPr="00882F11">
        <w:rPr>
          <w:rFonts w:cs="Guttman Drogolin" w:hint="cs"/>
          <w:rtl/>
          <w:lang w:bidi="he-IL"/>
        </w:rPr>
        <w:t xml:space="preserve"> (פ"ח אות כ"ט)</w:t>
      </w:r>
      <w:r w:rsidR="001D1A80" w:rsidRPr="00882F11">
        <w:rPr>
          <w:rFonts w:cs="Guttman Drogolin" w:hint="cs"/>
          <w:rtl/>
          <w:lang w:bidi="he-IL"/>
        </w:rPr>
        <w:t xml:space="preserve"> החמיר בדין נצלו, ומ"מ הקיל בהדחת קערות. וביאר שם הרא"ש בטעמו של דבר </w:t>
      </w:r>
      <w:r w:rsidR="008429F3" w:rsidRPr="00882F11">
        <w:rPr>
          <w:rFonts w:cs="Guttman Drogolin" w:hint="cs"/>
          <w:rtl/>
          <w:lang w:bidi="he-IL"/>
        </w:rPr>
        <w:t>"</w:t>
      </w:r>
      <w:r w:rsidR="001D1A80" w:rsidRPr="00882F11">
        <w:rPr>
          <w:rFonts w:cs="Guttman Drogolin" w:hint="cs"/>
          <w:rtl/>
          <w:lang w:bidi="he-IL"/>
        </w:rPr>
        <w:t>ולי</w:t>
      </w:r>
      <w:r w:rsidR="001D1A80" w:rsidRPr="00882F11">
        <w:rPr>
          <w:rFonts w:cs="Guttman Drogolin"/>
          <w:rtl/>
          <w:lang w:bidi="he-IL"/>
        </w:rPr>
        <w:t xml:space="preserve"> </w:t>
      </w:r>
      <w:r w:rsidR="001D1A80" w:rsidRPr="00882F11">
        <w:rPr>
          <w:rFonts w:cs="Guttman Drogolin" w:hint="cs"/>
          <w:rtl/>
          <w:lang w:bidi="he-IL"/>
        </w:rPr>
        <w:t>נראה</w:t>
      </w:r>
      <w:r w:rsidR="001D1A80" w:rsidRPr="00882F11">
        <w:rPr>
          <w:rFonts w:cs="Guttman Drogolin"/>
          <w:rtl/>
          <w:lang w:bidi="he-IL"/>
        </w:rPr>
        <w:t xml:space="preserve"> </w:t>
      </w:r>
      <w:r w:rsidR="001D1A80" w:rsidRPr="00882F11">
        <w:rPr>
          <w:rFonts w:cs="Guttman Drogolin" w:hint="cs"/>
          <w:rtl/>
          <w:lang w:bidi="he-IL"/>
        </w:rPr>
        <w:t>דאף</w:t>
      </w:r>
      <w:r w:rsidR="001D1A80" w:rsidRPr="00882F11">
        <w:rPr>
          <w:rFonts w:cs="Guttman Drogolin"/>
          <w:rtl/>
          <w:lang w:bidi="he-IL"/>
        </w:rPr>
        <w:t xml:space="preserve"> </w:t>
      </w:r>
      <w:r w:rsidR="001D1A80" w:rsidRPr="00882F11">
        <w:rPr>
          <w:rFonts w:cs="Guttman Drogolin" w:hint="cs"/>
          <w:rtl/>
          <w:lang w:bidi="he-IL"/>
        </w:rPr>
        <w:t>לריב</w:t>
      </w:r>
      <w:r w:rsidR="001D1A80" w:rsidRPr="00882F11">
        <w:rPr>
          <w:rFonts w:cs="Guttman Drogolin"/>
          <w:rtl/>
          <w:lang w:bidi="he-IL"/>
        </w:rPr>
        <w:t>"</w:t>
      </w:r>
      <w:r w:rsidR="001D1A80" w:rsidRPr="00882F11">
        <w:rPr>
          <w:rFonts w:cs="Guttman Drogolin" w:hint="cs"/>
          <w:rtl/>
          <w:lang w:bidi="he-IL"/>
        </w:rPr>
        <w:t>ן</w:t>
      </w:r>
      <w:r w:rsidR="001D1A80" w:rsidRPr="00882F11">
        <w:rPr>
          <w:rFonts w:cs="Guttman Drogolin"/>
          <w:rtl/>
          <w:lang w:bidi="he-IL"/>
        </w:rPr>
        <w:t xml:space="preserve"> </w:t>
      </w:r>
      <w:r w:rsidR="001D1A80" w:rsidRPr="00882F11">
        <w:rPr>
          <w:rFonts w:cs="Guttman Drogolin" w:hint="cs"/>
          <w:rtl/>
          <w:lang w:bidi="he-IL"/>
        </w:rPr>
        <w:t>הכל</w:t>
      </w:r>
      <w:r w:rsidR="001D1A80" w:rsidRPr="00882F11">
        <w:rPr>
          <w:rFonts w:cs="Guttman Drogolin"/>
          <w:rtl/>
          <w:lang w:bidi="he-IL"/>
        </w:rPr>
        <w:t xml:space="preserve"> </w:t>
      </w:r>
      <w:r w:rsidR="001D1A80" w:rsidRPr="00882F11">
        <w:rPr>
          <w:rFonts w:cs="Guttman Drogolin" w:hint="cs"/>
          <w:rtl/>
          <w:lang w:bidi="he-IL"/>
        </w:rPr>
        <w:t>מותר</w:t>
      </w:r>
      <w:r w:rsidR="001D1A80" w:rsidRPr="00882F11">
        <w:rPr>
          <w:rFonts w:cs="Guttman Drogolin"/>
          <w:rtl/>
          <w:lang w:bidi="he-IL"/>
        </w:rPr>
        <w:t xml:space="preserve"> </w:t>
      </w:r>
      <w:r w:rsidR="001D1A80" w:rsidRPr="00882F11">
        <w:rPr>
          <w:rFonts w:cs="Guttman Drogolin" w:hint="cs"/>
          <w:rtl/>
          <w:lang w:bidi="he-IL"/>
        </w:rPr>
        <w:t>דלא</w:t>
      </w:r>
      <w:r w:rsidR="001D1A80" w:rsidRPr="00882F11">
        <w:rPr>
          <w:rFonts w:cs="Guttman Drogolin"/>
          <w:rtl/>
          <w:lang w:bidi="he-IL"/>
        </w:rPr>
        <w:t xml:space="preserve"> </w:t>
      </w:r>
      <w:r w:rsidR="001D1A80" w:rsidRPr="00882F11">
        <w:rPr>
          <w:rFonts w:cs="Guttman Drogolin" w:hint="cs"/>
          <w:rtl/>
          <w:lang w:bidi="he-IL"/>
        </w:rPr>
        <w:t>אסר</w:t>
      </w:r>
      <w:r w:rsidR="001D1A80" w:rsidRPr="00882F11">
        <w:rPr>
          <w:rFonts w:cs="Guttman Drogolin"/>
          <w:rtl/>
          <w:lang w:bidi="he-IL"/>
        </w:rPr>
        <w:t xml:space="preserve"> </w:t>
      </w:r>
      <w:r w:rsidR="001D1A80" w:rsidRPr="00882F11">
        <w:rPr>
          <w:rFonts w:cs="Guttman Drogolin" w:hint="cs"/>
          <w:rtl/>
          <w:lang w:bidi="he-IL"/>
        </w:rPr>
        <w:t>נתבשלו</w:t>
      </w:r>
      <w:r w:rsidR="001D1A80" w:rsidRPr="00882F11">
        <w:rPr>
          <w:rFonts w:cs="Guttman Drogolin"/>
          <w:rtl/>
          <w:lang w:bidi="he-IL"/>
        </w:rPr>
        <w:t xml:space="preserve"> </w:t>
      </w:r>
      <w:r w:rsidR="001D1A80" w:rsidRPr="00882F11">
        <w:rPr>
          <w:rFonts w:cs="Guttman Drogolin" w:hint="cs"/>
          <w:rtl/>
          <w:lang w:bidi="he-IL"/>
        </w:rPr>
        <w:t>אלא</w:t>
      </w:r>
      <w:r w:rsidR="001D1A80" w:rsidRPr="00882F11">
        <w:rPr>
          <w:rFonts w:cs="Guttman Drogolin"/>
          <w:rtl/>
          <w:lang w:bidi="he-IL"/>
        </w:rPr>
        <w:t xml:space="preserve"> </w:t>
      </w:r>
      <w:r w:rsidR="001D1A80" w:rsidRPr="00882F11">
        <w:rPr>
          <w:rFonts w:cs="Guttman Drogolin" w:hint="cs"/>
          <w:rtl/>
          <w:lang w:bidi="he-IL"/>
        </w:rPr>
        <w:t>לאכלן</w:t>
      </w:r>
      <w:r w:rsidR="001D1A80" w:rsidRPr="00882F11">
        <w:rPr>
          <w:rFonts w:cs="Guttman Drogolin"/>
          <w:rtl/>
          <w:lang w:bidi="he-IL"/>
        </w:rPr>
        <w:t xml:space="preserve"> </w:t>
      </w:r>
      <w:r w:rsidR="001D1A80" w:rsidRPr="00882F11">
        <w:rPr>
          <w:rFonts w:cs="Guttman Drogolin" w:hint="cs"/>
          <w:rtl/>
          <w:lang w:bidi="he-IL"/>
        </w:rPr>
        <w:t>בכותח</w:t>
      </w:r>
      <w:r w:rsidR="001D1A80" w:rsidRPr="00882F11">
        <w:rPr>
          <w:rFonts w:cs="Guttman Drogolin"/>
          <w:rtl/>
          <w:lang w:bidi="he-IL"/>
        </w:rPr>
        <w:t xml:space="preserve"> </w:t>
      </w:r>
      <w:r w:rsidR="001D1A80" w:rsidRPr="00882F11">
        <w:rPr>
          <w:rFonts w:cs="Guttman Drogolin" w:hint="cs"/>
          <w:rtl/>
          <w:lang w:bidi="he-IL"/>
        </w:rPr>
        <w:t>שטעם</w:t>
      </w:r>
      <w:r w:rsidR="001D1A80" w:rsidRPr="00882F11">
        <w:rPr>
          <w:rFonts w:cs="Guttman Drogolin"/>
          <w:rtl/>
          <w:lang w:bidi="he-IL"/>
        </w:rPr>
        <w:t xml:space="preserve"> </w:t>
      </w:r>
      <w:r w:rsidR="001D1A80" w:rsidRPr="00882F11">
        <w:rPr>
          <w:rFonts w:cs="Guttman Drogolin" w:hint="cs"/>
          <w:rtl/>
          <w:lang w:bidi="he-IL"/>
        </w:rPr>
        <w:t>שני</w:t>
      </w:r>
      <w:r w:rsidR="001D1A80" w:rsidRPr="00882F11">
        <w:rPr>
          <w:rFonts w:cs="Guttman Drogolin"/>
          <w:rtl/>
          <w:lang w:bidi="he-IL"/>
        </w:rPr>
        <w:t xml:space="preserve"> </w:t>
      </w:r>
      <w:r w:rsidR="001D1A80" w:rsidRPr="00882F11">
        <w:rPr>
          <w:rFonts w:cs="Guttman Drogolin" w:hint="cs"/>
          <w:rtl/>
          <w:lang w:bidi="he-IL"/>
        </w:rPr>
        <w:t>של</w:t>
      </w:r>
      <w:r w:rsidR="001D1A80" w:rsidRPr="00882F11">
        <w:rPr>
          <w:rFonts w:cs="Guttman Drogolin"/>
          <w:rtl/>
          <w:lang w:bidi="he-IL"/>
        </w:rPr>
        <w:t xml:space="preserve"> </w:t>
      </w:r>
      <w:r w:rsidR="001D1A80" w:rsidRPr="00882F11">
        <w:rPr>
          <w:rFonts w:cs="Guttman Drogolin" w:hint="cs"/>
          <w:rtl/>
          <w:lang w:bidi="he-IL"/>
        </w:rPr>
        <w:t>הבשר</w:t>
      </w:r>
      <w:r w:rsidR="001D1A80" w:rsidRPr="00882F11">
        <w:rPr>
          <w:rFonts w:cs="Guttman Drogolin"/>
          <w:rtl/>
          <w:lang w:bidi="he-IL"/>
        </w:rPr>
        <w:t xml:space="preserve"> </w:t>
      </w:r>
      <w:r w:rsidR="001D1A80" w:rsidRPr="00882F11">
        <w:rPr>
          <w:rFonts w:cs="Guttman Drogolin" w:hint="cs"/>
          <w:rtl/>
          <w:lang w:bidi="he-IL"/>
        </w:rPr>
        <w:t>נ</w:t>
      </w:r>
      <w:r w:rsidR="001D1A80" w:rsidRPr="00882F11">
        <w:rPr>
          <w:rFonts w:cs="Guttman Drogolin"/>
          <w:rtl/>
          <w:lang w:bidi="he-IL"/>
        </w:rPr>
        <w:t>"</w:t>
      </w:r>
      <w:r w:rsidR="001D1A80" w:rsidRPr="00882F11">
        <w:rPr>
          <w:rFonts w:cs="Guttman Drogolin" w:hint="cs"/>
          <w:rtl/>
          <w:lang w:bidi="he-IL"/>
        </w:rPr>
        <w:t>ט</w:t>
      </w:r>
      <w:r w:rsidR="001D1A80" w:rsidRPr="00882F11">
        <w:rPr>
          <w:rFonts w:cs="Guttman Drogolin"/>
          <w:rtl/>
          <w:lang w:bidi="he-IL"/>
        </w:rPr>
        <w:t xml:space="preserve"> </w:t>
      </w:r>
      <w:r w:rsidR="001D1A80" w:rsidRPr="00882F11">
        <w:rPr>
          <w:rFonts w:cs="Guttman Drogolin" w:hint="cs"/>
          <w:rtl/>
          <w:lang w:bidi="he-IL"/>
        </w:rPr>
        <w:t>לתוך</w:t>
      </w:r>
      <w:r w:rsidR="001D1A80" w:rsidRPr="00882F11">
        <w:rPr>
          <w:rFonts w:cs="Guttman Drogolin"/>
          <w:rtl/>
          <w:lang w:bidi="he-IL"/>
        </w:rPr>
        <w:t xml:space="preserve"> </w:t>
      </w:r>
      <w:r w:rsidR="001D1A80" w:rsidRPr="00882F11">
        <w:rPr>
          <w:rFonts w:cs="Guttman Drogolin" w:hint="cs"/>
          <w:rtl/>
          <w:lang w:bidi="he-IL"/>
        </w:rPr>
        <w:t>ממשות</w:t>
      </w:r>
      <w:r w:rsidR="001D1A80" w:rsidRPr="00882F11">
        <w:rPr>
          <w:rFonts w:cs="Guttman Drogolin"/>
          <w:rtl/>
          <w:lang w:bidi="he-IL"/>
        </w:rPr>
        <w:t xml:space="preserve"> </w:t>
      </w:r>
      <w:r w:rsidR="001D1A80" w:rsidRPr="00882F11">
        <w:rPr>
          <w:rFonts w:cs="Guttman Drogolin" w:hint="cs"/>
          <w:rtl/>
          <w:lang w:bidi="he-IL"/>
        </w:rPr>
        <w:t>של</w:t>
      </w:r>
      <w:r w:rsidR="001D1A80" w:rsidRPr="00882F11">
        <w:rPr>
          <w:rFonts w:cs="Guttman Drogolin"/>
          <w:rtl/>
          <w:lang w:bidi="he-IL"/>
        </w:rPr>
        <w:t xml:space="preserve"> </w:t>
      </w:r>
      <w:r w:rsidR="008429F3" w:rsidRPr="00882F11">
        <w:rPr>
          <w:rFonts w:cs="Guttman Drogolin" w:hint="cs"/>
          <w:rtl/>
          <w:lang w:bidi="he-IL"/>
        </w:rPr>
        <w:t>חלב</w:t>
      </w:r>
      <w:r w:rsidR="001D1A80" w:rsidRPr="00882F11">
        <w:rPr>
          <w:rFonts w:cs="Guttman Drogolin"/>
          <w:rtl/>
          <w:lang w:bidi="he-IL"/>
        </w:rPr>
        <w:t xml:space="preserve"> </w:t>
      </w:r>
      <w:r w:rsidR="001D1A80" w:rsidRPr="00882F11">
        <w:rPr>
          <w:rFonts w:cs="Guttman Drogolin" w:hint="cs"/>
          <w:rtl/>
          <w:lang w:bidi="he-IL"/>
        </w:rPr>
        <w:t>אבל</w:t>
      </w:r>
      <w:r w:rsidR="001D1A80" w:rsidRPr="00882F11">
        <w:rPr>
          <w:rFonts w:cs="Guttman Drogolin"/>
          <w:rtl/>
          <w:lang w:bidi="he-IL"/>
        </w:rPr>
        <w:t xml:space="preserve"> </w:t>
      </w:r>
      <w:r w:rsidR="001D1A80" w:rsidRPr="00882F11">
        <w:rPr>
          <w:rFonts w:cs="Guttman Drogolin" w:hint="cs"/>
          <w:rtl/>
          <w:lang w:bidi="he-IL"/>
        </w:rPr>
        <w:t>הכא</w:t>
      </w:r>
      <w:r w:rsidR="001D1A80" w:rsidRPr="00882F11">
        <w:rPr>
          <w:rFonts w:cs="Guttman Drogolin"/>
          <w:rtl/>
          <w:lang w:bidi="he-IL"/>
        </w:rPr>
        <w:t xml:space="preserve"> </w:t>
      </w:r>
      <w:r w:rsidR="001D1A80" w:rsidRPr="00882F11">
        <w:rPr>
          <w:rFonts w:cs="Guttman Drogolin" w:hint="cs"/>
          <w:rtl/>
          <w:lang w:bidi="he-IL"/>
        </w:rPr>
        <w:t>שטעם</w:t>
      </w:r>
      <w:r w:rsidR="001D1A80" w:rsidRPr="00882F11">
        <w:rPr>
          <w:rFonts w:cs="Guttman Drogolin"/>
          <w:rtl/>
          <w:lang w:bidi="he-IL"/>
        </w:rPr>
        <w:t xml:space="preserve"> </w:t>
      </w:r>
      <w:r w:rsidR="001D1A80" w:rsidRPr="00882F11">
        <w:rPr>
          <w:rFonts w:cs="Guttman Drogolin" w:hint="cs"/>
          <w:rtl/>
          <w:lang w:bidi="he-IL"/>
        </w:rPr>
        <w:t>שני</w:t>
      </w:r>
      <w:r w:rsidR="001D1A80" w:rsidRPr="00882F11">
        <w:rPr>
          <w:rFonts w:cs="Guttman Drogolin"/>
          <w:rtl/>
          <w:lang w:bidi="he-IL"/>
        </w:rPr>
        <w:t xml:space="preserve"> </w:t>
      </w:r>
      <w:r w:rsidR="001D1A80" w:rsidRPr="00882F11">
        <w:rPr>
          <w:rFonts w:cs="Guttman Drogolin" w:hint="cs"/>
          <w:rtl/>
          <w:lang w:bidi="he-IL"/>
        </w:rPr>
        <w:t>של</w:t>
      </w:r>
      <w:r w:rsidR="001D1A80" w:rsidRPr="00882F11">
        <w:rPr>
          <w:rFonts w:cs="Guttman Drogolin"/>
          <w:rtl/>
          <w:lang w:bidi="he-IL"/>
        </w:rPr>
        <w:t xml:space="preserve"> </w:t>
      </w:r>
      <w:r w:rsidR="001D1A80" w:rsidRPr="00882F11">
        <w:rPr>
          <w:rFonts w:cs="Guttman Drogolin" w:hint="cs"/>
          <w:rtl/>
          <w:lang w:bidi="he-IL"/>
        </w:rPr>
        <w:t>הבשר</w:t>
      </w:r>
      <w:r w:rsidR="001D1A80" w:rsidRPr="00882F11">
        <w:rPr>
          <w:rFonts w:cs="Guttman Drogolin"/>
          <w:rtl/>
          <w:lang w:bidi="he-IL"/>
        </w:rPr>
        <w:t xml:space="preserve"> </w:t>
      </w:r>
      <w:r w:rsidR="001D1A80" w:rsidRPr="00882F11">
        <w:rPr>
          <w:rFonts w:cs="Guttman Drogolin" w:hint="cs"/>
          <w:rtl/>
          <w:lang w:bidi="he-IL"/>
        </w:rPr>
        <w:t>שבתוך</w:t>
      </w:r>
      <w:r w:rsidR="001D1A80" w:rsidRPr="00882F11">
        <w:rPr>
          <w:rFonts w:cs="Guttman Drogolin"/>
          <w:rtl/>
          <w:lang w:bidi="he-IL"/>
        </w:rPr>
        <w:t xml:space="preserve"> </w:t>
      </w:r>
      <w:r w:rsidR="001D1A80" w:rsidRPr="00882F11">
        <w:rPr>
          <w:rFonts w:cs="Guttman Drogolin" w:hint="cs"/>
          <w:rtl/>
          <w:lang w:bidi="he-IL"/>
        </w:rPr>
        <w:t>המים</w:t>
      </w:r>
      <w:r w:rsidR="001D1A80" w:rsidRPr="00882F11">
        <w:rPr>
          <w:rFonts w:cs="Guttman Drogolin"/>
          <w:rtl/>
          <w:lang w:bidi="he-IL"/>
        </w:rPr>
        <w:t xml:space="preserve"> </w:t>
      </w:r>
      <w:r w:rsidR="001D1A80" w:rsidRPr="00882F11">
        <w:rPr>
          <w:rFonts w:cs="Guttman Drogolin" w:hint="cs"/>
          <w:rtl/>
          <w:lang w:bidi="he-IL"/>
        </w:rPr>
        <w:t>אין</w:t>
      </w:r>
      <w:r w:rsidR="001D1A80" w:rsidRPr="00882F11">
        <w:rPr>
          <w:rFonts w:cs="Guttman Drogolin"/>
          <w:rtl/>
          <w:lang w:bidi="he-IL"/>
        </w:rPr>
        <w:t xml:space="preserve"> </w:t>
      </w:r>
      <w:r w:rsidR="001D1A80" w:rsidRPr="00882F11">
        <w:rPr>
          <w:rFonts w:cs="Guttman Drogolin" w:hint="cs"/>
          <w:rtl/>
          <w:lang w:bidi="he-IL"/>
        </w:rPr>
        <w:t>נ</w:t>
      </w:r>
      <w:r w:rsidR="001D1A80" w:rsidRPr="00882F11">
        <w:rPr>
          <w:rFonts w:cs="Guttman Drogolin"/>
          <w:rtl/>
          <w:lang w:bidi="he-IL"/>
        </w:rPr>
        <w:t>"</w:t>
      </w:r>
      <w:r w:rsidR="001D1A80" w:rsidRPr="00882F11">
        <w:rPr>
          <w:rFonts w:cs="Guttman Drogolin" w:hint="cs"/>
          <w:rtl/>
          <w:lang w:bidi="he-IL"/>
        </w:rPr>
        <w:t>ט</w:t>
      </w:r>
      <w:r w:rsidR="001D1A80" w:rsidRPr="00882F11">
        <w:rPr>
          <w:rFonts w:cs="Guttman Drogolin"/>
          <w:rtl/>
          <w:lang w:bidi="he-IL"/>
        </w:rPr>
        <w:t xml:space="preserve"> </w:t>
      </w:r>
      <w:r w:rsidR="001D1A80" w:rsidRPr="00882F11">
        <w:rPr>
          <w:rFonts w:cs="Guttman Drogolin" w:hint="cs"/>
          <w:rtl/>
          <w:lang w:bidi="he-IL"/>
        </w:rPr>
        <w:t>לתוך</w:t>
      </w:r>
      <w:r w:rsidR="001D1A80" w:rsidRPr="00882F11">
        <w:rPr>
          <w:rFonts w:cs="Guttman Drogolin"/>
          <w:rtl/>
          <w:lang w:bidi="he-IL"/>
        </w:rPr>
        <w:t xml:space="preserve"> </w:t>
      </w:r>
      <w:r w:rsidR="001D1A80" w:rsidRPr="00882F11">
        <w:rPr>
          <w:rFonts w:cs="Guttman Drogolin" w:hint="cs"/>
          <w:rtl/>
          <w:lang w:bidi="he-IL"/>
        </w:rPr>
        <w:t>ממשות</w:t>
      </w:r>
      <w:r w:rsidR="001D1A80" w:rsidRPr="00882F11">
        <w:rPr>
          <w:rFonts w:cs="Guttman Drogolin"/>
          <w:rtl/>
          <w:lang w:bidi="he-IL"/>
        </w:rPr>
        <w:t xml:space="preserve"> </w:t>
      </w:r>
      <w:r w:rsidR="001D1A80" w:rsidRPr="00882F11">
        <w:rPr>
          <w:rFonts w:cs="Guttman Drogolin" w:hint="cs"/>
          <w:rtl/>
          <w:lang w:bidi="he-IL"/>
        </w:rPr>
        <w:t>החלב</w:t>
      </w:r>
      <w:r w:rsidR="001D1A80" w:rsidRPr="00882F11">
        <w:rPr>
          <w:rFonts w:cs="Guttman Drogolin"/>
          <w:rtl/>
          <w:lang w:bidi="he-IL"/>
        </w:rPr>
        <w:t xml:space="preserve"> </w:t>
      </w:r>
      <w:r w:rsidR="001D1A80" w:rsidRPr="00882F11">
        <w:rPr>
          <w:rFonts w:cs="Guttman Drogolin" w:hint="cs"/>
          <w:rtl/>
          <w:lang w:bidi="he-IL"/>
        </w:rPr>
        <w:t>אלא</w:t>
      </w:r>
      <w:r w:rsidR="001D1A80" w:rsidRPr="00882F11">
        <w:rPr>
          <w:rFonts w:cs="Guttman Drogolin"/>
          <w:rtl/>
          <w:lang w:bidi="he-IL"/>
        </w:rPr>
        <w:t xml:space="preserve"> </w:t>
      </w:r>
      <w:r w:rsidR="001D1A80" w:rsidRPr="00882F11">
        <w:rPr>
          <w:rFonts w:cs="Guttman Drogolin" w:hint="cs"/>
          <w:rtl/>
          <w:lang w:bidi="he-IL"/>
        </w:rPr>
        <w:t>מתערב</w:t>
      </w:r>
      <w:r w:rsidR="001D1A80" w:rsidRPr="00882F11">
        <w:rPr>
          <w:rFonts w:cs="Guttman Drogolin"/>
          <w:rtl/>
          <w:lang w:bidi="he-IL"/>
        </w:rPr>
        <w:t xml:space="preserve"> </w:t>
      </w:r>
      <w:r w:rsidR="001D1A80" w:rsidRPr="00882F11">
        <w:rPr>
          <w:rFonts w:cs="Guttman Drogolin" w:hint="cs"/>
          <w:rtl/>
          <w:lang w:bidi="he-IL"/>
        </w:rPr>
        <w:t>עם</w:t>
      </w:r>
      <w:r w:rsidR="001D1A80" w:rsidRPr="00882F11">
        <w:rPr>
          <w:rFonts w:cs="Guttman Drogolin"/>
          <w:rtl/>
          <w:lang w:bidi="he-IL"/>
        </w:rPr>
        <w:t xml:space="preserve"> </w:t>
      </w:r>
      <w:r w:rsidR="001D1A80" w:rsidRPr="00882F11">
        <w:rPr>
          <w:rFonts w:cs="Guttman Drogolin" w:hint="cs"/>
          <w:rtl/>
          <w:lang w:bidi="he-IL"/>
        </w:rPr>
        <w:t>טעם</w:t>
      </w:r>
      <w:r w:rsidR="001D1A80" w:rsidRPr="00882F11">
        <w:rPr>
          <w:rFonts w:cs="Guttman Drogolin"/>
          <w:rtl/>
          <w:lang w:bidi="he-IL"/>
        </w:rPr>
        <w:t xml:space="preserve"> </w:t>
      </w:r>
      <w:r w:rsidR="001D1A80" w:rsidRPr="00882F11">
        <w:rPr>
          <w:rFonts w:cs="Guttman Drogolin" w:hint="cs"/>
          <w:rtl/>
          <w:lang w:bidi="he-IL"/>
        </w:rPr>
        <w:t>שני</w:t>
      </w:r>
      <w:r w:rsidR="001D1A80" w:rsidRPr="00882F11">
        <w:rPr>
          <w:rFonts w:cs="Guttman Drogolin"/>
          <w:rtl/>
          <w:lang w:bidi="he-IL"/>
        </w:rPr>
        <w:t xml:space="preserve"> </w:t>
      </w:r>
      <w:r w:rsidR="001D1A80" w:rsidRPr="00882F11">
        <w:rPr>
          <w:rFonts w:cs="Guttman Drogolin" w:hint="cs"/>
          <w:rtl/>
          <w:lang w:bidi="he-IL"/>
        </w:rPr>
        <w:t>של</w:t>
      </w:r>
      <w:r w:rsidR="001D1A80" w:rsidRPr="00882F11">
        <w:rPr>
          <w:rFonts w:cs="Guttman Drogolin"/>
          <w:rtl/>
          <w:lang w:bidi="he-IL"/>
        </w:rPr>
        <w:t xml:space="preserve"> </w:t>
      </w:r>
      <w:r w:rsidR="001D1A80" w:rsidRPr="00882F11">
        <w:rPr>
          <w:rFonts w:cs="Guttman Drogolin" w:hint="cs"/>
          <w:rtl/>
          <w:lang w:bidi="he-IL"/>
        </w:rPr>
        <w:t>החלב</w:t>
      </w:r>
      <w:r w:rsidR="001D1A80" w:rsidRPr="00882F11">
        <w:rPr>
          <w:rFonts w:cs="Guttman Drogolin"/>
          <w:rtl/>
          <w:lang w:bidi="he-IL"/>
        </w:rPr>
        <w:t xml:space="preserve"> </w:t>
      </w:r>
      <w:r w:rsidR="001D1A80" w:rsidRPr="00882F11">
        <w:rPr>
          <w:rFonts w:cs="Guttman Drogolin" w:hint="cs"/>
          <w:rtl/>
          <w:lang w:bidi="he-IL"/>
        </w:rPr>
        <w:t>שבתוך</w:t>
      </w:r>
      <w:r w:rsidR="001D1A80" w:rsidRPr="00882F11">
        <w:rPr>
          <w:rFonts w:cs="Guttman Drogolin"/>
          <w:rtl/>
          <w:lang w:bidi="he-IL"/>
        </w:rPr>
        <w:t xml:space="preserve"> </w:t>
      </w:r>
      <w:r w:rsidR="001D1A80" w:rsidRPr="00882F11">
        <w:rPr>
          <w:rFonts w:cs="Guttman Drogolin" w:hint="cs"/>
          <w:rtl/>
          <w:lang w:bidi="he-IL"/>
        </w:rPr>
        <w:t>המים</w:t>
      </w:r>
      <w:r w:rsidR="001D1A80" w:rsidRPr="00882F11">
        <w:rPr>
          <w:rFonts w:cs="Guttman Drogolin"/>
          <w:rtl/>
          <w:lang w:bidi="he-IL"/>
        </w:rPr>
        <w:t xml:space="preserve"> </w:t>
      </w:r>
      <w:r w:rsidR="001D1A80" w:rsidRPr="00882F11">
        <w:rPr>
          <w:rFonts w:cs="Guttman Drogolin" w:hint="cs"/>
          <w:rtl/>
          <w:lang w:bidi="he-IL"/>
        </w:rPr>
        <w:t>נראה</w:t>
      </w:r>
      <w:r w:rsidR="001D1A80" w:rsidRPr="00882F11">
        <w:rPr>
          <w:rFonts w:cs="Guttman Drogolin"/>
          <w:rtl/>
          <w:lang w:bidi="he-IL"/>
        </w:rPr>
        <w:t xml:space="preserve"> </w:t>
      </w:r>
      <w:r w:rsidR="001D1A80" w:rsidRPr="00882F11">
        <w:rPr>
          <w:rFonts w:cs="Guttman Drogolin" w:hint="cs"/>
          <w:rtl/>
          <w:lang w:bidi="he-IL"/>
        </w:rPr>
        <w:t>שהמים</w:t>
      </w:r>
      <w:r w:rsidR="001D1A80" w:rsidRPr="00882F11">
        <w:rPr>
          <w:rFonts w:cs="Guttman Drogolin"/>
          <w:rtl/>
          <w:lang w:bidi="he-IL"/>
        </w:rPr>
        <w:t xml:space="preserve"> </w:t>
      </w:r>
      <w:r w:rsidR="001D1A80" w:rsidRPr="00882F11">
        <w:rPr>
          <w:rFonts w:cs="Guttman Drogolin" w:hint="cs"/>
          <w:rtl/>
          <w:lang w:bidi="he-IL"/>
        </w:rPr>
        <w:t>מותרים</w:t>
      </w:r>
      <w:r w:rsidR="001D1A80" w:rsidRPr="00882F11">
        <w:rPr>
          <w:rFonts w:cs="Guttman Drogolin"/>
          <w:rtl/>
          <w:lang w:bidi="he-IL"/>
        </w:rPr>
        <w:t xml:space="preserve"> </w:t>
      </w:r>
      <w:r w:rsidR="001D1A80" w:rsidRPr="00882F11">
        <w:rPr>
          <w:rFonts w:cs="Guttman Drogolin" w:hint="cs"/>
          <w:rtl/>
          <w:lang w:bidi="he-IL"/>
        </w:rPr>
        <w:t>והכל</w:t>
      </w:r>
      <w:r w:rsidR="001D1A80" w:rsidRPr="00882F11">
        <w:rPr>
          <w:rFonts w:cs="Guttman Drogolin"/>
          <w:rtl/>
          <w:lang w:bidi="he-IL"/>
        </w:rPr>
        <w:t xml:space="preserve"> </w:t>
      </w:r>
      <w:r w:rsidR="001D1A80" w:rsidRPr="00882F11">
        <w:rPr>
          <w:rFonts w:cs="Guttman Drogolin" w:hint="cs"/>
          <w:rtl/>
          <w:lang w:bidi="he-IL"/>
        </w:rPr>
        <w:t>מותר</w:t>
      </w:r>
      <w:r w:rsidR="008429F3" w:rsidRPr="00882F11">
        <w:rPr>
          <w:rFonts w:cs="Guttman Drogolin" w:hint="cs"/>
          <w:rtl/>
          <w:lang w:bidi="he-IL"/>
        </w:rPr>
        <w:t>". וגם בזה דבריו סתומים, דכיון שמחמיר בנתבשלו הרי המים שבישלו בתוך הכלי אין להם ההיתר של נ"ט בר נ"ט ואוסרים חלב, וא"כ למה לא יאסרו גם טעם חלב.</w:t>
      </w:r>
      <w:r w:rsidR="00A6513D" w:rsidRPr="00882F11">
        <w:rPr>
          <w:rFonts w:cs="Guttman Drogolin" w:hint="cs"/>
          <w:rtl/>
          <w:lang w:bidi="he-IL"/>
        </w:rPr>
        <w:t xml:space="preserve"> וראיתי במגי"ס </w:t>
      </w:r>
      <w:r w:rsidR="00CC48D7" w:rsidRPr="00882F11">
        <w:rPr>
          <w:rFonts w:cs="Guttman Drogolin" w:hint="cs"/>
          <w:rtl/>
          <w:lang w:bidi="he-IL"/>
        </w:rPr>
        <w:t xml:space="preserve">(כאן אות א') </w:t>
      </w:r>
      <w:r w:rsidR="00A6513D" w:rsidRPr="00882F11">
        <w:rPr>
          <w:rFonts w:cs="Guttman Drogolin" w:hint="cs"/>
          <w:rtl/>
          <w:lang w:bidi="he-IL"/>
        </w:rPr>
        <w:t xml:space="preserve">שהוכיח מכח קושיא זו דע"כ הדין להחמיר בנתבשלו אינו אלא דין דרבנן ולא רצו להחמיר </w:t>
      </w:r>
      <w:r w:rsidR="00CC48D7" w:rsidRPr="00882F11">
        <w:rPr>
          <w:rFonts w:cs="Guttman Drogolin" w:hint="cs"/>
          <w:rtl/>
          <w:lang w:bidi="he-IL"/>
        </w:rPr>
        <w:t xml:space="preserve">אלא בחלב ממש. </w:t>
      </w:r>
    </w:p>
    <w:p w:rsidR="00374FCF" w:rsidRPr="00882F11" w:rsidRDefault="00BE6A60" w:rsidP="00F71EC6">
      <w:pPr>
        <w:tabs>
          <w:tab w:val="right" w:pos="7497"/>
        </w:tabs>
        <w:bidi/>
        <w:jc w:val="both"/>
        <w:rPr>
          <w:rFonts w:cs="Guttman Drogolin"/>
          <w:rtl/>
          <w:lang w:bidi="he-IL"/>
        </w:rPr>
      </w:pPr>
      <w:r w:rsidRPr="00882F11">
        <w:rPr>
          <w:rFonts w:cs="Guttman Drogolin" w:hint="cs"/>
          <w:rtl/>
          <w:lang w:bidi="he-IL"/>
        </w:rPr>
        <w:t xml:space="preserve">והנה </w:t>
      </w:r>
      <w:r w:rsidR="00CC48D7" w:rsidRPr="00882F11">
        <w:rPr>
          <w:rFonts w:cs="Guttman Drogolin" w:hint="cs"/>
          <w:rtl/>
          <w:lang w:bidi="he-IL"/>
        </w:rPr>
        <w:t>הרמ"א</w:t>
      </w:r>
      <w:r w:rsidRPr="00882F11">
        <w:rPr>
          <w:rFonts w:cs="Guttman Drogolin" w:hint="cs"/>
          <w:rtl/>
          <w:lang w:bidi="he-IL"/>
        </w:rPr>
        <w:t xml:space="preserve"> בסע' ג' החמיר דלא כרא"ש</w:t>
      </w:r>
      <w:r w:rsidR="00CC48D7" w:rsidRPr="00882F11">
        <w:rPr>
          <w:rFonts w:cs="Guttman Drogolin" w:hint="cs"/>
          <w:rtl/>
          <w:lang w:bidi="he-IL"/>
        </w:rPr>
        <w:t xml:space="preserve"> </w:t>
      </w:r>
      <w:r w:rsidRPr="00882F11">
        <w:rPr>
          <w:rFonts w:cs="Guttman Drogolin" w:hint="cs"/>
          <w:rtl/>
          <w:lang w:bidi="he-IL"/>
        </w:rPr>
        <w:t>ואסר הדחת קערות אפילו בדיעבד. וא"כ לכאורה עדיין צ"ע</w:t>
      </w:r>
      <w:r w:rsidR="00B54B4D" w:rsidRPr="00882F11">
        <w:rPr>
          <w:rFonts w:cs="Guttman Drogolin" w:hint="cs"/>
          <w:rtl/>
          <w:lang w:bidi="he-IL"/>
        </w:rPr>
        <w:t xml:space="preserve"> למה הקיל כאן הרמ"א, ואיך אפשר לומר שהוא מטעם הרא"ש. ויעוין בש"ך ס"ק ה' שביאר בשם הר"ן שהטעם שמחמירים </w:t>
      </w:r>
      <w:r w:rsidR="00CD01BE" w:rsidRPr="00882F11">
        <w:rPr>
          <w:rFonts w:cs="Guttman Drogolin" w:hint="cs"/>
          <w:rtl/>
          <w:lang w:bidi="he-IL"/>
        </w:rPr>
        <w:t>בהדחת קערות משום סברא ד'מאן</w:t>
      </w:r>
      <w:r w:rsidR="00CD01BE" w:rsidRPr="00882F11">
        <w:rPr>
          <w:rFonts w:cs="Guttman Drogolin"/>
          <w:rtl/>
          <w:lang w:bidi="he-IL"/>
        </w:rPr>
        <w:t xml:space="preserve"> </w:t>
      </w:r>
      <w:r w:rsidR="00CD01BE" w:rsidRPr="00882F11">
        <w:rPr>
          <w:rFonts w:cs="Guttman Drogolin" w:hint="cs"/>
          <w:rtl/>
          <w:lang w:bidi="he-IL"/>
        </w:rPr>
        <w:t>לימא</w:t>
      </w:r>
      <w:r w:rsidR="00CD01BE" w:rsidRPr="00882F11">
        <w:rPr>
          <w:rFonts w:cs="Guttman Drogolin"/>
          <w:rtl/>
          <w:lang w:bidi="he-IL"/>
        </w:rPr>
        <w:t xml:space="preserve"> </w:t>
      </w:r>
      <w:r w:rsidR="00CD01BE" w:rsidRPr="00882F11">
        <w:rPr>
          <w:rFonts w:cs="Guttman Drogolin" w:hint="cs"/>
          <w:rtl/>
          <w:lang w:bidi="he-IL"/>
        </w:rPr>
        <w:t>לן</w:t>
      </w:r>
      <w:r w:rsidR="00CD01BE" w:rsidRPr="00882F11">
        <w:rPr>
          <w:rFonts w:cs="Guttman Drogolin"/>
          <w:rtl/>
          <w:lang w:bidi="he-IL"/>
        </w:rPr>
        <w:t xml:space="preserve"> </w:t>
      </w:r>
      <w:r w:rsidR="00CD01BE" w:rsidRPr="00882F11">
        <w:rPr>
          <w:rFonts w:cs="Guttman Drogolin" w:hint="cs"/>
          <w:rtl/>
          <w:lang w:bidi="he-IL"/>
        </w:rPr>
        <w:t>שלא</w:t>
      </w:r>
      <w:r w:rsidR="00CD01BE" w:rsidRPr="00882F11">
        <w:rPr>
          <w:rFonts w:cs="Guttman Drogolin"/>
          <w:rtl/>
          <w:lang w:bidi="he-IL"/>
        </w:rPr>
        <w:t xml:space="preserve"> </w:t>
      </w:r>
      <w:r w:rsidR="00CD01BE" w:rsidRPr="00882F11">
        <w:rPr>
          <w:rFonts w:cs="Guttman Drogolin" w:hint="cs"/>
          <w:rtl/>
          <w:lang w:bidi="he-IL"/>
        </w:rPr>
        <w:t>יתערבו</w:t>
      </w:r>
      <w:r w:rsidR="00CD01BE" w:rsidRPr="00882F11">
        <w:rPr>
          <w:rFonts w:cs="Guttman Drogolin"/>
          <w:rtl/>
          <w:lang w:bidi="he-IL"/>
        </w:rPr>
        <w:t xml:space="preserve"> </w:t>
      </w:r>
      <w:r w:rsidR="00CD01BE" w:rsidRPr="00882F11">
        <w:rPr>
          <w:rFonts w:cs="Guttman Drogolin" w:hint="cs"/>
          <w:rtl/>
          <w:lang w:bidi="he-IL"/>
        </w:rPr>
        <w:t>פליטת</w:t>
      </w:r>
      <w:r w:rsidR="00CD01BE" w:rsidRPr="00882F11">
        <w:rPr>
          <w:rFonts w:cs="Guttman Drogolin"/>
          <w:rtl/>
          <w:lang w:bidi="he-IL"/>
        </w:rPr>
        <w:t xml:space="preserve"> </w:t>
      </w:r>
      <w:r w:rsidR="00CD01BE" w:rsidRPr="00882F11">
        <w:rPr>
          <w:rFonts w:cs="Guttman Drogolin" w:hint="cs"/>
          <w:rtl/>
          <w:lang w:bidi="he-IL"/>
        </w:rPr>
        <w:t>הבשר</w:t>
      </w:r>
      <w:r w:rsidR="00CD01BE" w:rsidRPr="00882F11">
        <w:rPr>
          <w:rFonts w:cs="Guttman Drogolin"/>
          <w:rtl/>
          <w:lang w:bidi="he-IL"/>
        </w:rPr>
        <w:t xml:space="preserve"> </w:t>
      </w:r>
      <w:r w:rsidR="00CD01BE" w:rsidRPr="00882F11">
        <w:rPr>
          <w:rFonts w:cs="Guttman Drogolin" w:hint="cs"/>
          <w:rtl/>
          <w:lang w:bidi="he-IL"/>
        </w:rPr>
        <w:t>ופליטת</w:t>
      </w:r>
      <w:r w:rsidR="00CD01BE" w:rsidRPr="00882F11">
        <w:rPr>
          <w:rFonts w:cs="Guttman Drogolin"/>
          <w:rtl/>
          <w:lang w:bidi="he-IL"/>
        </w:rPr>
        <w:t xml:space="preserve"> </w:t>
      </w:r>
      <w:r w:rsidR="00CD01BE" w:rsidRPr="00882F11">
        <w:rPr>
          <w:rFonts w:cs="Guttman Drogolin" w:hint="cs"/>
          <w:rtl/>
          <w:lang w:bidi="he-IL"/>
        </w:rPr>
        <w:t>החלב</w:t>
      </w:r>
      <w:r w:rsidR="00CD01BE" w:rsidRPr="00882F11">
        <w:rPr>
          <w:rFonts w:cs="Guttman Drogolin"/>
          <w:rtl/>
          <w:lang w:bidi="he-IL"/>
        </w:rPr>
        <w:t xml:space="preserve"> </w:t>
      </w:r>
      <w:r w:rsidR="00CD01BE" w:rsidRPr="00882F11">
        <w:rPr>
          <w:rFonts w:cs="Guttman Drogolin" w:hint="cs"/>
          <w:rtl/>
          <w:lang w:bidi="he-IL"/>
        </w:rPr>
        <w:t>בעצמם</w:t>
      </w:r>
      <w:r w:rsidR="00CD01BE" w:rsidRPr="00882F11">
        <w:rPr>
          <w:rFonts w:cs="Guttman Drogolin"/>
          <w:rtl/>
          <w:lang w:bidi="he-IL"/>
        </w:rPr>
        <w:t xml:space="preserve"> </w:t>
      </w:r>
      <w:r w:rsidR="00CD01BE" w:rsidRPr="00882F11">
        <w:rPr>
          <w:rFonts w:cs="Guttman Drogolin" w:hint="cs"/>
          <w:rtl/>
          <w:lang w:bidi="he-IL"/>
        </w:rPr>
        <w:t>שלא</w:t>
      </w:r>
      <w:r w:rsidR="00CD01BE" w:rsidRPr="00882F11">
        <w:rPr>
          <w:rFonts w:cs="Guttman Drogolin"/>
          <w:rtl/>
          <w:lang w:bidi="he-IL"/>
        </w:rPr>
        <w:t xml:space="preserve"> </w:t>
      </w:r>
      <w:r w:rsidR="00CD01BE" w:rsidRPr="00882F11">
        <w:rPr>
          <w:rFonts w:cs="Guttman Drogolin" w:hint="cs"/>
          <w:rtl/>
          <w:lang w:bidi="he-IL"/>
        </w:rPr>
        <w:t>באמצעי</w:t>
      </w:r>
      <w:r w:rsidR="00CD01BE" w:rsidRPr="00882F11">
        <w:rPr>
          <w:rFonts w:cs="Guttman Drogolin"/>
          <w:rtl/>
          <w:lang w:bidi="he-IL"/>
        </w:rPr>
        <w:t xml:space="preserve">' </w:t>
      </w:r>
      <w:r w:rsidR="00CD01BE" w:rsidRPr="00882F11">
        <w:rPr>
          <w:rFonts w:cs="Guttman Drogolin" w:hint="cs"/>
          <w:rtl/>
          <w:lang w:bidi="he-IL"/>
        </w:rPr>
        <w:t xml:space="preserve">המים'. ועוד סברא </w:t>
      </w:r>
      <w:r w:rsidR="00F71EC6" w:rsidRPr="00882F11">
        <w:rPr>
          <w:rFonts w:cs="Guttman Drogolin" w:hint="cs"/>
          <w:rtl/>
          <w:lang w:bidi="he-IL"/>
        </w:rPr>
        <w:t>ב</w:t>
      </w:r>
      <w:r w:rsidR="00374FCF" w:rsidRPr="00882F11">
        <w:rPr>
          <w:rFonts w:cs="Guttman Drogolin" w:hint="cs"/>
          <w:rtl/>
          <w:lang w:bidi="he-IL"/>
        </w:rPr>
        <w:t>שם הר"ן משום דהיתירא</w:t>
      </w:r>
      <w:r w:rsidR="00CD01BE" w:rsidRPr="00882F11">
        <w:rPr>
          <w:rFonts w:cs="Guttman Drogolin"/>
          <w:rtl/>
          <w:lang w:bidi="he-IL"/>
        </w:rPr>
        <w:t xml:space="preserve"> </w:t>
      </w:r>
      <w:r w:rsidR="00374FCF" w:rsidRPr="00882F11">
        <w:rPr>
          <w:rFonts w:cs="Guttman Drogolin" w:hint="cs"/>
          <w:rtl/>
          <w:lang w:bidi="he-IL"/>
        </w:rPr>
        <w:t>ד</w:t>
      </w:r>
      <w:r w:rsidR="00CD01BE" w:rsidRPr="00882F11">
        <w:rPr>
          <w:rFonts w:cs="Guttman Drogolin" w:hint="cs"/>
          <w:rtl/>
          <w:lang w:bidi="he-IL"/>
        </w:rPr>
        <w:t>נ</w:t>
      </w:r>
      <w:r w:rsidR="00CD01BE" w:rsidRPr="00882F11">
        <w:rPr>
          <w:rFonts w:cs="Guttman Drogolin"/>
          <w:rtl/>
          <w:lang w:bidi="he-IL"/>
        </w:rPr>
        <w:t>"</w:t>
      </w:r>
      <w:r w:rsidR="00CD01BE" w:rsidRPr="00882F11">
        <w:rPr>
          <w:rFonts w:cs="Guttman Drogolin" w:hint="cs"/>
          <w:rtl/>
          <w:lang w:bidi="he-IL"/>
        </w:rPr>
        <w:t>ט</w:t>
      </w:r>
      <w:r w:rsidR="00CD01BE" w:rsidRPr="00882F11">
        <w:rPr>
          <w:rFonts w:cs="Guttman Drogolin"/>
          <w:rtl/>
          <w:lang w:bidi="he-IL"/>
        </w:rPr>
        <w:t xml:space="preserve"> </w:t>
      </w:r>
      <w:r w:rsidR="00CD01BE" w:rsidRPr="00882F11">
        <w:rPr>
          <w:rFonts w:cs="Guttman Drogolin" w:hint="cs"/>
          <w:rtl/>
          <w:lang w:bidi="he-IL"/>
        </w:rPr>
        <w:t>בר</w:t>
      </w:r>
      <w:r w:rsidR="00CD01BE" w:rsidRPr="00882F11">
        <w:rPr>
          <w:rFonts w:cs="Guttman Drogolin"/>
          <w:rtl/>
          <w:lang w:bidi="he-IL"/>
        </w:rPr>
        <w:t xml:space="preserve"> </w:t>
      </w:r>
      <w:r w:rsidR="00CD01BE" w:rsidRPr="00882F11">
        <w:rPr>
          <w:rFonts w:cs="Guttman Drogolin" w:hint="cs"/>
          <w:rtl/>
          <w:lang w:bidi="he-IL"/>
        </w:rPr>
        <w:t>נ</w:t>
      </w:r>
      <w:r w:rsidR="00CD01BE" w:rsidRPr="00882F11">
        <w:rPr>
          <w:rFonts w:cs="Guttman Drogolin"/>
          <w:rtl/>
          <w:lang w:bidi="he-IL"/>
        </w:rPr>
        <w:t>"</w:t>
      </w:r>
      <w:r w:rsidR="00CD01BE" w:rsidRPr="00882F11">
        <w:rPr>
          <w:rFonts w:cs="Guttman Drogolin" w:hint="cs"/>
          <w:rtl/>
          <w:lang w:bidi="he-IL"/>
        </w:rPr>
        <w:t>ט</w:t>
      </w:r>
      <w:r w:rsidR="00CD01BE" w:rsidRPr="00882F11">
        <w:rPr>
          <w:rFonts w:cs="Guttman Drogolin"/>
          <w:rtl/>
          <w:lang w:bidi="he-IL"/>
        </w:rPr>
        <w:t xml:space="preserve"> </w:t>
      </w:r>
      <w:r w:rsidR="00374FCF" w:rsidRPr="00882F11">
        <w:rPr>
          <w:rFonts w:cs="Guttman Drogolin" w:hint="cs"/>
          <w:rtl/>
          <w:lang w:bidi="he-IL"/>
        </w:rPr>
        <w:t xml:space="preserve">היינו </w:t>
      </w:r>
      <w:r w:rsidR="00CD01BE" w:rsidRPr="00882F11">
        <w:rPr>
          <w:rFonts w:cs="Guttman Drogolin" w:hint="cs"/>
          <w:rtl/>
          <w:lang w:bidi="he-IL"/>
        </w:rPr>
        <w:t>כשהטעם</w:t>
      </w:r>
      <w:r w:rsidR="00CD01BE" w:rsidRPr="00882F11">
        <w:rPr>
          <w:rFonts w:cs="Guttman Drogolin"/>
          <w:rtl/>
          <w:lang w:bidi="he-IL"/>
        </w:rPr>
        <w:t xml:space="preserve"> </w:t>
      </w:r>
      <w:r w:rsidR="00CD01BE" w:rsidRPr="00882F11">
        <w:rPr>
          <w:rFonts w:cs="Guttman Drogolin" w:hint="cs"/>
          <w:rtl/>
          <w:lang w:bidi="he-IL"/>
        </w:rPr>
        <w:t>שני</w:t>
      </w:r>
      <w:r w:rsidR="00CD01BE" w:rsidRPr="00882F11">
        <w:rPr>
          <w:rFonts w:cs="Guttman Drogolin"/>
          <w:rtl/>
          <w:lang w:bidi="he-IL"/>
        </w:rPr>
        <w:t xml:space="preserve"> </w:t>
      </w:r>
      <w:r w:rsidR="00CD01BE" w:rsidRPr="00882F11">
        <w:rPr>
          <w:rFonts w:cs="Guttman Drogolin" w:hint="cs"/>
          <w:rtl/>
          <w:lang w:bidi="he-IL"/>
        </w:rPr>
        <w:t>עמד</w:t>
      </w:r>
      <w:r w:rsidR="00CD01BE" w:rsidRPr="00882F11">
        <w:rPr>
          <w:rFonts w:cs="Guttman Drogolin"/>
          <w:rtl/>
          <w:lang w:bidi="he-IL"/>
        </w:rPr>
        <w:t xml:space="preserve"> </w:t>
      </w:r>
      <w:r w:rsidR="00CD01BE" w:rsidRPr="00882F11">
        <w:rPr>
          <w:rFonts w:cs="Guttman Drogolin" w:hint="cs"/>
          <w:rtl/>
          <w:lang w:bidi="he-IL"/>
        </w:rPr>
        <w:t>בהיתר</w:t>
      </w:r>
      <w:r w:rsidR="00CD01BE" w:rsidRPr="00882F11">
        <w:rPr>
          <w:rFonts w:cs="Guttman Drogolin"/>
          <w:rtl/>
          <w:lang w:bidi="he-IL"/>
        </w:rPr>
        <w:t xml:space="preserve"> </w:t>
      </w:r>
      <w:r w:rsidR="00CD01BE" w:rsidRPr="00882F11">
        <w:rPr>
          <w:rFonts w:cs="Guttman Drogolin" w:hint="cs"/>
          <w:rtl/>
          <w:lang w:bidi="he-IL"/>
        </w:rPr>
        <w:lastRenderedPageBreak/>
        <w:t>בלא</w:t>
      </w:r>
      <w:r w:rsidR="00CD01BE" w:rsidRPr="00882F11">
        <w:rPr>
          <w:rFonts w:cs="Guttman Drogolin"/>
          <w:rtl/>
          <w:lang w:bidi="he-IL"/>
        </w:rPr>
        <w:t xml:space="preserve"> </w:t>
      </w:r>
      <w:r w:rsidR="00CD01BE" w:rsidRPr="00882F11">
        <w:rPr>
          <w:rFonts w:cs="Guttman Drogolin" w:hint="cs"/>
          <w:rtl/>
          <w:lang w:bidi="he-IL"/>
        </w:rPr>
        <w:t>תערובת</w:t>
      </w:r>
      <w:r w:rsidR="00CD01BE" w:rsidRPr="00882F11">
        <w:rPr>
          <w:rFonts w:cs="Guttman Drogolin"/>
          <w:rtl/>
          <w:lang w:bidi="he-IL"/>
        </w:rPr>
        <w:t xml:space="preserve"> </w:t>
      </w:r>
      <w:r w:rsidR="00CD01BE" w:rsidRPr="00882F11">
        <w:rPr>
          <w:rFonts w:cs="Guttman Drogolin" w:hint="cs"/>
          <w:rtl/>
          <w:lang w:bidi="he-IL"/>
        </w:rPr>
        <w:t>חלב</w:t>
      </w:r>
      <w:r w:rsidR="00CD01BE" w:rsidRPr="00882F11">
        <w:rPr>
          <w:rFonts w:cs="Guttman Drogolin"/>
          <w:rtl/>
          <w:lang w:bidi="he-IL"/>
        </w:rPr>
        <w:t xml:space="preserve"> </w:t>
      </w:r>
      <w:r w:rsidR="00374FCF" w:rsidRPr="00882F11">
        <w:rPr>
          <w:rFonts w:cs="Guttman Drogolin" w:hint="cs"/>
          <w:rtl/>
          <w:lang w:bidi="he-IL"/>
        </w:rPr>
        <w:t>משא"כ בהדחת קערות</w:t>
      </w:r>
      <w:r w:rsidR="00CD01BE" w:rsidRPr="00882F11">
        <w:rPr>
          <w:rFonts w:cs="Guttman Drogolin"/>
          <w:rtl/>
          <w:lang w:bidi="he-IL"/>
        </w:rPr>
        <w:t xml:space="preserve"> </w:t>
      </w:r>
      <w:r w:rsidR="00CD01BE" w:rsidRPr="00882F11">
        <w:rPr>
          <w:rFonts w:cs="Guttman Drogolin" w:hint="cs"/>
          <w:rtl/>
          <w:lang w:bidi="he-IL"/>
        </w:rPr>
        <w:t>שהטעם</w:t>
      </w:r>
      <w:r w:rsidR="00CD01BE" w:rsidRPr="00882F11">
        <w:rPr>
          <w:rFonts w:cs="Guttman Drogolin"/>
          <w:rtl/>
          <w:lang w:bidi="he-IL"/>
        </w:rPr>
        <w:t xml:space="preserve"> </w:t>
      </w:r>
      <w:r w:rsidR="00CD01BE" w:rsidRPr="00882F11">
        <w:rPr>
          <w:rFonts w:cs="Guttman Drogolin" w:hint="cs"/>
          <w:rtl/>
          <w:lang w:bidi="he-IL"/>
        </w:rPr>
        <w:t>שני</w:t>
      </w:r>
      <w:r w:rsidR="00CD01BE" w:rsidRPr="00882F11">
        <w:rPr>
          <w:rFonts w:cs="Guttman Drogolin"/>
          <w:rtl/>
          <w:lang w:bidi="he-IL"/>
        </w:rPr>
        <w:t xml:space="preserve"> </w:t>
      </w:r>
      <w:r w:rsidR="00CD01BE" w:rsidRPr="00882F11">
        <w:rPr>
          <w:rFonts w:cs="Guttman Drogolin" w:hint="cs"/>
          <w:rtl/>
          <w:lang w:bidi="he-IL"/>
        </w:rPr>
        <w:t>לא</w:t>
      </w:r>
      <w:r w:rsidR="00CD01BE" w:rsidRPr="00882F11">
        <w:rPr>
          <w:rFonts w:cs="Guttman Drogolin"/>
          <w:rtl/>
          <w:lang w:bidi="he-IL"/>
        </w:rPr>
        <w:t xml:space="preserve"> </w:t>
      </w:r>
      <w:r w:rsidR="00CD01BE" w:rsidRPr="00882F11">
        <w:rPr>
          <w:rFonts w:cs="Guttman Drogolin" w:hint="cs"/>
          <w:rtl/>
          <w:lang w:bidi="he-IL"/>
        </w:rPr>
        <w:t>עמד</w:t>
      </w:r>
      <w:r w:rsidR="00CD01BE" w:rsidRPr="00882F11">
        <w:rPr>
          <w:rFonts w:cs="Guttman Drogolin"/>
          <w:rtl/>
          <w:lang w:bidi="he-IL"/>
        </w:rPr>
        <w:t xml:space="preserve"> </w:t>
      </w:r>
      <w:r w:rsidR="00CD01BE" w:rsidRPr="00882F11">
        <w:rPr>
          <w:rFonts w:cs="Guttman Drogolin" w:hint="cs"/>
          <w:rtl/>
          <w:lang w:bidi="he-IL"/>
        </w:rPr>
        <w:t>בפני</w:t>
      </w:r>
      <w:r w:rsidR="00CD01BE" w:rsidRPr="00882F11">
        <w:rPr>
          <w:rFonts w:cs="Guttman Drogolin"/>
          <w:rtl/>
          <w:lang w:bidi="he-IL"/>
        </w:rPr>
        <w:t xml:space="preserve"> </w:t>
      </w:r>
      <w:r w:rsidR="00CD01BE" w:rsidRPr="00882F11">
        <w:rPr>
          <w:rFonts w:cs="Guttman Drogolin" w:hint="cs"/>
          <w:rtl/>
          <w:lang w:bidi="he-IL"/>
        </w:rPr>
        <w:t>עצמו</w:t>
      </w:r>
      <w:r w:rsidR="00CD01BE" w:rsidRPr="00882F11">
        <w:rPr>
          <w:rFonts w:cs="Guttman Drogolin"/>
          <w:rtl/>
          <w:lang w:bidi="he-IL"/>
        </w:rPr>
        <w:t xml:space="preserve"> </w:t>
      </w:r>
      <w:r w:rsidR="00CD01BE" w:rsidRPr="00882F11">
        <w:rPr>
          <w:rFonts w:cs="Guttman Drogolin" w:hint="cs"/>
          <w:rtl/>
          <w:lang w:bidi="he-IL"/>
        </w:rPr>
        <w:t>כלל</w:t>
      </w:r>
      <w:r w:rsidR="00CD01BE" w:rsidRPr="00882F11">
        <w:rPr>
          <w:rFonts w:cs="Guttman Drogolin"/>
          <w:rtl/>
          <w:lang w:bidi="he-IL"/>
        </w:rPr>
        <w:t xml:space="preserve"> </w:t>
      </w:r>
      <w:r w:rsidR="00CD01BE" w:rsidRPr="00882F11">
        <w:rPr>
          <w:rFonts w:cs="Guttman Drogolin" w:hint="cs"/>
          <w:rtl/>
          <w:lang w:bidi="he-IL"/>
        </w:rPr>
        <w:t>אלא</w:t>
      </w:r>
      <w:r w:rsidR="00CD01BE" w:rsidRPr="00882F11">
        <w:rPr>
          <w:rFonts w:cs="Guttman Drogolin"/>
          <w:rtl/>
          <w:lang w:bidi="he-IL"/>
        </w:rPr>
        <w:t xml:space="preserve"> </w:t>
      </w:r>
      <w:r w:rsidR="00CD01BE" w:rsidRPr="00882F11">
        <w:rPr>
          <w:rFonts w:cs="Guttman Drogolin" w:hint="cs"/>
          <w:rtl/>
          <w:lang w:bidi="he-IL"/>
        </w:rPr>
        <w:t>תכף</w:t>
      </w:r>
      <w:r w:rsidR="00CD01BE" w:rsidRPr="00882F11">
        <w:rPr>
          <w:rFonts w:cs="Guttman Drogolin"/>
          <w:rtl/>
          <w:lang w:bidi="he-IL"/>
        </w:rPr>
        <w:t xml:space="preserve"> </w:t>
      </w:r>
      <w:r w:rsidR="00CD01BE" w:rsidRPr="00882F11">
        <w:rPr>
          <w:rFonts w:cs="Guttman Drogolin" w:hint="cs"/>
          <w:rtl/>
          <w:lang w:bidi="he-IL"/>
        </w:rPr>
        <w:t>שבא</w:t>
      </w:r>
      <w:r w:rsidR="00CD01BE" w:rsidRPr="00882F11">
        <w:rPr>
          <w:rFonts w:cs="Guttman Drogolin"/>
          <w:rtl/>
          <w:lang w:bidi="he-IL"/>
        </w:rPr>
        <w:t xml:space="preserve"> </w:t>
      </w:r>
      <w:r w:rsidR="00CD01BE" w:rsidRPr="00882F11">
        <w:rPr>
          <w:rFonts w:cs="Guttman Drogolin" w:hint="cs"/>
          <w:rtl/>
          <w:lang w:bidi="he-IL"/>
        </w:rPr>
        <w:t>לעולם</w:t>
      </w:r>
      <w:r w:rsidR="00CD01BE" w:rsidRPr="00882F11">
        <w:rPr>
          <w:rFonts w:cs="Guttman Drogolin"/>
          <w:rtl/>
          <w:lang w:bidi="he-IL"/>
        </w:rPr>
        <w:t xml:space="preserve"> </w:t>
      </w:r>
      <w:r w:rsidR="00CD01BE" w:rsidRPr="00882F11">
        <w:rPr>
          <w:rFonts w:cs="Guttman Drogolin" w:hint="cs"/>
          <w:rtl/>
          <w:lang w:bidi="he-IL"/>
        </w:rPr>
        <w:t>נתערב</w:t>
      </w:r>
      <w:r w:rsidR="00CD01BE" w:rsidRPr="00882F11">
        <w:rPr>
          <w:rFonts w:cs="Guttman Drogolin"/>
          <w:rtl/>
          <w:lang w:bidi="he-IL"/>
        </w:rPr>
        <w:t xml:space="preserve"> </w:t>
      </w:r>
      <w:r w:rsidR="00CD01BE" w:rsidRPr="00882F11">
        <w:rPr>
          <w:rFonts w:cs="Guttman Drogolin" w:hint="cs"/>
          <w:rtl/>
          <w:lang w:bidi="he-IL"/>
        </w:rPr>
        <w:t>בטעמו</w:t>
      </w:r>
      <w:r w:rsidR="00CD01BE" w:rsidRPr="00882F11">
        <w:rPr>
          <w:rFonts w:cs="Guttman Drogolin"/>
          <w:rtl/>
          <w:lang w:bidi="he-IL"/>
        </w:rPr>
        <w:t xml:space="preserve"> </w:t>
      </w:r>
      <w:r w:rsidR="00CD01BE" w:rsidRPr="00882F11">
        <w:rPr>
          <w:rFonts w:cs="Guttman Drogolin" w:hint="cs"/>
          <w:rtl/>
          <w:lang w:bidi="he-IL"/>
        </w:rPr>
        <w:t>של</w:t>
      </w:r>
      <w:r w:rsidR="00CD01BE" w:rsidRPr="00882F11">
        <w:rPr>
          <w:rFonts w:cs="Guttman Drogolin"/>
          <w:rtl/>
          <w:lang w:bidi="he-IL"/>
        </w:rPr>
        <w:t xml:space="preserve"> </w:t>
      </w:r>
      <w:r w:rsidR="00CD01BE" w:rsidRPr="00882F11">
        <w:rPr>
          <w:rFonts w:cs="Guttman Drogolin" w:hint="cs"/>
          <w:rtl/>
          <w:lang w:bidi="he-IL"/>
        </w:rPr>
        <w:t>חלב</w:t>
      </w:r>
      <w:r w:rsidR="00374FCF" w:rsidRPr="00882F11">
        <w:rPr>
          <w:rFonts w:cs="Guttman Drogolin" w:hint="cs"/>
          <w:rtl/>
          <w:lang w:bidi="he-IL"/>
        </w:rPr>
        <w:t>. והנהו טעמי לא שייכים אלא כשהתבשלו שניהם ביחד, אבל נתבשלו ואח"כ הכניסם לכלי אחר יש להתיר.</w:t>
      </w:r>
      <w:r w:rsidR="00F71EC6" w:rsidRPr="00882F11">
        <w:rPr>
          <w:rFonts w:cs="Guttman Drogolin" w:hint="cs"/>
          <w:rtl/>
          <w:lang w:bidi="he-IL"/>
        </w:rPr>
        <w:t xml:space="preserve"> ומ"מ עדיין י"ל דקיימא לן כסברת הרא"ש, ור"ל שהרא"ש ודאי לית לי' כסברות של הר"ן לאסור, אבל עדיין הי' קשה לרא"ש דתיפו"ל משום דהוי כנצלו. ובזה ביאר לן הרא"ש שאין כאן טעם לאסור משום נצלו כיון שאינו טעם חלב המעורב ולא חלב ממש. וא"כ י"ל דנהי שבהדחת קערות ממש קיי"ל לאסור משום הטעמים שכתב הר"ן, אבל עדיין קיי"</w:t>
      </w:r>
      <w:r w:rsidR="008E16D8" w:rsidRPr="00882F11">
        <w:rPr>
          <w:rFonts w:cs="Guttman Drogolin" w:hint="cs"/>
          <w:rtl/>
          <w:lang w:bidi="he-IL"/>
        </w:rPr>
        <w:t>ל להקל כ</w:t>
      </w:r>
      <w:r w:rsidR="00F71EC6" w:rsidRPr="00882F11">
        <w:rPr>
          <w:rFonts w:cs="Guttman Drogolin" w:hint="cs"/>
          <w:rtl/>
          <w:lang w:bidi="he-IL"/>
        </w:rPr>
        <w:t xml:space="preserve">סברת הרא"ש שאין לאסור כה"ג משום החומרא דנצלו. </w:t>
      </w:r>
      <w:r w:rsidR="008E16D8" w:rsidRPr="00882F11">
        <w:rPr>
          <w:rFonts w:cs="Guttman Drogolin" w:hint="cs"/>
          <w:rtl/>
          <w:lang w:bidi="he-IL"/>
        </w:rPr>
        <w:t>ולכן יש בזה נפק"מ בכה"ג שודאי לא נפגשו הטעמים מיד, דאע"ג שיש בה משום ניצלו אין אנו אוסרים.</w:t>
      </w:r>
    </w:p>
    <w:p w:rsidR="00D4042F" w:rsidRPr="00882F11" w:rsidRDefault="00374FCF" w:rsidP="001F1C6B">
      <w:pPr>
        <w:tabs>
          <w:tab w:val="right" w:pos="7497"/>
        </w:tabs>
        <w:bidi/>
        <w:jc w:val="both"/>
        <w:rPr>
          <w:rFonts w:cs="Guttman Drogolin"/>
          <w:rtl/>
          <w:lang w:bidi="he-IL"/>
        </w:rPr>
      </w:pPr>
      <w:r w:rsidRPr="00882F11">
        <w:rPr>
          <w:rFonts w:cs="Guttman Drogolin" w:hint="cs"/>
          <w:rtl/>
          <w:lang w:bidi="he-IL"/>
        </w:rPr>
        <w:t xml:space="preserve">ונחלקו האחרונים אם יש להתיר לתוך הכלי של המין השני אפילו אם הוא דרך עירוי. הרמ"א בסע' ג' אסר בזה, ומשו"ה כתב הש"ך שם דע"כ כוונת הרמ"א כאן להתיר </w:t>
      </w:r>
      <w:r w:rsidR="00E70CAB" w:rsidRPr="00882F11">
        <w:rPr>
          <w:rFonts w:cs="Guttman Drogolin" w:hint="cs"/>
          <w:rtl/>
          <w:lang w:bidi="he-IL"/>
        </w:rPr>
        <w:t xml:space="preserve">שלא בדרך עירוי. אמנם </w:t>
      </w:r>
      <w:r w:rsidR="001F1C6B" w:rsidRPr="00882F11">
        <w:rPr>
          <w:rFonts w:cs="Guttman Drogolin" w:hint="cs"/>
          <w:rtl/>
          <w:lang w:bidi="he-IL"/>
        </w:rPr>
        <w:t>הקשה</w:t>
      </w:r>
      <w:r w:rsidR="00E70CAB" w:rsidRPr="00882F11">
        <w:rPr>
          <w:rFonts w:cs="Guttman Drogolin" w:hint="cs"/>
          <w:rtl/>
          <w:lang w:bidi="he-IL"/>
        </w:rPr>
        <w:t xml:space="preserve"> הש"ך שלכאורה לא שייך הנהו טעמי של הר"ן גם דרך עירוי, וכוונתו דודאי נח במים קודם שנכנס לתבשיל ולכן אין לאסור משום הדחת קערות. ומשו"ה נקט לדינא דלא כרמ"א והקיל גם דרך עירוי. אמנם הט"ז בס"ק י"ג </w:t>
      </w:r>
      <w:r w:rsidR="001F1C6B" w:rsidRPr="00882F11">
        <w:rPr>
          <w:rFonts w:cs="Guttman Drogolin" w:hint="cs"/>
          <w:rtl/>
          <w:lang w:bidi="he-IL"/>
        </w:rPr>
        <w:t xml:space="preserve">סבר שדרך עירוי הוי כנתבשלו ביחד. אלא שדברי הט"ז לכאורה עדיין אינם מובנים, דנהי נמי שעירוי מבשל מ"מ יש טעם שני בהיתר קודם לעירוי, וא"כ למה לא יהא מותר. ונראה שהפלתי </w:t>
      </w:r>
      <w:r w:rsidR="00340A42" w:rsidRPr="00882F11">
        <w:rPr>
          <w:rFonts w:cs="Guttman Drogolin" w:hint="cs"/>
          <w:rtl/>
          <w:lang w:bidi="he-IL"/>
        </w:rPr>
        <w:t xml:space="preserve">(ס"ק י') </w:t>
      </w:r>
      <w:r w:rsidR="001F1C6B" w:rsidRPr="00882F11">
        <w:rPr>
          <w:rFonts w:cs="Guttman Drogolin" w:hint="cs"/>
          <w:rtl/>
          <w:lang w:bidi="he-IL"/>
        </w:rPr>
        <w:t xml:space="preserve">הבין בדעת הט"ז שאין כוונתו לומר שיש לאסור כה"ג מעיקר הדין, רק שהוא חומרא שלא מעיקר הדין משום דמיחזי כהדחת קערות (וכן ראיתי שביאר הענין בבדה"ש ס"ק </w:t>
      </w:r>
      <w:r w:rsidR="00340A42" w:rsidRPr="00882F11">
        <w:rPr>
          <w:rFonts w:cs="Guttman Drogolin" w:hint="cs"/>
          <w:rtl/>
          <w:lang w:bidi="he-IL"/>
        </w:rPr>
        <w:t>ע"א, ודקדק כן מחכמ"א כלל מ"ח ד' י"ג). וע' בשפ"ד ס"ק ה' להקל במקום הדחק, וכ"כ בחכמ"א (שם).</w:t>
      </w:r>
      <w:r w:rsidR="00E70CAB" w:rsidRPr="00882F11">
        <w:rPr>
          <w:rFonts w:cs="Guttman Drogolin" w:hint="cs"/>
          <w:rtl/>
          <w:lang w:bidi="he-IL"/>
        </w:rPr>
        <w:t xml:space="preserve"> </w:t>
      </w:r>
      <w:r w:rsidRPr="00882F11">
        <w:rPr>
          <w:rFonts w:cs="Guttman Drogolin" w:hint="cs"/>
          <w:rtl/>
          <w:lang w:bidi="he-IL"/>
        </w:rPr>
        <w:t xml:space="preserve"> </w:t>
      </w:r>
      <w:r w:rsidR="008429F3" w:rsidRPr="00882F11">
        <w:rPr>
          <w:rFonts w:cs="Guttman Drogolin" w:hint="cs"/>
          <w:rtl/>
          <w:lang w:bidi="he-IL"/>
        </w:rPr>
        <w:t xml:space="preserve">  </w:t>
      </w:r>
      <w:r w:rsidR="001D1A80" w:rsidRPr="00882F11">
        <w:rPr>
          <w:rFonts w:cs="Guttman Drogolin" w:hint="cs"/>
          <w:rtl/>
          <w:lang w:bidi="he-IL"/>
        </w:rPr>
        <w:t xml:space="preserve">   </w:t>
      </w:r>
    </w:p>
    <w:p w:rsidR="00340A42" w:rsidRPr="0000469F" w:rsidRDefault="00340A42" w:rsidP="0078079C">
      <w:pPr>
        <w:pStyle w:val="Heading1"/>
        <w:bidi/>
        <w:spacing w:before="0" w:line="360" w:lineRule="auto"/>
        <w:jc w:val="center"/>
        <w:rPr>
          <w:rFonts w:cs="Guttman Drogolin"/>
          <w:color w:val="auto"/>
          <w:sz w:val="18"/>
          <w:szCs w:val="18"/>
          <w:u w:val="single"/>
          <w:rtl/>
          <w:lang w:bidi="he-IL"/>
        </w:rPr>
      </w:pPr>
      <w:bookmarkStart w:id="267" w:name="_Toc496175520"/>
      <w:r w:rsidRPr="0000469F">
        <w:rPr>
          <w:rFonts w:cs="Guttman Drogolin" w:hint="cs"/>
          <w:color w:val="auto"/>
          <w:sz w:val="18"/>
          <w:szCs w:val="18"/>
          <w:u w:val="single"/>
          <w:rtl/>
          <w:lang w:bidi="he-IL"/>
        </w:rPr>
        <w:lastRenderedPageBreak/>
        <w:t>בהא דדבר חריף מחליא לשבח אבל אינו משפיע על הכלי</w:t>
      </w:r>
      <w:bookmarkEnd w:id="267"/>
    </w:p>
    <w:p w:rsidR="00B752D8" w:rsidRPr="00882F11" w:rsidRDefault="00340A42" w:rsidP="00F62ADA">
      <w:pPr>
        <w:tabs>
          <w:tab w:val="right" w:pos="7497"/>
        </w:tabs>
        <w:bidi/>
        <w:jc w:val="both"/>
        <w:rPr>
          <w:rFonts w:cs="Guttman Drogolin"/>
          <w:rtl/>
          <w:lang w:bidi="he-IL"/>
        </w:rPr>
      </w:pPr>
      <w:r w:rsidRPr="00882F11">
        <w:rPr>
          <w:rFonts w:cs="Guttman Drogolin" w:hint="cs"/>
          <w:rtl/>
          <w:lang w:bidi="he-IL"/>
        </w:rPr>
        <w:t xml:space="preserve">הרמ"א ממשיך וכותב שכל ההיתר של נ"ט בר נ"ט אינו אלא בדבר שאינו חריף, אבל דבר חריף אוסר אפיל בדיעבד. והוסיף לומר שכן הוא הדין אפילו אם הכלי אינו בן יומו, ומשום שדבר חריף מחליא לי' לשבח ונעשית בן יומו. וכתב על זה הש"ך בס"ק ז' </w:t>
      </w:r>
      <w:r w:rsidR="00F62ADA" w:rsidRPr="00882F11">
        <w:rPr>
          <w:rFonts w:cs="Guttman Drogolin" w:hint="cs"/>
          <w:rtl/>
          <w:lang w:bidi="he-IL"/>
        </w:rPr>
        <w:t>שב</w:t>
      </w:r>
      <w:r w:rsidRPr="00882F11">
        <w:rPr>
          <w:rFonts w:cs="Guttman Drogolin" w:hint="cs"/>
          <w:rtl/>
          <w:lang w:bidi="he-IL"/>
        </w:rPr>
        <w:t>סי</w:t>
      </w:r>
      <w:r w:rsidRPr="00882F11">
        <w:rPr>
          <w:rFonts w:cs="Guttman Drogolin"/>
          <w:rtl/>
          <w:lang w:bidi="he-IL"/>
        </w:rPr>
        <w:t xml:space="preserve">' </w:t>
      </w:r>
      <w:r w:rsidRPr="00882F11">
        <w:rPr>
          <w:rFonts w:cs="Guttman Drogolin" w:hint="cs"/>
          <w:rtl/>
          <w:lang w:bidi="he-IL"/>
        </w:rPr>
        <w:t>קכ</w:t>
      </w:r>
      <w:r w:rsidRPr="00882F11">
        <w:rPr>
          <w:rFonts w:cs="Guttman Drogolin"/>
          <w:rtl/>
          <w:lang w:bidi="he-IL"/>
        </w:rPr>
        <w:t>"</w:t>
      </w:r>
      <w:r w:rsidRPr="00882F11">
        <w:rPr>
          <w:rFonts w:cs="Guttman Drogolin" w:hint="cs"/>
          <w:rtl/>
          <w:lang w:bidi="he-IL"/>
        </w:rPr>
        <w:t>ב</w:t>
      </w:r>
      <w:r w:rsidRPr="00882F11">
        <w:rPr>
          <w:rFonts w:cs="Guttman Drogolin"/>
          <w:rtl/>
          <w:lang w:bidi="he-IL"/>
        </w:rPr>
        <w:t xml:space="preserve"> </w:t>
      </w:r>
      <w:r w:rsidRPr="00882F11">
        <w:rPr>
          <w:rFonts w:cs="Guttman Drogolin" w:hint="cs"/>
          <w:rtl/>
          <w:lang w:bidi="he-IL"/>
        </w:rPr>
        <w:t>ס</w:t>
      </w:r>
      <w:r w:rsidRPr="00882F11">
        <w:rPr>
          <w:rFonts w:cs="Guttman Drogolin"/>
          <w:rtl/>
          <w:lang w:bidi="he-IL"/>
        </w:rPr>
        <w:t>"</w:t>
      </w:r>
      <w:r w:rsidRPr="00882F11">
        <w:rPr>
          <w:rFonts w:cs="Guttman Drogolin" w:hint="cs"/>
          <w:rtl/>
          <w:lang w:bidi="he-IL"/>
        </w:rPr>
        <w:t>ג</w:t>
      </w:r>
      <w:r w:rsidR="00F62ADA" w:rsidRPr="00882F11">
        <w:rPr>
          <w:rStyle w:val="FootnoteReference"/>
          <w:rFonts w:cs="Guttman Drogolin"/>
          <w:rtl/>
          <w:lang w:bidi="he-IL"/>
        </w:rPr>
        <w:footnoteReference w:id="296"/>
      </w:r>
      <w:r w:rsidRPr="00882F11">
        <w:rPr>
          <w:rFonts w:cs="Guttman Drogolin"/>
          <w:rtl/>
          <w:lang w:bidi="he-IL"/>
        </w:rPr>
        <w:t xml:space="preserve"> </w:t>
      </w:r>
      <w:r w:rsidRPr="00882F11">
        <w:rPr>
          <w:rFonts w:cs="Guttman Drogolin" w:hint="cs"/>
          <w:rtl/>
          <w:lang w:bidi="he-IL"/>
        </w:rPr>
        <w:t>נתבאר</w:t>
      </w:r>
      <w:r w:rsidRPr="00882F11">
        <w:rPr>
          <w:rFonts w:cs="Guttman Drogolin"/>
          <w:rtl/>
          <w:lang w:bidi="he-IL"/>
        </w:rPr>
        <w:t xml:space="preserve"> </w:t>
      </w:r>
      <w:r w:rsidRPr="00882F11">
        <w:rPr>
          <w:rFonts w:cs="Guttman Drogolin" w:hint="cs"/>
          <w:rtl/>
          <w:lang w:bidi="he-IL"/>
        </w:rPr>
        <w:t>דדוקא</w:t>
      </w:r>
      <w:r w:rsidRPr="00882F11">
        <w:rPr>
          <w:rFonts w:cs="Guttman Drogolin"/>
          <w:rtl/>
          <w:lang w:bidi="he-IL"/>
        </w:rPr>
        <w:t xml:space="preserve"> </w:t>
      </w:r>
      <w:r w:rsidRPr="00882F11">
        <w:rPr>
          <w:rFonts w:cs="Guttman Drogolin" w:hint="cs"/>
          <w:rtl/>
          <w:lang w:bidi="he-IL"/>
        </w:rPr>
        <w:t>המאכל</w:t>
      </w:r>
      <w:r w:rsidRPr="00882F11">
        <w:rPr>
          <w:rFonts w:cs="Guttman Drogolin"/>
          <w:rtl/>
          <w:lang w:bidi="he-IL"/>
        </w:rPr>
        <w:t xml:space="preserve"> </w:t>
      </w:r>
      <w:r w:rsidRPr="00882F11">
        <w:rPr>
          <w:rFonts w:cs="Guttman Drogolin" w:hint="cs"/>
          <w:rtl/>
          <w:lang w:bidi="he-IL"/>
        </w:rPr>
        <w:t>עצמו</w:t>
      </w:r>
      <w:r w:rsidRPr="00882F11">
        <w:rPr>
          <w:rFonts w:cs="Guttman Drogolin"/>
          <w:rtl/>
          <w:lang w:bidi="he-IL"/>
        </w:rPr>
        <w:t xml:space="preserve"> </w:t>
      </w:r>
      <w:r w:rsidRPr="00882F11">
        <w:rPr>
          <w:rFonts w:cs="Guttman Drogolin" w:hint="cs"/>
          <w:rtl/>
          <w:lang w:bidi="he-IL"/>
        </w:rPr>
        <w:t>שהוא</w:t>
      </w:r>
      <w:r w:rsidRPr="00882F11">
        <w:rPr>
          <w:rFonts w:cs="Guttman Drogolin"/>
          <w:rtl/>
          <w:lang w:bidi="he-IL"/>
        </w:rPr>
        <w:t xml:space="preserve"> </w:t>
      </w:r>
      <w:r w:rsidRPr="00882F11">
        <w:rPr>
          <w:rFonts w:cs="Guttman Drogolin" w:hint="cs"/>
          <w:rtl/>
          <w:lang w:bidi="he-IL"/>
        </w:rPr>
        <w:t>חריף</w:t>
      </w:r>
      <w:r w:rsidRPr="00882F11">
        <w:rPr>
          <w:rFonts w:cs="Guttman Drogolin"/>
          <w:rtl/>
          <w:lang w:bidi="he-IL"/>
        </w:rPr>
        <w:t xml:space="preserve"> </w:t>
      </w:r>
      <w:r w:rsidRPr="00882F11">
        <w:rPr>
          <w:rFonts w:cs="Guttman Drogolin" w:hint="cs"/>
          <w:rtl/>
          <w:lang w:bidi="he-IL"/>
        </w:rPr>
        <w:t>נעשה</w:t>
      </w:r>
      <w:r w:rsidRPr="00882F11">
        <w:rPr>
          <w:rFonts w:cs="Guttman Drogolin"/>
          <w:rtl/>
          <w:lang w:bidi="he-IL"/>
        </w:rPr>
        <w:t xml:space="preserve"> </w:t>
      </w:r>
      <w:r w:rsidRPr="00882F11">
        <w:rPr>
          <w:rFonts w:cs="Guttman Drogolin" w:hint="cs"/>
          <w:rtl/>
          <w:lang w:bidi="he-IL"/>
        </w:rPr>
        <w:t>לשבח</w:t>
      </w:r>
      <w:r w:rsidRPr="00882F11">
        <w:rPr>
          <w:rFonts w:cs="Guttman Drogolin"/>
          <w:rtl/>
          <w:lang w:bidi="he-IL"/>
        </w:rPr>
        <w:t xml:space="preserve"> </w:t>
      </w:r>
      <w:r w:rsidRPr="00882F11">
        <w:rPr>
          <w:rFonts w:cs="Guttman Drogolin" w:hint="cs"/>
          <w:rtl/>
          <w:lang w:bidi="he-IL"/>
        </w:rPr>
        <w:t>אבל</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משוי</w:t>
      </w:r>
      <w:r w:rsidRPr="00882F11">
        <w:rPr>
          <w:rFonts w:cs="Guttman Drogolin"/>
          <w:rtl/>
          <w:lang w:bidi="he-IL"/>
        </w:rPr>
        <w:t xml:space="preserve"> </w:t>
      </w:r>
      <w:r w:rsidRPr="00882F11">
        <w:rPr>
          <w:rFonts w:cs="Guttman Drogolin" w:hint="cs"/>
          <w:rtl/>
          <w:lang w:bidi="he-IL"/>
        </w:rPr>
        <w:t>הקדרה</w:t>
      </w:r>
      <w:r w:rsidRPr="00882F11">
        <w:rPr>
          <w:rFonts w:cs="Guttman Drogolin"/>
          <w:rtl/>
          <w:lang w:bidi="he-IL"/>
        </w:rPr>
        <w:t xml:space="preserve"> </w:t>
      </w:r>
      <w:r w:rsidRPr="00882F11">
        <w:rPr>
          <w:rFonts w:cs="Guttman Drogolin" w:hint="cs"/>
          <w:rtl/>
          <w:lang w:bidi="he-IL"/>
        </w:rPr>
        <w:t xml:space="preserve">לשבח. ובודאי אין כוונתו שהדבר חריף עצמו נעשה לשבח, דמה"ת שלא יהי' לשבח, רק כוונתו שהבליעות שנכנסו לתוך הדבר חריף נעשו לשבח, אבל הבליעות שנשארו בתוך הכלי לא נעשו לשבח. ועיקר הכוונה שאין לדבר חריף </w:t>
      </w:r>
      <w:r w:rsidR="003F1158" w:rsidRPr="00882F11">
        <w:rPr>
          <w:rFonts w:cs="Guttman Drogolin" w:hint="cs"/>
          <w:rtl/>
          <w:lang w:bidi="he-IL"/>
        </w:rPr>
        <w:t xml:space="preserve">כח </w:t>
      </w:r>
      <w:r w:rsidRPr="00882F11">
        <w:rPr>
          <w:rFonts w:cs="Guttman Drogolin" w:hint="cs"/>
          <w:rtl/>
          <w:lang w:bidi="he-IL"/>
        </w:rPr>
        <w:t>לחל</w:t>
      </w:r>
      <w:r w:rsidR="003F1158" w:rsidRPr="00882F11">
        <w:rPr>
          <w:rFonts w:cs="Guttman Drogolin" w:hint="cs"/>
          <w:rtl/>
          <w:lang w:bidi="he-IL"/>
        </w:rPr>
        <w:t>י'</w:t>
      </w:r>
      <w:r w:rsidRPr="00882F11">
        <w:rPr>
          <w:rFonts w:cs="Guttman Drogolin" w:hint="cs"/>
          <w:rtl/>
          <w:lang w:bidi="he-IL"/>
        </w:rPr>
        <w:t xml:space="preserve"> לשבח אלא הבליעות שנכנסו לתוכו ולא לבליעות שנשארו בכלי. אמנם נשאלת השאלה דנהי נמי שאין הבליעות שנשארו בכלי נהפכות להיות לשבח, אבל למה לא נימא שהבליעות שנכנסו לתוך הדבר לא יחזרו שוב לתוך הכלי וממילא גם הכלי יהא בו בליעות שהם נ"ט לשבח. </w:t>
      </w:r>
      <w:r w:rsidR="00B752D8" w:rsidRPr="00882F11">
        <w:rPr>
          <w:rFonts w:cs="Guttman Drogolin" w:hint="cs"/>
          <w:rtl/>
          <w:lang w:bidi="he-IL"/>
        </w:rPr>
        <w:t>והפשוט בזה כמש"כ החוו"ד בסי' ק"ג ס"ק ט' שהבליעות האלו כיון שנכנסו לתוך הדבר חריף וחוזרים לכלי הוו בכלל נ"ט בר נ"ט ומותר (ואע"ג שבדבר חריף מחמירים בנ"ט בר נ"ט, הנ"מ לענין זה שבולע כל הטעם מן הכלי ולכן הטעם שעובר מן הכלי לדבר חריף אינו חשוב כעוד נ"ט, אבל מן הדבר חריף לכלי שפיר חשוב נ"ט ולכן יש כאן היתירא דנ"ט בר נ"ט).</w:t>
      </w:r>
    </w:p>
    <w:p w:rsidR="00B752D8" w:rsidRPr="00882F11" w:rsidRDefault="00B752D8" w:rsidP="003F1158">
      <w:pPr>
        <w:tabs>
          <w:tab w:val="right" w:pos="7497"/>
        </w:tabs>
        <w:bidi/>
        <w:jc w:val="both"/>
        <w:rPr>
          <w:rFonts w:cs="Guttman Drogolin"/>
          <w:rtl/>
          <w:lang w:bidi="he-IL"/>
        </w:rPr>
      </w:pPr>
      <w:r w:rsidRPr="00882F11">
        <w:rPr>
          <w:rFonts w:cs="Guttman Drogolin" w:hint="cs"/>
          <w:rtl/>
          <w:lang w:bidi="he-IL"/>
        </w:rPr>
        <w:t>אמנם לפי זה כל דברי הש"ך אינם אלא בהיתירא</w:t>
      </w:r>
      <w:r w:rsidR="003F1158" w:rsidRPr="00882F11">
        <w:rPr>
          <w:rFonts w:cs="Guttman Drogolin" w:hint="cs"/>
          <w:rtl/>
          <w:lang w:bidi="he-IL"/>
        </w:rPr>
        <w:t>,</w:t>
      </w:r>
      <w:r w:rsidRPr="00882F11">
        <w:rPr>
          <w:rFonts w:cs="Guttman Drogolin" w:hint="cs"/>
          <w:rtl/>
          <w:lang w:bidi="he-IL"/>
        </w:rPr>
        <w:t xml:space="preserve"> </w:t>
      </w:r>
      <w:r w:rsidR="003F1158" w:rsidRPr="00882F11">
        <w:rPr>
          <w:rFonts w:cs="Guttman Drogolin" w:hint="cs"/>
          <w:rtl/>
          <w:lang w:bidi="he-IL"/>
        </w:rPr>
        <w:t>ד</w:t>
      </w:r>
      <w:r w:rsidRPr="00882F11">
        <w:rPr>
          <w:rFonts w:cs="Guttman Drogolin" w:hint="cs"/>
          <w:rtl/>
          <w:lang w:bidi="he-IL"/>
        </w:rPr>
        <w:t>שם נאמר ההיתר של נ"ט בר נ"ט, אבל אם בישל דבר חריף בקדירה הבלוע מאיסור שאינו בן יומו, חייבים</w:t>
      </w:r>
      <w:r w:rsidR="003F1158" w:rsidRPr="00882F11">
        <w:rPr>
          <w:rFonts w:cs="Guttman Drogolin" w:hint="cs"/>
          <w:rtl/>
          <w:lang w:bidi="he-IL"/>
        </w:rPr>
        <w:t xml:space="preserve"> לומר שגם הכלי נהפך להיות בלוע</w:t>
      </w:r>
      <w:r w:rsidRPr="00882F11">
        <w:rPr>
          <w:rFonts w:cs="Guttman Drogolin" w:hint="cs"/>
          <w:rtl/>
          <w:lang w:bidi="he-IL"/>
        </w:rPr>
        <w:t xml:space="preserve"> </w:t>
      </w:r>
      <w:r w:rsidR="003F1158" w:rsidRPr="00882F11">
        <w:rPr>
          <w:rFonts w:cs="Guttman Drogolin" w:hint="cs"/>
          <w:rtl/>
          <w:lang w:bidi="he-IL"/>
        </w:rPr>
        <w:t>ב</w:t>
      </w:r>
      <w:r w:rsidRPr="00882F11">
        <w:rPr>
          <w:rFonts w:cs="Guttman Drogolin" w:hint="cs"/>
          <w:rtl/>
          <w:lang w:bidi="he-IL"/>
        </w:rPr>
        <w:t>טעם איסור לשבח, שאע"ג שאין הדבר חריף מחלי' להו לבליעות שנשארו בכלי, מ"מ הבליעות שנכנס</w:t>
      </w:r>
      <w:r w:rsidR="003F1158" w:rsidRPr="00882F11">
        <w:rPr>
          <w:rFonts w:cs="Guttman Drogolin" w:hint="cs"/>
          <w:rtl/>
          <w:lang w:bidi="he-IL"/>
        </w:rPr>
        <w:t>ו</w:t>
      </w:r>
      <w:r w:rsidRPr="00882F11">
        <w:rPr>
          <w:rFonts w:cs="Guttman Drogolin" w:hint="cs"/>
          <w:rtl/>
          <w:lang w:bidi="he-IL"/>
        </w:rPr>
        <w:t xml:space="preserve"> לתוך הדבר חריף נהפכו להיות לשבח, וכששוב נכנסות לתוך הכלי ג"כ הוו לשבח.</w:t>
      </w:r>
      <w:r w:rsidR="00A27BA9" w:rsidRPr="00882F11">
        <w:rPr>
          <w:rFonts w:cs="Guttman Drogolin" w:hint="cs"/>
          <w:rtl/>
          <w:lang w:bidi="he-IL"/>
        </w:rPr>
        <w:t xml:space="preserve"> ו</w:t>
      </w:r>
      <w:r w:rsidR="003F1158" w:rsidRPr="00882F11">
        <w:rPr>
          <w:rFonts w:cs="Guttman Drogolin" w:hint="cs"/>
          <w:rtl/>
          <w:lang w:bidi="he-IL"/>
        </w:rPr>
        <w:t>עוד יש להעיר ד</w:t>
      </w:r>
      <w:r w:rsidR="00A27BA9" w:rsidRPr="00882F11">
        <w:rPr>
          <w:rFonts w:cs="Guttman Drogolin" w:hint="cs"/>
          <w:rtl/>
          <w:lang w:bidi="he-IL"/>
        </w:rPr>
        <w:t xml:space="preserve">הנ"מ אם היסוד של דבר חריף מחליא לשבח היינו שמשפיע על הבליעה עצמה שנכנס </w:t>
      </w:r>
      <w:r w:rsidR="00A27BA9" w:rsidRPr="00882F11">
        <w:rPr>
          <w:rFonts w:cs="Guttman Drogolin" w:hint="cs"/>
          <w:rtl/>
          <w:lang w:bidi="he-IL"/>
        </w:rPr>
        <w:lastRenderedPageBreak/>
        <w:t>לתוכה, אבל הבאנו בשעתו</w:t>
      </w:r>
      <w:r w:rsidR="00A27BA9" w:rsidRPr="00882F11">
        <w:rPr>
          <w:rStyle w:val="FootnoteReference"/>
          <w:rFonts w:cs="Guttman Drogolin"/>
          <w:rtl/>
          <w:lang w:bidi="he-IL"/>
        </w:rPr>
        <w:footnoteReference w:id="297"/>
      </w:r>
      <w:r w:rsidR="00A27BA9" w:rsidRPr="00882F11">
        <w:rPr>
          <w:rFonts w:cs="Guttman Drogolin" w:hint="cs"/>
          <w:rtl/>
          <w:lang w:bidi="he-IL"/>
        </w:rPr>
        <w:t xml:space="preserve"> שהמשכנ"י סבר שאין הבליעה עצמה נהפך להיות לשבח, רק שבתוך הדבר חריף עצמו הרי הוא לשבח. ולדבריו אפילו אי מיירי באיסורא בלע אחרי שיצא מן הדבר חריף חזר לדינו דמעיקרא. וע"ש בחוו"ד</w:t>
      </w:r>
      <w:r w:rsidR="00D702C7" w:rsidRPr="00882F11">
        <w:rPr>
          <w:rFonts w:cs="Guttman Drogolin" w:hint="cs"/>
          <w:rtl/>
          <w:lang w:bidi="he-IL"/>
        </w:rPr>
        <w:t xml:space="preserve"> שהעיר מסברא כזו רק שדחוהו, ע"ש טעמו. </w:t>
      </w:r>
      <w:r w:rsidR="00A27BA9" w:rsidRPr="00882F11">
        <w:rPr>
          <w:rFonts w:cs="Guttman Drogolin" w:hint="cs"/>
          <w:rtl/>
          <w:lang w:bidi="he-IL"/>
        </w:rPr>
        <w:t xml:space="preserve">  </w:t>
      </w:r>
    </w:p>
    <w:p w:rsidR="006D6081" w:rsidRPr="00882F11" w:rsidRDefault="003F1158" w:rsidP="003F1158">
      <w:pPr>
        <w:tabs>
          <w:tab w:val="right" w:pos="7497"/>
        </w:tabs>
        <w:bidi/>
        <w:jc w:val="both"/>
        <w:rPr>
          <w:rFonts w:cs="Guttman Drogolin"/>
          <w:rtl/>
          <w:lang w:bidi="he-IL"/>
        </w:rPr>
      </w:pPr>
      <w:r w:rsidRPr="00882F11">
        <w:rPr>
          <w:rFonts w:cs="Guttman Drogolin" w:hint="cs"/>
          <w:rtl/>
          <w:lang w:bidi="he-IL"/>
        </w:rPr>
        <w:t>וכן עיקר סברת החוו"ד תלוי, ש</w:t>
      </w:r>
      <w:r w:rsidR="00B752D8" w:rsidRPr="00882F11">
        <w:rPr>
          <w:rFonts w:cs="Guttman Drogolin" w:hint="cs"/>
          <w:rtl/>
          <w:lang w:bidi="he-IL"/>
        </w:rPr>
        <w:t>לפי ההנחה שדבר חריף הבולע וחוזר מפליט חשוב נ"ט א' מיהת, וזהו סברת האבן העוזר בסי' צ"ו, אבל האבן העוזר הרי חולק על המג"א בסי' תנ"א ס"ק ל"א, ולכאורה לדידי' עדיין צ"ע למה הסכין לא נחשב ליש בה טעם בשר או חלב לשבח. ואכמ"ל בזה</w:t>
      </w:r>
      <w:r w:rsidR="00941075" w:rsidRPr="00882F11">
        <w:rPr>
          <w:rStyle w:val="FootnoteReference"/>
          <w:rFonts w:cs="Guttman Drogolin"/>
          <w:rtl/>
          <w:lang w:bidi="he-IL"/>
        </w:rPr>
        <w:footnoteReference w:id="298"/>
      </w:r>
      <w:r w:rsidR="00B752D8" w:rsidRPr="00882F11">
        <w:rPr>
          <w:rFonts w:cs="Guttman Drogolin" w:hint="cs"/>
          <w:rtl/>
          <w:lang w:bidi="he-IL"/>
        </w:rPr>
        <w:t>.</w:t>
      </w:r>
    </w:p>
    <w:p w:rsidR="006D6081" w:rsidRPr="0000469F" w:rsidRDefault="006D6081" w:rsidP="0078079C">
      <w:pPr>
        <w:pStyle w:val="Heading1"/>
        <w:bidi/>
        <w:spacing w:before="0" w:line="360" w:lineRule="auto"/>
        <w:jc w:val="center"/>
        <w:rPr>
          <w:rFonts w:cs="Guttman Drogolin"/>
          <w:color w:val="auto"/>
          <w:sz w:val="22"/>
          <w:szCs w:val="22"/>
          <w:u w:val="single"/>
          <w:rtl/>
          <w:lang w:bidi="he-IL"/>
        </w:rPr>
      </w:pPr>
      <w:bookmarkStart w:id="268" w:name="_Toc496175521"/>
      <w:r w:rsidRPr="0000469F">
        <w:rPr>
          <w:rFonts w:cs="Guttman Drogolin" w:hint="cs"/>
          <w:color w:val="auto"/>
          <w:sz w:val="22"/>
          <w:szCs w:val="22"/>
          <w:u w:val="single"/>
          <w:rtl/>
          <w:lang w:bidi="he-IL"/>
        </w:rPr>
        <w:t>בהא שהחמיר הרמ"א בנ"ט בר נ"ט בדבר חריף</w:t>
      </w:r>
      <w:bookmarkEnd w:id="268"/>
    </w:p>
    <w:p w:rsidR="00574108" w:rsidRPr="00882F11" w:rsidRDefault="005472CF" w:rsidP="00574108">
      <w:pPr>
        <w:tabs>
          <w:tab w:val="right" w:pos="7497"/>
        </w:tabs>
        <w:bidi/>
        <w:jc w:val="both"/>
        <w:rPr>
          <w:rFonts w:cs="Guttman Drogolin"/>
          <w:rtl/>
          <w:lang w:bidi="he-IL"/>
        </w:rPr>
      </w:pPr>
      <w:r>
        <w:rPr>
          <w:rFonts w:cs="Guttman Drogolin"/>
          <w:rtl/>
          <w:lang w:bidi="he-IL"/>
        </w:rPr>
        <w:fldChar w:fldCharType="begin"/>
      </w:r>
      <w:r>
        <w:instrText xml:space="preserve"> XE "</w:instrText>
      </w:r>
      <w:r w:rsidRPr="00C92296">
        <w:rPr>
          <w:rFonts w:hint="cs"/>
          <w:rtl/>
          <w:lang w:bidi="he-IL"/>
        </w:rPr>
        <w:instrText>נ</w:instrText>
      </w:r>
      <w:r>
        <w:rPr>
          <w:rFonts w:eastAsiaTheme="minorEastAsia"/>
          <w:lang w:bidi="he-IL"/>
        </w:rPr>
        <w:instrText>\</w:instrText>
      </w:r>
      <w:r w:rsidRPr="00C92296">
        <w:rPr>
          <w:rFonts w:hint="cs"/>
          <w:rtl/>
          <w:lang w:bidi="he-IL"/>
        </w:rPr>
        <w:instrText>"ט בר נ</w:instrText>
      </w:r>
      <w:r>
        <w:rPr>
          <w:rFonts w:eastAsiaTheme="minorEastAsia"/>
          <w:lang w:bidi="he-IL"/>
        </w:rPr>
        <w:instrText>\</w:instrText>
      </w:r>
      <w:r w:rsidRPr="00C92296">
        <w:rPr>
          <w:rFonts w:hint="cs"/>
          <w:rtl/>
          <w:lang w:bidi="he-IL"/>
        </w:rPr>
        <w:instrText>"ט</w:instrText>
      </w:r>
      <w:r w:rsidRPr="00C92296">
        <w:rPr>
          <w:rtl/>
        </w:rPr>
        <w:instrText>:</w:instrText>
      </w:r>
      <w:r w:rsidRPr="00C92296">
        <w:rPr>
          <w:rFonts w:hint="cs"/>
          <w:rtl/>
          <w:lang w:bidi="he-IL"/>
        </w:rPr>
        <w:instrText>בדבר חריף - שיטת הרמ</w:instrText>
      </w:r>
      <w:r>
        <w:rPr>
          <w:rFonts w:eastAsiaTheme="minorEastAsia"/>
          <w:lang w:bidi="he-IL"/>
        </w:rPr>
        <w:instrText>\</w:instrText>
      </w:r>
      <w:r w:rsidRPr="00C92296">
        <w:rPr>
          <w:rFonts w:hint="cs"/>
          <w:rtl/>
          <w:lang w:bidi="he-IL"/>
        </w:rPr>
        <w:instrText>"א</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C86854">
        <w:rPr>
          <w:rFonts w:hint="cs"/>
          <w:rtl/>
          <w:lang w:bidi="he-IL"/>
        </w:rPr>
        <w:instrText>דבר חריף</w:instrText>
      </w:r>
      <w:r w:rsidRPr="00C86854">
        <w:rPr>
          <w:rtl/>
        </w:rPr>
        <w:instrText>:</w:instrText>
      </w:r>
      <w:r w:rsidRPr="00C86854">
        <w:rPr>
          <w:rFonts w:hint="cs"/>
          <w:rtl/>
          <w:lang w:bidi="he-IL"/>
        </w:rPr>
        <w:instrText>אם יש בה היתר של נ</w:instrText>
      </w:r>
      <w:r>
        <w:rPr>
          <w:rFonts w:eastAsiaTheme="minorEastAsia"/>
          <w:lang w:bidi="he-IL"/>
        </w:rPr>
        <w:instrText>\</w:instrText>
      </w:r>
      <w:r w:rsidRPr="00C86854">
        <w:rPr>
          <w:rFonts w:hint="cs"/>
          <w:rtl/>
          <w:lang w:bidi="he-IL"/>
        </w:rPr>
        <w:instrText>"ט בר נ</w:instrText>
      </w:r>
      <w:r>
        <w:rPr>
          <w:rFonts w:eastAsiaTheme="minorEastAsia"/>
          <w:lang w:bidi="he-IL"/>
        </w:rPr>
        <w:instrText>\</w:instrText>
      </w:r>
      <w:r w:rsidRPr="00C86854">
        <w:rPr>
          <w:rFonts w:hint="cs"/>
          <w:rtl/>
          <w:lang w:bidi="he-IL"/>
        </w:rPr>
        <w:instrText>"ט - שיטת הרמ</w:instrText>
      </w:r>
      <w:r>
        <w:rPr>
          <w:rFonts w:eastAsiaTheme="minorEastAsia"/>
          <w:lang w:bidi="he-IL"/>
        </w:rPr>
        <w:instrText>\</w:instrText>
      </w:r>
      <w:r w:rsidRPr="00C86854">
        <w:rPr>
          <w:rFonts w:hint="cs"/>
          <w:rtl/>
          <w:lang w:bidi="he-IL"/>
        </w:rPr>
        <w:instrText>"א</w:instrText>
      </w:r>
      <w:r>
        <w:instrText xml:space="preserve">" </w:instrText>
      </w:r>
      <w:r>
        <w:rPr>
          <w:rFonts w:cs="Guttman Drogolin"/>
          <w:rtl/>
          <w:lang w:bidi="he-IL"/>
        </w:rPr>
        <w:fldChar w:fldCharType="end"/>
      </w:r>
      <w:r w:rsidR="006D6081" w:rsidRPr="00882F11">
        <w:rPr>
          <w:rFonts w:cs="Guttman Drogolin" w:hint="cs"/>
          <w:rtl/>
          <w:lang w:bidi="he-IL"/>
        </w:rPr>
        <w:t xml:space="preserve">הרמ"א כתב שאם בישל דבר חריף בתוך קדרה של מין א', אפילו אינו בן יומו, ושוב בישלו עם המין השני, הרי זה אוסר התבשיל אפילו בדיעבד. </w:t>
      </w:r>
      <w:r w:rsidR="00AA6D8B" w:rsidRPr="00882F11">
        <w:rPr>
          <w:rFonts w:cs="Guttman Drogolin" w:hint="cs"/>
          <w:rtl/>
          <w:lang w:bidi="he-IL"/>
        </w:rPr>
        <w:t>ויוצא שלשיטת הרמ"א דבר חריף הוא יותר חמור מנתבשלו או נצלו, שהרי אפילו בנצלו אע"ג שהחמיר בה הרמ"א לכתחילה, מ"מ הרי הקיל בדיעבד, ואילו בדבר חריף הרי החמיר אפילו בדיעבד. והעירו כמה אחרונים שמשמעות כמה ראשונים שאין זה נכון, אלא דבר חריף כנצלו, ולכן עד כמה שמקילין בדיעבד בנצלו הי' צריך להיות הדין כן גם בדבר חריף.</w:t>
      </w:r>
      <w:r w:rsidR="00B908E0" w:rsidRPr="00882F11">
        <w:rPr>
          <w:rFonts w:cs="Guttman Drogolin" w:hint="cs"/>
          <w:rtl/>
          <w:lang w:bidi="he-IL"/>
        </w:rPr>
        <w:t xml:space="preserve"> ומבואר בדרכ"מ (וכן במקורות של הרמ"א בש</w:t>
      </w:r>
      <w:r w:rsidR="00574108" w:rsidRPr="00882F11">
        <w:rPr>
          <w:rFonts w:cs="Guttman Drogolin" w:hint="cs"/>
          <w:rtl/>
          <w:lang w:bidi="he-IL"/>
        </w:rPr>
        <w:t>ו</w:t>
      </w:r>
      <w:r w:rsidR="00B908E0" w:rsidRPr="00882F11">
        <w:rPr>
          <w:rFonts w:cs="Guttman Drogolin" w:hint="cs"/>
          <w:rtl/>
          <w:lang w:bidi="he-IL"/>
        </w:rPr>
        <w:t>"ע) שמקור הדבר</w:t>
      </w:r>
      <w:r w:rsidR="00574108" w:rsidRPr="00882F11">
        <w:rPr>
          <w:rFonts w:cs="Guttman Drogolin" w:hint="cs"/>
          <w:rtl/>
          <w:lang w:bidi="he-IL"/>
        </w:rPr>
        <w:t xml:space="preserve"> מאו"ה שהחמיר בתבלין שנדוכו במדוך של בשר והתערבו בחלב שתצריך ששים. וכן דקדק מתשו' הרשב"א ע"ש.</w:t>
      </w:r>
      <w:r w:rsidR="00B908E0" w:rsidRPr="00882F11">
        <w:rPr>
          <w:rFonts w:cs="Guttman Drogolin" w:hint="cs"/>
          <w:rtl/>
          <w:lang w:bidi="he-IL"/>
        </w:rPr>
        <w:t xml:space="preserve"> </w:t>
      </w:r>
      <w:r w:rsidR="00AA6D8B" w:rsidRPr="00882F11">
        <w:rPr>
          <w:rFonts w:cs="Guttman Drogolin" w:hint="cs"/>
          <w:rtl/>
          <w:lang w:bidi="he-IL"/>
        </w:rPr>
        <w:t xml:space="preserve">ע' בפת"ש שהביא מתשו' מקום שמואל סי' פ"ט </w:t>
      </w:r>
      <w:r w:rsidR="00B908E0" w:rsidRPr="00882F11">
        <w:rPr>
          <w:rFonts w:cs="Guttman Drogolin" w:hint="cs"/>
          <w:rtl/>
          <w:lang w:bidi="he-IL"/>
        </w:rPr>
        <w:t xml:space="preserve">שתמה על פסק זה, </w:t>
      </w:r>
      <w:r w:rsidR="00574108" w:rsidRPr="00882F11">
        <w:rPr>
          <w:rFonts w:cs="Guttman Drogolin" w:hint="cs"/>
          <w:rtl/>
          <w:lang w:bidi="he-IL"/>
        </w:rPr>
        <w:t xml:space="preserve">וכתב שאין ראי' מאו"ה דאהו החמיר בנצלו, וכן אין שום משמעות מן הרשב"א. וכן בפר"ח ברסי' צ"ו ס"ק ב' דקדק משו"ע שהחמיר בנ"ט בר נ"ט בדבר חריף, והקשה עליו מלשונם של הראשונים ולכן הסיק כתב שדבר חריף אין דינו אלא כנצלו. </w:t>
      </w:r>
    </w:p>
    <w:p w:rsidR="00A27BA9" w:rsidRPr="00882F11" w:rsidRDefault="00574108" w:rsidP="00A27BA9">
      <w:pPr>
        <w:tabs>
          <w:tab w:val="right" w:pos="7497"/>
        </w:tabs>
        <w:bidi/>
        <w:jc w:val="both"/>
        <w:rPr>
          <w:rFonts w:cs="Guttman Drogolin"/>
          <w:rtl/>
          <w:lang w:bidi="he-IL"/>
        </w:rPr>
      </w:pPr>
      <w:r w:rsidRPr="00882F11">
        <w:rPr>
          <w:rFonts w:cs="Guttman Drogolin" w:hint="cs"/>
          <w:rtl/>
          <w:lang w:bidi="he-IL"/>
        </w:rPr>
        <w:t xml:space="preserve">ועכ"פ חזינן לדעתייהו של המחבר והרמ"א שהחמירו בנ"ט בר נ"ט בדבר חריף אפילו </w:t>
      </w:r>
      <w:r w:rsidRPr="00882F11">
        <w:rPr>
          <w:rFonts w:cs="Guttman Drogolin" w:hint="cs"/>
          <w:rtl/>
          <w:lang w:bidi="he-IL"/>
        </w:rPr>
        <w:lastRenderedPageBreak/>
        <w:t>בדיעבד.</w:t>
      </w:r>
      <w:r w:rsidR="00AA6D8B" w:rsidRPr="00882F11">
        <w:rPr>
          <w:rFonts w:cs="Guttman Drogolin" w:hint="cs"/>
          <w:rtl/>
          <w:lang w:bidi="he-IL"/>
        </w:rPr>
        <w:t xml:space="preserve"> </w:t>
      </w:r>
      <w:r w:rsidRPr="00882F11">
        <w:rPr>
          <w:rFonts w:cs="Guttman Drogolin" w:hint="cs"/>
          <w:rtl/>
          <w:lang w:bidi="he-IL"/>
        </w:rPr>
        <w:t xml:space="preserve">ואע"פ שהפר"ח הקיל, וע' בשפ"ד סי' צ"ו ס"ק ב' שהביא שגם הכרו"פ נה להקל עם צירוף אחר וכתב על זה </w:t>
      </w:r>
      <w:r w:rsidR="00A27BA9" w:rsidRPr="00882F11">
        <w:rPr>
          <w:rFonts w:cs="Guttman Drogolin" w:hint="cs"/>
          <w:rtl/>
          <w:lang w:bidi="he-IL"/>
        </w:rPr>
        <w:t>"ואני</w:t>
      </w:r>
      <w:r w:rsidR="00A27BA9" w:rsidRPr="00882F11">
        <w:rPr>
          <w:rFonts w:cs="Guttman Drogolin"/>
          <w:rtl/>
          <w:lang w:bidi="he-IL"/>
        </w:rPr>
        <w:t xml:space="preserve"> </w:t>
      </w:r>
      <w:r w:rsidR="00A27BA9" w:rsidRPr="00882F11">
        <w:rPr>
          <w:rFonts w:cs="Guttman Drogolin" w:hint="cs"/>
          <w:rtl/>
          <w:lang w:bidi="he-IL"/>
        </w:rPr>
        <w:t>אומר</w:t>
      </w:r>
      <w:r w:rsidR="00A27BA9" w:rsidRPr="00882F11">
        <w:rPr>
          <w:rFonts w:cs="Guttman Drogolin"/>
          <w:rtl/>
          <w:lang w:bidi="he-IL"/>
        </w:rPr>
        <w:t xml:space="preserve"> </w:t>
      </w:r>
      <w:r w:rsidR="00A27BA9" w:rsidRPr="00882F11">
        <w:rPr>
          <w:rFonts w:cs="Guttman Drogolin" w:hint="cs"/>
          <w:rtl/>
          <w:lang w:bidi="he-IL"/>
        </w:rPr>
        <w:t>חלילה</w:t>
      </w:r>
      <w:r w:rsidR="00A27BA9" w:rsidRPr="00882F11">
        <w:rPr>
          <w:rFonts w:cs="Guttman Drogolin"/>
          <w:rtl/>
          <w:lang w:bidi="he-IL"/>
        </w:rPr>
        <w:t xml:space="preserve"> </w:t>
      </w:r>
      <w:r w:rsidR="00A27BA9" w:rsidRPr="00882F11">
        <w:rPr>
          <w:rFonts w:cs="Guttman Drogolin" w:hint="cs"/>
          <w:rtl/>
          <w:lang w:bidi="he-IL"/>
        </w:rPr>
        <w:t>לזוז</w:t>
      </w:r>
      <w:r w:rsidR="00A27BA9" w:rsidRPr="00882F11">
        <w:rPr>
          <w:rFonts w:cs="Guttman Drogolin"/>
          <w:rtl/>
          <w:lang w:bidi="he-IL"/>
        </w:rPr>
        <w:t xml:space="preserve"> </w:t>
      </w:r>
      <w:r w:rsidR="00A27BA9" w:rsidRPr="00882F11">
        <w:rPr>
          <w:rFonts w:cs="Guttman Drogolin" w:hint="cs"/>
          <w:rtl/>
          <w:lang w:bidi="he-IL"/>
        </w:rPr>
        <w:t>מש</w:t>
      </w:r>
      <w:r w:rsidR="00A27BA9" w:rsidRPr="00882F11">
        <w:rPr>
          <w:rFonts w:cs="Guttman Drogolin"/>
          <w:rtl/>
          <w:lang w:bidi="he-IL"/>
        </w:rPr>
        <w:t>"</w:t>
      </w:r>
      <w:r w:rsidR="00A27BA9" w:rsidRPr="00882F11">
        <w:rPr>
          <w:rFonts w:cs="Guttman Drogolin" w:hint="cs"/>
          <w:rtl/>
          <w:lang w:bidi="he-IL"/>
        </w:rPr>
        <w:t>ע</w:t>
      </w:r>
      <w:r w:rsidR="00A27BA9" w:rsidRPr="00882F11">
        <w:rPr>
          <w:rFonts w:cs="Guttman Drogolin"/>
          <w:rtl/>
          <w:lang w:bidi="he-IL"/>
        </w:rPr>
        <w:t xml:space="preserve"> </w:t>
      </w:r>
      <w:r w:rsidR="00A27BA9" w:rsidRPr="00882F11">
        <w:rPr>
          <w:rFonts w:cs="Guttman Drogolin" w:hint="cs"/>
          <w:rtl/>
          <w:lang w:bidi="he-IL"/>
        </w:rPr>
        <w:t>והר</w:t>
      </w:r>
      <w:r w:rsidR="00A27BA9" w:rsidRPr="00882F11">
        <w:rPr>
          <w:rFonts w:cs="Guttman Drogolin"/>
          <w:rtl/>
          <w:lang w:bidi="he-IL"/>
        </w:rPr>
        <w:t>"</w:t>
      </w:r>
      <w:r w:rsidR="00A27BA9" w:rsidRPr="00882F11">
        <w:rPr>
          <w:rFonts w:cs="Guttman Drogolin" w:hint="cs"/>
          <w:rtl/>
          <w:lang w:bidi="he-IL"/>
        </w:rPr>
        <w:t>ב</w:t>
      </w:r>
      <w:r w:rsidR="00A27BA9" w:rsidRPr="00882F11">
        <w:rPr>
          <w:rFonts w:cs="Guttman Drogolin"/>
          <w:rtl/>
          <w:lang w:bidi="he-IL"/>
        </w:rPr>
        <w:t xml:space="preserve"> </w:t>
      </w:r>
      <w:r w:rsidR="00A27BA9" w:rsidRPr="00882F11">
        <w:rPr>
          <w:rFonts w:cs="Guttman Drogolin" w:hint="cs"/>
          <w:rtl/>
          <w:lang w:bidi="he-IL"/>
        </w:rPr>
        <w:t>והמעיין</w:t>
      </w:r>
      <w:r w:rsidR="00A27BA9" w:rsidRPr="00882F11">
        <w:rPr>
          <w:rFonts w:cs="Guttman Drogolin"/>
          <w:rtl/>
          <w:lang w:bidi="he-IL"/>
        </w:rPr>
        <w:t xml:space="preserve"> </w:t>
      </w:r>
      <w:r w:rsidR="00A27BA9" w:rsidRPr="00882F11">
        <w:rPr>
          <w:rFonts w:cs="Guttman Drogolin" w:hint="cs"/>
          <w:rtl/>
          <w:lang w:bidi="he-IL"/>
        </w:rPr>
        <w:t>בפוסקים</w:t>
      </w:r>
      <w:r w:rsidR="00A27BA9" w:rsidRPr="00882F11">
        <w:rPr>
          <w:rFonts w:cs="Guttman Drogolin"/>
          <w:rtl/>
          <w:lang w:bidi="he-IL"/>
        </w:rPr>
        <w:t xml:space="preserve"> </w:t>
      </w:r>
      <w:r w:rsidR="00A27BA9" w:rsidRPr="00882F11">
        <w:rPr>
          <w:rFonts w:cs="Guttman Drogolin" w:hint="cs"/>
          <w:rtl/>
          <w:lang w:bidi="he-IL"/>
        </w:rPr>
        <w:t>יראה</w:t>
      </w:r>
      <w:r w:rsidR="00A27BA9" w:rsidRPr="00882F11">
        <w:rPr>
          <w:rFonts w:cs="Guttman Drogolin"/>
          <w:rtl/>
          <w:lang w:bidi="he-IL"/>
        </w:rPr>
        <w:t xml:space="preserve"> </w:t>
      </w:r>
      <w:r w:rsidR="00A27BA9" w:rsidRPr="00882F11">
        <w:rPr>
          <w:rFonts w:cs="Guttman Drogolin" w:hint="cs"/>
          <w:rtl/>
          <w:lang w:bidi="he-IL"/>
        </w:rPr>
        <w:t>כמה</w:t>
      </w:r>
      <w:r w:rsidR="00A27BA9" w:rsidRPr="00882F11">
        <w:rPr>
          <w:rFonts w:cs="Guttman Drogolin"/>
          <w:rtl/>
          <w:lang w:bidi="he-IL"/>
        </w:rPr>
        <w:t xml:space="preserve"> </w:t>
      </w:r>
      <w:r w:rsidR="00A27BA9" w:rsidRPr="00882F11">
        <w:rPr>
          <w:rFonts w:cs="Guttman Drogolin" w:hint="cs"/>
          <w:rtl/>
          <w:lang w:bidi="he-IL"/>
        </w:rPr>
        <w:t>דעות</w:t>
      </w:r>
      <w:r w:rsidR="00A27BA9" w:rsidRPr="00882F11">
        <w:rPr>
          <w:rFonts w:cs="Guttman Drogolin"/>
          <w:rtl/>
          <w:lang w:bidi="he-IL"/>
        </w:rPr>
        <w:t xml:space="preserve"> </w:t>
      </w:r>
      <w:r w:rsidR="00A27BA9" w:rsidRPr="00882F11">
        <w:rPr>
          <w:rFonts w:cs="Guttman Drogolin" w:hint="cs"/>
          <w:rtl/>
          <w:lang w:bidi="he-IL"/>
        </w:rPr>
        <w:t>סוברים</w:t>
      </w:r>
      <w:r w:rsidR="00A27BA9" w:rsidRPr="00882F11">
        <w:rPr>
          <w:rFonts w:cs="Guttman Drogolin"/>
          <w:rtl/>
          <w:lang w:bidi="he-IL"/>
        </w:rPr>
        <w:t xml:space="preserve"> </w:t>
      </w:r>
      <w:r w:rsidR="00A27BA9" w:rsidRPr="00882F11">
        <w:rPr>
          <w:rFonts w:cs="Guttman Drogolin" w:hint="cs"/>
          <w:rtl/>
          <w:lang w:bidi="he-IL"/>
        </w:rPr>
        <w:t>כן</w:t>
      </w:r>
      <w:r w:rsidR="00A27BA9" w:rsidRPr="00882F11">
        <w:rPr>
          <w:rFonts w:cs="Guttman Drogolin"/>
          <w:rtl/>
          <w:lang w:bidi="he-IL"/>
        </w:rPr>
        <w:t xml:space="preserve"> </w:t>
      </w:r>
      <w:r w:rsidR="00A27BA9" w:rsidRPr="00882F11">
        <w:rPr>
          <w:rFonts w:cs="Guttman Drogolin" w:hint="cs"/>
          <w:rtl/>
          <w:lang w:bidi="he-IL"/>
        </w:rPr>
        <w:t>אף</w:t>
      </w:r>
      <w:r w:rsidR="00A27BA9" w:rsidRPr="00882F11">
        <w:rPr>
          <w:rFonts w:cs="Guttman Drogolin"/>
          <w:rtl/>
          <w:lang w:bidi="he-IL"/>
        </w:rPr>
        <w:t xml:space="preserve"> </w:t>
      </w:r>
      <w:r w:rsidR="00A27BA9" w:rsidRPr="00882F11">
        <w:rPr>
          <w:rFonts w:cs="Guttman Drogolin" w:hint="cs"/>
          <w:rtl/>
          <w:lang w:bidi="he-IL"/>
        </w:rPr>
        <w:t>מ</w:t>
      </w:r>
      <w:r w:rsidR="00A27BA9" w:rsidRPr="00882F11">
        <w:rPr>
          <w:rFonts w:cs="Guttman Drogolin"/>
          <w:rtl/>
          <w:lang w:bidi="he-IL"/>
        </w:rPr>
        <w:t>"</w:t>
      </w:r>
      <w:r w:rsidR="00A27BA9" w:rsidRPr="00882F11">
        <w:rPr>
          <w:rFonts w:cs="Guttman Drogolin" w:hint="cs"/>
          <w:rtl/>
          <w:lang w:bidi="he-IL"/>
        </w:rPr>
        <w:t>ד</w:t>
      </w:r>
      <w:r w:rsidR="00A27BA9" w:rsidRPr="00882F11">
        <w:rPr>
          <w:rFonts w:cs="Guttman Drogolin"/>
          <w:rtl/>
          <w:lang w:bidi="he-IL"/>
        </w:rPr>
        <w:t xml:space="preserve"> </w:t>
      </w:r>
      <w:r w:rsidR="00A27BA9" w:rsidRPr="00882F11">
        <w:rPr>
          <w:rFonts w:cs="Guttman Drogolin" w:hint="cs"/>
          <w:rtl/>
          <w:lang w:bidi="he-IL"/>
        </w:rPr>
        <w:t>נצלו</w:t>
      </w:r>
      <w:r w:rsidR="00A27BA9" w:rsidRPr="00882F11">
        <w:rPr>
          <w:rFonts w:cs="Guttman Drogolin"/>
          <w:rtl/>
          <w:lang w:bidi="he-IL"/>
        </w:rPr>
        <w:t xml:space="preserve"> </w:t>
      </w:r>
      <w:r w:rsidR="00A27BA9" w:rsidRPr="00882F11">
        <w:rPr>
          <w:rFonts w:cs="Guttman Drogolin" w:hint="cs"/>
          <w:rtl/>
          <w:lang w:bidi="he-IL"/>
        </w:rPr>
        <w:t>שרי</w:t>
      </w:r>
      <w:r w:rsidR="00A27BA9" w:rsidRPr="00882F11">
        <w:rPr>
          <w:rFonts w:cs="Guttman Drogolin"/>
          <w:rtl/>
          <w:lang w:bidi="he-IL"/>
        </w:rPr>
        <w:t xml:space="preserve"> </w:t>
      </w:r>
      <w:r w:rsidR="00A27BA9" w:rsidRPr="00882F11">
        <w:rPr>
          <w:rFonts w:cs="Guttman Drogolin" w:hint="cs"/>
          <w:rtl/>
          <w:lang w:bidi="he-IL"/>
        </w:rPr>
        <w:t>מ</w:t>
      </w:r>
      <w:r w:rsidR="00A27BA9" w:rsidRPr="00882F11">
        <w:rPr>
          <w:rFonts w:cs="Guttman Drogolin"/>
          <w:rtl/>
          <w:lang w:bidi="he-IL"/>
        </w:rPr>
        <w:t>"</w:t>
      </w:r>
      <w:r w:rsidR="00A27BA9" w:rsidRPr="00882F11">
        <w:rPr>
          <w:rFonts w:cs="Guttman Drogolin" w:hint="cs"/>
          <w:rtl/>
          <w:lang w:bidi="he-IL"/>
        </w:rPr>
        <w:t>מ</w:t>
      </w:r>
      <w:r w:rsidR="00A27BA9" w:rsidRPr="00882F11">
        <w:rPr>
          <w:rFonts w:cs="Guttman Drogolin"/>
          <w:rtl/>
          <w:lang w:bidi="he-IL"/>
        </w:rPr>
        <w:t xml:space="preserve"> </w:t>
      </w:r>
      <w:r w:rsidR="00A27BA9" w:rsidRPr="00882F11">
        <w:rPr>
          <w:rFonts w:cs="Guttman Drogolin" w:hint="cs"/>
          <w:rtl/>
          <w:lang w:bidi="he-IL"/>
        </w:rPr>
        <w:t>צנון</w:t>
      </w:r>
      <w:r w:rsidR="00A27BA9" w:rsidRPr="00882F11">
        <w:rPr>
          <w:rFonts w:cs="Guttman Drogolin"/>
          <w:rtl/>
          <w:lang w:bidi="he-IL"/>
        </w:rPr>
        <w:t xml:space="preserve"> </w:t>
      </w:r>
      <w:r w:rsidR="00A27BA9" w:rsidRPr="00882F11">
        <w:rPr>
          <w:rFonts w:cs="Guttman Drogolin" w:hint="cs"/>
          <w:rtl/>
          <w:lang w:bidi="he-IL"/>
        </w:rPr>
        <w:t>חורפא</w:t>
      </w:r>
      <w:r w:rsidR="00A27BA9" w:rsidRPr="00882F11">
        <w:rPr>
          <w:rFonts w:cs="Guttman Drogolin"/>
          <w:rtl/>
          <w:lang w:bidi="he-IL"/>
        </w:rPr>
        <w:t xml:space="preserve"> </w:t>
      </w:r>
      <w:r w:rsidR="00A27BA9" w:rsidRPr="00882F11">
        <w:rPr>
          <w:rFonts w:cs="Guttman Drogolin" w:hint="cs"/>
          <w:rtl/>
          <w:lang w:bidi="he-IL"/>
        </w:rPr>
        <w:t>ודוחקא</w:t>
      </w:r>
      <w:r w:rsidR="00A27BA9" w:rsidRPr="00882F11">
        <w:rPr>
          <w:rFonts w:cs="Guttman Drogolin"/>
          <w:rtl/>
          <w:lang w:bidi="he-IL"/>
        </w:rPr>
        <w:t xml:space="preserve"> </w:t>
      </w:r>
      <w:r w:rsidR="00A27BA9" w:rsidRPr="00882F11">
        <w:rPr>
          <w:rFonts w:cs="Guttman Drogolin" w:hint="cs"/>
          <w:rtl/>
          <w:lang w:bidi="he-IL"/>
        </w:rPr>
        <w:t>גרע</w:t>
      </w:r>
      <w:r w:rsidR="00A27BA9" w:rsidRPr="00882F11">
        <w:rPr>
          <w:rFonts w:cs="Guttman Drogolin"/>
          <w:rtl/>
          <w:lang w:bidi="he-IL"/>
        </w:rPr>
        <w:t xml:space="preserve"> </w:t>
      </w:r>
      <w:r w:rsidR="00A27BA9" w:rsidRPr="00882F11">
        <w:rPr>
          <w:rFonts w:cs="Guttman Drogolin" w:hint="cs"/>
          <w:rtl/>
          <w:lang w:bidi="he-IL"/>
        </w:rPr>
        <w:t xml:space="preserve">טפי". ומ"מ למעשה לפעמים מצרפים שיטת הפר"ח וסייעתו כשיש נימוקים אחרים. ובעזהי"ת שבלימוד סי' צ"ו דבר זה יתבאר יותר. </w:t>
      </w:r>
    </w:p>
    <w:p w:rsidR="00A27BA9" w:rsidRPr="00882F11" w:rsidRDefault="00A27BA9" w:rsidP="0078079C">
      <w:pPr>
        <w:pStyle w:val="Heading1"/>
        <w:bidi/>
        <w:spacing w:before="0" w:line="360" w:lineRule="auto"/>
        <w:jc w:val="center"/>
        <w:rPr>
          <w:rFonts w:cs="Guttman Drogolin"/>
          <w:color w:val="auto"/>
          <w:sz w:val="24"/>
          <w:szCs w:val="24"/>
          <w:u w:val="single"/>
          <w:rtl/>
          <w:lang w:bidi="he-IL"/>
        </w:rPr>
      </w:pPr>
      <w:bookmarkStart w:id="269" w:name="_Toc496175522"/>
      <w:r w:rsidRPr="00882F11">
        <w:rPr>
          <w:rFonts w:cs="Guttman Drogolin" w:hint="cs"/>
          <w:color w:val="auto"/>
          <w:sz w:val="24"/>
          <w:szCs w:val="24"/>
          <w:u w:val="single"/>
          <w:rtl/>
          <w:lang w:bidi="he-IL"/>
        </w:rPr>
        <w:t>רוב דבר חריף</w:t>
      </w:r>
      <w:bookmarkEnd w:id="269"/>
    </w:p>
    <w:p w:rsidR="00D702C7" w:rsidRPr="00882F11" w:rsidRDefault="005472CF" w:rsidP="00A27BA9">
      <w:pPr>
        <w:tabs>
          <w:tab w:val="right" w:pos="7497"/>
        </w:tabs>
        <w:bidi/>
        <w:jc w:val="both"/>
        <w:rPr>
          <w:rFonts w:cs="Guttman Drogolin"/>
          <w:rtl/>
          <w:lang w:bidi="he-IL"/>
        </w:rPr>
      </w:pPr>
      <w:r>
        <w:rPr>
          <w:rFonts w:cs="Guttman Drogolin"/>
          <w:rtl/>
          <w:lang w:bidi="he-IL"/>
        </w:rPr>
        <w:fldChar w:fldCharType="begin"/>
      </w:r>
      <w:r>
        <w:instrText xml:space="preserve"> XE "</w:instrText>
      </w:r>
      <w:r w:rsidRPr="00A11DDC">
        <w:rPr>
          <w:rFonts w:hint="cs"/>
          <w:rtl/>
          <w:lang w:bidi="he-IL"/>
        </w:rPr>
        <w:instrText>דבר חריף</w:instrText>
      </w:r>
      <w:r w:rsidRPr="00A11DDC">
        <w:rPr>
          <w:rtl/>
        </w:rPr>
        <w:instrText>:</w:instrText>
      </w:r>
      <w:r w:rsidRPr="00A11DDC">
        <w:rPr>
          <w:rFonts w:hint="cs"/>
          <w:rtl/>
          <w:lang w:bidi="he-IL"/>
        </w:rPr>
        <w:instrText>כשרובו דבר חריף</w:instrText>
      </w:r>
      <w:r>
        <w:instrText xml:space="preserve">" </w:instrText>
      </w:r>
      <w:r>
        <w:rPr>
          <w:rFonts w:cs="Guttman Drogolin"/>
          <w:rtl/>
          <w:lang w:bidi="he-IL"/>
        </w:rPr>
        <w:fldChar w:fldCharType="end"/>
      </w:r>
      <w:r w:rsidR="00A27BA9" w:rsidRPr="00882F11">
        <w:rPr>
          <w:rFonts w:cs="Guttman Drogolin" w:hint="cs"/>
          <w:rtl/>
          <w:lang w:bidi="he-IL"/>
        </w:rPr>
        <w:t>הרמ"א כתב שאין למאכל דין של דבר חריף אא"כ רובו מדבר חריף. אמנם לכאורה א"א כלל לומר שהוא דין בלי יוצא מן הכלל, דהיעלה על הדעת שאם יש תבשיל שיש בה חצי פחות משהו מן התערובת מפלפל שחור שלא יהא חשוב כדבר חריף. וע' בט"ז סי' ק"ג ס"ק ט' שכתב "ומבואר</w:t>
      </w:r>
      <w:r w:rsidR="00A27BA9" w:rsidRPr="00882F11">
        <w:rPr>
          <w:rFonts w:cs="Guttman Drogolin"/>
          <w:rtl/>
          <w:lang w:bidi="he-IL"/>
        </w:rPr>
        <w:t xml:space="preserve"> </w:t>
      </w:r>
      <w:r w:rsidR="00A27BA9" w:rsidRPr="00882F11">
        <w:rPr>
          <w:rFonts w:cs="Guttman Drogolin" w:hint="cs"/>
          <w:rtl/>
          <w:lang w:bidi="he-IL"/>
        </w:rPr>
        <w:t>בסימן</w:t>
      </w:r>
      <w:r w:rsidR="00A27BA9" w:rsidRPr="00882F11">
        <w:rPr>
          <w:rFonts w:cs="Guttman Drogolin"/>
          <w:rtl/>
          <w:lang w:bidi="he-IL"/>
        </w:rPr>
        <w:t xml:space="preserve"> </w:t>
      </w:r>
      <w:r w:rsidR="00A27BA9" w:rsidRPr="00882F11">
        <w:rPr>
          <w:rFonts w:cs="Guttman Drogolin" w:hint="cs"/>
          <w:rtl/>
          <w:lang w:bidi="he-IL"/>
        </w:rPr>
        <w:t>צ</w:t>
      </w:r>
      <w:r w:rsidR="00A27BA9" w:rsidRPr="00882F11">
        <w:rPr>
          <w:rFonts w:cs="Guttman Drogolin"/>
          <w:rtl/>
          <w:lang w:bidi="he-IL"/>
        </w:rPr>
        <w:t>"</w:t>
      </w:r>
      <w:r w:rsidR="00A27BA9" w:rsidRPr="00882F11">
        <w:rPr>
          <w:rFonts w:cs="Guttman Drogolin" w:hint="cs"/>
          <w:rtl/>
          <w:lang w:bidi="he-IL"/>
        </w:rPr>
        <w:t>ה</w:t>
      </w:r>
      <w:r w:rsidR="00A27BA9" w:rsidRPr="00882F11">
        <w:rPr>
          <w:rFonts w:cs="Guttman Drogolin"/>
          <w:rtl/>
          <w:lang w:bidi="he-IL"/>
        </w:rPr>
        <w:t xml:space="preserve"> </w:t>
      </w:r>
      <w:r w:rsidR="00A27BA9" w:rsidRPr="00882F11">
        <w:rPr>
          <w:rFonts w:cs="Guttman Drogolin" w:hint="cs"/>
          <w:rtl/>
          <w:lang w:bidi="he-IL"/>
        </w:rPr>
        <w:t>ס</w:t>
      </w:r>
      <w:r w:rsidR="00A27BA9" w:rsidRPr="00882F11">
        <w:rPr>
          <w:rFonts w:cs="Guttman Drogolin"/>
          <w:rtl/>
          <w:lang w:bidi="he-IL"/>
        </w:rPr>
        <w:t>"</w:t>
      </w:r>
      <w:r w:rsidR="00A27BA9" w:rsidRPr="00882F11">
        <w:rPr>
          <w:rFonts w:cs="Guttman Drogolin" w:hint="cs"/>
          <w:rtl/>
          <w:lang w:bidi="he-IL"/>
        </w:rPr>
        <w:t>ב</w:t>
      </w:r>
      <w:r w:rsidR="00A27BA9" w:rsidRPr="00882F11">
        <w:rPr>
          <w:rFonts w:cs="Guttman Drogolin"/>
          <w:rtl/>
          <w:lang w:bidi="he-IL"/>
        </w:rPr>
        <w:t xml:space="preserve"> </w:t>
      </w:r>
      <w:r w:rsidR="00A27BA9" w:rsidRPr="00882F11">
        <w:rPr>
          <w:rFonts w:cs="Guttman Drogolin" w:hint="cs"/>
          <w:rtl/>
          <w:lang w:bidi="he-IL"/>
        </w:rPr>
        <w:t>דדוקא</w:t>
      </w:r>
      <w:r w:rsidR="00A27BA9" w:rsidRPr="00882F11">
        <w:rPr>
          <w:rFonts w:cs="Guttman Drogolin"/>
          <w:rtl/>
          <w:lang w:bidi="he-IL"/>
        </w:rPr>
        <w:t xml:space="preserve"> </w:t>
      </w:r>
      <w:r w:rsidR="00A27BA9" w:rsidRPr="00882F11">
        <w:rPr>
          <w:rFonts w:cs="Guttman Drogolin" w:hint="cs"/>
          <w:rtl/>
          <w:lang w:bidi="he-IL"/>
        </w:rPr>
        <w:t>רובו</w:t>
      </w:r>
      <w:r w:rsidR="00A27BA9" w:rsidRPr="00882F11">
        <w:rPr>
          <w:rFonts w:cs="Guttman Drogolin"/>
          <w:rtl/>
          <w:lang w:bidi="he-IL"/>
        </w:rPr>
        <w:t xml:space="preserve"> </w:t>
      </w:r>
      <w:r w:rsidR="00A27BA9" w:rsidRPr="00882F11">
        <w:rPr>
          <w:rFonts w:cs="Guttman Drogolin" w:hint="cs"/>
          <w:rtl/>
          <w:lang w:bidi="he-IL"/>
        </w:rPr>
        <w:t>דבר</w:t>
      </w:r>
      <w:r w:rsidR="00A27BA9" w:rsidRPr="00882F11">
        <w:rPr>
          <w:rFonts w:cs="Guttman Drogolin"/>
          <w:rtl/>
          <w:lang w:bidi="he-IL"/>
        </w:rPr>
        <w:t xml:space="preserve"> </w:t>
      </w:r>
      <w:r w:rsidR="00A27BA9" w:rsidRPr="00882F11">
        <w:rPr>
          <w:rFonts w:cs="Guttman Drogolin" w:hint="cs"/>
          <w:rtl/>
          <w:lang w:bidi="he-IL"/>
        </w:rPr>
        <w:t>חריף</w:t>
      </w:r>
      <w:r w:rsidR="00A27BA9" w:rsidRPr="00882F11">
        <w:rPr>
          <w:rFonts w:cs="Guttman Drogolin"/>
          <w:rtl/>
          <w:lang w:bidi="he-IL"/>
        </w:rPr>
        <w:t xml:space="preserve"> </w:t>
      </w:r>
      <w:r w:rsidR="00A27BA9" w:rsidRPr="00882F11">
        <w:rPr>
          <w:rFonts w:cs="Guttman Drogolin" w:hint="cs"/>
          <w:rtl/>
          <w:lang w:bidi="he-IL"/>
        </w:rPr>
        <w:t>בעינן</w:t>
      </w:r>
      <w:r w:rsidR="00A27BA9" w:rsidRPr="00882F11">
        <w:rPr>
          <w:rFonts w:cs="Guttman Drogolin"/>
          <w:rtl/>
          <w:lang w:bidi="he-IL"/>
        </w:rPr>
        <w:t xml:space="preserve"> </w:t>
      </w:r>
      <w:r w:rsidR="00A27BA9" w:rsidRPr="00882F11">
        <w:rPr>
          <w:rFonts w:cs="Guttman Drogolin" w:hint="cs"/>
          <w:rtl/>
          <w:lang w:bidi="he-IL"/>
        </w:rPr>
        <w:t>מ</w:t>
      </w:r>
      <w:r w:rsidR="00A27BA9" w:rsidRPr="00882F11">
        <w:rPr>
          <w:rFonts w:cs="Guttman Drogolin"/>
          <w:rtl/>
          <w:lang w:bidi="he-IL"/>
        </w:rPr>
        <w:t>"</w:t>
      </w:r>
      <w:r w:rsidR="00A27BA9" w:rsidRPr="00882F11">
        <w:rPr>
          <w:rFonts w:cs="Guttman Drogolin" w:hint="cs"/>
          <w:rtl/>
          <w:lang w:bidi="he-IL"/>
        </w:rPr>
        <w:t>ה</w:t>
      </w:r>
      <w:r w:rsidR="00A27BA9" w:rsidRPr="00882F11">
        <w:rPr>
          <w:rFonts w:cs="Guttman Drogolin"/>
          <w:rtl/>
          <w:lang w:bidi="he-IL"/>
        </w:rPr>
        <w:t xml:space="preserve"> </w:t>
      </w:r>
      <w:r w:rsidR="00A27BA9" w:rsidRPr="00882F11">
        <w:rPr>
          <w:rFonts w:cs="Guttman Drogolin" w:hint="cs"/>
          <w:rtl/>
          <w:lang w:bidi="he-IL"/>
        </w:rPr>
        <w:t>בעינן</w:t>
      </w:r>
      <w:r w:rsidR="00A27BA9" w:rsidRPr="00882F11">
        <w:rPr>
          <w:rFonts w:cs="Guttman Drogolin"/>
          <w:rtl/>
          <w:lang w:bidi="he-IL"/>
        </w:rPr>
        <w:t xml:space="preserve"> </w:t>
      </w:r>
      <w:r w:rsidR="00A27BA9" w:rsidRPr="00882F11">
        <w:rPr>
          <w:rFonts w:cs="Guttman Drogolin" w:hint="cs"/>
          <w:i/>
          <w:iCs/>
          <w:rtl/>
          <w:lang w:bidi="he-IL"/>
        </w:rPr>
        <w:t>עכ</w:t>
      </w:r>
      <w:r w:rsidR="00A27BA9" w:rsidRPr="00882F11">
        <w:rPr>
          <w:rFonts w:cs="Guttman Drogolin"/>
          <w:i/>
          <w:iCs/>
          <w:rtl/>
          <w:lang w:bidi="he-IL"/>
        </w:rPr>
        <w:t>"</w:t>
      </w:r>
      <w:r w:rsidR="00A27BA9" w:rsidRPr="00882F11">
        <w:rPr>
          <w:rFonts w:cs="Guttman Drogolin" w:hint="cs"/>
          <w:i/>
          <w:iCs/>
          <w:rtl/>
          <w:lang w:bidi="he-IL"/>
        </w:rPr>
        <w:t>פ</w:t>
      </w:r>
      <w:r w:rsidR="00A27BA9" w:rsidRPr="00882F11">
        <w:rPr>
          <w:rFonts w:cs="Guttman Drogolin"/>
          <w:i/>
          <w:iCs/>
          <w:rtl/>
          <w:lang w:bidi="he-IL"/>
        </w:rPr>
        <w:t xml:space="preserve"> </w:t>
      </w:r>
      <w:r w:rsidR="00A27BA9" w:rsidRPr="00882F11">
        <w:rPr>
          <w:rFonts w:cs="Guttman Drogolin" w:hint="cs"/>
          <w:i/>
          <w:iCs/>
          <w:rtl/>
          <w:lang w:bidi="he-IL"/>
        </w:rPr>
        <w:t>בתבלין</w:t>
      </w:r>
      <w:r w:rsidR="00A27BA9" w:rsidRPr="00882F11">
        <w:rPr>
          <w:rFonts w:cs="Guttman Drogolin"/>
          <w:i/>
          <w:iCs/>
          <w:rtl/>
          <w:lang w:bidi="he-IL"/>
        </w:rPr>
        <w:t xml:space="preserve"> </w:t>
      </w:r>
      <w:r w:rsidR="00A27BA9" w:rsidRPr="00882F11">
        <w:rPr>
          <w:rFonts w:cs="Guttman Drogolin" w:hint="cs"/>
          <w:i/>
          <w:iCs/>
          <w:rtl/>
          <w:lang w:bidi="he-IL"/>
        </w:rPr>
        <w:t>חלק</w:t>
      </w:r>
      <w:r w:rsidR="00A27BA9" w:rsidRPr="00882F11">
        <w:rPr>
          <w:rFonts w:cs="Guttman Drogolin"/>
          <w:i/>
          <w:iCs/>
          <w:rtl/>
          <w:lang w:bidi="he-IL"/>
        </w:rPr>
        <w:t xml:space="preserve"> </w:t>
      </w:r>
      <w:r w:rsidR="00A27BA9" w:rsidRPr="00882F11">
        <w:rPr>
          <w:rFonts w:cs="Guttman Drogolin" w:hint="cs"/>
          <w:i/>
          <w:iCs/>
          <w:rtl/>
          <w:lang w:bidi="he-IL"/>
        </w:rPr>
        <w:t>גדול</w:t>
      </w:r>
      <w:r w:rsidR="00A27BA9" w:rsidRPr="00882F11">
        <w:rPr>
          <w:rFonts w:cs="Guttman Drogolin"/>
          <w:i/>
          <w:iCs/>
          <w:rtl/>
          <w:lang w:bidi="he-IL"/>
        </w:rPr>
        <w:t xml:space="preserve"> </w:t>
      </w:r>
      <w:r w:rsidR="00A27BA9" w:rsidRPr="00882F11">
        <w:rPr>
          <w:rFonts w:cs="Guttman Drogolin" w:hint="cs"/>
          <w:i/>
          <w:iCs/>
          <w:rtl/>
          <w:lang w:bidi="he-IL"/>
        </w:rPr>
        <w:t>שהוא</w:t>
      </w:r>
      <w:r w:rsidR="00A27BA9" w:rsidRPr="00882F11">
        <w:rPr>
          <w:rFonts w:cs="Guttman Drogolin"/>
          <w:i/>
          <w:iCs/>
          <w:rtl/>
          <w:lang w:bidi="he-IL"/>
        </w:rPr>
        <w:t xml:space="preserve"> </w:t>
      </w:r>
      <w:r w:rsidR="00A27BA9" w:rsidRPr="00882F11">
        <w:rPr>
          <w:rFonts w:cs="Guttman Drogolin" w:hint="cs"/>
          <w:i/>
          <w:iCs/>
          <w:rtl/>
          <w:lang w:bidi="he-IL"/>
        </w:rPr>
        <w:t>נרגש</w:t>
      </w:r>
      <w:r w:rsidR="00A27BA9" w:rsidRPr="00882F11">
        <w:rPr>
          <w:rFonts w:cs="Guttman Drogolin"/>
          <w:i/>
          <w:iCs/>
          <w:rtl/>
          <w:lang w:bidi="he-IL"/>
        </w:rPr>
        <w:t xml:space="preserve"> </w:t>
      </w:r>
      <w:r w:rsidR="00A27BA9" w:rsidRPr="00882F11">
        <w:rPr>
          <w:rFonts w:cs="Guttman Drogolin" w:hint="cs"/>
          <w:i/>
          <w:iCs/>
          <w:rtl/>
          <w:lang w:bidi="he-IL"/>
        </w:rPr>
        <w:t>הרבה</w:t>
      </w:r>
      <w:r w:rsidR="00A27BA9" w:rsidRPr="00882F11">
        <w:rPr>
          <w:rFonts w:cs="Guttman Drogolin"/>
          <w:i/>
          <w:iCs/>
          <w:rtl/>
          <w:lang w:bidi="he-IL"/>
        </w:rPr>
        <w:t xml:space="preserve"> </w:t>
      </w:r>
      <w:r w:rsidR="00A27BA9" w:rsidRPr="00882F11">
        <w:rPr>
          <w:rFonts w:cs="Guttman Drogolin" w:hint="cs"/>
          <w:i/>
          <w:iCs/>
          <w:rtl/>
          <w:lang w:bidi="he-IL"/>
        </w:rPr>
        <w:t>בקדרה</w:t>
      </w:r>
      <w:r w:rsidR="00A27BA9" w:rsidRPr="00882F11">
        <w:rPr>
          <w:rFonts w:cs="Guttman Drogolin" w:hint="cs"/>
          <w:rtl/>
          <w:lang w:bidi="he-IL"/>
        </w:rPr>
        <w:t>". הרי דמשמע מדבריו שאם יש חלק גדול אע"פ שאינו רוב גם בזה בכלל כוונת הרמ"א. ולכאורה דבר זה תלווי לפי שיקול הדעת, ומ"מ אם הרב מן הדבר חריף אינו תלוי בשיקול הדעת ויש לו דין דבר חריף.</w:t>
      </w:r>
      <w:r w:rsidR="00A27BA9" w:rsidRPr="00882F11">
        <w:rPr>
          <w:rFonts w:cs="Guttman Drogolin"/>
          <w:rtl/>
          <w:lang w:bidi="he-IL"/>
        </w:rPr>
        <w:t xml:space="preserve"> </w:t>
      </w:r>
      <w:r w:rsidR="00A27BA9" w:rsidRPr="00882F11">
        <w:rPr>
          <w:rFonts w:cs="Guttman Drogolin" w:hint="cs"/>
          <w:rtl/>
          <w:lang w:bidi="he-IL"/>
        </w:rPr>
        <w:t xml:space="preserve"> </w:t>
      </w:r>
    </w:p>
    <w:p w:rsidR="00D702C7" w:rsidRPr="00882F11" w:rsidRDefault="00D702C7" w:rsidP="0078079C">
      <w:pPr>
        <w:pStyle w:val="Heading1"/>
        <w:bidi/>
        <w:spacing w:before="0" w:line="360" w:lineRule="auto"/>
        <w:jc w:val="center"/>
        <w:rPr>
          <w:rFonts w:cs="Guttman Drogolin"/>
          <w:color w:val="auto"/>
          <w:sz w:val="24"/>
          <w:szCs w:val="24"/>
          <w:u w:val="single"/>
          <w:rtl/>
          <w:lang w:bidi="he-IL"/>
        </w:rPr>
      </w:pPr>
      <w:bookmarkStart w:id="270" w:name="_Toc496175523"/>
      <w:r w:rsidRPr="00882F11">
        <w:rPr>
          <w:rFonts w:cs="Guttman Drogolin" w:hint="cs"/>
          <w:color w:val="auto"/>
          <w:sz w:val="24"/>
          <w:szCs w:val="24"/>
          <w:u w:val="single"/>
          <w:rtl/>
          <w:lang w:bidi="he-IL"/>
        </w:rPr>
        <w:t>שיטת המחבר בהדחת קערות</w:t>
      </w:r>
      <w:bookmarkEnd w:id="270"/>
    </w:p>
    <w:p w:rsidR="0017158B" w:rsidRPr="00882F11" w:rsidRDefault="005472CF" w:rsidP="0017158B">
      <w:pPr>
        <w:tabs>
          <w:tab w:val="right" w:pos="7497"/>
        </w:tabs>
        <w:bidi/>
        <w:jc w:val="both"/>
        <w:rPr>
          <w:rFonts w:cs="Guttman Drogolin"/>
          <w:rtl/>
          <w:lang w:bidi="he-IL"/>
        </w:rPr>
      </w:pPr>
      <w:r>
        <w:rPr>
          <w:rFonts w:cs="Guttman Drogolin"/>
          <w:rtl/>
          <w:lang w:bidi="he-IL"/>
        </w:rPr>
        <w:fldChar w:fldCharType="begin"/>
      </w:r>
      <w:r>
        <w:instrText xml:space="preserve"> XE "</w:instrText>
      </w:r>
      <w:r w:rsidRPr="00400F4A">
        <w:rPr>
          <w:rFonts w:hint="cs"/>
          <w:rtl/>
          <w:lang w:bidi="he-IL"/>
        </w:rPr>
        <w:instrText>נ</w:instrText>
      </w:r>
      <w:r>
        <w:rPr>
          <w:rFonts w:eastAsiaTheme="minorEastAsia"/>
          <w:lang w:bidi="he-IL"/>
        </w:rPr>
        <w:instrText>\</w:instrText>
      </w:r>
      <w:r w:rsidRPr="00400F4A">
        <w:rPr>
          <w:rFonts w:hint="cs"/>
          <w:rtl/>
          <w:lang w:bidi="he-IL"/>
        </w:rPr>
        <w:instrText>"ט בר נ</w:instrText>
      </w:r>
      <w:r>
        <w:rPr>
          <w:rFonts w:eastAsiaTheme="minorEastAsia"/>
          <w:lang w:bidi="he-IL"/>
        </w:rPr>
        <w:instrText>\</w:instrText>
      </w:r>
      <w:r w:rsidRPr="00400F4A">
        <w:rPr>
          <w:rFonts w:hint="cs"/>
          <w:rtl/>
          <w:lang w:bidi="he-IL"/>
        </w:rPr>
        <w:instrText>"ט</w:instrText>
      </w:r>
      <w:r w:rsidRPr="00400F4A">
        <w:rPr>
          <w:rtl/>
        </w:rPr>
        <w:instrText>:</w:instrText>
      </w:r>
      <w:r w:rsidRPr="00400F4A">
        <w:rPr>
          <w:rFonts w:hint="cs"/>
          <w:rtl/>
          <w:lang w:bidi="he-IL"/>
        </w:rPr>
        <w:instrText>הדחת קערות - שיטת המחבר</w:instrText>
      </w:r>
      <w:r>
        <w:instrText xml:space="preserve">" </w:instrText>
      </w:r>
      <w:r>
        <w:rPr>
          <w:rFonts w:cs="Guttman Drogolin"/>
          <w:rtl/>
          <w:lang w:bidi="he-IL"/>
        </w:rPr>
        <w:fldChar w:fldCharType="end"/>
      </w:r>
      <w:r w:rsidR="0017158B" w:rsidRPr="00882F11">
        <w:rPr>
          <w:rFonts w:cs="Guttman Drogolin" w:hint="cs"/>
          <w:rtl/>
          <w:lang w:bidi="he-IL"/>
        </w:rPr>
        <w:t>המחבר בסע' ג' כתב להקל אם הדיח קערות של בשר בתוך יורה חולבת. אמנם אינו מפורש שם אם זהו לכתחילה או בדיעבד, אבל בש"ך הביא מדברי המחבר באו"ח סי' תנ"ב סע' ב' שהדברים מפורשים שאינו אלא בדיעבד, אבל לכתחילה אסור. ויש להסתפק בטעם האיסור לכתחילה, האם זה מחמת שהמחבר החמיר כשיטת האוסרים עכ"פ לענין לכתחילה, וכ"כ כאן הפר"ח, וכן מבואר מביאור הגר"א שם בסי' תנ"ב (וכן נלעוק"ד יותר מלשון 'ליזהר' שם, שמשמע קצת שיש חשש שיבא לידי איסור, ואע"ג שמקילים בדיעבד, מ"מ לפי השיטה ההוא הרי הוא אוסר בדיעבד רק דלא מחמירינן כוותי' כולי האי,ף דאילו משום דין לכתחילה בלבד הול</w:t>
      </w:r>
      <w:r w:rsidR="000969BF" w:rsidRPr="00882F11">
        <w:rPr>
          <w:rFonts w:cs="Guttman Drogolin" w:hint="cs"/>
          <w:rtl/>
          <w:lang w:bidi="he-IL"/>
        </w:rPr>
        <w:t xml:space="preserve">"ל אסור' וכו'). </w:t>
      </w:r>
      <w:r w:rsidR="000969BF" w:rsidRPr="00882F11">
        <w:rPr>
          <w:rFonts w:cs="Guttman Drogolin" w:hint="cs"/>
          <w:rtl/>
          <w:lang w:bidi="he-IL"/>
        </w:rPr>
        <w:lastRenderedPageBreak/>
        <w:t>או"ד שלא חש לשי</w:t>
      </w:r>
      <w:r w:rsidR="0017158B" w:rsidRPr="00882F11">
        <w:rPr>
          <w:rFonts w:cs="Guttman Drogolin" w:hint="cs"/>
          <w:rtl/>
          <w:lang w:bidi="he-IL"/>
        </w:rPr>
        <w:t>טת האוסרים כלל, אבל מ"מ לכתחילה אסור כיון שכל נ"ט בר נ"ט אסור לכתחילה, וכ"כ בשפ"ד כאן ס"ק ג'</w:t>
      </w:r>
      <w:r w:rsidR="00EC7AC6" w:rsidRPr="00882F11">
        <w:rPr>
          <w:rStyle w:val="FootnoteReference"/>
          <w:rFonts w:cs="Guttman Drogolin"/>
          <w:rtl/>
          <w:lang w:bidi="he-IL"/>
        </w:rPr>
        <w:footnoteReference w:id="299"/>
      </w:r>
      <w:r w:rsidR="0017158B" w:rsidRPr="00882F11">
        <w:rPr>
          <w:rFonts w:cs="Guttman Drogolin" w:hint="cs"/>
          <w:rtl/>
          <w:lang w:bidi="he-IL"/>
        </w:rPr>
        <w:t>.</w:t>
      </w:r>
    </w:p>
    <w:p w:rsidR="0017158B" w:rsidRPr="00882F11" w:rsidRDefault="0017158B" w:rsidP="0017158B">
      <w:pPr>
        <w:tabs>
          <w:tab w:val="right" w:pos="7497"/>
        </w:tabs>
        <w:bidi/>
        <w:jc w:val="both"/>
        <w:rPr>
          <w:rFonts w:cs="Guttman Drogolin"/>
          <w:rtl/>
          <w:lang w:bidi="he-IL"/>
        </w:rPr>
      </w:pPr>
      <w:r w:rsidRPr="00882F11">
        <w:rPr>
          <w:rFonts w:cs="Guttman Drogolin" w:hint="cs"/>
          <w:rtl/>
          <w:lang w:bidi="he-IL"/>
        </w:rPr>
        <w:t>עוד יש לדון דהנה בשו"ת רע"א סי' ר"ז הוכיח דקיי"ל כשיטת התוס' בגדר ההיתר של נ"ט בר נ"ט, שהטעם שני בהיתר סגי ולא צריכים טעם שלישי בהיתר כמש"כ הרמב"ן ממש"כ</w:t>
      </w:r>
      <w:r w:rsidR="005059F0" w:rsidRPr="00882F11">
        <w:rPr>
          <w:rFonts w:cs="Guttman Drogolin" w:hint="cs"/>
          <w:rtl/>
          <w:lang w:bidi="he-IL"/>
        </w:rPr>
        <w:t xml:space="preserve"> המג"א סי' תמ"ז ס"ק כ"ד</w:t>
      </w:r>
      <w:r w:rsidRPr="00882F11">
        <w:rPr>
          <w:rFonts w:cs="Guttman Drogolin" w:hint="cs"/>
          <w:rtl/>
          <w:lang w:bidi="he-IL"/>
        </w:rPr>
        <w:t xml:space="preserve"> שאם בישלו תבשיל בקדרה ב"י של חמץ שאינו אסור כיון שהוא נ"ט בר נ"ט. והכא הרי ליכא אלא ב' נ"ט, וכן האוסרים לא אסרו אלא משום דחמץ מיקרי איסורא בלע. וראיתי במגי"ס שהעיר דהנה הרמב"ן הוכיח כשיטתו מהא דקדרה שבישל בה בשר ואח"כ חלב הרי הוא אוסר את החלב. והקשה הרמב"ן שאם טעם שני בהיתר מותר, הרי הכא היו ב' נ"ט, מן הבשר לכלי, וכן לאחר מכן כשיצא מן הכלי. ואילו התוס' סוברים שאין זה נחשב אלא כטעם א' ומשו"ה אסור, ולעולם ב' נ"ט מותר. וביאר שיסוד המחלוקת הוא מהו נ"ט בר נ"ט, שהרמב"ן סבר שב' יציאות עושים נ"ט בר נ"ט, ואילו לתוס' הוי ב' הנחות לתוך מקומות חדשות. </w:t>
      </w:r>
    </w:p>
    <w:p w:rsidR="004A05C3" w:rsidRPr="00882F11" w:rsidRDefault="0017158B" w:rsidP="005059F0">
      <w:pPr>
        <w:tabs>
          <w:tab w:val="right" w:pos="7497"/>
        </w:tabs>
        <w:bidi/>
        <w:jc w:val="both"/>
        <w:rPr>
          <w:rFonts w:cs="Guttman Drogolin"/>
          <w:rtl/>
          <w:lang w:bidi="he-IL"/>
        </w:rPr>
      </w:pPr>
      <w:r w:rsidRPr="00882F11">
        <w:rPr>
          <w:rFonts w:cs="Guttman Drogolin" w:hint="cs"/>
          <w:rtl/>
          <w:lang w:bidi="he-IL"/>
        </w:rPr>
        <w:t>וא"כ לכאורה זהו יסוד המחלוקת שביניהם בדין הדחות קערות, שהרמב"ן סבר שכיון שיצאו פעם ג' אין לאסור, והתוס' סוברים דכיון שלא נח אין כאן נ"ט בר נ"ט להיתירא ואסור. אמנם אם כנים הדברים איך אפשר לאחוז החבל בב' רכשי, לפסוק כשיטת התוס' אפילו לקולא, ואילו בדין הדחת קערות מיקל נמי.</w:t>
      </w:r>
      <w:r w:rsidR="005059F0" w:rsidRPr="00882F11">
        <w:rPr>
          <w:rFonts w:cs="Guttman Drogolin" w:hint="cs"/>
          <w:rtl/>
          <w:lang w:bidi="he-IL"/>
        </w:rPr>
        <w:t xml:space="preserve"> אלא שדבר זה יוצא ממילא משיטת הרא"ש, שהרי הרא"ש ג"כ סבר כתוס', וכן הקיל לענין הדחת קערות. ור"ל חוץ מזה דלא שייך כאן החומרא  של נצלו וכמש"נ לעיל, ע"כ חזינן דלית לי' כסברות הר"ן לאסור. והיינו אע"ג שגם הרא"ש נמנה בין הראשונים הסוברים שטעם שני בהיתר מותר. וע"כ אתה אומר דסבר הרא"ש דלא בעינן נח ממש בתבשיל כדי לקבל ההיתר של נ"ט בר נ"ט, רק סגי בבזה שנכנס לתוך המאכל השני אע"ג שעדיין לא נח בה. ומיני' גם לשיטת המחבר. </w:t>
      </w:r>
    </w:p>
    <w:p w:rsidR="004A05C3" w:rsidRPr="0000469F" w:rsidRDefault="004A05C3" w:rsidP="0078079C">
      <w:pPr>
        <w:pStyle w:val="Heading1"/>
        <w:bidi/>
        <w:spacing w:before="0" w:line="360" w:lineRule="auto"/>
        <w:jc w:val="center"/>
        <w:rPr>
          <w:rFonts w:cs="Guttman Drogolin"/>
          <w:color w:val="auto"/>
          <w:sz w:val="18"/>
          <w:szCs w:val="18"/>
          <w:u w:val="single"/>
          <w:rtl/>
          <w:lang w:bidi="he-IL"/>
        </w:rPr>
      </w:pPr>
      <w:bookmarkStart w:id="271" w:name="_Toc496175524"/>
      <w:r w:rsidRPr="0000469F">
        <w:rPr>
          <w:rFonts w:cs="Guttman Drogolin" w:hint="cs"/>
          <w:color w:val="auto"/>
          <w:sz w:val="18"/>
          <w:szCs w:val="18"/>
          <w:u w:val="single"/>
          <w:rtl/>
          <w:lang w:bidi="he-IL"/>
        </w:rPr>
        <w:lastRenderedPageBreak/>
        <w:t>חומרת הרמ"א במים שיש בה טעם בכלי שאינו בן יומו</w:t>
      </w:r>
      <w:bookmarkEnd w:id="271"/>
    </w:p>
    <w:p w:rsidR="008B55EE" w:rsidRPr="00882F11" w:rsidRDefault="005472CF" w:rsidP="008B55EE">
      <w:pPr>
        <w:tabs>
          <w:tab w:val="right" w:pos="7497"/>
        </w:tabs>
        <w:bidi/>
        <w:jc w:val="both"/>
        <w:rPr>
          <w:rFonts w:cs="Guttman Drogolin"/>
          <w:rtl/>
          <w:lang w:bidi="he-IL"/>
        </w:rPr>
      </w:pPr>
      <w:r>
        <w:rPr>
          <w:rFonts w:cs="Guttman Drogolin"/>
          <w:rtl/>
          <w:lang w:bidi="he-IL"/>
        </w:rPr>
        <w:fldChar w:fldCharType="begin"/>
      </w:r>
      <w:r>
        <w:instrText xml:space="preserve"> XE "</w:instrText>
      </w:r>
      <w:r w:rsidRPr="00A84836">
        <w:rPr>
          <w:rFonts w:hint="cs"/>
          <w:rtl/>
          <w:lang w:bidi="he-IL"/>
        </w:rPr>
        <w:instrText>מים</w:instrText>
      </w:r>
      <w:r w:rsidRPr="00A84836">
        <w:rPr>
          <w:rtl/>
        </w:rPr>
        <w:instrText>:</w:instrText>
      </w:r>
      <w:r w:rsidRPr="00A84836">
        <w:rPr>
          <w:rFonts w:hint="cs"/>
          <w:rtl/>
          <w:lang w:bidi="he-IL"/>
        </w:rPr>
        <w:instrText>שיש בה בליעות שהם לפגם</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FE7398">
        <w:rPr>
          <w:rFonts w:hint="cs"/>
          <w:rtl/>
          <w:lang w:bidi="he-IL"/>
        </w:rPr>
        <w:instrText>נותן טעם לפגם</w:instrText>
      </w:r>
      <w:r w:rsidRPr="00FE7398">
        <w:rPr>
          <w:rtl/>
        </w:rPr>
        <w:instrText>:</w:instrText>
      </w:r>
      <w:r w:rsidRPr="00FE7398">
        <w:rPr>
          <w:rFonts w:hint="cs"/>
          <w:rtl/>
          <w:lang w:bidi="he-IL"/>
        </w:rPr>
        <w:instrText>דין מים שיש בהם בליעות שטעמם לפגם</w:instrText>
      </w:r>
      <w:r>
        <w:instrText xml:space="preserve">" </w:instrText>
      </w:r>
      <w:r>
        <w:rPr>
          <w:rFonts w:cs="Guttman Drogolin"/>
          <w:rtl/>
          <w:lang w:bidi="he-IL"/>
        </w:rPr>
        <w:fldChar w:fldCharType="end"/>
      </w:r>
      <w:r w:rsidR="004A05C3" w:rsidRPr="00882F11">
        <w:rPr>
          <w:rFonts w:cs="Guttman Drogolin" w:hint="cs"/>
          <w:rtl/>
          <w:lang w:bidi="he-IL"/>
        </w:rPr>
        <w:t>הרמ"א שם בסע' ג' החמיר כדעות המחמירים בהדחת קערות לאסור אפילו בדיעבד. אמנם כל זה כששניהם בני יומן, אבל אם אחד</w:t>
      </w:r>
      <w:r w:rsidR="004A05C3" w:rsidRPr="00882F11">
        <w:rPr>
          <w:rFonts w:cs="Guttman Drogolin"/>
          <w:rtl/>
          <w:lang w:bidi="he-IL"/>
        </w:rPr>
        <w:t xml:space="preserve"> </w:t>
      </w:r>
      <w:r w:rsidR="004A05C3" w:rsidRPr="00882F11">
        <w:rPr>
          <w:rFonts w:cs="Guttman Drogolin" w:hint="cs"/>
          <w:rtl/>
          <w:lang w:bidi="he-IL"/>
        </w:rPr>
        <w:t>מן</w:t>
      </w:r>
      <w:r w:rsidR="004A05C3" w:rsidRPr="00882F11">
        <w:rPr>
          <w:rFonts w:cs="Guttman Drogolin"/>
          <w:rtl/>
          <w:lang w:bidi="he-IL"/>
        </w:rPr>
        <w:t xml:space="preserve"> </w:t>
      </w:r>
      <w:r w:rsidR="004A05C3" w:rsidRPr="00882F11">
        <w:rPr>
          <w:rFonts w:cs="Guttman Drogolin" w:hint="cs"/>
          <w:rtl/>
          <w:lang w:bidi="he-IL"/>
        </w:rPr>
        <w:t>הכלים</w:t>
      </w:r>
      <w:r w:rsidR="004A05C3" w:rsidRPr="00882F11">
        <w:rPr>
          <w:rFonts w:cs="Guttman Drogolin"/>
          <w:rtl/>
          <w:lang w:bidi="he-IL"/>
        </w:rPr>
        <w:t xml:space="preserve"> </w:t>
      </w:r>
      <w:r w:rsidR="004A05C3" w:rsidRPr="00882F11">
        <w:rPr>
          <w:rFonts w:cs="Guttman Drogolin" w:hint="cs"/>
          <w:rtl/>
          <w:lang w:bidi="he-IL"/>
        </w:rPr>
        <w:t>אינן</w:t>
      </w:r>
      <w:r w:rsidR="004A05C3" w:rsidRPr="00882F11">
        <w:rPr>
          <w:rFonts w:cs="Guttman Drogolin"/>
          <w:rtl/>
          <w:lang w:bidi="he-IL"/>
        </w:rPr>
        <w:t xml:space="preserve"> </w:t>
      </w:r>
      <w:r w:rsidR="004A05C3" w:rsidRPr="00882F11">
        <w:rPr>
          <w:rFonts w:cs="Guttman Drogolin" w:hint="cs"/>
          <w:rtl/>
          <w:lang w:bidi="he-IL"/>
        </w:rPr>
        <w:t>בני</w:t>
      </w:r>
      <w:r w:rsidR="004A05C3" w:rsidRPr="00882F11">
        <w:rPr>
          <w:rFonts w:cs="Guttman Drogolin"/>
          <w:rtl/>
          <w:lang w:bidi="he-IL"/>
        </w:rPr>
        <w:t xml:space="preserve"> </w:t>
      </w:r>
      <w:r w:rsidR="004A05C3" w:rsidRPr="00882F11">
        <w:rPr>
          <w:rFonts w:cs="Guttman Drogolin" w:hint="cs"/>
          <w:rtl/>
          <w:lang w:bidi="he-IL"/>
        </w:rPr>
        <w:t>יומן</w:t>
      </w:r>
      <w:r w:rsidR="004A05C3" w:rsidRPr="00882F11">
        <w:rPr>
          <w:rFonts w:cs="Guttman Drogolin"/>
          <w:rtl/>
          <w:lang w:bidi="he-IL"/>
        </w:rPr>
        <w:t xml:space="preserve"> </w:t>
      </w:r>
      <w:r w:rsidR="004A05C3" w:rsidRPr="00882F11">
        <w:rPr>
          <w:rFonts w:cs="Guttman Drogolin" w:hint="cs"/>
          <w:rtl/>
          <w:lang w:bidi="he-IL"/>
        </w:rPr>
        <w:t>אז</w:t>
      </w:r>
      <w:r w:rsidR="004A05C3" w:rsidRPr="00882F11">
        <w:rPr>
          <w:rFonts w:cs="Guttman Drogolin"/>
          <w:rtl/>
          <w:lang w:bidi="he-IL"/>
        </w:rPr>
        <w:t xml:space="preserve"> </w:t>
      </w:r>
      <w:r w:rsidR="004A05C3" w:rsidRPr="00882F11">
        <w:rPr>
          <w:rFonts w:cs="Guttman Drogolin" w:hint="cs"/>
          <w:rtl/>
          <w:lang w:bidi="he-IL"/>
        </w:rPr>
        <w:t>כל</w:t>
      </w:r>
      <w:r w:rsidR="004A05C3" w:rsidRPr="00882F11">
        <w:rPr>
          <w:rFonts w:cs="Guttman Drogolin"/>
          <w:rtl/>
          <w:lang w:bidi="he-IL"/>
        </w:rPr>
        <w:t xml:space="preserve"> </w:t>
      </w:r>
      <w:r w:rsidR="004A05C3" w:rsidRPr="00882F11">
        <w:rPr>
          <w:rFonts w:cs="Guttman Drogolin" w:hint="cs"/>
          <w:rtl/>
          <w:lang w:bidi="he-IL"/>
        </w:rPr>
        <w:t>הכלים</w:t>
      </w:r>
      <w:r w:rsidR="004A05C3" w:rsidRPr="00882F11">
        <w:rPr>
          <w:rFonts w:cs="Guttman Drogolin"/>
          <w:rtl/>
          <w:lang w:bidi="he-IL"/>
        </w:rPr>
        <w:t xml:space="preserve"> </w:t>
      </w:r>
      <w:r w:rsidR="004A05C3" w:rsidRPr="00882F11">
        <w:rPr>
          <w:rFonts w:cs="Guttman Drogolin" w:hint="cs"/>
          <w:rtl/>
          <w:lang w:bidi="he-IL"/>
        </w:rPr>
        <w:t>מותרים</w:t>
      </w:r>
      <w:r w:rsidR="004A05C3" w:rsidRPr="00882F11">
        <w:rPr>
          <w:rFonts w:cs="Guttman Drogolin"/>
          <w:rtl/>
          <w:lang w:bidi="he-IL"/>
        </w:rPr>
        <w:t xml:space="preserve"> </w:t>
      </w:r>
      <w:r w:rsidR="004A05C3" w:rsidRPr="00882F11">
        <w:rPr>
          <w:rFonts w:cs="Guttman Drogolin" w:hint="cs"/>
          <w:rtl/>
          <w:lang w:bidi="he-IL"/>
        </w:rPr>
        <w:t>והמים</w:t>
      </w:r>
      <w:r w:rsidR="004A05C3" w:rsidRPr="00882F11">
        <w:rPr>
          <w:rFonts w:cs="Guttman Drogolin"/>
          <w:rtl/>
          <w:lang w:bidi="he-IL"/>
        </w:rPr>
        <w:t xml:space="preserve"> </w:t>
      </w:r>
      <w:r w:rsidR="004A05C3" w:rsidRPr="00882F11">
        <w:rPr>
          <w:rFonts w:cs="Guttman Drogolin" w:hint="cs"/>
          <w:rtl/>
          <w:lang w:bidi="he-IL"/>
        </w:rPr>
        <w:t>נוהגין</w:t>
      </w:r>
      <w:r w:rsidR="004A05C3" w:rsidRPr="00882F11">
        <w:rPr>
          <w:rFonts w:cs="Guttman Drogolin"/>
          <w:rtl/>
          <w:lang w:bidi="he-IL"/>
        </w:rPr>
        <w:t xml:space="preserve"> </w:t>
      </w:r>
      <w:r w:rsidR="004A05C3" w:rsidRPr="00882F11">
        <w:rPr>
          <w:rFonts w:cs="Guttman Drogolin" w:hint="cs"/>
          <w:rtl/>
          <w:lang w:bidi="he-IL"/>
        </w:rPr>
        <w:t>בהן</w:t>
      </w:r>
      <w:r w:rsidR="004A05C3" w:rsidRPr="00882F11">
        <w:rPr>
          <w:rFonts w:cs="Guttman Drogolin"/>
          <w:rtl/>
          <w:lang w:bidi="he-IL"/>
        </w:rPr>
        <w:t xml:space="preserve"> </w:t>
      </w:r>
      <w:r w:rsidR="004A05C3" w:rsidRPr="00882F11">
        <w:rPr>
          <w:rFonts w:cs="Guttman Drogolin" w:hint="cs"/>
          <w:rtl/>
          <w:lang w:bidi="he-IL"/>
        </w:rPr>
        <w:t>איסור</w:t>
      </w:r>
      <w:r w:rsidR="004A05C3" w:rsidRPr="00882F11">
        <w:rPr>
          <w:rFonts w:cs="Guttman Drogolin"/>
          <w:rtl/>
          <w:lang w:bidi="he-IL"/>
        </w:rPr>
        <w:t xml:space="preserve"> </w:t>
      </w:r>
      <w:r w:rsidR="004A05C3" w:rsidRPr="00882F11">
        <w:rPr>
          <w:rFonts w:cs="Guttman Drogolin" w:hint="cs"/>
          <w:rtl/>
          <w:lang w:bidi="he-IL"/>
        </w:rPr>
        <w:t>לכתחלה. ולענין הא שהמים אסורים לכאורה צ"ע דהא לא נכנס לתוך המים אלא טעם לפגם ולמה יהא אסור. ונהי נמי דכטעם הכלי בן יומו צריך להחמיר, אבל מן הרמ"א מבואר שאין להשתמש בים כלל. ובש"ך וט"ז מבואר שהוא משום שהמים אינם יקרים ולכן הוי כנט</w:t>
      </w:r>
      <w:r w:rsidR="008B55EE" w:rsidRPr="00882F11">
        <w:rPr>
          <w:rFonts w:cs="Guttman Drogolin" w:hint="cs"/>
          <w:rtl/>
          <w:lang w:bidi="he-IL"/>
        </w:rPr>
        <w:t>ל</w:t>
      </w:r>
      <w:r w:rsidR="004A05C3" w:rsidRPr="00882F11">
        <w:rPr>
          <w:rFonts w:cs="Guttman Drogolin" w:hint="cs"/>
          <w:rtl/>
          <w:lang w:bidi="he-IL"/>
        </w:rPr>
        <w:t>"פ לכתחילה</w:t>
      </w:r>
      <w:bookmarkStart w:id="272" w:name="_Ref467829904"/>
      <w:r w:rsidR="009C4E6C" w:rsidRPr="00882F11">
        <w:rPr>
          <w:rStyle w:val="FootnoteReference"/>
          <w:rFonts w:cs="Guttman Drogolin"/>
          <w:rtl/>
          <w:lang w:bidi="he-IL"/>
        </w:rPr>
        <w:footnoteReference w:id="300"/>
      </w:r>
      <w:bookmarkEnd w:id="272"/>
      <w:r w:rsidR="004A05C3" w:rsidRPr="00882F11">
        <w:rPr>
          <w:rFonts w:cs="Guttman Drogolin" w:hint="cs"/>
          <w:rtl/>
          <w:lang w:bidi="he-IL"/>
        </w:rPr>
        <w:t>. אע"ג שבעצם המים הוו כבדיעבד, לכאורה חזינן לדעתייהו שהענין של בדיעבד היינו</w:t>
      </w:r>
      <w:r w:rsidR="00EC7AC6" w:rsidRPr="00882F11">
        <w:rPr>
          <w:rFonts w:cs="Guttman Drogolin" w:hint="cs"/>
          <w:rtl/>
          <w:lang w:bidi="he-IL"/>
        </w:rPr>
        <w:t xml:space="preserve"> כשיש בזה צורך, ובמים דלא איכפת לן בהו כולי האי יש להחמיר. ולדבריהם לכאורה יוצא הדין נמי שאם בישל ירקות בכלי שאינו מן יומו של בשר, ודעתו לבשל אותם סוג ירקות פעמיים, פעם לבשר ופעם לחלב, שאין להשתמש באותם ירקות שהתבשלו בקדרה שאינו בן יומו של בשר לחלב כיון שמ"מ צריך לבשל עוד פעם ולכתיחלה אין להקל בקדרה שאינה בת יומא. ומלשון הביאור הגר"א הבנתי אולי טעם אחר, והוא דמיירי בבישול במים ההוא, ולכן הגזירה שלא לבשל בכלי שאינו בת יומא אטו בת יומא שייך גם למים. באופן שאם ירצה לשתות אותו מים בממין השני מותר. אלא דא"כ צ"ע שהרי התוס' ביארו הטעם להחמיר בכלים לעומ</w:t>
      </w:r>
      <w:r w:rsidR="009C4E6C" w:rsidRPr="00882F11">
        <w:rPr>
          <w:rFonts w:cs="Guttman Drogolin" w:hint="cs"/>
          <w:rtl/>
          <w:lang w:bidi="he-IL"/>
        </w:rPr>
        <w:t>ת</w:t>
      </w:r>
      <w:r w:rsidR="00EC7AC6" w:rsidRPr="00882F11">
        <w:rPr>
          <w:rFonts w:cs="Guttman Drogolin" w:hint="cs"/>
          <w:rtl/>
          <w:lang w:bidi="he-IL"/>
        </w:rPr>
        <w:t xml:space="preserve"> אוכל משום שהכלים נכנס בהם בשבח. וא"כ כאן שנכנס בפגם הי' צריך להיות שמותר גם לענין כלים. ובאמת אפ</w:t>
      </w:r>
      <w:r w:rsidR="008B55EE" w:rsidRPr="00882F11">
        <w:rPr>
          <w:rFonts w:cs="Guttman Drogolin" w:hint="cs"/>
          <w:rtl/>
          <w:lang w:bidi="he-IL"/>
        </w:rPr>
        <w:t>ש</w:t>
      </w:r>
      <w:r w:rsidR="00EC7AC6" w:rsidRPr="00882F11">
        <w:rPr>
          <w:rFonts w:cs="Guttman Drogolin" w:hint="cs"/>
          <w:rtl/>
          <w:lang w:bidi="he-IL"/>
        </w:rPr>
        <w:t>ר לכוין לשון הגר"א שכוונתו כנ"ל מן הש"ך והט"ז.</w:t>
      </w:r>
      <w:r w:rsidR="008B55EE" w:rsidRPr="00882F11">
        <w:rPr>
          <w:rFonts w:cs="Guttman Drogolin" w:hint="cs"/>
          <w:rtl/>
          <w:lang w:bidi="he-IL"/>
        </w:rPr>
        <w:t xml:space="preserve"> (ע' המשך שיעור הבא).</w:t>
      </w:r>
      <w:r w:rsidR="00EC7AC6" w:rsidRPr="00882F11">
        <w:rPr>
          <w:rFonts w:cs="Guttman Drogolin" w:hint="cs"/>
          <w:rtl/>
          <w:lang w:bidi="he-IL"/>
        </w:rPr>
        <w:t xml:space="preserve">  </w:t>
      </w:r>
      <w:r w:rsidR="004A05C3" w:rsidRPr="00882F11">
        <w:rPr>
          <w:rFonts w:cs="Guttman Drogolin" w:hint="cs"/>
          <w:rtl/>
          <w:lang w:bidi="he-IL"/>
        </w:rPr>
        <w:t xml:space="preserve"> </w:t>
      </w:r>
    </w:p>
    <w:p w:rsidR="008B55EE" w:rsidRPr="00882F11" w:rsidRDefault="008B55EE" w:rsidP="008B55EE">
      <w:pPr>
        <w:tabs>
          <w:tab w:val="right" w:pos="7497"/>
        </w:tabs>
        <w:bidi/>
        <w:jc w:val="both"/>
        <w:rPr>
          <w:rFonts w:cs="Guttman Drogolin"/>
          <w:rtl/>
          <w:lang w:bidi="he-IL"/>
        </w:rPr>
        <w:sectPr w:rsidR="008B55EE" w:rsidRPr="00882F11" w:rsidSect="0000469F">
          <w:type w:val="continuous"/>
          <w:pgSz w:w="11907" w:h="16839" w:code="9"/>
          <w:pgMar w:top="1440" w:right="1440" w:bottom="1440" w:left="1440" w:header="720" w:footer="720" w:gutter="0"/>
          <w:cols w:num="2" w:space="720"/>
          <w:bidi/>
          <w:docGrid w:linePitch="360"/>
        </w:sectPr>
      </w:pPr>
    </w:p>
    <w:p w:rsidR="008B55EE" w:rsidRPr="00882F11" w:rsidRDefault="004A05C3" w:rsidP="008B55EE">
      <w:pPr>
        <w:keepNext/>
        <w:tabs>
          <w:tab w:val="left" w:pos="3818"/>
          <w:tab w:val="center" w:pos="4680"/>
        </w:tabs>
        <w:bidi/>
        <w:jc w:val="center"/>
        <w:rPr>
          <w:rFonts w:cs="Guttman Drogolin"/>
          <w:b/>
          <w:bCs/>
          <w:sz w:val="24"/>
          <w:szCs w:val="24"/>
          <w:rtl/>
          <w:lang w:bidi="he-IL"/>
        </w:rPr>
      </w:pPr>
      <w:r w:rsidRPr="00882F11">
        <w:rPr>
          <w:rFonts w:cs="Guttman Drogolin"/>
          <w:rtl/>
          <w:lang w:bidi="he-IL"/>
        </w:rPr>
        <w:lastRenderedPageBreak/>
        <w:t xml:space="preserve"> </w:t>
      </w:r>
      <w:r w:rsidRPr="00882F11">
        <w:rPr>
          <w:rFonts w:cs="Guttman Drogolin" w:hint="cs"/>
          <w:rtl/>
          <w:lang w:bidi="he-IL"/>
        </w:rPr>
        <w:t xml:space="preserve"> </w:t>
      </w:r>
      <w:r w:rsidR="008B55EE" w:rsidRPr="00882F11">
        <w:rPr>
          <w:rFonts w:cs="Guttman Drogolin" w:hint="cs"/>
          <w:b/>
          <w:bCs/>
          <w:sz w:val="48"/>
          <w:szCs w:val="48"/>
          <w:rtl/>
          <w:lang w:bidi="he-IL"/>
        </w:rPr>
        <w:t>שיעור ס"ט</w:t>
      </w:r>
    </w:p>
    <w:p w:rsidR="0000469F" w:rsidRDefault="0000469F" w:rsidP="0078079C">
      <w:pPr>
        <w:pStyle w:val="Heading1"/>
        <w:bidi/>
        <w:spacing w:before="0" w:line="360" w:lineRule="auto"/>
        <w:jc w:val="center"/>
        <w:rPr>
          <w:rFonts w:cs="Guttman Drogolin"/>
          <w:color w:val="auto"/>
          <w:sz w:val="24"/>
          <w:szCs w:val="24"/>
          <w:u w:val="single"/>
          <w:rtl/>
          <w:lang w:bidi="he-IL"/>
        </w:rPr>
        <w:sectPr w:rsidR="0000469F" w:rsidSect="0000469F">
          <w:headerReference w:type="default" r:id="rId54"/>
          <w:pgSz w:w="11907" w:h="16839" w:code="9"/>
          <w:pgMar w:top="1440" w:right="1440" w:bottom="1440" w:left="1440" w:header="720" w:footer="720" w:gutter="0"/>
          <w:cols w:space="720"/>
          <w:bidi/>
          <w:docGrid w:linePitch="360"/>
        </w:sectPr>
      </w:pPr>
    </w:p>
    <w:p w:rsidR="008B55EE" w:rsidRPr="0000469F" w:rsidRDefault="008B55EE" w:rsidP="0078079C">
      <w:pPr>
        <w:pStyle w:val="Heading1"/>
        <w:bidi/>
        <w:spacing w:before="0" w:line="360" w:lineRule="auto"/>
        <w:jc w:val="center"/>
        <w:rPr>
          <w:rFonts w:cs="Guttman Drogolin"/>
          <w:color w:val="auto"/>
          <w:sz w:val="22"/>
          <w:szCs w:val="22"/>
          <w:u w:val="single"/>
          <w:rtl/>
          <w:lang w:bidi="he-IL"/>
        </w:rPr>
      </w:pPr>
      <w:bookmarkStart w:id="273" w:name="_Toc496175525"/>
      <w:r w:rsidRPr="0000469F">
        <w:rPr>
          <w:rFonts w:cs="Guttman Drogolin" w:hint="cs"/>
          <w:color w:val="auto"/>
          <w:sz w:val="22"/>
          <w:szCs w:val="22"/>
          <w:u w:val="single"/>
          <w:rtl/>
          <w:lang w:bidi="he-IL"/>
        </w:rPr>
        <w:lastRenderedPageBreak/>
        <w:t>עוד בדין מים שנתבשלו בכלי שאינו בן יומו</w:t>
      </w:r>
      <w:bookmarkEnd w:id="273"/>
    </w:p>
    <w:p w:rsidR="005D2BEA" w:rsidRPr="00882F11" w:rsidRDefault="005472CF" w:rsidP="005D2BEA">
      <w:pPr>
        <w:tabs>
          <w:tab w:val="right" w:pos="7497"/>
        </w:tabs>
        <w:bidi/>
        <w:jc w:val="both"/>
        <w:rPr>
          <w:rFonts w:cs="Guttman Drogolin"/>
          <w:rtl/>
          <w:lang w:bidi="he-IL"/>
        </w:rPr>
      </w:pPr>
      <w:r>
        <w:rPr>
          <w:rFonts w:cs="Guttman Drogolin"/>
          <w:rtl/>
          <w:lang w:bidi="he-IL"/>
        </w:rPr>
        <w:fldChar w:fldCharType="begin"/>
      </w:r>
      <w:r>
        <w:instrText xml:space="preserve"> XE "</w:instrText>
      </w:r>
      <w:r w:rsidRPr="00A84836">
        <w:rPr>
          <w:rFonts w:hint="cs"/>
          <w:rtl/>
          <w:lang w:bidi="he-IL"/>
        </w:rPr>
        <w:instrText>מים</w:instrText>
      </w:r>
      <w:r w:rsidRPr="00A84836">
        <w:rPr>
          <w:rtl/>
        </w:rPr>
        <w:instrText>:</w:instrText>
      </w:r>
      <w:r w:rsidRPr="00A84836">
        <w:rPr>
          <w:rFonts w:hint="cs"/>
          <w:rtl/>
          <w:lang w:bidi="he-IL"/>
        </w:rPr>
        <w:instrText>שיש בה בליעות שהם לפגם</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FE7398">
        <w:rPr>
          <w:rFonts w:hint="cs"/>
          <w:rtl/>
          <w:lang w:bidi="he-IL"/>
        </w:rPr>
        <w:instrText>נותן טעם לפגם</w:instrText>
      </w:r>
      <w:r w:rsidRPr="00FE7398">
        <w:rPr>
          <w:rtl/>
        </w:rPr>
        <w:instrText>:</w:instrText>
      </w:r>
      <w:r w:rsidRPr="00FE7398">
        <w:rPr>
          <w:rFonts w:hint="cs"/>
          <w:rtl/>
          <w:lang w:bidi="he-IL"/>
        </w:rPr>
        <w:instrText>דין מים שיש בהם בליעות שטעמם לפגם</w:instrText>
      </w:r>
      <w:r>
        <w:instrText xml:space="preserve">" </w:instrText>
      </w:r>
      <w:r>
        <w:rPr>
          <w:rFonts w:cs="Guttman Drogolin"/>
          <w:rtl/>
          <w:lang w:bidi="he-IL"/>
        </w:rPr>
        <w:fldChar w:fldCharType="end"/>
      </w:r>
      <w:r w:rsidR="008B55EE" w:rsidRPr="00882F11">
        <w:rPr>
          <w:rFonts w:cs="Guttman Drogolin" w:hint="cs"/>
          <w:rtl/>
          <w:lang w:bidi="he-IL"/>
        </w:rPr>
        <w:t xml:space="preserve">בשיעור הקודם דיברנו אודות דברי הרמ"א בסע' ג' שנוהגים לאסור המים שנתבשלו בכלי שאינו בו יומו, ושטעם האיסור </w:t>
      </w:r>
      <w:r w:rsidR="00CF6B8F" w:rsidRPr="00882F11">
        <w:rPr>
          <w:rFonts w:cs="Guttman Drogolin" w:hint="cs"/>
          <w:rtl/>
          <w:lang w:bidi="he-IL"/>
        </w:rPr>
        <w:t>לש"ך וט"ז משום שאינו אלא דבר מועט ולכן נהגו להחמיר. אלא דהנה יעוין לקמן ברמ"א סי' קכ"ב סע' ו' שאם</w:t>
      </w:r>
      <w:r w:rsidR="00CF6B8F" w:rsidRPr="00882F11">
        <w:rPr>
          <w:rFonts w:cs="Guttman Drogolin"/>
          <w:rtl/>
          <w:lang w:bidi="he-IL"/>
        </w:rPr>
        <w:t xml:space="preserve"> </w:t>
      </w:r>
      <w:r w:rsidR="00CF6B8F" w:rsidRPr="00882F11">
        <w:rPr>
          <w:rFonts w:cs="Guttman Drogolin" w:hint="cs"/>
          <w:rtl/>
          <w:lang w:bidi="he-IL"/>
        </w:rPr>
        <w:t>חיממו</w:t>
      </w:r>
      <w:r w:rsidR="00CF6B8F" w:rsidRPr="00882F11">
        <w:rPr>
          <w:rFonts w:cs="Guttman Drogolin"/>
          <w:rtl/>
          <w:lang w:bidi="he-IL"/>
        </w:rPr>
        <w:t xml:space="preserve"> </w:t>
      </w:r>
      <w:r w:rsidR="00CF6B8F" w:rsidRPr="00882F11">
        <w:rPr>
          <w:rFonts w:cs="Guttman Drogolin" w:hint="cs"/>
          <w:rtl/>
          <w:lang w:bidi="he-IL"/>
        </w:rPr>
        <w:t>מים</w:t>
      </w:r>
      <w:r w:rsidR="00CF6B8F" w:rsidRPr="00882F11">
        <w:rPr>
          <w:rFonts w:cs="Guttman Drogolin"/>
          <w:rtl/>
          <w:lang w:bidi="he-IL"/>
        </w:rPr>
        <w:t xml:space="preserve"> </w:t>
      </w:r>
      <w:r w:rsidR="00CF6B8F" w:rsidRPr="00882F11">
        <w:rPr>
          <w:rFonts w:cs="Guttman Drogolin" w:hint="cs"/>
          <w:rtl/>
          <w:lang w:bidi="he-IL"/>
        </w:rPr>
        <w:t>בכלי</w:t>
      </w:r>
      <w:r w:rsidR="00CF6B8F" w:rsidRPr="00882F11">
        <w:rPr>
          <w:rFonts w:cs="Guttman Drogolin"/>
          <w:rtl/>
          <w:lang w:bidi="he-IL"/>
        </w:rPr>
        <w:t xml:space="preserve"> </w:t>
      </w:r>
      <w:r w:rsidR="00CF6B8F" w:rsidRPr="00882F11">
        <w:rPr>
          <w:rFonts w:cs="Guttman Drogolin" w:hint="cs"/>
          <w:rtl/>
          <w:lang w:bidi="he-IL"/>
        </w:rPr>
        <w:t>של</w:t>
      </w:r>
      <w:r w:rsidR="00CF6B8F" w:rsidRPr="00882F11">
        <w:rPr>
          <w:rFonts w:cs="Guttman Drogolin"/>
          <w:rtl/>
          <w:lang w:bidi="he-IL"/>
        </w:rPr>
        <w:t xml:space="preserve"> </w:t>
      </w:r>
      <w:r w:rsidR="00CF6B8F" w:rsidRPr="00882F11">
        <w:rPr>
          <w:rFonts w:cs="Guttman Drogolin" w:hint="cs"/>
          <w:rtl/>
          <w:lang w:bidi="he-IL"/>
        </w:rPr>
        <w:t>עובד</w:t>
      </w:r>
      <w:r w:rsidR="00CF6B8F" w:rsidRPr="00882F11">
        <w:rPr>
          <w:rFonts w:cs="Guttman Drogolin"/>
          <w:rtl/>
          <w:lang w:bidi="he-IL"/>
        </w:rPr>
        <w:t xml:space="preserve"> </w:t>
      </w:r>
      <w:r w:rsidR="00CF6B8F" w:rsidRPr="00882F11">
        <w:rPr>
          <w:rFonts w:cs="Guttman Drogolin" w:hint="cs"/>
          <w:rtl/>
          <w:lang w:bidi="he-IL"/>
        </w:rPr>
        <w:t>כוכבים</w:t>
      </w:r>
      <w:r w:rsidR="00CF6B8F" w:rsidRPr="00882F11">
        <w:rPr>
          <w:rFonts w:cs="Guttman Drogolin"/>
          <w:rtl/>
          <w:lang w:bidi="he-IL"/>
        </w:rPr>
        <w:t xml:space="preserve"> </w:t>
      </w:r>
      <w:r w:rsidR="00CF6B8F" w:rsidRPr="00882F11">
        <w:rPr>
          <w:rFonts w:cs="Guttman Drogolin" w:hint="cs"/>
          <w:rtl/>
          <w:lang w:bidi="he-IL"/>
        </w:rPr>
        <w:t>שאנו בן יומו, אם היתה כדי ללוש</w:t>
      </w:r>
      <w:r w:rsidR="00CF6B8F" w:rsidRPr="00882F11">
        <w:rPr>
          <w:rFonts w:cs="Guttman Drogolin"/>
          <w:rtl/>
          <w:lang w:bidi="he-IL"/>
        </w:rPr>
        <w:t xml:space="preserve"> </w:t>
      </w:r>
      <w:r w:rsidR="00CF6B8F" w:rsidRPr="00882F11">
        <w:rPr>
          <w:rFonts w:cs="Guttman Drogolin" w:hint="cs"/>
          <w:rtl/>
          <w:lang w:bidi="he-IL"/>
        </w:rPr>
        <w:t>בהן</w:t>
      </w:r>
      <w:r w:rsidR="00CF6B8F" w:rsidRPr="00882F11">
        <w:rPr>
          <w:rFonts w:cs="Guttman Drogolin"/>
          <w:rtl/>
          <w:lang w:bidi="he-IL"/>
        </w:rPr>
        <w:t xml:space="preserve"> </w:t>
      </w:r>
      <w:r w:rsidR="00CF6B8F" w:rsidRPr="00882F11">
        <w:rPr>
          <w:rFonts w:cs="Guttman Drogolin" w:hint="cs"/>
          <w:rtl/>
          <w:lang w:bidi="he-IL"/>
        </w:rPr>
        <w:t>פת</w:t>
      </w:r>
      <w:r w:rsidR="00CF6B8F" w:rsidRPr="00882F11">
        <w:rPr>
          <w:rFonts w:cs="Guttman Drogolin"/>
          <w:rtl/>
          <w:lang w:bidi="he-IL"/>
        </w:rPr>
        <w:t xml:space="preserve"> </w:t>
      </w:r>
      <w:r w:rsidR="00CF6B8F" w:rsidRPr="00882F11">
        <w:rPr>
          <w:rFonts w:cs="Guttman Drogolin" w:hint="cs"/>
          <w:rtl/>
          <w:lang w:bidi="he-IL"/>
        </w:rPr>
        <w:t>אסור</w:t>
      </w:r>
      <w:r w:rsidR="00CF6B8F" w:rsidRPr="00882F11">
        <w:rPr>
          <w:rFonts w:cs="Guttman Drogolin"/>
          <w:rtl/>
          <w:lang w:bidi="he-IL"/>
        </w:rPr>
        <w:t xml:space="preserve"> </w:t>
      </w:r>
      <w:r w:rsidR="00CF6B8F" w:rsidRPr="00882F11">
        <w:rPr>
          <w:rFonts w:cs="Guttman Drogolin" w:hint="cs"/>
          <w:rtl/>
          <w:lang w:bidi="he-IL"/>
        </w:rPr>
        <w:t>ללוש</w:t>
      </w:r>
      <w:r w:rsidR="00CF6B8F" w:rsidRPr="00882F11">
        <w:rPr>
          <w:rFonts w:cs="Guttman Drogolin"/>
          <w:rtl/>
          <w:lang w:bidi="he-IL"/>
        </w:rPr>
        <w:t xml:space="preserve"> </w:t>
      </w:r>
      <w:r w:rsidR="00CF6B8F" w:rsidRPr="00882F11">
        <w:rPr>
          <w:rFonts w:cs="Guttman Drogolin" w:hint="cs"/>
          <w:rtl/>
          <w:lang w:bidi="he-IL"/>
        </w:rPr>
        <w:t>באותן</w:t>
      </w:r>
      <w:r w:rsidR="00CF6B8F" w:rsidRPr="00882F11">
        <w:rPr>
          <w:rFonts w:cs="Guttman Drogolin"/>
          <w:rtl/>
          <w:lang w:bidi="he-IL"/>
        </w:rPr>
        <w:t xml:space="preserve"> </w:t>
      </w:r>
      <w:r w:rsidR="00CF6B8F" w:rsidRPr="00882F11">
        <w:rPr>
          <w:rFonts w:cs="Guttman Drogolin" w:hint="cs"/>
          <w:rtl/>
          <w:lang w:bidi="he-IL"/>
        </w:rPr>
        <w:t>מים, ומשום</w:t>
      </w:r>
      <w:r w:rsidR="00CF6B8F" w:rsidRPr="00882F11">
        <w:rPr>
          <w:rFonts w:cs="Guttman Drogolin"/>
          <w:rtl/>
          <w:lang w:bidi="he-IL"/>
        </w:rPr>
        <w:t xml:space="preserve"> </w:t>
      </w:r>
      <w:r w:rsidR="00CF6B8F" w:rsidRPr="00882F11">
        <w:rPr>
          <w:rFonts w:cs="Guttman Drogolin" w:hint="cs"/>
          <w:rtl/>
          <w:lang w:bidi="he-IL"/>
        </w:rPr>
        <w:t>דלדבר</w:t>
      </w:r>
      <w:r w:rsidR="00CF6B8F" w:rsidRPr="00882F11">
        <w:rPr>
          <w:rFonts w:cs="Guttman Drogolin"/>
          <w:rtl/>
          <w:lang w:bidi="he-IL"/>
        </w:rPr>
        <w:t xml:space="preserve"> </w:t>
      </w:r>
      <w:r w:rsidR="00CF6B8F" w:rsidRPr="00882F11">
        <w:rPr>
          <w:rFonts w:cs="Guttman Drogolin" w:hint="cs"/>
          <w:rtl/>
          <w:lang w:bidi="he-IL"/>
        </w:rPr>
        <w:t>זה</w:t>
      </w:r>
      <w:r w:rsidR="00CF6B8F" w:rsidRPr="00882F11">
        <w:rPr>
          <w:rFonts w:cs="Guttman Drogolin"/>
          <w:rtl/>
          <w:lang w:bidi="he-IL"/>
        </w:rPr>
        <w:t xml:space="preserve"> </w:t>
      </w:r>
      <w:r w:rsidR="00CF6B8F" w:rsidRPr="00882F11">
        <w:rPr>
          <w:rFonts w:cs="Guttman Drogolin" w:hint="cs"/>
          <w:rtl/>
          <w:lang w:bidi="he-IL"/>
        </w:rPr>
        <w:t>מקרי</w:t>
      </w:r>
      <w:r w:rsidR="00CF6B8F" w:rsidRPr="00882F11">
        <w:rPr>
          <w:rFonts w:cs="Guttman Drogolin"/>
          <w:rtl/>
          <w:lang w:bidi="he-IL"/>
        </w:rPr>
        <w:t xml:space="preserve"> </w:t>
      </w:r>
      <w:r w:rsidR="00CF6B8F" w:rsidRPr="00882F11">
        <w:rPr>
          <w:rFonts w:cs="Guttman Drogolin" w:hint="cs"/>
          <w:rtl/>
          <w:lang w:bidi="he-IL"/>
        </w:rPr>
        <w:t>לכתחלה</w:t>
      </w:r>
      <w:r w:rsidR="00CF6B8F" w:rsidRPr="00882F11">
        <w:rPr>
          <w:rFonts w:cs="Guttman Drogolin"/>
          <w:rtl/>
          <w:lang w:bidi="he-IL"/>
        </w:rPr>
        <w:t xml:space="preserve"> </w:t>
      </w:r>
      <w:r w:rsidR="00CF6B8F" w:rsidRPr="00882F11">
        <w:rPr>
          <w:rFonts w:cs="Guttman Drogolin" w:hint="cs"/>
          <w:rtl/>
          <w:lang w:bidi="he-IL"/>
        </w:rPr>
        <w:t>הואיל</w:t>
      </w:r>
      <w:r w:rsidR="00CF6B8F" w:rsidRPr="00882F11">
        <w:rPr>
          <w:rFonts w:cs="Guttman Drogolin"/>
          <w:rtl/>
          <w:lang w:bidi="he-IL"/>
        </w:rPr>
        <w:t xml:space="preserve"> </w:t>
      </w:r>
      <w:r w:rsidR="00CF6B8F" w:rsidRPr="00882F11">
        <w:rPr>
          <w:rFonts w:cs="Guttman Drogolin" w:hint="cs"/>
          <w:rtl/>
          <w:lang w:bidi="he-IL"/>
        </w:rPr>
        <w:t>ועדיין</w:t>
      </w:r>
      <w:r w:rsidR="00CF6B8F" w:rsidRPr="00882F11">
        <w:rPr>
          <w:rFonts w:cs="Guttman Drogolin"/>
          <w:rtl/>
          <w:lang w:bidi="he-IL"/>
        </w:rPr>
        <w:t xml:space="preserve"> </w:t>
      </w:r>
      <w:r w:rsidR="00CF6B8F" w:rsidRPr="00882F11">
        <w:rPr>
          <w:rFonts w:cs="Guttman Drogolin" w:hint="cs"/>
          <w:rtl/>
          <w:lang w:bidi="he-IL"/>
        </w:rPr>
        <w:t>לא</w:t>
      </w:r>
      <w:r w:rsidR="00CF6B8F" w:rsidRPr="00882F11">
        <w:rPr>
          <w:rFonts w:cs="Guttman Drogolin"/>
          <w:rtl/>
          <w:lang w:bidi="he-IL"/>
        </w:rPr>
        <w:t xml:space="preserve"> </w:t>
      </w:r>
      <w:r w:rsidR="00CF6B8F" w:rsidRPr="00882F11">
        <w:rPr>
          <w:rFonts w:cs="Guttman Drogolin" w:hint="cs"/>
          <w:rtl/>
          <w:lang w:bidi="he-IL"/>
        </w:rPr>
        <w:t>התחיל</w:t>
      </w:r>
      <w:r w:rsidR="00CF6B8F" w:rsidRPr="00882F11">
        <w:rPr>
          <w:rFonts w:cs="Guttman Drogolin"/>
          <w:rtl/>
          <w:lang w:bidi="he-IL"/>
        </w:rPr>
        <w:t xml:space="preserve"> </w:t>
      </w:r>
      <w:r w:rsidR="00CF6B8F" w:rsidRPr="00882F11">
        <w:rPr>
          <w:rFonts w:cs="Guttman Drogolin" w:hint="cs"/>
          <w:rtl/>
          <w:lang w:bidi="he-IL"/>
        </w:rPr>
        <w:t>הנאתו</w:t>
      </w:r>
      <w:r w:rsidR="00CF6B8F" w:rsidRPr="00882F11">
        <w:rPr>
          <w:rFonts w:cs="Guttman Drogolin"/>
          <w:rtl/>
          <w:lang w:bidi="he-IL"/>
        </w:rPr>
        <w:t xml:space="preserve">, </w:t>
      </w:r>
      <w:r w:rsidR="00CF6B8F" w:rsidRPr="00882F11">
        <w:rPr>
          <w:rFonts w:cs="Guttman Drogolin" w:hint="cs"/>
          <w:rtl/>
          <w:lang w:bidi="he-IL"/>
        </w:rPr>
        <w:t xml:space="preserve">אבל אם הוחמו לשתיה מותר. </w:t>
      </w:r>
      <w:r w:rsidR="00831A19" w:rsidRPr="00882F11">
        <w:rPr>
          <w:rFonts w:cs="Guttman Drogolin" w:hint="cs"/>
          <w:rtl/>
          <w:lang w:bidi="he-IL"/>
        </w:rPr>
        <w:t xml:space="preserve">ורצונו </w:t>
      </w:r>
      <w:r w:rsidR="005D2BEA" w:rsidRPr="00882F11">
        <w:rPr>
          <w:rFonts w:cs="Guttman Drogolin" w:hint="cs"/>
          <w:rtl/>
          <w:lang w:bidi="he-IL"/>
        </w:rPr>
        <w:t>לומר שהרי כל ההיתר של נטל"פ הוא בדיעבד, אבל לכתחילה אסור, ולענין לישה נחשב כלכתחילה, אבל לענין שתיי' הרי הוא כבדיעבד. וא"כ לכאורה י"ל דהה"נ הכא שאין איסור אלא כשאופה או מבשל במים הללו, אבל אם בישלם לשתי' מותרים בדיעבד.</w:t>
      </w:r>
    </w:p>
    <w:p w:rsidR="00322375" w:rsidRPr="00882F11" w:rsidRDefault="00C11EA8" w:rsidP="00322375">
      <w:pPr>
        <w:tabs>
          <w:tab w:val="right" w:pos="7497"/>
        </w:tabs>
        <w:bidi/>
        <w:jc w:val="both"/>
        <w:rPr>
          <w:rFonts w:cs="Guttman Drogolin"/>
          <w:rtl/>
          <w:lang w:bidi="he-IL"/>
        </w:rPr>
      </w:pPr>
      <w:r w:rsidRPr="00882F11">
        <w:rPr>
          <w:rFonts w:cs="Guttman Drogolin" w:hint="cs"/>
          <w:rtl/>
          <w:lang w:bidi="he-IL"/>
        </w:rPr>
        <w:t xml:space="preserve">ובעיקר דבר זה שאסרו המים לכתחילה לכאורה צ"ע, דהא התוס' בסוף מס' ע"ז (ע"ו ע"א ד"ה מכאן) כתבו </w:t>
      </w:r>
      <w:r w:rsidR="00887AC6" w:rsidRPr="00882F11">
        <w:rPr>
          <w:rFonts w:cs="Guttman Drogolin" w:hint="cs"/>
          <w:rtl/>
          <w:lang w:bidi="he-IL"/>
        </w:rPr>
        <w:t>"ויש</w:t>
      </w:r>
      <w:r w:rsidR="00887AC6" w:rsidRPr="00882F11">
        <w:rPr>
          <w:rFonts w:cs="Guttman Drogolin"/>
          <w:rtl/>
          <w:lang w:bidi="he-IL"/>
        </w:rPr>
        <w:t xml:space="preserve"> </w:t>
      </w:r>
      <w:r w:rsidR="00887AC6" w:rsidRPr="00882F11">
        <w:rPr>
          <w:rFonts w:cs="Guttman Drogolin" w:hint="cs"/>
          <w:rtl/>
          <w:lang w:bidi="he-IL"/>
        </w:rPr>
        <w:t>לתת</w:t>
      </w:r>
      <w:r w:rsidR="00887AC6" w:rsidRPr="00882F11">
        <w:rPr>
          <w:rFonts w:cs="Guttman Drogolin"/>
          <w:rtl/>
          <w:lang w:bidi="he-IL"/>
        </w:rPr>
        <w:t xml:space="preserve"> </w:t>
      </w:r>
      <w:r w:rsidR="00887AC6" w:rsidRPr="00882F11">
        <w:rPr>
          <w:rFonts w:cs="Guttman Drogolin" w:hint="cs"/>
          <w:rtl/>
          <w:lang w:bidi="he-IL"/>
        </w:rPr>
        <w:t>טעם</w:t>
      </w:r>
      <w:r w:rsidR="00887AC6" w:rsidRPr="00882F11">
        <w:rPr>
          <w:rFonts w:cs="Guttman Drogolin"/>
          <w:rtl/>
          <w:lang w:bidi="he-IL"/>
        </w:rPr>
        <w:t xml:space="preserve"> </w:t>
      </w:r>
      <w:r w:rsidR="00887AC6" w:rsidRPr="00882F11">
        <w:rPr>
          <w:rFonts w:cs="Guttman Drogolin" w:hint="cs"/>
          <w:rtl/>
          <w:lang w:bidi="he-IL"/>
        </w:rPr>
        <w:t>מה</w:t>
      </w:r>
      <w:r w:rsidR="00887AC6" w:rsidRPr="00882F11">
        <w:rPr>
          <w:rFonts w:cs="Guttman Drogolin"/>
          <w:rtl/>
          <w:lang w:bidi="he-IL"/>
        </w:rPr>
        <w:t xml:space="preserve"> </w:t>
      </w:r>
      <w:r w:rsidR="00887AC6" w:rsidRPr="00882F11">
        <w:rPr>
          <w:rFonts w:cs="Guttman Drogolin" w:hint="cs"/>
          <w:rtl/>
          <w:lang w:bidi="he-IL"/>
        </w:rPr>
        <w:t>ראו</w:t>
      </w:r>
      <w:r w:rsidR="00887AC6" w:rsidRPr="00882F11">
        <w:rPr>
          <w:rFonts w:cs="Guttman Drogolin"/>
          <w:rtl/>
          <w:lang w:bidi="he-IL"/>
        </w:rPr>
        <w:t xml:space="preserve"> </w:t>
      </w:r>
      <w:r w:rsidR="00887AC6" w:rsidRPr="00882F11">
        <w:rPr>
          <w:rFonts w:cs="Guttman Drogolin" w:hint="cs"/>
          <w:rtl/>
          <w:lang w:bidi="he-IL"/>
        </w:rPr>
        <w:t>להתיר</w:t>
      </w:r>
      <w:r w:rsidR="00887AC6" w:rsidRPr="00882F11">
        <w:rPr>
          <w:rFonts w:cs="Guttman Drogolin"/>
          <w:rtl/>
          <w:lang w:bidi="he-IL"/>
        </w:rPr>
        <w:t xml:space="preserve"> </w:t>
      </w:r>
      <w:r w:rsidR="00887AC6" w:rsidRPr="00882F11">
        <w:rPr>
          <w:rFonts w:cs="Guttman Drogolin" w:hint="cs"/>
          <w:rtl/>
          <w:lang w:bidi="he-IL"/>
        </w:rPr>
        <w:t>המאכל</w:t>
      </w:r>
      <w:r w:rsidR="00887AC6" w:rsidRPr="00882F11">
        <w:rPr>
          <w:rFonts w:cs="Guttman Drogolin"/>
          <w:rtl/>
          <w:lang w:bidi="he-IL"/>
        </w:rPr>
        <w:t xml:space="preserve"> </w:t>
      </w:r>
      <w:r w:rsidR="00887AC6" w:rsidRPr="00882F11">
        <w:rPr>
          <w:rFonts w:cs="Guttman Drogolin" w:hint="cs"/>
          <w:rtl/>
          <w:lang w:bidi="he-IL"/>
        </w:rPr>
        <w:t>ולאסור</w:t>
      </w:r>
      <w:r w:rsidR="00887AC6" w:rsidRPr="00882F11">
        <w:rPr>
          <w:rFonts w:cs="Guttman Drogolin"/>
          <w:rtl/>
          <w:lang w:bidi="he-IL"/>
        </w:rPr>
        <w:t xml:space="preserve"> </w:t>
      </w:r>
      <w:r w:rsidR="00887AC6" w:rsidRPr="00882F11">
        <w:rPr>
          <w:rFonts w:cs="Guttman Drogolin" w:hint="cs"/>
          <w:rtl/>
          <w:lang w:bidi="he-IL"/>
        </w:rPr>
        <w:t>הקדרה</w:t>
      </w:r>
      <w:r w:rsidR="00887AC6" w:rsidRPr="00882F11">
        <w:rPr>
          <w:rFonts w:cs="Guttman Drogolin"/>
          <w:rtl/>
          <w:lang w:bidi="he-IL"/>
        </w:rPr>
        <w:t xml:space="preserve"> </w:t>
      </w:r>
      <w:r w:rsidR="00887AC6" w:rsidRPr="00882F11">
        <w:rPr>
          <w:rFonts w:cs="Guttman Drogolin" w:hint="cs"/>
          <w:rtl/>
          <w:lang w:bidi="he-IL"/>
        </w:rPr>
        <w:t>לפי</w:t>
      </w:r>
      <w:r w:rsidR="00887AC6" w:rsidRPr="00882F11">
        <w:rPr>
          <w:rFonts w:cs="Guttman Drogolin"/>
          <w:rtl/>
          <w:lang w:bidi="he-IL"/>
        </w:rPr>
        <w:t xml:space="preserve"> </w:t>
      </w:r>
      <w:r w:rsidR="00887AC6" w:rsidRPr="00882F11">
        <w:rPr>
          <w:rFonts w:cs="Guttman Drogolin" w:hint="cs"/>
          <w:rtl/>
          <w:lang w:bidi="he-IL"/>
        </w:rPr>
        <w:t>שהקדרה</w:t>
      </w:r>
      <w:r w:rsidR="00887AC6" w:rsidRPr="00882F11">
        <w:rPr>
          <w:rFonts w:cs="Guttman Drogolin"/>
          <w:rtl/>
          <w:lang w:bidi="he-IL"/>
        </w:rPr>
        <w:t xml:space="preserve"> </w:t>
      </w:r>
      <w:r w:rsidR="00887AC6" w:rsidRPr="00882F11">
        <w:rPr>
          <w:rFonts w:cs="Guttman Drogolin" w:hint="cs"/>
          <w:rtl/>
          <w:lang w:bidi="he-IL"/>
        </w:rPr>
        <w:t>היה</w:t>
      </w:r>
      <w:r w:rsidR="00887AC6" w:rsidRPr="00882F11">
        <w:rPr>
          <w:rFonts w:cs="Guttman Drogolin"/>
          <w:rtl/>
          <w:lang w:bidi="he-IL"/>
        </w:rPr>
        <w:t xml:space="preserve"> </w:t>
      </w:r>
      <w:r w:rsidR="00887AC6" w:rsidRPr="00882F11">
        <w:rPr>
          <w:rFonts w:cs="Guttman Drogolin" w:hint="cs"/>
          <w:rtl/>
          <w:lang w:bidi="he-IL"/>
        </w:rPr>
        <w:t>בה</w:t>
      </w:r>
      <w:r w:rsidR="00887AC6" w:rsidRPr="00882F11">
        <w:rPr>
          <w:rFonts w:cs="Guttman Drogolin"/>
          <w:rtl/>
          <w:lang w:bidi="he-IL"/>
        </w:rPr>
        <w:t xml:space="preserve"> </w:t>
      </w:r>
      <w:r w:rsidR="00887AC6" w:rsidRPr="00882F11">
        <w:rPr>
          <w:rFonts w:cs="Guttman Drogolin" w:hint="cs"/>
          <w:rtl/>
          <w:lang w:bidi="he-IL"/>
        </w:rPr>
        <w:t>איסור</w:t>
      </w:r>
      <w:r w:rsidR="00887AC6" w:rsidRPr="00882F11">
        <w:rPr>
          <w:rFonts w:cs="Guttman Drogolin"/>
          <w:rtl/>
          <w:lang w:bidi="he-IL"/>
        </w:rPr>
        <w:t xml:space="preserve"> </w:t>
      </w:r>
      <w:r w:rsidR="00887AC6" w:rsidRPr="00882F11">
        <w:rPr>
          <w:rFonts w:cs="Guttman Drogolin" w:hint="cs"/>
          <w:rtl/>
          <w:lang w:bidi="he-IL"/>
        </w:rPr>
        <w:t>גמור</w:t>
      </w:r>
      <w:r w:rsidR="00887AC6" w:rsidRPr="00882F11">
        <w:rPr>
          <w:rFonts w:cs="Guttman Drogolin"/>
          <w:rtl/>
          <w:lang w:bidi="he-IL"/>
        </w:rPr>
        <w:t xml:space="preserve"> </w:t>
      </w:r>
      <w:r w:rsidR="00887AC6" w:rsidRPr="00882F11">
        <w:rPr>
          <w:rFonts w:cs="Guttman Drogolin" w:hint="cs"/>
          <w:rtl/>
          <w:lang w:bidi="he-IL"/>
        </w:rPr>
        <w:t>תחלה</w:t>
      </w:r>
      <w:r w:rsidR="00887AC6" w:rsidRPr="00882F11">
        <w:rPr>
          <w:rFonts w:cs="Guttman Drogolin"/>
          <w:rtl/>
          <w:lang w:bidi="he-IL"/>
        </w:rPr>
        <w:t xml:space="preserve"> </w:t>
      </w:r>
      <w:r w:rsidR="00887AC6" w:rsidRPr="00882F11">
        <w:rPr>
          <w:rFonts w:cs="Guttman Drogolin" w:hint="cs"/>
          <w:rtl/>
          <w:lang w:bidi="he-IL"/>
        </w:rPr>
        <w:t>אבל</w:t>
      </w:r>
      <w:r w:rsidR="00887AC6" w:rsidRPr="00882F11">
        <w:rPr>
          <w:rFonts w:cs="Guttman Drogolin"/>
          <w:rtl/>
          <w:lang w:bidi="he-IL"/>
        </w:rPr>
        <w:t xml:space="preserve"> </w:t>
      </w:r>
      <w:r w:rsidR="00887AC6" w:rsidRPr="00882F11">
        <w:rPr>
          <w:rFonts w:cs="Guttman Drogolin" w:hint="cs"/>
          <w:rtl/>
          <w:lang w:bidi="he-IL"/>
        </w:rPr>
        <w:t>המאכל</w:t>
      </w:r>
      <w:r w:rsidR="00887AC6" w:rsidRPr="00882F11">
        <w:rPr>
          <w:rFonts w:cs="Guttman Drogolin"/>
          <w:rtl/>
          <w:lang w:bidi="he-IL"/>
        </w:rPr>
        <w:t xml:space="preserve"> </w:t>
      </w:r>
      <w:r w:rsidR="00887AC6" w:rsidRPr="00882F11">
        <w:rPr>
          <w:rFonts w:cs="Guttman Drogolin" w:hint="cs"/>
          <w:rtl/>
          <w:lang w:bidi="he-IL"/>
        </w:rPr>
        <w:t>לא</w:t>
      </w:r>
      <w:r w:rsidR="00887AC6" w:rsidRPr="00882F11">
        <w:rPr>
          <w:rFonts w:cs="Guttman Drogolin"/>
          <w:rtl/>
          <w:lang w:bidi="he-IL"/>
        </w:rPr>
        <w:t xml:space="preserve"> </w:t>
      </w:r>
      <w:r w:rsidR="00887AC6" w:rsidRPr="00882F11">
        <w:rPr>
          <w:rFonts w:cs="Guttman Drogolin" w:hint="cs"/>
          <w:rtl/>
          <w:lang w:bidi="he-IL"/>
        </w:rPr>
        <w:t>נבלע</w:t>
      </w:r>
      <w:r w:rsidR="00887AC6" w:rsidRPr="00882F11">
        <w:rPr>
          <w:rFonts w:cs="Guttman Drogolin"/>
          <w:rtl/>
          <w:lang w:bidi="he-IL"/>
        </w:rPr>
        <w:t xml:space="preserve"> </w:t>
      </w:r>
      <w:r w:rsidR="00887AC6" w:rsidRPr="00882F11">
        <w:rPr>
          <w:rFonts w:cs="Guttman Drogolin" w:hint="cs"/>
          <w:rtl/>
          <w:lang w:bidi="he-IL"/>
        </w:rPr>
        <w:t>בו</w:t>
      </w:r>
      <w:r w:rsidR="00887AC6" w:rsidRPr="00882F11">
        <w:rPr>
          <w:rFonts w:cs="Guttman Drogolin"/>
          <w:rtl/>
          <w:lang w:bidi="he-IL"/>
        </w:rPr>
        <w:t xml:space="preserve"> </w:t>
      </w:r>
      <w:r w:rsidR="00887AC6" w:rsidRPr="00882F11">
        <w:rPr>
          <w:rFonts w:cs="Guttman Drogolin" w:hint="cs"/>
          <w:rtl/>
          <w:lang w:bidi="he-IL"/>
        </w:rPr>
        <w:t>איסור</w:t>
      </w:r>
      <w:r w:rsidR="00887AC6" w:rsidRPr="00882F11">
        <w:rPr>
          <w:rFonts w:cs="Guttman Drogolin"/>
          <w:rtl/>
          <w:lang w:bidi="he-IL"/>
        </w:rPr>
        <w:t xml:space="preserve"> </w:t>
      </w:r>
      <w:r w:rsidR="00887AC6" w:rsidRPr="00882F11">
        <w:rPr>
          <w:rFonts w:cs="Guttman Drogolin" w:hint="cs"/>
          <w:rtl/>
          <w:lang w:bidi="he-IL"/>
        </w:rPr>
        <w:t>מעולם". ולכאורה כוונתם שהקדרה נכנס בה איסור כשהי' יכול לאסור משום שהיתה לשבח, אבל המאכל הא נכנס בה בפגם. וא"כ לכאורה אין מקום לאסור המים בכה"ג. ואיכא למימר שאינו אלא מנהג ומשום מהיות טוב אל תקרא רע.</w:t>
      </w:r>
      <w:r w:rsidR="00206F77" w:rsidRPr="00882F11">
        <w:rPr>
          <w:rFonts w:cs="Guttman Drogolin" w:hint="cs"/>
          <w:rtl/>
          <w:lang w:bidi="he-IL"/>
        </w:rPr>
        <w:t xml:space="preserve"> אמנם י"ל עוד שהם חולקים וסוברים שאין החילוק בין נכנס בפגם או בשבח, רק החילוק הוא בין 'לכתחילה' ל'בדיעבד', שבכלי אין זה סוף הנאתו, רק התבשיל שמבשל בה, וכיון שכן אסור לכתחילה, אבל המאכל הרי זה כבדיעבד, ובנטל"פ הקילו בדיעבד. ומיני' לצרכים השונים של מים, שאם הוא לצורך שתי' הרי </w:t>
      </w:r>
      <w:r w:rsidR="00AE62F2" w:rsidRPr="00882F11">
        <w:rPr>
          <w:rFonts w:cs="Guttman Drogolin" w:hint="cs"/>
          <w:rtl/>
          <w:lang w:bidi="he-IL"/>
        </w:rPr>
        <w:t>זה כדיעבד, אבל אם הוא לצורך אפי'</w:t>
      </w:r>
      <w:r w:rsidR="00206F77" w:rsidRPr="00882F11">
        <w:rPr>
          <w:rFonts w:cs="Guttman Drogolin" w:hint="cs"/>
          <w:rtl/>
          <w:lang w:bidi="he-IL"/>
        </w:rPr>
        <w:t xml:space="preserve"> או בישול הרי זה כלכתחילה ואסור.</w:t>
      </w:r>
    </w:p>
    <w:p w:rsidR="00C11EA8" w:rsidRPr="00882F11" w:rsidRDefault="00AE62F2" w:rsidP="00322375">
      <w:pPr>
        <w:tabs>
          <w:tab w:val="right" w:pos="7497"/>
        </w:tabs>
        <w:bidi/>
        <w:jc w:val="both"/>
        <w:rPr>
          <w:rFonts w:cs="Guttman Drogolin"/>
          <w:rtl/>
          <w:lang w:bidi="he-IL"/>
        </w:rPr>
      </w:pPr>
      <w:r w:rsidRPr="00882F11">
        <w:rPr>
          <w:rFonts w:cs="Guttman Drogolin" w:hint="cs"/>
          <w:rtl/>
          <w:lang w:bidi="he-IL"/>
        </w:rPr>
        <w:t>ו</w:t>
      </w:r>
      <w:r w:rsidR="00322375" w:rsidRPr="00882F11">
        <w:rPr>
          <w:rFonts w:cs="Guttman Drogolin" w:hint="cs"/>
          <w:rtl/>
          <w:lang w:bidi="he-IL"/>
        </w:rPr>
        <w:t xml:space="preserve">הנה </w:t>
      </w:r>
      <w:r w:rsidRPr="00882F11">
        <w:rPr>
          <w:rFonts w:cs="Guttman Drogolin" w:hint="cs"/>
          <w:rtl/>
          <w:lang w:bidi="he-IL"/>
        </w:rPr>
        <w:t xml:space="preserve">הר"ן בסו"פ כל הבשר וכן הרשב"א בתוה"א (ב"ד ש"ד) כתבו שמותר להגעיל כלי שאינו בן </w:t>
      </w:r>
      <w:r w:rsidRPr="00882F11">
        <w:rPr>
          <w:rFonts w:cs="Guttman Drogolin" w:hint="cs"/>
          <w:rtl/>
          <w:lang w:bidi="he-IL"/>
        </w:rPr>
        <w:lastRenderedPageBreak/>
        <w:t>יומו במים אפילו אין בהם ששים כיון שאפילו אם יחזור לתוך הכלי הרי נכנס בפגם. ולכאורה כל דבריהם אינם אלא כפי שיטת התוס' שזהו החילוק בין מאכל לקדירה, אבל אם החילוק הוא בין בדיעבד לכתחילה, לכאורה הכלי עדיין יהא חשוב לכתחילה ולא מהני. וברא"ש בסוף ע"ז הזכיר עוד סברא להתיר הגעלה כה"ג כיון שהוי נ"ט בר נ"ט דהיתירא (כיון דנטל"פ)</w:t>
      </w:r>
      <w:r w:rsidR="00887AC6" w:rsidRPr="00882F11">
        <w:rPr>
          <w:rFonts w:cs="Guttman Drogolin" w:hint="cs"/>
          <w:rtl/>
          <w:lang w:bidi="he-IL"/>
        </w:rPr>
        <w:t xml:space="preserve"> </w:t>
      </w:r>
      <w:r w:rsidRPr="00882F11">
        <w:rPr>
          <w:rFonts w:cs="Guttman Drogolin" w:hint="cs"/>
          <w:rtl/>
          <w:lang w:bidi="he-IL"/>
        </w:rPr>
        <w:t>כשיוצא ממנו ושוב נכנס לתוכו. ולכאורה א"כ יהא לנו הסבר</w:t>
      </w:r>
      <w:r w:rsidR="00322375" w:rsidRPr="00882F11">
        <w:rPr>
          <w:rFonts w:cs="Guttman Drogolin" w:hint="cs"/>
          <w:rtl/>
          <w:lang w:bidi="he-IL"/>
        </w:rPr>
        <w:t>ה</w:t>
      </w:r>
      <w:r w:rsidRPr="00882F11">
        <w:rPr>
          <w:rFonts w:cs="Guttman Drogolin" w:hint="cs"/>
          <w:rtl/>
          <w:lang w:bidi="he-IL"/>
        </w:rPr>
        <w:t xml:space="preserve"> למה יהא מו</w:t>
      </w:r>
      <w:r w:rsidR="00322375" w:rsidRPr="00882F11">
        <w:rPr>
          <w:rFonts w:cs="Guttman Drogolin" w:hint="cs"/>
          <w:rtl/>
          <w:lang w:bidi="he-IL"/>
        </w:rPr>
        <w:t>ת</w:t>
      </w:r>
      <w:r w:rsidRPr="00882F11">
        <w:rPr>
          <w:rFonts w:cs="Guttman Drogolin" w:hint="cs"/>
          <w:rtl/>
          <w:lang w:bidi="he-IL"/>
        </w:rPr>
        <w:t>ר להגעיל כלי שאינו בן יומו</w:t>
      </w:r>
      <w:r w:rsidR="00322375" w:rsidRPr="00882F11">
        <w:rPr>
          <w:rFonts w:cs="Guttman Drogolin" w:hint="cs"/>
          <w:rtl/>
          <w:lang w:bidi="he-IL"/>
        </w:rPr>
        <w:t xml:space="preserve"> בפחות מששים אע"ג שמחמירים בנטל"פ לכתחילה אע"פ שנכנס בפגם, והוא משום דהוי גם נ"ט בר נ"ט, ובזה לא נאמר הדין דאסור לכתחילה. אמנם גוף דברי הרא"ש קשים כיון שהוא כתב כביאורם של התוס' הנ"ל שיש חילוק בין נכנס בפגם ללא נכנס בפגם, וא"כ למה לי' לתי' הנ"ל שהיתר הגעלת כלי שאינו בן יומו בפחות מס', תיפו"ל שאפילו אם יחזור הרי זה לפגם. ואולי י"ל דס</w:t>
      </w:r>
      <w:r w:rsidR="003A1E6D" w:rsidRPr="00882F11">
        <w:rPr>
          <w:rFonts w:cs="Guttman Drogolin" w:hint="cs"/>
          <w:rtl/>
          <w:lang w:bidi="he-IL"/>
        </w:rPr>
        <w:t>ב</w:t>
      </w:r>
      <w:r w:rsidR="00322375" w:rsidRPr="00882F11">
        <w:rPr>
          <w:rFonts w:cs="Guttman Drogolin" w:hint="cs"/>
          <w:rtl/>
          <w:lang w:bidi="he-IL"/>
        </w:rPr>
        <w:t xml:space="preserve">ר הרא"ש דכיון שהוי אותה בליעה שהיתה בה מקודם לא נחשב נכנס בפגם. וצ"ע. (וכן ראיתי בס' פני הבית למס' ע"ז עמ' תע"ד בזה, ע"ש בכל דבריו). </w:t>
      </w:r>
      <w:r w:rsidRPr="00882F11">
        <w:rPr>
          <w:rFonts w:cs="Guttman Drogolin" w:hint="cs"/>
          <w:rtl/>
          <w:lang w:bidi="he-IL"/>
        </w:rPr>
        <w:t xml:space="preserve"> </w:t>
      </w:r>
    </w:p>
    <w:p w:rsidR="00FD1C98" w:rsidRPr="00882F11" w:rsidRDefault="00322375" w:rsidP="00FD1C98">
      <w:pPr>
        <w:tabs>
          <w:tab w:val="right" w:pos="7497"/>
        </w:tabs>
        <w:bidi/>
        <w:jc w:val="both"/>
        <w:rPr>
          <w:rFonts w:cs="Guttman Drogolin"/>
          <w:rtl/>
          <w:lang w:bidi="he-IL"/>
        </w:rPr>
      </w:pPr>
      <w:r w:rsidRPr="00882F11">
        <w:rPr>
          <w:rFonts w:cs="Guttman Drogolin" w:hint="cs"/>
          <w:rtl/>
          <w:lang w:bidi="he-IL"/>
        </w:rPr>
        <w:t xml:space="preserve">ויעוין </w:t>
      </w:r>
      <w:r w:rsidR="005D2BEA" w:rsidRPr="00882F11">
        <w:rPr>
          <w:rFonts w:cs="Guttman Drogolin" w:hint="cs"/>
          <w:rtl/>
          <w:lang w:bidi="he-IL"/>
        </w:rPr>
        <w:t xml:space="preserve">בהגהות רע"א </w:t>
      </w:r>
      <w:r w:rsidRPr="00882F11">
        <w:rPr>
          <w:rFonts w:cs="Guttman Drogolin" w:hint="cs"/>
          <w:rtl/>
          <w:lang w:bidi="he-IL"/>
        </w:rPr>
        <w:t>שם שצ</w:t>
      </w:r>
      <w:r w:rsidR="005D2BEA" w:rsidRPr="00882F11">
        <w:rPr>
          <w:rFonts w:cs="Guttman Drogolin" w:hint="cs"/>
          <w:rtl/>
          <w:lang w:bidi="he-IL"/>
        </w:rPr>
        <w:t>יין לדברי השפ"ד סי' צ"ד ס"ק י"ט</w:t>
      </w:r>
      <w:r w:rsidRPr="00882F11">
        <w:rPr>
          <w:rFonts w:cs="Guttman Drogolin" w:hint="cs"/>
          <w:rtl/>
          <w:lang w:bidi="he-IL"/>
        </w:rPr>
        <w:t xml:space="preserve">. ובשפ"ד שם פלפל בב' הטעמים לאסור המים שנתבשלו בכלי שאינו בן יומו, ויצא לחלק </w:t>
      </w:r>
      <w:r w:rsidR="00757BE9" w:rsidRPr="00882F11">
        <w:rPr>
          <w:rFonts w:cs="Guttman Drogolin" w:hint="cs"/>
          <w:rtl/>
          <w:lang w:bidi="he-IL"/>
        </w:rPr>
        <w:t>בין כלי של נכרי לכלי של ישראל, שבכלי של ישראל אסור אפילו אם בישלם לצורך שתי', אבל בכלי של נכרי</w:t>
      </w:r>
      <w:r w:rsidR="00FD1C98" w:rsidRPr="00882F11">
        <w:rPr>
          <w:rFonts w:cs="Guttman Drogolin" w:hint="cs"/>
          <w:rtl/>
          <w:lang w:bidi="he-IL"/>
        </w:rPr>
        <w:t xml:space="preserve"> כיון שלא שכיח לא גזרו עד כמה שבישלם לשתי'. ומ"מ יל"ע אם גם הגר"א מודה לזה כיון שגם כאן נתן טעם לאסור המים משום דהו כלכתחילה, וא"כ אולי לית לי' הטעם של הש"ך והט"ז כאן כלל. וצ"ע. </w:t>
      </w:r>
    </w:p>
    <w:p w:rsidR="00FD1C98" w:rsidRPr="0000469F" w:rsidRDefault="00FD1C98" w:rsidP="0078079C">
      <w:pPr>
        <w:pStyle w:val="Heading1"/>
        <w:bidi/>
        <w:spacing w:before="0" w:line="360" w:lineRule="auto"/>
        <w:jc w:val="center"/>
        <w:rPr>
          <w:rFonts w:cs="Guttman Drogolin"/>
          <w:color w:val="auto"/>
          <w:sz w:val="22"/>
          <w:szCs w:val="22"/>
          <w:u w:val="single"/>
          <w:rtl/>
          <w:lang w:bidi="he-IL"/>
        </w:rPr>
      </w:pPr>
      <w:bookmarkStart w:id="274" w:name="_Toc496175526"/>
      <w:r w:rsidRPr="0000469F">
        <w:rPr>
          <w:rFonts w:cs="Guttman Drogolin" w:hint="cs"/>
          <w:color w:val="auto"/>
          <w:sz w:val="22"/>
          <w:szCs w:val="22"/>
          <w:u w:val="single"/>
          <w:rtl/>
          <w:lang w:bidi="he-IL"/>
        </w:rPr>
        <w:t>כלל דברי המחבר ברמ"א בדינא דהדחת קערות</w:t>
      </w:r>
      <w:bookmarkEnd w:id="274"/>
    </w:p>
    <w:p w:rsidR="005B5E03" w:rsidRPr="00882F11" w:rsidRDefault="005472CF" w:rsidP="00FD1C98">
      <w:pPr>
        <w:tabs>
          <w:tab w:val="right" w:pos="7497"/>
        </w:tabs>
        <w:bidi/>
        <w:jc w:val="both"/>
        <w:rPr>
          <w:rFonts w:cs="Guttman Drogolin"/>
          <w:rtl/>
          <w:lang w:bidi="he-IL"/>
        </w:rPr>
      </w:pPr>
      <w:r>
        <w:rPr>
          <w:rFonts w:cs="Guttman Drogolin"/>
          <w:rtl/>
          <w:lang w:bidi="he-IL"/>
        </w:rPr>
        <w:fldChar w:fldCharType="begin"/>
      </w:r>
      <w:r>
        <w:instrText xml:space="preserve"> XE "</w:instrText>
      </w:r>
      <w:r w:rsidRPr="00CA7346">
        <w:rPr>
          <w:rFonts w:hint="cs"/>
          <w:rtl/>
          <w:lang w:bidi="he-IL"/>
        </w:rPr>
        <w:instrText>נ</w:instrText>
      </w:r>
      <w:r>
        <w:rPr>
          <w:rFonts w:eastAsiaTheme="minorEastAsia"/>
          <w:lang w:bidi="he-IL"/>
        </w:rPr>
        <w:instrText>\</w:instrText>
      </w:r>
      <w:r w:rsidRPr="00CA7346">
        <w:rPr>
          <w:rFonts w:hint="cs"/>
          <w:rtl/>
          <w:lang w:bidi="he-IL"/>
        </w:rPr>
        <w:instrText>"ט בר נ</w:instrText>
      </w:r>
      <w:r>
        <w:rPr>
          <w:rFonts w:eastAsiaTheme="minorEastAsia"/>
          <w:lang w:bidi="he-IL"/>
        </w:rPr>
        <w:instrText>\</w:instrText>
      </w:r>
      <w:r w:rsidRPr="00CA7346">
        <w:rPr>
          <w:rFonts w:hint="cs"/>
          <w:rtl/>
          <w:lang w:bidi="he-IL"/>
        </w:rPr>
        <w:instrText>"ט</w:instrText>
      </w:r>
      <w:r w:rsidRPr="00CA7346">
        <w:rPr>
          <w:rtl/>
        </w:rPr>
        <w:instrText>:</w:instrText>
      </w:r>
      <w:r w:rsidRPr="00CA7346">
        <w:rPr>
          <w:rFonts w:hint="cs"/>
          <w:rtl/>
          <w:lang w:bidi="he-IL"/>
        </w:rPr>
        <w:instrText>הדחת קערות - דעת המחבר והרמ</w:instrText>
      </w:r>
      <w:r>
        <w:rPr>
          <w:rFonts w:eastAsiaTheme="minorEastAsia"/>
          <w:lang w:bidi="he-IL"/>
        </w:rPr>
        <w:instrText>\</w:instrText>
      </w:r>
      <w:r w:rsidRPr="00CA7346">
        <w:rPr>
          <w:rFonts w:hint="cs"/>
          <w:rtl/>
          <w:lang w:bidi="he-IL"/>
        </w:rPr>
        <w:instrText>"א</w:instrText>
      </w:r>
      <w:r>
        <w:instrText xml:space="preserve">" </w:instrText>
      </w:r>
      <w:r>
        <w:rPr>
          <w:rFonts w:cs="Guttman Drogolin"/>
          <w:rtl/>
          <w:lang w:bidi="he-IL"/>
        </w:rPr>
        <w:fldChar w:fldCharType="end"/>
      </w:r>
      <w:r w:rsidR="00FD1C98" w:rsidRPr="00882F11">
        <w:rPr>
          <w:rFonts w:cs="Guttman Drogolin" w:hint="cs"/>
          <w:rtl/>
          <w:lang w:bidi="he-IL"/>
        </w:rPr>
        <w:t xml:space="preserve">שיטת המחבר בסע' ג' להקל בדיעבד בדינא דהדחת קערות. וכבר הזכרנו בשיעור הקודם שיש מחלוקת אחרונים אם הטעם שהחמיר המחבר לכתחילה בהדחת קערות משום שחשש עכ"פ לכתחילה לשיטת סה"ת שאוסר הדחת קערות, </w:t>
      </w:r>
      <w:r w:rsidR="00FD1C98" w:rsidRPr="00882F11">
        <w:rPr>
          <w:rFonts w:cs="Guttman Drogolin" w:hint="cs"/>
          <w:rtl/>
          <w:lang w:bidi="he-IL"/>
        </w:rPr>
        <w:lastRenderedPageBreak/>
        <w:t xml:space="preserve">או"ד שהוא בכלל דינא דנ"ט בר נ"ט לכתחילה. ויש להוסיף שלכאורה יש ביניהם נפק"מ, שלכאורה אם הטעם להחמיר משום נ"ט בר נ"ט לכתחילה, חזינן שדינא דנ"ט בר נ"ט לכתחילה אינו אך ורק כדי לאוכלם בכותח אלא גם כדי לאוכלם בטעם של כותח שבכלי (שבזה הרי הרא"ש חילק ביניהם בדינא דנצלו, דנצלו אסור בכותח אבל מ"מ אין לאסור בהדחת קערות כיון שאינו אלא בכלי שיש בה טעם חלב). אבל אם הטעם משום שמחמירים לכתחילה בדינא דהדחת קערות, י"ל דהיינו מטעמו של הר"ן שהטעמים מתערבים בלי אמצעות המים, אבל </w:t>
      </w:r>
      <w:r w:rsidR="005B5E03" w:rsidRPr="00882F11">
        <w:rPr>
          <w:rFonts w:cs="Guttman Drogolin" w:hint="cs"/>
          <w:rtl/>
          <w:lang w:bidi="he-IL"/>
        </w:rPr>
        <w:t>לענין הדין של נ"ט בר נ"ט י"ל שמותר אפילו לכתחילה, ונפק"מ שמותר לצלות דדגים בקערה ע"מ להניחם בכלי של המין השני.</w:t>
      </w:r>
    </w:p>
    <w:p w:rsidR="00A3604C" w:rsidRPr="00882F11" w:rsidRDefault="005B5E03" w:rsidP="00A3604C">
      <w:pPr>
        <w:tabs>
          <w:tab w:val="right" w:pos="7497"/>
        </w:tabs>
        <w:bidi/>
        <w:jc w:val="both"/>
        <w:rPr>
          <w:rFonts w:cs="Guttman Drogolin"/>
          <w:rtl/>
          <w:lang w:bidi="he-IL"/>
        </w:rPr>
      </w:pPr>
      <w:r w:rsidRPr="00882F11">
        <w:rPr>
          <w:rFonts w:cs="Guttman Drogolin" w:hint="cs"/>
          <w:rtl/>
          <w:lang w:bidi="he-IL"/>
        </w:rPr>
        <w:t xml:space="preserve">והרמ"א החמיר לאסור בהדחת קערות אפילו בדיעבד. </w:t>
      </w:r>
      <w:r w:rsidR="00C67A89" w:rsidRPr="00882F11">
        <w:rPr>
          <w:rFonts w:cs="Guttman Drogolin" w:hint="cs"/>
          <w:rtl/>
          <w:lang w:bidi="he-IL"/>
        </w:rPr>
        <w:t>ובדין הדחת קערות נאמרו בתוס' ב' טעמים לאסור, א' משום חשש נגיעה, וא' משום בהטעמים מתערבים במים. ויל"ע אם הרמ"א החמיר את ב' הטעמים או"ד רק א'. והנה הרמ"א בסי' צ"ד סע' ה' כתב "קדירה</w:t>
      </w:r>
      <w:r w:rsidR="00C67A89" w:rsidRPr="00882F11">
        <w:rPr>
          <w:rFonts w:cs="Guttman Drogolin"/>
          <w:rtl/>
          <w:lang w:bidi="he-IL"/>
        </w:rPr>
        <w:t xml:space="preserve"> </w:t>
      </w:r>
      <w:r w:rsidR="00C67A89" w:rsidRPr="00882F11">
        <w:rPr>
          <w:rFonts w:cs="Guttman Drogolin" w:hint="cs"/>
          <w:rtl/>
          <w:lang w:bidi="he-IL"/>
        </w:rPr>
        <w:t>שבשלו</w:t>
      </w:r>
      <w:r w:rsidR="00C67A89" w:rsidRPr="00882F11">
        <w:rPr>
          <w:rFonts w:cs="Guttman Drogolin"/>
          <w:rtl/>
          <w:lang w:bidi="he-IL"/>
        </w:rPr>
        <w:t xml:space="preserve"> </w:t>
      </w:r>
      <w:r w:rsidR="00C67A89" w:rsidRPr="00882F11">
        <w:rPr>
          <w:rFonts w:cs="Guttman Drogolin" w:hint="cs"/>
          <w:rtl/>
          <w:lang w:bidi="he-IL"/>
        </w:rPr>
        <w:t>בה</w:t>
      </w:r>
      <w:r w:rsidR="00C67A89" w:rsidRPr="00882F11">
        <w:rPr>
          <w:rFonts w:cs="Guttman Drogolin"/>
          <w:rtl/>
          <w:lang w:bidi="he-IL"/>
        </w:rPr>
        <w:t xml:space="preserve"> </w:t>
      </w:r>
      <w:r w:rsidR="00C67A89" w:rsidRPr="00882F11">
        <w:rPr>
          <w:rFonts w:cs="Guttman Drogolin" w:hint="cs"/>
          <w:rtl/>
          <w:lang w:bidi="he-IL"/>
        </w:rPr>
        <w:t>ירקות</w:t>
      </w:r>
      <w:r w:rsidR="00C67A89" w:rsidRPr="00882F11">
        <w:rPr>
          <w:rFonts w:cs="Guttman Drogolin"/>
          <w:rtl/>
          <w:lang w:bidi="he-IL"/>
        </w:rPr>
        <w:t xml:space="preserve"> </w:t>
      </w:r>
      <w:r w:rsidR="00C67A89" w:rsidRPr="00882F11">
        <w:rPr>
          <w:rFonts w:cs="Guttman Drogolin" w:hint="cs"/>
          <w:rtl/>
          <w:lang w:bidi="he-IL"/>
        </w:rPr>
        <w:t>או</w:t>
      </w:r>
      <w:r w:rsidR="00C67A89" w:rsidRPr="00882F11">
        <w:rPr>
          <w:rFonts w:cs="Guttman Drogolin"/>
          <w:rtl/>
          <w:lang w:bidi="he-IL"/>
        </w:rPr>
        <w:t xml:space="preserve"> </w:t>
      </w:r>
      <w:r w:rsidR="00C67A89" w:rsidRPr="00882F11">
        <w:rPr>
          <w:rFonts w:cs="Guttman Drogolin" w:hint="cs"/>
          <w:rtl/>
          <w:lang w:bidi="he-IL"/>
        </w:rPr>
        <w:t>מים</w:t>
      </w:r>
      <w:r w:rsidR="00C67A89" w:rsidRPr="00882F11">
        <w:rPr>
          <w:rFonts w:cs="Guttman Drogolin"/>
          <w:rtl/>
          <w:lang w:bidi="he-IL"/>
        </w:rPr>
        <w:t xml:space="preserve"> </w:t>
      </w:r>
      <w:r w:rsidR="00C67A89" w:rsidRPr="00882F11">
        <w:rPr>
          <w:rFonts w:cs="Guttman Drogolin" w:hint="cs"/>
          <w:rtl/>
          <w:lang w:bidi="he-IL"/>
        </w:rPr>
        <w:t>ותחבו</w:t>
      </w:r>
      <w:r w:rsidR="00C67A89" w:rsidRPr="00882F11">
        <w:rPr>
          <w:rFonts w:cs="Guttman Drogolin"/>
          <w:rtl/>
          <w:lang w:bidi="he-IL"/>
        </w:rPr>
        <w:t xml:space="preserve"> </w:t>
      </w:r>
      <w:r w:rsidR="00C67A89" w:rsidRPr="00882F11">
        <w:rPr>
          <w:rFonts w:cs="Guttman Drogolin" w:hint="cs"/>
          <w:rtl/>
          <w:lang w:bidi="he-IL"/>
        </w:rPr>
        <w:t>בה</w:t>
      </w:r>
      <w:r w:rsidR="00C67A89" w:rsidRPr="00882F11">
        <w:rPr>
          <w:rFonts w:cs="Guttman Drogolin"/>
          <w:rtl/>
          <w:lang w:bidi="he-IL"/>
        </w:rPr>
        <w:t xml:space="preserve"> </w:t>
      </w:r>
      <w:r w:rsidR="00C67A89" w:rsidRPr="00882F11">
        <w:rPr>
          <w:rFonts w:cs="Guttman Drogolin" w:hint="cs"/>
          <w:rtl/>
          <w:lang w:bidi="he-IL"/>
        </w:rPr>
        <w:t>כף</w:t>
      </w:r>
      <w:r w:rsidR="00C67A89" w:rsidRPr="00882F11">
        <w:rPr>
          <w:rFonts w:cs="Guttman Drogolin"/>
          <w:rtl/>
          <w:lang w:bidi="he-IL"/>
        </w:rPr>
        <w:t xml:space="preserve"> </w:t>
      </w:r>
      <w:r w:rsidR="00C67A89" w:rsidRPr="00882F11">
        <w:rPr>
          <w:rFonts w:cs="Guttman Drogolin" w:hint="cs"/>
          <w:rtl/>
          <w:lang w:bidi="he-IL"/>
        </w:rPr>
        <w:t>בן</w:t>
      </w:r>
      <w:r w:rsidR="00C67A89" w:rsidRPr="00882F11">
        <w:rPr>
          <w:rFonts w:cs="Guttman Drogolin"/>
          <w:rtl/>
          <w:lang w:bidi="he-IL"/>
        </w:rPr>
        <w:t xml:space="preserve"> </w:t>
      </w:r>
      <w:r w:rsidR="00C67A89" w:rsidRPr="00882F11">
        <w:rPr>
          <w:rFonts w:cs="Guttman Drogolin" w:hint="cs"/>
          <w:rtl/>
          <w:lang w:bidi="he-IL"/>
        </w:rPr>
        <w:t>יומו</w:t>
      </w:r>
      <w:r w:rsidR="00C67A89" w:rsidRPr="00882F11">
        <w:rPr>
          <w:rFonts w:cs="Guttman Drogolin"/>
          <w:rtl/>
          <w:lang w:bidi="he-IL"/>
        </w:rPr>
        <w:t xml:space="preserve"> </w:t>
      </w:r>
      <w:r w:rsidR="00C67A89" w:rsidRPr="00882F11">
        <w:rPr>
          <w:rFonts w:cs="Guttman Drogolin" w:hint="cs"/>
          <w:rtl/>
          <w:lang w:bidi="he-IL"/>
        </w:rPr>
        <w:t>והקדירה</w:t>
      </w:r>
      <w:r w:rsidR="00C67A89" w:rsidRPr="00882F11">
        <w:rPr>
          <w:rFonts w:cs="Guttman Drogolin"/>
          <w:rtl/>
          <w:lang w:bidi="he-IL"/>
        </w:rPr>
        <w:t xml:space="preserve"> </w:t>
      </w:r>
      <w:r w:rsidR="00C67A89" w:rsidRPr="00882F11">
        <w:rPr>
          <w:rFonts w:cs="Guttman Drogolin" w:hint="cs"/>
          <w:rtl/>
          <w:lang w:bidi="he-IL"/>
        </w:rPr>
        <w:t>אינה</w:t>
      </w:r>
      <w:r w:rsidR="00C67A89" w:rsidRPr="00882F11">
        <w:rPr>
          <w:rFonts w:cs="Guttman Drogolin"/>
          <w:rtl/>
          <w:lang w:bidi="he-IL"/>
        </w:rPr>
        <w:t xml:space="preserve"> </w:t>
      </w:r>
      <w:r w:rsidR="00C67A89" w:rsidRPr="00882F11">
        <w:rPr>
          <w:rFonts w:cs="Guttman Drogolin" w:hint="cs"/>
          <w:rtl/>
          <w:lang w:bidi="he-IL"/>
        </w:rPr>
        <w:t>בת</w:t>
      </w:r>
      <w:r w:rsidR="00C67A89" w:rsidRPr="00882F11">
        <w:rPr>
          <w:rFonts w:cs="Guttman Drogolin"/>
          <w:rtl/>
          <w:lang w:bidi="he-IL"/>
        </w:rPr>
        <w:t xml:space="preserve"> </w:t>
      </w:r>
      <w:r w:rsidR="00C67A89" w:rsidRPr="00882F11">
        <w:rPr>
          <w:rFonts w:cs="Guttman Drogolin" w:hint="cs"/>
          <w:rtl/>
          <w:lang w:bidi="he-IL"/>
        </w:rPr>
        <w:t>יומא</w:t>
      </w:r>
      <w:r w:rsidR="00C67A89" w:rsidRPr="00882F11">
        <w:rPr>
          <w:rFonts w:cs="Guttman Drogolin"/>
          <w:rtl/>
          <w:lang w:bidi="he-IL"/>
        </w:rPr>
        <w:t xml:space="preserve"> </w:t>
      </w:r>
      <w:r w:rsidR="00C67A89" w:rsidRPr="00882F11">
        <w:rPr>
          <w:rFonts w:cs="Guttman Drogolin" w:hint="cs"/>
          <w:rtl/>
          <w:lang w:bidi="he-IL"/>
        </w:rPr>
        <w:t>או</w:t>
      </w:r>
      <w:r w:rsidR="00C67A89" w:rsidRPr="00882F11">
        <w:rPr>
          <w:rFonts w:cs="Guttman Drogolin"/>
          <w:rtl/>
          <w:lang w:bidi="he-IL"/>
        </w:rPr>
        <w:t xml:space="preserve"> </w:t>
      </w:r>
      <w:r w:rsidR="00C67A89" w:rsidRPr="00882F11">
        <w:rPr>
          <w:rFonts w:cs="Guttman Drogolin" w:hint="cs"/>
          <w:rtl/>
          <w:lang w:bidi="he-IL"/>
        </w:rPr>
        <w:t>להפך</w:t>
      </w:r>
      <w:r w:rsidR="00C67A89" w:rsidRPr="00882F11">
        <w:rPr>
          <w:rFonts w:cs="Guttman Drogolin"/>
          <w:rtl/>
          <w:lang w:bidi="he-IL"/>
        </w:rPr>
        <w:t xml:space="preserve"> </w:t>
      </w:r>
      <w:r w:rsidR="00C67A89" w:rsidRPr="00882F11">
        <w:rPr>
          <w:rFonts w:cs="Guttman Drogolin" w:hint="cs"/>
          <w:rtl/>
          <w:lang w:bidi="he-IL"/>
        </w:rPr>
        <w:t>או</w:t>
      </w:r>
      <w:r w:rsidR="00C67A89" w:rsidRPr="00882F11">
        <w:rPr>
          <w:rFonts w:cs="Guttman Drogolin"/>
          <w:rtl/>
          <w:lang w:bidi="he-IL"/>
        </w:rPr>
        <w:t xml:space="preserve"> </w:t>
      </w:r>
      <w:r w:rsidR="00C67A89" w:rsidRPr="00882F11">
        <w:rPr>
          <w:rFonts w:cs="Guttman Drogolin" w:hint="cs"/>
          <w:rtl/>
          <w:lang w:bidi="he-IL"/>
        </w:rPr>
        <w:t>שיש</w:t>
      </w:r>
      <w:r w:rsidR="00C67A89" w:rsidRPr="00882F11">
        <w:rPr>
          <w:rFonts w:cs="Guttman Drogolin"/>
          <w:rtl/>
          <w:lang w:bidi="he-IL"/>
        </w:rPr>
        <w:t xml:space="preserve"> </w:t>
      </w:r>
      <w:r w:rsidR="00C67A89" w:rsidRPr="00882F11">
        <w:rPr>
          <w:rFonts w:cs="Guttman Drogolin" w:hint="cs"/>
          <w:rtl/>
          <w:lang w:bidi="he-IL"/>
        </w:rPr>
        <w:t>במאכל</w:t>
      </w:r>
      <w:r w:rsidR="00C67A89" w:rsidRPr="00882F11">
        <w:rPr>
          <w:rFonts w:cs="Guttman Drogolin"/>
          <w:rtl/>
          <w:lang w:bidi="he-IL"/>
        </w:rPr>
        <w:t xml:space="preserve"> </w:t>
      </w:r>
      <w:r w:rsidR="00C67A89" w:rsidRPr="00882F11">
        <w:rPr>
          <w:rFonts w:cs="Guttman Drogolin" w:hint="cs"/>
          <w:rtl/>
          <w:lang w:bidi="he-IL"/>
        </w:rPr>
        <w:t>ששים</w:t>
      </w:r>
      <w:r w:rsidR="00C67A89" w:rsidRPr="00882F11">
        <w:rPr>
          <w:rFonts w:cs="Guttman Drogolin"/>
          <w:rtl/>
          <w:lang w:bidi="he-IL"/>
        </w:rPr>
        <w:t xml:space="preserve"> </w:t>
      </w:r>
      <w:r w:rsidR="00C67A89" w:rsidRPr="00882F11">
        <w:rPr>
          <w:rFonts w:cs="Guttman Drogolin" w:hint="cs"/>
          <w:rtl/>
          <w:lang w:bidi="he-IL"/>
        </w:rPr>
        <w:t>הכל</w:t>
      </w:r>
      <w:r w:rsidR="00C67A89" w:rsidRPr="00882F11">
        <w:rPr>
          <w:rFonts w:cs="Guttman Drogolin"/>
          <w:rtl/>
          <w:lang w:bidi="he-IL"/>
        </w:rPr>
        <w:t xml:space="preserve"> </w:t>
      </w:r>
      <w:r w:rsidR="00C67A89" w:rsidRPr="00882F11">
        <w:rPr>
          <w:rFonts w:cs="Guttman Drogolin" w:hint="cs"/>
          <w:rtl/>
          <w:lang w:bidi="he-IL"/>
        </w:rPr>
        <w:t>שרי. ומשמע דהא דיש במאכל ס' מיירי אפילו שניהם בני יומן. והעיר שם הט"ז בס"ק ז' שלכאורה לפי טעמם של התוס' בהדחת קערות לאסור משום חשש נגיעה, למה לא יאסר</w:t>
      </w:r>
      <w:r w:rsidR="00A3604C" w:rsidRPr="00882F11">
        <w:rPr>
          <w:rFonts w:cs="Guttman Drogolin" w:hint="cs"/>
          <w:rtl/>
          <w:lang w:bidi="he-IL"/>
        </w:rPr>
        <w:t>. ע"כ סבר הט"ז דלא קיי"ל להחמיר כטעם זה. אמנם על מש"כ הרמ"א בסע' ב' "אם</w:t>
      </w:r>
      <w:r w:rsidR="00A3604C" w:rsidRPr="00882F11">
        <w:rPr>
          <w:rFonts w:cs="Guttman Drogolin"/>
          <w:rtl/>
          <w:lang w:bidi="he-IL"/>
        </w:rPr>
        <w:t xml:space="preserve"> </w:t>
      </w:r>
      <w:r w:rsidR="00A3604C" w:rsidRPr="00882F11">
        <w:rPr>
          <w:rFonts w:cs="Guttman Drogolin" w:hint="cs"/>
          <w:rtl/>
          <w:lang w:bidi="he-IL"/>
        </w:rPr>
        <w:t>יש</w:t>
      </w:r>
      <w:r w:rsidR="00A3604C" w:rsidRPr="00882F11">
        <w:rPr>
          <w:rFonts w:cs="Guttman Drogolin"/>
          <w:rtl/>
          <w:lang w:bidi="he-IL"/>
        </w:rPr>
        <w:t xml:space="preserve"> </w:t>
      </w:r>
      <w:r w:rsidR="00A3604C" w:rsidRPr="00882F11">
        <w:rPr>
          <w:rFonts w:cs="Guttman Drogolin" w:hint="cs"/>
          <w:rtl/>
          <w:lang w:bidi="he-IL"/>
        </w:rPr>
        <w:t>ס</w:t>
      </w:r>
      <w:r w:rsidR="00A3604C" w:rsidRPr="00882F11">
        <w:rPr>
          <w:rFonts w:cs="Guttman Drogolin"/>
          <w:rtl/>
          <w:lang w:bidi="he-IL"/>
        </w:rPr>
        <w:t xml:space="preserve">' </w:t>
      </w:r>
      <w:r w:rsidR="00A3604C" w:rsidRPr="00882F11">
        <w:rPr>
          <w:rFonts w:cs="Guttman Drogolin" w:hint="cs"/>
          <w:rtl/>
          <w:lang w:bidi="he-IL"/>
        </w:rPr>
        <w:t>[בתבשיל של מין א'] לבטל</w:t>
      </w:r>
      <w:r w:rsidR="00A3604C" w:rsidRPr="00882F11">
        <w:rPr>
          <w:rFonts w:cs="Guttman Drogolin"/>
          <w:rtl/>
          <w:lang w:bidi="he-IL"/>
        </w:rPr>
        <w:t xml:space="preserve"> </w:t>
      </w:r>
      <w:r w:rsidR="00A3604C" w:rsidRPr="00882F11">
        <w:rPr>
          <w:rFonts w:cs="Guttman Drogolin" w:hint="cs"/>
          <w:rtl/>
          <w:lang w:bidi="he-IL"/>
        </w:rPr>
        <w:t>הכף</w:t>
      </w:r>
      <w:r w:rsidR="00A3604C" w:rsidRPr="00882F11">
        <w:rPr>
          <w:rFonts w:cs="Guttman Drogolin"/>
          <w:rtl/>
          <w:lang w:bidi="he-IL"/>
        </w:rPr>
        <w:t xml:space="preserve"> </w:t>
      </w:r>
      <w:r w:rsidR="00A3604C" w:rsidRPr="00882F11">
        <w:rPr>
          <w:rFonts w:cs="Guttman Drogolin" w:hint="cs"/>
          <w:rtl/>
          <w:lang w:bidi="he-IL"/>
        </w:rPr>
        <w:t>[של המין בהשני] הקדירה</w:t>
      </w:r>
      <w:r w:rsidR="00A3604C" w:rsidRPr="00882F11">
        <w:rPr>
          <w:rFonts w:cs="Guttman Drogolin"/>
          <w:rtl/>
          <w:lang w:bidi="he-IL"/>
        </w:rPr>
        <w:t xml:space="preserve"> </w:t>
      </w:r>
      <w:r w:rsidR="00A3604C" w:rsidRPr="00882F11">
        <w:rPr>
          <w:rFonts w:cs="Guttman Drogolin" w:hint="cs"/>
          <w:rtl/>
          <w:lang w:bidi="he-IL"/>
        </w:rPr>
        <w:t>והתבשיל</w:t>
      </w:r>
      <w:r w:rsidR="00A3604C" w:rsidRPr="00882F11">
        <w:rPr>
          <w:rFonts w:cs="Guttman Drogolin"/>
          <w:rtl/>
          <w:lang w:bidi="he-IL"/>
        </w:rPr>
        <w:t xml:space="preserve"> </w:t>
      </w:r>
      <w:r w:rsidR="00A3604C" w:rsidRPr="00882F11">
        <w:rPr>
          <w:rFonts w:cs="Guttman Drogolin" w:hint="cs"/>
          <w:rtl/>
          <w:lang w:bidi="he-IL"/>
        </w:rPr>
        <w:t>מותרים</w:t>
      </w:r>
      <w:r w:rsidR="00A3604C" w:rsidRPr="00882F11">
        <w:rPr>
          <w:rFonts w:cs="Guttman Drogolin"/>
          <w:rtl/>
          <w:lang w:bidi="he-IL"/>
        </w:rPr>
        <w:t xml:space="preserve"> </w:t>
      </w:r>
      <w:r w:rsidR="00A3604C" w:rsidRPr="00882F11">
        <w:rPr>
          <w:rFonts w:cs="Guttman Drogolin" w:hint="cs"/>
          <w:rtl/>
          <w:lang w:bidi="he-IL"/>
        </w:rPr>
        <w:t>אבל</w:t>
      </w:r>
      <w:r w:rsidR="00A3604C" w:rsidRPr="00882F11">
        <w:rPr>
          <w:rFonts w:cs="Guttman Drogolin"/>
          <w:rtl/>
          <w:lang w:bidi="he-IL"/>
        </w:rPr>
        <w:t xml:space="preserve"> </w:t>
      </w:r>
      <w:r w:rsidR="00A3604C" w:rsidRPr="00882F11">
        <w:rPr>
          <w:rFonts w:cs="Guttman Drogolin" w:hint="cs"/>
          <w:rtl/>
          <w:lang w:bidi="he-IL"/>
        </w:rPr>
        <w:t>הכף</w:t>
      </w:r>
      <w:r w:rsidR="00A3604C" w:rsidRPr="00882F11">
        <w:rPr>
          <w:rFonts w:cs="Guttman Drogolin"/>
          <w:rtl/>
          <w:lang w:bidi="he-IL"/>
        </w:rPr>
        <w:t xml:space="preserve"> </w:t>
      </w:r>
      <w:r w:rsidR="00A3604C" w:rsidRPr="00882F11">
        <w:rPr>
          <w:rFonts w:cs="Guttman Drogolin" w:hint="cs"/>
          <w:rtl/>
          <w:lang w:bidi="he-IL"/>
        </w:rPr>
        <w:t>אסור"</w:t>
      </w:r>
      <w:r w:rsidR="00A3604C" w:rsidRPr="00882F11">
        <w:rPr>
          <w:rFonts w:cs="Guttman Drogolin"/>
          <w:rtl/>
          <w:lang w:bidi="he-IL"/>
        </w:rPr>
        <w:t xml:space="preserve"> </w:t>
      </w:r>
      <w:r w:rsidR="00A3604C" w:rsidRPr="00882F11">
        <w:rPr>
          <w:rFonts w:cs="Guttman Drogolin" w:hint="cs"/>
          <w:rtl/>
          <w:lang w:bidi="he-IL"/>
        </w:rPr>
        <w:t>כתב הש"ך בס"ק ח' שלפי שיטת הרמ"א כך הדין אפילו לא היתה התבשיל אלא ירקות, וכשיטתו בהדחת קערות. והעיר שם רע"א שלכאורה זהו דלא כמש"כ הרמ"א עצמו בסע' ה' וכמש"נ. ונשאר בצ"ע.</w:t>
      </w:r>
    </w:p>
    <w:p w:rsidR="00E510CC" w:rsidRPr="00882F11" w:rsidRDefault="00A3604C" w:rsidP="00A3604C">
      <w:pPr>
        <w:tabs>
          <w:tab w:val="right" w:pos="7497"/>
        </w:tabs>
        <w:bidi/>
        <w:jc w:val="both"/>
        <w:rPr>
          <w:rFonts w:cs="Guttman Drogolin"/>
          <w:rtl/>
          <w:lang w:bidi="he-IL"/>
        </w:rPr>
      </w:pPr>
      <w:r w:rsidRPr="00882F11">
        <w:rPr>
          <w:rFonts w:cs="Guttman Drogolin" w:hint="cs"/>
          <w:rtl/>
          <w:lang w:bidi="he-IL"/>
        </w:rPr>
        <w:t xml:space="preserve">ויעוי"ש בשפ"ד שהביא מעוד כמה אחרונים שתמהו בזה על הש"ך, וכתב ליישב או שהרמ"א בסע' ה' מיירי בספק נגע, אבל בודאי נגע יש להחמיר, או"ד שהרמ"א בסע' ה' מיירי בכה"ג בדידעינן שלא נגע, אבל אם יש אפילו ספק מותר. </w:t>
      </w:r>
      <w:r w:rsidRPr="00882F11">
        <w:rPr>
          <w:rFonts w:cs="Guttman Drogolin" w:hint="cs"/>
          <w:rtl/>
          <w:lang w:bidi="he-IL"/>
        </w:rPr>
        <w:lastRenderedPageBreak/>
        <w:t xml:space="preserve">ועכ"פ חזינן לדעתי' דסבר </w:t>
      </w:r>
      <w:r w:rsidR="00E510CC" w:rsidRPr="00882F11">
        <w:rPr>
          <w:rFonts w:cs="Guttman Drogolin" w:hint="cs"/>
          <w:rtl/>
          <w:lang w:bidi="he-IL"/>
        </w:rPr>
        <w:t>שאם עכ"פ ידעינן שנגע מחמירים גם הטעם הטעם של התוס' של נגיעת הקערות א' לשני.</w:t>
      </w:r>
    </w:p>
    <w:p w:rsidR="00E510CC" w:rsidRPr="00882F11" w:rsidRDefault="00E510CC" w:rsidP="0078079C">
      <w:pPr>
        <w:pStyle w:val="Heading1"/>
        <w:bidi/>
        <w:spacing w:before="0" w:line="360" w:lineRule="auto"/>
        <w:jc w:val="center"/>
        <w:rPr>
          <w:rFonts w:cs="Guttman Drogolin"/>
          <w:color w:val="auto"/>
          <w:sz w:val="24"/>
          <w:szCs w:val="24"/>
          <w:u w:val="single"/>
          <w:rtl/>
          <w:lang w:bidi="he-IL"/>
        </w:rPr>
      </w:pPr>
      <w:bookmarkStart w:id="275" w:name="_Toc496175527"/>
      <w:r w:rsidRPr="00882F11">
        <w:rPr>
          <w:rFonts w:cs="Guttman Drogolin" w:hint="cs"/>
          <w:color w:val="auto"/>
          <w:sz w:val="24"/>
          <w:szCs w:val="24"/>
          <w:u w:val="single"/>
          <w:rtl/>
          <w:lang w:bidi="he-IL"/>
        </w:rPr>
        <w:t>הדחת קערות כשא' מהם אינו בן יומו</w:t>
      </w:r>
      <w:bookmarkEnd w:id="275"/>
    </w:p>
    <w:p w:rsidR="00141502" w:rsidRPr="00882F11" w:rsidRDefault="005472CF" w:rsidP="00141502">
      <w:pPr>
        <w:tabs>
          <w:tab w:val="right" w:pos="7497"/>
        </w:tabs>
        <w:bidi/>
        <w:jc w:val="both"/>
        <w:rPr>
          <w:rFonts w:cs="Guttman Drogolin"/>
          <w:rtl/>
          <w:lang w:bidi="he-IL"/>
        </w:rPr>
      </w:pPr>
      <w:r>
        <w:rPr>
          <w:rFonts w:cs="Guttman Drogolin"/>
          <w:rtl/>
          <w:lang w:bidi="he-IL"/>
        </w:rPr>
        <w:fldChar w:fldCharType="begin"/>
      </w:r>
      <w:r>
        <w:instrText xml:space="preserve"> XE "</w:instrText>
      </w:r>
      <w:r w:rsidRPr="00E319D7">
        <w:rPr>
          <w:rFonts w:hint="cs"/>
          <w:rtl/>
          <w:lang w:bidi="he-IL"/>
        </w:rPr>
        <w:instrText>נ</w:instrText>
      </w:r>
      <w:r>
        <w:rPr>
          <w:rFonts w:eastAsiaTheme="minorEastAsia"/>
          <w:lang w:bidi="he-IL"/>
        </w:rPr>
        <w:instrText>\</w:instrText>
      </w:r>
      <w:r w:rsidRPr="00E319D7">
        <w:rPr>
          <w:rFonts w:hint="cs"/>
          <w:rtl/>
          <w:lang w:bidi="he-IL"/>
        </w:rPr>
        <w:instrText>"ט בר נ</w:instrText>
      </w:r>
      <w:r>
        <w:rPr>
          <w:rFonts w:eastAsiaTheme="minorEastAsia"/>
          <w:lang w:bidi="he-IL"/>
        </w:rPr>
        <w:instrText>\</w:instrText>
      </w:r>
      <w:r w:rsidRPr="00E319D7">
        <w:rPr>
          <w:rFonts w:hint="cs"/>
          <w:rtl/>
          <w:lang w:bidi="he-IL"/>
        </w:rPr>
        <w:instrText>"ט</w:instrText>
      </w:r>
      <w:r w:rsidRPr="00E319D7">
        <w:rPr>
          <w:rtl/>
        </w:rPr>
        <w:instrText>:</w:instrText>
      </w:r>
      <w:r w:rsidRPr="00E319D7">
        <w:rPr>
          <w:rFonts w:hint="cs"/>
          <w:rtl/>
          <w:lang w:bidi="he-IL"/>
        </w:rPr>
        <w:instrText>הדחת קערות - וא' מן הקערות אינו בן יומו</w:instrText>
      </w:r>
      <w:r>
        <w:instrText xml:space="preserve">" </w:instrText>
      </w:r>
      <w:r>
        <w:rPr>
          <w:rFonts w:cs="Guttman Drogolin"/>
          <w:rtl/>
          <w:lang w:bidi="he-IL"/>
        </w:rPr>
        <w:fldChar w:fldCharType="end"/>
      </w:r>
      <w:r w:rsidR="00141502" w:rsidRPr="00882F11">
        <w:rPr>
          <w:rFonts w:cs="Guttman Drogolin" w:hint="cs"/>
          <w:rtl/>
          <w:lang w:bidi="he-IL"/>
        </w:rPr>
        <w:t>הרמ"א בסי' צ"ה סע' ג' ממשיך וכותב דהא דאסרינן בהדחת קערות הנ"מ כששניהם בני יומן, אבל</w:t>
      </w:r>
      <w:r w:rsidR="00141502" w:rsidRPr="00882F11">
        <w:rPr>
          <w:rFonts w:cs="Guttman Drogolin"/>
          <w:rtl/>
          <w:lang w:bidi="he-IL"/>
        </w:rPr>
        <w:t xml:space="preserve"> </w:t>
      </w:r>
      <w:r w:rsidR="00141502" w:rsidRPr="00882F11">
        <w:rPr>
          <w:rFonts w:cs="Guttman Drogolin" w:hint="cs"/>
          <w:rtl/>
          <w:lang w:bidi="he-IL"/>
        </w:rPr>
        <w:t>אם</w:t>
      </w:r>
      <w:r w:rsidR="00141502" w:rsidRPr="00882F11">
        <w:rPr>
          <w:rFonts w:cs="Guttman Drogolin"/>
          <w:rtl/>
          <w:lang w:bidi="he-IL"/>
        </w:rPr>
        <w:t xml:space="preserve"> </w:t>
      </w:r>
      <w:r w:rsidR="00141502" w:rsidRPr="00882F11">
        <w:rPr>
          <w:rFonts w:cs="Guttman Drogolin" w:hint="cs"/>
          <w:rtl/>
          <w:lang w:bidi="he-IL"/>
        </w:rPr>
        <w:t>אחד</w:t>
      </w:r>
      <w:r w:rsidR="00141502" w:rsidRPr="00882F11">
        <w:rPr>
          <w:rFonts w:cs="Guttman Drogolin"/>
          <w:rtl/>
          <w:lang w:bidi="he-IL"/>
        </w:rPr>
        <w:t xml:space="preserve"> </w:t>
      </w:r>
      <w:r w:rsidR="00141502" w:rsidRPr="00882F11">
        <w:rPr>
          <w:rFonts w:cs="Guttman Drogolin" w:hint="cs"/>
          <w:rtl/>
          <w:lang w:bidi="he-IL"/>
        </w:rPr>
        <w:t>מן</w:t>
      </w:r>
      <w:r w:rsidR="00141502" w:rsidRPr="00882F11">
        <w:rPr>
          <w:rFonts w:cs="Guttman Drogolin"/>
          <w:rtl/>
          <w:lang w:bidi="he-IL"/>
        </w:rPr>
        <w:t xml:space="preserve"> </w:t>
      </w:r>
      <w:r w:rsidR="00141502" w:rsidRPr="00882F11">
        <w:rPr>
          <w:rFonts w:cs="Guttman Drogolin" w:hint="cs"/>
          <w:rtl/>
          <w:lang w:bidi="he-IL"/>
        </w:rPr>
        <w:t>הכלים</w:t>
      </w:r>
      <w:r w:rsidR="00141502" w:rsidRPr="00882F11">
        <w:rPr>
          <w:rFonts w:cs="Guttman Drogolin"/>
          <w:rtl/>
          <w:lang w:bidi="he-IL"/>
        </w:rPr>
        <w:t xml:space="preserve"> </w:t>
      </w:r>
      <w:r w:rsidR="00141502" w:rsidRPr="00882F11">
        <w:rPr>
          <w:rFonts w:cs="Guttman Drogolin" w:hint="cs"/>
          <w:rtl/>
          <w:lang w:bidi="he-IL"/>
        </w:rPr>
        <w:t>אינן</w:t>
      </w:r>
      <w:r w:rsidR="00141502" w:rsidRPr="00882F11">
        <w:rPr>
          <w:rFonts w:cs="Guttman Drogolin"/>
          <w:rtl/>
          <w:lang w:bidi="he-IL"/>
        </w:rPr>
        <w:t xml:space="preserve"> </w:t>
      </w:r>
      <w:r w:rsidR="00141502" w:rsidRPr="00882F11">
        <w:rPr>
          <w:rFonts w:cs="Guttman Drogolin" w:hint="cs"/>
          <w:rtl/>
          <w:lang w:bidi="he-IL"/>
        </w:rPr>
        <w:t>בני</w:t>
      </w:r>
      <w:r w:rsidR="00141502" w:rsidRPr="00882F11">
        <w:rPr>
          <w:rFonts w:cs="Guttman Drogolin"/>
          <w:rtl/>
          <w:lang w:bidi="he-IL"/>
        </w:rPr>
        <w:t xml:space="preserve"> </w:t>
      </w:r>
      <w:r w:rsidR="00141502" w:rsidRPr="00882F11">
        <w:rPr>
          <w:rFonts w:cs="Guttman Drogolin" w:hint="cs"/>
          <w:rtl/>
          <w:lang w:bidi="he-IL"/>
        </w:rPr>
        <w:t>יומן</w:t>
      </w:r>
      <w:r w:rsidR="00141502" w:rsidRPr="00882F11">
        <w:rPr>
          <w:rFonts w:cs="Guttman Drogolin"/>
          <w:rtl/>
          <w:lang w:bidi="he-IL"/>
        </w:rPr>
        <w:t xml:space="preserve"> </w:t>
      </w:r>
      <w:r w:rsidR="00141502" w:rsidRPr="00882F11">
        <w:rPr>
          <w:rFonts w:cs="Guttman Drogolin" w:hint="cs"/>
          <w:rtl/>
          <w:lang w:bidi="he-IL"/>
        </w:rPr>
        <w:t>מבליעת</w:t>
      </w:r>
      <w:r w:rsidR="00141502" w:rsidRPr="00882F11">
        <w:rPr>
          <w:rFonts w:cs="Guttman Drogolin"/>
          <w:rtl/>
          <w:lang w:bidi="he-IL"/>
        </w:rPr>
        <w:t xml:space="preserve"> </w:t>
      </w:r>
      <w:r w:rsidR="00141502" w:rsidRPr="00882F11">
        <w:rPr>
          <w:rFonts w:cs="Guttman Drogolin" w:hint="cs"/>
          <w:rtl/>
          <w:lang w:bidi="he-IL"/>
        </w:rPr>
        <w:t>כלי</w:t>
      </w:r>
      <w:r w:rsidR="00141502" w:rsidRPr="00882F11">
        <w:rPr>
          <w:rFonts w:cs="Guttman Drogolin"/>
          <w:rtl/>
          <w:lang w:bidi="he-IL"/>
        </w:rPr>
        <w:t xml:space="preserve"> </w:t>
      </w:r>
      <w:r w:rsidR="00141502" w:rsidRPr="00882F11">
        <w:rPr>
          <w:rFonts w:cs="Guttman Drogolin" w:hint="cs"/>
          <w:rtl/>
          <w:lang w:bidi="he-IL"/>
        </w:rPr>
        <w:t>ראשון</w:t>
      </w:r>
      <w:r w:rsidR="00141502" w:rsidRPr="00882F11">
        <w:rPr>
          <w:rFonts w:cs="Guttman Drogolin"/>
          <w:rtl/>
          <w:lang w:bidi="he-IL"/>
        </w:rPr>
        <w:t xml:space="preserve"> </w:t>
      </w:r>
      <w:r w:rsidR="00141502" w:rsidRPr="00882F11">
        <w:rPr>
          <w:rFonts w:cs="Guttman Drogolin" w:hint="cs"/>
          <w:rtl/>
          <w:lang w:bidi="he-IL"/>
        </w:rPr>
        <w:t>אז</w:t>
      </w:r>
      <w:r w:rsidR="00141502" w:rsidRPr="00882F11">
        <w:rPr>
          <w:rFonts w:cs="Guttman Drogolin"/>
          <w:rtl/>
          <w:lang w:bidi="he-IL"/>
        </w:rPr>
        <w:t xml:space="preserve"> </w:t>
      </w:r>
      <w:r w:rsidR="00141502" w:rsidRPr="00882F11">
        <w:rPr>
          <w:rFonts w:cs="Guttman Drogolin" w:hint="cs"/>
          <w:rtl/>
          <w:lang w:bidi="he-IL"/>
        </w:rPr>
        <w:t>כל</w:t>
      </w:r>
      <w:r w:rsidR="00141502" w:rsidRPr="00882F11">
        <w:rPr>
          <w:rFonts w:cs="Guttman Drogolin"/>
          <w:rtl/>
          <w:lang w:bidi="he-IL"/>
        </w:rPr>
        <w:t xml:space="preserve"> </w:t>
      </w:r>
      <w:r w:rsidR="00141502" w:rsidRPr="00882F11">
        <w:rPr>
          <w:rFonts w:cs="Guttman Drogolin" w:hint="cs"/>
          <w:rtl/>
          <w:lang w:bidi="he-IL"/>
        </w:rPr>
        <w:t>הכלים</w:t>
      </w:r>
      <w:r w:rsidR="00141502" w:rsidRPr="00882F11">
        <w:rPr>
          <w:rFonts w:cs="Guttman Drogolin"/>
          <w:rtl/>
          <w:lang w:bidi="he-IL"/>
        </w:rPr>
        <w:t xml:space="preserve"> </w:t>
      </w:r>
      <w:r w:rsidR="00141502" w:rsidRPr="00882F11">
        <w:rPr>
          <w:rFonts w:cs="Guttman Drogolin" w:hint="cs"/>
          <w:rtl/>
          <w:lang w:bidi="he-IL"/>
        </w:rPr>
        <w:t>מותרים. וע"ש בט"ז ס"ק ט' שהכוונה שב' הכלים מותרים. ור"ל לא מיבעי הכלי שהוא בן יומו שאינו נאסר מן הכלי שאינו בן יומו, דהא הכלי שאינו בן יומו נטל"פ ואינו יכול לאסור. אלא אפילו הכלי שאינו בן יומו אינו נאסר מן הכלי שהוא בן יומ</w:t>
      </w:r>
      <w:r w:rsidR="00846A50" w:rsidRPr="00882F11">
        <w:rPr>
          <w:rFonts w:cs="Guttman Drogolin" w:hint="cs"/>
          <w:rtl/>
          <w:lang w:bidi="he-IL"/>
        </w:rPr>
        <w:t>ו</w:t>
      </w:r>
      <w:r w:rsidR="00141502" w:rsidRPr="00882F11">
        <w:rPr>
          <w:rFonts w:cs="Guttman Drogolin" w:hint="cs"/>
          <w:rtl/>
          <w:lang w:bidi="he-IL"/>
        </w:rPr>
        <w:t xml:space="preserve">, והטעם משום דהוי נ"ט בר נ"ט והכל היתר. </w:t>
      </w:r>
    </w:p>
    <w:p w:rsidR="000C66B6" w:rsidRPr="00882F11" w:rsidRDefault="00141502" w:rsidP="00846A50">
      <w:pPr>
        <w:tabs>
          <w:tab w:val="right" w:pos="7497"/>
        </w:tabs>
        <w:bidi/>
        <w:jc w:val="both"/>
        <w:rPr>
          <w:rFonts w:cs="Guttman Drogolin"/>
          <w:rtl/>
          <w:lang w:bidi="he-IL"/>
        </w:rPr>
      </w:pPr>
      <w:r w:rsidRPr="00882F11">
        <w:rPr>
          <w:rFonts w:cs="Guttman Drogolin" w:hint="cs"/>
          <w:rtl/>
          <w:lang w:bidi="he-IL"/>
        </w:rPr>
        <w:t xml:space="preserve">והעיר הט"ז </w:t>
      </w:r>
      <w:r w:rsidR="00846A50" w:rsidRPr="00882F11">
        <w:rPr>
          <w:rFonts w:cs="Guttman Drogolin" w:hint="cs"/>
          <w:rtl/>
          <w:lang w:bidi="he-IL"/>
        </w:rPr>
        <w:t>שלכאורה הרמ"א כאן סותר את דברי עצמו שסי' צ"ד סע' ה', ששם כתב הרמ"א "קדירה</w:t>
      </w:r>
      <w:r w:rsidR="00846A50" w:rsidRPr="00882F11">
        <w:rPr>
          <w:rFonts w:cs="Guttman Drogolin"/>
          <w:rtl/>
          <w:lang w:bidi="he-IL"/>
        </w:rPr>
        <w:t xml:space="preserve"> </w:t>
      </w:r>
      <w:r w:rsidR="00846A50" w:rsidRPr="00882F11">
        <w:rPr>
          <w:rFonts w:cs="Guttman Drogolin" w:hint="cs"/>
          <w:rtl/>
          <w:lang w:bidi="he-IL"/>
        </w:rPr>
        <w:t>שבשלו</w:t>
      </w:r>
      <w:r w:rsidR="00846A50" w:rsidRPr="00882F11">
        <w:rPr>
          <w:rFonts w:cs="Guttman Drogolin"/>
          <w:rtl/>
          <w:lang w:bidi="he-IL"/>
        </w:rPr>
        <w:t xml:space="preserve"> </w:t>
      </w:r>
      <w:r w:rsidR="00846A50" w:rsidRPr="00882F11">
        <w:rPr>
          <w:rFonts w:cs="Guttman Drogolin" w:hint="cs"/>
          <w:rtl/>
          <w:lang w:bidi="he-IL"/>
        </w:rPr>
        <w:t>בה</w:t>
      </w:r>
      <w:r w:rsidR="00846A50" w:rsidRPr="00882F11">
        <w:rPr>
          <w:rFonts w:cs="Guttman Drogolin"/>
          <w:rtl/>
          <w:lang w:bidi="he-IL"/>
        </w:rPr>
        <w:t xml:space="preserve"> </w:t>
      </w:r>
      <w:r w:rsidR="00846A50" w:rsidRPr="00882F11">
        <w:rPr>
          <w:rFonts w:cs="Guttman Drogolin" w:hint="cs"/>
          <w:rtl/>
          <w:lang w:bidi="he-IL"/>
        </w:rPr>
        <w:t>ירקות</w:t>
      </w:r>
      <w:r w:rsidR="00846A50" w:rsidRPr="00882F11">
        <w:rPr>
          <w:rFonts w:cs="Guttman Drogolin"/>
          <w:rtl/>
          <w:lang w:bidi="he-IL"/>
        </w:rPr>
        <w:t xml:space="preserve"> </w:t>
      </w:r>
      <w:r w:rsidR="00846A50" w:rsidRPr="00882F11">
        <w:rPr>
          <w:rFonts w:cs="Guttman Drogolin" w:hint="cs"/>
          <w:rtl/>
          <w:lang w:bidi="he-IL"/>
        </w:rPr>
        <w:t>או</w:t>
      </w:r>
      <w:r w:rsidR="00846A50" w:rsidRPr="00882F11">
        <w:rPr>
          <w:rFonts w:cs="Guttman Drogolin"/>
          <w:rtl/>
          <w:lang w:bidi="he-IL"/>
        </w:rPr>
        <w:t xml:space="preserve"> </w:t>
      </w:r>
      <w:r w:rsidR="00846A50" w:rsidRPr="00882F11">
        <w:rPr>
          <w:rFonts w:cs="Guttman Drogolin" w:hint="cs"/>
          <w:rtl/>
          <w:lang w:bidi="he-IL"/>
        </w:rPr>
        <w:t>מים</w:t>
      </w:r>
      <w:r w:rsidR="00846A50" w:rsidRPr="00882F11">
        <w:rPr>
          <w:rFonts w:cs="Guttman Drogolin"/>
          <w:rtl/>
          <w:lang w:bidi="he-IL"/>
        </w:rPr>
        <w:t xml:space="preserve"> </w:t>
      </w:r>
      <w:r w:rsidR="00846A50" w:rsidRPr="00882F11">
        <w:rPr>
          <w:rFonts w:cs="Guttman Drogolin" w:hint="cs"/>
          <w:rtl/>
          <w:lang w:bidi="he-IL"/>
        </w:rPr>
        <w:t>ותחבו</w:t>
      </w:r>
      <w:r w:rsidR="00846A50" w:rsidRPr="00882F11">
        <w:rPr>
          <w:rFonts w:cs="Guttman Drogolin"/>
          <w:rtl/>
          <w:lang w:bidi="he-IL"/>
        </w:rPr>
        <w:t xml:space="preserve"> </w:t>
      </w:r>
      <w:r w:rsidR="00846A50" w:rsidRPr="00882F11">
        <w:rPr>
          <w:rFonts w:cs="Guttman Drogolin" w:hint="cs"/>
          <w:rtl/>
          <w:lang w:bidi="he-IL"/>
        </w:rPr>
        <w:t>בה</w:t>
      </w:r>
      <w:r w:rsidR="00846A50" w:rsidRPr="00882F11">
        <w:rPr>
          <w:rFonts w:cs="Guttman Drogolin"/>
          <w:rtl/>
          <w:lang w:bidi="he-IL"/>
        </w:rPr>
        <w:t xml:space="preserve"> </w:t>
      </w:r>
      <w:r w:rsidR="00846A50" w:rsidRPr="00882F11">
        <w:rPr>
          <w:rFonts w:cs="Guttman Drogolin" w:hint="cs"/>
          <w:rtl/>
          <w:lang w:bidi="he-IL"/>
        </w:rPr>
        <w:t>כף</w:t>
      </w:r>
      <w:r w:rsidR="00846A50" w:rsidRPr="00882F11">
        <w:rPr>
          <w:rFonts w:cs="Guttman Drogolin"/>
          <w:rtl/>
          <w:lang w:bidi="he-IL"/>
        </w:rPr>
        <w:t xml:space="preserve"> </w:t>
      </w:r>
      <w:r w:rsidR="00846A50" w:rsidRPr="00882F11">
        <w:rPr>
          <w:rFonts w:cs="Guttman Drogolin" w:hint="cs"/>
          <w:rtl/>
          <w:lang w:bidi="he-IL"/>
        </w:rPr>
        <w:t>בן</w:t>
      </w:r>
      <w:r w:rsidR="00846A50" w:rsidRPr="00882F11">
        <w:rPr>
          <w:rFonts w:cs="Guttman Drogolin"/>
          <w:rtl/>
          <w:lang w:bidi="he-IL"/>
        </w:rPr>
        <w:t xml:space="preserve"> </w:t>
      </w:r>
      <w:r w:rsidR="00846A50" w:rsidRPr="00882F11">
        <w:rPr>
          <w:rFonts w:cs="Guttman Drogolin" w:hint="cs"/>
          <w:rtl/>
          <w:lang w:bidi="he-IL"/>
        </w:rPr>
        <w:t>יומו</w:t>
      </w:r>
      <w:r w:rsidR="00846A50" w:rsidRPr="00882F11">
        <w:rPr>
          <w:rFonts w:cs="Guttman Drogolin"/>
          <w:rtl/>
          <w:lang w:bidi="he-IL"/>
        </w:rPr>
        <w:t xml:space="preserve"> </w:t>
      </w:r>
      <w:r w:rsidR="00846A50" w:rsidRPr="00882F11">
        <w:rPr>
          <w:rFonts w:cs="Guttman Drogolin" w:hint="cs"/>
          <w:rtl/>
          <w:lang w:bidi="he-IL"/>
        </w:rPr>
        <w:t>והקדירה</w:t>
      </w:r>
      <w:r w:rsidR="00846A50" w:rsidRPr="00882F11">
        <w:rPr>
          <w:rFonts w:cs="Guttman Drogolin"/>
          <w:rtl/>
          <w:lang w:bidi="he-IL"/>
        </w:rPr>
        <w:t xml:space="preserve"> </w:t>
      </w:r>
      <w:r w:rsidR="00846A50" w:rsidRPr="00882F11">
        <w:rPr>
          <w:rFonts w:cs="Guttman Drogolin" w:hint="cs"/>
          <w:rtl/>
          <w:lang w:bidi="he-IL"/>
        </w:rPr>
        <w:t>אינה</w:t>
      </w:r>
      <w:r w:rsidR="00846A50" w:rsidRPr="00882F11">
        <w:rPr>
          <w:rFonts w:cs="Guttman Drogolin"/>
          <w:rtl/>
          <w:lang w:bidi="he-IL"/>
        </w:rPr>
        <w:t xml:space="preserve"> </w:t>
      </w:r>
      <w:r w:rsidR="00846A50" w:rsidRPr="00882F11">
        <w:rPr>
          <w:rFonts w:cs="Guttman Drogolin" w:hint="cs"/>
          <w:rtl/>
          <w:lang w:bidi="he-IL"/>
        </w:rPr>
        <w:t>בת</w:t>
      </w:r>
      <w:r w:rsidR="00846A50" w:rsidRPr="00882F11">
        <w:rPr>
          <w:rFonts w:cs="Guttman Drogolin"/>
          <w:rtl/>
          <w:lang w:bidi="he-IL"/>
        </w:rPr>
        <w:t xml:space="preserve"> </w:t>
      </w:r>
      <w:r w:rsidR="00846A50" w:rsidRPr="00882F11">
        <w:rPr>
          <w:rFonts w:cs="Guttman Drogolin" w:hint="cs"/>
          <w:rtl/>
          <w:lang w:bidi="he-IL"/>
        </w:rPr>
        <w:t>יומא</w:t>
      </w:r>
      <w:r w:rsidR="00846A50" w:rsidRPr="00882F11">
        <w:rPr>
          <w:rFonts w:cs="Guttman Drogolin"/>
          <w:rtl/>
          <w:lang w:bidi="he-IL"/>
        </w:rPr>
        <w:t xml:space="preserve"> </w:t>
      </w:r>
      <w:r w:rsidR="00846A50" w:rsidRPr="00882F11">
        <w:rPr>
          <w:rFonts w:cs="Guttman Drogolin" w:hint="cs"/>
          <w:rtl/>
          <w:lang w:bidi="he-IL"/>
        </w:rPr>
        <w:t>או</w:t>
      </w:r>
      <w:r w:rsidR="00846A50" w:rsidRPr="00882F11">
        <w:rPr>
          <w:rFonts w:cs="Guttman Drogolin"/>
          <w:rtl/>
          <w:lang w:bidi="he-IL"/>
        </w:rPr>
        <w:t xml:space="preserve"> </w:t>
      </w:r>
      <w:r w:rsidR="00846A50" w:rsidRPr="00882F11">
        <w:rPr>
          <w:rFonts w:cs="Guttman Drogolin" w:hint="cs"/>
          <w:rtl/>
          <w:lang w:bidi="he-IL"/>
        </w:rPr>
        <w:t>להפך</w:t>
      </w:r>
      <w:r w:rsidR="00846A50" w:rsidRPr="00882F11">
        <w:rPr>
          <w:rFonts w:cs="Guttman Drogolin"/>
          <w:rtl/>
          <w:lang w:bidi="he-IL"/>
        </w:rPr>
        <w:t xml:space="preserve"> </w:t>
      </w:r>
      <w:r w:rsidR="00846A50" w:rsidRPr="00882F11">
        <w:rPr>
          <w:rFonts w:cs="Guttman Drogolin" w:hint="cs"/>
          <w:rtl/>
          <w:lang w:bidi="he-IL"/>
        </w:rPr>
        <w:t>וכו' ונוהגין</w:t>
      </w:r>
      <w:r w:rsidR="00846A50" w:rsidRPr="00882F11">
        <w:rPr>
          <w:rFonts w:cs="Guttman Drogolin"/>
          <w:rtl/>
          <w:lang w:bidi="he-IL"/>
        </w:rPr>
        <w:t xml:space="preserve"> </w:t>
      </w:r>
      <w:r w:rsidR="00846A50" w:rsidRPr="00882F11">
        <w:rPr>
          <w:rFonts w:cs="Guttman Drogolin" w:hint="cs"/>
          <w:rtl/>
          <w:lang w:bidi="he-IL"/>
        </w:rPr>
        <w:t>להחמיר</w:t>
      </w:r>
      <w:r w:rsidR="00846A50" w:rsidRPr="00882F11">
        <w:rPr>
          <w:rFonts w:cs="Guttman Drogolin"/>
          <w:rtl/>
          <w:lang w:bidi="he-IL"/>
        </w:rPr>
        <w:t xml:space="preserve"> </w:t>
      </w:r>
      <w:r w:rsidR="00846A50" w:rsidRPr="00882F11">
        <w:rPr>
          <w:rFonts w:cs="Guttman Drogolin" w:hint="cs"/>
          <w:rtl/>
          <w:lang w:bidi="he-IL"/>
        </w:rPr>
        <w:t>וכו'</w:t>
      </w:r>
      <w:r w:rsidR="00846A50" w:rsidRPr="00882F11">
        <w:rPr>
          <w:rFonts w:cs="Guttman Drogolin"/>
          <w:rtl/>
          <w:lang w:bidi="he-IL"/>
        </w:rPr>
        <w:t xml:space="preserve"> </w:t>
      </w:r>
      <w:r w:rsidR="00846A50" w:rsidRPr="00882F11">
        <w:rPr>
          <w:rFonts w:cs="Guttman Drogolin" w:hint="cs"/>
          <w:rtl/>
          <w:lang w:bidi="he-IL"/>
        </w:rPr>
        <w:t>ולאסור</w:t>
      </w:r>
      <w:r w:rsidR="00846A50" w:rsidRPr="00882F11">
        <w:rPr>
          <w:rFonts w:cs="Guttman Drogolin"/>
          <w:rtl/>
          <w:lang w:bidi="he-IL"/>
        </w:rPr>
        <w:t xml:space="preserve"> </w:t>
      </w:r>
      <w:r w:rsidR="00846A50" w:rsidRPr="00882F11">
        <w:rPr>
          <w:rFonts w:cs="Guttman Drogolin" w:hint="cs"/>
          <w:rtl/>
          <w:lang w:bidi="he-IL"/>
        </w:rPr>
        <w:t>הכלי</w:t>
      </w:r>
      <w:r w:rsidR="00846A50" w:rsidRPr="00882F11">
        <w:rPr>
          <w:rFonts w:cs="Guttman Drogolin"/>
          <w:rtl/>
          <w:lang w:bidi="he-IL"/>
        </w:rPr>
        <w:t xml:space="preserve"> </w:t>
      </w:r>
      <w:r w:rsidR="00846A50" w:rsidRPr="00882F11">
        <w:rPr>
          <w:rFonts w:cs="Guttman Drogolin" w:hint="cs"/>
          <w:rtl/>
          <w:lang w:bidi="he-IL"/>
        </w:rPr>
        <w:t>שאינו</w:t>
      </w:r>
      <w:r w:rsidR="00846A50" w:rsidRPr="00882F11">
        <w:rPr>
          <w:rFonts w:cs="Guttman Drogolin"/>
          <w:rtl/>
          <w:lang w:bidi="he-IL"/>
        </w:rPr>
        <w:t xml:space="preserve"> </w:t>
      </w:r>
      <w:r w:rsidR="00846A50" w:rsidRPr="00882F11">
        <w:rPr>
          <w:rFonts w:cs="Guttman Drogolin" w:hint="cs"/>
          <w:rtl/>
          <w:lang w:bidi="he-IL"/>
        </w:rPr>
        <w:t>בן</w:t>
      </w:r>
      <w:r w:rsidR="00846A50" w:rsidRPr="00882F11">
        <w:rPr>
          <w:rFonts w:cs="Guttman Drogolin"/>
          <w:rtl/>
          <w:lang w:bidi="he-IL"/>
        </w:rPr>
        <w:t xml:space="preserve"> </w:t>
      </w:r>
      <w:r w:rsidR="00846A50" w:rsidRPr="00882F11">
        <w:rPr>
          <w:rFonts w:cs="Guttman Drogolin" w:hint="cs"/>
          <w:rtl/>
          <w:lang w:bidi="he-IL"/>
        </w:rPr>
        <w:t xml:space="preserve">יומו". ולכאורה לפי דבריו דהתם הו"ל לאסור גם כאן ע"פ מנהג. ותי' הט"ז שלא נהגו איסור בכלי אלא בכה"ג שמחמירים שיש לתבשיל דינו של הכלי, ומשום שטעמו של המנהג לפי שנראה תרתי דסתרי להחמיר במאכל ולהקל בכלי. אבל בנד"ד שזורקים את המים </w:t>
      </w:r>
      <w:r w:rsidR="000C66B6" w:rsidRPr="00882F11">
        <w:rPr>
          <w:rFonts w:cs="Guttman Drogolin" w:hint="cs"/>
          <w:rtl/>
          <w:lang w:bidi="he-IL"/>
        </w:rPr>
        <w:t>לא שייך טעם זה ולכן אין מנהג לאסור הכלי.</w:t>
      </w:r>
      <w:r w:rsidR="00236D9C" w:rsidRPr="00882F11">
        <w:rPr>
          <w:rFonts w:cs="Guttman Drogolin" w:hint="cs"/>
          <w:rtl/>
          <w:lang w:bidi="he-IL"/>
        </w:rPr>
        <w:t xml:space="preserve"> </w:t>
      </w:r>
      <w:r w:rsidR="000C66B6" w:rsidRPr="00882F11">
        <w:rPr>
          <w:rFonts w:cs="Guttman Drogolin" w:hint="cs"/>
          <w:rtl/>
          <w:lang w:bidi="he-IL"/>
        </w:rPr>
        <w:t xml:space="preserve"> </w:t>
      </w:r>
    </w:p>
    <w:p w:rsidR="001E2837" w:rsidRPr="00882F11" w:rsidRDefault="000C66B6" w:rsidP="00236D9C">
      <w:pPr>
        <w:tabs>
          <w:tab w:val="right" w:pos="7497"/>
        </w:tabs>
        <w:bidi/>
        <w:jc w:val="both"/>
        <w:rPr>
          <w:rFonts w:cs="Guttman Drogolin"/>
          <w:rtl/>
          <w:lang w:bidi="he-IL"/>
        </w:rPr>
      </w:pPr>
      <w:r w:rsidRPr="00882F11">
        <w:rPr>
          <w:rFonts w:cs="Guttman Drogolin" w:hint="cs"/>
          <w:rtl/>
          <w:lang w:bidi="he-IL"/>
        </w:rPr>
        <w:t>והש"ך שם בסי' צ"ד ס"ק י"ח ג"כ העיר בזה, וכן העיר מהא שהקיל הרמ"א בסע' ב' בנצלו לענין לאכלו בכלי של המין השני (וכשיטת הרא"ש הנ"ל). ולענין הקושיא השני' תי' או שהמנהג של הרמ"א בסע' ה' אינו בכל המקומות, או"ד טעם המנהג</w:t>
      </w:r>
      <w:r w:rsidR="00236D9C" w:rsidRPr="00882F11">
        <w:rPr>
          <w:rFonts w:cs="Guttman Drogolin" w:hint="cs"/>
          <w:rtl/>
          <w:lang w:bidi="he-IL"/>
        </w:rPr>
        <w:t xml:space="preserve"> כאן משום דדמי להדחת קערות משא"כ כשלא נתבשלו ביחד (כהא דרמ"א בסע' ב') אין מנהג. ולענין השאלה מסע' ג' כתב שלא נהגו להחמיר אלא כשהוא דרך בישול של מאכלים, משא"כ בסע' ג' דהוא דרך הדחת כלים (ע' פמ"ג שכן פי') לא החמירו כולי האי. ויוצא שגדר החומרא שבסי' צ"ד סע' ה' הוא להחמיר </w:t>
      </w:r>
      <w:r w:rsidR="00186F3E" w:rsidRPr="00882F11">
        <w:rPr>
          <w:rFonts w:cs="Guttman Drogolin" w:hint="cs"/>
          <w:rtl/>
          <w:lang w:bidi="he-IL"/>
        </w:rPr>
        <w:t xml:space="preserve">אפילו כא' מן הכלים אינם בן יומו גזירה אטו שניהם בני </w:t>
      </w:r>
      <w:r w:rsidR="00186F3E" w:rsidRPr="00882F11">
        <w:rPr>
          <w:rFonts w:cs="Guttman Drogolin" w:hint="cs"/>
          <w:rtl/>
          <w:lang w:bidi="he-IL"/>
        </w:rPr>
        <w:lastRenderedPageBreak/>
        <w:t>יומן שאסור לשיטת הרמ"א, ולא נהגו כן אלא בבישול לאכילה (אע"ג שהטעם שייך גם בהדחה).</w:t>
      </w:r>
      <w:r w:rsidR="00236D9C" w:rsidRPr="00882F11">
        <w:rPr>
          <w:rFonts w:cs="Guttman Drogolin" w:hint="cs"/>
          <w:rtl/>
          <w:lang w:bidi="he-IL"/>
        </w:rPr>
        <w:t xml:space="preserve"> </w:t>
      </w:r>
    </w:p>
    <w:p w:rsidR="00186F3E" w:rsidRPr="00882F11" w:rsidRDefault="00186F3E" w:rsidP="0078079C">
      <w:pPr>
        <w:pStyle w:val="Heading1"/>
        <w:bidi/>
        <w:spacing w:before="0" w:line="360" w:lineRule="auto"/>
        <w:jc w:val="center"/>
        <w:rPr>
          <w:rFonts w:cs="Guttman Drogolin"/>
          <w:color w:val="auto"/>
          <w:sz w:val="24"/>
          <w:szCs w:val="24"/>
          <w:u w:val="single"/>
          <w:rtl/>
          <w:lang w:bidi="he-IL"/>
        </w:rPr>
      </w:pPr>
      <w:bookmarkStart w:id="276" w:name="_Toc496175528"/>
      <w:r w:rsidRPr="00882F11">
        <w:rPr>
          <w:rFonts w:cs="Guttman Drogolin" w:hint="cs"/>
          <w:color w:val="auto"/>
          <w:sz w:val="24"/>
          <w:szCs w:val="24"/>
          <w:u w:val="single"/>
          <w:rtl/>
          <w:lang w:bidi="he-IL"/>
        </w:rPr>
        <w:t>עירוי ע"ג כלים של בשר וחלב</w:t>
      </w:r>
      <w:bookmarkEnd w:id="276"/>
    </w:p>
    <w:p w:rsidR="00A40AB9" w:rsidRPr="00882F11" w:rsidRDefault="005472CF" w:rsidP="009626BC">
      <w:pPr>
        <w:tabs>
          <w:tab w:val="right" w:pos="7497"/>
        </w:tabs>
        <w:bidi/>
        <w:jc w:val="both"/>
        <w:rPr>
          <w:rFonts w:cs="Guttman Drogolin"/>
          <w:rtl/>
          <w:lang w:bidi="he-IL"/>
        </w:rPr>
      </w:pPr>
      <w:r>
        <w:rPr>
          <w:rFonts w:cs="Guttman Drogolin"/>
          <w:rtl/>
          <w:lang w:bidi="he-IL"/>
        </w:rPr>
        <w:fldChar w:fldCharType="begin"/>
      </w:r>
      <w:r>
        <w:instrText xml:space="preserve"> XE "</w:instrText>
      </w:r>
      <w:r w:rsidRPr="00C34D25">
        <w:rPr>
          <w:rFonts w:hint="cs"/>
          <w:rtl/>
          <w:lang w:bidi="he-IL"/>
        </w:rPr>
        <w:instrText>עיר</w:instrText>
      </w:r>
      <w:r w:rsidR="009626BC">
        <w:rPr>
          <w:rFonts w:hint="cs"/>
          <w:rtl/>
          <w:lang w:bidi="he-IL"/>
        </w:rPr>
        <w:instrText>ו</w:instrText>
      </w:r>
      <w:r w:rsidRPr="00C34D25">
        <w:rPr>
          <w:rFonts w:hint="cs"/>
          <w:rtl/>
          <w:lang w:bidi="he-IL"/>
        </w:rPr>
        <w:instrText>י</w:instrText>
      </w:r>
      <w:r w:rsidRPr="00C34D25">
        <w:rPr>
          <w:rtl/>
        </w:rPr>
        <w:instrText>:</w:instrText>
      </w:r>
      <w:r w:rsidRPr="00C34D25">
        <w:rPr>
          <w:rFonts w:hint="cs"/>
          <w:rtl/>
          <w:lang w:bidi="he-IL"/>
        </w:rPr>
        <w:instrText>על גבי כלים של בשר וחלב</w:instrText>
      </w:r>
      <w:r>
        <w:instrText xml:space="preserve">" </w:instrText>
      </w:r>
      <w:r>
        <w:rPr>
          <w:rFonts w:cs="Guttman Drogolin"/>
          <w:rtl/>
          <w:lang w:bidi="he-IL"/>
        </w:rPr>
        <w:fldChar w:fldCharType="end"/>
      </w:r>
      <w:r w:rsidR="00186F3E" w:rsidRPr="00882F11">
        <w:rPr>
          <w:rFonts w:cs="Guttman Drogolin" w:hint="cs"/>
          <w:rtl/>
          <w:lang w:bidi="he-IL"/>
        </w:rPr>
        <w:t>כתב הרמ"א בהמשך "ואם</w:t>
      </w:r>
      <w:r w:rsidR="00186F3E" w:rsidRPr="00882F11">
        <w:rPr>
          <w:rFonts w:cs="Guttman Drogolin"/>
          <w:rtl/>
          <w:lang w:bidi="he-IL"/>
        </w:rPr>
        <w:t xml:space="preserve"> </w:t>
      </w:r>
      <w:r w:rsidR="00186F3E" w:rsidRPr="00882F11">
        <w:rPr>
          <w:rFonts w:cs="Guttman Drogolin" w:hint="cs"/>
          <w:rtl/>
          <w:lang w:bidi="he-IL"/>
        </w:rPr>
        <w:t>עירה</w:t>
      </w:r>
      <w:r w:rsidR="00186F3E" w:rsidRPr="00882F11">
        <w:rPr>
          <w:rFonts w:cs="Guttman Drogolin"/>
          <w:rtl/>
          <w:lang w:bidi="he-IL"/>
        </w:rPr>
        <w:t xml:space="preserve"> </w:t>
      </w:r>
      <w:r w:rsidR="00186F3E" w:rsidRPr="00882F11">
        <w:rPr>
          <w:rFonts w:cs="Guttman Drogolin" w:hint="cs"/>
          <w:rtl/>
          <w:lang w:bidi="he-IL"/>
        </w:rPr>
        <w:t>מכלי</w:t>
      </w:r>
      <w:r w:rsidR="00186F3E" w:rsidRPr="00882F11">
        <w:rPr>
          <w:rFonts w:cs="Guttman Drogolin"/>
          <w:rtl/>
          <w:lang w:bidi="he-IL"/>
        </w:rPr>
        <w:t xml:space="preserve"> </w:t>
      </w:r>
      <w:r w:rsidR="00186F3E" w:rsidRPr="00882F11">
        <w:rPr>
          <w:rFonts w:cs="Guttman Drogolin" w:hint="cs"/>
          <w:rtl/>
          <w:lang w:bidi="he-IL"/>
        </w:rPr>
        <w:t>ראשון</w:t>
      </w:r>
      <w:r w:rsidR="00186F3E" w:rsidRPr="00882F11">
        <w:rPr>
          <w:rFonts w:cs="Guttman Drogolin"/>
          <w:rtl/>
          <w:lang w:bidi="he-IL"/>
        </w:rPr>
        <w:t xml:space="preserve"> </w:t>
      </w:r>
      <w:r w:rsidR="00186F3E" w:rsidRPr="00882F11">
        <w:rPr>
          <w:rFonts w:cs="Guttman Drogolin" w:hint="cs"/>
          <w:rtl/>
          <w:lang w:bidi="he-IL"/>
        </w:rPr>
        <w:t>של</w:t>
      </w:r>
      <w:r w:rsidR="00186F3E" w:rsidRPr="00882F11">
        <w:rPr>
          <w:rFonts w:cs="Guttman Drogolin"/>
          <w:rtl/>
          <w:lang w:bidi="he-IL"/>
        </w:rPr>
        <w:t xml:space="preserve"> </w:t>
      </w:r>
      <w:r w:rsidR="00186F3E" w:rsidRPr="00882F11">
        <w:rPr>
          <w:rFonts w:cs="Guttman Drogolin" w:hint="cs"/>
          <w:rtl/>
          <w:lang w:bidi="he-IL"/>
        </w:rPr>
        <w:t>בשר</w:t>
      </w:r>
      <w:r w:rsidR="00186F3E" w:rsidRPr="00882F11">
        <w:rPr>
          <w:rFonts w:cs="Guttman Drogolin"/>
          <w:rtl/>
          <w:lang w:bidi="he-IL"/>
        </w:rPr>
        <w:t xml:space="preserve"> </w:t>
      </w:r>
      <w:r w:rsidR="00186F3E" w:rsidRPr="00882F11">
        <w:rPr>
          <w:rFonts w:cs="Guttman Drogolin" w:hint="cs"/>
          <w:rtl/>
          <w:lang w:bidi="he-IL"/>
        </w:rPr>
        <w:t>על</w:t>
      </w:r>
      <w:r w:rsidR="00186F3E" w:rsidRPr="00882F11">
        <w:rPr>
          <w:rFonts w:cs="Guttman Drogolin"/>
          <w:rtl/>
          <w:lang w:bidi="he-IL"/>
        </w:rPr>
        <w:t xml:space="preserve"> </w:t>
      </w:r>
      <w:r w:rsidR="00186F3E" w:rsidRPr="00882F11">
        <w:rPr>
          <w:rFonts w:cs="Guttman Drogolin" w:hint="cs"/>
          <w:rtl/>
          <w:lang w:bidi="he-IL"/>
        </w:rPr>
        <w:t>כלי</w:t>
      </w:r>
      <w:r w:rsidR="00186F3E" w:rsidRPr="00882F11">
        <w:rPr>
          <w:rFonts w:cs="Guttman Drogolin"/>
          <w:rtl/>
          <w:lang w:bidi="he-IL"/>
        </w:rPr>
        <w:t xml:space="preserve"> </w:t>
      </w:r>
      <w:r w:rsidR="00186F3E" w:rsidRPr="00882F11">
        <w:rPr>
          <w:rFonts w:cs="Guttman Drogolin" w:hint="cs"/>
          <w:rtl/>
          <w:lang w:bidi="he-IL"/>
        </w:rPr>
        <w:t>חלב</w:t>
      </w:r>
      <w:r w:rsidR="00186F3E" w:rsidRPr="00882F11">
        <w:rPr>
          <w:rFonts w:cs="Guttman Drogolin"/>
          <w:rtl/>
          <w:lang w:bidi="he-IL"/>
        </w:rPr>
        <w:t xml:space="preserve"> </w:t>
      </w:r>
      <w:r w:rsidR="00186F3E" w:rsidRPr="00882F11">
        <w:rPr>
          <w:rFonts w:cs="Guttman Drogolin" w:hint="cs"/>
          <w:rtl/>
          <w:lang w:bidi="he-IL"/>
        </w:rPr>
        <w:t>דינו</w:t>
      </w:r>
      <w:r w:rsidR="00186F3E" w:rsidRPr="00882F11">
        <w:rPr>
          <w:rFonts w:cs="Guttman Drogolin"/>
          <w:rtl/>
          <w:lang w:bidi="he-IL"/>
        </w:rPr>
        <w:t xml:space="preserve"> </w:t>
      </w:r>
      <w:r w:rsidR="00186F3E" w:rsidRPr="00882F11">
        <w:rPr>
          <w:rFonts w:cs="Guttman Drogolin" w:hint="cs"/>
          <w:rtl/>
          <w:lang w:bidi="he-IL"/>
        </w:rPr>
        <w:t>ככלי</w:t>
      </w:r>
      <w:r w:rsidR="00186F3E" w:rsidRPr="00882F11">
        <w:rPr>
          <w:rFonts w:cs="Guttman Drogolin"/>
          <w:rtl/>
          <w:lang w:bidi="he-IL"/>
        </w:rPr>
        <w:t xml:space="preserve"> </w:t>
      </w:r>
      <w:r w:rsidR="00186F3E" w:rsidRPr="00882F11">
        <w:rPr>
          <w:rFonts w:cs="Guttman Drogolin" w:hint="cs"/>
          <w:rtl/>
          <w:lang w:bidi="he-IL"/>
        </w:rPr>
        <w:t>ראשון</w:t>
      </w:r>
      <w:r w:rsidR="00186F3E" w:rsidRPr="00882F11">
        <w:rPr>
          <w:rFonts w:cs="Guttman Drogolin"/>
          <w:rtl/>
          <w:lang w:bidi="he-IL"/>
        </w:rPr>
        <w:t xml:space="preserve"> </w:t>
      </w:r>
      <w:r w:rsidR="00186F3E" w:rsidRPr="00882F11">
        <w:rPr>
          <w:rFonts w:cs="Guttman Drogolin" w:hint="cs"/>
          <w:rtl/>
          <w:lang w:bidi="he-IL"/>
        </w:rPr>
        <w:t>ואוסר</w:t>
      </w:r>
      <w:r w:rsidR="00186F3E" w:rsidRPr="00882F11">
        <w:rPr>
          <w:rFonts w:cs="Guttman Drogolin"/>
          <w:rtl/>
          <w:lang w:bidi="he-IL"/>
        </w:rPr>
        <w:t xml:space="preserve"> </w:t>
      </w:r>
      <w:r w:rsidR="00186F3E" w:rsidRPr="00882F11">
        <w:rPr>
          <w:rFonts w:cs="Guttman Drogolin" w:hint="cs"/>
          <w:rtl/>
          <w:lang w:bidi="he-IL"/>
        </w:rPr>
        <w:t>אם</w:t>
      </w:r>
      <w:r w:rsidR="00186F3E" w:rsidRPr="00882F11">
        <w:rPr>
          <w:rFonts w:cs="Guttman Drogolin"/>
          <w:rtl/>
          <w:lang w:bidi="he-IL"/>
        </w:rPr>
        <w:t xml:space="preserve"> </w:t>
      </w:r>
      <w:r w:rsidR="00186F3E" w:rsidRPr="00882F11">
        <w:rPr>
          <w:rFonts w:cs="Guttman Drogolin" w:hint="cs"/>
          <w:rtl/>
          <w:lang w:bidi="he-IL"/>
        </w:rPr>
        <w:t>היה</w:t>
      </w:r>
      <w:r w:rsidR="00186F3E" w:rsidRPr="00882F11">
        <w:rPr>
          <w:rFonts w:cs="Guttman Drogolin"/>
          <w:rtl/>
          <w:lang w:bidi="he-IL"/>
        </w:rPr>
        <w:t xml:space="preserve"> </w:t>
      </w:r>
      <w:r w:rsidR="00186F3E" w:rsidRPr="00882F11">
        <w:rPr>
          <w:rFonts w:cs="Guttman Drogolin" w:hint="cs"/>
          <w:rtl/>
          <w:lang w:bidi="he-IL"/>
        </w:rPr>
        <w:t>בן</w:t>
      </w:r>
      <w:r w:rsidR="00186F3E" w:rsidRPr="00882F11">
        <w:rPr>
          <w:rFonts w:cs="Guttman Drogolin"/>
          <w:rtl/>
          <w:lang w:bidi="he-IL"/>
        </w:rPr>
        <w:t xml:space="preserve"> </w:t>
      </w:r>
      <w:r w:rsidR="00186F3E" w:rsidRPr="00882F11">
        <w:rPr>
          <w:rFonts w:cs="Guttman Drogolin" w:hint="cs"/>
          <w:rtl/>
          <w:lang w:bidi="he-IL"/>
        </w:rPr>
        <w:t>יומו</w:t>
      </w:r>
      <w:r w:rsidR="00186F3E" w:rsidRPr="00882F11">
        <w:rPr>
          <w:rFonts w:cs="Guttman Drogolin"/>
          <w:rtl/>
          <w:lang w:bidi="he-IL"/>
        </w:rPr>
        <w:t xml:space="preserve"> </w:t>
      </w:r>
      <w:r w:rsidR="00186F3E" w:rsidRPr="00882F11">
        <w:rPr>
          <w:rFonts w:cs="Guttman Drogolin" w:hint="cs"/>
          <w:rtl/>
          <w:lang w:bidi="he-IL"/>
        </w:rPr>
        <w:t>אבל</w:t>
      </w:r>
      <w:r w:rsidR="00186F3E" w:rsidRPr="00882F11">
        <w:rPr>
          <w:rFonts w:cs="Guttman Drogolin"/>
          <w:rtl/>
          <w:lang w:bidi="he-IL"/>
        </w:rPr>
        <w:t xml:space="preserve"> </w:t>
      </w:r>
      <w:r w:rsidR="00186F3E" w:rsidRPr="00882F11">
        <w:rPr>
          <w:rFonts w:cs="Guttman Drogolin" w:hint="cs"/>
          <w:rtl/>
          <w:lang w:bidi="he-IL"/>
        </w:rPr>
        <w:t>אם</w:t>
      </w:r>
      <w:r w:rsidR="00186F3E" w:rsidRPr="00882F11">
        <w:rPr>
          <w:rFonts w:cs="Guttman Drogolin"/>
          <w:rtl/>
          <w:lang w:bidi="he-IL"/>
        </w:rPr>
        <w:t xml:space="preserve"> </w:t>
      </w:r>
      <w:r w:rsidR="00186F3E" w:rsidRPr="00882F11">
        <w:rPr>
          <w:rFonts w:cs="Guttman Drogolin" w:hint="cs"/>
          <w:rtl/>
          <w:lang w:bidi="he-IL"/>
        </w:rPr>
        <w:t>עירה</w:t>
      </w:r>
      <w:r w:rsidR="00186F3E" w:rsidRPr="00882F11">
        <w:rPr>
          <w:rFonts w:cs="Guttman Drogolin"/>
          <w:rtl/>
          <w:lang w:bidi="he-IL"/>
        </w:rPr>
        <w:t xml:space="preserve"> </w:t>
      </w:r>
      <w:r w:rsidR="00186F3E" w:rsidRPr="00882F11">
        <w:rPr>
          <w:rFonts w:cs="Guttman Drogolin" w:hint="cs"/>
          <w:rtl/>
          <w:lang w:bidi="he-IL"/>
        </w:rPr>
        <w:t>מים</w:t>
      </w:r>
      <w:r w:rsidR="00186F3E" w:rsidRPr="00882F11">
        <w:rPr>
          <w:rFonts w:cs="Guttman Drogolin"/>
          <w:rtl/>
          <w:lang w:bidi="he-IL"/>
        </w:rPr>
        <w:t xml:space="preserve"> </w:t>
      </w:r>
      <w:r w:rsidR="00186F3E" w:rsidRPr="00882F11">
        <w:rPr>
          <w:rFonts w:cs="Guttman Drogolin" w:hint="cs"/>
          <w:rtl/>
          <w:lang w:bidi="he-IL"/>
        </w:rPr>
        <w:t>רותחים</w:t>
      </w:r>
      <w:r w:rsidR="00186F3E" w:rsidRPr="00882F11">
        <w:rPr>
          <w:rFonts w:cs="Guttman Drogolin"/>
          <w:rtl/>
          <w:lang w:bidi="he-IL"/>
        </w:rPr>
        <w:t xml:space="preserve"> </w:t>
      </w:r>
      <w:r w:rsidR="00186F3E" w:rsidRPr="00882F11">
        <w:rPr>
          <w:rFonts w:cs="Guttman Drogolin" w:hint="cs"/>
          <w:rtl/>
          <w:lang w:bidi="he-IL"/>
        </w:rPr>
        <w:t>שאינן</w:t>
      </w:r>
      <w:r w:rsidR="00186F3E" w:rsidRPr="00882F11">
        <w:rPr>
          <w:rFonts w:cs="Guttman Drogolin"/>
          <w:rtl/>
          <w:lang w:bidi="he-IL"/>
        </w:rPr>
        <w:t xml:space="preserve"> </w:t>
      </w:r>
      <w:r w:rsidR="00186F3E" w:rsidRPr="00882F11">
        <w:rPr>
          <w:rFonts w:cs="Guttman Drogolin" w:hint="cs"/>
          <w:rtl/>
          <w:lang w:bidi="he-IL"/>
        </w:rPr>
        <w:t>של</w:t>
      </w:r>
      <w:r w:rsidR="00186F3E" w:rsidRPr="00882F11">
        <w:rPr>
          <w:rFonts w:cs="Guttman Drogolin"/>
          <w:rtl/>
          <w:lang w:bidi="he-IL"/>
        </w:rPr>
        <w:t xml:space="preserve"> </w:t>
      </w:r>
      <w:r w:rsidR="00186F3E" w:rsidRPr="00882F11">
        <w:rPr>
          <w:rFonts w:cs="Guttman Drogolin" w:hint="cs"/>
          <w:rtl/>
          <w:lang w:bidi="he-IL"/>
        </w:rPr>
        <w:t>בשר</w:t>
      </w:r>
      <w:r w:rsidR="00186F3E" w:rsidRPr="00882F11">
        <w:rPr>
          <w:rFonts w:cs="Guttman Drogolin"/>
          <w:rtl/>
          <w:lang w:bidi="he-IL"/>
        </w:rPr>
        <w:t xml:space="preserve"> </w:t>
      </w:r>
      <w:r w:rsidR="00186F3E" w:rsidRPr="00882F11">
        <w:rPr>
          <w:rFonts w:cs="Guttman Drogolin" w:hint="cs"/>
          <w:rtl/>
          <w:lang w:bidi="he-IL"/>
        </w:rPr>
        <w:t>ולא</w:t>
      </w:r>
      <w:r w:rsidR="00186F3E" w:rsidRPr="00882F11">
        <w:rPr>
          <w:rFonts w:cs="Guttman Drogolin"/>
          <w:rtl/>
          <w:lang w:bidi="he-IL"/>
        </w:rPr>
        <w:t xml:space="preserve"> </w:t>
      </w:r>
      <w:r w:rsidR="00186F3E" w:rsidRPr="00882F11">
        <w:rPr>
          <w:rFonts w:cs="Guttman Drogolin" w:hint="cs"/>
          <w:rtl/>
          <w:lang w:bidi="he-IL"/>
        </w:rPr>
        <w:t>של</w:t>
      </w:r>
      <w:r w:rsidR="00186F3E" w:rsidRPr="00882F11">
        <w:rPr>
          <w:rFonts w:cs="Guttman Drogolin"/>
          <w:rtl/>
          <w:lang w:bidi="he-IL"/>
        </w:rPr>
        <w:t xml:space="preserve"> </w:t>
      </w:r>
      <w:r w:rsidR="00186F3E" w:rsidRPr="00882F11">
        <w:rPr>
          <w:rFonts w:cs="Guttman Drogolin" w:hint="cs"/>
          <w:rtl/>
          <w:lang w:bidi="he-IL"/>
        </w:rPr>
        <w:t>חלב</w:t>
      </w:r>
      <w:r w:rsidR="00186F3E" w:rsidRPr="00882F11">
        <w:rPr>
          <w:rFonts w:cs="Guttman Drogolin"/>
          <w:rtl/>
          <w:lang w:bidi="he-IL"/>
        </w:rPr>
        <w:t xml:space="preserve"> </w:t>
      </w:r>
      <w:r w:rsidR="00186F3E" w:rsidRPr="00882F11">
        <w:rPr>
          <w:rFonts w:cs="Guttman Drogolin" w:hint="cs"/>
          <w:rtl/>
          <w:lang w:bidi="he-IL"/>
        </w:rPr>
        <w:t>על</w:t>
      </w:r>
      <w:r w:rsidR="00186F3E" w:rsidRPr="00882F11">
        <w:rPr>
          <w:rFonts w:cs="Guttman Drogolin"/>
          <w:rtl/>
          <w:lang w:bidi="he-IL"/>
        </w:rPr>
        <w:t xml:space="preserve"> </w:t>
      </w:r>
      <w:r w:rsidR="00186F3E" w:rsidRPr="00882F11">
        <w:rPr>
          <w:rFonts w:cs="Guttman Drogolin" w:hint="cs"/>
          <w:rtl/>
          <w:lang w:bidi="he-IL"/>
        </w:rPr>
        <w:t>כלים</w:t>
      </w:r>
      <w:r w:rsidR="00186F3E" w:rsidRPr="00882F11">
        <w:rPr>
          <w:rFonts w:cs="Guttman Drogolin"/>
          <w:rtl/>
          <w:lang w:bidi="he-IL"/>
        </w:rPr>
        <w:t xml:space="preserve"> </w:t>
      </w:r>
      <w:r w:rsidR="00186F3E" w:rsidRPr="00882F11">
        <w:rPr>
          <w:rFonts w:cs="Guttman Drogolin" w:hint="cs"/>
          <w:rtl/>
          <w:lang w:bidi="he-IL"/>
        </w:rPr>
        <w:t>של</w:t>
      </w:r>
      <w:r w:rsidR="00186F3E" w:rsidRPr="00882F11">
        <w:rPr>
          <w:rFonts w:cs="Guttman Drogolin"/>
          <w:rtl/>
          <w:lang w:bidi="he-IL"/>
        </w:rPr>
        <w:t xml:space="preserve"> </w:t>
      </w:r>
      <w:r w:rsidR="00186F3E" w:rsidRPr="00882F11">
        <w:rPr>
          <w:rFonts w:cs="Guttman Drogolin" w:hint="cs"/>
          <w:rtl/>
          <w:lang w:bidi="he-IL"/>
        </w:rPr>
        <w:t>בשר</w:t>
      </w:r>
      <w:r w:rsidR="00186F3E" w:rsidRPr="00882F11">
        <w:rPr>
          <w:rFonts w:cs="Guttman Drogolin"/>
          <w:rtl/>
          <w:lang w:bidi="he-IL"/>
        </w:rPr>
        <w:t xml:space="preserve"> </w:t>
      </w:r>
      <w:r w:rsidR="00186F3E" w:rsidRPr="00882F11">
        <w:rPr>
          <w:rFonts w:cs="Guttman Drogolin" w:hint="cs"/>
          <w:rtl/>
          <w:lang w:bidi="he-IL"/>
        </w:rPr>
        <w:t>ושל</w:t>
      </w:r>
      <w:r w:rsidR="00186F3E" w:rsidRPr="00882F11">
        <w:rPr>
          <w:rFonts w:cs="Guttman Drogolin"/>
          <w:rtl/>
          <w:lang w:bidi="he-IL"/>
        </w:rPr>
        <w:t xml:space="preserve"> </w:t>
      </w:r>
      <w:r w:rsidR="00186F3E" w:rsidRPr="00882F11">
        <w:rPr>
          <w:rFonts w:cs="Guttman Drogolin" w:hint="cs"/>
          <w:rtl/>
          <w:lang w:bidi="he-IL"/>
        </w:rPr>
        <w:t>חלב</w:t>
      </w:r>
      <w:r w:rsidR="00186F3E" w:rsidRPr="00882F11">
        <w:rPr>
          <w:rFonts w:cs="Guttman Drogolin"/>
          <w:rtl/>
          <w:lang w:bidi="he-IL"/>
        </w:rPr>
        <w:t xml:space="preserve"> </w:t>
      </w:r>
      <w:r w:rsidR="00186F3E" w:rsidRPr="00882F11">
        <w:rPr>
          <w:rFonts w:cs="Guttman Drogolin" w:hint="cs"/>
          <w:rtl/>
          <w:lang w:bidi="he-IL"/>
        </w:rPr>
        <w:t>ביחד</w:t>
      </w:r>
      <w:r w:rsidR="00186F3E" w:rsidRPr="00882F11">
        <w:rPr>
          <w:rFonts w:cs="Guttman Drogolin"/>
          <w:rtl/>
          <w:lang w:bidi="he-IL"/>
        </w:rPr>
        <w:t xml:space="preserve"> </w:t>
      </w:r>
      <w:r w:rsidR="00186F3E" w:rsidRPr="00882F11">
        <w:rPr>
          <w:rFonts w:cs="Guttman Drogolin" w:hint="cs"/>
          <w:rtl/>
          <w:lang w:bidi="he-IL"/>
        </w:rPr>
        <w:t>ואפילו</w:t>
      </w:r>
      <w:r w:rsidR="00186F3E" w:rsidRPr="00882F11">
        <w:rPr>
          <w:rFonts w:cs="Guttman Drogolin"/>
          <w:rtl/>
          <w:lang w:bidi="he-IL"/>
        </w:rPr>
        <w:t xml:space="preserve"> </w:t>
      </w:r>
      <w:r w:rsidR="00186F3E" w:rsidRPr="00882F11">
        <w:rPr>
          <w:rFonts w:cs="Guttman Drogolin" w:hint="cs"/>
          <w:rtl/>
          <w:lang w:bidi="he-IL"/>
        </w:rPr>
        <w:t>שומן</w:t>
      </w:r>
      <w:r w:rsidR="00186F3E" w:rsidRPr="00882F11">
        <w:rPr>
          <w:rFonts w:cs="Guttman Drogolin"/>
          <w:rtl/>
          <w:lang w:bidi="he-IL"/>
        </w:rPr>
        <w:t xml:space="preserve"> </w:t>
      </w:r>
      <w:r w:rsidR="00186F3E" w:rsidRPr="00882F11">
        <w:rPr>
          <w:rFonts w:cs="Guttman Drogolin" w:hint="cs"/>
          <w:rtl/>
          <w:lang w:bidi="he-IL"/>
        </w:rPr>
        <w:t>דבוק</w:t>
      </w:r>
      <w:r w:rsidR="00186F3E" w:rsidRPr="00882F11">
        <w:rPr>
          <w:rFonts w:cs="Guttman Drogolin"/>
          <w:rtl/>
          <w:lang w:bidi="he-IL"/>
        </w:rPr>
        <w:t xml:space="preserve"> </w:t>
      </w:r>
      <w:r w:rsidR="00186F3E" w:rsidRPr="00882F11">
        <w:rPr>
          <w:rFonts w:cs="Guttman Drogolin" w:hint="cs"/>
          <w:rtl/>
          <w:lang w:bidi="he-IL"/>
        </w:rPr>
        <w:t>בהם</w:t>
      </w:r>
      <w:r w:rsidR="00186F3E" w:rsidRPr="00882F11">
        <w:rPr>
          <w:rFonts w:cs="Guttman Drogolin"/>
          <w:rtl/>
          <w:lang w:bidi="he-IL"/>
        </w:rPr>
        <w:t xml:space="preserve"> </w:t>
      </w:r>
      <w:r w:rsidR="00186F3E" w:rsidRPr="00882F11">
        <w:rPr>
          <w:rFonts w:cs="Guttman Drogolin" w:hint="cs"/>
          <w:rtl/>
          <w:lang w:bidi="he-IL"/>
        </w:rPr>
        <w:t>הכל</w:t>
      </w:r>
      <w:r w:rsidR="00186F3E" w:rsidRPr="00882F11">
        <w:rPr>
          <w:rFonts w:cs="Guttman Drogolin"/>
          <w:rtl/>
          <w:lang w:bidi="he-IL"/>
        </w:rPr>
        <w:t xml:space="preserve"> </w:t>
      </w:r>
      <w:r w:rsidR="00186F3E" w:rsidRPr="00882F11">
        <w:rPr>
          <w:rFonts w:cs="Guttman Drogolin" w:hint="cs"/>
          <w:rtl/>
          <w:lang w:bidi="he-IL"/>
        </w:rPr>
        <w:t>שרי</w:t>
      </w:r>
      <w:r w:rsidR="00186F3E" w:rsidRPr="00882F11">
        <w:rPr>
          <w:rFonts w:cs="Guttman Drogolin"/>
          <w:rtl/>
          <w:lang w:bidi="he-IL"/>
        </w:rPr>
        <w:t xml:space="preserve"> </w:t>
      </w:r>
      <w:r w:rsidR="00186F3E" w:rsidRPr="00882F11">
        <w:rPr>
          <w:rFonts w:cs="Guttman Drogolin" w:hint="cs"/>
          <w:rtl/>
          <w:lang w:bidi="he-IL"/>
        </w:rPr>
        <w:t>דאין</w:t>
      </w:r>
      <w:r w:rsidR="00186F3E" w:rsidRPr="00882F11">
        <w:rPr>
          <w:rFonts w:cs="Guttman Drogolin"/>
          <w:rtl/>
          <w:lang w:bidi="he-IL"/>
        </w:rPr>
        <w:t xml:space="preserve"> </w:t>
      </w:r>
      <w:r w:rsidR="00186F3E" w:rsidRPr="00882F11">
        <w:rPr>
          <w:rFonts w:cs="Guttman Drogolin" w:hint="cs"/>
          <w:rtl/>
          <w:lang w:bidi="he-IL"/>
        </w:rPr>
        <w:t>עירוי</w:t>
      </w:r>
      <w:r w:rsidR="00186F3E" w:rsidRPr="00882F11">
        <w:rPr>
          <w:rFonts w:cs="Guttman Drogolin"/>
          <w:rtl/>
          <w:lang w:bidi="he-IL"/>
        </w:rPr>
        <w:t xml:space="preserve"> </w:t>
      </w:r>
      <w:r w:rsidR="00186F3E" w:rsidRPr="00882F11">
        <w:rPr>
          <w:rFonts w:cs="Guttman Drogolin" w:hint="cs"/>
          <w:rtl/>
          <w:lang w:bidi="he-IL"/>
        </w:rPr>
        <w:t>ככלי</w:t>
      </w:r>
      <w:r w:rsidR="00186F3E" w:rsidRPr="00882F11">
        <w:rPr>
          <w:rFonts w:cs="Guttman Drogolin"/>
          <w:rtl/>
          <w:lang w:bidi="he-IL"/>
        </w:rPr>
        <w:t xml:space="preserve"> </w:t>
      </w:r>
      <w:r w:rsidR="00186F3E" w:rsidRPr="00882F11">
        <w:rPr>
          <w:rFonts w:cs="Guttman Drogolin" w:hint="cs"/>
          <w:rtl/>
          <w:lang w:bidi="he-IL"/>
        </w:rPr>
        <w:t>ראשון</w:t>
      </w:r>
      <w:r w:rsidR="00186F3E" w:rsidRPr="00882F11">
        <w:rPr>
          <w:rFonts w:cs="Guttman Drogolin"/>
          <w:rtl/>
          <w:lang w:bidi="he-IL"/>
        </w:rPr>
        <w:t xml:space="preserve"> </w:t>
      </w:r>
      <w:r w:rsidR="00186F3E" w:rsidRPr="00882F11">
        <w:rPr>
          <w:rFonts w:cs="Guttman Drogolin" w:hint="cs"/>
          <w:rtl/>
          <w:lang w:bidi="he-IL"/>
        </w:rPr>
        <w:t>ממש</w:t>
      </w:r>
      <w:r w:rsidR="00186F3E" w:rsidRPr="00882F11">
        <w:rPr>
          <w:rFonts w:cs="Guttman Drogolin"/>
          <w:rtl/>
          <w:lang w:bidi="he-IL"/>
        </w:rPr>
        <w:t xml:space="preserve"> </w:t>
      </w:r>
      <w:r w:rsidR="00186F3E" w:rsidRPr="00882F11">
        <w:rPr>
          <w:rFonts w:cs="Guttman Drogolin" w:hint="cs"/>
          <w:rtl/>
          <w:lang w:bidi="he-IL"/>
        </w:rPr>
        <w:t>שיעשה</w:t>
      </w:r>
      <w:r w:rsidR="00186F3E" w:rsidRPr="00882F11">
        <w:rPr>
          <w:rFonts w:cs="Guttman Drogolin"/>
          <w:rtl/>
          <w:lang w:bidi="he-IL"/>
        </w:rPr>
        <w:t xml:space="preserve"> </w:t>
      </w:r>
      <w:r w:rsidR="00186F3E" w:rsidRPr="00882F11">
        <w:rPr>
          <w:rFonts w:cs="Guttman Drogolin" w:hint="cs"/>
          <w:rtl/>
          <w:lang w:bidi="he-IL"/>
        </w:rPr>
        <w:t>שהכלים</w:t>
      </w:r>
      <w:r w:rsidR="00186F3E" w:rsidRPr="00882F11">
        <w:rPr>
          <w:rFonts w:cs="Guttman Drogolin"/>
          <w:rtl/>
          <w:lang w:bidi="he-IL"/>
        </w:rPr>
        <w:t xml:space="preserve"> </w:t>
      </w:r>
      <w:r w:rsidR="00186F3E" w:rsidRPr="00882F11">
        <w:rPr>
          <w:rFonts w:cs="Guttman Drogolin" w:hint="cs"/>
          <w:rtl/>
          <w:lang w:bidi="he-IL"/>
        </w:rPr>
        <w:t>שמערה</w:t>
      </w:r>
      <w:r w:rsidR="00186F3E" w:rsidRPr="00882F11">
        <w:rPr>
          <w:rFonts w:cs="Guttman Drogolin"/>
          <w:rtl/>
          <w:lang w:bidi="he-IL"/>
        </w:rPr>
        <w:t xml:space="preserve"> </w:t>
      </w:r>
      <w:r w:rsidR="00186F3E" w:rsidRPr="00882F11">
        <w:rPr>
          <w:rFonts w:cs="Guttman Drogolin" w:hint="cs"/>
          <w:rtl/>
          <w:lang w:bidi="he-IL"/>
        </w:rPr>
        <w:t>עליהם</w:t>
      </w:r>
      <w:r w:rsidR="00186F3E" w:rsidRPr="00882F11">
        <w:rPr>
          <w:rFonts w:cs="Guttman Drogolin"/>
          <w:rtl/>
          <w:lang w:bidi="he-IL"/>
        </w:rPr>
        <w:t xml:space="preserve"> </w:t>
      </w:r>
      <w:r w:rsidR="00186F3E" w:rsidRPr="00882F11">
        <w:rPr>
          <w:rFonts w:cs="Guttman Drogolin" w:hint="cs"/>
          <w:rtl/>
          <w:lang w:bidi="he-IL"/>
        </w:rPr>
        <w:t>יבלעו</w:t>
      </w:r>
      <w:r w:rsidR="00186F3E" w:rsidRPr="00882F11">
        <w:rPr>
          <w:rFonts w:cs="Guttman Drogolin"/>
          <w:rtl/>
          <w:lang w:bidi="he-IL"/>
        </w:rPr>
        <w:t xml:space="preserve"> </w:t>
      </w:r>
      <w:r w:rsidR="00186F3E" w:rsidRPr="00882F11">
        <w:rPr>
          <w:rFonts w:cs="Guttman Drogolin" w:hint="cs"/>
          <w:rtl/>
          <w:lang w:bidi="he-IL"/>
        </w:rPr>
        <w:t>זה</w:t>
      </w:r>
      <w:r w:rsidR="00186F3E" w:rsidRPr="00882F11">
        <w:rPr>
          <w:rFonts w:cs="Guttman Drogolin"/>
          <w:rtl/>
          <w:lang w:bidi="he-IL"/>
        </w:rPr>
        <w:t xml:space="preserve"> </w:t>
      </w:r>
      <w:r w:rsidR="00186F3E" w:rsidRPr="00882F11">
        <w:rPr>
          <w:rFonts w:cs="Guttman Drogolin" w:hint="cs"/>
          <w:rtl/>
          <w:lang w:bidi="he-IL"/>
        </w:rPr>
        <w:t xml:space="preserve">מזה". והיינו שבמקרה הראשון כבר הי' טעם בשר בכלי העליון משום בישול דכלי ראשון, ובזה מהני עירוי שיבלע לתוך התחתון. </w:t>
      </w:r>
      <w:r w:rsidR="00A40AB9" w:rsidRPr="00882F11">
        <w:rPr>
          <w:rFonts w:cs="Guttman Drogolin" w:hint="cs"/>
          <w:rtl/>
          <w:lang w:bidi="he-IL"/>
        </w:rPr>
        <w:t>אבל אין לעירוי כח להבליע מתחתון א' לתוך תחתון אחר. והש"ך בס"ק כ' קודם ביאר שגם הרמ"א לא הקיל אלא בכליים שקשים לבלוע, אבל במאכל גם הרמ"א מודה, וכן מ"מ חלק שם הש"ך על הרמ"א וסבר שבאמת יש לו כח להבליע מזה לזה.</w:t>
      </w:r>
    </w:p>
    <w:p w:rsidR="00172A4D" w:rsidRPr="00882F11" w:rsidRDefault="00A40AB9" w:rsidP="00FE771F">
      <w:pPr>
        <w:tabs>
          <w:tab w:val="right" w:pos="7497"/>
        </w:tabs>
        <w:bidi/>
        <w:jc w:val="both"/>
        <w:rPr>
          <w:rFonts w:cs="Guttman Drogolin"/>
          <w:rtl/>
          <w:lang w:bidi="he-IL"/>
        </w:rPr>
      </w:pPr>
      <w:r w:rsidRPr="00882F11">
        <w:rPr>
          <w:rFonts w:cs="Guttman Drogolin" w:hint="cs"/>
          <w:rtl/>
          <w:lang w:bidi="he-IL"/>
        </w:rPr>
        <w:t xml:space="preserve">ונידון זה מאד דומה לכיורים של היום, נפק"מ אם אפשר להשתמש בכיור א' בין לחלב ובין לבשר. והגרמ"פ באג"מ (יו"ד א' סי' מ"ב) האריך לבאר שיטות הרמ"א והש"ך, ויצא לו שהרמ"א סבר שאין לעירוי כח לעשות ב' פעולות, ולכן אם עירה חלב ממש מכלי ראשון ע"ג כלי אחר אפילו צונן יאסר הכלי, וזהו הטעם שהחמיר הרמ"א בסי' צ"ב סע' ז', אבל עירוי של מים בלבד אין לו כח להפליט מזה ולהבליע בזה. ואפילו הש"ך </w:t>
      </w:r>
      <w:r w:rsidR="007825EC" w:rsidRPr="00882F11">
        <w:rPr>
          <w:rFonts w:cs="Guttman Drogolin" w:hint="cs"/>
          <w:rtl/>
          <w:lang w:bidi="he-IL"/>
        </w:rPr>
        <w:t xml:space="preserve">לא אסר אלא במקום שנופל הקילוח, אבל לא בשאר המקומות שמתפשט להם. ולכן הסיק </w:t>
      </w:r>
      <w:r w:rsidR="00FE771F" w:rsidRPr="00882F11">
        <w:rPr>
          <w:rFonts w:cs="Guttman Drogolin" w:hint="cs"/>
          <w:rtl/>
          <w:lang w:bidi="he-IL"/>
        </w:rPr>
        <w:t>שבכיור ('סינק' באנגלית) הסיק שאין נבלע מטעם המאכלים שבה אלא כשהלך הקילוח ישירות על המאכל שבכיור, ומקום זה הוא קטן</w:t>
      </w:r>
      <w:r w:rsidRPr="00882F11">
        <w:rPr>
          <w:rFonts w:cs="Guttman Drogolin" w:hint="cs"/>
          <w:rtl/>
          <w:lang w:bidi="he-IL"/>
        </w:rPr>
        <w:t xml:space="preserve"> </w:t>
      </w:r>
      <w:r w:rsidR="00FE771F" w:rsidRPr="00882F11">
        <w:rPr>
          <w:rFonts w:cs="Guttman Drogolin" w:hint="cs"/>
          <w:rtl/>
          <w:lang w:bidi="he-IL"/>
        </w:rPr>
        <w:t>וכן עצם הדבר הוא דבר רחוק שיהא בעין ממש תחת לקילוח, וכן שבתוך מעל"ע הי' שם חלב. וע"ש עוד מזה. והסיק דאע"ג שיש מקום לבעלי נפש להחמיר בזה, מ"מ מי שאינו רוצה אלא שורת הדין יכול להקל (וע"ש בתחילת דבריו שכתב "אבל באשר שהוא</w:t>
      </w:r>
      <w:r w:rsidR="00FE771F" w:rsidRPr="00882F11">
        <w:rPr>
          <w:rFonts w:cs="Guttman Drogolin"/>
          <w:rtl/>
          <w:lang w:bidi="he-IL"/>
        </w:rPr>
        <w:t xml:space="preserve"> </w:t>
      </w:r>
      <w:r w:rsidR="00FE771F" w:rsidRPr="00882F11">
        <w:rPr>
          <w:rFonts w:cs="Guttman Drogolin" w:hint="cs"/>
          <w:rtl/>
          <w:lang w:bidi="he-IL"/>
        </w:rPr>
        <w:t>טירחא</w:t>
      </w:r>
      <w:r w:rsidR="00FE771F" w:rsidRPr="00882F11">
        <w:rPr>
          <w:rFonts w:cs="Guttman Drogolin"/>
          <w:rtl/>
          <w:lang w:bidi="he-IL"/>
        </w:rPr>
        <w:t xml:space="preserve"> </w:t>
      </w:r>
      <w:r w:rsidR="00FE771F" w:rsidRPr="00882F11">
        <w:rPr>
          <w:rFonts w:cs="Guttman Drogolin" w:hint="cs"/>
          <w:rtl/>
          <w:lang w:bidi="he-IL"/>
        </w:rPr>
        <w:t>גדולה</w:t>
      </w:r>
      <w:r w:rsidR="00FE771F" w:rsidRPr="00882F11">
        <w:rPr>
          <w:rFonts w:cs="Guttman Drogolin"/>
          <w:rtl/>
          <w:lang w:bidi="he-IL"/>
        </w:rPr>
        <w:t xml:space="preserve"> </w:t>
      </w:r>
      <w:r w:rsidR="00FE771F" w:rsidRPr="00882F11">
        <w:rPr>
          <w:rFonts w:cs="Guttman Drogolin" w:hint="cs"/>
          <w:rtl/>
          <w:lang w:bidi="he-IL"/>
        </w:rPr>
        <w:t>והנשים</w:t>
      </w:r>
      <w:r w:rsidR="00FE771F" w:rsidRPr="00882F11">
        <w:rPr>
          <w:rFonts w:cs="Guttman Drogolin"/>
          <w:rtl/>
          <w:lang w:bidi="he-IL"/>
        </w:rPr>
        <w:t xml:space="preserve"> </w:t>
      </w:r>
      <w:r w:rsidR="00FE771F" w:rsidRPr="00882F11">
        <w:rPr>
          <w:rFonts w:cs="Guttman Drogolin" w:hint="cs"/>
          <w:rtl/>
          <w:lang w:bidi="he-IL"/>
        </w:rPr>
        <w:t>העוסקות</w:t>
      </w:r>
      <w:r w:rsidR="00FE771F" w:rsidRPr="00882F11">
        <w:rPr>
          <w:rFonts w:cs="Guttman Drogolin"/>
          <w:rtl/>
          <w:lang w:bidi="he-IL"/>
        </w:rPr>
        <w:t xml:space="preserve"> </w:t>
      </w:r>
      <w:r w:rsidR="00FE771F" w:rsidRPr="00882F11">
        <w:rPr>
          <w:rFonts w:cs="Guttman Drogolin" w:hint="cs"/>
          <w:rtl/>
          <w:lang w:bidi="he-IL"/>
        </w:rPr>
        <w:t>בזה</w:t>
      </w:r>
      <w:r w:rsidR="00FE771F" w:rsidRPr="00882F11">
        <w:rPr>
          <w:rFonts w:cs="Guttman Drogolin"/>
          <w:rtl/>
          <w:lang w:bidi="he-IL"/>
        </w:rPr>
        <w:t xml:space="preserve"> </w:t>
      </w:r>
      <w:r w:rsidR="00FE771F" w:rsidRPr="00882F11">
        <w:rPr>
          <w:rFonts w:cs="Guttman Drogolin" w:hint="cs"/>
          <w:rtl/>
          <w:lang w:bidi="he-IL"/>
        </w:rPr>
        <w:t>יאמרו</w:t>
      </w:r>
      <w:r w:rsidR="00FE771F" w:rsidRPr="00882F11">
        <w:rPr>
          <w:rFonts w:cs="Guttman Drogolin"/>
          <w:rtl/>
          <w:lang w:bidi="he-IL"/>
        </w:rPr>
        <w:t xml:space="preserve"> </w:t>
      </w:r>
      <w:r w:rsidR="00FE771F" w:rsidRPr="00882F11">
        <w:rPr>
          <w:rFonts w:cs="Guttman Drogolin" w:hint="cs"/>
          <w:rtl/>
          <w:lang w:bidi="he-IL"/>
        </w:rPr>
        <w:t>רבי</w:t>
      </w:r>
      <w:r w:rsidR="00FE771F" w:rsidRPr="00882F11">
        <w:rPr>
          <w:rFonts w:cs="Guttman Drogolin"/>
          <w:rtl/>
          <w:lang w:bidi="he-IL"/>
        </w:rPr>
        <w:t xml:space="preserve"> </w:t>
      </w:r>
      <w:r w:rsidR="00FE771F" w:rsidRPr="00882F11">
        <w:rPr>
          <w:rFonts w:cs="Guttman Drogolin" w:hint="cs"/>
          <w:rtl/>
          <w:lang w:bidi="he-IL"/>
        </w:rPr>
        <w:t>כמה</w:t>
      </w:r>
      <w:r w:rsidR="00FE771F" w:rsidRPr="00882F11">
        <w:rPr>
          <w:rFonts w:cs="Guttman Drogolin"/>
          <w:rtl/>
          <w:lang w:bidi="he-IL"/>
        </w:rPr>
        <w:t xml:space="preserve"> </w:t>
      </w:r>
      <w:r w:rsidR="00FE771F" w:rsidRPr="00882F11">
        <w:rPr>
          <w:rFonts w:cs="Guttman Drogolin" w:hint="cs"/>
          <w:rtl/>
          <w:lang w:bidi="he-IL"/>
        </w:rPr>
        <w:t>הארכת</w:t>
      </w:r>
      <w:r w:rsidR="00FE771F" w:rsidRPr="00882F11">
        <w:rPr>
          <w:rFonts w:cs="Guttman Drogolin"/>
          <w:rtl/>
          <w:lang w:bidi="he-IL"/>
        </w:rPr>
        <w:t xml:space="preserve"> </w:t>
      </w:r>
      <w:r w:rsidR="00FE771F" w:rsidRPr="00882F11">
        <w:rPr>
          <w:rFonts w:cs="Guttman Drogolin" w:hint="cs"/>
          <w:rtl/>
          <w:lang w:bidi="he-IL"/>
        </w:rPr>
        <w:t>עלינו</w:t>
      </w:r>
      <w:r w:rsidR="00FE771F" w:rsidRPr="00882F11">
        <w:rPr>
          <w:rFonts w:cs="Guttman Drogolin"/>
          <w:rtl/>
          <w:lang w:bidi="he-IL"/>
        </w:rPr>
        <w:t xml:space="preserve"> </w:t>
      </w:r>
      <w:r w:rsidR="00FE771F" w:rsidRPr="00882F11">
        <w:rPr>
          <w:rFonts w:cs="Guttman Drogolin" w:hint="cs"/>
          <w:rtl/>
          <w:lang w:bidi="he-IL"/>
        </w:rPr>
        <w:t>אבאר</w:t>
      </w:r>
      <w:r w:rsidR="00FE771F" w:rsidRPr="00882F11">
        <w:rPr>
          <w:rFonts w:cs="Guttman Drogolin"/>
          <w:rtl/>
          <w:lang w:bidi="he-IL"/>
        </w:rPr>
        <w:t xml:space="preserve"> </w:t>
      </w:r>
      <w:r w:rsidR="00FE771F" w:rsidRPr="00882F11">
        <w:rPr>
          <w:rFonts w:cs="Guttman Drogolin" w:hint="cs"/>
          <w:rtl/>
          <w:lang w:bidi="he-IL"/>
        </w:rPr>
        <w:t>הענין</w:t>
      </w:r>
      <w:r w:rsidR="00FE771F" w:rsidRPr="00882F11">
        <w:rPr>
          <w:rFonts w:cs="Guttman Drogolin"/>
          <w:rtl/>
          <w:lang w:bidi="he-IL"/>
        </w:rPr>
        <w:t xml:space="preserve"> </w:t>
      </w:r>
      <w:r w:rsidR="00FE771F" w:rsidRPr="00882F11">
        <w:rPr>
          <w:rFonts w:cs="Guttman Drogolin" w:hint="cs"/>
          <w:rtl/>
          <w:lang w:bidi="he-IL"/>
        </w:rPr>
        <w:t>של</w:t>
      </w:r>
      <w:r w:rsidR="00FE771F" w:rsidRPr="00882F11">
        <w:rPr>
          <w:rFonts w:cs="Guttman Drogolin"/>
          <w:rtl/>
          <w:lang w:bidi="he-IL"/>
        </w:rPr>
        <w:t xml:space="preserve"> </w:t>
      </w:r>
      <w:r w:rsidR="00FE771F" w:rsidRPr="00882F11">
        <w:rPr>
          <w:rFonts w:cs="Guttman Drogolin" w:hint="cs"/>
          <w:rtl/>
          <w:lang w:bidi="he-IL"/>
        </w:rPr>
        <w:t>לא</w:t>
      </w:r>
      <w:r w:rsidR="00FE771F" w:rsidRPr="00882F11">
        <w:rPr>
          <w:rFonts w:cs="Guttman Drogolin"/>
          <w:rtl/>
          <w:lang w:bidi="he-IL"/>
        </w:rPr>
        <w:t xml:space="preserve"> </w:t>
      </w:r>
      <w:r w:rsidR="00FE771F" w:rsidRPr="00882F11">
        <w:rPr>
          <w:rFonts w:cs="Guttman Drogolin" w:hint="cs"/>
          <w:rtl/>
          <w:lang w:bidi="he-IL"/>
        </w:rPr>
        <w:t>נפסק</w:t>
      </w:r>
      <w:r w:rsidR="00FE771F" w:rsidRPr="00882F11">
        <w:rPr>
          <w:rFonts w:cs="Guttman Drogolin"/>
          <w:rtl/>
          <w:lang w:bidi="he-IL"/>
        </w:rPr>
        <w:t xml:space="preserve"> </w:t>
      </w:r>
      <w:r w:rsidR="00FE771F" w:rsidRPr="00882F11">
        <w:rPr>
          <w:rFonts w:cs="Guttman Drogolin" w:hint="cs"/>
          <w:rtl/>
          <w:lang w:bidi="he-IL"/>
        </w:rPr>
        <w:t>הקלוח</w:t>
      </w:r>
      <w:r w:rsidR="00FE771F" w:rsidRPr="00882F11">
        <w:rPr>
          <w:rFonts w:cs="Guttman Drogolin"/>
          <w:rtl/>
          <w:lang w:bidi="he-IL"/>
        </w:rPr>
        <w:t xml:space="preserve"> </w:t>
      </w:r>
      <w:r w:rsidR="00FE771F" w:rsidRPr="00882F11">
        <w:rPr>
          <w:rFonts w:cs="Guttman Drogolin" w:hint="cs"/>
          <w:rtl/>
          <w:lang w:bidi="he-IL"/>
        </w:rPr>
        <w:t>לתרץ</w:t>
      </w:r>
      <w:r w:rsidR="00FE771F" w:rsidRPr="00882F11">
        <w:rPr>
          <w:rFonts w:cs="Guttman Drogolin"/>
          <w:rtl/>
          <w:lang w:bidi="he-IL"/>
        </w:rPr>
        <w:t xml:space="preserve"> </w:t>
      </w:r>
      <w:r w:rsidR="00FE771F" w:rsidRPr="00882F11">
        <w:rPr>
          <w:rFonts w:cs="Guttman Drogolin" w:hint="cs"/>
          <w:rtl/>
          <w:lang w:bidi="he-IL"/>
        </w:rPr>
        <w:t>דברי</w:t>
      </w:r>
      <w:r w:rsidR="00FE771F" w:rsidRPr="00882F11">
        <w:rPr>
          <w:rFonts w:cs="Guttman Drogolin"/>
          <w:rtl/>
          <w:lang w:bidi="he-IL"/>
        </w:rPr>
        <w:t xml:space="preserve"> </w:t>
      </w:r>
      <w:r w:rsidR="00FE771F" w:rsidRPr="00882F11">
        <w:rPr>
          <w:rFonts w:cs="Guttman Drogolin" w:hint="cs"/>
          <w:rtl/>
          <w:lang w:bidi="he-IL"/>
        </w:rPr>
        <w:t>רבותינו</w:t>
      </w:r>
      <w:r w:rsidR="00FE771F" w:rsidRPr="00882F11">
        <w:rPr>
          <w:rFonts w:cs="Guttman Drogolin"/>
          <w:rtl/>
          <w:lang w:bidi="he-IL"/>
        </w:rPr>
        <w:t xml:space="preserve"> </w:t>
      </w:r>
      <w:r w:rsidR="00FE771F" w:rsidRPr="00882F11">
        <w:rPr>
          <w:rFonts w:cs="Guttman Drogolin" w:hint="cs"/>
          <w:rtl/>
          <w:lang w:bidi="he-IL"/>
        </w:rPr>
        <w:t>הרמ</w:t>
      </w:r>
      <w:r w:rsidR="00FE771F" w:rsidRPr="00882F11">
        <w:rPr>
          <w:rFonts w:cs="Guttman Drogolin"/>
          <w:rtl/>
          <w:lang w:bidi="he-IL"/>
        </w:rPr>
        <w:t>"</w:t>
      </w:r>
      <w:r w:rsidR="00FE771F" w:rsidRPr="00882F11">
        <w:rPr>
          <w:rFonts w:cs="Guttman Drogolin" w:hint="cs"/>
          <w:rtl/>
          <w:lang w:bidi="he-IL"/>
        </w:rPr>
        <w:t>א</w:t>
      </w:r>
      <w:r w:rsidR="00FE771F" w:rsidRPr="00882F11">
        <w:rPr>
          <w:rFonts w:cs="Guttman Drogolin"/>
          <w:rtl/>
          <w:lang w:bidi="he-IL"/>
        </w:rPr>
        <w:t xml:space="preserve"> </w:t>
      </w:r>
      <w:r w:rsidR="00FE771F" w:rsidRPr="00882F11">
        <w:rPr>
          <w:rFonts w:cs="Guttman Drogolin" w:hint="cs"/>
          <w:rtl/>
          <w:lang w:bidi="he-IL"/>
        </w:rPr>
        <w:t>והש</w:t>
      </w:r>
      <w:r w:rsidR="00FE771F" w:rsidRPr="00882F11">
        <w:rPr>
          <w:rFonts w:cs="Guttman Drogolin"/>
          <w:rtl/>
          <w:lang w:bidi="he-IL"/>
        </w:rPr>
        <w:t>"</w:t>
      </w:r>
      <w:r w:rsidR="00FE771F" w:rsidRPr="00882F11">
        <w:rPr>
          <w:rFonts w:cs="Guttman Drogolin" w:hint="cs"/>
          <w:rtl/>
          <w:lang w:bidi="he-IL"/>
        </w:rPr>
        <w:t>ך</w:t>
      </w:r>
      <w:r w:rsidR="00FE771F" w:rsidRPr="00882F11">
        <w:rPr>
          <w:rFonts w:cs="Guttman Drogolin"/>
          <w:rtl/>
          <w:lang w:bidi="he-IL"/>
        </w:rPr>
        <w:t xml:space="preserve"> </w:t>
      </w:r>
      <w:r w:rsidR="00FE771F" w:rsidRPr="00882F11">
        <w:rPr>
          <w:rFonts w:cs="Guttman Drogolin" w:hint="cs"/>
          <w:rtl/>
          <w:lang w:bidi="he-IL"/>
        </w:rPr>
        <w:t>ויתבאר</w:t>
      </w:r>
      <w:r w:rsidR="00FE771F" w:rsidRPr="00882F11">
        <w:rPr>
          <w:rFonts w:cs="Guttman Drogolin"/>
          <w:rtl/>
          <w:lang w:bidi="he-IL"/>
        </w:rPr>
        <w:t xml:space="preserve"> </w:t>
      </w:r>
      <w:r w:rsidR="00FE771F" w:rsidRPr="00882F11">
        <w:rPr>
          <w:rFonts w:cs="Guttman Drogolin" w:hint="cs"/>
          <w:rtl/>
          <w:lang w:bidi="he-IL"/>
        </w:rPr>
        <w:t>שנשי</w:t>
      </w:r>
      <w:r w:rsidR="00FE771F" w:rsidRPr="00882F11">
        <w:rPr>
          <w:rFonts w:cs="Guttman Drogolin"/>
          <w:rtl/>
          <w:lang w:bidi="he-IL"/>
        </w:rPr>
        <w:t xml:space="preserve"> </w:t>
      </w:r>
      <w:r w:rsidR="00FE771F" w:rsidRPr="00882F11">
        <w:rPr>
          <w:rFonts w:cs="Guttman Drogolin" w:hint="cs"/>
          <w:rtl/>
          <w:lang w:bidi="he-IL"/>
        </w:rPr>
        <w:t>שלנו</w:t>
      </w:r>
      <w:r w:rsidR="00FE771F" w:rsidRPr="00882F11">
        <w:rPr>
          <w:rFonts w:cs="Guttman Drogolin"/>
          <w:rtl/>
          <w:lang w:bidi="he-IL"/>
        </w:rPr>
        <w:t xml:space="preserve"> </w:t>
      </w:r>
      <w:r w:rsidR="00FE771F" w:rsidRPr="00882F11">
        <w:rPr>
          <w:rFonts w:cs="Guttman Drogolin" w:hint="cs"/>
          <w:rtl/>
          <w:lang w:bidi="he-IL"/>
        </w:rPr>
        <w:lastRenderedPageBreak/>
        <w:t>שפיר</w:t>
      </w:r>
      <w:r w:rsidR="00FE771F" w:rsidRPr="00882F11">
        <w:rPr>
          <w:rFonts w:cs="Guttman Drogolin"/>
          <w:rtl/>
          <w:lang w:bidi="he-IL"/>
        </w:rPr>
        <w:t xml:space="preserve"> </w:t>
      </w:r>
      <w:r w:rsidR="00FE771F" w:rsidRPr="00882F11">
        <w:rPr>
          <w:rFonts w:cs="Guttman Drogolin" w:hint="cs"/>
          <w:rtl/>
          <w:lang w:bidi="he-IL"/>
        </w:rPr>
        <w:t xml:space="preserve">עבדי"). ומ"מ במנח"י </w:t>
      </w:r>
      <w:r w:rsidR="00172A4D" w:rsidRPr="00882F11">
        <w:rPr>
          <w:rFonts w:cs="Guttman Drogolin" w:hint="cs"/>
          <w:rtl/>
          <w:lang w:bidi="he-IL"/>
        </w:rPr>
        <w:t>ח"ב סי' ק' החמיר בזה.</w:t>
      </w:r>
    </w:p>
    <w:p w:rsidR="00DD027B" w:rsidRPr="00882F11" w:rsidRDefault="00DD027B" w:rsidP="0078079C">
      <w:pPr>
        <w:pStyle w:val="Heading1"/>
        <w:bidi/>
        <w:spacing w:before="0" w:line="360" w:lineRule="auto"/>
        <w:jc w:val="center"/>
        <w:rPr>
          <w:rFonts w:cs="Guttman Drogolin"/>
          <w:color w:val="auto"/>
          <w:sz w:val="24"/>
          <w:szCs w:val="24"/>
          <w:u w:val="single"/>
          <w:rtl/>
          <w:lang w:bidi="he-IL"/>
        </w:rPr>
      </w:pPr>
      <w:bookmarkStart w:id="277" w:name="_Toc496175529"/>
      <w:r w:rsidRPr="00882F11">
        <w:rPr>
          <w:rFonts w:cs="Guttman Drogolin" w:hint="cs"/>
          <w:color w:val="auto"/>
          <w:sz w:val="24"/>
          <w:szCs w:val="24"/>
          <w:u w:val="single"/>
          <w:rtl/>
          <w:lang w:bidi="he-IL"/>
        </w:rPr>
        <w:t>אם יש אפר בתוך מי ההדחה</w:t>
      </w:r>
      <w:bookmarkEnd w:id="277"/>
    </w:p>
    <w:p w:rsidR="0099654E" w:rsidRPr="00882F11" w:rsidRDefault="005472CF" w:rsidP="00DD027B">
      <w:pPr>
        <w:tabs>
          <w:tab w:val="right" w:pos="7497"/>
        </w:tabs>
        <w:bidi/>
        <w:jc w:val="both"/>
        <w:rPr>
          <w:rFonts w:cs="Guttman Drogolin"/>
          <w:rtl/>
          <w:lang w:bidi="he-IL"/>
        </w:rPr>
      </w:pPr>
      <w:r>
        <w:rPr>
          <w:rFonts w:cs="Guttman Drogolin"/>
          <w:rtl/>
          <w:lang w:bidi="he-IL"/>
        </w:rPr>
        <w:fldChar w:fldCharType="begin"/>
      </w:r>
      <w:r>
        <w:instrText xml:space="preserve"> XE "</w:instrText>
      </w:r>
      <w:r w:rsidRPr="008961AB">
        <w:rPr>
          <w:rFonts w:hint="cs"/>
          <w:rtl/>
          <w:lang w:bidi="he-IL"/>
        </w:rPr>
        <w:instrText>הכשר כלים</w:instrText>
      </w:r>
      <w:r w:rsidRPr="008961AB">
        <w:rPr>
          <w:rtl/>
        </w:rPr>
        <w:instrText>:</w:instrText>
      </w:r>
      <w:r w:rsidRPr="008961AB">
        <w:rPr>
          <w:rFonts w:hint="cs"/>
          <w:rtl/>
          <w:lang w:bidi="he-IL"/>
        </w:rPr>
        <w:instrText>בכלים בני יומן - כשיש במים חומר הפוגם</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462B60">
        <w:rPr>
          <w:rFonts w:hint="cs"/>
          <w:rtl/>
          <w:lang w:bidi="he-IL"/>
        </w:rPr>
        <w:instrText>נותן טעם לפגם</w:instrText>
      </w:r>
      <w:r w:rsidRPr="00462B60">
        <w:rPr>
          <w:rtl/>
        </w:rPr>
        <w:instrText>:</w:instrText>
      </w:r>
      <w:r w:rsidRPr="00462B60">
        <w:rPr>
          <w:rFonts w:hint="cs"/>
          <w:rtl/>
          <w:lang w:bidi="he-IL"/>
        </w:rPr>
        <w:instrText>כשיש אפר במים</w:instrText>
      </w:r>
      <w:r>
        <w:instrText xml:space="preserve">" </w:instrText>
      </w:r>
      <w:r>
        <w:rPr>
          <w:rFonts w:cs="Guttman Drogolin"/>
          <w:rtl/>
          <w:lang w:bidi="he-IL"/>
        </w:rPr>
        <w:fldChar w:fldCharType="end"/>
      </w:r>
      <w:r w:rsidR="00DD027B" w:rsidRPr="00882F11">
        <w:rPr>
          <w:rFonts w:cs="Guttman Drogolin" w:hint="cs"/>
          <w:rtl/>
          <w:lang w:bidi="he-IL"/>
        </w:rPr>
        <w:t>כתב המחבר בסע' ד' "יראה</w:t>
      </w:r>
      <w:r w:rsidR="00DD027B" w:rsidRPr="00882F11">
        <w:rPr>
          <w:rFonts w:cs="Guttman Drogolin"/>
          <w:rtl/>
          <w:lang w:bidi="he-IL"/>
        </w:rPr>
        <w:t xml:space="preserve"> </w:t>
      </w:r>
      <w:r w:rsidR="00DD027B" w:rsidRPr="00882F11">
        <w:rPr>
          <w:rFonts w:cs="Guttman Drogolin" w:hint="cs"/>
          <w:rtl/>
          <w:lang w:bidi="he-IL"/>
        </w:rPr>
        <w:t>לי</w:t>
      </w:r>
      <w:r w:rsidR="00DD027B" w:rsidRPr="00882F11">
        <w:rPr>
          <w:rFonts w:cs="Guttman Drogolin"/>
          <w:rtl/>
          <w:lang w:bidi="he-IL"/>
        </w:rPr>
        <w:t xml:space="preserve"> </w:t>
      </w:r>
      <w:r w:rsidR="00DD027B" w:rsidRPr="00882F11">
        <w:rPr>
          <w:rFonts w:cs="Guttman Drogolin" w:hint="cs"/>
          <w:rtl/>
          <w:lang w:bidi="he-IL"/>
        </w:rPr>
        <w:t>שאם</w:t>
      </w:r>
      <w:r w:rsidR="00DD027B" w:rsidRPr="00882F11">
        <w:rPr>
          <w:rFonts w:cs="Guttman Drogolin"/>
          <w:rtl/>
          <w:lang w:bidi="he-IL"/>
        </w:rPr>
        <w:t xml:space="preserve"> </w:t>
      </w:r>
      <w:r w:rsidR="00DD027B" w:rsidRPr="00882F11">
        <w:rPr>
          <w:rFonts w:cs="Guttman Drogolin" w:hint="cs"/>
          <w:rtl/>
          <w:lang w:bidi="he-IL"/>
        </w:rPr>
        <w:t>נתנו</w:t>
      </w:r>
      <w:r w:rsidR="00DD027B" w:rsidRPr="00882F11">
        <w:rPr>
          <w:rFonts w:cs="Guttman Drogolin"/>
          <w:rtl/>
          <w:lang w:bidi="he-IL"/>
        </w:rPr>
        <w:t xml:space="preserve"> </w:t>
      </w:r>
      <w:r w:rsidR="00DD027B" w:rsidRPr="00882F11">
        <w:rPr>
          <w:rFonts w:cs="Guttman Drogolin" w:hint="cs"/>
          <w:rtl/>
          <w:lang w:bidi="he-IL"/>
        </w:rPr>
        <w:t>אפר</w:t>
      </w:r>
      <w:r w:rsidR="00DD027B" w:rsidRPr="00882F11">
        <w:rPr>
          <w:rFonts w:cs="Guttman Drogolin"/>
          <w:rtl/>
          <w:lang w:bidi="he-IL"/>
        </w:rPr>
        <w:t xml:space="preserve"> </w:t>
      </w:r>
      <w:r w:rsidR="00DD027B" w:rsidRPr="00882F11">
        <w:rPr>
          <w:rFonts w:cs="Guttman Drogolin" w:hint="cs"/>
          <w:rtl/>
          <w:lang w:bidi="he-IL"/>
        </w:rPr>
        <w:t>במים</w:t>
      </w:r>
      <w:r w:rsidR="00DD027B" w:rsidRPr="00882F11">
        <w:rPr>
          <w:rFonts w:cs="Guttman Drogolin"/>
          <w:rtl/>
          <w:lang w:bidi="he-IL"/>
        </w:rPr>
        <w:t xml:space="preserve"> </w:t>
      </w:r>
      <w:r w:rsidR="00DD027B" w:rsidRPr="00882F11">
        <w:rPr>
          <w:rFonts w:cs="Guttman Drogolin" w:hint="cs"/>
          <w:rtl/>
          <w:lang w:bidi="he-IL"/>
        </w:rPr>
        <w:t>חמין</w:t>
      </w:r>
      <w:r w:rsidR="00DD027B" w:rsidRPr="00882F11">
        <w:rPr>
          <w:rFonts w:cs="Guttman Drogolin"/>
          <w:rtl/>
          <w:lang w:bidi="he-IL"/>
        </w:rPr>
        <w:t xml:space="preserve"> </w:t>
      </w:r>
      <w:r w:rsidR="00DD027B" w:rsidRPr="00882F11">
        <w:rPr>
          <w:rFonts w:cs="Guttman Drogolin" w:hint="cs"/>
          <w:rtl/>
          <w:lang w:bidi="he-IL"/>
        </w:rPr>
        <w:t>שביורה</w:t>
      </w:r>
      <w:r w:rsidR="00DD027B" w:rsidRPr="00882F11">
        <w:rPr>
          <w:rFonts w:cs="Guttman Drogolin"/>
          <w:rtl/>
          <w:lang w:bidi="he-IL"/>
        </w:rPr>
        <w:t xml:space="preserve"> </w:t>
      </w:r>
      <w:r w:rsidR="00DD027B" w:rsidRPr="00882F11">
        <w:rPr>
          <w:rFonts w:cs="Guttman Drogolin" w:hint="cs"/>
          <w:rtl/>
          <w:lang w:bidi="he-IL"/>
        </w:rPr>
        <w:t>קודם</w:t>
      </w:r>
      <w:r w:rsidR="00DD027B" w:rsidRPr="00882F11">
        <w:rPr>
          <w:rFonts w:cs="Guttman Drogolin"/>
          <w:rtl/>
          <w:lang w:bidi="he-IL"/>
        </w:rPr>
        <w:t xml:space="preserve"> </w:t>
      </w:r>
      <w:r w:rsidR="00DD027B" w:rsidRPr="00882F11">
        <w:rPr>
          <w:rFonts w:cs="Guttman Drogolin" w:hint="cs"/>
          <w:rtl/>
          <w:lang w:bidi="he-IL"/>
        </w:rPr>
        <w:t>שהניחו</w:t>
      </w:r>
      <w:r w:rsidR="00DD027B" w:rsidRPr="00882F11">
        <w:rPr>
          <w:rFonts w:cs="Guttman Drogolin"/>
          <w:rtl/>
          <w:lang w:bidi="he-IL"/>
        </w:rPr>
        <w:t xml:space="preserve"> </w:t>
      </w:r>
      <w:r w:rsidR="00DD027B" w:rsidRPr="00882F11">
        <w:rPr>
          <w:rFonts w:cs="Guttman Drogolin" w:hint="cs"/>
          <w:rtl/>
          <w:lang w:bidi="he-IL"/>
        </w:rPr>
        <w:t>הקדירות</w:t>
      </w:r>
      <w:r w:rsidR="00DD027B" w:rsidRPr="00882F11">
        <w:rPr>
          <w:rFonts w:cs="Guttman Drogolin"/>
          <w:rtl/>
          <w:lang w:bidi="he-IL"/>
        </w:rPr>
        <w:t xml:space="preserve"> </w:t>
      </w:r>
      <w:r w:rsidR="00DD027B" w:rsidRPr="00882F11">
        <w:rPr>
          <w:rFonts w:cs="Guttman Drogolin" w:hint="cs"/>
          <w:rtl/>
          <w:lang w:bidi="he-IL"/>
        </w:rPr>
        <w:t>בתוכה</w:t>
      </w:r>
      <w:r w:rsidR="00DD027B" w:rsidRPr="00882F11">
        <w:rPr>
          <w:rFonts w:cs="Guttman Drogolin"/>
          <w:rtl/>
          <w:lang w:bidi="he-IL"/>
        </w:rPr>
        <w:t xml:space="preserve">, </w:t>
      </w:r>
      <w:r w:rsidR="00DD027B" w:rsidRPr="00882F11">
        <w:rPr>
          <w:rFonts w:cs="Guttman Drogolin" w:hint="cs"/>
          <w:rtl/>
          <w:lang w:bidi="he-IL"/>
        </w:rPr>
        <w:t>אף</w:t>
      </w:r>
      <w:r w:rsidR="00DD027B" w:rsidRPr="00882F11">
        <w:rPr>
          <w:rFonts w:cs="Guttman Drogolin"/>
          <w:rtl/>
          <w:lang w:bidi="he-IL"/>
        </w:rPr>
        <w:t xml:space="preserve"> </w:t>
      </w:r>
      <w:r w:rsidR="00DD027B" w:rsidRPr="00882F11">
        <w:rPr>
          <w:rFonts w:cs="Guttman Drogolin" w:hint="cs"/>
          <w:rtl/>
          <w:lang w:bidi="he-IL"/>
        </w:rPr>
        <w:t>על</w:t>
      </w:r>
      <w:r w:rsidR="00DD027B" w:rsidRPr="00882F11">
        <w:rPr>
          <w:rFonts w:cs="Guttman Drogolin"/>
          <w:rtl/>
          <w:lang w:bidi="he-IL"/>
        </w:rPr>
        <w:t xml:space="preserve"> </w:t>
      </w:r>
      <w:r w:rsidR="00DD027B" w:rsidRPr="00882F11">
        <w:rPr>
          <w:rFonts w:cs="Guttman Drogolin" w:hint="cs"/>
          <w:rtl/>
          <w:lang w:bidi="he-IL"/>
        </w:rPr>
        <w:t>פי</w:t>
      </w:r>
      <w:r w:rsidR="00DD027B" w:rsidRPr="00882F11">
        <w:rPr>
          <w:rFonts w:cs="Guttman Drogolin"/>
          <w:rtl/>
          <w:lang w:bidi="he-IL"/>
        </w:rPr>
        <w:t xml:space="preserve"> </w:t>
      </w:r>
      <w:r w:rsidR="00DD027B" w:rsidRPr="00882F11">
        <w:rPr>
          <w:rFonts w:cs="Guttman Drogolin" w:hint="cs"/>
          <w:rtl/>
          <w:lang w:bidi="he-IL"/>
        </w:rPr>
        <w:t>שהשומן</w:t>
      </w:r>
      <w:r w:rsidR="00DD027B" w:rsidRPr="00882F11">
        <w:rPr>
          <w:rFonts w:cs="Guttman Drogolin"/>
          <w:rtl/>
          <w:lang w:bidi="he-IL"/>
        </w:rPr>
        <w:t xml:space="preserve"> </w:t>
      </w:r>
      <w:r w:rsidR="00DD027B" w:rsidRPr="00882F11">
        <w:rPr>
          <w:rFonts w:cs="Guttman Drogolin" w:hint="cs"/>
          <w:rtl/>
          <w:lang w:bidi="he-IL"/>
        </w:rPr>
        <w:t>דבוק</w:t>
      </w:r>
      <w:r w:rsidR="00DD027B" w:rsidRPr="00882F11">
        <w:rPr>
          <w:rFonts w:cs="Guttman Drogolin"/>
          <w:rtl/>
          <w:lang w:bidi="he-IL"/>
        </w:rPr>
        <w:t xml:space="preserve"> </w:t>
      </w:r>
      <w:r w:rsidR="00DD027B" w:rsidRPr="00882F11">
        <w:rPr>
          <w:rFonts w:cs="Guttman Drogolin" w:hint="cs"/>
          <w:rtl/>
          <w:lang w:bidi="he-IL"/>
        </w:rPr>
        <w:t>בהן</w:t>
      </w:r>
      <w:r w:rsidR="00DD027B" w:rsidRPr="00882F11">
        <w:rPr>
          <w:rFonts w:cs="Guttman Drogolin"/>
          <w:rtl/>
          <w:lang w:bidi="he-IL"/>
        </w:rPr>
        <w:t xml:space="preserve">, </w:t>
      </w:r>
      <w:r w:rsidR="00DD027B" w:rsidRPr="00882F11">
        <w:rPr>
          <w:rFonts w:cs="Guttman Drogolin" w:hint="cs"/>
          <w:rtl/>
          <w:lang w:bidi="he-IL"/>
        </w:rPr>
        <w:t>מותר</w:t>
      </w:r>
      <w:r w:rsidR="00DD027B" w:rsidRPr="00882F11">
        <w:rPr>
          <w:rFonts w:cs="Guttman Drogolin"/>
          <w:rtl/>
          <w:lang w:bidi="he-IL"/>
        </w:rPr>
        <w:t xml:space="preserve">, </w:t>
      </w:r>
      <w:r w:rsidR="00DD027B" w:rsidRPr="00882F11">
        <w:rPr>
          <w:rFonts w:cs="Guttman Drogolin" w:hint="cs"/>
          <w:rtl/>
          <w:lang w:bidi="he-IL"/>
        </w:rPr>
        <w:t>דעל</w:t>
      </w:r>
      <w:r w:rsidR="00DD027B" w:rsidRPr="00882F11">
        <w:rPr>
          <w:rFonts w:cs="Guttman Drogolin"/>
          <w:rtl/>
          <w:lang w:bidi="he-IL"/>
        </w:rPr>
        <w:t xml:space="preserve"> </w:t>
      </w:r>
      <w:r w:rsidR="00DD027B" w:rsidRPr="00882F11">
        <w:rPr>
          <w:rFonts w:cs="Guttman Drogolin" w:hint="cs"/>
          <w:rtl/>
          <w:lang w:bidi="he-IL"/>
        </w:rPr>
        <w:t>ידי</w:t>
      </w:r>
      <w:r w:rsidR="00DD027B" w:rsidRPr="00882F11">
        <w:rPr>
          <w:rFonts w:cs="Guttman Drogolin"/>
          <w:rtl/>
          <w:lang w:bidi="he-IL"/>
        </w:rPr>
        <w:t xml:space="preserve"> </w:t>
      </w:r>
      <w:r w:rsidR="00DD027B" w:rsidRPr="00882F11">
        <w:rPr>
          <w:rFonts w:cs="Guttman Drogolin" w:hint="cs"/>
          <w:rtl/>
          <w:lang w:bidi="he-IL"/>
        </w:rPr>
        <w:t>האפר</w:t>
      </w:r>
      <w:r w:rsidR="00DD027B" w:rsidRPr="00882F11">
        <w:rPr>
          <w:rFonts w:cs="Guttman Drogolin"/>
          <w:rtl/>
          <w:lang w:bidi="he-IL"/>
        </w:rPr>
        <w:t xml:space="preserve"> </w:t>
      </w:r>
      <w:r w:rsidR="00DD027B" w:rsidRPr="00882F11">
        <w:rPr>
          <w:rFonts w:cs="Guttman Drogolin" w:hint="cs"/>
          <w:rtl/>
          <w:lang w:bidi="he-IL"/>
        </w:rPr>
        <w:t>הוא</w:t>
      </w:r>
      <w:r w:rsidR="00DD027B" w:rsidRPr="00882F11">
        <w:rPr>
          <w:rFonts w:cs="Guttman Drogolin"/>
          <w:rtl/>
          <w:lang w:bidi="he-IL"/>
        </w:rPr>
        <w:t xml:space="preserve"> </w:t>
      </w:r>
      <w:r w:rsidR="00DD027B" w:rsidRPr="00882F11">
        <w:rPr>
          <w:rFonts w:cs="Guttman Drogolin" w:hint="cs"/>
          <w:rtl/>
          <w:lang w:bidi="he-IL"/>
        </w:rPr>
        <w:t>נותן</w:t>
      </w:r>
      <w:r w:rsidR="00DD027B" w:rsidRPr="00882F11">
        <w:rPr>
          <w:rFonts w:cs="Guttman Drogolin"/>
          <w:rtl/>
          <w:lang w:bidi="he-IL"/>
        </w:rPr>
        <w:t xml:space="preserve"> </w:t>
      </w:r>
      <w:r w:rsidR="00DD027B" w:rsidRPr="00882F11">
        <w:rPr>
          <w:rFonts w:cs="Guttman Drogolin" w:hint="cs"/>
          <w:rtl/>
          <w:lang w:bidi="he-IL"/>
        </w:rPr>
        <w:t>טעם</w:t>
      </w:r>
      <w:r w:rsidR="00DD027B" w:rsidRPr="00882F11">
        <w:rPr>
          <w:rFonts w:cs="Guttman Drogolin"/>
          <w:rtl/>
          <w:lang w:bidi="he-IL"/>
        </w:rPr>
        <w:t xml:space="preserve"> </w:t>
      </w:r>
      <w:r w:rsidR="00DD027B" w:rsidRPr="00882F11">
        <w:rPr>
          <w:rFonts w:cs="Guttman Drogolin" w:hint="cs"/>
          <w:rtl/>
          <w:lang w:bidi="he-IL"/>
        </w:rPr>
        <w:t>לפגם"</w:t>
      </w:r>
      <w:r w:rsidR="00DD027B" w:rsidRPr="00882F11">
        <w:rPr>
          <w:rFonts w:cs="Guttman Drogolin"/>
          <w:rtl/>
          <w:lang w:bidi="he-IL"/>
        </w:rPr>
        <w:t xml:space="preserve"> </w:t>
      </w:r>
      <w:r w:rsidR="0099654E" w:rsidRPr="00882F11">
        <w:rPr>
          <w:rFonts w:cs="Guttman Drogolin" w:hint="cs"/>
          <w:rtl/>
          <w:lang w:bidi="he-IL"/>
        </w:rPr>
        <w:t>וכמו שהעירו הנו"כ הב"י לא הביא מקור לדבריו. אמנם לכאורה טעמו פשוט, דכיון שהוא נטל"פ, ונטל"פ מותר בבב"ח, אין טעם לומר שיאסרו א' לשני אע"ג שיש בהם בשר וחלב בעין. אמנם הט"ז והש"ך התקשו בדברי המחבר.</w:t>
      </w:r>
    </w:p>
    <w:p w:rsidR="00E24631" w:rsidRPr="00882F11" w:rsidRDefault="0099654E" w:rsidP="002661DD">
      <w:pPr>
        <w:tabs>
          <w:tab w:val="right" w:pos="7497"/>
        </w:tabs>
        <w:bidi/>
        <w:jc w:val="both"/>
        <w:rPr>
          <w:rFonts w:cs="Guttman Drogolin"/>
          <w:rtl/>
          <w:lang w:bidi="he-IL"/>
        </w:rPr>
      </w:pPr>
      <w:r w:rsidRPr="00882F11">
        <w:rPr>
          <w:rFonts w:cs="Guttman Drogolin" w:hint="cs"/>
          <w:rtl/>
          <w:lang w:bidi="he-IL"/>
        </w:rPr>
        <w:t xml:space="preserve">הט"ז בס"ק </w:t>
      </w:r>
      <w:r w:rsidR="002661DD" w:rsidRPr="00882F11">
        <w:rPr>
          <w:rFonts w:cs="Guttman Drogolin" w:hint="cs"/>
          <w:rtl/>
          <w:lang w:bidi="he-IL"/>
        </w:rPr>
        <w:t>ט"ו הקשה מדברי הרמ"א בסי' פ"ז סע' ו', ששם כתב דהכלי</w:t>
      </w:r>
      <w:r w:rsidR="002661DD" w:rsidRPr="00882F11">
        <w:rPr>
          <w:rFonts w:cs="Guttman Drogolin"/>
          <w:rtl/>
          <w:lang w:bidi="he-IL"/>
        </w:rPr>
        <w:t xml:space="preserve"> </w:t>
      </w:r>
      <w:r w:rsidR="002661DD" w:rsidRPr="00882F11">
        <w:rPr>
          <w:rFonts w:cs="Guttman Drogolin" w:hint="cs"/>
          <w:rtl/>
          <w:lang w:bidi="he-IL"/>
        </w:rPr>
        <w:t>שעושין</w:t>
      </w:r>
      <w:r w:rsidR="002661DD" w:rsidRPr="00882F11">
        <w:rPr>
          <w:rFonts w:cs="Guttman Drogolin"/>
          <w:rtl/>
          <w:lang w:bidi="he-IL"/>
        </w:rPr>
        <w:t xml:space="preserve"> </w:t>
      </w:r>
      <w:r w:rsidR="002661DD" w:rsidRPr="00882F11">
        <w:rPr>
          <w:rFonts w:cs="Guttman Drogolin" w:hint="cs"/>
          <w:rtl/>
          <w:lang w:bidi="he-IL"/>
        </w:rPr>
        <w:t>בו</w:t>
      </w:r>
      <w:r w:rsidR="002661DD" w:rsidRPr="00882F11">
        <w:rPr>
          <w:rFonts w:cs="Guttman Drogolin"/>
          <w:rtl/>
          <w:lang w:bidi="he-IL"/>
        </w:rPr>
        <w:t xml:space="preserve"> </w:t>
      </w:r>
      <w:r w:rsidR="002661DD" w:rsidRPr="00882F11">
        <w:rPr>
          <w:rFonts w:cs="Guttman Drogolin" w:hint="cs"/>
          <w:rtl/>
          <w:lang w:bidi="he-IL"/>
        </w:rPr>
        <w:t>מים</w:t>
      </w:r>
      <w:r w:rsidR="002661DD" w:rsidRPr="00882F11">
        <w:rPr>
          <w:rFonts w:cs="Guttman Drogolin"/>
          <w:rtl/>
          <w:lang w:bidi="he-IL"/>
        </w:rPr>
        <w:t xml:space="preserve"> </w:t>
      </w:r>
      <w:r w:rsidR="002661DD" w:rsidRPr="00882F11">
        <w:rPr>
          <w:rFonts w:cs="Guttman Drogolin" w:hint="cs"/>
          <w:rtl/>
          <w:lang w:bidi="he-IL"/>
        </w:rPr>
        <w:t>לחפיפת</w:t>
      </w:r>
      <w:r w:rsidR="002661DD" w:rsidRPr="00882F11">
        <w:rPr>
          <w:rFonts w:cs="Guttman Drogolin"/>
          <w:rtl/>
          <w:lang w:bidi="he-IL"/>
        </w:rPr>
        <w:t xml:space="preserve"> </w:t>
      </w:r>
      <w:r w:rsidR="002661DD" w:rsidRPr="00882F11">
        <w:rPr>
          <w:rFonts w:cs="Guttman Drogolin" w:hint="cs"/>
          <w:rtl/>
          <w:lang w:bidi="he-IL"/>
        </w:rPr>
        <w:t>הראש</w:t>
      </w:r>
      <w:r w:rsidR="002661DD" w:rsidRPr="00882F11">
        <w:rPr>
          <w:rFonts w:cs="Guttman Drogolin"/>
          <w:rtl/>
          <w:lang w:bidi="he-IL"/>
        </w:rPr>
        <w:t xml:space="preserve"> </w:t>
      </w:r>
      <w:r w:rsidR="002661DD" w:rsidRPr="00882F11">
        <w:rPr>
          <w:rFonts w:cs="Guttman Drogolin" w:hint="cs"/>
          <w:rtl/>
          <w:lang w:bidi="he-IL"/>
        </w:rPr>
        <w:t>אין</w:t>
      </w:r>
      <w:r w:rsidR="002661DD" w:rsidRPr="00882F11">
        <w:rPr>
          <w:rFonts w:cs="Guttman Drogolin"/>
          <w:rtl/>
          <w:lang w:bidi="he-IL"/>
        </w:rPr>
        <w:t xml:space="preserve"> </w:t>
      </w:r>
      <w:r w:rsidR="002661DD" w:rsidRPr="00882F11">
        <w:rPr>
          <w:rFonts w:cs="Guttman Drogolin" w:hint="cs"/>
          <w:rtl/>
          <w:lang w:bidi="he-IL"/>
        </w:rPr>
        <w:t>לשמש</w:t>
      </w:r>
      <w:r w:rsidR="002661DD" w:rsidRPr="00882F11">
        <w:rPr>
          <w:rFonts w:cs="Guttman Drogolin"/>
          <w:rtl/>
          <w:lang w:bidi="he-IL"/>
        </w:rPr>
        <w:t xml:space="preserve"> </w:t>
      </w:r>
      <w:r w:rsidR="002661DD" w:rsidRPr="00882F11">
        <w:rPr>
          <w:rFonts w:cs="Guttman Drogolin" w:hint="cs"/>
          <w:rtl/>
          <w:lang w:bidi="he-IL"/>
        </w:rPr>
        <w:t>בו</w:t>
      </w:r>
      <w:r w:rsidR="002661DD" w:rsidRPr="00882F11">
        <w:rPr>
          <w:rFonts w:cs="Guttman Drogolin"/>
          <w:rtl/>
          <w:lang w:bidi="he-IL"/>
        </w:rPr>
        <w:t xml:space="preserve"> </w:t>
      </w:r>
      <w:r w:rsidR="002661DD" w:rsidRPr="00882F11">
        <w:rPr>
          <w:rFonts w:cs="Guttman Drogolin" w:hint="cs"/>
          <w:rtl/>
          <w:lang w:bidi="he-IL"/>
        </w:rPr>
        <w:t>דעושין</w:t>
      </w:r>
      <w:r w:rsidR="002661DD" w:rsidRPr="00882F11">
        <w:rPr>
          <w:rFonts w:cs="Guttman Drogolin"/>
          <w:rtl/>
          <w:lang w:bidi="he-IL"/>
        </w:rPr>
        <w:t xml:space="preserve"> </w:t>
      </w:r>
      <w:r w:rsidR="002661DD" w:rsidRPr="00882F11">
        <w:rPr>
          <w:rFonts w:cs="Guttman Drogolin" w:hint="cs"/>
          <w:rtl/>
          <w:lang w:bidi="he-IL"/>
        </w:rPr>
        <w:t>אותה</w:t>
      </w:r>
      <w:r w:rsidR="002661DD" w:rsidRPr="00882F11">
        <w:rPr>
          <w:rFonts w:cs="Guttman Drogolin"/>
          <w:rtl/>
          <w:lang w:bidi="he-IL"/>
        </w:rPr>
        <w:t xml:space="preserve"> </w:t>
      </w:r>
      <w:r w:rsidR="002661DD" w:rsidRPr="00882F11">
        <w:rPr>
          <w:rFonts w:cs="Guttman Drogolin" w:hint="cs"/>
          <w:rtl/>
          <w:lang w:bidi="he-IL"/>
        </w:rPr>
        <w:t>מאפר</w:t>
      </w:r>
      <w:r w:rsidR="002661DD" w:rsidRPr="00882F11">
        <w:rPr>
          <w:rFonts w:cs="Guttman Drogolin"/>
          <w:rtl/>
          <w:lang w:bidi="he-IL"/>
        </w:rPr>
        <w:t xml:space="preserve"> </w:t>
      </w:r>
      <w:r w:rsidR="002661DD" w:rsidRPr="00882F11">
        <w:rPr>
          <w:rFonts w:cs="Guttman Drogolin" w:hint="cs"/>
          <w:rtl/>
          <w:lang w:bidi="he-IL"/>
        </w:rPr>
        <w:t>שעל</w:t>
      </w:r>
      <w:r w:rsidR="002661DD" w:rsidRPr="00882F11">
        <w:rPr>
          <w:rFonts w:cs="Guttman Drogolin"/>
          <w:rtl/>
          <w:lang w:bidi="he-IL"/>
        </w:rPr>
        <w:t xml:space="preserve"> </w:t>
      </w:r>
      <w:r w:rsidR="002661DD" w:rsidRPr="00882F11">
        <w:rPr>
          <w:rFonts w:cs="Guttman Drogolin" w:hint="cs"/>
          <w:rtl/>
          <w:lang w:bidi="he-IL"/>
        </w:rPr>
        <w:t>הכירה</w:t>
      </w:r>
      <w:r w:rsidR="002661DD" w:rsidRPr="00882F11">
        <w:rPr>
          <w:rFonts w:cs="Guttman Drogolin"/>
          <w:rtl/>
          <w:lang w:bidi="he-IL"/>
        </w:rPr>
        <w:t xml:space="preserve"> </w:t>
      </w:r>
      <w:r w:rsidR="002661DD" w:rsidRPr="00882F11">
        <w:rPr>
          <w:rFonts w:cs="Guttman Drogolin" w:hint="cs"/>
          <w:rtl/>
          <w:lang w:bidi="he-IL"/>
        </w:rPr>
        <w:t>ורגילות</w:t>
      </w:r>
      <w:r w:rsidR="002661DD" w:rsidRPr="00882F11">
        <w:rPr>
          <w:rFonts w:cs="Guttman Drogolin"/>
          <w:rtl/>
          <w:lang w:bidi="he-IL"/>
        </w:rPr>
        <w:t xml:space="preserve"> </w:t>
      </w:r>
      <w:r w:rsidR="002661DD" w:rsidRPr="00882F11">
        <w:rPr>
          <w:rFonts w:cs="Guttman Drogolin" w:hint="cs"/>
          <w:rtl/>
          <w:lang w:bidi="he-IL"/>
        </w:rPr>
        <w:t>הוא</w:t>
      </w:r>
      <w:r w:rsidR="002661DD" w:rsidRPr="00882F11">
        <w:rPr>
          <w:rFonts w:cs="Guttman Drogolin"/>
          <w:rtl/>
          <w:lang w:bidi="he-IL"/>
        </w:rPr>
        <w:t xml:space="preserve"> </w:t>
      </w:r>
      <w:r w:rsidR="002661DD" w:rsidRPr="00882F11">
        <w:rPr>
          <w:rFonts w:cs="Guttman Drogolin" w:hint="cs"/>
          <w:rtl/>
          <w:lang w:bidi="he-IL"/>
        </w:rPr>
        <w:t>להתערב</w:t>
      </w:r>
      <w:r w:rsidR="002661DD" w:rsidRPr="00882F11">
        <w:rPr>
          <w:rFonts w:cs="Guttman Drogolin"/>
          <w:rtl/>
          <w:lang w:bidi="he-IL"/>
        </w:rPr>
        <w:t xml:space="preserve"> </w:t>
      </w:r>
      <w:r w:rsidR="002661DD" w:rsidRPr="00882F11">
        <w:rPr>
          <w:rFonts w:cs="Guttman Drogolin" w:hint="cs"/>
          <w:rtl/>
          <w:lang w:bidi="he-IL"/>
        </w:rPr>
        <w:t>שם</w:t>
      </w:r>
      <w:r w:rsidR="002661DD" w:rsidRPr="00882F11">
        <w:rPr>
          <w:rFonts w:cs="Guttman Drogolin"/>
          <w:rtl/>
          <w:lang w:bidi="he-IL"/>
        </w:rPr>
        <w:t xml:space="preserve"> </w:t>
      </w:r>
      <w:r w:rsidR="002661DD" w:rsidRPr="00882F11">
        <w:rPr>
          <w:rFonts w:cs="Guttman Drogolin" w:hint="cs"/>
          <w:rtl/>
          <w:lang w:bidi="he-IL"/>
        </w:rPr>
        <w:t>בשר</w:t>
      </w:r>
      <w:r w:rsidR="002661DD" w:rsidRPr="00882F11">
        <w:rPr>
          <w:rFonts w:cs="Guttman Drogolin"/>
          <w:rtl/>
          <w:lang w:bidi="he-IL"/>
        </w:rPr>
        <w:t xml:space="preserve"> </w:t>
      </w:r>
      <w:r w:rsidR="002661DD" w:rsidRPr="00882F11">
        <w:rPr>
          <w:rFonts w:cs="Guttman Drogolin" w:hint="cs"/>
          <w:rtl/>
          <w:lang w:bidi="he-IL"/>
        </w:rPr>
        <w:t xml:space="preserve">וחלב. וא"כ מאי שנא הכא שהקילו. ולכאורה כוונתו שהרי הרמ"א לא העיר כאן כלום, ולפי דבריו התם הול"ל להגיע שאין הדין כן. וכן אע"ג שגם שם כתב הרמ"א שאינו מעיקר הדין מ"מ גם הכא הי' להגי' שהוא אסור משום מנהג מיהת. ובנקוה"כ </w:t>
      </w:r>
      <w:r w:rsidR="00052066" w:rsidRPr="00882F11">
        <w:rPr>
          <w:rFonts w:cs="Guttman Drogolin" w:hint="cs"/>
          <w:rtl/>
          <w:lang w:bidi="he-IL"/>
        </w:rPr>
        <w:t>כ</w:t>
      </w:r>
      <w:r w:rsidR="00E24631" w:rsidRPr="00882F11">
        <w:rPr>
          <w:rFonts w:cs="Guttman Drogolin" w:hint="cs"/>
          <w:rtl/>
          <w:lang w:bidi="he-IL"/>
        </w:rPr>
        <w:t>תב לחלק בין הכא לדהתם, דנכא אינו אלא מעט שומן הדבוק, והתם מיירי יש גוף החלב. וע' בביאורים לס' בדה"ש עמ' שי"א ד"ה יראה עוד תירוצים בזה.</w:t>
      </w:r>
    </w:p>
    <w:p w:rsidR="00E24631" w:rsidRPr="00882F11" w:rsidRDefault="00E24631" w:rsidP="00E24631">
      <w:pPr>
        <w:tabs>
          <w:tab w:val="right" w:pos="7497"/>
        </w:tabs>
        <w:bidi/>
        <w:jc w:val="both"/>
        <w:rPr>
          <w:rFonts w:cs="Guttman Drogolin"/>
          <w:rtl/>
          <w:lang w:bidi="he-IL"/>
        </w:rPr>
      </w:pPr>
      <w:r w:rsidRPr="00882F11">
        <w:rPr>
          <w:rFonts w:cs="Guttman Drogolin" w:hint="cs"/>
          <w:rtl/>
          <w:lang w:bidi="he-IL"/>
        </w:rPr>
        <w:t xml:space="preserve">והש"ך בס"ק כ"א התקשה בזה מעוד ב' טעמים. חדא דסתימת הפוסקים משמע שאי אפשר כלל להגעיל כלי בו יומו אא"כ יש ששים כנגד הכלי. ועוד שלכאורה לפי דברי המחבר לא קשה כלל קושיית התוס' בדף ק' ע"ב, ששם הוכיחו התוס' כשיטת ר' אפרים מהא דאפשר להגעיל כלי מדין, ולכאורה איך אפשר להגעיל כלי גדול שאי אפשר להכניסו לכלי אחר. וע"כ ע"י זה שיגעיל את התוך שלו כמה פעמים. ובשלמא לר' אפרים ניחא, דהא באמת אפשר לעשותכן כמה פעמים. אבל לר"ת הא כל זמן שיגעיל ואין ס' כנגד הכלי כל המים נע"נ ושוב נבלע בכלי שיעור שלם של טעם איסור. והעיר הש"ך שלכאורה אם כדברי המחבר </w:t>
      </w:r>
      <w:r w:rsidRPr="00882F11">
        <w:rPr>
          <w:rFonts w:cs="Guttman Drogolin" w:hint="cs"/>
          <w:rtl/>
          <w:lang w:bidi="he-IL"/>
        </w:rPr>
        <w:lastRenderedPageBreak/>
        <w:t xml:space="preserve">שאפשר לפגום ע"י אפר הא יש תי' לשיטת ר"ת, והוא שהגעילו אותו ע"י הכנסת אפר. </w:t>
      </w:r>
    </w:p>
    <w:p w:rsidR="00E24631" w:rsidRPr="00882F11" w:rsidRDefault="00E24631" w:rsidP="00E24631">
      <w:pPr>
        <w:tabs>
          <w:tab w:val="right" w:pos="7497"/>
        </w:tabs>
        <w:bidi/>
        <w:jc w:val="both"/>
        <w:rPr>
          <w:rFonts w:cs="Guttman Drogolin"/>
          <w:rtl/>
          <w:lang w:bidi="he-IL"/>
        </w:rPr>
      </w:pPr>
      <w:r w:rsidRPr="00882F11">
        <w:rPr>
          <w:rFonts w:cs="Guttman Drogolin" w:hint="cs"/>
          <w:rtl/>
          <w:lang w:bidi="he-IL"/>
        </w:rPr>
        <w:t xml:space="preserve">ועל הערת הש"ך השני כבר תמהו כמה אחרונים (ע' פת"ש ס"ק ו') שלכאורה אע"ג שאפשר לפגום ע"י אפר, אבל עדיין אי אפשר להגעיל על ידו, שהרי אין מגעילים ע"י לוי"ג שהוא תערובת מים ואפר. ויש מתרצים ששמ"מ אין זה אלא לכתחילה ולכן לענין קושיית התוס' שפיר הוי ישוב. ומ"מ יש להערת הש"ך עוד יישוב, שהרי כל קושייתם לא צ"ע, דמה"ת שהגעילו גם כלי גדול שאי אפשר להכניסו לכלי אחר. ובן הוא באמת תירוצם שם לשיטת ר"ת, אבל עדיין צ"ע דמאי קס"ד דתיקשי. וע"כ משום דסתמא דמילתא משמע שאפשר להגעיל את כל הכלים. וא"כ י"ל נמני דקושייתם היתה איך אפשר לעשות הגעלה באופן הרגיל והוא בלי אפר. </w:t>
      </w:r>
    </w:p>
    <w:p w:rsidR="00900877" w:rsidRPr="00882F11" w:rsidRDefault="00E24631" w:rsidP="00A15DB8">
      <w:pPr>
        <w:tabs>
          <w:tab w:val="right" w:pos="7497"/>
        </w:tabs>
        <w:bidi/>
        <w:jc w:val="both"/>
        <w:rPr>
          <w:rFonts w:cs="Guttman Drogolin"/>
          <w:rtl/>
          <w:lang w:bidi="he-IL"/>
        </w:rPr>
      </w:pPr>
      <w:r w:rsidRPr="00882F11">
        <w:rPr>
          <w:rFonts w:cs="Guttman Drogolin" w:hint="cs"/>
          <w:rtl/>
          <w:lang w:bidi="he-IL"/>
        </w:rPr>
        <w:t xml:space="preserve">והנה כמה אחרונים ובכללם החזו"א בסי' כ"ג כתבו דעד כאן לא קאמר המחבר אלא שאפשר לפגום הטעם שבתוך התבשיל ע"י אפר, אבל עדיין לא מהני לפגום הבליעות שבתוך הכלי, לכן לא מהני אפר כגון להכשיר כלי חרס. </w:t>
      </w:r>
      <w:r w:rsidR="00900877" w:rsidRPr="00882F11">
        <w:rPr>
          <w:rFonts w:cs="Guttman Drogolin" w:hint="cs"/>
          <w:rtl/>
          <w:lang w:bidi="he-IL"/>
        </w:rPr>
        <w:t>אמנם יש נפק"מ גדולה בקולא של המחבר והוא כמש"כ הש"ך שיהי' אפשרי להגעיל כלי בן יומו אע"ג שאין ס' כנגדו, והוא משום שהבליעה יוצאת מן הכלי ונכנסת לתוך המים, ומאז נעשה לפגם. ומאז אע"ג שחוזר ונכנס לתוך הכלי שוב אינו אוסר, כיון שנכנס בפגם. ולמעשה אע"ג שכתב הש"ך שסתימת הפוסקים דלא מהני כה"ג, מ"מ נקטו החזו"א ועוד שאפשר להגעיל כה"ג עכ"פ בשעת הדחק. ולכן בכמה מן ההגעלות כלים המרכזיות שמגיעים שם מאות מגעילים, הנהיגו הפוסקים האחראיים על ההגעלה להכניס אקומניקה</w:t>
      </w:r>
      <w:r w:rsidR="00900877" w:rsidRPr="00882F11">
        <w:rPr>
          <w:rStyle w:val="FootnoteReference"/>
          <w:rFonts w:cs="Guttman Drogolin"/>
          <w:rtl/>
          <w:lang w:bidi="he-IL"/>
        </w:rPr>
        <w:footnoteReference w:id="301"/>
      </w:r>
      <w:r w:rsidR="00900877" w:rsidRPr="00882F11">
        <w:rPr>
          <w:rFonts w:cs="Guttman Drogolin" w:hint="cs"/>
          <w:rtl/>
          <w:lang w:bidi="he-IL"/>
        </w:rPr>
        <w:t xml:space="preserve"> לתוך מי ההגעלה. ואומרים שאפילו משום הדים לכתחילה שלא להגעיל בלוי"ג אין בזה כיון שהוא כמות קטנה והמים עדיין נוזליים כדמעיקרא. וע"י זה אפילו יזכו כמה להגעיל את כליהם אפילו אינם בני יומן אינם אסורים. וכן יש ממשגיחי כשרות שמגעילים כלי מטבח וכדומה ע"י זה, כיון </w:t>
      </w:r>
      <w:r w:rsidR="00900877" w:rsidRPr="00882F11">
        <w:rPr>
          <w:rFonts w:cs="Guttman Drogolin" w:hint="cs"/>
          <w:rtl/>
          <w:lang w:bidi="he-IL"/>
        </w:rPr>
        <w:lastRenderedPageBreak/>
        <w:t xml:space="preserve">שבהרבה מקרים אי אפשר להתחיל להכשיר אחרי מעל"ע (כיון שהי' אירוע בלילה הקודמת). </w:t>
      </w:r>
    </w:p>
    <w:p w:rsidR="00186F3E" w:rsidRPr="00882F11" w:rsidRDefault="00900877" w:rsidP="00900877">
      <w:pPr>
        <w:tabs>
          <w:tab w:val="right" w:pos="7497"/>
        </w:tabs>
        <w:bidi/>
        <w:jc w:val="both"/>
        <w:rPr>
          <w:rFonts w:cs="Guttman Drogolin"/>
          <w:rtl/>
          <w:lang w:bidi="he-IL"/>
        </w:rPr>
      </w:pPr>
      <w:r w:rsidRPr="00882F11">
        <w:rPr>
          <w:rFonts w:cs="Guttman Drogolin" w:hint="cs"/>
          <w:rtl/>
          <w:lang w:bidi="he-IL"/>
        </w:rPr>
        <w:t xml:space="preserve">ובעצם זה שהעירו הט"ז והש"ך על המחבר יל"ע מהו כל המחלוקת כאן, דהא כיון שנעשה לפגם לכאורה יש באמת להתיר. ומן החזו"א מבואר שהוא משום שיש צד גדול שאפר עצמו אינו פוגם. וא"כ איכא למימר שבחומרים חדשים כמו סבון נוזלי או אקומניקה שודאי פוגמים כו"ע מודו.   </w:t>
      </w:r>
      <w:r w:rsidR="00E24631" w:rsidRPr="00882F11">
        <w:rPr>
          <w:rFonts w:cs="Guttman Drogolin" w:hint="cs"/>
          <w:rtl/>
          <w:lang w:bidi="he-IL"/>
        </w:rPr>
        <w:t xml:space="preserve"> </w:t>
      </w:r>
      <w:r w:rsidR="00FE771F" w:rsidRPr="00882F11">
        <w:rPr>
          <w:rFonts w:cs="Guttman Drogolin"/>
          <w:rtl/>
          <w:lang w:bidi="he-IL"/>
        </w:rPr>
        <w:t xml:space="preserve"> </w:t>
      </w:r>
      <w:r w:rsidR="00FE771F" w:rsidRPr="00882F11">
        <w:rPr>
          <w:rFonts w:cs="Guttman Drogolin" w:hint="cs"/>
          <w:rtl/>
          <w:lang w:bidi="he-IL"/>
        </w:rPr>
        <w:t xml:space="preserve"> </w:t>
      </w:r>
      <w:r w:rsidR="00A40AB9" w:rsidRPr="00882F11">
        <w:rPr>
          <w:rFonts w:cs="Guttman Drogolin" w:hint="cs"/>
          <w:rtl/>
          <w:lang w:bidi="he-IL"/>
        </w:rPr>
        <w:t xml:space="preserve">   </w:t>
      </w:r>
      <w:r w:rsidR="00186F3E" w:rsidRPr="00882F11">
        <w:rPr>
          <w:rFonts w:cs="Guttman Drogolin" w:hint="cs"/>
          <w:rtl/>
          <w:lang w:bidi="he-IL"/>
        </w:rPr>
        <w:t xml:space="preserve">  </w:t>
      </w:r>
    </w:p>
    <w:p w:rsidR="00186F3E" w:rsidRPr="00C53875" w:rsidRDefault="00186F3E" w:rsidP="00497FC3">
      <w:pPr>
        <w:keepNext/>
        <w:tabs>
          <w:tab w:val="right" w:pos="7497"/>
        </w:tabs>
        <w:bidi/>
        <w:jc w:val="both"/>
        <w:rPr>
          <w:rFonts w:cs="Guttman Drogolin"/>
          <w:b/>
          <w:bCs/>
          <w:sz w:val="28"/>
          <w:szCs w:val="28"/>
          <w:rtl/>
          <w:lang w:bidi="he-IL"/>
        </w:rPr>
      </w:pPr>
      <w:r w:rsidRPr="00C53875">
        <w:rPr>
          <w:rFonts w:cs="Guttman Drogolin" w:hint="cs"/>
          <w:b/>
          <w:bCs/>
          <w:sz w:val="28"/>
          <w:szCs w:val="28"/>
          <w:rtl/>
          <w:lang w:bidi="he-IL"/>
        </w:rPr>
        <w:t xml:space="preserve">מילואים </w:t>
      </w:r>
    </w:p>
    <w:p w:rsidR="00186F3E" w:rsidRPr="00882F11" w:rsidRDefault="00186F3E" w:rsidP="00186F3E">
      <w:pPr>
        <w:tabs>
          <w:tab w:val="right" w:pos="7497"/>
        </w:tabs>
        <w:bidi/>
        <w:jc w:val="both"/>
        <w:rPr>
          <w:rFonts w:cs="Guttman Drogolin"/>
          <w:rtl/>
          <w:lang w:bidi="he-IL"/>
        </w:rPr>
      </w:pPr>
      <w:r w:rsidRPr="00882F11">
        <w:rPr>
          <w:rFonts w:cs="Guttman Drogolin" w:hint="cs"/>
          <w:b/>
          <w:bCs/>
          <w:rtl/>
          <w:lang w:bidi="he-IL"/>
        </w:rPr>
        <w:t>מצא כלי של מין א' בין כלים של המין השני</w:t>
      </w:r>
    </w:p>
    <w:p w:rsidR="00A9607D" w:rsidRPr="00882F11" w:rsidRDefault="005472CF" w:rsidP="000C18B9">
      <w:pPr>
        <w:tabs>
          <w:tab w:val="right" w:pos="7497"/>
        </w:tabs>
        <w:bidi/>
        <w:jc w:val="both"/>
        <w:rPr>
          <w:rFonts w:cs="Guttman Drogolin"/>
          <w:rtl/>
          <w:lang w:bidi="he-IL"/>
        </w:rPr>
      </w:pPr>
      <w:r>
        <w:rPr>
          <w:rFonts w:cs="Guttman Drogolin"/>
          <w:rtl/>
          <w:lang w:bidi="he-IL"/>
        </w:rPr>
        <w:fldChar w:fldCharType="begin"/>
      </w:r>
      <w:r>
        <w:instrText xml:space="preserve"> XE "</w:instrText>
      </w:r>
      <w:r w:rsidRPr="00400101">
        <w:rPr>
          <w:rFonts w:hint="cs"/>
          <w:rtl/>
          <w:lang w:bidi="he-IL"/>
        </w:rPr>
        <w:instrText>הכשר כלים</w:instrText>
      </w:r>
      <w:r w:rsidRPr="00400101">
        <w:rPr>
          <w:rtl/>
        </w:rPr>
        <w:instrText>:</w:instrText>
      </w:r>
      <w:r w:rsidRPr="00400101">
        <w:rPr>
          <w:rFonts w:hint="cs"/>
          <w:rtl/>
          <w:lang w:bidi="he-IL"/>
        </w:rPr>
        <w:instrText>מצא כלי של מין א' בתוך כלים של המין השני</w:instrText>
      </w:r>
      <w:r>
        <w:instrText xml:space="preserve">" </w:instrText>
      </w:r>
      <w:r>
        <w:rPr>
          <w:rFonts w:cs="Guttman Drogolin"/>
          <w:rtl/>
          <w:lang w:bidi="he-IL"/>
        </w:rPr>
        <w:fldChar w:fldCharType="end"/>
      </w:r>
      <w:r w:rsidR="00A9607D" w:rsidRPr="00882F11">
        <w:rPr>
          <w:rFonts w:cs="Guttman Drogolin" w:hint="cs"/>
          <w:rtl/>
          <w:lang w:bidi="he-IL"/>
        </w:rPr>
        <w:t>כתב הרמ"א בסוף סע' ג' כתב ו"אם</w:t>
      </w:r>
      <w:r w:rsidR="00A9607D" w:rsidRPr="00882F11">
        <w:rPr>
          <w:rFonts w:cs="Guttman Drogolin"/>
          <w:rtl/>
          <w:lang w:bidi="he-IL"/>
        </w:rPr>
        <w:t xml:space="preserve"> </w:t>
      </w:r>
      <w:r w:rsidR="00A9607D" w:rsidRPr="00882F11">
        <w:rPr>
          <w:rFonts w:cs="Guttman Drogolin" w:hint="cs"/>
          <w:rtl/>
          <w:lang w:bidi="he-IL"/>
        </w:rPr>
        <w:t>נמצא</w:t>
      </w:r>
      <w:r w:rsidR="00A9607D" w:rsidRPr="00882F11">
        <w:rPr>
          <w:rFonts w:cs="Guttman Drogolin"/>
          <w:rtl/>
          <w:lang w:bidi="he-IL"/>
        </w:rPr>
        <w:t xml:space="preserve"> </w:t>
      </w:r>
      <w:r w:rsidR="00A9607D" w:rsidRPr="00882F11">
        <w:rPr>
          <w:rFonts w:cs="Guttman Drogolin" w:hint="cs"/>
          <w:rtl/>
          <w:lang w:bidi="he-IL"/>
        </w:rPr>
        <w:t>קערה</w:t>
      </w:r>
      <w:r w:rsidR="00A9607D" w:rsidRPr="00882F11">
        <w:rPr>
          <w:rFonts w:cs="Guttman Drogolin"/>
          <w:rtl/>
          <w:lang w:bidi="he-IL"/>
        </w:rPr>
        <w:t xml:space="preserve"> </w:t>
      </w:r>
      <w:r w:rsidR="00A9607D" w:rsidRPr="00882F11">
        <w:rPr>
          <w:rFonts w:cs="Guttman Drogolin" w:hint="cs"/>
          <w:rtl/>
          <w:lang w:bidi="he-IL"/>
        </w:rPr>
        <w:t>חולבת</w:t>
      </w:r>
      <w:r w:rsidR="00A9607D" w:rsidRPr="00882F11">
        <w:rPr>
          <w:rFonts w:cs="Guttman Drogolin"/>
          <w:rtl/>
          <w:lang w:bidi="he-IL"/>
        </w:rPr>
        <w:t xml:space="preserve"> </w:t>
      </w:r>
      <w:r w:rsidR="00A9607D" w:rsidRPr="00882F11">
        <w:rPr>
          <w:rFonts w:cs="Guttman Drogolin" w:hint="cs"/>
          <w:rtl/>
          <w:lang w:bidi="he-IL"/>
        </w:rPr>
        <w:t>בין</w:t>
      </w:r>
      <w:r w:rsidR="00A9607D" w:rsidRPr="00882F11">
        <w:rPr>
          <w:rFonts w:cs="Guttman Drogolin"/>
          <w:rtl/>
          <w:lang w:bidi="he-IL"/>
        </w:rPr>
        <w:t xml:space="preserve"> </w:t>
      </w:r>
      <w:r w:rsidR="00A9607D" w:rsidRPr="00882F11">
        <w:rPr>
          <w:rFonts w:cs="Guttman Drogolin" w:hint="cs"/>
          <w:rtl/>
          <w:lang w:bidi="he-IL"/>
        </w:rPr>
        <w:t>כלי</w:t>
      </w:r>
      <w:r w:rsidR="00A9607D" w:rsidRPr="00882F11">
        <w:rPr>
          <w:rFonts w:cs="Guttman Drogolin"/>
          <w:rtl/>
          <w:lang w:bidi="he-IL"/>
        </w:rPr>
        <w:t xml:space="preserve"> </w:t>
      </w:r>
      <w:r w:rsidR="00A9607D" w:rsidRPr="00882F11">
        <w:rPr>
          <w:rFonts w:cs="Guttman Drogolin" w:hint="cs"/>
          <w:rtl/>
          <w:lang w:bidi="he-IL"/>
        </w:rPr>
        <w:t>בשר</w:t>
      </w:r>
      <w:r w:rsidR="00A9607D" w:rsidRPr="00882F11">
        <w:rPr>
          <w:rFonts w:cs="Guttman Drogolin"/>
          <w:rtl/>
          <w:lang w:bidi="he-IL"/>
        </w:rPr>
        <w:t xml:space="preserve"> </w:t>
      </w:r>
      <w:r w:rsidR="00A9607D" w:rsidRPr="00882F11">
        <w:rPr>
          <w:rFonts w:cs="Guttman Drogolin" w:hint="cs"/>
          <w:rtl/>
          <w:lang w:bidi="he-IL"/>
        </w:rPr>
        <w:t>לא</w:t>
      </w:r>
      <w:r w:rsidR="00A9607D" w:rsidRPr="00882F11">
        <w:rPr>
          <w:rFonts w:cs="Guttman Drogolin"/>
          <w:rtl/>
          <w:lang w:bidi="he-IL"/>
        </w:rPr>
        <w:t xml:space="preserve"> </w:t>
      </w:r>
      <w:r w:rsidR="00A9607D" w:rsidRPr="00882F11">
        <w:rPr>
          <w:rFonts w:cs="Guttman Drogolin" w:hint="cs"/>
          <w:rtl/>
          <w:lang w:bidi="he-IL"/>
        </w:rPr>
        <w:t>חיישינן</w:t>
      </w:r>
      <w:r w:rsidR="00A9607D" w:rsidRPr="00882F11">
        <w:rPr>
          <w:rFonts w:cs="Guttman Drogolin"/>
          <w:rtl/>
          <w:lang w:bidi="he-IL"/>
        </w:rPr>
        <w:t xml:space="preserve"> </w:t>
      </w:r>
      <w:r w:rsidR="00A9607D" w:rsidRPr="00882F11">
        <w:rPr>
          <w:rFonts w:cs="Guttman Drogolin" w:hint="cs"/>
          <w:rtl/>
          <w:lang w:bidi="he-IL"/>
        </w:rPr>
        <w:t>שמא</w:t>
      </w:r>
      <w:r w:rsidR="00A9607D" w:rsidRPr="00882F11">
        <w:rPr>
          <w:rFonts w:cs="Guttman Drogolin"/>
          <w:rtl/>
          <w:lang w:bidi="he-IL"/>
        </w:rPr>
        <w:t xml:space="preserve"> </w:t>
      </w:r>
      <w:r w:rsidR="00A9607D" w:rsidRPr="00882F11">
        <w:rPr>
          <w:rFonts w:cs="Guttman Drogolin" w:hint="cs"/>
          <w:rtl/>
          <w:lang w:bidi="he-IL"/>
        </w:rPr>
        <w:t>הודחו</w:t>
      </w:r>
      <w:r w:rsidR="00A9607D" w:rsidRPr="00882F11">
        <w:rPr>
          <w:rFonts w:cs="Guttman Drogolin"/>
          <w:rtl/>
          <w:lang w:bidi="he-IL"/>
        </w:rPr>
        <w:t xml:space="preserve"> </w:t>
      </w:r>
      <w:r w:rsidR="00A9607D" w:rsidRPr="00882F11">
        <w:rPr>
          <w:rFonts w:cs="Guttman Drogolin" w:hint="cs"/>
          <w:rtl/>
          <w:lang w:bidi="he-IL"/>
        </w:rPr>
        <w:t>ביחד</w:t>
      </w:r>
      <w:r w:rsidR="00A9607D" w:rsidRPr="00882F11">
        <w:rPr>
          <w:rFonts w:cs="Guttman Drogolin"/>
          <w:rtl/>
          <w:lang w:bidi="he-IL"/>
        </w:rPr>
        <w:t xml:space="preserve"> </w:t>
      </w:r>
      <w:r w:rsidR="00A9607D" w:rsidRPr="00882F11">
        <w:rPr>
          <w:rFonts w:cs="Guttman Drogolin" w:hint="cs"/>
          <w:rtl/>
          <w:lang w:bidi="he-IL"/>
        </w:rPr>
        <w:t>בדרך</w:t>
      </w:r>
      <w:r w:rsidR="00A9607D" w:rsidRPr="00882F11">
        <w:rPr>
          <w:rFonts w:cs="Guttman Drogolin"/>
          <w:rtl/>
          <w:lang w:bidi="he-IL"/>
        </w:rPr>
        <w:t xml:space="preserve"> </w:t>
      </w:r>
      <w:r w:rsidR="00A9607D" w:rsidRPr="00882F11">
        <w:rPr>
          <w:rFonts w:cs="Guttman Drogolin" w:hint="cs"/>
          <w:rtl/>
          <w:lang w:bidi="he-IL"/>
        </w:rPr>
        <w:t>שנאסרים". וע' בדרכ"מ שמבואר הטעם להתיר בזה משום דלא מחזקינן איסורא. וכן הביא בביאור הגר"א כאן. אמנם הט"ז ס"ק י"ד הביא מאו"ה הטעם משום ספק ספיקא, ספק שמא לא הודחו יחד, ושמא לא היתה בן יומו. ומשמע שאם אין ספק ס</w:t>
      </w:r>
      <w:r w:rsidR="000C18B9" w:rsidRPr="00882F11">
        <w:rPr>
          <w:rFonts w:cs="Guttman Drogolin" w:hint="cs"/>
          <w:rtl/>
          <w:lang w:bidi="he-IL"/>
        </w:rPr>
        <w:t>פ</w:t>
      </w:r>
      <w:r w:rsidR="00A9607D" w:rsidRPr="00882F11">
        <w:rPr>
          <w:rFonts w:cs="Guttman Drogolin" w:hint="cs"/>
          <w:rtl/>
          <w:lang w:bidi="he-IL"/>
        </w:rPr>
        <w:t xml:space="preserve">יקא אין להתיר. וע'"ש במש"ז שנפק"מ ביניהם בדליכא אלא ספק א', והביא מפר"ח להחמיר, ומבל"י להחמיר לכתחילה, אבל בכלי חרס הקיל אחרי שהמתין מעל"ע. ומעשה שהי במי שמצא סכו"ם א' של חמץ בין השאר שהיו של פסח ולא הי' ידוע אם הודחו יחד או לא, ומצד א' אין לצרף הא דהיתה אינו בן יומו, ומאידך אולי יש לצרף במקום הדחק כיון שיש מקילים באב"י בשעה"ד. </w:t>
      </w:r>
      <w:r w:rsidR="00FD1CD5" w:rsidRPr="00882F11">
        <w:rPr>
          <w:rFonts w:cs="Guttman Drogolin" w:hint="cs"/>
          <w:rtl/>
          <w:lang w:bidi="he-IL"/>
        </w:rPr>
        <w:t>ובבדה"ש הסיק דצ"ע לדינא בין בשיטות, ושם בציונים כתב בשם יד יהודה שהסומך להקל בזה לא הפסיד.</w:t>
      </w:r>
    </w:p>
    <w:p w:rsidR="00FD1CD5" w:rsidRPr="00882F11" w:rsidRDefault="00FD1CD5" w:rsidP="00FD1CD5">
      <w:pPr>
        <w:tabs>
          <w:tab w:val="right" w:pos="7497"/>
        </w:tabs>
        <w:bidi/>
        <w:jc w:val="both"/>
        <w:rPr>
          <w:rFonts w:cs="Guttman Drogolin"/>
          <w:rtl/>
          <w:lang w:bidi="he-IL"/>
        </w:rPr>
      </w:pPr>
      <w:r w:rsidRPr="00882F11">
        <w:rPr>
          <w:rFonts w:cs="Guttman Drogolin" w:hint="cs"/>
          <w:b/>
          <w:bCs/>
          <w:rtl/>
          <w:lang w:bidi="he-IL"/>
        </w:rPr>
        <w:t>הנחת בשר אצל חלב</w:t>
      </w:r>
    </w:p>
    <w:p w:rsidR="00186F3E" w:rsidRPr="00882F11" w:rsidRDefault="00FD1CD5" w:rsidP="00FD1CD5">
      <w:pPr>
        <w:tabs>
          <w:tab w:val="right" w:pos="7497"/>
        </w:tabs>
        <w:bidi/>
        <w:jc w:val="both"/>
        <w:rPr>
          <w:rFonts w:cs="Guttman Drogolin"/>
          <w:rtl/>
          <w:lang w:bidi="he-IL"/>
        </w:rPr>
      </w:pPr>
      <w:r w:rsidRPr="00882F11">
        <w:rPr>
          <w:rFonts w:cs="Guttman Drogolin" w:hint="cs"/>
          <w:rtl/>
          <w:lang w:bidi="he-IL"/>
        </w:rPr>
        <w:t>אע"פ שהמחבר בסע' ו' כתב להתיר ליתן בתוך תיבה כד של בשר אצל של חלב, כתב הרמ"א שיש</w:t>
      </w:r>
      <w:r w:rsidRPr="00882F11">
        <w:rPr>
          <w:rFonts w:cs="Guttman Drogolin"/>
          <w:rtl/>
          <w:lang w:bidi="he-IL"/>
        </w:rPr>
        <w:t xml:space="preserve"> </w:t>
      </w:r>
      <w:r w:rsidRPr="00882F11">
        <w:rPr>
          <w:rFonts w:cs="Guttman Drogolin" w:hint="cs"/>
          <w:rtl/>
          <w:lang w:bidi="he-IL"/>
        </w:rPr>
        <w:t>מחמירין</w:t>
      </w:r>
      <w:r w:rsidRPr="00882F11">
        <w:rPr>
          <w:rFonts w:cs="Guttman Drogolin"/>
          <w:rtl/>
          <w:lang w:bidi="he-IL"/>
        </w:rPr>
        <w:t xml:space="preserve"> </w:t>
      </w:r>
      <w:r w:rsidRPr="00882F11">
        <w:rPr>
          <w:rFonts w:cs="Guttman Drogolin" w:hint="cs"/>
          <w:rtl/>
          <w:lang w:bidi="he-IL"/>
        </w:rPr>
        <w:t>לכתחלה</w:t>
      </w:r>
      <w:r w:rsidRPr="00882F11">
        <w:rPr>
          <w:rFonts w:cs="Guttman Drogolin"/>
          <w:rtl/>
          <w:lang w:bidi="he-IL"/>
        </w:rPr>
        <w:t xml:space="preserve"> </w:t>
      </w:r>
      <w:r w:rsidRPr="00882F11">
        <w:rPr>
          <w:rFonts w:cs="Guttman Drogolin" w:hint="cs"/>
          <w:rtl/>
          <w:lang w:bidi="he-IL"/>
        </w:rPr>
        <w:t>ושטוב</w:t>
      </w:r>
      <w:r w:rsidRPr="00882F11">
        <w:rPr>
          <w:rFonts w:cs="Guttman Drogolin"/>
          <w:rtl/>
          <w:lang w:bidi="he-IL"/>
        </w:rPr>
        <w:t xml:space="preserve"> </w:t>
      </w:r>
      <w:r w:rsidRPr="00882F11">
        <w:rPr>
          <w:rFonts w:cs="Guttman Drogolin" w:hint="cs"/>
          <w:rtl/>
          <w:lang w:bidi="he-IL"/>
        </w:rPr>
        <w:t>ליזהר</w:t>
      </w:r>
      <w:r w:rsidRPr="00882F11">
        <w:rPr>
          <w:rFonts w:cs="Guttman Drogolin"/>
          <w:rtl/>
          <w:lang w:bidi="he-IL"/>
        </w:rPr>
        <w:t xml:space="preserve"> </w:t>
      </w:r>
      <w:r w:rsidRPr="00882F11">
        <w:rPr>
          <w:rFonts w:cs="Guttman Drogolin" w:hint="cs"/>
          <w:rtl/>
          <w:lang w:bidi="he-IL"/>
        </w:rPr>
        <w:t>לכתחלה</w:t>
      </w:r>
      <w:r w:rsidRPr="00882F11">
        <w:rPr>
          <w:rFonts w:cs="Guttman Drogolin"/>
          <w:rtl/>
          <w:lang w:bidi="he-IL"/>
        </w:rPr>
        <w:t xml:space="preserve"> </w:t>
      </w:r>
      <w:r w:rsidRPr="00882F11">
        <w:rPr>
          <w:rFonts w:cs="Guttman Drogolin" w:hint="cs"/>
          <w:rtl/>
          <w:lang w:bidi="he-IL"/>
        </w:rPr>
        <w:t>במקום</w:t>
      </w:r>
      <w:r w:rsidRPr="00882F11">
        <w:rPr>
          <w:rFonts w:cs="Guttman Drogolin"/>
          <w:rtl/>
          <w:lang w:bidi="he-IL"/>
        </w:rPr>
        <w:t xml:space="preserve"> </w:t>
      </w:r>
      <w:r w:rsidRPr="00882F11">
        <w:rPr>
          <w:rFonts w:cs="Guttman Drogolin" w:hint="cs"/>
          <w:rtl/>
          <w:lang w:bidi="he-IL"/>
        </w:rPr>
        <w:t>שאינו</w:t>
      </w:r>
      <w:r w:rsidRPr="00882F11">
        <w:rPr>
          <w:rFonts w:cs="Guttman Drogolin"/>
          <w:rtl/>
          <w:lang w:bidi="he-IL"/>
        </w:rPr>
        <w:t xml:space="preserve"> </w:t>
      </w:r>
      <w:r w:rsidRPr="00882F11">
        <w:rPr>
          <w:rFonts w:cs="Guttman Drogolin" w:hint="cs"/>
          <w:rtl/>
          <w:lang w:bidi="he-IL"/>
        </w:rPr>
        <w:t xml:space="preserve">צריך. ולכאורה נפק"מ גדולה במקררים של היום. אמנם הש"ך ס"ק כ"ד הקיל במכוסים, ועכ"פ לכאורה יש ענין להחמיר בזה שיהייו מכוסים, והיום באר"י שכיח שהחלב אינו </w:t>
      </w:r>
      <w:r w:rsidRPr="00882F11">
        <w:rPr>
          <w:rFonts w:cs="Guttman Drogolin" w:hint="cs"/>
          <w:rtl/>
          <w:lang w:bidi="he-IL"/>
        </w:rPr>
        <w:lastRenderedPageBreak/>
        <w:t>מכוסה, אולי יש ענין להחמיר שהסגיר השקית חלב, אמנם רוב העולם אינם מקפידים בזה. צ"ע</w:t>
      </w:r>
      <w:r w:rsidR="006E7CC5" w:rsidRPr="00882F11">
        <w:rPr>
          <w:rStyle w:val="FootnoteReference"/>
          <w:rFonts w:cs="Guttman Drogolin"/>
          <w:rtl/>
          <w:lang w:bidi="he-IL"/>
        </w:rPr>
        <w:footnoteReference w:id="302"/>
      </w:r>
      <w:r w:rsidRPr="00882F11">
        <w:rPr>
          <w:rFonts w:cs="Guttman Drogolin" w:hint="cs"/>
          <w:rtl/>
          <w:lang w:bidi="he-IL"/>
        </w:rPr>
        <w:t>.</w:t>
      </w:r>
    </w:p>
    <w:p w:rsidR="004E1558" w:rsidRPr="00882F11" w:rsidRDefault="004E1558" w:rsidP="004E1558">
      <w:pPr>
        <w:tabs>
          <w:tab w:val="right" w:pos="7497"/>
        </w:tabs>
        <w:bidi/>
        <w:jc w:val="both"/>
        <w:rPr>
          <w:rFonts w:cs="Guttman Drogolin"/>
          <w:rtl/>
          <w:lang w:bidi="he-IL"/>
        </w:rPr>
        <w:sectPr w:rsidR="004E1558" w:rsidRPr="00882F11" w:rsidSect="0000469F">
          <w:type w:val="continuous"/>
          <w:pgSz w:w="11907" w:h="16839" w:code="9"/>
          <w:pgMar w:top="1440" w:right="1440" w:bottom="1440" w:left="1440" w:header="720" w:footer="720" w:gutter="0"/>
          <w:cols w:num="2" w:space="720"/>
          <w:bidi/>
          <w:docGrid w:linePitch="360"/>
        </w:sectPr>
      </w:pPr>
    </w:p>
    <w:p w:rsidR="004E1558" w:rsidRPr="00882F11" w:rsidRDefault="004E1558" w:rsidP="004E1558">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ע'</w:t>
      </w:r>
    </w:p>
    <w:p w:rsidR="0000469F" w:rsidRDefault="0000469F" w:rsidP="0078079C">
      <w:pPr>
        <w:pStyle w:val="Heading1"/>
        <w:bidi/>
        <w:spacing w:before="0" w:line="360" w:lineRule="auto"/>
        <w:jc w:val="center"/>
        <w:rPr>
          <w:rFonts w:cs="Guttman Drogolin"/>
          <w:color w:val="auto"/>
          <w:sz w:val="24"/>
          <w:szCs w:val="24"/>
          <w:u w:val="single"/>
          <w:rtl/>
          <w:lang w:bidi="he-IL"/>
        </w:rPr>
        <w:sectPr w:rsidR="0000469F" w:rsidSect="0000469F">
          <w:headerReference w:type="default" r:id="rId55"/>
          <w:pgSz w:w="11907" w:h="16839" w:code="9"/>
          <w:pgMar w:top="1440" w:right="1440" w:bottom="1440" w:left="1440" w:header="720" w:footer="720" w:gutter="0"/>
          <w:cols w:space="720"/>
          <w:bidi/>
          <w:docGrid w:linePitch="360"/>
        </w:sectPr>
      </w:pPr>
    </w:p>
    <w:p w:rsidR="004E1558" w:rsidRPr="00882F11" w:rsidRDefault="00A33D04" w:rsidP="0078079C">
      <w:pPr>
        <w:pStyle w:val="Heading1"/>
        <w:bidi/>
        <w:spacing w:before="0" w:line="360" w:lineRule="auto"/>
        <w:jc w:val="center"/>
        <w:rPr>
          <w:rFonts w:cs="Guttman Drogolin"/>
          <w:color w:val="auto"/>
          <w:sz w:val="24"/>
          <w:szCs w:val="24"/>
          <w:u w:val="single"/>
          <w:rtl/>
          <w:lang w:bidi="he-IL"/>
        </w:rPr>
      </w:pPr>
      <w:bookmarkStart w:id="278" w:name="_Toc496175530"/>
      <w:r w:rsidRPr="00882F11">
        <w:rPr>
          <w:rFonts w:cs="Guttman Drogolin" w:hint="cs"/>
          <w:color w:val="auto"/>
          <w:sz w:val="24"/>
          <w:szCs w:val="24"/>
          <w:u w:val="single"/>
          <w:rtl/>
          <w:lang w:bidi="he-IL"/>
        </w:rPr>
        <w:lastRenderedPageBreak/>
        <w:t>הא דדב</w:t>
      </w:r>
      <w:r w:rsidR="004E1558" w:rsidRPr="00882F11">
        <w:rPr>
          <w:rFonts w:cs="Guttman Drogolin" w:hint="cs"/>
          <w:color w:val="auto"/>
          <w:sz w:val="24"/>
          <w:szCs w:val="24"/>
          <w:u w:val="single"/>
          <w:rtl/>
          <w:lang w:bidi="he-IL"/>
        </w:rPr>
        <w:t>ר חריף בולע ע"י דוחקא</w:t>
      </w:r>
      <w:bookmarkEnd w:id="278"/>
    </w:p>
    <w:p w:rsidR="00722208" w:rsidRPr="00882F11" w:rsidRDefault="00E3012A" w:rsidP="00722208">
      <w:pPr>
        <w:tabs>
          <w:tab w:val="right" w:pos="7497"/>
        </w:tabs>
        <w:bidi/>
        <w:jc w:val="both"/>
        <w:rPr>
          <w:rFonts w:cs="Guttman Drogolin"/>
          <w:rtl/>
          <w:lang w:bidi="he-IL"/>
        </w:rPr>
      </w:pPr>
      <w:r>
        <w:rPr>
          <w:rFonts w:cs="Guttman Drogolin"/>
          <w:rtl/>
          <w:lang w:bidi="he-IL"/>
        </w:rPr>
        <w:fldChar w:fldCharType="begin"/>
      </w:r>
      <w:r>
        <w:instrText xml:space="preserve"> XE "</w:instrText>
      </w:r>
      <w:r w:rsidRPr="001A37C8">
        <w:rPr>
          <w:rFonts w:hint="cs"/>
          <w:rtl/>
          <w:lang w:bidi="he-IL"/>
        </w:rPr>
        <w:instrText>דוחקא דסכינא</w:instrText>
      </w:r>
      <w:r w:rsidRPr="001A37C8">
        <w:rPr>
          <w:rtl/>
        </w:rPr>
        <w:instrText>:</w:instrText>
      </w:r>
      <w:r w:rsidRPr="001A37C8">
        <w:rPr>
          <w:rFonts w:hint="cs"/>
          <w:rtl/>
          <w:lang w:bidi="he-IL"/>
        </w:rPr>
        <w:instrText>בדבר חריף</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012E44">
        <w:rPr>
          <w:rFonts w:hint="cs"/>
          <w:rtl/>
          <w:lang w:bidi="he-IL"/>
        </w:rPr>
        <w:instrText>דבר חריף</w:instrText>
      </w:r>
      <w:r w:rsidRPr="00012E44">
        <w:rPr>
          <w:rtl/>
        </w:rPr>
        <w:instrText>:</w:instrText>
      </w:r>
      <w:r w:rsidRPr="00012E44">
        <w:rPr>
          <w:rFonts w:hint="cs"/>
          <w:rtl/>
          <w:lang w:bidi="he-IL"/>
        </w:rPr>
        <w:instrText>עם דוחקא דסכינא</w:instrText>
      </w:r>
      <w:r>
        <w:instrText xml:space="preserve">" </w:instrText>
      </w:r>
      <w:r>
        <w:rPr>
          <w:rFonts w:cs="Guttman Drogolin"/>
          <w:rtl/>
          <w:lang w:bidi="he-IL"/>
        </w:rPr>
        <w:fldChar w:fldCharType="end"/>
      </w:r>
      <w:r w:rsidR="004E1558" w:rsidRPr="00882F11">
        <w:rPr>
          <w:rFonts w:cs="Guttman Drogolin" w:hint="cs"/>
          <w:rtl/>
          <w:lang w:bidi="he-IL"/>
        </w:rPr>
        <w:t>בגמ' שבמס' חולין דף קי"א ע"ב לכאורה מבואר שיש חומרא של דבר חריף מעל שאר מאכלים לענין זה שהבליעות עוברים מא' לשני ע"י דוחקא דסכינא בלבד. והוא ממש"כ "אמר</w:t>
      </w:r>
      <w:r w:rsidR="004E1558" w:rsidRPr="00882F11">
        <w:rPr>
          <w:rFonts w:cs="Guttman Drogolin"/>
          <w:rtl/>
          <w:lang w:bidi="he-IL"/>
        </w:rPr>
        <w:t xml:space="preserve"> </w:t>
      </w:r>
      <w:r w:rsidR="004E1558" w:rsidRPr="00882F11">
        <w:rPr>
          <w:rFonts w:cs="Guttman Drogolin" w:hint="cs"/>
          <w:rtl/>
          <w:lang w:bidi="he-IL"/>
        </w:rPr>
        <w:t>חזקיה</w:t>
      </w:r>
      <w:r w:rsidR="004E1558" w:rsidRPr="00882F11">
        <w:rPr>
          <w:rFonts w:cs="Guttman Drogolin"/>
          <w:rtl/>
          <w:lang w:bidi="he-IL"/>
        </w:rPr>
        <w:t xml:space="preserve"> </w:t>
      </w:r>
      <w:r w:rsidR="004E1558" w:rsidRPr="00882F11">
        <w:rPr>
          <w:rFonts w:cs="Guttman Drogolin" w:hint="cs"/>
          <w:rtl/>
          <w:lang w:bidi="he-IL"/>
        </w:rPr>
        <w:t>משום</w:t>
      </w:r>
      <w:r w:rsidR="004E1558" w:rsidRPr="00882F11">
        <w:rPr>
          <w:rFonts w:cs="Guttman Drogolin"/>
          <w:rtl/>
          <w:lang w:bidi="he-IL"/>
        </w:rPr>
        <w:t xml:space="preserve"> </w:t>
      </w:r>
      <w:r w:rsidR="004E1558" w:rsidRPr="00882F11">
        <w:rPr>
          <w:rFonts w:cs="Guttman Drogolin" w:hint="cs"/>
          <w:rtl/>
          <w:lang w:bidi="he-IL"/>
        </w:rPr>
        <w:t>אביי</w:t>
      </w:r>
      <w:r w:rsidR="004E1558" w:rsidRPr="00882F11">
        <w:rPr>
          <w:rFonts w:cs="Guttman Drogolin"/>
          <w:rtl/>
          <w:lang w:bidi="he-IL"/>
        </w:rPr>
        <w:t xml:space="preserve"> </w:t>
      </w:r>
      <w:r w:rsidR="004E1558" w:rsidRPr="00882F11">
        <w:rPr>
          <w:rFonts w:cs="Guttman Drogolin" w:hint="cs"/>
          <w:rtl/>
          <w:lang w:bidi="he-IL"/>
        </w:rPr>
        <w:t>הלכתא</w:t>
      </w:r>
      <w:r w:rsidR="004E1558" w:rsidRPr="00882F11">
        <w:rPr>
          <w:rFonts w:cs="Guttman Drogolin"/>
          <w:rtl/>
          <w:lang w:bidi="he-IL"/>
        </w:rPr>
        <w:t xml:space="preserve"> </w:t>
      </w:r>
      <w:r w:rsidR="004E1558" w:rsidRPr="00882F11">
        <w:rPr>
          <w:rFonts w:cs="Guttman Drogolin" w:hint="cs"/>
          <w:rtl/>
          <w:lang w:bidi="he-IL"/>
        </w:rPr>
        <w:t>דגים</w:t>
      </w:r>
      <w:r w:rsidR="004E1558" w:rsidRPr="00882F11">
        <w:rPr>
          <w:rFonts w:cs="Guttman Drogolin"/>
          <w:rtl/>
          <w:lang w:bidi="he-IL"/>
        </w:rPr>
        <w:t xml:space="preserve"> </w:t>
      </w:r>
      <w:r w:rsidR="004E1558" w:rsidRPr="00882F11">
        <w:rPr>
          <w:rFonts w:cs="Guttman Drogolin" w:hint="cs"/>
          <w:rtl/>
          <w:lang w:bidi="he-IL"/>
        </w:rPr>
        <w:t>שעלו</w:t>
      </w:r>
      <w:r w:rsidR="004E1558" w:rsidRPr="00882F11">
        <w:rPr>
          <w:rFonts w:cs="Guttman Drogolin"/>
          <w:rtl/>
          <w:lang w:bidi="he-IL"/>
        </w:rPr>
        <w:t xml:space="preserve"> </w:t>
      </w:r>
      <w:r w:rsidR="004E1558" w:rsidRPr="00882F11">
        <w:rPr>
          <w:rFonts w:cs="Guttman Drogolin" w:hint="cs"/>
          <w:rtl/>
          <w:lang w:bidi="he-IL"/>
        </w:rPr>
        <w:t>בקערה</w:t>
      </w:r>
      <w:r w:rsidR="004E1558" w:rsidRPr="00882F11">
        <w:rPr>
          <w:rFonts w:cs="Guttman Drogolin"/>
          <w:rtl/>
          <w:lang w:bidi="he-IL"/>
        </w:rPr>
        <w:t xml:space="preserve"> </w:t>
      </w:r>
      <w:r w:rsidR="004E1558" w:rsidRPr="00882F11">
        <w:rPr>
          <w:rFonts w:cs="Guttman Drogolin" w:hint="cs"/>
          <w:rtl/>
          <w:lang w:bidi="he-IL"/>
        </w:rPr>
        <w:t>מותר</w:t>
      </w:r>
      <w:r w:rsidR="004E1558" w:rsidRPr="00882F11">
        <w:rPr>
          <w:rFonts w:cs="Guttman Drogolin"/>
          <w:rtl/>
          <w:lang w:bidi="he-IL"/>
        </w:rPr>
        <w:t xml:space="preserve"> </w:t>
      </w:r>
      <w:r w:rsidR="004E1558" w:rsidRPr="00882F11">
        <w:rPr>
          <w:rFonts w:cs="Guttman Drogolin" w:hint="cs"/>
          <w:rtl/>
          <w:lang w:bidi="he-IL"/>
        </w:rPr>
        <w:t>לאוכלן</w:t>
      </w:r>
      <w:r w:rsidR="004E1558" w:rsidRPr="00882F11">
        <w:rPr>
          <w:rFonts w:cs="Guttman Drogolin"/>
          <w:rtl/>
          <w:lang w:bidi="he-IL"/>
        </w:rPr>
        <w:t xml:space="preserve"> </w:t>
      </w:r>
      <w:r w:rsidR="004E1558" w:rsidRPr="00882F11">
        <w:rPr>
          <w:rFonts w:cs="Guttman Drogolin" w:hint="cs"/>
          <w:rtl/>
          <w:lang w:bidi="he-IL"/>
        </w:rPr>
        <w:t>בכותח [משום דהוי נ"ט בר נ"ט וכדמבואר שם בגמ']</w:t>
      </w:r>
      <w:r w:rsidR="004E1558" w:rsidRPr="00882F11">
        <w:rPr>
          <w:rFonts w:cs="Guttman Drogolin"/>
          <w:rtl/>
          <w:lang w:bidi="he-IL"/>
        </w:rPr>
        <w:t xml:space="preserve"> </w:t>
      </w:r>
      <w:r w:rsidR="004E1558" w:rsidRPr="00882F11">
        <w:rPr>
          <w:rFonts w:cs="Guttman Drogolin" w:hint="cs"/>
          <w:rtl/>
          <w:lang w:bidi="he-IL"/>
        </w:rPr>
        <w:t>צנון</w:t>
      </w:r>
      <w:r w:rsidR="004E1558" w:rsidRPr="00882F11">
        <w:rPr>
          <w:rFonts w:cs="Guttman Drogolin"/>
          <w:rtl/>
          <w:lang w:bidi="he-IL"/>
        </w:rPr>
        <w:t xml:space="preserve"> </w:t>
      </w:r>
      <w:r w:rsidR="004E1558" w:rsidRPr="00882F11">
        <w:rPr>
          <w:rFonts w:cs="Guttman Drogolin" w:hint="cs"/>
          <w:rtl/>
          <w:lang w:bidi="he-IL"/>
        </w:rPr>
        <w:t>שחתכו</w:t>
      </w:r>
      <w:r w:rsidR="004E1558" w:rsidRPr="00882F11">
        <w:rPr>
          <w:rFonts w:cs="Guttman Drogolin"/>
          <w:rtl/>
          <w:lang w:bidi="he-IL"/>
        </w:rPr>
        <w:t xml:space="preserve"> </w:t>
      </w:r>
      <w:r w:rsidR="004E1558" w:rsidRPr="00882F11">
        <w:rPr>
          <w:rFonts w:cs="Guttman Drogolin" w:hint="cs"/>
          <w:rtl/>
          <w:lang w:bidi="he-IL"/>
        </w:rPr>
        <w:t>בסכין</w:t>
      </w:r>
      <w:r w:rsidR="004E1558" w:rsidRPr="00882F11">
        <w:rPr>
          <w:rFonts w:cs="Guttman Drogolin"/>
          <w:rtl/>
          <w:lang w:bidi="he-IL"/>
        </w:rPr>
        <w:t xml:space="preserve"> </w:t>
      </w:r>
      <w:r w:rsidR="004E1558" w:rsidRPr="00882F11">
        <w:rPr>
          <w:rFonts w:cs="Guttman Drogolin" w:hint="cs"/>
          <w:rtl/>
          <w:lang w:bidi="he-IL"/>
        </w:rPr>
        <w:t>שחתך</w:t>
      </w:r>
      <w:r w:rsidR="004E1558" w:rsidRPr="00882F11">
        <w:rPr>
          <w:rFonts w:cs="Guttman Drogolin"/>
          <w:rtl/>
          <w:lang w:bidi="he-IL"/>
        </w:rPr>
        <w:t xml:space="preserve"> </w:t>
      </w:r>
      <w:r w:rsidR="004E1558" w:rsidRPr="00882F11">
        <w:rPr>
          <w:rFonts w:cs="Guttman Drogolin" w:hint="cs"/>
          <w:rtl/>
          <w:lang w:bidi="he-IL"/>
        </w:rPr>
        <w:t>בה</w:t>
      </w:r>
      <w:r w:rsidR="004E1558" w:rsidRPr="00882F11">
        <w:rPr>
          <w:rFonts w:cs="Guttman Drogolin"/>
          <w:rtl/>
          <w:lang w:bidi="he-IL"/>
        </w:rPr>
        <w:t xml:space="preserve"> </w:t>
      </w:r>
      <w:r w:rsidR="004E1558" w:rsidRPr="00882F11">
        <w:rPr>
          <w:rFonts w:cs="Guttman Drogolin" w:hint="cs"/>
          <w:rtl/>
          <w:lang w:bidi="he-IL"/>
        </w:rPr>
        <w:t>בשר</w:t>
      </w:r>
      <w:r w:rsidR="004E1558" w:rsidRPr="00882F11">
        <w:rPr>
          <w:rFonts w:cs="Guttman Drogolin"/>
          <w:rtl/>
          <w:lang w:bidi="he-IL"/>
        </w:rPr>
        <w:t xml:space="preserve"> </w:t>
      </w:r>
      <w:r w:rsidR="004E1558" w:rsidRPr="00882F11">
        <w:rPr>
          <w:rFonts w:cs="Guttman Drogolin" w:hint="cs"/>
          <w:rtl/>
          <w:lang w:bidi="he-IL"/>
        </w:rPr>
        <w:t>אסור</w:t>
      </w:r>
      <w:r w:rsidR="004E1558" w:rsidRPr="00882F11">
        <w:rPr>
          <w:rFonts w:cs="Guttman Drogolin"/>
          <w:rtl/>
          <w:lang w:bidi="he-IL"/>
        </w:rPr>
        <w:t xml:space="preserve"> </w:t>
      </w:r>
      <w:r w:rsidR="004E1558" w:rsidRPr="00882F11">
        <w:rPr>
          <w:rFonts w:cs="Guttman Drogolin" w:hint="cs"/>
          <w:rtl/>
          <w:lang w:bidi="he-IL"/>
        </w:rPr>
        <w:t>לאוכלו</w:t>
      </w:r>
      <w:r w:rsidR="004E1558" w:rsidRPr="00882F11">
        <w:rPr>
          <w:rFonts w:cs="Guttman Drogolin"/>
          <w:rtl/>
          <w:lang w:bidi="he-IL"/>
        </w:rPr>
        <w:t xml:space="preserve"> </w:t>
      </w:r>
      <w:r w:rsidR="004E1558" w:rsidRPr="00882F11">
        <w:rPr>
          <w:rFonts w:cs="Guttman Drogolin" w:hint="cs"/>
          <w:rtl/>
          <w:lang w:bidi="he-IL"/>
        </w:rPr>
        <w:t>בכותח וה</w:t>
      </w:r>
      <w:r w:rsidR="004E1558" w:rsidRPr="00882F11">
        <w:rPr>
          <w:rFonts w:cs="Guttman Drogolin"/>
          <w:rtl/>
          <w:lang w:bidi="he-IL"/>
        </w:rPr>
        <w:t>"</w:t>
      </w:r>
      <w:r w:rsidR="004E1558" w:rsidRPr="00882F11">
        <w:rPr>
          <w:rFonts w:cs="Guttman Drogolin" w:hint="cs"/>
          <w:rtl/>
          <w:lang w:bidi="he-IL"/>
        </w:rPr>
        <w:t>מ</w:t>
      </w:r>
      <w:r w:rsidR="004E1558" w:rsidRPr="00882F11">
        <w:rPr>
          <w:rFonts w:cs="Guttman Drogolin"/>
          <w:rtl/>
          <w:lang w:bidi="he-IL"/>
        </w:rPr>
        <w:t xml:space="preserve"> </w:t>
      </w:r>
      <w:r w:rsidR="004E1558" w:rsidRPr="00882F11">
        <w:rPr>
          <w:rFonts w:cs="Guttman Drogolin" w:hint="cs"/>
          <w:rtl/>
          <w:lang w:bidi="he-IL"/>
        </w:rPr>
        <w:t>צנון דאגב</w:t>
      </w:r>
      <w:r w:rsidR="004E1558" w:rsidRPr="00882F11">
        <w:rPr>
          <w:rFonts w:cs="Guttman Drogolin"/>
          <w:rtl/>
          <w:lang w:bidi="he-IL"/>
        </w:rPr>
        <w:t xml:space="preserve"> </w:t>
      </w:r>
      <w:r w:rsidR="004E1558" w:rsidRPr="00882F11">
        <w:rPr>
          <w:rFonts w:cs="Guttman Drogolin" w:hint="cs"/>
          <w:rtl/>
          <w:lang w:bidi="he-IL"/>
        </w:rPr>
        <w:t>חורפיה</w:t>
      </w:r>
      <w:r w:rsidR="004E1558" w:rsidRPr="00882F11">
        <w:rPr>
          <w:rFonts w:cs="Guttman Drogolin"/>
          <w:rtl/>
          <w:lang w:bidi="he-IL"/>
        </w:rPr>
        <w:t xml:space="preserve"> </w:t>
      </w:r>
      <w:r w:rsidR="004E1558" w:rsidRPr="00882F11">
        <w:rPr>
          <w:rFonts w:cs="Guttman Drogolin" w:hint="cs"/>
          <w:rtl/>
          <w:lang w:bidi="he-IL"/>
        </w:rPr>
        <w:t>בלע</w:t>
      </w:r>
      <w:r w:rsidR="004E1558" w:rsidRPr="00882F11">
        <w:rPr>
          <w:rFonts w:cs="Guttman Drogolin"/>
          <w:rtl/>
          <w:lang w:bidi="he-IL"/>
        </w:rPr>
        <w:t xml:space="preserve"> </w:t>
      </w:r>
      <w:r w:rsidR="004E1558" w:rsidRPr="00882F11">
        <w:rPr>
          <w:rFonts w:cs="Guttman Drogolin" w:hint="cs"/>
          <w:rtl/>
          <w:lang w:bidi="he-IL"/>
        </w:rPr>
        <w:t>אבל</w:t>
      </w:r>
      <w:r w:rsidR="004E1558" w:rsidRPr="00882F11">
        <w:rPr>
          <w:rFonts w:cs="Guttman Drogolin"/>
          <w:rtl/>
          <w:lang w:bidi="he-IL"/>
        </w:rPr>
        <w:t xml:space="preserve"> </w:t>
      </w:r>
      <w:r w:rsidR="004E1558" w:rsidRPr="00882F11">
        <w:rPr>
          <w:rFonts w:cs="Guttman Drogolin" w:hint="cs"/>
          <w:rtl/>
          <w:lang w:bidi="he-IL"/>
        </w:rPr>
        <w:t>קישות</w:t>
      </w:r>
      <w:r w:rsidR="004E1558" w:rsidRPr="00882F11">
        <w:rPr>
          <w:rFonts w:cs="Guttman Drogolin"/>
          <w:rtl/>
          <w:lang w:bidi="he-IL"/>
        </w:rPr>
        <w:t xml:space="preserve"> </w:t>
      </w:r>
      <w:r w:rsidR="004E1558" w:rsidRPr="00882F11">
        <w:rPr>
          <w:rFonts w:cs="Guttman Drogolin" w:hint="cs"/>
          <w:rtl/>
          <w:lang w:bidi="he-IL"/>
        </w:rPr>
        <w:t>גריר</w:t>
      </w:r>
      <w:r w:rsidR="004E1558" w:rsidRPr="00882F11">
        <w:rPr>
          <w:rFonts w:cs="Guttman Drogolin"/>
          <w:rtl/>
          <w:lang w:bidi="he-IL"/>
        </w:rPr>
        <w:t xml:space="preserve"> </w:t>
      </w:r>
      <w:r w:rsidR="004E1558" w:rsidRPr="00882F11">
        <w:rPr>
          <w:rFonts w:cs="Guttman Drogolin" w:hint="cs"/>
          <w:rtl/>
          <w:lang w:bidi="he-IL"/>
        </w:rPr>
        <w:t>לבי</w:t>
      </w:r>
      <w:r w:rsidR="004E1558" w:rsidRPr="00882F11">
        <w:rPr>
          <w:rFonts w:cs="Guttman Drogolin"/>
          <w:rtl/>
          <w:lang w:bidi="he-IL"/>
        </w:rPr>
        <w:t xml:space="preserve"> </w:t>
      </w:r>
      <w:r w:rsidR="004E1558" w:rsidRPr="00882F11">
        <w:rPr>
          <w:rFonts w:cs="Guttman Drogolin" w:hint="cs"/>
          <w:rtl/>
          <w:lang w:bidi="he-IL"/>
        </w:rPr>
        <w:t>פסקיה</w:t>
      </w:r>
      <w:r w:rsidR="004E1558" w:rsidRPr="00882F11">
        <w:rPr>
          <w:rFonts w:cs="Guttman Drogolin"/>
          <w:rtl/>
          <w:lang w:bidi="he-IL"/>
        </w:rPr>
        <w:t xml:space="preserve"> </w:t>
      </w:r>
      <w:r w:rsidR="004E1558" w:rsidRPr="00882F11">
        <w:rPr>
          <w:rFonts w:cs="Guttman Drogolin" w:hint="cs"/>
          <w:rtl/>
          <w:lang w:bidi="he-IL"/>
        </w:rPr>
        <w:t xml:space="preserve">ואכיל". </w:t>
      </w:r>
      <w:r w:rsidR="00612CAA" w:rsidRPr="00882F11">
        <w:rPr>
          <w:rFonts w:cs="Guttman Drogolin" w:hint="cs"/>
          <w:rtl/>
          <w:lang w:bidi="he-IL"/>
        </w:rPr>
        <w:t xml:space="preserve">אלא דהנה שם בפירש"י מבואר ב' פירושים </w:t>
      </w:r>
      <w:r w:rsidR="00722208" w:rsidRPr="00882F11">
        <w:rPr>
          <w:rFonts w:cs="Guttman Drogolin" w:hint="cs"/>
          <w:rtl/>
          <w:lang w:bidi="he-IL"/>
        </w:rPr>
        <w:t>אם הא דצנון שחתכו בסכין שחתך בה בשר מיירי בסכין מקונח או בסכין שיש עליו שמנונית. ולכאורה אם מיירי בסכין שיש עליו שמנונית לכאורה אין לנו מקור שיש לצנון כח לבלוע מן הדבר הבלוע שבתוך הסכין. והיינו שמוכח בגמ' שיש לצנון כח לבלוע יותר מקישות משום חריפותו, שבדבר חריף הרי הוא בולע מסכין שיש עליו שמנונית, אבל בקישות אינו בולע כלל ולכן אינו צריך אלא גרירה. אבל לעולם אין אפילו דבר חריף בולע מן הבלוע בסכין ע"י דוחקא דסכינא בלבד.</w:t>
      </w:r>
    </w:p>
    <w:p w:rsidR="000816D2" w:rsidRPr="00882F11" w:rsidRDefault="00722208" w:rsidP="005C0A6F">
      <w:pPr>
        <w:tabs>
          <w:tab w:val="right" w:pos="7497"/>
        </w:tabs>
        <w:bidi/>
        <w:jc w:val="both"/>
        <w:rPr>
          <w:rFonts w:cs="Guttman Drogolin"/>
          <w:rtl/>
          <w:lang w:bidi="he-IL"/>
        </w:rPr>
      </w:pPr>
      <w:r w:rsidRPr="00882F11">
        <w:rPr>
          <w:rFonts w:cs="Guttman Drogolin" w:hint="cs"/>
          <w:rtl/>
          <w:lang w:bidi="he-IL"/>
        </w:rPr>
        <w:t>אלא דהנה במס' ע"ז דף</w:t>
      </w:r>
      <w:r w:rsidR="000816D2" w:rsidRPr="00882F11">
        <w:rPr>
          <w:rFonts w:cs="Guttman Drogolin" w:hint="cs"/>
          <w:rtl/>
          <w:lang w:bidi="he-IL"/>
        </w:rPr>
        <w:t xml:space="preserve"> ל"ה ע"ב מבואר שקורט של חילתית</w:t>
      </w:r>
      <w:r w:rsidRPr="00882F11">
        <w:rPr>
          <w:rFonts w:cs="Guttman Drogolin" w:hint="cs"/>
          <w:rtl/>
          <w:lang w:bidi="he-IL"/>
        </w:rPr>
        <w:t xml:space="preserve"> </w:t>
      </w:r>
      <w:r w:rsidR="000816D2" w:rsidRPr="00882F11">
        <w:rPr>
          <w:rFonts w:cs="Guttman Drogolin" w:hint="cs"/>
          <w:rtl/>
          <w:lang w:bidi="he-IL"/>
        </w:rPr>
        <w:t xml:space="preserve">של עכו"ם אסור, ובדף </w:t>
      </w:r>
      <w:r w:rsidRPr="00882F11">
        <w:rPr>
          <w:rFonts w:cs="Guttman Drogolin" w:hint="cs"/>
          <w:rtl/>
          <w:lang w:bidi="he-IL"/>
        </w:rPr>
        <w:t xml:space="preserve">ל"ט ע"א מבואר </w:t>
      </w:r>
      <w:r w:rsidR="000816D2" w:rsidRPr="00882F11">
        <w:rPr>
          <w:rFonts w:cs="Guttman Drogolin" w:hint="cs"/>
          <w:rtl/>
          <w:lang w:bidi="he-IL"/>
        </w:rPr>
        <w:t>הטעם</w:t>
      </w:r>
      <w:r w:rsidRPr="00882F11">
        <w:rPr>
          <w:rFonts w:cs="Guttman Drogolin"/>
          <w:rtl/>
          <w:lang w:bidi="he-IL"/>
        </w:rPr>
        <w:t xml:space="preserve"> </w:t>
      </w:r>
      <w:r w:rsidRPr="00882F11">
        <w:rPr>
          <w:rFonts w:cs="Guttman Drogolin" w:hint="cs"/>
          <w:rtl/>
          <w:lang w:bidi="he-IL"/>
        </w:rPr>
        <w:t>משום</w:t>
      </w:r>
      <w:r w:rsidRPr="00882F11">
        <w:rPr>
          <w:rFonts w:cs="Guttman Drogolin"/>
          <w:rtl/>
          <w:lang w:bidi="he-IL"/>
        </w:rPr>
        <w:t xml:space="preserve"> </w:t>
      </w:r>
      <w:r w:rsidRPr="00882F11">
        <w:rPr>
          <w:rFonts w:cs="Guttman Drogolin" w:hint="cs"/>
          <w:rtl/>
          <w:lang w:bidi="he-IL"/>
        </w:rPr>
        <w:t>דמפסקי</w:t>
      </w:r>
      <w:r w:rsidRPr="00882F11">
        <w:rPr>
          <w:rFonts w:cs="Guttman Drogolin"/>
          <w:rtl/>
          <w:lang w:bidi="he-IL"/>
        </w:rPr>
        <w:t xml:space="preserve"> </w:t>
      </w:r>
      <w:r w:rsidRPr="00882F11">
        <w:rPr>
          <w:rFonts w:cs="Guttman Drogolin" w:hint="cs"/>
          <w:rtl/>
          <w:lang w:bidi="he-IL"/>
        </w:rPr>
        <w:t>ליה</w:t>
      </w:r>
      <w:r w:rsidRPr="00882F11">
        <w:rPr>
          <w:rFonts w:cs="Guttman Drogolin"/>
          <w:rtl/>
          <w:lang w:bidi="he-IL"/>
        </w:rPr>
        <w:t xml:space="preserve"> </w:t>
      </w:r>
      <w:r w:rsidRPr="00882F11">
        <w:rPr>
          <w:rFonts w:cs="Guttman Drogolin" w:hint="cs"/>
          <w:rtl/>
          <w:lang w:bidi="he-IL"/>
        </w:rPr>
        <w:t>בסכינא</w:t>
      </w:r>
      <w:r w:rsidR="000816D2" w:rsidRPr="00882F11">
        <w:rPr>
          <w:rFonts w:cs="Guttman Drogolin" w:hint="cs"/>
          <w:rtl/>
          <w:lang w:bidi="he-IL"/>
        </w:rPr>
        <w:t>,</w:t>
      </w:r>
      <w:r w:rsidRPr="00882F11">
        <w:rPr>
          <w:rFonts w:cs="Guttman Drogolin"/>
          <w:rtl/>
          <w:lang w:bidi="he-IL"/>
        </w:rPr>
        <w:t xml:space="preserve"> </w:t>
      </w:r>
      <w:r w:rsidR="000816D2" w:rsidRPr="00882F11">
        <w:rPr>
          <w:rFonts w:cs="Guttman Drogolin" w:hint="cs"/>
          <w:rtl/>
          <w:lang w:bidi="he-IL"/>
        </w:rPr>
        <w:t>ו</w:t>
      </w:r>
      <w:r w:rsidRPr="00882F11">
        <w:rPr>
          <w:rFonts w:cs="Guttman Drogolin" w:hint="cs"/>
          <w:rtl/>
          <w:lang w:bidi="he-IL"/>
        </w:rPr>
        <w:t>אף</w:t>
      </w:r>
      <w:r w:rsidRPr="00882F11">
        <w:rPr>
          <w:rFonts w:cs="Guttman Drogolin"/>
          <w:rtl/>
          <w:lang w:bidi="he-IL"/>
        </w:rPr>
        <w:t xml:space="preserve"> </w:t>
      </w:r>
      <w:r w:rsidRPr="00882F11">
        <w:rPr>
          <w:rFonts w:cs="Guttman Drogolin" w:hint="cs"/>
          <w:rtl/>
          <w:lang w:bidi="he-IL"/>
        </w:rPr>
        <w:t>על</w:t>
      </w:r>
      <w:r w:rsidRPr="00882F11">
        <w:rPr>
          <w:rFonts w:cs="Guttman Drogolin"/>
          <w:rtl/>
          <w:lang w:bidi="he-IL"/>
        </w:rPr>
        <w:t xml:space="preserve"> </w:t>
      </w:r>
      <w:r w:rsidRPr="00882F11">
        <w:rPr>
          <w:rFonts w:cs="Guttman Drogolin" w:hint="cs"/>
          <w:rtl/>
          <w:lang w:bidi="he-IL"/>
        </w:rPr>
        <w:t>גב</w:t>
      </w:r>
      <w:r w:rsidRPr="00882F11">
        <w:rPr>
          <w:rFonts w:cs="Guttman Drogolin"/>
          <w:rtl/>
          <w:lang w:bidi="he-IL"/>
        </w:rPr>
        <w:t xml:space="preserve"> </w:t>
      </w:r>
      <w:r w:rsidRPr="00882F11">
        <w:rPr>
          <w:rFonts w:cs="Guttman Drogolin" w:hint="cs"/>
          <w:rtl/>
          <w:lang w:bidi="he-IL"/>
        </w:rPr>
        <w:t>ד</w:t>
      </w:r>
      <w:r w:rsidR="000816D2" w:rsidRPr="00882F11">
        <w:rPr>
          <w:rFonts w:cs="Guttman Drogolin" w:hint="cs"/>
          <w:rtl/>
          <w:lang w:bidi="he-IL"/>
        </w:rPr>
        <w:t>קיי"ל</w:t>
      </w:r>
      <w:r w:rsidRPr="00882F11">
        <w:rPr>
          <w:rFonts w:cs="Guttman Drogolin"/>
          <w:rtl/>
          <w:lang w:bidi="he-IL"/>
        </w:rPr>
        <w:t xml:space="preserve"> </w:t>
      </w:r>
      <w:r w:rsidR="000816D2" w:rsidRPr="00882F11">
        <w:rPr>
          <w:rFonts w:cs="Guttman Drogolin" w:hint="cs"/>
          <w:rtl/>
          <w:lang w:bidi="he-IL"/>
        </w:rPr>
        <w:t>ש</w:t>
      </w:r>
      <w:r w:rsidRPr="00882F11">
        <w:rPr>
          <w:rFonts w:cs="Guttman Drogolin" w:hint="cs"/>
          <w:rtl/>
          <w:lang w:bidi="he-IL"/>
        </w:rPr>
        <w:t>נותן</w:t>
      </w:r>
      <w:r w:rsidRPr="00882F11">
        <w:rPr>
          <w:rFonts w:cs="Guttman Drogolin"/>
          <w:rtl/>
          <w:lang w:bidi="he-IL"/>
        </w:rPr>
        <w:t xml:space="preserve"> </w:t>
      </w:r>
      <w:r w:rsidRPr="00882F11">
        <w:rPr>
          <w:rFonts w:cs="Guttman Drogolin" w:hint="cs"/>
          <w:rtl/>
          <w:lang w:bidi="he-IL"/>
        </w:rPr>
        <w:t>טעם</w:t>
      </w:r>
      <w:r w:rsidRPr="00882F11">
        <w:rPr>
          <w:rFonts w:cs="Guttman Drogolin"/>
          <w:rtl/>
          <w:lang w:bidi="he-IL"/>
        </w:rPr>
        <w:t xml:space="preserve"> </w:t>
      </w:r>
      <w:r w:rsidRPr="00882F11">
        <w:rPr>
          <w:rFonts w:cs="Guttman Drogolin" w:hint="cs"/>
          <w:rtl/>
          <w:lang w:bidi="he-IL"/>
        </w:rPr>
        <w:t>לפגם</w:t>
      </w:r>
      <w:r w:rsidRPr="00882F11">
        <w:rPr>
          <w:rFonts w:cs="Guttman Drogolin"/>
          <w:rtl/>
          <w:lang w:bidi="he-IL"/>
        </w:rPr>
        <w:t xml:space="preserve"> </w:t>
      </w:r>
      <w:r w:rsidRPr="00882F11">
        <w:rPr>
          <w:rFonts w:cs="Guttman Drogolin" w:hint="cs"/>
          <w:rtl/>
          <w:lang w:bidi="he-IL"/>
        </w:rPr>
        <w:t>מותר</w:t>
      </w:r>
      <w:r w:rsidRPr="00882F11">
        <w:rPr>
          <w:rFonts w:cs="Guttman Drogolin"/>
          <w:rtl/>
          <w:lang w:bidi="he-IL"/>
        </w:rPr>
        <w:t xml:space="preserve"> </w:t>
      </w:r>
      <w:r w:rsidR="000816D2" w:rsidRPr="00882F11">
        <w:rPr>
          <w:rFonts w:cs="Guttman Drogolin" w:hint="cs"/>
          <w:rtl/>
          <w:lang w:bidi="he-IL"/>
        </w:rPr>
        <w:t>"</w:t>
      </w:r>
      <w:r w:rsidRPr="00882F11">
        <w:rPr>
          <w:rFonts w:cs="Guttman Drogolin" w:hint="cs"/>
          <w:rtl/>
          <w:lang w:bidi="he-IL"/>
        </w:rPr>
        <w:t>אגב</w:t>
      </w:r>
      <w:r w:rsidRPr="00882F11">
        <w:rPr>
          <w:rFonts w:cs="Guttman Drogolin"/>
          <w:rtl/>
          <w:lang w:bidi="he-IL"/>
        </w:rPr>
        <w:t xml:space="preserve"> </w:t>
      </w:r>
      <w:r w:rsidRPr="00882F11">
        <w:rPr>
          <w:rFonts w:cs="Guttman Drogolin" w:hint="cs"/>
          <w:rtl/>
          <w:lang w:bidi="he-IL"/>
        </w:rPr>
        <w:t>חורפיה</w:t>
      </w:r>
      <w:r w:rsidRPr="00882F11">
        <w:rPr>
          <w:rFonts w:cs="Guttman Drogolin"/>
          <w:rtl/>
          <w:lang w:bidi="he-IL"/>
        </w:rPr>
        <w:t xml:space="preserve"> </w:t>
      </w:r>
      <w:r w:rsidRPr="00882F11">
        <w:rPr>
          <w:rFonts w:cs="Guttman Drogolin" w:hint="cs"/>
          <w:rtl/>
          <w:lang w:bidi="he-IL"/>
        </w:rPr>
        <w:t>דחילתיתא</w:t>
      </w:r>
      <w:r w:rsidRPr="00882F11">
        <w:rPr>
          <w:rFonts w:cs="Guttman Drogolin"/>
          <w:rtl/>
          <w:lang w:bidi="he-IL"/>
        </w:rPr>
        <w:t xml:space="preserve"> </w:t>
      </w:r>
      <w:r w:rsidRPr="00882F11">
        <w:rPr>
          <w:rFonts w:cs="Guttman Drogolin" w:hint="cs"/>
          <w:rtl/>
          <w:lang w:bidi="he-IL"/>
        </w:rPr>
        <w:t>מחליא</w:t>
      </w:r>
      <w:r w:rsidRPr="00882F11">
        <w:rPr>
          <w:rFonts w:cs="Guttman Drogolin"/>
          <w:rtl/>
          <w:lang w:bidi="he-IL"/>
        </w:rPr>
        <w:t xml:space="preserve"> </w:t>
      </w:r>
      <w:r w:rsidRPr="00882F11">
        <w:rPr>
          <w:rFonts w:cs="Guttman Drogolin" w:hint="cs"/>
          <w:rtl/>
          <w:lang w:bidi="he-IL"/>
        </w:rPr>
        <w:t>ליה</w:t>
      </w:r>
      <w:r w:rsidRPr="00882F11">
        <w:rPr>
          <w:rFonts w:cs="Guttman Drogolin"/>
          <w:rtl/>
          <w:lang w:bidi="he-IL"/>
        </w:rPr>
        <w:t xml:space="preserve"> </w:t>
      </w:r>
      <w:r w:rsidRPr="00882F11">
        <w:rPr>
          <w:rFonts w:cs="Guttman Drogolin" w:hint="cs"/>
          <w:rtl/>
          <w:lang w:bidi="he-IL"/>
        </w:rPr>
        <w:t>שמנוניתא</w:t>
      </w:r>
      <w:r w:rsidRPr="00882F11">
        <w:rPr>
          <w:rFonts w:cs="Guttman Drogolin"/>
          <w:rtl/>
          <w:lang w:bidi="he-IL"/>
        </w:rPr>
        <w:t xml:space="preserve"> </w:t>
      </w:r>
      <w:r w:rsidRPr="00882F11">
        <w:rPr>
          <w:rFonts w:cs="Guttman Drogolin" w:hint="cs"/>
          <w:rtl/>
          <w:lang w:bidi="he-IL"/>
        </w:rPr>
        <w:t>והוה</w:t>
      </w:r>
      <w:r w:rsidRPr="00882F11">
        <w:rPr>
          <w:rFonts w:cs="Guttman Drogolin"/>
          <w:rtl/>
          <w:lang w:bidi="he-IL"/>
        </w:rPr>
        <w:t xml:space="preserve"> </w:t>
      </w:r>
      <w:r w:rsidRPr="00882F11">
        <w:rPr>
          <w:rFonts w:cs="Guttman Drogolin" w:hint="cs"/>
          <w:rtl/>
          <w:lang w:bidi="he-IL"/>
        </w:rPr>
        <w:t>ליה</w:t>
      </w:r>
      <w:r w:rsidRPr="00882F11">
        <w:rPr>
          <w:rFonts w:cs="Guttman Drogolin"/>
          <w:rtl/>
          <w:lang w:bidi="he-IL"/>
        </w:rPr>
        <w:t xml:space="preserve"> </w:t>
      </w:r>
      <w:r w:rsidRPr="00882F11">
        <w:rPr>
          <w:rFonts w:cs="Guttman Drogolin" w:hint="cs"/>
          <w:rtl/>
          <w:lang w:bidi="he-IL"/>
        </w:rPr>
        <w:t>כנותן</w:t>
      </w:r>
      <w:r w:rsidRPr="00882F11">
        <w:rPr>
          <w:rFonts w:cs="Guttman Drogolin"/>
          <w:rtl/>
          <w:lang w:bidi="he-IL"/>
        </w:rPr>
        <w:t xml:space="preserve"> </w:t>
      </w:r>
      <w:r w:rsidRPr="00882F11">
        <w:rPr>
          <w:rFonts w:cs="Guttman Drogolin" w:hint="cs"/>
          <w:rtl/>
          <w:lang w:bidi="he-IL"/>
        </w:rPr>
        <w:t>טעם</w:t>
      </w:r>
      <w:r w:rsidRPr="00882F11">
        <w:rPr>
          <w:rFonts w:cs="Guttman Drogolin"/>
          <w:rtl/>
          <w:lang w:bidi="he-IL"/>
        </w:rPr>
        <w:t xml:space="preserve"> </w:t>
      </w:r>
      <w:r w:rsidRPr="00882F11">
        <w:rPr>
          <w:rFonts w:cs="Guttman Drogolin" w:hint="cs"/>
          <w:rtl/>
          <w:lang w:bidi="he-IL"/>
        </w:rPr>
        <w:t>לשבח</w:t>
      </w:r>
      <w:r w:rsidRPr="00882F11">
        <w:rPr>
          <w:rFonts w:cs="Guttman Drogolin"/>
          <w:rtl/>
          <w:lang w:bidi="he-IL"/>
        </w:rPr>
        <w:t xml:space="preserve"> </w:t>
      </w:r>
      <w:r w:rsidRPr="00882F11">
        <w:rPr>
          <w:rFonts w:cs="Guttman Drogolin" w:hint="cs"/>
          <w:rtl/>
          <w:lang w:bidi="he-IL"/>
        </w:rPr>
        <w:t>ואסור</w:t>
      </w:r>
      <w:r w:rsidR="000816D2" w:rsidRPr="00882F11">
        <w:rPr>
          <w:rFonts w:cs="Guttman Drogolin" w:hint="cs"/>
          <w:rtl/>
          <w:lang w:bidi="he-IL"/>
        </w:rPr>
        <w:t xml:space="preserve">". ולכאורה י"ל היכי מיירי, שאם מיירי בסכין שיש עליו שמנונית, למה בעינן לי' לכללא דמחליא לי' לשבח, דמה"ת שאינו לשבח. אלא ע"כ מיירי בבלוע בסכין, וסתם כלים של עכו"ם אינם בני יומן, ומשו"ה ס"ד שהוא מותר מדין נטל"פ, וקמ"ל דמחליא לי' לשבח. וא"כ לכאורה מוכח בגמ' שיש לדבר חריף התכונה </w:t>
      </w:r>
      <w:r w:rsidR="000816D2" w:rsidRPr="00882F11">
        <w:rPr>
          <w:rFonts w:cs="Guttman Drogolin" w:hint="cs"/>
          <w:rtl/>
          <w:lang w:bidi="he-IL"/>
        </w:rPr>
        <w:lastRenderedPageBreak/>
        <w:t>לבלוע גם מן הבלוע בסכין ולא רק מן השמנונית. וכן הוכיח כאן הגר"א בס"ק ה'. וא"כ לכאורה הביאור בצד ברש"י דמיירי ביש עליו שמנונית, אין זה משום שאלמלא כן אינו בולע, רק דאלמלא כן הי' מותר ממדין נ"ט בר נ"ט. וא"כ יוצא שלכו"ע יש לצנון לבלוע מן הבלוע בסכין</w:t>
      </w:r>
      <w:bookmarkStart w:id="279" w:name="_Ref483303142"/>
      <w:r w:rsidR="001F504E" w:rsidRPr="00882F11">
        <w:rPr>
          <w:rStyle w:val="FootnoteReference"/>
          <w:rFonts w:cs="Guttman Drogolin"/>
          <w:rtl/>
          <w:lang w:bidi="he-IL"/>
        </w:rPr>
        <w:footnoteReference w:id="303"/>
      </w:r>
      <w:bookmarkEnd w:id="279"/>
      <w:r w:rsidR="000816D2" w:rsidRPr="00882F11">
        <w:rPr>
          <w:rFonts w:cs="Guttman Drogolin" w:hint="cs"/>
          <w:rtl/>
          <w:lang w:bidi="he-IL"/>
        </w:rPr>
        <w:t>.</w:t>
      </w:r>
    </w:p>
    <w:p w:rsidR="006E6AD6" w:rsidRPr="00882F11" w:rsidRDefault="006E6AD6" w:rsidP="006E6AD6">
      <w:pPr>
        <w:tabs>
          <w:tab w:val="right" w:pos="7497"/>
        </w:tabs>
        <w:bidi/>
        <w:jc w:val="both"/>
        <w:rPr>
          <w:rFonts w:cs="Guttman Drogolin"/>
          <w:rtl/>
          <w:lang w:bidi="he-IL"/>
        </w:rPr>
      </w:pPr>
      <w:r w:rsidRPr="00882F11">
        <w:rPr>
          <w:rFonts w:cs="Guttman Drogolin" w:hint="cs"/>
          <w:rtl/>
          <w:lang w:bidi="he-IL"/>
        </w:rPr>
        <w:t xml:space="preserve">והנה </w:t>
      </w:r>
      <w:r w:rsidR="000816D2" w:rsidRPr="00882F11">
        <w:rPr>
          <w:rFonts w:cs="Guttman Drogolin" w:hint="cs"/>
          <w:rtl/>
          <w:lang w:bidi="he-IL"/>
        </w:rPr>
        <w:t>שם ב</w:t>
      </w:r>
      <w:r w:rsidRPr="00882F11">
        <w:rPr>
          <w:rFonts w:cs="Guttman Drogolin" w:hint="cs"/>
          <w:rtl/>
          <w:lang w:bidi="he-IL"/>
        </w:rPr>
        <w:t>חי' ה</w:t>
      </w:r>
      <w:r w:rsidR="000816D2" w:rsidRPr="00882F11">
        <w:rPr>
          <w:rFonts w:cs="Guttman Drogolin" w:hint="cs"/>
          <w:rtl/>
          <w:lang w:bidi="he-IL"/>
        </w:rPr>
        <w:t xml:space="preserve">ריטב"א </w:t>
      </w:r>
      <w:r w:rsidRPr="00882F11">
        <w:rPr>
          <w:rFonts w:cs="Guttman Drogolin" w:hint="cs"/>
          <w:rtl/>
          <w:lang w:bidi="he-IL"/>
        </w:rPr>
        <w:t>מבואר שלמד הסוגיא דהתם דמיירי בדאיכא שמנונית ע"ג הסכין, והא דבעינן לי' לכללא דחורפי' מחליא לי' לשבח, היינו משום דקים להו לחז"ל שאלמלא כן הי' השמנונית נותן טעם לפגם. ולפירושו אין לנו ראי' מן הסוגיא דמס' עבודה זרה שדוחקא מבליע לתוך דבר חריף אפילו מן הבלוע שבתוכו. אמנם הריטב"א עצמו לא ביאר כן מטעם זה, רק משום דסבר שאין טעם לומר שהבליעות שאינן בני יומן יהפכו להיות לשבח. וכן מלשון רש"י הנ"ל במס' חולין נראה בהדיא שהנפק"מ בין אם</w:t>
      </w:r>
      <w:r w:rsidR="00CB4B19" w:rsidRPr="00882F11">
        <w:rPr>
          <w:rFonts w:cs="Guttman Drogolin" w:hint="cs"/>
          <w:rtl/>
          <w:lang w:bidi="he-IL"/>
        </w:rPr>
        <w:t xml:space="preserve"> </w:t>
      </w:r>
      <w:r w:rsidRPr="00882F11">
        <w:rPr>
          <w:rFonts w:cs="Guttman Drogolin" w:hint="cs"/>
          <w:rtl/>
          <w:lang w:bidi="he-IL"/>
        </w:rPr>
        <w:t>יש או אין שמנונית הוא לענין הדין של נ"ט בר נ"ט, ומשמע שלענין עצם הכח לבלוע לא איכפת לן אם יש שמנונית או לא. ויוצא לכאורה שהפשטות היא שדבר חריף יש לו כח לבלוע מן הבלוע בסכין ע"י דוחקא דסכינא אפילו צונן</w:t>
      </w:r>
      <w:r w:rsidR="00D673E0" w:rsidRPr="00882F11">
        <w:rPr>
          <w:rStyle w:val="FootnoteReference"/>
          <w:rFonts w:cs="Guttman Drogolin"/>
          <w:rtl/>
          <w:lang w:bidi="he-IL"/>
        </w:rPr>
        <w:footnoteReference w:id="304"/>
      </w:r>
      <w:r w:rsidRPr="00882F11">
        <w:rPr>
          <w:rFonts w:cs="Guttman Drogolin" w:hint="cs"/>
          <w:rtl/>
          <w:lang w:bidi="he-IL"/>
        </w:rPr>
        <w:t xml:space="preserve">.  </w:t>
      </w:r>
    </w:p>
    <w:p w:rsidR="006E6AD6" w:rsidRPr="002B5778" w:rsidRDefault="006E6AD6" w:rsidP="002B5778">
      <w:pPr>
        <w:pStyle w:val="Heading1"/>
        <w:bidi/>
        <w:spacing w:before="0" w:line="240" w:lineRule="auto"/>
        <w:jc w:val="center"/>
        <w:rPr>
          <w:rFonts w:cs="Guttman Drogolin"/>
          <w:color w:val="auto"/>
          <w:sz w:val="24"/>
          <w:szCs w:val="24"/>
          <w:u w:val="single"/>
          <w:rtl/>
          <w:lang w:bidi="he-IL"/>
        </w:rPr>
      </w:pPr>
      <w:bookmarkStart w:id="280" w:name="_Toc496175531"/>
      <w:r w:rsidRPr="002B5778">
        <w:rPr>
          <w:rFonts w:cs="Guttman Drogolin" w:hint="cs"/>
          <w:color w:val="auto"/>
          <w:sz w:val="24"/>
          <w:szCs w:val="24"/>
          <w:u w:val="single"/>
          <w:rtl/>
          <w:lang w:bidi="he-IL"/>
        </w:rPr>
        <w:t>עד כמה חודר הבליעה לתוך הדבר חריף ע"י דוחקא דסכינא</w:t>
      </w:r>
      <w:bookmarkEnd w:id="280"/>
    </w:p>
    <w:p w:rsidR="00AB67E8" w:rsidRPr="00882F11" w:rsidRDefault="00E3012A" w:rsidP="006E6AD6">
      <w:pPr>
        <w:tabs>
          <w:tab w:val="right" w:pos="7497"/>
        </w:tabs>
        <w:bidi/>
        <w:jc w:val="both"/>
        <w:rPr>
          <w:rFonts w:cs="Guttman Drogolin"/>
          <w:rtl/>
          <w:lang w:bidi="he-IL"/>
        </w:rPr>
      </w:pPr>
      <w:r>
        <w:rPr>
          <w:rFonts w:cs="Guttman Drogolin"/>
          <w:rtl/>
          <w:lang w:bidi="he-IL"/>
        </w:rPr>
        <w:fldChar w:fldCharType="begin"/>
      </w:r>
      <w:r>
        <w:instrText xml:space="preserve"> XE "</w:instrText>
      </w:r>
      <w:r w:rsidRPr="00C6695B">
        <w:rPr>
          <w:rFonts w:hint="cs"/>
          <w:rtl/>
          <w:lang w:bidi="he-IL"/>
        </w:rPr>
        <w:instrText>דבר חריף</w:instrText>
      </w:r>
      <w:r w:rsidRPr="00C6695B">
        <w:rPr>
          <w:rtl/>
        </w:rPr>
        <w:instrText>:</w:instrText>
      </w:r>
      <w:r w:rsidRPr="00C6695B">
        <w:rPr>
          <w:rFonts w:hint="cs"/>
          <w:rtl/>
          <w:lang w:bidi="he-IL"/>
        </w:rPr>
        <w:instrText>עם דוחקא דסכינא - עד כמה בולע</w:instrText>
      </w:r>
      <w:r>
        <w:instrText xml:space="preserve">" </w:instrText>
      </w:r>
      <w:r>
        <w:rPr>
          <w:rFonts w:cs="Guttman Drogolin"/>
          <w:rtl/>
          <w:lang w:bidi="he-IL"/>
        </w:rPr>
        <w:fldChar w:fldCharType="end"/>
      </w:r>
      <w:r w:rsidR="006E6AD6" w:rsidRPr="00882F11">
        <w:rPr>
          <w:rFonts w:cs="Guttman Drogolin" w:hint="cs"/>
          <w:rtl/>
          <w:lang w:bidi="he-IL"/>
        </w:rPr>
        <w:t>הגם שמבואר בגמ' שיש לדבר חריף כח לבלוע ע"י דוחקא דסכינא אפילו בדבר צונן, והפשטות היא שכן הדין אפילו אין שמנונית על פניו, מ"מ אינו מבואר בהדיא עד כמה הוא נבלע לתוך הדבר חריף.</w:t>
      </w:r>
      <w:r w:rsidR="00B5679E" w:rsidRPr="00882F11">
        <w:rPr>
          <w:rFonts w:cs="Guttman Drogolin" w:hint="cs"/>
          <w:rtl/>
          <w:lang w:bidi="he-IL"/>
        </w:rPr>
        <w:t xml:space="preserve"> והנה הראשונים למדו שבגמ' דמס' ע"ז הנ"ל מבואר שהחילתית נאסרת לגמרי </w:t>
      </w:r>
      <w:r w:rsidR="00AB67E8" w:rsidRPr="00882F11">
        <w:rPr>
          <w:rFonts w:cs="Guttman Drogolin" w:hint="cs"/>
          <w:rtl/>
          <w:lang w:bidi="he-IL"/>
        </w:rPr>
        <w:t xml:space="preserve">ומזה יצאו הראשנים לדון אם כן הדין בכל הדברים החריפים. </w:t>
      </w:r>
    </w:p>
    <w:p w:rsidR="00BC37AE" w:rsidRPr="00882F11" w:rsidRDefault="00AB67E8" w:rsidP="00BC37AE">
      <w:pPr>
        <w:tabs>
          <w:tab w:val="right" w:pos="7497"/>
        </w:tabs>
        <w:bidi/>
        <w:jc w:val="both"/>
        <w:rPr>
          <w:rFonts w:cs="Guttman Drogolin"/>
          <w:rtl/>
          <w:lang w:bidi="he-IL"/>
        </w:rPr>
      </w:pPr>
      <w:r w:rsidRPr="00882F11">
        <w:rPr>
          <w:rFonts w:cs="Guttman Drogolin" w:hint="cs"/>
          <w:rtl/>
          <w:lang w:bidi="he-IL"/>
        </w:rPr>
        <w:lastRenderedPageBreak/>
        <w:t>ו</w:t>
      </w:r>
      <w:r w:rsidR="00B5679E" w:rsidRPr="00882F11">
        <w:rPr>
          <w:rFonts w:cs="Guttman Drogolin" w:hint="cs"/>
          <w:rtl/>
          <w:lang w:bidi="he-IL"/>
        </w:rPr>
        <w:t>בב"י הביא בזה ג' שיטות. שיטת הרא"ש שאינו נבלע אלא כדי קליפה</w:t>
      </w:r>
      <w:r w:rsidRPr="00882F11">
        <w:rPr>
          <w:rFonts w:cs="Guttman Drogolin" w:hint="cs"/>
          <w:rtl/>
          <w:lang w:bidi="he-IL"/>
        </w:rPr>
        <w:t>. וכתב לענין הא דחילתית אסור כולו שאינו דומה, שקרטין של חילתית קטנים</w:t>
      </w:r>
      <w:r w:rsidRPr="00882F11">
        <w:rPr>
          <w:rFonts w:cs="Guttman Drogolin"/>
          <w:rtl/>
          <w:lang w:bidi="he-IL"/>
        </w:rPr>
        <w:t xml:space="preserve"> </w:t>
      </w:r>
      <w:r w:rsidRPr="00882F11">
        <w:rPr>
          <w:rFonts w:cs="Guttman Drogolin" w:hint="cs"/>
          <w:rtl/>
          <w:lang w:bidi="he-IL"/>
        </w:rPr>
        <w:t>ואין</w:t>
      </w:r>
      <w:r w:rsidRPr="00882F11">
        <w:rPr>
          <w:rFonts w:cs="Guttman Drogolin"/>
          <w:rtl/>
          <w:lang w:bidi="he-IL"/>
        </w:rPr>
        <w:t xml:space="preserve"> </w:t>
      </w:r>
      <w:r w:rsidRPr="00882F11">
        <w:rPr>
          <w:rFonts w:cs="Guttman Drogolin" w:hint="cs"/>
          <w:rtl/>
          <w:lang w:bidi="he-IL"/>
        </w:rPr>
        <w:t>יכול</w:t>
      </w:r>
      <w:r w:rsidRPr="00882F11">
        <w:rPr>
          <w:rFonts w:cs="Guttman Drogolin"/>
          <w:rtl/>
          <w:lang w:bidi="he-IL"/>
        </w:rPr>
        <w:t xml:space="preserve"> </w:t>
      </w:r>
      <w:r w:rsidRPr="00882F11">
        <w:rPr>
          <w:rFonts w:cs="Guttman Drogolin" w:hint="cs"/>
          <w:rtl/>
          <w:lang w:bidi="he-IL"/>
        </w:rPr>
        <w:t>לידע</w:t>
      </w:r>
      <w:r w:rsidRPr="00882F11">
        <w:rPr>
          <w:rFonts w:cs="Guttman Drogolin"/>
          <w:rtl/>
          <w:lang w:bidi="he-IL"/>
        </w:rPr>
        <w:t xml:space="preserve"> </w:t>
      </w:r>
      <w:r w:rsidRPr="00882F11">
        <w:rPr>
          <w:rFonts w:cs="Guttman Drogolin" w:hint="cs"/>
          <w:rtl/>
          <w:lang w:bidi="he-IL"/>
        </w:rPr>
        <w:t>באיזה</w:t>
      </w:r>
      <w:r w:rsidRPr="00882F11">
        <w:rPr>
          <w:rFonts w:cs="Guttman Drogolin"/>
          <w:rtl/>
          <w:lang w:bidi="he-IL"/>
        </w:rPr>
        <w:t xml:space="preserve"> </w:t>
      </w:r>
      <w:r w:rsidRPr="00882F11">
        <w:rPr>
          <w:rFonts w:cs="Guttman Drogolin" w:hint="cs"/>
          <w:rtl/>
          <w:lang w:bidi="he-IL"/>
        </w:rPr>
        <w:t>מקום</w:t>
      </w:r>
      <w:r w:rsidRPr="00882F11">
        <w:rPr>
          <w:rFonts w:cs="Guttman Drogolin"/>
          <w:rtl/>
          <w:lang w:bidi="he-IL"/>
        </w:rPr>
        <w:t xml:space="preserve"> </w:t>
      </w:r>
      <w:r w:rsidRPr="00882F11">
        <w:rPr>
          <w:rFonts w:cs="Guttman Drogolin" w:hint="cs"/>
          <w:rtl/>
          <w:lang w:bidi="he-IL"/>
        </w:rPr>
        <w:t>חתכוהו. ולשון זה משמע שבעצם יש בה עובי יותר מכדי קליפ</w:t>
      </w:r>
      <w:r w:rsidR="00914BB5" w:rsidRPr="00882F11">
        <w:rPr>
          <w:rFonts w:cs="Guttman Drogolin" w:hint="cs"/>
          <w:rtl/>
          <w:lang w:bidi="he-IL"/>
        </w:rPr>
        <w:t>ה והי' אפשר לקלוף רק שאין אנו י</w:t>
      </w:r>
      <w:r w:rsidRPr="00882F11">
        <w:rPr>
          <w:rFonts w:cs="Guttman Drogolin" w:hint="cs"/>
          <w:rtl/>
          <w:lang w:bidi="he-IL"/>
        </w:rPr>
        <w:t xml:space="preserve">ודעים איפה לקלוף. והרשב"א מביא מן הראב"ד </w:t>
      </w:r>
      <w:r w:rsidR="00BC37AE" w:rsidRPr="00882F11">
        <w:rPr>
          <w:rFonts w:cs="Guttman Drogolin" w:hint="cs"/>
          <w:rtl/>
          <w:lang w:bidi="he-IL"/>
        </w:rPr>
        <w:t xml:space="preserve">(וכן הוא בחידושי הראב"ד למס' ע"ז דף ע"ו ע"א ד"ה וסכין שאין) </w:t>
      </w:r>
      <w:r w:rsidRPr="00882F11">
        <w:rPr>
          <w:rFonts w:cs="Guttman Drogolin" w:hint="cs"/>
          <w:rtl/>
          <w:lang w:bidi="he-IL"/>
        </w:rPr>
        <w:t xml:space="preserve">שהוא אוסר בכדי נטילה, וביאר הראב"ד את טעמו משום שאסור משמע </w:t>
      </w:r>
      <w:r w:rsidR="00BC37AE" w:rsidRPr="00882F11">
        <w:rPr>
          <w:rFonts w:cs="Guttman Drogolin" w:hint="cs"/>
          <w:rtl/>
          <w:lang w:bidi="he-IL"/>
        </w:rPr>
        <w:t xml:space="preserve">איסור גדול, ואילו הי' אסור רק כדי קליפה הו"ל למימר הכי בהדיא. ובביאור הגר"א חידד ראי' זו, שהרי הגמ' ממשיך לכתוב שבחתך קישות צריך גרירה, ומשמע דצנון שהוא 'אסור' אוסר יותר מזה, וההפרש בין גרירה לקליפה הא הפרש כל שהוא. והרשב"א עצמו חלק על הראב"ד וכתב שהוא נכנס בכל הדבר חריף ואוסר את כולו, דנקט הראי' מחילתית כעיקר לכל הדברים החריפים. </w:t>
      </w:r>
    </w:p>
    <w:p w:rsidR="00996218" w:rsidRPr="00882F11" w:rsidRDefault="00BC37AE" w:rsidP="00BC37AE">
      <w:pPr>
        <w:tabs>
          <w:tab w:val="right" w:pos="7497"/>
        </w:tabs>
        <w:bidi/>
        <w:jc w:val="both"/>
        <w:rPr>
          <w:rFonts w:cs="Guttman Drogolin"/>
          <w:rtl/>
          <w:lang w:bidi="he-IL"/>
        </w:rPr>
      </w:pPr>
      <w:r w:rsidRPr="00882F11">
        <w:rPr>
          <w:rFonts w:cs="Guttman Drogolin" w:hint="cs"/>
          <w:rtl/>
          <w:lang w:bidi="he-IL"/>
        </w:rPr>
        <w:t>ולדינא המחבר כאן ברסי' צ"ו החמיר כשיטת הראב"ד אבל לא כרשב"א, אבל הרמ"א כתב להחמיר לכתחילה כרשב"א, ורק בדיעבד להקל כראב"ד. וע' בש"ך ס"ק י' כתב דב</w:t>
      </w:r>
      <w:r w:rsidR="008F6DBC" w:rsidRPr="00882F11">
        <w:rPr>
          <w:rFonts w:cs="Guttman Drogolin" w:hint="cs"/>
          <w:rtl/>
          <w:lang w:bidi="he-IL"/>
        </w:rPr>
        <w:t>ד</w:t>
      </w:r>
      <w:r w:rsidRPr="00882F11">
        <w:rPr>
          <w:rFonts w:cs="Guttman Drogolin" w:hint="cs"/>
          <w:rtl/>
          <w:lang w:bidi="he-IL"/>
        </w:rPr>
        <w:t>יעבד</w:t>
      </w:r>
      <w:r w:rsidR="00996218" w:rsidRPr="00882F11">
        <w:rPr>
          <w:rFonts w:cs="Guttman Drogolin" w:hint="cs"/>
          <w:rtl/>
          <w:lang w:bidi="he-IL"/>
        </w:rPr>
        <w:t xml:space="preserve"> ר"ל שכבר נתבשל עם דברים אחרים שאינו צריך אלא כנגד שיעור דכדי נטילה, ורע"א הביא ממנח"י להקל אפילו לאכלו במקום שאינו יכול להשיג מן המין ההוא באופן אחר. ונראה פשוט דכיון שנוקטים כשיטת הראב"ד בדיעבד, יוצא שלא קיי"ל כשיטת הרשב"א אלא לחומרא אבל לא לקולא. וא"כ לכאורה פשוט שאם יש ששים בכולו נגד האיסור שאי אפשר להתיר את הדבר חריף בלי נטילת מקום, דהא חיישינן שלא התפשט</w:t>
      </w:r>
      <w:r w:rsidR="008032E0" w:rsidRPr="00882F11">
        <w:rPr>
          <w:rStyle w:val="FootnoteReference"/>
          <w:rFonts w:cs="Guttman Drogolin"/>
          <w:rtl/>
          <w:lang w:bidi="he-IL"/>
        </w:rPr>
        <w:footnoteReference w:id="305"/>
      </w:r>
      <w:r w:rsidR="00996218" w:rsidRPr="00882F11">
        <w:rPr>
          <w:rFonts w:cs="Guttman Drogolin" w:hint="cs"/>
          <w:rtl/>
          <w:lang w:bidi="he-IL"/>
        </w:rPr>
        <w:t>.</w:t>
      </w:r>
    </w:p>
    <w:p w:rsidR="000279C6" w:rsidRPr="00882F11" w:rsidRDefault="000279C6" w:rsidP="0078079C">
      <w:pPr>
        <w:pStyle w:val="Heading1"/>
        <w:bidi/>
        <w:spacing w:before="0" w:line="360" w:lineRule="auto"/>
        <w:jc w:val="center"/>
        <w:rPr>
          <w:rFonts w:cs="Guttman Drogolin"/>
          <w:color w:val="auto"/>
          <w:sz w:val="24"/>
          <w:szCs w:val="24"/>
          <w:u w:val="single"/>
          <w:rtl/>
          <w:lang w:bidi="he-IL"/>
        </w:rPr>
      </w:pPr>
      <w:bookmarkStart w:id="281" w:name="_Toc496175532"/>
      <w:r w:rsidRPr="00882F11">
        <w:rPr>
          <w:rFonts w:cs="Guttman Drogolin" w:hint="cs"/>
          <w:color w:val="auto"/>
          <w:sz w:val="24"/>
          <w:szCs w:val="24"/>
          <w:u w:val="single"/>
          <w:rtl/>
          <w:lang w:bidi="he-IL"/>
        </w:rPr>
        <w:t>בהא דמהני טעימה בדבר חריף</w:t>
      </w:r>
      <w:bookmarkEnd w:id="281"/>
    </w:p>
    <w:p w:rsidR="00C92EA0" w:rsidRPr="00882F11" w:rsidRDefault="00E3012A" w:rsidP="000279C6">
      <w:pPr>
        <w:tabs>
          <w:tab w:val="right" w:pos="7497"/>
        </w:tabs>
        <w:bidi/>
        <w:jc w:val="both"/>
        <w:rPr>
          <w:rFonts w:cs="Guttman Drogolin"/>
          <w:rtl/>
          <w:lang w:bidi="he-IL"/>
        </w:rPr>
      </w:pPr>
      <w:r>
        <w:rPr>
          <w:rFonts w:cs="Guttman Drogolin"/>
          <w:rtl/>
          <w:lang w:bidi="he-IL"/>
        </w:rPr>
        <w:fldChar w:fldCharType="begin"/>
      </w:r>
      <w:r>
        <w:instrText xml:space="preserve"> XE "</w:instrText>
      </w:r>
      <w:r w:rsidRPr="00E204DA">
        <w:rPr>
          <w:rFonts w:hint="cs"/>
          <w:rtl/>
          <w:lang w:bidi="he-IL"/>
        </w:rPr>
        <w:instrText>דבר חריף</w:instrText>
      </w:r>
      <w:r w:rsidRPr="00E204DA">
        <w:rPr>
          <w:rtl/>
        </w:rPr>
        <w:instrText>:</w:instrText>
      </w:r>
      <w:r w:rsidRPr="00E204DA">
        <w:rPr>
          <w:rFonts w:hint="cs"/>
          <w:rtl/>
          <w:lang w:bidi="he-IL"/>
        </w:rPr>
        <w:instrText>אי מהני בה טעימה</w:instrText>
      </w:r>
      <w:r>
        <w:instrText xml:space="preserve">" </w:instrText>
      </w:r>
      <w:r>
        <w:rPr>
          <w:rFonts w:cs="Guttman Drogolin"/>
          <w:rtl/>
          <w:lang w:bidi="he-IL"/>
        </w:rPr>
        <w:fldChar w:fldCharType="end"/>
      </w:r>
      <w:r w:rsidR="000279C6" w:rsidRPr="00882F11">
        <w:rPr>
          <w:rFonts w:cs="Guttman Drogolin" w:hint="cs"/>
          <w:rtl/>
          <w:lang w:bidi="he-IL"/>
        </w:rPr>
        <w:t xml:space="preserve">כתוב בשו"ע שאם חתך צנון או סילקא בסכין של בשר דמהני טעימה. ולשיטת השו"ע עצמו פשוט דמהני טעימה, דהא זהו דין הגמ' דמהני טעימת קפילא, וכ"כ בשו"ע ברסי' צ"ח. אבל הרמ"א הרי </w:t>
      </w:r>
      <w:r w:rsidR="000279C6" w:rsidRPr="00882F11">
        <w:rPr>
          <w:rFonts w:cs="Guttman Drogolin" w:hint="cs"/>
          <w:rtl/>
          <w:lang w:bidi="he-IL"/>
        </w:rPr>
        <w:lastRenderedPageBreak/>
        <w:t xml:space="preserve">כתב שם שלא סמכינן אקפילא. אמנם כתב כאן הש"ך דאע"ג דגם אטעימת ישראל לא סמכינן לכתחילה, מ"מ בדיעבד סמכינן עלי'. ויוצא שאפילו לרמ"א מהני כאן הענין של טעימה. </w:t>
      </w:r>
      <w:r w:rsidR="00FD424D" w:rsidRPr="00882F11">
        <w:rPr>
          <w:rFonts w:cs="Guttman Drogolin" w:hint="cs"/>
          <w:rtl/>
          <w:lang w:bidi="he-IL"/>
        </w:rPr>
        <w:t xml:space="preserve">ובעצם הענין נראה יותר בסי' צ"ח, אבל אני רוצה לבאר ענין א' והוא דאיך יתכן לומר דלא סמכינן אטעימת ישראל, הא כל האיסור הוא משום דנותן טעם, ואם אין הטעם מורגש הרי מותר, וא"כ מאיזה טעם לא נסמוך אטעימת ישראל. ולכאורה הטעם משום שי"ל שטעמו ולאו אדעתי'. ור"ל </w:t>
      </w:r>
      <w:r w:rsidR="00C92EA0" w:rsidRPr="00882F11">
        <w:rPr>
          <w:rFonts w:cs="Guttman Drogolin" w:hint="cs"/>
          <w:rtl/>
          <w:lang w:bidi="he-IL"/>
        </w:rPr>
        <w:t>שאמנם טועם את האיסור בשעת אכילתו, מ"מ אינו יכול להבחין שהטעם שטועם הוא טעמא דאיסורא. ומשו"ה אי אפשר לסמוך אפילו אטעימת ישראל.</w:t>
      </w:r>
    </w:p>
    <w:p w:rsidR="00787BB4" w:rsidRPr="00882F11" w:rsidRDefault="00C92EA0" w:rsidP="00C92EA0">
      <w:pPr>
        <w:tabs>
          <w:tab w:val="right" w:pos="7497"/>
        </w:tabs>
        <w:bidi/>
        <w:jc w:val="both"/>
        <w:rPr>
          <w:rFonts w:cs="Guttman Drogolin"/>
          <w:rtl/>
          <w:lang w:bidi="he-IL"/>
        </w:rPr>
      </w:pPr>
      <w:r w:rsidRPr="00882F11">
        <w:rPr>
          <w:rFonts w:cs="Guttman Drogolin" w:hint="cs"/>
          <w:rtl/>
          <w:lang w:bidi="he-IL"/>
        </w:rPr>
        <w:t>ובעצם הענין דסמכינן אקפילא ע' בהגהות רע"א שכתב "נ</w:t>
      </w:r>
      <w:r w:rsidRPr="00882F11">
        <w:rPr>
          <w:rFonts w:cs="Guttman Drogolin"/>
          <w:rtl/>
          <w:lang w:bidi="he-IL"/>
        </w:rPr>
        <w:t>"</w:t>
      </w:r>
      <w:r w:rsidRPr="00882F11">
        <w:rPr>
          <w:rFonts w:cs="Guttman Drogolin" w:hint="cs"/>
          <w:rtl/>
          <w:lang w:bidi="he-IL"/>
        </w:rPr>
        <w:t>ל</w:t>
      </w:r>
      <w:r w:rsidRPr="00882F11">
        <w:rPr>
          <w:rFonts w:cs="Guttman Drogolin"/>
          <w:rtl/>
          <w:lang w:bidi="he-IL"/>
        </w:rPr>
        <w:t xml:space="preserve"> </w:t>
      </w:r>
      <w:r w:rsidRPr="00882F11">
        <w:rPr>
          <w:rFonts w:cs="Guttman Drogolin" w:hint="cs"/>
          <w:rtl/>
          <w:lang w:bidi="he-IL"/>
        </w:rPr>
        <w:t>פשוט</w:t>
      </w:r>
      <w:r w:rsidRPr="00882F11">
        <w:rPr>
          <w:rFonts w:cs="Guttman Drogolin"/>
          <w:rtl/>
          <w:lang w:bidi="he-IL"/>
        </w:rPr>
        <w:t xml:space="preserve"> </w:t>
      </w:r>
      <w:r w:rsidRPr="00882F11">
        <w:rPr>
          <w:rFonts w:cs="Guttman Drogolin" w:hint="cs"/>
          <w:rtl/>
          <w:lang w:bidi="he-IL"/>
        </w:rPr>
        <w:t>דהטעימה</w:t>
      </w:r>
      <w:r w:rsidRPr="00882F11">
        <w:rPr>
          <w:rFonts w:cs="Guttman Drogolin"/>
          <w:rtl/>
          <w:lang w:bidi="he-IL"/>
        </w:rPr>
        <w:t xml:space="preserve"> </w:t>
      </w:r>
      <w:r w:rsidRPr="00882F11">
        <w:rPr>
          <w:rFonts w:cs="Guttman Drogolin" w:hint="cs"/>
          <w:rtl/>
          <w:lang w:bidi="he-IL"/>
        </w:rPr>
        <w:t>צריך</w:t>
      </w:r>
      <w:r w:rsidRPr="00882F11">
        <w:rPr>
          <w:rFonts w:cs="Guttman Drogolin"/>
          <w:rtl/>
          <w:lang w:bidi="he-IL"/>
        </w:rPr>
        <w:t xml:space="preserve"> </w:t>
      </w:r>
      <w:r w:rsidRPr="00882F11">
        <w:rPr>
          <w:rFonts w:cs="Guttman Drogolin" w:hint="cs"/>
          <w:rtl/>
          <w:lang w:bidi="he-IL"/>
        </w:rPr>
        <w:t>להיות</w:t>
      </w:r>
      <w:r w:rsidRPr="00882F11">
        <w:rPr>
          <w:rFonts w:cs="Guttman Drogolin"/>
          <w:rtl/>
          <w:lang w:bidi="he-IL"/>
        </w:rPr>
        <w:t xml:space="preserve"> </w:t>
      </w:r>
      <w:r w:rsidRPr="00882F11">
        <w:rPr>
          <w:rFonts w:cs="Guttman Drogolin" w:hint="cs"/>
          <w:rtl/>
          <w:lang w:bidi="he-IL"/>
        </w:rPr>
        <w:t>ד</w:t>
      </w:r>
      <w:r w:rsidRPr="00882F11">
        <w:rPr>
          <w:rFonts w:cs="Guttman Drogolin"/>
          <w:rtl/>
          <w:lang w:bidi="he-IL"/>
        </w:rPr>
        <w:t>"</w:t>
      </w:r>
      <w:r w:rsidRPr="00882F11">
        <w:rPr>
          <w:rFonts w:cs="Guttman Drogolin" w:hint="cs"/>
          <w:rtl/>
          <w:lang w:bidi="he-IL"/>
        </w:rPr>
        <w:t>מ</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חתך</w:t>
      </w:r>
      <w:r w:rsidRPr="00882F11">
        <w:rPr>
          <w:rFonts w:cs="Guttman Drogolin"/>
          <w:rtl/>
          <w:lang w:bidi="he-IL"/>
        </w:rPr>
        <w:t xml:space="preserve"> </w:t>
      </w:r>
      <w:r w:rsidRPr="00882F11">
        <w:rPr>
          <w:rFonts w:cs="Guttman Drogolin" w:hint="cs"/>
          <w:rtl/>
          <w:lang w:bidi="he-IL"/>
        </w:rPr>
        <w:t>הצנון</w:t>
      </w:r>
      <w:r w:rsidRPr="00882F11">
        <w:rPr>
          <w:rFonts w:cs="Guttman Drogolin"/>
          <w:rtl/>
          <w:lang w:bidi="he-IL"/>
        </w:rPr>
        <w:t xml:space="preserve"> </w:t>
      </w:r>
      <w:r w:rsidRPr="00882F11">
        <w:rPr>
          <w:rFonts w:cs="Guttman Drogolin" w:hint="cs"/>
          <w:rtl/>
          <w:lang w:bidi="he-IL"/>
        </w:rPr>
        <w:t>לשנים</w:t>
      </w:r>
      <w:r w:rsidRPr="00882F11">
        <w:rPr>
          <w:rFonts w:cs="Guttman Drogolin"/>
          <w:rtl/>
          <w:lang w:bidi="he-IL"/>
        </w:rPr>
        <w:t xml:space="preserve"> </w:t>
      </w:r>
      <w:r w:rsidRPr="00882F11">
        <w:rPr>
          <w:rFonts w:cs="Guttman Drogolin" w:hint="cs"/>
          <w:rtl/>
          <w:lang w:bidi="he-IL"/>
        </w:rPr>
        <w:t>דממילא</w:t>
      </w:r>
      <w:r w:rsidRPr="00882F11">
        <w:rPr>
          <w:rFonts w:cs="Guttman Drogolin"/>
          <w:rtl/>
          <w:lang w:bidi="he-IL"/>
        </w:rPr>
        <w:t xml:space="preserve"> </w:t>
      </w:r>
      <w:r w:rsidRPr="00882F11">
        <w:rPr>
          <w:rFonts w:cs="Guttman Drogolin" w:hint="cs"/>
          <w:rtl/>
          <w:lang w:bidi="he-IL"/>
        </w:rPr>
        <w:t>הסכין</w:t>
      </w:r>
      <w:r w:rsidRPr="00882F11">
        <w:rPr>
          <w:rFonts w:cs="Guttman Drogolin"/>
          <w:rtl/>
          <w:lang w:bidi="he-IL"/>
        </w:rPr>
        <w:t xml:space="preserve"> </w:t>
      </w:r>
      <w:r w:rsidRPr="00882F11">
        <w:rPr>
          <w:rFonts w:cs="Guttman Drogolin" w:hint="cs"/>
          <w:rtl/>
          <w:lang w:bidi="he-IL"/>
        </w:rPr>
        <w:t>בדרך</w:t>
      </w:r>
      <w:r w:rsidRPr="00882F11">
        <w:rPr>
          <w:rFonts w:cs="Guttman Drogolin"/>
          <w:rtl/>
          <w:lang w:bidi="he-IL"/>
        </w:rPr>
        <w:t xml:space="preserve"> </w:t>
      </w:r>
      <w:r w:rsidRPr="00882F11">
        <w:rPr>
          <w:rFonts w:cs="Guttman Drogolin" w:hint="cs"/>
          <w:rtl/>
          <w:lang w:bidi="he-IL"/>
        </w:rPr>
        <w:t>חתיכתו</w:t>
      </w:r>
      <w:r w:rsidRPr="00882F11">
        <w:rPr>
          <w:rFonts w:cs="Guttman Drogolin"/>
          <w:rtl/>
          <w:lang w:bidi="he-IL"/>
        </w:rPr>
        <w:t xml:space="preserve"> </w:t>
      </w:r>
      <w:r w:rsidRPr="00882F11">
        <w:rPr>
          <w:rFonts w:cs="Guttman Drogolin" w:hint="cs"/>
          <w:rtl/>
          <w:lang w:bidi="he-IL"/>
        </w:rPr>
        <w:t>בכל</w:t>
      </w:r>
      <w:r w:rsidRPr="00882F11">
        <w:rPr>
          <w:rFonts w:cs="Guttman Drogolin"/>
          <w:rtl/>
          <w:lang w:bidi="he-IL"/>
        </w:rPr>
        <w:t xml:space="preserve"> </w:t>
      </w:r>
      <w:r w:rsidRPr="00882F11">
        <w:rPr>
          <w:rFonts w:cs="Guttman Drogolin" w:hint="cs"/>
          <w:rtl/>
          <w:lang w:bidi="he-IL"/>
        </w:rPr>
        <w:t>אורך</w:t>
      </w:r>
      <w:r w:rsidRPr="00882F11">
        <w:rPr>
          <w:rFonts w:cs="Guttman Drogolin"/>
          <w:rtl/>
          <w:lang w:bidi="he-IL"/>
        </w:rPr>
        <w:t xml:space="preserve"> </w:t>
      </w:r>
      <w:r w:rsidRPr="00882F11">
        <w:rPr>
          <w:rFonts w:cs="Guttman Drogolin" w:hint="cs"/>
          <w:rtl/>
          <w:lang w:bidi="he-IL"/>
        </w:rPr>
        <w:t>הצנון</w:t>
      </w:r>
      <w:r w:rsidRPr="00882F11">
        <w:rPr>
          <w:rFonts w:cs="Guttman Drogolin"/>
          <w:rtl/>
          <w:lang w:bidi="he-IL"/>
        </w:rPr>
        <w:t xml:space="preserve"> </w:t>
      </w:r>
      <w:r w:rsidRPr="00882F11">
        <w:rPr>
          <w:rFonts w:cs="Guttman Drogolin" w:hint="cs"/>
          <w:rtl/>
          <w:lang w:bidi="he-IL"/>
        </w:rPr>
        <w:t>בעומק</w:t>
      </w:r>
      <w:r w:rsidRPr="00882F11">
        <w:rPr>
          <w:rFonts w:cs="Guttman Drogolin"/>
          <w:rtl/>
          <w:lang w:bidi="he-IL"/>
        </w:rPr>
        <w:t xml:space="preserve"> </w:t>
      </w:r>
      <w:r w:rsidRPr="00882F11">
        <w:rPr>
          <w:rFonts w:cs="Guttman Drogolin" w:hint="cs"/>
          <w:rtl/>
          <w:lang w:bidi="he-IL"/>
        </w:rPr>
        <w:t>עובי</w:t>
      </w:r>
      <w:r w:rsidRPr="00882F11">
        <w:rPr>
          <w:rFonts w:cs="Guttman Drogolin"/>
          <w:rtl/>
          <w:lang w:bidi="he-IL"/>
        </w:rPr>
        <w:t xml:space="preserve"> </w:t>
      </w:r>
      <w:r w:rsidRPr="00882F11">
        <w:rPr>
          <w:rFonts w:cs="Guttman Drogolin" w:hint="cs"/>
          <w:rtl/>
          <w:lang w:bidi="he-IL"/>
        </w:rPr>
        <w:t>אצבע</w:t>
      </w:r>
      <w:r w:rsidRPr="00882F11">
        <w:rPr>
          <w:rFonts w:cs="Guttman Drogolin"/>
          <w:rtl/>
          <w:lang w:bidi="he-IL"/>
        </w:rPr>
        <w:t xml:space="preserve"> </w:t>
      </w:r>
      <w:r w:rsidRPr="00882F11">
        <w:rPr>
          <w:rFonts w:cs="Guttman Drogolin" w:hint="cs"/>
          <w:rtl/>
          <w:lang w:bidi="he-IL"/>
        </w:rPr>
        <w:t>דג</w:t>
      </w:r>
      <w:r w:rsidRPr="00882F11">
        <w:rPr>
          <w:rFonts w:cs="Guttman Drogolin"/>
          <w:rtl/>
          <w:lang w:bidi="he-IL"/>
        </w:rPr>
        <w:t>"</w:t>
      </w:r>
      <w:r w:rsidRPr="00882F11">
        <w:rPr>
          <w:rFonts w:cs="Guttman Drogolin" w:hint="cs"/>
          <w:rtl/>
          <w:lang w:bidi="he-IL"/>
        </w:rPr>
        <w:t>כ</w:t>
      </w:r>
      <w:r w:rsidRPr="00882F11">
        <w:rPr>
          <w:rFonts w:cs="Guttman Drogolin"/>
          <w:rtl/>
          <w:lang w:bidi="he-IL"/>
        </w:rPr>
        <w:t xml:space="preserve"> </w:t>
      </w:r>
      <w:r w:rsidRPr="00882F11">
        <w:rPr>
          <w:rFonts w:cs="Guttman Drogolin" w:hint="cs"/>
          <w:rtl/>
          <w:lang w:bidi="he-IL"/>
        </w:rPr>
        <w:t>אינו</w:t>
      </w:r>
      <w:r w:rsidRPr="00882F11">
        <w:rPr>
          <w:rFonts w:cs="Guttman Drogolin"/>
          <w:rtl/>
          <w:lang w:bidi="he-IL"/>
        </w:rPr>
        <w:t xml:space="preserve"> </w:t>
      </w:r>
      <w:r w:rsidRPr="00882F11">
        <w:rPr>
          <w:rFonts w:cs="Guttman Drogolin" w:hint="cs"/>
          <w:rtl/>
          <w:lang w:bidi="he-IL"/>
        </w:rPr>
        <w:t>מספיק</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יטעום</w:t>
      </w:r>
      <w:r w:rsidRPr="00882F11">
        <w:rPr>
          <w:rFonts w:cs="Guttman Drogolin"/>
          <w:rtl/>
          <w:lang w:bidi="he-IL"/>
        </w:rPr>
        <w:t xml:space="preserve"> </w:t>
      </w:r>
      <w:r w:rsidRPr="00882F11">
        <w:rPr>
          <w:rFonts w:cs="Guttman Drogolin" w:hint="cs"/>
          <w:rtl/>
          <w:lang w:bidi="he-IL"/>
        </w:rPr>
        <w:t>קפילא</w:t>
      </w:r>
      <w:r w:rsidRPr="00882F11">
        <w:rPr>
          <w:rFonts w:cs="Guttman Drogolin"/>
          <w:rtl/>
          <w:lang w:bidi="he-IL"/>
        </w:rPr>
        <w:t xml:space="preserve"> </w:t>
      </w:r>
      <w:r w:rsidRPr="00882F11">
        <w:rPr>
          <w:rFonts w:cs="Guttman Drogolin" w:hint="cs"/>
          <w:rtl/>
          <w:lang w:bidi="he-IL"/>
        </w:rPr>
        <w:t>ממקום</w:t>
      </w:r>
      <w:r w:rsidRPr="00882F11">
        <w:rPr>
          <w:rFonts w:cs="Guttman Drogolin"/>
          <w:rtl/>
          <w:lang w:bidi="he-IL"/>
        </w:rPr>
        <w:t xml:space="preserve"> </w:t>
      </w:r>
      <w:r w:rsidRPr="00882F11">
        <w:rPr>
          <w:rFonts w:cs="Guttman Drogolin" w:hint="cs"/>
          <w:rtl/>
          <w:lang w:bidi="he-IL"/>
        </w:rPr>
        <w:t>א</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מקום</w:t>
      </w:r>
      <w:r w:rsidRPr="00882F11">
        <w:rPr>
          <w:rFonts w:cs="Guttman Drogolin"/>
          <w:rtl/>
          <w:lang w:bidi="he-IL"/>
        </w:rPr>
        <w:t xml:space="preserve"> </w:t>
      </w:r>
      <w:r w:rsidRPr="00882F11">
        <w:rPr>
          <w:rFonts w:cs="Guttman Drogolin" w:hint="cs"/>
          <w:rtl/>
          <w:lang w:bidi="he-IL"/>
        </w:rPr>
        <w:t>החתך</w:t>
      </w:r>
      <w:r w:rsidRPr="00882F11">
        <w:rPr>
          <w:rFonts w:cs="Guttman Drogolin"/>
          <w:rtl/>
          <w:lang w:bidi="he-IL"/>
        </w:rPr>
        <w:t xml:space="preserve">. </w:t>
      </w:r>
      <w:r w:rsidRPr="00882F11">
        <w:rPr>
          <w:rFonts w:cs="Guttman Drogolin" w:hint="cs"/>
          <w:rtl/>
          <w:lang w:bidi="he-IL"/>
        </w:rPr>
        <w:t>דשמא</w:t>
      </w:r>
      <w:r w:rsidRPr="00882F11">
        <w:rPr>
          <w:rFonts w:cs="Guttman Drogolin"/>
          <w:rtl/>
          <w:lang w:bidi="he-IL"/>
        </w:rPr>
        <w:t xml:space="preserve"> </w:t>
      </w:r>
      <w:r w:rsidRPr="00882F11">
        <w:rPr>
          <w:rFonts w:cs="Guttman Drogolin" w:hint="cs"/>
          <w:rtl/>
          <w:lang w:bidi="he-IL"/>
        </w:rPr>
        <w:t>באותו</w:t>
      </w:r>
      <w:r w:rsidRPr="00882F11">
        <w:rPr>
          <w:rFonts w:cs="Guttman Drogolin"/>
          <w:rtl/>
          <w:lang w:bidi="he-IL"/>
        </w:rPr>
        <w:t xml:space="preserve"> </w:t>
      </w:r>
      <w:r w:rsidRPr="00882F11">
        <w:rPr>
          <w:rFonts w:cs="Guttman Drogolin" w:hint="cs"/>
          <w:rtl/>
          <w:lang w:bidi="he-IL"/>
        </w:rPr>
        <w:t>מקום</w:t>
      </w:r>
      <w:r w:rsidRPr="00882F11">
        <w:rPr>
          <w:rFonts w:cs="Guttman Drogolin"/>
          <w:rtl/>
          <w:lang w:bidi="he-IL"/>
        </w:rPr>
        <w:t xml:space="preserve"> </w:t>
      </w:r>
      <w:r w:rsidRPr="00882F11">
        <w:rPr>
          <w:rFonts w:cs="Guttman Drogolin" w:hint="cs"/>
          <w:rtl/>
          <w:lang w:bidi="he-IL"/>
        </w:rPr>
        <w:t>שטועם</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פלט</w:t>
      </w:r>
      <w:r w:rsidRPr="00882F11">
        <w:rPr>
          <w:rFonts w:cs="Guttman Drogolin"/>
          <w:rtl/>
          <w:lang w:bidi="he-IL"/>
        </w:rPr>
        <w:t xml:space="preserve"> </w:t>
      </w:r>
      <w:r w:rsidRPr="00882F11">
        <w:rPr>
          <w:rFonts w:cs="Guttman Drogolin" w:hint="cs"/>
          <w:rtl/>
          <w:lang w:bidi="he-IL"/>
        </w:rPr>
        <w:t>הסכין</w:t>
      </w:r>
      <w:r w:rsidRPr="00882F11">
        <w:rPr>
          <w:rFonts w:cs="Guttman Drogolin"/>
          <w:rtl/>
          <w:lang w:bidi="he-IL"/>
        </w:rPr>
        <w:t xml:space="preserve"> </w:t>
      </w:r>
      <w:r w:rsidRPr="00882F11">
        <w:rPr>
          <w:rFonts w:cs="Guttman Drogolin" w:hint="cs"/>
          <w:rtl/>
          <w:lang w:bidi="he-IL"/>
        </w:rPr>
        <w:t>כ</w:t>
      </w:r>
      <w:r w:rsidRPr="00882F11">
        <w:rPr>
          <w:rFonts w:cs="Guttman Drogolin"/>
          <w:rtl/>
          <w:lang w:bidi="he-IL"/>
        </w:rPr>
        <w:t>"</w:t>
      </w:r>
      <w:r w:rsidRPr="00882F11">
        <w:rPr>
          <w:rFonts w:cs="Guttman Drogolin" w:hint="cs"/>
          <w:rtl/>
          <w:lang w:bidi="he-IL"/>
        </w:rPr>
        <w:t>כ</w:t>
      </w:r>
      <w:r w:rsidRPr="00882F11">
        <w:rPr>
          <w:rFonts w:cs="Guttman Drogolin"/>
          <w:rtl/>
          <w:lang w:bidi="he-IL"/>
        </w:rPr>
        <w:t xml:space="preserve"> </w:t>
      </w:r>
      <w:r w:rsidRPr="00882F11">
        <w:rPr>
          <w:rFonts w:cs="Guttman Drogolin" w:hint="cs"/>
          <w:rtl/>
          <w:lang w:bidi="he-IL"/>
        </w:rPr>
        <w:t>ובמקום</w:t>
      </w:r>
      <w:r w:rsidRPr="00882F11">
        <w:rPr>
          <w:rFonts w:cs="Guttman Drogolin"/>
          <w:rtl/>
          <w:lang w:bidi="he-IL"/>
        </w:rPr>
        <w:t xml:space="preserve"> </w:t>
      </w:r>
      <w:r w:rsidRPr="00882F11">
        <w:rPr>
          <w:rFonts w:cs="Guttman Drogolin" w:hint="cs"/>
          <w:rtl/>
          <w:lang w:bidi="he-IL"/>
        </w:rPr>
        <w:t>אחר</w:t>
      </w:r>
      <w:r w:rsidRPr="00882F11">
        <w:rPr>
          <w:rFonts w:cs="Guttman Drogolin"/>
          <w:rtl/>
          <w:lang w:bidi="he-IL"/>
        </w:rPr>
        <w:t xml:space="preserve"> </w:t>
      </w:r>
      <w:r w:rsidRPr="00882F11">
        <w:rPr>
          <w:rFonts w:cs="Guttman Drogolin" w:hint="cs"/>
          <w:rtl/>
          <w:lang w:bidi="he-IL"/>
        </w:rPr>
        <w:t>פלט</w:t>
      </w:r>
      <w:r w:rsidRPr="00882F11">
        <w:rPr>
          <w:rFonts w:cs="Guttman Drogolin"/>
          <w:rtl/>
          <w:lang w:bidi="he-IL"/>
        </w:rPr>
        <w:t xml:space="preserve"> </w:t>
      </w:r>
      <w:r w:rsidRPr="00882F11">
        <w:rPr>
          <w:rFonts w:cs="Guttman Drogolin" w:hint="cs"/>
          <w:rtl/>
          <w:lang w:bidi="he-IL"/>
        </w:rPr>
        <w:t>כאלו</w:t>
      </w:r>
      <w:r w:rsidRPr="00882F11">
        <w:rPr>
          <w:rFonts w:cs="Guttman Drogolin"/>
          <w:rtl/>
          <w:lang w:bidi="he-IL"/>
        </w:rPr>
        <w:t xml:space="preserve"> </w:t>
      </w:r>
      <w:r w:rsidRPr="00882F11">
        <w:rPr>
          <w:rFonts w:cs="Guttman Drogolin" w:hint="cs"/>
          <w:rtl/>
          <w:lang w:bidi="he-IL"/>
        </w:rPr>
        <w:t>חתך</w:t>
      </w:r>
      <w:r w:rsidRPr="00882F11">
        <w:rPr>
          <w:rFonts w:cs="Guttman Drogolin"/>
          <w:rtl/>
          <w:lang w:bidi="he-IL"/>
        </w:rPr>
        <w:t xml:space="preserve"> </w:t>
      </w:r>
      <w:r w:rsidRPr="00882F11">
        <w:rPr>
          <w:rFonts w:cs="Guttman Drogolin" w:hint="cs"/>
          <w:rtl/>
          <w:lang w:bidi="he-IL"/>
        </w:rPr>
        <w:t>בזה</w:t>
      </w:r>
      <w:r w:rsidRPr="00882F11">
        <w:rPr>
          <w:rFonts w:cs="Guttman Drogolin"/>
          <w:rtl/>
          <w:lang w:bidi="he-IL"/>
        </w:rPr>
        <w:t xml:space="preserve"> </w:t>
      </w:r>
      <w:r w:rsidRPr="00882F11">
        <w:rPr>
          <w:rFonts w:cs="Guttman Drogolin" w:hint="cs"/>
          <w:rtl/>
          <w:lang w:bidi="he-IL"/>
        </w:rPr>
        <w:t>אחר</w:t>
      </w:r>
      <w:r w:rsidRPr="00882F11">
        <w:rPr>
          <w:rFonts w:cs="Guttman Drogolin"/>
          <w:rtl/>
          <w:lang w:bidi="he-IL"/>
        </w:rPr>
        <w:t xml:space="preserve"> </w:t>
      </w:r>
      <w:r w:rsidRPr="00882F11">
        <w:rPr>
          <w:rFonts w:cs="Guttman Drogolin" w:hint="cs"/>
          <w:rtl/>
          <w:lang w:bidi="he-IL"/>
        </w:rPr>
        <w:t>זה</w:t>
      </w:r>
      <w:r w:rsidRPr="00882F11">
        <w:rPr>
          <w:rFonts w:cs="Guttman Drogolin"/>
          <w:rtl/>
          <w:lang w:bidi="he-IL"/>
        </w:rPr>
        <w:t xml:space="preserve"> </w:t>
      </w:r>
      <w:r w:rsidRPr="00882F11">
        <w:rPr>
          <w:rFonts w:cs="Guttman Drogolin" w:hint="cs"/>
          <w:rtl/>
          <w:lang w:bidi="he-IL"/>
        </w:rPr>
        <w:t>בב</w:t>
      </w:r>
      <w:r w:rsidRPr="00882F11">
        <w:rPr>
          <w:rFonts w:cs="Guttman Drogolin"/>
          <w:rtl/>
          <w:lang w:bidi="he-IL"/>
        </w:rPr>
        <w:t xml:space="preserve">' </w:t>
      </w:r>
      <w:r w:rsidRPr="00882F11">
        <w:rPr>
          <w:rFonts w:cs="Guttman Drogolin" w:hint="cs"/>
          <w:rtl/>
          <w:lang w:bidi="he-IL"/>
        </w:rPr>
        <w:t>מקומות</w:t>
      </w:r>
      <w:r w:rsidRPr="00882F11">
        <w:rPr>
          <w:rFonts w:cs="Guttman Drogolin"/>
          <w:rtl/>
          <w:lang w:bidi="he-IL"/>
        </w:rPr>
        <w:t xml:space="preserve"> </w:t>
      </w:r>
      <w:r w:rsidRPr="00882F11">
        <w:rPr>
          <w:rFonts w:cs="Guttman Drogolin" w:hint="cs"/>
          <w:rtl/>
          <w:lang w:bidi="he-IL"/>
        </w:rPr>
        <w:t>דפשיטא</w:t>
      </w:r>
      <w:r w:rsidRPr="00882F11">
        <w:rPr>
          <w:rFonts w:cs="Guttman Drogolin"/>
          <w:rtl/>
          <w:lang w:bidi="he-IL"/>
        </w:rPr>
        <w:t xml:space="preserve"> </w:t>
      </w:r>
      <w:r w:rsidRPr="00882F11">
        <w:rPr>
          <w:rFonts w:cs="Guttman Drogolin" w:hint="cs"/>
          <w:rtl/>
          <w:lang w:bidi="he-IL"/>
        </w:rPr>
        <w:t>דלא</w:t>
      </w:r>
      <w:r w:rsidRPr="00882F11">
        <w:rPr>
          <w:rFonts w:cs="Guttman Drogolin"/>
          <w:rtl/>
          <w:lang w:bidi="he-IL"/>
        </w:rPr>
        <w:t xml:space="preserve"> </w:t>
      </w:r>
      <w:r w:rsidRPr="00882F11">
        <w:rPr>
          <w:rFonts w:cs="Guttman Drogolin" w:hint="cs"/>
          <w:rtl/>
          <w:lang w:bidi="he-IL"/>
        </w:rPr>
        <w:t>מהני</w:t>
      </w:r>
      <w:r w:rsidRPr="00882F11">
        <w:rPr>
          <w:rFonts w:cs="Guttman Drogolin"/>
          <w:rtl/>
          <w:lang w:bidi="he-IL"/>
        </w:rPr>
        <w:t xml:space="preserve"> </w:t>
      </w:r>
      <w:r w:rsidRPr="00882F11">
        <w:rPr>
          <w:rFonts w:cs="Guttman Drogolin" w:hint="cs"/>
          <w:rtl/>
          <w:lang w:bidi="he-IL"/>
        </w:rPr>
        <w:t>מזה</w:t>
      </w:r>
      <w:r w:rsidRPr="00882F11">
        <w:rPr>
          <w:rFonts w:cs="Guttman Drogolin"/>
          <w:rtl/>
          <w:lang w:bidi="he-IL"/>
        </w:rPr>
        <w:t xml:space="preserve"> </w:t>
      </w:r>
      <w:r w:rsidRPr="00882F11">
        <w:rPr>
          <w:rFonts w:cs="Guttman Drogolin" w:hint="cs"/>
          <w:rtl/>
          <w:lang w:bidi="he-IL"/>
        </w:rPr>
        <w:t>על</w:t>
      </w:r>
      <w:r w:rsidRPr="00882F11">
        <w:rPr>
          <w:rFonts w:cs="Guttman Drogolin"/>
          <w:rtl/>
          <w:lang w:bidi="he-IL"/>
        </w:rPr>
        <w:t xml:space="preserve"> </w:t>
      </w:r>
      <w:r w:rsidRPr="00882F11">
        <w:rPr>
          <w:rFonts w:cs="Guttman Drogolin" w:hint="cs"/>
          <w:rtl/>
          <w:lang w:bidi="he-IL"/>
        </w:rPr>
        <w:t>זה</w:t>
      </w:r>
      <w:r w:rsidRPr="00882F11">
        <w:rPr>
          <w:rFonts w:cs="Guttman Drogolin"/>
          <w:rtl/>
          <w:lang w:bidi="he-IL"/>
        </w:rPr>
        <w:t xml:space="preserve"> </w:t>
      </w:r>
      <w:r w:rsidRPr="00882F11">
        <w:rPr>
          <w:rFonts w:cs="Guttman Drogolin" w:hint="cs"/>
          <w:rtl/>
          <w:lang w:bidi="he-IL"/>
        </w:rPr>
        <w:t>ה</w:t>
      </w:r>
      <w:r w:rsidRPr="00882F11">
        <w:rPr>
          <w:rFonts w:cs="Guttman Drogolin"/>
          <w:rtl/>
          <w:lang w:bidi="he-IL"/>
        </w:rPr>
        <w:t>"</w:t>
      </w:r>
      <w:r w:rsidRPr="00882F11">
        <w:rPr>
          <w:rFonts w:cs="Guttman Drogolin" w:hint="cs"/>
          <w:rtl/>
          <w:lang w:bidi="he-IL"/>
        </w:rPr>
        <w:t>נ</w:t>
      </w:r>
      <w:r w:rsidRPr="00882F11">
        <w:rPr>
          <w:rFonts w:cs="Guttman Drogolin"/>
          <w:rtl/>
          <w:lang w:bidi="he-IL"/>
        </w:rPr>
        <w:t xml:space="preserve"> </w:t>
      </w:r>
      <w:r w:rsidRPr="00882F11">
        <w:rPr>
          <w:rFonts w:cs="Guttman Drogolin" w:hint="cs"/>
          <w:rtl/>
          <w:lang w:bidi="he-IL"/>
        </w:rPr>
        <w:t>בחותך</w:t>
      </w:r>
      <w:r w:rsidRPr="00882F11">
        <w:rPr>
          <w:rFonts w:cs="Guttman Drogolin"/>
          <w:rtl/>
          <w:lang w:bidi="he-IL"/>
        </w:rPr>
        <w:t xml:space="preserve"> </w:t>
      </w:r>
      <w:r w:rsidRPr="00882F11">
        <w:rPr>
          <w:rFonts w:cs="Guttman Drogolin" w:hint="cs"/>
          <w:rtl/>
          <w:lang w:bidi="he-IL"/>
        </w:rPr>
        <w:t>בבת</w:t>
      </w:r>
      <w:r w:rsidRPr="00882F11">
        <w:rPr>
          <w:rFonts w:cs="Guttman Drogolin"/>
          <w:rtl/>
          <w:lang w:bidi="he-IL"/>
        </w:rPr>
        <w:t xml:space="preserve"> </w:t>
      </w:r>
      <w:r w:rsidRPr="00882F11">
        <w:rPr>
          <w:rFonts w:cs="Guttman Drogolin" w:hint="cs"/>
          <w:rtl/>
          <w:lang w:bidi="he-IL"/>
        </w:rPr>
        <w:t>אחת</w:t>
      </w:r>
      <w:r w:rsidRPr="00882F11">
        <w:rPr>
          <w:rFonts w:cs="Guttman Drogolin"/>
          <w:rtl/>
          <w:lang w:bidi="he-IL"/>
        </w:rPr>
        <w:t xml:space="preserve"> </w:t>
      </w:r>
      <w:r w:rsidRPr="00882F11">
        <w:rPr>
          <w:rFonts w:cs="Guttman Drogolin" w:hint="cs"/>
          <w:rtl/>
          <w:lang w:bidi="he-IL"/>
        </w:rPr>
        <w:t>כך</w:t>
      </w:r>
      <w:r w:rsidRPr="00882F11">
        <w:rPr>
          <w:rFonts w:cs="Guttman Drogolin"/>
          <w:rtl/>
          <w:lang w:bidi="he-IL"/>
        </w:rPr>
        <w:t xml:space="preserve"> </w:t>
      </w:r>
      <w:r w:rsidRPr="00882F11">
        <w:rPr>
          <w:rFonts w:cs="Guttman Drogolin" w:hint="cs"/>
          <w:rtl/>
          <w:lang w:bidi="he-IL"/>
        </w:rPr>
        <w:t>הי</w:t>
      </w:r>
      <w:r w:rsidRPr="00882F11">
        <w:rPr>
          <w:rFonts w:cs="Guttman Drogolin"/>
          <w:rtl/>
          <w:lang w:bidi="he-IL"/>
        </w:rPr>
        <w:t xml:space="preserve">' </w:t>
      </w:r>
      <w:r w:rsidRPr="00882F11">
        <w:rPr>
          <w:rFonts w:cs="Guttman Drogolin" w:hint="cs"/>
          <w:rtl/>
          <w:lang w:bidi="he-IL"/>
        </w:rPr>
        <w:t>נלע</w:t>
      </w:r>
      <w:r w:rsidRPr="00882F11">
        <w:rPr>
          <w:rFonts w:cs="Guttman Drogolin"/>
          <w:rtl/>
          <w:lang w:bidi="he-IL"/>
        </w:rPr>
        <w:t>"</w:t>
      </w:r>
      <w:r w:rsidRPr="00882F11">
        <w:rPr>
          <w:rFonts w:cs="Guttman Drogolin" w:hint="cs"/>
          <w:rtl/>
          <w:lang w:bidi="he-IL"/>
        </w:rPr>
        <w:t>ד"</w:t>
      </w:r>
      <w:r w:rsidRPr="00882F11">
        <w:rPr>
          <w:rFonts w:cs="Guttman Drogolin"/>
          <w:rtl/>
          <w:lang w:bidi="he-IL"/>
        </w:rPr>
        <w:t>.</w:t>
      </w:r>
      <w:r w:rsidRPr="00882F11">
        <w:rPr>
          <w:rFonts w:cs="Guttman Drogolin" w:hint="cs"/>
          <w:rtl/>
          <w:lang w:bidi="he-IL"/>
        </w:rPr>
        <w:t xml:space="preserve"> ור"ל דלא מהני טעימת קפילא בחלק א', רק בעינן ע"פ כל מקום שנחתך. ומעיקרא לא הבנתי למה הי' כ"כ פשוט לו שאינו מתפשט בשוה, ובבדי השלחן דקדק ממש"ז ס"ק ו' שבאמת מתפשט בשוה, שהרי כתב שם שאם יש ס' במקום הכדי נטילה נגד הסכין שהכל מותר</w:t>
      </w:r>
      <w:r w:rsidRPr="00882F11">
        <w:rPr>
          <w:rStyle w:val="FootnoteReference"/>
          <w:rFonts w:cs="Guttman Drogolin"/>
          <w:rtl/>
          <w:lang w:bidi="he-IL"/>
        </w:rPr>
        <w:footnoteReference w:id="306"/>
      </w:r>
      <w:r w:rsidRPr="00882F11">
        <w:rPr>
          <w:rFonts w:cs="Guttman Drogolin" w:hint="cs"/>
          <w:rtl/>
          <w:lang w:bidi="he-IL"/>
        </w:rPr>
        <w:t xml:space="preserve">. </w:t>
      </w:r>
      <w:r w:rsidR="00787BB4" w:rsidRPr="00882F11">
        <w:rPr>
          <w:rFonts w:cs="Guttman Drogolin" w:hint="cs"/>
          <w:rtl/>
          <w:lang w:bidi="he-IL"/>
        </w:rPr>
        <w:t>וכן רע"א עצמו התקשה בדברי הרשב"א לפי סברתו.</w:t>
      </w:r>
    </w:p>
    <w:p w:rsidR="00787BB4" w:rsidRPr="00882F11" w:rsidRDefault="00C92EA0" w:rsidP="00787BB4">
      <w:pPr>
        <w:tabs>
          <w:tab w:val="right" w:pos="7497"/>
        </w:tabs>
        <w:bidi/>
        <w:jc w:val="both"/>
        <w:rPr>
          <w:rFonts w:cs="Guttman Drogolin"/>
          <w:rtl/>
          <w:lang w:bidi="he-IL"/>
        </w:rPr>
      </w:pPr>
      <w:r w:rsidRPr="00882F11">
        <w:rPr>
          <w:rFonts w:cs="Guttman Drogolin" w:hint="cs"/>
          <w:rtl/>
          <w:lang w:bidi="he-IL"/>
        </w:rPr>
        <w:t xml:space="preserve">אמנם </w:t>
      </w:r>
      <w:r w:rsidR="00787BB4" w:rsidRPr="00882F11">
        <w:rPr>
          <w:rFonts w:cs="Guttman Drogolin" w:hint="cs"/>
          <w:rtl/>
          <w:lang w:bidi="he-IL"/>
        </w:rPr>
        <w:t>ל</w:t>
      </w:r>
      <w:r w:rsidRPr="00882F11">
        <w:rPr>
          <w:rFonts w:cs="Guttman Drogolin" w:hint="cs"/>
          <w:rtl/>
          <w:lang w:bidi="he-IL"/>
        </w:rPr>
        <w:t xml:space="preserve">אחר העיון נראה פשוט שטעמו של דבר מבואר במתק לשנו של הגרע"א עצמו, שהרי כתב </w:t>
      </w:r>
      <w:r w:rsidR="00787BB4" w:rsidRPr="00882F11">
        <w:rPr>
          <w:rFonts w:cs="Guttman Drogolin" w:hint="cs"/>
          <w:rtl/>
          <w:lang w:bidi="he-IL"/>
        </w:rPr>
        <w:t>"דשמא</w:t>
      </w:r>
      <w:r w:rsidR="00787BB4" w:rsidRPr="00882F11">
        <w:rPr>
          <w:rFonts w:cs="Guttman Drogolin"/>
          <w:rtl/>
          <w:lang w:bidi="he-IL"/>
        </w:rPr>
        <w:t xml:space="preserve"> </w:t>
      </w:r>
      <w:r w:rsidR="00787BB4" w:rsidRPr="00882F11">
        <w:rPr>
          <w:rFonts w:cs="Guttman Drogolin" w:hint="cs"/>
          <w:rtl/>
          <w:lang w:bidi="he-IL"/>
        </w:rPr>
        <w:t>באותו</w:t>
      </w:r>
      <w:r w:rsidR="00787BB4" w:rsidRPr="00882F11">
        <w:rPr>
          <w:rFonts w:cs="Guttman Drogolin"/>
          <w:rtl/>
          <w:lang w:bidi="he-IL"/>
        </w:rPr>
        <w:t xml:space="preserve"> </w:t>
      </w:r>
      <w:r w:rsidR="00787BB4" w:rsidRPr="00882F11">
        <w:rPr>
          <w:rFonts w:cs="Guttman Drogolin" w:hint="cs"/>
          <w:rtl/>
          <w:lang w:bidi="he-IL"/>
        </w:rPr>
        <w:t>מקום</w:t>
      </w:r>
      <w:r w:rsidR="00787BB4" w:rsidRPr="00882F11">
        <w:rPr>
          <w:rFonts w:cs="Guttman Drogolin"/>
          <w:rtl/>
          <w:lang w:bidi="he-IL"/>
        </w:rPr>
        <w:t xml:space="preserve"> </w:t>
      </w:r>
      <w:r w:rsidR="00787BB4" w:rsidRPr="00882F11">
        <w:rPr>
          <w:rFonts w:cs="Guttman Drogolin" w:hint="cs"/>
          <w:rtl/>
          <w:lang w:bidi="he-IL"/>
        </w:rPr>
        <w:t>שטועם</w:t>
      </w:r>
      <w:r w:rsidR="00787BB4" w:rsidRPr="00882F11">
        <w:rPr>
          <w:rFonts w:cs="Guttman Drogolin"/>
          <w:rtl/>
          <w:lang w:bidi="he-IL"/>
        </w:rPr>
        <w:t xml:space="preserve"> </w:t>
      </w:r>
      <w:r w:rsidR="00787BB4" w:rsidRPr="00882F11">
        <w:rPr>
          <w:rFonts w:cs="Guttman Drogolin" w:hint="cs"/>
          <w:rtl/>
          <w:lang w:bidi="he-IL"/>
        </w:rPr>
        <w:t>לא</w:t>
      </w:r>
      <w:r w:rsidR="00787BB4" w:rsidRPr="00882F11">
        <w:rPr>
          <w:rFonts w:cs="Guttman Drogolin"/>
          <w:rtl/>
          <w:lang w:bidi="he-IL"/>
        </w:rPr>
        <w:t xml:space="preserve"> </w:t>
      </w:r>
      <w:r w:rsidR="00787BB4" w:rsidRPr="00882F11">
        <w:rPr>
          <w:rFonts w:cs="Guttman Drogolin" w:hint="cs"/>
          <w:rtl/>
          <w:lang w:bidi="he-IL"/>
        </w:rPr>
        <w:t>פלט</w:t>
      </w:r>
      <w:r w:rsidR="00787BB4" w:rsidRPr="00882F11">
        <w:rPr>
          <w:rFonts w:cs="Guttman Drogolin"/>
          <w:rtl/>
          <w:lang w:bidi="he-IL"/>
        </w:rPr>
        <w:t xml:space="preserve"> </w:t>
      </w:r>
      <w:r w:rsidR="00787BB4" w:rsidRPr="00882F11">
        <w:rPr>
          <w:rFonts w:cs="Guttman Drogolin" w:hint="cs"/>
          <w:rtl/>
          <w:lang w:bidi="he-IL"/>
        </w:rPr>
        <w:t>הסכין</w:t>
      </w:r>
      <w:r w:rsidR="00787BB4" w:rsidRPr="00882F11">
        <w:rPr>
          <w:rFonts w:cs="Guttman Drogolin"/>
          <w:rtl/>
          <w:lang w:bidi="he-IL"/>
        </w:rPr>
        <w:t xml:space="preserve"> </w:t>
      </w:r>
      <w:r w:rsidR="00787BB4" w:rsidRPr="00882F11">
        <w:rPr>
          <w:rFonts w:cs="Guttman Drogolin" w:hint="cs"/>
          <w:rtl/>
          <w:lang w:bidi="he-IL"/>
        </w:rPr>
        <w:t>כ</w:t>
      </w:r>
      <w:r w:rsidR="00787BB4" w:rsidRPr="00882F11">
        <w:rPr>
          <w:rFonts w:cs="Guttman Drogolin"/>
          <w:rtl/>
          <w:lang w:bidi="he-IL"/>
        </w:rPr>
        <w:t>"</w:t>
      </w:r>
      <w:r w:rsidR="00787BB4" w:rsidRPr="00882F11">
        <w:rPr>
          <w:rFonts w:cs="Guttman Drogolin" w:hint="cs"/>
          <w:rtl/>
          <w:lang w:bidi="he-IL"/>
        </w:rPr>
        <w:t>כ</w:t>
      </w:r>
      <w:r w:rsidR="00787BB4" w:rsidRPr="00882F11">
        <w:rPr>
          <w:rFonts w:cs="Guttman Drogolin"/>
          <w:rtl/>
          <w:lang w:bidi="he-IL"/>
        </w:rPr>
        <w:t xml:space="preserve"> </w:t>
      </w:r>
      <w:r w:rsidR="00787BB4" w:rsidRPr="00882F11">
        <w:rPr>
          <w:rFonts w:cs="Guttman Drogolin" w:hint="cs"/>
          <w:rtl/>
          <w:lang w:bidi="he-IL"/>
        </w:rPr>
        <w:t>ובמקום</w:t>
      </w:r>
      <w:r w:rsidR="00787BB4" w:rsidRPr="00882F11">
        <w:rPr>
          <w:rFonts w:cs="Guttman Drogolin"/>
          <w:rtl/>
          <w:lang w:bidi="he-IL"/>
        </w:rPr>
        <w:t xml:space="preserve"> </w:t>
      </w:r>
      <w:r w:rsidR="00787BB4" w:rsidRPr="00882F11">
        <w:rPr>
          <w:rFonts w:cs="Guttman Drogolin" w:hint="cs"/>
          <w:rtl/>
          <w:lang w:bidi="he-IL"/>
        </w:rPr>
        <w:t>אחר</w:t>
      </w:r>
      <w:r w:rsidR="00787BB4" w:rsidRPr="00882F11">
        <w:rPr>
          <w:rFonts w:cs="Guttman Drogolin"/>
          <w:rtl/>
          <w:lang w:bidi="he-IL"/>
        </w:rPr>
        <w:t xml:space="preserve"> </w:t>
      </w:r>
      <w:r w:rsidR="00787BB4" w:rsidRPr="00882F11">
        <w:rPr>
          <w:rFonts w:cs="Guttman Drogolin" w:hint="cs"/>
          <w:rtl/>
          <w:lang w:bidi="he-IL"/>
        </w:rPr>
        <w:t>פלט</w:t>
      </w:r>
      <w:r w:rsidR="00787BB4" w:rsidRPr="00882F11">
        <w:rPr>
          <w:rFonts w:cs="Guttman Drogolin"/>
          <w:rtl/>
          <w:lang w:bidi="he-IL"/>
        </w:rPr>
        <w:t xml:space="preserve"> </w:t>
      </w:r>
      <w:r w:rsidR="00787BB4" w:rsidRPr="00882F11">
        <w:rPr>
          <w:rFonts w:cs="Guttman Drogolin" w:hint="cs"/>
          <w:rtl/>
          <w:lang w:bidi="he-IL"/>
        </w:rPr>
        <w:t>כאלו</w:t>
      </w:r>
      <w:r w:rsidR="00787BB4" w:rsidRPr="00882F11">
        <w:rPr>
          <w:rFonts w:cs="Guttman Drogolin"/>
          <w:rtl/>
          <w:lang w:bidi="he-IL"/>
        </w:rPr>
        <w:t xml:space="preserve"> </w:t>
      </w:r>
      <w:r w:rsidR="00787BB4" w:rsidRPr="00882F11">
        <w:rPr>
          <w:rFonts w:cs="Guttman Drogolin" w:hint="cs"/>
          <w:rtl/>
          <w:lang w:bidi="he-IL"/>
        </w:rPr>
        <w:t>חתך</w:t>
      </w:r>
      <w:r w:rsidR="00787BB4" w:rsidRPr="00882F11">
        <w:rPr>
          <w:rFonts w:cs="Guttman Drogolin"/>
          <w:rtl/>
          <w:lang w:bidi="he-IL"/>
        </w:rPr>
        <w:t xml:space="preserve"> </w:t>
      </w:r>
      <w:r w:rsidR="00787BB4" w:rsidRPr="00882F11">
        <w:rPr>
          <w:rFonts w:cs="Guttman Drogolin" w:hint="cs"/>
          <w:rtl/>
          <w:lang w:bidi="he-IL"/>
        </w:rPr>
        <w:t>בזה</w:t>
      </w:r>
      <w:r w:rsidR="00787BB4" w:rsidRPr="00882F11">
        <w:rPr>
          <w:rFonts w:cs="Guttman Drogolin"/>
          <w:rtl/>
          <w:lang w:bidi="he-IL"/>
        </w:rPr>
        <w:t xml:space="preserve"> </w:t>
      </w:r>
      <w:r w:rsidR="00787BB4" w:rsidRPr="00882F11">
        <w:rPr>
          <w:rFonts w:cs="Guttman Drogolin" w:hint="cs"/>
          <w:rtl/>
          <w:lang w:bidi="he-IL"/>
        </w:rPr>
        <w:t>אחר</w:t>
      </w:r>
      <w:r w:rsidR="00787BB4" w:rsidRPr="00882F11">
        <w:rPr>
          <w:rFonts w:cs="Guttman Drogolin"/>
          <w:rtl/>
          <w:lang w:bidi="he-IL"/>
        </w:rPr>
        <w:t xml:space="preserve"> </w:t>
      </w:r>
      <w:r w:rsidR="00787BB4" w:rsidRPr="00882F11">
        <w:rPr>
          <w:rFonts w:cs="Guttman Drogolin" w:hint="cs"/>
          <w:rtl/>
          <w:lang w:bidi="he-IL"/>
        </w:rPr>
        <w:t>זה</w:t>
      </w:r>
      <w:r w:rsidR="00787BB4" w:rsidRPr="00882F11">
        <w:rPr>
          <w:rFonts w:cs="Guttman Drogolin"/>
          <w:rtl/>
          <w:lang w:bidi="he-IL"/>
        </w:rPr>
        <w:t xml:space="preserve"> </w:t>
      </w:r>
      <w:r w:rsidR="00787BB4" w:rsidRPr="00882F11">
        <w:rPr>
          <w:rFonts w:cs="Guttman Drogolin" w:hint="cs"/>
          <w:rtl/>
          <w:lang w:bidi="he-IL"/>
        </w:rPr>
        <w:t>בב</w:t>
      </w:r>
      <w:r w:rsidR="00787BB4" w:rsidRPr="00882F11">
        <w:rPr>
          <w:rFonts w:cs="Guttman Drogolin"/>
          <w:rtl/>
          <w:lang w:bidi="he-IL"/>
        </w:rPr>
        <w:t xml:space="preserve">' </w:t>
      </w:r>
      <w:r w:rsidR="00787BB4" w:rsidRPr="00882F11">
        <w:rPr>
          <w:rFonts w:cs="Guttman Drogolin" w:hint="cs"/>
          <w:rtl/>
          <w:lang w:bidi="he-IL"/>
        </w:rPr>
        <w:t>מקומות</w:t>
      </w:r>
      <w:r w:rsidR="00787BB4" w:rsidRPr="00882F11">
        <w:rPr>
          <w:rFonts w:cs="Guttman Drogolin"/>
          <w:rtl/>
          <w:lang w:bidi="he-IL"/>
        </w:rPr>
        <w:t xml:space="preserve"> </w:t>
      </w:r>
      <w:r w:rsidR="00787BB4" w:rsidRPr="00882F11">
        <w:rPr>
          <w:rFonts w:cs="Guttman Drogolin" w:hint="cs"/>
          <w:rtl/>
          <w:lang w:bidi="he-IL"/>
        </w:rPr>
        <w:t>דפשיטא</w:t>
      </w:r>
      <w:r w:rsidR="00787BB4" w:rsidRPr="00882F11">
        <w:rPr>
          <w:rFonts w:cs="Guttman Drogolin"/>
          <w:rtl/>
          <w:lang w:bidi="he-IL"/>
        </w:rPr>
        <w:t xml:space="preserve"> </w:t>
      </w:r>
      <w:r w:rsidR="00787BB4" w:rsidRPr="00882F11">
        <w:rPr>
          <w:rFonts w:cs="Guttman Drogolin" w:hint="cs"/>
          <w:rtl/>
          <w:lang w:bidi="he-IL"/>
        </w:rPr>
        <w:t>דלא</w:t>
      </w:r>
      <w:r w:rsidR="00787BB4" w:rsidRPr="00882F11">
        <w:rPr>
          <w:rFonts w:cs="Guttman Drogolin"/>
          <w:rtl/>
          <w:lang w:bidi="he-IL"/>
        </w:rPr>
        <w:t xml:space="preserve"> </w:t>
      </w:r>
      <w:r w:rsidR="00787BB4" w:rsidRPr="00882F11">
        <w:rPr>
          <w:rFonts w:cs="Guttman Drogolin" w:hint="cs"/>
          <w:rtl/>
          <w:lang w:bidi="he-IL"/>
        </w:rPr>
        <w:t>מהני</w:t>
      </w:r>
      <w:r w:rsidR="00787BB4" w:rsidRPr="00882F11">
        <w:rPr>
          <w:rFonts w:cs="Guttman Drogolin"/>
          <w:rtl/>
          <w:lang w:bidi="he-IL"/>
        </w:rPr>
        <w:t xml:space="preserve"> </w:t>
      </w:r>
      <w:r w:rsidR="00787BB4" w:rsidRPr="00882F11">
        <w:rPr>
          <w:rFonts w:cs="Guttman Drogolin" w:hint="cs"/>
          <w:rtl/>
          <w:lang w:bidi="he-IL"/>
        </w:rPr>
        <w:t>מזה</w:t>
      </w:r>
      <w:r w:rsidR="00787BB4" w:rsidRPr="00882F11">
        <w:rPr>
          <w:rFonts w:cs="Guttman Drogolin"/>
          <w:rtl/>
          <w:lang w:bidi="he-IL"/>
        </w:rPr>
        <w:t xml:space="preserve"> </w:t>
      </w:r>
      <w:r w:rsidR="00787BB4" w:rsidRPr="00882F11">
        <w:rPr>
          <w:rFonts w:cs="Guttman Drogolin" w:hint="cs"/>
          <w:rtl/>
          <w:lang w:bidi="he-IL"/>
        </w:rPr>
        <w:t>על</w:t>
      </w:r>
      <w:r w:rsidR="00787BB4" w:rsidRPr="00882F11">
        <w:rPr>
          <w:rFonts w:cs="Guttman Drogolin"/>
          <w:rtl/>
          <w:lang w:bidi="he-IL"/>
        </w:rPr>
        <w:t xml:space="preserve"> </w:t>
      </w:r>
      <w:r w:rsidR="00787BB4" w:rsidRPr="00882F11">
        <w:rPr>
          <w:rFonts w:cs="Guttman Drogolin" w:hint="cs"/>
          <w:rtl/>
          <w:lang w:bidi="he-IL"/>
        </w:rPr>
        <w:t>זה</w:t>
      </w:r>
      <w:r w:rsidR="00787BB4" w:rsidRPr="00882F11">
        <w:rPr>
          <w:rFonts w:cs="Guttman Drogolin"/>
          <w:rtl/>
          <w:lang w:bidi="he-IL"/>
        </w:rPr>
        <w:t xml:space="preserve"> </w:t>
      </w:r>
      <w:r w:rsidR="00787BB4" w:rsidRPr="00882F11">
        <w:rPr>
          <w:rFonts w:cs="Guttman Drogolin" w:hint="cs"/>
          <w:rtl/>
          <w:lang w:bidi="he-IL"/>
        </w:rPr>
        <w:t>ה</w:t>
      </w:r>
      <w:r w:rsidR="00787BB4" w:rsidRPr="00882F11">
        <w:rPr>
          <w:rFonts w:cs="Guttman Drogolin"/>
          <w:rtl/>
          <w:lang w:bidi="he-IL"/>
        </w:rPr>
        <w:t>"</w:t>
      </w:r>
      <w:r w:rsidR="00787BB4" w:rsidRPr="00882F11">
        <w:rPr>
          <w:rFonts w:cs="Guttman Drogolin" w:hint="cs"/>
          <w:rtl/>
          <w:lang w:bidi="he-IL"/>
        </w:rPr>
        <w:t>נ</w:t>
      </w:r>
      <w:r w:rsidR="00787BB4" w:rsidRPr="00882F11">
        <w:rPr>
          <w:rFonts w:cs="Guttman Drogolin"/>
          <w:rtl/>
          <w:lang w:bidi="he-IL"/>
        </w:rPr>
        <w:t xml:space="preserve"> </w:t>
      </w:r>
      <w:r w:rsidR="00787BB4" w:rsidRPr="00882F11">
        <w:rPr>
          <w:rFonts w:cs="Guttman Drogolin" w:hint="cs"/>
          <w:rtl/>
          <w:lang w:bidi="he-IL"/>
        </w:rPr>
        <w:t>בחותך</w:t>
      </w:r>
      <w:r w:rsidR="00787BB4" w:rsidRPr="00882F11">
        <w:rPr>
          <w:rFonts w:cs="Guttman Drogolin"/>
          <w:rtl/>
          <w:lang w:bidi="he-IL"/>
        </w:rPr>
        <w:t xml:space="preserve"> </w:t>
      </w:r>
      <w:r w:rsidR="00787BB4" w:rsidRPr="00882F11">
        <w:rPr>
          <w:rFonts w:cs="Guttman Drogolin" w:hint="cs"/>
          <w:rtl/>
          <w:lang w:bidi="he-IL"/>
        </w:rPr>
        <w:t>בבת</w:t>
      </w:r>
      <w:r w:rsidR="00787BB4" w:rsidRPr="00882F11">
        <w:rPr>
          <w:rFonts w:cs="Guttman Drogolin"/>
          <w:rtl/>
          <w:lang w:bidi="he-IL"/>
        </w:rPr>
        <w:t xml:space="preserve"> </w:t>
      </w:r>
      <w:r w:rsidR="00787BB4" w:rsidRPr="00882F11">
        <w:rPr>
          <w:rFonts w:cs="Guttman Drogolin" w:hint="cs"/>
          <w:rtl/>
          <w:lang w:bidi="he-IL"/>
        </w:rPr>
        <w:t xml:space="preserve">אחת", ור"ל שהרי אם חתך עובי </w:t>
      </w:r>
      <w:r w:rsidR="00787BB4" w:rsidRPr="00882F11">
        <w:rPr>
          <w:rFonts w:cs="Guttman Drogolin" w:hint="cs"/>
          <w:rtl/>
          <w:lang w:bidi="he-IL"/>
        </w:rPr>
        <w:lastRenderedPageBreak/>
        <w:t>מסוים של דבר חריף, הרי זה כמו שחתך חלק א' קטן, ולאחר מכן מהמשיך לחתוך עוד חלק קטן, וכו'. וא"כ אם היו דר"מ עשר חלקים קטנים ביחד במקום חתיכתו, מה"ת לומר שבחתך הראשון נבלע רק עשירית של הטעם, הא אילו לא חתך אלא מקום זה בלבד היינו מחמירים שכל הטעם נבלע בו. וא"כ חייבים להחמיר בכל חלק אולי שם הבליע ולא במקום השני.</w:t>
      </w:r>
      <w:r w:rsidR="001A5CF4" w:rsidRPr="00882F11">
        <w:rPr>
          <w:rFonts w:cs="Guttman Drogolin" w:hint="cs"/>
          <w:rtl/>
          <w:lang w:bidi="he-IL"/>
        </w:rPr>
        <w:t xml:space="preserve"> באופן שבאמת צ"ע משמעות פוסקים אחריים שאינם סוברים כן.</w:t>
      </w:r>
    </w:p>
    <w:p w:rsidR="001A5CF4" w:rsidRPr="00882F11" w:rsidRDefault="001A5CF4" w:rsidP="001A5CF4">
      <w:pPr>
        <w:tabs>
          <w:tab w:val="right" w:pos="7497"/>
        </w:tabs>
        <w:bidi/>
        <w:jc w:val="both"/>
        <w:rPr>
          <w:rFonts w:cs="Guttman Drogolin"/>
          <w:rtl/>
          <w:lang w:bidi="he-IL"/>
        </w:rPr>
      </w:pPr>
      <w:r w:rsidRPr="00882F11">
        <w:rPr>
          <w:rFonts w:cs="Guttman Drogolin" w:hint="cs"/>
          <w:rtl/>
          <w:lang w:bidi="he-IL"/>
        </w:rPr>
        <w:t>והנה לעיל כתבנו שלפי שיטת הרמ"א אם יש ששים בדבר חריף כנגד הסכין שאי אפשר להתיר הדבר חריף כיון שעיקר הדין כראב"ד שאין מבליע אלא כדי נטילה. אבל לדברינו לכאורה יש להסתפק אם אפילו לשיטת הרשב"א אפשר להתיר כל הדבר חריף אם יש ס' כנגדו, דמסתבר לומר לפי שיטת רע"א גם בדבר חריף אין אנחנו יודעים איפה נבלע ואיפה לא, ואע"ג דאמרינן דמפעפע בכולו, דלמא אינו בשוה. ויהי' בזה נפק"מ לדינא, שלכאורה אם כטעם הנ"ל משום דמחמרינן כשיטת הראב"ד, לכאורה יוצא שאם יש ששים בדבר חריף נגד הסכין, יהא מותר לאכלו לאחר שהסיר ממנו כדי נטילת מקום. אבל לדברינו יוצא שאי אפשר לאכול הדבר חריף כלל. וצ"ע לדינא.</w:t>
      </w:r>
    </w:p>
    <w:p w:rsidR="001A5CF4" w:rsidRPr="00882F11" w:rsidRDefault="001A5CF4" w:rsidP="0078079C">
      <w:pPr>
        <w:pStyle w:val="Heading1"/>
        <w:bidi/>
        <w:spacing w:before="0" w:line="360" w:lineRule="auto"/>
        <w:jc w:val="center"/>
        <w:rPr>
          <w:rFonts w:cs="Guttman Drogolin"/>
          <w:color w:val="auto"/>
          <w:sz w:val="24"/>
          <w:szCs w:val="24"/>
          <w:u w:val="single"/>
          <w:rtl/>
          <w:lang w:bidi="he-IL"/>
        </w:rPr>
      </w:pPr>
      <w:bookmarkStart w:id="282" w:name="_Toc496175533"/>
      <w:r w:rsidRPr="00882F11">
        <w:rPr>
          <w:rFonts w:cs="Guttman Drogolin" w:hint="cs"/>
          <w:color w:val="auto"/>
          <w:sz w:val="24"/>
          <w:szCs w:val="24"/>
          <w:u w:val="single"/>
          <w:rtl/>
          <w:lang w:bidi="he-IL"/>
        </w:rPr>
        <w:t>בהא דדבר חריף מחליא לשבח</w:t>
      </w:r>
      <w:bookmarkEnd w:id="282"/>
    </w:p>
    <w:p w:rsidR="009F147A" w:rsidRPr="00882F11" w:rsidRDefault="00E3012A" w:rsidP="009F147A">
      <w:pPr>
        <w:tabs>
          <w:tab w:val="right" w:pos="7497"/>
        </w:tabs>
        <w:bidi/>
        <w:jc w:val="both"/>
        <w:rPr>
          <w:rFonts w:cs="Guttman Drogolin"/>
          <w:rtl/>
          <w:lang w:bidi="he-IL"/>
        </w:rPr>
      </w:pPr>
      <w:r>
        <w:rPr>
          <w:rFonts w:cs="Guttman Drogolin"/>
          <w:rtl/>
          <w:lang w:bidi="he-IL"/>
        </w:rPr>
        <w:fldChar w:fldCharType="begin"/>
      </w:r>
      <w:r>
        <w:instrText xml:space="preserve"> XE "</w:instrText>
      </w:r>
      <w:r w:rsidRPr="00C1448E">
        <w:rPr>
          <w:rFonts w:hint="cs"/>
          <w:rtl/>
          <w:lang w:bidi="he-IL"/>
        </w:rPr>
        <w:instrText>דבר חריף</w:instrText>
      </w:r>
      <w:r w:rsidRPr="00C1448E">
        <w:rPr>
          <w:rtl/>
        </w:rPr>
        <w:instrText>:</w:instrText>
      </w:r>
      <w:r w:rsidRPr="00C1448E">
        <w:rPr>
          <w:rFonts w:hint="cs"/>
          <w:rtl/>
          <w:lang w:bidi="he-IL"/>
        </w:rPr>
        <w:instrText>אי מחליא לשבח</w:instrText>
      </w:r>
      <w:r>
        <w:instrText xml:space="preserve">" </w:instrText>
      </w:r>
      <w:r>
        <w:rPr>
          <w:rFonts w:cs="Guttman Drogolin"/>
          <w:rtl/>
          <w:lang w:bidi="he-IL"/>
        </w:rPr>
        <w:fldChar w:fldCharType="end"/>
      </w:r>
      <w:r w:rsidR="008F4627" w:rsidRPr="00882F11">
        <w:rPr>
          <w:rFonts w:cs="Guttman Drogolin" w:hint="cs"/>
          <w:rtl/>
          <w:lang w:bidi="he-IL"/>
        </w:rPr>
        <w:t xml:space="preserve">שם במס' עבודה זרה מבואר דאע"ג שבליעה שאינה בת יומא נטל"פ, מ"מ יש לדבר חריף התכונה לעשות אותו לשבח. </w:t>
      </w:r>
      <w:r w:rsidR="009F147A" w:rsidRPr="00882F11">
        <w:rPr>
          <w:rFonts w:cs="Guttman Drogolin" w:hint="cs"/>
          <w:rtl/>
          <w:lang w:bidi="he-IL"/>
        </w:rPr>
        <w:t xml:space="preserve">ונחלקו המפרשים בטעמו של דבר. וכפשוטו היינו שיש לדבר חריף היכולת להחיות את הבליעה ולתת לו את טעמו המשובח דמעיקרא. ודבר זה מובן יותר לפי הראשונים שסוברים שבכל בליעה שאינה בת יומא אין הבליעה פגומה בעצם, רק שהוא פוגם תבשיל אחר. ולכן י"ל שיש לו כח לדבר חריף להחזיר הבליעה למצבו הקודם ושוב הוי לשבח גמור. </w:t>
      </w:r>
    </w:p>
    <w:p w:rsidR="00242304" w:rsidRPr="00882F11" w:rsidRDefault="009F147A" w:rsidP="0012328D">
      <w:pPr>
        <w:tabs>
          <w:tab w:val="right" w:pos="7497"/>
        </w:tabs>
        <w:bidi/>
        <w:jc w:val="both"/>
        <w:rPr>
          <w:rFonts w:cs="Guttman Drogolin"/>
          <w:rtl/>
          <w:lang w:bidi="he-IL"/>
        </w:rPr>
      </w:pPr>
      <w:r w:rsidRPr="00882F11">
        <w:rPr>
          <w:rFonts w:cs="Guttman Drogolin" w:hint="cs"/>
          <w:rtl/>
          <w:lang w:bidi="he-IL"/>
        </w:rPr>
        <w:t xml:space="preserve">אלא דהנה מבואר בתוס' במס' שם בדף ס"ט ע"א ד"ה איבעיא שהכלל דדבר חריף מחליא לשבח הוא אפילו בעכברא בשיכרא שהוא פגום מעיקרו. </w:t>
      </w:r>
      <w:r w:rsidRPr="00882F11">
        <w:rPr>
          <w:rFonts w:cs="Guttman Drogolin" w:hint="cs"/>
          <w:rtl/>
          <w:lang w:bidi="he-IL"/>
        </w:rPr>
        <w:lastRenderedPageBreak/>
        <w:t>ולכאורה צ"ע מסברא למה יהא לדבר חריף תכונה לעשות כל דבר פגום לשבח,</w:t>
      </w:r>
      <w:r w:rsidR="008226E0" w:rsidRPr="00882F11">
        <w:rPr>
          <w:rFonts w:cs="Guttman Drogolin" w:hint="cs"/>
          <w:rtl/>
          <w:lang w:bidi="he-IL"/>
        </w:rPr>
        <w:t xml:space="preserve"> </w:t>
      </w:r>
      <w:r w:rsidRPr="00882F11">
        <w:rPr>
          <w:rFonts w:cs="Guttman Drogolin" w:hint="cs"/>
          <w:rtl/>
          <w:lang w:bidi="he-IL"/>
        </w:rPr>
        <w:t xml:space="preserve">ולא איכפת לן איזה פגם יש לו וכן לא הי' לו טעם שבח מעיקרא כלל. ולכאורה </w:t>
      </w:r>
      <w:r w:rsidR="0012328D" w:rsidRPr="00882F11">
        <w:rPr>
          <w:rFonts w:cs="Guttman Drogolin" w:hint="cs"/>
          <w:rtl/>
          <w:lang w:bidi="he-IL"/>
        </w:rPr>
        <w:t>הפשוט בזה כמו ביאורו של המשכנ"י ועוד כמה אחרונים, שאין הענין של מחליא לשבח שהבליעה עצמה נהפכת להיות לשבח</w:t>
      </w:r>
      <w:r w:rsidR="00242304" w:rsidRPr="00882F11">
        <w:rPr>
          <w:rFonts w:cs="Guttman Drogolin" w:hint="cs"/>
          <w:rtl/>
          <w:lang w:bidi="he-IL"/>
        </w:rPr>
        <w:t>, רק שכל דבר אפילו היא לעצמה בפגם הרי הוא לשבח כיון שהוא מחליש את חריפותו של הדבר חריף. ולכן מובן היטב למה אפילו עכברא בשיכרא יחשב לשבח, ומשום שגם דבר שהוא פגום מחליש כח החריפות.</w:t>
      </w:r>
    </w:p>
    <w:p w:rsidR="00C735A6" w:rsidRPr="00882F11" w:rsidRDefault="00242304" w:rsidP="00D755F5">
      <w:pPr>
        <w:tabs>
          <w:tab w:val="right" w:pos="7497"/>
        </w:tabs>
        <w:bidi/>
        <w:jc w:val="both"/>
        <w:rPr>
          <w:rFonts w:cs="Guttman Drogolin"/>
          <w:rtl/>
          <w:lang w:bidi="he-IL"/>
        </w:rPr>
      </w:pPr>
      <w:r w:rsidRPr="00882F11">
        <w:rPr>
          <w:rFonts w:cs="Guttman Drogolin" w:hint="cs"/>
          <w:rtl/>
          <w:lang w:bidi="he-IL"/>
        </w:rPr>
        <w:t>אמנם כבר הבאנו את דברי החוו"ד בסי' ק"ג ס"ק ט' שהוכיח דע"כ לא קיי"ל כביאור זה בדינא דדבר חריף מחליא לשבח, דהא א"כ יוצא שאם דבר חריף בלע איסור שוא נטל"פ, אין לו דין ליאסר אלא בתוך הדבר חריף, אבל אחרי שיצא מן הדבר חריף שוב אינו אוסר, דהא לא נהפך להיות לשבח בעצם. וא</w:t>
      </w:r>
      <w:r w:rsidRPr="00882F11">
        <w:rPr>
          <w:rFonts w:cs="Guttman Drogolin"/>
          <w:rtl/>
          <w:lang w:bidi="he-IL"/>
        </w:rPr>
        <w:t>"</w:t>
      </w:r>
      <w:r w:rsidRPr="00882F11">
        <w:rPr>
          <w:rFonts w:cs="Guttman Drogolin" w:hint="cs"/>
          <w:rtl/>
          <w:lang w:bidi="he-IL"/>
        </w:rPr>
        <w:t>כ</w:t>
      </w:r>
      <w:r w:rsidRPr="00882F11">
        <w:rPr>
          <w:rFonts w:cs="Guttman Drogolin"/>
          <w:rtl/>
          <w:lang w:bidi="he-IL"/>
        </w:rPr>
        <w:t xml:space="preserve"> </w:t>
      </w:r>
      <w:r w:rsidRPr="00882F11">
        <w:rPr>
          <w:rFonts w:cs="Guttman Drogolin" w:hint="cs"/>
          <w:rtl/>
          <w:lang w:bidi="he-IL"/>
        </w:rPr>
        <w:t>בצלים</w:t>
      </w:r>
      <w:r w:rsidRPr="00882F11">
        <w:rPr>
          <w:rFonts w:cs="Guttman Drogolin"/>
          <w:rtl/>
          <w:lang w:bidi="he-IL"/>
        </w:rPr>
        <w:t xml:space="preserve"> </w:t>
      </w:r>
      <w:r w:rsidRPr="00882F11">
        <w:rPr>
          <w:rFonts w:cs="Guttman Drogolin" w:hint="cs"/>
          <w:rtl/>
          <w:lang w:bidi="he-IL"/>
        </w:rPr>
        <w:t>שנחתכו</w:t>
      </w:r>
      <w:r w:rsidRPr="00882F11">
        <w:rPr>
          <w:rFonts w:cs="Guttman Drogolin"/>
          <w:rtl/>
          <w:lang w:bidi="he-IL"/>
        </w:rPr>
        <w:t xml:space="preserve"> </w:t>
      </w:r>
      <w:r w:rsidRPr="00882F11">
        <w:rPr>
          <w:rFonts w:cs="Guttman Drogolin" w:hint="cs"/>
          <w:rtl/>
          <w:lang w:bidi="he-IL"/>
        </w:rPr>
        <w:t>בסכין</w:t>
      </w:r>
      <w:r w:rsidRPr="00882F11">
        <w:rPr>
          <w:rFonts w:cs="Guttman Drogolin"/>
          <w:rtl/>
          <w:lang w:bidi="he-IL"/>
        </w:rPr>
        <w:t xml:space="preserve"> </w:t>
      </w:r>
      <w:r w:rsidRPr="00882F11">
        <w:rPr>
          <w:rFonts w:cs="Guttman Drogolin" w:hint="cs"/>
          <w:rtl/>
          <w:lang w:bidi="he-IL"/>
        </w:rPr>
        <w:t>בשר</w:t>
      </w:r>
      <w:r w:rsidRPr="00882F11">
        <w:rPr>
          <w:rFonts w:cs="Guttman Drogolin"/>
          <w:rtl/>
          <w:lang w:bidi="he-IL"/>
        </w:rPr>
        <w:t xml:space="preserve"> </w:t>
      </w:r>
      <w:r w:rsidRPr="00882F11">
        <w:rPr>
          <w:rFonts w:cs="Guttman Drogolin" w:hint="cs"/>
          <w:rtl/>
          <w:lang w:bidi="he-IL"/>
        </w:rPr>
        <w:t>אמאי</w:t>
      </w:r>
      <w:r w:rsidRPr="00882F11">
        <w:rPr>
          <w:rFonts w:cs="Guttman Drogolin"/>
          <w:rtl/>
          <w:lang w:bidi="he-IL"/>
        </w:rPr>
        <w:t xml:space="preserve"> </w:t>
      </w:r>
      <w:r w:rsidRPr="00882F11">
        <w:rPr>
          <w:rFonts w:cs="Guttman Drogolin" w:hint="cs"/>
          <w:rtl/>
          <w:lang w:bidi="he-IL"/>
        </w:rPr>
        <w:t>אוסרין</w:t>
      </w:r>
      <w:r w:rsidRPr="00882F11">
        <w:rPr>
          <w:rFonts w:cs="Guttman Drogolin"/>
          <w:rtl/>
          <w:lang w:bidi="he-IL"/>
        </w:rPr>
        <w:t xml:space="preserve"> </w:t>
      </w:r>
      <w:r w:rsidRPr="00882F11">
        <w:rPr>
          <w:rFonts w:cs="Guttman Drogolin" w:hint="cs"/>
          <w:rtl/>
          <w:lang w:bidi="he-IL"/>
        </w:rPr>
        <w:t>להחלב</w:t>
      </w:r>
      <w:r w:rsidRPr="00882F11">
        <w:rPr>
          <w:rFonts w:cs="Guttman Drogolin"/>
          <w:rtl/>
          <w:lang w:bidi="he-IL"/>
        </w:rPr>
        <w:t xml:space="preserve"> </w:t>
      </w:r>
      <w:r w:rsidRPr="00882F11">
        <w:rPr>
          <w:rFonts w:cs="Guttman Drogolin" w:hint="cs"/>
          <w:rtl/>
          <w:lang w:bidi="he-IL"/>
        </w:rPr>
        <w:t>כ</w:t>
      </w:r>
      <w:r w:rsidR="005B7973" w:rsidRPr="00882F11">
        <w:rPr>
          <w:rFonts w:cs="Guttman Drogolin" w:hint="cs"/>
          <w:rtl/>
          <w:lang w:bidi="he-IL"/>
        </w:rPr>
        <w:t>ד</w:t>
      </w:r>
      <w:r w:rsidRPr="00882F11">
        <w:rPr>
          <w:rFonts w:cs="Guttman Drogolin" w:hint="cs"/>
          <w:rtl/>
          <w:lang w:bidi="he-IL"/>
        </w:rPr>
        <w:t>מבואר</w:t>
      </w:r>
      <w:r w:rsidRPr="00882F11">
        <w:rPr>
          <w:rFonts w:cs="Guttman Drogolin"/>
          <w:rtl/>
          <w:lang w:bidi="he-IL"/>
        </w:rPr>
        <w:t xml:space="preserve"> </w:t>
      </w:r>
      <w:r w:rsidRPr="00882F11">
        <w:rPr>
          <w:rFonts w:cs="Guttman Drogolin" w:hint="cs"/>
          <w:rtl/>
          <w:lang w:bidi="he-IL"/>
        </w:rPr>
        <w:t>ברמ"א בסימן</w:t>
      </w:r>
      <w:r w:rsidRPr="00882F11">
        <w:rPr>
          <w:rFonts w:cs="Guttman Drogolin"/>
          <w:rtl/>
          <w:lang w:bidi="he-IL"/>
        </w:rPr>
        <w:t xml:space="preserve"> </w:t>
      </w:r>
      <w:r w:rsidRPr="00882F11">
        <w:rPr>
          <w:rFonts w:cs="Guttman Drogolin" w:hint="cs"/>
          <w:rtl/>
          <w:lang w:bidi="he-IL"/>
        </w:rPr>
        <w:t>צ</w:t>
      </w:r>
      <w:r w:rsidRPr="00882F11">
        <w:rPr>
          <w:rFonts w:cs="Guttman Drogolin"/>
          <w:rtl/>
          <w:lang w:bidi="he-IL"/>
        </w:rPr>
        <w:t>"</w:t>
      </w:r>
      <w:r w:rsidRPr="00882F11">
        <w:rPr>
          <w:rFonts w:cs="Guttman Drogolin" w:hint="cs"/>
          <w:rtl/>
          <w:lang w:bidi="he-IL"/>
        </w:rPr>
        <w:t>ה</w:t>
      </w:r>
      <w:r w:rsidRPr="00882F11">
        <w:rPr>
          <w:rFonts w:cs="Guttman Drogolin"/>
          <w:rtl/>
          <w:lang w:bidi="he-IL"/>
        </w:rPr>
        <w:t xml:space="preserve"> </w:t>
      </w:r>
      <w:r w:rsidRPr="00882F11">
        <w:rPr>
          <w:rFonts w:cs="Guttman Drogolin" w:hint="cs"/>
          <w:rtl/>
          <w:lang w:bidi="he-IL"/>
        </w:rPr>
        <w:t>סעיף</w:t>
      </w:r>
      <w:r w:rsidRPr="00882F11">
        <w:rPr>
          <w:rFonts w:cs="Guttman Drogolin"/>
          <w:rtl/>
          <w:lang w:bidi="he-IL"/>
        </w:rPr>
        <w:t xml:space="preserve"> </w:t>
      </w:r>
      <w:r w:rsidRPr="00882F11">
        <w:rPr>
          <w:rFonts w:cs="Guttman Drogolin" w:hint="cs"/>
          <w:rtl/>
          <w:lang w:bidi="he-IL"/>
        </w:rPr>
        <w:t>ב'</w:t>
      </w:r>
      <w:r w:rsidRPr="00882F11">
        <w:rPr>
          <w:rFonts w:cs="Guttman Drogolin"/>
          <w:rtl/>
          <w:lang w:bidi="he-IL"/>
        </w:rPr>
        <w:t xml:space="preserve"> </w:t>
      </w:r>
      <w:r w:rsidRPr="00882F11">
        <w:rPr>
          <w:rFonts w:cs="Guttman Drogolin" w:hint="cs"/>
          <w:rtl/>
          <w:lang w:bidi="he-IL"/>
        </w:rPr>
        <w:t>וכן כאן בשו"ע</w:t>
      </w:r>
      <w:r w:rsidRPr="00882F11">
        <w:rPr>
          <w:rFonts w:cs="Guttman Drogolin"/>
          <w:rtl/>
          <w:lang w:bidi="he-IL"/>
        </w:rPr>
        <w:t xml:space="preserve">, </w:t>
      </w:r>
      <w:r w:rsidRPr="00882F11">
        <w:rPr>
          <w:rFonts w:cs="Guttman Drogolin" w:hint="cs"/>
          <w:rtl/>
          <w:lang w:bidi="he-IL"/>
        </w:rPr>
        <w:t>הא</w:t>
      </w:r>
      <w:r w:rsidRPr="00882F11">
        <w:rPr>
          <w:rFonts w:cs="Guttman Drogolin"/>
          <w:rtl/>
          <w:lang w:bidi="he-IL"/>
        </w:rPr>
        <w:t xml:space="preserve"> </w:t>
      </w:r>
      <w:r w:rsidRPr="00882F11">
        <w:rPr>
          <w:rFonts w:cs="Guttman Drogolin" w:hint="cs"/>
          <w:rtl/>
          <w:lang w:bidi="he-IL"/>
        </w:rPr>
        <w:t>הטעם</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בשר</w:t>
      </w:r>
      <w:r w:rsidRPr="00882F11">
        <w:rPr>
          <w:rFonts w:cs="Guttman Drogolin"/>
          <w:rtl/>
          <w:lang w:bidi="he-IL"/>
        </w:rPr>
        <w:t xml:space="preserve"> </w:t>
      </w:r>
      <w:r w:rsidRPr="00882F11">
        <w:rPr>
          <w:rFonts w:cs="Guttman Drogolin" w:hint="cs"/>
          <w:rtl/>
          <w:lang w:bidi="he-IL"/>
        </w:rPr>
        <w:t>הפגום</w:t>
      </w:r>
      <w:r w:rsidRPr="00882F11">
        <w:rPr>
          <w:rFonts w:cs="Guttman Drogolin"/>
          <w:rtl/>
          <w:lang w:bidi="he-IL"/>
        </w:rPr>
        <w:t xml:space="preserve"> </w:t>
      </w:r>
      <w:r w:rsidRPr="00882F11">
        <w:rPr>
          <w:rFonts w:cs="Guttman Drogolin" w:hint="cs"/>
          <w:rtl/>
          <w:lang w:bidi="he-IL"/>
        </w:rPr>
        <w:t>גופי'</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נשבח</w:t>
      </w:r>
      <w:r w:rsidRPr="00882F11">
        <w:rPr>
          <w:rFonts w:cs="Guttman Drogolin"/>
          <w:rtl/>
          <w:lang w:bidi="he-IL"/>
        </w:rPr>
        <w:t xml:space="preserve"> </w:t>
      </w:r>
      <w:r w:rsidRPr="00882F11">
        <w:rPr>
          <w:rFonts w:cs="Guttman Drogolin" w:hint="cs"/>
          <w:rtl/>
          <w:lang w:bidi="he-IL"/>
        </w:rPr>
        <w:t>והאיך</w:t>
      </w:r>
      <w:r w:rsidRPr="00882F11">
        <w:rPr>
          <w:rFonts w:cs="Guttman Drogolin"/>
          <w:rtl/>
          <w:lang w:bidi="he-IL"/>
        </w:rPr>
        <w:t xml:space="preserve"> </w:t>
      </w:r>
      <w:r w:rsidRPr="00882F11">
        <w:rPr>
          <w:rFonts w:cs="Guttman Drogolin" w:hint="cs"/>
          <w:rtl/>
          <w:lang w:bidi="he-IL"/>
        </w:rPr>
        <w:t>יאסור</w:t>
      </w:r>
      <w:r w:rsidRPr="00882F11">
        <w:rPr>
          <w:rFonts w:cs="Guttman Drogolin"/>
          <w:rtl/>
          <w:lang w:bidi="he-IL"/>
        </w:rPr>
        <w:t xml:space="preserve"> </w:t>
      </w:r>
      <w:r w:rsidRPr="00882F11">
        <w:rPr>
          <w:rFonts w:cs="Guttman Drogolin" w:hint="cs"/>
          <w:rtl/>
          <w:lang w:bidi="he-IL"/>
        </w:rPr>
        <w:t xml:space="preserve">להחלב. וע"כ לפי הנ"ל הביאור בדינא דדבר חריף מחליא לשבח אינו אלא </w:t>
      </w:r>
      <w:r w:rsidR="00C735A6" w:rsidRPr="00882F11">
        <w:rPr>
          <w:rFonts w:cs="Guttman Drogolin" w:hint="cs"/>
          <w:rtl/>
          <w:lang w:bidi="he-IL"/>
        </w:rPr>
        <w:t>שהבליעה עצמה נהפכת להיות לשבח ומשו"ה הרי הוא אוסר אפילו לאחר שיצא מן הדבר חריף. ולכאורה א"כ יוצא שלדינא דבר שהי' פגום מעיקרו לא אמרינן מחליא לשבח, וע"כ דינא דעכברא בשיכרא הוא מטעם אחר ממש"כ התוס'. וצ"ע.</w:t>
      </w:r>
    </w:p>
    <w:p w:rsidR="00C735A6" w:rsidRPr="00882F11" w:rsidRDefault="00C735A6" w:rsidP="00C735A6">
      <w:pPr>
        <w:tabs>
          <w:tab w:val="right" w:pos="7497"/>
        </w:tabs>
        <w:bidi/>
        <w:jc w:val="both"/>
        <w:rPr>
          <w:rFonts w:cs="Guttman Drogolin"/>
          <w:rtl/>
          <w:lang w:bidi="he-IL"/>
        </w:rPr>
      </w:pPr>
      <w:r w:rsidRPr="00882F11">
        <w:rPr>
          <w:rFonts w:cs="Guttman Drogolin" w:hint="cs"/>
          <w:rtl/>
          <w:lang w:bidi="he-IL"/>
        </w:rPr>
        <w:t>והנה</w:t>
      </w:r>
      <w:r w:rsidR="00242304" w:rsidRPr="00882F11">
        <w:rPr>
          <w:rFonts w:cs="Guttman Drogolin" w:hint="cs"/>
          <w:rtl/>
          <w:lang w:bidi="he-IL"/>
        </w:rPr>
        <w:t xml:space="preserve"> </w:t>
      </w:r>
      <w:r w:rsidRPr="00882F11">
        <w:rPr>
          <w:rFonts w:cs="Guttman Drogolin" w:hint="cs"/>
          <w:rtl/>
          <w:lang w:bidi="he-IL"/>
        </w:rPr>
        <w:t xml:space="preserve">בעיקר הענין דדבר חריף מחליא לשבח, נחלקו הראשונים אם הדבר נאמר רק בחילתית, ומשום שחריפותו יותר חזק משאר דברים החריפים, או"ד שהוא דין בכל הדברים החריפים. כן הביא הטור כאן מחלוקת בין סה"ת ומהר"ם רוטנבורג, והוסיף שאפילו המהר"ם רוטנבורג שסבר שלא נאמר דינא דמחליא לשבח אלא בחילתית מ"מ הי' מורה לאחרים כדעת הסה"ת, רק שלא הי' מוחה באלו שמקילים בזה. ובשו"ע לכאורה הי' נראה שהעיקר כדעת המקילים, דהא הביא דעת המקילים סתם, ודעת המחמירים כי"א, אמנם כבר הדגיש בביאור הגר"א שבסי' צ"ה סע' </w:t>
      </w:r>
      <w:r w:rsidRPr="00882F11">
        <w:rPr>
          <w:rFonts w:cs="Guttman Drogolin" w:hint="cs"/>
          <w:rtl/>
          <w:lang w:bidi="he-IL"/>
        </w:rPr>
        <w:lastRenderedPageBreak/>
        <w:t>ב' מבואר שהרמ"א נקט לדינא כדעת המחמירים. ובעיקר דעת שהשו"ע בזה נראה מזה יותר בהמשך בעזהי"ת.</w:t>
      </w:r>
    </w:p>
    <w:p w:rsidR="009F147A" w:rsidRPr="00882F11" w:rsidRDefault="00C735A6" w:rsidP="00203F0B">
      <w:pPr>
        <w:tabs>
          <w:tab w:val="right" w:pos="7497"/>
        </w:tabs>
        <w:bidi/>
        <w:jc w:val="both"/>
        <w:rPr>
          <w:rFonts w:cs="Guttman Drogolin"/>
          <w:rtl/>
          <w:lang w:bidi="he-IL"/>
        </w:rPr>
      </w:pPr>
      <w:r w:rsidRPr="00882F11">
        <w:rPr>
          <w:rFonts w:cs="Guttman Drogolin" w:hint="cs"/>
          <w:rtl/>
          <w:lang w:bidi="he-IL"/>
        </w:rPr>
        <w:t>וראוי להדגיש שב</w:t>
      </w:r>
      <w:r w:rsidR="00386660" w:rsidRPr="00882F11">
        <w:rPr>
          <w:rFonts w:cs="Guttman Drogolin" w:hint="cs"/>
          <w:rtl/>
          <w:lang w:bidi="he-IL"/>
        </w:rPr>
        <w:t xml:space="preserve">שו"ת </w:t>
      </w:r>
      <w:r w:rsidRPr="00882F11">
        <w:rPr>
          <w:rFonts w:cs="Guttman Drogolin" w:hint="cs"/>
          <w:rtl/>
          <w:lang w:bidi="he-IL"/>
        </w:rPr>
        <w:t xml:space="preserve">רשב"א </w:t>
      </w:r>
      <w:r w:rsidR="00386660" w:rsidRPr="00882F11">
        <w:rPr>
          <w:rFonts w:cs="Guttman Drogolin" w:hint="cs"/>
          <w:rtl/>
          <w:lang w:bidi="he-IL"/>
        </w:rPr>
        <w:t xml:space="preserve">סי' תצ"ז </w:t>
      </w:r>
      <w:r w:rsidRPr="00882F11">
        <w:rPr>
          <w:rFonts w:cs="Guttman Drogolin" w:hint="cs"/>
          <w:rtl/>
          <w:lang w:bidi="he-IL"/>
        </w:rPr>
        <w:t>כתב שלא נאמר הדין דמחליא לי' לשבח אלא בחילתית,</w:t>
      </w:r>
      <w:r w:rsidR="00386660" w:rsidRPr="00882F11">
        <w:rPr>
          <w:rFonts w:cs="Guttman Drogolin" w:hint="cs"/>
          <w:rtl/>
          <w:lang w:bidi="he-IL"/>
        </w:rPr>
        <w:t xml:space="preserve"> דאל"כ למה לא הצריכו הגעלה בכלי מדין אפילו אינו בן יומו משום דבר חריף. אמנם העיר בכנה"ג שלכאורה דבר זה סותר מש"כ הרשב"א בסי' תמ"ט שהטעם שמעט תבלין עם ביצים אינו מחליא לשבח משום שאינו אלא דבר מועט, ולכאורה לשיטתו הרי לא נאמר כלל הדין דמחליא לשבח אלא בחילתית. והכנה"ג עצמו כתב ליישב דאולי תבלין שאני, </w:t>
      </w:r>
      <w:r w:rsidR="00203F0B" w:rsidRPr="00882F11">
        <w:rPr>
          <w:rFonts w:cs="Guttman Drogolin" w:hint="cs"/>
          <w:rtl/>
          <w:lang w:bidi="he-IL"/>
        </w:rPr>
        <w:t>ולא</w:t>
      </w:r>
      <w:r w:rsidR="00386660" w:rsidRPr="00882F11">
        <w:rPr>
          <w:rFonts w:cs="Guttman Drogolin" w:hint="cs"/>
          <w:rtl/>
          <w:lang w:bidi="he-IL"/>
        </w:rPr>
        <w:t xml:space="preserve"> תיקשי </w:t>
      </w:r>
      <w:r w:rsidR="00203F0B" w:rsidRPr="00882F11">
        <w:rPr>
          <w:rFonts w:cs="Guttman Drogolin" w:hint="cs"/>
          <w:rtl/>
          <w:lang w:bidi="he-IL"/>
        </w:rPr>
        <w:t>הא ד</w:t>
      </w:r>
      <w:r w:rsidR="00386660" w:rsidRPr="00882F11">
        <w:rPr>
          <w:rFonts w:cs="Guttman Drogolin" w:hint="cs"/>
          <w:rtl/>
          <w:lang w:bidi="he-IL"/>
        </w:rPr>
        <w:t>כלי מדין</w:t>
      </w:r>
      <w:r w:rsidR="00203F0B" w:rsidRPr="00882F11">
        <w:rPr>
          <w:rFonts w:cs="Guttman Drogolin" w:hint="cs"/>
          <w:rtl/>
          <w:lang w:bidi="he-IL"/>
        </w:rPr>
        <w:t xml:space="preserve"> כיון שאין משתמשין בתבלין אלא בדבר מועט</w:t>
      </w:r>
      <w:r w:rsidR="00386660" w:rsidRPr="00882F11">
        <w:rPr>
          <w:rFonts w:cs="Guttman Drogolin" w:hint="cs"/>
          <w:rtl/>
          <w:lang w:bidi="he-IL"/>
        </w:rPr>
        <w:t xml:space="preserve">. </w:t>
      </w:r>
      <w:r w:rsidR="00203F0B" w:rsidRPr="00882F11">
        <w:rPr>
          <w:rFonts w:cs="Guttman Drogolin" w:hint="cs"/>
          <w:rtl/>
          <w:lang w:bidi="he-IL"/>
        </w:rPr>
        <w:t xml:space="preserve">וכתב על זה שאינו נכון, ולכאורה טעמו דהא מ"מ איכא מדוכה, ולכאורה היו גם מדוכות בין הכלי מדין. </w:t>
      </w:r>
      <w:r w:rsidR="00386660" w:rsidRPr="00882F11">
        <w:rPr>
          <w:rFonts w:cs="Guttman Drogolin" w:hint="cs"/>
          <w:rtl/>
          <w:lang w:bidi="he-IL"/>
        </w:rPr>
        <w:t xml:space="preserve">ועל דרך הפשט </w:t>
      </w:r>
      <w:r w:rsidR="00203F0B" w:rsidRPr="00882F11">
        <w:rPr>
          <w:rFonts w:cs="Guttman Drogolin" w:hint="cs"/>
          <w:rtl/>
          <w:lang w:bidi="he-IL"/>
        </w:rPr>
        <w:t xml:space="preserve">אולי </w:t>
      </w:r>
      <w:r w:rsidR="00386660" w:rsidRPr="00882F11">
        <w:rPr>
          <w:rFonts w:cs="Guttman Drogolin" w:hint="cs"/>
          <w:rtl/>
          <w:lang w:bidi="he-IL"/>
        </w:rPr>
        <w:t xml:space="preserve">י"ל שבסי' תצ"ז לא כתב אלא שאפשר שאינו כן אלא בחילתית, ובסי' תמ"ט כתב אפילו הדין כן בשאר דברים חריפים. וצ"ע. </w:t>
      </w:r>
      <w:r w:rsidRPr="00882F11">
        <w:rPr>
          <w:rFonts w:cs="Guttman Drogolin" w:hint="cs"/>
          <w:rtl/>
          <w:lang w:bidi="he-IL"/>
        </w:rPr>
        <w:t xml:space="preserve">  </w:t>
      </w:r>
      <w:r w:rsidR="00242304" w:rsidRPr="00882F11">
        <w:rPr>
          <w:rFonts w:cs="Guttman Drogolin" w:hint="cs"/>
          <w:rtl/>
          <w:lang w:bidi="he-IL"/>
        </w:rPr>
        <w:t xml:space="preserve"> </w:t>
      </w:r>
      <w:r w:rsidR="009F147A" w:rsidRPr="00882F11">
        <w:rPr>
          <w:rFonts w:cs="Guttman Drogolin" w:hint="cs"/>
          <w:rtl/>
          <w:lang w:bidi="he-IL"/>
        </w:rPr>
        <w:t xml:space="preserve">  </w:t>
      </w:r>
    </w:p>
    <w:p w:rsidR="00386660" w:rsidRPr="00882F11" w:rsidRDefault="00386660" w:rsidP="0078079C">
      <w:pPr>
        <w:pStyle w:val="Heading1"/>
        <w:bidi/>
        <w:spacing w:before="0" w:line="360" w:lineRule="auto"/>
        <w:jc w:val="center"/>
        <w:rPr>
          <w:rFonts w:cs="Guttman Drogolin"/>
          <w:color w:val="auto"/>
          <w:sz w:val="24"/>
          <w:szCs w:val="24"/>
          <w:u w:val="single"/>
          <w:rtl/>
          <w:lang w:bidi="he-IL"/>
        </w:rPr>
      </w:pPr>
      <w:bookmarkStart w:id="283" w:name="_Toc496175534"/>
      <w:r w:rsidRPr="00882F11">
        <w:rPr>
          <w:rFonts w:cs="Guttman Drogolin" w:hint="cs"/>
          <w:color w:val="auto"/>
          <w:sz w:val="24"/>
          <w:szCs w:val="24"/>
          <w:u w:val="single"/>
          <w:rtl/>
          <w:lang w:bidi="he-IL"/>
        </w:rPr>
        <w:t>דבר חריף מהו</w:t>
      </w:r>
      <w:bookmarkEnd w:id="283"/>
    </w:p>
    <w:p w:rsidR="00203F0B" w:rsidRPr="00882F11" w:rsidRDefault="00E3012A" w:rsidP="00203F0B">
      <w:pPr>
        <w:tabs>
          <w:tab w:val="right" w:pos="7497"/>
        </w:tabs>
        <w:bidi/>
        <w:jc w:val="both"/>
        <w:rPr>
          <w:rFonts w:cs="Guttman Drogolin"/>
          <w:rtl/>
          <w:lang w:bidi="he-IL"/>
        </w:rPr>
      </w:pPr>
      <w:r>
        <w:rPr>
          <w:rFonts w:cs="Guttman Drogolin"/>
          <w:rtl/>
          <w:lang w:bidi="he-IL"/>
        </w:rPr>
        <w:fldChar w:fldCharType="begin"/>
      </w:r>
      <w:r>
        <w:instrText xml:space="preserve"> XE "</w:instrText>
      </w:r>
      <w:r w:rsidRPr="00472345">
        <w:rPr>
          <w:rFonts w:hint="cs"/>
          <w:rtl/>
          <w:lang w:bidi="he-IL"/>
        </w:rPr>
        <w:instrText>דבר חריף</w:instrText>
      </w:r>
      <w:r w:rsidRPr="00472345">
        <w:rPr>
          <w:rtl/>
        </w:rPr>
        <w:instrText>:</w:instrText>
      </w:r>
      <w:r w:rsidRPr="00472345">
        <w:rPr>
          <w:rFonts w:hint="cs"/>
          <w:rtl/>
          <w:lang w:bidi="he-IL"/>
        </w:rPr>
        <w:instrText>מהו</w:instrText>
      </w:r>
      <w:r>
        <w:instrText xml:space="preserve">" </w:instrText>
      </w:r>
      <w:r>
        <w:rPr>
          <w:rFonts w:cs="Guttman Drogolin"/>
          <w:rtl/>
          <w:lang w:bidi="he-IL"/>
        </w:rPr>
        <w:fldChar w:fldCharType="end"/>
      </w:r>
      <w:r w:rsidR="00386660" w:rsidRPr="00882F11">
        <w:rPr>
          <w:rFonts w:cs="Guttman Drogolin" w:hint="cs"/>
          <w:rtl/>
          <w:lang w:bidi="he-IL"/>
        </w:rPr>
        <w:t xml:space="preserve">והנה אפילו לדברי האומרים שהדין של מחליא לשבח נאמר בשארי הדברים חוץ מחילתית, מ"מ יש לדון מה הם הדברים האחרים שנחשבים כדבר חריף. וכפשוטו הוא כל מה שיש לו באמת טעם חריף, כגון בצלים, שומים, ועוד. אמנם </w:t>
      </w:r>
      <w:r w:rsidR="00203F0B" w:rsidRPr="00882F11">
        <w:rPr>
          <w:rFonts w:cs="Guttman Drogolin" w:hint="cs"/>
          <w:rtl/>
          <w:lang w:bidi="he-IL"/>
        </w:rPr>
        <w:t xml:space="preserve">בב"י הביא סמ"ק בשם </w:t>
      </w:r>
      <w:r w:rsidR="00386660" w:rsidRPr="00882F11">
        <w:rPr>
          <w:rFonts w:cs="Guttman Drogolin" w:hint="cs"/>
          <w:rtl/>
          <w:lang w:bidi="he-IL"/>
        </w:rPr>
        <w:t>רבינו יחיאל</w:t>
      </w:r>
      <w:r w:rsidR="00203F0B" w:rsidRPr="00882F11">
        <w:rPr>
          <w:rFonts w:cs="Guttman Drogolin" w:hint="cs"/>
          <w:rtl/>
          <w:lang w:bidi="he-IL"/>
        </w:rPr>
        <w:t xml:space="preserve"> שאין לנו אלא מה שמנו </w:t>
      </w:r>
      <w:r w:rsidR="00203F0B" w:rsidRPr="00882F11">
        <w:rPr>
          <w:rFonts w:cs="Guttman Drogolin" w:hint="cs"/>
          <w:rtl/>
          <w:lang w:bidi="he-IL"/>
        </w:rPr>
        <w:lastRenderedPageBreak/>
        <w:t>חכמים</w:t>
      </w:r>
      <w:r w:rsidR="00B25BD9" w:rsidRPr="00882F11">
        <w:rPr>
          <w:rStyle w:val="FootnoteReference"/>
          <w:rFonts w:cs="Guttman Drogolin"/>
          <w:rtl/>
          <w:lang w:bidi="he-IL"/>
        </w:rPr>
        <w:footnoteReference w:id="307"/>
      </w:r>
      <w:r w:rsidR="00203F0B" w:rsidRPr="00882F11">
        <w:rPr>
          <w:rFonts w:cs="Guttman Drogolin" w:hint="cs"/>
          <w:rtl/>
          <w:lang w:bidi="he-IL"/>
        </w:rPr>
        <w:t>, ולכן צנון ג"כ אסור אבל לא דברים אחרים. והוא דלא שיטת רוב ראשונים שכללו גם עוד דברים חריפים אחרים. אמנם אנחנו מוצאים בין הפוסקים שלפעמים צירפו שיטתו להקל ביחד עם שיטות אחרות</w:t>
      </w:r>
      <w:r w:rsidR="004D5D27" w:rsidRPr="00882F11">
        <w:rPr>
          <w:rStyle w:val="FootnoteReference"/>
          <w:rFonts w:cs="Guttman Drogolin"/>
          <w:rtl/>
          <w:lang w:bidi="he-IL"/>
        </w:rPr>
        <w:footnoteReference w:id="308"/>
      </w:r>
      <w:r w:rsidR="00203F0B" w:rsidRPr="00882F11">
        <w:rPr>
          <w:rFonts w:cs="Guttman Drogolin" w:hint="cs"/>
          <w:rtl/>
          <w:lang w:bidi="he-IL"/>
        </w:rPr>
        <w:t>.</w:t>
      </w:r>
    </w:p>
    <w:p w:rsidR="00203F0B" w:rsidRPr="00882F11" w:rsidRDefault="00203F0B" w:rsidP="00203F0B">
      <w:pPr>
        <w:tabs>
          <w:tab w:val="right" w:pos="7497"/>
        </w:tabs>
        <w:bidi/>
        <w:jc w:val="both"/>
        <w:rPr>
          <w:rFonts w:cs="Guttman Drogolin"/>
          <w:rtl/>
          <w:lang w:bidi="he-IL"/>
        </w:rPr>
      </w:pPr>
      <w:r w:rsidRPr="00882F11">
        <w:rPr>
          <w:rFonts w:cs="Guttman Drogolin" w:hint="cs"/>
          <w:rtl/>
          <w:lang w:bidi="he-IL"/>
        </w:rPr>
        <w:t>(ובעיקר הדבר שצנון נחשב דבר חריף, אנחנו מוצאים בס' מקור ברוך (ח</w:t>
      </w:r>
      <w:r w:rsidRPr="00882F11">
        <w:rPr>
          <w:rFonts w:cs="Guttman Drogolin"/>
          <w:rtl/>
          <w:lang w:bidi="he-IL"/>
        </w:rPr>
        <w:t>"</w:t>
      </w:r>
      <w:r w:rsidRPr="00882F11">
        <w:rPr>
          <w:rFonts w:cs="Guttman Drogolin" w:hint="cs"/>
          <w:rtl/>
          <w:lang w:bidi="he-IL"/>
        </w:rPr>
        <w:t>ג</w:t>
      </w:r>
      <w:r w:rsidRPr="00882F11">
        <w:rPr>
          <w:rFonts w:cs="Guttman Drogolin"/>
          <w:rtl/>
          <w:lang w:bidi="he-IL"/>
        </w:rPr>
        <w:t xml:space="preserve"> </w:t>
      </w:r>
      <w:r w:rsidR="00B25BD9" w:rsidRPr="00882F11">
        <w:rPr>
          <w:rFonts w:cs="Guttman Drogolin" w:hint="cs"/>
          <w:rtl/>
          <w:lang w:bidi="he-IL"/>
        </w:rPr>
        <w:t xml:space="preserve">פט"ז </w:t>
      </w:r>
      <w:r w:rsidRPr="00882F11">
        <w:rPr>
          <w:rFonts w:cs="Guttman Drogolin" w:hint="cs"/>
          <w:rtl/>
          <w:lang w:bidi="he-IL"/>
        </w:rPr>
        <w:t>עמ</w:t>
      </w:r>
      <w:r w:rsidRPr="00882F11">
        <w:rPr>
          <w:rFonts w:cs="Guttman Drogolin"/>
          <w:rtl/>
          <w:lang w:bidi="he-IL"/>
        </w:rPr>
        <w:t xml:space="preserve">' </w:t>
      </w:r>
      <w:r w:rsidRPr="00882F11">
        <w:rPr>
          <w:rFonts w:cs="Guttman Drogolin" w:hint="cs"/>
          <w:rtl/>
          <w:lang w:bidi="he-IL"/>
        </w:rPr>
        <w:t>תקפ</w:t>
      </w:r>
      <w:r w:rsidRPr="00882F11">
        <w:rPr>
          <w:rFonts w:cs="Guttman Drogolin"/>
          <w:rtl/>
          <w:lang w:bidi="he-IL"/>
        </w:rPr>
        <w:t>"</w:t>
      </w:r>
      <w:r w:rsidRPr="00882F11">
        <w:rPr>
          <w:rFonts w:cs="Guttman Drogolin" w:hint="cs"/>
          <w:rtl/>
          <w:lang w:bidi="he-IL"/>
        </w:rPr>
        <w:t>ג) משמו של הגר"ח מוואלאזין שיש לחלק בין מיני הצנון, ורק הצנון השחור חריף ולא צנון הלבן. ובאמת הצנון השכיח בזמנינו שיש לו קליפה אדומה לא נראה כ"כ חריף. וע' גם בערוה"ש (סע' י</w:t>
      </w:r>
      <w:r w:rsidR="00B25BD9" w:rsidRPr="00882F11">
        <w:rPr>
          <w:rFonts w:cs="Guttman Drogolin" w:hint="cs"/>
          <w:rtl/>
          <w:lang w:bidi="he-IL"/>
        </w:rPr>
        <w:t>"ג) שסמך על זה במידה מסוימת. אמ</w:t>
      </w:r>
      <w:r w:rsidRPr="00882F11">
        <w:rPr>
          <w:rFonts w:cs="Guttman Drogolin" w:hint="cs"/>
          <w:rtl/>
          <w:lang w:bidi="he-IL"/>
        </w:rPr>
        <w:t xml:space="preserve">נם בדרכ"ת כאן ס"ק </w:t>
      </w:r>
      <w:r w:rsidR="00B25BD9" w:rsidRPr="00882F11">
        <w:rPr>
          <w:rFonts w:cs="Guttman Drogolin" w:hint="cs"/>
          <w:rtl/>
          <w:lang w:bidi="he-IL"/>
        </w:rPr>
        <w:t>א' כתב דצ"ע</w:t>
      </w:r>
      <w:r w:rsidRPr="00882F11">
        <w:rPr>
          <w:rFonts w:cs="Guttman Drogolin" w:hint="cs"/>
          <w:rtl/>
          <w:lang w:bidi="he-IL"/>
        </w:rPr>
        <w:t xml:space="preserve"> אם אפשר לסמוך על זה למעשה אפילו במקום הפ</w:t>
      </w:r>
      <w:r w:rsidR="00B25BD9" w:rsidRPr="00882F11">
        <w:rPr>
          <w:rFonts w:cs="Guttman Drogolin" w:hint="cs"/>
          <w:rtl/>
          <w:lang w:bidi="he-IL"/>
        </w:rPr>
        <w:t>ס</w:t>
      </w:r>
      <w:r w:rsidRPr="00882F11">
        <w:rPr>
          <w:rFonts w:cs="Guttman Drogolin" w:hint="cs"/>
          <w:rtl/>
          <w:lang w:bidi="he-IL"/>
        </w:rPr>
        <w:t>"מ</w:t>
      </w:r>
      <w:r w:rsidR="00B25BD9" w:rsidRPr="00882F11">
        <w:rPr>
          <w:rStyle w:val="FootnoteReference"/>
          <w:rFonts w:cs="Guttman Drogolin"/>
          <w:rtl/>
          <w:lang w:bidi="he-IL"/>
        </w:rPr>
        <w:footnoteReference w:id="309"/>
      </w:r>
      <w:r w:rsidRPr="00882F11">
        <w:rPr>
          <w:rFonts w:cs="Guttman Drogolin" w:hint="cs"/>
          <w:rtl/>
          <w:lang w:bidi="he-IL"/>
        </w:rPr>
        <w:t xml:space="preserve">). </w:t>
      </w:r>
    </w:p>
    <w:p w:rsidR="00203F0B" w:rsidRPr="00882F11" w:rsidRDefault="00203F0B" w:rsidP="0078079C">
      <w:pPr>
        <w:pStyle w:val="Heading1"/>
        <w:bidi/>
        <w:spacing w:before="0" w:line="360" w:lineRule="auto"/>
        <w:jc w:val="center"/>
        <w:rPr>
          <w:rFonts w:cs="Guttman Drogolin"/>
          <w:color w:val="auto"/>
          <w:sz w:val="24"/>
          <w:szCs w:val="24"/>
          <w:u w:val="single"/>
          <w:rtl/>
          <w:lang w:bidi="he-IL"/>
        </w:rPr>
      </w:pPr>
      <w:bookmarkStart w:id="284" w:name="_Toc496175535"/>
      <w:r w:rsidRPr="00882F11">
        <w:rPr>
          <w:rFonts w:cs="Guttman Drogolin" w:hint="cs"/>
          <w:color w:val="auto"/>
          <w:sz w:val="24"/>
          <w:szCs w:val="24"/>
          <w:u w:val="single"/>
          <w:rtl/>
          <w:lang w:bidi="he-IL"/>
        </w:rPr>
        <w:t>היוצא מכל הנ"ל בדינא דדבר חריף</w:t>
      </w:r>
      <w:bookmarkEnd w:id="284"/>
    </w:p>
    <w:p w:rsidR="00203F0B" w:rsidRPr="00882F11" w:rsidRDefault="00E3012A" w:rsidP="00203F0B">
      <w:pPr>
        <w:tabs>
          <w:tab w:val="right" w:pos="7497"/>
        </w:tabs>
        <w:bidi/>
        <w:jc w:val="both"/>
        <w:rPr>
          <w:rFonts w:cs="Guttman Drogolin"/>
          <w:rtl/>
          <w:lang w:bidi="he-IL"/>
        </w:rPr>
      </w:pPr>
      <w:r>
        <w:rPr>
          <w:rFonts w:cs="Guttman Drogolin"/>
          <w:rtl/>
          <w:lang w:bidi="he-IL"/>
        </w:rPr>
        <w:fldChar w:fldCharType="begin"/>
      </w:r>
      <w:r>
        <w:instrText xml:space="preserve"> XE "</w:instrText>
      </w:r>
      <w:r w:rsidRPr="00E63448">
        <w:rPr>
          <w:rFonts w:hint="cs"/>
          <w:rtl/>
          <w:lang w:bidi="he-IL"/>
        </w:rPr>
        <w:instrText>דבר חריף</w:instrText>
      </w:r>
      <w:r w:rsidRPr="00E63448">
        <w:rPr>
          <w:rtl/>
        </w:rPr>
        <w:instrText>:</w:instrText>
      </w:r>
      <w:r w:rsidRPr="00E63448">
        <w:rPr>
          <w:rFonts w:hint="cs"/>
          <w:rtl/>
          <w:lang w:bidi="he-IL"/>
        </w:rPr>
        <w:instrText>החומרות שנאמרו בה לדינא</w:instrText>
      </w:r>
      <w:r>
        <w:instrText xml:space="preserve">" </w:instrText>
      </w:r>
      <w:r>
        <w:rPr>
          <w:rFonts w:cs="Guttman Drogolin"/>
          <w:rtl/>
          <w:lang w:bidi="he-IL"/>
        </w:rPr>
        <w:fldChar w:fldCharType="end"/>
      </w:r>
      <w:r w:rsidR="00203F0B" w:rsidRPr="00882F11">
        <w:rPr>
          <w:rFonts w:cs="Guttman Drogolin" w:hint="cs"/>
          <w:rtl/>
          <w:lang w:bidi="he-IL"/>
        </w:rPr>
        <w:t>והנה אע"ג שהבאנו שיטות וסברות שונות, על פניו הדין בדבר חריף הוא שמחמירים בה:</w:t>
      </w:r>
    </w:p>
    <w:p w:rsidR="00203F0B" w:rsidRPr="00882F11" w:rsidRDefault="00203F0B" w:rsidP="00203F0B">
      <w:pPr>
        <w:pStyle w:val="ListParagraph"/>
        <w:numPr>
          <w:ilvl w:val="0"/>
          <w:numId w:val="18"/>
        </w:numPr>
        <w:tabs>
          <w:tab w:val="right" w:pos="7497"/>
        </w:tabs>
        <w:bidi/>
        <w:jc w:val="both"/>
        <w:rPr>
          <w:rFonts w:cs="Guttman Drogolin"/>
          <w:lang w:bidi="he-IL"/>
        </w:rPr>
      </w:pPr>
      <w:r w:rsidRPr="00882F11">
        <w:rPr>
          <w:rFonts w:cs="Guttman Drogolin" w:hint="cs"/>
          <w:rtl/>
          <w:lang w:bidi="he-IL"/>
        </w:rPr>
        <w:t>שבולע ע"י דוחקא אפילו מבליעות שבתוך הכלי אפילו בצונן</w:t>
      </w:r>
    </w:p>
    <w:p w:rsidR="00203F0B" w:rsidRPr="00882F11" w:rsidRDefault="008959E7" w:rsidP="00203F0B">
      <w:pPr>
        <w:pStyle w:val="ListParagraph"/>
        <w:numPr>
          <w:ilvl w:val="0"/>
          <w:numId w:val="18"/>
        </w:numPr>
        <w:tabs>
          <w:tab w:val="right" w:pos="7497"/>
        </w:tabs>
        <w:bidi/>
        <w:jc w:val="both"/>
        <w:rPr>
          <w:rFonts w:cs="Guttman Drogolin"/>
          <w:lang w:bidi="he-IL"/>
        </w:rPr>
      </w:pPr>
      <w:r w:rsidRPr="00882F11">
        <w:rPr>
          <w:rFonts w:cs="Guttman Drogolin" w:hint="cs"/>
          <w:rtl/>
          <w:lang w:bidi="he-IL"/>
        </w:rPr>
        <w:t>דמחליא לשבח (רמ"א סי' צ"ה סע' ב')</w:t>
      </w:r>
    </w:p>
    <w:p w:rsidR="008959E7" w:rsidRPr="00882F11" w:rsidRDefault="008959E7" w:rsidP="008959E7">
      <w:pPr>
        <w:pStyle w:val="ListParagraph"/>
        <w:numPr>
          <w:ilvl w:val="0"/>
          <w:numId w:val="18"/>
        </w:numPr>
        <w:tabs>
          <w:tab w:val="right" w:pos="7497"/>
        </w:tabs>
        <w:bidi/>
        <w:jc w:val="both"/>
        <w:rPr>
          <w:rFonts w:cs="Guttman Drogolin"/>
          <w:lang w:bidi="he-IL"/>
        </w:rPr>
      </w:pPr>
      <w:r w:rsidRPr="00882F11">
        <w:rPr>
          <w:rFonts w:cs="Guttman Drogolin" w:hint="cs"/>
          <w:rtl/>
          <w:lang w:bidi="he-IL"/>
        </w:rPr>
        <w:t>שאין בה היתירא דנ"ט בר נ"ט (שם)</w:t>
      </w:r>
    </w:p>
    <w:p w:rsidR="008959E7" w:rsidRPr="00882F11" w:rsidRDefault="008959E7" w:rsidP="008959E7">
      <w:pPr>
        <w:pStyle w:val="ListParagraph"/>
        <w:numPr>
          <w:ilvl w:val="0"/>
          <w:numId w:val="18"/>
        </w:numPr>
        <w:tabs>
          <w:tab w:val="right" w:pos="7497"/>
        </w:tabs>
        <w:bidi/>
        <w:jc w:val="both"/>
        <w:rPr>
          <w:rFonts w:cs="Guttman Drogolin"/>
          <w:lang w:bidi="he-IL"/>
        </w:rPr>
      </w:pPr>
      <w:r w:rsidRPr="00882F11">
        <w:rPr>
          <w:rFonts w:cs="Guttman Drogolin" w:hint="cs"/>
          <w:rtl/>
          <w:lang w:bidi="he-IL"/>
        </w:rPr>
        <w:t>כל דבר שטעמו חריף דינו כדבר חריף בדינים הנ"ל</w:t>
      </w:r>
    </w:p>
    <w:p w:rsidR="00D325B7" w:rsidRPr="00882F11" w:rsidRDefault="008959E7" w:rsidP="00D325B7">
      <w:pPr>
        <w:tabs>
          <w:tab w:val="right" w:pos="7497"/>
        </w:tabs>
        <w:bidi/>
        <w:jc w:val="both"/>
        <w:rPr>
          <w:rFonts w:cs="Guttman Drogolin"/>
          <w:rtl/>
          <w:lang w:bidi="he-IL"/>
        </w:rPr>
      </w:pPr>
      <w:r w:rsidRPr="00882F11">
        <w:rPr>
          <w:rFonts w:cs="Guttman Drogolin" w:hint="cs"/>
          <w:rtl/>
          <w:lang w:bidi="he-IL"/>
        </w:rPr>
        <w:t xml:space="preserve">ומכח כל החומרות האלו המכשול היותר גדול שיש במטבח של הבית היהודי שחתכו דבר חריף במין א' והתערבב וכדומה. אמנם יש הרבה </w:t>
      </w:r>
      <w:r w:rsidRPr="00882F11">
        <w:rPr>
          <w:rFonts w:cs="Guttman Drogolin" w:hint="cs"/>
          <w:rtl/>
          <w:lang w:bidi="he-IL"/>
        </w:rPr>
        <w:lastRenderedPageBreak/>
        <w:t xml:space="preserve">מקרים שאפשר לצרף שיטה לשיטה ולהקל. ואני אביא דוגמא א' והוא שבשו"ת מהרי"ל דיסקין סי' י"ד כתב שאם חתך בצל בסכין חלבי ושוב טיגנו עם מעט שמן שמחבת בשרי שאפשר להקל. וטעמו משום שהרי הפר"ח הקיל דלא כרמ"א וסבר שאין חומרא של נ"ט בר נ"ט בדבר חריף יותר מאשר יש בנצלו. ואפילו אם ננקוט כמש"כ הרמ"א ולהחמיר בזה, אבל הסכין עצמו שחתך בה אם בישלו בכלי של המין השני אינו אלא כמו הדחת קערות, שהקיל בה המחבר. ואע"ג שהרמ"א החמיר בזה, אבל סבר </w:t>
      </w:r>
      <w:r w:rsidR="00D673E0" w:rsidRPr="00882F11">
        <w:rPr>
          <w:rFonts w:cs="Guttman Drogolin" w:hint="cs"/>
          <w:rtl/>
          <w:lang w:bidi="he-IL"/>
        </w:rPr>
        <w:t>המהריל"ד שלא מחירים תרוייהו ביחד.</w:t>
      </w:r>
      <w:r w:rsidRPr="00882F11">
        <w:rPr>
          <w:rFonts w:cs="Guttman Drogolin" w:hint="cs"/>
          <w:rtl/>
          <w:lang w:bidi="he-IL"/>
        </w:rPr>
        <w:t xml:space="preserve"> </w:t>
      </w:r>
    </w:p>
    <w:p w:rsidR="00D325B7" w:rsidRPr="00882F11" w:rsidRDefault="00D325B7" w:rsidP="00D325B7">
      <w:pPr>
        <w:tabs>
          <w:tab w:val="right" w:pos="7497"/>
        </w:tabs>
        <w:bidi/>
        <w:jc w:val="both"/>
        <w:rPr>
          <w:rFonts w:cs="Guttman Drogolin"/>
          <w:rtl/>
          <w:lang w:bidi="he-IL"/>
        </w:rPr>
        <w:sectPr w:rsidR="00D325B7" w:rsidRPr="00882F11" w:rsidSect="0000469F">
          <w:type w:val="continuous"/>
          <w:pgSz w:w="11907" w:h="16839" w:code="9"/>
          <w:pgMar w:top="1440" w:right="1440" w:bottom="1440" w:left="1440" w:header="720" w:footer="720" w:gutter="0"/>
          <w:cols w:num="2" w:space="720"/>
          <w:bidi/>
          <w:docGrid w:linePitch="360"/>
        </w:sectPr>
      </w:pPr>
    </w:p>
    <w:p w:rsidR="00D325B7" w:rsidRPr="00882F11" w:rsidRDefault="00D325B7" w:rsidP="00D325B7">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ע"א</w:t>
      </w:r>
    </w:p>
    <w:p w:rsidR="002B5778" w:rsidRDefault="002B5778" w:rsidP="0078079C">
      <w:pPr>
        <w:pStyle w:val="Heading1"/>
        <w:bidi/>
        <w:spacing w:before="0" w:line="360" w:lineRule="auto"/>
        <w:jc w:val="center"/>
        <w:rPr>
          <w:rFonts w:cs="Guttman Drogolin"/>
          <w:color w:val="auto"/>
          <w:sz w:val="24"/>
          <w:szCs w:val="24"/>
          <w:u w:val="single"/>
          <w:rtl/>
          <w:lang w:bidi="he-IL"/>
        </w:rPr>
        <w:sectPr w:rsidR="002B5778" w:rsidSect="002B5778">
          <w:pgSz w:w="11907" w:h="16839" w:code="9"/>
          <w:pgMar w:top="1440" w:right="1440" w:bottom="1440" w:left="1440" w:header="720" w:footer="720" w:gutter="0"/>
          <w:cols w:space="720"/>
          <w:bidi/>
          <w:docGrid w:linePitch="360"/>
        </w:sectPr>
      </w:pPr>
    </w:p>
    <w:p w:rsidR="00D325B7" w:rsidRPr="00882F11" w:rsidRDefault="00D325B7" w:rsidP="0078079C">
      <w:pPr>
        <w:pStyle w:val="Heading1"/>
        <w:bidi/>
        <w:spacing w:before="0" w:line="360" w:lineRule="auto"/>
        <w:jc w:val="center"/>
        <w:rPr>
          <w:rFonts w:cs="Guttman Drogolin"/>
          <w:color w:val="auto"/>
          <w:sz w:val="24"/>
          <w:szCs w:val="24"/>
          <w:u w:val="single"/>
          <w:rtl/>
          <w:lang w:bidi="he-IL"/>
        </w:rPr>
      </w:pPr>
      <w:bookmarkStart w:id="285" w:name="_Toc496175536"/>
      <w:r w:rsidRPr="00882F11">
        <w:rPr>
          <w:rFonts w:cs="Guttman Drogolin" w:hint="cs"/>
          <w:color w:val="auto"/>
          <w:sz w:val="24"/>
          <w:szCs w:val="24"/>
          <w:u w:val="single"/>
          <w:rtl/>
          <w:lang w:bidi="he-IL"/>
        </w:rPr>
        <w:lastRenderedPageBreak/>
        <w:t>גדרי דוחקא</w:t>
      </w:r>
      <w:bookmarkEnd w:id="285"/>
    </w:p>
    <w:p w:rsidR="00423619" w:rsidRPr="00882F11" w:rsidRDefault="00E3012A" w:rsidP="00D75759">
      <w:pPr>
        <w:tabs>
          <w:tab w:val="right" w:pos="7497"/>
        </w:tabs>
        <w:bidi/>
        <w:jc w:val="both"/>
        <w:rPr>
          <w:rFonts w:cs="Guttman Drogolin"/>
          <w:rtl/>
          <w:lang w:bidi="he-IL"/>
        </w:rPr>
      </w:pPr>
      <w:r>
        <w:rPr>
          <w:rFonts w:cs="Guttman Drogolin"/>
          <w:rtl/>
          <w:lang w:bidi="he-IL"/>
        </w:rPr>
        <w:fldChar w:fldCharType="begin"/>
      </w:r>
      <w:r>
        <w:instrText xml:space="preserve"> XE "</w:instrText>
      </w:r>
      <w:r w:rsidRPr="00DA64B5">
        <w:rPr>
          <w:rFonts w:hint="cs"/>
          <w:rtl/>
          <w:lang w:bidi="he-IL"/>
        </w:rPr>
        <w:instrText>דוחקא דסכינא</w:instrText>
      </w:r>
      <w:r w:rsidRPr="00DA64B5">
        <w:rPr>
          <w:rtl/>
        </w:rPr>
        <w:instrText>:</w:instrText>
      </w:r>
      <w:r w:rsidRPr="00DA64B5">
        <w:rPr>
          <w:rFonts w:hint="cs"/>
          <w:rtl/>
          <w:lang w:bidi="he-IL"/>
        </w:rPr>
        <w:instrText>מהו בכלל דוחקא</w:instrText>
      </w:r>
      <w:r>
        <w:instrText xml:space="preserve">" </w:instrText>
      </w:r>
      <w:r>
        <w:rPr>
          <w:rFonts w:cs="Guttman Drogolin"/>
          <w:rtl/>
          <w:lang w:bidi="he-IL"/>
        </w:rPr>
        <w:fldChar w:fldCharType="end"/>
      </w:r>
      <w:r w:rsidR="00B436CC" w:rsidRPr="00882F11">
        <w:rPr>
          <w:rFonts w:cs="Guttman Drogolin" w:hint="cs"/>
          <w:rtl/>
          <w:lang w:bidi="he-IL"/>
        </w:rPr>
        <w:t>מן הגמ' חזינן שכשחותך מאכל עם סכין יש לזה דין של 'דוחקא דסכינא' שיכול לבלוע מדבר חריף אפילו בצונן. וכאן בשו"ע סע' ג' חז</w:t>
      </w:r>
      <w:r w:rsidR="00F465C6" w:rsidRPr="00882F11">
        <w:rPr>
          <w:rFonts w:cs="Guttman Drogolin" w:hint="cs"/>
          <w:rtl/>
          <w:lang w:bidi="he-IL"/>
        </w:rPr>
        <w:t>ינן עוד סוג של דוחקא, והוא דיכת תבלין</w:t>
      </w:r>
      <w:r w:rsidR="00F465C6" w:rsidRPr="00882F11">
        <w:rPr>
          <w:rFonts w:cs="Guttman Drogolin"/>
          <w:rtl/>
          <w:lang w:bidi="he-IL"/>
        </w:rPr>
        <w:t xml:space="preserve"> </w:t>
      </w:r>
      <w:r w:rsidR="00F465C6" w:rsidRPr="00882F11">
        <w:rPr>
          <w:rFonts w:cs="Guttman Drogolin" w:hint="cs"/>
          <w:rtl/>
          <w:lang w:bidi="he-IL"/>
        </w:rPr>
        <w:t>במדוכה</w:t>
      </w:r>
      <w:r w:rsidR="00F465C6" w:rsidRPr="00882F11">
        <w:rPr>
          <w:rFonts w:cs="Guttman Drogolin"/>
          <w:rtl/>
          <w:lang w:bidi="he-IL"/>
        </w:rPr>
        <w:t xml:space="preserve"> </w:t>
      </w:r>
      <w:r w:rsidR="00F465C6" w:rsidRPr="00882F11">
        <w:rPr>
          <w:rFonts w:cs="Guttman Drogolin" w:hint="cs"/>
          <w:rtl/>
          <w:lang w:bidi="he-IL"/>
        </w:rPr>
        <w:t>של</w:t>
      </w:r>
      <w:r w:rsidR="00F465C6" w:rsidRPr="00882F11">
        <w:rPr>
          <w:rFonts w:cs="Guttman Drogolin"/>
          <w:rtl/>
          <w:lang w:bidi="he-IL"/>
        </w:rPr>
        <w:t xml:space="preserve"> </w:t>
      </w:r>
      <w:r w:rsidR="00F465C6" w:rsidRPr="00882F11">
        <w:rPr>
          <w:rFonts w:cs="Guttman Drogolin" w:hint="cs"/>
          <w:rtl/>
          <w:lang w:bidi="he-IL"/>
        </w:rPr>
        <w:t xml:space="preserve">בשר (ומקור הדבר בב"י בשם ס' התרומה). </w:t>
      </w:r>
      <w:r w:rsidR="00D75759" w:rsidRPr="00882F11">
        <w:rPr>
          <w:rFonts w:cs="Guttman Drogolin" w:hint="cs"/>
          <w:rtl/>
          <w:lang w:bidi="he-IL"/>
        </w:rPr>
        <w:t xml:space="preserve">וחזינן שהענין של דבר חריף הוא בזה ששובר דברים ע"י לחץ, וע"י לחץ כזו מכלים או ע"ג כלים אמרינן שהדבר חריף בולע מן הכלים אע"ג דצונן הוא. </w:t>
      </w:r>
    </w:p>
    <w:p w:rsidR="00AE7EFB" w:rsidRPr="00882F11" w:rsidRDefault="00423619" w:rsidP="00804112">
      <w:pPr>
        <w:tabs>
          <w:tab w:val="right" w:pos="7497"/>
        </w:tabs>
        <w:bidi/>
        <w:jc w:val="both"/>
        <w:rPr>
          <w:rFonts w:cs="Guttman Drogolin"/>
          <w:rtl/>
          <w:lang w:bidi="he-IL"/>
        </w:rPr>
      </w:pPr>
      <w:r w:rsidRPr="00882F11">
        <w:rPr>
          <w:rFonts w:cs="Guttman Drogolin" w:hint="cs"/>
          <w:rtl/>
          <w:lang w:bidi="he-IL"/>
        </w:rPr>
        <w:t>וע"פ זה יש לדון במי שחתך דבר חריף עם סכין פרווה ע"ג משטח שבלוע בה בליעות של בשר או חלב או איסור, האם הדבר חריף בולע גם מן המשטח התחתון ע"י דוחקא דסכינא</w:t>
      </w:r>
      <w:r w:rsidR="00B0061F" w:rsidRPr="00882F11">
        <w:rPr>
          <w:rStyle w:val="FootnoteReference"/>
          <w:rFonts w:cs="Guttman Drogolin"/>
          <w:rtl/>
          <w:lang w:bidi="he-IL"/>
        </w:rPr>
        <w:footnoteReference w:id="310"/>
      </w:r>
      <w:r w:rsidRPr="00882F11">
        <w:rPr>
          <w:rFonts w:cs="Guttman Drogolin" w:hint="cs"/>
          <w:rtl/>
          <w:lang w:bidi="he-IL"/>
        </w:rPr>
        <w:t xml:space="preserve">. ולפום ריהטא למה לא נימא הכי, דמאי שנא מהא דמדוכה. כן באמת מפורסם משמי' דחכמ"א </w:t>
      </w:r>
      <w:r w:rsidR="00AE7EFB" w:rsidRPr="00882F11">
        <w:rPr>
          <w:rFonts w:cs="Guttman Drogolin" w:hint="cs"/>
          <w:rtl/>
          <w:lang w:bidi="he-IL"/>
        </w:rPr>
        <w:t>כלל נ"ו ד"ב שכה"ג בולע. וכ"כ גם בשו"ת טוטו"ד (ח"ג סי' רט"ו).</w:t>
      </w:r>
      <w:r w:rsidR="00762F56" w:rsidRPr="00882F11">
        <w:rPr>
          <w:rFonts w:cs="Guttman Drogolin" w:hint="cs"/>
          <w:rtl/>
          <w:lang w:bidi="he-IL"/>
        </w:rPr>
        <w:t xml:space="preserve"> ונראה לדייק מדברי החכמ"א עוד יותר מזה, שהרי ז"ל שם "ונראה</w:t>
      </w:r>
      <w:r w:rsidR="00762F56" w:rsidRPr="00882F11">
        <w:rPr>
          <w:rFonts w:cs="Guttman Drogolin"/>
          <w:rtl/>
          <w:lang w:bidi="he-IL"/>
        </w:rPr>
        <w:t xml:space="preserve"> </w:t>
      </w:r>
      <w:r w:rsidR="00762F56" w:rsidRPr="00882F11">
        <w:rPr>
          <w:rFonts w:cs="Guttman Drogolin" w:hint="cs"/>
          <w:rtl/>
          <w:lang w:bidi="he-IL"/>
        </w:rPr>
        <w:t>לי</w:t>
      </w:r>
      <w:r w:rsidR="00762F56" w:rsidRPr="00882F11">
        <w:rPr>
          <w:rFonts w:cs="Guttman Drogolin"/>
          <w:rtl/>
          <w:lang w:bidi="he-IL"/>
        </w:rPr>
        <w:t xml:space="preserve"> </w:t>
      </w:r>
      <w:r w:rsidR="00762F56" w:rsidRPr="00882F11">
        <w:rPr>
          <w:rFonts w:cs="Guttman Drogolin" w:hint="cs"/>
          <w:rtl/>
          <w:lang w:bidi="he-IL"/>
        </w:rPr>
        <w:t>דאם</w:t>
      </w:r>
      <w:r w:rsidR="00762F56" w:rsidRPr="00882F11">
        <w:rPr>
          <w:rFonts w:cs="Guttman Drogolin"/>
          <w:rtl/>
          <w:lang w:bidi="he-IL"/>
        </w:rPr>
        <w:t xml:space="preserve"> </w:t>
      </w:r>
      <w:r w:rsidR="00762F56" w:rsidRPr="00882F11">
        <w:rPr>
          <w:rFonts w:cs="Guttman Drogolin" w:hint="cs"/>
          <w:rtl/>
          <w:lang w:bidi="he-IL"/>
        </w:rPr>
        <w:t>חתך</w:t>
      </w:r>
      <w:r w:rsidR="00762F56" w:rsidRPr="00882F11">
        <w:rPr>
          <w:rFonts w:cs="Guttman Drogolin"/>
          <w:rtl/>
          <w:lang w:bidi="he-IL"/>
        </w:rPr>
        <w:t xml:space="preserve"> </w:t>
      </w:r>
      <w:r w:rsidR="00762F56" w:rsidRPr="00882F11">
        <w:rPr>
          <w:rFonts w:cs="Guttman Drogolin" w:hint="cs"/>
          <w:rtl/>
          <w:lang w:bidi="he-IL"/>
        </w:rPr>
        <w:t>עליו</w:t>
      </w:r>
      <w:r w:rsidR="00762F56" w:rsidRPr="00882F11">
        <w:rPr>
          <w:rFonts w:cs="Guttman Drogolin"/>
          <w:rtl/>
          <w:lang w:bidi="he-IL"/>
        </w:rPr>
        <w:t xml:space="preserve"> </w:t>
      </w:r>
      <w:r w:rsidR="00762F56" w:rsidRPr="00882F11">
        <w:rPr>
          <w:rFonts w:cs="Guttman Drogolin" w:hint="cs"/>
          <w:rtl/>
          <w:lang w:bidi="he-IL"/>
        </w:rPr>
        <w:t>הערינג</w:t>
      </w:r>
      <w:r w:rsidR="00762F56" w:rsidRPr="00882F11">
        <w:rPr>
          <w:rFonts w:cs="Guttman Drogolin"/>
          <w:rtl/>
          <w:lang w:bidi="he-IL"/>
        </w:rPr>
        <w:t xml:space="preserve"> </w:t>
      </w:r>
      <w:r w:rsidR="00762F56" w:rsidRPr="00882F11">
        <w:rPr>
          <w:rFonts w:cs="Guttman Drogolin" w:hint="cs"/>
          <w:rtl/>
          <w:lang w:bidi="he-IL"/>
        </w:rPr>
        <w:t>ואוגרקעס</w:t>
      </w:r>
      <w:r w:rsidR="00762F56" w:rsidRPr="00882F11">
        <w:rPr>
          <w:rFonts w:cs="Guttman Drogolin"/>
          <w:rtl/>
          <w:lang w:bidi="he-IL"/>
        </w:rPr>
        <w:t xml:space="preserve"> </w:t>
      </w:r>
      <w:r w:rsidR="00762F56" w:rsidRPr="00882F11">
        <w:rPr>
          <w:rFonts w:cs="Guttman Drogolin" w:hint="cs"/>
          <w:rtl/>
          <w:lang w:bidi="he-IL"/>
        </w:rPr>
        <w:t>חמוצים</w:t>
      </w:r>
      <w:r w:rsidR="00762F56" w:rsidRPr="00882F11">
        <w:rPr>
          <w:rFonts w:cs="Guttman Drogolin"/>
          <w:rtl/>
          <w:lang w:bidi="he-IL"/>
        </w:rPr>
        <w:t xml:space="preserve"> </w:t>
      </w:r>
      <w:r w:rsidR="00762F56" w:rsidRPr="00882F11">
        <w:rPr>
          <w:rFonts w:cs="Guttman Drogolin" w:hint="cs"/>
          <w:rtl/>
          <w:lang w:bidi="he-IL"/>
        </w:rPr>
        <w:t>אפילו</w:t>
      </w:r>
      <w:r w:rsidR="00762F56" w:rsidRPr="00882F11">
        <w:rPr>
          <w:rFonts w:cs="Guttman Drogolin"/>
          <w:rtl/>
          <w:lang w:bidi="he-IL"/>
        </w:rPr>
        <w:t xml:space="preserve"> </w:t>
      </w:r>
      <w:r w:rsidR="00762F56" w:rsidRPr="00882F11">
        <w:rPr>
          <w:rFonts w:cs="Guttman Drogolin" w:hint="cs"/>
          <w:rtl/>
          <w:lang w:bidi="he-IL"/>
        </w:rPr>
        <w:t>דיעבד</w:t>
      </w:r>
      <w:r w:rsidR="00762F56" w:rsidRPr="00882F11">
        <w:rPr>
          <w:rFonts w:cs="Guttman Drogolin"/>
          <w:rtl/>
          <w:lang w:bidi="he-IL"/>
        </w:rPr>
        <w:t xml:space="preserve"> </w:t>
      </w:r>
      <w:r w:rsidR="00762F56" w:rsidRPr="00882F11">
        <w:rPr>
          <w:rFonts w:cs="Guttman Drogolin" w:hint="cs"/>
          <w:rtl/>
          <w:lang w:bidi="he-IL"/>
        </w:rPr>
        <w:t>אסור</w:t>
      </w:r>
      <w:r w:rsidR="00762F56" w:rsidRPr="00882F11">
        <w:rPr>
          <w:rFonts w:cs="Guttman Drogolin"/>
          <w:rtl/>
          <w:lang w:bidi="he-IL"/>
        </w:rPr>
        <w:t xml:space="preserve"> </w:t>
      </w:r>
      <w:r w:rsidR="00762F56" w:rsidRPr="00882F11">
        <w:rPr>
          <w:rFonts w:cs="Guttman Drogolin" w:hint="cs"/>
          <w:rtl/>
          <w:lang w:bidi="he-IL"/>
        </w:rPr>
        <w:t>דדוחקא</w:t>
      </w:r>
      <w:r w:rsidR="00762F56" w:rsidRPr="00882F11">
        <w:rPr>
          <w:rFonts w:cs="Guttman Drogolin"/>
          <w:rtl/>
          <w:lang w:bidi="he-IL"/>
        </w:rPr>
        <w:t xml:space="preserve"> </w:t>
      </w:r>
      <w:r w:rsidR="00762F56" w:rsidRPr="00882F11">
        <w:rPr>
          <w:rFonts w:cs="Guttman Drogolin" w:hint="cs"/>
          <w:rtl/>
          <w:lang w:bidi="he-IL"/>
        </w:rPr>
        <w:t>דסכינא</w:t>
      </w:r>
      <w:r w:rsidR="00762F56" w:rsidRPr="00882F11">
        <w:rPr>
          <w:rFonts w:cs="Guttman Drogolin"/>
          <w:rtl/>
          <w:lang w:bidi="he-IL"/>
        </w:rPr>
        <w:t xml:space="preserve"> </w:t>
      </w:r>
      <w:r w:rsidR="00762F56" w:rsidRPr="00882F11">
        <w:rPr>
          <w:rFonts w:cs="Guttman Drogolin" w:hint="cs"/>
          <w:rtl/>
          <w:lang w:bidi="he-IL"/>
        </w:rPr>
        <w:t>וחורפא</w:t>
      </w:r>
      <w:r w:rsidR="00762F56" w:rsidRPr="00882F11">
        <w:rPr>
          <w:rFonts w:cs="Guttman Drogolin"/>
          <w:rtl/>
          <w:lang w:bidi="he-IL"/>
        </w:rPr>
        <w:t xml:space="preserve"> </w:t>
      </w:r>
      <w:r w:rsidR="00762F56" w:rsidRPr="00882F11">
        <w:rPr>
          <w:rFonts w:cs="Guttman Drogolin" w:hint="cs"/>
          <w:rtl/>
          <w:lang w:bidi="he-IL"/>
        </w:rPr>
        <w:t>דמליח</w:t>
      </w:r>
      <w:r w:rsidR="00762F56" w:rsidRPr="00882F11">
        <w:rPr>
          <w:rFonts w:cs="Guttman Drogolin"/>
          <w:rtl/>
          <w:lang w:bidi="he-IL"/>
        </w:rPr>
        <w:t xml:space="preserve"> </w:t>
      </w:r>
      <w:r w:rsidR="00762F56" w:rsidRPr="00882F11">
        <w:rPr>
          <w:rFonts w:cs="Guttman Drogolin" w:hint="cs"/>
          <w:rtl/>
          <w:lang w:bidi="he-IL"/>
        </w:rPr>
        <w:t>מפליט</w:t>
      </w:r>
      <w:r w:rsidR="00762F56" w:rsidRPr="00882F11">
        <w:rPr>
          <w:rFonts w:cs="Guttman Drogolin"/>
          <w:rtl/>
          <w:lang w:bidi="he-IL"/>
        </w:rPr>
        <w:t xml:space="preserve"> </w:t>
      </w:r>
      <w:r w:rsidR="00762F56" w:rsidRPr="00882F11">
        <w:rPr>
          <w:rFonts w:cs="Guttman Drogolin" w:hint="cs"/>
          <w:rtl/>
          <w:lang w:bidi="he-IL"/>
        </w:rPr>
        <w:t>מן</w:t>
      </w:r>
      <w:r w:rsidR="00762F56" w:rsidRPr="00882F11">
        <w:rPr>
          <w:rFonts w:cs="Guttman Drogolin"/>
          <w:rtl/>
          <w:lang w:bidi="he-IL"/>
        </w:rPr>
        <w:t xml:space="preserve"> </w:t>
      </w:r>
      <w:r w:rsidR="00762F56" w:rsidRPr="00882F11">
        <w:rPr>
          <w:rFonts w:cs="Guttman Drogolin" w:hint="cs"/>
          <w:rtl/>
          <w:lang w:bidi="he-IL"/>
        </w:rPr>
        <w:t>הכלי</w:t>
      </w:r>
      <w:r w:rsidR="00762F56" w:rsidRPr="00882F11">
        <w:rPr>
          <w:rFonts w:cs="Guttman Drogolin"/>
          <w:rtl/>
          <w:lang w:bidi="he-IL"/>
        </w:rPr>
        <w:t xml:space="preserve"> </w:t>
      </w:r>
      <w:r w:rsidR="00762F56" w:rsidRPr="00882F11">
        <w:rPr>
          <w:rFonts w:cs="Guttman Drogolin" w:hint="cs"/>
          <w:rtl/>
          <w:lang w:bidi="he-IL"/>
        </w:rPr>
        <w:t>על</w:t>
      </w:r>
      <w:r w:rsidR="00762F56" w:rsidRPr="00882F11">
        <w:rPr>
          <w:rFonts w:cs="Guttman Drogolin"/>
          <w:rtl/>
          <w:lang w:bidi="he-IL"/>
        </w:rPr>
        <w:t xml:space="preserve"> </w:t>
      </w:r>
      <w:r w:rsidR="00762F56" w:rsidRPr="00882F11">
        <w:rPr>
          <w:rFonts w:cs="Guttman Drogolin" w:hint="cs"/>
          <w:rtl/>
          <w:lang w:bidi="he-IL"/>
        </w:rPr>
        <w:t>כל</w:t>
      </w:r>
      <w:r w:rsidR="00762F56" w:rsidRPr="00882F11">
        <w:rPr>
          <w:rFonts w:cs="Guttman Drogolin"/>
          <w:rtl/>
          <w:lang w:bidi="he-IL"/>
        </w:rPr>
        <w:t xml:space="preserve"> </w:t>
      </w:r>
      <w:r w:rsidR="00762F56" w:rsidRPr="00882F11">
        <w:rPr>
          <w:rFonts w:cs="Guttman Drogolin" w:hint="cs"/>
          <w:rtl/>
          <w:lang w:bidi="he-IL"/>
        </w:rPr>
        <w:t>פנים</w:t>
      </w:r>
      <w:r w:rsidR="00762F56" w:rsidRPr="00882F11">
        <w:rPr>
          <w:rFonts w:cs="Guttman Drogolin"/>
          <w:rtl/>
          <w:lang w:bidi="he-IL"/>
        </w:rPr>
        <w:t xml:space="preserve"> </w:t>
      </w:r>
      <w:r w:rsidR="00762F56" w:rsidRPr="00882F11">
        <w:rPr>
          <w:rFonts w:cs="Guttman Drogolin" w:hint="cs"/>
          <w:rtl/>
          <w:lang w:bidi="he-IL"/>
        </w:rPr>
        <w:t>במקום</w:t>
      </w:r>
      <w:r w:rsidR="00762F56" w:rsidRPr="00882F11">
        <w:rPr>
          <w:rFonts w:cs="Guttman Drogolin"/>
          <w:rtl/>
          <w:lang w:bidi="he-IL"/>
        </w:rPr>
        <w:t xml:space="preserve"> </w:t>
      </w:r>
      <w:r w:rsidR="00762F56" w:rsidRPr="00882F11">
        <w:rPr>
          <w:rFonts w:cs="Guttman Drogolin" w:hint="cs"/>
          <w:rtl/>
          <w:lang w:bidi="he-IL"/>
        </w:rPr>
        <w:t>החתך</w:t>
      </w:r>
      <w:r w:rsidR="00762F56" w:rsidRPr="00882F11">
        <w:rPr>
          <w:rFonts w:cs="Guttman Drogolin"/>
          <w:rtl/>
          <w:lang w:bidi="he-IL"/>
        </w:rPr>
        <w:t xml:space="preserve"> </w:t>
      </w:r>
      <w:r w:rsidR="00762F56" w:rsidRPr="00882F11">
        <w:rPr>
          <w:rFonts w:cs="Guttman Drogolin" w:hint="cs"/>
          <w:rtl/>
          <w:lang w:bidi="he-IL"/>
        </w:rPr>
        <w:t>ואף</w:t>
      </w:r>
      <w:r w:rsidR="00762F56" w:rsidRPr="00882F11">
        <w:rPr>
          <w:rFonts w:cs="Guttman Drogolin"/>
          <w:rtl/>
          <w:lang w:bidi="he-IL"/>
        </w:rPr>
        <w:t xml:space="preserve"> </w:t>
      </w:r>
      <w:r w:rsidR="00762F56" w:rsidRPr="00882F11">
        <w:rPr>
          <w:rFonts w:cs="Guttman Drogolin" w:hint="cs"/>
          <w:rtl/>
          <w:lang w:bidi="he-IL"/>
        </w:rPr>
        <w:t>ששמעתי</w:t>
      </w:r>
      <w:r w:rsidR="00762F56" w:rsidRPr="00882F11">
        <w:rPr>
          <w:rFonts w:cs="Guttman Drogolin"/>
          <w:rtl/>
          <w:lang w:bidi="he-IL"/>
        </w:rPr>
        <w:t xml:space="preserve"> </w:t>
      </w:r>
      <w:r w:rsidR="00762F56" w:rsidRPr="00882F11">
        <w:rPr>
          <w:rFonts w:cs="Guttman Drogolin" w:hint="cs"/>
          <w:rtl/>
          <w:lang w:bidi="he-IL"/>
        </w:rPr>
        <w:t>שמקילין</w:t>
      </w:r>
      <w:r w:rsidR="00762F56" w:rsidRPr="00882F11">
        <w:rPr>
          <w:rFonts w:cs="Guttman Drogolin"/>
          <w:rtl/>
          <w:lang w:bidi="he-IL"/>
        </w:rPr>
        <w:t xml:space="preserve"> </w:t>
      </w:r>
      <w:r w:rsidR="00762F56" w:rsidRPr="00882F11">
        <w:rPr>
          <w:rFonts w:cs="Guttman Drogolin" w:hint="cs"/>
          <w:rtl/>
          <w:lang w:bidi="he-IL"/>
        </w:rPr>
        <w:t>בזה</w:t>
      </w:r>
      <w:r w:rsidR="00762F56" w:rsidRPr="00882F11">
        <w:rPr>
          <w:rFonts w:cs="Guttman Drogolin"/>
          <w:rtl/>
          <w:lang w:bidi="he-IL"/>
        </w:rPr>
        <w:t xml:space="preserve"> </w:t>
      </w:r>
      <w:r w:rsidR="00762F56" w:rsidRPr="00882F11">
        <w:rPr>
          <w:rFonts w:cs="Guttman Drogolin" w:hint="cs"/>
          <w:rtl/>
          <w:lang w:bidi="he-IL"/>
        </w:rPr>
        <w:t>שאומרים</w:t>
      </w:r>
      <w:r w:rsidR="00762F56" w:rsidRPr="00882F11">
        <w:rPr>
          <w:rFonts w:cs="Guttman Drogolin"/>
          <w:rtl/>
          <w:lang w:bidi="he-IL"/>
        </w:rPr>
        <w:t xml:space="preserve"> </w:t>
      </w:r>
      <w:r w:rsidR="00762F56" w:rsidRPr="00882F11">
        <w:rPr>
          <w:rFonts w:cs="Guttman Drogolin" w:hint="cs"/>
          <w:rtl/>
          <w:lang w:bidi="he-IL"/>
        </w:rPr>
        <w:t>דזה</w:t>
      </w:r>
      <w:r w:rsidR="00762F56" w:rsidRPr="00882F11">
        <w:rPr>
          <w:rFonts w:cs="Guttman Drogolin"/>
          <w:rtl/>
          <w:lang w:bidi="he-IL"/>
        </w:rPr>
        <w:t xml:space="preserve"> </w:t>
      </w:r>
      <w:r w:rsidR="00762F56" w:rsidRPr="00882F11">
        <w:rPr>
          <w:rFonts w:cs="Guttman Drogolin" w:hint="cs"/>
          <w:rtl/>
          <w:lang w:bidi="he-IL"/>
        </w:rPr>
        <w:t>לא</w:t>
      </w:r>
      <w:r w:rsidR="00762F56" w:rsidRPr="00882F11">
        <w:rPr>
          <w:rFonts w:cs="Guttman Drogolin"/>
          <w:rtl/>
          <w:lang w:bidi="he-IL"/>
        </w:rPr>
        <w:t xml:space="preserve"> </w:t>
      </w:r>
      <w:r w:rsidR="00762F56" w:rsidRPr="00882F11">
        <w:rPr>
          <w:rFonts w:cs="Guttman Drogolin" w:hint="cs"/>
          <w:rtl/>
          <w:lang w:bidi="he-IL"/>
        </w:rPr>
        <w:t>הוי</w:t>
      </w:r>
      <w:r w:rsidR="00762F56" w:rsidRPr="00882F11">
        <w:rPr>
          <w:rFonts w:cs="Guttman Drogolin"/>
          <w:rtl/>
          <w:lang w:bidi="he-IL"/>
        </w:rPr>
        <w:t xml:space="preserve"> </w:t>
      </w:r>
      <w:r w:rsidR="00762F56" w:rsidRPr="00882F11">
        <w:rPr>
          <w:rFonts w:cs="Guttman Drogolin" w:hint="cs"/>
          <w:rtl/>
          <w:lang w:bidi="he-IL"/>
        </w:rPr>
        <w:t>דוחקא</w:t>
      </w:r>
      <w:r w:rsidR="00762F56" w:rsidRPr="00882F11">
        <w:rPr>
          <w:rFonts w:cs="Guttman Drogolin"/>
          <w:rtl/>
          <w:lang w:bidi="he-IL"/>
        </w:rPr>
        <w:t xml:space="preserve"> </w:t>
      </w:r>
      <w:r w:rsidR="00762F56" w:rsidRPr="00882F11">
        <w:rPr>
          <w:rFonts w:cs="Guttman Drogolin" w:hint="cs"/>
          <w:rtl/>
          <w:lang w:bidi="he-IL"/>
        </w:rPr>
        <w:t>לא</w:t>
      </w:r>
      <w:r w:rsidR="00762F56" w:rsidRPr="00882F11">
        <w:rPr>
          <w:rFonts w:cs="Guttman Drogolin"/>
          <w:rtl/>
          <w:lang w:bidi="he-IL"/>
        </w:rPr>
        <w:t xml:space="preserve"> </w:t>
      </w:r>
      <w:r w:rsidR="00762F56" w:rsidRPr="00882F11">
        <w:rPr>
          <w:rFonts w:cs="Guttman Drogolin" w:hint="cs"/>
          <w:rtl/>
          <w:lang w:bidi="he-IL"/>
        </w:rPr>
        <w:t>נראה</w:t>
      </w:r>
      <w:r w:rsidR="00762F56" w:rsidRPr="00882F11">
        <w:rPr>
          <w:rFonts w:cs="Guttman Drogolin"/>
          <w:rtl/>
          <w:lang w:bidi="he-IL"/>
        </w:rPr>
        <w:t xml:space="preserve"> </w:t>
      </w:r>
      <w:r w:rsidR="00762F56" w:rsidRPr="00882F11">
        <w:rPr>
          <w:rFonts w:cs="Guttman Drogolin" w:hint="cs"/>
          <w:rtl/>
          <w:lang w:bidi="he-IL"/>
        </w:rPr>
        <w:t>לי</w:t>
      </w:r>
      <w:r w:rsidR="00762F56" w:rsidRPr="00882F11">
        <w:rPr>
          <w:rFonts w:cs="Guttman Drogolin"/>
          <w:rtl/>
          <w:lang w:bidi="he-IL"/>
        </w:rPr>
        <w:t xml:space="preserve"> </w:t>
      </w:r>
      <w:r w:rsidR="00762F56" w:rsidRPr="00882F11">
        <w:rPr>
          <w:rFonts w:cs="Guttman Drogolin" w:hint="cs"/>
          <w:rtl/>
          <w:lang w:bidi="he-IL"/>
        </w:rPr>
        <w:t>כלל</w:t>
      </w:r>
      <w:r w:rsidR="00762F56" w:rsidRPr="00882F11">
        <w:rPr>
          <w:rFonts w:cs="Guttman Drogolin"/>
          <w:rtl/>
          <w:lang w:bidi="he-IL"/>
        </w:rPr>
        <w:t xml:space="preserve"> (</w:t>
      </w:r>
      <w:r w:rsidR="00762F56" w:rsidRPr="00882F11">
        <w:rPr>
          <w:rFonts w:cs="Guttman Drogolin" w:hint="cs"/>
          <w:rtl/>
          <w:lang w:bidi="he-IL"/>
        </w:rPr>
        <w:t>שהרי</w:t>
      </w:r>
      <w:r w:rsidR="00762F56" w:rsidRPr="00882F11">
        <w:rPr>
          <w:rFonts w:cs="Guttman Drogolin"/>
          <w:rtl/>
          <w:lang w:bidi="he-IL"/>
        </w:rPr>
        <w:t xml:space="preserve"> </w:t>
      </w:r>
      <w:r w:rsidR="00762F56" w:rsidRPr="00882F11">
        <w:rPr>
          <w:rFonts w:cs="Guttman Drogolin" w:hint="cs"/>
          <w:rtl/>
          <w:lang w:bidi="he-IL"/>
        </w:rPr>
        <w:t>בחולין</w:t>
      </w:r>
      <w:r w:rsidR="00762F56" w:rsidRPr="00882F11">
        <w:rPr>
          <w:rFonts w:cs="Guttman Drogolin"/>
          <w:rtl/>
          <w:lang w:bidi="he-IL"/>
        </w:rPr>
        <w:t xml:space="preserve"> (</w:t>
      </w:r>
      <w:r w:rsidR="00762F56" w:rsidRPr="00882F11">
        <w:rPr>
          <w:rFonts w:cs="Guttman Drogolin" w:hint="cs"/>
          <w:rtl/>
          <w:lang w:bidi="he-IL"/>
        </w:rPr>
        <w:t>ח'</w:t>
      </w:r>
      <w:r w:rsidR="00762F56" w:rsidRPr="00882F11">
        <w:rPr>
          <w:rFonts w:cs="Guttman Drogolin"/>
          <w:rtl/>
          <w:lang w:bidi="he-IL"/>
        </w:rPr>
        <w:t xml:space="preserve"> </w:t>
      </w:r>
      <w:r w:rsidR="00762F56" w:rsidRPr="00882F11">
        <w:rPr>
          <w:rFonts w:cs="Guttman Drogolin" w:hint="cs"/>
          <w:rtl/>
          <w:lang w:bidi="he-IL"/>
        </w:rPr>
        <w:t>ע"ב</w:t>
      </w:r>
      <w:r w:rsidR="00762F56" w:rsidRPr="00882F11">
        <w:rPr>
          <w:rFonts w:cs="Guttman Drogolin"/>
          <w:rtl/>
          <w:lang w:bidi="he-IL"/>
        </w:rPr>
        <w:t xml:space="preserve">) </w:t>
      </w:r>
      <w:r w:rsidR="00762F56" w:rsidRPr="00882F11">
        <w:rPr>
          <w:rFonts w:cs="Guttman Drogolin" w:hint="cs"/>
          <w:rtl/>
          <w:lang w:bidi="he-IL"/>
        </w:rPr>
        <w:t>גבי</w:t>
      </w:r>
      <w:r w:rsidR="00762F56" w:rsidRPr="00882F11">
        <w:rPr>
          <w:rFonts w:cs="Guttman Drogolin"/>
          <w:rtl/>
          <w:lang w:bidi="he-IL"/>
        </w:rPr>
        <w:t xml:space="preserve"> </w:t>
      </w:r>
      <w:r w:rsidR="00762F56" w:rsidRPr="00882F11">
        <w:rPr>
          <w:rFonts w:cs="Guttman Drogolin" w:hint="cs"/>
          <w:rtl/>
          <w:lang w:bidi="he-IL"/>
        </w:rPr>
        <w:t>סכין</w:t>
      </w:r>
      <w:r w:rsidR="00762F56" w:rsidRPr="00882F11">
        <w:rPr>
          <w:rFonts w:cs="Guttman Drogolin"/>
          <w:rtl/>
          <w:lang w:bidi="he-IL"/>
        </w:rPr>
        <w:t xml:space="preserve"> </w:t>
      </w:r>
      <w:r w:rsidR="00762F56" w:rsidRPr="00882F11">
        <w:rPr>
          <w:rFonts w:cs="Guttman Drogolin" w:hint="cs"/>
          <w:rtl/>
          <w:lang w:bidi="he-IL"/>
        </w:rPr>
        <w:t>ששחט</w:t>
      </w:r>
      <w:r w:rsidR="00762F56" w:rsidRPr="00882F11">
        <w:rPr>
          <w:rFonts w:cs="Guttman Drogolin"/>
          <w:rtl/>
          <w:lang w:bidi="he-IL"/>
        </w:rPr>
        <w:t xml:space="preserve"> </w:t>
      </w:r>
      <w:r w:rsidR="00762F56" w:rsidRPr="00882F11">
        <w:rPr>
          <w:rFonts w:cs="Guttman Drogolin" w:hint="cs"/>
          <w:rtl/>
          <w:lang w:bidi="he-IL"/>
        </w:rPr>
        <w:t>בו</w:t>
      </w:r>
      <w:r w:rsidR="00762F56" w:rsidRPr="00882F11">
        <w:rPr>
          <w:rFonts w:cs="Guttman Drogolin"/>
          <w:rtl/>
          <w:lang w:bidi="he-IL"/>
        </w:rPr>
        <w:t xml:space="preserve"> </w:t>
      </w:r>
      <w:r w:rsidR="00762F56" w:rsidRPr="00882F11">
        <w:rPr>
          <w:rFonts w:cs="Guttman Drogolin" w:hint="cs"/>
          <w:rtl/>
          <w:lang w:bidi="he-IL"/>
        </w:rPr>
        <w:t>אמרינן</w:t>
      </w:r>
      <w:r w:rsidR="00762F56" w:rsidRPr="00882F11">
        <w:rPr>
          <w:rFonts w:cs="Guttman Drogolin"/>
          <w:rtl/>
          <w:lang w:bidi="he-IL"/>
        </w:rPr>
        <w:t xml:space="preserve"> </w:t>
      </w:r>
      <w:r w:rsidR="00762F56" w:rsidRPr="00882F11">
        <w:rPr>
          <w:rFonts w:cs="Guttman Drogolin" w:hint="cs"/>
          <w:rtl/>
          <w:lang w:bidi="he-IL"/>
        </w:rPr>
        <w:t>גם</w:t>
      </w:r>
      <w:r w:rsidR="00762F56" w:rsidRPr="00882F11">
        <w:rPr>
          <w:rFonts w:cs="Guttman Drogolin"/>
          <w:rtl/>
          <w:lang w:bidi="he-IL"/>
        </w:rPr>
        <w:t xml:space="preserve"> </w:t>
      </w:r>
      <w:r w:rsidR="00762F56" w:rsidRPr="00882F11">
        <w:rPr>
          <w:rFonts w:cs="Guttman Drogolin" w:hint="cs"/>
          <w:rtl/>
          <w:lang w:bidi="he-IL"/>
        </w:rPr>
        <w:t>כן</w:t>
      </w:r>
      <w:r w:rsidR="00762F56" w:rsidRPr="00882F11">
        <w:rPr>
          <w:rFonts w:cs="Guttman Drogolin"/>
          <w:rtl/>
          <w:lang w:bidi="he-IL"/>
        </w:rPr>
        <w:t xml:space="preserve"> </w:t>
      </w:r>
      <w:r w:rsidR="00762F56" w:rsidRPr="00882F11">
        <w:rPr>
          <w:rFonts w:cs="Guttman Drogolin" w:hint="cs"/>
          <w:rtl/>
          <w:lang w:bidi="he-IL"/>
        </w:rPr>
        <w:t>אגב</w:t>
      </w:r>
      <w:r w:rsidR="00762F56" w:rsidRPr="00882F11">
        <w:rPr>
          <w:rFonts w:cs="Guttman Drogolin"/>
          <w:rtl/>
          <w:lang w:bidi="he-IL"/>
        </w:rPr>
        <w:t xml:space="preserve"> </w:t>
      </w:r>
      <w:r w:rsidR="00762F56" w:rsidRPr="00882F11">
        <w:rPr>
          <w:rFonts w:cs="Guttman Drogolin" w:hint="cs"/>
          <w:rtl/>
          <w:lang w:bidi="he-IL"/>
        </w:rPr>
        <w:t>דוחקא</w:t>
      </w:r>
      <w:r w:rsidR="00762F56" w:rsidRPr="00882F11">
        <w:rPr>
          <w:rFonts w:cs="Guttman Drogolin"/>
          <w:rtl/>
          <w:lang w:bidi="he-IL"/>
        </w:rPr>
        <w:t xml:space="preserve"> </w:t>
      </w:r>
      <w:r w:rsidR="00762F56" w:rsidRPr="00882F11">
        <w:rPr>
          <w:rFonts w:cs="Guttman Drogolin" w:hint="cs"/>
          <w:rtl/>
          <w:lang w:bidi="he-IL"/>
        </w:rPr>
        <w:t>עיין</w:t>
      </w:r>
      <w:r w:rsidR="00762F56" w:rsidRPr="00882F11">
        <w:rPr>
          <w:rFonts w:cs="Guttman Drogolin"/>
          <w:rtl/>
          <w:lang w:bidi="he-IL"/>
        </w:rPr>
        <w:t xml:space="preserve"> </w:t>
      </w:r>
      <w:r w:rsidR="00762F56" w:rsidRPr="00882F11">
        <w:rPr>
          <w:rFonts w:cs="Guttman Drogolin" w:hint="cs"/>
          <w:rtl/>
          <w:lang w:bidi="he-IL"/>
        </w:rPr>
        <w:t>שם</w:t>
      </w:r>
      <w:r w:rsidR="00762F56" w:rsidRPr="00882F11">
        <w:rPr>
          <w:rFonts w:cs="Guttman Drogolin"/>
          <w:rtl/>
          <w:lang w:bidi="he-IL"/>
        </w:rPr>
        <w:t xml:space="preserve"> </w:t>
      </w:r>
      <w:r w:rsidR="00762F56" w:rsidRPr="00882F11">
        <w:rPr>
          <w:rFonts w:cs="Guttman Drogolin" w:hint="cs"/>
          <w:rtl/>
          <w:lang w:bidi="he-IL"/>
        </w:rPr>
        <w:t>ואף</w:t>
      </w:r>
      <w:r w:rsidR="00762F56" w:rsidRPr="00882F11">
        <w:rPr>
          <w:rFonts w:cs="Guttman Drogolin"/>
          <w:rtl/>
          <w:lang w:bidi="he-IL"/>
        </w:rPr>
        <w:t xml:space="preserve"> </w:t>
      </w:r>
      <w:r w:rsidR="00762F56" w:rsidRPr="00882F11">
        <w:rPr>
          <w:rFonts w:cs="Guttman Drogolin" w:hint="cs"/>
          <w:rtl/>
          <w:lang w:bidi="he-IL"/>
        </w:rPr>
        <w:t>שאינו</w:t>
      </w:r>
      <w:r w:rsidR="00762F56" w:rsidRPr="00882F11">
        <w:rPr>
          <w:rFonts w:cs="Guttman Drogolin"/>
          <w:rtl/>
          <w:lang w:bidi="he-IL"/>
        </w:rPr>
        <w:t xml:space="preserve"> </w:t>
      </w:r>
      <w:r w:rsidR="00762F56" w:rsidRPr="00882F11">
        <w:rPr>
          <w:rFonts w:cs="Guttman Drogolin" w:hint="cs"/>
          <w:rtl/>
          <w:lang w:bidi="he-IL"/>
        </w:rPr>
        <w:t>אלא</w:t>
      </w:r>
      <w:r w:rsidR="00762F56" w:rsidRPr="00882F11">
        <w:rPr>
          <w:rFonts w:cs="Guttman Drogolin"/>
          <w:rtl/>
          <w:lang w:bidi="he-IL"/>
        </w:rPr>
        <w:t xml:space="preserve"> </w:t>
      </w:r>
      <w:r w:rsidR="00762F56" w:rsidRPr="00882F11">
        <w:rPr>
          <w:rFonts w:cs="Guttman Drogolin" w:hint="cs"/>
          <w:rtl/>
          <w:lang w:bidi="he-IL"/>
        </w:rPr>
        <w:t>חתך</w:t>
      </w:r>
      <w:r w:rsidR="00762F56" w:rsidRPr="00882F11">
        <w:rPr>
          <w:rFonts w:cs="Guttman Drogolin"/>
          <w:rtl/>
          <w:lang w:bidi="he-IL"/>
        </w:rPr>
        <w:t>)</w:t>
      </w:r>
      <w:r w:rsidR="00762F56" w:rsidRPr="00882F11">
        <w:rPr>
          <w:rFonts w:cs="Guttman Drogolin" w:hint="cs"/>
          <w:rtl/>
          <w:lang w:bidi="he-IL"/>
        </w:rPr>
        <w:t xml:space="preserve">". ולכאורה צ"ע, דאיזה ראי' יש </w:t>
      </w:r>
      <w:r w:rsidR="00E967F3" w:rsidRPr="00882F11">
        <w:rPr>
          <w:rFonts w:cs="Guttman Drogolin" w:hint="cs"/>
          <w:rtl/>
          <w:lang w:bidi="he-IL"/>
        </w:rPr>
        <w:t>מ</w:t>
      </w:r>
      <w:r w:rsidR="00762F56" w:rsidRPr="00882F11">
        <w:rPr>
          <w:rFonts w:cs="Guttman Drogolin" w:hint="cs"/>
          <w:rtl/>
          <w:lang w:bidi="he-IL"/>
        </w:rPr>
        <w:t>ס</w:t>
      </w:r>
      <w:r w:rsidR="00E967F3" w:rsidRPr="00882F11">
        <w:rPr>
          <w:rFonts w:cs="Guttman Drogolin" w:hint="cs"/>
          <w:rtl/>
          <w:lang w:bidi="he-IL"/>
        </w:rPr>
        <w:t xml:space="preserve">כין ששחט בה לנידו"ד, הא בבשחיטה לא חתך ע"ג דבר אחר, וכן אין הנידון שם אלא לענין אם עוברים בליעות בין בית השחיטה לסכין, משא"כ בנידו"ד שהוא ספק אם בולע מן הכלי דהתחתון כשחתך על גביו. והנראה פשוט בזה שזה הי' פשוט לו לחכמ"א שדבר חריף בולע מן הכלי התחתון אם חתך על גביו ע"י דוחקא, דמאי שנא באמת מהא דמדוכה. רק שה'שמעתי שמקילין' סוברים דעד כאן לא אמרינן שנחשב כדוחקא ע"י חיתוך אלא כשחותך ע"י כח עליון לתחתון דומיא דדיכה, אבל אם חותך </w:t>
      </w:r>
      <w:r w:rsidR="00E967F3" w:rsidRPr="00882F11">
        <w:rPr>
          <w:rFonts w:cs="Guttman Drogolin" w:hint="cs"/>
          <w:rtl/>
          <w:lang w:bidi="he-IL"/>
        </w:rPr>
        <w:lastRenderedPageBreak/>
        <w:t xml:space="preserve">ע"י זה שמוליך הסכין הלוך חזור (פי' באותו צורה שחותכים את הלחם) אין זה נחשב דוחקא, כיון שחסר בלחץ הנדרשת כדי לבלוע, דהא אינו עושה לחץ גמור מלמעלה למטה. בזה סבר החכמ"א שאין הדין נכון, דהא שחיטה היא ע"כ בצורה שמוליך הסכין הלוך חזור, דהא דרוסה הוא א' ה' ההלכתות הפוסלות בשחיטה, מ"מ אמירנן שיש בה בליעה ע"י דוחקא דסכינא, וכדמבואר שם בהדיא בגמ'. </w:t>
      </w:r>
      <w:r w:rsidR="00AE7EFB" w:rsidRPr="00882F11">
        <w:rPr>
          <w:rFonts w:cs="Guttman Drogolin" w:hint="cs"/>
          <w:rtl/>
          <w:lang w:bidi="he-IL"/>
        </w:rPr>
        <w:t xml:space="preserve"> </w:t>
      </w:r>
    </w:p>
    <w:p w:rsidR="00D54C78" w:rsidRPr="00882F11" w:rsidRDefault="00E967F3" w:rsidP="00D54C78">
      <w:pPr>
        <w:tabs>
          <w:tab w:val="right" w:pos="7497"/>
        </w:tabs>
        <w:bidi/>
        <w:jc w:val="both"/>
        <w:rPr>
          <w:rFonts w:cs="Guttman Drogolin"/>
          <w:rtl/>
          <w:lang w:bidi="he-IL"/>
        </w:rPr>
      </w:pPr>
      <w:r w:rsidRPr="00882F11">
        <w:rPr>
          <w:rFonts w:cs="Guttman Drogolin" w:hint="cs"/>
          <w:rtl/>
          <w:lang w:bidi="he-IL"/>
        </w:rPr>
        <w:t>ומ"מ</w:t>
      </w:r>
      <w:r w:rsidR="00AE7EFB" w:rsidRPr="00882F11">
        <w:rPr>
          <w:rFonts w:cs="Guttman Drogolin" w:hint="cs"/>
          <w:rtl/>
          <w:lang w:bidi="he-IL"/>
        </w:rPr>
        <w:t xml:space="preserve"> יש מן הפוסקים שמקילים ב</w:t>
      </w:r>
      <w:r w:rsidRPr="00882F11">
        <w:rPr>
          <w:rFonts w:cs="Guttman Drogolin" w:hint="cs"/>
          <w:rtl/>
          <w:lang w:bidi="he-IL"/>
        </w:rPr>
        <w:t xml:space="preserve">עיקר דבר </w:t>
      </w:r>
      <w:r w:rsidR="00AE7EFB" w:rsidRPr="00882F11">
        <w:rPr>
          <w:rFonts w:cs="Guttman Drogolin" w:hint="cs"/>
          <w:rtl/>
          <w:lang w:bidi="he-IL"/>
        </w:rPr>
        <w:t xml:space="preserve">זה </w:t>
      </w:r>
      <w:r w:rsidRPr="00882F11">
        <w:rPr>
          <w:rFonts w:cs="Guttman Drogolin" w:hint="cs"/>
          <w:rtl/>
          <w:lang w:bidi="he-IL"/>
        </w:rPr>
        <w:t>שאמרנו שהוא בולע</w:t>
      </w:r>
      <w:r w:rsidR="007C5193" w:rsidRPr="00882F11">
        <w:rPr>
          <w:rFonts w:cs="Guttman Drogolin" w:hint="cs"/>
          <w:rtl/>
          <w:lang w:bidi="he-IL"/>
        </w:rPr>
        <w:t xml:space="preserve"> </w:t>
      </w:r>
      <w:r w:rsidRPr="00882F11">
        <w:rPr>
          <w:rFonts w:cs="Guttman Drogolin" w:hint="cs"/>
          <w:rtl/>
          <w:lang w:bidi="he-IL"/>
        </w:rPr>
        <w:t xml:space="preserve">מן הכלי התחתון כשחותך על גביו </w:t>
      </w:r>
      <w:r w:rsidR="00AE7EFB" w:rsidRPr="00882F11">
        <w:rPr>
          <w:rFonts w:cs="Guttman Drogolin" w:hint="cs"/>
          <w:rtl/>
          <w:lang w:bidi="he-IL"/>
        </w:rPr>
        <w:t>(כן מבואר בשו"ת ספר יהושע</w:t>
      </w:r>
      <w:r w:rsidR="00386660" w:rsidRPr="00882F11">
        <w:rPr>
          <w:rFonts w:cs="Guttman Drogolin" w:hint="cs"/>
          <w:rtl/>
          <w:lang w:bidi="he-IL"/>
        </w:rPr>
        <w:t xml:space="preserve"> </w:t>
      </w:r>
      <w:r w:rsidR="00762F56" w:rsidRPr="00882F11">
        <w:rPr>
          <w:rFonts w:cs="Guttman Drogolin" w:hint="cs"/>
          <w:rtl/>
          <w:lang w:bidi="he-IL"/>
        </w:rPr>
        <w:t>פסקים</w:t>
      </w:r>
      <w:r w:rsidR="00762F56" w:rsidRPr="00882F11">
        <w:rPr>
          <w:rFonts w:cs="Guttman Drogolin"/>
          <w:rtl/>
          <w:lang w:bidi="he-IL"/>
        </w:rPr>
        <w:t xml:space="preserve"> </w:t>
      </w:r>
      <w:r w:rsidR="00762F56" w:rsidRPr="00882F11">
        <w:rPr>
          <w:rFonts w:cs="Guttman Drogolin" w:hint="cs"/>
          <w:rtl/>
          <w:lang w:bidi="he-IL"/>
        </w:rPr>
        <w:t>וכתבים</w:t>
      </w:r>
      <w:r w:rsidR="00762F56" w:rsidRPr="00882F11">
        <w:rPr>
          <w:rFonts w:cs="Guttman Drogolin"/>
          <w:rtl/>
          <w:lang w:bidi="he-IL"/>
        </w:rPr>
        <w:t xml:space="preserve"> </w:t>
      </w:r>
      <w:r w:rsidR="00762F56" w:rsidRPr="00882F11">
        <w:rPr>
          <w:rFonts w:cs="Guttman Drogolin" w:hint="cs"/>
          <w:rtl/>
          <w:lang w:bidi="he-IL"/>
        </w:rPr>
        <w:t>סי</w:t>
      </w:r>
      <w:r w:rsidR="00762F56" w:rsidRPr="00882F11">
        <w:rPr>
          <w:rFonts w:cs="Guttman Drogolin"/>
          <w:rtl/>
          <w:lang w:bidi="he-IL"/>
        </w:rPr>
        <w:t xml:space="preserve">' </w:t>
      </w:r>
      <w:r w:rsidR="00762F56" w:rsidRPr="00882F11">
        <w:rPr>
          <w:rFonts w:cs="Guttman Drogolin" w:hint="cs"/>
          <w:rtl/>
          <w:lang w:bidi="he-IL"/>
        </w:rPr>
        <w:t>קכ</w:t>
      </w:r>
      <w:r w:rsidR="00762F56" w:rsidRPr="00882F11">
        <w:rPr>
          <w:rFonts w:cs="Guttman Drogolin"/>
          <w:rtl/>
          <w:lang w:bidi="he-IL"/>
        </w:rPr>
        <w:t>"</w:t>
      </w:r>
      <w:r w:rsidR="00762F56" w:rsidRPr="00882F11">
        <w:rPr>
          <w:rFonts w:cs="Guttman Drogolin" w:hint="cs"/>
          <w:rtl/>
          <w:lang w:bidi="he-IL"/>
        </w:rPr>
        <w:t>ב).</w:t>
      </w:r>
      <w:r w:rsidR="00F331E0" w:rsidRPr="00882F11">
        <w:rPr>
          <w:rFonts w:cs="Guttman Drogolin" w:hint="cs"/>
          <w:rtl/>
          <w:lang w:bidi="he-IL"/>
        </w:rPr>
        <w:t xml:space="preserve"> וטעמם שיש לחלק בין מ</w:t>
      </w:r>
      <w:r w:rsidR="007C5193" w:rsidRPr="00882F11">
        <w:rPr>
          <w:rFonts w:cs="Guttman Drogolin" w:hint="cs"/>
          <w:rtl/>
          <w:lang w:bidi="he-IL"/>
        </w:rPr>
        <w:t xml:space="preserve">דוכה לחיתוך ע"ג משטח. שכשדוכין ע"ג המדוכה, הלחץ בין כלי עליון לכלי תחתון היא הגורמת לשבירת התבלינין, משא"כ </w:t>
      </w:r>
      <w:r w:rsidR="00D54C78" w:rsidRPr="00882F11">
        <w:rPr>
          <w:rFonts w:cs="Guttman Drogolin" w:hint="cs"/>
          <w:rtl/>
          <w:lang w:bidi="he-IL"/>
        </w:rPr>
        <w:t xml:space="preserve">בחתיכה שאין השבירה נגרמת ע"י הלחץ בין כלי התחתון לכלי העליון, רק משום חידודי' דסכינא, וא"כ י"ל שחסר בלחץ כדי שיהי דין 'דוחקא דסכינא' בלחץ שיש בין כלי התחתון לדבר חריף שעל גביו. ונראה שחילוק זה חד יותר כשחותכין ע"י הולכת הסכין הלוך חזור, אבל גם כשחותך ע"י כח עליון ג"כ אפשר להבין חילוק זה, דהא אין הלחץ שובר ע"י זה שהמאכל נשברת מהלחץ שבין הכלים, רק ביחד עם החידוד של הסכין, ולכן י"ל שחסר במידת הלחץ מן הכלי התחתון לבלוע. </w:t>
      </w:r>
    </w:p>
    <w:p w:rsidR="00215B24" w:rsidRPr="00882F11" w:rsidRDefault="00D54C78" w:rsidP="00906E5E">
      <w:pPr>
        <w:tabs>
          <w:tab w:val="right" w:pos="7497"/>
        </w:tabs>
        <w:bidi/>
        <w:jc w:val="both"/>
        <w:rPr>
          <w:rFonts w:cs="Guttman Drogolin"/>
          <w:rtl/>
          <w:lang w:bidi="he-IL"/>
        </w:rPr>
      </w:pPr>
      <w:r w:rsidRPr="00882F11">
        <w:rPr>
          <w:rFonts w:cs="Guttman Drogolin" w:hint="cs"/>
          <w:rtl/>
          <w:lang w:bidi="he-IL"/>
        </w:rPr>
        <w:t xml:space="preserve">והנה בס' דבר חריף (פ"א הערה נ"ז) הביא ששמע ממרן הגריש"א זצ"ל להחמיר כחכמ"א לכתחילה, אבל להקל בדיעבד. </w:t>
      </w:r>
      <w:r w:rsidR="00906E5E" w:rsidRPr="00882F11">
        <w:rPr>
          <w:rFonts w:cs="Guttman Drogolin" w:hint="cs"/>
          <w:rtl/>
          <w:lang w:bidi="he-IL"/>
        </w:rPr>
        <w:t>ומשו"ה יש ליזהר כ</w:t>
      </w:r>
      <w:r w:rsidR="00F331E0" w:rsidRPr="00882F11">
        <w:rPr>
          <w:rFonts w:cs="Guttman Drogolin" w:hint="cs"/>
          <w:rtl/>
          <w:lang w:bidi="he-IL"/>
        </w:rPr>
        <w:t>ש</w:t>
      </w:r>
      <w:r w:rsidR="00906E5E" w:rsidRPr="00882F11">
        <w:rPr>
          <w:rFonts w:cs="Guttman Drogolin" w:hint="cs"/>
          <w:rtl/>
          <w:lang w:bidi="he-IL"/>
        </w:rPr>
        <w:t>חותכים דברים חריפים לעשות כן ע"ג משטח או שהוא</w:t>
      </w:r>
      <w:r w:rsidR="00F331E0" w:rsidRPr="00882F11">
        <w:rPr>
          <w:rFonts w:cs="Guttman Drogolin" w:hint="cs"/>
          <w:rtl/>
          <w:lang w:bidi="he-IL"/>
        </w:rPr>
        <w:t xml:space="preserve"> בין ממין של המאכל שרוצה לאכול </w:t>
      </w:r>
      <w:r w:rsidR="00906E5E" w:rsidRPr="00882F11">
        <w:rPr>
          <w:rFonts w:cs="Guttman Drogolin" w:hint="cs"/>
          <w:rtl/>
          <w:lang w:bidi="he-IL"/>
        </w:rPr>
        <w:t xml:space="preserve">בה הדברים החריפים, וכן בסכין שהוא ממין זה. ובודאי במשטח וסכין פרווה עדיף טפי והוא הנהגה טובה מצד א', אבל מצד שני דבר זה הרבה פעמים מביא לידי מכשול, כשנעשה א' מן הכלים בשרי </w:t>
      </w:r>
      <w:r w:rsidR="00906E5E" w:rsidRPr="00882F11">
        <w:rPr>
          <w:rFonts w:cs="Guttman Drogolin" w:hint="cs"/>
          <w:rtl/>
          <w:lang w:bidi="he-IL"/>
        </w:rPr>
        <w:lastRenderedPageBreak/>
        <w:t xml:space="preserve">או חלבי, ולא עמד על זה עד שעירבבו הדברים החריפים למאכלים אחרים מן המין השני. ועכ"פ במשטח הנהגה טובה היא או לייחד קרש לחתיכת דברים שהם פרווה, או לחתוך תמיד ע"ג כלי חד פעמי, אבל לחתוך ישירות ע"ג השיש, כיון שהרבה פעמים נשפך עליו מן המין שיחדו לו, וכן המין השני בטעות, ואע"ג שעכשיו אינו בן יומו, מ"מ קיי"ל דדבר </w:t>
      </w:r>
      <w:r w:rsidR="00E66FC1" w:rsidRPr="00882F11">
        <w:rPr>
          <w:rFonts w:cs="Guttman Drogolin" w:hint="cs"/>
          <w:rtl/>
          <w:lang w:bidi="he-IL"/>
        </w:rPr>
        <w:t xml:space="preserve">חריף </w:t>
      </w:r>
      <w:r w:rsidR="00906E5E" w:rsidRPr="00882F11">
        <w:rPr>
          <w:rFonts w:cs="Guttman Drogolin" w:hint="cs"/>
          <w:rtl/>
          <w:lang w:bidi="he-IL"/>
        </w:rPr>
        <w:t>מחליא לשבח.</w:t>
      </w:r>
      <w:r w:rsidRPr="00882F11">
        <w:rPr>
          <w:rFonts w:cs="Guttman Drogolin" w:hint="cs"/>
          <w:rtl/>
          <w:lang w:bidi="he-IL"/>
        </w:rPr>
        <w:t xml:space="preserve">  </w:t>
      </w:r>
      <w:r w:rsidR="007C5193" w:rsidRPr="00882F11">
        <w:rPr>
          <w:rFonts w:cs="Guttman Drogolin" w:hint="cs"/>
          <w:rtl/>
          <w:lang w:bidi="he-IL"/>
        </w:rPr>
        <w:t xml:space="preserve"> </w:t>
      </w:r>
    </w:p>
    <w:p w:rsidR="00215B24" w:rsidRPr="00882F11" w:rsidRDefault="00215B24" w:rsidP="005229E6">
      <w:pPr>
        <w:pStyle w:val="Heading1"/>
        <w:bidi/>
        <w:spacing w:before="0" w:line="240" w:lineRule="auto"/>
        <w:jc w:val="center"/>
        <w:rPr>
          <w:rFonts w:cs="Guttman Drogolin"/>
          <w:color w:val="auto"/>
          <w:sz w:val="24"/>
          <w:szCs w:val="24"/>
          <w:u w:val="single"/>
          <w:rtl/>
          <w:lang w:bidi="he-IL"/>
        </w:rPr>
      </w:pPr>
      <w:bookmarkStart w:id="286" w:name="_Toc496175537"/>
      <w:r w:rsidRPr="00882F11">
        <w:rPr>
          <w:rFonts w:cs="Guttman Drogolin" w:hint="cs"/>
          <w:color w:val="auto"/>
          <w:sz w:val="24"/>
          <w:szCs w:val="24"/>
          <w:u w:val="single"/>
          <w:rtl/>
          <w:lang w:bidi="he-IL"/>
        </w:rPr>
        <w:t>האם קיי"ל להחמיר כל החומרות דדבר חריף</w:t>
      </w:r>
      <w:r w:rsidR="00C90E2B" w:rsidRPr="00882F11">
        <w:rPr>
          <w:rFonts w:cs="Guttman Drogolin" w:hint="cs"/>
          <w:color w:val="auto"/>
          <w:sz w:val="24"/>
          <w:szCs w:val="24"/>
          <w:u w:val="single"/>
          <w:rtl/>
          <w:lang w:bidi="he-IL"/>
        </w:rPr>
        <w:t>, ובדברי הבית מאיר</w:t>
      </w:r>
      <w:bookmarkEnd w:id="286"/>
    </w:p>
    <w:p w:rsidR="00045698" w:rsidRPr="00882F11" w:rsidRDefault="00E3012A" w:rsidP="00045698">
      <w:pPr>
        <w:tabs>
          <w:tab w:val="right" w:pos="7497"/>
        </w:tabs>
        <w:bidi/>
        <w:jc w:val="both"/>
        <w:rPr>
          <w:rFonts w:cs="Guttman Drogolin"/>
          <w:rtl/>
          <w:lang w:bidi="he-IL"/>
        </w:rPr>
      </w:pPr>
      <w:r>
        <w:rPr>
          <w:rFonts w:cs="Guttman Drogolin"/>
          <w:rtl/>
          <w:lang w:bidi="he-IL"/>
        </w:rPr>
        <w:fldChar w:fldCharType="begin"/>
      </w:r>
      <w:r>
        <w:instrText xml:space="preserve"> XE "</w:instrText>
      </w:r>
      <w:r w:rsidRPr="002828DC">
        <w:rPr>
          <w:rFonts w:hint="cs"/>
          <w:rtl/>
          <w:lang w:bidi="he-IL"/>
        </w:rPr>
        <w:instrText>דבר חריף</w:instrText>
      </w:r>
      <w:r w:rsidRPr="002828DC">
        <w:rPr>
          <w:rtl/>
        </w:rPr>
        <w:instrText>:</w:instrText>
      </w:r>
      <w:r w:rsidRPr="002828DC">
        <w:rPr>
          <w:rFonts w:hint="cs"/>
          <w:rtl/>
          <w:lang w:bidi="he-IL"/>
        </w:rPr>
        <w:instrText>האם מחמירים בה את כל החומרות</w:instrText>
      </w:r>
      <w:r>
        <w:instrText xml:space="preserve">" </w:instrText>
      </w:r>
      <w:r>
        <w:rPr>
          <w:rFonts w:cs="Guttman Drogolin"/>
          <w:rtl/>
          <w:lang w:bidi="he-IL"/>
        </w:rPr>
        <w:fldChar w:fldCharType="end"/>
      </w:r>
      <w:r w:rsidR="00215B24" w:rsidRPr="00882F11">
        <w:rPr>
          <w:rFonts w:cs="Guttman Drogolin" w:hint="cs"/>
          <w:rtl/>
          <w:lang w:bidi="he-IL"/>
        </w:rPr>
        <w:t>לשון השו"ע בסע' ג' הוא "תבלין</w:t>
      </w:r>
      <w:r w:rsidR="00215B24" w:rsidRPr="00882F11">
        <w:rPr>
          <w:rFonts w:cs="Guttman Drogolin"/>
          <w:rtl/>
          <w:lang w:bidi="he-IL"/>
        </w:rPr>
        <w:t xml:space="preserve"> </w:t>
      </w:r>
      <w:r w:rsidR="00215B24" w:rsidRPr="00882F11">
        <w:rPr>
          <w:rFonts w:cs="Guttman Drogolin" w:hint="cs"/>
          <w:rtl/>
          <w:lang w:bidi="he-IL"/>
        </w:rPr>
        <w:t>שנדוכו</w:t>
      </w:r>
      <w:r w:rsidR="00215B24" w:rsidRPr="00882F11">
        <w:rPr>
          <w:rFonts w:cs="Guttman Drogolin"/>
          <w:rtl/>
          <w:lang w:bidi="he-IL"/>
        </w:rPr>
        <w:t xml:space="preserve"> </w:t>
      </w:r>
      <w:r w:rsidR="00215B24" w:rsidRPr="00882F11">
        <w:rPr>
          <w:rFonts w:cs="Guttman Drogolin" w:hint="cs"/>
          <w:rtl/>
          <w:lang w:bidi="he-IL"/>
        </w:rPr>
        <w:t>במדוכה</w:t>
      </w:r>
      <w:r w:rsidR="00215B24" w:rsidRPr="00882F11">
        <w:rPr>
          <w:rFonts w:cs="Guttman Drogolin"/>
          <w:rtl/>
          <w:lang w:bidi="he-IL"/>
        </w:rPr>
        <w:t xml:space="preserve"> </w:t>
      </w:r>
      <w:r w:rsidR="00215B24" w:rsidRPr="00882F11">
        <w:rPr>
          <w:rFonts w:cs="Guttman Drogolin" w:hint="cs"/>
          <w:rtl/>
          <w:lang w:bidi="he-IL"/>
        </w:rPr>
        <w:t>של</w:t>
      </w:r>
      <w:r w:rsidR="00215B24" w:rsidRPr="00882F11">
        <w:rPr>
          <w:rFonts w:cs="Guttman Drogolin"/>
          <w:rtl/>
          <w:lang w:bidi="he-IL"/>
        </w:rPr>
        <w:t xml:space="preserve"> </w:t>
      </w:r>
      <w:r w:rsidR="00215B24" w:rsidRPr="00882F11">
        <w:rPr>
          <w:rFonts w:cs="Guttman Drogolin" w:hint="cs"/>
          <w:rtl/>
          <w:lang w:bidi="he-IL"/>
        </w:rPr>
        <w:t>בשר</w:t>
      </w:r>
      <w:r w:rsidR="00215B24" w:rsidRPr="00882F11">
        <w:rPr>
          <w:rFonts w:cs="Guttman Drogolin"/>
          <w:rtl/>
          <w:lang w:bidi="he-IL"/>
        </w:rPr>
        <w:t xml:space="preserve"> </w:t>
      </w:r>
      <w:r w:rsidR="00215B24" w:rsidRPr="00882F11">
        <w:rPr>
          <w:rFonts w:cs="Guttman Drogolin" w:hint="cs"/>
          <w:rtl/>
          <w:lang w:bidi="he-IL"/>
        </w:rPr>
        <w:t>בן</w:t>
      </w:r>
      <w:r w:rsidR="00215B24" w:rsidRPr="00882F11">
        <w:rPr>
          <w:rFonts w:cs="Guttman Drogolin"/>
          <w:rtl/>
          <w:lang w:bidi="he-IL"/>
        </w:rPr>
        <w:t xml:space="preserve"> </w:t>
      </w:r>
      <w:r w:rsidR="00215B24" w:rsidRPr="00882F11">
        <w:rPr>
          <w:rFonts w:cs="Guttman Drogolin" w:hint="cs"/>
          <w:rtl/>
          <w:lang w:bidi="he-IL"/>
        </w:rPr>
        <w:t>יומו</w:t>
      </w:r>
      <w:r w:rsidR="00215B24" w:rsidRPr="00882F11">
        <w:rPr>
          <w:rFonts w:cs="Guttman Drogolin"/>
          <w:rtl/>
          <w:lang w:bidi="he-IL"/>
        </w:rPr>
        <w:t xml:space="preserve">, </w:t>
      </w:r>
      <w:r w:rsidR="00215B24" w:rsidRPr="00882F11">
        <w:rPr>
          <w:rFonts w:cs="Guttman Drogolin" w:hint="cs"/>
          <w:rtl/>
          <w:lang w:bidi="he-IL"/>
        </w:rPr>
        <w:t>אסור</w:t>
      </w:r>
      <w:r w:rsidR="00215B24" w:rsidRPr="00882F11">
        <w:rPr>
          <w:rFonts w:cs="Guttman Drogolin"/>
          <w:rtl/>
          <w:lang w:bidi="he-IL"/>
        </w:rPr>
        <w:t xml:space="preserve"> </w:t>
      </w:r>
      <w:r w:rsidR="00215B24" w:rsidRPr="00882F11">
        <w:rPr>
          <w:rFonts w:cs="Guttman Drogolin" w:hint="cs"/>
          <w:rtl/>
          <w:lang w:bidi="he-IL"/>
        </w:rPr>
        <w:t>לאכלם</w:t>
      </w:r>
      <w:r w:rsidR="00215B24" w:rsidRPr="00882F11">
        <w:rPr>
          <w:rFonts w:cs="Guttman Drogolin"/>
          <w:rtl/>
          <w:lang w:bidi="he-IL"/>
        </w:rPr>
        <w:t xml:space="preserve"> </w:t>
      </w:r>
      <w:r w:rsidR="00215B24" w:rsidRPr="00882F11">
        <w:rPr>
          <w:rFonts w:cs="Guttman Drogolin" w:hint="cs"/>
          <w:rtl/>
          <w:lang w:bidi="he-IL"/>
        </w:rPr>
        <w:t xml:space="preserve">בחלב". הרי שהשו"ע לא החמיר בדיכת תבלין במדוך בשרי אלא כשדחן בכלי בן יומו, ומשמע שאפשר להקל אם המדוכה אינו ב"י. ולכאורה זהו משום דסבר כשיטת מהר"ם דלא אמרינן דמחליא לשבח אלא בחילתית. </w:t>
      </w:r>
      <w:r w:rsidR="00C90E2B" w:rsidRPr="00882F11">
        <w:rPr>
          <w:rFonts w:cs="Guttman Drogolin" w:hint="cs"/>
          <w:rtl/>
          <w:lang w:bidi="he-IL"/>
        </w:rPr>
        <w:t>וכן בסע' א'</w:t>
      </w:r>
      <w:r w:rsidR="00215B24" w:rsidRPr="00882F11">
        <w:rPr>
          <w:rFonts w:cs="Guttman Drogolin" w:hint="cs"/>
          <w:rtl/>
          <w:lang w:bidi="he-IL"/>
        </w:rPr>
        <w:t xml:space="preserve"> </w:t>
      </w:r>
      <w:r w:rsidR="00C90E2B" w:rsidRPr="00882F11">
        <w:rPr>
          <w:rFonts w:cs="Guttman Drogolin" w:hint="cs"/>
          <w:rtl/>
          <w:lang w:bidi="he-IL"/>
        </w:rPr>
        <w:t>לא הביא השו"ע שיטת ס' התרומה אלא כי"א, ושיטת המהר"ם סתם אמנם תמה הט"ז בס"ק י' שלכאורה דברי השו"ע כאן סותרים למש"כ בסע' ק"ג סע' ו' שסתם שגם כלי אינו בן יומו אוסר. והניח בצ"ע. ובהגהות רע"א כתב בשם האחרונים (ע' כרו"פ ס"ק ה' ומש"ז כאן) ליישב שיש לחלק בין התם לדהכא, שהרי התם בסי' ק"ג מיירי באיסורא בע, ולכן עד כמה שסוברים שכל הדברים החריפים מחלים לשבח, הרי זה אוסר, משא"כ כאן שאפשר לצרף גם דעת אלו הסוברים</w:t>
      </w:r>
      <w:r w:rsidR="004A51A0" w:rsidRPr="00882F11">
        <w:rPr>
          <w:rFonts w:cs="Guttman Drogolin" w:hint="cs"/>
          <w:rtl/>
          <w:lang w:bidi="he-IL"/>
        </w:rPr>
        <w:t xml:space="preserve"> שלא נאמר חומרא מיוחדת בדבר</w:t>
      </w:r>
      <w:r w:rsidR="00C90E2B" w:rsidRPr="00882F11">
        <w:rPr>
          <w:rFonts w:cs="Guttman Drogolin" w:hint="cs"/>
          <w:rtl/>
          <w:lang w:bidi="he-IL"/>
        </w:rPr>
        <w:t xml:space="preserve"> חריף </w:t>
      </w:r>
      <w:r w:rsidR="004A51A0" w:rsidRPr="00882F11">
        <w:rPr>
          <w:rFonts w:cs="Guttman Drogolin" w:hint="cs"/>
          <w:rtl/>
          <w:lang w:bidi="he-IL"/>
        </w:rPr>
        <w:t xml:space="preserve">בדין נ"ט בר נ"ט, ומשו"ה הקיל. והוסיף רע"א ופירש שיש לחלק גם בין הא דסע' לג' להא דסע' א', משום שסע' א' מיירי בהדיא בדברים החריפים המוזכרים בש"ס, ואילו סע' ג' מיירי בתבלין שלא מוזכר בהם החומרא של דבר חריף בש"ס. וא"כ בסע' ג' אפשר לצרף גם שיטת רבינו יחיאל דסבר שלא אמרו החומרות דדבר חריף אלא בדברים המוזכרים בש"ס, ולכן בסע' הביא גם דעת המחמירים, ואילו בסע' ג' סתם לגמרי כדעת המקילים. (ולשונו הזהב של רע"א "משום </w:t>
      </w:r>
      <w:r w:rsidR="004A51A0" w:rsidRPr="00882F11">
        <w:rPr>
          <w:rFonts w:cs="Guttman Drogolin" w:hint="cs"/>
          <w:rtl/>
          <w:lang w:bidi="he-IL"/>
        </w:rPr>
        <w:lastRenderedPageBreak/>
        <w:t>הכי בסעיף א' לא הכריע דבצנון אסור". ולכאורה צ"ע דהא כלל יש בידינו שאם יש סתם וי"א בשו"ע הלכה כסתם.</w:t>
      </w:r>
      <w:r w:rsidR="0026146B" w:rsidRPr="00882F11">
        <w:rPr>
          <w:rFonts w:cs="Guttman Drogolin" w:hint="cs"/>
          <w:rtl/>
          <w:lang w:bidi="he-IL"/>
        </w:rPr>
        <w:t xml:space="preserve"> </w:t>
      </w:r>
      <w:r w:rsidR="00045698" w:rsidRPr="00882F11">
        <w:rPr>
          <w:rFonts w:cs="Guttman Drogolin" w:hint="cs"/>
          <w:rtl/>
          <w:lang w:bidi="he-IL"/>
        </w:rPr>
        <w:t>וצ"ע).</w:t>
      </w:r>
    </w:p>
    <w:p w:rsidR="00641DB5" w:rsidRPr="00882F11" w:rsidRDefault="00045698" w:rsidP="00641DB5">
      <w:pPr>
        <w:tabs>
          <w:tab w:val="right" w:pos="7497"/>
        </w:tabs>
        <w:bidi/>
        <w:jc w:val="both"/>
        <w:rPr>
          <w:rFonts w:cs="Guttman Drogolin"/>
          <w:rtl/>
          <w:lang w:bidi="he-IL"/>
        </w:rPr>
      </w:pPr>
      <w:r w:rsidRPr="00882F11">
        <w:rPr>
          <w:rFonts w:cs="Guttman Drogolin" w:hint="cs"/>
          <w:rtl/>
          <w:lang w:bidi="he-IL"/>
        </w:rPr>
        <w:t>והנה הרמ"א המשיך לכתוב "וי</w:t>
      </w:r>
      <w:r w:rsidRPr="00882F11">
        <w:rPr>
          <w:rFonts w:cs="Guttman Drogolin"/>
          <w:rtl/>
          <w:lang w:bidi="he-IL"/>
        </w:rPr>
        <w:t>"</w:t>
      </w:r>
      <w:r w:rsidRPr="00882F11">
        <w:rPr>
          <w:rFonts w:cs="Guttman Drogolin" w:hint="cs"/>
          <w:rtl/>
          <w:lang w:bidi="he-IL"/>
        </w:rPr>
        <w:t>א</w:t>
      </w:r>
      <w:r w:rsidRPr="00882F11">
        <w:rPr>
          <w:rFonts w:cs="Guttman Drogolin"/>
          <w:rtl/>
          <w:lang w:bidi="he-IL"/>
        </w:rPr>
        <w:t xml:space="preserve"> </w:t>
      </w:r>
      <w:r w:rsidRPr="00882F11">
        <w:rPr>
          <w:rFonts w:cs="Guttman Drogolin" w:hint="cs"/>
          <w:rtl/>
          <w:lang w:bidi="he-IL"/>
        </w:rPr>
        <w:t>אפילו</w:t>
      </w:r>
      <w:r w:rsidRPr="00882F11">
        <w:rPr>
          <w:rFonts w:cs="Guttman Drogolin"/>
          <w:rtl/>
          <w:lang w:bidi="he-IL"/>
        </w:rPr>
        <w:t xml:space="preserve"> </w:t>
      </w:r>
      <w:r w:rsidRPr="00882F11">
        <w:rPr>
          <w:rFonts w:cs="Guttman Drogolin" w:hint="cs"/>
          <w:rtl/>
          <w:lang w:bidi="he-IL"/>
        </w:rPr>
        <w:t>אינו</w:t>
      </w:r>
      <w:r w:rsidRPr="00882F11">
        <w:rPr>
          <w:rFonts w:cs="Guttman Drogolin"/>
          <w:rtl/>
          <w:lang w:bidi="he-IL"/>
        </w:rPr>
        <w:t xml:space="preserve"> </w:t>
      </w:r>
      <w:r w:rsidRPr="00882F11">
        <w:rPr>
          <w:rFonts w:cs="Guttman Drogolin" w:hint="cs"/>
          <w:rtl/>
          <w:lang w:bidi="he-IL"/>
        </w:rPr>
        <w:t>בן</w:t>
      </w:r>
      <w:r w:rsidRPr="00882F11">
        <w:rPr>
          <w:rFonts w:cs="Guttman Drogolin"/>
          <w:rtl/>
          <w:lang w:bidi="he-IL"/>
        </w:rPr>
        <w:t xml:space="preserve"> </w:t>
      </w:r>
      <w:r w:rsidRPr="00882F11">
        <w:rPr>
          <w:rFonts w:cs="Guttman Drogolin" w:hint="cs"/>
          <w:rtl/>
          <w:lang w:bidi="he-IL"/>
        </w:rPr>
        <w:t>יומו". וא"כ לכאורה הי' מבואר שדעת הרמ"א לחלוק על המחבר ולהחמיר אפילו כשישנם את שלושת החומרות ביחד, דהיינו שהוא אב"י, ונ"ט בר נ"ט, ואולי לא נאמרו הדינים בכל הדברים החריפים</w:t>
      </w:r>
      <w:r w:rsidR="001D07E4" w:rsidRPr="00882F11">
        <w:rPr>
          <w:rStyle w:val="FootnoteReference"/>
          <w:rFonts w:cs="Guttman Drogolin"/>
          <w:rtl/>
          <w:lang w:bidi="he-IL"/>
        </w:rPr>
        <w:footnoteReference w:id="311"/>
      </w:r>
      <w:r w:rsidRPr="00882F11">
        <w:rPr>
          <w:rFonts w:cs="Guttman Drogolin" w:hint="cs"/>
          <w:rtl/>
          <w:lang w:bidi="he-IL"/>
        </w:rPr>
        <w:t xml:space="preserve">. אמנם </w:t>
      </w:r>
      <w:r w:rsidR="00641DB5" w:rsidRPr="00882F11">
        <w:rPr>
          <w:rFonts w:cs="Guttman Drogolin" w:hint="cs"/>
          <w:rtl/>
          <w:lang w:bidi="he-IL"/>
        </w:rPr>
        <w:t>מפורסמים דברי</w:t>
      </w:r>
      <w:r w:rsidRPr="00882F11">
        <w:rPr>
          <w:rFonts w:cs="Guttman Drogolin" w:hint="cs"/>
          <w:rtl/>
          <w:lang w:bidi="he-IL"/>
        </w:rPr>
        <w:t xml:space="preserve"> הבית מאיר על אתר</w:t>
      </w:r>
      <w:r w:rsidR="00641DB5" w:rsidRPr="00882F11">
        <w:rPr>
          <w:rFonts w:cs="Guttman Drogolin" w:hint="cs"/>
          <w:rtl/>
          <w:lang w:bidi="he-IL"/>
        </w:rPr>
        <w:t>,</w:t>
      </w:r>
      <w:r w:rsidRPr="00882F11">
        <w:rPr>
          <w:rFonts w:cs="Guttman Drogolin" w:hint="cs"/>
          <w:rtl/>
          <w:lang w:bidi="he-IL"/>
        </w:rPr>
        <w:t xml:space="preserve"> שאפילו הרמ"א לא החמיר יותר מן המחבר אלא לענין לכתחילה</w:t>
      </w:r>
      <w:r w:rsidR="00827E30" w:rsidRPr="00882F11">
        <w:rPr>
          <w:rStyle w:val="FootnoteReference"/>
          <w:rFonts w:cs="Guttman Drogolin"/>
          <w:rtl/>
          <w:lang w:bidi="he-IL"/>
        </w:rPr>
        <w:footnoteReference w:id="312"/>
      </w:r>
      <w:r w:rsidRPr="00882F11">
        <w:rPr>
          <w:rFonts w:cs="Guttman Drogolin" w:hint="cs"/>
          <w:rtl/>
          <w:lang w:bidi="he-IL"/>
        </w:rPr>
        <w:t>, שאין להשתמש בתבלין אלו לכתחילה עם המין השני, אבל אם כבר התערבבו עם המין השני גם הרמ"א מיקל בדיעבד. והוסיף ע"פ זה לכתוב הלכה למעשה "במידי</w:t>
      </w:r>
      <w:r w:rsidRPr="00882F11">
        <w:rPr>
          <w:rFonts w:cs="Guttman Drogolin"/>
          <w:rtl/>
          <w:lang w:bidi="he-IL"/>
        </w:rPr>
        <w:t xml:space="preserve"> </w:t>
      </w:r>
      <w:r w:rsidRPr="00882F11">
        <w:rPr>
          <w:rFonts w:cs="Guttman Drogolin" w:hint="cs"/>
          <w:rtl/>
          <w:lang w:bidi="he-IL"/>
        </w:rPr>
        <w:t>דשכיח</w:t>
      </w:r>
      <w:r w:rsidRPr="00882F11">
        <w:rPr>
          <w:rFonts w:cs="Guttman Drogolin"/>
          <w:rtl/>
          <w:lang w:bidi="he-IL"/>
        </w:rPr>
        <w:t xml:space="preserve"> </w:t>
      </w:r>
      <w:r w:rsidRPr="00882F11">
        <w:rPr>
          <w:rFonts w:cs="Guttman Drogolin" w:hint="cs"/>
          <w:rtl/>
          <w:lang w:bidi="he-IL"/>
        </w:rPr>
        <w:t>שחתכו</w:t>
      </w:r>
      <w:r w:rsidRPr="00882F11">
        <w:rPr>
          <w:rFonts w:cs="Guttman Drogolin"/>
          <w:rtl/>
          <w:lang w:bidi="he-IL"/>
        </w:rPr>
        <w:t xml:space="preserve"> </w:t>
      </w:r>
      <w:r w:rsidRPr="00882F11">
        <w:rPr>
          <w:rFonts w:cs="Guttman Drogolin" w:hint="cs"/>
          <w:rtl/>
          <w:lang w:bidi="he-IL"/>
        </w:rPr>
        <w:t>בצלים</w:t>
      </w:r>
      <w:r w:rsidRPr="00882F11">
        <w:rPr>
          <w:rFonts w:cs="Guttman Drogolin"/>
          <w:rtl/>
          <w:lang w:bidi="he-IL"/>
        </w:rPr>
        <w:t xml:space="preserve"> </w:t>
      </w:r>
      <w:r w:rsidRPr="00882F11">
        <w:rPr>
          <w:rFonts w:cs="Guttman Drogolin" w:hint="cs"/>
          <w:rtl/>
          <w:lang w:bidi="he-IL"/>
        </w:rPr>
        <w:t>בסכין</w:t>
      </w:r>
      <w:r w:rsidRPr="00882F11">
        <w:rPr>
          <w:rFonts w:cs="Guttman Drogolin"/>
          <w:rtl/>
          <w:lang w:bidi="he-IL"/>
        </w:rPr>
        <w:t xml:space="preserve"> </w:t>
      </w:r>
      <w:r w:rsidRPr="00882F11">
        <w:rPr>
          <w:rFonts w:cs="Guttman Drogolin" w:hint="cs"/>
          <w:rtl/>
          <w:lang w:bidi="he-IL"/>
        </w:rPr>
        <w:t>חולבת</w:t>
      </w:r>
      <w:r w:rsidRPr="00882F11">
        <w:rPr>
          <w:rFonts w:cs="Guttman Drogolin"/>
          <w:rtl/>
          <w:lang w:bidi="he-IL"/>
        </w:rPr>
        <w:t xml:space="preserve"> </w:t>
      </w:r>
      <w:r w:rsidRPr="00882F11">
        <w:rPr>
          <w:rFonts w:cs="Guttman Drogolin" w:hint="cs"/>
          <w:rtl/>
          <w:lang w:bidi="he-IL"/>
        </w:rPr>
        <w:t>ונתנום</w:t>
      </w:r>
      <w:r w:rsidRPr="00882F11">
        <w:rPr>
          <w:rFonts w:cs="Guttman Drogolin"/>
          <w:rtl/>
          <w:lang w:bidi="he-IL"/>
        </w:rPr>
        <w:t xml:space="preserve"> </w:t>
      </w:r>
      <w:r w:rsidRPr="00882F11">
        <w:rPr>
          <w:rFonts w:cs="Guttman Drogolin" w:hint="cs"/>
          <w:rtl/>
          <w:lang w:bidi="he-IL"/>
        </w:rPr>
        <w:t>בקדירה</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בשר</w:t>
      </w:r>
      <w:r w:rsidRPr="00882F11">
        <w:rPr>
          <w:rFonts w:cs="Guttman Drogolin"/>
          <w:rtl/>
          <w:lang w:bidi="he-IL"/>
        </w:rPr>
        <w:t xml:space="preserve">, </w:t>
      </w:r>
      <w:r w:rsidRPr="00882F11">
        <w:rPr>
          <w:rFonts w:cs="Guttman Drogolin" w:hint="cs"/>
          <w:rtl/>
          <w:lang w:bidi="he-IL"/>
        </w:rPr>
        <w:t>דמסתמא</w:t>
      </w:r>
      <w:r w:rsidRPr="00882F11">
        <w:rPr>
          <w:rFonts w:cs="Guttman Drogolin"/>
          <w:rtl/>
          <w:lang w:bidi="he-IL"/>
        </w:rPr>
        <w:t xml:space="preserve"> </w:t>
      </w:r>
      <w:r w:rsidRPr="00882F11">
        <w:rPr>
          <w:rFonts w:cs="Guttman Drogolin" w:hint="cs"/>
          <w:rtl/>
          <w:lang w:bidi="he-IL"/>
        </w:rPr>
        <w:t>הסכין</w:t>
      </w:r>
      <w:r w:rsidRPr="00882F11">
        <w:rPr>
          <w:rFonts w:cs="Guttman Drogolin"/>
          <w:rtl/>
          <w:lang w:bidi="he-IL"/>
        </w:rPr>
        <w:t xml:space="preserve"> </w:t>
      </w:r>
      <w:r w:rsidRPr="00882F11">
        <w:rPr>
          <w:rFonts w:cs="Guttman Drogolin" w:hint="cs"/>
          <w:rtl/>
          <w:lang w:bidi="he-IL"/>
        </w:rPr>
        <w:t>אינו</w:t>
      </w:r>
      <w:r w:rsidRPr="00882F11">
        <w:rPr>
          <w:rFonts w:cs="Guttman Drogolin"/>
          <w:rtl/>
          <w:lang w:bidi="he-IL"/>
        </w:rPr>
        <w:t xml:space="preserve"> </w:t>
      </w:r>
      <w:r w:rsidRPr="00882F11">
        <w:rPr>
          <w:rFonts w:cs="Guttman Drogolin" w:hint="cs"/>
          <w:rtl/>
          <w:lang w:bidi="he-IL"/>
        </w:rPr>
        <w:t>בן</w:t>
      </w:r>
      <w:r w:rsidRPr="00882F11">
        <w:rPr>
          <w:rFonts w:cs="Guttman Drogolin"/>
          <w:rtl/>
          <w:lang w:bidi="he-IL"/>
        </w:rPr>
        <w:t xml:space="preserve"> </w:t>
      </w:r>
      <w:r w:rsidRPr="00882F11">
        <w:rPr>
          <w:rFonts w:cs="Guttman Drogolin" w:hint="cs"/>
          <w:rtl/>
          <w:lang w:bidi="he-IL"/>
        </w:rPr>
        <w:t>יומו</w:t>
      </w:r>
      <w:r w:rsidRPr="00882F11">
        <w:rPr>
          <w:rFonts w:cs="Guttman Drogolin"/>
          <w:rtl/>
          <w:lang w:bidi="he-IL"/>
        </w:rPr>
        <w:t xml:space="preserve"> </w:t>
      </w:r>
      <w:r w:rsidRPr="00882F11">
        <w:rPr>
          <w:rFonts w:cs="Guttman Drogolin" w:hint="cs"/>
          <w:rtl/>
          <w:lang w:bidi="he-IL"/>
        </w:rPr>
        <w:t>מבליעת</w:t>
      </w:r>
      <w:r w:rsidRPr="00882F11">
        <w:rPr>
          <w:rFonts w:cs="Guttman Drogolin"/>
          <w:rtl/>
          <w:lang w:bidi="he-IL"/>
        </w:rPr>
        <w:t xml:space="preserve"> </w:t>
      </w:r>
      <w:r w:rsidRPr="00882F11">
        <w:rPr>
          <w:rFonts w:cs="Guttman Drogolin" w:hint="cs"/>
          <w:rtl/>
          <w:lang w:bidi="he-IL"/>
        </w:rPr>
        <w:t>כלי</w:t>
      </w:r>
      <w:r w:rsidRPr="00882F11">
        <w:rPr>
          <w:rFonts w:cs="Guttman Drogolin"/>
          <w:rtl/>
          <w:lang w:bidi="he-IL"/>
        </w:rPr>
        <w:t xml:space="preserve"> </w:t>
      </w:r>
      <w:r w:rsidRPr="00882F11">
        <w:rPr>
          <w:rFonts w:cs="Guttman Drogolin" w:hint="cs"/>
          <w:rtl/>
          <w:lang w:bidi="he-IL"/>
        </w:rPr>
        <w:t>ראשון</w:t>
      </w:r>
      <w:r w:rsidRPr="00882F11">
        <w:rPr>
          <w:rFonts w:cs="Guttman Drogolin"/>
          <w:rtl/>
          <w:lang w:bidi="he-IL"/>
        </w:rPr>
        <w:t xml:space="preserve"> </w:t>
      </w:r>
      <w:r w:rsidRPr="00882F11">
        <w:rPr>
          <w:rFonts w:cs="Guttman Drogolin" w:hint="cs"/>
          <w:rtl/>
          <w:lang w:bidi="he-IL"/>
        </w:rPr>
        <w:t>כדקי</w:t>
      </w:r>
      <w:r w:rsidRPr="00882F11">
        <w:rPr>
          <w:rFonts w:cs="Guttman Drogolin"/>
          <w:rtl/>
          <w:lang w:bidi="he-IL"/>
        </w:rPr>
        <w:t>"</w:t>
      </w:r>
      <w:r w:rsidRPr="00882F11">
        <w:rPr>
          <w:rFonts w:cs="Guttman Drogolin" w:hint="cs"/>
          <w:rtl/>
          <w:lang w:bidi="he-IL"/>
        </w:rPr>
        <w:t>ל</w:t>
      </w:r>
      <w:r w:rsidRPr="00882F11">
        <w:rPr>
          <w:rFonts w:cs="Guttman Drogolin"/>
          <w:rtl/>
          <w:lang w:bidi="he-IL"/>
        </w:rPr>
        <w:t xml:space="preserve"> </w:t>
      </w:r>
      <w:r w:rsidRPr="00882F11">
        <w:rPr>
          <w:rFonts w:cs="Guttman Drogolin" w:hint="cs"/>
          <w:rtl/>
          <w:lang w:bidi="he-IL"/>
        </w:rPr>
        <w:t>סתם</w:t>
      </w:r>
      <w:r w:rsidRPr="00882F11">
        <w:rPr>
          <w:rFonts w:cs="Guttman Drogolin"/>
          <w:rtl/>
          <w:lang w:bidi="he-IL"/>
        </w:rPr>
        <w:t xml:space="preserve"> </w:t>
      </w:r>
      <w:r w:rsidRPr="00882F11">
        <w:rPr>
          <w:rFonts w:cs="Guttman Drogolin" w:hint="cs"/>
          <w:rtl/>
          <w:lang w:bidi="he-IL"/>
        </w:rPr>
        <w:t>כלים</w:t>
      </w:r>
      <w:r w:rsidRPr="00882F11">
        <w:rPr>
          <w:rFonts w:cs="Guttman Drogolin"/>
          <w:rtl/>
          <w:lang w:bidi="he-IL"/>
        </w:rPr>
        <w:t xml:space="preserve"> </w:t>
      </w:r>
      <w:r w:rsidRPr="00882F11">
        <w:rPr>
          <w:rFonts w:cs="Guttman Drogolin" w:hint="cs"/>
          <w:rtl/>
          <w:lang w:bidi="he-IL"/>
        </w:rPr>
        <w:t>אב</w:t>
      </w:r>
      <w:r w:rsidRPr="00882F11">
        <w:rPr>
          <w:rFonts w:cs="Guttman Drogolin"/>
          <w:rtl/>
          <w:lang w:bidi="he-IL"/>
        </w:rPr>
        <w:t>"</w:t>
      </w:r>
      <w:r w:rsidRPr="00882F11">
        <w:rPr>
          <w:rFonts w:cs="Guttman Drogolin" w:hint="cs"/>
          <w:rtl/>
          <w:lang w:bidi="he-IL"/>
        </w:rPr>
        <w:t>י</w:t>
      </w:r>
      <w:r w:rsidRPr="00882F11">
        <w:rPr>
          <w:rFonts w:cs="Guttman Drogolin"/>
          <w:rtl/>
          <w:lang w:bidi="he-IL"/>
        </w:rPr>
        <w:t xml:space="preserve">. </w:t>
      </w:r>
      <w:r w:rsidRPr="00882F11">
        <w:rPr>
          <w:rFonts w:cs="Guttman Drogolin" w:hint="cs"/>
          <w:rtl/>
          <w:lang w:bidi="he-IL"/>
        </w:rPr>
        <w:t>ו</w:t>
      </w:r>
      <w:r w:rsidR="00B62F6C" w:rsidRPr="00882F11">
        <w:rPr>
          <w:rFonts w:cs="Guttman Drogolin" w:hint="cs"/>
          <w:rtl/>
          <w:lang w:bidi="he-IL"/>
        </w:rPr>
        <w:t>ב</w:t>
      </w:r>
      <w:r w:rsidRPr="00882F11">
        <w:rPr>
          <w:rFonts w:cs="Guttman Drogolin" w:hint="cs"/>
          <w:rtl/>
          <w:lang w:bidi="he-IL"/>
        </w:rPr>
        <w:t>פרט</w:t>
      </w:r>
      <w:r w:rsidRPr="00882F11">
        <w:rPr>
          <w:rFonts w:cs="Guttman Drogolin"/>
          <w:rtl/>
          <w:lang w:bidi="he-IL"/>
        </w:rPr>
        <w:t xml:space="preserve"> </w:t>
      </w:r>
      <w:r w:rsidRPr="00882F11">
        <w:rPr>
          <w:rFonts w:cs="Guttman Drogolin" w:hint="cs"/>
          <w:rtl/>
          <w:lang w:bidi="he-IL"/>
        </w:rPr>
        <w:t>סכין</w:t>
      </w:r>
      <w:r w:rsidRPr="00882F11">
        <w:rPr>
          <w:rFonts w:cs="Guttman Drogolin"/>
          <w:rtl/>
          <w:lang w:bidi="he-IL"/>
        </w:rPr>
        <w:t xml:space="preserve"> </w:t>
      </w:r>
      <w:r w:rsidRPr="00882F11">
        <w:rPr>
          <w:rFonts w:cs="Guttman Drogolin" w:hint="cs"/>
          <w:rtl/>
          <w:lang w:bidi="he-IL"/>
        </w:rPr>
        <w:t>חולבת</w:t>
      </w:r>
      <w:r w:rsidRPr="00882F11">
        <w:rPr>
          <w:rFonts w:cs="Guttman Drogolin"/>
          <w:rtl/>
          <w:lang w:bidi="he-IL"/>
        </w:rPr>
        <w:t xml:space="preserve"> </w:t>
      </w:r>
      <w:r w:rsidRPr="00882F11">
        <w:rPr>
          <w:rFonts w:cs="Guttman Drogolin" w:hint="cs"/>
          <w:rtl/>
          <w:lang w:bidi="he-IL"/>
        </w:rPr>
        <w:t>שרוב</w:t>
      </w:r>
      <w:r w:rsidRPr="00882F11">
        <w:rPr>
          <w:rFonts w:cs="Guttman Drogolin"/>
          <w:rtl/>
          <w:lang w:bidi="he-IL"/>
        </w:rPr>
        <w:t xml:space="preserve"> </w:t>
      </w:r>
      <w:r w:rsidRPr="00882F11">
        <w:rPr>
          <w:rFonts w:cs="Guttman Drogolin" w:hint="cs"/>
          <w:rtl/>
          <w:lang w:bidi="he-IL"/>
        </w:rPr>
        <w:t>תשמישו</w:t>
      </w:r>
      <w:r w:rsidRPr="00882F11">
        <w:rPr>
          <w:rFonts w:cs="Guttman Drogolin"/>
          <w:rtl/>
          <w:lang w:bidi="he-IL"/>
        </w:rPr>
        <w:t xml:space="preserve"> </w:t>
      </w:r>
      <w:r w:rsidRPr="00882F11">
        <w:rPr>
          <w:rFonts w:cs="Guttman Drogolin" w:hint="cs"/>
          <w:rtl/>
          <w:lang w:bidi="he-IL"/>
        </w:rPr>
        <w:t>בצונן</w:t>
      </w:r>
      <w:r w:rsidRPr="00882F11">
        <w:rPr>
          <w:rFonts w:cs="Guttman Drogolin"/>
          <w:rtl/>
          <w:lang w:bidi="he-IL"/>
        </w:rPr>
        <w:t xml:space="preserve">. </w:t>
      </w:r>
      <w:r w:rsidRPr="00882F11">
        <w:rPr>
          <w:rFonts w:cs="Guttman Drogolin" w:hint="cs"/>
          <w:rtl/>
          <w:lang w:bidi="he-IL"/>
        </w:rPr>
        <w:t>ומצד</w:t>
      </w:r>
      <w:r w:rsidRPr="00882F11">
        <w:rPr>
          <w:rFonts w:cs="Guttman Drogolin"/>
          <w:rtl/>
          <w:lang w:bidi="he-IL"/>
        </w:rPr>
        <w:t xml:space="preserve"> </w:t>
      </w:r>
      <w:r w:rsidRPr="00882F11">
        <w:rPr>
          <w:rFonts w:cs="Guttman Drogolin" w:hint="cs"/>
          <w:rtl/>
          <w:lang w:bidi="he-IL"/>
        </w:rPr>
        <w:t>מה</w:t>
      </w:r>
      <w:r w:rsidRPr="00882F11">
        <w:rPr>
          <w:rFonts w:cs="Guttman Drogolin"/>
          <w:rtl/>
          <w:lang w:bidi="he-IL"/>
        </w:rPr>
        <w:t xml:space="preserve"> </w:t>
      </w:r>
      <w:r w:rsidRPr="00882F11">
        <w:rPr>
          <w:rFonts w:cs="Guttman Drogolin" w:hint="cs"/>
          <w:rtl/>
          <w:lang w:bidi="he-IL"/>
        </w:rPr>
        <w:t>דשמנונית</w:t>
      </w:r>
      <w:r w:rsidRPr="00882F11">
        <w:rPr>
          <w:rFonts w:cs="Guttman Drogolin"/>
          <w:rtl/>
          <w:lang w:bidi="he-IL"/>
        </w:rPr>
        <w:t xml:space="preserve"> </w:t>
      </w:r>
      <w:r w:rsidRPr="00882F11">
        <w:rPr>
          <w:rFonts w:cs="Guttman Drogolin" w:hint="cs"/>
          <w:rtl/>
          <w:lang w:bidi="he-IL"/>
        </w:rPr>
        <w:t>סתמא</w:t>
      </w:r>
      <w:r w:rsidRPr="00882F11">
        <w:rPr>
          <w:rFonts w:cs="Guttman Drogolin"/>
          <w:rtl/>
          <w:lang w:bidi="he-IL"/>
        </w:rPr>
        <w:t xml:space="preserve"> </w:t>
      </w:r>
      <w:r w:rsidRPr="00882F11">
        <w:rPr>
          <w:rFonts w:cs="Guttman Drogolin" w:hint="cs"/>
          <w:rtl/>
          <w:lang w:bidi="he-IL"/>
        </w:rPr>
        <w:t>על</w:t>
      </w:r>
      <w:r w:rsidRPr="00882F11">
        <w:rPr>
          <w:rFonts w:cs="Guttman Drogolin"/>
          <w:rtl/>
          <w:lang w:bidi="he-IL"/>
        </w:rPr>
        <w:t xml:space="preserve"> </w:t>
      </w:r>
      <w:r w:rsidRPr="00882F11">
        <w:rPr>
          <w:rFonts w:cs="Guttman Drogolin" w:hint="cs"/>
          <w:rtl/>
          <w:lang w:bidi="he-IL"/>
        </w:rPr>
        <w:t>פניו</w:t>
      </w:r>
      <w:r w:rsidRPr="00882F11">
        <w:rPr>
          <w:rFonts w:cs="Guttman Drogolin"/>
          <w:rtl/>
          <w:lang w:bidi="he-IL"/>
        </w:rPr>
        <w:t xml:space="preserve">, </w:t>
      </w:r>
      <w:r w:rsidRPr="00882F11">
        <w:rPr>
          <w:rFonts w:cs="Guttman Drogolin" w:hint="cs"/>
          <w:rtl/>
          <w:lang w:bidi="he-IL"/>
        </w:rPr>
        <w:t>זה</w:t>
      </w:r>
      <w:r w:rsidRPr="00882F11">
        <w:rPr>
          <w:rFonts w:cs="Guttman Drogolin"/>
          <w:rtl/>
          <w:lang w:bidi="he-IL"/>
        </w:rPr>
        <w:t xml:space="preserve"> </w:t>
      </w:r>
      <w:r w:rsidRPr="00882F11">
        <w:rPr>
          <w:rFonts w:cs="Guttman Drogolin" w:hint="cs"/>
          <w:rtl/>
          <w:lang w:bidi="he-IL"/>
        </w:rPr>
        <w:t>לענ</w:t>
      </w:r>
      <w:r w:rsidRPr="00882F11">
        <w:rPr>
          <w:rFonts w:cs="Guttman Drogolin"/>
          <w:rtl/>
          <w:lang w:bidi="he-IL"/>
        </w:rPr>
        <w:t>"</w:t>
      </w:r>
      <w:r w:rsidRPr="00882F11">
        <w:rPr>
          <w:rFonts w:cs="Guttman Drogolin" w:hint="cs"/>
          <w:rtl/>
          <w:lang w:bidi="he-IL"/>
        </w:rPr>
        <w:t>ד</w:t>
      </w:r>
      <w:r w:rsidRPr="00882F11">
        <w:rPr>
          <w:rFonts w:cs="Guttman Drogolin"/>
          <w:rtl/>
          <w:lang w:bidi="he-IL"/>
        </w:rPr>
        <w:t xml:space="preserve"> </w:t>
      </w:r>
      <w:r w:rsidRPr="00882F11">
        <w:rPr>
          <w:rFonts w:cs="Guttman Drogolin" w:hint="cs"/>
          <w:rtl/>
          <w:lang w:bidi="he-IL"/>
        </w:rPr>
        <w:t>תמיד</w:t>
      </w:r>
      <w:r w:rsidRPr="00882F11">
        <w:rPr>
          <w:rFonts w:cs="Guttman Drogolin"/>
          <w:rtl/>
          <w:lang w:bidi="he-IL"/>
        </w:rPr>
        <w:t xml:space="preserve"> </w:t>
      </w:r>
      <w:r w:rsidRPr="00882F11">
        <w:rPr>
          <w:rFonts w:cs="Guttman Drogolin" w:hint="cs"/>
          <w:rtl/>
          <w:lang w:bidi="he-IL"/>
        </w:rPr>
        <w:t>בטל</w:t>
      </w:r>
      <w:r w:rsidRPr="00882F11">
        <w:rPr>
          <w:rFonts w:cs="Guttman Drogolin"/>
          <w:rtl/>
          <w:lang w:bidi="he-IL"/>
        </w:rPr>
        <w:t xml:space="preserve"> </w:t>
      </w:r>
      <w:r w:rsidRPr="00882F11">
        <w:rPr>
          <w:rFonts w:cs="Guttman Drogolin" w:hint="cs"/>
          <w:rtl/>
          <w:lang w:bidi="he-IL"/>
        </w:rPr>
        <w:t>בששים</w:t>
      </w:r>
      <w:r w:rsidRPr="00882F11">
        <w:rPr>
          <w:rFonts w:cs="Guttman Drogolin"/>
          <w:rtl/>
          <w:lang w:bidi="he-IL"/>
        </w:rPr>
        <w:t xml:space="preserve"> </w:t>
      </w:r>
      <w:r w:rsidRPr="00882F11">
        <w:rPr>
          <w:rFonts w:cs="Guttman Drogolin" w:hint="cs"/>
          <w:rtl/>
          <w:lang w:bidi="he-IL"/>
        </w:rPr>
        <w:t>תוך</w:t>
      </w:r>
      <w:r w:rsidRPr="00882F11">
        <w:rPr>
          <w:rFonts w:cs="Guttman Drogolin"/>
          <w:rtl/>
          <w:lang w:bidi="he-IL"/>
        </w:rPr>
        <w:t xml:space="preserve"> </w:t>
      </w:r>
      <w:r w:rsidRPr="00882F11">
        <w:rPr>
          <w:rFonts w:cs="Guttman Drogolin" w:hint="cs"/>
          <w:rtl/>
          <w:lang w:bidi="he-IL"/>
        </w:rPr>
        <w:t>הקדירה</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כן</w:t>
      </w:r>
      <w:r w:rsidRPr="00882F11">
        <w:rPr>
          <w:rFonts w:cs="Guttman Drogolin"/>
          <w:rtl/>
          <w:lang w:bidi="he-IL"/>
        </w:rPr>
        <w:t xml:space="preserve"> </w:t>
      </w:r>
      <w:r w:rsidRPr="00882F11">
        <w:rPr>
          <w:rFonts w:cs="Guttman Drogolin" w:hint="cs"/>
          <w:rtl/>
          <w:lang w:bidi="he-IL"/>
        </w:rPr>
        <w:t>ודאי</w:t>
      </w:r>
      <w:r w:rsidRPr="00882F11">
        <w:rPr>
          <w:rFonts w:cs="Guttman Drogolin"/>
          <w:rtl/>
          <w:lang w:bidi="he-IL"/>
        </w:rPr>
        <w:t xml:space="preserve"> </w:t>
      </w:r>
      <w:r w:rsidRPr="00882F11">
        <w:rPr>
          <w:rFonts w:cs="Guttman Drogolin" w:hint="cs"/>
          <w:rtl/>
          <w:lang w:bidi="he-IL"/>
        </w:rPr>
        <w:t>בדיעבד</w:t>
      </w:r>
      <w:r w:rsidRPr="00882F11">
        <w:rPr>
          <w:rFonts w:cs="Guttman Drogolin"/>
          <w:rtl/>
          <w:lang w:bidi="he-IL"/>
        </w:rPr>
        <w:t xml:space="preserve"> </w:t>
      </w:r>
      <w:r w:rsidRPr="00882F11">
        <w:rPr>
          <w:rFonts w:cs="Guttman Drogolin" w:hint="cs"/>
          <w:rtl/>
          <w:lang w:bidi="he-IL"/>
        </w:rPr>
        <w:t xml:space="preserve">שרי". </w:t>
      </w:r>
    </w:p>
    <w:p w:rsidR="00641DB5" w:rsidRPr="00882F11" w:rsidRDefault="00641DB5" w:rsidP="00EC4CD1">
      <w:pPr>
        <w:tabs>
          <w:tab w:val="right" w:pos="7497"/>
        </w:tabs>
        <w:bidi/>
        <w:jc w:val="both"/>
        <w:rPr>
          <w:rFonts w:cs="Guttman Drogolin"/>
          <w:rtl/>
          <w:lang w:bidi="he-IL"/>
        </w:rPr>
      </w:pPr>
      <w:r w:rsidRPr="00882F11">
        <w:rPr>
          <w:rFonts w:cs="Guttman Drogolin" w:hint="cs"/>
          <w:rtl/>
          <w:lang w:bidi="he-IL"/>
        </w:rPr>
        <w:t xml:space="preserve">ומקשים העולם על דברי הבית מאיר, שלכאורה דבריו נסתרים מדברי הרמ"א בסי' צ"ה סע' ב', שהרי כתב שם הרמ"א </w:t>
      </w:r>
      <w:r w:rsidR="00EC4CD1" w:rsidRPr="00882F11">
        <w:rPr>
          <w:rFonts w:cs="Guttman Drogolin" w:hint="cs"/>
          <w:rtl/>
          <w:lang w:bidi="he-IL"/>
        </w:rPr>
        <w:t>"אם</w:t>
      </w:r>
      <w:r w:rsidR="00EC4CD1" w:rsidRPr="00882F11">
        <w:rPr>
          <w:rFonts w:cs="Guttman Drogolin"/>
          <w:rtl/>
          <w:lang w:bidi="he-IL"/>
        </w:rPr>
        <w:t xml:space="preserve"> </w:t>
      </w:r>
      <w:r w:rsidR="00EC4CD1" w:rsidRPr="00882F11">
        <w:rPr>
          <w:rFonts w:cs="Guttman Drogolin" w:hint="cs"/>
          <w:rtl/>
          <w:lang w:bidi="he-IL"/>
        </w:rPr>
        <w:t>היה</w:t>
      </w:r>
      <w:r w:rsidR="00EC4CD1" w:rsidRPr="00882F11">
        <w:rPr>
          <w:rFonts w:cs="Guttman Drogolin"/>
          <w:rtl/>
          <w:lang w:bidi="he-IL"/>
        </w:rPr>
        <w:t xml:space="preserve"> </w:t>
      </w:r>
      <w:r w:rsidR="00EC4CD1" w:rsidRPr="00882F11">
        <w:rPr>
          <w:rFonts w:cs="Guttman Drogolin" w:hint="cs"/>
          <w:rtl/>
          <w:lang w:bidi="he-IL"/>
        </w:rPr>
        <w:t>דבר</w:t>
      </w:r>
      <w:r w:rsidR="00EC4CD1" w:rsidRPr="00882F11">
        <w:rPr>
          <w:rFonts w:cs="Guttman Drogolin"/>
          <w:rtl/>
          <w:lang w:bidi="he-IL"/>
        </w:rPr>
        <w:t xml:space="preserve"> </w:t>
      </w:r>
      <w:r w:rsidR="00EC4CD1" w:rsidRPr="00882F11">
        <w:rPr>
          <w:rFonts w:cs="Guttman Drogolin" w:hint="cs"/>
          <w:rtl/>
          <w:lang w:bidi="he-IL"/>
        </w:rPr>
        <w:t>חריף</w:t>
      </w:r>
      <w:r w:rsidR="00EC4CD1" w:rsidRPr="00882F11">
        <w:rPr>
          <w:rFonts w:cs="Guttman Drogolin"/>
          <w:rtl/>
          <w:lang w:bidi="he-IL"/>
        </w:rPr>
        <w:t xml:space="preserve"> </w:t>
      </w:r>
      <w:r w:rsidR="00EC4CD1" w:rsidRPr="00882F11">
        <w:rPr>
          <w:rFonts w:cs="Guttman Drogolin" w:hint="cs"/>
          <w:rtl/>
          <w:lang w:bidi="he-IL"/>
        </w:rPr>
        <w:t>כגון</w:t>
      </w:r>
      <w:r w:rsidR="00EC4CD1" w:rsidRPr="00882F11">
        <w:rPr>
          <w:rFonts w:cs="Guttman Drogolin"/>
          <w:rtl/>
          <w:lang w:bidi="he-IL"/>
        </w:rPr>
        <w:t xml:space="preserve"> </w:t>
      </w:r>
      <w:r w:rsidR="00EC4CD1" w:rsidRPr="00882F11">
        <w:rPr>
          <w:rFonts w:cs="Guttman Drogolin" w:hint="cs"/>
          <w:rtl/>
          <w:lang w:bidi="he-IL"/>
        </w:rPr>
        <w:t>שבשלו</w:t>
      </w:r>
      <w:r w:rsidR="00EC4CD1" w:rsidRPr="00882F11">
        <w:rPr>
          <w:rFonts w:cs="Guttman Drogolin"/>
          <w:rtl/>
          <w:lang w:bidi="he-IL"/>
        </w:rPr>
        <w:t xml:space="preserve"> </w:t>
      </w:r>
      <w:r w:rsidR="00EC4CD1" w:rsidRPr="00882F11">
        <w:rPr>
          <w:rFonts w:cs="Guttman Drogolin" w:hint="cs"/>
          <w:rtl/>
          <w:lang w:bidi="he-IL"/>
        </w:rPr>
        <w:t>דברים</w:t>
      </w:r>
      <w:r w:rsidR="00EC4CD1" w:rsidRPr="00882F11">
        <w:rPr>
          <w:rFonts w:cs="Guttman Drogolin"/>
          <w:rtl/>
          <w:lang w:bidi="he-IL"/>
        </w:rPr>
        <w:t xml:space="preserve"> </w:t>
      </w:r>
      <w:r w:rsidR="00EC4CD1" w:rsidRPr="00882F11">
        <w:rPr>
          <w:rFonts w:cs="Guttman Drogolin" w:hint="cs"/>
          <w:rtl/>
          <w:lang w:bidi="he-IL"/>
        </w:rPr>
        <w:t>חריפים</w:t>
      </w:r>
      <w:r w:rsidR="00EC4CD1" w:rsidRPr="00882F11">
        <w:rPr>
          <w:rFonts w:cs="Guttman Drogolin"/>
          <w:rtl/>
          <w:lang w:bidi="he-IL"/>
        </w:rPr>
        <w:t xml:space="preserve"> </w:t>
      </w:r>
      <w:r w:rsidR="00EC4CD1" w:rsidRPr="00882F11">
        <w:rPr>
          <w:rFonts w:cs="Guttman Drogolin" w:hint="cs"/>
          <w:rtl/>
          <w:lang w:bidi="he-IL"/>
        </w:rPr>
        <w:t>בכלי</w:t>
      </w:r>
      <w:r w:rsidR="00EC4CD1" w:rsidRPr="00882F11">
        <w:rPr>
          <w:rFonts w:cs="Guttman Drogolin"/>
          <w:rtl/>
          <w:lang w:bidi="he-IL"/>
        </w:rPr>
        <w:t xml:space="preserve"> </w:t>
      </w:r>
      <w:r w:rsidR="00EC4CD1" w:rsidRPr="00882F11">
        <w:rPr>
          <w:rFonts w:cs="Guttman Drogolin" w:hint="cs"/>
          <w:rtl/>
          <w:lang w:bidi="he-IL"/>
        </w:rPr>
        <w:t>של</w:t>
      </w:r>
      <w:r w:rsidR="00EC4CD1" w:rsidRPr="00882F11">
        <w:rPr>
          <w:rFonts w:cs="Guttman Drogolin"/>
          <w:rtl/>
          <w:lang w:bidi="he-IL"/>
        </w:rPr>
        <w:t xml:space="preserve"> </w:t>
      </w:r>
      <w:r w:rsidR="00EC4CD1" w:rsidRPr="00882F11">
        <w:rPr>
          <w:rFonts w:cs="Guttman Drogolin" w:hint="cs"/>
          <w:rtl/>
          <w:lang w:bidi="he-IL"/>
        </w:rPr>
        <w:t>בשר</w:t>
      </w:r>
      <w:r w:rsidR="00EC4CD1" w:rsidRPr="00882F11">
        <w:rPr>
          <w:rFonts w:cs="Guttman Drogolin"/>
          <w:rtl/>
          <w:lang w:bidi="he-IL"/>
        </w:rPr>
        <w:t xml:space="preserve"> </w:t>
      </w:r>
      <w:r w:rsidR="00EC4CD1" w:rsidRPr="00882F11">
        <w:rPr>
          <w:rFonts w:cs="Guttman Drogolin" w:hint="cs"/>
          <w:rtl/>
          <w:lang w:bidi="he-IL"/>
        </w:rPr>
        <w:t>אפילו</w:t>
      </w:r>
      <w:r w:rsidR="00EC4CD1" w:rsidRPr="00882F11">
        <w:rPr>
          <w:rFonts w:cs="Guttman Drogolin"/>
          <w:rtl/>
          <w:lang w:bidi="he-IL"/>
        </w:rPr>
        <w:t xml:space="preserve"> </w:t>
      </w:r>
      <w:r w:rsidR="00EC4CD1" w:rsidRPr="00882F11">
        <w:rPr>
          <w:rFonts w:cs="Guttman Drogolin" w:hint="cs"/>
          <w:rtl/>
          <w:lang w:bidi="he-IL"/>
        </w:rPr>
        <w:t>אינו</w:t>
      </w:r>
      <w:r w:rsidR="00EC4CD1" w:rsidRPr="00882F11">
        <w:rPr>
          <w:rFonts w:cs="Guttman Drogolin"/>
          <w:rtl/>
          <w:lang w:bidi="he-IL"/>
        </w:rPr>
        <w:t xml:space="preserve"> </w:t>
      </w:r>
      <w:r w:rsidR="00EC4CD1" w:rsidRPr="00882F11">
        <w:rPr>
          <w:rFonts w:cs="Guttman Drogolin" w:hint="cs"/>
          <w:rtl/>
          <w:lang w:bidi="he-IL"/>
        </w:rPr>
        <w:t>בן</w:t>
      </w:r>
      <w:r w:rsidR="00EC4CD1" w:rsidRPr="00882F11">
        <w:rPr>
          <w:rFonts w:cs="Guttman Drogolin"/>
          <w:rtl/>
          <w:lang w:bidi="he-IL"/>
        </w:rPr>
        <w:t xml:space="preserve"> </w:t>
      </w:r>
      <w:r w:rsidR="00EC4CD1" w:rsidRPr="00882F11">
        <w:rPr>
          <w:rFonts w:cs="Guttman Drogolin" w:hint="cs"/>
          <w:rtl/>
          <w:lang w:bidi="he-IL"/>
        </w:rPr>
        <w:t>יומו</w:t>
      </w:r>
      <w:r w:rsidR="00EC4CD1" w:rsidRPr="00882F11">
        <w:rPr>
          <w:rFonts w:cs="Guttman Drogolin"/>
          <w:rtl/>
          <w:lang w:bidi="he-IL"/>
        </w:rPr>
        <w:t xml:space="preserve"> </w:t>
      </w:r>
      <w:r w:rsidR="00EC4CD1" w:rsidRPr="00882F11">
        <w:rPr>
          <w:rFonts w:cs="Guttman Drogolin" w:hint="cs"/>
          <w:rtl/>
          <w:lang w:bidi="he-IL"/>
        </w:rPr>
        <w:t>או</w:t>
      </w:r>
      <w:r w:rsidR="00EC4CD1" w:rsidRPr="00882F11">
        <w:rPr>
          <w:rFonts w:cs="Guttman Drogolin"/>
          <w:rtl/>
          <w:lang w:bidi="he-IL"/>
        </w:rPr>
        <w:t xml:space="preserve"> </w:t>
      </w:r>
      <w:r w:rsidR="00EC4CD1" w:rsidRPr="00882F11">
        <w:rPr>
          <w:rFonts w:cs="Guttman Drogolin" w:hint="cs"/>
          <w:rtl/>
          <w:lang w:bidi="he-IL"/>
        </w:rPr>
        <w:t>שדכו</w:t>
      </w:r>
      <w:r w:rsidR="00EC4CD1" w:rsidRPr="00882F11">
        <w:rPr>
          <w:rFonts w:cs="Guttman Drogolin"/>
          <w:rtl/>
          <w:lang w:bidi="he-IL"/>
        </w:rPr>
        <w:t xml:space="preserve"> </w:t>
      </w:r>
      <w:r w:rsidR="00EC4CD1" w:rsidRPr="00882F11">
        <w:rPr>
          <w:rFonts w:cs="Guttman Drogolin" w:hint="cs"/>
          <w:rtl/>
          <w:lang w:bidi="he-IL"/>
        </w:rPr>
        <w:t>תבלין</w:t>
      </w:r>
      <w:r w:rsidR="00EC4CD1" w:rsidRPr="00882F11">
        <w:rPr>
          <w:rFonts w:cs="Guttman Drogolin"/>
          <w:rtl/>
          <w:lang w:bidi="he-IL"/>
        </w:rPr>
        <w:t xml:space="preserve"> </w:t>
      </w:r>
      <w:r w:rsidR="00EC4CD1" w:rsidRPr="00882F11">
        <w:rPr>
          <w:rFonts w:cs="Guttman Drogolin" w:hint="cs"/>
          <w:rtl/>
          <w:lang w:bidi="he-IL"/>
        </w:rPr>
        <w:t>במדוך</w:t>
      </w:r>
      <w:r w:rsidR="00EC4CD1" w:rsidRPr="00882F11">
        <w:rPr>
          <w:rFonts w:cs="Guttman Drogolin"/>
          <w:rtl/>
          <w:lang w:bidi="he-IL"/>
        </w:rPr>
        <w:t xml:space="preserve"> </w:t>
      </w:r>
      <w:r w:rsidR="00EC4CD1" w:rsidRPr="00882F11">
        <w:rPr>
          <w:rFonts w:cs="Guttman Drogolin" w:hint="cs"/>
          <w:rtl/>
          <w:lang w:bidi="he-IL"/>
        </w:rPr>
        <w:t>של</w:t>
      </w:r>
      <w:r w:rsidR="00EC4CD1" w:rsidRPr="00882F11">
        <w:rPr>
          <w:rFonts w:cs="Guttman Drogolin"/>
          <w:rtl/>
          <w:lang w:bidi="he-IL"/>
        </w:rPr>
        <w:t xml:space="preserve"> </w:t>
      </w:r>
      <w:r w:rsidR="00EC4CD1" w:rsidRPr="00882F11">
        <w:rPr>
          <w:rFonts w:cs="Guttman Drogolin" w:hint="cs"/>
          <w:rtl/>
          <w:lang w:bidi="he-IL"/>
        </w:rPr>
        <w:t>בשר</w:t>
      </w:r>
      <w:r w:rsidR="00EC4CD1" w:rsidRPr="00882F11">
        <w:rPr>
          <w:rFonts w:cs="Guttman Drogolin"/>
          <w:rtl/>
          <w:lang w:bidi="he-IL"/>
        </w:rPr>
        <w:t xml:space="preserve"> </w:t>
      </w:r>
      <w:r w:rsidR="00EC4CD1" w:rsidRPr="00882F11">
        <w:rPr>
          <w:rFonts w:cs="Guttman Drogolin" w:hint="cs"/>
          <w:rtl/>
          <w:lang w:bidi="he-IL"/>
        </w:rPr>
        <w:t>אם</w:t>
      </w:r>
      <w:r w:rsidR="00EC4CD1" w:rsidRPr="00882F11">
        <w:rPr>
          <w:rFonts w:cs="Guttman Drogolin"/>
          <w:rtl/>
          <w:lang w:bidi="he-IL"/>
        </w:rPr>
        <w:t xml:space="preserve"> </w:t>
      </w:r>
      <w:r w:rsidR="00EC4CD1" w:rsidRPr="00882F11">
        <w:rPr>
          <w:rFonts w:cs="Guttman Drogolin" w:hint="cs"/>
          <w:rtl/>
          <w:lang w:bidi="he-IL"/>
        </w:rPr>
        <w:t>אכלו</w:t>
      </w:r>
      <w:r w:rsidR="00EC4CD1" w:rsidRPr="00882F11">
        <w:rPr>
          <w:rFonts w:cs="Guttman Drogolin"/>
          <w:rtl/>
          <w:lang w:bidi="he-IL"/>
        </w:rPr>
        <w:t xml:space="preserve"> </w:t>
      </w:r>
      <w:r w:rsidR="00EC4CD1" w:rsidRPr="00882F11">
        <w:rPr>
          <w:rFonts w:cs="Guttman Drogolin" w:hint="cs"/>
          <w:rtl/>
          <w:lang w:bidi="he-IL"/>
        </w:rPr>
        <w:t>בחלב</w:t>
      </w:r>
      <w:r w:rsidR="00EC4CD1" w:rsidRPr="00882F11">
        <w:rPr>
          <w:rFonts w:cs="Guttman Drogolin"/>
          <w:rtl/>
          <w:lang w:bidi="he-IL"/>
        </w:rPr>
        <w:t xml:space="preserve"> </w:t>
      </w:r>
      <w:r w:rsidR="00EC4CD1" w:rsidRPr="00882F11">
        <w:rPr>
          <w:rFonts w:cs="Guttman Drogolin" w:hint="cs"/>
          <w:rtl/>
          <w:lang w:bidi="he-IL"/>
        </w:rPr>
        <w:t>אוסר</w:t>
      </w:r>
      <w:r w:rsidR="00EC4CD1" w:rsidRPr="00882F11">
        <w:rPr>
          <w:rFonts w:cs="Guttman Drogolin"/>
          <w:rtl/>
          <w:lang w:bidi="he-IL"/>
        </w:rPr>
        <w:t xml:space="preserve"> </w:t>
      </w:r>
      <w:r w:rsidR="00EC4CD1" w:rsidRPr="00882F11">
        <w:rPr>
          <w:rFonts w:cs="Guttman Drogolin" w:hint="cs"/>
          <w:rtl/>
          <w:lang w:bidi="he-IL"/>
        </w:rPr>
        <w:t>אפילו</w:t>
      </w:r>
      <w:r w:rsidR="00EC4CD1" w:rsidRPr="00882F11">
        <w:rPr>
          <w:rFonts w:cs="Guttman Drogolin"/>
          <w:rtl/>
          <w:lang w:bidi="he-IL"/>
        </w:rPr>
        <w:t xml:space="preserve"> </w:t>
      </w:r>
      <w:r w:rsidR="00EC4CD1" w:rsidRPr="00882F11">
        <w:rPr>
          <w:rFonts w:cs="Guttman Drogolin" w:hint="cs"/>
          <w:rtl/>
          <w:lang w:bidi="he-IL"/>
        </w:rPr>
        <w:t xml:space="preserve">בדיעבד". הרי דמיירי במקום שהי' אמור להיות היתירא דנ"ט בר נ"ט, וכן מיירי בתבלינים, ומ"מ החמיר אפילו בדיעבד בכלי שאינו בן יומו. וא"כ לכאורה הי' מבואר דלא כבית מאיר. אמנם בשו"ת דברי יציב (יו"ד סי' כ"ג) </w:t>
      </w:r>
      <w:r w:rsidR="001D07E4" w:rsidRPr="00882F11">
        <w:rPr>
          <w:rFonts w:cs="Guttman Drogolin" w:hint="cs"/>
          <w:rtl/>
          <w:lang w:bidi="he-IL"/>
        </w:rPr>
        <w:t xml:space="preserve">כתב דאדרבה ודברי הרמ"א מדויקים כמו הבית מאיר, שהרי בדברים חריפים בכלי של בשר הוסיף שהוא אפילו אינו בן יומו, ואילו בתבלין לא הוסיף </w:t>
      </w:r>
      <w:r w:rsidR="001D07E4" w:rsidRPr="00882F11">
        <w:rPr>
          <w:rFonts w:cs="Guttman Drogolin" w:hint="cs"/>
          <w:rtl/>
          <w:lang w:bidi="he-IL"/>
        </w:rPr>
        <w:lastRenderedPageBreak/>
        <w:t>רבותא זו</w:t>
      </w:r>
      <w:r w:rsidR="00D3027E" w:rsidRPr="00882F11">
        <w:rPr>
          <w:rStyle w:val="FootnoteReference"/>
          <w:rFonts w:cs="Guttman Drogolin"/>
          <w:rtl/>
          <w:lang w:bidi="he-IL"/>
        </w:rPr>
        <w:footnoteReference w:id="313"/>
      </w:r>
      <w:r w:rsidR="001D07E4" w:rsidRPr="00882F11">
        <w:rPr>
          <w:rFonts w:cs="Guttman Drogolin" w:hint="cs"/>
          <w:rtl/>
          <w:lang w:bidi="he-IL"/>
        </w:rPr>
        <w:t xml:space="preserve">. ואיכא למימר שהוא בדוקא, </w:t>
      </w:r>
      <w:r w:rsidR="00183E38" w:rsidRPr="00882F11">
        <w:rPr>
          <w:rFonts w:cs="Guttman Drogolin" w:hint="cs"/>
          <w:rtl/>
          <w:lang w:bidi="he-IL"/>
        </w:rPr>
        <w:t xml:space="preserve">שב'דברים חריפים' כוונתו לדברים שידעינן בהו שהם דברים חריפים, והוא לכה"פ צנון וחילתית, ובאלו החמיר אפילו בדיעבד אפילו בכלי שאנו בן יומו, אבל בתבלין דאיכא למימר בהו שאין להם החומרות של דבר חריף, וכשיטת ר' יחיאל, לא החמיר הרמ"א אפילו בכלי שאינו בן יומו. </w:t>
      </w:r>
      <w:r w:rsidR="002C4F8E" w:rsidRPr="00882F11">
        <w:rPr>
          <w:rFonts w:cs="Guttman Drogolin" w:hint="cs"/>
          <w:rtl/>
          <w:lang w:bidi="he-IL"/>
        </w:rPr>
        <w:t xml:space="preserve">אמנם יש שבאמת דחו את דברי הבית מאיר דברי הרמ"א הנ"ל, דהא בפשוטו דברים החריפים מיירי בכל הדברים החריפים, אפילו אלו שאינם מוזכרים בש"ס, וכן הדין בדברים חריפים הוי אפילו במקרה שמקודם והוא בכלי שאינו בן יומו. </w:t>
      </w:r>
    </w:p>
    <w:p w:rsidR="002C4F8E" w:rsidRPr="00882F11" w:rsidRDefault="002C4F8E" w:rsidP="00827E30">
      <w:pPr>
        <w:tabs>
          <w:tab w:val="right" w:pos="7497"/>
        </w:tabs>
        <w:bidi/>
        <w:jc w:val="both"/>
        <w:rPr>
          <w:rFonts w:cs="Guttman Drogolin"/>
          <w:rtl/>
          <w:lang w:bidi="he-IL"/>
        </w:rPr>
      </w:pPr>
      <w:r w:rsidRPr="00882F11">
        <w:rPr>
          <w:rFonts w:cs="Guttman Drogolin" w:hint="cs"/>
          <w:rtl/>
          <w:lang w:bidi="he-IL"/>
        </w:rPr>
        <w:t xml:space="preserve">ולענין דינא </w:t>
      </w:r>
      <w:r w:rsidR="002A4D8A" w:rsidRPr="00882F11">
        <w:rPr>
          <w:rFonts w:cs="Guttman Drogolin" w:hint="cs"/>
          <w:rtl/>
          <w:lang w:bidi="he-IL"/>
        </w:rPr>
        <w:t>כלפי הקולא של הבית מאיר הנה גם בט"ז ס"ק ח' משמע שאם יש עוד צד להקל, מקילים כדעת מהר"ם</w:t>
      </w:r>
      <w:r w:rsidR="002A4D8A" w:rsidRPr="00882F11">
        <w:rPr>
          <w:rStyle w:val="FootnoteReference"/>
          <w:rFonts w:cs="Guttman Drogolin"/>
          <w:rtl/>
          <w:lang w:bidi="he-IL"/>
        </w:rPr>
        <w:footnoteReference w:id="314"/>
      </w:r>
      <w:r w:rsidR="002A4D8A" w:rsidRPr="00882F11">
        <w:rPr>
          <w:rFonts w:cs="Guttman Drogolin" w:hint="cs"/>
          <w:rtl/>
          <w:lang w:bidi="he-IL"/>
        </w:rPr>
        <w:t xml:space="preserve"> (וכן העיר בגיון מהרש"א על הט"ז בס"ק א'), ומאידך</w:t>
      </w:r>
      <w:r w:rsidRPr="00882F11">
        <w:rPr>
          <w:rFonts w:cs="Guttman Drogolin" w:hint="cs"/>
          <w:rtl/>
          <w:lang w:bidi="he-IL"/>
        </w:rPr>
        <w:t xml:space="preserve"> </w:t>
      </w:r>
      <w:r w:rsidR="00827E30" w:rsidRPr="00882F11">
        <w:rPr>
          <w:rFonts w:cs="Guttman Drogolin" w:hint="cs"/>
          <w:rtl/>
          <w:lang w:bidi="he-IL"/>
        </w:rPr>
        <w:t xml:space="preserve">הש"ך ס"ק ו' משמע שמחמרינן לגמרי דכל דבר חריף מחליא לשבח, וכן </w:t>
      </w:r>
      <w:r w:rsidRPr="00882F11">
        <w:rPr>
          <w:rFonts w:cs="Guttman Drogolin" w:hint="cs"/>
          <w:rtl/>
          <w:lang w:bidi="he-IL"/>
        </w:rPr>
        <w:t xml:space="preserve">יעוין בחכמ"א (כלל נ"ה ד"ב) שנראה בהדיא דלית לי' כדברי הבית מאיר, ויש מורי הוראה שסומכים על הבית מאיר, בפרט במקום הפסד, ויש המחמירים. </w:t>
      </w:r>
    </w:p>
    <w:p w:rsidR="002C4F8E" w:rsidRPr="005229E6" w:rsidRDefault="002C4F8E" w:rsidP="0078079C">
      <w:pPr>
        <w:pStyle w:val="Heading1"/>
        <w:bidi/>
        <w:spacing w:before="0" w:line="360" w:lineRule="auto"/>
        <w:jc w:val="center"/>
        <w:rPr>
          <w:rFonts w:cs="Guttman Drogolin"/>
          <w:color w:val="auto"/>
          <w:sz w:val="18"/>
          <w:szCs w:val="18"/>
          <w:u w:val="single"/>
          <w:rtl/>
          <w:lang w:bidi="he-IL"/>
        </w:rPr>
      </w:pPr>
      <w:bookmarkStart w:id="287" w:name="_Toc496175538"/>
      <w:r w:rsidRPr="005229E6">
        <w:rPr>
          <w:rFonts w:cs="Guttman Drogolin" w:hint="cs"/>
          <w:color w:val="auto"/>
          <w:sz w:val="18"/>
          <w:szCs w:val="18"/>
          <w:u w:val="single"/>
          <w:rtl/>
          <w:lang w:bidi="he-IL"/>
        </w:rPr>
        <w:t>דברי הבית מאיר בחתך בסכין שרוב תשמישתו בצונן</w:t>
      </w:r>
      <w:bookmarkEnd w:id="287"/>
    </w:p>
    <w:p w:rsidR="002C4F8E" w:rsidRPr="00882F11" w:rsidRDefault="00E3012A" w:rsidP="00B62F6C">
      <w:pPr>
        <w:tabs>
          <w:tab w:val="right" w:pos="7497"/>
        </w:tabs>
        <w:bidi/>
        <w:jc w:val="both"/>
        <w:rPr>
          <w:rFonts w:cs="Guttman Drogolin"/>
          <w:rtl/>
          <w:lang w:bidi="he-IL"/>
        </w:rPr>
      </w:pPr>
      <w:r>
        <w:rPr>
          <w:rFonts w:cs="Guttman Drogolin"/>
          <w:rtl/>
          <w:lang w:bidi="he-IL"/>
        </w:rPr>
        <w:fldChar w:fldCharType="begin"/>
      </w:r>
      <w:r>
        <w:instrText xml:space="preserve"> XE "</w:instrText>
      </w:r>
      <w:r w:rsidRPr="00507EC1">
        <w:rPr>
          <w:rFonts w:hint="cs"/>
          <w:rtl/>
          <w:lang w:bidi="he-IL"/>
        </w:rPr>
        <w:instrText>הכשר כלים - רוב תשמישתו</w:instrText>
      </w:r>
      <w:r w:rsidRPr="00507EC1">
        <w:rPr>
          <w:rtl/>
        </w:rPr>
        <w:instrText>:</w:instrText>
      </w:r>
      <w:r w:rsidRPr="00507EC1">
        <w:rPr>
          <w:rFonts w:hint="cs"/>
          <w:rtl/>
          <w:lang w:bidi="he-IL"/>
        </w:rPr>
        <w:instrText>דברי הבית מאיר בזה</w:instrText>
      </w:r>
      <w:r>
        <w:instrText xml:space="preserve">" </w:instrText>
      </w:r>
      <w:r>
        <w:rPr>
          <w:rFonts w:cs="Guttman Drogolin"/>
          <w:rtl/>
          <w:lang w:bidi="he-IL"/>
        </w:rPr>
        <w:fldChar w:fldCharType="end"/>
      </w:r>
      <w:r w:rsidR="00B62F6C" w:rsidRPr="00882F11">
        <w:rPr>
          <w:rFonts w:cs="Guttman Drogolin" w:hint="cs"/>
          <w:rtl/>
          <w:lang w:bidi="he-IL"/>
        </w:rPr>
        <w:t>בתוך דבריו הוסיף הבית מאיר וכתב "ובפרט</w:t>
      </w:r>
      <w:r w:rsidR="00B62F6C" w:rsidRPr="00882F11">
        <w:rPr>
          <w:rFonts w:cs="Guttman Drogolin"/>
          <w:rtl/>
          <w:lang w:bidi="he-IL"/>
        </w:rPr>
        <w:t xml:space="preserve"> </w:t>
      </w:r>
      <w:r w:rsidR="00B62F6C" w:rsidRPr="00882F11">
        <w:rPr>
          <w:rFonts w:cs="Guttman Drogolin" w:hint="cs"/>
          <w:rtl/>
          <w:lang w:bidi="he-IL"/>
        </w:rPr>
        <w:t>סכין</w:t>
      </w:r>
      <w:r w:rsidR="00B62F6C" w:rsidRPr="00882F11">
        <w:rPr>
          <w:rFonts w:cs="Guttman Drogolin"/>
          <w:rtl/>
          <w:lang w:bidi="he-IL"/>
        </w:rPr>
        <w:t xml:space="preserve"> </w:t>
      </w:r>
      <w:r w:rsidR="00B62F6C" w:rsidRPr="00882F11">
        <w:rPr>
          <w:rFonts w:cs="Guttman Drogolin" w:hint="cs"/>
          <w:rtl/>
          <w:lang w:bidi="he-IL"/>
        </w:rPr>
        <w:t>חולבת</w:t>
      </w:r>
      <w:r w:rsidR="00B62F6C" w:rsidRPr="00882F11">
        <w:rPr>
          <w:rFonts w:cs="Guttman Drogolin"/>
          <w:rtl/>
          <w:lang w:bidi="he-IL"/>
        </w:rPr>
        <w:t xml:space="preserve"> </w:t>
      </w:r>
      <w:r w:rsidR="00B62F6C" w:rsidRPr="00882F11">
        <w:rPr>
          <w:rFonts w:cs="Guttman Drogolin" w:hint="cs"/>
          <w:rtl/>
          <w:lang w:bidi="he-IL"/>
        </w:rPr>
        <w:t>שרוב</w:t>
      </w:r>
      <w:r w:rsidR="00B62F6C" w:rsidRPr="00882F11">
        <w:rPr>
          <w:rFonts w:cs="Guttman Drogolin"/>
          <w:rtl/>
          <w:lang w:bidi="he-IL"/>
        </w:rPr>
        <w:t xml:space="preserve"> </w:t>
      </w:r>
      <w:r w:rsidR="00B62F6C" w:rsidRPr="00882F11">
        <w:rPr>
          <w:rFonts w:cs="Guttman Drogolin" w:hint="cs"/>
          <w:rtl/>
          <w:lang w:bidi="he-IL"/>
        </w:rPr>
        <w:t>תשמישו</w:t>
      </w:r>
      <w:r w:rsidR="00B62F6C" w:rsidRPr="00882F11">
        <w:rPr>
          <w:rFonts w:cs="Guttman Drogolin"/>
          <w:rtl/>
          <w:lang w:bidi="he-IL"/>
        </w:rPr>
        <w:t xml:space="preserve"> </w:t>
      </w:r>
      <w:r w:rsidR="00B62F6C" w:rsidRPr="00882F11">
        <w:rPr>
          <w:rFonts w:cs="Guttman Drogolin" w:hint="cs"/>
          <w:rtl/>
          <w:lang w:bidi="he-IL"/>
        </w:rPr>
        <w:t xml:space="preserve">בצונן". וביאור דבריו שאמנם אין אנו צריכים להוספה זו להתיר, כיון שגם בלי זה יש לנו ג' חומרות שאין מחמירים כולהו בהדח הדדי, מ"מ יש לנו רווח של עוד סניף להקל כיון שהסכין שחתכו בו אינו בן יומו. </w:t>
      </w:r>
    </w:p>
    <w:p w:rsidR="002B34D0" w:rsidRPr="00882F11" w:rsidRDefault="00B62F6C" w:rsidP="00B6007D">
      <w:pPr>
        <w:tabs>
          <w:tab w:val="right" w:pos="7497"/>
        </w:tabs>
        <w:bidi/>
        <w:jc w:val="both"/>
        <w:rPr>
          <w:rFonts w:cs="Guttman Drogolin"/>
          <w:rtl/>
          <w:lang w:bidi="he-IL"/>
        </w:rPr>
      </w:pPr>
      <w:r w:rsidRPr="00882F11">
        <w:rPr>
          <w:rFonts w:cs="Guttman Drogolin" w:hint="cs"/>
          <w:rtl/>
          <w:lang w:bidi="he-IL"/>
        </w:rPr>
        <w:t xml:space="preserve">אמנם </w:t>
      </w:r>
      <w:r w:rsidR="00B6007D" w:rsidRPr="00882F11">
        <w:rPr>
          <w:rFonts w:cs="Guttman Drogolin" w:hint="cs"/>
          <w:rtl/>
          <w:lang w:bidi="he-IL"/>
        </w:rPr>
        <w:t>דבריו</w:t>
      </w:r>
      <w:r w:rsidRPr="00882F11">
        <w:rPr>
          <w:rFonts w:cs="Guttman Drogolin" w:hint="cs"/>
          <w:rtl/>
          <w:lang w:bidi="he-IL"/>
        </w:rPr>
        <w:t xml:space="preserve"> בזה מחודשים, שלכאורה כוונתו בהיתירא דרוב תשמשיתו הוא לדברי השו"ע באו"ח סי' תנ"א סע' </w:t>
      </w:r>
      <w:r w:rsidR="00A4309D" w:rsidRPr="00882F11">
        <w:rPr>
          <w:rFonts w:cs="Guttman Drogolin" w:hint="cs"/>
          <w:rtl/>
          <w:lang w:bidi="he-IL"/>
        </w:rPr>
        <w:t xml:space="preserve">ו' שלענין הגעלת כלים הולכים בכל כלי בתר רוב תשמישתו. ור"ל דאע"ג </w:t>
      </w:r>
      <w:r w:rsidR="00A4309D" w:rsidRPr="00882F11">
        <w:rPr>
          <w:rFonts w:cs="Guttman Drogolin" w:hint="cs"/>
          <w:rtl/>
          <w:lang w:bidi="he-IL"/>
        </w:rPr>
        <w:lastRenderedPageBreak/>
        <w:t>שהרמ"א שם כתב שהמנהג להחמיר כשיטות שאין מקילים ליזיל בהכשר כלי בתר רוב תשמישתו, מ"מ חזי שיטה זו לאי</w:t>
      </w:r>
      <w:r w:rsidR="00BB0DC5" w:rsidRPr="00882F11">
        <w:rPr>
          <w:rFonts w:cs="Guttman Drogolin" w:hint="cs"/>
          <w:rtl/>
          <w:lang w:bidi="he-IL"/>
        </w:rPr>
        <w:t>צ</w:t>
      </w:r>
      <w:r w:rsidR="00A4309D" w:rsidRPr="00882F11">
        <w:rPr>
          <w:rFonts w:cs="Guttman Drogolin" w:hint="cs"/>
          <w:rtl/>
          <w:lang w:bidi="he-IL"/>
        </w:rPr>
        <w:t xml:space="preserve">טרופי לשאר השיטות לומר שאין לנו להחמיר בדיעבד. אלא דא"כ לכאורה צע"ג, שהרי </w:t>
      </w:r>
      <w:r w:rsidR="00B6007D" w:rsidRPr="00882F11">
        <w:rPr>
          <w:rFonts w:cs="Guttman Drogolin" w:hint="cs"/>
          <w:rtl/>
          <w:lang w:bidi="he-IL"/>
        </w:rPr>
        <w:t xml:space="preserve">בשו"ת </w:t>
      </w:r>
      <w:r w:rsidR="00A4309D" w:rsidRPr="00882F11">
        <w:rPr>
          <w:rFonts w:cs="Guttman Drogolin" w:hint="cs"/>
          <w:rtl/>
          <w:lang w:bidi="he-IL"/>
        </w:rPr>
        <w:t xml:space="preserve">רמ"ע מפאנו </w:t>
      </w:r>
      <w:r w:rsidR="00B6007D" w:rsidRPr="00882F11">
        <w:rPr>
          <w:rFonts w:cs="Guttman Drogolin" w:hint="cs"/>
          <w:rtl/>
          <w:lang w:bidi="he-IL"/>
        </w:rPr>
        <w:t xml:space="preserve">(סי' צ"ו) </w:t>
      </w:r>
      <w:r w:rsidR="00814A34">
        <w:rPr>
          <w:rFonts w:cs="Guttman Drogolin" w:hint="cs"/>
          <w:rtl/>
          <w:lang w:bidi="he-IL"/>
        </w:rPr>
        <w:t xml:space="preserve">ובשו"ת הרשב"א (סי' שע"ב) </w:t>
      </w:r>
      <w:r w:rsidR="00A4309D" w:rsidRPr="00882F11">
        <w:rPr>
          <w:rFonts w:cs="Guttman Drogolin" w:hint="cs"/>
          <w:rtl/>
          <w:lang w:bidi="he-IL"/>
        </w:rPr>
        <w:t>ביאר</w:t>
      </w:r>
      <w:r w:rsidR="00814A34">
        <w:rPr>
          <w:rFonts w:cs="Guttman Drogolin" w:hint="cs"/>
          <w:rtl/>
          <w:lang w:bidi="he-IL"/>
        </w:rPr>
        <w:t>ו</w:t>
      </w:r>
      <w:r w:rsidR="00A4309D" w:rsidRPr="00882F11">
        <w:rPr>
          <w:rFonts w:cs="Guttman Drogolin" w:hint="cs"/>
          <w:rtl/>
          <w:lang w:bidi="he-IL"/>
        </w:rPr>
        <w:t xml:space="preserve"> טעמם של אלו המקילים להכשיר כלי כרוב תשמישתו שהוא משום שכל הדין להכשיר כלי שאינו בן יומו הוא דין דרבנן,</w:t>
      </w:r>
      <w:r w:rsidR="00B6007D" w:rsidRPr="00882F11">
        <w:rPr>
          <w:rFonts w:cs="Guttman Drogolin" w:hint="cs"/>
          <w:rtl/>
          <w:lang w:bidi="he-IL"/>
        </w:rPr>
        <w:t xml:space="preserve"> והם אמרו והם אמרו. ולכן כתב המ"ב בסי' תנ"א ס"ק מ"ו שאם ידוע לן שהכלי בן יומו ממיעוט תשמישתו אי אפשר להכשיר כפי רוב תשמישתו. ומיני' לכאורה שאי אפשר להקל ברוב תשמישתו אם מבשל בה דבר חריף, דהא כיון שמחליא לשבח שוב אינו בכלל נטל"פ. וכ"כ בהדיא בחזו"א </w:t>
      </w:r>
      <w:r w:rsidR="002B34D0" w:rsidRPr="00882F11">
        <w:rPr>
          <w:rFonts w:cs="Guttman Drogolin" w:hint="cs"/>
          <w:rtl/>
          <w:lang w:bidi="he-IL"/>
        </w:rPr>
        <w:t>(או"ח סי' קי"ט ס"ק ט"ו) לדינא דלא מהני קולא זו לענין דבר חריף. וא"כ איך הוסיף כאן הבית מאיר הא דהוי רוב תשמישתו בצונן, דהא עד כמה דמחליא לשבח ליתי' להיתירא זו.</w:t>
      </w:r>
    </w:p>
    <w:p w:rsidR="00B62F6C" w:rsidRPr="00882F11" w:rsidRDefault="002B34D0" w:rsidP="002B34D0">
      <w:pPr>
        <w:tabs>
          <w:tab w:val="right" w:pos="7497"/>
        </w:tabs>
        <w:bidi/>
        <w:jc w:val="both"/>
        <w:rPr>
          <w:rFonts w:cs="Guttman Drogolin"/>
          <w:rtl/>
          <w:lang w:bidi="he-IL"/>
        </w:rPr>
      </w:pPr>
      <w:r w:rsidRPr="00882F11">
        <w:rPr>
          <w:rFonts w:cs="Guttman Drogolin" w:hint="cs"/>
          <w:rtl/>
          <w:lang w:bidi="he-IL"/>
        </w:rPr>
        <w:t xml:space="preserve">והתשובה, שלכאורה </w:t>
      </w:r>
      <w:r w:rsidR="00295E46" w:rsidRPr="00882F11">
        <w:rPr>
          <w:rFonts w:cs="Guttman Drogolin" w:hint="cs"/>
          <w:rtl/>
          <w:lang w:bidi="he-IL"/>
        </w:rPr>
        <w:t xml:space="preserve">לולא </w:t>
      </w:r>
      <w:r w:rsidRPr="00882F11">
        <w:rPr>
          <w:rFonts w:cs="Guttman Drogolin" w:hint="cs"/>
          <w:rtl/>
          <w:lang w:bidi="he-IL"/>
        </w:rPr>
        <w:t xml:space="preserve">דברי החזו"א </w:t>
      </w:r>
      <w:r w:rsidR="00295E46" w:rsidRPr="00882F11">
        <w:rPr>
          <w:rFonts w:cs="Guttman Drogolin" w:hint="cs"/>
          <w:rtl/>
          <w:lang w:bidi="he-IL"/>
        </w:rPr>
        <w:t xml:space="preserve">הו"א שכדבריו </w:t>
      </w:r>
      <w:r w:rsidRPr="00882F11">
        <w:rPr>
          <w:rFonts w:cs="Guttman Drogolin" w:hint="cs"/>
          <w:rtl/>
          <w:lang w:bidi="he-IL"/>
        </w:rPr>
        <w:t>לא נית</w:t>
      </w:r>
      <w:r w:rsidR="007246F5" w:rsidRPr="00882F11">
        <w:rPr>
          <w:rFonts w:cs="Guttman Drogolin" w:hint="cs"/>
          <w:rtl/>
          <w:lang w:bidi="he-IL"/>
        </w:rPr>
        <w:t>נ</w:t>
      </w:r>
      <w:r w:rsidRPr="00882F11">
        <w:rPr>
          <w:rFonts w:cs="Guttman Drogolin" w:hint="cs"/>
          <w:rtl/>
          <w:lang w:bidi="he-IL"/>
        </w:rPr>
        <w:t>ין ליאמר, דהא א"כ נפל בבירא כל ההיתר של רוב תשמישתו. וכן ראיתי שהעיר במגי"ס סי' צ"ו אות ח'. וע"ש כתב דע"כ צריכים לומר שהדין דדבר חריף מחליא לשבח אינו אלא דין דרבנן, ולכן גם אי מחליא לשבח י"ל שהם אמרו והם אמרו. וזהו דלא כמסקנת הפת"ש לעיל בסי' צ"ה ס"ק ד'. וע' גם בביאורים שבסוף ספר דבר חריף סי' ט"ז מזה</w:t>
      </w:r>
      <w:r w:rsidR="00295E46" w:rsidRPr="00882F11">
        <w:rPr>
          <w:rStyle w:val="FootnoteReference"/>
          <w:rFonts w:cs="Guttman Drogolin"/>
          <w:rtl/>
          <w:lang w:bidi="he-IL"/>
        </w:rPr>
        <w:footnoteReference w:id="315"/>
      </w:r>
      <w:r w:rsidRPr="00882F11">
        <w:rPr>
          <w:rFonts w:cs="Guttman Drogolin" w:hint="cs"/>
          <w:rtl/>
          <w:lang w:bidi="he-IL"/>
        </w:rPr>
        <w:t>.</w:t>
      </w:r>
      <w:r w:rsidR="00A4309D" w:rsidRPr="00882F11">
        <w:rPr>
          <w:rFonts w:cs="Guttman Drogolin" w:hint="cs"/>
          <w:rtl/>
          <w:lang w:bidi="he-IL"/>
        </w:rPr>
        <w:t xml:space="preserve">  </w:t>
      </w:r>
    </w:p>
    <w:p w:rsidR="002B34D0" w:rsidRPr="005229E6" w:rsidRDefault="002B34D0" w:rsidP="0078079C">
      <w:pPr>
        <w:pStyle w:val="Heading1"/>
        <w:bidi/>
        <w:spacing w:before="0" w:line="360" w:lineRule="auto"/>
        <w:jc w:val="center"/>
        <w:rPr>
          <w:rFonts w:cs="Guttman Drogolin"/>
          <w:color w:val="auto"/>
          <w:sz w:val="20"/>
          <w:szCs w:val="20"/>
          <w:u w:val="single"/>
          <w:rtl/>
          <w:lang w:bidi="he-IL"/>
        </w:rPr>
      </w:pPr>
      <w:bookmarkStart w:id="288" w:name="_Toc496175539"/>
      <w:r w:rsidRPr="005229E6">
        <w:rPr>
          <w:rFonts w:cs="Guttman Drogolin" w:hint="cs"/>
          <w:color w:val="auto"/>
          <w:sz w:val="20"/>
          <w:szCs w:val="20"/>
          <w:u w:val="single"/>
          <w:rtl/>
          <w:lang w:bidi="he-IL"/>
        </w:rPr>
        <w:t>גדרי החומרא דלא אומרים נ"ט בר נ"ט בדבר חריף</w:t>
      </w:r>
      <w:bookmarkEnd w:id="288"/>
    </w:p>
    <w:p w:rsidR="002B34D0" w:rsidRPr="00882F11" w:rsidRDefault="00E3012A" w:rsidP="009D2F6A">
      <w:pPr>
        <w:tabs>
          <w:tab w:val="right" w:pos="7497"/>
        </w:tabs>
        <w:bidi/>
        <w:jc w:val="both"/>
        <w:rPr>
          <w:rFonts w:cs="Guttman Drogolin"/>
          <w:rtl/>
          <w:lang w:bidi="he-IL"/>
        </w:rPr>
      </w:pPr>
      <w:r>
        <w:rPr>
          <w:rFonts w:cs="Guttman Drogolin"/>
          <w:rtl/>
          <w:lang w:bidi="he-IL"/>
        </w:rPr>
        <w:fldChar w:fldCharType="begin"/>
      </w:r>
      <w:r>
        <w:instrText xml:space="preserve"> XE "</w:instrText>
      </w:r>
      <w:r w:rsidRPr="00F84BB7">
        <w:rPr>
          <w:rFonts w:hint="cs"/>
          <w:rtl/>
          <w:lang w:bidi="he-IL"/>
        </w:rPr>
        <w:instrText>דבר חריף</w:instrText>
      </w:r>
      <w:r w:rsidRPr="00F84BB7">
        <w:rPr>
          <w:rtl/>
        </w:rPr>
        <w:instrText>:</w:instrText>
      </w:r>
      <w:r w:rsidRPr="00F84BB7">
        <w:rPr>
          <w:rFonts w:hint="cs"/>
          <w:rtl/>
          <w:lang w:bidi="he-IL"/>
        </w:rPr>
        <w:instrText>בנ</w:instrText>
      </w:r>
      <w:r>
        <w:rPr>
          <w:rFonts w:eastAsiaTheme="minorEastAsia"/>
          <w:lang w:bidi="he-IL"/>
        </w:rPr>
        <w:instrText>\</w:instrText>
      </w:r>
      <w:r w:rsidRPr="00F84BB7">
        <w:rPr>
          <w:rFonts w:hint="cs"/>
          <w:rtl/>
          <w:lang w:bidi="he-IL"/>
        </w:rPr>
        <w:instrText>"ט בר נ</w:instrText>
      </w:r>
      <w:r>
        <w:rPr>
          <w:rFonts w:eastAsiaTheme="minorEastAsia"/>
          <w:lang w:bidi="he-IL"/>
        </w:rPr>
        <w:instrText>\</w:instrText>
      </w:r>
      <w:r w:rsidRPr="00F84BB7">
        <w:rPr>
          <w:rFonts w:hint="cs"/>
          <w:rtl/>
          <w:lang w:bidi="he-IL"/>
        </w:rPr>
        <w:instrText>"ט</w:instrText>
      </w:r>
      <w:r>
        <w:instrText xml:space="preserve">" </w:instrText>
      </w:r>
      <w:r>
        <w:rPr>
          <w:rFonts w:cs="Guttman Drogolin"/>
          <w:rtl/>
          <w:lang w:bidi="he-IL"/>
        </w:rPr>
        <w:fldChar w:fldCharType="end"/>
      </w:r>
      <w:r w:rsidR="002B34D0" w:rsidRPr="00882F11">
        <w:rPr>
          <w:rFonts w:cs="Guttman Drogolin" w:hint="cs"/>
          <w:rtl/>
          <w:lang w:bidi="he-IL"/>
        </w:rPr>
        <w:t>כתב המג"א באו"ח סי' תנ"א ס"ק ל"א "ומה</w:t>
      </w:r>
      <w:r w:rsidR="002B34D0" w:rsidRPr="00882F11">
        <w:rPr>
          <w:rFonts w:cs="Guttman Drogolin"/>
          <w:rtl/>
          <w:lang w:bidi="he-IL"/>
        </w:rPr>
        <w:t>"</w:t>
      </w:r>
      <w:r w:rsidR="002B34D0" w:rsidRPr="00882F11">
        <w:rPr>
          <w:rFonts w:cs="Guttman Drogolin" w:hint="cs"/>
          <w:rtl/>
          <w:lang w:bidi="he-IL"/>
        </w:rPr>
        <w:t>ט</w:t>
      </w:r>
      <w:r w:rsidR="002B34D0" w:rsidRPr="00882F11">
        <w:rPr>
          <w:rFonts w:cs="Guttman Drogolin"/>
          <w:rtl/>
          <w:lang w:bidi="he-IL"/>
        </w:rPr>
        <w:t xml:space="preserve"> </w:t>
      </w:r>
      <w:r w:rsidR="002B34D0" w:rsidRPr="00882F11">
        <w:rPr>
          <w:rFonts w:cs="Guttman Drogolin" w:hint="cs"/>
          <w:rtl/>
          <w:lang w:bidi="he-IL"/>
        </w:rPr>
        <w:t>עושים</w:t>
      </w:r>
      <w:r w:rsidR="002B34D0" w:rsidRPr="00882F11">
        <w:rPr>
          <w:rFonts w:cs="Guttman Drogolin"/>
          <w:rtl/>
          <w:lang w:bidi="he-IL"/>
        </w:rPr>
        <w:t xml:space="preserve"> </w:t>
      </w:r>
      <w:r w:rsidR="002B34D0" w:rsidRPr="00882F11">
        <w:rPr>
          <w:rFonts w:cs="Guttman Drogolin" w:hint="cs"/>
          <w:rtl/>
          <w:lang w:bidi="he-IL"/>
        </w:rPr>
        <w:t>שלא</w:t>
      </w:r>
      <w:r w:rsidR="002B34D0" w:rsidRPr="00882F11">
        <w:rPr>
          <w:rFonts w:cs="Guttman Drogolin"/>
          <w:rtl/>
          <w:lang w:bidi="he-IL"/>
        </w:rPr>
        <w:t xml:space="preserve"> </w:t>
      </w:r>
      <w:r w:rsidR="002B34D0" w:rsidRPr="00882F11">
        <w:rPr>
          <w:rFonts w:cs="Guttman Drogolin" w:hint="cs"/>
          <w:rtl/>
          <w:lang w:bidi="he-IL"/>
        </w:rPr>
        <w:t>כדין</w:t>
      </w:r>
      <w:r w:rsidR="002B34D0" w:rsidRPr="00882F11">
        <w:rPr>
          <w:rFonts w:cs="Guttman Drogolin"/>
          <w:rtl/>
          <w:lang w:bidi="he-IL"/>
        </w:rPr>
        <w:t xml:space="preserve"> </w:t>
      </w:r>
      <w:r w:rsidR="002B34D0" w:rsidRPr="00882F11">
        <w:rPr>
          <w:rFonts w:cs="Guttman Drogolin" w:hint="cs"/>
          <w:rtl/>
          <w:lang w:bidi="he-IL"/>
        </w:rPr>
        <w:t>שלפעמים</w:t>
      </w:r>
      <w:r w:rsidR="002B34D0" w:rsidRPr="00882F11">
        <w:rPr>
          <w:rFonts w:cs="Guttman Drogolin"/>
          <w:rtl/>
          <w:lang w:bidi="he-IL"/>
        </w:rPr>
        <w:t xml:space="preserve"> </w:t>
      </w:r>
      <w:r w:rsidR="002B34D0" w:rsidRPr="00882F11">
        <w:rPr>
          <w:rFonts w:cs="Guttman Drogolin" w:hint="cs"/>
          <w:rtl/>
          <w:lang w:bidi="he-IL"/>
        </w:rPr>
        <w:t>חותכין</w:t>
      </w:r>
      <w:r w:rsidR="002B34D0" w:rsidRPr="00882F11">
        <w:rPr>
          <w:rFonts w:cs="Guttman Drogolin"/>
          <w:rtl/>
          <w:lang w:bidi="he-IL"/>
        </w:rPr>
        <w:t xml:space="preserve"> </w:t>
      </w:r>
      <w:r w:rsidR="002B34D0" w:rsidRPr="00882F11">
        <w:rPr>
          <w:rFonts w:cs="Guttman Drogolin" w:hint="cs"/>
          <w:rtl/>
          <w:lang w:bidi="he-IL"/>
        </w:rPr>
        <w:t>זנגביל</w:t>
      </w:r>
      <w:r w:rsidR="002B34D0" w:rsidRPr="00882F11">
        <w:rPr>
          <w:rFonts w:cs="Guttman Drogolin"/>
          <w:rtl/>
          <w:lang w:bidi="he-IL"/>
        </w:rPr>
        <w:t xml:space="preserve"> </w:t>
      </w:r>
      <w:r w:rsidR="002B34D0" w:rsidRPr="00882F11">
        <w:rPr>
          <w:rFonts w:cs="Guttman Drogolin" w:hint="cs"/>
          <w:rtl/>
          <w:lang w:bidi="he-IL"/>
        </w:rPr>
        <w:t>בסכין</w:t>
      </w:r>
      <w:r w:rsidR="002B34D0" w:rsidRPr="00882F11">
        <w:rPr>
          <w:rFonts w:cs="Guttman Drogolin"/>
          <w:rtl/>
          <w:lang w:bidi="he-IL"/>
        </w:rPr>
        <w:t xml:space="preserve"> </w:t>
      </w:r>
      <w:r w:rsidR="002B34D0" w:rsidRPr="00882F11">
        <w:rPr>
          <w:rFonts w:cs="Guttman Drogolin" w:hint="cs"/>
          <w:rtl/>
          <w:lang w:bidi="he-IL"/>
        </w:rPr>
        <w:t>של</w:t>
      </w:r>
      <w:r w:rsidR="002B34D0" w:rsidRPr="00882F11">
        <w:rPr>
          <w:rFonts w:cs="Guttman Drogolin"/>
          <w:rtl/>
          <w:lang w:bidi="he-IL"/>
        </w:rPr>
        <w:t xml:space="preserve"> </w:t>
      </w:r>
      <w:r w:rsidR="002B34D0" w:rsidRPr="00882F11">
        <w:rPr>
          <w:rFonts w:cs="Guttman Drogolin" w:hint="cs"/>
          <w:rtl/>
          <w:lang w:bidi="he-IL"/>
        </w:rPr>
        <w:t>בשר</w:t>
      </w:r>
      <w:r w:rsidR="002B34D0" w:rsidRPr="00882F11">
        <w:rPr>
          <w:rFonts w:cs="Guttman Drogolin"/>
          <w:rtl/>
          <w:lang w:bidi="he-IL"/>
        </w:rPr>
        <w:t xml:space="preserve"> </w:t>
      </w:r>
      <w:r w:rsidR="002B34D0" w:rsidRPr="00882F11">
        <w:rPr>
          <w:rFonts w:cs="Guttman Drogolin" w:hint="cs"/>
          <w:rtl/>
          <w:lang w:bidi="he-IL"/>
        </w:rPr>
        <w:t>ודכין</w:t>
      </w:r>
      <w:r w:rsidR="002B34D0" w:rsidRPr="00882F11">
        <w:rPr>
          <w:rFonts w:cs="Guttman Drogolin"/>
          <w:rtl/>
          <w:lang w:bidi="he-IL"/>
        </w:rPr>
        <w:t xml:space="preserve"> </w:t>
      </w:r>
      <w:r w:rsidR="002B34D0" w:rsidRPr="00882F11">
        <w:rPr>
          <w:rFonts w:cs="Guttman Drogolin" w:hint="cs"/>
          <w:rtl/>
          <w:lang w:bidi="he-IL"/>
        </w:rPr>
        <w:t>אותו</w:t>
      </w:r>
      <w:r w:rsidR="002B34D0" w:rsidRPr="00882F11">
        <w:rPr>
          <w:rFonts w:cs="Guttman Drogolin"/>
          <w:rtl/>
          <w:lang w:bidi="he-IL"/>
        </w:rPr>
        <w:t xml:space="preserve"> </w:t>
      </w:r>
      <w:r w:rsidR="002B34D0" w:rsidRPr="00882F11">
        <w:rPr>
          <w:rFonts w:cs="Guttman Drogolin" w:hint="cs"/>
          <w:rtl/>
          <w:lang w:bidi="he-IL"/>
        </w:rPr>
        <w:t>במדוכה</w:t>
      </w:r>
      <w:r w:rsidR="002B34D0" w:rsidRPr="00882F11">
        <w:rPr>
          <w:rFonts w:cs="Guttman Drogolin"/>
          <w:rtl/>
          <w:lang w:bidi="he-IL"/>
        </w:rPr>
        <w:t xml:space="preserve"> </w:t>
      </w:r>
      <w:r w:rsidR="002B34D0" w:rsidRPr="00882F11">
        <w:rPr>
          <w:rFonts w:cs="Guttman Drogolin" w:hint="cs"/>
          <w:rtl/>
          <w:lang w:bidi="he-IL"/>
        </w:rPr>
        <w:t>ונמצא</w:t>
      </w:r>
      <w:r w:rsidR="002B34D0" w:rsidRPr="00882F11">
        <w:rPr>
          <w:rFonts w:cs="Guttman Drogolin"/>
          <w:rtl/>
          <w:lang w:bidi="he-IL"/>
        </w:rPr>
        <w:t xml:space="preserve"> </w:t>
      </w:r>
      <w:r w:rsidR="002B34D0" w:rsidRPr="00882F11">
        <w:rPr>
          <w:rFonts w:cs="Guttman Drogolin" w:hint="cs"/>
          <w:rtl/>
          <w:lang w:bidi="he-IL"/>
        </w:rPr>
        <w:t>המדוכה</w:t>
      </w:r>
      <w:r w:rsidR="002B34D0" w:rsidRPr="00882F11">
        <w:rPr>
          <w:rFonts w:cs="Guttman Drogolin"/>
          <w:rtl/>
          <w:lang w:bidi="he-IL"/>
        </w:rPr>
        <w:t xml:space="preserve"> </w:t>
      </w:r>
      <w:r w:rsidR="002B34D0" w:rsidRPr="00882F11">
        <w:rPr>
          <w:rFonts w:cs="Guttman Drogolin" w:hint="cs"/>
          <w:rtl/>
          <w:lang w:bidi="he-IL"/>
        </w:rPr>
        <w:t>בלוע</w:t>
      </w:r>
      <w:r w:rsidR="002B34D0" w:rsidRPr="00882F11">
        <w:rPr>
          <w:rFonts w:cs="Guttman Drogolin"/>
          <w:rtl/>
          <w:lang w:bidi="he-IL"/>
        </w:rPr>
        <w:t xml:space="preserve"> </w:t>
      </w:r>
      <w:r w:rsidR="002B34D0" w:rsidRPr="00882F11">
        <w:rPr>
          <w:rFonts w:cs="Guttman Drogolin" w:hint="cs"/>
          <w:rtl/>
          <w:lang w:bidi="he-IL"/>
        </w:rPr>
        <w:t>מבשר</w:t>
      </w:r>
      <w:r w:rsidR="002B34D0" w:rsidRPr="00882F11">
        <w:rPr>
          <w:rFonts w:cs="Guttman Drogolin"/>
          <w:rtl/>
          <w:lang w:bidi="he-IL"/>
        </w:rPr>
        <w:t xml:space="preserve"> </w:t>
      </w:r>
      <w:r w:rsidR="002B34D0" w:rsidRPr="00882F11">
        <w:rPr>
          <w:rFonts w:cs="Guttman Drogolin" w:hint="cs"/>
          <w:rtl/>
          <w:lang w:bidi="he-IL"/>
        </w:rPr>
        <w:t>ואחר</w:t>
      </w:r>
      <w:r w:rsidR="002B34D0" w:rsidRPr="00882F11">
        <w:rPr>
          <w:rFonts w:cs="Guttman Drogolin"/>
          <w:rtl/>
          <w:lang w:bidi="he-IL"/>
        </w:rPr>
        <w:t xml:space="preserve"> </w:t>
      </w:r>
      <w:r w:rsidR="002B34D0" w:rsidRPr="00882F11">
        <w:rPr>
          <w:rFonts w:cs="Guttman Drogolin" w:hint="cs"/>
          <w:rtl/>
          <w:lang w:bidi="he-IL"/>
        </w:rPr>
        <w:t>כך</w:t>
      </w:r>
      <w:r w:rsidR="002B34D0" w:rsidRPr="00882F11">
        <w:rPr>
          <w:rFonts w:cs="Guttman Drogolin"/>
          <w:rtl/>
          <w:lang w:bidi="he-IL"/>
        </w:rPr>
        <w:t xml:space="preserve"> </w:t>
      </w:r>
      <w:r w:rsidR="002B34D0" w:rsidRPr="00882F11">
        <w:rPr>
          <w:rFonts w:cs="Guttman Drogolin" w:hint="cs"/>
          <w:rtl/>
          <w:lang w:bidi="he-IL"/>
        </w:rPr>
        <w:t>דכין</w:t>
      </w:r>
      <w:r w:rsidR="002B34D0" w:rsidRPr="00882F11">
        <w:rPr>
          <w:rFonts w:cs="Guttman Drogolin"/>
          <w:rtl/>
          <w:lang w:bidi="he-IL"/>
        </w:rPr>
        <w:t xml:space="preserve"> </w:t>
      </w:r>
      <w:r w:rsidR="002B34D0" w:rsidRPr="00882F11">
        <w:rPr>
          <w:rFonts w:cs="Guttman Drogolin" w:hint="cs"/>
          <w:rtl/>
          <w:lang w:bidi="he-IL"/>
        </w:rPr>
        <w:t>בתוכו</w:t>
      </w:r>
      <w:r w:rsidR="002B34D0" w:rsidRPr="00882F11">
        <w:rPr>
          <w:rFonts w:cs="Guttman Drogolin"/>
          <w:rtl/>
          <w:lang w:bidi="he-IL"/>
        </w:rPr>
        <w:t xml:space="preserve"> </w:t>
      </w:r>
      <w:r w:rsidR="002B34D0" w:rsidRPr="00882F11">
        <w:rPr>
          <w:rFonts w:cs="Guttman Drogolin" w:hint="cs"/>
          <w:rtl/>
          <w:lang w:bidi="he-IL"/>
        </w:rPr>
        <w:t>בשמים</w:t>
      </w:r>
      <w:r w:rsidR="002B34D0" w:rsidRPr="00882F11">
        <w:rPr>
          <w:rFonts w:cs="Guttman Drogolin"/>
          <w:rtl/>
          <w:lang w:bidi="he-IL"/>
        </w:rPr>
        <w:t xml:space="preserve"> </w:t>
      </w:r>
      <w:r w:rsidR="002B34D0" w:rsidRPr="00882F11">
        <w:rPr>
          <w:rFonts w:cs="Guttman Drogolin" w:hint="cs"/>
          <w:rtl/>
          <w:lang w:bidi="he-IL"/>
        </w:rPr>
        <w:t>ואוכלין</w:t>
      </w:r>
      <w:r w:rsidR="002B34D0" w:rsidRPr="00882F11">
        <w:rPr>
          <w:rFonts w:cs="Guttman Drogolin"/>
          <w:rtl/>
          <w:lang w:bidi="he-IL"/>
        </w:rPr>
        <w:t xml:space="preserve"> </w:t>
      </w:r>
      <w:r w:rsidR="002B34D0" w:rsidRPr="00882F11">
        <w:rPr>
          <w:rFonts w:cs="Guttman Drogolin" w:hint="cs"/>
          <w:rtl/>
          <w:lang w:bidi="he-IL"/>
        </w:rPr>
        <w:t>בחלב</w:t>
      </w:r>
      <w:r w:rsidR="002B34D0" w:rsidRPr="00882F11">
        <w:rPr>
          <w:rFonts w:cs="Guttman Drogolin"/>
          <w:rtl/>
          <w:lang w:bidi="he-IL"/>
        </w:rPr>
        <w:t xml:space="preserve"> </w:t>
      </w:r>
      <w:r w:rsidR="002B34D0" w:rsidRPr="00882F11">
        <w:rPr>
          <w:rFonts w:cs="Guttman Drogolin" w:hint="cs"/>
          <w:rtl/>
          <w:lang w:bidi="he-IL"/>
        </w:rPr>
        <w:lastRenderedPageBreak/>
        <w:t>לכן</w:t>
      </w:r>
      <w:r w:rsidR="002B34D0" w:rsidRPr="00882F11">
        <w:rPr>
          <w:rFonts w:cs="Guttman Drogolin"/>
          <w:rtl/>
          <w:lang w:bidi="he-IL"/>
        </w:rPr>
        <w:t xml:space="preserve"> </w:t>
      </w:r>
      <w:r w:rsidR="002B34D0" w:rsidRPr="00882F11">
        <w:rPr>
          <w:rFonts w:cs="Guttman Drogolin" w:hint="cs"/>
          <w:rtl/>
          <w:lang w:bidi="he-IL"/>
        </w:rPr>
        <w:t>יש</w:t>
      </w:r>
      <w:r w:rsidR="002B34D0" w:rsidRPr="00882F11">
        <w:rPr>
          <w:rFonts w:cs="Guttman Drogolin"/>
          <w:rtl/>
          <w:lang w:bidi="he-IL"/>
        </w:rPr>
        <w:t xml:space="preserve"> </w:t>
      </w:r>
      <w:r w:rsidR="002B34D0" w:rsidRPr="00882F11">
        <w:rPr>
          <w:rFonts w:cs="Guttman Drogolin" w:hint="cs"/>
          <w:rtl/>
          <w:lang w:bidi="he-IL"/>
        </w:rPr>
        <w:t>ליזהר</w:t>
      </w:r>
      <w:r w:rsidR="002B34D0" w:rsidRPr="00882F11">
        <w:rPr>
          <w:rFonts w:cs="Guttman Drogolin"/>
          <w:rtl/>
          <w:lang w:bidi="he-IL"/>
        </w:rPr>
        <w:t xml:space="preserve"> </w:t>
      </w:r>
      <w:r w:rsidR="002B34D0" w:rsidRPr="00882F11">
        <w:rPr>
          <w:rFonts w:cs="Guttman Drogolin" w:hint="cs"/>
          <w:rtl/>
          <w:lang w:bidi="he-IL"/>
        </w:rPr>
        <w:t>שלא</w:t>
      </w:r>
      <w:r w:rsidR="002B34D0" w:rsidRPr="00882F11">
        <w:rPr>
          <w:rFonts w:cs="Guttman Drogolin"/>
          <w:rtl/>
          <w:lang w:bidi="he-IL"/>
        </w:rPr>
        <w:t xml:space="preserve"> </w:t>
      </w:r>
      <w:r w:rsidR="002B34D0" w:rsidRPr="00882F11">
        <w:rPr>
          <w:rFonts w:cs="Guttman Drogolin" w:hint="cs"/>
          <w:rtl/>
          <w:lang w:bidi="he-IL"/>
        </w:rPr>
        <w:t>לחתוך</w:t>
      </w:r>
      <w:r w:rsidR="002B34D0" w:rsidRPr="00882F11">
        <w:rPr>
          <w:rFonts w:cs="Guttman Drogolin"/>
          <w:rtl/>
          <w:lang w:bidi="he-IL"/>
        </w:rPr>
        <w:t xml:space="preserve"> </w:t>
      </w:r>
      <w:r w:rsidR="002B34D0" w:rsidRPr="00882F11">
        <w:rPr>
          <w:rFonts w:cs="Guttman Drogolin" w:hint="cs"/>
          <w:rtl/>
          <w:lang w:bidi="he-IL"/>
        </w:rPr>
        <w:t>הזנגביל</w:t>
      </w:r>
      <w:r w:rsidR="002B34D0" w:rsidRPr="00882F11">
        <w:rPr>
          <w:rFonts w:cs="Guttman Drogolin"/>
          <w:rtl/>
          <w:lang w:bidi="he-IL"/>
        </w:rPr>
        <w:t xml:space="preserve"> </w:t>
      </w:r>
      <w:r w:rsidR="002B34D0" w:rsidRPr="00882F11">
        <w:rPr>
          <w:rFonts w:cs="Guttman Drogolin" w:hint="cs"/>
          <w:rtl/>
          <w:lang w:bidi="he-IL"/>
        </w:rPr>
        <w:t>רק</w:t>
      </w:r>
      <w:r w:rsidR="002B34D0" w:rsidRPr="00882F11">
        <w:rPr>
          <w:rFonts w:cs="Guttman Drogolin"/>
          <w:rtl/>
          <w:lang w:bidi="he-IL"/>
        </w:rPr>
        <w:t xml:space="preserve"> </w:t>
      </w:r>
      <w:r w:rsidR="002B34D0" w:rsidRPr="00882F11">
        <w:rPr>
          <w:rFonts w:cs="Guttman Drogolin" w:hint="cs"/>
          <w:rtl/>
          <w:lang w:bidi="he-IL"/>
        </w:rPr>
        <w:t>בסכין</w:t>
      </w:r>
      <w:r w:rsidR="002B34D0" w:rsidRPr="00882F11">
        <w:rPr>
          <w:rFonts w:cs="Guttman Drogolin"/>
          <w:rtl/>
          <w:lang w:bidi="he-IL"/>
        </w:rPr>
        <w:t xml:space="preserve"> </w:t>
      </w:r>
      <w:r w:rsidR="002B34D0" w:rsidRPr="00882F11">
        <w:rPr>
          <w:rFonts w:cs="Guttman Drogolin" w:hint="cs"/>
          <w:rtl/>
          <w:lang w:bidi="he-IL"/>
        </w:rPr>
        <w:t xml:space="preserve">חדש". וכוונתו לפי מאי דמחמרינן דליתי' להיתירא דנ"ט בר נ"ט בדבר חריף, </w:t>
      </w:r>
      <w:r w:rsidR="009D2F6A" w:rsidRPr="00882F11">
        <w:rPr>
          <w:rFonts w:cs="Guttman Drogolin" w:hint="cs"/>
          <w:rtl/>
          <w:lang w:bidi="he-IL"/>
        </w:rPr>
        <w:t>לא</w:t>
      </w:r>
      <w:r w:rsidR="009D2F6A" w:rsidRPr="00882F11">
        <w:rPr>
          <w:rFonts w:cs="Guttman Drogolin"/>
          <w:rtl/>
          <w:lang w:bidi="he-IL"/>
        </w:rPr>
        <w:t xml:space="preserve"> </w:t>
      </w:r>
      <w:r w:rsidR="009D2F6A" w:rsidRPr="00882F11">
        <w:rPr>
          <w:rFonts w:cs="Guttman Drogolin" w:hint="cs"/>
          <w:rtl/>
          <w:lang w:bidi="he-IL"/>
        </w:rPr>
        <w:t>איכפת</w:t>
      </w:r>
      <w:r w:rsidR="009D2F6A" w:rsidRPr="00882F11">
        <w:rPr>
          <w:rFonts w:cs="Guttman Drogolin"/>
          <w:rtl/>
          <w:lang w:bidi="he-IL"/>
        </w:rPr>
        <w:t xml:space="preserve"> </w:t>
      </w:r>
      <w:r w:rsidR="009D2F6A" w:rsidRPr="00882F11">
        <w:rPr>
          <w:rFonts w:cs="Guttman Drogolin" w:hint="cs"/>
          <w:rtl/>
          <w:lang w:bidi="he-IL"/>
        </w:rPr>
        <w:t>לן</w:t>
      </w:r>
      <w:r w:rsidR="009D2F6A" w:rsidRPr="00882F11">
        <w:rPr>
          <w:rFonts w:cs="Guttman Drogolin"/>
          <w:rtl/>
          <w:lang w:bidi="he-IL"/>
        </w:rPr>
        <w:t xml:space="preserve"> </w:t>
      </w:r>
      <w:r w:rsidR="009D2F6A" w:rsidRPr="00882F11">
        <w:rPr>
          <w:rFonts w:cs="Guttman Drogolin" w:hint="cs"/>
          <w:rtl/>
          <w:lang w:bidi="he-IL"/>
        </w:rPr>
        <w:t>מה</w:t>
      </w:r>
      <w:r w:rsidR="009D2F6A" w:rsidRPr="00882F11">
        <w:rPr>
          <w:rFonts w:cs="Guttman Drogolin"/>
          <w:rtl/>
          <w:lang w:bidi="he-IL"/>
        </w:rPr>
        <w:t xml:space="preserve"> </w:t>
      </w:r>
      <w:r w:rsidR="009D2F6A" w:rsidRPr="00882F11">
        <w:rPr>
          <w:rFonts w:cs="Guttman Drogolin" w:hint="cs"/>
          <w:rtl/>
          <w:lang w:bidi="he-IL"/>
        </w:rPr>
        <w:t>שיש</w:t>
      </w:r>
      <w:r w:rsidR="009D2F6A" w:rsidRPr="00882F11">
        <w:rPr>
          <w:rFonts w:cs="Guttman Drogolin"/>
          <w:rtl/>
          <w:lang w:bidi="he-IL"/>
        </w:rPr>
        <w:t xml:space="preserve"> </w:t>
      </w:r>
      <w:r w:rsidR="009D2F6A" w:rsidRPr="00882F11">
        <w:rPr>
          <w:rFonts w:cs="Guttman Drogolin" w:hint="cs"/>
          <w:rtl/>
          <w:lang w:bidi="he-IL"/>
        </w:rPr>
        <w:t>כאן</w:t>
      </w:r>
      <w:r w:rsidR="009D2F6A" w:rsidRPr="00882F11">
        <w:rPr>
          <w:rFonts w:cs="Guttman Drogolin"/>
          <w:rtl/>
          <w:lang w:bidi="he-IL"/>
        </w:rPr>
        <w:t xml:space="preserve"> </w:t>
      </w:r>
      <w:r w:rsidR="009D2F6A" w:rsidRPr="00882F11">
        <w:rPr>
          <w:rFonts w:cs="Guttman Drogolin" w:hint="cs"/>
          <w:rtl/>
          <w:lang w:bidi="he-IL"/>
        </w:rPr>
        <w:t>נ</w:t>
      </w:r>
      <w:r w:rsidR="009D2F6A" w:rsidRPr="00882F11">
        <w:rPr>
          <w:rFonts w:cs="Guttman Drogolin"/>
          <w:rtl/>
          <w:lang w:bidi="he-IL"/>
        </w:rPr>
        <w:t>"</w:t>
      </w:r>
      <w:r w:rsidR="009D2F6A" w:rsidRPr="00882F11">
        <w:rPr>
          <w:rFonts w:cs="Guttman Drogolin" w:hint="cs"/>
          <w:rtl/>
          <w:lang w:bidi="he-IL"/>
        </w:rPr>
        <w:t>ט</w:t>
      </w:r>
      <w:r w:rsidR="009D2F6A" w:rsidRPr="00882F11">
        <w:rPr>
          <w:rFonts w:cs="Guttman Drogolin"/>
          <w:rtl/>
          <w:lang w:bidi="he-IL"/>
        </w:rPr>
        <w:t xml:space="preserve"> </w:t>
      </w:r>
      <w:r w:rsidR="009D2F6A" w:rsidRPr="00882F11">
        <w:rPr>
          <w:rFonts w:cs="Guttman Drogolin" w:hint="cs"/>
          <w:rtl/>
          <w:lang w:bidi="he-IL"/>
        </w:rPr>
        <w:t>בר</w:t>
      </w:r>
      <w:r w:rsidR="009D2F6A" w:rsidRPr="00882F11">
        <w:rPr>
          <w:rFonts w:cs="Guttman Drogolin"/>
          <w:rtl/>
          <w:lang w:bidi="he-IL"/>
        </w:rPr>
        <w:t xml:space="preserve"> </w:t>
      </w:r>
      <w:r w:rsidR="009D2F6A" w:rsidRPr="00882F11">
        <w:rPr>
          <w:rFonts w:cs="Guttman Drogolin" w:hint="cs"/>
          <w:rtl/>
          <w:lang w:bidi="he-IL"/>
        </w:rPr>
        <w:t>נ</w:t>
      </w:r>
      <w:r w:rsidR="009D2F6A" w:rsidRPr="00882F11">
        <w:rPr>
          <w:rFonts w:cs="Guttman Drogolin"/>
          <w:rtl/>
          <w:lang w:bidi="he-IL"/>
        </w:rPr>
        <w:t>"</w:t>
      </w:r>
      <w:r w:rsidR="009D2F6A" w:rsidRPr="00882F11">
        <w:rPr>
          <w:rFonts w:cs="Guttman Drogolin" w:hint="cs"/>
          <w:rtl/>
          <w:lang w:bidi="he-IL"/>
        </w:rPr>
        <w:t>ט</w:t>
      </w:r>
      <w:r w:rsidR="009D2F6A" w:rsidRPr="00882F11">
        <w:rPr>
          <w:rFonts w:cs="Guttman Drogolin"/>
          <w:rtl/>
          <w:lang w:bidi="he-IL"/>
        </w:rPr>
        <w:t xml:space="preserve"> </w:t>
      </w:r>
      <w:r w:rsidR="002B34D0" w:rsidRPr="00882F11">
        <w:rPr>
          <w:rFonts w:cs="Guttman Drogolin" w:hint="cs"/>
          <w:rtl/>
          <w:lang w:bidi="he-IL"/>
        </w:rPr>
        <w:t>אע"ג שלכאורה יש כאן כמה וכמה נ"ט, דהא מן הבשר לסכין, ומן הסכין לזנגביל, ומן הזנגביל למדוכה, ומן המדוכה לבשמים, ומן הבשמים לחלב, מ"מ הא ליתי' לדינא דנ"ט בר נ"ט בדבר חריף.</w:t>
      </w:r>
    </w:p>
    <w:p w:rsidR="00941075" w:rsidRPr="00882F11" w:rsidRDefault="002B34D0" w:rsidP="002B34D0">
      <w:pPr>
        <w:tabs>
          <w:tab w:val="right" w:pos="7497"/>
        </w:tabs>
        <w:bidi/>
        <w:jc w:val="both"/>
        <w:rPr>
          <w:rFonts w:cs="Guttman Drogolin"/>
          <w:rtl/>
          <w:lang w:bidi="he-IL"/>
        </w:rPr>
      </w:pPr>
      <w:r w:rsidRPr="00882F11">
        <w:rPr>
          <w:rFonts w:cs="Guttman Drogolin" w:hint="cs"/>
          <w:rtl/>
          <w:lang w:bidi="he-IL"/>
        </w:rPr>
        <w:t>ובאבן העוזר המובא בגליון השו"ע כאן (והמחצית השקל על המג"א הנ"ל מכנהו אבן העוזר המובא בבאר היטב) חלק על המג"</w:t>
      </w:r>
      <w:r w:rsidR="000A7F24" w:rsidRPr="00882F11">
        <w:rPr>
          <w:rFonts w:cs="Guttman Drogolin" w:hint="cs"/>
          <w:rtl/>
          <w:lang w:bidi="he-IL"/>
        </w:rPr>
        <w:t xml:space="preserve">א, וסבר דהחומרא שבדבר חריף ליתי' להיתירא דנ"ט בר נ"ט, אין זה אלא </w:t>
      </w:r>
      <w:r w:rsidR="00941075" w:rsidRPr="00882F11">
        <w:rPr>
          <w:rFonts w:cs="Guttman Drogolin" w:hint="cs"/>
          <w:rtl/>
          <w:lang w:bidi="he-IL"/>
        </w:rPr>
        <w:t xml:space="preserve">לענין מה שיש לדבר חריף כח לבלוע את כל הטעם מן הכלי, ולכן אינו נחשב כתוספת נ"ט בזה שעבר מן הכלי לדבר חריף, אבל אין לדבר חריף תכונה גם להבליע כל הטעם שבלע באופן שלא נשאר בה שום טעם והכל עבר לכלי השני. ולכן אם חתך צנון בסכין שיש בה טעם ושוב חתך הדבר חריף במידי אחרינא, אמרינן שעכ"פ הי' כאן נ"ט נוספת מזה שעבר מן הדבר חריף לכלי השני. </w:t>
      </w:r>
    </w:p>
    <w:p w:rsidR="005E7AD4" w:rsidRPr="00882F11" w:rsidRDefault="00941075" w:rsidP="005E7AD4">
      <w:pPr>
        <w:tabs>
          <w:tab w:val="right" w:pos="7497"/>
        </w:tabs>
        <w:bidi/>
        <w:jc w:val="both"/>
        <w:rPr>
          <w:rFonts w:cs="Guttman Drogolin"/>
          <w:rtl/>
          <w:lang w:bidi="he-IL"/>
        </w:rPr>
      </w:pPr>
      <w:r w:rsidRPr="00882F11">
        <w:rPr>
          <w:rFonts w:cs="Guttman Drogolin" w:hint="cs"/>
          <w:rtl/>
          <w:lang w:bidi="he-IL"/>
        </w:rPr>
        <w:t>וע"ש במחצית השקל שהעיר שלכאורה פלוגתת המג"א ואבן העוזר היא היא פלוגתת הש"ך בסי' קכ"ב ס"ק ב' ובנו שם בנקוה"כ. דז"ל הש"ך שם "ובד</w:t>
      </w:r>
      <w:r w:rsidRPr="00882F11">
        <w:rPr>
          <w:rFonts w:cs="Guttman Drogolin"/>
          <w:rtl/>
          <w:lang w:bidi="he-IL"/>
        </w:rPr>
        <w:t>"</w:t>
      </w:r>
      <w:r w:rsidRPr="00882F11">
        <w:rPr>
          <w:rFonts w:cs="Guttman Drogolin" w:hint="cs"/>
          <w:rtl/>
          <w:lang w:bidi="he-IL"/>
        </w:rPr>
        <w:t>מ</w:t>
      </w:r>
      <w:r w:rsidRPr="00882F11">
        <w:rPr>
          <w:rFonts w:cs="Guttman Drogolin"/>
          <w:rtl/>
          <w:lang w:bidi="he-IL"/>
        </w:rPr>
        <w:t xml:space="preserve"> </w:t>
      </w:r>
      <w:r w:rsidRPr="00882F11">
        <w:rPr>
          <w:rFonts w:cs="Guttman Drogolin" w:hint="cs"/>
          <w:rtl/>
          <w:lang w:bidi="he-IL"/>
        </w:rPr>
        <w:t>ובת</w:t>
      </w:r>
      <w:r w:rsidRPr="00882F11">
        <w:rPr>
          <w:rFonts w:cs="Guttman Drogolin"/>
          <w:rtl/>
          <w:lang w:bidi="he-IL"/>
        </w:rPr>
        <w:t>"</w:t>
      </w:r>
      <w:r w:rsidRPr="00882F11">
        <w:rPr>
          <w:rFonts w:cs="Guttman Drogolin" w:hint="cs"/>
          <w:rtl/>
          <w:lang w:bidi="he-IL"/>
        </w:rPr>
        <w:t>ח</w:t>
      </w:r>
      <w:r w:rsidRPr="00882F11">
        <w:rPr>
          <w:rFonts w:cs="Guttman Drogolin"/>
          <w:rtl/>
          <w:lang w:bidi="he-IL"/>
        </w:rPr>
        <w:t xml:space="preserve"> </w:t>
      </w:r>
      <w:r w:rsidRPr="00882F11">
        <w:rPr>
          <w:rFonts w:cs="Guttman Drogolin" w:hint="cs"/>
          <w:rtl/>
          <w:lang w:bidi="he-IL"/>
        </w:rPr>
        <w:t>כלל</w:t>
      </w:r>
      <w:r w:rsidRPr="00882F11">
        <w:rPr>
          <w:rFonts w:cs="Guttman Drogolin"/>
          <w:rtl/>
          <w:lang w:bidi="he-IL"/>
        </w:rPr>
        <w:t xml:space="preserve"> </w:t>
      </w:r>
      <w:r w:rsidRPr="00882F11">
        <w:rPr>
          <w:rFonts w:cs="Guttman Drogolin" w:hint="cs"/>
          <w:rtl/>
          <w:lang w:bidi="he-IL"/>
        </w:rPr>
        <w:t>ס</w:t>
      </w:r>
      <w:r w:rsidRPr="00882F11">
        <w:rPr>
          <w:rFonts w:cs="Guttman Drogolin"/>
          <w:rtl/>
          <w:lang w:bidi="he-IL"/>
        </w:rPr>
        <w:t>"</w:t>
      </w:r>
      <w:r w:rsidRPr="00882F11">
        <w:rPr>
          <w:rFonts w:cs="Guttman Drogolin" w:hint="cs"/>
          <w:rtl/>
          <w:lang w:bidi="he-IL"/>
        </w:rPr>
        <w:t>א</w:t>
      </w:r>
      <w:r w:rsidRPr="00882F11">
        <w:rPr>
          <w:rFonts w:cs="Guttman Drogolin"/>
          <w:rtl/>
          <w:lang w:bidi="he-IL"/>
        </w:rPr>
        <w:t xml:space="preserve"> </w:t>
      </w:r>
      <w:r w:rsidRPr="00882F11">
        <w:rPr>
          <w:rFonts w:cs="Guttman Drogolin" w:hint="cs"/>
          <w:rtl/>
          <w:lang w:bidi="he-IL"/>
        </w:rPr>
        <w:t>דין</w:t>
      </w:r>
      <w:r w:rsidRPr="00882F11">
        <w:rPr>
          <w:rFonts w:cs="Guttman Drogolin"/>
          <w:rtl/>
          <w:lang w:bidi="he-IL"/>
        </w:rPr>
        <w:t xml:space="preserve"> </w:t>
      </w:r>
      <w:r w:rsidRPr="00882F11">
        <w:rPr>
          <w:rFonts w:cs="Guttman Drogolin" w:hint="cs"/>
          <w:rtl/>
          <w:lang w:bidi="he-IL"/>
        </w:rPr>
        <w:t>י</w:t>
      </w:r>
      <w:r w:rsidRPr="00882F11">
        <w:rPr>
          <w:rFonts w:cs="Guttman Drogolin"/>
          <w:rtl/>
          <w:lang w:bidi="he-IL"/>
        </w:rPr>
        <w:t>"</w:t>
      </w:r>
      <w:r w:rsidRPr="00882F11">
        <w:rPr>
          <w:rFonts w:cs="Guttman Drogolin" w:hint="cs"/>
          <w:rtl/>
          <w:lang w:bidi="he-IL"/>
        </w:rPr>
        <w:t>ב</w:t>
      </w:r>
      <w:r w:rsidRPr="00882F11">
        <w:rPr>
          <w:rFonts w:cs="Guttman Drogolin"/>
          <w:rtl/>
          <w:lang w:bidi="he-IL"/>
        </w:rPr>
        <w:t xml:space="preserve"> </w:t>
      </w:r>
      <w:r w:rsidRPr="00882F11">
        <w:rPr>
          <w:rFonts w:cs="Guttman Drogolin" w:hint="cs"/>
          <w:rtl/>
          <w:lang w:bidi="he-IL"/>
        </w:rPr>
        <w:t>כתב</w:t>
      </w:r>
      <w:r w:rsidRPr="00882F11">
        <w:rPr>
          <w:rFonts w:cs="Guttman Drogolin"/>
          <w:rtl/>
          <w:lang w:bidi="he-IL"/>
        </w:rPr>
        <w:t xml:space="preserve"> </w:t>
      </w:r>
      <w:r w:rsidRPr="00882F11">
        <w:rPr>
          <w:rFonts w:cs="Guttman Drogolin" w:hint="cs"/>
          <w:rtl/>
          <w:lang w:bidi="he-IL"/>
        </w:rPr>
        <w:t>בשם</w:t>
      </w:r>
      <w:r w:rsidRPr="00882F11">
        <w:rPr>
          <w:rFonts w:cs="Guttman Drogolin"/>
          <w:rtl/>
          <w:lang w:bidi="he-IL"/>
        </w:rPr>
        <w:t xml:space="preserve"> </w:t>
      </w:r>
      <w:r w:rsidRPr="00882F11">
        <w:rPr>
          <w:rFonts w:cs="Guttman Drogolin" w:hint="cs"/>
          <w:rtl/>
          <w:lang w:bidi="he-IL"/>
        </w:rPr>
        <w:t>או</w:t>
      </w:r>
      <w:r w:rsidRPr="00882F11">
        <w:rPr>
          <w:rFonts w:cs="Guttman Drogolin"/>
          <w:rtl/>
          <w:lang w:bidi="he-IL"/>
        </w:rPr>
        <w:t>"</w:t>
      </w:r>
      <w:r w:rsidRPr="00882F11">
        <w:rPr>
          <w:rFonts w:cs="Guttman Drogolin" w:hint="cs"/>
          <w:rtl/>
          <w:lang w:bidi="he-IL"/>
        </w:rPr>
        <w:t>ה</w:t>
      </w:r>
      <w:r w:rsidRPr="00882F11">
        <w:rPr>
          <w:rFonts w:cs="Guttman Drogolin"/>
          <w:rtl/>
          <w:lang w:bidi="he-IL"/>
        </w:rPr>
        <w:t xml:space="preserve"> </w:t>
      </w:r>
      <w:r w:rsidRPr="00882F11">
        <w:rPr>
          <w:rFonts w:cs="Guttman Drogolin" w:hint="cs"/>
          <w:rtl/>
          <w:lang w:bidi="he-IL"/>
        </w:rPr>
        <w:t>דאם</w:t>
      </w:r>
      <w:r w:rsidRPr="00882F11">
        <w:rPr>
          <w:rFonts w:cs="Guttman Drogolin"/>
          <w:rtl/>
          <w:lang w:bidi="he-IL"/>
        </w:rPr>
        <w:t xml:space="preserve"> </w:t>
      </w:r>
      <w:r w:rsidRPr="00882F11">
        <w:rPr>
          <w:rFonts w:cs="Guttman Drogolin" w:hint="cs"/>
          <w:rtl/>
          <w:lang w:bidi="he-IL"/>
        </w:rPr>
        <w:t>בשלו</w:t>
      </w:r>
      <w:r w:rsidRPr="00882F11">
        <w:rPr>
          <w:rFonts w:cs="Guttman Drogolin"/>
          <w:rtl/>
          <w:lang w:bidi="he-IL"/>
        </w:rPr>
        <w:t xml:space="preserve"> </w:t>
      </w:r>
      <w:r w:rsidRPr="00882F11">
        <w:rPr>
          <w:rFonts w:cs="Guttman Drogolin" w:hint="cs"/>
          <w:rtl/>
          <w:lang w:bidi="he-IL"/>
        </w:rPr>
        <w:t>דבר</w:t>
      </w:r>
      <w:r w:rsidRPr="00882F11">
        <w:rPr>
          <w:rFonts w:cs="Guttman Drogolin"/>
          <w:rtl/>
          <w:lang w:bidi="he-IL"/>
        </w:rPr>
        <w:t xml:space="preserve"> </w:t>
      </w:r>
      <w:r w:rsidRPr="00882F11">
        <w:rPr>
          <w:rFonts w:cs="Guttman Drogolin" w:hint="cs"/>
          <w:rtl/>
          <w:lang w:bidi="he-IL"/>
        </w:rPr>
        <w:t>חריף</w:t>
      </w:r>
      <w:r w:rsidRPr="00882F11">
        <w:rPr>
          <w:rFonts w:cs="Guttman Drogolin"/>
          <w:rtl/>
          <w:lang w:bidi="he-IL"/>
        </w:rPr>
        <w:t xml:space="preserve"> </w:t>
      </w:r>
      <w:r w:rsidRPr="00882F11">
        <w:rPr>
          <w:rFonts w:cs="Guttman Drogolin" w:hint="cs"/>
          <w:rtl/>
          <w:lang w:bidi="he-IL"/>
        </w:rPr>
        <w:t>בקדירה</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בשר</w:t>
      </w:r>
      <w:r w:rsidRPr="00882F11">
        <w:rPr>
          <w:rFonts w:cs="Guttman Drogolin"/>
          <w:rtl/>
          <w:lang w:bidi="he-IL"/>
        </w:rPr>
        <w:t xml:space="preserve"> </w:t>
      </w:r>
      <w:r w:rsidRPr="00882F11">
        <w:rPr>
          <w:rFonts w:cs="Guttman Drogolin" w:hint="cs"/>
          <w:rtl/>
          <w:lang w:bidi="he-IL"/>
        </w:rPr>
        <w:t>שאינו</w:t>
      </w:r>
      <w:r w:rsidRPr="00882F11">
        <w:rPr>
          <w:rFonts w:cs="Guttman Drogolin"/>
          <w:rtl/>
          <w:lang w:bidi="he-IL"/>
        </w:rPr>
        <w:t xml:space="preserve"> </w:t>
      </w:r>
      <w:r w:rsidRPr="00882F11">
        <w:rPr>
          <w:rFonts w:cs="Guttman Drogolin" w:hint="cs"/>
          <w:rtl/>
          <w:lang w:bidi="he-IL"/>
        </w:rPr>
        <w:t>ב</w:t>
      </w:r>
      <w:r w:rsidRPr="00882F11">
        <w:rPr>
          <w:rFonts w:cs="Guttman Drogolin"/>
          <w:rtl/>
          <w:lang w:bidi="he-IL"/>
        </w:rPr>
        <w:t>"</w:t>
      </w:r>
      <w:r w:rsidRPr="00882F11">
        <w:rPr>
          <w:rFonts w:cs="Guttman Drogolin" w:hint="cs"/>
          <w:rtl/>
          <w:lang w:bidi="he-IL"/>
        </w:rPr>
        <w:t>י</w:t>
      </w:r>
      <w:r w:rsidRPr="00882F11">
        <w:rPr>
          <w:rFonts w:cs="Guttman Drogolin"/>
          <w:rtl/>
          <w:lang w:bidi="he-IL"/>
        </w:rPr>
        <w:t xml:space="preserve"> </w:t>
      </w:r>
      <w:r w:rsidRPr="00882F11">
        <w:rPr>
          <w:rFonts w:cs="Guttman Drogolin" w:hint="cs"/>
          <w:rtl/>
          <w:lang w:bidi="he-IL"/>
        </w:rPr>
        <w:t>ואח</w:t>
      </w:r>
      <w:r w:rsidRPr="00882F11">
        <w:rPr>
          <w:rFonts w:cs="Guttman Drogolin"/>
          <w:rtl/>
          <w:lang w:bidi="he-IL"/>
        </w:rPr>
        <w:t>"</w:t>
      </w:r>
      <w:r w:rsidRPr="00882F11">
        <w:rPr>
          <w:rFonts w:cs="Guttman Drogolin" w:hint="cs"/>
          <w:rtl/>
          <w:lang w:bidi="he-IL"/>
        </w:rPr>
        <w:t>כ</w:t>
      </w:r>
      <w:r w:rsidRPr="00882F11">
        <w:rPr>
          <w:rFonts w:cs="Guttman Drogolin"/>
          <w:rtl/>
          <w:lang w:bidi="he-IL"/>
        </w:rPr>
        <w:t xml:space="preserve"> </w:t>
      </w:r>
      <w:r w:rsidRPr="00882F11">
        <w:rPr>
          <w:rFonts w:cs="Guttman Drogolin" w:hint="cs"/>
          <w:rtl/>
          <w:lang w:bidi="he-IL"/>
        </w:rPr>
        <w:t>בשלו</w:t>
      </w:r>
      <w:r w:rsidRPr="00882F11">
        <w:rPr>
          <w:rFonts w:cs="Guttman Drogolin"/>
          <w:rtl/>
          <w:lang w:bidi="he-IL"/>
        </w:rPr>
        <w:t xml:space="preserve"> </w:t>
      </w:r>
      <w:r w:rsidRPr="00882F11">
        <w:rPr>
          <w:rFonts w:cs="Guttman Drogolin" w:hint="cs"/>
          <w:rtl/>
          <w:lang w:bidi="he-IL"/>
        </w:rPr>
        <w:t>בו</w:t>
      </w:r>
      <w:r w:rsidRPr="00882F11">
        <w:rPr>
          <w:rFonts w:cs="Guttman Drogolin"/>
          <w:rtl/>
          <w:lang w:bidi="he-IL"/>
        </w:rPr>
        <w:t xml:space="preserve"> </w:t>
      </w:r>
      <w:r w:rsidRPr="00882F11">
        <w:rPr>
          <w:rFonts w:cs="Guttman Drogolin" w:hint="cs"/>
          <w:rtl/>
          <w:lang w:bidi="he-IL"/>
        </w:rPr>
        <w:t>חלב</w:t>
      </w:r>
      <w:r w:rsidRPr="00882F11">
        <w:rPr>
          <w:rFonts w:cs="Guttman Drogolin"/>
          <w:rtl/>
          <w:lang w:bidi="he-IL"/>
        </w:rPr>
        <w:t xml:space="preserve"> (</w:t>
      </w:r>
      <w:r w:rsidRPr="00882F11">
        <w:rPr>
          <w:rFonts w:cs="Guttman Drogolin" w:hint="cs"/>
          <w:rtl/>
          <w:lang w:bidi="he-IL"/>
        </w:rPr>
        <w:t>אחר</w:t>
      </w:r>
      <w:r w:rsidRPr="00882F11">
        <w:rPr>
          <w:rFonts w:cs="Guttman Drogolin"/>
          <w:rtl/>
          <w:lang w:bidi="he-IL"/>
        </w:rPr>
        <w:t>) [</w:t>
      </w:r>
      <w:r w:rsidRPr="00882F11">
        <w:rPr>
          <w:rFonts w:cs="Guttman Drogolin" w:hint="cs"/>
          <w:rtl/>
          <w:lang w:bidi="he-IL"/>
        </w:rPr>
        <w:t>תוך</w:t>
      </w:r>
      <w:r w:rsidRPr="00882F11">
        <w:rPr>
          <w:rFonts w:cs="Guttman Drogolin"/>
          <w:rtl/>
          <w:lang w:bidi="he-IL"/>
        </w:rPr>
        <w:t xml:space="preserve">] </w:t>
      </w:r>
      <w:r w:rsidRPr="00882F11">
        <w:rPr>
          <w:rFonts w:cs="Guttman Drogolin" w:hint="cs"/>
          <w:rtl/>
          <w:lang w:bidi="he-IL"/>
        </w:rPr>
        <w:t>מע</w:t>
      </w:r>
      <w:r w:rsidRPr="00882F11">
        <w:rPr>
          <w:rFonts w:cs="Guttman Drogolin"/>
          <w:rtl/>
          <w:lang w:bidi="he-IL"/>
        </w:rPr>
        <w:t>"</w:t>
      </w:r>
      <w:r w:rsidRPr="00882F11">
        <w:rPr>
          <w:rFonts w:cs="Guttman Drogolin" w:hint="cs"/>
          <w:rtl/>
          <w:lang w:bidi="he-IL"/>
        </w:rPr>
        <w:t>ל</w:t>
      </w:r>
      <w:r w:rsidRPr="00882F11">
        <w:rPr>
          <w:rFonts w:cs="Guttman Drogolin"/>
          <w:rtl/>
          <w:lang w:bidi="he-IL"/>
        </w:rPr>
        <w:t xml:space="preserve"> </w:t>
      </w:r>
      <w:r w:rsidRPr="00882F11">
        <w:rPr>
          <w:rFonts w:cs="Guttman Drogolin" w:hint="cs"/>
          <w:rtl/>
          <w:lang w:bidi="he-IL"/>
        </w:rPr>
        <w:t>המאכל</w:t>
      </w:r>
      <w:r w:rsidRPr="00882F11">
        <w:rPr>
          <w:rFonts w:cs="Guttman Drogolin"/>
          <w:rtl/>
          <w:lang w:bidi="he-IL"/>
        </w:rPr>
        <w:t xml:space="preserve"> </w:t>
      </w:r>
      <w:r w:rsidRPr="00882F11">
        <w:rPr>
          <w:rFonts w:cs="Guttman Drogolin" w:hint="cs"/>
          <w:rtl/>
          <w:lang w:bidi="he-IL"/>
        </w:rPr>
        <w:t>מותר</w:t>
      </w:r>
      <w:r w:rsidRPr="00882F11">
        <w:rPr>
          <w:rFonts w:cs="Guttman Drogolin"/>
          <w:rtl/>
          <w:lang w:bidi="he-IL"/>
        </w:rPr>
        <w:t xml:space="preserve"> </w:t>
      </w:r>
      <w:r w:rsidRPr="00882F11">
        <w:rPr>
          <w:rFonts w:cs="Guttman Drogolin" w:hint="cs"/>
          <w:rtl/>
          <w:lang w:bidi="he-IL"/>
        </w:rPr>
        <w:t>ולא</w:t>
      </w:r>
      <w:r w:rsidRPr="00882F11">
        <w:rPr>
          <w:rFonts w:cs="Guttman Drogolin"/>
          <w:rtl/>
          <w:lang w:bidi="he-IL"/>
        </w:rPr>
        <w:t xml:space="preserve"> </w:t>
      </w:r>
      <w:r w:rsidRPr="00882F11">
        <w:rPr>
          <w:rFonts w:cs="Guttman Drogolin" w:hint="cs"/>
          <w:rtl/>
          <w:lang w:bidi="he-IL"/>
        </w:rPr>
        <w:t>אמרינן</w:t>
      </w:r>
      <w:r w:rsidRPr="00882F11">
        <w:rPr>
          <w:rFonts w:cs="Guttman Drogolin"/>
          <w:rtl/>
          <w:lang w:bidi="he-IL"/>
        </w:rPr>
        <w:t xml:space="preserve"> </w:t>
      </w:r>
      <w:r w:rsidRPr="00882F11">
        <w:rPr>
          <w:rFonts w:cs="Guttman Drogolin" w:hint="cs"/>
          <w:rtl/>
          <w:lang w:bidi="he-IL"/>
        </w:rPr>
        <w:t>החריפות</w:t>
      </w:r>
      <w:r w:rsidRPr="00882F11">
        <w:rPr>
          <w:rFonts w:cs="Guttman Drogolin"/>
          <w:rtl/>
          <w:lang w:bidi="he-IL"/>
        </w:rPr>
        <w:t xml:space="preserve"> </w:t>
      </w:r>
      <w:r w:rsidRPr="00882F11">
        <w:rPr>
          <w:rFonts w:cs="Guttman Drogolin" w:hint="cs"/>
          <w:rtl/>
          <w:lang w:bidi="he-IL"/>
        </w:rPr>
        <w:t>שבקדירה</w:t>
      </w:r>
      <w:r w:rsidRPr="00882F11">
        <w:rPr>
          <w:rFonts w:cs="Guttman Drogolin"/>
          <w:rtl/>
          <w:lang w:bidi="he-IL"/>
        </w:rPr>
        <w:t xml:space="preserve"> </w:t>
      </w:r>
      <w:r w:rsidRPr="00882F11">
        <w:rPr>
          <w:rFonts w:cs="Guttman Drogolin" w:hint="cs"/>
          <w:rtl/>
          <w:lang w:bidi="he-IL"/>
        </w:rPr>
        <w:t>עושה</w:t>
      </w:r>
      <w:r w:rsidRPr="00882F11">
        <w:rPr>
          <w:rFonts w:cs="Guttman Drogolin"/>
          <w:rtl/>
          <w:lang w:bidi="he-IL"/>
        </w:rPr>
        <w:t xml:space="preserve"> </w:t>
      </w:r>
      <w:r w:rsidRPr="00882F11">
        <w:rPr>
          <w:rFonts w:cs="Guttman Drogolin" w:hint="cs"/>
          <w:rtl/>
          <w:lang w:bidi="he-IL"/>
        </w:rPr>
        <w:t>שמפליט</w:t>
      </w:r>
      <w:r w:rsidRPr="00882F11">
        <w:rPr>
          <w:rFonts w:cs="Guttman Drogolin"/>
          <w:rtl/>
          <w:lang w:bidi="he-IL"/>
        </w:rPr>
        <w:t xml:space="preserve"> </w:t>
      </w:r>
      <w:r w:rsidRPr="00882F11">
        <w:rPr>
          <w:rFonts w:cs="Guttman Drogolin" w:hint="cs"/>
          <w:rtl/>
          <w:lang w:bidi="he-IL"/>
        </w:rPr>
        <w:t>עכשיו</w:t>
      </w:r>
      <w:r w:rsidRPr="00882F11">
        <w:rPr>
          <w:rFonts w:cs="Guttman Drogolin"/>
          <w:rtl/>
          <w:lang w:bidi="he-IL"/>
        </w:rPr>
        <w:t xml:space="preserve"> </w:t>
      </w:r>
      <w:r w:rsidRPr="00882F11">
        <w:rPr>
          <w:rFonts w:cs="Guttman Drogolin" w:hint="cs"/>
          <w:rtl/>
          <w:lang w:bidi="he-IL"/>
        </w:rPr>
        <w:t>לשבח</w:t>
      </w:r>
      <w:r w:rsidRPr="00882F11">
        <w:rPr>
          <w:rFonts w:cs="Guttman Drogolin"/>
          <w:rtl/>
          <w:lang w:bidi="he-IL"/>
        </w:rPr>
        <w:t xml:space="preserve"> </w:t>
      </w:r>
      <w:r w:rsidRPr="00882F11">
        <w:rPr>
          <w:rFonts w:cs="Guttman Drogolin" w:hint="cs"/>
          <w:rtl/>
          <w:lang w:bidi="he-IL"/>
        </w:rPr>
        <w:t>ע</w:t>
      </w:r>
      <w:r w:rsidRPr="00882F11">
        <w:rPr>
          <w:rFonts w:cs="Guttman Drogolin"/>
          <w:rtl/>
          <w:lang w:bidi="he-IL"/>
        </w:rPr>
        <w:t>"</w:t>
      </w:r>
      <w:r w:rsidRPr="00882F11">
        <w:rPr>
          <w:rFonts w:cs="Guttman Drogolin" w:hint="cs"/>
          <w:rtl/>
          <w:lang w:bidi="he-IL"/>
        </w:rPr>
        <w:t>כ</w:t>
      </w:r>
      <w:r w:rsidRPr="00882F11">
        <w:rPr>
          <w:rFonts w:cs="Guttman Drogolin"/>
          <w:rtl/>
          <w:lang w:bidi="he-IL"/>
        </w:rPr>
        <w:t xml:space="preserve"> </w:t>
      </w:r>
      <w:r w:rsidRPr="00882F11">
        <w:rPr>
          <w:rFonts w:cs="Guttman Drogolin" w:hint="cs"/>
          <w:rtl/>
          <w:lang w:bidi="he-IL"/>
        </w:rPr>
        <w:t>וה</w:t>
      </w:r>
      <w:r w:rsidRPr="00882F11">
        <w:rPr>
          <w:rFonts w:cs="Guttman Drogolin"/>
          <w:rtl/>
          <w:lang w:bidi="he-IL"/>
        </w:rPr>
        <w:t>"</w:t>
      </w:r>
      <w:r w:rsidRPr="00882F11">
        <w:rPr>
          <w:rFonts w:cs="Guttman Drogolin" w:hint="cs"/>
          <w:rtl/>
          <w:lang w:bidi="he-IL"/>
        </w:rPr>
        <w:t>ה</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בישל</w:t>
      </w:r>
      <w:r w:rsidRPr="00882F11">
        <w:rPr>
          <w:rFonts w:cs="Guttman Drogolin"/>
          <w:rtl/>
          <w:lang w:bidi="he-IL"/>
        </w:rPr>
        <w:t xml:space="preserve"> </w:t>
      </w:r>
      <w:r w:rsidRPr="00882F11">
        <w:rPr>
          <w:rFonts w:cs="Guttman Drogolin" w:hint="cs"/>
          <w:rtl/>
          <w:lang w:bidi="he-IL"/>
        </w:rPr>
        <w:t>דבר</w:t>
      </w:r>
      <w:r w:rsidRPr="00882F11">
        <w:rPr>
          <w:rFonts w:cs="Guttman Drogolin"/>
          <w:rtl/>
          <w:lang w:bidi="he-IL"/>
        </w:rPr>
        <w:t xml:space="preserve"> </w:t>
      </w:r>
      <w:r w:rsidRPr="00882F11">
        <w:rPr>
          <w:rFonts w:cs="Guttman Drogolin" w:hint="cs"/>
          <w:rtl/>
          <w:lang w:bidi="he-IL"/>
        </w:rPr>
        <w:t>חריף</w:t>
      </w:r>
      <w:r w:rsidRPr="00882F11">
        <w:rPr>
          <w:rFonts w:cs="Guttman Drogolin"/>
          <w:rtl/>
          <w:lang w:bidi="he-IL"/>
        </w:rPr>
        <w:t xml:space="preserve"> </w:t>
      </w:r>
      <w:r w:rsidRPr="00882F11">
        <w:rPr>
          <w:rFonts w:cs="Guttman Drogolin" w:hint="cs"/>
          <w:rtl/>
          <w:lang w:bidi="he-IL"/>
        </w:rPr>
        <w:t>בקדירה</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איסור</w:t>
      </w:r>
      <w:r w:rsidRPr="00882F11">
        <w:rPr>
          <w:rFonts w:cs="Guttman Drogolin"/>
          <w:rtl/>
          <w:lang w:bidi="he-IL"/>
        </w:rPr>
        <w:t xml:space="preserve"> </w:t>
      </w:r>
      <w:r w:rsidRPr="00882F11">
        <w:rPr>
          <w:rFonts w:cs="Guttman Drogolin" w:hint="cs"/>
          <w:rtl/>
          <w:lang w:bidi="he-IL"/>
        </w:rPr>
        <w:t>שאינו</w:t>
      </w:r>
      <w:r w:rsidRPr="00882F11">
        <w:rPr>
          <w:rFonts w:cs="Guttman Drogolin"/>
          <w:rtl/>
          <w:lang w:bidi="he-IL"/>
        </w:rPr>
        <w:t xml:space="preserve"> </w:t>
      </w:r>
      <w:r w:rsidRPr="00882F11">
        <w:rPr>
          <w:rFonts w:cs="Guttman Drogolin" w:hint="cs"/>
          <w:rtl/>
          <w:lang w:bidi="he-IL"/>
        </w:rPr>
        <w:t>ב</w:t>
      </w:r>
      <w:r w:rsidRPr="00882F11">
        <w:rPr>
          <w:rFonts w:cs="Guttman Drogolin"/>
          <w:rtl/>
          <w:lang w:bidi="he-IL"/>
        </w:rPr>
        <w:t>"</w:t>
      </w:r>
      <w:r w:rsidRPr="00882F11">
        <w:rPr>
          <w:rFonts w:cs="Guttman Drogolin" w:hint="cs"/>
          <w:rtl/>
          <w:lang w:bidi="he-IL"/>
        </w:rPr>
        <w:t>י</w:t>
      </w:r>
      <w:r w:rsidRPr="00882F11">
        <w:rPr>
          <w:rFonts w:cs="Guttman Drogolin"/>
          <w:rtl/>
          <w:lang w:bidi="he-IL"/>
        </w:rPr>
        <w:t xml:space="preserve"> </w:t>
      </w:r>
      <w:r w:rsidRPr="00882F11">
        <w:rPr>
          <w:rFonts w:cs="Guttman Drogolin" w:hint="cs"/>
          <w:rtl/>
          <w:lang w:bidi="he-IL"/>
        </w:rPr>
        <w:t>ואח</w:t>
      </w:r>
      <w:r w:rsidRPr="00882F11">
        <w:rPr>
          <w:rFonts w:cs="Guttman Drogolin"/>
          <w:rtl/>
          <w:lang w:bidi="he-IL"/>
        </w:rPr>
        <w:t>"</w:t>
      </w:r>
      <w:r w:rsidRPr="00882F11">
        <w:rPr>
          <w:rFonts w:cs="Guttman Drogolin" w:hint="cs"/>
          <w:rtl/>
          <w:lang w:bidi="he-IL"/>
        </w:rPr>
        <w:t>כ</w:t>
      </w:r>
      <w:r w:rsidRPr="00882F11">
        <w:rPr>
          <w:rFonts w:cs="Guttman Drogolin"/>
          <w:rtl/>
          <w:lang w:bidi="he-IL"/>
        </w:rPr>
        <w:t xml:space="preserve"> </w:t>
      </w:r>
      <w:r w:rsidRPr="00882F11">
        <w:rPr>
          <w:rFonts w:cs="Guttman Drogolin" w:hint="cs"/>
          <w:rtl/>
          <w:lang w:bidi="he-IL"/>
        </w:rPr>
        <w:t>שהה</w:t>
      </w:r>
      <w:r w:rsidRPr="00882F11">
        <w:rPr>
          <w:rFonts w:cs="Guttman Drogolin"/>
          <w:rtl/>
          <w:lang w:bidi="he-IL"/>
        </w:rPr>
        <w:t xml:space="preserve"> </w:t>
      </w:r>
      <w:r w:rsidRPr="00882F11">
        <w:rPr>
          <w:rFonts w:cs="Guttman Drogolin" w:hint="cs"/>
          <w:rtl/>
          <w:lang w:bidi="he-IL"/>
        </w:rPr>
        <w:t>מע</w:t>
      </w:r>
      <w:r w:rsidRPr="00882F11">
        <w:rPr>
          <w:rFonts w:cs="Guttman Drogolin"/>
          <w:rtl/>
          <w:lang w:bidi="he-IL"/>
        </w:rPr>
        <w:t>"</w:t>
      </w:r>
      <w:r w:rsidRPr="00882F11">
        <w:rPr>
          <w:rFonts w:cs="Guttman Drogolin" w:hint="cs"/>
          <w:rtl/>
          <w:lang w:bidi="he-IL"/>
        </w:rPr>
        <w:t>ל</w:t>
      </w:r>
      <w:r w:rsidRPr="00882F11">
        <w:rPr>
          <w:rFonts w:cs="Guttman Drogolin"/>
          <w:rtl/>
          <w:lang w:bidi="he-IL"/>
        </w:rPr>
        <w:t xml:space="preserve"> </w:t>
      </w:r>
      <w:r w:rsidRPr="00882F11">
        <w:rPr>
          <w:rFonts w:cs="Guttman Drogolin" w:hint="cs"/>
          <w:rtl/>
          <w:lang w:bidi="he-IL"/>
        </w:rPr>
        <w:t>משנתבשל</w:t>
      </w:r>
      <w:r w:rsidRPr="00882F11">
        <w:rPr>
          <w:rFonts w:cs="Guttman Drogolin"/>
          <w:rtl/>
          <w:lang w:bidi="he-IL"/>
        </w:rPr>
        <w:t xml:space="preserve"> </w:t>
      </w:r>
      <w:r w:rsidRPr="00882F11">
        <w:rPr>
          <w:rFonts w:cs="Guttman Drogolin" w:hint="cs"/>
          <w:rtl/>
          <w:lang w:bidi="he-IL"/>
        </w:rPr>
        <w:t>בו</w:t>
      </w:r>
      <w:r w:rsidRPr="00882F11">
        <w:rPr>
          <w:rFonts w:cs="Guttman Drogolin"/>
          <w:rtl/>
          <w:lang w:bidi="he-IL"/>
        </w:rPr>
        <w:t xml:space="preserve"> </w:t>
      </w:r>
      <w:r w:rsidRPr="00882F11">
        <w:rPr>
          <w:rFonts w:cs="Guttman Drogolin" w:hint="cs"/>
          <w:rtl/>
          <w:lang w:bidi="he-IL"/>
        </w:rPr>
        <w:t>הדבר</w:t>
      </w:r>
      <w:r w:rsidRPr="00882F11">
        <w:rPr>
          <w:rFonts w:cs="Guttman Drogolin"/>
          <w:rtl/>
          <w:lang w:bidi="he-IL"/>
        </w:rPr>
        <w:t xml:space="preserve"> </w:t>
      </w:r>
      <w:r w:rsidRPr="00882F11">
        <w:rPr>
          <w:rFonts w:cs="Guttman Drogolin" w:hint="cs"/>
          <w:rtl/>
          <w:lang w:bidi="he-IL"/>
        </w:rPr>
        <w:t>חריף</w:t>
      </w:r>
      <w:r w:rsidRPr="00882F11">
        <w:rPr>
          <w:rFonts w:cs="Guttman Drogolin"/>
          <w:rtl/>
          <w:lang w:bidi="he-IL"/>
        </w:rPr>
        <w:t xml:space="preserve"> </w:t>
      </w:r>
      <w:r w:rsidRPr="00882F11">
        <w:rPr>
          <w:rFonts w:cs="Guttman Drogolin" w:hint="cs"/>
          <w:rtl/>
          <w:lang w:bidi="he-IL"/>
        </w:rPr>
        <w:t>מותר</w:t>
      </w:r>
      <w:r w:rsidRPr="00882F11">
        <w:rPr>
          <w:rFonts w:cs="Guttman Drogolin"/>
          <w:rtl/>
          <w:lang w:bidi="he-IL"/>
        </w:rPr>
        <w:t xml:space="preserve"> </w:t>
      </w:r>
      <w:r w:rsidRPr="00882F11">
        <w:rPr>
          <w:rFonts w:cs="Guttman Drogolin" w:hint="cs"/>
          <w:rtl/>
          <w:lang w:bidi="he-IL"/>
        </w:rPr>
        <w:t>וכן</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בישל</w:t>
      </w:r>
      <w:r w:rsidRPr="00882F11">
        <w:rPr>
          <w:rFonts w:cs="Guttman Drogolin"/>
          <w:rtl/>
          <w:lang w:bidi="he-IL"/>
        </w:rPr>
        <w:t xml:space="preserve"> </w:t>
      </w:r>
      <w:r w:rsidRPr="00882F11">
        <w:rPr>
          <w:rFonts w:cs="Guttman Drogolin" w:hint="cs"/>
          <w:rtl/>
          <w:lang w:bidi="he-IL"/>
        </w:rPr>
        <w:t>דבר</w:t>
      </w:r>
      <w:r w:rsidRPr="00882F11">
        <w:rPr>
          <w:rFonts w:cs="Guttman Drogolin"/>
          <w:rtl/>
          <w:lang w:bidi="he-IL"/>
        </w:rPr>
        <w:t xml:space="preserve"> </w:t>
      </w:r>
      <w:r w:rsidRPr="00882F11">
        <w:rPr>
          <w:rFonts w:cs="Guttman Drogolin" w:hint="cs"/>
          <w:rtl/>
          <w:lang w:bidi="he-IL"/>
        </w:rPr>
        <w:t>חריף</w:t>
      </w:r>
      <w:r w:rsidRPr="00882F11">
        <w:rPr>
          <w:rFonts w:cs="Guttman Drogolin"/>
          <w:rtl/>
          <w:lang w:bidi="he-IL"/>
        </w:rPr>
        <w:t xml:space="preserve"> </w:t>
      </w:r>
      <w:r w:rsidRPr="00882F11">
        <w:rPr>
          <w:rFonts w:cs="Guttman Drogolin" w:hint="cs"/>
          <w:rtl/>
          <w:lang w:bidi="he-IL"/>
        </w:rPr>
        <w:t>בקדרה</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בשר</w:t>
      </w:r>
      <w:r w:rsidRPr="00882F11">
        <w:rPr>
          <w:rFonts w:cs="Guttman Drogolin"/>
          <w:rtl/>
          <w:lang w:bidi="he-IL"/>
        </w:rPr>
        <w:t xml:space="preserve"> </w:t>
      </w:r>
      <w:r w:rsidRPr="00882F11">
        <w:rPr>
          <w:rFonts w:cs="Guttman Drogolin" w:hint="cs"/>
          <w:rtl/>
          <w:lang w:bidi="he-IL"/>
        </w:rPr>
        <w:t>ב</w:t>
      </w:r>
      <w:r w:rsidRPr="00882F11">
        <w:rPr>
          <w:rFonts w:cs="Guttman Drogolin"/>
          <w:rtl/>
          <w:lang w:bidi="he-IL"/>
        </w:rPr>
        <w:t>"</w:t>
      </w:r>
      <w:r w:rsidRPr="00882F11">
        <w:rPr>
          <w:rFonts w:cs="Guttman Drogolin" w:hint="cs"/>
          <w:rtl/>
          <w:lang w:bidi="he-IL"/>
        </w:rPr>
        <w:t>י</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בישלו</w:t>
      </w:r>
      <w:r w:rsidRPr="00882F11">
        <w:rPr>
          <w:rFonts w:cs="Guttman Drogolin"/>
          <w:rtl/>
          <w:lang w:bidi="he-IL"/>
        </w:rPr>
        <w:t xml:space="preserve"> </w:t>
      </w:r>
      <w:r w:rsidRPr="00882F11">
        <w:rPr>
          <w:rFonts w:cs="Guttman Drogolin" w:hint="cs"/>
          <w:rtl/>
          <w:lang w:bidi="he-IL"/>
        </w:rPr>
        <w:t>בו</w:t>
      </w:r>
      <w:r w:rsidRPr="00882F11">
        <w:rPr>
          <w:rFonts w:cs="Guttman Drogolin"/>
          <w:rtl/>
          <w:lang w:bidi="he-IL"/>
        </w:rPr>
        <w:t xml:space="preserve"> </w:t>
      </w:r>
      <w:r w:rsidRPr="00882F11">
        <w:rPr>
          <w:rFonts w:cs="Guttman Drogolin" w:hint="cs"/>
          <w:rtl/>
          <w:lang w:bidi="he-IL"/>
        </w:rPr>
        <w:t>אחר</w:t>
      </w:r>
      <w:r w:rsidRPr="00882F11">
        <w:rPr>
          <w:rFonts w:cs="Guttman Drogolin"/>
          <w:rtl/>
          <w:lang w:bidi="he-IL"/>
        </w:rPr>
        <w:t xml:space="preserve"> (</w:t>
      </w:r>
      <w:r w:rsidRPr="00882F11">
        <w:rPr>
          <w:rFonts w:cs="Guttman Drogolin" w:hint="cs"/>
          <w:rtl/>
          <w:lang w:bidi="he-IL"/>
        </w:rPr>
        <w:t>כך</w:t>
      </w:r>
      <w:r w:rsidRPr="00882F11">
        <w:rPr>
          <w:rFonts w:cs="Guttman Drogolin"/>
          <w:rtl/>
          <w:lang w:bidi="he-IL"/>
        </w:rPr>
        <w:t xml:space="preserve">) </w:t>
      </w:r>
      <w:r w:rsidRPr="00882F11">
        <w:rPr>
          <w:rFonts w:cs="Guttman Drogolin" w:hint="cs"/>
          <w:rtl/>
          <w:lang w:bidi="he-IL"/>
        </w:rPr>
        <w:t>מע</w:t>
      </w:r>
      <w:r w:rsidRPr="00882F11">
        <w:rPr>
          <w:rFonts w:cs="Guttman Drogolin"/>
          <w:rtl/>
          <w:lang w:bidi="he-IL"/>
        </w:rPr>
        <w:t>"</w:t>
      </w:r>
      <w:r w:rsidRPr="00882F11">
        <w:rPr>
          <w:rFonts w:cs="Guttman Drogolin" w:hint="cs"/>
          <w:rtl/>
          <w:lang w:bidi="he-IL"/>
        </w:rPr>
        <w:t>ל</w:t>
      </w:r>
      <w:r w:rsidRPr="00882F11">
        <w:rPr>
          <w:rFonts w:cs="Guttman Drogolin"/>
          <w:rtl/>
          <w:lang w:bidi="he-IL"/>
        </w:rPr>
        <w:t xml:space="preserve"> </w:t>
      </w:r>
      <w:r w:rsidRPr="00882F11">
        <w:rPr>
          <w:rFonts w:cs="Guttman Drogolin" w:hint="cs"/>
          <w:rtl/>
          <w:lang w:bidi="he-IL"/>
        </w:rPr>
        <w:t>שנתבשל</w:t>
      </w:r>
      <w:r w:rsidRPr="00882F11">
        <w:rPr>
          <w:rFonts w:cs="Guttman Drogolin"/>
          <w:rtl/>
          <w:lang w:bidi="he-IL"/>
        </w:rPr>
        <w:t xml:space="preserve"> </w:t>
      </w:r>
      <w:r w:rsidRPr="00882F11">
        <w:rPr>
          <w:rFonts w:cs="Guttman Drogolin" w:hint="cs"/>
          <w:rtl/>
          <w:lang w:bidi="he-IL"/>
        </w:rPr>
        <w:t>בו</w:t>
      </w:r>
      <w:r w:rsidRPr="00882F11">
        <w:rPr>
          <w:rFonts w:cs="Guttman Drogolin"/>
          <w:rtl/>
          <w:lang w:bidi="he-IL"/>
        </w:rPr>
        <w:t xml:space="preserve"> </w:t>
      </w:r>
      <w:r w:rsidRPr="00882F11">
        <w:rPr>
          <w:rFonts w:cs="Guttman Drogolin" w:hint="cs"/>
          <w:rtl/>
          <w:lang w:bidi="he-IL"/>
        </w:rPr>
        <w:t>הבשר</w:t>
      </w:r>
      <w:r w:rsidRPr="00882F11">
        <w:rPr>
          <w:rFonts w:cs="Guttman Drogolin"/>
          <w:rtl/>
          <w:lang w:bidi="he-IL"/>
        </w:rPr>
        <w:t xml:space="preserve"> </w:t>
      </w:r>
      <w:r w:rsidRPr="00882F11">
        <w:rPr>
          <w:rFonts w:cs="Guttman Drogolin" w:hint="cs"/>
          <w:rtl/>
          <w:lang w:bidi="he-IL"/>
        </w:rPr>
        <w:t>אף</w:t>
      </w:r>
      <w:r w:rsidRPr="00882F11">
        <w:rPr>
          <w:rFonts w:cs="Guttman Drogolin"/>
          <w:rtl/>
          <w:lang w:bidi="he-IL"/>
        </w:rPr>
        <w:t xml:space="preserve"> </w:t>
      </w:r>
      <w:r w:rsidRPr="00882F11">
        <w:rPr>
          <w:rFonts w:cs="Guttman Drogolin" w:hint="cs"/>
          <w:rtl/>
          <w:lang w:bidi="he-IL"/>
        </w:rPr>
        <w:t>על</w:t>
      </w:r>
      <w:r w:rsidRPr="00882F11">
        <w:rPr>
          <w:rFonts w:cs="Guttman Drogolin"/>
          <w:rtl/>
          <w:lang w:bidi="he-IL"/>
        </w:rPr>
        <w:t xml:space="preserve"> </w:t>
      </w:r>
      <w:r w:rsidRPr="00882F11">
        <w:rPr>
          <w:rFonts w:cs="Guttman Drogolin" w:hint="cs"/>
          <w:rtl/>
          <w:lang w:bidi="he-IL"/>
        </w:rPr>
        <w:t>פי</w:t>
      </w:r>
      <w:r w:rsidRPr="00882F11">
        <w:rPr>
          <w:rFonts w:cs="Guttman Drogolin"/>
          <w:rtl/>
          <w:lang w:bidi="he-IL"/>
        </w:rPr>
        <w:t xml:space="preserve"> </w:t>
      </w:r>
      <w:r w:rsidRPr="00882F11">
        <w:rPr>
          <w:rFonts w:cs="Guttman Drogolin" w:hint="cs"/>
          <w:rtl/>
          <w:lang w:bidi="he-IL"/>
        </w:rPr>
        <w:t>שאינו</w:t>
      </w:r>
      <w:r w:rsidRPr="00882F11">
        <w:rPr>
          <w:rFonts w:cs="Guttman Drogolin"/>
          <w:rtl/>
          <w:lang w:bidi="he-IL"/>
        </w:rPr>
        <w:t xml:space="preserve"> </w:t>
      </w:r>
      <w:r w:rsidRPr="00882F11">
        <w:rPr>
          <w:rFonts w:cs="Guttman Drogolin" w:hint="cs"/>
          <w:rtl/>
          <w:lang w:bidi="he-IL"/>
        </w:rPr>
        <w:t>מעת</w:t>
      </w:r>
      <w:r w:rsidRPr="00882F11">
        <w:rPr>
          <w:rFonts w:cs="Guttman Drogolin"/>
          <w:rtl/>
          <w:lang w:bidi="he-IL"/>
        </w:rPr>
        <w:t xml:space="preserve"> </w:t>
      </w:r>
      <w:r w:rsidRPr="00882F11">
        <w:rPr>
          <w:rFonts w:cs="Guttman Drogolin" w:hint="cs"/>
          <w:rtl/>
          <w:lang w:bidi="he-IL"/>
        </w:rPr>
        <w:t>לעת</w:t>
      </w:r>
      <w:r w:rsidRPr="00882F11">
        <w:rPr>
          <w:rFonts w:cs="Guttman Drogolin"/>
          <w:rtl/>
          <w:lang w:bidi="he-IL"/>
        </w:rPr>
        <w:t xml:space="preserve"> </w:t>
      </w:r>
      <w:r w:rsidRPr="00882F11">
        <w:rPr>
          <w:rFonts w:cs="Guttman Drogolin" w:hint="cs"/>
          <w:rtl/>
          <w:lang w:bidi="he-IL"/>
        </w:rPr>
        <w:t>משנתבשל</w:t>
      </w:r>
      <w:r w:rsidRPr="00882F11">
        <w:rPr>
          <w:rFonts w:cs="Guttman Drogolin"/>
          <w:rtl/>
          <w:lang w:bidi="he-IL"/>
        </w:rPr>
        <w:t xml:space="preserve"> </w:t>
      </w:r>
      <w:r w:rsidRPr="00882F11">
        <w:rPr>
          <w:rFonts w:cs="Guttman Drogolin" w:hint="cs"/>
          <w:rtl/>
          <w:lang w:bidi="he-IL"/>
        </w:rPr>
        <w:t>בו</w:t>
      </w:r>
      <w:r w:rsidRPr="00882F11">
        <w:rPr>
          <w:rFonts w:cs="Guttman Drogolin"/>
          <w:rtl/>
          <w:lang w:bidi="he-IL"/>
        </w:rPr>
        <w:t xml:space="preserve"> </w:t>
      </w:r>
      <w:r w:rsidRPr="00882F11">
        <w:rPr>
          <w:rFonts w:cs="Guttman Drogolin" w:hint="cs"/>
          <w:rtl/>
          <w:lang w:bidi="he-IL"/>
        </w:rPr>
        <w:t>הדבר</w:t>
      </w:r>
      <w:r w:rsidRPr="00882F11">
        <w:rPr>
          <w:rFonts w:cs="Guttman Drogolin"/>
          <w:rtl/>
          <w:lang w:bidi="he-IL"/>
        </w:rPr>
        <w:t xml:space="preserve"> </w:t>
      </w:r>
      <w:r w:rsidRPr="00882F11">
        <w:rPr>
          <w:rFonts w:cs="Guttman Drogolin" w:hint="cs"/>
          <w:rtl/>
          <w:lang w:bidi="he-IL"/>
        </w:rPr>
        <w:t>חריף</w:t>
      </w:r>
      <w:r w:rsidRPr="00882F11">
        <w:rPr>
          <w:rFonts w:cs="Guttman Drogolin"/>
          <w:rtl/>
          <w:lang w:bidi="he-IL"/>
        </w:rPr>
        <w:t xml:space="preserve"> </w:t>
      </w:r>
      <w:r w:rsidRPr="00882F11">
        <w:rPr>
          <w:rFonts w:cs="Guttman Drogolin" w:hint="cs"/>
          <w:rtl/>
          <w:lang w:bidi="he-IL"/>
        </w:rPr>
        <w:t>והיה</w:t>
      </w:r>
      <w:r w:rsidRPr="00882F11">
        <w:rPr>
          <w:rFonts w:cs="Guttman Drogolin"/>
          <w:rtl/>
          <w:lang w:bidi="he-IL"/>
        </w:rPr>
        <w:t xml:space="preserve"> </w:t>
      </w:r>
      <w:r w:rsidRPr="00882F11">
        <w:rPr>
          <w:rFonts w:cs="Guttman Drogolin" w:hint="cs"/>
          <w:rtl/>
          <w:lang w:bidi="he-IL"/>
        </w:rPr>
        <w:t>בן</w:t>
      </w:r>
      <w:r w:rsidRPr="00882F11">
        <w:rPr>
          <w:rFonts w:cs="Guttman Drogolin"/>
          <w:rtl/>
          <w:lang w:bidi="he-IL"/>
        </w:rPr>
        <w:t xml:space="preserve"> </w:t>
      </w:r>
      <w:r w:rsidRPr="00882F11">
        <w:rPr>
          <w:rFonts w:cs="Guttman Drogolin" w:hint="cs"/>
          <w:rtl/>
          <w:lang w:bidi="he-IL"/>
        </w:rPr>
        <w:t>יומו</w:t>
      </w:r>
      <w:r w:rsidRPr="00882F11">
        <w:rPr>
          <w:rFonts w:cs="Guttman Drogolin"/>
          <w:rtl/>
          <w:lang w:bidi="he-IL"/>
        </w:rPr>
        <w:t xml:space="preserve"> </w:t>
      </w:r>
      <w:r w:rsidRPr="00882F11">
        <w:rPr>
          <w:rFonts w:cs="Guttman Drogolin" w:hint="cs"/>
          <w:rtl/>
          <w:lang w:bidi="he-IL"/>
        </w:rPr>
        <w:t>כשנתבשל</w:t>
      </w:r>
      <w:r w:rsidRPr="00882F11">
        <w:rPr>
          <w:rFonts w:cs="Guttman Drogolin"/>
          <w:rtl/>
          <w:lang w:bidi="he-IL"/>
        </w:rPr>
        <w:t xml:space="preserve"> </w:t>
      </w:r>
      <w:r w:rsidRPr="00882F11">
        <w:rPr>
          <w:rFonts w:cs="Guttman Drogolin" w:hint="cs"/>
          <w:rtl/>
          <w:lang w:bidi="he-IL"/>
        </w:rPr>
        <w:t>בו</w:t>
      </w:r>
      <w:r w:rsidRPr="00882F11">
        <w:rPr>
          <w:rFonts w:cs="Guttman Drogolin"/>
          <w:rtl/>
          <w:lang w:bidi="he-IL"/>
        </w:rPr>
        <w:t xml:space="preserve"> </w:t>
      </w:r>
      <w:r w:rsidRPr="00882F11">
        <w:rPr>
          <w:rFonts w:cs="Guttman Drogolin" w:hint="cs"/>
          <w:rtl/>
          <w:lang w:bidi="he-IL"/>
        </w:rPr>
        <w:t>הדבר</w:t>
      </w:r>
      <w:r w:rsidRPr="00882F11">
        <w:rPr>
          <w:rFonts w:cs="Guttman Drogolin"/>
          <w:rtl/>
          <w:lang w:bidi="he-IL"/>
        </w:rPr>
        <w:t xml:space="preserve"> </w:t>
      </w:r>
      <w:r w:rsidRPr="00882F11">
        <w:rPr>
          <w:rFonts w:cs="Guttman Drogolin" w:hint="cs"/>
          <w:rtl/>
          <w:lang w:bidi="he-IL"/>
        </w:rPr>
        <w:t>חריף</w:t>
      </w:r>
      <w:r w:rsidRPr="00882F11">
        <w:rPr>
          <w:rFonts w:cs="Guttman Drogolin"/>
          <w:rtl/>
          <w:lang w:bidi="he-IL"/>
        </w:rPr>
        <w:t xml:space="preserve"> </w:t>
      </w:r>
      <w:r w:rsidRPr="00882F11">
        <w:rPr>
          <w:rFonts w:cs="Guttman Drogolin" w:hint="cs"/>
          <w:rtl/>
          <w:lang w:bidi="he-IL"/>
        </w:rPr>
        <w:t>מותר</w:t>
      </w:r>
      <w:r w:rsidRPr="00882F11">
        <w:rPr>
          <w:rFonts w:cs="Guttman Drogolin"/>
          <w:rtl/>
          <w:lang w:bidi="he-IL"/>
        </w:rPr>
        <w:t xml:space="preserve"> </w:t>
      </w:r>
      <w:r w:rsidRPr="00882F11">
        <w:rPr>
          <w:rFonts w:cs="Guttman Drogolin" w:hint="cs"/>
          <w:rtl/>
          <w:lang w:bidi="he-IL"/>
        </w:rPr>
        <w:t>אבל</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נתבשל</w:t>
      </w:r>
      <w:r w:rsidRPr="00882F11">
        <w:rPr>
          <w:rFonts w:cs="Guttman Drogolin"/>
          <w:rtl/>
          <w:lang w:bidi="he-IL"/>
        </w:rPr>
        <w:t xml:space="preserve"> </w:t>
      </w:r>
      <w:r w:rsidRPr="00882F11">
        <w:rPr>
          <w:rFonts w:cs="Guttman Drogolin" w:hint="cs"/>
          <w:rtl/>
          <w:lang w:bidi="he-IL"/>
        </w:rPr>
        <w:t>בו</w:t>
      </w:r>
      <w:r w:rsidRPr="00882F11">
        <w:rPr>
          <w:rFonts w:cs="Guttman Drogolin"/>
          <w:rtl/>
          <w:lang w:bidi="he-IL"/>
        </w:rPr>
        <w:t xml:space="preserve"> </w:t>
      </w:r>
      <w:r w:rsidRPr="00882F11">
        <w:rPr>
          <w:rFonts w:cs="Guttman Drogolin" w:hint="cs"/>
          <w:rtl/>
          <w:lang w:bidi="he-IL"/>
        </w:rPr>
        <w:t>תחלה</w:t>
      </w:r>
      <w:r w:rsidRPr="00882F11">
        <w:rPr>
          <w:rFonts w:cs="Guttman Drogolin"/>
          <w:rtl/>
          <w:lang w:bidi="he-IL"/>
        </w:rPr>
        <w:t xml:space="preserve"> </w:t>
      </w:r>
      <w:r w:rsidRPr="00882F11">
        <w:rPr>
          <w:rFonts w:cs="Guttman Drogolin" w:hint="cs"/>
          <w:rtl/>
          <w:lang w:bidi="he-IL"/>
        </w:rPr>
        <w:t>דבר</w:t>
      </w:r>
      <w:r w:rsidRPr="00882F11">
        <w:rPr>
          <w:rFonts w:cs="Guttman Drogolin"/>
          <w:rtl/>
          <w:lang w:bidi="he-IL"/>
        </w:rPr>
        <w:t xml:space="preserve"> </w:t>
      </w:r>
      <w:r w:rsidRPr="00882F11">
        <w:rPr>
          <w:rFonts w:cs="Guttman Drogolin" w:hint="cs"/>
          <w:rtl/>
          <w:lang w:bidi="he-IL"/>
        </w:rPr>
        <w:t>איסור</w:t>
      </w:r>
      <w:r w:rsidRPr="00882F11">
        <w:rPr>
          <w:rFonts w:cs="Guttman Drogolin"/>
          <w:rtl/>
          <w:lang w:bidi="he-IL"/>
        </w:rPr>
        <w:t xml:space="preserve"> </w:t>
      </w:r>
      <w:r w:rsidRPr="00882F11">
        <w:rPr>
          <w:rFonts w:cs="Guttman Drogolin" w:hint="cs"/>
          <w:rtl/>
          <w:lang w:bidi="he-IL"/>
        </w:rPr>
        <w:t>אפילו</w:t>
      </w:r>
      <w:r w:rsidRPr="00882F11">
        <w:rPr>
          <w:rFonts w:cs="Guttman Drogolin"/>
          <w:rtl/>
          <w:lang w:bidi="he-IL"/>
        </w:rPr>
        <w:t xml:space="preserve"> </w:t>
      </w:r>
      <w:r w:rsidRPr="00882F11">
        <w:rPr>
          <w:rFonts w:cs="Guttman Drogolin" w:hint="cs"/>
          <w:rtl/>
          <w:lang w:bidi="he-IL"/>
        </w:rPr>
        <w:t>נתבשל</w:t>
      </w:r>
      <w:r w:rsidRPr="00882F11">
        <w:rPr>
          <w:rFonts w:cs="Guttman Drogolin"/>
          <w:rtl/>
          <w:lang w:bidi="he-IL"/>
        </w:rPr>
        <w:t xml:space="preserve"> </w:t>
      </w:r>
      <w:r w:rsidRPr="00882F11">
        <w:rPr>
          <w:rFonts w:cs="Guttman Drogolin" w:hint="cs"/>
          <w:rtl/>
          <w:lang w:bidi="he-IL"/>
        </w:rPr>
        <w:t>בו</w:t>
      </w:r>
      <w:r w:rsidRPr="00882F11">
        <w:rPr>
          <w:rFonts w:cs="Guttman Drogolin"/>
          <w:rtl/>
          <w:lang w:bidi="he-IL"/>
        </w:rPr>
        <w:t xml:space="preserve"> </w:t>
      </w:r>
      <w:r w:rsidRPr="00882F11">
        <w:rPr>
          <w:rFonts w:cs="Guttman Drogolin" w:hint="cs"/>
          <w:rtl/>
          <w:lang w:bidi="he-IL"/>
        </w:rPr>
        <w:t>אח</w:t>
      </w:r>
      <w:r w:rsidRPr="00882F11">
        <w:rPr>
          <w:rFonts w:cs="Guttman Drogolin"/>
          <w:rtl/>
          <w:lang w:bidi="he-IL"/>
        </w:rPr>
        <w:t>"</w:t>
      </w:r>
      <w:r w:rsidRPr="00882F11">
        <w:rPr>
          <w:rFonts w:cs="Guttman Drogolin" w:hint="cs"/>
          <w:rtl/>
          <w:lang w:bidi="he-IL"/>
        </w:rPr>
        <w:t>כ</w:t>
      </w:r>
      <w:r w:rsidRPr="00882F11">
        <w:rPr>
          <w:rFonts w:cs="Guttman Drogolin"/>
          <w:rtl/>
          <w:lang w:bidi="he-IL"/>
        </w:rPr>
        <w:t xml:space="preserve"> </w:t>
      </w:r>
      <w:r w:rsidRPr="00882F11">
        <w:rPr>
          <w:rFonts w:cs="Guttman Drogolin" w:hint="cs"/>
          <w:rtl/>
          <w:lang w:bidi="he-IL"/>
        </w:rPr>
        <w:t>דבר</w:t>
      </w:r>
      <w:r w:rsidRPr="00882F11">
        <w:rPr>
          <w:rFonts w:cs="Guttman Drogolin"/>
          <w:rtl/>
          <w:lang w:bidi="he-IL"/>
        </w:rPr>
        <w:t xml:space="preserve"> </w:t>
      </w:r>
      <w:r w:rsidRPr="00882F11">
        <w:rPr>
          <w:rFonts w:cs="Guttman Drogolin" w:hint="cs"/>
          <w:rtl/>
          <w:lang w:bidi="he-IL"/>
        </w:rPr>
        <w:t>שאינו</w:t>
      </w:r>
      <w:r w:rsidRPr="00882F11">
        <w:rPr>
          <w:rFonts w:cs="Guttman Drogolin"/>
          <w:rtl/>
          <w:lang w:bidi="he-IL"/>
        </w:rPr>
        <w:t xml:space="preserve"> </w:t>
      </w:r>
      <w:r w:rsidRPr="00882F11">
        <w:rPr>
          <w:rFonts w:cs="Guttman Drogolin" w:hint="cs"/>
          <w:rtl/>
          <w:lang w:bidi="he-IL"/>
        </w:rPr>
        <w:t>חריף</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הוא</w:t>
      </w:r>
      <w:r w:rsidRPr="00882F11">
        <w:rPr>
          <w:rFonts w:cs="Guttman Drogolin"/>
          <w:rtl/>
          <w:lang w:bidi="he-IL"/>
        </w:rPr>
        <w:t xml:space="preserve"> </w:t>
      </w:r>
      <w:r w:rsidRPr="00882F11">
        <w:rPr>
          <w:rFonts w:cs="Guttman Drogolin" w:hint="cs"/>
          <w:rtl/>
          <w:lang w:bidi="he-IL"/>
        </w:rPr>
        <w:t>ב</w:t>
      </w:r>
      <w:r w:rsidRPr="00882F11">
        <w:rPr>
          <w:rFonts w:cs="Guttman Drogolin"/>
          <w:rtl/>
          <w:lang w:bidi="he-IL"/>
        </w:rPr>
        <w:t>"</w:t>
      </w:r>
      <w:r w:rsidRPr="00882F11">
        <w:rPr>
          <w:rFonts w:cs="Guttman Drogolin" w:hint="cs"/>
          <w:rtl/>
          <w:lang w:bidi="he-IL"/>
        </w:rPr>
        <w:t>י</w:t>
      </w:r>
      <w:r w:rsidRPr="00882F11">
        <w:rPr>
          <w:rFonts w:cs="Guttman Drogolin"/>
          <w:rtl/>
          <w:lang w:bidi="he-IL"/>
        </w:rPr>
        <w:t xml:space="preserve"> </w:t>
      </w:r>
      <w:r w:rsidRPr="00882F11">
        <w:rPr>
          <w:rFonts w:cs="Guttman Drogolin" w:hint="cs"/>
          <w:rtl/>
          <w:lang w:bidi="he-IL"/>
        </w:rPr>
        <w:t>מונין</w:t>
      </w:r>
      <w:r w:rsidRPr="00882F11">
        <w:rPr>
          <w:rFonts w:cs="Guttman Drogolin"/>
          <w:rtl/>
          <w:lang w:bidi="he-IL"/>
        </w:rPr>
        <w:t xml:space="preserve"> </w:t>
      </w:r>
      <w:r w:rsidRPr="00882F11">
        <w:rPr>
          <w:rFonts w:cs="Guttman Drogolin" w:hint="cs"/>
          <w:rtl/>
          <w:lang w:bidi="he-IL"/>
        </w:rPr>
        <w:t>אחר</w:t>
      </w:r>
      <w:r w:rsidRPr="00882F11">
        <w:rPr>
          <w:rFonts w:cs="Guttman Drogolin"/>
          <w:rtl/>
          <w:lang w:bidi="he-IL"/>
        </w:rPr>
        <w:t xml:space="preserve"> </w:t>
      </w:r>
      <w:r w:rsidRPr="00882F11">
        <w:rPr>
          <w:rFonts w:cs="Guttman Drogolin" w:hint="cs"/>
          <w:rtl/>
          <w:lang w:bidi="he-IL"/>
        </w:rPr>
        <w:t>כך</w:t>
      </w:r>
      <w:r w:rsidRPr="00882F11">
        <w:rPr>
          <w:rFonts w:cs="Guttman Drogolin"/>
          <w:rtl/>
          <w:lang w:bidi="he-IL"/>
        </w:rPr>
        <w:t xml:space="preserve"> </w:t>
      </w:r>
      <w:r w:rsidRPr="00882F11">
        <w:rPr>
          <w:rFonts w:cs="Guttman Drogolin" w:hint="cs"/>
          <w:rtl/>
          <w:lang w:bidi="he-IL"/>
        </w:rPr>
        <w:t>מעת</w:t>
      </w:r>
      <w:r w:rsidRPr="00882F11">
        <w:rPr>
          <w:rFonts w:cs="Guttman Drogolin"/>
          <w:rtl/>
          <w:lang w:bidi="he-IL"/>
        </w:rPr>
        <w:t xml:space="preserve"> </w:t>
      </w:r>
      <w:r w:rsidRPr="00882F11">
        <w:rPr>
          <w:rFonts w:cs="Guttman Drogolin" w:hint="cs"/>
          <w:rtl/>
          <w:lang w:bidi="he-IL"/>
        </w:rPr>
        <w:t>לעת</w:t>
      </w:r>
      <w:r w:rsidRPr="00882F11">
        <w:rPr>
          <w:rFonts w:cs="Guttman Drogolin"/>
          <w:rtl/>
          <w:lang w:bidi="he-IL"/>
        </w:rPr>
        <w:t xml:space="preserve"> </w:t>
      </w:r>
      <w:r w:rsidRPr="00882F11">
        <w:rPr>
          <w:rFonts w:cs="Guttman Drogolin" w:hint="cs"/>
          <w:rtl/>
          <w:lang w:bidi="he-IL"/>
        </w:rPr>
        <w:t>מתבשיל</w:t>
      </w:r>
      <w:r w:rsidRPr="00882F11">
        <w:rPr>
          <w:rFonts w:cs="Guttman Drogolin"/>
          <w:rtl/>
          <w:lang w:bidi="he-IL"/>
        </w:rPr>
        <w:t xml:space="preserve"> </w:t>
      </w:r>
      <w:r w:rsidRPr="00882F11">
        <w:rPr>
          <w:rFonts w:cs="Guttman Drogolin" w:hint="cs"/>
          <w:rtl/>
          <w:lang w:bidi="he-IL"/>
        </w:rPr>
        <w:t>השני</w:t>
      </w:r>
      <w:r w:rsidRPr="00882F11">
        <w:rPr>
          <w:rFonts w:cs="Guttman Drogolin"/>
          <w:rtl/>
          <w:lang w:bidi="he-IL"/>
        </w:rPr>
        <w:t xml:space="preserve"> </w:t>
      </w:r>
      <w:r w:rsidRPr="00882F11">
        <w:rPr>
          <w:rFonts w:cs="Guttman Drogolin" w:hint="cs"/>
          <w:rtl/>
          <w:lang w:bidi="he-IL"/>
        </w:rPr>
        <w:t>כדלעיל</w:t>
      </w:r>
      <w:r w:rsidRPr="00882F11">
        <w:rPr>
          <w:rFonts w:cs="Guttman Drogolin"/>
          <w:rtl/>
          <w:lang w:bidi="he-IL"/>
        </w:rPr>
        <w:t xml:space="preserve"> </w:t>
      </w:r>
      <w:r w:rsidRPr="00882F11">
        <w:rPr>
          <w:rFonts w:cs="Guttman Drogolin" w:hint="cs"/>
          <w:rtl/>
          <w:lang w:bidi="he-IL"/>
        </w:rPr>
        <w:t>סימן</w:t>
      </w:r>
      <w:r w:rsidRPr="00882F11">
        <w:rPr>
          <w:rFonts w:cs="Guttman Drogolin"/>
          <w:rtl/>
          <w:lang w:bidi="he-IL"/>
        </w:rPr>
        <w:t xml:space="preserve"> </w:t>
      </w:r>
      <w:r w:rsidRPr="00882F11">
        <w:rPr>
          <w:rFonts w:cs="Guttman Drogolin" w:hint="cs"/>
          <w:rtl/>
          <w:lang w:bidi="he-IL"/>
        </w:rPr>
        <w:t>צ</w:t>
      </w:r>
      <w:r w:rsidRPr="00882F11">
        <w:rPr>
          <w:rFonts w:cs="Guttman Drogolin"/>
          <w:rtl/>
          <w:lang w:bidi="he-IL"/>
        </w:rPr>
        <w:t>"</w:t>
      </w:r>
      <w:r w:rsidRPr="00882F11">
        <w:rPr>
          <w:rFonts w:cs="Guttman Drogolin" w:hint="cs"/>
          <w:rtl/>
          <w:lang w:bidi="he-IL"/>
        </w:rPr>
        <w:t>ד</w:t>
      </w:r>
      <w:r w:rsidRPr="00882F11">
        <w:rPr>
          <w:rFonts w:cs="Guttman Drogolin"/>
          <w:rtl/>
          <w:lang w:bidi="he-IL"/>
        </w:rPr>
        <w:t xml:space="preserve"> </w:t>
      </w:r>
      <w:r w:rsidRPr="00882F11">
        <w:rPr>
          <w:rFonts w:cs="Guttman Drogolin" w:hint="cs"/>
          <w:rtl/>
          <w:lang w:bidi="he-IL"/>
        </w:rPr>
        <w:t>ס</w:t>
      </w:r>
      <w:r w:rsidRPr="00882F11">
        <w:rPr>
          <w:rFonts w:cs="Guttman Drogolin"/>
          <w:rtl/>
          <w:lang w:bidi="he-IL"/>
        </w:rPr>
        <w:t>"</w:t>
      </w:r>
      <w:r w:rsidRPr="00882F11">
        <w:rPr>
          <w:rFonts w:cs="Guttman Drogolin" w:hint="cs"/>
          <w:rtl/>
          <w:lang w:bidi="he-IL"/>
        </w:rPr>
        <w:t>ק</w:t>
      </w:r>
      <w:r w:rsidRPr="00882F11">
        <w:rPr>
          <w:rFonts w:cs="Guttman Drogolin"/>
          <w:rtl/>
          <w:lang w:bidi="he-IL"/>
        </w:rPr>
        <w:t xml:space="preserve"> </w:t>
      </w:r>
      <w:r w:rsidRPr="00882F11">
        <w:rPr>
          <w:rFonts w:cs="Guttman Drogolin" w:hint="cs"/>
          <w:rtl/>
          <w:lang w:bidi="he-IL"/>
        </w:rPr>
        <w:t>כ</w:t>
      </w:r>
      <w:r w:rsidRPr="00882F11">
        <w:rPr>
          <w:rFonts w:cs="Guttman Drogolin"/>
          <w:rtl/>
          <w:lang w:bidi="he-IL"/>
        </w:rPr>
        <w:t>"</w:t>
      </w:r>
      <w:r w:rsidRPr="00882F11">
        <w:rPr>
          <w:rFonts w:cs="Guttman Drogolin" w:hint="cs"/>
          <w:rtl/>
          <w:lang w:bidi="he-IL"/>
        </w:rPr>
        <w:t>ב</w:t>
      </w:r>
      <w:r w:rsidR="00005B90" w:rsidRPr="00882F11">
        <w:rPr>
          <w:rFonts w:cs="Guttman Drogolin" w:hint="cs"/>
          <w:rtl/>
          <w:lang w:bidi="he-IL"/>
        </w:rPr>
        <w:t xml:space="preserve">". </w:t>
      </w:r>
    </w:p>
    <w:p w:rsidR="00BE6957" w:rsidRPr="00882F11" w:rsidRDefault="00005B90" w:rsidP="005E7AD4">
      <w:pPr>
        <w:tabs>
          <w:tab w:val="right" w:pos="7497"/>
        </w:tabs>
        <w:bidi/>
        <w:jc w:val="both"/>
        <w:rPr>
          <w:rFonts w:cs="Guttman Drogolin"/>
          <w:rtl/>
          <w:lang w:bidi="he-IL"/>
        </w:rPr>
      </w:pPr>
      <w:r w:rsidRPr="00882F11">
        <w:rPr>
          <w:rFonts w:cs="Guttman Drogolin" w:hint="cs"/>
          <w:rtl/>
          <w:lang w:bidi="he-IL"/>
        </w:rPr>
        <w:lastRenderedPageBreak/>
        <w:t>וכתב בזה הנקוה"כ שם "גם במה שכתב הגאון אמ"ו ז"ל וכן אם בישל דבר חריף בקדרה של בשר בת יומה אם בישלו אחר כך מעת לעת משנתבשל בו הבשר וכו' מותר ומביא ראיה מסימן צ"ד ס"ק כ"ב ואני חוכך בדין זה דשאני התם שלא בישלו דבר חריף מה שאין כן הכא דבישול שני הוי דבר חריף ומשוי למה שבתוך דופני הכלי כאילו נתבשל השתא. אבל אם בישל דבר חריף אחר מעת לעת כיון שטעמו פגום אינו משוה לשבח כאילו נתבשל השתא רק למאכל חריף עצמו ולא למאכל שני. מה שאין כן בדין אם נתבשל דבר חריף בתוך מעת לעת דלא נפגם טעמו יש לומר דחזינן כאילו נתבשל הבשר השתא. וכן מוכח לכא</w:t>
      </w:r>
      <w:r w:rsidR="00E149FD" w:rsidRPr="00882F11">
        <w:rPr>
          <w:rFonts w:cs="Guttman Drogolin" w:hint="cs"/>
          <w:rtl/>
          <w:lang w:bidi="he-IL"/>
        </w:rPr>
        <w:t>ו</w:t>
      </w:r>
      <w:r w:rsidRPr="00882F11">
        <w:rPr>
          <w:rFonts w:cs="Guttman Drogolin" w:hint="cs"/>
          <w:rtl/>
          <w:lang w:bidi="he-IL"/>
        </w:rPr>
        <w:t>רה מדברי האיסור והיתר</w:t>
      </w:r>
      <w:r w:rsidR="00BE6957" w:rsidRPr="00882F11">
        <w:rPr>
          <w:rFonts w:cs="Guttman Drogolin" w:hint="cs"/>
          <w:rtl/>
          <w:lang w:bidi="he-IL"/>
        </w:rPr>
        <w:t xml:space="preserve"> הארוך שמביא אמ"ו ז"ל דלמה ליה למימר בקדרה של בשר שאינה בת יומא הוה ליה למימר רבותא אפילו בת יומא אלא ודאי כמו שכתבתי". וע"ש</w:t>
      </w:r>
      <w:r w:rsidR="005E7AD4" w:rsidRPr="00882F11">
        <w:rPr>
          <w:rFonts w:cs="Guttman Drogolin" w:hint="cs"/>
          <w:rtl/>
          <w:lang w:bidi="he-IL"/>
        </w:rPr>
        <w:t xml:space="preserve"> במחצית השקל שרצה שנטה לדעת</w:t>
      </w:r>
      <w:r w:rsidR="00BE6957" w:rsidRPr="00882F11">
        <w:rPr>
          <w:rFonts w:cs="Guttman Drogolin" w:hint="cs"/>
          <w:rtl/>
          <w:lang w:bidi="he-IL"/>
        </w:rPr>
        <w:t xml:space="preserve"> המג"א משום שאנחנו מוצאים בכגו</w:t>
      </w:r>
      <w:r w:rsidR="005E7AD4" w:rsidRPr="00882F11">
        <w:rPr>
          <w:rFonts w:cs="Guttman Drogolin" w:hint="cs"/>
          <w:rtl/>
          <w:lang w:bidi="he-IL"/>
        </w:rPr>
        <w:t>ן</w:t>
      </w:r>
      <w:r w:rsidR="00BE6957" w:rsidRPr="00882F11">
        <w:rPr>
          <w:rFonts w:cs="Guttman Drogolin" w:hint="cs"/>
          <w:rtl/>
          <w:lang w:bidi="he-IL"/>
        </w:rPr>
        <w:t xml:space="preserve"> מליחה בכלים שיותר קשה לבלוע מכלי להבליע בכלי, ולכן כיון דחזינן שהכלי בולע כל הטעם מן הדבר חריף כ"ש שמבליע בה. ובס' דבר חריף העיר שאין זה כלל בכל מקום.</w:t>
      </w:r>
    </w:p>
    <w:p w:rsidR="00BE6957" w:rsidRPr="00882F11" w:rsidRDefault="00BE6957" w:rsidP="00BE6957">
      <w:pPr>
        <w:tabs>
          <w:tab w:val="right" w:pos="7497"/>
        </w:tabs>
        <w:bidi/>
        <w:jc w:val="both"/>
        <w:rPr>
          <w:rFonts w:cs="Guttman Drogolin"/>
          <w:rtl/>
          <w:lang w:bidi="he-IL"/>
        </w:rPr>
      </w:pPr>
      <w:r w:rsidRPr="00882F11">
        <w:rPr>
          <w:rFonts w:cs="Guttman Drogolin" w:hint="cs"/>
          <w:rtl/>
          <w:lang w:bidi="he-IL"/>
        </w:rPr>
        <w:t>עוד העיר כאן החוו"ד בס"ק ו' שיש עוד טעם להקל בדברי המג"א, והוא שאמנם הכלי בולע מן המאכל ע"י דוחקא סכינא, אבל אינו מבליע אא"כ</w:t>
      </w:r>
      <w:r w:rsidR="00604629" w:rsidRPr="00882F11">
        <w:rPr>
          <w:rFonts w:cs="Guttman Drogolin" w:hint="cs"/>
          <w:rtl/>
          <w:lang w:bidi="he-IL"/>
        </w:rPr>
        <w:t xml:space="preserve"> הוי דבר שמן א"נ שיש רוטב, אבל ב</w:t>
      </w:r>
      <w:r w:rsidRPr="00882F11">
        <w:rPr>
          <w:rFonts w:cs="Guttman Drogolin" w:hint="cs"/>
          <w:rtl/>
          <w:lang w:bidi="he-IL"/>
        </w:rPr>
        <w:t>לי רוטב אין כלי בולע מאוכל בלי רוטב. והוא כדחזינן בעלמא בצלי דאע"ג שמאכל בולע מכלי בלי רוטב, אין כלי בולע ממאכל בלי רוטב. ויל"ע אם אפשר לומר לדעת המג"א דסבר שדבר חריף שאני מצלי גמור ולכן אינו צריך רוטב אפילו להבליע מאוכל לכלי.</w:t>
      </w:r>
    </w:p>
    <w:p w:rsidR="002E624A" w:rsidRPr="00882F11" w:rsidRDefault="00BE6957" w:rsidP="005229E6">
      <w:pPr>
        <w:tabs>
          <w:tab w:val="right" w:pos="7497"/>
        </w:tabs>
        <w:bidi/>
        <w:jc w:val="both"/>
        <w:rPr>
          <w:rFonts w:cs="Guttman Drogolin"/>
          <w:rtl/>
          <w:lang w:bidi="he-IL"/>
        </w:rPr>
        <w:sectPr w:rsidR="002E624A" w:rsidRPr="00882F11" w:rsidSect="002B5778">
          <w:type w:val="continuous"/>
          <w:pgSz w:w="11907" w:h="16839" w:code="9"/>
          <w:pgMar w:top="1440" w:right="1440" w:bottom="1440" w:left="1440" w:header="720" w:footer="720" w:gutter="0"/>
          <w:cols w:num="2" w:space="720"/>
          <w:bidi/>
          <w:docGrid w:linePitch="360"/>
        </w:sectPr>
      </w:pPr>
      <w:r w:rsidRPr="00882F11">
        <w:rPr>
          <w:rFonts w:cs="Guttman Drogolin" w:hint="cs"/>
          <w:rtl/>
          <w:lang w:bidi="he-IL"/>
        </w:rPr>
        <w:t xml:space="preserve">ולענין דינא, המ"ב בס"ק צ"א סתם כדעת המג"א. </w:t>
      </w:r>
      <w:r w:rsidR="002A4D8A" w:rsidRPr="00882F11">
        <w:rPr>
          <w:rFonts w:cs="Guttman Drogolin" w:hint="cs"/>
          <w:rtl/>
          <w:lang w:bidi="he-IL"/>
        </w:rPr>
        <w:t xml:space="preserve">ומ"מ נראה פשוט שאפילו אם מחמירים עשיטת המג"א, הנ"מ בבן יומו, אבל באינו בן יומו לא. והוא מא' מב' טעמים, חדא שהרי הנקוה"כ שהוא כשיטת המג"א סבר שלא נאמר עצם הדין אלא בבן יומו, אבל באינו בן יומו שאינו חשוב כ'מבושל השתא' לא אמרינן הכי. וכן מדויק באו"ה וכמש"כ שם הנקוה"כ. ואפילו את"ל שהמג"א סבר שאפילו באינו בן יומו נאמר דין זה, </w:t>
      </w:r>
      <w:r w:rsidR="002A4D8A" w:rsidRPr="00882F11">
        <w:rPr>
          <w:rFonts w:cs="Guttman Drogolin" w:hint="cs"/>
          <w:rtl/>
          <w:lang w:bidi="he-IL"/>
        </w:rPr>
        <w:lastRenderedPageBreak/>
        <w:t>מ"מ במקום שיש ג' חומרות שהבית מאיר הקיל בה לגמרי, אפילו אם נחמיר דלא כבית מאיר אין טעם להחמיר גם את חומרת המג"א.</w:t>
      </w:r>
      <w:r w:rsidRPr="00882F11">
        <w:rPr>
          <w:rFonts w:cs="Guttman Drogolin" w:hint="cs"/>
          <w:rtl/>
          <w:lang w:bidi="he-IL"/>
        </w:rPr>
        <w:t xml:space="preserve"> </w:t>
      </w:r>
      <w:r w:rsidR="000A7F24" w:rsidRPr="00882F11">
        <w:rPr>
          <w:rFonts w:cs="Guttman Drogolin" w:hint="cs"/>
          <w:rtl/>
          <w:lang w:bidi="he-IL"/>
        </w:rPr>
        <w:t xml:space="preserve"> </w:t>
      </w:r>
      <w:r w:rsidR="00045698" w:rsidRPr="00882F11">
        <w:rPr>
          <w:rFonts w:cs="Guttman Drogolin" w:hint="cs"/>
          <w:rtl/>
          <w:lang w:bidi="he-IL"/>
        </w:rPr>
        <w:t xml:space="preserve"> </w:t>
      </w:r>
      <w:r w:rsidR="00BC37AE" w:rsidRPr="00882F11">
        <w:rPr>
          <w:rFonts w:cs="Guttman Drogolin" w:hint="cs"/>
          <w:rtl/>
          <w:lang w:bidi="he-IL"/>
        </w:rPr>
        <w:t xml:space="preserve"> </w:t>
      </w:r>
    </w:p>
    <w:p w:rsidR="002E624A" w:rsidRPr="00882F11" w:rsidRDefault="002E624A" w:rsidP="002E624A">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ע"ב</w:t>
      </w:r>
    </w:p>
    <w:p w:rsidR="005229E6" w:rsidRDefault="005229E6" w:rsidP="002E624A">
      <w:pPr>
        <w:pStyle w:val="Heading1"/>
        <w:bidi/>
        <w:spacing w:before="0" w:line="360" w:lineRule="auto"/>
        <w:jc w:val="center"/>
        <w:rPr>
          <w:rFonts w:cs="Guttman Drogolin"/>
          <w:color w:val="auto"/>
          <w:sz w:val="24"/>
          <w:szCs w:val="24"/>
          <w:u w:val="single"/>
          <w:rtl/>
          <w:lang w:bidi="he-IL"/>
        </w:rPr>
        <w:sectPr w:rsidR="005229E6" w:rsidSect="005229E6">
          <w:pgSz w:w="11907" w:h="16839" w:code="9"/>
          <w:pgMar w:top="1440" w:right="1440" w:bottom="1440" w:left="1440" w:header="720" w:footer="720" w:gutter="0"/>
          <w:cols w:space="720"/>
          <w:bidi/>
          <w:docGrid w:linePitch="360"/>
        </w:sectPr>
      </w:pPr>
    </w:p>
    <w:p w:rsidR="002E624A" w:rsidRPr="00882F11" w:rsidRDefault="002E624A" w:rsidP="005229E6">
      <w:pPr>
        <w:pStyle w:val="Heading1"/>
        <w:bidi/>
        <w:spacing w:before="0" w:line="240" w:lineRule="auto"/>
        <w:jc w:val="center"/>
        <w:rPr>
          <w:rFonts w:cs="Guttman Drogolin"/>
          <w:color w:val="auto"/>
          <w:sz w:val="24"/>
          <w:szCs w:val="24"/>
          <w:u w:val="single"/>
          <w:rtl/>
          <w:lang w:bidi="he-IL"/>
        </w:rPr>
      </w:pPr>
      <w:bookmarkStart w:id="289" w:name="_Toc496175540"/>
      <w:r w:rsidRPr="00882F11">
        <w:rPr>
          <w:rFonts w:cs="Guttman Drogolin" w:hint="cs"/>
          <w:color w:val="auto"/>
          <w:sz w:val="24"/>
          <w:szCs w:val="24"/>
          <w:u w:val="single"/>
          <w:rtl/>
          <w:lang w:bidi="he-IL"/>
        </w:rPr>
        <w:lastRenderedPageBreak/>
        <w:t>חתך דבר חריף בסכין של איסור</w:t>
      </w:r>
      <w:r w:rsidR="00AF77FD" w:rsidRPr="00882F11">
        <w:rPr>
          <w:rFonts w:cs="Guttman Drogolin" w:hint="cs"/>
          <w:color w:val="auto"/>
          <w:sz w:val="24"/>
          <w:szCs w:val="24"/>
          <w:u w:val="single"/>
          <w:rtl/>
          <w:lang w:bidi="he-IL"/>
        </w:rPr>
        <w:t>,</w:t>
      </w:r>
      <w:r w:rsidRPr="00882F11">
        <w:rPr>
          <w:rFonts w:cs="Guttman Drogolin" w:hint="cs"/>
          <w:color w:val="auto"/>
          <w:sz w:val="24"/>
          <w:szCs w:val="24"/>
          <w:u w:val="single"/>
          <w:rtl/>
          <w:lang w:bidi="he-IL"/>
        </w:rPr>
        <w:t xml:space="preserve"> ושוב בישלו בתבשיל שיש ס' כנגדו</w:t>
      </w:r>
      <w:bookmarkEnd w:id="289"/>
    </w:p>
    <w:p w:rsidR="004F660F" w:rsidRPr="00882F11" w:rsidRDefault="00E3012A" w:rsidP="002E624A">
      <w:pPr>
        <w:tabs>
          <w:tab w:val="right" w:pos="7497"/>
        </w:tabs>
        <w:bidi/>
        <w:jc w:val="both"/>
        <w:rPr>
          <w:rFonts w:cs="Guttman Drogolin"/>
          <w:rtl/>
          <w:lang w:bidi="he-IL"/>
        </w:rPr>
      </w:pPr>
      <w:r>
        <w:rPr>
          <w:rFonts w:cs="Guttman Drogolin"/>
          <w:rtl/>
          <w:lang w:bidi="he-IL"/>
        </w:rPr>
        <w:fldChar w:fldCharType="begin"/>
      </w:r>
      <w:r>
        <w:instrText xml:space="preserve"> XE "</w:instrText>
      </w:r>
      <w:r w:rsidRPr="00230F6E">
        <w:rPr>
          <w:rFonts w:hint="cs"/>
          <w:rtl/>
          <w:lang w:bidi="he-IL"/>
        </w:rPr>
        <w:instrText>דבר חריף</w:instrText>
      </w:r>
      <w:r w:rsidRPr="00230F6E">
        <w:rPr>
          <w:rtl/>
        </w:rPr>
        <w:instrText>:</w:instrText>
      </w:r>
      <w:r w:rsidRPr="00230F6E">
        <w:rPr>
          <w:rFonts w:hint="cs"/>
          <w:rtl/>
          <w:lang w:bidi="he-IL"/>
        </w:rPr>
        <w:instrText>חתכן בסכין של איסור ושוב בישלו בתבשיל שיש ס' כנגדו</w:instrText>
      </w:r>
      <w:r>
        <w:instrText xml:space="preserve">" </w:instrText>
      </w:r>
      <w:r>
        <w:rPr>
          <w:rFonts w:cs="Guttman Drogolin"/>
          <w:rtl/>
          <w:lang w:bidi="he-IL"/>
        </w:rPr>
        <w:fldChar w:fldCharType="end"/>
      </w:r>
      <w:r w:rsidR="002E624A" w:rsidRPr="00882F11">
        <w:rPr>
          <w:rFonts w:cs="Guttman Drogolin" w:hint="cs"/>
          <w:rtl/>
          <w:lang w:bidi="he-IL"/>
        </w:rPr>
        <w:t xml:space="preserve">כבר הבאנו ששיטת המחבר להלכה </w:t>
      </w:r>
      <w:r w:rsidR="00AF77FD" w:rsidRPr="00882F11">
        <w:rPr>
          <w:rFonts w:cs="Guttman Drogolin" w:hint="cs"/>
          <w:rtl/>
          <w:lang w:bidi="he-IL"/>
        </w:rPr>
        <w:t xml:space="preserve">שאם חתך דבר חריף בסכין של איסור, שאין הטעם איסור חודר אלא בשיעור כדי נטילה. ואפילו הרמ"א שמחמיר שנבלע בכולו, הנ"מ לכתחילה, אבל בדיעבד גם הוא מודה שבכדי נטילה סגי. ולענין מהו הכוונה בלכתחילה, כתב הש"ך </w:t>
      </w:r>
      <w:r w:rsidR="004F660F" w:rsidRPr="00882F11">
        <w:rPr>
          <w:rFonts w:cs="Guttman Drogolin" w:hint="cs"/>
          <w:rtl/>
          <w:lang w:bidi="he-IL"/>
        </w:rPr>
        <w:t xml:space="preserve">בס"ק י' דר"ל שכל זמן שהוא בפני עצמו יש להחמיר ולא לאכול את כולו, ודין הבדיעבד אם נתבשל בקדירה אחרת שאין צריכים ס' אלא כנגד הכדי נטילה. אבל רע"א הביא ממנחת יעקב שיש דין בדיעבד </w:t>
      </w:r>
    </w:p>
    <w:p w:rsidR="00F335FF" w:rsidRPr="00882F11" w:rsidRDefault="004F660F" w:rsidP="00C103D0">
      <w:pPr>
        <w:tabs>
          <w:tab w:val="right" w:pos="7497"/>
        </w:tabs>
        <w:bidi/>
        <w:jc w:val="both"/>
        <w:rPr>
          <w:rFonts w:cs="Guttman Drogolin"/>
          <w:rtl/>
          <w:lang w:bidi="he-IL"/>
        </w:rPr>
      </w:pPr>
      <w:r w:rsidRPr="00882F11">
        <w:rPr>
          <w:rFonts w:cs="Guttman Drogolin" w:hint="cs"/>
          <w:rtl/>
          <w:lang w:bidi="he-IL"/>
        </w:rPr>
        <w:t xml:space="preserve">ויל"ע לפי שיטת המחבר </w:t>
      </w:r>
      <w:r w:rsidR="00694E25" w:rsidRPr="00882F11">
        <w:rPr>
          <w:rFonts w:cs="Guttman Drogolin" w:hint="cs"/>
          <w:rtl/>
          <w:lang w:bidi="he-IL"/>
        </w:rPr>
        <w:t>שאפשר להקל אפילו לכתחילה בשיעור כדי נטילה, מה יהא הדין אם מבשל הדבר חריף. והיינו משום שי"ל שהכדי קליפה שנאסר חשוב איסור דבוק, ולכן יש לו לאסור</w:t>
      </w:r>
      <w:r w:rsidR="00B82E59" w:rsidRPr="00882F11">
        <w:rPr>
          <w:rFonts w:cs="Guttman Drogolin" w:hint="cs"/>
          <w:rtl/>
          <w:lang w:bidi="he-IL"/>
        </w:rPr>
        <w:t xml:space="preserve"> קודם את מה שדבוק אליו, ורק לאחר מכן מתפשט לשאר התבשיל. וא"כ אם אין ששים בדבר חריף כנגד הכדי נטילה שנע"נ נאסר כולו.</w:t>
      </w:r>
      <w:r w:rsidR="00694E25" w:rsidRPr="00882F11">
        <w:rPr>
          <w:rFonts w:cs="Guttman Drogolin" w:hint="cs"/>
          <w:rtl/>
          <w:lang w:bidi="he-IL"/>
        </w:rPr>
        <w:t xml:space="preserve"> </w:t>
      </w:r>
      <w:r w:rsidR="009E61D7" w:rsidRPr="00882F11">
        <w:rPr>
          <w:rFonts w:cs="Guttman Drogolin" w:hint="cs"/>
          <w:rtl/>
          <w:lang w:bidi="he-IL"/>
        </w:rPr>
        <w:t xml:space="preserve">כן הוא שיטת המהר"ם לובלין המובא בש"ך ס"ק ו'. והש"ך שם חלק עליו שאין הדין כן. ובטעמו של דבר כתב </w:t>
      </w:r>
      <w:r w:rsidR="000D24DA" w:rsidRPr="00882F11">
        <w:rPr>
          <w:rFonts w:cs="Guttman Drogolin" w:hint="cs"/>
          <w:rtl/>
          <w:lang w:bidi="he-IL"/>
        </w:rPr>
        <w:t>"דכיון</w:t>
      </w:r>
      <w:r w:rsidR="000D24DA" w:rsidRPr="00882F11">
        <w:rPr>
          <w:rFonts w:cs="Guttman Drogolin"/>
          <w:rtl/>
          <w:lang w:bidi="he-IL"/>
        </w:rPr>
        <w:t xml:space="preserve"> </w:t>
      </w:r>
      <w:r w:rsidR="000D24DA" w:rsidRPr="00882F11">
        <w:rPr>
          <w:rFonts w:cs="Guttman Drogolin" w:hint="cs"/>
          <w:rtl/>
          <w:lang w:bidi="he-IL"/>
        </w:rPr>
        <w:t>דאין</w:t>
      </w:r>
      <w:r w:rsidR="000D24DA" w:rsidRPr="00882F11">
        <w:rPr>
          <w:rFonts w:cs="Guttman Drogolin"/>
          <w:rtl/>
          <w:lang w:bidi="he-IL"/>
        </w:rPr>
        <w:t xml:space="preserve"> </w:t>
      </w:r>
      <w:r w:rsidR="000D24DA" w:rsidRPr="00882F11">
        <w:rPr>
          <w:rFonts w:cs="Guttman Drogolin" w:hint="cs"/>
          <w:rtl/>
          <w:lang w:bidi="he-IL"/>
        </w:rPr>
        <w:t>הנטילה</w:t>
      </w:r>
      <w:r w:rsidR="000D24DA" w:rsidRPr="00882F11">
        <w:rPr>
          <w:rFonts w:cs="Guttman Drogolin"/>
          <w:rtl/>
          <w:lang w:bidi="he-IL"/>
        </w:rPr>
        <w:t xml:space="preserve"> </w:t>
      </w:r>
      <w:r w:rsidR="000D24DA" w:rsidRPr="00882F11">
        <w:rPr>
          <w:rFonts w:cs="Guttman Drogolin" w:hint="cs"/>
          <w:rtl/>
          <w:lang w:bidi="he-IL"/>
        </w:rPr>
        <w:t>אסור</w:t>
      </w:r>
      <w:r w:rsidR="000D24DA" w:rsidRPr="00882F11">
        <w:rPr>
          <w:rFonts w:cs="Guttman Drogolin"/>
          <w:rtl/>
          <w:lang w:bidi="he-IL"/>
        </w:rPr>
        <w:t xml:space="preserve"> </w:t>
      </w:r>
      <w:r w:rsidR="000D24DA" w:rsidRPr="00882F11">
        <w:rPr>
          <w:rFonts w:cs="Guttman Drogolin" w:hint="cs"/>
          <w:rtl/>
          <w:lang w:bidi="he-IL"/>
        </w:rPr>
        <w:t>מצד</w:t>
      </w:r>
      <w:r w:rsidR="000D24DA" w:rsidRPr="00882F11">
        <w:rPr>
          <w:rFonts w:cs="Guttman Drogolin"/>
          <w:rtl/>
          <w:lang w:bidi="he-IL"/>
        </w:rPr>
        <w:t xml:space="preserve"> </w:t>
      </w:r>
      <w:r w:rsidR="000D24DA" w:rsidRPr="00882F11">
        <w:rPr>
          <w:rFonts w:cs="Guttman Drogolin" w:hint="cs"/>
          <w:rtl/>
          <w:lang w:bidi="he-IL"/>
        </w:rPr>
        <w:t>עצמה</w:t>
      </w:r>
      <w:r w:rsidR="000D24DA" w:rsidRPr="00882F11">
        <w:rPr>
          <w:rFonts w:cs="Guttman Drogolin"/>
          <w:rtl/>
          <w:lang w:bidi="he-IL"/>
        </w:rPr>
        <w:t xml:space="preserve"> </w:t>
      </w:r>
      <w:r w:rsidR="000D24DA" w:rsidRPr="00882F11">
        <w:rPr>
          <w:rFonts w:cs="Guttman Drogolin" w:hint="cs"/>
          <w:rtl/>
          <w:lang w:bidi="he-IL"/>
        </w:rPr>
        <w:t>וגם</w:t>
      </w:r>
      <w:r w:rsidR="000D24DA" w:rsidRPr="00882F11">
        <w:rPr>
          <w:rFonts w:cs="Guttman Drogolin"/>
          <w:rtl/>
          <w:lang w:bidi="he-IL"/>
        </w:rPr>
        <w:t xml:space="preserve"> </w:t>
      </w:r>
      <w:r w:rsidR="000D24DA" w:rsidRPr="00882F11">
        <w:rPr>
          <w:rFonts w:cs="Guttman Drogolin" w:hint="cs"/>
          <w:rtl/>
          <w:lang w:bidi="he-IL"/>
        </w:rPr>
        <w:t>אינה</w:t>
      </w:r>
      <w:r w:rsidR="000D24DA" w:rsidRPr="00882F11">
        <w:rPr>
          <w:rFonts w:cs="Guttman Drogolin"/>
          <w:rtl/>
          <w:lang w:bidi="he-IL"/>
        </w:rPr>
        <w:t xml:space="preserve"> </w:t>
      </w:r>
      <w:r w:rsidR="000D24DA" w:rsidRPr="00882F11">
        <w:rPr>
          <w:rFonts w:cs="Guttman Drogolin" w:hint="cs"/>
          <w:rtl/>
          <w:lang w:bidi="he-IL"/>
        </w:rPr>
        <w:t>איסור</w:t>
      </w:r>
      <w:r w:rsidR="000D24DA" w:rsidRPr="00882F11">
        <w:rPr>
          <w:rFonts w:cs="Guttman Drogolin"/>
          <w:rtl/>
          <w:lang w:bidi="he-IL"/>
        </w:rPr>
        <w:t xml:space="preserve"> </w:t>
      </w:r>
      <w:r w:rsidR="000D24DA" w:rsidRPr="00882F11">
        <w:rPr>
          <w:rFonts w:cs="Guttman Drogolin" w:hint="cs"/>
          <w:rtl/>
          <w:lang w:bidi="he-IL"/>
        </w:rPr>
        <w:t>ניכר</w:t>
      </w:r>
      <w:r w:rsidR="000D24DA" w:rsidRPr="00882F11">
        <w:rPr>
          <w:rFonts w:cs="Guttman Drogolin"/>
          <w:rtl/>
          <w:lang w:bidi="he-IL"/>
        </w:rPr>
        <w:t xml:space="preserve"> </w:t>
      </w:r>
      <w:r w:rsidR="000D24DA" w:rsidRPr="00882F11">
        <w:rPr>
          <w:rFonts w:cs="Guttman Drogolin" w:hint="cs"/>
          <w:rtl/>
          <w:lang w:bidi="he-IL"/>
        </w:rPr>
        <w:t>ומובדל</w:t>
      </w:r>
      <w:r w:rsidR="000D24DA" w:rsidRPr="00882F11">
        <w:rPr>
          <w:rFonts w:cs="Guttman Drogolin"/>
          <w:rtl/>
          <w:lang w:bidi="he-IL"/>
        </w:rPr>
        <w:t xml:space="preserve"> </w:t>
      </w:r>
      <w:r w:rsidR="000D24DA" w:rsidRPr="00882F11">
        <w:rPr>
          <w:rFonts w:cs="Guttman Drogolin" w:hint="cs"/>
          <w:rtl/>
          <w:lang w:bidi="he-IL"/>
        </w:rPr>
        <w:t>וגם</w:t>
      </w:r>
      <w:r w:rsidR="000D24DA" w:rsidRPr="00882F11">
        <w:rPr>
          <w:rFonts w:cs="Guttman Drogolin"/>
          <w:rtl/>
          <w:lang w:bidi="he-IL"/>
        </w:rPr>
        <w:t xml:space="preserve"> </w:t>
      </w:r>
      <w:r w:rsidR="000D24DA" w:rsidRPr="00882F11">
        <w:rPr>
          <w:rFonts w:cs="Guttman Drogolin" w:hint="cs"/>
          <w:rtl/>
          <w:lang w:bidi="he-IL"/>
        </w:rPr>
        <w:t>אינו</w:t>
      </w:r>
      <w:r w:rsidR="000D24DA" w:rsidRPr="00882F11">
        <w:rPr>
          <w:rFonts w:cs="Guttman Drogolin"/>
          <w:rtl/>
          <w:lang w:bidi="he-IL"/>
        </w:rPr>
        <w:t xml:space="preserve"> </w:t>
      </w:r>
      <w:r w:rsidR="000D24DA" w:rsidRPr="00882F11">
        <w:rPr>
          <w:rFonts w:cs="Guttman Drogolin" w:hint="cs"/>
          <w:rtl/>
          <w:lang w:bidi="he-IL"/>
        </w:rPr>
        <w:t>נאסר</w:t>
      </w:r>
      <w:r w:rsidR="000D24DA" w:rsidRPr="00882F11">
        <w:rPr>
          <w:rFonts w:cs="Guttman Drogolin"/>
          <w:rtl/>
          <w:lang w:bidi="he-IL"/>
        </w:rPr>
        <w:t xml:space="preserve"> </w:t>
      </w:r>
      <w:r w:rsidR="000D24DA" w:rsidRPr="00882F11">
        <w:rPr>
          <w:rFonts w:cs="Guttman Drogolin" w:hint="cs"/>
          <w:rtl/>
          <w:lang w:bidi="he-IL"/>
        </w:rPr>
        <w:t>רק</w:t>
      </w:r>
      <w:r w:rsidR="000D24DA" w:rsidRPr="00882F11">
        <w:rPr>
          <w:rFonts w:cs="Guttman Drogolin"/>
          <w:rtl/>
          <w:lang w:bidi="he-IL"/>
        </w:rPr>
        <w:t xml:space="preserve"> </w:t>
      </w:r>
      <w:r w:rsidR="000D24DA" w:rsidRPr="00882F11">
        <w:rPr>
          <w:rFonts w:cs="Guttman Drogolin" w:hint="cs"/>
          <w:rtl/>
          <w:lang w:bidi="he-IL"/>
        </w:rPr>
        <w:t>כדי</w:t>
      </w:r>
      <w:r w:rsidR="000D24DA" w:rsidRPr="00882F11">
        <w:rPr>
          <w:rFonts w:cs="Guttman Drogolin"/>
          <w:rtl/>
          <w:lang w:bidi="he-IL"/>
        </w:rPr>
        <w:t xml:space="preserve"> </w:t>
      </w:r>
      <w:r w:rsidR="000D24DA" w:rsidRPr="00882F11">
        <w:rPr>
          <w:rFonts w:cs="Guttman Drogolin" w:hint="cs"/>
          <w:rtl/>
          <w:lang w:bidi="he-IL"/>
        </w:rPr>
        <w:t>נטילה</w:t>
      </w:r>
      <w:r w:rsidR="000D24DA" w:rsidRPr="00882F11">
        <w:rPr>
          <w:rFonts w:cs="Guttman Drogolin"/>
          <w:rtl/>
          <w:lang w:bidi="he-IL"/>
        </w:rPr>
        <w:t xml:space="preserve"> </w:t>
      </w:r>
      <w:r w:rsidR="000D24DA" w:rsidRPr="00882F11">
        <w:rPr>
          <w:rFonts w:cs="Guttman Drogolin" w:hint="cs"/>
          <w:rtl/>
          <w:lang w:bidi="he-IL"/>
        </w:rPr>
        <w:t>לא</w:t>
      </w:r>
      <w:r w:rsidR="000D24DA" w:rsidRPr="00882F11">
        <w:rPr>
          <w:rFonts w:cs="Guttman Drogolin"/>
          <w:rtl/>
          <w:lang w:bidi="he-IL"/>
        </w:rPr>
        <w:t xml:space="preserve"> </w:t>
      </w:r>
      <w:r w:rsidR="000D24DA" w:rsidRPr="00882F11">
        <w:rPr>
          <w:rFonts w:cs="Guttman Drogolin" w:hint="cs"/>
          <w:rtl/>
          <w:lang w:bidi="he-IL"/>
        </w:rPr>
        <w:t>שייך</w:t>
      </w:r>
      <w:r w:rsidR="000D24DA" w:rsidRPr="00882F11">
        <w:rPr>
          <w:rFonts w:cs="Guttman Drogolin"/>
          <w:rtl/>
          <w:lang w:bidi="he-IL"/>
        </w:rPr>
        <w:t xml:space="preserve"> </w:t>
      </w:r>
      <w:r w:rsidR="000D24DA" w:rsidRPr="00882F11">
        <w:rPr>
          <w:rFonts w:cs="Guttman Drogolin" w:hint="cs"/>
          <w:rtl/>
          <w:lang w:bidi="he-IL"/>
        </w:rPr>
        <w:t>למימר</w:t>
      </w:r>
      <w:r w:rsidR="000D24DA" w:rsidRPr="00882F11">
        <w:rPr>
          <w:rFonts w:cs="Guttman Drogolin"/>
          <w:rtl/>
          <w:lang w:bidi="he-IL"/>
        </w:rPr>
        <w:t xml:space="preserve"> </w:t>
      </w:r>
      <w:r w:rsidR="000D24DA" w:rsidRPr="00882F11">
        <w:rPr>
          <w:rFonts w:cs="Guttman Drogolin" w:hint="cs"/>
          <w:rtl/>
          <w:lang w:bidi="he-IL"/>
        </w:rPr>
        <w:t>ביה</w:t>
      </w:r>
      <w:r w:rsidR="000D24DA" w:rsidRPr="00882F11">
        <w:rPr>
          <w:rFonts w:cs="Guttman Drogolin"/>
          <w:rtl/>
          <w:lang w:bidi="he-IL"/>
        </w:rPr>
        <w:t xml:space="preserve"> </w:t>
      </w:r>
      <w:r w:rsidR="000D24DA" w:rsidRPr="00882F11">
        <w:rPr>
          <w:rFonts w:cs="Guttman Drogolin" w:hint="cs"/>
          <w:rtl/>
          <w:lang w:bidi="he-IL"/>
        </w:rPr>
        <w:t>איסור</w:t>
      </w:r>
      <w:r w:rsidR="000D24DA" w:rsidRPr="00882F11">
        <w:rPr>
          <w:rFonts w:cs="Guttman Drogolin"/>
          <w:rtl/>
          <w:lang w:bidi="he-IL"/>
        </w:rPr>
        <w:t xml:space="preserve"> </w:t>
      </w:r>
      <w:r w:rsidR="000D24DA" w:rsidRPr="00882F11">
        <w:rPr>
          <w:rFonts w:cs="Guttman Drogolin" w:hint="cs"/>
          <w:rtl/>
          <w:lang w:bidi="he-IL"/>
        </w:rPr>
        <w:t>דבוק</w:t>
      </w:r>
      <w:r w:rsidR="000D24DA" w:rsidRPr="00882F11">
        <w:rPr>
          <w:rFonts w:cs="Guttman Drogolin"/>
          <w:rtl/>
          <w:lang w:bidi="he-IL"/>
        </w:rPr>
        <w:t xml:space="preserve"> </w:t>
      </w:r>
      <w:r w:rsidR="000D24DA" w:rsidRPr="00882F11">
        <w:rPr>
          <w:rFonts w:cs="Guttman Drogolin" w:hint="cs"/>
          <w:rtl/>
          <w:lang w:bidi="he-IL"/>
        </w:rPr>
        <w:t>ודו</w:t>
      </w:r>
      <w:r w:rsidR="000D24DA" w:rsidRPr="00882F11">
        <w:rPr>
          <w:rFonts w:cs="Guttman Drogolin"/>
          <w:rtl/>
          <w:lang w:bidi="he-IL"/>
        </w:rPr>
        <w:t>"</w:t>
      </w:r>
      <w:r w:rsidR="000D24DA" w:rsidRPr="00882F11">
        <w:rPr>
          <w:rFonts w:cs="Guttman Drogolin" w:hint="cs"/>
          <w:rtl/>
          <w:lang w:bidi="he-IL"/>
        </w:rPr>
        <w:t>ק</w:t>
      </w:r>
      <w:r w:rsidR="000D24DA" w:rsidRPr="00882F11">
        <w:rPr>
          <w:rFonts w:cs="Guttman Drogolin"/>
          <w:rtl/>
          <w:lang w:bidi="he-IL"/>
        </w:rPr>
        <w:t xml:space="preserve"> </w:t>
      </w:r>
      <w:r w:rsidR="000D24DA" w:rsidRPr="00882F11">
        <w:rPr>
          <w:rFonts w:cs="Guttman Drogolin" w:hint="cs"/>
          <w:rtl/>
          <w:lang w:bidi="he-IL"/>
        </w:rPr>
        <w:t>וודאי</w:t>
      </w:r>
      <w:r w:rsidR="000D24DA" w:rsidRPr="00882F11">
        <w:rPr>
          <w:rFonts w:cs="Guttman Drogolin"/>
          <w:rtl/>
          <w:lang w:bidi="he-IL"/>
        </w:rPr>
        <w:t xml:space="preserve"> </w:t>
      </w:r>
      <w:r w:rsidR="000D24DA" w:rsidRPr="00882F11">
        <w:rPr>
          <w:rFonts w:cs="Guttman Drogolin" w:hint="cs"/>
          <w:rtl/>
          <w:lang w:bidi="he-IL"/>
        </w:rPr>
        <w:t>דל</w:t>
      </w:r>
      <w:r w:rsidR="000D24DA" w:rsidRPr="00882F11">
        <w:rPr>
          <w:rFonts w:cs="Guttman Drogolin"/>
          <w:rtl/>
          <w:lang w:bidi="he-IL"/>
        </w:rPr>
        <w:t>"</w:t>
      </w:r>
      <w:r w:rsidR="000D24DA" w:rsidRPr="00882F11">
        <w:rPr>
          <w:rFonts w:cs="Guttman Drogolin" w:hint="cs"/>
          <w:rtl/>
          <w:lang w:bidi="he-IL"/>
        </w:rPr>
        <w:t>ד</w:t>
      </w:r>
      <w:r w:rsidR="000D24DA" w:rsidRPr="00882F11">
        <w:rPr>
          <w:rFonts w:cs="Guttman Drogolin"/>
          <w:rtl/>
          <w:lang w:bidi="he-IL"/>
        </w:rPr>
        <w:t xml:space="preserve"> </w:t>
      </w:r>
      <w:r w:rsidR="000D24DA" w:rsidRPr="00882F11">
        <w:rPr>
          <w:rFonts w:cs="Guttman Drogolin" w:hint="cs"/>
          <w:rtl/>
          <w:lang w:bidi="he-IL"/>
        </w:rPr>
        <w:t>לכל</w:t>
      </w:r>
      <w:r w:rsidR="000D24DA" w:rsidRPr="00882F11">
        <w:rPr>
          <w:rFonts w:cs="Guttman Drogolin"/>
          <w:rtl/>
          <w:lang w:bidi="he-IL"/>
        </w:rPr>
        <w:t xml:space="preserve"> </w:t>
      </w:r>
      <w:r w:rsidR="000D24DA" w:rsidRPr="00882F11">
        <w:rPr>
          <w:rFonts w:cs="Guttman Drogolin" w:hint="cs"/>
          <w:rtl/>
          <w:lang w:bidi="he-IL"/>
        </w:rPr>
        <w:t>איסור</w:t>
      </w:r>
      <w:r w:rsidR="000D24DA" w:rsidRPr="00882F11">
        <w:rPr>
          <w:rFonts w:cs="Guttman Drogolin"/>
          <w:rtl/>
          <w:lang w:bidi="he-IL"/>
        </w:rPr>
        <w:t xml:space="preserve"> </w:t>
      </w:r>
      <w:r w:rsidR="000D24DA" w:rsidRPr="00882F11">
        <w:rPr>
          <w:rFonts w:cs="Guttman Drogolin" w:hint="cs"/>
          <w:rtl/>
          <w:lang w:bidi="he-IL"/>
        </w:rPr>
        <w:t>דבוק</w:t>
      </w:r>
      <w:r w:rsidR="000D24DA" w:rsidRPr="00882F11">
        <w:rPr>
          <w:rFonts w:cs="Guttman Drogolin"/>
          <w:rtl/>
          <w:lang w:bidi="he-IL"/>
        </w:rPr>
        <w:t xml:space="preserve"> </w:t>
      </w:r>
      <w:r w:rsidR="000D24DA" w:rsidRPr="00882F11">
        <w:rPr>
          <w:rFonts w:cs="Guttman Drogolin" w:hint="cs"/>
          <w:rtl/>
          <w:lang w:bidi="he-IL"/>
        </w:rPr>
        <w:t>שבסימן</w:t>
      </w:r>
      <w:r w:rsidR="000D24DA" w:rsidRPr="00882F11">
        <w:rPr>
          <w:rFonts w:cs="Guttman Drogolin"/>
          <w:rtl/>
          <w:lang w:bidi="he-IL"/>
        </w:rPr>
        <w:t xml:space="preserve"> </w:t>
      </w:r>
      <w:r w:rsidR="000D24DA" w:rsidRPr="00882F11">
        <w:rPr>
          <w:rFonts w:cs="Guttman Drogolin" w:hint="cs"/>
          <w:rtl/>
          <w:lang w:bidi="he-IL"/>
        </w:rPr>
        <w:t>ע</w:t>
      </w:r>
      <w:r w:rsidR="000D24DA" w:rsidRPr="00882F11">
        <w:rPr>
          <w:rFonts w:cs="Guttman Drogolin"/>
          <w:rtl/>
          <w:lang w:bidi="he-IL"/>
        </w:rPr>
        <w:t>"</w:t>
      </w:r>
      <w:r w:rsidR="000D24DA" w:rsidRPr="00882F11">
        <w:rPr>
          <w:rFonts w:cs="Guttman Drogolin" w:hint="cs"/>
          <w:rtl/>
          <w:lang w:bidi="he-IL"/>
        </w:rPr>
        <w:t>ב</w:t>
      </w:r>
      <w:r w:rsidR="000D24DA" w:rsidRPr="00882F11">
        <w:rPr>
          <w:rFonts w:cs="Guttman Drogolin"/>
          <w:rtl/>
          <w:lang w:bidi="he-IL"/>
        </w:rPr>
        <w:t xml:space="preserve"> </w:t>
      </w:r>
      <w:r w:rsidR="000D24DA" w:rsidRPr="00882F11">
        <w:rPr>
          <w:rFonts w:cs="Guttman Drogolin" w:hint="cs"/>
          <w:rtl/>
          <w:lang w:bidi="he-IL"/>
        </w:rPr>
        <w:t>וצ</w:t>
      </w:r>
      <w:r w:rsidR="000D24DA" w:rsidRPr="00882F11">
        <w:rPr>
          <w:rFonts w:cs="Guttman Drogolin"/>
          <w:rtl/>
          <w:lang w:bidi="he-IL"/>
        </w:rPr>
        <w:t>"</w:t>
      </w:r>
      <w:r w:rsidR="000D24DA" w:rsidRPr="00882F11">
        <w:rPr>
          <w:rFonts w:cs="Guttman Drogolin" w:hint="cs"/>
          <w:rtl/>
          <w:lang w:bidi="he-IL"/>
        </w:rPr>
        <w:t>ב</w:t>
      </w:r>
      <w:r w:rsidR="000D24DA" w:rsidRPr="00882F11">
        <w:rPr>
          <w:rFonts w:cs="Guttman Drogolin"/>
          <w:rtl/>
          <w:lang w:bidi="he-IL"/>
        </w:rPr>
        <w:t xml:space="preserve"> </w:t>
      </w:r>
      <w:r w:rsidR="000D24DA" w:rsidRPr="00882F11">
        <w:rPr>
          <w:rFonts w:cs="Guttman Drogolin" w:hint="cs"/>
          <w:rtl/>
          <w:lang w:bidi="he-IL"/>
        </w:rPr>
        <w:t>וכמה</w:t>
      </w:r>
      <w:r w:rsidR="000D24DA" w:rsidRPr="00882F11">
        <w:rPr>
          <w:rFonts w:cs="Guttman Drogolin"/>
          <w:rtl/>
          <w:lang w:bidi="he-IL"/>
        </w:rPr>
        <w:t xml:space="preserve"> </w:t>
      </w:r>
      <w:r w:rsidR="000D24DA" w:rsidRPr="00882F11">
        <w:rPr>
          <w:rFonts w:cs="Guttman Drogolin" w:hint="cs"/>
          <w:rtl/>
          <w:lang w:bidi="he-IL"/>
        </w:rPr>
        <w:t>דוכתי</w:t>
      </w:r>
      <w:r w:rsidR="000D24DA" w:rsidRPr="00882F11">
        <w:rPr>
          <w:rFonts w:cs="Guttman Drogolin"/>
          <w:rtl/>
          <w:lang w:bidi="he-IL"/>
        </w:rPr>
        <w:t xml:space="preserve"> </w:t>
      </w:r>
      <w:r w:rsidR="000D24DA" w:rsidRPr="00882F11">
        <w:rPr>
          <w:rFonts w:cs="Guttman Drogolin" w:hint="cs"/>
          <w:rtl/>
          <w:lang w:bidi="he-IL"/>
        </w:rPr>
        <w:t>וכן</w:t>
      </w:r>
      <w:r w:rsidR="000D24DA" w:rsidRPr="00882F11">
        <w:rPr>
          <w:rFonts w:cs="Guttman Drogolin"/>
          <w:rtl/>
          <w:lang w:bidi="he-IL"/>
        </w:rPr>
        <w:t xml:space="preserve"> </w:t>
      </w:r>
      <w:r w:rsidR="000D24DA" w:rsidRPr="00882F11">
        <w:rPr>
          <w:rFonts w:cs="Guttman Drogolin" w:hint="cs"/>
          <w:rtl/>
          <w:lang w:bidi="he-IL"/>
        </w:rPr>
        <w:t>הבאתי</w:t>
      </w:r>
      <w:r w:rsidR="000D24DA" w:rsidRPr="00882F11">
        <w:rPr>
          <w:rFonts w:cs="Guttman Drogolin"/>
          <w:rtl/>
          <w:lang w:bidi="he-IL"/>
        </w:rPr>
        <w:t xml:space="preserve"> </w:t>
      </w:r>
      <w:r w:rsidR="000D24DA" w:rsidRPr="00882F11">
        <w:rPr>
          <w:rFonts w:cs="Guttman Drogolin" w:hint="cs"/>
          <w:rtl/>
          <w:lang w:bidi="he-IL"/>
        </w:rPr>
        <w:t>בסי</w:t>
      </w:r>
      <w:r w:rsidR="000D24DA" w:rsidRPr="00882F11">
        <w:rPr>
          <w:rFonts w:cs="Guttman Drogolin"/>
          <w:rtl/>
          <w:lang w:bidi="he-IL"/>
        </w:rPr>
        <w:t xml:space="preserve">' </w:t>
      </w:r>
      <w:r w:rsidR="000D24DA" w:rsidRPr="00882F11">
        <w:rPr>
          <w:rFonts w:cs="Guttman Drogolin" w:hint="cs"/>
          <w:rtl/>
          <w:lang w:bidi="he-IL"/>
        </w:rPr>
        <w:t>כ</w:t>
      </w:r>
      <w:r w:rsidR="000D24DA" w:rsidRPr="00882F11">
        <w:rPr>
          <w:rFonts w:cs="Guttman Drogolin"/>
          <w:rtl/>
          <w:lang w:bidi="he-IL"/>
        </w:rPr>
        <w:t>"</w:t>
      </w:r>
      <w:r w:rsidR="000D24DA" w:rsidRPr="00882F11">
        <w:rPr>
          <w:rFonts w:cs="Guttman Drogolin" w:hint="cs"/>
          <w:rtl/>
          <w:lang w:bidi="he-IL"/>
        </w:rPr>
        <w:t>ב</w:t>
      </w:r>
      <w:r w:rsidR="000D24DA" w:rsidRPr="00882F11">
        <w:rPr>
          <w:rFonts w:cs="Guttman Drogolin"/>
          <w:rtl/>
          <w:lang w:bidi="he-IL"/>
        </w:rPr>
        <w:t xml:space="preserve"> </w:t>
      </w:r>
      <w:r w:rsidR="000D24DA" w:rsidRPr="00882F11">
        <w:rPr>
          <w:rFonts w:cs="Guttman Drogolin" w:hint="cs"/>
          <w:rtl/>
          <w:lang w:bidi="he-IL"/>
        </w:rPr>
        <w:t>ס</w:t>
      </w:r>
      <w:r w:rsidR="000D24DA" w:rsidRPr="00882F11">
        <w:rPr>
          <w:rFonts w:cs="Guttman Drogolin"/>
          <w:rtl/>
          <w:lang w:bidi="he-IL"/>
        </w:rPr>
        <w:t>"</w:t>
      </w:r>
      <w:r w:rsidR="000D24DA" w:rsidRPr="00882F11">
        <w:rPr>
          <w:rFonts w:cs="Guttman Drogolin" w:hint="cs"/>
          <w:rtl/>
          <w:lang w:bidi="he-IL"/>
        </w:rPr>
        <w:t>ק</w:t>
      </w:r>
      <w:r w:rsidR="000D24DA" w:rsidRPr="00882F11">
        <w:rPr>
          <w:rFonts w:cs="Guttman Drogolin"/>
          <w:rtl/>
          <w:lang w:bidi="he-IL"/>
        </w:rPr>
        <w:t xml:space="preserve"> </w:t>
      </w:r>
      <w:r w:rsidR="000D24DA" w:rsidRPr="00882F11">
        <w:rPr>
          <w:rFonts w:cs="Guttman Drogolin" w:hint="cs"/>
          <w:rtl/>
          <w:lang w:bidi="he-IL"/>
        </w:rPr>
        <w:t>י</w:t>
      </w:r>
      <w:r w:rsidR="000D24DA" w:rsidRPr="00882F11">
        <w:rPr>
          <w:rFonts w:cs="Guttman Drogolin"/>
          <w:rtl/>
          <w:lang w:bidi="he-IL"/>
        </w:rPr>
        <w:t xml:space="preserve">' </w:t>
      </w:r>
      <w:r w:rsidR="000D24DA" w:rsidRPr="00882F11">
        <w:rPr>
          <w:rFonts w:cs="Guttman Drogolin" w:hint="cs"/>
          <w:rtl/>
          <w:lang w:bidi="he-IL"/>
        </w:rPr>
        <w:t>בשם</w:t>
      </w:r>
      <w:r w:rsidR="000D24DA" w:rsidRPr="00882F11">
        <w:rPr>
          <w:rFonts w:cs="Guttman Drogolin"/>
          <w:rtl/>
          <w:lang w:bidi="he-IL"/>
        </w:rPr>
        <w:t xml:space="preserve"> </w:t>
      </w:r>
      <w:r w:rsidR="000D24DA" w:rsidRPr="00882F11">
        <w:rPr>
          <w:rFonts w:cs="Guttman Drogolin" w:hint="cs"/>
          <w:rtl/>
          <w:lang w:bidi="he-IL"/>
        </w:rPr>
        <w:t>יש</w:t>
      </w:r>
      <w:r w:rsidR="000D24DA" w:rsidRPr="00882F11">
        <w:rPr>
          <w:rFonts w:cs="Guttman Drogolin"/>
          <w:rtl/>
          <w:lang w:bidi="he-IL"/>
        </w:rPr>
        <w:t xml:space="preserve"> </w:t>
      </w:r>
      <w:r w:rsidR="000D24DA" w:rsidRPr="00882F11">
        <w:rPr>
          <w:rFonts w:cs="Guttman Drogolin" w:hint="cs"/>
          <w:rtl/>
          <w:lang w:bidi="he-IL"/>
        </w:rPr>
        <w:t>פוסקים</w:t>
      </w:r>
      <w:r w:rsidR="000D24DA" w:rsidRPr="00882F11">
        <w:rPr>
          <w:rFonts w:cs="Guttman Drogolin"/>
          <w:rtl/>
          <w:lang w:bidi="he-IL"/>
        </w:rPr>
        <w:t xml:space="preserve"> </w:t>
      </w:r>
      <w:r w:rsidR="000D24DA" w:rsidRPr="00882F11">
        <w:rPr>
          <w:rFonts w:cs="Guttman Drogolin" w:hint="cs"/>
          <w:rtl/>
          <w:lang w:bidi="he-IL"/>
        </w:rPr>
        <w:t>דל</w:t>
      </w:r>
      <w:r w:rsidR="000D24DA" w:rsidRPr="00882F11">
        <w:rPr>
          <w:rFonts w:cs="Guttman Drogolin"/>
          <w:rtl/>
          <w:lang w:bidi="he-IL"/>
        </w:rPr>
        <w:t>"</w:t>
      </w:r>
      <w:r w:rsidR="000D24DA" w:rsidRPr="00882F11">
        <w:rPr>
          <w:rFonts w:cs="Guttman Drogolin" w:hint="cs"/>
          <w:rtl/>
          <w:lang w:bidi="he-IL"/>
        </w:rPr>
        <w:t>א</w:t>
      </w:r>
      <w:r w:rsidR="000D24DA" w:rsidRPr="00882F11">
        <w:rPr>
          <w:rFonts w:cs="Guttman Drogolin"/>
          <w:rtl/>
          <w:lang w:bidi="he-IL"/>
        </w:rPr>
        <w:t xml:space="preserve"> </w:t>
      </w:r>
      <w:r w:rsidR="000D24DA" w:rsidRPr="00882F11">
        <w:rPr>
          <w:rFonts w:cs="Guttman Drogolin" w:hint="cs"/>
          <w:rtl/>
          <w:lang w:bidi="he-IL"/>
        </w:rPr>
        <w:t>חנ</w:t>
      </w:r>
      <w:r w:rsidR="000D24DA" w:rsidRPr="00882F11">
        <w:rPr>
          <w:rFonts w:cs="Guttman Drogolin"/>
          <w:rtl/>
          <w:lang w:bidi="he-IL"/>
        </w:rPr>
        <w:t>"</w:t>
      </w:r>
      <w:r w:rsidR="000D24DA" w:rsidRPr="00882F11">
        <w:rPr>
          <w:rFonts w:cs="Guttman Drogolin" w:hint="cs"/>
          <w:rtl/>
          <w:lang w:bidi="he-IL"/>
        </w:rPr>
        <w:t>נ</w:t>
      </w:r>
      <w:r w:rsidR="000D24DA" w:rsidRPr="00882F11">
        <w:rPr>
          <w:rFonts w:cs="Guttman Drogolin"/>
          <w:rtl/>
          <w:lang w:bidi="he-IL"/>
        </w:rPr>
        <w:t xml:space="preserve"> </w:t>
      </w:r>
      <w:r w:rsidR="000D24DA" w:rsidRPr="00882F11">
        <w:rPr>
          <w:rFonts w:cs="Guttman Drogolin" w:hint="cs"/>
          <w:rtl/>
          <w:lang w:bidi="he-IL"/>
        </w:rPr>
        <w:t>רק</w:t>
      </w:r>
      <w:r w:rsidR="000D24DA" w:rsidRPr="00882F11">
        <w:rPr>
          <w:rFonts w:cs="Guttman Drogolin"/>
          <w:rtl/>
          <w:lang w:bidi="he-IL"/>
        </w:rPr>
        <w:t xml:space="preserve"> </w:t>
      </w:r>
      <w:r w:rsidR="000D24DA" w:rsidRPr="00882F11">
        <w:rPr>
          <w:rFonts w:cs="Guttman Drogolin" w:hint="cs"/>
          <w:rtl/>
          <w:lang w:bidi="he-IL"/>
        </w:rPr>
        <w:t>כשהחתיכה</w:t>
      </w:r>
      <w:r w:rsidR="000D24DA" w:rsidRPr="00882F11">
        <w:rPr>
          <w:rFonts w:cs="Guttman Drogolin"/>
          <w:rtl/>
          <w:lang w:bidi="he-IL"/>
        </w:rPr>
        <w:t xml:space="preserve"> </w:t>
      </w:r>
      <w:r w:rsidR="000D24DA" w:rsidRPr="00882F11">
        <w:rPr>
          <w:rFonts w:cs="Guttman Drogolin" w:hint="cs"/>
          <w:rtl/>
          <w:lang w:bidi="he-IL"/>
        </w:rPr>
        <w:t>עומדת</w:t>
      </w:r>
      <w:r w:rsidR="000D24DA" w:rsidRPr="00882F11">
        <w:rPr>
          <w:rFonts w:cs="Guttman Drogolin"/>
          <w:rtl/>
          <w:lang w:bidi="he-IL"/>
        </w:rPr>
        <w:t xml:space="preserve"> </w:t>
      </w:r>
      <w:r w:rsidR="000D24DA" w:rsidRPr="00882F11">
        <w:rPr>
          <w:rFonts w:cs="Guttman Drogolin" w:hint="cs"/>
          <w:rtl/>
          <w:lang w:bidi="he-IL"/>
        </w:rPr>
        <w:t>בפני</w:t>
      </w:r>
      <w:r w:rsidR="000D24DA" w:rsidRPr="00882F11">
        <w:rPr>
          <w:rFonts w:cs="Guttman Drogolin"/>
          <w:rtl/>
          <w:lang w:bidi="he-IL"/>
        </w:rPr>
        <w:t xml:space="preserve"> </w:t>
      </w:r>
      <w:r w:rsidR="000D24DA" w:rsidRPr="00882F11">
        <w:rPr>
          <w:rFonts w:cs="Guttman Drogolin" w:hint="cs"/>
          <w:rtl/>
          <w:lang w:bidi="he-IL"/>
        </w:rPr>
        <w:t>עצמה</w:t>
      </w:r>
      <w:r w:rsidR="000D24DA" w:rsidRPr="00882F11">
        <w:rPr>
          <w:rFonts w:cs="Guttman Drogolin"/>
          <w:rtl/>
          <w:lang w:bidi="he-IL"/>
        </w:rPr>
        <w:t xml:space="preserve"> </w:t>
      </w:r>
      <w:r w:rsidR="000D24DA" w:rsidRPr="00882F11">
        <w:rPr>
          <w:rFonts w:cs="Guttman Drogolin" w:hint="cs"/>
          <w:rtl/>
          <w:lang w:bidi="he-IL"/>
        </w:rPr>
        <w:t>אבל</w:t>
      </w:r>
      <w:r w:rsidR="000D24DA" w:rsidRPr="00882F11">
        <w:rPr>
          <w:rFonts w:cs="Guttman Drogolin"/>
          <w:rtl/>
          <w:lang w:bidi="he-IL"/>
        </w:rPr>
        <w:t xml:space="preserve"> </w:t>
      </w:r>
      <w:r w:rsidR="000D24DA" w:rsidRPr="00882F11">
        <w:rPr>
          <w:rFonts w:cs="Guttman Drogolin" w:hint="cs"/>
          <w:rtl/>
          <w:lang w:bidi="he-IL"/>
        </w:rPr>
        <w:t>לא</w:t>
      </w:r>
      <w:r w:rsidR="000D24DA" w:rsidRPr="00882F11">
        <w:rPr>
          <w:rFonts w:cs="Guttman Drogolin"/>
          <w:rtl/>
          <w:lang w:bidi="he-IL"/>
        </w:rPr>
        <w:t xml:space="preserve"> </w:t>
      </w:r>
      <w:r w:rsidR="000D24DA" w:rsidRPr="00882F11">
        <w:rPr>
          <w:rFonts w:cs="Guttman Drogolin" w:hint="cs"/>
          <w:rtl/>
          <w:lang w:bidi="he-IL"/>
        </w:rPr>
        <w:t>בחצי</w:t>
      </w:r>
      <w:r w:rsidR="000D24DA" w:rsidRPr="00882F11">
        <w:rPr>
          <w:rFonts w:cs="Guttman Drogolin"/>
          <w:rtl/>
          <w:lang w:bidi="he-IL"/>
        </w:rPr>
        <w:t xml:space="preserve"> </w:t>
      </w:r>
      <w:r w:rsidR="000D24DA" w:rsidRPr="00882F11">
        <w:rPr>
          <w:rFonts w:cs="Guttman Drogolin" w:hint="cs"/>
          <w:rtl/>
          <w:lang w:bidi="he-IL"/>
        </w:rPr>
        <w:t>חתיכה</w:t>
      </w:r>
      <w:r w:rsidR="000D24DA" w:rsidRPr="00882F11">
        <w:rPr>
          <w:rFonts w:cs="Guttman Drogolin"/>
          <w:rtl/>
          <w:lang w:bidi="he-IL"/>
        </w:rPr>
        <w:t xml:space="preserve"> </w:t>
      </w:r>
      <w:r w:rsidR="000D24DA" w:rsidRPr="00882F11">
        <w:rPr>
          <w:rFonts w:cs="Guttman Drogolin" w:hint="cs"/>
          <w:rtl/>
          <w:lang w:bidi="he-IL"/>
        </w:rPr>
        <w:t>וכה</w:t>
      </w:r>
      <w:r w:rsidR="000D24DA" w:rsidRPr="00882F11">
        <w:rPr>
          <w:rFonts w:cs="Guttman Drogolin"/>
          <w:rtl/>
          <w:lang w:bidi="he-IL"/>
        </w:rPr>
        <w:t>"</w:t>
      </w:r>
      <w:r w:rsidR="000D24DA" w:rsidRPr="00882F11">
        <w:rPr>
          <w:rFonts w:cs="Guttman Drogolin" w:hint="cs"/>
          <w:rtl/>
          <w:lang w:bidi="he-IL"/>
        </w:rPr>
        <w:t>ג</w:t>
      </w:r>
      <w:r w:rsidR="000D24DA" w:rsidRPr="00882F11">
        <w:rPr>
          <w:rFonts w:cs="Guttman Drogolin"/>
          <w:rtl/>
          <w:lang w:bidi="he-IL"/>
        </w:rPr>
        <w:t xml:space="preserve"> </w:t>
      </w:r>
      <w:r w:rsidR="000D24DA" w:rsidRPr="00882F11">
        <w:rPr>
          <w:rFonts w:cs="Guttman Drogolin" w:hint="cs"/>
          <w:rtl/>
          <w:lang w:bidi="he-IL"/>
        </w:rPr>
        <w:t>ואף</w:t>
      </w:r>
      <w:r w:rsidR="000D24DA" w:rsidRPr="00882F11">
        <w:rPr>
          <w:rFonts w:cs="Guttman Drogolin"/>
          <w:rtl/>
          <w:lang w:bidi="he-IL"/>
        </w:rPr>
        <w:t xml:space="preserve"> </w:t>
      </w:r>
      <w:r w:rsidR="000D24DA" w:rsidRPr="00882F11">
        <w:rPr>
          <w:rFonts w:cs="Guttman Drogolin" w:hint="cs"/>
          <w:rtl/>
          <w:lang w:bidi="he-IL"/>
        </w:rPr>
        <w:t>להפוסקים</w:t>
      </w:r>
      <w:r w:rsidR="000D24DA" w:rsidRPr="00882F11">
        <w:rPr>
          <w:rFonts w:cs="Guttman Drogolin"/>
          <w:rtl/>
          <w:lang w:bidi="he-IL"/>
        </w:rPr>
        <w:t xml:space="preserve"> </w:t>
      </w:r>
      <w:r w:rsidR="000D24DA" w:rsidRPr="00882F11">
        <w:rPr>
          <w:rFonts w:cs="Guttman Drogolin" w:hint="cs"/>
          <w:rtl/>
          <w:lang w:bidi="he-IL"/>
        </w:rPr>
        <w:t>דלא</w:t>
      </w:r>
      <w:r w:rsidR="000D24DA" w:rsidRPr="00882F11">
        <w:rPr>
          <w:rFonts w:cs="Guttman Drogolin"/>
          <w:rtl/>
          <w:lang w:bidi="he-IL"/>
        </w:rPr>
        <w:t xml:space="preserve"> </w:t>
      </w:r>
      <w:r w:rsidR="000D24DA" w:rsidRPr="00882F11">
        <w:rPr>
          <w:rFonts w:cs="Guttman Drogolin" w:hint="cs"/>
          <w:rtl/>
          <w:lang w:bidi="he-IL"/>
        </w:rPr>
        <w:t>ס</w:t>
      </w:r>
      <w:r w:rsidR="000D24DA" w:rsidRPr="00882F11">
        <w:rPr>
          <w:rFonts w:cs="Guttman Drogolin"/>
          <w:rtl/>
          <w:lang w:bidi="he-IL"/>
        </w:rPr>
        <w:t>"</w:t>
      </w:r>
      <w:r w:rsidR="000D24DA" w:rsidRPr="00882F11">
        <w:rPr>
          <w:rFonts w:cs="Guttman Drogolin" w:hint="cs"/>
          <w:rtl/>
          <w:lang w:bidi="he-IL"/>
        </w:rPr>
        <w:t>ל</w:t>
      </w:r>
      <w:r w:rsidR="000D24DA" w:rsidRPr="00882F11">
        <w:rPr>
          <w:rFonts w:cs="Guttman Drogolin"/>
          <w:rtl/>
          <w:lang w:bidi="he-IL"/>
        </w:rPr>
        <w:t xml:space="preserve"> </w:t>
      </w:r>
      <w:r w:rsidR="000D24DA" w:rsidRPr="00882F11">
        <w:rPr>
          <w:rFonts w:cs="Guttman Drogolin" w:hint="cs"/>
          <w:rtl/>
          <w:lang w:bidi="he-IL"/>
        </w:rPr>
        <w:t>הכי</w:t>
      </w:r>
      <w:r w:rsidR="000D24DA" w:rsidRPr="00882F11">
        <w:rPr>
          <w:rFonts w:cs="Guttman Drogolin"/>
          <w:rtl/>
          <w:lang w:bidi="he-IL"/>
        </w:rPr>
        <w:t xml:space="preserve"> </w:t>
      </w:r>
      <w:r w:rsidR="000D24DA" w:rsidRPr="00882F11">
        <w:rPr>
          <w:rFonts w:cs="Guttman Drogolin" w:hint="cs"/>
          <w:rtl/>
          <w:lang w:bidi="he-IL"/>
        </w:rPr>
        <w:t>מ</w:t>
      </w:r>
      <w:r w:rsidR="000D24DA" w:rsidRPr="00882F11">
        <w:rPr>
          <w:rFonts w:cs="Guttman Drogolin"/>
          <w:rtl/>
          <w:lang w:bidi="he-IL"/>
        </w:rPr>
        <w:t>"</w:t>
      </w:r>
      <w:r w:rsidR="000D24DA" w:rsidRPr="00882F11">
        <w:rPr>
          <w:rFonts w:cs="Guttman Drogolin" w:hint="cs"/>
          <w:rtl/>
          <w:lang w:bidi="he-IL"/>
        </w:rPr>
        <w:t>מ</w:t>
      </w:r>
      <w:r w:rsidR="000D24DA" w:rsidRPr="00882F11">
        <w:rPr>
          <w:rFonts w:cs="Guttman Drogolin"/>
          <w:rtl/>
          <w:lang w:bidi="he-IL"/>
        </w:rPr>
        <w:t xml:space="preserve"> </w:t>
      </w:r>
      <w:r w:rsidR="000D24DA" w:rsidRPr="00882F11">
        <w:rPr>
          <w:rFonts w:cs="Guttman Drogolin" w:hint="cs"/>
          <w:rtl/>
          <w:lang w:bidi="he-IL"/>
        </w:rPr>
        <w:t>מודים</w:t>
      </w:r>
      <w:r w:rsidR="000D24DA" w:rsidRPr="00882F11">
        <w:rPr>
          <w:rFonts w:cs="Guttman Drogolin"/>
          <w:rtl/>
          <w:lang w:bidi="he-IL"/>
        </w:rPr>
        <w:t xml:space="preserve"> </w:t>
      </w:r>
      <w:r w:rsidR="000D24DA" w:rsidRPr="00882F11">
        <w:rPr>
          <w:rFonts w:cs="Guttman Drogolin" w:hint="cs"/>
          <w:rtl/>
          <w:lang w:bidi="he-IL"/>
        </w:rPr>
        <w:t>דלא</w:t>
      </w:r>
      <w:r w:rsidR="000D24DA" w:rsidRPr="00882F11">
        <w:rPr>
          <w:rFonts w:cs="Guttman Drogolin"/>
          <w:rtl/>
          <w:lang w:bidi="he-IL"/>
        </w:rPr>
        <w:t xml:space="preserve"> </w:t>
      </w:r>
      <w:r w:rsidR="000D24DA" w:rsidRPr="00882F11">
        <w:rPr>
          <w:rFonts w:cs="Guttman Drogolin" w:hint="cs"/>
          <w:rtl/>
          <w:lang w:bidi="he-IL"/>
        </w:rPr>
        <w:t>חשיב</w:t>
      </w:r>
      <w:r w:rsidR="000D24DA" w:rsidRPr="00882F11">
        <w:rPr>
          <w:rFonts w:cs="Guttman Drogolin"/>
          <w:rtl/>
          <w:lang w:bidi="he-IL"/>
        </w:rPr>
        <w:t xml:space="preserve"> </w:t>
      </w:r>
      <w:r w:rsidR="000D24DA" w:rsidRPr="00882F11">
        <w:rPr>
          <w:rFonts w:cs="Guttman Drogolin" w:hint="cs"/>
          <w:rtl/>
          <w:lang w:bidi="he-IL"/>
        </w:rPr>
        <w:t>בכה</w:t>
      </w:r>
      <w:r w:rsidR="000D24DA" w:rsidRPr="00882F11">
        <w:rPr>
          <w:rFonts w:cs="Guttman Drogolin"/>
          <w:rtl/>
          <w:lang w:bidi="he-IL"/>
        </w:rPr>
        <w:t>"</w:t>
      </w:r>
      <w:r w:rsidR="000D24DA" w:rsidRPr="00882F11">
        <w:rPr>
          <w:rFonts w:cs="Guttman Drogolin" w:hint="cs"/>
          <w:rtl/>
          <w:lang w:bidi="he-IL"/>
        </w:rPr>
        <w:t>ג</w:t>
      </w:r>
      <w:r w:rsidR="000D24DA" w:rsidRPr="00882F11">
        <w:rPr>
          <w:rFonts w:cs="Guttman Drogolin"/>
          <w:rtl/>
          <w:lang w:bidi="he-IL"/>
        </w:rPr>
        <w:t xml:space="preserve"> </w:t>
      </w:r>
      <w:r w:rsidR="000D24DA" w:rsidRPr="00882F11">
        <w:rPr>
          <w:rFonts w:cs="Guttman Drogolin" w:hint="cs"/>
          <w:rtl/>
          <w:lang w:bidi="he-IL"/>
        </w:rPr>
        <w:t>איסור</w:t>
      </w:r>
      <w:r w:rsidR="000D24DA" w:rsidRPr="00882F11">
        <w:rPr>
          <w:rFonts w:cs="Guttman Drogolin"/>
          <w:rtl/>
          <w:lang w:bidi="he-IL"/>
        </w:rPr>
        <w:t xml:space="preserve"> </w:t>
      </w:r>
      <w:r w:rsidR="000D24DA" w:rsidRPr="00882F11">
        <w:rPr>
          <w:rFonts w:cs="Guttman Drogolin" w:hint="cs"/>
          <w:rtl/>
          <w:lang w:bidi="he-IL"/>
        </w:rPr>
        <w:t xml:space="preserve">דבוק". ודבריו אינם מובנים לי, דמאי שנא אם הנטילה </w:t>
      </w:r>
      <w:r w:rsidR="00924F8F" w:rsidRPr="00882F11">
        <w:rPr>
          <w:rFonts w:cs="Guttman Drogolin" w:hint="cs"/>
          <w:rtl/>
          <w:lang w:bidi="he-IL"/>
        </w:rPr>
        <w:t xml:space="preserve">אסורה מצד עצמה או לא. וגם מאי שנא ניכר לעצמו או לא. וכן מה איכפת לן השיעור אם </w:t>
      </w:r>
      <w:r w:rsidR="00924F8F" w:rsidRPr="00882F11">
        <w:rPr>
          <w:rFonts w:cs="Guttman Drogolin" w:hint="cs"/>
          <w:rtl/>
          <w:lang w:bidi="he-IL"/>
        </w:rPr>
        <w:lastRenderedPageBreak/>
        <w:t>נאסר רק כדי קליפה או לא</w:t>
      </w:r>
      <w:r w:rsidR="00E22803" w:rsidRPr="00882F11">
        <w:rPr>
          <w:rStyle w:val="FootnoteReference"/>
          <w:rFonts w:cs="Guttman Drogolin"/>
          <w:rtl/>
          <w:lang w:bidi="he-IL"/>
        </w:rPr>
        <w:footnoteReference w:id="316"/>
      </w:r>
      <w:r w:rsidR="00924F8F" w:rsidRPr="00882F11">
        <w:rPr>
          <w:rFonts w:cs="Guttman Drogolin" w:hint="cs"/>
          <w:rtl/>
          <w:lang w:bidi="he-IL"/>
        </w:rPr>
        <w:t xml:space="preserve">. </w:t>
      </w:r>
      <w:r w:rsidR="00F335FF" w:rsidRPr="00882F11">
        <w:rPr>
          <w:rFonts w:cs="Guttman Drogolin" w:hint="cs"/>
          <w:rtl/>
          <w:lang w:bidi="he-IL"/>
        </w:rPr>
        <w:t>אמנם בסוף דבריו שלא אומרים חענ"ן בחצי חתיכה יש לנו הסבר. שמדברי רע"א (</w:t>
      </w:r>
      <w:r w:rsidR="00C103D0" w:rsidRPr="00882F11">
        <w:rPr>
          <w:rFonts w:cs="Guttman Drogolin" w:hint="cs"/>
          <w:rtl/>
          <w:lang w:bidi="he-IL"/>
        </w:rPr>
        <w:t>על הש"ך, וכן ב</w:t>
      </w:r>
      <w:r w:rsidR="00F335FF" w:rsidRPr="00882F11">
        <w:rPr>
          <w:rFonts w:cs="Guttman Drogolin" w:hint="cs"/>
          <w:rtl/>
          <w:lang w:bidi="he-IL"/>
        </w:rPr>
        <w:t>ד"י</w:t>
      </w:r>
      <w:r w:rsidR="00C103D0" w:rsidRPr="00882F11">
        <w:rPr>
          <w:rFonts w:cs="Guttman Drogolin" w:hint="cs"/>
          <w:rtl/>
          <w:lang w:bidi="he-IL"/>
        </w:rPr>
        <w:t xml:space="preserve"> יותר באריכות</w:t>
      </w:r>
      <w:r w:rsidR="00F335FF" w:rsidRPr="00882F11">
        <w:rPr>
          <w:rFonts w:cs="Guttman Drogolin" w:hint="cs"/>
          <w:rtl/>
          <w:lang w:bidi="he-IL"/>
        </w:rPr>
        <w:t xml:space="preserve">) לכאורה מבואר שפי' דברי הש"ך שאמנם אנחנו מחמירים לומר חענ"ן גם בחצי חתיכה, מ"מ באיסור דבוק לא מחמרינן כולי האי. וע"ש שביאר בזה גם לשון הט"ז שכתב שלא אמרינן חענ"ן בחצי חתיכה, דר"ל כדי לאסור באיסור דבוק. </w:t>
      </w:r>
    </w:p>
    <w:p w:rsidR="005C0A6F" w:rsidRPr="00882F11" w:rsidRDefault="00F335FF" w:rsidP="00F335FF">
      <w:pPr>
        <w:tabs>
          <w:tab w:val="right" w:pos="7497"/>
        </w:tabs>
        <w:bidi/>
        <w:jc w:val="both"/>
        <w:rPr>
          <w:rFonts w:cs="Guttman Drogolin"/>
          <w:rtl/>
          <w:lang w:bidi="he-IL"/>
        </w:rPr>
      </w:pPr>
      <w:r w:rsidRPr="00882F11">
        <w:rPr>
          <w:rFonts w:cs="Guttman Drogolin" w:hint="cs"/>
          <w:rtl/>
          <w:lang w:bidi="he-IL"/>
        </w:rPr>
        <w:t xml:space="preserve">וע' בהגהת רע"א על הש"ך </w:t>
      </w:r>
      <w:r w:rsidR="00C103D0" w:rsidRPr="00882F11">
        <w:rPr>
          <w:rFonts w:cs="Guttman Drogolin" w:hint="cs"/>
          <w:rtl/>
          <w:lang w:bidi="he-IL"/>
        </w:rPr>
        <w:t xml:space="preserve">שהקשה למה בעינן לי' לדין חענ"ן, הא עצם הבלוע מתפשט מדין איסור דבוק, וזה יכול לאסור את כל המאכל החריף. ולכאורה י"ל דאה"נ אבל נפק"מ בכה"ג שיש ששים כנגד הבלוע בכדי נטילה אבל לא כנגד הכדי נטילה עצמה. </w:t>
      </w:r>
      <w:r w:rsidR="00924F8F" w:rsidRPr="00882F11">
        <w:rPr>
          <w:rFonts w:cs="Guttman Drogolin" w:hint="cs"/>
          <w:rtl/>
          <w:lang w:bidi="he-IL"/>
        </w:rPr>
        <w:t xml:space="preserve"> </w:t>
      </w:r>
      <w:r w:rsidR="00694E25" w:rsidRPr="00882F11">
        <w:rPr>
          <w:rFonts w:cs="Guttman Drogolin" w:hint="cs"/>
          <w:rtl/>
          <w:lang w:bidi="he-IL"/>
        </w:rPr>
        <w:t xml:space="preserve"> </w:t>
      </w:r>
      <w:r w:rsidR="00AF77FD" w:rsidRPr="00882F11">
        <w:rPr>
          <w:rFonts w:cs="Guttman Drogolin" w:hint="cs"/>
          <w:rtl/>
          <w:lang w:bidi="he-IL"/>
        </w:rPr>
        <w:t xml:space="preserve"> </w:t>
      </w:r>
      <w:r w:rsidR="002E624A" w:rsidRPr="00882F11">
        <w:rPr>
          <w:rFonts w:cs="Guttman Drogolin" w:hint="cs"/>
          <w:rtl/>
          <w:lang w:bidi="he-IL"/>
        </w:rPr>
        <w:t xml:space="preserve"> </w:t>
      </w:r>
    </w:p>
    <w:p w:rsidR="00E22803" w:rsidRPr="00882F11" w:rsidRDefault="00E22803" w:rsidP="00E22803">
      <w:pPr>
        <w:pStyle w:val="Heading1"/>
        <w:bidi/>
        <w:spacing w:before="0" w:line="360" w:lineRule="auto"/>
        <w:jc w:val="center"/>
        <w:rPr>
          <w:rFonts w:cs="Guttman Drogolin"/>
          <w:color w:val="auto"/>
          <w:sz w:val="24"/>
          <w:szCs w:val="24"/>
          <w:u w:val="single"/>
          <w:rtl/>
          <w:lang w:bidi="he-IL"/>
        </w:rPr>
      </w:pPr>
      <w:bookmarkStart w:id="290" w:name="_Toc496175541"/>
      <w:r w:rsidRPr="00882F11">
        <w:rPr>
          <w:rFonts w:cs="Guttman Drogolin" w:hint="cs"/>
          <w:color w:val="auto"/>
          <w:sz w:val="24"/>
          <w:szCs w:val="24"/>
          <w:u w:val="single"/>
          <w:rtl/>
          <w:lang w:bidi="he-IL"/>
        </w:rPr>
        <w:t>מהו דבר חריף</w:t>
      </w:r>
      <w:bookmarkEnd w:id="290"/>
    </w:p>
    <w:p w:rsidR="00A80093" w:rsidRPr="00882F11" w:rsidRDefault="00E3012A" w:rsidP="004D5D27">
      <w:pPr>
        <w:tabs>
          <w:tab w:val="right" w:pos="7497"/>
        </w:tabs>
        <w:bidi/>
        <w:jc w:val="both"/>
        <w:rPr>
          <w:rFonts w:cs="Guttman Drogolin"/>
          <w:rtl/>
          <w:lang w:bidi="he-IL"/>
        </w:rPr>
      </w:pPr>
      <w:r>
        <w:rPr>
          <w:rFonts w:cs="Guttman Drogolin"/>
          <w:rtl/>
          <w:lang w:bidi="he-IL"/>
        </w:rPr>
        <w:fldChar w:fldCharType="begin"/>
      </w:r>
      <w:r>
        <w:instrText xml:space="preserve"> XE "</w:instrText>
      </w:r>
      <w:r w:rsidRPr="004331E5">
        <w:rPr>
          <w:rFonts w:hint="cs"/>
          <w:rtl/>
          <w:lang w:bidi="he-IL"/>
        </w:rPr>
        <w:instrText>דבר חריף</w:instrText>
      </w:r>
      <w:r w:rsidRPr="004331E5">
        <w:rPr>
          <w:rtl/>
        </w:rPr>
        <w:instrText>:</w:instrText>
      </w:r>
      <w:r w:rsidRPr="004331E5">
        <w:rPr>
          <w:rFonts w:hint="cs"/>
          <w:rtl/>
          <w:lang w:bidi="he-IL"/>
        </w:rPr>
        <w:instrText>מהו</w:instrText>
      </w:r>
      <w:r>
        <w:instrText xml:space="preserve">" </w:instrText>
      </w:r>
      <w:r>
        <w:rPr>
          <w:rFonts w:cs="Guttman Drogolin"/>
          <w:rtl/>
          <w:lang w:bidi="he-IL"/>
        </w:rPr>
        <w:fldChar w:fldCharType="end"/>
      </w:r>
      <w:r w:rsidR="00E22803" w:rsidRPr="00882F11">
        <w:rPr>
          <w:rFonts w:cs="Guttman Drogolin" w:hint="cs"/>
          <w:rtl/>
          <w:lang w:bidi="he-IL"/>
        </w:rPr>
        <w:t>בסע' ב' מביא המחבר כמה דוגמות של דבר חריף. ובכללם יש ג"כ פירות חמוצים. והט"ז בס"ק ט' הביא מאו"ה (כלל ל"ח דין י"ד) שאין ל</w:t>
      </w:r>
      <w:r w:rsidR="006C1848" w:rsidRPr="00882F11">
        <w:rPr>
          <w:rFonts w:cs="Guttman Drogolin" w:hint="cs"/>
          <w:rtl/>
          <w:lang w:bidi="he-IL"/>
        </w:rPr>
        <w:t>תפוחים</w:t>
      </w:r>
      <w:r w:rsidR="00E22803" w:rsidRPr="00882F11">
        <w:rPr>
          <w:rFonts w:cs="Guttman Drogolin" w:hint="cs"/>
          <w:rtl/>
          <w:lang w:bidi="he-IL"/>
        </w:rPr>
        <w:t xml:space="preserve"> חמוצים</w:t>
      </w:r>
      <w:r w:rsidR="006C1848" w:rsidRPr="00882F11">
        <w:rPr>
          <w:rStyle w:val="FootnoteReference"/>
          <w:rFonts w:cs="Guttman Drogolin"/>
          <w:rtl/>
          <w:lang w:bidi="he-IL"/>
        </w:rPr>
        <w:footnoteReference w:id="317"/>
      </w:r>
      <w:r w:rsidR="00E22803" w:rsidRPr="00882F11">
        <w:rPr>
          <w:rFonts w:cs="Guttman Drogolin" w:hint="cs"/>
          <w:rtl/>
          <w:lang w:bidi="he-IL"/>
        </w:rPr>
        <w:t xml:space="preserve"> דין דבר חריף. </w:t>
      </w:r>
      <w:r w:rsidR="00624875" w:rsidRPr="00882F11">
        <w:rPr>
          <w:rFonts w:cs="Guttman Drogolin" w:hint="cs"/>
          <w:rtl/>
          <w:lang w:bidi="he-IL"/>
        </w:rPr>
        <w:t>ומ"מ מבואר שיש לו דין חמוץ קצת. ולכן כתב הט"ז שם להחמיר גם בהם אא"כ הוא מקום הפסד</w:t>
      </w:r>
      <w:r w:rsidR="00624875" w:rsidRPr="00882F11">
        <w:rPr>
          <w:rStyle w:val="FootnoteReference"/>
          <w:rFonts w:cs="Guttman Drogolin"/>
          <w:rtl/>
          <w:lang w:bidi="he-IL"/>
        </w:rPr>
        <w:footnoteReference w:id="318"/>
      </w:r>
      <w:r w:rsidR="00624875" w:rsidRPr="00882F11">
        <w:rPr>
          <w:rFonts w:cs="Guttman Drogolin" w:hint="cs"/>
          <w:rtl/>
          <w:lang w:bidi="he-IL"/>
        </w:rPr>
        <w:t xml:space="preserve">. </w:t>
      </w:r>
      <w:r w:rsidR="006C1848" w:rsidRPr="00882F11">
        <w:rPr>
          <w:rFonts w:cs="Guttman Drogolin" w:hint="cs"/>
          <w:rtl/>
          <w:lang w:bidi="he-IL"/>
        </w:rPr>
        <w:t>ודבר זה מעורר את השאלה איך קובעים מהו דבר חריף ומה לא.</w:t>
      </w:r>
      <w:r w:rsidR="004D5D27" w:rsidRPr="00882F11">
        <w:rPr>
          <w:rFonts w:cs="Guttman Drogolin" w:hint="cs"/>
          <w:rtl/>
          <w:lang w:bidi="he-IL"/>
        </w:rPr>
        <w:t xml:space="preserve"> והמש"ז שם ה</w:t>
      </w:r>
      <w:r w:rsidR="00624875" w:rsidRPr="00882F11">
        <w:rPr>
          <w:rFonts w:cs="Guttman Drogolin" w:hint="cs"/>
          <w:rtl/>
          <w:lang w:bidi="he-IL"/>
        </w:rPr>
        <w:t>ביא מבית הלל (רסי' צ"ה) "ונראה [שאין למאכל דין של דבר חריף לכל דיניו] דוקא אם הוא דבר חריף שאי אפשר לאוכלו בלא בישול רק דבר מועט או ע"י דבר אחר וכו". אמנם זה מבאר לנו מה יש לו דין דבר חריף גמור, אבל אנחנו עדיין צריכים כלל לקבוע מהו חריף קצת כמו פירות חמוצים, שמחמירים גם בהם שלא במקום הפסד.</w:t>
      </w:r>
      <w:r w:rsidR="00A80093" w:rsidRPr="00882F11">
        <w:rPr>
          <w:rFonts w:cs="Guttman Drogolin" w:hint="cs"/>
          <w:rtl/>
          <w:lang w:bidi="he-IL"/>
        </w:rPr>
        <w:t xml:space="preserve"> וראיתי במגי"ס (סי' צ"ו אות י"ג) </w:t>
      </w:r>
      <w:r w:rsidR="00A80093" w:rsidRPr="00882F11">
        <w:rPr>
          <w:rFonts w:cs="Guttman Drogolin" w:hint="cs"/>
          <w:rtl/>
          <w:lang w:bidi="he-IL"/>
        </w:rPr>
        <w:lastRenderedPageBreak/>
        <w:t xml:space="preserve">שכתב שאם יכול לאכול מהם הרבה אין לו דין דבר חריף כלל. ונראה דהבין כן בדעת הפמ"ג, אבל לכאורה הפמ"ג רצה לומר דכה"ג חשיב </w:t>
      </w:r>
      <w:r w:rsidR="004D5D27" w:rsidRPr="00882F11">
        <w:rPr>
          <w:rFonts w:cs="Guttman Drogolin" w:hint="cs"/>
          <w:rtl/>
          <w:lang w:bidi="he-IL"/>
        </w:rPr>
        <w:t>חריף</w:t>
      </w:r>
      <w:r w:rsidR="00A80093" w:rsidRPr="00882F11">
        <w:rPr>
          <w:rFonts w:cs="Guttman Drogolin" w:hint="cs"/>
          <w:rtl/>
          <w:lang w:bidi="he-IL"/>
        </w:rPr>
        <w:t xml:space="preserve"> קצת</w:t>
      </w:r>
      <w:r w:rsidR="00A80093" w:rsidRPr="00882F11">
        <w:rPr>
          <w:rStyle w:val="FootnoteReference"/>
          <w:rFonts w:cs="Guttman Drogolin"/>
          <w:rtl/>
          <w:lang w:bidi="he-IL"/>
        </w:rPr>
        <w:footnoteReference w:id="319"/>
      </w:r>
      <w:r w:rsidR="00A80093" w:rsidRPr="00882F11">
        <w:rPr>
          <w:rFonts w:cs="Guttman Drogolin" w:hint="cs"/>
          <w:rtl/>
          <w:lang w:bidi="he-IL"/>
        </w:rPr>
        <w:t>. וצ"ע.</w:t>
      </w:r>
    </w:p>
    <w:p w:rsidR="00A80093" w:rsidRPr="00882F11" w:rsidRDefault="00A80093" w:rsidP="00A80093">
      <w:pPr>
        <w:pStyle w:val="Heading1"/>
        <w:bidi/>
        <w:spacing w:before="0" w:line="360" w:lineRule="auto"/>
        <w:jc w:val="center"/>
        <w:rPr>
          <w:rFonts w:cs="Guttman Drogolin"/>
          <w:color w:val="auto"/>
          <w:sz w:val="24"/>
          <w:szCs w:val="24"/>
          <w:u w:val="single"/>
          <w:rtl/>
          <w:lang w:bidi="he-IL"/>
        </w:rPr>
      </w:pPr>
      <w:bookmarkStart w:id="291" w:name="_Toc496175542"/>
      <w:r w:rsidRPr="00882F11">
        <w:rPr>
          <w:rFonts w:cs="Guttman Drogolin" w:hint="cs"/>
          <w:color w:val="auto"/>
          <w:sz w:val="24"/>
          <w:szCs w:val="24"/>
          <w:u w:val="single"/>
          <w:rtl/>
          <w:lang w:bidi="he-IL"/>
        </w:rPr>
        <w:t>בדין לימוני"ש</w:t>
      </w:r>
      <w:bookmarkEnd w:id="291"/>
    </w:p>
    <w:p w:rsidR="00563777" w:rsidRPr="00882F11" w:rsidRDefault="00E3012A" w:rsidP="00563777">
      <w:pPr>
        <w:tabs>
          <w:tab w:val="right" w:pos="7497"/>
        </w:tabs>
        <w:bidi/>
        <w:jc w:val="both"/>
        <w:rPr>
          <w:rFonts w:cs="Guttman Drogolin"/>
          <w:rtl/>
          <w:lang w:bidi="he-IL"/>
        </w:rPr>
      </w:pPr>
      <w:r>
        <w:rPr>
          <w:rFonts w:cs="Guttman Drogolin"/>
          <w:rtl/>
          <w:lang w:bidi="he-IL"/>
        </w:rPr>
        <w:fldChar w:fldCharType="begin"/>
      </w:r>
      <w:r>
        <w:instrText xml:space="preserve"> XE "</w:instrText>
      </w:r>
      <w:r w:rsidRPr="009A473F">
        <w:rPr>
          <w:rFonts w:hint="cs"/>
          <w:rtl/>
          <w:lang w:bidi="he-IL"/>
        </w:rPr>
        <w:instrText>דבר חריף</w:instrText>
      </w:r>
      <w:r w:rsidRPr="009A473F">
        <w:rPr>
          <w:rtl/>
        </w:rPr>
        <w:instrText>:</w:instrText>
      </w:r>
      <w:r w:rsidRPr="009A473F">
        <w:rPr>
          <w:rFonts w:hint="cs"/>
          <w:rtl/>
          <w:lang w:bidi="he-IL"/>
        </w:rPr>
        <w:instrText>דין לימוני</w:instrText>
      </w:r>
      <w:r>
        <w:rPr>
          <w:rFonts w:eastAsiaTheme="minorEastAsia"/>
          <w:lang w:bidi="he-IL"/>
        </w:rPr>
        <w:instrText>\</w:instrText>
      </w:r>
      <w:r w:rsidRPr="009A473F">
        <w:rPr>
          <w:rFonts w:hint="cs"/>
          <w:rtl/>
          <w:lang w:bidi="he-IL"/>
        </w:rPr>
        <w:instrText>"ש</w:instrText>
      </w:r>
      <w:r>
        <w:instrText xml:space="preserve">" </w:instrText>
      </w:r>
      <w:r>
        <w:rPr>
          <w:rFonts w:cs="Guttman Drogolin"/>
          <w:rtl/>
          <w:lang w:bidi="he-IL"/>
        </w:rPr>
        <w:fldChar w:fldCharType="end"/>
      </w:r>
      <w:r w:rsidR="00A80093" w:rsidRPr="00882F11">
        <w:rPr>
          <w:rFonts w:cs="Guttman Drogolin" w:hint="cs"/>
          <w:rtl/>
          <w:lang w:bidi="he-IL"/>
        </w:rPr>
        <w:t>הביא הב"י בשם שיבולי הלקט</w:t>
      </w:r>
      <w:r w:rsidR="004C02B8" w:rsidRPr="00882F11">
        <w:rPr>
          <w:rFonts w:cs="Guttman Drogolin"/>
          <w:rtl/>
        </w:rPr>
        <w:t xml:space="preserve"> </w:t>
      </w:r>
      <w:r w:rsidR="004C02B8" w:rsidRPr="00882F11">
        <w:rPr>
          <w:rFonts w:cs="Guttman Drogolin"/>
          <w:rtl/>
          <w:lang w:bidi="he-IL"/>
        </w:rPr>
        <w:t>(</w:t>
      </w:r>
      <w:r w:rsidR="004C02B8" w:rsidRPr="00882F11">
        <w:rPr>
          <w:rFonts w:cs="Guttman Drogolin" w:hint="cs"/>
          <w:rtl/>
          <w:lang w:bidi="he-IL"/>
        </w:rPr>
        <w:t>ח</w:t>
      </w:r>
      <w:r w:rsidR="004C02B8" w:rsidRPr="00882F11">
        <w:rPr>
          <w:rFonts w:cs="Guttman Drogolin"/>
          <w:rtl/>
          <w:lang w:bidi="he-IL"/>
        </w:rPr>
        <w:t>"</w:t>
      </w:r>
      <w:r w:rsidR="004C02B8" w:rsidRPr="00882F11">
        <w:rPr>
          <w:rFonts w:cs="Guttman Drogolin" w:hint="cs"/>
          <w:rtl/>
          <w:lang w:bidi="he-IL"/>
        </w:rPr>
        <w:t>ב</w:t>
      </w:r>
      <w:r w:rsidR="004C02B8" w:rsidRPr="00882F11">
        <w:rPr>
          <w:rFonts w:cs="Guttman Drogolin"/>
          <w:rtl/>
          <w:lang w:bidi="he-IL"/>
        </w:rPr>
        <w:t xml:space="preserve"> </w:t>
      </w:r>
      <w:r w:rsidR="004C02B8" w:rsidRPr="00882F11">
        <w:rPr>
          <w:rFonts w:cs="Guttman Drogolin" w:hint="cs"/>
          <w:rtl/>
          <w:lang w:bidi="he-IL"/>
        </w:rPr>
        <w:t>סי</w:t>
      </w:r>
      <w:r w:rsidR="004C02B8" w:rsidRPr="00882F11">
        <w:rPr>
          <w:rFonts w:cs="Guttman Drogolin"/>
          <w:rtl/>
          <w:lang w:bidi="he-IL"/>
        </w:rPr>
        <w:t xml:space="preserve">' </w:t>
      </w:r>
      <w:r w:rsidR="004C02B8" w:rsidRPr="00882F11">
        <w:rPr>
          <w:rFonts w:cs="Guttman Drogolin" w:hint="cs"/>
          <w:rtl/>
          <w:lang w:bidi="he-IL"/>
        </w:rPr>
        <w:t>לז</w:t>
      </w:r>
      <w:r w:rsidR="004C02B8" w:rsidRPr="00882F11">
        <w:rPr>
          <w:rFonts w:cs="Guttman Drogolin"/>
          <w:rtl/>
          <w:lang w:bidi="he-IL"/>
        </w:rPr>
        <w:t xml:space="preserve">) </w:t>
      </w:r>
      <w:r w:rsidR="00A80093" w:rsidRPr="00882F11">
        <w:rPr>
          <w:rFonts w:cs="Guttman Drogolin" w:hint="cs"/>
          <w:rtl/>
          <w:lang w:bidi="he-IL"/>
        </w:rPr>
        <w:t>בשם</w:t>
      </w:r>
      <w:r w:rsidR="00A80093" w:rsidRPr="00882F11">
        <w:rPr>
          <w:rFonts w:cs="Guttman Drogolin"/>
          <w:rtl/>
          <w:lang w:bidi="he-IL"/>
        </w:rPr>
        <w:t xml:space="preserve"> </w:t>
      </w:r>
      <w:r w:rsidR="00A80093" w:rsidRPr="00882F11">
        <w:rPr>
          <w:rFonts w:cs="Guttman Drogolin" w:hint="cs"/>
          <w:rtl/>
          <w:lang w:bidi="he-IL"/>
        </w:rPr>
        <w:t>ה</w:t>
      </w:r>
      <w:r w:rsidR="00A80093" w:rsidRPr="00882F11">
        <w:rPr>
          <w:rFonts w:cs="Guttman Drogolin"/>
          <w:rtl/>
          <w:lang w:bidi="he-IL"/>
        </w:rPr>
        <w:t>"</w:t>
      </w:r>
      <w:r w:rsidR="00A80093" w:rsidRPr="00882F11">
        <w:rPr>
          <w:rFonts w:cs="Guttman Drogolin" w:hint="cs"/>
          <w:rtl/>
          <w:lang w:bidi="he-IL"/>
        </w:rPr>
        <w:t>ר</w:t>
      </w:r>
      <w:r w:rsidR="00A80093" w:rsidRPr="00882F11">
        <w:rPr>
          <w:rFonts w:cs="Guttman Drogolin"/>
          <w:rtl/>
          <w:lang w:bidi="he-IL"/>
        </w:rPr>
        <w:t xml:space="preserve"> </w:t>
      </w:r>
      <w:r w:rsidR="00A80093" w:rsidRPr="00882F11">
        <w:rPr>
          <w:rFonts w:cs="Guttman Drogolin" w:hint="cs"/>
          <w:rtl/>
          <w:lang w:bidi="he-IL"/>
        </w:rPr>
        <w:t>ישעיה</w:t>
      </w:r>
      <w:r w:rsidR="00A80093" w:rsidRPr="00882F11">
        <w:rPr>
          <w:rFonts w:cs="Guttman Drogolin"/>
          <w:rtl/>
          <w:lang w:bidi="he-IL"/>
        </w:rPr>
        <w:t xml:space="preserve"> </w:t>
      </w:r>
      <w:r w:rsidR="00A80093" w:rsidRPr="00882F11">
        <w:rPr>
          <w:rFonts w:cs="Guttman Drogolin" w:hint="cs"/>
          <w:rtl/>
          <w:lang w:bidi="he-IL"/>
        </w:rPr>
        <w:t>"לימוני</w:t>
      </w:r>
      <w:r w:rsidR="00A80093" w:rsidRPr="00882F11">
        <w:rPr>
          <w:rFonts w:cs="Guttman Drogolin"/>
          <w:rtl/>
          <w:lang w:bidi="he-IL"/>
        </w:rPr>
        <w:t>"</w:t>
      </w:r>
      <w:r w:rsidR="00A80093" w:rsidRPr="00882F11">
        <w:rPr>
          <w:rFonts w:cs="Guttman Drogolin" w:hint="cs"/>
          <w:rtl/>
          <w:lang w:bidi="he-IL"/>
        </w:rPr>
        <w:t>ש</w:t>
      </w:r>
      <w:r w:rsidR="00A80093" w:rsidRPr="00882F11">
        <w:rPr>
          <w:rFonts w:cs="Guttman Drogolin"/>
          <w:rtl/>
          <w:lang w:bidi="he-IL"/>
        </w:rPr>
        <w:t xml:space="preserve"> </w:t>
      </w:r>
      <w:r w:rsidR="00A80093" w:rsidRPr="00882F11">
        <w:rPr>
          <w:rFonts w:cs="Guttman Drogolin" w:hint="cs"/>
          <w:rtl/>
          <w:lang w:bidi="he-IL"/>
        </w:rPr>
        <w:t>של</w:t>
      </w:r>
      <w:r w:rsidR="00A80093" w:rsidRPr="00882F11">
        <w:rPr>
          <w:rFonts w:cs="Guttman Drogolin"/>
          <w:rtl/>
          <w:lang w:bidi="he-IL"/>
        </w:rPr>
        <w:t xml:space="preserve"> </w:t>
      </w:r>
      <w:r w:rsidR="00A80093" w:rsidRPr="00882F11">
        <w:rPr>
          <w:rFonts w:cs="Guttman Drogolin" w:hint="cs"/>
          <w:rtl/>
          <w:lang w:bidi="he-IL"/>
        </w:rPr>
        <w:t>גוים</w:t>
      </w:r>
      <w:r w:rsidR="00A80093" w:rsidRPr="00882F11">
        <w:rPr>
          <w:rFonts w:cs="Guttman Drogolin"/>
          <w:rtl/>
          <w:lang w:bidi="he-IL"/>
        </w:rPr>
        <w:t xml:space="preserve"> </w:t>
      </w:r>
      <w:r w:rsidR="00A80093" w:rsidRPr="00882F11">
        <w:rPr>
          <w:rFonts w:cs="Guttman Drogolin" w:hint="cs"/>
          <w:rtl/>
          <w:lang w:bidi="he-IL"/>
        </w:rPr>
        <w:t>מן</w:t>
      </w:r>
      <w:r w:rsidR="00A80093" w:rsidRPr="00882F11">
        <w:rPr>
          <w:rFonts w:cs="Guttman Drogolin"/>
          <w:rtl/>
          <w:lang w:bidi="he-IL"/>
        </w:rPr>
        <w:t xml:space="preserve"> </w:t>
      </w:r>
      <w:r w:rsidR="00A80093" w:rsidRPr="00882F11">
        <w:rPr>
          <w:rFonts w:cs="Guttman Drogolin" w:hint="cs"/>
          <w:rtl/>
          <w:lang w:bidi="he-IL"/>
        </w:rPr>
        <w:t>הדין</w:t>
      </w:r>
      <w:r w:rsidR="00A80093" w:rsidRPr="00882F11">
        <w:rPr>
          <w:rFonts w:cs="Guttman Drogolin"/>
          <w:rtl/>
          <w:lang w:bidi="he-IL"/>
        </w:rPr>
        <w:t xml:space="preserve"> </w:t>
      </w:r>
      <w:r w:rsidR="00A80093" w:rsidRPr="00882F11">
        <w:rPr>
          <w:rFonts w:cs="Guttman Drogolin" w:hint="cs"/>
          <w:rtl/>
          <w:lang w:bidi="he-IL"/>
        </w:rPr>
        <w:t>לאסרם</w:t>
      </w:r>
      <w:r w:rsidR="00A80093" w:rsidRPr="00882F11">
        <w:rPr>
          <w:rFonts w:cs="Guttman Drogolin"/>
          <w:rtl/>
          <w:lang w:bidi="he-IL"/>
        </w:rPr>
        <w:t xml:space="preserve"> </w:t>
      </w:r>
      <w:r w:rsidR="00A80093" w:rsidRPr="00882F11">
        <w:rPr>
          <w:rFonts w:cs="Guttman Drogolin" w:hint="cs"/>
          <w:rtl/>
          <w:lang w:bidi="he-IL"/>
        </w:rPr>
        <w:t>שחותכים</w:t>
      </w:r>
      <w:r w:rsidR="00A80093" w:rsidRPr="00882F11">
        <w:rPr>
          <w:rFonts w:cs="Guttman Drogolin"/>
          <w:rtl/>
          <w:lang w:bidi="he-IL"/>
        </w:rPr>
        <w:t xml:space="preserve"> </w:t>
      </w:r>
      <w:r w:rsidR="00A80093" w:rsidRPr="00882F11">
        <w:rPr>
          <w:rFonts w:cs="Guttman Drogolin" w:hint="cs"/>
          <w:rtl/>
          <w:lang w:bidi="he-IL"/>
        </w:rPr>
        <w:t>אותם</w:t>
      </w:r>
      <w:r w:rsidR="00A80093" w:rsidRPr="00882F11">
        <w:rPr>
          <w:rFonts w:cs="Guttman Drogolin"/>
          <w:rtl/>
          <w:lang w:bidi="he-IL"/>
        </w:rPr>
        <w:t xml:space="preserve"> </w:t>
      </w:r>
      <w:r w:rsidR="00A80093" w:rsidRPr="00882F11">
        <w:rPr>
          <w:rFonts w:cs="Guttman Drogolin" w:hint="cs"/>
          <w:rtl/>
          <w:lang w:bidi="he-IL"/>
        </w:rPr>
        <w:t>בסכין</w:t>
      </w:r>
      <w:r w:rsidR="00A80093" w:rsidRPr="00882F11">
        <w:rPr>
          <w:rFonts w:cs="Guttman Drogolin"/>
          <w:rtl/>
          <w:lang w:bidi="he-IL"/>
        </w:rPr>
        <w:t xml:space="preserve"> </w:t>
      </w:r>
      <w:r w:rsidR="00A80093" w:rsidRPr="00882F11">
        <w:rPr>
          <w:rFonts w:cs="Guttman Drogolin" w:hint="cs"/>
          <w:rtl/>
          <w:lang w:bidi="he-IL"/>
        </w:rPr>
        <w:t>שלהם</w:t>
      </w:r>
      <w:r w:rsidR="00A80093" w:rsidRPr="00882F11">
        <w:rPr>
          <w:rFonts w:cs="Guttman Drogolin"/>
          <w:rtl/>
          <w:lang w:bidi="he-IL"/>
        </w:rPr>
        <w:t xml:space="preserve"> </w:t>
      </w:r>
      <w:r w:rsidR="00A80093" w:rsidRPr="00882F11">
        <w:rPr>
          <w:rFonts w:cs="Guttman Drogolin" w:hint="cs"/>
          <w:rtl/>
          <w:lang w:bidi="he-IL"/>
        </w:rPr>
        <w:t>ואגב</w:t>
      </w:r>
      <w:r w:rsidR="00A80093" w:rsidRPr="00882F11">
        <w:rPr>
          <w:rFonts w:cs="Guttman Drogolin"/>
          <w:rtl/>
          <w:lang w:bidi="he-IL"/>
        </w:rPr>
        <w:t xml:space="preserve"> </w:t>
      </w:r>
      <w:r w:rsidR="00A80093" w:rsidRPr="00882F11">
        <w:rPr>
          <w:rFonts w:cs="Guttman Drogolin" w:hint="cs"/>
          <w:rtl/>
          <w:lang w:bidi="he-IL"/>
        </w:rPr>
        <w:t>חורפייהו</w:t>
      </w:r>
      <w:r w:rsidR="00A80093" w:rsidRPr="00882F11">
        <w:rPr>
          <w:rFonts w:cs="Guttman Drogolin"/>
          <w:rtl/>
          <w:lang w:bidi="he-IL"/>
        </w:rPr>
        <w:t xml:space="preserve"> </w:t>
      </w:r>
      <w:r w:rsidR="00A80093" w:rsidRPr="00882F11">
        <w:rPr>
          <w:rFonts w:cs="Guttman Drogolin" w:hint="cs"/>
          <w:rtl/>
          <w:lang w:bidi="he-IL"/>
        </w:rPr>
        <w:t>בלעי</w:t>
      </w:r>
      <w:r w:rsidR="00A80093" w:rsidRPr="00882F11">
        <w:rPr>
          <w:rFonts w:cs="Guttman Drogolin"/>
          <w:rtl/>
          <w:lang w:bidi="he-IL"/>
        </w:rPr>
        <w:t xml:space="preserve"> </w:t>
      </w:r>
      <w:r w:rsidR="00A80093" w:rsidRPr="00882F11">
        <w:rPr>
          <w:rFonts w:cs="Guttman Drogolin" w:hint="cs"/>
          <w:rtl/>
          <w:lang w:bidi="he-IL"/>
        </w:rPr>
        <w:t>אלא</w:t>
      </w:r>
      <w:r w:rsidR="00A80093" w:rsidRPr="00882F11">
        <w:rPr>
          <w:rFonts w:cs="Guttman Drogolin"/>
          <w:rtl/>
          <w:lang w:bidi="he-IL"/>
        </w:rPr>
        <w:t xml:space="preserve"> </w:t>
      </w:r>
      <w:r w:rsidR="00A80093" w:rsidRPr="00882F11">
        <w:rPr>
          <w:rFonts w:cs="Guttman Drogolin" w:hint="cs"/>
          <w:rtl/>
          <w:lang w:bidi="he-IL"/>
        </w:rPr>
        <w:t>מפני</w:t>
      </w:r>
      <w:r w:rsidR="00A80093" w:rsidRPr="00882F11">
        <w:rPr>
          <w:rFonts w:cs="Guttman Drogolin"/>
          <w:rtl/>
          <w:lang w:bidi="he-IL"/>
        </w:rPr>
        <w:t xml:space="preserve"> </w:t>
      </w:r>
      <w:r w:rsidR="00A80093" w:rsidRPr="00882F11">
        <w:rPr>
          <w:rFonts w:cs="Guttman Drogolin" w:hint="cs"/>
          <w:rtl/>
          <w:lang w:bidi="he-IL"/>
        </w:rPr>
        <w:t>שחותכים</w:t>
      </w:r>
      <w:r w:rsidR="00A80093" w:rsidRPr="00882F11">
        <w:rPr>
          <w:rFonts w:cs="Guttman Drogolin"/>
          <w:rtl/>
          <w:lang w:bidi="he-IL"/>
        </w:rPr>
        <w:t xml:space="preserve"> </w:t>
      </w:r>
      <w:r w:rsidR="00A80093" w:rsidRPr="00882F11">
        <w:rPr>
          <w:rFonts w:cs="Guttman Drogolin" w:hint="cs"/>
          <w:rtl/>
          <w:lang w:bidi="he-IL"/>
        </w:rPr>
        <w:t>רבים</w:t>
      </w:r>
      <w:r w:rsidR="00A80093" w:rsidRPr="00882F11">
        <w:rPr>
          <w:rFonts w:cs="Guttman Drogolin"/>
          <w:rtl/>
          <w:lang w:bidi="he-IL"/>
        </w:rPr>
        <w:t xml:space="preserve"> </w:t>
      </w:r>
      <w:r w:rsidR="00A80093" w:rsidRPr="00882F11">
        <w:rPr>
          <w:rFonts w:cs="Guttman Drogolin" w:hint="cs"/>
          <w:rtl/>
          <w:lang w:bidi="he-IL"/>
        </w:rPr>
        <w:t>בסכין</w:t>
      </w:r>
      <w:r w:rsidR="00A80093" w:rsidRPr="00882F11">
        <w:rPr>
          <w:rFonts w:cs="Guttman Drogolin"/>
          <w:rtl/>
          <w:lang w:bidi="he-IL"/>
        </w:rPr>
        <w:t xml:space="preserve"> </w:t>
      </w:r>
      <w:r w:rsidR="00A80093" w:rsidRPr="00882F11">
        <w:rPr>
          <w:rFonts w:cs="Guttman Drogolin" w:hint="cs"/>
          <w:rtl/>
          <w:lang w:bidi="he-IL"/>
        </w:rPr>
        <w:t>אחד</w:t>
      </w:r>
      <w:r w:rsidR="00A80093" w:rsidRPr="00882F11">
        <w:rPr>
          <w:rFonts w:cs="Guttman Drogolin"/>
          <w:rtl/>
          <w:lang w:bidi="he-IL"/>
        </w:rPr>
        <w:t xml:space="preserve"> </w:t>
      </w:r>
      <w:r w:rsidR="00A80093" w:rsidRPr="00882F11">
        <w:rPr>
          <w:rFonts w:cs="Guttman Drogolin" w:hint="cs"/>
          <w:rtl/>
          <w:lang w:bidi="he-IL"/>
        </w:rPr>
        <w:t>וממלאים</w:t>
      </w:r>
      <w:r w:rsidR="00A80093" w:rsidRPr="00882F11">
        <w:rPr>
          <w:rFonts w:cs="Guttman Drogolin"/>
          <w:rtl/>
          <w:lang w:bidi="he-IL"/>
        </w:rPr>
        <w:t xml:space="preserve"> </w:t>
      </w:r>
      <w:r w:rsidR="00A80093" w:rsidRPr="00882F11">
        <w:rPr>
          <w:rFonts w:cs="Guttman Drogolin" w:hint="cs"/>
          <w:rtl/>
          <w:lang w:bidi="he-IL"/>
        </w:rPr>
        <w:t>מהם</w:t>
      </w:r>
      <w:r w:rsidR="00A80093" w:rsidRPr="00882F11">
        <w:rPr>
          <w:rFonts w:cs="Guttman Drogolin"/>
          <w:rtl/>
          <w:lang w:bidi="he-IL"/>
        </w:rPr>
        <w:t xml:space="preserve"> </w:t>
      </w:r>
      <w:r w:rsidR="00A80093" w:rsidRPr="00882F11">
        <w:rPr>
          <w:rFonts w:cs="Guttman Drogolin" w:hint="cs"/>
          <w:rtl/>
          <w:lang w:bidi="he-IL"/>
        </w:rPr>
        <w:t>חביות</w:t>
      </w:r>
      <w:r w:rsidR="00A80093" w:rsidRPr="00882F11">
        <w:rPr>
          <w:rFonts w:cs="Guttman Drogolin"/>
          <w:rtl/>
          <w:lang w:bidi="he-IL"/>
        </w:rPr>
        <w:t xml:space="preserve"> </w:t>
      </w:r>
      <w:r w:rsidR="00A80093" w:rsidRPr="00882F11">
        <w:rPr>
          <w:rFonts w:cs="Guttman Drogolin" w:hint="cs"/>
          <w:rtl/>
          <w:lang w:bidi="he-IL"/>
        </w:rPr>
        <w:t>יש</w:t>
      </w:r>
      <w:r w:rsidR="00A80093" w:rsidRPr="00882F11">
        <w:rPr>
          <w:rFonts w:cs="Guttman Drogolin"/>
          <w:rtl/>
          <w:lang w:bidi="he-IL"/>
        </w:rPr>
        <w:t xml:space="preserve"> </w:t>
      </w:r>
      <w:r w:rsidR="00A80093" w:rsidRPr="00882F11">
        <w:rPr>
          <w:rFonts w:cs="Guttman Drogolin" w:hint="cs"/>
          <w:rtl/>
          <w:lang w:bidi="he-IL"/>
        </w:rPr>
        <w:t>לומר</w:t>
      </w:r>
      <w:r w:rsidR="00A80093" w:rsidRPr="00882F11">
        <w:rPr>
          <w:rFonts w:cs="Guttman Drogolin"/>
          <w:rtl/>
          <w:lang w:bidi="he-IL"/>
        </w:rPr>
        <w:t xml:space="preserve"> </w:t>
      </w:r>
      <w:r w:rsidR="00A80093" w:rsidRPr="00882F11">
        <w:rPr>
          <w:rFonts w:cs="Guttman Drogolin" w:hint="cs"/>
          <w:rtl/>
          <w:lang w:bidi="he-IL"/>
        </w:rPr>
        <w:t>שבטל</w:t>
      </w:r>
      <w:r w:rsidR="00A80093" w:rsidRPr="00882F11">
        <w:rPr>
          <w:rFonts w:cs="Guttman Drogolin"/>
          <w:rtl/>
          <w:lang w:bidi="he-IL"/>
        </w:rPr>
        <w:t xml:space="preserve"> </w:t>
      </w:r>
      <w:r w:rsidR="00A80093" w:rsidRPr="00882F11">
        <w:rPr>
          <w:rFonts w:cs="Guttman Drogolin" w:hint="cs"/>
          <w:rtl/>
          <w:lang w:bidi="he-IL"/>
        </w:rPr>
        <w:t>טעם</w:t>
      </w:r>
      <w:r w:rsidR="00A80093" w:rsidRPr="00882F11">
        <w:rPr>
          <w:rFonts w:cs="Guttman Drogolin"/>
          <w:rtl/>
          <w:lang w:bidi="he-IL"/>
        </w:rPr>
        <w:t xml:space="preserve"> </w:t>
      </w:r>
      <w:r w:rsidR="00A80093" w:rsidRPr="00882F11">
        <w:rPr>
          <w:rFonts w:cs="Guttman Drogolin" w:hint="cs"/>
          <w:rtl/>
          <w:lang w:bidi="he-IL"/>
        </w:rPr>
        <w:t>הסכין</w:t>
      </w:r>
      <w:r w:rsidR="00A80093" w:rsidRPr="00882F11">
        <w:rPr>
          <w:rFonts w:cs="Guttman Drogolin"/>
          <w:rtl/>
          <w:lang w:bidi="he-IL"/>
        </w:rPr>
        <w:t xml:space="preserve"> </w:t>
      </w:r>
      <w:r w:rsidR="00A80093" w:rsidRPr="00882F11">
        <w:rPr>
          <w:rFonts w:cs="Guttman Drogolin" w:hint="cs"/>
          <w:rtl/>
          <w:lang w:bidi="he-IL"/>
        </w:rPr>
        <w:t>בהם</w:t>
      </w:r>
      <w:r w:rsidR="00A80093" w:rsidRPr="00882F11">
        <w:rPr>
          <w:rFonts w:cs="Guttman Drogolin"/>
          <w:rtl/>
          <w:lang w:bidi="he-IL"/>
        </w:rPr>
        <w:t xml:space="preserve"> </w:t>
      </w:r>
      <w:r w:rsidR="00A80093" w:rsidRPr="00882F11">
        <w:rPr>
          <w:rFonts w:cs="Guttman Drogolin" w:hint="cs"/>
          <w:rtl/>
          <w:lang w:bidi="he-IL"/>
        </w:rPr>
        <w:t>ובודאי</w:t>
      </w:r>
      <w:r w:rsidR="00A80093" w:rsidRPr="00882F11">
        <w:rPr>
          <w:rFonts w:cs="Guttman Drogolin"/>
          <w:rtl/>
          <w:lang w:bidi="he-IL"/>
        </w:rPr>
        <w:t xml:space="preserve"> </w:t>
      </w:r>
      <w:r w:rsidR="00A80093" w:rsidRPr="00882F11">
        <w:rPr>
          <w:rFonts w:cs="Guttman Drogolin" w:hint="cs"/>
          <w:rtl/>
          <w:lang w:bidi="he-IL"/>
        </w:rPr>
        <w:t>ראשון</w:t>
      </w:r>
      <w:r w:rsidR="00A80093" w:rsidRPr="00882F11">
        <w:rPr>
          <w:rFonts w:cs="Guttman Drogolin"/>
          <w:rtl/>
          <w:lang w:bidi="he-IL"/>
        </w:rPr>
        <w:t xml:space="preserve"> </w:t>
      </w:r>
      <w:r w:rsidR="00A80093" w:rsidRPr="00882F11">
        <w:rPr>
          <w:rFonts w:cs="Guttman Drogolin" w:hint="cs"/>
          <w:rtl/>
          <w:lang w:bidi="he-IL"/>
        </w:rPr>
        <w:t>ושני</w:t>
      </w:r>
      <w:r w:rsidR="00A80093" w:rsidRPr="00882F11">
        <w:rPr>
          <w:rFonts w:cs="Guttman Drogolin"/>
          <w:rtl/>
          <w:lang w:bidi="he-IL"/>
        </w:rPr>
        <w:t xml:space="preserve"> </w:t>
      </w:r>
      <w:r w:rsidR="00A80093" w:rsidRPr="00882F11">
        <w:rPr>
          <w:rFonts w:cs="Guttman Drogolin" w:hint="cs"/>
          <w:rtl/>
          <w:lang w:bidi="he-IL"/>
        </w:rPr>
        <w:t>היה</w:t>
      </w:r>
      <w:r w:rsidR="00A80093" w:rsidRPr="00882F11">
        <w:rPr>
          <w:rFonts w:cs="Guttman Drogolin"/>
          <w:rtl/>
          <w:lang w:bidi="he-IL"/>
        </w:rPr>
        <w:t xml:space="preserve"> </w:t>
      </w:r>
      <w:r w:rsidR="00A80093" w:rsidRPr="00882F11">
        <w:rPr>
          <w:rFonts w:cs="Guttman Drogolin" w:hint="cs"/>
          <w:rtl/>
          <w:lang w:bidi="he-IL"/>
        </w:rPr>
        <w:t>ראוי</w:t>
      </w:r>
      <w:r w:rsidR="00A80093" w:rsidRPr="00882F11">
        <w:rPr>
          <w:rFonts w:cs="Guttman Drogolin"/>
          <w:rtl/>
          <w:lang w:bidi="he-IL"/>
        </w:rPr>
        <w:t xml:space="preserve"> </w:t>
      </w:r>
      <w:r w:rsidR="00A80093" w:rsidRPr="00882F11">
        <w:rPr>
          <w:rFonts w:cs="Guttman Drogolin" w:hint="cs"/>
          <w:rtl/>
          <w:lang w:bidi="he-IL"/>
        </w:rPr>
        <w:t>לאסרם</w:t>
      </w:r>
      <w:r w:rsidR="00A80093" w:rsidRPr="00882F11">
        <w:rPr>
          <w:rFonts w:cs="Guttman Drogolin"/>
          <w:rtl/>
          <w:lang w:bidi="he-IL"/>
        </w:rPr>
        <w:t xml:space="preserve"> </w:t>
      </w:r>
      <w:r w:rsidR="00A80093" w:rsidRPr="00882F11">
        <w:rPr>
          <w:rFonts w:cs="Guttman Drogolin" w:hint="cs"/>
          <w:rtl/>
          <w:lang w:bidi="he-IL"/>
        </w:rPr>
        <w:t>אלא</w:t>
      </w:r>
      <w:r w:rsidR="00A80093" w:rsidRPr="00882F11">
        <w:rPr>
          <w:rFonts w:cs="Guttman Drogolin"/>
          <w:rtl/>
          <w:lang w:bidi="he-IL"/>
        </w:rPr>
        <w:t xml:space="preserve"> </w:t>
      </w:r>
      <w:r w:rsidR="00A80093" w:rsidRPr="00882F11">
        <w:rPr>
          <w:rFonts w:cs="Guttman Drogolin" w:hint="cs"/>
          <w:rtl/>
          <w:lang w:bidi="he-IL"/>
        </w:rPr>
        <w:t>מפני</w:t>
      </w:r>
      <w:r w:rsidR="00A80093" w:rsidRPr="00882F11">
        <w:rPr>
          <w:rFonts w:cs="Guttman Drogolin"/>
          <w:rtl/>
          <w:lang w:bidi="he-IL"/>
        </w:rPr>
        <w:t xml:space="preserve"> </w:t>
      </w:r>
      <w:r w:rsidR="00A80093" w:rsidRPr="00882F11">
        <w:rPr>
          <w:rFonts w:cs="Guttman Drogolin" w:hint="cs"/>
          <w:rtl/>
          <w:lang w:bidi="he-IL"/>
        </w:rPr>
        <w:t>שאין</w:t>
      </w:r>
      <w:r w:rsidR="00A80093" w:rsidRPr="00882F11">
        <w:rPr>
          <w:rFonts w:cs="Guttman Drogolin"/>
          <w:rtl/>
          <w:lang w:bidi="he-IL"/>
        </w:rPr>
        <w:t xml:space="preserve"> </w:t>
      </w:r>
      <w:r w:rsidR="00A80093" w:rsidRPr="00882F11">
        <w:rPr>
          <w:rFonts w:cs="Guttman Drogolin" w:hint="cs"/>
          <w:rtl/>
          <w:lang w:bidi="he-IL"/>
        </w:rPr>
        <w:t>ניכרים</w:t>
      </w:r>
      <w:r w:rsidR="00A80093" w:rsidRPr="00882F11">
        <w:rPr>
          <w:rFonts w:cs="Guttman Drogolin"/>
          <w:rtl/>
          <w:lang w:bidi="he-IL"/>
        </w:rPr>
        <w:t xml:space="preserve"> </w:t>
      </w:r>
      <w:r w:rsidR="00A80093" w:rsidRPr="00882F11">
        <w:rPr>
          <w:rFonts w:cs="Guttman Drogolin" w:hint="cs"/>
          <w:rtl/>
          <w:lang w:bidi="he-IL"/>
        </w:rPr>
        <w:t>הם</w:t>
      </w:r>
      <w:r w:rsidR="00A80093" w:rsidRPr="00882F11">
        <w:rPr>
          <w:rFonts w:cs="Guttman Drogolin"/>
          <w:rtl/>
          <w:lang w:bidi="he-IL"/>
        </w:rPr>
        <w:t xml:space="preserve"> </w:t>
      </w:r>
      <w:r w:rsidR="00A80093" w:rsidRPr="00882F11">
        <w:rPr>
          <w:rFonts w:cs="Guttman Drogolin" w:hint="cs"/>
          <w:rtl/>
          <w:lang w:bidi="he-IL"/>
        </w:rPr>
        <w:t>בטלים</w:t>
      </w:r>
      <w:r w:rsidR="00A80093" w:rsidRPr="00882F11">
        <w:rPr>
          <w:rFonts w:cs="Guttman Drogolin"/>
          <w:rtl/>
          <w:lang w:bidi="he-IL"/>
        </w:rPr>
        <w:t xml:space="preserve"> </w:t>
      </w:r>
      <w:r w:rsidR="00A80093" w:rsidRPr="00882F11">
        <w:rPr>
          <w:rFonts w:cs="Guttman Drogolin" w:hint="cs"/>
          <w:rtl/>
          <w:lang w:bidi="he-IL"/>
        </w:rPr>
        <w:t>ברוב</w:t>
      </w:r>
      <w:r w:rsidR="00A80093" w:rsidRPr="00882F11">
        <w:rPr>
          <w:rFonts w:cs="Guttman Drogolin"/>
          <w:rtl/>
          <w:lang w:bidi="he-IL"/>
        </w:rPr>
        <w:t xml:space="preserve"> </w:t>
      </w:r>
      <w:r w:rsidR="00A80093" w:rsidRPr="00882F11">
        <w:rPr>
          <w:rFonts w:cs="Guttman Drogolin" w:hint="cs"/>
          <w:rtl/>
          <w:lang w:bidi="he-IL"/>
        </w:rPr>
        <w:t>הילכך</w:t>
      </w:r>
      <w:r w:rsidR="00A80093" w:rsidRPr="00882F11">
        <w:rPr>
          <w:rFonts w:cs="Guttman Drogolin"/>
          <w:rtl/>
          <w:lang w:bidi="he-IL"/>
        </w:rPr>
        <w:t xml:space="preserve"> </w:t>
      </w:r>
      <w:r w:rsidR="00A80093" w:rsidRPr="00882F11">
        <w:rPr>
          <w:rFonts w:cs="Guttman Drogolin" w:hint="cs"/>
          <w:rtl/>
          <w:lang w:bidi="he-IL"/>
        </w:rPr>
        <w:t>שרו</w:t>
      </w:r>
      <w:r w:rsidR="00A80093" w:rsidRPr="00882F11">
        <w:rPr>
          <w:rFonts w:cs="Guttman Drogolin"/>
          <w:rtl/>
          <w:lang w:bidi="he-IL"/>
        </w:rPr>
        <w:t xml:space="preserve"> </w:t>
      </w:r>
      <w:r w:rsidR="00A80093" w:rsidRPr="00882F11">
        <w:rPr>
          <w:rFonts w:cs="Guttman Drogolin" w:hint="cs"/>
          <w:rtl/>
          <w:lang w:bidi="he-IL"/>
        </w:rPr>
        <w:t>והוא</w:t>
      </w:r>
      <w:r w:rsidR="00A80093" w:rsidRPr="00882F11">
        <w:rPr>
          <w:rFonts w:cs="Guttman Drogolin"/>
          <w:rtl/>
          <w:lang w:bidi="he-IL"/>
        </w:rPr>
        <w:t xml:space="preserve"> </w:t>
      </w:r>
      <w:r w:rsidR="00A80093" w:rsidRPr="00882F11">
        <w:rPr>
          <w:rFonts w:cs="Guttman Drogolin" w:hint="cs"/>
          <w:rtl/>
          <w:lang w:bidi="he-IL"/>
        </w:rPr>
        <w:t>הדין</w:t>
      </w:r>
      <w:r w:rsidR="00A80093" w:rsidRPr="00882F11">
        <w:rPr>
          <w:rFonts w:cs="Guttman Drogolin"/>
          <w:rtl/>
          <w:lang w:bidi="he-IL"/>
        </w:rPr>
        <w:t xml:space="preserve"> </w:t>
      </w:r>
      <w:r w:rsidR="00A80093" w:rsidRPr="00882F11">
        <w:rPr>
          <w:rFonts w:cs="Guttman Drogolin" w:hint="cs"/>
          <w:rtl/>
          <w:lang w:bidi="he-IL"/>
        </w:rPr>
        <w:t>לחביות</w:t>
      </w:r>
      <w:r w:rsidR="00A80093" w:rsidRPr="00882F11">
        <w:rPr>
          <w:rFonts w:cs="Guttman Drogolin"/>
          <w:rtl/>
          <w:lang w:bidi="he-IL"/>
        </w:rPr>
        <w:t xml:space="preserve"> </w:t>
      </w:r>
      <w:r w:rsidR="00A80093" w:rsidRPr="00882F11">
        <w:rPr>
          <w:rFonts w:cs="Guttman Drogolin" w:hint="cs"/>
          <w:rtl/>
          <w:lang w:bidi="he-IL"/>
        </w:rPr>
        <w:t>של</w:t>
      </w:r>
      <w:r w:rsidR="00A80093" w:rsidRPr="00882F11">
        <w:rPr>
          <w:rFonts w:cs="Guttman Drogolin"/>
          <w:rtl/>
          <w:lang w:bidi="he-IL"/>
        </w:rPr>
        <w:t xml:space="preserve"> </w:t>
      </w:r>
      <w:r w:rsidR="00A80093" w:rsidRPr="00882F11">
        <w:rPr>
          <w:rFonts w:cs="Guttman Drogolin" w:hint="cs"/>
          <w:rtl/>
          <w:lang w:bidi="he-IL"/>
        </w:rPr>
        <w:t>טונינ</w:t>
      </w:r>
      <w:r w:rsidR="00A80093" w:rsidRPr="00882F11">
        <w:rPr>
          <w:rFonts w:cs="Guttman Drogolin"/>
          <w:rtl/>
          <w:lang w:bidi="he-IL"/>
        </w:rPr>
        <w:t>"</w:t>
      </w:r>
      <w:r w:rsidR="00A80093" w:rsidRPr="00882F11">
        <w:rPr>
          <w:rFonts w:cs="Guttman Drogolin" w:hint="cs"/>
          <w:rtl/>
          <w:lang w:bidi="he-IL"/>
        </w:rPr>
        <w:t>א</w:t>
      </w:r>
      <w:r w:rsidR="00A80093" w:rsidRPr="00882F11">
        <w:rPr>
          <w:rFonts w:cs="Guttman Drogolin"/>
          <w:rtl/>
          <w:lang w:bidi="he-IL"/>
        </w:rPr>
        <w:t xml:space="preserve"> </w:t>
      </w:r>
      <w:r w:rsidR="00A80093" w:rsidRPr="00882F11">
        <w:rPr>
          <w:rFonts w:cs="Guttman Drogolin" w:hint="cs"/>
          <w:rtl/>
          <w:lang w:bidi="he-IL"/>
        </w:rPr>
        <w:t>שרוב</w:t>
      </w:r>
      <w:r w:rsidR="00A80093" w:rsidRPr="00882F11">
        <w:rPr>
          <w:rFonts w:cs="Guttman Drogolin"/>
          <w:rtl/>
          <w:lang w:bidi="he-IL"/>
        </w:rPr>
        <w:t xml:space="preserve"> (</w:t>
      </w:r>
      <w:r w:rsidR="00A80093" w:rsidRPr="00882F11">
        <w:rPr>
          <w:rFonts w:cs="Guttman Drogolin" w:hint="cs"/>
          <w:rtl/>
          <w:lang w:bidi="he-IL"/>
        </w:rPr>
        <w:t>החתיכות</w:t>
      </w:r>
      <w:r w:rsidR="00A80093" w:rsidRPr="00882F11">
        <w:rPr>
          <w:rFonts w:cs="Guttman Drogolin"/>
          <w:rtl/>
          <w:lang w:bidi="he-IL"/>
        </w:rPr>
        <w:t>) [</w:t>
      </w:r>
      <w:r w:rsidR="00A80093" w:rsidRPr="00882F11">
        <w:rPr>
          <w:rFonts w:cs="Guttman Drogolin" w:hint="cs"/>
          <w:rtl/>
          <w:lang w:bidi="he-IL"/>
        </w:rPr>
        <w:t>החתכים</w:t>
      </w:r>
      <w:r w:rsidR="00A80093" w:rsidRPr="00882F11">
        <w:rPr>
          <w:rFonts w:cs="Guttman Drogolin"/>
          <w:rtl/>
          <w:lang w:bidi="he-IL"/>
        </w:rPr>
        <w:t xml:space="preserve">] </w:t>
      </w:r>
      <w:r w:rsidR="00A80093" w:rsidRPr="00882F11">
        <w:rPr>
          <w:rFonts w:cs="Guttman Drogolin" w:hint="cs"/>
          <w:rtl/>
          <w:lang w:bidi="he-IL"/>
        </w:rPr>
        <w:t>מבטלות</w:t>
      </w:r>
      <w:r w:rsidR="00A80093" w:rsidRPr="00882F11">
        <w:rPr>
          <w:rFonts w:cs="Guttman Drogolin"/>
          <w:rtl/>
          <w:lang w:bidi="he-IL"/>
        </w:rPr>
        <w:t xml:space="preserve"> </w:t>
      </w:r>
      <w:r w:rsidR="00A80093" w:rsidRPr="00882F11">
        <w:rPr>
          <w:rFonts w:cs="Guttman Drogolin" w:hint="cs"/>
          <w:rtl/>
          <w:lang w:bidi="he-IL"/>
        </w:rPr>
        <w:t>טעם</w:t>
      </w:r>
      <w:r w:rsidR="00A80093" w:rsidRPr="00882F11">
        <w:rPr>
          <w:rFonts w:cs="Guttman Drogolin"/>
          <w:rtl/>
          <w:lang w:bidi="he-IL"/>
        </w:rPr>
        <w:t xml:space="preserve"> </w:t>
      </w:r>
      <w:r w:rsidR="00A80093" w:rsidRPr="00882F11">
        <w:rPr>
          <w:rFonts w:cs="Guttman Drogolin" w:hint="cs"/>
          <w:rtl/>
          <w:lang w:bidi="he-IL"/>
        </w:rPr>
        <w:t>הסכין"</w:t>
      </w:r>
      <w:r w:rsidR="004C02B8" w:rsidRPr="00882F11">
        <w:rPr>
          <w:rFonts w:cs="Guttman Drogolin" w:hint="cs"/>
          <w:rtl/>
          <w:lang w:bidi="he-IL"/>
        </w:rPr>
        <w:t>. והוא המקור לדברי השו"ע סע' ד'. ודנו האחרונים מהו ביאור דבריו.</w:t>
      </w:r>
      <w:r w:rsidR="00A80093" w:rsidRPr="00882F11">
        <w:rPr>
          <w:rFonts w:cs="Guttman Drogolin"/>
          <w:rtl/>
          <w:lang w:bidi="he-IL"/>
        </w:rPr>
        <w:t xml:space="preserve"> </w:t>
      </w:r>
      <w:r w:rsidR="00A80093" w:rsidRPr="00882F11">
        <w:rPr>
          <w:rFonts w:cs="Guttman Drogolin" w:hint="cs"/>
          <w:rtl/>
          <w:lang w:bidi="he-IL"/>
        </w:rPr>
        <w:t xml:space="preserve"> </w:t>
      </w:r>
      <w:r w:rsidR="00624875" w:rsidRPr="00882F11">
        <w:rPr>
          <w:rFonts w:cs="Guttman Drogolin" w:hint="cs"/>
          <w:rtl/>
          <w:lang w:bidi="he-IL"/>
        </w:rPr>
        <w:t xml:space="preserve">  </w:t>
      </w:r>
    </w:p>
    <w:p w:rsidR="00563777" w:rsidRPr="00882F11" w:rsidRDefault="00563777" w:rsidP="008D684F">
      <w:pPr>
        <w:tabs>
          <w:tab w:val="right" w:pos="7497"/>
        </w:tabs>
        <w:bidi/>
        <w:jc w:val="both"/>
        <w:rPr>
          <w:rFonts w:cs="Guttman Drogolin"/>
          <w:rtl/>
          <w:lang w:bidi="he-IL"/>
        </w:rPr>
      </w:pPr>
      <w:r w:rsidRPr="00882F11">
        <w:rPr>
          <w:rFonts w:cs="Guttman Drogolin" w:hint="cs"/>
          <w:rtl/>
          <w:lang w:bidi="he-IL"/>
        </w:rPr>
        <w:t xml:space="preserve">הב"ח למד שר' ישעי' סבר כדעת מהר"ם שאין אומרים בדבר חריף דמחליא לשבח חוץ מחילתית. ולכן לא חשש אלא לשמנונית שעל הסכין, ולכן אחרי ב' חתיכות כבר אין שמנונית ואינו אוסר. ולכן תמה על הרמ"א שסתם להתיר אע"ג דאית לי' דאמרינן חענ"ן בשאר איסורים, וכן סבר שבשאר דברים חריפים חורפי' מחליא לשבח. </w:t>
      </w:r>
      <w:r w:rsidR="008D684F" w:rsidRPr="00882F11">
        <w:rPr>
          <w:rFonts w:cs="Guttman Drogolin" w:hint="cs"/>
          <w:rtl/>
          <w:lang w:bidi="he-IL"/>
        </w:rPr>
        <w:t>והוסיף לתמוה ע"פ המבואר בטור סי' תמ"ז דזיתים</w:t>
      </w:r>
      <w:r w:rsidR="008D684F" w:rsidRPr="00882F11">
        <w:rPr>
          <w:rFonts w:cs="Guttman Drogolin"/>
          <w:rtl/>
          <w:lang w:bidi="he-IL"/>
        </w:rPr>
        <w:t xml:space="preserve"> </w:t>
      </w:r>
      <w:r w:rsidR="008D684F" w:rsidRPr="00882F11">
        <w:rPr>
          <w:rFonts w:cs="Guttman Drogolin" w:hint="cs"/>
          <w:rtl/>
          <w:lang w:bidi="he-IL"/>
        </w:rPr>
        <w:t>שכבשן</w:t>
      </w:r>
      <w:r w:rsidR="008D684F" w:rsidRPr="00882F11">
        <w:rPr>
          <w:rFonts w:cs="Guttman Drogolin"/>
          <w:rtl/>
          <w:lang w:bidi="he-IL"/>
        </w:rPr>
        <w:t xml:space="preserve"> </w:t>
      </w:r>
      <w:r w:rsidR="008D684F" w:rsidRPr="00882F11">
        <w:rPr>
          <w:rFonts w:cs="Guttman Drogolin" w:hint="cs"/>
          <w:rtl/>
          <w:lang w:bidi="he-IL"/>
        </w:rPr>
        <w:t>ונחתכו</w:t>
      </w:r>
      <w:r w:rsidR="008D684F" w:rsidRPr="00882F11">
        <w:rPr>
          <w:rFonts w:cs="Guttman Drogolin"/>
          <w:rtl/>
          <w:lang w:bidi="he-IL"/>
        </w:rPr>
        <w:t xml:space="preserve"> </w:t>
      </w:r>
      <w:r w:rsidR="008D684F" w:rsidRPr="00882F11">
        <w:rPr>
          <w:rFonts w:cs="Guttman Drogolin" w:hint="cs"/>
          <w:rtl/>
          <w:lang w:bidi="he-IL"/>
        </w:rPr>
        <w:t>קודם</w:t>
      </w:r>
      <w:r w:rsidR="008D684F" w:rsidRPr="00882F11">
        <w:rPr>
          <w:rFonts w:cs="Guttman Drogolin"/>
          <w:rtl/>
          <w:lang w:bidi="he-IL"/>
        </w:rPr>
        <w:t xml:space="preserve"> </w:t>
      </w:r>
      <w:r w:rsidR="008D684F" w:rsidRPr="00882F11">
        <w:rPr>
          <w:rFonts w:cs="Guttman Drogolin" w:hint="cs"/>
          <w:rtl/>
          <w:lang w:bidi="he-IL"/>
        </w:rPr>
        <w:t>פסח</w:t>
      </w:r>
      <w:r w:rsidR="008D684F" w:rsidRPr="00882F11">
        <w:rPr>
          <w:rFonts w:cs="Guttman Drogolin"/>
          <w:rtl/>
          <w:lang w:bidi="he-IL"/>
        </w:rPr>
        <w:t xml:space="preserve"> </w:t>
      </w:r>
      <w:r w:rsidR="008D684F" w:rsidRPr="00882F11">
        <w:rPr>
          <w:rFonts w:cs="Guttman Drogolin" w:hint="cs"/>
          <w:rtl/>
          <w:lang w:bidi="he-IL"/>
        </w:rPr>
        <w:t>בסכין</w:t>
      </w:r>
      <w:r w:rsidR="008D684F" w:rsidRPr="00882F11">
        <w:rPr>
          <w:rFonts w:cs="Guttman Drogolin"/>
          <w:rtl/>
          <w:lang w:bidi="he-IL"/>
        </w:rPr>
        <w:t xml:space="preserve"> </w:t>
      </w:r>
      <w:r w:rsidR="008D684F" w:rsidRPr="00882F11">
        <w:rPr>
          <w:rFonts w:cs="Guttman Drogolin" w:hint="cs"/>
          <w:rtl/>
          <w:lang w:bidi="he-IL"/>
        </w:rPr>
        <w:t>של</w:t>
      </w:r>
      <w:r w:rsidR="008D684F" w:rsidRPr="00882F11">
        <w:rPr>
          <w:rFonts w:cs="Guttman Drogolin"/>
          <w:rtl/>
          <w:lang w:bidi="he-IL"/>
        </w:rPr>
        <w:t xml:space="preserve"> </w:t>
      </w:r>
      <w:r w:rsidR="008D684F" w:rsidRPr="00882F11">
        <w:rPr>
          <w:rFonts w:cs="Guttman Drogolin" w:hint="cs"/>
          <w:rtl/>
          <w:lang w:bidi="he-IL"/>
        </w:rPr>
        <w:t>חמץ</w:t>
      </w:r>
      <w:r w:rsidR="008D684F" w:rsidRPr="00882F11">
        <w:rPr>
          <w:rFonts w:cs="Guttman Drogolin"/>
          <w:rtl/>
          <w:lang w:bidi="he-IL"/>
        </w:rPr>
        <w:t xml:space="preserve"> </w:t>
      </w:r>
      <w:r w:rsidR="008D684F" w:rsidRPr="00882F11">
        <w:rPr>
          <w:rFonts w:cs="Guttman Drogolin" w:hint="cs"/>
          <w:rtl/>
          <w:lang w:bidi="he-IL"/>
        </w:rPr>
        <w:t>שאינו</w:t>
      </w:r>
      <w:r w:rsidR="008D684F" w:rsidRPr="00882F11">
        <w:rPr>
          <w:rFonts w:cs="Guttman Drogolin"/>
          <w:rtl/>
          <w:lang w:bidi="he-IL"/>
        </w:rPr>
        <w:t xml:space="preserve"> </w:t>
      </w:r>
      <w:r w:rsidR="008D684F" w:rsidRPr="00882F11">
        <w:rPr>
          <w:rFonts w:cs="Guttman Drogolin" w:hint="cs"/>
          <w:rtl/>
          <w:lang w:bidi="he-IL"/>
        </w:rPr>
        <w:t>בן</w:t>
      </w:r>
      <w:r w:rsidR="008D684F" w:rsidRPr="00882F11">
        <w:rPr>
          <w:rFonts w:cs="Guttman Drogolin"/>
          <w:rtl/>
          <w:lang w:bidi="he-IL"/>
        </w:rPr>
        <w:t xml:space="preserve"> </w:t>
      </w:r>
      <w:r w:rsidR="008D684F" w:rsidRPr="00882F11">
        <w:rPr>
          <w:rFonts w:cs="Guttman Drogolin" w:hint="cs"/>
          <w:rtl/>
          <w:lang w:bidi="he-IL"/>
        </w:rPr>
        <w:t>יומו</w:t>
      </w:r>
      <w:r w:rsidR="008D684F" w:rsidRPr="00882F11">
        <w:rPr>
          <w:rFonts w:cs="Guttman Drogolin"/>
          <w:rtl/>
          <w:lang w:bidi="he-IL"/>
        </w:rPr>
        <w:t xml:space="preserve"> </w:t>
      </w:r>
      <w:r w:rsidR="008D684F" w:rsidRPr="00882F11">
        <w:rPr>
          <w:rFonts w:cs="Guttman Drogolin" w:hint="cs"/>
          <w:rtl/>
          <w:lang w:bidi="he-IL"/>
        </w:rPr>
        <w:t xml:space="preserve">שכולם אסורים. </w:t>
      </w:r>
      <w:r w:rsidRPr="00882F11">
        <w:rPr>
          <w:rFonts w:cs="Guttman Drogolin" w:hint="cs"/>
          <w:rtl/>
          <w:lang w:bidi="he-IL"/>
        </w:rPr>
        <w:t>והש"ך בס"ק כ' דקדק מעצם לשונו של ר' ישעי' שהנידון הוא בבלוע בסכין ולאו דוקא השמנונית. ולכן פירש דברי ר' ישעי' באופן אחר, ובהקדמת כמה יסודות.</w:t>
      </w:r>
    </w:p>
    <w:p w:rsidR="00563777" w:rsidRPr="00882F11" w:rsidRDefault="00563777" w:rsidP="00563777">
      <w:pPr>
        <w:pStyle w:val="ListParagraph"/>
        <w:numPr>
          <w:ilvl w:val="0"/>
          <w:numId w:val="19"/>
        </w:numPr>
        <w:tabs>
          <w:tab w:val="right" w:pos="7497"/>
        </w:tabs>
        <w:bidi/>
        <w:jc w:val="both"/>
        <w:rPr>
          <w:rFonts w:cs="Guttman Drogolin"/>
          <w:lang w:bidi="he-IL"/>
        </w:rPr>
      </w:pPr>
      <w:r w:rsidRPr="00882F11">
        <w:rPr>
          <w:rFonts w:cs="Guttman Drogolin" w:hint="cs"/>
          <w:rtl/>
          <w:lang w:bidi="he-IL"/>
        </w:rPr>
        <w:t>דלימוני"ש אינם חריפים כ"כ כמו צנון.</w:t>
      </w:r>
    </w:p>
    <w:p w:rsidR="00563777" w:rsidRPr="00882F11" w:rsidRDefault="00563777" w:rsidP="00563777">
      <w:pPr>
        <w:pStyle w:val="ListParagraph"/>
        <w:numPr>
          <w:ilvl w:val="0"/>
          <w:numId w:val="19"/>
        </w:numPr>
        <w:tabs>
          <w:tab w:val="right" w:pos="7497"/>
        </w:tabs>
        <w:bidi/>
        <w:jc w:val="both"/>
        <w:rPr>
          <w:rFonts w:cs="Guttman Drogolin"/>
          <w:lang w:bidi="he-IL"/>
        </w:rPr>
      </w:pPr>
      <w:r w:rsidRPr="00882F11">
        <w:rPr>
          <w:rFonts w:cs="Guttman Drogolin" w:hint="cs"/>
          <w:rtl/>
          <w:lang w:bidi="he-IL"/>
        </w:rPr>
        <w:t>דבר שהוא בחריפות כמו הלימוני"ש לא</w:t>
      </w:r>
      <w:r w:rsidRPr="00882F11">
        <w:rPr>
          <w:rFonts w:cs="Guttman Drogolin"/>
          <w:rtl/>
          <w:lang w:bidi="he-IL"/>
        </w:rPr>
        <w:t xml:space="preserve"> </w:t>
      </w:r>
      <w:r w:rsidRPr="00882F11">
        <w:rPr>
          <w:rFonts w:cs="Guttman Drogolin" w:hint="cs"/>
          <w:rtl/>
          <w:lang w:bidi="he-IL"/>
        </w:rPr>
        <w:t>מחליא</w:t>
      </w:r>
      <w:r w:rsidRPr="00882F11">
        <w:rPr>
          <w:rFonts w:cs="Guttman Drogolin"/>
          <w:rtl/>
          <w:lang w:bidi="he-IL"/>
        </w:rPr>
        <w:t xml:space="preserve"> </w:t>
      </w:r>
      <w:r w:rsidRPr="00882F11">
        <w:rPr>
          <w:rFonts w:cs="Guttman Drogolin" w:hint="cs"/>
          <w:rtl/>
          <w:lang w:bidi="he-IL"/>
        </w:rPr>
        <w:t>אלא</w:t>
      </w:r>
      <w:r w:rsidRPr="00882F11">
        <w:rPr>
          <w:rFonts w:cs="Guttman Drogolin"/>
          <w:rtl/>
          <w:lang w:bidi="he-IL"/>
        </w:rPr>
        <w:t xml:space="preserve"> </w:t>
      </w:r>
      <w:r w:rsidRPr="00882F11">
        <w:rPr>
          <w:rFonts w:cs="Guttman Drogolin" w:hint="cs"/>
          <w:rtl/>
          <w:lang w:bidi="he-IL"/>
        </w:rPr>
        <w:t>מה</w:t>
      </w:r>
      <w:r w:rsidRPr="00882F11">
        <w:rPr>
          <w:rFonts w:cs="Guttman Drogolin"/>
          <w:rtl/>
          <w:lang w:bidi="he-IL"/>
        </w:rPr>
        <w:t xml:space="preserve"> </w:t>
      </w:r>
      <w:r w:rsidRPr="00882F11">
        <w:rPr>
          <w:rFonts w:cs="Guttman Drogolin" w:hint="cs"/>
          <w:rtl/>
          <w:lang w:bidi="he-IL"/>
        </w:rPr>
        <w:t>שבלוע</w:t>
      </w:r>
      <w:r w:rsidRPr="00882F11">
        <w:rPr>
          <w:rFonts w:cs="Guttman Drogolin"/>
          <w:rtl/>
          <w:lang w:bidi="he-IL"/>
        </w:rPr>
        <w:t xml:space="preserve"> </w:t>
      </w:r>
      <w:r w:rsidRPr="00882F11">
        <w:rPr>
          <w:rFonts w:cs="Guttman Drogolin" w:hint="cs"/>
          <w:rtl/>
          <w:lang w:bidi="he-IL"/>
        </w:rPr>
        <w:t>בדופני</w:t>
      </w:r>
      <w:r w:rsidRPr="00882F11">
        <w:rPr>
          <w:rFonts w:cs="Guttman Drogolin"/>
          <w:rtl/>
          <w:lang w:bidi="he-IL"/>
        </w:rPr>
        <w:t xml:space="preserve"> </w:t>
      </w:r>
      <w:r w:rsidRPr="00882F11">
        <w:rPr>
          <w:rFonts w:cs="Guttman Drogolin" w:hint="cs"/>
          <w:rtl/>
          <w:lang w:bidi="he-IL"/>
        </w:rPr>
        <w:t xml:space="preserve">הסכין (פי' השפה החיצונית) ולא מה שבלוע יותר </w:t>
      </w:r>
      <w:r w:rsidRPr="00882F11">
        <w:rPr>
          <w:rFonts w:cs="Guttman Drogolin" w:hint="cs"/>
          <w:rtl/>
          <w:lang w:bidi="he-IL"/>
        </w:rPr>
        <w:lastRenderedPageBreak/>
        <w:t>בפנים, לעומת צנון דמחליא לשבח אפילו מה שבלוע בתוכו של הסכין.</w:t>
      </w:r>
    </w:p>
    <w:p w:rsidR="00563777" w:rsidRPr="00882F11" w:rsidRDefault="004D5D27" w:rsidP="004D5D27">
      <w:pPr>
        <w:pStyle w:val="ListParagraph"/>
        <w:numPr>
          <w:ilvl w:val="0"/>
          <w:numId w:val="19"/>
        </w:numPr>
        <w:tabs>
          <w:tab w:val="right" w:pos="7497"/>
        </w:tabs>
        <w:bidi/>
        <w:jc w:val="both"/>
        <w:rPr>
          <w:rFonts w:cs="Guttman Drogolin"/>
          <w:lang w:bidi="he-IL"/>
        </w:rPr>
      </w:pPr>
      <w:r w:rsidRPr="00882F11">
        <w:rPr>
          <w:rFonts w:cs="Guttman Drogolin" w:hint="cs"/>
          <w:rtl/>
          <w:lang w:bidi="he-IL"/>
        </w:rPr>
        <w:t xml:space="preserve">יש </w:t>
      </w:r>
      <w:r w:rsidR="00563777" w:rsidRPr="00882F11">
        <w:rPr>
          <w:rFonts w:cs="Guttman Drogolin" w:hint="cs"/>
          <w:rtl/>
          <w:lang w:bidi="he-IL"/>
        </w:rPr>
        <w:t xml:space="preserve">כח </w:t>
      </w:r>
      <w:r w:rsidRPr="00882F11">
        <w:rPr>
          <w:rFonts w:cs="Guttman Drogolin" w:hint="cs"/>
          <w:rtl/>
          <w:lang w:bidi="he-IL"/>
        </w:rPr>
        <w:t>ל</w:t>
      </w:r>
      <w:r w:rsidR="00563777" w:rsidRPr="00882F11">
        <w:rPr>
          <w:rFonts w:cs="Guttman Drogolin" w:hint="cs"/>
          <w:rtl/>
          <w:lang w:bidi="he-IL"/>
        </w:rPr>
        <w:t>חריפות של הלימוני"ש לבטל טעם הבלוע בחלק החיצוני של הסכין אחרי ב' חתיכות.</w:t>
      </w:r>
    </w:p>
    <w:p w:rsidR="00934DB1" w:rsidRPr="00882F11" w:rsidRDefault="00563777" w:rsidP="00934DB1">
      <w:pPr>
        <w:tabs>
          <w:tab w:val="right" w:pos="7497"/>
        </w:tabs>
        <w:bidi/>
        <w:jc w:val="both"/>
        <w:rPr>
          <w:rFonts w:cs="Guttman Drogolin"/>
          <w:rtl/>
          <w:lang w:bidi="he-IL"/>
        </w:rPr>
      </w:pPr>
      <w:r w:rsidRPr="00882F11">
        <w:rPr>
          <w:rFonts w:cs="Guttman Drogolin" w:hint="cs"/>
          <w:rtl/>
          <w:lang w:bidi="he-IL"/>
        </w:rPr>
        <w:t>וע"פ זה ביאר הש"ך שהלימוני"ש אינם אוסרים אחרי שחתכו א' וב' מהם. משא"כ בכגון צנון שאוסר אפילו יותר מזה, דהא מחליא לשבח גם הבלוע בתוכו של הסכין, בזה אמרינן שאין הטעם הבלוע מתבטל ולכן ממשיך לאסור.</w:t>
      </w:r>
      <w:r w:rsidR="008D684F" w:rsidRPr="00882F11">
        <w:rPr>
          <w:rFonts w:cs="Guttman Drogolin" w:hint="cs"/>
          <w:rtl/>
          <w:lang w:bidi="he-IL"/>
        </w:rPr>
        <w:t xml:space="preserve"> ובהא דזיתים פי' בכמה אופנים. או שאינם חריפים כ"כ אפילו כמו הלימוני"ש, ולכן אין להם כח לבטל אפילו הטעם שיוצא מדופן הכלי, ומשו"ה ממשיך לאסור. א"נ דזיתים חריפים יותר מלימוני"ש וכמו צנון, ולכן מחליא לשבח גם מן הבלוע בתוכו. א"נ שלעולם הסברא הזאת שהלימוני"ש מבטלים הטעם שבדופן הסכין לאו סברא פשוטה היא, </w:t>
      </w:r>
      <w:r w:rsidR="00934DB1" w:rsidRPr="00882F11">
        <w:rPr>
          <w:rFonts w:cs="Guttman Drogolin" w:hint="cs"/>
          <w:rtl/>
          <w:lang w:bidi="he-IL"/>
        </w:rPr>
        <w:t xml:space="preserve">ולכן לא מקילים אלא בצירוף מה שיש להסתפק שאולי לא חתכו בסכין ישן כלל, וכן י"א דדבר חריף לא מחליא לשבח וכן שיטת ר' יחיאל דמה שלא מוזכר בתמלמוד לא מחליא לשבח. וע"ש שביאר דספק זה הוא אחרת מספק מרא וחצינא דסע' א', דשם יש לומר יותר שלא היתה בסכין הבלוע. </w:t>
      </w:r>
    </w:p>
    <w:p w:rsidR="008A334A" w:rsidRPr="00882F11" w:rsidRDefault="00934DB1" w:rsidP="008A334A">
      <w:pPr>
        <w:tabs>
          <w:tab w:val="right" w:pos="7497"/>
        </w:tabs>
        <w:bidi/>
        <w:jc w:val="both"/>
        <w:rPr>
          <w:rFonts w:cs="Guttman Drogolin"/>
          <w:rtl/>
          <w:lang w:bidi="he-IL"/>
        </w:rPr>
      </w:pPr>
      <w:r w:rsidRPr="00882F11">
        <w:rPr>
          <w:rFonts w:cs="Guttman Drogolin" w:hint="cs"/>
          <w:rtl/>
          <w:lang w:bidi="he-IL"/>
        </w:rPr>
        <w:t>והנה עדיין נשאר לנו שאלה וכמו שהעיר בחוו"ד</w:t>
      </w:r>
      <w:r w:rsidR="008A334A" w:rsidRPr="00882F11">
        <w:rPr>
          <w:rFonts w:cs="Guttman Drogolin" w:hint="cs"/>
          <w:rtl/>
          <w:lang w:bidi="he-IL"/>
        </w:rPr>
        <w:t xml:space="preserve"> ס"ק ז'</w:t>
      </w:r>
      <w:r w:rsidRPr="00882F11">
        <w:rPr>
          <w:rFonts w:cs="Guttman Drogolin" w:hint="cs"/>
          <w:rtl/>
          <w:lang w:bidi="he-IL"/>
        </w:rPr>
        <w:t xml:space="preserve">, דלכאורה אע"ג שהטעם שבסכין בטל, הא </w:t>
      </w:r>
      <w:r w:rsidR="008A334A" w:rsidRPr="00882F11">
        <w:rPr>
          <w:rFonts w:cs="Guttman Drogolin" w:hint="cs"/>
          <w:rtl/>
          <w:lang w:bidi="he-IL"/>
        </w:rPr>
        <w:t>בחתיכה הראשונה ושני' לא הי' בטל.</w:t>
      </w:r>
      <w:r w:rsidRPr="00882F11">
        <w:rPr>
          <w:rFonts w:cs="Guttman Drogolin" w:hint="cs"/>
          <w:rtl/>
          <w:lang w:bidi="he-IL"/>
        </w:rPr>
        <w:t xml:space="preserve"> ולכן י"ל ששוב נבלע טעם לימוני"ש בסכין והרי זה חוזר ואוסר. והנה שאלה זו אפשר לשאול בב' אופנים. חדא שלכאורה י"ל </w:t>
      </w:r>
      <w:r w:rsidR="008A334A" w:rsidRPr="00882F11">
        <w:rPr>
          <w:rFonts w:cs="Guttman Drogolin" w:hint="cs"/>
          <w:rtl/>
          <w:lang w:bidi="he-IL"/>
        </w:rPr>
        <w:t xml:space="preserve">שהטעם של הלימוני"ש נבלע בסכין, ולכן כיון שהבלוע בסכין נהפך להיות לשבח, הרי הוא אוסר הטעם לימוני"ש שעכשיו בלוע דומיא דמה דאסרינן חלב נבילה. בזה כתב החוו"ד דכיון שי"א שאין חענ"ן בבלוע בכלי, וכן י"א שאין חענ"ן אלא דרך בישול, לא מחמרינן </w:t>
      </w:r>
      <w:r w:rsidR="008A334A" w:rsidRPr="00882F11">
        <w:rPr>
          <w:rFonts w:cs="Guttman Drogolin" w:hint="cs"/>
          <w:rtl/>
          <w:lang w:bidi="he-IL"/>
        </w:rPr>
        <w:lastRenderedPageBreak/>
        <w:t>(ואפשר לצרף לזה גם שיטת ר' אפרים שלא אומרים חענ"ן בשאר איסורים כלל). אלא שעוד יש לשאול שהרי הטעם לימוני"ש שבתוך הלימוני"ש נאסר ע"י זה שנבלע בה הטעם מן הסכין. ולכן יש לאסור הסכין משום הטעם לימוני"ש שנעשה נבילה ורק לאחר מכן נבלע בסכין, דזה כבר אינו חענ"ן בבלוע. בזה כתב החוו"ד לשיטתו שאין הבלוע עובר מן הלימוני"ש לסכין אע"ג דדבר חריף הוא, כיון שאין בלי</w:t>
      </w:r>
      <w:r w:rsidR="004D5D27" w:rsidRPr="00882F11">
        <w:rPr>
          <w:rFonts w:cs="Guttman Drogolin" w:hint="cs"/>
          <w:rtl/>
          <w:lang w:bidi="he-IL"/>
        </w:rPr>
        <w:t>עה</w:t>
      </w:r>
      <w:r w:rsidR="008A334A" w:rsidRPr="00882F11">
        <w:rPr>
          <w:rFonts w:cs="Guttman Drogolin" w:hint="cs"/>
          <w:rtl/>
          <w:lang w:bidi="he-IL"/>
        </w:rPr>
        <w:t xml:space="preserve"> עובר מאוכל לכלי בלי רוטב.</w:t>
      </w:r>
    </w:p>
    <w:p w:rsidR="00D017C8" w:rsidRPr="00882F11" w:rsidRDefault="008A334A" w:rsidP="008A334A">
      <w:pPr>
        <w:tabs>
          <w:tab w:val="right" w:pos="7497"/>
        </w:tabs>
        <w:bidi/>
        <w:jc w:val="both"/>
        <w:rPr>
          <w:rFonts w:cs="Guttman Drogolin"/>
          <w:rtl/>
          <w:lang w:bidi="he-IL"/>
        </w:rPr>
      </w:pPr>
      <w:r w:rsidRPr="00882F11">
        <w:rPr>
          <w:rFonts w:cs="Guttman Drogolin" w:hint="cs"/>
          <w:rtl/>
          <w:lang w:bidi="he-IL"/>
        </w:rPr>
        <w:t>ובהאי ענינא ראוי לציין דדבר שכיח הוא שכשמזמינים שתיי' קרה בבית מלון של עכו"ם וכדומה, שמכניסים חתיכת לימון על הכוס שתיי'. ולכאורה נשאלת השאלה אם אפשר לשתות השתיי' כלל, דהא מכינים שם כמה וכמה מאכלים שאינם כשרים עם הסכינים שלהם. ולכן אפילו אם הסכין אינו בן יומו, מ"מ הלימון מחליא לי' לשבח, ושוב נאסר כל הלימון (שבדרך כלל אין עובי' יותר מכדי קליפה)</w:t>
      </w:r>
      <w:r w:rsidR="00D017C8" w:rsidRPr="00882F11">
        <w:rPr>
          <w:rFonts w:cs="Guttman Drogolin" w:hint="cs"/>
          <w:rtl/>
          <w:lang w:bidi="he-IL"/>
        </w:rPr>
        <w:t xml:space="preserve"> מדין חענ"ן בשאר איסורים. ולכן אם יכול לטעום טעם לימון בתוך שתייתו, הרי נאסר השתיי' מדין טכ"ע.</w:t>
      </w:r>
    </w:p>
    <w:p w:rsidR="00D017C8" w:rsidRPr="00882F11" w:rsidRDefault="00D017C8" w:rsidP="00D017C8">
      <w:pPr>
        <w:tabs>
          <w:tab w:val="right" w:pos="7497"/>
        </w:tabs>
        <w:bidi/>
        <w:jc w:val="both"/>
        <w:rPr>
          <w:rFonts w:cs="Guttman Drogolin"/>
          <w:rtl/>
          <w:lang w:bidi="he-IL"/>
        </w:rPr>
      </w:pPr>
      <w:r w:rsidRPr="00882F11">
        <w:rPr>
          <w:rFonts w:cs="Guttman Drogolin" w:hint="cs"/>
          <w:rtl/>
          <w:lang w:bidi="he-IL"/>
        </w:rPr>
        <w:t>וראיתי כמה מפוסקי זמנינו (ע' כגון עזר</w:t>
      </w:r>
      <w:r w:rsidRPr="00882F11">
        <w:rPr>
          <w:rFonts w:cs="Guttman Drogolin"/>
          <w:rtl/>
          <w:lang w:bidi="he-IL"/>
        </w:rPr>
        <w:t xml:space="preserve"> </w:t>
      </w:r>
      <w:r w:rsidRPr="00882F11">
        <w:rPr>
          <w:rFonts w:cs="Guttman Drogolin" w:hint="cs"/>
          <w:rtl/>
          <w:lang w:bidi="he-IL"/>
        </w:rPr>
        <w:t>לשלחן</w:t>
      </w:r>
      <w:r w:rsidRPr="00882F11">
        <w:rPr>
          <w:rFonts w:cs="Guttman Drogolin"/>
          <w:rtl/>
          <w:lang w:bidi="he-IL"/>
        </w:rPr>
        <w:t xml:space="preserve"> </w:t>
      </w:r>
      <w:r w:rsidRPr="00882F11">
        <w:rPr>
          <w:rFonts w:cs="Guttman Drogolin" w:hint="cs"/>
          <w:rtl/>
          <w:lang w:bidi="he-IL"/>
        </w:rPr>
        <w:t>הל</w:t>
      </w:r>
      <w:r w:rsidRPr="00882F11">
        <w:rPr>
          <w:rFonts w:cs="Guttman Drogolin"/>
          <w:rtl/>
          <w:lang w:bidi="he-IL"/>
        </w:rPr>
        <w:t xml:space="preserve">' </w:t>
      </w:r>
      <w:r w:rsidRPr="00882F11">
        <w:rPr>
          <w:rFonts w:cs="Guttman Drogolin" w:hint="cs"/>
          <w:rtl/>
          <w:lang w:bidi="he-IL"/>
        </w:rPr>
        <w:t>בשר</w:t>
      </w:r>
      <w:r w:rsidRPr="00882F11">
        <w:rPr>
          <w:rFonts w:cs="Guttman Drogolin"/>
          <w:rtl/>
          <w:lang w:bidi="he-IL"/>
        </w:rPr>
        <w:t xml:space="preserve"> </w:t>
      </w:r>
      <w:r w:rsidRPr="00882F11">
        <w:rPr>
          <w:rFonts w:cs="Guttman Drogolin" w:hint="cs"/>
          <w:rtl/>
          <w:lang w:bidi="he-IL"/>
        </w:rPr>
        <w:t>בחלב</w:t>
      </w:r>
      <w:r w:rsidRPr="00882F11">
        <w:rPr>
          <w:rFonts w:cs="Guttman Drogolin"/>
          <w:rtl/>
          <w:lang w:bidi="he-IL"/>
        </w:rPr>
        <w:t xml:space="preserve"> </w:t>
      </w:r>
      <w:r w:rsidRPr="00882F11">
        <w:rPr>
          <w:rFonts w:cs="Guttman Drogolin" w:hint="cs"/>
          <w:rtl/>
          <w:lang w:bidi="he-IL"/>
        </w:rPr>
        <w:t>שיעורים</w:t>
      </w:r>
      <w:r w:rsidRPr="00882F11">
        <w:rPr>
          <w:rFonts w:cs="Guttman Drogolin"/>
          <w:rtl/>
          <w:lang w:bidi="he-IL"/>
        </w:rPr>
        <w:t xml:space="preserve"> </w:t>
      </w:r>
      <w:r w:rsidRPr="00882F11">
        <w:rPr>
          <w:rFonts w:cs="Guttman Drogolin" w:hint="cs"/>
          <w:rtl/>
          <w:lang w:bidi="he-IL"/>
        </w:rPr>
        <w:t>בהלכה</w:t>
      </w:r>
      <w:r w:rsidRPr="00882F11">
        <w:rPr>
          <w:rFonts w:cs="Guttman Drogolin"/>
          <w:rtl/>
          <w:lang w:bidi="he-IL"/>
        </w:rPr>
        <w:t xml:space="preserve"> </w:t>
      </w:r>
      <w:r w:rsidRPr="00882F11">
        <w:rPr>
          <w:rFonts w:cs="Guttman Drogolin" w:hint="cs"/>
          <w:rtl/>
          <w:lang w:bidi="he-IL"/>
        </w:rPr>
        <w:t>אות</w:t>
      </w:r>
      <w:r w:rsidRPr="00882F11">
        <w:rPr>
          <w:rFonts w:cs="Guttman Drogolin"/>
          <w:rtl/>
          <w:lang w:bidi="he-IL"/>
        </w:rPr>
        <w:t xml:space="preserve"> </w:t>
      </w:r>
      <w:r w:rsidRPr="00882F11">
        <w:rPr>
          <w:rFonts w:cs="Guttman Drogolin" w:hint="cs"/>
          <w:rtl/>
          <w:lang w:bidi="he-IL"/>
        </w:rPr>
        <w:t>כ</w:t>
      </w:r>
      <w:r w:rsidRPr="00882F11">
        <w:rPr>
          <w:rFonts w:cs="Guttman Drogolin"/>
          <w:rtl/>
          <w:lang w:bidi="he-IL"/>
        </w:rPr>
        <w:t>"</w:t>
      </w:r>
      <w:r w:rsidRPr="00882F11">
        <w:rPr>
          <w:rFonts w:cs="Guttman Drogolin" w:hint="cs"/>
          <w:rtl/>
          <w:lang w:bidi="he-IL"/>
        </w:rPr>
        <w:t>ב מ</w:t>
      </w:r>
      <w:r w:rsidRPr="00882F11">
        <w:rPr>
          <w:rFonts w:cs="Guttman Drogolin"/>
          <w:rtl/>
          <w:lang w:bidi="he-IL"/>
        </w:rPr>
        <w:tab/>
      </w:r>
      <w:r w:rsidRPr="00882F11">
        <w:rPr>
          <w:rFonts w:cs="Guttman Drogolin" w:hint="cs"/>
          <w:rtl/>
          <w:lang w:bidi="he-IL"/>
        </w:rPr>
        <w:t>הגר</w:t>
      </w:r>
      <w:r w:rsidRPr="00882F11">
        <w:rPr>
          <w:rFonts w:cs="Guttman Drogolin"/>
          <w:rtl/>
          <w:lang w:bidi="he-IL"/>
        </w:rPr>
        <w:t>"</w:t>
      </w:r>
      <w:r w:rsidRPr="00882F11">
        <w:rPr>
          <w:rFonts w:cs="Guttman Drogolin" w:hint="cs"/>
          <w:rtl/>
          <w:lang w:bidi="he-IL"/>
        </w:rPr>
        <w:t>ש</w:t>
      </w:r>
      <w:r w:rsidRPr="00882F11">
        <w:rPr>
          <w:rFonts w:cs="Guttman Drogolin"/>
          <w:rtl/>
          <w:lang w:bidi="he-IL"/>
        </w:rPr>
        <w:t xml:space="preserve"> </w:t>
      </w:r>
      <w:r w:rsidRPr="00882F11">
        <w:rPr>
          <w:rFonts w:cs="Guttman Drogolin" w:hint="cs"/>
          <w:rtl/>
          <w:lang w:bidi="he-IL"/>
        </w:rPr>
        <w:t>פעלדער</w:t>
      </w:r>
      <w:r w:rsidRPr="00882F11">
        <w:rPr>
          <w:rFonts w:cs="Guttman Drogolin"/>
          <w:rtl/>
          <w:lang w:bidi="he-IL"/>
        </w:rPr>
        <w:t xml:space="preserve"> </w:t>
      </w:r>
      <w:r w:rsidRPr="00882F11">
        <w:rPr>
          <w:rFonts w:cs="Guttman Drogolin" w:hint="cs"/>
          <w:rtl/>
          <w:lang w:bidi="he-IL"/>
        </w:rPr>
        <w:t>שליט</w:t>
      </w:r>
      <w:r w:rsidRPr="00882F11">
        <w:rPr>
          <w:rFonts w:cs="Guttman Drogolin"/>
          <w:rtl/>
          <w:lang w:bidi="he-IL"/>
        </w:rPr>
        <w:t>"</w:t>
      </w:r>
      <w:r w:rsidRPr="00882F11">
        <w:rPr>
          <w:rFonts w:cs="Guttman Drogolin" w:hint="cs"/>
          <w:rtl/>
          <w:lang w:bidi="he-IL"/>
        </w:rPr>
        <w:t>א)</w:t>
      </w:r>
      <w:r w:rsidRPr="00882F11">
        <w:rPr>
          <w:rFonts w:cs="Guttman Drogolin"/>
          <w:rtl/>
          <w:lang w:bidi="he-IL"/>
        </w:rPr>
        <w:t xml:space="preserve"> </w:t>
      </w:r>
      <w:r w:rsidRPr="00882F11">
        <w:rPr>
          <w:rFonts w:cs="Guttman Drogolin" w:hint="cs"/>
          <w:rtl/>
          <w:lang w:bidi="he-IL"/>
        </w:rPr>
        <w:t>שהקילו בזה. וטעמם שאמנם החתיכת לימון נאסר כולו מדין חענ"ן בשאר איסורים, אבל לא בישלו הלימון בתוך השתי', וכן אינו כבוש מעל"ע. ולכן אין הטעם בא אלא מן הקצת מיץ שנתלש ממנו. ואע"ג שיש במיץ זה היכולת לתת טעם בשתייתו, מ"מ אין זה אומר שאין המיץ בטל בששים, רק שהמיץ עבידא לטעמא ולכן אפילו באלף לא בטל, ומ"מ אינו אוסר בטעמא כיון שהבליעות של איסור שבסכין מסתמא לא עבידי לטעמא, ולכן אמרינן שאין הנאסר אוסר יותר מן האוסרו, וכמש"כ התוס' במלח שבלע דם. ולכן כיון שמסתמא יש ששים בשתיי' נגד המיץ שהתערב בה יש להתיר.</w:t>
      </w:r>
    </w:p>
    <w:p w:rsidR="00D017C8" w:rsidRPr="00882F11" w:rsidRDefault="00D017C8" w:rsidP="00C4741B">
      <w:pPr>
        <w:tabs>
          <w:tab w:val="right" w:pos="7497"/>
        </w:tabs>
        <w:bidi/>
        <w:jc w:val="both"/>
        <w:rPr>
          <w:rFonts w:cs="Guttman Drogolin"/>
          <w:rtl/>
          <w:lang w:bidi="he-IL"/>
        </w:rPr>
      </w:pPr>
      <w:r w:rsidRPr="00882F11">
        <w:rPr>
          <w:rFonts w:cs="Guttman Drogolin" w:hint="cs"/>
          <w:rtl/>
          <w:lang w:bidi="he-IL"/>
        </w:rPr>
        <w:t xml:space="preserve">ולענוק"ד לכאורה יש לאסור בזה מכמה טעמים. חדא שאם אין ששים כנגד החתיכה של לימון, מי ידעינן כמה נפיק מיני', ואיזה סברא יש לחלק בין </w:t>
      </w:r>
      <w:r w:rsidRPr="00882F11">
        <w:rPr>
          <w:rFonts w:cs="Guttman Drogolin" w:hint="cs"/>
          <w:rtl/>
          <w:lang w:bidi="he-IL"/>
        </w:rPr>
        <w:lastRenderedPageBreak/>
        <w:t>מה שאומרים בבלוע שצריכים ששים ולא פחות כיון דלא ידעינן כמה נפיק מיני'</w:t>
      </w:r>
      <w:r w:rsidR="00C4741B" w:rsidRPr="00882F11">
        <w:rPr>
          <w:rFonts w:cs="Guttman Drogolin" w:hint="cs"/>
          <w:rtl/>
          <w:lang w:bidi="he-IL"/>
        </w:rPr>
        <w:t xml:space="preserve">, למיץ שיוצא מן החתיכה דלא ידעינן כמה נפיק מיני'. ואפילו את"ל דרק בבליעות דרך בישול אמרינן הכי, אבל לענין מה שנסחט ממנו אפשר לעשות השארה, עדיין צריכים ליזהר מן המיץ מן הלימון שעדיין לא התערב במשקה, והיינו בין אם נסרח בחלק החיצון של הכלי שצריכים לקנח אותו, וכן המיץ הפנימי שעדיין לא התערב במשקה (ר"ל שהוא למעלה מן המשקה) ג"כ אסור, ואין לערות המשקה דרך המיץ אפילו אם יתבטל ע"י זה כיון דהוי בכלל מבטל איסור לכתחילה. וצ"ע כעת. </w:t>
      </w:r>
      <w:r w:rsidRPr="00882F11">
        <w:rPr>
          <w:rFonts w:cs="Guttman Drogolin" w:hint="cs"/>
          <w:rtl/>
          <w:lang w:bidi="he-IL"/>
        </w:rPr>
        <w:t xml:space="preserve"> </w:t>
      </w:r>
    </w:p>
    <w:p w:rsidR="001A5B91" w:rsidRPr="00882F11" w:rsidRDefault="001A5B91" w:rsidP="00D017C8">
      <w:pPr>
        <w:tabs>
          <w:tab w:val="right" w:pos="7497"/>
        </w:tabs>
        <w:bidi/>
        <w:jc w:val="both"/>
        <w:rPr>
          <w:rFonts w:cs="Guttman Drogolin"/>
          <w:rtl/>
          <w:lang w:bidi="he-IL"/>
        </w:rPr>
        <w:sectPr w:rsidR="001A5B91" w:rsidRPr="00882F11" w:rsidSect="005229E6">
          <w:type w:val="continuous"/>
          <w:pgSz w:w="11907" w:h="16839" w:code="9"/>
          <w:pgMar w:top="1440" w:right="1440" w:bottom="1440" w:left="1440" w:header="720" w:footer="720" w:gutter="0"/>
          <w:cols w:num="2" w:space="720"/>
          <w:bidi/>
          <w:docGrid w:linePitch="360"/>
        </w:sectPr>
      </w:pPr>
    </w:p>
    <w:p w:rsidR="001A5B91" w:rsidRPr="00882F11" w:rsidRDefault="001A5B91" w:rsidP="001A5B91">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ע"ג</w:t>
      </w:r>
    </w:p>
    <w:p w:rsidR="005229E6" w:rsidRDefault="005229E6" w:rsidP="001A5B91">
      <w:pPr>
        <w:pStyle w:val="Heading1"/>
        <w:bidi/>
        <w:spacing w:before="0" w:line="360" w:lineRule="auto"/>
        <w:jc w:val="center"/>
        <w:rPr>
          <w:rFonts w:cs="Guttman Drogolin"/>
          <w:color w:val="auto"/>
          <w:sz w:val="24"/>
          <w:szCs w:val="24"/>
          <w:u w:val="single"/>
          <w:rtl/>
          <w:lang w:bidi="he-IL"/>
        </w:rPr>
        <w:sectPr w:rsidR="005229E6" w:rsidSect="005229E6">
          <w:headerReference w:type="default" r:id="rId56"/>
          <w:pgSz w:w="11907" w:h="16839" w:code="9"/>
          <w:pgMar w:top="1440" w:right="1440" w:bottom="1440" w:left="1440" w:header="720" w:footer="720" w:gutter="0"/>
          <w:cols w:space="720"/>
          <w:bidi/>
          <w:docGrid w:linePitch="360"/>
        </w:sectPr>
      </w:pPr>
    </w:p>
    <w:p w:rsidR="001A5B91" w:rsidRPr="00882F11" w:rsidRDefault="001A5B91" w:rsidP="001A5B91">
      <w:pPr>
        <w:pStyle w:val="Heading1"/>
        <w:bidi/>
        <w:spacing w:before="0" w:line="360" w:lineRule="auto"/>
        <w:jc w:val="center"/>
        <w:rPr>
          <w:rFonts w:cs="Guttman Drogolin"/>
          <w:color w:val="auto"/>
          <w:sz w:val="24"/>
          <w:szCs w:val="24"/>
          <w:u w:val="single"/>
          <w:rtl/>
          <w:lang w:bidi="he-IL"/>
        </w:rPr>
      </w:pPr>
      <w:bookmarkStart w:id="292" w:name="_Toc496175543"/>
      <w:r w:rsidRPr="00882F11">
        <w:rPr>
          <w:rFonts w:cs="Guttman Drogolin" w:hint="cs"/>
          <w:color w:val="auto"/>
          <w:sz w:val="24"/>
          <w:szCs w:val="24"/>
          <w:u w:val="single"/>
          <w:rtl/>
          <w:lang w:bidi="he-IL"/>
        </w:rPr>
        <w:lastRenderedPageBreak/>
        <w:t>האיסור ללוש פת עם חלב או בשר</w:t>
      </w:r>
      <w:bookmarkEnd w:id="292"/>
    </w:p>
    <w:p w:rsidR="00193A70" w:rsidRPr="00882F11" w:rsidRDefault="00E3012A" w:rsidP="00193A70">
      <w:pPr>
        <w:tabs>
          <w:tab w:val="right" w:pos="7497"/>
        </w:tabs>
        <w:bidi/>
        <w:jc w:val="both"/>
        <w:rPr>
          <w:rFonts w:cs="Guttman Drogolin"/>
          <w:rtl/>
          <w:lang w:bidi="he-IL"/>
        </w:rPr>
      </w:pPr>
      <w:r>
        <w:rPr>
          <w:rFonts w:cs="Guttman Drogolin"/>
          <w:rtl/>
          <w:lang w:bidi="he-IL"/>
        </w:rPr>
        <w:fldChar w:fldCharType="begin"/>
      </w:r>
      <w:r>
        <w:instrText xml:space="preserve"> XE "</w:instrText>
      </w:r>
      <w:r w:rsidRPr="00B6506C">
        <w:rPr>
          <w:rFonts w:hint="cs"/>
          <w:rtl/>
          <w:lang w:bidi="he-IL"/>
        </w:rPr>
        <w:instrText>לחם חלבי או בשרי</w:instrText>
      </w:r>
      <w:r w:rsidRPr="00B6506C">
        <w:rPr>
          <w:rtl/>
        </w:rPr>
        <w:instrText>:</w:instrText>
      </w:r>
      <w:r w:rsidRPr="00B6506C">
        <w:rPr>
          <w:rFonts w:hint="cs"/>
          <w:rtl/>
          <w:lang w:bidi="he-IL"/>
        </w:rPr>
        <w:instrText>סוגיית הגמ'</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B04F21">
        <w:rPr>
          <w:rFonts w:hint="cs"/>
          <w:rtl/>
          <w:lang w:bidi="he-IL"/>
        </w:rPr>
        <w:instrText>פת חלבי או בשרי</w:instrText>
      </w:r>
      <w:r>
        <w:instrText>" \t "</w:instrText>
      </w:r>
      <w:r w:rsidRPr="003F5D37">
        <w:rPr>
          <w:rFonts w:cs="Times New Roman" w:hint="cs"/>
          <w:i/>
          <w:rtl/>
          <w:lang w:bidi="he-IL"/>
        </w:rPr>
        <w:instrText>ע</w:instrText>
      </w:r>
      <w:r w:rsidRPr="003F5D37">
        <w:rPr>
          <w:rFonts w:cstheme="minorHAnsi" w:hint="cs"/>
          <w:i/>
          <w:rtl/>
          <w:lang w:bidi="he-IL"/>
        </w:rPr>
        <w:instrText xml:space="preserve">' </w:instrText>
      </w:r>
      <w:r w:rsidRPr="003F5D37">
        <w:rPr>
          <w:rFonts w:cs="Times New Roman" w:hint="cs"/>
          <w:i/>
          <w:rtl/>
          <w:lang w:bidi="he-IL"/>
        </w:rPr>
        <w:instrText>לחם חלבי או בשרי</w:instrText>
      </w:r>
      <w:r>
        <w:instrText xml:space="preserve">" </w:instrText>
      </w:r>
      <w:r>
        <w:rPr>
          <w:rFonts w:cs="Guttman Drogolin"/>
          <w:rtl/>
          <w:lang w:bidi="he-IL"/>
        </w:rPr>
        <w:fldChar w:fldCharType="end"/>
      </w:r>
      <w:r w:rsidR="00193A70" w:rsidRPr="00882F11">
        <w:rPr>
          <w:rFonts w:cs="Guttman Drogolin" w:hint="cs"/>
          <w:rtl/>
          <w:lang w:bidi="he-IL"/>
        </w:rPr>
        <w:t>כתוב בברייתא שבמס' פסחים דף ל</w:t>
      </w:r>
      <w:r w:rsidR="001A5B91" w:rsidRPr="00882F11">
        <w:rPr>
          <w:rFonts w:cs="Guttman Drogolin" w:hint="cs"/>
          <w:rtl/>
          <w:lang w:bidi="he-IL"/>
        </w:rPr>
        <w:t xml:space="preserve"> ע"א (ועוד כמה מקומות בש"ס) "אין</w:t>
      </w:r>
      <w:r w:rsidR="001A5B91" w:rsidRPr="00882F11">
        <w:rPr>
          <w:rFonts w:cs="Guttman Drogolin"/>
          <w:rtl/>
          <w:lang w:bidi="he-IL"/>
        </w:rPr>
        <w:t xml:space="preserve"> </w:t>
      </w:r>
      <w:r w:rsidR="001A5B91" w:rsidRPr="00882F11">
        <w:rPr>
          <w:rFonts w:cs="Guttman Drogolin" w:hint="cs"/>
          <w:rtl/>
          <w:lang w:bidi="he-IL"/>
        </w:rPr>
        <w:t>לשין</w:t>
      </w:r>
      <w:r w:rsidR="001A5B91" w:rsidRPr="00882F11">
        <w:rPr>
          <w:rFonts w:cs="Guttman Drogolin"/>
          <w:rtl/>
          <w:lang w:bidi="he-IL"/>
        </w:rPr>
        <w:t xml:space="preserve"> </w:t>
      </w:r>
      <w:r w:rsidR="001A5B91" w:rsidRPr="00882F11">
        <w:rPr>
          <w:rFonts w:cs="Guttman Drogolin" w:hint="cs"/>
          <w:rtl/>
          <w:lang w:bidi="he-IL"/>
        </w:rPr>
        <w:t>את</w:t>
      </w:r>
      <w:r w:rsidR="001A5B91" w:rsidRPr="00882F11">
        <w:rPr>
          <w:rFonts w:cs="Guttman Drogolin"/>
          <w:rtl/>
          <w:lang w:bidi="he-IL"/>
        </w:rPr>
        <w:t xml:space="preserve"> </w:t>
      </w:r>
      <w:r w:rsidR="001A5B91" w:rsidRPr="00882F11">
        <w:rPr>
          <w:rFonts w:cs="Guttman Drogolin" w:hint="cs"/>
          <w:rtl/>
          <w:lang w:bidi="he-IL"/>
        </w:rPr>
        <w:t>העיסה</w:t>
      </w:r>
      <w:r w:rsidR="001A5B91" w:rsidRPr="00882F11">
        <w:rPr>
          <w:rFonts w:cs="Guttman Drogolin"/>
          <w:rtl/>
          <w:lang w:bidi="he-IL"/>
        </w:rPr>
        <w:t xml:space="preserve"> </w:t>
      </w:r>
      <w:r w:rsidR="001A5B91" w:rsidRPr="00882F11">
        <w:rPr>
          <w:rFonts w:cs="Guttman Drogolin" w:hint="cs"/>
          <w:rtl/>
          <w:lang w:bidi="he-IL"/>
        </w:rPr>
        <w:t>בחלב</w:t>
      </w:r>
      <w:r w:rsidR="001A5B91" w:rsidRPr="00882F11">
        <w:rPr>
          <w:rFonts w:cs="Guttman Drogolin"/>
          <w:rtl/>
          <w:lang w:bidi="he-IL"/>
        </w:rPr>
        <w:t xml:space="preserve"> </w:t>
      </w:r>
      <w:r w:rsidR="001A5B91" w:rsidRPr="00882F11">
        <w:rPr>
          <w:rFonts w:cs="Guttman Drogolin" w:hint="cs"/>
          <w:rtl/>
          <w:lang w:bidi="he-IL"/>
        </w:rPr>
        <w:t>ואם</w:t>
      </w:r>
      <w:r w:rsidR="001A5B91" w:rsidRPr="00882F11">
        <w:rPr>
          <w:rFonts w:cs="Guttman Drogolin"/>
          <w:rtl/>
          <w:lang w:bidi="he-IL"/>
        </w:rPr>
        <w:t xml:space="preserve"> </w:t>
      </w:r>
      <w:r w:rsidR="001A5B91" w:rsidRPr="00882F11">
        <w:rPr>
          <w:rFonts w:cs="Guttman Drogolin" w:hint="cs"/>
          <w:rtl/>
          <w:lang w:bidi="he-IL"/>
        </w:rPr>
        <w:t>לש</w:t>
      </w:r>
      <w:r w:rsidR="001A5B91" w:rsidRPr="00882F11">
        <w:rPr>
          <w:rFonts w:cs="Guttman Drogolin"/>
          <w:rtl/>
          <w:lang w:bidi="he-IL"/>
        </w:rPr>
        <w:t xml:space="preserve"> </w:t>
      </w:r>
      <w:r w:rsidR="001A5B91" w:rsidRPr="00882F11">
        <w:rPr>
          <w:rFonts w:cs="Guttman Drogolin" w:hint="cs"/>
          <w:rtl/>
          <w:lang w:bidi="he-IL"/>
        </w:rPr>
        <w:t>כל</w:t>
      </w:r>
      <w:r w:rsidR="001A5B91" w:rsidRPr="00882F11">
        <w:rPr>
          <w:rFonts w:cs="Guttman Drogolin"/>
          <w:rtl/>
          <w:lang w:bidi="he-IL"/>
        </w:rPr>
        <w:t xml:space="preserve"> </w:t>
      </w:r>
      <w:r w:rsidR="001A5B91" w:rsidRPr="00882F11">
        <w:rPr>
          <w:rFonts w:cs="Guttman Drogolin" w:hint="cs"/>
          <w:rtl/>
          <w:lang w:bidi="he-IL"/>
        </w:rPr>
        <w:t>הפת</w:t>
      </w:r>
      <w:r w:rsidR="001A5B91" w:rsidRPr="00882F11">
        <w:rPr>
          <w:rFonts w:cs="Guttman Drogolin"/>
          <w:rtl/>
          <w:lang w:bidi="he-IL"/>
        </w:rPr>
        <w:t xml:space="preserve"> </w:t>
      </w:r>
      <w:r w:rsidR="001A5B91" w:rsidRPr="00882F11">
        <w:rPr>
          <w:rFonts w:cs="Guttman Drogolin" w:hint="cs"/>
          <w:rtl/>
          <w:lang w:bidi="he-IL"/>
        </w:rPr>
        <w:t>אסורה</w:t>
      </w:r>
      <w:r w:rsidR="001A5B91" w:rsidRPr="00882F11">
        <w:rPr>
          <w:rFonts w:cs="Guttman Drogolin"/>
          <w:rtl/>
          <w:lang w:bidi="he-IL"/>
        </w:rPr>
        <w:t xml:space="preserve"> </w:t>
      </w:r>
      <w:r w:rsidR="001A5B91" w:rsidRPr="00882F11">
        <w:rPr>
          <w:rFonts w:cs="Guttman Drogolin" w:hint="cs"/>
          <w:rtl/>
          <w:lang w:bidi="he-IL"/>
        </w:rPr>
        <w:t>מפני</w:t>
      </w:r>
      <w:r w:rsidR="001A5B91" w:rsidRPr="00882F11">
        <w:rPr>
          <w:rFonts w:cs="Guttman Drogolin"/>
          <w:rtl/>
          <w:lang w:bidi="he-IL"/>
        </w:rPr>
        <w:t xml:space="preserve"> </w:t>
      </w:r>
      <w:r w:rsidR="001A5B91" w:rsidRPr="00882F11">
        <w:rPr>
          <w:rFonts w:cs="Guttman Drogolin" w:hint="cs"/>
          <w:rtl/>
          <w:lang w:bidi="he-IL"/>
        </w:rPr>
        <w:t>הרגל</w:t>
      </w:r>
      <w:r w:rsidR="001A5B91" w:rsidRPr="00882F11">
        <w:rPr>
          <w:rFonts w:cs="Guttman Drogolin"/>
          <w:rtl/>
          <w:lang w:bidi="he-IL"/>
        </w:rPr>
        <w:t xml:space="preserve"> </w:t>
      </w:r>
      <w:r w:rsidR="001A5B91" w:rsidRPr="00882F11">
        <w:rPr>
          <w:rFonts w:cs="Guttman Drogolin" w:hint="cs"/>
          <w:rtl/>
          <w:lang w:bidi="he-IL"/>
        </w:rPr>
        <w:t>עבירה</w:t>
      </w:r>
      <w:r w:rsidR="00193A70" w:rsidRPr="00882F11">
        <w:rPr>
          <w:rFonts w:cs="Guttman Drogolin" w:hint="cs"/>
          <w:rtl/>
          <w:lang w:bidi="he-IL"/>
        </w:rPr>
        <w:t xml:space="preserve"> כיוצא בו אין</w:t>
      </w:r>
      <w:r w:rsidR="00193A70" w:rsidRPr="00882F11">
        <w:rPr>
          <w:rFonts w:cs="Guttman Drogolin"/>
          <w:rtl/>
          <w:lang w:bidi="he-IL"/>
        </w:rPr>
        <w:t xml:space="preserve"> </w:t>
      </w:r>
      <w:r w:rsidR="00193A70" w:rsidRPr="00882F11">
        <w:rPr>
          <w:rFonts w:cs="Guttman Drogolin" w:hint="cs"/>
          <w:rtl/>
          <w:lang w:bidi="he-IL"/>
        </w:rPr>
        <w:t>טשין</w:t>
      </w:r>
      <w:r w:rsidR="00193A70" w:rsidRPr="00882F11">
        <w:rPr>
          <w:rFonts w:cs="Guttman Drogolin"/>
          <w:rtl/>
          <w:lang w:bidi="he-IL"/>
        </w:rPr>
        <w:t xml:space="preserve"> </w:t>
      </w:r>
      <w:r w:rsidR="00193A70" w:rsidRPr="00882F11">
        <w:rPr>
          <w:rFonts w:cs="Guttman Drogolin" w:hint="cs"/>
          <w:rtl/>
          <w:lang w:bidi="he-IL"/>
        </w:rPr>
        <w:t>את</w:t>
      </w:r>
      <w:r w:rsidR="00193A70" w:rsidRPr="00882F11">
        <w:rPr>
          <w:rFonts w:cs="Guttman Drogolin"/>
          <w:rtl/>
          <w:lang w:bidi="he-IL"/>
        </w:rPr>
        <w:t xml:space="preserve"> </w:t>
      </w:r>
      <w:r w:rsidR="00193A70" w:rsidRPr="00882F11">
        <w:rPr>
          <w:rFonts w:cs="Guttman Drogolin" w:hint="cs"/>
          <w:rtl/>
          <w:lang w:bidi="he-IL"/>
        </w:rPr>
        <w:t>התנור</w:t>
      </w:r>
      <w:r w:rsidR="00193A70" w:rsidRPr="00882F11">
        <w:rPr>
          <w:rFonts w:cs="Guttman Drogolin"/>
          <w:rtl/>
          <w:lang w:bidi="he-IL"/>
        </w:rPr>
        <w:t xml:space="preserve"> </w:t>
      </w:r>
      <w:r w:rsidR="00193A70" w:rsidRPr="00882F11">
        <w:rPr>
          <w:rFonts w:cs="Guttman Drogolin" w:hint="cs"/>
          <w:rtl/>
          <w:lang w:bidi="he-IL"/>
        </w:rPr>
        <w:t>באליה</w:t>
      </w:r>
      <w:r w:rsidR="00193A70" w:rsidRPr="00882F11">
        <w:rPr>
          <w:rFonts w:cs="Guttman Drogolin"/>
          <w:rtl/>
          <w:lang w:bidi="he-IL"/>
        </w:rPr>
        <w:t xml:space="preserve"> </w:t>
      </w:r>
      <w:r w:rsidR="00193A70" w:rsidRPr="00882F11">
        <w:rPr>
          <w:rFonts w:cs="Guttman Drogolin" w:hint="cs"/>
          <w:rtl/>
          <w:lang w:bidi="he-IL"/>
        </w:rPr>
        <w:t>ואם</w:t>
      </w:r>
      <w:r w:rsidR="00193A70" w:rsidRPr="00882F11">
        <w:rPr>
          <w:rFonts w:cs="Guttman Drogolin"/>
          <w:rtl/>
          <w:lang w:bidi="he-IL"/>
        </w:rPr>
        <w:t xml:space="preserve"> </w:t>
      </w:r>
      <w:r w:rsidR="00193A70" w:rsidRPr="00882F11">
        <w:rPr>
          <w:rFonts w:cs="Guttman Drogolin" w:hint="cs"/>
          <w:rtl/>
          <w:lang w:bidi="he-IL"/>
        </w:rPr>
        <w:t>טש</w:t>
      </w:r>
      <w:r w:rsidR="00193A70" w:rsidRPr="00882F11">
        <w:rPr>
          <w:rFonts w:cs="Guttman Drogolin"/>
          <w:rtl/>
          <w:lang w:bidi="he-IL"/>
        </w:rPr>
        <w:t xml:space="preserve"> </w:t>
      </w:r>
      <w:r w:rsidR="00193A70" w:rsidRPr="00882F11">
        <w:rPr>
          <w:rFonts w:cs="Guttman Drogolin" w:hint="cs"/>
          <w:rtl/>
          <w:lang w:bidi="he-IL"/>
        </w:rPr>
        <w:t>כל</w:t>
      </w:r>
      <w:r w:rsidR="00193A70" w:rsidRPr="00882F11">
        <w:rPr>
          <w:rFonts w:cs="Guttman Drogolin"/>
          <w:rtl/>
          <w:lang w:bidi="he-IL"/>
        </w:rPr>
        <w:t xml:space="preserve"> </w:t>
      </w:r>
      <w:r w:rsidR="00193A70" w:rsidRPr="00882F11">
        <w:rPr>
          <w:rFonts w:cs="Guttman Drogolin" w:hint="cs"/>
          <w:rtl/>
          <w:lang w:bidi="he-IL"/>
        </w:rPr>
        <w:t>הפת</w:t>
      </w:r>
      <w:r w:rsidR="00193A70" w:rsidRPr="00882F11">
        <w:rPr>
          <w:rFonts w:cs="Guttman Drogolin"/>
          <w:rtl/>
          <w:lang w:bidi="he-IL"/>
        </w:rPr>
        <w:t xml:space="preserve"> </w:t>
      </w:r>
      <w:r w:rsidR="00193A70" w:rsidRPr="00882F11">
        <w:rPr>
          <w:rFonts w:cs="Guttman Drogolin" w:hint="cs"/>
          <w:rtl/>
          <w:lang w:bidi="he-IL"/>
        </w:rPr>
        <w:t>כולה</w:t>
      </w:r>
      <w:r w:rsidR="00193A70" w:rsidRPr="00882F11">
        <w:rPr>
          <w:rFonts w:cs="Guttman Drogolin"/>
          <w:rtl/>
          <w:lang w:bidi="he-IL"/>
        </w:rPr>
        <w:t xml:space="preserve"> </w:t>
      </w:r>
      <w:r w:rsidR="00193A70" w:rsidRPr="00882F11">
        <w:rPr>
          <w:rFonts w:cs="Guttman Drogolin" w:hint="cs"/>
          <w:rtl/>
          <w:lang w:bidi="he-IL"/>
        </w:rPr>
        <w:t>אסורה</w:t>
      </w:r>
      <w:r w:rsidR="00193A70" w:rsidRPr="00882F11">
        <w:rPr>
          <w:rFonts w:cs="Guttman Drogolin"/>
          <w:rtl/>
          <w:lang w:bidi="he-IL"/>
        </w:rPr>
        <w:t xml:space="preserve">, </w:t>
      </w:r>
      <w:r w:rsidR="00193A70" w:rsidRPr="00882F11">
        <w:rPr>
          <w:rFonts w:cs="Guttman Drogolin" w:hint="cs"/>
          <w:rtl/>
          <w:lang w:bidi="he-IL"/>
        </w:rPr>
        <w:t>עד</w:t>
      </w:r>
      <w:r w:rsidR="00193A70" w:rsidRPr="00882F11">
        <w:rPr>
          <w:rFonts w:cs="Guttman Drogolin"/>
          <w:rtl/>
          <w:lang w:bidi="he-IL"/>
        </w:rPr>
        <w:t xml:space="preserve"> </w:t>
      </w:r>
      <w:r w:rsidR="00193A70" w:rsidRPr="00882F11">
        <w:rPr>
          <w:rFonts w:cs="Guttman Drogolin" w:hint="cs"/>
          <w:rtl/>
          <w:lang w:bidi="he-IL"/>
        </w:rPr>
        <w:t>שיסיק</w:t>
      </w:r>
      <w:r w:rsidR="00193A70" w:rsidRPr="00882F11">
        <w:rPr>
          <w:rFonts w:cs="Guttman Drogolin"/>
          <w:rtl/>
          <w:lang w:bidi="he-IL"/>
        </w:rPr>
        <w:t xml:space="preserve"> </w:t>
      </w:r>
      <w:r w:rsidR="00193A70" w:rsidRPr="00882F11">
        <w:rPr>
          <w:rFonts w:cs="Guttman Drogolin" w:hint="cs"/>
          <w:rtl/>
          <w:lang w:bidi="he-IL"/>
        </w:rPr>
        <w:t>את</w:t>
      </w:r>
      <w:r w:rsidR="00193A70" w:rsidRPr="00882F11">
        <w:rPr>
          <w:rFonts w:cs="Guttman Drogolin"/>
          <w:rtl/>
          <w:lang w:bidi="he-IL"/>
        </w:rPr>
        <w:t xml:space="preserve"> </w:t>
      </w:r>
      <w:r w:rsidR="00193A70" w:rsidRPr="00882F11">
        <w:rPr>
          <w:rFonts w:cs="Guttman Drogolin" w:hint="cs"/>
          <w:rtl/>
          <w:lang w:bidi="he-IL"/>
        </w:rPr>
        <w:t>התנור</w:t>
      </w:r>
      <w:r w:rsidR="001A5B91" w:rsidRPr="00882F11">
        <w:rPr>
          <w:rFonts w:cs="Guttman Drogolin" w:hint="cs"/>
          <w:rtl/>
          <w:lang w:bidi="he-IL"/>
        </w:rPr>
        <w:t>". והרגל עבירה היינו שיבא לאכול הפת החלבי ביחד עם הבשר</w:t>
      </w:r>
      <w:r w:rsidR="00193A70" w:rsidRPr="00882F11">
        <w:rPr>
          <w:rFonts w:cs="Guttman Drogolin" w:hint="cs"/>
          <w:rtl/>
          <w:lang w:bidi="he-IL"/>
        </w:rPr>
        <w:t xml:space="preserve"> או הפת הבשרי ביחד עם חלב</w:t>
      </w:r>
      <w:r w:rsidR="001A5B91" w:rsidRPr="00882F11">
        <w:rPr>
          <w:rFonts w:cs="Guttman Drogolin" w:hint="cs"/>
          <w:rtl/>
          <w:lang w:bidi="he-IL"/>
        </w:rPr>
        <w:t>, ו</w:t>
      </w:r>
      <w:r w:rsidR="00193A70" w:rsidRPr="00882F11">
        <w:rPr>
          <w:rFonts w:cs="Guttman Drogolin" w:hint="cs"/>
          <w:rtl/>
          <w:lang w:bidi="he-IL"/>
        </w:rPr>
        <w:t>י</w:t>
      </w:r>
      <w:r w:rsidR="001A5B91" w:rsidRPr="00882F11">
        <w:rPr>
          <w:rFonts w:cs="Guttman Drogolin" w:hint="cs"/>
          <w:rtl/>
          <w:lang w:bidi="he-IL"/>
        </w:rPr>
        <w:t>עבור על איסור אכית בשר בחלב וכמו שפירש שם רש"י</w:t>
      </w:r>
      <w:r w:rsidR="00193A70" w:rsidRPr="00882F11">
        <w:rPr>
          <w:rFonts w:cs="Guttman Drogolin" w:hint="cs"/>
          <w:rtl/>
          <w:lang w:bidi="he-IL"/>
        </w:rPr>
        <w:t xml:space="preserve"> להדיא בדף ל"ו ע"א</w:t>
      </w:r>
      <w:r w:rsidR="001A5B91" w:rsidRPr="00882F11">
        <w:rPr>
          <w:rFonts w:cs="Guttman Drogolin" w:hint="cs"/>
          <w:rtl/>
          <w:lang w:bidi="he-IL"/>
        </w:rPr>
        <w:t>.</w:t>
      </w:r>
    </w:p>
    <w:p w:rsidR="00320216" w:rsidRPr="00882F11" w:rsidRDefault="00193A70" w:rsidP="00320216">
      <w:pPr>
        <w:tabs>
          <w:tab w:val="right" w:pos="7497"/>
        </w:tabs>
        <w:bidi/>
        <w:jc w:val="both"/>
        <w:rPr>
          <w:rFonts w:cs="Guttman Drogolin"/>
          <w:rtl/>
          <w:lang w:bidi="he-IL"/>
        </w:rPr>
      </w:pPr>
      <w:r w:rsidRPr="00882F11">
        <w:rPr>
          <w:rFonts w:cs="Guttman Drogolin" w:hint="cs"/>
          <w:rtl/>
          <w:lang w:bidi="he-IL"/>
        </w:rPr>
        <w:t>ויש להסתפק בגדר הדברים. שלכאורה המחשבה הראשונה היא שחז"ל אסרו לו לאדם לאכול פת חלבי או בשרי לגמרי, דלמא יבא לאכלו עם המין השני. וכן למד בפי' זר זהב על האו"ה כלל מ' ס"ק ו'. אמנם במאירי ועוד כמה מגדולי הפוסקים למדו שאין זה גדר האיסור. רק איסור האיסור הוא 'ללוש' את העיסה בחלב או בשר. והטעם שאסרו לעשות כן משום חשש שיבא לאכלו ביחד עם המין השני, רק מעיקר הדין לא היו גוזרים עד כדי כך שאם יש לך כבר בשר שהוא חלבי או בשרי שאסור לאכלו לגמרי, אבל מי שעבר על תקנת חז"ל ולש עיסה עם בשר או חלב, קנסוהו שלא יוכל לאכול הפת לאחר מכן כלל. ולכאורה יש סמך גדול להבנה זו, שלכאורה לפי הביאור של הזר זהב, צ"ע לשון הגמ' 'אין לשין' וכו', שלכאורה מהו ענין הלישה לכאן, הא חלות האיסור הי' על הפת החלבי או בשרי, ולא איכפת לן למה הוא כן, אבל לפי הביאור השני דבר זה מובן היטב,</w:t>
      </w:r>
      <w:r w:rsidR="00320216" w:rsidRPr="00882F11">
        <w:rPr>
          <w:rFonts w:cs="Guttman Drogolin" w:hint="cs"/>
          <w:rtl/>
          <w:lang w:bidi="he-IL"/>
        </w:rPr>
        <w:t xml:space="preserve"> שזהו עיקר האיסור וה'אם לש' הוא דין נוסף שאם עבר אתקנת חכמים קנסו אפילו בדיעבד. ומאידך, ראיתי בס' פשוטו כמשמעו למס' דף ל"ו ע"א</w:t>
      </w:r>
      <w:r w:rsidRPr="00882F11">
        <w:rPr>
          <w:rFonts w:cs="Guttman Drogolin" w:hint="cs"/>
          <w:rtl/>
          <w:lang w:bidi="he-IL"/>
        </w:rPr>
        <w:t xml:space="preserve"> </w:t>
      </w:r>
      <w:r w:rsidR="00320216" w:rsidRPr="00882F11">
        <w:rPr>
          <w:rFonts w:cs="Guttman Drogolin" w:hint="cs"/>
          <w:rtl/>
          <w:lang w:bidi="he-IL"/>
        </w:rPr>
        <w:t>שהעיר שלפי הביאור השני הו"ל לכתוב הטעם ד'מפני הרגל עבירה' אהא ד'אין לשין' וכו' ולא בסוף שמשמע שהוא טעם איסור הפת. ולענין הטעם שכ</w:t>
      </w:r>
      <w:r w:rsidR="00141AC6" w:rsidRPr="00882F11">
        <w:rPr>
          <w:rFonts w:cs="Guttman Drogolin" w:hint="cs"/>
          <w:rtl/>
          <w:lang w:bidi="he-IL"/>
        </w:rPr>
        <w:t>ת</w:t>
      </w:r>
      <w:r w:rsidR="00320216" w:rsidRPr="00882F11">
        <w:rPr>
          <w:rFonts w:cs="Guttman Drogolin" w:hint="cs"/>
          <w:rtl/>
          <w:lang w:bidi="he-IL"/>
        </w:rPr>
        <w:t>ב 'אין לשין' י"ל דלא זו אף זו קתני.</w:t>
      </w:r>
    </w:p>
    <w:p w:rsidR="00D755F5" w:rsidRPr="00882F11" w:rsidRDefault="00D755F5" w:rsidP="005229E6">
      <w:pPr>
        <w:pStyle w:val="Heading1"/>
        <w:bidi/>
        <w:spacing w:before="0" w:line="240" w:lineRule="auto"/>
        <w:jc w:val="center"/>
        <w:rPr>
          <w:rFonts w:cs="Guttman Drogolin"/>
          <w:color w:val="auto"/>
          <w:sz w:val="24"/>
          <w:szCs w:val="24"/>
          <w:u w:val="single"/>
          <w:rtl/>
          <w:lang w:bidi="he-IL"/>
        </w:rPr>
      </w:pPr>
      <w:bookmarkStart w:id="293" w:name="_Toc496175544"/>
      <w:r w:rsidRPr="00882F11">
        <w:rPr>
          <w:rFonts w:cs="Guttman Drogolin" w:hint="cs"/>
          <w:color w:val="auto"/>
          <w:sz w:val="24"/>
          <w:szCs w:val="24"/>
          <w:u w:val="single"/>
          <w:rtl/>
          <w:lang w:bidi="he-IL"/>
        </w:rPr>
        <w:lastRenderedPageBreak/>
        <w:t>דברים המתירים לחם חלבי או בשרי, והוכחה לצד א' בחקירה הנ"ל</w:t>
      </w:r>
      <w:bookmarkEnd w:id="293"/>
    </w:p>
    <w:p w:rsidR="00B24092" w:rsidRPr="00882F11" w:rsidRDefault="003E48CE" w:rsidP="00D755F5">
      <w:pPr>
        <w:tabs>
          <w:tab w:val="right" w:pos="7497"/>
        </w:tabs>
        <w:bidi/>
        <w:jc w:val="both"/>
        <w:rPr>
          <w:rFonts w:cs="Guttman Drogolin"/>
          <w:rtl/>
          <w:lang w:bidi="he-IL"/>
        </w:rPr>
      </w:pPr>
      <w:r>
        <w:rPr>
          <w:rFonts w:cs="Guttman Drogolin"/>
          <w:rtl/>
          <w:lang w:bidi="he-IL"/>
        </w:rPr>
        <w:fldChar w:fldCharType="begin"/>
      </w:r>
      <w:r>
        <w:instrText xml:space="preserve"> XE "</w:instrText>
      </w:r>
      <w:r w:rsidRPr="004911B1">
        <w:rPr>
          <w:rFonts w:hint="cs"/>
          <w:rtl/>
          <w:lang w:bidi="he-IL"/>
        </w:rPr>
        <w:instrText>לחם חלבי או בשרי</w:instrText>
      </w:r>
      <w:r w:rsidRPr="004911B1">
        <w:rPr>
          <w:rtl/>
        </w:rPr>
        <w:instrText>:</w:instrText>
      </w:r>
      <w:r w:rsidRPr="004911B1">
        <w:rPr>
          <w:rFonts w:hint="cs"/>
          <w:rtl/>
          <w:lang w:bidi="he-IL"/>
        </w:rPr>
        <w:instrText>דברים המתירים - כעין תורא</w:instrText>
      </w:r>
      <w:r>
        <w:instrText xml:space="preserve">" </w:instrText>
      </w:r>
      <w:r>
        <w:rPr>
          <w:rFonts w:cs="Guttman Drogolin"/>
          <w:rtl/>
          <w:lang w:bidi="he-IL"/>
        </w:rPr>
        <w:fldChar w:fldCharType="end"/>
      </w:r>
      <w:r w:rsidR="00320216" w:rsidRPr="00882F11">
        <w:rPr>
          <w:rFonts w:cs="Guttman Drogolin" w:hint="cs"/>
          <w:rtl/>
          <w:lang w:bidi="he-IL"/>
        </w:rPr>
        <w:t xml:space="preserve">וחשבתי על עוד ראי' לומר שעיקר האיסור הוא דאין לשין. דהנה שם במס' פסחים דף ל"ו ע"א </w:t>
      </w:r>
      <w:r w:rsidR="00562495" w:rsidRPr="00882F11">
        <w:rPr>
          <w:rFonts w:cs="Guttman Drogolin" w:hint="cs"/>
          <w:rtl/>
          <w:lang w:bidi="he-IL"/>
        </w:rPr>
        <w:t>כתוב שיש מקרה שמותר ללוש פת חלבי או בשרי והוא כדעביד 'כעין תורא'</w:t>
      </w:r>
      <w:r w:rsidR="00D755F5" w:rsidRPr="00882F11">
        <w:rPr>
          <w:rFonts w:cs="Guttman Drogolin" w:hint="cs"/>
          <w:rtl/>
          <w:lang w:bidi="he-IL"/>
        </w:rPr>
        <w:t>. ונחלקו הראשונים מהו ההיתר של כעין תורא. רש"י פי' "מעט</w:t>
      </w:r>
      <w:r w:rsidR="00D755F5" w:rsidRPr="00882F11">
        <w:rPr>
          <w:rFonts w:cs="Guttman Drogolin"/>
          <w:rtl/>
          <w:lang w:bidi="he-IL"/>
        </w:rPr>
        <w:t xml:space="preserve"> </w:t>
      </w:r>
      <w:r w:rsidR="00D755F5" w:rsidRPr="00882F11">
        <w:rPr>
          <w:rFonts w:cs="Guttman Drogolin" w:hint="cs"/>
          <w:rtl/>
          <w:lang w:bidi="he-IL"/>
        </w:rPr>
        <w:t>כעין</w:t>
      </w:r>
      <w:r w:rsidR="00D755F5" w:rsidRPr="00882F11">
        <w:rPr>
          <w:rFonts w:cs="Guttman Drogolin"/>
          <w:rtl/>
          <w:lang w:bidi="he-IL"/>
        </w:rPr>
        <w:t xml:space="preserve"> </w:t>
      </w:r>
      <w:r w:rsidR="00D755F5" w:rsidRPr="00882F11">
        <w:rPr>
          <w:rFonts w:cs="Guttman Drogolin" w:hint="cs"/>
          <w:rtl/>
          <w:lang w:bidi="he-IL"/>
        </w:rPr>
        <w:t>של</w:t>
      </w:r>
      <w:r w:rsidR="00D755F5" w:rsidRPr="00882F11">
        <w:rPr>
          <w:rFonts w:cs="Guttman Drogolin"/>
          <w:rtl/>
          <w:lang w:bidi="he-IL"/>
        </w:rPr>
        <w:t xml:space="preserve"> </w:t>
      </w:r>
      <w:r w:rsidR="00D755F5" w:rsidRPr="00882F11">
        <w:rPr>
          <w:rFonts w:cs="Guttman Drogolin" w:hint="cs"/>
          <w:rtl/>
          <w:lang w:bidi="he-IL"/>
        </w:rPr>
        <w:t>שור</w:t>
      </w:r>
      <w:r w:rsidR="00D755F5" w:rsidRPr="00882F11">
        <w:rPr>
          <w:rFonts w:cs="Guttman Drogolin"/>
          <w:rtl/>
          <w:lang w:bidi="he-IL"/>
        </w:rPr>
        <w:t xml:space="preserve"> </w:t>
      </w:r>
      <w:r w:rsidR="00D755F5" w:rsidRPr="00882F11">
        <w:rPr>
          <w:rFonts w:cs="Guttman Drogolin" w:hint="cs"/>
          <w:rtl/>
          <w:lang w:bidi="he-IL"/>
        </w:rPr>
        <w:t>מותר</w:t>
      </w:r>
      <w:r w:rsidR="00D755F5" w:rsidRPr="00882F11">
        <w:rPr>
          <w:rFonts w:cs="Guttman Drogolin"/>
          <w:rtl/>
          <w:lang w:bidi="he-IL"/>
        </w:rPr>
        <w:t xml:space="preserve"> </w:t>
      </w:r>
      <w:r w:rsidR="00D755F5" w:rsidRPr="00882F11">
        <w:rPr>
          <w:rFonts w:cs="Guttman Drogolin" w:hint="cs"/>
          <w:rtl/>
          <w:lang w:bidi="he-IL"/>
        </w:rPr>
        <w:t>ללוש</w:t>
      </w:r>
      <w:r w:rsidR="00D755F5" w:rsidRPr="00882F11">
        <w:rPr>
          <w:rFonts w:cs="Guttman Drogolin"/>
          <w:rtl/>
          <w:lang w:bidi="he-IL"/>
        </w:rPr>
        <w:t xml:space="preserve"> </w:t>
      </w:r>
      <w:r w:rsidR="00D755F5" w:rsidRPr="00882F11">
        <w:rPr>
          <w:rFonts w:cs="Guttman Drogolin" w:hint="cs"/>
          <w:rtl/>
          <w:lang w:bidi="he-IL"/>
        </w:rPr>
        <w:t>בחלב</w:t>
      </w:r>
      <w:r w:rsidR="00D755F5" w:rsidRPr="00882F11">
        <w:rPr>
          <w:rFonts w:cs="Guttman Drogolin"/>
          <w:rtl/>
          <w:lang w:bidi="he-IL"/>
        </w:rPr>
        <w:t xml:space="preserve">, </w:t>
      </w:r>
      <w:r w:rsidR="00D755F5" w:rsidRPr="00882F11">
        <w:rPr>
          <w:rFonts w:cs="Guttman Drogolin" w:hint="cs"/>
          <w:rtl/>
          <w:lang w:bidi="he-IL"/>
        </w:rPr>
        <w:t>דאכיל</w:t>
      </w:r>
      <w:r w:rsidR="00D755F5" w:rsidRPr="00882F11">
        <w:rPr>
          <w:rFonts w:cs="Guttman Drogolin"/>
          <w:rtl/>
          <w:lang w:bidi="he-IL"/>
        </w:rPr>
        <w:t xml:space="preserve"> </w:t>
      </w:r>
      <w:r w:rsidR="00D755F5" w:rsidRPr="00882F11">
        <w:rPr>
          <w:rFonts w:cs="Guttman Drogolin" w:hint="cs"/>
          <w:rtl/>
          <w:lang w:bidi="he-IL"/>
        </w:rPr>
        <w:t>ליה</w:t>
      </w:r>
      <w:r w:rsidR="00D755F5" w:rsidRPr="00882F11">
        <w:rPr>
          <w:rFonts w:cs="Guttman Drogolin"/>
          <w:rtl/>
          <w:lang w:bidi="he-IL"/>
        </w:rPr>
        <w:t xml:space="preserve"> </w:t>
      </w:r>
      <w:r w:rsidR="00D755F5" w:rsidRPr="00882F11">
        <w:rPr>
          <w:rFonts w:cs="Guttman Drogolin" w:hint="cs"/>
          <w:rtl/>
          <w:lang w:bidi="he-IL"/>
        </w:rPr>
        <w:t>מיד</w:t>
      </w:r>
      <w:r w:rsidR="00D755F5" w:rsidRPr="00882F11">
        <w:rPr>
          <w:rFonts w:cs="Guttman Drogolin"/>
          <w:rtl/>
          <w:lang w:bidi="he-IL"/>
        </w:rPr>
        <w:t xml:space="preserve"> </w:t>
      </w:r>
      <w:r w:rsidR="00D755F5" w:rsidRPr="00882F11">
        <w:rPr>
          <w:rFonts w:cs="Guttman Drogolin" w:hint="cs"/>
          <w:rtl/>
          <w:lang w:bidi="he-IL"/>
        </w:rPr>
        <w:t>בבת</w:t>
      </w:r>
      <w:r w:rsidR="00D755F5" w:rsidRPr="00882F11">
        <w:rPr>
          <w:rFonts w:cs="Guttman Drogolin"/>
          <w:rtl/>
          <w:lang w:bidi="he-IL"/>
        </w:rPr>
        <w:t xml:space="preserve"> </w:t>
      </w:r>
      <w:r w:rsidR="00D755F5" w:rsidRPr="00882F11">
        <w:rPr>
          <w:rFonts w:cs="Guttman Drogolin" w:hint="cs"/>
          <w:rtl/>
          <w:lang w:bidi="he-IL"/>
        </w:rPr>
        <w:t>אחת</w:t>
      </w:r>
      <w:r w:rsidR="00D755F5" w:rsidRPr="00882F11">
        <w:rPr>
          <w:rFonts w:cs="Guttman Drogolin"/>
          <w:rtl/>
          <w:lang w:bidi="he-IL"/>
        </w:rPr>
        <w:t xml:space="preserve">, </w:t>
      </w:r>
      <w:r w:rsidR="00D755F5" w:rsidRPr="00882F11">
        <w:rPr>
          <w:rFonts w:cs="Guttman Drogolin" w:hint="cs"/>
          <w:rtl/>
          <w:lang w:bidi="he-IL"/>
        </w:rPr>
        <w:t>ולא</w:t>
      </w:r>
      <w:r w:rsidR="00D755F5" w:rsidRPr="00882F11">
        <w:rPr>
          <w:rFonts w:cs="Guttman Drogolin"/>
          <w:rtl/>
          <w:lang w:bidi="he-IL"/>
        </w:rPr>
        <w:t xml:space="preserve"> </w:t>
      </w:r>
      <w:r w:rsidR="00D755F5" w:rsidRPr="00882F11">
        <w:rPr>
          <w:rFonts w:cs="Guttman Drogolin" w:hint="cs"/>
          <w:rtl/>
          <w:lang w:bidi="he-IL"/>
        </w:rPr>
        <w:t>משהי</w:t>
      </w:r>
      <w:r w:rsidR="00D755F5" w:rsidRPr="00882F11">
        <w:rPr>
          <w:rFonts w:cs="Guttman Drogolin"/>
          <w:rtl/>
          <w:lang w:bidi="he-IL"/>
        </w:rPr>
        <w:t xml:space="preserve"> </w:t>
      </w:r>
      <w:r w:rsidR="00D755F5" w:rsidRPr="00882F11">
        <w:rPr>
          <w:rFonts w:cs="Guttman Drogolin" w:hint="cs"/>
          <w:rtl/>
          <w:lang w:bidi="he-IL"/>
        </w:rPr>
        <w:t>ליה</w:t>
      </w:r>
      <w:r w:rsidR="00D755F5" w:rsidRPr="00882F11">
        <w:rPr>
          <w:rFonts w:cs="Guttman Drogolin"/>
          <w:rtl/>
          <w:lang w:bidi="he-IL"/>
        </w:rPr>
        <w:t xml:space="preserve"> </w:t>
      </w:r>
      <w:r w:rsidR="00D755F5" w:rsidRPr="00882F11">
        <w:rPr>
          <w:rFonts w:cs="Guttman Drogolin" w:hint="cs"/>
          <w:rtl/>
          <w:lang w:bidi="he-IL"/>
        </w:rPr>
        <w:t>דלינשי</w:t>
      </w:r>
      <w:r w:rsidR="00D755F5" w:rsidRPr="00882F11">
        <w:rPr>
          <w:rFonts w:cs="Guttman Drogolin"/>
          <w:rtl/>
          <w:lang w:bidi="he-IL"/>
        </w:rPr>
        <w:t xml:space="preserve"> </w:t>
      </w:r>
      <w:r w:rsidR="00D755F5" w:rsidRPr="00882F11">
        <w:rPr>
          <w:rFonts w:cs="Guttman Drogolin" w:hint="cs"/>
          <w:rtl/>
          <w:lang w:bidi="he-IL"/>
        </w:rPr>
        <w:t>שנילוש</w:t>
      </w:r>
      <w:r w:rsidR="00D755F5" w:rsidRPr="00882F11">
        <w:rPr>
          <w:rFonts w:cs="Guttman Drogolin"/>
          <w:rtl/>
          <w:lang w:bidi="he-IL"/>
        </w:rPr>
        <w:t xml:space="preserve"> </w:t>
      </w:r>
      <w:r w:rsidR="00D755F5" w:rsidRPr="00882F11">
        <w:rPr>
          <w:rFonts w:cs="Guttman Drogolin" w:hint="cs"/>
          <w:rtl/>
          <w:lang w:bidi="he-IL"/>
        </w:rPr>
        <w:t>בחלב"</w:t>
      </w:r>
      <w:r w:rsidR="00D755F5" w:rsidRPr="00882F11">
        <w:rPr>
          <w:rFonts w:cs="Guttman Drogolin"/>
          <w:rtl/>
          <w:lang w:bidi="he-IL"/>
        </w:rPr>
        <w:t>.</w:t>
      </w:r>
      <w:r w:rsidR="00D755F5" w:rsidRPr="00882F11">
        <w:rPr>
          <w:rFonts w:cs="Guttman Drogolin" w:hint="cs"/>
          <w:rtl/>
          <w:lang w:bidi="he-IL"/>
        </w:rPr>
        <w:t xml:space="preserve"> </w:t>
      </w:r>
      <w:r w:rsidR="00B24092" w:rsidRPr="00882F11">
        <w:rPr>
          <w:rFonts w:cs="Guttman Drogolin" w:hint="cs"/>
          <w:rtl/>
          <w:lang w:bidi="he-IL"/>
        </w:rPr>
        <w:t xml:space="preserve">ור"ל ד'כעין תורא' היינו משיעור של גודל של עין של שור (ואיני יודע למה נקטו לשון זה ולא סתם דבר מועט. וצ"ע). </w:t>
      </w:r>
      <w:r w:rsidR="00D755F5" w:rsidRPr="00882F11">
        <w:rPr>
          <w:rFonts w:cs="Guttman Drogolin" w:hint="cs"/>
          <w:rtl/>
          <w:lang w:bidi="he-IL"/>
        </w:rPr>
        <w:t xml:space="preserve">ומלשון רש"י משמע שהשיעור קטן שלא גזרו בה הוא שיעור דאכיל לי' מיד. אבל בתו"ח (סי' ס' אות ב') העיר שבהגהת שערי דורא התיר אותם לחמים שעושים לכבוד שבת מטעם דהוי דבר מועט, וא"כ חזינן דמיד לאו דוקא, אלא כל לאותו יום מותר. וע' בהגהות תורת האשם שהעיר שלפי"ז מש"כ הרמ"א בשו"ע דבר מועט ג"כ כוונתו לאותו יום, שהרי לשיטתו דבר מועט הוא לאו דוקא אכילה מידית רק לאותו יום. ומ"מ התורת האשם עצמו חלק עליו וסבר שיש באמת פלוגתא בין רש"י להגהת שערי דורא לזמן שהקילו בה ללחם בשרי או חלבי, דהגהת שערי דורא סבר שהוא לאותו יום, ורש"י סבר רק אם אוכלו מיד. </w:t>
      </w:r>
    </w:p>
    <w:p w:rsidR="00320216" w:rsidRPr="00882F11" w:rsidRDefault="00B24092" w:rsidP="00B24092">
      <w:pPr>
        <w:tabs>
          <w:tab w:val="right" w:pos="7497"/>
        </w:tabs>
        <w:bidi/>
        <w:jc w:val="both"/>
        <w:rPr>
          <w:rFonts w:cs="Guttman Drogolin"/>
          <w:lang w:bidi="he-IL"/>
        </w:rPr>
      </w:pPr>
      <w:r w:rsidRPr="00882F11">
        <w:rPr>
          <w:rFonts w:cs="Guttman Drogolin" w:hint="cs"/>
          <w:rtl/>
          <w:lang w:bidi="he-IL"/>
        </w:rPr>
        <w:t xml:space="preserve">וכל זה הוא פירושו של רש"י. אבל הרי"ף והרמב"ם נקטו ד'כעין תורא' היינו שיש שינוי בצורתו באופן שהוא ניכר ולא יבאו לאכלו עם המין השני (ובזה מובן יותר 'כעין תורא', דהיינו שעשאוהו בצורת שור, וכן יש בזה הבנה למה דוקא צורה כזו דהא בזה יזכור שלא יאכלנו עם חלב או"ד שיזכור שהוא בשרי). והב"י הביא בשם הגהות שערי דורא ששני הפירושים אמת ואשר לסמוך על כל א' מן ההיתרים הנ"ל.   </w:t>
      </w:r>
    </w:p>
    <w:p w:rsidR="00BE18F1" w:rsidRPr="00882F11" w:rsidRDefault="00B24092" w:rsidP="003510B7">
      <w:pPr>
        <w:tabs>
          <w:tab w:val="right" w:pos="7497"/>
        </w:tabs>
        <w:bidi/>
        <w:jc w:val="both"/>
        <w:rPr>
          <w:rFonts w:cs="Guttman Drogolin"/>
          <w:rtl/>
          <w:lang w:bidi="he-IL"/>
        </w:rPr>
      </w:pPr>
      <w:r w:rsidRPr="00882F11">
        <w:rPr>
          <w:rFonts w:cs="Guttman Drogolin" w:hint="cs"/>
          <w:rtl/>
          <w:lang w:bidi="he-IL"/>
        </w:rPr>
        <w:t>ו</w:t>
      </w:r>
      <w:r w:rsidR="00320216" w:rsidRPr="00882F11">
        <w:rPr>
          <w:rFonts w:cs="Guttman Drogolin" w:hint="cs"/>
          <w:rtl/>
          <w:lang w:bidi="he-IL"/>
        </w:rPr>
        <w:t xml:space="preserve">החוו"ד </w:t>
      </w:r>
      <w:r w:rsidRPr="00882F11">
        <w:rPr>
          <w:rFonts w:cs="Guttman Drogolin" w:hint="cs"/>
          <w:rtl/>
          <w:lang w:bidi="he-IL"/>
        </w:rPr>
        <w:t xml:space="preserve">בס"ק ג' </w:t>
      </w:r>
      <w:r w:rsidR="003510B7" w:rsidRPr="00882F11">
        <w:rPr>
          <w:rFonts w:cs="Guttman Drogolin" w:hint="cs"/>
          <w:rtl/>
          <w:lang w:bidi="he-IL"/>
        </w:rPr>
        <w:t xml:space="preserve">(מובא בפת"ש) </w:t>
      </w:r>
      <w:r w:rsidR="00CC2685" w:rsidRPr="00882F11">
        <w:rPr>
          <w:rFonts w:cs="Guttman Drogolin" w:hint="cs"/>
          <w:rtl/>
          <w:lang w:bidi="he-IL"/>
        </w:rPr>
        <w:t xml:space="preserve">כתב דהא דמהני לעשותו בצורה מיוחדת או"ד בשיעור מועט, הנ"מ שכשעשה כן מעיקרא בשעת אפיי', אבל </w:t>
      </w:r>
      <w:r w:rsidR="00CC2685" w:rsidRPr="00882F11">
        <w:rPr>
          <w:rFonts w:cs="Guttman Drogolin" w:hint="cs"/>
          <w:rtl/>
          <w:lang w:bidi="he-IL"/>
        </w:rPr>
        <w:lastRenderedPageBreak/>
        <w:t>מעיקרא עשאו בשיעור גדול וכן שלא בצורה מיוחדת, לא מהני זה ששינה צורתו לאחר מכן וכן לא מהני זה שמחלק אותו לכמה בני אדם. והחוו"ד לא הביא לא מקור ולא סברא להוראתו. והנראה פשוט בזה, שהמקור להוראת החוו"ד מזה שכתוב בברייתא שאם לש כל הפת 'אסורה', ולשון אסורה משמע שהיא אסורה לחלוטין, ואילו הי' אפשרות לתקן ע"י חילוק לכמה בני אשם א"נ בזה שמשנה צורתו לא הו"ל למיסתם שהיא אסורה אלא לכתוב שישנה צורתו או יחלק אותו</w:t>
      </w:r>
      <w:r w:rsidR="007F03A8" w:rsidRPr="00882F11">
        <w:rPr>
          <w:rStyle w:val="FootnoteReference"/>
          <w:rFonts w:cs="Guttman Drogolin"/>
          <w:rtl/>
          <w:lang w:bidi="he-IL"/>
        </w:rPr>
        <w:footnoteReference w:id="320"/>
      </w:r>
      <w:r w:rsidR="00CC2685" w:rsidRPr="00882F11">
        <w:rPr>
          <w:rFonts w:cs="Guttman Drogolin" w:hint="cs"/>
          <w:rtl/>
          <w:lang w:bidi="he-IL"/>
        </w:rPr>
        <w:t>. ולכן משמע שאין לו תקנה. ובטעמו של דבר לכאורה צ"ע, דלמה באמת לא תיהני זה ששינה צורתו או כמותו מעתה, הא מעכשיו כבר נפל הטעם לאסור והו"ל לחזור להיתירו הראשון. מזה נראה ראי'</w:t>
      </w:r>
      <w:r w:rsidR="00C26A3A" w:rsidRPr="00882F11">
        <w:rPr>
          <w:rStyle w:val="FootnoteReference"/>
          <w:rFonts w:cs="Guttman Drogolin"/>
          <w:rtl/>
          <w:lang w:bidi="he-IL"/>
        </w:rPr>
        <w:footnoteReference w:id="321"/>
      </w:r>
      <w:r w:rsidR="00CC2685" w:rsidRPr="00882F11">
        <w:rPr>
          <w:rFonts w:cs="Guttman Drogolin" w:hint="cs"/>
          <w:rtl/>
          <w:lang w:bidi="he-IL"/>
        </w:rPr>
        <w:t xml:space="preserve"> שגדר האיסור הוא איסור לישה. ולכן </w:t>
      </w:r>
      <w:r w:rsidR="00BE18F1" w:rsidRPr="00882F11">
        <w:rPr>
          <w:rFonts w:cs="Guttman Drogolin" w:hint="cs"/>
          <w:rtl/>
          <w:lang w:bidi="he-IL"/>
        </w:rPr>
        <w:t>אם אפה בשינוי צורה או"ד בכמות קטנה, לא עבר אתקנת חז"ל, דהא בכה"ג ליכא למיחש, ולכן הפת מותרת. אבל אם אפה באופן האסור ועבר אתקנת חז"ל, מיד חל איסור על הפת כיון שעבר אתקנת חז"ל. וכיון שטעם האיסור משום שעבר אתקנת חז"ל ולא משום עצם זה שיבא לאכלו עם המין השני, לא מהני לזה תיקון לאחר מכן, דהא איסורא דעבד עבד. אבל אם גדר האיסור כנ"ל מן הזר זהב, לכאורה איזה טעם יש שלא להתיר את הפת מעכשיו.</w:t>
      </w:r>
    </w:p>
    <w:p w:rsidR="00C26A3A" w:rsidRPr="00882F11" w:rsidRDefault="00BE18F1" w:rsidP="00C26A3A">
      <w:pPr>
        <w:tabs>
          <w:tab w:val="right" w:pos="7497"/>
        </w:tabs>
        <w:bidi/>
        <w:jc w:val="both"/>
        <w:rPr>
          <w:rFonts w:cs="Guttman Drogolin"/>
          <w:rtl/>
          <w:lang w:bidi="he-IL"/>
        </w:rPr>
      </w:pPr>
      <w:r w:rsidRPr="00882F11">
        <w:rPr>
          <w:rFonts w:cs="Guttman Drogolin" w:hint="cs"/>
          <w:rtl/>
          <w:lang w:bidi="he-IL"/>
        </w:rPr>
        <w:t xml:space="preserve">ונראה לבאר בזה קצת יותר. דהנה זה פשוט שאין איסור ללוש פת עם חלב אע"ג שבשעת לישה לא יהא ניכר ע"י שינוי כיון שדעתו לעשותו עם שינוי. דהא כל עיזה אין לה שינוי צורה בשעת עשייתו, רק בשעת אפיי' הרי הוא מקבל צורה משונה. וא"כ לכאורה צ"ע, למה מהני זה שמשנה צורתו לאחר שעירב חלב בעיסה ולא לאחר אפיי'. והתי' הפשוט בזה, שלא גזרו שיהא אסור אא"כ יש בה חלב בזמן שעומד לאכילה (פי' לא מיבעי שלא גזרו בזמן שאינו ראוי לאכילה, אלא אפילו עיסה כזאת שראוי לאכילה אפילו בזמן שהוא עיסה, </w:t>
      </w:r>
      <w:r w:rsidRPr="00882F11">
        <w:rPr>
          <w:rFonts w:cs="Guttman Drogolin" w:hint="cs"/>
          <w:rtl/>
          <w:lang w:bidi="he-IL"/>
        </w:rPr>
        <w:lastRenderedPageBreak/>
        <w:t>וכגון העסות המתוקות שעושים בהם עוגיות, ג"כ מותרת כיון שאינן קיימות לאכילה בזמן זה</w:t>
      </w:r>
      <w:r w:rsidRPr="00882F11">
        <w:rPr>
          <w:rStyle w:val="FootnoteReference"/>
          <w:rFonts w:cs="Guttman Drogolin"/>
          <w:rtl/>
          <w:lang w:bidi="he-IL"/>
        </w:rPr>
        <w:footnoteReference w:id="322"/>
      </w:r>
      <w:r w:rsidRPr="00882F11">
        <w:rPr>
          <w:rFonts w:cs="Guttman Drogolin" w:hint="cs"/>
          <w:rtl/>
          <w:lang w:bidi="he-IL"/>
        </w:rPr>
        <w:t>).</w:t>
      </w:r>
      <w:r w:rsidR="00CC2685" w:rsidRPr="00882F11">
        <w:rPr>
          <w:rFonts w:cs="Guttman Drogolin" w:hint="cs"/>
          <w:rtl/>
          <w:lang w:bidi="he-IL"/>
        </w:rPr>
        <w:t xml:space="preserve"> </w:t>
      </w:r>
      <w:r w:rsidR="00C26A3A" w:rsidRPr="00882F11">
        <w:rPr>
          <w:rFonts w:cs="Guttman Drogolin" w:hint="cs"/>
          <w:rtl/>
          <w:lang w:bidi="he-IL"/>
        </w:rPr>
        <w:t>וא"כ לכאורה הי' אפשר לומר שלעולם הוראת החוו"ד מובנת גם לפי ביאורו של הזר זהב, רק הטעם שאין להתיר אחר אפיי' היינו משום דעד שעת אפיי' אין טעם לאסור, ומשעת אפיי' כבר חל עליו איסור, וסבר החוו"ד דכיון שחל עליו איסור שוב לא פקע. אבל גם זה צע"ק, שלכאורה אם חז"ל לא אסרו אלא החפצא של פת שיש בה חשש שיבא לאכלו עם המין השני, מה באמת איכפת לן אם חל עליו איסור או לא, הא האיסור חל על חפצא שיש בה חשש, ולכן מעכשיו שאין בה חשש לכאורה יש לנו שפקע ממנו האיסור. רק אם הסברא משום קנס י"ל שכיון שחל תו לא פקע, וכמו שנתבאר.</w:t>
      </w:r>
    </w:p>
    <w:p w:rsidR="00C26A3A" w:rsidRPr="00882F11" w:rsidRDefault="00C26A3A" w:rsidP="00C26A3A">
      <w:pPr>
        <w:pStyle w:val="Heading1"/>
        <w:bidi/>
        <w:spacing w:before="0" w:line="360" w:lineRule="auto"/>
        <w:jc w:val="center"/>
        <w:rPr>
          <w:rFonts w:cs="Guttman Drogolin"/>
          <w:color w:val="auto"/>
          <w:sz w:val="24"/>
          <w:szCs w:val="24"/>
          <w:u w:val="single"/>
          <w:rtl/>
          <w:lang w:bidi="he-IL"/>
        </w:rPr>
      </w:pPr>
      <w:bookmarkStart w:id="294" w:name="_Toc496175545"/>
      <w:r w:rsidRPr="00882F11">
        <w:rPr>
          <w:rFonts w:cs="Guttman Drogolin" w:hint="cs"/>
          <w:color w:val="auto"/>
          <w:sz w:val="24"/>
          <w:szCs w:val="24"/>
          <w:u w:val="single"/>
          <w:rtl/>
          <w:lang w:bidi="he-IL"/>
        </w:rPr>
        <w:t>באיזה מאכלים גזרו, ובזמן חלות האיסור</w:t>
      </w:r>
      <w:bookmarkEnd w:id="294"/>
    </w:p>
    <w:p w:rsidR="005E5F1D" w:rsidRPr="00882F11" w:rsidRDefault="003E48CE" w:rsidP="007F03A8">
      <w:pPr>
        <w:tabs>
          <w:tab w:val="right" w:pos="7497"/>
        </w:tabs>
        <w:bidi/>
        <w:jc w:val="both"/>
        <w:rPr>
          <w:rFonts w:cs="Guttman Drogolin"/>
          <w:rtl/>
          <w:lang w:bidi="he-IL"/>
        </w:rPr>
      </w:pPr>
      <w:r>
        <w:rPr>
          <w:rFonts w:cs="Guttman Drogolin"/>
          <w:rtl/>
          <w:lang w:bidi="he-IL"/>
        </w:rPr>
        <w:fldChar w:fldCharType="begin"/>
      </w:r>
      <w:r>
        <w:instrText xml:space="preserve"> XE "</w:instrText>
      </w:r>
      <w:r w:rsidRPr="00867A9D">
        <w:rPr>
          <w:rFonts w:hint="cs"/>
          <w:rtl/>
          <w:lang w:bidi="he-IL"/>
        </w:rPr>
        <w:instrText>לחם חלבי או בשרי</w:instrText>
      </w:r>
      <w:r w:rsidRPr="00867A9D">
        <w:rPr>
          <w:rtl/>
        </w:rPr>
        <w:instrText>:</w:instrText>
      </w:r>
      <w:r w:rsidRPr="00867A9D">
        <w:rPr>
          <w:rFonts w:hint="cs"/>
          <w:rtl/>
          <w:lang w:bidi="he-IL"/>
        </w:rPr>
        <w:instrText>באיזה מאכלים גזרו</w:instrText>
      </w:r>
      <w:r>
        <w:instrText xml:space="preserve">" </w:instrText>
      </w:r>
      <w:r>
        <w:rPr>
          <w:rFonts w:cs="Guttman Drogolin"/>
          <w:rtl/>
          <w:lang w:bidi="he-IL"/>
        </w:rPr>
        <w:fldChar w:fldCharType="end"/>
      </w:r>
      <w:r w:rsidR="000A7290" w:rsidRPr="00882F11">
        <w:rPr>
          <w:rFonts w:cs="Guttman Drogolin" w:hint="cs"/>
          <w:rtl/>
          <w:lang w:bidi="he-IL"/>
        </w:rPr>
        <w:t xml:space="preserve">כתב </w:t>
      </w:r>
      <w:r w:rsidR="00C26A3A" w:rsidRPr="00882F11">
        <w:rPr>
          <w:rFonts w:cs="Guttman Drogolin" w:hint="cs"/>
          <w:rtl/>
          <w:lang w:bidi="he-IL"/>
        </w:rPr>
        <w:t>הט"ז בס"ק א'</w:t>
      </w:r>
      <w:r w:rsidR="000A7290" w:rsidRPr="00882F11">
        <w:rPr>
          <w:rFonts w:cs="Guttman Drogolin" w:hint="cs"/>
          <w:rtl/>
          <w:lang w:bidi="he-IL"/>
        </w:rPr>
        <w:t xml:space="preserve"> "מזה</w:t>
      </w:r>
      <w:r w:rsidR="000A7290" w:rsidRPr="00882F11">
        <w:rPr>
          <w:rFonts w:cs="Guttman Drogolin"/>
          <w:rtl/>
          <w:lang w:bidi="he-IL"/>
        </w:rPr>
        <w:t xml:space="preserve"> </w:t>
      </w:r>
      <w:r w:rsidR="000A7290" w:rsidRPr="00882F11">
        <w:rPr>
          <w:rFonts w:cs="Guttman Drogolin" w:hint="cs"/>
          <w:rtl/>
          <w:lang w:bidi="he-IL"/>
        </w:rPr>
        <w:t>[פי' מדינא אין לשין וכו'] נראה</w:t>
      </w:r>
      <w:r w:rsidR="000A7290" w:rsidRPr="00882F11">
        <w:rPr>
          <w:rFonts w:cs="Guttman Drogolin"/>
          <w:rtl/>
          <w:lang w:bidi="he-IL"/>
        </w:rPr>
        <w:t xml:space="preserve"> </w:t>
      </w:r>
      <w:r w:rsidR="000A7290" w:rsidRPr="00882F11">
        <w:rPr>
          <w:rFonts w:cs="Guttman Drogolin" w:hint="cs"/>
          <w:rtl/>
          <w:lang w:bidi="he-IL"/>
        </w:rPr>
        <w:t>לי</w:t>
      </w:r>
      <w:r w:rsidR="000A7290" w:rsidRPr="00882F11">
        <w:rPr>
          <w:rFonts w:cs="Guttman Drogolin"/>
          <w:rtl/>
          <w:lang w:bidi="he-IL"/>
        </w:rPr>
        <w:t xml:space="preserve"> </w:t>
      </w:r>
      <w:r w:rsidR="000A7290" w:rsidRPr="00882F11">
        <w:rPr>
          <w:rFonts w:cs="Guttman Drogolin" w:hint="cs"/>
          <w:rtl/>
          <w:lang w:bidi="he-IL"/>
        </w:rPr>
        <w:t>דמדוכה</w:t>
      </w:r>
      <w:r w:rsidR="000A7290" w:rsidRPr="00882F11">
        <w:rPr>
          <w:rFonts w:cs="Guttman Drogolin"/>
          <w:rtl/>
          <w:lang w:bidi="he-IL"/>
        </w:rPr>
        <w:t xml:space="preserve"> </w:t>
      </w:r>
      <w:r w:rsidR="000A7290" w:rsidRPr="00882F11">
        <w:rPr>
          <w:rFonts w:cs="Guttman Drogolin" w:hint="cs"/>
          <w:rtl/>
          <w:lang w:bidi="he-IL"/>
        </w:rPr>
        <w:t>שדוכין</w:t>
      </w:r>
      <w:r w:rsidR="000A7290" w:rsidRPr="00882F11">
        <w:rPr>
          <w:rFonts w:cs="Guttman Drogolin"/>
          <w:rtl/>
          <w:lang w:bidi="he-IL"/>
        </w:rPr>
        <w:t xml:space="preserve"> </w:t>
      </w:r>
      <w:r w:rsidR="000A7290" w:rsidRPr="00882F11">
        <w:rPr>
          <w:rFonts w:cs="Guttman Drogolin" w:hint="cs"/>
          <w:rtl/>
          <w:lang w:bidi="he-IL"/>
        </w:rPr>
        <w:t>בה</w:t>
      </w:r>
      <w:r w:rsidR="000A7290" w:rsidRPr="00882F11">
        <w:rPr>
          <w:rFonts w:cs="Guttman Drogolin"/>
          <w:rtl/>
          <w:lang w:bidi="he-IL"/>
        </w:rPr>
        <w:t xml:space="preserve"> </w:t>
      </w:r>
      <w:r w:rsidR="000A7290" w:rsidRPr="00882F11">
        <w:rPr>
          <w:rFonts w:cs="Guttman Drogolin" w:hint="cs"/>
          <w:rtl/>
          <w:lang w:bidi="he-IL"/>
        </w:rPr>
        <w:t>בשמים</w:t>
      </w:r>
      <w:r w:rsidR="000A7290" w:rsidRPr="00882F11">
        <w:rPr>
          <w:rFonts w:cs="Guttman Drogolin"/>
          <w:rtl/>
          <w:lang w:bidi="he-IL"/>
        </w:rPr>
        <w:t xml:space="preserve"> </w:t>
      </w:r>
      <w:r w:rsidR="000A7290" w:rsidRPr="00882F11">
        <w:rPr>
          <w:rFonts w:cs="Guttman Drogolin" w:hint="cs"/>
          <w:rtl/>
          <w:lang w:bidi="he-IL"/>
        </w:rPr>
        <w:t>ומשתמשין</w:t>
      </w:r>
      <w:r w:rsidR="000A7290" w:rsidRPr="00882F11">
        <w:rPr>
          <w:rFonts w:cs="Guttman Drogolin"/>
          <w:rtl/>
          <w:lang w:bidi="he-IL"/>
        </w:rPr>
        <w:t xml:space="preserve"> </w:t>
      </w:r>
      <w:r w:rsidR="000A7290" w:rsidRPr="00882F11">
        <w:rPr>
          <w:rFonts w:cs="Guttman Drogolin" w:hint="cs"/>
          <w:rtl/>
          <w:lang w:bidi="he-IL"/>
        </w:rPr>
        <w:t>הבשמים</w:t>
      </w:r>
      <w:r w:rsidR="000A7290" w:rsidRPr="00882F11">
        <w:rPr>
          <w:rFonts w:cs="Guttman Drogolin"/>
          <w:rtl/>
          <w:lang w:bidi="he-IL"/>
        </w:rPr>
        <w:t xml:space="preserve"> </w:t>
      </w:r>
      <w:r w:rsidR="000A7290" w:rsidRPr="00882F11">
        <w:rPr>
          <w:rFonts w:cs="Guttman Drogolin" w:hint="cs"/>
          <w:rtl/>
          <w:lang w:bidi="he-IL"/>
        </w:rPr>
        <w:t>הן</w:t>
      </w:r>
      <w:r w:rsidR="000A7290" w:rsidRPr="00882F11">
        <w:rPr>
          <w:rFonts w:cs="Guttman Drogolin"/>
          <w:rtl/>
          <w:lang w:bidi="he-IL"/>
        </w:rPr>
        <w:t xml:space="preserve"> </w:t>
      </w:r>
      <w:r w:rsidR="000A7290" w:rsidRPr="00882F11">
        <w:rPr>
          <w:rFonts w:cs="Guttman Drogolin" w:hint="cs"/>
          <w:rtl/>
          <w:lang w:bidi="he-IL"/>
        </w:rPr>
        <w:t>עם</w:t>
      </w:r>
      <w:r w:rsidR="000A7290" w:rsidRPr="00882F11">
        <w:rPr>
          <w:rFonts w:cs="Guttman Drogolin"/>
          <w:rtl/>
          <w:lang w:bidi="he-IL"/>
        </w:rPr>
        <w:t xml:space="preserve"> </w:t>
      </w:r>
      <w:r w:rsidR="000A7290" w:rsidRPr="00882F11">
        <w:rPr>
          <w:rFonts w:cs="Guttman Drogolin" w:hint="cs"/>
          <w:rtl/>
          <w:lang w:bidi="he-IL"/>
        </w:rPr>
        <w:t>בשר</w:t>
      </w:r>
      <w:r w:rsidR="000A7290" w:rsidRPr="00882F11">
        <w:rPr>
          <w:rFonts w:cs="Guttman Drogolin"/>
          <w:rtl/>
          <w:lang w:bidi="he-IL"/>
        </w:rPr>
        <w:t xml:space="preserve"> </w:t>
      </w:r>
      <w:r w:rsidR="000A7290" w:rsidRPr="00882F11">
        <w:rPr>
          <w:rFonts w:cs="Guttman Drogolin" w:hint="cs"/>
          <w:rtl/>
          <w:lang w:bidi="he-IL"/>
        </w:rPr>
        <w:t>והן</w:t>
      </w:r>
      <w:r w:rsidR="000A7290" w:rsidRPr="00882F11">
        <w:rPr>
          <w:rFonts w:cs="Guttman Drogolin"/>
          <w:rtl/>
          <w:lang w:bidi="he-IL"/>
        </w:rPr>
        <w:t xml:space="preserve"> </w:t>
      </w:r>
      <w:r w:rsidR="000A7290" w:rsidRPr="00882F11">
        <w:rPr>
          <w:rFonts w:cs="Guttman Drogolin" w:hint="cs"/>
          <w:rtl/>
          <w:lang w:bidi="he-IL"/>
        </w:rPr>
        <w:t>עם</w:t>
      </w:r>
      <w:r w:rsidR="000A7290" w:rsidRPr="00882F11">
        <w:rPr>
          <w:rFonts w:cs="Guttman Drogolin"/>
          <w:rtl/>
          <w:lang w:bidi="he-IL"/>
        </w:rPr>
        <w:t xml:space="preserve"> </w:t>
      </w:r>
      <w:r w:rsidR="000A7290" w:rsidRPr="00882F11">
        <w:rPr>
          <w:rFonts w:cs="Guttman Drogolin" w:hint="cs"/>
          <w:rtl/>
          <w:lang w:bidi="he-IL"/>
        </w:rPr>
        <w:t>חלב</w:t>
      </w:r>
      <w:r w:rsidR="000A7290" w:rsidRPr="00882F11">
        <w:rPr>
          <w:rFonts w:cs="Guttman Drogolin"/>
          <w:rtl/>
          <w:lang w:bidi="he-IL"/>
        </w:rPr>
        <w:t xml:space="preserve"> </w:t>
      </w:r>
      <w:r w:rsidR="000A7290" w:rsidRPr="00882F11">
        <w:rPr>
          <w:rFonts w:cs="Guttman Drogolin" w:hint="cs"/>
          <w:rtl/>
          <w:lang w:bidi="he-IL"/>
        </w:rPr>
        <w:t>ופעם</w:t>
      </w:r>
      <w:r w:rsidR="000A7290" w:rsidRPr="00882F11">
        <w:rPr>
          <w:rFonts w:cs="Guttman Drogolin"/>
          <w:rtl/>
          <w:lang w:bidi="he-IL"/>
        </w:rPr>
        <w:t xml:space="preserve"> </w:t>
      </w:r>
      <w:r w:rsidR="000A7290" w:rsidRPr="00882F11">
        <w:rPr>
          <w:rFonts w:cs="Guttman Drogolin" w:hint="cs"/>
          <w:rtl/>
          <w:lang w:bidi="he-IL"/>
        </w:rPr>
        <w:t>אחת</w:t>
      </w:r>
      <w:r w:rsidR="000A7290" w:rsidRPr="00882F11">
        <w:rPr>
          <w:rFonts w:cs="Guttman Drogolin"/>
          <w:rtl/>
          <w:lang w:bidi="he-IL"/>
        </w:rPr>
        <w:t xml:space="preserve"> </w:t>
      </w:r>
      <w:r w:rsidR="000A7290" w:rsidRPr="00882F11">
        <w:rPr>
          <w:rFonts w:cs="Guttman Drogolin" w:hint="cs"/>
          <w:rtl/>
          <w:lang w:bidi="he-IL"/>
        </w:rPr>
        <w:t>דכו</w:t>
      </w:r>
      <w:r w:rsidR="000A7290" w:rsidRPr="00882F11">
        <w:rPr>
          <w:rFonts w:cs="Guttman Drogolin"/>
          <w:rtl/>
          <w:lang w:bidi="he-IL"/>
        </w:rPr>
        <w:t xml:space="preserve"> </w:t>
      </w:r>
      <w:r w:rsidR="000A7290" w:rsidRPr="00882F11">
        <w:rPr>
          <w:rFonts w:cs="Guttman Drogolin" w:hint="cs"/>
          <w:rtl/>
          <w:lang w:bidi="he-IL"/>
        </w:rPr>
        <w:t>שם</w:t>
      </w:r>
      <w:r w:rsidR="000A7290" w:rsidRPr="00882F11">
        <w:rPr>
          <w:rFonts w:cs="Guttman Drogolin"/>
          <w:rtl/>
          <w:lang w:bidi="he-IL"/>
        </w:rPr>
        <w:t xml:space="preserve"> </w:t>
      </w:r>
      <w:r w:rsidR="000A7290" w:rsidRPr="00882F11">
        <w:rPr>
          <w:rFonts w:cs="Guttman Drogolin" w:hint="cs"/>
          <w:rtl/>
          <w:lang w:bidi="he-IL"/>
        </w:rPr>
        <w:t>שום</w:t>
      </w:r>
      <w:r w:rsidR="000A7290" w:rsidRPr="00882F11">
        <w:rPr>
          <w:rFonts w:cs="Guttman Drogolin"/>
          <w:rtl/>
          <w:lang w:bidi="he-IL"/>
        </w:rPr>
        <w:t xml:space="preserve"> </w:t>
      </w:r>
      <w:r w:rsidR="000A7290" w:rsidRPr="00882F11">
        <w:rPr>
          <w:rFonts w:cs="Guttman Drogolin" w:hint="cs"/>
          <w:rtl/>
          <w:lang w:bidi="he-IL"/>
        </w:rPr>
        <w:t>עם</w:t>
      </w:r>
      <w:r w:rsidR="000A7290" w:rsidRPr="00882F11">
        <w:rPr>
          <w:rFonts w:cs="Guttman Drogolin"/>
          <w:rtl/>
          <w:lang w:bidi="he-IL"/>
        </w:rPr>
        <w:t xml:space="preserve"> </w:t>
      </w:r>
      <w:r w:rsidR="000A7290" w:rsidRPr="00882F11">
        <w:rPr>
          <w:rFonts w:cs="Guttman Drogolin" w:hint="cs"/>
          <w:rtl/>
          <w:lang w:bidi="he-IL"/>
        </w:rPr>
        <w:t>מרק</w:t>
      </w:r>
      <w:r w:rsidR="000A7290" w:rsidRPr="00882F11">
        <w:rPr>
          <w:rFonts w:cs="Guttman Drogolin"/>
          <w:rtl/>
          <w:lang w:bidi="he-IL"/>
        </w:rPr>
        <w:t xml:space="preserve"> </w:t>
      </w:r>
      <w:r w:rsidR="000A7290" w:rsidRPr="00882F11">
        <w:rPr>
          <w:rFonts w:cs="Guttman Drogolin" w:hint="cs"/>
          <w:rtl/>
          <w:lang w:bidi="he-IL"/>
        </w:rPr>
        <w:t>של</w:t>
      </w:r>
      <w:r w:rsidR="000A7290" w:rsidRPr="00882F11">
        <w:rPr>
          <w:rFonts w:cs="Guttman Drogolin"/>
          <w:rtl/>
          <w:lang w:bidi="he-IL"/>
        </w:rPr>
        <w:t xml:space="preserve"> </w:t>
      </w:r>
      <w:r w:rsidR="000A7290" w:rsidRPr="00882F11">
        <w:rPr>
          <w:rFonts w:cs="Guttman Drogolin" w:hint="cs"/>
          <w:rtl/>
          <w:lang w:bidi="he-IL"/>
        </w:rPr>
        <w:t>שומן</w:t>
      </w:r>
      <w:r w:rsidR="000A7290" w:rsidRPr="00882F11">
        <w:rPr>
          <w:rFonts w:cs="Guttman Drogolin"/>
          <w:rtl/>
          <w:lang w:bidi="he-IL"/>
        </w:rPr>
        <w:t xml:space="preserve"> </w:t>
      </w:r>
      <w:r w:rsidR="000A7290" w:rsidRPr="00882F11">
        <w:rPr>
          <w:rFonts w:cs="Guttman Drogolin" w:hint="cs"/>
          <w:rtl/>
          <w:lang w:bidi="he-IL"/>
        </w:rPr>
        <w:t>אווז</w:t>
      </w:r>
      <w:r w:rsidR="000A7290" w:rsidRPr="00882F11">
        <w:rPr>
          <w:rFonts w:cs="Guttman Drogolin"/>
          <w:rtl/>
          <w:lang w:bidi="he-IL"/>
        </w:rPr>
        <w:t xml:space="preserve"> </w:t>
      </w:r>
      <w:r w:rsidR="000A7290" w:rsidRPr="00882F11">
        <w:rPr>
          <w:rFonts w:cs="Guttman Drogolin" w:hint="cs"/>
          <w:rtl/>
          <w:lang w:bidi="he-IL"/>
        </w:rPr>
        <w:t>ואחר</w:t>
      </w:r>
      <w:r w:rsidR="000A7290" w:rsidRPr="00882F11">
        <w:rPr>
          <w:rFonts w:cs="Guttman Drogolin"/>
          <w:rtl/>
          <w:lang w:bidi="he-IL"/>
        </w:rPr>
        <w:t xml:space="preserve"> </w:t>
      </w:r>
      <w:r w:rsidR="000A7290" w:rsidRPr="00882F11">
        <w:rPr>
          <w:rFonts w:cs="Guttman Drogolin" w:hint="cs"/>
          <w:rtl/>
          <w:lang w:bidi="he-IL"/>
        </w:rPr>
        <w:t>כך</w:t>
      </w:r>
      <w:r w:rsidR="000A7290" w:rsidRPr="00882F11">
        <w:rPr>
          <w:rFonts w:cs="Guttman Drogolin"/>
          <w:rtl/>
          <w:lang w:bidi="he-IL"/>
        </w:rPr>
        <w:t xml:space="preserve"> </w:t>
      </w:r>
      <w:r w:rsidR="000A7290" w:rsidRPr="00882F11">
        <w:rPr>
          <w:rFonts w:cs="Guttman Drogolin" w:hint="cs"/>
          <w:rtl/>
          <w:lang w:bidi="he-IL"/>
        </w:rPr>
        <w:t>מחזירין</w:t>
      </w:r>
      <w:r w:rsidR="000A7290" w:rsidRPr="00882F11">
        <w:rPr>
          <w:rFonts w:cs="Guttman Drogolin"/>
          <w:rtl/>
          <w:lang w:bidi="he-IL"/>
        </w:rPr>
        <w:t xml:space="preserve"> </w:t>
      </w:r>
      <w:r w:rsidR="000A7290" w:rsidRPr="00882F11">
        <w:rPr>
          <w:rFonts w:cs="Guttman Drogolin" w:hint="cs"/>
          <w:rtl/>
          <w:lang w:bidi="he-IL"/>
        </w:rPr>
        <w:t>אותו</w:t>
      </w:r>
      <w:r w:rsidR="000A7290" w:rsidRPr="00882F11">
        <w:rPr>
          <w:rFonts w:cs="Guttman Drogolin"/>
          <w:rtl/>
          <w:lang w:bidi="he-IL"/>
        </w:rPr>
        <w:t xml:space="preserve"> </w:t>
      </w:r>
      <w:r w:rsidR="000A7290" w:rsidRPr="00882F11">
        <w:rPr>
          <w:rFonts w:cs="Guttman Drogolin" w:hint="cs"/>
          <w:rtl/>
          <w:lang w:bidi="he-IL"/>
        </w:rPr>
        <w:t>הרוטב</w:t>
      </w:r>
      <w:r w:rsidR="000A7290" w:rsidRPr="00882F11">
        <w:rPr>
          <w:rFonts w:cs="Guttman Drogolin"/>
          <w:rtl/>
          <w:lang w:bidi="he-IL"/>
        </w:rPr>
        <w:t xml:space="preserve"> </w:t>
      </w:r>
      <w:r w:rsidR="000A7290" w:rsidRPr="00882F11">
        <w:rPr>
          <w:rFonts w:cs="Guttman Drogolin" w:hint="cs"/>
          <w:rtl/>
          <w:lang w:bidi="he-IL"/>
        </w:rPr>
        <w:t>על</w:t>
      </w:r>
      <w:r w:rsidR="000A7290" w:rsidRPr="00882F11">
        <w:rPr>
          <w:rFonts w:cs="Guttman Drogolin"/>
          <w:rtl/>
          <w:lang w:bidi="he-IL"/>
        </w:rPr>
        <w:t xml:space="preserve"> </w:t>
      </w:r>
      <w:r w:rsidR="000A7290" w:rsidRPr="00882F11">
        <w:rPr>
          <w:rFonts w:cs="Guttman Drogolin" w:hint="cs"/>
          <w:rtl/>
          <w:lang w:bidi="he-IL"/>
        </w:rPr>
        <w:t>האווז</w:t>
      </w:r>
      <w:r w:rsidR="000A7290" w:rsidRPr="00882F11">
        <w:rPr>
          <w:rFonts w:cs="Guttman Drogolin"/>
          <w:rtl/>
          <w:lang w:bidi="he-IL"/>
        </w:rPr>
        <w:t xml:space="preserve"> </w:t>
      </w:r>
      <w:r w:rsidR="000A7290" w:rsidRPr="00882F11">
        <w:rPr>
          <w:rFonts w:cs="Guttman Drogolin" w:hint="cs"/>
          <w:rtl/>
          <w:lang w:bidi="he-IL"/>
        </w:rPr>
        <w:t>נ</w:t>
      </w:r>
      <w:r w:rsidR="000A7290" w:rsidRPr="00882F11">
        <w:rPr>
          <w:rFonts w:cs="Guttman Drogolin"/>
          <w:rtl/>
          <w:lang w:bidi="he-IL"/>
        </w:rPr>
        <w:t>"</w:t>
      </w:r>
      <w:r w:rsidR="000A7290" w:rsidRPr="00882F11">
        <w:rPr>
          <w:rFonts w:cs="Guttman Drogolin" w:hint="cs"/>
          <w:rtl/>
          <w:lang w:bidi="he-IL"/>
        </w:rPr>
        <w:t>ל</w:t>
      </w:r>
      <w:r w:rsidR="000A7290" w:rsidRPr="00882F11">
        <w:rPr>
          <w:rFonts w:cs="Guttman Drogolin"/>
          <w:rtl/>
          <w:lang w:bidi="he-IL"/>
        </w:rPr>
        <w:t xml:space="preserve"> </w:t>
      </w:r>
      <w:r w:rsidR="000A7290" w:rsidRPr="00882F11">
        <w:rPr>
          <w:rFonts w:cs="Guttman Drogolin" w:hint="cs"/>
          <w:rtl/>
          <w:lang w:bidi="he-IL"/>
        </w:rPr>
        <w:t>שאותה</w:t>
      </w:r>
      <w:r w:rsidR="000A7290" w:rsidRPr="00882F11">
        <w:rPr>
          <w:rFonts w:cs="Guttman Drogolin"/>
          <w:rtl/>
          <w:lang w:bidi="he-IL"/>
        </w:rPr>
        <w:t xml:space="preserve"> </w:t>
      </w:r>
      <w:r w:rsidR="000A7290" w:rsidRPr="00882F11">
        <w:rPr>
          <w:rFonts w:cs="Guttman Drogolin" w:hint="cs"/>
          <w:rtl/>
          <w:lang w:bidi="he-IL"/>
        </w:rPr>
        <w:t>מדוכה</w:t>
      </w:r>
      <w:r w:rsidR="000A7290" w:rsidRPr="00882F11">
        <w:rPr>
          <w:rFonts w:cs="Guttman Drogolin"/>
          <w:rtl/>
          <w:lang w:bidi="he-IL"/>
        </w:rPr>
        <w:t xml:space="preserve"> </w:t>
      </w:r>
      <w:r w:rsidR="000A7290" w:rsidRPr="00882F11">
        <w:rPr>
          <w:rFonts w:cs="Guttman Drogolin" w:hint="cs"/>
          <w:rtl/>
          <w:lang w:bidi="he-IL"/>
        </w:rPr>
        <w:t>אסורה</w:t>
      </w:r>
      <w:r w:rsidR="000A7290" w:rsidRPr="00882F11">
        <w:rPr>
          <w:rFonts w:cs="Guttman Drogolin"/>
          <w:rtl/>
          <w:lang w:bidi="he-IL"/>
        </w:rPr>
        <w:t xml:space="preserve"> </w:t>
      </w:r>
      <w:r w:rsidR="000A7290" w:rsidRPr="00882F11">
        <w:rPr>
          <w:rFonts w:cs="Guttman Drogolin" w:hint="cs"/>
          <w:rtl/>
          <w:lang w:bidi="he-IL"/>
        </w:rPr>
        <w:t>לדוך</w:t>
      </w:r>
      <w:r w:rsidR="000A7290" w:rsidRPr="00882F11">
        <w:rPr>
          <w:rFonts w:cs="Guttman Drogolin"/>
          <w:rtl/>
          <w:lang w:bidi="he-IL"/>
        </w:rPr>
        <w:t xml:space="preserve"> </w:t>
      </w:r>
      <w:r w:rsidR="000A7290" w:rsidRPr="00882F11">
        <w:rPr>
          <w:rFonts w:cs="Guttman Drogolin" w:hint="cs"/>
          <w:rtl/>
          <w:lang w:bidi="he-IL"/>
        </w:rPr>
        <w:t>בה</w:t>
      </w:r>
      <w:r w:rsidR="000A7290" w:rsidRPr="00882F11">
        <w:rPr>
          <w:rFonts w:cs="Guttman Drogolin"/>
          <w:rtl/>
          <w:lang w:bidi="he-IL"/>
        </w:rPr>
        <w:t xml:space="preserve"> </w:t>
      </w:r>
      <w:r w:rsidR="000A7290" w:rsidRPr="00882F11">
        <w:rPr>
          <w:rFonts w:cs="Guttman Drogolin" w:hint="cs"/>
          <w:rtl/>
          <w:lang w:bidi="he-IL"/>
        </w:rPr>
        <w:t>עוד</w:t>
      </w:r>
      <w:r w:rsidR="000A7290" w:rsidRPr="00882F11">
        <w:rPr>
          <w:rFonts w:cs="Guttman Drogolin"/>
          <w:rtl/>
          <w:lang w:bidi="he-IL"/>
        </w:rPr>
        <w:t xml:space="preserve"> </w:t>
      </w:r>
      <w:r w:rsidR="000A7290" w:rsidRPr="00882F11">
        <w:rPr>
          <w:rFonts w:cs="Guttman Drogolin" w:hint="cs"/>
          <w:rtl/>
          <w:lang w:bidi="he-IL"/>
        </w:rPr>
        <w:t>בשמים</w:t>
      </w:r>
      <w:r w:rsidR="000A7290" w:rsidRPr="00882F11">
        <w:rPr>
          <w:rFonts w:cs="Guttman Drogolin"/>
          <w:rtl/>
          <w:lang w:bidi="he-IL"/>
        </w:rPr>
        <w:t xml:space="preserve"> </w:t>
      </w:r>
      <w:r w:rsidR="000A7290" w:rsidRPr="00882F11">
        <w:rPr>
          <w:rFonts w:cs="Guttman Drogolin" w:hint="cs"/>
          <w:rtl/>
          <w:lang w:bidi="he-IL"/>
        </w:rPr>
        <w:t>אפילו</w:t>
      </w:r>
      <w:r w:rsidR="000A7290" w:rsidRPr="00882F11">
        <w:rPr>
          <w:rFonts w:cs="Guttman Drogolin"/>
          <w:rtl/>
          <w:lang w:bidi="he-IL"/>
        </w:rPr>
        <w:t xml:space="preserve"> </w:t>
      </w:r>
      <w:r w:rsidR="000A7290" w:rsidRPr="00882F11">
        <w:rPr>
          <w:rFonts w:cs="Guttman Drogolin" w:hint="cs"/>
          <w:rtl/>
          <w:lang w:bidi="he-IL"/>
        </w:rPr>
        <w:t>לאכול</w:t>
      </w:r>
      <w:r w:rsidR="000A7290" w:rsidRPr="00882F11">
        <w:rPr>
          <w:rFonts w:cs="Guttman Drogolin"/>
          <w:rtl/>
          <w:lang w:bidi="he-IL"/>
        </w:rPr>
        <w:t xml:space="preserve"> </w:t>
      </w:r>
      <w:r w:rsidR="000A7290" w:rsidRPr="00882F11">
        <w:rPr>
          <w:rFonts w:cs="Guttman Drogolin" w:hint="cs"/>
          <w:rtl/>
          <w:lang w:bidi="he-IL"/>
        </w:rPr>
        <w:t>בבשר</w:t>
      </w:r>
      <w:r w:rsidR="000A7290" w:rsidRPr="00882F11">
        <w:rPr>
          <w:rFonts w:cs="Guttman Drogolin"/>
          <w:rtl/>
          <w:lang w:bidi="he-IL"/>
        </w:rPr>
        <w:t xml:space="preserve"> </w:t>
      </w:r>
      <w:r w:rsidR="000A7290" w:rsidRPr="00882F11">
        <w:rPr>
          <w:rFonts w:cs="Guttman Drogolin" w:hint="cs"/>
          <w:rtl/>
          <w:lang w:bidi="he-IL"/>
        </w:rPr>
        <w:t>שמא</w:t>
      </w:r>
      <w:r w:rsidR="000A7290" w:rsidRPr="00882F11">
        <w:rPr>
          <w:rFonts w:cs="Guttman Drogolin"/>
          <w:rtl/>
          <w:lang w:bidi="he-IL"/>
        </w:rPr>
        <w:t xml:space="preserve"> </w:t>
      </w:r>
      <w:r w:rsidR="000A7290" w:rsidRPr="00882F11">
        <w:rPr>
          <w:rFonts w:cs="Guttman Drogolin" w:hint="cs"/>
          <w:rtl/>
          <w:lang w:bidi="he-IL"/>
        </w:rPr>
        <w:t>יבוא</w:t>
      </w:r>
      <w:r w:rsidR="000A7290" w:rsidRPr="00882F11">
        <w:rPr>
          <w:rFonts w:cs="Guttman Drogolin"/>
          <w:rtl/>
          <w:lang w:bidi="he-IL"/>
        </w:rPr>
        <w:t xml:space="preserve"> </w:t>
      </w:r>
      <w:r w:rsidR="000A7290" w:rsidRPr="00882F11">
        <w:rPr>
          <w:rFonts w:cs="Guttman Drogolin" w:hint="cs"/>
          <w:rtl/>
          <w:lang w:bidi="he-IL"/>
        </w:rPr>
        <w:t>לאכול</w:t>
      </w:r>
      <w:r w:rsidR="000A7290" w:rsidRPr="00882F11">
        <w:rPr>
          <w:rFonts w:cs="Guttman Drogolin"/>
          <w:rtl/>
          <w:lang w:bidi="he-IL"/>
        </w:rPr>
        <w:t xml:space="preserve"> </w:t>
      </w:r>
      <w:r w:rsidR="000A7290" w:rsidRPr="00882F11">
        <w:rPr>
          <w:rFonts w:cs="Guttman Drogolin" w:hint="cs"/>
          <w:rtl/>
          <w:lang w:bidi="he-IL"/>
        </w:rPr>
        <w:t>בחלב</w:t>
      </w:r>
      <w:r w:rsidR="000A7290" w:rsidRPr="00882F11">
        <w:rPr>
          <w:rFonts w:cs="Guttman Drogolin"/>
          <w:rtl/>
          <w:lang w:bidi="he-IL"/>
        </w:rPr>
        <w:t xml:space="preserve"> </w:t>
      </w:r>
      <w:r w:rsidR="000A7290" w:rsidRPr="00882F11">
        <w:rPr>
          <w:rFonts w:cs="Guttman Drogolin" w:hint="cs"/>
          <w:rtl/>
          <w:lang w:bidi="he-IL"/>
        </w:rPr>
        <w:t>דומיא</w:t>
      </w:r>
      <w:r w:rsidR="000A7290" w:rsidRPr="00882F11">
        <w:rPr>
          <w:rFonts w:cs="Guttman Drogolin"/>
          <w:rtl/>
          <w:lang w:bidi="he-IL"/>
        </w:rPr>
        <w:t xml:space="preserve"> </w:t>
      </w:r>
      <w:r w:rsidR="000A7290" w:rsidRPr="00882F11">
        <w:rPr>
          <w:rFonts w:cs="Guttman Drogolin" w:hint="cs"/>
          <w:rtl/>
          <w:lang w:bidi="he-IL"/>
        </w:rPr>
        <w:t>דכאן</w:t>
      </w:r>
      <w:r w:rsidR="000A7290" w:rsidRPr="00882F11">
        <w:rPr>
          <w:rFonts w:cs="Guttman Drogolin"/>
          <w:rtl/>
          <w:lang w:bidi="he-IL"/>
        </w:rPr>
        <w:t xml:space="preserve"> </w:t>
      </w:r>
      <w:r w:rsidR="000A7290" w:rsidRPr="00882F11">
        <w:rPr>
          <w:rFonts w:cs="Guttman Drogolin" w:hint="cs"/>
          <w:rtl/>
          <w:lang w:bidi="he-IL"/>
        </w:rPr>
        <w:t>וצריכה</w:t>
      </w:r>
      <w:r w:rsidR="000A7290" w:rsidRPr="00882F11">
        <w:rPr>
          <w:rFonts w:cs="Guttman Drogolin"/>
          <w:rtl/>
          <w:lang w:bidi="he-IL"/>
        </w:rPr>
        <w:t xml:space="preserve"> </w:t>
      </w:r>
      <w:r w:rsidR="000A7290" w:rsidRPr="00882F11">
        <w:rPr>
          <w:rFonts w:cs="Guttman Drogolin" w:hint="cs"/>
          <w:rtl/>
          <w:lang w:bidi="he-IL"/>
        </w:rPr>
        <w:t>הכשר</w:t>
      </w:r>
      <w:r w:rsidR="000A7290" w:rsidRPr="00882F11">
        <w:rPr>
          <w:rFonts w:cs="Guttman Drogolin"/>
          <w:rtl/>
          <w:lang w:bidi="he-IL"/>
        </w:rPr>
        <w:t xml:space="preserve"> </w:t>
      </w:r>
      <w:r w:rsidR="000A7290" w:rsidRPr="00882F11">
        <w:rPr>
          <w:rFonts w:cs="Guttman Drogolin" w:hint="cs"/>
          <w:rtl/>
          <w:lang w:bidi="he-IL"/>
        </w:rPr>
        <w:t>דוקא</w:t>
      </w:r>
      <w:r w:rsidR="000A7290" w:rsidRPr="00882F11">
        <w:rPr>
          <w:rFonts w:cs="Guttman Drogolin"/>
          <w:rtl/>
          <w:lang w:bidi="he-IL"/>
        </w:rPr>
        <w:t xml:space="preserve"> </w:t>
      </w:r>
      <w:r w:rsidR="000A7290" w:rsidRPr="00882F11">
        <w:rPr>
          <w:rFonts w:cs="Guttman Drogolin" w:hint="cs"/>
          <w:rtl/>
          <w:lang w:bidi="he-IL"/>
        </w:rPr>
        <w:t>ואפילו</w:t>
      </w:r>
      <w:r w:rsidR="000A7290" w:rsidRPr="00882F11">
        <w:rPr>
          <w:rFonts w:cs="Guttman Drogolin"/>
          <w:rtl/>
          <w:lang w:bidi="he-IL"/>
        </w:rPr>
        <w:t xml:space="preserve"> </w:t>
      </w:r>
      <w:r w:rsidR="000A7290" w:rsidRPr="00882F11">
        <w:rPr>
          <w:rFonts w:cs="Guttman Drogolin" w:hint="cs"/>
          <w:rtl/>
          <w:lang w:bidi="he-IL"/>
        </w:rPr>
        <w:t>דיעבד</w:t>
      </w:r>
      <w:r w:rsidR="000A7290" w:rsidRPr="00882F11">
        <w:rPr>
          <w:rFonts w:cs="Guttman Drogolin"/>
          <w:rtl/>
          <w:lang w:bidi="he-IL"/>
        </w:rPr>
        <w:t xml:space="preserve"> </w:t>
      </w:r>
      <w:r w:rsidR="000A7290" w:rsidRPr="00882F11">
        <w:rPr>
          <w:rFonts w:cs="Guttman Drogolin" w:hint="cs"/>
          <w:rtl/>
          <w:lang w:bidi="he-IL"/>
        </w:rPr>
        <w:t>אסור</w:t>
      </w:r>
      <w:r w:rsidR="000A7290" w:rsidRPr="00882F11">
        <w:rPr>
          <w:rFonts w:cs="Guttman Drogolin"/>
          <w:rtl/>
          <w:lang w:bidi="he-IL"/>
        </w:rPr>
        <w:t xml:space="preserve"> </w:t>
      </w:r>
      <w:r w:rsidR="000A7290" w:rsidRPr="00882F11">
        <w:rPr>
          <w:rFonts w:cs="Guttman Drogolin" w:hint="cs"/>
          <w:rtl/>
          <w:lang w:bidi="he-IL"/>
        </w:rPr>
        <w:t>בלא</w:t>
      </w:r>
      <w:r w:rsidR="000A7290" w:rsidRPr="00882F11">
        <w:rPr>
          <w:rFonts w:cs="Guttman Drogolin"/>
          <w:rtl/>
          <w:lang w:bidi="he-IL"/>
        </w:rPr>
        <w:t xml:space="preserve"> </w:t>
      </w:r>
      <w:r w:rsidR="000A7290" w:rsidRPr="00882F11">
        <w:rPr>
          <w:rFonts w:cs="Guttman Drogolin" w:hint="cs"/>
          <w:rtl/>
          <w:lang w:bidi="he-IL"/>
        </w:rPr>
        <w:t xml:space="preserve">הכשר". וחזינן לדעתי' שאין האיסור מיוחד לפת בלבד, ולכל מאכל שיש לחוש שיבא לאכלו עעם המין השני גזרו בהם שהן אסורים אפילו המלח אם יש חשש שמא יבא לאכלו עם המין השני. </w:t>
      </w:r>
      <w:r w:rsidR="005E5F1D" w:rsidRPr="00882F11">
        <w:rPr>
          <w:rFonts w:cs="Guttman Drogolin" w:hint="cs"/>
          <w:rtl/>
          <w:lang w:bidi="he-IL"/>
        </w:rPr>
        <w:t xml:space="preserve">אמנם יש חולקים על הט"ז וסוברים שלא גזרו אלא בפת, ע' פר"ח </w:t>
      </w:r>
      <w:r w:rsidR="007F03A8" w:rsidRPr="00882F11">
        <w:rPr>
          <w:rFonts w:cs="Guttman Drogolin" w:hint="cs"/>
          <w:rtl/>
          <w:lang w:bidi="he-IL"/>
        </w:rPr>
        <w:t xml:space="preserve">וחוו"ד ס"ק א' וחכמ"א (כלל נ' ד"ז) וערוה"ש. </w:t>
      </w:r>
      <w:r w:rsidR="005E5F1D" w:rsidRPr="00882F11">
        <w:rPr>
          <w:rFonts w:cs="Guttman Drogolin" w:hint="cs"/>
          <w:rtl/>
          <w:lang w:bidi="he-IL"/>
        </w:rPr>
        <w:t>ולכאורה מחלוקתם תלוי בהבנת דברי הרמב"ן במס' ע"ז דף ס"ו ע"ב, דז"ל הרמב"ן שם "וא</w:t>
      </w:r>
      <w:r w:rsidR="005E5F1D" w:rsidRPr="00882F11">
        <w:rPr>
          <w:rFonts w:cs="Guttman Drogolin"/>
          <w:rtl/>
          <w:lang w:bidi="he-IL"/>
        </w:rPr>
        <w:t>"</w:t>
      </w:r>
      <w:r w:rsidR="005E5F1D" w:rsidRPr="00882F11">
        <w:rPr>
          <w:rFonts w:cs="Guttman Drogolin" w:hint="cs"/>
          <w:rtl/>
          <w:lang w:bidi="he-IL"/>
        </w:rPr>
        <w:t>ת</w:t>
      </w:r>
      <w:r w:rsidR="005E5F1D" w:rsidRPr="00882F11">
        <w:rPr>
          <w:rFonts w:cs="Guttman Drogolin"/>
          <w:rtl/>
          <w:lang w:bidi="he-IL"/>
        </w:rPr>
        <w:t xml:space="preserve"> </w:t>
      </w:r>
      <w:r w:rsidR="005E5F1D" w:rsidRPr="00882F11">
        <w:rPr>
          <w:rFonts w:cs="Guttman Drogolin" w:hint="cs"/>
          <w:rtl/>
          <w:lang w:bidi="he-IL"/>
        </w:rPr>
        <w:t>והא</w:t>
      </w:r>
      <w:r w:rsidR="005E5F1D" w:rsidRPr="00882F11">
        <w:rPr>
          <w:rFonts w:cs="Guttman Drogolin"/>
          <w:rtl/>
          <w:lang w:bidi="he-IL"/>
        </w:rPr>
        <w:t xml:space="preserve"> </w:t>
      </w:r>
      <w:r w:rsidR="005E5F1D" w:rsidRPr="00882F11">
        <w:rPr>
          <w:rFonts w:cs="Guttman Drogolin" w:hint="cs"/>
          <w:rtl/>
          <w:lang w:bidi="he-IL"/>
        </w:rPr>
        <w:t>אף</w:t>
      </w:r>
      <w:r w:rsidR="005E5F1D" w:rsidRPr="00882F11">
        <w:rPr>
          <w:rFonts w:cs="Guttman Drogolin"/>
          <w:rtl/>
          <w:lang w:bidi="he-IL"/>
        </w:rPr>
        <w:t xml:space="preserve"> </w:t>
      </w:r>
      <w:r w:rsidR="005E5F1D" w:rsidRPr="00882F11">
        <w:rPr>
          <w:rFonts w:cs="Guttman Drogolin" w:hint="cs"/>
          <w:rtl/>
          <w:lang w:bidi="he-IL"/>
        </w:rPr>
        <w:t>בדגים</w:t>
      </w:r>
      <w:r w:rsidR="005E5F1D" w:rsidRPr="00882F11">
        <w:rPr>
          <w:rFonts w:cs="Guttman Drogolin"/>
          <w:rtl/>
          <w:lang w:bidi="he-IL"/>
        </w:rPr>
        <w:t xml:space="preserve"> </w:t>
      </w:r>
      <w:r w:rsidR="005E5F1D" w:rsidRPr="00882F11">
        <w:rPr>
          <w:rFonts w:cs="Guttman Drogolin" w:hint="cs"/>
          <w:rtl/>
          <w:lang w:bidi="he-IL"/>
        </w:rPr>
        <w:t>שעלו</w:t>
      </w:r>
      <w:r w:rsidR="005E5F1D" w:rsidRPr="00882F11">
        <w:rPr>
          <w:rFonts w:cs="Guttman Drogolin"/>
          <w:rtl/>
          <w:lang w:bidi="he-IL"/>
        </w:rPr>
        <w:t xml:space="preserve"> </w:t>
      </w:r>
      <w:r w:rsidR="005E5F1D" w:rsidRPr="00882F11">
        <w:rPr>
          <w:rFonts w:cs="Guttman Drogolin" w:hint="cs"/>
          <w:rtl/>
          <w:lang w:bidi="he-IL"/>
        </w:rPr>
        <w:t>בקערה</w:t>
      </w:r>
      <w:r w:rsidR="005E5F1D" w:rsidRPr="00882F11">
        <w:rPr>
          <w:rFonts w:cs="Guttman Drogolin"/>
          <w:rtl/>
          <w:lang w:bidi="he-IL"/>
        </w:rPr>
        <w:t xml:space="preserve"> </w:t>
      </w:r>
      <w:r w:rsidR="005E5F1D" w:rsidRPr="00882F11">
        <w:rPr>
          <w:rFonts w:cs="Guttman Drogolin" w:hint="cs"/>
          <w:rtl/>
          <w:lang w:bidi="he-IL"/>
        </w:rPr>
        <w:t>אתמר</w:t>
      </w:r>
      <w:r w:rsidR="005E5F1D" w:rsidRPr="00882F11">
        <w:rPr>
          <w:rFonts w:cs="Guttman Drogolin"/>
          <w:rtl/>
          <w:lang w:bidi="he-IL"/>
        </w:rPr>
        <w:t xml:space="preserve"> </w:t>
      </w:r>
      <w:r w:rsidR="005E5F1D" w:rsidRPr="00882F11">
        <w:rPr>
          <w:rFonts w:cs="Guttman Drogolin" w:hint="cs"/>
          <w:rtl/>
          <w:lang w:bidi="he-IL"/>
        </w:rPr>
        <w:t>בפ</w:t>
      </w:r>
      <w:r w:rsidR="005E5F1D" w:rsidRPr="00882F11">
        <w:rPr>
          <w:rFonts w:cs="Guttman Drogolin"/>
          <w:rtl/>
          <w:lang w:bidi="he-IL"/>
        </w:rPr>
        <w:t xml:space="preserve">' </w:t>
      </w:r>
      <w:r w:rsidR="005E5F1D" w:rsidRPr="00882F11">
        <w:rPr>
          <w:rFonts w:cs="Guttman Drogolin" w:hint="cs"/>
          <w:rtl/>
          <w:lang w:bidi="he-IL"/>
        </w:rPr>
        <w:t>כל</w:t>
      </w:r>
      <w:r w:rsidR="005E5F1D" w:rsidRPr="00882F11">
        <w:rPr>
          <w:rFonts w:cs="Guttman Drogolin"/>
          <w:rtl/>
          <w:lang w:bidi="he-IL"/>
        </w:rPr>
        <w:t xml:space="preserve"> </w:t>
      </w:r>
      <w:r w:rsidR="005E5F1D" w:rsidRPr="00882F11">
        <w:rPr>
          <w:rFonts w:cs="Guttman Drogolin" w:hint="cs"/>
          <w:rtl/>
          <w:lang w:bidi="he-IL"/>
        </w:rPr>
        <w:t>הבשר</w:t>
      </w:r>
      <w:r w:rsidR="005E5F1D" w:rsidRPr="00882F11">
        <w:rPr>
          <w:rFonts w:cs="Guttman Drogolin"/>
          <w:rtl/>
          <w:lang w:bidi="he-IL"/>
        </w:rPr>
        <w:t xml:space="preserve"> </w:t>
      </w:r>
      <w:r w:rsidR="005E5F1D" w:rsidRPr="00882F11">
        <w:rPr>
          <w:rFonts w:cs="Guttman Drogolin" w:hint="cs"/>
          <w:rtl/>
          <w:lang w:bidi="he-IL"/>
        </w:rPr>
        <w:t>אסור</w:t>
      </w:r>
      <w:r w:rsidR="005E5F1D" w:rsidRPr="00882F11">
        <w:rPr>
          <w:rFonts w:cs="Guttman Drogolin"/>
          <w:rtl/>
          <w:lang w:bidi="he-IL"/>
        </w:rPr>
        <w:t xml:space="preserve"> </w:t>
      </w:r>
      <w:r w:rsidR="005E5F1D" w:rsidRPr="00882F11">
        <w:rPr>
          <w:rFonts w:cs="Guttman Drogolin" w:hint="cs"/>
          <w:rtl/>
          <w:lang w:bidi="he-IL"/>
        </w:rPr>
        <w:t>לאכלן</w:t>
      </w:r>
      <w:r w:rsidR="005E5F1D" w:rsidRPr="00882F11">
        <w:rPr>
          <w:rFonts w:cs="Guttman Drogolin"/>
          <w:rtl/>
          <w:lang w:bidi="he-IL"/>
        </w:rPr>
        <w:t xml:space="preserve"> </w:t>
      </w:r>
      <w:r w:rsidR="005E5F1D" w:rsidRPr="00882F11">
        <w:rPr>
          <w:rFonts w:cs="Guttman Drogolin" w:hint="cs"/>
          <w:rtl/>
          <w:lang w:bidi="he-IL"/>
        </w:rPr>
        <w:t>בכותח</w:t>
      </w:r>
      <w:r w:rsidR="005E5F1D" w:rsidRPr="00882F11">
        <w:rPr>
          <w:rFonts w:cs="Guttman Drogolin"/>
          <w:rtl/>
          <w:lang w:bidi="he-IL"/>
        </w:rPr>
        <w:t xml:space="preserve"> </w:t>
      </w:r>
      <w:r w:rsidR="005E5F1D" w:rsidRPr="00882F11">
        <w:rPr>
          <w:rFonts w:cs="Guttman Drogolin" w:hint="cs"/>
          <w:rtl/>
          <w:lang w:bidi="he-IL"/>
        </w:rPr>
        <w:t>[פי' אליבא דרב] ולא</w:t>
      </w:r>
      <w:r w:rsidR="005E5F1D" w:rsidRPr="00882F11">
        <w:rPr>
          <w:rFonts w:cs="Guttman Drogolin"/>
          <w:rtl/>
          <w:lang w:bidi="he-IL"/>
        </w:rPr>
        <w:t xml:space="preserve"> </w:t>
      </w:r>
      <w:r w:rsidR="005E5F1D" w:rsidRPr="00882F11">
        <w:rPr>
          <w:rFonts w:cs="Guttman Drogolin" w:hint="cs"/>
          <w:rtl/>
          <w:lang w:bidi="he-IL"/>
        </w:rPr>
        <w:t>אסרו</w:t>
      </w:r>
      <w:r w:rsidR="005E5F1D" w:rsidRPr="00882F11">
        <w:rPr>
          <w:rFonts w:cs="Guttman Drogolin"/>
          <w:rtl/>
          <w:lang w:bidi="he-IL"/>
        </w:rPr>
        <w:t xml:space="preserve"> </w:t>
      </w:r>
      <w:r w:rsidR="005E5F1D" w:rsidRPr="00882F11">
        <w:rPr>
          <w:rFonts w:cs="Guttman Drogolin" w:hint="cs"/>
          <w:rtl/>
          <w:lang w:bidi="he-IL"/>
        </w:rPr>
        <w:t>עם</w:t>
      </w:r>
      <w:r w:rsidR="005E5F1D" w:rsidRPr="00882F11">
        <w:rPr>
          <w:rFonts w:cs="Guttman Drogolin"/>
          <w:rtl/>
          <w:lang w:bidi="he-IL"/>
        </w:rPr>
        <w:t xml:space="preserve"> </w:t>
      </w:r>
      <w:r w:rsidR="005E5F1D" w:rsidRPr="00882F11">
        <w:rPr>
          <w:rFonts w:cs="Guttman Drogolin" w:hint="cs"/>
          <w:rtl/>
          <w:lang w:bidi="he-IL"/>
        </w:rPr>
        <w:t>הבשר</w:t>
      </w:r>
      <w:r w:rsidR="005E5F1D" w:rsidRPr="00882F11">
        <w:rPr>
          <w:rFonts w:cs="Guttman Drogolin"/>
          <w:rtl/>
          <w:lang w:bidi="he-IL"/>
        </w:rPr>
        <w:t xml:space="preserve">, </w:t>
      </w:r>
      <w:r w:rsidR="005E5F1D" w:rsidRPr="00882F11">
        <w:rPr>
          <w:rFonts w:cs="Guttman Drogolin" w:hint="cs"/>
          <w:rtl/>
          <w:lang w:bidi="he-IL"/>
        </w:rPr>
        <w:t>התם</w:t>
      </w:r>
      <w:r w:rsidR="005E5F1D" w:rsidRPr="00882F11">
        <w:rPr>
          <w:rFonts w:cs="Guttman Drogolin"/>
          <w:rtl/>
          <w:lang w:bidi="he-IL"/>
        </w:rPr>
        <w:t xml:space="preserve"> </w:t>
      </w:r>
      <w:r w:rsidR="005E5F1D" w:rsidRPr="00882F11">
        <w:rPr>
          <w:rFonts w:cs="Guttman Drogolin" w:hint="cs"/>
          <w:rtl/>
          <w:lang w:bidi="he-IL"/>
        </w:rPr>
        <w:t>בדגים</w:t>
      </w:r>
      <w:r w:rsidR="005E5F1D" w:rsidRPr="00882F11">
        <w:rPr>
          <w:rFonts w:cs="Guttman Drogolin"/>
          <w:rtl/>
          <w:lang w:bidi="he-IL"/>
        </w:rPr>
        <w:t xml:space="preserve"> </w:t>
      </w:r>
      <w:r w:rsidR="005E5F1D" w:rsidRPr="00882F11">
        <w:rPr>
          <w:rFonts w:cs="Guttman Drogolin" w:hint="cs"/>
          <w:rtl/>
          <w:lang w:bidi="he-IL"/>
        </w:rPr>
        <w:t>ליכא</w:t>
      </w:r>
      <w:r w:rsidR="005E5F1D" w:rsidRPr="00882F11">
        <w:rPr>
          <w:rFonts w:cs="Guttman Drogolin"/>
          <w:rtl/>
          <w:lang w:bidi="he-IL"/>
        </w:rPr>
        <w:t xml:space="preserve"> </w:t>
      </w:r>
      <w:r w:rsidR="005E5F1D" w:rsidRPr="00882F11">
        <w:rPr>
          <w:rFonts w:cs="Guttman Drogolin" w:hint="cs"/>
          <w:rtl/>
          <w:lang w:bidi="he-IL"/>
        </w:rPr>
        <w:t>הרגל</w:t>
      </w:r>
      <w:r w:rsidR="005E5F1D" w:rsidRPr="00882F11">
        <w:rPr>
          <w:rFonts w:cs="Guttman Drogolin"/>
          <w:rtl/>
          <w:lang w:bidi="he-IL"/>
        </w:rPr>
        <w:t xml:space="preserve"> </w:t>
      </w:r>
      <w:r w:rsidR="005E5F1D" w:rsidRPr="00882F11">
        <w:rPr>
          <w:rFonts w:cs="Guttman Drogolin" w:hint="cs"/>
          <w:rtl/>
          <w:lang w:bidi="he-IL"/>
        </w:rPr>
        <w:t>עבירה</w:t>
      </w:r>
      <w:r w:rsidR="005E5F1D" w:rsidRPr="00882F11">
        <w:rPr>
          <w:rFonts w:cs="Guttman Drogolin"/>
          <w:rtl/>
          <w:lang w:bidi="he-IL"/>
        </w:rPr>
        <w:t xml:space="preserve"> </w:t>
      </w:r>
      <w:r w:rsidR="005E5F1D" w:rsidRPr="00882F11">
        <w:rPr>
          <w:rFonts w:cs="Guttman Drogolin" w:hint="cs"/>
          <w:rtl/>
          <w:lang w:bidi="he-IL"/>
        </w:rPr>
        <w:t>אבל</w:t>
      </w:r>
      <w:r w:rsidR="005E5F1D" w:rsidRPr="00882F11">
        <w:rPr>
          <w:rFonts w:cs="Guttman Drogolin"/>
          <w:rtl/>
          <w:lang w:bidi="he-IL"/>
        </w:rPr>
        <w:t xml:space="preserve"> </w:t>
      </w:r>
      <w:r w:rsidR="005E5F1D" w:rsidRPr="00882F11">
        <w:rPr>
          <w:rFonts w:cs="Guttman Drogolin" w:hint="cs"/>
          <w:rtl/>
          <w:lang w:bidi="he-IL"/>
        </w:rPr>
        <w:lastRenderedPageBreak/>
        <w:t>בפת</w:t>
      </w:r>
      <w:r w:rsidR="005E5F1D" w:rsidRPr="00882F11">
        <w:rPr>
          <w:rFonts w:cs="Guttman Drogolin"/>
          <w:rtl/>
          <w:lang w:bidi="he-IL"/>
        </w:rPr>
        <w:t xml:space="preserve"> </w:t>
      </w:r>
      <w:r w:rsidR="005E5F1D" w:rsidRPr="00882F11">
        <w:rPr>
          <w:rFonts w:cs="Guttman Drogolin" w:hint="cs"/>
          <w:rtl/>
          <w:lang w:bidi="he-IL"/>
        </w:rPr>
        <w:t>איכא</w:t>
      </w:r>
      <w:r w:rsidR="005E5F1D" w:rsidRPr="00882F11">
        <w:rPr>
          <w:rFonts w:cs="Guttman Drogolin"/>
          <w:rtl/>
          <w:lang w:bidi="he-IL"/>
        </w:rPr>
        <w:t xml:space="preserve"> </w:t>
      </w:r>
      <w:r w:rsidR="005E5F1D" w:rsidRPr="00882F11">
        <w:rPr>
          <w:rFonts w:cs="Guttman Drogolin" w:hint="cs"/>
          <w:rtl/>
          <w:lang w:bidi="he-IL"/>
        </w:rPr>
        <w:t>הרגל</w:t>
      </w:r>
      <w:r w:rsidR="005E5F1D" w:rsidRPr="00882F11">
        <w:rPr>
          <w:rFonts w:cs="Guttman Drogolin"/>
          <w:rtl/>
          <w:lang w:bidi="he-IL"/>
        </w:rPr>
        <w:t xml:space="preserve"> </w:t>
      </w:r>
      <w:r w:rsidR="005E5F1D" w:rsidRPr="00882F11">
        <w:rPr>
          <w:rFonts w:cs="Guttman Drogolin" w:hint="cs"/>
          <w:rtl/>
          <w:lang w:bidi="he-IL"/>
        </w:rPr>
        <w:t>עבירה</w:t>
      </w:r>
      <w:r w:rsidR="005E5F1D" w:rsidRPr="00882F11">
        <w:rPr>
          <w:rFonts w:cs="Guttman Drogolin"/>
          <w:rtl/>
          <w:lang w:bidi="he-IL"/>
        </w:rPr>
        <w:t xml:space="preserve"> </w:t>
      </w:r>
      <w:r w:rsidR="005E5F1D" w:rsidRPr="00882F11">
        <w:rPr>
          <w:rFonts w:cs="Guttman Drogolin" w:hint="cs"/>
          <w:rtl/>
          <w:lang w:bidi="he-IL"/>
        </w:rPr>
        <w:t>שאדם</w:t>
      </w:r>
      <w:r w:rsidR="005E5F1D" w:rsidRPr="00882F11">
        <w:rPr>
          <w:rFonts w:cs="Guttman Drogolin"/>
          <w:rtl/>
          <w:lang w:bidi="he-IL"/>
        </w:rPr>
        <w:t xml:space="preserve"> </w:t>
      </w:r>
      <w:r w:rsidR="005E5F1D" w:rsidRPr="00882F11">
        <w:rPr>
          <w:rFonts w:cs="Guttman Drogolin" w:hint="cs"/>
          <w:rtl/>
          <w:lang w:bidi="he-IL"/>
        </w:rPr>
        <w:t>אופה</w:t>
      </w:r>
      <w:r w:rsidR="005E5F1D" w:rsidRPr="00882F11">
        <w:rPr>
          <w:rFonts w:cs="Guttman Drogolin"/>
          <w:rtl/>
          <w:lang w:bidi="he-IL"/>
        </w:rPr>
        <w:t xml:space="preserve"> </w:t>
      </w:r>
      <w:r w:rsidR="005E5F1D" w:rsidRPr="00882F11">
        <w:rPr>
          <w:rFonts w:cs="Guttman Drogolin" w:hint="cs"/>
          <w:rtl/>
          <w:lang w:bidi="he-IL"/>
        </w:rPr>
        <w:t>ממנו</w:t>
      </w:r>
      <w:r w:rsidR="005E5F1D" w:rsidRPr="00882F11">
        <w:rPr>
          <w:rFonts w:cs="Guttman Drogolin"/>
          <w:rtl/>
          <w:lang w:bidi="he-IL"/>
        </w:rPr>
        <w:t xml:space="preserve"> </w:t>
      </w:r>
      <w:r w:rsidR="005E5F1D" w:rsidRPr="00882F11">
        <w:rPr>
          <w:rFonts w:cs="Guttman Drogolin" w:hint="cs"/>
          <w:rtl/>
          <w:lang w:bidi="he-IL"/>
        </w:rPr>
        <w:t>הרבה</w:t>
      </w:r>
      <w:r w:rsidR="005E5F1D" w:rsidRPr="00882F11">
        <w:rPr>
          <w:rFonts w:cs="Guttman Drogolin"/>
          <w:rtl/>
          <w:lang w:bidi="he-IL"/>
        </w:rPr>
        <w:t xml:space="preserve"> </w:t>
      </w:r>
      <w:r w:rsidR="005E5F1D" w:rsidRPr="00882F11">
        <w:rPr>
          <w:rFonts w:cs="Guttman Drogolin" w:hint="cs"/>
          <w:rtl/>
          <w:lang w:bidi="he-IL"/>
        </w:rPr>
        <w:t>ואוכל</w:t>
      </w:r>
      <w:r w:rsidR="005E5F1D" w:rsidRPr="00882F11">
        <w:rPr>
          <w:rFonts w:cs="Guttman Drogolin"/>
          <w:rtl/>
          <w:lang w:bidi="he-IL"/>
        </w:rPr>
        <w:t xml:space="preserve"> </w:t>
      </w:r>
      <w:r w:rsidR="005E5F1D" w:rsidRPr="00882F11">
        <w:rPr>
          <w:rFonts w:cs="Guttman Drogolin" w:hint="cs"/>
          <w:rtl/>
          <w:lang w:bidi="he-IL"/>
        </w:rPr>
        <w:t>פעמים</w:t>
      </w:r>
      <w:r w:rsidR="005E5F1D" w:rsidRPr="00882F11">
        <w:rPr>
          <w:rFonts w:cs="Guttman Drogolin"/>
          <w:rtl/>
          <w:lang w:bidi="he-IL"/>
        </w:rPr>
        <w:t xml:space="preserve"> </w:t>
      </w:r>
      <w:r w:rsidR="005E5F1D" w:rsidRPr="00882F11">
        <w:rPr>
          <w:rFonts w:cs="Guttman Drogolin" w:hint="cs"/>
          <w:rtl/>
          <w:lang w:bidi="he-IL"/>
        </w:rPr>
        <w:t>עם</w:t>
      </w:r>
      <w:r w:rsidR="005E5F1D" w:rsidRPr="00882F11">
        <w:rPr>
          <w:rFonts w:cs="Guttman Drogolin"/>
          <w:rtl/>
          <w:lang w:bidi="he-IL"/>
        </w:rPr>
        <w:t xml:space="preserve"> </w:t>
      </w:r>
      <w:r w:rsidR="005E5F1D" w:rsidRPr="00882F11">
        <w:rPr>
          <w:rFonts w:cs="Guttman Drogolin" w:hint="cs"/>
          <w:rtl/>
          <w:lang w:bidi="he-IL"/>
        </w:rPr>
        <w:t>הכותח</w:t>
      </w:r>
      <w:r w:rsidR="005E5F1D" w:rsidRPr="00882F11">
        <w:rPr>
          <w:rFonts w:cs="Guttman Drogolin"/>
          <w:rtl/>
          <w:lang w:bidi="he-IL"/>
        </w:rPr>
        <w:t xml:space="preserve"> </w:t>
      </w:r>
      <w:r w:rsidR="005E5F1D" w:rsidRPr="00882F11">
        <w:rPr>
          <w:rFonts w:cs="Guttman Drogolin" w:hint="cs"/>
          <w:rtl/>
          <w:lang w:bidi="he-IL"/>
        </w:rPr>
        <w:t>פעמים</w:t>
      </w:r>
      <w:r w:rsidR="005E5F1D" w:rsidRPr="00882F11">
        <w:rPr>
          <w:rFonts w:cs="Guttman Drogolin"/>
          <w:rtl/>
          <w:lang w:bidi="he-IL"/>
        </w:rPr>
        <w:t xml:space="preserve"> </w:t>
      </w:r>
      <w:r w:rsidR="005E5F1D" w:rsidRPr="00882F11">
        <w:rPr>
          <w:rFonts w:cs="Guttman Drogolin" w:hint="cs"/>
          <w:rtl/>
          <w:lang w:bidi="he-IL"/>
        </w:rPr>
        <w:t>עם</w:t>
      </w:r>
      <w:r w:rsidR="005E5F1D" w:rsidRPr="00882F11">
        <w:rPr>
          <w:rFonts w:cs="Guttman Drogolin"/>
          <w:rtl/>
          <w:lang w:bidi="he-IL"/>
        </w:rPr>
        <w:t xml:space="preserve"> </w:t>
      </w:r>
      <w:r w:rsidR="005E5F1D" w:rsidRPr="00882F11">
        <w:rPr>
          <w:rFonts w:cs="Guttman Drogolin" w:hint="cs"/>
          <w:rtl/>
          <w:lang w:bidi="he-IL"/>
        </w:rPr>
        <w:t>הבשר</w:t>
      </w:r>
      <w:r w:rsidR="005E5F1D" w:rsidRPr="00882F11">
        <w:rPr>
          <w:rFonts w:cs="Guttman Drogolin"/>
          <w:rtl/>
          <w:lang w:bidi="he-IL"/>
        </w:rPr>
        <w:t xml:space="preserve"> </w:t>
      </w:r>
      <w:r w:rsidR="005E5F1D" w:rsidRPr="00882F11">
        <w:rPr>
          <w:rFonts w:cs="Guttman Drogolin" w:hint="cs"/>
          <w:rtl/>
          <w:lang w:bidi="he-IL"/>
        </w:rPr>
        <w:t>ולפיכך</w:t>
      </w:r>
      <w:r w:rsidR="005E5F1D" w:rsidRPr="00882F11">
        <w:rPr>
          <w:rFonts w:cs="Guttman Drogolin"/>
          <w:rtl/>
          <w:lang w:bidi="he-IL"/>
        </w:rPr>
        <w:t xml:space="preserve"> </w:t>
      </w:r>
      <w:r w:rsidR="005E5F1D" w:rsidRPr="00882F11">
        <w:rPr>
          <w:rFonts w:cs="Guttman Drogolin" w:hint="cs"/>
          <w:rtl/>
          <w:lang w:bidi="he-IL"/>
        </w:rPr>
        <w:t>אסורה</w:t>
      </w:r>
      <w:r w:rsidR="005E5F1D" w:rsidRPr="00882F11">
        <w:rPr>
          <w:rFonts w:cs="Guttman Drogolin"/>
          <w:rtl/>
          <w:lang w:bidi="he-IL"/>
        </w:rPr>
        <w:t xml:space="preserve"> </w:t>
      </w:r>
      <w:r w:rsidR="005E5F1D" w:rsidRPr="00882F11">
        <w:rPr>
          <w:rFonts w:cs="Guttman Drogolin" w:hint="cs"/>
          <w:rtl/>
          <w:lang w:bidi="he-IL"/>
        </w:rPr>
        <w:t>לעולם" שלכאורה הט"ז הבין שיש לאסור כל מאכל שעושים ממנו הרבה ונדרך לאוכלו עם ב' המינים, אבל שארי אחרונים הבינו שהרמב"</w:t>
      </w:r>
      <w:r w:rsidR="00CC00FD" w:rsidRPr="00882F11">
        <w:rPr>
          <w:rFonts w:cs="Guttman Drogolin" w:hint="cs"/>
          <w:rtl/>
          <w:lang w:bidi="he-IL"/>
        </w:rPr>
        <w:t>ן סב</w:t>
      </w:r>
      <w:r w:rsidR="005E5F1D" w:rsidRPr="00882F11">
        <w:rPr>
          <w:rFonts w:cs="Guttman Drogolin" w:hint="cs"/>
          <w:rtl/>
          <w:lang w:bidi="he-IL"/>
        </w:rPr>
        <w:t>ר שלעולם לא אסרו אלא פת, והטעם לחלק בין פת לשארי הדברים הוא מן הטעמים הנ"ל, אבל בסופו של דבר הגזירה לא היתה אלא בפת בלבד. וכיון שמילתא דרבנן הוא ורבו המתירים לכאורה יש להקל בזה לדינא.</w:t>
      </w:r>
      <w:r w:rsidR="007F03A8" w:rsidRPr="00882F11">
        <w:rPr>
          <w:rFonts w:cs="Guttman Drogolin" w:hint="cs"/>
          <w:rtl/>
          <w:lang w:bidi="he-IL"/>
        </w:rPr>
        <w:t xml:space="preserve"> ומ"מ נראה פשוט דאע"ג שאין לאסור לאכלו במלח בכה"ג, מ"מ יש ליזהר בה כיון שהמכשול מצוי, וכמה מן השאלות שיש בבב"ח הוא משום א' לא נזהר בזה. </w:t>
      </w:r>
    </w:p>
    <w:p w:rsidR="004E1558" w:rsidRPr="00882F11" w:rsidRDefault="005E5F1D" w:rsidP="00C352F9">
      <w:pPr>
        <w:tabs>
          <w:tab w:val="right" w:pos="7497"/>
        </w:tabs>
        <w:bidi/>
        <w:jc w:val="both"/>
        <w:rPr>
          <w:rFonts w:cs="Guttman Drogolin"/>
          <w:rtl/>
          <w:lang w:bidi="he-IL"/>
        </w:rPr>
      </w:pPr>
      <w:r w:rsidRPr="00882F11">
        <w:rPr>
          <w:rFonts w:cs="Guttman Drogolin" w:hint="cs"/>
          <w:rtl/>
          <w:lang w:bidi="he-IL"/>
        </w:rPr>
        <w:t xml:space="preserve">והנה אמרנו מקודם שאין האיסור אלא כשלש </w:t>
      </w:r>
      <w:r w:rsidR="00CC00FD" w:rsidRPr="00882F11">
        <w:rPr>
          <w:rFonts w:cs="Guttman Drogolin" w:hint="cs"/>
          <w:rtl/>
          <w:lang w:bidi="he-IL"/>
        </w:rPr>
        <w:t>אדעתא דפת שיש בה חשש שיבא לידי אכילה חלבית או בשרית. וכאן הרי ליכא מקום לישה. וע"כ הביאור בזה משום שהדין הוא שעושה מאכל שיהי' חלבי, ואינו אך ורק דין שעושה כן קודם אפיי'. ולכן נלעוק"ד פשוט שאם יניח שומן של בשר בתוך פת גם לאחר שנאפה, אם עושה כן בכוונה ואינו ניכר וכן אינו כמות קטנה שיש לאסור הפת אפילו בדיעבד. ולכן אע"ג שמותר למרוח חמאה על לחם כיון שאינו אלא כמות קטנה וכן הרבה פעמים המחמאה ניכרת. מ"מ אם יהא חסר דברים אלו יהא הפת אסור לאכול לגמרי. ולכן אם נפל בשר או שומן של בשר ע"ג לחם בתוך הסעודה, יהא אסורה לשמור ה</w:t>
      </w:r>
      <w:r w:rsidR="007F03A8" w:rsidRPr="00882F11">
        <w:rPr>
          <w:rFonts w:cs="Guttman Drogolin" w:hint="cs"/>
          <w:rtl/>
          <w:lang w:bidi="he-IL"/>
        </w:rPr>
        <w:t>לחם הזה לסעודה אחרת אא"כ היא סע</w:t>
      </w:r>
      <w:r w:rsidR="00CC00FD" w:rsidRPr="00882F11">
        <w:rPr>
          <w:rFonts w:cs="Guttman Drogolin" w:hint="cs"/>
          <w:rtl/>
          <w:lang w:bidi="he-IL"/>
        </w:rPr>
        <w:t xml:space="preserve">ודה סמוכה או"ד שהיא ניכרת, אבל בלי זה לא. </w:t>
      </w:r>
    </w:p>
    <w:p w:rsidR="00E25E6F" w:rsidRPr="00882F11" w:rsidRDefault="00CC00FD" w:rsidP="00E25E6F">
      <w:pPr>
        <w:tabs>
          <w:tab w:val="right" w:pos="7497"/>
        </w:tabs>
        <w:bidi/>
        <w:jc w:val="both"/>
        <w:rPr>
          <w:rFonts w:cs="Guttman Drogolin"/>
          <w:rtl/>
          <w:lang w:bidi="he-IL"/>
        </w:rPr>
      </w:pPr>
      <w:r w:rsidRPr="00882F11">
        <w:rPr>
          <w:rFonts w:cs="Guttman Drogolin" w:hint="cs"/>
          <w:rtl/>
          <w:lang w:bidi="he-IL"/>
        </w:rPr>
        <w:t xml:space="preserve">ולכאורה יש מקום לדון ולהקל בזה מטעם אחר. והוא שהרי </w:t>
      </w:r>
      <w:r w:rsidR="0009465B" w:rsidRPr="00882F11">
        <w:rPr>
          <w:rFonts w:cs="Guttman Drogolin" w:hint="cs"/>
          <w:rtl/>
          <w:lang w:bidi="he-IL"/>
        </w:rPr>
        <w:t xml:space="preserve">לעיל </w:t>
      </w:r>
      <w:r w:rsidRPr="00882F11">
        <w:rPr>
          <w:rFonts w:cs="Guttman Drogolin" w:hint="cs"/>
          <w:rtl/>
          <w:lang w:bidi="he-IL"/>
        </w:rPr>
        <w:t xml:space="preserve">הבאנו כמה הוכחות </w:t>
      </w:r>
      <w:r w:rsidR="0009465B" w:rsidRPr="00882F11">
        <w:rPr>
          <w:rFonts w:cs="Guttman Drogolin" w:hint="cs"/>
          <w:rtl/>
          <w:lang w:bidi="he-IL"/>
        </w:rPr>
        <w:t xml:space="preserve">שגדר האיסור שחז"ל אסרו לערב חלב או בשר לתוך עיסה, ושהדין לאכול הפת אפילו בדחעבד אינו אלא תולדה מזה שעבר ועירבן. </w:t>
      </w:r>
      <w:r w:rsidR="00E25E6F" w:rsidRPr="00882F11">
        <w:rPr>
          <w:rFonts w:cs="Guttman Drogolin" w:hint="cs"/>
          <w:rtl/>
          <w:lang w:bidi="he-IL"/>
        </w:rPr>
        <w:t xml:space="preserve">וא"כ אם יפול חלב שלא בפשיעה לתוך לחם לכאורה אין מקום לאסור, שהרי לא עבר אתקנת חכמים. וכן באמת זוהי שיטת האמר"ב סי' י"ג שכה"ג לא גזרו. וע"ש שהעיר מהא דפשטידא שאסרו אפילו בדיעבד, </w:t>
      </w:r>
      <w:r w:rsidR="00E25E6F" w:rsidRPr="00882F11">
        <w:rPr>
          <w:rFonts w:cs="Guttman Drogolin" w:hint="cs"/>
          <w:rtl/>
          <w:lang w:bidi="he-IL"/>
        </w:rPr>
        <w:lastRenderedPageBreak/>
        <w:t>ותי' דשאני התם שהיתה ע"י פשיעה, אבל שלא ע"י פשיעה מותר</w:t>
      </w:r>
      <w:r w:rsidR="006F48ED" w:rsidRPr="00882F11">
        <w:rPr>
          <w:rStyle w:val="FootnoteReference"/>
          <w:rFonts w:cs="Guttman Drogolin"/>
          <w:rtl/>
          <w:lang w:bidi="he-IL"/>
        </w:rPr>
        <w:footnoteReference w:id="323"/>
      </w:r>
      <w:r w:rsidR="00E25E6F" w:rsidRPr="00882F11">
        <w:rPr>
          <w:rFonts w:cs="Guttman Drogolin" w:hint="cs"/>
          <w:rtl/>
          <w:lang w:bidi="he-IL"/>
        </w:rPr>
        <w:t>.</w:t>
      </w:r>
    </w:p>
    <w:p w:rsidR="00CC00FD" w:rsidRPr="00882F11" w:rsidRDefault="00E25E6F" w:rsidP="00E25E6F">
      <w:pPr>
        <w:tabs>
          <w:tab w:val="right" w:pos="7497"/>
        </w:tabs>
        <w:bidi/>
        <w:jc w:val="both"/>
        <w:rPr>
          <w:rFonts w:cs="Guttman Drogolin"/>
          <w:rtl/>
          <w:lang w:bidi="he-IL"/>
        </w:rPr>
      </w:pPr>
      <w:r w:rsidRPr="00882F11">
        <w:rPr>
          <w:rFonts w:cs="Guttman Drogolin" w:hint="cs"/>
          <w:rtl/>
          <w:lang w:bidi="he-IL"/>
        </w:rPr>
        <w:t xml:space="preserve">אמנם הפמ"ג </w:t>
      </w:r>
      <w:r w:rsidR="00980B9C" w:rsidRPr="00882F11">
        <w:rPr>
          <w:rFonts w:cs="Guttman Drogolin" w:hint="cs"/>
          <w:rtl/>
          <w:lang w:bidi="he-IL"/>
        </w:rPr>
        <w:t xml:space="preserve">(שפ"ד ס"ק א' והביאו הפת"ש) הכריע שאפילו בשוגג אסור. ושם בזר זהב כתב שכן משמעות סתימת הדברים שגם שוגג אסור, והביא את זה כראי' לפירושו, שאם אינו אלא עקבת האיסור ללוש, למה היינו אוסרים אפילו בשוגג. ואי משום הא י"ל שגזרו שוגג אטו מזיד, ואע"ג שדינא דרבנן הוא מ"מ הכא חשבו דכולה חדא גזירה היא. אמנם י"ל עוד דאה"נ שאין לאסור בזה בדיעבד אם יעשה מזה מעכשיו שינוי צורה או שיחלק לאנשים הרבה, אבל אם אינו עושה כן גם זה נחשב כ'עושה' פת מעכשיו ויש לאסור. </w:t>
      </w:r>
      <w:r w:rsidR="007F03A8" w:rsidRPr="00882F11">
        <w:rPr>
          <w:rFonts w:cs="Guttman Drogolin" w:hint="cs"/>
          <w:rtl/>
          <w:lang w:bidi="he-IL"/>
        </w:rPr>
        <w:t>וכן ראיתי ביד יהודה ס"ק ג' שהתיר פת שנפל עליו בשר או חלב שלא בפשיעה שאפשר להתירו ע"י שינוי צורה או ע"י זה שיחלק ואנשים אחרים (ע"ש שביאר בזה דברי הכרו"פ ס"ק ג' בשם זקנו).</w:t>
      </w:r>
      <w:r w:rsidR="0009465B" w:rsidRPr="00882F11">
        <w:rPr>
          <w:rFonts w:cs="Guttman Drogolin" w:hint="cs"/>
          <w:rtl/>
          <w:lang w:bidi="he-IL"/>
        </w:rPr>
        <w:t xml:space="preserve"> </w:t>
      </w:r>
    </w:p>
    <w:p w:rsidR="007F03A8" w:rsidRPr="005229E6" w:rsidRDefault="007F03A8" w:rsidP="005229E6">
      <w:pPr>
        <w:pStyle w:val="Heading1"/>
        <w:bidi/>
        <w:spacing w:before="0" w:line="240" w:lineRule="auto"/>
        <w:jc w:val="center"/>
        <w:rPr>
          <w:rFonts w:cs="Guttman Drogolin"/>
          <w:color w:val="auto"/>
          <w:sz w:val="24"/>
          <w:szCs w:val="24"/>
          <w:u w:val="single"/>
          <w:rtl/>
          <w:lang w:bidi="he-IL"/>
        </w:rPr>
      </w:pPr>
      <w:bookmarkStart w:id="295" w:name="_Toc496175546"/>
      <w:r w:rsidRPr="005229E6">
        <w:rPr>
          <w:rFonts w:cs="Guttman Drogolin" w:hint="cs"/>
          <w:color w:val="auto"/>
          <w:sz w:val="24"/>
          <w:szCs w:val="24"/>
          <w:u w:val="single"/>
          <w:rtl/>
          <w:lang w:bidi="he-IL"/>
        </w:rPr>
        <w:t>בגדר החשש בפת חלבי או בשרי, ובאיזה סוגי לחם החמירו</w:t>
      </w:r>
      <w:bookmarkEnd w:id="295"/>
    </w:p>
    <w:p w:rsidR="00485B6C" w:rsidRPr="00882F11" w:rsidRDefault="003E48CE" w:rsidP="00485B6C">
      <w:pPr>
        <w:tabs>
          <w:tab w:val="right" w:pos="7497"/>
        </w:tabs>
        <w:bidi/>
        <w:jc w:val="both"/>
        <w:rPr>
          <w:rFonts w:cs="Guttman Drogolin"/>
          <w:rtl/>
          <w:lang w:bidi="he-IL"/>
        </w:rPr>
      </w:pPr>
      <w:r>
        <w:rPr>
          <w:rFonts w:cs="Guttman Drogolin"/>
          <w:rtl/>
          <w:lang w:bidi="he-IL"/>
        </w:rPr>
        <w:fldChar w:fldCharType="begin"/>
      </w:r>
      <w:r>
        <w:instrText xml:space="preserve"> XE "</w:instrText>
      </w:r>
      <w:r w:rsidRPr="00E748B7">
        <w:rPr>
          <w:rFonts w:hint="cs"/>
          <w:rtl/>
          <w:lang w:bidi="he-IL"/>
        </w:rPr>
        <w:instrText>לחם חלבי או בשרי</w:instrText>
      </w:r>
      <w:r w:rsidRPr="00E748B7">
        <w:rPr>
          <w:rtl/>
        </w:rPr>
        <w:instrText>:</w:instrText>
      </w:r>
      <w:r w:rsidRPr="00E748B7">
        <w:rPr>
          <w:rFonts w:hint="cs"/>
          <w:rtl/>
          <w:lang w:bidi="he-IL"/>
        </w:rPr>
        <w:instrText>באיזה סוגי לחם גזרו</w:instrText>
      </w:r>
      <w:r>
        <w:instrText xml:space="preserve">" </w:instrText>
      </w:r>
      <w:r>
        <w:rPr>
          <w:rFonts w:cs="Guttman Drogolin"/>
          <w:rtl/>
          <w:lang w:bidi="he-IL"/>
        </w:rPr>
        <w:fldChar w:fldCharType="end"/>
      </w:r>
      <w:r w:rsidR="007F03A8" w:rsidRPr="00882F11">
        <w:rPr>
          <w:rFonts w:cs="Guttman Drogolin" w:hint="cs"/>
          <w:rtl/>
          <w:lang w:bidi="he-IL"/>
        </w:rPr>
        <w:t xml:space="preserve">והנה אפילו את"ל כשיטות המקילות וחולקות על הט"ז וסוברים שלא החמירו אלא בלחם, מ"מ אינו חייב להיות לחם גמור, אלא גם פת כסינין בכלל הגזרה (כן ראיתי </w:t>
      </w:r>
      <w:r w:rsidR="00485B6C" w:rsidRPr="00882F11">
        <w:rPr>
          <w:rFonts w:cs="Guttman Drogolin" w:hint="cs"/>
          <w:rtl/>
          <w:lang w:bidi="he-IL"/>
        </w:rPr>
        <w:t>בשם ס' מעדני אשר סי</w:t>
      </w:r>
      <w:r w:rsidR="00485B6C" w:rsidRPr="00882F11">
        <w:rPr>
          <w:rFonts w:cs="Guttman Drogolin"/>
          <w:rtl/>
          <w:lang w:bidi="he-IL"/>
        </w:rPr>
        <w:t xml:space="preserve">' </w:t>
      </w:r>
      <w:r w:rsidR="00485B6C" w:rsidRPr="00882F11">
        <w:rPr>
          <w:rFonts w:cs="Guttman Drogolin" w:hint="cs"/>
          <w:rtl/>
          <w:lang w:bidi="he-IL"/>
        </w:rPr>
        <w:t>ע</w:t>
      </w:r>
      <w:r w:rsidR="00485B6C" w:rsidRPr="00882F11">
        <w:rPr>
          <w:rFonts w:cs="Guttman Drogolin"/>
          <w:rtl/>
          <w:lang w:bidi="he-IL"/>
        </w:rPr>
        <w:t>"</w:t>
      </w:r>
      <w:r w:rsidR="00485B6C" w:rsidRPr="00882F11">
        <w:rPr>
          <w:rFonts w:cs="Guttman Drogolin" w:hint="cs"/>
          <w:rtl/>
          <w:lang w:bidi="he-IL"/>
        </w:rPr>
        <w:t>ד</w:t>
      </w:r>
      <w:r w:rsidR="00485B6C" w:rsidRPr="00882F11">
        <w:rPr>
          <w:rFonts w:cs="Guttman Drogolin"/>
          <w:rtl/>
          <w:lang w:bidi="he-IL"/>
        </w:rPr>
        <w:t xml:space="preserve"> </w:t>
      </w:r>
      <w:r w:rsidR="00485B6C" w:rsidRPr="00882F11">
        <w:rPr>
          <w:rFonts w:cs="Guttman Drogolin" w:hint="cs"/>
          <w:rtl/>
          <w:lang w:bidi="he-IL"/>
        </w:rPr>
        <w:t>אות</w:t>
      </w:r>
      <w:r w:rsidR="00485B6C" w:rsidRPr="00882F11">
        <w:rPr>
          <w:rFonts w:cs="Guttman Drogolin"/>
          <w:rtl/>
          <w:lang w:bidi="he-IL"/>
        </w:rPr>
        <w:t xml:space="preserve"> </w:t>
      </w:r>
      <w:r w:rsidR="00485B6C" w:rsidRPr="00882F11">
        <w:rPr>
          <w:rFonts w:cs="Guttman Drogolin" w:hint="cs"/>
          <w:rtl/>
          <w:lang w:bidi="he-IL"/>
        </w:rPr>
        <w:t>א</w:t>
      </w:r>
      <w:r w:rsidR="00485B6C" w:rsidRPr="00882F11">
        <w:rPr>
          <w:rFonts w:cs="Guttman Drogolin"/>
          <w:rtl/>
          <w:lang w:bidi="he-IL"/>
        </w:rPr>
        <w:t>'</w:t>
      </w:r>
      <w:r w:rsidR="00485B6C" w:rsidRPr="00882F11">
        <w:rPr>
          <w:rFonts w:cs="Guttman Drogolin" w:hint="cs"/>
          <w:rtl/>
          <w:lang w:bidi="he-IL"/>
        </w:rPr>
        <w:t xml:space="preserve"> שהוכיח</w:t>
      </w:r>
      <w:r w:rsidR="00485B6C" w:rsidRPr="00882F11">
        <w:rPr>
          <w:rFonts w:cs="Guttman Drogolin"/>
          <w:rtl/>
          <w:lang w:bidi="he-IL"/>
        </w:rPr>
        <w:t xml:space="preserve"> </w:t>
      </w:r>
      <w:r w:rsidR="00485B6C" w:rsidRPr="00882F11">
        <w:rPr>
          <w:rFonts w:cs="Guttman Drogolin" w:hint="cs"/>
          <w:rtl/>
          <w:lang w:bidi="he-IL"/>
        </w:rPr>
        <w:t>שבזה</w:t>
      </w:r>
      <w:r w:rsidR="00485B6C" w:rsidRPr="00882F11">
        <w:rPr>
          <w:rFonts w:cs="Guttman Drogolin"/>
          <w:rtl/>
          <w:lang w:bidi="he-IL"/>
        </w:rPr>
        <w:t xml:space="preserve"> </w:t>
      </w:r>
      <w:r w:rsidR="00485B6C" w:rsidRPr="00882F11">
        <w:rPr>
          <w:rFonts w:cs="Guttman Drogolin" w:hint="cs"/>
          <w:rtl/>
          <w:lang w:bidi="he-IL"/>
        </w:rPr>
        <w:t>כו</w:t>
      </w:r>
      <w:r w:rsidR="00485B6C" w:rsidRPr="00882F11">
        <w:rPr>
          <w:rFonts w:cs="Guttman Drogolin"/>
          <w:rtl/>
          <w:lang w:bidi="he-IL"/>
        </w:rPr>
        <w:t>"</w:t>
      </w:r>
      <w:r w:rsidR="00485B6C" w:rsidRPr="00882F11">
        <w:rPr>
          <w:rFonts w:cs="Guttman Drogolin" w:hint="cs"/>
          <w:rtl/>
          <w:lang w:bidi="he-IL"/>
        </w:rPr>
        <w:t>ע</w:t>
      </w:r>
      <w:r w:rsidR="00485B6C" w:rsidRPr="00882F11">
        <w:rPr>
          <w:rFonts w:cs="Guttman Drogolin"/>
          <w:rtl/>
          <w:lang w:bidi="he-IL"/>
        </w:rPr>
        <w:t xml:space="preserve"> </w:t>
      </w:r>
      <w:r w:rsidR="00485B6C" w:rsidRPr="00882F11">
        <w:rPr>
          <w:rFonts w:cs="Guttman Drogolin" w:hint="cs"/>
          <w:rtl/>
          <w:lang w:bidi="he-IL"/>
        </w:rPr>
        <w:t>מודו</w:t>
      </w:r>
      <w:r w:rsidR="00485B6C" w:rsidRPr="00882F11">
        <w:rPr>
          <w:rFonts w:cs="Guttman Drogolin"/>
          <w:rtl/>
          <w:lang w:bidi="he-IL"/>
        </w:rPr>
        <w:t xml:space="preserve"> </w:t>
      </w:r>
      <w:r w:rsidR="00485B6C" w:rsidRPr="00882F11">
        <w:rPr>
          <w:rFonts w:cs="Guttman Drogolin" w:hint="cs"/>
          <w:rtl/>
          <w:lang w:bidi="he-IL"/>
        </w:rPr>
        <w:t>דהא</w:t>
      </w:r>
      <w:r w:rsidR="00485B6C" w:rsidRPr="00882F11">
        <w:rPr>
          <w:rFonts w:cs="Guttman Drogolin"/>
          <w:rtl/>
          <w:lang w:bidi="he-IL"/>
        </w:rPr>
        <w:t xml:space="preserve"> </w:t>
      </w:r>
      <w:r w:rsidR="00485B6C" w:rsidRPr="00882F11">
        <w:rPr>
          <w:rFonts w:cs="Guttman Drogolin" w:hint="cs"/>
          <w:rtl/>
          <w:lang w:bidi="he-IL"/>
        </w:rPr>
        <w:t>החכמ</w:t>
      </w:r>
      <w:r w:rsidR="00485B6C" w:rsidRPr="00882F11">
        <w:rPr>
          <w:rFonts w:cs="Guttman Drogolin"/>
          <w:rtl/>
          <w:lang w:bidi="he-IL"/>
        </w:rPr>
        <w:t>"</w:t>
      </w:r>
      <w:r w:rsidR="00485B6C" w:rsidRPr="00882F11">
        <w:rPr>
          <w:rFonts w:cs="Guttman Drogolin" w:hint="cs"/>
          <w:rtl/>
          <w:lang w:bidi="he-IL"/>
        </w:rPr>
        <w:t>א</w:t>
      </w:r>
      <w:r w:rsidR="00485B6C" w:rsidRPr="00882F11">
        <w:rPr>
          <w:rFonts w:cs="Guttman Drogolin"/>
          <w:rtl/>
          <w:lang w:bidi="he-IL"/>
        </w:rPr>
        <w:t xml:space="preserve"> </w:t>
      </w:r>
      <w:r w:rsidR="00485B6C" w:rsidRPr="00882F11">
        <w:rPr>
          <w:rFonts w:cs="Guttman Drogolin" w:hint="cs"/>
          <w:rtl/>
          <w:lang w:bidi="he-IL"/>
        </w:rPr>
        <w:t>בכלל</w:t>
      </w:r>
      <w:r w:rsidR="00485B6C" w:rsidRPr="00882F11">
        <w:rPr>
          <w:rFonts w:cs="Guttman Drogolin"/>
          <w:rtl/>
          <w:lang w:bidi="he-IL"/>
        </w:rPr>
        <w:t xml:space="preserve"> </w:t>
      </w:r>
      <w:r w:rsidR="00485B6C" w:rsidRPr="00882F11">
        <w:rPr>
          <w:rFonts w:cs="Guttman Drogolin" w:hint="cs"/>
          <w:rtl/>
          <w:lang w:bidi="he-IL"/>
        </w:rPr>
        <w:t>נ</w:t>
      </w:r>
      <w:r w:rsidR="00485B6C" w:rsidRPr="00882F11">
        <w:rPr>
          <w:rFonts w:cs="Guttman Drogolin"/>
          <w:rtl/>
          <w:lang w:bidi="he-IL"/>
        </w:rPr>
        <w:t xml:space="preserve">' </w:t>
      </w:r>
      <w:r w:rsidR="00485B6C" w:rsidRPr="00882F11">
        <w:rPr>
          <w:rFonts w:cs="Guttman Drogolin" w:hint="cs"/>
          <w:rtl/>
          <w:lang w:bidi="he-IL"/>
        </w:rPr>
        <w:t>ס</w:t>
      </w:r>
      <w:r w:rsidR="00485B6C" w:rsidRPr="00882F11">
        <w:rPr>
          <w:rFonts w:cs="Guttman Drogolin"/>
          <w:rtl/>
          <w:lang w:bidi="he-IL"/>
        </w:rPr>
        <w:t>"</w:t>
      </w:r>
      <w:r w:rsidR="00485B6C" w:rsidRPr="00882F11">
        <w:rPr>
          <w:rFonts w:cs="Guttman Drogolin" w:hint="cs"/>
          <w:rtl/>
          <w:lang w:bidi="he-IL"/>
        </w:rPr>
        <w:t>ג</w:t>
      </w:r>
      <w:r w:rsidR="00485B6C" w:rsidRPr="00882F11">
        <w:rPr>
          <w:rFonts w:cs="Guttman Drogolin"/>
          <w:rtl/>
          <w:lang w:bidi="he-IL"/>
        </w:rPr>
        <w:t xml:space="preserve"> </w:t>
      </w:r>
      <w:r w:rsidR="00485B6C" w:rsidRPr="00882F11">
        <w:rPr>
          <w:rFonts w:cs="Guttman Drogolin" w:hint="cs"/>
          <w:rtl/>
          <w:lang w:bidi="he-IL"/>
        </w:rPr>
        <w:t>וערוה</w:t>
      </w:r>
      <w:r w:rsidR="00485B6C" w:rsidRPr="00882F11">
        <w:rPr>
          <w:rFonts w:cs="Guttman Drogolin"/>
          <w:rtl/>
          <w:lang w:bidi="he-IL"/>
        </w:rPr>
        <w:t>"</w:t>
      </w:r>
      <w:r w:rsidR="00485B6C" w:rsidRPr="00882F11">
        <w:rPr>
          <w:rFonts w:cs="Guttman Drogolin" w:hint="cs"/>
          <w:rtl/>
          <w:lang w:bidi="he-IL"/>
        </w:rPr>
        <w:t>ש</w:t>
      </w:r>
      <w:r w:rsidR="00485B6C" w:rsidRPr="00882F11">
        <w:rPr>
          <w:rFonts w:cs="Guttman Drogolin"/>
          <w:rtl/>
          <w:lang w:bidi="he-IL"/>
        </w:rPr>
        <w:t xml:space="preserve"> </w:t>
      </w:r>
      <w:r w:rsidR="00485B6C" w:rsidRPr="00882F11">
        <w:rPr>
          <w:rFonts w:cs="Guttman Drogolin" w:hint="cs"/>
          <w:rtl/>
          <w:lang w:bidi="he-IL"/>
        </w:rPr>
        <w:t>צ</w:t>
      </w:r>
      <w:r w:rsidR="00485B6C" w:rsidRPr="00882F11">
        <w:rPr>
          <w:rFonts w:cs="Guttman Drogolin"/>
          <w:rtl/>
          <w:lang w:bidi="he-IL"/>
        </w:rPr>
        <w:t>"</w:t>
      </w:r>
      <w:r w:rsidR="00485B6C" w:rsidRPr="00882F11">
        <w:rPr>
          <w:rFonts w:cs="Guttman Drogolin" w:hint="cs"/>
          <w:rtl/>
          <w:lang w:bidi="he-IL"/>
        </w:rPr>
        <w:t>ז</w:t>
      </w:r>
      <w:r w:rsidR="00485B6C" w:rsidRPr="00882F11">
        <w:rPr>
          <w:rFonts w:cs="Guttman Drogolin"/>
          <w:rtl/>
          <w:lang w:bidi="he-IL"/>
        </w:rPr>
        <w:t xml:space="preserve"> </w:t>
      </w:r>
      <w:r w:rsidR="00485B6C" w:rsidRPr="00882F11">
        <w:rPr>
          <w:rFonts w:cs="Guttman Drogolin" w:hint="cs"/>
          <w:rtl/>
          <w:lang w:bidi="he-IL"/>
        </w:rPr>
        <w:t>ס</w:t>
      </w:r>
      <w:r w:rsidR="00485B6C" w:rsidRPr="00882F11">
        <w:rPr>
          <w:rFonts w:cs="Guttman Drogolin"/>
          <w:rtl/>
          <w:lang w:bidi="he-IL"/>
        </w:rPr>
        <w:t>"</w:t>
      </w:r>
      <w:r w:rsidR="00485B6C" w:rsidRPr="00882F11">
        <w:rPr>
          <w:rFonts w:cs="Guttman Drogolin" w:hint="cs"/>
          <w:rtl/>
          <w:lang w:bidi="he-IL"/>
        </w:rPr>
        <w:t>ז</w:t>
      </w:r>
      <w:r w:rsidR="00485B6C" w:rsidRPr="00882F11">
        <w:rPr>
          <w:rFonts w:cs="Guttman Drogolin"/>
          <w:rtl/>
          <w:lang w:bidi="he-IL"/>
        </w:rPr>
        <w:t xml:space="preserve"> </w:t>
      </w:r>
      <w:r w:rsidR="00485B6C" w:rsidRPr="00882F11">
        <w:rPr>
          <w:rFonts w:cs="Guttman Drogolin" w:hint="cs"/>
          <w:rtl/>
          <w:lang w:bidi="he-IL"/>
        </w:rPr>
        <w:t>הביאו</w:t>
      </w:r>
      <w:r w:rsidR="00485B6C" w:rsidRPr="00882F11">
        <w:rPr>
          <w:rFonts w:cs="Guttman Drogolin"/>
          <w:rtl/>
          <w:lang w:bidi="he-IL"/>
        </w:rPr>
        <w:t xml:space="preserve"> </w:t>
      </w:r>
      <w:r w:rsidR="00485B6C" w:rsidRPr="00882F11">
        <w:rPr>
          <w:rFonts w:cs="Guttman Drogolin" w:hint="cs"/>
          <w:rtl/>
          <w:lang w:bidi="he-IL"/>
        </w:rPr>
        <w:t>את</w:t>
      </w:r>
      <w:r w:rsidR="00485B6C" w:rsidRPr="00882F11">
        <w:rPr>
          <w:rFonts w:cs="Guttman Drogolin"/>
          <w:rtl/>
          <w:lang w:bidi="he-IL"/>
        </w:rPr>
        <w:t xml:space="preserve"> </w:t>
      </w:r>
      <w:r w:rsidR="00485B6C" w:rsidRPr="00882F11">
        <w:rPr>
          <w:rFonts w:cs="Guttman Drogolin" w:hint="cs"/>
          <w:rtl/>
          <w:lang w:bidi="he-IL"/>
        </w:rPr>
        <w:t>דברי</w:t>
      </w:r>
      <w:r w:rsidR="00485B6C" w:rsidRPr="00882F11">
        <w:rPr>
          <w:rFonts w:cs="Guttman Drogolin"/>
          <w:rtl/>
          <w:lang w:bidi="he-IL"/>
        </w:rPr>
        <w:t xml:space="preserve"> </w:t>
      </w:r>
      <w:r w:rsidR="00485B6C" w:rsidRPr="00882F11">
        <w:rPr>
          <w:rFonts w:cs="Guttman Drogolin" w:hint="cs"/>
          <w:rtl/>
          <w:lang w:bidi="he-IL"/>
        </w:rPr>
        <w:t>המהרי</w:t>
      </w:r>
      <w:r w:rsidR="00485B6C" w:rsidRPr="00882F11">
        <w:rPr>
          <w:rFonts w:cs="Guttman Drogolin"/>
          <w:rtl/>
          <w:lang w:bidi="he-IL"/>
        </w:rPr>
        <w:t>"</w:t>
      </w:r>
      <w:r w:rsidR="00485B6C" w:rsidRPr="00882F11">
        <w:rPr>
          <w:rFonts w:cs="Guttman Drogolin" w:hint="cs"/>
          <w:rtl/>
          <w:lang w:bidi="he-IL"/>
        </w:rPr>
        <w:t>ט</w:t>
      </w:r>
      <w:r w:rsidR="00485B6C" w:rsidRPr="00882F11">
        <w:rPr>
          <w:rFonts w:cs="Guttman Drogolin"/>
          <w:rtl/>
          <w:lang w:bidi="he-IL"/>
        </w:rPr>
        <w:t xml:space="preserve"> </w:t>
      </w:r>
      <w:r w:rsidR="00485B6C" w:rsidRPr="00882F11">
        <w:rPr>
          <w:rFonts w:cs="Guttman Drogolin" w:hint="cs"/>
          <w:rtl/>
          <w:lang w:bidi="he-IL"/>
        </w:rPr>
        <w:t>ח</w:t>
      </w:r>
      <w:r w:rsidR="00485B6C" w:rsidRPr="00882F11">
        <w:rPr>
          <w:rFonts w:cs="Guttman Drogolin"/>
          <w:rtl/>
          <w:lang w:bidi="he-IL"/>
        </w:rPr>
        <w:t>"</w:t>
      </w:r>
      <w:r w:rsidR="00485B6C" w:rsidRPr="00882F11">
        <w:rPr>
          <w:rFonts w:cs="Guttman Drogolin" w:hint="cs"/>
          <w:rtl/>
          <w:lang w:bidi="he-IL"/>
        </w:rPr>
        <w:t>ב</w:t>
      </w:r>
      <w:r w:rsidR="00485B6C" w:rsidRPr="00882F11">
        <w:rPr>
          <w:rFonts w:cs="Guttman Drogolin"/>
          <w:rtl/>
          <w:lang w:bidi="he-IL"/>
        </w:rPr>
        <w:t xml:space="preserve"> </w:t>
      </w:r>
      <w:r w:rsidR="00485B6C" w:rsidRPr="00882F11">
        <w:rPr>
          <w:rFonts w:cs="Guttman Drogolin" w:hint="cs"/>
          <w:rtl/>
          <w:lang w:bidi="he-IL"/>
        </w:rPr>
        <w:t>סי</w:t>
      </w:r>
      <w:r w:rsidR="00485B6C" w:rsidRPr="00882F11">
        <w:rPr>
          <w:rFonts w:cs="Guttman Drogolin"/>
          <w:rtl/>
          <w:lang w:bidi="he-IL"/>
        </w:rPr>
        <w:t xml:space="preserve">' </w:t>
      </w:r>
      <w:r w:rsidR="00485B6C" w:rsidRPr="00882F11">
        <w:rPr>
          <w:rFonts w:cs="Guttman Drogolin" w:hint="cs"/>
          <w:rtl/>
          <w:lang w:bidi="he-IL"/>
        </w:rPr>
        <w:t>י</w:t>
      </w:r>
      <w:r w:rsidR="00485B6C" w:rsidRPr="00882F11">
        <w:rPr>
          <w:rFonts w:cs="Guttman Drogolin"/>
          <w:rtl/>
          <w:lang w:bidi="he-IL"/>
        </w:rPr>
        <w:t>"</w:t>
      </w:r>
      <w:r w:rsidR="00485B6C" w:rsidRPr="00882F11">
        <w:rPr>
          <w:rFonts w:cs="Guttman Drogolin" w:hint="cs"/>
          <w:rtl/>
          <w:lang w:bidi="he-IL"/>
        </w:rPr>
        <w:t>ח</w:t>
      </w:r>
      <w:r w:rsidR="00485B6C" w:rsidRPr="00882F11">
        <w:rPr>
          <w:rFonts w:cs="Guttman Drogolin"/>
          <w:rtl/>
          <w:lang w:bidi="he-IL"/>
        </w:rPr>
        <w:t xml:space="preserve"> </w:t>
      </w:r>
      <w:r w:rsidR="00485B6C" w:rsidRPr="00882F11">
        <w:rPr>
          <w:rFonts w:cs="Guttman Drogolin" w:hint="cs"/>
          <w:rtl/>
          <w:lang w:bidi="he-IL"/>
        </w:rPr>
        <w:t>דכתב</w:t>
      </w:r>
      <w:r w:rsidR="00485B6C" w:rsidRPr="00882F11">
        <w:rPr>
          <w:rFonts w:cs="Guttman Drogolin"/>
          <w:rtl/>
          <w:lang w:bidi="he-IL"/>
        </w:rPr>
        <w:t xml:space="preserve"> </w:t>
      </w:r>
      <w:r w:rsidR="00485B6C" w:rsidRPr="00882F11">
        <w:rPr>
          <w:rFonts w:cs="Guttman Drogolin" w:hint="cs"/>
          <w:rtl/>
          <w:lang w:bidi="he-IL"/>
        </w:rPr>
        <w:t>דגלוסקאות</w:t>
      </w:r>
      <w:r w:rsidR="00485B6C" w:rsidRPr="00882F11">
        <w:rPr>
          <w:rFonts w:cs="Guttman Drogolin"/>
          <w:rtl/>
          <w:lang w:bidi="he-IL"/>
        </w:rPr>
        <w:t xml:space="preserve"> </w:t>
      </w:r>
      <w:r w:rsidR="00485B6C" w:rsidRPr="00882F11">
        <w:rPr>
          <w:rFonts w:cs="Guttman Drogolin" w:hint="cs"/>
          <w:rtl/>
          <w:lang w:bidi="he-IL"/>
        </w:rPr>
        <w:t>הנילושות</w:t>
      </w:r>
      <w:r w:rsidR="00485B6C" w:rsidRPr="00882F11">
        <w:rPr>
          <w:rFonts w:cs="Guttman Drogolin"/>
          <w:rtl/>
          <w:lang w:bidi="he-IL"/>
        </w:rPr>
        <w:t xml:space="preserve"> </w:t>
      </w:r>
      <w:r w:rsidR="00485B6C" w:rsidRPr="00882F11">
        <w:rPr>
          <w:rFonts w:cs="Guttman Drogolin" w:hint="cs"/>
          <w:rtl/>
          <w:lang w:bidi="he-IL"/>
        </w:rPr>
        <w:t>בשומן</w:t>
      </w:r>
      <w:r w:rsidR="00485B6C" w:rsidRPr="00882F11">
        <w:rPr>
          <w:rFonts w:cs="Guttman Drogolin"/>
          <w:rtl/>
          <w:lang w:bidi="he-IL"/>
        </w:rPr>
        <w:t xml:space="preserve"> </w:t>
      </w:r>
      <w:r w:rsidR="00485B6C" w:rsidRPr="00882F11">
        <w:rPr>
          <w:rFonts w:cs="Guttman Drogolin" w:hint="cs"/>
          <w:rtl/>
          <w:lang w:bidi="he-IL"/>
        </w:rPr>
        <w:t>וממולאות</w:t>
      </w:r>
      <w:r w:rsidR="00485B6C" w:rsidRPr="00882F11">
        <w:rPr>
          <w:rFonts w:cs="Guttman Drogolin"/>
          <w:rtl/>
          <w:lang w:bidi="he-IL"/>
        </w:rPr>
        <w:t xml:space="preserve"> </w:t>
      </w:r>
      <w:r w:rsidR="00485B6C" w:rsidRPr="00882F11">
        <w:rPr>
          <w:rFonts w:cs="Guttman Drogolin" w:hint="cs"/>
          <w:rtl/>
          <w:lang w:bidi="he-IL"/>
        </w:rPr>
        <w:t>במיני</w:t>
      </w:r>
      <w:r w:rsidR="00485B6C" w:rsidRPr="00882F11">
        <w:rPr>
          <w:rFonts w:cs="Guttman Drogolin"/>
          <w:rtl/>
          <w:lang w:bidi="he-IL"/>
        </w:rPr>
        <w:t xml:space="preserve"> </w:t>
      </w:r>
      <w:r w:rsidR="00485B6C" w:rsidRPr="00882F11">
        <w:rPr>
          <w:rFonts w:cs="Guttman Drogolin" w:hint="cs"/>
          <w:rtl/>
          <w:lang w:bidi="he-IL"/>
        </w:rPr>
        <w:t>מתיקה</w:t>
      </w:r>
      <w:r w:rsidR="00485B6C" w:rsidRPr="00882F11">
        <w:rPr>
          <w:rFonts w:cs="Guttman Drogolin"/>
          <w:rtl/>
          <w:lang w:bidi="he-IL"/>
        </w:rPr>
        <w:t xml:space="preserve"> </w:t>
      </w:r>
      <w:r w:rsidR="00485B6C" w:rsidRPr="00882F11">
        <w:rPr>
          <w:rFonts w:cs="Guttman Drogolin" w:hint="cs"/>
          <w:rtl/>
          <w:lang w:bidi="he-IL"/>
        </w:rPr>
        <w:t>אין</w:t>
      </w:r>
      <w:r w:rsidR="00485B6C" w:rsidRPr="00882F11">
        <w:rPr>
          <w:rFonts w:cs="Guttman Drogolin"/>
          <w:rtl/>
          <w:lang w:bidi="he-IL"/>
        </w:rPr>
        <w:t xml:space="preserve"> </w:t>
      </w:r>
      <w:r w:rsidR="00485B6C" w:rsidRPr="00882F11">
        <w:rPr>
          <w:rFonts w:cs="Guttman Drogolin" w:hint="cs"/>
          <w:rtl/>
          <w:lang w:bidi="he-IL"/>
        </w:rPr>
        <w:t>בהם</w:t>
      </w:r>
      <w:r w:rsidR="00485B6C" w:rsidRPr="00882F11">
        <w:rPr>
          <w:rFonts w:cs="Guttman Drogolin"/>
          <w:rtl/>
          <w:lang w:bidi="he-IL"/>
        </w:rPr>
        <w:t xml:space="preserve"> </w:t>
      </w:r>
      <w:r w:rsidR="00485B6C" w:rsidRPr="00882F11">
        <w:rPr>
          <w:rFonts w:cs="Guttman Drogolin" w:hint="cs"/>
          <w:rtl/>
          <w:lang w:bidi="he-IL"/>
        </w:rPr>
        <w:t>איסור</w:t>
      </w:r>
      <w:r w:rsidR="00485B6C" w:rsidRPr="00882F11">
        <w:rPr>
          <w:rFonts w:cs="Guttman Drogolin"/>
          <w:rtl/>
          <w:lang w:bidi="he-IL"/>
        </w:rPr>
        <w:t xml:space="preserve"> </w:t>
      </w:r>
      <w:r w:rsidR="00485B6C" w:rsidRPr="00882F11">
        <w:rPr>
          <w:rFonts w:cs="Guttman Drogolin" w:hint="cs"/>
          <w:rtl/>
          <w:lang w:bidi="he-IL"/>
        </w:rPr>
        <w:t>כיון</w:t>
      </w:r>
      <w:r w:rsidR="00485B6C" w:rsidRPr="00882F11">
        <w:rPr>
          <w:rFonts w:cs="Guttman Drogolin"/>
          <w:rtl/>
          <w:lang w:bidi="he-IL"/>
        </w:rPr>
        <w:t xml:space="preserve"> </w:t>
      </w:r>
      <w:r w:rsidR="00485B6C" w:rsidRPr="00882F11">
        <w:rPr>
          <w:rFonts w:cs="Guttman Drogolin" w:hint="cs"/>
          <w:rtl/>
          <w:lang w:bidi="he-IL"/>
        </w:rPr>
        <w:t>דאין</w:t>
      </w:r>
      <w:r w:rsidR="00485B6C" w:rsidRPr="00882F11">
        <w:rPr>
          <w:rFonts w:cs="Guttman Drogolin"/>
          <w:rtl/>
          <w:lang w:bidi="he-IL"/>
        </w:rPr>
        <w:t xml:space="preserve"> </w:t>
      </w:r>
      <w:r w:rsidR="00485B6C" w:rsidRPr="00882F11">
        <w:rPr>
          <w:rFonts w:cs="Guttman Drogolin" w:hint="cs"/>
          <w:rtl/>
          <w:lang w:bidi="he-IL"/>
        </w:rPr>
        <w:t>דרך</w:t>
      </w:r>
      <w:r w:rsidR="00485B6C" w:rsidRPr="00882F11">
        <w:rPr>
          <w:rFonts w:cs="Guttman Drogolin"/>
          <w:rtl/>
          <w:lang w:bidi="he-IL"/>
        </w:rPr>
        <w:t xml:space="preserve"> </w:t>
      </w:r>
      <w:r w:rsidR="00485B6C" w:rsidRPr="00882F11">
        <w:rPr>
          <w:rFonts w:cs="Guttman Drogolin" w:hint="cs"/>
          <w:rtl/>
          <w:lang w:bidi="he-IL"/>
        </w:rPr>
        <w:t>לאוכלם</w:t>
      </w:r>
      <w:r w:rsidR="00485B6C" w:rsidRPr="00882F11">
        <w:rPr>
          <w:rFonts w:cs="Guttman Drogolin"/>
          <w:rtl/>
          <w:lang w:bidi="he-IL"/>
        </w:rPr>
        <w:t xml:space="preserve"> </w:t>
      </w:r>
      <w:r w:rsidR="00485B6C" w:rsidRPr="00882F11">
        <w:rPr>
          <w:rFonts w:cs="Guttman Drogolin" w:hint="cs"/>
          <w:rtl/>
          <w:lang w:bidi="he-IL"/>
        </w:rPr>
        <w:t>עם</w:t>
      </w:r>
      <w:r w:rsidR="00485B6C" w:rsidRPr="00882F11">
        <w:rPr>
          <w:rFonts w:cs="Guttman Drogolin"/>
          <w:rtl/>
          <w:lang w:bidi="he-IL"/>
        </w:rPr>
        <w:t xml:space="preserve"> </w:t>
      </w:r>
      <w:r w:rsidR="00485B6C" w:rsidRPr="00882F11">
        <w:rPr>
          <w:rFonts w:cs="Guttman Drogolin" w:hint="cs"/>
          <w:rtl/>
          <w:lang w:bidi="he-IL"/>
        </w:rPr>
        <w:t>חלב</w:t>
      </w:r>
      <w:r w:rsidR="00485B6C" w:rsidRPr="00882F11">
        <w:rPr>
          <w:rFonts w:cs="Guttman Drogolin"/>
          <w:rtl/>
          <w:lang w:bidi="he-IL"/>
        </w:rPr>
        <w:t xml:space="preserve"> </w:t>
      </w:r>
      <w:r w:rsidR="00485B6C" w:rsidRPr="00882F11">
        <w:rPr>
          <w:rFonts w:cs="Guttman Drogolin" w:hint="cs"/>
          <w:rtl/>
          <w:lang w:bidi="he-IL"/>
        </w:rPr>
        <w:t>ממש</w:t>
      </w:r>
      <w:r w:rsidR="00485B6C" w:rsidRPr="00882F11">
        <w:rPr>
          <w:rFonts w:cs="Guttman Drogolin"/>
          <w:rtl/>
          <w:lang w:bidi="he-IL"/>
        </w:rPr>
        <w:t xml:space="preserve"> </w:t>
      </w:r>
      <w:r w:rsidR="00485B6C" w:rsidRPr="00882F11">
        <w:rPr>
          <w:rFonts w:cs="Guttman Drogolin" w:hint="cs"/>
          <w:rtl/>
          <w:lang w:bidi="he-IL"/>
        </w:rPr>
        <w:t>אלא</w:t>
      </w:r>
      <w:r w:rsidR="00485B6C" w:rsidRPr="00882F11">
        <w:rPr>
          <w:rFonts w:cs="Guttman Drogolin"/>
          <w:rtl/>
          <w:lang w:bidi="he-IL"/>
        </w:rPr>
        <w:t xml:space="preserve"> </w:t>
      </w:r>
      <w:r w:rsidR="00485B6C" w:rsidRPr="00882F11">
        <w:rPr>
          <w:rFonts w:cs="Guttman Drogolin" w:hint="cs"/>
          <w:rtl/>
          <w:lang w:bidi="he-IL"/>
        </w:rPr>
        <w:t>רק</w:t>
      </w:r>
      <w:r w:rsidR="00485B6C" w:rsidRPr="00882F11">
        <w:rPr>
          <w:rFonts w:cs="Guttman Drogolin"/>
          <w:rtl/>
          <w:lang w:bidi="he-IL"/>
        </w:rPr>
        <w:t xml:space="preserve"> </w:t>
      </w:r>
      <w:r w:rsidR="00485B6C" w:rsidRPr="00882F11">
        <w:rPr>
          <w:rFonts w:cs="Guttman Drogolin" w:hint="cs"/>
          <w:rtl/>
          <w:lang w:bidi="he-IL"/>
        </w:rPr>
        <w:t>לקינוח,</w:t>
      </w:r>
      <w:r w:rsidR="00485B6C" w:rsidRPr="00882F11">
        <w:rPr>
          <w:rFonts w:cs="Guttman Drogolin"/>
          <w:rtl/>
          <w:lang w:bidi="he-IL"/>
        </w:rPr>
        <w:t xml:space="preserve"> </w:t>
      </w:r>
      <w:r w:rsidR="00485B6C" w:rsidRPr="00882F11">
        <w:rPr>
          <w:rFonts w:cs="Guttman Drogolin" w:hint="cs"/>
          <w:rtl/>
          <w:lang w:bidi="he-IL"/>
        </w:rPr>
        <w:t>ומשמע</w:t>
      </w:r>
      <w:r w:rsidR="00485B6C" w:rsidRPr="00882F11">
        <w:rPr>
          <w:rFonts w:cs="Guttman Drogolin"/>
          <w:rtl/>
          <w:lang w:bidi="he-IL"/>
        </w:rPr>
        <w:t xml:space="preserve"> </w:t>
      </w:r>
      <w:r w:rsidR="00485B6C" w:rsidRPr="00882F11">
        <w:rPr>
          <w:rFonts w:cs="Guttman Drogolin" w:hint="cs"/>
          <w:rtl/>
          <w:lang w:bidi="he-IL"/>
        </w:rPr>
        <w:t>דאם</w:t>
      </w:r>
      <w:r w:rsidR="00485B6C" w:rsidRPr="00882F11">
        <w:rPr>
          <w:rFonts w:cs="Guttman Drogolin"/>
          <w:rtl/>
          <w:lang w:bidi="he-IL"/>
        </w:rPr>
        <w:t xml:space="preserve"> </w:t>
      </w:r>
      <w:r w:rsidR="00485B6C" w:rsidRPr="00882F11">
        <w:rPr>
          <w:rFonts w:cs="Guttman Drogolin" w:hint="cs"/>
          <w:rtl/>
          <w:lang w:bidi="he-IL"/>
        </w:rPr>
        <w:t>היו</w:t>
      </w:r>
      <w:r w:rsidR="00485B6C" w:rsidRPr="00882F11">
        <w:rPr>
          <w:rFonts w:cs="Guttman Drogolin"/>
          <w:rtl/>
          <w:lang w:bidi="he-IL"/>
        </w:rPr>
        <w:t xml:space="preserve"> </w:t>
      </w:r>
      <w:r w:rsidR="00485B6C" w:rsidRPr="00882F11">
        <w:rPr>
          <w:rFonts w:cs="Guttman Drogolin" w:hint="cs"/>
          <w:rtl/>
          <w:lang w:bidi="he-IL"/>
        </w:rPr>
        <w:t>הגלוסקאות</w:t>
      </w:r>
      <w:r w:rsidR="00485B6C" w:rsidRPr="00882F11">
        <w:rPr>
          <w:rFonts w:cs="Guttman Drogolin"/>
          <w:rtl/>
          <w:lang w:bidi="he-IL"/>
        </w:rPr>
        <w:t xml:space="preserve"> </w:t>
      </w:r>
      <w:r w:rsidR="00485B6C" w:rsidRPr="00882F11">
        <w:rPr>
          <w:rFonts w:cs="Guttman Drogolin" w:hint="cs"/>
          <w:rtl/>
          <w:lang w:bidi="he-IL"/>
        </w:rPr>
        <w:t>הנ</w:t>
      </w:r>
      <w:r w:rsidR="00485B6C" w:rsidRPr="00882F11">
        <w:rPr>
          <w:rFonts w:cs="Guttman Drogolin"/>
          <w:rtl/>
          <w:lang w:bidi="he-IL"/>
        </w:rPr>
        <w:t>"</w:t>
      </w:r>
      <w:r w:rsidR="00485B6C" w:rsidRPr="00882F11">
        <w:rPr>
          <w:rFonts w:cs="Guttman Drogolin" w:hint="cs"/>
          <w:rtl/>
          <w:lang w:bidi="he-IL"/>
        </w:rPr>
        <w:t>ל</w:t>
      </w:r>
      <w:r w:rsidR="00485B6C" w:rsidRPr="00882F11">
        <w:rPr>
          <w:rFonts w:cs="Guttman Drogolin"/>
          <w:rtl/>
          <w:lang w:bidi="he-IL"/>
        </w:rPr>
        <w:t xml:space="preserve"> </w:t>
      </w:r>
      <w:r w:rsidR="00485B6C" w:rsidRPr="00882F11">
        <w:rPr>
          <w:rFonts w:cs="Guttman Drogolin" w:hint="cs"/>
          <w:rtl/>
          <w:lang w:bidi="he-IL"/>
        </w:rPr>
        <w:t>נאכלות</w:t>
      </w:r>
      <w:r w:rsidR="00485B6C" w:rsidRPr="00882F11">
        <w:rPr>
          <w:rFonts w:cs="Guttman Drogolin"/>
          <w:rtl/>
          <w:lang w:bidi="he-IL"/>
        </w:rPr>
        <w:t xml:space="preserve"> </w:t>
      </w:r>
      <w:r w:rsidR="00485B6C" w:rsidRPr="00882F11">
        <w:rPr>
          <w:rFonts w:cs="Guttman Drogolin" w:hint="cs"/>
          <w:rtl/>
          <w:lang w:bidi="he-IL"/>
        </w:rPr>
        <w:t>עם</w:t>
      </w:r>
      <w:r w:rsidR="00485B6C" w:rsidRPr="00882F11">
        <w:rPr>
          <w:rFonts w:cs="Guttman Drogolin"/>
          <w:rtl/>
          <w:lang w:bidi="he-IL"/>
        </w:rPr>
        <w:t xml:space="preserve"> </w:t>
      </w:r>
      <w:r w:rsidR="00485B6C" w:rsidRPr="00882F11">
        <w:rPr>
          <w:rFonts w:cs="Guttman Drogolin" w:hint="cs"/>
          <w:rtl/>
          <w:lang w:bidi="he-IL"/>
        </w:rPr>
        <w:t>חלב</w:t>
      </w:r>
      <w:r w:rsidR="00485B6C" w:rsidRPr="00882F11">
        <w:rPr>
          <w:rFonts w:cs="Guttman Drogolin"/>
          <w:rtl/>
          <w:lang w:bidi="he-IL"/>
        </w:rPr>
        <w:t xml:space="preserve"> </w:t>
      </w:r>
      <w:r w:rsidR="00485B6C" w:rsidRPr="00882F11">
        <w:rPr>
          <w:rFonts w:cs="Guttman Drogolin" w:hint="cs"/>
          <w:rtl/>
          <w:lang w:bidi="he-IL"/>
        </w:rPr>
        <w:t>ממש</w:t>
      </w:r>
      <w:r w:rsidR="00485B6C" w:rsidRPr="00882F11">
        <w:rPr>
          <w:rFonts w:cs="Guttman Drogolin"/>
          <w:rtl/>
          <w:lang w:bidi="he-IL"/>
        </w:rPr>
        <w:t xml:space="preserve"> </w:t>
      </w:r>
      <w:r w:rsidR="00485B6C" w:rsidRPr="00882F11">
        <w:rPr>
          <w:rFonts w:cs="Guttman Drogolin" w:hint="cs"/>
          <w:rtl/>
          <w:lang w:bidi="he-IL"/>
        </w:rPr>
        <w:t>היו</w:t>
      </w:r>
      <w:r w:rsidR="00485B6C" w:rsidRPr="00882F11">
        <w:rPr>
          <w:rFonts w:cs="Guttman Drogolin"/>
          <w:rtl/>
          <w:lang w:bidi="he-IL"/>
        </w:rPr>
        <w:t xml:space="preserve"> </w:t>
      </w:r>
      <w:r w:rsidR="00485B6C" w:rsidRPr="00882F11">
        <w:rPr>
          <w:rFonts w:cs="Guttman Drogolin" w:hint="cs"/>
          <w:rtl/>
          <w:lang w:bidi="he-IL"/>
        </w:rPr>
        <w:t>אסורות</w:t>
      </w:r>
      <w:r w:rsidR="00485B6C" w:rsidRPr="00882F11">
        <w:rPr>
          <w:rFonts w:cs="Guttman Drogolin"/>
          <w:rtl/>
          <w:lang w:bidi="he-IL"/>
        </w:rPr>
        <w:t xml:space="preserve">, </w:t>
      </w:r>
      <w:r w:rsidR="00485B6C" w:rsidRPr="00882F11">
        <w:rPr>
          <w:rFonts w:cs="Guttman Drogolin" w:hint="cs"/>
          <w:rtl/>
          <w:lang w:bidi="he-IL"/>
        </w:rPr>
        <w:t>והרי</w:t>
      </w:r>
      <w:r w:rsidR="00485B6C" w:rsidRPr="00882F11">
        <w:rPr>
          <w:rFonts w:cs="Guttman Drogolin"/>
          <w:rtl/>
          <w:lang w:bidi="he-IL"/>
        </w:rPr>
        <w:t xml:space="preserve"> </w:t>
      </w:r>
      <w:r w:rsidR="00485B6C" w:rsidRPr="00882F11">
        <w:rPr>
          <w:rFonts w:cs="Guttman Drogolin" w:hint="cs"/>
          <w:rtl/>
          <w:lang w:bidi="he-IL"/>
        </w:rPr>
        <w:t>החכמ</w:t>
      </w:r>
      <w:r w:rsidR="00485B6C" w:rsidRPr="00882F11">
        <w:rPr>
          <w:rFonts w:cs="Guttman Drogolin"/>
          <w:rtl/>
          <w:lang w:bidi="he-IL"/>
        </w:rPr>
        <w:t>"</w:t>
      </w:r>
      <w:r w:rsidR="00485B6C" w:rsidRPr="00882F11">
        <w:rPr>
          <w:rFonts w:cs="Guttman Drogolin" w:hint="cs"/>
          <w:rtl/>
          <w:lang w:bidi="he-IL"/>
        </w:rPr>
        <w:t>א</w:t>
      </w:r>
      <w:r w:rsidR="00485B6C" w:rsidRPr="00882F11">
        <w:rPr>
          <w:rFonts w:cs="Guttman Drogolin"/>
          <w:rtl/>
          <w:lang w:bidi="he-IL"/>
        </w:rPr>
        <w:t xml:space="preserve"> </w:t>
      </w:r>
      <w:r w:rsidR="00485B6C" w:rsidRPr="00882F11">
        <w:rPr>
          <w:rFonts w:cs="Guttman Drogolin" w:hint="cs"/>
          <w:rtl/>
          <w:lang w:bidi="he-IL"/>
        </w:rPr>
        <w:t>וערוה</w:t>
      </w:r>
      <w:r w:rsidR="00485B6C" w:rsidRPr="00882F11">
        <w:rPr>
          <w:rFonts w:cs="Guttman Drogolin"/>
          <w:rtl/>
          <w:lang w:bidi="he-IL"/>
        </w:rPr>
        <w:t>"</w:t>
      </w:r>
      <w:r w:rsidR="00485B6C" w:rsidRPr="00882F11">
        <w:rPr>
          <w:rFonts w:cs="Guttman Drogolin" w:hint="cs"/>
          <w:rtl/>
          <w:lang w:bidi="he-IL"/>
        </w:rPr>
        <w:t>ש</w:t>
      </w:r>
      <w:r w:rsidR="00485B6C" w:rsidRPr="00882F11">
        <w:rPr>
          <w:rFonts w:cs="Guttman Drogolin"/>
          <w:rtl/>
          <w:lang w:bidi="he-IL"/>
        </w:rPr>
        <w:t xml:space="preserve"> </w:t>
      </w:r>
      <w:r w:rsidR="00485B6C" w:rsidRPr="00882F11">
        <w:rPr>
          <w:rFonts w:cs="Guttman Drogolin" w:hint="cs"/>
          <w:rtl/>
          <w:lang w:bidi="he-IL"/>
        </w:rPr>
        <w:t>ס</w:t>
      </w:r>
      <w:r w:rsidR="00485B6C" w:rsidRPr="00882F11">
        <w:rPr>
          <w:rFonts w:cs="Guttman Drogolin"/>
          <w:rtl/>
          <w:lang w:bidi="he-IL"/>
        </w:rPr>
        <w:t>"</w:t>
      </w:r>
      <w:r w:rsidR="00485B6C" w:rsidRPr="00882F11">
        <w:rPr>
          <w:rFonts w:cs="Guttman Drogolin" w:hint="cs"/>
          <w:rtl/>
          <w:lang w:bidi="he-IL"/>
        </w:rPr>
        <w:t>ל</w:t>
      </w:r>
      <w:r w:rsidR="00485B6C" w:rsidRPr="00882F11">
        <w:rPr>
          <w:rFonts w:cs="Guttman Drogolin"/>
          <w:rtl/>
          <w:lang w:bidi="he-IL"/>
        </w:rPr>
        <w:t xml:space="preserve"> </w:t>
      </w:r>
      <w:r w:rsidR="00485B6C" w:rsidRPr="00882F11">
        <w:rPr>
          <w:rFonts w:cs="Guttman Drogolin" w:hint="cs"/>
          <w:rtl/>
          <w:lang w:bidi="he-IL"/>
        </w:rPr>
        <w:t>דרק</w:t>
      </w:r>
      <w:r w:rsidR="00485B6C" w:rsidRPr="00882F11">
        <w:rPr>
          <w:rFonts w:cs="Guttman Drogolin"/>
          <w:rtl/>
          <w:lang w:bidi="he-IL"/>
        </w:rPr>
        <w:t xml:space="preserve"> </w:t>
      </w:r>
      <w:r w:rsidR="00485B6C" w:rsidRPr="00882F11">
        <w:rPr>
          <w:rFonts w:cs="Guttman Drogolin" w:hint="cs"/>
          <w:rtl/>
          <w:lang w:bidi="he-IL"/>
        </w:rPr>
        <w:t>בפת</w:t>
      </w:r>
      <w:r w:rsidR="00485B6C" w:rsidRPr="00882F11">
        <w:rPr>
          <w:rFonts w:cs="Guttman Drogolin"/>
          <w:rtl/>
          <w:lang w:bidi="he-IL"/>
        </w:rPr>
        <w:t xml:space="preserve"> </w:t>
      </w:r>
      <w:r w:rsidR="00485B6C" w:rsidRPr="00882F11">
        <w:rPr>
          <w:rFonts w:cs="Guttman Drogolin" w:hint="cs"/>
          <w:rtl/>
          <w:lang w:bidi="he-IL"/>
        </w:rPr>
        <w:t>היתה</w:t>
      </w:r>
      <w:r w:rsidR="00485B6C" w:rsidRPr="00882F11">
        <w:rPr>
          <w:rFonts w:cs="Guttman Drogolin"/>
          <w:rtl/>
          <w:lang w:bidi="he-IL"/>
        </w:rPr>
        <w:t xml:space="preserve"> </w:t>
      </w:r>
      <w:r w:rsidR="00485B6C" w:rsidRPr="00882F11">
        <w:rPr>
          <w:rFonts w:cs="Guttman Drogolin" w:hint="cs"/>
          <w:rtl/>
          <w:lang w:bidi="he-IL"/>
        </w:rPr>
        <w:t>הגזירה.</w:t>
      </w:r>
      <w:r w:rsidR="00485B6C" w:rsidRPr="00882F11">
        <w:rPr>
          <w:rFonts w:cs="Guttman Drogolin"/>
          <w:rtl/>
          <w:lang w:bidi="he-IL"/>
        </w:rPr>
        <w:t xml:space="preserve"> </w:t>
      </w:r>
      <w:r w:rsidR="00485B6C" w:rsidRPr="00882F11">
        <w:rPr>
          <w:rFonts w:cs="Guttman Drogolin" w:hint="cs"/>
          <w:rtl/>
          <w:lang w:bidi="he-IL"/>
        </w:rPr>
        <w:t>וע</w:t>
      </w:r>
      <w:r w:rsidR="00485B6C" w:rsidRPr="00882F11">
        <w:rPr>
          <w:rFonts w:cs="Guttman Drogolin"/>
          <w:rtl/>
          <w:lang w:bidi="he-IL"/>
        </w:rPr>
        <w:t>"</w:t>
      </w:r>
      <w:r w:rsidR="00485B6C" w:rsidRPr="00882F11">
        <w:rPr>
          <w:rFonts w:cs="Guttman Drogolin" w:hint="cs"/>
          <w:rtl/>
          <w:lang w:bidi="he-IL"/>
        </w:rPr>
        <w:t>כ</w:t>
      </w:r>
      <w:r w:rsidR="00485B6C" w:rsidRPr="00882F11">
        <w:rPr>
          <w:rFonts w:cs="Guttman Drogolin"/>
          <w:rtl/>
          <w:lang w:bidi="he-IL"/>
        </w:rPr>
        <w:t xml:space="preserve"> </w:t>
      </w:r>
      <w:r w:rsidR="00485B6C" w:rsidRPr="00882F11">
        <w:rPr>
          <w:rFonts w:cs="Guttman Drogolin" w:hint="cs"/>
          <w:rtl/>
          <w:lang w:bidi="he-IL"/>
        </w:rPr>
        <w:t>דגם</w:t>
      </w:r>
      <w:r w:rsidR="00485B6C" w:rsidRPr="00882F11">
        <w:rPr>
          <w:rFonts w:cs="Guttman Drogolin"/>
          <w:rtl/>
          <w:lang w:bidi="he-IL"/>
        </w:rPr>
        <w:t xml:space="preserve"> </w:t>
      </w:r>
      <w:r w:rsidR="00485B6C" w:rsidRPr="00882F11">
        <w:rPr>
          <w:rFonts w:cs="Guttman Drogolin" w:hint="cs"/>
          <w:rtl/>
          <w:lang w:bidi="he-IL"/>
        </w:rPr>
        <w:t>פת</w:t>
      </w:r>
      <w:r w:rsidR="00485B6C" w:rsidRPr="00882F11">
        <w:rPr>
          <w:rFonts w:cs="Guttman Drogolin"/>
          <w:rtl/>
          <w:lang w:bidi="he-IL"/>
        </w:rPr>
        <w:t xml:space="preserve"> </w:t>
      </w:r>
      <w:r w:rsidR="00485B6C" w:rsidRPr="00882F11">
        <w:rPr>
          <w:rFonts w:cs="Guttman Drogolin" w:hint="cs"/>
          <w:rtl/>
          <w:lang w:bidi="he-IL"/>
        </w:rPr>
        <w:t>כיסנין</w:t>
      </w:r>
      <w:r w:rsidR="00485B6C" w:rsidRPr="00882F11">
        <w:rPr>
          <w:rFonts w:cs="Guttman Drogolin"/>
          <w:rtl/>
          <w:lang w:bidi="he-IL"/>
        </w:rPr>
        <w:t xml:space="preserve"> </w:t>
      </w:r>
      <w:r w:rsidR="00485B6C" w:rsidRPr="00882F11">
        <w:rPr>
          <w:rFonts w:cs="Guttman Drogolin" w:hint="cs"/>
          <w:rtl/>
          <w:lang w:bidi="he-IL"/>
        </w:rPr>
        <w:t>היא</w:t>
      </w:r>
      <w:r w:rsidR="00485B6C" w:rsidRPr="00882F11">
        <w:rPr>
          <w:rFonts w:cs="Guttman Drogolin"/>
          <w:rtl/>
          <w:lang w:bidi="he-IL"/>
        </w:rPr>
        <w:t xml:space="preserve"> </w:t>
      </w:r>
      <w:r w:rsidR="00485B6C" w:rsidRPr="00882F11">
        <w:rPr>
          <w:rFonts w:cs="Guttman Drogolin" w:hint="cs"/>
          <w:rtl/>
          <w:lang w:bidi="he-IL"/>
        </w:rPr>
        <w:t>בכלל</w:t>
      </w:r>
      <w:r w:rsidR="00485B6C" w:rsidRPr="00882F11">
        <w:rPr>
          <w:rFonts w:cs="Guttman Drogolin"/>
          <w:rtl/>
          <w:lang w:bidi="he-IL"/>
        </w:rPr>
        <w:t xml:space="preserve"> </w:t>
      </w:r>
      <w:r w:rsidR="00485B6C" w:rsidRPr="00882F11">
        <w:rPr>
          <w:rFonts w:cs="Guttman Drogolin" w:hint="cs"/>
          <w:rtl/>
          <w:lang w:bidi="he-IL"/>
        </w:rPr>
        <w:t xml:space="preserve">האיסור). ומ"מ כתב המהרי"ט בח"ב סי' י"ח שבמיני מתיקה שאין הדרך לאוכלם אלא בסוף הסעודה ולא ביחד עם המים השני אין לאסור. והנה עצם הדבר שלא החמירו אם אין הדרך לאכלו עם המין השני מבואר בט"ז בס"ק א', שהרי כתב דאע"פ </w:t>
      </w:r>
      <w:r w:rsidR="00485B6C" w:rsidRPr="00882F11">
        <w:rPr>
          <w:rFonts w:cs="Guttman Drogolin" w:hint="cs"/>
          <w:rtl/>
          <w:lang w:bidi="he-IL"/>
        </w:rPr>
        <w:lastRenderedPageBreak/>
        <w:t xml:space="preserve">שתבלינין שנדוכו במדוכה של בשר אסורים אפילו לאכלם עם בשר, מ"מ אם אין הדרך להשתמש במדוכה זו אלא לבשר מותר (וע"ש שבזה יושב סי' צ"ו סע' ג' לדעתו). אמנם יש בדברי המהרי"ט חידוש נוסף. והוא שבמיני מתיקה כאלו אם הם בשריים יש חשש שיבא לאכול גבינה אחריהם (וחשש זה ליתי' בהא דהט"ז משום שהדרך היתה תמיד לערבו עם בשר). וכה"ג יש להסתפק במיני מתיקה חלביים שיש חשש שיבא לאכלם אחרי בשר. </w:t>
      </w:r>
    </w:p>
    <w:p w:rsidR="00073F5E" w:rsidRPr="00882F11" w:rsidRDefault="00485B6C" w:rsidP="00485B6C">
      <w:pPr>
        <w:tabs>
          <w:tab w:val="right" w:pos="7497"/>
        </w:tabs>
        <w:bidi/>
        <w:jc w:val="both"/>
        <w:rPr>
          <w:rFonts w:cs="Guttman Drogolin"/>
          <w:rtl/>
          <w:lang w:bidi="he-IL"/>
        </w:rPr>
      </w:pPr>
      <w:r w:rsidRPr="00882F11">
        <w:rPr>
          <w:rFonts w:cs="Guttman Drogolin" w:hint="cs"/>
          <w:rtl/>
          <w:lang w:bidi="he-IL"/>
        </w:rPr>
        <w:t xml:space="preserve">והנה עצם החשש שחששו לה חז"ל באיסורם לערב עיסה בחלב או בבשר לכאורה אינו משום שיבא לעבור על אכילת בשר בחלב מדאורייתא, דהא מדאורייתא לא אסרה תורה אלא דרך בישול, ובשעת אכילה לכאורה הכל צונן, או לכה"פ חום דכלי שני שאינו מבשל. רק שחז"ל שחששו שיעבור על איסור דרבנן של אכילת בשר ביחד עם חלב. וכיון שכן לכאורה יש להם לחשוש גם משום איסור המתנה, דמאי שנא האי איסור דרבנן מהאי. </w:t>
      </w:r>
      <w:r w:rsidR="00073F5E" w:rsidRPr="00882F11">
        <w:rPr>
          <w:rFonts w:cs="Guttman Drogolin" w:hint="cs"/>
          <w:rtl/>
          <w:lang w:bidi="he-IL"/>
        </w:rPr>
        <w:t>והמעיין שם בשו"ת מהרי"ט יראה שגם הוא מודה שבעצם דהו"ל למיחש לזה, רק דכיון שיש כמה שיטות המקילות בעיקר הדין, ששיטת התוס' שלא אסרו אלא בסעודה א' ולא בב' סעודות וכו', לכן לדינא אין לנו להחמיר בלחם כזה כולי האי. ואף שלכאורה גם זה מחודש, דהא עד כמה שמחמירים לענין המתנה לשיטות אחרות ממילא יוצא שלחם זה אסור באכילה, מ"מ לכאורה סבר המהרי"ט שגזרה זו גזרה פחות חמור היא ולכן אין להחמיר בה כולי האי.</w:t>
      </w:r>
    </w:p>
    <w:p w:rsidR="00073F5E" w:rsidRPr="00882F11" w:rsidRDefault="00073F5E" w:rsidP="00073F5E">
      <w:pPr>
        <w:tabs>
          <w:tab w:val="right" w:pos="7497"/>
        </w:tabs>
        <w:bidi/>
        <w:jc w:val="both"/>
        <w:rPr>
          <w:rFonts w:cs="Guttman Drogolin"/>
          <w:rtl/>
          <w:lang w:bidi="he-IL"/>
        </w:rPr>
      </w:pPr>
      <w:r w:rsidRPr="00882F11">
        <w:rPr>
          <w:rFonts w:cs="Guttman Drogolin" w:hint="cs"/>
          <w:rtl/>
          <w:lang w:bidi="he-IL"/>
        </w:rPr>
        <w:t>ומ"מ יש מחמירים בנידון של המהרי"ט, ע"ש ביד יהודה ס"ק ג'. ומ"מ בדרבנן שומעים להקל, ובפרט בזה שפ"ש ועוד כמה פוסקים הביאו דברי המהרי"ט לדינא (ע' חכמ"א וערוה"ש).</w:t>
      </w:r>
    </w:p>
    <w:p w:rsidR="00073F5E" w:rsidRPr="00882F11" w:rsidRDefault="00073F5E" w:rsidP="00073F5E">
      <w:pPr>
        <w:pStyle w:val="Heading1"/>
        <w:bidi/>
        <w:spacing w:before="0" w:line="360" w:lineRule="auto"/>
        <w:jc w:val="center"/>
        <w:rPr>
          <w:rFonts w:cs="Guttman Drogolin"/>
          <w:color w:val="auto"/>
          <w:sz w:val="24"/>
          <w:szCs w:val="24"/>
          <w:u w:val="single"/>
          <w:rtl/>
          <w:lang w:bidi="he-IL"/>
        </w:rPr>
      </w:pPr>
      <w:bookmarkStart w:id="296" w:name="_Toc496175547"/>
      <w:r w:rsidRPr="00882F11">
        <w:rPr>
          <w:rFonts w:cs="Guttman Drogolin" w:hint="cs"/>
          <w:color w:val="auto"/>
          <w:sz w:val="24"/>
          <w:szCs w:val="24"/>
          <w:u w:val="single"/>
          <w:rtl/>
          <w:lang w:bidi="he-IL"/>
        </w:rPr>
        <w:t>נ"ט בר נ"ט לכתחילה בלחם חלבי או בשרי</w:t>
      </w:r>
      <w:bookmarkEnd w:id="296"/>
    </w:p>
    <w:p w:rsidR="00B9128E" w:rsidRPr="00882F11" w:rsidRDefault="003E48CE" w:rsidP="00111CB2">
      <w:pPr>
        <w:tabs>
          <w:tab w:val="right" w:pos="7497"/>
        </w:tabs>
        <w:bidi/>
        <w:jc w:val="both"/>
        <w:rPr>
          <w:rFonts w:cs="Guttman Drogolin"/>
          <w:rtl/>
          <w:lang w:bidi="he-IL"/>
        </w:rPr>
      </w:pPr>
      <w:r>
        <w:rPr>
          <w:rFonts w:cs="Guttman Drogolin"/>
          <w:rtl/>
          <w:lang w:bidi="he-IL"/>
        </w:rPr>
        <w:fldChar w:fldCharType="begin"/>
      </w:r>
      <w:r>
        <w:instrText xml:space="preserve"> XE "</w:instrText>
      </w:r>
      <w:r w:rsidRPr="00784D54">
        <w:rPr>
          <w:rFonts w:hint="cs"/>
          <w:rtl/>
          <w:lang w:bidi="he-IL"/>
        </w:rPr>
        <w:instrText>לחם חלבי או בשרי</w:instrText>
      </w:r>
      <w:r w:rsidRPr="00784D54">
        <w:rPr>
          <w:rtl/>
        </w:rPr>
        <w:instrText>:</w:instrText>
      </w:r>
      <w:r w:rsidRPr="00784D54">
        <w:rPr>
          <w:rFonts w:hint="cs"/>
          <w:rtl/>
          <w:lang w:bidi="he-IL"/>
        </w:rPr>
        <w:instrText>נ</w:instrText>
      </w:r>
      <w:r>
        <w:rPr>
          <w:rFonts w:eastAsiaTheme="minorEastAsia"/>
          <w:lang w:bidi="he-IL"/>
        </w:rPr>
        <w:instrText>\</w:instrText>
      </w:r>
      <w:r w:rsidRPr="00784D54">
        <w:rPr>
          <w:rFonts w:hint="cs"/>
          <w:rtl/>
          <w:lang w:bidi="he-IL"/>
        </w:rPr>
        <w:instrText>"ט בר נ</w:instrText>
      </w:r>
      <w:r>
        <w:rPr>
          <w:rFonts w:eastAsiaTheme="minorEastAsia"/>
          <w:lang w:bidi="he-IL"/>
        </w:rPr>
        <w:instrText>\</w:instrText>
      </w:r>
      <w:r w:rsidRPr="00784D54">
        <w:rPr>
          <w:rFonts w:hint="cs"/>
          <w:rtl/>
          <w:lang w:bidi="he-IL"/>
        </w:rPr>
        <w:instrText>"ט לכתחילה</w:instrText>
      </w:r>
      <w:r>
        <w:instrText xml:space="preserve">" </w:instrText>
      </w:r>
      <w:r>
        <w:rPr>
          <w:rFonts w:cs="Guttman Drogolin"/>
          <w:rtl/>
          <w:lang w:bidi="he-IL"/>
        </w:rPr>
        <w:fldChar w:fldCharType="end"/>
      </w:r>
      <w:r w:rsidR="00073F5E" w:rsidRPr="00882F11">
        <w:rPr>
          <w:rFonts w:cs="Guttman Drogolin" w:hint="cs"/>
          <w:rtl/>
          <w:lang w:bidi="he-IL"/>
        </w:rPr>
        <w:t>איתא בתוס' במס' חולין בדף קי"ב ע"א "והא</w:t>
      </w:r>
      <w:r w:rsidR="00073F5E" w:rsidRPr="00882F11">
        <w:rPr>
          <w:rFonts w:cs="Guttman Drogolin"/>
          <w:rtl/>
          <w:lang w:bidi="he-IL"/>
        </w:rPr>
        <w:t xml:space="preserve"> </w:t>
      </w:r>
      <w:r w:rsidR="00073F5E" w:rsidRPr="00882F11">
        <w:rPr>
          <w:rFonts w:cs="Guttman Drogolin" w:hint="cs"/>
          <w:rtl/>
          <w:lang w:bidi="he-IL"/>
        </w:rPr>
        <w:t>דאמרינן</w:t>
      </w:r>
      <w:r w:rsidR="00073F5E" w:rsidRPr="00882F11">
        <w:rPr>
          <w:rFonts w:cs="Guttman Drogolin"/>
          <w:rtl/>
          <w:lang w:bidi="he-IL"/>
        </w:rPr>
        <w:t xml:space="preserve"> </w:t>
      </w:r>
      <w:r w:rsidR="00073F5E" w:rsidRPr="00882F11">
        <w:rPr>
          <w:rFonts w:cs="Guttman Drogolin" w:hint="cs"/>
          <w:rtl/>
          <w:lang w:bidi="he-IL"/>
        </w:rPr>
        <w:t>פרק</w:t>
      </w:r>
      <w:r w:rsidR="00073F5E" w:rsidRPr="00882F11">
        <w:rPr>
          <w:rFonts w:cs="Guttman Drogolin"/>
          <w:rtl/>
          <w:lang w:bidi="he-IL"/>
        </w:rPr>
        <w:t xml:space="preserve"> </w:t>
      </w:r>
      <w:r w:rsidR="00073F5E" w:rsidRPr="00882F11">
        <w:rPr>
          <w:rFonts w:cs="Guttman Drogolin" w:hint="cs"/>
          <w:rtl/>
          <w:lang w:bidi="he-IL"/>
        </w:rPr>
        <w:t>כל</w:t>
      </w:r>
      <w:r w:rsidR="00073F5E" w:rsidRPr="00882F11">
        <w:rPr>
          <w:rFonts w:cs="Guttman Drogolin"/>
          <w:rtl/>
          <w:lang w:bidi="he-IL"/>
        </w:rPr>
        <w:t xml:space="preserve"> </w:t>
      </w:r>
      <w:r w:rsidR="00073F5E" w:rsidRPr="00882F11">
        <w:rPr>
          <w:rFonts w:cs="Guttman Drogolin" w:hint="cs"/>
          <w:rtl/>
          <w:lang w:bidi="he-IL"/>
        </w:rPr>
        <w:t>שעה</w:t>
      </w:r>
      <w:r w:rsidR="00073F5E" w:rsidRPr="00882F11">
        <w:rPr>
          <w:rFonts w:cs="Guttman Drogolin"/>
          <w:rtl/>
          <w:lang w:bidi="he-IL"/>
        </w:rPr>
        <w:t xml:space="preserve"> </w:t>
      </w:r>
      <w:r w:rsidR="00073F5E" w:rsidRPr="00882F11">
        <w:rPr>
          <w:rFonts w:cs="Guttman Drogolin" w:hint="cs"/>
          <w:rtl/>
          <w:lang w:bidi="he-IL"/>
        </w:rPr>
        <w:t>אין</w:t>
      </w:r>
      <w:r w:rsidR="00073F5E" w:rsidRPr="00882F11">
        <w:rPr>
          <w:rFonts w:cs="Guttman Drogolin"/>
          <w:rtl/>
          <w:lang w:bidi="he-IL"/>
        </w:rPr>
        <w:t xml:space="preserve"> </w:t>
      </w:r>
      <w:r w:rsidR="00073F5E" w:rsidRPr="00882F11">
        <w:rPr>
          <w:rFonts w:cs="Guttman Drogolin" w:hint="cs"/>
          <w:rtl/>
          <w:lang w:bidi="he-IL"/>
        </w:rPr>
        <w:t>טשין</w:t>
      </w:r>
      <w:r w:rsidR="00073F5E" w:rsidRPr="00882F11">
        <w:rPr>
          <w:rFonts w:cs="Guttman Drogolin"/>
          <w:rtl/>
          <w:lang w:bidi="he-IL"/>
        </w:rPr>
        <w:t xml:space="preserve"> </w:t>
      </w:r>
      <w:r w:rsidR="00073F5E" w:rsidRPr="00882F11">
        <w:rPr>
          <w:rFonts w:cs="Guttman Drogolin" w:hint="cs"/>
          <w:rtl/>
          <w:lang w:bidi="he-IL"/>
        </w:rPr>
        <w:t>התנור</w:t>
      </w:r>
      <w:r w:rsidR="00073F5E" w:rsidRPr="00882F11">
        <w:rPr>
          <w:rFonts w:cs="Guttman Drogolin"/>
          <w:rtl/>
          <w:lang w:bidi="he-IL"/>
        </w:rPr>
        <w:t xml:space="preserve"> </w:t>
      </w:r>
      <w:r w:rsidR="00073F5E" w:rsidRPr="00882F11">
        <w:rPr>
          <w:rFonts w:cs="Guttman Drogolin" w:hint="cs"/>
          <w:rtl/>
          <w:lang w:bidi="he-IL"/>
        </w:rPr>
        <w:t>באליה</w:t>
      </w:r>
      <w:r w:rsidR="00073F5E" w:rsidRPr="00882F11">
        <w:rPr>
          <w:rFonts w:cs="Guttman Drogolin"/>
          <w:rtl/>
          <w:lang w:bidi="he-IL"/>
        </w:rPr>
        <w:t xml:space="preserve"> </w:t>
      </w:r>
      <w:r w:rsidR="00073F5E" w:rsidRPr="00882F11">
        <w:rPr>
          <w:rFonts w:cs="Guttman Drogolin" w:hint="cs"/>
          <w:rtl/>
          <w:lang w:bidi="he-IL"/>
        </w:rPr>
        <w:t>ואם</w:t>
      </w:r>
      <w:r w:rsidR="00073F5E" w:rsidRPr="00882F11">
        <w:rPr>
          <w:rFonts w:cs="Guttman Drogolin"/>
          <w:rtl/>
          <w:lang w:bidi="he-IL"/>
        </w:rPr>
        <w:t xml:space="preserve"> </w:t>
      </w:r>
      <w:r w:rsidR="00073F5E" w:rsidRPr="00882F11">
        <w:rPr>
          <w:rFonts w:cs="Guttman Drogolin" w:hint="cs"/>
          <w:rtl/>
          <w:lang w:bidi="he-IL"/>
        </w:rPr>
        <w:t>טש</w:t>
      </w:r>
      <w:r w:rsidR="00073F5E" w:rsidRPr="00882F11">
        <w:rPr>
          <w:rFonts w:cs="Guttman Drogolin"/>
          <w:rtl/>
          <w:lang w:bidi="he-IL"/>
        </w:rPr>
        <w:t xml:space="preserve"> </w:t>
      </w:r>
      <w:r w:rsidR="00073F5E" w:rsidRPr="00882F11">
        <w:rPr>
          <w:rFonts w:cs="Guttman Drogolin" w:hint="cs"/>
          <w:rtl/>
          <w:lang w:bidi="he-IL"/>
        </w:rPr>
        <w:t>כל</w:t>
      </w:r>
      <w:r w:rsidR="00073F5E" w:rsidRPr="00882F11">
        <w:rPr>
          <w:rFonts w:cs="Guttman Drogolin"/>
          <w:rtl/>
          <w:lang w:bidi="he-IL"/>
        </w:rPr>
        <w:t xml:space="preserve"> </w:t>
      </w:r>
      <w:r w:rsidR="00073F5E" w:rsidRPr="00882F11">
        <w:rPr>
          <w:rFonts w:cs="Guttman Drogolin" w:hint="cs"/>
          <w:rtl/>
          <w:lang w:bidi="he-IL"/>
        </w:rPr>
        <w:t>הפת</w:t>
      </w:r>
      <w:r w:rsidR="00073F5E" w:rsidRPr="00882F11">
        <w:rPr>
          <w:rFonts w:cs="Guttman Drogolin"/>
          <w:rtl/>
          <w:lang w:bidi="he-IL"/>
        </w:rPr>
        <w:t xml:space="preserve"> </w:t>
      </w:r>
      <w:r w:rsidR="00073F5E" w:rsidRPr="00882F11">
        <w:rPr>
          <w:rFonts w:cs="Guttman Drogolin" w:hint="cs"/>
          <w:rtl/>
          <w:lang w:bidi="he-IL"/>
        </w:rPr>
        <w:t>אסורה</w:t>
      </w:r>
      <w:r w:rsidR="00073F5E" w:rsidRPr="00882F11">
        <w:rPr>
          <w:rFonts w:cs="Guttman Drogolin"/>
          <w:rtl/>
          <w:lang w:bidi="he-IL"/>
        </w:rPr>
        <w:t xml:space="preserve"> </w:t>
      </w:r>
      <w:r w:rsidR="00073F5E" w:rsidRPr="00882F11">
        <w:rPr>
          <w:rFonts w:cs="Guttman Drogolin" w:hint="cs"/>
          <w:rtl/>
          <w:lang w:bidi="he-IL"/>
        </w:rPr>
        <w:t>עד</w:t>
      </w:r>
      <w:r w:rsidR="00073F5E" w:rsidRPr="00882F11">
        <w:rPr>
          <w:rFonts w:cs="Guttman Drogolin"/>
          <w:rtl/>
          <w:lang w:bidi="he-IL"/>
        </w:rPr>
        <w:t xml:space="preserve"> </w:t>
      </w:r>
      <w:r w:rsidR="00073F5E" w:rsidRPr="00882F11">
        <w:rPr>
          <w:rFonts w:cs="Guttman Drogolin" w:hint="cs"/>
          <w:rtl/>
          <w:lang w:bidi="he-IL"/>
        </w:rPr>
        <w:t>שיוסק</w:t>
      </w:r>
      <w:r w:rsidR="00073F5E" w:rsidRPr="00882F11">
        <w:rPr>
          <w:rFonts w:cs="Guttman Drogolin"/>
          <w:rtl/>
          <w:lang w:bidi="he-IL"/>
        </w:rPr>
        <w:t xml:space="preserve"> </w:t>
      </w:r>
      <w:r w:rsidR="00073F5E" w:rsidRPr="00882F11">
        <w:rPr>
          <w:rFonts w:cs="Guttman Drogolin" w:hint="cs"/>
          <w:rtl/>
          <w:lang w:bidi="he-IL"/>
        </w:rPr>
        <w:t>התנור</w:t>
      </w:r>
      <w:r w:rsidR="00073F5E" w:rsidRPr="00882F11">
        <w:rPr>
          <w:rFonts w:cs="Guttman Drogolin"/>
          <w:rtl/>
          <w:lang w:bidi="he-IL"/>
        </w:rPr>
        <w:t xml:space="preserve"> </w:t>
      </w:r>
      <w:r w:rsidR="00073F5E" w:rsidRPr="00882F11">
        <w:rPr>
          <w:rFonts w:cs="Guttman Drogolin" w:hint="cs"/>
          <w:rtl/>
          <w:lang w:bidi="he-IL"/>
        </w:rPr>
        <w:t>ולא</w:t>
      </w:r>
      <w:r w:rsidR="00073F5E" w:rsidRPr="00882F11">
        <w:rPr>
          <w:rFonts w:cs="Guttman Drogolin"/>
          <w:rtl/>
          <w:lang w:bidi="he-IL"/>
        </w:rPr>
        <w:t xml:space="preserve"> </w:t>
      </w:r>
      <w:r w:rsidR="00073F5E" w:rsidRPr="00882F11">
        <w:rPr>
          <w:rFonts w:cs="Guttman Drogolin" w:hint="cs"/>
          <w:rtl/>
          <w:lang w:bidi="he-IL"/>
        </w:rPr>
        <w:t>סגי</w:t>
      </w:r>
      <w:r w:rsidR="00073F5E" w:rsidRPr="00882F11">
        <w:rPr>
          <w:rFonts w:cs="Guttman Drogolin"/>
          <w:rtl/>
          <w:lang w:bidi="he-IL"/>
        </w:rPr>
        <w:t xml:space="preserve"> </w:t>
      </w:r>
      <w:r w:rsidR="00073F5E" w:rsidRPr="00882F11">
        <w:rPr>
          <w:rFonts w:cs="Guttman Drogolin" w:hint="cs"/>
          <w:rtl/>
          <w:lang w:bidi="he-IL"/>
        </w:rPr>
        <w:t>בקנוח</w:t>
      </w:r>
      <w:r w:rsidR="00073F5E" w:rsidRPr="00882F11">
        <w:rPr>
          <w:rFonts w:cs="Guttman Drogolin"/>
          <w:rtl/>
          <w:lang w:bidi="he-IL"/>
        </w:rPr>
        <w:t xml:space="preserve"> </w:t>
      </w:r>
      <w:r w:rsidR="00073F5E" w:rsidRPr="00882F11">
        <w:rPr>
          <w:rFonts w:cs="Guttman Drogolin" w:hint="cs"/>
          <w:rtl/>
          <w:lang w:bidi="he-IL"/>
        </w:rPr>
        <w:t>אין</w:t>
      </w:r>
      <w:r w:rsidR="00073F5E" w:rsidRPr="00882F11">
        <w:rPr>
          <w:rFonts w:cs="Guttman Drogolin"/>
          <w:rtl/>
          <w:lang w:bidi="he-IL"/>
        </w:rPr>
        <w:t xml:space="preserve"> </w:t>
      </w:r>
      <w:r w:rsidR="00073F5E" w:rsidRPr="00882F11">
        <w:rPr>
          <w:rFonts w:cs="Guttman Drogolin" w:hint="cs"/>
          <w:rtl/>
          <w:lang w:bidi="he-IL"/>
        </w:rPr>
        <w:t>ראיה</w:t>
      </w:r>
      <w:r w:rsidR="00073F5E" w:rsidRPr="00882F11">
        <w:rPr>
          <w:rFonts w:cs="Guttman Drogolin"/>
          <w:rtl/>
          <w:lang w:bidi="he-IL"/>
        </w:rPr>
        <w:t xml:space="preserve"> </w:t>
      </w:r>
      <w:r w:rsidR="00073F5E" w:rsidRPr="00882F11">
        <w:rPr>
          <w:rFonts w:cs="Guttman Drogolin" w:hint="cs"/>
          <w:rtl/>
          <w:lang w:bidi="he-IL"/>
        </w:rPr>
        <w:t>משם</w:t>
      </w:r>
      <w:r w:rsidR="00073F5E" w:rsidRPr="00882F11">
        <w:rPr>
          <w:rFonts w:cs="Guttman Drogolin"/>
          <w:rtl/>
          <w:lang w:bidi="he-IL"/>
        </w:rPr>
        <w:t xml:space="preserve"> </w:t>
      </w:r>
      <w:r w:rsidR="00073F5E" w:rsidRPr="00882F11">
        <w:rPr>
          <w:rFonts w:cs="Guttman Drogolin" w:hint="cs"/>
          <w:rtl/>
          <w:lang w:bidi="he-IL"/>
        </w:rPr>
        <w:t>דנתבשל</w:t>
      </w:r>
      <w:r w:rsidR="00073F5E" w:rsidRPr="00882F11">
        <w:rPr>
          <w:rFonts w:cs="Guttman Drogolin"/>
          <w:rtl/>
          <w:lang w:bidi="he-IL"/>
        </w:rPr>
        <w:t xml:space="preserve"> </w:t>
      </w:r>
      <w:r w:rsidR="00073F5E" w:rsidRPr="00882F11">
        <w:rPr>
          <w:rFonts w:cs="Guttman Drogolin" w:hint="cs"/>
          <w:rtl/>
          <w:lang w:bidi="he-IL"/>
        </w:rPr>
        <w:t>אסור</w:t>
      </w:r>
      <w:r w:rsidR="00073F5E" w:rsidRPr="00882F11">
        <w:rPr>
          <w:rFonts w:cs="Guttman Drogolin"/>
          <w:rtl/>
          <w:lang w:bidi="he-IL"/>
        </w:rPr>
        <w:t xml:space="preserve"> </w:t>
      </w:r>
      <w:r w:rsidR="00073F5E" w:rsidRPr="00882F11">
        <w:rPr>
          <w:rFonts w:cs="Guttman Drogolin" w:hint="cs"/>
          <w:rtl/>
          <w:lang w:bidi="he-IL"/>
        </w:rPr>
        <w:t xml:space="preserve">[פירוש </w:t>
      </w:r>
      <w:r w:rsidR="00073F5E" w:rsidRPr="00882F11">
        <w:rPr>
          <w:rFonts w:cs="Guttman Drogolin"/>
          <w:rtl/>
          <w:lang w:bidi="he-IL"/>
        </w:rPr>
        <w:t>–</w:t>
      </w:r>
      <w:r w:rsidR="00073F5E" w:rsidRPr="00882F11">
        <w:rPr>
          <w:rFonts w:cs="Guttman Drogolin" w:hint="cs"/>
          <w:rtl/>
          <w:lang w:bidi="he-IL"/>
        </w:rPr>
        <w:t xml:space="preserve"> שאין לנתבשלו מעלת נ"ט בר נ"ט] מדלא</w:t>
      </w:r>
      <w:r w:rsidR="00073F5E" w:rsidRPr="00882F11">
        <w:rPr>
          <w:rFonts w:cs="Guttman Drogolin"/>
          <w:rtl/>
          <w:lang w:bidi="he-IL"/>
        </w:rPr>
        <w:t xml:space="preserve"> </w:t>
      </w:r>
      <w:r w:rsidR="00073F5E" w:rsidRPr="00882F11">
        <w:rPr>
          <w:rFonts w:cs="Guttman Drogolin" w:hint="cs"/>
          <w:rtl/>
          <w:lang w:bidi="he-IL"/>
        </w:rPr>
        <w:t>חשיב</w:t>
      </w:r>
      <w:r w:rsidR="00073F5E" w:rsidRPr="00882F11">
        <w:rPr>
          <w:rFonts w:cs="Guttman Drogolin"/>
          <w:rtl/>
          <w:lang w:bidi="he-IL"/>
        </w:rPr>
        <w:t xml:space="preserve"> </w:t>
      </w:r>
      <w:r w:rsidR="00073F5E" w:rsidRPr="00882F11">
        <w:rPr>
          <w:rFonts w:cs="Guttman Drogolin" w:hint="cs"/>
          <w:rtl/>
          <w:lang w:bidi="he-IL"/>
        </w:rPr>
        <w:lastRenderedPageBreak/>
        <w:t>ליה</w:t>
      </w:r>
      <w:r w:rsidR="00073F5E" w:rsidRPr="00882F11">
        <w:rPr>
          <w:rFonts w:cs="Guttman Drogolin"/>
          <w:rtl/>
          <w:lang w:bidi="he-IL"/>
        </w:rPr>
        <w:t xml:space="preserve"> </w:t>
      </w:r>
      <w:r w:rsidR="00073F5E" w:rsidRPr="00882F11">
        <w:rPr>
          <w:rFonts w:cs="Guttman Drogolin" w:hint="cs"/>
          <w:rtl/>
          <w:lang w:bidi="he-IL"/>
        </w:rPr>
        <w:t>בקנוח</w:t>
      </w:r>
      <w:r w:rsidR="00073F5E" w:rsidRPr="00882F11">
        <w:rPr>
          <w:rFonts w:cs="Guttman Drogolin"/>
          <w:rtl/>
          <w:lang w:bidi="he-IL"/>
        </w:rPr>
        <w:t xml:space="preserve"> </w:t>
      </w:r>
      <w:r w:rsidR="00073F5E" w:rsidRPr="00882F11">
        <w:rPr>
          <w:rFonts w:cs="Guttman Drogolin" w:hint="cs"/>
          <w:rtl/>
          <w:lang w:bidi="he-IL"/>
        </w:rPr>
        <w:t>נותן</w:t>
      </w:r>
      <w:r w:rsidR="00073F5E" w:rsidRPr="00882F11">
        <w:rPr>
          <w:rFonts w:cs="Guttman Drogolin"/>
          <w:rtl/>
          <w:lang w:bidi="he-IL"/>
        </w:rPr>
        <w:t xml:space="preserve"> </w:t>
      </w:r>
      <w:r w:rsidR="00073F5E" w:rsidRPr="00882F11">
        <w:rPr>
          <w:rFonts w:cs="Guttman Drogolin" w:hint="cs"/>
          <w:rtl/>
          <w:lang w:bidi="he-IL"/>
        </w:rPr>
        <w:t>טעם</w:t>
      </w:r>
      <w:r w:rsidR="00073F5E" w:rsidRPr="00882F11">
        <w:rPr>
          <w:rFonts w:cs="Guttman Drogolin"/>
          <w:rtl/>
          <w:lang w:bidi="he-IL"/>
        </w:rPr>
        <w:t xml:space="preserve"> </w:t>
      </w:r>
      <w:r w:rsidR="00073F5E" w:rsidRPr="00882F11">
        <w:rPr>
          <w:rFonts w:cs="Guttman Drogolin" w:hint="cs"/>
          <w:rtl/>
          <w:lang w:bidi="he-IL"/>
        </w:rPr>
        <w:t>בר</w:t>
      </w:r>
      <w:r w:rsidR="00073F5E" w:rsidRPr="00882F11">
        <w:rPr>
          <w:rFonts w:cs="Guttman Drogolin"/>
          <w:rtl/>
          <w:lang w:bidi="he-IL"/>
        </w:rPr>
        <w:t xml:space="preserve"> </w:t>
      </w:r>
      <w:r w:rsidR="00073F5E" w:rsidRPr="00882F11">
        <w:rPr>
          <w:rFonts w:cs="Guttman Drogolin" w:hint="cs"/>
          <w:rtl/>
          <w:lang w:bidi="he-IL"/>
        </w:rPr>
        <w:t>נותן</w:t>
      </w:r>
      <w:r w:rsidR="00073F5E" w:rsidRPr="00882F11">
        <w:rPr>
          <w:rFonts w:cs="Guttman Drogolin"/>
          <w:rtl/>
          <w:lang w:bidi="he-IL"/>
        </w:rPr>
        <w:t xml:space="preserve"> </w:t>
      </w:r>
      <w:r w:rsidR="00073F5E" w:rsidRPr="00882F11">
        <w:rPr>
          <w:rFonts w:cs="Guttman Drogolin" w:hint="cs"/>
          <w:rtl/>
          <w:lang w:bidi="he-IL"/>
        </w:rPr>
        <w:t>טעם</w:t>
      </w:r>
      <w:r w:rsidR="00073F5E" w:rsidRPr="00882F11">
        <w:rPr>
          <w:rFonts w:cs="Guttman Drogolin"/>
          <w:rtl/>
          <w:lang w:bidi="he-IL"/>
        </w:rPr>
        <w:t xml:space="preserve"> </w:t>
      </w:r>
      <w:r w:rsidR="00073F5E" w:rsidRPr="00882F11">
        <w:rPr>
          <w:rFonts w:cs="Guttman Drogolin" w:hint="cs"/>
          <w:rtl/>
          <w:lang w:bidi="he-IL"/>
        </w:rPr>
        <w:t>דאומר</w:t>
      </w:r>
      <w:r w:rsidR="00073F5E" w:rsidRPr="00882F11">
        <w:rPr>
          <w:rFonts w:cs="Guttman Drogolin"/>
          <w:rtl/>
          <w:lang w:bidi="he-IL"/>
        </w:rPr>
        <w:t xml:space="preserve"> </w:t>
      </w:r>
      <w:r w:rsidR="00073F5E" w:rsidRPr="00882F11">
        <w:rPr>
          <w:rFonts w:cs="Guttman Drogolin" w:hint="cs"/>
          <w:rtl/>
          <w:lang w:bidi="he-IL"/>
        </w:rPr>
        <w:t>ר</w:t>
      </w:r>
      <w:r w:rsidR="00073F5E" w:rsidRPr="00882F11">
        <w:rPr>
          <w:rFonts w:cs="Guttman Drogolin"/>
          <w:rtl/>
          <w:lang w:bidi="he-IL"/>
        </w:rPr>
        <w:t>"</w:t>
      </w:r>
      <w:r w:rsidR="00073F5E" w:rsidRPr="00882F11">
        <w:rPr>
          <w:rFonts w:cs="Guttman Drogolin" w:hint="cs"/>
          <w:rtl/>
          <w:lang w:bidi="he-IL"/>
        </w:rPr>
        <w:t>ת</w:t>
      </w:r>
      <w:r w:rsidR="00073F5E" w:rsidRPr="00882F11">
        <w:rPr>
          <w:rFonts w:cs="Guttman Drogolin"/>
          <w:rtl/>
          <w:lang w:bidi="he-IL"/>
        </w:rPr>
        <w:t xml:space="preserve"> </w:t>
      </w:r>
      <w:r w:rsidR="00073F5E" w:rsidRPr="00882F11">
        <w:rPr>
          <w:rFonts w:cs="Guttman Drogolin" w:hint="cs"/>
          <w:rtl/>
          <w:lang w:bidi="he-IL"/>
        </w:rPr>
        <w:t>דאי</w:t>
      </w:r>
      <w:r w:rsidR="00073F5E" w:rsidRPr="00882F11">
        <w:rPr>
          <w:rFonts w:cs="Guttman Drogolin"/>
          <w:rtl/>
          <w:lang w:bidi="he-IL"/>
        </w:rPr>
        <w:t xml:space="preserve"> </w:t>
      </w:r>
      <w:r w:rsidR="00073F5E" w:rsidRPr="00882F11">
        <w:rPr>
          <w:rFonts w:cs="Guttman Drogolin" w:hint="cs"/>
          <w:rtl/>
          <w:lang w:bidi="he-IL"/>
        </w:rPr>
        <w:t>אפשר</w:t>
      </w:r>
      <w:r w:rsidR="00073F5E" w:rsidRPr="00882F11">
        <w:rPr>
          <w:rFonts w:cs="Guttman Drogolin"/>
          <w:rtl/>
          <w:lang w:bidi="he-IL"/>
        </w:rPr>
        <w:t xml:space="preserve"> </w:t>
      </w:r>
      <w:r w:rsidR="00073F5E" w:rsidRPr="00882F11">
        <w:rPr>
          <w:rFonts w:cs="Guttman Drogolin" w:hint="cs"/>
          <w:rtl/>
          <w:lang w:bidi="he-IL"/>
        </w:rPr>
        <w:t>לתנור</w:t>
      </w:r>
      <w:r w:rsidR="00073F5E" w:rsidRPr="00882F11">
        <w:rPr>
          <w:rFonts w:cs="Guttman Drogolin"/>
          <w:rtl/>
          <w:lang w:bidi="he-IL"/>
        </w:rPr>
        <w:t xml:space="preserve"> </w:t>
      </w:r>
      <w:r w:rsidR="00073F5E" w:rsidRPr="00882F11">
        <w:rPr>
          <w:rFonts w:cs="Guttman Drogolin" w:hint="cs"/>
          <w:rtl/>
          <w:lang w:bidi="he-IL"/>
        </w:rPr>
        <w:t>להתקנח</w:t>
      </w:r>
      <w:r w:rsidR="00073F5E" w:rsidRPr="00882F11">
        <w:rPr>
          <w:rFonts w:cs="Guttman Drogolin"/>
          <w:rtl/>
          <w:lang w:bidi="he-IL"/>
        </w:rPr>
        <w:t xml:space="preserve"> </w:t>
      </w:r>
      <w:r w:rsidR="00073F5E" w:rsidRPr="00882F11">
        <w:rPr>
          <w:rFonts w:cs="Guttman Drogolin" w:hint="cs"/>
          <w:rtl/>
          <w:lang w:bidi="he-IL"/>
        </w:rPr>
        <w:t>יפה</w:t>
      </w:r>
      <w:r w:rsidR="00073F5E" w:rsidRPr="00882F11">
        <w:rPr>
          <w:rFonts w:cs="Guttman Drogolin"/>
          <w:rtl/>
          <w:lang w:bidi="he-IL"/>
        </w:rPr>
        <w:t xml:space="preserve"> </w:t>
      </w:r>
      <w:r w:rsidR="00073F5E" w:rsidRPr="00882F11">
        <w:rPr>
          <w:rFonts w:cs="Guttman Drogolin" w:hint="cs"/>
          <w:rtl/>
          <w:lang w:bidi="he-IL"/>
        </w:rPr>
        <w:t>כשנדבק</w:t>
      </w:r>
      <w:r w:rsidR="00073F5E" w:rsidRPr="00882F11">
        <w:rPr>
          <w:rFonts w:cs="Guttman Drogolin"/>
          <w:rtl/>
          <w:lang w:bidi="he-IL"/>
        </w:rPr>
        <w:t xml:space="preserve"> </w:t>
      </w:r>
      <w:r w:rsidR="00073F5E" w:rsidRPr="00882F11">
        <w:rPr>
          <w:rFonts w:cs="Guttman Drogolin" w:hint="cs"/>
          <w:rtl/>
          <w:lang w:bidi="he-IL"/>
        </w:rPr>
        <w:t>בו</w:t>
      </w:r>
      <w:r w:rsidR="00073F5E" w:rsidRPr="00882F11">
        <w:rPr>
          <w:rFonts w:cs="Guttman Drogolin"/>
          <w:rtl/>
          <w:lang w:bidi="he-IL"/>
        </w:rPr>
        <w:t xml:space="preserve"> </w:t>
      </w:r>
      <w:r w:rsidR="00073F5E" w:rsidRPr="00882F11">
        <w:rPr>
          <w:rFonts w:cs="Guttman Drogolin" w:hint="cs"/>
          <w:rtl/>
          <w:lang w:bidi="he-IL"/>
        </w:rPr>
        <w:t>השמנונית</w:t>
      </w:r>
      <w:r w:rsidR="00073F5E" w:rsidRPr="00882F11">
        <w:rPr>
          <w:rFonts w:cs="Guttman Drogolin"/>
          <w:rtl/>
          <w:lang w:bidi="he-IL"/>
        </w:rPr>
        <w:t xml:space="preserve"> </w:t>
      </w:r>
      <w:r w:rsidR="00073F5E" w:rsidRPr="00882F11">
        <w:rPr>
          <w:rFonts w:cs="Guttman Drogolin" w:hint="cs"/>
          <w:rtl/>
          <w:lang w:bidi="he-IL"/>
        </w:rPr>
        <w:t>והוי</w:t>
      </w:r>
      <w:r w:rsidR="00073F5E" w:rsidRPr="00882F11">
        <w:rPr>
          <w:rFonts w:cs="Guttman Drogolin"/>
          <w:rtl/>
          <w:lang w:bidi="he-IL"/>
        </w:rPr>
        <w:t xml:space="preserve"> </w:t>
      </w:r>
      <w:r w:rsidR="00073F5E" w:rsidRPr="00882F11">
        <w:rPr>
          <w:rFonts w:cs="Guttman Drogolin" w:hint="cs"/>
          <w:rtl/>
          <w:lang w:bidi="he-IL"/>
        </w:rPr>
        <w:t>בעין</w:t>
      </w:r>
      <w:r w:rsidR="00073F5E" w:rsidRPr="00882F11">
        <w:rPr>
          <w:rFonts w:cs="Guttman Drogolin"/>
          <w:rtl/>
          <w:lang w:bidi="he-IL"/>
        </w:rPr>
        <w:t xml:space="preserve"> </w:t>
      </w:r>
      <w:r w:rsidR="00073F5E" w:rsidRPr="00882F11">
        <w:rPr>
          <w:rFonts w:cs="Guttman Drogolin" w:hint="cs"/>
          <w:rtl/>
          <w:lang w:bidi="he-IL"/>
        </w:rPr>
        <w:t>עד</w:t>
      </w:r>
      <w:r w:rsidR="00073F5E" w:rsidRPr="00882F11">
        <w:rPr>
          <w:rFonts w:cs="Guttman Drogolin"/>
          <w:rtl/>
          <w:lang w:bidi="he-IL"/>
        </w:rPr>
        <w:t xml:space="preserve"> </w:t>
      </w:r>
      <w:r w:rsidR="00073F5E" w:rsidRPr="00882F11">
        <w:rPr>
          <w:rFonts w:cs="Guttman Drogolin" w:hint="cs"/>
          <w:rtl/>
          <w:lang w:bidi="he-IL"/>
        </w:rPr>
        <w:t>שיוסק". ולכאורה צ"ע, דנהי נמי דנתבשלו חשוב נ"ט בר נ"ט, הא מ"מ אין עושים נ"ט בר נ"ט לכתחילה, וא"כ ודאי צריך להסיק התנור לכתחילה. ולכאורה חזינן מדבריהם דאע"ג שאין עושים נ"ט בר נ"ט לכתחילה, הנ"מ כשדעתו לעשות כן כדי לערבו עם המין השני</w:t>
      </w:r>
      <w:r w:rsidR="00111CB2" w:rsidRPr="00882F11">
        <w:rPr>
          <w:rFonts w:cs="Guttman Drogolin" w:hint="cs"/>
          <w:rtl/>
          <w:lang w:bidi="he-IL"/>
        </w:rPr>
        <w:t>, אבל אם אין דעתו אלא לאכלו במלח, אין לחוש. והטעם בזה פשוט, דהא אין זה לכתחילה כיון שאין דעתו לאכלו עם המין השני, וכן אין לחשוש אולי יערב עם המין השני כיון שבדיעבד אינו אוסר כיון דהוי נ"ט בר נ"ט. אמנם למעשה אין להקל בזה אלא ב'עלו', אבל בנצלו או נתבשלו, כיון שהרמ"א מחמיר לכתחילה שאין בהם היתר של נ"ט בר נ"ט, אין להקל לכתחילה לבשל או לאפות בכלי בן יומו שהוא בשרי או חלבי אפילו לאכלו במלח. אמנם אם עשה כן, כיון שבדיעבד יש לו דין נ"ט בר נ"ט, מותר לאכול פת זה במלח מיהת כיון שלענין זה הוי כדיעבד</w:t>
      </w:r>
      <w:r w:rsidR="00B9128E" w:rsidRPr="00882F11">
        <w:rPr>
          <w:rFonts w:cs="Guttman Drogolin" w:hint="cs"/>
          <w:rtl/>
          <w:lang w:bidi="he-IL"/>
        </w:rPr>
        <w:t xml:space="preserve"> (ע' מזה בדר"ת ס"ק ד')</w:t>
      </w:r>
      <w:r w:rsidR="00111CB2" w:rsidRPr="00882F11">
        <w:rPr>
          <w:rFonts w:cs="Guttman Drogolin" w:hint="cs"/>
          <w:rtl/>
          <w:lang w:bidi="he-IL"/>
        </w:rPr>
        <w:t>.</w:t>
      </w:r>
    </w:p>
    <w:p w:rsidR="00B9128E" w:rsidRPr="00882F11" w:rsidRDefault="00B9128E" w:rsidP="00B9128E">
      <w:pPr>
        <w:pStyle w:val="Heading1"/>
        <w:bidi/>
        <w:spacing w:before="0" w:line="360" w:lineRule="auto"/>
        <w:jc w:val="center"/>
        <w:rPr>
          <w:rFonts w:cs="Guttman Drogolin"/>
          <w:color w:val="auto"/>
          <w:sz w:val="24"/>
          <w:szCs w:val="24"/>
          <w:u w:val="single"/>
          <w:rtl/>
          <w:lang w:bidi="he-IL"/>
        </w:rPr>
      </w:pPr>
      <w:bookmarkStart w:id="297" w:name="_Toc496175548"/>
      <w:r w:rsidRPr="00882F11">
        <w:rPr>
          <w:rFonts w:cs="Guttman Drogolin" w:hint="cs"/>
          <w:color w:val="auto"/>
          <w:sz w:val="24"/>
          <w:szCs w:val="24"/>
          <w:u w:val="single"/>
          <w:rtl/>
          <w:lang w:bidi="he-IL"/>
        </w:rPr>
        <w:t>עוד בדין שינוי צורת פת</w:t>
      </w:r>
      <w:bookmarkEnd w:id="297"/>
    </w:p>
    <w:p w:rsidR="00B9128E" w:rsidRPr="00882F11" w:rsidRDefault="0064044C" w:rsidP="00EB434F">
      <w:pPr>
        <w:tabs>
          <w:tab w:val="right" w:pos="7497"/>
        </w:tabs>
        <w:bidi/>
        <w:jc w:val="both"/>
        <w:rPr>
          <w:rFonts w:cs="Guttman Drogolin"/>
          <w:rtl/>
          <w:lang w:bidi="he-IL"/>
        </w:rPr>
      </w:pPr>
      <w:r>
        <w:rPr>
          <w:rFonts w:cs="Guttman Drogolin"/>
          <w:rtl/>
          <w:lang w:bidi="he-IL"/>
        </w:rPr>
        <w:fldChar w:fldCharType="begin"/>
      </w:r>
      <w:r>
        <w:instrText xml:space="preserve"> XE "</w:instrText>
      </w:r>
      <w:r w:rsidRPr="004911B1">
        <w:rPr>
          <w:rFonts w:hint="cs"/>
          <w:rtl/>
          <w:lang w:bidi="he-IL"/>
        </w:rPr>
        <w:instrText>לחם חלבי או בשרי</w:instrText>
      </w:r>
      <w:r w:rsidRPr="004911B1">
        <w:rPr>
          <w:rtl/>
        </w:rPr>
        <w:instrText>:</w:instrText>
      </w:r>
      <w:r w:rsidRPr="004911B1">
        <w:rPr>
          <w:rFonts w:hint="cs"/>
          <w:rtl/>
          <w:lang w:bidi="he-IL"/>
        </w:rPr>
        <w:instrText>דברים המתירים - כעין תורא</w:instrText>
      </w:r>
      <w:r>
        <w:instrText xml:space="preserve">" </w:instrText>
      </w:r>
      <w:r>
        <w:rPr>
          <w:rFonts w:cs="Guttman Drogolin"/>
          <w:rtl/>
          <w:lang w:bidi="he-IL"/>
        </w:rPr>
        <w:fldChar w:fldCharType="end"/>
      </w:r>
      <w:r w:rsidR="00EF2C5D" w:rsidRPr="00882F11">
        <w:rPr>
          <w:rFonts w:cs="Guttman Drogolin" w:hint="cs"/>
          <w:rtl/>
          <w:lang w:bidi="he-IL"/>
        </w:rPr>
        <w:t>כמו שביארנו מהני שינוי צורה בשעת אפיי' להתיר הלחם. ודבר זה מהני בביתו שמוכר לו השינוי וכן ליכא למיחש שיתננו לאנשים אחרים מבלי להודי</w:t>
      </w:r>
      <w:r w:rsidR="00BC4D61" w:rsidRPr="00882F11">
        <w:rPr>
          <w:rFonts w:cs="Guttman Drogolin" w:hint="cs"/>
          <w:rtl/>
          <w:lang w:bidi="he-IL"/>
        </w:rPr>
        <w:t>ע להם (ע' מ</w:t>
      </w:r>
      <w:r w:rsidR="00EF2C5D" w:rsidRPr="00882F11">
        <w:rPr>
          <w:rFonts w:cs="Guttman Drogolin" w:hint="cs"/>
          <w:rtl/>
          <w:lang w:bidi="he-IL"/>
        </w:rPr>
        <w:t xml:space="preserve">זה בשו"ת מהרי"ט הנ"ל). ולכאורה לא צריכים שינוי דוקא בצורת הפת, ויכול גם לאפותו עם מדבקה שכתוב עליו חלבי וכדומה. ואע"ג שאחרי שאוכל החלק שעליו המדבקה שוב ליכא היכר, מ"מ אחרי זה כבר הוי כמות קטנה ומותר. ומה שיש להתספק בזה הוא במאפיי' שאופה ע"מ להדביק עליו מדבקה אחר אפיי' אבל קודם מכירה אם מהני. שלכאורה יש לאסור כיון שהי' אפוי באופן שיש חשש אפילו דקה אחת, ושוב לא מהני שינוי וכנ"ל מן החוו"ד. </w:t>
      </w:r>
      <w:r w:rsidR="00EB434F" w:rsidRPr="00882F11">
        <w:rPr>
          <w:rFonts w:cs="Guttman Drogolin" w:hint="cs"/>
          <w:rtl/>
          <w:lang w:bidi="he-IL"/>
        </w:rPr>
        <w:t xml:space="preserve">אמנם נראה דעת הגרי"י פישר להקל בזה (ע' </w:t>
      </w:r>
      <w:r w:rsidR="00EB434F" w:rsidRPr="00882F11">
        <w:rPr>
          <w:rFonts w:cs="Guttman Drogolin"/>
          <w:rtl/>
          <w:lang w:bidi="he-IL"/>
        </w:rPr>
        <w:tab/>
      </w:r>
      <w:r w:rsidR="00EB434F" w:rsidRPr="00882F11">
        <w:rPr>
          <w:rFonts w:cs="Guttman Drogolin" w:hint="cs"/>
          <w:rtl/>
          <w:lang w:bidi="he-IL"/>
        </w:rPr>
        <w:t>אבן</w:t>
      </w:r>
      <w:r w:rsidR="00EB434F" w:rsidRPr="00882F11">
        <w:rPr>
          <w:rFonts w:cs="Guttman Drogolin"/>
          <w:rtl/>
          <w:lang w:bidi="he-IL"/>
        </w:rPr>
        <w:t xml:space="preserve"> </w:t>
      </w:r>
      <w:r w:rsidR="00EB434F" w:rsidRPr="00882F11">
        <w:rPr>
          <w:rFonts w:cs="Guttman Drogolin" w:hint="cs"/>
          <w:rtl/>
          <w:lang w:bidi="he-IL"/>
        </w:rPr>
        <w:t>ישראל</w:t>
      </w:r>
      <w:r w:rsidR="00EB434F" w:rsidRPr="00882F11">
        <w:rPr>
          <w:rFonts w:cs="Guttman Drogolin"/>
          <w:rtl/>
          <w:lang w:bidi="he-IL"/>
        </w:rPr>
        <w:t xml:space="preserve"> </w:t>
      </w:r>
      <w:r w:rsidR="00EB434F" w:rsidRPr="00882F11">
        <w:rPr>
          <w:rFonts w:cs="Guttman Drogolin" w:hint="cs"/>
          <w:rtl/>
          <w:lang w:bidi="he-IL"/>
        </w:rPr>
        <w:t>ח</w:t>
      </w:r>
      <w:r w:rsidR="00EB434F" w:rsidRPr="00882F11">
        <w:rPr>
          <w:rFonts w:cs="Guttman Drogolin"/>
          <w:rtl/>
          <w:lang w:bidi="he-IL"/>
        </w:rPr>
        <w:t>"</w:t>
      </w:r>
      <w:r w:rsidR="00EB434F" w:rsidRPr="00882F11">
        <w:rPr>
          <w:rFonts w:cs="Guttman Drogolin" w:hint="cs"/>
          <w:rtl/>
          <w:lang w:bidi="he-IL"/>
        </w:rPr>
        <w:t>ט</w:t>
      </w:r>
      <w:r w:rsidR="00EB434F" w:rsidRPr="00882F11">
        <w:rPr>
          <w:rFonts w:cs="Guttman Drogolin"/>
          <w:rtl/>
          <w:lang w:bidi="he-IL"/>
        </w:rPr>
        <w:t xml:space="preserve"> </w:t>
      </w:r>
      <w:r w:rsidR="00EB434F" w:rsidRPr="00882F11">
        <w:rPr>
          <w:rFonts w:cs="Guttman Drogolin" w:hint="cs"/>
          <w:rtl/>
          <w:lang w:bidi="he-IL"/>
        </w:rPr>
        <w:t>סי</w:t>
      </w:r>
      <w:r w:rsidR="00EB434F" w:rsidRPr="00882F11">
        <w:rPr>
          <w:rFonts w:cs="Guttman Drogolin"/>
          <w:rtl/>
          <w:lang w:bidi="he-IL"/>
        </w:rPr>
        <w:t xml:space="preserve">' </w:t>
      </w:r>
      <w:r w:rsidR="00EB434F" w:rsidRPr="00882F11">
        <w:rPr>
          <w:rFonts w:cs="Guttman Drogolin" w:hint="cs"/>
          <w:rtl/>
          <w:lang w:bidi="he-IL"/>
        </w:rPr>
        <w:t>ס</w:t>
      </w:r>
      <w:r w:rsidR="00EB434F" w:rsidRPr="00882F11">
        <w:rPr>
          <w:rFonts w:cs="Guttman Drogolin"/>
          <w:rtl/>
          <w:lang w:bidi="he-IL"/>
        </w:rPr>
        <w:t>"</w:t>
      </w:r>
      <w:r w:rsidR="00EB434F" w:rsidRPr="00882F11">
        <w:rPr>
          <w:rFonts w:cs="Guttman Drogolin" w:hint="cs"/>
          <w:rtl/>
          <w:lang w:bidi="he-IL"/>
        </w:rPr>
        <w:t>ז</w:t>
      </w:r>
      <w:r w:rsidR="00EB434F" w:rsidRPr="00882F11">
        <w:rPr>
          <w:rFonts w:cs="Guttman Drogolin"/>
          <w:rtl/>
          <w:lang w:bidi="he-IL"/>
        </w:rPr>
        <w:t>)</w:t>
      </w:r>
      <w:r w:rsidR="00EB434F" w:rsidRPr="00882F11">
        <w:rPr>
          <w:rFonts w:cs="Guttman Drogolin" w:hint="cs"/>
          <w:rtl/>
          <w:lang w:bidi="he-IL"/>
        </w:rPr>
        <w:t xml:space="preserve">, ונראה הביאור בדעתו דכיון שקיימים למכירה ולא לאכילה, כל זמן </w:t>
      </w:r>
      <w:r w:rsidR="00EB434F" w:rsidRPr="00882F11">
        <w:rPr>
          <w:rFonts w:cs="Guttman Drogolin" w:hint="cs"/>
          <w:rtl/>
          <w:lang w:bidi="he-IL"/>
        </w:rPr>
        <w:lastRenderedPageBreak/>
        <w:t>שעושה כן קודם שמונחים למכירה לל"ב</w:t>
      </w:r>
      <w:r w:rsidR="00EB434F" w:rsidRPr="00882F11">
        <w:rPr>
          <w:rStyle w:val="FootnoteReference"/>
          <w:rFonts w:cs="Guttman Drogolin"/>
          <w:rtl/>
          <w:lang w:bidi="he-IL"/>
        </w:rPr>
        <w:footnoteReference w:id="324"/>
      </w:r>
      <w:r w:rsidR="00EB434F" w:rsidRPr="00882F11">
        <w:rPr>
          <w:rFonts w:cs="Guttman Drogolin" w:hint="cs"/>
          <w:rtl/>
          <w:lang w:bidi="he-IL"/>
        </w:rPr>
        <w:t xml:space="preserve"> (וגם איהו לא סמך על זה לבד </w:t>
      </w:r>
      <w:r w:rsidR="00EB434F" w:rsidRPr="00882F11">
        <w:rPr>
          <w:rFonts w:cs="Guttman Drogolin"/>
          <w:rtl/>
          <w:lang w:bidi="he-IL"/>
        </w:rPr>
        <w:t>–</w:t>
      </w:r>
      <w:r w:rsidR="00EB434F" w:rsidRPr="00882F11">
        <w:rPr>
          <w:rFonts w:cs="Guttman Drogolin" w:hint="cs"/>
          <w:rtl/>
          <w:lang w:bidi="he-IL"/>
        </w:rPr>
        <w:t xml:space="preserve"> ואולי אין כוונתו שם אלא להתיר כשיש עליו מדבקה בשעת אפיי').  </w:t>
      </w:r>
      <w:r w:rsidR="00EB434F" w:rsidRPr="00882F11">
        <w:rPr>
          <w:rFonts w:cs="Guttman Drogolin"/>
          <w:rtl/>
          <w:lang w:bidi="he-IL"/>
        </w:rPr>
        <w:t xml:space="preserve"> </w:t>
      </w:r>
      <w:r w:rsidR="00EF2C5D" w:rsidRPr="00882F11">
        <w:rPr>
          <w:rFonts w:cs="Guttman Drogolin" w:hint="cs"/>
          <w:rtl/>
          <w:lang w:bidi="he-IL"/>
        </w:rPr>
        <w:t xml:space="preserve"> </w:t>
      </w:r>
    </w:p>
    <w:p w:rsidR="00B9128E" w:rsidRPr="00882F11" w:rsidRDefault="00B9128E" w:rsidP="00B9128E">
      <w:pPr>
        <w:pStyle w:val="Heading1"/>
        <w:bidi/>
        <w:spacing w:before="0" w:line="360" w:lineRule="auto"/>
        <w:jc w:val="center"/>
        <w:rPr>
          <w:rFonts w:cs="Guttman Drogolin"/>
          <w:color w:val="auto"/>
          <w:sz w:val="24"/>
          <w:szCs w:val="24"/>
          <w:u w:val="single"/>
          <w:rtl/>
          <w:lang w:bidi="he-IL"/>
        </w:rPr>
      </w:pPr>
      <w:bookmarkStart w:id="298" w:name="_Toc496175549"/>
      <w:r w:rsidRPr="00882F11">
        <w:rPr>
          <w:rFonts w:cs="Guttman Drogolin" w:hint="cs"/>
          <w:color w:val="auto"/>
          <w:sz w:val="24"/>
          <w:szCs w:val="24"/>
          <w:u w:val="single"/>
          <w:rtl/>
          <w:lang w:bidi="he-IL"/>
        </w:rPr>
        <w:t>כמה דוגמות מעשיות</w:t>
      </w:r>
      <w:bookmarkEnd w:id="298"/>
    </w:p>
    <w:p w:rsidR="007F03A8" w:rsidRPr="00882F11" w:rsidRDefault="00B9128E" w:rsidP="00B9128E">
      <w:pPr>
        <w:tabs>
          <w:tab w:val="right" w:pos="7497"/>
        </w:tabs>
        <w:bidi/>
        <w:jc w:val="both"/>
        <w:rPr>
          <w:rFonts w:cs="Guttman Drogolin"/>
          <w:sz w:val="24"/>
          <w:szCs w:val="24"/>
          <w:rtl/>
          <w:lang w:bidi="he-IL"/>
        </w:rPr>
      </w:pPr>
      <w:r w:rsidRPr="00882F11">
        <w:rPr>
          <w:rFonts w:cs="Guttman Drogolin" w:hint="cs"/>
          <w:b/>
          <w:bCs/>
          <w:sz w:val="24"/>
          <w:szCs w:val="24"/>
          <w:rtl/>
          <w:lang w:bidi="he-IL"/>
        </w:rPr>
        <w:t>עוגה שנעשה בשרי</w:t>
      </w:r>
      <w:r w:rsidR="00485B6C" w:rsidRPr="00882F11">
        <w:rPr>
          <w:rFonts w:cs="Guttman Drogolin" w:hint="cs"/>
          <w:b/>
          <w:bCs/>
          <w:sz w:val="24"/>
          <w:szCs w:val="24"/>
          <w:rtl/>
          <w:lang w:bidi="he-IL"/>
        </w:rPr>
        <w:t xml:space="preserve">  </w:t>
      </w:r>
      <w:r w:rsidR="00485B6C" w:rsidRPr="00882F11">
        <w:rPr>
          <w:rFonts w:cs="Guttman Drogolin" w:hint="cs"/>
          <w:sz w:val="24"/>
          <w:szCs w:val="24"/>
          <w:rtl/>
          <w:lang w:bidi="he-IL"/>
        </w:rPr>
        <w:t xml:space="preserve">  </w:t>
      </w:r>
    </w:p>
    <w:p w:rsidR="007F03A8" w:rsidRPr="00882F11" w:rsidRDefault="0064044C" w:rsidP="007F03A8">
      <w:pPr>
        <w:tabs>
          <w:tab w:val="right" w:pos="7497"/>
        </w:tabs>
        <w:bidi/>
        <w:jc w:val="both"/>
        <w:rPr>
          <w:rFonts w:cs="Guttman Drogolin"/>
          <w:rtl/>
          <w:lang w:bidi="he-IL"/>
        </w:rPr>
      </w:pPr>
      <w:r>
        <w:rPr>
          <w:rFonts w:cs="Guttman Drogolin"/>
          <w:rtl/>
          <w:lang w:bidi="he-IL"/>
        </w:rPr>
        <w:fldChar w:fldCharType="begin"/>
      </w:r>
      <w:r>
        <w:instrText xml:space="preserve"> XE "</w:instrText>
      </w:r>
      <w:r w:rsidRPr="00891A38">
        <w:rPr>
          <w:rFonts w:hint="cs"/>
          <w:rtl/>
          <w:lang w:bidi="he-IL"/>
        </w:rPr>
        <w:instrText>לחם חלבי או בשרי</w:instrText>
      </w:r>
      <w:r w:rsidRPr="00891A38">
        <w:rPr>
          <w:rtl/>
        </w:rPr>
        <w:instrText>:</w:instrText>
      </w:r>
      <w:r w:rsidRPr="00891A38">
        <w:rPr>
          <w:rFonts w:hint="cs"/>
          <w:rtl/>
          <w:lang w:bidi="he-IL"/>
        </w:rPr>
        <w:instrText>עוגה שנעשה בשרי</w:instrText>
      </w:r>
      <w:r>
        <w:instrText xml:space="preserve">" </w:instrText>
      </w:r>
      <w:r>
        <w:rPr>
          <w:rFonts w:cs="Guttman Drogolin"/>
          <w:rtl/>
          <w:lang w:bidi="he-IL"/>
        </w:rPr>
        <w:fldChar w:fldCharType="end"/>
      </w:r>
      <w:r w:rsidR="00B9128E" w:rsidRPr="00882F11">
        <w:rPr>
          <w:rFonts w:cs="Guttman Drogolin" w:hint="cs"/>
          <w:rtl/>
          <w:lang w:bidi="he-IL"/>
        </w:rPr>
        <w:t>כיון שהדרך לאכלו עם חלב (כגון בקפה שיש בה חלב) יש לאסור לאכלו אפילו פרווה. ולכן אפילו בכלי בשרי יש לאסור לכתחילה. אבל אם כבר אפאו יש להקל שיוכל לאכלו פרווה אבל לא עם חלב. ואם נאפה בתנור בשרי יש להקל יותר אם הוא נקי.</w:t>
      </w:r>
    </w:p>
    <w:p w:rsidR="00B9128E" w:rsidRPr="00882F11" w:rsidRDefault="00B9128E" w:rsidP="00B9128E">
      <w:pPr>
        <w:tabs>
          <w:tab w:val="right" w:pos="7497"/>
        </w:tabs>
        <w:bidi/>
        <w:jc w:val="both"/>
        <w:rPr>
          <w:rFonts w:cs="Guttman Drogolin"/>
          <w:sz w:val="24"/>
          <w:szCs w:val="24"/>
          <w:rtl/>
          <w:lang w:bidi="he-IL"/>
        </w:rPr>
      </w:pPr>
      <w:r w:rsidRPr="00882F11">
        <w:rPr>
          <w:rFonts w:cs="Guttman Drogolin" w:hint="cs"/>
          <w:b/>
          <w:bCs/>
          <w:sz w:val="24"/>
          <w:szCs w:val="24"/>
          <w:rtl/>
          <w:lang w:bidi="he-IL"/>
        </w:rPr>
        <w:t xml:space="preserve">חלות לשבת  </w:t>
      </w:r>
      <w:r w:rsidRPr="00882F11">
        <w:rPr>
          <w:rFonts w:cs="Guttman Drogolin" w:hint="cs"/>
          <w:sz w:val="24"/>
          <w:szCs w:val="24"/>
          <w:rtl/>
          <w:lang w:bidi="he-IL"/>
        </w:rPr>
        <w:t xml:space="preserve">  </w:t>
      </w:r>
    </w:p>
    <w:p w:rsidR="00B9128E" w:rsidRPr="00882F11" w:rsidRDefault="0064044C" w:rsidP="0064044C">
      <w:pPr>
        <w:tabs>
          <w:tab w:val="right" w:pos="7497"/>
        </w:tabs>
        <w:bidi/>
        <w:jc w:val="both"/>
        <w:rPr>
          <w:rFonts w:cs="Guttman Drogolin"/>
          <w:rtl/>
          <w:lang w:bidi="he-IL"/>
        </w:rPr>
      </w:pPr>
      <w:r>
        <w:rPr>
          <w:rFonts w:cs="Guttman Drogolin"/>
          <w:rtl/>
          <w:lang w:bidi="he-IL"/>
        </w:rPr>
        <w:fldChar w:fldCharType="begin"/>
      </w:r>
      <w:r>
        <w:instrText xml:space="preserve"> XE "</w:instrText>
      </w:r>
      <w:r w:rsidRPr="00891A38">
        <w:rPr>
          <w:rFonts w:hint="cs"/>
          <w:rtl/>
          <w:lang w:bidi="he-IL"/>
        </w:rPr>
        <w:instrText>לחם חלבי או בשרי</w:instrText>
      </w:r>
      <w:r w:rsidRPr="00891A38">
        <w:rPr>
          <w:rtl/>
        </w:rPr>
        <w:instrText>:</w:instrText>
      </w:r>
      <w:r>
        <w:rPr>
          <w:rFonts w:hint="cs"/>
          <w:rtl/>
          <w:lang w:bidi="he-IL"/>
        </w:rPr>
        <w:instrText>חלות של שבת</w:instrText>
      </w:r>
      <w:r>
        <w:instrText xml:space="preserve">" </w:instrText>
      </w:r>
      <w:r>
        <w:rPr>
          <w:rFonts w:cs="Guttman Drogolin"/>
          <w:rtl/>
          <w:lang w:bidi="he-IL"/>
        </w:rPr>
        <w:fldChar w:fldCharType="end"/>
      </w:r>
      <w:r w:rsidR="00B9128E" w:rsidRPr="00882F11">
        <w:rPr>
          <w:rFonts w:cs="Guttman Drogolin" w:hint="cs"/>
          <w:rtl/>
          <w:lang w:bidi="he-IL"/>
        </w:rPr>
        <w:t>אע"פ שהפוסקים בהדיא התירו לאפות החלות לשבת עם שומן בשר, נראה פשוט שאין להתיר דבר זה אא"כ הדרך הוא לאכול הכל בשבת ולא להשאיר למוצ"ש. אבל אם הדרך להשאיר למוצ"ש, כיון שיש חשש שיעשה עם זה לחם מטוגן חלבי וכדומה כל הפת כולה אסורה. וכן אע"ג שהתו"ח התיר ג' לחמים שלכאורה כולל סעודה שלישית, הנ"מ כשהדרך לאכול בשר בסעודה שלישית, אבל אל"כ ליתי' להתיר זה.</w:t>
      </w:r>
    </w:p>
    <w:p w:rsidR="00EB434F" w:rsidRPr="00882F11" w:rsidRDefault="00EB434F" w:rsidP="003510B7">
      <w:pPr>
        <w:tabs>
          <w:tab w:val="right" w:pos="7497"/>
        </w:tabs>
        <w:bidi/>
        <w:jc w:val="both"/>
        <w:rPr>
          <w:rFonts w:cs="Guttman Drogolin"/>
          <w:b/>
          <w:bCs/>
          <w:sz w:val="24"/>
          <w:szCs w:val="24"/>
          <w:rtl/>
          <w:lang w:bidi="he-IL"/>
        </w:rPr>
      </w:pPr>
      <w:r w:rsidRPr="00882F11">
        <w:rPr>
          <w:rFonts w:cs="Guttman Drogolin" w:hint="cs"/>
          <w:b/>
          <w:bCs/>
          <w:sz w:val="24"/>
          <w:szCs w:val="24"/>
          <w:rtl/>
          <w:lang w:bidi="he-IL"/>
        </w:rPr>
        <w:t>עוגת גבינה</w:t>
      </w:r>
    </w:p>
    <w:p w:rsidR="00B9128E" w:rsidRPr="00882F11" w:rsidRDefault="0064044C" w:rsidP="0064044C">
      <w:pPr>
        <w:tabs>
          <w:tab w:val="right" w:pos="7497"/>
        </w:tabs>
        <w:bidi/>
        <w:jc w:val="both"/>
        <w:rPr>
          <w:rFonts w:cs="Guttman Drogolin"/>
          <w:rtl/>
          <w:lang w:bidi="he-IL"/>
        </w:rPr>
      </w:pPr>
      <w:r>
        <w:rPr>
          <w:rFonts w:cs="Guttman Drogolin"/>
          <w:rtl/>
          <w:lang w:bidi="he-IL"/>
        </w:rPr>
        <w:fldChar w:fldCharType="begin"/>
      </w:r>
      <w:r>
        <w:instrText xml:space="preserve"> XE "</w:instrText>
      </w:r>
      <w:r w:rsidRPr="00891A38">
        <w:rPr>
          <w:rFonts w:hint="cs"/>
          <w:rtl/>
          <w:lang w:bidi="he-IL"/>
        </w:rPr>
        <w:instrText>לחם חלבי או בשרי</w:instrText>
      </w:r>
      <w:r w:rsidRPr="00891A38">
        <w:rPr>
          <w:rtl/>
        </w:rPr>
        <w:instrText>:</w:instrText>
      </w:r>
      <w:r w:rsidRPr="00891A38">
        <w:rPr>
          <w:rFonts w:hint="cs"/>
          <w:rtl/>
          <w:lang w:bidi="he-IL"/>
        </w:rPr>
        <w:instrText>עוג</w:instrText>
      </w:r>
      <w:r>
        <w:rPr>
          <w:rFonts w:hint="cs"/>
          <w:rtl/>
          <w:lang w:bidi="he-IL"/>
        </w:rPr>
        <w:instrText>ת גבינה</w:instrText>
      </w:r>
      <w:r>
        <w:instrText xml:space="preserve">" </w:instrText>
      </w:r>
      <w:r>
        <w:rPr>
          <w:rFonts w:cs="Guttman Drogolin"/>
          <w:rtl/>
          <w:lang w:bidi="he-IL"/>
        </w:rPr>
        <w:fldChar w:fldCharType="end"/>
      </w:r>
      <w:r w:rsidR="00EB434F" w:rsidRPr="00882F11">
        <w:rPr>
          <w:rFonts w:cs="Guttman Drogolin" w:hint="cs"/>
          <w:rtl/>
          <w:lang w:bidi="he-IL"/>
        </w:rPr>
        <w:t xml:space="preserve">מותר לפי שיטת המהרי"ט. </w:t>
      </w:r>
      <w:r w:rsidR="003510B7" w:rsidRPr="00882F11">
        <w:rPr>
          <w:rFonts w:cs="Guttman Drogolin" w:hint="cs"/>
          <w:rtl/>
          <w:lang w:bidi="he-IL"/>
        </w:rPr>
        <w:t>ובהרבה</w:t>
      </w:r>
      <w:r w:rsidR="00EB434F" w:rsidRPr="00882F11">
        <w:rPr>
          <w:rFonts w:cs="Guttman Drogolin" w:hint="cs"/>
          <w:rtl/>
          <w:lang w:bidi="he-IL"/>
        </w:rPr>
        <w:t xml:space="preserve"> מקרים הגבינה ניכרת ולכן יש להתיר אפילו לחולקים עליו. ושמעתי שיש מי שהחמיר בזה, ולא ידעתי טעמו.</w:t>
      </w:r>
    </w:p>
    <w:p w:rsidR="00BF780F" w:rsidRPr="00882F11" w:rsidRDefault="00BF780F" w:rsidP="00BF780F">
      <w:pPr>
        <w:tabs>
          <w:tab w:val="right" w:pos="7497"/>
        </w:tabs>
        <w:bidi/>
        <w:jc w:val="both"/>
        <w:rPr>
          <w:rFonts w:cs="Guttman Drogolin"/>
          <w:b/>
          <w:bCs/>
          <w:sz w:val="24"/>
          <w:szCs w:val="24"/>
          <w:rtl/>
          <w:lang w:bidi="he-IL"/>
        </w:rPr>
      </w:pPr>
      <w:r w:rsidRPr="00882F11">
        <w:rPr>
          <w:rFonts w:cs="Guttman Drogolin" w:hint="cs"/>
          <w:b/>
          <w:bCs/>
          <w:sz w:val="24"/>
          <w:szCs w:val="24"/>
          <w:rtl/>
          <w:lang w:bidi="he-IL"/>
        </w:rPr>
        <w:t>סופגניות חלביות</w:t>
      </w:r>
    </w:p>
    <w:p w:rsidR="00BF780F" w:rsidRPr="00882F11" w:rsidRDefault="0064044C" w:rsidP="0064044C">
      <w:pPr>
        <w:tabs>
          <w:tab w:val="right" w:pos="7497"/>
        </w:tabs>
        <w:bidi/>
        <w:jc w:val="both"/>
        <w:rPr>
          <w:rFonts w:cs="Guttman Drogolin"/>
          <w:rtl/>
          <w:lang w:bidi="he-IL"/>
        </w:rPr>
      </w:pPr>
      <w:r>
        <w:rPr>
          <w:rFonts w:cs="Guttman Drogolin"/>
          <w:rtl/>
          <w:lang w:bidi="he-IL"/>
        </w:rPr>
        <w:fldChar w:fldCharType="begin"/>
      </w:r>
      <w:r>
        <w:instrText xml:space="preserve"> XE "</w:instrText>
      </w:r>
      <w:r w:rsidRPr="00891A38">
        <w:rPr>
          <w:rFonts w:hint="cs"/>
          <w:rtl/>
          <w:lang w:bidi="he-IL"/>
        </w:rPr>
        <w:instrText>לחם חלבי או בשרי</w:instrText>
      </w:r>
      <w:r w:rsidRPr="00891A38">
        <w:rPr>
          <w:rtl/>
        </w:rPr>
        <w:instrText>:</w:instrText>
      </w:r>
      <w:r>
        <w:rPr>
          <w:rFonts w:hint="cs"/>
          <w:rtl/>
          <w:lang w:bidi="he-IL"/>
        </w:rPr>
        <w:instrText>סופגניות חלביות</w:instrText>
      </w:r>
      <w:r>
        <w:instrText xml:space="preserve">" </w:instrText>
      </w:r>
      <w:r>
        <w:rPr>
          <w:rFonts w:cs="Guttman Drogolin"/>
          <w:rtl/>
          <w:lang w:bidi="he-IL"/>
        </w:rPr>
        <w:fldChar w:fldCharType="end"/>
      </w:r>
      <w:r w:rsidR="00BF780F" w:rsidRPr="00882F11">
        <w:rPr>
          <w:rFonts w:cs="Guttman Drogolin" w:hint="cs"/>
          <w:rtl/>
          <w:lang w:bidi="he-IL"/>
        </w:rPr>
        <w:t xml:space="preserve">גם בזה שייך ההיתר של המהרי"ט. אבל בזה הרבה פעמים אינו ניכר, ולכן עדיף שיהא היכר. והעדה"ח בדרך כלל מקפידים שיהא לו צורה משונה, איני יודע אם מהני זה אלולא דברי </w:t>
      </w:r>
      <w:r w:rsidR="00BF780F" w:rsidRPr="00882F11">
        <w:rPr>
          <w:rFonts w:cs="Guttman Drogolin" w:hint="cs"/>
          <w:rtl/>
          <w:lang w:bidi="he-IL"/>
        </w:rPr>
        <w:lastRenderedPageBreak/>
        <w:t>המהרי"ט, אבל לענין החשש לכאורה דבר זה מספיק.</w:t>
      </w:r>
    </w:p>
    <w:p w:rsidR="00EB434F" w:rsidRPr="00882F11" w:rsidRDefault="00BF780F" w:rsidP="00EB434F">
      <w:pPr>
        <w:tabs>
          <w:tab w:val="right" w:pos="7497"/>
        </w:tabs>
        <w:bidi/>
        <w:jc w:val="both"/>
        <w:rPr>
          <w:rFonts w:cs="Guttman Drogolin"/>
          <w:b/>
          <w:bCs/>
          <w:sz w:val="24"/>
          <w:szCs w:val="24"/>
          <w:rtl/>
          <w:lang w:bidi="he-IL"/>
        </w:rPr>
      </w:pPr>
      <w:r w:rsidRPr="00882F11">
        <w:rPr>
          <w:rFonts w:cs="Guttman Drogolin" w:hint="cs"/>
          <w:b/>
          <w:bCs/>
          <w:sz w:val="24"/>
          <w:szCs w:val="24"/>
          <w:rtl/>
          <w:lang w:bidi="he-IL"/>
        </w:rPr>
        <w:t>בורקס של גבינה</w:t>
      </w:r>
    </w:p>
    <w:p w:rsidR="00BF780F" w:rsidRPr="00882F11" w:rsidRDefault="0064044C" w:rsidP="0064044C">
      <w:pPr>
        <w:tabs>
          <w:tab w:val="right" w:pos="7497"/>
        </w:tabs>
        <w:bidi/>
        <w:jc w:val="both"/>
        <w:rPr>
          <w:rFonts w:cs="Guttman Drogolin"/>
          <w:rtl/>
          <w:lang w:bidi="he-IL"/>
        </w:rPr>
      </w:pPr>
      <w:r>
        <w:rPr>
          <w:rFonts w:cs="Guttman Drogolin"/>
          <w:rtl/>
          <w:lang w:bidi="he-IL"/>
        </w:rPr>
        <w:fldChar w:fldCharType="begin"/>
      </w:r>
      <w:r>
        <w:instrText xml:space="preserve"> XE "</w:instrText>
      </w:r>
      <w:r w:rsidRPr="00891A38">
        <w:rPr>
          <w:rFonts w:hint="cs"/>
          <w:rtl/>
          <w:lang w:bidi="he-IL"/>
        </w:rPr>
        <w:instrText>לחם חלבי או בשרי</w:instrText>
      </w:r>
      <w:r w:rsidRPr="00891A38">
        <w:rPr>
          <w:rtl/>
        </w:rPr>
        <w:instrText>:</w:instrText>
      </w:r>
      <w:r>
        <w:rPr>
          <w:rFonts w:hint="cs"/>
          <w:rtl/>
          <w:lang w:bidi="he-IL"/>
        </w:rPr>
        <w:instrText>בורקס של גבינה</w:instrText>
      </w:r>
      <w:r>
        <w:instrText xml:space="preserve">" </w:instrText>
      </w:r>
      <w:r>
        <w:rPr>
          <w:rFonts w:cs="Guttman Drogolin"/>
          <w:rtl/>
          <w:lang w:bidi="he-IL"/>
        </w:rPr>
        <w:fldChar w:fldCharType="end"/>
      </w:r>
      <w:r w:rsidR="00BF780F" w:rsidRPr="00882F11">
        <w:rPr>
          <w:rFonts w:cs="Guttman Drogolin" w:hint="cs"/>
          <w:rtl/>
          <w:lang w:bidi="he-IL"/>
        </w:rPr>
        <w:t>מנהג פשוט הוא למכ</w:t>
      </w:r>
      <w:r w:rsidR="00D87571" w:rsidRPr="00882F11">
        <w:rPr>
          <w:rFonts w:cs="Guttman Drogolin" w:hint="cs"/>
          <w:rtl/>
          <w:lang w:bidi="he-IL"/>
        </w:rPr>
        <w:t>ו</w:t>
      </w:r>
      <w:r w:rsidR="00BF780F" w:rsidRPr="00882F11">
        <w:rPr>
          <w:rFonts w:cs="Guttman Drogolin" w:hint="cs"/>
          <w:rtl/>
          <w:lang w:bidi="he-IL"/>
        </w:rPr>
        <w:t>ר בכל המאפיות</w:t>
      </w:r>
      <w:r w:rsidR="00D87571" w:rsidRPr="00882F11">
        <w:rPr>
          <w:rFonts w:cs="Guttman Drogolin" w:hint="cs"/>
          <w:rtl/>
          <w:lang w:bidi="he-IL"/>
        </w:rPr>
        <w:t xml:space="preserve"> בורקס של גבינה. ולכאורה היינו על אף שאינם בגדר קינוח והדרך לאכלו עם המנה העיקרית של סעודה, ולכן יש לחשוש יבא לאכלו עם בשר. ואומרים העולם שהטעם להיתר משום שהמנהג כל המקומות שהצורה של הבורקס שונה מן הצורה של הבורקס שהם פרווה (כמעט תמיד מלאים תפו"א), שהבורקס המלאים גבינה עשוים בצורת משולש, והשאר בצורה מרובעת. ויש בזה מקום להעיר דהא ניחא לאלו שהתרגלו לזה כאן באר"י, אבל לכאורה יש לחשוש גם לאלו המגיעים מחו"ל ואינם יודעים שמנהג המדינה כך שיבאו לטעות. וע' בשו"ת מהרי"ט שם שהעיר מזה שיש לחשוש גם עניים הבאים ממקום למקום ואינם יודעים מנהג המקום. ואולי יש לבאר המנהג להקל שהוא משום שמנהג מדינה מפורסמת שאני, וכל א' יודע שיתכנו שינויים, משא"כ בהא דמהרי"ט שהי' להם הנחה שהכל פרווה, דמה"ת שעיר זו שונה מעיר אחרת. וצ"ע. והמוכרים בורקס שעדיין לא אפויות</w:t>
      </w:r>
      <w:r w:rsidR="00BF780F" w:rsidRPr="00882F11">
        <w:rPr>
          <w:rFonts w:cs="Guttman Drogolin" w:hint="cs"/>
          <w:rtl/>
          <w:lang w:bidi="he-IL"/>
        </w:rPr>
        <w:t xml:space="preserve"> </w:t>
      </w:r>
      <w:r w:rsidR="00D87571" w:rsidRPr="00882F11">
        <w:rPr>
          <w:rFonts w:cs="Guttman Drogolin" w:hint="cs"/>
          <w:rtl/>
          <w:lang w:bidi="he-IL"/>
        </w:rPr>
        <w:t xml:space="preserve">לכאורה מותר כיון שבשעת מכירה אינה ראוי' לאכילה, ולאחר מכן הוי כמות קטנה. אמנם אולי גם בזה יש להחמיר, דכיון שעושה עיסה שיכול לבא לידי מכשול אסור אע"ג שעדיין אינו ראוי לאכילה. וצ"ע. </w:t>
      </w:r>
    </w:p>
    <w:p w:rsidR="00D87571" w:rsidRPr="00882F11" w:rsidRDefault="00D87571" w:rsidP="00E87C83">
      <w:pPr>
        <w:tabs>
          <w:tab w:val="right" w:pos="7497"/>
        </w:tabs>
        <w:bidi/>
        <w:jc w:val="both"/>
        <w:rPr>
          <w:rFonts w:cs="Guttman Drogolin"/>
          <w:b/>
          <w:bCs/>
          <w:sz w:val="24"/>
          <w:szCs w:val="24"/>
          <w:rtl/>
          <w:lang w:bidi="he-IL"/>
        </w:rPr>
      </w:pPr>
      <w:r w:rsidRPr="00882F11">
        <w:rPr>
          <w:rFonts w:cs="Guttman Drogolin" w:hint="cs"/>
          <w:b/>
          <w:bCs/>
          <w:sz w:val="24"/>
          <w:szCs w:val="24"/>
          <w:rtl/>
          <w:lang w:bidi="he-IL"/>
        </w:rPr>
        <w:t>בייגלה</w:t>
      </w:r>
      <w:r w:rsidR="00E87C83" w:rsidRPr="00882F11">
        <w:rPr>
          <w:rFonts w:cs="Guttman Drogolin" w:hint="cs"/>
          <w:b/>
          <w:bCs/>
          <w:sz w:val="24"/>
          <w:szCs w:val="24"/>
          <w:rtl/>
          <w:lang w:bidi="he-IL"/>
        </w:rPr>
        <w:t xml:space="preserve"> שאינו</w:t>
      </w:r>
      <w:r w:rsidRPr="00882F11">
        <w:rPr>
          <w:rFonts w:cs="Guttman Drogolin" w:hint="cs"/>
          <w:b/>
          <w:bCs/>
          <w:sz w:val="24"/>
          <w:szCs w:val="24"/>
          <w:rtl/>
          <w:lang w:bidi="he-IL"/>
        </w:rPr>
        <w:t xml:space="preserve"> </w:t>
      </w:r>
      <w:r w:rsidR="00E87C83" w:rsidRPr="00882F11">
        <w:rPr>
          <w:rFonts w:cs="Guttman Drogolin" w:hint="cs"/>
          <w:b/>
          <w:bCs/>
          <w:sz w:val="24"/>
          <w:szCs w:val="24"/>
          <w:rtl/>
          <w:lang w:bidi="he-IL"/>
        </w:rPr>
        <w:t>אפוי</w:t>
      </w:r>
    </w:p>
    <w:p w:rsidR="00D87571" w:rsidRPr="00882F11" w:rsidRDefault="0064044C" w:rsidP="0064044C">
      <w:pPr>
        <w:tabs>
          <w:tab w:val="right" w:pos="7497"/>
        </w:tabs>
        <w:bidi/>
        <w:jc w:val="both"/>
        <w:rPr>
          <w:rFonts w:cs="Guttman Drogolin"/>
          <w:rtl/>
          <w:lang w:bidi="he-IL"/>
        </w:rPr>
      </w:pPr>
      <w:r>
        <w:rPr>
          <w:rFonts w:cs="Guttman Drogolin"/>
          <w:rtl/>
          <w:lang w:bidi="he-IL"/>
        </w:rPr>
        <w:fldChar w:fldCharType="begin"/>
      </w:r>
      <w:r>
        <w:instrText xml:space="preserve"> XE "</w:instrText>
      </w:r>
      <w:r w:rsidRPr="00891A38">
        <w:rPr>
          <w:rFonts w:hint="cs"/>
          <w:rtl/>
          <w:lang w:bidi="he-IL"/>
        </w:rPr>
        <w:instrText xml:space="preserve">לחם חלבי </w:instrText>
      </w:r>
      <w:r w:rsidR="001E15E7">
        <w:rPr>
          <w:rFonts w:hint="cs"/>
          <w:rtl/>
          <w:lang w:bidi="he-IL"/>
        </w:rPr>
        <w:instrText>או בשרי:</w:instrText>
      </w:r>
      <w:r>
        <w:rPr>
          <w:rFonts w:hint="cs"/>
          <w:rtl/>
          <w:lang w:bidi="he-IL"/>
        </w:rPr>
        <w:instrText>עיסה חלבית שאופים אותו כבייגלה</w:instrText>
      </w:r>
      <w:r>
        <w:instrText xml:space="preserve">" </w:instrText>
      </w:r>
      <w:r>
        <w:rPr>
          <w:rFonts w:cs="Guttman Drogolin"/>
          <w:rtl/>
          <w:lang w:bidi="he-IL"/>
        </w:rPr>
        <w:fldChar w:fldCharType="end"/>
      </w:r>
      <w:r w:rsidR="00D87571" w:rsidRPr="00882F11">
        <w:rPr>
          <w:rFonts w:cs="Guttman Drogolin" w:hint="cs"/>
          <w:rtl/>
          <w:lang w:bidi="he-IL"/>
        </w:rPr>
        <w:t xml:space="preserve">שמעתי שמוכרים בייגלאך </w:t>
      </w:r>
      <w:r w:rsidR="00E87C83" w:rsidRPr="00882F11">
        <w:rPr>
          <w:rFonts w:cs="Guttman Drogolin" w:hint="cs"/>
          <w:rtl/>
          <w:lang w:bidi="he-IL"/>
        </w:rPr>
        <w:t xml:space="preserve">גדולים </w:t>
      </w:r>
      <w:r w:rsidR="00D87571" w:rsidRPr="00882F11">
        <w:rPr>
          <w:rFonts w:cs="Guttman Drogolin" w:hint="cs"/>
          <w:rtl/>
          <w:lang w:bidi="he-IL"/>
        </w:rPr>
        <w:t>שאינם אפוי</w:t>
      </w:r>
      <w:r w:rsidR="00E87C83" w:rsidRPr="00882F11">
        <w:rPr>
          <w:rFonts w:cs="Guttman Drogolin" w:hint="cs"/>
          <w:rtl/>
          <w:lang w:bidi="he-IL"/>
        </w:rPr>
        <w:t>ם (כדי לאפות אותם בבית)</w:t>
      </w:r>
      <w:r w:rsidR="00D87571" w:rsidRPr="00882F11">
        <w:rPr>
          <w:rFonts w:cs="Guttman Drogolin" w:hint="cs"/>
          <w:rtl/>
          <w:lang w:bidi="he-IL"/>
        </w:rPr>
        <w:t xml:space="preserve"> שהעיסה יש בה חלב. ולכאורה גם כאן הוי כבורקס שאינם אפויות. רק באלו אם אין היתר הנ"ל קיים אין להקל משום שינוי צורה. ואולי אין הדרך לאכלו עם בשר או גבינה, אבל לא נראה לי שמוכרח כן.</w:t>
      </w:r>
      <w:r w:rsidR="00E87C83" w:rsidRPr="00882F11">
        <w:rPr>
          <w:rFonts w:cs="Guttman Drogolin" w:hint="cs"/>
          <w:rtl/>
          <w:lang w:bidi="he-IL"/>
        </w:rPr>
        <w:t xml:space="preserve"> ואם מוכרים </w:t>
      </w:r>
      <w:r w:rsidR="00E87C83" w:rsidRPr="00882F11">
        <w:rPr>
          <w:rFonts w:cs="Guttman Drogolin" w:hint="cs"/>
          <w:rtl/>
          <w:lang w:bidi="he-IL"/>
        </w:rPr>
        <w:lastRenderedPageBreak/>
        <w:t>אותם כבר אפוים רק צריכים לחמם אותם לא ידוע לי היתר.</w:t>
      </w:r>
    </w:p>
    <w:p w:rsidR="000277B0" w:rsidRPr="00882F11" w:rsidRDefault="000277B0" w:rsidP="000277B0">
      <w:pPr>
        <w:tabs>
          <w:tab w:val="right" w:pos="7497"/>
        </w:tabs>
        <w:bidi/>
        <w:jc w:val="both"/>
        <w:rPr>
          <w:rFonts w:cs="Guttman Drogolin"/>
          <w:b/>
          <w:bCs/>
          <w:sz w:val="24"/>
          <w:szCs w:val="24"/>
          <w:rtl/>
          <w:lang w:bidi="he-IL"/>
        </w:rPr>
      </w:pPr>
      <w:r w:rsidRPr="00882F11">
        <w:rPr>
          <w:rFonts w:cs="Guttman Drogolin" w:hint="cs"/>
          <w:b/>
          <w:bCs/>
          <w:sz w:val="24"/>
          <w:szCs w:val="24"/>
          <w:rtl/>
          <w:lang w:bidi="he-IL"/>
        </w:rPr>
        <w:t>עיסה חלבית מחנות פיצה</w:t>
      </w:r>
    </w:p>
    <w:p w:rsidR="000277B0" w:rsidRPr="00882F11" w:rsidRDefault="000277B0" w:rsidP="000277B0">
      <w:pPr>
        <w:tabs>
          <w:tab w:val="right" w:pos="7497"/>
        </w:tabs>
        <w:bidi/>
        <w:jc w:val="both"/>
        <w:rPr>
          <w:rFonts w:cs="Guttman Drogolin"/>
          <w:rtl/>
          <w:lang w:bidi="he-IL"/>
        </w:rPr>
      </w:pPr>
      <w:r w:rsidRPr="00882F11">
        <w:rPr>
          <w:rFonts w:cs="Guttman Drogolin" w:hint="cs"/>
          <w:rtl/>
          <w:lang w:bidi="he-IL"/>
        </w:rPr>
        <w:t>שמעתי שיש חנות פיצה שמוכרת עיסה של פיצה העשוי מחלב. וגם כאן נראה שהוא מותר, כיון שעתה עדיין אינו ראוי לאכילה, ומיד שקונהו הרי היא כמות קטנה ולכן מיד כשיאפה אותו יהא מותר, וכ"ש שהדין כן אם מוכרו לצורך פיצה שיהא מותר כיון שמיד בשעת אפיי' יהא ניכר שהוא חלבי ע"י הגבינה.</w:t>
      </w:r>
    </w:p>
    <w:p w:rsidR="00A81FCB" w:rsidRPr="00882F11" w:rsidRDefault="00A81FCB" w:rsidP="00A81FCB">
      <w:pPr>
        <w:tabs>
          <w:tab w:val="right" w:pos="7497"/>
        </w:tabs>
        <w:bidi/>
        <w:jc w:val="both"/>
        <w:rPr>
          <w:rFonts w:cs="Guttman Drogolin"/>
          <w:rtl/>
          <w:lang w:bidi="he-IL"/>
        </w:rPr>
        <w:sectPr w:rsidR="00A81FCB" w:rsidRPr="00882F11" w:rsidSect="005229E6">
          <w:type w:val="continuous"/>
          <w:pgSz w:w="11907" w:h="16839" w:code="9"/>
          <w:pgMar w:top="1440" w:right="1440" w:bottom="1440" w:left="1440" w:header="720" w:footer="720" w:gutter="0"/>
          <w:cols w:num="2" w:space="720"/>
          <w:bidi/>
          <w:docGrid w:linePitch="360"/>
        </w:sectPr>
      </w:pPr>
    </w:p>
    <w:p w:rsidR="00A81FCB" w:rsidRPr="00882F11" w:rsidRDefault="00A81FCB" w:rsidP="00A81FCB">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ע"ד</w:t>
      </w:r>
    </w:p>
    <w:p w:rsidR="005229E6" w:rsidRDefault="005229E6" w:rsidP="00A81FCB">
      <w:pPr>
        <w:pStyle w:val="Heading1"/>
        <w:bidi/>
        <w:spacing w:before="0" w:line="360" w:lineRule="auto"/>
        <w:jc w:val="center"/>
        <w:rPr>
          <w:rFonts w:cs="Guttman Drogolin"/>
          <w:color w:val="auto"/>
          <w:sz w:val="24"/>
          <w:szCs w:val="24"/>
          <w:u w:val="single"/>
          <w:rtl/>
          <w:lang w:bidi="he-IL"/>
        </w:rPr>
        <w:sectPr w:rsidR="005229E6" w:rsidSect="005229E6">
          <w:headerReference w:type="default" r:id="rId57"/>
          <w:pgSz w:w="11907" w:h="16839" w:code="9"/>
          <w:pgMar w:top="1440" w:right="1440" w:bottom="1440" w:left="1440" w:header="720" w:footer="720" w:gutter="0"/>
          <w:cols w:space="720"/>
          <w:bidi/>
          <w:docGrid w:linePitch="360"/>
        </w:sectPr>
      </w:pPr>
    </w:p>
    <w:p w:rsidR="00A81FCB" w:rsidRPr="00882F11" w:rsidRDefault="00A81FCB" w:rsidP="00A81FCB">
      <w:pPr>
        <w:pStyle w:val="Heading1"/>
        <w:bidi/>
        <w:spacing w:before="0" w:line="360" w:lineRule="auto"/>
        <w:jc w:val="center"/>
        <w:rPr>
          <w:rFonts w:cs="Guttman Drogolin"/>
          <w:color w:val="auto"/>
          <w:sz w:val="24"/>
          <w:szCs w:val="24"/>
          <w:u w:val="single"/>
          <w:rtl/>
          <w:lang w:bidi="he-IL"/>
        </w:rPr>
      </w:pPr>
      <w:bookmarkStart w:id="299" w:name="_Toc496175550"/>
      <w:r w:rsidRPr="00882F11">
        <w:rPr>
          <w:rFonts w:cs="Guttman Drogolin" w:hint="cs"/>
          <w:color w:val="auto"/>
          <w:sz w:val="24"/>
          <w:szCs w:val="24"/>
          <w:u w:val="single"/>
          <w:rtl/>
          <w:lang w:bidi="he-IL"/>
        </w:rPr>
        <w:lastRenderedPageBreak/>
        <w:t>ביאורים בנאמנות דקפילא</w:t>
      </w:r>
      <w:bookmarkEnd w:id="299"/>
    </w:p>
    <w:p w:rsidR="007E20D1" w:rsidRPr="00882F11" w:rsidRDefault="00B67BE2" w:rsidP="008175B3">
      <w:pPr>
        <w:tabs>
          <w:tab w:val="right" w:pos="7497"/>
        </w:tabs>
        <w:bidi/>
        <w:jc w:val="both"/>
        <w:rPr>
          <w:rFonts w:cs="Guttman Drogolin"/>
          <w:rtl/>
          <w:lang w:bidi="he-IL"/>
        </w:rPr>
      </w:pPr>
      <w:r>
        <w:rPr>
          <w:rFonts w:cs="Guttman Drogolin"/>
          <w:rtl/>
          <w:lang w:bidi="he-IL"/>
        </w:rPr>
        <w:fldChar w:fldCharType="begin"/>
      </w:r>
      <w:r>
        <w:instrText xml:space="preserve"> XE "</w:instrText>
      </w:r>
      <w:r w:rsidRPr="00F132D8">
        <w:rPr>
          <w:rFonts w:hint="cs"/>
          <w:rtl/>
          <w:lang w:bidi="he-IL"/>
        </w:rPr>
        <w:instrText>קפילא</w:instrText>
      </w:r>
      <w:r w:rsidRPr="00F132D8">
        <w:rPr>
          <w:rtl/>
        </w:rPr>
        <w:instrText>:</w:instrText>
      </w:r>
      <w:r w:rsidRPr="00F132D8">
        <w:rPr>
          <w:rFonts w:hint="cs"/>
          <w:rtl/>
          <w:lang w:bidi="he-IL"/>
        </w:rPr>
        <w:instrText>טעם שנאמן</w:instrText>
      </w:r>
      <w:r>
        <w:instrText xml:space="preserve">" </w:instrText>
      </w:r>
      <w:r>
        <w:rPr>
          <w:rFonts w:cs="Guttman Drogolin"/>
          <w:rtl/>
          <w:lang w:bidi="he-IL"/>
        </w:rPr>
        <w:fldChar w:fldCharType="end"/>
      </w:r>
      <w:r w:rsidR="00A81FCB" w:rsidRPr="00882F11">
        <w:rPr>
          <w:rFonts w:cs="Guttman Drogolin" w:hint="cs"/>
          <w:rtl/>
          <w:lang w:bidi="he-IL"/>
        </w:rPr>
        <w:t>יש כמה שיטות בענין איזה אופן נאמן קפילא ארמאה לומר שאין טעם איסור בתבשיל</w:t>
      </w:r>
      <w:r w:rsidR="00A81FCB" w:rsidRPr="00882F11">
        <w:rPr>
          <w:rStyle w:val="FootnoteReference"/>
          <w:rFonts w:cs="Guttman Drogolin"/>
          <w:rtl/>
          <w:lang w:bidi="he-IL"/>
        </w:rPr>
        <w:footnoteReference w:id="325"/>
      </w:r>
      <w:r w:rsidR="00A81FCB" w:rsidRPr="00882F11">
        <w:rPr>
          <w:rFonts w:cs="Guttman Drogolin" w:hint="cs"/>
          <w:rtl/>
          <w:lang w:bidi="he-IL"/>
        </w:rPr>
        <w:t xml:space="preserve">. שיטת הרשב"א שנאמן הנכרי במסיח לפי תומו אפילו בנכרי שאינו קפילא, וקפילא נאמן אפילו אינו מסיח לפי תומו. והביא שם שי"א דבעינן תרוייהו, ור"ל גם קפילא וגם מסל"ת. </w:t>
      </w:r>
      <w:r w:rsidR="007E20D1" w:rsidRPr="00882F11">
        <w:rPr>
          <w:rFonts w:cs="Guttman Drogolin" w:hint="cs"/>
          <w:rtl/>
          <w:lang w:bidi="he-IL"/>
        </w:rPr>
        <w:t>ו</w:t>
      </w:r>
      <w:r w:rsidR="008175B3" w:rsidRPr="00882F11">
        <w:rPr>
          <w:rFonts w:cs="Guttman Drogolin" w:hint="cs"/>
          <w:rtl/>
          <w:lang w:bidi="he-IL"/>
        </w:rPr>
        <w:t>הט"ז ס"ק ב' סבר</w:t>
      </w:r>
      <w:r w:rsidR="007E20D1" w:rsidRPr="00882F11">
        <w:rPr>
          <w:rFonts w:cs="Guttman Drogolin" w:hint="cs"/>
          <w:rtl/>
          <w:lang w:bidi="he-IL"/>
        </w:rPr>
        <w:t xml:space="preserve"> שזהו שיטת הרא"ש ורש"י, אבל הב"י העיר דיתכן שהרא"ש ורש"י לא התירו אלא מסיח לפי תומו. ו</w:t>
      </w:r>
      <w:r w:rsidR="008175B3" w:rsidRPr="00882F11">
        <w:rPr>
          <w:rFonts w:cs="Guttman Drogolin" w:hint="cs"/>
          <w:rtl/>
          <w:lang w:bidi="he-IL"/>
        </w:rPr>
        <w:t xml:space="preserve">הרא"ה לא התיר אלא קפילא ואפילו אינו מסל"ת, וכן התוס' לא הזכירו אלא </w:t>
      </w:r>
      <w:r w:rsidR="007E20D1" w:rsidRPr="00882F11">
        <w:rPr>
          <w:rFonts w:cs="Guttman Drogolin" w:hint="cs"/>
          <w:rtl/>
          <w:lang w:bidi="he-IL"/>
        </w:rPr>
        <w:t xml:space="preserve">היתר </w:t>
      </w:r>
      <w:r w:rsidR="008175B3" w:rsidRPr="00882F11">
        <w:rPr>
          <w:rFonts w:cs="Guttman Drogolin" w:hint="cs"/>
          <w:rtl/>
          <w:lang w:bidi="he-IL"/>
        </w:rPr>
        <w:t>זה</w:t>
      </w:r>
      <w:r w:rsidR="007E20D1" w:rsidRPr="00882F11">
        <w:rPr>
          <w:rFonts w:cs="Guttman Drogolin" w:hint="cs"/>
          <w:rtl/>
          <w:lang w:bidi="he-IL"/>
        </w:rPr>
        <w:t>.</w:t>
      </w:r>
    </w:p>
    <w:p w:rsidR="00F95F0E" w:rsidRPr="00882F11" w:rsidRDefault="008175B3" w:rsidP="007E20D1">
      <w:pPr>
        <w:tabs>
          <w:tab w:val="right" w:pos="7497"/>
        </w:tabs>
        <w:bidi/>
        <w:jc w:val="both"/>
        <w:rPr>
          <w:rFonts w:cs="Guttman Drogolin"/>
          <w:rtl/>
          <w:lang w:bidi="he-IL"/>
        </w:rPr>
      </w:pPr>
      <w:r w:rsidRPr="00882F11">
        <w:rPr>
          <w:rFonts w:cs="Guttman Drogolin" w:hint="cs"/>
          <w:rtl/>
          <w:lang w:bidi="he-IL"/>
        </w:rPr>
        <w:t>ואהא דנאמן נכרי במסיח לפי תומו הקשה בבד"ה דהא קיי"ל בפ' בתרא דמס' ב"ק שאין נכרי נאמן במסל"ת אלא בעדות אשה בלבד, וא"כ האיך נאמן כאן באיסורים. ומשו"ה דחה הרא"ה שיטה הסוברת שנאמן במסל"ת.</w:t>
      </w:r>
      <w:r w:rsidR="00EF4630" w:rsidRPr="00882F11">
        <w:rPr>
          <w:rFonts w:cs="Guttman Drogolin" w:hint="cs"/>
          <w:rtl/>
          <w:lang w:bidi="he-IL"/>
        </w:rPr>
        <w:t xml:space="preserve"> (וע"ש ברא"ה שביאר דשאיני עדו אשה שאינו אלא גילוי מילתא בעלמא. ובמש"ז פי' שבטעימת איסורים אינו גילוי מילתא בעלמא כיון שאם ירגישו בה טעם לאחר מכן יכול הנכרי לעמוד בשלו ולומר שמ"מ הוא לא הרגיש בזה).</w:t>
      </w:r>
      <w:r w:rsidRPr="00882F11">
        <w:rPr>
          <w:rFonts w:cs="Guttman Drogolin" w:hint="cs"/>
          <w:rtl/>
          <w:lang w:bidi="he-IL"/>
        </w:rPr>
        <w:t xml:space="preserve"> ובשו"ת תרוה"ד (סי' ע"ט) הקשה קושיא זו, ותי' שלמ"ד דבעינן גם קפילא וגם מסל"ת ניחא, דעד כאן לא אמרו אלא דלא סמכינן אמסל"ת בלבד אלא בעדות אשה בלבד, אבל אם יש בזה מעלה נוספת בהא דהוי קפילא, שפיר י"ל שנאמן באיסורים אחרים. ולרשב"א דסבר שנאמן ע"י מסל"ת בלבד כתב שהוא כמ"ד דטכ"ע דרבנן. והקשו הט"ז והש"ך על תי' אלו כמה קושיות. קודם כל העירו שמשמעות הרשב"א דסבר כמ"ד טכ"ע דאורייתא. והט"ז פי' בדעת התרוה"ד דר"ל דאע"ג שמחמירים כשיטות הסוברות טכ"ע מדאו', מ"מ לענין קפילא סמך אשיטות הסוברות דטכ"ע דרבנן, וע' במש"ז</w:t>
      </w:r>
      <w:r w:rsidR="00165F27" w:rsidRPr="00882F11">
        <w:rPr>
          <w:rFonts w:cs="Guttman Drogolin" w:hint="cs"/>
          <w:rtl/>
          <w:lang w:bidi="he-IL"/>
        </w:rPr>
        <w:t xml:space="preserve"> שהתקשה בזה.</w:t>
      </w:r>
    </w:p>
    <w:p w:rsidR="000B276D" w:rsidRPr="00882F11" w:rsidRDefault="00F95F0E" w:rsidP="00150C33">
      <w:pPr>
        <w:tabs>
          <w:tab w:val="right" w:pos="7497"/>
        </w:tabs>
        <w:bidi/>
        <w:jc w:val="both"/>
        <w:rPr>
          <w:rFonts w:cs="Guttman Drogolin"/>
          <w:rtl/>
          <w:lang w:bidi="he-IL"/>
        </w:rPr>
      </w:pPr>
      <w:r w:rsidRPr="00882F11">
        <w:rPr>
          <w:rFonts w:cs="Guttman Drogolin" w:hint="cs"/>
          <w:rtl/>
          <w:lang w:bidi="he-IL"/>
        </w:rPr>
        <w:lastRenderedPageBreak/>
        <w:t>ולכאורה הי' משמע שיש כאן עוד שאלה. דהנה בסוגיא דטעימת קפילא מבואר בהדיא דמהני טעימת קפילא בבשר בחלב, וא"כ איך כתב התרוה"ד לשיטת הרשב"א דמהני מסל"ת משום דטכ"ע דרבנן, הא בבב"ח לכו"ע טכ"ע דאורייתא. והפשוט בזה דהרי הרשב"א פי' דמהני קפילא אפילו כשאינו מסל"ת. ושם בתוה"א וכן בחידושיו דקדק דלא בעינן קפילא</w:t>
      </w:r>
      <w:r w:rsidR="000B276D" w:rsidRPr="00882F11">
        <w:rPr>
          <w:rFonts w:cs="Guttman Drogolin" w:hint="cs"/>
          <w:rtl/>
          <w:lang w:bidi="he-IL"/>
        </w:rPr>
        <w:t xml:space="preserve"> בטעימת ישראל, דהא רק בארמאה כתוב בגמ' שהצריכו קפילא, ולא בישראל. וע"כ היינו משום שטעם שאינו מורגש אלא ע"י קפילא לא חיישינן לי'. וא"כ כיון דסבר הרשב"א דמסל"ת בלבד מהני אפילו במי שאינו קפילא, ע"כ הא דמבואר בגמ' שסומכים דוקא אקפילא ארמאה, היינו באינו מסל"ת, דשם דוקא בעינן קפילא, אבל אין זה משום בקיאות דידי' בטעימה, רק משום דלא מרע אומנתי'. ולפי זה יוצא שה</w:t>
      </w:r>
      <w:r w:rsidR="00150C33" w:rsidRPr="00882F11">
        <w:rPr>
          <w:rFonts w:cs="Guttman Drogolin" w:hint="cs"/>
          <w:rtl/>
          <w:lang w:bidi="he-IL"/>
        </w:rPr>
        <w:t>ד</w:t>
      </w:r>
      <w:r w:rsidR="000B276D" w:rsidRPr="00882F11">
        <w:rPr>
          <w:rFonts w:cs="Guttman Drogolin" w:hint="cs"/>
          <w:rtl/>
          <w:lang w:bidi="he-IL"/>
        </w:rPr>
        <w:t>ין שמבואר בגמ' אליבא דרשב"א שסומכים אקפילא ארמאה היינו באמר לו בהדיא ולא במסל"ת. באופן שכ</w:t>
      </w:r>
      <w:r w:rsidR="0089759B" w:rsidRPr="00882F11">
        <w:rPr>
          <w:rFonts w:cs="Guttman Drogolin" w:hint="cs"/>
          <w:rtl/>
          <w:lang w:bidi="he-IL"/>
        </w:rPr>
        <w:t>ל</w:t>
      </w:r>
      <w:r w:rsidR="000B276D" w:rsidRPr="00882F11">
        <w:rPr>
          <w:rFonts w:cs="Guttman Drogolin" w:hint="cs"/>
          <w:rtl/>
          <w:lang w:bidi="he-IL"/>
        </w:rPr>
        <w:t xml:space="preserve"> הדין שסומכים אנכרי במסל"ת הוא דין מסברא ואינו מבואר בהדיא בתלמוד בבלי. וא"כ אין לנו ראי' באמת שלשיטת הרשב"א יהא נאמן בבב"ח במסל"ת. וא"כ שפיר קאמר התרוה"ד שי"ל שטעמו של הרשב"א משום טכ"ע דרבנן.</w:t>
      </w:r>
    </w:p>
    <w:p w:rsidR="00165F27" w:rsidRPr="00882F11" w:rsidRDefault="000B276D" w:rsidP="000B276D">
      <w:pPr>
        <w:tabs>
          <w:tab w:val="right" w:pos="7497"/>
        </w:tabs>
        <w:bidi/>
        <w:jc w:val="both"/>
        <w:rPr>
          <w:rFonts w:cs="Guttman Drogolin"/>
          <w:rtl/>
          <w:lang w:bidi="he-IL"/>
        </w:rPr>
      </w:pPr>
      <w:r w:rsidRPr="00882F11">
        <w:rPr>
          <w:rFonts w:cs="Guttman Drogolin" w:hint="cs"/>
          <w:rtl/>
          <w:lang w:bidi="he-IL"/>
        </w:rPr>
        <w:t>אמנם כל זה לא שייך אלא לשיטת הרשב"א עצמו, אבל לב"י שהסתפק בדעת הרא"ש לומר שכוונת הגמ' להתיר ע"י מסל"ת בלבד</w:t>
      </w:r>
      <w:r w:rsidR="007955D6" w:rsidRPr="00882F11">
        <w:rPr>
          <w:rStyle w:val="FootnoteReference"/>
          <w:rFonts w:cs="Guttman Drogolin"/>
          <w:rtl/>
          <w:lang w:bidi="he-IL"/>
        </w:rPr>
        <w:footnoteReference w:id="326"/>
      </w:r>
      <w:r w:rsidRPr="00882F11">
        <w:rPr>
          <w:rFonts w:cs="Guttman Drogolin" w:hint="cs"/>
          <w:rtl/>
          <w:lang w:bidi="he-IL"/>
        </w:rPr>
        <w:t xml:space="preserve"> יוצא מפורש בגמ' שמסל"ת נאמן אפילו בבב"ח, וא"כ לדידי' לא שייך לומר שהטעם שסמכו אנכרי במסל"ת משום דטכ"ע דרבנן וכמש"נ. וכן יש להעיר בטעמו וממשו שלכו"ע דאורייתא שלפי דברי התרוה"ד לא יהא נאמן במסל"ת. אבל לזה כבר </w:t>
      </w:r>
      <w:r w:rsidRPr="00882F11">
        <w:rPr>
          <w:rFonts w:cs="Guttman Drogolin" w:hint="cs"/>
          <w:rtl/>
          <w:lang w:bidi="he-IL"/>
        </w:rPr>
        <w:lastRenderedPageBreak/>
        <w:t xml:space="preserve">יש לנו סמך משיטת הרמב"ן וסייעתו דסבר שבנימוח לא סומכים על נכרי לקולא. </w:t>
      </w:r>
      <w:r w:rsidR="00F95F0E" w:rsidRPr="00882F11">
        <w:rPr>
          <w:rFonts w:cs="Guttman Drogolin" w:hint="cs"/>
          <w:rtl/>
          <w:lang w:bidi="he-IL"/>
        </w:rPr>
        <w:t xml:space="preserve"> </w:t>
      </w:r>
      <w:r w:rsidR="00165F27" w:rsidRPr="00882F11">
        <w:rPr>
          <w:rFonts w:cs="Guttman Drogolin" w:hint="cs"/>
          <w:rtl/>
          <w:lang w:bidi="he-IL"/>
        </w:rPr>
        <w:t xml:space="preserve"> </w:t>
      </w:r>
    </w:p>
    <w:p w:rsidR="0089759B" w:rsidRPr="00882F11" w:rsidRDefault="00165F27" w:rsidP="00165F27">
      <w:pPr>
        <w:tabs>
          <w:tab w:val="right" w:pos="7497"/>
        </w:tabs>
        <w:bidi/>
        <w:jc w:val="both"/>
        <w:rPr>
          <w:rFonts w:cs="Guttman Drogolin"/>
          <w:rtl/>
          <w:lang w:bidi="he-IL"/>
        </w:rPr>
      </w:pPr>
      <w:r w:rsidRPr="00882F11">
        <w:rPr>
          <w:rFonts w:cs="Guttman Drogolin" w:hint="cs"/>
          <w:rtl/>
          <w:lang w:bidi="he-IL"/>
        </w:rPr>
        <w:t xml:space="preserve">והט"ז עצמו תי' דהא דאמרינן שאין מסל"ת נאמן </w:t>
      </w:r>
      <w:r w:rsidR="00BF1308" w:rsidRPr="00882F11">
        <w:rPr>
          <w:rFonts w:cs="Guttman Drogolin" w:hint="cs"/>
          <w:rtl/>
          <w:lang w:bidi="he-IL"/>
        </w:rPr>
        <w:t xml:space="preserve">אלא בעדות אשה בלבד, הנ"מ בדבר שצריך דין עדות, ר"ל שני עדים כשרים וכו', אבל באיסורים שנאמר הכלל </w:t>
      </w:r>
      <w:r w:rsidR="007955D6" w:rsidRPr="00882F11">
        <w:rPr>
          <w:rFonts w:cs="Guttman Drogolin" w:hint="cs"/>
          <w:rtl/>
          <w:lang w:bidi="he-IL"/>
        </w:rPr>
        <w:t>דעד א' נאמן באיסורים שפיר אמרינ</w:t>
      </w:r>
      <w:r w:rsidR="00BF1308" w:rsidRPr="00882F11">
        <w:rPr>
          <w:rFonts w:cs="Guttman Drogolin" w:hint="cs"/>
          <w:rtl/>
          <w:lang w:bidi="he-IL"/>
        </w:rPr>
        <w:t>ן שגם נכרי במסל"ת נאמן. ובמש"ז העיר על תי' זה מן המבואר שם במס' ב"</w:t>
      </w:r>
      <w:r w:rsidR="0089759B" w:rsidRPr="00882F11">
        <w:rPr>
          <w:rFonts w:cs="Guttman Drogolin" w:hint="cs"/>
          <w:rtl/>
          <w:lang w:bidi="he-IL"/>
        </w:rPr>
        <w:t>ק שכלל זה נאמר גם לענין אכילת תרומה שלכאורה הוי בכלל הדין נאמנות דאיסורין.</w:t>
      </w:r>
      <w:r w:rsidR="00BF1308" w:rsidRPr="00882F11">
        <w:rPr>
          <w:rFonts w:cs="Guttman Drogolin" w:hint="cs"/>
          <w:rtl/>
          <w:lang w:bidi="he-IL"/>
        </w:rPr>
        <w:t xml:space="preserve"> ומ"מ הסיק הט"ז</w:t>
      </w:r>
      <w:r w:rsidRPr="00882F11">
        <w:rPr>
          <w:rFonts w:cs="Guttman Drogolin" w:hint="cs"/>
          <w:rtl/>
          <w:lang w:bidi="he-IL"/>
        </w:rPr>
        <w:t xml:space="preserve"> </w:t>
      </w:r>
      <w:r w:rsidR="0089759B" w:rsidRPr="00882F11">
        <w:rPr>
          <w:rFonts w:cs="Guttman Drogolin" w:hint="cs"/>
          <w:rtl/>
          <w:lang w:bidi="he-IL"/>
        </w:rPr>
        <w:t>בשאלה שהרי השו"ע בסי' שט"ז לא סמך אנכרי במסל"ת גם באיסורים היכא דהוי איסור דאורייתא, ולכן סותר לכאן. ולכאורה כוונת הט"ז להשאר בצ"ע.</w:t>
      </w:r>
      <w:r w:rsidR="008175B3" w:rsidRPr="00882F11">
        <w:rPr>
          <w:rFonts w:cs="Guttman Drogolin" w:hint="cs"/>
          <w:rtl/>
          <w:lang w:bidi="he-IL"/>
        </w:rPr>
        <w:t xml:space="preserve"> </w:t>
      </w:r>
    </w:p>
    <w:p w:rsidR="007955D6" w:rsidRPr="00882F11" w:rsidRDefault="0089759B" w:rsidP="0089759B">
      <w:pPr>
        <w:tabs>
          <w:tab w:val="right" w:pos="7497"/>
        </w:tabs>
        <w:bidi/>
        <w:jc w:val="both"/>
        <w:rPr>
          <w:rFonts w:cs="Guttman Drogolin"/>
          <w:rtl/>
          <w:lang w:bidi="he-IL"/>
        </w:rPr>
      </w:pPr>
      <w:r w:rsidRPr="00882F11">
        <w:rPr>
          <w:rFonts w:cs="Guttman Drogolin" w:hint="cs"/>
          <w:rtl/>
          <w:lang w:bidi="he-IL"/>
        </w:rPr>
        <w:t xml:space="preserve">ובעיקר הדבר שתי' התרוה"ד שלשיטה הסוברת דבעינן גם קפילא וגם מסל"ת ניחא כיון שיש גם הנאמנות של קפילא, הקשה הש"ך בשם מחותנו הר"ר גרשון </w:t>
      </w:r>
      <w:r w:rsidR="00AF4030" w:rsidRPr="00882F11">
        <w:rPr>
          <w:rFonts w:cs="Guttman Drogolin" w:hint="cs"/>
          <w:rtl/>
          <w:lang w:bidi="he-IL"/>
        </w:rPr>
        <w:t>שלכאורה לא יתכן נאמנות של שניהם ביחד, שאם הוא מסל"ת הא לא ידע דסמכינן עלי', וא"כ ליכא למימר דקפילא מירתת שלא יתפס בשקרו, דהא לא ידע דסמכינן עלי'. ולכן ע"כ השיטה שמצריך תרוייהו היינו משום שמצריך הבקיאות של קפילא שיכול להבחין טעם שסתם בני אדם אינם מבחינים בו. וא"כ יוצא שבמסל"ת ליכא תוספת נאמנות בזה שהוא קפילא וחזר קושיית התרוה"ד לדוכתי'.</w:t>
      </w:r>
    </w:p>
    <w:p w:rsidR="00EF4630" w:rsidRPr="00882F11" w:rsidRDefault="007955D6" w:rsidP="007955D6">
      <w:pPr>
        <w:tabs>
          <w:tab w:val="right" w:pos="7497"/>
        </w:tabs>
        <w:bidi/>
        <w:jc w:val="both"/>
        <w:rPr>
          <w:rFonts w:cs="Guttman Drogolin"/>
          <w:rtl/>
          <w:lang w:bidi="he-IL"/>
        </w:rPr>
      </w:pPr>
      <w:r w:rsidRPr="00882F11">
        <w:rPr>
          <w:rFonts w:cs="Guttman Drogolin" w:hint="cs"/>
          <w:rtl/>
          <w:lang w:bidi="he-IL"/>
        </w:rPr>
        <w:t>והתשובה לקושיא זו נמצא בט"ז, שהט"ז בסס"ק ב' כתב שמדברי הרא"ש מוכח שמסל"ת דהכא מיירי אפילו בכה"ג שיודע שסומכים עליו, רק מיירי בכה"ג שאינו יודע שסומכים עליו באו"ה</w:t>
      </w:r>
      <w:r w:rsidR="00850C2E" w:rsidRPr="00882F11">
        <w:rPr>
          <w:rFonts w:cs="Guttman Drogolin" w:hint="cs"/>
          <w:rtl/>
          <w:lang w:bidi="he-IL"/>
        </w:rPr>
        <w:t xml:space="preserve"> ומשו"ה חשוב מסל"ת. </w:t>
      </w:r>
      <w:r w:rsidR="00EF4630" w:rsidRPr="00882F11">
        <w:rPr>
          <w:rFonts w:cs="Guttman Drogolin" w:hint="cs"/>
          <w:rtl/>
          <w:lang w:bidi="he-IL"/>
        </w:rPr>
        <w:t xml:space="preserve">ולכאורה דבר זה מוכרח ברא"ש משום הערת הר"ר גרשון הנ"ל, דכיון דשייך להחמיר בתרוייהו (שזהו שיטת הרא"ש לפי ביאורו של הט"ז) ע"כ צריך להיות דמיירי בכה"ג שסומכים עליו, וא"כ ע"כ שגם זה חשוב מסל"ת. ולפי דברי הרא"ש לכאורה יש לנו קושיא יותר גדולה, דאיך אפשר לסמוך אמסל"ת כזו כלל, דהאלא מצאנו אלא בעדות אשה, ובעדות אשה אינו נאמן בכה"ג. </w:t>
      </w:r>
    </w:p>
    <w:p w:rsidR="00055184" w:rsidRPr="00882F11" w:rsidRDefault="00EF4630" w:rsidP="00EF4630">
      <w:pPr>
        <w:tabs>
          <w:tab w:val="right" w:pos="7497"/>
        </w:tabs>
        <w:bidi/>
        <w:jc w:val="both"/>
        <w:rPr>
          <w:rFonts w:cs="Guttman Drogolin"/>
          <w:rtl/>
          <w:lang w:bidi="he-IL"/>
        </w:rPr>
      </w:pPr>
      <w:r w:rsidRPr="00882F11">
        <w:rPr>
          <w:rFonts w:cs="Guttman Drogolin" w:hint="cs"/>
          <w:rtl/>
          <w:lang w:bidi="he-IL"/>
        </w:rPr>
        <w:lastRenderedPageBreak/>
        <w:t>ומ"מ ע"פ יסוד זה לכאורה מובנים דברי הש"ך ביישוב קושית הרא"ה והתרוה"ד. שכתב הש"ך שיש לנו תוספת הוכחה כיון שהנכרי מירתת שיטעמנו לקפילא אחרת. והוא מובן רק אם נימא שהטועם יודע שסומכים עליו, דאל"כ ליכא מירתת. וע' בשפ"ד שהעיר שזהו לכאורה דלא כסבר הר"ר גרשון שהביא הש"ך לעיל מיני', דהא לדידי' ע"כ אין הקפילא יודע שסומכים עליו כלל, דאל"כ ליתי' לקושיתו וכמו שביארנו בדברי הט"ז.</w:t>
      </w:r>
    </w:p>
    <w:p w:rsidR="000F2C53" w:rsidRPr="00882F11" w:rsidRDefault="00055184" w:rsidP="00A15CD3">
      <w:pPr>
        <w:tabs>
          <w:tab w:val="right" w:pos="7497"/>
        </w:tabs>
        <w:bidi/>
        <w:jc w:val="both"/>
        <w:rPr>
          <w:rFonts w:cs="Guttman Drogolin"/>
          <w:rtl/>
          <w:lang w:bidi="he-IL"/>
        </w:rPr>
      </w:pPr>
      <w:r w:rsidRPr="00882F11">
        <w:rPr>
          <w:rFonts w:cs="Guttman Drogolin" w:hint="cs"/>
          <w:rtl/>
          <w:lang w:bidi="he-IL"/>
        </w:rPr>
        <w:t xml:space="preserve">ובהאי </w:t>
      </w:r>
      <w:r w:rsidR="00A15CD3" w:rsidRPr="00882F11">
        <w:rPr>
          <w:rFonts w:cs="Guttman Drogolin" w:hint="cs"/>
          <w:rtl/>
          <w:lang w:bidi="he-IL"/>
        </w:rPr>
        <w:t xml:space="preserve">ענינא לכאורה יש להעיר עוד, והוא שיש להתספק אם אפשר כלל לסמוך אטעימה לומר שאין בה טעם היכא שלא התכוין להבחין בטעמו בשעת אכילה, דאיכא למימר דטעם ולאו אדעתי'. וע' באמת הפלאה על הש"ך שמשו"ה לא הזכירו הפוסקים לסמוך איהודי שטעם דרך מקרה כיון דכה"ג הוי לאו אדעתי'. ומר"ר גשרון מבואר שיש טעימת קפילא בכה"ג שהרי כל מסל"ת הוי הכי. ואם הוא בקפילא אולי עדיף </w:t>
      </w:r>
      <w:r w:rsidR="00A15CD3" w:rsidRPr="00882F11">
        <w:rPr>
          <w:rFonts w:cs="Guttman Drogolin"/>
          <w:rtl/>
          <w:lang w:bidi="he-IL"/>
        </w:rPr>
        <w:t>–</w:t>
      </w:r>
      <w:r w:rsidR="00A15CD3" w:rsidRPr="00882F11">
        <w:rPr>
          <w:rFonts w:cs="Guttman Drogolin" w:hint="cs"/>
          <w:rtl/>
          <w:lang w:bidi="he-IL"/>
        </w:rPr>
        <w:t xml:space="preserve"> ע"ש בהפלאה שכ"כ. </w:t>
      </w:r>
      <w:r w:rsidR="00EF4630" w:rsidRPr="00882F11">
        <w:rPr>
          <w:rFonts w:cs="Guttman Drogolin" w:hint="cs"/>
          <w:rtl/>
          <w:lang w:bidi="he-IL"/>
        </w:rPr>
        <w:t xml:space="preserve">  </w:t>
      </w:r>
      <w:r w:rsidR="00AF4030" w:rsidRPr="00882F11">
        <w:rPr>
          <w:rFonts w:cs="Guttman Drogolin" w:hint="cs"/>
          <w:rtl/>
          <w:lang w:bidi="he-IL"/>
        </w:rPr>
        <w:t xml:space="preserve">  </w:t>
      </w:r>
    </w:p>
    <w:p w:rsidR="000F2C53" w:rsidRPr="00882F11" w:rsidRDefault="000F2C53" w:rsidP="000F2C53">
      <w:pPr>
        <w:pStyle w:val="Heading1"/>
        <w:bidi/>
        <w:spacing w:before="0" w:line="360" w:lineRule="auto"/>
        <w:jc w:val="center"/>
        <w:rPr>
          <w:rFonts w:cs="Guttman Drogolin"/>
          <w:color w:val="auto"/>
          <w:sz w:val="24"/>
          <w:szCs w:val="24"/>
          <w:u w:val="single"/>
          <w:rtl/>
          <w:lang w:bidi="he-IL"/>
        </w:rPr>
      </w:pPr>
      <w:bookmarkStart w:id="300" w:name="_Toc496175551"/>
      <w:r w:rsidRPr="00882F11">
        <w:rPr>
          <w:rFonts w:cs="Guttman Drogolin" w:hint="cs"/>
          <w:color w:val="auto"/>
          <w:sz w:val="24"/>
          <w:szCs w:val="24"/>
          <w:u w:val="single"/>
          <w:rtl/>
          <w:lang w:bidi="he-IL"/>
        </w:rPr>
        <w:t>הדין למעשה בטעימת קפילא</w:t>
      </w:r>
      <w:bookmarkEnd w:id="300"/>
    </w:p>
    <w:p w:rsidR="000F2C53" w:rsidRPr="00882F11" w:rsidRDefault="00B67BE2" w:rsidP="000F2C53">
      <w:pPr>
        <w:tabs>
          <w:tab w:val="right" w:pos="7497"/>
        </w:tabs>
        <w:bidi/>
        <w:jc w:val="both"/>
        <w:rPr>
          <w:rFonts w:cs="Guttman Drogolin"/>
          <w:rtl/>
          <w:lang w:bidi="he-IL"/>
        </w:rPr>
      </w:pPr>
      <w:r>
        <w:rPr>
          <w:rFonts w:cs="Guttman Drogolin"/>
          <w:rtl/>
          <w:lang w:bidi="he-IL"/>
        </w:rPr>
        <w:fldChar w:fldCharType="begin"/>
      </w:r>
      <w:r>
        <w:instrText xml:space="preserve"> XE "</w:instrText>
      </w:r>
      <w:r w:rsidRPr="004D3573">
        <w:rPr>
          <w:rFonts w:hint="cs"/>
          <w:rtl/>
          <w:lang w:bidi="he-IL"/>
        </w:rPr>
        <w:instrText>קפילא</w:instrText>
      </w:r>
      <w:r w:rsidRPr="004D3573">
        <w:rPr>
          <w:rtl/>
        </w:rPr>
        <w:instrText>:</w:instrText>
      </w:r>
      <w:r w:rsidRPr="004D3573">
        <w:rPr>
          <w:rFonts w:hint="cs"/>
          <w:rtl/>
          <w:lang w:bidi="he-IL"/>
        </w:rPr>
        <w:instrText>הדין למעשה</w:instrText>
      </w:r>
      <w:r>
        <w:instrText xml:space="preserve">" </w:instrText>
      </w:r>
      <w:r>
        <w:rPr>
          <w:rFonts w:cs="Guttman Drogolin"/>
          <w:rtl/>
          <w:lang w:bidi="he-IL"/>
        </w:rPr>
        <w:fldChar w:fldCharType="end"/>
      </w:r>
      <w:r w:rsidR="000F2C53" w:rsidRPr="00882F11">
        <w:rPr>
          <w:rFonts w:cs="Guttman Drogolin" w:hint="cs"/>
          <w:rtl/>
          <w:lang w:bidi="he-IL"/>
        </w:rPr>
        <w:t>השו"ע לא הביא אלא הדין שנכרי נאמן במסל"ת ולא הביא שצריך להיות קפילא. וזהו לכאורה כשיטתו בב"י בי"ל בדעת הרא"ש ורש"י דמסל"ת מהני ולא בעינן קפילא דוקא. רק שלשיטה זו נשאר קשה למה נקטו קפילא בארמאה ולא בכהן. והגר"א פי' שיטת המחבר כדעת הרשב"א דאו הא או הא סגי, ובגמ' נקטו קפילא במקרה שאינו מסל"ת. אלא שהעיר בזה הגר"א דא"כ העיקר חסר, שהרי הדין המבואר בגמ' שסומכים על קפילא לפי דבריו הוא בכה"ג שאומרים לו בהדיא והוא קפילא, ודין מסל"ת אינו אלא מסברא, ואיך כתב הדין שאינו מפורש והשמיט הדין המפורש. וצ"ע.</w:t>
      </w:r>
    </w:p>
    <w:p w:rsidR="00563300" w:rsidRPr="00882F11" w:rsidRDefault="000F2C53" w:rsidP="000F2C53">
      <w:pPr>
        <w:tabs>
          <w:tab w:val="right" w:pos="7497"/>
        </w:tabs>
        <w:bidi/>
        <w:jc w:val="both"/>
        <w:rPr>
          <w:rFonts w:cs="Guttman Drogolin"/>
          <w:rtl/>
          <w:lang w:bidi="he-IL"/>
        </w:rPr>
      </w:pPr>
      <w:r w:rsidRPr="00882F11">
        <w:rPr>
          <w:rFonts w:cs="Guttman Drogolin" w:hint="cs"/>
          <w:rtl/>
          <w:lang w:bidi="he-IL"/>
        </w:rPr>
        <w:t>וכל זה לשיטת המחבר. אבל הרמ"א כתב "ואין</w:t>
      </w:r>
      <w:r w:rsidRPr="00882F11">
        <w:rPr>
          <w:rFonts w:cs="Guttman Drogolin"/>
          <w:rtl/>
          <w:lang w:bidi="he-IL"/>
        </w:rPr>
        <w:t xml:space="preserve"> </w:t>
      </w:r>
      <w:r w:rsidRPr="00882F11">
        <w:rPr>
          <w:rFonts w:cs="Guttman Drogolin" w:hint="cs"/>
          <w:rtl/>
          <w:lang w:bidi="he-IL"/>
        </w:rPr>
        <w:t>נוהגים</w:t>
      </w:r>
      <w:r w:rsidRPr="00882F11">
        <w:rPr>
          <w:rFonts w:cs="Guttman Drogolin"/>
          <w:rtl/>
          <w:lang w:bidi="he-IL"/>
        </w:rPr>
        <w:t xml:space="preserve"> </w:t>
      </w:r>
      <w:r w:rsidRPr="00882F11">
        <w:rPr>
          <w:rFonts w:cs="Guttman Drogolin" w:hint="cs"/>
          <w:rtl/>
          <w:lang w:bidi="he-IL"/>
        </w:rPr>
        <w:t>עכשיו</w:t>
      </w:r>
      <w:r w:rsidRPr="00882F11">
        <w:rPr>
          <w:rFonts w:cs="Guttman Drogolin"/>
          <w:rtl/>
          <w:lang w:bidi="he-IL"/>
        </w:rPr>
        <w:t xml:space="preserve"> </w:t>
      </w:r>
      <w:r w:rsidRPr="00882F11">
        <w:rPr>
          <w:rFonts w:cs="Guttman Drogolin" w:hint="cs"/>
          <w:rtl/>
          <w:lang w:bidi="he-IL"/>
        </w:rPr>
        <w:t>לסמוך</w:t>
      </w:r>
      <w:r w:rsidRPr="00882F11">
        <w:rPr>
          <w:rFonts w:cs="Guttman Drogolin"/>
          <w:rtl/>
          <w:lang w:bidi="he-IL"/>
        </w:rPr>
        <w:t xml:space="preserve"> </w:t>
      </w:r>
      <w:r w:rsidRPr="00882F11">
        <w:rPr>
          <w:rFonts w:cs="Guttman Drogolin" w:hint="cs"/>
          <w:rtl/>
          <w:lang w:bidi="he-IL"/>
        </w:rPr>
        <w:t>על</w:t>
      </w:r>
      <w:r w:rsidRPr="00882F11">
        <w:rPr>
          <w:rFonts w:cs="Guttman Drogolin"/>
          <w:rtl/>
          <w:lang w:bidi="he-IL"/>
        </w:rPr>
        <w:t xml:space="preserve"> </w:t>
      </w:r>
      <w:r w:rsidRPr="00882F11">
        <w:rPr>
          <w:rFonts w:cs="Guttman Drogolin" w:hint="cs"/>
          <w:rtl/>
          <w:lang w:bidi="he-IL"/>
        </w:rPr>
        <w:t>עו</w:t>
      </w:r>
      <w:r w:rsidRPr="00882F11">
        <w:rPr>
          <w:rFonts w:cs="Guttman Drogolin"/>
          <w:rtl/>
          <w:lang w:bidi="he-IL"/>
        </w:rPr>
        <w:t>"</w:t>
      </w:r>
      <w:r w:rsidRPr="00882F11">
        <w:rPr>
          <w:rFonts w:cs="Guttman Drogolin" w:hint="cs"/>
          <w:rtl/>
          <w:lang w:bidi="he-IL"/>
        </w:rPr>
        <w:t>ג</w:t>
      </w:r>
      <w:r w:rsidRPr="00882F11">
        <w:rPr>
          <w:rFonts w:cs="Guttman Drogolin"/>
          <w:rtl/>
          <w:lang w:bidi="he-IL"/>
        </w:rPr>
        <w:t xml:space="preserve">, </w:t>
      </w:r>
      <w:r w:rsidRPr="00882F11">
        <w:rPr>
          <w:rFonts w:cs="Guttman Drogolin" w:hint="cs"/>
          <w:rtl/>
          <w:lang w:bidi="he-IL"/>
        </w:rPr>
        <w:t>ומשערין</w:t>
      </w:r>
      <w:r w:rsidRPr="00882F11">
        <w:rPr>
          <w:rFonts w:cs="Guttman Drogolin"/>
          <w:rtl/>
          <w:lang w:bidi="he-IL"/>
        </w:rPr>
        <w:t xml:space="preserve"> </w:t>
      </w:r>
      <w:r w:rsidRPr="00882F11">
        <w:rPr>
          <w:rFonts w:cs="Guttman Drogolin" w:hint="cs"/>
          <w:rtl/>
          <w:lang w:bidi="he-IL"/>
        </w:rPr>
        <w:t>הכל</w:t>
      </w:r>
      <w:r w:rsidRPr="00882F11">
        <w:rPr>
          <w:rFonts w:cs="Guttman Drogolin"/>
          <w:rtl/>
          <w:lang w:bidi="he-IL"/>
        </w:rPr>
        <w:t xml:space="preserve"> </w:t>
      </w:r>
      <w:r w:rsidRPr="00882F11">
        <w:rPr>
          <w:rFonts w:cs="Guttman Drogolin" w:hint="cs"/>
          <w:rtl/>
          <w:lang w:bidi="he-IL"/>
        </w:rPr>
        <w:t>בס</w:t>
      </w:r>
      <w:r w:rsidRPr="00882F11">
        <w:rPr>
          <w:rFonts w:cs="Guttman Drogolin"/>
          <w:rtl/>
          <w:lang w:bidi="he-IL"/>
        </w:rPr>
        <w:t>'</w:t>
      </w:r>
      <w:r w:rsidRPr="00882F11">
        <w:rPr>
          <w:rFonts w:cs="Guttman Drogolin" w:hint="cs"/>
          <w:rtl/>
          <w:lang w:bidi="he-IL"/>
        </w:rPr>
        <w:t xml:space="preserve">". וביאור דבריו תלוי בדין טעימת ישראל. שאם המנהג של הרמ"א שייך גם לטעימת ישראל, שלא סומכים אפילו אטעימת ישראל, ע"כ הטעם כמש"כ ביד יהודה שאנן לא בקיאין היום. והביאור </w:t>
      </w:r>
      <w:r w:rsidRPr="00882F11">
        <w:rPr>
          <w:rFonts w:cs="Guttman Drogolin" w:hint="cs"/>
          <w:rtl/>
          <w:lang w:bidi="he-IL"/>
        </w:rPr>
        <w:lastRenderedPageBreak/>
        <w:t xml:space="preserve">בזה, שאע"ג שכל האיסור של טעם הוא משום שטועמים אותו, וא"כ עד כמה שאין טועמים אותו לכאורה לא הי' צריך להיות אסור, וא"כ איך אפשר לומר שהוא אסור ואנן לא טעמינן. ולכאורה התשובה שאין כוונת הדברים שאין אנו טועמים דבר זה היום, רק דאמרינן ד'טעם ולאו אדעתי''. ור"ל שהיום אין אנו בקיאים בהבחנת הטעם, אבל לעולם אנחנו טועמים האיסור ואסור. והוא כגון שאומרים לו לאדם אם הוא טעם, והוא עונה שהוא טעם משהו אבל אינו יודע מהו טעם. </w:t>
      </w:r>
    </w:p>
    <w:p w:rsidR="00DE1E2D" w:rsidRPr="00882F11" w:rsidRDefault="00563300" w:rsidP="00563300">
      <w:pPr>
        <w:tabs>
          <w:tab w:val="right" w:pos="7497"/>
        </w:tabs>
        <w:bidi/>
        <w:jc w:val="both"/>
        <w:rPr>
          <w:rFonts w:cs="Guttman Drogolin"/>
          <w:rtl/>
          <w:lang w:bidi="he-IL"/>
        </w:rPr>
      </w:pPr>
      <w:r w:rsidRPr="00882F11">
        <w:rPr>
          <w:rFonts w:cs="Guttman Drogolin" w:hint="cs"/>
          <w:rtl/>
          <w:lang w:bidi="he-IL"/>
        </w:rPr>
        <w:t xml:space="preserve">אמנם שיטת הש"ך כאן ובסי' צ"ו שסומכים אטעימת ישראל. וא"כ לדידי' תיקשי למה לא סומכים אטעימת עכו"ם, הא דין מפורש בגמ' הוא. וברע"א הציע לומר שהוא משום שאי אפשר להחמיר את כל השיטות, וע"פ סברת ר' גרשון הנ"ל. שאם צריכים קפילא צריך הוא לדעת שסומכים עליו, ואם כן אינו מסל"ת, והרי י"א שצריכים מסל"ת. </w:t>
      </w:r>
      <w:r w:rsidR="007D2C12" w:rsidRPr="00882F11">
        <w:rPr>
          <w:rFonts w:cs="Guttman Drogolin" w:hint="cs"/>
          <w:rtl/>
          <w:lang w:bidi="he-IL"/>
        </w:rPr>
        <w:t>ור"ל דבשלא למאן דמצריך תרוייהו היינו כסברת הר"ר גרשון דבעינן קפילא משום שמבחין הטעם, אבל למי שצריך רק קפילא ולא מהני לידיד' מסל"ת יתכן שצריכים לומר לו דוקא וע"ש ברע"א דנקט שמ"מ הי' לנו להתיר במסל"ת באיסורים דרבנן. ובמטה</w:t>
      </w:r>
      <w:r w:rsidRPr="00882F11">
        <w:rPr>
          <w:rFonts w:cs="Guttman Drogolin" w:hint="cs"/>
          <w:rtl/>
          <w:lang w:bidi="he-IL"/>
        </w:rPr>
        <w:t xml:space="preserve"> </w:t>
      </w:r>
      <w:r w:rsidR="007D2C12" w:rsidRPr="00882F11">
        <w:rPr>
          <w:rFonts w:cs="Guttman Drogolin" w:hint="cs"/>
          <w:rtl/>
          <w:lang w:bidi="he-IL"/>
        </w:rPr>
        <w:t>יהונתן (על הגליון) העיר על חשבונו של רע"א שלכאורה עדיין אפשר להביא ב' נכרים ולהטעים א' במסל"ת וא' קפילא</w:t>
      </w:r>
      <w:r w:rsidR="00681494" w:rsidRPr="00882F11">
        <w:rPr>
          <w:rFonts w:cs="Guttman Drogolin" w:hint="cs"/>
          <w:rtl/>
          <w:lang w:bidi="he-IL"/>
        </w:rPr>
        <w:t xml:space="preserve">. </w:t>
      </w:r>
      <w:r w:rsidR="00DE1E2D" w:rsidRPr="00882F11">
        <w:rPr>
          <w:rFonts w:cs="Guttman Drogolin" w:hint="cs"/>
          <w:rtl/>
          <w:lang w:bidi="he-IL"/>
        </w:rPr>
        <w:t>וע' בזה בב"ח, ושפ"ד ס"ק כ"ט, וערוה"ש סע' כ"ה.</w:t>
      </w:r>
    </w:p>
    <w:p w:rsidR="00DE1E2D" w:rsidRPr="00882F11" w:rsidRDefault="00DE1E2D" w:rsidP="00DE1E2D">
      <w:pPr>
        <w:tabs>
          <w:tab w:val="right" w:pos="7497"/>
        </w:tabs>
        <w:bidi/>
        <w:jc w:val="both"/>
        <w:rPr>
          <w:rFonts w:cs="Guttman Drogolin"/>
          <w:rtl/>
          <w:lang w:bidi="he-IL"/>
        </w:rPr>
      </w:pPr>
      <w:r w:rsidRPr="00882F11">
        <w:rPr>
          <w:rFonts w:cs="Guttman Drogolin" w:hint="cs"/>
          <w:rtl/>
          <w:lang w:bidi="he-IL"/>
        </w:rPr>
        <w:t xml:space="preserve">ועדיין יש כאן מקום עיון, שהרי לפי כל הדעות אין זה אלא טעם להחמיר ולא לסמוך אנכרי, אבל הש"ך הרי דקדק בשיטת השו"ע שאפילו אם יש ששים, אם יש נכרי צריכים להטעימו לנכרי, וא"כ לכאורה עדיין הי' לנו להחמיר להטעימו לנכרי כשיש ס'. ובביאור הגר"א (סס"ק ז') דחה הדיוק של הש"ך ולעולם לא בעינן טעימת נכרי להחמיר, ושאין דיוק מן השו"ע כיון דלשון הגמ' הוא. </w:t>
      </w:r>
    </w:p>
    <w:p w:rsidR="006F753C" w:rsidRPr="00882F11" w:rsidRDefault="00DE1E2D" w:rsidP="006F753C">
      <w:pPr>
        <w:tabs>
          <w:tab w:val="right" w:pos="7497"/>
        </w:tabs>
        <w:bidi/>
        <w:jc w:val="both"/>
        <w:rPr>
          <w:rFonts w:cs="Guttman Drogolin"/>
          <w:rtl/>
          <w:lang w:bidi="he-IL"/>
        </w:rPr>
      </w:pPr>
      <w:r w:rsidRPr="00882F11">
        <w:rPr>
          <w:rFonts w:cs="Guttman Drogolin" w:hint="cs"/>
          <w:rtl/>
          <w:lang w:bidi="he-IL"/>
        </w:rPr>
        <w:lastRenderedPageBreak/>
        <w:t xml:space="preserve">ומ"מ אין לנו מדברי הרמ"א אלא מנהג בני אשכנז, אבל יל"ע אם הספרדים באמת סומכים להקל כשיטת המחבר. ובכף החיים בכמה מקומות </w:t>
      </w:r>
      <w:r w:rsidR="006F753C" w:rsidRPr="00882F11">
        <w:rPr>
          <w:rFonts w:cs="Guttman Drogolin" w:hint="cs"/>
          <w:rtl/>
          <w:lang w:bidi="he-IL"/>
        </w:rPr>
        <w:t>(ע' סי</w:t>
      </w:r>
      <w:r w:rsidR="006F753C" w:rsidRPr="00882F11">
        <w:rPr>
          <w:rFonts w:cs="Guttman Drogolin"/>
          <w:rtl/>
          <w:lang w:bidi="he-IL"/>
        </w:rPr>
        <w:t xml:space="preserve">' </w:t>
      </w:r>
      <w:r w:rsidR="006F753C" w:rsidRPr="00882F11">
        <w:rPr>
          <w:rFonts w:cs="Guttman Drogolin" w:hint="cs"/>
          <w:rtl/>
          <w:lang w:bidi="he-IL"/>
        </w:rPr>
        <w:t>פ</w:t>
      </w:r>
      <w:r w:rsidR="006F753C" w:rsidRPr="00882F11">
        <w:rPr>
          <w:rFonts w:cs="Guttman Drogolin"/>
          <w:rtl/>
          <w:lang w:bidi="he-IL"/>
        </w:rPr>
        <w:t>"</w:t>
      </w:r>
      <w:r w:rsidR="006F753C" w:rsidRPr="00882F11">
        <w:rPr>
          <w:rFonts w:cs="Guttman Drogolin" w:hint="cs"/>
          <w:rtl/>
          <w:lang w:bidi="he-IL"/>
        </w:rPr>
        <w:t>ז</w:t>
      </w:r>
      <w:r w:rsidR="006F753C" w:rsidRPr="00882F11">
        <w:rPr>
          <w:rFonts w:cs="Guttman Drogolin"/>
          <w:rtl/>
          <w:lang w:bidi="he-IL"/>
        </w:rPr>
        <w:t xml:space="preserve"> </w:t>
      </w:r>
      <w:r w:rsidR="006F753C" w:rsidRPr="00882F11">
        <w:rPr>
          <w:rFonts w:cs="Guttman Drogolin" w:hint="cs"/>
          <w:rtl/>
          <w:lang w:bidi="he-IL"/>
        </w:rPr>
        <w:t>ס</w:t>
      </w:r>
      <w:r w:rsidR="006F753C" w:rsidRPr="00882F11">
        <w:rPr>
          <w:rFonts w:cs="Guttman Drogolin"/>
          <w:rtl/>
          <w:lang w:bidi="he-IL"/>
        </w:rPr>
        <w:t>"</w:t>
      </w:r>
      <w:r w:rsidR="006F753C" w:rsidRPr="00882F11">
        <w:rPr>
          <w:rFonts w:cs="Guttman Drogolin" w:hint="cs"/>
          <w:rtl/>
          <w:lang w:bidi="he-IL"/>
        </w:rPr>
        <w:t>ק</w:t>
      </w:r>
      <w:r w:rsidR="006F753C" w:rsidRPr="00882F11">
        <w:rPr>
          <w:rFonts w:cs="Guttman Drogolin"/>
          <w:rtl/>
          <w:lang w:bidi="he-IL"/>
        </w:rPr>
        <w:t xml:space="preserve"> </w:t>
      </w:r>
      <w:r w:rsidR="006F753C" w:rsidRPr="00882F11">
        <w:rPr>
          <w:rFonts w:cs="Guttman Drogolin" w:hint="cs"/>
          <w:rtl/>
          <w:lang w:bidi="he-IL"/>
        </w:rPr>
        <w:t>ב</w:t>
      </w:r>
      <w:r w:rsidR="006F753C" w:rsidRPr="00882F11">
        <w:rPr>
          <w:rFonts w:cs="Guttman Drogolin"/>
          <w:rtl/>
          <w:lang w:bidi="he-IL"/>
        </w:rPr>
        <w:t xml:space="preserve">', </w:t>
      </w:r>
      <w:r w:rsidR="006F753C" w:rsidRPr="00882F11">
        <w:rPr>
          <w:rFonts w:cs="Guttman Drogolin" w:hint="cs"/>
          <w:rtl/>
          <w:lang w:bidi="he-IL"/>
        </w:rPr>
        <w:t>ס</w:t>
      </w:r>
      <w:r w:rsidR="006F753C" w:rsidRPr="00882F11">
        <w:rPr>
          <w:rFonts w:cs="Guttman Drogolin"/>
          <w:rtl/>
          <w:lang w:bidi="he-IL"/>
        </w:rPr>
        <w:t>"</w:t>
      </w:r>
      <w:r w:rsidR="006F753C" w:rsidRPr="00882F11">
        <w:rPr>
          <w:rFonts w:cs="Guttman Drogolin" w:hint="cs"/>
          <w:rtl/>
          <w:lang w:bidi="he-IL"/>
        </w:rPr>
        <w:t>ק</w:t>
      </w:r>
      <w:r w:rsidR="006F753C" w:rsidRPr="00882F11">
        <w:rPr>
          <w:rFonts w:cs="Guttman Drogolin"/>
          <w:rtl/>
          <w:lang w:bidi="he-IL"/>
        </w:rPr>
        <w:t xml:space="preserve"> </w:t>
      </w:r>
      <w:r w:rsidR="006F753C" w:rsidRPr="00882F11">
        <w:rPr>
          <w:rFonts w:cs="Guttman Drogolin" w:hint="cs"/>
          <w:rtl/>
          <w:lang w:bidi="he-IL"/>
        </w:rPr>
        <w:t>י</w:t>
      </w:r>
      <w:r w:rsidR="006F753C" w:rsidRPr="00882F11">
        <w:rPr>
          <w:rFonts w:cs="Guttman Drogolin"/>
          <w:rtl/>
          <w:lang w:bidi="he-IL"/>
        </w:rPr>
        <w:t>"</w:t>
      </w:r>
      <w:r w:rsidR="006F753C" w:rsidRPr="00882F11">
        <w:rPr>
          <w:rFonts w:cs="Guttman Drogolin" w:hint="cs"/>
          <w:rtl/>
          <w:lang w:bidi="he-IL"/>
        </w:rPr>
        <w:t>א</w:t>
      </w:r>
      <w:r w:rsidR="006F753C" w:rsidRPr="00882F11">
        <w:rPr>
          <w:rFonts w:cs="Guttman Drogolin"/>
          <w:rtl/>
          <w:lang w:bidi="he-IL"/>
        </w:rPr>
        <w:t xml:space="preserve">, </w:t>
      </w:r>
      <w:r w:rsidR="006F753C" w:rsidRPr="00882F11">
        <w:rPr>
          <w:rFonts w:cs="Guttman Drogolin" w:hint="cs"/>
          <w:rtl/>
          <w:lang w:bidi="he-IL"/>
        </w:rPr>
        <w:t>ס</w:t>
      </w:r>
      <w:r w:rsidR="006F753C" w:rsidRPr="00882F11">
        <w:rPr>
          <w:rFonts w:cs="Guttman Drogolin"/>
          <w:rtl/>
          <w:lang w:bidi="he-IL"/>
        </w:rPr>
        <w:t>"</w:t>
      </w:r>
      <w:r w:rsidR="006F753C" w:rsidRPr="00882F11">
        <w:rPr>
          <w:rFonts w:cs="Guttman Drogolin" w:hint="cs"/>
          <w:rtl/>
          <w:lang w:bidi="he-IL"/>
        </w:rPr>
        <w:t>ק</w:t>
      </w:r>
      <w:r w:rsidR="006F753C" w:rsidRPr="00882F11">
        <w:rPr>
          <w:rFonts w:cs="Guttman Drogolin"/>
          <w:rtl/>
          <w:lang w:bidi="he-IL"/>
        </w:rPr>
        <w:t xml:space="preserve"> </w:t>
      </w:r>
      <w:r w:rsidR="006F753C" w:rsidRPr="00882F11">
        <w:rPr>
          <w:rFonts w:cs="Guttman Drogolin" w:hint="cs"/>
          <w:rtl/>
          <w:lang w:bidi="he-IL"/>
        </w:rPr>
        <w:t>צ</w:t>
      </w:r>
      <w:r w:rsidR="006F753C" w:rsidRPr="00882F11">
        <w:rPr>
          <w:rFonts w:cs="Guttman Drogolin"/>
          <w:rtl/>
          <w:lang w:bidi="he-IL"/>
        </w:rPr>
        <w:t>"</w:t>
      </w:r>
      <w:r w:rsidR="006F753C" w:rsidRPr="00882F11">
        <w:rPr>
          <w:rFonts w:cs="Guttman Drogolin" w:hint="cs"/>
          <w:rtl/>
          <w:lang w:bidi="he-IL"/>
        </w:rPr>
        <w:t>ג</w:t>
      </w:r>
      <w:r w:rsidR="006F753C" w:rsidRPr="00882F11">
        <w:rPr>
          <w:rFonts w:cs="Guttman Drogolin"/>
          <w:rtl/>
          <w:lang w:bidi="he-IL"/>
        </w:rPr>
        <w:t xml:space="preserve">, </w:t>
      </w:r>
      <w:r w:rsidR="006F753C" w:rsidRPr="00882F11">
        <w:rPr>
          <w:rFonts w:cs="Guttman Drogolin" w:hint="cs"/>
          <w:rtl/>
          <w:lang w:bidi="he-IL"/>
        </w:rPr>
        <w:t>סי</w:t>
      </w:r>
      <w:r w:rsidR="006F753C" w:rsidRPr="00882F11">
        <w:rPr>
          <w:rFonts w:cs="Guttman Drogolin"/>
          <w:rtl/>
          <w:lang w:bidi="he-IL"/>
        </w:rPr>
        <w:t xml:space="preserve">' </w:t>
      </w:r>
      <w:r w:rsidR="006F753C" w:rsidRPr="00882F11">
        <w:rPr>
          <w:rFonts w:cs="Guttman Drogolin" w:hint="cs"/>
          <w:rtl/>
          <w:lang w:bidi="he-IL"/>
        </w:rPr>
        <w:t>צ</w:t>
      </w:r>
      <w:r w:rsidR="006F753C" w:rsidRPr="00882F11">
        <w:rPr>
          <w:rFonts w:cs="Guttman Drogolin"/>
          <w:rtl/>
          <w:lang w:bidi="he-IL"/>
        </w:rPr>
        <w:t>"</w:t>
      </w:r>
      <w:r w:rsidR="006F753C" w:rsidRPr="00882F11">
        <w:rPr>
          <w:rFonts w:cs="Guttman Drogolin" w:hint="cs"/>
          <w:rtl/>
          <w:lang w:bidi="he-IL"/>
        </w:rPr>
        <w:t>ב</w:t>
      </w:r>
      <w:r w:rsidR="006F753C" w:rsidRPr="00882F11">
        <w:rPr>
          <w:rFonts w:cs="Guttman Drogolin"/>
          <w:rtl/>
          <w:lang w:bidi="he-IL"/>
        </w:rPr>
        <w:t xml:space="preserve"> </w:t>
      </w:r>
      <w:r w:rsidR="006F753C" w:rsidRPr="00882F11">
        <w:rPr>
          <w:rFonts w:cs="Guttman Drogolin" w:hint="cs"/>
          <w:rtl/>
          <w:lang w:bidi="he-IL"/>
        </w:rPr>
        <w:t>ס</w:t>
      </w:r>
      <w:r w:rsidR="006F753C" w:rsidRPr="00882F11">
        <w:rPr>
          <w:rFonts w:cs="Guttman Drogolin"/>
          <w:rtl/>
          <w:lang w:bidi="he-IL"/>
        </w:rPr>
        <w:t>"</w:t>
      </w:r>
      <w:r w:rsidR="006F753C" w:rsidRPr="00882F11">
        <w:rPr>
          <w:rFonts w:cs="Guttman Drogolin" w:hint="cs"/>
          <w:rtl/>
          <w:lang w:bidi="he-IL"/>
        </w:rPr>
        <w:t>ק</w:t>
      </w:r>
      <w:r w:rsidR="006F753C" w:rsidRPr="00882F11">
        <w:rPr>
          <w:rFonts w:cs="Guttman Drogolin"/>
          <w:rtl/>
          <w:lang w:bidi="he-IL"/>
        </w:rPr>
        <w:t xml:space="preserve"> </w:t>
      </w:r>
      <w:r w:rsidR="006F753C" w:rsidRPr="00882F11">
        <w:rPr>
          <w:rFonts w:cs="Guttman Drogolin" w:hint="cs"/>
          <w:rtl/>
          <w:lang w:bidi="he-IL"/>
        </w:rPr>
        <w:t>ב</w:t>
      </w:r>
      <w:r w:rsidR="006F753C" w:rsidRPr="00882F11">
        <w:rPr>
          <w:rFonts w:cs="Guttman Drogolin"/>
          <w:rtl/>
          <w:lang w:bidi="he-IL"/>
        </w:rPr>
        <w:t xml:space="preserve">', </w:t>
      </w:r>
      <w:r w:rsidR="006F753C" w:rsidRPr="00882F11">
        <w:rPr>
          <w:rFonts w:cs="Guttman Drogolin" w:hint="cs"/>
          <w:rtl/>
          <w:lang w:bidi="he-IL"/>
        </w:rPr>
        <w:t>סי</w:t>
      </w:r>
      <w:r w:rsidR="006F753C" w:rsidRPr="00882F11">
        <w:rPr>
          <w:rFonts w:cs="Guttman Drogolin"/>
          <w:rtl/>
          <w:lang w:bidi="he-IL"/>
        </w:rPr>
        <w:t xml:space="preserve">' </w:t>
      </w:r>
      <w:r w:rsidR="006F753C" w:rsidRPr="00882F11">
        <w:rPr>
          <w:rFonts w:cs="Guttman Drogolin" w:hint="cs"/>
          <w:rtl/>
          <w:lang w:bidi="he-IL"/>
        </w:rPr>
        <w:t>ק</w:t>
      </w:r>
      <w:r w:rsidR="006F753C" w:rsidRPr="00882F11">
        <w:rPr>
          <w:rFonts w:cs="Guttman Drogolin"/>
          <w:rtl/>
          <w:lang w:bidi="he-IL"/>
        </w:rPr>
        <w:t>"</w:t>
      </w:r>
      <w:r w:rsidR="006F753C" w:rsidRPr="00882F11">
        <w:rPr>
          <w:rFonts w:cs="Guttman Drogolin" w:hint="cs"/>
          <w:rtl/>
          <w:lang w:bidi="he-IL"/>
        </w:rPr>
        <w:t>ד</w:t>
      </w:r>
      <w:r w:rsidR="006F753C" w:rsidRPr="00882F11">
        <w:rPr>
          <w:rFonts w:cs="Guttman Drogolin"/>
          <w:rtl/>
          <w:lang w:bidi="he-IL"/>
        </w:rPr>
        <w:t xml:space="preserve"> </w:t>
      </w:r>
      <w:r w:rsidR="006F753C" w:rsidRPr="00882F11">
        <w:rPr>
          <w:rFonts w:cs="Guttman Drogolin" w:hint="cs"/>
          <w:rtl/>
          <w:lang w:bidi="he-IL"/>
        </w:rPr>
        <w:t>ס</w:t>
      </w:r>
      <w:r w:rsidR="006F753C" w:rsidRPr="00882F11">
        <w:rPr>
          <w:rFonts w:cs="Guttman Drogolin"/>
          <w:rtl/>
          <w:lang w:bidi="he-IL"/>
        </w:rPr>
        <w:t>"</w:t>
      </w:r>
      <w:r w:rsidR="006F753C" w:rsidRPr="00882F11">
        <w:rPr>
          <w:rFonts w:cs="Guttman Drogolin" w:hint="cs"/>
          <w:rtl/>
          <w:lang w:bidi="he-IL"/>
        </w:rPr>
        <w:t>ק</w:t>
      </w:r>
      <w:r w:rsidR="006F753C" w:rsidRPr="00882F11">
        <w:rPr>
          <w:rFonts w:cs="Guttman Drogolin"/>
          <w:rtl/>
          <w:lang w:bidi="he-IL"/>
        </w:rPr>
        <w:t xml:space="preserve"> </w:t>
      </w:r>
      <w:r w:rsidR="006F753C" w:rsidRPr="00882F11">
        <w:rPr>
          <w:rFonts w:cs="Guttman Drogolin" w:hint="cs"/>
          <w:rtl/>
          <w:lang w:bidi="he-IL"/>
        </w:rPr>
        <w:t>א</w:t>
      </w:r>
      <w:r w:rsidR="006F753C" w:rsidRPr="00882F11">
        <w:rPr>
          <w:rFonts w:cs="Guttman Drogolin"/>
          <w:rtl/>
          <w:lang w:bidi="he-IL"/>
        </w:rPr>
        <w:t>'</w:t>
      </w:r>
      <w:r w:rsidR="006F753C" w:rsidRPr="00882F11">
        <w:rPr>
          <w:rFonts w:cs="Guttman Drogolin" w:hint="cs"/>
          <w:rtl/>
          <w:lang w:bidi="he-IL"/>
        </w:rPr>
        <w:t xml:space="preserve">) </w:t>
      </w:r>
      <w:r w:rsidRPr="00882F11">
        <w:rPr>
          <w:rFonts w:cs="Guttman Drogolin" w:hint="cs"/>
          <w:rtl/>
          <w:lang w:bidi="he-IL"/>
        </w:rPr>
        <w:t>מבואר שגם הספרדים נוהגים כאשכנזים ואינם סומכים אטעימת נכרי.</w:t>
      </w:r>
      <w:r w:rsidR="006F753C" w:rsidRPr="00882F11">
        <w:rPr>
          <w:rFonts w:cs="Guttman Drogolin" w:hint="cs"/>
          <w:rtl/>
          <w:lang w:bidi="he-IL"/>
        </w:rPr>
        <w:t xml:space="preserve"> וכ"כ גם ה</w:t>
      </w:r>
      <w:r w:rsidR="006F753C" w:rsidRPr="00882F11">
        <w:rPr>
          <w:rFonts w:cs="Guttman Drogolin"/>
          <w:rtl/>
          <w:lang w:bidi="he-IL"/>
        </w:rPr>
        <w:tab/>
      </w:r>
      <w:r w:rsidR="006F753C" w:rsidRPr="00882F11">
        <w:rPr>
          <w:rFonts w:cs="Guttman Drogolin" w:hint="cs"/>
          <w:rtl/>
          <w:lang w:bidi="he-IL"/>
        </w:rPr>
        <w:t>פר</w:t>
      </w:r>
      <w:r w:rsidR="006F753C" w:rsidRPr="00882F11">
        <w:rPr>
          <w:rFonts w:cs="Guttman Drogolin"/>
          <w:rtl/>
          <w:lang w:bidi="he-IL"/>
        </w:rPr>
        <w:t>"</w:t>
      </w:r>
      <w:r w:rsidR="006F753C" w:rsidRPr="00882F11">
        <w:rPr>
          <w:rFonts w:cs="Guttman Drogolin" w:hint="cs"/>
          <w:rtl/>
          <w:lang w:bidi="he-IL"/>
        </w:rPr>
        <w:t>ח</w:t>
      </w:r>
      <w:r w:rsidR="006F753C" w:rsidRPr="00882F11">
        <w:rPr>
          <w:rFonts w:cs="Guttman Drogolin"/>
          <w:rtl/>
          <w:lang w:bidi="he-IL"/>
        </w:rPr>
        <w:t xml:space="preserve"> </w:t>
      </w:r>
      <w:r w:rsidR="006F753C" w:rsidRPr="00882F11">
        <w:rPr>
          <w:rFonts w:cs="Guttman Drogolin" w:hint="cs"/>
          <w:rtl/>
          <w:lang w:bidi="he-IL"/>
        </w:rPr>
        <w:t>(סי</w:t>
      </w:r>
      <w:r w:rsidR="006F753C" w:rsidRPr="00882F11">
        <w:rPr>
          <w:rFonts w:cs="Guttman Drogolin"/>
          <w:rtl/>
          <w:lang w:bidi="he-IL"/>
        </w:rPr>
        <w:t xml:space="preserve">' </w:t>
      </w:r>
      <w:r w:rsidR="006F753C" w:rsidRPr="00882F11">
        <w:rPr>
          <w:rFonts w:cs="Guttman Drogolin" w:hint="cs"/>
          <w:rtl/>
          <w:lang w:bidi="he-IL"/>
        </w:rPr>
        <w:t>פ</w:t>
      </w:r>
      <w:r w:rsidR="006F753C" w:rsidRPr="00882F11">
        <w:rPr>
          <w:rFonts w:cs="Guttman Drogolin"/>
          <w:rtl/>
          <w:lang w:bidi="he-IL"/>
        </w:rPr>
        <w:t>"</w:t>
      </w:r>
      <w:r w:rsidR="006F753C" w:rsidRPr="00882F11">
        <w:rPr>
          <w:rFonts w:cs="Guttman Drogolin" w:hint="cs"/>
          <w:rtl/>
          <w:lang w:bidi="he-IL"/>
        </w:rPr>
        <w:t>ז</w:t>
      </w:r>
      <w:r w:rsidR="006F753C" w:rsidRPr="00882F11">
        <w:rPr>
          <w:rFonts w:cs="Guttman Drogolin"/>
          <w:rtl/>
          <w:lang w:bidi="he-IL"/>
        </w:rPr>
        <w:t xml:space="preserve"> </w:t>
      </w:r>
      <w:r w:rsidR="006F753C" w:rsidRPr="00882F11">
        <w:rPr>
          <w:rFonts w:cs="Guttman Drogolin" w:hint="cs"/>
          <w:rtl/>
          <w:lang w:bidi="he-IL"/>
        </w:rPr>
        <w:t>ס</w:t>
      </w:r>
      <w:r w:rsidR="006F753C" w:rsidRPr="00882F11">
        <w:rPr>
          <w:rFonts w:cs="Guttman Drogolin"/>
          <w:rtl/>
          <w:lang w:bidi="he-IL"/>
        </w:rPr>
        <w:t>"</w:t>
      </w:r>
      <w:r w:rsidR="006F753C" w:rsidRPr="00882F11">
        <w:rPr>
          <w:rFonts w:cs="Guttman Drogolin" w:hint="cs"/>
          <w:rtl/>
          <w:lang w:bidi="he-IL"/>
        </w:rPr>
        <w:t>ק</w:t>
      </w:r>
      <w:r w:rsidR="006F753C" w:rsidRPr="00882F11">
        <w:rPr>
          <w:rFonts w:cs="Guttman Drogolin"/>
          <w:rtl/>
          <w:lang w:bidi="he-IL"/>
        </w:rPr>
        <w:t xml:space="preserve"> </w:t>
      </w:r>
      <w:r w:rsidR="006F753C" w:rsidRPr="00882F11">
        <w:rPr>
          <w:rFonts w:cs="Guttman Drogolin" w:hint="cs"/>
          <w:rtl/>
          <w:lang w:bidi="he-IL"/>
        </w:rPr>
        <w:t>כ</w:t>
      </w:r>
      <w:r w:rsidR="006F753C" w:rsidRPr="00882F11">
        <w:rPr>
          <w:rFonts w:cs="Guttman Drogolin"/>
          <w:rtl/>
          <w:lang w:bidi="he-IL"/>
        </w:rPr>
        <w:t>"</w:t>
      </w:r>
      <w:r w:rsidR="006F753C" w:rsidRPr="00882F11">
        <w:rPr>
          <w:rFonts w:cs="Guttman Drogolin" w:hint="cs"/>
          <w:rtl/>
          <w:lang w:bidi="he-IL"/>
        </w:rPr>
        <w:t>ט</w:t>
      </w:r>
      <w:r w:rsidR="006F753C" w:rsidRPr="00882F11">
        <w:rPr>
          <w:rFonts w:cs="Guttman Drogolin"/>
          <w:rtl/>
          <w:lang w:bidi="he-IL"/>
        </w:rPr>
        <w:t>*</w:t>
      </w:r>
      <w:r w:rsidR="006F753C" w:rsidRPr="00882F11">
        <w:rPr>
          <w:rFonts w:cs="Guttman Drogolin" w:hint="cs"/>
          <w:rtl/>
          <w:lang w:bidi="he-IL"/>
        </w:rPr>
        <w:t>). אמנם ביבי"א (ח</w:t>
      </w:r>
      <w:r w:rsidR="006F753C" w:rsidRPr="00882F11">
        <w:rPr>
          <w:rFonts w:cs="Guttman Drogolin"/>
          <w:rtl/>
          <w:lang w:bidi="he-IL"/>
        </w:rPr>
        <w:t>"</w:t>
      </w:r>
      <w:r w:rsidR="006F753C" w:rsidRPr="00882F11">
        <w:rPr>
          <w:rFonts w:cs="Guttman Drogolin" w:hint="cs"/>
          <w:rtl/>
          <w:lang w:bidi="he-IL"/>
        </w:rPr>
        <w:t>ח</w:t>
      </w:r>
      <w:r w:rsidR="006F753C" w:rsidRPr="00882F11">
        <w:rPr>
          <w:rFonts w:cs="Guttman Drogolin"/>
          <w:rtl/>
          <w:lang w:bidi="he-IL"/>
        </w:rPr>
        <w:t xml:space="preserve"> </w:t>
      </w:r>
      <w:r w:rsidR="006F753C" w:rsidRPr="00882F11">
        <w:rPr>
          <w:rFonts w:cs="Guttman Drogolin" w:hint="cs"/>
          <w:rtl/>
          <w:lang w:bidi="he-IL"/>
        </w:rPr>
        <w:t>יו</w:t>
      </w:r>
      <w:r w:rsidR="006F753C" w:rsidRPr="00882F11">
        <w:rPr>
          <w:rFonts w:cs="Guttman Drogolin"/>
          <w:rtl/>
          <w:lang w:bidi="he-IL"/>
        </w:rPr>
        <w:t>"</w:t>
      </w:r>
      <w:r w:rsidR="006F753C" w:rsidRPr="00882F11">
        <w:rPr>
          <w:rFonts w:cs="Guttman Drogolin" w:hint="cs"/>
          <w:rtl/>
          <w:lang w:bidi="he-IL"/>
        </w:rPr>
        <w:t>ד</w:t>
      </w:r>
      <w:r w:rsidR="006F753C" w:rsidRPr="00882F11">
        <w:rPr>
          <w:rFonts w:cs="Guttman Drogolin"/>
          <w:rtl/>
          <w:lang w:bidi="he-IL"/>
        </w:rPr>
        <w:t xml:space="preserve"> </w:t>
      </w:r>
      <w:r w:rsidR="006F753C" w:rsidRPr="00882F11">
        <w:rPr>
          <w:rFonts w:cs="Guttman Drogolin" w:hint="cs"/>
          <w:rtl/>
          <w:lang w:bidi="he-IL"/>
        </w:rPr>
        <w:t>סי</w:t>
      </w:r>
      <w:r w:rsidR="006F753C" w:rsidRPr="00882F11">
        <w:rPr>
          <w:rFonts w:cs="Guttman Drogolin"/>
          <w:rtl/>
          <w:lang w:bidi="he-IL"/>
        </w:rPr>
        <w:t xml:space="preserve">' </w:t>
      </w:r>
      <w:r w:rsidR="006F753C" w:rsidRPr="00882F11">
        <w:rPr>
          <w:rFonts w:cs="Guttman Drogolin" w:hint="cs"/>
          <w:rtl/>
          <w:lang w:bidi="he-IL"/>
        </w:rPr>
        <w:t>י</w:t>
      </w:r>
      <w:r w:rsidR="006F753C" w:rsidRPr="00882F11">
        <w:rPr>
          <w:rFonts w:cs="Guttman Drogolin"/>
          <w:rtl/>
          <w:lang w:bidi="he-IL"/>
        </w:rPr>
        <w:t>'</w:t>
      </w:r>
      <w:r w:rsidR="006F753C" w:rsidRPr="00882F11">
        <w:rPr>
          <w:rFonts w:cs="Guttman Drogolin" w:hint="cs"/>
          <w:rtl/>
          <w:lang w:bidi="he-IL"/>
        </w:rPr>
        <w:t xml:space="preserve">) כן נטה להקל בזה במקום הפ"מ. </w:t>
      </w:r>
    </w:p>
    <w:p w:rsidR="00A81FCB" w:rsidRPr="00882F11" w:rsidRDefault="006F753C" w:rsidP="005015B5">
      <w:pPr>
        <w:tabs>
          <w:tab w:val="right" w:pos="7497"/>
        </w:tabs>
        <w:bidi/>
        <w:jc w:val="both"/>
        <w:rPr>
          <w:rFonts w:cs="Guttman Drogolin"/>
          <w:rtl/>
          <w:lang w:bidi="he-IL"/>
        </w:rPr>
      </w:pPr>
      <w:r w:rsidRPr="00882F11">
        <w:rPr>
          <w:rFonts w:cs="Guttman Drogolin" w:hint="cs"/>
          <w:rtl/>
          <w:lang w:bidi="he-IL"/>
        </w:rPr>
        <w:t>ואומרים העולם שפעם הי' מעשה והג"ר שמשון אהרן פולנסקי (ה'טעפליקער רב')</w:t>
      </w:r>
      <w:r w:rsidR="00DE1E2D" w:rsidRPr="00882F11">
        <w:rPr>
          <w:rFonts w:cs="Guttman Drogolin" w:hint="cs"/>
          <w:rtl/>
          <w:lang w:bidi="he-IL"/>
        </w:rPr>
        <w:t xml:space="preserve"> </w:t>
      </w:r>
      <w:r w:rsidRPr="00882F11">
        <w:rPr>
          <w:rFonts w:cs="Guttman Drogolin" w:hint="cs"/>
          <w:rtl/>
          <w:lang w:bidi="he-IL"/>
        </w:rPr>
        <w:t>המציא עצה לסמוך אטעימת נכרי גם לבני אשכנז. והוא ע"י זה שהטעים נכרי, ואמר הנכרי שלא הי' בזה טעם. ושוב הטעים יהודי ספרדי, שהרי הוא סומך להקל אטעימת נכרי וכדעת השו"ע, ואמר גם היהודי הספרדי שלא הי' בזה טעם. וממילא הי' מותר גם לאשכנזי, וכשיטת הש"ך שגם לדידן סמכינן אטעימת ישראל. וע'</w:t>
      </w:r>
      <w:r w:rsidR="005015B5" w:rsidRPr="00882F11">
        <w:rPr>
          <w:rFonts w:cs="Guttman Drogolin" w:hint="cs"/>
          <w:rtl/>
          <w:lang w:bidi="he-IL"/>
        </w:rPr>
        <w:t xml:space="preserve"> בס' הליכות חנוך</w:t>
      </w:r>
      <w:r w:rsidRPr="00882F11">
        <w:rPr>
          <w:rFonts w:cs="Guttman Drogolin" w:hint="cs"/>
          <w:rtl/>
          <w:lang w:bidi="he-IL"/>
        </w:rPr>
        <w:t xml:space="preserve"> </w:t>
      </w:r>
      <w:r w:rsidR="005015B5" w:rsidRPr="00882F11">
        <w:rPr>
          <w:rFonts w:cs="Guttman Drogolin" w:hint="cs"/>
          <w:rtl/>
          <w:lang w:bidi="he-IL"/>
        </w:rPr>
        <w:t>(ספר של הנהגות של הג"ר חנוך פדווא, פרק</w:t>
      </w:r>
      <w:r w:rsidR="005015B5" w:rsidRPr="00882F11">
        <w:rPr>
          <w:rFonts w:cs="Guttman Drogolin"/>
          <w:rtl/>
          <w:lang w:bidi="he-IL"/>
        </w:rPr>
        <w:t xml:space="preserve"> </w:t>
      </w:r>
      <w:r w:rsidR="005015B5" w:rsidRPr="00882F11">
        <w:rPr>
          <w:rFonts w:cs="Guttman Drogolin" w:hint="cs"/>
          <w:rtl/>
          <w:lang w:bidi="he-IL"/>
        </w:rPr>
        <w:t>ב</w:t>
      </w:r>
      <w:r w:rsidR="005015B5" w:rsidRPr="00882F11">
        <w:rPr>
          <w:rFonts w:cs="Guttman Drogolin"/>
          <w:rtl/>
          <w:lang w:bidi="he-IL"/>
        </w:rPr>
        <w:t xml:space="preserve">' </w:t>
      </w:r>
      <w:r w:rsidR="005015B5" w:rsidRPr="00882F11">
        <w:rPr>
          <w:rFonts w:cs="Guttman Drogolin" w:hint="cs"/>
          <w:rtl/>
          <w:lang w:bidi="he-IL"/>
        </w:rPr>
        <w:t>אות</w:t>
      </w:r>
      <w:r w:rsidR="005015B5" w:rsidRPr="00882F11">
        <w:rPr>
          <w:rFonts w:cs="Guttman Drogolin"/>
          <w:rtl/>
          <w:lang w:bidi="he-IL"/>
        </w:rPr>
        <w:t xml:space="preserve"> </w:t>
      </w:r>
      <w:r w:rsidR="005015B5" w:rsidRPr="00882F11">
        <w:rPr>
          <w:rFonts w:cs="Guttman Drogolin" w:hint="cs"/>
          <w:rtl/>
          <w:lang w:bidi="he-IL"/>
        </w:rPr>
        <w:t>ע</w:t>
      </w:r>
      <w:r w:rsidR="005015B5" w:rsidRPr="00882F11">
        <w:rPr>
          <w:rFonts w:cs="Guttman Drogolin"/>
          <w:rtl/>
          <w:lang w:bidi="he-IL"/>
        </w:rPr>
        <w:t>"</w:t>
      </w:r>
      <w:r w:rsidR="005015B5" w:rsidRPr="00882F11">
        <w:rPr>
          <w:rFonts w:cs="Guttman Drogolin" w:hint="cs"/>
          <w:rtl/>
          <w:lang w:bidi="he-IL"/>
        </w:rPr>
        <w:t>א) שמביא מעשה זו, וכן שהגרש"א</w:t>
      </w:r>
      <w:r w:rsidR="00DE1E2D" w:rsidRPr="00882F11">
        <w:rPr>
          <w:rFonts w:cs="Guttman Drogolin" w:hint="cs"/>
          <w:rtl/>
          <w:lang w:bidi="he-IL"/>
        </w:rPr>
        <w:t xml:space="preserve"> </w:t>
      </w:r>
      <w:r w:rsidR="005015B5" w:rsidRPr="00882F11">
        <w:rPr>
          <w:rFonts w:cs="Guttman Drogolin" w:hint="cs"/>
          <w:rtl/>
          <w:lang w:bidi="he-IL"/>
        </w:rPr>
        <w:t>פולנסקי שהיתר זה אינו אלא דין ב'לומדות', ושאין לסמוך עליו אלא בשעה"ד.</w:t>
      </w:r>
      <w:r w:rsidR="000F2C53" w:rsidRPr="00882F11">
        <w:rPr>
          <w:rFonts w:cs="Guttman Drogolin" w:hint="cs"/>
          <w:rtl/>
          <w:lang w:bidi="he-IL"/>
        </w:rPr>
        <w:t xml:space="preserve"> </w:t>
      </w:r>
      <w:r w:rsidR="005015B5" w:rsidRPr="00882F11">
        <w:rPr>
          <w:rFonts w:cs="Guttman Drogolin" w:hint="cs"/>
          <w:rtl/>
          <w:lang w:bidi="he-IL"/>
        </w:rPr>
        <w:t>וכמובן לא שייך עצה זו לכה"ח, וכן לאלו שאין סומכים אטעימת ישראל</w:t>
      </w:r>
      <w:r w:rsidR="0081059F" w:rsidRPr="00882F11">
        <w:rPr>
          <w:rStyle w:val="FootnoteReference"/>
          <w:rFonts w:cs="Guttman Drogolin"/>
          <w:rtl/>
          <w:lang w:bidi="he-IL"/>
        </w:rPr>
        <w:footnoteReference w:id="327"/>
      </w:r>
      <w:r w:rsidR="005015B5" w:rsidRPr="00882F11">
        <w:rPr>
          <w:rFonts w:cs="Guttman Drogolin" w:hint="cs"/>
          <w:rtl/>
          <w:lang w:bidi="he-IL"/>
        </w:rPr>
        <w:t>.</w:t>
      </w:r>
    </w:p>
    <w:p w:rsidR="007357D3" w:rsidRPr="005229E6" w:rsidRDefault="007357D3" w:rsidP="007357D3">
      <w:pPr>
        <w:pStyle w:val="Heading1"/>
        <w:bidi/>
        <w:spacing w:before="0" w:line="360" w:lineRule="auto"/>
        <w:jc w:val="center"/>
        <w:rPr>
          <w:rFonts w:cs="Guttman Drogolin"/>
          <w:color w:val="auto"/>
          <w:sz w:val="20"/>
          <w:szCs w:val="20"/>
          <w:u w:val="single"/>
          <w:rtl/>
          <w:lang w:bidi="he-IL"/>
        </w:rPr>
      </w:pPr>
      <w:bookmarkStart w:id="301" w:name="_Toc496175552"/>
      <w:r w:rsidRPr="005229E6">
        <w:rPr>
          <w:rFonts w:cs="Guttman Drogolin" w:hint="cs"/>
          <w:color w:val="auto"/>
          <w:sz w:val="20"/>
          <w:szCs w:val="20"/>
          <w:u w:val="single"/>
          <w:rtl/>
          <w:lang w:bidi="he-IL"/>
        </w:rPr>
        <w:t xml:space="preserve">אם חלב (בציר"ה) בבשר </w:t>
      </w:r>
      <w:r w:rsidR="002B05FE" w:rsidRPr="005229E6">
        <w:rPr>
          <w:rFonts w:cs="Guttman Drogolin" w:hint="cs"/>
          <w:color w:val="auto"/>
          <w:sz w:val="20"/>
          <w:szCs w:val="20"/>
          <w:u w:val="single"/>
          <w:rtl/>
          <w:lang w:bidi="he-IL"/>
        </w:rPr>
        <w:t>ח</w:t>
      </w:r>
      <w:r w:rsidRPr="005229E6">
        <w:rPr>
          <w:rFonts w:cs="Guttman Drogolin" w:hint="cs"/>
          <w:color w:val="auto"/>
          <w:sz w:val="20"/>
          <w:szCs w:val="20"/>
          <w:u w:val="single"/>
          <w:rtl/>
          <w:lang w:bidi="he-IL"/>
        </w:rPr>
        <w:t>שוב מין בשאינו מינו</w:t>
      </w:r>
      <w:bookmarkEnd w:id="301"/>
    </w:p>
    <w:p w:rsidR="002B05FE" w:rsidRPr="00882F11" w:rsidRDefault="00B67BE2" w:rsidP="007357D3">
      <w:pPr>
        <w:tabs>
          <w:tab w:val="right" w:pos="7497"/>
        </w:tabs>
        <w:bidi/>
        <w:jc w:val="both"/>
        <w:rPr>
          <w:rFonts w:cs="Guttman Drogolin"/>
          <w:rtl/>
          <w:lang w:bidi="he-IL"/>
        </w:rPr>
      </w:pPr>
      <w:r>
        <w:rPr>
          <w:rFonts w:cs="Guttman Drogolin"/>
          <w:rtl/>
          <w:lang w:bidi="he-IL"/>
        </w:rPr>
        <w:fldChar w:fldCharType="begin"/>
      </w:r>
      <w:r>
        <w:instrText xml:space="preserve"> XE "</w:instrText>
      </w:r>
      <w:r w:rsidRPr="001201C7">
        <w:rPr>
          <w:rFonts w:cs="Arial"/>
          <w:rtl/>
          <w:lang w:bidi="he-IL"/>
        </w:rPr>
        <w:instrText>תערובת מין במינו (פי' בדליכא טכ</w:instrText>
      </w:r>
      <w:r>
        <w:rPr>
          <w:rFonts w:eastAsiaTheme="minorEastAsia"/>
          <w:lang w:bidi="he-IL"/>
        </w:rPr>
        <w:instrText>\</w:instrText>
      </w:r>
      <w:r w:rsidRPr="001201C7">
        <w:rPr>
          <w:rFonts w:cs="Arial"/>
          <w:rtl/>
          <w:lang w:bidi="he-IL"/>
        </w:rPr>
        <w:instrText>"ע)</w:instrText>
      </w:r>
      <w:r w:rsidRPr="001201C7">
        <w:rPr>
          <w:rFonts w:cs="Arial"/>
          <w:rtl/>
        </w:rPr>
        <w:instrText>:</w:instrText>
      </w:r>
      <w:r w:rsidRPr="001201C7">
        <w:rPr>
          <w:rFonts w:hint="cs"/>
          <w:rtl/>
          <w:lang w:bidi="he-IL"/>
        </w:rPr>
        <w:instrText>חלב (בציר</w:instrText>
      </w:r>
      <w:r>
        <w:rPr>
          <w:rFonts w:eastAsiaTheme="minorEastAsia"/>
          <w:lang w:bidi="he-IL"/>
        </w:rPr>
        <w:instrText>\</w:instrText>
      </w:r>
      <w:r w:rsidRPr="001201C7">
        <w:rPr>
          <w:rFonts w:hint="cs"/>
          <w:rtl/>
          <w:lang w:bidi="he-IL"/>
        </w:rPr>
        <w:instrText>"ה) בבשר</w:instrText>
      </w:r>
      <w:r>
        <w:instrText xml:space="preserve">" </w:instrText>
      </w:r>
      <w:r>
        <w:rPr>
          <w:rFonts w:cs="Guttman Drogolin"/>
          <w:rtl/>
          <w:lang w:bidi="he-IL"/>
        </w:rPr>
        <w:fldChar w:fldCharType="end"/>
      </w:r>
      <w:r w:rsidR="007357D3" w:rsidRPr="00882F11">
        <w:rPr>
          <w:rFonts w:cs="Guttman Drogolin" w:hint="cs"/>
          <w:rtl/>
          <w:lang w:bidi="he-IL"/>
        </w:rPr>
        <w:t xml:space="preserve">הש"ך והט"ז כתבו דמש"כ בשו"ע "כגון חלב שנתערב בבשר" אין הכוונה לחלב (בקמ"ץ) אלא לחלב (בציר"ה). וכוונתם שהרי השו"ע מיירי באיסור שנפל להיתר, וחלב בקמ"ץ אינו איסור אלא היתר. והגר"א חלק וסבר שחלב בציר"ה הוא מין במינו בבשר, ע"ש ההוכחות שלו (וע' מש"כ במגי"ס בהוכחות אלו). וכאן הבן שואל דאיך יתכן שיש מחלוקת אם הוא מין בממינו או מין בשאינו מינו, שאם מורגש לעצמו הרי טכ"ע מדאורייתא, ואם אינו מורגש הא ליכא טעם ולמה לו להיות אסור. ולכאורה יש מקום לומר שלענין טכ"ע לא מספיק זה שיש טעם של האיסור, רק בעינן טעם חזק. ויש לנו לזה מקור מדברי הרשב"א, שהרי לכאורה מבואר מן הרשב"א שאם קפילא מרגיש </w:t>
      </w:r>
      <w:r w:rsidR="007357D3" w:rsidRPr="00882F11">
        <w:rPr>
          <w:rFonts w:cs="Guttman Drogolin" w:hint="cs"/>
          <w:rtl/>
          <w:lang w:bidi="he-IL"/>
        </w:rPr>
        <w:lastRenderedPageBreak/>
        <w:t>שיש טעם איסור בתבשיל, אם הוא אינו מורגש לסתם בני אדם אינו אסור. והיינו אע"פ שטועם את האיסור כיון שעכ"פ אינו טעם גמור. וא"כ י"ל שבזה נחלקו לענין חלב בבשר אי הוי מין בשאינו מינו או לא, שי"א דהוי טעם גמור וי"א שאינו אלא טעם קלוש. אלא שלכאורה עדיין אין זה מספיק, שאפילו אם אין כאן טכ"ע דאורייתא, מ"מ אם יכול להבחין בטעמו בפני עצמו הא יכול לדעת ע"י טעימת קפילא אם יש בה טעם מן החלב או לא. ואיכא למימר דנחלקו אם יש לסמוך אקפילא בכה"ג שטעמם שוה קצת אע"ג שבאמת אפשר להבחין ביניהם. אלא שי"ל עוד דעד כמה שחשוב מין במינו דינו בש</w:t>
      </w:r>
      <w:r w:rsidR="00150C33" w:rsidRPr="00882F11">
        <w:rPr>
          <w:rFonts w:cs="Guttman Drogolin" w:hint="cs"/>
          <w:rtl/>
          <w:lang w:bidi="he-IL"/>
        </w:rPr>
        <w:t>שים ולא מהני טעימת קפילא כלל (ו</w:t>
      </w:r>
      <w:r w:rsidR="007357D3" w:rsidRPr="00882F11">
        <w:rPr>
          <w:rFonts w:cs="Guttman Drogolin" w:hint="cs"/>
          <w:rtl/>
          <w:lang w:bidi="he-IL"/>
        </w:rPr>
        <w:t>כן לכאורה משמע בביאור הגר"א שהרי תלה דין זה בדין אי חשוב מין במינו או מין בשאינו מינו ע"ש). ולכאורה דבר זה שייך למחלוקת השו"ע והש"ך שבסע' ב', ונראה מזה יותר בהמשך.</w:t>
      </w:r>
    </w:p>
    <w:p w:rsidR="002B05FE" w:rsidRPr="00882F11" w:rsidRDefault="007357D3" w:rsidP="002B05FE">
      <w:pPr>
        <w:pStyle w:val="Heading1"/>
        <w:bidi/>
        <w:spacing w:before="0" w:line="360" w:lineRule="auto"/>
        <w:jc w:val="center"/>
        <w:rPr>
          <w:rFonts w:cs="Guttman Drogolin"/>
          <w:color w:val="auto"/>
          <w:sz w:val="24"/>
          <w:szCs w:val="24"/>
          <w:u w:val="single"/>
          <w:rtl/>
          <w:lang w:bidi="he-IL"/>
        </w:rPr>
      </w:pPr>
      <w:r w:rsidRPr="00882F11">
        <w:rPr>
          <w:rFonts w:cs="Guttman Drogolin" w:hint="cs"/>
          <w:rtl/>
          <w:lang w:bidi="he-IL"/>
        </w:rPr>
        <w:t xml:space="preserve"> </w:t>
      </w:r>
      <w:bookmarkStart w:id="302" w:name="_Toc496175553"/>
      <w:r w:rsidR="002B05FE" w:rsidRPr="00882F11">
        <w:rPr>
          <w:rFonts w:cs="Guttman Drogolin" w:hint="cs"/>
          <w:color w:val="auto"/>
          <w:sz w:val="24"/>
          <w:szCs w:val="24"/>
          <w:u w:val="single"/>
          <w:rtl/>
          <w:lang w:bidi="he-IL"/>
        </w:rPr>
        <w:t>עוד ב' הערות בטעימת קפילא</w:t>
      </w:r>
      <w:bookmarkEnd w:id="302"/>
    </w:p>
    <w:p w:rsidR="007357D3" w:rsidRPr="00882F11" w:rsidRDefault="00B67BE2" w:rsidP="008226E0">
      <w:pPr>
        <w:tabs>
          <w:tab w:val="right" w:pos="7497"/>
        </w:tabs>
        <w:bidi/>
        <w:jc w:val="both"/>
        <w:rPr>
          <w:rFonts w:cs="Guttman Drogolin"/>
          <w:rtl/>
          <w:lang w:bidi="he-IL"/>
        </w:rPr>
      </w:pPr>
      <w:r>
        <w:rPr>
          <w:rFonts w:cs="Guttman Drogolin"/>
          <w:rtl/>
          <w:lang w:bidi="he-IL"/>
        </w:rPr>
        <w:fldChar w:fldCharType="begin"/>
      </w:r>
      <w:r>
        <w:instrText xml:space="preserve"> XE "</w:instrText>
      </w:r>
      <w:r w:rsidRPr="003761AF">
        <w:rPr>
          <w:rFonts w:hint="cs"/>
          <w:rtl/>
          <w:lang w:bidi="he-IL"/>
        </w:rPr>
        <w:instrText>קפילא</w:instrText>
      </w:r>
      <w:r w:rsidRPr="003761AF">
        <w:rPr>
          <w:rtl/>
        </w:rPr>
        <w:instrText>:</w:instrText>
      </w:r>
      <w:r w:rsidRPr="003761AF">
        <w:rPr>
          <w:rFonts w:hint="cs"/>
          <w:rtl/>
          <w:lang w:bidi="he-IL"/>
        </w:rPr>
        <w:instrText>ב' הערות בדינו</w:instrText>
      </w:r>
      <w:r>
        <w:instrText xml:space="preserve">" </w:instrText>
      </w:r>
      <w:r>
        <w:rPr>
          <w:rFonts w:cs="Guttman Drogolin"/>
          <w:rtl/>
          <w:lang w:bidi="he-IL"/>
        </w:rPr>
        <w:fldChar w:fldCharType="end"/>
      </w:r>
      <w:r w:rsidR="008A5572">
        <w:rPr>
          <w:rFonts w:cs="Guttman Drogolin"/>
          <w:rtl/>
          <w:lang w:bidi="he-IL"/>
        </w:rPr>
        <w:fldChar w:fldCharType="begin"/>
      </w:r>
      <w:r w:rsidR="008A5572">
        <w:instrText xml:space="preserve"> XE "</w:instrText>
      </w:r>
      <w:r w:rsidR="008A5572" w:rsidRPr="00D91CD4">
        <w:rPr>
          <w:rFonts w:hint="cs"/>
          <w:rtl/>
          <w:lang w:bidi="he-IL"/>
        </w:rPr>
        <w:instrText>אמירה לנכרי</w:instrText>
      </w:r>
      <w:r w:rsidR="008A5572" w:rsidRPr="00D91CD4">
        <w:rPr>
          <w:rtl/>
        </w:rPr>
        <w:instrText>:</w:instrText>
      </w:r>
      <w:r w:rsidR="008A5572" w:rsidRPr="00D91CD4">
        <w:rPr>
          <w:rFonts w:hint="cs"/>
          <w:rtl/>
          <w:lang w:bidi="he-IL"/>
        </w:rPr>
        <w:instrText>בטעימת קפילא</w:instrText>
      </w:r>
      <w:r w:rsidR="008A5572">
        <w:instrText xml:space="preserve">" </w:instrText>
      </w:r>
      <w:r w:rsidR="008A5572">
        <w:rPr>
          <w:rFonts w:cs="Guttman Drogolin"/>
          <w:rtl/>
          <w:lang w:bidi="he-IL"/>
        </w:rPr>
        <w:fldChar w:fldCharType="end"/>
      </w:r>
      <w:r w:rsidR="002B05FE" w:rsidRPr="00882F11">
        <w:rPr>
          <w:rFonts w:cs="Guttman Drogolin" w:hint="cs"/>
          <w:rtl/>
          <w:lang w:bidi="he-IL"/>
        </w:rPr>
        <w:t xml:space="preserve">תמיד הי' קשה לי למה מותר לומר לנכרי לטעום תבשיל שיתכן שיש בה איסור, הא יש בזה משום אמירה לנכרי, שהרי קיי"ל להחמיר באמירה לנכרי גם בכל האיסורים. ויש לפלפל בזה בכמה טעמים ואכמ"ל. עוד מקשים האחרונים דלמה מותר לעשות כן בבב"ח, הא כשנותן לו לאכול הרי זה כמתנה והנכרי מכיר לו טובה בזה, וא"כ יוצא שנהנה מבב"ח. והפשוט בזה (וכ"כ ההפלאה כאן על ש"ך ס"ק ב' </w:t>
      </w:r>
      <w:r w:rsidR="002B05FE" w:rsidRPr="00882F11">
        <w:rPr>
          <w:rFonts w:cs="Guttman Drogolin"/>
          <w:rtl/>
          <w:lang w:bidi="he-IL"/>
        </w:rPr>
        <w:t>–</w:t>
      </w:r>
      <w:r w:rsidR="002B05FE" w:rsidRPr="00882F11">
        <w:rPr>
          <w:rFonts w:cs="Guttman Drogolin" w:hint="cs"/>
          <w:rtl/>
          <w:lang w:bidi="he-IL"/>
        </w:rPr>
        <w:t xml:space="preserve"> ע' מש"כ בזה בביאורים לבדה"ש) שאין כאן הכרת הטוב כיון שאינו נותן לו אלא כדי שיטעום ויאמר לנו. אבל יהי' בזה נפק"מ שמ"מ אין להטעים ע"י הערמה שיאמר לו שנותן לו במתנה, דא"כ לכאורה יהי' בזה איסור של הנאה מבב"ח. </w:t>
      </w:r>
      <w:r w:rsidR="007357D3" w:rsidRPr="00882F11">
        <w:rPr>
          <w:rFonts w:cs="Guttman Drogolin" w:hint="cs"/>
          <w:rtl/>
          <w:lang w:bidi="he-IL"/>
        </w:rPr>
        <w:t xml:space="preserve">   </w:t>
      </w:r>
    </w:p>
    <w:p w:rsidR="001A69CD" w:rsidRPr="00882F11" w:rsidRDefault="001A69CD" w:rsidP="001A69CD">
      <w:pPr>
        <w:tabs>
          <w:tab w:val="right" w:pos="7497"/>
        </w:tabs>
        <w:bidi/>
        <w:jc w:val="both"/>
        <w:rPr>
          <w:rFonts w:cs="Guttman Drogolin"/>
          <w:rtl/>
          <w:lang w:bidi="he-IL"/>
        </w:rPr>
        <w:sectPr w:rsidR="001A69CD" w:rsidRPr="00882F11" w:rsidSect="005229E6">
          <w:type w:val="continuous"/>
          <w:pgSz w:w="11907" w:h="16839" w:code="9"/>
          <w:pgMar w:top="1440" w:right="1440" w:bottom="1440" w:left="1440" w:header="720" w:footer="720" w:gutter="0"/>
          <w:cols w:num="2" w:space="720"/>
          <w:bidi/>
          <w:docGrid w:linePitch="360"/>
        </w:sectPr>
      </w:pPr>
    </w:p>
    <w:p w:rsidR="001A69CD" w:rsidRPr="00882F11" w:rsidRDefault="001A69CD" w:rsidP="001A69CD">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ע"ה</w:t>
      </w:r>
    </w:p>
    <w:p w:rsidR="005229E6" w:rsidRDefault="005229E6" w:rsidP="001A69CD">
      <w:pPr>
        <w:pStyle w:val="Heading1"/>
        <w:bidi/>
        <w:spacing w:before="0" w:line="360" w:lineRule="auto"/>
        <w:jc w:val="center"/>
        <w:rPr>
          <w:rFonts w:cs="Guttman Drogolin"/>
          <w:color w:val="auto"/>
          <w:sz w:val="24"/>
          <w:szCs w:val="24"/>
          <w:u w:val="single"/>
          <w:rtl/>
          <w:lang w:bidi="he-IL"/>
        </w:rPr>
        <w:sectPr w:rsidR="005229E6" w:rsidSect="005229E6">
          <w:headerReference w:type="default" r:id="rId58"/>
          <w:pgSz w:w="11907" w:h="16839" w:code="9"/>
          <w:pgMar w:top="1440" w:right="1440" w:bottom="1440" w:left="1440" w:header="720" w:footer="720" w:gutter="0"/>
          <w:cols w:space="720"/>
          <w:bidi/>
          <w:docGrid w:linePitch="360"/>
        </w:sectPr>
      </w:pPr>
    </w:p>
    <w:p w:rsidR="001A69CD" w:rsidRPr="00882F11" w:rsidRDefault="001A69CD" w:rsidP="001A69CD">
      <w:pPr>
        <w:pStyle w:val="Heading1"/>
        <w:bidi/>
        <w:spacing w:before="0" w:line="360" w:lineRule="auto"/>
        <w:jc w:val="center"/>
        <w:rPr>
          <w:rFonts w:cs="Guttman Drogolin"/>
          <w:color w:val="auto"/>
          <w:sz w:val="24"/>
          <w:szCs w:val="24"/>
          <w:u w:val="single"/>
          <w:rtl/>
          <w:lang w:bidi="he-IL"/>
        </w:rPr>
      </w:pPr>
      <w:bookmarkStart w:id="303" w:name="_Toc496175554"/>
      <w:r w:rsidRPr="00882F11">
        <w:rPr>
          <w:rFonts w:cs="Guttman Drogolin" w:hint="cs"/>
          <w:color w:val="auto"/>
          <w:sz w:val="24"/>
          <w:szCs w:val="24"/>
          <w:u w:val="single"/>
          <w:rtl/>
          <w:lang w:bidi="he-IL"/>
        </w:rPr>
        <w:lastRenderedPageBreak/>
        <w:t>עוד נקודה בענינא דטעימה</w:t>
      </w:r>
      <w:bookmarkEnd w:id="303"/>
    </w:p>
    <w:p w:rsidR="00E8782F" w:rsidRPr="00882F11" w:rsidRDefault="00F54D15" w:rsidP="00150C33">
      <w:pPr>
        <w:tabs>
          <w:tab w:val="right" w:pos="7497"/>
        </w:tabs>
        <w:bidi/>
        <w:jc w:val="both"/>
        <w:rPr>
          <w:rFonts w:cs="Guttman Drogolin"/>
          <w:rtl/>
          <w:lang w:bidi="he-IL"/>
        </w:rPr>
      </w:pPr>
      <w:r>
        <w:rPr>
          <w:rFonts w:cs="Guttman Drogolin"/>
          <w:rtl/>
          <w:lang w:bidi="he-IL"/>
        </w:rPr>
        <w:fldChar w:fldCharType="begin"/>
      </w:r>
      <w:r>
        <w:instrText xml:space="preserve"> XE "</w:instrText>
      </w:r>
      <w:r w:rsidRPr="000E2DF1">
        <w:rPr>
          <w:rFonts w:hint="cs"/>
          <w:rtl/>
          <w:lang w:bidi="he-IL"/>
        </w:rPr>
        <w:instrText>טעימת ישראל</w:instrText>
      </w:r>
      <w:r w:rsidRPr="000E2DF1">
        <w:rPr>
          <w:rtl/>
        </w:rPr>
        <w:instrText>:</w:instrText>
      </w:r>
      <w:r w:rsidRPr="000E2DF1">
        <w:rPr>
          <w:rFonts w:hint="cs"/>
          <w:rtl/>
          <w:lang w:bidi="he-IL"/>
        </w:rPr>
        <w:instrText>האם מותר</w:instrText>
      </w:r>
      <w:r>
        <w:instrText xml:space="preserve">" </w:instrText>
      </w:r>
      <w:r>
        <w:rPr>
          <w:rFonts w:cs="Guttman Drogolin"/>
          <w:rtl/>
          <w:lang w:bidi="he-IL"/>
        </w:rPr>
        <w:fldChar w:fldCharType="end"/>
      </w:r>
      <w:r w:rsidR="001A69CD" w:rsidRPr="00882F11">
        <w:rPr>
          <w:rFonts w:cs="Guttman Drogolin" w:hint="cs"/>
          <w:rtl/>
          <w:lang w:bidi="he-IL"/>
        </w:rPr>
        <w:t>הט"ז בס"ק ב' העיר בעצם דבר זה שצריכים קפילא שהוא דוקא ארמ</w:t>
      </w:r>
      <w:r w:rsidR="00DF01FE" w:rsidRPr="00882F11">
        <w:rPr>
          <w:rFonts w:cs="Guttman Drogolin" w:hint="cs"/>
          <w:rtl/>
          <w:lang w:bidi="he-IL"/>
        </w:rPr>
        <w:t>אה לטעימת איסור, דנהי נמי שישראל</w:t>
      </w:r>
      <w:r w:rsidR="001A69CD" w:rsidRPr="00882F11">
        <w:rPr>
          <w:rFonts w:cs="Guttman Drogolin" w:hint="cs"/>
          <w:rtl/>
          <w:lang w:bidi="he-IL"/>
        </w:rPr>
        <w:t xml:space="preserve"> אינו יכול</w:t>
      </w:r>
      <w:r w:rsidR="00DF01FE" w:rsidRPr="00882F11">
        <w:rPr>
          <w:rFonts w:cs="Guttman Drogolin" w:hint="cs"/>
          <w:rtl/>
          <w:lang w:bidi="he-IL"/>
        </w:rPr>
        <w:t xml:space="preserve"> לאכול המאכל כיון שיש בזה חשש, הא יכול לטעום אותו בלשונו. והביא מן הדרישה שכבר העיר בזה, והוכיח מזה דע"כ אסור לישראל לטעום אפילו בלשונו, ומשו"ה הדגיש שהיא תוכחת מוסר לאלו הקונים בשר ומסתפקים אם מלחו הבשר או לא ומשו"ה טועמים בלשונם אם זה כן, ולכאורה גם זה יש לאסור וכמו בטעימת קפילא. אמנם הט"ז ס"ק ב'</w:t>
      </w:r>
      <w:r w:rsidR="00E8782F" w:rsidRPr="00882F11">
        <w:rPr>
          <w:rFonts w:cs="Guttman Drogolin" w:hint="cs"/>
          <w:rtl/>
          <w:lang w:bidi="he-IL"/>
        </w:rPr>
        <w:t xml:space="preserve"> דחה לפי המבואר ביו"ד סי' מ"ב שמותר לטעום את המרה בלשונו, הרי שבהדיא התירו לטעום בלשונו היכא דיש ספק</w:t>
      </w:r>
      <w:r w:rsidR="004A5866" w:rsidRPr="00882F11">
        <w:rPr>
          <w:rFonts w:cs="Guttman Drogolin" w:hint="cs"/>
          <w:rtl/>
          <w:lang w:bidi="he-IL"/>
        </w:rPr>
        <w:t>.</w:t>
      </w:r>
      <w:r w:rsidR="00E8782F" w:rsidRPr="00882F11">
        <w:rPr>
          <w:rFonts w:cs="Guttman Drogolin" w:hint="cs"/>
          <w:rtl/>
          <w:lang w:bidi="he-IL"/>
        </w:rPr>
        <w:t xml:space="preserve"> </w:t>
      </w:r>
    </w:p>
    <w:p w:rsidR="004A5866" w:rsidRPr="00882F11" w:rsidRDefault="00E8782F" w:rsidP="00150C33">
      <w:pPr>
        <w:tabs>
          <w:tab w:val="right" w:pos="7497"/>
        </w:tabs>
        <w:bidi/>
        <w:jc w:val="both"/>
        <w:rPr>
          <w:rFonts w:cs="Guttman Drogolin"/>
          <w:rtl/>
          <w:lang w:bidi="he-IL"/>
        </w:rPr>
      </w:pPr>
      <w:r w:rsidRPr="00882F11">
        <w:rPr>
          <w:rFonts w:cs="Guttman Drogolin" w:hint="cs"/>
          <w:rtl/>
          <w:lang w:bidi="he-IL"/>
        </w:rPr>
        <w:t xml:space="preserve">והט"ז הדגיש דהיינו רק במקום שיש ספק, ומשמע </w:t>
      </w:r>
      <w:r w:rsidR="00150C33" w:rsidRPr="00882F11">
        <w:rPr>
          <w:rFonts w:cs="Guttman Drogolin" w:hint="cs"/>
          <w:rtl/>
          <w:lang w:bidi="he-IL"/>
        </w:rPr>
        <w:t>שאסור לטעום דבר שהוא אסור בודאי</w:t>
      </w:r>
      <w:r w:rsidRPr="00882F11">
        <w:rPr>
          <w:rFonts w:cs="Guttman Drogolin" w:hint="cs"/>
          <w:rtl/>
          <w:lang w:bidi="he-IL"/>
        </w:rPr>
        <w:t xml:space="preserve">. ובמש"ז פי' שהוא משום שגם הט"ז מודה בעצם שטעימה בלשונו אסור, רק מ"מ מותר במקום ספק כיון שטעימה בלשונו אינו אסור אלא מדבנן, ולכן במקום ספק ספק דרבנן לקולא. והעירו מבני החבורה שליט"א שלכאורה כאן הוי ספק חסרון ידיעה, וא"כ אם הי' מותר רק משום סד"ר לקולא כאן הי' לנו להחמיר. זאת ועוד דא"כ אם הי' רוב צדדים לאיסור הול"ל למיסר. </w:t>
      </w:r>
      <w:r w:rsidR="004A5866" w:rsidRPr="00882F11">
        <w:rPr>
          <w:rFonts w:cs="Guttman Drogolin" w:hint="cs"/>
          <w:rtl/>
          <w:lang w:bidi="he-IL"/>
        </w:rPr>
        <w:t>ולולא דבריו אולי איכא למימר דכיון שאינו אסור אל</w:t>
      </w:r>
      <w:r w:rsidR="00150C33" w:rsidRPr="00882F11">
        <w:rPr>
          <w:rFonts w:cs="Guttman Drogolin" w:hint="cs"/>
          <w:rtl/>
          <w:lang w:bidi="he-IL"/>
        </w:rPr>
        <w:t>א</w:t>
      </w:r>
      <w:r w:rsidR="004A5866" w:rsidRPr="00882F11">
        <w:rPr>
          <w:rFonts w:cs="Guttman Drogolin" w:hint="cs"/>
          <w:rtl/>
          <w:lang w:bidi="he-IL"/>
        </w:rPr>
        <w:t xml:space="preserve"> מדרבנן, לא אסרו אלא כשכוונתו לטעום, אבל אם כוונתו לצורך אחר, וכגון לנסות אם יש שם טעם או לא, מותר.</w:t>
      </w:r>
    </w:p>
    <w:p w:rsidR="00ED41CB" w:rsidRPr="00882F11" w:rsidRDefault="004A5866" w:rsidP="004A5866">
      <w:pPr>
        <w:tabs>
          <w:tab w:val="right" w:pos="7497"/>
        </w:tabs>
        <w:bidi/>
        <w:jc w:val="both"/>
        <w:rPr>
          <w:rFonts w:cs="Guttman Drogolin"/>
          <w:rtl/>
          <w:lang w:bidi="he-IL"/>
        </w:rPr>
      </w:pPr>
      <w:r w:rsidRPr="00882F11">
        <w:rPr>
          <w:rFonts w:cs="Guttman Drogolin" w:hint="cs"/>
          <w:rtl/>
          <w:lang w:bidi="he-IL"/>
        </w:rPr>
        <w:t>ומ"מ לפי מה שהוכיח הט"ז שהוא מותר במקום ספק הדרה הקושיא לדוכתי', למה הצירכו נכרי הא יכול הישאל לטעום בלשונו. והוכיח הט"ז מכח קושיא זו דע"כ אין אנו סומכים על טעימה לומר שאין בה טעם איסור אא"כ אוכלו, אבל ע"י טעימה בלבד לא. ור"ל דבשלמא</w:t>
      </w:r>
      <w:r w:rsidR="00ED41CB" w:rsidRPr="00882F11">
        <w:rPr>
          <w:rFonts w:cs="Guttman Drogolin" w:hint="cs"/>
          <w:rtl/>
          <w:lang w:bidi="he-IL"/>
        </w:rPr>
        <w:t xml:space="preserve"> בכגון מליחה קל ביותר להבחין אם הי' מלוח או לא</w:t>
      </w:r>
      <w:r w:rsidR="00706C17" w:rsidRPr="00882F11">
        <w:rPr>
          <w:rFonts w:cs="Guttman Drogolin" w:hint="cs"/>
          <w:rtl/>
          <w:lang w:bidi="he-IL"/>
        </w:rPr>
        <w:t xml:space="preserve">, אבל לדעת </w:t>
      </w:r>
      <w:r w:rsidR="00706C17" w:rsidRPr="00882F11">
        <w:rPr>
          <w:rFonts w:cs="Guttman Drogolin" w:hint="cs"/>
          <w:rtl/>
          <w:lang w:bidi="he-IL"/>
        </w:rPr>
        <w:lastRenderedPageBreak/>
        <w:t>שאין בה הרגשת טעם של איסור</w:t>
      </w:r>
      <w:r w:rsidR="00ED41CB" w:rsidRPr="00882F11">
        <w:rPr>
          <w:rFonts w:cs="Guttman Drogolin" w:hint="cs"/>
          <w:rtl/>
          <w:lang w:bidi="he-IL"/>
        </w:rPr>
        <w:t xml:space="preserve"> לא סגי בטעימה בלשונו לחוד. וע"ש בט"ז שבאמת יש ג' דרגות, 1) אכילה ממש, 2) טעימה בפיו, 3) טעימה בלשונו. ופשוט לו לט"ז שטעימה בפיו אסור, אבל עכ"פ מבואר בדבריו שטעימת קפילא מצריך אכילה גמורה.</w:t>
      </w:r>
    </w:p>
    <w:p w:rsidR="00ED41CB" w:rsidRPr="00882F11" w:rsidRDefault="00ED41CB" w:rsidP="00122160">
      <w:pPr>
        <w:tabs>
          <w:tab w:val="right" w:pos="7497"/>
        </w:tabs>
        <w:bidi/>
        <w:jc w:val="both"/>
        <w:rPr>
          <w:rFonts w:cs="Guttman Drogolin"/>
          <w:rtl/>
          <w:lang w:bidi="he-IL"/>
        </w:rPr>
      </w:pPr>
      <w:r w:rsidRPr="00882F11">
        <w:rPr>
          <w:rFonts w:cs="Guttman Drogolin" w:hint="cs"/>
          <w:rtl/>
          <w:lang w:bidi="he-IL"/>
        </w:rPr>
        <w:t>והאחרונים דנו בכגון מי פה</w:t>
      </w:r>
      <w:r w:rsidRPr="00882F11">
        <w:rPr>
          <w:rStyle w:val="FootnoteReference"/>
          <w:rFonts w:cs="Guttman Drogolin"/>
          <w:rtl/>
          <w:lang w:bidi="he-IL"/>
        </w:rPr>
        <w:footnoteReference w:id="328"/>
      </w:r>
      <w:r w:rsidRPr="00882F11">
        <w:rPr>
          <w:rFonts w:cs="Guttman Drogolin" w:hint="cs"/>
          <w:rtl/>
          <w:lang w:bidi="he-IL"/>
        </w:rPr>
        <w:t xml:space="preserve"> שיש בה ממאכלות האסורות אם מותר או לא. אמנם נידון זה אינו מסתיים </w:t>
      </w:r>
      <w:r w:rsidR="00122160" w:rsidRPr="00882F11">
        <w:rPr>
          <w:rFonts w:cs="Guttman Drogolin" w:hint="cs"/>
          <w:rtl/>
          <w:lang w:bidi="he-IL"/>
        </w:rPr>
        <w:t>בדינא דטעימה בלשונו, דהא בדרך כלל המי פה נפסל מאכילת כלב, ולכן פקע מינ</w:t>
      </w:r>
      <w:r w:rsidR="00D759EB" w:rsidRPr="00882F11">
        <w:rPr>
          <w:rFonts w:cs="Guttman Drogolin" w:hint="cs"/>
          <w:rtl/>
          <w:lang w:bidi="he-IL"/>
        </w:rPr>
        <w:t>י' איסר אכילה מעיקר הדין, רק משו</w:t>
      </w:r>
      <w:r w:rsidR="00122160" w:rsidRPr="00882F11">
        <w:rPr>
          <w:rFonts w:cs="Guttman Drogolin" w:hint="cs"/>
          <w:rtl/>
          <w:lang w:bidi="he-IL"/>
        </w:rPr>
        <w:t>ם אחשבי' אסרינן אכילה, ובכה"ג אפילו אם אוכל כיון שאינו מכוין לאכול יש להתיר. ואכמ"ל בזה.</w:t>
      </w:r>
    </w:p>
    <w:p w:rsidR="00122160" w:rsidRPr="005229E6" w:rsidRDefault="00122160" w:rsidP="00122160">
      <w:pPr>
        <w:pStyle w:val="Heading1"/>
        <w:bidi/>
        <w:spacing w:before="0" w:line="360" w:lineRule="auto"/>
        <w:jc w:val="center"/>
        <w:rPr>
          <w:rFonts w:cs="Guttman Drogolin"/>
          <w:color w:val="auto"/>
          <w:sz w:val="22"/>
          <w:szCs w:val="22"/>
          <w:u w:val="single"/>
          <w:rtl/>
          <w:lang w:bidi="he-IL"/>
        </w:rPr>
      </w:pPr>
      <w:bookmarkStart w:id="304" w:name="_Toc496175555"/>
      <w:r w:rsidRPr="005229E6">
        <w:rPr>
          <w:rFonts w:cs="Guttman Drogolin" w:hint="cs"/>
          <w:color w:val="auto"/>
          <w:sz w:val="22"/>
          <w:szCs w:val="22"/>
          <w:u w:val="single"/>
          <w:rtl/>
          <w:lang w:bidi="he-IL"/>
        </w:rPr>
        <w:t>אי בטעם כעיקר אזלינן בתר שם או בתר טעם</w:t>
      </w:r>
      <w:bookmarkEnd w:id="304"/>
    </w:p>
    <w:p w:rsidR="001F168C" w:rsidRPr="00882F11" w:rsidRDefault="00F54D15" w:rsidP="001F168C">
      <w:pPr>
        <w:tabs>
          <w:tab w:val="right" w:pos="7497"/>
        </w:tabs>
        <w:bidi/>
        <w:jc w:val="both"/>
        <w:rPr>
          <w:rFonts w:cs="Guttman Drogolin"/>
          <w:rtl/>
          <w:lang w:bidi="he-IL"/>
        </w:rPr>
      </w:pPr>
      <w:r>
        <w:rPr>
          <w:rFonts w:cs="Guttman Drogolin"/>
          <w:rtl/>
          <w:lang w:bidi="he-IL"/>
        </w:rPr>
        <w:fldChar w:fldCharType="begin"/>
      </w:r>
      <w:r>
        <w:instrText xml:space="preserve"> XE "</w:instrText>
      </w:r>
      <w:r w:rsidRPr="00987CD5">
        <w:rPr>
          <w:rFonts w:hint="cs"/>
          <w:rtl/>
          <w:lang w:bidi="he-IL"/>
        </w:rPr>
        <w:instrText>טעם כעיקר</w:instrText>
      </w:r>
      <w:r w:rsidRPr="00987CD5">
        <w:rPr>
          <w:rtl/>
        </w:rPr>
        <w:instrText>:</w:instrText>
      </w:r>
      <w:r w:rsidRPr="00987CD5">
        <w:rPr>
          <w:rFonts w:hint="cs"/>
          <w:rtl/>
          <w:lang w:bidi="he-IL"/>
        </w:rPr>
        <w:instrText>בתר שמא או בתר טעמא</w:instrText>
      </w:r>
      <w:r>
        <w:instrText xml:space="preserve">" </w:instrText>
      </w:r>
      <w:r>
        <w:rPr>
          <w:rFonts w:cs="Guttman Drogolin"/>
          <w:rtl/>
          <w:lang w:bidi="he-IL"/>
        </w:rPr>
        <w:fldChar w:fldCharType="end"/>
      </w:r>
      <w:r w:rsidR="001F168C" w:rsidRPr="00882F11">
        <w:rPr>
          <w:rFonts w:cs="Guttman Drogolin" w:hint="cs"/>
          <w:rtl/>
          <w:lang w:bidi="he-IL"/>
        </w:rPr>
        <w:t xml:space="preserve">מבואר בגמ' שהדין של טכ"ע לא נאמר אלא במין באינו מינו ולא במין במינו. ולפום ריהטא הטעם בזה פשוט, דהא בב' מאכלים מאותו מין אינו מבחין בטעם המאכל האסור, דהא גם למאכל של היתר יש טעם זה. וא"כ לכאורה פשוט ש'מינו' ר"ל מאותו טעם, ושאינו מינו ר"ל שיש לו טעם אחר. ואע"ג דקיי"ל כרבא במס' ע"ז שבקביעת מינו או אינו מינו אזילנן בתר שמא, אין זה אלא בדברים שאין דינם להתבטל מדינא דאחרי רבים להטות אלא באינו מינו, אבל מדינא דטכ"ע כו"ע מודו שהכוונה ב'מינו' ו'אינו מינו' הוא לענין טעם. </w:t>
      </w:r>
    </w:p>
    <w:p w:rsidR="00646374" w:rsidRPr="00882F11" w:rsidRDefault="001F168C" w:rsidP="00646374">
      <w:pPr>
        <w:tabs>
          <w:tab w:val="right" w:pos="7497"/>
        </w:tabs>
        <w:bidi/>
        <w:jc w:val="both"/>
        <w:rPr>
          <w:rFonts w:cs="Guttman Drogolin"/>
          <w:rtl/>
          <w:lang w:bidi="he-IL"/>
        </w:rPr>
      </w:pPr>
      <w:r w:rsidRPr="00882F11">
        <w:rPr>
          <w:rFonts w:cs="Guttman Drogolin" w:hint="cs"/>
          <w:rtl/>
          <w:lang w:bidi="he-IL"/>
        </w:rPr>
        <w:t>אמנם ב</w:t>
      </w:r>
      <w:r w:rsidR="00122160" w:rsidRPr="00882F11">
        <w:rPr>
          <w:rFonts w:cs="Guttman Drogolin" w:hint="cs"/>
          <w:rtl/>
          <w:lang w:bidi="he-IL"/>
        </w:rPr>
        <w:t>ב"י, ורמ"א, וב"ח, ולבוש, וכן נראה מדברי הט"ז על הגליון</w:t>
      </w:r>
      <w:r w:rsidRPr="00882F11">
        <w:rPr>
          <w:rFonts w:cs="Guttman Drogolin" w:hint="cs"/>
          <w:rtl/>
          <w:lang w:bidi="he-IL"/>
        </w:rPr>
        <w:t>, מכולם מבואר לכאורה שלענין טכ"ע הדין מינו ואינו מינו תלוי בשם אליבא דרבא. ותמה הש"ך שלכא</w:t>
      </w:r>
      <w:r w:rsidR="00E149FD" w:rsidRPr="00882F11">
        <w:rPr>
          <w:rFonts w:cs="Guttman Drogolin" w:hint="cs"/>
          <w:rtl/>
          <w:lang w:bidi="he-IL"/>
        </w:rPr>
        <w:t>ו</w:t>
      </w:r>
      <w:r w:rsidRPr="00882F11">
        <w:rPr>
          <w:rFonts w:cs="Guttman Drogolin" w:hint="cs"/>
          <w:rtl/>
          <w:lang w:bidi="he-IL"/>
        </w:rPr>
        <w:t>רה איזה הסבר יש לדבר, הא דינא דטכ"ע הוא משום שמבחין בטעם האיסור, ולכן איך ניזיל בתר שמא.</w:t>
      </w:r>
      <w:r w:rsidR="00646374" w:rsidRPr="00882F11">
        <w:rPr>
          <w:rFonts w:cs="Guttman Drogolin" w:hint="cs"/>
          <w:rtl/>
          <w:lang w:bidi="he-IL"/>
        </w:rPr>
        <w:t xml:space="preserve"> ולכאורה הקושיא בתרתי. חדא שאם טעמם אינם שוה לכאורה הי' ריך ליאסר משום דינא דטכ"ע דאורייתא אע"ג שהוו מאותו שם. ועוד אפילו אם אינם שוים בשמם מה איכפת לן</w:t>
      </w:r>
      <w:r w:rsidR="00A37E3D" w:rsidRPr="00882F11">
        <w:rPr>
          <w:rFonts w:cs="Guttman Drogolin" w:hint="cs"/>
          <w:rtl/>
          <w:lang w:bidi="he-IL"/>
        </w:rPr>
        <w:t xml:space="preserve"> </w:t>
      </w:r>
      <w:r w:rsidR="00646374" w:rsidRPr="00882F11">
        <w:rPr>
          <w:rFonts w:cs="Guttman Drogolin" w:hint="cs"/>
          <w:rtl/>
          <w:lang w:bidi="he-IL"/>
        </w:rPr>
        <w:t xml:space="preserve">כיון שאין מבחין </w:t>
      </w:r>
      <w:r w:rsidR="00646374" w:rsidRPr="00882F11">
        <w:rPr>
          <w:rFonts w:cs="Guttman Drogolin" w:hint="cs"/>
          <w:rtl/>
          <w:lang w:bidi="he-IL"/>
        </w:rPr>
        <w:lastRenderedPageBreak/>
        <w:t>בטעם האיסור.</w:t>
      </w:r>
      <w:r w:rsidRPr="00882F11">
        <w:rPr>
          <w:rFonts w:cs="Guttman Drogolin" w:hint="cs"/>
          <w:rtl/>
          <w:lang w:bidi="he-IL"/>
        </w:rPr>
        <w:t xml:space="preserve"> וע"ש</w:t>
      </w:r>
      <w:r w:rsidR="00646374" w:rsidRPr="00882F11">
        <w:rPr>
          <w:rFonts w:cs="Guttman Drogolin" w:hint="cs"/>
          <w:rtl/>
          <w:lang w:bidi="he-IL"/>
        </w:rPr>
        <w:t xml:space="preserve"> שכתב שהגיעו</w:t>
      </w:r>
      <w:r w:rsidR="00646374" w:rsidRPr="00882F11">
        <w:rPr>
          <w:rFonts w:cs="Guttman Drogolin"/>
          <w:rtl/>
          <w:lang w:bidi="he-IL"/>
        </w:rPr>
        <w:t xml:space="preserve"> </w:t>
      </w:r>
      <w:r w:rsidR="00646374" w:rsidRPr="00882F11">
        <w:rPr>
          <w:rFonts w:cs="Guttman Drogolin" w:hint="cs"/>
          <w:rtl/>
          <w:lang w:bidi="he-IL"/>
        </w:rPr>
        <w:t>טענותיו לפני</w:t>
      </w:r>
      <w:r w:rsidR="00646374" w:rsidRPr="00882F11">
        <w:rPr>
          <w:rFonts w:cs="Guttman Drogolin"/>
          <w:rtl/>
          <w:lang w:bidi="he-IL"/>
        </w:rPr>
        <w:t xml:space="preserve"> </w:t>
      </w:r>
      <w:r w:rsidR="00646374" w:rsidRPr="00882F11">
        <w:rPr>
          <w:rFonts w:cs="Guttman Drogolin" w:hint="cs"/>
          <w:rtl/>
          <w:lang w:bidi="he-IL"/>
        </w:rPr>
        <w:t>כמה</w:t>
      </w:r>
      <w:r w:rsidR="00646374" w:rsidRPr="00882F11">
        <w:rPr>
          <w:rFonts w:cs="Guttman Drogolin"/>
          <w:rtl/>
          <w:lang w:bidi="he-IL"/>
        </w:rPr>
        <w:t xml:space="preserve"> </w:t>
      </w:r>
      <w:r w:rsidR="00646374" w:rsidRPr="00882F11">
        <w:rPr>
          <w:rFonts w:cs="Guttman Drogolin" w:hint="cs"/>
          <w:rtl/>
          <w:lang w:bidi="he-IL"/>
        </w:rPr>
        <w:t>גדולי</w:t>
      </w:r>
      <w:r w:rsidR="00646374" w:rsidRPr="00882F11">
        <w:rPr>
          <w:rFonts w:cs="Guttman Drogolin"/>
          <w:rtl/>
          <w:lang w:bidi="he-IL"/>
        </w:rPr>
        <w:t xml:space="preserve"> </w:t>
      </w:r>
      <w:r w:rsidR="00646374" w:rsidRPr="00882F11">
        <w:rPr>
          <w:rFonts w:cs="Guttman Drogolin" w:hint="cs"/>
          <w:rtl/>
          <w:lang w:bidi="he-IL"/>
        </w:rPr>
        <w:t>הדור</w:t>
      </w:r>
      <w:r w:rsidR="00646374" w:rsidRPr="00882F11">
        <w:rPr>
          <w:rFonts w:cs="Guttman Drogolin"/>
          <w:rtl/>
          <w:lang w:bidi="he-IL"/>
        </w:rPr>
        <w:t xml:space="preserve"> </w:t>
      </w:r>
      <w:r w:rsidR="00646374" w:rsidRPr="00882F11">
        <w:rPr>
          <w:rFonts w:cs="Guttman Drogolin" w:hint="cs"/>
          <w:rtl/>
          <w:lang w:bidi="he-IL"/>
        </w:rPr>
        <w:t>והסכימו. ובאמת צ"ע מהו טעמם של ענקים אלו שלא נקטו כן.</w:t>
      </w:r>
    </w:p>
    <w:p w:rsidR="000F6B91" w:rsidRPr="00882F11" w:rsidRDefault="00646374" w:rsidP="00EE4727">
      <w:pPr>
        <w:tabs>
          <w:tab w:val="right" w:pos="7497"/>
        </w:tabs>
        <w:bidi/>
        <w:jc w:val="both"/>
        <w:rPr>
          <w:rFonts w:cs="Guttman Drogolin"/>
          <w:rtl/>
          <w:lang w:bidi="he-IL"/>
        </w:rPr>
      </w:pPr>
      <w:r w:rsidRPr="00882F11">
        <w:rPr>
          <w:rFonts w:cs="Guttman Drogolin" w:hint="cs"/>
          <w:rtl/>
          <w:lang w:bidi="he-IL"/>
        </w:rPr>
        <w:t>ומצאתי בזה ג' בי</w:t>
      </w:r>
      <w:r w:rsidR="00131C86" w:rsidRPr="00882F11">
        <w:rPr>
          <w:rFonts w:cs="Guttman Drogolin" w:hint="cs"/>
          <w:rtl/>
          <w:lang w:bidi="he-IL"/>
        </w:rPr>
        <w:t>אורים. הט"ז בדף אחרון התיי</w:t>
      </w:r>
      <w:r w:rsidRPr="00882F11">
        <w:rPr>
          <w:rFonts w:cs="Guttman Drogolin" w:hint="cs"/>
          <w:rtl/>
          <w:lang w:bidi="he-IL"/>
        </w:rPr>
        <w:t xml:space="preserve">חס לקושיא זו וכתב שלעולם גם הרמ"א מודה שאם יש חילוק גדול בין הטעמים שהוא אסור מדין טכ"ע אע"ג ששוין בשמם. ולא כתב הרמ"א אלא בכאלו טעמים שאמנם מורגשים, אבל החילוק ביניהם אינו חילוק גדול. </w:t>
      </w:r>
      <w:r w:rsidR="00EE4727" w:rsidRPr="00882F11">
        <w:rPr>
          <w:rFonts w:cs="Guttman Drogolin" w:hint="cs"/>
          <w:rtl/>
          <w:lang w:bidi="he-IL"/>
        </w:rPr>
        <w:t>ש</w:t>
      </w:r>
      <w:r w:rsidR="00755132" w:rsidRPr="00882F11">
        <w:rPr>
          <w:rFonts w:cs="Guttman Drogolin" w:hint="cs"/>
          <w:rtl/>
          <w:lang w:bidi="he-IL"/>
        </w:rPr>
        <w:t xml:space="preserve">בזה </w:t>
      </w:r>
      <w:r w:rsidR="00EE4727" w:rsidRPr="00882F11">
        <w:rPr>
          <w:rFonts w:cs="Guttman Drogolin" w:hint="cs"/>
          <w:rtl/>
          <w:lang w:bidi="he-IL"/>
        </w:rPr>
        <w:t>נחלקו אביי ורבא, שרבא סבר שחילוק טעם כזה אינו בכלל הדין של טכ"ע, ולכן כיון דהוו מאותו שם הרי זה מותר, אבל אביי סבר דכיון שטעמם שונה קצת, אזלינן בתר טעמא ואמרינן שהוא אסור משום דין טכ"ע. ובזה סבר הרמ"א כרבא</w:t>
      </w:r>
      <w:r w:rsidR="00755132" w:rsidRPr="00882F11">
        <w:rPr>
          <w:rFonts w:cs="Guttman Drogolin" w:hint="cs"/>
          <w:rtl/>
          <w:lang w:bidi="he-IL"/>
        </w:rPr>
        <w:t xml:space="preserve"> דאזלינן בתר שמא</w:t>
      </w:r>
      <w:r w:rsidR="00EE4727" w:rsidRPr="00882F11">
        <w:rPr>
          <w:rFonts w:cs="Guttman Drogolin" w:hint="cs"/>
          <w:rtl/>
          <w:lang w:bidi="he-IL"/>
        </w:rPr>
        <w:t xml:space="preserve"> ולא איכפת לן בשינוי טעם קל</w:t>
      </w:r>
      <w:r w:rsidR="00755132" w:rsidRPr="00882F11">
        <w:rPr>
          <w:rFonts w:cs="Guttman Drogolin" w:hint="cs"/>
          <w:rtl/>
          <w:lang w:bidi="he-IL"/>
        </w:rPr>
        <w:t>. וראיתי במגי"ס שכתב דע"כ סבר הט"ז שמדאורייתא עד כמה שאין הפרש גדול בין הטעמים שלהם לא אמרינן טכ"</w:t>
      </w:r>
      <w:r w:rsidR="000F6B91" w:rsidRPr="00882F11">
        <w:rPr>
          <w:rFonts w:cs="Guttman Drogolin" w:hint="cs"/>
          <w:rtl/>
          <w:lang w:bidi="he-IL"/>
        </w:rPr>
        <w:t>ע, רק חומרא היא מדרבנן לומר דכיון שעכ"פ שמות חלוקים להם אמרינן להחמיר בה כדינא דאורייתא. וע' בקו"א להש"ך שדחה פירוש זה.</w:t>
      </w:r>
    </w:p>
    <w:p w:rsidR="005C3E3F" w:rsidRPr="00882F11" w:rsidRDefault="000F6B91" w:rsidP="004F7942">
      <w:pPr>
        <w:tabs>
          <w:tab w:val="right" w:pos="7497"/>
        </w:tabs>
        <w:bidi/>
        <w:jc w:val="both"/>
        <w:rPr>
          <w:rFonts w:cs="Guttman Drogolin"/>
          <w:rtl/>
          <w:lang w:bidi="he-IL"/>
        </w:rPr>
      </w:pPr>
      <w:r w:rsidRPr="00882F11">
        <w:rPr>
          <w:rFonts w:cs="Guttman Drogolin" w:hint="cs"/>
          <w:rtl/>
          <w:lang w:bidi="he-IL"/>
        </w:rPr>
        <w:t xml:space="preserve">ובחוו"ד כתב שלעולם למידין </w:t>
      </w:r>
      <w:r w:rsidR="004F7942" w:rsidRPr="00882F11">
        <w:rPr>
          <w:rFonts w:cs="Guttman Drogolin" w:hint="cs"/>
          <w:rtl/>
          <w:lang w:bidi="he-IL"/>
        </w:rPr>
        <w:t xml:space="preserve">מהלל"מ דכזית בכא"פ דאו' </w:t>
      </w:r>
      <w:r w:rsidRPr="00882F11">
        <w:rPr>
          <w:rFonts w:cs="Guttman Drogolin" w:hint="cs"/>
          <w:rtl/>
          <w:lang w:bidi="he-IL"/>
        </w:rPr>
        <w:t xml:space="preserve">שאם אין ס' מין בשאינו מינו אינו בטל מדאורייתא, </w:t>
      </w:r>
      <w:r w:rsidR="004F7942" w:rsidRPr="00882F11">
        <w:rPr>
          <w:rFonts w:cs="Guttman Drogolin" w:hint="cs"/>
          <w:rtl/>
          <w:lang w:bidi="he-IL"/>
        </w:rPr>
        <w:t xml:space="preserve">ואילו כשיש ס' למידין מזרוע בשילה שהוא בטל, </w:t>
      </w:r>
      <w:r w:rsidRPr="00882F11">
        <w:rPr>
          <w:rFonts w:cs="Guttman Drogolin" w:hint="cs"/>
          <w:rtl/>
          <w:lang w:bidi="he-IL"/>
        </w:rPr>
        <w:t>ולא איכפת לן אם יש טעם או אין. ובזה אזלינן בתר שמא ולא בתר טעמא. וכל הדין של טכ"ע הוא לומר דנהפך האיסור להיות היתר וחייב על כל כזית וכזית. ולכן אם מין במינו בשמא הוא הרי בטל האיסור אפילו טועמו, ואם מין בשאינו מינו הוא והוא יותר מא' מששים</w:t>
      </w:r>
      <w:r w:rsidR="005C3E3F" w:rsidRPr="00882F11">
        <w:rPr>
          <w:rFonts w:cs="Guttman Drogolin" w:hint="cs"/>
          <w:rtl/>
          <w:lang w:bidi="he-IL"/>
        </w:rPr>
        <w:t xml:space="preserve"> אינו בטל מדאורייתא ולכלן עובר עליו אפילו אינו טועמו, רק שאם טועמו יש חומרא נוספת שנהפך ההיתר להיות איסור. ועכ"פ יוצא לפי דבריו דלא מהני טעימת קפילא במין בשאינו מינו בדליכא </w:t>
      </w:r>
      <w:r w:rsidR="005C3E3F" w:rsidRPr="00882F11">
        <w:rPr>
          <w:rFonts w:cs="Guttman Drogolin" w:hint="cs"/>
          <w:rtl/>
          <w:lang w:bidi="he-IL"/>
        </w:rPr>
        <w:lastRenderedPageBreak/>
        <w:t>ששים, וע' באחרונים שהעירו שאין זה משמעות דברי הראשונים.</w:t>
      </w:r>
    </w:p>
    <w:p w:rsidR="005C3E3F" w:rsidRPr="00882F11" w:rsidRDefault="005C3E3F" w:rsidP="005C3E3F">
      <w:pPr>
        <w:tabs>
          <w:tab w:val="right" w:pos="7497"/>
        </w:tabs>
        <w:bidi/>
        <w:jc w:val="both"/>
        <w:rPr>
          <w:rFonts w:cs="Guttman Drogolin"/>
          <w:rtl/>
          <w:lang w:bidi="he-IL"/>
        </w:rPr>
      </w:pPr>
      <w:r w:rsidRPr="00882F11">
        <w:rPr>
          <w:rFonts w:cs="Guttman Drogolin" w:hint="cs"/>
          <w:rtl/>
          <w:lang w:bidi="he-IL"/>
        </w:rPr>
        <w:t>ובשעתו</w:t>
      </w:r>
      <w:r w:rsidR="001F168C" w:rsidRPr="00882F11">
        <w:rPr>
          <w:rStyle w:val="FootnoteReference"/>
          <w:rFonts w:cs="Guttman Drogolin"/>
          <w:rtl/>
          <w:lang w:bidi="he-IL"/>
        </w:rPr>
        <w:footnoteReference w:id="329"/>
      </w:r>
      <w:r w:rsidRPr="00882F11">
        <w:rPr>
          <w:rFonts w:cs="Guttman Drogolin" w:hint="cs"/>
          <w:rtl/>
          <w:lang w:bidi="he-IL"/>
        </w:rPr>
        <w:t xml:space="preserve"> הבאנו ביאורו של הגר"א קוטלר. ונכתוב את הדברים פעם שני לתועלת הלומדים:</w:t>
      </w:r>
    </w:p>
    <w:p w:rsidR="005C3E3F" w:rsidRPr="00882F11" w:rsidRDefault="005C3E3F" w:rsidP="005229E6">
      <w:pPr>
        <w:bidi/>
        <w:ind w:left="193" w:right="90"/>
        <w:jc w:val="both"/>
        <w:rPr>
          <w:rFonts w:cs="Guttman Drogolin"/>
          <w:rtl/>
          <w:lang w:bidi="he-IL"/>
        </w:rPr>
      </w:pPr>
      <w:r w:rsidRPr="00882F11">
        <w:rPr>
          <w:rFonts w:cs="Guttman Drogolin" w:hint="cs"/>
          <w:rtl/>
          <w:lang w:bidi="he-IL"/>
        </w:rPr>
        <w:t>וראיתי באוסף חידו"ת להגר"א קוטלר שבא ליישב שיטת הרמ"א. ובהקדם ביאר דעד כאן לא אמרינן דטעם כעיקר דאורייתא אלא בכה"ג שהטעם אינו בטל מדאורייתא מדין אחרי רבים להטות</w:t>
      </w:r>
      <w:r w:rsidRPr="00882F11">
        <w:rPr>
          <w:rStyle w:val="FootnoteReference"/>
          <w:rFonts w:cs="Guttman Drogolin"/>
          <w:rtl/>
          <w:lang w:bidi="he-IL"/>
        </w:rPr>
        <w:footnoteReference w:id="330"/>
      </w:r>
      <w:r w:rsidRPr="00882F11">
        <w:rPr>
          <w:rFonts w:cs="Guttman Drogolin" w:hint="cs"/>
          <w:rtl/>
          <w:lang w:bidi="he-IL"/>
        </w:rPr>
        <w:t xml:space="preserve">. וכתב להוכיח דבר זה מקושיית הגרע"א בגליון הש"ס אשיטת ר"י מאורליינ"ש שהבאנו לעיל, שלדידי' שאפילו אם טעם כעיקר דאורייתא אינו אלא עשה, איך הוכיחו מזה שר"ל סבר שאין לוקין עליו שטעם כעיקר אינו דאורייתא, הא יתכן שהוא דאורייתא רק שאין לוקין עליו כיון שאינו אלא עשה. וביאר דע"כ בגזה"כ של טעם כעיקר מונח שהטעם לא בטל מדין אחרי רבים להטות, ומטעם הנ"ל, שאם הי' בטל לא הי' לו כח לאסור מדין טעם כעיקר. וכיון שכן, בטעמו וממשו, כיון שלא בטל גם הר"י מאוריילנ"ש מודה שחזר לאיסורו ואסור מדאורייתא. </w:t>
      </w:r>
    </w:p>
    <w:p w:rsidR="005C3E3F" w:rsidRPr="00882F11" w:rsidRDefault="005C3E3F" w:rsidP="005229E6">
      <w:pPr>
        <w:bidi/>
        <w:ind w:left="193" w:right="90"/>
        <w:jc w:val="both"/>
        <w:rPr>
          <w:rFonts w:cs="Guttman Drogolin"/>
          <w:rtl/>
          <w:lang w:bidi="he-IL"/>
        </w:rPr>
      </w:pPr>
      <w:r w:rsidRPr="00882F11">
        <w:rPr>
          <w:rFonts w:cs="Guttman Drogolin" w:hint="cs"/>
          <w:rtl/>
          <w:lang w:bidi="he-IL"/>
        </w:rPr>
        <w:t xml:space="preserve">והדגיש שם דהנה בעלמא כשיש לך איסור הניכר בתערובת שאינו בטל מדאורייתא, טעמו של דבר משום שע"י זה שהוא ניכר הרי הוא מסתלק מן התערובת וכבר אין לו שייכות לחתיכות המותרות. ולכן בכגון ב' חתיכות של היתר מצבע א', וחתיכה אחת של איסור מצבע אחר, הטעם שאין האיסור בטל משום שאין לך במה לבטלו. אבל בטעם כעיקר אין זה הטעם, דהא ממילא הכל מעורב כחפצא א' ואין היכר הטעם מוציאו מן התערובת שלו. וזה לבד שהאיסור ניכר ע"י הטעם אין זה סיבה לומר שאינו בטל מגזה"כ דאחרי רבים להטות. </w:t>
      </w:r>
      <w:r w:rsidRPr="00882F11">
        <w:rPr>
          <w:rFonts w:cs="Guttman Drogolin" w:hint="cs"/>
          <w:rtl/>
          <w:lang w:bidi="he-IL"/>
        </w:rPr>
        <w:lastRenderedPageBreak/>
        <w:t xml:space="preserve">ויש לזה ההוכחה מעצם המקור של ביטול ברוב שנאמר בגזה"כ דאחרי רבים להטות, דהא מקור הדבר מיירי בביטול הדיינים ברוב, והרי הדיינים היו ניכרים (ע' לבוש באו"ח סי' תרל"ב שג"כ העיר מזה). רק הטעם שאין האיסור בטל כשיש טעם הוא כנ"ל, דגזה"כ הוא שכשיש טעם לא אמרינן ההיתר של אחרי רבים להטות. </w:t>
      </w:r>
    </w:p>
    <w:p w:rsidR="005C3E3F" w:rsidRPr="00882F11" w:rsidRDefault="005C3E3F" w:rsidP="005229E6">
      <w:pPr>
        <w:bidi/>
        <w:ind w:left="193" w:right="90"/>
        <w:jc w:val="both"/>
        <w:rPr>
          <w:rFonts w:cs="Guttman Drogolin"/>
          <w:rtl/>
          <w:lang w:bidi="he-IL"/>
        </w:rPr>
      </w:pPr>
      <w:r w:rsidRPr="00882F11">
        <w:rPr>
          <w:rFonts w:cs="Guttman Drogolin" w:hint="cs"/>
          <w:rtl/>
          <w:lang w:bidi="he-IL"/>
        </w:rPr>
        <w:t>וע"פ זה כתב לבאר, דכיון שהמקור לטעם כעיקר הוא מגזה"כ דמשרת, ושם הרי יש מין בשאינו מינו כענין של הא דרבא ואביי, אמרינן שחידוש התורה היתה דכשיש טעם ליכא ביטול בדבר שדינו כמין בשאינו מינו, ולא בדבר שהוא מין במינו אע"ג שיש בה טעם. ולכן בדבר שיש לו דין מין במינו משום השם שלו, יוצא דכיון שהטעם בטל לא אמרינן טעם כעיקר. ובזה מיושב חצי משיטת הרמ"א, והיינו למה שלא יהא דין טעם כעיקר דאורייתא כשדינו כמין במינו אע"ג שמרגיש הטעם, והוא משום דכיון שדינו כמין במינו הטעם בטל ולא אמרינן הכלל של טעם כעיקר דאורייתא.</w:t>
      </w:r>
    </w:p>
    <w:p w:rsidR="005C3E3F" w:rsidRPr="00882F11" w:rsidRDefault="005C3E3F" w:rsidP="005229E6">
      <w:pPr>
        <w:tabs>
          <w:tab w:val="right" w:pos="4063"/>
        </w:tabs>
        <w:bidi/>
        <w:ind w:left="193" w:right="90"/>
        <w:jc w:val="both"/>
        <w:rPr>
          <w:rFonts w:cs="Guttman Drogolin"/>
          <w:rtl/>
          <w:lang w:bidi="he-IL"/>
        </w:rPr>
      </w:pPr>
      <w:r w:rsidRPr="00882F11">
        <w:rPr>
          <w:rFonts w:cs="Guttman Drogolin" w:hint="cs"/>
          <w:rtl/>
          <w:lang w:bidi="he-IL"/>
        </w:rPr>
        <w:t>והמשיך לבאר גם הקושי השני בדעת הרמ"א, והוא דאע"ג שאינו יכול להכיר את הטעם, מ"מ הרי טועם טעם איסור</w:t>
      </w:r>
      <w:r w:rsidRPr="00882F11">
        <w:rPr>
          <w:rStyle w:val="FootnoteReference"/>
          <w:rFonts w:cs="Guttman Drogolin"/>
          <w:rtl/>
          <w:lang w:bidi="he-IL"/>
        </w:rPr>
        <w:footnoteReference w:id="331"/>
      </w:r>
      <w:r w:rsidRPr="00882F11">
        <w:rPr>
          <w:rFonts w:cs="Guttman Drogolin" w:hint="cs"/>
          <w:rtl/>
          <w:lang w:bidi="he-IL"/>
        </w:rPr>
        <w:t>, שהרי טעם האיסור וטעם ההיתר שוין, וכמו שטועם את האיסור גם טועם את ההיתר. ולכן כיון שהטעם שלו לא בטל כיון שהוא מין בשאינו מינו, ונאמר הדין מגזה"כ דמשרת שבמין בשאינו מינו טעמא לא בטיל, הרי עובר אאיסור טעם כעיקר דאורייתא.</w:t>
      </w:r>
    </w:p>
    <w:p w:rsidR="005C3E3F" w:rsidRPr="00882F11" w:rsidRDefault="005C3E3F" w:rsidP="00150C33">
      <w:pPr>
        <w:tabs>
          <w:tab w:val="right" w:pos="7497"/>
        </w:tabs>
        <w:bidi/>
        <w:jc w:val="both"/>
        <w:rPr>
          <w:rFonts w:cs="Guttman Drogolin"/>
          <w:rtl/>
          <w:lang w:bidi="he-IL"/>
        </w:rPr>
      </w:pPr>
      <w:r w:rsidRPr="00882F11">
        <w:rPr>
          <w:rFonts w:cs="Guttman Drogolin" w:hint="cs"/>
          <w:rtl/>
          <w:lang w:bidi="he-IL"/>
        </w:rPr>
        <w:t xml:space="preserve">עכ"פ לפי הדברים האלו אפשר ליישב עוד שאלה. דהנה הבאנו בשיעור הקודם שהגר"א חלק על </w:t>
      </w:r>
      <w:r w:rsidRPr="00882F11">
        <w:rPr>
          <w:rFonts w:cs="Guttman Drogolin" w:hint="cs"/>
          <w:rtl/>
          <w:lang w:bidi="he-IL"/>
        </w:rPr>
        <w:lastRenderedPageBreak/>
        <w:t>המבואר בשו"ע שבשר וחלב (בציר"ה) חשוב מין בשאינו מינו וסבר שהוא מין במינו. והגר"א הביא ראי' לזה מדברי הר"ן שבאמת כתב דהוי מין במינו. ולכאורה הדברים מרפסין איגרי</w:t>
      </w:r>
      <w:r w:rsidR="00F87183" w:rsidRPr="00882F11">
        <w:rPr>
          <w:rFonts w:cs="Guttman Drogolin" w:hint="cs"/>
          <w:rtl/>
          <w:lang w:bidi="he-IL"/>
        </w:rPr>
        <w:t>, דהא אפילו את"ל שאין לו דין מין בשאינו מינו לשאר דיני התורה, ואפילו לא לדינא דטכ"ע כיון שטעמם שוה, אבל לכאורה עד כמה שטעמם שונה למה אי אפשר לומר דמהני בזה טעימת קפילא. ואם מהני טעימת קפילא מאי קמקשה הגר"א על דברי המחבר, שהרי המחבר לא כתב אלא דמהני לזה טעימת קפילא. ואפילו את"ל דכיון שטעמם שוה לא מהני טעימת קפילא, מ"מ איזה ראי' יש לזה מזה שמצאנו בעלמא שיש לו דין מין במינו. אמנם לכאורה לפי הנ"ל לפי שיטת הב"י עצמו הדברים מיושבים. דעד כמה שיש לו דין מין במינו אפילו בשמא</w:t>
      </w:r>
      <w:r w:rsidR="0045768D" w:rsidRPr="00882F11">
        <w:rPr>
          <w:rFonts w:cs="Guttman Drogolin" w:hint="cs"/>
          <w:rtl/>
          <w:lang w:bidi="he-IL"/>
        </w:rPr>
        <w:t xml:space="preserve"> יש לנו לומר שהוא בטל אפילו אם מרגישים הטעם, אין צורך בטעימת קפילא, או משום שטעמם קרובים זה לזה ולכן רק בחילוק שם החמירו כט"ז בקו"א, או משום שלא איכפת לנו טעמו עד כמה שהוא בטל, וכביאורם של החוו"ד וה</w:t>
      </w:r>
      <w:r w:rsidR="00DD23DB" w:rsidRPr="00882F11">
        <w:rPr>
          <w:rFonts w:cs="Guttman Drogolin" w:hint="cs"/>
          <w:rtl/>
          <w:lang w:bidi="he-IL"/>
        </w:rPr>
        <w:t>ג</w:t>
      </w:r>
      <w:r w:rsidR="0045768D" w:rsidRPr="00882F11">
        <w:rPr>
          <w:rFonts w:cs="Guttman Drogolin" w:hint="cs"/>
          <w:rtl/>
          <w:lang w:bidi="he-IL"/>
        </w:rPr>
        <w:t>ר"א קוטלר. ולכן אע"ג שהגר"א עצמו צידד כאן כשיטת הש"ך, מ"מ הגר"א התייחס לנקודה המבוארת בשו"ע לשיטתו דע"כ לא חשיב מין במינו.</w:t>
      </w:r>
      <w:r w:rsidRPr="00882F11">
        <w:rPr>
          <w:rFonts w:cs="Guttman Drogolin" w:hint="cs"/>
          <w:rtl/>
          <w:lang w:bidi="he-IL"/>
        </w:rPr>
        <w:t xml:space="preserve"> </w:t>
      </w:r>
    </w:p>
    <w:p w:rsidR="0045768D" w:rsidRPr="00882F11" w:rsidRDefault="0045768D" w:rsidP="005229E6">
      <w:pPr>
        <w:pStyle w:val="Heading1"/>
        <w:bidi/>
        <w:spacing w:before="0" w:line="240" w:lineRule="auto"/>
        <w:jc w:val="center"/>
        <w:rPr>
          <w:rFonts w:cs="Guttman Drogolin"/>
          <w:color w:val="auto"/>
          <w:sz w:val="24"/>
          <w:szCs w:val="24"/>
          <w:u w:val="single"/>
          <w:rtl/>
          <w:lang w:bidi="he-IL"/>
        </w:rPr>
      </w:pPr>
      <w:bookmarkStart w:id="305" w:name="_Toc496175556"/>
      <w:r w:rsidRPr="00882F11">
        <w:rPr>
          <w:rFonts w:cs="Guttman Drogolin" w:hint="cs"/>
          <w:color w:val="auto"/>
          <w:sz w:val="24"/>
          <w:szCs w:val="24"/>
          <w:u w:val="single"/>
          <w:rtl/>
          <w:lang w:bidi="he-IL"/>
        </w:rPr>
        <w:t>בחידושו של הרשב"א בספק ששים והתערב במינו ובשאינו מינו</w:t>
      </w:r>
      <w:bookmarkEnd w:id="305"/>
    </w:p>
    <w:p w:rsidR="005C3E3F" w:rsidRPr="00882F11" w:rsidRDefault="00F54D15" w:rsidP="0045768D">
      <w:pPr>
        <w:bidi/>
        <w:jc w:val="both"/>
        <w:rPr>
          <w:rFonts w:cs="Guttman Drogolin"/>
          <w:rtl/>
          <w:lang w:bidi="he-IL"/>
        </w:rPr>
      </w:pPr>
      <w:r>
        <w:rPr>
          <w:rFonts w:cs="Guttman Drogolin"/>
          <w:rtl/>
          <w:lang w:bidi="he-IL"/>
        </w:rPr>
        <w:fldChar w:fldCharType="begin"/>
      </w:r>
      <w:r>
        <w:instrText xml:space="preserve"> XE "</w:instrText>
      </w:r>
      <w:r w:rsidRPr="00F36D98">
        <w:rPr>
          <w:rFonts w:hint="cs"/>
          <w:rtl/>
          <w:lang w:bidi="he-IL"/>
        </w:rPr>
        <w:instrText>סלק</w:instrText>
      </w:r>
      <w:r w:rsidRPr="00F36D98">
        <w:rPr>
          <w:rtl/>
        </w:rPr>
        <w:instrText>:</w:instrText>
      </w:r>
      <w:r w:rsidRPr="00F36D98">
        <w:rPr>
          <w:rFonts w:hint="cs"/>
          <w:rtl/>
          <w:lang w:bidi="he-IL"/>
        </w:rPr>
        <w:instrText>דינו של הרשב</w:instrText>
      </w:r>
      <w:r>
        <w:rPr>
          <w:rFonts w:eastAsiaTheme="minorEastAsia"/>
          <w:lang w:bidi="he-IL"/>
        </w:rPr>
        <w:instrText>\</w:instrText>
      </w:r>
      <w:r w:rsidRPr="00F36D98">
        <w:rPr>
          <w:rFonts w:hint="cs"/>
          <w:rtl/>
          <w:lang w:bidi="he-IL"/>
        </w:rPr>
        <w:instrText>"א בתערובת מין במינו ושאינו מינו</w:instrText>
      </w:r>
      <w:r>
        <w:instrText xml:space="preserve">" </w:instrText>
      </w:r>
      <w:r>
        <w:rPr>
          <w:rFonts w:cs="Guttman Drogolin"/>
          <w:rtl/>
          <w:lang w:bidi="he-IL"/>
        </w:rPr>
        <w:fldChar w:fldCharType="end"/>
      </w:r>
      <w:r w:rsidR="0045768D" w:rsidRPr="00882F11">
        <w:rPr>
          <w:rFonts w:cs="Guttman Drogolin" w:hint="cs"/>
          <w:rtl/>
          <w:lang w:bidi="he-IL"/>
        </w:rPr>
        <w:t>מבואר כאן בשו"ע הנפק"מ אם טכ"ע דאורייתא או דרבנן, והוא שאם יש ספק אם יש ששים או אין ששים הדבר תלוי, דאם מיירי במין במינו כיון שמדאורייתא ברובא בטל ולא צריכים ששים אלא מדרבנן אפשר להקל. אבל במין בשאינו מינו, כיון דטכ"ע דאורייתא צריכים להחמיר מספק. ולכן מבואר כאן שהשו"ע עכ"פ להחמיר דטכ"ע דאורייתא</w:t>
      </w:r>
      <w:r w:rsidR="0045768D" w:rsidRPr="00882F11">
        <w:rPr>
          <w:rStyle w:val="FootnoteReference"/>
          <w:rFonts w:cs="Guttman Drogolin"/>
          <w:rtl/>
          <w:lang w:bidi="he-IL"/>
        </w:rPr>
        <w:footnoteReference w:id="332"/>
      </w:r>
      <w:r w:rsidR="0045768D" w:rsidRPr="00882F11">
        <w:rPr>
          <w:rFonts w:cs="Guttman Drogolin" w:hint="cs"/>
          <w:rtl/>
          <w:lang w:bidi="he-IL"/>
        </w:rPr>
        <w:t>.</w:t>
      </w:r>
    </w:p>
    <w:p w:rsidR="001F7824" w:rsidRPr="00882F11" w:rsidRDefault="00381A77" w:rsidP="001F7824">
      <w:pPr>
        <w:bidi/>
        <w:jc w:val="both"/>
        <w:rPr>
          <w:rFonts w:cs="Guttman Drogolin"/>
          <w:rtl/>
          <w:lang w:bidi="he-IL"/>
        </w:rPr>
      </w:pPr>
      <w:r w:rsidRPr="00882F11">
        <w:rPr>
          <w:rFonts w:cs="Guttman Drogolin" w:hint="cs"/>
          <w:rtl/>
          <w:lang w:bidi="he-IL"/>
        </w:rPr>
        <w:lastRenderedPageBreak/>
        <w:t>וכתב הרשב"א שאין צורך להחמיר בזה אלא כשהתערב באינו מינו בלבד, אבל אם הי' בה רוב מינו דהיתירא, אע"ג שגם מין במינו צריך ס', מ"מ כיון שמדאורייתא מין במינו בטל ברוב, אין כאן אלא איסור דרבנן, וכיון שיש ספק אם יש ששים הו"ל ספק דרבנן ולהקל. והרשב"א למד דין זה מדינא דסלק המבואר בגמ' שבדף ק' ע"א</w:t>
      </w:r>
      <w:r w:rsidR="00EE4727" w:rsidRPr="00882F11">
        <w:rPr>
          <w:rFonts w:cs="Guttman Drogolin" w:hint="cs"/>
          <w:rtl/>
          <w:lang w:bidi="he-IL"/>
        </w:rPr>
        <w:t xml:space="preserve">. והנה שם </w:t>
      </w:r>
      <w:r w:rsidR="004F7942" w:rsidRPr="00882F11">
        <w:rPr>
          <w:rFonts w:cs="Guttman Drogolin" w:hint="cs"/>
          <w:rtl/>
          <w:lang w:bidi="he-IL"/>
        </w:rPr>
        <w:t xml:space="preserve">מיירי בדין ביטול דאחרי רבים להטות, דסבר ר' יהודה דלא נאמר הדין דאחרי רבים להטות אלא במין בשאינו מינו, שכן למד מגזה"כ. ובזה אמרינן שאם יש מין היתר וגם אינו מינו של היתר, אע"ג שאין להיתר שהוא מינו כח לבטל האיסור כיון שמין אינו מבטל מינו, אבל האינו מינו יכול לבטלו, ולכן דל ('סלק') היתר מינו מהכא והרי הוא מתבטל ע"י האינו מינו. אמנם כאן הרי זה שאלה אחרת, והוא האם המין איסור נותן טעם באינו מינו, ולכן מה איכפת לן שיש כאן בם היתר מינו, דנהי נמי שהמינו דהיתירא מהני לבטל טעם המינא דאיסורא, שהרי המין איסור מתפשט גם במינו דהיתירא, אבל אם באמת נ"ט באינו מינו הרי טכ"ע דאורייתא, ומאי אהני לן דינא דסלק. ומשו"ה חלקו היש"ש והש"ך </w:t>
      </w:r>
      <w:r w:rsidR="001F7824" w:rsidRPr="00882F11">
        <w:rPr>
          <w:rFonts w:cs="Guttman Drogolin" w:hint="cs"/>
          <w:rtl/>
          <w:lang w:bidi="he-IL"/>
        </w:rPr>
        <w:t xml:space="preserve">על יסוד הרשב"א. </w:t>
      </w:r>
    </w:p>
    <w:p w:rsidR="00D2377B" w:rsidRPr="00882F11" w:rsidRDefault="001F7824" w:rsidP="00772E65">
      <w:pPr>
        <w:bidi/>
        <w:jc w:val="both"/>
        <w:rPr>
          <w:rFonts w:cs="Guttman Drogolin"/>
          <w:rtl/>
          <w:lang w:bidi="he-IL"/>
        </w:rPr>
      </w:pPr>
      <w:r w:rsidRPr="00882F11">
        <w:rPr>
          <w:rFonts w:cs="Guttman Drogolin" w:hint="cs"/>
          <w:rtl/>
          <w:lang w:bidi="he-IL"/>
        </w:rPr>
        <w:t xml:space="preserve">לכאורה הפשוט בדעת הרשב"א דהנה אם הי' מתערב המין איסור עם </w:t>
      </w:r>
      <w:r w:rsidR="00150C33" w:rsidRPr="00882F11">
        <w:rPr>
          <w:rFonts w:cs="Guttman Drogolin" w:hint="cs"/>
          <w:rtl/>
          <w:lang w:bidi="he-IL"/>
        </w:rPr>
        <w:t xml:space="preserve">רוב של </w:t>
      </w:r>
      <w:r w:rsidRPr="00882F11">
        <w:rPr>
          <w:rFonts w:cs="Guttman Drogolin" w:hint="cs"/>
          <w:rtl/>
          <w:lang w:bidi="he-IL"/>
        </w:rPr>
        <w:t>המין היתר קודם שנכנס לתבשיל הרי פשוט שהי</w:t>
      </w:r>
      <w:r w:rsidR="00150C33" w:rsidRPr="00882F11">
        <w:rPr>
          <w:rFonts w:cs="Guttman Drogolin" w:hint="cs"/>
          <w:rtl/>
          <w:lang w:bidi="he-IL"/>
        </w:rPr>
        <w:t>'</w:t>
      </w:r>
      <w:r w:rsidRPr="00882F11">
        <w:rPr>
          <w:rFonts w:cs="Guttman Drogolin" w:hint="cs"/>
          <w:rtl/>
          <w:lang w:bidi="he-IL"/>
        </w:rPr>
        <w:t xml:space="preserve"> מותר לאכול את כל התערובת מדאורייתא</w:t>
      </w:r>
      <w:r w:rsidR="004F7942" w:rsidRPr="00882F11">
        <w:rPr>
          <w:rFonts w:cs="Guttman Drogolin" w:hint="cs"/>
          <w:rtl/>
          <w:lang w:bidi="he-IL"/>
        </w:rPr>
        <w:t xml:space="preserve"> </w:t>
      </w:r>
      <w:r w:rsidRPr="00882F11">
        <w:rPr>
          <w:rFonts w:cs="Guttman Drogolin" w:hint="cs"/>
          <w:rtl/>
          <w:lang w:bidi="he-IL"/>
        </w:rPr>
        <w:t>כ</w:t>
      </w:r>
      <w:r w:rsidR="00150C33" w:rsidRPr="00882F11">
        <w:rPr>
          <w:rFonts w:cs="Guttman Drogolin" w:hint="cs"/>
          <w:rtl/>
          <w:lang w:bidi="he-IL"/>
        </w:rPr>
        <w:t>יון שמדאורייתא חד בתרי בטיל. ואם</w:t>
      </w:r>
      <w:r w:rsidRPr="00882F11">
        <w:rPr>
          <w:rFonts w:cs="Guttman Drogolin" w:hint="cs"/>
          <w:rtl/>
          <w:lang w:bidi="he-IL"/>
        </w:rPr>
        <w:t xml:space="preserve"> לא אומרים חענ"ן בשאר איסורים, אילו הי' מערב אותו תערובת לתוך אינו מינו דהיתירא והי' ספק אם יש ששים כנגד המינו דאיסורא הי' לנו להקל, שהא אחרי שהתבטל המינא דאיסורא מדאורייתא </w:t>
      </w:r>
      <w:r w:rsidR="00D24F50" w:rsidRPr="00882F11">
        <w:rPr>
          <w:rFonts w:cs="Guttman Drogolin" w:hint="cs"/>
          <w:rtl/>
          <w:lang w:bidi="he-IL"/>
        </w:rPr>
        <w:t xml:space="preserve">ומותר לאכול כל התערובת, שוב לא יתכן שיהא כאן איסור דאורייתא. ולכן סבר הרשב"א שגם אם התערב לתוך המין איסור והמין היתר בבת אחת דינא הכי, דהא אמרינן סלק האינו ינו מכאן, וההיתר מינו מבטל אותו מדאורייתא, ואחרי שמבטל אותו שוב אינו יכול לאסור מדאורייתא ואין כאן אלא </w:t>
      </w:r>
      <w:r w:rsidR="00D24F50" w:rsidRPr="00882F11">
        <w:rPr>
          <w:rFonts w:cs="Guttman Drogolin" w:hint="cs"/>
          <w:rtl/>
          <w:lang w:bidi="he-IL"/>
        </w:rPr>
        <w:lastRenderedPageBreak/>
        <w:t xml:space="preserve">ספיקא דרבנן, ואפשר לומר ספק דרבנן להקל. ונראה להדגיש, דאע"ג דקיי"ל דאמרינן חענ"ן בשאר איסורים, מ"מ אין </w:t>
      </w:r>
      <w:r w:rsidR="00F934C7" w:rsidRPr="00882F11">
        <w:rPr>
          <w:rFonts w:cs="Guttman Drogolin" w:hint="cs"/>
          <w:rtl/>
          <w:lang w:bidi="he-IL"/>
        </w:rPr>
        <w:t>צ</w:t>
      </w:r>
      <w:r w:rsidR="00D24F50" w:rsidRPr="00882F11">
        <w:rPr>
          <w:rFonts w:cs="Guttman Drogolin" w:hint="cs"/>
          <w:rtl/>
          <w:lang w:bidi="he-IL"/>
        </w:rPr>
        <w:t>ריך לשער אלא</w:t>
      </w:r>
      <w:r w:rsidR="00150C33" w:rsidRPr="00882F11">
        <w:rPr>
          <w:rFonts w:cs="Guttman Drogolin" w:hint="cs"/>
          <w:rtl/>
          <w:lang w:bidi="he-IL"/>
        </w:rPr>
        <w:t xml:space="preserve"> כנגד המינא דאיסורא, דהא המינא ד</w:t>
      </w:r>
      <w:r w:rsidR="00D24F50" w:rsidRPr="00882F11">
        <w:rPr>
          <w:rFonts w:cs="Guttman Drogolin" w:hint="cs"/>
          <w:rtl/>
          <w:lang w:bidi="he-IL"/>
        </w:rPr>
        <w:t>היתירא לא נאסר מעולם כיון שעכשיו מתערב לתוך תרוייהו, וכיון שיש ספק מתירים כל התערובת. ואיכא למימר ש</w:t>
      </w:r>
      <w:r w:rsidR="00150C33" w:rsidRPr="00882F11">
        <w:rPr>
          <w:rFonts w:cs="Guttman Drogolin" w:hint="cs"/>
          <w:rtl/>
          <w:lang w:bidi="he-IL"/>
        </w:rPr>
        <w:t>ז</w:t>
      </w:r>
      <w:r w:rsidR="00D24F50" w:rsidRPr="00882F11">
        <w:rPr>
          <w:rFonts w:cs="Guttman Drogolin" w:hint="cs"/>
          <w:rtl/>
          <w:lang w:bidi="he-IL"/>
        </w:rPr>
        <w:t>את היתה ג"כ טעמם של הש"ך והיש"ש שלא סברו כנ"ל</w:t>
      </w:r>
      <w:r w:rsidR="00D2377B" w:rsidRPr="00882F11">
        <w:rPr>
          <w:rStyle w:val="FootnoteReference"/>
          <w:rFonts w:cs="Guttman Drogolin"/>
          <w:rtl/>
          <w:lang w:bidi="he-IL"/>
        </w:rPr>
        <w:footnoteReference w:id="333"/>
      </w:r>
      <w:r w:rsidR="00D24F50" w:rsidRPr="00882F11">
        <w:rPr>
          <w:rFonts w:cs="Guttman Drogolin" w:hint="cs"/>
          <w:rtl/>
          <w:lang w:bidi="he-IL"/>
        </w:rPr>
        <w:t>, משום דסברו דכיון שהכל מתערב עכשיו בבת אחת, או שלא חל ביטול על ה</w:t>
      </w:r>
      <w:r w:rsidR="00150C33" w:rsidRPr="00882F11">
        <w:rPr>
          <w:rFonts w:cs="Guttman Drogolin" w:hint="cs"/>
          <w:rtl/>
          <w:lang w:bidi="he-IL"/>
        </w:rPr>
        <w:t>מ</w:t>
      </w:r>
      <w:r w:rsidR="00D24F50" w:rsidRPr="00882F11">
        <w:rPr>
          <w:rFonts w:cs="Guttman Drogolin" w:hint="cs"/>
          <w:rtl/>
          <w:lang w:bidi="he-IL"/>
        </w:rPr>
        <w:t>ין איסור מדאורייתא, או שחל עליו מדאורייתא אבל מדרבנן הכל מצטרף. ועדיין צ"ע.</w:t>
      </w:r>
    </w:p>
    <w:p w:rsidR="00381A77" w:rsidRPr="00882F11" w:rsidRDefault="00D2377B" w:rsidP="00D2377B">
      <w:pPr>
        <w:bidi/>
        <w:jc w:val="both"/>
        <w:rPr>
          <w:rFonts w:cs="Guttman Drogolin"/>
          <w:rtl/>
          <w:lang w:bidi="he-IL"/>
        </w:rPr>
      </w:pPr>
      <w:r w:rsidRPr="00882F11">
        <w:rPr>
          <w:rFonts w:cs="Guttman Drogolin" w:hint="cs"/>
          <w:rtl/>
          <w:lang w:bidi="he-IL"/>
        </w:rPr>
        <w:t>ונראה להדגיש שכל הנ"ל מתייחס לביטול האיסור לענין התערובת של מין בשאינו מינו. אבל בכה"ג שהתערב מין במינו ושאינו מינו צריכים גם לבטל אותו מדין תערובת של מין במינו. וע' בהגהות רע"א על הט"ז שהדגיש שלדין ששים שצריכים לביטול דתערובת שלמין במינו, לא צריכים ששים דוקא מין המינו דהיתירא, אלא כל שיש ששים כנגד האיסור מן המינו ואינו מינו ביחד סגי (וכתב שהט"ז שמשמע מדבריו שצריכים דוקא ס' ממינו לא דקדק).</w:t>
      </w:r>
      <w:r w:rsidR="00D24F50" w:rsidRPr="00882F11">
        <w:rPr>
          <w:rFonts w:cs="Guttman Drogolin" w:hint="cs"/>
          <w:rtl/>
          <w:lang w:bidi="he-IL"/>
        </w:rPr>
        <w:t xml:space="preserve"> </w:t>
      </w:r>
      <w:r w:rsidR="004F7942" w:rsidRPr="00882F11">
        <w:rPr>
          <w:rFonts w:cs="Guttman Drogolin" w:hint="cs"/>
          <w:rtl/>
          <w:lang w:bidi="he-IL"/>
        </w:rPr>
        <w:t xml:space="preserve">  </w:t>
      </w:r>
      <w:r w:rsidR="00381A77" w:rsidRPr="00882F11">
        <w:rPr>
          <w:rFonts w:cs="Guttman Drogolin" w:hint="cs"/>
          <w:rtl/>
          <w:lang w:bidi="he-IL"/>
        </w:rPr>
        <w:t xml:space="preserve"> </w:t>
      </w:r>
    </w:p>
    <w:p w:rsidR="00381A77" w:rsidRPr="00882F11" w:rsidRDefault="00381A77" w:rsidP="00381A77">
      <w:pPr>
        <w:pStyle w:val="Heading1"/>
        <w:bidi/>
        <w:spacing w:before="0" w:line="360" w:lineRule="auto"/>
        <w:jc w:val="center"/>
        <w:rPr>
          <w:rFonts w:cs="Guttman Drogolin"/>
          <w:color w:val="auto"/>
          <w:sz w:val="24"/>
          <w:szCs w:val="24"/>
          <w:u w:val="single"/>
          <w:rtl/>
          <w:lang w:bidi="he-IL"/>
        </w:rPr>
      </w:pPr>
      <w:bookmarkStart w:id="306" w:name="_Toc496175557"/>
      <w:r w:rsidRPr="00882F11">
        <w:rPr>
          <w:rFonts w:cs="Guttman Drogolin" w:hint="cs"/>
          <w:color w:val="auto"/>
          <w:sz w:val="24"/>
          <w:szCs w:val="24"/>
          <w:u w:val="single"/>
          <w:rtl/>
          <w:lang w:bidi="he-IL"/>
        </w:rPr>
        <w:t>ספק חסרון ידיעה</w:t>
      </w:r>
      <w:bookmarkEnd w:id="306"/>
    </w:p>
    <w:p w:rsidR="00D924EB" w:rsidRPr="00882F11" w:rsidRDefault="00F54D15" w:rsidP="004D2CA0">
      <w:pPr>
        <w:bidi/>
        <w:jc w:val="both"/>
        <w:rPr>
          <w:rFonts w:cs="Guttman Drogolin"/>
          <w:rtl/>
          <w:lang w:bidi="he-IL"/>
        </w:rPr>
      </w:pPr>
      <w:r>
        <w:rPr>
          <w:rFonts w:cs="Guttman Drogolin"/>
          <w:rtl/>
          <w:lang w:bidi="he-IL"/>
        </w:rPr>
        <w:fldChar w:fldCharType="begin"/>
      </w:r>
      <w:r>
        <w:instrText xml:space="preserve"> XE "</w:instrText>
      </w:r>
      <w:r w:rsidRPr="002813CB">
        <w:rPr>
          <w:rFonts w:hint="cs"/>
          <w:rtl/>
          <w:lang w:bidi="he-IL"/>
        </w:rPr>
        <w:instrText>ספק חסרון ידיעה</w:instrText>
      </w:r>
      <w:r w:rsidRPr="002813CB">
        <w:rPr>
          <w:rtl/>
        </w:rPr>
        <w:instrText>:</w:instrText>
      </w:r>
      <w:r w:rsidRPr="002813CB">
        <w:rPr>
          <w:rFonts w:hint="cs"/>
          <w:rtl/>
          <w:lang w:bidi="he-IL"/>
        </w:rPr>
        <w:instrText>הסוגיא</w:instrText>
      </w:r>
      <w:r>
        <w:instrText xml:space="preserve">" </w:instrText>
      </w:r>
      <w:r>
        <w:rPr>
          <w:rFonts w:cs="Guttman Drogolin"/>
          <w:rtl/>
          <w:lang w:bidi="he-IL"/>
        </w:rPr>
        <w:fldChar w:fldCharType="end"/>
      </w:r>
      <w:r w:rsidR="00381A77" w:rsidRPr="00882F11">
        <w:rPr>
          <w:rFonts w:cs="Guttman Drogolin" w:hint="cs"/>
          <w:rtl/>
          <w:lang w:bidi="he-IL"/>
        </w:rPr>
        <w:t xml:space="preserve">כל הנפק"מ אם טכ"ע דאורייתא להחמיר בספיקו אינו אלא כשנשפך התבשיל ואין יודעים אם יש ששים כנגדו או לא. בל אם לא נשפך אבל אין אנו בקיאים לשאר אם יש ששים או לא חייבים להחמרי פאילו בדרבנן. והיינו משום הכלל שאין ספק דרבנן להקל כשיש ספק בחסרון ידיעה. ולכאורה בראשונים יש מחלוקת בטעם של חומרא זו. בר"ן (מובא בב"י ובנו"כ בשו"ע) </w:t>
      </w:r>
      <w:r w:rsidR="007D091B" w:rsidRPr="00882F11">
        <w:rPr>
          <w:rFonts w:cs="Guttman Drogolin" w:hint="cs"/>
          <w:rtl/>
          <w:lang w:bidi="he-IL"/>
        </w:rPr>
        <w:t xml:space="preserve">נראה </w:t>
      </w:r>
      <w:r w:rsidR="004D2CA0" w:rsidRPr="00882F11">
        <w:rPr>
          <w:rFonts w:cs="Guttman Drogolin" w:hint="cs"/>
          <w:rtl/>
          <w:lang w:bidi="he-IL"/>
        </w:rPr>
        <w:t xml:space="preserve">שבעצם מצד דיני ספיקות הי' לנו להקל בספק דרבנן גם אם הוא ספק חסרון ידיעה, אבל אם ניקל בזה כל א' יבא להקל במה שנראה בעיניו ספק. ומראשונים אחרים מבואר שלא נאמר הקולא בסוג ספק כזה כלל. ואמרו שהוא דעת שוטים. ונראה הביאור בכוונתם דכל מה שהקילו בספק </w:t>
      </w:r>
      <w:r w:rsidR="004D2CA0" w:rsidRPr="00882F11">
        <w:rPr>
          <w:rFonts w:cs="Guttman Drogolin" w:hint="cs"/>
          <w:rtl/>
          <w:lang w:bidi="he-IL"/>
        </w:rPr>
        <w:lastRenderedPageBreak/>
        <w:t>היינו כשביררו עד היכן שיכולים, אבל אם עדיין חסר בירור אי אפשר להקל. והפוסקים נחלקו אם הדין הזה נאמר אפילו במקום שהוא ספק לכל עולם או לא, והט"ז כתב להלכה שהדבר תלוי, שאם יש לנו כלי מדה אחרים לשער אם יש איסור מחמירים אפילו בכה"ג דהוי ספק לכל העולם, ולכן בספק דכגון כחל שהוא ספק חסרון ידיעה מחמירים אע"ג שהוא ספק לכל העולם. אבל בדבר שאין לנו עצה אחרת וכגון ספק דסירכא בטריפות, אין מחמירים כשהוא ספק לכל העולם. וע"ש שהביא שהרשב"א חלק אפילו בזה. ויל"ע מהו טעמו של דבר כיון שבירר עד היכן שאפשר לברר. ונראה דסבר דכיון ששייך על זה ביאור רק שחסר לנו הבלים לברר שוב לא הרשו בזה ספק דרבנן להקל. א"נ משום לא פלוג. ועדיין צ"ע לעוק"ד.</w:t>
      </w:r>
    </w:p>
    <w:p w:rsidR="004D2CA0" w:rsidRPr="00882F11" w:rsidRDefault="004D2CA0" w:rsidP="004D2CA0">
      <w:pPr>
        <w:bidi/>
        <w:jc w:val="both"/>
        <w:rPr>
          <w:rFonts w:cs="Guttman Drogolin"/>
          <w:rtl/>
          <w:lang w:bidi="he-IL"/>
        </w:rPr>
        <w:sectPr w:rsidR="004D2CA0" w:rsidRPr="00882F11" w:rsidSect="005229E6">
          <w:type w:val="continuous"/>
          <w:pgSz w:w="11907" w:h="16839" w:code="9"/>
          <w:pgMar w:top="1440" w:right="1440" w:bottom="1440" w:left="1440" w:header="720" w:footer="720" w:gutter="0"/>
          <w:cols w:num="2" w:space="720"/>
          <w:bidi/>
          <w:docGrid w:linePitch="360"/>
        </w:sectPr>
      </w:pPr>
    </w:p>
    <w:p w:rsidR="00D924EB" w:rsidRPr="00882F11" w:rsidRDefault="00D924EB" w:rsidP="00D924EB">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ע"ו</w:t>
      </w:r>
    </w:p>
    <w:p w:rsidR="005229E6" w:rsidRDefault="005229E6" w:rsidP="00D924EB">
      <w:pPr>
        <w:pStyle w:val="Heading1"/>
        <w:bidi/>
        <w:spacing w:before="0" w:line="360" w:lineRule="auto"/>
        <w:jc w:val="center"/>
        <w:rPr>
          <w:rFonts w:cs="Guttman Drogolin"/>
          <w:color w:val="auto"/>
          <w:sz w:val="24"/>
          <w:szCs w:val="24"/>
          <w:u w:val="single"/>
          <w:rtl/>
          <w:lang w:bidi="he-IL"/>
        </w:rPr>
        <w:sectPr w:rsidR="005229E6" w:rsidSect="005229E6">
          <w:headerReference w:type="default" r:id="rId59"/>
          <w:pgSz w:w="11907" w:h="16839" w:code="9"/>
          <w:pgMar w:top="1440" w:right="1440" w:bottom="1440" w:left="1440" w:header="720" w:footer="720" w:gutter="0"/>
          <w:cols w:space="720"/>
          <w:bidi/>
          <w:docGrid w:linePitch="360"/>
        </w:sectPr>
      </w:pPr>
    </w:p>
    <w:p w:rsidR="00D924EB" w:rsidRPr="00882F11" w:rsidRDefault="00D924EB" w:rsidP="00D924EB">
      <w:pPr>
        <w:pStyle w:val="Heading1"/>
        <w:bidi/>
        <w:spacing w:before="0" w:line="360" w:lineRule="auto"/>
        <w:jc w:val="center"/>
        <w:rPr>
          <w:rFonts w:cs="Guttman Drogolin"/>
          <w:color w:val="auto"/>
          <w:sz w:val="24"/>
          <w:szCs w:val="24"/>
          <w:u w:val="single"/>
          <w:rtl/>
          <w:lang w:bidi="he-IL"/>
        </w:rPr>
      </w:pPr>
      <w:bookmarkStart w:id="307" w:name="_Toc496175558"/>
      <w:r w:rsidRPr="00882F11">
        <w:rPr>
          <w:rFonts w:cs="Guttman Drogolin" w:hint="cs"/>
          <w:color w:val="auto"/>
          <w:sz w:val="24"/>
          <w:szCs w:val="24"/>
          <w:u w:val="single"/>
          <w:rtl/>
          <w:lang w:bidi="he-IL"/>
        </w:rPr>
        <w:lastRenderedPageBreak/>
        <w:t>בענין הא דמשערינן בכל הכלי</w:t>
      </w:r>
      <w:bookmarkEnd w:id="307"/>
    </w:p>
    <w:p w:rsidR="001A1AC1" w:rsidRPr="00882F11" w:rsidRDefault="00F54D15" w:rsidP="00F54D15">
      <w:pPr>
        <w:bidi/>
        <w:jc w:val="both"/>
        <w:rPr>
          <w:rFonts w:cs="Guttman Drogolin"/>
          <w:rtl/>
          <w:lang w:bidi="he-IL"/>
        </w:rPr>
      </w:pPr>
      <w:r>
        <w:rPr>
          <w:rFonts w:cs="Guttman Drogolin"/>
          <w:rtl/>
          <w:lang w:bidi="he-IL"/>
        </w:rPr>
        <w:fldChar w:fldCharType="begin"/>
      </w:r>
      <w:r>
        <w:instrText xml:space="preserve"> XE "</w:instrText>
      </w:r>
      <w:r w:rsidRPr="00594AED">
        <w:rPr>
          <w:rFonts w:hint="cs"/>
          <w:rtl/>
          <w:lang w:bidi="he-IL"/>
        </w:rPr>
        <w:instrText>שיעור ששים</w:instrText>
      </w:r>
      <w:r w:rsidRPr="00594AED">
        <w:rPr>
          <w:rtl/>
        </w:rPr>
        <w:instrText>:</w:instrText>
      </w:r>
      <w:r w:rsidRPr="00594AED">
        <w:rPr>
          <w:rFonts w:hint="cs"/>
          <w:rtl/>
          <w:lang w:bidi="he-IL"/>
        </w:rPr>
        <w:instrText>השער</w:instrText>
      </w:r>
      <w:r>
        <w:rPr>
          <w:rFonts w:hint="cs"/>
          <w:rtl/>
          <w:lang w:bidi="he-IL"/>
        </w:rPr>
        <w:instrText>תו</w:instrText>
      </w:r>
      <w:r w:rsidRPr="00594AED">
        <w:rPr>
          <w:rFonts w:hint="cs"/>
          <w:rtl/>
          <w:lang w:bidi="he-IL"/>
        </w:rPr>
        <w:instrText xml:space="preserve"> בכל הכלי</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5B61E7">
        <w:rPr>
          <w:rFonts w:hint="cs"/>
          <w:rtl/>
          <w:lang w:bidi="he-IL"/>
        </w:rPr>
        <w:instrText>שיעור ששים</w:instrText>
      </w:r>
      <w:r w:rsidRPr="005B61E7">
        <w:rPr>
          <w:rtl/>
        </w:rPr>
        <w:instrText>:</w:instrText>
      </w:r>
      <w:r w:rsidRPr="005B61E7">
        <w:rPr>
          <w:rFonts w:hint="cs"/>
          <w:rtl/>
          <w:lang w:bidi="he-IL"/>
        </w:rPr>
        <w:instrText>השער</w:instrText>
      </w:r>
      <w:r>
        <w:rPr>
          <w:rFonts w:hint="cs"/>
          <w:rtl/>
          <w:lang w:bidi="he-IL"/>
        </w:rPr>
        <w:instrText>תו</w:instrText>
      </w:r>
      <w:r w:rsidRPr="005B61E7">
        <w:rPr>
          <w:rFonts w:hint="cs"/>
          <w:rtl/>
          <w:lang w:bidi="he-IL"/>
        </w:rPr>
        <w:instrText xml:space="preserve"> במאי דנפיק מיני</w:instrText>
      </w:r>
      <w:r>
        <w:rPr>
          <w:rFonts w:hint="cs"/>
          <w:rtl/>
          <w:lang w:bidi="he-IL"/>
        </w:rPr>
        <w:instrText>'</w:instrText>
      </w:r>
      <w:r>
        <w:instrText xml:space="preserve">" </w:instrText>
      </w:r>
      <w:r>
        <w:rPr>
          <w:rFonts w:cs="Guttman Drogolin"/>
          <w:rtl/>
          <w:lang w:bidi="he-IL"/>
        </w:rPr>
        <w:fldChar w:fldCharType="end"/>
      </w:r>
      <w:r w:rsidR="00D924EB" w:rsidRPr="00882F11">
        <w:rPr>
          <w:rFonts w:cs="Guttman Drogolin" w:hint="cs"/>
          <w:rtl/>
          <w:lang w:bidi="he-IL"/>
        </w:rPr>
        <w:t xml:space="preserve">בסוגיא דמס' חולין דף צ"ז ע"ב </w:t>
      </w:r>
      <w:r w:rsidR="0081059F" w:rsidRPr="00882F11">
        <w:rPr>
          <w:rFonts w:cs="Guttman Drogolin" w:hint="cs"/>
          <w:rtl/>
          <w:lang w:bidi="he-IL"/>
        </w:rPr>
        <w:t>הסתפק</w:t>
      </w:r>
      <w:r w:rsidR="00D924EB" w:rsidRPr="00882F11">
        <w:rPr>
          <w:rFonts w:cs="Guttman Drogolin" w:hint="cs"/>
          <w:rtl/>
          <w:lang w:bidi="he-IL"/>
        </w:rPr>
        <w:t xml:space="preserve"> ר' כהנא "כי</w:t>
      </w:r>
      <w:r w:rsidR="00D924EB" w:rsidRPr="00882F11">
        <w:rPr>
          <w:rFonts w:cs="Guttman Drogolin"/>
          <w:rtl/>
          <w:lang w:bidi="he-IL"/>
        </w:rPr>
        <w:t xml:space="preserve"> </w:t>
      </w:r>
      <w:r w:rsidR="00D924EB" w:rsidRPr="00882F11">
        <w:rPr>
          <w:rFonts w:cs="Guttman Drogolin" w:hint="cs"/>
          <w:rtl/>
          <w:lang w:bidi="he-IL"/>
        </w:rPr>
        <w:t>משערינן</w:t>
      </w:r>
      <w:r w:rsidR="00D924EB" w:rsidRPr="00882F11">
        <w:rPr>
          <w:rFonts w:cs="Guttman Drogolin"/>
          <w:rtl/>
          <w:lang w:bidi="he-IL"/>
        </w:rPr>
        <w:t xml:space="preserve"> </w:t>
      </w:r>
      <w:r w:rsidR="00D924EB" w:rsidRPr="00882F11">
        <w:rPr>
          <w:rFonts w:cs="Guttman Drogolin" w:hint="cs"/>
          <w:rtl/>
          <w:lang w:bidi="he-IL"/>
        </w:rPr>
        <w:t>[פי' השיעור ששים של החלב הכחל] בדידיה</w:t>
      </w:r>
      <w:r w:rsidR="00D924EB" w:rsidRPr="00882F11">
        <w:rPr>
          <w:rFonts w:cs="Guttman Drogolin"/>
          <w:rtl/>
          <w:lang w:bidi="he-IL"/>
        </w:rPr>
        <w:t xml:space="preserve"> </w:t>
      </w:r>
      <w:r w:rsidR="00D924EB" w:rsidRPr="00882F11">
        <w:rPr>
          <w:rFonts w:cs="Guttman Drogolin" w:hint="cs"/>
          <w:rtl/>
          <w:lang w:bidi="he-IL"/>
        </w:rPr>
        <w:t>משערינן</w:t>
      </w:r>
      <w:r w:rsidR="00D924EB" w:rsidRPr="00882F11">
        <w:rPr>
          <w:rFonts w:cs="Guttman Drogolin"/>
          <w:rtl/>
          <w:lang w:bidi="he-IL"/>
        </w:rPr>
        <w:t xml:space="preserve"> </w:t>
      </w:r>
      <w:r w:rsidR="00D924EB" w:rsidRPr="00882F11">
        <w:rPr>
          <w:rFonts w:cs="Guttman Drogolin" w:hint="cs"/>
          <w:rtl/>
          <w:lang w:bidi="he-IL"/>
        </w:rPr>
        <w:t>[בכל הכחל] או</w:t>
      </w:r>
      <w:r w:rsidR="00D924EB" w:rsidRPr="00882F11">
        <w:rPr>
          <w:rFonts w:cs="Guttman Drogolin"/>
          <w:rtl/>
          <w:lang w:bidi="he-IL"/>
        </w:rPr>
        <w:t xml:space="preserve"> </w:t>
      </w:r>
      <w:r w:rsidR="00D924EB" w:rsidRPr="00882F11">
        <w:rPr>
          <w:rFonts w:cs="Guttman Drogolin" w:hint="cs"/>
          <w:rtl/>
          <w:lang w:bidi="he-IL"/>
        </w:rPr>
        <w:t>במאי</w:t>
      </w:r>
      <w:r w:rsidR="00D924EB" w:rsidRPr="00882F11">
        <w:rPr>
          <w:rFonts w:cs="Guttman Drogolin"/>
          <w:rtl/>
          <w:lang w:bidi="he-IL"/>
        </w:rPr>
        <w:t xml:space="preserve"> </w:t>
      </w:r>
      <w:r w:rsidR="00D924EB" w:rsidRPr="00882F11">
        <w:rPr>
          <w:rFonts w:cs="Guttman Drogolin" w:hint="cs"/>
          <w:rtl/>
          <w:lang w:bidi="he-IL"/>
        </w:rPr>
        <w:t>דנפק</w:t>
      </w:r>
      <w:r w:rsidR="00D924EB" w:rsidRPr="00882F11">
        <w:rPr>
          <w:rFonts w:cs="Guttman Drogolin"/>
          <w:rtl/>
          <w:lang w:bidi="he-IL"/>
        </w:rPr>
        <w:t xml:space="preserve"> </w:t>
      </w:r>
      <w:r w:rsidR="00D924EB" w:rsidRPr="00882F11">
        <w:rPr>
          <w:rFonts w:cs="Guttman Drogolin" w:hint="cs"/>
          <w:rtl/>
          <w:lang w:bidi="he-IL"/>
        </w:rPr>
        <w:t>מיניה</w:t>
      </w:r>
      <w:r w:rsidR="00D924EB" w:rsidRPr="00882F11">
        <w:rPr>
          <w:rFonts w:cs="Guttman Drogolin"/>
          <w:rtl/>
          <w:lang w:bidi="he-IL"/>
        </w:rPr>
        <w:t xml:space="preserve"> </w:t>
      </w:r>
      <w:r w:rsidR="00D924EB" w:rsidRPr="00882F11">
        <w:rPr>
          <w:rFonts w:cs="Guttman Drogolin" w:hint="cs"/>
          <w:rtl/>
          <w:lang w:bidi="he-IL"/>
        </w:rPr>
        <w:t>[פי' בחלב שיצא מן הכחל] משערינן". ופושטת הגמ' דע"כ בדידיה</w:t>
      </w:r>
      <w:r w:rsidR="00D924EB" w:rsidRPr="00882F11">
        <w:rPr>
          <w:rFonts w:cs="Guttman Drogolin"/>
          <w:rtl/>
          <w:lang w:bidi="he-IL"/>
        </w:rPr>
        <w:t xml:space="preserve"> </w:t>
      </w:r>
      <w:r w:rsidR="00D924EB" w:rsidRPr="00882F11">
        <w:rPr>
          <w:rFonts w:cs="Guttman Drogolin" w:hint="cs"/>
          <w:rtl/>
          <w:lang w:bidi="he-IL"/>
        </w:rPr>
        <w:t>משערינן</w:t>
      </w:r>
      <w:r w:rsidR="00D924EB" w:rsidRPr="00882F11">
        <w:rPr>
          <w:rFonts w:cs="Guttman Drogolin"/>
          <w:rtl/>
          <w:lang w:bidi="he-IL"/>
        </w:rPr>
        <w:t xml:space="preserve">, </w:t>
      </w:r>
      <w:r w:rsidR="00D924EB" w:rsidRPr="00882F11">
        <w:rPr>
          <w:rFonts w:cs="Guttman Drogolin" w:hint="cs"/>
          <w:rtl/>
          <w:lang w:bidi="he-IL"/>
        </w:rPr>
        <w:t>דאי</w:t>
      </w:r>
      <w:r w:rsidR="00D924EB" w:rsidRPr="00882F11">
        <w:rPr>
          <w:rFonts w:cs="Guttman Drogolin"/>
          <w:rtl/>
          <w:lang w:bidi="he-IL"/>
        </w:rPr>
        <w:t xml:space="preserve"> </w:t>
      </w:r>
      <w:r w:rsidR="00D924EB" w:rsidRPr="00882F11">
        <w:rPr>
          <w:rFonts w:cs="Guttman Drogolin" w:hint="cs"/>
          <w:rtl/>
          <w:lang w:bidi="he-IL"/>
        </w:rPr>
        <w:t>במה</w:t>
      </w:r>
      <w:r w:rsidR="00D924EB" w:rsidRPr="00882F11">
        <w:rPr>
          <w:rFonts w:cs="Guttman Drogolin"/>
          <w:rtl/>
          <w:lang w:bidi="he-IL"/>
        </w:rPr>
        <w:t xml:space="preserve"> </w:t>
      </w:r>
      <w:r w:rsidR="00D924EB" w:rsidRPr="00882F11">
        <w:rPr>
          <w:rFonts w:cs="Guttman Drogolin" w:hint="cs"/>
          <w:rtl/>
          <w:lang w:bidi="he-IL"/>
        </w:rPr>
        <w:t>דנפק</w:t>
      </w:r>
      <w:r w:rsidR="00D924EB" w:rsidRPr="00882F11">
        <w:rPr>
          <w:rFonts w:cs="Guttman Drogolin"/>
          <w:rtl/>
          <w:lang w:bidi="he-IL"/>
        </w:rPr>
        <w:t xml:space="preserve"> </w:t>
      </w:r>
      <w:r w:rsidR="00D924EB" w:rsidRPr="00882F11">
        <w:rPr>
          <w:rFonts w:cs="Guttman Drogolin" w:hint="cs"/>
          <w:rtl/>
          <w:lang w:bidi="he-IL"/>
        </w:rPr>
        <w:t>מיניה</w:t>
      </w:r>
      <w:r w:rsidR="00D924EB" w:rsidRPr="00882F11">
        <w:rPr>
          <w:rFonts w:cs="Guttman Drogolin"/>
          <w:rtl/>
          <w:lang w:bidi="he-IL"/>
        </w:rPr>
        <w:t xml:space="preserve"> </w:t>
      </w:r>
      <w:r w:rsidR="00D924EB" w:rsidRPr="00882F11">
        <w:rPr>
          <w:rFonts w:cs="Guttman Drogolin" w:hint="cs"/>
          <w:rtl/>
          <w:lang w:bidi="he-IL"/>
        </w:rPr>
        <w:t>מנא</w:t>
      </w:r>
      <w:r w:rsidR="00D924EB" w:rsidRPr="00882F11">
        <w:rPr>
          <w:rFonts w:cs="Guttman Drogolin"/>
          <w:rtl/>
          <w:lang w:bidi="he-IL"/>
        </w:rPr>
        <w:t xml:space="preserve"> </w:t>
      </w:r>
      <w:r w:rsidR="00D924EB" w:rsidRPr="00882F11">
        <w:rPr>
          <w:rFonts w:cs="Guttman Drogolin" w:hint="cs"/>
          <w:rtl/>
          <w:lang w:bidi="he-IL"/>
        </w:rPr>
        <w:t xml:space="preserve">ידעינן. </w:t>
      </w:r>
      <w:r w:rsidR="00E04EB2" w:rsidRPr="00882F11">
        <w:rPr>
          <w:rFonts w:cs="Guttman Drogolin" w:hint="cs"/>
          <w:rtl/>
          <w:lang w:bidi="he-IL"/>
        </w:rPr>
        <w:t>ור"ל שאמנם אין אנו צריכים באמת אלא ששים כנגד החלב שיצא ממנו, אבל מ"מ חסר לנו הכלים לשער כמה יצא ממנו ולכן מקופיא אנו משערים כנגד כל הכחל, שהרי זה לא יתכן שיהא בה יותר מכל הכחל. והראשונים למדו מזה גם לכלים, שאם בלעו איסור ואין אנחנו יודעים כמה יצא ממנו, צריכים לשער כנגד כל הכלי. וכך פסק השו"ע בסע' ד' ולאפוקי מדעת הראב"ד דסבר דעד כאן לא אמרינן דמשערין כנגד כולו בכלים אלא בכלי חרס שאי אפשר להכשירו, אבל בשאר הכלים שאפשר להכשירן משערים במאי דנפיק מיני'. וע' גם בבדק הבית בשם הארחות חיים</w:t>
      </w:r>
      <w:r w:rsidR="001A1AC1" w:rsidRPr="00882F11">
        <w:rPr>
          <w:rFonts w:cs="Guttman Drogolin" w:hint="cs"/>
          <w:rtl/>
          <w:lang w:bidi="he-IL"/>
        </w:rPr>
        <w:t xml:space="preserve"> שכתב שבכגון לב וכבד</w:t>
      </w:r>
      <w:r w:rsidR="00E04EB2" w:rsidRPr="00882F11">
        <w:rPr>
          <w:rFonts w:cs="Guttman Drogolin" w:hint="cs"/>
          <w:rtl/>
          <w:lang w:bidi="he-IL"/>
        </w:rPr>
        <w:t xml:space="preserve"> </w:t>
      </w:r>
      <w:r w:rsidR="001A1AC1" w:rsidRPr="00882F11">
        <w:rPr>
          <w:rFonts w:cs="Guttman Drogolin" w:hint="cs"/>
          <w:rtl/>
          <w:lang w:bidi="he-IL"/>
        </w:rPr>
        <w:t>משערינן במאי דנפיק מיני' כיון שלא נאסרו, רק בכחל דאמרינן בי' דנע"נ משערינן בכולי'. ו</w:t>
      </w:r>
      <w:r w:rsidR="00DC257A" w:rsidRPr="00882F11">
        <w:rPr>
          <w:rFonts w:cs="Guttman Drogolin" w:hint="cs"/>
          <w:rtl/>
          <w:lang w:bidi="he-IL"/>
        </w:rPr>
        <w:t xml:space="preserve">דבריהם לכאורה דחוקים בפשט דברי הגמ', שהרי הגמ' לא אומרת שעש לכחל כחתיכת נבילה אלא ליישב הא שאם נפל לקדירה אחרת עדיין אוסרת, ומשמע שלענין ההוראה דמשערין כנגד כולו לא בעינן לי' להאץ וצ"ע. ומ"מ </w:t>
      </w:r>
      <w:r w:rsidR="001A1AC1" w:rsidRPr="00882F11">
        <w:rPr>
          <w:rFonts w:cs="Guttman Drogolin" w:hint="cs"/>
          <w:rtl/>
          <w:lang w:bidi="he-IL"/>
        </w:rPr>
        <w:t>יל"ע מהו יסוד המחלוקת שביניהם.</w:t>
      </w:r>
    </w:p>
    <w:p w:rsidR="00DC257A" w:rsidRPr="00882F11" w:rsidRDefault="001A1AC1" w:rsidP="00DC257A">
      <w:pPr>
        <w:bidi/>
        <w:jc w:val="both"/>
        <w:rPr>
          <w:rFonts w:cs="Guttman Drogolin"/>
          <w:rtl/>
          <w:lang w:bidi="he-IL"/>
        </w:rPr>
      </w:pPr>
      <w:r w:rsidRPr="00882F11">
        <w:rPr>
          <w:rFonts w:cs="Guttman Drogolin" w:hint="cs"/>
          <w:rtl/>
          <w:lang w:bidi="he-IL"/>
        </w:rPr>
        <w:t>והנה לכאורה דברי הראב"ד והארחות חיים צ"ע, שבאמת האיך נשער במאי דנפיק מיני', דהא באמת מנא ידעינן. למתבונן קושיא קשה על חקירת ר' כהנא, דמאי קס"ד מעיקרא הא באמת לא ידעינן כמה נפיק מיני'. וראיתי להגרמ"פ באג"מ יו"ד א' סי' מ"א שהעיר דהנה ב</w:t>
      </w:r>
      <w:r w:rsidR="00605961" w:rsidRPr="00882F11">
        <w:rPr>
          <w:rFonts w:cs="Guttman Drogolin" w:hint="cs"/>
          <w:rtl/>
          <w:lang w:bidi="he-IL"/>
        </w:rPr>
        <w:t>מתני' שב</w:t>
      </w:r>
      <w:r w:rsidRPr="00882F11">
        <w:rPr>
          <w:rFonts w:cs="Guttman Drogolin" w:hint="cs"/>
          <w:rtl/>
          <w:lang w:bidi="he-IL"/>
        </w:rPr>
        <w:t>מס' ב"מ</w:t>
      </w:r>
      <w:r w:rsidR="00605961" w:rsidRPr="00882F11">
        <w:rPr>
          <w:rFonts w:cs="Guttman Drogolin" w:hint="cs"/>
          <w:rtl/>
          <w:lang w:bidi="he-IL"/>
        </w:rPr>
        <w:t xml:space="preserve"> דף מ' ע"א "יוציא</w:t>
      </w:r>
      <w:r w:rsidR="00605961" w:rsidRPr="00882F11">
        <w:rPr>
          <w:rFonts w:cs="Guttman Drogolin"/>
          <w:rtl/>
          <w:lang w:bidi="he-IL"/>
        </w:rPr>
        <w:t xml:space="preserve"> </w:t>
      </w:r>
      <w:r w:rsidR="00605961" w:rsidRPr="00882F11">
        <w:rPr>
          <w:rFonts w:cs="Guttman Drogolin" w:hint="cs"/>
          <w:rtl/>
          <w:lang w:bidi="he-IL"/>
        </w:rPr>
        <w:t>לו</w:t>
      </w:r>
      <w:r w:rsidR="00605961" w:rsidRPr="00882F11">
        <w:rPr>
          <w:rFonts w:cs="Guttman Drogolin"/>
          <w:rtl/>
          <w:lang w:bidi="he-IL"/>
        </w:rPr>
        <w:t xml:space="preserve"> </w:t>
      </w:r>
      <w:r w:rsidR="00605961" w:rsidRPr="00882F11">
        <w:rPr>
          <w:rFonts w:cs="Guttman Drogolin" w:hint="cs"/>
          <w:rtl/>
          <w:lang w:bidi="he-IL"/>
        </w:rPr>
        <w:t>שתות</w:t>
      </w:r>
      <w:r w:rsidR="00605961" w:rsidRPr="00882F11">
        <w:rPr>
          <w:rFonts w:cs="Guttman Drogolin"/>
          <w:rtl/>
          <w:lang w:bidi="he-IL"/>
        </w:rPr>
        <w:t xml:space="preserve"> </w:t>
      </w:r>
      <w:r w:rsidR="00605961" w:rsidRPr="00882F11">
        <w:rPr>
          <w:rFonts w:cs="Guttman Drogolin" w:hint="cs"/>
          <w:rtl/>
          <w:lang w:bidi="he-IL"/>
        </w:rPr>
        <w:t>ליין</w:t>
      </w:r>
      <w:r w:rsidR="00605961" w:rsidRPr="00882F11">
        <w:rPr>
          <w:rFonts w:cs="Guttman Drogolin"/>
          <w:rtl/>
          <w:lang w:bidi="he-IL"/>
        </w:rPr>
        <w:t xml:space="preserve"> </w:t>
      </w:r>
      <w:r w:rsidR="00605961" w:rsidRPr="00882F11">
        <w:rPr>
          <w:rFonts w:cs="Guttman Drogolin" w:hint="cs"/>
          <w:rtl/>
          <w:lang w:bidi="he-IL"/>
        </w:rPr>
        <w:t>רבי</w:t>
      </w:r>
      <w:r w:rsidR="00605961" w:rsidRPr="00882F11">
        <w:rPr>
          <w:rFonts w:cs="Guttman Drogolin"/>
          <w:rtl/>
          <w:lang w:bidi="he-IL"/>
        </w:rPr>
        <w:t xml:space="preserve"> </w:t>
      </w:r>
      <w:r w:rsidR="00605961" w:rsidRPr="00882F11">
        <w:rPr>
          <w:rFonts w:cs="Guttman Drogolin" w:hint="cs"/>
          <w:rtl/>
          <w:lang w:bidi="he-IL"/>
        </w:rPr>
        <w:t>יהודה</w:t>
      </w:r>
      <w:r w:rsidR="00605961" w:rsidRPr="00882F11">
        <w:rPr>
          <w:rFonts w:cs="Guttman Drogolin"/>
          <w:rtl/>
          <w:lang w:bidi="he-IL"/>
        </w:rPr>
        <w:t xml:space="preserve"> </w:t>
      </w:r>
      <w:r w:rsidR="00605961" w:rsidRPr="00882F11">
        <w:rPr>
          <w:rFonts w:cs="Guttman Drogolin" w:hint="cs"/>
          <w:rtl/>
          <w:lang w:bidi="he-IL"/>
        </w:rPr>
        <w:t>אומר</w:t>
      </w:r>
      <w:r w:rsidR="00605961" w:rsidRPr="00882F11">
        <w:rPr>
          <w:rFonts w:cs="Guttman Drogolin"/>
          <w:rtl/>
          <w:lang w:bidi="he-IL"/>
        </w:rPr>
        <w:t xml:space="preserve"> </w:t>
      </w:r>
      <w:r w:rsidR="00605961" w:rsidRPr="00882F11">
        <w:rPr>
          <w:rFonts w:cs="Guttman Drogolin" w:hint="cs"/>
          <w:rtl/>
          <w:lang w:bidi="he-IL"/>
        </w:rPr>
        <w:t xml:space="preserve">חומש". הרי שמבואר אפילו למעשה שלענין דיני ממונות עושים השערה כמה נפיק </w:t>
      </w:r>
      <w:r w:rsidR="00605961" w:rsidRPr="00882F11">
        <w:rPr>
          <w:rFonts w:cs="Guttman Drogolin" w:hint="cs"/>
          <w:rtl/>
          <w:lang w:bidi="he-IL"/>
        </w:rPr>
        <w:lastRenderedPageBreak/>
        <w:t>מיני'. וא"כ לכאורה הול"ל גם כאן שיש איזה השערה שיותר מזה לא נפיק מיני'.</w:t>
      </w:r>
      <w:r w:rsidR="00DC257A" w:rsidRPr="00882F11">
        <w:rPr>
          <w:rFonts w:cs="Guttman Drogolin" w:hint="cs"/>
          <w:rtl/>
          <w:lang w:bidi="he-IL"/>
        </w:rPr>
        <w:t xml:space="preserve"> וא"כ לכאורה הי' נראה לחדש שזה הי' פשוט לחז"ל שאפשר לעשות השערה עד איזה כמות שלא יתכן שלא יצא ממנו, כגון ד' חומשים או ה' שתותים וכדומה. אמנם גם זה אינה מדידה מדויקת, ולכן חוקרת הגמ' האם יש לשער כנגד כולו או לפי ראות העינים שלא יתכן יותר מזה. ועל פושטת הגמ' את הספק דע"כ בדידי' 'דאי במאי דנפיק מיני' מנא ידעינן', ור"ל דכיון שהמדידה אלא לפי הראות אין זה מדידה ברורה רק לפי השערה, וכיון דלא ידעינן </w:t>
      </w:r>
      <w:r w:rsidR="00844681" w:rsidRPr="00882F11">
        <w:rPr>
          <w:rFonts w:cs="Guttman Drogolin" w:hint="cs"/>
          <w:rtl/>
          <w:lang w:bidi="he-IL"/>
        </w:rPr>
        <w:t xml:space="preserve">באמת, </w:t>
      </w:r>
      <w:r w:rsidR="00DC257A" w:rsidRPr="00882F11">
        <w:rPr>
          <w:rFonts w:cs="Guttman Drogolin" w:hint="cs"/>
          <w:rtl/>
          <w:lang w:bidi="he-IL"/>
        </w:rPr>
        <w:t>עדיף לשער לפי הידוע לנו והוא דלא יתכן יותר מכנגד כולו. כן הי' נראה לפרש סוגיית הגמ' (אע"ג שיש בזה קצת דוחק בלשון הגמ').</w:t>
      </w:r>
      <w:r w:rsidR="00605961" w:rsidRPr="00882F11">
        <w:rPr>
          <w:rFonts w:cs="Guttman Drogolin" w:hint="cs"/>
          <w:rtl/>
          <w:lang w:bidi="he-IL"/>
        </w:rPr>
        <w:t xml:space="preserve"> </w:t>
      </w:r>
    </w:p>
    <w:p w:rsidR="00844681" w:rsidRPr="00882F11" w:rsidRDefault="00DC257A" w:rsidP="00844681">
      <w:pPr>
        <w:bidi/>
        <w:jc w:val="both"/>
        <w:rPr>
          <w:rFonts w:cs="Guttman Drogolin"/>
          <w:rtl/>
          <w:lang w:bidi="he-IL"/>
        </w:rPr>
      </w:pPr>
      <w:r w:rsidRPr="00882F11">
        <w:rPr>
          <w:rFonts w:cs="Guttman Drogolin" w:hint="cs"/>
          <w:rtl/>
          <w:lang w:bidi="he-IL"/>
        </w:rPr>
        <w:t>ומ"מ נשאר לנו לבאר מהו באמת החילוק א</w:t>
      </w:r>
      <w:r w:rsidR="009F171A" w:rsidRPr="00882F11">
        <w:rPr>
          <w:rFonts w:cs="Guttman Drogolin" w:hint="cs"/>
          <w:rtl/>
          <w:lang w:bidi="he-IL"/>
        </w:rPr>
        <w:t>ם</w:t>
      </w:r>
      <w:r w:rsidRPr="00882F11">
        <w:rPr>
          <w:rFonts w:cs="Guttman Drogolin" w:hint="cs"/>
          <w:rtl/>
          <w:lang w:bidi="he-IL"/>
        </w:rPr>
        <w:t xml:space="preserve"> נעשתה חתיכה דאיסורא או לא כיון שיסוד הדבר שמשערים כנגד כולו משום דאי במאי דנפיק מיני' מנא ידעינן. ולכאורה הי' אפשר לומר, וכן נקט הט"ז בס"ק </w:t>
      </w:r>
      <w:r w:rsidR="009F171A" w:rsidRPr="00882F11">
        <w:rPr>
          <w:rFonts w:cs="Guttman Drogolin" w:hint="cs"/>
          <w:rtl/>
          <w:lang w:bidi="he-IL"/>
        </w:rPr>
        <w:t xml:space="preserve">ח', </w:t>
      </w:r>
      <w:r w:rsidR="00844681" w:rsidRPr="00882F11">
        <w:rPr>
          <w:rFonts w:cs="Guttman Drogolin" w:hint="cs"/>
          <w:rtl/>
          <w:lang w:bidi="he-IL"/>
        </w:rPr>
        <w:t>שסוברים שכשנבלע טעם איסור בכלי, עצם הכלי נע"נ. וביארנו בשעתו</w:t>
      </w:r>
      <w:r w:rsidR="00E842EE" w:rsidRPr="00882F11">
        <w:rPr>
          <w:rStyle w:val="FootnoteReference"/>
          <w:rFonts w:cs="Guttman Drogolin"/>
          <w:rtl/>
          <w:lang w:bidi="he-IL"/>
        </w:rPr>
        <w:footnoteReference w:id="334"/>
      </w:r>
      <w:r w:rsidR="00844681" w:rsidRPr="00882F11">
        <w:rPr>
          <w:rFonts w:cs="Guttman Drogolin" w:hint="cs"/>
          <w:rtl/>
          <w:lang w:bidi="he-IL"/>
        </w:rPr>
        <w:t xml:space="preserve"> שדבר זה מא מטעים עם הביאור של הרא"מ דהא דאמרינן חענ"ן בשאר איסורים, היינו משום חשש שיבאו להקל במה שישערו. אמנם יש גדר לדיין זה, והוא רק במקום שהחתיכה נאסרת לגמרי, וכגון באוכלין או בכלי חרס שאין להם הגעלה, שבזה אמרינן דכיון שחל איסור על כולו משערים כנגד כולו ומשום חשש הנ"ל, אבל דבר שאפשר להוציא ממנו האיסור אין משערים כנגד כולו רק משערים בממאי דנפיק מיני'. ואם כנים הדברים הארחות חיים בשם הרא"מ הוא לשיטתו. </w:t>
      </w:r>
    </w:p>
    <w:p w:rsidR="00844681" w:rsidRPr="00882F11" w:rsidRDefault="00844681" w:rsidP="00844681">
      <w:pPr>
        <w:bidi/>
        <w:jc w:val="both"/>
        <w:rPr>
          <w:rFonts w:cs="Guttman Drogolin"/>
          <w:rtl/>
          <w:lang w:bidi="he-IL"/>
        </w:rPr>
      </w:pPr>
      <w:r w:rsidRPr="00882F11">
        <w:rPr>
          <w:rFonts w:cs="Guttman Drogolin" w:hint="cs"/>
          <w:rtl/>
          <w:lang w:bidi="he-IL"/>
        </w:rPr>
        <w:t xml:space="preserve">ושם באג"מ ביאר על דרך זה, רק שהוסיף בזה דברים. והוא דסבר הגרמ"פ דהא דבעינן לי' לטעמא דלא ידעינן כמה נפיק מיני', הנ"מ בכגון כחל וכלים, אבל חתיכת איסור שנתבשל בתבשיל מצריך ששים מעיקר הדין, והוא משום שיש </w:t>
      </w:r>
      <w:r w:rsidRPr="00882F11">
        <w:rPr>
          <w:rFonts w:cs="Guttman Drogolin" w:hint="cs"/>
          <w:rtl/>
          <w:lang w:bidi="he-IL"/>
        </w:rPr>
        <w:lastRenderedPageBreak/>
        <w:t>לחתיכת איסור תכונה לאסור בטעמו שיעור ששים כנגדו. רק בדבר לח ששם הוא מטעם אחר, שהרוטב מתערב בתבשיל, שם צריכים לטעמא דלא ידעינן כמה נפיק מיני'. ולכן ביאר דסברי הראב"ד וארחות חיים שכיון שיש כאן כחל או כלי שנאסרו ודומים לחתיכת איסור, יש מקום לגזור אטו חתיכת איסור ממש. ומ"מ היו צריכים לטעמא דלא ידעינן כמה נפיק מיני', משום שבלי חשש כלל לא היו גוזרים הא אטו הא.</w:t>
      </w:r>
    </w:p>
    <w:p w:rsidR="001A1AC1" w:rsidRPr="00882F11" w:rsidRDefault="00844681" w:rsidP="00844681">
      <w:pPr>
        <w:bidi/>
        <w:jc w:val="both"/>
        <w:rPr>
          <w:rFonts w:cs="Guttman Drogolin"/>
          <w:rtl/>
          <w:lang w:bidi="he-IL"/>
        </w:rPr>
      </w:pPr>
      <w:r w:rsidRPr="00882F11">
        <w:rPr>
          <w:rFonts w:cs="Guttman Drogolin" w:hint="cs"/>
          <w:rtl/>
          <w:lang w:bidi="he-IL"/>
        </w:rPr>
        <w:t xml:space="preserve">והש"ך (ס"ק כ"א) לא ניחא לי' בכל דבר זה שעצם הכלי נע"נ, ולכן ביאר שהראב"ד והארחות חיים אמרו ב' דברים. הראב"ד סבר שאפשר לעשות אא"כ הוא דבר דלא שייך בה הגעלה (ויל"ע מהו הטעם בזה לשיטתו). והארחות חיים סבר דכיון שהוא בר הגעלה, הרי שאפשר להוציא ממנו האיסור, ולכן סבר דליכא למימר חענ"ן.    </w:t>
      </w:r>
      <w:r w:rsidR="009F171A" w:rsidRPr="00882F11">
        <w:rPr>
          <w:rFonts w:cs="Guttman Drogolin" w:hint="cs"/>
          <w:rtl/>
          <w:lang w:bidi="he-IL"/>
        </w:rPr>
        <w:t xml:space="preserve"> </w:t>
      </w:r>
      <w:r w:rsidR="00DC257A" w:rsidRPr="00882F11">
        <w:rPr>
          <w:rFonts w:cs="Guttman Drogolin" w:hint="cs"/>
          <w:rtl/>
          <w:lang w:bidi="he-IL"/>
        </w:rPr>
        <w:t xml:space="preserve"> </w:t>
      </w:r>
      <w:r w:rsidR="001A1AC1" w:rsidRPr="00882F11">
        <w:rPr>
          <w:rFonts w:cs="Guttman Drogolin" w:hint="cs"/>
          <w:rtl/>
          <w:lang w:bidi="he-IL"/>
        </w:rPr>
        <w:t xml:space="preserve">  </w:t>
      </w:r>
    </w:p>
    <w:p w:rsidR="00844681" w:rsidRPr="00882F11" w:rsidRDefault="00844681" w:rsidP="00844681">
      <w:pPr>
        <w:pStyle w:val="Heading1"/>
        <w:bidi/>
        <w:spacing w:before="0" w:line="360" w:lineRule="auto"/>
        <w:jc w:val="center"/>
        <w:rPr>
          <w:rFonts w:cs="Guttman Drogolin"/>
          <w:color w:val="auto"/>
          <w:sz w:val="24"/>
          <w:szCs w:val="24"/>
          <w:u w:val="single"/>
          <w:rtl/>
          <w:lang w:bidi="he-IL"/>
        </w:rPr>
      </w:pPr>
      <w:bookmarkStart w:id="308" w:name="_Toc496175559"/>
      <w:r w:rsidRPr="00882F11">
        <w:rPr>
          <w:rFonts w:cs="Guttman Drogolin" w:hint="cs"/>
          <w:color w:val="auto"/>
          <w:sz w:val="24"/>
          <w:szCs w:val="24"/>
          <w:u w:val="single"/>
          <w:rtl/>
          <w:lang w:bidi="he-IL"/>
        </w:rPr>
        <w:t>הוכר האיסור</w:t>
      </w:r>
      <w:bookmarkEnd w:id="308"/>
    </w:p>
    <w:p w:rsidR="004E0A28" w:rsidRPr="00882F11" w:rsidRDefault="002D7CDB" w:rsidP="004E0A28">
      <w:pPr>
        <w:bidi/>
        <w:jc w:val="both"/>
        <w:rPr>
          <w:rFonts w:cs="Guttman Drogolin"/>
          <w:rtl/>
          <w:lang w:bidi="he-IL"/>
        </w:rPr>
      </w:pPr>
      <w:r>
        <w:rPr>
          <w:rFonts w:cs="Guttman Drogolin"/>
          <w:rtl/>
          <w:lang w:bidi="he-IL"/>
        </w:rPr>
        <w:fldChar w:fldCharType="begin"/>
      </w:r>
      <w:r>
        <w:instrText xml:space="preserve"> XE "</w:instrText>
      </w:r>
      <w:r w:rsidRPr="00891C40">
        <w:rPr>
          <w:rFonts w:hint="cs"/>
          <w:rtl/>
          <w:lang w:bidi="he-IL"/>
        </w:rPr>
        <w:instrText>ביטול ברוב</w:instrText>
      </w:r>
      <w:r w:rsidRPr="00891C40">
        <w:rPr>
          <w:rtl/>
        </w:rPr>
        <w:instrText>:</w:instrText>
      </w:r>
      <w:r w:rsidRPr="00891C40">
        <w:rPr>
          <w:rFonts w:hint="cs"/>
          <w:rtl/>
          <w:lang w:bidi="he-IL"/>
        </w:rPr>
        <w:instrText>הוכר האיסור</w:instrText>
      </w:r>
      <w:r>
        <w:instrText xml:space="preserve">" </w:instrText>
      </w:r>
      <w:r>
        <w:rPr>
          <w:rFonts w:cs="Guttman Drogolin"/>
          <w:rtl/>
          <w:lang w:bidi="he-IL"/>
        </w:rPr>
        <w:fldChar w:fldCharType="end"/>
      </w:r>
      <w:r w:rsidR="004E0A28" w:rsidRPr="00882F11">
        <w:rPr>
          <w:rFonts w:cs="Guttman Drogolin" w:hint="cs"/>
          <w:rtl/>
          <w:lang w:bidi="he-IL"/>
        </w:rPr>
        <w:t xml:space="preserve">בסע' ד' הדגיש הרמ"א דהא דמהני ששים הנ"מ כשאינו מכיר האיסור, אבל אם מכיר האיסור צריך לזרקו. ועל פניו הוא דין פשוט, שהרי אם מכיר האיסור אין כאן תערובת כלל ולמה הי' לנו להתיר אכילתו. וכן </w:t>
      </w:r>
      <w:r w:rsidR="00CB6EF6" w:rsidRPr="00882F11">
        <w:rPr>
          <w:rFonts w:cs="Guttman Drogolin" w:hint="cs"/>
          <w:rtl/>
          <w:lang w:bidi="he-IL"/>
        </w:rPr>
        <w:t>ב</w:t>
      </w:r>
      <w:r w:rsidR="004E0A28" w:rsidRPr="00882F11">
        <w:rPr>
          <w:rFonts w:cs="Guttman Drogolin" w:hint="cs"/>
          <w:rtl/>
          <w:lang w:bidi="he-IL"/>
        </w:rPr>
        <w:t>גליון מהרש"א על אתר נקט שהוא</w:t>
      </w:r>
      <w:r w:rsidR="0073225E" w:rsidRPr="00882F11">
        <w:rPr>
          <w:rFonts w:cs="Guttman Drogolin" w:hint="cs"/>
          <w:rtl/>
          <w:lang w:bidi="he-IL"/>
        </w:rPr>
        <w:t xml:space="preserve"> </w:t>
      </w:r>
      <w:r w:rsidR="004E0A28" w:rsidRPr="00882F11">
        <w:rPr>
          <w:rFonts w:cs="Guttman Drogolin" w:hint="cs"/>
          <w:rtl/>
          <w:lang w:bidi="he-IL"/>
        </w:rPr>
        <w:t>דין דאורייתא הוא</w:t>
      </w:r>
      <w:r w:rsidR="00CB6EF6" w:rsidRPr="00882F11">
        <w:rPr>
          <w:rFonts w:cs="Guttman Drogolin" w:hint="cs"/>
          <w:rtl/>
          <w:lang w:bidi="he-IL"/>
        </w:rPr>
        <w:t xml:space="preserve"> </w:t>
      </w:r>
      <w:r w:rsidR="004E0A28" w:rsidRPr="00882F11">
        <w:rPr>
          <w:rFonts w:cs="Guttman Drogolin" w:hint="cs"/>
          <w:rtl/>
          <w:lang w:bidi="he-IL"/>
        </w:rPr>
        <w:t>לכאורה מטעם הנ"ל.</w:t>
      </w:r>
      <w:r w:rsidR="0073225E" w:rsidRPr="00882F11">
        <w:rPr>
          <w:rFonts w:cs="Guttman Drogolin" w:hint="cs"/>
          <w:rtl/>
          <w:lang w:bidi="he-IL"/>
        </w:rPr>
        <w:t xml:space="preserve"> וע' בביאור הגר"א שהביא ראיות לדין זה, ואין זה קשה כ"כ כיון דראיות נכונות הם, אבל צע"ק למה צריכים ראיות לדבר שלא יתכן אחרת.  </w:t>
      </w:r>
    </w:p>
    <w:p w:rsidR="004E0A28" w:rsidRPr="00882F11" w:rsidRDefault="004E0A28" w:rsidP="004E0A28">
      <w:pPr>
        <w:bidi/>
        <w:jc w:val="both"/>
        <w:rPr>
          <w:rFonts w:cs="Guttman Drogolin"/>
          <w:rtl/>
          <w:lang w:bidi="he-IL"/>
        </w:rPr>
      </w:pPr>
      <w:r w:rsidRPr="00882F11">
        <w:rPr>
          <w:rFonts w:cs="Guttman Drogolin" w:hint="cs"/>
          <w:rtl/>
          <w:lang w:bidi="he-IL"/>
        </w:rPr>
        <w:t>אמנם יש מקום לפקפק בזה</w:t>
      </w:r>
      <w:r w:rsidR="00CB6EF6" w:rsidRPr="00882F11">
        <w:rPr>
          <w:rStyle w:val="FootnoteReference"/>
          <w:rFonts w:cs="Guttman Drogolin"/>
          <w:rtl/>
          <w:lang w:bidi="he-IL"/>
        </w:rPr>
        <w:footnoteReference w:id="335"/>
      </w:r>
      <w:r w:rsidRPr="00882F11">
        <w:rPr>
          <w:rFonts w:cs="Guttman Drogolin" w:hint="cs"/>
          <w:rtl/>
          <w:lang w:bidi="he-IL"/>
        </w:rPr>
        <w:t xml:space="preserve">. והוא משום דכבר הבאנו בשיעור הקודם שיטת הלבוש בסי' תרל"ב דסבר שאפילו אם הוכר האיסור מ"מ האיסור בטל ברוב מדאורייתא, והוכיח כן מעצם המקור לביטול ברוב שהוא דייני ב"ד, ששם ג"כ הרי הדיינים היו ניכרים. והנה לעוק"ד פשוט כביעותא בכותחא שאם יש ג' חתיכות, שנים מהם בשר שחוטה וכל א' בצורת משולש, וא' בשר נבילה והוא בצורת מרובע, וניכר לנו איזה מהן אסור ואיזה מהן מותר, שלא עלה על דעת הלבוש כלל להקל </w:t>
      </w:r>
      <w:r w:rsidRPr="00882F11">
        <w:rPr>
          <w:rFonts w:cs="Guttman Drogolin" w:hint="cs"/>
          <w:rtl/>
          <w:lang w:bidi="he-IL"/>
        </w:rPr>
        <w:lastRenderedPageBreak/>
        <w:t xml:space="preserve">מדאורייתא. והוא משום שבכה"ג אין כאן תערובת שהאיסור ניכר, רק שאין כאן תערובת כלל, דמה ענין האיסור אצל ההיתר. רק בכה"ג דלא ידעינן איזה מהן אסור ואיזה מהן מותר אמרינן שכולהו הוו בכלל תערובת א' ושייך ביטול ברוב. והיינו דכי קאמר הלבוש שאפילו בניכר ליכא ביטול, הנ"מ כשיש לנו תערובת אע"ג שהוא ניכר, וכגון בב"ד דע"כ כולהו ב"ד א' מבם, ואם רוצים לדעת מהו דעתו של 'ב"ד' כולהו בכלל ולכן אפלו הדיינים הניכרים לחייב בטלים. </w:t>
      </w:r>
      <w:r w:rsidR="00C66D93">
        <w:rPr>
          <w:rFonts w:cs="Guttman Drogolin"/>
          <w:rtl/>
          <w:lang w:bidi="he-IL"/>
        </w:rPr>
        <w:fldChar w:fldCharType="begin"/>
      </w:r>
      <w:r w:rsidR="00C66D93">
        <w:instrText xml:space="preserve"> XE "</w:instrText>
      </w:r>
      <w:r w:rsidR="00C66D93" w:rsidRPr="005E3195">
        <w:rPr>
          <w:rFonts w:hint="cs"/>
          <w:rtl/>
          <w:lang w:bidi="he-IL"/>
        </w:rPr>
        <w:instrText>סוכה</w:instrText>
      </w:r>
      <w:r w:rsidR="00C66D93" w:rsidRPr="005E3195">
        <w:rPr>
          <w:rtl/>
        </w:rPr>
        <w:instrText>:</w:instrText>
      </w:r>
      <w:r w:rsidR="00C66D93" w:rsidRPr="005E3195">
        <w:rPr>
          <w:rFonts w:hint="cs"/>
          <w:rtl/>
          <w:lang w:bidi="he-IL"/>
        </w:rPr>
        <w:instrText>ביטול סכך פסול הניכר בסכך כשר</w:instrText>
      </w:r>
      <w:r w:rsidR="00C66D93">
        <w:instrText xml:space="preserve">" </w:instrText>
      </w:r>
      <w:r w:rsidR="00C66D93">
        <w:rPr>
          <w:rFonts w:cs="Guttman Drogolin"/>
          <w:rtl/>
          <w:lang w:bidi="he-IL"/>
        </w:rPr>
        <w:fldChar w:fldCharType="end"/>
      </w:r>
      <w:r w:rsidRPr="00882F11">
        <w:rPr>
          <w:rFonts w:cs="Guttman Drogolin" w:hint="cs"/>
          <w:rtl/>
          <w:lang w:bidi="he-IL"/>
        </w:rPr>
        <w:t>וכן לענין סכך, שכל הסכך ביחד הרי הוא מתיר, ואינו ענין של ישיבה תחת חתיכה א' או ב', שפיר שייך לומר דכולהו הוו בכלל סכך הסוכה, ולכן גם בזה אפשר לי' לסכך פסול להתבטל. ונראה להדגיש עוד יותר מזה, שאפילו החולקים על הלבוש מודים לכל זה, שהרי פשוט הוא, רק חולקים וסוברים דנהי נמי שהכל הוי תערובת א', מ"מ כיון שניכר הוא יש לו חשיבות האומרת לנו שלא להתבטל, וכמו שכתב הרשב"א בחידושיו למס' חולין דף צ"ח ע"ב בשם הראב"ד שהטעם דטעם לא בטל משום שניכר הוא (ע' במגי"ס בסי' זה שביאר באריכות שהוא</w:t>
      </w:r>
      <w:r w:rsidR="0073225E" w:rsidRPr="00882F11">
        <w:rPr>
          <w:rFonts w:cs="Guttman Drogolin" w:hint="cs"/>
          <w:rtl/>
          <w:lang w:bidi="he-IL"/>
        </w:rPr>
        <w:t xml:space="preserve"> </w:t>
      </w:r>
      <w:r w:rsidRPr="00882F11">
        <w:rPr>
          <w:rFonts w:cs="Guttman Drogolin" w:hint="cs"/>
          <w:rtl/>
          <w:lang w:bidi="he-IL"/>
        </w:rPr>
        <w:t>רק חשיבות מסוימת כגון טעם לשבח (ובזה מיושת קושיית הפמ"ג על הראב"ד) וכדומה. ואכמ"ל בזה.</w:t>
      </w:r>
    </w:p>
    <w:p w:rsidR="00D924EB" w:rsidRPr="00882F11" w:rsidRDefault="004E0A28" w:rsidP="0042459D">
      <w:pPr>
        <w:bidi/>
        <w:jc w:val="both"/>
        <w:rPr>
          <w:rFonts w:cs="Guttman Drogolin"/>
          <w:rtl/>
          <w:lang w:bidi="he-IL"/>
        </w:rPr>
      </w:pPr>
      <w:r w:rsidRPr="00882F11">
        <w:rPr>
          <w:rFonts w:cs="Guttman Drogolin" w:hint="cs"/>
          <w:rtl/>
          <w:lang w:bidi="he-IL"/>
        </w:rPr>
        <w:t>ומ"מ לפי ה</w:t>
      </w:r>
      <w:r w:rsidR="0042459D" w:rsidRPr="00882F11">
        <w:rPr>
          <w:rFonts w:cs="Guttman Drogolin" w:hint="cs"/>
          <w:rtl/>
          <w:lang w:bidi="he-IL"/>
        </w:rPr>
        <w:t>ד</w:t>
      </w:r>
      <w:r w:rsidRPr="00882F11">
        <w:rPr>
          <w:rFonts w:cs="Guttman Drogolin" w:hint="cs"/>
          <w:rtl/>
          <w:lang w:bidi="he-IL"/>
        </w:rPr>
        <w:t>ברי</w:t>
      </w:r>
      <w:r w:rsidR="0042459D" w:rsidRPr="00882F11">
        <w:rPr>
          <w:rFonts w:cs="Guttman Drogolin" w:hint="cs"/>
          <w:rtl/>
          <w:lang w:bidi="he-IL"/>
        </w:rPr>
        <w:t>ם</w:t>
      </w:r>
      <w:r w:rsidRPr="00882F11">
        <w:rPr>
          <w:rFonts w:cs="Guttman Drogolin" w:hint="cs"/>
          <w:rtl/>
          <w:lang w:bidi="he-IL"/>
        </w:rPr>
        <w:t xml:space="preserve"> האלו</w:t>
      </w:r>
      <w:r w:rsidR="0042459D" w:rsidRPr="00882F11">
        <w:rPr>
          <w:rFonts w:cs="Guttman Drogolin" w:hint="cs"/>
          <w:rtl/>
          <w:lang w:bidi="he-IL"/>
        </w:rPr>
        <w:t xml:space="preserve"> יש מקום </w:t>
      </w:r>
      <w:r w:rsidR="0073225E" w:rsidRPr="00882F11">
        <w:rPr>
          <w:rFonts w:cs="Guttman Drogolin" w:hint="cs"/>
          <w:rtl/>
          <w:lang w:bidi="he-IL"/>
        </w:rPr>
        <w:t>ל</w:t>
      </w:r>
      <w:r w:rsidR="0042459D" w:rsidRPr="00882F11">
        <w:rPr>
          <w:rFonts w:cs="Guttman Drogolin" w:hint="cs"/>
          <w:rtl/>
          <w:lang w:bidi="he-IL"/>
        </w:rPr>
        <w:t>הסתפק</w:t>
      </w:r>
      <w:r w:rsidRPr="00882F11">
        <w:rPr>
          <w:rFonts w:cs="Guttman Drogolin" w:hint="cs"/>
          <w:rtl/>
          <w:lang w:bidi="he-IL"/>
        </w:rPr>
        <w:t xml:space="preserve"> </w:t>
      </w:r>
      <w:r w:rsidR="0073225E" w:rsidRPr="00882F11">
        <w:rPr>
          <w:rFonts w:cs="Guttman Drogolin" w:hint="cs"/>
          <w:rtl/>
          <w:lang w:bidi="he-IL"/>
        </w:rPr>
        <w:t xml:space="preserve">בדין המוזכר כאן בשו"ע. והוא דהנה לכאורה ללבוש י"ל שאם אוכל כל החתיכות ביחד אין היתר מדין ביטול ברוב היכא שמוכרים. ואע"ג שאכלן ביחד, מ"מ הרי זה נחשב כג' מעשי אכילה בבת אחת וליכא ביטול ברוב (וגם בזה יש לפקפק, ויל"ע בזה). ומ"מ אפילו את"ל הכי י"ל דכיון שמיירי בכגון חלב (בציר"ה) שאמנם אפשר להסירו מ"מ נחשב כמעורב בתבשיל, י"ל שכשאוכל הכל ביחד עדיין בטל הוא מדאורייתא כשאוכל הכל ביחד. ומאידך עדיין י"ל שגם ללבוש כיון דסוף סוף ניכר לעצמו ואפשר להוציא אותו, אע"ג שאוכלן ביחד אינו בטל מדאורייתא. </w:t>
      </w:r>
      <w:r w:rsidR="001A1AC1" w:rsidRPr="00882F11">
        <w:rPr>
          <w:rFonts w:cs="Guttman Drogolin" w:hint="cs"/>
          <w:rtl/>
          <w:lang w:bidi="he-IL"/>
        </w:rPr>
        <w:t xml:space="preserve"> </w:t>
      </w:r>
      <w:r w:rsidR="00E04EB2" w:rsidRPr="00882F11">
        <w:rPr>
          <w:rFonts w:cs="Guttman Drogolin" w:hint="cs"/>
          <w:rtl/>
          <w:lang w:bidi="he-IL"/>
        </w:rPr>
        <w:t xml:space="preserve"> </w:t>
      </w:r>
    </w:p>
    <w:p w:rsidR="0073225E" w:rsidRPr="00882F11" w:rsidRDefault="0073225E" w:rsidP="0073225E">
      <w:pPr>
        <w:pStyle w:val="Heading1"/>
        <w:bidi/>
        <w:spacing w:before="0" w:line="360" w:lineRule="auto"/>
        <w:jc w:val="center"/>
        <w:rPr>
          <w:rFonts w:cs="Guttman Drogolin"/>
          <w:color w:val="auto"/>
          <w:sz w:val="24"/>
          <w:szCs w:val="24"/>
          <w:u w:val="single"/>
          <w:rtl/>
          <w:lang w:bidi="he-IL"/>
        </w:rPr>
      </w:pPr>
      <w:bookmarkStart w:id="309" w:name="_Toc496175560"/>
      <w:r w:rsidRPr="00882F11">
        <w:rPr>
          <w:rFonts w:cs="Guttman Drogolin" w:hint="cs"/>
          <w:color w:val="auto"/>
          <w:sz w:val="24"/>
          <w:szCs w:val="24"/>
          <w:u w:val="single"/>
          <w:rtl/>
          <w:lang w:bidi="he-IL"/>
        </w:rPr>
        <w:lastRenderedPageBreak/>
        <w:t>בדין צינון</w:t>
      </w:r>
      <w:bookmarkEnd w:id="309"/>
    </w:p>
    <w:p w:rsidR="00AA59F3" w:rsidRPr="00882F11" w:rsidRDefault="00B432CE" w:rsidP="00067C4F">
      <w:pPr>
        <w:tabs>
          <w:tab w:val="right" w:pos="7497"/>
        </w:tabs>
        <w:bidi/>
        <w:jc w:val="both"/>
        <w:rPr>
          <w:rFonts w:cs="Guttman Drogolin"/>
          <w:rtl/>
          <w:lang w:bidi="he-IL"/>
        </w:rPr>
      </w:pPr>
      <w:r>
        <w:rPr>
          <w:rFonts w:cs="Guttman Drogolin"/>
          <w:rtl/>
          <w:lang w:bidi="he-IL"/>
        </w:rPr>
        <w:fldChar w:fldCharType="begin"/>
      </w:r>
      <w:r>
        <w:instrText xml:space="preserve"> XE "</w:instrText>
      </w:r>
      <w:r w:rsidRPr="003F5DCD">
        <w:rPr>
          <w:rFonts w:hint="cs"/>
          <w:rtl/>
          <w:lang w:bidi="he-IL"/>
        </w:rPr>
        <w:instrText>צינון</w:instrText>
      </w:r>
      <w:r w:rsidRPr="003F5DCD">
        <w:rPr>
          <w:rtl/>
        </w:rPr>
        <w:instrText>:</w:instrText>
      </w:r>
      <w:r w:rsidRPr="003F5DCD">
        <w:rPr>
          <w:rFonts w:hint="cs"/>
          <w:rtl/>
          <w:lang w:bidi="he-IL"/>
        </w:rPr>
        <w:instrText>גדרי החיוב</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074329">
        <w:rPr>
          <w:rFonts w:hint="cs"/>
          <w:rtl/>
          <w:lang w:bidi="he-IL"/>
        </w:rPr>
        <w:instrText>ביטול ברוב</w:instrText>
      </w:r>
      <w:r w:rsidRPr="00074329">
        <w:rPr>
          <w:rtl/>
        </w:rPr>
        <w:instrText>:</w:instrText>
      </w:r>
      <w:r w:rsidRPr="00074329">
        <w:rPr>
          <w:rFonts w:hint="cs"/>
          <w:rtl/>
          <w:lang w:bidi="he-IL"/>
        </w:rPr>
        <w:instrText>אם יש חיוב לצנן</w:instrText>
      </w:r>
      <w:r>
        <w:instrText xml:space="preserve">" </w:instrText>
      </w:r>
      <w:r>
        <w:rPr>
          <w:rFonts w:cs="Guttman Drogolin"/>
          <w:rtl/>
          <w:lang w:bidi="he-IL"/>
        </w:rPr>
        <w:fldChar w:fldCharType="end"/>
      </w:r>
      <w:r w:rsidR="0073225E" w:rsidRPr="00882F11">
        <w:rPr>
          <w:rFonts w:cs="Guttman Drogolin" w:hint="cs"/>
          <w:rtl/>
          <w:lang w:bidi="he-IL"/>
        </w:rPr>
        <w:t xml:space="preserve">מבואר כאן ברמ"א עוד יותר מזה שאם ניכר הוא שחייבים להוציאו, אלא אפילו אם לעת עתה אינו ניכר, אבל יכול לצנן התבשיל באופן ביהא ניכר ויוכל להוציא אותו ג"כ אסור. ושם בגליון מהרש"א וכן במש"ז מבואר שזהו דין דאורייתא, ולכאורה הטעם כמשמעות לשון הרמ"א שאפילו קודם שמצננו דינו כניכר כיון שיכול להכירו. אמנם בכרו"פ ס"ק ו' שאינו חיוב אלא מדרבנן, ומשו"ה נקט שאם ע"י הצינון יהרוס התבשיל, </w:t>
      </w:r>
      <w:r w:rsidR="00067C4F" w:rsidRPr="00882F11">
        <w:rPr>
          <w:rFonts w:cs="Guttman Drogolin" w:hint="cs"/>
          <w:rtl/>
          <w:lang w:bidi="he-IL"/>
        </w:rPr>
        <w:t>אין צריך לצננו</w:t>
      </w:r>
      <w:r w:rsidR="0073225E" w:rsidRPr="00882F11">
        <w:rPr>
          <w:rFonts w:cs="Guttman Drogolin" w:hint="cs"/>
          <w:rtl/>
          <w:lang w:bidi="he-IL"/>
        </w:rPr>
        <w:t>. ולכאורה הביאור בשיטת הכרו"פ דכיון שעכשיו אינו ניכר, יש כאן תערובת, וזה שיכול להכירו אינו עושהו אלא כדבר שי"ל מתירים</w:t>
      </w:r>
      <w:r w:rsidR="00067C4F" w:rsidRPr="00882F11">
        <w:rPr>
          <w:rFonts w:cs="Guttman Drogolin" w:hint="cs"/>
          <w:rtl/>
          <w:lang w:bidi="he-IL"/>
        </w:rPr>
        <w:t xml:space="preserve">, וכל דבר שיש לו מתירים שאי אפשר להתירו אא"כ יהרס התבשיל אין לאסור משום שי"ל, דהא כה"ג לא נחשב כ'יש לו' מתירים. אבל הפמ"ג לא הקיל בזה, דכיון שיכול </w:t>
      </w:r>
      <w:r w:rsidR="00F934C7" w:rsidRPr="00882F11">
        <w:rPr>
          <w:rFonts w:cs="Guttman Drogolin" w:hint="cs"/>
          <w:rtl/>
          <w:lang w:bidi="he-IL"/>
        </w:rPr>
        <w:t>ל</w:t>
      </w:r>
      <w:r w:rsidR="00067C4F" w:rsidRPr="00882F11">
        <w:rPr>
          <w:rFonts w:cs="Guttman Drogolin" w:hint="cs"/>
          <w:rtl/>
          <w:lang w:bidi="he-IL"/>
        </w:rPr>
        <w:t>הכירו ולהוציאו, הרי הוא ניכר מעכשיו ולכן אינו בכלל התערובת ואינו בטל מדאורייתא</w:t>
      </w:r>
      <w:r w:rsidR="00067C4F" w:rsidRPr="00882F11">
        <w:rPr>
          <w:rStyle w:val="FootnoteReference"/>
          <w:rFonts w:cs="Guttman Drogolin"/>
          <w:rtl/>
          <w:lang w:bidi="he-IL"/>
        </w:rPr>
        <w:footnoteReference w:id="336"/>
      </w:r>
      <w:r w:rsidR="00067C4F" w:rsidRPr="00882F11">
        <w:rPr>
          <w:rFonts w:cs="Guttman Drogolin" w:hint="cs"/>
          <w:rtl/>
          <w:lang w:bidi="he-IL"/>
        </w:rPr>
        <w:t>.</w:t>
      </w:r>
    </w:p>
    <w:p w:rsidR="00AA59F3" w:rsidRPr="00882F11" w:rsidRDefault="00AA59F3" w:rsidP="00AA59F3">
      <w:pPr>
        <w:pStyle w:val="Heading1"/>
        <w:bidi/>
        <w:spacing w:before="0" w:line="360" w:lineRule="auto"/>
        <w:jc w:val="center"/>
        <w:rPr>
          <w:rFonts w:cs="Guttman Drogolin"/>
          <w:color w:val="auto"/>
          <w:sz w:val="24"/>
          <w:szCs w:val="24"/>
          <w:u w:val="single"/>
          <w:rtl/>
          <w:lang w:bidi="he-IL"/>
        </w:rPr>
      </w:pPr>
      <w:bookmarkStart w:id="310" w:name="_Toc496175561"/>
      <w:r w:rsidRPr="00882F11">
        <w:rPr>
          <w:rFonts w:cs="Guttman Drogolin" w:hint="cs"/>
          <w:color w:val="auto"/>
          <w:sz w:val="24"/>
          <w:szCs w:val="24"/>
          <w:u w:val="single"/>
          <w:rtl/>
          <w:lang w:bidi="he-IL"/>
        </w:rPr>
        <w:t>צינון בדליכא ששים</w:t>
      </w:r>
      <w:bookmarkEnd w:id="310"/>
    </w:p>
    <w:p w:rsidR="004B6B6A" w:rsidRPr="00882F11" w:rsidRDefault="00B432CE" w:rsidP="004B6B6A">
      <w:pPr>
        <w:tabs>
          <w:tab w:val="right" w:pos="7497"/>
        </w:tabs>
        <w:bidi/>
        <w:jc w:val="both"/>
        <w:rPr>
          <w:rFonts w:cs="Guttman Drogolin"/>
          <w:rtl/>
          <w:lang w:bidi="he-IL"/>
        </w:rPr>
      </w:pPr>
      <w:r>
        <w:rPr>
          <w:rFonts w:cs="Guttman Drogolin"/>
          <w:rtl/>
          <w:lang w:bidi="he-IL"/>
        </w:rPr>
        <w:fldChar w:fldCharType="begin"/>
      </w:r>
      <w:r>
        <w:instrText xml:space="preserve"> XE "</w:instrText>
      </w:r>
      <w:r w:rsidRPr="008E2616">
        <w:rPr>
          <w:rFonts w:hint="cs"/>
          <w:rtl/>
          <w:lang w:bidi="he-IL"/>
        </w:rPr>
        <w:instrText>צינון</w:instrText>
      </w:r>
      <w:r w:rsidRPr="008E2616">
        <w:rPr>
          <w:rtl/>
        </w:rPr>
        <w:instrText>:</w:instrText>
      </w:r>
      <w:r w:rsidRPr="008E2616">
        <w:rPr>
          <w:rFonts w:hint="cs"/>
          <w:rtl/>
          <w:lang w:bidi="he-IL"/>
        </w:rPr>
        <w:instrText>בדליכא ששים</w:instrText>
      </w:r>
      <w:r>
        <w:instrText xml:space="preserve">" </w:instrText>
      </w:r>
      <w:r>
        <w:rPr>
          <w:rFonts w:cs="Guttman Drogolin"/>
          <w:rtl/>
          <w:lang w:bidi="he-IL"/>
        </w:rPr>
        <w:fldChar w:fldCharType="end"/>
      </w:r>
      <w:r w:rsidR="00AA59F3" w:rsidRPr="00882F11">
        <w:rPr>
          <w:rFonts w:cs="Guttman Drogolin" w:hint="cs"/>
          <w:rtl/>
          <w:lang w:bidi="he-IL"/>
        </w:rPr>
        <w:t>הרמ"א שם דן בצינון לחומרא, דר"ל שאין לסמוך אששים היכא שיכול הוציא האיסור ע"י צינון. אמנם דנו האחרונים אם אפשר לסמוך אצינון לקולא, ור"ל במקום שאין ששים כנגד החלב האם בכל אופן יוכל לצננו ולהוציא החלב. והט"ז והש"ך על אתר כתבו דודאי לא מהני צינון כה"ג, דהא מי גרע החלב מחתיכת איסור שנתבשל בתוך תבשיל שאפילו אם מוציא אותו לאחר מכן מ"מ צריכים ששים כנגדו.</w:t>
      </w:r>
      <w:r w:rsidR="00683F96" w:rsidRPr="00882F11">
        <w:rPr>
          <w:rFonts w:cs="Guttman Drogolin" w:hint="cs"/>
          <w:rtl/>
          <w:lang w:bidi="he-IL"/>
        </w:rPr>
        <w:t xml:space="preserve"> אמנם הביאו מהגהות או"ה וב"ח שנקטו שבאמת אפשר לומר דמהני צינון כה"ג. ובבירור שיטתם, ע' בהגהות אמרי ברוך שבאמת תמה על דברי הנו"כ הנ"ל שלא הבינו איך אפשר לומר צינון בכה"ג. די"ל בזה בתרתי. חדא שי"ל שיש חילוק בין חתיכה לאיסור לח, שחתיכה באמת נותנת טעם מעצמו, אבל דברים </w:t>
      </w:r>
      <w:r w:rsidR="00683F96" w:rsidRPr="00882F11">
        <w:rPr>
          <w:rFonts w:cs="Guttman Drogolin" w:hint="cs"/>
          <w:rtl/>
          <w:lang w:bidi="he-IL"/>
        </w:rPr>
        <w:lastRenderedPageBreak/>
        <w:t xml:space="preserve">לחים רק משום שמעורבים, ואם חלב הוא כמו דבר לח י"ל שאחרי הצינון ליכא טעם. זאת ועוד שי"ל </w:t>
      </w:r>
      <w:r w:rsidR="004B6B6A" w:rsidRPr="00882F11">
        <w:rPr>
          <w:rFonts w:cs="Guttman Drogolin" w:hint="cs"/>
          <w:rtl/>
          <w:lang w:bidi="he-IL"/>
        </w:rPr>
        <w:t xml:space="preserve">שאפילו אם יש לחלב ג"כ התכונה לתת טעם כמו חתיכה, אבל מ"מ י"ל </w:t>
      </w:r>
      <w:r w:rsidR="00150C33" w:rsidRPr="00882F11">
        <w:rPr>
          <w:rFonts w:cs="Guttman Drogolin" w:hint="cs"/>
          <w:rtl/>
          <w:lang w:bidi="he-IL"/>
        </w:rPr>
        <w:t>דכיון שהת</w:t>
      </w:r>
      <w:r w:rsidR="00683F96" w:rsidRPr="00882F11">
        <w:rPr>
          <w:rFonts w:cs="Guttman Drogolin" w:hint="cs"/>
          <w:rtl/>
          <w:lang w:bidi="he-IL"/>
        </w:rPr>
        <w:t>כ</w:t>
      </w:r>
      <w:r w:rsidR="00150C33" w:rsidRPr="00882F11">
        <w:rPr>
          <w:rFonts w:cs="Guttman Drogolin" w:hint="cs"/>
          <w:rtl/>
          <w:lang w:bidi="he-IL"/>
        </w:rPr>
        <w:t>ו</w:t>
      </w:r>
      <w:r w:rsidR="00683F96" w:rsidRPr="00882F11">
        <w:rPr>
          <w:rFonts w:cs="Guttman Drogolin" w:hint="cs"/>
          <w:rtl/>
          <w:lang w:bidi="he-IL"/>
        </w:rPr>
        <w:t>נה</w:t>
      </w:r>
      <w:r w:rsidR="004B6B6A" w:rsidRPr="00882F11">
        <w:rPr>
          <w:rFonts w:cs="Guttman Drogolin" w:hint="cs"/>
          <w:rtl/>
          <w:lang w:bidi="he-IL"/>
        </w:rPr>
        <w:t xml:space="preserve"> של חלב הוא לעלות למעלה ע"י צינון, גם ע"י הטעם שלו יעלה למעלה, וממילא ע"י צינון לא ישאר גם טעם.</w:t>
      </w:r>
    </w:p>
    <w:p w:rsidR="001A69CD" w:rsidRPr="00882F11" w:rsidRDefault="004B6B6A" w:rsidP="00150C33">
      <w:pPr>
        <w:tabs>
          <w:tab w:val="right" w:pos="7497"/>
        </w:tabs>
        <w:bidi/>
        <w:jc w:val="both"/>
        <w:rPr>
          <w:rFonts w:cs="Guttman Drogolin"/>
          <w:rtl/>
          <w:lang w:bidi="he-IL"/>
        </w:rPr>
      </w:pPr>
      <w:r w:rsidRPr="00882F11">
        <w:rPr>
          <w:rFonts w:cs="Guttman Drogolin" w:hint="cs"/>
          <w:rtl/>
          <w:lang w:bidi="he-IL"/>
        </w:rPr>
        <w:t xml:space="preserve">ואני אסיים </w:t>
      </w:r>
      <w:r w:rsidR="00150C33" w:rsidRPr="00882F11">
        <w:rPr>
          <w:rFonts w:cs="Guttman Drogolin" w:hint="cs"/>
          <w:rtl/>
          <w:lang w:bidi="he-IL"/>
        </w:rPr>
        <w:t>ע</w:t>
      </w:r>
      <w:r w:rsidRPr="00882F11">
        <w:rPr>
          <w:rFonts w:cs="Guttman Drogolin" w:hint="cs"/>
          <w:rtl/>
          <w:lang w:bidi="he-IL"/>
        </w:rPr>
        <w:t>ם קושיא שאומרים העולם, דהנה בסוגיא דמס' גיטין דף כ"ה, וכן בסוכה דף כ"ג, מבואר שהלוקח יין מבין הכותים אומר שני לוגין שאני עתיד להפריש הרי הן תרומה וכו', ור"ל שע"י הדין של ברירה אמרינן שלאחר זמן כשמברר איזה מהן הוא התרומה נמצא שהיא היתה התרומה גם מעיקרא, ולכן אין חשש ששותה התרומה מן היין מקודם, דהא נמצא למפרע שמה ששתה לא היתה תרומה. אבל שואלים דהא התרומה היתה מעורבת בתוך היין, ואם אומרים כבוש כמבושל גם במשקין (ואבמ"ל בזה), יוצא שאע"ג שלא אכל אותו תרומה מעיקרא, מ"מ התרומה ההיא נתן טעם וא"כ לכאורה הי' צריך להיות אסור. ואומרים תי' לקושיא שברירה מבררת ג"כ שכל הטטעם תרומה הוא במה במברר עכשיו ולא יצא מעיקרא לשאר התבשיל. והוא על תי' הנ"ל מן האמרי ברוך. וי"ל אם יש מקום לפק</w:t>
      </w:r>
      <w:r w:rsidR="00150C33" w:rsidRPr="00882F11">
        <w:rPr>
          <w:rFonts w:cs="Guttman Drogolin" w:hint="cs"/>
          <w:rtl/>
          <w:lang w:bidi="he-IL"/>
        </w:rPr>
        <w:t>פ</w:t>
      </w:r>
      <w:r w:rsidRPr="00882F11">
        <w:rPr>
          <w:rFonts w:cs="Guttman Drogolin" w:hint="cs"/>
          <w:rtl/>
          <w:lang w:bidi="he-IL"/>
        </w:rPr>
        <w:t xml:space="preserve">ק בזה. וצ"ע. </w:t>
      </w:r>
      <w:r w:rsidR="00683F96" w:rsidRPr="00882F11">
        <w:rPr>
          <w:rFonts w:cs="Guttman Drogolin" w:hint="cs"/>
          <w:rtl/>
          <w:lang w:bidi="he-IL"/>
        </w:rPr>
        <w:t xml:space="preserve"> </w:t>
      </w:r>
      <w:r w:rsidR="00AA59F3" w:rsidRPr="00882F11">
        <w:rPr>
          <w:rFonts w:cs="Guttman Drogolin" w:hint="cs"/>
          <w:rtl/>
          <w:lang w:bidi="he-IL"/>
        </w:rPr>
        <w:t xml:space="preserve">  </w:t>
      </w:r>
      <w:r w:rsidR="00067C4F" w:rsidRPr="00882F11">
        <w:rPr>
          <w:rFonts w:cs="Guttman Drogolin" w:hint="cs"/>
          <w:rtl/>
          <w:lang w:bidi="he-IL"/>
        </w:rPr>
        <w:t xml:space="preserve"> </w:t>
      </w:r>
      <w:r w:rsidR="0073225E" w:rsidRPr="00882F11">
        <w:rPr>
          <w:rFonts w:cs="Guttman Drogolin" w:hint="cs"/>
          <w:rtl/>
          <w:lang w:bidi="he-IL"/>
        </w:rPr>
        <w:t xml:space="preserve">  </w:t>
      </w:r>
      <w:r w:rsidR="001F168C" w:rsidRPr="00882F11">
        <w:rPr>
          <w:rFonts w:cs="Guttman Drogolin" w:hint="cs"/>
          <w:rtl/>
          <w:lang w:bidi="he-IL"/>
        </w:rPr>
        <w:t xml:space="preserve"> </w:t>
      </w:r>
      <w:r w:rsidR="004A5866" w:rsidRPr="00882F11">
        <w:rPr>
          <w:rFonts w:cs="Guttman Drogolin" w:hint="cs"/>
          <w:rtl/>
          <w:lang w:bidi="he-IL"/>
        </w:rPr>
        <w:t xml:space="preserve">  </w:t>
      </w:r>
      <w:r w:rsidR="00E8782F" w:rsidRPr="00882F11">
        <w:rPr>
          <w:rFonts w:cs="Guttman Drogolin" w:hint="cs"/>
          <w:rtl/>
          <w:lang w:bidi="he-IL"/>
        </w:rPr>
        <w:t xml:space="preserve">  </w:t>
      </w:r>
      <w:r w:rsidR="00DF01FE" w:rsidRPr="00882F11">
        <w:rPr>
          <w:rFonts w:cs="Guttman Drogolin" w:hint="cs"/>
          <w:rtl/>
          <w:lang w:bidi="he-IL"/>
        </w:rPr>
        <w:t xml:space="preserve"> </w:t>
      </w:r>
      <w:r w:rsidR="001A69CD" w:rsidRPr="00882F11">
        <w:rPr>
          <w:rFonts w:cs="Guttman Drogolin" w:hint="cs"/>
          <w:rtl/>
          <w:lang w:bidi="he-IL"/>
        </w:rPr>
        <w:t xml:space="preserve"> </w:t>
      </w:r>
    </w:p>
    <w:p w:rsidR="00AA50B4" w:rsidRPr="00882F11" w:rsidRDefault="00AA50B4" w:rsidP="007357D3">
      <w:pPr>
        <w:tabs>
          <w:tab w:val="right" w:pos="7497"/>
        </w:tabs>
        <w:bidi/>
        <w:jc w:val="both"/>
        <w:rPr>
          <w:rFonts w:cs="Guttman Drogolin"/>
          <w:rtl/>
          <w:lang w:bidi="he-IL"/>
        </w:rPr>
        <w:sectPr w:rsidR="00AA50B4" w:rsidRPr="00882F11" w:rsidSect="005229E6">
          <w:type w:val="continuous"/>
          <w:pgSz w:w="11907" w:h="16839" w:code="9"/>
          <w:pgMar w:top="1440" w:right="1440" w:bottom="1440" w:left="1440" w:header="720" w:footer="720" w:gutter="0"/>
          <w:cols w:num="2" w:space="720"/>
          <w:bidi/>
          <w:docGrid w:linePitch="360"/>
        </w:sectPr>
      </w:pPr>
    </w:p>
    <w:p w:rsidR="00AA50B4" w:rsidRPr="00882F11" w:rsidRDefault="00AA50B4" w:rsidP="00AA50B4">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ע"ז</w:t>
      </w:r>
    </w:p>
    <w:p w:rsidR="005229E6" w:rsidRDefault="005229E6" w:rsidP="001A783D">
      <w:pPr>
        <w:pStyle w:val="Heading1"/>
        <w:bidi/>
        <w:spacing w:before="0" w:line="360" w:lineRule="auto"/>
        <w:jc w:val="center"/>
        <w:rPr>
          <w:rFonts w:cs="Guttman Drogolin"/>
          <w:color w:val="auto"/>
          <w:sz w:val="24"/>
          <w:szCs w:val="24"/>
          <w:u w:val="single"/>
          <w:rtl/>
          <w:lang w:bidi="he-IL"/>
        </w:rPr>
        <w:sectPr w:rsidR="005229E6" w:rsidSect="005229E6">
          <w:headerReference w:type="default" r:id="rId60"/>
          <w:pgSz w:w="11907" w:h="16839" w:code="9"/>
          <w:pgMar w:top="1440" w:right="1440" w:bottom="1440" w:left="1440" w:header="720" w:footer="720" w:gutter="0"/>
          <w:cols w:space="720"/>
          <w:bidi/>
          <w:docGrid w:linePitch="360"/>
        </w:sectPr>
      </w:pPr>
    </w:p>
    <w:p w:rsidR="00AA50B4" w:rsidRPr="00882F11" w:rsidRDefault="001A783D" w:rsidP="005229E6">
      <w:pPr>
        <w:pStyle w:val="Heading1"/>
        <w:bidi/>
        <w:spacing w:before="0" w:line="240" w:lineRule="auto"/>
        <w:jc w:val="center"/>
        <w:rPr>
          <w:rFonts w:cs="Guttman Drogolin"/>
          <w:color w:val="auto"/>
          <w:sz w:val="24"/>
          <w:szCs w:val="24"/>
          <w:u w:val="single"/>
          <w:rtl/>
          <w:lang w:bidi="he-IL"/>
        </w:rPr>
      </w:pPr>
      <w:bookmarkStart w:id="311" w:name="_Toc496175562"/>
      <w:r w:rsidRPr="00882F11">
        <w:rPr>
          <w:rFonts w:cs="Guttman Drogolin" w:hint="cs"/>
          <w:color w:val="auto"/>
          <w:sz w:val="24"/>
          <w:szCs w:val="24"/>
          <w:u w:val="single"/>
          <w:rtl/>
          <w:lang w:bidi="he-IL"/>
        </w:rPr>
        <w:lastRenderedPageBreak/>
        <w:t>נפל החתיכה לתוך הרוטב פעמיים, והדין למעשה בחענ"ן בבלוע בכלי</w:t>
      </w:r>
      <w:bookmarkEnd w:id="311"/>
    </w:p>
    <w:p w:rsidR="007357D3" w:rsidRPr="00882F11" w:rsidRDefault="00B432CE" w:rsidP="001A783D">
      <w:pPr>
        <w:tabs>
          <w:tab w:val="right" w:pos="7497"/>
        </w:tabs>
        <w:bidi/>
        <w:jc w:val="both"/>
        <w:rPr>
          <w:rFonts w:cs="Guttman Drogolin"/>
          <w:rtl/>
          <w:lang w:bidi="he-IL"/>
        </w:rPr>
      </w:pPr>
      <w:r>
        <w:rPr>
          <w:rFonts w:cs="Guttman Drogolin"/>
          <w:rtl/>
          <w:lang w:bidi="he-IL"/>
        </w:rPr>
        <w:fldChar w:fldCharType="begin"/>
      </w:r>
      <w:r>
        <w:instrText xml:space="preserve"> XE "</w:instrText>
      </w:r>
      <w:r w:rsidRPr="00D062C6">
        <w:rPr>
          <w:rFonts w:hint="cs"/>
          <w:rtl/>
          <w:lang w:bidi="he-IL"/>
        </w:rPr>
        <w:instrText>שיעור ששים</w:instrText>
      </w:r>
      <w:r w:rsidRPr="00D062C6">
        <w:rPr>
          <w:rtl/>
        </w:rPr>
        <w:instrText>:</w:instrText>
      </w:r>
      <w:r w:rsidRPr="00D062C6">
        <w:rPr>
          <w:rFonts w:hint="cs"/>
          <w:rtl/>
          <w:lang w:bidi="he-IL"/>
        </w:rPr>
        <w:instrText>בנפל אותה חתיכה פעמיים לתוך אותה קדרה</w:instrText>
      </w:r>
      <w:r>
        <w:instrText xml:space="preserve">" </w:instrText>
      </w:r>
      <w:r>
        <w:rPr>
          <w:rFonts w:cs="Guttman Drogolin"/>
          <w:rtl/>
          <w:lang w:bidi="he-IL"/>
        </w:rPr>
        <w:fldChar w:fldCharType="end"/>
      </w:r>
      <w:r w:rsidR="001A783D" w:rsidRPr="00882F11">
        <w:rPr>
          <w:rFonts w:cs="Guttman Drogolin" w:hint="cs"/>
          <w:rtl/>
          <w:lang w:bidi="he-IL"/>
        </w:rPr>
        <w:t>הרמ"א בסוף סעיף ד' כתב שאם נפל חתיכה לתוך קדירה א' ושוב נפל לתוך קדירה שני', כל קדירה בפני עצמה צריכה ששים כנגד החתיכה כדי להיות מותר. והטעם שצריכים גם בקדירה השני ששים אע"ג שכבר נתן טעם בקדירה הראשונה י"ל בתרתי, חדא דלא ידעינן כמה נפיק מיני' בראשונה כדי שנוכל לשאר בפחות מששים בשני'. ועוד דאפילו היינו יודעים הא לכאורה הא בלע החתיכת איסור מן ההיתר שבקדירה הראשונה, ואותה טעם שבראשונה נע"נ ולכן צריכים ששים גם כנגד הבלוע מן הקדירה הראשונה.</w:t>
      </w:r>
    </w:p>
    <w:p w:rsidR="00FC55FD" w:rsidRPr="00882F11" w:rsidRDefault="001A783D" w:rsidP="00FC55FD">
      <w:pPr>
        <w:tabs>
          <w:tab w:val="right" w:pos="7497"/>
        </w:tabs>
        <w:bidi/>
        <w:jc w:val="both"/>
        <w:rPr>
          <w:rFonts w:cs="Guttman Drogolin"/>
          <w:rtl/>
          <w:lang w:bidi="he-IL"/>
        </w:rPr>
      </w:pPr>
      <w:r w:rsidRPr="00882F11">
        <w:rPr>
          <w:rFonts w:cs="Guttman Drogolin" w:hint="cs"/>
          <w:rtl/>
          <w:lang w:bidi="he-IL"/>
        </w:rPr>
        <w:t xml:space="preserve">ואעפ"כ כתב הרמ"א דהנ"מ כשנכנס לקדירה שני, אבל אם חזר שוב לאותה קדירה שהיתה בה מתחילה </w:t>
      </w:r>
      <w:r w:rsidR="00A562CA" w:rsidRPr="00882F11">
        <w:rPr>
          <w:rFonts w:cs="Guttman Drogolin" w:hint="cs"/>
          <w:rtl/>
          <w:lang w:bidi="he-IL"/>
        </w:rPr>
        <w:t>אינו צריך אלא ס' פעם א' בלבד. ולכאורה צ"ע</w:t>
      </w:r>
      <w:r w:rsidR="001D5875" w:rsidRPr="00882F11">
        <w:rPr>
          <w:rStyle w:val="FootnoteReference"/>
          <w:rFonts w:cs="Guttman Drogolin"/>
          <w:rtl/>
          <w:lang w:bidi="he-IL"/>
        </w:rPr>
        <w:footnoteReference w:id="337"/>
      </w:r>
      <w:r w:rsidR="00A562CA" w:rsidRPr="00882F11">
        <w:rPr>
          <w:rFonts w:cs="Guttman Drogolin" w:hint="cs"/>
          <w:rtl/>
          <w:lang w:bidi="he-IL"/>
        </w:rPr>
        <w:t xml:space="preserve">, דבשלמא לענין החשש הנ"ל דלא ידעינן כמה נפיק מיני' לא שייך כאן, דהא נפל שוב לאותה קדירה, אבל לכאורה יש לחשוש להא דהחתיכה בלע היתר וההיתר נע"נ, ולכן צריכים עוד ששים דהא לא ידעינן כמה בלע. ולעיל ברסי' צ"ד הקיל הרמ"א שאם הכניס כף של בשר פעמיים </w:t>
      </w:r>
      <w:r w:rsidR="001A64F5" w:rsidRPr="00882F11">
        <w:rPr>
          <w:rFonts w:cs="Guttman Drogolin" w:hint="cs"/>
          <w:rtl/>
          <w:lang w:bidi="he-IL"/>
        </w:rPr>
        <w:t xml:space="preserve">לאותה קדירה שלא צריכים פעמיים ששים, ולענין </w:t>
      </w:r>
      <w:r w:rsidR="001D5875" w:rsidRPr="00882F11">
        <w:rPr>
          <w:rFonts w:cs="Guttman Drogolin" w:hint="cs"/>
          <w:rtl/>
          <w:lang w:bidi="he-IL"/>
        </w:rPr>
        <w:t xml:space="preserve">היתר זה כתב התרוה"ד משום שלא אומרים חענ"ן בבלוע, ביחד עם סברא שבכלי אמרינן שאינו מנותק מן התבשיל ולכן לא אומרים חענ"ן כיון שסופו להתפשט. אמנם סברות אלו לא מועילים אלא לכלי שהכניס פעמיים, אבל בחתיכה שהכניס פעמיים הא שפיר אמרינן חענ"ן בבלוע בה וכדמבואר בהדיא בגמ'. ומכח קושיא זו צריכים אנו לדברי הגר"א כאן בס"ק כ', שהטעם להקל בזה משום שהרי יש כאן רוב היתר כנגד הטעם הבלוע שנע"נ, דהא מין במינו מדאורייתא ברובא בטיל, רק שגזרו להצריך ס' במין במינו היכא דהוי לח בלח, ובכה"ג לא גזרו. </w:t>
      </w:r>
      <w:r w:rsidR="00FC55FD" w:rsidRPr="00882F11">
        <w:rPr>
          <w:rFonts w:cs="Guttman Drogolin" w:hint="cs"/>
          <w:rtl/>
          <w:lang w:bidi="he-IL"/>
        </w:rPr>
        <w:t xml:space="preserve">וכוונתו </w:t>
      </w:r>
      <w:r w:rsidR="00FC55FD" w:rsidRPr="00882F11">
        <w:rPr>
          <w:rFonts w:cs="Guttman Drogolin" w:hint="cs"/>
          <w:rtl/>
          <w:lang w:bidi="he-IL"/>
        </w:rPr>
        <w:lastRenderedPageBreak/>
        <w:t>דהיכא שהמינו דאיסורא בא מיני' ובי' מן המינא דהיתירא לא החמירו.</w:t>
      </w:r>
    </w:p>
    <w:p w:rsidR="001A783D" w:rsidRPr="00882F11" w:rsidRDefault="00FC55FD" w:rsidP="009D74FA">
      <w:pPr>
        <w:tabs>
          <w:tab w:val="right" w:pos="7497"/>
        </w:tabs>
        <w:bidi/>
        <w:jc w:val="both"/>
        <w:rPr>
          <w:rFonts w:cs="Guttman Drogolin"/>
          <w:rtl/>
          <w:lang w:bidi="he-IL"/>
        </w:rPr>
      </w:pPr>
      <w:r w:rsidRPr="00882F11">
        <w:rPr>
          <w:rFonts w:cs="Guttman Drogolin" w:hint="cs"/>
          <w:rtl/>
          <w:lang w:bidi="he-IL"/>
        </w:rPr>
        <w:t xml:space="preserve">ואעפ"כ אין זה אומר לנו אלא שאין אנו צריכים לקולא של התרוה"ד כשהכניס כף פעמיים וכדחזינן מהא דאפילו בחתיכה אמרינן כן, אבל יל"ע אם בכל אופן קיי"ל להקל כמותו או לא. וכאן בסע' ה' השו"ע מביא שאומרים חענ"ן בבלוע בכלי, וי"א שלא אומרים, ומשמע שעיקר הדין להחמיר בזה. אמנם כבר הדגשנו </w:t>
      </w:r>
      <w:r w:rsidR="00454BB0" w:rsidRPr="00882F11">
        <w:rPr>
          <w:rFonts w:cs="Guttman Drogolin" w:hint="cs"/>
          <w:rtl/>
          <w:lang w:bidi="he-IL"/>
        </w:rPr>
        <w:t xml:space="preserve">שבביאור הגר"א סי' צ"ב ס"ק ל"ד ביאר שיטת השו"ע שם שדעתו להקל שאין חענ"ן בבלוע בכלי בשעה"ד, ויוצא שסומך על שיטת הי"א כאן בשעה"ד. אמנם </w:t>
      </w:r>
      <w:r w:rsidR="009D74FA" w:rsidRPr="00882F11">
        <w:rPr>
          <w:rFonts w:cs="Guttman Drogolin" w:hint="cs"/>
          <w:rtl/>
          <w:lang w:bidi="he-IL"/>
        </w:rPr>
        <w:t xml:space="preserve">י"א שהטעם שהקיל המחבר שם בסע' ז' אין זה אלא לענין הא דלא חיישינן שעלה התבשיל דרך הריקן כשבא לצננו, אבל לעולם מחירים לומר שיש חענ"ן בבלוע </w:t>
      </w:r>
      <w:r w:rsidR="009D74FA" w:rsidRPr="00882F11">
        <w:rPr>
          <w:rFonts w:cs="Guttman Drogolin"/>
          <w:rtl/>
          <w:lang w:bidi="he-IL"/>
        </w:rPr>
        <w:t>–</w:t>
      </w:r>
      <w:r w:rsidR="009D74FA" w:rsidRPr="00882F11">
        <w:rPr>
          <w:rFonts w:cs="Guttman Drogolin" w:hint="cs"/>
          <w:rtl/>
          <w:lang w:bidi="he-IL"/>
        </w:rPr>
        <w:t xml:space="preserve"> ע' כאן במש"ז ס"ק ח' דין ודברים בכל הנושא. וברע"א על הש"ך סי' צ"ד ס"ק י' מבואר ג"כ שלא סמך על הסברות של התרוה"ד אלא בשעה"ד ובצירוף סברות אחרות.   </w:t>
      </w:r>
      <w:r w:rsidR="00454BB0" w:rsidRPr="00882F11">
        <w:rPr>
          <w:rFonts w:cs="Guttman Drogolin" w:hint="cs"/>
          <w:rtl/>
          <w:lang w:bidi="he-IL"/>
        </w:rPr>
        <w:t xml:space="preserve"> </w:t>
      </w:r>
      <w:r w:rsidRPr="00882F11">
        <w:rPr>
          <w:rFonts w:cs="Guttman Drogolin" w:hint="cs"/>
          <w:rtl/>
          <w:lang w:bidi="he-IL"/>
        </w:rPr>
        <w:t xml:space="preserve">   </w:t>
      </w:r>
      <w:r w:rsidR="001D5875" w:rsidRPr="00882F11">
        <w:rPr>
          <w:rFonts w:cs="Guttman Drogolin" w:hint="cs"/>
          <w:rtl/>
          <w:lang w:bidi="he-IL"/>
        </w:rPr>
        <w:t xml:space="preserve">  </w:t>
      </w:r>
    </w:p>
    <w:p w:rsidR="001A783D" w:rsidRPr="00882F11" w:rsidRDefault="001A783D" w:rsidP="001A783D">
      <w:pPr>
        <w:pStyle w:val="Heading1"/>
        <w:bidi/>
        <w:spacing w:before="0" w:line="360" w:lineRule="auto"/>
        <w:jc w:val="center"/>
        <w:rPr>
          <w:rFonts w:cs="Guttman Drogolin"/>
          <w:color w:val="auto"/>
          <w:sz w:val="24"/>
          <w:szCs w:val="24"/>
          <w:u w:val="single"/>
          <w:rtl/>
          <w:lang w:bidi="he-IL"/>
        </w:rPr>
      </w:pPr>
      <w:bookmarkStart w:id="312" w:name="_Toc496175563"/>
      <w:r w:rsidRPr="00882F11">
        <w:rPr>
          <w:rFonts w:cs="Guttman Drogolin" w:hint="cs"/>
          <w:color w:val="auto"/>
          <w:sz w:val="24"/>
          <w:szCs w:val="24"/>
          <w:u w:val="single"/>
          <w:rtl/>
          <w:lang w:bidi="he-IL"/>
        </w:rPr>
        <w:t>קושיא בדעת הש"ך ס"ק כ"א</w:t>
      </w:r>
      <w:bookmarkEnd w:id="312"/>
    </w:p>
    <w:p w:rsidR="001A783D" w:rsidRPr="00882F11" w:rsidRDefault="001A783D" w:rsidP="001A783D">
      <w:pPr>
        <w:tabs>
          <w:tab w:val="right" w:pos="7497"/>
        </w:tabs>
        <w:bidi/>
        <w:jc w:val="both"/>
        <w:rPr>
          <w:rFonts w:cs="Guttman Drogolin"/>
          <w:rtl/>
          <w:lang w:bidi="he-IL"/>
        </w:rPr>
      </w:pPr>
      <w:r w:rsidRPr="00882F11">
        <w:rPr>
          <w:rFonts w:cs="Guttman Drogolin" w:hint="cs"/>
          <w:rtl/>
          <w:lang w:bidi="he-IL"/>
        </w:rPr>
        <w:t xml:space="preserve">בשיעור הקודם הבאנו דברי הש"ך בס"ק כ"א בביאור שיטת המרדכי, שהטעם לחלק בין כלי חרס לשאר כלים משום שלא אומרים חענ"ן אלא במקום שאי אפשר לאיסור ליסחט ממנו לגמרי, אבל במקום שאפשר לו ליסחט ממנו לגמרי אין חענ"ן. ולכן בשאר כלים ששייך לגבייהו הגעלה ליכא חענ"ן, אבל בכלי חרס שאין בה הגעלה אמרינן חענ"ן בבלוע. אמנם יש להעיר על דברי הש"ך דנהי נמי שלא אומרים חענ"ן כשאפשר לאיסור ליסחט לגמרי מן ההיתר, אבל </w:t>
      </w:r>
      <w:r w:rsidR="00150C33" w:rsidRPr="00882F11">
        <w:rPr>
          <w:rFonts w:cs="Guttman Drogolin" w:hint="cs"/>
          <w:rtl/>
          <w:lang w:bidi="he-IL"/>
        </w:rPr>
        <w:t>בנד"ד אין נסחט מן ההיתר רק מן הכ</w:t>
      </w:r>
      <w:r w:rsidRPr="00882F11">
        <w:rPr>
          <w:rFonts w:cs="Guttman Drogolin" w:hint="cs"/>
          <w:rtl/>
          <w:lang w:bidi="he-IL"/>
        </w:rPr>
        <w:t>לי, ובכלי עצמו הרי סבר הש"ך דלא שייך לגבי' חענ"ן כלל. וצ"ע.</w:t>
      </w:r>
    </w:p>
    <w:p w:rsidR="009D74FA" w:rsidRPr="00882F11" w:rsidRDefault="009D74FA" w:rsidP="009D74FA">
      <w:pPr>
        <w:pStyle w:val="Heading1"/>
        <w:bidi/>
        <w:spacing w:before="0" w:line="360" w:lineRule="auto"/>
        <w:jc w:val="center"/>
        <w:rPr>
          <w:rFonts w:cs="Guttman Drogolin"/>
          <w:color w:val="auto"/>
          <w:sz w:val="24"/>
          <w:szCs w:val="24"/>
          <w:u w:val="single"/>
          <w:rtl/>
          <w:lang w:bidi="he-IL"/>
        </w:rPr>
      </w:pPr>
      <w:bookmarkStart w:id="313" w:name="_Toc496175564"/>
      <w:r w:rsidRPr="00882F11">
        <w:rPr>
          <w:rFonts w:cs="Guttman Drogolin" w:hint="cs"/>
          <w:color w:val="auto"/>
          <w:sz w:val="24"/>
          <w:szCs w:val="24"/>
          <w:u w:val="single"/>
          <w:rtl/>
          <w:lang w:bidi="he-IL"/>
        </w:rPr>
        <w:lastRenderedPageBreak/>
        <w:t>דברים דעבידי לטעמא</w:t>
      </w:r>
      <w:bookmarkEnd w:id="313"/>
    </w:p>
    <w:p w:rsidR="003C6A0C" w:rsidRPr="00882F11" w:rsidRDefault="00B432CE" w:rsidP="000C18B9">
      <w:pPr>
        <w:tabs>
          <w:tab w:val="right" w:pos="7497"/>
        </w:tabs>
        <w:bidi/>
        <w:jc w:val="both"/>
        <w:rPr>
          <w:rFonts w:cs="Guttman Drogolin"/>
          <w:rtl/>
          <w:lang w:bidi="he-IL"/>
        </w:rPr>
      </w:pPr>
      <w:r>
        <w:rPr>
          <w:rFonts w:cs="Guttman Drogolin"/>
          <w:rtl/>
          <w:lang w:bidi="he-IL"/>
        </w:rPr>
        <w:fldChar w:fldCharType="begin"/>
      </w:r>
      <w:r>
        <w:instrText xml:space="preserve"> XE "</w:instrText>
      </w:r>
      <w:r w:rsidRPr="00A60ABA">
        <w:rPr>
          <w:rFonts w:hint="cs"/>
          <w:rtl/>
          <w:lang w:bidi="he-IL"/>
        </w:rPr>
        <w:instrText>טעם כעיקר</w:instrText>
      </w:r>
      <w:r w:rsidRPr="00A60ABA">
        <w:rPr>
          <w:rtl/>
        </w:rPr>
        <w:instrText>:</w:instrText>
      </w:r>
      <w:r w:rsidRPr="00A60ABA">
        <w:rPr>
          <w:rFonts w:hint="cs"/>
          <w:rtl/>
          <w:lang w:bidi="he-IL"/>
        </w:rPr>
        <w:instrText>במילתא דעבידא לטעמא</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EA218A">
        <w:rPr>
          <w:rFonts w:hint="cs"/>
          <w:rtl/>
          <w:lang w:bidi="he-IL"/>
        </w:rPr>
        <w:instrText>שיעור ששים</w:instrText>
      </w:r>
      <w:r w:rsidRPr="00EA218A">
        <w:rPr>
          <w:rtl/>
        </w:rPr>
        <w:instrText>:</w:instrText>
      </w:r>
      <w:r w:rsidRPr="00EA218A">
        <w:rPr>
          <w:rFonts w:hint="cs"/>
          <w:rtl/>
          <w:lang w:bidi="he-IL"/>
        </w:rPr>
        <w:instrText>במילתא דעבידא לטעמא</w:instrText>
      </w:r>
      <w:r>
        <w:instrText xml:space="preserve">" </w:instrText>
      </w:r>
      <w:r>
        <w:rPr>
          <w:rFonts w:cs="Guttman Drogolin"/>
          <w:rtl/>
          <w:lang w:bidi="he-IL"/>
        </w:rPr>
        <w:fldChar w:fldCharType="end"/>
      </w:r>
      <w:r w:rsidR="009D74FA" w:rsidRPr="00882F11">
        <w:rPr>
          <w:rFonts w:cs="Guttman Drogolin" w:hint="cs"/>
          <w:rtl/>
          <w:lang w:bidi="he-IL"/>
        </w:rPr>
        <w:t>מכיון שאין אנו סומכים היום אטעימת קפילא, היכא דנפל איסור לתוך היתר ורוצים לומר אם נתן בה טעם או לא, פחות או יותר האופן היחיד לשער אם נתן בה טעם הוא ע"י השיעור ששים</w:t>
      </w:r>
      <w:r w:rsidR="00F05D68" w:rsidRPr="00882F11">
        <w:rPr>
          <w:rFonts w:cs="Guttman Drogolin" w:hint="cs"/>
          <w:rtl/>
          <w:lang w:bidi="he-IL"/>
        </w:rPr>
        <w:t xml:space="preserve">. ויש במדידה זו יוצאים מן הכלל, והם אלו דברים שעשוים לתת טעם גדול כמו תבלין או מלח, שבהם לא נאמר הכלל שכל שיש ששים כנגדו מסתמא ליכא טעם. ולכן כשנפל אלו לתוך התבשיל נקטינן שודאי נאסרו אא"כ ידוע לך שבאמת אינו נ"ט. </w:t>
      </w:r>
      <w:r w:rsidR="002976D8" w:rsidRPr="00882F11">
        <w:rPr>
          <w:rFonts w:cs="Guttman Drogolin" w:hint="cs"/>
          <w:rtl/>
          <w:lang w:bidi="he-IL"/>
        </w:rPr>
        <w:t xml:space="preserve">(והנ"מ כשהם אסורים מחמת עצמם, אבל אם אינו אסורים אלא משום שבלעו טעם איסור ונע"נ הא קיי"ל שאין הנאסר אוסר יותר מן האוסרו). </w:t>
      </w:r>
      <w:r w:rsidR="00F05D68" w:rsidRPr="00882F11">
        <w:rPr>
          <w:rFonts w:cs="Guttman Drogolin" w:hint="cs"/>
          <w:rtl/>
          <w:lang w:bidi="he-IL"/>
        </w:rPr>
        <w:t xml:space="preserve">ומבואר בש"ך ס"ק כ"ט בשם האו"ה שאין זה אלא איסור דרבנן. ולכאורה צ"ע, דכיון שהוא טועם את הטעם איסור בתביל מה איכפת לן אם יש ס' או אין לדינא דאורייתא, הא לכאורה כל הדין של ששים מדאורייתא אינו אלא לענין זה דכשיש ששים נקטינן שאין בה טעם, אבל אם יהי' טעם טכ"ע דאורייתא. וע' באמת בהגהות רע"א שהביא משמעות הר"ן שבאמת חלק וסבר דכה"ג טכ"ע דאורייתא. ובסברת האו"ה, משמעל לשונו משום דאמנם איכא טעם כה"ג, אין זה אלא טעם כל דהו, והדין של טכ"ע לא נאמר בטעם כל דהו. וע' בהגהות חת"ס </w:t>
      </w:r>
      <w:r w:rsidR="003C6A0C" w:rsidRPr="00882F11">
        <w:rPr>
          <w:rFonts w:cs="Guttman Drogolin" w:hint="cs"/>
          <w:rtl/>
          <w:lang w:bidi="he-IL"/>
        </w:rPr>
        <w:t>שכתב דכה"ג מיקרי קיוהא, ועי' בטור סי' תמ"ב שמבואר שאמנם ע"י קיוהא איכא היכר טעם אבל מ"מ אין בה משום דינא דטכ"ע דאורייתא</w:t>
      </w:r>
      <w:r w:rsidR="003C6A0C" w:rsidRPr="00882F11">
        <w:rPr>
          <w:rStyle w:val="FootnoteReference"/>
          <w:rFonts w:cs="Guttman Drogolin"/>
          <w:rtl/>
          <w:lang w:bidi="he-IL"/>
        </w:rPr>
        <w:footnoteReference w:id="338"/>
      </w:r>
      <w:r w:rsidR="003C6A0C" w:rsidRPr="00882F11">
        <w:rPr>
          <w:rFonts w:cs="Guttman Drogolin" w:hint="cs"/>
          <w:rtl/>
          <w:lang w:bidi="he-IL"/>
        </w:rPr>
        <w:t>.</w:t>
      </w:r>
      <w:r w:rsidR="00F05D68" w:rsidRPr="00882F11">
        <w:rPr>
          <w:rFonts w:cs="Guttman Drogolin" w:hint="cs"/>
          <w:rtl/>
          <w:lang w:bidi="he-IL"/>
        </w:rPr>
        <w:t xml:space="preserve">  </w:t>
      </w:r>
    </w:p>
    <w:p w:rsidR="0081059F" w:rsidRPr="00882F11" w:rsidRDefault="003C6A0C" w:rsidP="0081059F">
      <w:pPr>
        <w:tabs>
          <w:tab w:val="right" w:pos="7497"/>
        </w:tabs>
        <w:bidi/>
        <w:jc w:val="both"/>
        <w:rPr>
          <w:rFonts w:cs="Guttman Drogolin"/>
          <w:rtl/>
          <w:lang w:bidi="he-IL"/>
        </w:rPr>
      </w:pPr>
      <w:r w:rsidRPr="00882F11">
        <w:rPr>
          <w:rFonts w:cs="Guttman Drogolin" w:hint="cs"/>
          <w:rtl/>
          <w:lang w:bidi="he-IL"/>
        </w:rPr>
        <w:t>ונראה להדגיש שלפי ביאורו של החוו"ד בדברי הרמ"א בסי' צ"ח סע' ב', יוצא שהטעם שלא יהא א</w:t>
      </w:r>
      <w:r w:rsidR="0081059F" w:rsidRPr="00882F11">
        <w:rPr>
          <w:rFonts w:cs="Guttman Drogolin" w:hint="cs"/>
          <w:rtl/>
          <w:lang w:bidi="he-IL"/>
        </w:rPr>
        <w:t>יס</w:t>
      </w:r>
      <w:r w:rsidRPr="00882F11">
        <w:rPr>
          <w:rFonts w:cs="Guttman Drogolin" w:hint="cs"/>
          <w:rtl/>
          <w:lang w:bidi="he-IL"/>
        </w:rPr>
        <w:t xml:space="preserve">ור מדאורייתא משום דכל היכא דאיכא </w:t>
      </w:r>
      <w:r w:rsidR="0081059F" w:rsidRPr="00882F11">
        <w:rPr>
          <w:rFonts w:cs="Guttman Drogolin" w:hint="cs"/>
          <w:rtl/>
          <w:lang w:bidi="he-IL"/>
        </w:rPr>
        <w:t xml:space="preserve">ס' ילפינן מזרוע בשילה שהטעם בטל, וטעם בטל אע"פ שמורגש מ"מ אינו אוסר. וא"כ שפיר הוו דבר דעבידא לטעמא אססור רק מדרבנן. אבל כמובן הש"ך עצמו ודאי לא סבירא לי' כן וכדבריו שם באירוכות לדחות דעת הרמ"א. </w:t>
      </w:r>
    </w:p>
    <w:p w:rsidR="0081059F" w:rsidRPr="00882F11" w:rsidRDefault="0081059F" w:rsidP="0081059F">
      <w:pPr>
        <w:tabs>
          <w:tab w:val="right" w:pos="7497"/>
        </w:tabs>
        <w:bidi/>
        <w:jc w:val="both"/>
        <w:rPr>
          <w:rFonts w:cs="Guttman Drogolin"/>
          <w:rtl/>
          <w:lang w:bidi="he-IL"/>
        </w:rPr>
      </w:pPr>
      <w:r w:rsidRPr="00882F11">
        <w:rPr>
          <w:rFonts w:cs="Guttman Drogolin" w:hint="cs"/>
          <w:rtl/>
          <w:lang w:bidi="he-IL"/>
        </w:rPr>
        <w:lastRenderedPageBreak/>
        <w:t xml:space="preserve">עוד מבואר שם בש"ך שאם נפל דבר דעבידא לטעמא בתוך תבשיל ואנחנו מסופקים אם נתן בה טעם או לא שאפשר לסמוך אטעימת קפילא אפילו לדידן. וצ"ע בטעמו של דבר כיון דסו"ס לא סמכינן אקפילא. וביד יהודה נקט דעד כאן לא החמירו לא לסמוך אקפילא אלא במקום שיש לנו מדידה של ס', אבל בדבר דעבידא לטעמא שאין לה במה לשער השאירו אותו על עיקר הדין שאפשר לסמוך אקפילא.   </w:t>
      </w:r>
    </w:p>
    <w:p w:rsidR="0081059F" w:rsidRPr="00882F11" w:rsidRDefault="0081059F" w:rsidP="0081059F">
      <w:pPr>
        <w:pStyle w:val="Heading1"/>
        <w:bidi/>
        <w:spacing w:before="0" w:line="360" w:lineRule="auto"/>
        <w:jc w:val="center"/>
        <w:rPr>
          <w:rFonts w:cs="Guttman Drogolin"/>
          <w:color w:val="auto"/>
          <w:sz w:val="24"/>
          <w:szCs w:val="24"/>
          <w:u w:val="single"/>
          <w:rtl/>
          <w:lang w:bidi="he-IL"/>
        </w:rPr>
      </w:pPr>
      <w:bookmarkStart w:id="314" w:name="_Toc496175565"/>
      <w:r w:rsidRPr="00882F11">
        <w:rPr>
          <w:rFonts w:cs="Guttman Drogolin" w:hint="cs"/>
          <w:color w:val="auto"/>
          <w:sz w:val="24"/>
          <w:szCs w:val="24"/>
          <w:u w:val="single"/>
          <w:rtl/>
          <w:lang w:bidi="he-IL"/>
        </w:rPr>
        <w:t>ביטול תבלין בתבלין</w:t>
      </w:r>
      <w:bookmarkEnd w:id="314"/>
    </w:p>
    <w:p w:rsidR="002976D8" w:rsidRPr="00882F11" w:rsidRDefault="00023B6E" w:rsidP="002976D8">
      <w:pPr>
        <w:tabs>
          <w:tab w:val="right" w:pos="7497"/>
        </w:tabs>
        <w:bidi/>
        <w:jc w:val="both"/>
        <w:rPr>
          <w:rFonts w:cs="Guttman Drogolin"/>
          <w:rtl/>
          <w:lang w:bidi="he-IL"/>
        </w:rPr>
      </w:pPr>
      <w:r>
        <w:rPr>
          <w:rFonts w:cs="Guttman Drogolin"/>
          <w:rtl/>
          <w:lang w:bidi="he-IL"/>
        </w:rPr>
        <w:fldChar w:fldCharType="begin"/>
      </w:r>
      <w:r>
        <w:instrText xml:space="preserve"> XE "</w:instrText>
      </w:r>
      <w:r w:rsidRPr="005E5AC5">
        <w:rPr>
          <w:rFonts w:hint="cs"/>
          <w:rtl/>
          <w:lang w:bidi="he-IL"/>
        </w:rPr>
        <w:instrText>טעם כעיקר</w:instrText>
      </w:r>
      <w:r w:rsidRPr="005E5AC5">
        <w:rPr>
          <w:rtl/>
        </w:rPr>
        <w:instrText>:</w:instrText>
      </w:r>
      <w:r w:rsidRPr="005E5AC5">
        <w:rPr>
          <w:rFonts w:hint="cs"/>
          <w:rtl/>
          <w:lang w:bidi="he-IL"/>
        </w:rPr>
        <w:instrText>בתערובת תבלין בתבלין</w:instrText>
      </w:r>
      <w:r>
        <w:instrText xml:space="preserve">" </w:instrText>
      </w:r>
      <w:r>
        <w:rPr>
          <w:rFonts w:cs="Guttman Drogolin"/>
          <w:rtl/>
          <w:lang w:bidi="he-IL"/>
        </w:rPr>
        <w:fldChar w:fldCharType="end"/>
      </w:r>
      <w:r w:rsidR="005F174A">
        <w:rPr>
          <w:rFonts w:cs="Guttman Drogolin"/>
          <w:rtl/>
          <w:lang w:bidi="he-IL"/>
        </w:rPr>
        <w:fldChar w:fldCharType="begin"/>
      </w:r>
      <w:r w:rsidR="005F174A">
        <w:instrText xml:space="preserve"> XE "</w:instrText>
      </w:r>
      <w:r w:rsidR="005F174A" w:rsidRPr="00876385">
        <w:rPr>
          <w:rFonts w:hint="cs"/>
          <w:rtl/>
          <w:lang w:bidi="he-IL"/>
        </w:rPr>
        <w:instrText>תערובת מין במינו (פי' בדליכא טכ</w:instrText>
      </w:r>
      <w:r w:rsidR="005F174A">
        <w:rPr>
          <w:rFonts w:eastAsiaTheme="minorEastAsia"/>
          <w:lang w:bidi="he-IL"/>
        </w:rPr>
        <w:instrText>\</w:instrText>
      </w:r>
      <w:r w:rsidR="005F174A" w:rsidRPr="00876385">
        <w:rPr>
          <w:rFonts w:hint="cs"/>
          <w:rtl/>
          <w:lang w:bidi="he-IL"/>
        </w:rPr>
        <w:instrText>"ע)</w:instrText>
      </w:r>
      <w:r w:rsidR="005F174A" w:rsidRPr="00876385">
        <w:rPr>
          <w:rtl/>
        </w:rPr>
        <w:instrText>:</w:instrText>
      </w:r>
      <w:r w:rsidR="005F174A" w:rsidRPr="00876385">
        <w:rPr>
          <w:rFonts w:hint="cs"/>
          <w:rtl/>
          <w:lang w:bidi="he-IL"/>
        </w:rPr>
        <w:instrText>תבלין בתבלין</w:instrText>
      </w:r>
      <w:r w:rsidR="005F174A">
        <w:instrText xml:space="preserve">" </w:instrText>
      </w:r>
      <w:r w:rsidR="005F174A">
        <w:rPr>
          <w:rFonts w:cs="Guttman Drogolin"/>
          <w:rtl/>
          <w:lang w:bidi="he-IL"/>
        </w:rPr>
        <w:fldChar w:fldCharType="end"/>
      </w:r>
      <w:r>
        <w:rPr>
          <w:rFonts w:cs="Guttman Drogolin"/>
          <w:rtl/>
          <w:lang w:bidi="he-IL"/>
        </w:rPr>
        <w:fldChar w:fldCharType="begin"/>
      </w:r>
      <w:r>
        <w:instrText xml:space="preserve"> XE "</w:instrText>
      </w:r>
      <w:r w:rsidRPr="002A0579">
        <w:rPr>
          <w:rFonts w:hint="cs"/>
          <w:rtl/>
          <w:lang w:bidi="he-IL"/>
        </w:rPr>
        <w:instrText>שיעור ששים</w:instrText>
      </w:r>
      <w:r w:rsidRPr="002A0579">
        <w:rPr>
          <w:rtl/>
        </w:rPr>
        <w:instrText>:</w:instrText>
      </w:r>
      <w:r w:rsidRPr="002A0579">
        <w:rPr>
          <w:rFonts w:hint="cs"/>
          <w:rtl/>
          <w:lang w:bidi="he-IL"/>
        </w:rPr>
        <w:instrText>בתערובת תבלין בתבלין</w:instrText>
      </w:r>
      <w:r>
        <w:instrText xml:space="preserve">" </w:instrText>
      </w:r>
      <w:r>
        <w:rPr>
          <w:rFonts w:cs="Guttman Drogolin"/>
          <w:rtl/>
          <w:lang w:bidi="he-IL"/>
        </w:rPr>
        <w:fldChar w:fldCharType="end"/>
      </w:r>
      <w:r w:rsidR="002B5E05" w:rsidRPr="00882F11">
        <w:rPr>
          <w:rFonts w:cs="Guttman Drogolin" w:hint="cs"/>
          <w:rtl/>
          <w:lang w:bidi="he-IL"/>
        </w:rPr>
        <w:t>כתב הש"ך בס"ק ל'</w:t>
      </w:r>
      <w:r w:rsidR="00F05D68" w:rsidRPr="00882F11">
        <w:rPr>
          <w:rFonts w:cs="Guttman Drogolin" w:hint="cs"/>
          <w:rtl/>
          <w:lang w:bidi="he-IL"/>
        </w:rPr>
        <w:t xml:space="preserve"> </w:t>
      </w:r>
      <w:r w:rsidR="00792A71" w:rsidRPr="00882F11">
        <w:rPr>
          <w:rFonts w:cs="Guttman Drogolin" w:hint="cs"/>
          <w:rtl/>
          <w:lang w:bidi="he-IL"/>
        </w:rPr>
        <w:t>דהא ד</w:t>
      </w:r>
      <w:r w:rsidR="004E7291" w:rsidRPr="00882F11">
        <w:rPr>
          <w:rFonts w:cs="Guttman Drogolin" w:hint="cs"/>
          <w:rtl/>
          <w:lang w:bidi="he-IL"/>
        </w:rPr>
        <w:t xml:space="preserve">לא סגי בששים בתבלין ומלח, הנ"מ </w:t>
      </w:r>
      <w:r w:rsidR="00792A71" w:rsidRPr="00882F11">
        <w:rPr>
          <w:rFonts w:cs="Guttman Drogolin" w:hint="cs"/>
          <w:rtl/>
          <w:lang w:bidi="he-IL"/>
        </w:rPr>
        <w:t>כשה</w:t>
      </w:r>
      <w:r w:rsidR="004E7291" w:rsidRPr="00882F11">
        <w:rPr>
          <w:rFonts w:cs="Guttman Drogolin" w:hint="cs"/>
          <w:rtl/>
          <w:lang w:bidi="he-IL"/>
        </w:rPr>
        <w:t>תער</w:t>
      </w:r>
      <w:r w:rsidR="00792A71" w:rsidRPr="00882F11">
        <w:rPr>
          <w:rFonts w:cs="Guttman Drogolin" w:hint="cs"/>
          <w:rtl/>
          <w:lang w:bidi="he-IL"/>
        </w:rPr>
        <w:t>בו במין אחר, אבל מלח במלח או תבלין בתבלין אינו צריך אלא ששים.</w:t>
      </w:r>
      <w:r w:rsidR="002976D8" w:rsidRPr="00882F11">
        <w:rPr>
          <w:rFonts w:cs="Guttman Drogolin" w:hint="cs"/>
          <w:rtl/>
          <w:lang w:bidi="he-IL"/>
        </w:rPr>
        <w:t xml:space="preserve"> ורע"א הביא מפר"ח ומנח"י דסברי שגם בזה לא מהני ששים. והנה סברת הפר"ח ומנח"י לכאורה פשוטה, דכיון שהדין ששים במין במינו הוא אטו אינו מינו, הא באינו מינו לא הי' מספיק ששים, ולכן יש לאסור מין במינו אטו אינו מינו. ולכאורה עדיין צע"ק דהא גם באינו מינו יש איזה שיעור שלא יתן טעם, ומ"מ יהא הדין לשיטתם שתבלין בתבלין דינו במשהו. והביאור בזה לכאורה שאמנם כשהוא מעורב באינו מינו אפשר לברר אם יש נ"ט ע"י קפילא, אבל במין במינו שאין לנו ברירה זו, ולא מהני ששים, ואין לנו מידה אחרת, ע"כ הרי הוא אוסר במשהו. </w:t>
      </w:r>
    </w:p>
    <w:p w:rsidR="00171E04" w:rsidRPr="00882F11" w:rsidRDefault="002976D8" w:rsidP="00171E04">
      <w:pPr>
        <w:tabs>
          <w:tab w:val="right" w:pos="7497"/>
        </w:tabs>
        <w:bidi/>
        <w:jc w:val="both"/>
        <w:rPr>
          <w:rFonts w:cs="Guttman Drogolin"/>
          <w:rtl/>
          <w:lang w:bidi="he-IL"/>
        </w:rPr>
      </w:pPr>
      <w:r w:rsidRPr="00882F11">
        <w:rPr>
          <w:rFonts w:cs="Guttman Drogolin" w:hint="cs"/>
          <w:rtl/>
          <w:lang w:bidi="he-IL"/>
        </w:rPr>
        <w:t xml:space="preserve">ומאידך יל"ע מהו סברת הש"ך הא באמת מין במינו הוא אטו מין בשאינו מינו, וכיון שבשאינו מינו אוסר ביותר בששים למה במינו סגי בששים. ולכאורה י"ל שהשיעור של ששים אינו משום השערה בכל תבשיל ותבשיל אם הי' נותן טעם, רק כיון שבדרך כלל באינו מינו סגי בששים, תיקנו חוק קבוע במין במינו בששים אטו מינו, ולא מסתכלים על </w:t>
      </w:r>
      <w:r w:rsidR="00171E04" w:rsidRPr="00882F11">
        <w:rPr>
          <w:rFonts w:cs="Guttman Drogolin" w:hint="cs"/>
          <w:rtl/>
          <w:lang w:bidi="he-IL"/>
        </w:rPr>
        <w:t xml:space="preserve">כל מין ומין בפני עצמו. והי' עולה על הדעת לומר שאם כולם דברים דעבידי לטעמא אין האיסור יכול להטעים ביותר מששים, שרק בכה"ג שההיתר אינו נ"ט כ"כ אמרינן שיש כח </w:t>
      </w:r>
      <w:r w:rsidR="00171E04" w:rsidRPr="00882F11">
        <w:rPr>
          <w:rFonts w:cs="Guttman Drogolin" w:hint="cs"/>
          <w:rtl/>
          <w:lang w:bidi="he-IL"/>
        </w:rPr>
        <w:lastRenderedPageBreak/>
        <w:t>לדבר דעבידא לטעמא לאסור. אבל חזינן לדעתי' דש"ך דלא סבירא לי' הכי, דהא רק במלח במלח הקיל בששים ולא במלח בתבלין וכדומה. עוד אולי י"ל שאין אנחנו מסתכלין על הנאסר אילו הי' מין אחר, רק על האוסר, ואילו הי' האוסר מטעם אחר דלא עביד לטעמא לא הי' אוסר ביותר מששים.</w:t>
      </w:r>
    </w:p>
    <w:p w:rsidR="00171E04" w:rsidRPr="00882F11" w:rsidRDefault="00171E04" w:rsidP="00171E04">
      <w:pPr>
        <w:pStyle w:val="Heading1"/>
        <w:bidi/>
        <w:spacing w:before="0" w:line="360" w:lineRule="auto"/>
        <w:jc w:val="center"/>
        <w:rPr>
          <w:rFonts w:cs="Guttman Drogolin"/>
          <w:color w:val="auto"/>
          <w:sz w:val="24"/>
          <w:szCs w:val="24"/>
          <w:u w:val="single"/>
          <w:rtl/>
          <w:lang w:bidi="he-IL"/>
        </w:rPr>
      </w:pPr>
      <w:bookmarkStart w:id="315" w:name="_Toc496175566"/>
      <w:r w:rsidRPr="00882F11">
        <w:rPr>
          <w:rFonts w:cs="Guttman Drogolin" w:hint="cs"/>
          <w:color w:val="auto"/>
          <w:sz w:val="24"/>
          <w:szCs w:val="24"/>
          <w:u w:val="single"/>
          <w:rtl/>
          <w:lang w:bidi="he-IL"/>
        </w:rPr>
        <w:t>האם איסורים מבטלין זא"ז</w:t>
      </w:r>
      <w:bookmarkEnd w:id="315"/>
    </w:p>
    <w:p w:rsidR="00251F2E" w:rsidRPr="00882F11" w:rsidRDefault="0008714A" w:rsidP="00251F2E">
      <w:pPr>
        <w:tabs>
          <w:tab w:val="right" w:pos="7497"/>
        </w:tabs>
        <w:bidi/>
        <w:jc w:val="both"/>
        <w:rPr>
          <w:rFonts w:cs="Guttman Drogolin"/>
          <w:rtl/>
          <w:lang w:bidi="he-IL"/>
        </w:rPr>
      </w:pPr>
      <w:r>
        <w:rPr>
          <w:rFonts w:cs="Guttman Drogolin"/>
          <w:rtl/>
          <w:lang w:bidi="he-IL"/>
        </w:rPr>
        <w:fldChar w:fldCharType="begin"/>
      </w:r>
      <w:r>
        <w:instrText xml:space="preserve"> XE "</w:instrText>
      </w:r>
      <w:r w:rsidRPr="00E4516C">
        <w:rPr>
          <w:rFonts w:hint="cs"/>
          <w:rtl/>
          <w:lang w:bidi="he-IL"/>
        </w:rPr>
        <w:instrText>איסורים מבטלים זה את זה</w:instrText>
      </w:r>
      <w:r w:rsidRPr="00E4516C">
        <w:rPr>
          <w:rtl/>
        </w:rPr>
        <w:instrText>:</w:instrText>
      </w:r>
      <w:r w:rsidRPr="00E4516C">
        <w:rPr>
          <w:rFonts w:hint="cs"/>
          <w:rtl/>
          <w:lang w:bidi="he-IL"/>
        </w:rPr>
        <w:instrText>הסוגיא</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FB33E1">
        <w:rPr>
          <w:rFonts w:hint="cs"/>
          <w:rtl/>
          <w:lang w:bidi="he-IL"/>
        </w:rPr>
        <w:instrText>ביטול ברוב</w:instrText>
      </w:r>
      <w:r w:rsidRPr="00FB33E1">
        <w:rPr>
          <w:rtl/>
        </w:rPr>
        <w:instrText>:</w:instrText>
      </w:r>
      <w:r w:rsidRPr="00FB33E1">
        <w:rPr>
          <w:rFonts w:hint="cs"/>
          <w:rtl/>
          <w:lang w:bidi="he-IL"/>
        </w:rPr>
        <w:instrText>אם איסורים מבטלים זה את זה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706E90">
        <w:rPr>
          <w:rFonts w:hint="cs"/>
          <w:rtl/>
          <w:lang w:bidi="he-IL"/>
        </w:rPr>
        <w:instrText>שיעור ששים</w:instrText>
      </w:r>
      <w:r w:rsidRPr="00706E90">
        <w:rPr>
          <w:rtl/>
        </w:rPr>
        <w:instrText>:</w:instrText>
      </w:r>
      <w:r w:rsidRPr="00706E90">
        <w:rPr>
          <w:rFonts w:hint="cs"/>
          <w:rtl/>
          <w:lang w:bidi="he-IL"/>
        </w:rPr>
        <w:instrText>אם איסורים מבטלים זה את זה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CD6134">
        <w:rPr>
          <w:rFonts w:hint="cs"/>
          <w:rtl/>
          <w:lang w:bidi="he-IL"/>
        </w:rPr>
        <w:instrText>טעם כעיקר</w:instrText>
      </w:r>
      <w:r w:rsidRPr="00CD6134">
        <w:rPr>
          <w:rtl/>
        </w:rPr>
        <w:instrText>:</w:instrText>
      </w:r>
      <w:r w:rsidRPr="00CD6134">
        <w:rPr>
          <w:rFonts w:hint="cs"/>
          <w:rtl/>
          <w:lang w:bidi="he-IL"/>
        </w:rPr>
        <w:instrText>אם איסורים מבטלים זה את זה</w:instrText>
      </w:r>
      <w:r>
        <w:instrText xml:space="preserve">" </w:instrText>
      </w:r>
      <w:r>
        <w:rPr>
          <w:rFonts w:cs="Guttman Drogolin"/>
          <w:rtl/>
          <w:lang w:bidi="he-IL"/>
        </w:rPr>
        <w:fldChar w:fldCharType="end"/>
      </w:r>
      <w:r w:rsidR="00171E04" w:rsidRPr="00882F11">
        <w:rPr>
          <w:rFonts w:cs="Guttman Drogolin" w:hint="cs"/>
          <w:rtl/>
          <w:lang w:bidi="he-IL"/>
        </w:rPr>
        <w:t xml:space="preserve">בגמ' שבמס' זבחים דף </w:t>
      </w:r>
      <w:r w:rsidR="008F0D91" w:rsidRPr="00882F11">
        <w:rPr>
          <w:rFonts w:cs="Guttman Drogolin" w:hint="cs"/>
          <w:rtl/>
          <w:lang w:bidi="he-IL"/>
        </w:rPr>
        <w:t>ע"ח ע"א</w:t>
      </w:r>
      <w:r w:rsidR="008F0D91" w:rsidRPr="00882F11">
        <w:rPr>
          <w:rFonts w:cs="Guttman Drogolin"/>
          <w:rtl/>
          <w:lang w:bidi="he-IL"/>
        </w:rPr>
        <w:t xml:space="preserve"> </w:t>
      </w:r>
      <w:r w:rsidR="008F0D91" w:rsidRPr="00882F11">
        <w:rPr>
          <w:rFonts w:cs="Guttman Drogolin" w:hint="cs"/>
          <w:rtl/>
          <w:lang w:bidi="he-IL"/>
        </w:rPr>
        <w:t>אמר</w:t>
      </w:r>
      <w:r w:rsidR="008F0D91" w:rsidRPr="00882F11">
        <w:rPr>
          <w:rFonts w:cs="Guttman Drogolin"/>
          <w:rtl/>
          <w:lang w:bidi="he-IL"/>
        </w:rPr>
        <w:t xml:space="preserve"> </w:t>
      </w:r>
      <w:r w:rsidR="008F0D91" w:rsidRPr="00882F11">
        <w:rPr>
          <w:rFonts w:cs="Guttman Drogolin" w:hint="cs"/>
          <w:rtl/>
          <w:lang w:bidi="he-IL"/>
        </w:rPr>
        <w:t>רשב</w:t>
      </w:r>
      <w:r w:rsidR="008F0D91" w:rsidRPr="00882F11">
        <w:rPr>
          <w:rFonts w:cs="Guttman Drogolin"/>
          <w:rtl/>
          <w:lang w:bidi="he-IL"/>
        </w:rPr>
        <w:t>"</w:t>
      </w:r>
      <w:r w:rsidR="008F0D91" w:rsidRPr="00882F11">
        <w:rPr>
          <w:rFonts w:cs="Guttman Drogolin" w:hint="cs"/>
          <w:rtl/>
          <w:lang w:bidi="he-IL"/>
        </w:rPr>
        <w:t>ל</w:t>
      </w:r>
      <w:r w:rsidR="008F0D91" w:rsidRPr="00882F11">
        <w:rPr>
          <w:rFonts w:cs="Guttman Drogolin"/>
          <w:rtl/>
          <w:lang w:bidi="he-IL"/>
        </w:rPr>
        <w:t xml:space="preserve"> </w:t>
      </w:r>
      <w:r w:rsidR="008F0D91" w:rsidRPr="00882F11">
        <w:rPr>
          <w:rFonts w:cs="Guttman Drogolin" w:hint="cs"/>
          <w:rtl/>
          <w:lang w:bidi="he-IL"/>
        </w:rPr>
        <w:t>הפיגול</w:t>
      </w:r>
      <w:r w:rsidR="008F0D91" w:rsidRPr="00882F11">
        <w:rPr>
          <w:rFonts w:cs="Guttman Drogolin"/>
          <w:rtl/>
          <w:lang w:bidi="he-IL"/>
        </w:rPr>
        <w:t xml:space="preserve"> </w:t>
      </w:r>
      <w:r w:rsidR="008F0D91" w:rsidRPr="00882F11">
        <w:rPr>
          <w:rFonts w:cs="Guttman Drogolin" w:hint="cs"/>
          <w:rtl/>
          <w:lang w:bidi="he-IL"/>
        </w:rPr>
        <w:t>והנותר</w:t>
      </w:r>
      <w:r w:rsidR="008F0D91" w:rsidRPr="00882F11">
        <w:rPr>
          <w:rFonts w:cs="Guttman Drogolin"/>
          <w:rtl/>
          <w:lang w:bidi="he-IL"/>
        </w:rPr>
        <w:t xml:space="preserve"> </w:t>
      </w:r>
      <w:r w:rsidR="008F0D91" w:rsidRPr="00882F11">
        <w:rPr>
          <w:rFonts w:cs="Guttman Drogolin" w:hint="cs"/>
          <w:rtl/>
          <w:lang w:bidi="he-IL"/>
        </w:rPr>
        <w:t>והטמא</w:t>
      </w:r>
      <w:r w:rsidR="008F0D91" w:rsidRPr="00882F11">
        <w:rPr>
          <w:rFonts w:cs="Guttman Drogolin"/>
          <w:rtl/>
          <w:lang w:bidi="he-IL"/>
        </w:rPr>
        <w:t xml:space="preserve"> </w:t>
      </w:r>
      <w:r w:rsidR="008F0D91" w:rsidRPr="00882F11">
        <w:rPr>
          <w:rFonts w:cs="Guttman Drogolin" w:hint="cs"/>
          <w:rtl/>
          <w:lang w:bidi="he-IL"/>
        </w:rPr>
        <w:t>שבללן</w:t>
      </w:r>
      <w:r w:rsidR="008F0D91" w:rsidRPr="00882F11">
        <w:rPr>
          <w:rFonts w:cs="Guttman Drogolin"/>
          <w:rtl/>
          <w:lang w:bidi="he-IL"/>
        </w:rPr>
        <w:t xml:space="preserve"> </w:t>
      </w:r>
      <w:r w:rsidR="008F0D91" w:rsidRPr="00882F11">
        <w:rPr>
          <w:rFonts w:cs="Guttman Drogolin" w:hint="cs"/>
          <w:rtl/>
          <w:lang w:bidi="he-IL"/>
        </w:rPr>
        <w:t>זה</w:t>
      </w:r>
      <w:r w:rsidR="008F0D91" w:rsidRPr="00882F11">
        <w:rPr>
          <w:rFonts w:cs="Guttman Drogolin"/>
          <w:rtl/>
          <w:lang w:bidi="he-IL"/>
        </w:rPr>
        <w:t xml:space="preserve"> </w:t>
      </w:r>
      <w:r w:rsidR="008F0D91" w:rsidRPr="00882F11">
        <w:rPr>
          <w:rFonts w:cs="Guttman Drogolin" w:hint="cs"/>
          <w:rtl/>
          <w:lang w:bidi="he-IL"/>
        </w:rPr>
        <w:t>בזה</w:t>
      </w:r>
      <w:r w:rsidR="008F0D91" w:rsidRPr="00882F11">
        <w:rPr>
          <w:rFonts w:cs="Guttman Drogolin"/>
          <w:rtl/>
          <w:lang w:bidi="he-IL"/>
        </w:rPr>
        <w:t xml:space="preserve"> </w:t>
      </w:r>
      <w:r w:rsidR="008F0D91" w:rsidRPr="00882F11">
        <w:rPr>
          <w:rFonts w:cs="Guttman Drogolin" w:hint="cs"/>
          <w:rtl/>
          <w:lang w:bidi="he-IL"/>
        </w:rPr>
        <w:t>ואכלן</w:t>
      </w:r>
      <w:r w:rsidR="008F0D91" w:rsidRPr="00882F11">
        <w:rPr>
          <w:rFonts w:cs="Guttman Drogolin"/>
          <w:rtl/>
          <w:lang w:bidi="he-IL"/>
        </w:rPr>
        <w:t xml:space="preserve"> </w:t>
      </w:r>
      <w:r w:rsidR="008F0D91" w:rsidRPr="00882F11">
        <w:rPr>
          <w:rFonts w:cs="Guttman Drogolin" w:hint="cs"/>
          <w:rtl/>
          <w:lang w:bidi="he-IL"/>
        </w:rPr>
        <w:t>פטור</w:t>
      </w:r>
      <w:r w:rsidR="008F0D91" w:rsidRPr="00882F11">
        <w:rPr>
          <w:rFonts w:cs="Guttman Drogolin"/>
          <w:rtl/>
          <w:lang w:bidi="he-IL"/>
        </w:rPr>
        <w:t xml:space="preserve"> </w:t>
      </w:r>
      <w:r w:rsidR="008F0D91" w:rsidRPr="00882F11">
        <w:rPr>
          <w:rFonts w:cs="Guttman Drogolin" w:hint="cs"/>
          <w:rtl/>
          <w:lang w:bidi="he-IL"/>
        </w:rPr>
        <w:t>אי</w:t>
      </w:r>
      <w:r w:rsidR="008F0D91" w:rsidRPr="00882F11">
        <w:rPr>
          <w:rFonts w:cs="Guttman Drogolin"/>
          <w:rtl/>
          <w:lang w:bidi="he-IL"/>
        </w:rPr>
        <w:t xml:space="preserve"> </w:t>
      </w:r>
      <w:r w:rsidR="008F0D91" w:rsidRPr="00882F11">
        <w:rPr>
          <w:rFonts w:cs="Guttman Drogolin" w:hint="cs"/>
          <w:rtl/>
          <w:lang w:bidi="he-IL"/>
        </w:rPr>
        <w:t>אפשר</w:t>
      </w:r>
      <w:r w:rsidR="008F0D91" w:rsidRPr="00882F11">
        <w:rPr>
          <w:rFonts w:cs="Guttman Drogolin"/>
          <w:rtl/>
          <w:lang w:bidi="he-IL"/>
        </w:rPr>
        <w:t xml:space="preserve"> </w:t>
      </w:r>
      <w:r w:rsidR="008F0D91" w:rsidRPr="00882F11">
        <w:rPr>
          <w:rFonts w:cs="Guttman Drogolin" w:hint="cs"/>
          <w:rtl/>
          <w:lang w:bidi="he-IL"/>
        </w:rPr>
        <w:t>שלא</w:t>
      </w:r>
      <w:r w:rsidR="008F0D91" w:rsidRPr="00882F11">
        <w:rPr>
          <w:rFonts w:cs="Guttman Drogolin"/>
          <w:rtl/>
          <w:lang w:bidi="he-IL"/>
        </w:rPr>
        <w:t xml:space="preserve"> </w:t>
      </w:r>
      <w:r w:rsidR="008F0D91" w:rsidRPr="00882F11">
        <w:rPr>
          <w:rFonts w:cs="Guttman Drogolin" w:hint="cs"/>
          <w:rtl/>
          <w:lang w:bidi="he-IL"/>
        </w:rPr>
        <w:t>ירבה</w:t>
      </w:r>
      <w:r w:rsidR="008F0D91" w:rsidRPr="00882F11">
        <w:rPr>
          <w:rFonts w:cs="Guttman Drogolin"/>
          <w:rtl/>
          <w:lang w:bidi="he-IL"/>
        </w:rPr>
        <w:t xml:space="preserve"> </w:t>
      </w:r>
      <w:r w:rsidR="008F0D91" w:rsidRPr="00882F11">
        <w:rPr>
          <w:rFonts w:cs="Guttman Drogolin" w:hint="cs"/>
          <w:rtl/>
          <w:lang w:bidi="he-IL"/>
        </w:rPr>
        <w:t>מין</w:t>
      </w:r>
      <w:r w:rsidR="008F0D91" w:rsidRPr="00882F11">
        <w:rPr>
          <w:rFonts w:cs="Guttman Drogolin"/>
          <w:rtl/>
          <w:lang w:bidi="he-IL"/>
        </w:rPr>
        <w:t xml:space="preserve"> </w:t>
      </w:r>
      <w:r w:rsidR="008F0D91" w:rsidRPr="00882F11">
        <w:rPr>
          <w:rFonts w:cs="Guttman Drogolin" w:hint="cs"/>
          <w:rtl/>
          <w:lang w:bidi="he-IL"/>
        </w:rPr>
        <w:t>על</w:t>
      </w:r>
      <w:r w:rsidR="008F0D91" w:rsidRPr="00882F11">
        <w:rPr>
          <w:rFonts w:cs="Guttman Drogolin"/>
          <w:rtl/>
          <w:lang w:bidi="he-IL"/>
        </w:rPr>
        <w:t xml:space="preserve"> </w:t>
      </w:r>
      <w:r w:rsidR="008F0D91" w:rsidRPr="00882F11">
        <w:rPr>
          <w:rFonts w:cs="Guttman Drogolin" w:hint="cs"/>
          <w:rtl/>
          <w:lang w:bidi="he-IL"/>
        </w:rPr>
        <w:t>חבירו</w:t>
      </w:r>
      <w:r w:rsidR="008F0D91" w:rsidRPr="00882F11">
        <w:rPr>
          <w:rFonts w:cs="Guttman Drogolin"/>
          <w:rtl/>
          <w:lang w:bidi="he-IL"/>
        </w:rPr>
        <w:t xml:space="preserve"> </w:t>
      </w:r>
      <w:r w:rsidR="008F0D91" w:rsidRPr="00882F11">
        <w:rPr>
          <w:rFonts w:cs="Guttman Drogolin" w:hint="cs"/>
          <w:rtl/>
          <w:lang w:bidi="he-IL"/>
        </w:rPr>
        <w:t>ויבטלנו</w:t>
      </w:r>
      <w:r w:rsidR="008F0D91" w:rsidRPr="00882F11">
        <w:rPr>
          <w:rFonts w:cs="Guttman Drogolin"/>
          <w:rtl/>
          <w:lang w:bidi="he-IL"/>
        </w:rPr>
        <w:t xml:space="preserve"> </w:t>
      </w:r>
      <w:r w:rsidR="008F0D91" w:rsidRPr="00882F11">
        <w:rPr>
          <w:rFonts w:cs="Guttman Drogolin" w:hint="cs"/>
          <w:rtl/>
          <w:lang w:bidi="he-IL"/>
        </w:rPr>
        <w:t>שמע</w:t>
      </w:r>
      <w:r w:rsidR="008F0D91" w:rsidRPr="00882F11">
        <w:rPr>
          <w:rFonts w:cs="Guttman Drogolin"/>
          <w:rtl/>
          <w:lang w:bidi="he-IL"/>
        </w:rPr>
        <w:t xml:space="preserve"> </w:t>
      </w:r>
      <w:r w:rsidR="008F0D91" w:rsidRPr="00882F11">
        <w:rPr>
          <w:rFonts w:cs="Guttman Drogolin" w:hint="cs"/>
          <w:rtl/>
          <w:lang w:bidi="he-IL"/>
        </w:rPr>
        <w:t>מינה</w:t>
      </w:r>
      <w:r w:rsidR="008F0D91" w:rsidRPr="00882F11">
        <w:rPr>
          <w:rFonts w:cs="Guttman Drogolin"/>
          <w:rtl/>
          <w:lang w:bidi="he-IL"/>
        </w:rPr>
        <w:t xml:space="preserve"> </w:t>
      </w:r>
      <w:r w:rsidR="008F0D91" w:rsidRPr="00882F11">
        <w:rPr>
          <w:rFonts w:cs="Guttman Drogolin" w:hint="cs"/>
          <w:rtl/>
          <w:lang w:bidi="he-IL"/>
        </w:rPr>
        <w:t>איסורין</w:t>
      </w:r>
      <w:r w:rsidR="008F0D91" w:rsidRPr="00882F11">
        <w:rPr>
          <w:rFonts w:cs="Guttman Drogolin"/>
          <w:rtl/>
          <w:lang w:bidi="he-IL"/>
        </w:rPr>
        <w:t xml:space="preserve"> </w:t>
      </w:r>
      <w:r w:rsidR="008F0D91" w:rsidRPr="00882F11">
        <w:rPr>
          <w:rFonts w:cs="Guttman Drogolin" w:hint="cs"/>
          <w:rtl/>
          <w:lang w:bidi="he-IL"/>
        </w:rPr>
        <w:t>מבטלים</w:t>
      </w:r>
      <w:r w:rsidR="008F0D91" w:rsidRPr="00882F11">
        <w:rPr>
          <w:rFonts w:cs="Guttman Drogolin"/>
          <w:rtl/>
          <w:lang w:bidi="he-IL"/>
        </w:rPr>
        <w:t xml:space="preserve"> </w:t>
      </w:r>
      <w:r w:rsidR="008F0D91" w:rsidRPr="00882F11">
        <w:rPr>
          <w:rFonts w:cs="Guttman Drogolin" w:hint="cs"/>
          <w:rtl/>
          <w:lang w:bidi="he-IL"/>
        </w:rPr>
        <w:t>זה</w:t>
      </w:r>
      <w:r w:rsidR="008F0D91" w:rsidRPr="00882F11">
        <w:rPr>
          <w:rFonts w:cs="Guttman Drogolin"/>
          <w:rtl/>
          <w:lang w:bidi="he-IL"/>
        </w:rPr>
        <w:t xml:space="preserve"> </w:t>
      </w:r>
      <w:r w:rsidR="008F0D91" w:rsidRPr="00882F11">
        <w:rPr>
          <w:rFonts w:cs="Guttman Drogolin" w:hint="cs"/>
          <w:rtl/>
          <w:lang w:bidi="he-IL"/>
        </w:rPr>
        <w:t>את</w:t>
      </w:r>
      <w:r w:rsidR="008F0D91" w:rsidRPr="00882F11">
        <w:rPr>
          <w:rFonts w:cs="Guttman Drogolin"/>
          <w:rtl/>
          <w:lang w:bidi="he-IL"/>
        </w:rPr>
        <w:t xml:space="preserve"> </w:t>
      </w:r>
      <w:r w:rsidR="008F0D91" w:rsidRPr="00882F11">
        <w:rPr>
          <w:rFonts w:cs="Guttman Drogolin" w:hint="cs"/>
          <w:rtl/>
          <w:lang w:bidi="he-IL"/>
        </w:rPr>
        <w:t>זה.</w:t>
      </w:r>
      <w:r w:rsidR="00251F2E" w:rsidRPr="00882F11">
        <w:rPr>
          <w:rFonts w:cs="Guttman Drogolin" w:hint="cs"/>
          <w:rtl/>
          <w:lang w:bidi="he-IL"/>
        </w:rPr>
        <w:t xml:space="preserve"> ושם בדף ע"ט ע"א שיטת ר"א שאין איסורים מבטלים זא"ז.</w:t>
      </w:r>
      <w:r w:rsidR="008F0D91" w:rsidRPr="00882F11">
        <w:rPr>
          <w:rFonts w:cs="Guttman Drogolin"/>
          <w:rtl/>
          <w:lang w:bidi="he-IL"/>
        </w:rPr>
        <w:t xml:space="preserve"> </w:t>
      </w:r>
      <w:r w:rsidR="00CD14B0" w:rsidRPr="00882F11">
        <w:rPr>
          <w:rFonts w:cs="Guttman Drogolin" w:hint="cs"/>
          <w:rtl/>
          <w:lang w:bidi="he-IL"/>
        </w:rPr>
        <w:t>ובשו"ת</w:t>
      </w:r>
      <w:r w:rsidR="008F0D91" w:rsidRPr="00882F11">
        <w:rPr>
          <w:rFonts w:cs="Guttman Drogolin"/>
          <w:rtl/>
          <w:lang w:bidi="he-IL"/>
        </w:rPr>
        <w:t xml:space="preserve"> </w:t>
      </w:r>
      <w:r w:rsidR="008F0D91" w:rsidRPr="00882F11">
        <w:rPr>
          <w:rFonts w:cs="Guttman Drogolin" w:hint="cs"/>
          <w:rtl/>
          <w:lang w:bidi="he-IL"/>
        </w:rPr>
        <w:t>הרא</w:t>
      </w:r>
      <w:r w:rsidR="008F0D91" w:rsidRPr="00882F11">
        <w:rPr>
          <w:rFonts w:cs="Guttman Drogolin"/>
          <w:rtl/>
          <w:lang w:bidi="he-IL"/>
        </w:rPr>
        <w:t>"</w:t>
      </w:r>
      <w:r w:rsidR="008F0D91" w:rsidRPr="00882F11">
        <w:rPr>
          <w:rFonts w:cs="Guttman Drogolin" w:hint="cs"/>
          <w:rtl/>
          <w:lang w:bidi="he-IL"/>
        </w:rPr>
        <w:t>ש</w:t>
      </w:r>
      <w:r w:rsidR="008F0D91" w:rsidRPr="00882F11">
        <w:rPr>
          <w:rFonts w:cs="Guttman Drogolin"/>
          <w:rtl/>
          <w:lang w:bidi="he-IL"/>
        </w:rPr>
        <w:t xml:space="preserve"> </w:t>
      </w:r>
      <w:r w:rsidR="008F0D91" w:rsidRPr="00882F11">
        <w:rPr>
          <w:rFonts w:cs="Guttman Drogolin" w:hint="cs"/>
          <w:rtl/>
          <w:lang w:bidi="he-IL"/>
        </w:rPr>
        <w:t>כלל</w:t>
      </w:r>
      <w:r w:rsidR="008F0D91" w:rsidRPr="00882F11">
        <w:rPr>
          <w:rFonts w:cs="Guttman Drogolin"/>
          <w:rtl/>
          <w:lang w:bidi="he-IL"/>
        </w:rPr>
        <w:t xml:space="preserve"> </w:t>
      </w:r>
      <w:r w:rsidR="008F0D91" w:rsidRPr="00882F11">
        <w:rPr>
          <w:rFonts w:cs="Guttman Drogolin" w:hint="cs"/>
          <w:rtl/>
          <w:lang w:bidi="he-IL"/>
        </w:rPr>
        <w:t>כ</w:t>
      </w:r>
      <w:r w:rsidR="008F0D91" w:rsidRPr="00882F11">
        <w:rPr>
          <w:rFonts w:cs="Guttman Drogolin"/>
          <w:rtl/>
          <w:lang w:bidi="he-IL"/>
        </w:rPr>
        <w:t xml:space="preserve">' </w:t>
      </w:r>
      <w:r w:rsidR="00CD14B0" w:rsidRPr="00882F11">
        <w:rPr>
          <w:rFonts w:cs="Guttman Drogolin" w:hint="cs"/>
          <w:rtl/>
          <w:lang w:bidi="he-IL"/>
        </w:rPr>
        <w:t>אות</w:t>
      </w:r>
      <w:r w:rsidR="008F0D91" w:rsidRPr="00882F11">
        <w:rPr>
          <w:rFonts w:cs="Guttman Drogolin"/>
          <w:rtl/>
          <w:lang w:bidi="he-IL"/>
        </w:rPr>
        <w:t xml:space="preserve"> </w:t>
      </w:r>
      <w:r w:rsidR="008F0D91" w:rsidRPr="00882F11">
        <w:rPr>
          <w:rFonts w:cs="Guttman Drogolin" w:hint="cs"/>
          <w:rtl/>
          <w:lang w:bidi="he-IL"/>
        </w:rPr>
        <w:t>ב</w:t>
      </w:r>
      <w:r w:rsidR="008F0D91" w:rsidRPr="00882F11">
        <w:rPr>
          <w:rFonts w:cs="Guttman Drogolin"/>
          <w:rtl/>
          <w:lang w:bidi="he-IL"/>
        </w:rPr>
        <w:t>'</w:t>
      </w:r>
      <w:r w:rsidR="00CD14B0" w:rsidRPr="00882F11">
        <w:rPr>
          <w:rFonts w:cs="Guttman Drogolin" w:hint="cs"/>
          <w:rtl/>
          <w:lang w:bidi="he-IL"/>
        </w:rPr>
        <w:t xml:space="preserve"> כתב</w:t>
      </w:r>
      <w:r w:rsidR="008F0D91" w:rsidRPr="00882F11">
        <w:rPr>
          <w:rFonts w:cs="Guttman Drogolin"/>
          <w:rtl/>
          <w:lang w:bidi="he-IL"/>
        </w:rPr>
        <w:t xml:space="preserve"> </w:t>
      </w:r>
      <w:r w:rsidR="008F0D91" w:rsidRPr="00882F11">
        <w:rPr>
          <w:rFonts w:cs="Guttman Drogolin" w:hint="cs"/>
          <w:rtl/>
          <w:lang w:bidi="he-IL"/>
        </w:rPr>
        <w:t>על</w:t>
      </w:r>
      <w:r w:rsidR="008F0D91" w:rsidRPr="00882F11">
        <w:rPr>
          <w:rFonts w:cs="Guttman Drogolin"/>
          <w:rtl/>
          <w:lang w:bidi="he-IL"/>
        </w:rPr>
        <w:t xml:space="preserve"> (</w:t>
      </w:r>
      <w:r w:rsidR="008F0D91" w:rsidRPr="00882F11">
        <w:rPr>
          <w:rFonts w:cs="Guttman Drogolin" w:hint="cs"/>
          <w:rtl/>
          <w:lang w:bidi="he-IL"/>
        </w:rPr>
        <w:t>שלשים</w:t>
      </w:r>
      <w:r w:rsidR="008F0D91" w:rsidRPr="00882F11">
        <w:rPr>
          <w:rFonts w:cs="Guttman Drogolin"/>
          <w:rtl/>
          <w:lang w:bidi="he-IL"/>
        </w:rPr>
        <w:t>) [</w:t>
      </w:r>
      <w:r w:rsidR="008F0D91" w:rsidRPr="00882F11">
        <w:rPr>
          <w:rFonts w:cs="Guttman Drogolin" w:hint="cs"/>
          <w:rtl/>
          <w:lang w:bidi="he-IL"/>
        </w:rPr>
        <w:t>עשרים</w:t>
      </w:r>
      <w:r w:rsidR="008F0D91" w:rsidRPr="00882F11">
        <w:rPr>
          <w:rFonts w:cs="Guttman Drogolin"/>
          <w:rtl/>
          <w:lang w:bidi="he-IL"/>
        </w:rPr>
        <w:t xml:space="preserve"> </w:t>
      </w:r>
      <w:r w:rsidR="008F0D91" w:rsidRPr="00882F11">
        <w:rPr>
          <w:rFonts w:cs="Guttman Drogolin" w:hint="cs"/>
          <w:rtl/>
          <w:lang w:bidi="he-IL"/>
        </w:rPr>
        <w:t>ותשעה</w:t>
      </w:r>
      <w:r w:rsidR="008F0D91" w:rsidRPr="00882F11">
        <w:rPr>
          <w:rFonts w:cs="Guttman Drogolin"/>
          <w:rtl/>
          <w:lang w:bidi="he-IL"/>
        </w:rPr>
        <w:t xml:space="preserve">] </w:t>
      </w:r>
      <w:r w:rsidR="008F0D91" w:rsidRPr="00882F11">
        <w:rPr>
          <w:rFonts w:cs="Guttman Drogolin" w:hint="cs"/>
          <w:rtl/>
          <w:lang w:bidi="he-IL"/>
        </w:rPr>
        <w:t>זיתים</w:t>
      </w:r>
      <w:r w:rsidR="008F0D91" w:rsidRPr="00882F11">
        <w:rPr>
          <w:rFonts w:cs="Guttman Drogolin"/>
          <w:rtl/>
          <w:lang w:bidi="he-IL"/>
        </w:rPr>
        <w:t xml:space="preserve"> </w:t>
      </w:r>
      <w:r w:rsidR="008F0D91" w:rsidRPr="00882F11">
        <w:rPr>
          <w:rFonts w:cs="Guttman Drogolin" w:hint="cs"/>
          <w:rtl/>
          <w:lang w:bidi="he-IL"/>
        </w:rPr>
        <w:t>של</w:t>
      </w:r>
      <w:r w:rsidR="008F0D91" w:rsidRPr="00882F11">
        <w:rPr>
          <w:rFonts w:cs="Guttman Drogolin"/>
          <w:rtl/>
          <w:lang w:bidi="he-IL"/>
        </w:rPr>
        <w:t xml:space="preserve"> </w:t>
      </w:r>
      <w:r w:rsidR="008F0D91" w:rsidRPr="00882F11">
        <w:rPr>
          <w:rFonts w:cs="Guttman Drogolin" w:hint="cs"/>
          <w:rtl/>
          <w:lang w:bidi="he-IL"/>
        </w:rPr>
        <w:t>היתר</w:t>
      </w:r>
      <w:r w:rsidR="008F0D91" w:rsidRPr="00882F11">
        <w:rPr>
          <w:rFonts w:cs="Guttman Drogolin"/>
          <w:rtl/>
          <w:lang w:bidi="he-IL"/>
        </w:rPr>
        <w:t xml:space="preserve"> </w:t>
      </w:r>
      <w:r w:rsidR="008F0D91" w:rsidRPr="00882F11">
        <w:rPr>
          <w:rFonts w:cs="Guttman Drogolin" w:hint="cs"/>
          <w:rtl/>
          <w:lang w:bidi="he-IL"/>
        </w:rPr>
        <w:t>שנפל</w:t>
      </w:r>
      <w:r w:rsidR="008F0D91" w:rsidRPr="00882F11">
        <w:rPr>
          <w:rFonts w:cs="Guttman Drogolin"/>
          <w:rtl/>
          <w:lang w:bidi="he-IL"/>
        </w:rPr>
        <w:t xml:space="preserve"> </w:t>
      </w:r>
      <w:r w:rsidR="008F0D91" w:rsidRPr="00882F11">
        <w:rPr>
          <w:rFonts w:cs="Guttman Drogolin" w:hint="cs"/>
          <w:rtl/>
          <w:lang w:bidi="he-IL"/>
        </w:rPr>
        <w:t>בהם</w:t>
      </w:r>
      <w:r w:rsidR="008F0D91" w:rsidRPr="00882F11">
        <w:rPr>
          <w:rFonts w:cs="Guttman Drogolin"/>
          <w:rtl/>
          <w:lang w:bidi="he-IL"/>
        </w:rPr>
        <w:t xml:space="preserve"> </w:t>
      </w:r>
      <w:r w:rsidR="008F0D91" w:rsidRPr="00882F11">
        <w:rPr>
          <w:rFonts w:cs="Guttman Drogolin" w:hint="cs"/>
          <w:rtl/>
          <w:lang w:bidi="he-IL"/>
        </w:rPr>
        <w:t>כזית</w:t>
      </w:r>
      <w:r w:rsidR="008F0D91" w:rsidRPr="00882F11">
        <w:rPr>
          <w:rFonts w:cs="Guttman Drogolin"/>
          <w:rtl/>
          <w:lang w:bidi="he-IL"/>
        </w:rPr>
        <w:t xml:space="preserve"> </w:t>
      </w:r>
      <w:r w:rsidR="008F0D91" w:rsidRPr="00882F11">
        <w:rPr>
          <w:rFonts w:cs="Guttman Drogolin" w:hint="cs"/>
          <w:rtl/>
          <w:lang w:bidi="he-IL"/>
        </w:rPr>
        <w:t>של</w:t>
      </w:r>
      <w:r w:rsidR="008F0D91" w:rsidRPr="00882F11">
        <w:rPr>
          <w:rFonts w:cs="Guttman Drogolin"/>
          <w:rtl/>
          <w:lang w:bidi="he-IL"/>
        </w:rPr>
        <w:t xml:space="preserve"> </w:t>
      </w:r>
      <w:r w:rsidR="008F0D91" w:rsidRPr="00882F11">
        <w:rPr>
          <w:rFonts w:cs="Guttman Drogolin" w:hint="cs"/>
          <w:rtl/>
          <w:lang w:bidi="he-IL"/>
        </w:rPr>
        <w:t>חלב</w:t>
      </w:r>
      <w:r w:rsidR="008F0D91" w:rsidRPr="00882F11">
        <w:rPr>
          <w:rFonts w:cs="Guttman Drogolin"/>
          <w:rtl/>
          <w:lang w:bidi="he-IL"/>
        </w:rPr>
        <w:t xml:space="preserve"> </w:t>
      </w:r>
      <w:r w:rsidR="008F0D91" w:rsidRPr="00882F11">
        <w:rPr>
          <w:rFonts w:cs="Guttman Drogolin" w:hint="cs"/>
          <w:rtl/>
          <w:lang w:bidi="he-IL"/>
        </w:rPr>
        <w:t>ובקדרה</w:t>
      </w:r>
      <w:r w:rsidR="008F0D91" w:rsidRPr="00882F11">
        <w:rPr>
          <w:rFonts w:cs="Guttman Drogolin"/>
          <w:rtl/>
          <w:lang w:bidi="he-IL"/>
        </w:rPr>
        <w:t xml:space="preserve"> </w:t>
      </w:r>
      <w:r w:rsidR="008F0D91" w:rsidRPr="00882F11">
        <w:rPr>
          <w:rFonts w:cs="Guttman Drogolin" w:hint="cs"/>
          <w:rtl/>
          <w:lang w:bidi="he-IL"/>
        </w:rPr>
        <w:t>אחרת</w:t>
      </w:r>
      <w:r w:rsidR="008F0D91" w:rsidRPr="00882F11">
        <w:rPr>
          <w:rFonts w:cs="Guttman Drogolin"/>
          <w:rtl/>
          <w:lang w:bidi="he-IL"/>
        </w:rPr>
        <w:t xml:space="preserve"> </w:t>
      </w:r>
      <w:r w:rsidR="008F0D91" w:rsidRPr="00882F11">
        <w:rPr>
          <w:rFonts w:cs="Guttman Drogolin" w:hint="cs"/>
          <w:rtl/>
          <w:lang w:bidi="he-IL"/>
        </w:rPr>
        <w:t>היו</w:t>
      </w:r>
      <w:r w:rsidR="008F0D91" w:rsidRPr="00882F11">
        <w:rPr>
          <w:rFonts w:cs="Guttman Drogolin"/>
          <w:rtl/>
          <w:lang w:bidi="he-IL"/>
        </w:rPr>
        <w:t xml:space="preserve"> </w:t>
      </w:r>
      <w:r w:rsidR="008F0D91" w:rsidRPr="00882F11">
        <w:rPr>
          <w:rFonts w:cs="Guttman Drogolin" w:hint="cs"/>
          <w:rtl/>
          <w:lang w:bidi="he-IL"/>
        </w:rPr>
        <w:t>שלשים</w:t>
      </w:r>
      <w:r w:rsidR="008F0D91" w:rsidRPr="00882F11">
        <w:rPr>
          <w:rFonts w:cs="Guttman Drogolin"/>
          <w:rtl/>
          <w:lang w:bidi="he-IL"/>
        </w:rPr>
        <w:t xml:space="preserve"> </w:t>
      </w:r>
      <w:r w:rsidR="008F0D91" w:rsidRPr="00882F11">
        <w:rPr>
          <w:rFonts w:cs="Guttman Drogolin" w:hint="cs"/>
          <w:rtl/>
          <w:lang w:bidi="he-IL"/>
        </w:rPr>
        <w:t>של</w:t>
      </w:r>
      <w:r w:rsidR="008F0D91" w:rsidRPr="00882F11">
        <w:rPr>
          <w:rFonts w:cs="Guttman Drogolin"/>
          <w:rtl/>
          <w:lang w:bidi="he-IL"/>
        </w:rPr>
        <w:t xml:space="preserve"> </w:t>
      </w:r>
      <w:r w:rsidR="008F0D91" w:rsidRPr="00882F11">
        <w:rPr>
          <w:rFonts w:cs="Guttman Drogolin" w:hint="cs"/>
          <w:rtl/>
          <w:lang w:bidi="he-IL"/>
        </w:rPr>
        <w:t>היתר</w:t>
      </w:r>
      <w:r w:rsidR="008F0D91" w:rsidRPr="00882F11">
        <w:rPr>
          <w:rFonts w:cs="Guttman Drogolin"/>
          <w:rtl/>
          <w:lang w:bidi="he-IL"/>
        </w:rPr>
        <w:t xml:space="preserve"> </w:t>
      </w:r>
      <w:r w:rsidR="008F0D91" w:rsidRPr="00882F11">
        <w:rPr>
          <w:rFonts w:cs="Guttman Drogolin" w:hint="cs"/>
          <w:rtl/>
          <w:lang w:bidi="he-IL"/>
        </w:rPr>
        <w:t>ונפל</w:t>
      </w:r>
      <w:r w:rsidR="008F0D91" w:rsidRPr="00882F11">
        <w:rPr>
          <w:rFonts w:cs="Guttman Drogolin"/>
          <w:rtl/>
          <w:lang w:bidi="he-IL"/>
        </w:rPr>
        <w:t xml:space="preserve"> </w:t>
      </w:r>
      <w:r w:rsidR="008F0D91" w:rsidRPr="00882F11">
        <w:rPr>
          <w:rFonts w:cs="Guttman Drogolin" w:hint="cs"/>
          <w:rtl/>
          <w:lang w:bidi="he-IL"/>
        </w:rPr>
        <w:t>לתוכן</w:t>
      </w:r>
      <w:r w:rsidR="008F0D91" w:rsidRPr="00882F11">
        <w:rPr>
          <w:rFonts w:cs="Guttman Drogolin"/>
          <w:rtl/>
          <w:lang w:bidi="he-IL"/>
        </w:rPr>
        <w:t xml:space="preserve"> </w:t>
      </w:r>
      <w:r w:rsidR="008F0D91" w:rsidRPr="00882F11">
        <w:rPr>
          <w:rFonts w:cs="Guttman Drogolin" w:hint="cs"/>
          <w:rtl/>
          <w:lang w:bidi="he-IL"/>
        </w:rPr>
        <w:t>זית</w:t>
      </w:r>
      <w:r w:rsidR="008F0D91" w:rsidRPr="00882F11">
        <w:rPr>
          <w:rFonts w:cs="Guttman Drogolin"/>
          <w:rtl/>
          <w:lang w:bidi="he-IL"/>
        </w:rPr>
        <w:t xml:space="preserve"> </w:t>
      </w:r>
      <w:r w:rsidR="008F0D91" w:rsidRPr="00882F11">
        <w:rPr>
          <w:rFonts w:cs="Guttman Drogolin" w:hint="cs"/>
          <w:rtl/>
          <w:lang w:bidi="he-IL"/>
        </w:rPr>
        <w:t>של</w:t>
      </w:r>
      <w:r w:rsidR="008F0D91" w:rsidRPr="00882F11">
        <w:rPr>
          <w:rFonts w:cs="Guttman Drogolin"/>
          <w:rtl/>
          <w:lang w:bidi="he-IL"/>
        </w:rPr>
        <w:t xml:space="preserve"> </w:t>
      </w:r>
      <w:r w:rsidR="008F0D91" w:rsidRPr="00882F11">
        <w:rPr>
          <w:rFonts w:cs="Guttman Drogolin" w:hint="cs"/>
          <w:rtl/>
          <w:lang w:bidi="he-IL"/>
        </w:rPr>
        <w:t>דם</w:t>
      </w:r>
      <w:r w:rsidR="008F0D91" w:rsidRPr="00882F11">
        <w:rPr>
          <w:rFonts w:cs="Guttman Drogolin"/>
          <w:rtl/>
          <w:lang w:bidi="he-IL"/>
        </w:rPr>
        <w:t xml:space="preserve"> </w:t>
      </w:r>
      <w:r w:rsidR="008F0D91" w:rsidRPr="00882F11">
        <w:rPr>
          <w:rFonts w:cs="Guttman Drogolin" w:hint="cs"/>
          <w:rtl/>
          <w:lang w:bidi="he-IL"/>
        </w:rPr>
        <w:t>ונתערבו</w:t>
      </w:r>
      <w:r w:rsidR="008F0D91" w:rsidRPr="00882F11">
        <w:rPr>
          <w:rFonts w:cs="Guttman Drogolin"/>
          <w:rtl/>
          <w:lang w:bidi="he-IL"/>
        </w:rPr>
        <w:t xml:space="preserve"> </w:t>
      </w:r>
      <w:r w:rsidR="008F0D91" w:rsidRPr="00882F11">
        <w:rPr>
          <w:rFonts w:cs="Guttman Drogolin" w:hint="cs"/>
          <w:rtl/>
          <w:lang w:bidi="he-IL"/>
        </w:rPr>
        <w:t>יחד</w:t>
      </w:r>
      <w:r w:rsidR="008F0D91" w:rsidRPr="00882F11">
        <w:rPr>
          <w:rFonts w:cs="Guttman Drogolin"/>
          <w:rtl/>
          <w:lang w:bidi="he-IL"/>
        </w:rPr>
        <w:t xml:space="preserve"> </w:t>
      </w:r>
      <w:r w:rsidR="008F0D91" w:rsidRPr="00882F11">
        <w:rPr>
          <w:rFonts w:cs="Guttman Drogolin" w:hint="cs"/>
          <w:rtl/>
          <w:lang w:bidi="he-IL"/>
        </w:rPr>
        <w:t>אלו</w:t>
      </w:r>
      <w:r w:rsidR="008F0D91" w:rsidRPr="00882F11">
        <w:rPr>
          <w:rFonts w:cs="Guttman Drogolin"/>
          <w:rtl/>
          <w:lang w:bidi="he-IL"/>
        </w:rPr>
        <w:t xml:space="preserve"> </w:t>
      </w:r>
      <w:r w:rsidR="008F0D91" w:rsidRPr="00882F11">
        <w:rPr>
          <w:rFonts w:cs="Guttman Drogolin" w:hint="cs"/>
          <w:rtl/>
          <w:lang w:bidi="he-IL"/>
        </w:rPr>
        <w:t>שתי</w:t>
      </w:r>
      <w:r w:rsidR="008F0D91" w:rsidRPr="00882F11">
        <w:rPr>
          <w:rFonts w:cs="Guttman Drogolin"/>
          <w:rtl/>
          <w:lang w:bidi="he-IL"/>
        </w:rPr>
        <w:t xml:space="preserve"> </w:t>
      </w:r>
      <w:r w:rsidR="008F0D91" w:rsidRPr="00882F11">
        <w:rPr>
          <w:rFonts w:cs="Guttman Drogolin" w:hint="cs"/>
          <w:rtl/>
          <w:lang w:bidi="he-IL"/>
        </w:rPr>
        <w:t>תערובות</w:t>
      </w:r>
      <w:r w:rsidR="008F0D91" w:rsidRPr="00882F11">
        <w:rPr>
          <w:rFonts w:cs="Guttman Drogolin"/>
          <w:rtl/>
          <w:lang w:bidi="he-IL"/>
        </w:rPr>
        <w:t xml:space="preserve"> </w:t>
      </w:r>
      <w:r w:rsidR="008F0D91" w:rsidRPr="00882F11">
        <w:rPr>
          <w:rFonts w:cs="Guttman Drogolin" w:hint="cs"/>
          <w:rtl/>
          <w:lang w:bidi="he-IL"/>
        </w:rPr>
        <w:t>וכתב</w:t>
      </w:r>
      <w:r w:rsidR="008F0D91" w:rsidRPr="00882F11">
        <w:rPr>
          <w:rFonts w:cs="Guttman Drogolin"/>
          <w:rtl/>
          <w:lang w:bidi="he-IL"/>
        </w:rPr>
        <w:t xml:space="preserve"> </w:t>
      </w:r>
      <w:r w:rsidR="008F0D91" w:rsidRPr="00882F11">
        <w:rPr>
          <w:rFonts w:cs="Guttman Drogolin" w:hint="cs"/>
          <w:rtl/>
          <w:lang w:bidi="he-IL"/>
        </w:rPr>
        <w:t>דסברא</w:t>
      </w:r>
      <w:r w:rsidR="008F0D91" w:rsidRPr="00882F11">
        <w:rPr>
          <w:rFonts w:cs="Guttman Drogolin"/>
          <w:rtl/>
          <w:lang w:bidi="he-IL"/>
        </w:rPr>
        <w:t xml:space="preserve"> </w:t>
      </w:r>
      <w:r w:rsidR="008F0D91" w:rsidRPr="00882F11">
        <w:rPr>
          <w:rFonts w:cs="Guttman Drogolin" w:hint="cs"/>
          <w:rtl/>
          <w:lang w:bidi="he-IL"/>
        </w:rPr>
        <w:t>הוא</w:t>
      </w:r>
      <w:r w:rsidR="008F0D91" w:rsidRPr="00882F11">
        <w:rPr>
          <w:rFonts w:cs="Guttman Drogolin"/>
          <w:rtl/>
          <w:lang w:bidi="he-IL"/>
        </w:rPr>
        <w:t xml:space="preserve"> </w:t>
      </w:r>
      <w:r w:rsidR="008F0D91" w:rsidRPr="00882F11">
        <w:rPr>
          <w:rFonts w:cs="Guttman Drogolin" w:hint="cs"/>
          <w:rtl/>
          <w:lang w:bidi="he-IL"/>
        </w:rPr>
        <w:t>דכל</w:t>
      </w:r>
      <w:r w:rsidR="008F0D91" w:rsidRPr="00882F11">
        <w:rPr>
          <w:rFonts w:cs="Guttman Drogolin"/>
          <w:rtl/>
          <w:lang w:bidi="he-IL"/>
        </w:rPr>
        <w:t xml:space="preserve"> </w:t>
      </w:r>
      <w:r w:rsidR="008F0D91" w:rsidRPr="00882F11">
        <w:rPr>
          <w:rFonts w:cs="Guttman Drogolin" w:hint="cs"/>
          <w:rtl/>
          <w:lang w:bidi="he-IL"/>
        </w:rPr>
        <w:t>איסור</w:t>
      </w:r>
      <w:r w:rsidR="008F0D91" w:rsidRPr="00882F11">
        <w:rPr>
          <w:rFonts w:cs="Guttman Drogolin"/>
          <w:rtl/>
          <w:lang w:bidi="he-IL"/>
        </w:rPr>
        <w:t xml:space="preserve"> </w:t>
      </w:r>
      <w:r w:rsidR="008F0D91" w:rsidRPr="00882F11">
        <w:rPr>
          <w:rFonts w:cs="Guttman Drogolin" w:hint="cs"/>
          <w:rtl/>
          <w:lang w:bidi="he-IL"/>
        </w:rPr>
        <w:t>בטל</w:t>
      </w:r>
      <w:r w:rsidR="008F0D91" w:rsidRPr="00882F11">
        <w:rPr>
          <w:rFonts w:cs="Guttman Drogolin"/>
          <w:rtl/>
          <w:lang w:bidi="he-IL"/>
        </w:rPr>
        <w:t xml:space="preserve"> </w:t>
      </w:r>
      <w:r w:rsidR="008F0D91" w:rsidRPr="00882F11">
        <w:rPr>
          <w:rFonts w:cs="Guttman Drogolin" w:hint="cs"/>
          <w:rtl/>
          <w:lang w:bidi="he-IL"/>
        </w:rPr>
        <w:t>כשאינו</w:t>
      </w:r>
      <w:r w:rsidR="008F0D91" w:rsidRPr="00882F11">
        <w:rPr>
          <w:rFonts w:cs="Guttman Drogolin"/>
          <w:rtl/>
          <w:lang w:bidi="he-IL"/>
        </w:rPr>
        <w:t xml:space="preserve"> </w:t>
      </w:r>
      <w:r w:rsidR="008F0D91" w:rsidRPr="00882F11">
        <w:rPr>
          <w:rFonts w:cs="Guttman Drogolin" w:hint="cs"/>
          <w:rtl/>
          <w:lang w:bidi="he-IL"/>
        </w:rPr>
        <w:t>יכול</w:t>
      </w:r>
      <w:r w:rsidR="008F0D91" w:rsidRPr="00882F11">
        <w:rPr>
          <w:rFonts w:cs="Guttman Drogolin"/>
          <w:rtl/>
          <w:lang w:bidi="he-IL"/>
        </w:rPr>
        <w:t xml:space="preserve"> </w:t>
      </w:r>
      <w:r w:rsidR="008F0D91" w:rsidRPr="00882F11">
        <w:rPr>
          <w:rFonts w:cs="Guttman Drogolin" w:hint="cs"/>
          <w:rtl/>
          <w:lang w:bidi="he-IL"/>
        </w:rPr>
        <w:t>ליתן</w:t>
      </w:r>
      <w:r w:rsidR="008F0D91" w:rsidRPr="00882F11">
        <w:rPr>
          <w:rFonts w:cs="Guttman Drogolin"/>
          <w:rtl/>
          <w:lang w:bidi="he-IL"/>
        </w:rPr>
        <w:t xml:space="preserve"> </w:t>
      </w:r>
      <w:r w:rsidR="008F0D91" w:rsidRPr="00882F11">
        <w:rPr>
          <w:rFonts w:cs="Guttman Drogolin" w:hint="cs"/>
          <w:rtl/>
          <w:lang w:bidi="he-IL"/>
        </w:rPr>
        <w:t>טעם</w:t>
      </w:r>
      <w:r w:rsidR="008F0D91" w:rsidRPr="00882F11">
        <w:rPr>
          <w:rFonts w:cs="Guttman Drogolin"/>
          <w:rtl/>
          <w:lang w:bidi="he-IL"/>
        </w:rPr>
        <w:t xml:space="preserve"> </w:t>
      </w:r>
      <w:r w:rsidR="008F0D91" w:rsidRPr="00882F11">
        <w:rPr>
          <w:rFonts w:cs="Guttman Drogolin" w:hint="cs"/>
          <w:rtl/>
          <w:lang w:bidi="he-IL"/>
        </w:rPr>
        <w:t>בהיתר</w:t>
      </w:r>
      <w:r w:rsidR="008F0D91" w:rsidRPr="00882F11">
        <w:rPr>
          <w:rFonts w:cs="Guttman Drogolin"/>
          <w:rtl/>
          <w:lang w:bidi="he-IL"/>
        </w:rPr>
        <w:t xml:space="preserve"> </w:t>
      </w:r>
      <w:r w:rsidR="008F0D91" w:rsidRPr="00882F11">
        <w:rPr>
          <w:rFonts w:cs="Guttman Drogolin" w:hint="cs"/>
          <w:rtl/>
          <w:lang w:bidi="he-IL"/>
        </w:rPr>
        <w:t>וטעם</w:t>
      </w:r>
      <w:r w:rsidR="008F0D91" w:rsidRPr="00882F11">
        <w:rPr>
          <w:rFonts w:cs="Guttman Drogolin"/>
          <w:rtl/>
          <w:lang w:bidi="he-IL"/>
        </w:rPr>
        <w:t xml:space="preserve"> </w:t>
      </w:r>
      <w:r w:rsidR="008F0D91" w:rsidRPr="00882F11">
        <w:rPr>
          <w:rFonts w:cs="Guttman Drogolin" w:hint="cs"/>
          <w:rtl/>
          <w:lang w:bidi="he-IL"/>
        </w:rPr>
        <w:t>דם</w:t>
      </w:r>
      <w:r w:rsidR="008F0D91" w:rsidRPr="00882F11">
        <w:rPr>
          <w:rFonts w:cs="Guttman Drogolin"/>
          <w:rtl/>
          <w:lang w:bidi="he-IL"/>
        </w:rPr>
        <w:t xml:space="preserve"> </w:t>
      </w:r>
      <w:r w:rsidR="008F0D91" w:rsidRPr="00882F11">
        <w:rPr>
          <w:rFonts w:cs="Guttman Drogolin" w:hint="cs"/>
          <w:rtl/>
          <w:lang w:bidi="he-IL"/>
        </w:rPr>
        <w:t>וחלב</w:t>
      </w:r>
      <w:r w:rsidR="008F0D91" w:rsidRPr="00882F11">
        <w:rPr>
          <w:rFonts w:cs="Guttman Drogolin"/>
          <w:rtl/>
          <w:lang w:bidi="he-IL"/>
        </w:rPr>
        <w:t xml:space="preserve"> </w:t>
      </w:r>
      <w:r w:rsidR="008F0D91" w:rsidRPr="00882F11">
        <w:rPr>
          <w:rFonts w:cs="Guttman Drogolin" w:hint="cs"/>
          <w:rtl/>
          <w:lang w:bidi="he-IL"/>
        </w:rPr>
        <w:t>אינו</w:t>
      </w:r>
      <w:r w:rsidR="008F0D91" w:rsidRPr="00882F11">
        <w:rPr>
          <w:rFonts w:cs="Guttman Drogolin"/>
          <w:rtl/>
          <w:lang w:bidi="he-IL"/>
        </w:rPr>
        <w:t xml:space="preserve"> </w:t>
      </w:r>
      <w:r w:rsidR="008F0D91" w:rsidRPr="00882F11">
        <w:rPr>
          <w:rFonts w:cs="Guttman Drogolin" w:hint="cs"/>
          <w:rtl/>
          <w:lang w:bidi="he-IL"/>
        </w:rPr>
        <w:t>שוה</w:t>
      </w:r>
      <w:r w:rsidR="008F0D91" w:rsidRPr="00882F11">
        <w:rPr>
          <w:rFonts w:cs="Guttman Drogolin"/>
          <w:rtl/>
          <w:lang w:bidi="he-IL"/>
        </w:rPr>
        <w:t xml:space="preserve"> </w:t>
      </w:r>
      <w:r w:rsidR="008F0D91" w:rsidRPr="00882F11">
        <w:rPr>
          <w:rFonts w:cs="Guttman Drogolin" w:hint="cs"/>
          <w:rtl/>
          <w:lang w:bidi="he-IL"/>
        </w:rPr>
        <w:t>הרי</w:t>
      </w:r>
      <w:r w:rsidR="008F0D91" w:rsidRPr="00882F11">
        <w:rPr>
          <w:rFonts w:cs="Guttman Drogolin"/>
          <w:rtl/>
          <w:lang w:bidi="he-IL"/>
        </w:rPr>
        <w:t xml:space="preserve"> </w:t>
      </w:r>
      <w:r w:rsidR="008F0D91" w:rsidRPr="00882F11">
        <w:rPr>
          <w:rFonts w:cs="Guttman Drogolin" w:hint="cs"/>
          <w:rtl/>
          <w:lang w:bidi="he-IL"/>
        </w:rPr>
        <w:t>נתבטל</w:t>
      </w:r>
      <w:r w:rsidR="008F0D91" w:rsidRPr="00882F11">
        <w:rPr>
          <w:rFonts w:cs="Guttman Drogolin"/>
          <w:rtl/>
          <w:lang w:bidi="he-IL"/>
        </w:rPr>
        <w:t xml:space="preserve"> </w:t>
      </w:r>
      <w:r w:rsidR="008F0D91" w:rsidRPr="00882F11">
        <w:rPr>
          <w:rFonts w:cs="Guttman Drogolin" w:hint="cs"/>
          <w:rtl/>
          <w:lang w:bidi="he-IL"/>
        </w:rPr>
        <w:t>טעם</w:t>
      </w:r>
      <w:r w:rsidR="008F0D91" w:rsidRPr="00882F11">
        <w:rPr>
          <w:rFonts w:cs="Guttman Drogolin"/>
          <w:rtl/>
          <w:lang w:bidi="he-IL"/>
        </w:rPr>
        <w:t xml:space="preserve"> </w:t>
      </w:r>
      <w:r w:rsidR="008F0D91" w:rsidRPr="00882F11">
        <w:rPr>
          <w:rFonts w:cs="Guttman Drogolin" w:hint="cs"/>
          <w:rtl/>
          <w:lang w:bidi="he-IL"/>
        </w:rPr>
        <w:t>החלב</w:t>
      </w:r>
      <w:r w:rsidR="008F0D91" w:rsidRPr="00882F11">
        <w:rPr>
          <w:rFonts w:cs="Guttman Drogolin"/>
          <w:rtl/>
          <w:lang w:bidi="he-IL"/>
        </w:rPr>
        <w:t xml:space="preserve"> </w:t>
      </w:r>
      <w:r w:rsidR="008F0D91" w:rsidRPr="00882F11">
        <w:rPr>
          <w:rFonts w:cs="Guttman Drogolin" w:hint="cs"/>
          <w:rtl/>
          <w:lang w:bidi="he-IL"/>
        </w:rPr>
        <w:t>בששים</w:t>
      </w:r>
      <w:r w:rsidR="008F0D91" w:rsidRPr="00882F11">
        <w:rPr>
          <w:rFonts w:cs="Guttman Drogolin"/>
          <w:rtl/>
          <w:lang w:bidi="he-IL"/>
        </w:rPr>
        <w:t xml:space="preserve"> </w:t>
      </w:r>
      <w:r w:rsidR="008F0D91" w:rsidRPr="00882F11">
        <w:rPr>
          <w:rFonts w:cs="Guttman Drogolin" w:hint="cs"/>
          <w:rtl/>
          <w:lang w:bidi="he-IL"/>
        </w:rPr>
        <w:t>וטעם</w:t>
      </w:r>
      <w:r w:rsidR="008F0D91" w:rsidRPr="00882F11">
        <w:rPr>
          <w:rFonts w:cs="Guttman Drogolin"/>
          <w:rtl/>
          <w:lang w:bidi="he-IL"/>
        </w:rPr>
        <w:t xml:space="preserve"> </w:t>
      </w:r>
      <w:r w:rsidR="008F0D91" w:rsidRPr="00882F11">
        <w:rPr>
          <w:rFonts w:cs="Guttman Drogolin" w:hint="cs"/>
          <w:rtl/>
          <w:lang w:bidi="he-IL"/>
        </w:rPr>
        <w:t>הדם</w:t>
      </w:r>
      <w:r w:rsidR="008F0D91" w:rsidRPr="00882F11">
        <w:rPr>
          <w:rFonts w:cs="Guttman Drogolin"/>
          <w:rtl/>
          <w:lang w:bidi="he-IL"/>
        </w:rPr>
        <w:t xml:space="preserve"> </w:t>
      </w:r>
      <w:r w:rsidR="008F0D91" w:rsidRPr="00882F11">
        <w:rPr>
          <w:rFonts w:cs="Guttman Drogolin" w:hint="cs"/>
          <w:rtl/>
          <w:lang w:bidi="he-IL"/>
        </w:rPr>
        <w:t>בששים</w:t>
      </w:r>
      <w:r w:rsidR="008F0D91" w:rsidRPr="00882F11">
        <w:rPr>
          <w:rFonts w:cs="Guttman Drogolin"/>
          <w:rtl/>
          <w:lang w:bidi="he-IL"/>
        </w:rPr>
        <w:t xml:space="preserve"> </w:t>
      </w:r>
      <w:r w:rsidR="008F0D91" w:rsidRPr="00882F11">
        <w:rPr>
          <w:rFonts w:cs="Guttman Drogolin" w:hint="cs"/>
          <w:rtl/>
          <w:lang w:bidi="he-IL"/>
        </w:rPr>
        <w:t>דמה</w:t>
      </w:r>
      <w:r w:rsidR="008F0D91" w:rsidRPr="00882F11">
        <w:rPr>
          <w:rFonts w:cs="Guttman Drogolin"/>
          <w:rtl/>
          <w:lang w:bidi="he-IL"/>
        </w:rPr>
        <w:t xml:space="preserve"> </w:t>
      </w:r>
      <w:r w:rsidR="008F0D91" w:rsidRPr="00882F11">
        <w:rPr>
          <w:rFonts w:cs="Guttman Drogolin" w:hint="cs"/>
          <w:rtl/>
          <w:lang w:bidi="he-IL"/>
        </w:rPr>
        <w:t>לי</w:t>
      </w:r>
      <w:r w:rsidR="008F0D91" w:rsidRPr="00882F11">
        <w:rPr>
          <w:rFonts w:cs="Guttman Drogolin"/>
          <w:rtl/>
          <w:lang w:bidi="he-IL"/>
        </w:rPr>
        <w:t xml:space="preserve"> </w:t>
      </w:r>
      <w:r w:rsidR="008F0D91" w:rsidRPr="00882F11">
        <w:rPr>
          <w:rFonts w:cs="Guttman Drogolin" w:hint="cs"/>
          <w:rtl/>
          <w:lang w:bidi="he-IL"/>
        </w:rPr>
        <w:t>איסור</w:t>
      </w:r>
      <w:r w:rsidR="008F0D91" w:rsidRPr="00882F11">
        <w:rPr>
          <w:rFonts w:cs="Guttman Drogolin"/>
          <w:rtl/>
          <w:lang w:bidi="he-IL"/>
        </w:rPr>
        <w:t xml:space="preserve"> </w:t>
      </w:r>
      <w:r w:rsidR="008F0D91" w:rsidRPr="00882F11">
        <w:rPr>
          <w:rFonts w:cs="Guttman Drogolin" w:hint="cs"/>
          <w:rtl/>
          <w:lang w:bidi="he-IL"/>
        </w:rPr>
        <w:t>המבטל</w:t>
      </w:r>
      <w:r w:rsidR="008F0D91" w:rsidRPr="00882F11">
        <w:rPr>
          <w:rFonts w:cs="Guttman Drogolin"/>
          <w:rtl/>
          <w:lang w:bidi="he-IL"/>
        </w:rPr>
        <w:t xml:space="preserve"> </w:t>
      </w:r>
      <w:r w:rsidR="008F0D91" w:rsidRPr="00882F11">
        <w:rPr>
          <w:rFonts w:cs="Guttman Drogolin" w:hint="cs"/>
          <w:rtl/>
          <w:lang w:bidi="he-IL"/>
        </w:rPr>
        <w:t>איסור</w:t>
      </w:r>
      <w:r w:rsidR="008F0D91" w:rsidRPr="00882F11">
        <w:rPr>
          <w:rFonts w:cs="Guttman Drogolin"/>
          <w:rtl/>
          <w:lang w:bidi="he-IL"/>
        </w:rPr>
        <w:t xml:space="preserve"> </w:t>
      </w:r>
      <w:r w:rsidR="008F0D91" w:rsidRPr="00882F11">
        <w:rPr>
          <w:rFonts w:cs="Guttman Drogolin" w:hint="cs"/>
          <w:rtl/>
          <w:lang w:bidi="he-IL"/>
        </w:rPr>
        <w:t>ומה</w:t>
      </w:r>
      <w:r w:rsidR="008F0D91" w:rsidRPr="00882F11">
        <w:rPr>
          <w:rFonts w:cs="Guttman Drogolin"/>
          <w:rtl/>
          <w:lang w:bidi="he-IL"/>
        </w:rPr>
        <w:t xml:space="preserve"> </w:t>
      </w:r>
      <w:r w:rsidR="008F0D91" w:rsidRPr="00882F11">
        <w:rPr>
          <w:rFonts w:cs="Guttman Drogolin" w:hint="cs"/>
          <w:rtl/>
          <w:lang w:bidi="he-IL"/>
        </w:rPr>
        <w:t>לי</w:t>
      </w:r>
      <w:r w:rsidR="008F0D91" w:rsidRPr="00882F11">
        <w:rPr>
          <w:rFonts w:cs="Guttman Drogolin"/>
          <w:rtl/>
          <w:lang w:bidi="he-IL"/>
        </w:rPr>
        <w:t xml:space="preserve"> </w:t>
      </w:r>
      <w:r w:rsidR="008F0D91" w:rsidRPr="00882F11">
        <w:rPr>
          <w:rFonts w:cs="Guttman Drogolin" w:hint="cs"/>
          <w:rtl/>
          <w:lang w:bidi="he-IL"/>
        </w:rPr>
        <w:t>היתר</w:t>
      </w:r>
      <w:r w:rsidR="008F0D91" w:rsidRPr="00882F11">
        <w:rPr>
          <w:rFonts w:cs="Guttman Drogolin"/>
          <w:rtl/>
          <w:lang w:bidi="he-IL"/>
        </w:rPr>
        <w:t xml:space="preserve"> </w:t>
      </w:r>
      <w:r w:rsidR="008F0D91" w:rsidRPr="00882F11">
        <w:rPr>
          <w:rFonts w:cs="Guttman Drogolin" w:hint="cs"/>
          <w:rtl/>
          <w:lang w:bidi="he-IL"/>
        </w:rPr>
        <w:t>המבטל</w:t>
      </w:r>
      <w:r w:rsidR="008F0D91" w:rsidRPr="00882F11">
        <w:rPr>
          <w:rFonts w:cs="Guttman Drogolin"/>
          <w:rtl/>
          <w:lang w:bidi="he-IL"/>
        </w:rPr>
        <w:t xml:space="preserve"> </w:t>
      </w:r>
      <w:r w:rsidR="008F0D91" w:rsidRPr="00882F11">
        <w:rPr>
          <w:rFonts w:cs="Guttman Drogolin" w:hint="cs"/>
          <w:rtl/>
          <w:lang w:bidi="he-IL"/>
        </w:rPr>
        <w:t>איסור</w:t>
      </w:r>
      <w:r w:rsidR="008F0D91" w:rsidRPr="00882F11">
        <w:rPr>
          <w:rFonts w:cs="Guttman Drogolin"/>
          <w:rtl/>
          <w:lang w:bidi="he-IL"/>
        </w:rPr>
        <w:t xml:space="preserve"> </w:t>
      </w:r>
      <w:r w:rsidR="008F0D91" w:rsidRPr="00882F11">
        <w:rPr>
          <w:rFonts w:cs="Guttman Drogolin" w:hint="cs"/>
          <w:rtl/>
          <w:lang w:bidi="he-IL"/>
        </w:rPr>
        <w:t>רק</w:t>
      </w:r>
      <w:r w:rsidR="008F0D91" w:rsidRPr="00882F11">
        <w:rPr>
          <w:rFonts w:cs="Guttman Drogolin"/>
          <w:rtl/>
          <w:lang w:bidi="he-IL"/>
        </w:rPr>
        <w:t xml:space="preserve"> </w:t>
      </w:r>
      <w:r w:rsidR="008F0D91" w:rsidRPr="00882F11">
        <w:rPr>
          <w:rFonts w:cs="Guttman Drogolin" w:hint="cs"/>
          <w:rtl/>
          <w:lang w:bidi="he-IL"/>
        </w:rPr>
        <w:t>שיתבטל</w:t>
      </w:r>
      <w:r w:rsidR="008F0D91" w:rsidRPr="00882F11">
        <w:rPr>
          <w:rFonts w:cs="Guttman Drogolin"/>
          <w:rtl/>
          <w:lang w:bidi="he-IL"/>
        </w:rPr>
        <w:t xml:space="preserve"> </w:t>
      </w:r>
      <w:r w:rsidR="008F0D91" w:rsidRPr="00882F11">
        <w:rPr>
          <w:rFonts w:cs="Guttman Drogolin" w:hint="cs"/>
          <w:rtl/>
          <w:lang w:bidi="he-IL"/>
        </w:rPr>
        <w:t>טעם</w:t>
      </w:r>
      <w:r w:rsidR="008F0D91" w:rsidRPr="00882F11">
        <w:rPr>
          <w:rFonts w:cs="Guttman Drogolin"/>
          <w:rtl/>
          <w:lang w:bidi="he-IL"/>
        </w:rPr>
        <w:t xml:space="preserve"> </w:t>
      </w:r>
      <w:r w:rsidR="008F0D91" w:rsidRPr="00882F11">
        <w:rPr>
          <w:rFonts w:cs="Guttman Drogolin" w:hint="cs"/>
          <w:rtl/>
          <w:lang w:bidi="he-IL"/>
        </w:rPr>
        <w:t>האיסור</w:t>
      </w:r>
      <w:r w:rsidR="008F0D91" w:rsidRPr="00882F11">
        <w:rPr>
          <w:rFonts w:cs="Guttman Drogolin"/>
          <w:rtl/>
          <w:lang w:bidi="he-IL"/>
        </w:rPr>
        <w:t xml:space="preserve"> </w:t>
      </w:r>
      <w:r w:rsidR="008F0D91" w:rsidRPr="00882F11">
        <w:rPr>
          <w:rFonts w:cs="Guttman Drogolin" w:hint="cs"/>
          <w:rtl/>
          <w:lang w:bidi="he-IL"/>
        </w:rPr>
        <w:t>ולא</w:t>
      </w:r>
      <w:r w:rsidR="008F0D91" w:rsidRPr="00882F11">
        <w:rPr>
          <w:rFonts w:cs="Guttman Drogolin"/>
          <w:rtl/>
          <w:lang w:bidi="he-IL"/>
        </w:rPr>
        <w:t xml:space="preserve"> </w:t>
      </w:r>
      <w:r w:rsidR="008F0D91" w:rsidRPr="00882F11">
        <w:rPr>
          <w:rFonts w:cs="Guttman Drogolin" w:hint="cs"/>
          <w:rtl/>
          <w:lang w:bidi="he-IL"/>
        </w:rPr>
        <w:t>יהא</w:t>
      </w:r>
      <w:r w:rsidR="008F0D91" w:rsidRPr="00882F11">
        <w:rPr>
          <w:rFonts w:cs="Guttman Drogolin"/>
          <w:rtl/>
          <w:lang w:bidi="he-IL"/>
        </w:rPr>
        <w:t xml:space="preserve"> </w:t>
      </w:r>
      <w:r w:rsidR="008F0D91" w:rsidRPr="00882F11">
        <w:rPr>
          <w:rFonts w:cs="Guttman Drogolin" w:hint="cs"/>
          <w:rtl/>
          <w:lang w:bidi="he-IL"/>
        </w:rPr>
        <w:t>לו</w:t>
      </w:r>
      <w:r w:rsidR="008F0D91" w:rsidRPr="00882F11">
        <w:rPr>
          <w:rFonts w:cs="Guttman Drogolin"/>
          <w:rtl/>
          <w:lang w:bidi="he-IL"/>
        </w:rPr>
        <w:t xml:space="preserve"> </w:t>
      </w:r>
      <w:r w:rsidR="008F0D91" w:rsidRPr="00882F11">
        <w:rPr>
          <w:rFonts w:cs="Guttman Drogolin" w:hint="cs"/>
          <w:rtl/>
          <w:lang w:bidi="he-IL"/>
        </w:rPr>
        <w:t>עוד</w:t>
      </w:r>
      <w:r w:rsidR="008F0D91" w:rsidRPr="00882F11">
        <w:rPr>
          <w:rFonts w:cs="Guttman Drogolin"/>
          <w:rtl/>
          <w:lang w:bidi="he-IL"/>
        </w:rPr>
        <w:t xml:space="preserve"> </w:t>
      </w:r>
      <w:r w:rsidR="008F0D91" w:rsidRPr="00882F11">
        <w:rPr>
          <w:rFonts w:cs="Guttman Drogolin" w:hint="cs"/>
          <w:rtl/>
          <w:lang w:bidi="he-IL"/>
        </w:rPr>
        <w:t>כח</w:t>
      </w:r>
      <w:r w:rsidR="008F0D91" w:rsidRPr="00882F11">
        <w:rPr>
          <w:rFonts w:cs="Guttman Drogolin"/>
          <w:rtl/>
          <w:lang w:bidi="he-IL"/>
        </w:rPr>
        <w:t xml:space="preserve"> </w:t>
      </w:r>
      <w:r w:rsidR="008F0D91" w:rsidRPr="00882F11">
        <w:rPr>
          <w:rFonts w:cs="Guttman Drogolin" w:hint="cs"/>
          <w:rtl/>
          <w:lang w:bidi="he-IL"/>
        </w:rPr>
        <w:t>ליתן</w:t>
      </w:r>
      <w:r w:rsidR="008F0D91" w:rsidRPr="00882F11">
        <w:rPr>
          <w:rFonts w:cs="Guttman Drogolin"/>
          <w:rtl/>
          <w:lang w:bidi="he-IL"/>
        </w:rPr>
        <w:t xml:space="preserve"> </w:t>
      </w:r>
      <w:r w:rsidR="008F0D91" w:rsidRPr="00882F11">
        <w:rPr>
          <w:rFonts w:cs="Guttman Drogolin" w:hint="cs"/>
          <w:rtl/>
          <w:lang w:bidi="he-IL"/>
        </w:rPr>
        <w:t>טעם</w:t>
      </w:r>
      <w:r w:rsidR="008F0D91" w:rsidRPr="00882F11">
        <w:rPr>
          <w:rFonts w:cs="Guttman Drogolin"/>
          <w:rtl/>
          <w:lang w:bidi="he-IL"/>
        </w:rPr>
        <w:t xml:space="preserve"> </w:t>
      </w:r>
      <w:r w:rsidR="008F0D91" w:rsidRPr="00882F11">
        <w:rPr>
          <w:rFonts w:cs="Guttman Drogolin" w:hint="cs"/>
          <w:rtl/>
          <w:lang w:bidi="he-IL"/>
        </w:rPr>
        <w:t>בהיתר</w:t>
      </w:r>
      <w:r w:rsidR="00CD14B0" w:rsidRPr="00882F11">
        <w:rPr>
          <w:rFonts w:cs="Guttman Drogolin" w:hint="cs"/>
          <w:rtl/>
          <w:lang w:bidi="he-IL"/>
        </w:rPr>
        <w:t>.</w:t>
      </w:r>
      <w:r w:rsidR="008F0D91" w:rsidRPr="00882F11">
        <w:rPr>
          <w:rFonts w:cs="Guttman Drogolin"/>
          <w:rtl/>
          <w:lang w:bidi="he-IL"/>
        </w:rPr>
        <w:t xml:space="preserve"> </w:t>
      </w:r>
      <w:r w:rsidR="00251F2E" w:rsidRPr="00882F11">
        <w:rPr>
          <w:rFonts w:cs="Guttman Drogolin" w:hint="cs"/>
          <w:rtl/>
          <w:lang w:bidi="he-IL"/>
        </w:rPr>
        <w:t xml:space="preserve">וכתב שהוא כל שכן מהא דזבחים שאיסורים מבטלים זא"ז. ואילו הרמב"ם פי"ח ה"ב פסק כר"א דסבר שאין איסורים מבטלים זא"ז. </w:t>
      </w:r>
    </w:p>
    <w:p w:rsidR="002C5713" w:rsidRPr="00882F11" w:rsidRDefault="00251F2E" w:rsidP="00251F2E">
      <w:pPr>
        <w:tabs>
          <w:tab w:val="right" w:pos="7497"/>
        </w:tabs>
        <w:bidi/>
        <w:jc w:val="both"/>
        <w:rPr>
          <w:rFonts w:cs="Guttman Drogolin"/>
          <w:rtl/>
          <w:lang w:bidi="he-IL"/>
        </w:rPr>
      </w:pPr>
      <w:r w:rsidRPr="00882F11">
        <w:rPr>
          <w:rFonts w:cs="Guttman Drogolin" w:hint="cs"/>
          <w:rtl/>
          <w:lang w:bidi="he-IL"/>
        </w:rPr>
        <w:t>והנה לכאורה יש כאן ב' נושאים שונים. א' מהם הוא דין דאחרי רבים להטות, שזהו הנידון של הגמ' במס' זבחים, ובזה נחלקו ר"ל ור"א אם הדין של ביטול ברוב נאמר אפילו כשאיסור מבטל איסור. והדין השני לכאורה דין אחר, והוא דקיי"ל דטעם כעיקר, ובזה לכאורה יהא הדין שאם אין האיסור נותן טעם</w:t>
      </w:r>
      <w:r w:rsidR="002976D8" w:rsidRPr="00882F11">
        <w:rPr>
          <w:rFonts w:cs="Guttman Drogolin" w:hint="cs"/>
          <w:rtl/>
          <w:lang w:bidi="he-IL"/>
        </w:rPr>
        <w:t xml:space="preserve"> </w:t>
      </w:r>
      <w:r w:rsidRPr="00882F11">
        <w:rPr>
          <w:rFonts w:cs="Guttman Drogolin" w:hint="cs"/>
          <w:rtl/>
          <w:lang w:bidi="he-IL"/>
        </w:rPr>
        <w:t>אינו אוסר, ולא איכפת לן מהו הטעם שאינו נותן טעם</w:t>
      </w:r>
      <w:r w:rsidR="002C5713" w:rsidRPr="00882F11">
        <w:rPr>
          <w:rFonts w:cs="Guttman Drogolin" w:hint="cs"/>
          <w:rtl/>
          <w:lang w:bidi="he-IL"/>
        </w:rPr>
        <w:t xml:space="preserve">. ולכן לכאורה אפילו לשיטת הרמב"ם שאין איסורים מבטלים זא"ז, הנ"מ בדין ארי רבים להטות, אבל בנידון של הרא"ש לכאורה גם הרמב"ם מודה, דהא ההיתר יבטל את ב' כזיתי האיסור מדין אחרי רבים להטות, ולענין טכ"ע ג"כ אינם אוסרים כיון שאין כאן טעם. ובדגמ"ר על אתר נקט אחרת וצ"ע בטעמו (אמנם יש משמעות בלשון שו"ת הרא"ש </w:t>
      </w:r>
      <w:r w:rsidR="002C5713" w:rsidRPr="00882F11">
        <w:rPr>
          <w:rFonts w:cs="Guttman Drogolin" w:hint="cs"/>
          <w:rtl/>
          <w:lang w:bidi="he-IL"/>
        </w:rPr>
        <w:lastRenderedPageBreak/>
        <w:t>כוותי' שהרי כתב שהדין בטכ"ע הוא כ"ש מדין ביטול ברוב, ולכאורה אין שייכות בבין הנושאים כלל וכמש"נ. וצ"ע).</w:t>
      </w:r>
    </w:p>
    <w:p w:rsidR="00F934C7" w:rsidRPr="00882F11" w:rsidRDefault="002C5713" w:rsidP="002C5713">
      <w:pPr>
        <w:tabs>
          <w:tab w:val="right" w:pos="7497"/>
        </w:tabs>
        <w:bidi/>
        <w:jc w:val="both"/>
        <w:rPr>
          <w:rFonts w:cs="Guttman Drogolin"/>
          <w:rtl/>
          <w:lang w:bidi="he-IL"/>
        </w:rPr>
      </w:pPr>
      <w:r w:rsidRPr="00882F11">
        <w:rPr>
          <w:rFonts w:cs="Guttman Drogolin" w:hint="cs"/>
          <w:rtl/>
          <w:lang w:bidi="he-IL"/>
        </w:rPr>
        <w:t>והפוסקים דנו</w:t>
      </w:r>
      <w:r w:rsidR="00DE1C65" w:rsidRPr="00882F11">
        <w:rPr>
          <w:rFonts w:cs="Guttman Drogolin" w:hint="cs"/>
          <w:rtl/>
          <w:lang w:bidi="he-IL"/>
        </w:rPr>
        <w:t xml:space="preserve"> בכמה נידונים שונים. חדא באיסורים שטעמם שונה אבל יש להם אותה שם איסור. </w:t>
      </w:r>
      <w:r w:rsidR="00E17311" w:rsidRPr="00882F11">
        <w:rPr>
          <w:rFonts w:cs="Guttman Drogolin" w:hint="cs"/>
          <w:rtl/>
          <w:lang w:bidi="he-IL"/>
        </w:rPr>
        <w:t xml:space="preserve">רע"א על אתר הביא מתבו"ש (סי' ל"ג ס"ק ה') שסבר דבכה"ג אין מבטלים זא"ז. ולכאורה צ"ע טעמא מאי, דהא נהי נמי דהוו אותו איסור, ופשוט שלענין דינא דאחרי רבים להטות אין איסורים מבטלים זא"ז, מ"מ סוף סוף ליכא טעם של איסור, דהא הטעם הראשון לא מורגש וכן הטעם השני לא מורגש, וא"כ למה יאסר. ולכאורה התשובה הפשוטה לזה, דנהי נמי שאין אף א' מן הטעמים השונים ניכרים לעצמו, אבל התערובת של הטעמים ביחד יהא מורגש, דהא כנגד שניהם ליכא ששים. </w:t>
      </w:r>
      <w:r w:rsidR="00F934C7" w:rsidRPr="00882F11">
        <w:rPr>
          <w:rFonts w:cs="Guttman Drogolin" w:hint="cs"/>
          <w:rtl/>
          <w:lang w:bidi="he-IL"/>
        </w:rPr>
        <w:t xml:space="preserve">ולכן כיון שיש לה שם א' ומצטרפין, הוו כחתיכה א' של איסור שטעמו כטעם המעורב משניהם ולכן מצטרפין לאסור. </w:t>
      </w:r>
    </w:p>
    <w:p w:rsidR="002B5144" w:rsidRPr="00882F11" w:rsidRDefault="00F934C7" w:rsidP="00F934C7">
      <w:pPr>
        <w:tabs>
          <w:tab w:val="right" w:pos="7497"/>
        </w:tabs>
        <w:bidi/>
        <w:jc w:val="both"/>
        <w:rPr>
          <w:rFonts w:cs="Guttman Drogolin"/>
          <w:rtl/>
          <w:lang w:bidi="he-IL"/>
        </w:rPr>
      </w:pPr>
      <w:r w:rsidRPr="00882F11">
        <w:rPr>
          <w:rFonts w:cs="Guttman Drogolin" w:hint="cs"/>
          <w:rtl/>
          <w:lang w:bidi="he-IL"/>
        </w:rPr>
        <w:t xml:space="preserve">עוד דנו באיסורים שטעמם שוה ומב' שמות. ולכאורה בזה הדבר תלוי, דהנה הפמ"ג הסתפק מה הדין </w:t>
      </w:r>
      <w:r w:rsidR="0025717D" w:rsidRPr="00882F11">
        <w:rPr>
          <w:rFonts w:cs="Guttman Drogolin" w:hint="cs"/>
          <w:rtl/>
          <w:lang w:bidi="he-IL"/>
        </w:rPr>
        <w:t>בכזית של איסור וכזית של היתר מאותו מין שהתערבו בנ"ט כזיתי היתר של אינו מינו, די"ל שבכה"ג כיון שהוא מכיר בטעמו של האיסור, אע"ג שהוא במקצת ע"י המינו דהיתירא, כיון שהוא גם ע"י המין איסור, ואין המין היתר מבטל המין איסור, הרי זה אסור מדאורייתא מדין טכ"ע. ור"ל שבזה וזה גורם וזה אינו יכול וזה אינו יכול אמרינן טכ"ע.</w:t>
      </w:r>
      <w:r w:rsidR="002B5144" w:rsidRPr="00882F11">
        <w:rPr>
          <w:rFonts w:cs="Guttman Drogolin" w:hint="cs"/>
          <w:rtl/>
          <w:lang w:bidi="he-IL"/>
        </w:rPr>
        <w:t xml:space="preserve"> ואם כדבריו הוראה זו מובן היטב, שאם אומרים כן בב' כזיתים שא' מהם היתר וא' מהם איסור, כ"ש כששניהם איסור אע"ג דהוו מב' שמות. אמנם לפי הצד של הפמ"ג דלא אמרינן טכ"ע בכה"ג, ומשום שלא אומרים טכ"ע אלא כשהאיסור</w:t>
      </w:r>
      <w:r w:rsidR="001A4CFC" w:rsidRPr="00882F11">
        <w:rPr>
          <w:rFonts w:cs="Guttman Drogolin" w:hint="cs"/>
          <w:rtl/>
          <w:lang w:bidi="he-IL"/>
        </w:rPr>
        <w:t xml:space="preserve"> </w:t>
      </w:r>
      <w:r w:rsidR="002B5144" w:rsidRPr="00882F11">
        <w:rPr>
          <w:rFonts w:cs="Guttman Drogolin" w:hint="cs"/>
          <w:rtl/>
          <w:lang w:bidi="he-IL"/>
        </w:rPr>
        <w:t xml:space="preserve">נותן טעם מכח עצמו, א"כ מאי אהני לן זה ששניהם נותנים אותו טעם, הא מ"מ יש כאן ב' איסורים שונים וליהוו ככזית א' של איסור וכזית א'' של היתר. ולכאורה מה שצריכים לומר הוא דאע"ג שאיסורים מבטלים זה את זה, הנ"מ לענין זה שאין עליהם שם נותר או שם פיגול וכדומה, אבל עדיין יש עליהם שם איסור (או מדאורייתא או מדרבנן). וא"כ יוצא שיש כאן ריוף </w:t>
      </w:r>
      <w:r w:rsidR="002B5144" w:rsidRPr="00882F11">
        <w:rPr>
          <w:rFonts w:cs="Guttman Drogolin" w:hint="cs"/>
          <w:rtl/>
          <w:lang w:bidi="he-IL"/>
        </w:rPr>
        <w:lastRenderedPageBreak/>
        <w:t>בין הכזיתים עכ"פ לענין איסור ולכן מצטרפין לאסור.</w:t>
      </w:r>
    </w:p>
    <w:p w:rsidR="00FE558C" w:rsidRPr="00882F11" w:rsidRDefault="002B5144" w:rsidP="005073FA">
      <w:pPr>
        <w:tabs>
          <w:tab w:val="right" w:pos="7497"/>
        </w:tabs>
        <w:bidi/>
        <w:jc w:val="both"/>
        <w:rPr>
          <w:rFonts w:cs="Guttman Drogolin"/>
          <w:rtl/>
          <w:lang w:bidi="he-IL"/>
        </w:rPr>
      </w:pPr>
      <w:r w:rsidRPr="00882F11">
        <w:rPr>
          <w:rFonts w:cs="Guttman Drogolin" w:hint="cs"/>
          <w:rtl/>
          <w:lang w:bidi="he-IL"/>
        </w:rPr>
        <w:t>עוד</w:t>
      </w:r>
      <w:r w:rsidR="00743652" w:rsidRPr="00882F11">
        <w:rPr>
          <w:rFonts w:cs="Guttman Drogolin" w:hint="cs"/>
          <w:rtl/>
          <w:lang w:bidi="he-IL"/>
        </w:rPr>
        <w:t xml:space="preserve"> הערה יש בסוגיא זו</w:t>
      </w:r>
      <w:r w:rsidR="001A4CFC" w:rsidRPr="00882F11">
        <w:rPr>
          <w:rFonts w:cs="Guttman Drogolin" w:hint="cs"/>
          <w:rtl/>
          <w:lang w:bidi="he-IL"/>
        </w:rPr>
        <w:t xml:space="preserve">, דהנה בדרכ"מ </w:t>
      </w:r>
      <w:r w:rsidR="005073FA" w:rsidRPr="00882F11">
        <w:rPr>
          <w:rFonts w:cs="Guttman Drogolin" w:hint="cs"/>
          <w:rtl/>
          <w:lang w:bidi="he-IL"/>
        </w:rPr>
        <w:t>הביא מאו"ה (כלל כ"ד אות י')</w:t>
      </w:r>
      <w:r w:rsidR="001A4CFC" w:rsidRPr="00882F11">
        <w:rPr>
          <w:rFonts w:cs="Guttman Drogolin" w:hint="cs"/>
          <w:rtl/>
          <w:lang w:bidi="he-IL"/>
        </w:rPr>
        <w:t xml:space="preserve"> שאם כזית בשר וכזית גבינה נפלו לנ"ט זיתים אחרים שמבטלים זא"ז</w:t>
      </w:r>
      <w:r w:rsidR="005073FA" w:rsidRPr="00882F11">
        <w:rPr>
          <w:rFonts w:cs="Guttman Drogolin" w:hint="cs"/>
          <w:rtl/>
          <w:lang w:bidi="he-IL"/>
        </w:rPr>
        <w:t xml:space="preserve"> ואינם אוסרים "הואיל</w:t>
      </w:r>
      <w:r w:rsidR="005073FA" w:rsidRPr="00882F11">
        <w:rPr>
          <w:rFonts w:cs="Guttman Drogolin"/>
          <w:rtl/>
          <w:lang w:bidi="he-IL"/>
        </w:rPr>
        <w:t xml:space="preserve"> </w:t>
      </w:r>
      <w:r w:rsidR="005073FA" w:rsidRPr="00882F11">
        <w:rPr>
          <w:rFonts w:cs="Guttman Drogolin" w:hint="cs"/>
          <w:rtl/>
          <w:lang w:bidi="he-IL"/>
        </w:rPr>
        <w:t>ולא</w:t>
      </w:r>
      <w:r w:rsidR="005073FA" w:rsidRPr="00882F11">
        <w:rPr>
          <w:rFonts w:cs="Guttman Drogolin"/>
          <w:rtl/>
          <w:lang w:bidi="he-IL"/>
        </w:rPr>
        <w:t xml:space="preserve"> </w:t>
      </w:r>
      <w:r w:rsidR="005073FA" w:rsidRPr="00882F11">
        <w:rPr>
          <w:rFonts w:cs="Guttman Drogolin" w:hint="cs"/>
          <w:rtl/>
          <w:lang w:bidi="he-IL"/>
        </w:rPr>
        <w:t>נתערבו</w:t>
      </w:r>
      <w:r w:rsidR="005073FA" w:rsidRPr="00882F11">
        <w:rPr>
          <w:rFonts w:cs="Guttman Drogolin"/>
          <w:rtl/>
          <w:lang w:bidi="he-IL"/>
        </w:rPr>
        <w:t xml:space="preserve"> </w:t>
      </w:r>
      <w:r w:rsidR="005073FA" w:rsidRPr="00882F11">
        <w:rPr>
          <w:rFonts w:cs="Guttman Drogolin" w:hint="cs"/>
          <w:rtl/>
          <w:lang w:bidi="he-IL"/>
        </w:rPr>
        <w:t>עד</w:t>
      </w:r>
      <w:r w:rsidR="005073FA" w:rsidRPr="00882F11">
        <w:rPr>
          <w:rFonts w:cs="Guttman Drogolin"/>
          <w:rtl/>
          <w:lang w:bidi="he-IL"/>
        </w:rPr>
        <w:t xml:space="preserve"> </w:t>
      </w:r>
      <w:r w:rsidR="005073FA" w:rsidRPr="00882F11">
        <w:rPr>
          <w:rFonts w:cs="Guttman Drogolin" w:hint="cs"/>
          <w:rtl/>
          <w:lang w:bidi="he-IL"/>
        </w:rPr>
        <w:t>שנפלו</w:t>
      </w:r>
      <w:r w:rsidR="005073FA" w:rsidRPr="00882F11">
        <w:rPr>
          <w:rFonts w:cs="Guttman Drogolin"/>
          <w:rtl/>
          <w:lang w:bidi="he-IL"/>
        </w:rPr>
        <w:t xml:space="preserve"> </w:t>
      </w:r>
      <w:r w:rsidR="005073FA" w:rsidRPr="00882F11">
        <w:rPr>
          <w:rFonts w:cs="Guttman Drogolin" w:hint="cs"/>
          <w:rtl/>
          <w:lang w:bidi="he-IL"/>
        </w:rPr>
        <w:t>לקדרה". ודקדקו האחרונים הנ"ל שדוקא לא נתערבו קודם שנפלו לקדרה, אבל נאסרו קודם זה מזה אינם מבטלים זה את זה, וראי' שב' איסורים משם א' אינם מבטלים זא"ז אע"פ שהם ב' טעמים. והחזו"א לא ניחא לי' בזה, דהא אינו מרגיש טעמם וכנ"ל, ולכן נקט שדוקא בבב"ח אמרו כן כיון שהטעם של שניהם ביחד הוא מהות האיסור, ולכן כיון שטועם טעם של שניהם יש לאסור. וכה"ג איתא בחי' רבינו חיים הלוי. ולכאורה דבר זה קשה להבין, חדא דא"כ הי' לנו לאסור גם כ</w:t>
      </w:r>
      <w:r w:rsidR="0022660D" w:rsidRPr="00882F11">
        <w:rPr>
          <w:rFonts w:cs="Guttman Drogolin" w:hint="cs"/>
          <w:rtl/>
          <w:lang w:bidi="he-IL"/>
        </w:rPr>
        <w:t>ש</w:t>
      </w:r>
      <w:r w:rsidR="005073FA" w:rsidRPr="00882F11">
        <w:rPr>
          <w:rFonts w:cs="Guttman Drogolin" w:hint="cs"/>
          <w:rtl/>
          <w:lang w:bidi="he-IL"/>
        </w:rPr>
        <w:t>הם מותרים.</w:t>
      </w:r>
      <w:r w:rsidR="0022660D" w:rsidRPr="00882F11">
        <w:rPr>
          <w:rFonts w:cs="Guttman Drogolin" w:hint="cs"/>
          <w:rtl/>
          <w:lang w:bidi="he-IL"/>
        </w:rPr>
        <w:t xml:space="preserve"> ואפילו את"ל שמאיזה טעם יש טכ"ע ע"י שניהם יחד אבל אי אפשר לייצר איסור הואיל ומבטלים זא"ז, מ"מ קשה שאם כבר נאסרו הא אין הטעם שטועם עכשיו של תערובת בבב"ח טעם האיסור בעצם, דנשיהם אסורים לא מטעם התערובת של עכשיו רק משום שנאסרו מקודם, רק במקרה הם נותנים טעם של בבב"ח עכשיו, וא"כ לכאורה אין לחלק בין זה לגבינה ובשר של היתר. </w:t>
      </w:r>
      <w:r w:rsidR="00A57785" w:rsidRPr="00882F11">
        <w:rPr>
          <w:rFonts w:cs="Guttman Drogolin" w:hint="cs"/>
          <w:rtl/>
          <w:lang w:bidi="he-IL"/>
        </w:rPr>
        <w:t>וראיתי במגי"ס בשמי הג"ר מרדכי זילברברג שליט"א והג"ר מאיר קויפמן שליט"א שהעירו עוד שהרי לכאורה יסודם של החזו"א והגר"ח הוא משום שהגדר של איסור בבב"ח הוא תערובת הטעמים, וזהו לכאורה כשיטת הרמב"ן דסבר שאין איסור בבב"ח אא"כ הבשר אוסר את החלב וגם החלב אוסר את הבשר, וא"כ הרי כזת החזו"א דלא קיי"ל כרבמ"ן רק כתוס'. וצ"ע.</w:t>
      </w:r>
      <w:r w:rsidR="005073FA" w:rsidRPr="00882F11">
        <w:rPr>
          <w:rFonts w:cs="Guttman Drogolin" w:hint="cs"/>
          <w:rtl/>
          <w:lang w:bidi="he-IL"/>
        </w:rPr>
        <w:t xml:space="preserve"> </w:t>
      </w:r>
      <w:r w:rsidR="005073FA" w:rsidRPr="00882F11">
        <w:rPr>
          <w:rFonts w:cs="Guttman Drogolin"/>
          <w:rtl/>
          <w:lang w:bidi="he-IL"/>
        </w:rPr>
        <w:t xml:space="preserve"> </w:t>
      </w:r>
      <w:r w:rsidR="001A4CFC" w:rsidRPr="00882F11">
        <w:rPr>
          <w:rFonts w:cs="Guttman Drogolin" w:hint="cs"/>
          <w:rtl/>
          <w:lang w:bidi="he-IL"/>
        </w:rPr>
        <w:t xml:space="preserve"> </w:t>
      </w:r>
      <w:r w:rsidR="00743652" w:rsidRPr="00882F11">
        <w:rPr>
          <w:rFonts w:cs="Guttman Drogolin" w:hint="cs"/>
          <w:rtl/>
          <w:lang w:bidi="he-IL"/>
        </w:rPr>
        <w:t xml:space="preserve"> </w:t>
      </w:r>
      <w:r w:rsidRPr="00882F11">
        <w:rPr>
          <w:rFonts w:cs="Guttman Drogolin" w:hint="cs"/>
          <w:rtl/>
          <w:lang w:bidi="he-IL"/>
        </w:rPr>
        <w:t xml:space="preserve">  </w:t>
      </w:r>
      <w:r w:rsidR="0025717D" w:rsidRPr="00882F11">
        <w:rPr>
          <w:rFonts w:cs="Guttman Drogolin" w:hint="cs"/>
          <w:rtl/>
          <w:lang w:bidi="he-IL"/>
        </w:rPr>
        <w:t xml:space="preserve"> </w:t>
      </w:r>
      <w:r w:rsidR="00F934C7" w:rsidRPr="00882F11">
        <w:rPr>
          <w:rFonts w:cs="Guttman Drogolin" w:hint="cs"/>
          <w:rtl/>
          <w:lang w:bidi="he-IL"/>
        </w:rPr>
        <w:t xml:space="preserve">  </w:t>
      </w:r>
    </w:p>
    <w:p w:rsidR="00FE558C" w:rsidRPr="00882F11" w:rsidRDefault="00FE558C" w:rsidP="00FE558C">
      <w:pPr>
        <w:tabs>
          <w:tab w:val="right" w:pos="7497"/>
        </w:tabs>
        <w:bidi/>
        <w:jc w:val="both"/>
        <w:rPr>
          <w:rFonts w:cs="Guttman Drogolin"/>
          <w:rtl/>
          <w:lang w:bidi="he-IL"/>
        </w:rPr>
        <w:sectPr w:rsidR="00FE558C" w:rsidRPr="00882F11" w:rsidSect="005229E6">
          <w:type w:val="continuous"/>
          <w:pgSz w:w="11907" w:h="16839" w:code="9"/>
          <w:pgMar w:top="1440" w:right="1440" w:bottom="1440" w:left="1440" w:header="720" w:footer="720" w:gutter="0"/>
          <w:cols w:num="2" w:space="720"/>
          <w:bidi/>
          <w:docGrid w:linePitch="360"/>
        </w:sectPr>
      </w:pPr>
    </w:p>
    <w:p w:rsidR="00FE558C" w:rsidRPr="00882F11" w:rsidRDefault="00FE558C" w:rsidP="00FE558C">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ע"ח</w:t>
      </w:r>
    </w:p>
    <w:p w:rsidR="005229E6" w:rsidRDefault="005229E6" w:rsidP="00FE558C">
      <w:pPr>
        <w:pStyle w:val="Heading1"/>
        <w:bidi/>
        <w:spacing w:before="0" w:line="360" w:lineRule="auto"/>
        <w:jc w:val="center"/>
        <w:rPr>
          <w:rFonts w:cs="Guttman Drogolin"/>
          <w:color w:val="auto"/>
          <w:sz w:val="24"/>
          <w:szCs w:val="24"/>
          <w:u w:val="single"/>
          <w:rtl/>
          <w:lang w:bidi="he-IL"/>
        </w:rPr>
        <w:sectPr w:rsidR="005229E6" w:rsidSect="005229E6">
          <w:headerReference w:type="default" r:id="rId61"/>
          <w:pgSz w:w="11907" w:h="16839" w:code="9"/>
          <w:pgMar w:top="1440" w:right="1440" w:bottom="1440" w:left="1440" w:header="720" w:footer="720" w:gutter="0"/>
          <w:cols w:space="720"/>
          <w:bidi/>
          <w:docGrid w:linePitch="360"/>
        </w:sectPr>
      </w:pPr>
    </w:p>
    <w:p w:rsidR="00FE558C" w:rsidRPr="00882F11" w:rsidRDefault="00FE558C" w:rsidP="00FE558C">
      <w:pPr>
        <w:pStyle w:val="Heading1"/>
        <w:bidi/>
        <w:spacing w:before="0" w:line="360" w:lineRule="auto"/>
        <w:jc w:val="center"/>
        <w:rPr>
          <w:rFonts w:cs="Guttman Drogolin"/>
          <w:color w:val="auto"/>
          <w:sz w:val="24"/>
          <w:szCs w:val="24"/>
          <w:u w:val="single"/>
          <w:rtl/>
          <w:lang w:bidi="he-IL"/>
        </w:rPr>
      </w:pPr>
      <w:bookmarkStart w:id="316" w:name="_Toc496175567"/>
      <w:r w:rsidRPr="00882F11">
        <w:rPr>
          <w:rFonts w:cs="Guttman Drogolin" w:hint="cs"/>
          <w:color w:val="auto"/>
          <w:sz w:val="24"/>
          <w:szCs w:val="24"/>
          <w:u w:val="single"/>
          <w:rtl/>
          <w:lang w:bidi="he-IL"/>
        </w:rPr>
        <w:lastRenderedPageBreak/>
        <w:t>בדין צירוף עצמות וקדירה</w:t>
      </w:r>
      <w:bookmarkEnd w:id="316"/>
    </w:p>
    <w:p w:rsidR="00135F2A" w:rsidRPr="00882F11" w:rsidRDefault="0008714A" w:rsidP="00FE558C">
      <w:pPr>
        <w:tabs>
          <w:tab w:val="right" w:pos="7497"/>
        </w:tabs>
        <w:bidi/>
        <w:jc w:val="both"/>
        <w:rPr>
          <w:rFonts w:cs="Guttman Drogolin"/>
          <w:rtl/>
          <w:lang w:bidi="he-IL"/>
        </w:rPr>
      </w:pPr>
      <w:r>
        <w:rPr>
          <w:rFonts w:cs="Guttman Drogolin"/>
          <w:rtl/>
          <w:lang w:bidi="he-IL"/>
        </w:rPr>
        <w:fldChar w:fldCharType="begin"/>
      </w:r>
      <w:r>
        <w:instrText xml:space="preserve"> XE "</w:instrText>
      </w:r>
      <w:r w:rsidRPr="008C0BE6">
        <w:rPr>
          <w:rFonts w:hint="cs"/>
          <w:rtl/>
          <w:lang w:bidi="he-IL"/>
        </w:rPr>
        <w:instrText>עצמות</w:instrText>
      </w:r>
      <w:r w:rsidRPr="008C0BE6">
        <w:rPr>
          <w:rtl/>
        </w:rPr>
        <w:instrText>:</w:instrText>
      </w:r>
      <w:r w:rsidRPr="008C0BE6">
        <w:rPr>
          <w:rFonts w:hint="cs"/>
          <w:rtl/>
          <w:lang w:bidi="he-IL"/>
        </w:rPr>
        <w:instrText>אם משערין בהו</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D356BE">
        <w:rPr>
          <w:rFonts w:hint="cs"/>
          <w:rtl/>
          <w:lang w:bidi="he-IL"/>
        </w:rPr>
        <w:instrText>שיעור ששים</w:instrText>
      </w:r>
      <w:r w:rsidRPr="00D356BE">
        <w:rPr>
          <w:rtl/>
        </w:rPr>
        <w:instrText>:</w:instrText>
      </w:r>
      <w:r w:rsidRPr="00D356BE">
        <w:rPr>
          <w:rFonts w:hint="cs"/>
          <w:rtl/>
          <w:lang w:bidi="he-IL"/>
        </w:rPr>
        <w:instrText>אם משערין בקדרה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A83593">
        <w:rPr>
          <w:rFonts w:hint="cs"/>
          <w:rtl/>
          <w:lang w:bidi="he-IL"/>
        </w:rPr>
        <w:instrText>שיעור ששים</w:instrText>
      </w:r>
      <w:r w:rsidRPr="00A83593">
        <w:rPr>
          <w:rtl/>
        </w:rPr>
        <w:instrText>:</w:instrText>
      </w:r>
      <w:r w:rsidRPr="00A83593">
        <w:rPr>
          <w:rFonts w:hint="cs"/>
          <w:rtl/>
          <w:lang w:bidi="he-IL"/>
        </w:rPr>
        <w:instrText>אם משערין בעצמות</w:instrText>
      </w:r>
      <w:r>
        <w:instrText xml:space="preserve">" </w:instrText>
      </w:r>
      <w:r>
        <w:rPr>
          <w:rFonts w:cs="Guttman Drogolin"/>
          <w:rtl/>
          <w:lang w:bidi="he-IL"/>
        </w:rPr>
        <w:fldChar w:fldCharType="end"/>
      </w:r>
      <w:r w:rsidR="00FE558C" w:rsidRPr="00882F11">
        <w:rPr>
          <w:rFonts w:cs="Guttman Drogolin" w:hint="cs"/>
          <w:rtl/>
          <w:lang w:bidi="he-IL"/>
        </w:rPr>
        <w:t>הגמ' שבדף צ"ח ע"ב</w:t>
      </w:r>
      <w:r w:rsidR="00944EFA" w:rsidRPr="00882F11">
        <w:rPr>
          <w:rStyle w:val="FootnoteReference"/>
          <w:rFonts w:cs="Guttman Drogolin"/>
          <w:rtl/>
          <w:lang w:bidi="he-IL"/>
        </w:rPr>
        <w:footnoteReference w:id="339"/>
      </w:r>
      <w:r w:rsidR="00FE558C" w:rsidRPr="00882F11">
        <w:rPr>
          <w:rFonts w:cs="Guttman Drogolin" w:hint="cs"/>
          <w:rtl/>
          <w:lang w:bidi="he-IL"/>
        </w:rPr>
        <w:t xml:space="preserve"> </w:t>
      </w:r>
      <w:r w:rsidR="009D7A4A" w:rsidRPr="00882F11">
        <w:rPr>
          <w:rFonts w:cs="Guttman Drogolin" w:hint="cs"/>
          <w:rtl/>
          <w:lang w:bidi="he-IL"/>
        </w:rPr>
        <w:t xml:space="preserve">מבואר שהמחלוקת בין המ"ד כל איסורים שבתורה בס' למ"ד כל איסורים שבתורה בק' תלוי בלימוד שמזרוע בשילה, שהמ"ד בק' סבר שמשערים בשר להדי בשר, והמ"ד בס' סבר בשר ועצמות בהדי בשר ועצמות משערינן. </w:t>
      </w:r>
      <w:r w:rsidR="00944EFA" w:rsidRPr="00882F11">
        <w:rPr>
          <w:rFonts w:cs="Guttman Drogolin" w:hint="cs"/>
          <w:rtl/>
          <w:lang w:bidi="he-IL"/>
        </w:rPr>
        <w:t>וכיון דקיי"ל שמשערים בס' לכאורה הדין הוא שעצמות של בשר דינם כבשר, ולכן עצמות של איסור מצטרפין לשיעור איסור וכן עצמות של היתר מצטרפין לשיעור היתר. באופן שזהו גופא המחלוקת שבין המ"ד בק' למ"ד ס', דלמ"ד בק' אין העצמות דינם כבשר. וע' בר"ן שביאר שבעצם נחלקו בתרתי, בעצמות</w:t>
      </w:r>
      <w:r w:rsidR="00135F2A" w:rsidRPr="00882F11">
        <w:rPr>
          <w:rFonts w:cs="Guttman Drogolin" w:hint="cs"/>
          <w:rtl/>
          <w:lang w:bidi="he-IL"/>
        </w:rPr>
        <w:t xml:space="preserve"> של איסור נחלקו בעצמות הרכות שיש בהם מוח אם נותנים טעם, שהמ"ד בק' סבר שאינם נ"ט, והמ"ד בס' סבר שנותנים טעם. ועוד נחלקו בעצמות הקשות האם מצטרפין להיתר. וע"ש שלפי זה הא דמבואר שאפילו קליפי איסור מעלין את האיסור אינו סותר לגמ' דילן, דלעולם גם עצמות של איסור מעלין את האיסור אם הם עצמות קשות, שהרי לא נחלקו אלא בעצמות הרכות.</w:t>
      </w:r>
    </w:p>
    <w:p w:rsidR="00091FDD" w:rsidRPr="00882F11" w:rsidRDefault="00135F2A" w:rsidP="00135F2A">
      <w:pPr>
        <w:tabs>
          <w:tab w:val="right" w:pos="7497"/>
        </w:tabs>
        <w:bidi/>
        <w:jc w:val="both"/>
        <w:rPr>
          <w:rFonts w:cs="Guttman Drogolin"/>
          <w:rtl/>
          <w:lang w:bidi="he-IL"/>
        </w:rPr>
      </w:pPr>
      <w:r w:rsidRPr="00882F11">
        <w:rPr>
          <w:rFonts w:cs="Guttman Drogolin" w:hint="cs"/>
          <w:rtl/>
          <w:lang w:bidi="he-IL"/>
        </w:rPr>
        <w:t xml:space="preserve">והנה </w:t>
      </w:r>
      <w:r w:rsidR="00A71173" w:rsidRPr="00882F11">
        <w:rPr>
          <w:rFonts w:cs="Guttman Drogolin" w:hint="cs"/>
          <w:rtl/>
          <w:lang w:bidi="he-IL"/>
        </w:rPr>
        <w:t xml:space="preserve">מזה </w:t>
      </w:r>
      <w:r w:rsidR="005B6BC9" w:rsidRPr="00882F11">
        <w:rPr>
          <w:rFonts w:cs="Guttman Drogolin" w:hint="cs"/>
          <w:rtl/>
          <w:lang w:bidi="he-IL"/>
        </w:rPr>
        <w:t xml:space="preserve">שמשערים כנגד עצמות הקשות </w:t>
      </w:r>
      <w:r w:rsidRPr="00882F11">
        <w:rPr>
          <w:rFonts w:cs="Guttman Drogolin" w:hint="cs"/>
          <w:rtl/>
          <w:lang w:bidi="he-IL"/>
        </w:rPr>
        <w:t xml:space="preserve">לכאורה מבואר </w:t>
      </w:r>
      <w:r w:rsidR="00A71173" w:rsidRPr="00882F11">
        <w:rPr>
          <w:rFonts w:cs="Guttman Drogolin" w:hint="cs"/>
          <w:rtl/>
          <w:lang w:bidi="he-IL"/>
        </w:rPr>
        <w:t>שהיסוד</w:t>
      </w:r>
      <w:r w:rsidR="005B6BC9" w:rsidRPr="00882F11">
        <w:rPr>
          <w:rFonts w:cs="Guttman Drogolin" w:hint="cs"/>
          <w:rtl/>
          <w:lang w:bidi="he-IL"/>
        </w:rPr>
        <w:t xml:space="preserve"> של הדין ששים הוא משום שהטעם של איסור מתפשט עד כדי כך שאין בה כדי להטעים את התבשיל. ולכאורה א"כ נשאלת השאלה דמאי שנא מקדרה שלכל היותר אינו אלא ספק אם משערים כנגד החרסית של הקדרה, וגם בזה י"א שאין אפילו צד כזה בגמ'. והתשובה לזה לכאורה כמו שמבואר בפר"ת שיש לחלק בין מה ששקוע בתוך התבשיל </w:t>
      </w:r>
      <w:r w:rsidR="0039038F" w:rsidRPr="00882F11">
        <w:rPr>
          <w:rFonts w:cs="Guttman Drogolin" w:hint="cs"/>
          <w:rtl/>
          <w:lang w:bidi="he-IL"/>
        </w:rPr>
        <w:t xml:space="preserve">למה שהתבשיל מונח בה, שמה שמונח בתוך התבשיל משפיע יותר. ולכן יוצא הדין לפי זה </w:t>
      </w:r>
      <w:r w:rsidR="00091FDD" w:rsidRPr="00882F11">
        <w:rPr>
          <w:rFonts w:cs="Guttman Drogolin" w:hint="cs"/>
          <w:rtl/>
          <w:lang w:bidi="he-IL"/>
        </w:rPr>
        <w:t>שאם מכניס כלי לתוך התבשיל גם הוא מצטרף לבטל את האיסור.</w:t>
      </w:r>
    </w:p>
    <w:p w:rsidR="005B04B5" w:rsidRPr="00882F11" w:rsidRDefault="00091FDD" w:rsidP="00361304">
      <w:pPr>
        <w:tabs>
          <w:tab w:val="right" w:pos="7497"/>
        </w:tabs>
        <w:bidi/>
        <w:jc w:val="both"/>
        <w:rPr>
          <w:rFonts w:cs="Guttman Drogolin"/>
          <w:rtl/>
          <w:lang w:bidi="he-IL"/>
        </w:rPr>
      </w:pPr>
      <w:r w:rsidRPr="00882F11">
        <w:rPr>
          <w:rFonts w:cs="Guttman Drogolin" w:hint="cs"/>
          <w:rtl/>
          <w:lang w:bidi="he-IL"/>
        </w:rPr>
        <w:t xml:space="preserve">וברא"ש כתב </w:t>
      </w:r>
      <w:r w:rsidR="00751836" w:rsidRPr="00882F11">
        <w:rPr>
          <w:rFonts w:cs="Guttman Drogolin" w:hint="cs"/>
          <w:rtl/>
          <w:lang w:bidi="he-IL"/>
        </w:rPr>
        <w:t xml:space="preserve">דאה"נ ואין עצמות של איסור מצטרפין לאיסור, אבל אין קושיא מן הגמ' דהא </w:t>
      </w:r>
      <w:r w:rsidR="00751836" w:rsidRPr="00882F11">
        <w:rPr>
          <w:rFonts w:cs="Guttman Drogolin" w:hint="cs"/>
          <w:rtl/>
          <w:lang w:bidi="he-IL"/>
        </w:rPr>
        <w:lastRenderedPageBreak/>
        <w:t>אינו לימוד גמור רק אסמכתא בעלמא דהא מין במינו הוא. ושם ברא"ש מבואר שיטה</w:t>
      </w:r>
      <w:r w:rsidR="00FC2035" w:rsidRPr="00882F11">
        <w:rPr>
          <w:rFonts w:cs="Guttman Drogolin" w:hint="cs"/>
          <w:rtl/>
          <w:lang w:bidi="he-IL"/>
        </w:rPr>
        <w:t xml:space="preserve"> שסוברת שאמנם מצרפים עצמות של היתר להיתר, ומשמע שאפילו עצמות קשות, אין מצרפים עצמות של איסור לא לאיסור ולא להיתר. וכבר העיר בחוו"ד כאן בקושי שיש בזה,</w:t>
      </w:r>
      <w:r w:rsidR="00751836" w:rsidRPr="00882F11">
        <w:rPr>
          <w:rFonts w:cs="Guttman Drogolin" w:hint="cs"/>
          <w:rtl/>
          <w:lang w:bidi="he-IL"/>
        </w:rPr>
        <w:t xml:space="preserve"> </w:t>
      </w:r>
      <w:r w:rsidR="00FC2035" w:rsidRPr="00882F11">
        <w:rPr>
          <w:rFonts w:cs="Guttman Drogolin" w:hint="cs"/>
          <w:rtl/>
          <w:lang w:bidi="he-IL"/>
        </w:rPr>
        <w:t>דממ"נ אם יש ממנו לחלוחית ומשו"ה מצטרף להיתר, למה עצמות של איסור מצטרפין לאיסור. ואם אין בה לחלוחית ומ"מ עצמות של היתר מצטרפין להיתר כיון שיש לאיסור מקום להתפשט, א"כ ליצטרפו גם עצמות של איסור לזה. וכתב החוו"ד ליישב שאמנם יש לעצמות של איסור טעם קלוש, אין טעם זה כח לאסור מדין טכ"ע</w:t>
      </w:r>
      <w:r w:rsidR="00361304" w:rsidRPr="00882F11">
        <w:rPr>
          <w:rFonts w:cs="Guttman Drogolin" w:hint="cs"/>
          <w:rtl/>
          <w:lang w:bidi="he-IL"/>
        </w:rPr>
        <w:t xml:space="preserve"> (וכמו שמצאנו בטור או"ח סי' תמ"ב בקיוהא)</w:t>
      </w:r>
      <w:r w:rsidR="00FC2035" w:rsidRPr="00882F11">
        <w:rPr>
          <w:rFonts w:cs="Guttman Drogolin" w:hint="cs"/>
          <w:rtl/>
          <w:lang w:bidi="he-IL"/>
        </w:rPr>
        <w:t>. ומ"מ הרי הוא מצטרף להתיר כיון שיוצא ממנו לחלוחית. אמנם הנ"מ בעצמות של היתר כיון שיש ללחלוחית שם היתר, אבל מעצמות של איסור אינו מצטרף להיתר כיון שאין ללחלוחית כח לבטל את הטעם, דאדרבה הרי הוא כמותו. ולכאורה אפשר להבין את דבריו אילו הי' הנידון בעצמות בלבד</w:t>
      </w:r>
      <w:r w:rsidR="005B04B5" w:rsidRPr="00882F11">
        <w:rPr>
          <w:rFonts w:cs="Guttman Drogolin" w:hint="cs"/>
          <w:rtl/>
          <w:lang w:bidi="he-IL"/>
        </w:rPr>
        <w:t xml:space="preserve">, אבל ברא"ש מבואר ששיטה זו שייכת גם לשארי הדברים שאינם נותנים טעם. ובדרך אמונה להל' תרומות </w:t>
      </w:r>
      <w:r w:rsidR="00361304" w:rsidRPr="00882F11">
        <w:rPr>
          <w:rFonts w:cs="Guttman Drogolin" w:hint="cs"/>
          <w:rtl/>
          <w:lang w:bidi="he-IL"/>
        </w:rPr>
        <w:t xml:space="preserve">(פי"ג) </w:t>
      </w:r>
      <w:r w:rsidR="005B04B5" w:rsidRPr="00882F11">
        <w:rPr>
          <w:rFonts w:cs="Guttman Drogolin" w:hint="cs"/>
          <w:rtl/>
          <w:lang w:bidi="he-IL"/>
        </w:rPr>
        <w:t>תי' דאע"ג שמדינא אפשר לצרף עצמות של איסור, מ"מ גזרו בזה כיון שנראה שאין מספיק היתר לבטל.</w:t>
      </w:r>
    </w:p>
    <w:p w:rsidR="00361304" w:rsidRPr="00882F11" w:rsidRDefault="00361304" w:rsidP="00361304">
      <w:pPr>
        <w:pStyle w:val="Heading1"/>
        <w:bidi/>
        <w:spacing w:before="0" w:line="360" w:lineRule="auto"/>
        <w:jc w:val="center"/>
        <w:rPr>
          <w:rFonts w:cs="Guttman Drogolin"/>
          <w:color w:val="auto"/>
          <w:sz w:val="24"/>
          <w:szCs w:val="24"/>
          <w:u w:val="single"/>
          <w:rtl/>
          <w:lang w:bidi="he-IL"/>
        </w:rPr>
      </w:pPr>
      <w:bookmarkStart w:id="317" w:name="_Toc496175568"/>
      <w:r w:rsidRPr="00882F11">
        <w:rPr>
          <w:rFonts w:cs="Guttman Drogolin" w:hint="cs"/>
          <w:color w:val="auto"/>
          <w:sz w:val="24"/>
          <w:szCs w:val="24"/>
          <w:u w:val="single"/>
          <w:rtl/>
          <w:lang w:bidi="he-IL"/>
        </w:rPr>
        <w:t>עצמות שנתבשלו עם איסור או עם היתר</w:t>
      </w:r>
      <w:bookmarkEnd w:id="317"/>
    </w:p>
    <w:p w:rsidR="00361304" w:rsidRPr="00882F11" w:rsidRDefault="0008714A" w:rsidP="007C3EC0">
      <w:pPr>
        <w:tabs>
          <w:tab w:val="right" w:pos="7497"/>
        </w:tabs>
        <w:bidi/>
        <w:jc w:val="both"/>
        <w:rPr>
          <w:rFonts w:cs="Guttman Drogolin"/>
          <w:rtl/>
          <w:lang w:bidi="he-IL"/>
        </w:rPr>
      </w:pPr>
      <w:r>
        <w:rPr>
          <w:rFonts w:cs="Guttman Drogolin"/>
          <w:rtl/>
          <w:lang w:bidi="he-IL"/>
        </w:rPr>
        <w:fldChar w:fldCharType="begin"/>
      </w:r>
      <w:r>
        <w:instrText xml:space="preserve"> XE "</w:instrText>
      </w:r>
      <w:r w:rsidRPr="009E3A93">
        <w:rPr>
          <w:rFonts w:hint="cs"/>
          <w:rtl/>
          <w:lang w:bidi="he-IL"/>
        </w:rPr>
        <w:instrText>עצמות</w:instrText>
      </w:r>
      <w:r w:rsidRPr="009E3A93">
        <w:rPr>
          <w:rtl/>
        </w:rPr>
        <w:instrText>:</w:instrText>
      </w:r>
      <w:r w:rsidRPr="009E3A93">
        <w:rPr>
          <w:rFonts w:hint="cs"/>
          <w:rtl/>
          <w:lang w:bidi="he-IL"/>
        </w:rPr>
        <w:instrText>שהתבשלו עם איסור או עם היתר</w:instrText>
      </w:r>
      <w:r>
        <w:instrText xml:space="preserve">" </w:instrText>
      </w:r>
      <w:r>
        <w:rPr>
          <w:rFonts w:cs="Guttman Drogolin"/>
          <w:rtl/>
          <w:lang w:bidi="he-IL"/>
        </w:rPr>
        <w:fldChar w:fldCharType="end"/>
      </w:r>
      <w:r w:rsidR="00361304" w:rsidRPr="00882F11">
        <w:rPr>
          <w:rFonts w:cs="Guttman Drogolin" w:hint="cs"/>
          <w:rtl/>
          <w:lang w:bidi="he-IL"/>
        </w:rPr>
        <w:t>כל הנ"ל מיירי קודם שנתבשל עם דברים אחרים</w:t>
      </w:r>
      <w:r w:rsidR="007C3EC0" w:rsidRPr="00882F11">
        <w:rPr>
          <w:rFonts w:cs="Guttman Drogolin" w:hint="cs"/>
          <w:rtl/>
          <w:lang w:bidi="he-IL"/>
        </w:rPr>
        <w:t xml:space="preserve">, אבל אם העצמות כבר נתבשלו עם איסור, כתב השו"ע בסע' ב' שבזה ודאי מצטרפין העצמות לשיעור האיסור. והטעם בזה פשוט, דהא בכה"ג צריכים לבטל הפליטת איסור שיוצא מן העצמות. ונראה להוסיף עוד דבר פשוט, והוא דאעפ"כ אם התבשל תבשיל של היתר בתוך קדירה, ולאחר מכן בישלו בה תבשיל של היתר ונפל שם חתיכת איסור, שעדיין אי אפשר לשער בקדירה עצמה. ולא מיבעי לביאורו של היד יהודה הנ"ל שודאי </w:t>
      </w:r>
      <w:r w:rsidR="007C3EC0" w:rsidRPr="00882F11">
        <w:rPr>
          <w:rFonts w:cs="Guttman Drogolin" w:hint="cs"/>
          <w:rtl/>
          <w:lang w:bidi="he-IL"/>
        </w:rPr>
        <w:lastRenderedPageBreak/>
        <w:t>הדין כן, דהא אין הקדירה מצטרף עם התבשיל כיון שאינו שקוע בתבשיל, אלא אפילו אם דלא כיד יהודה הא פשוט שאין משערים כנגד כל הקדירה לענין הבליעות אלא לחומרא ומשום דלא ידעינן כמה נפיק מיני', אבל לקולא פשוט שמאותו טעם אי אפשר לשער כנגד כל הכלי כיון דלא ידעינן כמה נפיק מיני'</w:t>
      </w:r>
      <w:r w:rsidR="00361304" w:rsidRPr="00882F11">
        <w:rPr>
          <w:rFonts w:cs="Guttman Drogolin" w:hint="cs"/>
          <w:rtl/>
          <w:lang w:bidi="he-IL"/>
        </w:rPr>
        <w:t xml:space="preserve"> </w:t>
      </w:r>
    </w:p>
    <w:p w:rsidR="00960330" w:rsidRPr="005229E6" w:rsidRDefault="00960330" w:rsidP="00960330">
      <w:pPr>
        <w:pStyle w:val="Heading1"/>
        <w:bidi/>
        <w:spacing w:before="0" w:line="360" w:lineRule="auto"/>
        <w:jc w:val="center"/>
        <w:rPr>
          <w:rFonts w:cs="Guttman Drogolin"/>
          <w:color w:val="auto"/>
          <w:sz w:val="18"/>
          <w:szCs w:val="18"/>
          <w:u w:val="single"/>
          <w:rtl/>
          <w:lang w:bidi="he-IL"/>
        </w:rPr>
      </w:pPr>
      <w:bookmarkStart w:id="318" w:name="_Toc496175569"/>
      <w:r w:rsidRPr="005229E6">
        <w:rPr>
          <w:rFonts w:cs="Guttman Drogolin" w:hint="cs"/>
          <w:color w:val="auto"/>
          <w:sz w:val="18"/>
          <w:szCs w:val="18"/>
          <w:u w:val="single"/>
          <w:rtl/>
          <w:lang w:bidi="he-IL"/>
        </w:rPr>
        <w:t>למה אין החפצא דאיסורא עצמה עולה לחשבון ששים</w:t>
      </w:r>
      <w:bookmarkEnd w:id="318"/>
    </w:p>
    <w:p w:rsidR="007C3EC0" w:rsidRPr="00882F11" w:rsidRDefault="0008714A" w:rsidP="007C3EC0">
      <w:pPr>
        <w:tabs>
          <w:tab w:val="right" w:pos="7497"/>
        </w:tabs>
        <w:bidi/>
        <w:jc w:val="both"/>
        <w:rPr>
          <w:rFonts w:cs="Guttman Drogolin"/>
          <w:rtl/>
          <w:lang w:bidi="he-IL"/>
        </w:rPr>
      </w:pPr>
      <w:r>
        <w:rPr>
          <w:rFonts w:cs="Guttman Drogolin"/>
          <w:rtl/>
          <w:lang w:bidi="he-IL"/>
        </w:rPr>
        <w:fldChar w:fldCharType="begin"/>
      </w:r>
      <w:r>
        <w:instrText xml:space="preserve"> XE "</w:instrText>
      </w:r>
      <w:r w:rsidRPr="00B77ED0">
        <w:rPr>
          <w:rFonts w:hint="cs"/>
          <w:rtl/>
          <w:lang w:bidi="he-IL"/>
        </w:rPr>
        <w:instrText>שיעור ששים</w:instrText>
      </w:r>
      <w:r w:rsidRPr="00B77ED0">
        <w:rPr>
          <w:rtl/>
        </w:rPr>
        <w:instrText>:</w:instrText>
      </w:r>
      <w:r w:rsidRPr="00B77ED0">
        <w:rPr>
          <w:rFonts w:hint="cs"/>
          <w:rtl/>
          <w:lang w:bidi="he-IL"/>
        </w:rPr>
        <w:instrText>אם החפצא דאיסורא עצמה עולה למנין ס'</w:instrText>
      </w:r>
      <w:r>
        <w:instrText xml:space="preserve">" </w:instrText>
      </w:r>
      <w:r>
        <w:rPr>
          <w:rFonts w:cs="Guttman Drogolin"/>
          <w:rtl/>
          <w:lang w:bidi="he-IL"/>
        </w:rPr>
        <w:fldChar w:fldCharType="end"/>
      </w:r>
      <w:r w:rsidR="00960330" w:rsidRPr="00882F11">
        <w:rPr>
          <w:rFonts w:cs="Guttman Drogolin" w:hint="cs"/>
          <w:rtl/>
          <w:lang w:bidi="he-IL"/>
        </w:rPr>
        <w:t xml:space="preserve">והנה בסוגיא דכחל </w:t>
      </w:r>
      <w:r w:rsidR="007C3EC0" w:rsidRPr="00882F11">
        <w:rPr>
          <w:rFonts w:cs="Guttman Drogolin" w:hint="cs"/>
          <w:rtl/>
          <w:lang w:bidi="he-IL"/>
        </w:rPr>
        <w:t xml:space="preserve">מבואר דאע"ג שיכול הוא לאסור תבשיל של בשר משום החלב שבו, מ"מ הכחל עצמו מן המנין. והיינו משום שהכחל אינו אסור מצד עצנמו רק משום החלב שבו. ולכן כתב המחבר בסע' ג' שאם יש חתיכה הבלוע באיסור שצריכים ששים כנגדו מ"מ החתיכה עצמה מן המנין כיון שלא נאס מצד עצמו. והנ"מ לשיטת המחבר וכשלא נאסר החתיכה משום בשר בחלב, אבל לרמ"א דאמרינן חענ"ן בשאר איסורים, כיון שהחתיכה עצמה אסורה אינו מן המנין. </w:t>
      </w:r>
    </w:p>
    <w:p w:rsidR="007C3EC0" w:rsidRPr="00882F11" w:rsidRDefault="007C3EC0" w:rsidP="007C3EC0">
      <w:pPr>
        <w:tabs>
          <w:tab w:val="right" w:pos="7497"/>
        </w:tabs>
        <w:bidi/>
        <w:jc w:val="both"/>
        <w:rPr>
          <w:rFonts w:cs="Guttman Drogolin"/>
          <w:rtl/>
          <w:lang w:bidi="he-IL"/>
        </w:rPr>
      </w:pPr>
      <w:r w:rsidRPr="00882F11">
        <w:rPr>
          <w:rFonts w:cs="Guttman Drogolin" w:hint="cs"/>
          <w:rtl/>
          <w:lang w:bidi="he-IL"/>
        </w:rPr>
        <w:t>והנה המש"ז בתחילת הסימן העיר בכל הדין הזה, שלכאורה אפילו בחתיכה של נבילה עצמה למה לא יהא החתיכה עצמה מן המנין של ששים, הא כיון דחזינן מהנ"ל בעצמות שהשיעור ששים מתיר כיון שיש מקום לטעם של איסור להתפשט, א"כ הרי יכול להתפשט בתוך החתיכה של איסור עצמה, דמאי שנא. ור"ל דאע"ג שהחתיכה ישאר באיסורו, דהא מה מתירו, מ"מ הטעם מתפשט בה כמו שמתפשט בשאר חלקי התבשיל ולכן למה לא יעלה למנין ס'. וע"ש מש"כ לתרץ בזה ומה שתמה עליו ביד יהודה.</w:t>
      </w:r>
    </w:p>
    <w:p w:rsidR="000012A7" w:rsidRPr="00882F11" w:rsidRDefault="007C3EC0" w:rsidP="005F0C18">
      <w:pPr>
        <w:tabs>
          <w:tab w:val="right" w:pos="7497"/>
        </w:tabs>
        <w:bidi/>
        <w:jc w:val="both"/>
        <w:rPr>
          <w:rFonts w:cs="Guttman Drogolin"/>
          <w:rtl/>
          <w:lang w:bidi="he-IL"/>
        </w:rPr>
      </w:pPr>
      <w:r w:rsidRPr="00882F11">
        <w:rPr>
          <w:rFonts w:cs="Guttman Drogolin" w:hint="cs"/>
          <w:rtl/>
          <w:lang w:bidi="he-IL"/>
        </w:rPr>
        <w:t>וה</w:t>
      </w:r>
      <w:r w:rsidR="00361304" w:rsidRPr="00882F11">
        <w:rPr>
          <w:rFonts w:cs="Guttman Drogolin" w:hint="cs"/>
          <w:rtl/>
          <w:lang w:bidi="he-IL"/>
        </w:rPr>
        <w:t xml:space="preserve">יד יהודה </w:t>
      </w:r>
      <w:r w:rsidRPr="00882F11">
        <w:rPr>
          <w:rFonts w:cs="Guttman Drogolin" w:hint="cs"/>
          <w:rtl/>
          <w:lang w:bidi="he-IL"/>
        </w:rPr>
        <w:t xml:space="preserve">כתב בזה </w:t>
      </w:r>
      <w:r w:rsidR="000012A7" w:rsidRPr="00882F11">
        <w:rPr>
          <w:rFonts w:cs="Guttman Drogolin" w:hint="cs"/>
          <w:rtl/>
          <w:lang w:bidi="he-IL"/>
        </w:rPr>
        <w:t xml:space="preserve">שגם חתיכת איסור באמתת מצטרף לשיעור ביטול, אבל השיעור </w:t>
      </w:r>
      <w:r w:rsidR="005F0C18" w:rsidRPr="00882F11">
        <w:rPr>
          <w:rFonts w:cs="Guttman Drogolin" w:hint="cs"/>
          <w:rtl/>
          <w:lang w:bidi="he-IL"/>
        </w:rPr>
        <w:t>ב</w:t>
      </w:r>
      <w:r w:rsidR="000012A7" w:rsidRPr="00882F11">
        <w:rPr>
          <w:rFonts w:cs="Guttman Drogolin" w:hint="cs"/>
          <w:rtl/>
          <w:lang w:bidi="he-IL"/>
        </w:rPr>
        <w:t>יטול האמיתי הוא ס"א, ולכן בס' והוא הרי הוא מותר אבל בפחת מזה לא. וראיתי במגי"ס שתמה עליו, דהא השיעור ששים נאמר גם בלח בלח, והרי בלח בלח לא יתכן שהאיסור יצטרף לשיעור ביטול, וא"כ היינו צריכים להחמיר בלח בלח להצריך ס"א. וע"ש שרצה לומר להיפך, שלעולם עיקר השיעור ביטול הוא בס', ובחתיכה</w:t>
      </w:r>
      <w:r w:rsidR="008B0600" w:rsidRPr="00882F11">
        <w:rPr>
          <w:rFonts w:cs="Guttman Drogolin" w:hint="cs"/>
          <w:rtl/>
          <w:lang w:bidi="he-IL"/>
        </w:rPr>
        <w:t xml:space="preserve"> אה"נ ומצטרף ה</w:t>
      </w:r>
      <w:r w:rsidR="000012A7" w:rsidRPr="00882F11">
        <w:rPr>
          <w:rFonts w:cs="Guttman Drogolin" w:hint="cs"/>
          <w:rtl/>
          <w:lang w:bidi="he-IL"/>
        </w:rPr>
        <w:t>ח</w:t>
      </w:r>
      <w:r w:rsidR="008B0600" w:rsidRPr="00882F11">
        <w:rPr>
          <w:rFonts w:cs="Guttman Drogolin" w:hint="cs"/>
          <w:rtl/>
          <w:lang w:bidi="he-IL"/>
        </w:rPr>
        <w:t>ת</w:t>
      </w:r>
      <w:r w:rsidR="000012A7" w:rsidRPr="00882F11">
        <w:rPr>
          <w:rFonts w:cs="Guttman Drogolin" w:hint="cs"/>
          <w:rtl/>
          <w:lang w:bidi="he-IL"/>
        </w:rPr>
        <w:t xml:space="preserve">יכה לשיעור ס', ומ"מ חכתים השוו מידותיהם </w:t>
      </w:r>
      <w:r w:rsidR="000012A7" w:rsidRPr="00882F11">
        <w:rPr>
          <w:rFonts w:cs="Guttman Drogolin" w:hint="cs"/>
          <w:rtl/>
          <w:lang w:bidi="he-IL"/>
        </w:rPr>
        <w:lastRenderedPageBreak/>
        <w:t>שבכל דבר צריכים שיעור ששים של היתר, כיון שבלח בלח כן צריכים מדינא.רק בחתיכה שהיא בעצם חתיכה של היתר אע"ג שהוא בלוע איסור, כיון שאינו עצמו איסור ואינו דומה לאיסור לח שהצטרף עם היתר לח, הקילו לצרף גם החתיכה.</w:t>
      </w:r>
    </w:p>
    <w:p w:rsidR="00960330" w:rsidRPr="00882F11" w:rsidRDefault="000012A7" w:rsidP="00E72226">
      <w:pPr>
        <w:tabs>
          <w:tab w:val="right" w:pos="7497"/>
        </w:tabs>
        <w:bidi/>
        <w:jc w:val="both"/>
        <w:rPr>
          <w:rFonts w:cs="Guttman Drogolin"/>
          <w:rtl/>
          <w:lang w:bidi="he-IL"/>
        </w:rPr>
      </w:pPr>
      <w:r w:rsidRPr="00882F11">
        <w:rPr>
          <w:rFonts w:cs="Guttman Drogolin" w:hint="cs"/>
          <w:rtl/>
          <w:lang w:bidi="he-IL"/>
        </w:rPr>
        <w:t xml:space="preserve">ואני אסיים </w:t>
      </w:r>
      <w:r w:rsidR="00E72226" w:rsidRPr="00882F11">
        <w:rPr>
          <w:rFonts w:cs="Guttman Drogolin" w:hint="cs"/>
          <w:rtl/>
          <w:lang w:bidi="he-IL"/>
        </w:rPr>
        <w:t>ב</w:t>
      </w:r>
      <w:r w:rsidRPr="00882F11">
        <w:rPr>
          <w:rFonts w:cs="Guttman Drogolin" w:hint="cs"/>
          <w:rtl/>
          <w:lang w:bidi="he-IL"/>
        </w:rPr>
        <w:t>מה שהוסיף להעיר שם, ד</w:t>
      </w:r>
      <w:r w:rsidR="00E72226" w:rsidRPr="00882F11">
        <w:rPr>
          <w:rFonts w:cs="Guttman Drogolin" w:hint="cs"/>
          <w:rtl/>
          <w:lang w:bidi="he-IL"/>
        </w:rPr>
        <w:t>לכאורה ב</w:t>
      </w:r>
      <w:r w:rsidR="00361304" w:rsidRPr="00882F11">
        <w:rPr>
          <w:rFonts w:cs="Guttman Drogolin" w:hint="cs"/>
          <w:rtl/>
          <w:lang w:bidi="he-IL"/>
        </w:rPr>
        <w:t xml:space="preserve">כף שבלע איסור </w:t>
      </w:r>
      <w:r w:rsidR="00E72226" w:rsidRPr="00882F11">
        <w:rPr>
          <w:rFonts w:cs="Guttman Drogolin" w:hint="cs"/>
          <w:rtl/>
          <w:lang w:bidi="he-IL"/>
        </w:rPr>
        <w:t>יצטרף הכף לשיעור ס', דלא גרע מחתיכה. ואע"ג שאין לכף פליטה מעצמו, מ"מ הרי קיי"ל שעצמות של היתר מצטרפין לשיעור היתר, וכן הדגשנו לעיל מיד יהודה דאע"ג שאין משערים כנגד הקדירה, היינו משום שהוא מבחוץ, אבל הכניס כף בפנים הרי הוא מצטרף כמו עצמות. ואע"ג שאין מצרפים אלא חתיכה של היתר, הא לא אמרינן חענ"ן בגוף הכלי אלא בכלי חרס וכשיטת הראב"ד.</w:t>
      </w:r>
      <w:r w:rsidR="00361304" w:rsidRPr="00882F11">
        <w:rPr>
          <w:rFonts w:cs="Guttman Drogolin" w:hint="cs"/>
          <w:rtl/>
          <w:lang w:bidi="he-IL"/>
        </w:rPr>
        <w:t xml:space="preserve"> </w:t>
      </w:r>
      <w:r w:rsidR="00E72226" w:rsidRPr="00882F11">
        <w:rPr>
          <w:rFonts w:cs="Guttman Drogolin" w:hint="cs"/>
          <w:rtl/>
          <w:lang w:bidi="he-IL"/>
        </w:rPr>
        <w:t>וא"כ יוצא שכל מה שכתבו הפוסקים לעיל בסי' צ"ד שמשערים כף שבלע איסור בששים כוונתם שגם הכף מן המנין וצע"ק שהפוסקים הקדמונים לא העירו בזה.</w:t>
      </w:r>
    </w:p>
    <w:p w:rsidR="00361304" w:rsidRPr="00882F11" w:rsidRDefault="00361304" w:rsidP="00361304">
      <w:pPr>
        <w:pStyle w:val="Heading1"/>
        <w:bidi/>
        <w:spacing w:before="0" w:line="360" w:lineRule="auto"/>
        <w:jc w:val="center"/>
        <w:rPr>
          <w:rFonts w:cs="Guttman Drogolin"/>
          <w:color w:val="auto"/>
          <w:sz w:val="24"/>
          <w:szCs w:val="24"/>
          <w:u w:val="single"/>
          <w:rtl/>
          <w:lang w:bidi="he-IL"/>
        </w:rPr>
      </w:pPr>
      <w:bookmarkStart w:id="319" w:name="_Toc496175570"/>
      <w:r w:rsidRPr="00882F11">
        <w:rPr>
          <w:rFonts w:cs="Guttman Drogolin" w:hint="cs"/>
          <w:color w:val="auto"/>
          <w:sz w:val="24"/>
          <w:szCs w:val="24"/>
          <w:u w:val="single"/>
          <w:rtl/>
          <w:lang w:bidi="he-IL"/>
        </w:rPr>
        <w:t>משערים במאי דבלע קדרה ורע"א</w:t>
      </w:r>
      <w:bookmarkEnd w:id="319"/>
    </w:p>
    <w:p w:rsidR="009D74FA" w:rsidRPr="00882F11" w:rsidRDefault="0008714A" w:rsidP="00662B6F">
      <w:pPr>
        <w:tabs>
          <w:tab w:val="right" w:pos="7497"/>
        </w:tabs>
        <w:bidi/>
        <w:jc w:val="both"/>
        <w:rPr>
          <w:rFonts w:cs="Guttman Drogolin"/>
          <w:rtl/>
          <w:lang w:bidi="he-IL"/>
        </w:rPr>
      </w:pPr>
      <w:r>
        <w:rPr>
          <w:rFonts w:cs="Guttman Drogolin"/>
          <w:rtl/>
          <w:lang w:bidi="he-IL"/>
        </w:rPr>
        <w:fldChar w:fldCharType="begin"/>
      </w:r>
      <w:r>
        <w:instrText xml:space="preserve"> XE "</w:instrText>
      </w:r>
      <w:r w:rsidRPr="002702DC">
        <w:rPr>
          <w:rFonts w:hint="cs"/>
          <w:rtl/>
          <w:lang w:bidi="he-IL"/>
        </w:rPr>
        <w:instrText>שיעור ששים</w:instrText>
      </w:r>
      <w:r w:rsidRPr="002702DC">
        <w:rPr>
          <w:rtl/>
        </w:rPr>
        <w:instrText>:</w:instrText>
      </w:r>
      <w:r w:rsidRPr="002702DC">
        <w:rPr>
          <w:rFonts w:hint="cs"/>
          <w:rtl/>
          <w:lang w:bidi="he-IL"/>
        </w:rPr>
        <w:instrText>אם משערין במאי דבלע הקדירה</w:instrText>
      </w:r>
      <w:r>
        <w:instrText xml:space="preserve">" </w:instrText>
      </w:r>
      <w:r>
        <w:rPr>
          <w:rFonts w:cs="Guttman Drogolin"/>
          <w:rtl/>
          <w:lang w:bidi="he-IL"/>
        </w:rPr>
        <w:fldChar w:fldCharType="end"/>
      </w:r>
      <w:r w:rsidR="00FA3552" w:rsidRPr="00882F11">
        <w:rPr>
          <w:rFonts w:cs="Guttman Drogolin" w:hint="cs"/>
          <w:rtl/>
          <w:lang w:bidi="he-IL"/>
        </w:rPr>
        <w:t>הראשונים נחלקו בסוגיא דמשערין במאי דבלע קדרה אם ר"ל דמשערין בכמות ההיתר הקודמת הידוע, ומשו"ה דאע"ג שעכשיו מתמעט השיעור היתר מ"מ הרי הוא נבלע בדפני הקדרה ועשיין מצטרף לבטל, או"ד שאפילו לא ידענו שיעורו מ"מ עושים השערה כמה הי' שם וגם הואנכנס לחשבון ששים. ומהב"י וש"ך וט"ז משמע שנקטו לדינא שבמין במינו שאינו אלא מדרבנן אפשר לשער במאי דבלע קדרה אפילו לפי השערה. אמנם ע'</w:t>
      </w:r>
      <w:r w:rsidR="00361304" w:rsidRPr="00882F11">
        <w:rPr>
          <w:rFonts w:cs="Guttman Drogolin" w:hint="cs"/>
          <w:rtl/>
          <w:lang w:bidi="he-IL"/>
        </w:rPr>
        <w:t xml:space="preserve"> רע"א </w:t>
      </w:r>
      <w:r w:rsidR="00FA3552" w:rsidRPr="00882F11">
        <w:rPr>
          <w:rFonts w:cs="Guttman Drogolin" w:hint="cs"/>
          <w:rtl/>
          <w:lang w:bidi="he-IL"/>
        </w:rPr>
        <w:t>שהעיר שמלשון הרשב"א בתוה"א מבואר ש</w:t>
      </w:r>
      <w:r w:rsidR="00EC4CFD" w:rsidRPr="00882F11">
        <w:rPr>
          <w:rFonts w:cs="Guttman Drogolin" w:hint="cs"/>
          <w:rtl/>
          <w:lang w:bidi="he-IL"/>
        </w:rPr>
        <w:t>ל</w:t>
      </w:r>
      <w:r w:rsidR="00FA3552" w:rsidRPr="00882F11">
        <w:rPr>
          <w:rFonts w:cs="Guttman Drogolin" w:hint="cs"/>
          <w:rtl/>
          <w:lang w:bidi="he-IL"/>
        </w:rPr>
        <w:t xml:space="preserve">עולם לא היתה כוונת הרשב"א להקל במין במינו אלא כשידענו מה היתה שיעור ההיתר מקודם ומצרפינן מאי דבלע קדירה, אבל ע"פ השערה גם במין במינו לא הקיל. </w:t>
      </w:r>
      <w:r w:rsidR="00361304" w:rsidRPr="00882F11">
        <w:rPr>
          <w:rFonts w:cs="Guttman Drogolin" w:hint="cs"/>
          <w:rtl/>
          <w:lang w:bidi="he-IL"/>
        </w:rPr>
        <w:t>ו</w:t>
      </w:r>
      <w:r w:rsidR="00FA3552" w:rsidRPr="00882F11">
        <w:rPr>
          <w:rFonts w:cs="Guttman Drogolin" w:hint="cs"/>
          <w:rtl/>
          <w:lang w:bidi="he-IL"/>
        </w:rPr>
        <w:t>כן מבואר נמי ב</w:t>
      </w:r>
      <w:r w:rsidR="00361304" w:rsidRPr="00882F11">
        <w:rPr>
          <w:rFonts w:cs="Guttman Drogolin" w:hint="cs"/>
          <w:rtl/>
          <w:lang w:bidi="he-IL"/>
        </w:rPr>
        <w:t>ביאור הגר"א</w:t>
      </w:r>
      <w:r w:rsidR="00E56EAB" w:rsidRPr="00882F11">
        <w:rPr>
          <w:rFonts w:cs="Guttman Drogolin" w:hint="cs"/>
          <w:rtl/>
          <w:lang w:bidi="he-IL"/>
        </w:rPr>
        <w:t>.</w:t>
      </w:r>
      <w:r w:rsidR="00FA3552" w:rsidRPr="00882F11">
        <w:rPr>
          <w:rFonts w:cs="Guttman Drogolin" w:hint="cs"/>
          <w:rtl/>
          <w:lang w:bidi="he-IL"/>
        </w:rPr>
        <w:t xml:space="preserve"> </w:t>
      </w:r>
      <w:r w:rsidR="00E56EAB" w:rsidRPr="00882F11">
        <w:rPr>
          <w:rFonts w:cs="Guttman Drogolin" w:hint="cs"/>
          <w:rtl/>
          <w:lang w:bidi="he-IL"/>
        </w:rPr>
        <w:t>וראוי להזכיר מה שהביאו הש"ך וט"ז מן מהרש"ל</w:t>
      </w:r>
      <w:r w:rsidR="002558D5" w:rsidRPr="00882F11">
        <w:rPr>
          <w:rFonts w:cs="Guttman Drogolin" w:hint="cs"/>
          <w:rtl/>
          <w:lang w:bidi="he-IL"/>
        </w:rPr>
        <w:t xml:space="preserve"> </w:t>
      </w:r>
      <w:r w:rsidR="00FA3552" w:rsidRPr="00882F11">
        <w:rPr>
          <w:rFonts w:cs="Guttman Drogolin" w:hint="cs"/>
          <w:rtl/>
          <w:lang w:bidi="he-IL"/>
        </w:rPr>
        <w:t xml:space="preserve">שאין לסמוך </w:t>
      </w:r>
      <w:r w:rsidR="00662B6F">
        <w:rPr>
          <w:rFonts w:cs="Guttman Drogolin" w:hint="cs"/>
          <w:rtl/>
          <w:lang w:bidi="he-IL"/>
        </w:rPr>
        <w:t>ל</w:t>
      </w:r>
      <w:r w:rsidR="00FA3552" w:rsidRPr="00882F11">
        <w:rPr>
          <w:rFonts w:cs="Guttman Drogolin" w:hint="cs"/>
          <w:rtl/>
          <w:lang w:bidi="he-IL"/>
        </w:rPr>
        <w:t>התיר אפילו ידענו כמה היתה מעיקרא כיון שקשה לעמוד על כמות דנבלע בקדרה וכמה הלך מחוץ לקדרה.</w:t>
      </w:r>
      <w:r w:rsidR="005B04B5" w:rsidRPr="00882F11">
        <w:rPr>
          <w:rFonts w:cs="Guttman Drogolin" w:hint="cs"/>
          <w:rtl/>
          <w:lang w:bidi="he-IL"/>
        </w:rPr>
        <w:t xml:space="preserve"> </w:t>
      </w:r>
      <w:r w:rsidR="00A71173" w:rsidRPr="00882F11">
        <w:rPr>
          <w:rFonts w:cs="Guttman Drogolin" w:hint="cs"/>
          <w:rtl/>
          <w:lang w:bidi="he-IL"/>
        </w:rPr>
        <w:t xml:space="preserve"> </w:t>
      </w:r>
      <w:r w:rsidR="00135F2A" w:rsidRPr="00882F11">
        <w:rPr>
          <w:rFonts w:cs="Guttman Drogolin" w:hint="cs"/>
          <w:rtl/>
          <w:lang w:bidi="he-IL"/>
        </w:rPr>
        <w:t xml:space="preserve"> </w:t>
      </w:r>
    </w:p>
    <w:p w:rsidR="00275162" w:rsidRPr="00882F11" w:rsidRDefault="00275162" w:rsidP="001A783D">
      <w:pPr>
        <w:tabs>
          <w:tab w:val="right" w:pos="7497"/>
        </w:tabs>
        <w:bidi/>
        <w:jc w:val="both"/>
        <w:rPr>
          <w:rFonts w:cs="Guttman Drogolin"/>
          <w:rtl/>
          <w:lang w:bidi="he-IL"/>
        </w:rPr>
        <w:sectPr w:rsidR="00275162" w:rsidRPr="00882F11" w:rsidSect="005229E6">
          <w:type w:val="continuous"/>
          <w:pgSz w:w="11907" w:h="16839" w:code="9"/>
          <w:pgMar w:top="1440" w:right="1440" w:bottom="1440" w:left="1440" w:header="720" w:footer="720" w:gutter="0"/>
          <w:cols w:num="2" w:space="720"/>
          <w:bidi/>
          <w:docGrid w:linePitch="360"/>
        </w:sectPr>
      </w:pPr>
    </w:p>
    <w:p w:rsidR="00275162" w:rsidRPr="00882F11" w:rsidRDefault="00275162" w:rsidP="00275162">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ע"ט</w:t>
      </w:r>
    </w:p>
    <w:p w:rsidR="005229E6" w:rsidRDefault="005229E6" w:rsidP="00275162">
      <w:pPr>
        <w:pStyle w:val="Heading1"/>
        <w:bidi/>
        <w:spacing w:before="0" w:line="360" w:lineRule="auto"/>
        <w:jc w:val="center"/>
        <w:rPr>
          <w:rFonts w:cs="Guttman Drogolin"/>
          <w:color w:val="auto"/>
          <w:sz w:val="24"/>
          <w:szCs w:val="24"/>
          <w:u w:val="single"/>
          <w:rtl/>
          <w:lang w:bidi="he-IL"/>
        </w:rPr>
        <w:sectPr w:rsidR="005229E6" w:rsidSect="005229E6">
          <w:headerReference w:type="default" r:id="rId62"/>
          <w:pgSz w:w="11907" w:h="16839" w:code="9"/>
          <w:pgMar w:top="1440" w:right="1440" w:bottom="1440" w:left="1440" w:header="720" w:footer="720" w:gutter="0"/>
          <w:cols w:space="720"/>
          <w:bidi/>
          <w:docGrid w:linePitch="360"/>
        </w:sectPr>
      </w:pPr>
    </w:p>
    <w:p w:rsidR="00275162" w:rsidRPr="005229E6" w:rsidRDefault="0005444C" w:rsidP="005229E6">
      <w:pPr>
        <w:pStyle w:val="Heading1"/>
        <w:bidi/>
        <w:spacing w:before="0" w:line="240" w:lineRule="auto"/>
        <w:jc w:val="center"/>
        <w:rPr>
          <w:rFonts w:cs="Guttman Drogolin"/>
          <w:color w:val="auto"/>
          <w:sz w:val="24"/>
          <w:szCs w:val="24"/>
          <w:u w:val="single"/>
          <w:rtl/>
          <w:lang w:bidi="he-IL"/>
        </w:rPr>
      </w:pPr>
      <w:bookmarkStart w:id="320" w:name="_Toc496175571"/>
      <w:r w:rsidRPr="005229E6">
        <w:rPr>
          <w:rFonts w:cs="Guttman Drogolin" w:hint="cs"/>
          <w:color w:val="auto"/>
          <w:sz w:val="24"/>
          <w:szCs w:val="24"/>
          <w:u w:val="single"/>
          <w:rtl/>
          <w:lang w:bidi="he-IL"/>
        </w:rPr>
        <w:lastRenderedPageBreak/>
        <w:t>אם הדין ד</w:t>
      </w:r>
      <w:r w:rsidR="00275162" w:rsidRPr="005229E6">
        <w:rPr>
          <w:rFonts w:cs="Guttman Drogolin" w:hint="cs"/>
          <w:color w:val="auto"/>
          <w:sz w:val="24"/>
          <w:szCs w:val="24"/>
          <w:u w:val="single"/>
          <w:rtl/>
          <w:lang w:bidi="he-IL"/>
        </w:rPr>
        <w:t>אין מבטלין איסור לכתחילה</w:t>
      </w:r>
      <w:r w:rsidRPr="005229E6">
        <w:rPr>
          <w:rFonts w:cs="Guttman Drogolin" w:hint="cs"/>
          <w:color w:val="auto"/>
          <w:sz w:val="24"/>
          <w:szCs w:val="24"/>
          <w:u w:val="single"/>
          <w:rtl/>
          <w:lang w:bidi="he-IL"/>
        </w:rPr>
        <w:t xml:space="preserve"> הוא דין מדאורייתא</w:t>
      </w:r>
      <w:bookmarkEnd w:id="320"/>
    </w:p>
    <w:p w:rsidR="001A783D" w:rsidRPr="00882F11" w:rsidRDefault="009A58DF" w:rsidP="00275162">
      <w:pPr>
        <w:tabs>
          <w:tab w:val="right" w:pos="7497"/>
        </w:tabs>
        <w:bidi/>
        <w:jc w:val="both"/>
        <w:rPr>
          <w:rFonts w:cs="Guttman Drogolin"/>
          <w:rtl/>
          <w:lang w:bidi="he-IL"/>
        </w:rPr>
      </w:pPr>
      <w:r>
        <w:rPr>
          <w:rFonts w:cs="Guttman Drogolin"/>
          <w:rtl/>
          <w:lang w:bidi="he-IL"/>
        </w:rPr>
        <w:fldChar w:fldCharType="begin"/>
      </w:r>
      <w:r>
        <w:instrText xml:space="preserve"> XE "</w:instrText>
      </w:r>
      <w:r w:rsidRPr="007C1BC2">
        <w:rPr>
          <w:rFonts w:hint="cs"/>
          <w:rtl/>
          <w:lang w:bidi="he-IL"/>
        </w:rPr>
        <w:instrText>אין מבטלין איסור לכתחילה</w:instrText>
      </w:r>
      <w:r w:rsidRPr="007C1BC2">
        <w:rPr>
          <w:rtl/>
        </w:rPr>
        <w:instrText>:</w:instrText>
      </w:r>
      <w:r w:rsidRPr="007C1BC2">
        <w:rPr>
          <w:rFonts w:hint="cs"/>
          <w:rtl/>
          <w:lang w:bidi="he-IL"/>
        </w:rPr>
        <w:instrText>אם הוא מדאורייתא</w:instrText>
      </w:r>
      <w:r>
        <w:instrText xml:space="preserve">" </w:instrText>
      </w:r>
      <w:r>
        <w:rPr>
          <w:rFonts w:cs="Guttman Drogolin"/>
          <w:rtl/>
          <w:lang w:bidi="he-IL"/>
        </w:rPr>
        <w:fldChar w:fldCharType="end"/>
      </w:r>
      <w:r w:rsidR="00275162" w:rsidRPr="00882F11">
        <w:rPr>
          <w:rFonts w:cs="Guttman Drogolin" w:hint="cs"/>
          <w:rtl/>
          <w:lang w:bidi="he-IL"/>
        </w:rPr>
        <w:t xml:space="preserve">במס' ביצה דף ד' ע"ב דן הגמ' בעצים של מוקצה שנפלו לתוך התנור, ואמר בזה ר' מתנה על זה שירבה עליהם עצים מוכנים ומסיקן. </w:t>
      </w:r>
      <w:r w:rsidR="00AF509B" w:rsidRPr="00882F11">
        <w:rPr>
          <w:rFonts w:cs="Guttman Drogolin" w:hint="cs"/>
          <w:rtl/>
          <w:lang w:bidi="he-IL"/>
        </w:rPr>
        <w:t>ושואלת הגמ' דאפילו יש רוב עצים מוכנים מ"מ איך הי' אפשר להוסיף עליהם עצים הא תנן אין מבטלין איסור לכתחילה. ו</w:t>
      </w:r>
      <w:r w:rsidR="00275162" w:rsidRPr="00882F11">
        <w:rPr>
          <w:rFonts w:cs="Guttman Drogolin" w:hint="cs"/>
          <w:rtl/>
          <w:lang w:bidi="he-IL"/>
        </w:rPr>
        <w:t>הר"ש בסופ"ה של מס' תרומות העיר שהלשון 'אין מבטלין איסור לכתחילה'</w:t>
      </w:r>
      <w:r w:rsidR="00AF509B" w:rsidRPr="00882F11">
        <w:rPr>
          <w:rFonts w:cs="Guttman Drogolin" w:hint="cs"/>
          <w:rtl/>
          <w:lang w:bidi="he-IL"/>
        </w:rPr>
        <w:t xml:space="preserve"> לא מצאנו בשום משנה, רק חז"ל דקדקו שכן הדין ממתני' דסופ"ה דמס' תרומות דאיתא התם "סאה</w:t>
      </w:r>
      <w:r w:rsidR="00AF509B" w:rsidRPr="00882F11">
        <w:rPr>
          <w:rFonts w:cs="Guttman Drogolin"/>
          <w:rtl/>
          <w:lang w:bidi="he-IL"/>
        </w:rPr>
        <w:t xml:space="preserve"> </w:t>
      </w:r>
      <w:r w:rsidR="00AF509B" w:rsidRPr="00882F11">
        <w:rPr>
          <w:rFonts w:cs="Guttman Drogolin" w:hint="cs"/>
          <w:rtl/>
          <w:lang w:bidi="he-IL"/>
        </w:rPr>
        <w:t>תרומה</w:t>
      </w:r>
      <w:r w:rsidR="00AF509B" w:rsidRPr="00882F11">
        <w:rPr>
          <w:rFonts w:cs="Guttman Drogolin"/>
          <w:rtl/>
          <w:lang w:bidi="he-IL"/>
        </w:rPr>
        <w:t xml:space="preserve"> </w:t>
      </w:r>
      <w:r w:rsidR="00AF509B" w:rsidRPr="00882F11">
        <w:rPr>
          <w:rFonts w:cs="Guttman Drogolin" w:hint="cs"/>
          <w:rtl/>
          <w:lang w:bidi="he-IL"/>
        </w:rPr>
        <w:t>שנפלה</w:t>
      </w:r>
      <w:r w:rsidR="00AF509B" w:rsidRPr="00882F11">
        <w:rPr>
          <w:rFonts w:cs="Guttman Drogolin"/>
          <w:rtl/>
          <w:lang w:bidi="he-IL"/>
        </w:rPr>
        <w:t xml:space="preserve"> </w:t>
      </w:r>
      <w:r w:rsidR="00AF509B" w:rsidRPr="00882F11">
        <w:rPr>
          <w:rFonts w:cs="Guttman Drogolin" w:hint="cs"/>
          <w:rtl/>
          <w:lang w:bidi="he-IL"/>
        </w:rPr>
        <w:t>לפחות</w:t>
      </w:r>
      <w:r w:rsidR="00AF509B" w:rsidRPr="00882F11">
        <w:rPr>
          <w:rFonts w:cs="Guttman Drogolin"/>
          <w:rtl/>
          <w:lang w:bidi="he-IL"/>
        </w:rPr>
        <w:t xml:space="preserve"> </w:t>
      </w:r>
      <w:r w:rsidR="00AF509B" w:rsidRPr="00882F11">
        <w:rPr>
          <w:rFonts w:cs="Guttman Drogolin" w:hint="cs"/>
          <w:rtl/>
          <w:lang w:bidi="he-IL"/>
        </w:rPr>
        <w:t>ממאה</w:t>
      </w:r>
      <w:r w:rsidR="00AF509B" w:rsidRPr="00882F11">
        <w:rPr>
          <w:rFonts w:cs="Guttman Drogolin"/>
          <w:rtl/>
          <w:lang w:bidi="he-IL"/>
        </w:rPr>
        <w:t xml:space="preserve"> </w:t>
      </w:r>
      <w:r w:rsidR="00AF509B" w:rsidRPr="00882F11">
        <w:rPr>
          <w:rFonts w:cs="Guttman Drogolin" w:hint="cs"/>
          <w:rtl/>
          <w:lang w:bidi="he-IL"/>
        </w:rPr>
        <w:t>ואחר</w:t>
      </w:r>
      <w:r w:rsidR="00AF509B" w:rsidRPr="00882F11">
        <w:rPr>
          <w:rFonts w:cs="Guttman Drogolin"/>
          <w:rtl/>
          <w:lang w:bidi="he-IL"/>
        </w:rPr>
        <w:t xml:space="preserve"> </w:t>
      </w:r>
      <w:r w:rsidR="00AF509B" w:rsidRPr="00882F11">
        <w:rPr>
          <w:rFonts w:cs="Guttman Drogolin" w:hint="cs"/>
          <w:rtl/>
          <w:lang w:bidi="he-IL"/>
        </w:rPr>
        <w:t>כן</w:t>
      </w:r>
      <w:r w:rsidR="00AF509B" w:rsidRPr="00882F11">
        <w:rPr>
          <w:rFonts w:cs="Guttman Drogolin"/>
          <w:rtl/>
          <w:lang w:bidi="he-IL"/>
        </w:rPr>
        <w:t xml:space="preserve"> </w:t>
      </w:r>
      <w:r w:rsidR="00AF509B" w:rsidRPr="00882F11">
        <w:rPr>
          <w:rFonts w:cs="Guttman Drogolin" w:hint="cs"/>
          <w:rtl/>
          <w:lang w:bidi="he-IL"/>
        </w:rPr>
        <w:t>נפלו</w:t>
      </w:r>
      <w:r w:rsidR="00AF509B" w:rsidRPr="00882F11">
        <w:rPr>
          <w:rFonts w:cs="Guttman Drogolin"/>
          <w:rtl/>
          <w:lang w:bidi="he-IL"/>
        </w:rPr>
        <w:t xml:space="preserve"> </w:t>
      </w:r>
      <w:r w:rsidR="00AF509B" w:rsidRPr="00882F11">
        <w:rPr>
          <w:rFonts w:cs="Guttman Drogolin" w:hint="cs"/>
          <w:rtl/>
          <w:lang w:bidi="he-IL"/>
        </w:rPr>
        <w:t>שם</w:t>
      </w:r>
      <w:r w:rsidR="00AF509B" w:rsidRPr="00882F11">
        <w:rPr>
          <w:rFonts w:cs="Guttman Drogolin"/>
          <w:rtl/>
          <w:lang w:bidi="he-IL"/>
        </w:rPr>
        <w:t xml:space="preserve"> </w:t>
      </w:r>
      <w:r w:rsidR="00AF509B" w:rsidRPr="00882F11">
        <w:rPr>
          <w:rFonts w:cs="Guttman Drogolin" w:hint="cs"/>
          <w:rtl/>
          <w:lang w:bidi="he-IL"/>
        </w:rPr>
        <w:t>חולין</w:t>
      </w:r>
      <w:r w:rsidR="00AF509B" w:rsidRPr="00882F11">
        <w:rPr>
          <w:rFonts w:cs="Guttman Drogolin"/>
          <w:rtl/>
          <w:lang w:bidi="he-IL"/>
        </w:rPr>
        <w:t xml:space="preserve"> </w:t>
      </w:r>
      <w:r w:rsidR="00AF509B" w:rsidRPr="00882F11">
        <w:rPr>
          <w:rFonts w:cs="Guttman Drogolin" w:hint="cs"/>
          <w:rtl/>
          <w:lang w:bidi="he-IL"/>
        </w:rPr>
        <w:t>אם</w:t>
      </w:r>
      <w:r w:rsidR="00AF509B" w:rsidRPr="00882F11">
        <w:rPr>
          <w:rFonts w:cs="Guttman Drogolin"/>
          <w:rtl/>
          <w:lang w:bidi="he-IL"/>
        </w:rPr>
        <w:t xml:space="preserve"> </w:t>
      </w:r>
      <w:r w:rsidR="00AF509B" w:rsidRPr="00882F11">
        <w:rPr>
          <w:rFonts w:cs="Guttman Drogolin" w:hint="cs"/>
          <w:rtl/>
          <w:lang w:bidi="he-IL"/>
        </w:rPr>
        <w:t>שוגג</w:t>
      </w:r>
      <w:r w:rsidR="00AF509B" w:rsidRPr="00882F11">
        <w:rPr>
          <w:rFonts w:cs="Guttman Drogolin"/>
          <w:rtl/>
          <w:lang w:bidi="he-IL"/>
        </w:rPr>
        <w:t xml:space="preserve"> </w:t>
      </w:r>
      <w:r w:rsidR="00AF509B" w:rsidRPr="00882F11">
        <w:rPr>
          <w:rFonts w:cs="Guttman Drogolin" w:hint="cs"/>
          <w:rtl/>
          <w:lang w:bidi="he-IL"/>
        </w:rPr>
        <w:t>מותר</w:t>
      </w:r>
      <w:r w:rsidR="00AF509B" w:rsidRPr="00882F11">
        <w:rPr>
          <w:rFonts w:cs="Guttman Drogolin"/>
          <w:rtl/>
          <w:lang w:bidi="he-IL"/>
        </w:rPr>
        <w:t xml:space="preserve"> </w:t>
      </w:r>
      <w:r w:rsidR="00AF509B" w:rsidRPr="00882F11">
        <w:rPr>
          <w:rFonts w:cs="Guttman Drogolin" w:hint="cs"/>
          <w:rtl/>
          <w:lang w:bidi="he-IL"/>
        </w:rPr>
        <w:t>ואם</w:t>
      </w:r>
      <w:r w:rsidR="00AF509B" w:rsidRPr="00882F11">
        <w:rPr>
          <w:rFonts w:cs="Guttman Drogolin"/>
          <w:rtl/>
          <w:lang w:bidi="he-IL"/>
        </w:rPr>
        <w:t xml:space="preserve"> </w:t>
      </w:r>
      <w:r w:rsidR="00AF509B" w:rsidRPr="00882F11">
        <w:rPr>
          <w:rFonts w:cs="Guttman Drogolin" w:hint="cs"/>
          <w:rtl/>
          <w:lang w:bidi="he-IL"/>
        </w:rPr>
        <w:t>מזיד</w:t>
      </w:r>
      <w:r w:rsidR="00AF509B" w:rsidRPr="00882F11">
        <w:rPr>
          <w:rFonts w:cs="Guttman Drogolin"/>
          <w:rtl/>
          <w:lang w:bidi="he-IL"/>
        </w:rPr>
        <w:t xml:space="preserve"> </w:t>
      </w:r>
      <w:r w:rsidR="00AF509B" w:rsidRPr="00882F11">
        <w:rPr>
          <w:rFonts w:cs="Guttman Drogolin" w:hint="cs"/>
          <w:rtl/>
          <w:lang w:bidi="he-IL"/>
        </w:rPr>
        <w:t xml:space="preserve">אסור". </w:t>
      </w:r>
    </w:p>
    <w:p w:rsidR="00665D7B" w:rsidRPr="00882F11" w:rsidRDefault="00AF509B" w:rsidP="00665D7B">
      <w:pPr>
        <w:tabs>
          <w:tab w:val="right" w:pos="7497"/>
        </w:tabs>
        <w:bidi/>
        <w:jc w:val="both"/>
        <w:rPr>
          <w:rFonts w:cs="Guttman Drogolin"/>
          <w:rtl/>
          <w:lang w:bidi="he-IL"/>
        </w:rPr>
      </w:pPr>
      <w:r w:rsidRPr="00882F11">
        <w:rPr>
          <w:rFonts w:cs="Guttman Drogolin" w:hint="cs"/>
          <w:rtl/>
          <w:lang w:bidi="he-IL"/>
        </w:rPr>
        <w:t>והנה בסוגיא דמס' חולין דף צ"ח ע"ב דנו הראשונים אם הדין דאין מבטלין איסור לכתחילה הוא דין דאורייתא או דין דרבנן. ששם למדו השיעור ביטול דששים או מאה מזרוע בשילה, והקשה על זה בגמ' מברייתא שכתוב בה "זהו</w:t>
      </w:r>
      <w:r w:rsidRPr="00882F11">
        <w:rPr>
          <w:rFonts w:cs="Guttman Drogolin"/>
          <w:rtl/>
          <w:lang w:bidi="he-IL"/>
        </w:rPr>
        <w:t xml:space="preserve"> </w:t>
      </w:r>
      <w:r w:rsidRPr="00882F11">
        <w:rPr>
          <w:rFonts w:cs="Guttman Drogolin" w:hint="cs"/>
          <w:rtl/>
          <w:lang w:bidi="he-IL"/>
        </w:rPr>
        <w:t>[פי' הפסוק של זרוע בשילה] היתר</w:t>
      </w:r>
      <w:r w:rsidRPr="00882F11">
        <w:rPr>
          <w:rFonts w:cs="Guttman Drogolin"/>
          <w:rtl/>
          <w:lang w:bidi="he-IL"/>
        </w:rPr>
        <w:t xml:space="preserve"> </w:t>
      </w:r>
      <w:r w:rsidRPr="00882F11">
        <w:rPr>
          <w:rFonts w:cs="Guttman Drogolin" w:hint="cs"/>
          <w:rtl/>
          <w:lang w:bidi="he-IL"/>
        </w:rPr>
        <w:t>הבא</w:t>
      </w:r>
      <w:r w:rsidRPr="00882F11">
        <w:rPr>
          <w:rFonts w:cs="Guttman Drogolin"/>
          <w:rtl/>
          <w:lang w:bidi="he-IL"/>
        </w:rPr>
        <w:t xml:space="preserve"> </w:t>
      </w:r>
      <w:r w:rsidRPr="00882F11">
        <w:rPr>
          <w:rFonts w:cs="Guttman Drogolin" w:hint="cs"/>
          <w:rtl/>
          <w:lang w:bidi="he-IL"/>
        </w:rPr>
        <w:t>מכלל</w:t>
      </w:r>
      <w:r w:rsidRPr="00882F11">
        <w:rPr>
          <w:rFonts w:cs="Guttman Drogolin"/>
          <w:rtl/>
          <w:lang w:bidi="he-IL"/>
        </w:rPr>
        <w:t xml:space="preserve"> </w:t>
      </w:r>
      <w:r w:rsidRPr="00882F11">
        <w:rPr>
          <w:rFonts w:cs="Guttman Drogolin" w:hint="cs"/>
          <w:rtl/>
          <w:lang w:bidi="he-IL"/>
        </w:rPr>
        <w:t>איסור" דמשמע שרק בזרוע בשילה יש חידוש דין, וחשבו מעיקרא דר"ל שרק בזרוע בשילה יש שיעור ס' או ק', והגמ' דוחה בכמה אופנים, וא' מהם שאין הכוונה אלא לדין מין במינו אליבא דר' יהודה דסבר בעלמא דלא בטיל ואילו הכא סבר דבטיל. ואומרת הגמ' שגם אין ללמוד ממנו שבעלמא נמי מין במינו בטל</w:t>
      </w:r>
      <w:r w:rsidRPr="00882F11">
        <w:rPr>
          <w:rFonts w:cs="Guttman Drogolin"/>
          <w:rtl/>
          <w:lang w:bidi="he-IL"/>
        </w:rPr>
        <w:t xml:space="preserve"> </w:t>
      </w:r>
      <w:r w:rsidR="007117A7" w:rsidRPr="00882F11">
        <w:rPr>
          <w:rFonts w:cs="Guttman Drogolin" w:hint="cs"/>
          <w:rtl/>
          <w:lang w:bidi="he-IL"/>
        </w:rPr>
        <w:t>כיון ד'</w:t>
      </w:r>
      <w:r w:rsidRPr="00882F11">
        <w:rPr>
          <w:rFonts w:cs="Guttman Drogolin" w:hint="cs"/>
          <w:rtl/>
          <w:lang w:bidi="he-IL"/>
        </w:rPr>
        <w:t>חדוש</w:t>
      </w:r>
      <w:r w:rsidRPr="00882F11">
        <w:rPr>
          <w:rFonts w:cs="Guttman Drogolin"/>
          <w:rtl/>
          <w:lang w:bidi="he-IL"/>
        </w:rPr>
        <w:t xml:space="preserve"> </w:t>
      </w:r>
      <w:r w:rsidRPr="00882F11">
        <w:rPr>
          <w:rFonts w:cs="Guttman Drogolin" w:hint="cs"/>
          <w:rtl/>
          <w:lang w:bidi="he-IL"/>
        </w:rPr>
        <w:t>הוא</w:t>
      </w:r>
      <w:r w:rsidRPr="00882F11">
        <w:rPr>
          <w:rFonts w:cs="Guttman Drogolin"/>
          <w:rtl/>
          <w:lang w:bidi="he-IL"/>
        </w:rPr>
        <w:t xml:space="preserve"> </w:t>
      </w:r>
      <w:r w:rsidRPr="00882F11">
        <w:rPr>
          <w:rFonts w:cs="Guttman Drogolin" w:hint="cs"/>
          <w:rtl/>
          <w:lang w:bidi="he-IL"/>
        </w:rPr>
        <w:t>ומחדוש</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גמרינן</w:t>
      </w:r>
      <w:r w:rsidR="007117A7" w:rsidRPr="00882F11">
        <w:rPr>
          <w:rFonts w:cs="Guttman Drogolin" w:hint="cs"/>
          <w:rtl/>
          <w:lang w:bidi="he-IL"/>
        </w:rPr>
        <w:t xml:space="preserve">'. ומבארים </w:t>
      </w:r>
      <w:r w:rsidR="00CA392E" w:rsidRPr="00882F11">
        <w:rPr>
          <w:rFonts w:cs="Guttman Drogolin" w:hint="cs"/>
          <w:rtl/>
          <w:lang w:bidi="he-IL"/>
        </w:rPr>
        <w:t xml:space="preserve">רש"י ותוס' ועוד </w:t>
      </w:r>
      <w:r w:rsidR="007117A7" w:rsidRPr="00882F11">
        <w:rPr>
          <w:rFonts w:cs="Guttman Drogolin" w:hint="cs"/>
          <w:rtl/>
          <w:lang w:bidi="he-IL"/>
        </w:rPr>
        <w:t>ראשוני</w:t>
      </w:r>
      <w:r w:rsidR="00CA392E" w:rsidRPr="00882F11">
        <w:rPr>
          <w:rFonts w:cs="Guttman Drogolin" w:hint="cs"/>
          <w:rtl/>
          <w:lang w:bidi="he-IL"/>
        </w:rPr>
        <w:t>ם</w:t>
      </w:r>
      <w:r w:rsidR="007117A7" w:rsidRPr="00882F11">
        <w:rPr>
          <w:rFonts w:cs="Guttman Drogolin" w:hint="cs"/>
          <w:rtl/>
          <w:lang w:bidi="he-IL"/>
        </w:rPr>
        <w:t xml:space="preserve"> שהחידוש הוא משום דבעלמא </w:t>
      </w:r>
      <w:r w:rsidR="00CA392E" w:rsidRPr="00882F11">
        <w:rPr>
          <w:rFonts w:cs="Guttman Drogolin" w:hint="cs"/>
          <w:rtl/>
          <w:lang w:bidi="he-IL"/>
        </w:rPr>
        <w:t xml:space="preserve">אין </w:t>
      </w:r>
      <w:r w:rsidR="007117A7" w:rsidRPr="00882F11">
        <w:rPr>
          <w:rFonts w:cs="Guttman Drogolin" w:hint="cs"/>
          <w:rtl/>
          <w:lang w:bidi="he-IL"/>
        </w:rPr>
        <w:t>מבטלין איסור לכתחילה</w:t>
      </w:r>
      <w:r w:rsidR="00CA392E" w:rsidRPr="00882F11">
        <w:rPr>
          <w:rFonts w:cs="Guttman Drogolin" w:hint="cs"/>
          <w:rtl/>
          <w:lang w:bidi="he-IL"/>
        </w:rPr>
        <w:t xml:space="preserve"> והכא מבטלין. ויש דיוקים סותרים מן הסוגיא אם דינא דאין מבטלין איסור לכתחילה הוא דין דאורייתא או מדרבנן. הראב"ד באיסור משהו (מובא ברשב"א בתוה"א ועוד ראשונים) </w:t>
      </w:r>
      <w:r w:rsidR="00CA392E" w:rsidRPr="00882F11">
        <w:rPr>
          <w:rFonts w:cs="Guttman Drogolin" w:hint="cs"/>
          <w:rtl/>
          <w:lang w:bidi="he-IL"/>
        </w:rPr>
        <w:lastRenderedPageBreak/>
        <w:t>דקדק מזה שיש 'חידוש' מדאורייתא בזרוע בשילה דמבטלין איסור לכתחילה דע"כ בעלמא מדאורייתא אין מבטלין</w:t>
      </w:r>
      <w:r w:rsidR="00BB1A6D" w:rsidRPr="00882F11">
        <w:rPr>
          <w:rStyle w:val="FootnoteReference"/>
          <w:rFonts w:cs="Guttman Drogolin"/>
          <w:rtl/>
          <w:lang w:bidi="he-IL"/>
        </w:rPr>
        <w:footnoteReference w:id="340"/>
      </w:r>
      <w:r w:rsidR="00CA392E" w:rsidRPr="00882F11">
        <w:rPr>
          <w:rFonts w:cs="Guttman Drogolin" w:hint="cs"/>
          <w:rtl/>
          <w:lang w:bidi="he-IL"/>
        </w:rPr>
        <w:t>. ומשו"ה קשה למה לא אמרו באמת ד'זהו' היתר הבא מכלל איסור בא למעוטי הא דכן מבטלין איסור לכתחילה ואילו בעלמא אין מבטלין. ותי' (וכן הוא בתוס' על אתר) שהדיוק של 'זהו' מש</w:t>
      </w:r>
      <w:r w:rsidR="00665D7B" w:rsidRPr="00882F11">
        <w:rPr>
          <w:rFonts w:cs="Guttman Drogolin" w:hint="cs"/>
          <w:rtl/>
          <w:lang w:bidi="he-IL"/>
        </w:rPr>
        <w:t>מע</w:t>
      </w:r>
      <w:r w:rsidR="00CA392E" w:rsidRPr="00882F11">
        <w:rPr>
          <w:rFonts w:cs="Guttman Drogolin" w:hint="cs"/>
          <w:rtl/>
          <w:lang w:bidi="he-IL"/>
        </w:rPr>
        <w:t xml:space="preserve"> דשייך </w:t>
      </w:r>
      <w:r w:rsidR="00665D7B" w:rsidRPr="00882F11">
        <w:rPr>
          <w:rFonts w:cs="Guttman Drogolin" w:hint="cs"/>
          <w:rtl/>
          <w:lang w:bidi="he-IL"/>
        </w:rPr>
        <w:t>לדבר האסור באכילה</w:t>
      </w:r>
      <w:r w:rsidR="00CA392E" w:rsidRPr="00882F11">
        <w:rPr>
          <w:rFonts w:cs="Guttman Drogolin" w:hint="cs"/>
          <w:rtl/>
          <w:lang w:bidi="he-IL"/>
        </w:rPr>
        <w:t>.</w:t>
      </w:r>
      <w:r w:rsidR="00665D7B" w:rsidRPr="00882F11">
        <w:rPr>
          <w:rFonts w:cs="Guttman Drogolin" w:hint="cs"/>
          <w:rtl/>
          <w:lang w:bidi="he-IL"/>
        </w:rPr>
        <w:t xml:space="preserve"> והראשונים מביאים בשם התוס' (וכבר העירו האחרונים שבתוס' שלפנינו משמע דסבר כשיטת הראב"ד)</w:t>
      </w:r>
      <w:r w:rsidR="00CA392E" w:rsidRPr="00882F11">
        <w:rPr>
          <w:rFonts w:cs="Guttman Drogolin" w:hint="cs"/>
          <w:rtl/>
          <w:lang w:bidi="he-IL"/>
        </w:rPr>
        <w:t xml:space="preserve"> </w:t>
      </w:r>
      <w:r w:rsidR="00665D7B" w:rsidRPr="00882F11">
        <w:rPr>
          <w:rFonts w:cs="Guttman Drogolin" w:hint="cs"/>
          <w:rtl/>
          <w:lang w:bidi="he-IL"/>
        </w:rPr>
        <w:t>דסברי שהאיסור לבטל איסור לכתחילה אינו אלא מדרבנן, ובזה מיושב הא דלא אמרו 'זהו' למעוטי הא דבעלמא אין מבטלין איסור לכתחילה. ולענין הוכחת הראב"ד שאם אינו איסור מדאורייתא למה הוי חידוש מדאורייתא, תי' דמ"מ דבר מגונה הוא (חזינן שאפילו למ"ד האיסור לבטל איסור לכתחילה אינו אלא מדרבנן מ"מ אינו לכתחילה אפילו מדאורייתא)</w:t>
      </w:r>
      <w:r w:rsidR="00BB1A6D" w:rsidRPr="00882F11">
        <w:rPr>
          <w:rStyle w:val="FootnoteReference"/>
          <w:rFonts w:cs="Guttman Drogolin"/>
          <w:rtl/>
          <w:lang w:bidi="he-IL"/>
        </w:rPr>
        <w:footnoteReference w:id="341"/>
      </w:r>
      <w:r w:rsidR="00665D7B" w:rsidRPr="00882F11">
        <w:rPr>
          <w:rFonts w:cs="Guttman Drogolin" w:hint="cs"/>
          <w:rtl/>
          <w:lang w:bidi="he-IL"/>
        </w:rPr>
        <w:t>.</w:t>
      </w:r>
    </w:p>
    <w:p w:rsidR="0005444C" w:rsidRPr="00882F11" w:rsidRDefault="0005444C" w:rsidP="0005444C">
      <w:pPr>
        <w:pStyle w:val="Heading1"/>
        <w:bidi/>
        <w:spacing w:before="0" w:line="360" w:lineRule="auto"/>
        <w:jc w:val="center"/>
        <w:rPr>
          <w:rFonts w:cs="Guttman Drogolin"/>
          <w:color w:val="auto"/>
          <w:sz w:val="24"/>
          <w:szCs w:val="24"/>
          <w:u w:val="single"/>
          <w:rtl/>
          <w:lang w:bidi="he-IL"/>
        </w:rPr>
      </w:pPr>
      <w:bookmarkStart w:id="321" w:name="_Toc496175572"/>
      <w:r w:rsidRPr="00882F11">
        <w:rPr>
          <w:rFonts w:cs="Guttman Drogolin" w:hint="cs"/>
          <w:color w:val="auto"/>
          <w:sz w:val="24"/>
          <w:szCs w:val="24"/>
          <w:u w:val="single"/>
          <w:rtl/>
          <w:lang w:bidi="he-IL"/>
        </w:rPr>
        <w:t>גדר הדין דאין מבטלין איסור לכתחילה</w:t>
      </w:r>
      <w:bookmarkEnd w:id="321"/>
    </w:p>
    <w:p w:rsidR="0005444C" w:rsidRPr="00882F11" w:rsidRDefault="009A58DF" w:rsidP="0005444C">
      <w:pPr>
        <w:tabs>
          <w:tab w:val="right" w:pos="7497"/>
        </w:tabs>
        <w:bidi/>
        <w:jc w:val="both"/>
        <w:rPr>
          <w:rFonts w:cs="Guttman Drogolin"/>
          <w:rtl/>
          <w:lang w:bidi="he-IL"/>
        </w:rPr>
      </w:pPr>
      <w:r>
        <w:rPr>
          <w:rFonts w:cs="Guttman Drogolin"/>
          <w:rtl/>
          <w:lang w:bidi="he-IL"/>
        </w:rPr>
        <w:fldChar w:fldCharType="begin"/>
      </w:r>
      <w:r>
        <w:instrText xml:space="preserve"> XE "</w:instrText>
      </w:r>
      <w:r w:rsidRPr="00CA670B">
        <w:rPr>
          <w:rFonts w:hint="cs"/>
          <w:rtl/>
          <w:lang w:bidi="he-IL"/>
        </w:rPr>
        <w:instrText>אין מבטלין איסור לכתחילה</w:instrText>
      </w:r>
      <w:r w:rsidRPr="00CA670B">
        <w:rPr>
          <w:rtl/>
        </w:rPr>
        <w:instrText>:</w:instrText>
      </w:r>
      <w:r w:rsidRPr="00CA670B">
        <w:rPr>
          <w:rFonts w:hint="cs"/>
          <w:rtl/>
          <w:lang w:bidi="he-IL"/>
        </w:rPr>
        <w:instrText>גדר הדין</w:instrText>
      </w:r>
      <w:r>
        <w:instrText xml:space="preserve">" </w:instrText>
      </w:r>
      <w:r>
        <w:rPr>
          <w:rFonts w:cs="Guttman Drogolin"/>
          <w:rtl/>
          <w:lang w:bidi="he-IL"/>
        </w:rPr>
        <w:fldChar w:fldCharType="end"/>
      </w:r>
      <w:r w:rsidR="00665D7B" w:rsidRPr="00882F11">
        <w:rPr>
          <w:rFonts w:cs="Guttman Drogolin" w:hint="cs"/>
          <w:rtl/>
          <w:lang w:bidi="he-IL"/>
        </w:rPr>
        <w:t>והנה יש להסתפק בדינא שאין מבטלין איסור לכתחילה מהו גדרו. שמצד א' יש לומר שעיקר הדין דאין מבטלין איסור לכתחילה הוא איסור מעשה, שאסור לעשות את מעשה הביטול. ו</w:t>
      </w:r>
      <w:r w:rsidR="003D7355" w:rsidRPr="00882F11">
        <w:rPr>
          <w:rFonts w:cs="Guttman Drogolin" w:hint="cs"/>
          <w:rtl/>
          <w:lang w:bidi="he-IL"/>
        </w:rPr>
        <w:t>ל</w:t>
      </w:r>
      <w:r w:rsidR="00665D7B" w:rsidRPr="00882F11">
        <w:rPr>
          <w:rFonts w:cs="Guttman Drogolin" w:hint="cs"/>
          <w:rtl/>
          <w:lang w:bidi="he-IL"/>
        </w:rPr>
        <w:t xml:space="preserve">זה </w:t>
      </w:r>
      <w:r w:rsidR="003D7355" w:rsidRPr="00882F11">
        <w:rPr>
          <w:rFonts w:cs="Guttman Drogolin" w:hint="cs"/>
          <w:rtl/>
          <w:lang w:bidi="he-IL"/>
        </w:rPr>
        <w:t xml:space="preserve">יש </w:t>
      </w:r>
      <w:r w:rsidR="00665D7B" w:rsidRPr="00882F11">
        <w:rPr>
          <w:rFonts w:cs="Guttman Drogolin" w:hint="cs"/>
          <w:rtl/>
          <w:lang w:bidi="he-IL"/>
        </w:rPr>
        <w:t xml:space="preserve">חומרא נוספת דלא מיבעי שאסור לעשות כן לכתחילה, אלא אפילו אם עשו כן לא אהנו מעשיו ואסור ליהנות מן הביטול אפילו בדיעבד. </w:t>
      </w:r>
      <w:r w:rsidR="003D7355" w:rsidRPr="00882F11">
        <w:rPr>
          <w:rFonts w:cs="Guttman Drogolin" w:hint="cs"/>
          <w:rtl/>
          <w:lang w:bidi="he-IL"/>
        </w:rPr>
        <w:t>ומצד שני שאין האיסור ליהנות מן הביטול חומרא נוספת על עיקר האיסור לבטל לכתחילה, אלא עיקר מה שתיקנו בדינא דאין מבטלין איסור לכתחילה הוא שאין היתר מבטל איסור אם עשו כן לכתחילה. ור"ל שאין איסור לעשות את מעשה הביטול</w:t>
      </w:r>
      <w:r w:rsidR="002B1678" w:rsidRPr="00882F11">
        <w:rPr>
          <w:rStyle w:val="FootnoteReference"/>
          <w:rFonts w:cs="Guttman Drogolin"/>
          <w:rtl/>
          <w:lang w:bidi="he-IL"/>
        </w:rPr>
        <w:footnoteReference w:id="342"/>
      </w:r>
      <w:r w:rsidR="003D7355" w:rsidRPr="00882F11">
        <w:rPr>
          <w:rFonts w:cs="Guttman Drogolin" w:hint="cs"/>
          <w:rtl/>
          <w:lang w:bidi="he-IL"/>
        </w:rPr>
        <w:t xml:space="preserve">, אבל מ"מ אין ענין לעשות כן כיון </w:t>
      </w:r>
      <w:r w:rsidR="003D7355" w:rsidRPr="00882F11">
        <w:rPr>
          <w:rFonts w:cs="Guttman Drogolin" w:hint="cs"/>
          <w:rtl/>
          <w:lang w:bidi="he-IL"/>
        </w:rPr>
        <w:lastRenderedPageBreak/>
        <w:t xml:space="preserve">שאפילו עשאו לא יהא בטל. והפשטות מכמה מקורות שיש מעשה איסור. חדא שכן מבואר כמעט בהדיא ברמב"ם (פט"ו הכ"ה מהל' מאכ"א) שעיקר הדין הוא שאסור לבטל. וכן לכאורה משמע מדברי הראב"ד, חדא שהרי עיקר דבר זה שיהא הדין </w:t>
      </w:r>
      <w:r w:rsidR="002B1678" w:rsidRPr="00882F11">
        <w:rPr>
          <w:rFonts w:cs="Guttman Drogolin" w:hint="cs"/>
          <w:rtl/>
          <w:lang w:bidi="he-IL"/>
        </w:rPr>
        <w:t>דאסור לבטל מדאורייתא קשה לומר שהוא שאין הביטול חל מדאורייתא, דהיכן מרומז דבר זה, רק מסברא י"ל</w:t>
      </w:r>
      <w:r w:rsidR="00491E62" w:rsidRPr="00882F11">
        <w:rPr>
          <w:rStyle w:val="FootnoteReference"/>
          <w:rFonts w:cs="Guttman Drogolin"/>
          <w:rtl/>
          <w:lang w:bidi="he-IL"/>
        </w:rPr>
        <w:footnoteReference w:id="343"/>
      </w:r>
      <w:r w:rsidR="002B1678" w:rsidRPr="00882F11">
        <w:rPr>
          <w:rFonts w:cs="Guttman Drogolin" w:hint="cs"/>
          <w:rtl/>
          <w:lang w:bidi="he-IL"/>
        </w:rPr>
        <w:t xml:space="preserve"> שמ"מ אין לעשות כן. ור"ל שהפשטת היא לכאורה שגם הראב"ד מודה דהא שלא חל הביטול אפילו בדיעבד אינו אלא דין מדרבנן</w:t>
      </w:r>
      <w:r w:rsidR="009B5EA8" w:rsidRPr="00882F11">
        <w:rPr>
          <w:rStyle w:val="FootnoteReference"/>
          <w:rFonts w:cs="Guttman Drogolin"/>
          <w:rtl/>
          <w:lang w:bidi="he-IL"/>
        </w:rPr>
        <w:footnoteReference w:id="344"/>
      </w:r>
      <w:r w:rsidR="002B1678" w:rsidRPr="00882F11">
        <w:rPr>
          <w:rFonts w:cs="Guttman Drogolin" w:hint="cs"/>
          <w:rtl/>
          <w:lang w:bidi="he-IL"/>
        </w:rPr>
        <w:t>. ועוד שהרי התי' שנאמר לסוגיא במס' חולין אליבא דראב"ד שמשמע מן הברייתא דמיירי בדבר שכבר אסור משמע דאילו הדין שלא לבטל איסור לכתחילה הוא איסור מעשה. וכן לכאורה מבואר במס' גיטין דף נ"ד ע"ב שהשוו הדין של מס' תרומות לאסור התערובת לשאר קנסות של תורה שקנסו שוגג אטו מזיד, ואילו לא הי' דין לאסור אפילו לכתחילה יש לחלק, דהאי לא קנסו שוגג אטו מזיד היינו משום שאין איסור מעשה כלל, רק שהוא חיזוק לקנס דלא אמרינן, משא"כ בעלמא הוא קנס למנוע איסור.</w:t>
      </w:r>
      <w:r w:rsidR="0005444C" w:rsidRPr="00882F11">
        <w:rPr>
          <w:rFonts w:cs="Guttman Drogolin" w:hint="cs"/>
          <w:rtl/>
          <w:lang w:bidi="he-IL"/>
        </w:rPr>
        <w:t xml:space="preserve"> </w:t>
      </w:r>
      <w:r w:rsidR="002B1678" w:rsidRPr="00882F11">
        <w:rPr>
          <w:rFonts w:cs="Guttman Drogolin" w:hint="cs"/>
          <w:rtl/>
          <w:lang w:bidi="he-IL"/>
        </w:rPr>
        <w:t>וראיתי במגי"ס כאן שר"ל ששיטת הטור כמו הצד השני. שהרי הטור כאן לא הקדים דינים אלו דזה שאסור לבטל לכתחילה כלל</w:t>
      </w:r>
      <w:r w:rsidR="0005444C" w:rsidRPr="00882F11">
        <w:rPr>
          <w:rFonts w:cs="Guttman Drogolin" w:hint="cs"/>
          <w:rtl/>
          <w:lang w:bidi="he-IL"/>
        </w:rPr>
        <w:t>, וכן העיר עליו בב"י. וכתב שיתכן שטעמו של הטור משום שאין איסור שלא לבטל. אמנם נראה שדחוק לומר כן וכנ"ל, וכן לכאורה אין קושיית הב"י קושיא כ"כ חזקה כדי שנצטרך לחדש חידוש כזה.</w:t>
      </w:r>
    </w:p>
    <w:p w:rsidR="004539FD" w:rsidRPr="00882F11" w:rsidRDefault="0005444C" w:rsidP="00A736DA">
      <w:pPr>
        <w:tabs>
          <w:tab w:val="right" w:pos="7497"/>
        </w:tabs>
        <w:bidi/>
        <w:jc w:val="both"/>
        <w:rPr>
          <w:rFonts w:cs="Guttman Drogolin"/>
          <w:rtl/>
          <w:lang w:bidi="he-IL"/>
        </w:rPr>
      </w:pPr>
      <w:r w:rsidRPr="00882F11">
        <w:rPr>
          <w:rFonts w:cs="Guttman Drogolin" w:hint="cs"/>
          <w:rtl/>
          <w:lang w:bidi="he-IL"/>
        </w:rPr>
        <w:t xml:space="preserve">והנה אחרי שביארנו שיש איסור לבטל איסור לכתחילה יש להסתפק עד היכן הדברים אמורים. דהנה בפרי תואר </w:t>
      </w:r>
      <w:r w:rsidR="00491E62" w:rsidRPr="00882F11">
        <w:rPr>
          <w:rFonts w:cs="Guttman Drogolin" w:hint="cs"/>
          <w:rtl/>
          <w:lang w:bidi="he-IL"/>
        </w:rPr>
        <w:t>ס</w:t>
      </w:r>
      <w:r w:rsidRPr="00882F11">
        <w:rPr>
          <w:rFonts w:cs="Guttman Drogolin" w:hint="cs"/>
          <w:rtl/>
          <w:lang w:bidi="he-IL"/>
        </w:rPr>
        <w:t>ס"</w:t>
      </w:r>
      <w:r w:rsidR="00491E62" w:rsidRPr="00882F11">
        <w:rPr>
          <w:rFonts w:cs="Guttman Drogolin" w:hint="cs"/>
          <w:rtl/>
          <w:lang w:bidi="he-IL"/>
        </w:rPr>
        <w:t xml:space="preserve">ק ח' הסתפק </w:t>
      </w:r>
      <w:r w:rsidR="00172E64" w:rsidRPr="00882F11">
        <w:rPr>
          <w:rFonts w:cs="Guttman Drogolin" w:hint="cs"/>
          <w:rtl/>
          <w:lang w:bidi="he-IL"/>
        </w:rPr>
        <w:t xml:space="preserve">אם מותר לערב חתיכת נבילה עם חתיכות של איסור כדי לתת אותם לעכו"ם (ואינו מבואר להדיא שם מהו הטעם שיהא מותר) ומסיק "ומסתברא לי דגם לשדורי לגוי אסור דהא סוף סוף קא שרי (או שרי) איסור והא מילתא עצמה אסר לה רחמנא". ור"ל </w:t>
      </w:r>
      <w:r w:rsidR="00172E64" w:rsidRPr="00882F11">
        <w:rPr>
          <w:rFonts w:cs="Guttman Drogolin" w:hint="cs"/>
          <w:rtl/>
          <w:lang w:bidi="he-IL"/>
        </w:rPr>
        <w:lastRenderedPageBreak/>
        <w:t>שהרי האיסור הוא לערב איסור עם היתר באופן שיתבטל, וא"כ מה איכפת לן בזה שביטל האיסור בעבוד מי שאין לו בזה איסור, הא סוף כל סוף אחרי שעירב האיסור עם ההיתר הרי הוא מתבטל מאיסורו</w:t>
      </w:r>
      <w:r w:rsidR="00115B5B" w:rsidRPr="00882F11">
        <w:rPr>
          <w:rFonts w:cs="Guttman Drogolin" w:hint="cs"/>
          <w:rtl/>
          <w:lang w:bidi="he-IL"/>
        </w:rPr>
        <w:t xml:space="preserve"> (וכפשוטו מיירי באומר לו שא' מהם נבילה דאל"כ לכאורה יהא אסור משום גניבת דעת </w:t>
      </w:r>
      <w:r w:rsidR="00115B5B" w:rsidRPr="00882F11">
        <w:rPr>
          <w:rFonts w:cs="Guttman Drogolin"/>
          <w:rtl/>
          <w:lang w:bidi="he-IL"/>
        </w:rPr>
        <w:t>–</w:t>
      </w:r>
      <w:r w:rsidR="00115B5B" w:rsidRPr="00882F11">
        <w:rPr>
          <w:rFonts w:cs="Guttman Drogolin" w:hint="cs"/>
          <w:rtl/>
          <w:lang w:bidi="he-IL"/>
        </w:rPr>
        <w:t xml:space="preserve"> ע' חולין צ"ג ע"א ואכמ"ל)</w:t>
      </w:r>
      <w:r w:rsidR="00172E64" w:rsidRPr="00882F11">
        <w:rPr>
          <w:rFonts w:cs="Guttman Drogolin" w:hint="cs"/>
          <w:rtl/>
          <w:lang w:bidi="he-IL"/>
        </w:rPr>
        <w:t xml:space="preserve">. אמנם </w:t>
      </w:r>
      <w:r w:rsidR="00A736DA" w:rsidRPr="00882F11">
        <w:rPr>
          <w:rFonts w:cs="Guttman Drogolin" w:hint="cs"/>
          <w:rtl/>
          <w:lang w:bidi="he-IL"/>
        </w:rPr>
        <w:t>לכאורה בכמה מקומות חזינן שאין זה גדר האיסור, שאין איסור לעשות מעשה ביטול בעלמא, רק האיסור לגרום לכתחילה שיאכל או יהנה מדבר איסור ע"י זה שמבטלו קודם. דיעוין בר"ן (י"ב ע"ב מדפי הרי"ף) שכתב שאם אין נהנה מן האיסור אין איסור לבטל לכתחילה. והוכיח כן דאי לא תימא הכי, לראב"ד וסייעתו הסוברים שדינא דאין מבטלין איסור לכתחילה הוא דין מדאורייתא, איך התירו להגעיל כלי מדין.</w:t>
      </w:r>
      <w:r w:rsidR="00115B5B" w:rsidRPr="00882F11">
        <w:rPr>
          <w:rFonts w:cs="Guttman Drogolin" w:hint="cs"/>
          <w:rtl/>
          <w:lang w:bidi="he-IL"/>
        </w:rPr>
        <w:t xml:space="preserve"> וע' בגליון מהרש"א על הט"ז סי"ק ט"ו שהעיר על הר"ן דהא כיון שאינו מתכוין אלא לזרקו פשוט שאין איסור לבטל לכתחילה</w:t>
      </w:r>
      <w:r w:rsidR="00BB1A6D" w:rsidRPr="00882F11">
        <w:rPr>
          <w:rStyle w:val="FootnoteReference"/>
          <w:rFonts w:cs="Guttman Drogolin"/>
          <w:rtl/>
          <w:lang w:bidi="he-IL"/>
        </w:rPr>
        <w:footnoteReference w:id="345"/>
      </w:r>
      <w:r w:rsidR="00115B5B" w:rsidRPr="00882F11">
        <w:rPr>
          <w:rFonts w:cs="Guttman Drogolin" w:hint="cs"/>
          <w:rtl/>
          <w:lang w:bidi="he-IL"/>
        </w:rPr>
        <w:t>.</w:t>
      </w:r>
      <w:r w:rsidR="004539FD" w:rsidRPr="00882F11">
        <w:rPr>
          <w:rFonts w:cs="Guttman Drogolin" w:hint="cs"/>
          <w:rtl/>
          <w:lang w:bidi="he-IL"/>
        </w:rPr>
        <w:t xml:space="preserve"> ויש נידון גדול באופן כללי אם יש איסור לבטל איסור לכתחילה כשאין כוונתו לבטל אפילו כשאין לו ריוח מזה שביטלו, ובהצשך נבאר בזה יותר.</w:t>
      </w:r>
    </w:p>
    <w:p w:rsidR="001D059C" w:rsidRPr="00882F11" w:rsidRDefault="004539FD" w:rsidP="00C72D75">
      <w:pPr>
        <w:tabs>
          <w:tab w:val="right" w:pos="7497"/>
        </w:tabs>
        <w:bidi/>
        <w:jc w:val="both"/>
        <w:rPr>
          <w:rFonts w:cs="Guttman Drogolin"/>
          <w:rtl/>
          <w:lang w:bidi="he-IL"/>
        </w:rPr>
      </w:pPr>
      <w:r w:rsidRPr="00882F11">
        <w:rPr>
          <w:rFonts w:cs="Guttman Drogolin" w:hint="cs"/>
          <w:rtl/>
          <w:lang w:bidi="he-IL"/>
        </w:rPr>
        <w:t xml:space="preserve">ונראה לבאר תו, דהנה הרמב"ם כתב שזה שאסור בדיעבד אם ביטל לכתחילה היינו למי שביטלו, והרשב"א הוסיף לדעתו דהה"נ למי שנתבטל בשבילו. והקשה הב"י דלמה יהא אסור למי שהתבטל בשבילו, הא אין </w:t>
      </w:r>
      <w:r w:rsidR="00F26493" w:rsidRPr="00882F11">
        <w:rPr>
          <w:rFonts w:cs="Guttman Drogolin" w:hint="cs"/>
          <w:rtl/>
          <w:lang w:bidi="he-IL"/>
        </w:rPr>
        <w:t>אדם חוטא ולא לו</w:t>
      </w:r>
      <w:r w:rsidRPr="00882F11">
        <w:rPr>
          <w:rFonts w:cs="Guttman Drogolin" w:hint="cs"/>
          <w:rtl/>
          <w:lang w:bidi="he-IL"/>
        </w:rPr>
        <w:t>.</w:t>
      </w:r>
      <w:r w:rsidR="00F26493" w:rsidRPr="00882F11">
        <w:rPr>
          <w:rFonts w:cs="Guttman Drogolin" w:hint="cs"/>
          <w:rtl/>
          <w:lang w:bidi="he-IL"/>
        </w:rPr>
        <w:t xml:space="preserve"> ותי' או משום שלא משמע להו לאינשי שיהא אסור לבטל איסור לכתחילה, א"נ שיעשה הביטול ע"י גוי או עבד. והנה בזה שמבטל ע"י נכרי לכאורה י"ל שהוא אסור משום שגזרו שבות דאמריה לנכרי גם באיסורים אחרים וכדמבואר במס' ב"מ צ"א ע"א. וא"כ לכאורה יש לעיין אם יהא מותר לכתחילה לומר לנכרי לבטל איסור דרבנן במקום מצוה או צורך כיון דכה"ג הוי שבות דשבות שהקילו בה בשבת במקום מצוה, ולכאורה א"כ </w:t>
      </w:r>
      <w:r w:rsidR="00F26493" w:rsidRPr="00882F11">
        <w:rPr>
          <w:rFonts w:cs="Guttman Drogolin" w:hint="cs"/>
          <w:rtl/>
          <w:lang w:bidi="he-IL"/>
        </w:rPr>
        <w:lastRenderedPageBreak/>
        <w:t xml:space="preserve">הה"נ בנד"ד. </w:t>
      </w:r>
      <w:r w:rsidR="00C72D75" w:rsidRPr="00882F11">
        <w:rPr>
          <w:rFonts w:cs="Guttman Drogolin" w:hint="cs"/>
          <w:rtl/>
          <w:lang w:bidi="he-IL"/>
        </w:rPr>
        <w:t>אמנם נראה יותר שכה"ג לא חשיב שבות דשבות, ומשום שאין האיסור של ביטול איסור לכתחילה משום שעושה דבר ע"י הגוף שלו, רק כיון שגורם באיזה אופן שהיא לבטל האיסור כדי שיאכלנו לאחר מכן, הרי זה בכלל האיסור לבטל איסור לכתחילה. וא"כ אפילו כשמבטל ע"י נכרי הרי</w:t>
      </w:r>
      <w:r w:rsidR="001D059C" w:rsidRPr="00882F11">
        <w:rPr>
          <w:rFonts w:cs="Guttman Drogolin" w:hint="cs"/>
          <w:rtl/>
          <w:lang w:bidi="he-IL"/>
        </w:rPr>
        <w:t xml:space="preserve"> </w:t>
      </w:r>
      <w:r w:rsidR="00C72D75" w:rsidRPr="00882F11">
        <w:rPr>
          <w:rFonts w:cs="Guttman Drogolin" w:hint="cs"/>
          <w:rtl/>
          <w:lang w:bidi="he-IL"/>
        </w:rPr>
        <w:t>זה כמבטל בעצמו ואסור.</w:t>
      </w:r>
    </w:p>
    <w:p w:rsidR="001D059C" w:rsidRPr="00882F11" w:rsidRDefault="001D059C" w:rsidP="001D059C">
      <w:pPr>
        <w:pStyle w:val="Heading1"/>
        <w:bidi/>
        <w:spacing w:before="0" w:line="360" w:lineRule="auto"/>
        <w:jc w:val="center"/>
        <w:rPr>
          <w:rFonts w:cs="Guttman Drogolin"/>
          <w:color w:val="auto"/>
          <w:sz w:val="24"/>
          <w:szCs w:val="24"/>
          <w:u w:val="single"/>
          <w:rtl/>
          <w:lang w:bidi="he-IL"/>
        </w:rPr>
      </w:pPr>
      <w:bookmarkStart w:id="322" w:name="_Toc496175573"/>
      <w:r w:rsidRPr="00882F11">
        <w:rPr>
          <w:rFonts w:cs="Guttman Drogolin" w:hint="cs"/>
          <w:color w:val="auto"/>
          <w:sz w:val="24"/>
          <w:szCs w:val="24"/>
          <w:u w:val="single"/>
          <w:rtl/>
          <w:lang w:bidi="he-IL"/>
        </w:rPr>
        <w:t>האם מבטלין איסור דרבנן לכתחילה</w:t>
      </w:r>
      <w:bookmarkEnd w:id="322"/>
    </w:p>
    <w:p w:rsidR="001D059C" w:rsidRPr="00882F11" w:rsidRDefault="009A58DF" w:rsidP="001D059C">
      <w:pPr>
        <w:tabs>
          <w:tab w:val="right" w:pos="7497"/>
        </w:tabs>
        <w:bidi/>
        <w:jc w:val="both"/>
        <w:rPr>
          <w:rFonts w:cs="Guttman Drogolin"/>
          <w:rtl/>
          <w:lang w:bidi="he-IL"/>
        </w:rPr>
      </w:pPr>
      <w:r>
        <w:rPr>
          <w:rFonts w:cs="Guttman Drogolin"/>
          <w:rtl/>
          <w:lang w:bidi="he-IL"/>
        </w:rPr>
        <w:fldChar w:fldCharType="begin"/>
      </w:r>
      <w:r>
        <w:instrText xml:space="preserve"> XE "</w:instrText>
      </w:r>
      <w:r w:rsidRPr="00E1647C">
        <w:rPr>
          <w:rFonts w:hint="cs"/>
          <w:rtl/>
          <w:lang w:bidi="he-IL"/>
        </w:rPr>
        <w:instrText>אין מבטלין איסור לכתחילה</w:instrText>
      </w:r>
      <w:r w:rsidRPr="00E1647C">
        <w:rPr>
          <w:rtl/>
        </w:rPr>
        <w:instrText>:</w:instrText>
      </w:r>
      <w:r w:rsidRPr="00E1647C">
        <w:rPr>
          <w:rFonts w:hint="cs"/>
          <w:rtl/>
          <w:lang w:bidi="he-IL"/>
        </w:rPr>
        <w:instrText>באיסור דרבנן</w:instrText>
      </w:r>
      <w:r>
        <w:instrText xml:space="preserve">" </w:instrText>
      </w:r>
      <w:r>
        <w:rPr>
          <w:rFonts w:cs="Guttman Drogolin"/>
          <w:rtl/>
          <w:lang w:bidi="he-IL"/>
        </w:rPr>
        <w:fldChar w:fldCharType="end"/>
      </w:r>
      <w:r w:rsidR="001D059C" w:rsidRPr="00882F11">
        <w:rPr>
          <w:rFonts w:cs="Guttman Drogolin" w:hint="cs"/>
          <w:rtl/>
          <w:lang w:bidi="he-IL"/>
        </w:rPr>
        <w:t xml:space="preserve">שם במס' ביצה הקשו למה מותר להרבות עצים מוכנים על העצים של מוקצה בתוך התנור, הא אין מבטלין איסור לכתחילה. ותי' הגמ' דהנ"מ בדאורייתא, אבל בדרבנן מבטלין. ושוב מקשה הגמ' דמה מהני ריבוי הא הוי דבר שי"ל מתירים, ותי' שלא החמירו בזה אלא כשוא בעיני', אבל הכא מיקלא קלי איסורא. </w:t>
      </w:r>
    </w:p>
    <w:p w:rsidR="000737C7" w:rsidRPr="00882F11" w:rsidRDefault="001D059C" w:rsidP="000737C7">
      <w:pPr>
        <w:tabs>
          <w:tab w:val="right" w:pos="7497"/>
        </w:tabs>
        <w:bidi/>
        <w:jc w:val="both"/>
        <w:rPr>
          <w:rFonts w:cs="Guttman Drogolin"/>
          <w:rtl/>
          <w:lang w:bidi="he-IL"/>
        </w:rPr>
      </w:pPr>
      <w:r w:rsidRPr="00882F11">
        <w:rPr>
          <w:rFonts w:cs="Guttman Drogolin" w:hint="cs"/>
          <w:rtl/>
          <w:lang w:bidi="he-IL"/>
        </w:rPr>
        <w:t>וקודם כל יש להעיר בפשט דברי הגמ' דמאי אהני לן הא דמרבה עליהם עצים, הא העצים ניכרים ואין כאן ביטול. ולכאורה הי' נראה שהרשב"א במס' שבת דף כ"ט ע"א ההתייחס לשאלה זאת ותי' דאה"נ אבל כאן לא משום ביטול אתינן עלה, רק דכיון שיש רוב עים של היתר אין כאן אלא טלטול מן הצד שמותרת. אלא שאי אפשר לומר כן כלל, דא"כ מהו הענין של אין ביטול איסור לכתחילה, וכן מהו הענין של דבר שי"ל מתירים. וזהו חוץ ממה שמבואר בחי' הרשב"א כאן בסוגיא תי' אחר לקושיא זו. וראיתי בס' זכרון שמואל סי' כ"ד שתי' שלכאורה יש כאן ב' נידונים. דהנה זה שמרבה עליו עצים ולכן מותר משום ביטול לא יתכן אלא לאחר שנשרף ואינו ניכר, וכ"כ הרשב"א כאן</w:t>
      </w:r>
      <w:r w:rsidR="000737C7" w:rsidRPr="00882F11">
        <w:rPr>
          <w:rFonts w:cs="Guttman Drogolin" w:hint="cs"/>
          <w:rtl/>
          <w:lang w:bidi="he-IL"/>
        </w:rPr>
        <w:t>. אלא דא"כ עדיין תיקשי (וכן הקשה בפמ"ג) שבשעה שמהפך בעצים עדיין לא נשרפו, ובשעה הזאת צ"ע מה מתיר טלטולם. לזה כתב הרשב"א במס' שבת שלענין טלטול לא בעינן ביטול כלל, דהא יש להתיר משום דהוי טלטול ממן הצד. אמנם טלטול מן הצד נמי אינו טעם מספיק להתיר, שאין זה מתיר אלא טלטול, אבל יש איסור נוסף של השתמשות, ואיך אפשר להשתמש בהם. לזה אנחנו צריכם לביטול, דכיון שאינו מרויח מן ההשתמשות עד שיתכלה ואז הוא מבוטל לל"ב.</w:t>
      </w:r>
    </w:p>
    <w:p w:rsidR="000737C7" w:rsidRPr="00882F11" w:rsidRDefault="000737C7" w:rsidP="000737C7">
      <w:pPr>
        <w:tabs>
          <w:tab w:val="right" w:pos="7497"/>
        </w:tabs>
        <w:bidi/>
        <w:jc w:val="both"/>
        <w:rPr>
          <w:rFonts w:cs="Guttman Drogolin"/>
          <w:rtl/>
          <w:lang w:bidi="he-IL"/>
        </w:rPr>
      </w:pPr>
      <w:r w:rsidRPr="00882F11">
        <w:rPr>
          <w:rFonts w:cs="Guttman Drogolin" w:hint="cs"/>
          <w:rtl/>
          <w:lang w:bidi="he-IL"/>
        </w:rPr>
        <w:lastRenderedPageBreak/>
        <w:t xml:space="preserve">והנה על פניו מבואר בגמ' דהא דאמרינן שאין מבטלין איסור לכתחילה, הנ"מ באיסור דאורייתא, אבל באיסור דרבנן לא. ואע"ג שלכאורה מפורש במס' גיטין שדבר שבטל מדאורייתא חד בתרי עדיין יש בה משום אין מבטליו איסור לכתחילה, מ"מ י"ל דשאני התם שהאיסור המעורב הוא איסור דאורייתא, אבל במקום שהאיסור המעורב אינו אסור אלא מדרבנן מבטלין. וכן הביא הרשב"א בתוה"א שיש מי שאומר כן. ויש לזה סמוכים גם מן הגמ' שבמס' בכורות דמבואר שם שמבטלין תרומת חו"ל לכתחילה. </w:t>
      </w:r>
    </w:p>
    <w:p w:rsidR="008A30A9" w:rsidRPr="00882F11" w:rsidRDefault="008A30A9" w:rsidP="009B5EA8">
      <w:pPr>
        <w:tabs>
          <w:tab w:val="right" w:pos="7497"/>
        </w:tabs>
        <w:bidi/>
        <w:jc w:val="both"/>
        <w:rPr>
          <w:rFonts w:cs="Guttman Drogolin"/>
          <w:rtl/>
          <w:lang w:bidi="he-IL"/>
        </w:rPr>
      </w:pPr>
      <w:r w:rsidRPr="00882F11">
        <w:rPr>
          <w:rFonts w:cs="Guttman Drogolin" w:hint="cs"/>
          <w:rtl/>
          <w:lang w:bidi="he-IL"/>
        </w:rPr>
        <w:t>אלא דהנה יש דיוק בלשון הגמ', שהרי כתוב אין מבטלין איסור 'לכתחילה', ולכאורה צע"ק הלשון ד'לכתחילה', דהא עד כמה שהוא אסור הא פשוט שהוא לכתחילה. ויעוין במס' פסחים דף ל' ע"א ד"ה לשהינהו שכתבו בתי' א' שאם מיירי בכלי חרס שאי אפשר להכשיר אותו מותר לבשל בה לאחר הפסח אע"ג שמבטל איסור לכתחילה כיון שהוי כדיעבד. ולכאורה צ"ע דהא לענין האיסור לבטל אינו בדיעבד רק לכתחילה</w:t>
      </w:r>
      <w:r w:rsidR="009B5EA8" w:rsidRPr="00882F11">
        <w:rPr>
          <w:rFonts w:cs="Guttman Drogolin" w:hint="cs"/>
          <w:rtl/>
          <w:lang w:bidi="he-IL"/>
        </w:rPr>
        <w:t xml:space="preserve"> דהא עכשיו הוא שמבטל אותו. וחזינן לדעתייהו שבמקום קושי התירו לבטל איסור לכתחילה, וכל מה שאסרו אינו אלא לכתחילה, ר"ל מבלי שיפסיד מן ההיתר, אבלל במקום שמפסיד מן ההיתר הרי זה כבדיעבד ולכן מותר לבטל. וכן יעוין ברשב"א בחי' שם וכן בתוה"א שכתב דהא דמתירין לבטל איסור דרבנן לכתחילה, הנ"מ כשהי' שם כבר עצים מוכנים כשנפלו המוקצים, ולכן הקילו לבטל איסור לכתחילה כדי להציל על העצים המוכנים, אבל אם נפלו עצים שאינם מוכנים בפני עצמם לא הקילו. </w:t>
      </w:r>
    </w:p>
    <w:p w:rsidR="00066328" w:rsidRPr="00882F11" w:rsidRDefault="000737C7" w:rsidP="00204974">
      <w:pPr>
        <w:tabs>
          <w:tab w:val="right" w:pos="7497"/>
        </w:tabs>
        <w:bidi/>
        <w:jc w:val="both"/>
        <w:rPr>
          <w:rFonts w:cs="Guttman Drogolin"/>
          <w:rtl/>
          <w:lang w:bidi="he-IL"/>
        </w:rPr>
      </w:pPr>
      <w:r w:rsidRPr="00882F11">
        <w:rPr>
          <w:rFonts w:cs="Guttman Drogolin" w:hint="cs"/>
          <w:rtl/>
          <w:lang w:bidi="he-IL"/>
        </w:rPr>
        <w:t>והתוס' העירו מן הגמ' שם בדף ג' ע"ב שלא הקילו באיסור דרבנן דתרומה לבטלו לכתחילה.</w:t>
      </w:r>
      <w:r w:rsidR="008A30A9" w:rsidRPr="00882F11">
        <w:rPr>
          <w:rFonts w:cs="Guttman Drogolin" w:hint="cs"/>
          <w:rtl/>
          <w:lang w:bidi="he-IL"/>
        </w:rPr>
        <w:t xml:space="preserve"> וכן מן הגמ' שבדף צ"ח ע"א שמדויק שם שאילו היתה חצי שיעור מן התורה היינו אוסרים ולא מתירים להרבות באיסור. ומשו"ה חידשו שלא נאמר הקולא שבגמ' אלא באיסור דרבנן שאין לו עיקר מן התורה, אבל בהנהו שיש להם עיקר מן התורה אסור לבטל איסור לכתחילה אע"פ שאינו אלא מדרבנן. </w:t>
      </w:r>
      <w:r w:rsidR="009B5EA8" w:rsidRPr="00882F11">
        <w:rPr>
          <w:rFonts w:cs="Guttman Drogolin" w:hint="cs"/>
          <w:rtl/>
          <w:lang w:bidi="he-IL"/>
        </w:rPr>
        <w:t xml:space="preserve">אמנם מכח קושיות אלו (כ"כ בביאור הגר"א) כתבו הרא"ש והרא"ה בבד"ה שבאמת לא </w:t>
      </w:r>
      <w:r w:rsidR="009B5EA8" w:rsidRPr="00882F11">
        <w:rPr>
          <w:rFonts w:cs="Guttman Drogolin" w:hint="cs"/>
          <w:rtl/>
          <w:lang w:bidi="he-IL"/>
        </w:rPr>
        <w:lastRenderedPageBreak/>
        <w:t>הקילו אפילו באיסור דרבנן אלא בדמיקלא קלי איסורא, אבל בלי זה לא. וזהו לכאורה דוחק גדול בבביאור דברי הגמ', דהא הגמ' לא כתבו דמיירי בדמיקלא קלי איסורא אלא משום הא דהוי דבר שי"ל מתירים, ומשמע שלא צריכים לאוקימתא זו לדינא דמבטליין איסור לכתחילה. וע"כ הרא"ש והרא"ה שצריכים לדחוק בלשון הגמ' מכח קושיות הנ"ל, ולא מסתבר להו לחלק בין דבר שעיקרו מן התורה לדבר שאין עיקרו מן התורה.</w:t>
      </w:r>
      <w:r w:rsidRPr="00882F11">
        <w:rPr>
          <w:rFonts w:cs="Guttman Drogolin" w:hint="cs"/>
          <w:rtl/>
          <w:lang w:bidi="he-IL"/>
        </w:rPr>
        <w:t xml:space="preserve"> </w:t>
      </w:r>
    </w:p>
    <w:p w:rsidR="00066328" w:rsidRPr="00882F11" w:rsidRDefault="00066328" w:rsidP="00066328">
      <w:pPr>
        <w:tabs>
          <w:tab w:val="right" w:pos="7497"/>
        </w:tabs>
        <w:bidi/>
        <w:jc w:val="both"/>
        <w:rPr>
          <w:rFonts w:cs="Guttman Drogolin"/>
          <w:rtl/>
          <w:lang w:bidi="he-IL"/>
        </w:rPr>
        <w:sectPr w:rsidR="00066328" w:rsidRPr="00882F11" w:rsidSect="005229E6">
          <w:type w:val="continuous"/>
          <w:pgSz w:w="11907" w:h="16839" w:code="9"/>
          <w:pgMar w:top="1440" w:right="1440" w:bottom="1440" w:left="1440" w:header="720" w:footer="720" w:gutter="0"/>
          <w:cols w:num="2" w:space="720"/>
          <w:bidi/>
          <w:docGrid w:linePitch="360"/>
        </w:sectPr>
      </w:pPr>
    </w:p>
    <w:p w:rsidR="00066328" w:rsidRPr="00882F11" w:rsidRDefault="00066328" w:rsidP="00066328">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פ'</w:t>
      </w:r>
    </w:p>
    <w:p w:rsidR="005229E6" w:rsidRDefault="005229E6" w:rsidP="00066328">
      <w:pPr>
        <w:pStyle w:val="Heading1"/>
        <w:bidi/>
        <w:spacing w:before="0" w:line="360" w:lineRule="auto"/>
        <w:jc w:val="center"/>
        <w:rPr>
          <w:rFonts w:cs="Guttman Drogolin"/>
          <w:color w:val="auto"/>
          <w:sz w:val="24"/>
          <w:szCs w:val="24"/>
          <w:u w:val="single"/>
          <w:rtl/>
          <w:lang w:bidi="he-IL"/>
        </w:rPr>
        <w:sectPr w:rsidR="005229E6" w:rsidSect="005229E6">
          <w:pgSz w:w="11907" w:h="16839" w:code="9"/>
          <w:pgMar w:top="1440" w:right="1440" w:bottom="1440" w:left="1440" w:header="720" w:footer="720" w:gutter="0"/>
          <w:cols w:space="720"/>
          <w:bidi/>
          <w:docGrid w:linePitch="360"/>
        </w:sectPr>
      </w:pPr>
    </w:p>
    <w:p w:rsidR="00066328" w:rsidRPr="00882F11" w:rsidRDefault="00066328" w:rsidP="00066328">
      <w:pPr>
        <w:pStyle w:val="Heading1"/>
        <w:bidi/>
        <w:spacing w:before="0" w:line="360" w:lineRule="auto"/>
        <w:jc w:val="center"/>
        <w:rPr>
          <w:rFonts w:cs="Guttman Drogolin"/>
          <w:color w:val="auto"/>
          <w:sz w:val="24"/>
          <w:szCs w:val="24"/>
          <w:u w:val="single"/>
          <w:rtl/>
          <w:lang w:bidi="he-IL"/>
        </w:rPr>
      </w:pPr>
      <w:bookmarkStart w:id="323" w:name="_Toc496175574"/>
      <w:r w:rsidRPr="00882F11">
        <w:rPr>
          <w:rFonts w:cs="Guttman Drogolin" w:hint="cs"/>
          <w:color w:val="auto"/>
          <w:sz w:val="24"/>
          <w:szCs w:val="24"/>
          <w:u w:val="single"/>
          <w:rtl/>
          <w:lang w:bidi="he-IL"/>
        </w:rPr>
        <w:lastRenderedPageBreak/>
        <w:t>ביטול איסור ע"י נכרי, ולתועלת ישראל</w:t>
      </w:r>
      <w:bookmarkEnd w:id="323"/>
    </w:p>
    <w:p w:rsidR="00066328" w:rsidRPr="00882F11" w:rsidRDefault="00B0776E" w:rsidP="0000320B">
      <w:pPr>
        <w:tabs>
          <w:tab w:val="right" w:pos="7497"/>
        </w:tabs>
        <w:bidi/>
        <w:jc w:val="both"/>
        <w:rPr>
          <w:rFonts w:cs="Guttman Drogolin"/>
          <w:rtl/>
          <w:lang w:bidi="he-IL"/>
        </w:rPr>
      </w:pPr>
      <w:r>
        <w:rPr>
          <w:rFonts w:cs="Guttman Drogolin"/>
          <w:rtl/>
          <w:lang w:bidi="he-IL"/>
        </w:rPr>
        <w:fldChar w:fldCharType="begin"/>
      </w:r>
      <w:r>
        <w:instrText xml:space="preserve"> XE "</w:instrText>
      </w:r>
      <w:r w:rsidRPr="00FA0AA5">
        <w:rPr>
          <w:rFonts w:hint="cs"/>
          <w:rtl/>
          <w:lang w:bidi="he-IL"/>
        </w:rPr>
        <w:instrText>אין מבטלין איסור לכתחילה</w:instrText>
      </w:r>
      <w:r w:rsidRPr="00FA0AA5">
        <w:rPr>
          <w:rtl/>
        </w:rPr>
        <w:instrText>:</w:instrText>
      </w:r>
      <w:r w:rsidRPr="00FA0AA5">
        <w:rPr>
          <w:rFonts w:hint="cs"/>
          <w:rtl/>
          <w:lang w:bidi="he-IL"/>
        </w:rPr>
        <w:instrText>ע</w:instrText>
      </w:r>
      <w:r>
        <w:rPr>
          <w:rFonts w:eastAsiaTheme="minorEastAsia"/>
          <w:lang w:bidi="he-IL"/>
        </w:rPr>
        <w:instrText>\</w:instrText>
      </w:r>
      <w:r w:rsidRPr="00FA0AA5">
        <w:rPr>
          <w:rFonts w:hint="cs"/>
          <w:rtl/>
          <w:lang w:bidi="he-IL"/>
        </w:rPr>
        <w:instrText>"י נכרי</w:instrText>
      </w:r>
      <w:r>
        <w:instrText xml:space="preserve">" </w:instrText>
      </w:r>
      <w:r>
        <w:rPr>
          <w:rFonts w:cs="Guttman Drogolin"/>
          <w:rtl/>
          <w:lang w:bidi="he-IL"/>
        </w:rPr>
        <w:fldChar w:fldCharType="end"/>
      </w:r>
      <w:r w:rsidR="008A5572">
        <w:rPr>
          <w:rFonts w:cs="Guttman Drogolin"/>
          <w:rtl/>
          <w:lang w:bidi="he-IL"/>
        </w:rPr>
        <w:fldChar w:fldCharType="begin"/>
      </w:r>
      <w:r w:rsidR="008A5572">
        <w:instrText xml:space="preserve"> XE "</w:instrText>
      </w:r>
      <w:r w:rsidR="008A5572" w:rsidRPr="00AA5D41">
        <w:rPr>
          <w:rFonts w:hint="cs"/>
          <w:rtl/>
          <w:lang w:bidi="he-IL"/>
        </w:rPr>
        <w:instrText>אמירה לנכרי</w:instrText>
      </w:r>
      <w:r w:rsidR="008A5572" w:rsidRPr="00AA5D41">
        <w:rPr>
          <w:rtl/>
        </w:rPr>
        <w:instrText>:</w:instrText>
      </w:r>
      <w:r w:rsidR="008A5572" w:rsidRPr="00AA5D41">
        <w:rPr>
          <w:rFonts w:hint="cs"/>
          <w:rtl/>
          <w:lang w:bidi="he-IL"/>
        </w:rPr>
        <w:instrText>לבטל איסור לכתחילה</w:instrText>
      </w:r>
      <w:r w:rsidR="008A5572">
        <w:instrText xml:space="preserve">" </w:instrText>
      </w:r>
      <w:r w:rsidR="008A5572">
        <w:rPr>
          <w:rFonts w:cs="Guttman Drogolin"/>
          <w:rtl/>
          <w:lang w:bidi="he-IL"/>
        </w:rPr>
        <w:fldChar w:fldCharType="end"/>
      </w:r>
      <w:r w:rsidR="00066328" w:rsidRPr="00882F11">
        <w:rPr>
          <w:rFonts w:cs="Guttman Drogolin" w:hint="cs"/>
          <w:rtl/>
          <w:lang w:bidi="he-IL"/>
        </w:rPr>
        <w:t>בשיעור הקודם כתבנו שא</w:t>
      </w:r>
      <w:r w:rsidR="0000320B" w:rsidRPr="00882F11">
        <w:rPr>
          <w:rFonts w:cs="Guttman Drogolin" w:hint="cs"/>
          <w:rtl/>
          <w:lang w:bidi="he-IL"/>
        </w:rPr>
        <w:t>ם</w:t>
      </w:r>
      <w:r w:rsidR="00066328" w:rsidRPr="00882F11">
        <w:rPr>
          <w:rFonts w:cs="Guttman Drogolin" w:hint="cs"/>
          <w:rtl/>
          <w:lang w:bidi="he-IL"/>
        </w:rPr>
        <w:t xml:space="preserve"> יבטל איסור לכתחילה ע"י נכרי אין זה צריך לאיסורא דאמירה לנכרי שנאמר בכל התורה כולה, רק הוא בכלל העיקר האיסור של מבטל איסור לכתחילה. והאחרונים דנים בכמה נושאים דומים.</w:t>
      </w:r>
    </w:p>
    <w:p w:rsidR="0037709D" w:rsidRPr="00882F11" w:rsidRDefault="00066328" w:rsidP="00CB152D">
      <w:pPr>
        <w:tabs>
          <w:tab w:val="right" w:pos="7497"/>
        </w:tabs>
        <w:bidi/>
        <w:jc w:val="both"/>
        <w:rPr>
          <w:rFonts w:cs="Guttman Drogolin"/>
          <w:rtl/>
          <w:lang w:bidi="he-IL"/>
        </w:rPr>
      </w:pPr>
      <w:r w:rsidRPr="00882F11">
        <w:rPr>
          <w:rFonts w:cs="Guttman Drogolin" w:hint="cs"/>
          <w:rtl/>
          <w:lang w:bidi="he-IL"/>
        </w:rPr>
        <w:t>והנה זה דבר פשוט שאם ביטל הנכרי לצורך עצמו ושוב אשתרבב תבשיל זה לתוך תבשיל של ישראל, שאין בזה משום ביטל איסור לכתחילה, דהא לנכרי אין ענין של ביטול כלל דהא עצם האיסור מותר לאכול</w:t>
      </w:r>
      <w:r w:rsidRPr="00882F11">
        <w:rPr>
          <w:rStyle w:val="FootnoteReference"/>
          <w:rFonts w:cs="Guttman Drogolin"/>
          <w:rtl/>
          <w:lang w:bidi="he-IL"/>
        </w:rPr>
        <w:footnoteReference w:id="346"/>
      </w:r>
      <w:r w:rsidRPr="00882F11">
        <w:rPr>
          <w:rFonts w:cs="Guttman Drogolin" w:hint="cs"/>
          <w:rtl/>
          <w:lang w:bidi="he-IL"/>
        </w:rPr>
        <w:t xml:space="preserve">. </w:t>
      </w:r>
      <w:r w:rsidR="00CB152D" w:rsidRPr="00882F11">
        <w:rPr>
          <w:rFonts w:cs="Guttman Drogolin" w:hint="cs"/>
          <w:rtl/>
          <w:lang w:bidi="he-IL"/>
        </w:rPr>
        <w:t xml:space="preserve">אמנם בשו"ת רדב"ז נקט שאסור לקנות מן הנכרי ומשום שגם זה נחשב כלכתחילה. אמנם בבדי השולחן הביא שרוב האחרונים נקטו שכה"ג מותר. ונראה טעמם פשוט, דהא אין איסור לקנות מאכל שיש בה איסור שהוא בטל בששים, רק האיסור הוא לקחת מאכל </w:t>
      </w:r>
      <w:r w:rsidR="0037709D" w:rsidRPr="00882F11">
        <w:rPr>
          <w:rFonts w:cs="Guttman Drogolin" w:hint="cs"/>
          <w:rtl/>
          <w:lang w:bidi="he-IL"/>
        </w:rPr>
        <w:t>שאינו בטל ולעשותו בטל. וכיון שבכה"ג כבר בטל קודם שקנאו אין איסור לקנותו. וכנראה הרדב"ז הבין אחרת וסבר שהאיסור להכניס מאכל בטל לתוך רשותו שלא לצורך. וצ"ע.</w:t>
      </w:r>
    </w:p>
    <w:p w:rsidR="0037709D" w:rsidRPr="00882F11" w:rsidRDefault="0037709D" w:rsidP="0037709D">
      <w:pPr>
        <w:tabs>
          <w:tab w:val="right" w:pos="7497"/>
        </w:tabs>
        <w:bidi/>
        <w:jc w:val="both"/>
        <w:rPr>
          <w:rFonts w:cs="Guttman Drogolin"/>
          <w:rtl/>
          <w:lang w:bidi="he-IL"/>
        </w:rPr>
      </w:pPr>
      <w:r w:rsidRPr="00882F11">
        <w:rPr>
          <w:rFonts w:cs="Guttman Drogolin" w:hint="cs"/>
          <w:rtl/>
          <w:lang w:bidi="he-IL"/>
        </w:rPr>
        <w:t xml:space="preserve">עוד דנו בנכרי העושה על דעת לתת אותו לישראל. והנה לכאורה אין כאן משום מעשה ביטול איסור לכתחילה, דהא הישראל אינו עושה שום דבר כדי שהנכרי יבטלנו, ולכאורה זה שאינו מוחה בו לא חשוב כאילו הוא מבטל אותו. אמנם לכאורה יש לאסור כמו דאסרינן בעלמא בנכרי העושה על דעת ישראל, שאפילו אם עושה כן מעצמו חייב היהודי למחות בו אם הוא היתר חיובי, ולכאורה זה שמבטל האיסור הרי הוא הנאה חיובי לחפצא דאיסורא הניתר ע"י הביטול. וא"כ לכאורה יוצא דלא מיבעי שחייב למחות בנכרי העושה כן, אלא אסור לו גם ליהנות ממעשיו וכמו בכל אמירה לנכרי. אמנם במקון רוב </w:t>
      </w:r>
      <w:r w:rsidRPr="00882F11">
        <w:rPr>
          <w:rFonts w:cs="Guttman Drogolin" w:hint="cs"/>
          <w:rtl/>
          <w:lang w:bidi="he-IL"/>
        </w:rPr>
        <w:lastRenderedPageBreak/>
        <w:t xml:space="preserve">ישראל ואינו עושה במסוים עבור ישראל לכאורה יש להקל וכמו במרחץ </w:t>
      </w:r>
      <w:r w:rsidR="00960330" w:rsidRPr="00882F11">
        <w:rPr>
          <w:rFonts w:cs="Guttman Drogolin" w:hint="cs"/>
          <w:rtl/>
          <w:lang w:bidi="he-IL"/>
        </w:rPr>
        <w:t>ש</w:t>
      </w:r>
      <w:r w:rsidRPr="00882F11">
        <w:rPr>
          <w:rFonts w:cs="Guttman Drogolin" w:hint="cs"/>
          <w:rtl/>
          <w:lang w:bidi="he-IL"/>
        </w:rPr>
        <w:t>בסו"פ כל כתבי.</w:t>
      </w:r>
    </w:p>
    <w:p w:rsidR="00857C3C" w:rsidRPr="00882F11" w:rsidRDefault="0037709D" w:rsidP="00960330">
      <w:pPr>
        <w:tabs>
          <w:tab w:val="right" w:pos="7497"/>
        </w:tabs>
        <w:bidi/>
        <w:jc w:val="both"/>
        <w:rPr>
          <w:rFonts w:cs="Guttman Drogolin"/>
          <w:rtl/>
          <w:lang w:bidi="he-IL"/>
        </w:rPr>
      </w:pPr>
      <w:r w:rsidRPr="00882F11">
        <w:rPr>
          <w:rFonts w:cs="Guttman Drogolin" w:hint="cs"/>
          <w:rtl/>
          <w:lang w:bidi="he-IL"/>
        </w:rPr>
        <w:t>ויל"ע אם יהא מותר לתת תעודת הכשר למפעל של נכרים המוכרים את מה שמייצרים לרוב נכרים</w:t>
      </w:r>
      <w:r w:rsidR="00960330" w:rsidRPr="00882F11">
        <w:rPr>
          <w:rFonts w:cs="Guttman Drogolin" w:hint="cs"/>
          <w:rtl/>
          <w:lang w:bidi="he-IL"/>
        </w:rPr>
        <w:t xml:space="preserve">. ועל פניו כיון שאין כאן משום ביטול איסור לכתחילה, וכן אינו עושה עבור ישראל, לכאורה הדין הוא לתת תעודת הכשר, כיון שאינו אלא אישור שמה שמייצרים כאן הואו כשר, ובאמת לפי הכללים בשו"ע הרי הוא מותר לאכילה. אמנם יש לדון לאסור בזה מתרי טעמי. חדא שלכאורה עם נותן תעודת הכשר הרי זה כמוכח שעושה כן גם עבור ישראל, דהא כל הענין שלו לקבל תעודת הכשר הוא כדי שימכרנו ליהודים המקפידים על הכשרות (ואף שיש מן הנכרים המקפידים על תעודת כשרות, ולא איכפת לי' למוכר אם מוכר לישראל או לנכרי ובלבד שימכור, מ"מ כיון שהוא הכשר מטעם יהודי לכאורה עדיין מוכח שמוכר עבור ישראל). ועוד יש להסתפק דכיון שנותן התעודה נותן הוראות מה שצריך לעשות כדי שיהא מאושר, אם אינו אומר לו לא לתת האיסור לתוך המאכל הרי זה כאומר לו ואסור. וכל זה מצד ההלכה, אבל למעשה הי' נראה </w:t>
      </w:r>
      <w:r w:rsidR="00857C3C" w:rsidRPr="00882F11">
        <w:rPr>
          <w:rFonts w:cs="Guttman Drogolin" w:hint="cs"/>
          <w:rtl/>
          <w:lang w:bidi="he-IL"/>
        </w:rPr>
        <w:t xml:space="preserve">לכאורה </w:t>
      </w:r>
      <w:r w:rsidR="00960330" w:rsidRPr="00882F11">
        <w:rPr>
          <w:rFonts w:cs="Guttman Drogolin" w:hint="cs"/>
          <w:rtl/>
          <w:lang w:bidi="he-IL"/>
        </w:rPr>
        <w:t>שאינו</w:t>
      </w:r>
      <w:r w:rsidR="00857C3C" w:rsidRPr="00882F11">
        <w:rPr>
          <w:rFonts w:cs="Guttman Drogolin" w:hint="cs"/>
          <w:rtl/>
          <w:lang w:bidi="he-IL"/>
        </w:rPr>
        <w:t xml:space="preserve"> נכון לתת הכשר בכה"ג כיון שעלולים להיות בעיות. </w:t>
      </w:r>
      <w:r w:rsidR="00960330" w:rsidRPr="00882F11">
        <w:rPr>
          <w:rFonts w:cs="Guttman Drogolin" w:hint="cs"/>
          <w:rtl/>
          <w:lang w:bidi="he-IL"/>
        </w:rPr>
        <w:t xml:space="preserve">  </w:t>
      </w:r>
      <w:r w:rsidRPr="00882F11">
        <w:rPr>
          <w:rFonts w:cs="Guttman Drogolin" w:hint="cs"/>
          <w:rtl/>
          <w:lang w:bidi="he-IL"/>
        </w:rPr>
        <w:t xml:space="preserve"> </w:t>
      </w:r>
      <w:r w:rsidR="00CB152D" w:rsidRPr="00882F11">
        <w:rPr>
          <w:rFonts w:cs="Guttman Drogolin" w:hint="cs"/>
          <w:rtl/>
          <w:lang w:bidi="he-IL"/>
        </w:rPr>
        <w:t xml:space="preserve"> </w:t>
      </w:r>
    </w:p>
    <w:p w:rsidR="00857C3C" w:rsidRPr="00882F11" w:rsidRDefault="00857C3C" w:rsidP="00857C3C">
      <w:pPr>
        <w:pStyle w:val="Heading1"/>
        <w:bidi/>
        <w:spacing w:before="0" w:line="360" w:lineRule="auto"/>
        <w:jc w:val="center"/>
        <w:rPr>
          <w:rFonts w:cs="Guttman Drogolin"/>
          <w:color w:val="auto"/>
          <w:sz w:val="24"/>
          <w:szCs w:val="24"/>
          <w:u w:val="single"/>
          <w:rtl/>
          <w:lang w:bidi="he-IL"/>
        </w:rPr>
      </w:pPr>
      <w:bookmarkStart w:id="324" w:name="_Toc496175575"/>
      <w:r w:rsidRPr="00882F11">
        <w:rPr>
          <w:rFonts w:cs="Guttman Drogolin" w:hint="cs"/>
          <w:color w:val="auto"/>
          <w:sz w:val="24"/>
          <w:szCs w:val="24"/>
          <w:u w:val="single"/>
          <w:rtl/>
          <w:lang w:bidi="he-IL"/>
        </w:rPr>
        <w:t>בדין אינו מכוין לבטל</w:t>
      </w:r>
      <w:bookmarkEnd w:id="324"/>
    </w:p>
    <w:p w:rsidR="00E4257C" w:rsidRPr="00882F11" w:rsidRDefault="00B0776E" w:rsidP="00B0776E">
      <w:pPr>
        <w:tabs>
          <w:tab w:val="right" w:pos="7497"/>
        </w:tabs>
        <w:bidi/>
        <w:jc w:val="both"/>
        <w:rPr>
          <w:rFonts w:cs="Guttman Drogolin"/>
          <w:rtl/>
          <w:lang w:bidi="he-IL"/>
        </w:rPr>
      </w:pPr>
      <w:r>
        <w:rPr>
          <w:rFonts w:cs="Guttman Drogolin"/>
          <w:rtl/>
          <w:lang w:bidi="he-IL"/>
        </w:rPr>
        <w:fldChar w:fldCharType="begin"/>
      </w:r>
      <w:r>
        <w:instrText xml:space="preserve"> XE "</w:instrText>
      </w:r>
      <w:r w:rsidRPr="00FA0AA5">
        <w:rPr>
          <w:rFonts w:hint="cs"/>
          <w:rtl/>
          <w:lang w:bidi="he-IL"/>
        </w:rPr>
        <w:instrText>אין מבטלין איסור לכתחילה</w:instrText>
      </w:r>
      <w:r w:rsidRPr="00FA0AA5">
        <w:rPr>
          <w:rtl/>
        </w:rPr>
        <w:instrText>:</w:instrText>
      </w:r>
      <w:r>
        <w:rPr>
          <w:rFonts w:hint="cs"/>
          <w:rtl/>
          <w:lang w:bidi="he-IL"/>
        </w:rPr>
        <w:instrText>כשאין כוונתו לבטל</w:instrText>
      </w:r>
      <w:r>
        <w:instrText xml:space="preserve">" </w:instrText>
      </w:r>
      <w:r>
        <w:rPr>
          <w:rFonts w:cs="Guttman Drogolin"/>
          <w:rtl/>
          <w:lang w:bidi="he-IL"/>
        </w:rPr>
        <w:fldChar w:fldCharType="end"/>
      </w:r>
      <w:r w:rsidR="00857C3C" w:rsidRPr="00882F11">
        <w:rPr>
          <w:rFonts w:cs="Guttman Drogolin" w:hint="cs"/>
          <w:rtl/>
          <w:lang w:bidi="he-IL"/>
        </w:rPr>
        <w:t xml:space="preserve">הט"ז כאן בס"ק </w:t>
      </w:r>
      <w:r w:rsidR="00935855" w:rsidRPr="00882F11">
        <w:rPr>
          <w:rFonts w:cs="Guttman Drogolin" w:hint="cs"/>
          <w:rtl/>
          <w:lang w:bidi="he-IL"/>
        </w:rPr>
        <w:t xml:space="preserve">ז' ציין לדברי השו"ע בסי' פ"ד סע' י"ג דמבואר שם דהא דאין מבטלין איסור לכתחילה, הנ"מ כשכוונתו לבטל, אבל כשאין כוונתו לבטל מבטלין. שכתוב שם דדבש שנפלו בו נמלים יחממנו עד שיהא ניתך ויסננו. וע"ש גם בש"ך שביאר שהוא משום שיש היתר כשאין כוונתו לבטל. ואע"ג שבכל האיסורים אע"ג שאינו מתכוין מ"מ אסור היכא דהוי פסיק רישא דניחא לי', הכא שאני כיון שעיקר האיסור הוא לכוין </w:t>
      </w:r>
      <w:r w:rsidR="00935855" w:rsidRPr="00882F11">
        <w:rPr>
          <w:rFonts w:cs="Guttman Drogolin" w:hint="cs"/>
          <w:rtl/>
          <w:lang w:bidi="he-IL"/>
        </w:rPr>
        <w:lastRenderedPageBreak/>
        <w:t xml:space="preserve">לבטל, ואם אינו מכוין </w:t>
      </w:r>
      <w:r w:rsidR="003B0330" w:rsidRPr="00882F11">
        <w:rPr>
          <w:rFonts w:cs="Guttman Drogolin" w:hint="cs"/>
          <w:rtl/>
          <w:lang w:bidi="he-IL"/>
        </w:rPr>
        <w:t>ח</w:t>
      </w:r>
      <w:r w:rsidR="00935855" w:rsidRPr="00882F11">
        <w:rPr>
          <w:rFonts w:cs="Guttman Drogolin" w:hint="cs"/>
          <w:rtl/>
          <w:lang w:bidi="he-IL"/>
        </w:rPr>
        <w:t>סר בעצם מעשה האיסור ולא רק בכוונה</w:t>
      </w:r>
      <w:r w:rsidR="00935855" w:rsidRPr="00882F11">
        <w:rPr>
          <w:rStyle w:val="FootnoteReference"/>
          <w:rFonts w:cs="Guttman Drogolin"/>
          <w:rtl/>
          <w:lang w:bidi="he-IL"/>
        </w:rPr>
        <w:footnoteReference w:id="347"/>
      </w:r>
      <w:r w:rsidR="00935855" w:rsidRPr="00882F11">
        <w:rPr>
          <w:rFonts w:cs="Guttman Drogolin" w:hint="cs"/>
          <w:rtl/>
          <w:lang w:bidi="he-IL"/>
        </w:rPr>
        <w:t xml:space="preserve">. </w:t>
      </w:r>
      <w:r w:rsidR="003B0330" w:rsidRPr="00882F11">
        <w:rPr>
          <w:rFonts w:cs="Guttman Drogolin" w:hint="cs"/>
          <w:rtl/>
          <w:lang w:bidi="he-IL"/>
        </w:rPr>
        <w:t>והט"ז שם כתב שאין להתיר כשאינו מכוין אלא כשא"א בענין אחר, אבל אפשר בענין אחר אסור, וע"ש במש"ז שהוסיף דהה"נ אם יש טירחא בדרך השני ג"כ יש להתיר.</w:t>
      </w:r>
      <w:r w:rsidR="00935855" w:rsidRPr="00882F11">
        <w:rPr>
          <w:rFonts w:cs="Guttman Drogolin" w:hint="cs"/>
          <w:rtl/>
          <w:lang w:bidi="he-IL"/>
        </w:rPr>
        <w:t xml:space="preserve"> </w:t>
      </w:r>
    </w:p>
    <w:p w:rsidR="00A9040D" w:rsidRPr="00882F11" w:rsidRDefault="00B63602" w:rsidP="00A9040D">
      <w:pPr>
        <w:tabs>
          <w:tab w:val="right" w:pos="7497"/>
        </w:tabs>
        <w:bidi/>
        <w:jc w:val="both"/>
        <w:rPr>
          <w:rFonts w:cs="Guttman Drogolin"/>
          <w:rtl/>
          <w:lang w:bidi="he-IL"/>
        </w:rPr>
      </w:pPr>
      <w:r w:rsidRPr="00882F11">
        <w:rPr>
          <w:rFonts w:cs="Guttman Drogolin" w:hint="cs"/>
          <w:rtl/>
          <w:lang w:bidi="he-IL"/>
        </w:rPr>
        <w:t>והנה נראה להדגיש שיש חילוק בין ה'אין כוונתו לבטל' דנד"ד</w:t>
      </w:r>
      <w:r w:rsidR="00A9040D" w:rsidRPr="00882F11">
        <w:rPr>
          <w:rFonts w:cs="Guttman Drogolin" w:hint="cs"/>
          <w:rtl/>
          <w:lang w:bidi="he-IL"/>
        </w:rPr>
        <w:t xml:space="preserve"> למה שהבאנו בשיעור הקודם, שאפילו את"ל שאין כוונתו לבטל מותר כשזורק לים ואינו מכוין לשתות מן הים, מ"מ יש מקום לאסור כשאינו מכוין לטל האיסור אבל מ"מ מכוין לאכול התבשיל שבה נכנס האיסור, דהא סוף סו</w:t>
      </w:r>
      <w:r w:rsidR="0035027B" w:rsidRPr="00882F11">
        <w:rPr>
          <w:rFonts w:cs="Guttman Drogolin" w:hint="cs"/>
          <w:rtl/>
          <w:lang w:bidi="he-IL"/>
        </w:rPr>
        <w:t>ף</w:t>
      </w:r>
      <w:r w:rsidR="00A9040D" w:rsidRPr="00882F11">
        <w:rPr>
          <w:rFonts w:cs="Guttman Drogolin" w:hint="cs"/>
          <w:rtl/>
          <w:lang w:bidi="he-IL"/>
        </w:rPr>
        <w:t xml:space="preserve"> בכה"ג מתכונן להכניס איסור לתוך תערובת שדעתו לאכול. </w:t>
      </w:r>
    </w:p>
    <w:p w:rsidR="000F1F43" w:rsidRPr="00882F11" w:rsidRDefault="00A9040D" w:rsidP="000F1F43">
      <w:pPr>
        <w:tabs>
          <w:tab w:val="right" w:pos="7497"/>
        </w:tabs>
        <w:bidi/>
        <w:jc w:val="both"/>
        <w:rPr>
          <w:rFonts w:cs="Guttman Drogolin"/>
          <w:rtl/>
          <w:lang w:bidi="he-IL"/>
        </w:rPr>
      </w:pPr>
      <w:r w:rsidRPr="00882F11">
        <w:rPr>
          <w:rFonts w:cs="Guttman Drogolin" w:hint="cs"/>
          <w:rtl/>
          <w:lang w:bidi="he-IL"/>
        </w:rPr>
        <w:t xml:space="preserve">וע' ביד יהודה </w:t>
      </w:r>
      <w:r w:rsidR="000F1F43" w:rsidRPr="00882F11">
        <w:rPr>
          <w:rFonts w:cs="Guttman Drogolin" w:hint="cs"/>
          <w:rtl/>
          <w:lang w:bidi="he-IL"/>
        </w:rPr>
        <w:t xml:space="preserve">ס"ק י"ג </w:t>
      </w:r>
      <w:r w:rsidRPr="00882F11">
        <w:rPr>
          <w:rFonts w:cs="Guttman Drogolin" w:hint="cs"/>
          <w:rtl/>
          <w:lang w:bidi="he-IL"/>
        </w:rPr>
        <w:t>שהאריך להתקשות בדין זה שכתב השו"ע לעיל בסי' פ"ד שלכאורה אין לו מקור, ואדרבה, משמע מכמה וכמה ראשונים דלית להו כלל זה. חדא דהנה בגמ' פסחים ד ל' ע"א איתא דרב סבר שצריכים לשבור הקדירות של חמץ לפני פסח כיון שיש בהם טעם חמץ ואינו יוצא</w:t>
      </w:r>
      <w:r w:rsidR="002414DE" w:rsidRPr="00882F11">
        <w:rPr>
          <w:rFonts w:cs="Guttman Drogolin" w:hint="cs"/>
          <w:rtl/>
          <w:lang w:bidi="he-IL"/>
        </w:rPr>
        <w:t xml:space="preserve"> (ואע"ג שלאחר הפסח הוי נטל"פ, פירש"י דסבר רב בעצמא דנטל"פ אסור, וכן </w:t>
      </w:r>
      <w:r w:rsidR="00F657A8" w:rsidRPr="00882F11">
        <w:rPr>
          <w:rFonts w:cs="Guttman Drogolin" w:hint="cs"/>
          <w:rtl/>
          <w:lang w:bidi="he-IL"/>
        </w:rPr>
        <w:t xml:space="preserve">אע"ג שמסתבר דליכא אלא משהו של חמץ כיון שאין רגילים להשתמש בהרבה חמץ יחד וכמו שביארו התוס' (וביאר בס' דבר שמואל ע"פ חזו"א (סי' קי"ז אות ט"ו וסי' קי"ט ס"ק ח') שמסתברא שהאחוז של חמץ שהמובלע בקדירה בטל בס' בתבשיל) </w:t>
      </w:r>
      <w:r w:rsidR="002414DE" w:rsidRPr="00882F11">
        <w:rPr>
          <w:rFonts w:cs="Guttman Drogolin" w:hint="cs"/>
          <w:rtl/>
          <w:lang w:bidi="he-IL"/>
        </w:rPr>
        <w:t>מין במינו אסור במשהו)</w:t>
      </w:r>
      <w:r w:rsidRPr="00882F11">
        <w:rPr>
          <w:rFonts w:cs="Guttman Drogolin" w:hint="cs"/>
          <w:rtl/>
          <w:lang w:bidi="he-IL"/>
        </w:rPr>
        <w:t>.</w:t>
      </w:r>
      <w:r w:rsidR="002414DE" w:rsidRPr="00882F11">
        <w:rPr>
          <w:rFonts w:cs="Guttman Drogolin" w:hint="cs"/>
          <w:rtl/>
          <w:lang w:bidi="he-IL"/>
        </w:rPr>
        <w:t xml:space="preserve"> ושואלת הגמ' דלמה לא נשהה הקדירות עד לאחר הפסח ויוכל להשתמש בהם שלא במינו כיון שבזה אין דינו במשהו</w:t>
      </w:r>
      <w:r w:rsidR="00F657A8" w:rsidRPr="00882F11">
        <w:rPr>
          <w:rFonts w:cs="Guttman Drogolin" w:hint="cs"/>
          <w:rtl/>
          <w:lang w:bidi="he-IL"/>
        </w:rPr>
        <w:t>. ומתרצת הגמ' שהוא גזירה</w:t>
      </w:r>
      <w:r w:rsidR="00F657A8" w:rsidRPr="00882F11">
        <w:rPr>
          <w:rFonts w:cs="Guttman Drogolin"/>
          <w:rtl/>
          <w:lang w:bidi="he-IL"/>
        </w:rPr>
        <w:t xml:space="preserve"> </w:t>
      </w:r>
      <w:r w:rsidR="00F657A8" w:rsidRPr="00882F11">
        <w:rPr>
          <w:rFonts w:cs="Guttman Drogolin" w:hint="cs"/>
          <w:rtl/>
          <w:lang w:bidi="he-IL"/>
        </w:rPr>
        <w:t>דילמא</w:t>
      </w:r>
      <w:r w:rsidR="00F657A8" w:rsidRPr="00882F11">
        <w:rPr>
          <w:rFonts w:cs="Guttman Drogolin"/>
          <w:rtl/>
          <w:lang w:bidi="he-IL"/>
        </w:rPr>
        <w:t xml:space="preserve"> </w:t>
      </w:r>
      <w:r w:rsidR="00F657A8" w:rsidRPr="00882F11">
        <w:rPr>
          <w:rFonts w:cs="Guttman Drogolin" w:hint="cs"/>
          <w:rtl/>
          <w:lang w:bidi="he-IL"/>
        </w:rPr>
        <w:t>אתו</w:t>
      </w:r>
      <w:r w:rsidR="00F657A8" w:rsidRPr="00882F11">
        <w:rPr>
          <w:rFonts w:cs="Guttman Drogolin"/>
          <w:rtl/>
          <w:lang w:bidi="he-IL"/>
        </w:rPr>
        <w:t xml:space="preserve"> </w:t>
      </w:r>
      <w:r w:rsidR="00F657A8" w:rsidRPr="00882F11">
        <w:rPr>
          <w:rFonts w:cs="Guttman Drogolin" w:hint="cs"/>
          <w:rtl/>
          <w:lang w:bidi="he-IL"/>
        </w:rPr>
        <w:t>למיעבד</w:t>
      </w:r>
      <w:r w:rsidR="00F657A8" w:rsidRPr="00882F11">
        <w:rPr>
          <w:rFonts w:cs="Guttman Drogolin"/>
          <w:rtl/>
          <w:lang w:bidi="he-IL"/>
        </w:rPr>
        <w:t xml:space="preserve"> </w:t>
      </w:r>
      <w:r w:rsidR="00F657A8" w:rsidRPr="00882F11">
        <w:rPr>
          <w:rFonts w:cs="Guttman Drogolin" w:hint="cs"/>
          <w:rtl/>
          <w:lang w:bidi="he-IL"/>
        </w:rPr>
        <w:t>בהו</w:t>
      </w:r>
      <w:r w:rsidR="00F657A8" w:rsidRPr="00882F11">
        <w:rPr>
          <w:rFonts w:cs="Guttman Drogolin"/>
          <w:rtl/>
          <w:lang w:bidi="he-IL"/>
        </w:rPr>
        <w:t xml:space="preserve"> </w:t>
      </w:r>
      <w:r w:rsidR="00F657A8" w:rsidRPr="00882F11">
        <w:rPr>
          <w:rFonts w:cs="Guttman Drogolin" w:hint="cs"/>
          <w:rtl/>
          <w:lang w:bidi="he-IL"/>
        </w:rPr>
        <w:t xml:space="preserve">במינו. והקשו התוס' דלמה ס"ד שישהנו עד לאחר הפסח, הא אין מבלטין איסור לכתחילה. </w:t>
      </w:r>
      <w:r w:rsidR="00F657A8" w:rsidRPr="00882F11">
        <w:rPr>
          <w:rFonts w:cs="Guttman Drogolin" w:hint="cs"/>
          <w:rtl/>
          <w:lang w:bidi="he-IL"/>
        </w:rPr>
        <w:lastRenderedPageBreak/>
        <w:t>ותי' בשם הר' יוסף דשאני נטל"פ שהוא איסור משהו שלא במינו, ובשם ר"י</w:t>
      </w:r>
      <w:r w:rsidR="00286147" w:rsidRPr="00882F11">
        <w:rPr>
          <w:rFonts w:cs="Guttman Drogolin" w:hint="cs"/>
          <w:rtl/>
          <w:lang w:bidi="he-IL"/>
        </w:rPr>
        <w:t xml:space="preserve"> דזה נחשב כדיעבד כיון דאל"כ יצטרך לשבור הקדירות (אע"ג שסתם קדירה שאינה בת יומא לא הקילו בדיעבד שאני הכא שלא בלע אלא משהו</w:t>
      </w:r>
      <w:r w:rsidR="00286147" w:rsidRPr="00882F11">
        <w:rPr>
          <w:rStyle w:val="FootnoteReference"/>
          <w:rFonts w:cs="Guttman Drogolin"/>
          <w:rtl/>
          <w:lang w:bidi="he-IL"/>
        </w:rPr>
        <w:footnoteReference w:id="348"/>
      </w:r>
      <w:r w:rsidR="00286147" w:rsidRPr="00882F11">
        <w:rPr>
          <w:rFonts w:cs="Guttman Drogolin" w:hint="cs"/>
          <w:rtl/>
          <w:lang w:bidi="he-IL"/>
        </w:rPr>
        <w:t xml:space="preserve">). ולכאורה צ"ע דמהו כל הקושיא, הא אין כוונתו לבטל. </w:t>
      </w:r>
      <w:r w:rsidR="000F1F43" w:rsidRPr="00882F11">
        <w:rPr>
          <w:rFonts w:cs="Guttman Drogolin" w:hint="cs"/>
          <w:rtl/>
          <w:lang w:bidi="he-IL"/>
        </w:rPr>
        <w:t xml:space="preserve">וביד יהודה שם (וכן הוא בשו"ת רע"א סי' ע"ז) כתבו דאע"ג שמותר להגעיל כלים אע"ג דע"כ מבטל איסור לכתחילה, יש לומר דהתם עדיף טפי, שלא רק שאין כוונתו לבטל אלא כוונתו דוקא להוציא איסור, רק דע"כ לא יצא הכל והשאר יהי' בטל. וכן הוא בעוד כמה ראשונים. והוסיף היד יהודה שם דאע"ג שבשו"ת מהר"ם סי' ק"צ תי' משום שאין כוונתו לבטל, מ"מ לכאורה מבואר משאר ראשונים שאין זה הטעם. </w:t>
      </w:r>
    </w:p>
    <w:p w:rsidR="000F1F43" w:rsidRPr="00882F11" w:rsidRDefault="000F1F43" w:rsidP="00373493">
      <w:pPr>
        <w:tabs>
          <w:tab w:val="right" w:pos="7497"/>
        </w:tabs>
        <w:bidi/>
        <w:jc w:val="both"/>
        <w:rPr>
          <w:rFonts w:cs="Guttman Drogolin"/>
          <w:rtl/>
          <w:lang w:bidi="he-IL"/>
        </w:rPr>
      </w:pPr>
      <w:r w:rsidRPr="00882F11">
        <w:rPr>
          <w:rFonts w:cs="Guttman Drogolin" w:hint="cs"/>
          <w:rtl/>
          <w:lang w:bidi="he-IL"/>
        </w:rPr>
        <w:t xml:space="preserve">וכן לכאורה מבואר מקושית </w:t>
      </w:r>
      <w:r w:rsidR="008F503C" w:rsidRPr="00882F11">
        <w:rPr>
          <w:rFonts w:cs="Guttman Drogolin" w:hint="cs"/>
          <w:rtl/>
          <w:lang w:bidi="he-IL"/>
        </w:rPr>
        <w:t>קושיית הרא"ה</w:t>
      </w:r>
      <w:r w:rsidR="000737C7" w:rsidRPr="00882F11">
        <w:rPr>
          <w:rFonts w:cs="Guttman Drogolin" w:hint="cs"/>
          <w:rtl/>
          <w:lang w:bidi="he-IL"/>
        </w:rPr>
        <w:t xml:space="preserve"> </w:t>
      </w:r>
      <w:r w:rsidRPr="00882F11">
        <w:rPr>
          <w:rFonts w:cs="Guttman Drogolin" w:hint="cs"/>
          <w:rtl/>
          <w:lang w:bidi="he-IL"/>
        </w:rPr>
        <w:t>על הרשב"א בדין בליעות שאינן בני יומן</w:t>
      </w:r>
      <w:r w:rsidR="0000320B" w:rsidRPr="00882F11">
        <w:rPr>
          <w:rFonts w:cs="Guttman Drogolin" w:hint="cs"/>
          <w:rtl/>
          <w:lang w:bidi="he-IL"/>
        </w:rPr>
        <w:t xml:space="preserve"> </w:t>
      </w:r>
      <w:r w:rsidR="00373493" w:rsidRPr="00882F11">
        <w:rPr>
          <w:rFonts w:cs="Guttman Drogolin" w:hint="cs"/>
          <w:rtl/>
          <w:lang w:bidi="he-IL"/>
        </w:rPr>
        <w:t xml:space="preserve">(ע' תוה"א ב"ד ש"א </w:t>
      </w:r>
      <w:r w:rsidR="00373493" w:rsidRPr="00882F11">
        <w:rPr>
          <w:rFonts w:cs="Guttman Drogolin"/>
          <w:rtl/>
          <w:lang w:bidi="he-IL"/>
        </w:rPr>
        <w:t>–</w:t>
      </w:r>
      <w:r w:rsidR="00373493" w:rsidRPr="00882F11">
        <w:rPr>
          <w:rFonts w:cs="Guttman Drogolin" w:hint="cs"/>
          <w:rtl/>
          <w:lang w:bidi="he-IL"/>
        </w:rPr>
        <w:t xml:space="preserve"> דף י"ט ע"א)</w:t>
      </w:r>
      <w:r w:rsidRPr="00882F11">
        <w:rPr>
          <w:rFonts w:cs="Guttman Drogolin" w:hint="cs"/>
          <w:rtl/>
          <w:lang w:bidi="he-IL"/>
        </w:rPr>
        <w:t>. שהרשב"א סבר שאין הבליעות סרוחת מעיקרן ולכן במקומן הרי הם נשארים האיסורן, מ"מ הרי הם פוגמים התבשיל ומשו"ה אינם אוסרים.</w:t>
      </w:r>
      <w:r w:rsidR="008F503C" w:rsidRPr="00882F11">
        <w:rPr>
          <w:rFonts w:cs="Guttman Drogolin" w:hint="cs"/>
          <w:rtl/>
          <w:lang w:bidi="he-IL"/>
        </w:rPr>
        <w:t xml:space="preserve"> </w:t>
      </w:r>
      <w:r w:rsidRPr="00882F11">
        <w:rPr>
          <w:rFonts w:cs="Guttman Drogolin" w:hint="cs"/>
          <w:rtl/>
          <w:lang w:bidi="he-IL"/>
        </w:rPr>
        <w:t xml:space="preserve">והקשה הרא"ה דא"כ למה התירו לבשל בכלי שאינו בן יומו מדאורייתא הא אין מבטלין איסור לכתחילה. וגם כאן לכאורה צ"ע דהא אין כוונתו לבטל. </w:t>
      </w:r>
      <w:r w:rsidR="008F503C" w:rsidRPr="00882F11">
        <w:rPr>
          <w:rFonts w:cs="Guttman Drogolin" w:hint="cs"/>
          <w:rtl/>
          <w:lang w:bidi="he-IL"/>
        </w:rPr>
        <w:t xml:space="preserve">וכן </w:t>
      </w:r>
      <w:r w:rsidRPr="00882F11">
        <w:rPr>
          <w:rFonts w:cs="Guttman Drogolin" w:hint="cs"/>
          <w:rtl/>
          <w:lang w:bidi="he-IL"/>
        </w:rPr>
        <w:t>ע' ב</w:t>
      </w:r>
      <w:r w:rsidR="008F503C" w:rsidRPr="00882F11">
        <w:rPr>
          <w:rFonts w:cs="Guttman Drogolin" w:hint="cs"/>
          <w:rtl/>
          <w:lang w:bidi="he-IL"/>
        </w:rPr>
        <w:t xml:space="preserve">משמרת </w:t>
      </w:r>
      <w:r w:rsidRPr="00882F11">
        <w:rPr>
          <w:rFonts w:cs="Guttman Drogolin" w:hint="cs"/>
          <w:rtl/>
          <w:lang w:bidi="he-IL"/>
        </w:rPr>
        <w:t xml:space="preserve">שם </w:t>
      </w:r>
      <w:r w:rsidR="00373493" w:rsidRPr="00882F11">
        <w:rPr>
          <w:rFonts w:cs="Guttman Drogolin" w:hint="cs"/>
          <w:rtl/>
          <w:lang w:bidi="he-IL"/>
        </w:rPr>
        <w:t>שדחה</w:t>
      </w:r>
      <w:r w:rsidRPr="00882F11">
        <w:rPr>
          <w:rFonts w:cs="Guttman Drogolin" w:hint="cs"/>
          <w:rtl/>
          <w:lang w:bidi="he-IL"/>
        </w:rPr>
        <w:t xml:space="preserve"> תמיהת הרא"ה</w:t>
      </w:r>
      <w:r w:rsidR="00373493" w:rsidRPr="00882F11">
        <w:rPr>
          <w:rFonts w:cs="Guttman Drogolin" w:hint="cs"/>
          <w:rtl/>
          <w:lang w:bidi="he-IL"/>
        </w:rPr>
        <w:t xml:space="preserve"> דאע"ג שאסור לבטל איסור לכתחילה "היינו לבטל איסור</w:t>
      </w:r>
      <w:r w:rsidR="00373493" w:rsidRPr="00882F11">
        <w:rPr>
          <w:rFonts w:cs="Guttman Drogolin"/>
          <w:rtl/>
          <w:lang w:bidi="he-IL"/>
        </w:rPr>
        <w:t xml:space="preserve"> </w:t>
      </w:r>
      <w:r w:rsidR="00373493" w:rsidRPr="00882F11">
        <w:rPr>
          <w:rFonts w:cs="Guttman Drogolin" w:hint="cs"/>
          <w:rtl/>
          <w:lang w:bidi="he-IL"/>
        </w:rPr>
        <w:t>בעינו</w:t>
      </w:r>
      <w:r w:rsidR="00373493" w:rsidRPr="00882F11">
        <w:rPr>
          <w:rFonts w:cs="Guttman Drogolin"/>
          <w:rtl/>
          <w:lang w:bidi="he-IL"/>
        </w:rPr>
        <w:t xml:space="preserve"> </w:t>
      </w:r>
      <w:r w:rsidR="00373493" w:rsidRPr="00882F11">
        <w:rPr>
          <w:rFonts w:cs="Guttman Drogolin" w:hint="cs"/>
          <w:rtl/>
          <w:lang w:bidi="he-IL"/>
        </w:rPr>
        <w:t>כעין</w:t>
      </w:r>
      <w:r w:rsidR="00373493" w:rsidRPr="00882F11">
        <w:rPr>
          <w:rFonts w:cs="Guttman Drogolin"/>
          <w:rtl/>
          <w:lang w:bidi="he-IL"/>
        </w:rPr>
        <w:t xml:space="preserve"> </w:t>
      </w:r>
      <w:r w:rsidR="00373493" w:rsidRPr="00882F11">
        <w:rPr>
          <w:rFonts w:cs="Guttman Drogolin" w:hint="cs"/>
          <w:rtl/>
          <w:lang w:bidi="he-IL"/>
        </w:rPr>
        <w:t>זרוע</w:t>
      </w:r>
      <w:r w:rsidR="00373493" w:rsidRPr="00882F11">
        <w:rPr>
          <w:rFonts w:cs="Guttman Drogolin"/>
          <w:rtl/>
          <w:lang w:bidi="he-IL"/>
        </w:rPr>
        <w:t xml:space="preserve"> </w:t>
      </w:r>
      <w:r w:rsidR="00373493" w:rsidRPr="00882F11">
        <w:rPr>
          <w:rFonts w:cs="Guttman Drogolin" w:hint="cs"/>
          <w:rtl/>
          <w:lang w:bidi="he-IL"/>
        </w:rPr>
        <w:t>שמבשל</w:t>
      </w:r>
      <w:r w:rsidR="00373493" w:rsidRPr="00882F11">
        <w:rPr>
          <w:rFonts w:cs="Guttman Drogolin"/>
          <w:rtl/>
          <w:lang w:bidi="he-IL"/>
        </w:rPr>
        <w:t xml:space="preserve"> </w:t>
      </w:r>
      <w:r w:rsidR="00373493" w:rsidRPr="00882F11">
        <w:rPr>
          <w:rFonts w:cs="Guttman Drogolin" w:hint="cs"/>
          <w:rtl/>
          <w:lang w:bidi="he-IL"/>
        </w:rPr>
        <w:t>עם</w:t>
      </w:r>
      <w:r w:rsidR="00373493" w:rsidRPr="00882F11">
        <w:rPr>
          <w:rFonts w:cs="Guttman Drogolin"/>
          <w:rtl/>
          <w:lang w:bidi="he-IL"/>
        </w:rPr>
        <w:t xml:space="preserve"> </w:t>
      </w:r>
      <w:r w:rsidR="00373493" w:rsidRPr="00882F11">
        <w:rPr>
          <w:rFonts w:cs="Guttman Drogolin" w:hint="cs"/>
          <w:rtl/>
          <w:lang w:bidi="he-IL"/>
        </w:rPr>
        <w:t>האיל</w:t>
      </w:r>
      <w:r w:rsidR="00373493" w:rsidRPr="00882F11">
        <w:rPr>
          <w:rFonts w:cs="Guttman Drogolin"/>
          <w:rtl/>
          <w:lang w:bidi="he-IL"/>
        </w:rPr>
        <w:t xml:space="preserve"> </w:t>
      </w:r>
      <w:r w:rsidR="00373493" w:rsidRPr="00882F11">
        <w:rPr>
          <w:rFonts w:cs="Guttman Drogolin" w:hint="cs"/>
          <w:rtl/>
          <w:lang w:bidi="he-IL"/>
        </w:rPr>
        <w:t>דאפשר</w:t>
      </w:r>
      <w:r w:rsidR="00373493" w:rsidRPr="00882F11">
        <w:rPr>
          <w:rFonts w:cs="Guttman Drogolin"/>
          <w:rtl/>
          <w:lang w:bidi="he-IL"/>
        </w:rPr>
        <w:t xml:space="preserve"> </w:t>
      </w:r>
      <w:r w:rsidR="00373493" w:rsidRPr="00882F11">
        <w:rPr>
          <w:rFonts w:cs="Guttman Drogolin" w:hint="cs"/>
          <w:rtl/>
          <w:lang w:bidi="he-IL"/>
        </w:rPr>
        <w:t>לבשל</w:t>
      </w:r>
      <w:r w:rsidR="00373493" w:rsidRPr="00882F11">
        <w:rPr>
          <w:rFonts w:cs="Guttman Drogolin"/>
          <w:rtl/>
          <w:lang w:bidi="he-IL"/>
        </w:rPr>
        <w:t xml:space="preserve"> </w:t>
      </w:r>
      <w:r w:rsidR="00373493" w:rsidRPr="00882F11">
        <w:rPr>
          <w:rFonts w:cs="Guttman Drogolin" w:hint="cs"/>
          <w:rtl/>
          <w:lang w:bidi="he-IL"/>
        </w:rPr>
        <w:t>זה</w:t>
      </w:r>
      <w:r w:rsidR="00373493" w:rsidRPr="00882F11">
        <w:rPr>
          <w:rFonts w:cs="Guttman Drogolin"/>
          <w:rtl/>
          <w:lang w:bidi="he-IL"/>
        </w:rPr>
        <w:t xml:space="preserve"> </w:t>
      </w:r>
      <w:r w:rsidR="00373493" w:rsidRPr="00882F11">
        <w:rPr>
          <w:rFonts w:cs="Guttman Drogolin" w:hint="cs"/>
          <w:rtl/>
          <w:lang w:bidi="he-IL"/>
        </w:rPr>
        <w:t>בפני</w:t>
      </w:r>
      <w:r w:rsidR="00373493" w:rsidRPr="00882F11">
        <w:rPr>
          <w:rFonts w:cs="Guttman Drogolin"/>
          <w:rtl/>
          <w:lang w:bidi="he-IL"/>
        </w:rPr>
        <w:t xml:space="preserve"> </w:t>
      </w:r>
      <w:r w:rsidR="00373493" w:rsidRPr="00882F11">
        <w:rPr>
          <w:rFonts w:cs="Guttman Drogolin" w:hint="cs"/>
          <w:rtl/>
          <w:lang w:bidi="he-IL"/>
        </w:rPr>
        <w:t>עצמו</w:t>
      </w:r>
      <w:r w:rsidR="00373493" w:rsidRPr="00882F11">
        <w:rPr>
          <w:rFonts w:cs="Guttman Drogolin"/>
          <w:rtl/>
          <w:lang w:bidi="he-IL"/>
        </w:rPr>
        <w:t xml:space="preserve"> </w:t>
      </w:r>
      <w:r w:rsidR="00373493" w:rsidRPr="00882F11">
        <w:rPr>
          <w:rFonts w:cs="Guttman Drogolin" w:hint="cs"/>
          <w:rtl/>
          <w:lang w:bidi="he-IL"/>
        </w:rPr>
        <w:t>וזה</w:t>
      </w:r>
      <w:r w:rsidR="00373493" w:rsidRPr="00882F11">
        <w:rPr>
          <w:rFonts w:cs="Guttman Drogolin"/>
          <w:rtl/>
          <w:lang w:bidi="he-IL"/>
        </w:rPr>
        <w:t xml:space="preserve"> </w:t>
      </w:r>
      <w:r w:rsidR="00373493" w:rsidRPr="00882F11">
        <w:rPr>
          <w:rFonts w:cs="Guttman Drogolin" w:hint="cs"/>
          <w:rtl/>
          <w:lang w:bidi="he-IL"/>
        </w:rPr>
        <w:t>בפני</w:t>
      </w:r>
      <w:r w:rsidR="00373493" w:rsidRPr="00882F11">
        <w:rPr>
          <w:rFonts w:cs="Guttman Drogolin"/>
          <w:rtl/>
          <w:lang w:bidi="he-IL"/>
        </w:rPr>
        <w:t xml:space="preserve"> </w:t>
      </w:r>
      <w:r w:rsidR="00373493" w:rsidRPr="00882F11">
        <w:rPr>
          <w:rFonts w:cs="Guttman Drogolin" w:hint="cs"/>
          <w:rtl/>
          <w:lang w:bidi="he-IL"/>
        </w:rPr>
        <w:t>עצמו</w:t>
      </w:r>
      <w:r w:rsidR="00373493" w:rsidRPr="00882F11">
        <w:rPr>
          <w:rFonts w:cs="Guttman Drogolin"/>
          <w:rtl/>
          <w:lang w:bidi="he-IL"/>
        </w:rPr>
        <w:t xml:space="preserve"> </w:t>
      </w:r>
      <w:r w:rsidR="00373493" w:rsidRPr="00882F11">
        <w:rPr>
          <w:rFonts w:cs="Guttman Drogolin" w:hint="cs"/>
          <w:rtl/>
          <w:lang w:bidi="he-IL"/>
        </w:rPr>
        <w:t>וחדשה</w:t>
      </w:r>
      <w:r w:rsidR="00373493" w:rsidRPr="00882F11">
        <w:rPr>
          <w:rFonts w:cs="Guttman Drogolin"/>
          <w:rtl/>
          <w:lang w:bidi="he-IL"/>
        </w:rPr>
        <w:t xml:space="preserve"> </w:t>
      </w:r>
      <w:r w:rsidR="00373493" w:rsidRPr="00882F11">
        <w:rPr>
          <w:rFonts w:cs="Guttman Drogolin" w:hint="cs"/>
          <w:rtl/>
          <w:lang w:bidi="he-IL"/>
        </w:rPr>
        <w:t>בו</w:t>
      </w:r>
      <w:r w:rsidR="00373493" w:rsidRPr="00882F11">
        <w:rPr>
          <w:rFonts w:cs="Guttman Drogolin"/>
          <w:rtl/>
          <w:lang w:bidi="he-IL"/>
        </w:rPr>
        <w:t xml:space="preserve"> </w:t>
      </w:r>
      <w:r w:rsidR="00373493" w:rsidRPr="00882F11">
        <w:rPr>
          <w:rFonts w:cs="Guttman Drogolin" w:hint="cs"/>
          <w:rtl/>
          <w:lang w:bidi="he-IL"/>
        </w:rPr>
        <w:t>תורה</w:t>
      </w:r>
      <w:r w:rsidR="00373493" w:rsidRPr="00882F11">
        <w:rPr>
          <w:rFonts w:cs="Guttman Drogolin"/>
          <w:rtl/>
          <w:lang w:bidi="he-IL"/>
        </w:rPr>
        <w:t xml:space="preserve"> </w:t>
      </w:r>
      <w:r w:rsidR="00373493" w:rsidRPr="00882F11">
        <w:rPr>
          <w:rFonts w:cs="Guttman Drogolin" w:hint="cs"/>
          <w:rtl/>
          <w:lang w:bidi="he-IL"/>
        </w:rPr>
        <w:t>לבשלם</w:t>
      </w:r>
      <w:r w:rsidR="00373493" w:rsidRPr="00882F11">
        <w:rPr>
          <w:rFonts w:cs="Guttman Drogolin"/>
          <w:rtl/>
          <w:lang w:bidi="he-IL"/>
        </w:rPr>
        <w:t xml:space="preserve"> </w:t>
      </w:r>
      <w:r w:rsidR="00373493" w:rsidRPr="00882F11">
        <w:rPr>
          <w:rFonts w:cs="Guttman Drogolin" w:hint="cs"/>
          <w:rtl/>
          <w:lang w:bidi="he-IL"/>
        </w:rPr>
        <w:t>יחד</w:t>
      </w:r>
      <w:r w:rsidR="00373493" w:rsidRPr="00882F11">
        <w:rPr>
          <w:rFonts w:cs="Guttman Drogolin"/>
          <w:rtl/>
          <w:lang w:bidi="he-IL"/>
        </w:rPr>
        <w:t xml:space="preserve"> </w:t>
      </w:r>
      <w:r w:rsidR="00373493" w:rsidRPr="00882F11">
        <w:rPr>
          <w:rFonts w:cs="Guttman Drogolin" w:hint="cs"/>
          <w:rtl/>
          <w:lang w:bidi="he-IL"/>
        </w:rPr>
        <w:t>דאין</w:t>
      </w:r>
      <w:r w:rsidR="00373493" w:rsidRPr="00882F11">
        <w:rPr>
          <w:rFonts w:cs="Guttman Drogolin"/>
          <w:rtl/>
          <w:lang w:bidi="he-IL"/>
        </w:rPr>
        <w:t xml:space="preserve"> </w:t>
      </w:r>
      <w:r w:rsidR="00373493" w:rsidRPr="00882F11">
        <w:rPr>
          <w:rFonts w:cs="Guttman Drogolin" w:hint="cs"/>
          <w:rtl/>
          <w:lang w:bidi="he-IL"/>
        </w:rPr>
        <w:t>בשלה</w:t>
      </w:r>
      <w:r w:rsidR="00373493" w:rsidRPr="00882F11">
        <w:rPr>
          <w:rFonts w:cs="Guttman Drogolin"/>
          <w:rtl/>
          <w:lang w:bidi="he-IL"/>
        </w:rPr>
        <w:t xml:space="preserve"> </w:t>
      </w:r>
      <w:r w:rsidR="00373493" w:rsidRPr="00882F11">
        <w:rPr>
          <w:rFonts w:cs="Guttman Drogolin" w:hint="cs"/>
          <w:rtl/>
          <w:lang w:bidi="he-IL"/>
        </w:rPr>
        <w:t>אלא</w:t>
      </w:r>
      <w:r w:rsidR="00373493" w:rsidRPr="00882F11">
        <w:rPr>
          <w:rFonts w:cs="Guttman Drogolin"/>
          <w:rtl/>
          <w:lang w:bidi="he-IL"/>
        </w:rPr>
        <w:t xml:space="preserve"> </w:t>
      </w:r>
      <w:r w:rsidR="00373493" w:rsidRPr="00882F11">
        <w:rPr>
          <w:rFonts w:cs="Guttman Drogolin" w:hint="cs"/>
          <w:rtl/>
          <w:lang w:bidi="he-IL"/>
        </w:rPr>
        <w:t>שלמה</w:t>
      </w:r>
      <w:r w:rsidR="00373493" w:rsidRPr="00882F11">
        <w:rPr>
          <w:rFonts w:cs="Guttman Drogolin"/>
          <w:rtl/>
          <w:lang w:bidi="he-IL"/>
        </w:rPr>
        <w:t xml:space="preserve">, </w:t>
      </w:r>
      <w:r w:rsidR="00373493" w:rsidRPr="00882F11">
        <w:rPr>
          <w:rFonts w:cs="Guttman Drogolin" w:hint="cs"/>
          <w:rtl/>
          <w:lang w:bidi="he-IL"/>
        </w:rPr>
        <w:t>אבל</w:t>
      </w:r>
      <w:r w:rsidR="00373493" w:rsidRPr="00882F11">
        <w:rPr>
          <w:rFonts w:cs="Guttman Drogolin"/>
          <w:rtl/>
          <w:lang w:bidi="he-IL"/>
        </w:rPr>
        <w:t xml:space="preserve"> </w:t>
      </w:r>
      <w:r w:rsidR="00373493" w:rsidRPr="00882F11">
        <w:rPr>
          <w:rFonts w:cs="Guttman Drogolin" w:hint="cs"/>
          <w:rtl/>
          <w:lang w:bidi="he-IL"/>
        </w:rPr>
        <w:t>בלע</w:t>
      </w:r>
      <w:r w:rsidR="00373493" w:rsidRPr="00882F11">
        <w:rPr>
          <w:rFonts w:cs="Guttman Drogolin"/>
          <w:rtl/>
          <w:lang w:bidi="he-IL"/>
        </w:rPr>
        <w:t xml:space="preserve"> </w:t>
      </w:r>
      <w:r w:rsidR="00373493" w:rsidRPr="00882F11">
        <w:rPr>
          <w:rFonts w:cs="Guttman Drogolin" w:hint="cs"/>
          <w:rtl/>
          <w:lang w:bidi="he-IL"/>
        </w:rPr>
        <w:t>שבקדרה</w:t>
      </w:r>
      <w:r w:rsidR="00373493" w:rsidRPr="00882F11">
        <w:rPr>
          <w:rFonts w:cs="Guttman Drogolin"/>
          <w:rtl/>
          <w:lang w:bidi="he-IL"/>
        </w:rPr>
        <w:t xml:space="preserve"> </w:t>
      </w:r>
      <w:r w:rsidR="00373493" w:rsidRPr="00882F11">
        <w:rPr>
          <w:rFonts w:cs="Guttman Drogolin" w:hint="cs"/>
          <w:rtl/>
          <w:lang w:bidi="he-IL"/>
        </w:rPr>
        <w:t>אי</w:t>
      </w:r>
      <w:r w:rsidR="00373493" w:rsidRPr="00882F11">
        <w:rPr>
          <w:rFonts w:cs="Guttman Drogolin"/>
          <w:rtl/>
          <w:lang w:bidi="he-IL"/>
        </w:rPr>
        <w:t xml:space="preserve"> </w:t>
      </w:r>
      <w:r w:rsidR="00373493" w:rsidRPr="00882F11">
        <w:rPr>
          <w:rFonts w:cs="Guttman Drogolin" w:hint="cs"/>
          <w:rtl/>
          <w:lang w:bidi="he-IL"/>
        </w:rPr>
        <w:t>אפשר</w:t>
      </w:r>
      <w:r w:rsidR="00373493" w:rsidRPr="00882F11">
        <w:rPr>
          <w:rFonts w:cs="Guttman Drogolin"/>
          <w:rtl/>
          <w:lang w:bidi="he-IL"/>
        </w:rPr>
        <w:t xml:space="preserve"> </w:t>
      </w:r>
      <w:r w:rsidR="00373493" w:rsidRPr="00882F11">
        <w:rPr>
          <w:rFonts w:cs="Guttman Drogolin" w:hint="cs"/>
          <w:rtl/>
          <w:lang w:bidi="he-IL"/>
        </w:rPr>
        <w:t>ולפיכך</w:t>
      </w:r>
      <w:r w:rsidR="00373493" w:rsidRPr="00882F11">
        <w:rPr>
          <w:rFonts w:cs="Guttman Drogolin"/>
          <w:rtl/>
          <w:lang w:bidi="he-IL"/>
        </w:rPr>
        <w:t xml:space="preserve"> </w:t>
      </w:r>
      <w:r w:rsidR="00373493" w:rsidRPr="00882F11">
        <w:rPr>
          <w:rFonts w:cs="Guttman Drogolin" w:hint="cs"/>
          <w:rtl/>
          <w:lang w:bidi="he-IL"/>
        </w:rPr>
        <w:t>מותר</w:t>
      </w:r>
      <w:r w:rsidR="00373493" w:rsidRPr="00882F11">
        <w:rPr>
          <w:rFonts w:cs="Guttman Drogolin"/>
          <w:rtl/>
          <w:lang w:bidi="he-IL"/>
        </w:rPr>
        <w:t xml:space="preserve"> </w:t>
      </w:r>
      <w:r w:rsidR="00373493" w:rsidRPr="00882F11">
        <w:rPr>
          <w:rFonts w:cs="Guttman Drogolin" w:hint="cs"/>
          <w:rtl/>
          <w:lang w:bidi="he-IL"/>
        </w:rPr>
        <w:t>כיון</w:t>
      </w:r>
      <w:r w:rsidR="00373493" w:rsidRPr="00882F11">
        <w:rPr>
          <w:rFonts w:cs="Guttman Drogolin"/>
          <w:rtl/>
          <w:lang w:bidi="he-IL"/>
        </w:rPr>
        <w:t xml:space="preserve"> </w:t>
      </w:r>
      <w:r w:rsidR="00373493" w:rsidRPr="00882F11">
        <w:rPr>
          <w:rFonts w:cs="Guttman Drogolin" w:hint="cs"/>
          <w:rtl/>
          <w:lang w:bidi="he-IL"/>
        </w:rPr>
        <w:t>שפוגם</w:t>
      </w:r>
      <w:r w:rsidR="00373493" w:rsidRPr="00882F11">
        <w:rPr>
          <w:rFonts w:cs="Guttman Drogolin"/>
          <w:rtl/>
          <w:lang w:bidi="he-IL"/>
        </w:rPr>
        <w:t xml:space="preserve"> </w:t>
      </w:r>
      <w:r w:rsidR="00373493" w:rsidRPr="00882F11">
        <w:rPr>
          <w:rFonts w:cs="Guttman Drogolin" w:hint="cs"/>
          <w:rtl/>
          <w:lang w:bidi="he-IL"/>
        </w:rPr>
        <w:t>תערובות</w:t>
      </w:r>
      <w:r w:rsidR="00373493" w:rsidRPr="00882F11">
        <w:rPr>
          <w:rFonts w:cs="Guttman Drogolin"/>
          <w:rtl/>
          <w:lang w:bidi="he-IL"/>
        </w:rPr>
        <w:t xml:space="preserve"> </w:t>
      </w:r>
      <w:r w:rsidR="00373493" w:rsidRPr="00882F11">
        <w:rPr>
          <w:rFonts w:cs="Guttman Drogolin" w:hint="cs"/>
          <w:rtl/>
          <w:lang w:bidi="he-IL"/>
        </w:rPr>
        <w:t>ואי</w:t>
      </w:r>
      <w:r w:rsidR="00373493" w:rsidRPr="00882F11">
        <w:rPr>
          <w:rFonts w:cs="Guttman Drogolin"/>
          <w:rtl/>
          <w:lang w:bidi="he-IL"/>
        </w:rPr>
        <w:t xml:space="preserve"> </w:t>
      </w:r>
      <w:r w:rsidR="00373493" w:rsidRPr="00882F11">
        <w:rPr>
          <w:rFonts w:cs="Guttman Drogolin" w:hint="cs"/>
          <w:rtl/>
          <w:lang w:bidi="he-IL"/>
        </w:rPr>
        <w:t>אתה</w:t>
      </w:r>
      <w:r w:rsidR="00373493" w:rsidRPr="00882F11">
        <w:rPr>
          <w:rFonts w:cs="Guttman Drogolin"/>
          <w:rtl/>
          <w:lang w:bidi="he-IL"/>
        </w:rPr>
        <w:t xml:space="preserve"> </w:t>
      </w:r>
      <w:r w:rsidR="00373493" w:rsidRPr="00882F11">
        <w:rPr>
          <w:rFonts w:cs="Guttman Drogolin" w:hint="cs"/>
          <w:rtl/>
          <w:lang w:bidi="he-IL"/>
        </w:rPr>
        <w:t>אכלו</w:t>
      </w:r>
      <w:r w:rsidR="00373493" w:rsidRPr="00882F11">
        <w:rPr>
          <w:rFonts w:cs="Guttman Drogolin"/>
          <w:rtl/>
          <w:lang w:bidi="he-IL"/>
        </w:rPr>
        <w:t xml:space="preserve"> </w:t>
      </w:r>
      <w:r w:rsidR="00373493" w:rsidRPr="00882F11">
        <w:rPr>
          <w:rFonts w:cs="Guttman Drogolin" w:hint="cs"/>
          <w:rtl/>
          <w:lang w:bidi="he-IL"/>
        </w:rPr>
        <w:t>לעולם</w:t>
      </w:r>
      <w:r w:rsidR="00373493" w:rsidRPr="00882F11">
        <w:rPr>
          <w:rFonts w:cs="Guttman Drogolin"/>
          <w:rtl/>
          <w:lang w:bidi="he-IL"/>
        </w:rPr>
        <w:t xml:space="preserve"> </w:t>
      </w:r>
      <w:r w:rsidR="00373493" w:rsidRPr="00882F11">
        <w:rPr>
          <w:rFonts w:cs="Guttman Drogolin" w:hint="cs"/>
          <w:rtl/>
          <w:lang w:bidi="he-IL"/>
        </w:rPr>
        <w:t>אלא</w:t>
      </w:r>
      <w:r w:rsidR="00373493" w:rsidRPr="00882F11">
        <w:rPr>
          <w:rFonts w:cs="Guttman Drogolin"/>
          <w:rtl/>
          <w:lang w:bidi="he-IL"/>
        </w:rPr>
        <w:t xml:space="preserve"> </w:t>
      </w:r>
      <w:r w:rsidR="00373493" w:rsidRPr="00882F11">
        <w:rPr>
          <w:rFonts w:cs="Guttman Drogolin" w:hint="cs"/>
          <w:rtl/>
          <w:lang w:bidi="he-IL"/>
        </w:rPr>
        <w:t>בפגמו</w:t>
      </w:r>
      <w:r w:rsidR="00373493" w:rsidRPr="00882F11">
        <w:rPr>
          <w:rFonts w:cs="Guttman Drogolin"/>
          <w:rtl/>
          <w:lang w:bidi="he-IL"/>
        </w:rPr>
        <w:t xml:space="preserve"> </w:t>
      </w:r>
      <w:r w:rsidR="00373493" w:rsidRPr="00882F11">
        <w:rPr>
          <w:rFonts w:cs="Guttman Drogolin" w:hint="cs"/>
          <w:rtl/>
          <w:lang w:bidi="he-IL"/>
        </w:rPr>
        <w:t>ובתערובת"</w:t>
      </w:r>
      <w:r w:rsidRPr="00882F11">
        <w:rPr>
          <w:rFonts w:cs="Guttman Drogolin" w:hint="cs"/>
          <w:rtl/>
          <w:lang w:bidi="he-IL"/>
        </w:rPr>
        <w:t xml:space="preserve">, ואין נראה שכוונתו לומר שהטעם שמותר משום שאין כוונתו </w:t>
      </w:r>
      <w:r w:rsidRPr="00882F11">
        <w:rPr>
          <w:rFonts w:cs="Guttman Drogolin" w:hint="cs"/>
          <w:rtl/>
          <w:lang w:bidi="he-IL"/>
        </w:rPr>
        <w:lastRenderedPageBreak/>
        <w:t>לבטל (אמנם בשפ"ד ס"ק ז' הבין שזהו גופא כוונת הרשב"א ליישב שאין כוונתו לבטל</w:t>
      </w:r>
      <w:r w:rsidR="00373493" w:rsidRPr="00882F11">
        <w:rPr>
          <w:rFonts w:cs="Guttman Drogolin" w:hint="cs"/>
          <w:rtl/>
          <w:lang w:bidi="he-IL"/>
        </w:rPr>
        <w:t>)</w:t>
      </w:r>
      <w:r w:rsidRPr="00882F11">
        <w:rPr>
          <w:rFonts w:cs="Guttman Drogolin" w:hint="cs"/>
          <w:rtl/>
          <w:lang w:bidi="he-IL"/>
        </w:rPr>
        <w:t xml:space="preserve">. </w:t>
      </w:r>
    </w:p>
    <w:p w:rsidR="00373493" w:rsidRPr="00882F11" w:rsidRDefault="00373493" w:rsidP="00373493">
      <w:pPr>
        <w:tabs>
          <w:tab w:val="right" w:pos="7497"/>
        </w:tabs>
        <w:bidi/>
        <w:jc w:val="both"/>
        <w:rPr>
          <w:rFonts w:cs="Guttman Drogolin"/>
          <w:rtl/>
          <w:lang w:bidi="he-IL"/>
        </w:rPr>
      </w:pPr>
      <w:r w:rsidRPr="00882F11">
        <w:rPr>
          <w:rFonts w:cs="Guttman Drogolin" w:hint="cs"/>
          <w:rtl/>
          <w:lang w:bidi="he-IL"/>
        </w:rPr>
        <w:t xml:space="preserve">ולענין מעשה ע"ש ביד יהודה הקצר ס"ק י"ז שכתב "ומשמע בהפוסקים דגם באין כוונתו כדי ליהנות מן האיסור ג"כ אסור זולת היכי דאין עושה זה רק אדרבה להוצא האיסור הגם דע"י זה בע"כ נתבטל ג"כ מקצת מותר מיהו העולם נהגו להתיר לתת דבר איסור לצורך איזה דבר ונראה דכל ההיתר משום דהאיסור פוגם בטעם דבר ההוא רק נותן מעט לצורך איזה תיקון בזה י"ל דלא שייך הגזירה כיון דאדרבה פוגם הוא". </w:t>
      </w:r>
      <w:r w:rsidR="009912F9" w:rsidRPr="00882F11">
        <w:rPr>
          <w:rFonts w:cs="Guttman Drogolin" w:hint="cs"/>
          <w:rtl/>
          <w:lang w:bidi="he-IL"/>
        </w:rPr>
        <w:t xml:space="preserve">וראיתי בבדי השולחן ס"ק ל"א (וכן שם בביאורים עמ' ע"ה) שנקט דלדינא שרי, דלמעשה הקילו בזה השו"ע ט"ז וש"ך (עכ"פ כשאי אפשר בענין אחר). </w:t>
      </w:r>
    </w:p>
    <w:p w:rsidR="009912F9" w:rsidRPr="00882F11" w:rsidRDefault="009912F9" w:rsidP="009912F9">
      <w:pPr>
        <w:pStyle w:val="Heading1"/>
        <w:bidi/>
        <w:spacing w:before="0" w:line="360" w:lineRule="auto"/>
        <w:jc w:val="center"/>
        <w:rPr>
          <w:rFonts w:cs="Guttman Drogolin"/>
          <w:color w:val="auto"/>
          <w:sz w:val="24"/>
          <w:szCs w:val="24"/>
          <w:u w:val="single"/>
          <w:rtl/>
          <w:lang w:bidi="he-IL"/>
        </w:rPr>
      </w:pPr>
      <w:bookmarkStart w:id="325" w:name="_Toc496175576"/>
      <w:r w:rsidRPr="00882F11">
        <w:rPr>
          <w:rFonts w:cs="Guttman Drogolin" w:hint="cs"/>
          <w:color w:val="auto"/>
          <w:sz w:val="24"/>
          <w:szCs w:val="24"/>
          <w:u w:val="single"/>
          <w:rtl/>
          <w:lang w:bidi="he-IL"/>
        </w:rPr>
        <w:t>כמה נידונים בהיתירא דאין כוונתו לבטל</w:t>
      </w:r>
      <w:bookmarkEnd w:id="325"/>
    </w:p>
    <w:p w:rsidR="00AD3BE8" w:rsidRPr="00882F11" w:rsidRDefault="00B0776E" w:rsidP="00B0776E">
      <w:pPr>
        <w:tabs>
          <w:tab w:val="right" w:pos="7497"/>
        </w:tabs>
        <w:bidi/>
        <w:jc w:val="both"/>
        <w:rPr>
          <w:rFonts w:cs="Guttman Drogolin"/>
          <w:rtl/>
          <w:lang w:bidi="he-IL"/>
        </w:rPr>
      </w:pPr>
      <w:r>
        <w:rPr>
          <w:rFonts w:cs="Guttman Drogolin"/>
          <w:rtl/>
          <w:lang w:bidi="he-IL"/>
        </w:rPr>
        <w:fldChar w:fldCharType="begin"/>
      </w:r>
      <w:r>
        <w:instrText xml:space="preserve"> XE "</w:instrText>
      </w:r>
      <w:r w:rsidRPr="00FA0AA5">
        <w:rPr>
          <w:rFonts w:hint="cs"/>
          <w:rtl/>
          <w:lang w:bidi="he-IL"/>
        </w:rPr>
        <w:instrText>אין מבטלין איסור לכתחילה</w:instrText>
      </w:r>
      <w:r w:rsidRPr="00FA0AA5">
        <w:rPr>
          <w:rtl/>
        </w:rPr>
        <w:instrText>:</w:instrText>
      </w:r>
      <w:r>
        <w:rPr>
          <w:rFonts w:hint="cs"/>
          <w:rtl/>
          <w:lang w:bidi="he-IL"/>
        </w:rPr>
        <w:instrText>כשאין ככונתו לבטל - נידונים</w:instrText>
      </w:r>
      <w:r>
        <w:instrText xml:space="preserve">" </w:instrText>
      </w:r>
      <w:r>
        <w:rPr>
          <w:rFonts w:cs="Guttman Drogolin"/>
          <w:rtl/>
          <w:lang w:bidi="he-IL"/>
        </w:rPr>
        <w:fldChar w:fldCharType="end"/>
      </w:r>
      <w:r w:rsidR="00684AD7" w:rsidRPr="00882F11">
        <w:rPr>
          <w:rFonts w:cs="Guttman Drogolin" w:hint="cs"/>
          <w:rtl/>
          <w:lang w:bidi="he-IL"/>
        </w:rPr>
        <w:t>כתב ה</w:t>
      </w:r>
      <w:r w:rsidR="008F503C" w:rsidRPr="00882F11">
        <w:rPr>
          <w:rFonts w:cs="Guttman Drogolin" w:hint="cs"/>
          <w:rtl/>
          <w:lang w:bidi="he-IL"/>
        </w:rPr>
        <w:t xml:space="preserve">טור </w:t>
      </w:r>
      <w:r w:rsidR="00684AD7" w:rsidRPr="00882F11">
        <w:rPr>
          <w:rFonts w:cs="Guttman Drogolin" w:hint="cs"/>
          <w:rtl/>
          <w:lang w:bidi="he-IL"/>
        </w:rPr>
        <w:t>ב</w:t>
      </w:r>
      <w:r w:rsidR="008F503C" w:rsidRPr="00882F11">
        <w:rPr>
          <w:rFonts w:cs="Guttman Drogolin" w:hint="cs"/>
          <w:rtl/>
          <w:lang w:bidi="he-IL"/>
        </w:rPr>
        <w:t xml:space="preserve">או"ח </w:t>
      </w:r>
      <w:r w:rsidR="00C334FC" w:rsidRPr="00882F11">
        <w:rPr>
          <w:rFonts w:cs="Guttman Drogolin" w:hint="cs"/>
          <w:rtl/>
          <w:lang w:bidi="he-IL"/>
        </w:rPr>
        <w:t xml:space="preserve">סי' תנ"ג שאם יש תערובת של </w:t>
      </w:r>
      <w:r w:rsidR="008F503C" w:rsidRPr="00882F11">
        <w:rPr>
          <w:rFonts w:cs="Guttman Drogolin" w:hint="cs"/>
          <w:rtl/>
          <w:lang w:bidi="he-IL"/>
        </w:rPr>
        <w:t xml:space="preserve">חיטין מחומצות עם </w:t>
      </w:r>
      <w:r w:rsidR="00C334FC" w:rsidRPr="00882F11">
        <w:rPr>
          <w:rFonts w:cs="Guttman Drogolin" w:hint="cs"/>
          <w:rtl/>
          <w:lang w:bidi="he-IL"/>
        </w:rPr>
        <w:t>ח</w:t>
      </w:r>
      <w:r w:rsidR="008F503C" w:rsidRPr="00882F11">
        <w:rPr>
          <w:rFonts w:cs="Guttman Drogolin" w:hint="cs"/>
          <w:rtl/>
          <w:lang w:bidi="he-IL"/>
        </w:rPr>
        <w:t xml:space="preserve">יטין </w:t>
      </w:r>
      <w:r w:rsidR="00C334FC" w:rsidRPr="00882F11">
        <w:rPr>
          <w:rFonts w:cs="Guttman Drogolin" w:hint="cs"/>
          <w:rtl/>
          <w:lang w:bidi="he-IL"/>
        </w:rPr>
        <w:t xml:space="preserve">שאינן מחומצות מותר לטוחנן לפני הפח ואין כאן משום ביטול איסור לכתחילה כיון שאינו מכוין לבטלם. </w:t>
      </w:r>
      <w:r w:rsidR="00AD3BE8" w:rsidRPr="00882F11">
        <w:rPr>
          <w:rFonts w:cs="Guttman Drogolin" w:hint="cs"/>
          <w:rtl/>
          <w:lang w:bidi="he-IL"/>
        </w:rPr>
        <w:t>ומבואר מדבריו שאע"ג שהרי הוא נהנה מזה שטוחנן, שהרי מעכשיו יהיו לו חיטין מאילו לא התערב, מ"מ כיון שאין כוונתו לזה מותר. ונראה עוד שאפילו עם באמת הי' רוצה לטוחנן אך ורק כדי לבטלם, מ"מ כיון שאפשר לתלות שכונתו כדי לטחון החטין שאינן מחומצות הרי זה חשוב כאין כוונתו לבטל. וב</w:t>
      </w:r>
      <w:r w:rsidR="008F503C" w:rsidRPr="00882F11">
        <w:rPr>
          <w:rFonts w:cs="Guttman Drogolin" w:hint="cs"/>
          <w:rtl/>
          <w:lang w:bidi="he-IL"/>
        </w:rPr>
        <w:t>שו"ת הר"ן נתן טעם אחר ומשום ש</w:t>
      </w:r>
      <w:r w:rsidR="007577A2" w:rsidRPr="00882F11">
        <w:rPr>
          <w:rFonts w:cs="Guttman Drogolin" w:hint="cs"/>
          <w:rtl/>
          <w:lang w:bidi="he-IL"/>
        </w:rPr>
        <w:t>בזמן שטוח</w:t>
      </w:r>
      <w:r w:rsidR="00AD3BE8" w:rsidRPr="00882F11">
        <w:rPr>
          <w:rFonts w:cs="Guttman Drogolin" w:hint="cs"/>
          <w:rtl/>
          <w:lang w:bidi="he-IL"/>
        </w:rPr>
        <w:t xml:space="preserve">נן הרי הוא היתר. ומבואר חידוש בדבריו, דאע"ג שדעתו לאכלו בזמן איסור אין בה משום מבטלין איסור לכתחילה. ומאידך לכאורה מדויק מדבריו דלית לי' טעמו של הטור, ואע"ג שאין כוונתו לבטל. וכן דקדק הב"ח שם בסי' תנ"ג. ומ"מ אין מזה ראי' דלית לי' לר"ן היתירא דאין כוונו לבטל, רק דלית לי' הכי היכא שנהנה מביטולו, אבל כשאינו נהנה מזה יתכן שהדבר מותר, וכן לכאורה מבואר מזה שהר"ן התיר הגעלת כלים מטעם שאין כוונתו לבטל (וכן ראיתי במגי"ס בשם חקרי לב שכן הדגיש). </w:t>
      </w:r>
    </w:p>
    <w:p w:rsidR="00C33360" w:rsidRPr="00882F11" w:rsidRDefault="00AD3BE8" w:rsidP="003F1A2C">
      <w:pPr>
        <w:tabs>
          <w:tab w:val="right" w:pos="7497"/>
        </w:tabs>
        <w:bidi/>
        <w:jc w:val="both"/>
        <w:rPr>
          <w:rFonts w:cs="Guttman Drogolin"/>
          <w:rtl/>
          <w:lang w:bidi="he-IL"/>
        </w:rPr>
      </w:pPr>
      <w:r w:rsidRPr="00882F11">
        <w:rPr>
          <w:rFonts w:cs="Guttman Drogolin" w:hint="cs"/>
          <w:rtl/>
          <w:lang w:bidi="he-IL"/>
        </w:rPr>
        <w:t xml:space="preserve">וע' בפת"ש שדן באוכל שיש בה חשש תולעים האם אפשר לטוחנן כיון שאין כוונתו לבטל. </w:t>
      </w:r>
      <w:r w:rsidR="00D41880" w:rsidRPr="00882F11">
        <w:rPr>
          <w:rFonts w:cs="Guttman Drogolin" w:hint="cs"/>
          <w:rtl/>
          <w:lang w:bidi="he-IL"/>
        </w:rPr>
        <w:t xml:space="preserve">וכתב </w:t>
      </w:r>
      <w:r w:rsidR="00D41880" w:rsidRPr="00882F11">
        <w:rPr>
          <w:rFonts w:cs="Guttman Drogolin" w:hint="cs"/>
          <w:rtl/>
          <w:lang w:bidi="he-IL"/>
        </w:rPr>
        <w:lastRenderedPageBreak/>
        <w:t>דאע"ג שאפשר לבדקם מ"מ כיון שיש בזה טירחא שיש להתיר ע"פ הפמ"ג שגם כשיש טירחא אפשר לבטל לכתחילה כשאין כוונתו לבטל (ולא רק כשא"א בענין אחר כמש"כ הט"ז). ומ"מ הסיק שאין דברי הפמ"</w:t>
      </w:r>
      <w:r w:rsidR="003F1A2C" w:rsidRPr="00882F11">
        <w:rPr>
          <w:rFonts w:cs="Guttman Drogolin" w:hint="cs"/>
          <w:rtl/>
          <w:lang w:bidi="he-IL"/>
        </w:rPr>
        <w:t>ג</w:t>
      </w:r>
      <w:r w:rsidR="00D41880" w:rsidRPr="00882F11">
        <w:rPr>
          <w:rFonts w:cs="Guttman Drogolin" w:hint="cs"/>
          <w:rtl/>
          <w:lang w:bidi="he-IL"/>
        </w:rPr>
        <w:t xml:space="preserve"> מוכרחים. </w:t>
      </w:r>
      <w:r w:rsidR="00B83B43" w:rsidRPr="00882F11">
        <w:rPr>
          <w:rFonts w:cs="Guttman Drogolin" w:hint="cs"/>
          <w:rtl/>
          <w:lang w:bidi="he-IL"/>
        </w:rPr>
        <w:t xml:space="preserve">וע' בס' בדיקת המזון כהלכה ח"א ש"ב פ"ז הל' ד' </w:t>
      </w:r>
      <w:r w:rsidR="00B83B43" w:rsidRPr="00882F11">
        <w:rPr>
          <w:rFonts w:cs="Guttman Drogolin"/>
          <w:rtl/>
          <w:lang w:bidi="he-IL"/>
        </w:rPr>
        <w:t>–</w:t>
      </w:r>
      <w:r w:rsidR="00B83B43" w:rsidRPr="00882F11">
        <w:rPr>
          <w:rFonts w:cs="Guttman Drogolin" w:hint="cs"/>
          <w:rtl/>
          <w:lang w:bidi="he-IL"/>
        </w:rPr>
        <w:t xml:space="preserve"> ח' (עמ' 137 </w:t>
      </w:r>
      <w:r w:rsidR="00B83B43" w:rsidRPr="00882F11">
        <w:rPr>
          <w:rFonts w:cs="Guttman Drogolin"/>
          <w:rtl/>
          <w:lang w:bidi="he-IL"/>
        </w:rPr>
        <w:t>–</w:t>
      </w:r>
      <w:r w:rsidR="00B83B43" w:rsidRPr="00882F11">
        <w:rPr>
          <w:rFonts w:cs="Guttman Drogolin" w:hint="cs"/>
          <w:rtl/>
          <w:lang w:bidi="he-IL"/>
        </w:rPr>
        <w:t xml:space="preserve"> 140) פרטי דינים בזה. ובקיצור הסיק לדינא שאם רק לעיתים נגוע ובודק באופן קל, מותר לטוחנן ואין בזה משום ביטול איסור לכתחילה. ויש להסתפק מה יהא הדין אם בעצם הי' רוצה לאכלו בלי טחינה אבל טוחנן ואוכלם כיון של</w:t>
      </w:r>
      <w:r w:rsidR="007577A2" w:rsidRPr="00882F11">
        <w:rPr>
          <w:rFonts w:cs="Guttman Drogolin" w:hint="cs"/>
          <w:rtl/>
          <w:lang w:bidi="he-IL"/>
        </w:rPr>
        <w:t xml:space="preserve">א יוכל לאכלו אא"כ מבטלו. וצ"ע. </w:t>
      </w:r>
    </w:p>
    <w:p w:rsidR="0000320B" w:rsidRPr="00882F11" w:rsidRDefault="00C33360" w:rsidP="007577A2">
      <w:pPr>
        <w:tabs>
          <w:tab w:val="right" w:pos="7497"/>
        </w:tabs>
        <w:bidi/>
        <w:jc w:val="both"/>
        <w:rPr>
          <w:rFonts w:cs="Guttman Drogolin"/>
          <w:rtl/>
          <w:lang w:bidi="he-IL"/>
        </w:rPr>
      </w:pPr>
      <w:r w:rsidRPr="00882F11">
        <w:rPr>
          <w:rFonts w:cs="Guttman Drogolin" w:hint="cs"/>
          <w:rtl/>
          <w:lang w:bidi="he-IL"/>
        </w:rPr>
        <w:t>ע' ט"ז בענין חשבתי שמותר (ומש"ז למקור בטור)</w:t>
      </w:r>
      <w:r w:rsidR="007577A2" w:rsidRPr="00882F11">
        <w:rPr>
          <w:rFonts w:cs="Guttman Drogolin" w:hint="cs"/>
          <w:rtl/>
          <w:lang w:bidi="he-IL"/>
        </w:rPr>
        <w:t xml:space="preserve"> שגם זה נחשב שוגג.</w:t>
      </w:r>
      <w:r w:rsidRPr="00882F11">
        <w:rPr>
          <w:rFonts w:cs="Guttman Drogolin" w:hint="cs"/>
          <w:rtl/>
          <w:lang w:bidi="he-IL"/>
        </w:rPr>
        <w:t xml:space="preserve"> ו</w:t>
      </w:r>
      <w:r w:rsidR="008F6DBC" w:rsidRPr="00882F11">
        <w:rPr>
          <w:rFonts w:cs="Guttman Drogolin" w:hint="cs"/>
          <w:rtl/>
          <w:lang w:bidi="he-IL"/>
        </w:rPr>
        <w:t xml:space="preserve">יל"ע </w:t>
      </w:r>
      <w:r w:rsidRPr="00882F11">
        <w:rPr>
          <w:rFonts w:cs="Guttman Drogolin" w:hint="cs"/>
          <w:rtl/>
          <w:lang w:bidi="he-IL"/>
        </w:rPr>
        <w:t xml:space="preserve">מה הדין במכניס אוכל </w:t>
      </w:r>
      <w:r w:rsidR="007577A2" w:rsidRPr="00882F11">
        <w:rPr>
          <w:rFonts w:cs="Guttman Drogolin" w:hint="cs"/>
          <w:rtl/>
          <w:lang w:bidi="he-IL"/>
        </w:rPr>
        <w:t xml:space="preserve">לתוך תערובת בכוונה אבל </w:t>
      </w:r>
      <w:r w:rsidRPr="00882F11">
        <w:rPr>
          <w:rFonts w:cs="Guttman Drogolin" w:hint="cs"/>
          <w:rtl/>
          <w:lang w:bidi="he-IL"/>
        </w:rPr>
        <w:t>לא ידע שיש בה טעם איסור</w:t>
      </w:r>
      <w:r w:rsidR="008F6DBC" w:rsidRPr="00882F11">
        <w:rPr>
          <w:rFonts w:cs="Guttman Drogolin" w:hint="cs"/>
          <w:rtl/>
          <w:lang w:bidi="he-IL"/>
        </w:rPr>
        <w:t xml:space="preserve"> האם זה יחשב שוגג, ולכן לרע"א ועוד בדעת הראב"ד וסייעתו שגם שוגג אסור בדיעבד אם הדין שאין מבטלין איסור לכתחילה הוא מדאורייתא גם זה יהא אסור, או"ד עדיף משוגג כיון שלא ידע שמבטל איסור ע"י מעשיו כלל, והרי זה כמתעסק ואפילו בדיעבד מותר.</w:t>
      </w:r>
      <w:r w:rsidRPr="00882F11">
        <w:rPr>
          <w:rFonts w:cs="Guttman Drogolin" w:hint="cs"/>
          <w:rtl/>
          <w:lang w:bidi="he-IL"/>
        </w:rPr>
        <w:t xml:space="preserve"> </w:t>
      </w:r>
    </w:p>
    <w:p w:rsidR="001728D4" w:rsidRPr="00882F11" w:rsidRDefault="0000320B" w:rsidP="001728D4">
      <w:pPr>
        <w:tabs>
          <w:tab w:val="right" w:pos="7497"/>
        </w:tabs>
        <w:bidi/>
        <w:jc w:val="both"/>
        <w:rPr>
          <w:rFonts w:cs="Guttman Drogolin"/>
          <w:rtl/>
          <w:lang w:bidi="he-IL"/>
        </w:rPr>
      </w:pPr>
      <w:r w:rsidRPr="00882F11">
        <w:rPr>
          <w:rFonts w:cs="Guttman Drogolin" w:hint="cs"/>
          <w:rtl/>
          <w:lang w:bidi="he-IL"/>
        </w:rPr>
        <w:t>כתב ה</w:t>
      </w:r>
      <w:r w:rsidR="00C33360" w:rsidRPr="00882F11">
        <w:rPr>
          <w:rFonts w:cs="Guttman Drogolin" w:hint="cs"/>
          <w:rtl/>
          <w:lang w:bidi="he-IL"/>
        </w:rPr>
        <w:t xml:space="preserve">חזו"א </w:t>
      </w:r>
      <w:r w:rsidRPr="00882F11">
        <w:rPr>
          <w:rFonts w:cs="Guttman Drogolin" w:hint="cs"/>
          <w:rtl/>
          <w:lang w:bidi="he-IL"/>
        </w:rPr>
        <w:t>שמי ש</w:t>
      </w:r>
      <w:r w:rsidR="00C33360" w:rsidRPr="00882F11">
        <w:rPr>
          <w:rFonts w:cs="Guttman Drogolin" w:hint="cs"/>
          <w:rtl/>
          <w:lang w:bidi="he-IL"/>
        </w:rPr>
        <w:t xml:space="preserve">אינו שותו"מ </w:t>
      </w:r>
      <w:r w:rsidRPr="00882F11">
        <w:rPr>
          <w:rFonts w:cs="Guttman Drogolin" w:hint="cs"/>
          <w:rtl/>
          <w:lang w:bidi="he-IL"/>
        </w:rPr>
        <w:t xml:space="preserve">רח"ל </w:t>
      </w:r>
      <w:r w:rsidR="00C33360" w:rsidRPr="00882F11">
        <w:rPr>
          <w:rFonts w:cs="Guttman Drogolin" w:hint="cs"/>
          <w:rtl/>
          <w:lang w:bidi="he-IL"/>
        </w:rPr>
        <w:t xml:space="preserve">שמערב </w:t>
      </w:r>
      <w:r w:rsidRPr="00882F11">
        <w:rPr>
          <w:rFonts w:cs="Guttman Drogolin" w:hint="cs"/>
          <w:rtl/>
          <w:lang w:bidi="he-IL"/>
        </w:rPr>
        <w:t xml:space="preserve">איסור לכתחילה לצורך חבירו שאינו שותו"מ באופן שע"י העירוב הרי הוא בטל, אין קונסים אותו ואין כאן דבר האסור כלל. והטעם שהרי כיון שאינו שותו"מ רח"ל </w:t>
      </w:r>
      <w:r w:rsidR="00C33360" w:rsidRPr="00882F11">
        <w:rPr>
          <w:rFonts w:cs="Guttman Drogolin" w:hint="cs"/>
          <w:rtl/>
          <w:lang w:bidi="he-IL"/>
        </w:rPr>
        <w:t xml:space="preserve">לא איכפת לי' </w:t>
      </w:r>
      <w:r w:rsidRPr="00882F11">
        <w:rPr>
          <w:rFonts w:cs="Guttman Drogolin" w:hint="cs"/>
          <w:rtl/>
          <w:lang w:bidi="he-IL"/>
        </w:rPr>
        <w:t>בביטולו של האיסור כלל שהרי הוא אוכל גם דברים האסורים רח"ל. ולכן יוצא שקלקלתו תקנתו, דאע"ג שאסור לו לבטל, דהא</w:t>
      </w:r>
      <w:r w:rsidR="009223FB" w:rsidRPr="00882F11">
        <w:rPr>
          <w:rFonts w:cs="Guttman Drogolin" w:hint="cs"/>
          <w:rtl/>
          <w:lang w:bidi="he-IL"/>
        </w:rPr>
        <w:t xml:space="preserve"> </w:t>
      </w:r>
      <w:r w:rsidRPr="00882F11">
        <w:rPr>
          <w:rFonts w:cs="Guttman Drogolin" w:hint="cs"/>
          <w:rtl/>
          <w:lang w:bidi="he-IL"/>
        </w:rPr>
        <w:t>אע"פ שחטא ישראל הוא, מ"מ גם זה חשוב אין כוונתו לבטל.</w:t>
      </w:r>
    </w:p>
    <w:p w:rsidR="004B4990" w:rsidRPr="00882F11" w:rsidRDefault="0000320B" w:rsidP="001728D4">
      <w:pPr>
        <w:tabs>
          <w:tab w:val="right" w:pos="7497"/>
        </w:tabs>
        <w:bidi/>
        <w:jc w:val="both"/>
        <w:rPr>
          <w:rFonts w:cs="Guttman Drogolin"/>
          <w:rtl/>
          <w:lang w:bidi="he-IL"/>
        </w:rPr>
      </w:pPr>
      <w:r w:rsidRPr="00882F11">
        <w:rPr>
          <w:rFonts w:cs="Guttman Drogolin" w:hint="cs"/>
          <w:rtl/>
          <w:lang w:bidi="he-IL"/>
        </w:rPr>
        <w:t>ה</w:t>
      </w:r>
      <w:r w:rsidR="00C33360" w:rsidRPr="00882F11">
        <w:rPr>
          <w:rFonts w:cs="Guttman Drogolin" w:hint="cs"/>
          <w:rtl/>
          <w:lang w:bidi="he-IL"/>
        </w:rPr>
        <w:t xml:space="preserve">מג"א סי' תמ"ז </w:t>
      </w:r>
      <w:r w:rsidR="007577A2" w:rsidRPr="00882F11">
        <w:rPr>
          <w:rFonts w:cs="Guttman Drogolin" w:hint="cs"/>
          <w:rtl/>
          <w:lang w:bidi="he-IL"/>
        </w:rPr>
        <w:t xml:space="preserve">ס"ק מ"ה </w:t>
      </w:r>
      <w:r w:rsidRPr="00882F11">
        <w:rPr>
          <w:rFonts w:cs="Guttman Drogolin" w:hint="cs"/>
          <w:rtl/>
          <w:lang w:bidi="he-IL"/>
        </w:rPr>
        <w:t>כ</w:t>
      </w:r>
      <w:r w:rsidR="007577A2" w:rsidRPr="00882F11">
        <w:rPr>
          <w:rFonts w:cs="Guttman Drogolin" w:hint="cs"/>
          <w:rtl/>
          <w:lang w:bidi="he-IL"/>
        </w:rPr>
        <w:t>תב במי שמערב חלב בתוך היין כדי ל</w:t>
      </w:r>
      <w:r w:rsidRPr="00882F11">
        <w:rPr>
          <w:rFonts w:cs="Guttman Drogolin" w:hint="cs"/>
          <w:rtl/>
          <w:lang w:bidi="he-IL"/>
        </w:rPr>
        <w:t>שנות צבע היין אין כאן משום אין מבטלין איסור לכתחילה כיון שאין כוונתו לבטל</w:t>
      </w:r>
      <w:r w:rsidR="007577A2" w:rsidRPr="00882F11">
        <w:rPr>
          <w:rFonts w:cs="Guttman Drogolin" w:hint="cs"/>
          <w:rtl/>
          <w:lang w:bidi="he-IL"/>
        </w:rPr>
        <w:t>, והראה ליו"ד ססי' פ"ד כמקור לדין אין מבטלין איסור לכתחילה</w:t>
      </w:r>
      <w:r w:rsidRPr="00882F11">
        <w:rPr>
          <w:rFonts w:cs="Guttman Drogolin" w:hint="cs"/>
          <w:rtl/>
          <w:lang w:bidi="he-IL"/>
        </w:rPr>
        <w:t xml:space="preserve">. ולכאורה יש לחלק בין הנושאים בין להחמיר ובין להקל. דמצד א' י"ל שאפילו למי שמחמיר שאין מבטלין איסור לכתחילה </w:t>
      </w:r>
      <w:r w:rsidR="001728D4" w:rsidRPr="00882F11">
        <w:rPr>
          <w:rFonts w:cs="Guttman Drogolin" w:hint="cs"/>
          <w:rtl/>
          <w:lang w:bidi="he-IL"/>
        </w:rPr>
        <w:t xml:space="preserve">אפילו כשאין כוונתו לבטל, הכא שרי, שהרי אין כוונתו לבטל החלב כדי לתת לתוך </w:t>
      </w:r>
      <w:r w:rsidR="001728D4" w:rsidRPr="00882F11">
        <w:rPr>
          <w:rFonts w:cs="Guttman Drogolin" w:hint="cs"/>
          <w:rtl/>
          <w:lang w:bidi="he-IL"/>
        </w:rPr>
        <w:lastRenderedPageBreak/>
        <w:t>בשר, רק כוונתו לשנות צבע היין ואין לו כוונה להכניס היין לתוך הבשר כלל. ולכן אם עשה כן, אע"ג שלאחר מכן החליט להכניס היין לתוך הבשר, אין לאסור עליו דהא אין באן ביטול איסור לכתחילה כלל. ומאידך, אי משום כללא דאין כוונתו לבטל (וכגון אם עירב החלב לתוך היין וכוונתו היתה להכניס היין לאחר מכן לתוך בשר, ולפי מה שדקדק שבבב"ח ג"כ נאמר הדין שאין מבטלין לכתחילה) לכאורה י"ל שאפילו למקילים שמותר לערב לכתחילה כשאין כוונתו לבטל, הנ"מ כשאין רצונו לערב האיסור לתוך התערובת, רק מקופיא נכנס לתוך התערובת. אבל כאן הר</w:t>
      </w:r>
      <w:r w:rsidR="00131C86" w:rsidRPr="00882F11">
        <w:rPr>
          <w:rFonts w:cs="Guttman Drogolin" w:hint="cs"/>
          <w:rtl/>
          <w:lang w:bidi="he-IL"/>
        </w:rPr>
        <w:t>י רצונו לערב החלב לתוך היי</w:t>
      </w:r>
      <w:r w:rsidR="001728D4" w:rsidRPr="00882F11">
        <w:rPr>
          <w:rFonts w:cs="Guttman Drogolin" w:hint="cs"/>
          <w:rtl/>
          <w:lang w:bidi="he-IL"/>
        </w:rPr>
        <w:t xml:space="preserve">ן, רק שאינו עושה כן כדי שיהא טעם חלב רק כדי שיהא לו חזותא, ויתכן שזה נחשב כוונתו לבטל. וכן העיר בחק יעקב על אתר בדעת המג"א. (וכה"ג מבואר גם בספרו מנחת יעקב). </w:t>
      </w:r>
    </w:p>
    <w:p w:rsidR="001728D4" w:rsidRPr="00882F11" w:rsidRDefault="001728D4" w:rsidP="001728D4">
      <w:pPr>
        <w:pStyle w:val="Heading1"/>
        <w:bidi/>
        <w:spacing w:before="0" w:line="360" w:lineRule="auto"/>
        <w:jc w:val="center"/>
        <w:rPr>
          <w:rFonts w:cs="Guttman Drogolin"/>
          <w:color w:val="auto"/>
          <w:sz w:val="24"/>
          <w:szCs w:val="24"/>
          <w:u w:val="single"/>
          <w:rtl/>
          <w:lang w:bidi="he-IL"/>
        </w:rPr>
      </w:pPr>
      <w:bookmarkStart w:id="326" w:name="_Toc496175577"/>
      <w:r w:rsidRPr="00882F11">
        <w:rPr>
          <w:rFonts w:cs="Guttman Drogolin" w:hint="cs"/>
          <w:color w:val="auto"/>
          <w:sz w:val="24"/>
          <w:szCs w:val="24"/>
          <w:u w:val="single"/>
          <w:rtl/>
          <w:lang w:bidi="he-IL"/>
        </w:rPr>
        <w:t>עוד נקודה בד</w:t>
      </w:r>
      <w:r w:rsidR="00B0776E">
        <w:rPr>
          <w:rFonts w:cs="Guttman Drogolin" w:hint="cs"/>
          <w:color w:val="auto"/>
          <w:sz w:val="24"/>
          <w:szCs w:val="24"/>
          <w:u w:val="single"/>
          <w:rtl/>
          <w:lang w:bidi="he-IL"/>
        </w:rPr>
        <w:t>י</w:t>
      </w:r>
      <w:r w:rsidRPr="00882F11">
        <w:rPr>
          <w:rFonts w:cs="Guttman Drogolin" w:hint="cs"/>
          <w:color w:val="auto"/>
          <w:sz w:val="24"/>
          <w:szCs w:val="24"/>
          <w:u w:val="single"/>
          <w:rtl/>
          <w:lang w:bidi="he-IL"/>
        </w:rPr>
        <w:t>ן חשבתי שמותר</w:t>
      </w:r>
      <w:bookmarkEnd w:id="326"/>
    </w:p>
    <w:p w:rsidR="00D4383F" w:rsidRPr="00882F11" w:rsidRDefault="00B0776E" w:rsidP="00B0776E">
      <w:pPr>
        <w:tabs>
          <w:tab w:val="right" w:pos="7497"/>
        </w:tabs>
        <w:bidi/>
        <w:jc w:val="both"/>
        <w:rPr>
          <w:rFonts w:cs="Guttman Drogolin"/>
          <w:lang w:bidi="he-IL"/>
        </w:rPr>
        <w:sectPr w:rsidR="00D4383F" w:rsidRPr="00882F11" w:rsidSect="005229E6">
          <w:type w:val="continuous"/>
          <w:pgSz w:w="11907" w:h="16839" w:code="9"/>
          <w:pgMar w:top="1440" w:right="1440" w:bottom="1440" w:left="1440" w:header="720" w:footer="720" w:gutter="0"/>
          <w:cols w:num="2" w:space="720"/>
          <w:bidi/>
          <w:docGrid w:linePitch="360"/>
        </w:sectPr>
      </w:pPr>
      <w:r>
        <w:rPr>
          <w:rFonts w:cs="Guttman Drogolin"/>
          <w:rtl/>
          <w:lang w:bidi="he-IL"/>
        </w:rPr>
        <w:fldChar w:fldCharType="begin"/>
      </w:r>
      <w:r>
        <w:instrText xml:space="preserve"> XE "</w:instrText>
      </w:r>
      <w:r w:rsidRPr="00FA0AA5">
        <w:rPr>
          <w:rFonts w:hint="cs"/>
          <w:rtl/>
          <w:lang w:bidi="he-IL"/>
        </w:rPr>
        <w:instrText>אין מבטלין איסור לכתחילה</w:instrText>
      </w:r>
      <w:r w:rsidRPr="00FA0AA5">
        <w:rPr>
          <w:rtl/>
        </w:rPr>
        <w:instrText>:</w:instrText>
      </w:r>
      <w:r>
        <w:rPr>
          <w:rFonts w:hint="cs"/>
          <w:rtl/>
          <w:lang w:bidi="he-IL"/>
        </w:rPr>
        <w:instrText xml:space="preserve">בשוגג </w:instrText>
      </w:r>
      <w:r>
        <w:rPr>
          <w:rtl/>
          <w:lang w:bidi="he-IL"/>
        </w:rPr>
        <w:instrText>–</w:instrText>
      </w:r>
      <w:r>
        <w:rPr>
          <w:rFonts w:hint="cs"/>
          <w:rtl/>
          <w:lang w:bidi="he-IL"/>
        </w:rPr>
        <w:instrText xml:space="preserve"> חשבתי שמותר</w:instrText>
      </w:r>
      <w:r>
        <w:instrText xml:space="preserve">" </w:instrText>
      </w:r>
      <w:r>
        <w:rPr>
          <w:rFonts w:cs="Guttman Drogolin"/>
          <w:rtl/>
          <w:lang w:bidi="he-IL"/>
        </w:rPr>
        <w:fldChar w:fldCharType="end"/>
      </w:r>
      <w:r w:rsidR="001728D4" w:rsidRPr="00882F11">
        <w:rPr>
          <w:rFonts w:cs="Guttman Drogolin" w:hint="cs"/>
          <w:rtl/>
          <w:lang w:bidi="he-IL"/>
        </w:rPr>
        <w:t>שיטת הט"ז שגם חשבתי שמותר הרי הוא בכלל שוגג ואין אוס</w:t>
      </w:r>
      <w:r w:rsidR="004B4990" w:rsidRPr="00882F11">
        <w:rPr>
          <w:rFonts w:cs="Guttman Drogolin" w:hint="cs"/>
          <w:rtl/>
          <w:lang w:bidi="he-IL"/>
        </w:rPr>
        <w:t>רים את התבשיל בדיעבד. וע' ב</w:t>
      </w:r>
      <w:r w:rsidR="00C33360" w:rsidRPr="00882F11">
        <w:rPr>
          <w:rFonts w:cs="Guttman Drogolin" w:hint="cs"/>
          <w:rtl/>
          <w:lang w:bidi="he-IL"/>
        </w:rPr>
        <w:t xml:space="preserve">פת"ש </w:t>
      </w:r>
      <w:r w:rsidR="004B4990" w:rsidRPr="00882F11">
        <w:rPr>
          <w:rFonts w:cs="Guttman Drogolin" w:hint="cs"/>
          <w:rtl/>
          <w:lang w:bidi="he-IL"/>
        </w:rPr>
        <w:t>ס"ק ה' שהביא</w:t>
      </w:r>
      <w:r w:rsidR="004B4990" w:rsidRPr="00882F11">
        <w:rPr>
          <w:rFonts w:cs="Guttman Drogolin"/>
          <w:rtl/>
          <w:lang w:bidi="he-IL"/>
        </w:rPr>
        <w:t xml:space="preserve"> </w:t>
      </w:r>
      <w:r w:rsidR="004B4990" w:rsidRPr="00882F11">
        <w:rPr>
          <w:rFonts w:cs="Guttman Drogolin" w:hint="cs"/>
          <w:rtl/>
          <w:lang w:bidi="he-IL"/>
        </w:rPr>
        <w:t>תשובת</w:t>
      </w:r>
      <w:r w:rsidR="004B4990" w:rsidRPr="00882F11">
        <w:rPr>
          <w:rFonts w:cs="Guttman Drogolin"/>
          <w:rtl/>
          <w:lang w:bidi="he-IL"/>
        </w:rPr>
        <w:t xml:space="preserve"> </w:t>
      </w:r>
      <w:r w:rsidR="004B4990" w:rsidRPr="00882F11">
        <w:rPr>
          <w:rFonts w:cs="Guttman Drogolin" w:hint="cs"/>
          <w:rtl/>
          <w:lang w:bidi="he-IL"/>
        </w:rPr>
        <w:t>בית</w:t>
      </w:r>
      <w:r w:rsidR="004B4990" w:rsidRPr="00882F11">
        <w:rPr>
          <w:rFonts w:cs="Guttman Drogolin"/>
          <w:rtl/>
          <w:lang w:bidi="he-IL"/>
        </w:rPr>
        <w:t xml:space="preserve"> </w:t>
      </w:r>
      <w:r w:rsidR="004B4990" w:rsidRPr="00882F11">
        <w:rPr>
          <w:rFonts w:cs="Guttman Drogolin" w:hint="cs"/>
          <w:rtl/>
          <w:lang w:bidi="he-IL"/>
        </w:rPr>
        <w:t>יעקב</w:t>
      </w:r>
      <w:r w:rsidR="004B4990" w:rsidRPr="00882F11">
        <w:rPr>
          <w:rFonts w:cs="Guttman Drogolin"/>
          <w:rtl/>
          <w:lang w:bidi="he-IL"/>
        </w:rPr>
        <w:t xml:space="preserve"> </w:t>
      </w:r>
      <w:r w:rsidR="004B4990" w:rsidRPr="00882F11">
        <w:rPr>
          <w:rFonts w:cs="Guttman Drogolin" w:hint="cs"/>
          <w:rtl/>
          <w:lang w:bidi="he-IL"/>
        </w:rPr>
        <w:t>סי</w:t>
      </w:r>
      <w:r w:rsidR="004B4990" w:rsidRPr="00882F11">
        <w:rPr>
          <w:rFonts w:cs="Guttman Drogolin"/>
          <w:rtl/>
          <w:lang w:bidi="he-IL"/>
        </w:rPr>
        <w:t xml:space="preserve">' </w:t>
      </w:r>
      <w:r w:rsidR="004B4990" w:rsidRPr="00882F11">
        <w:rPr>
          <w:rFonts w:cs="Guttman Drogolin" w:hint="cs"/>
          <w:rtl/>
          <w:lang w:bidi="he-IL"/>
        </w:rPr>
        <w:t>פ</w:t>
      </w:r>
      <w:r w:rsidR="004B4990" w:rsidRPr="00882F11">
        <w:rPr>
          <w:rFonts w:cs="Guttman Drogolin"/>
          <w:rtl/>
          <w:lang w:bidi="he-IL"/>
        </w:rPr>
        <w:t>"</w:t>
      </w:r>
      <w:r w:rsidR="004B4990" w:rsidRPr="00882F11">
        <w:rPr>
          <w:rFonts w:cs="Guttman Drogolin" w:hint="cs"/>
          <w:rtl/>
          <w:lang w:bidi="he-IL"/>
        </w:rPr>
        <w:t>ה</w:t>
      </w:r>
      <w:r w:rsidR="004B4990" w:rsidRPr="00882F11">
        <w:rPr>
          <w:rFonts w:cs="Guttman Drogolin"/>
          <w:rtl/>
          <w:lang w:bidi="he-IL"/>
        </w:rPr>
        <w:t xml:space="preserve"> </w:t>
      </w:r>
      <w:r w:rsidR="004B4990" w:rsidRPr="00882F11">
        <w:rPr>
          <w:rFonts w:cs="Guttman Drogolin" w:hint="cs"/>
          <w:rtl/>
          <w:lang w:bidi="he-IL"/>
        </w:rPr>
        <w:t>שרצה</w:t>
      </w:r>
      <w:r w:rsidR="004B4990" w:rsidRPr="00882F11">
        <w:rPr>
          <w:rFonts w:cs="Guttman Drogolin"/>
          <w:rtl/>
          <w:lang w:bidi="he-IL"/>
        </w:rPr>
        <w:t xml:space="preserve"> </w:t>
      </w:r>
      <w:r w:rsidR="004B4990" w:rsidRPr="00882F11">
        <w:rPr>
          <w:rFonts w:cs="Guttman Drogolin" w:hint="cs"/>
          <w:rtl/>
          <w:lang w:bidi="he-IL"/>
        </w:rPr>
        <w:t>לדמות</w:t>
      </w:r>
      <w:r w:rsidR="004B4990" w:rsidRPr="00882F11">
        <w:rPr>
          <w:rFonts w:cs="Guttman Drogolin"/>
          <w:rtl/>
          <w:lang w:bidi="he-IL"/>
        </w:rPr>
        <w:t xml:space="preserve"> </w:t>
      </w:r>
      <w:r w:rsidR="004B4990" w:rsidRPr="00882F11">
        <w:rPr>
          <w:rFonts w:cs="Guttman Drogolin" w:hint="cs"/>
          <w:rtl/>
          <w:lang w:bidi="he-IL"/>
        </w:rPr>
        <w:t>אם</w:t>
      </w:r>
      <w:r w:rsidR="004B4990" w:rsidRPr="00882F11">
        <w:rPr>
          <w:rFonts w:cs="Guttman Drogolin"/>
          <w:rtl/>
          <w:lang w:bidi="he-IL"/>
        </w:rPr>
        <w:t xml:space="preserve"> </w:t>
      </w:r>
      <w:r w:rsidR="004B4990" w:rsidRPr="00882F11">
        <w:rPr>
          <w:rFonts w:cs="Guttman Drogolin" w:hint="cs"/>
          <w:rtl/>
          <w:lang w:bidi="he-IL"/>
        </w:rPr>
        <w:t>עשתה</w:t>
      </w:r>
      <w:r w:rsidR="004B4990" w:rsidRPr="00882F11">
        <w:rPr>
          <w:rFonts w:cs="Guttman Drogolin"/>
          <w:rtl/>
          <w:lang w:bidi="he-IL"/>
        </w:rPr>
        <w:t xml:space="preserve"> </w:t>
      </w:r>
      <w:r w:rsidR="004B4990" w:rsidRPr="00882F11">
        <w:rPr>
          <w:rFonts w:cs="Guttman Drogolin" w:hint="cs"/>
          <w:rtl/>
          <w:lang w:bidi="he-IL"/>
        </w:rPr>
        <w:t>אשה ע</w:t>
      </w:r>
      <w:r w:rsidR="004B4990" w:rsidRPr="00882F11">
        <w:rPr>
          <w:rFonts w:cs="Guttman Drogolin"/>
          <w:rtl/>
          <w:lang w:bidi="he-IL"/>
        </w:rPr>
        <w:t>"</w:t>
      </w:r>
      <w:r w:rsidR="004B4990" w:rsidRPr="00882F11">
        <w:rPr>
          <w:rFonts w:cs="Guttman Drogolin" w:hint="cs"/>
          <w:rtl/>
          <w:lang w:bidi="he-IL"/>
        </w:rPr>
        <w:t>פ</w:t>
      </w:r>
      <w:r w:rsidR="004B4990" w:rsidRPr="00882F11">
        <w:rPr>
          <w:rFonts w:cs="Guttman Drogolin"/>
          <w:rtl/>
          <w:lang w:bidi="he-IL"/>
        </w:rPr>
        <w:t xml:space="preserve"> </w:t>
      </w:r>
      <w:r w:rsidR="004B4990" w:rsidRPr="00882F11">
        <w:rPr>
          <w:rFonts w:cs="Guttman Drogolin" w:hint="cs"/>
          <w:rtl/>
          <w:lang w:bidi="he-IL"/>
        </w:rPr>
        <w:t>דבורה</w:t>
      </w:r>
      <w:r w:rsidR="004B4990" w:rsidRPr="00882F11">
        <w:rPr>
          <w:rFonts w:cs="Guttman Drogolin"/>
          <w:rtl/>
          <w:lang w:bidi="he-IL"/>
        </w:rPr>
        <w:t xml:space="preserve"> </w:t>
      </w:r>
      <w:r w:rsidR="004B4990" w:rsidRPr="00882F11">
        <w:rPr>
          <w:rFonts w:cs="Guttman Drogolin" w:hint="cs"/>
          <w:rtl/>
          <w:lang w:bidi="he-IL"/>
        </w:rPr>
        <w:t>של</w:t>
      </w:r>
      <w:r w:rsidR="004B4990" w:rsidRPr="00882F11">
        <w:rPr>
          <w:rFonts w:cs="Guttman Drogolin"/>
          <w:rtl/>
          <w:lang w:bidi="he-IL"/>
        </w:rPr>
        <w:t xml:space="preserve"> </w:t>
      </w:r>
      <w:r w:rsidR="004B4990" w:rsidRPr="00882F11">
        <w:rPr>
          <w:rFonts w:cs="Guttman Drogolin" w:hint="cs"/>
          <w:rtl/>
          <w:lang w:bidi="he-IL"/>
        </w:rPr>
        <w:t>אשה</w:t>
      </w:r>
      <w:r w:rsidR="004B4990" w:rsidRPr="00882F11">
        <w:rPr>
          <w:rFonts w:cs="Guttman Drogolin"/>
          <w:rtl/>
          <w:lang w:bidi="he-IL"/>
        </w:rPr>
        <w:t xml:space="preserve"> </w:t>
      </w:r>
      <w:r w:rsidR="004B4990" w:rsidRPr="00882F11">
        <w:rPr>
          <w:rFonts w:cs="Guttman Drogolin" w:hint="cs"/>
          <w:rtl/>
          <w:lang w:bidi="he-IL"/>
        </w:rPr>
        <w:t>אחרת</w:t>
      </w:r>
      <w:r w:rsidR="004B4990" w:rsidRPr="00882F11">
        <w:rPr>
          <w:rFonts w:cs="Guttman Drogolin"/>
          <w:rtl/>
          <w:lang w:bidi="he-IL"/>
        </w:rPr>
        <w:t xml:space="preserve"> </w:t>
      </w:r>
      <w:r w:rsidR="004B4990" w:rsidRPr="00882F11">
        <w:rPr>
          <w:rFonts w:cs="Guttman Drogolin" w:hint="cs"/>
          <w:rtl/>
          <w:lang w:bidi="he-IL"/>
        </w:rPr>
        <w:t>לעשתה</w:t>
      </w:r>
      <w:r w:rsidR="004B4990" w:rsidRPr="00882F11">
        <w:rPr>
          <w:rFonts w:cs="Guttman Drogolin"/>
          <w:rtl/>
          <w:lang w:bidi="he-IL"/>
        </w:rPr>
        <w:t xml:space="preserve"> </w:t>
      </w:r>
      <w:r w:rsidR="004B4990" w:rsidRPr="00882F11">
        <w:rPr>
          <w:rFonts w:cs="Guttman Drogolin" w:hint="cs"/>
          <w:rtl/>
          <w:lang w:bidi="he-IL"/>
        </w:rPr>
        <w:t>עפ</w:t>
      </w:r>
      <w:r w:rsidR="004B4990" w:rsidRPr="00882F11">
        <w:rPr>
          <w:rFonts w:cs="Guttman Drogolin"/>
          <w:rtl/>
          <w:lang w:bidi="he-IL"/>
        </w:rPr>
        <w:t>"</w:t>
      </w:r>
      <w:r w:rsidR="004B4990" w:rsidRPr="00882F11">
        <w:rPr>
          <w:rFonts w:cs="Guttman Drogolin" w:hint="cs"/>
          <w:rtl/>
          <w:lang w:bidi="he-IL"/>
        </w:rPr>
        <w:t>י</w:t>
      </w:r>
      <w:r w:rsidR="004B4990" w:rsidRPr="00882F11">
        <w:rPr>
          <w:rFonts w:cs="Guttman Drogolin"/>
          <w:rtl/>
          <w:lang w:bidi="he-IL"/>
        </w:rPr>
        <w:t xml:space="preserve"> </w:t>
      </w:r>
      <w:r w:rsidR="004B4990" w:rsidRPr="00882F11">
        <w:rPr>
          <w:rFonts w:cs="Guttman Drogolin" w:hint="cs"/>
          <w:rtl/>
          <w:lang w:bidi="he-IL"/>
        </w:rPr>
        <w:t>חכם</w:t>
      </w:r>
      <w:r w:rsidR="004B4990" w:rsidRPr="00882F11">
        <w:rPr>
          <w:rFonts w:cs="Guttman Drogolin"/>
          <w:rtl/>
          <w:lang w:bidi="he-IL"/>
        </w:rPr>
        <w:t xml:space="preserve"> </w:t>
      </w:r>
      <w:r w:rsidR="004B4990" w:rsidRPr="00882F11">
        <w:rPr>
          <w:rFonts w:cs="Guttman Drogolin" w:hint="cs"/>
          <w:rtl/>
          <w:lang w:bidi="he-IL"/>
        </w:rPr>
        <w:t>דשניהם בכלל חשבתי שמותר, דמאי שנא (ומ"מ בשו"ת בית יעקב שם רצה לחלוק על כל ההיתר של חשבתי שמותר). ובפת"ש שם דחה דבריו ע"פ דברי השו"ת</w:t>
      </w:r>
      <w:r w:rsidR="009223FB" w:rsidRPr="00882F11">
        <w:rPr>
          <w:rFonts w:cs="Guttman Drogolin" w:hint="cs"/>
          <w:rtl/>
          <w:lang w:bidi="he-IL"/>
        </w:rPr>
        <w:t xml:space="preserve"> צמח צדק סי' מ'. ששם בשו"ת צמח צ</w:t>
      </w:r>
      <w:r w:rsidR="004B4990" w:rsidRPr="00882F11">
        <w:rPr>
          <w:rFonts w:cs="Guttman Drogolin" w:hint="cs"/>
          <w:rtl/>
          <w:lang w:bidi="he-IL"/>
        </w:rPr>
        <w:t xml:space="preserve">דק דן שמי שהתירו לו 'הלומדים' לישא אשת חמיו, </w:t>
      </w:r>
      <w:r w:rsidR="00D4383F" w:rsidRPr="00882F11">
        <w:rPr>
          <w:rFonts w:cs="Guttman Drogolin" w:hint="cs"/>
          <w:rtl/>
          <w:lang w:bidi="he-IL"/>
        </w:rPr>
        <w:t>והאריך שם הצמח צדק להורות שדבר זה אסור וחייב לגרשה. והוסיף שאין לומר שדבר זה נחשב שוגג כיון שהרי שאל ללומדים (וע"ש טעם להקל כה"ג בשוגג)</w:t>
      </w:r>
      <w:r w:rsidR="00D4383F" w:rsidRPr="00882F11">
        <w:rPr>
          <w:rFonts w:cs="Guttman Drogolin" w:hint="cs"/>
          <w:lang w:bidi="he-IL"/>
        </w:rPr>
        <w:t xml:space="preserve"> </w:t>
      </w:r>
      <w:r w:rsidR="00D4383F" w:rsidRPr="00882F11">
        <w:rPr>
          <w:rFonts w:cs="Guttman Drogolin" w:hint="cs"/>
          <w:rtl/>
          <w:lang w:bidi="he-IL"/>
        </w:rPr>
        <w:t>"דכיון</w:t>
      </w:r>
      <w:r w:rsidR="00D4383F" w:rsidRPr="00882F11">
        <w:rPr>
          <w:rFonts w:cs="Guttman Drogolin"/>
          <w:rtl/>
          <w:lang w:bidi="he-IL"/>
        </w:rPr>
        <w:t xml:space="preserve"> </w:t>
      </w:r>
      <w:r w:rsidR="00D4383F" w:rsidRPr="00882F11">
        <w:rPr>
          <w:rFonts w:cs="Guttman Drogolin" w:hint="cs"/>
          <w:rtl/>
          <w:lang w:bidi="he-IL"/>
        </w:rPr>
        <w:t>שהיה</w:t>
      </w:r>
      <w:r w:rsidR="00D4383F" w:rsidRPr="00882F11">
        <w:rPr>
          <w:rFonts w:cs="Guttman Drogolin"/>
          <w:rtl/>
          <w:lang w:bidi="he-IL"/>
        </w:rPr>
        <w:t xml:space="preserve"> </w:t>
      </w:r>
      <w:r w:rsidR="00D4383F" w:rsidRPr="00882F11">
        <w:rPr>
          <w:rFonts w:cs="Guttman Drogolin" w:hint="cs"/>
          <w:rtl/>
          <w:lang w:bidi="he-IL"/>
        </w:rPr>
        <w:t>מסופק</w:t>
      </w:r>
      <w:r w:rsidR="00D4383F" w:rsidRPr="00882F11">
        <w:rPr>
          <w:rFonts w:cs="Guttman Drogolin"/>
          <w:rtl/>
          <w:lang w:bidi="he-IL"/>
        </w:rPr>
        <w:t xml:space="preserve"> </w:t>
      </w:r>
      <w:r w:rsidR="00D4383F" w:rsidRPr="00882F11">
        <w:rPr>
          <w:rFonts w:cs="Guttman Drogolin" w:hint="cs"/>
          <w:rtl/>
          <w:lang w:bidi="he-IL"/>
        </w:rPr>
        <w:t>בהוראה</w:t>
      </w:r>
      <w:r w:rsidR="00D4383F" w:rsidRPr="00882F11">
        <w:rPr>
          <w:rFonts w:cs="Guttman Drogolin"/>
          <w:rtl/>
          <w:lang w:bidi="he-IL"/>
        </w:rPr>
        <w:t xml:space="preserve"> </w:t>
      </w:r>
      <w:r w:rsidR="00D4383F" w:rsidRPr="00882F11">
        <w:rPr>
          <w:rFonts w:cs="Guttman Drogolin" w:hint="cs"/>
          <w:rtl/>
          <w:lang w:bidi="he-IL"/>
        </w:rPr>
        <w:t>זו</w:t>
      </w:r>
      <w:r w:rsidR="00D4383F" w:rsidRPr="00882F11">
        <w:rPr>
          <w:rFonts w:cs="Guttman Drogolin"/>
          <w:rtl/>
          <w:lang w:bidi="he-IL"/>
        </w:rPr>
        <w:t xml:space="preserve"> </w:t>
      </w:r>
      <w:r w:rsidR="00D4383F" w:rsidRPr="00882F11">
        <w:rPr>
          <w:rFonts w:cs="Guttman Drogolin" w:hint="cs"/>
          <w:rtl/>
          <w:lang w:bidi="he-IL"/>
        </w:rPr>
        <w:t>ושאל</w:t>
      </w:r>
      <w:r w:rsidR="00D4383F" w:rsidRPr="00882F11">
        <w:rPr>
          <w:rFonts w:cs="Guttman Drogolin"/>
          <w:rtl/>
          <w:lang w:bidi="he-IL"/>
        </w:rPr>
        <w:t xml:space="preserve"> </w:t>
      </w:r>
      <w:r w:rsidR="00D4383F" w:rsidRPr="00882F11">
        <w:rPr>
          <w:rFonts w:cs="Guttman Drogolin" w:hint="cs"/>
          <w:rtl/>
          <w:lang w:bidi="he-IL"/>
        </w:rPr>
        <w:t>ללומדים</w:t>
      </w:r>
      <w:r w:rsidR="00D4383F" w:rsidRPr="00882F11">
        <w:rPr>
          <w:rFonts w:cs="Guttman Drogolin"/>
          <w:rtl/>
          <w:lang w:bidi="he-IL"/>
        </w:rPr>
        <w:t xml:space="preserve"> </w:t>
      </w:r>
      <w:r w:rsidR="00D4383F" w:rsidRPr="00882F11">
        <w:rPr>
          <w:rFonts w:cs="Guttman Drogolin" w:hint="cs"/>
          <w:rtl/>
          <w:lang w:bidi="he-IL"/>
        </w:rPr>
        <w:t>ולא</w:t>
      </w:r>
      <w:r w:rsidR="00D4383F" w:rsidRPr="00882F11">
        <w:rPr>
          <w:rFonts w:cs="Guttman Drogolin"/>
          <w:rtl/>
          <w:lang w:bidi="he-IL"/>
        </w:rPr>
        <w:t xml:space="preserve"> </w:t>
      </w:r>
      <w:r w:rsidR="00D4383F" w:rsidRPr="00882F11">
        <w:rPr>
          <w:rFonts w:cs="Guttman Drogolin" w:hint="cs"/>
          <w:rtl/>
          <w:lang w:bidi="he-IL"/>
        </w:rPr>
        <w:t>שאל</w:t>
      </w:r>
      <w:r w:rsidR="00D4383F" w:rsidRPr="00882F11">
        <w:rPr>
          <w:rFonts w:cs="Guttman Drogolin"/>
          <w:rtl/>
          <w:lang w:bidi="he-IL"/>
        </w:rPr>
        <w:t xml:space="preserve"> </w:t>
      </w:r>
      <w:r w:rsidR="00D4383F" w:rsidRPr="00882F11">
        <w:rPr>
          <w:rFonts w:cs="Guttman Drogolin" w:hint="cs"/>
          <w:rtl/>
          <w:lang w:bidi="he-IL"/>
        </w:rPr>
        <w:t>לבעלי</w:t>
      </w:r>
      <w:r w:rsidR="00D4383F" w:rsidRPr="00882F11">
        <w:rPr>
          <w:rFonts w:cs="Guttman Drogolin"/>
          <w:rtl/>
          <w:lang w:bidi="he-IL"/>
        </w:rPr>
        <w:t xml:space="preserve"> </w:t>
      </w:r>
      <w:r w:rsidR="00D4383F" w:rsidRPr="00882F11">
        <w:rPr>
          <w:rFonts w:cs="Guttman Drogolin" w:hint="cs"/>
          <w:rtl/>
          <w:lang w:bidi="he-IL"/>
        </w:rPr>
        <w:t>הוראה</w:t>
      </w:r>
      <w:r w:rsidR="00D4383F" w:rsidRPr="00882F11">
        <w:rPr>
          <w:rFonts w:cs="Guttman Drogolin"/>
          <w:rtl/>
          <w:lang w:bidi="he-IL"/>
        </w:rPr>
        <w:t xml:space="preserve"> </w:t>
      </w:r>
      <w:r w:rsidR="00D4383F" w:rsidRPr="00882F11">
        <w:rPr>
          <w:rFonts w:cs="Guttman Drogolin" w:hint="cs"/>
          <w:rtl/>
          <w:lang w:bidi="he-IL"/>
        </w:rPr>
        <w:t>המפורסמים</w:t>
      </w:r>
      <w:r w:rsidR="00D4383F" w:rsidRPr="00882F11">
        <w:rPr>
          <w:rFonts w:cs="Guttman Drogolin"/>
          <w:rtl/>
          <w:lang w:bidi="he-IL"/>
        </w:rPr>
        <w:t xml:space="preserve"> </w:t>
      </w:r>
      <w:r w:rsidR="00D4383F" w:rsidRPr="00882F11">
        <w:rPr>
          <w:rFonts w:cs="Guttman Drogolin" w:hint="cs"/>
          <w:rtl/>
          <w:lang w:bidi="he-IL"/>
        </w:rPr>
        <w:t>לא</w:t>
      </w:r>
      <w:r w:rsidR="00D4383F" w:rsidRPr="00882F11">
        <w:rPr>
          <w:rFonts w:cs="Guttman Drogolin"/>
          <w:rtl/>
          <w:lang w:bidi="he-IL"/>
        </w:rPr>
        <w:t xml:space="preserve"> </w:t>
      </w:r>
      <w:r w:rsidR="00D4383F" w:rsidRPr="00882F11">
        <w:rPr>
          <w:rFonts w:cs="Guttman Drogolin" w:hint="cs"/>
          <w:rtl/>
          <w:lang w:bidi="he-IL"/>
        </w:rPr>
        <w:t>מיקרי</w:t>
      </w:r>
      <w:r w:rsidR="00D4383F" w:rsidRPr="00882F11">
        <w:rPr>
          <w:rFonts w:cs="Guttman Drogolin"/>
          <w:rtl/>
          <w:lang w:bidi="he-IL"/>
        </w:rPr>
        <w:t xml:space="preserve"> </w:t>
      </w:r>
      <w:r w:rsidR="00D4383F" w:rsidRPr="00882F11">
        <w:rPr>
          <w:rFonts w:cs="Guttman Drogolin" w:hint="cs"/>
          <w:rtl/>
          <w:lang w:bidi="he-IL"/>
        </w:rPr>
        <w:t>שוגג</w:t>
      </w:r>
      <w:r w:rsidR="00D4383F" w:rsidRPr="00882F11">
        <w:rPr>
          <w:rFonts w:cs="Guttman Drogolin"/>
          <w:rtl/>
          <w:lang w:bidi="he-IL"/>
        </w:rPr>
        <w:t xml:space="preserve"> </w:t>
      </w:r>
      <w:r w:rsidR="00D4383F" w:rsidRPr="00882F11">
        <w:rPr>
          <w:rFonts w:cs="Guttman Drogolin" w:hint="cs"/>
          <w:rtl/>
          <w:lang w:bidi="he-IL"/>
        </w:rPr>
        <w:t>ודאי</w:t>
      </w:r>
      <w:r w:rsidR="00D4383F" w:rsidRPr="00882F11">
        <w:rPr>
          <w:rFonts w:cs="Guttman Drogolin"/>
          <w:rtl/>
          <w:lang w:bidi="he-IL"/>
        </w:rPr>
        <w:t xml:space="preserve"> </w:t>
      </w:r>
      <w:r w:rsidR="00D4383F" w:rsidRPr="00882F11">
        <w:rPr>
          <w:rFonts w:cs="Guttman Drogolin" w:hint="cs"/>
          <w:rtl/>
          <w:lang w:bidi="he-IL"/>
        </w:rPr>
        <w:t>אלו</w:t>
      </w:r>
      <w:r w:rsidR="00D4383F" w:rsidRPr="00882F11">
        <w:rPr>
          <w:rFonts w:cs="Guttman Drogolin"/>
          <w:rtl/>
          <w:lang w:bidi="he-IL"/>
        </w:rPr>
        <w:t xml:space="preserve"> </w:t>
      </w:r>
      <w:r w:rsidR="00D4383F" w:rsidRPr="00882F11">
        <w:rPr>
          <w:rFonts w:cs="Guttman Drogolin" w:hint="cs"/>
          <w:rtl/>
          <w:lang w:bidi="he-IL"/>
        </w:rPr>
        <w:t>לא</w:t>
      </w:r>
      <w:r w:rsidR="00D4383F" w:rsidRPr="00882F11">
        <w:rPr>
          <w:rFonts w:cs="Guttman Drogolin"/>
          <w:rtl/>
          <w:lang w:bidi="he-IL"/>
        </w:rPr>
        <w:t xml:space="preserve"> </w:t>
      </w:r>
      <w:r w:rsidR="00D4383F" w:rsidRPr="00882F11">
        <w:rPr>
          <w:rFonts w:cs="Guttman Drogolin" w:hint="cs"/>
          <w:rtl/>
          <w:lang w:bidi="he-IL"/>
        </w:rPr>
        <w:t>היה</w:t>
      </w:r>
      <w:r w:rsidR="00D4383F" w:rsidRPr="00882F11">
        <w:rPr>
          <w:rFonts w:cs="Guttman Drogolin"/>
          <w:rtl/>
          <w:lang w:bidi="he-IL"/>
        </w:rPr>
        <w:t xml:space="preserve"> </w:t>
      </w:r>
      <w:r w:rsidR="00D4383F" w:rsidRPr="00882F11">
        <w:rPr>
          <w:rFonts w:cs="Guttman Drogolin" w:hint="cs"/>
          <w:rtl/>
          <w:lang w:bidi="he-IL"/>
        </w:rPr>
        <w:t>יודע</w:t>
      </w:r>
      <w:r w:rsidR="00D4383F" w:rsidRPr="00882F11">
        <w:rPr>
          <w:rFonts w:cs="Guttman Drogolin"/>
          <w:rtl/>
          <w:lang w:bidi="he-IL"/>
        </w:rPr>
        <w:t xml:space="preserve"> </w:t>
      </w:r>
      <w:r w:rsidR="00D4383F" w:rsidRPr="00882F11">
        <w:rPr>
          <w:rFonts w:cs="Guttman Drogolin" w:hint="cs"/>
          <w:rtl/>
          <w:lang w:bidi="he-IL"/>
        </w:rPr>
        <w:t>כלל</w:t>
      </w:r>
      <w:r w:rsidR="00D4383F" w:rsidRPr="00882F11">
        <w:rPr>
          <w:rFonts w:cs="Guttman Drogolin"/>
          <w:rtl/>
          <w:lang w:bidi="he-IL"/>
        </w:rPr>
        <w:t xml:space="preserve"> </w:t>
      </w:r>
      <w:r w:rsidR="00D4383F" w:rsidRPr="00882F11">
        <w:rPr>
          <w:rFonts w:cs="Guttman Drogolin" w:hint="cs"/>
          <w:rtl/>
          <w:lang w:bidi="he-IL"/>
        </w:rPr>
        <w:t>שיש</w:t>
      </w:r>
      <w:r w:rsidR="00D4383F" w:rsidRPr="00882F11">
        <w:rPr>
          <w:rFonts w:cs="Guttman Drogolin"/>
          <w:rtl/>
          <w:lang w:bidi="he-IL"/>
        </w:rPr>
        <w:t xml:space="preserve"> </w:t>
      </w:r>
      <w:r w:rsidR="00D4383F" w:rsidRPr="00882F11">
        <w:rPr>
          <w:rFonts w:cs="Guttman Drogolin" w:hint="cs"/>
          <w:rtl/>
          <w:lang w:bidi="he-IL"/>
        </w:rPr>
        <w:t>איסור</w:t>
      </w:r>
      <w:r w:rsidR="00D4383F" w:rsidRPr="00882F11">
        <w:rPr>
          <w:rFonts w:cs="Guttman Drogolin"/>
          <w:rtl/>
          <w:lang w:bidi="he-IL"/>
        </w:rPr>
        <w:t xml:space="preserve"> </w:t>
      </w:r>
      <w:r w:rsidR="00D4383F" w:rsidRPr="00882F11">
        <w:rPr>
          <w:rFonts w:cs="Guttman Drogolin" w:hint="cs"/>
          <w:rtl/>
          <w:lang w:bidi="he-IL"/>
        </w:rPr>
        <w:t>בדבר</w:t>
      </w:r>
      <w:r w:rsidR="00D4383F" w:rsidRPr="00882F11">
        <w:rPr>
          <w:rFonts w:cs="Guttman Drogolin"/>
          <w:rtl/>
          <w:lang w:bidi="he-IL"/>
        </w:rPr>
        <w:t xml:space="preserve"> </w:t>
      </w:r>
      <w:r w:rsidR="00D4383F" w:rsidRPr="00882F11">
        <w:rPr>
          <w:rFonts w:cs="Guttman Drogolin" w:hint="cs"/>
          <w:rtl/>
          <w:lang w:bidi="he-IL"/>
        </w:rPr>
        <w:t>היה</w:t>
      </w:r>
      <w:r w:rsidR="00D4383F" w:rsidRPr="00882F11">
        <w:rPr>
          <w:rFonts w:cs="Guttman Drogolin"/>
          <w:rtl/>
          <w:lang w:bidi="he-IL"/>
        </w:rPr>
        <w:t xml:space="preserve"> </w:t>
      </w:r>
      <w:r w:rsidR="00D4383F" w:rsidRPr="00882F11">
        <w:rPr>
          <w:rFonts w:cs="Guttman Drogolin" w:hint="cs"/>
          <w:rtl/>
          <w:lang w:bidi="he-IL"/>
        </w:rPr>
        <w:t>מיקרי</w:t>
      </w:r>
      <w:r w:rsidR="00D4383F" w:rsidRPr="00882F11">
        <w:rPr>
          <w:rFonts w:cs="Guttman Drogolin"/>
          <w:rtl/>
          <w:lang w:bidi="he-IL"/>
        </w:rPr>
        <w:t xml:space="preserve"> </w:t>
      </w:r>
      <w:r w:rsidR="00D4383F" w:rsidRPr="00882F11">
        <w:rPr>
          <w:rFonts w:cs="Guttman Drogolin" w:hint="cs"/>
          <w:rtl/>
          <w:lang w:bidi="he-IL"/>
        </w:rPr>
        <w:t>שוגג</w:t>
      </w:r>
      <w:r w:rsidR="00D4383F" w:rsidRPr="00882F11">
        <w:rPr>
          <w:rFonts w:cs="Guttman Drogolin"/>
          <w:rtl/>
          <w:lang w:bidi="he-IL"/>
        </w:rPr>
        <w:t xml:space="preserve"> </w:t>
      </w:r>
      <w:r w:rsidR="00D4383F" w:rsidRPr="00882F11">
        <w:rPr>
          <w:rFonts w:cs="Guttman Drogolin" w:hint="cs"/>
          <w:rtl/>
          <w:lang w:bidi="he-IL"/>
        </w:rPr>
        <w:t>מצד</w:t>
      </w:r>
      <w:r w:rsidR="00D4383F" w:rsidRPr="00882F11">
        <w:rPr>
          <w:rFonts w:cs="Guttman Drogolin"/>
          <w:rtl/>
          <w:lang w:bidi="he-IL"/>
        </w:rPr>
        <w:t xml:space="preserve"> </w:t>
      </w:r>
      <w:r w:rsidR="00D4383F" w:rsidRPr="00882F11">
        <w:rPr>
          <w:rFonts w:cs="Guttman Drogolin" w:hint="cs"/>
          <w:rtl/>
          <w:lang w:bidi="he-IL"/>
        </w:rPr>
        <w:t>שאינו</w:t>
      </w:r>
      <w:r w:rsidR="00D4383F" w:rsidRPr="00882F11">
        <w:rPr>
          <w:rFonts w:cs="Guttman Drogolin"/>
          <w:rtl/>
          <w:lang w:bidi="he-IL"/>
        </w:rPr>
        <w:t xml:space="preserve"> </w:t>
      </w:r>
      <w:r w:rsidR="00D4383F" w:rsidRPr="00882F11">
        <w:rPr>
          <w:rFonts w:cs="Guttman Drogolin" w:hint="cs"/>
          <w:rtl/>
          <w:lang w:bidi="he-IL"/>
        </w:rPr>
        <w:t>יודע</w:t>
      </w:r>
      <w:r w:rsidR="00D4383F" w:rsidRPr="00882F11">
        <w:rPr>
          <w:rFonts w:cs="Guttman Drogolin"/>
          <w:rtl/>
          <w:lang w:bidi="he-IL"/>
        </w:rPr>
        <w:t xml:space="preserve"> </w:t>
      </w:r>
      <w:r w:rsidR="00D4383F" w:rsidRPr="00882F11">
        <w:rPr>
          <w:rFonts w:cs="Guttman Drogolin" w:hint="cs"/>
          <w:rtl/>
          <w:lang w:bidi="he-IL"/>
        </w:rPr>
        <w:t>או</w:t>
      </w:r>
      <w:r w:rsidR="00D4383F" w:rsidRPr="00882F11">
        <w:rPr>
          <w:rFonts w:cs="Guttman Drogolin"/>
          <w:rtl/>
          <w:lang w:bidi="he-IL"/>
        </w:rPr>
        <w:t xml:space="preserve"> </w:t>
      </w:r>
      <w:r w:rsidR="00D4383F" w:rsidRPr="00882F11">
        <w:rPr>
          <w:rFonts w:cs="Guttman Drogolin" w:hint="cs"/>
          <w:rtl/>
          <w:lang w:bidi="he-IL"/>
        </w:rPr>
        <w:t>שהיה</w:t>
      </w:r>
      <w:r w:rsidR="00D4383F" w:rsidRPr="00882F11">
        <w:rPr>
          <w:rFonts w:cs="Guttman Drogolin"/>
          <w:rtl/>
          <w:lang w:bidi="he-IL"/>
        </w:rPr>
        <w:t xml:space="preserve"> </w:t>
      </w:r>
      <w:r w:rsidR="00D4383F" w:rsidRPr="00882F11">
        <w:rPr>
          <w:rFonts w:cs="Guttman Drogolin" w:hint="cs"/>
          <w:rtl/>
          <w:lang w:bidi="he-IL"/>
        </w:rPr>
        <w:t>יודע</w:t>
      </w:r>
      <w:r w:rsidR="00D4383F" w:rsidRPr="00882F11">
        <w:rPr>
          <w:rFonts w:cs="Guttman Drogolin"/>
          <w:rtl/>
          <w:lang w:bidi="he-IL"/>
        </w:rPr>
        <w:t xml:space="preserve"> </w:t>
      </w:r>
      <w:r w:rsidR="00D4383F" w:rsidRPr="00882F11">
        <w:rPr>
          <w:rFonts w:cs="Guttman Drogolin" w:hint="cs"/>
          <w:rtl/>
          <w:lang w:bidi="he-IL"/>
        </w:rPr>
        <w:t>והיה</w:t>
      </w:r>
      <w:r w:rsidR="00D4383F" w:rsidRPr="00882F11">
        <w:rPr>
          <w:rFonts w:cs="Guttman Drogolin"/>
          <w:rtl/>
          <w:lang w:bidi="he-IL"/>
        </w:rPr>
        <w:t xml:space="preserve"> </w:t>
      </w:r>
      <w:r w:rsidR="00D4383F" w:rsidRPr="00882F11">
        <w:rPr>
          <w:rFonts w:cs="Guttman Drogolin" w:hint="cs"/>
          <w:rtl/>
          <w:lang w:bidi="he-IL"/>
        </w:rPr>
        <w:t>שואל</w:t>
      </w:r>
      <w:r w:rsidR="00D4383F" w:rsidRPr="00882F11">
        <w:rPr>
          <w:rFonts w:cs="Guttman Drogolin"/>
          <w:rtl/>
          <w:lang w:bidi="he-IL"/>
        </w:rPr>
        <w:t xml:space="preserve"> </w:t>
      </w:r>
      <w:r w:rsidR="00D4383F" w:rsidRPr="00882F11">
        <w:rPr>
          <w:rFonts w:cs="Guttman Drogolin" w:hint="cs"/>
          <w:rtl/>
          <w:lang w:bidi="he-IL"/>
        </w:rPr>
        <w:t>הוראה</w:t>
      </w:r>
      <w:r w:rsidR="00D4383F" w:rsidRPr="00882F11">
        <w:rPr>
          <w:rFonts w:cs="Guttman Drogolin"/>
          <w:rtl/>
          <w:lang w:bidi="he-IL"/>
        </w:rPr>
        <w:t xml:space="preserve"> </w:t>
      </w:r>
      <w:r w:rsidR="00D4383F" w:rsidRPr="00882F11">
        <w:rPr>
          <w:rFonts w:cs="Guttman Drogolin" w:hint="cs"/>
          <w:rtl/>
          <w:lang w:bidi="he-IL"/>
        </w:rPr>
        <w:t>המפורסם</w:t>
      </w:r>
      <w:r w:rsidR="00D4383F" w:rsidRPr="00882F11">
        <w:rPr>
          <w:rFonts w:cs="Guttman Drogolin"/>
          <w:rtl/>
          <w:lang w:bidi="he-IL"/>
        </w:rPr>
        <w:t xml:space="preserve"> </w:t>
      </w:r>
      <w:r w:rsidR="00D4383F" w:rsidRPr="00882F11">
        <w:rPr>
          <w:rFonts w:cs="Guttman Drogolin" w:hint="cs"/>
          <w:rtl/>
          <w:lang w:bidi="he-IL"/>
        </w:rPr>
        <w:t>והיה</w:t>
      </w:r>
      <w:r w:rsidR="00D4383F" w:rsidRPr="00882F11">
        <w:rPr>
          <w:rFonts w:cs="Guttman Drogolin"/>
          <w:rtl/>
          <w:lang w:bidi="he-IL"/>
        </w:rPr>
        <w:t xml:space="preserve"> </w:t>
      </w:r>
      <w:r w:rsidR="00D4383F" w:rsidRPr="00882F11">
        <w:rPr>
          <w:rFonts w:cs="Guttman Drogolin" w:hint="cs"/>
          <w:rtl/>
          <w:lang w:bidi="he-IL"/>
        </w:rPr>
        <w:t>מתיר</w:t>
      </w:r>
      <w:r w:rsidR="00D4383F" w:rsidRPr="00882F11">
        <w:rPr>
          <w:rFonts w:cs="Guttman Drogolin"/>
          <w:rtl/>
          <w:lang w:bidi="he-IL"/>
        </w:rPr>
        <w:t xml:space="preserve"> </w:t>
      </w:r>
      <w:r w:rsidR="00D4383F" w:rsidRPr="00882F11">
        <w:rPr>
          <w:rFonts w:cs="Guttman Drogolin" w:hint="cs"/>
          <w:rtl/>
          <w:lang w:bidi="he-IL"/>
        </w:rPr>
        <w:t>לו</w:t>
      </w:r>
      <w:r w:rsidR="00D4383F" w:rsidRPr="00882F11">
        <w:rPr>
          <w:rFonts w:cs="Guttman Drogolin"/>
          <w:rtl/>
          <w:lang w:bidi="he-IL"/>
        </w:rPr>
        <w:t xml:space="preserve"> </w:t>
      </w:r>
      <w:r w:rsidR="00D4383F" w:rsidRPr="00882F11">
        <w:rPr>
          <w:rFonts w:cs="Guttman Drogolin" w:hint="cs"/>
          <w:rtl/>
          <w:lang w:bidi="he-IL"/>
        </w:rPr>
        <w:t>מיקרי</w:t>
      </w:r>
      <w:r w:rsidR="00D4383F" w:rsidRPr="00882F11">
        <w:rPr>
          <w:rFonts w:cs="Guttman Drogolin"/>
          <w:rtl/>
          <w:lang w:bidi="he-IL"/>
        </w:rPr>
        <w:t xml:space="preserve"> </w:t>
      </w:r>
      <w:r w:rsidR="00D4383F" w:rsidRPr="00882F11">
        <w:rPr>
          <w:rFonts w:cs="Guttman Drogolin" w:hint="cs"/>
          <w:rtl/>
          <w:lang w:bidi="he-IL"/>
        </w:rPr>
        <w:t>נמי</w:t>
      </w:r>
      <w:r w:rsidR="00D4383F" w:rsidRPr="00882F11">
        <w:rPr>
          <w:rFonts w:cs="Guttman Drogolin"/>
          <w:rtl/>
          <w:lang w:bidi="he-IL"/>
        </w:rPr>
        <w:t xml:space="preserve"> </w:t>
      </w:r>
      <w:r w:rsidR="00D4383F" w:rsidRPr="00882F11">
        <w:rPr>
          <w:rFonts w:cs="Guttman Drogolin" w:hint="cs"/>
          <w:rtl/>
          <w:lang w:bidi="he-IL"/>
        </w:rPr>
        <w:t>שוגג</w:t>
      </w:r>
      <w:r w:rsidR="00D4383F" w:rsidRPr="00882F11">
        <w:rPr>
          <w:rFonts w:cs="Guttman Drogolin"/>
          <w:rtl/>
          <w:lang w:bidi="he-IL"/>
        </w:rPr>
        <w:t xml:space="preserve"> </w:t>
      </w:r>
      <w:r w:rsidR="00D4383F" w:rsidRPr="00882F11">
        <w:rPr>
          <w:rFonts w:cs="Guttman Drogolin" w:hint="cs"/>
          <w:rtl/>
          <w:lang w:bidi="he-IL"/>
        </w:rPr>
        <w:t>אבל</w:t>
      </w:r>
      <w:r w:rsidR="00D4383F" w:rsidRPr="00882F11">
        <w:rPr>
          <w:rFonts w:cs="Guttman Drogolin"/>
          <w:rtl/>
          <w:lang w:bidi="he-IL"/>
        </w:rPr>
        <w:t xml:space="preserve"> </w:t>
      </w:r>
      <w:r w:rsidR="00D4383F" w:rsidRPr="00882F11">
        <w:rPr>
          <w:rFonts w:cs="Guttman Drogolin" w:hint="cs"/>
          <w:rtl/>
          <w:lang w:bidi="he-IL"/>
        </w:rPr>
        <w:t>האי</w:t>
      </w:r>
      <w:r w:rsidR="00D4383F" w:rsidRPr="00882F11">
        <w:rPr>
          <w:rFonts w:cs="Guttman Drogolin"/>
          <w:rtl/>
          <w:lang w:bidi="he-IL"/>
        </w:rPr>
        <w:t xml:space="preserve"> </w:t>
      </w:r>
      <w:r w:rsidR="00D4383F" w:rsidRPr="00882F11">
        <w:rPr>
          <w:rFonts w:cs="Guttman Drogolin" w:hint="cs"/>
          <w:rtl/>
          <w:lang w:bidi="he-IL"/>
        </w:rPr>
        <w:t>כיון</w:t>
      </w:r>
      <w:r w:rsidR="00D4383F" w:rsidRPr="00882F11">
        <w:rPr>
          <w:rFonts w:cs="Guttman Drogolin"/>
          <w:rtl/>
          <w:lang w:bidi="he-IL"/>
        </w:rPr>
        <w:t xml:space="preserve"> </w:t>
      </w:r>
      <w:r w:rsidR="00D4383F" w:rsidRPr="00882F11">
        <w:rPr>
          <w:rFonts w:cs="Guttman Drogolin" w:hint="cs"/>
          <w:rtl/>
          <w:lang w:bidi="he-IL"/>
        </w:rPr>
        <w:t>שידע</w:t>
      </w:r>
      <w:r w:rsidR="00D4383F" w:rsidRPr="00882F11">
        <w:rPr>
          <w:rFonts w:cs="Guttman Drogolin"/>
          <w:rtl/>
          <w:lang w:bidi="he-IL"/>
        </w:rPr>
        <w:t xml:space="preserve"> </w:t>
      </w:r>
      <w:r w:rsidR="00D4383F" w:rsidRPr="00882F11">
        <w:rPr>
          <w:rFonts w:cs="Guttman Drogolin" w:hint="cs"/>
          <w:rtl/>
          <w:lang w:bidi="he-IL"/>
        </w:rPr>
        <w:t>שיש</w:t>
      </w:r>
      <w:r w:rsidR="00D4383F" w:rsidRPr="00882F11">
        <w:rPr>
          <w:rFonts w:cs="Guttman Drogolin"/>
          <w:rtl/>
          <w:lang w:bidi="he-IL"/>
        </w:rPr>
        <w:t xml:space="preserve"> </w:t>
      </w:r>
      <w:r w:rsidR="00D4383F" w:rsidRPr="00882F11">
        <w:rPr>
          <w:rFonts w:cs="Guttman Drogolin" w:hint="cs"/>
          <w:rtl/>
          <w:lang w:bidi="he-IL"/>
        </w:rPr>
        <w:t>ספק</w:t>
      </w:r>
      <w:r w:rsidR="00D4383F" w:rsidRPr="00882F11">
        <w:rPr>
          <w:rFonts w:cs="Guttman Drogolin"/>
          <w:rtl/>
          <w:lang w:bidi="he-IL"/>
        </w:rPr>
        <w:t xml:space="preserve"> </w:t>
      </w:r>
      <w:r w:rsidR="00D4383F" w:rsidRPr="00882F11">
        <w:rPr>
          <w:rFonts w:cs="Guttman Drogolin" w:hint="cs"/>
          <w:rtl/>
          <w:lang w:bidi="he-IL"/>
        </w:rPr>
        <w:t>בהוראה</w:t>
      </w:r>
      <w:r w:rsidR="00D4383F" w:rsidRPr="00882F11">
        <w:rPr>
          <w:rFonts w:cs="Guttman Drogolin"/>
          <w:rtl/>
          <w:lang w:bidi="he-IL"/>
        </w:rPr>
        <w:t xml:space="preserve"> </w:t>
      </w:r>
      <w:r w:rsidR="00D4383F" w:rsidRPr="00882F11">
        <w:rPr>
          <w:rFonts w:cs="Guttman Drogolin" w:hint="cs"/>
          <w:rtl/>
          <w:lang w:bidi="he-IL"/>
        </w:rPr>
        <w:t>זו</w:t>
      </w:r>
      <w:r w:rsidR="00D4383F" w:rsidRPr="00882F11">
        <w:rPr>
          <w:rFonts w:cs="Guttman Drogolin"/>
          <w:rtl/>
          <w:lang w:bidi="he-IL"/>
        </w:rPr>
        <w:t xml:space="preserve"> </w:t>
      </w:r>
      <w:r w:rsidR="00D4383F" w:rsidRPr="00882F11">
        <w:rPr>
          <w:rFonts w:cs="Guttman Drogolin" w:hint="cs"/>
          <w:rtl/>
          <w:lang w:bidi="he-IL"/>
        </w:rPr>
        <w:t>תו</w:t>
      </w:r>
      <w:r w:rsidR="00D4383F" w:rsidRPr="00882F11">
        <w:rPr>
          <w:rFonts w:cs="Guttman Drogolin"/>
          <w:rtl/>
          <w:lang w:bidi="he-IL"/>
        </w:rPr>
        <w:t xml:space="preserve"> </w:t>
      </w:r>
      <w:r w:rsidR="00D4383F" w:rsidRPr="00882F11">
        <w:rPr>
          <w:rFonts w:cs="Guttman Drogolin" w:hint="cs"/>
          <w:rtl/>
          <w:lang w:bidi="he-IL"/>
        </w:rPr>
        <w:t>לא</w:t>
      </w:r>
      <w:r w:rsidR="00D4383F" w:rsidRPr="00882F11">
        <w:rPr>
          <w:rFonts w:cs="Guttman Drogolin"/>
          <w:rtl/>
          <w:lang w:bidi="he-IL"/>
        </w:rPr>
        <w:t xml:space="preserve"> </w:t>
      </w:r>
      <w:r w:rsidR="00D4383F" w:rsidRPr="00882F11">
        <w:rPr>
          <w:rFonts w:cs="Guttman Drogolin" w:hint="cs"/>
          <w:rtl/>
          <w:lang w:bidi="he-IL"/>
        </w:rPr>
        <w:t>מיקרי</w:t>
      </w:r>
      <w:r w:rsidR="00D4383F" w:rsidRPr="00882F11">
        <w:rPr>
          <w:rFonts w:cs="Guttman Drogolin"/>
          <w:rtl/>
          <w:lang w:bidi="he-IL"/>
        </w:rPr>
        <w:t xml:space="preserve"> </w:t>
      </w:r>
      <w:r w:rsidR="00D4383F" w:rsidRPr="00882F11">
        <w:rPr>
          <w:rFonts w:cs="Guttman Drogolin" w:hint="cs"/>
          <w:rtl/>
          <w:lang w:bidi="he-IL"/>
        </w:rPr>
        <w:t>שוגג</w:t>
      </w:r>
      <w:r w:rsidR="00D4383F" w:rsidRPr="00882F11">
        <w:rPr>
          <w:rFonts w:cs="Guttman Drogolin"/>
          <w:rtl/>
          <w:lang w:bidi="he-IL"/>
        </w:rPr>
        <w:t xml:space="preserve"> </w:t>
      </w:r>
      <w:r w:rsidR="00D4383F" w:rsidRPr="00882F11">
        <w:rPr>
          <w:rFonts w:cs="Guttman Drogolin" w:hint="cs"/>
          <w:rtl/>
          <w:lang w:bidi="he-IL"/>
        </w:rPr>
        <w:t>מצד</w:t>
      </w:r>
      <w:r w:rsidR="00D4383F" w:rsidRPr="00882F11">
        <w:rPr>
          <w:rFonts w:cs="Guttman Drogolin"/>
          <w:rtl/>
          <w:lang w:bidi="he-IL"/>
        </w:rPr>
        <w:t xml:space="preserve"> </w:t>
      </w:r>
      <w:r w:rsidR="00D4383F" w:rsidRPr="00882F11">
        <w:rPr>
          <w:rFonts w:cs="Guttman Drogolin" w:hint="cs"/>
          <w:rtl/>
          <w:lang w:bidi="he-IL"/>
        </w:rPr>
        <w:t>שאינו</w:t>
      </w:r>
      <w:r w:rsidR="00D4383F" w:rsidRPr="00882F11">
        <w:rPr>
          <w:rFonts w:cs="Guttman Drogolin"/>
          <w:rtl/>
          <w:lang w:bidi="he-IL"/>
        </w:rPr>
        <w:t xml:space="preserve"> </w:t>
      </w:r>
      <w:r w:rsidR="00D4383F" w:rsidRPr="00882F11">
        <w:rPr>
          <w:rFonts w:cs="Guttman Drogolin" w:hint="cs"/>
          <w:rtl/>
          <w:lang w:bidi="he-IL"/>
        </w:rPr>
        <w:t>יודע</w:t>
      </w:r>
      <w:r w:rsidR="00D4383F" w:rsidRPr="00882F11">
        <w:rPr>
          <w:rFonts w:cs="Guttman Drogolin"/>
          <w:rtl/>
          <w:lang w:bidi="he-IL"/>
        </w:rPr>
        <w:t xml:space="preserve"> </w:t>
      </w:r>
      <w:r w:rsidR="00D4383F" w:rsidRPr="00882F11">
        <w:rPr>
          <w:rFonts w:cs="Guttman Drogolin" w:hint="cs"/>
          <w:rtl/>
          <w:lang w:bidi="he-IL"/>
        </w:rPr>
        <w:t>שהרי</w:t>
      </w:r>
      <w:r w:rsidR="00D4383F" w:rsidRPr="00882F11">
        <w:rPr>
          <w:rFonts w:cs="Guttman Drogolin"/>
          <w:rtl/>
          <w:lang w:bidi="he-IL"/>
        </w:rPr>
        <w:t xml:space="preserve"> </w:t>
      </w:r>
      <w:r w:rsidR="00D4383F" w:rsidRPr="00882F11">
        <w:rPr>
          <w:rFonts w:cs="Guttman Drogolin" w:hint="cs"/>
          <w:rtl/>
          <w:lang w:bidi="he-IL"/>
        </w:rPr>
        <w:t>מכל</w:t>
      </w:r>
      <w:r w:rsidR="00D4383F" w:rsidRPr="00882F11">
        <w:rPr>
          <w:rFonts w:cs="Guttman Drogolin"/>
          <w:rtl/>
          <w:lang w:bidi="he-IL"/>
        </w:rPr>
        <w:t xml:space="preserve"> </w:t>
      </w:r>
      <w:r w:rsidR="00D4383F" w:rsidRPr="00882F11">
        <w:rPr>
          <w:rFonts w:cs="Guttman Drogolin" w:hint="cs"/>
          <w:rtl/>
          <w:lang w:bidi="he-IL"/>
        </w:rPr>
        <w:t>מקום</w:t>
      </w:r>
      <w:r w:rsidR="00D4383F" w:rsidRPr="00882F11">
        <w:rPr>
          <w:rFonts w:cs="Guttman Drogolin"/>
          <w:rtl/>
          <w:lang w:bidi="he-IL"/>
        </w:rPr>
        <w:t xml:space="preserve"> </w:t>
      </w:r>
      <w:r w:rsidR="00D4383F" w:rsidRPr="00882F11">
        <w:rPr>
          <w:rFonts w:cs="Guttman Drogolin" w:hint="cs"/>
          <w:rtl/>
          <w:lang w:bidi="he-IL"/>
        </w:rPr>
        <w:t>יודע</w:t>
      </w:r>
      <w:r w:rsidR="00D4383F" w:rsidRPr="00882F11">
        <w:rPr>
          <w:rFonts w:cs="Guttman Drogolin"/>
          <w:rtl/>
          <w:lang w:bidi="he-IL"/>
        </w:rPr>
        <w:t xml:space="preserve"> </w:t>
      </w:r>
      <w:r w:rsidR="00D4383F" w:rsidRPr="00882F11">
        <w:rPr>
          <w:rFonts w:cs="Guttman Drogolin" w:hint="cs"/>
          <w:rtl/>
          <w:lang w:bidi="he-IL"/>
        </w:rPr>
        <w:t>קצת</w:t>
      </w:r>
      <w:r w:rsidR="00D4383F" w:rsidRPr="00882F11">
        <w:rPr>
          <w:rFonts w:cs="Guttman Drogolin"/>
          <w:rtl/>
          <w:lang w:bidi="he-IL"/>
        </w:rPr>
        <w:t xml:space="preserve"> </w:t>
      </w:r>
      <w:r w:rsidR="00D4383F" w:rsidRPr="00882F11">
        <w:rPr>
          <w:rFonts w:cs="Guttman Drogolin" w:hint="cs"/>
          <w:rtl/>
          <w:lang w:bidi="he-IL"/>
        </w:rPr>
        <w:t>כמו</w:t>
      </w:r>
      <w:r w:rsidR="00D4383F" w:rsidRPr="00882F11">
        <w:rPr>
          <w:rFonts w:cs="Guttman Drogolin"/>
          <w:rtl/>
          <w:lang w:bidi="he-IL"/>
        </w:rPr>
        <w:t xml:space="preserve"> </w:t>
      </w:r>
      <w:r w:rsidR="00D4383F" w:rsidRPr="00882F11">
        <w:rPr>
          <w:rFonts w:cs="Guttman Drogolin" w:hint="cs"/>
          <w:rtl/>
          <w:lang w:bidi="he-IL"/>
        </w:rPr>
        <w:t>שכתב</w:t>
      </w:r>
      <w:r w:rsidR="00D4383F" w:rsidRPr="00882F11">
        <w:rPr>
          <w:rFonts w:cs="Guttman Drogolin"/>
          <w:rtl/>
          <w:lang w:bidi="he-IL"/>
        </w:rPr>
        <w:t xml:space="preserve"> </w:t>
      </w:r>
      <w:r w:rsidR="00D4383F" w:rsidRPr="00882F11">
        <w:rPr>
          <w:rFonts w:cs="Guttman Drogolin" w:hint="cs"/>
          <w:rtl/>
          <w:lang w:bidi="he-IL"/>
        </w:rPr>
        <w:t>בתרומת</w:t>
      </w:r>
      <w:r w:rsidR="00D4383F" w:rsidRPr="00882F11">
        <w:rPr>
          <w:rFonts w:cs="Guttman Drogolin"/>
          <w:rtl/>
          <w:lang w:bidi="he-IL"/>
        </w:rPr>
        <w:t xml:space="preserve"> </w:t>
      </w:r>
      <w:r w:rsidR="00D4383F" w:rsidRPr="00882F11">
        <w:rPr>
          <w:rFonts w:cs="Guttman Drogolin" w:hint="cs"/>
          <w:rtl/>
          <w:lang w:bidi="he-IL"/>
        </w:rPr>
        <w:t>הדשן</w:t>
      </w:r>
      <w:r w:rsidR="00D4383F" w:rsidRPr="00882F11">
        <w:rPr>
          <w:rFonts w:cs="Guttman Drogolin"/>
          <w:rtl/>
          <w:lang w:bidi="he-IL"/>
        </w:rPr>
        <w:t xml:space="preserve"> </w:t>
      </w:r>
      <w:r w:rsidR="00D4383F" w:rsidRPr="00882F11">
        <w:rPr>
          <w:rFonts w:cs="Guttman Drogolin" w:hint="cs"/>
          <w:rtl/>
          <w:lang w:bidi="he-IL"/>
        </w:rPr>
        <w:t>סימן</w:t>
      </w:r>
      <w:r w:rsidR="00D4383F" w:rsidRPr="00882F11">
        <w:rPr>
          <w:rFonts w:cs="Guttman Drogolin"/>
          <w:rtl/>
          <w:lang w:bidi="he-IL"/>
        </w:rPr>
        <w:t xml:space="preserve"> </w:t>
      </w:r>
      <w:r w:rsidR="00D4383F" w:rsidRPr="00882F11">
        <w:rPr>
          <w:rFonts w:cs="Guttman Drogolin" w:hint="cs"/>
          <w:rtl/>
          <w:lang w:bidi="he-IL"/>
        </w:rPr>
        <w:t>רי</w:t>
      </w:r>
      <w:r w:rsidR="00D4383F" w:rsidRPr="00882F11">
        <w:rPr>
          <w:rFonts w:cs="Guttman Drogolin"/>
          <w:rtl/>
          <w:lang w:bidi="he-IL"/>
        </w:rPr>
        <w:t>"</w:t>
      </w:r>
      <w:r w:rsidR="00D4383F" w:rsidRPr="00882F11">
        <w:rPr>
          <w:rFonts w:cs="Guttman Drogolin" w:hint="cs"/>
          <w:rtl/>
          <w:lang w:bidi="he-IL"/>
        </w:rPr>
        <w:t>ו</w:t>
      </w:r>
      <w:r w:rsidR="00D4383F" w:rsidRPr="00882F11">
        <w:rPr>
          <w:rFonts w:cs="Guttman Drogolin"/>
          <w:rtl/>
          <w:lang w:bidi="he-IL"/>
        </w:rPr>
        <w:t xml:space="preserve"> </w:t>
      </w:r>
      <w:r w:rsidR="00D4383F" w:rsidRPr="00882F11">
        <w:rPr>
          <w:rFonts w:cs="Guttman Drogolin" w:hint="cs"/>
          <w:rtl/>
          <w:lang w:bidi="he-IL"/>
        </w:rPr>
        <w:t>גבי</w:t>
      </w:r>
      <w:r w:rsidR="00D4383F" w:rsidRPr="00882F11">
        <w:rPr>
          <w:rFonts w:cs="Guttman Drogolin"/>
          <w:rtl/>
          <w:lang w:bidi="he-IL"/>
        </w:rPr>
        <w:t xml:space="preserve"> </w:t>
      </w:r>
      <w:r w:rsidR="00D4383F" w:rsidRPr="00882F11">
        <w:rPr>
          <w:rFonts w:cs="Guttman Drogolin" w:hint="cs"/>
          <w:rtl/>
          <w:lang w:bidi="he-IL"/>
        </w:rPr>
        <w:t>נשא</w:t>
      </w:r>
      <w:r w:rsidR="00D4383F" w:rsidRPr="00882F11">
        <w:rPr>
          <w:rFonts w:cs="Guttman Drogolin"/>
          <w:rtl/>
          <w:lang w:bidi="he-IL"/>
        </w:rPr>
        <w:t xml:space="preserve"> </w:t>
      </w:r>
      <w:r w:rsidR="00D4383F" w:rsidRPr="00882F11">
        <w:rPr>
          <w:rFonts w:cs="Guttman Drogolin" w:hint="cs"/>
          <w:rtl/>
          <w:lang w:bidi="he-IL"/>
        </w:rPr>
        <w:t>מינקת</w:t>
      </w:r>
      <w:r w:rsidR="00D4383F" w:rsidRPr="00882F11">
        <w:rPr>
          <w:rFonts w:cs="Guttman Drogolin"/>
          <w:rtl/>
          <w:lang w:bidi="he-IL"/>
        </w:rPr>
        <w:t xml:space="preserve"> </w:t>
      </w:r>
      <w:r w:rsidR="00D4383F" w:rsidRPr="00882F11">
        <w:rPr>
          <w:rFonts w:cs="Guttman Drogolin" w:hint="cs"/>
          <w:rtl/>
          <w:lang w:bidi="he-IL"/>
        </w:rPr>
        <w:t>חבירו</w:t>
      </w:r>
      <w:r w:rsidR="00D4383F" w:rsidRPr="00882F11">
        <w:rPr>
          <w:rFonts w:cs="Guttman Drogolin"/>
          <w:rtl/>
          <w:lang w:bidi="he-IL"/>
        </w:rPr>
        <w:t xml:space="preserve"> </w:t>
      </w:r>
      <w:r w:rsidR="00D4383F" w:rsidRPr="00882F11">
        <w:rPr>
          <w:rFonts w:cs="Guttman Drogolin" w:hint="cs"/>
          <w:rtl/>
          <w:lang w:bidi="he-IL"/>
        </w:rPr>
        <w:t>יעויין</w:t>
      </w:r>
      <w:r w:rsidR="00D4383F" w:rsidRPr="00882F11">
        <w:rPr>
          <w:rFonts w:cs="Guttman Drogolin"/>
          <w:rtl/>
          <w:lang w:bidi="he-IL"/>
        </w:rPr>
        <w:t xml:space="preserve"> </w:t>
      </w:r>
      <w:r w:rsidR="00D4383F" w:rsidRPr="00882F11">
        <w:rPr>
          <w:rFonts w:cs="Guttman Drogolin" w:hint="cs"/>
          <w:rtl/>
          <w:lang w:bidi="he-IL"/>
        </w:rPr>
        <w:t>שם</w:t>
      </w:r>
      <w:r w:rsidR="00D4383F" w:rsidRPr="00882F11">
        <w:rPr>
          <w:rFonts w:cs="Guttman Drogolin"/>
          <w:rtl/>
          <w:lang w:bidi="he-IL"/>
        </w:rPr>
        <w:t xml:space="preserve"> </w:t>
      </w:r>
      <w:r w:rsidR="00D4383F" w:rsidRPr="00882F11">
        <w:rPr>
          <w:rFonts w:cs="Guttman Drogolin" w:hint="cs"/>
          <w:rtl/>
          <w:lang w:bidi="he-IL"/>
        </w:rPr>
        <w:lastRenderedPageBreak/>
        <w:t>ומצד</w:t>
      </w:r>
      <w:r w:rsidR="00D4383F" w:rsidRPr="00882F11">
        <w:rPr>
          <w:rFonts w:cs="Guttman Drogolin"/>
          <w:rtl/>
          <w:lang w:bidi="he-IL"/>
        </w:rPr>
        <w:t xml:space="preserve"> </w:t>
      </w:r>
      <w:r w:rsidR="00D4383F" w:rsidRPr="00882F11">
        <w:rPr>
          <w:rFonts w:cs="Guttman Drogolin" w:hint="cs"/>
          <w:rtl/>
          <w:lang w:bidi="he-IL"/>
        </w:rPr>
        <w:t>שעשה</w:t>
      </w:r>
      <w:r w:rsidR="00D4383F" w:rsidRPr="00882F11">
        <w:rPr>
          <w:rFonts w:cs="Guttman Drogolin"/>
          <w:rtl/>
          <w:lang w:bidi="he-IL"/>
        </w:rPr>
        <w:t xml:space="preserve"> </w:t>
      </w:r>
      <w:r w:rsidR="00D4383F" w:rsidRPr="00882F11">
        <w:rPr>
          <w:rFonts w:cs="Guttman Drogolin" w:hint="cs"/>
          <w:rtl/>
          <w:lang w:bidi="he-IL"/>
        </w:rPr>
        <w:t>על</w:t>
      </w:r>
      <w:r w:rsidR="00D4383F" w:rsidRPr="00882F11">
        <w:rPr>
          <w:rFonts w:cs="Guttman Drogolin"/>
          <w:rtl/>
          <w:lang w:bidi="he-IL"/>
        </w:rPr>
        <w:t xml:space="preserve"> </w:t>
      </w:r>
      <w:r w:rsidR="00D4383F" w:rsidRPr="00882F11">
        <w:rPr>
          <w:rFonts w:cs="Guttman Drogolin" w:hint="cs"/>
          <w:rtl/>
          <w:lang w:bidi="he-IL"/>
        </w:rPr>
        <w:t>פי</w:t>
      </w:r>
      <w:r w:rsidR="00D4383F" w:rsidRPr="00882F11">
        <w:rPr>
          <w:rFonts w:cs="Guttman Drogolin"/>
          <w:rtl/>
          <w:lang w:bidi="he-IL"/>
        </w:rPr>
        <w:t xml:space="preserve"> </w:t>
      </w:r>
      <w:r w:rsidR="00D4383F" w:rsidRPr="00882F11">
        <w:rPr>
          <w:rFonts w:cs="Guttman Drogolin" w:hint="cs"/>
          <w:rtl/>
          <w:lang w:bidi="he-IL"/>
        </w:rPr>
        <w:t>הוראה</w:t>
      </w:r>
      <w:r w:rsidR="00D4383F" w:rsidRPr="00882F11">
        <w:rPr>
          <w:rFonts w:cs="Guttman Drogolin"/>
          <w:rtl/>
          <w:lang w:bidi="he-IL"/>
        </w:rPr>
        <w:t xml:space="preserve"> </w:t>
      </w:r>
      <w:r w:rsidR="00D4383F" w:rsidRPr="00882F11">
        <w:rPr>
          <w:rFonts w:cs="Guttman Drogolin" w:hint="cs"/>
          <w:rtl/>
          <w:lang w:bidi="he-IL"/>
        </w:rPr>
        <w:t>נמי</w:t>
      </w:r>
      <w:r w:rsidR="00D4383F" w:rsidRPr="00882F11">
        <w:rPr>
          <w:rFonts w:cs="Guttman Drogolin"/>
          <w:rtl/>
          <w:lang w:bidi="he-IL"/>
        </w:rPr>
        <w:t xml:space="preserve"> </w:t>
      </w:r>
      <w:r w:rsidR="00D4383F" w:rsidRPr="00882F11">
        <w:rPr>
          <w:rFonts w:cs="Guttman Drogolin" w:hint="cs"/>
          <w:rtl/>
          <w:lang w:bidi="he-IL"/>
        </w:rPr>
        <w:t>לא</w:t>
      </w:r>
      <w:r w:rsidR="00D4383F" w:rsidRPr="00882F11">
        <w:rPr>
          <w:rFonts w:cs="Guttman Drogolin"/>
          <w:rtl/>
          <w:lang w:bidi="he-IL"/>
        </w:rPr>
        <w:t xml:space="preserve"> </w:t>
      </w:r>
      <w:r w:rsidR="00D4383F" w:rsidRPr="00882F11">
        <w:rPr>
          <w:rFonts w:cs="Guttman Drogolin" w:hint="cs"/>
          <w:rtl/>
          <w:lang w:bidi="he-IL"/>
        </w:rPr>
        <w:t>מיקרי</w:t>
      </w:r>
      <w:r w:rsidR="00D4383F" w:rsidRPr="00882F11">
        <w:rPr>
          <w:rFonts w:cs="Guttman Drogolin"/>
          <w:rtl/>
          <w:lang w:bidi="he-IL"/>
        </w:rPr>
        <w:t xml:space="preserve"> </w:t>
      </w:r>
      <w:r w:rsidR="00D4383F" w:rsidRPr="00882F11">
        <w:rPr>
          <w:rFonts w:cs="Guttman Drogolin" w:hint="cs"/>
          <w:rtl/>
          <w:lang w:bidi="he-IL"/>
        </w:rPr>
        <w:t>שוגג</w:t>
      </w:r>
      <w:r w:rsidR="00D4383F" w:rsidRPr="00882F11">
        <w:rPr>
          <w:rFonts w:cs="Guttman Drogolin"/>
          <w:rtl/>
          <w:lang w:bidi="he-IL"/>
        </w:rPr>
        <w:t xml:space="preserve"> </w:t>
      </w:r>
      <w:r w:rsidR="00D4383F" w:rsidRPr="00882F11">
        <w:rPr>
          <w:rFonts w:cs="Guttman Drogolin" w:hint="cs"/>
          <w:rtl/>
          <w:lang w:bidi="he-IL"/>
        </w:rPr>
        <w:t>כיון</w:t>
      </w:r>
      <w:r w:rsidR="00D4383F" w:rsidRPr="00882F11">
        <w:rPr>
          <w:rFonts w:cs="Guttman Drogolin"/>
          <w:rtl/>
          <w:lang w:bidi="he-IL"/>
        </w:rPr>
        <w:t xml:space="preserve"> </w:t>
      </w:r>
      <w:r w:rsidR="00D4383F" w:rsidRPr="00882F11">
        <w:rPr>
          <w:rFonts w:cs="Guttman Drogolin" w:hint="cs"/>
          <w:rtl/>
          <w:lang w:bidi="he-IL"/>
        </w:rPr>
        <w:t>דלא</w:t>
      </w:r>
      <w:r w:rsidR="00D4383F" w:rsidRPr="00882F11">
        <w:rPr>
          <w:rFonts w:cs="Guttman Drogolin"/>
          <w:rtl/>
          <w:lang w:bidi="he-IL"/>
        </w:rPr>
        <w:t xml:space="preserve"> </w:t>
      </w:r>
      <w:r w:rsidR="00D4383F" w:rsidRPr="00882F11">
        <w:rPr>
          <w:rFonts w:cs="Guttman Drogolin" w:hint="cs"/>
          <w:rtl/>
          <w:lang w:bidi="he-IL"/>
        </w:rPr>
        <w:t>שאל</w:t>
      </w:r>
      <w:r w:rsidR="00D4383F" w:rsidRPr="00882F11">
        <w:rPr>
          <w:rFonts w:cs="Guttman Drogolin"/>
          <w:rtl/>
          <w:lang w:bidi="he-IL"/>
        </w:rPr>
        <w:t xml:space="preserve"> </w:t>
      </w:r>
      <w:r w:rsidR="00D4383F" w:rsidRPr="00882F11">
        <w:rPr>
          <w:rFonts w:cs="Guttman Drogolin" w:hint="cs"/>
          <w:rtl/>
          <w:lang w:bidi="he-IL"/>
        </w:rPr>
        <w:t>לבעל</w:t>
      </w:r>
      <w:r w:rsidR="00D4383F" w:rsidRPr="00882F11">
        <w:rPr>
          <w:rFonts w:cs="Guttman Drogolin"/>
          <w:rtl/>
          <w:lang w:bidi="he-IL"/>
        </w:rPr>
        <w:t xml:space="preserve"> </w:t>
      </w:r>
      <w:r w:rsidR="00D4383F" w:rsidRPr="00882F11">
        <w:rPr>
          <w:rFonts w:cs="Guttman Drogolin" w:hint="cs"/>
          <w:rtl/>
          <w:lang w:bidi="he-IL"/>
        </w:rPr>
        <w:t>הוראה</w:t>
      </w:r>
      <w:r w:rsidR="00D4383F" w:rsidRPr="00882F11">
        <w:rPr>
          <w:rFonts w:cs="Guttman Drogolin"/>
          <w:rtl/>
          <w:lang w:bidi="he-IL"/>
        </w:rPr>
        <w:t xml:space="preserve"> </w:t>
      </w:r>
      <w:r w:rsidR="00D4383F" w:rsidRPr="00882F11">
        <w:rPr>
          <w:rFonts w:cs="Guttman Drogolin" w:hint="cs"/>
          <w:rtl/>
          <w:lang w:bidi="he-IL"/>
        </w:rPr>
        <w:t>מפורסם</w:t>
      </w:r>
      <w:r w:rsidR="00D4383F" w:rsidRPr="00882F11">
        <w:rPr>
          <w:rFonts w:cs="Guttman Drogolin"/>
          <w:rtl/>
          <w:lang w:bidi="he-IL"/>
        </w:rPr>
        <w:t xml:space="preserve"> </w:t>
      </w:r>
      <w:r w:rsidR="00D4383F" w:rsidRPr="00882F11">
        <w:rPr>
          <w:rFonts w:cs="Guttman Drogolin" w:hint="cs"/>
          <w:rtl/>
          <w:lang w:bidi="he-IL"/>
        </w:rPr>
        <w:t>שיהא</w:t>
      </w:r>
      <w:r w:rsidR="00D4383F" w:rsidRPr="00882F11">
        <w:rPr>
          <w:rFonts w:cs="Guttman Drogolin"/>
          <w:rtl/>
          <w:lang w:bidi="he-IL"/>
        </w:rPr>
        <w:t xml:space="preserve"> </w:t>
      </w:r>
      <w:r w:rsidR="00D4383F" w:rsidRPr="00882F11">
        <w:rPr>
          <w:rFonts w:cs="Guttman Drogolin" w:hint="cs"/>
          <w:rtl/>
          <w:lang w:bidi="he-IL"/>
        </w:rPr>
        <w:t>ראוי</w:t>
      </w:r>
      <w:r w:rsidR="00D4383F" w:rsidRPr="00882F11">
        <w:rPr>
          <w:rFonts w:cs="Guttman Drogolin"/>
          <w:rtl/>
          <w:lang w:bidi="he-IL"/>
        </w:rPr>
        <w:t xml:space="preserve"> </w:t>
      </w:r>
      <w:r w:rsidR="00D4383F" w:rsidRPr="00882F11">
        <w:rPr>
          <w:rFonts w:cs="Guttman Drogolin" w:hint="cs"/>
          <w:rtl/>
          <w:lang w:bidi="he-IL"/>
        </w:rPr>
        <w:t>לסמוך</w:t>
      </w:r>
      <w:r w:rsidR="00D4383F" w:rsidRPr="00882F11">
        <w:rPr>
          <w:rFonts w:cs="Guttman Drogolin"/>
          <w:rtl/>
          <w:lang w:bidi="he-IL"/>
        </w:rPr>
        <w:t xml:space="preserve"> </w:t>
      </w:r>
      <w:r w:rsidR="00D4383F" w:rsidRPr="00882F11">
        <w:rPr>
          <w:rFonts w:cs="Guttman Drogolin" w:hint="cs"/>
          <w:rtl/>
          <w:lang w:bidi="he-IL"/>
        </w:rPr>
        <w:t>עליו</w:t>
      </w:r>
      <w:r w:rsidR="00D4383F" w:rsidRPr="00882F11">
        <w:rPr>
          <w:rFonts w:cs="Guttman Drogolin"/>
          <w:rtl/>
          <w:lang w:bidi="he-IL"/>
        </w:rPr>
        <w:t xml:space="preserve"> </w:t>
      </w:r>
      <w:r w:rsidR="00D4383F" w:rsidRPr="00882F11">
        <w:rPr>
          <w:rFonts w:cs="Guttman Drogolin" w:hint="cs"/>
          <w:rtl/>
          <w:lang w:bidi="he-IL"/>
        </w:rPr>
        <w:t>דהכי</w:t>
      </w:r>
      <w:r w:rsidR="00D4383F" w:rsidRPr="00882F11">
        <w:rPr>
          <w:rFonts w:cs="Guttman Drogolin"/>
          <w:rtl/>
          <w:lang w:bidi="he-IL"/>
        </w:rPr>
        <w:t xml:space="preserve"> </w:t>
      </w:r>
      <w:r w:rsidR="00D4383F" w:rsidRPr="00882F11">
        <w:rPr>
          <w:rFonts w:cs="Guttman Drogolin" w:hint="cs"/>
          <w:rtl/>
          <w:lang w:bidi="he-IL"/>
        </w:rPr>
        <w:t>כתב</w:t>
      </w:r>
      <w:r w:rsidR="00D4383F" w:rsidRPr="00882F11">
        <w:rPr>
          <w:rFonts w:cs="Guttman Drogolin"/>
          <w:rtl/>
          <w:lang w:bidi="he-IL"/>
        </w:rPr>
        <w:t xml:space="preserve"> </w:t>
      </w:r>
      <w:r w:rsidR="00D4383F" w:rsidRPr="00882F11">
        <w:rPr>
          <w:rFonts w:cs="Guttman Drogolin" w:hint="cs"/>
          <w:rtl/>
          <w:lang w:bidi="he-IL"/>
        </w:rPr>
        <w:t>מהר</w:t>
      </w:r>
      <w:r w:rsidR="00D4383F" w:rsidRPr="00882F11">
        <w:rPr>
          <w:rFonts w:cs="Guttman Drogolin"/>
          <w:rtl/>
          <w:lang w:bidi="he-IL"/>
        </w:rPr>
        <w:t>"</w:t>
      </w:r>
      <w:r w:rsidR="00D4383F" w:rsidRPr="00882F11">
        <w:rPr>
          <w:rFonts w:cs="Guttman Drogolin" w:hint="cs"/>
          <w:rtl/>
          <w:lang w:bidi="he-IL"/>
        </w:rPr>
        <w:t>ם</w:t>
      </w:r>
      <w:r w:rsidR="00D4383F" w:rsidRPr="00882F11">
        <w:rPr>
          <w:rFonts w:cs="Guttman Drogolin"/>
          <w:rtl/>
          <w:lang w:bidi="he-IL"/>
        </w:rPr>
        <w:t xml:space="preserve"> </w:t>
      </w:r>
      <w:r w:rsidR="00D4383F" w:rsidRPr="00882F11">
        <w:rPr>
          <w:rFonts w:cs="Guttman Drogolin" w:hint="cs"/>
          <w:rtl/>
          <w:lang w:bidi="he-IL"/>
        </w:rPr>
        <w:t>בתשובת</w:t>
      </w:r>
      <w:r w:rsidR="00D4383F" w:rsidRPr="00882F11">
        <w:rPr>
          <w:rFonts w:cs="Guttman Drogolin"/>
          <w:rtl/>
          <w:lang w:bidi="he-IL"/>
        </w:rPr>
        <w:t xml:space="preserve"> </w:t>
      </w:r>
      <w:r w:rsidR="00D4383F" w:rsidRPr="00882F11">
        <w:rPr>
          <w:rFonts w:cs="Guttman Drogolin" w:hint="cs"/>
          <w:rtl/>
          <w:lang w:bidi="he-IL"/>
        </w:rPr>
        <w:t>מיימוני</w:t>
      </w:r>
      <w:r w:rsidR="00D4383F" w:rsidRPr="00882F11">
        <w:rPr>
          <w:rFonts w:cs="Guttman Drogolin"/>
          <w:rtl/>
          <w:lang w:bidi="he-IL"/>
        </w:rPr>
        <w:t xml:space="preserve"> </w:t>
      </w:r>
      <w:r w:rsidR="00D4383F" w:rsidRPr="00882F11">
        <w:rPr>
          <w:rFonts w:cs="Guttman Drogolin" w:hint="cs"/>
          <w:rtl/>
          <w:lang w:bidi="he-IL"/>
        </w:rPr>
        <w:t>להלכות</w:t>
      </w:r>
      <w:r w:rsidR="00D4383F" w:rsidRPr="00882F11">
        <w:rPr>
          <w:rFonts w:cs="Guttman Drogolin"/>
          <w:rtl/>
          <w:lang w:bidi="he-IL"/>
        </w:rPr>
        <w:t xml:space="preserve"> </w:t>
      </w:r>
      <w:r w:rsidR="00D4383F" w:rsidRPr="00882F11">
        <w:rPr>
          <w:rFonts w:cs="Guttman Drogolin" w:hint="cs"/>
          <w:rtl/>
          <w:lang w:bidi="he-IL"/>
        </w:rPr>
        <w:t>אישות</w:t>
      </w:r>
      <w:r w:rsidR="00D4383F" w:rsidRPr="00882F11">
        <w:rPr>
          <w:rFonts w:cs="Guttman Drogolin"/>
          <w:rtl/>
          <w:lang w:bidi="he-IL"/>
        </w:rPr>
        <w:t xml:space="preserve"> </w:t>
      </w:r>
      <w:r w:rsidR="00D4383F" w:rsidRPr="00882F11">
        <w:rPr>
          <w:rFonts w:cs="Guttman Drogolin" w:hint="cs"/>
          <w:rtl/>
          <w:lang w:bidi="he-IL"/>
        </w:rPr>
        <w:t>בד</w:t>
      </w:r>
      <w:r w:rsidR="00D4383F" w:rsidRPr="00882F11">
        <w:rPr>
          <w:rFonts w:cs="Guttman Drogolin"/>
          <w:rtl/>
          <w:lang w:bidi="he-IL"/>
        </w:rPr>
        <w:t>"</w:t>
      </w:r>
      <w:r w:rsidR="00D4383F" w:rsidRPr="00882F11">
        <w:rPr>
          <w:rFonts w:cs="Guttman Drogolin" w:hint="cs"/>
          <w:rtl/>
          <w:lang w:bidi="he-IL"/>
        </w:rPr>
        <w:t>ה</w:t>
      </w:r>
      <w:r w:rsidR="00D4383F" w:rsidRPr="00882F11">
        <w:rPr>
          <w:rFonts w:cs="Guttman Drogolin"/>
          <w:rtl/>
          <w:lang w:bidi="he-IL"/>
        </w:rPr>
        <w:t xml:space="preserve"> </w:t>
      </w:r>
      <w:r w:rsidR="00D4383F" w:rsidRPr="00882F11">
        <w:rPr>
          <w:rFonts w:cs="Guttman Drogolin" w:hint="cs"/>
          <w:rtl/>
          <w:lang w:bidi="he-IL"/>
        </w:rPr>
        <w:t>נפל</w:t>
      </w:r>
      <w:r w:rsidR="00D4383F" w:rsidRPr="00882F11">
        <w:rPr>
          <w:rFonts w:cs="Guttman Drogolin"/>
          <w:rtl/>
          <w:lang w:bidi="he-IL"/>
        </w:rPr>
        <w:t xml:space="preserve"> </w:t>
      </w:r>
      <w:r w:rsidR="00D4383F" w:rsidRPr="00882F11">
        <w:rPr>
          <w:rFonts w:cs="Guttman Drogolin" w:hint="cs"/>
          <w:rtl/>
          <w:lang w:bidi="he-IL"/>
        </w:rPr>
        <w:t>למים</w:t>
      </w:r>
      <w:r w:rsidR="00D4383F" w:rsidRPr="00882F11">
        <w:rPr>
          <w:rFonts w:cs="Guttman Drogolin"/>
          <w:rtl/>
          <w:lang w:bidi="he-IL"/>
        </w:rPr>
        <w:t xml:space="preserve"> </w:t>
      </w:r>
      <w:r w:rsidR="00D4383F" w:rsidRPr="00882F11">
        <w:rPr>
          <w:rFonts w:cs="Guttman Drogolin" w:hint="cs"/>
          <w:rtl/>
          <w:lang w:bidi="he-IL"/>
        </w:rPr>
        <w:t>שאין</w:t>
      </w:r>
      <w:r w:rsidR="00D4383F" w:rsidRPr="00882F11">
        <w:rPr>
          <w:rFonts w:cs="Guttman Drogolin"/>
          <w:rtl/>
          <w:lang w:bidi="he-IL"/>
        </w:rPr>
        <w:t xml:space="preserve"> </w:t>
      </w:r>
      <w:r w:rsidR="00D4383F" w:rsidRPr="00882F11">
        <w:rPr>
          <w:rFonts w:cs="Guttman Drogolin" w:hint="cs"/>
          <w:rtl/>
          <w:lang w:bidi="he-IL"/>
        </w:rPr>
        <w:t>להם</w:t>
      </w:r>
      <w:r w:rsidR="00D4383F" w:rsidRPr="00882F11">
        <w:rPr>
          <w:rFonts w:cs="Guttman Drogolin"/>
          <w:rtl/>
          <w:lang w:bidi="he-IL"/>
        </w:rPr>
        <w:t xml:space="preserve"> </w:t>
      </w:r>
      <w:r w:rsidR="00D4383F" w:rsidRPr="00882F11">
        <w:rPr>
          <w:rFonts w:cs="Guttman Drogolin" w:hint="cs"/>
          <w:rtl/>
          <w:lang w:bidi="he-IL"/>
        </w:rPr>
        <w:t>סוף</w:t>
      </w:r>
      <w:r w:rsidR="00D4383F" w:rsidRPr="00882F11">
        <w:rPr>
          <w:rFonts w:cs="Guttman Drogolin"/>
          <w:rtl/>
          <w:lang w:bidi="he-IL"/>
        </w:rPr>
        <w:t xml:space="preserve"> </w:t>
      </w:r>
      <w:r w:rsidR="00D4383F" w:rsidRPr="00882F11">
        <w:rPr>
          <w:rFonts w:cs="Guttman Drogolin" w:hint="cs"/>
          <w:rtl/>
          <w:lang w:bidi="he-IL"/>
        </w:rPr>
        <w:t>וכו</w:t>
      </w:r>
      <w:r w:rsidR="00D4383F" w:rsidRPr="00882F11">
        <w:rPr>
          <w:rFonts w:cs="Guttman Drogolin"/>
          <w:rtl/>
          <w:lang w:bidi="he-IL"/>
        </w:rPr>
        <w:t xml:space="preserve">'. </w:t>
      </w:r>
      <w:r w:rsidR="00D4383F" w:rsidRPr="00882F11">
        <w:rPr>
          <w:rFonts w:cs="Guttman Drogolin" w:hint="cs"/>
          <w:rtl/>
          <w:lang w:bidi="he-IL"/>
        </w:rPr>
        <w:t>וז</w:t>
      </w:r>
      <w:r w:rsidR="00D4383F" w:rsidRPr="00882F11">
        <w:rPr>
          <w:rFonts w:cs="Guttman Drogolin"/>
          <w:rtl/>
          <w:lang w:bidi="he-IL"/>
        </w:rPr>
        <w:t>"</w:t>
      </w:r>
      <w:r w:rsidR="00D4383F" w:rsidRPr="00882F11">
        <w:rPr>
          <w:rFonts w:cs="Guttman Drogolin" w:hint="cs"/>
          <w:rtl/>
          <w:lang w:bidi="he-IL"/>
        </w:rPr>
        <w:t>ל</w:t>
      </w:r>
      <w:r w:rsidR="00D4383F" w:rsidRPr="00882F11">
        <w:rPr>
          <w:rFonts w:cs="Guttman Drogolin"/>
          <w:rtl/>
          <w:lang w:bidi="he-IL"/>
        </w:rPr>
        <w:t xml:space="preserve"> </w:t>
      </w:r>
      <w:r w:rsidR="00D4383F" w:rsidRPr="00882F11">
        <w:rPr>
          <w:rFonts w:cs="Guttman Drogolin" w:hint="cs"/>
          <w:rtl/>
          <w:lang w:bidi="he-IL"/>
        </w:rPr>
        <w:t>דברי</w:t>
      </w:r>
      <w:r w:rsidR="00D4383F" w:rsidRPr="00882F11">
        <w:rPr>
          <w:rFonts w:cs="Guttman Drogolin"/>
          <w:rtl/>
          <w:lang w:bidi="he-IL"/>
        </w:rPr>
        <w:t xml:space="preserve"> </w:t>
      </w:r>
      <w:r w:rsidR="00D4383F" w:rsidRPr="00882F11">
        <w:rPr>
          <w:rFonts w:cs="Guttman Drogolin" w:hint="cs"/>
          <w:rtl/>
          <w:lang w:bidi="he-IL"/>
        </w:rPr>
        <w:t>חכמים</w:t>
      </w:r>
      <w:r w:rsidR="00D4383F" w:rsidRPr="00882F11">
        <w:rPr>
          <w:rFonts w:cs="Guttman Drogolin"/>
          <w:rtl/>
          <w:lang w:bidi="he-IL"/>
        </w:rPr>
        <w:t xml:space="preserve"> </w:t>
      </w:r>
      <w:r w:rsidR="00D4383F" w:rsidRPr="00882F11">
        <w:rPr>
          <w:rFonts w:cs="Guttman Drogolin" w:hint="cs"/>
          <w:rtl/>
          <w:lang w:bidi="he-IL"/>
        </w:rPr>
        <w:t>מקוימי</w:t>
      </w:r>
      <w:r w:rsidR="00D4383F" w:rsidRPr="00882F11">
        <w:rPr>
          <w:rFonts w:cs="Guttman Drogolin"/>
          <w:rtl/>
          <w:lang w:bidi="he-IL"/>
        </w:rPr>
        <w:t xml:space="preserve">' </w:t>
      </w:r>
      <w:r w:rsidR="00D4383F" w:rsidRPr="00882F11">
        <w:rPr>
          <w:rFonts w:cs="Guttman Drogolin" w:hint="cs"/>
          <w:rtl/>
          <w:lang w:bidi="he-IL"/>
        </w:rPr>
        <w:t>דאם</w:t>
      </w:r>
      <w:r w:rsidR="00D4383F" w:rsidRPr="00882F11">
        <w:rPr>
          <w:rFonts w:cs="Guttman Drogolin"/>
          <w:rtl/>
          <w:lang w:bidi="he-IL"/>
        </w:rPr>
        <w:t xml:space="preserve"> </w:t>
      </w:r>
      <w:r w:rsidR="00D4383F" w:rsidRPr="00882F11">
        <w:rPr>
          <w:rFonts w:cs="Guttman Drogolin" w:hint="cs"/>
          <w:rtl/>
          <w:lang w:bidi="he-IL"/>
        </w:rPr>
        <w:t>נשאת</w:t>
      </w:r>
      <w:r w:rsidR="00D4383F" w:rsidRPr="00882F11">
        <w:rPr>
          <w:rFonts w:cs="Guttman Drogolin"/>
          <w:rtl/>
          <w:lang w:bidi="he-IL"/>
        </w:rPr>
        <w:t xml:space="preserve"> </w:t>
      </w:r>
      <w:r w:rsidR="00D4383F" w:rsidRPr="00882F11">
        <w:rPr>
          <w:rFonts w:cs="Guttman Drogolin" w:hint="cs"/>
          <w:rtl/>
          <w:lang w:bidi="he-IL"/>
        </w:rPr>
        <w:t>בלא</w:t>
      </w:r>
      <w:r w:rsidR="00D4383F" w:rsidRPr="00882F11">
        <w:rPr>
          <w:rFonts w:cs="Guttman Drogolin"/>
          <w:rtl/>
          <w:lang w:bidi="he-IL"/>
        </w:rPr>
        <w:t xml:space="preserve"> </w:t>
      </w:r>
      <w:r w:rsidR="00D4383F" w:rsidRPr="00882F11">
        <w:rPr>
          <w:rFonts w:cs="Guttman Drogolin" w:hint="cs"/>
          <w:rtl/>
          <w:lang w:bidi="he-IL"/>
        </w:rPr>
        <w:t>התרת</w:t>
      </w:r>
      <w:r w:rsidR="00D4383F" w:rsidRPr="00882F11">
        <w:rPr>
          <w:rFonts w:cs="Guttman Drogolin"/>
          <w:rtl/>
          <w:lang w:bidi="he-IL"/>
        </w:rPr>
        <w:t xml:space="preserve"> </w:t>
      </w:r>
      <w:r w:rsidR="00D4383F" w:rsidRPr="00882F11">
        <w:rPr>
          <w:rFonts w:cs="Guttman Drogolin" w:hint="cs"/>
          <w:rtl/>
          <w:lang w:bidi="he-IL"/>
        </w:rPr>
        <w:t>חכם</w:t>
      </w:r>
      <w:r w:rsidR="00D4383F" w:rsidRPr="00882F11">
        <w:rPr>
          <w:rFonts w:cs="Guttman Drogolin"/>
          <w:rtl/>
          <w:lang w:bidi="he-IL"/>
        </w:rPr>
        <w:t xml:space="preserve"> </w:t>
      </w:r>
      <w:r w:rsidR="00D4383F" w:rsidRPr="00882F11">
        <w:rPr>
          <w:rFonts w:cs="Guttman Drogolin" w:hint="cs"/>
          <w:rtl/>
          <w:lang w:bidi="he-IL"/>
        </w:rPr>
        <w:t>דתצא</w:t>
      </w:r>
      <w:r w:rsidR="00D4383F" w:rsidRPr="00882F11">
        <w:rPr>
          <w:rFonts w:cs="Guttman Drogolin"/>
          <w:rtl/>
          <w:lang w:bidi="he-IL"/>
        </w:rPr>
        <w:t xml:space="preserve"> </w:t>
      </w:r>
      <w:r w:rsidR="00D4383F" w:rsidRPr="00882F11">
        <w:rPr>
          <w:rFonts w:cs="Guttman Drogolin" w:hint="cs"/>
          <w:rtl/>
          <w:lang w:bidi="he-IL"/>
        </w:rPr>
        <w:t>או</w:t>
      </w:r>
      <w:r w:rsidR="00D4383F" w:rsidRPr="00882F11">
        <w:rPr>
          <w:rFonts w:cs="Guttman Drogolin"/>
          <w:rtl/>
          <w:lang w:bidi="he-IL"/>
        </w:rPr>
        <w:t xml:space="preserve"> </w:t>
      </w:r>
      <w:r w:rsidR="00D4383F" w:rsidRPr="00882F11">
        <w:rPr>
          <w:rFonts w:cs="Guttman Drogolin" w:hint="cs"/>
          <w:rtl/>
          <w:lang w:bidi="he-IL"/>
        </w:rPr>
        <w:t>משמתינן</w:t>
      </w:r>
      <w:r w:rsidR="00D4383F" w:rsidRPr="00882F11">
        <w:rPr>
          <w:rFonts w:cs="Guttman Drogolin"/>
          <w:rtl/>
          <w:lang w:bidi="he-IL"/>
        </w:rPr>
        <w:t xml:space="preserve"> </w:t>
      </w:r>
      <w:r w:rsidR="00D4383F" w:rsidRPr="00882F11">
        <w:rPr>
          <w:rFonts w:cs="Guttman Drogolin" w:hint="cs"/>
          <w:rtl/>
          <w:lang w:bidi="he-IL"/>
        </w:rPr>
        <w:t>ליה</w:t>
      </w:r>
      <w:r w:rsidR="00D4383F" w:rsidRPr="00882F11">
        <w:rPr>
          <w:rFonts w:cs="Guttman Drogolin"/>
          <w:rtl/>
          <w:lang w:bidi="he-IL"/>
        </w:rPr>
        <w:t xml:space="preserve"> </w:t>
      </w:r>
      <w:r w:rsidR="00D4383F" w:rsidRPr="00882F11">
        <w:rPr>
          <w:rFonts w:cs="Guttman Drogolin" w:hint="cs"/>
          <w:rtl/>
          <w:lang w:bidi="he-IL"/>
        </w:rPr>
        <w:t>עד</w:t>
      </w:r>
      <w:r w:rsidR="00D4383F" w:rsidRPr="00882F11">
        <w:rPr>
          <w:rFonts w:cs="Guttman Drogolin"/>
          <w:rtl/>
          <w:lang w:bidi="he-IL"/>
        </w:rPr>
        <w:t xml:space="preserve"> </w:t>
      </w:r>
      <w:r w:rsidR="00D4383F" w:rsidRPr="00882F11">
        <w:rPr>
          <w:rFonts w:cs="Guttman Drogolin" w:hint="cs"/>
          <w:rtl/>
          <w:lang w:bidi="he-IL"/>
        </w:rPr>
        <w:t>שיוציאה</w:t>
      </w:r>
      <w:r w:rsidR="00D4383F" w:rsidRPr="00882F11">
        <w:rPr>
          <w:rFonts w:cs="Guttman Drogolin"/>
          <w:rtl/>
          <w:lang w:bidi="he-IL"/>
        </w:rPr>
        <w:t xml:space="preserve"> </w:t>
      </w:r>
      <w:r w:rsidR="00D4383F" w:rsidRPr="00882F11">
        <w:rPr>
          <w:rFonts w:cs="Guttman Drogolin" w:hint="cs"/>
          <w:rtl/>
          <w:lang w:bidi="he-IL"/>
        </w:rPr>
        <w:t>ואין</w:t>
      </w:r>
      <w:r w:rsidR="00D4383F" w:rsidRPr="00882F11">
        <w:rPr>
          <w:rFonts w:cs="Guttman Drogolin"/>
          <w:rtl/>
          <w:lang w:bidi="he-IL"/>
        </w:rPr>
        <w:t xml:space="preserve"> </w:t>
      </w:r>
      <w:r w:rsidR="00D4383F" w:rsidRPr="00882F11">
        <w:rPr>
          <w:rFonts w:cs="Guttman Drogolin" w:hint="cs"/>
          <w:rtl/>
          <w:lang w:bidi="he-IL"/>
        </w:rPr>
        <w:t>לחוש</w:t>
      </w:r>
      <w:r w:rsidR="00D4383F" w:rsidRPr="00882F11">
        <w:rPr>
          <w:rFonts w:cs="Guttman Drogolin"/>
          <w:rtl/>
          <w:lang w:bidi="he-IL"/>
        </w:rPr>
        <w:t xml:space="preserve"> </w:t>
      </w:r>
      <w:r w:rsidR="00D4383F" w:rsidRPr="00882F11">
        <w:rPr>
          <w:rFonts w:cs="Guttman Drogolin" w:hint="cs"/>
          <w:rtl/>
          <w:lang w:bidi="he-IL"/>
        </w:rPr>
        <w:t>שמא</w:t>
      </w:r>
      <w:r w:rsidR="00D4383F" w:rsidRPr="00882F11">
        <w:rPr>
          <w:rFonts w:cs="Guttman Drogolin"/>
          <w:rtl/>
          <w:lang w:bidi="he-IL"/>
        </w:rPr>
        <w:t xml:space="preserve"> </w:t>
      </w:r>
      <w:r w:rsidR="00D4383F" w:rsidRPr="00882F11">
        <w:rPr>
          <w:rFonts w:cs="Guttman Drogolin" w:hint="cs"/>
          <w:rtl/>
          <w:lang w:bidi="he-IL"/>
        </w:rPr>
        <w:t>אחד</w:t>
      </w:r>
      <w:r w:rsidR="00D4383F" w:rsidRPr="00882F11">
        <w:rPr>
          <w:rFonts w:cs="Guttman Drogolin"/>
          <w:rtl/>
          <w:lang w:bidi="he-IL"/>
        </w:rPr>
        <w:t xml:space="preserve"> </w:t>
      </w:r>
      <w:r w:rsidR="00D4383F" w:rsidRPr="00882F11">
        <w:rPr>
          <w:rFonts w:cs="Guttman Drogolin" w:hint="cs"/>
          <w:rtl/>
          <w:lang w:bidi="he-IL"/>
        </w:rPr>
        <w:t>מקרוביה</w:t>
      </w:r>
      <w:r w:rsidR="00D4383F" w:rsidRPr="00882F11">
        <w:rPr>
          <w:rFonts w:cs="Guttman Drogolin"/>
          <w:rtl/>
          <w:lang w:bidi="he-IL"/>
        </w:rPr>
        <w:t xml:space="preserve"> </w:t>
      </w:r>
      <w:r w:rsidR="00D4383F" w:rsidRPr="00882F11">
        <w:rPr>
          <w:rFonts w:cs="Guttman Drogolin" w:hint="cs"/>
          <w:rtl/>
          <w:lang w:bidi="he-IL"/>
        </w:rPr>
        <w:t>יתירנה</w:t>
      </w:r>
      <w:r w:rsidR="00D4383F" w:rsidRPr="00882F11">
        <w:rPr>
          <w:rFonts w:cs="Guttman Drogolin"/>
          <w:rtl/>
          <w:lang w:bidi="he-IL"/>
        </w:rPr>
        <w:t xml:space="preserve"> </w:t>
      </w:r>
      <w:r w:rsidR="00D4383F" w:rsidRPr="00882F11">
        <w:rPr>
          <w:rFonts w:cs="Guttman Drogolin" w:hint="cs"/>
          <w:rtl/>
          <w:lang w:bidi="he-IL"/>
        </w:rPr>
        <w:t>לינשא</w:t>
      </w:r>
      <w:r w:rsidR="00D4383F" w:rsidRPr="00882F11">
        <w:rPr>
          <w:rFonts w:cs="Guttman Drogolin"/>
          <w:rtl/>
          <w:lang w:bidi="he-IL"/>
        </w:rPr>
        <w:t xml:space="preserve"> </w:t>
      </w:r>
      <w:r w:rsidR="00D4383F" w:rsidRPr="00882F11">
        <w:rPr>
          <w:rFonts w:cs="Guttman Drogolin" w:hint="cs"/>
          <w:rtl/>
          <w:lang w:bidi="he-IL"/>
        </w:rPr>
        <w:t>דחכם</w:t>
      </w:r>
      <w:r w:rsidR="00D4383F" w:rsidRPr="00882F11">
        <w:rPr>
          <w:rFonts w:cs="Guttman Drogolin"/>
          <w:rtl/>
          <w:lang w:bidi="he-IL"/>
        </w:rPr>
        <w:t xml:space="preserve"> </w:t>
      </w:r>
      <w:r w:rsidR="00D4383F" w:rsidRPr="00882F11">
        <w:rPr>
          <w:rFonts w:cs="Guttman Drogolin" w:hint="cs"/>
          <w:rtl/>
          <w:lang w:bidi="he-IL"/>
        </w:rPr>
        <w:t>מורה</w:t>
      </w:r>
      <w:r w:rsidR="00D4383F" w:rsidRPr="00882F11">
        <w:rPr>
          <w:rFonts w:cs="Guttman Drogolin"/>
          <w:rtl/>
          <w:lang w:bidi="he-IL"/>
        </w:rPr>
        <w:t xml:space="preserve"> </w:t>
      </w:r>
      <w:r w:rsidR="00D4383F" w:rsidRPr="00882F11">
        <w:rPr>
          <w:rFonts w:cs="Guttman Drogolin" w:hint="cs"/>
          <w:rtl/>
          <w:lang w:bidi="he-IL"/>
        </w:rPr>
        <w:t>הוראה</w:t>
      </w:r>
      <w:r w:rsidR="00D4383F" w:rsidRPr="00882F11">
        <w:rPr>
          <w:rFonts w:cs="Guttman Drogolin"/>
          <w:rtl/>
          <w:lang w:bidi="he-IL"/>
        </w:rPr>
        <w:t xml:space="preserve"> </w:t>
      </w:r>
      <w:r w:rsidR="00D4383F" w:rsidRPr="00882F11">
        <w:rPr>
          <w:rFonts w:cs="Guttman Drogolin" w:hint="cs"/>
          <w:rtl/>
          <w:lang w:bidi="he-IL"/>
        </w:rPr>
        <w:t>בעינן</w:t>
      </w:r>
      <w:r w:rsidR="00D4383F" w:rsidRPr="00882F11">
        <w:rPr>
          <w:rFonts w:cs="Guttman Drogolin"/>
          <w:rtl/>
          <w:lang w:bidi="he-IL"/>
        </w:rPr>
        <w:t xml:space="preserve"> </w:t>
      </w:r>
      <w:r w:rsidR="00D4383F" w:rsidRPr="00882F11">
        <w:rPr>
          <w:rFonts w:cs="Guttman Drogolin" w:hint="cs"/>
          <w:rtl/>
          <w:lang w:bidi="he-IL"/>
        </w:rPr>
        <w:t>כרב</w:t>
      </w:r>
      <w:r w:rsidR="00D4383F" w:rsidRPr="00882F11">
        <w:rPr>
          <w:rFonts w:cs="Guttman Drogolin"/>
          <w:rtl/>
          <w:lang w:bidi="he-IL"/>
        </w:rPr>
        <w:t xml:space="preserve"> </w:t>
      </w:r>
      <w:r w:rsidR="00D4383F" w:rsidRPr="00882F11">
        <w:rPr>
          <w:rFonts w:cs="Guttman Drogolin" w:hint="cs"/>
          <w:rtl/>
          <w:lang w:bidi="he-IL"/>
        </w:rPr>
        <w:t>נחמן</w:t>
      </w:r>
      <w:r w:rsidR="00D4383F" w:rsidRPr="00882F11">
        <w:rPr>
          <w:rFonts w:cs="Guttman Drogolin"/>
          <w:rtl/>
          <w:lang w:bidi="he-IL"/>
        </w:rPr>
        <w:t xml:space="preserve"> </w:t>
      </w:r>
      <w:r w:rsidR="00D4383F" w:rsidRPr="00882F11">
        <w:rPr>
          <w:rFonts w:cs="Guttman Drogolin" w:hint="cs"/>
          <w:rtl/>
          <w:lang w:bidi="he-IL"/>
        </w:rPr>
        <w:t>ורב</w:t>
      </w:r>
      <w:r w:rsidR="00D4383F" w:rsidRPr="00882F11">
        <w:rPr>
          <w:rFonts w:cs="Guttman Drogolin"/>
          <w:rtl/>
          <w:lang w:bidi="he-IL"/>
        </w:rPr>
        <w:t xml:space="preserve"> </w:t>
      </w:r>
      <w:r w:rsidR="00D4383F" w:rsidRPr="00882F11">
        <w:rPr>
          <w:rFonts w:cs="Guttman Drogolin" w:hint="cs"/>
          <w:rtl/>
          <w:lang w:bidi="he-IL"/>
        </w:rPr>
        <w:t>שילא</w:t>
      </w:r>
      <w:r w:rsidR="00D4383F" w:rsidRPr="00882F11">
        <w:rPr>
          <w:rFonts w:cs="Guttman Drogolin"/>
          <w:rtl/>
          <w:lang w:bidi="he-IL"/>
        </w:rPr>
        <w:t xml:space="preserve"> </w:t>
      </w:r>
      <w:r w:rsidR="00D4383F" w:rsidRPr="00882F11">
        <w:rPr>
          <w:rFonts w:cs="Guttman Drogolin" w:hint="cs"/>
          <w:rtl/>
          <w:lang w:bidi="he-IL"/>
        </w:rPr>
        <w:t>בדורם</w:t>
      </w:r>
      <w:r w:rsidR="00D4383F" w:rsidRPr="00882F11">
        <w:rPr>
          <w:rFonts w:cs="Guttman Drogolin"/>
          <w:rtl/>
          <w:lang w:bidi="he-IL"/>
        </w:rPr>
        <w:t xml:space="preserve"> </w:t>
      </w:r>
      <w:r w:rsidR="00D4383F" w:rsidRPr="00882F11">
        <w:rPr>
          <w:rFonts w:cs="Guttman Drogolin" w:hint="cs"/>
          <w:rtl/>
          <w:lang w:bidi="he-IL"/>
        </w:rPr>
        <w:t>שיהא</w:t>
      </w:r>
      <w:r w:rsidR="00D4383F" w:rsidRPr="00882F11">
        <w:rPr>
          <w:rFonts w:cs="Guttman Drogolin"/>
          <w:rtl/>
          <w:lang w:bidi="he-IL"/>
        </w:rPr>
        <w:t xml:space="preserve"> </w:t>
      </w:r>
      <w:r w:rsidR="00D4383F" w:rsidRPr="00882F11">
        <w:rPr>
          <w:rFonts w:cs="Guttman Drogolin" w:hint="cs"/>
          <w:rtl/>
          <w:lang w:bidi="he-IL"/>
        </w:rPr>
        <w:t>כדאי</w:t>
      </w:r>
      <w:r w:rsidR="00D4383F" w:rsidRPr="00882F11">
        <w:rPr>
          <w:rFonts w:cs="Guttman Drogolin"/>
          <w:rtl/>
          <w:lang w:bidi="he-IL"/>
        </w:rPr>
        <w:t xml:space="preserve"> </w:t>
      </w:r>
      <w:r w:rsidR="00D4383F" w:rsidRPr="00882F11">
        <w:rPr>
          <w:rFonts w:cs="Guttman Drogolin" w:hint="cs"/>
          <w:rtl/>
          <w:lang w:bidi="he-IL"/>
        </w:rPr>
        <w:t>לסמוך</w:t>
      </w:r>
      <w:r w:rsidR="00D4383F" w:rsidRPr="00882F11">
        <w:rPr>
          <w:rFonts w:cs="Guttman Drogolin"/>
          <w:rtl/>
          <w:lang w:bidi="he-IL"/>
        </w:rPr>
        <w:t xml:space="preserve"> </w:t>
      </w:r>
      <w:r w:rsidR="00D4383F" w:rsidRPr="00882F11">
        <w:rPr>
          <w:rFonts w:cs="Guttman Drogolin" w:hint="cs"/>
          <w:rtl/>
          <w:lang w:bidi="he-IL"/>
        </w:rPr>
        <w:t>על</w:t>
      </w:r>
      <w:r w:rsidR="00D4383F" w:rsidRPr="00882F11">
        <w:rPr>
          <w:rFonts w:cs="Guttman Drogolin"/>
          <w:rtl/>
          <w:lang w:bidi="he-IL"/>
        </w:rPr>
        <w:t xml:space="preserve"> </w:t>
      </w:r>
      <w:r w:rsidR="00D4383F" w:rsidRPr="00882F11">
        <w:rPr>
          <w:rFonts w:cs="Guttman Drogolin" w:hint="cs"/>
          <w:rtl/>
          <w:lang w:bidi="he-IL"/>
        </w:rPr>
        <w:t>הוראתו</w:t>
      </w:r>
      <w:r w:rsidR="00D4383F" w:rsidRPr="00882F11">
        <w:rPr>
          <w:rFonts w:cs="Guttman Drogolin"/>
          <w:rtl/>
          <w:lang w:bidi="he-IL"/>
        </w:rPr>
        <w:t xml:space="preserve"> </w:t>
      </w:r>
      <w:r w:rsidR="00D4383F" w:rsidRPr="00882F11">
        <w:rPr>
          <w:rFonts w:cs="Guttman Drogolin" w:hint="cs"/>
          <w:rtl/>
          <w:lang w:bidi="he-IL"/>
        </w:rPr>
        <w:t>וכו</w:t>
      </w:r>
      <w:r w:rsidR="00D4383F" w:rsidRPr="00882F11">
        <w:rPr>
          <w:rFonts w:cs="Guttman Drogolin"/>
          <w:rtl/>
          <w:lang w:bidi="he-IL"/>
        </w:rPr>
        <w:t xml:space="preserve">' </w:t>
      </w:r>
      <w:r w:rsidR="00D4383F" w:rsidRPr="00882F11">
        <w:rPr>
          <w:rFonts w:cs="Guttman Drogolin" w:hint="cs"/>
          <w:rtl/>
          <w:lang w:bidi="he-IL"/>
        </w:rPr>
        <w:t>עכ</w:t>
      </w:r>
      <w:r w:rsidR="00D4383F" w:rsidRPr="00882F11">
        <w:rPr>
          <w:rFonts w:cs="Guttman Drogolin"/>
          <w:rtl/>
          <w:lang w:bidi="he-IL"/>
        </w:rPr>
        <w:t>"</w:t>
      </w:r>
      <w:r w:rsidR="00D4383F" w:rsidRPr="00882F11">
        <w:rPr>
          <w:rFonts w:cs="Guttman Drogolin" w:hint="cs"/>
          <w:rtl/>
          <w:lang w:bidi="he-IL"/>
        </w:rPr>
        <w:t>ל</w:t>
      </w:r>
      <w:r w:rsidR="00D4383F" w:rsidRPr="00882F11">
        <w:rPr>
          <w:rFonts w:cs="Guttman Drogolin"/>
          <w:rtl/>
          <w:lang w:bidi="he-IL"/>
        </w:rPr>
        <w:t xml:space="preserve">. </w:t>
      </w:r>
      <w:r w:rsidR="00D4383F" w:rsidRPr="00882F11">
        <w:rPr>
          <w:rFonts w:cs="Guttman Drogolin" w:hint="cs"/>
          <w:rtl/>
          <w:lang w:bidi="he-IL"/>
        </w:rPr>
        <w:t>הרי</w:t>
      </w:r>
      <w:r w:rsidR="00D4383F" w:rsidRPr="00882F11">
        <w:rPr>
          <w:rFonts w:cs="Guttman Drogolin"/>
          <w:rtl/>
          <w:lang w:bidi="he-IL"/>
        </w:rPr>
        <w:t xml:space="preserve"> </w:t>
      </w:r>
      <w:r w:rsidR="00D4383F" w:rsidRPr="00882F11">
        <w:rPr>
          <w:rFonts w:cs="Guttman Drogolin" w:hint="cs"/>
          <w:rtl/>
          <w:lang w:bidi="he-IL"/>
        </w:rPr>
        <w:t>מבואר</w:t>
      </w:r>
      <w:r w:rsidR="00D4383F" w:rsidRPr="00882F11">
        <w:rPr>
          <w:rFonts w:cs="Guttman Drogolin"/>
          <w:rtl/>
          <w:lang w:bidi="he-IL"/>
        </w:rPr>
        <w:t xml:space="preserve"> </w:t>
      </w:r>
      <w:r w:rsidR="00D4383F" w:rsidRPr="00882F11">
        <w:rPr>
          <w:rFonts w:cs="Guttman Drogolin" w:hint="cs"/>
          <w:rtl/>
          <w:lang w:bidi="he-IL"/>
        </w:rPr>
        <w:t>שצריך</w:t>
      </w:r>
      <w:r w:rsidR="00D4383F" w:rsidRPr="00882F11">
        <w:rPr>
          <w:rFonts w:cs="Guttman Drogolin"/>
          <w:rtl/>
          <w:lang w:bidi="he-IL"/>
        </w:rPr>
        <w:t xml:space="preserve"> </w:t>
      </w:r>
      <w:r w:rsidR="00D4383F" w:rsidRPr="00882F11">
        <w:rPr>
          <w:rFonts w:cs="Guttman Drogolin" w:hint="cs"/>
          <w:rtl/>
          <w:lang w:bidi="he-IL"/>
        </w:rPr>
        <w:t>לשאול</w:t>
      </w:r>
      <w:r w:rsidR="00D4383F" w:rsidRPr="00882F11">
        <w:rPr>
          <w:rFonts w:cs="Guttman Drogolin"/>
          <w:rtl/>
          <w:lang w:bidi="he-IL"/>
        </w:rPr>
        <w:t xml:space="preserve"> </w:t>
      </w:r>
      <w:r w:rsidR="00D4383F" w:rsidRPr="00882F11">
        <w:rPr>
          <w:rFonts w:cs="Guttman Drogolin" w:hint="cs"/>
          <w:rtl/>
          <w:lang w:bidi="he-IL"/>
        </w:rPr>
        <w:t>דוקא</w:t>
      </w:r>
      <w:r w:rsidR="00D4383F" w:rsidRPr="00882F11">
        <w:rPr>
          <w:rFonts w:cs="Guttman Drogolin"/>
          <w:rtl/>
          <w:lang w:bidi="he-IL"/>
        </w:rPr>
        <w:t xml:space="preserve"> </w:t>
      </w:r>
      <w:r w:rsidR="00D4383F" w:rsidRPr="00882F11">
        <w:rPr>
          <w:rFonts w:cs="Guttman Drogolin" w:hint="cs"/>
          <w:rtl/>
          <w:lang w:bidi="he-IL"/>
        </w:rPr>
        <w:t>לגדול</w:t>
      </w:r>
      <w:r w:rsidR="00D4383F" w:rsidRPr="00882F11">
        <w:rPr>
          <w:rFonts w:cs="Guttman Drogolin"/>
          <w:rtl/>
          <w:lang w:bidi="he-IL"/>
        </w:rPr>
        <w:t xml:space="preserve"> </w:t>
      </w:r>
      <w:r w:rsidR="00D4383F" w:rsidRPr="00882F11">
        <w:rPr>
          <w:rFonts w:cs="Guttman Drogolin" w:hint="cs"/>
          <w:rtl/>
          <w:lang w:bidi="he-IL"/>
        </w:rPr>
        <w:t>הדור</w:t>
      </w:r>
      <w:r w:rsidR="00D4383F" w:rsidRPr="00882F11">
        <w:rPr>
          <w:rFonts w:cs="Guttman Drogolin"/>
          <w:rtl/>
          <w:lang w:bidi="he-IL"/>
        </w:rPr>
        <w:t xml:space="preserve"> </w:t>
      </w:r>
      <w:r w:rsidR="00D4383F" w:rsidRPr="00882F11">
        <w:rPr>
          <w:rFonts w:cs="Guttman Drogolin" w:hint="cs"/>
          <w:rtl/>
          <w:lang w:bidi="he-IL"/>
        </w:rPr>
        <w:t>אבל</w:t>
      </w:r>
      <w:r w:rsidR="00D4383F" w:rsidRPr="00882F11">
        <w:rPr>
          <w:rFonts w:cs="Guttman Drogolin"/>
          <w:rtl/>
          <w:lang w:bidi="he-IL"/>
        </w:rPr>
        <w:t xml:space="preserve"> </w:t>
      </w:r>
      <w:r w:rsidR="00D4383F" w:rsidRPr="00882F11">
        <w:rPr>
          <w:rFonts w:cs="Guttman Drogolin" w:hint="cs"/>
          <w:rtl/>
          <w:lang w:bidi="he-IL"/>
        </w:rPr>
        <w:t>זה</w:t>
      </w:r>
      <w:r w:rsidR="00D4383F" w:rsidRPr="00882F11">
        <w:rPr>
          <w:rFonts w:cs="Guttman Drogolin"/>
          <w:rtl/>
          <w:lang w:bidi="he-IL"/>
        </w:rPr>
        <w:t xml:space="preserve"> </w:t>
      </w:r>
      <w:r w:rsidR="00D4383F" w:rsidRPr="00882F11">
        <w:rPr>
          <w:rFonts w:cs="Guttman Drogolin" w:hint="cs"/>
          <w:rtl/>
          <w:lang w:bidi="he-IL"/>
        </w:rPr>
        <w:t>לא</w:t>
      </w:r>
      <w:r w:rsidR="00D4383F" w:rsidRPr="00882F11">
        <w:rPr>
          <w:rFonts w:cs="Guttman Drogolin"/>
          <w:rtl/>
          <w:lang w:bidi="he-IL"/>
        </w:rPr>
        <w:t xml:space="preserve"> </w:t>
      </w:r>
      <w:r w:rsidR="00D4383F" w:rsidRPr="00882F11">
        <w:rPr>
          <w:rFonts w:cs="Guttman Drogolin" w:hint="cs"/>
          <w:rtl/>
          <w:lang w:bidi="he-IL"/>
        </w:rPr>
        <w:t>שאל</w:t>
      </w:r>
      <w:r w:rsidR="00D4383F" w:rsidRPr="00882F11">
        <w:rPr>
          <w:rFonts w:cs="Guttman Drogolin"/>
          <w:rtl/>
          <w:lang w:bidi="he-IL"/>
        </w:rPr>
        <w:t xml:space="preserve"> </w:t>
      </w:r>
      <w:r w:rsidR="00D4383F" w:rsidRPr="00882F11">
        <w:rPr>
          <w:rFonts w:cs="Guttman Drogolin" w:hint="cs"/>
          <w:rtl/>
          <w:lang w:bidi="he-IL"/>
        </w:rPr>
        <w:t>אלא</w:t>
      </w:r>
      <w:r w:rsidR="00D4383F" w:rsidRPr="00882F11">
        <w:rPr>
          <w:rFonts w:cs="Guttman Drogolin"/>
          <w:rtl/>
          <w:lang w:bidi="he-IL"/>
        </w:rPr>
        <w:t xml:space="preserve"> </w:t>
      </w:r>
      <w:r w:rsidR="00D4383F" w:rsidRPr="00882F11">
        <w:rPr>
          <w:rFonts w:cs="Guttman Drogolin" w:hint="cs"/>
          <w:rtl/>
          <w:lang w:bidi="he-IL"/>
        </w:rPr>
        <w:t>ללמדן</w:t>
      </w:r>
      <w:r w:rsidR="00D4383F" w:rsidRPr="00882F11">
        <w:rPr>
          <w:rFonts w:cs="Guttman Drogolin"/>
          <w:rtl/>
          <w:lang w:bidi="he-IL"/>
        </w:rPr>
        <w:t xml:space="preserve"> </w:t>
      </w:r>
      <w:r w:rsidR="00D4383F" w:rsidRPr="00882F11">
        <w:rPr>
          <w:rFonts w:cs="Guttman Drogolin" w:hint="cs"/>
          <w:rtl/>
          <w:lang w:bidi="he-IL"/>
        </w:rPr>
        <w:t>היודע</w:t>
      </w:r>
      <w:r w:rsidR="00D4383F" w:rsidRPr="00882F11">
        <w:rPr>
          <w:rFonts w:cs="Guttman Drogolin"/>
          <w:rtl/>
          <w:lang w:bidi="he-IL"/>
        </w:rPr>
        <w:t xml:space="preserve"> </w:t>
      </w:r>
      <w:r w:rsidR="00D4383F" w:rsidRPr="00882F11">
        <w:rPr>
          <w:rFonts w:cs="Guttman Drogolin" w:hint="cs"/>
          <w:rtl/>
          <w:lang w:bidi="he-IL"/>
        </w:rPr>
        <w:t>ספר</w:t>
      </w:r>
      <w:r w:rsidR="00D4383F" w:rsidRPr="00882F11">
        <w:rPr>
          <w:rFonts w:cs="Guttman Drogolin"/>
          <w:rtl/>
          <w:lang w:bidi="he-IL"/>
        </w:rPr>
        <w:t xml:space="preserve"> </w:t>
      </w:r>
      <w:r w:rsidR="00D4383F" w:rsidRPr="00882F11">
        <w:rPr>
          <w:rFonts w:cs="Guttman Drogolin" w:hint="cs"/>
          <w:rtl/>
          <w:lang w:bidi="he-IL"/>
        </w:rPr>
        <w:t>אבל</w:t>
      </w:r>
      <w:r w:rsidR="00D4383F" w:rsidRPr="00882F11">
        <w:rPr>
          <w:rFonts w:cs="Guttman Drogolin"/>
          <w:rtl/>
          <w:lang w:bidi="he-IL"/>
        </w:rPr>
        <w:t xml:space="preserve"> </w:t>
      </w:r>
      <w:r w:rsidR="00D4383F" w:rsidRPr="00882F11">
        <w:rPr>
          <w:rFonts w:cs="Guttman Drogolin" w:hint="cs"/>
          <w:rtl/>
          <w:lang w:bidi="he-IL"/>
        </w:rPr>
        <w:t>לא</w:t>
      </w:r>
      <w:r w:rsidR="00D4383F" w:rsidRPr="00882F11">
        <w:rPr>
          <w:rFonts w:cs="Guttman Drogolin"/>
          <w:rtl/>
          <w:lang w:bidi="he-IL"/>
        </w:rPr>
        <w:t xml:space="preserve"> </w:t>
      </w:r>
      <w:r w:rsidR="00D4383F" w:rsidRPr="00882F11">
        <w:rPr>
          <w:rFonts w:cs="Guttman Drogolin" w:hint="cs"/>
          <w:rtl/>
          <w:lang w:bidi="he-IL"/>
        </w:rPr>
        <w:t>נהירין</w:t>
      </w:r>
      <w:r w:rsidR="00D4383F" w:rsidRPr="00882F11">
        <w:rPr>
          <w:rFonts w:cs="Guttman Drogolin"/>
          <w:rtl/>
          <w:lang w:bidi="he-IL"/>
        </w:rPr>
        <w:t xml:space="preserve"> </w:t>
      </w:r>
      <w:r w:rsidR="00D4383F" w:rsidRPr="00882F11">
        <w:rPr>
          <w:rFonts w:cs="Guttman Drogolin" w:hint="cs"/>
          <w:rtl/>
          <w:lang w:bidi="he-IL"/>
        </w:rPr>
        <w:t>ליה</w:t>
      </w:r>
      <w:r w:rsidR="00D4383F" w:rsidRPr="00882F11">
        <w:rPr>
          <w:rFonts w:cs="Guttman Drogolin"/>
          <w:rtl/>
          <w:lang w:bidi="he-IL"/>
        </w:rPr>
        <w:t xml:space="preserve"> </w:t>
      </w:r>
      <w:r w:rsidR="00D4383F" w:rsidRPr="00882F11">
        <w:rPr>
          <w:rFonts w:cs="Guttman Drogolin" w:hint="cs"/>
          <w:rtl/>
          <w:lang w:bidi="he-IL"/>
        </w:rPr>
        <w:t>שבילין</w:t>
      </w:r>
      <w:r w:rsidR="00D4383F" w:rsidRPr="00882F11">
        <w:rPr>
          <w:rFonts w:cs="Guttman Drogolin"/>
          <w:rtl/>
          <w:lang w:bidi="he-IL"/>
        </w:rPr>
        <w:t xml:space="preserve"> </w:t>
      </w:r>
      <w:r w:rsidR="00D4383F" w:rsidRPr="00882F11">
        <w:rPr>
          <w:rFonts w:cs="Guttman Drogolin" w:hint="cs"/>
          <w:rtl/>
          <w:lang w:bidi="he-IL"/>
        </w:rPr>
        <w:t>דהוראה</w:t>
      </w:r>
      <w:r w:rsidR="00D4383F" w:rsidRPr="00882F11">
        <w:rPr>
          <w:rFonts w:cs="Guttman Drogolin"/>
          <w:rtl/>
          <w:lang w:bidi="he-IL"/>
        </w:rPr>
        <w:t xml:space="preserve"> </w:t>
      </w:r>
      <w:r w:rsidR="00D4383F" w:rsidRPr="00882F11">
        <w:rPr>
          <w:rFonts w:cs="Guttman Drogolin" w:hint="cs"/>
          <w:i/>
          <w:iCs/>
          <w:u w:val="single"/>
          <w:rtl/>
          <w:lang w:bidi="he-IL"/>
        </w:rPr>
        <w:t>אף</w:t>
      </w:r>
      <w:r w:rsidR="00D4383F" w:rsidRPr="00882F11">
        <w:rPr>
          <w:rFonts w:cs="Guttman Drogolin"/>
          <w:i/>
          <w:iCs/>
          <w:u w:val="single"/>
          <w:rtl/>
          <w:lang w:bidi="he-IL"/>
        </w:rPr>
        <w:t xml:space="preserve"> </w:t>
      </w:r>
      <w:r w:rsidR="00D4383F" w:rsidRPr="00882F11">
        <w:rPr>
          <w:rFonts w:cs="Guttman Drogolin" w:hint="cs"/>
          <w:i/>
          <w:iCs/>
          <w:u w:val="single"/>
          <w:rtl/>
          <w:lang w:bidi="he-IL"/>
        </w:rPr>
        <w:t>על</w:t>
      </w:r>
      <w:r w:rsidR="00D4383F" w:rsidRPr="00882F11">
        <w:rPr>
          <w:rFonts w:cs="Guttman Drogolin"/>
          <w:i/>
          <w:iCs/>
          <w:u w:val="single"/>
          <w:rtl/>
          <w:lang w:bidi="he-IL"/>
        </w:rPr>
        <w:t xml:space="preserve"> </w:t>
      </w:r>
      <w:r w:rsidR="00D4383F" w:rsidRPr="00882F11">
        <w:rPr>
          <w:rFonts w:cs="Guttman Drogolin" w:hint="cs"/>
          <w:i/>
          <w:iCs/>
          <w:u w:val="single"/>
          <w:rtl/>
          <w:lang w:bidi="he-IL"/>
        </w:rPr>
        <w:t>פי</w:t>
      </w:r>
      <w:r w:rsidR="00D4383F" w:rsidRPr="00882F11">
        <w:rPr>
          <w:rFonts w:cs="Guttman Drogolin"/>
          <w:i/>
          <w:iCs/>
          <w:u w:val="single"/>
          <w:rtl/>
          <w:lang w:bidi="he-IL"/>
        </w:rPr>
        <w:t xml:space="preserve"> </w:t>
      </w:r>
      <w:r w:rsidR="00D4383F" w:rsidRPr="00882F11">
        <w:rPr>
          <w:rFonts w:cs="Guttman Drogolin" w:hint="cs"/>
          <w:i/>
          <w:iCs/>
          <w:u w:val="single"/>
          <w:rtl/>
          <w:lang w:bidi="he-IL"/>
        </w:rPr>
        <w:t>שהוא</w:t>
      </w:r>
      <w:r w:rsidR="00D4383F" w:rsidRPr="00882F11">
        <w:rPr>
          <w:rFonts w:cs="Guttman Drogolin"/>
          <w:i/>
          <w:iCs/>
          <w:u w:val="single"/>
          <w:rtl/>
          <w:lang w:bidi="he-IL"/>
        </w:rPr>
        <w:t xml:space="preserve"> </w:t>
      </w:r>
      <w:r w:rsidR="00D4383F" w:rsidRPr="00882F11">
        <w:rPr>
          <w:rFonts w:cs="Guttman Drogolin" w:hint="cs"/>
          <w:i/>
          <w:iCs/>
          <w:u w:val="single"/>
          <w:rtl/>
          <w:lang w:bidi="he-IL"/>
        </w:rPr>
        <w:t>מוסמך</w:t>
      </w:r>
      <w:r w:rsidR="00D4383F" w:rsidRPr="00882F11">
        <w:rPr>
          <w:rFonts w:cs="Guttman Drogolin"/>
          <w:i/>
          <w:iCs/>
          <w:u w:val="single"/>
          <w:rtl/>
          <w:lang w:bidi="he-IL"/>
        </w:rPr>
        <w:t xml:space="preserve"> </w:t>
      </w:r>
      <w:r w:rsidR="00D4383F" w:rsidRPr="00882F11">
        <w:rPr>
          <w:rFonts w:cs="Guttman Drogolin" w:hint="cs"/>
          <w:i/>
          <w:iCs/>
          <w:u w:val="single"/>
          <w:rtl/>
          <w:lang w:bidi="he-IL"/>
        </w:rPr>
        <w:t>מה</w:t>
      </w:r>
      <w:r w:rsidR="00D4383F" w:rsidRPr="00882F11">
        <w:rPr>
          <w:rFonts w:cs="Guttman Drogolin"/>
          <w:i/>
          <w:iCs/>
          <w:u w:val="single"/>
          <w:rtl/>
          <w:lang w:bidi="he-IL"/>
        </w:rPr>
        <w:t xml:space="preserve"> </w:t>
      </w:r>
      <w:r w:rsidR="00D4383F" w:rsidRPr="00882F11">
        <w:rPr>
          <w:rFonts w:cs="Guttman Drogolin" w:hint="cs"/>
          <w:i/>
          <w:iCs/>
          <w:u w:val="single"/>
          <w:rtl/>
          <w:lang w:bidi="he-IL"/>
        </w:rPr>
        <w:t>זו</w:t>
      </w:r>
      <w:r w:rsidR="00D4383F" w:rsidRPr="00882F11">
        <w:rPr>
          <w:rFonts w:cs="Guttman Drogolin"/>
          <w:i/>
          <w:iCs/>
          <w:u w:val="single"/>
          <w:rtl/>
          <w:lang w:bidi="he-IL"/>
        </w:rPr>
        <w:t xml:space="preserve"> </w:t>
      </w:r>
      <w:r w:rsidR="00D4383F" w:rsidRPr="00882F11">
        <w:rPr>
          <w:rFonts w:cs="Guttman Drogolin" w:hint="cs"/>
          <w:i/>
          <w:iCs/>
          <w:u w:val="single"/>
          <w:rtl/>
          <w:lang w:bidi="he-IL"/>
        </w:rPr>
        <w:t>סמיכה</w:t>
      </w:r>
      <w:r w:rsidR="00D4383F" w:rsidRPr="00882F11">
        <w:rPr>
          <w:rFonts w:cs="Guttman Drogolin"/>
          <w:i/>
          <w:iCs/>
          <w:u w:val="single"/>
          <w:rtl/>
          <w:lang w:bidi="he-IL"/>
        </w:rPr>
        <w:t xml:space="preserve"> </w:t>
      </w:r>
      <w:r w:rsidR="00D4383F" w:rsidRPr="00882F11">
        <w:rPr>
          <w:rFonts w:cs="Guttman Drogolin" w:hint="cs"/>
          <w:i/>
          <w:iCs/>
          <w:u w:val="single"/>
          <w:rtl/>
          <w:lang w:bidi="he-IL"/>
        </w:rPr>
        <w:t>הכל</w:t>
      </w:r>
      <w:r w:rsidR="00D4383F" w:rsidRPr="00882F11">
        <w:rPr>
          <w:rFonts w:cs="Guttman Drogolin"/>
          <w:i/>
          <w:iCs/>
          <w:u w:val="single"/>
          <w:rtl/>
          <w:lang w:bidi="he-IL"/>
        </w:rPr>
        <w:t xml:space="preserve"> </w:t>
      </w:r>
      <w:r w:rsidR="00D4383F" w:rsidRPr="00882F11">
        <w:rPr>
          <w:rFonts w:cs="Guttman Drogolin" w:hint="cs"/>
          <w:i/>
          <w:iCs/>
          <w:u w:val="single"/>
          <w:rtl/>
          <w:lang w:bidi="he-IL"/>
        </w:rPr>
        <w:t>יודעים</w:t>
      </w:r>
      <w:r w:rsidR="00D4383F" w:rsidRPr="00882F11">
        <w:rPr>
          <w:rFonts w:cs="Guttman Drogolin"/>
          <w:i/>
          <w:iCs/>
          <w:u w:val="single"/>
          <w:rtl/>
          <w:lang w:bidi="he-IL"/>
        </w:rPr>
        <w:t xml:space="preserve"> </w:t>
      </w:r>
      <w:r w:rsidR="00D4383F" w:rsidRPr="00882F11">
        <w:rPr>
          <w:rFonts w:cs="Guttman Drogolin" w:hint="cs"/>
          <w:i/>
          <w:iCs/>
          <w:u w:val="single"/>
          <w:rtl/>
          <w:lang w:bidi="he-IL"/>
        </w:rPr>
        <w:t>שאין</w:t>
      </w:r>
      <w:r w:rsidR="00D4383F" w:rsidRPr="00882F11">
        <w:rPr>
          <w:rFonts w:cs="Guttman Drogolin"/>
          <w:i/>
          <w:iCs/>
          <w:u w:val="single"/>
          <w:rtl/>
          <w:lang w:bidi="he-IL"/>
        </w:rPr>
        <w:t xml:space="preserve"> </w:t>
      </w:r>
      <w:r w:rsidR="00D4383F" w:rsidRPr="00882F11">
        <w:rPr>
          <w:rFonts w:cs="Guttman Drogolin" w:hint="cs"/>
          <w:i/>
          <w:iCs/>
          <w:u w:val="single"/>
          <w:rtl/>
          <w:lang w:bidi="he-IL"/>
        </w:rPr>
        <w:t>דינים</w:t>
      </w:r>
      <w:r w:rsidR="00D4383F" w:rsidRPr="00882F11">
        <w:rPr>
          <w:rFonts w:cs="Guttman Drogolin"/>
          <w:i/>
          <w:iCs/>
          <w:u w:val="single"/>
          <w:rtl/>
          <w:lang w:bidi="he-IL"/>
        </w:rPr>
        <w:t xml:space="preserve"> </w:t>
      </w:r>
      <w:r w:rsidR="00D4383F" w:rsidRPr="00882F11">
        <w:rPr>
          <w:rFonts w:cs="Guttman Drogolin" w:hint="cs"/>
          <w:i/>
          <w:iCs/>
          <w:u w:val="single"/>
          <w:rtl/>
          <w:lang w:bidi="he-IL"/>
        </w:rPr>
        <w:t>הללו</w:t>
      </w:r>
      <w:r w:rsidR="00D4383F" w:rsidRPr="00882F11">
        <w:rPr>
          <w:rFonts w:cs="Guttman Drogolin"/>
          <w:i/>
          <w:iCs/>
          <w:u w:val="single"/>
          <w:rtl/>
          <w:lang w:bidi="he-IL"/>
        </w:rPr>
        <w:t xml:space="preserve"> </w:t>
      </w:r>
      <w:r w:rsidR="00D4383F" w:rsidRPr="00882F11">
        <w:rPr>
          <w:rFonts w:cs="Guttman Drogolin" w:hint="cs"/>
          <w:i/>
          <w:iCs/>
          <w:u w:val="single"/>
          <w:rtl/>
          <w:lang w:bidi="he-IL"/>
        </w:rPr>
        <w:t>מסורים</w:t>
      </w:r>
      <w:r w:rsidR="00D4383F" w:rsidRPr="00882F11">
        <w:rPr>
          <w:rFonts w:cs="Guttman Drogolin"/>
          <w:i/>
          <w:iCs/>
          <w:u w:val="single"/>
          <w:rtl/>
          <w:lang w:bidi="he-IL"/>
        </w:rPr>
        <w:t xml:space="preserve"> </w:t>
      </w:r>
      <w:r w:rsidR="00D4383F" w:rsidRPr="00882F11">
        <w:rPr>
          <w:rFonts w:cs="Guttman Drogolin" w:hint="cs"/>
          <w:i/>
          <w:iCs/>
          <w:u w:val="single"/>
          <w:rtl/>
          <w:lang w:bidi="he-IL"/>
        </w:rPr>
        <w:t>לכל</w:t>
      </w:r>
      <w:r w:rsidR="00D4383F" w:rsidRPr="00882F11">
        <w:rPr>
          <w:rFonts w:cs="Guttman Drogolin"/>
          <w:i/>
          <w:iCs/>
          <w:u w:val="single"/>
          <w:rtl/>
          <w:lang w:bidi="he-IL"/>
        </w:rPr>
        <w:t xml:space="preserve"> </w:t>
      </w:r>
      <w:r w:rsidR="00D4383F" w:rsidRPr="00882F11">
        <w:rPr>
          <w:rFonts w:cs="Guttman Drogolin" w:hint="cs"/>
          <w:i/>
          <w:iCs/>
          <w:u w:val="single"/>
          <w:rtl/>
          <w:lang w:bidi="he-IL"/>
        </w:rPr>
        <w:t>כשאר</w:t>
      </w:r>
      <w:r w:rsidR="00D4383F" w:rsidRPr="00882F11">
        <w:rPr>
          <w:rFonts w:cs="Guttman Drogolin"/>
          <w:i/>
          <w:iCs/>
          <w:u w:val="single"/>
          <w:rtl/>
          <w:lang w:bidi="he-IL"/>
        </w:rPr>
        <w:t xml:space="preserve"> </w:t>
      </w:r>
      <w:r w:rsidR="00D4383F" w:rsidRPr="00882F11">
        <w:rPr>
          <w:rFonts w:cs="Guttman Drogolin" w:hint="cs"/>
          <w:i/>
          <w:iCs/>
          <w:u w:val="single"/>
          <w:rtl/>
          <w:lang w:bidi="he-IL"/>
        </w:rPr>
        <w:t>דיני</w:t>
      </w:r>
      <w:r w:rsidR="00D4383F" w:rsidRPr="00882F11">
        <w:rPr>
          <w:rFonts w:cs="Guttman Drogolin"/>
          <w:i/>
          <w:iCs/>
          <w:u w:val="single"/>
          <w:rtl/>
          <w:lang w:bidi="he-IL"/>
        </w:rPr>
        <w:t xml:space="preserve"> </w:t>
      </w:r>
      <w:r w:rsidR="00D4383F" w:rsidRPr="00882F11">
        <w:rPr>
          <w:rFonts w:cs="Guttman Drogolin" w:hint="cs"/>
          <w:i/>
          <w:iCs/>
          <w:u w:val="single"/>
          <w:rtl/>
          <w:lang w:bidi="he-IL"/>
        </w:rPr>
        <w:t>איסור</w:t>
      </w:r>
      <w:r w:rsidR="00D4383F" w:rsidRPr="00882F11">
        <w:rPr>
          <w:rFonts w:cs="Guttman Drogolin"/>
          <w:i/>
          <w:iCs/>
          <w:u w:val="single"/>
          <w:rtl/>
          <w:lang w:bidi="he-IL"/>
        </w:rPr>
        <w:t xml:space="preserve"> </w:t>
      </w:r>
      <w:r w:rsidR="00D4383F" w:rsidRPr="00882F11">
        <w:rPr>
          <w:rFonts w:cs="Guttman Drogolin" w:hint="cs"/>
          <w:i/>
          <w:iCs/>
          <w:u w:val="single"/>
          <w:rtl/>
          <w:lang w:bidi="he-IL"/>
        </w:rPr>
        <w:t>והיתר</w:t>
      </w:r>
      <w:r w:rsidR="00D4383F" w:rsidRPr="00882F11">
        <w:rPr>
          <w:rFonts w:cs="Guttman Drogolin"/>
          <w:i/>
          <w:iCs/>
          <w:u w:val="single"/>
          <w:rtl/>
          <w:lang w:bidi="he-IL"/>
        </w:rPr>
        <w:t xml:space="preserve"> </w:t>
      </w:r>
      <w:r w:rsidR="00D4383F" w:rsidRPr="00882F11">
        <w:rPr>
          <w:rFonts w:cs="Guttman Drogolin" w:hint="cs"/>
          <w:i/>
          <w:iCs/>
          <w:u w:val="single"/>
          <w:rtl/>
          <w:lang w:bidi="he-IL"/>
        </w:rPr>
        <w:t>בשר</w:t>
      </w:r>
      <w:r w:rsidR="00D4383F" w:rsidRPr="00882F11">
        <w:rPr>
          <w:rFonts w:cs="Guttman Drogolin"/>
          <w:i/>
          <w:iCs/>
          <w:u w:val="single"/>
          <w:rtl/>
          <w:lang w:bidi="he-IL"/>
        </w:rPr>
        <w:t xml:space="preserve"> </w:t>
      </w:r>
      <w:r w:rsidR="00D4383F" w:rsidRPr="00882F11">
        <w:rPr>
          <w:rFonts w:cs="Guttman Drogolin" w:hint="cs"/>
          <w:i/>
          <w:iCs/>
          <w:u w:val="single"/>
          <w:rtl/>
          <w:lang w:bidi="he-IL"/>
        </w:rPr>
        <w:t>בחלב</w:t>
      </w:r>
      <w:r w:rsidR="00D4383F" w:rsidRPr="00882F11">
        <w:rPr>
          <w:rFonts w:cs="Guttman Drogolin"/>
          <w:i/>
          <w:iCs/>
          <w:u w:val="single"/>
          <w:rtl/>
          <w:lang w:bidi="he-IL"/>
        </w:rPr>
        <w:t xml:space="preserve"> </w:t>
      </w:r>
      <w:r w:rsidR="00D4383F" w:rsidRPr="00882F11">
        <w:rPr>
          <w:rFonts w:cs="Guttman Drogolin" w:hint="cs"/>
          <w:i/>
          <w:iCs/>
          <w:u w:val="single"/>
          <w:rtl/>
          <w:lang w:bidi="he-IL"/>
        </w:rPr>
        <w:t>ונותן</w:t>
      </w:r>
      <w:r w:rsidR="00D4383F" w:rsidRPr="00882F11">
        <w:rPr>
          <w:rFonts w:cs="Guttman Drogolin"/>
          <w:i/>
          <w:iCs/>
          <w:u w:val="single"/>
          <w:rtl/>
          <w:lang w:bidi="he-IL"/>
        </w:rPr>
        <w:t xml:space="preserve"> </w:t>
      </w:r>
      <w:r w:rsidR="00D4383F" w:rsidRPr="00882F11">
        <w:rPr>
          <w:rFonts w:cs="Guttman Drogolin" w:hint="cs"/>
          <w:i/>
          <w:iCs/>
          <w:u w:val="single"/>
          <w:rtl/>
          <w:lang w:bidi="he-IL"/>
        </w:rPr>
        <w:t>טעם</w:t>
      </w:r>
      <w:r w:rsidR="00D4383F" w:rsidRPr="00882F11">
        <w:rPr>
          <w:rFonts w:cs="Guttman Drogolin"/>
          <w:i/>
          <w:iCs/>
          <w:u w:val="single"/>
          <w:rtl/>
          <w:lang w:bidi="he-IL"/>
        </w:rPr>
        <w:t xml:space="preserve"> </w:t>
      </w:r>
      <w:r w:rsidR="00D4383F" w:rsidRPr="00882F11">
        <w:rPr>
          <w:rFonts w:cs="Guttman Drogolin" w:hint="cs"/>
          <w:i/>
          <w:iCs/>
          <w:u w:val="single"/>
          <w:rtl/>
          <w:lang w:bidi="he-IL"/>
        </w:rPr>
        <w:t>לפגם</w:t>
      </w:r>
      <w:r w:rsidR="00D4383F" w:rsidRPr="00882F11">
        <w:rPr>
          <w:rFonts w:cs="Guttman Drogolin"/>
          <w:i/>
          <w:iCs/>
          <w:u w:val="single"/>
          <w:rtl/>
          <w:lang w:bidi="he-IL"/>
        </w:rPr>
        <w:t xml:space="preserve"> </w:t>
      </w:r>
      <w:r w:rsidR="00D4383F" w:rsidRPr="00882F11">
        <w:rPr>
          <w:rFonts w:cs="Guttman Drogolin" w:hint="cs"/>
          <w:i/>
          <w:iCs/>
          <w:u w:val="single"/>
          <w:rtl/>
          <w:lang w:bidi="he-IL"/>
        </w:rPr>
        <w:t>וכיוצא</w:t>
      </w:r>
      <w:r w:rsidR="00D4383F" w:rsidRPr="00882F11">
        <w:rPr>
          <w:rFonts w:cs="Guttman Drogolin"/>
          <w:i/>
          <w:iCs/>
          <w:u w:val="single"/>
          <w:rtl/>
          <w:lang w:bidi="he-IL"/>
        </w:rPr>
        <w:t xml:space="preserve"> </w:t>
      </w:r>
      <w:r w:rsidR="00D4383F" w:rsidRPr="00882F11">
        <w:rPr>
          <w:rFonts w:cs="Guttman Drogolin" w:hint="cs"/>
          <w:i/>
          <w:iCs/>
          <w:u w:val="single"/>
          <w:rtl/>
          <w:lang w:bidi="he-IL"/>
        </w:rPr>
        <w:t>בזה</w:t>
      </w:r>
      <w:r w:rsidR="00D4383F" w:rsidRPr="00882F11">
        <w:rPr>
          <w:rFonts w:cs="Guttman Drogolin"/>
          <w:rtl/>
          <w:lang w:bidi="he-IL"/>
        </w:rPr>
        <w:t xml:space="preserve"> </w:t>
      </w:r>
      <w:r w:rsidR="00D4383F" w:rsidRPr="00882F11">
        <w:rPr>
          <w:rFonts w:cs="Guttman Drogolin" w:hint="cs"/>
          <w:rtl/>
          <w:lang w:bidi="he-IL"/>
        </w:rPr>
        <w:t>והנה</w:t>
      </w:r>
      <w:r w:rsidR="00D4383F" w:rsidRPr="00882F11">
        <w:rPr>
          <w:rFonts w:cs="Guttman Drogolin"/>
          <w:rtl/>
          <w:lang w:bidi="he-IL"/>
        </w:rPr>
        <w:t xml:space="preserve"> </w:t>
      </w:r>
      <w:r w:rsidR="00D4383F" w:rsidRPr="00882F11">
        <w:rPr>
          <w:rFonts w:cs="Guttman Drogolin" w:hint="cs"/>
          <w:rtl/>
          <w:lang w:bidi="he-IL"/>
        </w:rPr>
        <w:t>נודע</w:t>
      </w:r>
      <w:r w:rsidR="00D4383F" w:rsidRPr="00882F11">
        <w:rPr>
          <w:rFonts w:cs="Guttman Drogolin"/>
          <w:rtl/>
          <w:lang w:bidi="he-IL"/>
        </w:rPr>
        <w:t xml:space="preserve"> </w:t>
      </w:r>
      <w:r w:rsidR="00D4383F" w:rsidRPr="00882F11">
        <w:rPr>
          <w:rFonts w:cs="Guttman Drogolin" w:hint="cs"/>
          <w:rtl/>
          <w:lang w:bidi="he-IL"/>
        </w:rPr>
        <w:t>לי</w:t>
      </w:r>
      <w:r w:rsidR="00D4383F" w:rsidRPr="00882F11">
        <w:rPr>
          <w:rFonts w:cs="Guttman Drogolin"/>
          <w:rtl/>
          <w:lang w:bidi="he-IL"/>
        </w:rPr>
        <w:t xml:space="preserve"> </w:t>
      </w:r>
      <w:r w:rsidR="00D4383F" w:rsidRPr="00882F11">
        <w:rPr>
          <w:rFonts w:cs="Guttman Drogolin" w:hint="cs"/>
          <w:rtl/>
          <w:lang w:bidi="he-IL"/>
        </w:rPr>
        <w:t>כי</w:t>
      </w:r>
      <w:r w:rsidR="00D4383F" w:rsidRPr="00882F11">
        <w:rPr>
          <w:rFonts w:cs="Guttman Drogolin"/>
          <w:rtl/>
          <w:lang w:bidi="he-IL"/>
        </w:rPr>
        <w:t xml:space="preserve"> </w:t>
      </w:r>
      <w:r w:rsidR="00D4383F" w:rsidRPr="00882F11">
        <w:rPr>
          <w:rFonts w:cs="Guttman Drogolin" w:hint="cs"/>
          <w:rtl/>
          <w:lang w:bidi="he-IL"/>
        </w:rPr>
        <w:t>הלמדן</w:t>
      </w:r>
      <w:r w:rsidR="00D4383F" w:rsidRPr="00882F11">
        <w:rPr>
          <w:rFonts w:cs="Guttman Drogolin"/>
          <w:rtl/>
          <w:lang w:bidi="he-IL"/>
        </w:rPr>
        <w:t xml:space="preserve"> </w:t>
      </w:r>
      <w:r w:rsidR="00D4383F" w:rsidRPr="00882F11">
        <w:rPr>
          <w:rFonts w:cs="Guttman Drogolin" w:hint="cs"/>
          <w:rtl/>
          <w:lang w:bidi="he-IL"/>
        </w:rPr>
        <w:t>ההוא</w:t>
      </w:r>
      <w:r w:rsidR="00D4383F" w:rsidRPr="00882F11">
        <w:rPr>
          <w:rFonts w:cs="Guttman Drogolin"/>
          <w:rtl/>
          <w:lang w:bidi="he-IL"/>
        </w:rPr>
        <w:t xml:space="preserve"> </w:t>
      </w:r>
      <w:r w:rsidR="00D4383F" w:rsidRPr="00882F11">
        <w:rPr>
          <w:rFonts w:cs="Guttman Drogolin" w:hint="cs"/>
          <w:rtl/>
          <w:lang w:bidi="he-IL"/>
        </w:rPr>
        <w:t>פסק</w:t>
      </w:r>
      <w:r w:rsidR="00D4383F" w:rsidRPr="00882F11">
        <w:rPr>
          <w:rFonts w:cs="Guttman Drogolin"/>
          <w:rtl/>
          <w:lang w:bidi="he-IL"/>
        </w:rPr>
        <w:t xml:space="preserve"> </w:t>
      </w:r>
      <w:r w:rsidR="00D4383F" w:rsidRPr="00882F11">
        <w:rPr>
          <w:rFonts w:cs="Guttman Drogolin" w:hint="cs"/>
          <w:rtl/>
          <w:lang w:bidi="he-IL"/>
        </w:rPr>
        <w:t>כך</w:t>
      </w:r>
      <w:r w:rsidR="00D4383F" w:rsidRPr="00882F11">
        <w:rPr>
          <w:rFonts w:cs="Guttman Drogolin"/>
          <w:rtl/>
          <w:lang w:bidi="he-IL"/>
        </w:rPr>
        <w:t xml:space="preserve"> </w:t>
      </w:r>
      <w:r w:rsidR="00D4383F" w:rsidRPr="00882F11">
        <w:rPr>
          <w:rFonts w:cs="Guttman Drogolin" w:hint="cs"/>
          <w:rtl/>
          <w:lang w:bidi="he-IL"/>
        </w:rPr>
        <w:t>להתיר</w:t>
      </w:r>
      <w:r w:rsidR="00D4383F" w:rsidRPr="00882F11">
        <w:rPr>
          <w:rFonts w:cs="Guttman Drogolin"/>
          <w:rtl/>
          <w:lang w:bidi="he-IL"/>
        </w:rPr>
        <w:t xml:space="preserve"> </w:t>
      </w:r>
      <w:r w:rsidR="00D4383F" w:rsidRPr="00882F11">
        <w:rPr>
          <w:rFonts w:cs="Guttman Drogolin" w:hint="cs"/>
          <w:rtl/>
          <w:lang w:bidi="he-IL"/>
        </w:rPr>
        <w:t>אשת</w:t>
      </w:r>
      <w:r w:rsidR="00D4383F" w:rsidRPr="00882F11">
        <w:rPr>
          <w:rFonts w:cs="Guttman Drogolin"/>
          <w:rtl/>
          <w:lang w:bidi="he-IL"/>
        </w:rPr>
        <w:t xml:space="preserve"> </w:t>
      </w:r>
      <w:r w:rsidR="00D4383F" w:rsidRPr="00882F11">
        <w:rPr>
          <w:rFonts w:cs="Guttman Drogolin" w:hint="cs"/>
          <w:rtl/>
          <w:lang w:bidi="he-IL"/>
        </w:rPr>
        <w:t>חמיו</w:t>
      </w:r>
      <w:r w:rsidR="00D4383F" w:rsidRPr="00882F11">
        <w:rPr>
          <w:rFonts w:cs="Guttman Drogolin"/>
          <w:rtl/>
          <w:lang w:bidi="he-IL"/>
        </w:rPr>
        <w:t xml:space="preserve"> </w:t>
      </w:r>
      <w:r w:rsidR="00D4383F" w:rsidRPr="00882F11">
        <w:rPr>
          <w:rFonts w:cs="Guttman Drogolin" w:hint="cs"/>
          <w:rtl/>
          <w:lang w:bidi="he-IL"/>
        </w:rPr>
        <w:t>על</w:t>
      </w:r>
      <w:r w:rsidR="00D4383F" w:rsidRPr="00882F11">
        <w:rPr>
          <w:rFonts w:cs="Guttman Drogolin"/>
          <w:rtl/>
          <w:lang w:bidi="he-IL"/>
        </w:rPr>
        <w:t xml:space="preserve"> </w:t>
      </w:r>
      <w:r w:rsidR="00D4383F" w:rsidRPr="00882F11">
        <w:rPr>
          <w:rFonts w:cs="Guttman Drogolin" w:hint="cs"/>
          <w:rtl/>
          <w:lang w:bidi="he-IL"/>
        </w:rPr>
        <w:t>פי</w:t>
      </w:r>
      <w:r w:rsidR="00D4383F" w:rsidRPr="00882F11">
        <w:rPr>
          <w:rFonts w:cs="Guttman Drogolin"/>
          <w:rtl/>
          <w:lang w:bidi="he-IL"/>
        </w:rPr>
        <w:t xml:space="preserve"> </w:t>
      </w:r>
      <w:r w:rsidR="00D4383F" w:rsidRPr="00882F11">
        <w:rPr>
          <w:rFonts w:cs="Guttman Drogolin" w:hint="cs"/>
          <w:rtl/>
          <w:lang w:bidi="he-IL"/>
        </w:rPr>
        <w:t>מה</w:t>
      </w:r>
      <w:r w:rsidR="00D4383F" w:rsidRPr="00882F11">
        <w:rPr>
          <w:rFonts w:cs="Guttman Drogolin"/>
          <w:rtl/>
          <w:lang w:bidi="he-IL"/>
        </w:rPr>
        <w:t xml:space="preserve"> </w:t>
      </w:r>
      <w:r w:rsidR="00D4383F" w:rsidRPr="00882F11">
        <w:rPr>
          <w:rFonts w:cs="Guttman Drogolin" w:hint="cs"/>
          <w:rtl/>
          <w:lang w:bidi="he-IL"/>
        </w:rPr>
        <w:t>שמצא</w:t>
      </w:r>
      <w:r w:rsidR="00D4383F" w:rsidRPr="00882F11">
        <w:rPr>
          <w:rFonts w:cs="Guttman Drogolin"/>
          <w:rtl/>
          <w:lang w:bidi="he-IL"/>
        </w:rPr>
        <w:t xml:space="preserve"> </w:t>
      </w:r>
      <w:r w:rsidR="00D4383F" w:rsidRPr="00882F11">
        <w:rPr>
          <w:rFonts w:cs="Guttman Drogolin" w:hint="cs"/>
          <w:rtl/>
          <w:lang w:bidi="he-IL"/>
        </w:rPr>
        <w:t>בהרי</w:t>
      </w:r>
      <w:r w:rsidR="00D4383F" w:rsidRPr="00882F11">
        <w:rPr>
          <w:rFonts w:cs="Guttman Drogolin"/>
          <w:rtl/>
          <w:lang w:bidi="he-IL"/>
        </w:rPr>
        <w:t>"</w:t>
      </w:r>
      <w:r w:rsidR="00D4383F" w:rsidRPr="00882F11">
        <w:rPr>
          <w:rFonts w:cs="Guttman Drogolin" w:hint="cs"/>
          <w:rtl/>
          <w:lang w:bidi="he-IL"/>
        </w:rPr>
        <w:t>ף</w:t>
      </w:r>
      <w:r w:rsidR="00D4383F" w:rsidRPr="00882F11">
        <w:rPr>
          <w:rFonts w:cs="Guttman Drogolin"/>
          <w:rtl/>
          <w:lang w:bidi="he-IL"/>
        </w:rPr>
        <w:t xml:space="preserve"> </w:t>
      </w:r>
      <w:r w:rsidR="00D4383F" w:rsidRPr="00882F11">
        <w:rPr>
          <w:rFonts w:cs="Guttman Drogolin" w:hint="cs"/>
          <w:rtl/>
          <w:lang w:bidi="he-IL"/>
        </w:rPr>
        <w:t>שכתב</w:t>
      </w:r>
      <w:r w:rsidR="00D4383F" w:rsidRPr="00882F11">
        <w:rPr>
          <w:rFonts w:cs="Guttman Drogolin"/>
          <w:rtl/>
          <w:lang w:bidi="he-IL"/>
        </w:rPr>
        <w:t xml:space="preserve"> </w:t>
      </w:r>
      <w:r w:rsidR="00D4383F" w:rsidRPr="00882F11">
        <w:rPr>
          <w:rFonts w:cs="Guttman Drogolin" w:hint="cs"/>
          <w:rtl/>
          <w:lang w:bidi="he-IL"/>
        </w:rPr>
        <w:t>כך</w:t>
      </w:r>
      <w:r w:rsidR="00D4383F" w:rsidRPr="00882F11">
        <w:rPr>
          <w:rFonts w:cs="Guttman Drogolin"/>
          <w:rtl/>
          <w:lang w:bidi="he-IL"/>
        </w:rPr>
        <w:t xml:space="preserve"> </w:t>
      </w:r>
      <w:r w:rsidR="00D4383F" w:rsidRPr="00882F11">
        <w:rPr>
          <w:rFonts w:cs="Guttman Drogolin" w:hint="cs"/>
          <w:rtl/>
          <w:lang w:bidi="he-IL"/>
        </w:rPr>
        <w:t>אשת</w:t>
      </w:r>
      <w:r w:rsidR="00D4383F" w:rsidRPr="00882F11">
        <w:rPr>
          <w:rFonts w:cs="Guttman Drogolin"/>
          <w:rtl/>
          <w:lang w:bidi="he-IL"/>
        </w:rPr>
        <w:t xml:space="preserve"> </w:t>
      </w:r>
      <w:r w:rsidR="00D4383F" w:rsidRPr="00882F11">
        <w:rPr>
          <w:rFonts w:cs="Guttman Drogolin" w:hint="cs"/>
          <w:rtl/>
          <w:lang w:bidi="he-IL"/>
        </w:rPr>
        <w:t>חמיו</w:t>
      </w:r>
      <w:r w:rsidR="00D4383F" w:rsidRPr="00882F11">
        <w:rPr>
          <w:rFonts w:cs="Guttman Drogolin"/>
          <w:rtl/>
          <w:lang w:bidi="he-IL"/>
        </w:rPr>
        <w:t xml:space="preserve"> </w:t>
      </w:r>
      <w:r w:rsidR="00D4383F" w:rsidRPr="00882F11">
        <w:rPr>
          <w:rFonts w:cs="Guttman Drogolin" w:hint="cs"/>
          <w:rtl/>
          <w:lang w:bidi="he-IL"/>
        </w:rPr>
        <w:t>מותרת</w:t>
      </w:r>
      <w:r w:rsidR="00D4383F" w:rsidRPr="00882F11">
        <w:rPr>
          <w:rFonts w:cs="Guttman Drogolin"/>
          <w:rtl/>
          <w:lang w:bidi="he-IL"/>
        </w:rPr>
        <w:t xml:space="preserve"> </w:t>
      </w:r>
      <w:r w:rsidR="00D4383F" w:rsidRPr="00882F11">
        <w:rPr>
          <w:rFonts w:cs="Guttman Drogolin" w:hint="cs"/>
          <w:rtl/>
          <w:lang w:bidi="he-IL"/>
        </w:rPr>
        <w:t>לו</w:t>
      </w:r>
      <w:r w:rsidR="00D4383F" w:rsidRPr="00882F11">
        <w:rPr>
          <w:rFonts w:cs="Guttman Drogolin"/>
          <w:rtl/>
          <w:lang w:bidi="he-IL"/>
        </w:rPr>
        <w:t xml:space="preserve"> </w:t>
      </w:r>
      <w:r w:rsidR="00D4383F" w:rsidRPr="00882F11">
        <w:rPr>
          <w:rFonts w:cs="Guttman Drogolin" w:hint="cs"/>
          <w:rtl/>
          <w:lang w:bidi="he-IL"/>
        </w:rPr>
        <w:t>ולא</w:t>
      </w:r>
      <w:r w:rsidR="00D4383F" w:rsidRPr="00882F11">
        <w:rPr>
          <w:rFonts w:cs="Guttman Drogolin"/>
          <w:rtl/>
          <w:lang w:bidi="he-IL"/>
        </w:rPr>
        <w:t xml:space="preserve"> </w:t>
      </w:r>
      <w:r w:rsidR="00D4383F" w:rsidRPr="00882F11">
        <w:rPr>
          <w:rFonts w:cs="Guttman Drogolin" w:hint="cs"/>
          <w:rtl/>
          <w:lang w:bidi="he-IL"/>
        </w:rPr>
        <w:t>מצא</w:t>
      </w:r>
      <w:r w:rsidR="00D4383F" w:rsidRPr="00882F11">
        <w:rPr>
          <w:rFonts w:cs="Guttman Drogolin"/>
          <w:rtl/>
          <w:lang w:bidi="he-IL"/>
        </w:rPr>
        <w:t xml:space="preserve"> </w:t>
      </w:r>
      <w:r w:rsidR="00D4383F" w:rsidRPr="00882F11">
        <w:rPr>
          <w:rFonts w:cs="Guttman Drogolin" w:hint="cs"/>
          <w:rtl/>
          <w:lang w:bidi="he-IL"/>
        </w:rPr>
        <w:t>ידיו</w:t>
      </w:r>
      <w:r w:rsidR="00D4383F" w:rsidRPr="00882F11">
        <w:rPr>
          <w:rFonts w:cs="Guttman Drogolin"/>
          <w:rtl/>
          <w:lang w:bidi="he-IL"/>
        </w:rPr>
        <w:t xml:space="preserve"> </w:t>
      </w:r>
      <w:r w:rsidR="00D4383F" w:rsidRPr="00882F11">
        <w:rPr>
          <w:rFonts w:cs="Guttman Drogolin" w:hint="cs"/>
          <w:rtl/>
          <w:lang w:bidi="he-IL"/>
        </w:rPr>
        <w:t>ורגליו</w:t>
      </w:r>
      <w:r w:rsidR="00D4383F" w:rsidRPr="00882F11">
        <w:rPr>
          <w:rFonts w:cs="Guttman Drogolin"/>
          <w:rtl/>
          <w:lang w:bidi="he-IL"/>
        </w:rPr>
        <w:t xml:space="preserve"> </w:t>
      </w:r>
      <w:r w:rsidR="00D4383F" w:rsidRPr="00882F11">
        <w:rPr>
          <w:rFonts w:cs="Guttman Drogolin" w:hint="cs"/>
          <w:rtl/>
          <w:lang w:bidi="he-IL"/>
        </w:rPr>
        <w:t>לעיין</w:t>
      </w:r>
      <w:r w:rsidR="00D4383F" w:rsidRPr="00882F11">
        <w:rPr>
          <w:rFonts w:cs="Guttman Drogolin"/>
          <w:rtl/>
          <w:lang w:bidi="he-IL"/>
        </w:rPr>
        <w:t xml:space="preserve"> </w:t>
      </w:r>
      <w:r w:rsidR="00D4383F" w:rsidRPr="00882F11">
        <w:rPr>
          <w:rFonts w:cs="Guttman Drogolin" w:hint="cs"/>
          <w:rtl/>
          <w:lang w:bidi="he-IL"/>
        </w:rPr>
        <w:t>בנ</w:t>
      </w:r>
      <w:r w:rsidR="00D4383F" w:rsidRPr="00882F11">
        <w:rPr>
          <w:rFonts w:cs="Guttman Drogolin"/>
          <w:rtl/>
          <w:lang w:bidi="he-IL"/>
        </w:rPr>
        <w:t>"</w:t>
      </w:r>
      <w:r w:rsidR="00D4383F" w:rsidRPr="00882F11">
        <w:rPr>
          <w:rFonts w:cs="Guttman Drogolin" w:hint="cs"/>
          <w:rtl/>
          <w:lang w:bidi="he-IL"/>
        </w:rPr>
        <w:t>י</w:t>
      </w:r>
      <w:r w:rsidR="00D4383F" w:rsidRPr="00882F11">
        <w:rPr>
          <w:rFonts w:cs="Guttman Drogolin"/>
          <w:rtl/>
          <w:lang w:bidi="he-IL"/>
        </w:rPr>
        <w:t xml:space="preserve"> </w:t>
      </w:r>
      <w:r w:rsidR="00D4383F" w:rsidRPr="00882F11">
        <w:rPr>
          <w:rFonts w:cs="Guttman Drogolin" w:hint="cs"/>
          <w:rtl/>
          <w:lang w:bidi="he-IL"/>
        </w:rPr>
        <w:t>ובמרדכי</w:t>
      </w:r>
      <w:r w:rsidR="00D4383F" w:rsidRPr="00882F11">
        <w:rPr>
          <w:rFonts w:cs="Guttman Drogolin"/>
          <w:rtl/>
          <w:lang w:bidi="he-IL"/>
        </w:rPr>
        <w:t xml:space="preserve"> </w:t>
      </w:r>
      <w:r w:rsidR="00D4383F" w:rsidRPr="00882F11">
        <w:rPr>
          <w:rFonts w:cs="Guttman Drogolin" w:hint="cs"/>
          <w:rtl/>
          <w:lang w:bidi="he-IL"/>
        </w:rPr>
        <w:t>שהם</w:t>
      </w:r>
      <w:r w:rsidR="00D4383F" w:rsidRPr="00882F11">
        <w:rPr>
          <w:rFonts w:cs="Guttman Drogolin"/>
          <w:rtl/>
          <w:lang w:bidi="he-IL"/>
        </w:rPr>
        <w:t xml:space="preserve"> </w:t>
      </w:r>
      <w:r w:rsidR="00D4383F" w:rsidRPr="00882F11">
        <w:rPr>
          <w:rFonts w:cs="Guttman Drogolin" w:hint="cs"/>
          <w:rtl/>
          <w:lang w:bidi="he-IL"/>
        </w:rPr>
        <w:t>שכינים</w:t>
      </w:r>
      <w:r w:rsidR="00D4383F" w:rsidRPr="00882F11">
        <w:rPr>
          <w:rFonts w:cs="Guttman Drogolin"/>
          <w:rtl/>
          <w:lang w:bidi="he-IL"/>
        </w:rPr>
        <w:t xml:space="preserve"> </w:t>
      </w:r>
      <w:r w:rsidR="00D4383F" w:rsidRPr="00882F11">
        <w:rPr>
          <w:rFonts w:cs="Guttman Drogolin" w:hint="cs"/>
          <w:rtl/>
          <w:lang w:bidi="he-IL"/>
        </w:rPr>
        <w:t>להרי</w:t>
      </w:r>
      <w:r w:rsidR="00D4383F" w:rsidRPr="00882F11">
        <w:rPr>
          <w:rFonts w:cs="Guttman Drogolin"/>
          <w:rtl/>
          <w:lang w:bidi="he-IL"/>
        </w:rPr>
        <w:t>"</w:t>
      </w:r>
      <w:r w:rsidR="00D4383F" w:rsidRPr="00882F11">
        <w:rPr>
          <w:rFonts w:cs="Guttman Drogolin" w:hint="cs"/>
          <w:rtl/>
          <w:lang w:bidi="he-IL"/>
        </w:rPr>
        <w:t>ף</w:t>
      </w:r>
      <w:r w:rsidR="00D4383F" w:rsidRPr="00882F11">
        <w:rPr>
          <w:rFonts w:cs="Guttman Drogolin"/>
          <w:rtl/>
          <w:lang w:bidi="he-IL"/>
        </w:rPr>
        <w:t xml:space="preserve"> </w:t>
      </w:r>
      <w:r w:rsidR="00D4383F" w:rsidRPr="00882F11">
        <w:rPr>
          <w:rFonts w:cs="Guttman Drogolin" w:hint="cs"/>
          <w:rtl/>
          <w:lang w:bidi="he-IL"/>
        </w:rPr>
        <w:t>ולו</w:t>
      </w:r>
      <w:r w:rsidR="00D4383F" w:rsidRPr="00882F11">
        <w:rPr>
          <w:rFonts w:cs="Guttman Drogolin"/>
          <w:rtl/>
          <w:lang w:bidi="he-IL"/>
        </w:rPr>
        <w:t xml:space="preserve"> </w:t>
      </w:r>
      <w:r w:rsidR="00D4383F" w:rsidRPr="00882F11">
        <w:rPr>
          <w:rFonts w:cs="Guttman Drogolin" w:hint="cs"/>
          <w:rtl/>
          <w:lang w:bidi="he-IL"/>
        </w:rPr>
        <w:t>היה</w:t>
      </w:r>
      <w:r w:rsidR="00D4383F" w:rsidRPr="00882F11">
        <w:rPr>
          <w:rFonts w:cs="Guttman Drogolin"/>
          <w:rtl/>
          <w:lang w:bidi="he-IL"/>
        </w:rPr>
        <w:t xml:space="preserve"> </w:t>
      </w:r>
      <w:r w:rsidR="00D4383F" w:rsidRPr="00882F11">
        <w:rPr>
          <w:rFonts w:cs="Guttman Drogolin" w:hint="cs"/>
          <w:rtl/>
          <w:lang w:bidi="he-IL"/>
        </w:rPr>
        <w:t>מעיין</w:t>
      </w:r>
      <w:r w:rsidR="00D4383F" w:rsidRPr="00882F11">
        <w:rPr>
          <w:rFonts w:cs="Guttman Drogolin"/>
          <w:rtl/>
          <w:lang w:bidi="he-IL"/>
        </w:rPr>
        <w:t xml:space="preserve"> </w:t>
      </w:r>
      <w:r w:rsidR="00D4383F" w:rsidRPr="00882F11">
        <w:rPr>
          <w:rFonts w:cs="Guttman Drogolin" w:hint="cs"/>
          <w:rtl/>
          <w:lang w:bidi="he-IL"/>
        </w:rPr>
        <w:t>בדבריהם</w:t>
      </w:r>
      <w:r w:rsidR="00D4383F" w:rsidRPr="00882F11">
        <w:rPr>
          <w:rFonts w:cs="Guttman Drogolin"/>
          <w:rtl/>
          <w:lang w:bidi="he-IL"/>
        </w:rPr>
        <w:t xml:space="preserve"> </w:t>
      </w:r>
      <w:r w:rsidR="00D4383F" w:rsidRPr="00882F11">
        <w:rPr>
          <w:rFonts w:cs="Guttman Drogolin" w:hint="cs"/>
          <w:rtl/>
          <w:lang w:bidi="he-IL"/>
        </w:rPr>
        <w:t>היה</w:t>
      </w:r>
      <w:r w:rsidR="00D4383F" w:rsidRPr="00882F11">
        <w:rPr>
          <w:rFonts w:cs="Guttman Drogolin"/>
          <w:rtl/>
          <w:lang w:bidi="he-IL"/>
        </w:rPr>
        <w:t xml:space="preserve"> </w:t>
      </w:r>
      <w:r w:rsidR="00D4383F" w:rsidRPr="00882F11">
        <w:rPr>
          <w:rFonts w:cs="Guttman Drogolin" w:hint="cs"/>
          <w:rtl/>
          <w:lang w:bidi="he-IL"/>
        </w:rPr>
        <w:t>מוצא</w:t>
      </w:r>
      <w:r w:rsidR="00D4383F" w:rsidRPr="00882F11">
        <w:rPr>
          <w:rFonts w:cs="Guttman Drogolin"/>
          <w:rtl/>
          <w:lang w:bidi="he-IL"/>
        </w:rPr>
        <w:t xml:space="preserve"> </w:t>
      </w:r>
      <w:r w:rsidR="00D4383F" w:rsidRPr="00882F11">
        <w:rPr>
          <w:rFonts w:cs="Guttman Drogolin" w:hint="cs"/>
          <w:rtl/>
          <w:lang w:bidi="he-IL"/>
        </w:rPr>
        <w:t>דעת</w:t>
      </w:r>
      <w:r w:rsidR="00D4383F" w:rsidRPr="00882F11">
        <w:rPr>
          <w:rFonts w:cs="Guttman Drogolin"/>
          <w:rtl/>
          <w:lang w:bidi="he-IL"/>
        </w:rPr>
        <w:t xml:space="preserve"> </w:t>
      </w:r>
      <w:r w:rsidR="00D4383F" w:rsidRPr="00882F11">
        <w:rPr>
          <w:rFonts w:cs="Guttman Drogolin" w:hint="cs"/>
          <w:rtl/>
          <w:lang w:bidi="he-IL"/>
        </w:rPr>
        <w:t>החולקים</w:t>
      </w:r>
      <w:r w:rsidR="00D4383F" w:rsidRPr="00882F11">
        <w:rPr>
          <w:rFonts w:cs="Guttman Drogolin"/>
          <w:rtl/>
          <w:lang w:bidi="he-IL"/>
        </w:rPr>
        <w:t xml:space="preserve"> </w:t>
      </w:r>
      <w:r w:rsidR="00D4383F" w:rsidRPr="00882F11">
        <w:rPr>
          <w:rFonts w:cs="Guttman Drogolin" w:hint="cs"/>
          <w:rtl/>
          <w:lang w:bidi="he-IL"/>
        </w:rPr>
        <w:t>ומכל</w:t>
      </w:r>
      <w:r w:rsidR="00D4383F" w:rsidRPr="00882F11">
        <w:rPr>
          <w:rFonts w:cs="Guttman Drogolin"/>
          <w:rtl/>
          <w:lang w:bidi="he-IL"/>
        </w:rPr>
        <w:t xml:space="preserve"> </w:t>
      </w:r>
      <w:r w:rsidR="00D4383F" w:rsidRPr="00882F11">
        <w:rPr>
          <w:rFonts w:cs="Guttman Drogolin" w:hint="cs"/>
          <w:rtl/>
          <w:lang w:bidi="he-IL"/>
        </w:rPr>
        <w:t>שכן</w:t>
      </w:r>
      <w:r w:rsidR="00D4383F" w:rsidRPr="00882F11">
        <w:rPr>
          <w:rFonts w:cs="Guttman Drogolin"/>
          <w:rtl/>
          <w:lang w:bidi="he-IL"/>
        </w:rPr>
        <w:t xml:space="preserve"> </w:t>
      </w:r>
      <w:r w:rsidR="00D4383F" w:rsidRPr="00882F11">
        <w:rPr>
          <w:rFonts w:cs="Guttman Drogolin" w:hint="cs"/>
          <w:rtl/>
          <w:lang w:bidi="he-IL"/>
        </w:rPr>
        <w:t>שהיה</w:t>
      </w:r>
      <w:r w:rsidR="00D4383F" w:rsidRPr="00882F11">
        <w:rPr>
          <w:rFonts w:cs="Guttman Drogolin"/>
          <w:rtl/>
          <w:lang w:bidi="he-IL"/>
        </w:rPr>
        <w:t xml:space="preserve"> </w:t>
      </w:r>
      <w:r w:rsidR="00D4383F" w:rsidRPr="00882F11">
        <w:rPr>
          <w:rFonts w:cs="Guttman Drogolin" w:hint="cs"/>
          <w:rtl/>
          <w:lang w:bidi="he-IL"/>
        </w:rPr>
        <w:t>לו</w:t>
      </w:r>
      <w:r w:rsidR="00D4383F" w:rsidRPr="00882F11">
        <w:rPr>
          <w:rFonts w:cs="Guttman Drogolin"/>
          <w:rtl/>
          <w:lang w:bidi="he-IL"/>
        </w:rPr>
        <w:t xml:space="preserve"> </w:t>
      </w:r>
      <w:r w:rsidR="00D4383F" w:rsidRPr="00882F11">
        <w:rPr>
          <w:rFonts w:cs="Guttman Drogolin" w:hint="cs"/>
          <w:rtl/>
          <w:lang w:bidi="he-IL"/>
        </w:rPr>
        <w:t>לעיין</w:t>
      </w:r>
      <w:r w:rsidR="00D4383F" w:rsidRPr="00882F11">
        <w:rPr>
          <w:rFonts w:cs="Guttman Drogolin"/>
          <w:rtl/>
          <w:lang w:bidi="he-IL"/>
        </w:rPr>
        <w:t xml:space="preserve"> </w:t>
      </w:r>
      <w:r w:rsidR="00D4383F" w:rsidRPr="00882F11">
        <w:rPr>
          <w:rFonts w:cs="Guttman Drogolin" w:hint="cs"/>
          <w:rtl/>
          <w:lang w:bidi="he-IL"/>
        </w:rPr>
        <w:t>בטור</w:t>
      </w:r>
      <w:r w:rsidR="00D4383F" w:rsidRPr="00882F11">
        <w:rPr>
          <w:rFonts w:cs="Guttman Drogolin"/>
          <w:rtl/>
          <w:lang w:bidi="he-IL"/>
        </w:rPr>
        <w:t xml:space="preserve"> </w:t>
      </w:r>
      <w:r w:rsidR="00D4383F" w:rsidRPr="00882F11">
        <w:rPr>
          <w:rFonts w:cs="Guttman Drogolin" w:hint="cs"/>
          <w:rtl/>
          <w:lang w:bidi="he-IL"/>
        </w:rPr>
        <w:t>וב</w:t>
      </w:r>
      <w:r w:rsidR="00D4383F" w:rsidRPr="00882F11">
        <w:rPr>
          <w:rFonts w:cs="Guttman Drogolin"/>
          <w:rtl/>
          <w:lang w:bidi="he-IL"/>
        </w:rPr>
        <w:t>"</w:t>
      </w:r>
      <w:r w:rsidR="00D4383F" w:rsidRPr="00882F11">
        <w:rPr>
          <w:rFonts w:cs="Guttman Drogolin" w:hint="cs"/>
          <w:rtl/>
          <w:lang w:bidi="he-IL"/>
        </w:rPr>
        <w:t>י</w:t>
      </w:r>
      <w:r w:rsidR="00D4383F" w:rsidRPr="00882F11">
        <w:rPr>
          <w:rFonts w:cs="Guttman Drogolin"/>
          <w:rtl/>
          <w:lang w:bidi="he-IL"/>
        </w:rPr>
        <w:t xml:space="preserve"> </w:t>
      </w:r>
      <w:r w:rsidR="00D4383F" w:rsidRPr="00882F11">
        <w:rPr>
          <w:rFonts w:cs="Guttman Drogolin" w:hint="cs"/>
          <w:rtl/>
          <w:lang w:bidi="he-IL"/>
        </w:rPr>
        <w:t>שהם</w:t>
      </w:r>
      <w:r w:rsidR="00D4383F" w:rsidRPr="00882F11">
        <w:rPr>
          <w:rFonts w:cs="Guttman Drogolin"/>
          <w:rtl/>
          <w:lang w:bidi="he-IL"/>
        </w:rPr>
        <w:t xml:space="preserve"> </w:t>
      </w:r>
      <w:r w:rsidR="00D4383F" w:rsidRPr="00882F11">
        <w:rPr>
          <w:rFonts w:cs="Guttman Drogolin" w:hint="cs"/>
          <w:rtl/>
          <w:lang w:bidi="he-IL"/>
        </w:rPr>
        <w:t>מקבצים</w:t>
      </w:r>
      <w:r w:rsidR="00D4383F" w:rsidRPr="00882F11">
        <w:rPr>
          <w:rFonts w:cs="Guttman Drogolin"/>
          <w:rtl/>
          <w:lang w:bidi="he-IL"/>
        </w:rPr>
        <w:t xml:space="preserve"> </w:t>
      </w:r>
      <w:r w:rsidR="00D4383F" w:rsidRPr="00882F11">
        <w:rPr>
          <w:rFonts w:cs="Guttman Drogolin" w:hint="cs"/>
          <w:rtl/>
          <w:lang w:bidi="he-IL"/>
        </w:rPr>
        <w:t>כל</w:t>
      </w:r>
      <w:r w:rsidR="00D4383F" w:rsidRPr="00882F11">
        <w:rPr>
          <w:rFonts w:cs="Guttman Drogolin"/>
          <w:rtl/>
          <w:lang w:bidi="he-IL"/>
        </w:rPr>
        <w:t xml:space="preserve"> </w:t>
      </w:r>
      <w:r w:rsidR="00D4383F" w:rsidRPr="00882F11">
        <w:rPr>
          <w:rFonts w:cs="Guttman Drogolin" w:hint="cs"/>
          <w:rtl/>
          <w:lang w:bidi="he-IL"/>
        </w:rPr>
        <w:t>הדעות</w:t>
      </w:r>
      <w:r w:rsidR="00D4383F" w:rsidRPr="00882F11">
        <w:rPr>
          <w:rFonts w:cs="Guttman Drogolin"/>
          <w:rtl/>
          <w:lang w:bidi="he-IL"/>
        </w:rPr>
        <w:t xml:space="preserve"> </w:t>
      </w:r>
      <w:r w:rsidR="00D4383F" w:rsidRPr="00882F11">
        <w:rPr>
          <w:rFonts w:cs="Guttman Drogolin" w:hint="cs"/>
          <w:rtl/>
          <w:lang w:bidi="he-IL"/>
        </w:rPr>
        <w:t>והרי</w:t>
      </w:r>
      <w:r w:rsidR="00D4383F" w:rsidRPr="00882F11">
        <w:rPr>
          <w:rFonts w:cs="Guttman Drogolin"/>
          <w:rtl/>
          <w:lang w:bidi="he-IL"/>
        </w:rPr>
        <w:t xml:space="preserve"> </w:t>
      </w:r>
      <w:r w:rsidR="00D4383F" w:rsidRPr="00882F11">
        <w:rPr>
          <w:rFonts w:cs="Guttman Drogolin" w:hint="cs"/>
          <w:rtl/>
          <w:lang w:bidi="he-IL"/>
        </w:rPr>
        <w:t>זה</w:t>
      </w:r>
      <w:r w:rsidR="00D4383F" w:rsidRPr="00882F11">
        <w:rPr>
          <w:rFonts w:cs="Guttman Drogolin"/>
          <w:rtl/>
          <w:lang w:bidi="he-IL"/>
        </w:rPr>
        <w:t xml:space="preserve"> </w:t>
      </w:r>
      <w:r w:rsidR="00D4383F" w:rsidRPr="00882F11">
        <w:rPr>
          <w:rFonts w:cs="Guttman Drogolin" w:hint="cs"/>
          <w:rtl/>
          <w:lang w:bidi="he-IL"/>
        </w:rPr>
        <w:t>בכלל</w:t>
      </w:r>
      <w:r w:rsidR="00D4383F" w:rsidRPr="00882F11">
        <w:rPr>
          <w:rFonts w:cs="Guttman Drogolin"/>
          <w:rtl/>
          <w:lang w:bidi="he-IL"/>
        </w:rPr>
        <w:t xml:space="preserve"> </w:t>
      </w:r>
      <w:r w:rsidR="00D4383F" w:rsidRPr="00882F11">
        <w:rPr>
          <w:rFonts w:cs="Guttman Drogolin" w:hint="cs"/>
          <w:rtl/>
          <w:lang w:bidi="he-IL"/>
        </w:rPr>
        <w:t>מה</w:t>
      </w:r>
      <w:r w:rsidR="00D4383F" w:rsidRPr="00882F11">
        <w:rPr>
          <w:rFonts w:cs="Guttman Drogolin"/>
          <w:rtl/>
          <w:lang w:bidi="he-IL"/>
        </w:rPr>
        <w:t xml:space="preserve"> </w:t>
      </w:r>
      <w:r w:rsidR="00D4383F" w:rsidRPr="00882F11">
        <w:rPr>
          <w:rFonts w:cs="Guttman Drogolin" w:hint="cs"/>
          <w:rtl/>
          <w:lang w:bidi="he-IL"/>
        </w:rPr>
        <w:t>שאמרו</w:t>
      </w:r>
      <w:r w:rsidR="00D4383F" w:rsidRPr="00882F11">
        <w:rPr>
          <w:rFonts w:cs="Guttman Drogolin"/>
          <w:rtl/>
          <w:lang w:bidi="he-IL"/>
        </w:rPr>
        <w:t xml:space="preserve"> </w:t>
      </w:r>
      <w:r w:rsidR="00D4383F" w:rsidRPr="00882F11">
        <w:rPr>
          <w:rFonts w:cs="Guttman Drogolin" w:hint="cs"/>
          <w:rtl/>
          <w:lang w:bidi="he-IL"/>
        </w:rPr>
        <w:t>כל</w:t>
      </w:r>
      <w:r w:rsidR="00D4383F" w:rsidRPr="00882F11">
        <w:rPr>
          <w:rFonts w:cs="Guttman Drogolin"/>
          <w:rtl/>
          <w:lang w:bidi="he-IL"/>
        </w:rPr>
        <w:t xml:space="preserve"> </w:t>
      </w:r>
      <w:r w:rsidR="00D4383F" w:rsidRPr="00882F11">
        <w:rPr>
          <w:rFonts w:cs="Guttman Drogolin" w:hint="cs"/>
          <w:rtl/>
          <w:lang w:bidi="he-IL"/>
        </w:rPr>
        <w:t>מי</w:t>
      </w:r>
      <w:r w:rsidR="00D4383F" w:rsidRPr="00882F11">
        <w:rPr>
          <w:rFonts w:cs="Guttman Drogolin"/>
          <w:rtl/>
          <w:lang w:bidi="he-IL"/>
        </w:rPr>
        <w:t xml:space="preserve"> </w:t>
      </w:r>
      <w:r w:rsidR="00D4383F" w:rsidRPr="00882F11">
        <w:rPr>
          <w:rFonts w:cs="Guttman Drogolin" w:hint="cs"/>
          <w:rtl/>
          <w:lang w:bidi="he-IL"/>
        </w:rPr>
        <w:t>שאינו</w:t>
      </w:r>
      <w:r w:rsidR="00D4383F" w:rsidRPr="00882F11">
        <w:rPr>
          <w:rFonts w:cs="Guttman Drogolin"/>
          <w:rtl/>
          <w:lang w:bidi="he-IL"/>
        </w:rPr>
        <w:t xml:space="preserve"> </w:t>
      </w:r>
      <w:r w:rsidR="00D4383F" w:rsidRPr="00882F11">
        <w:rPr>
          <w:rFonts w:cs="Guttman Drogolin" w:hint="cs"/>
          <w:rtl/>
          <w:lang w:bidi="he-IL"/>
        </w:rPr>
        <w:t>יודע</w:t>
      </w:r>
      <w:r w:rsidR="00D4383F" w:rsidRPr="00882F11">
        <w:rPr>
          <w:rFonts w:cs="Guttman Drogolin"/>
          <w:rtl/>
          <w:lang w:bidi="he-IL"/>
        </w:rPr>
        <w:t xml:space="preserve"> </w:t>
      </w:r>
      <w:r w:rsidR="00D4383F" w:rsidRPr="00882F11">
        <w:rPr>
          <w:rFonts w:cs="Guttman Drogolin" w:hint="cs"/>
          <w:rtl/>
          <w:lang w:bidi="he-IL"/>
        </w:rPr>
        <w:t>בטיב</w:t>
      </w:r>
      <w:r w:rsidR="00D4383F" w:rsidRPr="00882F11">
        <w:rPr>
          <w:rFonts w:cs="Guttman Drogolin"/>
          <w:rtl/>
          <w:lang w:bidi="he-IL"/>
        </w:rPr>
        <w:t xml:space="preserve"> </w:t>
      </w:r>
      <w:r w:rsidR="00D4383F" w:rsidRPr="00882F11">
        <w:rPr>
          <w:rFonts w:cs="Guttman Drogolin" w:hint="cs"/>
          <w:rtl/>
          <w:lang w:bidi="he-IL"/>
        </w:rPr>
        <w:t>גיטין</w:t>
      </w:r>
      <w:r w:rsidR="00D4383F" w:rsidRPr="00882F11">
        <w:rPr>
          <w:rFonts w:cs="Guttman Drogolin"/>
          <w:rtl/>
          <w:lang w:bidi="he-IL"/>
        </w:rPr>
        <w:t xml:space="preserve"> </w:t>
      </w:r>
      <w:r w:rsidR="00D4383F" w:rsidRPr="00882F11">
        <w:rPr>
          <w:rFonts w:cs="Guttman Drogolin" w:hint="cs"/>
          <w:rtl/>
          <w:lang w:bidi="he-IL"/>
        </w:rPr>
        <w:t>וקדושין</w:t>
      </w:r>
      <w:r w:rsidR="00D4383F" w:rsidRPr="00882F11">
        <w:rPr>
          <w:rFonts w:cs="Guttman Drogolin"/>
          <w:rtl/>
          <w:lang w:bidi="he-IL"/>
        </w:rPr>
        <w:t xml:space="preserve"> </w:t>
      </w:r>
      <w:r w:rsidR="00D4383F" w:rsidRPr="00882F11">
        <w:rPr>
          <w:rFonts w:cs="Guttman Drogolin" w:hint="cs"/>
          <w:rtl/>
          <w:lang w:bidi="he-IL"/>
        </w:rPr>
        <w:t>וכו</w:t>
      </w:r>
      <w:r w:rsidR="00D4383F" w:rsidRPr="00882F11">
        <w:rPr>
          <w:rFonts w:cs="Guttman Drogolin"/>
          <w:rtl/>
          <w:lang w:bidi="he-IL"/>
        </w:rPr>
        <w:t xml:space="preserve">' </w:t>
      </w:r>
      <w:r w:rsidR="00D4383F" w:rsidRPr="00882F11">
        <w:rPr>
          <w:rFonts w:cs="Guttman Drogolin" w:hint="cs"/>
          <w:rtl/>
          <w:lang w:bidi="he-IL"/>
        </w:rPr>
        <w:t>לפי</w:t>
      </w:r>
      <w:r w:rsidR="00D4383F" w:rsidRPr="00882F11">
        <w:rPr>
          <w:rFonts w:cs="Guttman Drogolin"/>
          <w:rtl/>
          <w:lang w:bidi="he-IL"/>
        </w:rPr>
        <w:t xml:space="preserve"> </w:t>
      </w:r>
      <w:r w:rsidR="00D4383F" w:rsidRPr="00882F11">
        <w:rPr>
          <w:rFonts w:cs="Guttman Drogolin" w:hint="cs"/>
          <w:rtl/>
          <w:lang w:bidi="he-IL"/>
        </w:rPr>
        <w:t>זה</w:t>
      </w:r>
      <w:r w:rsidR="00D4383F" w:rsidRPr="00882F11">
        <w:rPr>
          <w:rFonts w:cs="Guttman Drogolin"/>
          <w:rtl/>
          <w:lang w:bidi="he-IL"/>
        </w:rPr>
        <w:t xml:space="preserve"> </w:t>
      </w:r>
      <w:r w:rsidR="00D4383F" w:rsidRPr="00882F11">
        <w:rPr>
          <w:rFonts w:cs="Guttman Drogolin" w:hint="cs"/>
          <w:rtl/>
          <w:lang w:bidi="he-IL"/>
        </w:rPr>
        <w:t>אין</w:t>
      </w:r>
      <w:r w:rsidR="00D4383F" w:rsidRPr="00882F11">
        <w:rPr>
          <w:rFonts w:cs="Guttman Drogolin"/>
          <w:rtl/>
          <w:lang w:bidi="he-IL"/>
        </w:rPr>
        <w:t xml:space="preserve"> </w:t>
      </w:r>
      <w:r w:rsidR="00D4383F" w:rsidRPr="00882F11">
        <w:rPr>
          <w:rFonts w:cs="Guttman Drogolin" w:hint="cs"/>
          <w:rtl/>
          <w:lang w:bidi="he-IL"/>
        </w:rPr>
        <w:t>זה</w:t>
      </w:r>
      <w:r w:rsidR="00D4383F" w:rsidRPr="00882F11">
        <w:rPr>
          <w:rFonts w:cs="Guttman Drogolin"/>
          <w:rtl/>
          <w:lang w:bidi="he-IL"/>
        </w:rPr>
        <w:t xml:space="preserve"> </w:t>
      </w:r>
      <w:r w:rsidR="00D4383F" w:rsidRPr="00882F11">
        <w:rPr>
          <w:rFonts w:cs="Guttman Drogolin" w:hint="cs"/>
          <w:rtl/>
          <w:lang w:bidi="he-IL"/>
        </w:rPr>
        <w:t>מיקרי</w:t>
      </w:r>
      <w:r w:rsidR="00D4383F" w:rsidRPr="00882F11">
        <w:rPr>
          <w:rFonts w:cs="Guttman Drogolin"/>
          <w:rtl/>
          <w:lang w:bidi="he-IL"/>
        </w:rPr>
        <w:t xml:space="preserve"> </w:t>
      </w:r>
      <w:r w:rsidR="00D4383F" w:rsidRPr="00882F11">
        <w:rPr>
          <w:rFonts w:cs="Guttman Drogolin" w:hint="cs"/>
          <w:rtl/>
          <w:lang w:bidi="he-IL"/>
        </w:rPr>
        <w:t>שוגג</w:t>
      </w:r>
      <w:r w:rsidR="00D4383F" w:rsidRPr="00882F11">
        <w:rPr>
          <w:rFonts w:cs="Guttman Drogolin"/>
          <w:rtl/>
          <w:lang w:bidi="he-IL"/>
        </w:rPr>
        <w:t xml:space="preserve"> </w:t>
      </w:r>
      <w:r w:rsidR="00D4383F" w:rsidRPr="00882F11">
        <w:rPr>
          <w:rFonts w:cs="Guttman Drogolin" w:hint="cs"/>
          <w:rtl/>
          <w:lang w:bidi="he-IL"/>
        </w:rPr>
        <w:t>והיה</w:t>
      </w:r>
      <w:r w:rsidR="00D4383F" w:rsidRPr="00882F11">
        <w:rPr>
          <w:rFonts w:cs="Guttman Drogolin"/>
          <w:rtl/>
          <w:lang w:bidi="he-IL"/>
        </w:rPr>
        <w:t xml:space="preserve"> </w:t>
      </w:r>
      <w:r w:rsidR="00D4383F" w:rsidRPr="00882F11">
        <w:rPr>
          <w:rFonts w:cs="Guttman Drogolin" w:hint="cs"/>
          <w:rtl/>
          <w:lang w:bidi="he-IL"/>
        </w:rPr>
        <w:t>לנו</w:t>
      </w:r>
      <w:r w:rsidR="00D4383F" w:rsidRPr="00882F11">
        <w:rPr>
          <w:rFonts w:cs="Guttman Drogolin"/>
          <w:rtl/>
          <w:lang w:bidi="he-IL"/>
        </w:rPr>
        <w:t xml:space="preserve"> </w:t>
      </w:r>
      <w:r w:rsidR="00D4383F" w:rsidRPr="00882F11">
        <w:rPr>
          <w:rFonts w:cs="Guttman Drogolin" w:hint="cs"/>
          <w:rtl/>
          <w:lang w:bidi="he-IL"/>
        </w:rPr>
        <w:t>להחמיר</w:t>
      </w:r>
      <w:r w:rsidR="00D4383F" w:rsidRPr="00882F11">
        <w:rPr>
          <w:rFonts w:cs="Guttman Drogolin"/>
          <w:rtl/>
          <w:lang w:bidi="he-IL"/>
        </w:rPr>
        <w:t xml:space="preserve"> </w:t>
      </w:r>
      <w:r w:rsidR="00D4383F" w:rsidRPr="00882F11">
        <w:rPr>
          <w:rFonts w:cs="Guttman Drogolin" w:hint="cs"/>
          <w:rtl/>
          <w:lang w:bidi="he-IL"/>
        </w:rPr>
        <w:t>עליו</w:t>
      </w:r>
      <w:r w:rsidR="00D4383F" w:rsidRPr="00882F11">
        <w:rPr>
          <w:rFonts w:cs="Guttman Drogolin"/>
          <w:rtl/>
          <w:lang w:bidi="he-IL"/>
        </w:rPr>
        <w:t xml:space="preserve"> </w:t>
      </w:r>
      <w:r w:rsidR="00D4383F" w:rsidRPr="00882F11">
        <w:rPr>
          <w:rFonts w:cs="Guttman Drogolin" w:hint="cs"/>
          <w:rtl/>
          <w:lang w:bidi="he-IL"/>
        </w:rPr>
        <w:t>כך</w:t>
      </w:r>
      <w:r w:rsidR="00D4383F" w:rsidRPr="00882F11">
        <w:rPr>
          <w:rFonts w:cs="Guttman Drogolin"/>
          <w:rtl/>
          <w:lang w:bidi="he-IL"/>
        </w:rPr>
        <w:t xml:space="preserve"> </w:t>
      </w:r>
      <w:r w:rsidR="00D4383F" w:rsidRPr="00882F11">
        <w:rPr>
          <w:rFonts w:cs="Guttman Drogolin" w:hint="cs"/>
          <w:rtl/>
          <w:lang w:bidi="he-IL"/>
        </w:rPr>
        <w:t>נראה</w:t>
      </w:r>
      <w:r w:rsidR="00D4383F" w:rsidRPr="00882F11">
        <w:rPr>
          <w:rFonts w:cs="Guttman Drogolin"/>
          <w:rtl/>
          <w:lang w:bidi="he-IL"/>
        </w:rPr>
        <w:t xml:space="preserve"> </w:t>
      </w:r>
      <w:r w:rsidR="00D4383F" w:rsidRPr="00882F11">
        <w:rPr>
          <w:rFonts w:cs="Guttman Drogolin" w:hint="cs"/>
          <w:rtl/>
          <w:lang w:bidi="he-IL"/>
        </w:rPr>
        <w:t>לכאורה".הרי שהפת"ש דימה מי שסומך על הלמדנים באיסור חמור דעריות לאשה שסמכה אחברתה בדין ביטול איסור לכתחילה. הרי שכל דבר לפי ענינו</w:t>
      </w:r>
      <w:r w:rsidR="007D08DC" w:rsidRPr="00882F11">
        <w:rPr>
          <w:rFonts w:cs="Guttman Drogolin" w:hint="cs"/>
          <w:rtl/>
          <w:lang w:bidi="he-IL"/>
        </w:rPr>
        <w:t>, ויש ליזהר מלשאול מי שאינו מגיע להוראה בדבר פלוני, והכל לפי הענין.</w:t>
      </w:r>
      <w:r w:rsidR="00D4383F" w:rsidRPr="00882F11">
        <w:rPr>
          <w:rFonts w:cs="Guttman Drogolin" w:hint="cs"/>
          <w:rtl/>
          <w:lang w:bidi="he-IL"/>
        </w:rPr>
        <w:t xml:space="preserve"> </w:t>
      </w:r>
      <w:r w:rsidR="00D4383F" w:rsidRPr="00882F11">
        <w:rPr>
          <w:rFonts w:cs="Guttman Drogolin"/>
          <w:lang w:bidi="he-IL"/>
        </w:rPr>
        <w:t xml:space="preserve"> </w:t>
      </w:r>
    </w:p>
    <w:p w:rsidR="00740338" w:rsidRPr="005229E6" w:rsidRDefault="00740338" w:rsidP="00740338">
      <w:pPr>
        <w:keepNext/>
        <w:tabs>
          <w:tab w:val="left" w:pos="3818"/>
          <w:tab w:val="center" w:pos="4680"/>
        </w:tabs>
        <w:bidi/>
        <w:jc w:val="center"/>
        <w:rPr>
          <w:rFonts w:cs="Guttman Drogolin"/>
          <w:b/>
          <w:bCs/>
          <w:sz w:val="48"/>
          <w:szCs w:val="48"/>
          <w:rtl/>
          <w:lang w:bidi="he-IL"/>
        </w:rPr>
      </w:pPr>
      <w:r w:rsidRPr="005229E6">
        <w:rPr>
          <w:rFonts w:cs="Guttman Drogolin" w:hint="cs"/>
          <w:b/>
          <w:bCs/>
          <w:sz w:val="48"/>
          <w:szCs w:val="48"/>
          <w:rtl/>
          <w:lang w:bidi="he-IL"/>
        </w:rPr>
        <w:lastRenderedPageBreak/>
        <w:t>שיעור פ"א</w:t>
      </w:r>
    </w:p>
    <w:p w:rsidR="005229E6" w:rsidRDefault="005229E6" w:rsidP="00B65995">
      <w:pPr>
        <w:pStyle w:val="Heading1"/>
        <w:bidi/>
        <w:spacing w:before="0" w:line="360" w:lineRule="auto"/>
        <w:jc w:val="center"/>
        <w:rPr>
          <w:rFonts w:cs="Guttman Drogolin"/>
          <w:color w:val="auto"/>
          <w:sz w:val="24"/>
          <w:szCs w:val="24"/>
          <w:u w:val="single"/>
          <w:rtl/>
          <w:lang w:bidi="he-IL"/>
        </w:rPr>
        <w:sectPr w:rsidR="005229E6" w:rsidSect="005229E6">
          <w:pgSz w:w="11907" w:h="16839" w:code="9"/>
          <w:pgMar w:top="1440" w:right="1440" w:bottom="1440" w:left="1440" w:header="720" w:footer="720" w:gutter="0"/>
          <w:cols w:space="720"/>
          <w:bidi/>
          <w:docGrid w:linePitch="360"/>
        </w:sectPr>
      </w:pPr>
    </w:p>
    <w:p w:rsidR="00B65995" w:rsidRPr="005229E6" w:rsidRDefault="00B65995" w:rsidP="00B65995">
      <w:pPr>
        <w:pStyle w:val="Heading1"/>
        <w:bidi/>
        <w:spacing w:before="0" w:line="360" w:lineRule="auto"/>
        <w:jc w:val="center"/>
        <w:rPr>
          <w:rFonts w:cs="Guttman Drogolin"/>
          <w:color w:val="auto"/>
          <w:sz w:val="18"/>
          <w:szCs w:val="18"/>
          <w:u w:val="single"/>
          <w:rtl/>
          <w:lang w:bidi="he-IL"/>
        </w:rPr>
      </w:pPr>
      <w:bookmarkStart w:id="327" w:name="_Toc496175578"/>
      <w:r w:rsidRPr="005229E6">
        <w:rPr>
          <w:rFonts w:cs="Guttman Drogolin" w:hint="cs"/>
          <w:color w:val="auto"/>
          <w:sz w:val="18"/>
          <w:szCs w:val="18"/>
          <w:u w:val="single"/>
          <w:rtl/>
          <w:lang w:bidi="he-IL"/>
        </w:rPr>
        <w:lastRenderedPageBreak/>
        <w:t>דברי הט"ז ס"ק י' בשם רש"ל בקנס למי שנתבטל בשבילו</w:t>
      </w:r>
      <w:bookmarkEnd w:id="327"/>
    </w:p>
    <w:p w:rsidR="007308E8" w:rsidRPr="00882F11" w:rsidRDefault="00B0776E" w:rsidP="00B0776E">
      <w:pPr>
        <w:keepNext/>
        <w:tabs>
          <w:tab w:val="left" w:pos="3818"/>
          <w:tab w:val="center" w:pos="4680"/>
        </w:tabs>
        <w:bidi/>
        <w:jc w:val="both"/>
        <w:rPr>
          <w:rFonts w:cs="Guttman Drogolin"/>
          <w:rtl/>
          <w:lang w:bidi="he-IL"/>
        </w:rPr>
      </w:pPr>
      <w:r>
        <w:rPr>
          <w:rFonts w:cs="Guttman Drogolin"/>
          <w:rtl/>
          <w:lang w:bidi="he-IL"/>
        </w:rPr>
        <w:fldChar w:fldCharType="begin"/>
      </w:r>
      <w:r>
        <w:instrText xml:space="preserve"> XE "</w:instrText>
      </w:r>
      <w:r w:rsidRPr="00FA0AA5">
        <w:rPr>
          <w:rFonts w:hint="cs"/>
          <w:rtl/>
          <w:lang w:bidi="he-IL"/>
        </w:rPr>
        <w:instrText>אין מבטלין איסור לכתחילה</w:instrText>
      </w:r>
      <w:r w:rsidRPr="00FA0AA5">
        <w:rPr>
          <w:rtl/>
        </w:rPr>
        <w:instrText>:</w:instrText>
      </w:r>
      <w:r>
        <w:rPr>
          <w:rFonts w:hint="cs"/>
          <w:rtl/>
          <w:lang w:bidi="he-IL"/>
        </w:rPr>
        <w:instrText>קנס למי שהתבטל בעבורו</w:instrText>
      </w:r>
      <w:r>
        <w:instrText xml:space="preserve">" </w:instrText>
      </w:r>
      <w:r>
        <w:rPr>
          <w:rFonts w:cs="Guttman Drogolin"/>
          <w:rtl/>
          <w:lang w:bidi="he-IL"/>
        </w:rPr>
        <w:fldChar w:fldCharType="end"/>
      </w:r>
      <w:r w:rsidR="007308E8" w:rsidRPr="00882F11">
        <w:rPr>
          <w:rFonts w:cs="Guttman Drogolin" w:hint="cs"/>
          <w:rtl/>
          <w:lang w:bidi="he-IL"/>
        </w:rPr>
        <w:t xml:space="preserve">על מש"כ השו"ע שקנסו למי שנתבשל בשבילו </w:t>
      </w:r>
      <w:r w:rsidR="00B65995" w:rsidRPr="00882F11">
        <w:rPr>
          <w:rFonts w:cs="Guttman Drogolin" w:hint="cs"/>
          <w:rtl/>
          <w:lang w:bidi="he-IL"/>
        </w:rPr>
        <w:t xml:space="preserve">כתב הט"ז </w:t>
      </w:r>
      <w:r w:rsidR="007308E8" w:rsidRPr="00882F11">
        <w:rPr>
          <w:rFonts w:cs="Guttman Drogolin" w:hint="cs"/>
          <w:rtl/>
          <w:lang w:bidi="he-IL"/>
        </w:rPr>
        <w:t>(ס"ק י') "פירש</w:t>
      </w:r>
      <w:r w:rsidR="007308E8" w:rsidRPr="00882F11">
        <w:rPr>
          <w:rFonts w:cs="Guttman Drogolin"/>
          <w:rtl/>
          <w:lang w:bidi="he-IL"/>
        </w:rPr>
        <w:t xml:space="preserve"> </w:t>
      </w:r>
      <w:r w:rsidR="007308E8" w:rsidRPr="00882F11">
        <w:rPr>
          <w:rFonts w:cs="Guttman Drogolin" w:hint="cs"/>
          <w:rtl/>
          <w:lang w:bidi="he-IL"/>
        </w:rPr>
        <w:t>רש</w:t>
      </w:r>
      <w:r w:rsidR="007308E8" w:rsidRPr="00882F11">
        <w:rPr>
          <w:rFonts w:cs="Guttman Drogolin"/>
          <w:rtl/>
          <w:lang w:bidi="he-IL"/>
        </w:rPr>
        <w:t>"</w:t>
      </w:r>
      <w:r w:rsidR="007308E8" w:rsidRPr="00882F11">
        <w:rPr>
          <w:rFonts w:cs="Guttman Drogolin" w:hint="cs"/>
          <w:rtl/>
          <w:lang w:bidi="he-IL"/>
        </w:rPr>
        <w:t>ל</w:t>
      </w:r>
      <w:r w:rsidR="007308E8" w:rsidRPr="00882F11">
        <w:rPr>
          <w:rFonts w:cs="Guttman Drogolin"/>
          <w:rtl/>
          <w:lang w:bidi="he-IL"/>
        </w:rPr>
        <w:t xml:space="preserve"> </w:t>
      </w:r>
      <w:r w:rsidR="005467D9" w:rsidRPr="00882F11">
        <w:rPr>
          <w:rFonts w:cs="Guttman Drogolin" w:hint="cs"/>
          <w:rtl/>
          <w:lang w:bidi="he-IL"/>
        </w:rPr>
        <w:t xml:space="preserve">[יש"ש פג"ה אות נ"ט] </w:t>
      </w:r>
      <w:r w:rsidR="007308E8" w:rsidRPr="00882F11">
        <w:rPr>
          <w:rFonts w:cs="Guttman Drogolin" w:hint="cs"/>
          <w:rtl/>
          <w:lang w:bidi="he-IL"/>
        </w:rPr>
        <w:t>שם</w:t>
      </w:r>
      <w:r w:rsidR="007308E8" w:rsidRPr="00882F11">
        <w:rPr>
          <w:rFonts w:cs="Guttman Drogolin"/>
          <w:rtl/>
          <w:lang w:bidi="he-IL"/>
        </w:rPr>
        <w:t xml:space="preserve"> </w:t>
      </w:r>
      <w:r w:rsidR="007308E8" w:rsidRPr="00882F11">
        <w:rPr>
          <w:rFonts w:cs="Guttman Drogolin" w:hint="cs"/>
          <w:rtl/>
          <w:lang w:bidi="he-IL"/>
        </w:rPr>
        <w:t>בפרק</w:t>
      </w:r>
      <w:r w:rsidR="007308E8" w:rsidRPr="00882F11">
        <w:rPr>
          <w:rFonts w:cs="Guttman Drogolin"/>
          <w:rtl/>
          <w:lang w:bidi="he-IL"/>
        </w:rPr>
        <w:t xml:space="preserve"> </w:t>
      </w:r>
      <w:r w:rsidR="007308E8" w:rsidRPr="00882F11">
        <w:rPr>
          <w:rFonts w:cs="Guttman Drogolin" w:hint="cs"/>
          <w:rtl/>
          <w:lang w:bidi="he-IL"/>
        </w:rPr>
        <w:t>ג</w:t>
      </w:r>
      <w:r w:rsidR="007308E8" w:rsidRPr="00882F11">
        <w:rPr>
          <w:rFonts w:cs="Guttman Drogolin"/>
          <w:rtl/>
          <w:lang w:bidi="he-IL"/>
        </w:rPr>
        <w:t>"</w:t>
      </w:r>
      <w:r w:rsidR="007308E8" w:rsidRPr="00882F11">
        <w:rPr>
          <w:rFonts w:cs="Guttman Drogolin" w:hint="cs"/>
          <w:rtl/>
          <w:lang w:bidi="he-IL"/>
        </w:rPr>
        <w:t>ה</w:t>
      </w:r>
      <w:r w:rsidR="007308E8" w:rsidRPr="00882F11">
        <w:rPr>
          <w:rFonts w:cs="Guttman Drogolin"/>
          <w:rtl/>
          <w:lang w:bidi="he-IL"/>
        </w:rPr>
        <w:t xml:space="preserve"> </w:t>
      </w:r>
      <w:r w:rsidR="007308E8" w:rsidRPr="00882F11">
        <w:rPr>
          <w:rFonts w:cs="Guttman Drogolin" w:hint="cs"/>
          <w:rtl/>
          <w:lang w:bidi="he-IL"/>
        </w:rPr>
        <w:t>דהיינו</w:t>
      </w:r>
      <w:r w:rsidR="007308E8" w:rsidRPr="00882F11">
        <w:rPr>
          <w:rFonts w:cs="Guttman Drogolin"/>
          <w:rtl/>
          <w:lang w:bidi="he-IL"/>
        </w:rPr>
        <w:t xml:space="preserve"> </w:t>
      </w:r>
      <w:r w:rsidR="007308E8" w:rsidRPr="00882F11">
        <w:rPr>
          <w:rFonts w:cs="Guttman Drogolin" w:hint="cs"/>
          <w:rtl/>
          <w:lang w:bidi="he-IL"/>
        </w:rPr>
        <w:t>דוקא</w:t>
      </w:r>
      <w:r w:rsidR="007308E8" w:rsidRPr="00882F11">
        <w:rPr>
          <w:rFonts w:cs="Guttman Drogolin"/>
          <w:rtl/>
          <w:lang w:bidi="he-IL"/>
        </w:rPr>
        <w:t xml:space="preserve"> </w:t>
      </w:r>
      <w:r w:rsidR="007308E8" w:rsidRPr="00882F11">
        <w:rPr>
          <w:rFonts w:cs="Guttman Drogolin" w:hint="cs"/>
          <w:rtl/>
          <w:lang w:bidi="he-IL"/>
        </w:rPr>
        <w:t>שידע</w:t>
      </w:r>
      <w:r w:rsidR="007308E8" w:rsidRPr="00882F11">
        <w:rPr>
          <w:rFonts w:cs="Guttman Drogolin"/>
          <w:rtl/>
          <w:lang w:bidi="he-IL"/>
        </w:rPr>
        <w:t xml:space="preserve"> </w:t>
      </w:r>
      <w:r w:rsidR="007308E8" w:rsidRPr="00882F11">
        <w:rPr>
          <w:rFonts w:cs="Guttman Drogolin" w:hint="cs"/>
          <w:rtl/>
          <w:lang w:bidi="he-IL"/>
        </w:rPr>
        <w:t>זה</w:t>
      </w:r>
      <w:r w:rsidR="007308E8" w:rsidRPr="00882F11">
        <w:rPr>
          <w:rFonts w:cs="Guttman Drogolin"/>
          <w:rtl/>
          <w:lang w:bidi="he-IL"/>
        </w:rPr>
        <w:t xml:space="preserve"> </w:t>
      </w:r>
      <w:r w:rsidR="007308E8" w:rsidRPr="00882F11">
        <w:rPr>
          <w:rFonts w:cs="Guttman Drogolin" w:hint="cs"/>
          <w:rtl/>
          <w:lang w:bidi="he-IL"/>
        </w:rPr>
        <w:t>שנתבטל</w:t>
      </w:r>
      <w:r w:rsidR="007308E8" w:rsidRPr="00882F11">
        <w:rPr>
          <w:rFonts w:cs="Guttman Drogolin"/>
          <w:rtl/>
          <w:lang w:bidi="he-IL"/>
        </w:rPr>
        <w:t xml:space="preserve"> </w:t>
      </w:r>
      <w:r w:rsidR="007308E8" w:rsidRPr="00882F11">
        <w:rPr>
          <w:rFonts w:cs="Guttman Drogolin" w:hint="cs"/>
          <w:rtl/>
          <w:lang w:bidi="he-IL"/>
        </w:rPr>
        <w:t>עבורו</w:t>
      </w:r>
      <w:r w:rsidR="007308E8" w:rsidRPr="00882F11">
        <w:rPr>
          <w:rFonts w:cs="Guttman Drogolin"/>
          <w:rtl/>
          <w:lang w:bidi="he-IL"/>
        </w:rPr>
        <w:t xml:space="preserve"> </w:t>
      </w:r>
      <w:r w:rsidR="007308E8" w:rsidRPr="00882F11">
        <w:rPr>
          <w:rFonts w:cs="Guttman Drogolin" w:hint="cs"/>
          <w:rtl/>
          <w:lang w:bidi="he-IL"/>
        </w:rPr>
        <w:t>וניחא</w:t>
      </w:r>
      <w:r w:rsidR="007308E8" w:rsidRPr="00882F11">
        <w:rPr>
          <w:rFonts w:cs="Guttman Drogolin"/>
          <w:rtl/>
          <w:lang w:bidi="he-IL"/>
        </w:rPr>
        <w:t xml:space="preserve"> </w:t>
      </w:r>
      <w:r w:rsidR="007308E8" w:rsidRPr="00882F11">
        <w:rPr>
          <w:rFonts w:cs="Guttman Drogolin" w:hint="cs"/>
          <w:rtl/>
          <w:lang w:bidi="he-IL"/>
        </w:rPr>
        <w:t>ליה</w:t>
      </w:r>
      <w:r w:rsidR="007308E8" w:rsidRPr="00882F11">
        <w:rPr>
          <w:rFonts w:cs="Guttman Drogolin"/>
          <w:rtl/>
          <w:lang w:bidi="he-IL"/>
        </w:rPr>
        <w:t xml:space="preserve"> </w:t>
      </w:r>
      <w:r w:rsidR="007308E8" w:rsidRPr="00882F11">
        <w:rPr>
          <w:rFonts w:cs="Guttman Drogolin" w:hint="cs"/>
          <w:rtl/>
          <w:lang w:bidi="he-IL"/>
        </w:rPr>
        <w:t>אפילו</w:t>
      </w:r>
      <w:r w:rsidR="007308E8" w:rsidRPr="00882F11">
        <w:rPr>
          <w:rFonts w:cs="Guttman Drogolin"/>
          <w:rtl/>
          <w:lang w:bidi="he-IL"/>
        </w:rPr>
        <w:t xml:space="preserve"> </w:t>
      </w:r>
      <w:r w:rsidR="007308E8" w:rsidRPr="00882F11">
        <w:rPr>
          <w:rFonts w:cs="Guttman Drogolin" w:hint="cs"/>
          <w:rtl/>
          <w:lang w:bidi="he-IL"/>
        </w:rPr>
        <w:t>לא</w:t>
      </w:r>
      <w:r w:rsidR="007308E8" w:rsidRPr="00882F11">
        <w:rPr>
          <w:rFonts w:cs="Guttman Drogolin"/>
          <w:rtl/>
          <w:lang w:bidi="he-IL"/>
        </w:rPr>
        <w:t xml:space="preserve"> </w:t>
      </w:r>
      <w:r w:rsidR="007308E8" w:rsidRPr="00882F11">
        <w:rPr>
          <w:rFonts w:cs="Guttman Drogolin" w:hint="cs"/>
          <w:rtl/>
          <w:lang w:bidi="he-IL"/>
        </w:rPr>
        <w:t>צוה</w:t>
      </w:r>
      <w:r w:rsidR="007308E8" w:rsidRPr="00882F11">
        <w:rPr>
          <w:rFonts w:cs="Guttman Drogolin"/>
          <w:rtl/>
          <w:lang w:bidi="he-IL"/>
        </w:rPr>
        <w:t xml:space="preserve"> </w:t>
      </w:r>
      <w:r w:rsidR="007308E8" w:rsidRPr="00882F11">
        <w:rPr>
          <w:rFonts w:cs="Guttman Drogolin" w:hint="cs"/>
          <w:rtl/>
          <w:lang w:bidi="he-IL"/>
        </w:rPr>
        <w:t>אותו</w:t>
      </w:r>
      <w:r w:rsidR="007308E8" w:rsidRPr="00882F11">
        <w:rPr>
          <w:rFonts w:cs="Guttman Drogolin"/>
          <w:rtl/>
          <w:lang w:bidi="he-IL"/>
        </w:rPr>
        <w:t xml:space="preserve"> </w:t>
      </w:r>
      <w:r w:rsidR="007308E8" w:rsidRPr="00882F11">
        <w:rPr>
          <w:rFonts w:cs="Guttman Drogolin" w:hint="cs"/>
          <w:rtl/>
          <w:lang w:bidi="he-IL"/>
        </w:rPr>
        <w:t>לבטלו</w:t>
      </w:r>
      <w:r w:rsidR="007308E8" w:rsidRPr="00882F11">
        <w:rPr>
          <w:rFonts w:cs="Guttman Drogolin"/>
          <w:rtl/>
          <w:lang w:bidi="he-IL"/>
        </w:rPr>
        <w:t xml:space="preserve"> </w:t>
      </w:r>
      <w:r w:rsidR="007308E8" w:rsidRPr="00882F11">
        <w:rPr>
          <w:rFonts w:cs="Guttman Drogolin" w:hint="cs"/>
          <w:rtl/>
          <w:lang w:bidi="he-IL"/>
        </w:rPr>
        <w:t>אבל</w:t>
      </w:r>
      <w:r w:rsidR="007308E8" w:rsidRPr="00882F11">
        <w:rPr>
          <w:rFonts w:cs="Guttman Drogolin"/>
          <w:rtl/>
          <w:lang w:bidi="he-IL"/>
        </w:rPr>
        <w:t xml:space="preserve"> </w:t>
      </w:r>
      <w:r w:rsidR="007308E8" w:rsidRPr="00882F11">
        <w:rPr>
          <w:rFonts w:cs="Guttman Drogolin" w:hint="cs"/>
          <w:rtl/>
          <w:lang w:bidi="he-IL"/>
        </w:rPr>
        <w:t>אם</w:t>
      </w:r>
      <w:r w:rsidR="007308E8" w:rsidRPr="00882F11">
        <w:rPr>
          <w:rFonts w:cs="Guttman Drogolin"/>
          <w:rtl/>
          <w:lang w:bidi="he-IL"/>
        </w:rPr>
        <w:t xml:space="preserve"> </w:t>
      </w:r>
      <w:r w:rsidR="007308E8" w:rsidRPr="00882F11">
        <w:rPr>
          <w:rFonts w:cs="Guttman Drogolin" w:hint="cs"/>
          <w:rtl/>
          <w:lang w:bidi="he-IL"/>
        </w:rPr>
        <w:t>לא</w:t>
      </w:r>
      <w:r w:rsidR="007308E8" w:rsidRPr="00882F11">
        <w:rPr>
          <w:rFonts w:cs="Guttman Drogolin"/>
          <w:rtl/>
          <w:lang w:bidi="he-IL"/>
        </w:rPr>
        <w:t xml:space="preserve"> </w:t>
      </w:r>
      <w:r w:rsidR="007308E8" w:rsidRPr="00882F11">
        <w:rPr>
          <w:rFonts w:cs="Guttman Drogolin" w:hint="cs"/>
          <w:rtl/>
          <w:lang w:bidi="he-IL"/>
        </w:rPr>
        <w:t>ידע</w:t>
      </w:r>
      <w:r w:rsidR="007308E8" w:rsidRPr="00882F11">
        <w:rPr>
          <w:rFonts w:cs="Guttman Drogolin"/>
          <w:rtl/>
          <w:lang w:bidi="he-IL"/>
        </w:rPr>
        <w:t xml:space="preserve"> </w:t>
      </w:r>
      <w:r w:rsidR="007308E8" w:rsidRPr="00882F11">
        <w:rPr>
          <w:rFonts w:cs="Guttman Drogolin" w:hint="cs"/>
          <w:rtl/>
          <w:lang w:bidi="he-IL"/>
        </w:rPr>
        <w:t>ממנו</w:t>
      </w:r>
      <w:r w:rsidR="007308E8" w:rsidRPr="00882F11">
        <w:rPr>
          <w:rFonts w:cs="Guttman Drogolin"/>
          <w:rtl/>
          <w:lang w:bidi="he-IL"/>
        </w:rPr>
        <w:t xml:space="preserve"> </w:t>
      </w:r>
      <w:r w:rsidR="007308E8" w:rsidRPr="00882F11">
        <w:rPr>
          <w:rFonts w:cs="Guttman Drogolin" w:hint="cs"/>
          <w:rtl/>
          <w:lang w:bidi="he-IL"/>
        </w:rPr>
        <w:t>שרי</w:t>
      </w:r>
      <w:r w:rsidR="007308E8" w:rsidRPr="00882F11">
        <w:rPr>
          <w:rFonts w:cs="Guttman Drogolin"/>
          <w:rtl/>
          <w:lang w:bidi="he-IL"/>
        </w:rPr>
        <w:t xml:space="preserve"> </w:t>
      </w:r>
      <w:r w:rsidR="007308E8" w:rsidRPr="00882F11">
        <w:rPr>
          <w:rFonts w:cs="Guttman Drogolin" w:hint="cs"/>
          <w:rtl/>
          <w:lang w:bidi="he-IL"/>
        </w:rPr>
        <w:t>ליה</w:t>
      </w:r>
      <w:r w:rsidR="007308E8" w:rsidRPr="00882F11">
        <w:rPr>
          <w:rFonts w:cs="Guttman Drogolin"/>
          <w:rtl/>
          <w:lang w:bidi="he-IL"/>
        </w:rPr>
        <w:t xml:space="preserve"> </w:t>
      </w:r>
      <w:r w:rsidR="007308E8" w:rsidRPr="00882F11">
        <w:rPr>
          <w:rFonts w:cs="Guttman Drogolin" w:hint="cs"/>
          <w:rtl/>
          <w:lang w:bidi="he-IL"/>
        </w:rPr>
        <w:t>דהרי</w:t>
      </w:r>
      <w:r w:rsidR="007308E8" w:rsidRPr="00882F11">
        <w:rPr>
          <w:rFonts w:cs="Guttman Drogolin"/>
          <w:rtl/>
          <w:lang w:bidi="he-IL"/>
        </w:rPr>
        <w:t xml:space="preserve"> </w:t>
      </w:r>
      <w:r w:rsidR="007308E8" w:rsidRPr="00882F11">
        <w:rPr>
          <w:rFonts w:cs="Guttman Drogolin" w:hint="cs"/>
          <w:rtl/>
          <w:lang w:bidi="he-IL"/>
        </w:rPr>
        <w:t>הוא</w:t>
      </w:r>
      <w:r w:rsidR="007308E8" w:rsidRPr="00882F11">
        <w:rPr>
          <w:rFonts w:cs="Guttman Drogolin"/>
          <w:rtl/>
          <w:lang w:bidi="he-IL"/>
        </w:rPr>
        <w:t xml:space="preserve"> </w:t>
      </w:r>
      <w:r w:rsidR="007308E8" w:rsidRPr="00882F11">
        <w:rPr>
          <w:rFonts w:cs="Guttman Drogolin" w:hint="cs"/>
          <w:rtl/>
          <w:lang w:bidi="he-IL"/>
        </w:rPr>
        <w:t>כשוגג</w:t>
      </w:r>
      <w:r w:rsidR="007308E8" w:rsidRPr="00882F11">
        <w:rPr>
          <w:rFonts w:cs="Guttman Drogolin"/>
          <w:rtl/>
          <w:lang w:bidi="he-IL"/>
        </w:rPr>
        <w:t xml:space="preserve"> </w:t>
      </w:r>
      <w:r w:rsidR="007308E8" w:rsidRPr="00882F11">
        <w:rPr>
          <w:rFonts w:cs="Guttman Drogolin" w:hint="cs"/>
          <w:rtl/>
          <w:lang w:bidi="he-IL"/>
        </w:rPr>
        <w:t>ובמקום</w:t>
      </w:r>
      <w:r w:rsidR="007308E8" w:rsidRPr="00882F11">
        <w:rPr>
          <w:rFonts w:cs="Guttman Drogolin"/>
          <w:rtl/>
          <w:lang w:bidi="he-IL"/>
        </w:rPr>
        <w:t xml:space="preserve"> </w:t>
      </w:r>
      <w:r w:rsidR="007308E8" w:rsidRPr="00882F11">
        <w:rPr>
          <w:rFonts w:cs="Guttman Drogolin" w:hint="cs"/>
          <w:rtl/>
          <w:lang w:bidi="he-IL"/>
        </w:rPr>
        <w:t>האסור</w:t>
      </w:r>
      <w:r w:rsidR="007308E8" w:rsidRPr="00882F11">
        <w:rPr>
          <w:rFonts w:cs="Guttman Drogolin"/>
          <w:rtl/>
          <w:lang w:bidi="he-IL"/>
        </w:rPr>
        <w:t xml:space="preserve"> </w:t>
      </w:r>
      <w:r w:rsidR="007308E8" w:rsidRPr="00882F11">
        <w:rPr>
          <w:rFonts w:cs="Guttman Drogolin" w:hint="cs"/>
          <w:rtl/>
          <w:lang w:bidi="he-IL"/>
        </w:rPr>
        <w:t>לו</w:t>
      </w:r>
      <w:r w:rsidR="007308E8" w:rsidRPr="00882F11">
        <w:rPr>
          <w:rFonts w:cs="Guttman Drogolin"/>
          <w:rtl/>
          <w:lang w:bidi="he-IL"/>
        </w:rPr>
        <w:t xml:space="preserve"> </w:t>
      </w:r>
      <w:r w:rsidR="007308E8" w:rsidRPr="00882F11">
        <w:rPr>
          <w:rFonts w:cs="Guttman Drogolin" w:hint="cs"/>
          <w:rtl/>
          <w:lang w:bidi="he-IL"/>
        </w:rPr>
        <w:t>אסור</w:t>
      </w:r>
      <w:r w:rsidR="007308E8" w:rsidRPr="00882F11">
        <w:rPr>
          <w:rFonts w:cs="Guttman Drogolin"/>
          <w:rtl/>
          <w:lang w:bidi="he-IL"/>
        </w:rPr>
        <w:t xml:space="preserve"> </w:t>
      </w:r>
      <w:r w:rsidR="007308E8" w:rsidRPr="00882F11">
        <w:rPr>
          <w:rFonts w:cs="Guttman Drogolin" w:hint="cs"/>
          <w:rtl/>
          <w:lang w:bidi="he-IL"/>
        </w:rPr>
        <w:t>גם</w:t>
      </w:r>
      <w:r w:rsidR="007308E8" w:rsidRPr="00882F11">
        <w:rPr>
          <w:rFonts w:cs="Guttman Drogolin"/>
          <w:rtl/>
          <w:lang w:bidi="he-IL"/>
        </w:rPr>
        <w:t xml:space="preserve"> </w:t>
      </w:r>
      <w:r w:rsidR="007308E8" w:rsidRPr="00882F11">
        <w:rPr>
          <w:rFonts w:cs="Guttman Drogolin" w:hint="cs"/>
          <w:rtl/>
          <w:lang w:bidi="he-IL"/>
        </w:rPr>
        <w:t>כן</w:t>
      </w:r>
      <w:r w:rsidR="007308E8" w:rsidRPr="00882F11">
        <w:rPr>
          <w:rFonts w:cs="Guttman Drogolin"/>
          <w:rtl/>
          <w:lang w:bidi="he-IL"/>
        </w:rPr>
        <w:t xml:space="preserve"> </w:t>
      </w:r>
      <w:r w:rsidR="007308E8" w:rsidRPr="00882F11">
        <w:rPr>
          <w:rFonts w:cs="Guttman Drogolin" w:hint="cs"/>
          <w:rtl/>
          <w:lang w:bidi="he-IL"/>
        </w:rPr>
        <w:t>לבני</w:t>
      </w:r>
      <w:r w:rsidR="007308E8" w:rsidRPr="00882F11">
        <w:rPr>
          <w:rFonts w:cs="Guttman Drogolin"/>
          <w:rtl/>
          <w:lang w:bidi="he-IL"/>
        </w:rPr>
        <w:t xml:space="preserve"> </w:t>
      </w:r>
      <w:r w:rsidR="007308E8" w:rsidRPr="00882F11">
        <w:rPr>
          <w:rFonts w:cs="Guttman Drogolin" w:hint="cs"/>
          <w:rtl/>
          <w:lang w:bidi="he-IL"/>
        </w:rPr>
        <w:t>ביתו</w:t>
      </w:r>
      <w:r w:rsidR="007308E8" w:rsidRPr="00882F11">
        <w:rPr>
          <w:rFonts w:cs="Guttman Drogolin"/>
          <w:rtl/>
          <w:lang w:bidi="he-IL"/>
        </w:rPr>
        <w:t xml:space="preserve"> </w:t>
      </w:r>
      <w:r w:rsidR="007308E8" w:rsidRPr="00882F11">
        <w:rPr>
          <w:rFonts w:cs="Guttman Drogolin" w:hint="cs"/>
          <w:rtl/>
          <w:lang w:bidi="he-IL"/>
        </w:rPr>
        <w:t>כן</w:t>
      </w:r>
      <w:r w:rsidR="007308E8" w:rsidRPr="00882F11">
        <w:rPr>
          <w:rFonts w:cs="Guttman Drogolin"/>
          <w:rtl/>
          <w:lang w:bidi="he-IL"/>
        </w:rPr>
        <w:t xml:space="preserve"> </w:t>
      </w:r>
      <w:r w:rsidR="007308E8" w:rsidRPr="00882F11">
        <w:rPr>
          <w:rFonts w:cs="Guttman Drogolin" w:hint="cs"/>
          <w:rtl/>
          <w:lang w:bidi="he-IL"/>
        </w:rPr>
        <w:t>פירש</w:t>
      </w:r>
      <w:r w:rsidR="007308E8" w:rsidRPr="00882F11">
        <w:rPr>
          <w:rFonts w:cs="Guttman Drogolin"/>
          <w:rtl/>
          <w:lang w:bidi="he-IL"/>
        </w:rPr>
        <w:t xml:space="preserve"> </w:t>
      </w:r>
      <w:r w:rsidR="007308E8" w:rsidRPr="00882F11">
        <w:rPr>
          <w:rFonts w:cs="Guttman Drogolin" w:hint="cs"/>
          <w:rtl/>
          <w:lang w:bidi="he-IL"/>
        </w:rPr>
        <w:t>רש</w:t>
      </w:r>
      <w:r w:rsidR="007308E8" w:rsidRPr="00882F11">
        <w:rPr>
          <w:rFonts w:cs="Guttman Drogolin"/>
          <w:rtl/>
          <w:lang w:bidi="he-IL"/>
        </w:rPr>
        <w:t>"</w:t>
      </w:r>
      <w:r w:rsidR="007308E8" w:rsidRPr="00882F11">
        <w:rPr>
          <w:rFonts w:cs="Guttman Drogolin" w:hint="cs"/>
          <w:rtl/>
          <w:lang w:bidi="he-IL"/>
        </w:rPr>
        <w:t>ל</w:t>
      </w:r>
      <w:r w:rsidR="007308E8" w:rsidRPr="00882F11">
        <w:rPr>
          <w:rFonts w:cs="Guttman Drogolin"/>
          <w:rtl/>
          <w:lang w:bidi="he-IL"/>
        </w:rPr>
        <w:t xml:space="preserve"> </w:t>
      </w:r>
      <w:r w:rsidR="007308E8" w:rsidRPr="00882F11">
        <w:rPr>
          <w:rFonts w:cs="Guttman Drogolin" w:hint="cs"/>
          <w:rtl/>
          <w:lang w:bidi="he-IL"/>
        </w:rPr>
        <w:t>שם". ולכאורה כוונתו לומר דהא דקנסו גם למי שנתבטל בשבילו הנ"מ כשהי' בידיעתו אבל בלי ידיעתו מותר להם. וכן לכאורה הבין הגרע"א שם בהגהות שו"ע. ומאידך לבני ביתו אסור אפילו אינם יודעים, ולכאורה היינו משום שבני ביתו הוי בכלל הקנס למבטל ולא בכלל מה שקנסו למי שנתבטל בשבילו. ויש בדבר זה קצת קושי, שהרי הרמב"ם לא כתב לקנוס גם למי שנתבטל בשבילו, רק הרשב"א כתב שכן הוא דעת הרמב"ם, ופירש הב"י בטעמו של דבר שהרי הטעם שקנסו אפילו בדיעבד כדי שלא תהנו מעשיו, וא"כ ע"כ קנסו גם לו וגם למי שנתבטל בשבילו. וא"כ למה יש לנו לחלק בין אם אלו שנתבטל בשבילם יודעים או לא יודעים, הא מ"מ אם יהא מותר להם כשמבטל לצרכם יוצא דאהנו מעשיו</w:t>
      </w:r>
      <w:r w:rsidR="002A0AAE" w:rsidRPr="00882F11">
        <w:rPr>
          <w:rFonts w:cs="Guttman Drogolin" w:hint="cs"/>
          <w:rtl/>
          <w:lang w:bidi="he-IL"/>
        </w:rPr>
        <w:t>.</w:t>
      </w:r>
    </w:p>
    <w:p w:rsidR="00B65995" w:rsidRPr="00882F11" w:rsidRDefault="007308E8" w:rsidP="005467D9">
      <w:pPr>
        <w:keepNext/>
        <w:tabs>
          <w:tab w:val="left" w:pos="3818"/>
          <w:tab w:val="center" w:pos="4680"/>
        </w:tabs>
        <w:bidi/>
        <w:jc w:val="both"/>
        <w:rPr>
          <w:rFonts w:cs="Guttman Drogolin"/>
          <w:rtl/>
          <w:lang w:bidi="he-IL"/>
        </w:rPr>
      </w:pPr>
      <w:r w:rsidRPr="00882F11">
        <w:rPr>
          <w:rFonts w:cs="Guttman Drogolin" w:hint="cs"/>
          <w:rtl/>
          <w:lang w:bidi="he-IL"/>
        </w:rPr>
        <w:t xml:space="preserve">וראיתי בשם השדי חמד </w:t>
      </w:r>
      <w:r w:rsidR="002A0AAE" w:rsidRPr="00882F11">
        <w:rPr>
          <w:rFonts w:cs="Guttman Drogolin" w:hint="cs"/>
          <w:rtl/>
          <w:lang w:bidi="he-IL"/>
        </w:rPr>
        <w:t>שכתב שלעולם לא היתה כוונת הרש"ל להתיר כשאינם יודעים אלא כשא' מבטל מאכליו של אחרים, שבזה אמרינן דכיון שאינם שלו לאו כל כמיני' לאסור את תבשילו של אחרים אא"כ יודעים מזה, אבל בלי ידיעתם לא</w:t>
      </w:r>
      <w:r w:rsidR="005467D9" w:rsidRPr="00882F11">
        <w:rPr>
          <w:rStyle w:val="FootnoteReference"/>
          <w:rFonts w:cs="Guttman Drogolin"/>
          <w:rtl/>
          <w:lang w:bidi="he-IL"/>
        </w:rPr>
        <w:footnoteReference w:id="349"/>
      </w:r>
      <w:r w:rsidR="002A0AAE" w:rsidRPr="00882F11">
        <w:rPr>
          <w:rFonts w:cs="Guttman Drogolin" w:hint="cs"/>
          <w:rtl/>
          <w:lang w:bidi="he-IL"/>
        </w:rPr>
        <w:t xml:space="preserve">. משא"כ כשהבעלים מבטלים לצורך אחרים דשפיר יהא אסור אפילו אינם יודעים מזה. וראיתי במגי"ס שהעיר לפי זה, שהרי יש מצרפים שיטת הט"ז בהיתר למפעלים הבמטלים איסור לצורך הקונים </w:t>
      </w:r>
      <w:r w:rsidR="002A0AAE" w:rsidRPr="00882F11">
        <w:rPr>
          <w:rFonts w:cs="Guttman Drogolin" w:hint="cs"/>
          <w:rtl/>
          <w:lang w:bidi="he-IL"/>
        </w:rPr>
        <w:lastRenderedPageBreak/>
        <w:t>מהם, דהא אין הקונים יודעים מזה, אבל לפי הפי' הזה אין כאן משום לצרף אותו לנד"ד.</w:t>
      </w:r>
      <w:r w:rsidRPr="00882F11">
        <w:rPr>
          <w:rFonts w:cs="Guttman Drogolin" w:hint="cs"/>
          <w:rtl/>
          <w:lang w:bidi="he-IL"/>
        </w:rPr>
        <w:t xml:space="preserve"> </w:t>
      </w:r>
      <w:r w:rsidRPr="00882F11">
        <w:rPr>
          <w:rFonts w:cs="Guttman Drogolin"/>
          <w:rtl/>
          <w:lang w:bidi="he-IL"/>
        </w:rPr>
        <w:t xml:space="preserve"> </w:t>
      </w:r>
      <w:r w:rsidR="00B65995" w:rsidRPr="00882F11">
        <w:rPr>
          <w:rFonts w:cs="Guttman Drogolin" w:hint="cs"/>
          <w:rtl/>
          <w:lang w:bidi="he-IL"/>
        </w:rPr>
        <w:t xml:space="preserve"> </w:t>
      </w:r>
    </w:p>
    <w:p w:rsidR="00B65995" w:rsidRPr="00882F11" w:rsidRDefault="00B65995" w:rsidP="00B65995">
      <w:pPr>
        <w:pStyle w:val="Heading1"/>
        <w:bidi/>
        <w:spacing w:before="0" w:line="360" w:lineRule="auto"/>
        <w:jc w:val="center"/>
        <w:rPr>
          <w:rFonts w:cs="Guttman Drogolin"/>
          <w:color w:val="auto"/>
          <w:sz w:val="24"/>
          <w:szCs w:val="24"/>
          <w:u w:val="single"/>
          <w:rtl/>
          <w:lang w:bidi="he-IL"/>
        </w:rPr>
      </w:pPr>
      <w:bookmarkStart w:id="328" w:name="_Toc496175579"/>
      <w:r w:rsidRPr="00882F11">
        <w:rPr>
          <w:rFonts w:cs="Guttman Drogolin" w:hint="cs"/>
          <w:color w:val="auto"/>
          <w:sz w:val="24"/>
          <w:szCs w:val="24"/>
          <w:u w:val="single"/>
          <w:rtl/>
          <w:lang w:bidi="he-IL"/>
        </w:rPr>
        <w:t>ביטול איסור לכחתילה באיסורי הנאה</w:t>
      </w:r>
      <w:bookmarkEnd w:id="328"/>
    </w:p>
    <w:p w:rsidR="00B65995" w:rsidRPr="00882F11" w:rsidRDefault="00B0776E" w:rsidP="006D72D1">
      <w:pPr>
        <w:keepNext/>
        <w:tabs>
          <w:tab w:val="left" w:pos="3818"/>
          <w:tab w:val="center" w:pos="4680"/>
        </w:tabs>
        <w:bidi/>
        <w:jc w:val="both"/>
        <w:rPr>
          <w:rFonts w:cs="Guttman Drogolin"/>
          <w:b/>
          <w:bCs/>
          <w:sz w:val="24"/>
          <w:szCs w:val="24"/>
          <w:rtl/>
          <w:lang w:bidi="he-IL"/>
        </w:rPr>
      </w:pPr>
      <w:r>
        <w:rPr>
          <w:rFonts w:cs="Guttman Drogolin"/>
          <w:rtl/>
          <w:lang w:bidi="he-IL"/>
        </w:rPr>
        <w:fldChar w:fldCharType="begin"/>
      </w:r>
      <w:r>
        <w:instrText xml:space="preserve"> XE "</w:instrText>
      </w:r>
      <w:r w:rsidRPr="00FA0AA5">
        <w:rPr>
          <w:rFonts w:hint="cs"/>
          <w:rtl/>
          <w:lang w:bidi="he-IL"/>
        </w:rPr>
        <w:instrText>אין מבטלין איסור לכתחילה</w:instrText>
      </w:r>
      <w:r w:rsidRPr="00FA0AA5">
        <w:rPr>
          <w:rtl/>
        </w:rPr>
        <w:instrText>:</w:instrText>
      </w:r>
      <w:r>
        <w:rPr>
          <w:rFonts w:hint="cs"/>
          <w:rtl/>
          <w:lang w:bidi="he-IL"/>
        </w:rPr>
        <w:instrText>באיסורי הנאה</w:instrText>
      </w:r>
      <w:r>
        <w:instrText xml:space="preserve">" </w:instrText>
      </w:r>
      <w:r>
        <w:rPr>
          <w:rFonts w:cs="Guttman Drogolin"/>
          <w:rtl/>
          <w:lang w:bidi="he-IL"/>
        </w:rPr>
        <w:fldChar w:fldCharType="end"/>
      </w:r>
      <w:r w:rsidR="0030194E" w:rsidRPr="00882F11">
        <w:rPr>
          <w:rFonts w:cs="Guttman Drogolin" w:hint="cs"/>
          <w:rtl/>
          <w:lang w:bidi="he-IL"/>
        </w:rPr>
        <w:t>שיטת המחבר כאן בשו"ע כשיטת הרשב"א ועוד המתירים לבטל איסור לכתחילה באיסור דרבנן אם כבר נתערב איסור בהית</w:t>
      </w:r>
      <w:r w:rsidR="006D72D1">
        <w:rPr>
          <w:rFonts w:cs="Guttman Drogolin" w:hint="cs"/>
          <w:rtl/>
          <w:lang w:bidi="he-IL"/>
        </w:rPr>
        <w:t>ר</w:t>
      </w:r>
      <w:r w:rsidR="0030194E" w:rsidRPr="00882F11">
        <w:rPr>
          <w:rFonts w:cs="Guttman Drogolin" w:hint="cs"/>
          <w:rtl/>
          <w:lang w:bidi="he-IL"/>
        </w:rPr>
        <w:t xml:space="preserve"> באופן האוסרו. </w:t>
      </w:r>
      <w:r w:rsidR="00B65995" w:rsidRPr="00882F11">
        <w:rPr>
          <w:rFonts w:cs="Guttman Drogolin" w:hint="cs"/>
          <w:rtl/>
          <w:lang w:bidi="he-IL"/>
        </w:rPr>
        <w:t xml:space="preserve">מקשים האחרונים </w:t>
      </w:r>
      <w:r w:rsidR="004965CB" w:rsidRPr="00882F11">
        <w:rPr>
          <w:rFonts w:cs="Guttman Drogolin" w:hint="cs"/>
          <w:rtl/>
          <w:lang w:bidi="he-IL"/>
        </w:rPr>
        <w:t>שזה לכאורה ס</w:t>
      </w:r>
      <w:r w:rsidR="0030194E" w:rsidRPr="00882F11">
        <w:rPr>
          <w:rFonts w:cs="Guttman Drogolin" w:hint="cs"/>
          <w:rtl/>
          <w:lang w:bidi="he-IL"/>
        </w:rPr>
        <w:t xml:space="preserve">ותר לדברי השו"ע עצמו בהלכות חנוכה </w:t>
      </w:r>
      <w:r w:rsidR="004965CB" w:rsidRPr="00882F11">
        <w:rPr>
          <w:rFonts w:cs="Guttman Drogolin" w:hint="cs"/>
          <w:rtl/>
          <w:lang w:bidi="he-IL"/>
        </w:rPr>
        <w:t xml:space="preserve">סי' תרע"ז שכתב שאם התערב שמן שבנר בשמן אחר ואין ששים לבטלו שאסר להרבות עליו שמן אר כדי לבטלו, כן העיר הט"ז ס"ק י"ב וע' מש"כ בזה הש"ך בס"ק י"ט. ובחוו"ד </w:t>
      </w:r>
      <w:r w:rsidR="00B12BD3" w:rsidRPr="00882F11">
        <w:rPr>
          <w:rFonts w:cs="Guttman Drogolin" w:hint="cs"/>
          <w:rtl/>
          <w:lang w:bidi="he-IL"/>
        </w:rPr>
        <w:t xml:space="preserve">ס"ק ח' כתב ליישב דשאני נרות חנוכה כיון שהו איסור הנאה שבזה ודאי אסור לבטל לכתחילה, דהא זה שמבטלו ג"כ הוי בכלל הנאה. וראיתי במגי"ס שהעיר בזה שאמנם הדברים מתקלים אל הלב, מ"מ נרות חנוכה אינם אסורים בהנאה, דלדוגמא מותר למכור הנרות לאחרים לצורך נרות חנוכה.  </w:t>
      </w:r>
      <w:r w:rsidR="004965CB" w:rsidRPr="00882F11">
        <w:rPr>
          <w:rFonts w:cs="Guttman Drogolin" w:hint="cs"/>
          <w:rtl/>
          <w:lang w:bidi="he-IL"/>
        </w:rPr>
        <w:t xml:space="preserve"> </w:t>
      </w:r>
    </w:p>
    <w:p w:rsidR="00740338" w:rsidRPr="00B0776E" w:rsidRDefault="00740338" w:rsidP="00891DE2">
      <w:pPr>
        <w:pStyle w:val="Heading1"/>
        <w:bidi/>
        <w:spacing w:before="0" w:line="240" w:lineRule="auto"/>
        <w:jc w:val="center"/>
        <w:rPr>
          <w:rFonts w:cs="Guttman Drogolin"/>
          <w:color w:val="auto"/>
          <w:sz w:val="22"/>
          <w:szCs w:val="22"/>
          <w:u w:val="single"/>
          <w:rtl/>
          <w:lang w:bidi="he-IL"/>
        </w:rPr>
      </w:pPr>
      <w:bookmarkStart w:id="329" w:name="_Toc496175580"/>
      <w:r w:rsidRPr="00B0776E">
        <w:rPr>
          <w:rFonts w:cs="Guttman Drogolin" w:hint="cs"/>
          <w:color w:val="auto"/>
          <w:sz w:val="22"/>
          <w:szCs w:val="22"/>
          <w:u w:val="single"/>
          <w:rtl/>
          <w:lang w:bidi="he-IL"/>
        </w:rPr>
        <w:t>בדברי הרמב"ם בביטול איסור דרבנן לכתחילה</w:t>
      </w:r>
      <w:r w:rsidR="00E50F7F" w:rsidRPr="00B0776E">
        <w:rPr>
          <w:rFonts w:cs="Guttman Drogolin" w:hint="cs"/>
          <w:color w:val="auto"/>
          <w:sz w:val="22"/>
          <w:szCs w:val="22"/>
          <w:u w:val="single"/>
          <w:rtl/>
          <w:lang w:bidi="he-IL"/>
        </w:rPr>
        <w:t>, ובדין ביטול בשר בחלב לכת</w:t>
      </w:r>
      <w:r w:rsidR="00B0776E" w:rsidRPr="00B0776E">
        <w:rPr>
          <w:rFonts w:cs="Guttman Drogolin" w:hint="cs"/>
          <w:color w:val="auto"/>
          <w:sz w:val="22"/>
          <w:szCs w:val="22"/>
          <w:u w:val="single"/>
          <w:rtl/>
          <w:lang w:bidi="he-IL"/>
        </w:rPr>
        <w:t>ח</w:t>
      </w:r>
      <w:r w:rsidR="00E50F7F" w:rsidRPr="00B0776E">
        <w:rPr>
          <w:rFonts w:cs="Guttman Drogolin" w:hint="cs"/>
          <w:color w:val="auto"/>
          <w:sz w:val="22"/>
          <w:szCs w:val="22"/>
          <w:u w:val="single"/>
          <w:rtl/>
          <w:lang w:bidi="he-IL"/>
        </w:rPr>
        <w:t>ילה</w:t>
      </w:r>
      <w:bookmarkEnd w:id="329"/>
    </w:p>
    <w:p w:rsidR="00740338" w:rsidRPr="00882F11" w:rsidRDefault="00B0776E" w:rsidP="00B0776E">
      <w:pPr>
        <w:tabs>
          <w:tab w:val="right" w:pos="7497"/>
        </w:tabs>
        <w:bidi/>
        <w:jc w:val="both"/>
        <w:rPr>
          <w:rFonts w:cs="Guttman Drogolin"/>
          <w:rtl/>
          <w:lang w:bidi="he-IL"/>
        </w:rPr>
      </w:pPr>
      <w:r>
        <w:rPr>
          <w:rFonts w:cs="Guttman Drogolin"/>
          <w:rtl/>
          <w:lang w:bidi="he-IL"/>
        </w:rPr>
        <w:fldChar w:fldCharType="begin"/>
      </w:r>
      <w:r>
        <w:instrText xml:space="preserve"> XE "</w:instrText>
      </w:r>
      <w:r w:rsidRPr="00FA0AA5">
        <w:rPr>
          <w:rFonts w:hint="cs"/>
          <w:rtl/>
          <w:lang w:bidi="he-IL"/>
        </w:rPr>
        <w:instrText>אין מבטלין איסור לכתחילה</w:instrText>
      </w:r>
      <w:r w:rsidRPr="00FA0AA5">
        <w:rPr>
          <w:rtl/>
        </w:rPr>
        <w:instrText>:</w:instrText>
      </w:r>
      <w:r>
        <w:rPr>
          <w:rFonts w:hint="cs"/>
          <w:rtl/>
          <w:lang w:bidi="he-IL"/>
        </w:rPr>
        <w:instrText>באיסור מדרבנן</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FA0AA5">
        <w:rPr>
          <w:rFonts w:hint="cs"/>
          <w:rtl/>
          <w:lang w:bidi="he-IL"/>
        </w:rPr>
        <w:instrText>אין מבטלין איסור לכתחילה</w:instrText>
      </w:r>
      <w:r w:rsidRPr="00FA0AA5">
        <w:rPr>
          <w:rtl/>
        </w:rPr>
        <w:instrText>:</w:instrText>
      </w:r>
      <w:r>
        <w:rPr>
          <w:rFonts w:hint="cs"/>
          <w:rtl/>
          <w:lang w:bidi="he-IL"/>
        </w:rPr>
        <w:instrText>בבשר בחלב</w:instrText>
      </w:r>
      <w:r>
        <w:instrText xml:space="preserve">" </w:instrText>
      </w:r>
      <w:r>
        <w:rPr>
          <w:rFonts w:cs="Guttman Drogolin"/>
          <w:rtl/>
          <w:lang w:bidi="he-IL"/>
        </w:rPr>
        <w:fldChar w:fldCharType="end"/>
      </w:r>
      <w:r w:rsidR="00740338" w:rsidRPr="00882F11">
        <w:rPr>
          <w:rFonts w:cs="Guttman Drogolin" w:hint="cs"/>
          <w:rtl/>
          <w:lang w:bidi="he-IL"/>
        </w:rPr>
        <w:t xml:space="preserve">כתב הרמב"ם בפט"ו מהלכות מאכלות אסורות פט"ו הכ"ה </w:t>
      </w:r>
      <w:r w:rsidR="00740338" w:rsidRPr="00882F11">
        <w:rPr>
          <w:rFonts w:cs="Guttman Drogolin"/>
          <w:rtl/>
          <w:lang w:bidi="he-IL"/>
        </w:rPr>
        <w:t>–</w:t>
      </w:r>
      <w:r w:rsidR="00740338" w:rsidRPr="00882F11">
        <w:rPr>
          <w:rFonts w:cs="Guttman Drogolin" w:hint="cs"/>
          <w:rtl/>
          <w:lang w:bidi="he-IL"/>
        </w:rPr>
        <w:t xml:space="preserve"> כ"ז</w:t>
      </w:r>
      <w:r w:rsidR="00A736DA" w:rsidRPr="00882F11">
        <w:rPr>
          <w:rFonts w:cs="Guttman Drogolin" w:hint="cs"/>
          <w:rtl/>
          <w:lang w:bidi="he-IL"/>
        </w:rPr>
        <w:t xml:space="preserve"> </w:t>
      </w:r>
      <w:r w:rsidR="00740338" w:rsidRPr="00882F11">
        <w:rPr>
          <w:rFonts w:cs="Guttman Drogolin" w:hint="cs"/>
          <w:rtl/>
          <w:lang w:bidi="he-IL"/>
        </w:rPr>
        <w:t>"אסור</w:t>
      </w:r>
      <w:r w:rsidR="00740338" w:rsidRPr="00882F11">
        <w:rPr>
          <w:rFonts w:cs="Guttman Drogolin"/>
          <w:rtl/>
          <w:lang w:bidi="he-IL"/>
        </w:rPr>
        <w:t xml:space="preserve"> </w:t>
      </w:r>
      <w:r w:rsidR="00740338" w:rsidRPr="00882F11">
        <w:rPr>
          <w:rFonts w:cs="Guttman Drogolin" w:hint="cs"/>
          <w:rtl/>
          <w:lang w:bidi="he-IL"/>
        </w:rPr>
        <w:t>לבטל</w:t>
      </w:r>
      <w:r w:rsidR="00740338" w:rsidRPr="00882F11">
        <w:rPr>
          <w:rFonts w:cs="Guttman Drogolin"/>
          <w:rtl/>
          <w:lang w:bidi="he-IL"/>
        </w:rPr>
        <w:t xml:space="preserve"> </w:t>
      </w:r>
      <w:r w:rsidR="00740338" w:rsidRPr="00882F11">
        <w:rPr>
          <w:rFonts w:cs="Guttman Drogolin" w:hint="cs"/>
          <w:rtl/>
          <w:lang w:bidi="he-IL"/>
        </w:rPr>
        <w:t>איסורין</w:t>
      </w:r>
      <w:r w:rsidR="00740338" w:rsidRPr="00882F11">
        <w:rPr>
          <w:rFonts w:cs="Guttman Drogolin"/>
          <w:rtl/>
          <w:lang w:bidi="he-IL"/>
        </w:rPr>
        <w:t xml:space="preserve"> </w:t>
      </w:r>
      <w:r w:rsidR="00740338" w:rsidRPr="00882F11">
        <w:rPr>
          <w:rFonts w:cs="Guttman Drogolin" w:hint="cs"/>
          <w:rtl/>
          <w:lang w:bidi="he-IL"/>
        </w:rPr>
        <w:t>של</w:t>
      </w:r>
      <w:r w:rsidR="00740338" w:rsidRPr="00882F11">
        <w:rPr>
          <w:rFonts w:cs="Guttman Drogolin"/>
          <w:rtl/>
          <w:lang w:bidi="he-IL"/>
        </w:rPr>
        <w:t xml:space="preserve"> </w:t>
      </w:r>
      <w:r w:rsidR="00740338" w:rsidRPr="00882F11">
        <w:rPr>
          <w:rFonts w:cs="Guttman Drogolin" w:hint="cs"/>
          <w:rtl/>
          <w:lang w:bidi="he-IL"/>
        </w:rPr>
        <w:t>תורה</w:t>
      </w:r>
      <w:r w:rsidR="00740338" w:rsidRPr="00882F11">
        <w:rPr>
          <w:rFonts w:cs="Guttman Drogolin"/>
          <w:rtl/>
          <w:lang w:bidi="he-IL"/>
        </w:rPr>
        <w:t xml:space="preserve"> </w:t>
      </w:r>
      <w:r w:rsidR="00740338" w:rsidRPr="00882F11">
        <w:rPr>
          <w:rFonts w:cs="Guttman Drogolin" w:hint="cs"/>
          <w:rtl/>
          <w:lang w:bidi="he-IL"/>
        </w:rPr>
        <w:t>לכתחלה</w:t>
      </w:r>
      <w:r w:rsidR="00740338" w:rsidRPr="00882F11">
        <w:rPr>
          <w:rFonts w:cs="Guttman Drogolin"/>
          <w:rtl/>
          <w:lang w:bidi="he-IL"/>
        </w:rPr>
        <w:t xml:space="preserve"> </w:t>
      </w:r>
      <w:r w:rsidR="00740338" w:rsidRPr="00882F11">
        <w:rPr>
          <w:rFonts w:cs="Guttman Drogolin" w:hint="cs"/>
          <w:rtl/>
          <w:lang w:bidi="he-IL"/>
        </w:rPr>
        <w:t>וכו' אבל</w:t>
      </w:r>
      <w:r w:rsidR="00740338" w:rsidRPr="00882F11">
        <w:rPr>
          <w:rFonts w:cs="Guttman Drogolin"/>
          <w:rtl/>
          <w:lang w:bidi="he-IL"/>
        </w:rPr>
        <w:t xml:space="preserve"> </w:t>
      </w:r>
      <w:r w:rsidR="00740338" w:rsidRPr="00882F11">
        <w:rPr>
          <w:rFonts w:cs="Guttman Drogolin" w:hint="cs"/>
          <w:rtl/>
          <w:lang w:bidi="he-IL"/>
        </w:rPr>
        <w:t>באיסור</w:t>
      </w:r>
      <w:r w:rsidR="00740338" w:rsidRPr="00882F11">
        <w:rPr>
          <w:rFonts w:cs="Guttman Drogolin"/>
          <w:rtl/>
          <w:lang w:bidi="he-IL"/>
        </w:rPr>
        <w:t xml:space="preserve"> </w:t>
      </w:r>
      <w:r w:rsidR="00740338" w:rsidRPr="00882F11">
        <w:rPr>
          <w:rFonts w:cs="Guttman Drogolin" w:hint="cs"/>
          <w:rtl/>
          <w:lang w:bidi="he-IL"/>
        </w:rPr>
        <w:t>של</w:t>
      </w:r>
      <w:r w:rsidR="00740338" w:rsidRPr="00882F11">
        <w:rPr>
          <w:rFonts w:cs="Guttman Drogolin"/>
          <w:rtl/>
          <w:lang w:bidi="he-IL"/>
        </w:rPr>
        <w:t xml:space="preserve"> </w:t>
      </w:r>
      <w:r w:rsidR="00740338" w:rsidRPr="00882F11">
        <w:rPr>
          <w:rFonts w:cs="Guttman Drogolin" w:hint="cs"/>
          <w:rtl/>
          <w:lang w:bidi="he-IL"/>
        </w:rPr>
        <w:t>דבריהם</w:t>
      </w:r>
      <w:r w:rsidR="00740338" w:rsidRPr="00882F11">
        <w:rPr>
          <w:rFonts w:cs="Guttman Drogolin"/>
          <w:rtl/>
          <w:lang w:bidi="he-IL"/>
        </w:rPr>
        <w:t xml:space="preserve"> </w:t>
      </w:r>
      <w:r w:rsidR="00740338" w:rsidRPr="00882F11">
        <w:rPr>
          <w:rFonts w:cs="Guttman Drogolin" w:hint="cs"/>
          <w:rtl/>
          <w:lang w:bidi="he-IL"/>
        </w:rPr>
        <w:t>מבטלין</w:t>
      </w:r>
      <w:r w:rsidR="00740338" w:rsidRPr="00882F11">
        <w:rPr>
          <w:rFonts w:cs="Guttman Drogolin"/>
          <w:rtl/>
          <w:lang w:bidi="he-IL"/>
        </w:rPr>
        <w:t xml:space="preserve"> </w:t>
      </w:r>
      <w:r w:rsidR="00740338" w:rsidRPr="00882F11">
        <w:rPr>
          <w:rFonts w:cs="Guttman Drogolin" w:hint="cs"/>
          <w:rtl/>
          <w:lang w:bidi="he-IL"/>
        </w:rPr>
        <w:t>האיסור</w:t>
      </w:r>
      <w:r w:rsidR="00740338" w:rsidRPr="00882F11">
        <w:rPr>
          <w:rFonts w:cs="Guttman Drogolin"/>
          <w:rtl/>
          <w:lang w:bidi="he-IL"/>
        </w:rPr>
        <w:t xml:space="preserve"> </w:t>
      </w:r>
      <w:r w:rsidR="00740338" w:rsidRPr="00882F11">
        <w:rPr>
          <w:rFonts w:cs="Guttman Drogolin" w:hint="cs"/>
          <w:rtl/>
          <w:lang w:bidi="he-IL"/>
        </w:rPr>
        <w:t>לכתחלה כיצד</w:t>
      </w:r>
      <w:r w:rsidR="00740338" w:rsidRPr="00882F11">
        <w:rPr>
          <w:rFonts w:cs="Guttman Drogolin"/>
          <w:rtl/>
          <w:lang w:bidi="he-IL"/>
        </w:rPr>
        <w:t xml:space="preserve"> </w:t>
      </w:r>
      <w:r w:rsidR="00740338" w:rsidRPr="00882F11">
        <w:rPr>
          <w:rFonts w:cs="Guttman Drogolin" w:hint="cs"/>
          <w:rtl/>
          <w:lang w:bidi="he-IL"/>
        </w:rPr>
        <w:t>חלב</w:t>
      </w:r>
      <w:r w:rsidR="00740338" w:rsidRPr="00882F11">
        <w:rPr>
          <w:rFonts w:cs="Guttman Drogolin"/>
          <w:rtl/>
          <w:lang w:bidi="he-IL"/>
        </w:rPr>
        <w:t xml:space="preserve"> </w:t>
      </w:r>
      <w:r w:rsidR="00740338" w:rsidRPr="00882F11">
        <w:rPr>
          <w:rFonts w:cs="Guttman Drogolin" w:hint="cs"/>
          <w:rtl/>
          <w:lang w:bidi="he-IL"/>
        </w:rPr>
        <w:t>שנפל</w:t>
      </w:r>
      <w:r w:rsidR="00740338" w:rsidRPr="00882F11">
        <w:rPr>
          <w:rFonts w:cs="Guttman Drogolin"/>
          <w:rtl/>
          <w:lang w:bidi="he-IL"/>
        </w:rPr>
        <w:t xml:space="preserve"> </w:t>
      </w:r>
      <w:r w:rsidR="00740338" w:rsidRPr="00882F11">
        <w:rPr>
          <w:rFonts w:cs="Guttman Drogolin" w:hint="cs"/>
          <w:rtl/>
          <w:lang w:bidi="he-IL"/>
        </w:rPr>
        <w:t>לקדרה</w:t>
      </w:r>
      <w:r w:rsidR="00740338" w:rsidRPr="00882F11">
        <w:rPr>
          <w:rFonts w:cs="Guttman Drogolin"/>
          <w:rtl/>
          <w:lang w:bidi="he-IL"/>
        </w:rPr>
        <w:t xml:space="preserve"> </w:t>
      </w:r>
      <w:r w:rsidR="00740338" w:rsidRPr="00882F11">
        <w:rPr>
          <w:rFonts w:cs="Guttman Drogolin" w:hint="cs"/>
          <w:rtl/>
          <w:lang w:bidi="he-IL"/>
        </w:rPr>
        <w:t>שיש</w:t>
      </w:r>
      <w:r w:rsidR="00740338" w:rsidRPr="00882F11">
        <w:rPr>
          <w:rFonts w:cs="Guttman Drogolin"/>
          <w:rtl/>
          <w:lang w:bidi="he-IL"/>
        </w:rPr>
        <w:t xml:space="preserve"> </w:t>
      </w:r>
      <w:r w:rsidR="00740338" w:rsidRPr="00882F11">
        <w:rPr>
          <w:rFonts w:cs="Guttman Drogolin" w:hint="cs"/>
          <w:rtl/>
          <w:lang w:bidi="he-IL"/>
        </w:rPr>
        <w:t>בה</w:t>
      </w:r>
      <w:r w:rsidR="00740338" w:rsidRPr="00882F11">
        <w:rPr>
          <w:rFonts w:cs="Guttman Drogolin"/>
          <w:rtl/>
          <w:lang w:bidi="he-IL"/>
        </w:rPr>
        <w:t xml:space="preserve"> </w:t>
      </w:r>
      <w:r w:rsidR="00740338" w:rsidRPr="00882F11">
        <w:rPr>
          <w:rFonts w:cs="Guttman Drogolin" w:hint="cs"/>
          <w:rtl/>
          <w:lang w:bidi="he-IL"/>
        </w:rPr>
        <w:t>בשר</w:t>
      </w:r>
      <w:r w:rsidR="00740338" w:rsidRPr="00882F11">
        <w:rPr>
          <w:rFonts w:cs="Guttman Drogolin"/>
          <w:rtl/>
          <w:lang w:bidi="he-IL"/>
        </w:rPr>
        <w:t xml:space="preserve"> </w:t>
      </w:r>
      <w:r w:rsidR="00740338" w:rsidRPr="00882F11">
        <w:rPr>
          <w:rFonts w:cs="Guttman Drogolin" w:hint="cs"/>
          <w:rtl/>
          <w:lang w:bidi="he-IL"/>
        </w:rPr>
        <w:t>עוף</w:t>
      </w:r>
      <w:r w:rsidR="00740338" w:rsidRPr="00882F11">
        <w:rPr>
          <w:rFonts w:cs="Guttman Drogolin"/>
          <w:rtl/>
          <w:lang w:bidi="he-IL"/>
        </w:rPr>
        <w:t xml:space="preserve"> </w:t>
      </w:r>
      <w:r w:rsidR="00740338" w:rsidRPr="00882F11">
        <w:rPr>
          <w:rFonts w:cs="Guttman Drogolin" w:hint="cs"/>
          <w:rtl/>
          <w:lang w:bidi="he-IL"/>
        </w:rPr>
        <w:t>ונתן</w:t>
      </w:r>
      <w:r w:rsidR="00740338" w:rsidRPr="00882F11">
        <w:rPr>
          <w:rFonts w:cs="Guttman Drogolin"/>
          <w:rtl/>
          <w:lang w:bidi="he-IL"/>
        </w:rPr>
        <w:t xml:space="preserve"> </w:t>
      </w:r>
      <w:r w:rsidR="00740338" w:rsidRPr="00882F11">
        <w:rPr>
          <w:rFonts w:cs="Guttman Drogolin" w:hint="cs"/>
          <w:rtl/>
          <w:lang w:bidi="he-IL"/>
        </w:rPr>
        <w:t>טעם</w:t>
      </w:r>
      <w:r w:rsidR="00740338" w:rsidRPr="00882F11">
        <w:rPr>
          <w:rFonts w:cs="Guttman Drogolin"/>
          <w:rtl/>
          <w:lang w:bidi="he-IL"/>
        </w:rPr>
        <w:t xml:space="preserve"> </w:t>
      </w:r>
      <w:r w:rsidR="00740338" w:rsidRPr="00882F11">
        <w:rPr>
          <w:rFonts w:cs="Guttman Drogolin" w:hint="cs"/>
          <w:rtl/>
          <w:lang w:bidi="he-IL"/>
        </w:rPr>
        <w:t>בקדרה</w:t>
      </w:r>
      <w:r w:rsidR="00740338" w:rsidRPr="00882F11">
        <w:rPr>
          <w:rFonts w:cs="Guttman Drogolin"/>
          <w:rtl/>
          <w:lang w:bidi="he-IL"/>
        </w:rPr>
        <w:t xml:space="preserve"> </w:t>
      </w:r>
      <w:r w:rsidR="00740338" w:rsidRPr="00882F11">
        <w:rPr>
          <w:rFonts w:cs="Guttman Drogolin" w:hint="cs"/>
          <w:rtl/>
          <w:lang w:bidi="he-IL"/>
        </w:rPr>
        <w:t>מרבה</w:t>
      </w:r>
      <w:r w:rsidR="00740338" w:rsidRPr="00882F11">
        <w:rPr>
          <w:rFonts w:cs="Guttman Drogolin"/>
          <w:rtl/>
          <w:lang w:bidi="he-IL"/>
        </w:rPr>
        <w:t xml:space="preserve"> </w:t>
      </w:r>
      <w:r w:rsidR="00740338" w:rsidRPr="00882F11">
        <w:rPr>
          <w:rFonts w:cs="Guttman Drogolin" w:hint="cs"/>
          <w:rtl/>
          <w:lang w:bidi="he-IL"/>
        </w:rPr>
        <w:t>עליו</w:t>
      </w:r>
      <w:r w:rsidR="00740338" w:rsidRPr="00882F11">
        <w:rPr>
          <w:rFonts w:cs="Guttman Drogolin"/>
          <w:rtl/>
          <w:lang w:bidi="he-IL"/>
        </w:rPr>
        <w:t xml:space="preserve"> </w:t>
      </w:r>
      <w:r w:rsidR="00740338" w:rsidRPr="00882F11">
        <w:rPr>
          <w:rFonts w:cs="Guttman Drogolin" w:hint="cs"/>
          <w:rtl/>
          <w:lang w:bidi="he-IL"/>
        </w:rPr>
        <w:t>בשר</w:t>
      </w:r>
      <w:r w:rsidR="00740338" w:rsidRPr="00882F11">
        <w:rPr>
          <w:rFonts w:cs="Guttman Drogolin"/>
          <w:rtl/>
          <w:lang w:bidi="he-IL"/>
        </w:rPr>
        <w:t xml:space="preserve"> </w:t>
      </w:r>
      <w:r w:rsidR="00740338" w:rsidRPr="00882F11">
        <w:rPr>
          <w:rFonts w:cs="Guttman Drogolin" w:hint="cs"/>
          <w:rtl/>
          <w:lang w:bidi="he-IL"/>
        </w:rPr>
        <w:t>עוף</w:t>
      </w:r>
      <w:r w:rsidR="00740338" w:rsidRPr="00882F11">
        <w:rPr>
          <w:rFonts w:cs="Guttman Drogolin"/>
          <w:rtl/>
          <w:lang w:bidi="he-IL"/>
        </w:rPr>
        <w:t xml:space="preserve"> </w:t>
      </w:r>
      <w:r w:rsidR="00740338" w:rsidRPr="00882F11">
        <w:rPr>
          <w:rFonts w:cs="Guttman Drogolin" w:hint="cs"/>
          <w:rtl/>
          <w:lang w:bidi="he-IL"/>
        </w:rPr>
        <w:t>אחר</w:t>
      </w:r>
      <w:r w:rsidR="00740338" w:rsidRPr="00882F11">
        <w:rPr>
          <w:rFonts w:cs="Guttman Drogolin"/>
          <w:rtl/>
          <w:lang w:bidi="he-IL"/>
        </w:rPr>
        <w:t xml:space="preserve"> </w:t>
      </w:r>
      <w:r w:rsidR="00740338" w:rsidRPr="00882F11">
        <w:rPr>
          <w:rFonts w:cs="Guttman Drogolin" w:hint="cs"/>
          <w:rtl/>
          <w:lang w:bidi="he-IL"/>
        </w:rPr>
        <w:t>עד</w:t>
      </w:r>
      <w:r w:rsidR="00740338" w:rsidRPr="00882F11">
        <w:rPr>
          <w:rFonts w:cs="Guttman Drogolin"/>
          <w:rtl/>
          <w:lang w:bidi="he-IL"/>
        </w:rPr>
        <w:t xml:space="preserve"> </w:t>
      </w:r>
      <w:r w:rsidR="00740338" w:rsidRPr="00882F11">
        <w:rPr>
          <w:rFonts w:cs="Guttman Drogolin" w:hint="cs"/>
          <w:rtl/>
          <w:lang w:bidi="he-IL"/>
        </w:rPr>
        <w:t>שיבטל</w:t>
      </w:r>
      <w:r w:rsidR="00740338" w:rsidRPr="00882F11">
        <w:rPr>
          <w:rFonts w:cs="Guttman Drogolin"/>
          <w:rtl/>
          <w:lang w:bidi="he-IL"/>
        </w:rPr>
        <w:t xml:space="preserve"> </w:t>
      </w:r>
      <w:r w:rsidR="00740338" w:rsidRPr="00882F11">
        <w:rPr>
          <w:rFonts w:cs="Guttman Drogolin" w:hint="cs"/>
          <w:rtl/>
          <w:lang w:bidi="he-IL"/>
        </w:rPr>
        <w:t>הטעם</w:t>
      </w:r>
      <w:r w:rsidR="00740338" w:rsidRPr="00882F11">
        <w:rPr>
          <w:rFonts w:cs="Guttman Drogolin"/>
          <w:rtl/>
          <w:lang w:bidi="he-IL"/>
        </w:rPr>
        <w:t xml:space="preserve"> </w:t>
      </w:r>
      <w:r w:rsidR="00740338" w:rsidRPr="00882F11">
        <w:rPr>
          <w:rFonts w:cs="Guttman Drogolin" w:hint="cs"/>
          <w:rtl/>
          <w:lang w:bidi="he-IL"/>
        </w:rPr>
        <w:t>וכן</w:t>
      </w:r>
      <w:r w:rsidR="00740338" w:rsidRPr="00882F11">
        <w:rPr>
          <w:rFonts w:cs="Guttman Drogolin"/>
          <w:rtl/>
          <w:lang w:bidi="he-IL"/>
        </w:rPr>
        <w:t xml:space="preserve"> </w:t>
      </w:r>
      <w:r w:rsidR="00740338" w:rsidRPr="00882F11">
        <w:rPr>
          <w:rFonts w:cs="Guttman Drogolin" w:hint="cs"/>
          <w:rtl/>
          <w:lang w:bidi="he-IL"/>
        </w:rPr>
        <w:t>כל</w:t>
      </w:r>
      <w:r w:rsidR="00740338" w:rsidRPr="00882F11">
        <w:rPr>
          <w:rFonts w:cs="Guttman Drogolin"/>
          <w:rtl/>
          <w:lang w:bidi="he-IL"/>
        </w:rPr>
        <w:t xml:space="preserve"> </w:t>
      </w:r>
      <w:r w:rsidR="00740338" w:rsidRPr="00882F11">
        <w:rPr>
          <w:rFonts w:cs="Guttman Drogolin" w:hint="cs"/>
          <w:rtl/>
          <w:lang w:bidi="he-IL"/>
        </w:rPr>
        <w:t>כיוצא</w:t>
      </w:r>
      <w:r w:rsidR="00740338" w:rsidRPr="00882F11">
        <w:rPr>
          <w:rFonts w:cs="Guttman Drogolin"/>
          <w:rtl/>
          <w:lang w:bidi="he-IL"/>
        </w:rPr>
        <w:t xml:space="preserve"> </w:t>
      </w:r>
      <w:r w:rsidR="00740338" w:rsidRPr="00882F11">
        <w:rPr>
          <w:rFonts w:cs="Guttman Drogolin" w:hint="cs"/>
          <w:rtl/>
          <w:lang w:bidi="he-IL"/>
        </w:rPr>
        <w:t>בזה"</w:t>
      </w:r>
      <w:r w:rsidR="00740338" w:rsidRPr="00882F11">
        <w:rPr>
          <w:rFonts w:cs="Guttman Drogolin"/>
          <w:rtl/>
          <w:lang w:bidi="he-IL"/>
        </w:rPr>
        <w:t>.</w:t>
      </w:r>
      <w:r w:rsidR="00740338" w:rsidRPr="00882F11">
        <w:rPr>
          <w:rFonts w:cs="Guttman Drogolin" w:hint="cs"/>
          <w:rtl/>
          <w:lang w:bidi="he-IL"/>
        </w:rPr>
        <w:t xml:space="preserve"> הרי שהרמב"ם סבר כפשטות לשון הגמ' שמותר לבטל איסור דרבנן לכתחילה ולא בעי מיקלא קלי איסורא. ויש בדבריו עוד כמה חידושים. חדא שהתיר כה"ג גם בבב"ח דרבנן. ולכאורה אע"ג שבאיסור דרבנן מותר לבטל, הא בבב"ח לכו"ע אמרינן חענ"ן, וא"כ לא שייך לבטל. ומבואר </w:t>
      </w:r>
      <w:r w:rsidR="00740338" w:rsidRPr="00882F11">
        <w:rPr>
          <w:rFonts w:cs="Guttman Drogolin" w:hint="cs"/>
          <w:rtl/>
          <w:lang w:bidi="he-IL"/>
        </w:rPr>
        <w:lastRenderedPageBreak/>
        <w:t xml:space="preserve">שבבב"ח דרבנן לא אמרינן חענ"ן. וכן לכאורה לשיטת הרמב"ם בסוגיא דכחל דסבר שגם בקדירה שני' כחל מן המנין ולא אמרינן דנע"נ כיון שהוא בבב"ח דרבנן. </w:t>
      </w:r>
    </w:p>
    <w:p w:rsidR="00740338" w:rsidRPr="00882F11" w:rsidRDefault="00740338" w:rsidP="00740338">
      <w:pPr>
        <w:tabs>
          <w:tab w:val="right" w:pos="7497"/>
        </w:tabs>
        <w:bidi/>
        <w:jc w:val="both"/>
        <w:rPr>
          <w:rFonts w:cs="Guttman Drogolin"/>
          <w:rtl/>
          <w:lang w:bidi="he-IL"/>
        </w:rPr>
      </w:pPr>
      <w:r w:rsidRPr="00882F11">
        <w:rPr>
          <w:rFonts w:cs="Guttman Drogolin" w:hint="cs"/>
          <w:rtl/>
          <w:lang w:bidi="he-IL"/>
        </w:rPr>
        <w:t xml:space="preserve">והנה יש כאן כמה חידושים. חדא שאם שייך איסור בבב"ח דרבנן גם בלי חענ"ן, למה לא אמרו שגם בבב"ח דאורייתא אין חענ"ן, דהא אין גזה"כ של חענ"ן בתורה, רק כך הבינו ממהות האיסור של בב"ח, ואם בבב"ח דרבנן המציאו איסור בלי חענ"ן אולי גם בדאורייתא הוי הכי. ובזה לכאורה י"ל דמ"מ כיון שמדאורייתא דרך ביול אסרה תורה אין זה מובן אא"כ אומרים חענ"ן אבל מדרבנן לא בעינן דרך בישול ולכן שייך לאסור משום התערובת בלבד גם בלי חענ"ן. ולכאורה א"כ אין שום שייכות בין הא דאין חענ"ן בבב"ח דרבנן לשיטה הסוברת שאין חענ"ן בשאר איסורים דרבנן. והיינו שאפילו לחולקים על רבינו אפרים וסוברים דאמרינן חענ"ן בשאר איסורים י"ל דאמרינן כן גם באיסורים דרבנן, אבל בב"ח דרבנן לא אמרינן כיון שאין כאן 'נאסר' כלל. ופשוט שי"ל דלא כרמב"ם ויש חענ"ן בבב"ח דרבנן אפילו לרבינו אפרים, דלמה יש לנו לחלק בין בב"ח דאורייתא לבב"ח דרבנן. </w:t>
      </w:r>
    </w:p>
    <w:p w:rsidR="00740338" w:rsidRPr="00882F11" w:rsidRDefault="00740338" w:rsidP="00740338">
      <w:pPr>
        <w:tabs>
          <w:tab w:val="right" w:pos="7497"/>
        </w:tabs>
        <w:bidi/>
        <w:jc w:val="both"/>
        <w:rPr>
          <w:rFonts w:cs="Guttman Drogolin"/>
          <w:rtl/>
          <w:lang w:bidi="he-IL"/>
        </w:rPr>
      </w:pPr>
      <w:r w:rsidRPr="00882F11">
        <w:rPr>
          <w:rFonts w:cs="Guttman Drogolin" w:hint="cs"/>
          <w:rtl/>
          <w:lang w:bidi="he-IL"/>
        </w:rPr>
        <w:t>עוד לכאורה מדויק מלשון הרמב"ם שרק בגלל שהוא אסור מדרבנן מותר לבטל איסור בב"ח לכתחילה, אבל בב"ח דאורייתא אסור. וכבר הזכרנו כמה פעמים דברי רע"א בשו"ת סי' ר"ז דסבר שאין טעם לאסור לבטל לכתחילה אפילו בב"ח דאורייתא כלל. ורע"א תמך יתדותיו אדברי התוס' במס' נדה וכן הוא ברא"ש בהלכות כלאים. שהתוס' שם דייקו מן הגמ' שאין צמר או פשתן מבטלים פשטן</w:t>
      </w:r>
      <w:r w:rsidR="00A736DA" w:rsidRPr="00882F11">
        <w:rPr>
          <w:rFonts w:cs="Guttman Drogolin" w:hint="cs"/>
          <w:rtl/>
          <w:lang w:bidi="he-IL"/>
        </w:rPr>
        <w:t xml:space="preserve"> </w:t>
      </w:r>
      <w:r w:rsidRPr="00882F11">
        <w:rPr>
          <w:rFonts w:cs="Guttman Drogolin" w:hint="cs"/>
          <w:rtl/>
          <w:lang w:bidi="he-IL"/>
        </w:rPr>
        <w:t xml:space="preserve">או צמר להתיר שעטנז, ומשום ששני דברים שיוצרים איסור ביחד לא נאמר בהם דין ביטול. והקשו דא"כ למהה מהני ביטול בס' בבב"ח, הא יוצרים איסור ביחד. ותי' דדרך בישול אסרה תורה. ורע"א הבין כוונתם שבאמת לא היו החלב והבשר מבטלים זה את זה, אבל מ"מ כיון שאין טעם בשר או חלב, אין כאן חפצא דאיסורא. ולכן סבר רע"א שאם מערב א' עם השני הא אינו </w:t>
      </w:r>
      <w:r w:rsidRPr="00882F11">
        <w:rPr>
          <w:rFonts w:cs="Guttman Drogolin" w:hint="cs"/>
          <w:rtl/>
          <w:lang w:bidi="he-IL"/>
        </w:rPr>
        <w:lastRenderedPageBreak/>
        <w:t xml:space="preserve">מבטל א' את השני, רק גורם שלא יהי' טעם וממילא אין כאן חפצא דאיסורא. </w:t>
      </w:r>
    </w:p>
    <w:p w:rsidR="00740338" w:rsidRPr="00882F11" w:rsidRDefault="00740338" w:rsidP="002D214C">
      <w:pPr>
        <w:tabs>
          <w:tab w:val="right" w:pos="7497"/>
        </w:tabs>
        <w:bidi/>
        <w:jc w:val="both"/>
        <w:rPr>
          <w:rFonts w:cs="Guttman Drogolin"/>
          <w:rtl/>
          <w:lang w:bidi="he-IL"/>
        </w:rPr>
      </w:pPr>
      <w:r w:rsidRPr="00882F11">
        <w:rPr>
          <w:rFonts w:cs="Guttman Drogolin" w:hint="cs"/>
          <w:rtl/>
          <w:lang w:bidi="he-IL"/>
        </w:rPr>
        <w:t xml:space="preserve">ויש דקדוק בדברי רע"א. דהנה לכאורה דל מהכא דברי התוס' שם, הא דבר פשוט הוא שבבב"ח דרך בישול אסרה תורה. ולכן אפילו אם בשר והחלב היו מבטלים זא"ז ממ כיון שיש תנאי נוסף של דרך בישול שמחייב שיהי' טעם בשר או חלב, כיון שע"י התערובת אינו נותן טעם הא לא בעינן לי' לביטולו, דהא גם בלי ביטול ליכא טעם ולכן אין כאן חפצא דאסיורא כלל. ולדוגמא, תוס' במס' ע"ז כותבים בסגנון אחר מממה שדקדק רע"א מדבריהם במס' נדה, שהרי תי' לקושיא הנ"ל </w:t>
      </w:r>
      <w:r w:rsidR="002B4CF6" w:rsidRPr="00882F11">
        <w:rPr>
          <w:rFonts w:cs="Guttman Drogolin" w:hint="cs"/>
          <w:rtl/>
          <w:lang w:bidi="he-IL"/>
        </w:rPr>
        <w:t>"ויש</w:t>
      </w:r>
      <w:r w:rsidR="002B4CF6" w:rsidRPr="00882F11">
        <w:rPr>
          <w:rFonts w:cs="Guttman Drogolin"/>
          <w:rtl/>
          <w:lang w:bidi="he-IL"/>
        </w:rPr>
        <w:t xml:space="preserve"> </w:t>
      </w:r>
      <w:r w:rsidR="002B4CF6" w:rsidRPr="00882F11">
        <w:rPr>
          <w:rFonts w:cs="Guttman Drogolin" w:hint="cs"/>
          <w:rtl/>
          <w:lang w:bidi="he-IL"/>
        </w:rPr>
        <w:t>לומר</w:t>
      </w:r>
      <w:r w:rsidR="002B4CF6" w:rsidRPr="00882F11">
        <w:rPr>
          <w:rFonts w:cs="Guttman Drogolin"/>
          <w:rtl/>
          <w:lang w:bidi="he-IL"/>
        </w:rPr>
        <w:t xml:space="preserve"> </w:t>
      </w:r>
      <w:r w:rsidR="002B4CF6" w:rsidRPr="00882F11">
        <w:rPr>
          <w:rFonts w:cs="Guttman Drogolin" w:hint="cs"/>
          <w:rtl/>
          <w:lang w:bidi="he-IL"/>
        </w:rPr>
        <w:t>דשאני</w:t>
      </w:r>
      <w:r w:rsidR="002B4CF6" w:rsidRPr="00882F11">
        <w:rPr>
          <w:rFonts w:cs="Guttman Drogolin"/>
          <w:rtl/>
          <w:lang w:bidi="he-IL"/>
        </w:rPr>
        <w:t xml:space="preserve"> </w:t>
      </w:r>
      <w:r w:rsidR="002B4CF6" w:rsidRPr="00882F11">
        <w:rPr>
          <w:rFonts w:cs="Guttman Drogolin" w:hint="cs"/>
          <w:rtl/>
          <w:lang w:bidi="he-IL"/>
        </w:rPr>
        <w:t>בשר</w:t>
      </w:r>
      <w:r w:rsidR="002B4CF6" w:rsidRPr="00882F11">
        <w:rPr>
          <w:rFonts w:cs="Guttman Drogolin"/>
          <w:rtl/>
          <w:lang w:bidi="he-IL"/>
        </w:rPr>
        <w:t xml:space="preserve"> </w:t>
      </w:r>
      <w:r w:rsidR="002B4CF6" w:rsidRPr="00882F11">
        <w:rPr>
          <w:rFonts w:cs="Guttman Drogolin" w:hint="cs"/>
          <w:rtl/>
          <w:lang w:bidi="he-IL"/>
        </w:rPr>
        <w:t>בחלב</w:t>
      </w:r>
      <w:r w:rsidR="002B4CF6" w:rsidRPr="00882F11">
        <w:rPr>
          <w:rFonts w:cs="Guttman Drogolin"/>
          <w:rtl/>
          <w:lang w:bidi="he-IL"/>
        </w:rPr>
        <w:t xml:space="preserve"> </w:t>
      </w:r>
      <w:r w:rsidR="002B4CF6" w:rsidRPr="00882F11">
        <w:rPr>
          <w:rFonts w:cs="Guttman Drogolin" w:hint="cs"/>
          <w:rtl/>
          <w:lang w:bidi="he-IL"/>
        </w:rPr>
        <w:t>דגלי</w:t>
      </w:r>
      <w:r w:rsidR="002B4CF6" w:rsidRPr="00882F11">
        <w:rPr>
          <w:rFonts w:cs="Guttman Drogolin"/>
          <w:rtl/>
          <w:lang w:bidi="he-IL"/>
        </w:rPr>
        <w:t xml:space="preserve"> </w:t>
      </w:r>
      <w:r w:rsidR="002B4CF6" w:rsidRPr="00882F11">
        <w:rPr>
          <w:rFonts w:cs="Guttman Drogolin" w:hint="cs"/>
          <w:rtl/>
          <w:lang w:bidi="he-IL"/>
        </w:rPr>
        <w:t>קרא</w:t>
      </w:r>
      <w:r w:rsidR="002B4CF6" w:rsidRPr="00882F11">
        <w:rPr>
          <w:rFonts w:cs="Guttman Drogolin"/>
          <w:rtl/>
          <w:lang w:bidi="he-IL"/>
        </w:rPr>
        <w:t xml:space="preserve"> </w:t>
      </w:r>
      <w:r w:rsidR="002B4CF6" w:rsidRPr="00882F11">
        <w:rPr>
          <w:rFonts w:cs="Guttman Drogolin" w:hint="cs"/>
          <w:rtl/>
          <w:lang w:bidi="he-IL"/>
        </w:rPr>
        <w:t>בהדיא</w:t>
      </w:r>
      <w:r w:rsidR="002B4CF6" w:rsidRPr="00882F11">
        <w:rPr>
          <w:rFonts w:cs="Guttman Drogolin"/>
          <w:rtl/>
          <w:lang w:bidi="he-IL"/>
        </w:rPr>
        <w:t xml:space="preserve"> </w:t>
      </w:r>
      <w:r w:rsidR="002B4CF6" w:rsidRPr="00882F11">
        <w:rPr>
          <w:rFonts w:cs="Guttman Drogolin" w:hint="cs"/>
          <w:rtl/>
          <w:lang w:bidi="he-IL"/>
        </w:rPr>
        <w:t>דבטיל</w:t>
      </w:r>
      <w:r w:rsidR="002B4CF6" w:rsidRPr="00882F11">
        <w:rPr>
          <w:rFonts w:cs="Guttman Drogolin"/>
          <w:rtl/>
          <w:lang w:bidi="he-IL"/>
        </w:rPr>
        <w:t xml:space="preserve"> </w:t>
      </w:r>
      <w:r w:rsidR="002B4CF6" w:rsidRPr="00882F11">
        <w:rPr>
          <w:rFonts w:cs="Guttman Drogolin" w:hint="cs"/>
          <w:rtl/>
          <w:lang w:bidi="he-IL"/>
        </w:rPr>
        <w:t>כדאמרינן</w:t>
      </w:r>
      <w:r w:rsidR="002B4CF6" w:rsidRPr="00882F11">
        <w:rPr>
          <w:rFonts w:cs="Guttman Drogolin"/>
          <w:rtl/>
          <w:lang w:bidi="he-IL"/>
        </w:rPr>
        <w:t xml:space="preserve"> </w:t>
      </w:r>
      <w:r w:rsidR="002B4CF6" w:rsidRPr="00882F11">
        <w:rPr>
          <w:rFonts w:cs="Guttman Drogolin" w:hint="cs"/>
          <w:rtl/>
          <w:lang w:bidi="he-IL"/>
        </w:rPr>
        <w:t>התם</w:t>
      </w:r>
      <w:r w:rsidR="002B4CF6" w:rsidRPr="00882F11">
        <w:rPr>
          <w:rFonts w:cs="Guttman Drogolin"/>
          <w:rtl/>
          <w:lang w:bidi="he-IL"/>
        </w:rPr>
        <w:t xml:space="preserve"> </w:t>
      </w:r>
      <w:r w:rsidR="002B4CF6" w:rsidRPr="00882F11">
        <w:rPr>
          <w:rFonts w:cs="Guttman Drogolin" w:hint="cs"/>
          <w:rtl/>
          <w:lang w:bidi="he-IL"/>
        </w:rPr>
        <w:t>דרך</w:t>
      </w:r>
      <w:r w:rsidR="002B4CF6" w:rsidRPr="00882F11">
        <w:rPr>
          <w:rFonts w:cs="Guttman Drogolin"/>
          <w:rtl/>
          <w:lang w:bidi="he-IL"/>
        </w:rPr>
        <w:t xml:space="preserve"> </w:t>
      </w:r>
      <w:r w:rsidR="002B4CF6" w:rsidRPr="00882F11">
        <w:rPr>
          <w:rFonts w:cs="Guttman Drogolin" w:hint="cs"/>
          <w:rtl/>
          <w:lang w:bidi="he-IL"/>
        </w:rPr>
        <w:t>בישול</w:t>
      </w:r>
      <w:r w:rsidR="002B4CF6" w:rsidRPr="00882F11">
        <w:rPr>
          <w:rFonts w:cs="Guttman Drogolin"/>
          <w:rtl/>
          <w:lang w:bidi="he-IL"/>
        </w:rPr>
        <w:t xml:space="preserve"> </w:t>
      </w:r>
      <w:r w:rsidR="002B4CF6" w:rsidRPr="00882F11">
        <w:rPr>
          <w:rFonts w:cs="Guttman Drogolin" w:hint="cs"/>
          <w:rtl/>
          <w:lang w:bidi="he-IL"/>
        </w:rPr>
        <w:t>אסרה</w:t>
      </w:r>
      <w:r w:rsidR="002B4CF6" w:rsidRPr="00882F11">
        <w:rPr>
          <w:rFonts w:cs="Guttman Drogolin"/>
          <w:rtl/>
          <w:lang w:bidi="he-IL"/>
        </w:rPr>
        <w:t xml:space="preserve"> </w:t>
      </w:r>
      <w:r w:rsidR="002B4CF6" w:rsidRPr="00882F11">
        <w:rPr>
          <w:rFonts w:cs="Guttman Drogolin" w:hint="cs"/>
          <w:rtl/>
          <w:lang w:bidi="he-IL"/>
        </w:rPr>
        <w:t>תורה"</w:t>
      </w:r>
      <w:r w:rsidR="002B4CF6" w:rsidRPr="00882F11">
        <w:rPr>
          <w:rFonts w:cs="Guttman Drogolin"/>
          <w:rtl/>
          <w:lang w:bidi="he-IL"/>
        </w:rPr>
        <w:t>.</w:t>
      </w:r>
      <w:r w:rsidR="002B4CF6" w:rsidRPr="00882F11">
        <w:rPr>
          <w:rFonts w:cs="Guttman Drogolin" w:hint="cs"/>
          <w:rtl/>
          <w:lang w:bidi="he-IL"/>
        </w:rPr>
        <w:t xml:space="preserve"> ומשמע שצריכים לדין ביטול אבל גילתה תורה ששייך ביטול. ולכאורה לרע"א ליתי' להיתר לבטל לדברי התוס', אבל לדבינו לכאורה מאי שנא, הא מ"מ בעי נתינת טעם, והרי לא נתן טעם. </w:t>
      </w:r>
      <w:r w:rsidR="00E50F7F" w:rsidRPr="00882F11">
        <w:rPr>
          <w:rFonts w:cs="Guttman Drogolin" w:hint="cs"/>
          <w:rtl/>
          <w:lang w:bidi="he-IL"/>
        </w:rPr>
        <w:t>ונראה הביאור שלכאורה הביאור לשיטת התוס' במס' ע"ז שגדר האיסור של בב"ח אינו יצירת חפצא של בב"ח ע"י זה שבשר נתן טעם בחלב או ההיפך, רק שהאיסור הוא לאכול התערובת של בבשר בחלב היכא שנתבשלו ביחד, והא דבעינן נתינת ט</w:t>
      </w:r>
      <w:r w:rsidR="002D214C">
        <w:rPr>
          <w:rFonts w:cs="Guttman Drogolin" w:hint="cs"/>
          <w:rtl/>
          <w:lang w:bidi="he-IL"/>
        </w:rPr>
        <w:t>עם אינו אלא משום דאל"כ החלב או ה</w:t>
      </w:r>
      <w:r w:rsidR="00E50F7F" w:rsidRPr="00882F11">
        <w:rPr>
          <w:rFonts w:cs="Guttman Drogolin" w:hint="cs"/>
          <w:rtl/>
          <w:lang w:bidi="he-IL"/>
        </w:rPr>
        <w:t>בשר בטלין. וזה</w:t>
      </w:r>
      <w:r w:rsidR="002D214C">
        <w:rPr>
          <w:rFonts w:cs="Guttman Drogolin" w:hint="cs"/>
          <w:rtl/>
          <w:lang w:bidi="he-IL"/>
        </w:rPr>
        <w:t>ו</w:t>
      </w:r>
      <w:r w:rsidR="00E50F7F" w:rsidRPr="00882F11">
        <w:rPr>
          <w:rFonts w:cs="Guttman Drogolin" w:hint="cs"/>
          <w:rtl/>
          <w:lang w:bidi="he-IL"/>
        </w:rPr>
        <w:t xml:space="preserve"> גופא מה שלמדנו מהא דדרך בישול אסרה תורה, שהטעם שאינו בטל הוא משום נתינת הטעם, ומיני' שבאמת שייך כאן ביטול (וכן מבואר מזה הא דס"ד ללמוד הדין של טכ"ע מבב"ח). וא"כ שפיר שייך הדין דאין מבטלין איסור לכתחילה בב"ח אע"ג דבעינן טעם, דהא עיקר האיסור הוא התערובת היכא דנבשלו יחד, וא"כ היכא שבאמת מערב רק בענין שהוא בטל הרי הוא מבטל איסור לכתחילה. ומ"מ יש כאן מידת חידוש דא"כ חזינן שאין צורך שיהא על הדבר שמערב שם איסור כדי שתהא בכלל האיסור של אין מבטלין איסור לכתחילה, רק צריך להיות דבר שנאסר ע"י תערובת אלמלא דבר זה שהוא בטל.</w:t>
      </w:r>
    </w:p>
    <w:p w:rsidR="00E50F7F" w:rsidRPr="00882F11" w:rsidRDefault="00740338" w:rsidP="00E50F7F">
      <w:pPr>
        <w:tabs>
          <w:tab w:val="right" w:pos="7497"/>
        </w:tabs>
        <w:bidi/>
        <w:jc w:val="both"/>
        <w:rPr>
          <w:rFonts w:cs="Guttman Drogolin"/>
          <w:rtl/>
          <w:lang w:bidi="he-IL"/>
        </w:rPr>
      </w:pPr>
      <w:r w:rsidRPr="00882F11">
        <w:rPr>
          <w:rFonts w:cs="Guttman Drogolin" w:hint="cs"/>
          <w:rtl/>
          <w:lang w:bidi="he-IL"/>
        </w:rPr>
        <w:t xml:space="preserve">ורע"א עצמו דקדק מדברי הרמ"א בתו"ח שהביא כאן הש"ך </w:t>
      </w:r>
      <w:r w:rsidR="00E50F7F" w:rsidRPr="00882F11">
        <w:rPr>
          <w:rFonts w:cs="Guttman Drogolin" w:hint="cs"/>
          <w:rtl/>
          <w:lang w:bidi="he-IL"/>
        </w:rPr>
        <w:t xml:space="preserve">בסי' צ"ט ס"ק כ"ב. שהרמ"א שם כתב </w:t>
      </w:r>
      <w:r w:rsidR="00E50F7F" w:rsidRPr="00882F11">
        <w:rPr>
          <w:rFonts w:cs="Guttman Drogolin" w:hint="cs"/>
          <w:rtl/>
          <w:lang w:bidi="he-IL"/>
        </w:rPr>
        <w:lastRenderedPageBreak/>
        <w:t xml:space="preserve">שאם התערב חלב במים ובטלו בששים ולאחר מכן נפל לבשר הרי הוא מותר. והש"ך שם הביא מתו"ח שהוסיף שגם מותר לערב המים הזה לכתחילה עם בשר הואיל וכבר בטל. ומדויק שרק בגלל שהחלב כבר בטל מותר לערב אותו לכתחילה עם בשר, אבל לערבו לכתחילה במים, וכ"ש לערב חלב בבשר באופן שהוא בטל ודאי אסור לכתחילה. ואני אוסיף שהרי יש לנו ראי' לזה מדברי הרמב"ם הנ"ל, שרק בב"ח דרבנן התירו לבטל לכתחילה. וכן לכאורה מבואר מדברי הש"ך (ס"ק ח') וט"ז (ס"ק ו') בסי' צ"ב שדנו בעירוב חלב שנפל לתבשיל של בשר משום דינא דאין מבטלין איסור לכתחילה, ולרע"א הא אין איסור זה קיים בבשר בחלב כלל. הרי שמכל הלין נשמע שגם בבשר בחלב אסור לבטל לכתחילה. ורע"א פי' דע"כ הטעם שאסור משום גזרה אטו שאר איסורים. </w:t>
      </w:r>
    </w:p>
    <w:p w:rsidR="00E50F7F" w:rsidRPr="00882F11" w:rsidRDefault="00E50F7F" w:rsidP="00E50F7F">
      <w:pPr>
        <w:pStyle w:val="Heading1"/>
        <w:bidi/>
        <w:spacing w:before="0" w:line="360" w:lineRule="auto"/>
        <w:jc w:val="center"/>
        <w:rPr>
          <w:rFonts w:cs="Guttman Drogolin"/>
          <w:color w:val="auto"/>
          <w:sz w:val="24"/>
          <w:szCs w:val="24"/>
          <w:u w:val="single"/>
          <w:rtl/>
          <w:lang w:bidi="he-IL"/>
        </w:rPr>
      </w:pPr>
      <w:bookmarkStart w:id="330" w:name="_Toc496175581"/>
      <w:r w:rsidRPr="00882F11">
        <w:rPr>
          <w:rFonts w:cs="Guttman Drogolin" w:hint="cs"/>
          <w:color w:val="auto"/>
          <w:sz w:val="24"/>
          <w:szCs w:val="24"/>
          <w:u w:val="single"/>
          <w:rtl/>
          <w:lang w:bidi="he-IL"/>
        </w:rPr>
        <w:t>הערה בדין דאין מבטלין איסור לכתחילה</w:t>
      </w:r>
      <w:bookmarkEnd w:id="330"/>
    </w:p>
    <w:p w:rsidR="00E50F7F" w:rsidRPr="00882F11" w:rsidRDefault="00B0776E" w:rsidP="00E50F7F">
      <w:pPr>
        <w:tabs>
          <w:tab w:val="right" w:pos="7497"/>
        </w:tabs>
        <w:bidi/>
        <w:jc w:val="both"/>
        <w:rPr>
          <w:rFonts w:cs="Guttman Drogolin"/>
          <w:rtl/>
          <w:lang w:bidi="he-IL"/>
        </w:rPr>
      </w:pPr>
      <w:r>
        <w:rPr>
          <w:rFonts w:cs="Guttman Drogolin"/>
          <w:rtl/>
          <w:lang w:bidi="he-IL"/>
        </w:rPr>
        <w:fldChar w:fldCharType="begin"/>
      </w:r>
      <w:r>
        <w:instrText xml:space="preserve"> XE "</w:instrText>
      </w:r>
      <w:r w:rsidRPr="009A368D">
        <w:rPr>
          <w:rFonts w:hint="cs"/>
          <w:rtl/>
          <w:lang w:bidi="he-IL"/>
        </w:rPr>
        <w:instrText>אין מבטלין איסור לכתחילה</w:instrText>
      </w:r>
      <w:r w:rsidRPr="009A368D">
        <w:rPr>
          <w:rtl/>
        </w:rPr>
        <w:instrText>:</w:instrText>
      </w:r>
      <w:r w:rsidRPr="009A368D">
        <w:rPr>
          <w:rFonts w:hint="cs"/>
          <w:rtl/>
          <w:lang w:bidi="he-IL"/>
        </w:rPr>
        <w:instrText>הערה במערב סכך פסול לתוך סכך כשר</w:instrText>
      </w:r>
      <w:r>
        <w:instrText xml:space="preserve">" </w:instrText>
      </w:r>
      <w:r>
        <w:rPr>
          <w:rFonts w:cs="Guttman Drogolin"/>
          <w:rtl/>
          <w:lang w:bidi="he-IL"/>
        </w:rPr>
        <w:fldChar w:fldCharType="end"/>
      </w:r>
      <w:r w:rsidR="00C66D93">
        <w:rPr>
          <w:rFonts w:cs="Guttman Drogolin"/>
          <w:rtl/>
          <w:lang w:bidi="he-IL"/>
        </w:rPr>
        <w:fldChar w:fldCharType="begin"/>
      </w:r>
      <w:r w:rsidR="00C66D93">
        <w:instrText xml:space="preserve"> XE "</w:instrText>
      </w:r>
      <w:r w:rsidR="00C66D93" w:rsidRPr="00CC4196">
        <w:rPr>
          <w:rFonts w:hint="cs"/>
          <w:rtl/>
          <w:lang w:bidi="he-IL"/>
        </w:rPr>
        <w:instrText>סוכה</w:instrText>
      </w:r>
      <w:r w:rsidR="00C66D93" w:rsidRPr="00CC4196">
        <w:rPr>
          <w:rtl/>
        </w:rPr>
        <w:instrText>:</w:instrText>
      </w:r>
      <w:r w:rsidR="00C66D93" w:rsidRPr="00CC4196">
        <w:rPr>
          <w:rFonts w:hint="cs"/>
          <w:rtl/>
          <w:lang w:bidi="he-IL"/>
        </w:rPr>
        <w:instrText>ביטול סכך פסול לכתחילה</w:instrText>
      </w:r>
      <w:r w:rsidR="00C66D93">
        <w:instrText xml:space="preserve">" </w:instrText>
      </w:r>
      <w:r w:rsidR="00C66D93">
        <w:rPr>
          <w:rFonts w:cs="Guttman Drogolin"/>
          <w:rtl/>
          <w:lang w:bidi="he-IL"/>
        </w:rPr>
        <w:fldChar w:fldCharType="end"/>
      </w:r>
      <w:r w:rsidR="00E50F7F" w:rsidRPr="00882F11">
        <w:rPr>
          <w:rFonts w:cs="Guttman Drogolin" w:hint="cs"/>
          <w:rtl/>
          <w:lang w:bidi="he-IL"/>
        </w:rPr>
        <w:t>בביטול סכך פסול עם סכך כשר נקטו כמה מפרשים שהוא מדין ביטול דכל התורה כולה. ומשו"ה העירו למה מותר לעשות כן הא אין מבטלין איסור לכתחילה. וע"ש מה שתירצו בזה. ולכאורה יש כאן מיד חידוש. דהנה עצם זה שסכך פסול מתבטל להכשיר הסכך לכאורה הוא ראי' נגד יסודו המפורסם של העונג יו"ט שלא אמרינן ביטול כדי להוסיף דינים רק כדי להוריד דינים. ו</w:t>
      </w:r>
      <w:r w:rsidR="00227EDD">
        <w:rPr>
          <w:rFonts w:cs="Guttman Drogolin" w:hint="cs"/>
          <w:rtl/>
          <w:lang w:bidi="he-IL"/>
        </w:rPr>
        <w:t>הכא אין חסרון איסור לשבת תחת סכך</w:t>
      </w:r>
      <w:r w:rsidR="00E50F7F" w:rsidRPr="00882F11">
        <w:rPr>
          <w:rFonts w:cs="Guttman Drogolin" w:hint="cs"/>
          <w:rtl/>
          <w:lang w:bidi="he-IL"/>
        </w:rPr>
        <w:t xml:space="preserve"> פסול, רק בעינן סכך כשר, וע"כ חזינן שהסכך פסול נהפך להיות סכך כשר ע"י ביטול ברוב. אלא שעוד מבואר חידוש ששייך בזה אין מבטלין איסור לכתחילה. דהא לכאורה הי' אפשר לומר שלא אומרים שאין מבטלין איסור לכתחילה אלא בדבר איסור שהוא איסור בעצם, אבל בסכך פסול, כיון שאין איסור לישב תחת סכך פסול, אין איסור בטלו, דמה איכפת לן. וחזינן מדעת המפרשים הנ""ל שאין הדין כן, רק כיון שאין זה סכך כשר אין מבטלין אותו לכתחילה כדי שיהא לו דין סכך כשר.</w:t>
      </w:r>
    </w:p>
    <w:p w:rsidR="005E1921" w:rsidRPr="00882F11" w:rsidRDefault="005E1921" w:rsidP="005E1921">
      <w:pPr>
        <w:pStyle w:val="Heading1"/>
        <w:bidi/>
        <w:spacing w:before="0" w:line="360" w:lineRule="auto"/>
        <w:jc w:val="center"/>
        <w:rPr>
          <w:rFonts w:cs="Guttman Drogolin"/>
          <w:color w:val="auto"/>
          <w:sz w:val="24"/>
          <w:szCs w:val="24"/>
          <w:u w:val="single"/>
          <w:rtl/>
          <w:lang w:bidi="he-IL"/>
        </w:rPr>
      </w:pPr>
      <w:bookmarkStart w:id="331" w:name="_Toc496175582"/>
      <w:r w:rsidRPr="00882F11">
        <w:rPr>
          <w:rFonts w:cs="Guttman Drogolin" w:hint="cs"/>
          <w:color w:val="auto"/>
          <w:sz w:val="24"/>
          <w:szCs w:val="24"/>
          <w:u w:val="single"/>
          <w:rtl/>
          <w:lang w:bidi="he-IL"/>
        </w:rPr>
        <w:lastRenderedPageBreak/>
        <w:t>בדין חוזר וניעור</w:t>
      </w:r>
      <w:bookmarkEnd w:id="331"/>
    </w:p>
    <w:p w:rsidR="005E1921" w:rsidRPr="00882F11" w:rsidRDefault="00B0776E" w:rsidP="005E1921">
      <w:pPr>
        <w:tabs>
          <w:tab w:val="right" w:pos="7497"/>
        </w:tabs>
        <w:bidi/>
        <w:jc w:val="both"/>
        <w:rPr>
          <w:rFonts w:cs="Guttman Drogolin"/>
          <w:rtl/>
          <w:lang w:bidi="he-IL"/>
        </w:rPr>
      </w:pPr>
      <w:r>
        <w:rPr>
          <w:rFonts w:cs="Guttman Drogolin"/>
          <w:rtl/>
          <w:lang w:bidi="he-IL"/>
        </w:rPr>
        <w:fldChar w:fldCharType="begin"/>
      </w:r>
      <w:r>
        <w:instrText xml:space="preserve"> XE "</w:instrText>
      </w:r>
      <w:r w:rsidRPr="00FA4972">
        <w:rPr>
          <w:rFonts w:hint="cs"/>
          <w:rtl/>
          <w:lang w:bidi="he-IL"/>
        </w:rPr>
        <w:instrText>חוזר וניעור</w:instrText>
      </w:r>
      <w:r w:rsidRPr="00FA4972">
        <w:rPr>
          <w:rtl/>
        </w:rPr>
        <w:instrText>:</w:instrText>
      </w:r>
      <w:r w:rsidRPr="00FA4972">
        <w:rPr>
          <w:rFonts w:hint="cs"/>
          <w:rtl/>
          <w:lang w:bidi="he-IL"/>
        </w:rPr>
        <w:instrText>הסוגיא</w:instrText>
      </w:r>
      <w:r>
        <w:instrText xml:space="preserve">" </w:instrText>
      </w:r>
      <w:r>
        <w:rPr>
          <w:rFonts w:cs="Guttman Drogolin"/>
          <w:rtl/>
          <w:lang w:bidi="he-IL"/>
        </w:rPr>
        <w:fldChar w:fldCharType="end"/>
      </w:r>
      <w:r w:rsidR="005E1921" w:rsidRPr="00882F11">
        <w:rPr>
          <w:rFonts w:cs="Guttman Drogolin" w:hint="cs"/>
          <w:rtl/>
          <w:lang w:bidi="he-IL"/>
        </w:rPr>
        <w:t>במס' ע"ז דף ע"ג ע"א לכאורה מבואר שאם נפל איסור לתוך היתר והתבטל, ושוב נפל שם עוד איסור ונתבטל, דלא אמרינן שהאיסור הקודם והאיסור של עכשיו מצטרפין זה לזה להיות אסור, אלא אמרינן דקמא קמא בטיל, ויוצא לא רק שהאיסור הראשון אינו מצטרף לאסור, אלא אפילו מצטרף לבטל. והתוס' והרמב"ן והר"ן האריכו לדחות שלעולם האיסור 'חוזר וניעור' ולכן מצטרף לאסור. ולשון התוס' בטעמם בזה "ותדע</w:t>
      </w:r>
      <w:r w:rsidR="005E1921" w:rsidRPr="00882F11">
        <w:rPr>
          <w:rFonts w:cs="Guttman Drogolin"/>
          <w:rtl/>
          <w:lang w:bidi="he-IL"/>
        </w:rPr>
        <w:t xml:space="preserve"> </w:t>
      </w:r>
      <w:r w:rsidR="005E1921" w:rsidRPr="00882F11">
        <w:rPr>
          <w:rFonts w:cs="Guttman Drogolin" w:hint="cs"/>
          <w:rtl/>
          <w:lang w:bidi="he-IL"/>
        </w:rPr>
        <w:t>שכן</w:t>
      </w:r>
      <w:r w:rsidR="005E1921" w:rsidRPr="00882F11">
        <w:rPr>
          <w:rFonts w:cs="Guttman Drogolin"/>
          <w:rtl/>
          <w:lang w:bidi="he-IL"/>
        </w:rPr>
        <w:t xml:space="preserve"> </w:t>
      </w:r>
      <w:r w:rsidR="005E1921" w:rsidRPr="00882F11">
        <w:rPr>
          <w:rFonts w:cs="Guttman Drogolin" w:hint="cs"/>
          <w:rtl/>
          <w:lang w:bidi="he-IL"/>
        </w:rPr>
        <w:t>הוא</w:t>
      </w:r>
      <w:r w:rsidR="005E1921" w:rsidRPr="00882F11">
        <w:rPr>
          <w:rFonts w:cs="Guttman Drogolin"/>
          <w:rtl/>
          <w:lang w:bidi="he-IL"/>
        </w:rPr>
        <w:t xml:space="preserve"> </w:t>
      </w:r>
      <w:r w:rsidR="005E1921" w:rsidRPr="00882F11">
        <w:rPr>
          <w:rFonts w:cs="Guttman Drogolin" w:hint="cs"/>
          <w:rtl/>
          <w:lang w:bidi="he-IL"/>
        </w:rPr>
        <w:t>דאי</w:t>
      </w:r>
      <w:r w:rsidR="005E1921" w:rsidRPr="00882F11">
        <w:rPr>
          <w:rFonts w:cs="Guttman Drogolin"/>
          <w:rtl/>
          <w:lang w:bidi="he-IL"/>
        </w:rPr>
        <w:t xml:space="preserve"> </w:t>
      </w:r>
      <w:r w:rsidR="005E1921" w:rsidRPr="00882F11">
        <w:rPr>
          <w:rFonts w:cs="Guttman Drogolin" w:hint="cs"/>
          <w:rtl/>
          <w:lang w:bidi="he-IL"/>
        </w:rPr>
        <w:t>לא</w:t>
      </w:r>
      <w:r w:rsidR="005E1921" w:rsidRPr="00882F11">
        <w:rPr>
          <w:rFonts w:cs="Guttman Drogolin"/>
          <w:rtl/>
          <w:lang w:bidi="he-IL"/>
        </w:rPr>
        <w:t xml:space="preserve"> </w:t>
      </w:r>
      <w:r w:rsidR="005E1921" w:rsidRPr="00882F11">
        <w:rPr>
          <w:rFonts w:cs="Guttman Drogolin" w:hint="cs"/>
          <w:rtl/>
          <w:lang w:bidi="he-IL"/>
        </w:rPr>
        <w:t>תימא</w:t>
      </w:r>
      <w:r w:rsidR="005E1921" w:rsidRPr="00882F11">
        <w:rPr>
          <w:rFonts w:cs="Guttman Drogolin"/>
          <w:rtl/>
          <w:lang w:bidi="he-IL"/>
        </w:rPr>
        <w:t xml:space="preserve"> </w:t>
      </w:r>
      <w:r w:rsidR="005E1921" w:rsidRPr="00882F11">
        <w:rPr>
          <w:rFonts w:cs="Guttman Drogolin" w:hint="cs"/>
          <w:rtl/>
          <w:lang w:bidi="he-IL"/>
        </w:rPr>
        <w:t>הכי</w:t>
      </w:r>
      <w:r w:rsidR="005E1921" w:rsidRPr="00882F11">
        <w:rPr>
          <w:rFonts w:cs="Guttman Drogolin"/>
          <w:rtl/>
          <w:lang w:bidi="he-IL"/>
        </w:rPr>
        <w:t xml:space="preserve"> </w:t>
      </w:r>
      <w:r w:rsidR="005E1921" w:rsidRPr="00882F11">
        <w:rPr>
          <w:rFonts w:cs="Guttman Drogolin" w:hint="cs"/>
          <w:rtl/>
          <w:lang w:bidi="he-IL"/>
        </w:rPr>
        <w:t>וכי</w:t>
      </w:r>
      <w:r w:rsidR="005E1921" w:rsidRPr="00882F11">
        <w:rPr>
          <w:rFonts w:cs="Guttman Drogolin"/>
          <w:rtl/>
          <w:lang w:bidi="he-IL"/>
        </w:rPr>
        <w:t xml:space="preserve"> </w:t>
      </w:r>
      <w:r w:rsidR="005E1921" w:rsidRPr="00882F11">
        <w:rPr>
          <w:rFonts w:cs="Guttman Drogolin" w:hint="cs"/>
          <w:rtl/>
          <w:lang w:bidi="he-IL"/>
        </w:rPr>
        <w:t>אם</w:t>
      </w:r>
      <w:r w:rsidR="005E1921" w:rsidRPr="00882F11">
        <w:rPr>
          <w:rFonts w:cs="Guttman Drogolin"/>
          <w:rtl/>
          <w:lang w:bidi="he-IL"/>
        </w:rPr>
        <w:t xml:space="preserve"> </w:t>
      </w:r>
      <w:r w:rsidR="005E1921" w:rsidRPr="00882F11">
        <w:rPr>
          <w:rFonts w:cs="Guttman Drogolin" w:hint="cs"/>
          <w:rtl/>
          <w:lang w:bidi="he-IL"/>
        </w:rPr>
        <w:t>היה</w:t>
      </w:r>
      <w:r w:rsidR="005E1921" w:rsidRPr="00882F11">
        <w:rPr>
          <w:rFonts w:cs="Guttman Drogolin"/>
          <w:rtl/>
          <w:lang w:bidi="he-IL"/>
        </w:rPr>
        <w:t xml:space="preserve"> </w:t>
      </w:r>
      <w:r w:rsidR="005E1921" w:rsidRPr="00882F11">
        <w:rPr>
          <w:rFonts w:cs="Guttman Drogolin" w:hint="cs"/>
          <w:rtl/>
          <w:lang w:bidi="he-IL"/>
        </w:rPr>
        <w:t>אדם</w:t>
      </w:r>
      <w:r w:rsidR="005E1921" w:rsidRPr="00882F11">
        <w:rPr>
          <w:rFonts w:cs="Guttman Drogolin"/>
          <w:rtl/>
          <w:lang w:bidi="he-IL"/>
        </w:rPr>
        <w:t xml:space="preserve"> </w:t>
      </w:r>
      <w:r w:rsidR="005E1921" w:rsidRPr="00882F11">
        <w:rPr>
          <w:rFonts w:cs="Guttman Drogolin" w:hint="cs"/>
          <w:rtl/>
          <w:lang w:bidi="he-IL"/>
        </w:rPr>
        <w:t>מערה</w:t>
      </w:r>
      <w:r w:rsidR="005E1921" w:rsidRPr="00882F11">
        <w:rPr>
          <w:rFonts w:cs="Guttman Drogolin"/>
          <w:rtl/>
          <w:lang w:bidi="he-IL"/>
        </w:rPr>
        <w:t xml:space="preserve"> </w:t>
      </w:r>
      <w:r w:rsidR="005E1921" w:rsidRPr="00882F11">
        <w:rPr>
          <w:rFonts w:cs="Guttman Drogolin" w:hint="cs"/>
          <w:rtl/>
          <w:lang w:bidi="he-IL"/>
        </w:rPr>
        <w:t>חלב</w:t>
      </w:r>
      <w:r w:rsidR="005E1921" w:rsidRPr="00882F11">
        <w:rPr>
          <w:rFonts w:cs="Guttman Drogolin"/>
          <w:rtl/>
          <w:lang w:bidi="he-IL"/>
        </w:rPr>
        <w:t xml:space="preserve"> </w:t>
      </w:r>
      <w:r w:rsidR="005E1921" w:rsidRPr="00882F11">
        <w:rPr>
          <w:rFonts w:cs="Guttman Drogolin" w:hint="cs"/>
          <w:rtl/>
          <w:lang w:bidi="he-IL"/>
        </w:rPr>
        <w:t>בקדירה</w:t>
      </w:r>
      <w:r w:rsidR="005E1921" w:rsidRPr="00882F11">
        <w:rPr>
          <w:rFonts w:cs="Guttman Drogolin"/>
          <w:rtl/>
          <w:lang w:bidi="he-IL"/>
        </w:rPr>
        <w:t xml:space="preserve"> </w:t>
      </w:r>
      <w:r w:rsidR="005E1921" w:rsidRPr="00882F11">
        <w:rPr>
          <w:rFonts w:cs="Guttman Drogolin" w:hint="cs"/>
          <w:rtl/>
          <w:lang w:bidi="he-IL"/>
        </w:rPr>
        <w:t>של</w:t>
      </w:r>
      <w:r w:rsidR="005E1921" w:rsidRPr="00882F11">
        <w:rPr>
          <w:rFonts w:cs="Guttman Drogolin"/>
          <w:rtl/>
          <w:lang w:bidi="he-IL"/>
        </w:rPr>
        <w:t xml:space="preserve"> </w:t>
      </w:r>
      <w:r w:rsidR="005E1921" w:rsidRPr="00882F11">
        <w:rPr>
          <w:rFonts w:cs="Guttman Drogolin" w:hint="cs"/>
          <w:rtl/>
          <w:lang w:bidi="he-IL"/>
        </w:rPr>
        <w:t>היתר</w:t>
      </w:r>
      <w:r w:rsidR="005E1921" w:rsidRPr="00882F11">
        <w:rPr>
          <w:rFonts w:cs="Guttman Drogolin"/>
          <w:rtl/>
          <w:lang w:bidi="he-IL"/>
        </w:rPr>
        <w:t xml:space="preserve"> </w:t>
      </w:r>
      <w:r w:rsidR="005E1921" w:rsidRPr="00882F11">
        <w:rPr>
          <w:rFonts w:cs="Guttman Drogolin" w:hint="cs"/>
          <w:rtl/>
          <w:lang w:bidi="he-IL"/>
        </w:rPr>
        <w:t>מעט</w:t>
      </w:r>
      <w:r w:rsidR="005E1921" w:rsidRPr="00882F11">
        <w:rPr>
          <w:rFonts w:cs="Guttman Drogolin"/>
          <w:rtl/>
          <w:lang w:bidi="he-IL"/>
        </w:rPr>
        <w:t xml:space="preserve"> </w:t>
      </w:r>
      <w:r w:rsidR="005E1921" w:rsidRPr="00882F11">
        <w:rPr>
          <w:rFonts w:cs="Guttman Drogolin" w:hint="cs"/>
          <w:rtl/>
          <w:lang w:bidi="he-IL"/>
        </w:rPr>
        <w:t>מעט</w:t>
      </w:r>
      <w:r w:rsidR="005E1921" w:rsidRPr="00882F11">
        <w:rPr>
          <w:rFonts w:cs="Guttman Drogolin"/>
          <w:rtl/>
          <w:lang w:bidi="he-IL"/>
        </w:rPr>
        <w:t xml:space="preserve"> </w:t>
      </w:r>
      <w:r w:rsidR="005E1921" w:rsidRPr="00882F11">
        <w:rPr>
          <w:rFonts w:cs="Guttman Drogolin" w:hint="cs"/>
          <w:rtl/>
          <w:lang w:bidi="he-IL"/>
        </w:rPr>
        <w:t>בסירוגין</w:t>
      </w:r>
      <w:r w:rsidR="005E1921" w:rsidRPr="00882F11">
        <w:rPr>
          <w:rFonts w:cs="Guttman Drogolin"/>
          <w:rtl/>
          <w:lang w:bidi="he-IL"/>
        </w:rPr>
        <w:t xml:space="preserve"> </w:t>
      </w:r>
      <w:r w:rsidR="005E1921" w:rsidRPr="00882F11">
        <w:rPr>
          <w:rFonts w:cs="Guttman Drogolin" w:hint="cs"/>
          <w:rtl/>
          <w:lang w:bidi="he-IL"/>
        </w:rPr>
        <w:t>עד</w:t>
      </w:r>
      <w:r w:rsidR="005E1921" w:rsidRPr="00882F11">
        <w:rPr>
          <w:rFonts w:cs="Guttman Drogolin"/>
          <w:rtl/>
          <w:lang w:bidi="he-IL"/>
        </w:rPr>
        <w:t xml:space="preserve"> </w:t>
      </w:r>
      <w:r w:rsidR="005E1921" w:rsidRPr="00882F11">
        <w:rPr>
          <w:rFonts w:cs="Guttman Drogolin" w:hint="cs"/>
          <w:rtl/>
          <w:lang w:bidi="he-IL"/>
        </w:rPr>
        <w:t>שנתרבה</w:t>
      </w:r>
      <w:r w:rsidR="005E1921" w:rsidRPr="00882F11">
        <w:rPr>
          <w:rFonts w:cs="Guttman Drogolin"/>
          <w:rtl/>
          <w:lang w:bidi="he-IL"/>
        </w:rPr>
        <w:t xml:space="preserve"> </w:t>
      </w:r>
      <w:r w:rsidR="005E1921" w:rsidRPr="00882F11">
        <w:rPr>
          <w:rFonts w:cs="Guttman Drogolin" w:hint="cs"/>
          <w:rtl/>
          <w:lang w:bidi="he-IL"/>
        </w:rPr>
        <w:t>החלב</w:t>
      </w:r>
      <w:r w:rsidR="005E1921" w:rsidRPr="00882F11">
        <w:rPr>
          <w:rFonts w:cs="Guttman Drogolin"/>
          <w:rtl/>
          <w:lang w:bidi="he-IL"/>
        </w:rPr>
        <w:t xml:space="preserve"> </w:t>
      </w:r>
      <w:r w:rsidR="005E1921" w:rsidRPr="00882F11">
        <w:rPr>
          <w:rFonts w:cs="Guttman Drogolin" w:hint="cs"/>
          <w:rtl/>
          <w:lang w:bidi="he-IL"/>
        </w:rPr>
        <w:t>לבסוף</w:t>
      </w:r>
      <w:r w:rsidR="005E1921" w:rsidRPr="00882F11">
        <w:rPr>
          <w:rFonts w:cs="Guttman Drogolin"/>
          <w:rtl/>
          <w:lang w:bidi="he-IL"/>
        </w:rPr>
        <w:t xml:space="preserve"> </w:t>
      </w:r>
      <w:r w:rsidR="005E1921" w:rsidRPr="00882F11">
        <w:rPr>
          <w:rFonts w:cs="Guttman Drogolin" w:hint="cs"/>
          <w:rtl/>
          <w:lang w:bidi="he-IL"/>
        </w:rPr>
        <w:t>כל</w:t>
      </w:r>
      <w:r w:rsidR="005E1921" w:rsidRPr="00882F11">
        <w:rPr>
          <w:rFonts w:cs="Guttman Drogolin"/>
          <w:rtl/>
          <w:lang w:bidi="he-IL"/>
        </w:rPr>
        <w:t xml:space="preserve"> </w:t>
      </w:r>
      <w:r w:rsidR="005E1921" w:rsidRPr="00882F11">
        <w:rPr>
          <w:rFonts w:cs="Guttman Drogolin" w:hint="cs"/>
          <w:rtl/>
          <w:lang w:bidi="he-IL"/>
        </w:rPr>
        <w:t>כך</w:t>
      </w:r>
      <w:r w:rsidR="005E1921" w:rsidRPr="00882F11">
        <w:rPr>
          <w:rFonts w:cs="Guttman Drogolin"/>
          <w:rtl/>
          <w:lang w:bidi="he-IL"/>
        </w:rPr>
        <w:t xml:space="preserve"> </w:t>
      </w:r>
      <w:r w:rsidR="005E1921" w:rsidRPr="00882F11">
        <w:rPr>
          <w:rFonts w:cs="Guttman Drogolin" w:hint="cs"/>
          <w:rtl/>
          <w:lang w:bidi="he-IL"/>
        </w:rPr>
        <w:t>שהיה</w:t>
      </w:r>
      <w:r w:rsidR="005E1921" w:rsidRPr="00882F11">
        <w:rPr>
          <w:rFonts w:cs="Guttman Drogolin"/>
          <w:rtl/>
          <w:lang w:bidi="he-IL"/>
        </w:rPr>
        <w:t xml:space="preserve"> </w:t>
      </w:r>
      <w:r w:rsidR="005E1921" w:rsidRPr="00882F11">
        <w:rPr>
          <w:rFonts w:cs="Guttman Drogolin" w:hint="cs"/>
          <w:rtl/>
          <w:lang w:bidi="he-IL"/>
        </w:rPr>
        <w:t>בו</w:t>
      </w:r>
      <w:r w:rsidR="005E1921" w:rsidRPr="00882F11">
        <w:rPr>
          <w:rFonts w:cs="Guttman Drogolin"/>
          <w:rtl/>
          <w:lang w:bidi="he-IL"/>
        </w:rPr>
        <w:t xml:space="preserve"> </w:t>
      </w:r>
      <w:r w:rsidR="005E1921" w:rsidRPr="00882F11">
        <w:rPr>
          <w:rFonts w:cs="Guttman Drogolin" w:hint="cs"/>
          <w:rtl/>
          <w:lang w:bidi="he-IL"/>
        </w:rPr>
        <w:t>בנותן</w:t>
      </w:r>
      <w:r w:rsidR="005E1921" w:rsidRPr="00882F11">
        <w:rPr>
          <w:rFonts w:cs="Guttman Drogolin"/>
          <w:rtl/>
          <w:lang w:bidi="he-IL"/>
        </w:rPr>
        <w:t xml:space="preserve"> </w:t>
      </w:r>
      <w:r w:rsidR="005E1921" w:rsidRPr="00882F11">
        <w:rPr>
          <w:rFonts w:cs="Guttman Drogolin" w:hint="cs"/>
          <w:rtl/>
          <w:lang w:bidi="he-IL"/>
        </w:rPr>
        <w:t>טעם</w:t>
      </w:r>
      <w:r w:rsidR="005E1921" w:rsidRPr="00882F11">
        <w:rPr>
          <w:rFonts w:cs="Guttman Drogolin"/>
          <w:rtl/>
          <w:lang w:bidi="he-IL"/>
        </w:rPr>
        <w:t xml:space="preserve"> </w:t>
      </w:r>
      <w:r w:rsidR="005E1921" w:rsidRPr="00882F11">
        <w:rPr>
          <w:rFonts w:cs="Guttman Drogolin" w:hint="cs"/>
          <w:rtl/>
          <w:lang w:bidi="he-IL"/>
        </w:rPr>
        <w:t>לקדירה</w:t>
      </w:r>
      <w:r w:rsidR="005E1921" w:rsidRPr="00882F11">
        <w:rPr>
          <w:rFonts w:cs="Guttman Drogolin"/>
          <w:rtl/>
          <w:lang w:bidi="he-IL"/>
        </w:rPr>
        <w:t xml:space="preserve"> </w:t>
      </w:r>
      <w:r w:rsidR="005E1921" w:rsidRPr="00882F11">
        <w:rPr>
          <w:rFonts w:cs="Guttman Drogolin" w:hint="cs"/>
          <w:rtl/>
          <w:lang w:bidi="he-IL"/>
        </w:rPr>
        <w:t>וכי</w:t>
      </w:r>
      <w:r w:rsidR="005E1921" w:rsidRPr="00882F11">
        <w:rPr>
          <w:rFonts w:cs="Guttman Drogolin"/>
          <w:rtl/>
          <w:lang w:bidi="he-IL"/>
        </w:rPr>
        <w:t xml:space="preserve"> </w:t>
      </w:r>
      <w:r w:rsidR="005E1921" w:rsidRPr="00882F11">
        <w:rPr>
          <w:rFonts w:cs="Guttman Drogolin" w:hint="cs"/>
          <w:rtl/>
          <w:lang w:bidi="he-IL"/>
        </w:rPr>
        <w:t>תעלה</w:t>
      </w:r>
      <w:r w:rsidR="005E1921" w:rsidRPr="00882F11">
        <w:rPr>
          <w:rFonts w:cs="Guttman Drogolin"/>
          <w:rtl/>
          <w:lang w:bidi="he-IL"/>
        </w:rPr>
        <w:t xml:space="preserve"> </w:t>
      </w:r>
      <w:r w:rsidR="005E1921" w:rsidRPr="00882F11">
        <w:rPr>
          <w:rFonts w:cs="Guttman Drogolin" w:hint="cs"/>
          <w:rtl/>
          <w:lang w:bidi="he-IL"/>
        </w:rPr>
        <w:t>על</w:t>
      </w:r>
      <w:r w:rsidR="005E1921" w:rsidRPr="00882F11">
        <w:rPr>
          <w:rFonts w:cs="Guttman Drogolin"/>
          <w:rtl/>
          <w:lang w:bidi="he-IL"/>
        </w:rPr>
        <w:t xml:space="preserve"> </w:t>
      </w:r>
      <w:r w:rsidR="005E1921" w:rsidRPr="00882F11">
        <w:rPr>
          <w:rFonts w:cs="Guttman Drogolin" w:hint="cs"/>
          <w:rtl/>
          <w:lang w:bidi="he-IL"/>
        </w:rPr>
        <w:t>דעתך</w:t>
      </w:r>
      <w:r w:rsidR="005E1921" w:rsidRPr="00882F11">
        <w:rPr>
          <w:rFonts w:cs="Guttman Drogolin"/>
          <w:rtl/>
          <w:lang w:bidi="he-IL"/>
        </w:rPr>
        <w:t xml:space="preserve"> </w:t>
      </w:r>
      <w:r w:rsidR="005E1921" w:rsidRPr="00882F11">
        <w:rPr>
          <w:rFonts w:cs="Guttman Drogolin" w:hint="cs"/>
          <w:rtl/>
          <w:lang w:bidi="he-IL"/>
        </w:rPr>
        <w:t>שהוא</w:t>
      </w:r>
      <w:r w:rsidR="005E1921" w:rsidRPr="00882F11">
        <w:rPr>
          <w:rFonts w:cs="Guttman Drogolin"/>
          <w:rtl/>
          <w:lang w:bidi="he-IL"/>
        </w:rPr>
        <w:t xml:space="preserve"> </w:t>
      </w:r>
      <w:r w:rsidR="005E1921" w:rsidRPr="00882F11">
        <w:rPr>
          <w:rFonts w:cs="Guttman Drogolin" w:hint="cs"/>
          <w:rtl/>
          <w:lang w:bidi="he-IL"/>
        </w:rPr>
        <w:t>מותר</w:t>
      </w:r>
      <w:r w:rsidR="005E1921" w:rsidRPr="00882F11">
        <w:rPr>
          <w:rFonts w:cs="Guttman Drogolin"/>
          <w:rtl/>
          <w:lang w:bidi="he-IL"/>
        </w:rPr>
        <w:t xml:space="preserve"> </w:t>
      </w:r>
      <w:r w:rsidR="005E1921" w:rsidRPr="00882F11">
        <w:rPr>
          <w:rFonts w:cs="Guttman Drogolin" w:hint="cs"/>
          <w:rtl/>
          <w:lang w:bidi="he-IL"/>
        </w:rPr>
        <w:t>משום</w:t>
      </w:r>
      <w:r w:rsidR="005E1921" w:rsidRPr="00882F11">
        <w:rPr>
          <w:rFonts w:cs="Guttman Drogolin"/>
          <w:rtl/>
          <w:lang w:bidi="he-IL"/>
        </w:rPr>
        <w:t xml:space="preserve"> </w:t>
      </w:r>
      <w:r w:rsidR="005E1921" w:rsidRPr="00882F11">
        <w:rPr>
          <w:rFonts w:cs="Guttman Drogolin" w:hint="cs"/>
          <w:rtl/>
          <w:lang w:bidi="he-IL"/>
        </w:rPr>
        <w:t>קמא</w:t>
      </w:r>
      <w:r w:rsidR="005E1921" w:rsidRPr="00882F11">
        <w:rPr>
          <w:rFonts w:cs="Guttman Drogolin"/>
          <w:rtl/>
          <w:lang w:bidi="he-IL"/>
        </w:rPr>
        <w:t xml:space="preserve"> </w:t>
      </w:r>
      <w:r w:rsidR="005E1921" w:rsidRPr="00882F11">
        <w:rPr>
          <w:rFonts w:cs="Guttman Drogolin" w:hint="cs"/>
          <w:rtl/>
          <w:lang w:bidi="he-IL"/>
        </w:rPr>
        <w:t>קמא</w:t>
      </w:r>
      <w:r w:rsidR="005E1921" w:rsidRPr="00882F11">
        <w:rPr>
          <w:rFonts w:cs="Guttman Drogolin"/>
          <w:rtl/>
          <w:lang w:bidi="he-IL"/>
        </w:rPr>
        <w:t xml:space="preserve"> </w:t>
      </w:r>
      <w:r w:rsidR="005E1921" w:rsidRPr="00882F11">
        <w:rPr>
          <w:rFonts w:cs="Guttman Drogolin" w:hint="cs"/>
          <w:rtl/>
          <w:lang w:bidi="he-IL"/>
        </w:rPr>
        <w:t xml:space="preserve">בטיל". ולכאורה כוונתם לומר שאמנם במין במינו אפשר לומר שהוא בטל וכן קמא קמא בטיל כיון שאינו חוזר להיות נכר ע"י טעמו, אבל הרי יסוד הדין של מין במינו הוא אטו מין בשאינו מינו, ובשאינו מינו הא ודאי חוזר וניעור כיון שעכשיו ניכר הוא ע"י הטעם. והכי קיי"ל כאן ברמ"א סע' ו' שבין במין במינו ובין במין בשאינו מינו האיסור חוזר וניעור. </w:t>
      </w:r>
    </w:p>
    <w:p w:rsidR="00BF21B3" w:rsidRPr="00882F11" w:rsidRDefault="005E1921" w:rsidP="00650B75">
      <w:pPr>
        <w:tabs>
          <w:tab w:val="right" w:pos="7497"/>
        </w:tabs>
        <w:bidi/>
        <w:jc w:val="both"/>
        <w:rPr>
          <w:rFonts w:cs="Guttman Drogolin"/>
          <w:rtl/>
          <w:lang w:bidi="he-IL"/>
        </w:rPr>
      </w:pPr>
      <w:r w:rsidRPr="00882F11">
        <w:rPr>
          <w:rFonts w:cs="Guttman Drogolin" w:hint="cs"/>
          <w:rtl/>
          <w:lang w:bidi="he-IL"/>
        </w:rPr>
        <w:t>אמנם הראשונים הביאו שיטת הראב"ד (וכן הוא שיטת עוד כמה ראשונים) שאפילו במין בשאינו מינו אמרינן דקמא דקמא בטיל. ולכאורה צ"ע דהא איכא היכר טעם וכנ"ל. ולפום ריהטא הי</w:t>
      </w:r>
      <w:r w:rsidR="00E4257C" w:rsidRPr="00882F11">
        <w:rPr>
          <w:rFonts w:cs="Guttman Drogolin" w:hint="cs"/>
          <w:rtl/>
          <w:lang w:bidi="he-IL"/>
        </w:rPr>
        <w:t>'</w:t>
      </w:r>
      <w:r w:rsidRPr="00882F11">
        <w:rPr>
          <w:rFonts w:cs="Guttman Drogolin" w:hint="cs"/>
          <w:rtl/>
          <w:lang w:bidi="he-IL"/>
        </w:rPr>
        <w:t xml:space="preserve"> נראה דסבר שהרי אחרי שהתבטל נהפך האיסור להיות היתר, וא"כ מה איכפת לן אם עכשיו ניכר טעמו הא אינו מכיר אלא טעם היתר כיון שהתבטל מקודם.</w:t>
      </w:r>
      <w:r w:rsidR="00BF21B3" w:rsidRPr="00882F11">
        <w:rPr>
          <w:rFonts w:cs="Guttman Drogolin" w:hint="cs"/>
          <w:rtl/>
          <w:lang w:bidi="he-IL"/>
        </w:rPr>
        <w:t xml:space="preserve"> אלא דהנה לכאורה דבר פשוט הוא שאפילו למ"ד שהחיוב לצנן בסי' צ"ח סע' ד' אינו אלא מדרבנן, מ"מ א</w:t>
      </w:r>
      <w:r w:rsidR="00650B75" w:rsidRPr="00882F11">
        <w:rPr>
          <w:rFonts w:cs="Guttman Drogolin" w:hint="cs"/>
          <w:rtl/>
          <w:lang w:bidi="he-IL"/>
        </w:rPr>
        <w:t>ם</w:t>
      </w:r>
      <w:r w:rsidR="00BF21B3" w:rsidRPr="00882F11">
        <w:rPr>
          <w:rFonts w:cs="Guttman Drogolin" w:hint="cs"/>
          <w:rtl/>
          <w:lang w:bidi="he-IL"/>
        </w:rPr>
        <w:t xml:space="preserve"> באמת ציננו ועלה החלב למעלה שאסור לאכלו מדאורייתא, דהא עכשיו יש לנו האיסור לפנינו ולא אהני לן הביטול הקודם כלל. והטעם שאין הביטול הופך האיסור להיתר ממש, רק שנאמר הדין דעד כמה שהוא חלק של הרוב אמרינן שדינם של המיעוט כדינו של הרוב, ולכן אחרי שיצא מן התערובת ודאי חזר דינו כדמעיקרא. וא"כ צ"ע למה אמרינן קמא קמא בטיל אחרי שחזר האיסור להיות ניכר.</w:t>
      </w:r>
    </w:p>
    <w:p w:rsidR="00C6010B" w:rsidRPr="00882F11" w:rsidRDefault="00BF21B3" w:rsidP="00BF21B3">
      <w:pPr>
        <w:tabs>
          <w:tab w:val="right" w:pos="7497"/>
        </w:tabs>
        <w:bidi/>
        <w:jc w:val="both"/>
        <w:rPr>
          <w:rFonts w:cs="Guttman Drogolin"/>
          <w:rtl/>
          <w:lang w:bidi="he-IL"/>
        </w:rPr>
      </w:pPr>
      <w:r w:rsidRPr="00882F11">
        <w:rPr>
          <w:rFonts w:cs="Guttman Drogolin" w:hint="cs"/>
          <w:rtl/>
          <w:lang w:bidi="he-IL"/>
        </w:rPr>
        <w:lastRenderedPageBreak/>
        <w:t>ולכאורה התשובה לזה ע"פ מה שכתבנו כבר כמה פעמים, שלא הרי היכר טעם הרי היא היכר בחתכות נפרדות. שבחתיכות נפרדות, אם ניכר איזה מהן איסור ואיזה מהן היתר אין כאן תערובת, ומאי אהני לן חתיכות ההיתר הרבות לשנות דינו של החתיכה של איסור. רק כשאין אנו יודעים איזה מהן איסור ואיזה מהן היתר אמרינן שאם הרוב הוא היתר יש כאן תתערובת א' שדינו כרוב ההיתר ולכן מותר לאכול הכל. אבל בהיכר טעם עדיין יש תערובת, רק שאפשר להרגיש האיסור בתערובת, ולכן איכא למימר דבעינן לי' לדינא דטכ"ע כדי לאסור התערובת.</w:t>
      </w:r>
      <w:r w:rsidR="00C6010B" w:rsidRPr="00882F11">
        <w:rPr>
          <w:rFonts w:cs="Guttman Drogolin" w:hint="cs"/>
          <w:rtl/>
          <w:lang w:bidi="he-IL"/>
        </w:rPr>
        <w:t xml:space="preserve"> ובזה סבר הראב"ד דכיון שמ"מ האיסור כבר התבטל, הרי יש לו דינו של התערובת לעולם, ואם חזר וניעור הטעם לא חזר וניעור האיסור, דהא טעם היתר יש כיון שכבר התבטל. והיינו משום דסבר הראב"ד שהיכר טעם מונע ביטול מלחול, אבל אחרי שכבר חל אין האיסור חוזר לאיסורו.</w:t>
      </w:r>
    </w:p>
    <w:p w:rsidR="00566B2E" w:rsidRPr="00882F11" w:rsidRDefault="00566B2E" w:rsidP="00566B2E">
      <w:pPr>
        <w:tabs>
          <w:tab w:val="right" w:pos="7497"/>
        </w:tabs>
        <w:bidi/>
        <w:jc w:val="both"/>
        <w:rPr>
          <w:rFonts w:cs="Guttman Drogolin"/>
          <w:rtl/>
          <w:lang w:bidi="he-IL"/>
        </w:rPr>
        <w:sectPr w:rsidR="00566B2E" w:rsidRPr="00882F11" w:rsidSect="005229E6">
          <w:type w:val="continuous"/>
          <w:pgSz w:w="11907" w:h="16839" w:code="9"/>
          <w:pgMar w:top="1440" w:right="1440" w:bottom="1440" w:left="1440" w:header="720" w:footer="720" w:gutter="0"/>
          <w:cols w:num="2" w:space="720"/>
          <w:bidi/>
          <w:docGrid w:linePitch="360"/>
        </w:sectPr>
      </w:pPr>
    </w:p>
    <w:p w:rsidR="00566B2E" w:rsidRPr="00891DE2" w:rsidRDefault="00566B2E" w:rsidP="00566B2E">
      <w:pPr>
        <w:keepNext/>
        <w:tabs>
          <w:tab w:val="left" w:pos="3818"/>
          <w:tab w:val="center" w:pos="4680"/>
        </w:tabs>
        <w:bidi/>
        <w:jc w:val="center"/>
        <w:rPr>
          <w:rFonts w:cs="Guttman Drogolin"/>
          <w:b/>
          <w:bCs/>
          <w:sz w:val="48"/>
          <w:szCs w:val="48"/>
          <w:rtl/>
          <w:lang w:bidi="he-IL"/>
        </w:rPr>
      </w:pPr>
      <w:r w:rsidRPr="00891DE2">
        <w:rPr>
          <w:rFonts w:cs="Guttman Drogolin" w:hint="cs"/>
          <w:b/>
          <w:bCs/>
          <w:sz w:val="48"/>
          <w:szCs w:val="48"/>
          <w:rtl/>
          <w:lang w:bidi="he-IL"/>
        </w:rPr>
        <w:lastRenderedPageBreak/>
        <w:t>שיעור פ"ב</w:t>
      </w:r>
    </w:p>
    <w:p w:rsidR="00891DE2" w:rsidRDefault="00891DE2" w:rsidP="00566B2E">
      <w:pPr>
        <w:pStyle w:val="Heading1"/>
        <w:bidi/>
        <w:spacing w:before="0" w:line="360" w:lineRule="auto"/>
        <w:jc w:val="center"/>
        <w:rPr>
          <w:rFonts w:cs="Guttman Drogolin"/>
          <w:color w:val="auto"/>
          <w:sz w:val="24"/>
          <w:szCs w:val="24"/>
          <w:u w:val="single"/>
          <w:rtl/>
          <w:lang w:bidi="he-IL"/>
        </w:rPr>
        <w:sectPr w:rsidR="00891DE2" w:rsidSect="00891DE2">
          <w:headerReference w:type="default" r:id="rId63"/>
          <w:pgSz w:w="11907" w:h="16839" w:code="9"/>
          <w:pgMar w:top="1440" w:right="1440" w:bottom="1440" w:left="1440" w:header="720" w:footer="720" w:gutter="0"/>
          <w:cols w:space="720"/>
          <w:bidi/>
          <w:docGrid w:linePitch="360"/>
        </w:sectPr>
      </w:pPr>
    </w:p>
    <w:p w:rsidR="00566B2E" w:rsidRPr="00882F11" w:rsidRDefault="00FE24BC" w:rsidP="00566B2E">
      <w:pPr>
        <w:pStyle w:val="Heading1"/>
        <w:bidi/>
        <w:spacing w:before="0" w:line="360" w:lineRule="auto"/>
        <w:jc w:val="center"/>
        <w:rPr>
          <w:rFonts w:cs="Guttman Drogolin"/>
          <w:color w:val="auto"/>
          <w:sz w:val="24"/>
          <w:szCs w:val="24"/>
          <w:u w:val="single"/>
          <w:rtl/>
          <w:lang w:bidi="he-IL"/>
        </w:rPr>
      </w:pPr>
      <w:bookmarkStart w:id="332" w:name="_Toc496175583"/>
      <w:r w:rsidRPr="00882F11">
        <w:rPr>
          <w:rFonts w:cs="Guttman Drogolin" w:hint="cs"/>
          <w:color w:val="auto"/>
          <w:sz w:val="24"/>
          <w:szCs w:val="24"/>
          <w:u w:val="single"/>
          <w:rtl/>
          <w:lang w:bidi="he-IL"/>
        </w:rPr>
        <w:lastRenderedPageBreak/>
        <w:t>חוזר וניעור בביטול</w:t>
      </w:r>
      <w:r w:rsidR="00566B2E" w:rsidRPr="00882F11">
        <w:rPr>
          <w:rFonts w:cs="Guttman Drogolin" w:hint="cs"/>
          <w:color w:val="auto"/>
          <w:sz w:val="24"/>
          <w:szCs w:val="24"/>
          <w:u w:val="single"/>
          <w:rtl/>
          <w:lang w:bidi="he-IL"/>
        </w:rPr>
        <w:t xml:space="preserve"> יבש ביבש מין במינו</w:t>
      </w:r>
      <w:bookmarkEnd w:id="332"/>
    </w:p>
    <w:p w:rsidR="00A50951" w:rsidRPr="00882F11" w:rsidRDefault="00F83575" w:rsidP="00566B2E">
      <w:pPr>
        <w:keepNext/>
        <w:tabs>
          <w:tab w:val="left" w:pos="3818"/>
          <w:tab w:val="center" w:pos="4680"/>
        </w:tabs>
        <w:bidi/>
        <w:jc w:val="both"/>
        <w:rPr>
          <w:rFonts w:cs="Guttman Drogolin"/>
          <w:rtl/>
          <w:lang w:bidi="he-IL"/>
        </w:rPr>
      </w:pPr>
      <w:r>
        <w:rPr>
          <w:rFonts w:cs="Guttman Drogolin"/>
          <w:rtl/>
          <w:lang w:bidi="he-IL"/>
        </w:rPr>
        <w:fldChar w:fldCharType="begin"/>
      </w:r>
      <w:r>
        <w:instrText xml:space="preserve"> XE "</w:instrText>
      </w:r>
      <w:r w:rsidRPr="00EE5B10">
        <w:rPr>
          <w:rFonts w:hint="cs"/>
          <w:rtl/>
          <w:lang w:bidi="he-IL"/>
        </w:rPr>
        <w:instrText>חוזר וניעור</w:instrText>
      </w:r>
      <w:r w:rsidRPr="00EE5B10">
        <w:rPr>
          <w:rtl/>
        </w:rPr>
        <w:instrText>:</w:instrText>
      </w:r>
      <w:r w:rsidRPr="00EE5B10">
        <w:rPr>
          <w:rFonts w:hint="cs"/>
          <w:rtl/>
          <w:lang w:bidi="he-IL"/>
        </w:rPr>
        <w:instrText>ביבש ביבש מין במינו</w:instrText>
      </w:r>
      <w:r>
        <w:instrText xml:space="preserve">" </w:instrText>
      </w:r>
      <w:r>
        <w:rPr>
          <w:rFonts w:cs="Guttman Drogolin"/>
          <w:rtl/>
          <w:lang w:bidi="he-IL"/>
        </w:rPr>
        <w:fldChar w:fldCharType="end"/>
      </w:r>
      <w:r w:rsidR="00566B2E" w:rsidRPr="00882F11">
        <w:rPr>
          <w:rFonts w:cs="Guttman Drogolin" w:hint="cs"/>
          <w:rtl/>
          <w:lang w:bidi="he-IL"/>
        </w:rPr>
        <w:t>הש"ך האריך כאן בס"ק כ"א להוכיח דקיי"ל שביבש ביבש מין במינו אין האיסור חוזר וניעור מכח המתני' שבפ"ב דמס' ערלה ודלא כמש"כ הרא"ש בפ' גיד הנשה. ויש לבאר את דבריו, דהנה הרא"ש הוא עצמו כתב שם שבביטול ברוב נהפך האיסור להיות היתר, ושמשו"ה מותר לאכול את כל התערובת אע"פ שאין ספק שאוכל גם את החפצא שהיתהשל איסור. ואעפ"כ כתב הרא"ש שאם יבש ביבש התבטל ברוב ולאחר מכן התרבה שיעור האיסור באופן שעם האיסור הקודם אין כאן שיעור ביטול הרי זה אסור. ולכאורה צ"</w:t>
      </w:r>
      <w:r w:rsidR="007522B1" w:rsidRPr="00882F11">
        <w:rPr>
          <w:rFonts w:cs="Guttman Drogolin" w:hint="cs"/>
          <w:rtl/>
          <w:lang w:bidi="he-IL"/>
        </w:rPr>
        <w:t xml:space="preserve">ע דכיון שנהפך האיסור להיות היתר למה לא יצטרף מה שהי' קודם איסור להיתר משיעור ההיתר לבטל האיסור שנפל מעכשיו. ולכאורה התשובה לזה כמו שביארנו בשיעור הקודם, שאין לאיסור חלות שם היתר אלא כל זמן שהוא חלק של הרוב, אבל אם יוצאינו מן הרוב הרי הוא חוזר להיתרו, דהא לא יעלה דעת אדם שאם יוציא האיסור מן התערובת שהוא ישאר בהיתירו. ולכן סבר הרא"ש דכיון שמעכשיו אין שיעור ביטול ליכא למימר דכיון שנהפך האיסור להיות היתר שישאר בדין היתר שלו, דהא הדין היתר שלו הי' מבוסס על </w:t>
      </w:r>
      <w:r w:rsidR="00A50951" w:rsidRPr="00882F11">
        <w:rPr>
          <w:rFonts w:cs="Guttman Drogolin" w:hint="cs"/>
          <w:rtl/>
          <w:lang w:bidi="he-IL"/>
        </w:rPr>
        <w:t>היותו של של תערובת עם רוב היתר, ועכשיו הרי ליכא שיעור ביטול ולכן הרי הוא אסור כמקודם.</w:t>
      </w:r>
    </w:p>
    <w:p w:rsidR="00A50951" w:rsidRPr="00882F11" w:rsidRDefault="00A50951" w:rsidP="00A50951">
      <w:pPr>
        <w:keepNext/>
        <w:tabs>
          <w:tab w:val="left" w:pos="3818"/>
          <w:tab w:val="center" w:pos="4680"/>
        </w:tabs>
        <w:bidi/>
        <w:jc w:val="both"/>
        <w:rPr>
          <w:rFonts w:cs="Guttman Drogolin"/>
          <w:rtl/>
          <w:lang w:bidi="he-IL"/>
        </w:rPr>
      </w:pPr>
      <w:r w:rsidRPr="00882F11">
        <w:rPr>
          <w:rFonts w:cs="Guttman Drogolin" w:hint="cs"/>
          <w:rtl/>
          <w:lang w:bidi="he-IL"/>
        </w:rPr>
        <w:t xml:space="preserve">באופן שלכאורה יש לע' מהו סברת הש"ך וסייעתו הסוברים שביבש ביבש מין במינו אמרינן שאין האיסור יוזר וניעור, דמאי שנא מן האופן שציננו את האיסור והוציאו אותו שחזר לאיסורו. ולכאורה התשובה לזה דסברי שהדין שחל על האיסור דין היתר הוא חלות שנשאר כל זמן שהוא חלק של התערובת שהמבטל אותו, שבזה אמרינן דכיון שחל על התערובת שם היתר משום הרוב, לא פקע הדין של התערובת אפילו לאחר שהתערב </w:t>
      </w:r>
      <w:r w:rsidRPr="00882F11">
        <w:rPr>
          <w:rFonts w:cs="Guttman Drogolin" w:hint="cs"/>
          <w:rtl/>
          <w:lang w:bidi="he-IL"/>
        </w:rPr>
        <w:lastRenderedPageBreak/>
        <w:t>בדבר אחר, ולכן גם האיסור הקודם מצטרף לשיעור ביטול.</w:t>
      </w:r>
    </w:p>
    <w:p w:rsidR="00566B2E" w:rsidRPr="00882F11" w:rsidRDefault="00A50951" w:rsidP="00A50951">
      <w:pPr>
        <w:keepNext/>
        <w:tabs>
          <w:tab w:val="left" w:pos="3818"/>
          <w:tab w:val="center" w:pos="4680"/>
        </w:tabs>
        <w:bidi/>
        <w:jc w:val="both"/>
        <w:rPr>
          <w:rFonts w:cs="Guttman Drogolin"/>
          <w:rtl/>
          <w:lang w:bidi="he-IL"/>
        </w:rPr>
      </w:pPr>
      <w:r w:rsidRPr="00882F11">
        <w:rPr>
          <w:rFonts w:cs="Guttman Drogolin" w:hint="cs"/>
          <w:rtl/>
          <w:lang w:bidi="he-IL"/>
        </w:rPr>
        <w:t>ולמעשה כיון שהרמ"א ורש"ל החמירו שגם במין במינו אמירנן חוזר וניעור, גם הש"ך לא הקיל אלא בהפסד מרובה</w:t>
      </w:r>
      <w:r w:rsidR="00FE24BC" w:rsidRPr="00882F11">
        <w:rPr>
          <w:rFonts w:cs="Guttman Drogolin" w:hint="cs"/>
          <w:rtl/>
          <w:lang w:bidi="he-IL"/>
        </w:rPr>
        <w:t>, וע' בפר"ח שגם חלק על הש"ך.</w:t>
      </w:r>
      <w:r w:rsidRPr="00882F11">
        <w:rPr>
          <w:rFonts w:cs="Guttman Drogolin" w:hint="cs"/>
          <w:rtl/>
          <w:lang w:bidi="he-IL"/>
        </w:rPr>
        <w:t xml:space="preserve"> </w:t>
      </w:r>
      <w:r w:rsidR="00566B2E" w:rsidRPr="00882F11">
        <w:rPr>
          <w:rFonts w:cs="Guttman Drogolin" w:hint="cs"/>
          <w:rtl/>
          <w:lang w:bidi="he-IL"/>
        </w:rPr>
        <w:t xml:space="preserve"> </w:t>
      </w:r>
    </w:p>
    <w:p w:rsidR="00FE24BC" w:rsidRPr="00882F11" w:rsidRDefault="00FE24BC" w:rsidP="00B22FB8">
      <w:pPr>
        <w:pStyle w:val="Heading1"/>
        <w:bidi/>
        <w:spacing w:before="0" w:line="360" w:lineRule="auto"/>
        <w:jc w:val="center"/>
        <w:rPr>
          <w:rFonts w:cs="Guttman Drogolin"/>
          <w:color w:val="auto"/>
          <w:sz w:val="24"/>
          <w:szCs w:val="24"/>
          <w:u w:val="single"/>
          <w:rtl/>
          <w:lang w:bidi="he-IL"/>
        </w:rPr>
      </w:pPr>
      <w:bookmarkStart w:id="333" w:name="_Toc496175584"/>
      <w:r w:rsidRPr="00882F11">
        <w:rPr>
          <w:rFonts w:cs="Guttman Drogolin" w:hint="cs"/>
          <w:color w:val="auto"/>
          <w:sz w:val="24"/>
          <w:szCs w:val="24"/>
          <w:u w:val="single"/>
          <w:rtl/>
          <w:lang w:bidi="he-IL"/>
        </w:rPr>
        <w:t>כלי שת</w:t>
      </w:r>
      <w:r w:rsidR="00B22FB8" w:rsidRPr="00882F11">
        <w:rPr>
          <w:rFonts w:cs="Guttman Drogolin" w:hint="cs"/>
          <w:color w:val="auto"/>
          <w:sz w:val="24"/>
          <w:szCs w:val="24"/>
          <w:u w:val="single"/>
          <w:rtl/>
          <w:lang w:bidi="he-IL"/>
        </w:rPr>
        <w:t>ש</w:t>
      </w:r>
      <w:r w:rsidRPr="00882F11">
        <w:rPr>
          <w:rFonts w:cs="Guttman Drogolin" w:hint="cs"/>
          <w:color w:val="auto"/>
          <w:sz w:val="24"/>
          <w:szCs w:val="24"/>
          <w:u w:val="single"/>
          <w:rtl/>
          <w:lang w:bidi="he-IL"/>
        </w:rPr>
        <w:t>מישתו בשפע</w:t>
      </w:r>
      <w:bookmarkEnd w:id="333"/>
    </w:p>
    <w:p w:rsidR="009E57A4" w:rsidRPr="00882F11" w:rsidRDefault="00F83575" w:rsidP="005720AC">
      <w:pPr>
        <w:tabs>
          <w:tab w:val="right" w:pos="7497"/>
        </w:tabs>
        <w:bidi/>
        <w:jc w:val="both"/>
        <w:rPr>
          <w:rFonts w:cs="Guttman Drogolin"/>
          <w:rtl/>
          <w:lang w:bidi="he-IL"/>
        </w:rPr>
      </w:pPr>
      <w:r>
        <w:rPr>
          <w:rFonts w:cs="Guttman Drogolin"/>
          <w:rtl/>
          <w:lang w:bidi="he-IL"/>
        </w:rPr>
        <w:fldChar w:fldCharType="begin"/>
      </w:r>
      <w:r>
        <w:instrText xml:space="preserve"> XE "</w:instrText>
      </w:r>
      <w:r w:rsidRPr="00A445B5">
        <w:rPr>
          <w:rFonts w:hint="cs"/>
          <w:rtl/>
          <w:lang w:bidi="he-IL"/>
        </w:rPr>
        <w:instrText>הכשר כלים</w:instrText>
      </w:r>
      <w:r w:rsidRPr="00A445B5">
        <w:rPr>
          <w:rtl/>
        </w:rPr>
        <w:instrText>:</w:instrText>
      </w:r>
      <w:r w:rsidRPr="00A445B5">
        <w:rPr>
          <w:rFonts w:hint="cs"/>
          <w:rtl/>
          <w:lang w:bidi="he-IL"/>
        </w:rPr>
        <w:instrText>כלי שתמישתו בשפע</w:instrText>
      </w:r>
      <w:r>
        <w:instrText xml:space="preserve">" </w:instrText>
      </w:r>
      <w:r>
        <w:rPr>
          <w:rFonts w:cs="Guttman Drogolin"/>
          <w:rtl/>
          <w:lang w:bidi="he-IL"/>
        </w:rPr>
        <w:fldChar w:fldCharType="end"/>
      </w:r>
      <w:r w:rsidR="00FE24BC" w:rsidRPr="00882F11">
        <w:rPr>
          <w:rFonts w:cs="Guttman Drogolin" w:hint="cs"/>
          <w:rtl/>
          <w:lang w:bidi="he-IL"/>
        </w:rPr>
        <w:t xml:space="preserve">ע' בב"י מש"כ בשם הריב"ש, והדבר מובוסס על המבואר בטור בסי' קכ"ב בשם הרשב"א, </w:t>
      </w:r>
      <w:r w:rsidR="009E57A4" w:rsidRPr="00882F11">
        <w:rPr>
          <w:rFonts w:cs="Guttman Drogolin" w:hint="cs"/>
          <w:rtl/>
          <w:lang w:bidi="he-IL"/>
        </w:rPr>
        <w:t>וז"ל שם "וכתב</w:t>
      </w:r>
      <w:r w:rsidR="009E57A4" w:rsidRPr="00882F11">
        <w:rPr>
          <w:rFonts w:cs="Guttman Drogolin"/>
          <w:rtl/>
          <w:lang w:bidi="he-IL"/>
        </w:rPr>
        <w:t xml:space="preserve"> </w:t>
      </w:r>
      <w:r w:rsidR="009E57A4" w:rsidRPr="00882F11">
        <w:rPr>
          <w:rFonts w:cs="Guttman Drogolin" w:hint="cs"/>
          <w:rtl/>
          <w:lang w:bidi="he-IL"/>
        </w:rPr>
        <w:t>הרשב</w:t>
      </w:r>
      <w:r w:rsidR="009E57A4" w:rsidRPr="00882F11">
        <w:rPr>
          <w:rFonts w:cs="Guttman Drogolin"/>
          <w:rtl/>
          <w:lang w:bidi="he-IL"/>
        </w:rPr>
        <w:t>"</w:t>
      </w:r>
      <w:r w:rsidR="009E57A4" w:rsidRPr="00882F11">
        <w:rPr>
          <w:rFonts w:cs="Guttman Drogolin" w:hint="cs"/>
          <w:rtl/>
          <w:lang w:bidi="he-IL"/>
        </w:rPr>
        <w:t>א</w:t>
      </w:r>
      <w:r w:rsidR="009E57A4" w:rsidRPr="00882F11">
        <w:rPr>
          <w:rFonts w:cs="Guttman Drogolin"/>
          <w:rtl/>
          <w:lang w:bidi="he-IL"/>
        </w:rPr>
        <w:t xml:space="preserve"> </w:t>
      </w:r>
      <w:r w:rsidR="009E57A4" w:rsidRPr="00882F11">
        <w:rPr>
          <w:rFonts w:cs="Guttman Drogolin" w:hint="cs"/>
          <w:rtl/>
          <w:lang w:bidi="he-IL"/>
        </w:rPr>
        <w:t>איסור</w:t>
      </w:r>
      <w:r w:rsidR="009E57A4" w:rsidRPr="00882F11">
        <w:rPr>
          <w:rFonts w:cs="Guttman Drogolin"/>
          <w:rtl/>
          <w:lang w:bidi="he-IL"/>
        </w:rPr>
        <w:t xml:space="preserve"> </w:t>
      </w:r>
      <w:r w:rsidR="009E57A4" w:rsidRPr="00882F11">
        <w:rPr>
          <w:rFonts w:cs="Guttman Drogolin" w:hint="cs"/>
          <w:rtl/>
          <w:lang w:bidi="he-IL"/>
        </w:rPr>
        <w:t>מועט</w:t>
      </w:r>
      <w:r w:rsidR="009E57A4" w:rsidRPr="00882F11">
        <w:rPr>
          <w:rFonts w:cs="Guttman Drogolin"/>
          <w:rtl/>
          <w:lang w:bidi="he-IL"/>
        </w:rPr>
        <w:t xml:space="preserve"> </w:t>
      </w:r>
      <w:r w:rsidR="009E57A4" w:rsidRPr="00882F11">
        <w:rPr>
          <w:rFonts w:cs="Guttman Drogolin" w:hint="cs"/>
          <w:rtl/>
          <w:lang w:bidi="he-IL"/>
        </w:rPr>
        <w:t>שנבלע</w:t>
      </w:r>
      <w:r w:rsidR="009E57A4" w:rsidRPr="00882F11">
        <w:rPr>
          <w:rFonts w:cs="Guttman Drogolin"/>
          <w:rtl/>
          <w:lang w:bidi="he-IL"/>
        </w:rPr>
        <w:t xml:space="preserve"> </w:t>
      </w:r>
      <w:r w:rsidR="009E57A4" w:rsidRPr="00882F11">
        <w:rPr>
          <w:rFonts w:cs="Guttman Drogolin" w:hint="cs"/>
          <w:rtl/>
          <w:lang w:bidi="he-IL"/>
        </w:rPr>
        <w:t>בכלי</w:t>
      </w:r>
      <w:r w:rsidR="009E57A4" w:rsidRPr="00882F11">
        <w:rPr>
          <w:rFonts w:cs="Guttman Drogolin"/>
          <w:rtl/>
          <w:lang w:bidi="he-IL"/>
        </w:rPr>
        <w:t xml:space="preserve"> </w:t>
      </w:r>
      <w:r w:rsidR="009E57A4" w:rsidRPr="00882F11">
        <w:rPr>
          <w:rFonts w:cs="Guttman Drogolin" w:hint="cs"/>
          <w:rtl/>
          <w:lang w:bidi="he-IL"/>
        </w:rPr>
        <w:t>אם</w:t>
      </w:r>
      <w:r w:rsidR="009E57A4" w:rsidRPr="00882F11">
        <w:rPr>
          <w:rFonts w:cs="Guttman Drogolin"/>
          <w:rtl/>
          <w:lang w:bidi="he-IL"/>
        </w:rPr>
        <w:t xml:space="preserve"> </w:t>
      </w:r>
      <w:r w:rsidR="009E57A4" w:rsidRPr="00882F11">
        <w:rPr>
          <w:rFonts w:cs="Guttman Drogolin" w:hint="cs"/>
          <w:rtl/>
          <w:lang w:bidi="he-IL"/>
        </w:rPr>
        <w:t>דרכו</w:t>
      </w:r>
      <w:r w:rsidR="009E57A4" w:rsidRPr="00882F11">
        <w:rPr>
          <w:rFonts w:cs="Guttman Drogolin"/>
          <w:rtl/>
          <w:lang w:bidi="he-IL"/>
        </w:rPr>
        <w:t xml:space="preserve"> </w:t>
      </w:r>
      <w:r w:rsidR="009E57A4" w:rsidRPr="00882F11">
        <w:rPr>
          <w:rFonts w:cs="Guttman Drogolin" w:hint="cs"/>
          <w:rtl/>
          <w:lang w:bidi="he-IL"/>
        </w:rPr>
        <w:t>של</w:t>
      </w:r>
      <w:r w:rsidR="009E57A4" w:rsidRPr="00882F11">
        <w:rPr>
          <w:rFonts w:cs="Guttman Drogolin"/>
          <w:rtl/>
          <w:lang w:bidi="he-IL"/>
        </w:rPr>
        <w:t xml:space="preserve"> </w:t>
      </w:r>
      <w:r w:rsidR="009E57A4" w:rsidRPr="00882F11">
        <w:rPr>
          <w:rFonts w:cs="Guttman Drogolin" w:hint="cs"/>
          <w:rtl/>
          <w:lang w:bidi="he-IL"/>
        </w:rPr>
        <w:t>אותו</w:t>
      </w:r>
      <w:r w:rsidR="009E57A4" w:rsidRPr="00882F11">
        <w:rPr>
          <w:rFonts w:cs="Guttman Drogolin"/>
          <w:rtl/>
          <w:lang w:bidi="he-IL"/>
        </w:rPr>
        <w:t xml:space="preserve"> </w:t>
      </w:r>
      <w:r w:rsidR="009E57A4" w:rsidRPr="00882F11">
        <w:rPr>
          <w:rFonts w:cs="Guttman Drogolin" w:hint="cs"/>
          <w:rtl/>
          <w:lang w:bidi="he-IL"/>
        </w:rPr>
        <w:t>כלי</w:t>
      </w:r>
      <w:r w:rsidR="009E57A4" w:rsidRPr="00882F11">
        <w:rPr>
          <w:rFonts w:cs="Guttman Drogolin"/>
          <w:rtl/>
          <w:lang w:bidi="he-IL"/>
        </w:rPr>
        <w:t xml:space="preserve"> </w:t>
      </w:r>
      <w:r w:rsidR="009E57A4" w:rsidRPr="00882F11">
        <w:rPr>
          <w:rFonts w:cs="Guttman Drogolin" w:hint="cs"/>
          <w:rtl/>
          <w:lang w:bidi="he-IL"/>
        </w:rPr>
        <w:t>שלא</w:t>
      </w:r>
      <w:r w:rsidR="009E57A4" w:rsidRPr="00882F11">
        <w:rPr>
          <w:rFonts w:cs="Guttman Drogolin"/>
          <w:rtl/>
          <w:lang w:bidi="he-IL"/>
        </w:rPr>
        <w:t xml:space="preserve"> </w:t>
      </w:r>
      <w:r w:rsidR="009E57A4" w:rsidRPr="00882F11">
        <w:rPr>
          <w:rFonts w:cs="Guttman Drogolin" w:hint="cs"/>
          <w:rtl/>
          <w:lang w:bidi="he-IL"/>
        </w:rPr>
        <w:t>להשתמש</w:t>
      </w:r>
      <w:r w:rsidR="009E57A4" w:rsidRPr="00882F11">
        <w:rPr>
          <w:rFonts w:cs="Guttman Drogolin"/>
          <w:rtl/>
          <w:lang w:bidi="he-IL"/>
        </w:rPr>
        <w:t xml:space="preserve"> </w:t>
      </w:r>
      <w:r w:rsidR="009E57A4" w:rsidRPr="00882F11">
        <w:rPr>
          <w:rFonts w:cs="Guttman Drogolin" w:hint="cs"/>
          <w:rtl/>
          <w:lang w:bidi="he-IL"/>
        </w:rPr>
        <w:t>בו</w:t>
      </w:r>
      <w:r w:rsidR="009E57A4" w:rsidRPr="00882F11">
        <w:rPr>
          <w:rFonts w:cs="Guttman Drogolin"/>
          <w:rtl/>
          <w:lang w:bidi="he-IL"/>
        </w:rPr>
        <w:t xml:space="preserve"> </w:t>
      </w:r>
      <w:r w:rsidR="009E57A4" w:rsidRPr="00882F11">
        <w:rPr>
          <w:rFonts w:cs="Guttman Drogolin" w:hint="cs"/>
          <w:rtl/>
          <w:lang w:bidi="he-IL"/>
        </w:rPr>
        <w:t>בהיתר</w:t>
      </w:r>
      <w:r w:rsidR="009E57A4" w:rsidRPr="00882F11">
        <w:rPr>
          <w:rFonts w:cs="Guttman Drogolin"/>
          <w:rtl/>
          <w:lang w:bidi="he-IL"/>
        </w:rPr>
        <w:t xml:space="preserve"> </w:t>
      </w:r>
      <w:r w:rsidR="009E57A4" w:rsidRPr="00882F11">
        <w:rPr>
          <w:rFonts w:cs="Guttman Drogolin" w:hint="cs"/>
          <w:rtl/>
          <w:lang w:bidi="he-IL"/>
        </w:rPr>
        <w:t>מועט</w:t>
      </w:r>
      <w:r w:rsidR="009E57A4" w:rsidRPr="00882F11">
        <w:rPr>
          <w:rFonts w:cs="Guttman Drogolin"/>
          <w:rtl/>
          <w:lang w:bidi="he-IL"/>
        </w:rPr>
        <w:t xml:space="preserve"> </w:t>
      </w:r>
      <w:r w:rsidR="009E57A4" w:rsidRPr="00882F11">
        <w:rPr>
          <w:rFonts w:cs="Guttman Drogolin" w:hint="cs"/>
          <w:rtl/>
          <w:lang w:bidi="he-IL"/>
        </w:rPr>
        <w:t>בכדי</w:t>
      </w:r>
      <w:r w:rsidR="009E57A4" w:rsidRPr="00882F11">
        <w:rPr>
          <w:rFonts w:cs="Guttman Drogolin"/>
          <w:rtl/>
          <w:lang w:bidi="he-IL"/>
        </w:rPr>
        <w:t xml:space="preserve"> </w:t>
      </w:r>
      <w:r w:rsidR="009E57A4" w:rsidRPr="00882F11">
        <w:rPr>
          <w:rFonts w:cs="Guttman Drogolin" w:hint="cs"/>
          <w:rtl/>
          <w:lang w:bidi="he-IL"/>
        </w:rPr>
        <w:t>שיתן</w:t>
      </w:r>
      <w:r w:rsidR="009E57A4" w:rsidRPr="00882F11">
        <w:rPr>
          <w:rFonts w:cs="Guttman Drogolin"/>
          <w:rtl/>
          <w:lang w:bidi="he-IL"/>
        </w:rPr>
        <w:t xml:space="preserve"> </w:t>
      </w:r>
      <w:r w:rsidR="009E57A4" w:rsidRPr="00882F11">
        <w:rPr>
          <w:rFonts w:cs="Guttman Drogolin" w:hint="cs"/>
          <w:rtl/>
          <w:lang w:bidi="he-IL"/>
        </w:rPr>
        <w:t>זה</w:t>
      </w:r>
      <w:r w:rsidR="009E57A4" w:rsidRPr="00882F11">
        <w:rPr>
          <w:rFonts w:cs="Guttman Drogolin"/>
          <w:rtl/>
          <w:lang w:bidi="he-IL"/>
        </w:rPr>
        <w:t xml:space="preserve"> </w:t>
      </w:r>
      <w:r w:rsidR="009E57A4" w:rsidRPr="00882F11">
        <w:rPr>
          <w:rFonts w:cs="Guttman Drogolin" w:hint="cs"/>
          <w:rtl/>
          <w:lang w:bidi="he-IL"/>
        </w:rPr>
        <w:t>טעם</w:t>
      </w:r>
      <w:r w:rsidR="009E57A4" w:rsidRPr="00882F11">
        <w:rPr>
          <w:rFonts w:cs="Guttman Drogolin"/>
          <w:rtl/>
          <w:lang w:bidi="he-IL"/>
        </w:rPr>
        <w:t xml:space="preserve"> </w:t>
      </w:r>
      <w:r w:rsidR="009E57A4" w:rsidRPr="00882F11">
        <w:rPr>
          <w:rFonts w:cs="Guttman Drogolin" w:hint="cs"/>
          <w:rtl/>
          <w:lang w:bidi="he-IL"/>
        </w:rPr>
        <w:t>בהיתר</w:t>
      </w:r>
      <w:r w:rsidR="009E57A4" w:rsidRPr="00882F11">
        <w:rPr>
          <w:rFonts w:cs="Guttman Drogolin"/>
          <w:rtl/>
          <w:lang w:bidi="he-IL"/>
        </w:rPr>
        <w:t xml:space="preserve"> </w:t>
      </w:r>
      <w:r w:rsidR="009E57A4" w:rsidRPr="00882F11">
        <w:rPr>
          <w:rFonts w:cs="Guttman Drogolin" w:hint="cs"/>
          <w:rtl/>
          <w:lang w:bidi="he-IL"/>
        </w:rPr>
        <w:t>שישתמשו</w:t>
      </w:r>
      <w:r w:rsidR="009E57A4" w:rsidRPr="00882F11">
        <w:rPr>
          <w:rFonts w:cs="Guttman Drogolin"/>
          <w:rtl/>
          <w:lang w:bidi="he-IL"/>
        </w:rPr>
        <w:t xml:space="preserve"> </w:t>
      </w:r>
      <w:r w:rsidR="009E57A4" w:rsidRPr="00882F11">
        <w:rPr>
          <w:rFonts w:cs="Guttman Drogolin" w:hint="cs"/>
          <w:rtl/>
          <w:lang w:bidi="he-IL"/>
        </w:rPr>
        <w:t>בו</w:t>
      </w:r>
      <w:r w:rsidR="009E57A4" w:rsidRPr="00882F11">
        <w:rPr>
          <w:rFonts w:cs="Guttman Drogolin"/>
          <w:rtl/>
          <w:lang w:bidi="he-IL"/>
        </w:rPr>
        <w:t xml:space="preserve"> </w:t>
      </w:r>
      <w:r w:rsidR="009E57A4" w:rsidRPr="00882F11">
        <w:rPr>
          <w:rFonts w:cs="Guttman Drogolin" w:hint="cs"/>
          <w:rtl/>
          <w:lang w:bidi="he-IL"/>
        </w:rPr>
        <w:t>כמו</w:t>
      </w:r>
      <w:r w:rsidR="009E57A4" w:rsidRPr="00882F11">
        <w:rPr>
          <w:rFonts w:cs="Guttman Drogolin"/>
          <w:rtl/>
          <w:lang w:bidi="he-IL"/>
        </w:rPr>
        <w:t xml:space="preserve"> </w:t>
      </w:r>
      <w:r w:rsidR="009E57A4" w:rsidRPr="00882F11">
        <w:rPr>
          <w:rFonts w:cs="Guttman Drogolin" w:hint="cs"/>
          <w:rtl/>
          <w:lang w:bidi="he-IL"/>
        </w:rPr>
        <w:t>קדרה</w:t>
      </w:r>
      <w:r w:rsidR="009E57A4" w:rsidRPr="00882F11">
        <w:rPr>
          <w:rFonts w:cs="Guttman Drogolin"/>
          <w:rtl/>
          <w:lang w:bidi="he-IL"/>
        </w:rPr>
        <w:t xml:space="preserve"> </w:t>
      </w:r>
      <w:r w:rsidR="009E57A4" w:rsidRPr="00882F11">
        <w:rPr>
          <w:rFonts w:cs="Guttman Drogolin" w:hint="cs"/>
          <w:rtl/>
          <w:lang w:bidi="he-IL"/>
        </w:rPr>
        <w:t>גדולה</w:t>
      </w:r>
      <w:r w:rsidR="009E57A4" w:rsidRPr="00882F11">
        <w:rPr>
          <w:rFonts w:cs="Guttman Drogolin"/>
          <w:rtl/>
          <w:lang w:bidi="he-IL"/>
        </w:rPr>
        <w:t xml:space="preserve"> </w:t>
      </w:r>
      <w:r w:rsidR="009E57A4" w:rsidRPr="00882F11">
        <w:rPr>
          <w:rFonts w:cs="Guttman Drogolin" w:hint="cs"/>
          <w:rtl/>
          <w:lang w:bidi="he-IL"/>
        </w:rPr>
        <w:t>וחבית</w:t>
      </w:r>
      <w:r w:rsidR="009E57A4" w:rsidRPr="00882F11">
        <w:rPr>
          <w:rFonts w:cs="Guttman Drogolin"/>
          <w:rtl/>
          <w:lang w:bidi="he-IL"/>
        </w:rPr>
        <w:t xml:space="preserve"> </w:t>
      </w:r>
      <w:r w:rsidR="009E57A4" w:rsidRPr="00882F11">
        <w:rPr>
          <w:rFonts w:cs="Guttman Drogolin" w:hint="cs"/>
          <w:rtl/>
          <w:lang w:bidi="he-IL"/>
        </w:rPr>
        <w:t>גדולה</w:t>
      </w:r>
      <w:r w:rsidR="009E57A4" w:rsidRPr="00882F11">
        <w:rPr>
          <w:rFonts w:cs="Guttman Drogolin"/>
          <w:rtl/>
          <w:lang w:bidi="he-IL"/>
        </w:rPr>
        <w:t xml:space="preserve"> </w:t>
      </w:r>
      <w:r w:rsidR="009E57A4" w:rsidRPr="00882F11">
        <w:rPr>
          <w:rFonts w:cs="Guttman Drogolin" w:hint="cs"/>
          <w:rtl/>
          <w:lang w:bidi="he-IL"/>
        </w:rPr>
        <w:t>וכיוצא</w:t>
      </w:r>
      <w:r w:rsidR="009E57A4" w:rsidRPr="00882F11">
        <w:rPr>
          <w:rFonts w:cs="Guttman Drogolin"/>
          <w:rtl/>
          <w:lang w:bidi="he-IL"/>
        </w:rPr>
        <w:t xml:space="preserve"> </w:t>
      </w:r>
      <w:r w:rsidR="009E57A4" w:rsidRPr="00882F11">
        <w:rPr>
          <w:rFonts w:cs="Guttman Drogolin" w:hint="cs"/>
          <w:rtl/>
          <w:lang w:bidi="he-IL"/>
        </w:rPr>
        <w:t>בהן</w:t>
      </w:r>
      <w:r w:rsidR="009E57A4" w:rsidRPr="00882F11">
        <w:rPr>
          <w:rFonts w:cs="Guttman Drogolin"/>
          <w:rtl/>
          <w:lang w:bidi="he-IL"/>
        </w:rPr>
        <w:t xml:space="preserve"> </w:t>
      </w:r>
      <w:r w:rsidR="009E57A4" w:rsidRPr="00882F11">
        <w:rPr>
          <w:rFonts w:cs="Guttman Drogolin" w:hint="cs"/>
          <w:rtl/>
          <w:lang w:bidi="he-IL"/>
        </w:rPr>
        <w:t>הרי</w:t>
      </w:r>
      <w:r w:rsidR="009E57A4" w:rsidRPr="00882F11">
        <w:rPr>
          <w:rFonts w:cs="Guttman Drogolin"/>
          <w:rtl/>
          <w:lang w:bidi="he-IL"/>
        </w:rPr>
        <w:t xml:space="preserve"> </w:t>
      </w:r>
      <w:r w:rsidR="009E57A4" w:rsidRPr="00882F11">
        <w:rPr>
          <w:rFonts w:cs="Guttman Drogolin" w:hint="cs"/>
          <w:rtl/>
          <w:lang w:bidi="he-IL"/>
        </w:rPr>
        <w:t>זה</w:t>
      </w:r>
      <w:r w:rsidR="009E57A4" w:rsidRPr="00882F11">
        <w:rPr>
          <w:rFonts w:cs="Guttman Drogolin"/>
          <w:rtl/>
          <w:lang w:bidi="he-IL"/>
        </w:rPr>
        <w:t xml:space="preserve"> </w:t>
      </w:r>
      <w:r w:rsidR="009E57A4" w:rsidRPr="00882F11">
        <w:rPr>
          <w:rFonts w:cs="Guttman Drogolin" w:hint="cs"/>
          <w:rtl/>
          <w:lang w:bidi="he-IL"/>
        </w:rPr>
        <w:t>מותר</w:t>
      </w:r>
      <w:r w:rsidR="009E57A4" w:rsidRPr="00882F11">
        <w:rPr>
          <w:rFonts w:cs="Guttman Drogolin"/>
          <w:rtl/>
          <w:lang w:bidi="he-IL"/>
        </w:rPr>
        <w:t xml:space="preserve"> </w:t>
      </w:r>
      <w:r w:rsidR="009E57A4" w:rsidRPr="00882F11">
        <w:rPr>
          <w:rFonts w:cs="Guttman Drogolin" w:hint="cs"/>
          <w:rtl/>
          <w:lang w:bidi="he-IL"/>
        </w:rPr>
        <w:t>להשתמש</w:t>
      </w:r>
      <w:r w:rsidR="009E57A4" w:rsidRPr="00882F11">
        <w:rPr>
          <w:rFonts w:cs="Guttman Drogolin"/>
          <w:rtl/>
          <w:lang w:bidi="he-IL"/>
        </w:rPr>
        <w:t xml:space="preserve"> </w:t>
      </w:r>
      <w:r w:rsidR="009E57A4" w:rsidRPr="00882F11">
        <w:rPr>
          <w:rFonts w:cs="Guttman Drogolin" w:hint="cs"/>
          <w:rtl/>
          <w:lang w:bidi="he-IL"/>
        </w:rPr>
        <w:t>בו</w:t>
      </w:r>
      <w:r w:rsidR="009E57A4" w:rsidRPr="00882F11">
        <w:rPr>
          <w:rFonts w:cs="Guttman Drogolin"/>
          <w:rtl/>
          <w:lang w:bidi="he-IL"/>
        </w:rPr>
        <w:t xml:space="preserve"> </w:t>
      </w:r>
      <w:r w:rsidR="009E57A4" w:rsidRPr="00882F11">
        <w:rPr>
          <w:rFonts w:cs="Guttman Drogolin" w:hint="cs"/>
          <w:rtl/>
          <w:lang w:bidi="he-IL"/>
        </w:rPr>
        <w:t>לכתחילה</w:t>
      </w:r>
      <w:r w:rsidR="009E57A4" w:rsidRPr="00882F11">
        <w:rPr>
          <w:rFonts w:cs="Guttman Drogolin"/>
          <w:rtl/>
          <w:lang w:bidi="he-IL"/>
        </w:rPr>
        <w:t xml:space="preserve"> </w:t>
      </w:r>
      <w:r w:rsidR="009E57A4" w:rsidRPr="00882F11">
        <w:rPr>
          <w:rFonts w:cs="Guttman Drogolin" w:hint="cs"/>
          <w:rtl/>
          <w:lang w:bidi="he-IL"/>
        </w:rPr>
        <w:t>אף</w:t>
      </w:r>
      <w:r w:rsidR="009E57A4" w:rsidRPr="00882F11">
        <w:rPr>
          <w:rFonts w:cs="Guttman Drogolin"/>
          <w:rtl/>
          <w:lang w:bidi="he-IL"/>
        </w:rPr>
        <w:t xml:space="preserve"> </w:t>
      </w:r>
      <w:r w:rsidR="009E57A4" w:rsidRPr="00882F11">
        <w:rPr>
          <w:rFonts w:cs="Guttman Drogolin" w:hint="cs"/>
          <w:rtl/>
          <w:lang w:bidi="he-IL"/>
        </w:rPr>
        <w:t>על</w:t>
      </w:r>
      <w:r w:rsidR="009E57A4" w:rsidRPr="00882F11">
        <w:rPr>
          <w:rFonts w:cs="Guttman Drogolin"/>
          <w:rtl/>
          <w:lang w:bidi="he-IL"/>
        </w:rPr>
        <w:t xml:space="preserve"> </w:t>
      </w:r>
      <w:r w:rsidR="009E57A4" w:rsidRPr="00882F11">
        <w:rPr>
          <w:rFonts w:cs="Guttman Drogolin" w:hint="cs"/>
          <w:rtl/>
          <w:lang w:bidi="he-IL"/>
        </w:rPr>
        <w:t>פי</w:t>
      </w:r>
      <w:r w:rsidR="009E57A4" w:rsidRPr="00882F11">
        <w:rPr>
          <w:rFonts w:cs="Guttman Drogolin"/>
          <w:rtl/>
          <w:lang w:bidi="he-IL"/>
        </w:rPr>
        <w:t xml:space="preserve"> </w:t>
      </w:r>
      <w:r w:rsidR="009E57A4" w:rsidRPr="00882F11">
        <w:rPr>
          <w:rFonts w:cs="Guttman Drogolin" w:hint="cs"/>
          <w:rtl/>
          <w:lang w:bidi="he-IL"/>
        </w:rPr>
        <w:t>שהוא</w:t>
      </w:r>
      <w:r w:rsidR="009E57A4" w:rsidRPr="00882F11">
        <w:rPr>
          <w:rFonts w:cs="Guttman Drogolin"/>
          <w:rtl/>
          <w:lang w:bidi="he-IL"/>
        </w:rPr>
        <w:t xml:space="preserve"> </w:t>
      </w:r>
      <w:r w:rsidR="009E57A4" w:rsidRPr="00882F11">
        <w:rPr>
          <w:rFonts w:cs="Guttman Drogolin" w:hint="cs"/>
          <w:rtl/>
          <w:lang w:bidi="he-IL"/>
        </w:rPr>
        <w:t>ב</w:t>
      </w:r>
      <w:r w:rsidR="009E57A4" w:rsidRPr="00882F11">
        <w:rPr>
          <w:rFonts w:cs="Guttman Drogolin"/>
          <w:rtl/>
          <w:lang w:bidi="he-IL"/>
        </w:rPr>
        <w:t>"</w:t>
      </w:r>
      <w:r w:rsidR="009E57A4" w:rsidRPr="00882F11">
        <w:rPr>
          <w:rFonts w:cs="Guttman Drogolin" w:hint="cs"/>
          <w:rtl/>
          <w:lang w:bidi="he-IL"/>
        </w:rPr>
        <w:t>י</w:t>
      </w:r>
      <w:r w:rsidR="009E57A4" w:rsidRPr="00882F11">
        <w:rPr>
          <w:rFonts w:cs="Guttman Drogolin"/>
          <w:rtl/>
          <w:lang w:bidi="he-IL"/>
        </w:rPr>
        <w:t xml:space="preserve"> </w:t>
      </w:r>
      <w:r w:rsidR="009E57A4" w:rsidRPr="00882F11">
        <w:rPr>
          <w:rFonts w:cs="Guttman Drogolin" w:hint="cs"/>
          <w:rtl/>
          <w:lang w:bidi="he-IL"/>
        </w:rPr>
        <w:t>לפי</w:t>
      </w:r>
      <w:r w:rsidR="009E57A4" w:rsidRPr="00882F11">
        <w:rPr>
          <w:rFonts w:cs="Guttman Drogolin"/>
          <w:rtl/>
          <w:lang w:bidi="he-IL"/>
        </w:rPr>
        <w:t xml:space="preserve"> </w:t>
      </w:r>
      <w:r w:rsidR="009E57A4" w:rsidRPr="00882F11">
        <w:rPr>
          <w:rFonts w:cs="Guttman Drogolin" w:hint="cs"/>
          <w:rtl/>
          <w:lang w:bidi="he-IL"/>
        </w:rPr>
        <w:t>שא</w:t>
      </w:r>
      <w:r w:rsidR="009E57A4" w:rsidRPr="00882F11">
        <w:rPr>
          <w:rFonts w:cs="Guttman Drogolin"/>
          <w:rtl/>
          <w:lang w:bidi="he-IL"/>
        </w:rPr>
        <w:t>"</w:t>
      </w:r>
      <w:r w:rsidR="009E57A4" w:rsidRPr="00882F11">
        <w:rPr>
          <w:rFonts w:cs="Guttman Drogolin" w:hint="cs"/>
          <w:rtl/>
          <w:lang w:bidi="he-IL"/>
        </w:rPr>
        <w:t>א</w:t>
      </w:r>
      <w:r w:rsidR="009E57A4" w:rsidRPr="00882F11">
        <w:rPr>
          <w:rFonts w:cs="Guttman Drogolin"/>
          <w:rtl/>
          <w:lang w:bidi="he-IL"/>
        </w:rPr>
        <w:t xml:space="preserve"> </w:t>
      </w:r>
      <w:r w:rsidR="009E57A4" w:rsidRPr="00882F11">
        <w:rPr>
          <w:rFonts w:cs="Guttman Drogolin" w:hint="cs"/>
          <w:rtl/>
          <w:lang w:bidi="he-IL"/>
        </w:rPr>
        <w:t>לבא</w:t>
      </w:r>
      <w:r w:rsidR="009E57A4" w:rsidRPr="00882F11">
        <w:rPr>
          <w:rFonts w:cs="Guttman Drogolin"/>
          <w:rtl/>
          <w:lang w:bidi="he-IL"/>
        </w:rPr>
        <w:t xml:space="preserve"> </w:t>
      </w:r>
      <w:r w:rsidR="009E57A4" w:rsidRPr="00882F11">
        <w:rPr>
          <w:rFonts w:cs="Guttman Drogolin" w:hint="cs"/>
          <w:rtl/>
          <w:lang w:bidi="he-IL"/>
        </w:rPr>
        <w:t>לידי</w:t>
      </w:r>
      <w:r w:rsidR="009E57A4" w:rsidRPr="00882F11">
        <w:rPr>
          <w:rFonts w:cs="Guttman Drogolin"/>
          <w:rtl/>
          <w:lang w:bidi="he-IL"/>
        </w:rPr>
        <w:t xml:space="preserve"> </w:t>
      </w:r>
      <w:r w:rsidR="009E57A4" w:rsidRPr="00882F11">
        <w:rPr>
          <w:rFonts w:cs="Guttman Drogolin" w:hint="cs"/>
          <w:rtl/>
          <w:lang w:bidi="he-IL"/>
        </w:rPr>
        <w:t>נתינת</w:t>
      </w:r>
      <w:r w:rsidR="009E57A4" w:rsidRPr="00882F11">
        <w:rPr>
          <w:rFonts w:cs="Guttman Drogolin"/>
          <w:rtl/>
          <w:lang w:bidi="he-IL"/>
        </w:rPr>
        <w:t xml:space="preserve"> </w:t>
      </w:r>
      <w:r w:rsidR="009E57A4" w:rsidRPr="00882F11">
        <w:rPr>
          <w:rFonts w:cs="Guttman Drogolin" w:hint="cs"/>
          <w:rtl/>
          <w:lang w:bidi="he-IL"/>
        </w:rPr>
        <w:t>טעם</w:t>
      </w:r>
      <w:r w:rsidR="009E57A4" w:rsidRPr="00882F11">
        <w:rPr>
          <w:rFonts w:cs="Guttman Drogolin"/>
          <w:rtl/>
          <w:lang w:bidi="he-IL"/>
        </w:rPr>
        <w:t xml:space="preserve"> </w:t>
      </w:r>
      <w:r w:rsidR="009E57A4" w:rsidRPr="00882F11">
        <w:rPr>
          <w:rFonts w:cs="Guttman Drogolin" w:hint="cs"/>
          <w:rtl/>
          <w:lang w:bidi="he-IL"/>
        </w:rPr>
        <w:t>אבל</w:t>
      </w:r>
      <w:r w:rsidR="009E57A4" w:rsidRPr="00882F11">
        <w:rPr>
          <w:rFonts w:cs="Guttman Drogolin"/>
          <w:rtl/>
          <w:lang w:bidi="he-IL"/>
        </w:rPr>
        <w:t xml:space="preserve"> </w:t>
      </w:r>
      <w:r w:rsidR="009E57A4" w:rsidRPr="00882F11">
        <w:rPr>
          <w:rFonts w:cs="Guttman Drogolin" w:hint="cs"/>
          <w:rtl/>
          <w:lang w:bidi="he-IL"/>
        </w:rPr>
        <w:t>אם</w:t>
      </w:r>
      <w:r w:rsidR="009E57A4" w:rsidRPr="00882F11">
        <w:rPr>
          <w:rFonts w:cs="Guttman Drogolin"/>
          <w:rtl/>
          <w:lang w:bidi="he-IL"/>
        </w:rPr>
        <w:t xml:space="preserve"> </w:t>
      </w:r>
      <w:r w:rsidR="009E57A4" w:rsidRPr="00882F11">
        <w:rPr>
          <w:rFonts w:cs="Guttman Drogolin" w:hint="cs"/>
          <w:rtl/>
          <w:lang w:bidi="he-IL"/>
        </w:rPr>
        <w:t>הוא</w:t>
      </w:r>
      <w:r w:rsidR="009E57A4" w:rsidRPr="00882F11">
        <w:rPr>
          <w:rFonts w:cs="Guttman Drogolin"/>
          <w:rtl/>
          <w:lang w:bidi="he-IL"/>
        </w:rPr>
        <w:t xml:space="preserve"> </w:t>
      </w:r>
      <w:r w:rsidR="009E57A4" w:rsidRPr="00882F11">
        <w:rPr>
          <w:rFonts w:cs="Guttman Drogolin" w:hint="cs"/>
          <w:rtl/>
          <w:lang w:bidi="he-IL"/>
        </w:rPr>
        <w:t>כלי</w:t>
      </w:r>
      <w:r w:rsidR="009E57A4" w:rsidRPr="00882F11">
        <w:rPr>
          <w:rFonts w:cs="Guttman Drogolin"/>
          <w:rtl/>
          <w:lang w:bidi="he-IL"/>
        </w:rPr>
        <w:t xml:space="preserve"> </w:t>
      </w:r>
      <w:r w:rsidR="009E57A4" w:rsidRPr="00882F11">
        <w:rPr>
          <w:rFonts w:cs="Guttman Drogolin" w:hint="cs"/>
          <w:rtl/>
          <w:lang w:bidi="he-IL"/>
        </w:rPr>
        <w:t>שמשתמשים</w:t>
      </w:r>
      <w:r w:rsidR="009E57A4" w:rsidRPr="00882F11">
        <w:rPr>
          <w:rFonts w:cs="Guttman Drogolin"/>
          <w:rtl/>
          <w:lang w:bidi="he-IL"/>
        </w:rPr>
        <w:t xml:space="preserve"> </w:t>
      </w:r>
      <w:r w:rsidR="009E57A4" w:rsidRPr="00882F11">
        <w:rPr>
          <w:rFonts w:cs="Guttman Drogolin" w:hint="cs"/>
          <w:rtl/>
          <w:lang w:bidi="he-IL"/>
        </w:rPr>
        <w:t>בו</w:t>
      </w:r>
      <w:r w:rsidR="009E57A4" w:rsidRPr="00882F11">
        <w:rPr>
          <w:rFonts w:cs="Guttman Drogolin"/>
          <w:rtl/>
          <w:lang w:bidi="he-IL"/>
        </w:rPr>
        <w:t xml:space="preserve"> </w:t>
      </w:r>
      <w:r w:rsidR="009E57A4" w:rsidRPr="00882F11">
        <w:rPr>
          <w:rFonts w:cs="Guttman Drogolin" w:hint="cs"/>
          <w:rtl/>
          <w:lang w:bidi="he-IL"/>
        </w:rPr>
        <w:t>בדבר</w:t>
      </w:r>
      <w:r w:rsidR="009E57A4" w:rsidRPr="00882F11">
        <w:rPr>
          <w:rFonts w:cs="Guttman Drogolin"/>
          <w:rtl/>
          <w:lang w:bidi="he-IL"/>
        </w:rPr>
        <w:t xml:space="preserve"> </w:t>
      </w:r>
      <w:r w:rsidR="009E57A4" w:rsidRPr="00882F11">
        <w:rPr>
          <w:rFonts w:cs="Guttman Drogolin" w:hint="cs"/>
          <w:rtl/>
          <w:lang w:bidi="he-IL"/>
        </w:rPr>
        <w:t>מועט</w:t>
      </w:r>
      <w:r w:rsidR="009E57A4" w:rsidRPr="00882F11">
        <w:rPr>
          <w:rFonts w:cs="Guttman Drogolin"/>
          <w:rtl/>
          <w:lang w:bidi="he-IL"/>
        </w:rPr>
        <w:t xml:space="preserve"> </w:t>
      </w:r>
      <w:r w:rsidR="009E57A4" w:rsidRPr="00882F11">
        <w:rPr>
          <w:rFonts w:cs="Guttman Drogolin" w:hint="cs"/>
          <w:rtl/>
          <w:lang w:bidi="he-IL"/>
        </w:rPr>
        <w:t>כמו</w:t>
      </w:r>
      <w:r w:rsidR="009E57A4" w:rsidRPr="00882F11">
        <w:rPr>
          <w:rFonts w:cs="Guttman Drogolin"/>
          <w:rtl/>
          <w:lang w:bidi="he-IL"/>
        </w:rPr>
        <w:t xml:space="preserve"> </w:t>
      </w:r>
      <w:r w:rsidR="009E57A4" w:rsidRPr="00882F11">
        <w:rPr>
          <w:rFonts w:cs="Guttman Drogolin" w:hint="cs"/>
          <w:rtl/>
          <w:lang w:bidi="he-IL"/>
        </w:rPr>
        <w:t>קערה</w:t>
      </w:r>
      <w:r w:rsidR="009E57A4" w:rsidRPr="00882F11">
        <w:rPr>
          <w:rFonts w:cs="Guttman Drogolin"/>
          <w:rtl/>
          <w:lang w:bidi="he-IL"/>
        </w:rPr>
        <w:t xml:space="preserve"> </w:t>
      </w:r>
      <w:r w:rsidR="009E57A4" w:rsidRPr="00882F11">
        <w:rPr>
          <w:rFonts w:cs="Guttman Drogolin" w:hint="cs"/>
          <w:rtl/>
          <w:lang w:bidi="he-IL"/>
        </w:rPr>
        <w:t>וכיוצא</w:t>
      </w:r>
      <w:r w:rsidR="009E57A4" w:rsidRPr="00882F11">
        <w:rPr>
          <w:rFonts w:cs="Guttman Drogolin"/>
          <w:rtl/>
          <w:lang w:bidi="he-IL"/>
        </w:rPr>
        <w:t xml:space="preserve"> </w:t>
      </w:r>
      <w:r w:rsidR="009E57A4" w:rsidRPr="00882F11">
        <w:rPr>
          <w:rFonts w:cs="Guttman Drogolin" w:hint="cs"/>
          <w:rtl/>
          <w:lang w:bidi="he-IL"/>
        </w:rPr>
        <w:t>בו</w:t>
      </w:r>
      <w:r w:rsidR="009E57A4" w:rsidRPr="00882F11">
        <w:rPr>
          <w:rFonts w:cs="Guttman Drogolin"/>
          <w:rtl/>
          <w:lang w:bidi="he-IL"/>
        </w:rPr>
        <w:t xml:space="preserve"> </w:t>
      </w:r>
      <w:r w:rsidR="009E57A4" w:rsidRPr="00882F11">
        <w:rPr>
          <w:rFonts w:cs="Guttman Drogolin" w:hint="cs"/>
          <w:rtl/>
          <w:lang w:bidi="he-IL"/>
        </w:rPr>
        <w:t>אסור</w:t>
      </w:r>
      <w:r w:rsidR="009E57A4" w:rsidRPr="00882F11">
        <w:rPr>
          <w:rFonts w:cs="Guttman Drogolin"/>
          <w:rtl/>
          <w:lang w:bidi="he-IL"/>
        </w:rPr>
        <w:t xml:space="preserve"> </w:t>
      </w:r>
      <w:r w:rsidR="009E57A4" w:rsidRPr="00882F11">
        <w:rPr>
          <w:rFonts w:cs="Guttman Drogolin" w:hint="cs"/>
          <w:rtl/>
          <w:lang w:bidi="he-IL"/>
        </w:rPr>
        <w:t>להשתמש</w:t>
      </w:r>
      <w:r w:rsidR="009E57A4" w:rsidRPr="00882F11">
        <w:rPr>
          <w:rFonts w:cs="Guttman Drogolin"/>
          <w:rtl/>
          <w:lang w:bidi="he-IL"/>
        </w:rPr>
        <w:t xml:space="preserve"> </w:t>
      </w:r>
      <w:r w:rsidR="009E57A4" w:rsidRPr="00882F11">
        <w:rPr>
          <w:rFonts w:cs="Guttman Drogolin" w:hint="cs"/>
          <w:rtl/>
          <w:lang w:bidi="he-IL"/>
        </w:rPr>
        <w:t>בו</w:t>
      </w:r>
      <w:r w:rsidR="009E57A4" w:rsidRPr="00882F11">
        <w:rPr>
          <w:rFonts w:cs="Guttman Drogolin"/>
          <w:rtl/>
          <w:lang w:bidi="he-IL"/>
        </w:rPr>
        <w:t xml:space="preserve"> </w:t>
      </w:r>
      <w:r w:rsidR="009E57A4" w:rsidRPr="00882F11">
        <w:rPr>
          <w:rFonts w:cs="Guttman Drogolin" w:hint="cs"/>
          <w:rtl/>
          <w:lang w:bidi="he-IL"/>
        </w:rPr>
        <w:t>שאין</w:t>
      </w:r>
      <w:r w:rsidR="009E57A4" w:rsidRPr="00882F11">
        <w:rPr>
          <w:rFonts w:cs="Guttman Drogolin"/>
          <w:rtl/>
          <w:lang w:bidi="he-IL"/>
        </w:rPr>
        <w:t xml:space="preserve"> </w:t>
      </w:r>
      <w:r w:rsidR="009E57A4" w:rsidRPr="00882F11">
        <w:rPr>
          <w:rFonts w:cs="Guttman Drogolin" w:hint="cs"/>
          <w:rtl/>
          <w:lang w:bidi="he-IL"/>
        </w:rPr>
        <w:t>מבטלין</w:t>
      </w:r>
      <w:r w:rsidR="009E57A4" w:rsidRPr="00882F11">
        <w:rPr>
          <w:rFonts w:cs="Guttman Drogolin"/>
          <w:rtl/>
          <w:lang w:bidi="he-IL"/>
        </w:rPr>
        <w:t xml:space="preserve"> </w:t>
      </w:r>
      <w:r w:rsidR="009E57A4" w:rsidRPr="00882F11">
        <w:rPr>
          <w:rFonts w:cs="Guttman Drogolin" w:hint="cs"/>
          <w:rtl/>
          <w:lang w:bidi="he-IL"/>
        </w:rPr>
        <w:t>איסור</w:t>
      </w:r>
      <w:r w:rsidR="009E57A4" w:rsidRPr="00882F11">
        <w:rPr>
          <w:rFonts w:cs="Guttman Drogolin"/>
          <w:rtl/>
          <w:lang w:bidi="he-IL"/>
        </w:rPr>
        <w:t xml:space="preserve"> </w:t>
      </w:r>
      <w:r w:rsidR="009E57A4" w:rsidRPr="00882F11">
        <w:rPr>
          <w:rFonts w:cs="Guttman Drogolin" w:hint="cs"/>
          <w:rtl/>
          <w:lang w:bidi="he-IL"/>
        </w:rPr>
        <w:t>לכתחילה</w:t>
      </w:r>
      <w:r w:rsidR="009E57A4" w:rsidRPr="00882F11">
        <w:rPr>
          <w:rFonts w:cs="Guttman Drogolin"/>
          <w:rtl/>
          <w:lang w:bidi="he-IL"/>
        </w:rPr>
        <w:t xml:space="preserve"> </w:t>
      </w:r>
      <w:r w:rsidR="009E57A4" w:rsidRPr="00882F11">
        <w:rPr>
          <w:rFonts w:cs="Guttman Drogolin" w:hint="cs"/>
          <w:rtl/>
          <w:lang w:bidi="he-IL"/>
        </w:rPr>
        <w:t>אפילו</w:t>
      </w:r>
      <w:r w:rsidR="009E57A4" w:rsidRPr="00882F11">
        <w:rPr>
          <w:rFonts w:cs="Guttman Drogolin"/>
          <w:rtl/>
          <w:lang w:bidi="he-IL"/>
        </w:rPr>
        <w:t xml:space="preserve"> </w:t>
      </w:r>
      <w:r w:rsidR="009E57A4" w:rsidRPr="00882F11">
        <w:rPr>
          <w:rFonts w:cs="Guttman Drogolin" w:hint="cs"/>
          <w:rtl/>
          <w:lang w:bidi="he-IL"/>
        </w:rPr>
        <w:t>איסור</w:t>
      </w:r>
      <w:r w:rsidR="009E57A4" w:rsidRPr="00882F11">
        <w:rPr>
          <w:rFonts w:cs="Guttman Drogolin"/>
          <w:rtl/>
          <w:lang w:bidi="he-IL"/>
        </w:rPr>
        <w:t xml:space="preserve"> </w:t>
      </w:r>
      <w:r w:rsidR="009E57A4" w:rsidRPr="00882F11">
        <w:rPr>
          <w:rFonts w:cs="Guttman Drogolin" w:hint="cs"/>
          <w:rtl/>
          <w:lang w:bidi="he-IL"/>
        </w:rPr>
        <w:t>מועט</w:t>
      </w:r>
      <w:r w:rsidR="009E57A4" w:rsidRPr="00882F11">
        <w:rPr>
          <w:rFonts w:cs="Guttman Drogolin"/>
          <w:rtl/>
          <w:lang w:bidi="he-IL"/>
        </w:rPr>
        <w:t xml:space="preserve"> </w:t>
      </w:r>
      <w:r w:rsidR="009E57A4" w:rsidRPr="00882F11">
        <w:rPr>
          <w:rFonts w:cs="Guttman Drogolin" w:hint="cs"/>
          <w:rtl/>
          <w:lang w:bidi="he-IL"/>
        </w:rPr>
        <w:t>ואפילו</w:t>
      </w:r>
      <w:r w:rsidR="009E57A4" w:rsidRPr="00882F11">
        <w:rPr>
          <w:rFonts w:cs="Guttman Drogolin"/>
          <w:rtl/>
          <w:lang w:bidi="he-IL"/>
        </w:rPr>
        <w:t xml:space="preserve"> </w:t>
      </w:r>
      <w:r w:rsidR="009E57A4" w:rsidRPr="00882F11">
        <w:rPr>
          <w:rFonts w:cs="Guttman Drogolin" w:hint="cs"/>
          <w:rtl/>
          <w:lang w:bidi="he-IL"/>
        </w:rPr>
        <w:t>איסור</w:t>
      </w:r>
      <w:r w:rsidR="009E57A4" w:rsidRPr="00882F11">
        <w:rPr>
          <w:rFonts w:cs="Guttman Drogolin"/>
          <w:rtl/>
          <w:lang w:bidi="he-IL"/>
        </w:rPr>
        <w:t xml:space="preserve"> </w:t>
      </w:r>
      <w:r w:rsidR="009E57A4" w:rsidRPr="00882F11">
        <w:rPr>
          <w:rFonts w:cs="Guttman Drogolin" w:hint="cs"/>
          <w:rtl/>
          <w:lang w:bidi="he-IL"/>
        </w:rPr>
        <w:t>הבלוע</w:t>
      </w:r>
      <w:r w:rsidR="009E57A4" w:rsidRPr="00882F11">
        <w:rPr>
          <w:rFonts w:cs="Guttman Drogolin"/>
          <w:rtl/>
          <w:lang w:bidi="he-IL"/>
        </w:rPr>
        <w:t xml:space="preserve"> </w:t>
      </w:r>
      <w:r w:rsidR="009E57A4" w:rsidRPr="00882F11">
        <w:rPr>
          <w:rFonts w:cs="Guttman Drogolin" w:hint="cs"/>
          <w:rtl/>
          <w:lang w:bidi="he-IL"/>
        </w:rPr>
        <w:t>ע</w:t>
      </w:r>
      <w:r w:rsidR="009E57A4" w:rsidRPr="00882F11">
        <w:rPr>
          <w:rFonts w:cs="Guttman Drogolin"/>
          <w:rtl/>
          <w:lang w:bidi="he-IL"/>
        </w:rPr>
        <w:t>"</w:t>
      </w:r>
      <w:r w:rsidR="009E57A4" w:rsidRPr="00882F11">
        <w:rPr>
          <w:rFonts w:cs="Guttman Drogolin" w:hint="cs"/>
          <w:rtl/>
          <w:lang w:bidi="he-IL"/>
        </w:rPr>
        <w:t xml:space="preserve">כ" וע' בתוה"א </w:t>
      </w:r>
      <w:r w:rsidR="005720AC" w:rsidRPr="00882F11">
        <w:rPr>
          <w:rFonts w:cs="Guttman Drogolin" w:hint="cs"/>
          <w:rtl/>
          <w:lang w:bidi="he-IL"/>
        </w:rPr>
        <w:t>(ב"ד ש"ד</w:t>
      </w:r>
      <w:r w:rsidR="00B22FB8" w:rsidRPr="00882F11">
        <w:rPr>
          <w:rFonts w:cs="Guttman Drogolin" w:hint="cs"/>
          <w:rtl/>
          <w:lang w:bidi="he-IL"/>
        </w:rPr>
        <w:t>, ומובא בב"י שם</w:t>
      </w:r>
      <w:r w:rsidR="005720AC" w:rsidRPr="00882F11">
        <w:rPr>
          <w:rFonts w:cs="Guttman Drogolin" w:hint="cs"/>
          <w:rtl/>
          <w:lang w:bidi="he-IL"/>
        </w:rPr>
        <w:t xml:space="preserve">) שהראה מקור לדין זה מדברי הגמ' שבמס' ע"ז ל"ג ע"א </w:t>
      </w:r>
      <w:r w:rsidR="00B22FB8" w:rsidRPr="00882F11">
        <w:rPr>
          <w:rFonts w:cs="Guttman Drogolin" w:hint="cs"/>
          <w:rtl/>
          <w:lang w:bidi="he-IL"/>
        </w:rPr>
        <w:t>שהתירו לתת שכר לתוך קנקנים ישנים של גוים ולא חששו לעירוב טעם היין לתוך השכר. וביאר הרשב"א דאע"ג שמתערב קצת מן היין אין כאן משום אין מבטלין איסור לכתחילה כיון שדבר מועט הוא ולא יבא לידי נתינת טעם.</w:t>
      </w:r>
      <w:r w:rsidR="005720AC" w:rsidRPr="00882F11">
        <w:rPr>
          <w:rFonts w:cs="Guttman Drogolin" w:hint="cs"/>
          <w:rtl/>
          <w:lang w:bidi="he-IL"/>
        </w:rPr>
        <w:t xml:space="preserve"> </w:t>
      </w:r>
    </w:p>
    <w:p w:rsidR="00D77E02" w:rsidRPr="00882F11" w:rsidRDefault="00B22FB8" w:rsidP="00724573">
      <w:pPr>
        <w:tabs>
          <w:tab w:val="right" w:pos="7497"/>
        </w:tabs>
        <w:bidi/>
        <w:jc w:val="both"/>
        <w:rPr>
          <w:rFonts w:cs="Guttman Drogolin"/>
          <w:rtl/>
          <w:lang w:bidi="he-IL"/>
        </w:rPr>
      </w:pPr>
      <w:r w:rsidRPr="00882F11">
        <w:rPr>
          <w:rFonts w:cs="Guttman Drogolin" w:hint="cs"/>
          <w:rtl/>
          <w:lang w:bidi="he-IL"/>
        </w:rPr>
        <w:t>וכתב הטור על דברי הרשב"א "</w:t>
      </w:r>
      <w:r w:rsidR="009E57A4" w:rsidRPr="00882F11">
        <w:rPr>
          <w:rFonts w:cs="Guttman Drogolin" w:hint="cs"/>
          <w:rtl/>
          <w:lang w:bidi="he-IL"/>
        </w:rPr>
        <w:t>ואינו</w:t>
      </w:r>
      <w:r w:rsidR="009E57A4" w:rsidRPr="00882F11">
        <w:rPr>
          <w:rFonts w:cs="Guttman Drogolin"/>
          <w:rtl/>
          <w:lang w:bidi="he-IL"/>
        </w:rPr>
        <w:t xml:space="preserve"> </w:t>
      </w:r>
      <w:r w:rsidR="009E57A4" w:rsidRPr="00882F11">
        <w:rPr>
          <w:rFonts w:cs="Guttman Drogolin" w:hint="cs"/>
          <w:rtl/>
          <w:lang w:bidi="he-IL"/>
        </w:rPr>
        <w:t>נראה</w:t>
      </w:r>
      <w:r w:rsidR="009E57A4" w:rsidRPr="00882F11">
        <w:rPr>
          <w:rFonts w:cs="Guttman Drogolin"/>
          <w:rtl/>
          <w:lang w:bidi="he-IL"/>
        </w:rPr>
        <w:t xml:space="preserve"> </w:t>
      </w:r>
      <w:r w:rsidR="009E57A4" w:rsidRPr="00882F11">
        <w:rPr>
          <w:rFonts w:cs="Guttman Drogolin" w:hint="cs"/>
          <w:rtl/>
          <w:lang w:bidi="he-IL"/>
        </w:rPr>
        <w:t>להתיר</w:t>
      </w:r>
      <w:r w:rsidR="009E57A4" w:rsidRPr="00882F11">
        <w:rPr>
          <w:rFonts w:cs="Guttman Drogolin"/>
          <w:rtl/>
          <w:lang w:bidi="he-IL"/>
        </w:rPr>
        <w:t xml:space="preserve"> </w:t>
      </w:r>
      <w:r w:rsidR="009E57A4" w:rsidRPr="00882F11">
        <w:rPr>
          <w:rFonts w:cs="Guttman Drogolin" w:hint="cs"/>
          <w:rtl/>
          <w:lang w:bidi="he-IL"/>
        </w:rPr>
        <w:t>מק</w:t>
      </w:r>
      <w:r w:rsidR="009E57A4" w:rsidRPr="00882F11">
        <w:rPr>
          <w:rFonts w:cs="Guttman Drogolin"/>
          <w:rtl/>
          <w:lang w:bidi="he-IL"/>
        </w:rPr>
        <w:t>"</w:t>
      </w:r>
      <w:r w:rsidR="009E57A4" w:rsidRPr="00882F11">
        <w:rPr>
          <w:rFonts w:cs="Guttman Drogolin" w:hint="cs"/>
          <w:rtl/>
          <w:lang w:bidi="he-IL"/>
        </w:rPr>
        <w:t>ו</w:t>
      </w:r>
      <w:r w:rsidR="009E57A4" w:rsidRPr="00882F11">
        <w:rPr>
          <w:rFonts w:cs="Guttman Drogolin"/>
          <w:rtl/>
          <w:lang w:bidi="he-IL"/>
        </w:rPr>
        <w:t xml:space="preserve"> </w:t>
      </w:r>
      <w:r w:rsidR="009E57A4" w:rsidRPr="00882F11">
        <w:rPr>
          <w:rFonts w:cs="Guttman Drogolin" w:hint="cs"/>
          <w:rtl/>
          <w:lang w:bidi="he-IL"/>
        </w:rPr>
        <w:t>דאפי</w:t>
      </w:r>
      <w:r w:rsidR="009E57A4" w:rsidRPr="00882F11">
        <w:rPr>
          <w:rFonts w:cs="Guttman Drogolin"/>
          <w:rtl/>
          <w:lang w:bidi="he-IL"/>
        </w:rPr>
        <w:t xml:space="preserve">' </w:t>
      </w:r>
      <w:r w:rsidR="009E57A4" w:rsidRPr="00882F11">
        <w:rPr>
          <w:rFonts w:cs="Guttman Drogolin" w:hint="cs"/>
          <w:rtl/>
          <w:lang w:bidi="he-IL"/>
        </w:rPr>
        <w:t>קדרה</w:t>
      </w:r>
      <w:r w:rsidR="009E57A4" w:rsidRPr="00882F11">
        <w:rPr>
          <w:rFonts w:cs="Guttman Drogolin"/>
          <w:rtl/>
          <w:lang w:bidi="he-IL"/>
        </w:rPr>
        <w:t xml:space="preserve"> </w:t>
      </w:r>
      <w:r w:rsidR="009E57A4" w:rsidRPr="00882F11">
        <w:rPr>
          <w:rFonts w:cs="Guttman Drogolin" w:hint="cs"/>
          <w:rtl/>
          <w:lang w:bidi="he-IL"/>
        </w:rPr>
        <w:t>שאינה</w:t>
      </w:r>
      <w:r w:rsidR="009E57A4" w:rsidRPr="00882F11">
        <w:rPr>
          <w:rFonts w:cs="Guttman Drogolin"/>
          <w:rtl/>
          <w:lang w:bidi="he-IL"/>
        </w:rPr>
        <w:t xml:space="preserve"> </w:t>
      </w:r>
      <w:r w:rsidR="009E57A4" w:rsidRPr="00882F11">
        <w:rPr>
          <w:rFonts w:cs="Guttman Drogolin" w:hint="cs"/>
          <w:rtl/>
          <w:lang w:bidi="he-IL"/>
        </w:rPr>
        <w:t>בת</w:t>
      </w:r>
      <w:r w:rsidR="009E57A4" w:rsidRPr="00882F11">
        <w:rPr>
          <w:rFonts w:cs="Guttman Drogolin"/>
          <w:rtl/>
          <w:lang w:bidi="he-IL"/>
        </w:rPr>
        <w:t xml:space="preserve"> </w:t>
      </w:r>
      <w:r w:rsidR="009E57A4" w:rsidRPr="00882F11">
        <w:rPr>
          <w:rFonts w:cs="Guttman Drogolin" w:hint="cs"/>
          <w:rtl/>
          <w:lang w:bidi="he-IL"/>
        </w:rPr>
        <w:t>יומא</w:t>
      </w:r>
      <w:r w:rsidR="009E57A4" w:rsidRPr="00882F11">
        <w:rPr>
          <w:rFonts w:cs="Guttman Drogolin"/>
          <w:rtl/>
          <w:lang w:bidi="he-IL"/>
        </w:rPr>
        <w:t xml:space="preserve"> </w:t>
      </w:r>
      <w:r w:rsidR="009E57A4" w:rsidRPr="00882F11">
        <w:rPr>
          <w:rFonts w:cs="Guttman Drogolin" w:hint="cs"/>
          <w:rtl/>
          <w:lang w:bidi="he-IL"/>
        </w:rPr>
        <w:t>שהיא</w:t>
      </w:r>
      <w:r w:rsidR="009E57A4" w:rsidRPr="00882F11">
        <w:rPr>
          <w:rFonts w:cs="Guttman Drogolin"/>
          <w:rtl/>
          <w:lang w:bidi="he-IL"/>
        </w:rPr>
        <w:t xml:space="preserve"> </w:t>
      </w:r>
      <w:r w:rsidR="009E57A4" w:rsidRPr="00882F11">
        <w:rPr>
          <w:rFonts w:cs="Guttman Drogolin" w:hint="cs"/>
          <w:rtl/>
          <w:lang w:bidi="he-IL"/>
        </w:rPr>
        <w:t>מותרת</w:t>
      </w:r>
      <w:r w:rsidR="009E57A4" w:rsidRPr="00882F11">
        <w:rPr>
          <w:rFonts w:cs="Guttman Drogolin"/>
          <w:rtl/>
          <w:lang w:bidi="he-IL"/>
        </w:rPr>
        <w:t xml:space="preserve"> </w:t>
      </w:r>
      <w:r w:rsidR="009E57A4" w:rsidRPr="00882F11">
        <w:rPr>
          <w:rFonts w:cs="Guttman Drogolin" w:hint="cs"/>
          <w:rtl/>
          <w:lang w:bidi="he-IL"/>
        </w:rPr>
        <w:t>אסורה</w:t>
      </w:r>
      <w:r w:rsidR="009E57A4" w:rsidRPr="00882F11">
        <w:rPr>
          <w:rFonts w:cs="Guttman Drogolin"/>
          <w:rtl/>
          <w:lang w:bidi="he-IL"/>
        </w:rPr>
        <w:t xml:space="preserve"> </w:t>
      </w:r>
      <w:r w:rsidR="009E57A4" w:rsidRPr="00882F11">
        <w:rPr>
          <w:rFonts w:cs="Guttman Drogolin" w:hint="cs"/>
          <w:rtl/>
          <w:lang w:bidi="he-IL"/>
        </w:rPr>
        <w:t>משום</w:t>
      </w:r>
      <w:r w:rsidR="009E57A4" w:rsidRPr="00882F11">
        <w:rPr>
          <w:rFonts w:cs="Guttman Drogolin"/>
          <w:rtl/>
          <w:lang w:bidi="he-IL"/>
        </w:rPr>
        <w:t xml:space="preserve"> </w:t>
      </w:r>
      <w:r w:rsidR="009E57A4" w:rsidRPr="00882F11">
        <w:rPr>
          <w:rFonts w:cs="Guttman Drogolin" w:hint="cs"/>
          <w:rtl/>
          <w:lang w:bidi="he-IL"/>
        </w:rPr>
        <w:t>גזירה</w:t>
      </w:r>
      <w:r w:rsidR="009E57A4" w:rsidRPr="00882F11">
        <w:rPr>
          <w:rFonts w:cs="Guttman Drogolin"/>
          <w:rtl/>
          <w:lang w:bidi="he-IL"/>
        </w:rPr>
        <w:t xml:space="preserve"> </w:t>
      </w:r>
      <w:r w:rsidR="009E57A4" w:rsidRPr="00882F11">
        <w:rPr>
          <w:rFonts w:cs="Guttman Drogolin" w:hint="cs"/>
          <w:rtl/>
          <w:lang w:bidi="he-IL"/>
        </w:rPr>
        <w:t>אטו</w:t>
      </w:r>
      <w:r w:rsidR="009E57A4" w:rsidRPr="00882F11">
        <w:rPr>
          <w:rFonts w:cs="Guttman Drogolin"/>
          <w:rtl/>
          <w:lang w:bidi="he-IL"/>
        </w:rPr>
        <w:t xml:space="preserve"> </w:t>
      </w:r>
      <w:r w:rsidR="009E57A4" w:rsidRPr="00882F11">
        <w:rPr>
          <w:rFonts w:cs="Guttman Drogolin" w:hint="cs"/>
          <w:rtl/>
          <w:lang w:bidi="he-IL"/>
        </w:rPr>
        <w:t>בת</w:t>
      </w:r>
      <w:r w:rsidR="009E57A4" w:rsidRPr="00882F11">
        <w:rPr>
          <w:rFonts w:cs="Guttman Drogolin"/>
          <w:rtl/>
          <w:lang w:bidi="he-IL"/>
        </w:rPr>
        <w:t xml:space="preserve"> </w:t>
      </w:r>
      <w:r w:rsidR="009E57A4" w:rsidRPr="00882F11">
        <w:rPr>
          <w:rFonts w:cs="Guttman Drogolin" w:hint="cs"/>
          <w:rtl/>
          <w:lang w:bidi="he-IL"/>
        </w:rPr>
        <w:t>יומא</w:t>
      </w:r>
      <w:r w:rsidR="009E57A4" w:rsidRPr="00882F11">
        <w:rPr>
          <w:rFonts w:cs="Guttman Drogolin"/>
          <w:rtl/>
          <w:lang w:bidi="he-IL"/>
        </w:rPr>
        <w:t xml:space="preserve"> </w:t>
      </w:r>
      <w:r w:rsidR="009E57A4" w:rsidRPr="00882F11">
        <w:rPr>
          <w:rFonts w:cs="Guttman Drogolin" w:hint="cs"/>
          <w:rtl/>
          <w:lang w:bidi="he-IL"/>
        </w:rPr>
        <w:t>כ</w:t>
      </w:r>
      <w:r w:rsidR="009E57A4" w:rsidRPr="00882F11">
        <w:rPr>
          <w:rFonts w:cs="Guttman Drogolin"/>
          <w:rtl/>
          <w:lang w:bidi="he-IL"/>
        </w:rPr>
        <w:t>"</w:t>
      </w:r>
      <w:r w:rsidR="009E57A4" w:rsidRPr="00882F11">
        <w:rPr>
          <w:rFonts w:cs="Guttman Drogolin" w:hint="cs"/>
          <w:rtl/>
          <w:lang w:bidi="he-IL"/>
        </w:rPr>
        <w:t>ש</w:t>
      </w:r>
      <w:r w:rsidR="009E57A4" w:rsidRPr="00882F11">
        <w:rPr>
          <w:rFonts w:cs="Guttman Drogolin"/>
          <w:rtl/>
          <w:lang w:bidi="he-IL"/>
        </w:rPr>
        <w:t xml:space="preserve"> </w:t>
      </w:r>
      <w:r w:rsidR="009E57A4" w:rsidRPr="00882F11">
        <w:rPr>
          <w:rFonts w:cs="Guttman Drogolin" w:hint="cs"/>
          <w:rtl/>
          <w:lang w:bidi="he-IL"/>
        </w:rPr>
        <w:t>באותו</w:t>
      </w:r>
      <w:r w:rsidR="009E57A4" w:rsidRPr="00882F11">
        <w:rPr>
          <w:rFonts w:cs="Guttman Drogolin"/>
          <w:rtl/>
          <w:lang w:bidi="he-IL"/>
        </w:rPr>
        <w:t xml:space="preserve"> </w:t>
      </w:r>
      <w:r w:rsidR="009E57A4" w:rsidRPr="00882F11">
        <w:rPr>
          <w:rFonts w:cs="Guttman Drogolin" w:hint="cs"/>
          <w:rtl/>
          <w:lang w:bidi="he-IL"/>
        </w:rPr>
        <w:t>כלי</w:t>
      </w:r>
      <w:r w:rsidR="009E57A4" w:rsidRPr="00882F11">
        <w:rPr>
          <w:rFonts w:cs="Guttman Drogolin"/>
          <w:rtl/>
          <w:lang w:bidi="he-IL"/>
        </w:rPr>
        <w:t xml:space="preserve"> </w:t>
      </w:r>
      <w:r w:rsidR="009E57A4" w:rsidRPr="00882F11">
        <w:rPr>
          <w:rFonts w:cs="Guttman Drogolin" w:hint="cs"/>
          <w:rtl/>
          <w:lang w:bidi="he-IL"/>
        </w:rPr>
        <w:t>עצמו</w:t>
      </w:r>
      <w:r w:rsidR="009E57A4" w:rsidRPr="00882F11">
        <w:rPr>
          <w:rFonts w:cs="Guttman Drogolin"/>
          <w:rtl/>
          <w:lang w:bidi="he-IL"/>
        </w:rPr>
        <w:t xml:space="preserve"> </w:t>
      </w:r>
      <w:r w:rsidR="009E57A4" w:rsidRPr="00882F11">
        <w:rPr>
          <w:rFonts w:cs="Guttman Drogolin" w:hint="cs"/>
          <w:rtl/>
          <w:lang w:bidi="he-IL"/>
        </w:rPr>
        <w:t>אף</w:t>
      </w:r>
      <w:r w:rsidR="009E57A4" w:rsidRPr="00882F11">
        <w:rPr>
          <w:rFonts w:cs="Guttman Drogolin"/>
          <w:rtl/>
          <w:lang w:bidi="he-IL"/>
        </w:rPr>
        <w:t xml:space="preserve"> </w:t>
      </w:r>
      <w:r w:rsidR="009E57A4" w:rsidRPr="00882F11">
        <w:rPr>
          <w:rFonts w:cs="Guttman Drogolin" w:hint="cs"/>
          <w:rtl/>
          <w:lang w:bidi="he-IL"/>
        </w:rPr>
        <w:t>על</w:t>
      </w:r>
      <w:r w:rsidR="009E57A4" w:rsidRPr="00882F11">
        <w:rPr>
          <w:rFonts w:cs="Guttman Drogolin"/>
          <w:rtl/>
          <w:lang w:bidi="he-IL"/>
        </w:rPr>
        <w:t xml:space="preserve"> </w:t>
      </w:r>
      <w:r w:rsidR="009E57A4" w:rsidRPr="00882F11">
        <w:rPr>
          <w:rFonts w:cs="Guttman Drogolin" w:hint="cs"/>
          <w:rtl/>
          <w:lang w:bidi="he-IL"/>
        </w:rPr>
        <w:t>פי</w:t>
      </w:r>
      <w:r w:rsidR="009E57A4" w:rsidRPr="00882F11">
        <w:rPr>
          <w:rFonts w:cs="Guttman Drogolin"/>
          <w:rtl/>
          <w:lang w:bidi="he-IL"/>
        </w:rPr>
        <w:t xml:space="preserve"> </w:t>
      </w:r>
      <w:r w:rsidR="009E57A4" w:rsidRPr="00882F11">
        <w:rPr>
          <w:rFonts w:cs="Guttman Drogolin" w:hint="cs"/>
          <w:rtl/>
          <w:lang w:bidi="he-IL"/>
        </w:rPr>
        <w:t>שאין</w:t>
      </w:r>
      <w:r w:rsidR="009E57A4" w:rsidRPr="00882F11">
        <w:rPr>
          <w:rFonts w:cs="Guttman Drogolin"/>
          <w:rtl/>
          <w:lang w:bidi="he-IL"/>
        </w:rPr>
        <w:t xml:space="preserve"> </w:t>
      </w:r>
      <w:r w:rsidR="009E57A4" w:rsidRPr="00882F11">
        <w:rPr>
          <w:rFonts w:cs="Guttman Drogolin" w:hint="cs"/>
          <w:rtl/>
          <w:lang w:bidi="he-IL"/>
        </w:rPr>
        <w:t>דרך</w:t>
      </w:r>
      <w:r w:rsidR="009E57A4" w:rsidRPr="00882F11">
        <w:rPr>
          <w:rFonts w:cs="Guttman Drogolin"/>
          <w:rtl/>
          <w:lang w:bidi="he-IL"/>
        </w:rPr>
        <w:t xml:space="preserve"> </w:t>
      </w:r>
      <w:r w:rsidR="009E57A4" w:rsidRPr="00882F11">
        <w:rPr>
          <w:rFonts w:cs="Guttman Drogolin" w:hint="cs"/>
          <w:rtl/>
          <w:lang w:bidi="he-IL"/>
        </w:rPr>
        <w:t>להשתמש</w:t>
      </w:r>
      <w:r w:rsidR="009E57A4" w:rsidRPr="00882F11">
        <w:rPr>
          <w:rFonts w:cs="Guttman Drogolin"/>
          <w:rtl/>
          <w:lang w:bidi="he-IL"/>
        </w:rPr>
        <w:t xml:space="preserve"> </w:t>
      </w:r>
      <w:r w:rsidR="009E57A4" w:rsidRPr="00882F11">
        <w:rPr>
          <w:rFonts w:cs="Guttman Drogolin" w:hint="cs"/>
          <w:rtl/>
          <w:lang w:bidi="he-IL"/>
        </w:rPr>
        <w:t>בו</w:t>
      </w:r>
      <w:r w:rsidR="009E57A4" w:rsidRPr="00882F11">
        <w:rPr>
          <w:rFonts w:cs="Guttman Drogolin"/>
          <w:rtl/>
          <w:lang w:bidi="he-IL"/>
        </w:rPr>
        <w:t xml:space="preserve"> </w:t>
      </w:r>
      <w:r w:rsidR="009E57A4" w:rsidRPr="00882F11">
        <w:rPr>
          <w:rFonts w:cs="Guttman Drogolin" w:hint="cs"/>
          <w:rtl/>
          <w:lang w:bidi="he-IL"/>
        </w:rPr>
        <w:t>בהיתר</w:t>
      </w:r>
      <w:r w:rsidR="009E57A4" w:rsidRPr="00882F11">
        <w:rPr>
          <w:rFonts w:cs="Guttman Drogolin"/>
          <w:rtl/>
          <w:lang w:bidi="he-IL"/>
        </w:rPr>
        <w:t xml:space="preserve"> </w:t>
      </w:r>
      <w:r w:rsidR="009E57A4" w:rsidRPr="00882F11">
        <w:rPr>
          <w:rFonts w:cs="Guttman Drogolin" w:hint="cs"/>
          <w:rtl/>
          <w:lang w:bidi="he-IL"/>
        </w:rPr>
        <w:t>מועט</w:t>
      </w:r>
      <w:r w:rsidR="009E57A4" w:rsidRPr="00882F11">
        <w:rPr>
          <w:rFonts w:cs="Guttman Drogolin"/>
          <w:rtl/>
          <w:lang w:bidi="he-IL"/>
        </w:rPr>
        <w:t xml:space="preserve"> </w:t>
      </w:r>
      <w:r w:rsidR="009E57A4" w:rsidRPr="00882F11">
        <w:rPr>
          <w:rFonts w:cs="Guttman Drogolin" w:hint="cs"/>
          <w:rtl/>
          <w:lang w:bidi="he-IL"/>
        </w:rPr>
        <w:t>יש</w:t>
      </w:r>
      <w:r w:rsidR="009E57A4" w:rsidRPr="00882F11">
        <w:rPr>
          <w:rFonts w:cs="Guttman Drogolin"/>
          <w:rtl/>
          <w:lang w:bidi="he-IL"/>
        </w:rPr>
        <w:t xml:space="preserve"> </w:t>
      </w:r>
      <w:r w:rsidR="009E57A4" w:rsidRPr="00882F11">
        <w:rPr>
          <w:rFonts w:cs="Guttman Drogolin" w:hint="cs"/>
          <w:rtl/>
          <w:lang w:bidi="he-IL"/>
        </w:rPr>
        <w:t>לנו</w:t>
      </w:r>
      <w:r w:rsidR="009E57A4" w:rsidRPr="00882F11">
        <w:rPr>
          <w:rFonts w:cs="Guttman Drogolin"/>
          <w:rtl/>
          <w:lang w:bidi="he-IL"/>
        </w:rPr>
        <w:t xml:space="preserve"> </w:t>
      </w:r>
      <w:r w:rsidR="009E57A4" w:rsidRPr="00882F11">
        <w:rPr>
          <w:rFonts w:cs="Guttman Drogolin" w:hint="cs"/>
          <w:rtl/>
          <w:lang w:bidi="he-IL"/>
        </w:rPr>
        <w:t>לגזור</w:t>
      </w:r>
      <w:r w:rsidR="009E57A4" w:rsidRPr="00882F11">
        <w:rPr>
          <w:rFonts w:cs="Guttman Drogolin"/>
          <w:rtl/>
          <w:lang w:bidi="he-IL"/>
        </w:rPr>
        <w:t xml:space="preserve"> </w:t>
      </w:r>
      <w:r w:rsidR="009E57A4" w:rsidRPr="00882F11">
        <w:rPr>
          <w:rFonts w:cs="Guttman Drogolin" w:hint="cs"/>
          <w:rtl/>
          <w:lang w:bidi="he-IL"/>
        </w:rPr>
        <w:t>אטו</w:t>
      </w:r>
      <w:r w:rsidR="009E57A4" w:rsidRPr="00882F11">
        <w:rPr>
          <w:rFonts w:cs="Guttman Drogolin"/>
          <w:rtl/>
          <w:lang w:bidi="he-IL"/>
        </w:rPr>
        <w:t xml:space="preserve"> </w:t>
      </w:r>
      <w:r w:rsidR="009E57A4" w:rsidRPr="00882F11">
        <w:rPr>
          <w:rFonts w:cs="Guttman Drogolin" w:hint="cs"/>
          <w:rtl/>
          <w:lang w:bidi="he-IL"/>
        </w:rPr>
        <w:t>שמא</w:t>
      </w:r>
      <w:r w:rsidR="009E57A4" w:rsidRPr="00882F11">
        <w:rPr>
          <w:rFonts w:cs="Guttman Drogolin"/>
          <w:rtl/>
          <w:lang w:bidi="he-IL"/>
        </w:rPr>
        <w:t xml:space="preserve"> </w:t>
      </w:r>
      <w:r w:rsidR="009E57A4" w:rsidRPr="00882F11">
        <w:rPr>
          <w:rFonts w:cs="Guttman Drogolin" w:hint="cs"/>
          <w:rtl/>
          <w:lang w:bidi="he-IL"/>
        </w:rPr>
        <w:t>ישתמש</w:t>
      </w:r>
      <w:r w:rsidR="009E57A4" w:rsidRPr="00882F11">
        <w:rPr>
          <w:rFonts w:cs="Guttman Drogolin"/>
          <w:rtl/>
          <w:lang w:bidi="he-IL"/>
        </w:rPr>
        <w:t xml:space="preserve"> </w:t>
      </w:r>
      <w:r w:rsidR="009E57A4" w:rsidRPr="00882F11">
        <w:rPr>
          <w:rFonts w:cs="Guttman Drogolin" w:hint="cs"/>
          <w:rtl/>
          <w:lang w:bidi="he-IL"/>
        </w:rPr>
        <w:t>בהיתר</w:t>
      </w:r>
      <w:r w:rsidR="009E57A4" w:rsidRPr="00882F11">
        <w:rPr>
          <w:rFonts w:cs="Guttman Drogolin"/>
          <w:rtl/>
          <w:lang w:bidi="he-IL"/>
        </w:rPr>
        <w:t xml:space="preserve"> </w:t>
      </w:r>
      <w:r w:rsidR="009E57A4" w:rsidRPr="00882F11">
        <w:rPr>
          <w:rFonts w:cs="Guttman Drogolin" w:hint="cs"/>
          <w:rtl/>
          <w:lang w:bidi="he-IL"/>
        </w:rPr>
        <w:t>מועט" וכתב על זה הב"י</w:t>
      </w:r>
      <w:r w:rsidRPr="00882F11">
        <w:rPr>
          <w:rFonts w:cs="Guttman Drogolin" w:hint="cs"/>
          <w:rtl/>
          <w:lang w:bidi="he-IL"/>
        </w:rPr>
        <w:t xml:space="preserve"> שאינו מבין קושיא זו דהא יש לחלק בין דבר ששכיח בתשמיש לדבר שאינו שכיח.</w:t>
      </w:r>
      <w:r w:rsidR="009E57A4" w:rsidRPr="00882F11">
        <w:rPr>
          <w:rFonts w:cs="Guttman Drogolin" w:hint="cs"/>
          <w:rtl/>
          <w:lang w:bidi="he-IL"/>
        </w:rPr>
        <w:t xml:space="preserve"> </w:t>
      </w:r>
      <w:r w:rsidRPr="00882F11">
        <w:rPr>
          <w:rFonts w:cs="Guttman Drogolin" w:hint="cs"/>
          <w:rtl/>
          <w:lang w:bidi="he-IL"/>
        </w:rPr>
        <w:t>וע' בט"ז כאן בסי' צ"ט ס"ק ט"ו שהקשה על עיקר מקורו של הרשב"א דמנין לי' שהטעם משום דאיסור מועט הוא, דלמא שאני התם דהוי לפגם וכמו שפי' רש"י, וע"ש שהוכיח שגם הרשב"א סבר שהטעם הא לפגם. ובביאור</w:t>
      </w:r>
      <w:r w:rsidR="00B80448">
        <w:rPr>
          <w:rFonts w:cs="Guttman Drogolin" w:hint="cs"/>
          <w:rtl/>
          <w:lang w:bidi="he-IL"/>
        </w:rPr>
        <w:t xml:space="preserve"> </w:t>
      </w:r>
      <w:r w:rsidRPr="00882F11">
        <w:rPr>
          <w:rFonts w:cs="Guttman Drogolin" w:hint="cs"/>
          <w:rtl/>
          <w:lang w:bidi="he-IL"/>
        </w:rPr>
        <w:lastRenderedPageBreak/>
        <w:t>הענין, וכן</w:t>
      </w:r>
      <w:r w:rsidR="00131C86" w:rsidRPr="00882F11">
        <w:rPr>
          <w:rFonts w:cs="Guttman Drogolin" w:hint="cs"/>
          <w:rtl/>
          <w:lang w:bidi="he-IL"/>
        </w:rPr>
        <w:t xml:space="preserve"> כדי ליישב קושי</w:t>
      </w:r>
      <w:r w:rsidRPr="00882F11">
        <w:rPr>
          <w:rFonts w:cs="Guttman Drogolin" w:hint="cs"/>
          <w:rtl/>
          <w:lang w:bidi="he-IL"/>
        </w:rPr>
        <w:t xml:space="preserve">ית הב"י הנ"ל על הטור, כתב הט"ז שיש כאן ב' ענינים, חדא </w:t>
      </w:r>
      <w:r w:rsidR="00724573" w:rsidRPr="00882F11">
        <w:rPr>
          <w:rFonts w:cs="Guttman Drogolin" w:hint="cs"/>
          <w:rtl/>
          <w:lang w:bidi="he-IL"/>
        </w:rPr>
        <w:t xml:space="preserve">למה התירו לתת שאר משקים לתוך הקנקנים, ובזה י"ל משום שהוא נטל"פ. ועוד יש קושיא דאע"ג שהוא נטל"פ מ"מ יש לאסור לכתחילה משו דינא דאין מבטלין איסור לכתחילה. ובזה תי' הרשב"א דכיון שאינו אלא איסור מועט מבטלין לכתחילה. וכיון שהיינו צריכים ליסוד זה מכח הקושיא השני', סבר הרשב"א שגם הקושיא הראשונה מיושבת ואין אנו צריכים לומר שהוא נטל"פ. </w:t>
      </w:r>
      <w:r w:rsidR="00D77E02" w:rsidRPr="00882F11">
        <w:rPr>
          <w:rFonts w:cs="Guttman Drogolin" w:hint="cs"/>
          <w:rtl/>
          <w:lang w:bidi="he-IL"/>
        </w:rPr>
        <w:t xml:space="preserve">ובזה חלק הטור שאמנם צריכים אנו ליסוד השני, עדיין אין לנו ראי' שהדבר מותר אא"כ הוא לפגם, דדלמא לא התירו אפילו שאינו יכול לבא לידי נתינת טעם אלא בדבר שהוא פגום. וכיון שמיישב דברי הטור והביא שגם הר"ן חלק על הרשב"א כתב שצריכים להחמיר בדבר שהוא נותן טעם לשבח. </w:t>
      </w:r>
    </w:p>
    <w:p w:rsidR="009E57A4" w:rsidRPr="00882F11" w:rsidRDefault="00D77E02" w:rsidP="00D27CF8">
      <w:pPr>
        <w:tabs>
          <w:tab w:val="right" w:pos="7497"/>
        </w:tabs>
        <w:bidi/>
        <w:jc w:val="both"/>
        <w:rPr>
          <w:rFonts w:cs="Guttman Drogolin"/>
          <w:lang w:bidi="he-IL"/>
        </w:rPr>
      </w:pPr>
      <w:r w:rsidRPr="00882F11">
        <w:rPr>
          <w:rFonts w:cs="Guttman Drogolin" w:hint="cs"/>
          <w:rtl/>
          <w:lang w:bidi="he-IL"/>
        </w:rPr>
        <w:t xml:space="preserve">והנה לכאורה הי' נראה שאם הכלי אינו בן יומו, שמעכשיו הרי הוא נטל"פ, גם שארי הראשונים מודים שאפשר להקל אם תשמישתו בשפע, דהא בנטל"פ מודו. </w:t>
      </w:r>
      <w:r w:rsidR="00D27CF8" w:rsidRPr="00882F11">
        <w:rPr>
          <w:rFonts w:cs="Guttman Drogolin" w:hint="cs"/>
          <w:rtl/>
          <w:lang w:bidi="he-IL"/>
        </w:rPr>
        <w:t>וכן מבואר בפר"ת סי' קכ"ב ס"ק ה' וכ"כ באג"מ (יו</w:t>
      </w:r>
      <w:r w:rsidR="00D27CF8" w:rsidRPr="00882F11">
        <w:rPr>
          <w:rFonts w:cs="Guttman Drogolin"/>
          <w:rtl/>
          <w:lang w:bidi="he-IL"/>
        </w:rPr>
        <w:t>"</w:t>
      </w:r>
      <w:r w:rsidR="00D27CF8" w:rsidRPr="00882F11">
        <w:rPr>
          <w:rFonts w:cs="Guttman Drogolin" w:hint="cs"/>
          <w:rtl/>
          <w:lang w:bidi="he-IL"/>
        </w:rPr>
        <w:t>ד</w:t>
      </w:r>
      <w:r w:rsidR="00D27CF8" w:rsidRPr="00882F11">
        <w:rPr>
          <w:rFonts w:cs="Guttman Drogolin"/>
          <w:rtl/>
          <w:lang w:bidi="he-IL"/>
        </w:rPr>
        <w:t xml:space="preserve"> </w:t>
      </w:r>
      <w:r w:rsidR="00D27CF8" w:rsidRPr="00882F11">
        <w:rPr>
          <w:rFonts w:cs="Guttman Drogolin" w:hint="cs"/>
          <w:rtl/>
          <w:lang w:bidi="he-IL"/>
        </w:rPr>
        <w:t>ג'</w:t>
      </w:r>
      <w:r w:rsidR="00D27CF8" w:rsidRPr="00882F11">
        <w:rPr>
          <w:rFonts w:cs="Guttman Drogolin"/>
          <w:rtl/>
          <w:lang w:bidi="he-IL"/>
        </w:rPr>
        <w:t xml:space="preserve"> </w:t>
      </w:r>
      <w:r w:rsidR="00D27CF8" w:rsidRPr="00882F11">
        <w:rPr>
          <w:rFonts w:cs="Guttman Drogolin" w:hint="cs"/>
          <w:rtl/>
          <w:lang w:bidi="he-IL"/>
        </w:rPr>
        <w:t>סי</w:t>
      </w:r>
      <w:r w:rsidR="00D27CF8" w:rsidRPr="00882F11">
        <w:rPr>
          <w:rFonts w:cs="Guttman Drogolin"/>
          <w:rtl/>
          <w:lang w:bidi="he-IL"/>
        </w:rPr>
        <w:t xml:space="preserve">' </w:t>
      </w:r>
      <w:r w:rsidR="00D27CF8" w:rsidRPr="00882F11">
        <w:rPr>
          <w:rFonts w:cs="Guttman Drogolin" w:hint="cs"/>
          <w:rtl/>
          <w:lang w:bidi="he-IL"/>
        </w:rPr>
        <w:t>כ</w:t>
      </w:r>
      <w:r w:rsidR="00D27CF8" w:rsidRPr="00882F11">
        <w:rPr>
          <w:rFonts w:cs="Guttman Drogolin"/>
          <w:rtl/>
          <w:lang w:bidi="he-IL"/>
        </w:rPr>
        <w:t>"</w:t>
      </w:r>
      <w:r w:rsidR="00D27CF8" w:rsidRPr="00882F11">
        <w:rPr>
          <w:rFonts w:cs="Guttman Drogolin" w:hint="cs"/>
          <w:rtl/>
          <w:lang w:bidi="he-IL"/>
        </w:rPr>
        <w:t xml:space="preserve">ח) שכן הוא מנהג מורי הוראה. וע' גם בגליון המהרש"א כאן שמסתפק בזה, ושם כתב משום דהוי כגזירה לגזירה, ומשמע טעם חדש להתיר ולא משום שהוא מותר אפילו לדעת האוסרים. </w:t>
      </w:r>
      <w:r w:rsidRPr="00882F11">
        <w:rPr>
          <w:rFonts w:cs="Guttman Drogolin" w:hint="cs"/>
          <w:rtl/>
          <w:lang w:bidi="he-IL"/>
        </w:rPr>
        <w:t xml:space="preserve">אלא שבזה יש מקום לחלק דעד כאן </w:t>
      </w:r>
      <w:r w:rsidR="00D27CF8" w:rsidRPr="00882F11">
        <w:rPr>
          <w:rFonts w:cs="Guttman Drogolin" w:hint="cs"/>
          <w:rtl/>
          <w:lang w:bidi="he-IL"/>
        </w:rPr>
        <w:t xml:space="preserve">ס"ק </w:t>
      </w:r>
      <w:r w:rsidRPr="00882F11">
        <w:rPr>
          <w:rFonts w:cs="Guttman Drogolin" w:hint="cs"/>
          <w:rtl/>
          <w:lang w:bidi="he-IL"/>
        </w:rPr>
        <w:t xml:space="preserve">לא התירו אלא בדבר שהוא נטל"פ מעיקרו, אבל דבר שנותן טעם לשבח רק שעכשיו אינו בן יומו, י"ל שלחולקים על הרשב"א יהא הדין שהוא אסור אע"ג </w:t>
      </w:r>
      <w:r w:rsidR="0054514F">
        <w:rPr>
          <w:rFonts w:cs="Guttman Drogolin" w:hint="cs"/>
          <w:rtl/>
          <w:lang w:bidi="he-IL"/>
        </w:rPr>
        <w:t>תשמישתו</w:t>
      </w:r>
      <w:r w:rsidRPr="00882F11">
        <w:rPr>
          <w:rFonts w:cs="Guttman Drogolin" w:hint="cs"/>
          <w:rtl/>
          <w:lang w:bidi="he-IL"/>
        </w:rPr>
        <w:t xml:space="preserve"> בשפע. </w:t>
      </w:r>
      <w:r w:rsidR="00D27CF8" w:rsidRPr="00882F11">
        <w:rPr>
          <w:rFonts w:cs="Guttman Drogolin" w:hint="cs"/>
          <w:rtl/>
          <w:lang w:bidi="he-IL"/>
        </w:rPr>
        <w:t xml:space="preserve">וכ"כ בשפ"ד ס"ק כ"ג וביד יהודה ס"ק כ"ח.  </w:t>
      </w:r>
      <w:r w:rsidR="00B22FB8" w:rsidRPr="00882F11">
        <w:rPr>
          <w:rFonts w:cs="Guttman Drogolin" w:hint="cs"/>
          <w:rtl/>
          <w:lang w:bidi="he-IL"/>
        </w:rPr>
        <w:t xml:space="preserve">  </w:t>
      </w:r>
    </w:p>
    <w:p w:rsidR="00566B2E" w:rsidRPr="00882F11" w:rsidRDefault="00D27CF8" w:rsidP="00F83A7D">
      <w:pPr>
        <w:tabs>
          <w:tab w:val="right" w:pos="7497"/>
        </w:tabs>
        <w:bidi/>
        <w:jc w:val="both"/>
        <w:rPr>
          <w:rFonts w:cs="Guttman Drogolin"/>
          <w:rtl/>
          <w:lang w:bidi="he-IL"/>
        </w:rPr>
      </w:pPr>
      <w:r w:rsidRPr="00882F11">
        <w:rPr>
          <w:rFonts w:cs="Guttman Drogolin" w:hint="cs"/>
          <w:rtl/>
          <w:lang w:bidi="he-IL"/>
        </w:rPr>
        <w:t>ומילתא דשכיחא הוא שניטז רוטב בשרי על כוס חלבי העשוי מחרס, ולכאורה היתרו תלוי בהנ"ל. אמנם כאן לכאורה יש לצרף גם פירושו של החזו"א בדברי השו"ע ססי' צ"ב</w:t>
      </w:r>
      <w:r w:rsidR="00F83A7D" w:rsidRPr="00882F11">
        <w:rPr>
          <w:rStyle w:val="FootnoteReference"/>
          <w:rFonts w:cs="Guttman Drogolin"/>
          <w:rtl/>
          <w:lang w:bidi="he-IL"/>
        </w:rPr>
        <w:footnoteReference w:id="350"/>
      </w:r>
      <w:r w:rsidRPr="00882F11">
        <w:rPr>
          <w:rFonts w:cs="Guttman Drogolin" w:hint="cs"/>
          <w:rtl/>
          <w:lang w:bidi="he-IL"/>
        </w:rPr>
        <w:t xml:space="preserve"> </w:t>
      </w:r>
      <w:r w:rsidR="00F83A7D" w:rsidRPr="00882F11">
        <w:rPr>
          <w:rFonts w:cs="Guttman Drogolin" w:hint="cs"/>
          <w:rtl/>
          <w:lang w:bidi="he-IL"/>
        </w:rPr>
        <w:t>שבניתז על הכלי שצריכים גרידה לשיטת השו"ע, היינו שצריכים לגרד התבשיל מעל הכלי, אבל לעולם אין צריכים להוריד קליפה מן הכלי. ולכן בנד"ד שפיר אפשר להקל.</w:t>
      </w:r>
      <w:r w:rsidRPr="00882F11">
        <w:rPr>
          <w:rFonts w:cs="Guttman Drogolin" w:hint="cs"/>
          <w:rtl/>
          <w:lang w:bidi="he-IL"/>
        </w:rPr>
        <w:t xml:space="preserve"> </w:t>
      </w:r>
    </w:p>
    <w:p w:rsidR="003268BB" w:rsidRPr="00882F11" w:rsidRDefault="00F83A7D" w:rsidP="003268BB">
      <w:pPr>
        <w:tabs>
          <w:tab w:val="right" w:pos="7497"/>
        </w:tabs>
        <w:bidi/>
        <w:jc w:val="both"/>
        <w:rPr>
          <w:rFonts w:cs="Guttman Drogolin"/>
          <w:rtl/>
          <w:lang w:bidi="he-IL"/>
        </w:rPr>
      </w:pPr>
      <w:r w:rsidRPr="00882F11">
        <w:rPr>
          <w:rFonts w:cs="Guttman Drogolin" w:hint="cs"/>
          <w:rtl/>
          <w:lang w:bidi="he-IL"/>
        </w:rPr>
        <w:lastRenderedPageBreak/>
        <w:t>ומ"מ מכל דברי הרשב"א ושאר ראשונים כאן אנחנו נשארים בתמי' גדולה. והוא שלכאורה אין הענין של ביטול איסור לכתחילה משום חשש שאולי יתן בו טעם, אלא שכוונת התורה או חז"ל להרחיק את האיסור אפילו ע"י זה שיבטלנו. שלכאורה אין טעם לאסור מדאורייתא משום חשש שמא יתן בו טעם, דמנין לנו דבר זה. ובאמת ראיתי בשם שו"ת והשיב משה יו"ד סי' ל"ח שזהו הגדר של האיסור דאורייתא, שלא לבא לידי נתינת טעם, הוא לכאורה תמוה ביותר, שאם הי' הלל"מ מסיני לדבר זה ניחא, אבל סתימת לשונם של הראשונים משמע שהוא דין מסברא.</w:t>
      </w:r>
      <w:r w:rsidR="003268BB" w:rsidRPr="00882F11">
        <w:rPr>
          <w:rFonts w:cs="Guttman Drogolin" w:hint="cs"/>
          <w:rtl/>
          <w:lang w:bidi="he-IL"/>
        </w:rPr>
        <w:t xml:space="preserve"> וא"כ צ"ע שהראב"ד הוא ג"כ מן המתירים בדבר שתשמישתו בשפע, והראב"ד הא סבר שאסור לבטל איסור לכתחילה מדאורייתא. </w:t>
      </w:r>
      <w:r w:rsidRPr="00882F11">
        <w:rPr>
          <w:rFonts w:cs="Guttman Drogolin" w:hint="cs"/>
          <w:rtl/>
          <w:lang w:bidi="he-IL"/>
        </w:rPr>
        <w:t xml:space="preserve">וכן הרשב"א עצמו הביא שיטת הראב"ד שביטול איסור לכתחילה אסור מדאורייתא, וכן דעת התוס' החולקים. ואפילו בדעת התוס' שחולקים ביארו שדבר מגונה הוא ומשו"ה יש חידוש בזרוע בשילה. ולכאורה מיני' גם באיסור שאסרו לבטל שהוא משום דבר מגונה זו. וכן ראיתי במגי"ס </w:t>
      </w:r>
      <w:r w:rsidR="003268BB" w:rsidRPr="00882F11">
        <w:rPr>
          <w:rFonts w:cs="Guttman Drogolin" w:hint="cs"/>
          <w:rtl/>
          <w:lang w:bidi="he-IL"/>
        </w:rPr>
        <w:t>סי' צ"ט ס"ק י"ז שהביא מיד יהודה (ס"ק י"ד)</w:t>
      </w:r>
      <w:r w:rsidR="003268BB" w:rsidRPr="00882F11">
        <w:rPr>
          <w:rFonts w:cs="Guttman Drogolin" w:hint="cs"/>
          <w:lang w:bidi="he-IL"/>
        </w:rPr>
        <w:t xml:space="preserve"> </w:t>
      </w:r>
      <w:r w:rsidR="003268BB" w:rsidRPr="00882F11">
        <w:rPr>
          <w:rFonts w:cs="Guttman Drogolin" w:hint="cs"/>
          <w:rtl/>
          <w:lang w:bidi="he-IL"/>
        </w:rPr>
        <w:t xml:space="preserve">שטעם לאסור לבטל איסור לכתחילה משום שאולי לא ידקדק בביטולו ויבא לידי נתינת טעם, וכתב שם שזהו הטעם לאסור לבטל בשר בחלב לכתחילה. והעיר שמדברי המרדכי שהביאו הט"ז ומג"א בסי' תרכ"ו מבואר שאין זה הטעם. </w:t>
      </w:r>
      <w:r w:rsidR="00C66D93">
        <w:rPr>
          <w:rFonts w:cs="Guttman Drogolin"/>
          <w:rtl/>
          <w:lang w:bidi="he-IL"/>
        </w:rPr>
        <w:fldChar w:fldCharType="begin"/>
      </w:r>
      <w:r w:rsidR="00C66D93">
        <w:instrText xml:space="preserve"> XE "</w:instrText>
      </w:r>
      <w:r w:rsidR="00C66D93" w:rsidRPr="00F44C06">
        <w:rPr>
          <w:rFonts w:hint="cs"/>
          <w:rtl/>
          <w:lang w:bidi="he-IL"/>
        </w:rPr>
        <w:instrText>סוכה</w:instrText>
      </w:r>
      <w:r w:rsidR="00C66D93" w:rsidRPr="00F44C06">
        <w:rPr>
          <w:rtl/>
        </w:rPr>
        <w:instrText>:</w:instrText>
      </w:r>
      <w:r w:rsidR="00C66D93" w:rsidRPr="00F44C06">
        <w:rPr>
          <w:rFonts w:hint="cs"/>
          <w:rtl/>
          <w:lang w:bidi="he-IL"/>
        </w:rPr>
        <w:instrText>ביטול סכך פסול לכתחילה</w:instrText>
      </w:r>
      <w:r w:rsidR="00C66D93">
        <w:instrText xml:space="preserve">" </w:instrText>
      </w:r>
      <w:r w:rsidR="00C66D93">
        <w:rPr>
          <w:rFonts w:cs="Guttman Drogolin"/>
          <w:rtl/>
          <w:lang w:bidi="he-IL"/>
        </w:rPr>
        <w:fldChar w:fldCharType="end"/>
      </w:r>
      <w:r w:rsidR="003268BB" w:rsidRPr="00882F11">
        <w:rPr>
          <w:rFonts w:cs="Guttman Drogolin" w:hint="cs"/>
          <w:rtl/>
          <w:lang w:bidi="he-IL"/>
        </w:rPr>
        <w:t>שכתב המרדכי שהטעם שהתירו לבטל סכך פסול לכתחילה משום שאינו נהנה מן המצוה כיון שמצות לאו ליהנות ניתנו, ואילו הי' הטעם משום חשש שאולי לא ידקדק איזה תי' הוא זה. ומ"מ שם באות ט"ז העיר שמדברי הרשב"א הנ"ל מוכח כיד יהודה (וצ"ע שלא העיר בקושי הגדול שיש בדבר זה). וכל זה צע"ג וכנ"ל.</w:t>
      </w:r>
    </w:p>
    <w:p w:rsidR="00766845" w:rsidRPr="00882F11" w:rsidRDefault="003268BB" w:rsidP="003268BB">
      <w:pPr>
        <w:tabs>
          <w:tab w:val="right" w:pos="7497"/>
        </w:tabs>
        <w:bidi/>
        <w:jc w:val="both"/>
        <w:rPr>
          <w:rFonts w:cs="Guttman Drogolin"/>
          <w:rtl/>
          <w:lang w:bidi="he-IL"/>
        </w:rPr>
      </w:pPr>
      <w:r w:rsidRPr="00882F11">
        <w:rPr>
          <w:rFonts w:cs="Guttman Drogolin" w:hint="cs"/>
          <w:rtl/>
          <w:lang w:bidi="he-IL"/>
        </w:rPr>
        <w:t>ולכאורה מה שצריכים לומר הוא שיש ב' דינים באיסור לבטל איסור לכתחילה. חדא משום עצם הדבר המגונה לקחת דבר איסור ולאכלו ע"י ביטול, ועוד אפילו במקום שאין לאסור מטעם זה, וכגון כשאינו מכוין א</w:t>
      </w:r>
      <w:r w:rsidR="00BE3E0D">
        <w:rPr>
          <w:rFonts w:cs="Guttman Drogolin" w:hint="cs"/>
          <w:rtl/>
          <w:lang w:bidi="he-IL"/>
        </w:rPr>
        <w:t>ו</w:t>
      </w:r>
      <w:r w:rsidRPr="00882F11">
        <w:rPr>
          <w:rFonts w:cs="Guttman Drogolin" w:hint="cs"/>
          <w:rtl/>
          <w:lang w:bidi="he-IL"/>
        </w:rPr>
        <w:t xml:space="preserve"> </w:t>
      </w:r>
      <w:r w:rsidR="00BE3E0D">
        <w:rPr>
          <w:rFonts w:cs="Guttman Drogolin" w:hint="cs"/>
          <w:rtl/>
          <w:lang w:bidi="he-IL"/>
        </w:rPr>
        <w:t>ב</w:t>
      </w:r>
      <w:r w:rsidRPr="00882F11">
        <w:rPr>
          <w:rFonts w:cs="Guttman Drogolin" w:hint="cs"/>
          <w:rtl/>
          <w:lang w:bidi="he-IL"/>
        </w:rPr>
        <w:t xml:space="preserve">בב"ח, עדיין אין לבטל </w:t>
      </w:r>
      <w:r w:rsidRPr="00882F11">
        <w:rPr>
          <w:rFonts w:cs="Guttman Drogolin" w:hint="cs"/>
          <w:rtl/>
          <w:lang w:bidi="he-IL"/>
        </w:rPr>
        <w:lastRenderedPageBreak/>
        <w:t xml:space="preserve">לכתחילה משום חשש תקלה. אלא דצע"ג מנין לנו מקור לב' איסורים אלו. והדבר עדיין טעון ביאור רב.   </w:t>
      </w:r>
    </w:p>
    <w:p w:rsidR="00766845" w:rsidRPr="00882F11" w:rsidRDefault="00766845" w:rsidP="00766845">
      <w:pPr>
        <w:tabs>
          <w:tab w:val="right" w:pos="7497"/>
        </w:tabs>
        <w:bidi/>
        <w:jc w:val="both"/>
        <w:rPr>
          <w:rFonts w:cs="Guttman Drogolin"/>
          <w:rtl/>
          <w:lang w:bidi="he-IL"/>
        </w:rPr>
        <w:sectPr w:rsidR="00766845" w:rsidRPr="00882F11" w:rsidSect="00891DE2">
          <w:type w:val="continuous"/>
          <w:pgSz w:w="11907" w:h="16839" w:code="9"/>
          <w:pgMar w:top="1440" w:right="1440" w:bottom="1440" w:left="1440" w:header="720" w:footer="720" w:gutter="0"/>
          <w:cols w:num="2" w:space="720"/>
          <w:bidi/>
          <w:docGrid w:linePitch="360"/>
        </w:sectPr>
      </w:pPr>
    </w:p>
    <w:p w:rsidR="00766845" w:rsidRPr="00891DE2" w:rsidRDefault="00766845" w:rsidP="00766845">
      <w:pPr>
        <w:keepNext/>
        <w:tabs>
          <w:tab w:val="left" w:pos="3818"/>
          <w:tab w:val="center" w:pos="4680"/>
        </w:tabs>
        <w:bidi/>
        <w:jc w:val="center"/>
        <w:rPr>
          <w:rFonts w:cs="Guttman Drogolin"/>
          <w:b/>
          <w:bCs/>
          <w:sz w:val="48"/>
          <w:szCs w:val="48"/>
          <w:rtl/>
          <w:lang w:bidi="he-IL"/>
        </w:rPr>
      </w:pPr>
      <w:r w:rsidRPr="00891DE2">
        <w:rPr>
          <w:rFonts w:cs="Guttman Drogolin" w:hint="cs"/>
          <w:b/>
          <w:bCs/>
          <w:sz w:val="48"/>
          <w:szCs w:val="48"/>
          <w:rtl/>
          <w:lang w:bidi="he-IL"/>
        </w:rPr>
        <w:lastRenderedPageBreak/>
        <w:t>שיעור פ"ג</w:t>
      </w:r>
    </w:p>
    <w:p w:rsidR="00891DE2" w:rsidRDefault="00891DE2" w:rsidP="00766845">
      <w:pPr>
        <w:pStyle w:val="Heading1"/>
        <w:bidi/>
        <w:spacing w:before="0" w:line="360" w:lineRule="auto"/>
        <w:jc w:val="center"/>
        <w:rPr>
          <w:rFonts w:cs="Guttman Drogolin"/>
          <w:color w:val="auto"/>
          <w:sz w:val="24"/>
          <w:szCs w:val="24"/>
          <w:u w:val="single"/>
          <w:rtl/>
          <w:lang w:bidi="he-IL"/>
        </w:rPr>
        <w:sectPr w:rsidR="00891DE2" w:rsidSect="00891DE2">
          <w:headerReference w:type="default" r:id="rId64"/>
          <w:pgSz w:w="11907" w:h="16839" w:code="9"/>
          <w:pgMar w:top="1440" w:right="1440" w:bottom="1440" w:left="1440" w:header="720" w:footer="720" w:gutter="0"/>
          <w:cols w:space="720"/>
          <w:bidi/>
          <w:docGrid w:linePitch="360"/>
        </w:sectPr>
      </w:pPr>
    </w:p>
    <w:p w:rsidR="00766845" w:rsidRPr="00882F11" w:rsidRDefault="00766845" w:rsidP="00766845">
      <w:pPr>
        <w:pStyle w:val="Heading1"/>
        <w:bidi/>
        <w:spacing w:before="0" w:line="360" w:lineRule="auto"/>
        <w:jc w:val="center"/>
        <w:rPr>
          <w:rFonts w:cs="Guttman Drogolin"/>
          <w:color w:val="auto"/>
          <w:sz w:val="24"/>
          <w:szCs w:val="24"/>
          <w:u w:val="single"/>
          <w:rtl/>
          <w:lang w:bidi="he-IL"/>
        </w:rPr>
      </w:pPr>
      <w:bookmarkStart w:id="334" w:name="_Toc496175585"/>
      <w:r w:rsidRPr="00882F11">
        <w:rPr>
          <w:rFonts w:cs="Guttman Drogolin" w:hint="cs"/>
          <w:color w:val="auto"/>
          <w:sz w:val="24"/>
          <w:szCs w:val="24"/>
          <w:u w:val="single"/>
          <w:rtl/>
          <w:lang w:bidi="he-IL"/>
        </w:rPr>
        <w:lastRenderedPageBreak/>
        <w:t>השיטות בברי'</w:t>
      </w:r>
      <w:bookmarkEnd w:id="334"/>
    </w:p>
    <w:p w:rsidR="00C45215" w:rsidRPr="00882F11" w:rsidRDefault="00C45215" w:rsidP="00C45215">
      <w:pPr>
        <w:tabs>
          <w:tab w:val="right" w:pos="7497"/>
        </w:tabs>
        <w:bidi/>
        <w:jc w:val="both"/>
        <w:rPr>
          <w:rFonts w:cs="Guttman Drogolin"/>
          <w:rtl/>
          <w:lang w:bidi="he-IL"/>
        </w:rPr>
      </w:pPr>
      <w:r w:rsidRPr="00882F11">
        <w:rPr>
          <w:rFonts w:cs="Guttman Drogolin" w:hint="cs"/>
          <w:b/>
          <w:bCs/>
          <w:rtl/>
          <w:lang w:bidi="he-IL"/>
        </w:rPr>
        <w:t>[</w:t>
      </w:r>
      <w:r w:rsidRPr="00882F11">
        <w:rPr>
          <w:rFonts w:cs="Guttman Drogolin" w:hint="cs"/>
          <w:rtl/>
          <w:lang w:bidi="he-IL"/>
        </w:rPr>
        <w:t>ע' מה שהארכנו בזה לעיל בשיעור י"</w:t>
      </w:r>
      <w:r w:rsidRPr="00882F11">
        <w:rPr>
          <w:rFonts w:cs="Guttman Drogolin" w:hint="cs"/>
          <w:b/>
          <w:bCs/>
          <w:rtl/>
          <w:lang w:bidi="he-IL"/>
        </w:rPr>
        <w:t>ד]</w:t>
      </w:r>
      <w:r w:rsidR="003268BB" w:rsidRPr="00882F11">
        <w:rPr>
          <w:rFonts w:cs="Guttman Drogolin" w:hint="cs"/>
          <w:rtl/>
          <w:lang w:bidi="he-IL"/>
        </w:rPr>
        <w:t xml:space="preserve"> </w:t>
      </w:r>
    </w:p>
    <w:p w:rsidR="00BD6BD5" w:rsidRPr="00882F11" w:rsidRDefault="00F83575" w:rsidP="00BD6BD5">
      <w:pPr>
        <w:tabs>
          <w:tab w:val="right" w:pos="7497"/>
        </w:tabs>
        <w:bidi/>
        <w:jc w:val="both"/>
        <w:rPr>
          <w:rFonts w:cs="Guttman Drogolin"/>
          <w:rtl/>
          <w:lang w:bidi="he-IL"/>
        </w:rPr>
      </w:pPr>
      <w:r>
        <w:rPr>
          <w:rFonts w:cs="Guttman Drogolin"/>
          <w:rtl/>
          <w:lang w:bidi="he-IL"/>
        </w:rPr>
        <w:fldChar w:fldCharType="begin"/>
      </w:r>
      <w:r>
        <w:instrText xml:space="preserve"> XE "</w:instrText>
      </w:r>
      <w:r w:rsidRPr="00803A4D">
        <w:rPr>
          <w:rFonts w:hint="cs"/>
          <w:rtl/>
          <w:lang w:bidi="he-IL"/>
        </w:rPr>
        <w:instrText>ברי'</w:instrText>
      </w:r>
      <w:r w:rsidRPr="00803A4D">
        <w:rPr>
          <w:rtl/>
        </w:rPr>
        <w:instrText>:</w:instrText>
      </w:r>
      <w:r w:rsidRPr="00803A4D">
        <w:rPr>
          <w:rFonts w:hint="cs"/>
          <w:rtl/>
          <w:lang w:bidi="he-IL"/>
        </w:rPr>
        <w:instrText>השיטות להלכה</w:instrText>
      </w:r>
      <w:r>
        <w:instrText xml:space="preserve">" </w:instrText>
      </w:r>
      <w:r>
        <w:rPr>
          <w:rFonts w:cs="Guttman Drogolin"/>
          <w:rtl/>
          <w:lang w:bidi="he-IL"/>
        </w:rPr>
        <w:fldChar w:fldCharType="end"/>
      </w:r>
      <w:r w:rsidR="00C45215" w:rsidRPr="00882F11">
        <w:rPr>
          <w:rFonts w:cs="Guttman Drogolin" w:hint="cs"/>
          <w:rtl/>
          <w:lang w:bidi="he-IL"/>
        </w:rPr>
        <w:t>היכי קיי"ל להלכה. השו"ע הביא כשיטת הרשב"א דבעינן גם בריית נשמה וגם שאם יתחלק אין שמו עליו. אמנם בביאור הגר"א כתב שכוונת השו"ע להקל בין כשיטת התוס' ובין כשיטת הר"ן, ור"ל שלא נחשב ברי אא"כ הוא בריית נשמה וכו' כשיטת הר"ן, אבל גם אינו ברי' אא"כ אם יתחלק אין שמו עליו וכפירושם של התוס'. והא דנקט שכוונת השו"ע להקל ככל השיטות ולא כפשוטו שנקט כשיטת הרשב"א נראה שהוא משום שהב"י עצמו לא הביא שיטת הרשב"א ולכן קשה לומר דסתם בשו"ע כוותי'.</w:t>
      </w:r>
    </w:p>
    <w:p w:rsidR="00F56939" w:rsidRPr="00882F11" w:rsidRDefault="00C45215" w:rsidP="00BD6BD5">
      <w:pPr>
        <w:tabs>
          <w:tab w:val="right" w:pos="7497"/>
        </w:tabs>
        <w:bidi/>
        <w:jc w:val="both"/>
        <w:rPr>
          <w:rFonts w:cs="Guttman Drogolin"/>
          <w:rtl/>
          <w:lang w:bidi="he-IL"/>
        </w:rPr>
      </w:pPr>
      <w:r w:rsidRPr="00882F11">
        <w:rPr>
          <w:rFonts w:cs="Guttman Drogolin" w:hint="cs"/>
          <w:rtl/>
          <w:lang w:bidi="he-IL"/>
        </w:rPr>
        <w:t xml:space="preserve">וכמובן אין מקום להקל כב' השיטות אלא לפמש"כ הרבה ראשונים </w:t>
      </w:r>
      <w:r w:rsidR="00F56939" w:rsidRPr="00882F11">
        <w:rPr>
          <w:rFonts w:cs="Guttman Drogolin" w:hint="cs"/>
          <w:rtl/>
          <w:lang w:bidi="he-IL"/>
        </w:rPr>
        <w:t xml:space="preserve">(רשב"א צ"ט ע"ב וכן בתוה"א, וכן בריטב"א ור"ן ורא"ש שם) </w:t>
      </w:r>
      <w:r w:rsidRPr="00882F11">
        <w:rPr>
          <w:rFonts w:cs="Guttman Drogolin" w:hint="cs"/>
          <w:rtl/>
          <w:lang w:bidi="he-IL"/>
        </w:rPr>
        <w:t xml:space="preserve">שהדין דברי' לא בטילה אינו אלא מדרבנן. אבל ראוי לציין שמתוס' במס' ב"מ ו' ע"ב נראה שהדין דברי' לא בטילה הוא מדאורייתא. </w:t>
      </w:r>
      <w:r w:rsidR="00BD6BD5" w:rsidRPr="00882F11">
        <w:rPr>
          <w:rFonts w:cs="Guttman Drogolin" w:hint="cs"/>
          <w:rtl/>
          <w:lang w:bidi="he-IL"/>
        </w:rPr>
        <w:t>ששם בגמ' הביאו מתני' שבמעשר בהמה אם א' מן הבהמות שהיו כבר מוניים לאלו שעדיין לא נמנו כולן פטורים. והקשו שם בתוס' דלמה לא יתבטל ברוב. ו</w:t>
      </w:r>
      <w:r w:rsidRPr="00882F11">
        <w:rPr>
          <w:rFonts w:cs="Guttman Drogolin" w:hint="cs"/>
          <w:rtl/>
          <w:lang w:bidi="he-IL"/>
        </w:rPr>
        <w:t>ז"ל שם "</w:t>
      </w:r>
      <w:r w:rsidR="00BD6BD5" w:rsidRPr="00882F11">
        <w:rPr>
          <w:rFonts w:cs="Guttman Drogolin" w:hint="cs"/>
          <w:rtl/>
          <w:lang w:bidi="he-IL"/>
        </w:rPr>
        <w:t>תימה</w:t>
      </w:r>
      <w:r w:rsidR="00BD6BD5" w:rsidRPr="00882F11">
        <w:rPr>
          <w:rFonts w:cs="Guttman Drogolin"/>
          <w:rtl/>
          <w:lang w:bidi="he-IL"/>
        </w:rPr>
        <w:t xml:space="preserve"> </w:t>
      </w:r>
      <w:r w:rsidR="00BD6BD5" w:rsidRPr="00882F11">
        <w:rPr>
          <w:rFonts w:cs="Guttman Drogolin" w:hint="cs"/>
          <w:rtl/>
          <w:lang w:bidi="he-IL"/>
        </w:rPr>
        <w:t>דלבטל</w:t>
      </w:r>
      <w:r w:rsidR="00BD6BD5" w:rsidRPr="00882F11">
        <w:rPr>
          <w:rFonts w:cs="Guttman Drogolin"/>
          <w:rtl/>
          <w:lang w:bidi="he-IL"/>
        </w:rPr>
        <w:t xml:space="preserve"> </w:t>
      </w:r>
      <w:r w:rsidR="00BD6BD5" w:rsidRPr="00882F11">
        <w:rPr>
          <w:rFonts w:cs="Guttman Drogolin" w:hint="cs"/>
          <w:rtl/>
          <w:lang w:bidi="he-IL"/>
        </w:rPr>
        <w:t>ברובא</w:t>
      </w:r>
      <w:r w:rsidR="00BD6BD5" w:rsidRPr="00882F11">
        <w:rPr>
          <w:rFonts w:cs="Guttman Drogolin"/>
          <w:rtl/>
          <w:lang w:bidi="he-IL"/>
        </w:rPr>
        <w:t xml:space="preserve"> </w:t>
      </w:r>
      <w:r w:rsidR="00BD6BD5" w:rsidRPr="00882F11">
        <w:rPr>
          <w:rFonts w:cs="Guttman Drogolin" w:hint="cs"/>
          <w:rtl/>
          <w:lang w:bidi="he-IL"/>
        </w:rPr>
        <w:t>וליחייבו</w:t>
      </w:r>
      <w:r w:rsidR="00BD6BD5" w:rsidRPr="00882F11">
        <w:rPr>
          <w:rFonts w:cs="Guttman Drogolin"/>
          <w:rtl/>
          <w:lang w:bidi="he-IL"/>
        </w:rPr>
        <w:t xml:space="preserve"> </w:t>
      </w:r>
      <w:r w:rsidR="00BD6BD5" w:rsidRPr="00882F11">
        <w:rPr>
          <w:rFonts w:cs="Guttman Drogolin" w:hint="cs"/>
          <w:rtl/>
          <w:lang w:bidi="he-IL"/>
        </w:rPr>
        <w:t>כולהו</w:t>
      </w:r>
      <w:r w:rsidR="00BD6BD5" w:rsidRPr="00882F11">
        <w:rPr>
          <w:rFonts w:cs="Guttman Drogolin"/>
          <w:rtl/>
          <w:lang w:bidi="he-IL"/>
        </w:rPr>
        <w:t xml:space="preserve"> </w:t>
      </w:r>
      <w:r w:rsidR="00BD6BD5" w:rsidRPr="00882F11">
        <w:rPr>
          <w:rFonts w:cs="Guttman Drogolin" w:hint="cs"/>
          <w:rtl/>
          <w:lang w:bidi="he-IL"/>
        </w:rPr>
        <w:t>במעשר</w:t>
      </w:r>
      <w:r w:rsidR="00BD6BD5" w:rsidRPr="00882F11">
        <w:rPr>
          <w:rFonts w:cs="Guttman Drogolin"/>
          <w:rtl/>
          <w:lang w:bidi="he-IL"/>
        </w:rPr>
        <w:t xml:space="preserve"> </w:t>
      </w:r>
      <w:r w:rsidR="00BD6BD5" w:rsidRPr="00882F11">
        <w:rPr>
          <w:rFonts w:cs="Guttman Drogolin" w:hint="cs"/>
          <w:rtl/>
          <w:lang w:bidi="he-IL"/>
        </w:rPr>
        <w:t>דהא</w:t>
      </w:r>
      <w:r w:rsidR="00BD6BD5" w:rsidRPr="00882F11">
        <w:rPr>
          <w:rFonts w:cs="Guttman Drogolin"/>
          <w:rtl/>
          <w:lang w:bidi="he-IL"/>
        </w:rPr>
        <w:t xml:space="preserve"> </w:t>
      </w:r>
      <w:r w:rsidR="00BD6BD5" w:rsidRPr="00882F11">
        <w:rPr>
          <w:rFonts w:cs="Guttman Drogolin" w:hint="cs"/>
          <w:rtl/>
          <w:lang w:bidi="he-IL"/>
        </w:rPr>
        <w:t>דדבר</w:t>
      </w:r>
      <w:r w:rsidR="00BD6BD5" w:rsidRPr="00882F11">
        <w:rPr>
          <w:rFonts w:cs="Guttman Drogolin"/>
          <w:rtl/>
          <w:lang w:bidi="he-IL"/>
        </w:rPr>
        <w:t xml:space="preserve"> </w:t>
      </w:r>
      <w:r w:rsidR="00BD6BD5" w:rsidRPr="00882F11">
        <w:rPr>
          <w:rFonts w:cs="Guttman Drogolin" w:hint="cs"/>
          <w:rtl/>
          <w:lang w:bidi="he-IL"/>
        </w:rPr>
        <w:t>שבמנין</w:t>
      </w:r>
      <w:r w:rsidR="00BD6BD5" w:rsidRPr="00882F11">
        <w:rPr>
          <w:rFonts w:cs="Guttman Drogolin"/>
          <w:rtl/>
          <w:lang w:bidi="he-IL"/>
        </w:rPr>
        <w:t xml:space="preserve"> </w:t>
      </w:r>
      <w:r w:rsidR="00BD6BD5" w:rsidRPr="00882F11">
        <w:rPr>
          <w:rFonts w:cs="Guttman Drogolin" w:hint="cs"/>
          <w:rtl/>
          <w:lang w:bidi="he-IL"/>
        </w:rPr>
        <w:t>לא</w:t>
      </w:r>
      <w:r w:rsidR="00BD6BD5" w:rsidRPr="00882F11">
        <w:rPr>
          <w:rFonts w:cs="Guttman Drogolin"/>
          <w:rtl/>
          <w:lang w:bidi="he-IL"/>
        </w:rPr>
        <w:t xml:space="preserve"> </w:t>
      </w:r>
      <w:r w:rsidR="00BD6BD5" w:rsidRPr="00882F11">
        <w:rPr>
          <w:rFonts w:cs="Guttman Drogolin" w:hint="cs"/>
          <w:rtl/>
          <w:lang w:bidi="he-IL"/>
        </w:rPr>
        <w:t>בטיל</w:t>
      </w:r>
      <w:r w:rsidR="00BD6BD5" w:rsidRPr="00882F11">
        <w:rPr>
          <w:rFonts w:cs="Guttman Drogolin"/>
          <w:rtl/>
          <w:lang w:bidi="he-IL"/>
        </w:rPr>
        <w:t xml:space="preserve"> </w:t>
      </w:r>
      <w:r w:rsidR="00BD6BD5" w:rsidRPr="00882F11">
        <w:rPr>
          <w:rFonts w:cs="Guttman Drogolin" w:hint="cs"/>
          <w:b/>
          <w:bCs/>
          <w:i/>
          <w:iCs/>
          <w:rtl/>
          <w:lang w:bidi="he-IL"/>
        </w:rPr>
        <w:t>היינו</w:t>
      </w:r>
      <w:r w:rsidR="00BD6BD5" w:rsidRPr="00882F11">
        <w:rPr>
          <w:rFonts w:cs="Guttman Drogolin"/>
          <w:b/>
          <w:bCs/>
          <w:i/>
          <w:iCs/>
          <w:rtl/>
          <w:lang w:bidi="he-IL"/>
        </w:rPr>
        <w:t xml:space="preserve"> </w:t>
      </w:r>
      <w:r w:rsidR="00BD6BD5" w:rsidRPr="00882F11">
        <w:rPr>
          <w:rFonts w:cs="Guttman Drogolin" w:hint="cs"/>
          <w:b/>
          <w:bCs/>
          <w:i/>
          <w:iCs/>
          <w:rtl/>
          <w:lang w:bidi="he-IL"/>
        </w:rPr>
        <w:t>מדרבנן</w:t>
      </w:r>
      <w:r w:rsidR="00BD6BD5" w:rsidRPr="00882F11">
        <w:rPr>
          <w:rFonts w:cs="Guttman Drogolin"/>
          <w:rtl/>
          <w:lang w:bidi="he-IL"/>
        </w:rPr>
        <w:t xml:space="preserve"> </w:t>
      </w:r>
      <w:r w:rsidR="00BD6BD5" w:rsidRPr="00882F11">
        <w:rPr>
          <w:rFonts w:cs="Guttman Drogolin" w:hint="cs"/>
          <w:rtl/>
          <w:lang w:bidi="he-IL"/>
        </w:rPr>
        <w:t>וקבוע</w:t>
      </w:r>
      <w:r w:rsidR="00BD6BD5" w:rsidRPr="00882F11">
        <w:rPr>
          <w:rFonts w:cs="Guttman Drogolin"/>
          <w:rtl/>
          <w:lang w:bidi="he-IL"/>
        </w:rPr>
        <w:t xml:space="preserve"> </w:t>
      </w:r>
      <w:r w:rsidR="00BD6BD5" w:rsidRPr="00882F11">
        <w:rPr>
          <w:rFonts w:cs="Guttman Drogolin" w:hint="cs"/>
          <w:rtl/>
          <w:lang w:bidi="he-IL"/>
        </w:rPr>
        <w:t>נמי</w:t>
      </w:r>
      <w:r w:rsidR="00BD6BD5" w:rsidRPr="00882F11">
        <w:rPr>
          <w:rFonts w:cs="Guttman Drogolin"/>
          <w:rtl/>
          <w:lang w:bidi="he-IL"/>
        </w:rPr>
        <w:t xml:space="preserve"> </w:t>
      </w:r>
      <w:r w:rsidR="00BD6BD5" w:rsidRPr="00882F11">
        <w:rPr>
          <w:rFonts w:cs="Guttman Drogolin" w:hint="cs"/>
          <w:rtl/>
          <w:lang w:bidi="he-IL"/>
        </w:rPr>
        <w:t>אין</w:t>
      </w:r>
      <w:r w:rsidR="00BD6BD5" w:rsidRPr="00882F11">
        <w:rPr>
          <w:rFonts w:cs="Guttman Drogolin"/>
          <w:rtl/>
          <w:lang w:bidi="he-IL"/>
        </w:rPr>
        <w:t xml:space="preserve"> </w:t>
      </w:r>
      <w:r w:rsidR="00BD6BD5" w:rsidRPr="00882F11">
        <w:rPr>
          <w:rFonts w:cs="Guttman Drogolin" w:hint="cs"/>
          <w:rtl/>
          <w:lang w:bidi="he-IL"/>
        </w:rPr>
        <w:t>שייך</w:t>
      </w:r>
      <w:r w:rsidR="00BD6BD5" w:rsidRPr="00882F11">
        <w:rPr>
          <w:rFonts w:cs="Guttman Drogolin"/>
          <w:rtl/>
          <w:lang w:bidi="he-IL"/>
        </w:rPr>
        <w:t xml:space="preserve"> </w:t>
      </w:r>
      <w:r w:rsidR="00BD6BD5" w:rsidRPr="00882F11">
        <w:rPr>
          <w:rFonts w:cs="Guttman Drogolin" w:hint="cs"/>
          <w:rtl/>
          <w:lang w:bidi="he-IL"/>
        </w:rPr>
        <w:t>אלא</w:t>
      </w:r>
      <w:r w:rsidR="00BD6BD5" w:rsidRPr="00882F11">
        <w:rPr>
          <w:rFonts w:cs="Guttman Drogolin"/>
          <w:rtl/>
          <w:lang w:bidi="he-IL"/>
        </w:rPr>
        <w:t xml:space="preserve"> </w:t>
      </w:r>
      <w:r w:rsidR="00BD6BD5" w:rsidRPr="00882F11">
        <w:rPr>
          <w:rFonts w:cs="Guttman Drogolin" w:hint="cs"/>
          <w:rtl/>
          <w:lang w:bidi="he-IL"/>
        </w:rPr>
        <w:t>בדבר</w:t>
      </w:r>
      <w:r w:rsidR="00BD6BD5" w:rsidRPr="00882F11">
        <w:rPr>
          <w:rFonts w:cs="Guttman Drogolin"/>
          <w:rtl/>
          <w:lang w:bidi="he-IL"/>
        </w:rPr>
        <w:t xml:space="preserve"> </w:t>
      </w:r>
      <w:r w:rsidR="00BD6BD5" w:rsidRPr="00882F11">
        <w:rPr>
          <w:rFonts w:cs="Guttman Drogolin" w:hint="cs"/>
          <w:rtl/>
          <w:lang w:bidi="he-IL"/>
        </w:rPr>
        <w:t>שהאיסור</w:t>
      </w:r>
      <w:r w:rsidR="00BD6BD5" w:rsidRPr="00882F11">
        <w:rPr>
          <w:rFonts w:cs="Guttman Drogolin"/>
          <w:rtl/>
          <w:lang w:bidi="he-IL"/>
        </w:rPr>
        <w:t xml:space="preserve"> </w:t>
      </w:r>
      <w:r w:rsidR="00BD6BD5" w:rsidRPr="00882F11">
        <w:rPr>
          <w:rFonts w:cs="Guttman Drogolin" w:hint="cs"/>
          <w:rtl/>
          <w:lang w:bidi="he-IL"/>
        </w:rPr>
        <w:t>וההיתר</w:t>
      </w:r>
      <w:r w:rsidR="00BD6BD5" w:rsidRPr="00882F11">
        <w:rPr>
          <w:rFonts w:cs="Guttman Drogolin"/>
          <w:rtl/>
          <w:lang w:bidi="he-IL"/>
        </w:rPr>
        <w:t xml:space="preserve"> </w:t>
      </w:r>
      <w:r w:rsidR="00BD6BD5" w:rsidRPr="00882F11">
        <w:rPr>
          <w:rFonts w:cs="Guttman Drogolin" w:hint="cs"/>
          <w:rtl/>
          <w:lang w:bidi="he-IL"/>
        </w:rPr>
        <w:t>ניכרין</w:t>
      </w:r>
      <w:r w:rsidR="00BD6BD5" w:rsidRPr="00882F11">
        <w:rPr>
          <w:rFonts w:cs="Guttman Drogolin"/>
          <w:rtl/>
          <w:lang w:bidi="he-IL"/>
        </w:rPr>
        <w:t xml:space="preserve"> </w:t>
      </w:r>
      <w:r w:rsidR="00BD6BD5" w:rsidRPr="00882F11">
        <w:rPr>
          <w:rFonts w:cs="Guttman Drogolin" w:hint="cs"/>
          <w:rtl/>
          <w:lang w:bidi="he-IL"/>
        </w:rPr>
        <w:t>וידועין</w:t>
      </w:r>
      <w:r w:rsidR="00BD6BD5" w:rsidRPr="00882F11">
        <w:rPr>
          <w:rFonts w:cs="Guttman Drogolin"/>
          <w:rtl/>
          <w:lang w:bidi="he-IL"/>
        </w:rPr>
        <w:t xml:space="preserve"> </w:t>
      </w:r>
      <w:r w:rsidR="00BD6BD5" w:rsidRPr="00882F11">
        <w:rPr>
          <w:rFonts w:cs="Guttman Drogolin" w:hint="cs"/>
          <w:rtl/>
          <w:lang w:bidi="he-IL"/>
        </w:rPr>
        <w:t>ולא</w:t>
      </w:r>
      <w:r w:rsidR="00BD6BD5" w:rsidRPr="00882F11">
        <w:rPr>
          <w:rFonts w:cs="Guttman Drogolin"/>
          <w:rtl/>
          <w:lang w:bidi="he-IL"/>
        </w:rPr>
        <w:t xml:space="preserve"> </w:t>
      </w:r>
      <w:r w:rsidR="00BD6BD5" w:rsidRPr="00882F11">
        <w:rPr>
          <w:rFonts w:cs="Guttman Drogolin" w:hint="cs"/>
          <w:rtl/>
          <w:lang w:bidi="he-IL"/>
        </w:rPr>
        <w:t>ידע</w:t>
      </w:r>
      <w:r w:rsidR="00BD6BD5" w:rsidRPr="00882F11">
        <w:rPr>
          <w:rFonts w:cs="Guttman Drogolin"/>
          <w:rtl/>
          <w:lang w:bidi="he-IL"/>
        </w:rPr>
        <w:t xml:space="preserve"> </w:t>
      </w:r>
      <w:r w:rsidR="00BD6BD5" w:rsidRPr="00882F11">
        <w:rPr>
          <w:rFonts w:cs="Guttman Drogolin" w:hint="cs"/>
          <w:rtl/>
          <w:lang w:bidi="he-IL"/>
        </w:rPr>
        <w:t>מאיזה</w:t>
      </w:r>
      <w:r w:rsidR="00BD6BD5" w:rsidRPr="00882F11">
        <w:rPr>
          <w:rFonts w:cs="Guttman Drogolin"/>
          <w:rtl/>
          <w:lang w:bidi="he-IL"/>
        </w:rPr>
        <w:t xml:space="preserve"> </w:t>
      </w:r>
      <w:r w:rsidR="00BD6BD5" w:rsidRPr="00882F11">
        <w:rPr>
          <w:rFonts w:cs="Guttman Drogolin" w:hint="cs"/>
          <w:rtl/>
          <w:lang w:bidi="he-IL"/>
        </w:rPr>
        <w:t>לקח</w:t>
      </w:r>
      <w:r w:rsidR="00BD6BD5" w:rsidRPr="00882F11">
        <w:rPr>
          <w:rFonts w:cs="Guttman Drogolin"/>
          <w:rtl/>
          <w:lang w:bidi="he-IL"/>
        </w:rPr>
        <w:t xml:space="preserve"> </w:t>
      </w:r>
      <w:r w:rsidR="00BD6BD5" w:rsidRPr="00882F11">
        <w:rPr>
          <w:rFonts w:cs="Guttman Drogolin" w:hint="cs"/>
          <w:rtl/>
          <w:lang w:bidi="he-IL"/>
        </w:rPr>
        <w:t>כגון</w:t>
      </w:r>
      <w:r w:rsidR="00BD6BD5" w:rsidRPr="00882F11">
        <w:rPr>
          <w:rFonts w:cs="Guttman Drogolin"/>
          <w:rtl/>
          <w:lang w:bidi="he-IL"/>
        </w:rPr>
        <w:t xml:space="preserve"> </w:t>
      </w:r>
      <w:r w:rsidR="00BD6BD5" w:rsidRPr="00882F11">
        <w:rPr>
          <w:rFonts w:cs="Guttman Drogolin" w:hint="cs"/>
          <w:rtl/>
          <w:lang w:bidi="he-IL"/>
        </w:rPr>
        <w:t>ט</w:t>
      </w:r>
      <w:r w:rsidR="00BD6BD5" w:rsidRPr="00882F11">
        <w:rPr>
          <w:rFonts w:cs="Guttman Drogolin"/>
          <w:rtl/>
          <w:lang w:bidi="he-IL"/>
        </w:rPr>
        <w:t xml:space="preserve">' </w:t>
      </w:r>
      <w:r w:rsidR="00BD6BD5" w:rsidRPr="00882F11">
        <w:rPr>
          <w:rFonts w:cs="Guttman Drogolin" w:hint="cs"/>
          <w:rtl/>
          <w:lang w:bidi="he-IL"/>
        </w:rPr>
        <w:t>חנויות</w:t>
      </w:r>
      <w:r w:rsidR="00BD6BD5" w:rsidRPr="00882F11">
        <w:rPr>
          <w:rFonts w:cs="Guttman Drogolin"/>
          <w:rtl/>
          <w:lang w:bidi="he-IL"/>
        </w:rPr>
        <w:t xml:space="preserve"> </w:t>
      </w:r>
      <w:r w:rsidR="00BD6BD5" w:rsidRPr="00882F11">
        <w:rPr>
          <w:rFonts w:cs="Guttman Drogolin" w:hint="cs"/>
          <w:rtl/>
          <w:lang w:bidi="he-IL"/>
        </w:rPr>
        <w:t>ובריה</w:t>
      </w:r>
      <w:r w:rsidR="00BD6BD5" w:rsidRPr="00882F11">
        <w:rPr>
          <w:rFonts w:cs="Guttman Drogolin"/>
          <w:rtl/>
          <w:lang w:bidi="he-IL"/>
        </w:rPr>
        <w:t xml:space="preserve"> </w:t>
      </w:r>
      <w:r w:rsidR="00BD6BD5" w:rsidRPr="00882F11">
        <w:rPr>
          <w:rFonts w:cs="Guttman Drogolin" w:hint="cs"/>
          <w:rtl/>
          <w:lang w:bidi="he-IL"/>
        </w:rPr>
        <w:t>נמי</w:t>
      </w:r>
      <w:r w:rsidR="00BD6BD5" w:rsidRPr="00882F11">
        <w:rPr>
          <w:rFonts w:cs="Guttman Drogolin"/>
          <w:rtl/>
          <w:lang w:bidi="he-IL"/>
        </w:rPr>
        <w:t xml:space="preserve"> </w:t>
      </w:r>
      <w:r w:rsidR="00BD6BD5" w:rsidRPr="00882F11">
        <w:rPr>
          <w:rFonts w:cs="Guttman Drogolin" w:hint="cs"/>
          <w:rtl/>
          <w:lang w:bidi="he-IL"/>
        </w:rPr>
        <w:t>לא</w:t>
      </w:r>
      <w:r w:rsidR="00BD6BD5" w:rsidRPr="00882F11">
        <w:rPr>
          <w:rFonts w:cs="Guttman Drogolin"/>
          <w:rtl/>
          <w:lang w:bidi="he-IL"/>
        </w:rPr>
        <w:t xml:space="preserve"> </w:t>
      </w:r>
      <w:r w:rsidR="00BD6BD5" w:rsidRPr="00882F11">
        <w:rPr>
          <w:rFonts w:cs="Guttman Drogolin" w:hint="cs"/>
          <w:rtl/>
          <w:lang w:bidi="he-IL"/>
        </w:rPr>
        <w:t>הוי</w:t>
      </w:r>
      <w:r w:rsidR="00BD6BD5" w:rsidRPr="00882F11">
        <w:rPr>
          <w:rFonts w:cs="Guttman Drogolin"/>
          <w:rtl/>
          <w:lang w:bidi="he-IL"/>
        </w:rPr>
        <w:t xml:space="preserve"> </w:t>
      </w:r>
      <w:r w:rsidR="00BD6BD5" w:rsidRPr="00882F11">
        <w:rPr>
          <w:rFonts w:cs="Guttman Drogolin" w:hint="cs"/>
          <w:rtl/>
          <w:lang w:bidi="he-IL"/>
        </w:rPr>
        <w:t>כדפרי</w:t>
      </w:r>
      <w:r w:rsidR="00BD6BD5" w:rsidRPr="00882F11">
        <w:rPr>
          <w:rFonts w:cs="Guttman Drogolin"/>
          <w:rtl/>
          <w:lang w:bidi="he-IL"/>
        </w:rPr>
        <w:t xml:space="preserve">' </w:t>
      </w:r>
      <w:r w:rsidR="00BD6BD5" w:rsidRPr="00882F11">
        <w:rPr>
          <w:rFonts w:cs="Guttman Drogolin" w:hint="cs"/>
          <w:rtl/>
          <w:lang w:bidi="he-IL"/>
        </w:rPr>
        <w:t>בחולין</w:t>
      </w:r>
      <w:r w:rsidR="00BD6BD5" w:rsidRPr="00882F11">
        <w:rPr>
          <w:rFonts w:cs="Guttman Drogolin"/>
          <w:rtl/>
          <w:lang w:bidi="he-IL"/>
        </w:rPr>
        <w:t xml:space="preserve"> </w:t>
      </w:r>
      <w:r w:rsidR="00BD6BD5" w:rsidRPr="00882F11">
        <w:rPr>
          <w:rFonts w:cs="Guttman Drogolin" w:hint="cs"/>
          <w:rtl/>
          <w:lang w:bidi="he-IL"/>
        </w:rPr>
        <w:t>וכו'". ולכאורה צ"ע למה לא כתבו התוס' גם בברי' שאין לומר שזהו הטעם שגם הוא מדרבנן, ולמה היו צריכים לומר עוד דלא הוי ברי'. הרי שמשמע שברי' מדאורייתא לא בטילה, וכן דקדק במהרי"ל (סי</w:t>
      </w:r>
      <w:r w:rsidR="00BD6BD5" w:rsidRPr="00882F11">
        <w:rPr>
          <w:rFonts w:cs="Guttman Drogolin"/>
          <w:rtl/>
          <w:lang w:bidi="he-IL"/>
        </w:rPr>
        <w:t xml:space="preserve">' </w:t>
      </w:r>
      <w:r w:rsidR="00BD6BD5" w:rsidRPr="00882F11">
        <w:rPr>
          <w:rFonts w:cs="Guttman Drogolin" w:hint="cs"/>
          <w:rtl/>
          <w:lang w:bidi="he-IL"/>
        </w:rPr>
        <w:t>ע</w:t>
      </w:r>
      <w:r w:rsidR="00BD6BD5" w:rsidRPr="00882F11">
        <w:rPr>
          <w:rFonts w:cs="Guttman Drogolin"/>
          <w:rtl/>
          <w:lang w:bidi="he-IL"/>
        </w:rPr>
        <w:t>"</w:t>
      </w:r>
      <w:r w:rsidR="00BD6BD5" w:rsidRPr="00882F11">
        <w:rPr>
          <w:rFonts w:cs="Guttman Drogolin" w:hint="cs"/>
          <w:rtl/>
          <w:lang w:bidi="he-IL"/>
        </w:rPr>
        <w:t>ב</w:t>
      </w:r>
      <w:r w:rsidR="00BD6BD5" w:rsidRPr="00882F11">
        <w:rPr>
          <w:rFonts w:cs="Guttman Drogolin"/>
          <w:rtl/>
          <w:lang w:bidi="he-IL"/>
        </w:rPr>
        <w:t xml:space="preserve"> </w:t>
      </w:r>
      <w:r w:rsidR="00BD6BD5" w:rsidRPr="00882F11">
        <w:rPr>
          <w:rFonts w:cs="Guttman Drogolin" w:hint="cs"/>
          <w:rtl/>
          <w:lang w:bidi="he-IL"/>
        </w:rPr>
        <w:t>אות</w:t>
      </w:r>
      <w:r w:rsidR="00BD6BD5" w:rsidRPr="00882F11">
        <w:rPr>
          <w:rFonts w:cs="Guttman Drogolin"/>
          <w:rtl/>
          <w:lang w:bidi="he-IL"/>
        </w:rPr>
        <w:t xml:space="preserve"> </w:t>
      </w:r>
      <w:r w:rsidR="00BD6BD5" w:rsidRPr="00882F11">
        <w:rPr>
          <w:rFonts w:cs="Guttman Drogolin" w:hint="cs"/>
          <w:rtl/>
          <w:lang w:bidi="he-IL"/>
        </w:rPr>
        <w:t>ג</w:t>
      </w:r>
      <w:r w:rsidR="00BD6BD5" w:rsidRPr="00882F11">
        <w:rPr>
          <w:rFonts w:cs="Guttman Drogolin"/>
          <w:rtl/>
          <w:lang w:bidi="he-IL"/>
        </w:rPr>
        <w:t xml:space="preserve">' </w:t>
      </w:r>
      <w:r w:rsidR="00BD6BD5" w:rsidRPr="00882F11">
        <w:rPr>
          <w:rFonts w:cs="Guttman Drogolin" w:hint="cs"/>
          <w:rtl/>
          <w:lang w:bidi="he-IL"/>
        </w:rPr>
        <w:t>ד</w:t>
      </w:r>
      <w:r w:rsidR="00BD6BD5" w:rsidRPr="00882F11">
        <w:rPr>
          <w:rFonts w:cs="Guttman Drogolin"/>
          <w:rtl/>
          <w:lang w:bidi="he-IL"/>
        </w:rPr>
        <w:t>"</w:t>
      </w:r>
      <w:r w:rsidR="00BD6BD5" w:rsidRPr="00882F11">
        <w:rPr>
          <w:rFonts w:cs="Guttman Drogolin" w:hint="cs"/>
          <w:rtl/>
          <w:lang w:bidi="he-IL"/>
        </w:rPr>
        <w:t>ה</w:t>
      </w:r>
      <w:r w:rsidR="00BD6BD5" w:rsidRPr="00882F11">
        <w:rPr>
          <w:rFonts w:cs="Guttman Drogolin"/>
          <w:rtl/>
          <w:lang w:bidi="he-IL"/>
        </w:rPr>
        <w:t xml:space="preserve"> </w:t>
      </w:r>
      <w:r w:rsidR="00BD6BD5" w:rsidRPr="00882F11">
        <w:rPr>
          <w:rFonts w:cs="Guttman Drogolin" w:hint="cs"/>
          <w:rtl/>
          <w:lang w:bidi="he-IL"/>
        </w:rPr>
        <w:t>ומה</w:t>
      </w:r>
      <w:r w:rsidR="00BD6BD5" w:rsidRPr="00882F11">
        <w:rPr>
          <w:rFonts w:cs="Guttman Drogolin"/>
          <w:rtl/>
          <w:lang w:bidi="he-IL"/>
        </w:rPr>
        <w:t xml:space="preserve"> </w:t>
      </w:r>
      <w:r w:rsidR="00BD6BD5" w:rsidRPr="00882F11">
        <w:rPr>
          <w:rFonts w:cs="Guttman Drogolin" w:hint="cs"/>
          <w:rtl/>
          <w:lang w:bidi="he-IL"/>
        </w:rPr>
        <w:t>שכתבת</w:t>
      </w:r>
      <w:r w:rsidR="00BD6BD5" w:rsidRPr="00882F11">
        <w:rPr>
          <w:rFonts w:cs="Guttman Drogolin"/>
          <w:rtl/>
          <w:lang w:bidi="he-IL"/>
        </w:rPr>
        <w:t xml:space="preserve"> </w:t>
      </w:r>
      <w:r w:rsidR="00BD6BD5" w:rsidRPr="00882F11">
        <w:rPr>
          <w:rFonts w:cs="Guttman Drogolin" w:hint="cs"/>
          <w:rtl/>
          <w:lang w:bidi="he-IL"/>
        </w:rPr>
        <w:t>אמאי). וע' בחמד"ש מש"כ לדחות הדיוק מדבריהם, והוא דחוק לכאורה בלשונם.</w:t>
      </w:r>
      <w:r w:rsidR="00F56939" w:rsidRPr="00882F11">
        <w:rPr>
          <w:rFonts w:cs="Guttman Drogolin" w:hint="cs"/>
          <w:rtl/>
          <w:lang w:bidi="he-IL"/>
        </w:rPr>
        <w:t xml:space="preserve"> ומ"מ כמדובר קיי"ל שהוא מדרבנן ולכן מקילין בספקו, </w:t>
      </w:r>
      <w:r w:rsidR="002922C6" w:rsidRPr="00882F11">
        <w:rPr>
          <w:rFonts w:cs="Guttman Drogolin" w:hint="cs"/>
          <w:rtl/>
          <w:lang w:bidi="he-IL"/>
        </w:rPr>
        <w:t xml:space="preserve">כן מבואר בב"י בסי' ק"א, </w:t>
      </w:r>
      <w:r w:rsidR="00F56939" w:rsidRPr="00882F11">
        <w:rPr>
          <w:rFonts w:cs="Guttman Drogolin" w:hint="cs"/>
          <w:rtl/>
          <w:lang w:bidi="he-IL"/>
        </w:rPr>
        <w:t>וכן מבואר נמי בט"ז כאן ס"ק א'.</w:t>
      </w:r>
    </w:p>
    <w:p w:rsidR="00F56939" w:rsidRPr="00882F11" w:rsidRDefault="00F56939" w:rsidP="00F56939">
      <w:pPr>
        <w:pStyle w:val="Heading1"/>
        <w:bidi/>
        <w:spacing w:before="0" w:line="360" w:lineRule="auto"/>
        <w:jc w:val="center"/>
        <w:rPr>
          <w:rFonts w:cs="Guttman Drogolin"/>
          <w:color w:val="auto"/>
          <w:sz w:val="24"/>
          <w:szCs w:val="24"/>
          <w:u w:val="single"/>
          <w:rtl/>
          <w:lang w:bidi="he-IL"/>
        </w:rPr>
      </w:pPr>
      <w:bookmarkStart w:id="335" w:name="_Toc496175586"/>
      <w:r w:rsidRPr="00882F11">
        <w:rPr>
          <w:rFonts w:cs="Guttman Drogolin" w:hint="cs"/>
          <w:color w:val="auto"/>
          <w:sz w:val="24"/>
          <w:szCs w:val="24"/>
          <w:u w:val="single"/>
          <w:rtl/>
          <w:lang w:bidi="he-IL"/>
        </w:rPr>
        <w:lastRenderedPageBreak/>
        <w:t>האם יש נפק"מ בין השיטות</w:t>
      </w:r>
      <w:bookmarkEnd w:id="335"/>
    </w:p>
    <w:p w:rsidR="00BD6BD5" w:rsidRPr="00882F11" w:rsidRDefault="002D214C" w:rsidP="00F56939">
      <w:pPr>
        <w:tabs>
          <w:tab w:val="right" w:pos="7497"/>
        </w:tabs>
        <w:bidi/>
        <w:jc w:val="both"/>
        <w:rPr>
          <w:rFonts w:cs="Guttman Drogolin"/>
          <w:rtl/>
          <w:lang w:bidi="he-IL"/>
        </w:rPr>
      </w:pPr>
      <w:r>
        <w:rPr>
          <w:rFonts w:cs="Guttman Drogolin"/>
          <w:rtl/>
          <w:lang w:bidi="he-IL"/>
        </w:rPr>
        <w:fldChar w:fldCharType="begin"/>
      </w:r>
      <w:r>
        <w:instrText xml:space="preserve"> XE "</w:instrText>
      </w:r>
      <w:r w:rsidRPr="00A67590">
        <w:rPr>
          <w:rFonts w:hint="cs"/>
          <w:rtl/>
          <w:lang w:bidi="he-IL"/>
        </w:rPr>
        <w:instrText>ברי'</w:instrText>
      </w:r>
      <w:r w:rsidRPr="00A67590">
        <w:rPr>
          <w:rtl/>
        </w:rPr>
        <w:instrText>:</w:instrText>
      </w:r>
      <w:r w:rsidRPr="00A67590">
        <w:rPr>
          <w:rFonts w:hint="cs"/>
          <w:rtl/>
          <w:lang w:bidi="he-IL"/>
        </w:rPr>
        <w:instrText>נפקא מינה בין השיטות בדינה</w:instrText>
      </w:r>
      <w:r>
        <w:instrText xml:space="preserve">" </w:instrText>
      </w:r>
      <w:r>
        <w:rPr>
          <w:rFonts w:cs="Guttman Drogolin"/>
          <w:rtl/>
          <w:lang w:bidi="he-IL"/>
        </w:rPr>
        <w:fldChar w:fldCharType="end"/>
      </w:r>
      <w:r w:rsidR="00F56939" w:rsidRPr="00882F11">
        <w:rPr>
          <w:rFonts w:cs="Guttman Drogolin" w:hint="cs"/>
          <w:rtl/>
          <w:lang w:bidi="he-IL"/>
        </w:rPr>
        <w:t xml:space="preserve">ביד יהודה ס"ק </w:t>
      </w:r>
      <w:r w:rsidR="00792C53" w:rsidRPr="00882F11">
        <w:rPr>
          <w:rFonts w:cs="Guttman Drogolin" w:hint="cs"/>
          <w:rtl/>
          <w:lang w:bidi="he-IL"/>
        </w:rPr>
        <w:t xml:space="preserve">א' </w:t>
      </w:r>
      <w:r w:rsidR="00F56939" w:rsidRPr="00882F11">
        <w:rPr>
          <w:rFonts w:cs="Guttman Drogolin" w:hint="cs"/>
          <w:rtl/>
          <w:lang w:bidi="he-IL"/>
        </w:rPr>
        <w:t>האריך לברר אם יש באמת נפק"מ מזה שפוסקים כשיטת זו או השני. ונביא כמה דסברים שדנו בהם הפוסקים אם נאמרה בהם החומרא של ברי' או לא.</w:t>
      </w:r>
    </w:p>
    <w:p w:rsidR="002922C6" w:rsidRPr="00882F11" w:rsidRDefault="002D214C" w:rsidP="00A80ACD">
      <w:pPr>
        <w:pStyle w:val="ListParagraph"/>
        <w:numPr>
          <w:ilvl w:val="0"/>
          <w:numId w:val="20"/>
        </w:numPr>
        <w:tabs>
          <w:tab w:val="right" w:pos="7497"/>
        </w:tabs>
        <w:bidi/>
        <w:ind w:left="297" w:hanging="270"/>
        <w:jc w:val="both"/>
        <w:rPr>
          <w:rFonts w:cs="Guttman Drogolin"/>
          <w:lang w:bidi="he-IL"/>
        </w:rPr>
      </w:pPr>
      <w:r>
        <w:rPr>
          <w:rFonts w:cs="Guttman Drogolin"/>
          <w:b/>
          <w:bCs/>
          <w:rtl/>
          <w:lang w:bidi="he-IL"/>
        </w:rPr>
        <w:fldChar w:fldCharType="begin"/>
      </w:r>
      <w:r>
        <w:instrText xml:space="preserve"> XE "</w:instrText>
      </w:r>
      <w:r w:rsidRPr="00DB0B05">
        <w:rPr>
          <w:rFonts w:hint="cs"/>
          <w:rtl/>
          <w:lang w:bidi="he-IL"/>
        </w:rPr>
        <w:instrText>תולעים</w:instrText>
      </w:r>
      <w:r w:rsidRPr="00DB0B05">
        <w:rPr>
          <w:rtl/>
        </w:rPr>
        <w:instrText>:</w:instrText>
      </w:r>
      <w:r w:rsidRPr="00DB0B05">
        <w:rPr>
          <w:rFonts w:hint="cs"/>
          <w:rtl/>
          <w:lang w:bidi="he-IL"/>
        </w:rPr>
        <w:instrText>ביטולם</w:instrText>
      </w:r>
      <w:r>
        <w:instrText xml:space="preserve">" </w:instrText>
      </w:r>
      <w:r>
        <w:rPr>
          <w:rFonts w:cs="Guttman Drogolin"/>
          <w:b/>
          <w:bCs/>
          <w:rtl/>
          <w:lang w:bidi="he-IL"/>
        </w:rPr>
        <w:fldChar w:fldCharType="end"/>
      </w:r>
      <w:r w:rsidR="002922C6" w:rsidRPr="00882F11">
        <w:rPr>
          <w:rFonts w:cs="Guttman Drogolin" w:hint="cs"/>
          <w:b/>
          <w:bCs/>
          <w:rtl/>
          <w:lang w:bidi="he-IL"/>
        </w:rPr>
        <w:t>תולעים</w:t>
      </w:r>
      <w:r w:rsidR="0050067F" w:rsidRPr="00882F11">
        <w:rPr>
          <w:rFonts w:cs="Guttman Drogolin" w:hint="cs"/>
          <w:rtl/>
          <w:lang w:bidi="he-IL"/>
        </w:rPr>
        <w:t xml:space="preserve"> </w:t>
      </w:r>
      <w:r w:rsidR="0050067F" w:rsidRPr="00882F11">
        <w:rPr>
          <w:rFonts w:cs="Guttman Drogolin"/>
          <w:rtl/>
          <w:lang w:bidi="he-IL"/>
        </w:rPr>
        <w:t>–</w:t>
      </w:r>
      <w:r w:rsidR="0050067F" w:rsidRPr="00882F11">
        <w:rPr>
          <w:rFonts w:cs="Guttman Drogolin" w:hint="cs"/>
          <w:rtl/>
          <w:lang w:bidi="he-IL"/>
        </w:rPr>
        <w:t xml:space="preserve"> </w:t>
      </w:r>
      <w:r w:rsidR="00F32EF4" w:rsidRPr="00882F11">
        <w:rPr>
          <w:rFonts w:cs="Guttman Drogolin" w:hint="cs"/>
          <w:rtl/>
          <w:lang w:bidi="he-IL"/>
        </w:rPr>
        <w:t xml:space="preserve">כמה מאות שנים האחרונים בתקשו בזה שקשה ליזהר מן השרציים הנמצאים במאכלים. וע' בכגון חיי אדם בהקדמתו להלכות יוה"כ </w:t>
      </w:r>
      <w:r w:rsidR="00A13B0E" w:rsidRPr="00882F11">
        <w:rPr>
          <w:rFonts w:cs="Guttman Drogolin" w:hint="cs"/>
          <w:rtl/>
          <w:lang w:bidi="he-IL"/>
        </w:rPr>
        <w:t>(כלל קמ"ג) שהביא בפי' הוידוי בכמה עבירות בכל א' מן הלשונות של הוידוי, וב"אשמנו" כתב "ויכלול</w:t>
      </w:r>
      <w:r w:rsidR="00A13B0E" w:rsidRPr="00882F11">
        <w:rPr>
          <w:rFonts w:cs="Guttman Drogolin"/>
          <w:rtl/>
          <w:lang w:bidi="he-IL"/>
        </w:rPr>
        <w:t xml:space="preserve"> </w:t>
      </w:r>
      <w:r w:rsidR="00A13B0E" w:rsidRPr="00882F11">
        <w:rPr>
          <w:rFonts w:cs="Guttman Drogolin" w:hint="cs"/>
          <w:rtl/>
          <w:lang w:bidi="he-IL"/>
        </w:rPr>
        <w:t>כאן</w:t>
      </w:r>
      <w:r w:rsidR="00A13B0E" w:rsidRPr="00882F11">
        <w:rPr>
          <w:rFonts w:cs="Guttman Drogolin"/>
          <w:rtl/>
          <w:lang w:bidi="he-IL"/>
        </w:rPr>
        <w:t xml:space="preserve">, </w:t>
      </w:r>
      <w:r w:rsidR="00A13B0E" w:rsidRPr="00882F11">
        <w:rPr>
          <w:rFonts w:cs="Guttman Drogolin" w:hint="cs"/>
          <w:rtl/>
          <w:lang w:bidi="he-IL"/>
        </w:rPr>
        <w:t>אכלתי</w:t>
      </w:r>
      <w:r w:rsidR="00A13B0E" w:rsidRPr="00882F11">
        <w:rPr>
          <w:rFonts w:cs="Guttman Drogolin"/>
          <w:rtl/>
          <w:lang w:bidi="he-IL"/>
        </w:rPr>
        <w:t xml:space="preserve"> </w:t>
      </w:r>
      <w:r w:rsidR="00A13B0E" w:rsidRPr="00882F11">
        <w:rPr>
          <w:rFonts w:cs="Guttman Drogolin" w:hint="cs"/>
          <w:rtl/>
          <w:lang w:bidi="he-IL"/>
        </w:rPr>
        <w:t>דברים</w:t>
      </w:r>
      <w:r w:rsidR="00A13B0E" w:rsidRPr="00882F11">
        <w:rPr>
          <w:rFonts w:cs="Guttman Drogolin"/>
          <w:rtl/>
          <w:lang w:bidi="he-IL"/>
        </w:rPr>
        <w:t xml:space="preserve"> </w:t>
      </w:r>
      <w:r w:rsidR="00A13B0E" w:rsidRPr="00882F11">
        <w:rPr>
          <w:rFonts w:cs="Guttman Drogolin" w:hint="cs"/>
          <w:rtl/>
          <w:lang w:bidi="he-IL"/>
        </w:rPr>
        <w:t>האסורים</w:t>
      </w:r>
      <w:r w:rsidR="00A13B0E" w:rsidRPr="00882F11">
        <w:rPr>
          <w:rFonts w:cs="Guttman Drogolin"/>
          <w:rtl/>
          <w:lang w:bidi="he-IL"/>
        </w:rPr>
        <w:t xml:space="preserve"> </w:t>
      </w:r>
      <w:r w:rsidR="00A13B0E" w:rsidRPr="00882F11">
        <w:rPr>
          <w:rFonts w:cs="Guttman Drogolin" w:hint="cs"/>
          <w:rtl/>
          <w:lang w:bidi="he-IL"/>
        </w:rPr>
        <w:t>נבלות</w:t>
      </w:r>
      <w:r w:rsidR="00A13B0E" w:rsidRPr="00882F11">
        <w:rPr>
          <w:rFonts w:cs="Guttman Drogolin"/>
          <w:rtl/>
          <w:lang w:bidi="he-IL"/>
        </w:rPr>
        <w:t xml:space="preserve"> </w:t>
      </w:r>
      <w:r w:rsidR="00A13B0E" w:rsidRPr="00882F11">
        <w:rPr>
          <w:rFonts w:cs="Guttman Drogolin" w:hint="cs"/>
          <w:rtl/>
          <w:lang w:bidi="he-IL"/>
        </w:rPr>
        <w:t>וטרפות</w:t>
      </w:r>
      <w:r w:rsidR="00A13B0E" w:rsidRPr="00882F11">
        <w:rPr>
          <w:rFonts w:cs="Guttman Drogolin"/>
          <w:rtl/>
          <w:lang w:bidi="he-IL"/>
        </w:rPr>
        <w:t xml:space="preserve"> </w:t>
      </w:r>
      <w:r w:rsidR="00A13B0E" w:rsidRPr="00882F11">
        <w:rPr>
          <w:rFonts w:cs="Guttman Drogolin" w:hint="cs"/>
          <w:rtl/>
          <w:lang w:bidi="he-IL"/>
        </w:rPr>
        <w:t>שקצים</w:t>
      </w:r>
      <w:r w:rsidR="00A13B0E" w:rsidRPr="00882F11">
        <w:rPr>
          <w:rFonts w:cs="Guttman Drogolin"/>
          <w:rtl/>
          <w:lang w:bidi="he-IL"/>
        </w:rPr>
        <w:t xml:space="preserve"> </w:t>
      </w:r>
      <w:r w:rsidR="00A13B0E" w:rsidRPr="00882F11">
        <w:rPr>
          <w:rFonts w:cs="Guttman Drogolin" w:hint="cs"/>
          <w:rtl/>
          <w:lang w:bidi="he-IL"/>
        </w:rPr>
        <w:t>ורמשים</w:t>
      </w:r>
      <w:r w:rsidR="00A13B0E" w:rsidRPr="00882F11">
        <w:rPr>
          <w:rFonts w:cs="Guttman Drogolin"/>
          <w:rtl/>
          <w:lang w:bidi="he-IL"/>
        </w:rPr>
        <w:t xml:space="preserve"> (</w:t>
      </w:r>
      <w:r w:rsidR="00A13B0E" w:rsidRPr="00882F11">
        <w:rPr>
          <w:rFonts w:cs="Guttman Drogolin" w:hint="cs"/>
          <w:rtl/>
          <w:lang w:bidi="he-IL"/>
        </w:rPr>
        <w:t>כידוע</w:t>
      </w:r>
      <w:r w:rsidR="00A13B0E" w:rsidRPr="00882F11">
        <w:rPr>
          <w:rFonts w:cs="Guttman Drogolin"/>
          <w:rtl/>
          <w:lang w:bidi="he-IL"/>
        </w:rPr>
        <w:t xml:space="preserve"> </w:t>
      </w:r>
      <w:r w:rsidR="00A13B0E" w:rsidRPr="00882F11">
        <w:rPr>
          <w:rFonts w:cs="Guttman Drogolin" w:hint="cs"/>
          <w:rtl/>
          <w:lang w:bidi="he-IL"/>
        </w:rPr>
        <w:t>שבעונותינו</w:t>
      </w:r>
      <w:r w:rsidR="00A13B0E" w:rsidRPr="00882F11">
        <w:rPr>
          <w:rFonts w:cs="Guttman Drogolin"/>
          <w:rtl/>
          <w:lang w:bidi="he-IL"/>
        </w:rPr>
        <w:t xml:space="preserve"> </w:t>
      </w:r>
      <w:r w:rsidR="00A13B0E" w:rsidRPr="00882F11">
        <w:rPr>
          <w:rFonts w:cs="Guttman Drogolin" w:hint="cs"/>
          <w:rtl/>
          <w:lang w:bidi="he-IL"/>
        </w:rPr>
        <w:t>הרבים</w:t>
      </w:r>
      <w:r w:rsidR="00A13B0E" w:rsidRPr="00882F11">
        <w:rPr>
          <w:rFonts w:cs="Guttman Drogolin"/>
          <w:rtl/>
          <w:lang w:bidi="he-IL"/>
        </w:rPr>
        <w:t xml:space="preserve"> </w:t>
      </w:r>
      <w:r w:rsidR="00A13B0E" w:rsidRPr="00882F11">
        <w:rPr>
          <w:rFonts w:cs="Guttman Drogolin" w:hint="cs"/>
          <w:rtl/>
          <w:lang w:bidi="he-IL"/>
        </w:rPr>
        <w:t>אין</w:t>
      </w:r>
      <w:r w:rsidR="00A13B0E" w:rsidRPr="00882F11">
        <w:rPr>
          <w:rFonts w:cs="Guttman Drogolin"/>
          <w:rtl/>
          <w:lang w:bidi="he-IL"/>
        </w:rPr>
        <w:t xml:space="preserve"> </w:t>
      </w:r>
      <w:r w:rsidR="00A13B0E" w:rsidRPr="00882F11">
        <w:rPr>
          <w:rFonts w:cs="Guttman Drogolin" w:hint="cs"/>
          <w:rtl/>
          <w:lang w:bidi="he-IL"/>
        </w:rPr>
        <w:t>אדם</w:t>
      </w:r>
      <w:r w:rsidR="00A13B0E" w:rsidRPr="00882F11">
        <w:rPr>
          <w:rFonts w:cs="Guttman Drogolin"/>
          <w:rtl/>
          <w:lang w:bidi="he-IL"/>
        </w:rPr>
        <w:t xml:space="preserve"> </w:t>
      </w:r>
      <w:r w:rsidR="00A13B0E" w:rsidRPr="00882F11">
        <w:rPr>
          <w:rFonts w:cs="Guttman Drogolin" w:hint="cs"/>
          <w:rtl/>
          <w:lang w:bidi="he-IL"/>
        </w:rPr>
        <w:t>כמעט</w:t>
      </w:r>
      <w:r w:rsidR="00A13B0E" w:rsidRPr="00882F11">
        <w:rPr>
          <w:rFonts w:cs="Guttman Drogolin"/>
          <w:rtl/>
          <w:lang w:bidi="he-IL"/>
        </w:rPr>
        <w:t xml:space="preserve"> </w:t>
      </w:r>
      <w:r w:rsidR="00A13B0E" w:rsidRPr="00882F11">
        <w:rPr>
          <w:rFonts w:cs="Guttman Drogolin" w:hint="cs"/>
          <w:rtl/>
          <w:lang w:bidi="he-IL"/>
        </w:rPr>
        <w:t>שניצול</w:t>
      </w:r>
      <w:r w:rsidR="00A13B0E" w:rsidRPr="00882F11">
        <w:rPr>
          <w:rFonts w:cs="Guttman Drogolin"/>
          <w:rtl/>
          <w:lang w:bidi="he-IL"/>
        </w:rPr>
        <w:t xml:space="preserve"> </w:t>
      </w:r>
      <w:r w:rsidR="00A13B0E" w:rsidRPr="00882F11">
        <w:rPr>
          <w:rFonts w:cs="Guttman Drogolin" w:hint="cs"/>
          <w:rtl/>
          <w:lang w:bidi="he-IL"/>
        </w:rPr>
        <w:t>מאכילות</w:t>
      </w:r>
      <w:r w:rsidR="00A13B0E" w:rsidRPr="00882F11">
        <w:rPr>
          <w:rFonts w:cs="Guttman Drogolin"/>
          <w:rtl/>
          <w:lang w:bidi="he-IL"/>
        </w:rPr>
        <w:t xml:space="preserve"> </w:t>
      </w:r>
      <w:r w:rsidR="00A13B0E" w:rsidRPr="00882F11">
        <w:rPr>
          <w:rFonts w:cs="Guttman Drogolin" w:hint="cs"/>
          <w:rtl/>
          <w:lang w:bidi="he-IL"/>
        </w:rPr>
        <w:t>שרצים וכו')".</w:t>
      </w:r>
      <w:r w:rsidR="00A13B0E" w:rsidRPr="00882F11">
        <w:rPr>
          <w:rFonts w:cs="Guttman Drogolin"/>
          <w:rtl/>
          <w:lang w:bidi="he-IL"/>
        </w:rPr>
        <w:t xml:space="preserve"> </w:t>
      </w:r>
      <w:r w:rsidR="00A13B0E" w:rsidRPr="00882F11">
        <w:rPr>
          <w:rFonts w:cs="Guttman Drogolin" w:hint="cs"/>
          <w:rtl/>
          <w:lang w:bidi="he-IL"/>
        </w:rPr>
        <w:t>ו</w:t>
      </w:r>
      <w:r w:rsidR="00F32EF4" w:rsidRPr="00882F11">
        <w:rPr>
          <w:rFonts w:cs="Guttman Drogolin" w:hint="cs"/>
          <w:rtl/>
          <w:lang w:bidi="he-IL"/>
        </w:rPr>
        <w:t>ה</w:t>
      </w:r>
      <w:r w:rsidR="0050067F" w:rsidRPr="00882F11">
        <w:rPr>
          <w:rFonts w:cs="Guttman Drogolin" w:hint="cs"/>
          <w:rtl/>
          <w:lang w:bidi="he-IL"/>
        </w:rPr>
        <w:t>כרו"פ</w:t>
      </w:r>
      <w:r w:rsidR="00F32EF4" w:rsidRPr="00882F11">
        <w:rPr>
          <w:rFonts w:cs="Guttman Drogolin" w:hint="cs"/>
          <w:rtl/>
          <w:lang w:bidi="he-IL"/>
        </w:rPr>
        <w:t xml:space="preserve"> ס"ק ד' (הביאו פת"ש ס"ק </w:t>
      </w:r>
      <w:r w:rsidR="00A13B0E" w:rsidRPr="00882F11">
        <w:rPr>
          <w:rFonts w:cs="Guttman Drogolin" w:hint="cs"/>
          <w:rtl/>
          <w:lang w:bidi="he-IL"/>
        </w:rPr>
        <w:t>א</w:t>
      </w:r>
      <w:r w:rsidR="00F32EF4" w:rsidRPr="00882F11">
        <w:rPr>
          <w:rFonts w:cs="Guttman Drogolin" w:hint="cs"/>
          <w:rtl/>
          <w:lang w:bidi="he-IL"/>
        </w:rPr>
        <w:t xml:space="preserve">') </w:t>
      </w:r>
      <w:r w:rsidR="002922C6" w:rsidRPr="00882F11">
        <w:rPr>
          <w:rFonts w:cs="Guttman Drogolin" w:hint="cs"/>
          <w:rtl/>
          <w:lang w:bidi="he-IL"/>
        </w:rPr>
        <w:t xml:space="preserve">כתב ללמד זכות על הנכשלים בזה משום </w:t>
      </w:r>
      <w:r w:rsidR="00F32EF4" w:rsidRPr="00882F11">
        <w:rPr>
          <w:rFonts w:cs="Guttman Drogolin" w:hint="cs"/>
          <w:rtl/>
          <w:lang w:bidi="he-IL"/>
        </w:rPr>
        <w:t>שהתולעים</w:t>
      </w:r>
      <w:r w:rsidR="00F32EF4" w:rsidRPr="00882F11">
        <w:rPr>
          <w:rFonts w:cs="Guttman Drogolin"/>
          <w:rtl/>
          <w:lang w:bidi="he-IL"/>
        </w:rPr>
        <w:t xml:space="preserve"> </w:t>
      </w:r>
      <w:r w:rsidR="00F32EF4" w:rsidRPr="00882F11">
        <w:rPr>
          <w:rFonts w:cs="Guttman Drogolin" w:hint="cs"/>
          <w:rtl/>
          <w:lang w:bidi="he-IL"/>
        </w:rPr>
        <w:t>הקטנים</w:t>
      </w:r>
      <w:r w:rsidR="00F32EF4" w:rsidRPr="00882F11">
        <w:rPr>
          <w:rFonts w:cs="Guttman Drogolin"/>
          <w:rtl/>
          <w:lang w:bidi="he-IL"/>
        </w:rPr>
        <w:t xml:space="preserve"> </w:t>
      </w:r>
      <w:r w:rsidR="00F32EF4" w:rsidRPr="00882F11">
        <w:rPr>
          <w:rFonts w:cs="Guttman Drogolin" w:hint="cs"/>
          <w:rtl/>
          <w:lang w:bidi="he-IL"/>
        </w:rPr>
        <w:t>המתהוים</w:t>
      </w:r>
      <w:r w:rsidR="00F32EF4" w:rsidRPr="00882F11">
        <w:rPr>
          <w:rFonts w:cs="Guttman Drogolin"/>
          <w:rtl/>
          <w:lang w:bidi="he-IL"/>
        </w:rPr>
        <w:t xml:space="preserve"> </w:t>
      </w:r>
      <w:r w:rsidR="00F32EF4" w:rsidRPr="00882F11">
        <w:rPr>
          <w:rFonts w:cs="Guttman Drogolin" w:hint="cs"/>
          <w:rtl/>
          <w:lang w:bidi="he-IL"/>
        </w:rPr>
        <w:t>בעפושי</w:t>
      </w:r>
      <w:r w:rsidR="00F32EF4" w:rsidRPr="00882F11">
        <w:rPr>
          <w:rFonts w:cs="Guttman Drogolin"/>
          <w:rtl/>
          <w:lang w:bidi="he-IL"/>
        </w:rPr>
        <w:t xml:space="preserve"> </w:t>
      </w:r>
      <w:r w:rsidR="00F32EF4" w:rsidRPr="00882F11">
        <w:rPr>
          <w:rFonts w:cs="Guttman Drogolin" w:hint="cs"/>
          <w:rtl/>
          <w:lang w:bidi="he-IL"/>
        </w:rPr>
        <w:t>פירות</w:t>
      </w:r>
      <w:r w:rsidR="005E1921" w:rsidRPr="00882F11">
        <w:rPr>
          <w:rFonts w:cs="Guttman Drogolin" w:hint="cs"/>
          <w:rtl/>
          <w:lang w:bidi="he-IL"/>
        </w:rPr>
        <w:t xml:space="preserve"> </w:t>
      </w:r>
      <w:r w:rsidR="002922C6" w:rsidRPr="00882F11">
        <w:rPr>
          <w:rFonts w:cs="Guttman Drogolin" w:hint="cs"/>
          <w:rtl/>
          <w:lang w:bidi="he-IL"/>
        </w:rPr>
        <w:t>שקורין</w:t>
      </w:r>
      <w:r w:rsidR="002922C6" w:rsidRPr="00882F11">
        <w:rPr>
          <w:rFonts w:cs="Guttman Drogolin"/>
          <w:rtl/>
          <w:lang w:bidi="he-IL"/>
        </w:rPr>
        <w:t xml:space="preserve"> </w:t>
      </w:r>
      <w:r w:rsidR="002922C6" w:rsidRPr="00882F11">
        <w:rPr>
          <w:rFonts w:cs="Guttman Drogolin" w:hint="cs"/>
          <w:rtl/>
          <w:lang w:bidi="he-IL"/>
        </w:rPr>
        <w:t>מילבין</w:t>
      </w:r>
      <w:r w:rsidR="002922C6" w:rsidRPr="00882F11">
        <w:rPr>
          <w:rFonts w:cs="Guttman Drogolin"/>
          <w:rtl/>
          <w:lang w:bidi="he-IL"/>
        </w:rPr>
        <w:t xml:space="preserve"> </w:t>
      </w:r>
      <w:r w:rsidR="002922C6" w:rsidRPr="00882F11">
        <w:rPr>
          <w:rFonts w:cs="Guttman Drogolin" w:hint="cs"/>
          <w:rtl/>
          <w:lang w:bidi="he-IL"/>
        </w:rPr>
        <w:t>כל</w:t>
      </w:r>
      <w:r w:rsidR="002922C6" w:rsidRPr="00882F11">
        <w:rPr>
          <w:rFonts w:cs="Guttman Drogolin"/>
          <w:rtl/>
          <w:lang w:bidi="he-IL"/>
        </w:rPr>
        <w:t xml:space="preserve"> </w:t>
      </w:r>
      <w:r w:rsidR="002922C6" w:rsidRPr="00882F11">
        <w:rPr>
          <w:rFonts w:cs="Guttman Drogolin" w:hint="cs"/>
          <w:rtl/>
          <w:lang w:bidi="he-IL"/>
        </w:rPr>
        <w:t>זמן</w:t>
      </w:r>
      <w:r w:rsidR="002922C6" w:rsidRPr="00882F11">
        <w:rPr>
          <w:rFonts w:cs="Guttman Drogolin"/>
          <w:rtl/>
          <w:lang w:bidi="he-IL"/>
        </w:rPr>
        <w:t xml:space="preserve"> </w:t>
      </w:r>
      <w:r w:rsidR="002922C6" w:rsidRPr="00882F11">
        <w:rPr>
          <w:rFonts w:cs="Guttman Drogolin" w:hint="cs"/>
          <w:rtl/>
          <w:lang w:bidi="he-IL"/>
        </w:rPr>
        <w:t>שלא</w:t>
      </w:r>
      <w:r w:rsidR="002922C6" w:rsidRPr="00882F11">
        <w:rPr>
          <w:rFonts w:cs="Guttman Drogolin"/>
          <w:rtl/>
          <w:lang w:bidi="he-IL"/>
        </w:rPr>
        <w:t xml:space="preserve"> </w:t>
      </w:r>
      <w:r w:rsidR="002922C6" w:rsidRPr="00882F11">
        <w:rPr>
          <w:rFonts w:cs="Guttman Drogolin" w:hint="cs"/>
          <w:rtl/>
          <w:lang w:bidi="he-IL"/>
        </w:rPr>
        <w:t>פירשו</w:t>
      </w:r>
      <w:r w:rsidR="002922C6" w:rsidRPr="00882F11">
        <w:rPr>
          <w:rFonts w:cs="Guttman Drogolin"/>
          <w:rtl/>
          <w:lang w:bidi="he-IL"/>
        </w:rPr>
        <w:t xml:space="preserve"> </w:t>
      </w:r>
      <w:r w:rsidR="002922C6" w:rsidRPr="00882F11">
        <w:rPr>
          <w:rFonts w:cs="Guttman Drogolin" w:hint="cs"/>
          <w:rtl/>
          <w:lang w:bidi="he-IL"/>
        </w:rPr>
        <w:t>מותרים</w:t>
      </w:r>
      <w:r w:rsidR="002922C6" w:rsidRPr="00882F11">
        <w:rPr>
          <w:rFonts w:cs="Guttman Drogolin"/>
          <w:rtl/>
          <w:lang w:bidi="he-IL"/>
        </w:rPr>
        <w:t xml:space="preserve">, </w:t>
      </w:r>
      <w:r w:rsidR="002922C6" w:rsidRPr="00882F11">
        <w:rPr>
          <w:rFonts w:cs="Guttman Drogolin" w:hint="cs"/>
          <w:rtl/>
          <w:lang w:bidi="he-IL"/>
        </w:rPr>
        <w:t>ואינם</w:t>
      </w:r>
      <w:r w:rsidR="002922C6" w:rsidRPr="00882F11">
        <w:rPr>
          <w:rFonts w:cs="Guttman Drogolin"/>
          <w:rtl/>
          <w:lang w:bidi="he-IL"/>
        </w:rPr>
        <w:t xml:space="preserve"> </w:t>
      </w:r>
      <w:r w:rsidR="002922C6" w:rsidRPr="00882F11">
        <w:rPr>
          <w:rFonts w:cs="Guttman Drogolin" w:hint="cs"/>
          <w:rtl/>
          <w:lang w:bidi="he-IL"/>
        </w:rPr>
        <w:t>קרוים</w:t>
      </w:r>
      <w:r w:rsidR="002922C6" w:rsidRPr="00882F11">
        <w:rPr>
          <w:rFonts w:cs="Guttman Drogolin"/>
          <w:rtl/>
          <w:lang w:bidi="he-IL"/>
        </w:rPr>
        <w:t xml:space="preserve"> </w:t>
      </w:r>
      <w:r w:rsidR="002922C6" w:rsidRPr="00882F11">
        <w:rPr>
          <w:rFonts w:cs="Guttman Drogolin" w:hint="cs"/>
          <w:rtl/>
          <w:lang w:bidi="he-IL"/>
        </w:rPr>
        <w:t>שרץ</w:t>
      </w:r>
      <w:r w:rsidR="002922C6" w:rsidRPr="00882F11">
        <w:rPr>
          <w:rFonts w:cs="Guttman Drogolin"/>
          <w:rtl/>
          <w:lang w:bidi="he-IL"/>
        </w:rPr>
        <w:t xml:space="preserve"> </w:t>
      </w:r>
      <w:r w:rsidR="002922C6" w:rsidRPr="00882F11">
        <w:rPr>
          <w:rFonts w:cs="Guttman Drogolin" w:hint="cs"/>
          <w:rtl/>
          <w:lang w:bidi="he-IL"/>
        </w:rPr>
        <w:t>על</w:t>
      </w:r>
      <w:r w:rsidR="002922C6" w:rsidRPr="00882F11">
        <w:rPr>
          <w:rFonts w:cs="Guttman Drogolin"/>
          <w:rtl/>
          <w:lang w:bidi="he-IL"/>
        </w:rPr>
        <w:t xml:space="preserve"> </w:t>
      </w:r>
      <w:r w:rsidR="002922C6" w:rsidRPr="00882F11">
        <w:rPr>
          <w:rFonts w:cs="Guttman Drogolin" w:hint="cs"/>
          <w:rtl/>
          <w:lang w:bidi="he-IL"/>
        </w:rPr>
        <w:t>הארץ</w:t>
      </w:r>
      <w:r w:rsidR="002922C6" w:rsidRPr="00882F11">
        <w:rPr>
          <w:rFonts w:cs="Guttman Drogolin"/>
          <w:rtl/>
          <w:lang w:bidi="he-IL"/>
        </w:rPr>
        <w:t xml:space="preserve"> </w:t>
      </w:r>
      <w:r w:rsidR="002922C6" w:rsidRPr="00882F11">
        <w:rPr>
          <w:rFonts w:cs="Guttman Drogolin" w:hint="cs"/>
          <w:rtl/>
          <w:lang w:bidi="he-IL"/>
        </w:rPr>
        <w:t>אפילו</w:t>
      </w:r>
      <w:r w:rsidR="002922C6" w:rsidRPr="00882F11">
        <w:rPr>
          <w:rFonts w:cs="Guttman Drogolin"/>
          <w:rtl/>
          <w:lang w:bidi="he-IL"/>
        </w:rPr>
        <w:t xml:space="preserve"> </w:t>
      </w:r>
      <w:r w:rsidR="002922C6" w:rsidRPr="00882F11">
        <w:rPr>
          <w:rFonts w:cs="Guttman Drogolin" w:hint="cs"/>
          <w:rtl/>
          <w:lang w:bidi="he-IL"/>
        </w:rPr>
        <w:t>יעמדו</w:t>
      </w:r>
      <w:r w:rsidR="002922C6" w:rsidRPr="00882F11">
        <w:rPr>
          <w:rFonts w:cs="Guttman Drogolin"/>
          <w:rtl/>
          <w:lang w:bidi="he-IL"/>
        </w:rPr>
        <w:t xml:space="preserve"> </w:t>
      </w:r>
      <w:r w:rsidR="002922C6" w:rsidRPr="00882F11">
        <w:rPr>
          <w:rFonts w:cs="Guttman Drogolin" w:hint="cs"/>
          <w:rtl/>
          <w:lang w:bidi="he-IL"/>
        </w:rPr>
        <w:t>ימים</w:t>
      </w:r>
      <w:r w:rsidR="002922C6" w:rsidRPr="00882F11">
        <w:rPr>
          <w:rFonts w:cs="Guttman Drogolin"/>
          <w:rtl/>
          <w:lang w:bidi="he-IL"/>
        </w:rPr>
        <w:t xml:space="preserve"> </w:t>
      </w:r>
      <w:r w:rsidR="002922C6" w:rsidRPr="00882F11">
        <w:rPr>
          <w:rFonts w:cs="Guttman Drogolin" w:hint="cs"/>
          <w:rtl/>
          <w:lang w:bidi="he-IL"/>
        </w:rPr>
        <w:t>רבים.</w:t>
      </w:r>
      <w:r w:rsidR="002922C6" w:rsidRPr="00882F11">
        <w:rPr>
          <w:rFonts w:cs="Guttman Drogolin"/>
          <w:rtl/>
          <w:lang w:bidi="he-IL"/>
        </w:rPr>
        <w:t xml:space="preserve"> </w:t>
      </w:r>
      <w:r w:rsidR="002922C6" w:rsidRPr="00882F11">
        <w:rPr>
          <w:rFonts w:cs="Guttman Drogolin" w:hint="cs"/>
          <w:rtl/>
          <w:lang w:bidi="he-IL"/>
        </w:rPr>
        <w:t>א</w:t>
      </w:r>
      <w:r w:rsidR="002922C6" w:rsidRPr="00882F11">
        <w:rPr>
          <w:rFonts w:cs="Guttman Drogolin"/>
          <w:rtl/>
          <w:lang w:bidi="he-IL"/>
        </w:rPr>
        <w:t>"</w:t>
      </w:r>
      <w:r w:rsidR="002922C6" w:rsidRPr="00882F11">
        <w:rPr>
          <w:rFonts w:cs="Guttman Drogolin" w:hint="cs"/>
          <w:rtl/>
          <w:lang w:bidi="he-IL"/>
        </w:rPr>
        <w:t>כ</w:t>
      </w:r>
      <w:r w:rsidR="002922C6" w:rsidRPr="00882F11">
        <w:rPr>
          <w:rFonts w:cs="Guttman Drogolin"/>
          <w:rtl/>
          <w:lang w:bidi="he-IL"/>
        </w:rPr>
        <w:t xml:space="preserve"> </w:t>
      </w:r>
      <w:r w:rsidR="002922C6" w:rsidRPr="00882F11">
        <w:rPr>
          <w:rFonts w:cs="Guttman Drogolin" w:hint="cs"/>
          <w:rtl/>
          <w:lang w:bidi="he-IL"/>
        </w:rPr>
        <w:t>אין</w:t>
      </w:r>
      <w:r w:rsidR="002922C6" w:rsidRPr="00882F11">
        <w:rPr>
          <w:rFonts w:cs="Guttman Drogolin"/>
          <w:rtl/>
          <w:lang w:bidi="he-IL"/>
        </w:rPr>
        <w:t xml:space="preserve"> </w:t>
      </w:r>
      <w:r w:rsidR="002922C6" w:rsidRPr="00882F11">
        <w:rPr>
          <w:rFonts w:cs="Guttman Drogolin" w:hint="cs"/>
          <w:rtl/>
          <w:lang w:bidi="he-IL"/>
        </w:rPr>
        <w:t>כאן</w:t>
      </w:r>
      <w:r w:rsidR="002922C6" w:rsidRPr="00882F11">
        <w:rPr>
          <w:rFonts w:cs="Guttman Drogolin"/>
          <w:rtl/>
          <w:lang w:bidi="he-IL"/>
        </w:rPr>
        <w:t xml:space="preserve"> </w:t>
      </w:r>
      <w:r w:rsidR="002922C6" w:rsidRPr="00882F11">
        <w:rPr>
          <w:rFonts w:cs="Guttman Drogolin" w:hint="cs"/>
          <w:rtl/>
          <w:lang w:bidi="he-IL"/>
        </w:rPr>
        <w:t>איסור</w:t>
      </w:r>
      <w:r w:rsidR="002922C6" w:rsidRPr="00882F11">
        <w:rPr>
          <w:rFonts w:cs="Guttman Drogolin"/>
          <w:rtl/>
          <w:lang w:bidi="he-IL"/>
        </w:rPr>
        <w:t xml:space="preserve"> </w:t>
      </w:r>
      <w:r w:rsidR="002922C6" w:rsidRPr="00882F11">
        <w:rPr>
          <w:rFonts w:cs="Guttman Drogolin" w:hint="cs"/>
          <w:rtl/>
          <w:lang w:bidi="he-IL"/>
        </w:rPr>
        <w:t>לתחלת</w:t>
      </w:r>
      <w:r w:rsidR="002922C6" w:rsidRPr="00882F11">
        <w:rPr>
          <w:rFonts w:cs="Guttman Drogolin"/>
          <w:rtl/>
          <w:lang w:bidi="he-IL"/>
        </w:rPr>
        <w:t xml:space="preserve"> </w:t>
      </w:r>
      <w:r w:rsidR="002922C6" w:rsidRPr="00882F11">
        <w:rPr>
          <w:rFonts w:cs="Guttman Drogolin" w:hint="cs"/>
          <w:rtl/>
          <w:lang w:bidi="he-IL"/>
        </w:rPr>
        <w:t>ברייתן. והעיר מזה שברא</w:t>
      </w:r>
      <w:r w:rsidR="002922C6" w:rsidRPr="00882F11">
        <w:rPr>
          <w:rFonts w:cs="Guttman Drogolin"/>
          <w:rtl/>
          <w:lang w:bidi="he-IL"/>
        </w:rPr>
        <w:t>"</w:t>
      </w:r>
      <w:r w:rsidR="002922C6" w:rsidRPr="00882F11">
        <w:rPr>
          <w:rFonts w:cs="Guttman Drogolin" w:hint="cs"/>
          <w:rtl/>
          <w:lang w:bidi="he-IL"/>
        </w:rPr>
        <w:t>ש</w:t>
      </w:r>
      <w:r w:rsidR="002922C6" w:rsidRPr="00882F11">
        <w:rPr>
          <w:rFonts w:cs="Guttman Drogolin"/>
          <w:rtl/>
          <w:lang w:bidi="he-IL"/>
        </w:rPr>
        <w:t xml:space="preserve"> </w:t>
      </w:r>
      <w:r w:rsidR="002922C6" w:rsidRPr="00882F11">
        <w:rPr>
          <w:rFonts w:cs="Guttman Drogolin" w:hint="cs"/>
          <w:rtl/>
          <w:lang w:bidi="he-IL"/>
        </w:rPr>
        <w:t>בתשובה</w:t>
      </w:r>
      <w:r w:rsidR="002922C6" w:rsidRPr="00882F11">
        <w:rPr>
          <w:rFonts w:cs="Guttman Drogolin"/>
          <w:rtl/>
          <w:lang w:bidi="he-IL"/>
        </w:rPr>
        <w:t xml:space="preserve"> (</w:t>
      </w:r>
      <w:r w:rsidR="002922C6" w:rsidRPr="00882F11">
        <w:rPr>
          <w:rFonts w:cs="Guttman Drogolin" w:hint="cs"/>
          <w:rtl/>
          <w:lang w:bidi="he-IL"/>
        </w:rPr>
        <w:t>כלל</w:t>
      </w:r>
      <w:r w:rsidR="002922C6" w:rsidRPr="00882F11">
        <w:rPr>
          <w:rFonts w:cs="Guttman Drogolin"/>
          <w:rtl/>
          <w:lang w:bidi="he-IL"/>
        </w:rPr>
        <w:t xml:space="preserve"> </w:t>
      </w:r>
      <w:r w:rsidR="002922C6" w:rsidRPr="00882F11">
        <w:rPr>
          <w:rFonts w:cs="Guttman Drogolin" w:hint="cs"/>
          <w:rtl/>
          <w:lang w:bidi="he-IL"/>
        </w:rPr>
        <w:t>כ</w:t>
      </w:r>
      <w:r w:rsidR="002922C6" w:rsidRPr="00882F11">
        <w:rPr>
          <w:rFonts w:cs="Guttman Drogolin"/>
          <w:rtl/>
          <w:lang w:bidi="he-IL"/>
        </w:rPr>
        <w:t xml:space="preserve">' </w:t>
      </w:r>
      <w:r w:rsidR="002922C6" w:rsidRPr="00882F11">
        <w:rPr>
          <w:rFonts w:cs="Guttman Drogolin" w:hint="cs"/>
          <w:rtl/>
          <w:lang w:bidi="he-IL"/>
        </w:rPr>
        <w:t>סי</w:t>
      </w:r>
      <w:r w:rsidR="002922C6" w:rsidRPr="00882F11">
        <w:rPr>
          <w:rFonts w:cs="Guttman Drogolin"/>
          <w:rtl/>
          <w:lang w:bidi="he-IL"/>
        </w:rPr>
        <w:t xml:space="preserve">' </w:t>
      </w:r>
      <w:r w:rsidR="002922C6" w:rsidRPr="00882F11">
        <w:rPr>
          <w:rFonts w:cs="Guttman Drogolin" w:hint="cs"/>
          <w:rtl/>
          <w:lang w:bidi="he-IL"/>
        </w:rPr>
        <w:t>ג</w:t>
      </w:r>
      <w:r w:rsidR="002922C6" w:rsidRPr="00882F11">
        <w:rPr>
          <w:rFonts w:cs="Guttman Drogolin"/>
          <w:rtl/>
          <w:lang w:bidi="he-IL"/>
        </w:rPr>
        <w:t>')</w:t>
      </w:r>
      <w:r w:rsidR="002922C6" w:rsidRPr="00882F11">
        <w:rPr>
          <w:rFonts w:cs="Guttman Drogolin" w:hint="cs"/>
          <w:rtl/>
          <w:lang w:bidi="he-IL"/>
        </w:rPr>
        <w:t xml:space="preserve"> מבואר אחרת</w:t>
      </w:r>
      <w:r w:rsidR="002922C6" w:rsidRPr="00882F11">
        <w:rPr>
          <w:rFonts w:cs="Guttman Drogolin"/>
          <w:rtl/>
          <w:lang w:bidi="he-IL"/>
        </w:rPr>
        <w:t xml:space="preserve">, </w:t>
      </w:r>
      <w:r w:rsidR="002922C6" w:rsidRPr="00882F11">
        <w:rPr>
          <w:rFonts w:cs="Guttman Drogolin" w:hint="cs"/>
          <w:rtl/>
          <w:lang w:bidi="he-IL"/>
        </w:rPr>
        <w:t>ותי' שהוא</w:t>
      </w:r>
      <w:r w:rsidR="002922C6" w:rsidRPr="00882F11">
        <w:rPr>
          <w:rFonts w:cs="Guttman Drogolin"/>
          <w:rtl/>
          <w:lang w:bidi="he-IL"/>
        </w:rPr>
        <w:t xml:space="preserve"> </w:t>
      </w:r>
      <w:r w:rsidR="002922C6" w:rsidRPr="00882F11">
        <w:rPr>
          <w:rFonts w:cs="Guttman Drogolin" w:hint="cs"/>
          <w:rtl/>
          <w:lang w:bidi="he-IL"/>
        </w:rPr>
        <w:t>לשיטתו</w:t>
      </w:r>
      <w:r w:rsidR="002922C6" w:rsidRPr="00882F11">
        <w:rPr>
          <w:rFonts w:cs="Guttman Drogolin"/>
          <w:rtl/>
          <w:lang w:bidi="he-IL"/>
        </w:rPr>
        <w:t xml:space="preserve"> </w:t>
      </w:r>
      <w:r w:rsidR="002922C6" w:rsidRPr="00882F11">
        <w:rPr>
          <w:rFonts w:cs="Guttman Drogolin" w:hint="cs"/>
          <w:rtl/>
          <w:lang w:bidi="he-IL"/>
        </w:rPr>
        <w:t>דס</w:t>
      </w:r>
      <w:r w:rsidR="002922C6" w:rsidRPr="00882F11">
        <w:rPr>
          <w:rFonts w:cs="Guttman Drogolin"/>
          <w:rtl/>
          <w:lang w:bidi="he-IL"/>
        </w:rPr>
        <w:t>"</w:t>
      </w:r>
      <w:r w:rsidR="002922C6" w:rsidRPr="00882F11">
        <w:rPr>
          <w:rFonts w:cs="Guttman Drogolin" w:hint="cs"/>
          <w:rtl/>
          <w:lang w:bidi="he-IL"/>
        </w:rPr>
        <w:t>ל</w:t>
      </w:r>
      <w:r w:rsidR="002922C6" w:rsidRPr="00882F11">
        <w:rPr>
          <w:rFonts w:cs="Guttman Drogolin"/>
          <w:rtl/>
          <w:lang w:bidi="he-IL"/>
        </w:rPr>
        <w:t xml:space="preserve"> </w:t>
      </w:r>
      <w:r w:rsidR="002922C6" w:rsidRPr="00882F11">
        <w:rPr>
          <w:rFonts w:cs="Guttman Drogolin" w:hint="cs"/>
          <w:rtl/>
          <w:lang w:bidi="he-IL"/>
        </w:rPr>
        <w:t>דלא</w:t>
      </w:r>
      <w:r w:rsidR="002922C6" w:rsidRPr="00882F11">
        <w:rPr>
          <w:rFonts w:cs="Guttman Drogolin"/>
          <w:rtl/>
          <w:lang w:bidi="he-IL"/>
        </w:rPr>
        <w:t xml:space="preserve"> </w:t>
      </w:r>
      <w:r w:rsidR="002922C6" w:rsidRPr="00882F11">
        <w:rPr>
          <w:rFonts w:cs="Guttman Drogolin" w:hint="cs"/>
          <w:rtl/>
          <w:lang w:bidi="he-IL"/>
        </w:rPr>
        <w:t>בעינן</w:t>
      </w:r>
      <w:r w:rsidR="002922C6" w:rsidRPr="00882F11">
        <w:rPr>
          <w:rFonts w:cs="Guttman Drogolin"/>
          <w:rtl/>
          <w:lang w:bidi="he-IL"/>
        </w:rPr>
        <w:t xml:space="preserve"> </w:t>
      </w:r>
      <w:r w:rsidR="002922C6" w:rsidRPr="00882F11">
        <w:rPr>
          <w:rFonts w:cs="Guttman Drogolin" w:hint="cs"/>
          <w:rtl/>
          <w:lang w:bidi="he-IL"/>
        </w:rPr>
        <w:t>איסור</w:t>
      </w:r>
      <w:r w:rsidR="002922C6" w:rsidRPr="00882F11">
        <w:rPr>
          <w:rFonts w:cs="Guttman Drogolin"/>
          <w:rtl/>
          <w:lang w:bidi="he-IL"/>
        </w:rPr>
        <w:t xml:space="preserve"> </w:t>
      </w:r>
      <w:r w:rsidR="002922C6" w:rsidRPr="00882F11">
        <w:rPr>
          <w:rFonts w:cs="Guttman Drogolin" w:hint="cs"/>
          <w:rtl/>
          <w:lang w:bidi="he-IL"/>
        </w:rPr>
        <w:t>מתחילת</w:t>
      </w:r>
      <w:r w:rsidR="002922C6" w:rsidRPr="00882F11">
        <w:rPr>
          <w:rFonts w:cs="Guttman Drogolin"/>
          <w:rtl/>
          <w:lang w:bidi="he-IL"/>
        </w:rPr>
        <w:t xml:space="preserve"> </w:t>
      </w:r>
      <w:r w:rsidR="002922C6" w:rsidRPr="00882F11">
        <w:rPr>
          <w:rFonts w:cs="Guttman Drogolin" w:hint="cs"/>
          <w:rtl/>
          <w:lang w:bidi="he-IL"/>
        </w:rPr>
        <w:t>ברייתו</w:t>
      </w:r>
      <w:r w:rsidR="002922C6" w:rsidRPr="00882F11">
        <w:rPr>
          <w:rFonts w:cs="Guttman Drogolin"/>
          <w:rtl/>
          <w:lang w:bidi="he-IL"/>
        </w:rPr>
        <w:t>,</w:t>
      </w:r>
      <w:r w:rsidR="002922C6" w:rsidRPr="00882F11">
        <w:rPr>
          <w:rFonts w:cs="Guttman Drogolin" w:hint="cs"/>
          <w:rtl/>
          <w:lang w:bidi="he-IL"/>
        </w:rPr>
        <w:t xml:space="preserve"> רק שאם יחלק אין שמו עליו,</w:t>
      </w:r>
      <w:r w:rsidR="002922C6" w:rsidRPr="00882F11">
        <w:rPr>
          <w:rFonts w:cs="Guttman Drogolin"/>
          <w:rtl/>
          <w:lang w:bidi="he-IL"/>
        </w:rPr>
        <w:t xml:space="preserve"> </w:t>
      </w:r>
      <w:r w:rsidR="002922C6" w:rsidRPr="00882F11">
        <w:rPr>
          <w:rFonts w:cs="Guttman Drogolin" w:hint="cs"/>
          <w:rtl/>
          <w:lang w:bidi="he-IL"/>
        </w:rPr>
        <w:t>אבל</w:t>
      </w:r>
      <w:r w:rsidR="002922C6" w:rsidRPr="00882F11">
        <w:rPr>
          <w:rFonts w:cs="Guttman Drogolin"/>
          <w:rtl/>
          <w:lang w:bidi="he-IL"/>
        </w:rPr>
        <w:t xml:space="preserve"> </w:t>
      </w:r>
      <w:r w:rsidR="002922C6" w:rsidRPr="00882F11">
        <w:rPr>
          <w:rFonts w:cs="Guttman Drogolin" w:hint="cs"/>
          <w:rtl/>
          <w:lang w:bidi="he-IL"/>
        </w:rPr>
        <w:t>לדידן</w:t>
      </w:r>
      <w:r w:rsidR="002922C6" w:rsidRPr="00882F11">
        <w:rPr>
          <w:rFonts w:cs="Guttman Drogolin"/>
          <w:rtl/>
          <w:lang w:bidi="he-IL"/>
        </w:rPr>
        <w:t xml:space="preserve"> </w:t>
      </w:r>
      <w:r w:rsidR="002922C6" w:rsidRPr="00882F11">
        <w:rPr>
          <w:rFonts w:cs="Guttman Drogolin" w:hint="cs"/>
          <w:rtl/>
          <w:lang w:bidi="he-IL"/>
        </w:rPr>
        <w:t>דקיי</w:t>
      </w:r>
      <w:r w:rsidR="002922C6" w:rsidRPr="00882F11">
        <w:rPr>
          <w:rFonts w:cs="Guttman Drogolin"/>
          <w:rtl/>
          <w:lang w:bidi="he-IL"/>
        </w:rPr>
        <w:t>"</w:t>
      </w:r>
      <w:r w:rsidR="002922C6" w:rsidRPr="00882F11">
        <w:rPr>
          <w:rFonts w:cs="Guttman Drogolin" w:hint="cs"/>
          <w:rtl/>
          <w:lang w:bidi="he-IL"/>
        </w:rPr>
        <w:t>ל</w:t>
      </w:r>
      <w:r w:rsidR="002922C6" w:rsidRPr="00882F11">
        <w:rPr>
          <w:rFonts w:cs="Guttman Drogolin"/>
          <w:rtl/>
          <w:lang w:bidi="he-IL"/>
        </w:rPr>
        <w:t xml:space="preserve"> </w:t>
      </w:r>
      <w:r w:rsidR="002922C6" w:rsidRPr="00882F11">
        <w:rPr>
          <w:rFonts w:cs="Guttman Drogolin" w:hint="cs"/>
          <w:rtl/>
          <w:lang w:bidi="he-IL"/>
        </w:rPr>
        <w:t>כרשב</w:t>
      </w:r>
      <w:r w:rsidR="002922C6" w:rsidRPr="00882F11">
        <w:rPr>
          <w:rFonts w:cs="Guttman Drogolin"/>
          <w:rtl/>
          <w:lang w:bidi="he-IL"/>
        </w:rPr>
        <w:t>"</w:t>
      </w:r>
      <w:r w:rsidR="002922C6" w:rsidRPr="00882F11">
        <w:rPr>
          <w:rFonts w:cs="Guttman Drogolin" w:hint="cs"/>
          <w:rtl/>
          <w:lang w:bidi="he-IL"/>
        </w:rPr>
        <w:t>א (או בתורת ודאי או עכ"פ מספק)</w:t>
      </w:r>
      <w:r w:rsidR="002922C6" w:rsidRPr="00882F11">
        <w:rPr>
          <w:rFonts w:cs="Guttman Drogolin"/>
          <w:rtl/>
          <w:lang w:bidi="he-IL"/>
        </w:rPr>
        <w:t xml:space="preserve"> </w:t>
      </w:r>
      <w:r w:rsidR="002922C6" w:rsidRPr="00882F11">
        <w:rPr>
          <w:rFonts w:cs="Guttman Drogolin" w:hint="cs"/>
          <w:rtl/>
          <w:lang w:bidi="he-IL"/>
        </w:rPr>
        <w:t>אין</w:t>
      </w:r>
      <w:r w:rsidR="002922C6" w:rsidRPr="00882F11">
        <w:rPr>
          <w:rFonts w:cs="Guttman Drogolin"/>
          <w:rtl/>
          <w:lang w:bidi="he-IL"/>
        </w:rPr>
        <w:t xml:space="preserve"> </w:t>
      </w:r>
      <w:r w:rsidR="002922C6" w:rsidRPr="00882F11">
        <w:rPr>
          <w:rFonts w:cs="Guttman Drogolin" w:hint="cs"/>
          <w:rtl/>
          <w:lang w:bidi="he-IL"/>
        </w:rPr>
        <w:t>כאן</w:t>
      </w:r>
      <w:r w:rsidR="002922C6" w:rsidRPr="00882F11">
        <w:rPr>
          <w:rFonts w:cs="Guttman Drogolin"/>
          <w:rtl/>
          <w:lang w:bidi="he-IL"/>
        </w:rPr>
        <w:t xml:space="preserve"> </w:t>
      </w:r>
      <w:r w:rsidR="002922C6" w:rsidRPr="00882F11">
        <w:rPr>
          <w:rFonts w:cs="Guttman Drogolin" w:hint="cs"/>
          <w:rtl/>
          <w:lang w:bidi="he-IL"/>
        </w:rPr>
        <w:t>מקום</w:t>
      </w:r>
      <w:r w:rsidR="002922C6" w:rsidRPr="00882F11">
        <w:rPr>
          <w:rFonts w:cs="Guttman Drogolin"/>
          <w:rtl/>
          <w:lang w:bidi="he-IL"/>
        </w:rPr>
        <w:t xml:space="preserve"> </w:t>
      </w:r>
      <w:r w:rsidR="002922C6" w:rsidRPr="00882F11">
        <w:rPr>
          <w:rFonts w:cs="Guttman Drogolin" w:hint="cs"/>
          <w:rtl/>
          <w:lang w:bidi="he-IL"/>
        </w:rPr>
        <w:t>איסור.</w:t>
      </w:r>
      <w:r w:rsidR="002922C6" w:rsidRPr="00882F11">
        <w:rPr>
          <w:rFonts w:cs="Guttman Drogolin"/>
          <w:rtl/>
          <w:lang w:bidi="he-IL"/>
        </w:rPr>
        <w:t xml:space="preserve"> </w:t>
      </w:r>
      <w:r w:rsidR="002922C6" w:rsidRPr="00882F11">
        <w:rPr>
          <w:rFonts w:cs="Guttman Drogolin" w:hint="cs"/>
          <w:rtl/>
          <w:lang w:bidi="he-IL"/>
        </w:rPr>
        <w:t>(ומ"מ הסיק דחס</w:t>
      </w:r>
      <w:r w:rsidR="002922C6" w:rsidRPr="00882F11">
        <w:rPr>
          <w:rFonts w:cs="Guttman Drogolin"/>
          <w:rtl/>
          <w:lang w:bidi="he-IL"/>
        </w:rPr>
        <w:t xml:space="preserve"> </w:t>
      </w:r>
      <w:r w:rsidR="002922C6" w:rsidRPr="00882F11">
        <w:rPr>
          <w:rFonts w:cs="Guttman Drogolin" w:hint="cs"/>
          <w:rtl/>
          <w:lang w:bidi="he-IL"/>
        </w:rPr>
        <w:t>ושלום</w:t>
      </w:r>
      <w:r w:rsidR="002922C6" w:rsidRPr="00882F11">
        <w:rPr>
          <w:rFonts w:cs="Guttman Drogolin"/>
          <w:rtl/>
          <w:lang w:bidi="he-IL"/>
        </w:rPr>
        <w:t xml:space="preserve"> </w:t>
      </w:r>
      <w:r w:rsidR="002922C6" w:rsidRPr="00882F11">
        <w:rPr>
          <w:rFonts w:cs="Guttman Drogolin" w:hint="cs"/>
          <w:rtl/>
          <w:lang w:bidi="he-IL"/>
        </w:rPr>
        <w:t>להקל</w:t>
      </w:r>
      <w:r w:rsidR="002922C6" w:rsidRPr="00882F11">
        <w:rPr>
          <w:rFonts w:cs="Guttman Drogolin"/>
          <w:rtl/>
          <w:lang w:bidi="he-IL"/>
        </w:rPr>
        <w:t xml:space="preserve"> </w:t>
      </w:r>
      <w:r w:rsidR="002922C6" w:rsidRPr="00882F11">
        <w:rPr>
          <w:rFonts w:cs="Guttman Drogolin" w:hint="cs"/>
          <w:rtl/>
          <w:lang w:bidi="he-IL"/>
        </w:rPr>
        <w:t>בזה</w:t>
      </w:r>
      <w:r w:rsidR="002922C6" w:rsidRPr="00882F11">
        <w:rPr>
          <w:rFonts w:cs="Guttman Drogolin"/>
          <w:rtl/>
          <w:lang w:bidi="he-IL"/>
        </w:rPr>
        <w:t xml:space="preserve"> </w:t>
      </w:r>
      <w:r w:rsidR="002922C6" w:rsidRPr="00882F11">
        <w:rPr>
          <w:rFonts w:cs="Guttman Drogolin" w:hint="cs"/>
          <w:rtl/>
          <w:lang w:bidi="he-IL"/>
        </w:rPr>
        <w:t>בשום</w:t>
      </w:r>
      <w:r w:rsidR="002922C6" w:rsidRPr="00882F11">
        <w:rPr>
          <w:rFonts w:cs="Guttman Drogolin"/>
          <w:rtl/>
          <w:lang w:bidi="he-IL"/>
        </w:rPr>
        <w:t xml:space="preserve"> </w:t>
      </w:r>
      <w:r w:rsidR="002922C6" w:rsidRPr="00882F11">
        <w:rPr>
          <w:rFonts w:cs="Guttman Drogolin" w:hint="cs"/>
          <w:rtl/>
          <w:lang w:bidi="he-IL"/>
        </w:rPr>
        <w:t>צד,</w:t>
      </w:r>
      <w:r w:rsidR="002922C6" w:rsidRPr="00882F11">
        <w:rPr>
          <w:rFonts w:cs="Guttman Drogolin"/>
          <w:rtl/>
          <w:lang w:bidi="he-IL"/>
        </w:rPr>
        <w:t xml:space="preserve"> </w:t>
      </w:r>
      <w:r w:rsidR="002922C6" w:rsidRPr="00882F11">
        <w:rPr>
          <w:rFonts w:cs="Guttman Drogolin" w:hint="cs"/>
          <w:rtl/>
          <w:lang w:bidi="he-IL"/>
        </w:rPr>
        <w:t>רק שהוא</w:t>
      </w:r>
      <w:r w:rsidR="002922C6" w:rsidRPr="00882F11">
        <w:rPr>
          <w:rFonts w:cs="Guttman Drogolin"/>
          <w:rtl/>
          <w:lang w:bidi="he-IL"/>
        </w:rPr>
        <w:t xml:space="preserve"> </w:t>
      </w:r>
      <w:r w:rsidR="002922C6" w:rsidRPr="00882F11">
        <w:rPr>
          <w:rFonts w:cs="Guttman Drogolin" w:hint="cs"/>
          <w:rtl/>
          <w:lang w:bidi="he-IL"/>
        </w:rPr>
        <w:t>כתריס</w:t>
      </w:r>
      <w:r w:rsidR="002922C6" w:rsidRPr="00882F11">
        <w:rPr>
          <w:rFonts w:cs="Guttman Drogolin"/>
          <w:rtl/>
          <w:lang w:bidi="he-IL"/>
        </w:rPr>
        <w:t xml:space="preserve"> </w:t>
      </w:r>
      <w:r w:rsidR="002922C6" w:rsidRPr="00882F11">
        <w:rPr>
          <w:rFonts w:cs="Guttman Drogolin" w:hint="cs"/>
          <w:rtl/>
          <w:lang w:bidi="he-IL"/>
        </w:rPr>
        <w:t>לפני</w:t>
      </w:r>
      <w:r w:rsidR="002922C6" w:rsidRPr="00882F11">
        <w:rPr>
          <w:rFonts w:cs="Guttman Drogolin"/>
          <w:rtl/>
          <w:lang w:bidi="he-IL"/>
        </w:rPr>
        <w:t xml:space="preserve"> </w:t>
      </w:r>
      <w:r w:rsidR="002922C6" w:rsidRPr="00882F11">
        <w:rPr>
          <w:rFonts w:cs="Guttman Drogolin" w:hint="cs"/>
          <w:rtl/>
          <w:lang w:bidi="he-IL"/>
        </w:rPr>
        <w:t xml:space="preserve">הפורענות). </w:t>
      </w:r>
    </w:p>
    <w:p w:rsidR="00A83222" w:rsidRPr="00882F11" w:rsidRDefault="002922C6" w:rsidP="00A80ACD">
      <w:pPr>
        <w:pStyle w:val="ListParagraph"/>
        <w:tabs>
          <w:tab w:val="right" w:pos="7497"/>
        </w:tabs>
        <w:bidi/>
        <w:ind w:left="297"/>
        <w:jc w:val="both"/>
        <w:rPr>
          <w:rFonts w:cs="Guttman Drogolin"/>
          <w:rtl/>
          <w:lang w:bidi="he-IL"/>
        </w:rPr>
      </w:pPr>
      <w:r w:rsidRPr="00882F11">
        <w:rPr>
          <w:rFonts w:cs="Guttman Drogolin" w:hint="cs"/>
          <w:rtl/>
          <w:lang w:bidi="he-IL"/>
        </w:rPr>
        <w:t xml:space="preserve">ובחוו"ד ס"ק ה' דחה דברי הכרו"פ מתרי טעמי. חדא שהענין דאסור מתחילת ברייתו אינו משום שמיד שבא לעולם הרי הוא אסור, רק </w:t>
      </w:r>
      <w:r w:rsidR="000733C2" w:rsidRPr="00882F11">
        <w:rPr>
          <w:rFonts w:cs="Guttman Drogolin" w:hint="cs"/>
          <w:rtl/>
          <w:lang w:bidi="he-IL"/>
        </w:rPr>
        <w:t xml:space="preserve">שלא נאסר בתולדה כגון נבילה, אבל זה שאינו בתולדה רק שעדיין אינו שרץ השורץ על הארץ שפיר הוי ברי' אפילו לשיטת הרשב"א. ועוד דכאן הוי באמת מתחילת ברייתו, דהא עד שלא פירשו עדיין לא 'נבראו', דהא עדיין לא מיקרו שרץ השורץ על הארץ, אבל מיד שפירשו והוו בכלל שרץ השורץ על </w:t>
      </w:r>
      <w:r w:rsidR="000733C2" w:rsidRPr="00882F11">
        <w:rPr>
          <w:rFonts w:cs="Guttman Drogolin" w:hint="cs"/>
          <w:rtl/>
          <w:lang w:bidi="he-IL"/>
        </w:rPr>
        <w:lastRenderedPageBreak/>
        <w:t>הארץ נאסרו, ולכן שפיר חשיב נאסר מתילת ברייתו והוי ברי' גם שליטת הרשב"א.</w:t>
      </w:r>
      <w:r w:rsidRPr="00882F11">
        <w:rPr>
          <w:rFonts w:cs="Guttman Drogolin"/>
          <w:rtl/>
          <w:lang w:bidi="he-IL"/>
        </w:rPr>
        <w:t xml:space="preserve"> </w:t>
      </w:r>
      <w:r w:rsidR="00A80ACD" w:rsidRPr="00882F11">
        <w:rPr>
          <w:rFonts w:cs="Guttman Drogolin" w:hint="cs"/>
          <w:rtl/>
          <w:lang w:bidi="he-IL"/>
        </w:rPr>
        <w:t>וע"ש שהביא הוכחות לב' התשובות.</w:t>
      </w:r>
    </w:p>
    <w:p w:rsidR="002922C6" w:rsidRPr="00882F11" w:rsidRDefault="00A83222" w:rsidP="004C00EC">
      <w:pPr>
        <w:pStyle w:val="ListParagraph"/>
        <w:tabs>
          <w:tab w:val="right" w:pos="7497"/>
        </w:tabs>
        <w:bidi/>
        <w:ind w:left="297"/>
        <w:jc w:val="both"/>
        <w:rPr>
          <w:rFonts w:cs="Guttman Drogolin"/>
          <w:lang w:bidi="he-IL"/>
        </w:rPr>
      </w:pPr>
      <w:r w:rsidRPr="00882F11">
        <w:rPr>
          <w:rFonts w:cs="Guttman Drogolin" w:hint="cs"/>
          <w:rtl/>
          <w:lang w:bidi="he-IL"/>
        </w:rPr>
        <w:t xml:space="preserve">ויש להוסיף שהרי מבואר לכאורה במתני' שברפ"ג דמס' מכות שטבל חשוב אסור מתחילת ברייתו (רק שאינו בריית נשמה), והרי טבל אינו אסור עד שעת מירוח. כן העיר רע"א בתוס' למתני' </w:t>
      </w:r>
      <w:r w:rsidR="004C00EC" w:rsidRPr="00882F11">
        <w:rPr>
          <w:rFonts w:cs="Guttman Drogolin" w:hint="cs"/>
          <w:rtl/>
          <w:lang w:bidi="he-IL"/>
        </w:rPr>
        <w:t>והוסיף שבתוס' במס' חולין דף צ"ו ע"א כתבו דתרומה אינו נאסר מתחילת ברייתו משום שאינו נאסר עד אחר מירוח, וא"כ טבל נמי וכנ"ל. וע"ש</w:t>
      </w:r>
      <w:r w:rsidRPr="00882F11">
        <w:rPr>
          <w:rFonts w:cs="Guttman Drogolin" w:hint="cs"/>
          <w:rtl/>
          <w:lang w:bidi="he-IL"/>
        </w:rPr>
        <w:t xml:space="preserve"> </w:t>
      </w:r>
      <w:r w:rsidR="004C00EC" w:rsidRPr="00882F11">
        <w:rPr>
          <w:rFonts w:cs="Guttman Drogolin" w:hint="cs"/>
          <w:rtl/>
          <w:lang w:bidi="he-IL"/>
        </w:rPr>
        <w:t>ש</w:t>
      </w:r>
      <w:r w:rsidRPr="00882F11">
        <w:rPr>
          <w:rFonts w:cs="Guttman Drogolin" w:hint="cs"/>
          <w:rtl/>
          <w:lang w:bidi="he-IL"/>
        </w:rPr>
        <w:t xml:space="preserve">הניח </w:t>
      </w:r>
      <w:r w:rsidR="004C00EC" w:rsidRPr="00882F11">
        <w:rPr>
          <w:rFonts w:cs="Guttman Drogolin" w:hint="cs"/>
          <w:rtl/>
          <w:lang w:bidi="he-IL"/>
        </w:rPr>
        <w:t xml:space="preserve">קושיא זו </w:t>
      </w:r>
      <w:r w:rsidRPr="00882F11">
        <w:rPr>
          <w:rFonts w:cs="Guttman Drogolin" w:hint="cs"/>
          <w:rtl/>
          <w:lang w:bidi="he-IL"/>
        </w:rPr>
        <w:t>בצע"ג.</w:t>
      </w:r>
      <w:r w:rsidR="004C00EC" w:rsidRPr="00882F11">
        <w:rPr>
          <w:rFonts w:cs="Guttman Drogolin" w:hint="cs"/>
          <w:rtl/>
          <w:lang w:bidi="he-IL"/>
        </w:rPr>
        <w:t xml:space="preserve"> וע' מש"כ בזה במגי"ס סי' ק' אות ד'.</w:t>
      </w:r>
      <w:r w:rsidRPr="00882F11">
        <w:rPr>
          <w:rFonts w:cs="Guttman Drogolin" w:hint="cs"/>
          <w:rtl/>
          <w:lang w:bidi="he-IL"/>
        </w:rPr>
        <w:t xml:space="preserve">   </w:t>
      </w:r>
    </w:p>
    <w:p w:rsidR="00792C53" w:rsidRPr="00882F11" w:rsidRDefault="002D214C" w:rsidP="00A80ACD">
      <w:pPr>
        <w:pStyle w:val="ListParagraph"/>
        <w:numPr>
          <w:ilvl w:val="0"/>
          <w:numId w:val="20"/>
        </w:numPr>
        <w:tabs>
          <w:tab w:val="right" w:pos="7497"/>
        </w:tabs>
        <w:bidi/>
        <w:ind w:left="297" w:hanging="270"/>
        <w:jc w:val="both"/>
        <w:rPr>
          <w:rFonts w:cs="Guttman Drogolin"/>
          <w:lang w:bidi="he-IL"/>
        </w:rPr>
      </w:pPr>
      <w:r>
        <w:rPr>
          <w:rFonts w:cs="Guttman Drogolin"/>
          <w:b/>
          <w:bCs/>
          <w:rtl/>
          <w:lang w:bidi="he-IL"/>
        </w:rPr>
        <w:fldChar w:fldCharType="begin"/>
      </w:r>
      <w:r>
        <w:instrText xml:space="preserve"> XE "</w:instrText>
      </w:r>
      <w:r w:rsidRPr="003C5398">
        <w:rPr>
          <w:rFonts w:hint="cs"/>
          <w:rtl/>
          <w:lang w:bidi="he-IL"/>
        </w:rPr>
        <w:instrText>ברי'</w:instrText>
      </w:r>
      <w:r w:rsidRPr="003C5398">
        <w:rPr>
          <w:rtl/>
        </w:rPr>
        <w:instrText>:</w:instrText>
      </w:r>
      <w:r w:rsidRPr="003C5398">
        <w:rPr>
          <w:rFonts w:hint="cs"/>
          <w:rtl/>
          <w:lang w:bidi="he-IL"/>
        </w:rPr>
        <w:instrText>באיסור דרבנן</w:instrText>
      </w:r>
      <w:r>
        <w:instrText xml:space="preserve">" </w:instrText>
      </w:r>
      <w:r>
        <w:rPr>
          <w:rFonts w:cs="Guttman Drogolin"/>
          <w:b/>
          <w:bCs/>
          <w:rtl/>
          <w:lang w:bidi="he-IL"/>
        </w:rPr>
        <w:fldChar w:fldCharType="end"/>
      </w:r>
      <w:r w:rsidR="00A80ACD" w:rsidRPr="00882F11">
        <w:rPr>
          <w:rFonts w:cs="Guttman Drogolin" w:hint="cs"/>
          <w:b/>
          <w:bCs/>
          <w:rtl/>
          <w:lang w:bidi="he-IL"/>
        </w:rPr>
        <w:t>איסור דרבנן</w:t>
      </w:r>
      <w:r w:rsidR="00A80ACD" w:rsidRPr="00882F11">
        <w:rPr>
          <w:rFonts w:cs="Guttman Drogolin" w:hint="cs"/>
          <w:rtl/>
          <w:lang w:bidi="he-IL"/>
        </w:rPr>
        <w:t xml:space="preserve"> </w:t>
      </w:r>
      <w:r w:rsidR="00A80ACD" w:rsidRPr="00882F11">
        <w:rPr>
          <w:rFonts w:cs="Guttman Drogolin"/>
          <w:rtl/>
          <w:lang w:bidi="he-IL"/>
        </w:rPr>
        <w:t>–</w:t>
      </w:r>
      <w:r w:rsidR="00A80ACD" w:rsidRPr="00882F11">
        <w:rPr>
          <w:rFonts w:cs="Guttman Drogolin" w:hint="cs"/>
          <w:rtl/>
          <w:lang w:bidi="he-IL"/>
        </w:rPr>
        <w:t xml:space="preserve"> ביד יהודה רצה לומר שהנידון אם איסור דרבנן יכול להיות ברי'</w:t>
      </w:r>
      <w:r w:rsidR="00792C53" w:rsidRPr="00882F11">
        <w:rPr>
          <w:rFonts w:cs="Guttman Drogolin" w:hint="cs"/>
          <w:rtl/>
          <w:lang w:bidi="he-IL"/>
        </w:rPr>
        <w:t xml:space="preserve"> (ע' מזה גם במש"ז כאן)</w:t>
      </w:r>
      <w:r w:rsidR="00A80ACD" w:rsidRPr="00882F11">
        <w:rPr>
          <w:rFonts w:cs="Guttman Drogolin" w:hint="cs"/>
          <w:rtl/>
          <w:lang w:bidi="he-IL"/>
        </w:rPr>
        <w:t xml:space="preserve"> ג"כ תלוי במחלוקת הראשונים, שלשיטת התוס' שתלוי בזה שהתורה אסרתו בין קטן בין גדול הא הכאהתורה לא אסרתו. אבל לשאר הראשונים לכאורה הוי ברי'. והוא עצמו דחה ב' התליות, די"ל שאפילו לשיטת התוס' אם חז"ל אסרוהו בין גדול ובין קטן ג"כ יש להחשיבו כברי'. וכן לשאר הראשונים יתכן שצריך להיות </w:t>
      </w:r>
      <w:r w:rsidR="00792C53" w:rsidRPr="00882F11">
        <w:rPr>
          <w:rFonts w:cs="Guttman Drogolin" w:hint="cs"/>
          <w:rtl/>
          <w:lang w:bidi="he-IL"/>
        </w:rPr>
        <w:t>איסור שלוקים עליו, תדע שהרי דיני מלקות ודיני ביטול תלויים זב"ז.</w:t>
      </w:r>
    </w:p>
    <w:p w:rsidR="00792C53" w:rsidRPr="00882F11" w:rsidRDefault="002D214C" w:rsidP="00792C53">
      <w:pPr>
        <w:pStyle w:val="ListParagraph"/>
        <w:numPr>
          <w:ilvl w:val="0"/>
          <w:numId w:val="20"/>
        </w:numPr>
        <w:tabs>
          <w:tab w:val="right" w:pos="7497"/>
        </w:tabs>
        <w:bidi/>
        <w:ind w:left="297" w:hanging="270"/>
        <w:jc w:val="both"/>
        <w:rPr>
          <w:rFonts w:cs="Guttman Drogolin"/>
          <w:lang w:bidi="he-IL"/>
        </w:rPr>
      </w:pPr>
      <w:r>
        <w:rPr>
          <w:rFonts w:cs="Guttman Drogolin"/>
          <w:b/>
          <w:bCs/>
          <w:rtl/>
          <w:lang w:bidi="he-IL"/>
        </w:rPr>
        <w:fldChar w:fldCharType="begin"/>
      </w:r>
      <w:r>
        <w:instrText xml:space="preserve"> XE "</w:instrText>
      </w:r>
      <w:r w:rsidRPr="00C201CB">
        <w:rPr>
          <w:rFonts w:hint="cs"/>
          <w:rtl/>
          <w:lang w:bidi="he-IL"/>
        </w:rPr>
        <w:instrText>ברי'</w:instrText>
      </w:r>
      <w:r w:rsidRPr="00C201CB">
        <w:rPr>
          <w:rtl/>
        </w:rPr>
        <w:instrText>:</w:instrText>
      </w:r>
      <w:r w:rsidRPr="00C201CB">
        <w:rPr>
          <w:rFonts w:hint="cs"/>
          <w:rtl/>
          <w:lang w:bidi="he-IL"/>
        </w:rPr>
        <w:instrText>הדין בכינה</w:instrText>
      </w:r>
      <w:r>
        <w:instrText xml:space="preserve">" </w:instrText>
      </w:r>
      <w:r>
        <w:rPr>
          <w:rFonts w:cs="Guttman Drogolin"/>
          <w:b/>
          <w:bCs/>
          <w:rtl/>
          <w:lang w:bidi="he-IL"/>
        </w:rPr>
        <w:fldChar w:fldCharType="end"/>
      </w:r>
      <w:r w:rsidR="00792C53" w:rsidRPr="00882F11">
        <w:rPr>
          <w:rFonts w:cs="Guttman Drogolin" w:hint="cs"/>
          <w:b/>
          <w:bCs/>
          <w:rtl/>
          <w:lang w:bidi="he-IL"/>
        </w:rPr>
        <w:t>כינה</w:t>
      </w:r>
      <w:r w:rsidR="00E50F7F" w:rsidRPr="00882F11">
        <w:rPr>
          <w:rFonts w:cs="Guttman Drogolin" w:hint="cs"/>
          <w:rtl/>
          <w:lang w:bidi="he-IL"/>
        </w:rPr>
        <w:t xml:space="preserve"> </w:t>
      </w:r>
      <w:r w:rsidR="00792C53" w:rsidRPr="00882F11">
        <w:rPr>
          <w:rFonts w:cs="Guttman Drogolin"/>
          <w:rtl/>
          <w:lang w:bidi="he-IL"/>
        </w:rPr>
        <w:t>–</w:t>
      </w:r>
      <w:r w:rsidR="00792C53" w:rsidRPr="00882F11">
        <w:rPr>
          <w:rFonts w:cs="Guttman Drogolin" w:hint="cs"/>
          <w:rtl/>
          <w:lang w:bidi="he-IL"/>
        </w:rPr>
        <w:t xml:space="preserve"> לאלו המצריכים בריית נשמה כתב המטה יהונתן דכגון כינה שאין נשמתה חשובה להתחייב עליו משום נטילת נשמה בשבת, ג"כ לא חשוב בריית נשמה כדי להיות חשוב ברי'. וא"כ בזה יהי' לנו נפק"מ בין תוס' שאינם מצריכים בריית נשמה לשאר הראשונים. אמנם בשפ"ד כאן פשיטא לי' שאין צורך שיהי' בריית נשמה שחייבים עליו בשבת.</w:t>
      </w:r>
    </w:p>
    <w:p w:rsidR="0005444C" w:rsidRPr="00882F11" w:rsidRDefault="002D214C" w:rsidP="00792C53">
      <w:pPr>
        <w:pStyle w:val="ListParagraph"/>
        <w:numPr>
          <w:ilvl w:val="0"/>
          <w:numId w:val="20"/>
        </w:numPr>
        <w:tabs>
          <w:tab w:val="right" w:pos="7497"/>
        </w:tabs>
        <w:bidi/>
        <w:ind w:left="297" w:hanging="270"/>
        <w:jc w:val="both"/>
        <w:rPr>
          <w:rFonts w:cs="Guttman Drogolin"/>
          <w:lang w:bidi="he-IL"/>
        </w:rPr>
      </w:pPr>
      <w:r>
        <w:rPr>
          <w:rFonts w:cs="Guttman Drogolin"/>
          <w:b/>
          <w:bCs/>
          <w:rtl/>
          <w:lang w:bidi="he-IL"/>
        </w:rPr>
        <w:fldChar w:fldCharType="begin"/>
      </w:r>
      <w:r>
        <w:instrText xml:space="preserve"> XE "</w:instrText>
      </w:r>
      <w:r w:rsidRPr="00F07337">
        <w:rPr>
          <w:rFonts w:hint="cs"/>
          <w:rtl/>
          <w:lang w:bidi="he-IL"/>
        </w:rPr>
        <w:instrText>ברי'</w:instrText>
      </w:r>
      <w:r w:rsidRPr="00F07337">
        <w:rPr>
          <w:rtl/>
        </w:rPr>
        <w:instrText>:</w:instrText>
      </w:r>
      <w:r w:rsidRPr="00F07337">
        <w:rPr>
          <w:rFonts w:hint="cs"/>
          <w:rtl/>
          <w:lang w:bidi="he-IL"/>
        </w:rPr>
        <w:instrText>ביצת עוף טמא</w:instrText>
      </w:r>
      <w:r>
        <w:instrText xml:space="preserve">" </w:instrText>
      </w:r>
      <w:r>
        <w:rPr>
          <w:rFonts w:cs="Guttman Drogolin"/>
          <w:b/>
          <w:bCs/>
          <w:rtl/>
          <w:lang w:bidi="he-IL"/>
        </w:rPr>
        <w:fldChar w:fldCharType="end"/>
      </w:r>
      <w:r w:rsidR="00A83222" w:rsidRPr="00882F11">
        <w:rPr>
          <w:rFonts w:cs="Guttman Drogolin" w:hint="cs"/>
          <w:b/>
          <w:bCs/>
          <w:rtl/>
          <w:lang w:bidi="he-IL"/>
        </w:rPr>
        <w:t xml:space="preserve">ביצת עוף טמא </w:t>
      </w:r>
      <w:r w:rsidR="00A83222" w:rsidRPr="00882F11">
        <w:rPr>
          <w:rFonts w:cs="Guttman Drogolin"/>
          <w:rtl/>
          <w:lang w:bidi="he-IL"/>
        </w:rPr>
        <w:t>–</w:t>
      </w:r>
      <w:r w:rsidR="00A83222" w:rsidRPr="00882F11">
        <w:rPr>
          <w:rFonts w:cs="Guttman Drogolin" w:hint="cs"/>
          <w:rtl/>
          <w:lang w:bidi="he-IL"/>
        </w:rPr>
        <w:t xml:space="preserve"> יש מחלוקת הראשונים אם חייבים מלקות על אכילת ביצת עוף טמא. וביצה הרי אינה בריית נשמה</w:t>
      </w:r>
      <w:r w:rsidR="00A83222" w:rsidRPr="00882F11">
        <w:rPr>
          <w:rStyle w:val="FootnoteReference"/>
          <w:rFonts w:cs="Guttman Drogolin"/>
          <w:rtl/>
          <w:lang w:bidi="he-IL"/>
        </w:rPr>
        <w:footnoteReference w:id="351"/>
      </w:r>
      <w:r w:rsidR="00A83222" w:rsidRPr="00882F11">
        <w:rPr>
          <w:rFonts w:cs="Guttman Drogolin" w:hint="cs"/>
          <w:rtl/>
          <w:lang w:bidi="he-IL"/>
        </w:rPr>
        <w:t xml:space="preserve"> (וכדמבואר בחי' הרמב"ן למס' חולין דף צ"ז ע"ב), אבל מאידך הרי הוא אסור מתחילת ברייתו וכן יש </w:t>
      </w:r>
      <w:r w:rsidR="00A83222" w:rsidRPr="00882F11">
        <w:rPr>
          <w:rFonts w:cs="Guttman Drogolin" w:hint="cs"/>
          <w:rtl/>
          <w:lang w:bidi="he-IL"/>
        </w:rPr>
        <w:lastRenderedPageBreak/>
        <w:t>לו שאר תנאי ברי'. וע"ש ביד יהודה שהסיק שזהו הנפק"מ היחיד בין השיטות בברי' וגם זה אינו אלא לשיטות הסוברות שלוקין עליו.</w:t>
      </w:r>
      <w:r w:rsidR="00E50F7F" w:rsidRPr="00882F11">
        <w:rPr>
          <w:rFonts w:cs="Guttman Drogolin" w:hint="cs"/>
          <w:rtl/>
          <w:lang w:bidi="he-IL"/>
        </w:rPr>
        <w:t xml:space="preserve">   </w:t>
      </w:r>
      <w:r w:rsidR="00A736DA" w:rsidRPr="00882F11">
        <w:rPr>
          <w:rFonts w:cs="Guttman Drogolin" w:hint="cs"/>
          <w:rtl/>
          <w:lang w:bidi="he-IL"/>
        </w:rPr>
        <w:t xml:space="preserve"> </w:t>
      </w:r>
      <w:r w:rsidR="00172E64" w:rsidRPr="00882F11">
        <w:rPr>
          <w:rFonts w:cs="Guttman Drogolin" w:hint="cs"/>
          <w:rtl/>
          <w:lang w:bidi="he-IL"/>
        </w:rPr>
        <w:t xml:space="preserve"> </w:t>
      </w:r>
      <w:r w:rsidR="0005444C" w:rsidRPr="00882F11">
        <w:rPr>
          <w:rFonts w:cs="Guttman Drogolin" w:hint="cs"/>
          <w:rtl/>
          <w:lang w:bidi="he-IL"/>
        </w:rPr>
        <w:t xml:space="preserve"> </w:t>
      </w:r>
    </w:p>
    <w:p w:rsidR="004C00EC" w:rsidRPr="00882F11" w:rsidRDefault="004C00EC" w:rsidP="004C00EC">
      <w:pPr>
        <w:pStyle w:val="Heading1"/>
        <w:bidi/>
        <w:spacing w:before="0" w:line="360" w:lineRule="auto"/>
        <w:jc w:val="center"/>
        <w:rPr>
          <w:rFonts w:cs="Guttman Drogolin"/>
          <w:color w:val="auto"/>
          <w:sz w:val="24"/>
          <w:szCs w:val="24"/>
          <w:u w:val="single"/>
          <w:rtl/>
          <w:lang w:bidi="he-IL"/>
        </w:rPr>
      </w:pPr>
      <w:bookmarkStart w:id="336" w:name="_Toc496175587"/>
      <w:r w:rsidRPr="00882F11">
        <w:rPr>
          <w:rFonts w:cs="Guttman Drogolin" w:hint="cs"/>
          <w:color w:val="auto"/>
          <w:sz w:val="24"/>
          <w:szCs w:val="24"/>
          <w:u w:val="single"/>
          <w:rtl/>
          <w:lang w:bidi="he-IL"/>
        </w:rPr>
        <w:t>גיד שנימוח</w:t>
      </w:r>
      <w:bookmarkEnd w:id="336"/>
    </w:p>
    <w:p w:rsidR="00AF509B" w:rsidRPr="00882F11" w:rsidRDefault="002D214C" w:rsidP="00425EC7">
      <w:pPr>
        <w:tabs>
          <w:tab w:val="right" w:pos="7497"/>
        </w:tabs>
        <w:bidi/>
        <w:jc w:val="both"/>
        <w:rPr>
          <w:rFonts w:cs="Guttman Drogolin"/>
          <w:rtl/>
          <w:lang w:bidi="he-IL"/>
        </w:rPr>
      </w:pPr>
      <w:r>
        <w:rPr>
          <w:rFonts w:cs="Guttman Drogolin"/>
          <w:rtl/>
          <w:lang w:bidi="he-IL"/>
        </w:rPr>
        <w:fldChar w:fldCharType="begin"/>
      </w:r>
      <w:r>
        <w:instrText xml:space="preserve"> XE "</w:instrText>
      </w:r>
      <w:r w:rsidRPr="00283AC5">
        <w:rPr>
          <w:rFonts w:hint="cs"/>
          <w:rtl/>
          <w:lang w:bidi="he-IL"/>
        </w:rPr>
        <w:instrText>ברי'</w:instrText>
      </w:r>
      <w:r w:rsidRPr="00283AC5">
        <w:rPr>
          <w:rtl/>
        </w:rPr>
        <w:instrText>:</w:instrText>
      </w:r>
      <w:r w:rsidRPr="00283AC5">
        <w:rPr>
          <w:rFonts w:hint="cs"/>
          <w:rtl/>
          <w:lang w:bidi="he-IL"/>
        </w:rPr>
        <w:instrText>גיד שנימוח</w:instrText>
      </w:r>
      <w:r>
        <w:instrText xml:space="preserve">" </w:instrText>
      </w:r>
      <w:r>
        <w:rPr>
          <w:rFonts w:cs="Guttman Drogolin"/>
          <w:rtl/>
          <w:lang w:bidi="he-IL"/>
        </w:rPr>
        <w:fldChar w:fldCharType="end"/>
      </w:r>
      <w:r w:rsidR="004C00EC" w:rsidRPr="00882F11">
        <w:rPr>
          <w:rFonts w:cs="Guttman Drogolin" w:hint="cs"/>
          <w:rtl/>
          <w:lang w:bidi="he-IL"/>
        </w:rPr>
        <w:t>כתב כאן הטור שאמנם אם בישלו גיד בתבשיל והוציאו אותו אינו צריף ס' כנגד הגיד כיון דקיי"ל שאין בגידין בנו"ט, אבל אם נימוח הגיד בתוך התבשיל צריך ס' כנגדו. וכן פסק השו"ע כאן. ובט"ז כאן בס"ק ה' הביא שהרשב"א</w:t>
      </w:r>
      <w:r w:rsidR="00820718" w:rsidRPr="00882F11">
        <w:rPr>
          <w:rFonts w:cs="Guttman Drogolin" w:hint="cs"/>
          <w:rtl/>
          <w:lang w:bidi="he-IL"/>
        </w:rPr>
        <w:t xml:space="preserve"> (בית ד' שער א')</w:t>
      </w:r>
      <w:r w:rsidR="004C00EC" w:rsidRPr="00882F11">
        <w:rPr>
          <w:rFonts w:cs="Guttman Drogolin" w:hint="cs"/>
          <w:rtl/>
          <w:lang w:bidi="he-IL"/>
        </w:rPr>
        <w:t xml:space="preserve"> באמת הסתפק בזה ויש לו צד שאינו צריך אלא רוב כיון שאינו נ"ט. והאחרונים באמת תמהו על שיטת השו"ע, דהא כיון שאין בגידין בנו"ט הא אפילו קפילא יטעמנו לא ירגיש טעם הגיד וא"כ לכאורה הי' צריך להתבטל. ואע"ג ששיטת הרשב"א עצמו שאין סומכים על טעימת קפילא כשנימוח המאכל בתוך התבשיל, הא שיטת המחבר בשו"ע רסי' צ"ח לסמוך אטעימת קפילא גם אם נימוח, וא"כ לדידי' תיקשי למה צריכים ס' כנגדו. וכן מ"מ הוא חידוש לומר שהוא הרשב"א לשיטתו, שי"ל שהרשב"א לא החמיר כהתערב המאכל בתוך התבשיל אלא משום דבכה"ג חיישינן טפי דאיכא טעם ולכן נמנעים מלסמוך אטעימת קפילא, אבל אם יהי' לנו הוכחה מהא דקיי"ל שאין בגידין בנו"ט לכאורה הי' לנו להתיר. אמנם אם הטעם שכשהתערב בתוך התבשיל לא מהני משום שיש דין שצריכים ס' הדברים מובנים, אבל לשו"ע עדיין צ"ע כנ"ל.  </w:t>
      </w:r>
    </w:p>
    <w:p w:rsidR="005A1391" w:rsidRPr="00882F11" w:rsidRDefault="00AF3D27" w:rsidP="005A1391">
      <w:pPr>
        <w:tabs>
          <w:tab w:val="right" w:pos="7497"/>
        </w:tabs>
        <w:bidi/>
        <w:jc w:val="both"/>
        <w:rPr>
          <w:rFonts w:cs="Guttman Drogolin"/>
          <w:rtl/>
          <w:lang w:bidi="he-IL"/>
        </w:rPr>
      </w:pPr>
      <w:r w:rsidRPr="00882F11">
        <w:rPr>
          <w:rFonts w:cs="Guttman Drogolin" w:hint="cs"/>
          <w:rtl/>
          <w:lang w:bidi="he-IL"/>
        </w:rPr>
        <w:t>והנה כמה אחרונים (ע' חוו"ד ס"ק ז' ומש"ז ס"ק ה') רצו לומר דהנה לעיל בשיעור ד' הבאנו שיטת הטור דכותח הבבלי אע"ג דטכ"ע דאורייתא וכן נהפך האיסור להיות היתר, מ"מ החמץ לא בטל אבל אין לוקין עליו, ושהטעם משום דליכא טעם אבל איכא קיוהא. וביארנו שאמנם יש היכר ע"י הקיוהא, ומשו"ה טעמו וממשו לא בטל, אבל בטעם קלוש כזה לא נאמר הדין דטכ"ע דאורייתא. וא"כ הה"נ הכא, שהרי כבר הבאנו</w:t>
      </w:r>
      <w:r w:rsidRPr="00882F11">
        <w:rPr>
          <w:rStyle w:val="FootnoteReference"/>
          <w:rFonts w:cs="Guttman Drogolin"/>
          <w:rtl/>
          <w:lang w:bidi="he-IL"/>
        </w:rPr>
        <w:footnoteReference w:id="352"/>
      </w:r>
      <w:r w:rsidRPr="00882F11">
        <w:rPr>
          <w:rFonts w:cs="Guttman Drogolin" w:hint="cs"/>
          <w:rtl/>
          <w:lang w:bidi="he-IL"/>
        </w:rPr>
        <w:t xml:space="preserve"> שהרשב"א </w:t>
      </w:r>
      <w:r w:rsidRPr="00882F11">
        <w:rPr>
          <w:rFonts w:cs="Guttman Drogolin" w:hint="cs"/>
          <w:rtl/>
          <w:lang w:bidi="he-IL"/>
        </w:rPr>
        <w:lastRenderedPageBreak/>
        <w:t>בחידושיו לדף צ"ב ע"ב העיר בזה שיש מחלוקת אם יש בגידין בנ"ט או אין בגידין בנ"ט, דאיך יתכן שיש מחלוקת במציאות. וכמה אחרונים נקטו שבאמת יש לגידין טעם קלוש, ונחלקו אם בטעם קלוש נאמר הדין של טכ"ע או לא</w:t>
      </w:r>
      <w:r w:rsidR="005A1391" w:rsidRPr="00882F11">
        <w:rPr>
          <w:rFonts w:cs="Guttman Drogolin" w:hint="cs"/>
          <w:rtl/>
          <w:lang w:bidi="he-IL"/>
        </w:rPr>
        <w:t>. אמנם הנ"מ בטענו ולא ממשו, אבל טעמו וממשו לעולם לא בטל כיון דליכא היכר. ואם כנים הדברים שפיר צריכים ששים אם נימוח עצם הגיד</w:t>
      </w:r>
      <w:r w:rsidR="005A1391" w:rsidRPr="00882F11">
        <w:rPr>
          <w:rStyle w:val="FootnoteReference"/>
          <w:rFonts w:cs="Guttman Drogolin"/>
          <w:rtl/>
          <w:lang w:bidi="he-IL"/>
        </w:rPr>
        <w:footnoteReference w:id="353"/>
      </w:r>
      <w:r w:rsidR="005A1391" w:rsidRPr="00882F11">
        <w:rPr>
          <w:rFonts w:cs="Guttman Drogolin" w:hint="cs"/>
          <w:rtl/>
          <w:lang w:bidi="he-IL"/>
        </w:rPr>
        <w:t>.</w:t>
      </w:r>
    </w:p>
    <w:p w:rsidR="00680499" w:rsidRPr="00882F11" w:rsidRDefault="005A1391" w:rsidP="00C1505C">
      <w:pPr>
        <w:tabs>
          <w:tab w:val="right" w:pos="7497"/>
        </w:tabs>
        <w:bidi/>
        <w:jc w:val="both"/>
        <w:rPr>
          <w:rFonts w:cs="Guttman Drogolin"/>
          <w:rtl/>
          <w:lang w:bidi="he-IL"/>
        </w:rPr>
      </w:pPr>
      <w:r w:rsidRPr="00882F11">
        <w:rPr>
          <w:rFonts w:cs="Guttman Drogolin" w:hint="cs"/>
          <w:rtl/>
          <w:lang w:bidi="he-IL"/>
        </w:rPr>
        <w:t>אמנם לשון הרשב"א בתוה"א לא נראה כפירוש זה. דז"ל שם "ואם</w:t>
      </w:r>
      <w:r w:rsidRPr="00882F11">
        <w:rPr>
          <w:rFonts w:cs="Guttman Drogolin"/>
          <w:rtl/>
          <w:lang w:bidi="he-IL"/>
        </w:rPr>
        <w:t xml:space="preserve"> </w:t>
      </w:r>
      <w:r w:rsidRPr="00882F11">
        <w:rPr>
          <w:rFonts w:cs="Guttman Drogolin" w:hint="cs"/>
          <w:rtl/>
          <w:lang w:bidi="he-IL"/>
        </w:rPr>
        <w:t>נמחה</w:t>
      </w:r>
      <w:r w:rsidRPr="00882F11">
        <w:rPr>
          <w:rFonts w:cs="Guttman Drogolin"/>
          <w:rtl/>
          <w:lang w:bidi="he-IL"/>
        </w:rPr>
        <w:t xml:space="preserve"> </w:t>
      </w:r>
      <w:r w:rsidRPr="00882F11">
        <w:rPr>
          <w:rFonts w:cs="Guttman Drogolin" w:hint="cs"/>
          <w:rtl/>
          <w:lang w:bidi="he-IL"/>
        </w:rPr>
        <w:t>גופו</w:t>
      </w:r>
      <w:r w:rsidRPr="00882F11">
        <w:rPr>
          <w:rFonts w:cs="Guttman Drogolin"/>
          <w:rtl/>
          <w:lang w:bidi="he-IL"/>
        </w:rPr>
        <w:t xml:space="preserve"> </w:t>
      </w:r>
      <w:r w:rsidRPr="00882F11">
        <w:rPr>
          <w:rFonts w:cs="Guttman Drogolin" w:hint="cs"/>
          <w:rtl/>
          <w:lang w:bidi="he-IL"/>
        </w:rPr>
        <w:t>[של גיד] צריך</w:t>
      </w:r>
      <w:r w:rsidRPr="00882F11">
        <w:rPr>
          <w:rFonts w:cs="Guttman Drogolin"/>
          <w:rtl/>
          <w:lang w:bidi="he-IL"/>
        </w:rPr>
        <w:t xml:space="preserve"> </w:t>
      </w:r>
      <w:r w:rsidRPr="00882F11">
        <w:rPr>
          <w:rFonts w:cs="Guttman Drogolin" w:hint="cs"/>
          <w:rtl/>
          <w:lang w:bidi="he-IL"/>
        </w:rPr>
        <w:t>הוא</w:t>
      </w:r>
      <w:r w:rsidRPr="00882F11">
        <w:rPr>
          <w:rFonts w:cs="Guttman Drogolin"/>
          <w:rtl/>
          <w:lang w:bidi="he-IL"/>
        </w:rPr>
        <w:t xml:space="preserve"> </w:t>
      </w:r>
      <w:r w:rsidRPr="00882F11">
        <w:rPr>
          <w:rFonts w:cs="Guttman Drogolin" w:hint="cs"/>
          <w:rtl/>
          <w:lang w:bidi="he-IL"/>
        </w:rPr>
        <w:t>ששים</w:t>
      </w:r>
      <w:r w:rsidRPr="00882F11">
        <w:rPr>
          <w:rFonts w:cs="Guttman Drogolin"/>
          <w:rtl/>
          <w:lang w:bidi="he-IL"/>
        </w:rPr>
        <w:t xml:space="preserve"> </w:t>
      </w:r>
      <w:r w:rsidRPr="00882F11">
        <w:rPr>
          <w:rFonts w:cs="Guttman Drogolin" w:hint="cs"/>
          <w:rtl/>
          <w:lang w:bidi="he-IL"/>
        </w:rPr>
        <w:t>דאע</w:t>
      </w:r>
      <w:r w:rsidRPr="00882F11">
        <w:rPr>
          <w:rFonts w:cs="Guttman Drogolin"/>
          <w:rtl/>
          <w:lang w:bidi="he-IL"/>
        </w:rPr>
        <w:t>"</w:t>
      </w:r>
      <w:r w:rsidRPr="00882F11">
        <w:rPr>
          <w:rFonts w:cs="Guttman Drogolin" w:hint="cs"/>
          <w:rtl/>
          <w:lang w:bidi="he-IL"/>
        </w:rPr>
        <w:t>ג</w:t>
      </w:r>
      <w:r w:rsidRPr="00882F11">
        <w:rPr>
          <w:rFonts w:cs="Guttman Drogolin"/>
          <w:rtl/>
          <w:lang w:bidi="he-IL"/>
        </w:rPr>
        <w:t xml:space="preserve"> </w:t>
      </w:r>
      <w:r w:rsidRPr="00882F11">
        <w:rPr>
          <w:rFonts w:cs="Guttman Drogolin" w:hint="cs"/>
          <w:rtl/>
          <w:lang w:bidi="he-IL"/>
        </w:rPr>
        <w:t>דעץ</w:t>
      </w:r>
      <w:r w:rsidRPr="00882F11">
        <w:rPr>
          <w:rFonts w:cs="Guttman Drogolin"/>
          <w:rtl/>
          <w:lang w:bidi="he-IL"/>
        </w:rPr>
        <w:t xml:space="preserve"> </w:t>
      </w:r>
      <w:r w:rsidRPr="00882F11">
        <w:rPr>
          <w:rFonts w:cs="Guttman Drogolin" w:hint="cs"/>
          <w:rtl/>
          <w:lang w:bidi="he-IL"/>
        </w:rPr>
        <w:t>הוא</w:t>
      </w:r>
      <w:r w:rsidRPr="00882F11">
        <w:rPr>
          <w:rFonts w:cs="Guttman Drogolin"/>
          <w:rtl/>
          <w:lang w:bidi="he-IL"/>
        </w:rPr>
        <w:t xml:space="preserve"> </w:t>
      </w:r>
      <w:r w:rsidRPr="00882F11">
        <w:rPr>
          <w:rFonts w:cs="Guttman Drogolin" w:hint="cs"/>
          <w:rtl/>
          <w:lang w:bidi="he-IL"/>
        </w:rPr>
        <w:t>התורה</w:t>
      </w:r>
      <w:r w:rsidRPr="00882F11">
        <w:rPr>
          <w:rFonts w:cs="Guttman Drogolin"/>
          <w:rtl/>
          <w:lang w:bidi="he-IL"/>
        </w:rPr>
        <w:t xml:space="preserve"> </w:t>
      </w:r>
      <w:r w:rsidRPr="00882F11">
        <w:rPr>
          <w:rFonts w:cs="Guttman Drogolin" w:hint="cs"/>
          <w:rtl/>
          <w:lang w:bidi="he-IL"/>
        </w:rPr>
        <w:t>אסרתו</w:t>
      </w:r>
      <w:r w:rsidRPr="00882F11">
        <w:rPr>
          <w:rFonts w:cs="Guttman Drogolin"/>
          <w:rtl/>
          <w:lang w:bidi="he-IL"/>
        </w:rPr>
        <w:t xml:space="preserve"> </w:t>
      </w:r>
      <w:r w:rsidRPr="00882F11">
        <w:rPr>
          <w:rFonts w:cs="Guttman Drogolin" w:hint="cs"/>
          <w:rtl/>
          <w:lang w:bidi="he-IL"/>
        </w:rPr>
        <w:t>ואפשר</w:t>
      </w:r>
      <w:r w:rsidRPr="00882F11">
        <w:rPr>
          <w:rFonts w:cs="Guttman Drogolin"/>
          <w:rtl/>
          <w:lang w:bidi="he-IL"/>
        </w:rPr>
        <w:t xml:space="preserve"> </w:t>
      </w:r>
      <w:r w:rsidRPr="00882F11">
        <w:rPr>
          <w:rFonts w:cs="Guttman Drogolin" w:hint="cs"/>
          <w:rtl/>
          <w:lang w:bidi="he-IL"/>
        </w:rPr>
        <w:t>שבטל</w:t>
      </w:r>
      <w:r w:rsidRPr="00882F11">
        <w:rPr>
          <w:rFonts w:cs="Guttman Drogolin"/>
          <w:rtl/>
          <w:lang w:bidi="he-IL"/>
        </w:rPr>
        <w:t xml:space="preserve"> </w:t>
      </w:r>
      <w:r w:rsidRPr="00882F11">
        <w:rPr>
          <w:rFonts w:cs="Guttman Drogolin" w:hint="cs"/>
          <w:rtl/>
          <w:lang w:bidi="he-IL"/>
        </w:rPr>
        <w:t>ברוב</w:t>
      </w:r>
      <w:r w:rsidRPr="00882F11">
        <w:rPr>
          <w:rFonts w:cs="Guttman Drogolin"/>
          <w:rtl/>
          <w:lang w:bidi="he-IL"/>
        </w:rPr>
        <w:t xml:space="preserve"> </w:t>
      </w:r>
      <w:r w:rsidRPr="00882F11">
        <w:rPr>
          <w:rFonts w:cs="Guttman Drogolin" w:hint="cs"/>
          <w:rtl/>
          <w:lang w:bidi="he-IL"/>
        </w:rPr>
        <w:t>דכיון</w:t>
      </w:r>
      <w:r w:rsidRPr="00882F11">
        <w:rPr>
          <w:rFonts w:cs="Guttman Drogolin"/>
          <w:rtl/>
          <w:lang w:bidi="he-IL"/>
        </w:rPr>
        <w:t xml:space="preserve"> </w:t>
      </w:r>
      <w:r w:rsidRPr="00882F11">
        <w:rPr>
          <w:rFonts w:cs="Guttman Drogolin" w:hint="cs"/>
          <w:rtl/>
          <w:lang w:bidi="he-IL"/>
        </w:rPr>
        <w:t>דלעולם</w:t>
      </w:r>
      <w:r w:rsidRPr="00882F11">
        <w:rPr>
          <w:rFonts w:cs="Guttman Drogolin"/>
          <w:rtl/>
          <w:lang w:bidi="he-IL"/>
        </w:rPr>
        <w:t xml:space="preserve"> </w:t>
      </w:r>
      <w:r w:rsidRPr="00882F11">
        <w:rPr>
          <w:rFonts w:cs="Guttman Drogolin" w:hint="cs"/>
          <w:rtl/>
          <w:lang w:bidi="he-IL"/>
        </w:rPr>
        <w:t>אינו</w:t>
      </w:r>
      <w:r w:rsidRPr="00882F11">
        <w:rPr>
          <w:rFonts w:cs="Guttman Drogolin"/>
          <w:rtl/>
          <w:lang w:bidi="he-IL"/>
        </w:rPr>
        <w:t xml:space="preserve"> </w:t>
      </w:r>
      <w:r w:rsidRPr="00882F11">
        <w:rPr>
          <w:rFonts w:cs="Guttman Drogolin" w:hint="cs"/>
          <w:rtl/>
          <w:lang w:bidi="he-IL"/>
        </w:rPr>
        <w:t>נותן</w:t>
      </w:r>
      <w:r w:rsidRPr="00882F11">
        <w:rPr>
          <w:rFonts w:cs="Guttman Drogolin"/>
          <w:rtl/>
          <w:lang w:bidi="he-IL"/>
        </w:rPr>
        <w:t xml:space="preserve"> </w:t>
      </w:r>
      <w:r w:rsidRPr="00882F11">
        <w:rPr>
          <w:rFonts w:cs="Guttman Drogolin" w:hint="cs"/>
          <w:rtl/>
          <w:lang w:bidi="he-IL"/>
        </w:rPr>
        <w:t>טעם</w:t>
      </w:r>
      <w:r w:rsidRPr="00882F11">
        <w:rPr>
          <w:rFonts w:cs="Guttman Drogolin"/>
          <w:rtl/>
          <w:lang w:bidi="he-IL"/>
        </w:rPr>
        <w:t xml:space="preserve"> </w:t>
      </w:r>
      <w:r w:rsidRPr="00882F11">
        <w:rPr>
          <w:rFonts w:cs="Guttman Drogolin" w:hint="cs"/>
          <w:rtl/>
          <w:lang w:bidi="he-IL"/>
        </w:rPr>
        <w:t>ואפילו</w:t>
      </w:r>
      <w:r w:rsidRPr="00882F11">
        <w:rPr>
          <w:rFonts w:cs="Guttman Drogolin"/>
          <w:rtl/>
          <w:lang w:bidi="he-IL"/>
        </w:rPr>
        <w:t xml:space="preserve"> </w:t>
      </w:r>
      <w:r w:rsidRPr="00882F11">
        <w:rPr>
          <w:rFonts w:cs="Guttman Drogolin" w:hint="cs"/>
          <w:rtl/>
          <w:lang w:bidi="he-IL"/>
        </w:rPr>
        <w:t>בשאינו</w:t>
      </w:r>
      <w:r w:rsidRPr="00882F11">
        <w:rPr>
          <w:rFonts w:cs="Guttman Drogolin"/>
          <w:rtl/>
          <w:lang w:bidi="he-IL"/>
        </w:rPr>
        <w:t xml:space="preserve"> </w:t>
      </w:r>
      <w:r w:rsidRPr="00882F11">
        <w:rPr>
          <w:rFonts w:cs="Guttman Drogolin" w:hint="cs"/>
          <w:rtl/>
          <w:lang w:bidi="he-IL"/>
        </w:rPr>
        <w:t>מינו</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אסרוהו</w:t>
      </w:r>
      <w:r w:rsidRPr="00882F11">
        <w:rPr>
          <w:rFonts w:cs="Guttman Drogolin"/>
          <w:rtl/>
          <w:lang w:bidi="he-IL"/>
        </w:rPr>
        <w:t xml:space="preserve"> </w:t>
      </w:r>
      <w:r w:rsidRPr="00882F11">
        <w:rPr>
          <w:rFonts w:cs="Guttman Drogolin" w:hint="cs"/>
          <w:rtl/>
          <w:lang w:bidi="he-IL"/>
        </w:rPr>
        <w:t>לעולם</w:t>
      </w:r>
      <w:r w:rsidRPr="00882F11">
        <w:rPr>
          <w:rFonts w:cs="Guttman Drogolin"/>
          <w:rtl/>
          <w:lang w:bidi="he-IL"/>
        </w:rPr>
        <w:t xml:space="preserve"> </w:t>
      </w:r>
      <w:r w:rsidRPr="00882F11">
        <w:rPr>
          <w:rFonts w:cs="Guttman Drogolin" w:hint="cs"/>
          <w:rtl/>
          <w:lang w:bidi="he-IL"/>
        </w:rPr>
        <w:t>כל</w:t>
      </w:r>
      <w:r w:rsidRPr="00882F11">
        <w:rPr>
          <w:rFonts w:cs="Guttman Drogolin"/>
          <w:rtl/>
          <w:lang w:bidi="he-IL"/>
        </w:rPr>
        <w:t xml:space="preserve"> </w:t>
      </w:r>
      <w:r w:rsidRPr="00882F11">
        <w:rPr>
          <w:rFonts w:cs="Guttman Drogolin" w:hint="cs"/>
          <w:rtl/>
          <w:lang w:bidi="he-IL"/>
        </w:rPr>
        <w:t>שהוא</w:t>
      </w:r>
      <w:r w:rsidRPr="00882F11">
        <w:rPr>
          <w:rFonts w:cs="Guttman Drogolin"/>
          <w:rtl/>
          <w:lang w:bidi="he-IL"/>
        </w:rPr>
        <w:t xml:space="preserve"> </w:t>
      </w:r>
      <w:r w:rsidRPr="00882F11">
        <w:rPr>
          <w:rFonts w:cs="Guttman Drogolin" w:hint="cs"/>
          <w:rtl/>
          <w:lang w:bidi="he-IL"/>
        </w:rPr>
        <w:t>מעורב</w:t>
      </w:r>
      <w:r w:rsidRPr="00882F11">
        <w:rPr>
          <w:rFonts w:cs="Guttman Drogolin"/>
          <w:rtl/>
          <w:lang w:bidi="he-IL"/>
        </w:rPr>
        <w:t xml:space="preserve"> </w:t>
      </w:r>
      <w:r w:rsidRPr="00882F11">
        <w:rPr>
          <w:rFonts w:cs="Guttman Drogolin" w:hint="cs"/>
          <w:rtl/>
          <w:lang w:bidi="he-IL"/>
        </w:rPr>
        <w:t>ברוב</w:t>
      </w:r>
      <w:r w:rsidRPr="00882F11">
        <w:rPr>
          <w:rFonts w:cs="Guttman Drogolin"/>
          <w:rtl/>
          <w:lang w:bidi="he-IL"/>
        </w:rPr>
        <w:t xml:space="preserve"> </w:t>
      </w:r>
      <w:r w:rsidRPr="00882F11">
        <w:rPr>
          <w:rFonts w:cs="Guttman Drogolin" w:hint="cs"/>
          <w:rtl/>
          <w:lang w:bidi="he-IL"/>
        </w:rPr>
        <w:t>היתר</w:t>
      </w:r>
      <w:r w:rsidRPr="00882F11">
        <w:rPr>
          <w:rFonts w:cs="Guttman Drogolin"/>
          <w:rtl/>
          <w:lang w:bidi="he-IL"/>
        </w:rPr>
        <w:t xml:space="preserve"> </w:t>
      </w:r>
      <w:r w:rsidRPr="00882F11">
        <w:rPr>
          <w:rFonts w:cs="Guttman Drogolin" w:hint="cs"/>
          <w:rtl/>
          <w:lang w:bidi="he-IL"/>
        </w:rPr>
        <w:t>ואינו</w:t>
      </w:r>
      <w:r w:rsidRPr="00882F11">
        <w:rPr>
          <w:rFonts w:cs="Guttman Drogolin"/>
          <w:rtl/>
          <w:lang w:bidi="he-IL"/>
        </w:rPr>
        <w:t xml:space="preserve"> </w:t>
      </w:r>
      <w:r w:rsidRPr="00882F11">
        <w:rPr>
          <w:rFonts w:cs="Guttman Drogolin" w:hint="cs"/>
          <w:rtl/>
          <w:lang w:bidi="he-IL"/>
        </w:rPr>
        <w:t>דומה</w:t>
      </w:r>
      <w:r w:rsidRPr="00882F11">
        <w:rPr>
          <w:rFonts w:cs="Guttman Drogolin"/>
          <w:rtl/>
          <w:lang w:bidi="he-IL"/>
        </w:rPr>
        <w:t xml:space="preserve"> </w:t>
      </w:r>
      <w:r w:rsidRPr="00882F11">
        <w:rPr>
          <w:rFonts w:cs="Guttman Drogolin" w:hint="cs"/>
          <w:rtl/>
          <w:lang w:bidi="he-IL"/>
        </w:rPr>
        <w:t>לשאר</w:t>
      </w:r>
      <w:r w:rsidRPr="00882F11">
        <w:rPr>
          <w:rFonts w:cs="Guttman Drogolin"/>
          <w:rtl/>
          <w:lang w:bidi="he-IL"/>
        </w:rPr>
        <w:t xml:space="preserve"> </w:t>
      </w:r>
      <w:r w:rsidRPr="00882F11">
        <w:rPr>
          <w:rFonts w:cs="Guttman Drogolin" w:hint="cs"/>
          <w:rtl/>
          <w:lang w:bidi="he-IL"/>
        </w:rPr>
        <w:t>האיסורין</w:t>
      </w:r>
      <w:r w:rsidRPr="00882F11">
        <w:rPr>
          <w:rFonts w:cs="Guttman Drogolin"/>
          <w:rtl/>
          <w:lang w:bidi="he-IL"/>
        </w:rPr>
        <w:t xml:space="preserve"> </w:t>
      </w:r>
      <w:r w:rsidRPr="00882F11">
        <w:rPr>
          <w:rFonts w:cs="Guttman Drogolin" w:hint="cs"/>
          <w:rtl/>
          <w:lang w:bidi="he-IL"/>
        </w:rPr>
        <w:t>שהצריכוהו</w:t>
      </w:r>
      <w:r w:rsidRPr="00882F11">
        <w:rPr>
          <w:rFonts w:cs="Guttman Drogolin"/>
          <w:rtl/>
          <w:lang w:bidi="he-IL"/>
        </w:rPr>
        <w:t xml:space="preserve"> </w:t>
      </w:r>
      <w:r w:rsidRPr="00882F11">
        <w:rPr>
          <w:rFonts w:cs="Guttman Drogolin" w:hint="cs"/>
          <w:rtl/>
          <w:lang w:bidi="he-IL"/>
        </w:rPr>
        <w:t>ששים</w:t>
      </w:r>
      <w:r w:rsidRPr="00882F11">
        <w:rPr>
          <w:rFonts w:cs="Guttman Drogolin"/>
          <w:rtl/>
          <w:lang w:bidi="he-IL"/>
        </w:rPr>
        <w:t xml:space="preserve"> </w:t>
      </w:r>
      <w:r w:rsidRPr="00882F11">
        <w:rPr>
          <w:rFonts w:cs="Guttman Drogolin" w:hint="cs"/>
          <w:rtl/>
          <w:lang w:bidi="he-IL"/>
        </w:rPr>
        <w:t>לבטלן</w:t>
      </w:r>
      <w:r w:rsidRPr="00882F11">
        <w:rPr>
          <w:rFonts w:cs="Guttman Drogolin"/>
          <w:rtl/>
          <w:lang w:bidi="he-IL"/>
        </w:rPr>
        <w:t xml:space="preserve"> </w:t>
      </w:r>
      <w:r w:rsidRPr="00882F11">
        <w:rPr>
          <w:rFonts w:cs="Guttman Drogolin" w:hint="cs"/>
          <w:rtl/>
          <w:lang w:bidi="he-IL"/>
        </w:rPr>
        <w:t>ואפילו</w:t>
      </w:r>
      <w:r w:rsidRPr="00882F11">
        <w:rPr>
          <w:rFonts w:cs="Guttman Drogolin"/>
          <w:rtl/>
          <w:lang w:bidi="he-IL"/>
        </w:rPr>
        <w:t xml:space="preserve"> </w:t>
      </w:r>
      <w:r w:rsidRPr="00882F11">
        <w:rPr>
          <w:rFonts w:cs="Guttman Drogolin" w:hint="cs"/>
          <w:rtl/>
          <w:lang w:bidi="he-IL"/>
        </w:rPr>
        <w:t>במינן</w:t>
      </w:r>
      <w:r w:rsidRPr="00882F11">
        <w:rPr>
          <w:rFonts w:cs="Guttman Drogolin"/>
          <w:rtl/>
          <w:lang w:bidi="he-IL"/>
        </w:rPr>
        <w:t xml:space="preserve"> </w:t>
      </w:r>
      <w:r w:rsidRPr="00882F11">
        <w:rPr>
          <w:rFonts w:cs="Guttman Drogolin" w:hint="cs"/>
          <w:rtl/>
          <w:lang w:bidi="he-IL"/>
        </w:rPr>
        <w:t>דהתם</w:t>
      </w:r>
      <w:r w:rsidRPr="00882F11">
        <w:rPr>
          <w:rFonts w:cs="Guttman Drogolin"/>
          <w:rtl/>
          <w:lang w:bidi="he-IL"/>
        </w:rPr>
        <w:t xml:space="preserve"> </w:t>
      </w:r>
      <w:r w:rsidRPr="00882F11">
        <w:rPr>
          <w:rFonts w:cs="Guttman Drogolin" w:hint="cs"/>
          <w:rtl/>
          <w:lang w:bidi="he-IL"/>
        </w:rPr>
        <w:t>הוא</w:t>
      </w:r>
      <w:r w:rsidRPr="00882F11">
        <w:rPr>
          <w:rFonts w:cs="Guttman Drogolin"/>
          <w:rtl/>
          <w:lang w:bidi="he-IL"/>
        </w:rPr>
        <w:t xml:space="preserve"> </w:t>
      </w:r>
      <w:r w:rsidRPr="00882F11">
        <w:rPr>
          <w:rFonts w:cs="Guttman Drogolin" w:hint="cs"/>
          <w:rtl/>
          <w:lang w:bidi="he-IL"/>
        </w:rPr>
        <w:t>דאסרו</w:t>
      </w:r>
      <w:r w:rsidRPr="00882F11">
        <w:rPr>
          <w:rFonts w:cs="Guttman Drogolin"/>
          <w:rtl/>
          <w:lang w:bidi="he-IL"/>
        </w:rPr>
        <w:t xml:space="preserve"> </w:t>
      </w:r>
      <w:r w:rsidRPr="00882F11">
        <w:rPr>
          <w:rFonts w:cs="Guttman Drogolin" w:hint="cs"/>
          <w:rtl/>
          <w:lang w:bidi="he-IL"/>
        </w:rPr>
        <w:t>מינו</w:t>
      </w:r>
      <w:r w:rsidRPr="00882F11">
        <w:rPr>
          <w:rFonts w:cs="Guttman Drogolin"/>
          <w:rtl/>
          <w:lang w:bidi="he-IL"/>
        </w:rPr>
        <w:t xml:space="preserve"> </w:t>
      </w:r>
      <w:r w:rsidRPr="00882F11">
        <w:rPr>
          <w:rFonts w:cs="Guttman Drogolin" w:hint="cs"/>
          <w:rtl/>
          <w:lang w:bidi="he-IL"/>
        </w:rPr>
        <w:t>משום</w:t>
      </w:r>
      <w:r w:rsidRPr="00882F11">
        <w:rPr>
          <w:rFonts w:cs="Guttman Drogolin"/>
          <w:rtl/>
          <w:lang w:bidi="he-IL"/>
        </w:rPr>
        <w:t xml:space="preserve"> </w:t>
      </w:r>
      <w:r w:rsidRPr="00882F11">
        <w:rPr>
          <w:rFonts w:cs="Guttman Drogolin" w:hint="cs"/>
          <w:rtl/>
          <w:lang w:bidi="he-IL"/>
        </w:rPr>
        <w:t>דכנגדו</w:t>
      </w:r>
      <w:r w:rsidRPr="00882F11">
        <w:rPr>
          <w:rFonts w:cs="Guttman Drogolin"/>
          <w:rtl/>
          <w:lang w:bidi="he-IL"/>
        </w:rPr>
        <w:t xml:space="preserve"> </w:t>
      </w:r>
      <w:r w:rsidRPr="00882F11">
        <w:rPr>
          <w:rFonts w:cs="Guttman Drogolin" w:hint="cs"/>
          <w:rtl/>
          <w:lang w:bidi="he-IL"/>
        </w:rPr>
        <w:t>בשאינו</w:t>
      </w:r>
      <w:r w:rsidRPr="00882F11">
        <w:rPr>
          <w:rFonts w:cs="Guttman Drogolin"/>
          <w:rtl/>
          <w:lang w:bidi="he-IL"/>
        </w:rPr>
        <w:t xml:space="preserve"> </w:t>
      </w:r>
      <w:r w:rsidRPr="00882F11">
        <w:rPr>
          <w:rFonts w:cs="Guttman Drogolin" w:hint="cs"/>
          <w:rtl/>
          <w:lang w:bidi="he-IL"/>
        </w:rPr>
        <w:t>מינו</w:t>
      </w:r>
      <w:r w:rsidRPr="00882F11">
        <w:rPr>
          <w:rFonts w:cs="Guttman Drogolin"/>
          <w:rtl/>
          <w:lang w:bidi="he-IL"/>
        </w:rPr>
        <w:t xml:space="preserve"> </w:t>
      </w:r>
      <w:r w:rsidRPr="00882F11">
        <w:rPr>
          <w:rFonts w:cs="Guttman Drogolin" w:hint="cs"/>
          <w:rtl/>
          <w:lang w:bidi="he-IL"/>
        </w:rPr>
        <w:t>נותן</w:t>
      </w:r>
      <w:r w:rsidRPr="00882F11">
        <w:rPr>
          <w:rFonts w:cs="Guttman Drogolin"/>
          <w:rtl/>
          <w:lang w:bidi="he-IL"/>
        </w:rPr>
        <w:t xml:space="preserve"> </w:t>
      </w:r>
      <w:r w:rsidRPr="00882F11">
        <w:rPr>
          <w:rFonts w:cs="Guttman Drogolin" w:hint="cs"/>
          <w:rtl/>
          <w:lang w:bidi="he-IL"/>
        </w:rPr>
        <w:t>טעם</w:t>
      </w:r>
      <w:r w:rsidRPr="00882F11">
        <w:rPr>
          <w:rFonts w:cs="Guttman Drogolin"/>
          <w:rtl/>
          <w:lang w:bidi="he-IL"/>
        </w:rPr>
        <w:t xml:space="preserve"> </w:t>
      </w:r>
      <w:r w:rsidRPr="00882F11">
        <w:rPr>
          <w:rFonts w:cs="Guttman Drogolin" w:hint="cs"/>
          <w:rtl/>
          <w:lang w:bidi="he-IL"/>
        </w:rPr>
        <w:t>אבל</w:t>
      </w:r>
      <w:r w:rsidRPr="00882F11">
        <w:rPr>
          <w:rFonts w:cs="Guttman Drogolin"/>
          <w:rtl/>
          <w:lang w:bidi="he-IL"/>
        </w:rPr>
        <w:t xml:space="preserve"> </w:t>
      </w:r>
      <w:r w:rsidRPr="00882F11">
        <w:rPr>
          <w:rFonts w:cs="Guttman Drogolin" w:hint="cs"/>
          <w:rtl/>
          <w:lang w:bidi="he-IL"/>
        </w:rPr>
        <w:t>כאן</w:t>
      </w:r>
      <w:r w:rsidRPr="00882F11">
        <w:rPr>
          <w:rFonts w:cs="Guttman Drogolin"/>
          <w:rtl/>
          <w:lang w:bidi="he-IL"/>
        </w:rPr>
        <w:t xml:space="preserve"> </w:t>
      </w:r>
      <w:r w:rsidRPr="00882F11">
        <w:rPr>
          <w:rFonts w:cs="Guttman Drogolin" w:hint="cs"/>
          <w:rtl/>
          <w:lang w:bidi="he-IL"/>
        </w:rPr>
        <w:t>שאינו</w:t>
      </w:r>
      <w:r w:rsidRPr="00882F11">
        <w:rPr>
          <w:rFonts w:cs="Guttman Drogolin"/>
          <w:rtl/>
          <w:lang w:bidi="he-IL"/>
        </w:rPr>
        <w:t xml:space="preserve"> </w:t>
      </w:r>
      <w:r w:rsidRPr="00882F11">
        <w:rPr>
          <w:rFonts w:cs="Guttman Drogolin" w:hint="cs"/>
          <w:rtl/>
          <w:lang w:bidi="he-IL"/>
        </w:rPr>
        <w:t>נותן</w:t>
      </w:r>
      <w:r w:rsidRPr="00882F11">
        <w:rPr>
          <w:rFonts w:cs="Guttman Drogolin"/>
          <w:rtl/>
          <w:lang w:bidi="he-IL"/>
        </w:rPr>
        <w:t xml:space="preserve"> </w:t>
      </w:r>
      <w:r w:rsidRPr="00882F11">
        <w:rPr>
          <w:rFonts w:cs="Guttman Drogolin" w:hint="cs"/>
          <w:rtl/>
          <w:lang w:bidi="he-IL"/>
        </w:rPr>
        <w:t>טעם</w:t>
      </w:r>
      <w:r w:rsidRPr="00882F11">
        <w:rPr>
          <w:rFonts w:cs="Guttman Drogolin"/>
          <w:rtl/>
          <w:lang w:bidi="he-IL"/>
        </w:rPr>
        <w:t xml:space="preserve"> </w:t>
      </w:r>
      <w:r w:rsidRPr="00882F11">
        <w:rPr>
          <w:rFonts w:cs="Guttman Drogolin" w:hint="cs"/>
          <w:rtl/>
          <w:lang w:bidi="he-IL"/>
        </w:rPr>
        <w:t>כלל</w:t>
      </w:r>
      <w:r w:rsidRPr="00882F11">
        <w:rPr>
          <w:rFonts w:cs="Guttman Drogolin"/>
          <w:rtl/>
          <w:lang w:bidi="he-IL"/>
        </w:rPr>
        <w:t xml:space="preserve"> </w:t>
      </w:r>
      <w:r w:rsidRPr="00882F11">
        <w:rPr>
          <w:rFonts w:cs="Guttman Drogolin" w:hint="cs"/>
          <w:rtl/>
          <w:lang w:bidi="he-IL"/>
        </w:rPr>
        <w:t>ואפילו</w:t>
      </w:r>
      <w:r w:rsidRPr="00882F11">
        <w:rPr>
          <w:rFonts w:cs="Guttman Drogolin"/>
          <w:rtl/>
          <w:lang w:bidi="he-IL"/>
        </w:rPr>
        <w:t xml:space="preserve"> </w:t>
      </w:r>
      <w:r w:rsidRPr="00882F11">
        <w:rPr>
          <w:rFonts w:cs="Guttman Drogolin" w:hint="cs"/>
          <w:rtl/>
          <w:lang w:bidi="he-IL"/>
        </w:rPr>
        <w:t>בשאינו</w:t>
      </w:r>
      <w:r w:rsidRPr="00882F11">
        <w:rPr>
          <w:rFonts w:cs="Guttman Drogolin"/>
          <w:rtl/>
          <w:lang w:bidi="he-IL"/>
        </w:rPr>
        <w:t xml:space="preserve"> </w:t>
      </w:r>
      <w:r w:rsidRPr="00882F11">
        <w:rPr>
          <w:rFonts w:cs="Guttman Drogolin" w:hint="cs"/>
          <w:rtl/>
          <w:lang w:bidi="he-IL"/>
        </w:rPr>
        <w:t>מינו</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החמירו</w:t>
      </w:r>
      <w:r w:rsidRPr="00882F11">
        <w:rPr>
          <w:rFonts w:cs="Guttman Drogolin"/>
          <w:rtl/>
          <w:lang w:bidi="he-IL"/>
        </w:rPr>
        <w:t xml:space="preserve"> </w:t>
      </w:r>
      <w:r w:rsidRPr="00882F11">
        <w:rPr>
          <w:rFonts w:cs="Guttman Drogolin" w:hint="cs"/>
          <w:rtl/>
          <w:lang w:bidi="he-IL"/>
        </w:rPr>
        <w:t>עליו</w:t>
      </w:r>
      <w:r w:rsidRPr="00882F11">
        <w:rPr>
          <w:rFonts w:cs="Guttman Drogolin"/>
          <w:rtl/>
          <w:lang w:bidi="he-IL"/>
        </w:rPr>
        <w:t xml:space="preserve"> </w:t>
      </w:r>
      <w:r w:rsidRPr="00882F11">
        <w:rPr>
          <w:rFonts w:cs="Guttman Drogolin" w:hint="cs"/>
          <w:rtl/>
          <w:lang w:bidi="he-IL"/>
        </w:rPr>
        <w:t>והעמידוהו</w:t>
      </w:r>
      <w:r w:rsidRPr="00882F11">
        <w:rPr>
          <w:rFonts w:cs="Guttman Drogolin"/>
          <w:rtl/>
          <w:lang w:bidi="he-IL"/>
        </w:rPr>
        <w:t xml:space="preserve"> </w:t>
      </w:r>
      <w:r w:rsidRPr="00882F11">
        <w:rPr>
          <w:rFonts w:cs="Guttman Drogolin" w:hint="cs"/>
          <w:rtl/>
          <w:lang w:bidi="he-IL"/>
        </w:rPr>
        <w:t>על</w:t>
      </w:r>
      <w:r w:rsidRPr="00882F11">
        <w:rPr>
          <w:rFonts w:cs="Guttman Drogolin"/>
          <w:rtl/>
          <w:lang w:bidi="he-IL"/>
        </w:rPr>
        <w:t xml:space="preserve"> </w:t>
      </w:r>
      <w:r w:rsidRPr="00882F11">
        <w:rPr>
          <w:rFonts w:cs="Guttman Drogolin" w:hint="cs"/>
          <w:rtl/>
          <w:lang w:bidi="he-IL"/>
        </w:rPr>
        <w:t>דינו</w:t>
      </w:r>
      <w:r w:rsidRPr="00882F11">
        <w:rPr>
          <w:rFonts w:cs="Guttman Drogolin"/>
          <w:rtl/>
          <w:lang w:bidi="he-IL"/>
        </w:rPr>
        <w:t xml:space="preserve"> </w:t>
      </w:r>
      <w:r w:rsidRPr="00882F11">
        <w:rPr>
          <w:rFonts w:cs="Guttman Drogolin" w:hint="cs"/>
          <w:rtl/>
          <w:lang w:bidi="he-IL"/>
        </w:rPr>
        <w:t>לבטלו</w:t>
      </w:r>
      <w:r w:rsidRPr="00882F11">
        <w:rPr>
          <w:rFonts w:cs="Guttman Drogolin"/>
          <w:rtl/>
          <w:lang w:bidi="he-IL"/>
        </w:rPr>
        <w:t xml:space="preserve"> </w:t>
      </w:r>
      <w:r w:rsidRPr="00882F11">
        <w:rPr>
          <w:rFonts w:cs="Guttman Drogolin" w:hint="cs"/>
          <w:rtl/>
          <w:lang w:bidi="he-IL"/>
        </w:rPr>
        <w:t>ברוב</w:t>
      </w:r>
      <w:r w:rsidR="00820718" w:rsidRPr="00882F11">
        <w:rPr>
          <w:rFonts w:cs="Guttman Drogolin" w:hint="cs"/>
          <w:rtl/>
          <w:lang w:bidi="he-IL"/>
        </w:rPr>
        <w:t>". הרי דלא משמע כלל שיש לו ספק אם יש כאן היכר טעם או לא. רק שהסתפק דאולי יש לאסור אע"ג שאין טעם דומיא דמין במינו</w:t>
      </w:r>
      <w:r w:rsidR="00CB6567" w:rsidRPr="00882F11">
        <w:rPr>
          <w:rStyle w:val="FootnoteReference"/>
          <w:rFonts w:cs="Guttman Drogolin"/>
          <w:rtl/>
          <w:lang w:bidi="he-IL"/>
        </w:rPr>
        <w:footnoteReference w:id="354"/>
      </w:r>
      <w:r w:rsidR="00820718" w:rsidRPr="00882F11">
        <w:rPr>
          <w:rFonts w:cs="Guttman Drogolin" w:hint="cs"/>
          <w:rtl/>
          <w:lang w:bidi="he-IL"/>
        </w:rPr>
        <w:t xml:space="preserve"> שהחמירו בה להצריך ס', או"ד לא גזרו כמו במין במינו אלא בדבר שנותן טעם </w:t>
      </w:r>
      <w:r w:rsidR="00C1505C" w:rsidRPr="00882F11">
        <w:rPr>
          <w:rFonts w:cs="Guttman Drogolin" w:hint="cs"/>
          <w:rtl/>
          <w:lang w:bidi="he-IL"/>
        </w:rPr>
        <w:t>ב</w:t>
      </w:r>
      <w:r w:rsidR="00820718" w:rsidRPr="00882F11">
        <w:rPr>
          <w:rFonts w:cs="Guttman Drogolin" w:hint="cs"/>
          <w:rtl/>
          <w:lang w:bidi="he-IL"/>
        </w:rPr>
        <w:t xml:space="preserve">מק"א, אבל לעולם אין היכר טעם כלל. וכן באמת משמע מלשון "עץ הוא והתורה אסרתו" (ע"ש בחולין צ"ב ע"ב) שאין כאן שום טעם. </w:t>
      </w:r>
      <w:r w:rsidR="00C1505C" w:rsidRPr="00882F11">
        <w:rPr>
          <w:rFonts w:cs="Guttman Drogolin" w:hint="cs"/>
          <w:rtl/>
          <w:lang w:bidi="he-IL"/>
        </w:rPr>
        <w:t xml:space="preserve">והא דלא הסתפק הרשב"א אם גזרו להצריך ס' כשאין בה אלא טעמו אע"ג שבמין במינו גזרו גם אטעמו, נראה שזה הי' פשוט דכיון שעץ בעלמא הוא לא אמרינן טכ"ע ולכן ליכא חפצא דאיסורא כלל ולכן אין מקום לגזור. רק בנימוח הגיד שיש חפצא דאיסורא רק שאין טעם יש להסתפק. וע' גם מהר חלאוה למס' פסחים כ"ב שג"כ הביא קושיית הרשב"א דמהו כל המחלוקת אם יש בגידין בנ"ט או לא, וע"ש מה שתי' (בשם </w:t>
      </w:r>
      <w:r w:rsidR="00C1505C" w:rsidRPr="00882F11">
        <w:rPr>
          <w:rFonts w:cs="Guttman Drogolin" w:hint="cs"/>
          <w:rtl/>
          <w:lang w:bidi="he-IL"/>
        </w:rPr>
        <w:lastRenderedPageBreak/>
        <w:t xml:space="preserve">הרשב"א), וברור שם שאין הפירוש שנחלקו באם לטעם קלוש יש דין טעם או לא. </w:t>
      </w:r>
    </w:p>
    <w:p w:rsidR="00680499" w:rsidRPr="00882F11" w:rsidRDefault="00680499" w:rsidP="00680499">
      <w:pPr>
        <w:pStyle w:val="Heading1"/>
        <w:bidi/>
        <w:spacing w:before="0" w:line="360" w:lineRule="auto"/>
        <w:jc w:val="center"/>
        <w:rPr>
          <w:rFonts w:cs="Guttman Drogolin"/>
          <w:color w:val="auto"/>
          <w:sz w:val="24"/>
          <w:szCs w:val="24"/>
          <w:u w:val="single"/>
          <w:rtl/>
          <w:lang w:bidi="he-IL"/>
        </w:rPr>
      </w:pPr>
      <w:bookmarkStart w:id="337" w:name="_Toc496175588"/>
      <w:r w:rsidRPr="00882F11">
        <w:rPr>
          <w:rFonts w:cs="Guttman Drogolin" w:hint="cs"/>
          <w:color w:val="auto"/>
          <w:sz w:val="24"/>
          <w:szCs w:val="24"/>
          <w:u w:val="single"/>
          <w:rtl/>
          <w:lang w:bidi="he-IL"/>
        </w:rPr>
        <w:t>ג' תולעים</w:t>
      </w:r>
      <w:bookmarkEnd w:id="337"/>
    </w:p>
    <w:p w:rsidR="000F3F19" w:rsidRPr="00882F11" w:rsidRDefault="002D214C" w:rsidP="000F3F19">
      <w:pPr>
        <w:tabs>
          <w:tab w:val="right" w:pos="7497"/>
        </w:tabs>
        <w:bidi/>
        <w:jc w:val="both"/>
        <w:rPr>
          <w:rFonts w:cs="Guttman Drogolin"/>
          <w:rtl/>
          <w:lang w:bidi="he-IL"/>
        </w:rPr>
      </w:pPr>
      <w:r>
        <w:rPr>
          <w:rFonts w:cs="Guttman Drogolin"/>
          <w:rtl/>
          <w:lang w:bidi="he-IL"/>
        </w:rPr>
        <w:fldChar w:fldCharType="begin"/>
      </w:r>
      <w:r>
        <w:instrText xml:space="preserve"> XE "</w:instrText>
      </w:r>
      <w:r w:rsidRPr="005A3B35">
        <w:rPr>
          <w:rFonts w:hint="cs"/>
          <w:rtl/>
          <w:lang w:bidi="he-IL"/>
        </w:rPr>
        <w:instrText>תולעים</w:instrText>
      </w:r>
      <w:r w:rsidRPr="005A3B35">
        <w:rPr>
          <w:rtl/>
        </w:rPr>
        <w:instrText>:</w:instrText>
      </w:r>
      <w:r w:rsidRPr="005A3B35">
        <w:rPr>
          <w:rFonts w:hint="cs"/>
          <w:rtl/>
          <w:lang w:bidi="he-IL"/>
        </w:rPr>
        <w:instrText>כשמצאו שלשה</w:instrText>
      </w:r>
      <w:r>
        <w:instrText xml:space="preserve">" </w:instrText>
      </w:r>
      <w:r>
        <w:rPr>
          <w:rFonts w:cs="Guttman Drogolin"/>
          <w:rtl/>
          <w:lang w:bidi="he-IL"/>
        </w:rPr>
        <w:fldChar w:fldCharType="end"/>
      </w:r>
      <w:r w:rsidR="00680499" w:rsidRPr="00882F11">
        <w:rPr>
          <w:rFonts w:cs="Guttman Drogolin" w:hint="cs"/>
          <w:rtl/>
          <w:lang w:bidi="he-IL"/>
        </w:rPr>
        <w:t>כתב הב"י בשם שו"ת הרשב"א (סי' קי"ג) שירקות</w:t>
      </w:r>
      <w:r w:rsidR="00680499" w:rsidRPr="00882F11">
        <w:rPr>
          <w:rFonts w:cs="Guttman Drogolin"/>
          <w:rtl/>
          <w:lang w:bidi="he-IL"/>
        </w:rPr>
        <w:t xml:space="preserve"> </w:t>
      </w:r>
      <w:r w:rsidR="00680499" w:rsidRPr="00882F11">
        <w:rPr>
          <w:rFonts w:cs="Guttman Drogolin" w:hint="cs"/>
          <w:rtl/>
          <w:lang w:bidi="he-IL"/>
        </w:rPr>
        <w:t>אחר</w:t>
      </w:r>
      <w:r w:rsidR="00680499" w:rsidRPr="00882F11">
        <w:rPr>
          <w:rFonts w:cs="Guttman Drogolin"/>
          <w:rtl/>
          <w:lang w:bidi="he-IL"/>
        </w:rPr>
        <w:t xml:space="preserve"> </w:t>
      </w:r>
      <w:r w:rsidR="00680499" w:rsidRPr="00882F11">
        <w:rPr>
          <w:rFonts w:cs="Guttman Drogolin" w:hint="cs"/>
          <w:rtl/>
          <w:lang w:bidi="he-IL"/>
        </w:rPr>
        <w:t>שנתבשלו</w:t>
      </w:r>
      <w:r w:rsidR="00680499" w:rsidRPr="00882F11">
        <w:rPr>
          <w:rFonts w:cs="Guttman Drogolin"/>
          <w:rtl/>
          <w:lang w:bidi="he-IL"/>
        </w:rPr>
        <w:t xml:space="preserve"> </w:t>
      </w:r>
      <w:r w:rsidR="00680499" w:rsidRPr="00882F11">
        <w:rPr>
          <w:rFonts w:cs="Guttman Drogolin" w:hint="cs"/>
          <w:rtl/>
          <w:lang w:bidi="he-IL"/>
        </w:rPr>
        <w:t>אם נמצאו</w:t>
      </w:r>
      <w:r w:rsidR="00680499" w:rsidRPr="00882F11">
        <w:rPr>
          <w:rFonts w:cs="Guttman Drogolin"/>
          <w:rtl/>
          <w:lang w:bidi="he-IL"/>
        </w:rPr>
        <w:t xml:space="preserve"> </w:t>
      </w:r>
      <w:r w:rsidR="00680499" w:rsidRPr="00882F11">
        <w:rPr>
          <w:rFonts w:cs="Guttman Drogolin" w:hint="cs"/>
          <w:rtl/>
          <w:lang w:bidi="he-IL"/>
        </w:rPr>
        <w:t>בהם</w:t>
      </w:r>
      <w:r w:rsidR="00680499" w:rsidRPr="00882F11">
        <w:rPr>
          <w:rFonts w:cs="Guttman Drogolin"/>
          <w:rtl/>
          <w:lang w:bidi="he-IL"/>
        </w:rPr>
        <w:t xml:space="preserve"> </w:t>
      </w:r>
      <w:r w:rsidR="00680499" w:rsidRPr="00882F11">
        <w:rPr>
          <w:rFonts w:cs="Guttman Drogolin" w:hint="cs"/>
          <w:rtl/>
          <w:lang w:bidi="he-IL"/>
        </w:rPr>
        <w:t>שלשה</w:t>
      </w:r>
      <w:r w:rsidR="00680499" w:rsidRPr="00882F11">
        <w:rPr>
          <w:rFonts w:cs="Guttman Drogolin"/>
          <w:rtl/>
          <w:lang w:bidi="he-IL"/>
        </w:rPr>
        <w:t xml:space="preserve"> </w:t>
      </w:r>
      <w:r w:rsidR="00680499" w:rsidRPr="00882F11">
        <w:rPr>
          <w:rFonts w:cs="Guttman Drogolin" w:hint="cs"/>
          <w:rtl/>
          <w:lang w:bidi="he-IL"/>
        </w:rPr>
        <w:t>תולעים</w:t>
      </w:r>
      <w:r w:rsidR="00680499" w:rsidRPr="00882F11">
        <w:rPr>
          <w:rFonts w:cs="Guttman Drogolin"/>
          <w:rtl/>
          <w:lang w:bidi="he-IL"/>
        </w:rPr>
        <w:t xml:space="preserve"> </w:t>
      </w:r>
      <w:r w:rsidR="00680499" w:rsidRPr="00882F11">
        <w:rPr>
          <w:rFonts w:cs="Guttman Drogolin" w:hint="cs"/>
          <w:rtl/>
          <w:lang w:bidi="he-IL"/>
        </w:rPr>
        <w:t>הירקות</w:t>
      </w:r>
      <w:r w:rsidR="00680499" w:rsidRPr="00882F11">
        <w:rPr>
          <w:rFonts w:cs="Guttman Drogolin"/>
          <w:rtl/>
          <w:lang w:bidi="he-IL"/>
        </w:rPr>
        <w:t xml:space="preserve"> </w:t>
      </w:r>
      <w:r w:rsidR="00680499" w:rsidRPr="00882F11">
        <w:rPr>
          <w:rFonts w:cs="Guttman Drogolin" w:hint="cs"/>
          <w:rtl/>
          <w:lang w:bidi="he-IL"/>
        </w:rPr>
        <w:t>אסורים</w:t>
      </w:r>
      <w:r w:rsidR="00680499" w:rsidRPr="00882F11">
        <w:rPr>
          <w:rFonts w:cs="Guttman Drogolin"/>
          <w:rtl/>
          <w:lang w:bidi="he-IL"/>
        </w:rPr>
        <w:t xml:space="preserve"> </w:t>
      </w:r>
      <w:r w:rsidR="00680499" w:rsidRPr="00882F11">
        <w:rPr>
          <w:rFonts w:cs="Guttman Drogolin" w:hint="cs"/>
          <w:rtl/>
          <w:lang w:bidi="he-IL"/>
        </w:rPr>
        <w:t>כיון</w:t>
      </w:r>
      <w:r w:rsidR="00680499" w:rsidRPr="00882F11">
        <w:rPr>
          <w:rFonts w:cs="Guttman Drogolin"/>
          <w:rtl/>
          <w:lang w:bidi="he-IL"/>
        </w:rPr>
        <w:t xml:space="preserve"> </w:t>
      </w:r>
      <w:r w:rsidR="00680499" w:rsidRPr="00882F11">
        <w:rPr>
          <w:rFonts w:cs="Guttman Drogolin" w:hint="cs"/>
          <w:rtl/>
          <w:lang w:bidi="he-IL"/>
        </w:rPr>
        <w:t>שהוחזקו</w:t>
      </w:r>
      <w:r w:rsidR="00680499" w:rsidRPr="00882F11">
        <w:rPr>
          <w:rFonts w:cs="Guttman Drogolin"/>
          <w:rtl/>
          <w:lang w:bidi="he-IL"/>
        </w:rPr>
        <w:t xml:space="preserve"> </w:t>
      </w:r>
      <w:r w:rsidR="00680499" w:rsidRPr="00882F11">
        <w:rPr>
          <w:rFonts w:cs="Guttman Drogolin" w:hint="cs"/>
          <w:rtl/>
          <w:lang w:bidi="he-IL"/>
        </w:rPr>
        <w:t>ירקות</w:t>
      </w:r>
      <w:r w:rsidR="00680499" w:rsidRPr="00882F11">
        <w:rPr>
          <w:rFonts w:cs="Guttman Drogolin"/>
          <w:rtl/>
          <w:lang w:bidi="he-IL"/>
        </w:rPr>
        <w:t xml:space="preserve"> </w:t>
      </w:r>
      <w:r w:rsidR="00680499" w:rsidRPr="00882F11">
        <w:rPr>
          <w:rFonts w:cs="Guttman Drogolin" w:hint="cs"/>
          <w:rtl/>
          <w:lang w:bidi="he-IL"/>
        </w:rPr>
        <w:t>אלו</w:t>
      </w:r>
      <w:r w:rsidR="00680499" w:rsidRPr="00882F11">
        <w:rPr>
          <w:rFonts w:cs="Guttman Drogolin"/>
          <w:rtl/>
          <w:lang w:bidi="he-IL"/>
        </w:rPr>
        <w:t xml:space="preserve"> </w:t>
      </w:r>
      <w:r w:rsidR="00680499" w:rsidRPr="00882F11">
        <w:rPr>
          <w:rFonts w:cs="Guttman Drogolin" w:hint="cs"/>
          <w:rtl/>
          <w:lang w:bidi="he-IL"/>
        </w:rPr>
        <w:t xml:space="preserve">בתולעים, וכן פסק השו"ע כאן בסוף הסימן. ומבואר שהוא כמו כל חזקת ג' פעמים </w:t>
      </w:r>
      <w:r w:rsidR="000F3F19" w:rsidRPr="00882F11">
        <w:rPr>
          <w:rFonts w:cs="Guttman Drogolin" w:hint="cs"/>
          <w:rtl/>
          <w:lang w:bidi="he-IL"/>
        </w:rPr>
        <w:t>כגון שור המועד ווסתות וכדומה. והנה בחזקת ג' פעמים, לכאורה צריכים ג' אירועים שוניים כדי שיחשב חזקה. ולמשל בכגון שור המועד, אם יגח פרה המעוברת עם תאומים, לא יעלה על דעת אדם שנחשב השור מיד כשור המועד משום שהרי נגח ג' פרות, דהא פשוט דבעינן ג' נגיחות ולא ג' פרים. ומשו"ה הי' חידוש בשבילי לומר שע"י מציאת ג' תולעים יחשב מוחזק בתולעים, דלכאורה אין זה ריבוי פעמים רק ריבוי כמות. וחזינן שאינו כן רק כיון שיש ג' אמרינן יש בכולו (ואולי י"ל דר"ל שמצאו תולעים בג' מקומות ולכן כל המקומות של הירקות מוחזקות בתולעים.</w:t>
      </w:r>
    </w:p>
    <w:p w:rsidR="005A1391" w:rsidRPr="00882F11" w:rsidRDefault="000F3F19" w:rsidP="000F3F19">
      <w:pPr>
        <w:tabs>
          <w:tab w:val="right" w:pos="7497"/>
        </w:tabs>
        <w:bidi/>
        <w:jc w:val="both"/>
        <w:rPr>
          <w:rFonts w:cs="Guttman Drogolin"/>
          <w:rtl/>
          <w:lang w:bidi="he-IL"/>
        </w:rPr>
      </w:pPr>
      <w:r w:rsidRPr="00882F11">
        <w:rPr>
          <w:rFonts w:cs="Guttman Drogolin" w:hint="cs"/>
          <w:rtl/>
          <w:lang w:bidi="he-IL"/>
        </w:rPr>
        <w:t xml:space="preserve">והט"ז בסי' פ"ד </w:t>
      </w:r>
      <w:r w:rsidR="007F1854" w:rsidRPr="00882F11">
        <w:rPr>
          <w:rFonts w:cs="Guttman Drogolin" w:hint="cs"/>
          <w:rtl/>
          <w:lang w:bidi="he-IL"/>
        </w:rPr>
        <w:t xml:space="preserve">ס"ק ט"ז </w:t>
      </w:r>
      <w:r w:rsidRPr="00882F11">
        <w:rPr>
          <w:rFonts w:cs="Guttman Drogolin" w:hint="cs"/>
          <w:rtl/>
          <w:lang w:bidi="he-IL"/>
        </w:rPr>
        <w:t xml:space="preserve">וכן המג"א בסי' תס"ז </w:t>
      </w:r>
      <w:r w:rsidR="007F1854" w:rsidRPr="00882F11">
        <w:rPr>
          <w:rFonts w:cs="Guttman Drogolin" w:hint="cs"/>
          <w:rtl/>
          <w:lang w:bidi="he-IL"/>
        </w:rPr>
        <w:t>ס"ק י"ב (בשם הט"ז) הביאו ממהרש"ל שאם התולעים באו מעלמא אין חזקה. ולכאורה טעמו שבכל חזקה ציך להיות טעם לחזקה לומר שהוא מוחזק, וכנראה סבר שאין כזה טבע שאם בא תולעת א' מעלמא גם אחרים באו מעלמא, דמה ענין זה אצל זה. ושם בחק יעקב ס"ק כ"ה חלק שגם באתו מעלמא יש חזקה. ויל"ע מנהו יסוד המחלוקת ביניהם. וצ"ע. ובמ"ב שם לא הכריע בהדיא היכי קיי"ל.</w:t>
      </w:r>
      <w:r w:rsidRPr="00882F11">
        <w:rPr>
          <w:rFonts w:cs="Guttman Drogolin" w:hint="cs"/>
          <w:rtl/>
          <w:lang w:bidi="he-IL"/>
        </w:rPr>
        <w:t xml:space="preserve"> </w:t>
      </w:r>
      <w:r w:rsidR="00680499" w:rsidRPr="00882F11">
        <w:rPr>
          <w:rFonts w:cs="Guttman Drogolin"/>
          <w:rtl/>
          <w:lang w:bidi="he-IL"/>
        </w:rPr>
        <w:t xml:space="preserve"> </w:t>
      </w:r>
      <w:r w:rsidR="00680499" w:rsidRPr="00882F11">
        <w:rPr>
          <w:rFonts w:cs="Guttman Drogolin" w:hint="cs"/>
          <w:rtl/>
          <w:lang w:bidi="he-IL"/>
        </w:rPr>
        <w:t xml:space="preserve"> </w:t>
      </w:r>
      <w:r w:rsidR="00C1505C" w:rsidRPr="00882F11">
        <w:rPr>
          <w:rFonts w:cs="Guttman Drogolin" w:hint="cs"/>
          <w:rtl/>
          <w:lang w:bidi="he-IL"/>
        </w:rPr>
        <w:t xml:space="preserve"> </w:t>
      </w:r>
    </w:p>
    <w:p w:rsidR="00432457" w:rsidRPr="00882F11" w:rsidRDefault="00432457" w:rsidP="00432457">
      <w:pPr>
        <w:tabs>
          <w:tab w:val="right" w:pos="7497"/>
        </w:tabs>
        <w:bidi/>
        <w:jc w:val="both"/>
        <w:rPr>
          <w:rFonts w:cs="Guttman Drogolin"/>
          <w:rtl/>
          <w:lang w:bidi="he-IL"/>
        </w:rPr>
        <w:sectPr w:rsidR="00432457" w:rsidRPr="00882F11" w:rsidSect="00891DE2">
          <w:type w:val="continuous"/>
          <w:pgSz w:w="11907" w:h="16839" w:code="9"/>
          <w:pgMar w:top="1440" w:right="1440" w:bottom="1440" w:left="1440" w:header="720" w:footer="720" w:gutter="0"/>
          <w:cols w:num="2" w:space="720"/>
          <w:bidi/>
          <w:docGrid w:linePitch="360"/>
        </w:sectPr>
      </w:pPr>
    </w:p>
    <w:p w:rsidR="00432457" w:rsidRPr="00891DE2" w:rsidRDefault="00432457" w:rsidP="00432457">
      <w:pPr>
        <w:keepNext/>
        <w:tabs>
          <w:tab w:val="left" w:pos="3818"/>
          <w:tab w:val="center" w:pos="4680"/>
        </w:tabs>
        <w:bidi/>
        <w:jc w:val="center"/>
        <w:rPr>
          <w:rFonts w:cs="Guttman Drogolin"/>
          <w:b/>
          <w:bCs/>
          <w:sz w:val="48"/>
          <w:szCs w:val="48"/>
          <w:rtl/>
          <w:lang w:bidi="he-IL"/>
        </w:rPr>
      </w:pPr>
      <w:r w:rsidRPr="00891DE2">
        <w:rPr>
          <w:rFonts w:cs="Guttman Drogolin" w:hint="cs"/>
          <w:b/>
          <w:bCs/>
          <w:sz w:val="48"/>
          <w:szCs w:val="48"/>
          <w:rtl/>
          <w:lang w:bidi="he-IL"/>
        </w:rPr>
        <w:lastRenderedPageBreak/>
        <w:t>שיעור פ"ד</w:t>
      </w:r>
    </w:p>
    <w:p w:rsidR="00891DE2" w:rsidRDefault="00891DE2" w:rsidP="00DD3DDB">
      <w:pPr>
        <w:pStyle w:val="Heading1"/>
        <w:bidi/>
        <w:spacing w:before="0" w:line="360" w:lineRule="auto"/>
        <w:jc w:val="center"/>
        <w:rPr>
          <w:rFonts w:cs="Guttman Drogolin"/>
          <w:color w:val="auto"/>
          <w:sz w:val="24"/>
          <w:szCs w:val="24"/>
          <w:u w:val="single"/>
          <w:rtl/>
          <w:lang w:bidi="he-IL"/>
        </w:rPr>
        <w:sectPr w:rsidR="00891DE2" w:rsidSect="00891DE2">
          <w:headerReference w:type="default" r:id="rId65"/>
          <w:pgSz w:w="11907" w:h="16839" w:code="9"/>
          <w:pgMar w:top="1440" w:right="1440" w:bottom="1440" w:left="1440" w:header="720" w:footer="720" w:gutter="0"/>
          <w:cols w:space="720"/>
          <w:bidi/>
          <w:docGrid w:linePitch="360"/>
        </w:sectPr>
      </w:pPr>
    </w:p>
    <w:p w:rsidR="00432457" w:rsidRPr="00891DE2" w:rsidRDefault="00432457" w:rsidP="00891DE2">
      <w:pPr>
        <w:pStyle w:val="Heading1"/>
        <w:bidi/>
        <w:spacing w:before="0" w:line="240" w:lineRule="auto"/>
        <w:jc w:val="center"/>
        <w:rPr>
          <w:rFonts w:cs="Guttman Drogolin"/>
          <w:color w:val="auto"/>
          <w:sz w:val="24"/>
          <w:szCs w:val="24"/>
          <w:u w:val="single"/>
          <w:rtl/>
          <w:lang w:bidi="he-IL"/>
        </w:rPr>
      </w:pPr>
      <w:bookmarkStart w:id="338" w:name="_Toc496175589"/>
      <w:r w:rsidRPr="00891DE2">
        <w:rPr>
          <w:rFonts w:cs="Guttman Drogolin" w:hint="cs"/>
          <w:color w:val="auto"/>
          <w:sz w:val="24"/>
          <w:szCs w:val="24"/>
          <w:u w:val="single"/>
          <w:rtl/>
          <w:lang w:bidi="he-IL"/>
        </w:rPr>
        <w:lastRenderedPageBreak/>
        <w:t xml:space="preserve">גדר הדין שחתיכה הראוי' להתכבד </w:t>
      </w:r>
      <w:r w:rsidR="00DD3DDB" w:rsidRPr="00891DE2">
        <w:rPr>
          <w:rFonts w:cs="Guttman Drogolin" w:hint="cs"/>
          <w:color w:val="auto"/>
          <w:sz w:val="24"/>
          <w:szCs w:val="24"/>
          <w:u w:val="single"/>
          <w:rtl/>
          <w:lang w:bidi="he-IL"/>
        </w:rPr>
        <w:t xml:space="preserve">בה לפני האורחים </w:t>
      </w:r>
      <w:r w:rsidRPr="00891DE2">
        <w:rPr>
          <w:rFonts w:cs="Guttman Drogolin" w:hint="cs"/>
          <w:color w:val="auto"/>
          <w:sz w:val="24"/>
          <w:szCs w:val="24"/>
          <w:u w:val="single"/>
          <w:rtl/>
          <w:lang w:bidi="he-IL"/>
        </w:rPr>
        <w:t>לא בטלה</w:t>
      </w:r>
      <w:bookmarkEnd w:id="338"/>
    </w:p>
    <w:p w:rsidR="00415BC2" w:rsidRPr="00882F11" w:rsidRDefault="002D214C" w:rsidP="00415BC2">
      <w:pPr>
        <w:tabs>
          <w:tab w:val="right" w:pos="7497"/>
        </w:tabs>
        <w:bidi/>
        <w:jc w:val="both"/>
        <w:rPr>
          <w:rFonts w:cs="Guttman Drogolin"/>
          <w:rtl/>
          <w:lang w:bidi="he-IL"/>
        </w:rPr>
      </w:pPr>
      <w:r>
        <w:rPr>
          <w:rFonts w:cs="Guttman Drogolin"/>
          <w:rtl/>
          <w:lang w:bidi="he-IL"/>
        </w:rPr>
        <w:fldChar w:fldCharType="begin"/>
      </w:r>
      <w:r>
        <w:instrText xml:space="preserve"> XE "</w:instrText>
      </w:r>
      <w:r w:rsidRPr="00423D04">
        <w:rPr>
          <w:rFonts w:hint="cs"/>
          <w:rtl/>
          <w:lang w:bidi="he-IL"/>
        </w:rPr>
        <w:instrText>חתיכה הראוי' להתכבד</w:instrText>
      </w:r>
      <w:r w:rsidRPr="00423D04">
        <w:rPr>
          <w:rtl/>
        </w:rPr>
        <w:instrText>:</w:instrText>
      </w:r>
      <w:r w:rsidRPr="00423D04">
        <w:rPr>
          <w:rFonts w:hint="cs"/>
          <w:rtl/>
          <w:lang w:bidi="he-IL"/>
        </w:rPr>
        <w:instrText>גדר חומרתה</w:instrText>
      </w:r>
      <w:r>
        <w:instrText xml:space="preserve">" </w:instrText>
      </w:r>
      <w:r>
        <w:rPr>
          <w:rFonts w:cs="Guttman Drogolin"/>
          <w:rtl/>
          <w:lang w:bidi="he-IL"/>
        </w:rPr>
        <w:fldChar w:fldCharType="end"/>
      </w:r>
      <w:r w:rsidR="00432457" w:rsidRPr="00882F11">
        <w:rPr>
          <w:rFonts w:cs="Guttman Drogolin" w:hint="cs"/>
          <w:rtl/>
          <w:lang w:bidi="he-IL"/>
        </w:rPr>
        <w:t xml:space="preserve">מסברא הי' אפשר לומר שחתיכה </w:t>
      </w:r>
      <w:r w:rsidR="00415BC2" w:rsidRPr="00882F11">
        <w:rPr>
          <w:rFonts w:cs="Guttman Drogolin" w:hint="cs"/>
          <w:rtl/>
          <w:lang w:bidi="he-IL"/>
        </w:rPr>
        <w:t xml:space="preserve">אם </w:t>
      </w:r>
      <w:r w:rsidR="00432457" w:rsidRPr="00882F11">
        <w:rPr>
          <w:rFonts w:cs="Guttman Drogolin" w:hint="cs"/>
          <w:rtl/>
          <w:lang w:bidi="he-IL"/>
        </w:rPr>
        <w:t xml:space="preserve">ראוי' לתכבד </w:t>
      </w:r>
      <w:r w:rsidR="00415BC2" w:rsidRPr="00882F11">
        <w:rPr>
          <w:rFonts w:cs="Guttman Drogolin" w:hint="cs"/>
          <w:rtl/>
          <w:lang w:bidi="he-IL"/>
        </w:rPr>
        <w:t xml:space="preserve">לפני האורחים </w:t>
      </w:r>
      <w:r w:rsidR="00432457" w:rsidRPr="00882F11">
        <w:rPr>
          <w:rFonts w:cs="Guttman Drogolin" w:hint="cs"/>
          <w:rtl/>
          <w:lang w:bidi="he-IL"/>
        </w:rPr>
        <w:t xml:space="preserve">נמדדת לפי החפצא של החתיכה ולא לפי הדינים שחלו עלי'. </w:t>
      </w:r>
      <w:r w:rsidR="005C624C" w:rsidRPr="00882F11">
        <w:rPr>
          <w:rFonts w:cs="Guttman Drogolin" w:hint="cs"/>
          <w:rtl/>
          <w:lang w:bidi="he-IL"/>
        </w:rPr>
        <w:t>אמנם</w:t>
      </w:r>
      <w:r w:rsidR="00415BC2" w:rsidRPr="00882F11">
        <w:rPr>
          <w:rFonts w:cs="Guttman Drogolin"/>
          <w:lang w:bidi="he-IL"/>
        </w:rPr>
        <w:t xml:space="preserve"> </w:t>
      </w:r>
      <w:r w:rsidR="00415BC2" w:rsidRPr="00882F11">
        <w:rPr>
          <w:rFonts w:cs="Guttman Drogolin" w:hint="cs"/>
          <w:rtl/>
          <w:lang w:bidi="he-IL"/>
        </w:rPr>
        <w:t>מוכח במס' יבמות דף פ"א ע"ב שגם אם אינה רואי' להתכבד משום הדינים שעלי' ג"כ אינה ראוי' להתכבד, דשם מבואר שיש לחלק בין חתיכת חטאת טמאה שנתערבה בטהורות שבטל לחטיכת חטאת טהורה שנתערבה בחולין שלא בטלה, והטעם משום שהחולין ראוי' להתכבד בה לפני האורחים ולא מטאת טהורה. ומשו"ה חידשו הראשונים שהדין דאע"ג שדיניו עושים אותו ראוי' או אינה ראוי' להתכבד, מ"מ כל זה בדינין שלאחר הביטול, אבל דינו לפני הביטול לא עושהו אינה ראוי' להתכבד. ומשו"ה חתיכת בבב"ח נחשבת ראוי' להתכבד אע"פ שהיא אסורה בהנאה.</w:t>
      </w:r>
    </w:p>
    <w:p w:rsidR="00432457" w:rsidRPr="00882F11" w:rsidRDefault="00415BC2" w:rsidP="00DD3DDB">
      <w:pPr>
        <w:tabs>
          <w:tab w:val="right" w:pos="7497"/>
        </w:tabs>
        <w:bidi/>
        <w:jc w:val="both"/>
        <w:rPr>
          <w:rFonts w:cs="Guttman Drogolin"/>
          <w:rtl/>
          <w:lang w:bidi="he-IL"/>
        </w:rPr>
      </w:pPr>
      <w:r w:rsidRPr="00882F11">
        <w:rPr>
          <w:rFonts w:cs="Guttman Drogolin" w:hint="cs"/>
          <w:rtl/>
          <w:lang w:bidi="he-IL"/>
        </w:rPr>
        <w:t xml:space="preserve">והנה לכאורה דבר זה אינו מובן, דהנה לכאורה טעם הדין דחתיכה הראוי' להתכבד בה לפני האורחין אינה בטילה משום שהחשיבות של החתיכה מונע את הביטול (מדרבנן). א"כ עד כמה שהחשיבות של החתיכה היא המונעת את הביטול, לכאורה צריכים לדון על הדין של החתיכה בפני עצמה, ולא בענין שיהי' לאחר הביטול. </w:t>
      </w:r>
      <w:r w:rsidR="00DD3DDB" w:rsidRPr="00882F11">
        <w:rPr>
          <w:rFonts w:cs="Guttman Drogolin" w:hint="cs"/>
          <w:rtl/>
          <w:lang w:bidi="he-IL"/>
        </w:rPr>
        <w:t xml:space="preserve">ולדוגמא, מה יהא הדין בחתיכה שכשמסתכלים עלה בפני עצמה ראוי' היא להתכבד, אבל ביחד עם חתיכות אחרות אינה נחשבת ראוי' להתכבד (אם יצויר שיהי' כה"ג), האם גם בכה"ג יתבטל. ויתכן שהתשובה היא דאה"נ שגם כה"ג יורד ממנו החשיבות של ראוי' להתכבד. אלא דא"כ לכאורה גם חמץ בפסח יתבטל בששים כיון שלאחר הביטול לא יהא עליו שם חמץ, וממיילא יכולה היא להתבטל בששים. </w:t>
      </w:r>
    </w:p>
    <w:p w:rsidR="00DD3DDB" w:rsidRPr="00882F11" w:rsidRDefault="00DD3DDB" w:rsidP="00DD3DDB">
      <w:pPr>
        <w:tabs>
          <w:tab w:val="right" w:pos="7497"/>
        </w:tabs>
        <w:bidi/>
        <w:jc w:val="both"/>
        <w:rPr>
          <w:rFonts w:cs="Guttman Drogolin"/>
          <w:rtl/>
          <w:lang w:bidi="he-IL"/>
        </w:rPr>
      </w:pPr>
      <w:r w:rsidRPr="00882F11">
        <w:rPr>
          <w:rFonts w:cs="Guttman Drogolin" w:hint="cs"/>
          <w:rtl/>
          <w:lang w:bidi="he-IL"/>
        </w:rPr>
        <w:t xml:space="preserve">וחשבתי אולי בדרך אפשר לומר שהדין שחתיכה הראוי' להתכבד אינה בטילה אינו משום שהחשיבות שבו אינו נותן לו להתבטל, אלא שלא </w:t>
      </w:r>
      <w:r w:rsidRPr="00882F11">
        <w:rPr>
          <w:rFonts w:cs="Guttman Drogolin" w:hint="cs"/>
          <w:rtl/>
          <w:lang w:bidi="he-IL"/>
        </w:rPr>
        <w:lastRenderedPageBreak/>
        <w:t>רצו לסמוך על הביטול בדבר חשוב כמו חתיכה הראוי' להתכבד. ויל"ע בזה.</w:t>
      </w:r>
    </w:p>
    <w:p w:rsidR="00DD3DDB" w:rsidRPr="00891DE2" w:rsidRDefault="00DD3DDB" w:rsidP="00DD3DDB">
      <w:pPr>
        <w:pStyle w:val="Heading1"/>
        <w:bidi/>
        <w:spacing w:before="0" w:line="360" w:lineRule="auto"/>
        <w:jc w:val="center"/>
        <w:rPr>
          <w:rFonts w:cs="Guttman Drogolin"/>
          <w:color w:val="auto"/>
          <w:sz w:val="18"/>
          <w:szCs w:val="18"/>
          <w:u w:val="single"/>
          <w:rtl/>
          <w:lang w:bidi="he-IL"/>
        </w:rPr>
      </w:pPr>
      <w:bookmarkStart w:id="339" w:name="_Toc496175590"/>
      <w:r w:rsidRPr="00891DE2">
        <w:rPr>
          <w:rFonts w:cs="Guttman Drogolin" w:hint="cs"/>
          <w:color w:val="auto"/>
          <w:sz w:val="18"/>
          <w:szCs w:val="18"/>
          <w:u w:val="single"/>
          <w:rtl/>
          <w:lang w:bidi="he-IL"/>
        </w:rPr>
        <w:t>אם יש קשר בין הדין דחענ"ן לדין חתיכה הראוי' להתכבד</w:t>
      </w:r>
      <w:bookmarkEnd w:id="339"/>
    </w:p>
    <w:p w:rsidR="00812267" w:rsidRPr="00882F11" w:rsidRDefault="002D214C" w:rsidP="00EE7E5E">
      <w:pPr>
        <w:tabs>
          <w:tab w:val="right" w:pos="7497"/>
        </w:tabs>
        <w:bidi/>
        <w:jc w:val="both"/>
        <w:rPr>
          <w:rFonts w:cs="Guttman Drogolin"/>
          <w:rtl/>
          <w:lang w:bidi="he-IL"/>
        </w:rPr>
      </w:pPr>
      <w:r>
        <w:rPr>
          <w:rFonts w:cs="Guttman Drogolin"/>
          <w:rtl/>
          <w:lang w:bidi="he-IL"/>
        </w:rPr>
        <w:fldChar w:fldCharType="begin"/>
      </w:r>
      <w:r>
        <w:instrText xml:space="preserve"> XE "</w:instrText>
      </w:r>
      <w:r w:rsidRPr="00022F01">
        <w:rPr>
          <w:rFonts w:hint="cs"/>
          <w:rtl/>
          <w:lang w:bidi="he-IL"/>
        </w:rPr>
        <w:instrText>חענ</w:instrText>
      </w:r>
      <w:r>
        <w:rPr>
          <w:rFonts w:eastAsiaTheme="minorEastAsia"/>
          <w:lang w:bidi="he-IL"/>
        </w:rPr>
        <w:instrText>\</w:instrText>
      </w:r>
      <w:r w:rsidRPr="00022F01">
        <w:rPr>
          <w:rFonts w:hint="cs"/>
          <w:rtl/>
          <w:lang w:bidi="he-IL"/>
        </w:rPr>
        <w:instrText>"ן בשאר איסורים</w:instrText>
      </w:r>
      <w:r w:rsidRPr="00022F01">
        <w:rPr>
          <w:rtl/>
        </w:rPr>
        <w:instrText>:</w:instrText>
      </w:r>
      <w:r w:rsidRPr="00022F01">
        <w:rPr>
          <w:rFonts w:hint="cs"/>
          <w:rtl/>
          <w:lang w:bidi="he-IL"/>
        </w:rPr>
        <w:instrText>אם חשוב חתיכה הראוי' להתכבד</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D16C1F">
        <w:rPr>
          <w:rFonts w:hint="cs"/>
          <w:rtl/>
          <w:lang w:bidi="he-IL"/>
        </w:rPr>
        <w:instrText>חתיכה הראוי' להתכבד</w:instrText>
      </w:r>
      <w:r w:rsidRPr="00D16C1F">
        <w:rPr>
          <w:rtl/>
        </w:rPr>
        <w:instrText>:</w:instrText>
      </w:r>
      <w:r w:rsidRPr="00D16C1F">
        <w:rPr>
          <w:rFonts w:hint="cs"/>
          <w:rtl/>
          <w:lang w:bidi="he-IL"/>
        </w:rPr>
        <w:instrText>בחתיכה שנאסרה מדין חענ</w:instrText>
      </w:r>
      <w:r>
        <w:rPr>
          <w:rFonts w:eastAsiaTheme="minorEastAsia"/>
          <w:lang w:bidi="he-IL"/>
        </w:rPr>
        <w:instrText>\</w:instrText>
      </w:r>
      <w:r w:rsidRPr="00D16C1F">
        <w:rPr>
          <w:rFonts w:hint="cs"/>
          <w:rtl/>
          <w:lang w:bidi="he-IL"/>
        </w:rPr>
        <w:instrText>"ן</w:instrText>
      </w:r>
      <w:r>
        <w:instrText xml:space="preserve">" </w:instrText>
      </w:r>
      <w:r>
        <w:rPr>
          <w:rFonts w:cs="Guttman Drogolin"/>
          <w:rtl/>
          <w:lang w:bidi="he-IL"/>
        </w:rPr>
        <w:fldChar w:fldCharType="end"/>
      </w:r>
      <w:r w:rsidR="00DD3DDB" w:rsidRPr="00882F11">
        <w:rPr>
          <w:rFonts w:cs="Guttman Drogolin" w:hint="cs"/>
          <w:rtl/>
          <w:lang w:bidi="he-IL"/>
        </w:rPr>
        <w:t xml:space="preserve">הראשונים מדגישים שכל דבר שאיסורו מחמת עצמו יכול להיות חתיכה הראוי' להתכבד, אבל חתיכת היתר שבלע איסור, אע"פ שאסור לאכול את כולו אינו חשוב אסור מחמת עצמו אפילו למ"ד דאמרינן חענ"ן בשאר איסורים. ובביאור הגר"א </w:t>
      </w:r>
      <w:r w:rsidR="00EE7E5E" w:rsidRPr="00882F11">
        <w:rPr>
          <w:rFonts w:cs="Guttman Drogolin" w:hint="cs"/>
          <w:rtl/>
          <w:lang w:bidi="he-IL"/>
        </w:rPr>
        <w:t xml:space="preserve">ס"ק ז' ציין לדברי התוס' </w:t>
      </w:r>
      <w:r w:rsidR="00DD3DDB" w:rsidRPr="00882F11">
        <w:rPr>
          <w:rFonts w:cs="Guttman Drogolin" w:hint="cs"/>
          <w:rtl/>
          <w:lang w:bidi="he-IL"/>
        </w:rPr>
        <w:t>בדף ק"ח ע"ב</w:t>
      </w:r>
      <w:r w:rsidR="00EE7E5E" w:rsidRPr="00882F11">
        <w:rPr>
          <w:rFonts w:cs="Guttman Drogolin" w:hint="cs"/>
          <w:rtl/>
          <w:lang w:bidi="he-IL"/>
        </w:rPr>
        <w:t>, ויתכן שכוונתו דכיון שמבואר שם שמלח שבלע דם בטל בס' אע"ג שהמלח נאסר ונעשית נבילה ומשום שאין כח לנאסר לאסור יותר מן האוסר אותו, הרי שמבואר שאין המלח אסור בעצם</w:t>
      </w:r>
      <w:r w:rsidR="00DD3DDB" w:rsidRPr="00882F11">
        <w:rPr>
          <w:rFonts w:cs="Guttman Drogolin" w:hint="cs"/>
          <w:rtl/>
          <w:lang w:bidi="he-IL"/>
        </w:rPr>
        <w:t>.</w:t>
      </w:r>
      <w:r w:rsidR="00EE7E5E" w:rsidRPr="00882F11">
        <w:rPr>
          <w:rFonts w:cs="Guttman Drogolin" w:hint="cs"/>
          <w:rtl/>
          <w:lang w:bidi="he-IL"/>
        </w:rPr>
        <w:t xml:space="preserve"> </w:t>
      </w:r>
    </w:p>
    <w:p w:rsidR="007E4167" w:rsidRPr="00882F11" w:rsidRDefault="00B91273" w:rsidP="007E4167">
      <w:pPr>
        <w:tabs>
          <w:tab w:val="right" w:pos="7497"/>
        </w:tabs>
        <w:bidi/>
        <w:jc w:val="both"/>
        <w:rPr>
          <w:rFonts w:cs="Guttman Drogolin"/>
          <w:rtl/>
          <w:lang w:bidi="he-IL"/>
        </w:rPr>
      </w:pPr>
      <w:r w:rsidRPr="00882F11">
        <w:rPr>
          <w:rFonts w:cs="Guttman Drogolin" w:hint="cs"/>
          <w:rtl/>
          <w:lang w:bidi="he-IL"/>
        </w:rPr>
        <w:t xml:space="preserve">ולפי הראשונים הנ"ל מבואר ששייך שיהא הדין במאכל שנעשית נבילה ומ"מ לא הוי חהר"ל. אבל כאן יל"ע אם שייך גם להיפך, שיהא חהר"ל אע"ג שאין חענ"ן. והנה </w:t>
      </w:r>
      <w:r w:rsidR="00812267" w:rsidRPr="00882F11">
        <w:rPr>
          <w:rFonts w:cs="Guttman Drogolin" w:hint="cs"/>
          <w:rtl/>
          <w:lang w:bidi="he-IL"/>
        </w:rPr>
        <w:t>מבואר בראשונים דכל הנ</w:t>
      </w:r>
      <w:r w:rsidRPr="00882F11">
        <w:rPr>
          <w:rFonts w:cs="Guttman Drogolin" w:hint="cs"/>
          <w:rtl/>
          <w:lang w:bidi="he-IL"/>
        </w:rPr>
        <w:t xml:space="preserve">"ל הוא חוץ מבשר שנאסר בחלב, אבל בשר בחלב יש לו דין חהר"ל כיון שהוא אסור מכח עצמו. ובב"י מן המרדכי מדוייק שכן הדין בבשר שנמלח עם חלב. וא"כ יל"ע שהרי מבואר לשיטת הרמב"ם </w:t>
      </w:r>
      <w:r w:rsidR="007E4167" w:rsidRPr="00882F11">
        <w:rPr>
          <w:rFonts w:cs="Guttman Drogolin" w:hint="cs"/>
          <w:rtl/>
          <w:lang w:bidi="he-IL"/>
        </w:rPr>
        <w:t>שבשר עוף בחלב לא אמרינן חענ"ן. ומבואר לכאורה לשיטתו שאפילו בבב"ח לא אמרינן חענ"ן אלא בבב"ח דאורייתא, אבל בבב"ח דרבנן לא. ואם דברי הרמב"ם מוסכמים, לכאורה דברי המרדכי צ"ע, דהא בשר שנמלח בחלב אינו דאורייתא, דדרך בישול אסרה תורה, וא"כ אי בעינן לי' לדין חענ"ן לומר דהוי חהר"ל הא אין כאן חענ"ן. וצריכים לומר א' מהשתים, או דלא בעינן לי' לחענ"ן לומר שהוא אסור מחמת עצמו ובכלל דינא דחהר"ל, או"ד שהמרדכי חלק על הרמב"ם וסבר שגם בבב"ח דרבנן אמרינן חענ"ן.</w:t>
      </w:r>
    </w:p>
    <w:p w:rsidR="004D3536" w:rsidRPr="00882F11" w:rsidRDefault="007E4167" w:rsidP="00B04448">
      <w:pPr>
        <w:tabs>
          <w:tab w:val="right" w:pos="7497"/>
        </w:tabs>
        <w:bidi/>
        <w:jc w:val="both"/>
        <w:rPr>
          <w:rFonts w:cs="Guttman Drogolin"/>
          <w:rtl/>
          <w:lang w:bidi="he-IL"/>
        </w:rPr>
      </w:pPr>
      <w:r w:rsidRPr="00882F11">
        <w:rPr>
          <w:rFonts w:cs="Guttman Drogolin" w:hint="cs"/>
          <w:rtl/>
          <w:lang w:bidi="he-IL"/>
        </w:rPr>
        <w:t>ואנחנו מוצאים לש"ך (ס"ק ו') שכתב במפורש ששייך דינא דחהר"ל אפילו בבב"ח דלא אמרינן בי' חענ"ן. דהנה</w:t>
      </w:r>
      <w:r w:rsidR="00334893" w:rsidRPr="00882F11">
        <w:rPr>
          <w:rFonts w:cs="Guttman Drogolin" w:hint="cs"/>
          <w:rtl/>
          <w:lang w:bidi="he-IL"/>
        </w:rPr>
        <w:t xml:space="preserve"> כתב הרמ"א בסע' ב' שכל</w:t>
      </w:r>
      <w:r w:rsidR="00334893" w:rsidRPr="00882F11">
        <w:rPr>
          <w:rFonts w:cs="Guttman Drogolin"/>
          <w:rtl/>
          <w:lang w:bidi="he-IL"/>
        </w:rPr>
        <w:t xml:space="preserve"> </w:t>
      </w:r>
      <w:r w:rsidR="00334893" w:rsidRPr="00882F11">
        <w:rPr>
          <w:rFonts w:cs="Guttman Drogolin" w:hint="cs"/>
          <w:rtl/>
          <w:lang w:bidi="he-IL"/>
        </w:rPr>
        <w:t>חתיכה</w:t>
      </w:r>
      <w:r w:rsidR="00334893" w:rsidRPr="00882F11">
        <w:rPr>
          <w:rFonts w:cs="Guttman Drogolin"/>
          <w:rtl/>
          <w:lang w:bidi="he-IL"/>
        </w:rPr>
        <w:t xml:space="preserve"> </w:t>
      </w:r>
      <w:r w:rsidR="00334893" w:rsidRPr="00882F11">
        <w:rPr>
          <w:rFonts w:cs="Guttman Drogolin" w:hint="cs"/>
          <w:rtl/>
          <w:lang w:bidi="he-IL"/>
        </w:rPr>
        <w:t>שלא</w:t>
      </w:r>
      <w:r w:rsidR="00334893" w:rsidRPr="00882F11">
        <w:rPr>
          <w:rFonts w:cs="Guttman Drogolin"/>
          <w:rtl/>
          <w:lang w:bidi="he-IL"/>
        </w:rPr>
        <w:t xml:space="preserve"> </w:t>
      </w:r>
      <w:r w:rsidR="00334893" w:rsidRPr="00882F11">
        <w:rPr>
          <w:rFonts w:cs="Guttman Drogolin" w:hint="cs"/>
          <w:rtl/>
          <w:lang w:bidi="he-IL"/>
        </w:rPr>
        <w:t>נאסרה</w:t>
      </w:r>
      <w:r w:rsidR="00334893" w:rsidRPr="00882F11">
        <w:rPr>
          <w:rFonts w:cs="Guttman Drogolin"/>
          <w:rtl/>
          <w:lang w:bidi="he-IL"/>
        </w:rPr>
        <w:t xml:space="preserve"> </w:t>
      </w:r>
      <w:r w:rsidR="00334893" w:rsidRPr="00882F11">
        <w:rPr>
          <w:rFonts w:cs="Guttman Drogolin" w:hint="cs"/>
          <w:rtl/>
          <w:lang w:bidi="he-IL"/>
        </w:rPr>
        <w:t>רק</w:t>
      </w:r>
      <w:r w:rsidR="00334893" w:rsidRPr="00882F11">
        <w:rPr>
          <w:rFonts w:cs="Guttman Drogolin"/>
          <w:rtl/>
          <w:lang w:bidi="he-IL"/>
        </w:rPr>
        <w:t xml:space="preserve"> </w:t>
      </w:r>
      <w:r w:rsidR="00334893" w:rsidRPr="00882F11">
        <w:rPr>
          <w:rFonts w:cs="Guttman Drogolin" w:hint="cs"/>
          <w:rtl/>
          <w:lang w:bidi="he-IL"/>
        </w:rPr>
        <w:t>כדי</w:t>
      </w:r>
      <w:r w:rsidR="00334893" w:rsidRPr="00882F11">
        <w:rPr>
          <w:rFonts w:cs="Guttman Drogolin"/>
          <w:rtl/>
          <w:lang w:bidi="he-IL"/>
        </w:rPr>
        <w:t xml:space="preserve"> </w:t>
      </w:r>
      <w:r w:rsidR="00334893" w:rsidRPr="00882F11">
        <w:rPr>
          <w:rFonts w:cs="Guttman Drogolin" w:hint="cs"/>
          <w:rtl/>
          <w:lang w:bidi="he-IL"/>
        </w:rPr>
        <w:t>קליפה</w:t>
      </w:r>
      <w:r w:rsidR="00334893" w:rsidRPr="00882F11">
        <w:rPr>
          <w:rFonts w:cs="Guttman Drogolin"/>
          <w:rtl/>
          <w:lang w:bidi="he-IL"/>
        </w:rPr>
        <w:t xml:space="preserve"> </w:t>
      </w:r>
      <w:r w:rsidR="00334893" w:rsidRPr="00882F11">
        <w:rPr>
          <w:rFonts w:cs="Guttman Drogolin" w:hint="cs"/>
          <w:rtl/>
          <w:lang w:bidi="he-IL"/>
        </w:rPr>
        <w:t>בטלה</w:t>
      </w:r>
      <w:r w:rsidR="00334893" w:rsidRPr="00882F11">
        <w:rPr>
          <w:rFonts w:cs="Guttman Drogolin"/>
          <w:rtl/>
          <w:lang w:bidi="he-IL"/>
        </w:rPr>
        <w:t xml:space="preserve"> </w:t>
      </w:r>
      <w:r w:rsidR="00334893" w:rsidRPr="00882F11">
        <w:rPr>
          <w:rFonts w:cs="Guttman Drogolin" w:hint="cs"/>
          <w:rtl/>
          <w:lang w:bidi="he-IL"/>
        </w:rPr>
        <w:t>דהרי</w:t>
      </w:r>
      <w:r w:rsidR="00334893" w:rsidRPr="00882F11">
        <w:rPr>
          <w:rFonts w:cs="Guttman Drogolin"/>
          <w:rtl/>
          <w:lang w:bidi="he-IL"/>
        </w:rPr>
        <w:t xml:space="preserve"> </w:t>
      </w:r>
      <w:r w:rsidR="00334893" w:rsidRPr="00882F11">
        <w:rPr>
          <w:rFonts w:cs="Guttman Drogolin" w:hint="cs"/>
          <w:rtl/>
          <w:lang w:bidi="he-IL"/>
        </w:rPr>
        <w:t>הקליפה</w:t>
      </w:r>
      <w:r w:rsidR="00334893" w:rsidRPr="00882F11">
        <w:rPr>
          <w:rFonts w:cs="Guttman Drogolin"/>
          <w:rtl/>
          <w:lang w:bidi="he-IL"/>
        </w:rPr>
        <w:t xml:space="preserve"> </w:t>
      </w:r>
      <w:r w:rsidR="00334893" w:rsidRPr="00882F11">
        <w:rPr>
          <w:rFonts w:cs="Guttman Drogolin" w:hint="cs"/>
          <w:rtl/>
          <w:lang w:bidi="he-IL"/>
        </w:rPr>
        <w:t>אינה</w:t>
      </w:r>
      <w:r w:rsidR="00334893" w:rsidRPr="00882F11">
        <w:rPr>
          <w:rFonts w:cs="Guttman Drogolin"/>
          <w:rtl/>
          <w:lang w:bidi="he-IL"/>
        </w:rPr>
        <w:t xml:space="preserve"> </w:t>
      </w:r>
      <w:r w:rsidR="00334893" w:rsidRPr="00882F11">
        <w:rPr>
          <w:rFonts w:cs="Guttman Drogolin" w:hint="cs"/>
          <w:rtl/>
          <w:lang w:bidi="he-IL"/>
        </w:rPr>
        <w:t>ראויה</w:t>
      </w:r>
      <w:r w:rsidR="00334893" w:rsidRPr="00882F11">
        <w:rPr>
          <w:rFonts w:cs="Guttman Drogolin"/>
          <w:rtl/>
          <w:lang w:bidi="he-IL"/>
        </w:rPr>
        <w:t xml:space="preserve"> </w:t>
      </w:r>
      <w:r w:rsidR="00334893" w:rsidRPr="00882F11">
        <w:rPr>
          <w:rFonts w:cs="Guttman Drogolin" w:hint="cs"/>
          <w:rtl/>
          <w:lang w:bidi="he-IL"/>
        </w:rPr>
        <w:t xml:space="preserve">להתכבד. והקשה בלחם </w:t>
      </w:r>
      <w:r w:rsidR="00334893" w:rsidRPr="00882F11">
        <w:rPr>
          <w:rFonts w:cs="Guttman Drogolin" w:hint="cs"/>
          <w:rtl/>
          <w:lang w:bidi="he-IL"/>
        </w:rPr>
        <w:lastRenderedPageBreak/>
        <w:t>חמודות דהא אם הוא כדי קליפה היינו משום שנבלע בה ע"י צלי</w:t>
      </w:r>
      <w:r w:rsidR="00D4687F" w:rsidRPr="00882F11">
        <w:rPr>
          <w:rFonts w:cs="Guttman Drogolin" w:hint="cs"/>
          <w:rtl/>
          <w:lang w:bidi="he-IL"/>
        </w:rPr>
        <w:t>, וא"כ הא אינו אסור מחמת עצמו וליכא דין חהר"ל. ותי' הש"ך דהא שפיר שייך כשהי' עירוי מבשר לחלב</w:t>
      </w:r>
      <w:r w:rsidR="00334893" w:rsidRPr="00882F11">
        <w:rPr>
          <w:rFonts w:cs="Guttman Drogolin" w:hint="cs"/>
          <w:rtl/>
          <w:lang w:bidi="he-IL"/>
        </w:rPr>
        <w:t xml:space="preserve"> </w:t>
      </w:r>
      <w:r w:rsidR="00D4687F" w:rsidRPr="00882F11">
        <w:rPr>
          <w:rFonts w:cs="Guttman Drogolin" w:hint="cs"/>
          <w:rtl/>
          <w:lang w:bidi="he-IL"/>
        </w:rPr>
        <w:t xml:space="preserve">(ובאחרונים תי' קושיא זו באופנים שונים. ביד אברהם כתב כמה נפק"מ, וא' מהם מקום החתך </w:t>
      </w:r>
      <w:r w:rsidR="00A77558" w:rsidRPr="00882F11">
        <w:rPr>
          <w:rFonts w:cs="Guttman Drogolin" w:hint="cs"/>
          <w:rtl/>
          <w:lang w:bidi="he-IL"/>
        </w:rPr>
        <w:t xml:space="preserve">(ע' חולין צ"ט ע"א וס"ח ע"א). ועוד </w:t>
      </w:r>
      <w:r w:rsidR="00D4687F" w:rsidRPr="00882F11">
        <w:rPr>
          <w:rFonts w:cs="Guttman Drogolin" w:hint="cs"/>
          <w:rtl/>
          <w:lang w:bidi="he-IL"/>
        </w:rPr>
        <w:t>בעירוי בשבת שהמאכל נאסר כדי קליפה משום מעשה שבת</w:t>
      </w:r>
      <w:r w:rsidR="00A77558" w:rsidRPr="00882F11">
        <w:rPr>
          <w:rStyle w:val="FootnoteReference"/>
          <w:rFonts w:cs="Guttman Drogolin"/>
          <w:rtl/>
          <w:lang w:bidi="he-IL"/>
        </w:rPr>
        <w:footnoteReference w:id="355"/>
      </w:r>
      <w:r w:rsidR="00A77558" w:rsidRPr="00882F11">
        <w:rPr>
          <w:rFonts w:cs="Guttman Drogolin" w:hint="cs"/>
          <w:rtl/>
          <w:lang w:bidi="he-IL"/>
        </w:rPr>
        <w:t>.</w:t>
      </w:r>
      <w:r w:rsidR="00D4687F" w:rsidRPr="00882F11">
        <w:rPr>
          <w:rFonts w:cs="Guttman Drogolin" w:hint="cs"/>
          <w:rtl/>
          <w:lang w:bidi="he-IL"/>
        </w:rPr>
        <w:t xml:space="preserve"> </w:t>
      </w:r>
      <w:r w:rsidR="006F669A" w:rsidRPr="00882F11">
        <w:rPr>
          <w:rFonts w:cs="Guttman Drogolin" w:hint="cs"/>
          <w:rtl/>
          <w:lang w:bidi="he-IL"/>
        </w:rPr>
        <w:t>ובמגי"ס</w:t>
      </w:r>
      <w:r w:rsidR="00334893" w:rsidRPr="00882F11">
        <w:rPr>
          <w:rFonts w:cs="Guttman Drogolin" w:hint="cs"/>
          <w:rtl/>
          <w:lang w:bidi="he-IL"/>
        </w:rPr>
        <w:t xml:space="preserve"> </w:t>
      </w:r>
      <w:r w:rsidR="006F669A" w:rsidRPr="00882F11">
        <w:rPr>
          <w:rFonts w:cs="Guttman Drogolin" w:hint="cs"/>
          <w:rtl/>
          <w:lang w:bidi="he-IL"/>
        </w:rPr>
        <w:t>העיר שגם קרבן פסח שנגע בחרסו של תנור יהא אסור מחמת עצמו). והדגיש הש"ך שאפילו לשיטת הרא"מ שלא אומרים חענ"ן בחצי חתיכה גם כן יחשב כאסור מחמת עצמה, ולכן ודאי צריכים לי' לזה</w:t>
      </w:r>
      <w:r w:rsidR="004D3536" w:rsidRPr="00882F11">
        <w:rPr>
          <w:rFonts w:cs="Guttman Drogolin" w:hint="cs"/>
          <w:rtl/>
          <w:lang w:bidi="he-IL"/>
        </w:rPr>
        <w:t xml:space="preserve"> שאין הכדי קליפה ראוי' להתכבד. ונראה לבאר הטעם בזה, שבבב"ח שפיר חשוב אסור מחמת עצמה. והא דלא אמרינן חענ"ן אין משום שאינו אסור מחמת עצמה, רק שהאיסור מחמת היותו מעורב עם חלב. ולזה אמרינן בכגון בבב"ח דרבנן דליכא חענ"ן ואיסור פקע מיד שהוציא ממנו טעם החלב</w:t>
      </w:r>
      <w:r w:rsidR="00F56788" w:rsidRPr="00882F11">
        <w:rPr>
          <w:rFonts w:cs="Guttman Drogolin" w:hint="cs"/>
          <w:rtl/>
          <w:lang w:bidi="he-IL"/>
        </w:rPr>
        <w:t>. ולעולם כשיש בה טעם חלב הרי הוא אסור מחמת עצמה. ופשוט. ומ"מ בגוף הדבר הי' אפשר לומר שהטעם שלא אומרים חענ"ן בבב"ח דרבנן הוא משום שאינו אסור מחמת עצמה. וא"כ ודאי לא יהא בה דין חהר"ל.</w:t>
      </w:r>
    </w:p>
    <w:p w:rsidR="004D3536" w:rsidRPr="00882F11" w:rsidRDefault="006F669A" w:rsidP="004D3536">
      <w:pPr>
        <w:tabs>
          <w:tab w:val="right" w:pos="7497"/>
        </w:tabs>
        <w:bidi/>
        <w:jc w:val="both"/>
        <w:rPr>
          <w:rFonts w:cs="Guttman Drogolin"/>
          <w:rtl/>
          <w:lang w:bidi="he-IL"/>
        </w:rPr>
      </w:pPr>
      <w:r w:rsidRPr="00882F11">
        <w:rPr>
          <w:rFonts w:cs="Guttman Drogolin" w:hint="cs"/>
          <w:rtl/>
          <w:lang w:bidi="he-IL"/>
        </w:rPr>
        <w:t>ובעיקר דבריו הרי ע"כ סבר שהדין שאין חענ"ן בחצי חתיכה שייך גם בחענ"ן של בבב"ח</w:t>
      </w:r>
      <w:r w:rsidR="004D3536" w:rsidRPr="00882F11">
        <w:rPr>
          <w:rFonts w:cs="Guttman Drogolin" w:hint="cs"/>
          <w:rtl/>
          <w:lang w:bidi="he-IL"/>
        </w:rPr>
        <w:t>, וכן מבואר בתוס' בדף ק' ע"א</w:t>
      </w:r>
      <w:r w:rsidRPr="00882F11">
        <w:rPr>
          <w:rFonts w:cs="Guttman Drogolin" w:hint="cs"/>
          <w:rtl/>
          <w:lang w:bidi="he-IL"/>
        </w:rPr>
        <w:t>. ולפי הביאור של הרא"מ עצמו בזה לא שייך לומר כן, דהא כל סברו אינו אלא בחענ"ן בשאר איסורים שאינו אלא מדרבנן. אבל הש"ך ע"כ סבר שגם בבב"ח דאורייתא נאמר כלל זה.</w:t>
      </w:r>
      <w:r w:rsidR="004D3536" w:rsidRPr="00882F11">
        <w:rPr>
          <w:rFonts w:cs="Guttman Drogolin" w:hint="cs"/>
          <w:rtl/>
          <w:lang w:bidi="he-IL"/>
        </w:rPr>
        <w:t xml:space="preserve"> ואם סבר כהר"ן דאין חענ"ן בחצי חתיכה כיון שלא מצאנו בבב"ח בכדי קליפה, ע"כ יוצא דלא שייך בבב"ח דאורייתא בכדי קליפה. וא"כ סבר דהרי הוא אסור מחמת עצמו אפילו בבב"ח דרבנן אע"ג שלא אמרינן חענ"ן. וא"כ יוצא ממש כדברי המרדכי שבב"ח </w:t>
      </w:r>
      <w:r w:rsidR="004D3536" w:rsidRPr="00882F11">
        <w:rPr>
          <w:rFonts w:cs="Guttman Drogolin" w:hint="cs"/>
          <w:rtl/>
          <w:lang w:bidi="he-IL"/>
        </w:rPr>
        <w:lastRenderedPageBreak/>
        <w:t>שאסור מדרבנן אסור מחמת עצמו והיינו אע"פ  דליכא חענ"ן.</w:t>
      </w:r>
    </w:p>
    <w:p w:rsidR="00DD3DDB" w:rsidRPr="00882F11" w:rsidRDefault="004D3536" w:rsidP="00F56788">
      <w:pPr>
        <w:tabs>
          <w:tab w:val="right" w:pos="7497"/>
        </w:tabs>
        <w:bidi/>
        <w:jc w:val="both"/>
        <w:rPr>
          <w:rFonts w:cs="Guttman Drogolin"/>
          <w:rtl/>
          <w:lang w:bidi="he-IL"/>
        </w:rPr>
      </w:pPr>
      <w:r w:rsidRPr="00882F11">
        <w:rPr>
          <w:rFonts w:cs="Guttman Drogolin" w:hint="cs"/>
          <w:rtl/>
          <w:lang w:bidi="he-IL"/>
        </w:rPr>
        <w:t xml:space="preserve">ובהאי ענינא הקשה בבדה"ש שהרי שיטת הר"ן </w:t>
      </w:r>
      <w:r w:rsidR="00F56788" w:rsidRPr="00882F11">
        <w:rPr>
          <w:rFonts w:cs="Guttman Drogolin" w:hint="cs"/>
          <w:rtl/>
          <w:lang w:bidi="he-IL"/>
        </w:rPr>
        <w:t xml:space="preserve">שגם בחענ"ן בשאר איסורים אמרינן שהנאסר אוסר וכן אם ההיתר עבידא לטעמא. ולדידי' תיקשי למה חתיכה שנאסרה מחמת טעם בשאר איסורים לא יהא חשוב אסור מחמת עצמה. וע"כ צריכים לחלק דכיון שיסוד האיסר אינו מחמת קלקל עצמה, רק משום שבלע איסור אינו אסור מחמת עמה. וע' מש"כ בזה במגי"ס. והענין עדיין צ"ע. </w:t>
      </w:r>
    </w:p>
    <w:p w:rsidR="00722003" w:rsidRPr="00882F11" w:rsidRDefault="00722003" w:rsidP="00722003">
      <w:pPr>
        <w:tabs>
          <w:tab w:val="right" w:pos="7497"/>
        </w:tabs>
        <w:bidi/>
        <w:jc w:val="both"/>
        <w:rPr>
          <w:rFonts w:cs="Guttman Drogolin"/>
          <w:rtl/>
          <w:lang w:bidi="he-IL"/>
        </w:rPr>
      </w:pPr>
      <w:r w:rsidRPr="00882F11">
        <w:rPr>
          <w:rFonts w:cs="Guttman Drogolin" w:hint="cs"/>
          <w:rtl/>
          <w:lang w:bidi="he-IL"/>
        </w:rPr>
        <w:t xml:space="preserve">עוד חשבתי להסתפק מה יהא הדין בחתיכה שנאסרה משום בבב"ח שלפי שיטת הב"י אומרים בה חענ"ן גם אליבא דר' אפרים אי הוי חתיכה הראוי' להתכבד. ולכאורה בכה"ג פשוט שאינו אסור מחמת עצמה. אבל אולי י"ל דכיון שלרבינו אפרים אין כאן ב' מאכלים של היתר היוצרים איסור ומ"מ אסור, וע"כ הוא גזירה אטן בשר בחלב ממש, א"כ אולי י"ל שכל חומרת בבב"ח נתנו לו ולכן גם חומרת חהר"ל יש לו. והמסתבר הוא להקל.  </w:t>
      </w:r>
    </w:p>
    <w:p w:rsidR="00F56788" w:rsidRPr="00882F11" w:rsidRDefault="00F56788" w:rsidP="0029471F">
      <w:pPr>
        <w:pStyle w:val="Heading1"/>
        <w:bidi/>
        <w:spacing w:before="0" w:line="360" w:lineRule="auto"/>
        <w:jc w:val="center"/>
        <w:rPr>
          <w:rFonts w:cs="Guttman Drogolin"/>
          <w:color w:val="auto"/>
          <w:sz w:val="24"/>
          <w:szCs w:val="24"/>
          <w:u w:val="single"/>
          <w:rtl/>
          <w:lang w:bidi="he-IL"/>
        </w:rPr>
      </w:pPr>
      <w:bookmarkStart w:id="340" w:name="_Toc496175591"/>
      <w:r w:rsidRPr="00882F11">
        <w:rPr>
          <w:rFonts w:cs="Guttman Drogolin" w:hint="cs"/>
          <w:color w:val="auto"/>
          <w:sz w:val="24"/>
          <w:szCs w:val="24"/>
          <w:u w:val="single"/>
          <w:rtl/>
          <w:lang w:bidi="he-IL"/>
        </w:rPr>
        <w:t>ח</w:t>
      </w:r>
      <w:r w:rsidR="0029471F">
        <w:rPr>
          <w:rFonts w:cs="Guttman Drogolin" w:hint="cs"/>
          <w:color w:val="auto"/>
          <w:sz w:val="24"/>
          <w:szCs w:val="24"/>
          <w:u w:val="single"/>
          <w:rtl/>
          <w:lang w:bidi="he-IL"/>
        </w:rPr>
        <w:t>הר"ל</w:t>
      </w:r>
      <w:r w:rsidRPr="00882F11">
        <w:rPr>
          <w:rFonts w:cs="Guttman Drogolin" w:hint="cs"/>
          <w:color w:val="auto"/>
          <w:sz w:val="24"/>
          <w:szCs w:val="24"/>
          <w:u w:val="single"/>
          <w:rtl/>
          <w:lang w:bidi="he-IL"/>
        </w:rPr>
        <w:t xml:space="preserve"> בתרי דרבנן</w:t>
      </w:r>
      <w:bookmarkEnd w:id="340"/>
    </w:p>
    <w:p w:rsidR="00D64B6C" w:rsidRPr="00882F11" w:rsidRDefault="0029471F" w:rsidP="00D64B6C">
      <w:pPr>
        <w:tabs>
          <w:tab w:val="right" w:pos="7497"/>
        </w:tabs>
        <w:bidi/>
        <w:jc w:val="both"/>
        <w:rPr>
          <w:rFonts w:cs="Guttman Drogolin"/>
          <w:rtl/>
          <w:lang w:bidi="he-IL"/>
        </w:rPr>
      </w:pPr>
      <w:r>
        <w:rPr>
          <w:rFonts w:cs="Guttman Drogolin"/>
          <w:rtl/>
          <w:lang w:bidi="he-IL"/>
        </w:rPr>
        <w:fldChar w:fldCharType="begin"/>
      </w:r>
      <w:r>
        <w:instrText xml:space="preserve"> XE "</w:instrText>
      </w:r>
      <w:r w:rsidRPr="00115296">
        <w:rPr>
          <w:rFonts w:hint="cs"/>
          <w:rtl/>
          <w:lang w:bidi="he-IL"/>
        </w:rPr>
        <w:instrText>חתיכה הראוי' להתכבד</w:instrText>
      </w:r>
      <w:r w:rsidRPr="00115296">
        <w:rPr>
          <w:rtl/>
        </w:rPr>
        <w:instrText>:</w:instrText>
      </w:r>
      <w:r w:rsidRPr="00115296">
        <w:rPr>
          <w:rFonts w:hint="cs"/>
          <w:rtl/>
          <w:lang w:bidi="he-IL"/>
        </w:rPr>
        <w:instrText>בתרי דרבנן</w:instrText>
      </w:r>
      <w:r>
        <w:instrText xml:space="preserve">" </w:instrText>
      </w:r>
      <w:r>
        <w:rPr>
          <w:rFonts w:cs="Guttman Drogolin"/>
          <w:rtl/>
          <w:lang w:bidi="he-IL"/>
        </w:rPr>
        <w:fldChar w:fldCharType="end"/>
      </w:r>
      <w:r w:rsidR="00722003" w:rsidRPr="00882F11">
        <w:rPr>
          <w:rFonts w:cs="Guttman Drogolin" w:hint="cs"/>
          <w:rtl/>
          <w:lang w:bidi="he-IL"/>
        </w:rPr>
        <w:t>בשו"ע מבואר שגם חתיכה האס</w:t>
      </w:r>
      <w:r w:rsidR="00D64B6C" w:rsidRPr="00882F11">
        <w:rPr>
          <w:rFonts w:cs="Guttman Drogolin" w:hint="cs"/>
          <w:rtl/>
          <w:lang w:bidi="he-IL"/>
        </w:rPr>
        <w:t>ו</w:t>
      </w:r>
      <w:r w:rsidR="00722003" w:rsidRPr="00882F11">
        <w:rPr>
          <w:rFonts w:cs="Guttman Drogolin" w:hint="cs"/>
          <w:rtl/>
          <w:lang w:bidi="he-IL"/>
        </w:rPr>
        <w:t>רה מדרבנן</w:t>
      </w:r>
      <w:r w:rsidR="00D64B6C" w:rsidRPr="00882F11">
        <w:rPr>
          <w:rFonts w:cs="Guttman Drogolin" w:hint="cs"/>
          <w:rtl/>
          <w:lang w:bidi="he-IL"/>
        </w:rPr>
        <w:t xml:space="preserve"> אינה בט</w:t>
      </w:r>
      <w:r w:rsidR="00722003" w:rsidRPr="00882F11">
        <w:rPr>
          <w:rFonts w:cs="Guttman Drogolin" w:hint="cs"/>
          <w:rtl/>
          <w:lang w:bidi="he-IL"/>
        </w:rPr>
        <w:t>ילה אם ראוי' להתכבד.</w:t>
      </w:r>
      <w:r w:rsidR="00D64B6C" w:rsidRPr="00882F11">
        <w:rPr>
          <w:rFonts w:cs="Guttman Drogolin" w:hint="cs"/>
          <w:rtl/>
          <w:lang w:bidi="he-IL"/>
        </w:rPr>
        <w:t xml:space="preserve"> ובחוו"ד ס"ק ב' הראה מקור לזה מסוגיא דמס' יבמות דף פ"א ע"ב. אמנם הדגיש שמסוגיא זו עצמה בתוד"ה מאי בא' מן התירוצים מבואר דהנ"מ בחד דרבנן, אבל תרי דרבנן לא. אמנם ע' ביד יהודה שהתקשה טובא בהוראה זו, דלפי החשבון של הסוגיא אליבא דהלכתא לא קיי"ל כן. וכן נקט בבדה"ש כדבריו.</w:t>
      </w:r>
    </w:p>
    <w:p w:rsidR="00223779" w:rsidRPr="00882F11" w:rsidRDefault="00D64B6C" w:rsidP="001815FF">
      <w:pPr>
        <w:tabs>
          <w:tab w:val="right" w:pos="7497"/>
        </w:tabs>
        <w:bidi/>
        <w:jc w:val="both"/>
        <w:rPr>
          <w:rFonts w:cs="Guttman Drogolin"/>
          <w:rtl/>
          <w:lang w:bidi="he-IL"/>
        </w:rPr>
      </w:pPr>
      <w:r w:rsidRPr="00882F11">
        <w:rPr>
          <w:rFonts w:cs="Guttman Drogolin" w:hint="cs"/>
          <w:rtl/>
          <w:lang w:bidi="he-IL"/>
        </w:rPr>
        <w:t xml:space="preserve">ומעשה שהי' שמי שטיגן שניצל במחבת חלבית בן יומו, ושוב עירב השניצל בתוך עוד מאתיים חתיכות כמותו. ודנו אם אפשר לבטלו כיון שראוי' להתכבד. ושמעתי שרצו לדון להתיר ע"פ החוו"ד, </w:t>
      </w:r>
      <w:r w:rsidRPr="00882F11">
        <w:rPr>
          <w:rFonts w:cs="Guttman Drogolin" w:hint="cs"/>
          <w:rtl/>
          <w:lang w:bidi="he-IL"/>
        </w:rPr>
        <w:lastRenderedPageBreak/>
        <w:t xml:space="preserve">דהא בשר עוף בחלב אינו אלא מדרבנן, וכן י"א שטיגון אינו דרך בישול מדאורייתא. זאת ביחד עם זה שהי' אפשר לחתוך השניצלים לחתיכות שאינם ראוים להתכבד, ואע"ג שכשעושה כן מבטל איסור לכתחילה, הא כיון שאינו אלא איסור מדרבנן וכבר התערב הא שיטת המחבר שמותר לבטל איסור דרבנן לכתחילה בכה"ג (ע' רע"א סע' ז'). ואף שהרמ"א חולק, מ"מ אולי ביחד עם החוו"ד יש סברא להקל אפילו לנוהגים כרמ"א. וע' בדרכ"ת </w:t>
      </w:r>
      <w:r w:rsidR="00B93947" w:rsidRPr="00882F11">
        <w:rPr>
          <w:rFonts w:cs="Guttman Drogolin" w:hint="cs"/>
          <w:rtl/>
          <w:lang w:bidi="he-IL"/>
        </w:rPr>
        <w:t>סי' צ"ט ס"ק ע' וע"ו שכתב להקל כשו"ע גם אליבא דרמ"א בשעה"ד והפס"מ (אפילו בהעלם הקולא של החוו"ד).</w:t>
      </w:r>
      <w:r w:rsidR="001815FF" w:rsidRPr="00882F11">
        <w:rPr>
          <w:rFonts w:cs="Guttman Drogolin" w:hint="cs"/>
          <w:rtl/>
          <w:lang w:bidi="he-IL"/>
        </w:rPr>
        <w:t xml:space="preserve"> עוד הוסיפו להסתפק אם הטבח הי' ספרדי האם מותר לו לעשות כן עבור אשכנזי. ועל פניו הרי זה כנכרי שעושה לצורך ישראל שאסור. אמנם הנ"מ כשעושה כן לדעתו של האשכנזי או שהוא במאכל שכבר קנוי לאשכנזי (וכנ"ל בט"ז בשם רש"ל וכמש"נ לעיל ביאור דבריהם אליבא דשד"ח), אבל בלי זה לכאורה יהא מותר.</w:t>
      </w:r>
      <w:r w:rsidR="00B93947" w:rsidRPr="00882F11">
        <w:rPr>
          <w:rFonts w:cs="Guttman Drogolin" w:hint="cs"/>
          <w:rtl/>
          <w:lang w:bidi="he-IL"/>
        </w:rPr>
        <w:t xml:space="preserve"> ולכאורה נראה </w:t>
      </w:r>
      <w:r w:rsidR="001815FF" w:rsidRPr="00882F11">
        <w:rPr>
          <w:rFonts w:cs="Guttman Drogolin" w:hint="cs"/>
          <w:rtl/>
          <w:lang w:bidi="he-IL"/>
        </w:rPr>
        <w:t xml:space="preserve">שקשה </w:t>
      </w:r>
      <w:r w:rsidR="00B93947" w:rsidRPr="00882F11">
        <w:rPr>
          <w:rFonts w:cs="Guttman Drogolin" w:hint="cs"/>
          <w:rtl/>
          <w:lang w:bidi="he-IL"/>
        </w:rPr>
        <w:t>לסמוך על החוו"ד</w:t>
      </w:r>
      <w:r w:rsidR="001815FF" w:rsidRPr="00882F11">
        <w:rPr>
          <w:rFonts w:cs="Guttman Drogolin" w:hint="cs"/>
          <w:rtl/>
          <w:lang w:bidi="he-IL"/>
        </w:rPr>
        <w:t xml:space="preserve"> וכנ"ל</w:t>
      </w:r>
      <w:r w:rsidR="00B93947" w:rsidRPr="00882F11">
        <w:rPr>
          <w:rFonts w:cs="Guttman Drogolin" w:hint="cs"/>
          <w:rtl/>
          <w:lang w:bidi="he-IL"/>
        </w:rPr>
        <w:t xml:space="preserve">, אבל לסמוך על הדרכ"ת אפשר לשמוע. ושו"מ לחשוקי חמד למס' ב"מ דף </w:t>
      </w:r>
      <w:r w:rsidR="001815FF" w:rsidRPr="00882F11">
        <w:rPr>
          <w:rFonts w:cs="Guttman Drogolin" w:hint="cs"/>
          <w:rtl/>
          <w:lang w:bidi="he-IL"/>
        </w:rPr>
        <w:t xml:space="preserve">פ"ז ע"א בנידון, וע"ש מש"כ עוד אם חייבים לספר לאוכלים דכך הוה. </w:t>
      </w:r>
      <w:r w:rsidR="00B93947" w:rsidRPr="00882F11">
        <w:rPr>
          <w:rFonts w:cs="Guttman Drogolin" w:hint="cs"/>
          <w:rtl/>
          <w:lang w:bidi="he-IL"/>
        </w:rPr>
        <w:t xml:space="preserve">  </w:t>
      </w:r>
      <w:r w:rsidRPr="00882F11">
        <w:rPr>
          <w:rFonts w:cs="Guttman Drogolin" w:hint="cs"/>
          <w:rtl/>
          <w:lang w:bidi="he-IL"/>
        </w:rPr>
        <w:t xml:space="preserve"> </w:t>
      </w:r>
    </w:p>
    <w:p w:rsidR="00223779" w:rsidRPr="00882F11" w:rsidRDefault="00223779" w:rsidP="00223779">
      <w:pPr>
        <w:tabs>
          <w:tab w:val="right" w:pos="7497"/>
        </w:tabs>
        <w:bidi/>
        <w:jc w:val="both"/>
        <w:rPr>
          <w:rFonts w:cs="Guttman Drogolin"/>
          <w:rtl/>
          <w:lang w:bidi="he-IL"/>
        </w:rPr>
        <w:sectPr w:rsidR="00223779" w:rsidRPr="00882F11" w:rsidSect="00891DE2">
          <w:type w:val="continuous"/>
          <w:pgSz w:w="11907" w:h="16839" w:code="9"/>
          <w:pgMar w:top="1440" w:right="1440" w:bottom="1440" w:left="1440" w:header="720" w:footer="720" w:gutter="0"/>
          <w:cols w:num="2" w:space="720"/>
          <w:bidi/>
          <w:docGrid w:linePitch="360"/>
        </w:sectPr>
      </w:pPr>
    </w:p>
    <w:p w:rsidR="00223779" w:rsidRPr="00882F11" w:rsidRDefault="00223779" w:rsidP="00891DE2">
      <w:pPr>
        <w:keepNext/>
        <w:tabs>
          <w:tab w:val="left" w:pos="3818"/>
          <w:tab w:val="center" w:pos="4680"/>
        </w:tabs>
        <w:bidi/>
        <w:spacing w:after="0" w:line="240" w:lineRule="auto"/>
        <w:jc w:val="center"/>
        <w:rPr>
          <w:rFonts w:cs="Guttman Drogolin"/>
          <w:b/>
          <w:bCs/>
          <w:sz w:val="48"/>
          <w:szCs w:val="48"/>
          <w:rtl/>
          <w:lang w:bidi="he-IL"/>
        </w:rPr>
      </w:pPr>
      <w:r w:rsidRPr="00882F11">
        <w:rPr>
          <w:rFonts w:cs="Guttman Drogolin" w:hint="cs"/>
          <w:b/>
          <w:bCs/>
          <w:sz w:val="48"/>
          <w:szCs w:val="48"/>
          <w:rtl/>
          <w:lang w:bidi="he-IL"/>
        </w:rPr>
        <w:lastRenderedPageBreak/>
        <w:t>שיעור פ"ה</w:t>
      </w:r>
      <w:r w:rsidR="00530B4B" w:rsidRPr="00882F11">
        <w:rPr>
          <w:rStyle w:val="FootnoteReference"/>
          <w:rFonts w:cs="Guttman Drogolin"/>
          <w:sz w:val="48"/>
          <w:szCs w:val="48"/>
          <w:rtl/>
          <w:lang w:bidi="he-IL"/>
        </w:rPr>
        <w:footnoteReference w:id="356"/>
      </w:r>
    </w:p>
    <w:p w:rsidR="00891DE2" w:rsidRDefault="00891DE2" w:rsidP="00891DE2">
      <w:pPr>
        <w:keepNext/>
        <w:tabs>
          <w:tab w:val="left" w:pos="3818"/>
          <w:tab w:val="center" w:pos="4680"/>
        </w:tabs>
        <w:bidi/>
        <w:jc w:val="center"/>
        <w:rPr>
          <w:rFonts w:cs="Guttman Drogolin"/>
          <w:b/>
          <w:bCs/>
          <w:sz w:val="48"/>
          <w:szCs w:val="48"/>
          <w:rtl/>
          <w:lang w:bidi="he-IL"/>
        </w:rPr>
        <w:sectPr w:rsidR="00891DE2" w:rsidSect="00891DE2">
          <w:pgSz w:w="11907" w:h="16839" w:code="9"/>
          <w:pgMar w:top="1440" w:right="1440" w:bottom="1440" w:left="1440" w:header="720" w:footer="720" w:gutter="0"/>
          <w:cols w:space="720"/>
          <w:bidi/>
          <w:docGrid w:linePitch="360"/>
        </w:sectPr>
      </w:pPr>
      <w:r w:rsidRPr="00882F11">
        <w:rPr>
          <w:rFonts w:cs="Guttman Drogolin" w:hint="cs"/>
          <w:b/>
          <w:bCs/>
          <w:sz w:val="24"/>
          <w:szCs w:val="24"/>
          <w:rtl/>
          <w:lang w:bidi="he-IL"/>
        </w:rPr>
        <w:t>נמסר ע"י הג"ר יעקב קסטנבוים שליט"א</w:t>
      </w:r>
      <w:r w:rsidRPr="00882F11">
        <w:rPr>
          <w:rFonts w:cs="Guttman Drogolin" w:hint="cs"/>
          <w:b/>
          <w:bCs/>
          <w:sz w:val="48"/>
          <w:szCs w:val="48"/>
          <w:rtl/>
          <w:lang w:bidi="he-IL"/>
        </w:rPr>
        <w:t xml:space="preserve"> </w:t>
      </w:r>
    </w:p>
    <w:p w:rsidR="00223779" w:rsidRPr="00882F11" w:rsidRDefault="00223779" w:rsidP="00891DE2">
      <w:pPr>
        <w:pStyle w:val="Heading1"/>
        <w:bidi/>
        <w:spacing w:before="0" w:line="360" w:lineRule="auto"/>
        <w:jc w:val="center"/>
        <w:rPr>
          <w:rFonts w:cs="Guttman Drogolin"/>
          <w:color w:val="auto"/>
          <w:sz w:val="24"/>
          <w:szCs w:val="24"/>
          <w:u w:val="single"/>
          <w:rtl/>
          <w:lang w:bidi="he-IL"/>
        </w:rPr>
      </w:pPr>
      <w:bookmarkStart w:id="341" w:name="_Toc496175592"/>
      <w:r w:rsidRPr="00882F11">
        <w:rPr>
          <w:rFonts w:cs="Guttman Drogolin" w:hint="cs"/>
          <w:color w:val="auto"/>
          <w:sz w:val="24"/>
          <w:szCs w:val="24"/>
          <w:u w:val="single"/>
          <w:rtl/>
          <w:lang w:bidi="he-IL"/>
        </w:rPr>
        <w:lastRenderedPageBreak/>
        <w:t>סי</w:t>
      </w:r>
      <w:r w:rsidRPr="00882F11">
        <w:rPr>
          <w:rFonts w:cs="Guttman Drogolin"/>
          <w:color w:val="auto"/>
          <w:sz w:val="24"/>
          <w:szCs w:val="24"/>
          <w:u w:val="single"/>
          <w:rtl/>
          <w:lang w:bidi="he-IL"/>
        </w:rPr>
        <w:t xml:space="preserve">' </w:t>
      </w:r>
      <w:r w:rsidRPr="00882F11">
        <w:rPr>
          <w:rFonts w:cs="Guttman Drogolin" w:hint="cs"/>
          <w:color w:val="auto"/>
          <w:sz w:val="24"/>
          <w:szCs w:val="24"/>
          <w:u w:val="single"/>
          <w:rtl/>
          <w:lang w:bidi="he-IL"/>
        </w:rPr>
        <w:t>ק</w:t>
      </w:r>
      <w:r w:rsidRPr="00882F11">
        <w:rPr>
          <w:rFonts w:cs="Guttman Drogolin"/>
          <w:color w:val="auto"/>
          <w:sz w:val="24"/>
          <w:szCs w:val="24"/>
          <w:u w:val="single"/>
          <w:rtl/>
          <w:lang w:bidi="he-IL"/>
        </w:rPr>
        <w:t>"</w:t>
      </w:r>
      <w:r w:rsidRPr="00882F11">
        <w:rPr>
          <w:rFonts w:cs="Guttman Drogolin" w:hint="cs"/>
          <w:color w:val="auto"/>
          <w:sz w:val="24"/>
          <w:szCs w:val="24"/>
          <w:u w:val="single"/>
          <w:rtl/>
          <w:lang w:bidi="he-IL"/>
        </w:rPr>
        <w:t>א</w:t>
      </w:r>
      <w:r w:rsidRPr="00882F11">
        <w:rPr>
          <w:rFonts w:cs="Guttman Drogolin"/>
          <w:color w:val="auto"/>
          <w:sz w:val="24"/>
          <w:szCs w:val="24"/>
          <w:u w:val="single"/>
          <w:rtl/>
          <w:lang w:bidi="he-IL"/>
        </w:rPr>
        <w:t xml:space="preserve"> </w:t>
      </w:r>
      <w:r w:rsidRPr="00882F11">
        <w:rPr>
          <w:rFonts w:cs="Guttman Drogolin" w:hint="cs"/>
          <w:color w:val="auto"/>
          <w:sz w:val="24"/>
          <w:szCs w:val="24"/>
          <w:u w:val="single"/>
          <w:rtl/>
          <w:lang w:bidi="he-IL"/>
        </w:rPr>
        <w:t>סעיף</w:t>
      </w:r>
      <w:r w:rsidRPr="00882F11">
        <w:rPr>
          <w:rFonts w:cs="Guttman Drogolin"/>
          <w:color w:val="auto"/>
          <w:sz w:val="24"/>
          <w:szCs w:val="24"/>
          <w:u w:val="single"/>
          <w:rtl/>
          <w:lang w:bidi="he-IL"/>
        </w:rPr>
        <w:t xml:space="preserve"> </w:t>
      </w:r>
      <w:r w:rsidRPr="00882F11">
        <w:rPr>
          <w:rFonts w:cs="Guttman Drogolin" w:hint="cs"/>
          <w:color w:val="auto"/>
          <w:sz w:val="24"/>
          <w:szCs w:val="24"/>
          <w:u w:val="single"/>
          <w:rtl/>
          <w:lang w:bidi="he-IL"/>
        </w:rPr>
        <w:t>ג</w:t>
      </w:r>
      <w:r w:rsidRPr="00882F11">
        <w:rPr>
          <w:rFonts w:cs="Guttman Drogolin"/>
          <w:color w:val="auto"/>
          <w:sz w:val="24"/>
          <w:szCs w:val="24"/>
          <w:u w:val="single"/>
          <w:rtl/>
          <w:lang w:bidi="he-IL"/>
        </w:rPr>
        <w:t>'</w:t>
      </w:r>
      <w:bookmarkEnd w:id="341"/>
    </w:p>
    <w:p w:rsidR="00223779" w:rsidRPr="00882F11" w:rsidRDefault="0029471F" w:rsidP="00223779">
      <w:pPr>
        <w:tabs>
          <w:tab w:val="right" w:pos="7497"/>
        </w:tabs>
        <w:bidi/>
        <w:jc w:val="both"/>
        <w:rPr>
          <w:rFonts w:cs="Guttman Drogolin"/>
          <w:rtl/>
        </w:rPr>
      </w:pPr>
      <w:r>
        <w:rPr>
          <w:rFonts w:cs="Guttman Drogolin"/>
          <w:rtl/>
          <w:lang w:bidi="he-IL"/>
        </w:rPr>
        <w:fldChar w:fldCharType="begin"/>
      </w:r>
      <w:r>
        <w:instrText xml:space="preserve"> XE "</w:instrText>
      </w:r>
      <w:r w:rsidRPr="00EB4A99">
        <w:rPr>
          <w:rFonts w:hint="cs"/>
          <w:rtl/>
          <w:lang w:bidi="he-IL"/>
        </w:rPr>
        <w:instrText>חתיכה הראוי' להתכבד</w:instrText>
      </w:r>
      <w:r w:rsidRPr="00EB4A99">
        <w:rPr>
          <w:rtl/>
        </w:rPr>
        <w:instrText>:</w:instrText>
      </w:r>
      <w:r w:rsidRPr="00EB4A99">
        <w:rPr>
          <w:rFonts w:hint="cs"/>
          <w:rtl/>
          <w:lang w:bidi="he-IL"/>
        </w:rPr>
        <w:instrText>גדר דינה</w:instrText>
      </w:r>
      <w:r>
        <w:instrText xml:space="preserve">" </w:instrText>
      </w:r>
      <w:r>
        <w:rPr>
          <w:rFonts w:cs="Guttman Drogolin"/>
          <w:rtl/>
          <w:lang w:bidi="he-IL"/>
        </w:rPr>
        <w:fldChar w:fldCharType="end"/>
      </w:r>
      <w:r w:rsidR="00223779" w:rsidRPr="00882F11">
        <w:rPr>
          <w:rFonts w:cs="Guttman Drogolin" w:hint="cs"/>
          <w:rtl/>
          <w:lang w:bidi="he-IL"/>
        </w:rPr>
        <w:t>כתב הטור</w:t>
      </w:r>
      <w:r w:rsidR="00223779" w:rsidRPr="00882F11">
        <w:rPr>
          <w:rFonts w:cs="Guttman Drogolin"/>
          <w:rtl/>
          <w:lang w:bidi="he-IL"/>
        </w:rPr>
        <w:t xml:space="preserve"> </w:t>
      </w:r>
      <w:r w:rsidR="00223779" w:rsidRPr="00882F11">
        <w:rPr>
          <w:rFonts w:cs="Guttman Drogolin" w:hint="cs"/>
          <w:rtl/>
          <w:lang w:bidi="he-IL"/>
        </w:rPr>
        <w:t>שי</w:t>
      </w:r>
      <w:r w:rsidR="00223779" w:rsidRPr="00882F11">
        <w:rPr>
          <w:rFonts w:cs="Guttman Drogolin"/>
          <w:rtl/>
          <w:lang w:bidi="he-IL"/>
        </w:rPr>
        <w:t>"</w:t>
      </w:r>
      <w:r w:rsidR="00223779" w:rsidRPr="00882F11">
        <w:rPr>
          <w:rFonts w:cs="Guttman Drogolin" w:hint="cs"/>
          <w:rtl/>
          <w:lang w:bidi="he-IL"/>
        </w:rPr>
        <w:t>א</w:t>
      </w:r>
      <w:r w:rsidR="00223779" w:rsidRPr="00882F11">
        <w:rPr>
          <w:rFonts w:cs="Guttman Drogolin"/>
          <w:rtl/>
          <w:lang w:bidi="he-IL"/>
        </w:rPr>
        <w:t xml:space="preserve"> </w:t>
      </w:r>
      <w:r w:rsidR="00223779" w:rsidRPr="00882F11">
        <w:rPr>
          <w:rFonts w:cs="Guttman Drogolin" w:hint="cs"/>
          <w:rtl/>
          <w:lang w:bidi="he-IL"/>
        </w:rPr>
        <w:t>שדברים</w:t>
      </w:r>
      <w:r w:rsidR="00223779" w:rsidRPr="00882F11">
        <w:rPr>
          <w:rFonts w:cs="Guttman Drogolin"/>
          <w:rtl/>
          <w:lang w:bidi="he-IL"/>
        </w:rPr>
        <w:t xml:space="preserve"> </w:t>
      </w:r>
      <w:r w:rsidR="00223779" w:rsidRPr="00882F11">
        <w:rPr>
          <w:rFonts w:cs="Guttman Drogolin" w:hint="cs"/>
          <w:rtl/>
          <w:lang w:bidi="he-IL"/>
        </w:rPr>
        <w:t>שאינם</w:t>
      </w:r>
      <w:r w:rsidR="00223779" w:rsidRPr="00882F11">
        <w:rPr>
          <w:rFonts w:cs="Guttman Drogolin"/>
          <w:rtl/>
          <w:lang w:bidi="he-IL"/>
        </w:rPr>
        <w:t xml:space="preserve"> </w:t>
      </w:r>
      <w:r w:rsidR="00223779" w:rsidRPr="00882F11">
        <w:rPr>
          <w:rFonts w:cs="Guttman Drogolin" w:hint="cs"/>
          <w:rtl/>
          <w:lang w:bidi="he-IL"/>
        </w:rPr>
        <w:t>ראוים</w:t>
      </w:r>
      <w:r w:rsidR="00223779" w:rsidRPr="00882F11">
        <w:rPr>
          <w:rFonts w:cs="Guttman Drogolin"/>
          <w:rtl/>
          <w:lang w:bidi="he-IL"/>
        </w:rPr>
        <w:t xml:space="preserve"> </w:t>
      </w:r>
      <w:r w:rsidR="00223779" w:rsidRPr="00882F11">
        <w:rPr>
          <w:rFonts w:cs="Guttman Drogolin" w:hint="cs"/>
          <w:rtl/>
          <w:lang w:bidi="he-IL"/>
        </w:rPr>
        <w:t>עתה</w:t>
      </w:r>
      <w:r w:rsidR="00223779" w:rsidRPr="00882F11">
        <w:rPr>
          <w:rFonts w:cs="Guttman Drogolin"/>
          <w:rtl/>
          <w:lang w:bidi="he-IL"/>
        </w:rPr>
        <w:t xml:space="preserve"> </w:t>
      </w:r>
      <w:r w:rsidR="00223779" w:rsidRPr="00882F11">
        <w:rPr>
          <w:rFonts w:cs="Guttman Drogolin" w:hint="cs"/>
          <w:rtl/>
          <w:lang w:bidi="he-IL"/>
        </w:rPr>
        <w:t>כגון</w:t>
      </w:r>
      <w:r w:rsidR="00223779" w:rsidRPr="00882F11">
        <w:rPr>
          <w:rFonts w:cs="Guttman Drogolin"/>
          <w:rtl/>
          <w:lang w:bidi="he-IL"/>
        </w:rPr>
        <w:t xml:space="preserve"> </w:t>
      </w:r>
      <w:r w:rsidR="00223779" w:rsidRPr="00882F11">
        <w:rPr>
          <w:rFonts w:cs="Guttman Drogolin" w:hint="cs"/>
          <w:rtl/>
          <w:lang w:bidi="he-IL"/>
        </w:rPr>
        <w:t>תרנגולת</w:t>
      </w:r>
      <w:r w:rsidR="00223779" w:rsidRPr="00882F11">
        <w:rPr>
          <w:rFonts w:cs="Guttman Drogolin"/>
          <w:rtl/>
          <w:lang w:bidi="he-IL"/>
        </w:rPr>
        <w:t xml:space="preserve"> </w:t>
      </w:r>
      <w:r w:rsidR="00223779" w:rsidRPr="00882F11">
        <w:rPr>
          <w:rFonts w:cs="Guttman Drogolin" w:hint="cs"/>
          <w:rtl/>
          <w:lang w:bidi="he-IL"/>
        </w:rPr>
        <w:t>בנוצתה</w:t>
      </w:r>
      <w:r w:rsidR="00223779" w:rsidRPr="00882F11">
        <w:rPr>
          <w:rFonts w:cs="Guttman Drogolin"/>
          <w:rtl/>
          <w:lang w:bidi="he-IL"/>
        </w:rPr>
        <w:t xml:space="preserve"> </w:t>
      </w:r>
      <w:r w:rsidR="00223779" w:rsidRPr="00882F11">
        <w:rPr>
          <w:rFonts w:cs="Guttman Drogolin" w:hint="cs"/>
          <w:rtl/>
          <w:lang w:bidi="he-IL"/>
        </w:rPr>
        <w:t>או</w:t>
      </w:r>
      <w:r w:rsidR="00223779" w:rsidRPr="00882F11">
        <w:rPr>
          <w:rFonts w:cs="Guttman Drogolin"/>
          <w:rtl/>
          <w:lang w:bidi="he-IL"/>
        </w:rPr>
        <w:t xml:space="preserve"> </w:t>
      </w:r>
      <w:r w:rsidR="00223779" w:rsidRPr="00882F11">
        <w:rPr>
          <w:rFonts w:cs="Guttman Drogolin" w:hint="cs"/>
          <w:rtl/>
          <w:lang w:bidi="he-IL"/>
        </w:rPr>
        <w:t>בשר</w:t>
      </w:r>
      <w:r w:rsidR="00223779" w:rsidRPr="00882F11">
        <w:rPr>
          <w:rFonts w:cs="Guttman Drogolin"/>
          <w:rtl/>
          <w:lang w:bidi="he-IL"/>
        </w:rPr>
        <w:t xml:space="preserve"> </w:t>
      </w:r>
      <w:r w:rsidR="00223779" w:rsidRPr="00882F11">
        <w:rPr>
          <w:rFonts w:cs="Guttman Drogolin" w:hint="cs"/>
          <w:rtl/>
          <w:lang w:bidi="he-IL"/>
        </w:rPr>
        <w:t>חי</w:t>
      </w:r>
      <w:r w:rsidR="00223779" w:rsidRPr="00882F11">
        <w:rPr>
          <w:rFonts w:cs="Guttman Drogolin"/>
          <w:rtl/>
          <w:lang w:bidi="he-IL"/>
        </w:rPr>
        <w:t xml:space="preserve">' </w:t>
      </w:r>
      <w:r w:rsidR="00223779" w:rsidRPr="00882F11">
        <w:rPr>
          <w:rFonts w:cs="Guttman Drogolin" w:hint="cs"/>
          <w:rtl/>
          <w:lang w:bidi="he-IL"/>
        </w:rPr>
        <w:t>וכו</w:t>
      </w:r>
      <w:r w:rsidR="00223779" w:rsidRPr="00882F11">
        <w:rPr>
          <w:rFonts w:cs="Guttman Drogolin"/>
          <w:rtl/>
          <w:lang w:bidi="he-IL"/>
        </w:rPr>
        <w:t xml:space="preserve">' </w:t>
      </w:r>
      <w:r w:rsidR="00223779" w:rsidRPr="00882F11">
        <w:rPr>
          <w:rFonts w:cs="Guttman Drogolin" w:hint="cs"/>
          <w:rtl/>
          <w:lang w:bidi="he-IL"/>
        </w:rPr>
        <w:t>אינו</w:t>
      </w:r>
      <w:r w:rsidR="00223779" w:rsidRPr="00882F11">
        <w:rPr>
          <w:rFonts w:cs="Guttman Drogolin"/>
          <w:rtl/>
          <w:lang w:bidi="he-IL"/>
        </w:rPr>
        <w:t xml:space="preserve"> </w:t>
      </w:r>
      <w:r w:rsidR="00223779" w:rsidRPr="00882F11">
        <w:rPr>
          <w:rFonts w:cs="Guttman Drogolin" w:hint="cs"/>
          <w:rtl/>
          <w:lang w:bidi="he-IL"/>
        </w:rPr>
        <w:t>חשוב</w:t>
      </w:r>
      <w:r w:rsidR="00223779" w:rsidRPr="00882F11">
        <w:rPr>
          <w:rFonts w:cs="Guttman Drogolin"/>
          <w:rtl/>
          <w:lang w:bidi="he-IL"/>
        </w:rPr>
        <w:t xml:space="preserve"> </w:t>
      </w:r>
      <w:r w:rsidR="00223779" w:rsidRPr="00882F11">
        <w:rPr>
          <w:rFonts w:cs="Guttman Drogolin" w:hint="cs"/>
          <w:rtl/>
          <w:lang w:bidi="he-IL"/>
        </w:rPr>
        <w:t>ראוי</w:t>
      </w:r>
      <w:r w:rsidR="00223779" w:rsidRPr="00882F11">
        <w:rPr>
          <w:rFonts w:cs="Guttman Drogolin"/>
          <w:rtl/>
          <w:lang w:bidi="he-IL"/>
        </w:rPr>
        <w:t xml:space="preserve">' </w:t>
      </w:r>
      <w:r w:rsidR="00223779" w:rsidRPr="00882F11">
        <w:rPr>
          <w:rFonts w:cs="Guttman Drogolin" w:hint="cs"/>
          <w:rtl/>
          <w:lang w:bidi="he-IL"/>
        </w:rPr>
        <w:t>להתכבד</w:t>
      </w:r>
      <w:r w:rsidR="00223779" w:rsidRPr="00882F11">
        <w:rPr>
          <w:rFonts w:cs="Guttman Drogolin"/>
          <w:rtl/>
          <w:lang w:bidi="he-IL"/>
        </w:rPr>
        <w:t xml:space="preserve">. </w:t>
      </w:r>
      <w:r w:rsidR="00223779" w:rsidRPr="00882F11">
        <w:rPr>
          <w:rFonts w:cs="Guttman Drogolin" w:hint="cs"/>
          <w:rtl/>
          <w:lang w:bidi="he-IL"/>
        </w:rPr>
        <w:t>והרא</w:t>
      </w:r>
      <w:r w:rsidR="00223779" w:rsidRPr="00882F11">
        <w:rPr>
          <w:rFonts w:cs="Guttman Drogolin"/>
          <w:rtl/>
          <w:lang w:bidi="he-IL"/>
        </w:rPr>
        <w:t>"</w:t>
      </w:r>
      <w:r w:rsidR="00223779" w:rsidRPr="00882F11">
        <w:rPr>
          <w:rFonts w:cs="Guttman Drogolin" w:hint="cs"/>
          <w:rtl/>
          <w:lang w:bidi="he-IL"/>
        </w:rPr>
        <w:t>ש</w:t>
      </w:r>
      <w:r w:rsidR="00223779" w:rsidRPr="00882F11">
        <w:rPr>
          <w:rFonts w:cs="Guttman Drogolin"/>
          <w:rtl/>
          <w:lang w:bidi="he-IL"/>
        </w:rPr>
        <w:t xml:space="preserve"> </w:t>
      </w:r>
      <w:r w:rsidR="00223779" w:rsidRPr="00882F11">
        <w:rPr>
          <w:rFonts w:cs="Guttman Drogolin" w:hint="cs"/>
          <w:rtl/>
          <w:lang w:bidi="he-IL"/>
        </w:rPr>
        <w:t>חלק</w:t>
      </w:r>
      <w:r w:rsidR="00223779" w:rsidRPr="00882F11">
        <w:rPr>
          <w:rFonts w:cs="Guttman Drogolin"/>
          <w:rtl/>
          <w:lang w:bidi="he-IL"/>
        </w:rPr>
        <w:t xml:space="preserve"> </w:t>
      </w:r>
      <w:r w:rsidR="00223779" w:rsidRPr="00882F11">
        <w:rPr>
          <w:rFonts w:cs="Guttman Drogolin" w:hint="cs"/>
          <w:rtl/>
          <w:lang w:bidi="he-IL"/>
        </w:rPr>
        <w:t>משום</w:t>
      </w:r>
      <w:r w:rsidR="00223779" w:rsidRPr="00882F11">
        <w:rPr>
          <w:rFonts w:cs="Guttman Drogolin"/>
          <w:rtl/>
          <w:lang w:bidi="he-IL"/>
        </w:rPr>
        <w:t xml:space="preserve"> </w:t>
      </w:r>
      <w:r w:rsidR="00223779" w:rsidRPr="00882F11">
        <w:rPr>
          <w:rFonts w:cs="Guttman Drogolin" w:hint="cs"/>
          <w:rtl/>
          <w:lang w:bidi="he-IL"/>
        </w:rPr>
        <w:t>שחומרת הדין דחהר"ל הוא מחמת השיעור של המאכל,</w:t>
      </w:r>
      <w:r w:rsidR="00223779" w:rsidRPr="00882F11">
        <w:rPr>
          <w:rFonts w:cs="Guttman Drogolin"/>
          <w:rtl/>
          <w:lang w:bidi="he-IL"/>
        </w:rPr>
        <w:t xml:space="preserve"> </w:t>
      </w:r>
      <w:r w:rsidR="00223779" w:rsidRPr="00882F11">
        <w:rPr>
          <w:rFonts w:cs="Guttman Drogolin" w:hint="cs"/>
          <w:rtl/>
          <w:lang w:bidi="he-IL"/>
        </w:rPr>
        <w:t>וזה</w:t>
      </w:r>
      <w:r w:rsidR="00223779" w:rsidRPr="00882F11">
        <w:rPr>
          <w:rFonts w:cs="Guttman Drogolin"/>
          <w:rtl/>
          <w:lang w:bidi="he-IL"/>
        </w:rPr>
        <w:t xml:space="preserve"> </w:t>
      </w:r>
      <w:r w:rsidR="00223779" w:rsidRPr="00882F11">
        <w:rPr>
          <w:rFonts w:cs="Guttman Drogolin" w:hint="cs"/>
          <w:rtl/>
          <w:lang w:bidi="he-IL"/>
        </w:rPr>
        <w:t>שאינו</w:t>
      </w:r>
      <w:r w:rsidR="00223779" w:rsidRPr="00882F11">
        <w:rPr>
          <w:rFonts w:cs="Guttman Drogolin"/>
          <w:rtl/>
          <w:lang w:bidi="he-IL"/>
        </w:rPr>
        <w:t xml:space="preserve"> </w:t>
      </w:r>
      <w:r w:rsidR="00223779" w:rsidRPr="00882F11">
        <w:rPr>
          <w:rFonts w:cs="Guttman Drogolin" w:hint="cs"/>
          <w:rtl/>
          <w:lang w:bidi="he-IL"/>
        </w:rPr>
        <w:t>מוכן</w:t>
      </w:r>
      <w:r w:rsidR="00223779" w:rsidRPr="00882F11">
        <w:rPr>
          <w:rFonts w:cs="Guttman Drogolin"/>
          <w:rtl/>
          <w:lang w:bidi="he-IL"/>
        </w:rPr>
        <w:t xml:space="preserve"> </w:t>
      </w:r>
      <w:r w:rsidR="00223779" w:rsidRPr="00882F11">
        <w:rPr>
          <w:rFonts w:cs="Guttman Drogolin" w:hint="cs"/>
          <w:rtl/>
          <w:lang w:bidi="he-IL"/>
        </w:rPr>
        <w:t>מטעמים</w:t>
      </w:r>
      <w:r w:rsidR="00223779" w:rsidRPr="00882F11">
        <w:rPr>
          <w:rFonts w:cs="Guttman Drogolin"/>
          <w:rtl/>
          <w:lang w:bidi="he-IL"/>
        </w:rPr>
        <w:t xml:space="preserve"> </w:t>
      </w:r>
      <w:r w:rsidR="00D236BB" w:rsidRPr="00882F11">
        <w:rPr>
          <w:rFonts w:cs="Guttman Drogolin" w:hint="cs"/>
          <w:rtl/>
          <w:lang w:bidi="he-IL"/>
        </w:rPr>
        <w:t>אחרי</w:t>
      </w:r>
      <w:r w:rsidR="00223779" w:rsidRPr="00882F11">
        <w:rPr>
          <w:rFonts w:cs="Guttman Drogolin" w:hint="cs"/>
          <w:rtl/>
          <w:lang w:bidi="he-IL"/>
        </w:rPr>
        <w:t>ם</w:t>
      </w:r>
      <w:r w:rsidR="00223779" w:rsidRPr="00882F11">
        <w:rPr>
          <w:rFonts w:cs="Guttman Drogolin"/>
          <w:rtl/>
          <w:lang w:bidi="he-IL"/>
        </w:rPr>
        <w:t xml:space="preserve"> </w:t>
      </w:r>
      <w:r w:rsidR="00223779" w:rsidRPr="00882F11">
        <w:rPr>
          <w:rFonts w:cs="Guttman Drogolin" w:hint="cs"/>
          <w:rtl/>
          <w:lang w:bidi="he-IL"/>
        </w:rPr>
        <w:t>אינו</w:t>
      </w:r>
      <w:r w:rsidR="00223779" w:rsidRPr="00882F11">
        <w:rPr>
          <w:rFonts w:cs="Guttman Drogolin"/>
          <w:rtl/>
          <w:lang w:bidi="he-IL"/>
        </w:rPr>
        <w:t xml:space="preserve"> </w:t>
      </w:r>
      <w:r w:rsidR="00223779" w:rsidRPr="00882F11">
        <w:rPr>
          <w:rFonts w:cs="Guttman Drogolin" w:hint="cs"/>
          <w:rtl/>
          <w:lang w:bidi="he-IL"/>
        </w:rPr>
        <w:t>טעם</w:t>
      </w:r>
      <w:r w:rsidR="00223779" w:rsidRPr="00882F11">
        <w:rPr>
          <w:rFonts w:cs="Guttman Drogolin"/>
          <w:rtl/>
          <w:lang w:bidi="he-IL"/>
        </w:rPr>
        <w:t xml:space="preserve"> </w:t>
      </w:r>
      <w:r w:rsidR="00223779" w:rsidRPr="00882F11">
        <w:rPr>
          <w:rFonts w:cs="Guttman Drogolin" w:hint="cs"/>
          <w:rtl/>
          <w:lang w:bidi="he-IL"/>
        </w:rPr>
        <w:t>לומר</w:t>
      </w:r>
      <w:r w:rsidR="00223779" w:rsidRPr="00882F11">
        <w:rPr>
          <w:rFonts w:cs="Guttman Drogolin"/>
          <w:rtl/>
          <w:lang w:bidi="he-IL"/>
        </w:rPr>
        <w:t xml:space="preserve"> </w:t>
      </w:r>
      <w:r w:rsidR="00223779" w:rsidRPr="00882F11">
        <w:rPr>
          <w:rFonts w:cs="Guttman Drogolin" w:hint="cs"/>
          <w:rtl/>
          <w:lang w:bidi="he-IL"/>
        </w:rPr>
        <w:t>שאינו</w:t>
      </w:r>
      <w:r w:rsidR="00223779" w:rsidRPr="00882F11">
        <w:rPr>
          <w:rFonts w:cs="Guttman Drogolin"/>
          <w:rtl/>
          <w:lang w:bidi="he-IL"/>
        </w:rPr>
        <w:t xml:space="preserve"> </w:t>
      </w:r>
      <w:r w:rsidR="00223779" w:rsidRPr="00882F11">
        <w:rPr>
          <w:rFonts w:cs="Guttman Drogolin" w:hint="cs"/>
          <w:rtl/>
          <w:lang w:bidi="he-IL"/>
        </w:rPr>
        <w:t>ראוי</w:t>
      </w:r>
      <w:r w:rsidR="00223779" w:rsidRPr="00882F11">
        <w:rPr>
          <w:rFonts w:cs="Guttman Drogolin"/>
          <w:rtl/>
          <w:lang w:bidi="he-IL"/>
        </w:rPr>
        <w:t xml:space="preserve"> </w:t>
      </w:r>
      <w:r w:rsidR="00223779" w:rsidRPr="00882F11">
        <w:rPr>
          <w:rFonts w:cs="Guttman Drogolin" w:hint="cs"/>
          <w:rtl/>
          <w:lang w:bidi="he-IL"/>
        </w:rPr>
        <w:t>להתכבד</w:t>
      </w:r>
      <w:r w:rsidR="00223779" w:rsidRPr="00882F11">
        <w:rPr>
          <w:rFonts w:cs="Guttman Drogolin"/>
          <w:rtl/>
          <w:lang w:bidi="he-IL"/>
        </w:rPr>
        <w:t xml:space="preserve">. </w:t>
      </w:r>
      <w:r w:rsidR="00223779" w:rsidRPr="00882F11">
        <w:rPr>
          <w:rFonts w:cs="Guttman Drogolin" w:hint="cs"/>
          <w:rtl/>
          <w:lang w:bidi="he-IL"/>
        </w:rPr>
        <w:t>וע</w:t>
      </w:r>
      <w:r w:rsidR="00223779" w:rsidRPr="00882F11">
        <w:rPr>
          <w:rFonts w:cs="Guttman Drogolin"/>
          <w:rtl/>
          <w:lang w:bidi="he-IL"/>
        </w:rPr>
        <w:t xml:space="preserve">' </w:t>
      </w:r>
      <w:r w:rsidR="00223779" w:rsidRPr="00882F11">
        <w:rPr>
          <w:rFonts w:cs="Guttman Drogolin" w:hint="cs"/>
          <w:rtl/>
          <w:lang w:bidi="he-IL"/>
        </w:rPr>
        <w:t>מחבר</w:t>
      </w:r>
      <w:r w:rsidR="00223779" w:rsidRPr="00882F11">
        <w:rPr>
          <w:rFonts w:cs="Guttman Drogolin"/>
          <w:rtl/>
          <w:lang w:bidi="he-IL"/>
        </w:rPr>
        <w:t xml:space="preserve"> </w:t>
      </w:r>
      <w:r w:rsidR="00223779" w:rsidRPr="00882F11">
        <w:rPr>
          <w:rFonts w:cs="Guttman Drogolin" w:hint="cs"/>
          <w:rtl/>
          <w:lang w:bidi="he-IL"/>
        </w:rPr>
        <w:t>שהביא</w:t>
      </w:r>
      <w:r w:rsidR="00223779" w:rsidRPr="00882F11">
        <w:rPr>
          <w:rFonts w:cs="Guttman Drogolin"/>
          <w:rtl/>
          <w:lang w:bidi="he-IL"/>
        </w:rPr>
        <w:t xml:space="preserve"> </w:t>
      </w:r>
      <w:r w:rsidR="00223779" w:rsidRPr="00882F11">
        <w:rPr>
          <w:rFonts w:cs="Guttman Drogolin" w:hint="cs"/>
          <w:rtl/>
          <w:lang w:bidi="he-IL"/>
        </w:rPr>
        <w:t>ב</w:t>
      </w:r>
      <w:r w:rsidR="00223779" w:rsidRPr="00882F11">
        <w:rPr>
          <w:rFonts w:cs="Guttman Drogolin"/>
          <w:rtl/>
          <w:lang w:bidi="he-IL"/>
        </w:rPr>
        <w:t xml:space="preserve">' </w:t>
      </w:r>
      <w:r w:rsidR="00223779" w:rsidRPr="00882F11">
        <w:rPr>
          <w:rFonts w:cs="Guttman Drogolin" w:hint="cs"/>
          <w:rtl/>
          <w:lang w:bidi="he-IL"/>
        </w:rPr>
        <w:t>הדעות</w:t>
      </w:r>
      <w:r w:rsidR="00223779" w:rsidRPr="00882F11">
        <w:rPr>
          <w:rFonts w:cs="Guttman Drogolin"/>
          <w:rtl/>
          <w:lang w:bidi="he-IL"/>
        </w:rPr>
        <w:t xml:space="preserve"> </w:t>
      </w:r>
      <w:r w:rsidR="00223779" w:rsidRPr="00882F11">
        <w:rPr>
          <w:rFonts w:cs="Guttman Drogolin" w:hint="cs"/>
          <w:rtl/>
          <w:lang w:bidi="he-IL"/>
        </w:rPr>
        <w:t>ומשמע</w:t>
      </w:r>
      <w:r w:rsidR="00223779" w:rsidRPr="00882F11">
        <w:rPr>
          <w:rFonts w:cs="Guttman Drogolin"/>
          <w:rtl/>
          <w:lang w:bidi="he-IL"/>
        </w:rPr>
        <w:t xml:space="preserve"> </w:t>
      </w:r>
      <w:r w:rsidR="00223779" w:rsidRPr="00882F11">
        <w:rPr>
          <w:rFonts w:cs="Guttman Drogolin" w:hint="cs"/>
          <w:rtl/>
          <w:lang w:bidi="he-IL"/>
        </w:rPr>
        <w:t>דהעיקר</w:t>
      </w:r>
      <w:r w:rsidR="00223779" w:rsidRPr="00882F11">
        <w:rPr>
          <w:rFonts w:cs="Guttman Drogolin"/>
          <w:rtl/>
          <w:lang w:bidi="he-IL"/>
        </w:rPr>
        <w:t xml:space="preserve"> </w:t>
      </w:r>
      <w:r w:rsidR="00223779" w:rsidRPr="00882F11">
        <w:rPr>
          <w:rFonts w:cs="Guttman Drogolin" w:hint="cs"/>
          <w:rtl/>
          <w:lang w:bidi="he-IL"/>
        </w:rPr>
        <w:t>לדעת</w:t>
      </w:r>
      <w:r w:rsidR="00223779" w:rsidRPr="00882F11">
        <w:rPr>
          <w:rFonts w:cs="Guttman Drogolin"/>
          <w:rtl/>
          <w:lang w:bidi="he-IL"/>
        </w:rPr>
        <w:t xml:space="preserve"> </w:t>
      </w:r>
      <w:r w:rsidR="00223779" w:rsidRPr="00882F11">
        <w:rPr>
          <w:rFonts w:cs="Guttman Drogolin" w:hint="cs"/>
          <w:rtl/>
          <w:lang w:bidi="he-IL"/>
        </w:rPr>
        <w:t>המחבר</w:t>
      </w:r>
      <w:r w:rsidR="00223779" w:rsidRPr="00882F11">
        <w:rPr>
          <w:rFonts w:cs="Guttman Drogolin"/>
          <w:rtl/>
          <w:lang w:bidi="he-IL"/>
        </w:rPr>
        <w:t xml:space="preserve"> </w:t>
      </w:r>
      <w:r w:rsidR="00223779" w:rsidRPr="00882F11">
        <w:rPr>
          <w:rFonts w:cs="Guttman Drogolin" w:hint="cs"/>
          <w:rtl/>
          <w:lang w:bidi="he-IL"/>
        </w:rPr>
        <w:t>כמקילים</w:t>
      </w:r>
      <w:r w:rsidR="00223779" w:rsidRPr="00882F11">
        <w:rPr>
          <w:rFonts w:cs="Guttman Drogolin"/>
          <w:rtl/>
          <w:lang w:bidi="he-IL"/>
        </w:rPr>
        <w:t xml:space="preserve">. </w:t>
      </w:r>
      <w:r w:rsidR="00223779" w:rsidRPr="00882F11">
        <w:rPr>
          <w:rFonts w:cs="Guttman Drogolin" w:hint="cs"/>
          <w:rtl/>
          <w:lang w:bidi="he-IL"/>
        </w:rPr>
        <w:t>והרמ</w:t>
      </w:r>
      <w:r w:rsidR="00223779" w:rsidRPr="00882F11">
        <w:rPr>
          <w:rFonts w:cs="Guttman Drogolin"/>
          <w:rtl/>
          <w:lang w:bidi="he-IL"/>
        </w:rPr>
        <w:t>"</w:t>
      </w:r>
      <w:r w:rsidR="00223779" w:rsidRPr="00882F11">
        <w:rPr>
          <w:rFonts w:cs="Guttman Drogolin" w:hint="cs"/>
          <w:rtl/>
          <w:lang w:bidi="he-IL"/>
        </w:rPr>
        <w:t>א</w:t>
      </w:r>
      <w:r w:rsidR="00223779" w:rsidRPr="00882F11">
        <w:rPr>
          <w:rFonts w:cs="Guttman Drogolin"/>
          <w:rtl/>
          <w:lang w:bidi="he-IL"/>
        </w:rPr>
        <w:t xml:space="preserve"> </w:t>
      </w:r>
      <w:r w:rsidR="00223779" w:rsidRPr="00882F11">
        <w:rPr>
          <w:rFonts w:cs="Guttman Drogolin" w:hint="cs"/>
          <w:rtl/>
          <w:lang w:bidi="he-IL"/>
        </w:rPr>
        <w:t>כתב</w:t>
      </w:r>
      <w:r w:rsidR="00223779" w:rsidRPr="00882F11">
        <w:rPr>
          <w:rFonts w:cs="Guttman Drogolin"/>
          <w:rtl/>
          <w:lang w:bidi="he-IL"/>
        </w:rPr>
        <w:t xml:space="preserve"> </w:t>
      </w:r>
      <w:r w:rsidR="00223779" w:rsidRPr="00882F11">
        <w:rPr>
          <w:rFonts w:cs="Guttman Drogolin" w:hint="cs"/>
          <w:rtl/>
          <w:lang w:bidi="he-IL"/>
        </w:rPr>
        <w:t>וכן</w:t>
      </w:r>
      <w:r w:rsidR="00223779" w:rsidRPr="00882F11">
        <w:rPr>
          <w:rFonts w:cs="Guttman Drogolin"/>
          <w:rtl/>
          <w:lang w:bidi="he-IL"/>
        </w:rPr>
        <w:t xml:space="preserve"> </w:t>
      </w:r>
      <w:r w:rsidR="00223779" w:rsidRPr="00882F11">
        <w:rPr>
          <w:rFonts w:cs="Guttman Drogolin" w:hint="cs"/>
          <w:rtl/>
          <w:lang w:bidi="he-IL"/>
        </w:rPr>
        <w:t>נוהגים</w:t>
      </w:r>
      <w:r w:rsidR="00223779" w:rsidRPr="00882F11">
        <w:rPr>
          <w:rFonts w:cs="Guttman Drogolin"/>
          <w:rtl/>
          <w:lang w:bidi="he-IL"/>
        </w:rPr>
        <w:t xml:space="preserve"> </w:t>
      </w:r>
      <w:r w:rsidR="00223779" w:rsidRPr="00882F11">
        <w:rPr>
          <w:rFonts w:cs="Guttman Drogolin" w:hint="cs"/>
          <w:rtl/>
          <w:lang w:bidi="he-IL"/>
        </w:rPr>
        <w:t>ר</w:t>
      </w:r>
      <w:r w:rsidR="00223779" w:rsidRPr="00882F11">
        <w:rPr>
          <w:rFonts w:cs="Guttman Drogolin"/>
          <w:rtl/>
          <w:lang w:bidi="he-IL"/>
        </w:rPr>
        <w:t>"</w:t>
      </w:r>
      <w:r w:rsidR="00223779" w:rsidRPr="00882F11">
        <w:rPr>
          <w:rFonts w:cs="Guttman Drogolin" w:hint="cs"/>
          <w:rtl/>
          <w:lang w:bidi="he-IL"/>
        </w:rPr>
        <w:t>ל</w:t>
      </w:r>
      <w:r w:rsidR="00223779" w:rsidRPr="00882F11">
        <w:rPr>
          <w:rFonts w:cs="Guttman Drogolin"/>
          <w:rtl/>
          <w:lang w:bidi="he-IL"/>
        </w:rPr>
        <w:t xml:space="preserve"> </w:t>
      </w:r>
      <w:r w:rsidR="00223779" w:rsidRPr="00882F11">
        <w:rPr>
          <w:rFonts w:cs="Guttman Drogolin" w:hint="cs"/>
          <w:rtl/>
          <w:lang w:bidi="he-IL"/>
        </w:rPr>
        <w:t>כשיטת</w:t>
      </w:r>
      <w:r w:rsidR="00223779" w:rsidRPr="00882F11">
        <w:rPr>
          <w:rFonts w:cs="Guttman Drogolin"/>
          <w:rtl/>
          <w:lang w:bidi="he-IL"/>
        </w:rPr>
        <w:t xml:space="preserve"> </w:t>
      </w:r>
      <w:r w:rsidR="00223779" w:rsidRPr="00882F11">
        <w:rPr>
          <w:rFonts w:cs="Guttman Drogolin" w:hint="cs"/>
          <w:rtl/>
          <w:lang w:bidi="he-IL"/>
        </w:rPr>
        <w:t>הרא</w:t>
      </w:r>
      <w:r w:rsidR="00223779" w:rsidRPr="00882F11">
        <w:rPr>
          <w:rFonts w:cs="Guttman Drogolin"/>
          <w:rtl/>
          <w:lang w:bidi="he-IL"/>
        </w:rPr>
        <w:t>"</w:t>
      </w:r>
      <w:r w:rsidR="00223779" w:rsidRPr="00882F11">
        <w:rPr>
          <w:rFonts w:cs="Guttman Drogolin" w:hint="cs"/>
          <w:rtl/>
          <w:lang w:bidi="he-IL"/>
        </w:rPr>
        <w:t>ש</w:t>
      </w:r>
      <w:r w:rsidR="00223779" w:rsidRPr="00882F11">
        <w:rPr>
          <w:rFonts w:cs="Guttman Drogolin"/>
          <w:rtl/>
          <w:lang w:bidi="he-IL"/>
        </w:rPr>
        <w:t xml:space="preserve"> </w:t>
      </w:r>
      <w:r w:rsidR="00223779" w:rsidRPr="00882F11">
        <w:rPr>
          <w:rFonts w:cs="Guttman Drogolin" w:hint="cs"/>
          <w:rtl/>
          <w:lang w:bidi="he-IL"/>
        </w:rPr>
        <w:t>חוץ</w:t>
      </w:r>
      <w:r w:rsidR="00223779" w:rsidRPr="00882F11">
        <w:rPr>
          <w:rFonts w:cs="Guttman Drogolin"/>
          <w:rtl/>
          <w:lang w:bidi="he-IL"/>
        </w:rPr>
        <w:t xml:space="preserve"> </w:t>
      </w:r>
      <w:r w:rsidR="00223779" w:rsidRPr="00882F11">
        <w:rPr>
          <w:rFonts w:cs="Guttman Drogolin" w:hint="cs"/>
          <w:rtl/>
          <w:lang w:bidi="he-IL"/>
        </w:rPr>
        <w:t>מתרנגולת</w:t>
      </w:r>
      <w:r w:rsidR="00223779" w:rsidRPr="00882F11">
        <w:rPr>
          <w:rFonts w:cs="Guttman Drogolin"/>
          <w:rtl/>
          <w:lang w:bidi="he-IL"/>
        </w:rPr>
        <w:t xml:space="preserve"> </w:t>
      </w:r>
      <w:r w:rsidR="00223779" w:rsidRPr="00882F11">
        <w:rPr>
          <w:rFonts w:cs="Guttman Drogolin" w:hint="cs"/>
          <w:rtl/>
          <w:lang w:bidi="he-IL"/>
        </w:rPr>
        <w:t>בנוצתה</w:t>
      </w:r>
      <w:r w:rsidR="00223779" w:rsidRPr="00882F11">
        <w:rPr>
          <w:rFonts w:cs="Guttman Drogolin"/>
          <w:rtl/>
          <w:lang w:bidi="he-IL"/>
        </w:rPr>
        <w:t xml:space="preserve"> </w:t>
      </w:r>
      <w:r w:rsidR="00223779" w:rsidRPr="00882F11">
        <w:rPr>
          <w:rFonts w:cs="Guttman Drogolin" w:hint="cs"/>
          <w:rtl/>
          <w:lang w:bidi="he-IL"/>
        </w:rPr>
        <w:t>וכו</w:t>
      </w:r>
      <w:r w:rsidR="00223779" w:rsidRPr="00882F11">
        <w:rPr>
          <w:rFonts w:cs="Guttman Drogolin"/>
          <w:rtl/>
          <w:lang w:bidi="he-IL"/>
        </w:rPr>
        <w:t>'</w:t>
      </w:r>
      <w:r w:rsidR="00D236BB" w:rsidRPr="00882F11">
        <w:rPr>
          <w:rFonts w:cs="Guttman Drogolin" w:hint="cs"/>
          <w:rtl/>
          <w:lang w:bidi="he-IL"/>
        </w:rPr>
        <w:t xml:space="preserve"> שיש בהם טירחא גדולה</w:t>
      </w:r>
      <w:r w:rsidR="00223779" w:rsidRPr="00882F11">
        <w:rPr>
          <w:rFonts w:cs="Guttman Drogolin"/>
          <w:rtl/>
          <w:lang w:bidi="he-IL"/>
        </w:rPr>
        <w:t xml:space="preserve">. </w:t>
      </w:r>
      <w:r w:rsidR="00223779" w:rsidRPr="00882F11">
        <w:rPr>
          <w:rFonts w:cs="Guttman Drogolin" w:hint="cs"/>
          <w:rtl/>
          <w:lang w:bidi="he-IL"/>
        </w:rPr>
        <w:t>והוא</w:t>
      </w:r>
      <w:r w:rsidR="00223779" w:rsidRPr="00882F11">
        <w:rPr>
          <w:rFonts w:cs="Guttman Drogolin"/>
          <w:rtl/>
          <w:lang w:bidi="he-IL"/>
        </w:rPr>
        <w:t xml:space="preserve"> </w:t>
      </w:r>
      <w:r w:rsidR="00223779" w:rsidRPr="00882F11">
        <w:rPr>
          <w:rFonts w:cs="Guttman Drogolin" w:hint="cs"/>
          <w:rtl/>
          <w:lang w:bidi="he-IL"/>
        </w:rPr>
        <w:t>כעין</w:t>
      </w:r>
      <w:r w:rsidR="00223779" w:rsidRPr="00882F11">
        <w:rPr>
          <w:rFonts w:cs="Guttman Drogolin"/>
          <w:rtl/>
          <w:lang w:bidi="he-IL"/>
        </w:rPr>
        <w:t xml:space="preserve"> </w:t>
      </w:r>
      <w:r w:rsidR="00223779" w:rsidRPr="00882F11">
        <w:rPr>
          <w:rFonts w:cs="Guttman Drogolin" w:hint="cs"/>
          <w:rtl/>
          <w:lang w:bidi="he-IL"/>
        </w:rPr>
        <w:t>פשרה</w:t>
      </w:r>
      <w:r w:rsidR="00223779" w:rsidRPr="00882F11">
        <w:rPr>
          <w:rFonts w:cs="Guttman Drogolin"/>
          <w:rtl/>
          <w:lang w:bidi="he-IL"/>
        </w:rPr>
        <w:t xml:space="preserve"> </w:t>
      </w:r>
      <w:r w:rsidR="00223779" w:rsidRPr="00882F11">
        <w:rPr>
          <w:rFonts w:cs="Guttman Drogolin" w:hint="cs"/>
          <w:rtl/>
          <w:lang w:bidi="he-IL"/>
        </w:rPr>
        <w:t>בין</w:t>
      </w:r>
      <w:r w:rsidR="00223779" w:rsidRPr="00882F11">
        <w:rPr>
          <w:rFonts w:cs="Guttman Drogolin"/>
          <w:rtl/>
          <w:lang w:bidi="he-IL"/>
        </w:rPr>
        <w:t xml:space="preserve"> </w:t>
      </w:r>
      <w:r w:rsidR="00223779" w:rsidRPr="00882F11">
        <w:rPr>
          <w:rFonts w:cs="Guttman Drogolin" w:hint="cs"/>
          <w:rtl/>
          <w:lang w:bidi="he-IL"/>
        </w:rPr>
        <w:t>השיטות</w:t>
      </w:r>
      <w:r w:rsidR="00223779" w:rsidRPr="00882F11">
        <w:rPr>
          <w:rFonts w:cs="Guttman Drogolin"/>
          <w:rtl/>
          <w:lang w:bidi="he-IL"/>
        </w:rPr>
        <w:t xml:space="preserve"> </w:t>
      </w:r>
      <w:r w:rsidR="00223779" w:rsidRPr="00882F11">
        <w:rPr>
          <w:rFonts w:cs="Guttman Drogolin" w:hint="cs"/>
          <w:rtl/>
          <w:lang w:bidi="he-IL"/>
        </w:rPr>
        <w:t>שעיקרו</w:t>
      </w:r>
      <w:r w:rsidR="00223779" w:rsidRPr="00882F11">
        <w:rPr>
          <w:rFonts w:cs="Guttman Drogolin"/>
          <w:rtl/>
          <w:lang w:bidi="he-IL"/>
        </w:rPr>
        <w:t xml:space="preserve"> </w:t>
      </w:r>
      <w:r w:rsidR="00223779" w:rsidRPr="00882F11">
        <w:rPr>
          <w:rFonts w:cs="Guttman Drogolin" w:hint="cs"/>
          <w:rtl/>
          <w:lang w:bidi="he-IL"/>
        </w:rPr>
        <w:t>כשיטת</w:t>
      </w:r>
      <w:r w:rsidR="00223779" w:rsidRPr="00882F11">
        <w:rPr>
          <w:rFonts w:cs="Guttman Drogolin"/>
          <w:rtl/>
          <w:lang w:bidi="he-IL"/>
        </w:rPr>
        <w:t xml:space="preserve"> </w:t>
      </w:r>
      <w:r w:rsidR="00223779" w:rsidRPr="00882F11">
        <w:rPr>
          <w:rFonts w:cs="Guttman Drogolin" w:hint="cs"/>
          <w:rtl/>
          <w:lang w:bidi="he-IL"/>
        </w:rPr>
        <w:t>הרא</w:t>
      </w:r>
      <w:r w:rsidR="00223779" w:rsidRPr="00882F11">
        <w:rPr>
          <w:rFonts w:cs="Guttman Drogolin"/>
          <w:rtl/>
          <w:lang w:bidi="he-IL"/>
        </w:rPr>
        <w:t>"</w:t>
      </w:r>
      <w:r w:rsidR="00223779" w:rsidRPr="00882F11">
        <w:rPr>
          <w:rFonts w:cs="Guttman Drogolin" w:hint="cs"/>
          <w:rtl/>
          <w:lang w:bidi="he-IL"/>
        </w:rPr>
        <w:t>ש</w:t>
      </w:r>
      <w:r w:rsidR="00D236BB" w:rsidRPr="00882F11">
        <w:rPr>
          <w:rStyle w:val="FootnoteReference"/>
          <w:rFonts w:cs="Guttman Drogolin"/>
          <w:rtl/>
          <w:lang w:bidi="he-IL"/>
        </w:rPr>
        <w:footnoteReference w:id="357"/>
      </w:r>
      <w:r w:rsidR="00223779" w:rsidRPr="00882F11">
        <w:rPr>
          <w:rFonts w:cs="Guttman Drogolin"/>
          <w:rtl/>
          <w:lang w:bidi="he-IL"/>
        </w:rPr>
        <w:t xml:space="preserve">. </w:t>
      </w:r>
      <w:r w:rsidR="00D236BB" w:rsidRPr="00882F11">
        <w:rPr>
          <w:rFonts w:cs="Guttman Drogolin" w:hint="cs"/>
          <w:rtl/>
          <w:lang w:bidi="he-IL"/>
        </w:rPr>
        <w:t xml:space="preserve">ופוסקי זמנינו </w:t>
      </w:r>
      <w:r w:rsidR="00223779" w:rsidRPr="00882F11">
        <w:rPr>
          <w:rFonts w:cs="Guttman Drogolin" w:hint="cs"/>
          <w:rtl/>
          <w:lang w:bidi="he-IL"/>
        </w:rPr>
        <w:t>דנו</w:t>
      </w:r>
      <w:r w:rsidR="00223779" w:rsidRPr="00882F11">
        <w:rPr>
          <w:rFonts w:cs="Guttman Drogolin"/>
          <w:rtl/>
          <w:lang w:bidi="he-IL"/>
        </w:rPr>
        <w:t xml:space="preserve"> </w:t>
      </w:r>
      <w:r w:rsidR="00223779" w:rsidRPr="00882F11">
        <w:rPr>
          <w:rFonts w:cs="Guttman Drogolin" w:hint="cs"/>
          <w:rtl/>
          <w:lang w:bidi="he-IL"/>
        </w:rPr>
        <w:t>אם</w:t>
      </w:r>
      <w:r w:rsidR="00223779" w:rsidRPr="00882F11">
        <w:rPr>
          <w:rFonts w:cs="Guttman Drogolin"/>
          <w:rtl/>
          <w:lang w:bidi="he-IL"/>
        </w:rPr>
        <w:t xml:space="preserve"> </w:t>
      </w:r>
      <w:r w:rsidR="00223779" w:rsidRPr="00882F11">
        <w:rPr>
          <w:rFonts w:cs="Guttman Drogolin" w:hint="cs"/>
          <w:rtl/>
          <w:lang w:bidi="he-IL"/>
        </w:rPr>
        <w:t>תרנגולת</w:t>
      </w:r>
      <w:r w:rsidR="00223779" w:rsidRPr="00882F11">
        <w:rPr>
          <w:rFonts w:cs="Guttman Drogolin"/>
          <w:rtl/>
          <w:lang w:bidi="he-IL"/>
        </w:rPr>
        <w:t xml:space="preserve"> </w:t>
      </w:r>
      <w:r w:rsidR="00223779" w:rsidRPr="00882F11">
        <w:rPr>
          <w:rFonts w:cs="Guttman Drogolin" w:hint="cs"/>
          <w:rtl/>
          <w:lang w:bidi="he-IL"/>
        </w:rPr>
        <w:t>בנוצתה</w:t>
      </w:r>
      <w:r w:rsidR="00223779" w:rsidRPr="00882F11">
        <w:rPr>
          <w:rFonts w:cs="Guttman Drogolin"/>
          <w:rtl/>
          <w:lang w:bidi="he-IL"/>
        </w:rPr>
        <w:t xml:space="preserve"> </w:t>
      </w:r>
      <w:r w:rsidR="00223779" w:rsidRPr="00882F11">
        <w:rPr>
          <w:rFonts w:cs="Guttman Drogolin" w:hint="cs"/>
          <w:rtl/>
          <w:lang w:bidi="he-IL"/>
        </w:rPr>
        <w:t>הוי</w:t>
      </w:r>
      <w:r w:rsidR="00223779" w:rsidRPr="00882F11">
        <w:rPr>
          <w:rFonts w:cs="Guttman Drogolin"/>
          <w:rtl/>
          <w:lang w:bidi="he-IL"/>
        </w:rPr>
        <w:t xml:space="preserve"> </w:t>
      </w:r>
      <w:r w:rsidR="00223779" w:rsidRPr="00882F11">
        <w:rPr>
          <w:rFonts w:cs="Guttman Drogolin" w:hint="cs"/>
          <w:rtl/>
          <w:lang w:bidi="he-IL"/>
        </w:rPr>
        <w:t>חרה</w:t>
      </w:r>
      <w:r w:rsidR="00223779" w:rsidRPr="00882F11">
        <w:rPr>
          <w:rFonts w:cs="Guttman Drogolin"/>
          <w:rtl/>
          <w:lang w:bidi="he-IL"/>
        </w:rPr>
        <w:t>"</w:t>
      </w:r>
      <w:r w:rsidR="00223779" w:rsidRPr="00882F11">
        <w:rPr>
          <w:rFonts w:cs="Guttman Drogolin" w:hint="cs"/>
          <w:rtl/>
          <w:lang w:bidi="he-IL"/>
        </w:rPr>
        <w:t>ל</w:t>
      </w:r>
      <w:r w:rsidR="00223779" w:rsidRPr="00882F11">
        <w:rPr>
          <w:rFonts w:cs="Guttman Drogolin"/>
          <w:rtl/>
          <w:lang w:bidi="he-IL"/>
        </w:rPr>
        <w:t xml:space="preserve"> </w:t>
      </w:r>
      <w:r w:rsidR="00D236BB" w:rsidRPr="00882F11">
        <w:rPr>
          <w:rFonts w:cs="Guttman Drogolin" w:hint="cs"/>
          <w:rtl/>
          <w:lang w:bidi="he-IL"/>
        </w:rPr>
        <w:t xml:space="preserve">גם היום </w:t>
      </w:r>
      <w:r w:rsidR="00223779" w:rsidRPr="00882F11">
        <w:rPr>
          <w:rFonts w:cs="Guttman Drogolin" w:hint="cs"/>
          <w:rtl/>
          <w:lang w:bidi="he-IL"/>
        </w:rPr>
        <w:t>כיון</w:t>
      </w:r>
      <w:r w:rsidR="00223779" w:rsidRPr="00882F11">
        <w:rPr>
          <w:rFonts w:cs="Guttman Drogolin"/>
          <w:rtl/>
          <w:lang w:bidi="he-IL"/>
        </w:rPr>
        <w:t xml:space="preserve"> </w:t>
      </w:r>
      <w:r w:rsidR="00223779" w:rsidRPr="00882F11">
        <w:rPr>
          <w:rFonts w:cs="Guttman Drogolin" w:hint="cs"/>
          <w:rtl/>
          <w:lang w:bidi="he-IL"/>
        </w:rPr>
        <w:t>שהיום</w:t>
      </w:r>
      <w:r w:rsidR="00223779" w:rsidRPr="00882F11">
        <w:rPr>
          <w:rFonts w:cs="Guttman Drogolin"/>
          <w:rtl/>
          <w:lang w:bidi="he-IL"/>
        </w:rPr>
        <w:t xml:space="preserve"> </w:t>
      </w:r>
      <w:r w:rsidR="00223779" w:rsidRPr="00882F11">
        <w:rPr>
          <w:rFonts w:cs="Guttman Drogolin" w:hint="cs"/>
          <w:rtl/>
          <w:lang w:bidi="he-IL"/>
        </w:rPr>
        <w:t>מסירים</w:t>
      </w:r>
      <w:r w:rsidR="00223779" w:rsidRPr="00882F11">
        <w:rPr>
          <w:rFonts w:cs="Guttman Drogolin"/>
          <w:rtl/>
          <w:lang w:bidi="he-IL"/>
        </w:rPr>
        <w:t xml:space="preserve"> </w:t>
      </w:r>
      <w:r w:rsidR="00223779" w:rsidRPr="00882F11">
        <w:rPr>
          <w:rFonts w:cs="Guttman Drogolin" w:hint="cs"/>
          <w:rtl/>
          <w:lang w:bidi="he-IL"/>
        </w:rPr>
        <w:t>הנוצה</w:t>
      </w:r>
      <w:r w:rsidR="00223779" w:rsidRPr="00882F11">
        <w:rPr>
          <w:rFonts w:cs="Guttman Drogolin"/>
          <w:rtl/>
          <w:lang w:bidi="he-IL"/>
        </w:rPr>
        <w:t xml:space="preserve"> </w:t>
      </w:r>
      <w:r w:rsidR="00223779" w:rsidRPr="00882F11">
        <w:rPr>
          <w:rFonts w:cs="Guttman Drogolin" w:hint="cs"/>
          <w:rtl/>
          <w:lang w:bidi="he-IL"/>
        </w:rPr>
        <w:t>בקלות</w:t>
      </w:r>
      <w:r w:rsidR="00D236BB" w:rsidRPr="00882F11">
        <w:rPr>
          <w:rFonts w:cs="Guttman Drogolin" w:hint="cs"/>
          <w:rtl/>
          <w:lang w:bidi="he-IL"/>
        </w:rPr>
        <w:t xml:space="preserve"> ע"י מכונות וכדומה</w:t>
      </w:r>
      <w:r w:rsidR="00223779" w:rsidRPr="00882F11">
        <w:rPr>
          <w:rFonts w:cs="Guttman Drogolin"/>
          <w:rtl/>
          <w:lang w:bidi="he-IL"/>
        </w:rPr>
        <w:t xml:space="preserve">. </w:t>
      </w:r>
      <w:r w:rsidR="00223779" w:rsidRPr="00882F11">
        <w:rPr>
          <w:rFonts w:cs="Guttman Drogolin" w:hint="cs"/>
          <w:rtl/>
          <w:lang w:bidi="he-IL"/>
        </w:rPr>
        <w:t>וצ</w:t>
      </w:r>
      <w:r w:rsidR="00223779" w:rsidRPr="00882F11">
        <w:rPr>
          <w:rFonts w:cs="Guttman Drogolin"/>
          <w:rtl/>
          <w:lang w:bidi="he-IL"/>
        </w:rPr>
        <w:t>"</w:t>
      </w:r>
      <w:r w:rsidR="00223779" w:rsidRPr="00882F11">
        <w:rPr>
          <w:rFonts w:cs="Guttman Drogolin" w:hint="cs"/>
          <w:rtl/>
          <w:lang w:bidi="he-IL"/>
        </w:rPr>
        <w:t>ע</w:t>
      </w:r>
      <w:r w:rsidR="00223779" w:rsidRPr="00882F11">
        <w:rPr>
          <w:rFonts w:cs="Guttman Drogolin"/>
          <w:rtl/>
          <w:lang w:bidi="he-IL"/>
        </w:rPr>
        <w:t xml:space="preserve"> </w:t>
      </w:r>
      <w:r w:rsidR="00223779" w:rsidRPr="00882F11">
        <w:rPr>
          <w:rFonts w:cs="Guttman Drogolin" w:hint="cs"/>
          <w:rtl/>
          <w:lang w:bidi="he-IL"/>
        </w:rPr>
        <w:t>דעות</w:t>
      </w:r>
      <w:r w:rsidR="00223779" w:rsidRPr="00882F11">
        <w:rPr>
          <w:rFonts w:cs="Guttman Drogolin"/>
          <w:rtl/>
          <w:lang w:bidi="he-IL"/>
        </w:rPr>
        <w:t xml:space="preserve"> </w:t>
      </w:r>
      <w:r w:rsidR="00223779" w:rsidRPr="00882F11">
        <w:rPr>
          <w:rFonts w:cs="Guttman Drogolin" w:hint="cs"/>
          <w:rtl/>
          <w:lang w:bidi="he-IL"/>
        </w:rPr>
        <w:t>הסוברים</w:t>
      </w:r>
      <w:r w:rsidR="00223779" w:rsidRPr="00882F11">
        <w:rPr>
          <w:rFonts w:cs="Guttman Drogolin"/>
          <w:rtl/>
          <w:lang w:bidi="he-IL"/>
        </w:rPr>
        <w:t xml:space="preserve"> </w:t>
      </w:r>
      <w:r w:rsidR="00223779" w:rsidRPr="00882F11">
        <w:rPr>
          <w:rFonts w:cs="Guttman Drogolin" w:hint="cs"/>
          <w:rtl/>
          <w:lang w:bidi="he-IL"/>
        </w:rPr>
        <w:t>שלא</w:t>
      </w:r>
      <w:r w:rsidR="00223779" w:rsidRPr="00882F11">
        <w:rPr>
          <w:rFonts w:cs="Guttman Drogolin"/>
          <w:rtl/>
          <w:lang w:bidi="he-IL"/>
        </w:rPr>
        <w:t xml:space="preserve"> </w:t>
      </w:r>
      <w:r w:rsidR="00223779" w:rsidRPr="00882F11">
        <w:rPr>
          <w:rFonts w:cs="Guttman Drogolin" w:hint="cs"/>
          <w:rtl/>
          <w:lang w:bidi="he-IL"/>
        </w:rPr>
        <w:t>נשתנה</w:t>
      </w:r>
      <w:r w:rsidR="00223779" w:rsidRPr="00882F11">
        <w:rPr>
          <w:rFonts w:cs="Guttman Drogolin"/>
          <w:rtl/>
          <w:lang w:bidi="he-IL"/>
        </w:rPr>
        <w:t xml:space="preserve"> </w:t>
      </w:r>
      <w:r w:rsidR="00223779" w:rsidRPr="00882F11">
        <w:rPr>
          <w:rFonts w:cs="Guttman Drogolin" w:hint="cs"/>
          <w:rtl/>
          <w:lang w:bidi="he-IL"/>
        </w:rPr>
        <w:t>הדין</w:t>
      </w:r>
      <w:r w:rsidR="00223779" w:rsidRPr="00882F11">
        <w:rPr>
          <w:rFonts w:cs="Guttman Drogolin"/>
          <w:rtl/>
          <w:lang w:bidi="he-IL"/>
        </w:rPr>
        <w:t xml:space="preserve"> </w:t>
      </w:r>
      <w:r w:rsidR="00223779" w:rsidRPr="00882F11">
        <w:rPr>
          <w:rFonts w:cs="Guttman Drogolin" w:hint="cs"/>
          <w:rtl/>
          <w:lang w:bidi="he-IL"/>
        </w:rPr>
        <w:t>הא</w:t>
      </w:r>
      <w:r w:rsidR="00223779" w:rsidRPr="00882F11">
        <w:rPr>
          <w:rFonts w:cs="Guttman Drogolin"/>
          <w:rtl/>
          <w:lang w:bidi="he-IL"/>
        </w:rPr>
        <w:t xml:space="preserve"> </w:t>
      </w:r>
      <w:r w:rsidR="00223779" w:rsidRPr="00882F11">
        <w:rPr>
          <w:rFonts w:cs="Guttman Drogolin" w:hint="cs"/>
          <w:rtl/>
          <w:lang w:bidi="he-IL"/>
        </w:rPr>
        <w:t>היום</w:t>
      </w:r>
      <w:r w:rsidR="00223779" w:rsidRPr="00882F11">
        <w:rPr>
          <w:rFonts w:cs="Guttman Drogolin"/>
          <w:rtl/>
          <w:lang w:bidi="he-IL"/>
        </w:rPr>
        <w:t xml:space="preserve"> </w:t>
      </w:r>
      <w:r w:rsidR="00223779" w:rsidRPr="00882F11">
        <w:rPr>
          <w:rFonts w:cs="Guttman Drogolin" w:hint="cs"/>
          <w:rtl/>
          <w:lang w:bidi="he-IL"/>
        </w:rPr>
        <w:t>ליכא</w:t>
      </w:r>
      <w:r w:rsidR="00223779" w:rsidRPr="00882F11">
        <w:rPr>
          <w:rFonts w:cs="Guttman Drogolin"/>
          <w:rtl/>
          <w:lang w:bidi="he-IL"/>
        </w:rPr>
        <w:t xml:space="preserve"> </w:t>
      </w:r>
      <w:r w:rsidR="00223779" w:rsidRPr="00882F11">
        <w:rPr>
          <w:rFonts w:cs="Guttman Drogolin" w:hint="cs"/>
          <w:rtl/>
          <w:lang w:bidi="he-IL"/>
        </w:rPr>
        <w:t>טירחא</w:t>
      </w:r>
      <w:r w:rsidR="00223779" w:rsidRPr="00882F11">
        <w:rPr>
          <w:rFonts w:cs="Guttman Drogolin"/>
          <w:rtl/>
          <w:lang w:bidi="he-IL"/>
        </w:rPr>
        <w:t xml:space="preserve">. </w:t>
      </w:r>
      <w:r w:rsidR="00223779" w:rsidRPr="00882F11">
        <w:rPr>
          <w:rFonts w:cs="Guttman Drogolin" w:hint="cs"/>
          <w:rtl/>
          <w:lang w:bidi="he-IL"/>
        </w:rPr>
        <w:t>ונראה</w:t>
      </w:r>
      <w:r w:rsidR="00223779" w:rsidRPr="00882F11">
        <w:rPr>
          <w:rFonts w:cs="Guttman Drogolin"/>
          <w:rtl/>
          <w:lang w:bidi="he-IL"/>
        </w:rPr>
        <w:t xml:space="preserve"> </w:t>
      </w:r>
      <w:r w:rsidR="00223779" w:rsidRPr="00882F11">
        <w:rPr>
          <w:rFonts w:cs="Guttman Drogolin" w:hint="cs"/>
          <w:rtl/>
          <w:lang w:bidi="he-IL"/>
        </w:rPr>
        <w:t>דהנה</w:t>
      </w:r>
      <w:r w:rsidR="00223779" w:rsidRPr="00882F11">
        <w:rPr>
          <w:rFonts w:cs="Guttman Drogolin"/>
          <w:rtl/>
          <w:lang w:bidi="he-IL"/>
        </w:rPr>
        <w:t xml:space="preserve"> </w:t>
      </w:r>
      <w:r w:rsidR="00223779" w:rsidRPr="00882F11">
        <w:rPr>
          <w:rFonts w:cs="Guttman Drogolin" w:hint="cs"/>
          <w:rtl/>
          <w:lang w:bidi="he-IL"/>
        </w:rPr>
        <w:t>יעוין</w:t>
      </w:r>
      <w:r w:rsidR="00223779" w:rsidRPr="00882F11">
        <w:rPr>
          <w:rFonts w:cs="Guttman Drogolin"/>
          <w:rtl/>
          <w:lang w:bidi="he-IL"/>
        </w:rPr>
        <w:t xml:space="preserve"> </w:t>
      </w:r>
      <w:r w:rsidR="00223779" w:rsidRPr="00882F11">
        <w:rPr>
          <w:rFonts w:cs="Guttman Drogolin" w:hint="cs"/>
          <w:rtl/>
          <w:lang w:bidi="he-IL"/>
        </w:rPr>
        <w:t>בש</w:t>
      </w:r>
      <w:r w:rsidR="00223779" w:rsidRPr="00882F11">
        <w:rPr>
          <w:rFonts w:cs="Guttman Drogolin"/>
          <w:rtl/>
          <w:lang w:bidi="he-IL"/>
        </w:rPr>
        <w:t>"</w:t>
      </w:r>
      <w:r w:rsidR="00223779" w:rsidRPr="00882F11">
        <w:rPr>
          <w:rFonts w:cs="Guttman Drogolin" w:hint="cs"/>
          <w:rtl/>
          <w:lang w:bidi="he-IL"/>
        </w:rPr>
        <w:t>ך</w:t>
      </w:r>
      <w:r w:rsidR="00223779" w:rsidRPr="00882F11">
        <w:rPr>
          <w:rFonts w:cs="Guttman Drogolin"/>
          <w:rtl/>
          <w:lang w:bidi="he-IL"/>
        </w:rPr>
        <w:t xml:space="preserve"> </w:t>
      </w:r>
      <w:r w:rsidR="00223779" w:rsidRPr="00882F11">
        <w:rPr>
          <w:rFonts w:cs="Guttman Drogolin" w:hint="cs"/>
          <w:rtl/>
          <w:lang w:bidi="he-IL"/>
        </w:rPr>
        <w:t>ס</w:t>
      </w:r>
      <w:r w:rsidR="00223779" w:rsidRPr="00882F11">
        <w:rPr>
          <w:rFonts w:cs="Guttman Drogolin"/>
          <w:rtl/>
          <w:lang w:bidi="he-IL"/>
        </w:rPr>
        <w:t>"</w:t>
      </w:r>
      <w:r w:rsidR="00223779" w:rsidRPr="00882F11">
        <w:rPr>
          <w:rFonts w:cs="Guttman Drogolin" w:hint="cs"/>
          <w:rtl/>
          <w:lang w:bidi="he-IL"/>
        </w:rPr>
        <w:t>ק</w:t>
      </w:r>
      <w:r w:rsidR="00223779" w:rsidRPr="00882F11">
        <w:rPr>
          <w:rFonts w:cs="Guttman Drogolin"/>
          <w:rtl/>
          <w:lang w:bidi="he-IL"/>
        </w:rPr>
        <w:t xml:space="preserve"> </w:t>
      </w:r>
      <w:r w:rsidR="00223779" w:rsidRPr="00882F11">
        <w:rPr>
          <w:rFonts w:cs="Guttman Drogolin" w:hint="cs"/>
          <w:rtl/>
          <w:lang w:bidi="he-IL"/>
        </w:rPr>
        <w:t>ז</w:t>
      </w:r>
      <w:r w:rsidR="00223779" w:rsidRPr="00882F11">
        <w:rPr>
          <w:rFonts w:cs="Guttman Drogolin"/>
          <w:rtl/>
          <w:lang w:bidi="he-IL"/>
        </w:rPr>
        <w:t xml:space="preserve">' </w:t>
      </w:r>
      <w:r w:rsidR="00223779" w:rsidRPr="00882F11">
        <w:rPr>
          <w:rFonts w:cs="Guttman Drogolin" w:hint="cs"/>
          <w:rtl/>
          <w:lang w:bidi="he-IL"/>
        </w:rPr>
        <w:t>שדן</w:t>
      </w:r>
      <w:r w:rsidR="00223779" w:rsidRPr="00882F11">
        <w:rPr>
          <w:rFonts w:cs="Guttman Drogolin"/>
          <w:rtl/>
          <w:lang w:bidi="he-IL"/>
        </w:rPr>
        <w:t xml:space="preserve"> </w:t>
      </w:r>
      <w:r w:rsidR="00223779" w:rsidRPr="00882F11">
        <w:rPr>
          <w:rFonts w:cs="Guttman Drogolin" w:hint="cs"/>
          <w:rtl/>
          <w:lang w:bidi="he-IL"/>
        </w:rPr>
        <w:t>שלא</w:t>
      </w:r>
      <w:r w:rsidR="00223779" w:rsidRPr="00882F11">
        <w:rPr>
          <w:rFonts w:cs="Guttman Drogolin"/>
          <w:rtl/>
          <w:lang w:bidi="he-IL"/>
        </w:rPr>
        <w:t xml:space="preserve"> </w:t>
      </w:r>
      <w:r w:rsidR="00223779" w:rsidRPr="00882F11">
        <w:rPr>
          <w:rFonts w:cs="Guttman Drogolin" w:hint="cs"/>
          <w:rtl/>
          <w:lang w:bidi="he-IL"/>
        </w:rPr>
        <w:t>יהא</w:t>
      </w:r>
      <w:r w:rsidR="00223779" w:rsidRPr="00882F11">
        <w:rPr>
          <w:rFonts w:cs="Guttman Drogolin"/>
          <w:rtl/>
          <w:lang w:bidi="he-IL"/>
        </w:rPr>
        <w:t xml:space="preserve"> </w:t>
      </w:r>
      <w:r w:rsidR="00223779" w:rsidRPr="00882F11">
        <w:rPr>
          <w:rFonts w:cs="Guttman Drogolin" w:hint="cs"/>
          <w:rtl/>
          <w:lang w:bidi="he-IL"/>
        </w:rPr>
        <w:t>בטל</w:t>
      </w:r>
      <w:r w:rsidR="00223779" w:rsidRPr="00882F11">
        <w:rPr>
          <w:rFonts w:cs="Guttman Drogolin"/>
          <w:rtl/>
          <w:lang w:bidi="he-IL"/>
        </w:rPr>
        <w:t xml:space="preserve"> </w:t>
      </w:r>
      <w:r w:rsidR="00223779" w:rsidRPr="00882F11">
        <w:rPr>
          <w:rFonts w:cs="Guttman Drogolin" w:hint="cs"/>
          <w:rtl/>
          <w:lang w:bidi="he-IL"/>
        </w:rPr>
        <w:t>מטעם</w:t>
      </w:r>
      <w:r w:rsidR="00223779" w:rsidRPr="00882F11">
        <w:rPr>
          <w:rFonts w:cs="Guttman Drogolin"/>
          <w:rtl/>
          <w:lang w:bidi="he-IL"/>
        </w:rPr>
        <w:t xml:space="preserve"> </w:t>
      </w:r>
      <w:r w:rsidR="00223779" w:rsidRPr="00882F11">
        <w:rPr>
          <w:rFonts w:cs="Guttman Drogolin" w:hint="cs"/>
          <w:rtl/>
          <w:lang w:bidi="he-IL"/>
        </w:rPr>
        <w:t>אחר</w:t>
      </w:r>
      <w:r w:rsidR="00223779" w:rsidRPr="00882F11">
        <w:rPr>
          <w:rFonts w:cs="Guttman Drogolin"/>
          <w:rtl/>
          <w:lang w:bidi="he-IL"/>
        </w:rPr>
        <w:t xml:space="preserve"> </w:t>
      </w:r>
      <w:r w:rsidR="00223779" w:rsidRPr="00882F11">
        <w:rPr>
          <w:rFonts w:cs="Guttman Drogolin" w:hint="cs"/>
          <w:rtl/>
          <w:lang w:bidi="he-IL"/>
        </w:rPr>
        <w:t>והוא</w:t>
      </w:r>
      <w:r w:rsidR="00223779" w:rsidRPr="00882F11">
        <w:rPr>
          <w:rFonts w:cs="Guttman Drogolin"/>
          <w:rtl/>
          <w:lang w:bidi="he-IL"/>
        </w:rPr>
        <w:t xml:space="preserve"> </w:t>
      </w:r>
      <w:r w:rsidR="00223779" w:rsidRPr="00882F11">
        <w:rPr>
          <w:rFonts w:cs="Guttman Drogolin" w:hint="cs"/>
          <w:rtl/>
          <w:lang w:bidi="he-IL"/>
        </w:rPr>
        <w:t>משום</w:t>
      </w:r>
      <w:r w:rsidR="00223779" w:rsidRPr="00882F11">
        <w:rPr>
          <w:rFonts w:cs="Guttman Drogolin"/>
          <w:rtl/>
          <w:lang w:bidi="he-IL"/>
        </w:rPr>
        <w:t xml:space="preserve"> </w:t>
      </w:r>
      <w:r w:rsidR="00223779" w:rsidRPr="00882F11">
        <w:rPr>
          <w:rFonts w:cs="Guttman Drogolin" w:hint="cs"/>
          <w:rtl/>
          <w:lang w:bidi="he-IL"/>
        </w:rPr>
        <w:t>שהוא</w:t>
      </w:r>
      <w:r w:rsidR="00223779" w:rsidRPr="00882F11">
        <w:rPr>
          <w:rFonts w:cs="Guttman Drogolin"/>
          <w:rtl/>
          <w:lang w:bidi="he-IL"/>
        </w:rPr>
        <w:t xml:space="preserve"> </w:t>
      </w:r>
      <w:r w:rsidR="00223779" w:rsidRPr="00882F11">
        <w:rPr>
          <w:rFonts w:cs="Guttman Drogolin" w:hint="cs"/>
          <w:rtl/>
          <w:lang w:bidi="he-IL"/>
        </w:rPr>
        <w:t>דבר</w:t>
      </w:r>
      <w:r w:rsidR="00223779" w:rsidRPr="00882F11">
        <w:rPr>
          <w:rFonts w:cs="Guttman Drogolin"/>
          <w:rtl/>
          <w:lang w:bidi="he-IL"/>
        </w:rPr>
        <w:t xml:space="preserve"> </w:t>
      </w:r>
      <w:r w:rsidR="00223779" w:rsidRPr="00882F11">
        <w:rPr>
          <w:rFonts w:cs="Guttman Drogolin" w:hint="cs"/>
          <w:rtl/>
          <w:lang w:bidi="he-IL"/>
        </w:rPr>
        <w:t>שבמנין</w:t>
      </w:r>
      <w:r w:rsidR="00223779" w:rsidRPr="00882F11">
        <w:rPr>
          <w:rFonts w:cs="Guttman Drogolin"/>
          <w:rtl/>
          <w:lang w:bidi="he-IL"/>
        </w:rPr>
        <w:t xml:space="preserve">. </w:t>
      </w:r>
      <w:r w:rsidR="00223779" w:rsidRPr="00882F11">
        <w:rPr>
          <w:rFonts w:cs="Guttman Drogolin" w:hint="cs"/>
          <w:rtl/>
          <w:lang w:bidi="he-IL"/>
        </w:rPr>
        <w:t>וכתב</w:t>
      </w:r>
      <w:r w:rsidR="00223779" w:rsidRPr="00882F11">
        <w:rPr>
          <w:rFonts w:cs="Guttman Drogolin"/>
          <w:rtl/>
          <w:lang w:bidi="he-IL"/>
        </w:rPr>
        <w:t xml:space="preserve"> </w:t>
      </w:r>
      <w:r w:rsidR="00D236BB" w:rsidRPr="00882F11">
        <w:rPr>
          <w:rFonts w:cs="Guttman Drogolin" w:hint="cs"/>
          <w:rtl/>
          <w:lang w:bidi="he-IL"/>
        </w:rPr>
        <w:t>דהא דאית בי' נוצות הוי ג"כ טעם לומר שאינו דבר שבמנין</w:t>
      </w:r>
      <w:r w:rsidR="00223779" w:rsidRPr="00882F11">
        <w:rPr>
          <w:rFonts w:cs="Guttman Drogolin"/>
          <w:rtl/>
          <w:lang w:bidi="he-IL"/>
        </w:rPr>
        <w:t xml:space="preserve">. </w:t>
      </w:r>
      <w:r w:rsidR="00223779" w:rsidRPr="00882F11">
        <w:rPr>
          <w:rFonts w:cs="Guttman Drogolin" w:hint="cs"/>
          <w:rtl/>
          <w:lang w:bidi="he-IL"/>
        </w:rPr>
        <w:t>וע</w:t>
      </w:r>
      <w:r w:rsidR="00223779" w:rsidRPr="00882F11">
        <w:rPr>
          <w:rFonts w:cs="Guttman Drogolin"/>
          <w:rtl/>
          <w:lang w:bidi="he-IL"/>
        </w:rPr>
        <w:t>"</w:t>
      </w:r>
      <w:r w:rsidR="00223779" w:rsidRPr="00882F11">
        <w:rPr>
          <w:rFonts w:cs="Guttman Drogolin" w:hint="cs"/>
          <w:rtl/>
          <w:lang w:bidi="he-IL"/>
        </w:rPr>
        <w:t>ש</w:t>
      </w:r>
      <w:r w:rsidR="00223779" w:rsidRPr="00882F11">
        <w:rPr>
          <w:rFonts w:cs="Guttman Drogolin"/>
          <w:rtl/>
          <w:lang w:bidi="he-IL"/>
        </w:rPr>
        <w:t xml:space="preserve"> </w:t>
      </w:r>
      <w:r w:rsidR="00223779" w:rsidRPr="00882F11">
        <w:rPr>
          <w:rFonts w:cs="Guttman Drogolin" w:hint="cs"/>
          <w:rtl/>
          <w:lang w:bidi="he-IL"/>
        </w:rPr>
        <w:t>בפמ</w:t>
      </w:r>
      <w:r w:rsidR="00223779" w:rsidRPr="00882F11">
        <w:rPr>
          <w:rFonts w:cs="Guttman Drogolin"/>
          <w:rtl/>
          <w:lang w:bidi="he-IL"/>
        </w:rPr>
        <w:t>"</w:t>
      </w:r>
      <w:r w:rsidR="00223779" w:rsidRPr="00882F11">
        <w:rPr>
          <w:rFonts w:cs="Guttman Drogolin" w:hint="cs"/>
          <w:rtl/>
          <w:lang w:bidi="he-IL"/>
        </w:rPr>
        <w:t>ג</w:t>
      </w:r>
      <w:r w:rsidR="00223779" w:rsidRPr="00882F11">
        <w:rPr>
          <w:rFonts w:cs="Guttman Drogolin"/>
          <w:rtl/>
          <w:lang w:bidi="he-IL"/>
        </w:rPr>
        <w:t xml:space="preserve"> </w:t>
      </w:r>
      <w:r w:rsidR="00223779" w:rsidRPr="00882F11">
        <w:rPr>
          <w:rFonts w:cs="Guttman Drogolin" w:hint="cs"/>
          <w:rtl/>
          <w:lang w:bidi="he-IL"/>
        </w:rPr>
        <w:t>דכיון</w:t>
      </w:r>
      <w:r w:rsidR="00223779" w:rsidRPr="00882F11">
        <w:rPr>
          <w:rFonts w:cs="Guttman Drogolin"/>
          <w:rtl/>
          <w:lang w:bidi="he-IL"/>
        </w:rPr>
        <w:t xml:space="preserve"> </w:t>
      </w:r>
      <w:r w:rsidR="00223779" w:rsidRPr="00882F11">
        <w:rPr>
          <w:rFonts w:cs="Guttman Drogolin" w:hint="cs"/>
          <w:rtl/>
          <w:lang w:bidi="he-IL"/>
        </w:rPr>
        <w:t>שיש</w:t>
      </w:r>
      <w:r w:rsidR="00223779" w:rsidRPr="00882F11">
        <w:rPr>
          <w:rFonts w:cs="Guttman Drogolin"/>
          <w:rtl/>
          <w:lang w:bidi="he-IL"/>
        </w:rPr>
        <w:t xml:space="preserve"> </w:t>
      </w:r>
      <w:r w:rsidR="00223779" w:rsidRPr="00882F11">
        <w:rPr>
          <w:rFonts w:cs="Guttman Drogolin" w:hint="cs"/>
          <w:rtl/>
          <w:lang w:bidi="he-IL"/>
        </w:rPr>
        <w:t>לו</w:t>
      </w:r>
      <w:r w:rsidR="00223779" w:rsidRPr="00882F11">
        <w:rPr>
          <w:rFonts w:cs="Guttman Drogolin"/>
          <w:rtl/>
          <w:lang w:bidi="he-IL"/>
        </w:rPr>
        <w:t xml:space="preserve"> </w:t>
      </w:r>
      <w:r w:rsidR="00223779" w:rsidRPr="00882F11">
        <w:rPr>
          <w:rFonts w:cs="Guttman Drogolin" w:hint="cs"/>
          <w:rtl/>
          <w:lang w:bidi="he-IL"/>
        </w:rPr>
        <w:t>נוצה</w:t>
      </w:r>
      <w:r w:rsidR="00D236BB" w:rsidRPr="00882F11">
        <w:rPr>
          <w:rFonts w:cs="Guttman Drogolin" w:hint="cs"/>
          <w:rtl/>
          <w:lang w:bidi="he-IL"/>
        </w:rPr>
        <w:t>,</w:t>
      </w:r>
      <w:r w:rsidR="00223779" w:rsidRPr="00882F11">
        <w:rPr>
          <w:rFonts w:cs="Guttman Drogolin"/>
          <w:rtl/>
          <w:lang w:bidi="he-IL"/>
        </w:rPr>
        <w:t xml:space="preserve"> </w:t>
      </w:r>
      <w:r w:rsidR="00223779" w:rsidRPr="00882F11">
        <w:rPr>
          <w:rFonts w:cs="Guttman Drogolin" w:hint="cs"/>
          <w:rtl/>
          <w:lang w:bidi="he-IL"/>
        </w:rPr>
        <w:t>מאוס</w:t>
      </w:r>
      <w:r w:rsidR="00223779" w:rsidRPr="00882F11">
        <w:rPr>
          <w:rFonts w:cs="Guttman Drogolin"/>
          <w:rtl/>
          <w:lang w:bidi="he-IL"/>
        </w:rPr>
        <w:t xml:space="preserve"> </w:t>
      </w:r>
      <w:r w:rsidR="00223779" w:rsidRPr="00882F11">
        <w:rPr>
          <w:rFonts w:cs="Guttman Drogolin" w:hint="cs"/>
          <w:rtl/>
          <w:lang w:bidi="he-IL"/>
        </w:rPr>
        <w:t>הוא</w:t>
      </w:r>
      <w:r w:rsidR="00223779" w:rsidRPr="00882F11">
        <w:rPr>
          <w:rFonts w:cs="Guttman Drogolin"/>
          <w:rtl/>
          <w:lang w:bidi="he-IL"/>
        </w:rPr>
        <w:t xml:space="preserve"> </w:t>
      </w:r>
      <w:r w:rsidR="00223779" w:rsidRPr="00882F11">
        <w:rPr>
          <w:rFonts w:cs="Guttman Drogolin" w:hint="cs"/>
          <w:rtl/>
          <w:lang w:bidi="he-IL"/>
        </w:rPr>
        <w:t>ולכן</w:t>
      </w:r>
      <w:r w:rsidR="00223779" w:rsidRPr="00882F11">
        <w:rPr>
          <w:rFonts w:cs="Guttman Drogolin"/>
          <w:rtl/>
          <w:lang w:bidi="he-IL"/>
        </w:rPr>
        <w:t xml:space="preserve"> </w:t>
      </w:r>
      <w:r w:rsidR="00223779" w:rsidRPr="00882F11">
        <w:rPr>
          <w:rFonts w:cs="Guttman Drogolin" w:hint="cs"/>
          <w:rtl/>
          <w:lang w:bidi="he-IL"/>
        </w:rPr>
        <w:t>אינו</w:t>
      </w:r>
      <w:r w:rsidR="00223779" w:rsidRPr="00882F11">
        <w:rPr>
          <w:rFonts w:cs="Guttman Drogolin"/>
          <w:rtl/>
          <w:lang w:bidi="he-IL"/>
        </w:rPr>
        <w:t xml:space="preserve"> </w:t>
      </w:r>
      <w:r w:rsidR="00223779" w:rsidRPr="00882F11">
        <w:rPr>
          <w:rFonts w:cs="Guttman Drogolin" w:hint="cs"/>
          <w:rtl/>
          <w:lang w:bidi="he-IL"/>
        </w:rPr>
        <w:t>דבר</w:t>
      </w:r>
      <w:r w:rsidR="00223779" w:rsidRPr="00882F11">
        <w:rPr>
          <w:rFonts w:cs="Guttman Drogolin"/>
          <w:rtl/>
          <w:lang w:bidi="he-IL"/>
        </w:rPr>
        <w:t xml:space="preserve"> </w:t>
      </w:r>
      <w:r w:rsidR="00223779" w:rsidRPr="00882F11">
        <w:rPr>
          <w:rFonts w:cs="Guttman Drogolin" w:hint="cs"/>
          <w:rtl/>
          <w:lang w:bidi="he-IL"/>
        </w:rPr>
        <w:t>שבמנין</w:t>
      </w:r>
      <w:r w:rsidR="00223779" w:rsidRPr="00882F11">
        <w:rPr>
          <w:rFonts w:cs="Guttman Drogolin"/>
          <w:rtl/>
          <w:lang w:bidi="he-IL"/>
        </w:rPr>
        <w:t xml:space="preserve">. </w:t>
      </w:r>
      <w:r w:rsidR="00D236BB" w:rsidRPr="00882F11">
        <w:rPr>
          <w:rFonts w:cs="Guttman Drogolin" w:hint="cs"/>
          <w:rtl/>
          <w:lang w:bidi="he-IL"/>
        </w:rPr>
        <w:t>ו</w:t>
      </w:r>
      <w:r w:rsidR="00223779" w:rsidRPr="00882F11">
        <w:rPr>
          <w:rFonts w:cs="Guttman Drogolin" w:hint="cs"/>
          <w:rtl/>
          <w:lang w:bidi="he-IL"/>
        </w:rPr>
        <w:t>נראה</w:t>
      </w:r>
      <w:r w:rsidR="00223779" w:rsidRPr="00882F11">
        <w:rPr>
          <w:rFonts w:cs="Guttman Drogolin"/>
          <w:rtl/>
          <w:lang w:bidi="he-IL"/>
        </w:rPr>
        <w:t xml:space="preserve"> </w:t>
      </w:r>
      <w:r w:rsidR="00223779" w:rsidRPr="00882F11">
        <w:rPr>
          <w:rFonts w:cs="Guttman Drogolin" w:hint="cs"/>
          <w:rtl/>
          <w:lang w:bidi="he-IL"/>
        </w:rPr>
        <w:t>שהבין</w:t>
      </w:r>
      <w:r w:rsidR="00223779" w:rsidRPr="00882F11">
        <w:rPr>
          <w:rFonts w:cs="Guttman Drogolin"/>
          <w:rtl/>
          <w:lang w:bidi="he-IL"/>
        </w:rPr>
        <w:t xml:space="preserve"> </w:t>
      </w:r>
      <w:r w:rsidR="00223779" w:rsidRPr="00882F11">
        <w:rPr>
          <w:rFonts w:cs="Guttman Drogolin" w:hint="cs"/>
          <w:rtl/>
          <w:lang w:bidi="he-IL"/>
        </w:rPr>
        <w:t>דמחוסר</w:t>
      </w:r>
      <w:r w:rsidR="00223779" w:rsidRPr="00882F11">
        <w:rPr>
          <w:rFonts w:cs="Guttman Drogolin"/>
          <w:rtl/>
          <w:lang w:bidi="he-IL"/>
        </w:rPr>
        <w:t xml:space="preserve"> </w:t>
      </w:r>
      <w:r w:rsidR="00223779" w:rsidRPr="00882F11">
        <w:rPr>
          <w:rFonts w:cs="Guttman Drogolin" w:hint="cs"/>
          <w:rtl/>
          <w:lang w:bidi="he-IL"/>
        </w:rPr>
        <w:t>מעשה</w:t>
      </w:r>
      <w:r w:rsidR="00223779" w:rsidRPr="00882F11">
        <w:rPr>
          <w:rFonts w:cs="Guttman Drogolin"/>
          <w:rtl/>
          <w:lang w:bidi="he-IL"/>
        </w:rPr>
        <w:t xml:space="preserve"> </w:t>
      </w:r>
      <w:r w:rsidR="00223779" w:rsidRPr="00882F11">
        <w:rPr>
          <w:rFonts w:cs="Guttman Drogolin" w:hint="cs"/>
          <w:rtl/>
          <w:lang w:bidi="he-IL"/>
        </w:rPr>
        <w:t>גדול</w:t>
      </w:r>
      <w:r w:rsidR="00223779" w:rsidRPr="00882F11">
        <w:rPr>
          <w:rFonts w:cs="Guttman Drogolin"/>
          <w:rtl/>
          <w:lang w:bidi="he-IL"/>
        </w:rPr>
        <w:t xml:space="preserve"> </w:t>
      </w:r>
      <w:r w:rsidR="00223779" w:rsidRPr="00882F11">
        <w:rPr>
          <w:rFonts w:cs="Guttman Drogolin" w:hint="cs"/>
          <w:rtl/>
          <w:lang w:bidi="he-IL"/>
        </w:rPr>
        <w:t>אינו</w:t>
      </w:r>
      <w:r w:rsidR="00223779" w:rsidRPr="00882F11">
        <w:rPr>
          <w:rFonts w:cs="Guttman Drogolin"/>
          <w:rtl/>
          <w:lang w:bidi="he-IL"/>
        </w:rPr>
        <w:t xml:space="preserve"> </w:t>
      </w:r>
      <w:r w:rsidR="00223779" w:rsidRPr="00882F11">
        <w:rPr>
          <w:rFonts w:cs="Guttman Drogolin" w:hint="cs"/>
          <w:rtl/>
          <w:lang w:bidi="he-IL"/>
        </w:rPr>
        <w:t>משום</w:t>
      </w:r>
      <w:r w:rsidR="00223779" w:rsidRPr="00882F11">
        <w:rPr>
          <w:rFonts w:cs="Guttman Drogolin"/>
          <w:rtl/>
          <w:lang w:bidi="he-IL"/>
        </w:rPr>
        <w:t xml:space="preserve"> </w:t>
      </w:r>
      <w:r w:rsidR="00223779" w:rsidRPr="00882F11">
        <w:rPr>
          <w:rFonts w:cs="Guttman Drogolin" w:hint="cs"/>
          <w:rtl/>
          <w:lang w:bidi="he-IL"/>
        </w:rPr>
        <w:t>שעדיין</w:t>
      </w:r>
      <w:r w:rsidR="00223779" w:rsidRPr="00882F11">
        <w:rPr>
          <w:rFonts w:cs="Guttman Drogolin"/>
          <w:rtl/>
          <w:lang w:bidi="he-IL"/>
        </w:rPr>
        <w:t xml:space="preserve"> </w:t>
      </w:r>
      <w:r w:rsidR="00223779" w:rsidRPr="00882F11">
        <w:rPr>
          <w:rFonts w:cs="Guttman Drogolin" w:hint="cs"/>
          <w:rtl/>
          <w:lang w:bidi="he-IL"/>
        </w:rPr>
        <w:t>אינו</w:t>
      </w:r>
      <w:r w:rsidR="00223779" w:rsidRPr="00882F11">
        <w:rPr>
          <w:rFonts w:cs="Guttman Drogolin"/>
          <w:rtl/>
          <w:lang w:bidi="he-IL"/>
        </w:rPr>
        <w:t xml:space="preserve"> </w:t>
      </w:r>
      <w:r w:rsidR="00223779" w:rsidRPr="00882F11">
        <w:rPr>
          <w:rFonts w:cs="Guttman Drogolin" w:hint="cs"/>
          <w:rtl/>
          <w:lang w:bidi="he-IL"/>
        </w:rPr>
        <w:t>ראוי</w:t>
      </w:r>
      <w:r w:rsidR="00223779" w:rsidRPr="00882F11">
        <w:rPr>
          <w:rFonts w:cs="Guttman Drogolin"/>
          <w:rtl/>
          <w:lang w:bidi="he-IL"/>
        </w:rPr>
        <w:t xml:space="preserve">' </w:t>
      </w:r>
      <w:r w:rsidR="00223779" w:rsidRPr="00882F11">
        <w:rPr>
          <w:rFonts w:cs="Guttman Drogolin" w:hint="cs"/>
          <w:rtl/>
          <w:lang w:bidi="he-IL"/>
        </w:rPr>
        <w:t>להתכבד</w:t>
      </w:r>
      <w:r w:rsidR="00223779" w:rsidRPr="00882F11">
        <w:rPr>
          <w:rFonts w:cs="Guttman Drogolin"/>
          <w:rtl/>
          <w:lang w:bidi="he-IL"/>
        </w:rPr>
        <w:t xml:space="preserve">, </w:t>
      </w:r>
      <w:r w:rsidR="00223779" w:rsidRPr="00882F11">
        <w:rPr>
          <w:rFonts w:cs="Guttman Drogolin" w:hint="cs"/>
          <w:rtl/>
          <w:lang w:bidi="he-IL"/>
        </w:rPr>
        <w:t>רק</w:t>
      </w:r>
      <w:r w:rsidR="00223779" w:rsidRPr="00882F11">
        <w:rPr>
          <w:rFonts w:cs="Guttman Drogolin"/>
          <w:rtl/>
          <w:lang w:bidi="he-IL"/>
        </w:rPr>
        <w:t xml:space="preserve"> </w:t>
      </w:r>
      <w:r w:rsidR="00223779" w:rsidRPr="00882F11">
        <w:rPr>
          <w:rFonts w:cs="Guttman Drogolin" w:hint="cs"/>
          <w:rtl/>
          <w:lang w:bidi="he-IL"/>
        </w:rPr>
        <w:t>שהוא</w:t>
      </w:r>
      <w:r w:rsidR="00223779" w:rsidRPr="00882F11">
        <w:rPr>
          <w:rFonts w:cs="Guttman Drogolin"/>
          <w:rtl/>
          <w:lang w:bidi="he-IL"/>
        </w:rPr>
        <w:t xml:space="preserve"> </w:t>
      </w:r>
      <w:r w:rsidR="00223779" w:rsidRPr="00882F11">
        <w:rPr>
          <w:rFonts w:cs="Guttman Drogolin" w:hint="cs"/>
          <w:rtl/>
          <w:lang w:bidi="he-IL"/>
        </w:rPr>
        <w:t>סימן</w:t>
      </w:r>
      <w:r w:rsidR="00223779" w:rsidRPr="00882F11">
        <w:rPr>
          <w:rFonts w:cs="Guttman Drogolin"/>
          <w:rtl/>
          <w:lang w:bidi="he-IL"/>
        </w:rPr>
        <w:t xml:space="preserve"> </w:t>
      </w:r>
      <w:r w:rsidR="00223779" w:rsidRPr="00882F11">
        <w:rPr>
          <w:rFonts w:cs="Guttman Drogolin" w:hint="cs"/>
          <w:rtl/>
          <w:lang w:bidi="he-IL"/>
        </w:rPr>
        <w:t>שעדיין</w:t>
      </w:r>
      <w:r w:rsidR="00223779" w:rsidRPr="00882F11">
        <w:rPr>
          <w:rFonts w:cs="Guttman Drogolin"/>
          <w:rtl/>
          <w:lang w:bidi="he-IL"/>
        </w:rPr>
        <w:t xml:space="preserve"> </w:t>
      </w:r>
      <w:r w:rsidR="00223779" w:rsidRPr="00882F11">
        <w:rPr>
          <w:rFonts w:cs="Guttman Drogolin" w:hint="cs"/>
          <w:rtl/>
          <w:lang w:bidi="he-IL"/>
        </w:rPr>
        <w:t>אינו</w:t>
      </w:r>
      <w:r w:rsidR="00223779" w:rsidRPr="00882F11">
        <w:rPr>
          <w:rFonts w:cs="Guttman Drogolin"/>
          <w:rtl/>
          <w:lang w:bidi="he-IL"/>
        </w:rPr>
        <w:t xml:space="preserve"> </w:t>
      </w:r>
      <w:r w:rsidR="00223779" w:rsidRPr="00882F11">
        <w:rPr>
          <w:rFonts w:cs="Guttman Drogolin" w:hint="cs"/>
          <w:rtl/>
          <w:lang w:bidi="he-IL"/>
        </w:rPr>
        <w:t>אוכל</w:t>
      </w:r>
      <w:r w:rsidR="00223779" w:rsidRPr="00882F11">
        <w:rPr>
          <w:rFonts w:cs="Guttman Drogolin"/>
          <w:rtl/>
          <w:lang w:bidi="he-IL"/>
        </w:rPr>
        <w:t xml:space="preserve"> </w:t>
      </w:r>
      <w:r w:rsidR="00223779" w:rsidRPr="00882F11">
        <w:rPr>
          <w:rFonts w:cs="Guttman Drogolin" w:hint="cs"/>
          <w:rtl/>
          <w:lang w:bidi="he-IL"/>
        </w:rPr>
        <w:t>כיון</w:t>
      </w:r>
      <w:r w:rsidR="00223779" w:rsidRPr="00882F11">
        <w:rPr>
          <w:rFonts w:cs="Guttman Drogolin"/>
          <w:rtl/>
          <w:lang w:bidi="he-IL"/>
        </w:rPr>
        <w:t xml:space="preserve"> </w:t>
      </w:r>
      <w:r w:rsidR="00223779" w:rsidRPr="00882F11">
        <w:rPr>
          <w:rFonts w:cs="Guttman Drogolin" w:hint="cs"/>
          <w:rtl/>
          <w:lang w:bidi="he-IL"/>
        </w:rPr>
        <w:t>דמאוס</w:t>
      </w:r>
      <w:r w:rsidR="00223779" w:rsidRPr="00882F11">
        <w:rPr>
          <w:rFonts w:cs="Guttman Drogolin"/>
          <w:rtl/>
          <w:lang w:bidi="he-IL"/>
        </w:rPr>
        <w:t xml:space="preserve"> </w:t>
      </w:r>
      <w:r w:rsidR="00223779" w:rsidRPr="00882F11">
        <w:rPr>
          <w:rFonts w:cs="Guttman Drogolin" w:hint="cs"/>
          <w:rtl/>
          <w:lang w:bidi="he-IL"/>
        </w:rPr>
        <w:t>הוא</w:t>
      </w:r>
      <w:r w:rsidR="00223779" w:rsidRPr="00882F11">
        <w:rPr>
          <w:rFonts w:cs="Guttman Drogolin"/>
          <w:rtl/>
          <w:lang w:bidi="he-IL"/>
        </w:rPr>
        <w:t xml:space="preserve">. </w:t>
      </w:r>
      <w:r w:rsidR="00223779" w:rsidRPr="00882F11">
        <w:rPr>
          <w:rFonts w:cs="Guttman Drogolin" w:hint="cs"/>
          <w:rtl/>
          <w:lang w:bidi="he-IL"/>
        </w:rPr>
        <w:t>ולכן</w:t>
      </w:r>
      <w:r w:rsidR="00223779" w:rsidRPr="00882F11">
        <w:rPr>
          <w:rFonts w:cs="Guttman Drogolin"/>
          <w:rtl/>
          <w:lang w:bidi="he-IL"/>
        </w:rPr>
        <w:t xml:space="preserve"> </w:t>
      </w:r>
      <w:r w:rsidR="00223779" w:rsidRPr="00882F11">
        <w:rPr>
          <w:rFonts w:cs="Guttman Drogolin" w:hint="cs"/>
          <w:rtl/>
          <w:lang w:bidi="he-IL"/>
        </w:rPr>
        <w:t>אם</w:t>
      </w:r>
      <w:r w:rsidR="00223779" w:rsidRPr="00882F11">
        <w:rPr>
          <w:rFonts w:cs="Guttman Drogolin"/>
          <w:rtl/>
          <w:lang w:bidi="he-IL"/>
        </w:rPr>
        <w:t xml:space="preserve"> </w:t>
      </w:r>
      <w:r w:rsidR="00223779" w:rsidRPr="00882F11">
        <w:rPr>
          <w:rFonts w:cs="Guttman Drogolin" w:hint="cs"/>
          <w:rtl/>
          <w:lang w:bidi="he-IL"/>
        </w:rPr>
        <w:t>אין</w:t>
      </w:r>
      <w:r w:rsidR="00223779" w:rsidRPr="00882F11">
        <w:rPr>
          <w:rFonts w:cs="Guttman Drogolin"/>
          <w:rtl/>
          <w:lang w:bidi="he-IL"/>
        </w:rPr>
        <w:t xml:space="preserve"> </w:t>
      </w:r>
      <w:r w:rsidR="00223779" w:rsidRPr="00882F11">
        <w:rPr>
          <w:rFonts w:cs="Guttman Drogolin" w:hint="cs"/>
          <w:rtl/>
          <w:lang w:bidi="he-IL"/>
        </w:rPr>
        <w:t>טירחא</w:t>
      </w:r>
      <w:r w:rsidR="00223779" w:rsidRPr="00882F11">
        <w:rPr>
          <w:rFonts w:cs="Guttman Drogolin"/>
          <w:rtl/>
          <w:lang w:bidi="he-IL"/>
        </w:rPr>
        <w:t xml:space="preserve"> </w:t>
      </w:r>
      <w:r w:rsidR="00223779" w:rsidRPr="00882F11">
        <w:rPr>
          <w:rFonts w:cs="Guttman Drogolin" w:hint="cs"/>
          <w:rtl/>
          <w:lang w:bidi="he-IL"/>
        </w:rPr>
        <w:t>אין</w:t>
      </w:r>
      <w:r w:rsidR="00223779" w:rsidRPr="00882F11">
        <w:rPr>
          <w:rFonts w:cs="Guttman Drogolin"/>
          <w:rtl/>
          <w:lang w:bidi="he-IL"/>
        </w:rPr>
        <w:t xml:space="preserve"> </w:t>
      </w:r>
      <w:r w:rsidR="00223779" w:rsidRPr="00882F11">
        <w:rPr>
          <w:rFonts w:cs="Guttman Drogolin" w:hint="cs"/>
          <w:rtl/>
          <w:lang w:bidi="he-IL"/>
        </w:rPr>
        <w:t>לנו</w:t>
      </w:r>
      <w:r w:rsidR="00223779" w:rsidRPr="00882F11">
        <w:rPr>
          <w:rFonts w:cs="Guttman Drogolin"/>
          <w:rtl/>
          <w:lang w:bidi="he-IL"/>
        </w:rPr>
        <w:t xml:space="preserve"> </w:t>
      </w:r>
      <w:r w:rsidR="00223779" w:rsidRPr="00882F11">
        <w:rPr>
          <w:rFonts w:cs="Guttman Drogolin" w:hint="cs"/>
          <w:rtl/>
          <w:lang w:bidi="he-IL"/>
        </w:rPr>
        <w:t>סימן</w:t>
      </w:r>
      <w:r w:rsidR="00223779" w:rsidRPr="00882F11">
        <w:rPr>
          <w:rFonts w:cs="Guttman Drogolin"/>
          <w:rtl/>
          <w:lang w:bidi="he-IL"/>
        </w:rPr>
        <w:t xml:space="preserve"> </w:t>
      </w:r>
      <w:r w:rsidR="00223779" w:rsidRPr="00882F11">
        <w:rPr>
          <w:rFonts w:cs="Guttman Drogolin" w:hint="cs"/>
          <w:rtl/>
          <w:lang w:bidi="he-IL"/>
        </w:rPr>
        <w:t>שעדיין</w:t>
      </w:r>
      <w:r w:rsidR="00223779" w:rsidRPr="00882F11">
        <w:rPr>
          <w:rFonts w:cs="Guttman Drogolin"/>
          <w:rtl/>
          <w:lang w:bidi="he-IL"/>
        </w:rPr>
        <w:t xml:space="preserve"> </w:t>
      </w:r>
      <w:r w:rsidR="00223779" w:rsidRPr="00882F11">
        <w:rPr>
          <w:rFonts w:cs="Guttman Drogolin" w:hint="cs"/>
          <w:rtl/>
          <w:lang w:bidi="he-IL"/>
        </w:rPr>
        <w:t>אינו</w:t>
      </w:r>
      <w:r w:rsidR="00223779" w:rsidRPr="00882F11">
        <w:rPr>
          <w:rFonts w:cs="Guttman Drogolin"/>
          <w:rtl/>
          <w:lang w:bidi="he-IL"/>
        </w:rPr>
        <w:t xml:space="preserve"> </w:t>
      </w:r>
      <w:r w:rsidR="00223779" w:rsidRPr="00882F11">
        <w:rPr>
          <w:rFonts w:cs="Guttman Drogolin" w:hint="cs"/>
          <w:rtl/>
          <w:lang w:bidi="he-IL"/>
        </w:rPr>
        <w:t>אוכל</w:t>
      </w:r>
      <w:r w:rsidR="00223779" w:rsidRPr="00882F11">
        <w:rPr>
          <w:rFonts w:cs="Guttman Drogolin"/>
          <w:rtl/>
          <w:lang w:bidi="he-IL"/>
        </w:rPr>
        <w:t xml:space="preserve">, </w:t>
      </w:r>
      <w:r w:rsidR="00223779" w:rsidRPr="00882F11">
        <w:rPr>
          <w:rFonts w:cs="Guttman Drogolin" w:hint="cs"/>
          <w:rtl/>
          <w:lang w:bidi="he-IL"/>
        </w:rPr>
        <w:t>דהא</w:t>
      </w:r>
      <w:r w:rsidR="00223779" w:rsidRPr="00882F11">
        <w:rPr>
          <w:rFonts w:cs="Guttman Drogolin"/>
          <w:rtl/>
          <w:lang w:bidi="he-IL"/>
        </w:rPr>
        <w:t xml:space="preserve"> </w:t>
      </w:r>
      <w:r w:rsidR="00223779" w:rsidRPr="00882F11">
        <w:rPr>
          <w:rFonts w:cs="Guttman Drogolin" w:hint="cs"/>
          <w:rtl/>
          <w:lang w:bidi="he-IL"/>
        </w:rPr>
        <w:t>ע</w:t>
      </w:r>
      <w:r w:rsidR="00223779" w:rsidRPr="00882F11">
        <w:rPr>
          <w:rFonts w:cs="Guttman Drogolin"/>
          <w:rtl/>
          <w:lang w:bidi="he-IL"/>
        </w:rPr>
        <w:t>"</w:t>
      </w:r>
      <w:r w:rsidR="00223779" w:rsidRPr="00882F11">
        <w:rPr>
          <w:rFonts w:cs="Guttman Drogolin" w:hint="cs"/>
          <w:rtl/>
          <w:lang w:bidi="he-IL"/>
        </w:rPr>
        <w:t>י</w:t>
      </w:r>
      <w:r w:rsidR="00223779" w:rsidRPr="00882F11">
        <w:rPr>
          <w:rFonts w:cs="Guttman Drogolin"/>
          <w:rtl/>
          <w:lang w:bidi="he-IL"/>
        </w:rPr>
        <w:t xml:space="preserve"> </w:t>
      </w:r>
      <w:r w:rsidR="00223779" w:rsidRPr="00882F11">
        <w:rPr>
          <w:rFonts w:cs="Guttman Drogolin" w:hint="cs"/>
          <w:rtl/>
          <w:lang w:bidi="he-IL"/>
        </w:rPr>
        <w:t>מעשה</w:t>
      </w:r>
      <w:r w:rsidR="00223779" w:rsidRPr="00882F11">
        <w:rPr>
          <w:rFonts w:cs="Guttman Drogolin"/>
          <w:rtl/>
          <w:lang w:bidi="he-IL"/>
        </w:rPr>
        <w:t xml:space="preserve"> </w:t>
      </w:r>
      <w:r w:rsidR="00223779" w:rsidRPr="00882F11">
        <w:rPr>
          <w:rFonts w:cs="Guttman Drogolin" w:hint="cs"/>
          <w:rtl/>
          <w:lang w:bidi="he-IL"/>
        </w:rPr>
        <w:t>כל</w:t>
      </w:r>
      <w:r w:rsidR="00223779" w:rsidRPr="00882F11">
        <w:rPr>
          <w:rFonts w:cs="Guttman Drogolin"/>
          <w:rtl/>
          <w:lang w:bidi="he-IL"/>
        </w:rPr>
        <w:t xml:space="preserve"> </w:t>
      </w:r>
      <w:r w:rsidR="00223779" w:rsidRPr="00882F11">
        <w:rPr>
          <w:rFonts w:cs="Guttman Drogolin" w:hint="cs"/>
          <w:rtl/>
          <w:lang w:bidi="he-IL"/>
        </w:rPr>
        <w:t>דהו</w:t>
      </w:r>
      <w:r w:rsidR="00223779" w:rsidRPr="00882F11">
        <w:rPr>
          <w:rFonts w:cs="Guttman Drogolin"/>
          <w:rtl/>
          <w:lang w:bidi="he-IL"/>
        </w:rPr>
        <w:t xml:space="preserve"> </w:t>
      </w:r>
      <w:r w:rsidR="00223779" w:rsidRPr="00882F11">
        <w:rPr>
          <w:rFonts w:cs="Guttman Drogolin" w:hint="cs"/>
          <w:rtl/>
          <w:lang w:bidi="he-IL"/>
        </w:rPr>
        <w:t>נהפך</w:t>
      </w:r>
      <w:r w:rsidR="00223779" w:rsidRPr="00882F11">
        <w:rPr>
          <w:rFonts w:cs="Guttman Drogolin"/>
          <w:rtl/>
          <w:lang w:bidi="he-IL"/>
        </w:rPr>
        <w:t xml:space="preserve"> </w:t>
      </w:r>
      <w:r w:rsidR="00223779" w:rsidRPr="00882F11">
        <w:rPr>
          <w:rFonts w:cs="Guttman Drogolin" w:hint="cs"/>
          <w:rtl/>
          <w:lang w:bidi="he-IL"/>
        </w:rPr>
        <w:t>להיות</w:t>
      </w:r>
      <w:r w:rsidR="00223779" w:rsidRPr="00882F11">
        <w:rPr>
          <w:rFonts w:cs="Guttman Drogolin"/>
          <w:rtl/>
          <w:lang w:bidi="he-IL"/>
        </w:rPr>
        <w:t xml:space="preserve"> </w:t>
      </w:r>
      <w:r w:rsidR="00223779" w:rsidRPr="00882F11">
        <w:rPr>
          <w:rFonts w:cs="Guttman Drogolin" w:hint="cs"/>
          <w:rtl/>
          <w:lang w:bidi="he-IL"/>
        </w:rPr>
        <w:t>אוכל</w:t>
      </w:r>
      <w:r w:rsidR="00223779" w:rsidRPr="00882F11">
        <w:rPr>
          <w:rFonts w:cs="Guttman Drogolin"/>
          <w:rtl/>
          <w:lang w:bidi="he-IL"/>
        </w:rPr>
        <w:t xml:space="preserve">. </w:t>
      </w:r>
      <w:r w:rsidR="00223779" w:rsidRPr="00882F11">
        <w:rPr>
          <w:rFonts w:cs="Guttman Drogolin" w:hint="cs"/>
          <w:rtl/>
          <w:lang w:bidi="he-IL"/>
        </w:rPr>
        <w:t>אבל</w:t>
      </w:r>
      <w:r w:rsidR="00223779" w:rsidRPr="00882F11">
        <w:rPr>
          <w:rFonts w:cs="Guttman Drogolin"/>
          <w:rtl/>
          <w:lang w:bidi="he-IL"/>
        </w:rPr>
        <w:t xml:space="preserve"> </w:t>
      </w:r>
      <w:r w:rsidR="00223779" w:rsidRPr="00882F11">
        <w:rPr>
          <w:rFonts w:cs="Guttman Drogolin" w:hint="cs"/>
          <w:rtl/>
          <w:lang w:bidi="he-IL"/>
        </w:rPr>
        <w:t>דבר</w:t>
      </w:r>
      <w:r w:rsidR="00D236BB" w:rsidRPr="00882F11">
        <w:rPr>
          <w:rFonts w:cs="Guttman Drogolin" w:hint="cs"/>
          <w:rtl/>
          <w:lang w:bidi="he-IL"/>
        </w:rPr>
        <w:t xml:space="preserve"> </w:t>
      </w:r>
      <w:r w:rsidR="00223779" w:rsidRPr="00882F11">
        <w:rPr>
          <w:rFonts w:cs="Guttman Drogolin" w:hint="cs"/>
          <w:rtl/>
          <w:lang w:bidi="he-IL"/>
        </w:rPr>
        <w:t>שהוא</w:t>
      </w:r>
      <w:r w:rsidR="00223779" w:rsidRPr="00882F11">
        <w:rPr>
          <w:rFonts w:cs="Guttman Drogolin"/>
          <w:rtl/>
          <w:lang w:bidi="he-IL"/>
        </w:rPr>
        <w:t xml:space="preserve"> </w:t>
      </w:r>
      <w:r w:rsidR="00223779" w:rsidRPr="00882F11">
        <w:rPr>
          <w:rFonts w:cs="Guttman Drogolin" w:hint="cs"/>
          <w:rtl/>
          <w:lang w:bidi="he-IL"/>
        </w:rPr>
        <w:t>מעשה</w:t>
      </w:r>
      <w:r w:rsidR="00223779" w:rsidRPr="00882F11">
        <w:rPr>
          <w:rFonts w:cs="Guttman Drogolin"/>
          <w:rtl/>
          <w:lang w:bidi="he-IL"/>
        </w:rPr>
        <w:t xml:space="preserve"> </w:t>
      </w:r>
      <w:r w:rsidR="00223779" w:rsidRPr="00882F11">
        <w:rPr>
          <w:rFonts w:cs="Guttman Drogolin" w:hint="cs"/>
          <w:rtl/>
          <w:lang w:bidi="he-IL"/>
        </w:rPr>
        <w:t>גדול</w:t>
      </w:r>
      <w:r w:rsidR="00223779" w:rsidRPr="00882F11">
        <w:rPr>
          <w:rFonts w:cs="Guttman Drogolin"/>
          <w:rtl/>
          <w:lang w:bidi="he-IL"/>
        </w:rPr>
        <w:t xml:space="preserve"> </w:t>
      </w:r>
      <w:r w:rsidR="00223779" w:rsidRPr="00882F11">
        <w:rPr>
          <w:rFonts w:cs="Guttman Drogolin" w:hint="cs"/>
          <w:rtl/>
          <w:lang w:bidi="he-IL"/>
        </w:rPr>
        <w:t>יש</w:t>
      </w:r>
      <w:r w:rsidR="00223779" w:rsidRPr="00882F11">
        <w:rPr>
          <w:rFonts w:cs="Guttman Drogolin"/>
          <w:rtl/>
          <w:lang w:bidi="he-IL"/>
        </w:rPr>
        <w:t xml:space="preserve"> </w:t>
      </w:r>
      <w:r w:rsidR="00223779" w:rsidRPr="00882F11">
        <w:rPr>
          <w:rFonts w:cs="Guttman Drogolin" w:hint="cs"/>
          <w:rtl/>
          <w:lang w:bidi="he-IL"/>
        </w:rPr>
        <w:t>לנו</w:t>
      </w:r>
      <w:r w:rsidR="00223779" w:rsidRPr="00882F11">
        <w:rPr>
          <w:rFonts w:cs="Guttman Drogolin"/>
          <w:rtl/>
          <w:lang w:bidi="he-IL"/>
        </w:rPr>
        <w:t xml:space="preserve"> </w:t>
      </w:r>
      <w:r w:rsidR="00223779" w:rsidRPr="00882F11">
        <w:rPr>
          <w:rFonts w:cs="Guttman Drogolin" w:hint="cs"/>
          <w:rtl/>
          <w:lang w:bidi="he-IL"/>
        </w:rPr>
        <w:t>מזה</w:t>
      </w:r>
      <w:r w:rsidR="00223779" w:rsidRPr="00882F11">
        <w:rPr>
          <w:rFonts w:cs="Guttman Drogolin"/>
          <w:rtl/>
          <w:lang w:bidi="he-IL"/>
        </w:rPr>
        <w:t xml:space="preserve"> </w:t>
      </w:r>
      <w:r w:rsidR="00223779" w:rsidRPr="00882F11">
        <w:rPr>
          <w:rFonts w:cs="Guttman Drogolin" w:hint="cs"/>
          <w:rtl/>
          <w:lang w:bidi="he-IL"/>
        </w:rPr>
        <w:t>סימן</w:t>
      </w:r>
      <w:r w:rsidR="00223779" w:rsidRPr="00882F11">
        <w:rPr>
          <w:rFonts w:cs="Guttman Drogolin"/>
          <w:rtl/>
          <w:lang w:bidi="he-IL"/>
        </w:rPr>
        <w:t xml:space="preserve"> </w:t>
      </w:r>
      <w:r w:rsidR="00223779" w:rsidRPr="00882F11">
        <w:rPr>
          <w:rFonts w:cs="Guttman Drogolin" w:hint="cs"/>
          <w:rtl/>
          <w:lang w:bidi="he-IL"/>
        </w:rPr>
        <w:t>שאינו</w:t>
      </w:r>
      <w:r w:rsidR="00223779" w:rsidRPr="00882F11">
        <w:rPr>
          <w:rFonts w:cs="Guttman Drogolin"/>
          <w:rtl/>
          <w:lang w:bidi="he-IL"/>
        </w:rPr>
        <w:t xml:space="preserve"> </w:t>
      </w:r>
      <w:r w:rsidR="00223779" w:rsidRPr="00882F11">
        <w:rPr>
          <w:rFonts w:cs="Guttman Drogolin" w:hint="cs"/>
          <w:rtl/>
          <w:lang w:bidi="he-IL"/>
        </w:rPr>
        <w:t>אוכל</w:t>
      </w:r>
      <w:r w:rsidR="00223779" w:rsidRPr="00882F11">
        <w:rPr>
          <w:rFonts w:cs="Guttman Drogolin"/>
          <w:rtl/>
          <w:lang w:bidi="he-IL"/>
        </w:rPr>
        <w:t xml:space="preserve">. </w:t>
      </w:r>
      <w:r w:rsidR="00223779" w:rsidRPr="00882F11">
        <w:rPr>
          <w:rFonts w:cs="Guttman Drogolin" w:hint="cs"/>
          <w:rtl/>
          <w:lang w:bidi="he-IL"/>
        </w:rPr>
        <w:t>וא</w:t>
      </w:r>
      <w:r w:rsidR="00223779" w:rsidRPr="00882F11">
        <w:rPr>
          <w:rFonts w:cs="Guttman Drogolin"/>
          <w:rtl/>
          <w:lang w:bidi="he-IL"/>
        </w:rPr>
        <w:t>"</w:t>
      </w:r>
      <w:r w:rsidR="00223779" w:rsidRPr="00882F11">
        <w:rPr>
          <w:rFonts w:cs="Guttman Drogolin" w:hint="cs"/>
          <w:rtl/>
          <w:lang w:bidi="he-IL"/>
        </w:rPr>
        <w:t>כ</w:t>
      </w:r>
      <w:r w:rsidR="00223779" w:rsidRPr="00882F11">
        <w:rPr>
          <w:rFonts w:cs="Guttman Drogolin"/>
          <w:rtl/>
          <w:lang w:bidi="he-IL"/>
        </w:rPr>
        <w:t xml:space="preserve"> </w:t>
      </w:r>
      <w:r w:rsidR="00223779" w:rsidRPr="00882F11">
        <w:rPr>
          <w:rFonts w:cs="Guttman Drogolin" w:hint="cs"/>
          <w:rtl/>
          <w:lang w:bidi="he-IL"/>
        </w:rPr>
        <w:t>לפי</w:t>
      </w:r>
      <w:r w:rsidR="00223779" w:rsidRPr="00882F11">
        <w:rPr>
          <w:rFonts w:cs="Guttman Drogolin"/>
          <w:rtl/>
          <w:lang w:bidi="he-IL"/>
        </w:rPr>
        <w:t xml:space="preserve"> </w:t>
      </w:r>
      <w:r w:rsidR="00223779" w:rsidRPr="00882F11">
        <w:rPr>
          <w:rFonts w:cs="Guttman Drogolin" w:hint="cs"/>
          <w:rtl/>
          <w:lang w:bidi="he-IL"/>
        </w:rPr>
        <w:t>זה</w:t>
      </w:r>
      <w:r w:rsidR="00223779" w:rsidRPr="00882F11">
        <w:rPr>
          <w:rFonts w:cs="Guttman Drogolin"/>
          <w:rtl/>
          <w:lang w:bidi="he-IL"/>
        </w:rPr>
        <w:t xml:space="preserve"> </w:t>
      </w:r>
      <w:r w:rsidR="00223779" w:rsidRPr="00882F11">
        <w:rPr>
          <w:rFonts w:cs="Guttman Drogolin" w:hint="cs"/>
          <w:rtl/>
          <w:lang w:bidi="he-IL"/>
        </w:rPr>
        <w:t>י</w:t>
      </w:r>
      <w:r w:rsidR="00223779" w:rsidRPr="00882F11">
        <w:rPr>
          <w:rFonts w:cs="Guttman Drogolin"/>
          <w:rtl/>
          <w:lang w:bidi="he-IL"/>
        </w:rPr>
        <w:t>"</w:t>
      </w:r>
      <w:r w:rsidR="00223779" w:rsidRPr="00882F11">
        <w:rPr>
          <w:rFonts w:cs="Guttman Drogolin" w:hint="cs"/>
          <w:rtl/>
          <w:lang w:bidi="he-IL"/>
        </w:rPr>
        <w:t>ל</w:t>
      </w:r>
      <w:r w:rsidR="00223779" w:rsidRPr="00882F11">
        <w:rPr>
          <w:rFonts w:cs="Guttman Drogolin"/>
          <w:rtl/>
          <w:lang w:bidi="he-IL"/>
        </w:rPr>
        <w:t xml:space="preserve"> </w:t>
      </w:r>
      <w:r w:rsidR="00223779" w:rsidRPr="00882F11">
        <w:rPr>
          <w:rFonts w:cs="Guttman Drogolin" w:hint="cs"/>
          <w:rtl/>
          <w:lang w:bidi="he-IL"/>
        </w:rPr>
        <w:t>כיון</w:t>
      </w:r>
      <w:r w:rsidR="00223779" w:rsidRPr="00882F11">
        <w:rPr>
          <w:rFonts w:cs="Guttman Drogolin"/>
          <w:rtl/>
          <w:lang w:bidi="he-IL"/>
        </w:rPr>
        <w:t xml:space="preserve"> </w:t>
      </w:r>
      <w:r w:rsidR="00223779" w:rsidRPr="00882F11">
        <w:rPr>
          <w:rFonts w:cs="Guttman Drogolin" w:hint="cs"/>
          <w:rtl/>
          <w:lang w:bidi="he-IL"/>
        </w:rPr>
        <w:t>שכשעושה</w:t>
      </w:r>
      <w:r w:rsidR="00223779" w:rsidRPr="00882F11">
        <w:rPr>
          <w:rFonts w:cs="Guttman Drogolin"/>
          <w:rtl/>
          <w:lang w:bidi="he-IL"/>
        </w:rPr>
        <w:t xml:space="preserve"> </w:t>
      </w:r>
      <w:r w:rsidR="00223779" w:rsidRPr="00882F11">
        <w:rPr>
          <w:rFonts w:cs="Guttman Drogolin" w:hint="cs"/>
          <w:rtl/>
          <w:lang w:bidi="he-IL"/>
        </w:rPr>
        <w:t>ביד</w:t>
      </w:r>
      <w:r w:rsidR="00D236BB" w:rsidRPr="00882F11">
        <w:rPr>
          <w:rFonts w:cs="Guttman Drogolin" w:hint="cs"/>
          <w:rtl/>
          <w:lang w:bidi="he-IL"/>
        </w:rPr>
        <w:t>י</w:t>
      </w:r>
      <w:r w:rsidR="00223779" w:rsidRPr="00882F11">
        <w:rPr>
          <w:rFonts w:cs="Guttman Drogolin" w:hint="cs"/>
          <w:rtl/>
          <w:lang w:bidi="he-IL"/>
        </w:rPr>
        <w:t>ו</w:t>
      </w:r>
      <w:r w:rsidR="00223779" w:rsidRPr="00882F11">
        <w:rPr>
          <w:rFonts w:cs="Guttman Drogolin"/>
          <w:rtl/>
          <w:lang w:bidi="he-IL"/>
        </w:rPr>
        <w:t xml:space="preserve"> </w:t>
      </w:r>
      <w:r w:rsidR="00223779" w:rsidRPr="00882F11">
        <w:rPr>
          <w:rFonts w:cs="Guttman Drogolin" w:hint="cs"/>
          <w:rtl/>
          <w:lang w:bidi="he-IL"/>
        </w:rPr>
        <w:t>הוא</w:t>
      </w:r>
      <w:r w:rsidR="00223779" w:rsidRPr="00882F11">
        <w:rPr>
          <w:rFonts w:cs="Guttman Drogolin"/>
          <w:rtl/>
          <w:lang w:bidi="he-IL"/>
        </w:rPr>
        <w:t xml:space="preserve"> </w:t>
      </w:r>
      <w:r w:rsidR="00223779" w:rsidRPr="00882F11">
        <w:rPr>
          <w:rFonts w:cs="Guttman Drogolin" w:hint="cs"/>
          <w:rtl/>
          <w:lang w:bidi="he-IL"/>
        </w:rPr>
        <w:t>מעשה</w:t>
      </w:r>
      <w:r w:rsidR="00223779" w:rsidRPr="00882F11">
        <w:rPr>
          <w:rFonts w:cs="Guttman Drogolin"/>
          <w:rtl/>
          <w:lang w:bidi="he-IL"/>
        </w:rPr>
        <w:t xml:space="preserve"> </w:t>
      </w:r>
      <w:r w:rsidR="00223779" w:rsidRPr="00882F11">
        <w:rPr>
          <w:rFonts w:cs="Guttman Drogolin" w:hint="cs"/>
          <w:rtl/>
          <w:lang w:bidi="he-IL"/>
        </w:rPr>
        <w:t>גדול</w:t>
      </w:r>
      <w:r w:rsidR="00223779" w:rsidRPr="00882F11">
        <w:rPr>
          <w:rFonts w:cs="Guttman Drogolin"/>
          <w:rtl/>
          <w:lang w:bidi="he-IL"/>
        </w:rPr>
        <w:t xml:space="preserve"> </w:t>
      </w:r>
      <w:r w:rsidR="00223779" w:rsidRPr="00882F11">
        <w:rPr>
          <w:rFonts w:cs="Guttman Drogolin" w:hint="cs"/>
          <w:rtl/>
          <w:lang w:bidi="he-IL"/>
        </w:rPr>
        <w:t>זהו</w:t>
      </w:r>
      <w:r w:rsidR="00223779" w:rsidRPr="00882F11">
        <w:rPr>
          <w:rFonts w:cs="Guttman Drogolin"/>
          <w:rtl/>
          <w:lang w:bidi="he-IL"/>
        </w:rPr>
        <w:t xml:space="preserve"> </w:t>
      </w:r>
      <w:r w:rsidR="00223779" w:rsidRPr="00882F11">
        <w:rPr>
          <w:rFonts w:cs="Guttman Drogolin" w:hint="cs"/>
          <w:rtl/>
          <w:lang w:bidi="he-IL"/>
        </w:rPr>
        <w:t>סימן</w:t>
      </w:r>
      <w:r w:rsidR="00223779" w:rsidRPr="00882F11">
        <w:rPr>
          <w:rFonts w:cs="Guttman Drogolin"/>
          <w:rtl/>
          <w:lang w:bidi="he-IL"/>
        </w:rPr>
        <w:t xml:space="preserve"> </w:t>
      </w:r>
      <w:r w:rsidR="00223779" w:rsidRPr="00882F11">
        <w:rPr>
          <w:rFonts w:cs="Guttman Drogolin" w:hint="cs"/>
          <w:rtl/>
          <w:lang w:bidi="he-IL"/>
        </w:rPr>
        <w:t>שעדיין</w:t>
      </w:r>
      <w:r w:rsidR="00223779" w:rsidRPr="00882F11">
        <w:rPr>
          <w:rFonts w:cs="Guttman Drogolin"/>
          <w:rtl/>
          <w:lang w:bidi="he-IL"/>
        </w:rPr>
        <w:t xml:space="preserve"> </w:t>
      </w:r>
      <w:r w:rsidR="00223779" w:rsidRPr="00882F11">
        <w:rPr>
          <w:rFonts w:cs="Guttman Drogolin" w:hint="cs"/>
          <w:rtl/>
          <w:lang w:bidi="he-IL"/>
        </w:rPr>
        <w:t>אינו</w:t>
      </w:r>
      <w:r w:rsidR="00223779" w:rsidRPr="00882F11">
        <w:rPr>
          <w:rFonts w:cs="Guttman Drogolin"/>
          <w:rtl/>
          <w:lang w:bidi="he-IL"/>
        </w:rPr>
        <w:t xml:space="preserve"> </w:t>
      </w:r>
      <w:r w:rsidR="00223779" w:rsidRPr="00882F11">
        <w:rPr>
          <w:rFonts w:cs="Guttman Drogolin" w:hint="cs"/>
          <w:rtl/>
          <w:lang w:bidi="he-IL"/>
        </w:rPr>
        <w:t>מאכל</w:t>
      </w:r>
      <w:r w:rsidR="00223779" w:rsidRPr="00882F11">
        <w:rPr>
          <w:rFonts w:cs="Guttman Drogolin"/>
          <w:rtl/>
          <w:lang w:bidi="he-IL"/>
        </w:rPr>
        <w:t xml:space="preserve">, </w:t>
      </w:r>
      <w:r w:rsidR="00223779" w:rsidRPr="00882F11">
        <w:rPr>
          <w:rFonts w:cs="Guttman Drogolin" w:hint="cs"/>
          <w:rtl/>
          <w:lang w:bidi="he-IL"/>
        </w:rPr>
        <w:t>ולכן</w:t>
      </w:r>
      <w:r w:rsidR="00223779" w:rsidRPr="00882F11">
        <w:rPr>
          <w:rFonts w:cs="Guttman Drogolin"/>
          <w:rtl/>
          <w:lang w:bidi="he-IL"/>
        </w:rPr>
        <w:t xml:space="preserve"> </w:t>
      </w:r>
      <w:r w:rsidR="00223779" w:rsidRPr="00882F11">
        <w:rPr>
          <w:rFonts w:cs="Guttman Drogolin" w:hint="cs"/>
          <w:rtl/>
          <w:lang w:bidi="he-IL"/>
        </w:rPr>
        <w:t>גם</w:t>
      </w:r>
      <w:r w:rsidR="00223779" w:rsidRPr="00882F11">
        <w:rPr>
          <w:rFonts w:cs="Guttman Drogolin"/>
          <w:rtl/>
          <w:lang w:bidi="he-IL"/>
        </w:rPr>
        <w:t xml:space="preserve"> </w:t>
      </w:r>
      <w:r w:rsidR="00223779" w:rsidRPr="00882F11">
        <w:rPr>
          <w:rFonts w:cs="Guttman Drogolin" w:hint="cs"/>
          <w:rtl/>
          <w:lang w:bidi="he-IL"/>
        </w:rPr>
        <w:t>אם</w:t>
      </w:r>
      <w:r w:rsidR="00223779" w:rsidRPr="00882F11">
        <w:rPr>
          <w:rFonts w:cs="Guttman Drogolin"/>
          <w:rtl/>
          <w:lang w:bidi="he-IL"/>
        </w:rPr>
        <w:t xml:space="preserve"> </w:t>
      </w:r>
      <w:r w:rsidR="00223779" w:rsidRPr="00882F11">
        <w:rPr>
          <w:rFonts w:cs="Guttman Drogolin" w:hint="cs"/>
          <w:rtl/>
          <w:lang w:bidi="he-IL"/>
        </w:rPr>
        <w:t>מצא</w:t>
      </w:r>
      <w:r w:rsidR="00223779" w:rsidRPr="00882F11">
        <w:rPr>
          <w:rFonts w:cs="Guttman Drogolin"/>
          <w:rtl/>
          <w:lang w:bidi="he-IL"/>
        </w:rPr>
        <w:t xml:space="preserve"> </w:t>
      </w:r>
      <w:r w:rsidR="00223779" w:rsidRPr="00882F11">
        <w:rPr>
          <w:rFonts w:cs="Guttman Drogolin" w:hint="cs"/>
          <w:rtl/>
          <w:lang w:bidi="he-IL"/>
        </w:rPr>
        <w:t>טצדקי</w:t>
      </w:r>
      <w:r w:rsidR="00223779" w:rsidRPr="00882F11">
        <w:rPr>
          <w:rFonts w:cs="Guttman Drogolin"/>
          <w:rtl/>
          <w:lang w:bidi="he-IL"/>
        </w:rPr>
        <w:t xml:space="preserve"> </w:t>
      </w:r>
      <w:r w:rsidR="00223779" w:rsidRPr="00882F11">
        <w:rPr>
          <w:rFonts w:cs="Guttman Drogolin" w:hint="cs"/>
          <w:rtl/>
          <w:lang w:bidi="he-IL"/>
        </w:rPr>
        <w:t>להסיר</w:t>
      </w:r>
      <w:r w:rsidR="00223779" w:rsidRPr="00882F11">
        <w:rPr>
          <w:rFonts w:cs="Guttman Drogolin"/>
          <w:rtl/>
          <w:lang w:bidi="he-IL"/>
        </w:rPr>
        <w:t xml:space="preserve"> </w:t>
      </w:r>
      <w:r w:rsidR="00223779" w:rsidRPr="00882F11">
        <w:rPr>
          <w:rFonts w:cs="Guttman Drogolin" w:hint="cs"/>
          <w:rtl/>
          <w:lang w:bidi="he-IL"/>
        </w:rPr>
        <w:t>יותר</w:t>
      </w:r>
      <w:r w:rsidR="00223779" w:rsidRPr="00882F11">
        <w:rPr>
          <w:rFonts w:cs="Guttman Drogolin"/>
          <w:rtl/>
          <w:lang w:bidi="he-IL"/>
        </w:rPr>
        <w:t xml:space="preserve"> </w:t>
      </w:r>
      <w:r w:rsidR="00223779" w:rsidRPr="00882F11">
        <w:rPr>
          <w:rFonts w:cs="Guttman Drogolin" w:hint="cs"/>
          <w:rtl/>
          <w:lang w:bidi="he-IL"/>
        </w:rPr>
        <w:t>בקלות</w:t>
      </w:r>
      <w:r w:rsidR="00223779" w:rsidRPr="00882F11">
        <w:rPr>
          <w:rFonts w:cs="Guttman Drogolin"/>
          <w:rtl/>
          <w:lang w:bidi="he-IL"/>
        </w:rPr>
        <w:t xml:space="preserve"> </w:t>
      </w:r>
      <w:r w:rsidR="00223779" w:rsidRPr="00882F11">
        <w:rPr>
          <w:rFonts w:cs="Guttman Drogolin" w:hint="cs"/>
          <w:rtl/>
          <w:lang w:bidi="he-IL"/>
        </w:rPr>
        <w:t>לא</w:t>
      </w:r>
      <w:r w:rsidR="00223779" w:rsidRPr="00882F11">
        <w:rPr>
          <w:rFonts w:cs="Guttman Drogolin"/>
          <w:rtl/>
          <w:lang w:bidi="he-IL"/>
        </w:rPr>
        <w:t xml:space="preserve"> </w:t>
      </w:r>
      <w:r w:rsidR="00223779" w:rsidRPr="00882F11">
        <w:rPr>
          <w:rFonts w:cs="Guttman Drogolin" w:hint="cs"/>
          <w:rtl/>
          <w:lang w:bidi="he-IL"/>
        </w:rPr>
        <w:t>נשתנה</w:t>
      </w:r>
      <w:r w:rsidR="00223779" w:rsidRPr="00882F11">
        <w:rPr>
          <w:rFonts w:cs="Guttman Drogolin"/>
          <w:rtl/>
          <w:lang w:bidi="he-IL"/>
        </w:rPr>
        <w:t xml:space="preserve"> </w:t>
      </w:r>
      <w:r w:rsidR="00223779" w:rsidRPr="00882F11">
        <w:rPr>
          <w:rFonts w:cs="Guttman Drogolin" w:hint="cs"/>
          <w:rtl/>
          <w:lang w:bidi="he-IL"/>
        </w:rPr>
        <w:t>הדין</w:t>
      </w:r>
      <w:r w:rsidR="00223779" w:rsidRPr="00882F11">
        <w:rPr>
          <w:rFonts w:cs="Guttman Drogolin"/>
          <w:lang w:bidi="he-IL"/>
        </w:rPr>
        <w:t>.</w:t>
      </w:r>
    </w:p>
    <w:p w:rsidR="00D236BB" w:rsidRPr="00882F11" w:rsidRDefault="00D236BB" w:rsidP="00D236BB">
      <w:pPr>
        <w:pStyle w:val="Heading1"/>
        <w:bidi/>
        <w:spacing w:before="0" w:line="360" w:lineRule="auto"/>
        <w:jc w:val="center"/>
        <w:rPr>
          <w:rFonts w:cs="Guttman Drogolin"/>
          <w:color w:val="auto"/>
          <w:sz w:val="24"/>
          <w:szCs w:val="24"/>
          <w:u w:val="single"/>
          <w:rtl/>
          <w:lang w:bidi="he-IL"/>
        </w:rPr>
      </w:pPr>
      <w:bookmarkStart w:id="342" w:name="_Toc496175593"/>
      <w:r w:rsidRPr="00882F11">
        <w:rPr>
          <w:rFonts w:cs="Guttman Drogolin" w:hint="cs"/>
          <w:color w:val="auto"/>
          <w:sz w:val="24"/>
          <w:szCs w:val="24"/>
          <w:u w:val="single"/>
          <w:rtl/>
          <w:lang w:bidi="he-IL"/>
        </w:rPr>
        <w:t>גדרי חתיכה הראוי' להתכבד</w:t>
      </w:r>
      <w:bookmarkEnd w:id="342"/>
    </w:p>
    <w:p w:rsidR="00223779" w:rsidRPr="00882F11" w:rsidRDefault="00223779" w:rsidP="00D236BB">
      <w:pPr>
        <w:tabs>
          <w:tab w:val="right" w:pos="7497"/>
        </w:tabs>
        <w:bidi/>
        <w:jc w:val="both"/>
        <w:rPr>
          <w:rFonts w:cs="Guttman Drogolin"/>
          <w:rtl/>
        </w:rPr>
      </w:pPr>
      <w:r w:rsidRPr="00882F11">
        <w:rPr>
          <w:rFonts w:cs="Guttman Drogolin" w:hint="cs"/>
          <w:rtl/>
          <w:lang w:bidi="he-IL"/>
        </w:rPr>
        <w:t>בהמשך</w:t>
      </w:r>
      <w:r w:rsidRPr="00882F11">
        <w:rPr>
          <w:rFonts w:cs="Guttman Drogolin"/>
          <w:rtl/>
          <w:lang w:bidi="he-IL"/>
        </w:rPr>
        <w:t xml:space="preserve"> </w:t>
      </w:r>
      <w:r w:rsidRPr="00882F11">
        <w:rPr>
          <w:rFonts w:cs="Guttman Drogolin" w:hint="cs"/>
          <w:rtl/>
          <w:lang w:bidi="he-IL"/>
        </w:rPr>
        <w:t>דן</w:t>
      </w:r>
      <w:r w:rsidRPr="00882F11">
        <w:rPr>
          <w:rFonts w:cs="Guttman Drogolin"/>
          <w:rtl/>
          <w:lang w:bidi="he-IL"/>
        </w:rPr>
        <w:t xml:space="preserve"> </w:t>
      </w:r>
      <w:r w:rsidRPr="00882F11">
        <w:rPr>
          <w:rFonts w:cs="Guttman Drogolin" w:hint="cs"/>
          <w:rtl/>
          <w:lang w:bidi="he-IL"/>
        </w:rPr>
        <w:t>השו</w:t>
      </w:r>
      <w:r w:rsidRPr="00882F11">
        <w:rPr>
          <w:rFonts w:cs="Guttman Drogolin"/>
          <w:rtl/>
          <w:lang w:bidi="he-IL"/>
        </w:rPr>
        <w:t>"</w:t>
      </w:r>
      <w:r w:rsidRPr="00882F11">
        <w:rPr>
          <w:rFonts w:cs="Guttman Drogolin" w:hint="cs"/>
          <w:rtl/>
          <w:lang w:bidi="he-IL"/>
        </w:rPr>
        <w:t>ע</w:t>
      </w:r>
      <w:r w:rsidRPr="00882F11">
        <w:rPr>
          <w:rFonts w:cs="Guttman Drogolin"/>
          <w:rtl/>
          <w:lang w:bidi="he-IL"/>
        </w:rPr>
        <w:t xml:space="preserve"> </w:t>
      </w:r>
      <w:r w:rsidRPr="00882F11">
        <w:rPr>
          <w:rFonts w:cs="Guttman Drogolin" w:hint="cs"/>
          <w:rtl/>
          <w:lang w:bidi="he-IL"/>
        </w:rPr>
        <w:t>בכמה</w:t>
      </w:r>
      <w:r w:rsidRPr="00882F11">
        <w:rPr>
          <w:rFonts w:cs="Guttman Drogolin"/>
          <w:rtl/>
          <w:lang w:bidi="he-IL"/>
        </w:rPr>
        <w:t xml:space="preserve"> </w:t>
      </w:r>
      <w:r w:rsidRPr="00882F11">
        <w:rPr>
          <w:rFonts w:cs="Guttman Drogolin" w:hint="cs"/>
          <w:rtl/>
          <w:lang w:bidi="he-IL"/>
        </w:rPr>
        <w:t>סוגי</w:t>
      </w:r>
      <w:r w:rsidRPr="00882F11">
        <w:rPr>
          <w:rFonts w:cs="Guttman Drogolin"/>
          <w:rtl/>
          <w:lang w:bidi="he-IL"/>
        </w:rPr>
        <w:t xml:space="preserve"> </w:t>
      </w:r>
      <w:r w:rsidRPr="00882F11">
        <w:rPr>
          <w:rFonts w:cs="Guttman Drogolin" w:hint="cs"/>
          <w:rtl/>
          <w:lang w:bidi="he-IL"/>
        </w:rPr>
        <w:t>מאכלים</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יש</w:t>
      </w:r>
      <w:r w:rsidRPr="00882F11">
        <w:rPr>
          <w:rFonts w:cs="Guttman Drogolin"/>
          <w:rtl/>
          <w:lang w:bidi="he-IL"/>
        </w:rPr>
        <w:t xml:space="preserve"> </w:t>
      </w:r>
      <w:r w:rsidRPr="00882F11">
        <w:rPr>
          <w:rFonts w:cs="Guttman Drogolin" w:hint="cs"/>
          <w:rtl/>
          <w:lang w:bidi="he-IL"/>
        </w:rPr>
        <w:t>להם</w:t>
      </w:r>
      <w:r w:rsidRPr="00882F11">
        <w:rPr>
          <w:rFonts w:cs="Guttman Drogolin"/>
          <w:rtl/>
          <w:lang w:bidi="he-IL"/>
        </w:rPr>
        <w:t xml:space="preserve"> </w:t>
      </w:r>
      <w:r w:rsidRPr="00882F11">
        <w:rPr>
          <w:rFonts w:cs="Guttman Drogolin" w:hint="cs"/>
          <w:rtl/>
          <w:lang w:bidi="he-IL"/>
        </w:rPr>
        <w:t>דין</w:t>
      </w:r>
      <w:r w:rsidRPr="00882F11">
        <w:rPr>
          <w:rFonts w:cs="Guttman Drogolin"/>
          <w:rtl/>
          <w:lang w:bidi="he-IL"/>
        </w:rPr>
        <w:t xml:space="preserve"> </w:t>
      </w:r>
      <w:r w:rsidRPr="00882F11">
        <w:rPr>
          <w:rFonts w:cs="Guttman Drogolin" w:hint="cs"/>
          <w:rtl/>
          <w:lang w:bidi="he-IL"/>
        </w:rPr>
        <w:t>חהר</w:t>
      </w:r>
      <w:r w:rsidRPr="00882F11">
        <w:rPr>
          <w:rFonts w:cs="Guttman Drogolin"/>
          <w:rtl/>
          <w:lang w:bidi="he-IL"/>
        </w:rPr>
        <w:t>"</w:t>
      </w:r>
      <w:r w:rsidRPr="00882F11">
        <w:rPr>
          <w:rFonts w:cs="Guttman Drogolin" w:hint="cs"/>
          <w:rtl/>
          <w:lang w:bidi="he-IL"/>
        </w:rPr>
        <w:t>ל</w:t>
      </w:r>
      <w:r w:rsidRPr="00882F11">
        <w:rPr>
          <w:rFonts w:cs="Guttman Drogolin"/>
          <w:rtl/>
          <w:lang w:bidi="he-IL"/>
        </w:rPr>
        <w:t xml:space="preserve"> </w:t>
      </w:r>
      <w:r w:rsidRPr="00882F11">
        <w:rPr>
          <w:rFonts w:cs="Guttman Drogolin" w:hint="cs"/>
          <w:rtl/>
          <w:lang w:bidi="he-IL"/>
        </w:rPr>
        <w:t>או</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וע</w:t>
      </w:r>
      <w:r w:rsidRPr="00882F11">
        <w:rPr>
          <w:rFonts w:cs="Guttman Drogolin"/>
          <w:rtl/>
          <w:lang w:bidi="he-IL"/>
        </w:rPr>
        <w:t xml:space="preserve">' </w:t>
      </w:r>
      <w:r w:rsidR="00D236BB" w:rsidRPr="00882F11">
        <w:rPr>
          <w:rFonts w:cs="Guttman Drogolin" w:hint="cs"/>
          <w:rtl/>
          <w:lang w:bidi="he-IL"/>
        </w:rPr>
        <w:t>ב</w:t>
      </w:r>
      <w:r w:rsidRPr="00882F11">
        <w:rPr>
          <w:rFonts w:cs="Guttman Drogolin" w:hint="cs"/>
          <w:rtl/>
          <w:lang w:bidi="he-IL"/>
        </w:rPr>
        <w:t>פמ</w:t>
      </w:r>
      <w:r w:rsidRPr="00882F11">
        <w:rPr>
          <w:rFonts w:cs="Guttman Drogolin"/>
          <w:rtl/>
          <w:lang w:bidi="he-IL"/>
        </w:rPr>
        <w:t>"</w:t>
      </w:r>
      <w:r w:rsidRPr="00882F11">
        <w:rPr>
          <w:rFonts w:cs="Guttman Drogolin" w:hint="cs"/>
          <w:rtl/>
          <w:lang w:bidi="he-IL"/>
        </w:rPr>
        <w:t>ג</w:t>
      </w:r>
      <w:r w:rsidRPr="00882F11">
        <w:rPr>
          <w:rFonts w:cs="Guttman Drogolin"/>
          <w:rtl/>
          <w:lang w:bidi="he-IL"/>
        </w:rPr>
        <w:t xml:space="preserve"> (</w:t>
      </w:r>
      <w:r w:rsidRPr="00882F11">
        <w:rPr>
          <w:rFonts w:cs="Guttman Drogolin" w:hint="cs"/>
          <w:rtl/>
          <w:lang w:bidi="he-IL"/>
        </w:rPr>
        <w:t>מש</w:t>
      </w:r>
      <w:r w:rsidRPr="00882F11">
        <w:rPr>
          <w:rFonts w:cs="Guttman Drogolin"/>
          <w:rtl/>
          <w:lang w:bidi="he-IL"/>
        </w:rPr>
        <w:t>"</w:t>
      </w:r>
      <w:r w:rsidRPr="00882F11">
        <w:rPr>
          <w:rFonts w:cs="Guttman Drogolin" w:hint="cs"/>
          <w:rtl/>
          <w:lang w:bidi="he-IL"/>
        </w:rPr>
        <w:t>ז</w:t>
      </w:r>
      <w:r w:rsidRPr="00882F11">
        <w:rPr>
          <w:rFonts w:cs="Guttman Drogolin"/>
          <w:rtl/>
          <w:lang w:bidi="he-IL"/>
        </w:rPr>
        <w:t xml:space="preserve"> </w:t>
      </w:r>
      <w:r w:rsidRPr="00882F11">
        <w:rPr>
          <w:rFonts w:cs="Guttman Drogolin" w:hint="cs"/>
          <w:rtl/>
          <w:lang w:bidi="he-IL"/>
        </w:rPr>
        <w:t>ס</w:t>
      </w:r>
      <w:r w:rsidRPr="00882F11">
        <w:rPr>
          <w:rFonts w:cs="Guttman Drogolin"/>
          <w:rtl/>
          <w:lang w:bidi="he-IL"/>
        </w:rPr>
        <w:t>"</w:t>
      </w:r>
      <w:r w:rsidRPr="00882F11">
        <w:rPr>
          <w:rFonts w:cs="Guttman Drogolin" w:hint="cs"/>
          <w:rtl/>
          <w:lang w:bidi="he-IL"/>
        </w:rPr>
        <w:t>ק</w:t>
      </w:r>
      <w:r w:rsidRPr="00882F11">
        <w:rPr>
          <w:rFonts w:cs="Guttman Drogolin"/>
          <w:rtl/>
          <w:lang w:bidi="he-IL"/>
        </w:rPr>
        <w:t xml:space="preserve"> </w:t>
      </w:r>
      <w:r w:rsidRPr="00882F11">
        <w:rPr>
          <w:rFonts w:cs="Guttman Drogolin" w:hint="cs"/>
          <w:rtl/>
          <w:lang w:bidi="he-IL"/>
        </w:rPr>
        <w:t>ט</w:t>
      </w:r>
      <w:r w:rsidRPr="00882F11">
        <w:rPr>
          <w:rFonts w:cs="Guttman Drogolin"/>
          <w:rtl/>
          <w:lang w:bidi="he-IL"/>
        </w:rPr>
        <w:t xml:space="preserve">') </w:t>
      </w:r>
      <w:r w:rsidR="00D236BB" w:rsidRPr="00882F11">
        <w:rPr>
          <w:rFonts w:cs="Guttman Drogolin" w:hint="cs"/>
          <w:rtl/>
          <w:lang w:bidi="he-IL"/>
        </w:rPr>
        <w:t>בשם ה</w:t>
      </w:r>
      <w:r w:rsidRPr="00882F11">
        <w:rPr>
          <w:rFonts w:cs="Guttman Drogolin" w:hint="cs"/>
          <w:rtl/>
          <w:lang w:bidi="he-IL"/>
        </w:rPr>
        <w:t>מנח</w:t>
      </w:r>
      <w:r w:rsidRPr="00882F11">
        <w:rPr>
          <w:rFonts w:cs="Guttman Drogolin"/>
          <w:rtl/>
          <w:lang w:bidi="he-IL"/>
        </w:rPr>
        <w:t>"</w:t>
      </w:r>
      <w:r w:rsidRPr="00882F11">
        <w:rPr>
          <w:rFonts w:cs="Guttman Drogolin" w:hint="cs"/>
          <w:rtl/>
          <w:lang w:bidi="he-IL"/>
        </w:rPr>
        <w:t>י</w:t>
      </w:r>
      <w:r w:rsidRPr="00882F11">
        <w:rPr>
          <w:rFonts w:cs="Guttman Drogolin"/>
          <w:rtl/>
          <w:lang w:bidi="he-IL"/>
        </w:rPr>
        <w:t xml:space="preserve"> </w:t>
      </w:r>
      <w:r w:rsidR="00D236BB" w:rsidRPr="00882F11">
        <w:rPr>
          <w:rFonts w:cs="Guttman Drogolin" w:hint="cs"/>
          <w:rtl/>
          <w:lang w:bidi="he-IL"/>
        </w:rPr>
        <w:t>שהעיר על זה דהנה הש</w:t>
      </w:r>
      <w:r w:rsidR="00D236BB" w:rsidRPr="00882F11">
        <w:rPr>
          <w:rFonts w:cs="Guttman Drogolin"/>
          <w:rtl/>
          <w:lang w:bidi="he-IL"/>
        </w:rPr>
        <w:t>"</w:t>
      </w:r>
      <w:r w:rsidR="00D236BB" w:rsidRPr="00882F11">
        <w:rPr>
          <w:rFonts w:cs="Guttman Drogolin" w:hint="cs"/>
          <w:rtl/>
          <w:lang w:bidi="he-IL"/>
        </w:rPr>
        <w:t>ך</w:t>
      </w:r>
      <w:r w:rsidR="00D236BB" w:rsidRPr="00882F11">
        <w:rPr>
          <w:rFonts w:cs="Guttman Drogolin"/>
          <w:rtl/>
          <w:lang w:bidi="he-IL"/>
        </w:rPr>
        <w:t xml:space="preserve"> </w:t>
      </w:r>
      <w:r w:rsidR="00D236BB" w:rsidRPr="00882F11">
        <w:rPr>
          <w:rFonts w:cs="Guttman Drogolin" w:hint="cs"/>
          <w:rtl/>
          <w:lang w:bidi="he-IL"/>
        </w:rPr>
        <w:t>בס</w:t>
      </w:r>
      <w:r w:rsidR="00D236BB" w:rsidRPr="00882F11">
        <w:rPr>
          <w:rFonts w:cs="Guttman Drogolin"/>
          <w:rtl/>
          <w:lang w:bidi="he-IL"/>
        </w:rPr>
        <w:t>"</w:t>
      </w:r>
      <w:r w:rsidR="00D236BB" w:rsidRPr="00882F11">
        <w:rPr>
          <w:rFonts w:cs="Guttman Drogolin" w:hint="cs"/>
          <w:rtl/>
          <w:lang w:bidi="he-IL"/>
        </w:rPr>
        <w:t>ק</w:t>
      </w:r>
      <w:r w:rsidR="00D236BB" w:rsidRPr="00882F11">
        <w:rPr>
          <w:rFonts w:cs="Guttman Drogolin"/>
          <w:rtl/>
          <w:lang w:bidi="he-IL"/>
        </w:rPr>
        <w:t xml:space="preserve"> </w:t>
      </w:r>
      <w:r w:rsidR="00D236BB" w:rsidRPr="00882F11">
        <w:rPr>
          <w:rFonts w:cs="Guttman Drogolin" w:hint="cs"/>
          <w:rtl/>
          <w:lang w:bidi="he-IL"/>
        </w:rPr>
        <w:t>י</w:t>
      </w:r>
      <w:r w:rsidR="00D236BB" w:rsidRPr="00882F11">
        <w:rPr>
          <w:rFonts w:cs="Guttman Drogolin"/>
          <w:rtl/>
          <w:lang w:bidi="he-IL"/>
        </w:rPr>
        <w:t>"</w:t>
      </w:r>
      <w:r w:rsidR="00D236BB" w:rsidRPr="00882F11">
        <w:rPr>
          <w:rFonts w:cs="Guttman Drogolin" w:hint="cs"/>
          <w:rtl/>
          <w:lang w:bidi="he-IL"/>
        </w:rPr>
        <w:t>ב</w:t>
      </w:r>
      <w:r w:rsidR="00D236BB" w:rsidRPr="00882F11">
        <w:rPr>
          <w:rFonts w:cs="Guttman Drogolin"/>
          <w:rtl/>
          <w:lang w:bidi="he-IL"/>
        </w:rPr>
        <w:t xml:space="preserve"> </w:t>
      </w:r>
      <w:r w:rsidR="00D236BB" w:rsidRPr="00882F11">
        <w:rPr>
          <w:rFonts w:cs="Guttman Drogolin" w:hint="cs"/>
          <w:rtl/>
          <w:lang w:bidi="he-IL"/>
        </w:rPr>
        <w:t>ועוד</w:t>
      </w:r>
      <w:r w:rsidR="00D236BB" w:rsidRPr="00882F11">
        <w:rPr>
          <w:rFonts w:cs="Guttman Drogolin"/>
          <w:rtl/>
          <w:lang w:bidi="he-IL"/>
        </w:rPr>
        <w:t xml:space="preserve"> </w:t>
      </w:r>
      <w:r w:rsidR="00D236BB" w:rsidRPr="00882F11">
        <w:rPr>
          <w:rFonts w:cs="Guttman Drogolin" w:hint="cs"/>
          <w:rtl/>
          <w:lang w:bidi="he-IL"/>
        </w:rPr>
        <w:lastRenderedPageBreak/>
        <w:t>מקומות</w:t>
      </w:r>
      <w:r w:rsidR="00D236BB" w:rsidRPr="00882F11">
        <w:rPr>
          <w:rFonts w:cs="Guttman Drogolin"/>
          <w:rtl/>
          <w:lang w:bidi="he-IL"/>
        </w:rPr>
        <w:t xml:space="preserve"> </w:t>
      </w:r>
      <w:r w:rsidR="00D236BB" w:rsidRPr="00882F11">
        <w:rPr>
          <w:rFonts w:cs="Guttman Drogolin" w:hint="cs"/>
          <w:rtl/>
          <w:lang w:bidi="he-IL"/>
        </w:rPr>
        <w:t>מדגיש</w:t>
      </w:r>
      <w:r w:rsidR="00D236BB" w:rsidRPr="00882F11">
        <w:rPr>
          <w:rFonts w:cs="Guttman Drogolin"/>
          <w:rtl/>
          <w:lang w:bidi="he-IL"/>
        </w:rPr>
        <w:t xml:space="preserve"> </w:t>
      </w:r>
      <w:r w:rsidR="00D236BB" w:rsidRPr="00882F11">
        <w:rPr>
          <w:rFonts w:cs="Guttman Drogolin" w:hint="cs"/>
          <w:rtl/>
          <w:lang w:bidi="he-IL"/>
        </w:rPr>
        <w:t>שכל</w:t>
      </w:r>
      <w:r w:rsidR="00D236BB" w:rsidRPr="00882F11">
        <w:rPr>
          <w:rFonts w:cs="Guttman Drogolin"/>
          <w:rtl/>
          <w:lang w:bidi="he-IL"/>
        </w:rPr>
        <w:t xml:space="preserve"> </w:t>
      </w:r>
      <w:r w:rsidR="00D236BB" w:rsidRPr="00882F11">
        <w:rPr>
          <w:rFonts w:cs="Guttman Drogolin" w:hint="cs"/>
          <w:rtl/>
          <w:lang w:bidi="he-IL"/>
        </w:rPr>
        <w:t>לפי</w:t>
      </w:r>
      <w:r w:rsidR="00D236BB" w:rsidRPr="00882F11">
        <w:rPr>
          <w:rFonts w:cs="Guttman Drogolin"/>
          <w:rtl/>
          <w:lang w:bidi="he-IL"/>
        </w:rPr>
        <w:t xml:space="preserve"> </w:t>
      </w:r>
      <w:r w:rsidR="00D236BB" w:rsidRPr="00882F11">
        <w:rPr>
          <w:rFonts w:cs="Guttman Drogolin" w:hint="cs"/>
          <w:rtl/>
          <w:lang w:bidi="he-IL"/>
        </w:rPr>
        <w:t>הזמן</w:t>
      </w:r>
      <w:r w:rsidR="00D236BB" w:rsidRPr="00882F11">
        <w:rPr>
          <w:rFonts w:cs="Guttman Drogolin"/>
          <w:rtl/>
          <w:lang w:bidi="he-IL"/>
        </w:rPr>
        <w:t xml:space="preserve"> </w:t>
      </w:r>
      <w:r w:rsidR="00D236BB" w:rsidRPr="00882F11">
        <w:rPr>
          <w:rFonts w:cs="Guttman Drogolin" w:hint="cs"/>
          <w:rtl/>
          <w:lang w:bidi="he-IL"/>
        </w:rPr>
        <w:t xml:space="preserve">והמקום. וא"כ </w:t>
      </w:r>
      <w:r w:rsidRPr="00882F11">
        <w:rPr>
          <w:rFonts w:cs="Guttman Drogolin" w:hint="cs"/>
          <w:rtl/>
          <w:lang w:bidi="he-IL"/>
        </w:rPr>
        <w:t>ל</w:t>
      </w:r>
      <w:r w:rsidR="00D236BB" w:rsidRPr="00882F11">
        <w:rPr>
          <w:rFonts w:cs="Guttman Drogolin" w:hint="cs"/>
          <w:rtl/>
          <w:lang w:bidi="he-IL"/>
        </w:rPr>
        <w:t>מ</w:t>
      </w:r>
      <w:r w:rsidRPr="00882F11">
        <w:rPr>
          <w:rFonts w:cs="Guttman Drogolin" w:hint="cs"/>
          <w:rtl/>
          <w:lang w:bidi="he-IL"/>
        </w:rPr>
        <w:t>ה</w:t>
      </w:r>
      <w:r w:rsidRPr="00882F11">
        <w:rPr>
          <w:rFonts w:cs="Guttman Drogolin"/>
          <w:rtl/>
          <w:lang w:bidi="he-IL"/>
        </w:rPr>
        <w:t xml:space="preserve"> </w:t>
      </w:r>
      <w:r w:rsidRPr="00882F11">
        <w:rPr>
          <w:rFonts w:cs="Guttman Drogolin" w:hint="cs"/>
          <w:rtl/>
          <w:lang w:bidi="he-IL"/>
        </w:rPr>
        <w:t>יש</w:t>
      </w:r>
      <w:r w:rsidRPr="00882F11">
        <w:rPr>
          <w:rFonts w:cs="Guttman Drogolin"/>
          <w:rtl/>
          <w:lang w:bidi="he-IL"/>
        </w:rPr>
        <w:t xml:space="preserve"> </w:t>
      </w:r>
      <w:r w:rsidRPr="00882F11">
        <w:rPr>
          <w:rFonts w:cs="Guttman Drogolin" w:hint="cs"/>
          <w:rtl/>
          <w:lang w:bidi="he-IL"/>
        </w:rPr>
        <w:t>מחלוקת</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00D236BB" w:rsidRPr="00882F11">
        <w:rPr>
          <w:rFonts w:cs="Guttman Drogolin" w:hint="cs"/>
          <w:rtl/>
          <w:lang w:bidi="he-IL"/>
        </w:rPr>
        <w:t xml:space="preserve">כמה דברים הם חתיכות </w:t>
      </w:r>
      <w:r w:rsidRPr="00882F11">
        <w:rPr>
          <w:rFonts w:cs="Guttman Drogolin" w:hint="cs"/>
          <w:rtl/>
          <w:lang w:bidi="he-IL"/>
        </w:rPr>
        <w:t>הראוי</w:t>
      </w:r>
      <w:r w:rsidR="00D236BB" w:rsidRPr="00882F11">
        <w:rPr>
          <w:rFonts w:cs="Guttman Drogolin" w:hint="cs"/>
          <w:rtl/>
          <w:lang w:bidi="he-IL"/>
        </w:rPr>
        <w:t>ות</w:t>
      </w:r>
      <w:r w:rsidRPr="00882F11">
        <w:rPr>
          <w:rFonts w:cs="Guttman Drogolin"/>
          <w:rtl/>
          <w:lang w:bidi="he-IL"/>
        </w:rPr>
        <w:t xml:space="preserve"> </w:t>
      </w:r>
      <w:r w:rsidRPr="00882F11">
        <w:rPr>
          <w:rFonts w:cs="Guttman Drogolin" w:hint="cs"/>
          <w:rtl/>
          <w:lang w:bidi="he-IL"/>
        </w:rPr>
        <w:t>להתכב</w:t>
      </w:r>
      <w:r w:rsidR="00D236BB" w:rsidRPr="00882F11">
        <w:rPr>
          <w:rFonts w:cs="Guttman Drogolin" w:hint="cs"/>
          <w:rtl/>
          <w:lang w:bidi="he-IL"/>
        </w:rPr>
        <w:t>ד</w:t>
      </w:r>
      <w:r w:rsidRPr="00882F11">
        <w:rPr>
          <w:rFonts w:cs="Guttman Drogolin"/>
          <w:rtl/>
          <w:lang w:bidi="he-IL"/>
        </w:rPr>
        <w:t xml:space="preserve"> </w:t>
      </w:r>
      <w:r w:rsidRPr="00882F11">
        <w:rPr>
          <w:rFonts w:cs="Guttman Drogolin" w:hint="cs"/>
          <w:rtl/>
          <w:lang w:bidi="he-IL"/>
        </w:rPr>
        <w:t>או</w:t>
      </w:r>
      <w:r w:rsidRPr="00882F11">
        <w:rPr>
          <w:rFonts w:cs="Guttman Drogolin"/>
          <w:rtl/>
          <w:lang w:bidi="he-IL"/>
        </w:rPr>
        <w:t xml:space="preserve"> </w:t>
      </w:r>
      <w:r w:rsidRPr="00882F11">
        <w:rPr>
          <w:rFonts w:cs="Guttman Drogolin" w:hint="cs"/>
          <w:rtl/>
          <w:lang w:bidi="he-IL"/>
        </w:rPr>
        <w:t>לא</w:t>
      </w:r>
      <w:r w:rsidR="00D236BB" w:rsidRPr="00882F11">
        <w:rPr>
          <w:rFonts w:cs="Guttman Drogolin" w:hint="cs"/>
          <w:rtl/>
          <w:lang w:bidi="he-IL"/>
        </w:rPr>
        <w:t>, הא הכל תלוי לפי המקום והזמן</w:t>
      </w:r>
      <w:r w:rsidRPr="00882F11">
        <w:rPr>
          <w:rFonts w:cs="Guttman Drogolin"/>
          <w:rtl/>
          <w:lang w:bidi="he-IL"/>
        </w:rPr>
        <w:t xml:space="preserve">. </w:t>
      </w:r>
      <w:r w:rsidRPr="00882F11">
        <w:rPr>
          <w:rFonts w:cs="Guttman Drogolin" w:hint="cs"/>
          <w:rtl/>
          <w:lang w:bidi="he-IL"/>
        </w:rPr>
        <w:t>ותי</w:t>
      </w:r>
      <w:r w:rsidRPr="00882F11">
        <w:rPr>
          <w:rFonts w:cs="Guttman Drogolin"/>
          <w:rtl/>
          <w:lang w:bidi="he-IL"/>
        </w:rPr>
        <w:t xml:space="preserve">' </w:t>
      </w:r>
      <w:r w:rsidR="00D236BB" w:rsidRPr="00882F11">
        <w:rPr>
          <w:rFonts w:cs="Guttman Drogolin" w:hint="cs"/>
          <w:rtl/>
          <w:lang w:bidi="he-IL"/>
        </w:rPr>
        <w:t xml:space="preserve">ב' תירוצים. א' </w:t>
      </w:r>
      <w:r w:rsidRPr="00882F11">
        <w:rPr>
          <w:rFonts w:cs="Guttman Drogolin" w:hint="cs"/>
          <w:rtl/>
          <w:lang w:bidi="he-IL"/>
        </w:rPr>
        <w:t>שהכלל</w:t>
      </w:r>
      <w:r w:rsidRPr="00882F11">
        <w:rPr>
          <w:rFonts w:cs="Guttman Drogolin"/>
          <w:rtl/>
          <w:lang w:bidi="he-IL"/>
        </w:rPr>
        <w:t xml:space="preserve"> </w:t>
      </w:r>
      <w:r w:rsidRPr="00882F11">
        <w:rPr>
          <w:rFonts w:cs="Guttman Drogolin" w:hint="cs"/>
          <w:rtl/>
          <w:lang w:bidi="he-IL"/>
        </w:rPr>
        <w:t>שהכל</w:t>
      </w:r>
      <w:r w:rsidRPr="00882F11">
        <w:rPr>
          <w:rFonts w:cs="Guttman Drogolin"/>
          <w:rtl/>
          <w:lang w:bidi="he-IL"/>
        </w:rPr>
        <w:t xml:space="preserve"> </w:t>
      </w:r>
      <w:r w:rsidRPr="00882F11">
        <w:rPr>
          <w:rFonts w:cs="Guttman Drogolin" w:hint="cs"/>
          <w:rtl/>
          <w:lang w:bidi="he-IL"/>
        </w:rPr>
        <w:t>לפי</w:t>
      </w:r>
      <w:r w:rsidRPr="00882F11">
        <w:rPr>
          <w:rFonts w:cs="Guttman Drogolin"/>
          <w:rtl/>
          <w:lang w:bidi="he-IL"/>
        </w:rPr>
        <w:t xml:space="preserve"> </w:t>
      </w:r>
      <w:r w:rsidRPr="00882F11">
        <w:rPr>
          <w:rFonts w:cs="Guttman Drogolin" w:hint="cs"/>
          <w:rtl/>
          <w:lang w:bidi="he-IL"/>
        </w:rPr>
        <w:t>הזמן</w:t>
      </w:r>
      <w:r w:rsidRPr="00882F11">
        <w:rPr>
          <w:rFonts w:cs="Guttman Drogolin"/>
          <w:rtl/>
          <w:lang w:bidi="he-IL"/>
        </w:rPr>
        <w:t xml:space="preserve"> </w:t>
      </w:r>
      <w:r w:rsidRPr="00882F11">
        <w:rPr>
          <w:rFonts w:cs="Guttman Drogolin" w:hint="cs"/>
          <w:rtl/>
          <w:lang w:bidi="he-IL"/>
        </w:rPr>
        <w:t>והמקום</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אמרינן</w:t>
      </w:r>
      <w:r w:rsidRPr="00882F11">
        <w:rPr>
          <w:rFonts w:cs="Guttman Drogolin"/>
          <w:rtl/>
          <w:lang w:bidi="he-IL"/>
        </w:rPr>
        <w:t xml:space="preserve"> </w:t>
      </w:r>
      <w:r w:rsidRPr="00882F11">
        <w:rPr>
          <w:rFonts w:cs="Guttman Drogolin" w:hint="cs"/>
          <w:rtl/>
          <w:lang w:bidi="he-IL"/>
        </w:rPr>
        <w:t>אלא</w:t>
      </w:r>
      <w:r w:rsidRPr="00882F11">
        <w:rPr>
          <w:rFonts w:cs="Guttman Drogolin"/>
          <w:rtl/>
          <w:lang w:bidi="he-IL"/>
        </w:rPr>
        <w:t xml:space="preserve"> </w:t>
      </w:r>
      <w:r w:rsidRPr="00882F11">
        <w:rPr>
          <w:rFonts w:cs="Guttman Drogolin" w:hint="cs"/>
          <w:rtl/>
          <w:lang w:bidi="he-IL"/>
        </w:rPr>
        <w:t>להחמיר</w:t>
      </w:r>
      <w:r w:rsidRPr="00882F11">
        <w:rPr>
          <w:rFonts w:cs="Guttman Drogolin"/>
          <w:rtl/>
          <w:lang w:bidi="he-IL"/>
        </w:rPr>
        <w:t xml:space="preserve"> </w:t>
      </w:r>
      <w:r w:rsidRPr="00882F11">
        <w:rPr>
          <w:rFonts w:cs="Guttman Drogolin" w:hint="cs"/>
          <w:rtl/>
          <w:lang w:bidi="he-IL"/>
        </w:rPr>
        <w:t>ולא</w:t>
      </w:r>
      <w:r w:rsidRPr="00882F11">
        <w:rPr>
          <w:rFonts w:cs="Guttman Drogolin"/>
          <w:rtl/>
          <w:lang w:bidi="he-IL"/>
        </w:rPr>
        <w:t xml:space="preserve"> </w:t>
      </w:r>
      <w:r w:rsidRPr="00882F11">
        <w:rPr>
          <w:rFonts w:cs="Guttman Drogolin" w:hint="cs"/>
          <w:rtl/>
          <w:lang w:bidi="he-IL"/>
        </w:rPr>
        <w:t>להקל</w:t>
      </w:r>
      <w:r w:rsidRPr="00882F11">
        <w:rPr>
          <w:rFonts w:cs="Guttman Drogolin"/>
          <w:rtl/>
          <w:lang w:bidi="he-IL"/>
        </w:rPr>
        <w:t xml:space="preserve">. </w:t>
      </w:r>
      <w:r w:rsidR="00D236BB" w:rsidRPr="00882F11">
        <w:rPr>
          <w:rFonts w:cs="Guttman Drogolin" w:hint="cs"/>
          <w:rtl/>
          <w:lang w:bidi="he-IL"/>
        </w:rPr>
        <w:t>ו</w:t>
      </w:r>
      <w:r w:rsidRPr="00882F11">
        <w:rPr>
          <w:rFonts w:cs="Guttman Drogolin" w:hint="cs"/>
          <w:rtl/>
          <w:lang w:bidi="he-IL"/>
        </w:rPr>
        <w:t>עוד</w:t>
      </w:r>
      <w:r w:rsidRPr="00882F11">
        <w:rPr>
          <w:rFonts w:cs="Guttman Drogolin"/>
          <w:rtl/>
          <w:lang w:bidi="he-IL"/>
        </w:rPr>
        <w:t xml:space="preserve"> </w:t>
      </w:r>
      <w:r w:rsidRPr="00882F11">
        <w:rPr>
          <w:rFonts w:cs="Guttman Drogolin" w:hint="cs"/>
          <w:rtl/>
          <w:lang w:bidi="he-IL"/>
        </w:rPr>
        <w:t>תי</w:t>
      </w:r>
      <w:r w:rsidRPr="00882F11">
        <w:rPr>
          <w:rFonts w:cs="Guttman Drogolin"/>
          <w:rtl/>
          <w:lang w:bidi="he-IL"/>
        </w:rPr>
        <w:t xml:space="preserve">' </w:t>
      </w:r>
      <w:r w:rsidRPr="00882F11">
        <w:rPr>
          <w:rFonts w:cs="Guttman Drogolin" w:hint="cs"/>
          <w:rtl/>
          <w:lang w:bidi="he-IL"/>
        </w:rPr>
        <w:t>שהם</w:t>
      </w:r>
      <w:r w:rsidRPr="00882F11">
        <w:rPr>
          <w:rFonts w:cs="Guttman Drogolin"/>
          <w:rtl/>
          <w:lang w:bidi="he-IL"/>
        </w:rPr>
        <w:t xml:space="preserve"> </w:t>
      </w:r>
      <w:r w:rsidRPr="00882F11">
        <w:rPr>
          <w:rFonts w:cs="Guttman Drogolin" w:hint="cs"/>
          <w:rtl/>
          <w:lang w:bidi="he-IL"/>
        </w:rPr>
        <w:t>דנו</w:t>
      </w:r>
      <w:r w:rsidRPr="00882F11">
        <w:rPr>
          <w:rFonts w:cs="Guttman Drogolin"/>
          <w:rtl/>
          <w:lang w:bidi="he-IL"/>
        </w:rPr>
        <w:t xml:space="preserve"> </w:t>
      </w:r>
      <w:r w:rsidRPr="00882F11">
        <w:rPr>
          <w:rFonts w:cs="Guttman Drogolin" w:hint="cs"/>
          <w:rtl/>
          <w:lang w:bidi="he-IL"/>
        </w:rPr>
        <w:t>בסתמא</w:t>
      </w:r>
      <w:r w:rsidRPr="00882F11">
        <w:rPr>
          <w:rFonts w:cs="Guttman Drogolin"/>
          <w:rtl/>
          <w:lang w:bidi="he-IL"/>
        </w:rPr>
        <w:t xml:space="preserve"> </w:t>
      </w:r>
      <w:r w:rsidRPr="00882F11">
        <w:rPr>
          <w:rFonts w:cs="Guttman Drogolin" w:hint="cs"/>
          <w:rtl/>
          <w:lang w:bidi="he-IL"/>
        </w:rPr>
        <w:t>והכלל</w:t>
      </w:r>
      <w:r w:rsidRPr="00882F11">
        <w:rPr>
          <w:rFonts w:cs="Guttman Drogolin"/>
          <w:rtl/>
          <w:lang w:bidi="he-IL"/>
        </w:rPr>
        <w:t xml:space="preserve"> </w:t>
      </w:r>
      <w:r w:rsidRPr="00882F11">
        <w:rPr>
          <w:rFonts w:cs="Guttman Drogolin" w:hint="cs"/>
          <w:rtl/>
          <w:lang w:bidi="he-IL"/>
        </w:rPr>
        <w:t>הנ</w:t>
      </w:r>
      <w:r w:rsidRPr="00882F11">
        <w:rPr>
          <w:rFonts w:cs="Guttman Drogolin"/>
          <w:rtl/>
          <w:lang w:bidi="he-IL"/>
        </w:rPr>
        <w:t>"</w:t>
      </w:r>
      <w:r w:rsidRPr="00882F11">
        <w:rPr>
          <w:rFonts w:cs="Guttman Drogolin" w:hint="cs"/>
          <w:rtl/>
          <w:lang w:bidi="he-IL"/>
        </w:rPr>
        <w:t>ל</w:t>
      </w:r>
      <w:r w:rsidRPr="00882F11">
        <w:rPr>
          <w:rFonts w:cs="Guttman Drogolin"/>
          <w:rtl/>
          <w:lang w:bidi="he-IL"/>
        </w:rPr>
        <w:t xml:space="preserve"> </w:t>
      </w:r>
      <w:r w:rsidRPr="00882F11">
        <w:rPr>
          <w:rFonts w:cs="Guttman Drogolin" w:hint="cs"/>
          <w:rtl/>
          <w:lang w:bidi="he-IL"/>
        </w:rPr>
        <w:t>כשידעינן</w:t>
      </w:r>
      <w:r w:rsidRPr="00882F11">
        <w:rPr>
          <w:rFonts w:cs="Guttman Drogolin"/>
          <w:rtl/>
          <w:lang w:bidi="he-IL"/>
        </w:rPr>
        <w:t xml:space="preserve"> </w:t>
      </w:r>
      <w:r w:rsidRPr="00882F11">
        <w:rPr>
          <w:rFonts w:cs="Guttman Drogolin" w:hint="cs"/>
          <w:rtl/>
          <w:lang w:bidi="he-IL"/>
        </w:rPr>
        <w:t>להיפך</w:t>
      </w:r>
      <w:r w:rsidRPr="00882F11">
        <w:rPr>
          <w:rFonts w:cs="Guttman Drogolin"/>
          <w:rtl/>
          <w:lang w:bidi="he-IL"/>
        </w:rPr>
        <w:t xml:space="preserve">. </w:t>
      </w:r>
      <w:r w:rsidRPr="00882F11">
        <w:rPr>
          <w:rFonts w:cs="Guttman Drogolin" w:hint="cs"/>
          <w:rtl/>
          <w:lang w:bidi="he-IL"/>
        </w:rPr>
        <w:t>ותי</w:t>
      </w:r>
      <w:r w:rsidRPr="00882F11">
        <w:rPr>
          <w:rFonts w:cs="Guttman Drogolin"/>
          <w:rtl/>
          <w:lang w:bidi="he-IL"/>
        </w:rPr>
        <w:t xml:space="preserve">' </w:t>
      </w:r>
      <w:r w:rsidRPr="00882F11">
        <w:rPr>
          <w:rFonts w:cs="Guttman Drogolin" w:hint="cs"/>
          <w:rtl/>
          <w:lang w:bidi="he-IL"/>
        </w:rPr>
        <w:t>הראשון</w:t>
      </w:r>
      <w:r w:rsidRPr="00882F11">
        <w:rPr>
          <w:rFonts w:cs="Guttman Drogolin"/>
          <w:rtl/>
          <w:lang w:bidi="he-IL"/>
        </w:rPr>
        <w:t xml:space="preserve"> </w:t>
      </w:r>
      <w:r w:rsidRPr="00882F11">
        <w:rPr>
          <w:rFonts w:cs="Guttman Drogolin" w:hint="cs"/>
          <w:rtl/>
          <w:lang w:bidi="he-IL"/>
        </w:rPr>
        <w:t>נלעוק</w:t>
      </w:r>
      <w:r w:rsidRPr="00882F11">
        <w:rPr>
          <w:rFonts w:cs="Guttman Drogolin"/>
          <w:rtl/>
          <w:lang w:bidi="he-IL"/>
        </w:rPr>
        <w:t>"</w:t>
      </w:r>
      <w:r w:rsidRPr="00882F11">
        <w:rPr>
          <w:rFonts w:cs="Guttman Drogolin" w:hint="cs"/>
          <w:rtl/>
          <w:lang w:bidi="he-IL"/>
        </w:rPr>
        <w:t>ד</w:t>
      </w:r>
      <w:r w:rsidRPr="00882F11">
        <w:rPr>
          <w:rFonts w:cs="Guttman Drogolin"/>
          <w:rtl/>
          <w:lang w:bidi="he-IL"/>
        </w:rPr>
        <w:t xml:space="preserve"> </w:t>
      </w:r>
      <w:r w:rsidRPr="00882F11">
        <w:rPr>
          <w:rFonts w:cs="Guttman Drogolin" w:hint="cs"/>
          <w:rtl/>
          <w:lang w:bidi="he-IL"/>
        </w:rPr>
        <w:t>מחודש</w:t>
      </w:r>
      <w:r w:rsidRPr="00882F11">
        <w:rPr>
          <w:rFonts w:cs="Guttman Drogolin"/>
          <w:rtl/>
          <w:lang w:bidi="he-IL"/>
        </w:rPr>
        <w:t xml:space="preserve"> </w:t>
      </w:r>
      <w:r w:rsidRPr="00882F11">
        <w:rPr>
          <w:rFonts w:cs="Guttman Drogolin" w:hint="cs"/>
          <w:rtl/>
          <w:lang w:bidi="he-IL"/>
        </w:rPr>
        <w:t>כיון</w:t>
      </w:r>
      <w:r w:rsidRPr="00882F11">
        <w:rPr>
          <w:rFonts w:cs="Guttman Drogolin"/>
          <w:rtl/>
          <w:lang w:bidi="he-IL"/>
        </w:rPr>
        <w:t xml:space="preserve"> </w:t>
      </w:r>
      <w:r w:rsidRPr="00882F11">
        <w:rPr>
          <w:rFonts w:cs="Guttman Drogolin" w:hint="cs"/>
          <w:rtl/>
          <w:lang w:bidi="he-IL"/>
        </w:rPr>
        <w:t>שסוף</w:t>
      </w:r>
      <w:r w:rsidRPr="00882F11">
        <w:rPr>
          <w:rFonts w:cs="Guttman Drogolin"/>
          <w:rtl/>
          <w:lang w:bidi="he-IL"/>
        </w:rPr>
        <w:t xml:space="preserve"> </w:t>
      </w:r>
      <w:r w:rsidR="00D236BB" w:rsidRPr="00882F11">
        <w:rPr>
          <w:rFonts w:cs="Guttman Drogolin" w:hint="cs"/>
          <w:rtl/>
          <w:lang w:bidi="he-IL"/>
        </w:rPr>
        <w:t>סוף</w:t>
      </w:r>
      <w:r w:rsidRPr="00882F11">
        <w:rPr>
          <w:rFonts w:cs="Guttman Drogolin"/>
          <w:rtl/>
          <w:lang w:bidi="he-IL"/>
        </w:rPr>
        <w:t xml:space="preserve"> </w:t>
      </w:r>
      <w:r w:rsidRPr="00882F11">
        <w:rPr>
          <w:rFonts w:cs="Guttman Drogolin" w:hint="cs"/>
          <w:rtl/>
          <w:lang w:bidi="he-IL"/>
        </w:rPr>
        <w:t>היום</w:t>
      </w:r>
      <w:r w:rsidRPr="00882F11">
        <w:rPr>
          <w:rFonts w:cs="Guttman Drogolin"/>
          <w:rtl/>
          <w:lang w:bidi="he-IL"/>
        </w:rPr>
        <w:t xml:space="preserve"> </w:t>
      </w:r>
      <w:r w:rsidRPr="00882F11">
        <w:rPr>
          <w:rFonts w:cs="Guttman Drogolin" w:hint="cs"/>
          <w:rtl/>
          <w:lang w:bidi="he-IL"/>
        </w:rPr>
        <w:t>אינה</w:t>
      </w:r>
      <w:r w:rsidRPr="00882F11">
        <w:rPr>
          <w:rFonts w:cs="Guttman Drogolin"/>
          <w:rtl/>
          <w:lang w:bidi="he-IL"/>
        </w:rPr>
        <w:t xml:space="preserve"> </w:t>
      </w:r>
      <w:r w:rsidRPr="00882F11">
        <w:rPr>
          <w:rFonts w:cs="Guttman Drogolin" w:hint="cs"/>
          <w:rtl/>
          <w:lang w:bidi="he-IL"/>
        </w:rPr>
        <w:t>ראוי</w:t>
      </w:r>
      <w:r w:rsidRPr="00882F11">
        <w:rPr>
          <w:rFonts w:cs="Guttman Drogolin"/>
          <w:rtl/>
          <w:lang w:bidi="he-IL"/>
        </w:rPr>
        <w:t xml:space="preserve">' </w:t>
      </w:r>
      <w:r w:rsidRPr="00882F11">
        <w:rPr>
          <w:rFonts w:cs="Guttman Drogolin" w:hint="cs"/>
          <w:rtl/>
          <w:lang w:bidi="he-IL"/>
        </w:rPr>
        <w:t>להתכבד</w:t>
      </w:r>
      <w:r w:rsidRPr="00882F11">
        <w:rPr>
          <w:rFonts w:cs="Guttman Drogolin"/>
          <w:lang w:bidi="he-IL"/>
        </w:rPr>
        <w:t xml:space="preserve">. </w:t>
      </w:r>
    </w:p>
    <w:p w:rsidR="00223779" w:rsidRPr="00882F11" w:rsidRDefault="00223779" w:rsidP="00223779">
      <w:pPr>
        <w:tabs>
          <w:tab w:val="right" w:pos="7497"/>
        </w:tabs>
        <w:bidi/>
        <w:jc w:val="both"/>
        <w:rPr>
          <w:rFonts w:cs="Guttman Drogolin"/>
          <w:rtl/>
        </w:rPr>
      </w:pPr>
      <w:r w:rsidRPr="00882F11">
        <w:rPr>
          <w:rFonts w:cs="Guttman Drogolin" w:hint="cs"/>
          <w:rtl/>
          <w:lang w:bidi="he-IL"/>
        </w:rPr>
        <w:t>בסע</w:t>
      </w:r>
      <w:r w:rsidRPr="00882F11">
        <w:rPr>
          <w:rFonts w:cs="Guttman Drogolin"/>
          <w:rtl/>
          <w:lang w:bidi="he-IL"/>
        </w:rPr>
        <w:t xml:space="preserve">' </w:t>
      </w:r>
      <w:r w:rsidRPr="00882F11">
        <w:rPr>
          <w:rFonts w:cs="Guttman Drogolin" w:hint="cs"/>
          <w:rtl/>
          <w:lang w:bidi="he-IL"/>
        </w:rPr>
        <w:t>ב</w:t>
      </w:r>
      <w:r w:rsidRPr="00882F11">
        <w:rPr>
          <w:rFonts w:cs="Guttman Drogolin"/>
          <w:rtl/>
          <w:lang w:bidi="he-IL"/>
        </w:rPr>
        <w:t xml:space="preserve">' </w:t>
      </w:r>
      <w:r w:rsidRPr="00882F11">
        <w:rPr>
          <w:rFonts w:cs="Guttman Drogolin" w:hint="cs"/>
          <w:rtl/>
          <w:lang w:bidi="he-IL"/>
        </w:rPr>
        <w:t>דן</w:t>
      </w:r>
      <w:r w:rsidRPr="00882F11">
        <w:rPr>
          <w:rFonts w:cs="Guttman Drogolin"/>
          <w:rtl/>
          <w:lang w:bidi="he-IL"/>
        </w:rPr>
        <w:t xml:space="preserve"> </w:t>
      </w:r>
      <w:r w:rsidRPr="00882F11">
        <w:rPr>
          <w:rFonts w:cs="Guttman Drogolin" w:hint="cs"/>
          <w:rtl/>
          <w:lang w:bidi="he-IL"/>
        </w:rPr>
        <w:t>הט</w:t>
      </w:r>
      <w:r w:rsidRPr="00882F11">
        <w:rPr>
          <w:rFonts w:cs="Guttman Drogolin"/>
          <w:rtl/>
          <w:lang w:bidi="he-IL"/>
        </w:rPr>
        <w:t>"</w:t>
      </w:r>
      <w:r w:rsidRPr="00882F11">
        <w:rPr>
          <w:rFonts w:cs="Guttman Drogolin" w:hint="cs"/>
          <w:rtl/>
          <w:lang w:bidi="he-IL"/>
        </w:rPr>
        <w:t>ז</w:t>
      </w:r>
      <w:r w:rsidRPr="00882F11">
        <w:rPr>
          <w:rFonts w:cs="Guttman Drogolin"/>
          <w:rtl/>
          <w:lang w:bidi="he-IL"/>
        </w:rPr>
        <w:t xml:space="preserve"> </w:t>
      </w:r>
      <w:r w:rsidRPr="00882F11">
        <w:rPr>
          <w:rFonts w:cs="Guttman Drogolin" w:hint="cs"/>
          <w:rtl/>
          <w:lang w:bidi="he-IL"/>
        </w:rPr>
        <w:t>ס</w:t>
      </w:r>
      <w:r w:rsidRPr="00882F11">
        <w:rPr>
          <w:rFonts w:cs="Guttman Drogolin"/>
          <w:rtl/>
          <w:lang w:bidi="he-IL"/>
        </w:rPr>
        <w:t>"</w:t>
      </w:r>
      <w:r w:rsidRPr="00882F11">
        <w:rPr>
          <w:rFonts w:cs="Guttman Drogolin" w:hint="cs"/>
          <w:rtl/>
          <w:lang w:bidi="he-IL"/>
        </w:rPr>
        <w:t>ק</w:t>
      </w:r>
      <w:r w:rsidRPr="00882F11">
        <w:rPr>
          <w:rFonts w:cs="Guttman Drogolin"/>
          <w:rtl/>
          <w:lang w:bidi="he-IL"/>
        </w:rPr>
        <w:t xml:space="preserve"> </w:t>
      </w:r>
      <w:r w:rsidRPr="00882F11">
        <w:rPr>
          <w:rFonts w:cs="Guttman Drogolin" w:hint="cs"/>
          <w:rtl/>
          <w:lang w:bidi="he-IL"/>
        </w:rPr>
        <w:t>ד</w:t>
      </w:r>
      <w:r w:rsidRPr="00882F11">
        <w:rPr>
          <w:rFonts w:cs="Guttman Drogolin"/>
          <w:rtl/>
          <w:lang w:bidi="he-IL"/>
        </w:rPr>
        <w:t xml:space="preserve">' </w:t>
      </w:r>
      <w:r w:rsidRPr="00882F11">
        <w:rPr>
          <w:rFonts w:cs="Guttman Drogolin" w:hint="cs"/>
          <w:rtl/>
          <w:lang w:bidi="he-IL"/>
        </w:rPr>
        <w:t>שגבינה</w:t>
      </w:r>
      <w:r w:rsidRPr="00882F11">
        <w:rPr>
          <w:rFonts w:cs="Guttman Drogolin"/>
          <w:rtl/>
          <w:lang w:bidi="he-IL"/>
        </w:rPr>
        <w:t xml:space="preserve"> </w:t>
      </w:r>
      <w:r w:rsidRPr="00882F11">
        <w:rPr>
          <w:rFonts w:cs="Guttman Drogolin" w:hint="cs"/>
          <w:rtl/>
          <w:lang w:bidi="he-IL"/>
        </w:rPr>
        <w:t>הוי</w:t>
      </w:r>
      <w:r w:rsidRPr="00882F11">
        <w:rPr>
          <w:rFonts w:cs="Guttman Drogolin"/>
          <w:rtl/>
          <w:lang w:bidi="he-IL"/>
        </w:rPr>
        <w:t xml:space="preserve"> </w:t>
      </w:r>
      <w:r w:rsidRPr="00882F11">
        <w:rPr>
          <w:rFonts w:cs="Guttman Drogolin" w:hint="cs"/>
          <w:rtl/>
          <w:lang w:bidi="he-IL"/>
        </w:rPr>
        <w:t>ראוי</w:t>
      </w:r>
      <w:r w:rsidRPr="00882F11">
        <w:rPr>
          <w:rFonts w:cs="Guttman Drogolin"/>
          <w:rtl/>
          <w:lang w:bidi="he-IL"/>
        </w:rPr>
        <w:t xml:space="preserve">' </w:t>
      </w:r>
      <w:r w:rsidRPr="00882F11">
        <w:rPr>
          <w:rFonts w:cs="Guttman Drogolin" w:hint="cs"/>
          <w:rtl/>
          <w:lang w:bidi="he-IL"/>
        </w:rPr>
        <w:t>להתכבד</w:t>
      </w:r>
      <w:r w:rsidRPr="00882F11">
        <w:rPr>
          <w:rFonts w:cs="Guttman Drogolin"/>
          <w:rtl/>
          <w:lang w:bidi="he-IL"/>
        </w:rPr>
        <w:t xml:space="preserve">. </w:t>
      </w:r>
      <w:r w:rsidRPr="00882F11">
        <w:rPr>
          <w:rFonts w:cs="Guttman Drogolin" w:hint="cs"/>
          <w:rtl/>
          <w:lang w:bidi="he-IL"/>
        </w:rPr>
        <w:t>והנה</w:t>
      </w:r>
      <w:r w:rsidRPr="00882F11">
        <w:rPr>
          <w:rFonts w:cs="Guttman Drogolin"/>
          <w:rtl/>
          <w:lang w:bidi="he-IL"/>
        </w:rPr>
        <w:t xml:space="preserve"> </w:t>
      </w:r>
      <w:r w:rsidRPr="00882F11">
        <w:rPr>
          <w:rFonts w:cs="Guttman Drogolin" w:hint="cs"/>
          <w:rtl/>
          <w:lang w:bidi="he-IL"/>
        </w:rPr>
        <w:t>צ</w:t>
      </w:r>
      <w:r w:rsidRPr="00882F11">
        <w:rPr>
          <w:rFonts w:cs="Guttman Drogolin"/>
          <w:rtl/>
          <w:lang w:bidi="he-IL"/>
        </w:rPr>
        <w:t>"</w:t>
      </w:r>
      <w:r w:rsidRPr="00882F11">
        <w:rPr>
          <w:rFonts w:cs="Guttman Drogolin" w:hint="cs"/>
          <w:rtl/>
          <w:lang w:bidi="he-IL"/>
        </w:rPr>
        <w:t>ע</w:t>
      </w:r>
      <w:r w:rsidRPr="00882F11">
        <w:rPr>
          <w:rFonts w:cs="Guttman Drogolin"/>
          <w:rtl/>
          <w:lang w:bidi="he-IL"/>
        </w:rPr>
        <w:t xml:space="preserve"> </w:t>
      </w:r>
      <w:r w:rsidRPr="00882F11">
        <w:rPr>
          <w:rFonts w:cs="Guttman Drogolin" w:hint="cs"/>
          <w:rtl/>
          <w:lang w:bidi="he-IL"/>
        </w:rPr>
        <w:t>דלכאורה</w:t>
      </w:r>
      <w:r w:rsidRPr="00882F11">
        <w:rPr>
          <w:rFonts w:cs="Guttman Drogolin"/>
          <w:rtl/>
          <w:lang w:bidi="he-IL"/>
        </w:rPr>
        <w:t xml:space="preserve"> </w:t>
      </w:r>
      <w:r w:rsidRPr="00882F11">
        <w:rPr>
          <w:rFonts w:cs="Guttman Drogolin" w:hint="cs"/>
          <w:rtl/>
          <w:lang w:bidi="he-IL"/>
        </w:rPr>
        <w:t>בכלל</w:t>
      </w:r>
      <w:r w:rsidRPr="00882F11">
        <w:rPr>
          <w:rFonts w:cs="Guttman Drogolin"/>
          <w:rtl/>
          <w:lang w:bidi="he-IL"/>
        </w:rPr>
        <w:t xml:space="preserve"> </w:t>
      </w:r>
      <w:r w:rsidRPr="00882F11">
        <w:rPr>
          <w:rFonts w:cs="Guttman Drogolin" w:hint="cs"/>
          <w:rtl/>
          <w:lang w:bidi="he-IL"/>
        </w:rPr>
        <w:t>אינו</w:t>
      </w:r>
      <w:r w:rsidRPr="00882F11">
        <w:rPr>
          <w:rFonts w:cs="Guttman Drogolin"/>
          <w:rtl/>
          <w:lang w:bidi="he-IL"/>
        </w:rPr>
        <w:t xml:space="preserve"> </w:t>
      </w:r>
      <w:r w:rsidRPr="00882F11">
        <w:rPr>
          <w:rFonts w:cs="Guttman Drogolin" w:hint="cs"/>
          <w:rtl/>
          <w:lang w:bidi="he-IL"/>
        </w:rPr>
        <w:t>הדרך</w:t>
      </w:r>
      <w:r w:rsidRPr="00882F11">
        <w:rPr>
          <w:rFonts w:cs="Guttman Drogolin"/>
          <w:rtl/>
          <w:lang w:bidi="he-IL"/>
        </w:rPr>
        <w:t xml:space="preserve"> </w:t>
      </w:r>
      <w:r w:rsidRPr="00882F11">
        <w:rPr>
          <w:rFonts w:cs="Guttman Drogolin" w:hint="cs"/>
          <w:rtl/>
          <w:lang w:bidi="he-IL"/>
        </w:rPr>
        <w:t>שמגישים</w:t>
      </w:r>
      <w:r w:rsidRPr="00882F11">
        <w:rPr>
          <w:rFonts w:cs="Guttman Drogolin"/>
          <w:rtl/>
          <w:lang w:bidi="he-IL"/>
        </w:rPr>
        <w:t xml:space="preserve"> </w:t>
      </w:r>
      <w:r w:rsidRPr="00882F11">
        <w:rPr>
          <w:rFonts w:cs="Guttman Drogolin" w:hint="cs"/>
          <w:rtl/>
          <w:lang w:bidi="he-IL"/>
        </w:rPr>
        <w:t>לאורח</w:t>
      </w:r>
      <w:r w:rsidRPr="00882F11">
        <w:rPr>
          <w:rFonts w:cs="Guttman Drogolin"/>
          <w:rtl/>
          <w:lang w:bidi="he-IL"/>
        </w:rPr>
        <w:t xml:space="preserve"> </w:t>
      </w:r>
      <w:r w:rsidRPr="00882F11">
        <w:rPr>
          <w:rFonts w:cs="Guttman Drogolin" w:hint="cs"/>
          <w:rtl/>
          <w:lang w:bidi="he-IL"/>
        </w:rPr>
        <w:t>גבינה</w:t>
      </w:r>
      <w:r w:rsidRPr="00882F11">
        <w:rPr>
          <w:rFonts w:cs="Guttman Drogolin"/>
          <w:rtl/>
          <w:lang w:bidi="he-IL"/>
        </w:rPr>
        <w:t xml:space="preserve"> </w:t>
      </w:r>
      <w:r w:rsidRPr="00882F11">
        <w:rPr>
          <w:rFonts w:cs="Guttman Drogolin" w:hint="cs"/>
          <w:rtl/>
          <w:lang w:bidi="he-IL"/>
        </w:rPr>
        <w:t>לבדו</w:t>
      </w:r>
      <w:r w:rsidRPr="00882F11">
        <w:rPr>
          <w:rFonts w:cs="Guttman Drogolin"/>
          <w:rtl/>
          <w:lang w:bidi="he-IL"/>
        </w:rPr>
        <w:t xml:space="preserve"> </w:t>
      </w:r>
      <w:r w:rsidRPr="00882F11">
        <w:rPr>
          <w:rFonts w:cs="Guttman Drogolin" w:hint="cs"/>
          <w:rtl/>
          <w:lang w:bidi="he-IL"/>
        </w:rPr>
        <w:t>רק</w:t>
      </w:r>
      <w:r w:rsidRPr="00882F11">
        <w:rPr>
          <w:rFonts w:cs="Guttman Drogolin"/>
          <w:rtl/>
          <w:lang w:bidi="he-IL"/>
        </w:rPr>
        <w:t xml:space="preserve"> </w:t>
      </w:r>
      <w:r w:rsidRPr="00882F11">
        <w:rPr>
          <w:rFonts w:cs="Guttman Drogolin" w:hint="cs"/>
          <w:rtl/>
          <w:lang w:bidi="he-IL"/>
        </w:rPr>
        <w:t>ביחד</w:t>
      </w:r>
      <w:r w:rsidRPr="00882F11">
        <w:rPr>
          <w:rFonts w:cs="Guttman Drogolin"/>
          <w:rtl/>
          <w:lang w:bidi="he-IL"/>
        </w:rPr>
        <w:t xml:space="preserve"> </w:t>
      </w:r>
      <w:r w:rsidRPr="00882F11">
        <w:rPr>
          <w:rFonts w:cs="Guttman Drogolin" w:hint="cs"/>
          <w:rtl/>
          <w:lang w:bidi="he-IL"/>
        </w:rPr>
        <w:t>עם</w:t>
      </w:r>
      <w:r w:rsidRPr="00882F11">
        <w:rPr>
          <w:rFonts w:cs="Guttman Drogolin"/>
          <w:rtl/>
          <w:lang w:bidi="he-IL"/>
        </w:rPr>
        <w:t xml:space="preserve"> </w:t>
      </w:r>
      <w:r w:rsidRPr="00882F11">
        <w:rPr>
          <w:rFonts w:cs="Guttman Drogolin" w:hint="cs"/>
          <w:rtl/>
          <w:lang w:bidi="he-IL"/>
        </w:rPr>
        <w:t>דברים</w:t>
      </w:r>
      <w:r w:rsidRPr="00882F11">
        <w:rPr>
          <w:rFonts w:cs="Guttman Drogolin"/>
          <w:rtl/>
          <w:lang w:bidi="he-IL"/>
        </w:rPr>
        <w:t xml:space="preserve"> </w:t>
      </w:r>
      <w:r w:rsidRPr="00882F11">
        <w:rPr>
          <w:rFonts w:cs="Guttman Drogolin" w:hint="cs"/>
          <w:rtl/>
          <w:lang w:bidi="he-IL"/>
        </w:rPr>
        <w:t>אחרים</w:t>
      </w:r>
      <w:r w:rsidRPr="00882F11">
        <w:rPr>
          <w:rFonts w:cs="Guttman Drogolin"/>
          <w:rtl/>
          <w:lang w:bidi="he-IL"/>
        </w:rPr>
        <w:t xml:space="preserve">. </w:t>
      </w:r>
      <w:r w:rsidRPr="00882F11">
        <w:rPr>
          <w:rFonts w:cs="Guttman Drogolin" w:hint="cs"/>
          <w:rtl/>
          <w:lang w:bidi="he-IL"/>
        </w:rPr>
        <w:t>ויתכן</w:t>
      </w:r>
      <w:r w:rsidRPr="00882F11">
        <w:rPr>
          <w:rFonts w:cs="Guttman Drogolin"/>
          <w:rtl/>
          <w:lang w:bidi="he-IL"/>
        </w:rPr>
        <w:t xml:space="preserve"> </w:t>
      </w:r>
      <w:r w:rsidRPr="00882F11">
        <w:rPr>
          <w:rFonts w:cs="Guttman Drogolin" w:hint="cs"/>
          <w:rtl/>
          <w:lang w:bidi="he-IL"/>
        </w:rPr>
        <w:t>שפעם</w:t>
      </w:r>
      <w:r w:rsidRPr="00882F11">
        <w:rPr>
          <w:rFonts w:cs="Guttman Drogolin"/>
          <w:rtl/>
          <w:lang w:bidi="he-IL"/>
        </w:rPr>
        <w:t xml:space="preserve"> </w:t>
      </w:r>
      <w:r w:rsidRPr="00882F11">
        <w:rPr>
          <w:rFonts w:cs="Guttman Drogolin" w:hint="cs"/>
          <w:rtl/>
          <w:lang w:bidi="he-IL"/>
        </w:rPr>
        <w:t>הגישו</w:t>
      </w:r>
      <w:r w:rsidRPr="00882F11">
        <w:rPr>
          <w:rFonts w:cs="Guttman Drogolin"/>
          <w:rtl/>
          <w:lang w:bidi="he-IL"/>
        </w:rPr>
        <w:t xml:space="preserve"> </w:t>
      </w:r>
      <w:r w:rsidRPr="00882F11">
        <w:rPr>
          <w:rFonts w:cs="Guttman Drogolin" w:hint="cs"/>
          <w:rtl/>
          <w:lang w:bidi="he-IL"/>
        </w:rPr>
        <w:t>גבינה</w:t>
      </w:r>
      <w:r w:rsidRPr="00882F11">
        <w:rPr>
          <w:rFonts w:cs="Guttman Drogolin"/>
          <w:rtl/>
          <w:lang w:bidi="he-IL"/>
        </w:rPr>
        <w:t xml:space="preserve"> </w:t>
      </w:r>
      <w:r w:rsidRPr="00882F11">
        <w:rPr>
          <w:rFonts w:cs="Guttman Drogolin" w:hint="cs"/>
          <w:rtl/>
          <w:lang w:bidi="he-IL"/>
        </w:rPr>
        <w:t>לבדו</w:t>
      </w:r>
      <w:r w:rsidRPr="00882F11">
        <w:rPr>
          <w:rFonts w:cs="Guttman Drogolin"/>
          <w:rtl/>
          <w:lang w:bidi="he-IL"/>
        </w:rPr>
        <w:t xml:space="preserve"> </w:t>
      </w:r>
      <w:r w:rsidRPr="00882F11">
        <w:rPr>
          <w:rFonts w:cs="Guttman Drogolin" w:hint="cs"/>
          <w:rtl/>
          <w:lang w:bidi="he-IL"/>
        </w:rPr>
        <w:t>לפני</w:t>
      </w:r>
      <w:r w:rsidRPr="00882F11">
        <w:rPr>
          <w:rFonts w:cs="Guttman Drogolin"/>
          <w:rtl/>
          <w:lang w:bidi="he-IL"/>
        </w:rPr>
        <w:t xml:space="preserve"> </w:t>
      </w:r>
      <w:r w:rsidRPr="00882F11">
        <w:rPr>
          <w:rFonts w:cs="Guttman Drogolin" w:hint="cs"/>
          <w:rtl/>
          <w:lang w:bidi="he-IL"/>
        </w:rPr>
        <w:t>אורחים</w:t>
      </w:r>
      <w:r w:rsidRPr="00882F11">
        <w:rPr>
          <w:rFonts w:cs="Guttman Drogolin"/>
          <w:rtl/>
          <w:lang w:bidi="he-IL"/>
        </w:rPr>
        <w:t xml:space="preserve">, </w:t>
      </w:r>
      <w:r w:rsidRPr="00882F11">
        <w:rPr>
          <w:rFonts w:cs="Guttman Drogolin" w:hint="cs"/>
          <w:rtl/>
          <w:lang w:bidi="he-IL"/>
        </w:rPr>
        <w:t>והיום</w:t>
      </w:r>
      <w:r w:rsidRPr="00882F11">
        <w:rPr>
          <w:rFonts w:cs="Guttman Drogolin"/>
          <w:rtl/>
          <w:lang w:bidi="he-IL"/>
        </w:rPr>
        <w:t xml:space="preserve"> </w:t>
      </w:r>
      <w:r w:rsidRPr="00882F11">
        <w:rPr>
          <w:rFonts w:cs="Guttman Drogolin" w:hint="cs"/>
          <w:rtl/>
          <w:lang w:bidi="he-IL"/>
        </w:rPr>
        <w:t>באמת</w:t>
      </w:r>
      <w:r w:rsidRPr="00882F11">
        <w:rPr>
          <w:rFonts w:cs="Guttman Drogolin"/>
          <w:rtl/>
          <w:lang w:bidi="he-IL"/>
        </w:rPr>
        <w:t xml:space="preserve"> </w:t>
      </w:r>
      <w:r w:rsidRPr="00882F11">
        <w:rPr>
          <w:rFonts w:cs="Guttman Drogolin" w:hint="cs"/>
          <w:rtl/>
          <w:lang w:bidi="he-IL"/>
        </w:rPr>
        <w:t>הדין</w:t>
      </w:r>
      <w:r w:rsidRPr="00882F11">
        <w:rPr>
          <w:rFonts w:cs="Guttman Drogolin"/>
          <w:rtl/>
          <w:lang w:bidi="he-IL"/>
        </w:rPr>
        <w:t xml:space="preserve"> </w:t>
      </w:r>
      <w:r w:rsidRPr="00882F11">
        <w:rPr>
          <w:rFonts w:cs="Guttman Drogolin" w:hint="cs"/>
          <w:rtl/>
          <w:lang w:bidi="he-IL"/>
        </w:rPr>
        <w:t>משתנה</w:t>
      </w:r>
      <w:r w:rsidRPr="00882F11">
        <w:rPr>
          <w:rFonts w:cs="Guttman Drogolin"/>
          <w:rtl/>
          <w:lang w:bidi="he-IL"/>
        </w:rPr>
        <w:t xml:space="preserve">. </w:t>
      </w:r>
      <w:r w:rsidRPr="00882F11">
        <w:rPr>
          <w:rFonts w:cs="Guttman Drogolin" w:hint="cs"/>
          <w:rtl/>
          <w:lang w:bidi="he-IL"/>
        </w:rPr>
        <w:t>וא</w:t>
      </w:r>
      <w:r w:rsidRPr="00882F11">
        <w:rPr>
          <w:rFonts w:cs="Guttman Drogolin"/>
          <w:rtl/>
          <w:lang w:bidi="he-IL"/>
        </w:rPr>
        <w:t>"</w:t>
      </w:r>
      <w:r w:rsidRPr="00882F11">
        <w:rPr>
          <w:rFonts w:cs="Guttman Drogolin" w:hint="cs"/>
          <w:rtl/>
          <w:lang w:bidi="he-IL"/>
        </w:rPr>
        <w:t>כ</w:t>
      </w:r>
      <w:r w:rsidRPr="00882F11">
        <w:rPr>
          <w:rFonts w:cs="Guttman Drogolin"/>
          <w:rtl/>
          <w:lang w:bidi="he-IL"/>
        </w:rPr>
        <w:t xml:space="preserve"> </w:t>
      </w:r>
      <w:r w:rsidRPr="00882F11">
        <w:rPr>
          <w:rFonts w:cs="Guttman Drogolin" w:hint="cs"/>
          <w:rtl/>
          <w:lang w:bidi="he-IL"/>
        </w:rPr>
        <w:t>לכאורה</w:t>
      </w:r>
      <w:r w:rsidRPr="00882F11">
        <w:rPr>
          <w:rFonts w:cs="Guttman Drogolin"/>
          <w:rtl/>
          <w:lang w:bidi="he-IL"/>
        </w:rPr>
        <w:t xml:space="preserve"> </w:t>
      </w:r>
      <w:r w:rsidRPr="00882F11">
        <w:rPr>
          <w:rFonts w:cs="Guttman Drogolin" w:hint="cs"/>
          <w:rtl/>
          <w:lang w:bidi="he-IL"/>
        </w:rPr>
        <w:t>תלוי</w:t>
      </w:r>
      <w:r w:rsidRPr="00882F11">
        <w:rPr>
          <w:rFonts w:cs="Guttman Drogolin"/>
          <w:rtl/>
          <w:lang w:bidi="he-IL"/>
        </w:rPr>
        <w:t xml:space="preserve"> </w:t>
      </w:r>
      <w:r w:rsidRPr="00882F11">
        <w:rPr>
          <w:rFonts w:cs="Guttman Drogolin" w:hint="cs"/>
          <w:rtl/>
          <w:lang w:bidi="he-IL"/>
        </w:rPr>
        <w:t>בב</w:t>
      </w:r>
      <w:r w:rsidRPr="00882F11">
        <w:rPr>
          <w:rFonts w:cs="Guttman Drogolin"/>
          <w:rtl/>
          <w:lang w:bidi="he-IL"/>
        </w:rPr>
        <w:t xml:space="preserve">' </w:t>
      </w:r>
      <w:r w:rsidRPr="00882F11">
        <w:rPr>
          <w:rFonts w:cs="Guttman Drogolin" w:hint="cs"/>
          <w:rtl/>
          <w:lang w:bidi="he-IL"/>
        </w:rPr>
        <w:t>התירוצים</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המנח</w:t>
      </w:r>
      <w:r w:rsidRPr="00882F11">
        <w:rPr>
          <w:rFonts w:cs="Guttman Drogolin"/>
          <w:rtl/>
          <w:lang w:bidi="he-IL"/>
        </w:rPr>
        <w:t>"</w:t>
      </w:r>
      <w:r w:rsidRPr="00882F11">
        <w:rPr>
          <w:rFonts w:cs="Guttman Drogolin" w:hint="cs"/>
          <w:rtl/>
          <w:lang w:bidi="he-IL"/>
        </w:rPr>
        <w:t>י</w:t>
      </w:r>
      <w:r w:rsidRPr="00882F11">
        <w:rPr>
          <w:rFonts w:cs="Guttman Drogolin"/>
          <w:rtl/>
          <w:lang w:bidi="he-IL"/>
        </w:rPr>
        <w:t xml:space="preserve">. </w:t>
      </w:r>
      <w:r w:rsidRPr="00882F11">
        <w:rPr>
          <w:rFonts w:cs="Guttman Drogolin" w:hint="cs"/>
          <w:rtl/>
          <w:lang w:bidi="he-IL"/>
        </w:rPr>
        <w:t>אמנם</w:t>
      </w:r>
      <w:r w:rsidRPr="00882F11">
        <w:rPr>
          <w:rFonts w:cs="Guttman Drogolin"/>
          <w:rtl/>
          <w:lang w:bidi="he-IL"/>
        </w:rPr>
        <w:t xml:space="preserve"> </w:t>
      </w:r>
      <w:r w:rsidRPr="00882F11">
        <w:rPr>
          <w:rFonts w:cs="Guttman Drogolin" w:hint="cs"/>
          <w:rtl/>
          <w:lang w:bidi="he-IL"/>
        </w:rPr>
        <w:t>ראיתי</w:t>
      </w:r>
      <w:r w:rsidRPr="00882F11">
        <w:rPr>
          <w:rFonts w:cs="Guttman Drogolin"/>
          <w:rtl/>
          <w:lang w:bidi="he-IL"/>
        </w:rPr>
        <w:t xml:space="preserve"> </w:t>
      </w:r>
      <w:r w:rsidRPr="00882F11">
        <w:rPr>
          <w:rFonts w:cs="Guttman Drogolin" w:hint="cs"/>
          <w:rtl/>
          <w:lang w:bidi="he-IL"/>
        </w:rPr>
        <w:t>מהלך</w:t>
      </w:r>
      <w:r w:rsidRPr="00882F11">
        <w:rPr>
          <w:rFonts w:cs="Guttman Drogolin"/>
          <w:rtl/>
          <w:lang w:bidi="he-IL"/>
        </w:rPr>
        <w:t xml:space="preserve"> </w:t>
      </w:r>
      <w:r w:rsidRPr="00882F11">
        <w:rPr>
          <w:rFonts w:cs="Guttman Drogolin" w:hint="cs"/>
          <w:rtl/>
          <w:lang w:bidi="he-IL"/>
        </w:rPr>
        <w:t>אחר</w:t>
      </w:r>
      <w:r w:rsidRPr="00882F11">
        <w:rPr>
          <w:rFonts w:cs="Guttman Drogolin"/>
          <w:rtl/>
          <w:lang w:bidi="he-IL"/>
        </w:rPr>
        <w:t xml:space="preserve">. </w:t>
      </w:r>
      <w:r w:rsidRPr="00882F11">
        <w:rPr>
          <w:rFonts w:cs="Guttman Drogolin" w:hint="cs"/>
          <w:rtl/>
          <w:lang w:bidi="he-IL"/>
        </w:rPr>
        <w:t>דהנה</w:t>
      </w:r>
      <w:r w:rsidRPr="00882F11">
        <w:rPr>
          <w:rFonts w:cs="Guttman Drogolin"/>
          <w:rtl/>
          <w:lang w:bidi="he-IL"/>
        </w:rPr>
        <w:t xml:space="preserve"> </w:t>
      </w:r>
      <w:r w:rsidRPr="00882F11">
        <w:rPr>
          <w:rFonts w:cs="Guttman Drogolin" w:hint="cs"/>
          <w:rtl/>
          <w:lang w:bidi="he-IL"/>
        </w:rPr>
        <w:t>חה</w:t>
      </w:r>
      <w:r w:rsidR="00D236BB" w:rsidRPr="00882F11">
        <w:rPr>
          <w:rFonts w:cs="Guttman Drogolin" w:hint="cs"/>
          <w:rtl/>
          <w:lang w:bidi="he-IL"/>
        </w:rPr>
        <w:t>ר</w:t>
      </w:r>
      <w:r w:rsidRPr="00882F11">
        <w:rPr>
          <w:rFonts w:cs="Guttman Drogolin"/>
          <w:rtl/>
          <w:lang w:bidi="he-IL"/>
        </w:rPr>
        <w:t>"</w:t>
      </w:r>
      <w:r w:rsidRPr="00882F11">
        <w:rPr>
          <w:rFonts w:cs="Guttman Drogolin" w:hint="cs"/>
          <w:rtl/>
          <w:lang w:bidi="he-IL"/>
        </w:rPr>
        <w:t>ל</w:t>
      </w:r>
      <w:r w:rsidRPr="00882F11">
        <w:rPr>
          <w:rFonts w:cs="Guttman Drogolin"/>
          <w:rtl/>
          <w:lang w:bidi="he-IL"/>
        </w:rPr>
        <w:t xml:space="preserve"> </w:t>
      </w:r>
      <w:r w:rsidRPr="00882F11">
        <w:rPr>
          <w:rFonts w:cs="Guttman Drogolin" w:hint="cs"/>
          <w:rtl/>
          <w:lang w:bidi="he-IL"/>
        </w:rPr>
        <w:t>שאינו</w:t>
      </w:r>
      <w:r w:rsidRPr="00882F11">
        <w:rPr>
          <w:rFonts w:cs="Guttman Drogolin"/>
          <w:rtl/>
          <w:lang w:bidi="he-IL"/>
        </w:rPr>
        <w:t xml:space="preserve"> </w:t>
      </w:r>
      <w:r w:rsidRPr="00882F11">
        <w:rPr>
          <w:rFonts w:cs="Guttman Drogolin" w:hint="cs"/>
          <w:rtl/>
          <w:lang w:bidi="he-IL"/>
        </w:rPr>
        <w:t>בטל</w:t>
      </w:r>
      <w:r w:rsidRPr="00882F11">
        <w:rPr>
          <w:rFonts w:cs="Guttman Drogolin"/>
          <w:rtl/>
          <w:lang w:bidi="he-IL"/>
        </w:rPr>
        <w:t xml:space="preserve"> </w:t>
      </w:r>
      <w:r w:rsidRPr="00882F11">
        <w:rPr>
          <w:rFonts w:cs="Guttman Drogolin" w:hint="cs"/>
          <w:rtl/>
          <w:lang w:bidi="he-IL"/>
        </w:rPr>
        <w:t>במה</w:t>
      </w:r>
      <w:r w:rsidRPr="00882F11">
        <w:rPr>
          <w:rFonts w:cs="Guttman Drogolin"/>
          <w:rtl/>
          <w:lang w:bidi="he-IL"/>
        </w:rPr>
        <w:t xml:space="preserve"> </w:t>
      </w:r>
      <w:r w:rsidRPr="00882F11">
        <w:rPr>
          <w:rFonts w:cs="Guttman Drogolin" w:hint="cs"/>
          <w:rtl/>
          <w:lang w:bidi="he-IL"/>
        </w:rPr>
        <w:t>מדובר</w:t>
      </w:r>
      <w:r w:rsidRPr="00882F11">
        <w:rPr>
          <w:rFonts w:cs="Guttman Drogolin"/>
          <w:rtl/>
          <w:lang w:bidi="he-IL"/>
        </w:rPr>
        <w:t xml:space="preserve">, </w:t>
      </w:r>
      <w:r w:rsidRPr="00882F11">
        <w:rPr>
          <w:rFonts w:cs="Guttman Drogolin" w:hint="cs"/>
          <w:rtl/>
          <w:lang w:bidi="he-IL"/>
        </w:rPr>
        <w:t>האם</w:t>
      </w:r>
      <w:r w:rsidRPr="00882F11">
        <w:rPr>
          <w:rFonts w:cs="Guttman Drogolin"/>
          <w:rtl/>
          <w:lang w:bidi="he-IL"/>
        </w:rPr>
        <w:t xml:space="preserve"> </w:t>
      </w:r>
      <w:r w:rsidRPr="00882F11">
        <w:rPr>
          <w:rFonts w:cs="Guttman Drogolin" w:hint="cs"/>
          <w:rtl/>
          <w:lang w:bidi="he-IL"/>
        </w:rPr>
        <w:t>חתיכת</w:t>
      </w:r>
      <w:r w:rsidRPr="00882F11">
        <w:rPr>
          <w:rFonts w:cs="Guttman Drogolin"/>
          <w:rtl/>
          <w:lang w:bidi="he-IL"/>
        </w:rPr>
        <w:t xml:space="preserve"> </w:t>
      </w:r>
      <w:r w:rsidRPr="00882F11">
        <w:rPr>
          <w:rFonts w:cs="Guttman Drogolin" w:hint="cs"/>
          <w:rtl/>
          <w:lang w:bidi="he-IL"/>
        </w:rPr>
        <w:t>עוגה</w:t>
      </w:r>
      <w:r w:rsidRPr="00882F11">
        <w:rPr>
          <w:rFonts w:cs="Guttman Drogolin"/>
          <w:rtl/>
          <w:lang w:bidi="he-IL"/>
        </w:rPr>
        <w:t xml:space="preserve"> </w:t>
      </w:r>
      <w:r w:rsidRPr="00882F11">
        <w:rPr>
          <w:rFonts w:cs="Guttman Drogolin" w:hint="cs"/>
          <w:rtl/>
          <w:lang w:bidi="he-IL"/>
        </w:rPr>
        <w:t>לעצמה</w:t>
      </w:r>
      <w:r w:rsidRPr="00882F11">
        <w:rPr>
          <w:rFonts w:cs="Guttman Drogolin"/>
          <w:rtl/>
          <w:lang w:bidi="he-IL"/>
        </w:rPr>
        <w:t xml:space="preserve"> </w:t>
      </w:r>
      <w:r w:rsidRPr="00882F11">
        <w:rPr>
          <w:rFonts w:cs="Guttman Drogolin" w:hint="cs"/>
          <w:rtl/>
          <w:lang w:bidi="he-IL"/>
        </w:rPr>
        <w:t>שהדרך</w:t>
      </w:r>
      <w:r w:rsidRPr="00882F11">
        <w:rPr>
          <w:rFonts w:cs="Guttman Drogolin"/>
          <w:rtl/>
          <w:lang w:bidi="he-IL"/>
        </w:rPr>
        <w:t xml:space="preserve"> </w:t>
      </w:r>
      <w:r w:rsidRPr="00882F11">
        <w:rPr>
          <w:rFonts w:cs="Guttman Drogolin" w:hint="cs"/>
          <w:rtl/>
          <w:lang w:bidi="he-IL"/>
        </w:rPr>
        <w:t>שמגישים</w:t>
      </w:r>
      <w:r w:rsidRPr="00882F11">
        <w:rPr>
          <w:rFonts w:cs="Guttman Drogolin"/>
          <w:rtl/>
          <w:lang w:bidi="he-IL"/>
        </w:rPr>
        <w:t xml:space="preserve"> </w:t>
      </w:r>
      <w:r w:rsidRPr="00882F11">
        <w:rPr>
          <w:rFonts w:cs="Guttman Drogolin" w:hint="cs"/>
          <w:rtl/>
          <w:lang w:bidi="he-IL"/>
        </w:rPr>
        <w:t>לאורח</w:t>
      </w:r>
      <w:r w:rsidRPr="00882F11">
        <w:rPr>
          <w:rFonts w:cs="Guttman Drogolin"/>
          <w:rtl/>
          <w:lang w:bidi="he-IL"/>
        </w:rPr>
        <w:t xml:space="preserve"> </w:t>
      </w:r>
      <w:r w:rsidRPr="00882F11">
        <w:rPr>
          <w:rFonts w:cs="Guttman Drogolin" w:hint="cs"/>
          <w:rtl/>
          <w:lang w:bidi="he-IL"/>
        </w:rPr>
        <w:t>חשוב</w:t>
      </w:r>
      <w:r w:rsidRPr="00882F11">
        <w:rPr>
          <w:rFonts w:cs="Guttman Drogolin"/>
          <w:rtl/>
          <w:lang w:bidi="he-IL"/>
        </w:rPr>
        <w:t xml:space="preserve"> </w:t>
      </w:r>
      <w:r w:rsidRPr="00882F11">
        <w:rPr>
          <w:rFonts w:cs="Guttman Drogolin" w:hint="cs"/>
          <w:rtl/>
          <w:lang w:bidi="he-IL"/>
        </w:rPr>
        <w:t>ראוי</w:t>
      </w:r>
      <w:r w:rsidRPr="00882F11">
        <w:rPr>
          <w:rFonts w:cs="Guttman Drogolin"/>
          <w:rtl/>
          <w:lang w:bidi="he-IL"/>
        </w:rPr>
        <w:t xml:space="preserve">' </w:t>
      </w:r>
      <w:r w:rsidRPr="00882F11">
        <w:rPr>
          <w:rFonts w:cs="Guttman Drogolin" w:hint="cs"/>
          <w:rtl/>
          <w:lang w:bidi="he-IL"/>
        </w:rPr>
        <w:t>להתכבד</w:t>
      </w:r>
      <w:r w:rsidRPr="00882F11">
        <w:rPr>
          <w:rFonts w:cs="Guttman Drogolin"/>
          <w:rtl/>
          <w:lang w:bidi="he-IL"/>
        </w:rPr>
        <w:t xml:space="preserve">. </w:t>
      </w:r>
      <w:r w:rsidRPr="00882F11">
        <w:rPr>
          <w:rFonts w:cs="Guttman Drogolin" w:hint="cs"/>
          <w:rtl/>
          <w:lang w:bidi="he-IL"/>
        </w:rPr>
        <w:t>ובשו</w:t>
      </w:r>
      <w:r w:rsidRPr="00882F11">
        <w:rPr>
          <w:rFonts w:cs="Guttman Drogolin"/>
          <w:rtl/>
          <w:lang w:bidi="he-IL"/>
        </w:rPr>
        <w:t>"</w:t>
      </w:r>
      <w:r w:rsidRPr="00882F11">
        <w:rPr>
          <w:rFonts w:cs="Guttman Drogolin" w:hint="cs"/>
          <w:rtl/>
          <w:lang w:bidi="he-IL"/>
        </w:rPr>
        <w:t>ת</w:t>
      </w:r>
      <w:r w:rsidRPr="00882F11">
        <w:rPr>
          <w:rFonts w:cs="Guttman Drogolin"/>
          <w:rtl/>
          <w:lang w:bidi="he-IL"/>
        </w:rPr>
        <w:t xml:space="preserve"> </w:t>
      </w:r>
      <w:r w:rsidRPr="00882F11">
        <w:rPr>
          <w:rFonts w:cs="Guttman Drogolin" w:hint="cs"/>
          <w:rtl/>
          <w:lang w:bidi="he-IL"/>
        </w:rPr>
        <w:t>אבנ</w:t>
      </w:r>
      <w:r w:rsidRPr="00882F11">
        <w:rPr>
          <w:rFonts w:cs="Guttman Drogolin"/>
          <w:rtl/>
          <w:lang w:bidi="he-IL"/>
        </w:rPr>
        <w:t>"</w:t>
      </w:r>
      <w:r w:rsidRPr="00882F11">
        <w:rPr>
          <w:rFonts w:cs="Guttman Drogolin" w:hint="cs"/>
          <w:rtl/>
          <w:lang w:bidi="he-IL"/>
        </w:rPr>
        <w:t>ז</w:t>
      </w:r>
      <w:r w:rsidRPr="00882F11">
        <w:rPr>
          <w:rFonts w:cs="Guttman Drogolin"/>
          <w:rtl/>
          <w:lang w:bidi="he-IL"/>
        </w:rPr>
        <w:t xml:space="preserve"> </w:t>
      </w:r>
      <w:r w:rsidRPr="00882F11">
        <w:rPr>
          <w:rFonts w:cs="Guttman Drogolin" w:hint="cs"/>
          <w:rtl/>
          <w:lang w:bidi="he-IL"/>
        </w:rPr>
        <w:t>יו</w:t>
      </w:r>
      <w:r w:rsidRPr="00882F11">
        <w:rPr>
          <w:rFonts w:cs="Guttman Drogolin"/>
          <w:rtl/>
          <w:lang w:bidi="he-IL"/>
        </w:rPr>
        <w:t>"</w:t>
      </w:r>
      <w:r w:rsidRPr="00882F11">
        <w:rPr>
          <w:rFonts w:cs="Guttman Drogolin" w:hint="cs"/>
          <w:rtl/>
          <w:lang w:bidi="he-IL"/>
        </w:rPr>
        <w:t>ד</w:t>
      </w:r>
      <w:r w:rsidRPr="00882F11">
        <w:rPr>
          <w:rFonts w:cs="Guttman Drogolin"/>
          <w:rtl/>
          <w:lang w:bidi="he-IL"/>
        </w:rPr>
        <w:t xml:space="preserve"> </w:t>
      </w:r>
      <w:r w:rsidRPr="00882F11">
        <w:rPr>
          <w:rFonts w:cs="Guttman Drogolin" w:hint="cs"/>
          <w:rtl/>
          <w:lang w:bidi="he-IL"/>
        </w:rPr>
        <w:t>סי</w:t>
      </w:r>
      <w:r w:rsidRPr="00882F11">
        <w:rPr>
          <w:rFonts w:cs="Guttman Drogolin"/>
          <w:rtl/>
          <w:lang w:bidi="he-IL"/>
        </w:rPr>
        <w:t xml:space="preserve">' </w:t>
      </w:r>
      <w:r w:rsidRPr="00882F11">
        <w:rPr>
          <w:rFonts w:cs="Guttman Drogolin" w:hint="cs"/>
          <w:rtl/>
          <w:lang w:bidi="he-IL"/>
        </w:rPr>
        <w:t>צ</w:t>
      </w:r>
      <w:r w:rsidRPr="00882F11">
        <w:rPr>
          <w:rFonts w:cs="Guttman Drogolin"/>
          <w:rtl/>
          <w:lang w:bidi="he-IL"/>
        </w:rPr>
        <w:t>"</w:t>
      </w:r>
      <w:r w:rsidRPr="00882F11">
        <w:rPr>
          <w:rFonts w:cs="Guttman Drogolin" w:hint="cs"/>
          <w:rtl/>
          <w:lang w:bidi="he-IL"/>
        </w:rPr>
        <w:t>ו</w:t>
      </w:r>
      <w:r w:rsidRPr="00882F11">
        <w:rPr>
          <w:rFonts w:cs="Guttman Drogolin"/>
          <w:rtl/>
          <w:lang w:bidi="he-IL"/>
        </w:rPr>
        <w:t xml:space="preserve"> </w:t>
      </w:r>
      <w:r w:rsidR="00D236BB" w:rsidRPr="00882F11">
        <w:rPr>
          <w:rFonts w:cs="Guttman Drogolin" w:hint="cs"/>
          <w:rtl/>
          <w:lang w:bidi="he-IL"/>
        </w:rPr>
        <w:t xml:space="preserve">מצאתי </w:t>
      </w:r>
      <w:r w:rsidRPr="00882F11">
        <w:rPr>
          <w:rFonts w:cs="Guttman Drogolin" w:hint="cs"/>
          <w:rtl/>
          <w:lang w:bidi="he-IL"/>
        </w:rPr>
        <w:t>שדן</w:t>
      </w:r>
      <w:r w:rsidRPr="00882F11">
        <w:rPr>
          <w:rFonts w:cs="Guttman Drogolin"/>
          <w:rtl/>
          <w:lang w:bidi="he-IL"/>
        </w:rPr>
        <w:t xml:space="preserve"> </w:t>
      </w:r>
      <w:r w:rsidRPr="00882F11">
        <w:rPr>
          <w:rFonts w:cs="Guttman Drogolin" w:hint="cs"/>
          <w:rtl/>
          <w:lang w:bidi="he-IL"/>
        </w:rPr>
        <w:t>במ</w:t>
      </w:r>
      <w:r w:rsidR="00D236BB" w:rsidRPr="00882F11">
        <w:rPr>
          <w:rFonts w:cs="Guttman Drogolin" w:hint="cs"/>
          <w:rtl/>
          <w:lang w:bidi="he-IL"/>
        </w:rPr>
        <w:t>ש</w:t>
      </w:r>
      <w:r w:rsidRPr="00882F11">
        <w:rPr>
          <w:rFonts w:cs="Guttman Drogolin" w:hint="cs"/>
          <w:rtl/>
          <w:lang w:bidi="he-IL"/>
        </w:rPr>
        <w:t>הו</w:t>
      </w:r>
      <w:r w:rsidRPr="00882F11">
        <w:rPr>
          <w:rFonts w:cs="Guttman Drogolin"/>
          <w:rtl/>
          <w:lang w:bidi="he-IL"/>
        </w:rPr>
        <w:t xml:space="preserve"> </w:t>
      </w:r>
      <w:r w:rsidRPr="00882F11">
        <w:rPr>
          <w:rFonts w:cs="Guttman Drogolin" w:hint="cs"/>
          <w:rtl/>
          <w:lang w:bidi="he-IL"/>
        </w:rPr>
        <w:t>דומה</w:t>
      </w:r>
      <w:r w:rsidRPr="00882F11">
        <w:rPr>
          <w:rFonts w:cs="Guttman Drogolin"/>
          <w:rtl/>
          <w:lang w:bidi="he-IL"/>
        </w:rPr>
        <w:t xml:space="preserve">, </w:t>
      </w:r>
      <w:r w:rsidRPr="00882F11">
        <w:rPr>
          <w:rFonts w:cs="Guttman Drogolin" w:hint="cs"/>
          <w:rtl/>
          <w:lang w:bidi="he-IL"/>
        </w:rPr>
        <w:t>והוא</w:t>
      </w:r>
      <w:r w:rsidRPr="00882F11">
        <w:rPr>
          <w:rFonts w:cs="Guttman Drogolin"/>
          <w:rtl/>
          <w:lang w:bidi="he-IL"/>
        </w:rPr>
        <w:t xml:space="preserve"> </w:t>
      </w:r>
      <w:r w:rsidRPr="00882F11">
        <w:rPr>
          <w:rFonts w:cs="Guttman Drogolin" w:hint="cs"/>
          <w:rtl/>
          <w:lang w:bidi="he-IL"/>
        </w:rPr>
        <w:t>שהאו</w:t>
      </w:r>
      <w:r w:rsidRPr="00882F11">
        <w:rPr>
          <w:rFonts w:cs="Guttman Drogolin"/>
          <w:rtl/>
          <w:lang w:bidi="he-IL"/>
        </w:rPr>
        <w:t>"</w:t>
      </w:r>
      <w:r w:rsidRPr="00882F11">
        <w:rPr>
          <w:rFonts w:cs="Guttman Drogolin" w:hint="cs"/>
          <w:rtl/>
          <w:lang w:bidi="he-IL"/>
        </w:rPr>
        <w:t>ה</w:t>
      </w:r>
      <w:r w:rsidRPr="00882F11">
        <w:rPr>
          <w:rFonts w:cs="Guttman Drogolin"/>
          <w:rtl/>
          <w:lang w:bidi="he-IL"/>
        </w:rPr>
        <w:t xml:space="preserve"> </w:t>
      </w:r>
      <w:r w:rsidRPr="00882F11">
        <w:rPr>
          <w:rFonts w:cs="Guttman Drogolin" w:hint="cs"/>
          <w:rtl/>
          <w:lang w:bidi="he-IL"/>
        </w:rPr>
        <w:t>כתב</w:t>
      </w:r>
      <w:r w:rsidRPr="00882F11">
        <w:rPr>
          <w:rFonts w:cs="Guttman Drogolin"/>
          <w:rtl/>
          <w:lang w:bidi="he-IL"/>
        </w:rPr>
        <w:t xml:space="preserve"> </w:t>
      </w:r>
      <w:r w:rsidR="00D236BB" w:rsidRPr="00882F11">
        <w:rPr>
          <w:rFonts w:cs="Guttman Drogolin" w:hint="cs"/>
          <w:rtl/>
          <w:lang w:bidi="he-IL"/>
        </w:rPr>
        <w:t>שה</w:t>
      </w:r>
      <w:r w:rsidRPr="00882F11">
        <w:rPr>
          <w:rFonts w:cs="Guttman Drogolin" w:hint="cs"/>
          <w:rtl/>
          <w:lang w:bidi="he-IL"/>
        </w:rPr>
        <w:t>קורקבן</w:t>
      </w:r>
      <w:r w:rsidRPr="00882F11">
        <w:rPr>
          <w:rFonts w:cs="Guttman Drogolin"/>
          <w:rtl/>
          <w:lang w:bidi="he-IL"/>
        </w:rPr>
        <w:t xml:space="preserve"> </w:t>
      </w:r>
      <w:r w:rsidRPr="00882F11">
        <w:rPr>
          <w:rFonts w:cs="Guttman Drogolin" w:hint="cs"/>
          <w:rtl/>
          <w:lang w:bidi="he-IL"/>
        </w:rPr>
        <w:t>אע</w:t>
      </w:r>
      <w:r w:rsidRPr="00882F11">
        <w:rPr>
          <w:rFonts w:cs="Guttman Drogolin"/>
          <w:rtl/>
          <w:lang w:bidi="he-IL"/>
        </w:rPr>
        <w:t>"</w:t>
      </w:r>
      <w:r w:rsidRPr="00882F11">
        <w:rPr>
          <w:rFonts w:cs="Guttman Drogolin" w:hint="cs"/>
          <w:rtl/>
          <w:lang w:bidi="he-IL"/>
        </w:rPr>
        <w:t>ג</w:t>
      </w:r>
      <w:r w:rsidRPr="00882F11">
        <w:rPr>
          <w:rFonts w:cs="Guttman Drogolin"/>
          <w:rtl/>
          <w:lang w:bidi="he-IL"/>
        </w:rPr>
        <w:t xml:space="preserve"> </w:t>
      </w:r>
      <w:r w:rsidRPr="00882F11">
        <w:rPr>
          <w:rFonts w:cs="Guttman Drogolin" w:hint="cs"/>
          <w:rtl/>
          <w:lang w:bidi="he-IL"/>
        </w:rPr>
        <w:t>שאין</w:t>
      </w:r>
      <w:r w:rsidRPr="00882F11">
        <w:rPr>
          <w:rFonts w:cs="Guttman Drogolin"/>
          <w:rtl/>
          <w:lang w:bidi="he-IL"/>
        </w:rPr>
        <w:t xml:space="preserve"> </w:t>
      </w:r>
      <w:r w:rsidRPr="00882F11">
        <w:rPr>
          <w:rFonts w:cs="Guttman Drogolin" w:hint="cs"/>
          <w:rtl/>
          <w:lang w:bidi="he-IL"/>
        </w:rPr>
        <w:t>מגישים</w:t>
      </w:r>
      <w:r w:rsidRPr="00882F11">
        <w:rPr>
          <w:rFonts w:cs="Guttman Drogolin"/>
          <w:rtl/>
          <w:lang w:bidi="he-IL"/>
        </w:rPr>
        <w:t xml:space="preserve"> </w:t>
      </w:r>
      <w:r w:rsidRPr="00882F11">
        <w:rPr>
          <w:rFonts w:cs="Guttman Drogolin" w:hint="cs"/>
          <w:rtl/>
          <w:lang w:bidi="he-IL"/>
        </w:rPr>
        <w:t>קורקבן</w:t>
      </w:r>
      <w:r w:rsidRPr="00882F11">
        <w:rPr>
          <w:rFonts w:cs="Guttman Drogolin"/>
          <w:rtl/>
          <w:lang w:bidi="he-IL"/>
        </w:rPr>
        <w:t xml:space="preserve"> </w:t>
      </w:r>
      <w:r w:rsidRPr="00882F11">
        <w:rPr>
          <w:rFonts w:cs="Guttman Drogolin" w:hint="cs"/>
          <w:rtl/>
          <w:lang w:bidi="he-IL"/>
        </w:rPr>
        <w:t>בפני</w:t>
      </w:r>
      <w:r w:rsidRPr="00882F11">
        <w:rPr>
          <w:rFonts w:cs="Guttman Drogolin"/>
          <w:rtl/>
          <w:lang w:bidi="he-IL"/>
        </w:rPr>
        <w:t xml:space="preserve"> </w:t>
      </w:r>
      <w:r w:rsidRPr="00882F11">
        <w:rPr>
          <w:rFonts w:cs="Guttman Drogolin" w:hint="cs"/>
          <w:rtl/>
          <w:lang w:bidi="he-IL"/>
        </w:rPr>
        <w:t>עצמו</w:t>
      </w:r>
      <w:r w:rsidRPr="00882F11">
        <w:rPr>
          <w:rFonts w:cs="Guttman Drogolin"/>
          <w:rtl/>
          <w:lang w:bidi="he-IL"/>
        </w:rPr>
        <w:t xml:space="preserve"> </w:t>
      </w:r>
      <w:r w:rsidRPr="00882F11">
        <w:rPr>
          <w:rFonts w:cs="Guttman Drogolin" w:hint="cs"/>
          <w:rtl/>
          <w:lang w:bidi="he-IL"/>
        </w:rPr>
        <w:t>מ</w:t>
      </w:r>
      <w:r w:rsidRPr="00882F11">
        <w:rPr>
          <w:rFonts w:cs="Guttman Drogolin"/>
          <w:rtl/>
          <w:lang w:bidi="he-IL"/>
        </w:rPr>
        <w:t>"</w:t>
      </w:r>
      <w:r w:rsidRPr="00882F11">
        <w:rPr>
          <w:rFonts w:cs="Guttman Drogolin" w:hint="cs"/>
          <w:rtl/>
          <w:lang w:bidi="he-IL"/>
        </w:rPr>
        <w:t>מ</w:t>
      </w:r>
      <w:r w:rsidRPr="00882F11">
        <w:rPr>
          <w:rFonts w:cs="Guttman Drogolin"/>
          <w:rtl/>
          <w:lang w:bidi="he-IL"/>
        </w:rPr>
        <w:t xml:space="preserve"> </w:t>
      </w:r>
      <w:r w:rsidRPr="00882F11">
        <w:rPr>
          <w:rFonts w:cs="Guttman Drogolin" w:hint="cs"/>
          <w:rtl/>
          <w:lang w:bidi="he-IL"/>
        </w:rPr>
        <w:t>מגישים</w:t>
      </w:r>
      <w:r w:rsidRPr="00882F11">
        <w:rPr>
          <w:rFonts w:cs="Guttman Drogolin"/>
          <w:rtl/>
          <w:lang w:bidi="he-IL"/>
        </w:rPr>
        <w:t xml:space="preserve"> </w:t>
      </w:r>
      <w:r w:rsidRPr="00882F11">
        <w:rPr>
          <w:rFonts w:cs="Guttman Drogolin" w:hint="cs"/>
          <w:rtl/>
          <w:lang w:bidi="he-IL"/>
        </w:rPr>
        <w:t>כפרפרת</w:t>
      </w:r>
      <w:r w:rsidRPr="00882F11">
        <w:rPr>
          <w:rFonts w:cs="Guttman Drogolin"/>
          <w:rtl/>
          <w:lang w:bidi="he-IL"/>
        </w:rPr>
        <w:t xml:space="preserve">. </w:t>
      </w:r>
      <w:r w:rsidRPr="00882F11">
        <w:rPr>
          <w:rFonts w:cs="Guttman Drogolin" w:hint="cs"/>
          <w:rtl/>
          <w:lang w:bidi="he-IL"/>
        </w:rPr>
        <w:t>והקשה</w:t>
      </w:r>
      <w:r w:rsidRPr="00882F11">
        <w:rPr>
          <w:rFonts w:cs="Guttman Drogolin"/>
          <w:rtl/>
          <w:lang w:bidi="he-IL"/>
        </w:rPr>
        <w:t xml:space="preserve"> </w:t>
      </w:r>
      <w:r w:rsidRPr="00882F11">
        <w:rPr>
          <w:rFonts w:cs="Guttman Drogolin" w:hint="cs"/>
          <w:rtl/>
          <w:lang w:bidi="he-IL"/>
        </w:rPr>
        <w:t>דכיון</w:t>
      </w:r>
      <w:r w:rsidRPr="00882F11">
        <w:rPr>
          <w:rFonts w:cs="Guttman Drogolin"/>
          <w:rtl/>
          <w:lang w:bidi="he-IL"/>
        </w:rPr>
        <w:t xml:space="preserve"> </w:t>
      </w:r>
      <w:r w:rsidRPr="00882F11">
        <w:rPr>
          <w:rFonts w:cs="Guttman Drogolin" w:hint="cs"/>
          <w:rtl/>
          <w:lang w:bidi="he-IL"/>
        </w:rPr>
        <w:t>שסוף</w:t>
      </w:r>
      <w:r w:rsidRPr="00882F11">
        <w:rPr>
          <w:rFonts w:cs="Guttman Drogolin"/>
          <w:rtl/>
          <w:lang w:bidi="he-IL"/>
        </w:rPr>
        <w:t xml:space="preserve"> </w:t>
      </w:r>
      <w:r w:rsidR="0035027B" w:rsidRPr="00882F11">
        <w:rPr>
          <w:rFonts w:cs="Guttman Drogolin" w:hint="cs"/>
          <w:rtl/>
          <w:lang w:bidi="he-IL"/>
        </w:rPr>
        <w:t>סוף</w:t>
      </w:r>
      <w:r w:rsidRPr="00882F11">
        <w:rPr>
          <w:rFonts w:cs="Guttman Drogolin"/>
          <w:rtl/>
          <w:lang w:bidi="he-IL"/>
        </w:rPr>
        <w:t xml:space="preserve"> </w:t>
      </w:r>
      <w:r w:rsidRPr="00882F11">
        <w:rPr>
          <w:rFonts w:cs="Guttman Drogolin" w:hint="cs"/>
          <w:rtl/>
          <w:lang w:bidi="he-IL"/>
        </w:rPr>
        <w:t>מגישים</w:t>
      </w:r>
      <w:r w:rsidRPr="00882F11">
        <w:rPr>
          <w:rFonts w:cs="Guttman Drogolin"/>
          <w:rtl/>
          <w:lang w:bidi="he-IL"/>
        </w:rPr>
        <w:t xml:space="preserve"> </w:t>
      </w:r>
      <w:r w:rsidRPr="00882F11">
        <w:rPr>
          <w:rFonts w:cs="Guttman Drogolin" w:hint="cs"/>
          <w:rtl/>
          <w:lang w:bidi="he-IL"/>
        </w:rPr>
        <w:t>כפרפרת</w:t>
      </w:r>
      <w:r w:rsidRPr="00882F11">
        <w:rPr>
          <w:rFonts w:cs="Guttman Drogolin"/>
          <w:rtl/>
          <w:lang w:bidi="he-IL"/>
        </w:rPr>
        <w:t xml:space="preserve"> </w:t>
      </w:r>
      <w:r w:rsidRPr="00882F11">
        <w:rPr>
          <w:rFonts w:cs="Guttman Drogolin" w:hint="cs"/>
          <w:rtl/>
          <w:lang w:bidi="he-IL"/>
        </w:rPr>
        <w:t>למה</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יהא</w:t>
      </w:r>
      <w:r w:rsidRPr="00882F11">
        <w:rPr>
          <w:rFonts w:cs="Guttman Drogolin"/>
          <w:rtl/>
          <w:lang w:bidi="he-IL"/>
        </w:rPr>
        <w:t xml:space="preserve"> </w:t>
      </w:r>
      <w:r w:rsidRPr="00882F11">
        <w:rPr>
          <w:rFonts w:cs="Guttman Drogolin" w:hint="cs"/>
          <w:rtl/>
          <w:lang w:bidi="he-IL"/>
        </w:rPr>
        <w:t>ראוי</w:t>
      </w:r>
      <w:r w:rsidRPr="00882F11">
        <w:rPr>
          <w:rFonts w:cs="Guttman Drogolin"/>
          <w:rtl/>
          <w:lang w:bidi="he-IL"/>
        </w:rPr>
        <w:t xml:space="preserve">' </w:t>
      </w:r>
      <w:r w:rsidRPr="00882F11">
        <w:rPr>
          <w:rFonts w:cs="Guttman Drogolin" w:hint="cs"/>
          <w:rtl/>
          <w:lang w:bidi="he-IL"/>
        </w:rPr>
        <w:t>להתכבד</w:t>
      </w:r>
      <w:r w:rsidRPr="00882F11">
        <w:rPr>
          <w:rFonts w:cs="Guttman Drogolin"/>
          <w:rtl/>
          <w:lang w:bidi="he-IL"/>
        </w:rPr>
        <w:t xml:space="preserve">. </w:t>
      </w:r>
      <w:r w:rsidRPr="00882F11">
        <w:rPr>
          <w:rFonts w:cs="Guttman Drogolin" w:hint="cs"/>
          <w:rtl/>
          <w:lang w:bidi="he-IL"/>
        </w:rPr>
        <w:t>ותי</w:t>
      </w:r>
      <w:r w:rsidRPr="00882F11">
        <w:rPr>
          <w:rFonts w:cs="Guttman Drogolin"/>
          <w:rtl/>
          <w:lang w:bidi="he-IL"/>
        </w:rPr>
        <w:t xml:space="preserve">' </w:t>
      </w:r>
      <w:r w:rsidRPr="00882F11">
        <w:rPr>
          <w:rFonts w:cs="Guttman Drogolin" w:hint="cs"/>
          <w:rtl/>
          <w:lang w:bidi="he-IL"/>
        </w:rPr>
        <w:t>האבנ</w:t>
      </w:r>
      <w:r w:rsidRPr="00882F11">
        <w:rPr>
          <w:rFonts w:cs="Guttman Drogolin"/>
          <w:rtl/>
          <w:lang w:bidi="he-IL"/>
        </w:rPr>
        <w:t>"</w:t>
      </w:r>
      <w:r w:rsidRPr="00882F11">
        <w:rPr>
          <w:rFonts w:cs="Guttman Drogolin" w:hint="cs"/>
          <w:rtl/>
          <w:lang w:bidi="he-IL"/>
        </w:rPr>
        <w:t>ז</w:t>
      </w:r>
      <w:r w:rsidRPr="00882F11">
        <w:rPr>
          <w:rFonts w:cs="Guttman Drogolin"/>
          <w:rtl/>
          <w:lang w:bidi="he-IL"/>
        </w:rPr>
        <w:t xml:space="preserve"> </w:t>
      </w:r>
      <w:r w:rsidRPr="00882F11">
        <w:rPr>
          <w:rFonts w:cs="Guttman Drogolin" w:hint="cs"/>
          <w:rtl/>
          <w:lang w:bidi="he-IL"/>
        </w:rPr>
        <w:t>שאין</w:t>
      </w:r>
      <w:r w:rsidRPr="00882F11">
        <w:rPr>
          <w:rFonts w:cs="Guttman Drogolin"/>
          <w:rtl/>
          <w:lang w:bidi="he-IL"/>
        </w:rPr>
        <w:t xml:space="preserve"> </w:t>
      </w:r>
      <w:r w:rsidRPr="00882F11">
        <w:rPr>
          <w:rFonts w:cs="Guttman Drogolin" w:hint="cs"/>
          <w:rtl/>
          <w:lang w:bidi="he-IL"/>
        </w:rPr>
        <w:t>דין</w:t>
      </w:r>
      <w:r w:rsidRPr="00882F11">
        <w:rPr>
          <w:rFonts w:cs="Guttman Drogolin"/>
          <w:rtl/>
          <w:lang w:bidi="he-IL"/>
        </w:rPr>
        <w:t xml:space="preserve"> </w:t>
      </w:r>
      <w:r w:rsidRPr="00882F11">
        <w:rPr>
          <w:rFonts w:cs="Guttman Drogolin" w:hint="cs"/>
          <w:rtl/>
          <w:lang w:bidi="he-IL"/>
        </w:rPr>
        <w:t>ראוי</w:t>
      </w:r>
      <w:r w:rsidRPr="00882F11">
        <w:rPr>
          <w:rFonts w:cs="Guttman Drogolin"/>
          <w:rtl/>
          <w:lang w:bidi="he-IL"/>
        </w:rPr>
        <w:t xml:space="preserve">' </w:t>
      </w:r>
      <w:r w:rsidRPr="00882F11">
        <w:rPr>
          <w:rFonts w:cs="Guttman Drogolin" w:hint="cs"/>
          <w:rtl/>
          <w:lang w:bidi="he-IL"/>
        </w:rPr>
        <w:t>להתכבד</w:t>
      </w:r>
      <w:r w:rsidRPr="00882F11">
        <w:rPr>
          <w:rFonts w:cs="Guttman Drogolin"/>
          <w:rtl/>
          <w:lang w:bidi="he-IL"/>
        </w:rPr>
        <w:t xml:space="preserve"> </w:t>
      </w:r>
      <w:r w:rsidR="0035027B" w:rsidRPr="00882F11">
        <w:rPr>
          <w:rFonts w:cs="Guttman Drogolin" w:hint="cs"/>
          <w:rtl/>
          <w:lang w:bidi="he-IL"/>
        </w:rPr>
        <w:t>אלא כש</w:t>
      </w:r>
      <w:r w:rsidRPr="00882F11">
        <w:rPr>
          <w:rFonts w:cs="Guttman Drogolin" w:hint="cs"/>
          <w:rtl/>
          <w:lang w:bidi="he-IL"/>
        </w:rPr>
        <w:t>נאכל</w:t>
      </w:r>
      <w:r w:rsidRPr="00882F11">
        <w:rPr>
          <w:rFonts w:cs="Guttman Drogolin"/>
          <w:rtl/>
          <w:lang w:bidi="he-IL"/>
        </w:rPr>
        <w:t xml:space="preserve"> </w:t>
      </w:r>
      <w:r w:rsidRPr="00882F11">
        <w:rPr>
          <w:rFonts w:cs="Guttman Drogolin" w:hint="cs"/>
          <w:rtl/>
          <w:lang w:bidi="he-IL"/>
        </w:rPr>
        <w:t>בפני</w:t>
      </w:r>
      <w:r w:rsidRPr="00882F11">
        <w:rPr>
          <w:rFonts w:cs="Guttman Drogolin"/>
          <w:rtl/>
          <w:lang w:bidi="he-IL"/>
        </w:rPr>
        <w:t xml:space="preserve"> </w:t>
      </w:r>
      <w:r w:rsidRPr="00882F11">
        <w:rPr>
          <w:rFonts w:cs="Guttman Drogolin" w:hint="cs"/>
          <w:rtl/>
          <w:lang w:bidi="he-IL"/>
        </w:rPr>
        <w:t>עצמו</w:t>
      </w:r>
      <w:r w:rsidRPr="00882F11">
        <w:rPr>
          <w:rFonts w:cs="Guttman Drogolin"/>
          <w:rtl/>
          <w:lang w:bidi="he-IL"/>
        </w:rPr>
        <w:t xml:space="preserve"> </w:t>
      </w:r>
      <w:r w:rsidRPr="00882F11">
        <w:rPr>
          <w:rFonts w:cs="Guttman Drogolin" w:hint="cs"/>
          <w:rtl/>
          <w:lang w:bidi="he-IL"/>
        </w:rPr>
        <w:t>ולא</w:t>
      </w:r>
      <w:r w:rsidRPr="00882F11">
        <w:rPr>
          <w:rFonts w:cs="Guttman Drogolin"/>
          <w:rtl/>
          <w:lang w:bidi="he-IL"/>
        </w:rPr>
        <w:t xml:space="preserve"> </w:t>
      </w:r>
      <w:r w:rsidRPr="00882F11">
        <w:rPr>
          <w:rFonts w:cs="Guttman Drogolin" w:hint="cs"/>
          <w:rtl/>
          <w:lang w:bidi="he-IL"/>
        </w:rPr>
        <w:t>ביחד</w:t>
      </w:r>
      <w:r w:rsidRPr="00882F11">
        <w:rPr>
          <w:rFonts w:cs="Guttman Drogolin"/>
          <w:rtl/>
          <w:lang w:bidi="he-IL"/>
        </w:rPr>
        <w:t xml:space="preserve"> </w:t>
      </w:r>
      <w:r w:rsidRPr="00882F11">
        <w:rPr>
          <w:rFonts w:cs="Guttman Drogolin" w:hint="cs"/>
          <w:rtl/>
          <w:lang w:bidi="he-IL"/>
        </w:rPr>
        <w:t>עם</w:t>
      </w:r>
      <w:r w:rsidRPr="00882F11">
        <w:rPr>
          <w:rFonts w:cs="Guttman Drogolin"/>
          <w:rtl/>
          <w:lang w:bidi="he-IL"/>
        </w:rPr>
        <w:t xml:space="preserve"> </w:t>
      </w:r>
      <w:r w:rsidRPr="00882F11">
        <w:rPr>
          <w:rFonts w:cs="Guttman Drogolin" w:hint="cs"/>
          <w:rtl/>
          <w:lang w:bidi="he-IL"/>
        </w:rPr>
        <w:t>דברים</w:t>
      </w:r>
      <w:r w:rsidRPr="00882F11">
        <w:rPr>
          <w:rFonts w:cs="Guttman Drogolin"/>
          <w:rtl/>
          <w:lang w:bidi="he-IL"/>
        </w:rPr>
        <w:t xml:space="preserve"> </w:t>
      </w:r>
      <w:r w:rsidRPr="00882F11">
        <w:rPr>
          <w:rFonts w:cs="Guttman Drogolin" w:hint="cs"/>
          <w:rtl/>
          <w:lang w:bidi="he-IL"/>
        </w:rPr>
        <w:t>אחרים</w:t>
      </w:r>
      <w:r w:rsidRPr="00882F11">
        <w:rPr>
          <w:rFonts w:cs="Guttman Drogolin"/>
          <w:rtl/>
          <w:lang w:bidi="he-IL"/>
        </w:rPr>
        <w:t xml:space="preserve">. </w:t>
      </w:r>
      <w:r w:rsidRPr="00882F11">
        <w:rPr>
          <w:rFonts w:cs="Guttman Drogolin" w:hint="cs"/>
          <w:rtl/>
          <w:lang w:bidi="he-IL"/>
        </w:rPr>
        <w:t>וא</w:t>
      </w:r>
      <w:r w:rsidRPr="00882F11">
        <w:rPr>
          <w:rFonts w:cs="Guttman Drogolin"/>
          <w:rtl/>
          <w:lang w:bidi="he-IL"/>
        </w:rPr>
        <w:t>"</w:t>
      </w:r>
      <w:r w:rsidRPr="00882F11">
        <w:rPr>
          <w:rFonts w:cs="Guttman Drogolin" w:hint="cs"/>
          <w:rtl/>
          <w:lang w:bidi="he-IL"/>
        </w:rPr>
        <w:t>כ</w:t>
      </w:r>
      <w:r w:rsidRPr="00882F11">
        <w:rPr>
          <w:rFonts w:cs="Guttman Drogolin"/>
          <w:rtl/>
          <w:lang w:bidi="he-IL"/>
        </w:rPr>
        <w:t xml:space="preserve"> </w:t>
      </w:r>
      <w:r w:rsidRPr="00882F11">
        <w:rPr>
          <w:rFonts w:cs="Guttman Drogolin" w:hint="cs"/>
          <w:rtl/>
          <w:lang w:bidi="he-IL"/>
        </w:rPr>
        <w:t>עוגה</w:t>
      </w:r>
      <w:r w:rsidRPr="00882F11">
        <w:rPr>
          <w:rFonts w:cs="Guttman Drogolin"/>
          <w:rtl/>
          <w:lang w:bidi="he-IL"/>
        </w:rPr>
        <w:t xml:space="preserve"> </w:t>
      </w:r>
      <w:r w:rsidRPr="00882F11">
        <w:rPr>
          <w:rFonts w:cs="Guttman Drogolin" w:hint="cs"/>
          <w:rtl/>
          <w:lang w:bidi="he-IL"/>
        </w:rPr>
        <w:t>נמי</w:t>
      </w:r>
      <w:r w:rsidRPr="00882F11">
        <w:rPr>
          <w:rFonts w:cs="Guttman Drogolin"/>
          <w:rtl/>
          <w:lang w:bidi="he-IL"/>
        </w:rPr>
        <w:t xml:space="preserve"> </w:t>
      </w:r>
      <w:r w:rsidRPr="00882F11">
        <w:rPr>
          <w:rFonts w:cs="Guttman Drogolin" w:hint="cs"/>
          <w:rtl/>
          <w:lang w:bidi="he-IL"/>
        </w:rPr>
        <w:t>כיון</w:t>
      </w:r>
      <w:r w:rsidRPr="00882F11">
        <w:rPr>
          <w:rFonts w:cs="Guttman Drogolin"/>
          <w:rtl/>
          <w:lang w:bidi="he-IL"/>
        </w:rPr>
        <w:t xml:space="preserve"> </w:t>
      </w:r>
      <w:r w:rsidRPr="00882F11">
        <w:rPr>
          <w:rFonts w:cs="Guttman Drogolin" w:hint="cs"/>
          <w:rtl/>
          <w:lang w:bidi="he-IL"/>
        </w:rPr>
        <w:t>שאין</w:t>
      </w:r>
      <w:r w:rsidRPr="00882F11">
        <w:rPr>
          <w:rFonts w:cs="Guttman Drogolin"/>
          <w:rtl/>
          <w:lang w:bidi="he-IL"/>
        </w:rPr>
        <w:t xml:space="preserve"> </w:t>
      </w:r>
      <w:r w:rsidRPr="00882F11">
        <w:rPr>
          <w:rFonts w:cs="Guttman Drogolin" w:hint="cs"/>
          <w:rtl/>
          <w:lang w:bidi="he-IL"/>
        </w:rPr>
        <w:t>עושים</w:t>
      </w:r>
      <w:r w:rsidRPr="00882F11">
        <w:rPr>
          <w:rFonts w:cs="Guttman Drogolin"/>
          <w:rtl/>
          <w:lang w:bidi="he-IL"/>
        </w:rPr>
        <w:t xml:space="preserve"> </w:t>
      </w:r>
      <w:r w:rsidRPr="00882F11">
        <w:rPr>
          <w:rFonts w:cs="Guttman Drogolin" w:hint="cs"/>
          <w:rtl/>
          <w:lang w:bidi="he-IL"/>
        </w:rPr>
        <w:t>ממנו</w:t>
      </w:r>
      <w:r w:rsidRPr="00882F11">
        <w:rPr>
          <w:rFonts w:cs="Guttman Drogolin"/>
          <w:rtl/>
          <w:lang w:bidi="he-IL"/>
        </w:rPr>
        <w:t xml:space="preserve"> </w:t>
      </w:r>
      <w:r w:rsidRPr="00882F11">
        <w:rPr>
          <w:rFonts w:cs="Guttman Drogolin" w:hint="cs"/>
          <w:rtl/>
          <w:lang w:bidi="he-IL"/>
        </w:rPr>
        <w:t>סעודה</w:t>
      </w:r>
      <w:r w:rsidRPr="00882F11">
        <w:rPr>
          <w:rFonts w:cs="Guttman Drogolin"/>
          <w:rtl/>
          <w:lang w:bidi="he-IL"/>
        </w:rPr>
        <w:t xml:space="preserve"> </w:t>
      </w:r>
      <w:r w:rsidRPr="00882F11">
        <w:rPr>
          <w:rFonts w:cs="Guttman Drogolin" w:hint="cs"/>
          <w:rtl/>
          <w:lang w:bidi="he-IL"/>
        </w:rPr>
        <w:t>אינה</w:t>
      </w:r>
      <w:r w:rsidRPr="00882F11">
        <w:rPr>
          <w:rFonts w:cs="Guttman Drogolin"/>
          <w:rtl/>
          <w:lang w:bidi="he-IL"/>
        </w:rPr>
        <w:t xml:space="preserve"> </w:t>
      </w:r>
      <w:r w:rsidRPr="00882F11">
        <w:rPr>
          <w:rFonts w:cs="Guttman Drogolin" w:hint="cs"/>
          <w:rtl/>
          <w:lang w:bidi="he-IL"/>
        </w:rPr>
        <w:t>ראוי</w:t>
      </w:r>
      <w:r w:rsidRPr="00882F11">
        <w:rPr>
          <w:rFonts w:cs="Guttman Drogolin"/>
          <w:rtl/>
          <w:lang w:bidi="he-IL"/>
        </w:rPr>
        <w:t xml:space="preserve">' </w:t>
      </w:r>
      <w:r w:rsidRPr="00882F11">
        <w:rPr>
          <w:rFonts w:cs="Guttman Drogolin" w:hint="cs"/>
          <w:rtl/>
          <w:lang w:bidi="he-IL"/>
        </w:rPr>
        <w:t>להתכבד</w:t>
      </w:r>
      <w:r w:rsidRPr="00882F11">
        <w:rPr>
          <w:rFonts w:cs="Guttman Drogolin"/>
          <w:rtl/>
          <w:lang w:bidi="he-IL"/>
        </w:rPr>
        <w:t xml:space="preserve">. </w:t>
      </w:r>
      <w:r w:rsidRPr="00882F11">
        <w:rPr>
          <w:rFonts w:cs="Guttman Drogolin" w:hint="cs"/>
          <w:rtl/>
          <w:lang w:bidi="he-IL"/>
        </w:rPr>
        <w:t>ובבד</w:t>
      </w:r>
      <w:r w:rsidR="0035027B" w:rsidRPr="00882F11">
        <w:rPr>
          <w:rFonts w:cs="Guttman Drogolin" w:hint="cs"/>
          <w:rtl/>
          <w:lang w:bidi="he-IL"/>
        </w:rPr>
        <w:t>י</w:t>
      </w:r>
      <w:r w:rsidRPr="00882F11">
        <w:rPr>
          <w:rFonts w:cs="Guttman Drogolin"/>
          <w:rtl/>
          <w:lang w:bidi="he-IL"/>
        </w:rPr>
        <w:t xml:space="preserve"> </w:t>
      </w:r>
      <w:r w:rsidRPr="00882F11">
        <w:rPr>
          <w:rFonts w:cs="Guttman Drogolin" w:hint="cs"/>
          <w:rtl/>
          <w:lang w:bidi="he-IL"/>
        </w:rPr>
        <w:t>השולחן</w:t>
      </w:r>
      <w:r w:rsidRPr="00882F11">
        <w:rPr>
          <w:rFonts w:cs="Guttman Drogolin"/>
          <w:rtl/>
          <w:lang w:bidi="he-IL"/>
        </w:rPr>
        <w:t xml:space="preserve"> </w:t>
      </w:r>
      <w:r w:rsidRPr="00882F11">
        <w:rPr>
          <w:rFonts w:cs="Guttman Drogolin" w:hint="cs"/>
          <w:rtl/>
          <w:lang w:bidi="he-IL"/>
        </w:rPr>
        <w:t>כתב</w:t>
      </w:r>
      <w:r w:rsidRPr="00882F11">
        <w:rPr>
          <w:rFonts w:cs="Guttman Drogolin"/>
          <w:rtl/>
          <w:lang w:bidi="he-IL"/>
        </w:rPr>
        <w:t xml:space="preserve"> </w:t>
      </w:r>
      <w:r w:rsidRPr="00882F11">
        <w:rPr>
          <w:rFonts w:cs="Guttman Drogolin" w:hint="cs"/>
          <w:rtl/>
          <w:lang w:bidi="he-IL"/>
        </w:rPr>
        <w:t>כן</w:t>
      </w:r>
      <w:r w:rsidRPr="00882F11">
        <w:rPr>
          <w:rFonts w:cs="Guttman Drogolin"/>
          <w:rtl/>
          <w:lang w:bidi="he-IL"/>
        </w:rPr>
        <w:t xml:space="preserve"> </w:t>
      </w:r>
      <w:r w:rsidRPr="00882F11">
        <w:rPr>
          <w:rFonts w:cs="Guttman Drogolin" w:hint="cs"/>
          <w:rtl/>
          <w:lang w:bidi="he-IL"/>
        </w:rPr>
        <w:t>אבל</w:t>
      </w:r>
      <w:r w:rsidRPr="00882F11">
        <w:rPr>
          <w:rFonts w:cs="Guttman Drogolin"/>
          <w:rtl/>
          <w:lang w:bidi="he-IL"/>
        </w:rPr>
        <w:t xml:space="preserve"> </w:t>
      </w:r>
      <w:r w:rsidRPr="00882F11">
        <w:rPr>
          <w:rFonts w:cs="Guttman Drogolin" w:hint="cs"/>
          <w:rtl/>
          <w:lang w:bidi="he-IL"/>
        </w:rPr>
        <w:t>הדגיש</w:t>
      </w:r>
      <w:r w:rsidRPr="00882F11">
        <w:rPr>
          <w:rFonts w:cs="Guttman Drogolin"/>
          <w:rtl/>
          <w:lang w:bidi="he-IL"/>
        </w:rPr>
        <w:t xml:space="preserve"> </w:t>
      </w:r>
      <w:r w:rsidRPr="00882F11">
        <w:rPr>
          <w:rFonts w:cs="Guttman Drogolin" w:hint="cs"/>
          <w:rtl/>
          <w:lang w:bidi="he-IL"/>
        </w:rPr>
        <w:t>דהיינו</w:t>
      </w:r>
      <w:r w:rsidRPr="00882F11">
        <w:rPr>
          <w:rFonts w:cs="Guttman Drogolin"/>
          <w:rtl/>
          <w:lang w:bidi="he-IL"/>
        </w:rPr>
        <w:t xml:space="preserve"> </w:t>
      </w:r>
      <w:r w:rsidRPr="00882F11">
        <w:rPr>
          <w:rFonts w:cs="Guttman Drogolin" w:hint="cs"/>
          <w:rtl/>
          <w:lang w:bidi="he-IL"/>
        </w:rPr>
        <w:t>רק</w:t>
      </w:r>
      <w:r w:rsidR="0035027B" w:rsidRPr="00882F11">
        <w:rPr>
          <w:rFonts w:cs="Guttman Drogolin" w:hint="cs"/>
          <w:rtl/>
          <w:lang w:bidi="he-IL"/>
        </w:rPr>
        <w:t xml:space="preserve"> דבר </w:t>
      </w:r>
      <w:r w:rsidRPr="00882F11">
        <w:rPr>
          <w:rFonts w:cs="Guttman Drogolin" w:hint="cs"/>
          <w:rtl/>
          <w:lang w:bidi="he-IL"/>
        </w:rPr>
        <w:t>שהוא</w:t>
      </w:r>
      <w:r w:rsidRPr="00882F11">
        <w:rPr>
          <w:rFonts w:cs="Guttman Drogolin"/>
          <w:rtl/>
          <w:lang w:bidi="he-IL"/>
        </w:rPr>
        <w:t xml:space="preserve"> </w:t>
      </w:r>
      <w:r w:rsidR="0035027B" w:rsidRPr="00882F11">
        <w:rPr>
          <w:rFonts w:cs="Guttman Drogolin" w:hint="cs"/>
          <w:rtl/>
          <w:lang w:bidi="he-IL"/>
        </w:rPr>
        <w:t>כ</w:t>
      </w:r>
      <w:r w:rsidRPr="00882F11">
        <w:rPr>
          <w:rFonts w:cs="Guttman Drogolin" w:hint="cs"/>
          <w:rtl/>
          <w:lang w:bidi="he-IL"/>
        </w:rPr>
        <w:t>פרפרת</w:t>
      </w:r>
      <w:r w:rsidRPr="00882F11">
        <w:rPr>
          <w:rFonts w:cs="Guttman Drogolin"/>
          <w:rtl/>
          <w:lang w:bidi="he-IL"/>
        </w:rPr>
        <w:t xml:space="preserve"> </w:t>
      </w:r>
      <w:r w:rsidRPr="00882F11">
        <w:rPr>
          <w:rFonts w:cs="Guttman Drogolin" w:hint="cs"/>
          <w:rtl/>
          <w:lang w:bidi="he-IL"/>
        </w:rPr>
        <w:t>ממש</w:t>
      </w:r>
      <w:r w:rsidRPr="00882F11">
        <w:rPr>
          <w:rFonts w:cs="Guttman Drogolin"/>
          <w:rtl/>
          <w:lang w:bidi="he-IL"/>
        </w:rPr>
        <w:t xml:space="preserve"> </w:t>
      </w:r>
      <w:r w:rsidRPr="00882F11">
        <w:rPr>
          <w:rFonts w:cs="Guttman Drogolin" w:hint="cs"/>
          <w:rtl/>
          <w:lang w:bidi="he-IL"/>
        </w:rPr>
        <w:t>אבל</w:t>
      </w:r>
      <w:r w:rsidRPr="00882F11">
        <w:rPr>
          <w:rFonts w:cs="Guttman Drogolin"/>
          <w:rtl/>
          <w:lang w:bidi="he-IL"/>
        </w:rPr>
        <w:t xml:space="preserve"> </w:t>
      </w:r>
      <w:r w:rsidRPr="00882F11">
        <w:rPr>
          <w:rFonts w:cs="Guttman Drogolin" w:hint="cs"/>
          <w:rtl/>
          <w:lang w:bidi="he-IL"/>
        </w:rPr>
        <w:t>דבר</w:t>
      </w:r>
      <w:r w:rsidRPr="00882F11">
        <w:rPr>
          <w:rFonts w:cs="Guttman Drogolin"/>
          <w:rtl/>
          <w:lang w:bidi="he-IL"/>
        </w:rPr>
        <w:t xml:space="preserve"> </w:t>
      </w:r>
      <w:r w:rsidRPr="00882F11">
        <w:rPr>
          <w:rFonts w:cs="Guttman Drogolin" w:hint="cs"/>
          <w:rtl/>
          <w:lang w:bidi="he-IL"/>
        </w:rPr>
        <w:t>שאוכלים</w:t>
      </w:r>
      <w:r w:rsidRPr="00882F11">
        <w:rPr>
          <w:rFonts w:cs="Guttman Drogolin"/>
          <w:rtl/>
          <w:lang w:bidi="he-IL"/>
        </w:rPr>
        <w:t xml:space="preserve"> </w:t>
      </w:r>
      <w:r w:rsidRPr="00882F11">
        <w:rPr>
          <w:rFonts w:cs="Guttman Drogolin" w:hint="cs"/>
          <w:rtl/>
          <w:lang w:bidi="he-IL"/>
        </w:rPr>
        <w:t>ללפת</w:t>
      </w:r>
      <w:r w:rsidRPr="00882F11">
        <w:rPr>
          <w:rFonts w:cs="Guttman Drogolin"/>
          <w:rtl/>
          <w:lang w:bidi="he-IL"/>
        </w:rPr>
        <w:t xml:space="preserve"> </w:t>
      </w:r>
      <w:r w:rsidRPr="00882F11">
        <w:rPr>
          <w:rFonts w:cs="Guttman Drogolin" w:hint="cs"/>
          <w:rtl/>
          <w:lang w:bidi="he-IL"/>
        </w:rPr>
        <w:t>בו</w:t>
      </w:r>
      <w:r w:rsidRPr="00882F11">
        <w:rPr>
          <w:rFonts w:cs="Guttman Drogolin"/>
          <w:rtl/>
          <w:lang w:bidi="he-IL"/>
        </w:rPr>
        <w:t xml:space="preserve"> </w:t>
      </w:r>
      <w:r w:rsidRPr="00882F11">
        <w:rPr>
          <w:rFonts w:cs="Guttman Drogolin" w:hint="cs"/>
          <w:rtl/>
          <w:lang w:bidi="he-IL"/>
        </w:rPr>
        <w:t>את</w:t>
      </w:r>
      <w:r w:rsidRPr="00882F11">
        <w:rPr>
          <w:rFonts w:cs="Guttman Drogolin"/>
          <w:rtl/>
          <w:lang w:bidi="he-IL"/>
        </w:rPr>
        <w:t xml:space="preserve"> </w:t>
      </w:r>
      <w:r w:rsidRPr="00882F11">
        <w:rPr>
          <w:rFonts w:cs="Guttman Drogolin" w:hint="cs"/>
          <w:rtl/>
          <w:lang w:bidi="he-IL"/>
        </w:rPr>
        <w:t>הפת</w:t>
      </w:r>
      <w:r w:rsidRPr="00882F11">
        <w:rPr>
          <w:rFonts w:cs="Guttman Drogolin"/>
          <w:rtl/>
          <w:lang w:bidi="he-IL"/>
        </w:rPr>
        <w:t xml:space="preserve"> </w:t>
      </w:r>
      <w:r w:rsidRPr="00882F11">
        <w:rPr>
          <w:rFonts w:cs="Guttman Drogolin" w:hint="cs"/>
          <w:rtl/>
          <w:lang w:bidi="he-IL"/>
        </w:rPr>
        <w:t>הוי</w:t>
      </w:r>
      <w:r w:rsidRPr="00882F11">
        <w:rPr>
          <w:rFonts w:cs="Guttman Drogolin"/>
          <w:rtl/>
          <w:lang w:bidi="he-IL"/>
        </w:rPr>
        <w:t xml:space="preserve"> </w:t>
      </w:r>
      <w:r w:rsidRPr="00882F11">
        <w:rPr>
          <w:rFonts w:cs="Guttman Drogolin" w:hint="cs"/>
          <w:rtl/>
          <w:lang w:bidi="he-IL"/>
        </w:rPr>
        <w:t>ראוי</w:t>
      </w:r>
      <w:r w:rsidRPr="00882F11">
        <w:rPr>
          <w:rFonts w:cs="Guttman Drogolin"/>
          <w:rtl/>
          <w:lang w:bidi="he-IL"/>
        </w:rPr>
        <w:t xml:space="preserve">' </w:t>
      </w:r>
      <w:r w:rsidRPr="00882F11">
        <w:rPr>
          <w:rFonts w:cs="Guttman Drogolin" w:hint="cs"/>
          <w:rtl/>
          <w:lang w:bidi="he-IL"/>
        </w:rPr>
        <w:t>להתכבד</w:t>
      </w:r>
      <w:r w:rsidRPr="00882F11">
        <w:rPr>
          <w:rFonts w:cs="Guttman Drogolin"/>
          <w:rtl/>
          <w:lang w:bidi="he-IL"/>
        </w:rPr>
        <w:t xml:space="preserve">. </w:t>
      </w:r>
      <w:r w:rsidRPr="00882F11">
        <w:rPr>
          <w:rFonts w:cs="Guttman Drogolin" w:hint="cs"/>
          <w:rtl/>
          <w:lang w:bidi="he-IL"/>
        </w:rPr>
        <w:t>וכתב</w:t>
      </w:r>
      <w:r w:rsidRPr="00882F11">
        <w:rPr>
          <w:rFonts w:cs="Guttman Drogolin"/>
          <w:rtl/>
          <w:lang w:bidi="he-IL"/>
        </w:rPr>
        <w:t xml:space="preserve"> </w:t>
      </w:r>
      <w:r w:rsidRPr="00882F11">
        <w:rPr>
          <w:rFonts w:cs="Guttman Drogolin" w:hint="cs"/>
          <w:rtl/>
          <w:lang w:bidi="he-IL"/>
        </w:rPr>
        <w:t>דגבינה</w:t>
      </w:r>
      <w:r w:rsidRPr="00882F11">
        <w:rPr>
          <w:rFonts w:cs="Guttman Drogolin"/>
          <w:rtl/>
          <w:lang w:bidi="he-IL"/>
        </w:rPr>
        <w:t xml:space="preserve"> </w:t>
      </w:r>
      <w:r w:rsidRPr="00882F11">
        <w:rPr>
          <w:rFonts w:cs="Guttman Drogolin" w:hint="cs"/>
          <w:rtl/>
          <w:lang w:bidi="he-IL"/>
        </w:rPr>
        <w:t>באמת</w:t>
      </w:r>
      <w:r w:rsidRPr="00882F11">
        <w:rPr>
          <w:rFonts w:cs="Guttman Drogolin"/>
          <w:rtl/>
          <w:lang w:bidi="he-IL"/>
        </w:rPr>
        <w:t xml:space="preserve"> </w:t>
      </w:r>
      <w:r w:rsidRPr="00882F11">
        <w:rPr>
          <w:rFonts w:cs="Guttman Drogolin" w:hint="cs"/>
          <w:rtl/>
          <w:lang w:bidi="he-IL"/>
        </w:rPr>
        <w:t>הוי</w:t>
      </w:r>
      <w:r w:rsidRPr="00882F11">
        <w:rPr>
          <w:rFonts w:cs="Guttman Drogolin"/>
          <w:rtl/>
          <w:lang w:bidi="he-IL"/>
        </w:rPr>
        <w:t xml:space="preserve"> </w:t>
      </w:r>
      <w:r w:rsidRPr="00882F11">
        <w:rPr>
          <w:rFonts w:cs="Guttman Drogolin" w:hint="cs"/>
          <w:rtl/>
          <w:lang w:bidi="he-IL"/>
        </w:rPr>
        <w:t>הכי</w:t>
      </w:r>
      <w:r w:rsidRPr="00882F11">
        <w:rPr>
          <w:rFonts w:cs="Guttman Drogolin"/>
          <w:rtl/>
          <w:lang w:bidi="he-IL"/>
        </w:rPr>
        <w:t xml:space="preserve"> </w:t>
      </w:r>
      <w:r w:rsidRPr="00882F11">
        <w:rPr>
          <w:rFonts w:cs="Guttman Drogolin" w:hint="cs"/>
          <w:rtl/>
          <w:lang w:bidi="he-IL"/>
        </w:rPr>
        <w:t>ומשו</w:t>
      </w:r>
      <w:r w:rsidRPr="00882F11">
        <w:rPr>
          <w:rFonts w:cs="Guttman Drogolin"/>
          <w:rtl/>
          <w:lang w:bidi="he-IL"/>
        </w:rPr>
        <w:t>"</w:t>
      </w:r>
      <w:r w:rsidRPr="00882F11">
        <w:rPr>
          <w:rFonts w:cs="Guttman Drogolin" w:hint="cs"/>
          <w:rtl/>
          <w:lang w:bidi="he-IL"/>
        </w:rPr>
        <w:t>ה</w:t>
      </w:r>
      <w:r w:rsidRPr="00882F11">
        <w:rPr>
          <w:rFonts w:cs="Guttman Drogolin"/>
          <w:rtl/>
          <w:lang w:bidi="he-IL"/>
        </w:rPr>
        <w:t xml:space="preserve"> </w:t>
      </w:r>
      <w:r w:rsidRPr="00882F11">
        <w:rPr>
          <w:rFonts w:cs="Guttman Drogolin" w:hint="cs"/>
          <w:rtl/>
          <w:lang w:bidi="he-IL"/>
        </w:rPr>
        <w:t>גבינה</w:t>
      </w:r>
      <w:r w:rsidRPr="00882F11">
        <w:rPr>
          <w:rFonts w:cs="Guttman Drogolin"/>
          <w:rtl/>
          <w:lang w:bidi="he-IL"/>
        </w:rPr>
        <w:t xml:space="preserve"> </w:t>
      </w:r>
      <w:r w:rsidRPr="00882F11">
        <w:rPr>
          <w:rFonts w:cs="Guttman Drogolin" w:hint="cs"/>
          <w:rtl/>
          <w:lang w:bidi="he-IL"/>
        </w:rPr>
        <w:t>חשובה</w:t>
      </w:r>
      <w:r w:rsidRPr="00882F11">
        <w:rPr>
          <w:rFonts w:cs="Guttman Drogolin"/>
          <w:rtl/>
          <w:lang w:bidi="he-IL"/>
        </w:rPr>
        <w:t xml:space="preserve"> </w:t>
      </w:r>
      <w:r w:rsidRPr="00882F11">
        <w:rPr>
          <w:rFonts w:cs="Guttman Drogolin" w:hint="cs"/>
          <w:rtl/>
          <w:lang w:bidi="he-IL"/>
        </w:rPr>
        <w:t>חהר</w:t>
      </w:r>
      <w:r w:rsidRPr="00882F11">
        <w:rPr>
          <w:rFonts w:cs="Guttman Drogolin"/>
          <w:rtl/>
          <w:lang w:bidi="he-IL"/>
        </w:rPr>
        <w:t>"</w:t>
      </w:r>
      <w:r w:rsidRPr="00882F11">
        <w:rPr>
          <w:rFonts w:cs="Guttman Drogolin" w:hint="cs"/>
          <w:rtl/>
          <w:lang w:bidi="he-IL"/>
        </w:rPr>
        <w:t>ל</w:t>
      </w:r>
      <w:r w:rsidRPr="00882F11">
        <w:rPr>
          <w:rFonts w:cs="Guttman Drogolin"/>
          <w:lang w:bidi="he-IL"/>
        </w:rPr>
        <w:t>.</w:t>
      </w:r>
    </w:p>
    <w:p w:rsidR="00223779" w:rsidRPr="00882F11" w:rsidRDefault="00223779" w:rsidP="00223779">
      <w:pPr>
        <w:pStyle w:val="Heading1"/>
        <w:bidi/>
        <w:spacing w:before="0" w:line="360" w:lineRule="auto"/>
        <w:jc w:val="center"/>
        <w:rPr>
          <w:rFonts w:cs="Guttman Drogolin"/>
          <w:color w:val="auto"/>
          <w:sz w:val="24"/>
          <w:szCs w:val="24"/>
          <w:u w:val="single"/>
          <w:rtl/>
          <w:lang w:bidi="he-IL"/>
        </w:rPr>
      </w:pPr>
      <w:bookmarkStart w:id="343" w:name="_Toc496175594"/>
      <w:r w:rsidRPr="00882F11">
        <w:rPr>
          <w:rFonts w:cs="Guttman Drogolin" w:hint="cs"/>
          <w:color w:val="auto"/>
          <w:sz w:val="24"/>
          <w:szCs w:val="24"/>
          <w:u w:val="single"/>
          <w:rtl/>
          <w:lang w:bidi="he-IL"/>
        </w:rPr>
        <w:t>סי</w:t>
      </w:r>
      <w:r w:rsidRPr="00882F11">
        <w:rPr>
          <w:rFonts w:cs="Guttman Drogolin"/>
          <w:color w:val="auto"/>
          <w:sz w:val="24"/>
          <w:szCs w:val="24"/>
          <w:u w:val="single"/>
          <w:rtl/>
          <w:lang w:bidi="he-IL"/>
        </w:rPr>
        <w:t xml:space="preserve">' </w:t>
      </w:r>
      <w:r w:rsidRPr="00882F11">
        <w:rPr>
          <w:rFonts w:cs="Guttman Drogolin" w:hint="cs"/>
          <w:color w:val="auto"/>
          <w:sz w:val="24"/>
          <w:szCs w:val="24"/>
          <w:u w:val="single"/>
          <w:rtl/>
          <w:lang w:bidi="he-IL"/>
        </w:rPr>
        <w:t>ק</w:t>
      </w:r>
      <w:r w:rsidRPr="00882F11">
        <w:rPr>
          <w:rFonts w:cs="Guttman Drogolin"/>
          <w:color w:val="auto"/>
          <w:sz w:val="24"/>
          <w:szCs w:val="24"/>
          <w:u w:val="single"/>
          <w:rtl/>
          <w:lang w:bidi="he-IL"/>
        </w:rPr>
        <w:t>"</w:t>
      </w:r>
      <w:r w:rsidRPr="00882F11">
        <w:rPr>
          <w:rFonts w:cs="Guttman Drogolin" w:hint="cs"/>
          <w:color w:val="auto"/>
          <w:sz w:val="24"/>
          <w:szCs w:val="24"/>
          <w:u w:val="single"/>
          <w:rtl/>
          <w:lang w:bidi="he-IL"/>
        </w:rPr>
        <w:t>א</w:t>
      </w:r>
      <w:r w:rsidRPr="00882F11">
        <w:rPr>
          <w:rFonts w:cs="Guttman Drogolin"/>
          <w:color w:val="auto"/>
          <w:sz w:val="24"/>
          <w:szCs w:val="24"/>
          <w:u w:val="single"/>
          <w:rtl/>
          <w:lang w:bidi="he-IL"/>
        </w:rPr>
        <w:t xml:space="preserve"> </w:t>
      </w:r>
      <w:r w:rsidRPr="00882F11">
        <w:rPr>
          <w:rFonts w:cs="Guttman Drogolin" w:hint="cs"/>
          <w:color w:val="auto"/>
          <w:sz w:val="24"/>
          <w:szCs w:val="24"/>
          <w:u w:val="single"/>
          <w:rtl/>
          <w:lang w:bidi="he-IL"/>
        </w:rPr>
        <w:t>סעיף</w:t>
      </w:r>
      <w:r w:rsidRPr="00882F11">
        <w:rPr>
          <w:rFonts w:cs="Guttman Drogolin"/>
          <w:color w:val="auto"/>
          <w:sz w:val="24"/>
          <w:szCs w:val="24"/>
          <w:u w:val="single"/>
          <w:rtl/>
          <w:lang w:bidi="he-IL"/>
        </w:rPr>
        <w:t xml:space="preserve"> </w:t>
      </w:r>
      <w:r w:rsidRPr="00882F11">
        <w:rPr>
          <w:rFonts w:cs="Guttman Drogolin" w:hint="cs"/>
          <w:color w:val="auto"/>
          <w:sz w:val="24"/>
          <w:szCs w:val="24"/>
          <w:u w:val="single"/>
          <w:rtl/>
          <w:lang w:bidi="he-IL"/>
        </w:rPr>
        <w:t>ד</w:t>
      </w:r>
      <w:r w:rsidRPr="00882F11">
        <w:rPr>
          <w:rFonts w:cs="Guttman Drogolin"/>
          <w:color w:val="auto"/>
          <w:sz w:val="24"/>
          <w:szCs w:val="24"/>
          <w:u w:val="single"/>
          <w:rtl/>
          <w:lang w:bidi="he-IL"/>
        </w:rPr>
        <w:t>'</w:t>
      </w:r>
      <w:bookmarkEnd w:id="343"/>
    </w:p>
    <w:p w:rsidR="00223779" w:rsidRPr="00882F11" w:rsidRDefault="0029471F" w:rsidP="00A65CD6">
      <w:pPr>
        <w:tabs>
          <w:tab w:val="right" w:pos="7497"/>
        </w:tabs>
        <w:bidi/>
        <w:jc w:val="both"/>
        <w:rPr>
          <w:rFonts w:cs="Guttman Drogolin"/>
          <w:rtl/>
        </w:rPr>
      </w:pPr>
      <w:r>
        <w:rPr>
          <w:rFonts w:cs="Guttman Drogolin"/>
          <w:rtl/>
          <w:lang w:bidi="he-IL"/>
        </w:rPr>
        <w:fldChar w:fldCharType="begin"/>
      </w:r>
      <w:r>
        <w:instrText xml:space="preserve"> XE "</w:instrText>
      </w:r>
      <w:r w:rsidRPr="00B676CC">
        <w:rPr>
          <w:rFonts w:hint="cs"/>
          <w:rtl/>
          <w:lang w:bidi="he-IL"/>
        </w:rPr>
        <w:instrText>חתיכה הראוי' להתכבד</w:instrText>
      </w:r>
      <w:r w:rsidRPr="00B676CC">
        <w:rPr>
          <w:rtl/>
        </w:rPr>
        <w:instrText>:</w:instrText>
      </w:r>
      <w:r w:rsidRPr="00B676CC">
        <w:rPr>
          <w:rFonts w:hint="cs"/>
          <w:rtl/>
          <w:lang w:bidi="he-IL"/>
        </w:rPr>
        <w:instrText>החתיכות קטנות</w:instrText>
      </w:r>
      <w:r>
        <w:instrText xml:space="preserve">" </w:instrText>
      </w:r>
      <w:r>
        <w:rPr>
          <w:rFonts w:cs="Guttman Drogolin"/>
          <w:rtl/>
          <w:lang w:bidi="he-IL"/>
        </w:rPr>
        <w:fldChar w:fldCharType="end"/>
      </w:r>
      <w:r w:rsidR="00223779" w:rsidRPr="00882F11">
        <w:rPr>
          <w:rFonts w:cs="Guttman Drogolin" w:hint="cs"/>
          <w:rtl/>
          <w:lang w:bidi="he-IL"/>
        </w:rPr>
        <w:t>עור</w:t>
      </w:r>
      <w:r w:rsidR="00223779" w:rsidRPr="00882F11">
        <w:rPr>
          <w:rFonts w:cs="Guttman Drogolin"/>
          <w:rtl/>
          <w:lang w:bidi="he-IL"/>
        </w:rPr>
        <w:t xml:space="preserve"> </w:t>
      </w:r>
      <w:r w:rsidR="00223779" w:rsidRPr="00882F11">
        <w:rPr>
          <w:rFonts w:cs="Guttman Drogolin" w:hint="cs"/>
          <w:rtl/>
          <w:lang w:bidi="he-IL"/>
        </w:rPr>
        <w:t>שומן</w:t>
      </w:r>
      <w:r w:rsidR="00223779" w:rsidRPr="00882F11">
        <w:rPr>
          <w:rFonts w:cs="Guttman Drogolin"/>
          <w:rtl/>
          <w:lang w:bidi="he-IL"/>
        </w:rPr>
        <w:t xml:space="preserve"> </w:t>
      </w:r>
      <w:r w:rsidR="00223779" w:rsidRPr="00882F11">
        <w:rPr>
          <w:rFonts w:cs="Guttman Drogolin" w:hint="cs"/>
          <w:rtl/>
          <w:lang w:bidi="he-IL"/>
        </w:rPr>
        <w:t>אווז</w:t>
      </w:r>
      <w:r w:rsidR="00223779" w:rsidRPr="00882F11">
        <w:rPr>
          <w:rFonts w:cs="Guttman Drogolin"/>
          <w:rtl/>
          <w:lang w:bidi="he-IL"/>
        </w:rPr>
        <w:t xml:space="preserve"> </w:t>
      </w:r>
      <w:r w:rsidR="00223779" w:rsidRPr="00882F11">
        <w:rPr>
          <w:rFonts w:cs="Guttman Drogolin" w:hint="cs"/>
          <w:rtl/>
          <w:lang w:bidi="he-IL"/>
        </w:rPr>
        <w:t>כתב</w:t>
      </w:r>
      <w:r w:rsidR="00223779" w:rsidRPr="00882F11">
        <w:rPr>
          <w:rFonts w:cs="Guttman Drogolin"/>
          <w:rtl/>
          <w:lang w:bidi="he-IL"/>
        </w:rPr>
        <w:t xml:space="preserve"> </w:t>
      </w:r>
      <w:r w:rsidR="00223779" w:rsidRPr="00882F11">
        <w:rPr>
          <w:rFonts w:cs="Guttman Drogolin" w:hint="cs"/>
          <w:rtl/>
          <w:lang w:bidi="he-IL"/>
        </w:rPr>
        <w:t>הרמ</w:t>
      </w:r>
      <w:r w:rsidR="00223779" w:rsidRPr="00882F11">
        <w:rPr>
          <w:rFonts w:cs="Guttman Drogolin"/>
          <w:rtl/>
          <w:lang w:bidi="he-IL"/>
        </w:rPr>
        <w:t>"</w:t>
      </w:r>
      <w:r w:rsidR="00223779" w:rsidRPr="00882F11">
        <w:rPr>
          <w:rFonts w:cs="Guttman Drogolin" w:hint="cs"/>
          <w:rtl/>
          <w:lang w:bidi="he-IL"/>
        </w:rPr>
        <w:t>א</w:t>
      </w:r>
      <w:r w:rsidR="00223779" w:rsidRPr="00882F11">
        <w:rPr>
          <w:rFonts w:cs="Guttman Drogolin"/>
          <w:rtl/>
          <w:lang w:bidi="he-IL"/>
        </w:rPr>
        <w:t xml:space="preserve"> </w:t>
      </w:r>
      <w:r w:rsidR="00223779" w:rsidRPr="00882F11">
        <w:rPr>
          <w:rFonts w:cs="Guttman Drogolin" w:hint="cs"/>
          <w:rtl/>
          <w:lang w:bidi="he-IL"/>
        </w:rPr>
        <w:t>דהוי</w:t>
      </w:r>
      <w:r w:rsidR="00223779" w:rsidRPr="00882F11">
        <w:rPr>
          <w:rFonts w:cs="Guttman Drogolin"/>
          <w:rtl/>
          <w:lang w:bidi="he-IL"/>
        </w:rPr>
        <w:t xml:space="preserve"> </w:t>
      </w:r>
      <w:r w:rsidR="00223779" w:rsidRPr="00882F11">
        <w:rPr>
          <w:rFonts w:cs="Guttman Drogolin" w:hint="cs"/>
          <w:rtl/>
          <w:lang w:bidi="he-IL"/>
        </w:rPr>
        <w:t>חהר</w:t>
      </w:r>
      <w:r w:rsidR="00223779" w:rsidRPr="00882F11">
        <w:rPr>
          <w:rFonts w:cs="Guttman Drogolin"/>
          <w:rtl/>
          <w:lang w:bidi="he-IL"/>
        </w:rPr>
        <w:t>"</w:t>
      </w:r>
      <w:r w:rsidR="00223779" w:rsidRPr="00882F11">
        <w:rPr>
          <w:rFonts w:cs="Guttman Drogolin" w:hint="cs"/>
          <w:rtl/>
          <w:lang w:bidi="he-IL"/>
        </w:rPr>
        <w:t>ל</w:t>
      </w:r>
      <w:r w:rsidR="00223779" w:rsidRPr="00882F11">
        <w:rPr>
          <w:rFonts w:cs="Guttman Drogolin"/>
          <w:rtl/>
          <w:lang w:bidi="he-IL"/>
        </w:rPr>
        <w:t xml:space="preserve">. </w:t>
      </w:r>
      <w:r w:rsidR="00223779" w:rsidRPr="00882F11">
        <w:rPr>
          <w:rFonts w:cs="Guttman Drogolin" w:hint="cs"/>
          <w:rtl/>
          <w:lang w:bidi="he-IL"/>
        </w:rPr>
        <w:t>והט</w:t>
      </w:r>
      <w:r w:rsidR="00223779" w:rsidRPr="00882F11">
        <w:rPr>
          <w:rFonts w:cs="Guttman Drogolin"/>
          <w:rtl/>
          <w:lang w:bidi="he-IL"/>
        </w:rPr>
        <w:t>"</w:t>
      </w:r>
      <w:r w:rsidR="00223779" w:rsidRPr="00882F11">
        <w:rPr>
          <w:rFonts w:cs="Guttman Drogolin" w:hint="cs"/>
          <w:rtl/>
          <w:lang w:bidi="he-IL"/>
        </w:rPr>
        <w:t>ז</w:t>
      </w:r>
      <w:r w:rsidR="00223779" w:rsidRPr="00882F11">
        <w:rPr>
          <w:rFonts w:cs="Guttman Drogolin"/>
          <w:rtl/>
          <w:lang w:bidi="he-IL"/>
        </w:rPr>
        <w:t xml:space="preserve"> </w:t>
      </w:r>
      <w:r w:rsidR="00223779" w:rsidRPr="00882F11">
        <w:rPr>
          <w:rFonts w:cs="Guttman Drogolin" w:hint="cs"/>
          <w:rtl/>
          <w:lang w:bidi="he-IL"/>
        </w:rPr>
        <w:t>הביא</w:t>
      </w:r>
      <w:r w:rsidR="00223779" w:rsidRPr="00882F11">
        <w:rPr>
          <w:rFonts w:cs="Guttman Drogolin"/>
          <w:rtl/>
          <w:lang w:bidi="he-IL"/>
        </w:rPr>
        <w:t xml:space="preserve"> </w:t>
      </w:r>
      <w:r w:rsidR="00223779" w:rsidRPr="00882F11">
        <w:rPr>
          <w:rFonts w:cs="Guttman Drogolin" w:hint="cs"/>
          <w:rtl/>
          <w:lang w:bidi="he-IL"/>
        </w:rPr>
        <w:t>מאו</w:t>
      </w:r>
      <w:r w:rsidR="00223779" w:rsidRPr="00882F11">
        <w:rPr>
          <w:rFonts w:cs="Guttman Drogolin"/>
          <w:rtl/>
          <w:lang w:bidi="he-IL"/>
        </w:rPr>
        <w:t>"</w:t>
      </w:r>
      <w:r w:rsidR="00223779" w:rsidRPr="00882F11">
        <w:rPr>
          <w:rFonts w:cs="Guttman Drogolin" w:hint="cs"/>
          <w:rtl/>
          <w:lang w:bidi="he-IL"/>
        </w:rPr>
        <w:t>ה</w:t>
      </w:r>
      <w:r w:rsidR="00223779" w:rsidRPr="00882F11">
        <w:rPr>
          <w:rFonts w:cs="Guttman Drogolin"/>
          <w:rtl/>
          <w:lang w:bidi="he-IL"/>
        </w:rPr>
        <w:t xml:space="preserve"> </w:t>
      </w:r>
      <w:r w:rsidR="00223779" w:rsidRPr="00882F11">
        <w:rPr>
          <w:rFonts w:cs="Guttman Drogolin" w:hint="cs"/>
          <w:rtl/>
          <w:lang w:bidi="he-IL"/>
        </w:rPr>
        <w:t>שמחלק</w:t>
      </w:r>
      <w:r w:rsidR="00223779" w:rsidRPr="00882F11">
        <w:rPr>
          <w:rFonts w:cs="Guttman Drogolin"/>
          <w:rtl/>
          <w:lang w:bidi="he-IL"/>
        </w:rPr>
        <w:t xml:space="preserve"> </w:t>
      </w:r>
      <w:r w:rsidR="00223779" w:rsidRPr="00882F11">
        <w:rPr>
          <w:rFonts w:cs="Guttman Drogolin" w:hint="cs"/>
          <w:rtl/>
          <w:lang w:bidi="he-IL"/>
        </w:rPr>
        <w:t>דהנ</w:t>
      </w:r>
      <w:r w:rsidR="00223779" w:rsidRPr="00882F11">
        <w:rPr>
          <w:rFonts w:cs="Guttman Drogolin"/>
          <w:rtl/>
          <w:lang w:bidi="he-IL"/>
        </w:rPr>
        <w:t>"</w:t>
      </w:r>
      <w:r w:rsidR="00223779" w:rsidRPr="00882F11">
        <w:rPr>
          <w:rFonts w:cs="Guttman Drogolin" w:hint="cs"/>
          <w:rtl/>
          <w:lang w:bidi="he-IL"/>
        </w:rPr>
        <w:t>מ</w:t>
      </w:r>
      <w:r w:rsidR="00223779" w:rsidRPr="00882F11">
        <w:rPr>
          <w:rFonts w:cs="Guttman Drogolin"/>
          <w:rtl/>
          <w:lang w:bidi="he-IL"/>
        </w:rPr>
        <w:t xml:space="preserve"> </w:t>
      </w:r>
      <w:r w:rsidR="00223779" w:rsidRPr="00882F11">
        <w:rPr>
          <w:rFonts w:cs="Guttman Drogolin" w:hint="cs"/>
          <w:rtl/>
          <w:lang w:bidi="he-IL"/>
        </w:rPr>
        <w:t>שלם</w:t>
      </w:r>
      <w:r w:rsidR="00223779" w:rsidRPr="00882F11">
        <w:rPr>
          <w:rFonts w:cs="Guttman Drogolin"/>
          <w:rtl/>
          <w:lang w:bidi="he-IL"/>
        </w:rPr>
        <w:t xml:space="preserve"> </w:t>
      </w:r>
      <w:r w:rsidR="00223779" w:rsidRPr="00882F11">
        <w:rPr>
          <w:rFonts w:cs="Guttman Drogolin" w:hint="cs"/>
          <w:rtl/>
          <w:lang w:bidi="he-IL"/>
        </w:rPr>
        <w:t>אבל</w:t>
      </w:r>
      <w:r w:rsidR="00223779" w:rsidRPr="00882F11">
        <w:rPr>
          <w:rFonts w:cs="Guttman Drogolin"/>
          <w:rtl/>
          <w:lang w:bidi="he-IL"/>
        </w:rPr>
        <w:t xml:space="preserve"> </w:t>
      </w:r>
      <w:r w:rsidR="00223779" w:rsidRPr="00882F11">
        <w:rPr>
          <w:rFonts w:cs="Guttman Drogolin" w:hint="cs"/>
          <w:rtl/>
          <w:lang w:bidi="he-IL"/>
        </w:rPr>
        <w:t>בחתיכות</w:t>
      </w:r>
      <w:r w:rsidR="00223779" w:rsidRPr="00882F11">
        <w:rPr>
          <w:rFonts w:cs="Guttman Drogolin"/>
          <w:rtl/>
          <w:lang w:bidi="he-IL"/>
        </w:rPr>
        <w:t xml:space="preserve"> </w:t>
      </w:r>
      <w:r w:rsidR="00223779" w:rsidRPr="00882F11">
        <w:rPr>
          <w:rFonts w:cs="Guttman Drogolin" w:hint="cs"/>
          <w:rtl/>
          <w:lang w:bidi="he-IL"/>
        </w:rPr>
        <w:t>אינה</w:t>
      </w:r>
      <w:r w:rsidR="00223779" w:rsidRPr="00882F11">
        <w:rPr>
          <w:rFonts w:cs="Guttman Drogolin"/>
          <w:rtl/>
          <w:lang w:bidi="he-IL"/>
        </w:rPr>
        <w:t xml:space="preserve"> </w:t>
      </w:r>
      <w:r w:rsidR="00223779" w:rsidRPr="00882F11">
        <w:rPr>
          <w:rFonts w:cs="Guttman Drogolin" w:hint="cs"/>
          <w:rtl/>
          <w:lang w:bidi="he-IL"/>
        </w:rPr>
        <w:t>ראוי</w:t>
      </w:r>
      <w:r w:rsidR="00223779" w:rsidRPr="00882F11">
        <w:rPr>
          <w:rFonts w:cs="Guttman Drogolin"/>
          <w:rtl/>
          <w:lang w:bidi="he-IL"/>
        </w:rPr>
        <w:t xml:space="preserve">' </w:t>
      </w:r>
      <w:r w:rsidR="00223779" w:rsidRPr="00882F11">
        <w:rPr>
          <w:rFonts w:cs="Guttman Drogolin" w:hint="cs"/>
          <w:rtl/>
          <w:lang w:bidi="he-IL"/>
        </w:rPr>
        <w:t>להתכבד</w:t>
      </w:r>
      <w:r w:rsidR="00223779" w:rsidRPr="00882F11">
        <w:rPr>
          <w:rFonts w:cs="Guttman Drogolin"/>
          <w:rtl/>
          <w:lang w:bidi="he-IL"/>
        </w:rPr>
        <w:t xml:space="preserve">. </w:t>
      </w:r>
      <w:r w:rsidR="00223779" w:rsidRPr="00882F11">
        <w:rPr>
          <w:rFonts w:cs="Guttman Drogolin" w:hint="cs"/>
          <w:rtl/>
          <w:lang w:bidi="he-IL"/>
        </w:rPr>
        <w:t>והקשה</w:t>
      </w:r>
      <w:r w:rsidR="00223779" w:rsidRPr="00882F11">
        <w:rPr>
          <w:rFonts w:cs="Guttman Drogolin"/>
          <w:rtl/>
          <w:lang w:bidi="he-IL"/>
        </w:rPr>
        <w:t xml:space="preserve"> </w:t>
      </w:r>
      <w:r w:rsidR="00223779" w:rsidRPr="00882F11">
        <w:rPr>
          <w:rFonts w:cs="Guttman Drogolin" w:hint="cs"/>
          <w:rtl/>
          <w:lang w:bidi="he-IL"/>
        </w:rPr>
        <w:t>הט</w:t>
      </w:r>
      <w:r w:rsidR="00223779" w:rsidRPr="00882F11">
        <w:rPr>
          <w:rFonts w:cs="Guttman Drogolin"/>
          <w:rtl/>
          <w:lang w:bidi="he-IL"/>
        </w:rPr>
        <w:t>"</w:t>
      </w:r>
      <w:r w:rsidR="00223779" w:rsidRPr="00882F11">
        <w:rPr>
          <w:rFonts w:cs="Guttman Drogolin" w:hint="cs"/>
          <w:rtl/>
          <w:lang w:bidi="he-IL"/>
        </w:rPr>
        <w:t>ז</w:t>
      </w:r>
      <w:r w:rsidR="00223779" w:rsidRPr="00882F11">
        <w:rPr>
          <w:rFonts w:cs="Guttman Drogolin"/>
          <w:rtl/>
          <w:lang w:bidi="he-IL"/>
        </w:rPr>
        <w:t xml:space="preserve"> </w:t>
      </w:r>
      <w:r w:rsidR="00223779" w:rsidRPr="00882F11">
        <w:rPr>
          <w:rFonts w:cs="Guttman Drogolin" w:hint="cs"/>
          <w:rtl/>
          <w:lang w:bidi="he-IL"/>
        </w:rPr>
        <w:t>על</w:t>
      </w:r>
      <w:r w:rsidR="00223779" w:rsidRPr="00882F11">
        <w:rPr>
          <w:rFonts w:cs="Guttman Drogolin"/>
          <w:rtl/>
          <w:lang w:bidi="he-IL"/>
        </w:rPr>
        <w:t xml:space="preserve"> </w:t>
      </w:r>
      <w:r w:rsidR="00223779" w:rsidRPr="00882F11">
        <w:rPr>
          <w:rFonts w:cs="Guttman Drogolin" w:hint="cs"/>
          <w:rtl/>
          <w:lang w:bidi="he-IL"/>
        </w:rPr>
        <w:t>זה</w:t>
      </w:r>
      <w:r w:rsidR="00223779" w:rsidRPr="00882F11">
        <w:rPr>
          <w:rFonts w:cs="Guttman Drogolin"/>
          <w:rtl/>
          <w:lang w:bidi="he-IL"/>
        </w:rPr>
        <w:t xml:space="preserve"> </w:t>
      </w:r>
      <w:r w:rsidR="00223779" w:rsidRPr="00882F11">
        <w:rPr>
          <w:rFonts w:cs="Guttman Drogolin" w:hint="cs"/>
          <w:rtl/>
          <w:lang w:bidi="he-IL"/>
        </w:rPr>
        <w:t>דלמה</w:t>
      </w:r>
      <w:r w:rsidR="00223779" w:rsidRPr="00882F11">
        <w:rPr>
          <w:rFonts w:cs="Guttman Drogolin"/>
          <w:rtl/>
          <w:lang w:bidi="he-IL"/>
        </w:rPr>
        <w:t xml:space="preserve"> </w:t>
      </w:r>
      <w:r w:rsidR="00223779" w:rsidRPr="00882F11">
        <w:rPr>
          <w:rFonts w:cs="Guttman Drogolin" w:hint="cs"/>
          <w:rtl/>
          <w:lang w:bidi="he-IL"/>
        </w:rPr>
        <w:lastRenderedPageBreak/>
        <w:t>בחתיכות</w:t>
      </w:r>
      <w:r w:rsidR="00223779" w:rsidRPr="00882F11">
        <w:rPr>
          <w:rFonts w:cs="Guttman Drogolin"/>
          <w:rtl/>
          <w:lang w:bidi="he-IL"/>
        </w:rPr>
        <w:t xml:space="preserve"> </w:t>
      </w:r>
      <w:r w:rsidR="00223779" w:rsidRPr="00882F11">
        <w:rPr>
          <w:rFonts w:cs="Guttman Drogolin" w:hint="cs"/>
          <w:rtl/>
          <w:lang w:bidi="he-IL"/>
        </w:rPr>
        <w:t>אינה</w:t>
      </w:r>
      <w:r w:rsidR="00223779" w:rsidRPr="00882F11">
        <w:rPr>
          <w:rFonts w:cs="Guttman Drogolin"/>
          <w:rtl/>
          <w:lang w:bidi="he-IL"/>
        </w:rPr>
        <w:t xml:space="preserve"> </w:t>
      </w:r>
      <w:r w:rsidR="00223779" w:rsidRPr="00882F11">
        <w:rPr>
          <w:rFonts w:cs="Guttman Drogolin" w:hint="cs"/>
          <w:rtl/>
          <w:lang w:bidi="he-IL"/>
        </w:rPr>
        <w:t>ראוי</w:t>
      </w:r>
      <w:r w:rsidR="00223779" w:rsidRPr="00882F11">
        <w:rPr>
          <w:rFonts w:cs="Guttman Drogolin"/>
          <w:rtl/>
          <w:lang w:bidi="he-IL"/>
        </w:rPr>
        <w:t xml:space="preserve">' </w:t>
      </w:r>
      <w:r w:rsidR="00223779" w:rsidRPr="00882F11">
        <w:rPr>
          <w:rFonts w:cs="Guttman Drogolin" w:hint="cs"/>
          <w:rtl/>
          <w:lang w:bidi="he-IL"/>
        </w:rPr>
        <w:t>להתכבד</w:t>
      </w:r>
      <w:r w:rsidR="00223779" w:rsidRPr="00882F11">
        <w:rPr>
          <w:rFonts w:cs="Guttman Drogolin"/>
          <w:rtl/>
          <w:lang w:bidi="he-IL"/>
        </w:rPr>
        <w:t xml:space="preserve">, </w:t>
      </w:r>
      <w:r w:rsidR="00223779" w:rsidRPr="00882F11">
        <w:rPr>
          <w:rFonts w:cs="Guttman Drogolin" w:hint="cs"/>
          <w:rtl/>
          <w:lang w:bidi="he-IL"/>
        </w:rPr>
        <w:t>הא</w:t>
      </w:r>
      <w:r w:rsidR="00223779" w:rsidRPr="00882F11">
        <w:rPr>
          <w:rFonts w:cs="Guttman Drogolin"/>
          <w:rtl/>
          <w:lang w:bidi="he-IL"/>
        </w:rPr>
        <w:t xml:space="preserve"> </w:t>
      </w:r>
      <w:r w:rsidR="00223779" w:rsidRPr="00882F11">
        <w:rPr>
          <w:rFonts w:cs="Guttman Drogolin" w:hint="cs"/>
          <w:rtl/>
          <w:lang w:bidi="he-IL"/>
        </w:rPr>
        <w:t>הדרך</w:t>
      </w:r>
      <w:r w:rsidR="00223779" w:rsidRPr="00882F11">
        <w:rPr>
          <w:rFonts w:cs="Guttman Drogolin"/>
          <w:rtl/>
          <w:lang w:bidi="he-IL"/>
        </w:rPr>
        <w:t xml:space="preserve"> </w:t>
      </w:r>
      <w:r w:rsidR="00223779" w:rsidRPr="00882F11">
        <w:rPr>
          <w:rFonts w:cs="Guttman Drogolin" w:hint="cs"/>
          <w:rtl/>
          <w:lang w:bidi="he-IL"/>
        </w:rPr>
        <w:t>הוא</w:t>
      </w:r>
      <w:r w:rsidR="00223779" w:rsidRPr="00882F11">
        <w:rPr>
          <w:rFonts w:cs="Guttman Drogolin"/>
          <w:rtl/>
          <w:lang w:bidi="he-IL"/>
        </w:rPr>
        <w:t xml:space="preserve"> </w:t>
      </w:r>
      <w:r w:rsidR="00223779" w:rsidRPr="00882F11">
        <w:rPr>
          <w:rFonts w:cs="Guttman Drogolin" w:hint="cs"/>
          <w:rtl/>
          <w:lang w:bidi="he-IL"/>
        </w:rPr>
        <w:t>להגיש</w:t>
      </w:r>
      <w:r w:rsidR="00223779" w:rsidRPr="00882F11">
        <w:rPr>
          <w:rFonts w:cs="Guttman Drogolin"/>
          <w:rtl/>
          <w:lang w:bidi="he-IL"/>
        </w:rPr>
        <w:t xml:space="preserve"> </w:t>
      </w:r>
      <w:r w:rsidR="00223779" w:rsidRPr="00882F11">
        <w:rPr>
          <w:rFonts w:cs="Guttman Drogolin" w:hint="cs"/>
          <w:rtl/>
          <w:lang w:bidi="he-IL"/>
        </w:rPr>
        <w:t>עור</w:t>
      </w:r>
      <w:r w:rsidR="00223779" w:rsidRPr="00882F11">
        <w:rPr>
          <w:rFonts w:cs="Guttman Drogolin"/>
          <w:rtl/>
          <w:lang w:bidi="he-IL"/>
        </w:rPr>
        <w:t xml:space="preserve"> </w:t>
      </w:r>
      <w:r w:rsidR="00223779" w:rsidRPr="00882F11">
        <w:rPr>
          <w:rFonts w:cs="Guttman Drogolin" w:hint="cs"/>
          <w:rtl/>
          <w:lang w:bidi="he-IL"/>
        </w:rPr>
        <w:t>שומן</w:t>
      </w:r>
      <w:r w:rsidR="00223779" w:rsidRPr="00882F11">
        <w:rPr>
          <w:rFonts w:cs="Guttman Drogolin"/>
          <w:rtl/>
          <w:lang w:bidi="he-IL"/>
        </w:rPr>
        <w:t xml:space="preserve"> </w:t>
      </w:r>
      <w:r w:rsidR="00223779" w:rsidRPr="00882F11">
        <w:rPr>
          <w:rFonts w:cs="Guttman Drogolin" w:hint="cs"/>
          <w:rtl/>
          <w:lang w:bidi="he-IL"/>
        </w:rPr>
        <w:t>אווז</w:t>
      </w:r>
      <w:r w:rsidR="00223779" w:rsidRPr="00882F11">
        <w:rPr>
          <w:rFonts w:cs="Guttman Drogolin"/>
          <w:rtl/>
          <w:lang w:bidi="he-IL"/>
        </w:rPr>
        <w:t xml:space="preserve"> </w:t>
      </w:r>
      <w:r w:rsidR="00223779" w:rsidRPr="00882F11">
        <w:rPr>
          <w:rFonts w:cs="Guttman Drogolin" w:hint="cs"/>
          <w:rtl/>
          <w:lang w:bidi="he-IL"/>
        </w:rPr>
        <w:t>בחתיכות</w:t>
      </w:r>
      <w:r w:rsidR="00223779" w:rsidRPr="00882F11">
        <w:rPr>
          <w:rFonts w:cs="Guttman Drogolin"/>
          <w:rtl/>
          <w:lang w:bidi="he-IL"/>
        </w:rPr>
        <w:t xml:space="preserve">. </w:t>
      </w:r>
      <w:r w:rsidR="00223779" w:rsidRPr="00882F11">
        <w:rPr>
          <w:rFonts w:cs="Guttman Drogolin" w:hint="cs"/>
          <w:rtl/>
          <w:lang w:bidi="he-IL"/>
        </w:rPr>
        <w:t>וע</w:t>
      </w:r>
      <w:r w:rsidR="00223779" w:rsidRPr="00882F11">
        <w:rPr>
          <w:rFonts w:cs="Guttman Drogolin"/>
          <w:rtl/>
          <w:lang w:bidi="he-IL"/>
        </w:rPr>
        <w:t xml:space="preserve">' </w:t>
      </w:r>
      <w:r w:rsidR="00223779" w:rsidRPr="00882F11">
        <w:rPr>
          <w:rFonts w:cs="Guttman Drogolin" w:hint="cs"/>
          <w:rtl/>
          <w:lang w:bidi="he-IL"/>
        </w:rPr>
        <w:t>ש</w:t>
      </w:r>
      <w:r w:rsidR="00223779" w:rsidRPr="00882F11">
        <w:rPr>
          <w:rFonts w:cs="Guttman Drogolin"/>
          <w:rtl/>
          <w:lang w:bidi="he-IL"/>
        </w:rPr>
        <w:t>"</w:t>
      </w:r>
      <w:r w:rsidR="00223779" w:rsidRPr="00882F11">
        <w:rPr>
          <w:rFonts w:cs="Guttman Drogolin" w:hint="cs"/>
          <w:rtl/>
          <w:lang w:bidi="he-IL"/>
        </w:rPr>
        <w:t>ך</w:t>
      </w:r>
      <w:r w:rsidR="00223779" w:rsidRPr="00882F11">
        <w:rPr>
          <w:rFonts w:cs="Guttman Drogolin"/>
          <w:rtl/>
          <w:lang w:bidi="he-IL"/>
        </w:rPr>
        <w:t xml:space="preserve"> </w:t>
      </w:r>
      <w:r w:rsidR="00223779" w:rsidRPr="00882F11">
        <w:rPr>
          <w:rFonts w:cs="Guttman Drogolin" w:hint="cs"/>
          <w:rtl/>
          <w:lang w:bidi="he-IL"/>
        </w:rPr>
        <w:t>בנקוה</w:t>
      </w:r>
      <w:r w:rsidR="00223779" w:rsidRPr="00882F11">
        <w:rPr>
          <w:rFonts w:cs="Guttman Drogolin"/>
          <w:rtl/>
          <w:lang w:bidi="he-IL"/>
        </w:rPr>
        <w:t>"</w:t>
      </w:r>
      <w:r w:rsidR="00223779" w:rsidRPr="00882F11">
        <w:rPr>
          <w:rFonts w:cs="Guttman Drogolin" w:hint="cs"/>
          <w:rtl/>
          <w:lang w:bidi="he-IL"/>
        </w:rPr>
        <w:t>כ</w:t>
      </w:r>
      <w:r w:rsidR="00223779" w:rsidRPr="00882F11">
        <w:rPr>
          <w:rFonts w:cs="Guttman Drogolin"/>
          <w:rtl/>
          <w:lang w:bidi="he-IL"/>
        </w:rPr>
        <w:t xml:space="preserve"> </w:t>
      </w:r>
      <w:r w:rsidR="00223779" w:rsidRPr="00882F11">
        <w:rPr>
          <w:rFonts w:cs="Guttman Drogolin" w:hint="cs"/>
          <w:rtl/>
          <w:lang w:bidi="he-IL"/>
        </w:rPr>
        <w:t>שח</w:t>
      </w:r>
      <w:r w:rsidR="00A65CD6" w:rsidRPr="00882F11">
        <w:rPr>
          <w:rFonts w:cs="Guttman Drogolin" w:hint="cs"/>
          <w:rtl/>
          <w:lang w:bidi="he-IL"/>
        </w:rPr>
        <w:t>לק וסבר</w:t>
      </w:r>
      <w:r w:rsidR="00223779" w:rsidRPr="00882F11">
        <w:rPr>
          <w:rFonts w:cs="Guttman Drogolin"/>
          <w:rtl/>
          <w:lang w:bidi="he-IL"/>
        </w:rPr>
        <w:t xml:space="preserve"> </w:t>
      </w:r>
      <w:r w:rsidR="00223779" w:rsidRPr="00882F11">
        <w:rPr>
          <w:rFonts w:cs="Guttman Drogolin" w:hint="cs"/>
          <w:rtl/>
          <w:lang w:bidi="he-IL"/>
        </w:rPr>
        <w:t>כיון</w:t>
      </w:r>
      <w:r w:rsidR="00223779" w:rsidRPr="00882F11">
        <w:rPr>
          <w:rFonts w:cs="Guttman Drogolin"/>
          <w:rtl/>
          <w:lang w:bidi="he-IL"/>
        </w:rPr>
        <w:t xml:space="preserve"> </w:t>
      </w:r>
      <w:r w:rsidR="00223779" w:rsidRPr="00882F11">
        <w:rPr>
          <w:rFonts w:cs="Guttman Drogolin" w:hint="cs"/>
          <w:rtl/>
          <w:lang w:bidi="he-IL"/>
        </w:rPr>
        <w:t>שאין</w:t>
      </w:r>
      <w:r w:rsidR="00223779" w:rsidRPr="00882F11">
        <w:rPr>
          <w:rFonts w:cs="Guttman Drogolin"/>
          <w:rtl/>
          <w:lang w:bidi="he-IL"/>
        </w:rPr>
        <w:t xml:space="preserve"> </w:t>
      </w:r>
      <w:r w:rsidR="00223779" w:rsidRPr="00882F11">
        <w:rPr>
          <w:rFonts w:cs="Guttman Drogolin" w:hint="cs"/>
          <w:rtl/>
          <w:lang w:bidi="he-IL"/>
        </w:rPr>
        <w:t>מכבדים</w:t>
      </w:r>
      <w:r w:rsidR="00223779" w:rsidRPr="00882F11">
        <w:rPr>
          <w:rFonts w:cs="Guttman Drogolin"/>
          <w:rtl/>
          <w:lang w:bidi="he-IL"/>
        </w:rPr>
        <w:t xml:space="preserve"> </w:t>
      </w:r>
      <w:r w:rsidR="00223779" w:rsidRPr="00882F11">
        <w:rPr>
          <w:rFonts w:cs="Guttman Drogolin" w:hint="cs"/>
          <w:rtl/>
          <w:lang w:bidi="he-IL"/>
        </w:rPr>
        <w:t>ע</w:t>
      </w:r>
      <w:r w:rsidR="00223779" w:rsidRPr="00882F11">
        <w:rPr>
          <w:rFonts w:cs="Guttman Drogolin"/>
          <w:rtl/>
          <w:lang w:bidi="he-IL"/>
        </w:rPr>
        <w:t>"</w:t>
      </w:r>
      <w:r w:rsidR="00223779" w:rsidRPr="00882F11">
        <w:rPr>
          <w:rFonts w:cs="Guttman Drogolin" w:hint="cs"/>
          <w:rtl/>
          <w:lang w:bidi="he-IL"/>
        </w:rPr>
        <w:t>י</w:t>
      </w:r>
      <w:r w:rsidR="00223779" w:rsidRPr="00882F11">
        <w:rPr>
          <w:rFonts w:cs="Guttman Drogolin"/>
          <w:rtl/>
          <w:lang w:bidi="he-IL"/>
        </w:rPr>
        <w:t xml:space="preserve"> </w:t>
      </w:r>
      <w:r w:rsidR="00223779" w:rsidRPr="00882F11">
        <w:rPr>
          <w:rFonts w:cs="Guttman Drogolin" w:hint="cs"/>
          <w:rtl/>
          <w:lang w:bidi="he-IL"/>
        </w:rPr>
        <w:t>א</w:t>
      </w:r>
      <w:r w:rsidR="00223779" w:rsidRPr="00882F11">
        <w:rPr>
          <w:rFonts w:cs="Guttman Drogolin"/>
          <w:rtl/>
          <w:lang w:bidi="he-IL"/>
        </w:rPr>
        <w:t xml:space="preserve">' </w:t>
      </w:r>
      <w:r w:rsidR="00223779" w:rsidRPr="00882F11">
        <w:rPr>
          <w:rFonts w:cs="Guttman Drogolin" w:hint="cs"/>
          <w:rtl/>
          <w:lang w:bidi="he-IL"/>
        </w:rPr>
        <w:t>מן</w:t>
      </w:r>
      <w:r w:rsidR="00223779" w:rsidRPr="00882F11">
        <w:rPr>
          <w:rFonts w:cs="Guttman Drogolin"/>
          <w:rtl/>
          <w:lang w:bidi="he-IL"/>
        </w:rPr>
        <w:t xml:space="preserve"> </w:t>
      </w:r>
      <w:r w:rsidR="00223779" w:rsidRPr="00882F11">
        <w:rPr>
          <w:rFonts w:cs="Guttman Drogolin" w:hint="cs"/>
          <w:rtl/>
          <w:lang w:bidi="he-IL"/>
        </w:rPr>
        <w:t>החתיכות</w:t>
      </w:r>
      <w:r w:rsidR="00223779" w:rsidRPr="00882F11">
        <w:rPr>
          <w:rFonts w:cs="Guttman Drogolin"/>
          <w:rtl/>
          <w:lang w:bidi="he-IL"/>
        </w:rPr>
        <w:t xml:space="preserve"> </w:t>
      </w:r>
      <w:r w:rsidR="00223779" w:rsidRPr="00882F11">
        <w:rPr>
          <w:rFonts w:cs="Guttman Drogolin" w:hint="cs"/>
          <w:rtl/>
          <w:lang w:bidi="he-IL"/>
        </w:rPr>
        <w:t>רק</w:t>
      </w:r>
      <w:r w:rsidR="00223779" w:rsidRPr="00882F11">
        <w:rPr>
          <w:rFonts w:cs="Guttman Drogolin"/>
          <w:rtl/>
          <w:lang w:bidi="he-IL"/>
        </w:rPr>
        <w:t xml:space="preserve"> </w:t>
      </w:r>
      <w:r w:rsidR="00223779" w:rsidRPr="00882F11">
        <w:rPr>
          <w:rFonts w:cs="Guttman Drogolin" w:hint="cs"/>
          <w:rtl/>
          <w:lang w:bidi="he-IL"/>
        </w:rPr>
        <w:t>כולם</w:t>
      </w:r>
      <w:r w:rsidR="00223779" w:rsidRPr="00882F11">
        <w:rPr>
          <w:rFonts w:cs="Guttman Drogolin"/>
          <w:rtl/>
          <w:lang w:bidi="he-IL"/>
        </w:rPr>
        <w:t xml:space="preserve"> </w:t>
      </w:r>
      <w:r w:rsidR="00223779" w:rsidRPr="00882F11">
        <w:rPr>
          <w:rFonts w:cs="Guttman Drogolin" w:hint="cs"/>
          <w:rtl/>
          <w:lang w:bidi="he-IL"/>
        </w:rPr>
        <w:t>ביחד</w:t>
      </w:r>
      <w:r w:rsidR="00223779" w:rsidRPr="00882F11">
        <w:rPr>
          <w:rFonts w:cs="Guttman Drogolin"/>
          <w:rtl/>
          <w:lang w:bidi="he-IL"/>
        </w:rPr>
        <w:t xml:space="preserve">. </w:t>
      </w:r>
      <w:r w:rsidR="00223779" w:rsidRPr="00882F11">
        <w:rPr>
          <w:rFonts w:cs="Guttman Drogolin" w:hint="cs"/>
          <w:rtl/>
          <w:lang w:bidi="he-IL"/>
        </w:rPr>
        <w:t>ולכן</w:t>
      </w:r>
      <w:r w:rsidR="00223779" w:rsidRPr="00882F11">
        <w:rPr>
          <w:rFonts w:cs="Guttman Drogolin"/>
          <w:rtl/>
          <w:lang w:bidi="he-IL"/>
        </w:rPr>
        <w:t xml:space="preserve"> </w:t>
      </w:r>
      <w:r w:rsidR="00223779" w:rsidRPr="00882F11">
        <w:rPr>
          <w:rFonts w:cs="Guttman Drogolin" w:hint="cs"/>
          <w:rtl/>
          <w:lang w:bidi="he-IL"/>
        </w:rPr>
        <w:t>כיון</w:t>
      </w:r>
      <w:r w:rsidR="00223779" w:rsidRPr="00882F11">
        <w:rPr>
          <w:rFonts w:cs="Guttman Drogolin"/>
          <w:rtl/>
          <w:lang w:bidi="he-IL"/>
        </w:rPr>
        <w:t xml:space="preserve"> </w:t>
      </w:r>
      <w:r w:rsidR="00223779" w:rsidRPr="00882F11">
        <w:rPr>
          <w:rFonts w:cs="Guttman Drogolin" w:hint="cs"/>
          <w:rtl/>
          <w:lang w:bidi="he-IL"/>
        </w:rPr>
        <w:t>שאין</w:t>
      </w:r>
      <w:r w:rsidR="00223779" w:rsidRPr="00882F11">
        <w:rPr>
          <w:rFonts w:cs="Guttman Drogolin"/>
          <w:rtl/>
          <w:lang w:bidi="he-IL"/>
        </w:rPr>
        <w:t xml:space="preserve"> </w:t>
      </w:r>
      <w:r w:rsidR="00223779" w:rsidRPr="00882F11">
        <w:rPr>
          <w:rFonts w:cs="Guttman Drogolin" w:hint="cs"/>
          <w:rtl/>
          <w:lang w:bidi="he-IL"/>
        </w:rPr>
        <w:t>כל</w:t>
      </w:r>
      <w:r w:rsidR="00223779" w:rsidRPr="00882F11">
        <w:rPr>
          <w:rFonts w:cs="Guttman Drogolin"/>
          <w:rtl/>
          <w:lang w:bidi="he-IL"/>
        </w:rPr>
        <w:t xml:space="preserve"> </w:t>
      </w:r>
      <w:r w:rsidR="00223779" w:rsidRPr="00882F11">
        <w:rPr>
          <w:rFonts w:cs="Guttman Drogolin" w:hint="cs"/>
          <w:rtl/>
          <w:lang w:bidi="he-IL"/>
        </w:rPr>
        <w:t>חתיכה</w:t>
      </w:r>
      <w:r w:rsidR="00223779" w:rsidRPr="00882F11">
        <w:rPr>
          <w:rFonts w:cs="Guttman Drogolin"/>
          <w:rtl/>
          <w:lang w:bidi="he-IL"/>
        </w:rPr>
        <w:t xml:space="preserve"> </w:t>
      </w:r>
      <w:r w:rsidR="00223779" w:rsidRPr="00882F11">
        <w:rPr>
          <w:rFonts w:cs="Guttman Drogolin" w:hint="cs"/>
          <w:rtl/>
          <w:lang w:bidi="he-IL"/>
        </w:rPr>
        <w:t>לעצמה</w:t>
      </w:r>
      <w:r w:rsidR="00223779" w:rsidRPr="00882F11">
        <w:rPr>
          <w:rFonts w:cs="Guttman Drogolin"/>
          <w:rtl/>
          <w:lang w:bidi="he-IL"/>
        </w:rPr>
        <w:t xml:space="preserve"> </w:t>
      </w:r>
      <w:r w:rsidR="00223779" w:rsidRPr="00882F11">
        <w:rPr>
          <w:rFonts w:cs="Guttman Drogolin" w:hint="cs"/>
          <w:rtl/>
          <w:lang w:bidi="he-IL"/>
        </w:rPr>
        <w:t>ראוי</w:t>
      </w:r>
      <w:r w:rsidR="00223779" w:rsidRPr="00882F11">
        <w:rPr>
          <w:rFonts w:cs="Guttman Drogolin"/>
          <w:rtl/>
          <w:lang w:bidi="he-IL"/>
        </w:rPr>
        <w:t xml:space="preserve">' </w:t>
      </w:r>
      <w:r w:rsidR="00223779" w:rsidRPr="00882F11">
        <w:rPr>
          <w:rFonts w:cs="Guttman Drogolin" w:hint="cs"/>
          <w:rtl/>
          <w:lang w:bidi="he-IL"/>
        </w:rPr>
        <w:t>להתכבד</w:t>
      </w:r>
      <w:r w:rsidR="00223779" w:rsidRPr="00882F11">
        <w:rPr>
          <w:rFonts w:cs="Guttman Drogolin"/>
          <w:rtl/>
          <w:lang w:bidi="he-IL"/>
        </w:rPr>
        <w:t xml:space="preserve"> </w:t>
      </w:r>
      <w:r w:rsidR="00223779" w:rsidRPr="00882F11">
        <w:rPr>
          <w:rFonts w:cs="Guttman Drogolin" w:hint="cs"/>
          <w:rtl/>
          <w:lang w:bidi="he-IL"/>
        </w:rPr>
        <w:t>הרי</w:t>
      </w:r>
      <w:r w:rsidR="00223779" w:rsidRPr="00882F11">
        <w:rPr>
          <w:rFonts w:cs="Guttman Drogolin"/>
          <w:rtl/>
          <w:lang w:bidi="he-IL"/>
        </w:rPr>
        <w:t xml:space="preserve"> </w:t>
      </w:r>
      <w:r w:rsidR="00223779" w:rsidRPr="00882F11">
        <w:rPr>
          <w:rFonts w:cs="Guttman Drogolin" w:hint="cs"/>
          <w:rtl/>
          <w:lang w:bidi="he-IL"/>
        </w:rPr>
        <w:t>הוא</w:t>
      </w:r>
      <w:r w:rsidR="00223779" w:rsidRPr="00882F11">
        <w:rPr>
          <w:rFonts w:cs="Guttman Drogolin"/>
          <w:rtl/>
          <w:lang w:bidi="he-IL"/>
        </w:rPr>
        <w:t xml:space="preserve"> </w:t>
      </w:r>
      <w:r w:rsidR="00223779" w:rsidRPr="00882F11">
        <w:rPr>
          <w:rFonts w:cs="Guttman Drogolin" w:hint="cs"/>
          <w:rtl/>
          <w:lang w:bidi="he-IL"/>
        </w:rPr>
        <w:t>בטל</w:t>
      </w:r>
      <w:r w:rsidR="00223779" w:rsidRPr="00882F11">
        <w:rPr>
          <w:rFonts w:cs="Guttman Drogolin"/>
          <w:rtl/>
          <w:lang w:bidi="he-IL"/>
        </w:rPr>
        <w:t xml:space="preserve">. </w:t>
      </w:r>
      <w:r w:rsidR="00223779" w:rsidRPr="00882F11">
        <w:rPr>
          <w:rFonts w:cs="Guttman Drogolin" w:hint="cs"/>
          <w:rtl/>
          <w:lang w:bidi="he-IL"/>
        </w:rPr>
        <w:t>והט</w:t>
      </w:r>
      <w:r w:rsidR="00223779" w:rsidRPr="00882F11">
        <w:rPr>
          <w:rFonts w:cs="Guttman Drogolin"/>
          <w:rtl/>
          <w:lang w:bidi="he-IL"/>
        </w:rPr>
        <w:t>"</w:t>
      </w:r>
      <w:r w:rsidR="00223779" w:rsidRPr="00882F11">
        <w:rPr>
          <w:rFonts w:cs="Guttman Drogolin" w:hint="cs"/>
          <w:rtl/>
          <w:lang w:bidi="he-IL"/>
        </w:rPr>
        <w:t>ז</w:t>
      </w:r>
      <w:r w:rsidR="00223779" w:rsidRPr="00882F11">
        <w:rPr>
          <w:rFonts w:cs="Guttman Drogolin"/>
          <w:rtl/>
          <w:lang w:bidi="he-IL"/>
        </w:rPr>
        <w:t xml:space="preserve"> </w:t>
      </w:r>
      <w:r w:rsidR="00223779" w:rsidRPr="00882F11">
        <w:rPr>
          <w:rFonts w:cs="Guttman Drogolin" w:hint="cs"/>
          <w:rtl/>
          <w:lang w:bidi="he-IL"/>
        </w:rPr>
        <w:t>כנראה</w:t>
      </w:r>
      <w:r w:rsidR="00223779" w:rsidRPr="00882F11">
        <w:rPr>
          <w:rFonts w:cs="Guttman Drogolin"/>
          <w:rtl/>
          <w:lang w:bidi="he-IL"/>
        </w:rPr>
        <w:t xml:space="preserve"> </w:t>
      </w:r>
      <w:r w:rsidR="00223779" w:rsidRPr="00882F11">
        <w:rPr>
          <w:rFonts w:cs="Guttman Drogolin" w:hint="cs"/>
          <w:rtl/>
          <w:lang w:bidi="he-IL"/>
        </w:rPr>
        <w:t>חולק</w:t>
      </w:r>
      <w:r w:rsidR="00223779" w:rsidRPr="00882F11">
        <w:rPr>
          <w:rFonts w:cs="Guttman Drogolin"/>
          <w:rtl/>
          <w:lang w:bidi="he-IL"/>
        </w:rPr>
        <w:t xml:space="preserve"> </w:t>
      </w:r>
      <w:r w:rsidR="00223779" w:rsidRPr="00882F11">
        <w:rPr>
          <w:rFonts w:cs="Guttman Drogolin" w:hint="cs"/>
          <w:rtl/>
          <w:lang w:bidi="he-IL"/>
        </w:rPr>
        <w:t>דכיון</w:t>
      </w:r>
      <w:r w:rsidR="00223779" w:rsidRPr="00882F11">
        <w:rPr>
          <w:rFonts w:cs="Guttman Drogolin"/>
          <w:rtl/>
          <w:lang w:bidi="he-IL"/>
        </w:rPr>
        <w:t xml:space="preserve"> </w:t>
      </w:r>
      <w:r w:rsidR="00223779" w:rsidRPr="00882F11">
        <w:rPr>
          <w:rFonts w:cs="Guttman Drogolin" w:hint="cs"/>
          <w:rtl/>
          <w:lang w:bidi="he-IL"/>
        </w:rPr>
        <w:t>שביחד</w:t>
      </w:r>
      <w:r w:rsidR="00223779" w:rsidRPr="00882F11">
        <w:rPr>
          <w:rFonts w:cs="Guttman Drogolin"/>
          <w:rtl/>
          <w:lang w:bidi="he-IL"/>
        </w:rPr>
        <w:t xml:space="preserve"> </w:t>
      </w:r>
      <w:r w:rsidR="00223779" w:rsidRPr="00882F11">
        <w:rPr>
          <w:rFonts w:cs="Guttman Drogolin" w:hint="cs"/>
          <w:rtl/>
          <w:lang w:bidi="he-IL"/>
        </w:rPr>
        <w:t>ראוי</w:t>
      </w:r>
      <w:r w:rsidR="00223779" w:rsidRPr="00882F11">
        <w:rPr>
          <w:rFonts w:cs="Guttman Drogolin"/>
          <w:rtl/>
          <w:lang w:bidi="he-IL"/>
        </w:rPr>
        <w:t xml:space="preserve">' </w:t>
      </w:r>
      <w:r w:rsidR="00223779" w:rsidRPr="00882F11">
        <w:rPr>
          <w:rFonts w:cs="Guttman Drogolin" w:hint="cs"/>
          <w:rtl/>
          <w:lang w:bidi="he-IL"/>
        </w:rPr>
        <w:t>להתכבד</w:t>
      </w:r>
      <w:r w:rsidR="00223779" w:rsidRPr="00882F11">
        <w:rPr>
          <w:rFonts w:cs="Guttman Drogolin"/>
          <w:rtl/>
          <w:lang w:bidi="he-IL"/>
        </w:rPr>
        <w:t xml:space="preserve"> </w:t>
      </w:r>
      <w:r w:rsidR="00223779" w:rsidRPr="00882F11">
        <w:rPr>
          <w:rFonts w:cs="Guttman Drogolin" w:hint="cs"/>
          <w:rtl/>
          <w:lang w:bidi="he-IL"/>
        </w:rPr>
        <w:t>הוי</w:t>
      </w:r>
      <w:r w:rsidR="00223779" w:rsidRPr="00882F11">
        <w:rPr>
          <w:rFonts w:cs="Guttman Drogolin"/>
          <w:rtl/>
          <w:lang w:bidi="he-IL"/>
        </w:rPr>
        <w:t xml:space="preserve"> </w:t>
      </w:r>
      <w:r w:rsidR="00223779" w:rsidRPr="00882F11">
        <w:rPr>
          <w:rFonts w:cs="Guttman Drogolin" w:hint="cs"/>
          <w:rtl/>
          <w:lang w:bidi="he-IL"/>
        </w:rPr>
        <w:t>ראוי</w:t>
      </w:r>
      <w:r w:rsidR="00223779" w:rsidRPr="00882F11">
        <w:rPr>
          <w:rFonts w:cs="Guttman Drogolin"/>
          <w:rtl/>
          <w:lang w:bidi="he-IL"/>
        </w:rPr>
        <w:t xml:space="preserve">' </w:t>
      </w:r>
      <w:r w:rsidR="00223779" w:rsidRPr="00882F11">
        <w:rPr>
          <w:rFonts w:cs="Guttman Drogolin" w:hint="cs"/>
          <w:rtl/>
          <w:lang w:bidi="he-IL"/>
        </w:rPr>
        <w:t>להתכבד</w:t>
      </w:r>
      <w:r w:rsidR="00223779" w:rsidRPr="00882F11">
        <w:rPr>
          <w:rFonts w:cs="Guttman Drogolin"/>
          <w:lang w:bidi="he-IL"/>
        </w:rPr>
        <w:t xml:space="preserve">. </w:t>
      </w:r>
    </w:p>
    <w:p w:rsidR="00223779" w:rsidRPr="00882F11" w:rsidRDefault="00223779" w:rsidP="003010A2">
      <w:pPr>
        <w:tabs>
          <w:tab w:val="right" w:pos="7497"/>
        </w:tabs>
        <w:bidi/>
        <w:jc w:val="both"/>
        <w:rPr>
          <w:rFonts w:cs="Guttman Drogolin"/>
          <w:rtl/>
        </w:rPr>
      </w:pPr>
      <w:r w:rsidRPr="00882F11">
        <w:rPr>
          <w:rFonts w:cs="Guttman Drogolin" w:hint="cs"/>
          <w:rtl/>
          <w:lang w:bidi="he-IL"/>
        </w:rPr>
        <w:t>ומהו</w:t>
      </w:r>
      <w:r w:rsidRPr="00882F11">
        <w:rPr>
          <w:rFonts w:cs="Guttman Drogolin"/>
          <w:rtl/>
          <w:lang w:bidi="he-IL"/>
        </w:rPr>
        <w:t xml:space="preserve"> </w:t>
      </w:r>
      <w:r w:rsidRPr="00882F11">
        <w:rPr>
          <w:rFonts w:cs="Guttman Drogolin" w:hint="cs"/>
          <w:rtl/>
          <w:lang w:bidi="he-IL"/>
        </w:rPr>
        <w:t>יסוד</w:t>
      </w:r>
      <w:r w:rsidRPr="00882F11">
        <w:rPr>
          <w:rFonts w:cs="Guttman Drogolin"/>
          <w:rtl/>
          <w:lang w:bidi="he-IL"/>
        </w:rPr>
        <w:t xml:space="preserve"> </w:t>
      </w:r>
      <w:r w:rsidRPr="00882F11">
        <w:rPr>
          <w:rFonts w:cs="Guttman Drogolin" w:hint="cs"/>
          <w:rtl/>
          <w:lang w:bidi="he-IL"/>
        </w:rPr>
        <w:t>המחלוקת</w:t>
      </w:r>
      <w:r w:rsidRPr="00882F11">
        <w:rPr>
          <w:rFonts w:cs="Guttman Drogolin"/>
          <w:rtl/>
          <w:lang w:bidi="he-IL"/>
        </w:rPr>
        <w:t xml:space="preserve">. </w:t>
      </w:r>
      <w:r w:rsidRPr="00882F11">
        <w:rPr>
          <w:rFonts w:cs="Guttman Drogolin" w:hint="cs"/>
          <w:rtl/>
          <w:lang w:bidi="he-IL"/>
        </w:rPr>
        <w:t>הט</w:t>
      </w:r>
      <w:r w:rsidRPr="00882F11">
        <w:rPr>
          <w:rFonts w:cs="Guttman Drogolin"/>
          <w:rtl/>
          <w:lang w:bidi="he-IL"/>
        </w:rPr>
        <w:t>"</w:t>
      </w:r>
      <w:r w:rsidRPr="00882F11">
        <w:rPr>
          <w:rFonts w:cs="Guttman Drogolin" w:hint="cs"/>
          <w:rtl/>
          <w:lang w:bidi="he-IL"/>
        </w:rPr>
        <w:t>ז</w:t>
      </w:r>
      <w:r w:rsidRPr="00882F11">
        <w:rPr>
          <w:rFonts w:cs="Guttman Drogolin"/>
          <w:rtl/>
          <w:lang w:bidi="he-IL"/>
        </w:rPr>
        <w:t xml:space="preserve"> </w:t>
      </w:r>
      <w:r w:rsidRPr="00882F11">
        <w:rPr>
          <w:rFonts w:cs="Guttman Drogolin" w:hint="cs"/>
          <w:rtl/>
          <w:lang w:bidi="he-IL"/>
        </w:rPr>
        <w:t>סבר</w:t>
      </w:r>
      <w:r w:rsidRPr="00882F11">
        <w:rPr>
          <w:rFonts w:cs="Guttman Drogolin"/>
          <w:rtl/>
          <w:lang w:bidi="he-IL"/>
        </w:rPr>
        <w:t xml:space="preserve"> </w:t>
      </w:r>
      <w:r w:rsidRPr="00882F11">
        <w:rPr>
          <w:rFonts w:cs="Guttman Drogolin" w:hint="cs"/>
          <w:rtl/>
          <w:lang w:bidi="he-IL"/>
        </w:rPr>
        <w:t>שאין</w:t>
      </w:r>
      <w:r w:rsidRPr="00882F11">
        <w:rPr>
          <w:rFonts w:cs="Guttman Drogolin"/>
          <w:rtl/>
          <w:lang w:bidi="he-IL"/>
        </w:rPr>
        <w:t xml:space="preserve"> </w:t>
      </w:r>
      <w:r w:rsidRPr="00882F11">
        <w:rPr>
          <w:rFonts w:cs="Guttman Drogolin" w:hint="cs"/>
          <w:rtl/>
          <w:lang w:bidi="he-IL"/>
        </w:rPr>
        <w:t>דין</w:t>
      </w:r>
      <w:r w:rsidRPr="00882F11">
        <w:rPr>
          <w:rFonts w:cs="Guttman Drogolin"/>
          <w:rtl/>
          <w:lang w:bidi="he-IL"/>
        </w:rPr>
        <w:t xml:space="preserve"> '</w:t>
      </w:r>
      <w:r w:rsidRPr="00882F11">
        <w:rPr>
          <w:rFonts w:cs="Guttman Drogolin" w:hint="cs"/>
          <w:rtl/>
          <w:lang w:bidi="he-IL"/>
        </w:rPr>
        <w:t>חתיכה</w:t>
      </w:r>
      <w:r w:rsidRPr="00882F11">
        <w:rPr>
          <w:rFonts w:cs="Guttman Drogolin"/>
          <w:rtl/>
          <w:lang w:bidi="he-IL"/>
        </w:rPr>
        <w:t xml:space="preserve">' </w:t>
      </w:r>
      <w:r w:rsidRPr="00882F11">
        <w:rPr>
          <w:rFonts w:cs="Guttman Drogolin" w:hint="cs"/>
          <w:rtl/>
          <w:lang w:bidi="he-IL"/>
        </w:rPr>
        <w:t>ראוי</w:t>
      </w:r>
      <w:r w:rsidRPr="00882F11">
        <w:rPr>
          <w:rFonts w:cs="Guttman Drogolin"/>
          <w:rtl/>
          <w:lang w:bidi="he-IL"/>
        </w:rPr>
        <w:t xml:space="preserve">' </w:t>
      </w:r>
      <w:r w:rsidRPr="00882F11">
        <w:rPr>
          <w:rFonts w:cs="Guttman Drogolin" w:hint="cs"/>
          <w:rtl/>
          <w:lang w:bidi="he-IL"/>
        </w:rPr>
        <w:t>להתכבד</w:t>
      </w:r>
      <w:r w:rsidRPr="00882F11">
        <w:rPr>
          <w:rFonts w:cs="Guttman Drogolin"/>
          <w:rtl/>
          <w:lang w:bidi="he-IL"/>
        </w:rPr>
        <w:t xml:space="preserve">, </w:t>
      </w:r>
      <w:r w:rsidRPr="00882F11">
        <w:rPr>
          <w:rFonts w:cs="Guttman Drogolin" w:hint="cs"/>
          <w:rtl/>
          <w:lang w:bidi="he-IL"/>
        </w:rPr>
        <w:t>רק</w:t>
      </w:r>
      <w:r w:rsidRPr="00882F11">
        <w:rPr>
          <w:rFonts w:cs="Guttman Drogolin"/>
          <w:rtl/>
          <w:lang w:bidi="he-IL"/>
        </w:rPr>
        <w:t xml:space="preserve"> </w:t>
      </w:r>
      <w:r w:rsidRPr="00882F11">
        <w:rPr>
          <w:rFonts w:cs="Guttman Drogolin" w:hint="cs"/>
          <w:rtl/>
          <w:lang w:bidi="he-IL"/>
        </w:rPr>
        <w:t>ראוי</w:t>
      </w:r>
      <w:r w:rsidRPr="00882F11">
        <w:rPr>
          <w:rFonts w:cs="Guttman Drogolin"/>
          <w:rtl/>
          <w:lang w:bidi="he-IL"/>
        </w:rPr>
        <w:t xml:space="preserve">' </w:t>
      </w:r>
      <w:r w:rsidRPr="00882F11">
        <w:rPr>
          <w:rFonts w:cs="Guttman Drogolin" w:hint="cs"/>
          <w:rtl/>
          <w:lang w:bidi="he-IL"/>
        </w:rPr>
        <w:t>להתכבד</w:t>
      </w:r>
      <w:r w:rsidRPr="00882F11">
        <w:rPr>
          <w:rFonts w:cs="Guttman Drogolin"/>
          <w:rtl/>
          <w:lang w:bidi="he-IL"/>
        </w:rPr>
        <w:t xml:space="preserve">. </w:t>
      </w:r>
      <w:r w:rsidRPr="00882F11">
        <w:rPr>
          <w:rFonts w:cs="Guttman Drogolin" w:hint="cs"/>
          <w:rtl/>
          <w:lang w:bidi="he-IL"/>
        </w:rPr>
        <w:t>והש</w:t>
      </w:r>
      <w:r w:rsidRPr="00882F11">
        <w:rPr>
          <w:rFonts w:cs="Guttman Drogolin"/>
          <w:rtl/>
          <w:lang w:bidi="he-IL"/>
        </w:rPr>
        <w:t>"</w:t>
      </w:r>
      <w:r w:rsidRPr="00882F11">
        <w:rPr>
          <w:rFonts w:cs="Guttman Drogolin" w:hint="cs"/>
          <w:rtl/>
          <w:lang w:bidi="he-IL"/>
        </w:rPr>
        <w:t>ך</w:t>
      </w:r>
      <w:r w:rsidRPr="00882F11">
        <w:rPr>
          <w:rFonts w:cs="Guttman Drogolin"/>
          <w:rtl/>
          <w:lang w:bidi="he-IL"/>
        </w:rPr>
        <w:t xml:space="preserve"> </w:t>
      </w:r>
      <w:r w:rsidRPr="00882F11">
        <w:rPr>
          <w:rFonts w:cs="Guttman Drogolin" w:hint="cs"/>
          <w:rtl/>
          <w:lang w:bidi="he-IL"/>
        </w:rPr>
        <w:t>חלק</w:t>
      </w:r>
      <w:r w:rsidRPr="00882F11">
        <w:rPr>
          <w:rFonts w:cs="Guttman Drogolin"/>
          <w:rtl/>
          <w:lang w:bidi="he-IL"/>
        </w:rPr>
        <w:t xml:space="preserve"> </w:t>
      </w:r>
      <w:r w:rsidRPr="00882F11">
        <w:rPr>
          <w:rFonts w:cs="Guttman Drogolin" w:hint="cs"/>
          <w:rtl/>
          <w:lang w:bidi="he-IL"/>
        </w:rPr>
        <w:t>וסבר</w:t>
      </w:r>
      <w:r w:rsidRPr="00882F11">
        <w:rPr>
          <w:rFonts w:cs="Guttman Drogolin"/>
          <w:rtl/>
          <w:lang w:bidi="he-IL"/>
        </w:rPr>
        <w:t xml:space="preserve"> </w:t>
      </w:r>
      <w:r w:rsidRPr="00882F11">
        <w:rPr>
          <w:rFonts w:cs="Guttman Drogolin" w:hint="cs"/>
          <w:rtl/>
          <w:lang w:bidi="he-IL"/>
        </w:rPr>
        <w:t>דהוי</w:t>
      </w:r>
      <w:r w:rsidRPr="00882F11">
        <w:rPr>
          <w:rFonts w:cs="Guttman Drogolin"/>
          <w:rtl/>
          <w:lang w:bidi="he-IL"/>
        </w:rPr>
        <w:t xml:space="preserve"> </w:t>
      </w:r>
      <w:r w:rsidRPr="00882F11">
        <w:rPr>
          <w:rFonts w:cs="Guttman Drogolin" w:hint="cs"/>
          <w:rtl/>
          <w:lang w:bidi="he-IL"/>
        </w:rPr>
        <w:t>דין</w:t>
      </w:r>
      <w:r w:rsidRPr="00882F11">
        <w:rPr>
          <w:rFonts w:cs="Guttman Drogolin"/>
          <w:rtl/>
          <w:lang w:bidi="he-IL"/>
        </w:rPr>
        <w:t xml:space="preserve"> </w:t>
      </w:r>
      <w:r w:rsidRPr="00882F11">
        <w:rPr>
          <w:rFonts w:cs="Guttman Drogolin" w:hint="cs"/>
          <w:rtl/>
          <w:lang w:bidi="he-IL"/>
        </w:rPr>
        <w:t>ב</w:t>
      </w:r>
      <w:r w:rsidRPr="00882F11">
        <w:rPr>
          <w:rFonts w:cs="Guttman Drogolin"/>
          <w:rtl/>
          <w:lang w:bidi="he-IL"/>
        </w:rPr>
        <w:t>'</w:t>
      </w:r>
      <w:r w:rsidRPr="00882F11">
        <w:rPr>
          <w:rFonts w:cs="Guttman Drogolin" w:hint="cs"/>
          <w:rtl/>
          <w:lang w:bidi="he-IL"/>
        </w:rPr>
        <w:t>חתיכה</w:t>
      </w:r>
      <w:r w:rsidRPr="00882F11">
        <w:rPr>
          <w:rFonts w:cs="Guttman Drogolin"/>
          <w:rtl/>
          <w:lang w:bidi="he-IL"/>
        </w:rPr>
        <w:t xml:space="preserve">' </w:t>
      </w:r>
      <w:r w:rsidRPr="00882F11">
        <w:rPr>
          <w:rFonts w:cs="Guttman Drogolin" w:hint="cs"/>
          <w:rtl/>
          <w:lang w:bidi="he-IL"/>
        </w:rPr>
        <w:t>הראוי</w:t>
      </w:r>
      <w:r w:rsidRPr="00882F11">
        <w:rPr>
          <w:rFonts w:cs="Guttman Drogolin"/>
          <w:rtl/>
          <w:lang w:bidi="he-IL"/>
        </w:rPr>
        <w:t xml:space="preserve">' </w:t>
      </w:r>
      <w:r w:rsidRPr="00882F11">
        <w:rPr>
          <w:rFonts w:cs="Guttman Drogolin" w:hint="cs"/>
          <w:rtl/>
          <w:lang w:bidi="he-IL"/>
        </w:rPr>
        <w:t>להתכבד</w:t>
      </w:r>
      <w:r w:rsidRPr="00882F11">
        <w:rPr>
          <w:rFonts w:cs="Guttman Drogolin"/>
          <w:rtl/>
          <w:lang w:bidi="he-IL"/>
        </w:rPr>
        <w:t xml:space="preserve">. </w:t>
      </w:r>
      <w:r w:rsidRPr="00882F11">
        <w:rPr>
          <w:rFonts w:cs="Guttman Drogolin" w:hint="cs"/>
          <w:rtl/>
          <w:lang w:bidi="he-IL"/>
        </w:rPr>
        <w:t>וכמובן</w:t>
      </w:r>
      <w:r w:rsidRPr="00882F11">
        <w:rPr>
          <w:rFonts w:cs="Guttman Drogolin"/>
          <w:rtl/>
          <w:lang w:bidi="he-IL"/>
        </w:rPr>
        <w:t xml:space="preserve"> </w:t>
      </w:r>
      <w:r w:rsidRPr="00882F11">
        <w:rPr>
          <w:rFonts w:cs="Guttman Drogolin" w:hint="cs"/>
          <w:rtl/>
          <w:lang w:bidi="he-IL"/>
        </w:rPr>
        <w:t>שאם</w:t>
      </w:r>
      <w:r w:rsidRPr="00882F11">
        <w:rPr>
          <w:rFonts w:cs="Guttman Drogolin"/>
          <w:rtl/>
          <w:lang w:bidi="he-IL"/>
        </w:rPr>
        <w:t xml:space="preserve"> </w:t>
      </w:r>
      <w:r w:rsidRPr="00882F11">
        <w:rPr>
          <w:rFonts w:cs="Guttman Drogolin" w:hint="cs"/>
          <w:rtl/>
          <w:lang w:bidi="he-IL"/>
        </w:rPr>
        <w:t>נאבד</w:t>
      </w:r>
      <w:r w:rsidRPr="00882F11">
        <w:rPr>
          <w:rFonts w:cs="Guttman Drogolin"/>
          <w:rtl/>
          <w:lang w:bidi="he-IL"/>
        </w:rPr>
        <w:t xml:space="preserve"> </w:t>
      </w:r>
      <w:r w:rsidRPr="00882F11">
        <w:rPr>
          <w:rFonts w:cs="Guttman Drogolin" w:hint="cs"/>
          <w:rtl/>
          <w:lang w:bidi="he-IL"/>
        </w:rPr>
        <w:t>חשיבותו</w:t>
      </w:r>
      <w:r w:rsidRPr="00882F11">
        <w:rPr>
          <w:rFonts w:cs="Guttman Drogolin"/>
          <w:rtl/>
          <w:lang w:bidi="he-IL"/>
        </w:rPr>
        <w:t xml:space="preserve"> </w:t>
      </w:r>
      <w:r w:rsidRPr="00882F11">
        <w:rPr>
          <w:rFonts w:cs="Guttman Drogolin" w:hint="cs"/>
          <w:rtl/>
          <w:lang w:bidi="he-IL"/>
        </w:rPr>
        <w:t>ע</w:t>
      </w:r>
      <w:r w:rsidRPr="00882F11">
        <w:rPr>
          <w:rFonts w:cs="Guttman Drogolin"/>
          <w:rtl/>
          <w:lang w:bidi="he-IL"/>
        </w:rPr>
        <w:t>"</w:t>
      </w:r>
      <w:r w:rsidRPr="00882F11">
        <w:rPr>
          <w:rFonts w:cs="Guttman Drogolin" w:hint="cs"/>
          <w:rtl/>
          <w:lang w:bidi="he-IL"/>
        </w:rPr>
        <w:t>י</w:t>
      </w:r>
      <w:r w:rsidRPr="00882F11">
        <w:rPr>
          <w:rFonts w:cs="Guttman Drogolin"/>
          <w:rtl/>
          <w:lang w:bidi="he-IL"/>
        </w:rPr>
        <w:t xml:space="preserve"> </w:t>
      </w:r>
      <w:r w:rsidRPr="00882F11">
        <w:rPr>
          <w:rFonts w:cs="Guttman Drogolin" w:hint="cs"/>
          <w:rtl/>
          <w:lang w:bidi="he-IL"/>
        </w:rPr>
        <w:t>זה</w:t>
      </w:r>
      <w:r w:rsidRPr="00882F11">
        <w:rPr>
          <w:rFonts w:cs="Guttman Drogolin"/>
          <w:rtl/>
          <w:lang w:bidi="he-IL"/>
        </w:rPr>
        <w:t xml:space="preserve"> </w:t>
      </w:r>
      <w:r w:rsidRPr="00882F11">
        <w:rPr>
          <w:rFonts w:cs="Guttman Drogolin" w:hint="cs"/>
          <w:rtl/>
          <w:lang w:bidi="he-IL"/>
        </w:rPr>
        <w:t>שהוא</w:t>
      </w:r>
      <w:r w:rsidRPr="00882F11">
        <w:rPr>
          <w:rFonts w:cs="Guttman Drogolin"/>
          <w:rtl/>
          <w:lang w:bidi="he-IL"/>
        </w:rPr>
        <w:t xml:space="preserve"> </w:t>
      </w:r>
      <w:r w:rsidRPr="00882F11">
        <w:rPr>
          <w:rFonts w:cs="Guttman Drogolin" w:hint="cs"/>
          <w:rtl/>
          <w:lang w:bidi="he-IL"/>
        </w:rPr>
        <w:t>בחתיכות</w:t>
      </w:r>
      <w:r w:rsidRPr="00882F11">
        <w:rPr>
          <w:rFonts w:cs="Guttman Drogolin"/>
          <w:rtl/>
          <w:lang w:bidi="he-IL"/>
        </w:rPr>
        <w:t xml:space="preserve"> </w:t>
      </w:r>
      <w:r w:rsidRPr="00882F11">
        <w:rPr>
          <w:rFonts w:cs="Guttman Drogolin" w:hint="cs"/>
          <w:rtl/>
          <w:lang w:bidi="he-IL"/>
        </w:rPr>
        <w:t>הרי</w:t>
      </w:r>
      <w:r w:rsidRPr="00882F11">
        <w:rPr>
          <w:rFonts w:cs="Guttman Drogolin"/>
          <w:rtl/>
          <w:lang w:bidi="he-IL"/>
        </w:rPr>
        <w:t xml:space="preserve"> </w:t>
      </w:r>
      <w:r w:rsidRPr="00882F11">
        <w:rPr>
          <w:rFonts w:cs="Guttman Drogolin" w:hint="cs"/>
          <w:rtl/>
          <w:lang w:bidi="he-IL"/>
        </w:rPr>
        <w:t>הוא</w:t>
      </w:r>
      <w:r w:rsidRPr="00882F11">
        <w:rPr>
          <w:rFonts w:cs="Guttman Drogolin"/>
          <w:rtl/>
          <w:lang w:bidi="he-IL"/>
        </w:rPr>
        <w:t xml:space="preserve"> </w:t>
      </w:r>
      <w:r w:rsidRPr="00882F11">
        <w:rPr>
          <w:rFonts w:cs="Guttman Drogolin" w:hint="cs"/>
          <w:rtl/>
          <w:lang w:bidi="he-IL"/>
        </w:rPr>
        <w:t>בטל</w:t>
      </w:r>
      <w:r w:rsidRPr="00882F11">
        <w:rPr>
          <w:rFonts w:cs="Guttman Drogolin"/>
          <w:rtl/>
          <w:lang w:bidi="he-IL"/>
        </w:rPr>
        <w:t xml:space="preserve">.  </w:t>
      </w:r>
      <w:r w:rsidRPr="00882F11">
        <w:rPr>
          <w:rFonts w:cs="Guttman Drogolin" w:hint="cs"/>
          <w:rtl/>
          <w:lang w:bidi="he-IL"/>
        </w:rPr>
        <w:t>נפק</w:t>
      </w:r>
      <w:r w:rsidRPr="00882F11">
        <w:rPr>
          <w:rFonts w:cs="Guttman Drogolin"/>
          <w:rtl/>
          <w:lang w:bidi="he-IL"/>
        </w:rPr>
        <w:t>"</w:t>
      </w:r>
      <w:r w:rsidRPr="00882F11">
        <w:rPr>
          <w:rFonts w:cs="Guttman Drogolin" w:hint="cs"/>
          <w:rtl/>
          <w:lang w:bidi="he-IL"/>
        </w:rPr>
        <w:t>מ</w:t>
      </w:r>
      <w:r w:rsidRPr="00882F11">
        <w:rPr>
          <w:rFonts w:cs="Guttman Drogolin"/>
          <w:rtl/>
          <w:lang w:bidi="he-IL"/>
        </w:rPr>
        <w:t xml:space="preserve"> </w:t>
      </w:r>
      <w:r w:rsidRPr="00882F11">
        <w:rPr>
          <w:rFonts w:cs="Guttman Drogolin" w:hint="cs"/>
          <w:rtl/>
          <w:lang w:bidi="he-IL"/>
        </w:rPr>
        <w:t>אולי</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שניצלונים</w:t>
      </w:r>
      <w:r w:rsidRPr="00882F11">
        <w:rPr>
          <w:rFonts w:cs="Guttman Drogolin"/>
          <w:rtl/>
          <w:lang w:bidi="he-IL"/>
        </w:rPr>
        <w:t xml:space="preserve"> </w:t>
      </w:r>
      <w:r w:rsidRPr="00882F11">
        <w:rPr>
          <w:rFonts w:cs="Guttman Drogolin" w:hint="cs"/>
          <w:rtl/>
          <w:lang w:bidi="he-IL"/>
        </w:rPr>
        <w:t>ראויות</w:t>
      </w:r>
      <w:r w:rsidRPr="00882F11">
        <w:rPr>
          <w:rFonts w:cs="Guttman Drogolin"/>
          <w:rtl/>
          <w:lang w:bidi="he-IL"/>
        </w:rPr>
        <w:t xml:space="preserve"> </w:t>
      </w:r>
      <w:r w:rsidRPr="00882F11">
        <w:rPr>
          <w:rFonts w:cs="Guttman Drogolin" w:hint="cs"/>
          <w:rtl/>
          <w:lang w:bidi="he-IL"/>
        </w:rPr>
        <w:t>להתכבד</w:t>
      </w:r>
      <w:r w:rsidR="003010A2" w:rsidRPr="00882F11">
        <w:rPr>
          <w:rStyle w:val="FootnoteReference"/>
          <w:rFonts w:cs="Guttman Drogolin"/>
          <w:rtl/>
          <w:lang w:bidi="he-IL"/>
        </w:rPr>
        <w:footnoteReference w:id="358"/>
      </w:r>
      <w:r w:rsidR="003010A2" w:rsidRPr="00882F11">
        <w:rPr>
          <w:rFonts w:cs="Guttman Drogolin" w:hint="cs"/>
          <w:rtl/>
          <w:lang w:bidi="he-IL"/>
        </w:rPr>
        <w:t>.</w:t>
      </w:r>
    </w:p>
    <w:p w:rsidR="00223779" w:rsidRPr="00882F11" w:rsidRDefault="00223779" w:rsidP="00223779">
      <w:pPr>
        <w:tabs>
          <w:tab w:val="right" w:pos="7497"/>
        </w:tabs>
        <w:bidi/>
        <w:jc w:val="both"/>
        <w:rPr>
          <w:rFonts w:cs="Guttman Drogolin"/>
          <w:rtl/>
        </w:rPr>
      </w:pPr>
      <w:r w:rsidRPr="00882F11">
        <w:rPr>
          <w:rFonts w:cs="Guttman Drogolin" w:hint="cs"/>
          <w:rtl/>
          <w:lang w:bidi="he-IL"/>
        </w:rPr>
        <w:t>מישהו</w:t>
      </w:r>
      <w:r w:rsidRPr="00882F11">
        <w:rPr>
          <w:rFonts w:cs="Guttman Drogolin"/>
          <w:rtl/>
          <w:lang w:bidi="he-IL"/>
        </w:rPr>
        <w:t xml:space="preserve"> </w:t>
      </w:r>
      <w:r w:rsidRPr="00882F11">
        <w:rPr>
          <w:rFonts w:cs="Guttman Drogolin" w:hint="cs"/>
          <w:rtl/>
          <w:lang w:bidi="he-IL"/>
        </w:rPr>
        <w:t>שאל</w:t>
      </w:r>
      <w:r w:rsidRPr="00882F11">
        <w:rPr>
          <w:rFonts w:cs="Guttman Drogolin"/>
          <w:rtl/>
          <w:lang w:bidi="he-IL"/>
        </w:rPr>
        <w:t xml:space="preserve"> </w:t>
      </w:r>
      <w:r w:rsidRPr="00882F11">
        <w:rPr>
          <w:rFonts w:cs="Guttman Drogolin" w:hint="cs"/>
          <w:rtl/>
          <w:lang w:bidi="he-IL"/>
        </w:rPr>
        <w:t>האם</w:t>
      </w:r>
      <w:r w:rsidRPr="00882F11">
        <w:rPr>
          <w:rFonts w:cs="Guttman Drogolin"/>
          <w:rtl/>
          <w:lang w:bidi="he-IL"/>
        </w:rPr>
        <w:t xml:space="preserve"> </w:t>
      </w:r>
      <w:r w:rsidRPr="00882F11">
        <w:rPr>
          <w:rFonts w:cs="Guttman Drogolin" w:hint="cs"/>
          <w:rtl/>
          <w:lang w:bidi="he-IL"/>
        </w:rPr>
        <w:t>יש</w:t>
      </w:r>
      <w:r w:rsidRPr="00882F11">
        <w:rPr>
          <w:rFonts w:cs="Guttman Drogolin"/>
          <w:rtl/>
          <w:lang w:bidi="he-IL"/>
        </w:rPr>
        <w:t xml:space="preserve"> </w:t>
      </w:r>
      <w:r w:rsidRPr="00882F11">
        <w:rPr>
          <w:rFonts w:cs="Guttman Drogolin" w:hint="cs"/>
          <w:rtl/>
          <w:lang w:bidi="he-IL"/>
        </w:rPr>
        <w:t>דין</w:t>
      </w:r>
      <w:r w:rsidRPr="00882F11">
        <w:rPr>
          <w:rFonts w:cs="Guttman Drogolin"/>
          <w:rtl/>
          <w:lang w:bidi="he-IL"/>
        </w:rPr>
        <w:t xml:space="preserve"> </w:t>
      </w:r>
      <w:r w:rsidRPr="00882F11">
        <w:rPr>
          <w:rFonts w:cs="Guttman Drogolin" w:hint="cs"/>
          <w:rtl/>
          <w:lang w:bidi="he-IL"/>
        </w:rPr>
        <w:t>ראוי</w:t>
      </w:r>
      <w:r w:rsidRPr="00882F11">
        <w:rPr>
          <w:rFonts w:cs="Guttman Drogolin"/>
          <w:rtl/>
          <w:lang w:bidi="he-IL"/>
        </w:rPr>
        <w:t xml:space="preserve">' </w:t>
      </w:r>
      <w:r w:rsidRPr="00882F11">
        <w:rPr>
          <w:rFonts w:cs="Guttman Drogolin" w:hint="cs"/>
          <w:rtl/>
          <w:lang w:bidi="he-IL"/>
        </w:rPr>
        <w:t>להתכבד</w:t>
      </w:r>
      <w:r w:rsidRPr="00882F11">
        <w:rPr>
          <w:rFonts w:cs="Guttman Drogolin"/>
          <w:rtl/>
          <w:lang w:bidi="he-IL"/>
        </w:rPr>
        <w:t xml:space="preserve"> </w:t>
      </w:r>
      <w:r w:rsidRPr="00882F11">
        <w:rPr>
          <w:rFonts w:cs="Guttman Drogolin" w:hint="cs"/>
          <w:rtl/>
          <w:lang w:bidi="he-IL"/>
        </w:rPr>
        <w:t>בדבר</w:t>
      </w:r>
      <w:r w:rsidRPr="00882F11">
        <w:rPr>
          <w:rFonts w:cs="Guttman Drogolin"/>
          <w:rtl/>
          <w:lang w:bidi="he-IL"/>
        </w:rPr>
        <w:t xml:space="preserve"> </w:t>
      </w:r>
      <w:r w:rsidRPr="00882F11">
        <w:rPr>
          <w:rFonts w:cs="Guttman Drogolin" w:hint="cs"/>
          <w:rtl/>
          <w:lang w:bidi="he-IL"/>
        </w:rPr>
        <w:t>לח</w:t>
      </w:r>
      <w:r w:rsidRPr="00882F11">
        <w:rPr>
          <w:rFonts w:cs="Guttman Drogolin"/>
          <w:rtl/>
          <w:lang w:bidi="he-IL"/>
        </w:rPr>
        <w:t xml:space="preserve">. </w:t>
      </w:r>
      <w:r w:rsidRPr="00882F11">
        <w:rPr>
          <w:rFonts w:cs="Guttman Drogolin" w:hint="cs"/>
          <w:rtl/>
          <w:lang w:bidi="he-IL"/>
        </w:rPr>
        <w:t>וכן</w:t>
      </w:r>
      <w:r w:rsidRPr="00882F11">
        <w:rPr>
          <w:rFonts w:cs="Guttman Drogolin"/>
          <w:rtl/>
          <w:lang w:bidi="he-IL"/>
        </w:rPr>
        <w:t xml:space="preserve"> </w:t>
      </w:r>
      <w:r w:rsidRPr="00882F11">
        <w:rPr>
          <w:rFonts w:cs="Guttman Drogolin" w:hint="cs"/>
          <w:rtl/>
          <w:lang w:bidi="he-IL"/>
        </w:rPr>
        <w:t>יש</w:t>
      </w:r>
      <w:r w:rsidRPr="00882F11">
        <w:rPr>
          <w:rFonts w:cs="Guttman Drogolin"/>
          <w:rtl/>
          <w:lang w:bidi="he-IL"/>
        </w:rPr>
        <w:t xml:space="preserve"> </w:t>
      </w:r>
      <w:r w:rsidRPr="00882F11">
        <w:rPr>
          <w:rFonts w:cs="Guttman Drogolin" w:hint="cs"/>
          <w:rtl/>
          <w:lang w:bidi="he-IL"/>
        </w:rPr>
        <w:t>לדון</w:t>
      </w:r>
      <w:r w:rsidRPr="00882F11">
        <w:rPr>
          <w:rFonts w:cs="Guttman Drogolin"/>
          <w:rtl/>
          <w:lang w:bidi="he-IL"/>
        </w:rPr>
        <w:t xml:space="preserve"> </w:t>
      </w:r>
      <w:r w:rsidRPr="00882F11">
        <w:rPr>
          <w:rFonts w:cs="Guttman Drogolin" w:hint="cs"/>
          <w:rtl/>
          <w:lang w:bidi="he-IL"/>
        </w:rPr>
        <w:t>בכגון</w:t>
      </w:r>
      <w:r w:rsidRPr="00882F11">
        <w:rPr>
          <w:rFonts w:cs="Guttman Drogolin"/>
          <w:rtl/>
          <w:lang w:bidi="he-IL"/>
        </w:rPr>
        <w:t xml:space="preserve"> </w:t>
      </w:r>
      <w:r w:rsidRPr="00882F11">
        <w:rPr>
          <w:rFonts w:cs="Guttman Drogolin" w:hint="cs"/>
          <w:rtl/>
          <w:lang w:bidi="he-IL"/>
        </w:rPr>
        <w:t>סלט</w:t>
      </w:r>
      <w:r w:rsidRPr="00882F11">
        <w:rPr>
          <w:rFonts w:cs="Guttman Drogolin"/>
          <w:rtl/>
          <w:lang w:bidi="he-IL"/>
        </w:rPr>
        <w:t xml:space="preserve"> </w:t>
      </w:r>
      <w:r w:rsidRPr="00882F11">
        <w:rPr>
          <w:rFonts w:cs="Guttman Drogolin" w:hint="cs"/>
          <w:rtl/>
          <w:lang w:bidi="he-IL"/>
        </w:rPr>
        <w:t>טונה</w:t>
      </w:r>
      <w:r w:rsidRPr="00882F11">
        <w:rPr>
          <w:rFonts w:cs="Guttman Drogolin"/>
          <w:rtl/>
          <w:lang w:bidi="he-IL"/>
        </w:rPr>
        <w:t xml:space="preserve">. </w:t>
      </w:r>
      <w:r w:rsidRPr="00882F11">
        <w:rPr>
          <w:rFonts w:cs="Guttman Drogolin" w:hint="cs"/>
          <w:rtl/>
          <w:lang w:bidi="he-IL"/>
        </w:rPr>
        <w:t>ולכאורה</w:t>
      </w:r>
      <w:r w:rsidRPr="00882F11">
        <w:rPr>
          <w:rFonts w:cs="Guttman Drogolin"/>
          <w:rtl/>
          <w:lang w:bidi="he-IL"/>
        </w:rPr>
        <w:t xml:space="preserve"> </w:t>
      </w:r>
      <w:r w:rsidRPr="00882F11">
        <w:rPr>
          <w:rFonts w:cs="Guttman Drogolin" w:hint="cs"/>
          <w:rtl/>
          <w:lang w:bidi="he-IL"/>
        </w:rPr>
        <w:t>גם</w:t>
      </w:r>
      <w:r w:rsidRPr="00882F11">
        <w:rPr>
          <w:rFonts w:cs="Guttman Drogolin"/>
          <w:rtl/>
          <w:lang w:bidi="he-IL"/>
        </w:rPr>
        <w:t xml:space="preserve"> </w:t>
      </w:r>
      <w:r w:rsidRPr="00882F11">
        <w:rPr>
          <w:rFonts w:cs="Guttman Drogolin" w:hint="cs"/>
          <w:rtl/>
          <w:lang w:bidi="he-IL"/>
        </w:rPr>
        <w:t>זה</w:t>
      </w:r>
      <w:r w:rsidRPr="00882F11">
        <w:rPr>
          <w:rFonts w:cs="Guttman Drogolin"/>
          <w:rtl/>
          <w:lang w:bidi="he-IL"/>
        </w:rPr>
        <w:t xml:space="preserve"> </w:t>
      </w:r>
      <w:r w:rsidRPr="00882F11">
        <w:rPr>
          <w:rFonts w:cs="Guttman Drogolin" w:hint="cs"/>
          <w:rtl/>
          <w:lang w:bidi="he-IL"/>
        </w:rPr>
        <w:t>תלוי</w:t>
      </w:r>
      <w:r w:rsidRPr="00882F11">
        <w:rPr>
          <w:rFonts w:cs="Guttman Drogolin"/>
          <w:rtl/>
          <w:lang w:bidi="he-IL"/>
        </w:rPr>
        <w:t xml:space="preserve"> </w:t>
      </w:r>
      <w:r w:rsidRPr="00882F11">
        <w:rPr>
          <w:rFonts w:cs="Guttman Drogolin" w:hint="cs"/>
          <w:rtl/>
          <w:lang w:bidi="he-IL"/>
        </w:rPr>
        <w:t>במחלוקת</w:t>
      </w:r>
      <w:r w:rsidRPr="00882F11">
        <w:rPr>
          <w:rFonts w:cs="Guttman Drogolin"/>
          <w:rtl/>
          <w:lang w:bidi="he-IL"/>
        </w:rPr>
        <w:t xml:space="preserve"> </w:t>
      </w:r>
      <w:r w:rsidRPr="00882F11">
        <w:rPr>
          <w:rFonts w:cs="Guttman Drogolin" w:hint="cs"/>
          <w:rtl/>
          <w:lang w:bidi="he-IL"/>
        </w:rPr>
        <w:t>הט</w:t>
      </w:r>
      <w:r w:rsidRPr="00882F11">
        <w:rPr>
          <w:rFonts w:cs="Guttman Drogolin"/>
          <w:rtl/>
          <w:lang w:bidi="he-IL"/>
        </w:rPr>
        <w:t>"</w:t>
      </w:r>
      <w:r w:rsidRPr="00882F11">
        <w:rPr>
          <w:rFonts w:cs="Guttman Drogolin" w:hint="cs"/>
          <w:rtl/>
          <w:lang w:bidi="he-IL"/>
        </w:rPr>
        <w:t>ז</w:t>
      </w:r>
      <w:r w:rsidRPr="00882F11">
        <w:rPr>
          <w:rFonts w:cs="Guttman Drogolin"/>
          <w:rtl/>
          <w:lang w:bidi="he-IL"/>
        </w:rPr>
        <w:t xml:space="preserve"> </w:t>
      </w:r>
      <w:r w:rsidRPr="00882F11">
        <w:rPr>
          <w:rFonts w:cs="Guttman Drogolin" w:hint="cs"/>
          <w:rtl/>
          <w:lang w:bidi="he-IL"/>
        </w:rPr>
        <w:t>ונקוה</w:t>
      </w:r>
      <w:r w:rsidRPr="00882F11">
        <w:rPr>
          <w:rFonts w:cs="Guttman Drogolin"/>
          <w:rtl/>
          <w:lang w:bidi="he-IL"/>
        </w:rPr>
        <w:t>"</w:t>
      </w:r>
      <w:r w:rsidRPr="00882F11">
        <w:rPr>
          <w:rFonts w:cs="Guttman Drogolin" w:hint="cs"/>
          <w:rtl/>
          <w:lang w:bidi="he-IL"/>
        </w:rPr>
        <w:t>כ</w:t>
      </w:r>
      <w:r w:rsidRPr="00882F11">
        <w:rPr>
          <w:rFonts w:cs="Guttman Drogolin"/>
          <w:rtl/>
          <w:lang w:bidi="he-IL"/>
        </w:rPr>
        <w:t xml:space="preserve"> </w:t>
      </w:r>
      <w:r w:rsidRPr="00882F11">
        <w:rPr>
          <w:rFonts w:cs="Guttman Drogolin" w:hint="cs"/>
          <w:rtl/>
          <w:lang w:bidi="he-IL"/>
        </w:rPr>
        <w:t>הנ</w:t>
      </w:r>
      <w:r w:rsidRPr="00882F11">
        <w:rPr>
          <w:rFonts w:cs="Guttman Drogolin"/>
          <w:rtl/>
          <w:lang w:bidi="he-IL"/>
        </w:rPr>
        <w:t>"</w:t>
      </w:r>
      <w:r w:rsidRPr="00882F11">
        <w:rPr>
          <w:rFonts w:cs="Guttman Drogolin" w:hint="cs"/>
          <w:rtl/>
          <w:lang w:bidi="he-IL"/>
        </w:rPr>
        <w:t>ל</w:t>
      </w:r>
      <w:r w:rsidRPr="00882F11">
        <w:rPr>
          <w:rFonts w:cs="Guttman Drogolin"/>
          <w:rtl/>
          <w:lang w:bidi="he-IL"/>
        </w:rPr>
        <w:t xml:space="preserve">. </w:t>
      </w:r>
      <w:r w:rsidRPr="00882F11">
        <w:rPr>
          <w:rFonts w:cs="Guttman Drogolin" w:hint="cs"/>
          <w:rtl/>
          <w:lang w:bidi="he-IL"/>
        </w:rPr>
        <w:t>אמנם</w:t>
      </w:r>
      <w:r w:rsidRPr="00882F11">
        <w:rPr>
          <w:rFonts w:cs="Guttman Drogolin"/>
          <w:rtl/>
          <w:lang w:bidi="he-IL"/>
        </w:rPr>
        <w:t xml:space="preserve"> </w:t>
      </w:r>
      <w:r w:rsidRPr="00882F11">
        <w:rPr>
          <w:rFonts w:cs="Guttman Drogolin" w:hint="cs"/>
          <w:rtl/>
          <w:lang w:bidi="he-IL"/>
        </w:rPr>
        <w:t>נלעוק</w:t>
      </w:r>
      <w:r w:rsidRPr="00882F11">
        <w:rPr>
          <w:rFonts w:cs="Guttman Drogolin"/>
          <w:rtl/>
          <w:lang w:bidi="he-IL"/>
        </w:rPr>
        <w:t>"</w:t>
      </w:r>
      <w:r w:rsidRPr="00882F11">
        <w:rPr>
          <w:rFonts w:cs="Guttman Drogolin" w:hint="cs"/>
          <w:rtl/>
          <w:lang w:bidi="he-IL"/>
        </w:rPr>
        <w:t>ד</w:t>
      </w:r>
      <w:r w:rsidRPr="00882F11">
        <w:rPr>
          <w:rFonts w:cs="Guttman Drogolin"/>
          <w:rtl/>
          <w:lang w:bidi="he-IL"/>
        </w:rPr>
        <w:t xml:space="preserve"> </w:t>
      </w:r>
      <w:r w:rsidRPr="00882F11">
        <w:rPr>
          <w:rFonts w:cs="Guttman Drogolin" w:hint="cs"/>
          <w:rtl/>
          <w:lang w:bidi="he-IL"/>
        </w:rPr>
        <w:t>שכאן</w:t>
      </w:r>
      <w:r w:rsidRPr="00882F11">
        <w:rPr>
          <w:rFonts w:cs="Guttman Drogolin"/>
          <w:rtl/>
          <w:lang w:bidi="he-IL"/>
        </w:rPr>
        <w:t xml:space="preserve"> </w:t>
      </w:r>
      <w:r w:rsidRPr="00882F11">
        <w:rPr>
          <w:rFonts w:cs="Guttman Drogolin" w:hint="cs"/>
          <w:rtl/>
          <w:lang w:bidi="he-IL"/>
        </w:rPr>
        <w:t>גם</w:t>
      </w:r>
      <w:r w:rsidRPr="00882F11">
        <w:rPr>
          <w:rFonts w:cs="Guttman Drogolin"/>
          <w:rtl/>
          <w:lang w:bidi="he-IL"/>
        </w:rPr>
        <w:t xml:space="preserve"> </w:t>
      </w:r>
      <w:r w:rsidRPr="00882F11">
        <w:rPr>
          <w:rFonts w:cs="Guttman Drogolin" w:hint="cs"/>
          <w:rtl/>
          <w:lang w:bidi="he-IL"/>
        </w:rPr>
        <w:t>הט</w:t>
      </w:r>
      <w:r w:rsidRPr="00882F11">
        <w:rPr>
          <w:rFonts w:cs="Guttman Drogolin"/>
          <w:rtl/>
          <w:lang w:bidi="he-IL"/>
        </w:rPr>
        <w:t>"</w:t>
      </w:r>
      <w:r w:rsidRPr="00882F11">
        <w:rPr>
          <w:rFonts w:cs="Guttman Drogolin" w:hint="cs"/>
          <w:rtl/>
          <w:lang w:bidi="he-IL"/>
        </w:rPr>
        <w:t>ז</w:t>
      </w:r>
      <w:r w:rsidRPr="00882F11">
        <w:rPr>
          <w:rFonts w:cs="Guttman Drogolin"/>
          <w:rtl/>
          <w:lang w:bidi="he-IL"/>
        </w:rPr>
        <w:t xml:space="preserve"> </w:t>
      </w:r>
      <w:r w:rsidRPr="00882F11">
        <w:rPr>
          <w:rFonts w:cs="Guttman Drogolin" w:hint="cs"/>
          <w:rtl/>
          <w:lang w:bidi="he-IL"/>
        </w:rPr>
        <w:t>מודה</w:t>
      </w:r>
      <w:r w:rsidRPr="00882F11">
        <w:rPr>
          <w:rFonts w:cs="Guttman Drogolin"/>
          <w:rtl/>
          <w:lang w:bidi="he-IL"/>
        </w:rPr>
        <w:t xml:space="preserve"> </w:t>
      </w:r>
      <w:r w:rsidRPr="00882F11">
        <w:rPr>
          <w:rFonts w:cs="Guttman Drogolin" w:hint="cs"/>
          <w:rtl/>
          <w:lang w:bidi="he-IL"/>
        </w:rPr>
        <w:t>כיון</w:t>
      </w:r>
      <w:r w:rsidRPr="00882F11">
        <w:rPr>
          <w:rFonts w:cs="Guttman Drogolin"/>
          <w:rtl/>
          <w:lang w:bidi="he-IL"/>
        </w:rPr>
        <w:t xml:space="preserve"> </w:t>
      </w:r>
      <w:r w:rsidRPr="00882F11">
        <w:rPr>
          <w:rFonts w:cs="Guttman Drogolin" w:hint="cs"/>
          <w:rtl/>
          <w:lang w:bidi="he-IL"/>
        </w:rPr>
        <w:t>שאין</w:t>
      </w:r>
      <w:r w:rsidRPr="00882F11">
        <w:rPr>
          <w:rFonts w:cs="Guttman Drogolin"/>
          <w:rtl/>
          <w:lang w:bidi="he-IL"/>
        </w:rPr>
        <w:t xml:space="preserve"> </w:t>
      </w:r>
      <w:r w:rsidRPr="00882F11">
        <w:rPr>
          <w:rFonts w:cs="Guttman Drogolin" w:hint="cs"/>
          <w:rtl/>
          <w:lang w:bidi="he-IL"/>
        </w:rPr>
        <w:t>כאן</w:t>
      </w:r>
      <w:r w:rsidRPr="00882F11">
        <w:rPr>
          <w:rFonts w:cs="Guttman Drogolin"/>
          <w:rtl/>
          <w:lang w:bidi="he-IL"/>
        </w:rPr>
        <w:t xml:space="preserve"> </w:t>
      </w:r>
      <w:r w:rsidRPr="00882F11">
        <w:rPr>
          <w:rFonts w:cs="Guttman Drogolin" w:hint="cs"/>
          <w:rtl/>
          <w:lang w:bidi="he-IL"/>
        </w:rPr>
        <w:t>שום</w:t>
      </w:r>
      <w:r w:rsidRPr="00882F11">
        <w:rPr>
          <w:rFonts w:cs="Guttman Drogolin"/>
          <w:rtl/>
          <w:lang w:bidi="he-IL"/>
        </w:rPr>
        <w:t xml:space="preserve"> </w:t>
      </w:r>
      <w:r w:rsidRPr="00882F11">
        <w:rPr>
          <w:rFonts w:cs="Guttman Drogolin" w:hint="cs"/>
          <w:rtl/>
          <w:lang w:bidi="he-IL"/>
        </w:rPr>
        <w:t>חתיכה</w:t>
      </w:r>
      <w:r w:rsidRPr="00882F11">
        <w:rPr>
          <w:rFonts w:cs="Guttman Drogolin"/>
          <w:rtl/>
          <w:lang w:bidi="he-IL"/>
        </w:rPr>
        <w:t xml:space="preserve"> </w:t>
      </w:r>
      <w:r w:rsidRPr="00882F11">
        <w:rPr>
          <w:rFonts w:cs="Guttman Drogolin" w:hint="cs"/>
          <w:rtl/>
          <w:lang w:bidi="he-IL"/>
        </w:rPr>
        <w:t>כלל</w:t>
      </w:r>
      <w:r w:rsidRPr="00882F11">
        <w:rPr>
          <w:rFonts w:cs="Guttman Drogolin"/>
          <w:lang w:bidi="he-IL"/>
        </w:rPr>
        <w:t xml:space="preserve">. </w:t>
      </w:r>
    </w:p>
    <w:p w:rsidR="00223779" w:rsidRPr="00882F11" w:rsidRDefault="00223779" w:rsidP="00223779">
      <w:pPr>
        <w:pStyle w:val="Heading1"/>
        <w:bidi/>
        <w:spacing w:before="0" w:line="360" w:lineRule="auto"/>
        <w:jc w:val="center"/>
        <w:rPr>
          <w:rFonts w:cs="Guttman Drogolin"/>
          <w:color w:val="auto"/>
          <w:sz w:val="24"/>
          <w:szCs w:val="24"/>
          <w:u w:val="single"/>
          <w:rtl/>
          <w:lang w:bidi="he-IL"/>
        </w:rPr>
      </w:pPr>
      <w:bookmarkStart w:id="344" w:name="_Toc496175595"/>
      <w:r w:rsidRPr="00882F11">
        <w:rPr>
          <w:rFonts w:cs="Guttman Drogolin" w:hint="cs"/>
          <w:color w:val="auto"/>
          <w:sz w:val="24"/>
          <w:szCs w:val="24"/>
          <w:u w:val="single"/>
          <w:rtl/>
          <w:lang w:bidi="he-IL"/>
        </w:rPr>
        <w:t>סי</w:t>
      </w:r>
      <w:r w:rsidRPr="00882F11">
        <w:rPr>
          <w:rFonts w:cs="Guttman Drogolin"/>
          <w:color w:val="auto"/>
          <w:sz w:val="24"/>
          <w:szCs w:val="24"/>
          <w:u w:val="single"/>
          <w:rtl/>
          <w:lang w:bidi="he-IL"/>
        </w:rPr>
        <w:t xml:space="preserve">' </w:t>
      </w:r>
      <w:r w:rsidRPr="00882F11">
        <w:rPr>
          <w:rFonts w:cs="Guttman Drogolin" w:hint="cs"/>
          <w:color w:val="auto"/>
          <w:sz w:val="24"/>
          <w:szCs w:val="24"/>
          <w:u w:val="single"/>
          <w:rtl/>
          <w:lang w:bidi="he-IL"/>
        </w:rPr>
        <w:t>ק</w:t>
      </w:r>
      <w:r w:rsidRPr="00882F11">
        <w:rPr>
          <w:rFonts w:cs="Guttman Drogolin"/>
          <w:color w:val="auto"/>
          <w:sz w:val="24"/>
          <w:szCs w:val="24"/>
          <w:u w:val="single"/>
          <w:rtl/>
          <w:lang w:bidi="he-IL"/>
        </w:rPr>
        <w:t>"</w:t>
      </w:r>
      <w:r w:rsidRPr="00882F11">
        <w:rPr>
          <w:rFonts w:cs="Guttman Drogolin" w:hint="cs"/>
          <w:color w:val="auto"/>
          <w:sz w:val="24"/>
          <w:szCs w:val="24"/>
          <w:u w:val="single"/>
          <w:rtl/>
          <w:lang w:bidi="he-IL"/>
        </w:rPr>
        <w:t>א</w:t>
      </w:r>
      <w:r w:rsidRPr="00882F11">
        <w:rPr>
          <w:rFonts w:cs="Guttman Drogolin"/>
          <w:color w:val="auto"/>
          <w:sz w:val="24"/>
          <w:szCs w:val="24"/>
          <w:u w:val="single"/>
          <w:rtl/>
          <w:lang w:bidi="he-IL"/>
        </w:rPr>
        <w:t xml:space="preserve"> </w:t>
      </w:r>
      <w:r w:rsidRPr="00882F11">
        <w:rPr>
          <w:rFonts w:cs="Guttman Drogolin" w:hint="cs"/>
          <w:color w:val="auto"/>
          <w:sz w:val="24"/>
          <w:szCs w:val="24"/>
          <w:u w:val="single"/>
          <w:rtl/>
          <w:lang w:bidi="he-IL"/>
        </w:rPr>
        <w:t>סעיף</w:t>
      </w:r>
      <w:r w:rsidRPr="00882F11">
        <w:rPr>
          <w:rFonts w:cs="Guttman Drogolin"/>
          <w:color w:val="auto"/>
          <w:sz w:val="24"/>
          <w:szCs w:val="24"/>
          <w:u w:val="single"/>
          <w:rtl/>
          <w:lang w:bidi="he-IL"/>
        </w:rPr>
        <w:t xml:space="preserve"> </w:t>
      </w:r>
      <w:r w:rsidRPr="00882F11">
        <w:rPr>
          <w:rFonts w:cs="Guttman Drogolin" w:hint="cs"/>
          <w:color w:val="auto"/>
          <w:sz w:val="24"/>
          <w:szCs w:val="24"/>
          <w:u w:val="single"/>
          <w:rtl/>
          <w:lang w:bidi="he-IL"/>
        </w:rPr>
        <w:t>ה</w:t>
      </w:r>
      <w:r w:rsidRPr="00882F11">
        <w:rPr>
          <w:rFonts w:cs="Guttman Drogolin"/>
          <w:color w:val="auto"/>
          <w:sz w:val="24"/>
          <w:szCs w:val="24"/>
          <w:u w:val="single"/>
          <w:rtl/>
          <w:lang w:bidi="he-IL"/>
        </w:rPr>
        <w:t>'</w:t>
      </w:r>
      <w:bookmarkEnd w:id="344"/>
    </w:p>
    <w:p w:rsidR="00223779" w:rsidRPr="00882F11" w:rsidRDefault="00223779" w:rsidP="00150C33">
      <w:pPr>
        <w:tabs>
          <w:tab w:val="right" w:pos="7497"/>
        </w:tabs>
        <w:bidi/>
        <w:jc w:val="both"/>
        <w:rPr>
          <w:rFonts w:cs="Guttman Drogolin"/>
          <w:rtl/>
          <w:lang w:bidi="he-IL"/>
        </w:rPr>
      </w:pPr>
      <w:r w:rsidRPr="00882F11">
        <w:rPr>
          <w:rFonts w:cs="Guttman Drogolin" w:hint="cs"/>
          <w:rtl/>
          <w:lang w:bidi="he-IL"/>
        </w:rPr>
        <w:t>ע</w:t>
      </w:r>
      <w:r w:rsidRPr="00882F11">
        <w:rPr>
          <w:rFonts w:cs="Guttman Drogolin"/>
          <w:rtl/>
          <w:lang w:bidi="he-IL"/>
        </w:rPr>
        <w:t xml:space="preserve">' </w:t>
      </w:r>
      <w:r w:rsidRPr="00882F11">
        <w:rPr>
          <w:rFonts w:cs="Guttman Drogolin" w:hint="cs"/>
          <w:rtl/>
          <w:lang w:bidi="he-IL"/>
        </w:rPr>
        <w:t>ט</w:t>
      </w:r>
      <w:r w:rsidRPr="00882F11">
        <w:rPr>
          <w:rFonts w:cs="Guttman Drogolin"/>
          <w:rtl/>
          <w:lang w:bidi="he-IL"/>
        </w:rPr>
        <w:t>"</w:t>
      </w:r>
      <w:r w:rsidRPr="00882F11">
        <w:rPr>
          <w:rFonts w:cs="Guttman Drogolin" w:hint="cs"/>
          <w:rtl/>
          <w:lang w:bidi="he-IL"/>
        </w:rPr>
        <w:t>ז</w:t>
      </w:r>
      <w:r w:rsidRPr="00882F11">
        <w:rPr>
          <w:rFonts w:cs="Guttman Drogolin"/>
          <w:rtl/>
          <w:lang w:bidi="he-IL"/>
        </w:rPr>
        <w:t xml:space="preserve"> </w:t>
      </w:r>
      <w:r w:rsidRPr="00882F11">
        <w:rPr>
          <w:rFonts w:cs="Guttman Drogolin" w:hint="cs"/>
          <w:rtl/>
          <w:lang w:bidi="he-IL"/>
        </w:rPr>
        <w:t>שהביא</w:t>
      </w:r>
      <w:r w:rsidRPr="00882F11">
        <w:rPr>
          <w:rFonts w:cs="Guttman Drogolin"/>
          <w:rtl/>
          <w:lang w:bidi="he-IL"/>
        </w:rPr>
        <w:t xml:space="preserve"> </w:t>
      </w:r>
      <w:r w:rsidRPr="00882F11">
        <w:rPr>
          <w:rFonts w:cs="Guttman Drogolin" w:hint="cs"/>
          <w:rtl/>
          <w:lang w:bidi="he-IL"/>
        </w:rPr>
        <w:t>מחלוקת</w:t>
      </w:r>
      <w:r w:rsidRPr="00882F11">
        <w:rPr>
          <w:rFonts w:cs="Guttman Drogolin"/>
          <w:rtl/>
          <w:lang w:bidi="he-IL"/>
        </w:rPr>
        <w:t xml:space="preserve"> </w:t>
      </w:r>
      <w:r w:rsidRPr="00882F11">
        <w:rPr>
          <w:rFonts w:cs="Guttman Drogolin" w:hint="cs"/>
          <w:rtl/>
          <w:lang w:bidi="he-IL"/>
        </w:rPr>
        <w:t>בבשר</w:t>
      </w:r>
      <w:r w:rsidRPr="00882F11">
        <w:rPr>
          <w:rFonts w:cs="Guttman Drogolin"/>
          <w:rtl/>
          <w:lang w:bidi="he-IL"/>
        </w:rPr>
        <w:t xml:space="preserve"> </w:t>
      </w:r>
      <w:r w:rsidRPr="00882F11">
        <w:rPr>
          <w:rFonts w:cs="Guttman Drogolin" w:hint="cs"/>
          <w:rtl/>
          <w:lang w:bidi="he-IL"/>
        </w:rPr>
        <w:t>אווז</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החזה</w:t>
      </w:r>
      <w:r w:rsidRPr="00882F11">
        <w:rPr>
          <w:rFonts w:cs="Guttman Drogolin"/>
          <w:rtl/>
          <w:lang w:bidi="he-IL"/>
        </w:rPr>
        <w:t xml:space="preserve"> </w:t>
      </w:r>
      <w:r w:rsidRPr="00882F11">
        <w:rPr>
          <w:rFonts w:cs="Guttman Drogolin" w:hint="cs"/>
          <w:rtl/>
          <w:lang w:bidi="he-IL"/>
        </w:rPr>
        <w:t>באופן</w:t>
      </w:r>
      <w:r w:rsidRPr="00882F11">
        <w:rPr>
          <w:rFonts w:cs="Guttman Drogolin"/>
          <w:rtl/>
          <w:lang w:bidi="he-IL"/>
        </w:rPr>
        <w:t xml:space="preserve"> </w:t>
      </w:r>
      <w:r w:rsidRPr="00882F11">
        <w:rPr>
          <w:rFonts w:cs="Guttman Drogolin" w:hint="cs"/>
          <w:rtl/>
          <w:lang w:bidi="he-IL"/>
        </w:rPr>
        <w:t>שהסיר</w:t>
      </w:r>
      <w:r w:rsidRPr="00882F11">
        <w:rPr>
          <w:rFonts w:cs="Guttman Drogolin"/>
          <w:rtl/>
          <w:lang w:bidi="he-IL"/>
        </w:rPr>
        <w:t xml:space="preserve"> </w:t>
      </w:r>
      <w:r w:rsidRPr="00882F11">
        <w:rPr>
          <w:rFonts w:cs="Guttman Drogolin" w:hint="cs"/>
          <w:rtl/>
          <w:lang w:bidi="he-IL"/>
        </w:rPr>
        <w:t>העור</w:t>
      </w:r>
      <w:r w:rsidRPr="00882F11">
        <w:rPr>
          <w:rFonts w:cs="Guttman Drogolin"/>
          <w:rtl/>
          <w:lang w:bidi="he-IL"/>
        </w:rPr>
        <w:t xml:space="preserve"> </w:t>
      </w:r>
      <w:r w:rsidRPr="00882F11">
        <w:rPr>
          <w:rFonts w:cs="Guttman Drogolin" w:hint="cs"/>
          <w:rtl/>
          <w:lang w:bidi="he-IL"/>
        </w:rPr>
        <w:t>ע</w:t>
      </w:r>
      <w:r w:rsidRPr="00882F11">
        <w:rPr>
          <w:rFonts w:cs="Guttman Drogolin"/>
          <w:rtl/>
          <w:lang w:bidi="he-IL"/>
        </w:rPr>
        <w:t>"</w:t>
      </w:r>
      <w:r w:rsidRPr="00882F11">
        <w:rPr>
          <w:rFonts w:cs="Guttman Drogolin" w:hint="cs"/>
          <w:rtl/>
          <w:lang w:bidi="he-IL"/>
        </w:rPr>
        <w:t>ש</w:t>
      </w:r>
      <w:r w:rsidRPr="00882F11">
        <w:rPr>
          <w:rFonts w:cs="Guttman Drogolin"/>
          <w:rtl/>
          <w:lang w:bidi="he-IL"/>
        </w:rPr>
        <w:t xml:space="preserve"> </w:t>
      </w:r>
      <w:r w:rsidRPr="00882F11">
        <w:rPr>
          <w:rFonts w:cs="Guttman Drogolin" w:hint="cs"/>
          <w:rtl/>
          <w:lang w:bidi="he-IL"/>
        </w:rPr>
        <w:t>בלשונם</w:t>
      </w:r>
      <w:r w:rsidRPr="00882F11">
        <w:rPr>
          <w:rFonts w:cs="Guttman Drogolin"/>
          <w:rtl/>
          <w:lang w:bidi="he-IL"/>
        </w:rPr>
        <w:t xml:space="preserve"> </w:t>
      </w:r>
      <w:r w:rsidRPr="00882F11">
        <w:rPr>
          <w:rFonts w:cs="Guttman Drogolin" w:hint="cs"/>
          <w:rtl/>
          <w:lang w:bidi="he-IL"/>
        </w:rPr>
        <w:t>בפוסקים</w:t>
      </w:r>
      <w:r w:rsidRPr="00882F11">
        <w:rPr>
          <w:rFonts w:cs="Guttman Drogolin"/>
          <w:rtl/>
          <w:lang w:bidi="he-IL"/>
        </w:rPr>
        <w:t xml:space="preserve"> </w:t>
      </w:r>
      <w:r w:rsidRPr="00882F11">
        <w:rPr>
          <w:rFonts w:cs="Guttman Drogolin" w:hint="cs"/>
          <w:rtl/>
          <w:lang w:bidi="he-IL"/>
        </w:rPr>
        <w:t>בטעם</w:t>
      </w:r>
      <w:r w:rsidRPr="00882F11">
        <w:rPr>
          <w:rFonts w:cs="Guttman Drogolin"/>
          <w:rtl/>
          <w:lang w:bidi="he-IL"/>
        </w:rPr>
        <w:t xml:space="preserve"> </w:t>
      </w:r>
      <w:r w:rsidRPr="00882F11">
        <w:rPr>
          <w:rFonts w:cs="Guttman Drogolin" w:hint="cs"/>
          <w:rtl/>
          <w:lang w:bidi="he-IL"/>
        </w:rPr>
        <w:t>להקל</w:t>
      </w:r>
      <w:r w:rsidRPr="00882F11">
        <w:rPr>
          <w:rFonts w:cs="Guttman Drogolin"/>
          <w:rtl/>
          <w:lang w:bidi="he-IL"/>
        </w:rPr>
        <w:t xml:space="preserve"> </w:t>
      </w:r>
      <w:r w:rsidRPr="00882F11">
        <w:rPr>
          <w:rFonts w:cs="Guttman Drogolin" w:hint="cs"/>
          <w:rtl/>
          <w:lang w:bidi="he-IL"/>
        </w:rPr>
        <w:t>או</w:t>
      </w:r>
      <w:r w:rsidRPr="00882F11">
        <w:rPr>
          <w:rFonts w:cs="Guttman Drogolin"/>
          <w:rtl/>
          <w:lang w:bidi="he-IL"/>
        </w:rPr>
        <w:t xml:space="preserve"> </w:t>
      </w:r>
      <w:r w:rsidRPr="00882F11">
        <w:rPr>
          <w:rFonts w:cs="Guttman Drogolin" w:hint="cs"/>
          <w:rtl/>
          <w:lang w:bidi="he-IL"/>
        </w:rPr>
        <w:t>להחמיר</w:t>
      </w:r>
      <w:r w:rsidRPr="00882F11">
        <w:rPr>
          <w:rFonts w:cs="Guttman Drogolin"/>
          <w:rtl/>
          <w:lang w:bidi="he-IL"/>
        </w:rPr>
        <w:t xml:space="preserve"> </w:t>
      </w:r>
      <w:r w:rsidRPr="00882F11">
        <w:rPr>
          <w:rFonts w:cs="Guttman Drogolin" w:hint="cs"/>
          <w:rtl/>
          <w:lang w:bidi="he-IL"/>
        </w:rPr>
        <w:t>בזה</w:t>
      </w:r>
      <w:r w:rsidRPr="00882F11">
        <w:rPr>
          <w:rFonts w:cs="Guttman Drogolin"/>
          <w:rtl/>
          <w:lang w:bidi="he-IL"/>
        </w:rPr>
        <w:t>.</w:t>
      </w:r>
      <w:r w:rsidRPr="00882F11">
        <w:rPr>
          <w:rFonts w:cs="Guttman Drogolin" w:hint="cs"/>
          <w:rtl/>
          <w:lang w:bidi="he-IL"/>
        </w:rPr>
        <w:t xml:space="preserve"> והט</w:t>
      </w:r>
      <w:r w:rsidRPr="00882F11">
        <w:rPr>
          <w:rFonts w:cs="Guttman Drogolin"/>
          <w:rtl/>
          <w:lang w:bidi="he-IL"/>
        </w:rPr>
        <w:t>"</w:t>
      </w:r>
      <w:r w:rsidRPr="00882F11">
        <w:rPr>
          <w:rFonts w:cs="Guttman Drogolin" w:hint="cs"/>
          <w:rtl/>
          <w:lang w:bidi="he-IL"/>
        </w:rPr>
        <w:t>ז</w:t>
      </w:r>
      <w:r w:rsidRPr="00882F11">
        <w:rPr>
          <w:rFonts w:cs="Guttman Drogolin"/>
          <w:rtl/>
          <w:lang w:bidi="he-IL"/>
        </w:rPr>
        <w:t xml:space="preserve"> </w:t>
      </w:r>
      <w:r w:rsidRPr="00882F11">
        <w:rPr>
          <w:rFonts w:cs="Guttman Drogolin" w:hint="cs"/>
          <w:rtl/>
          <w:lang w:bidi="he-IL"/>
        </w:rPr>
        <w:t>תמה</w:t>
      </w:r>
      <w:r w:rsidRPr="00882F11">
        <w:rPr>
          <w:rFonts w:cs="Guttman Drogolin"/>
          <w:rtl/>
          <w:lang w:bidi="he-IL"/>
        </w:rPr>
        <w:t xml:space="preserve"> </w:t>
      </w:r>
      <w:r w:rsidRPr="00882F11">
        <w:rPr>
          <w:rFonts w:cs="Guttman Drogolin" w:hint="cs"/>
          <w:rtl/>
          <w:lang w:bidi="he-IL"/>
        </w:rPr>
        <w:t>כיון</w:t>
      </w:r>
      <w:r w:rsidRPr="00882F11">
        <w:rPr>
          <w:rFonts w:cs="Guttman Drogolin"/>
          <w:rtl/>
          <w:lang w:bidi="he-IL"/>
        </w:rPr>
        <w:t xml:space="preserve"> </w:t>
      </w:r>
      <w:r w:rsidRPr="00882F11">
        <w:rPr>
          <w:rFonts w:cs="Guttman Drogolin" w:hint="cs"/>
          <w:rtl/>
          <w:lang w:bidi="he-IL"/>
        </w:rPr>
        <w:t>שאחרי</w:t>
      </w:r>
      <w:r w:rsidRPr="00882F11">
        <w:rPr>
          <w:rFonts w:cs="Guttman Drogolin"/>
          <w:rtl/>
          <w:lang w:bidi="he-IL"/>
        </w:rPr>
        <w:t xml:space="preserve"> </w:t>
      </w:r>
      <w:r w:rsidRPr="00882F11">
        <w:rPr>
          <w:rFonts w:cs="Guttman Drogolin" w:hint="cs"/>
          <w:rtl/>
          <w:lang w:bidi="he-IL"/>
        </w:rPr>
        <w:t>שהסיר</w:t>
      </w:r>
      <w:r w:rsidRPr="00882F11">
        <w:rPr>
          <w:rFonts w:cs="Guttman Drogolin"/>
          <w:rtl/>
          <w:lang w:bidi="he-IL"/>
        </w:rPr>
        <w:t xml:space="preserve"> </w:t>
      </w:r>
      <w:r w:rsidRPr="00882F11">
        <w:rPr>
          <w:rFonts w:cs="Guttman Drogolin" w:hint="cs"/>
          <w:rtl/>
          <w:lang w:bidi="he-IL"/>
        </w:rPr>
        <w:t>עדיין</w:t>
      </w:r>
      <w:r w:rsidRPr="00882F11">
        <w:rPr>
          <w:rFonts w:cs="Guttman Drogolin"/>
          <w:rtl/>
          <w:lang w:bidi="he-IL"/>
        </w:rPr>
        <w:t xml:space="preserve"> </w:t>
      </w:r>
      <w:r w:rsidRPr="00882F11">
        <w:rPr>
          <w:rFonts w:cs="Guttman Drogolin" w:hint="cs"/>
          <w:rtl/>
          <w:lang w:bidi="he-IL"/>
        </w:rPr>
        <w:t>ראוי</w:t>
      </w:r>
      <w:r w:rsidRPr="00882F11">
        <w:rPr>
          <w:rFonts w:cs="Guttman Drogolin"/>
          <w:rtl/>
          <w:lang w:bidi="he-IL"/>
        </w:rPr>
        <w:t xml:space="preserve">' </w:t>
      </w:r>
      <w:r w:rsidRPr="00882F11">
        <w:rPr>
          <w:rFonts w:cs="Guttman Drogolin" w:hint="cs"/>
          <w:rtl/>
          <w:lang w:bidi="he-IL"/>
        </w:rPr>
        <w:t>להתכבד</w:t>
      </w:r>
      <w:r w:rsidRPr="00882F11">
        <w:rPr>
          <w:rFonts w:cs="Guttman Drogolin"/>
          <w:rtl/>
          <w:lang w:bidi="he-IL"/>
        </w:rPr>
        <w:t xml:space="preserve"> </w:t>
      </w:r>
      <w:r w:rsidRPr="00882F11">
        <w:rPr>
          <w:rFonts w:cs="Guttman Drogolin" w:hint="cs"/>
          <w:rtl/>
          <w:lang w:bidi="he-IL"/>
        </w:rPr>
        <w:t>למה</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יהא</w:t>
      </w:r>
      <w:r w:rsidRPr="00882F11">
        <w:rPr>
          <w:rFonts w:cs="Guttman Drogolin"/>
          <w:rtl/>
          <w:lang w:bidi="he-IL"/>
        </w:rPr>
        <w:t xml:space="preserve"> </w:t>
      </w:r>
      <w:r w:rsidR="00131C86" w:rsidRPr="00882F11">
        <w:rPr>
          <w:rFonts w:cs="Guttman Drogolin" w:hint="cs"/>
          <w:rtl/>
          <w:lang w:bidi="he-IL"/>
        </w:rPr>
        <w:t>עד</w:t>
      </w:r>
      <w:r w:rsidRPr="00882F11">
        <w:rPr>
          <w:rFonts w:cs="Guttman Drogolin" w:hint="cs"/>
          <w:rtl/>
          <w:lang w:bidi="he-IL"/>
        </w:rPr>
        <w:t>יין</w:t>
      </w:r>
      <w:r w:rsidRPr="00882F11">
        <w:rPr>
          <w:rFonts w:cs="Guttman Drogolin"/>
          <w:rtl/>
          <w:lang w:bidi="he-IL"/>
        </w:rPr>
        <w:t xml:space="preserve"> </w:t>
      </w:r>
      <w:r w:rsidRPr="00882F11">
        <w:rPr>
          <w:rFonts w:cs="Guttman Drogolin" w:hint="cs"/>
          <w:rtl/>
          <w:lang w:bidi="he-IL"/>
        </w:rPr>
        <w:t>ראוי</w:t>
      </w:r>
      <w:r w:rsidRPr="00882F11">
        <w:rPr>
          <w:rFonts w:cs="Guttman Drogolin"/>
          <w:rtl/>
          <w:lang w:bidi="he-IL"/>
        </w:rPr>
        <w:t xml:space="preserve">' </w:t>
      </w:r>
      <w:r w:rsidRPr="00882F11">
        <w:rPr>
          <w:rFonts w:cs="Guttman Drogolin" w:hint="cs"/>
          <w:rtl/>
          <w:lang w:bidi="he-IL"/>
        </w:rPr>
        <w:t>להתכבד</w:t>
      </w:r>
      <w:r w:rsidRPr="00882F11">
        <w:rPr>
          <w:rFonts w:cs="Guttman Drogolin"/>
          <w:rtl/>
          <w:lang w:bidi="he-IL"/>
        </w:rPr>
        <w:t xml:space="preserve">. </w:t>
      </w:r>
      <w:r w:rsidRPr="00882F11">
        <w:rPr>
          <w:rFonts w:cs="Guttman Drogolin" w:hint="cs"/>
          <w:rtl/>
          <w:lang w:bidi="he-IL"/>
        </w:rPr>
        <w:t>ויתכן</w:t>
      </w:r>
      <w:r w:rsidRPr="00882F11">
        <w:rPr>
          <w:rFonts w:cs="Guttman Drogolin"/>
          <w:rtl/>
          <w:lang w:bidi="he-IL"/>
        </w:rPr>
        <w:t xml:space="preserve"> </w:t>
      </w:r>
      <w:r w:rsidRPr="00882F11">
        <w:rPr>
          <w:rFonts w:cs="Guttman Drogolin" w:hint="cs"/>
          <w:rtl/>
          <w:lang w:bidi="he-IL"/>
        </w:rPr>
        <w:t>שלנקוה</w:t>
      </w:r>
      <w:r w:rsidRPr="00882F11">
        <w:rPr>
          <w:rFonts w:cs="Guttman Drogolin"/>
          <w:rtl/>
          <w:lang w:bidi="he-IL"/>
        </w:rPr>
        <w:t>"</w:t>
      </w:r>
      <w:r w:rsidRPr="00882F11">
        <w:rPr>
          <w:rFonts w:cs="Guttman Drogolin" w:hint="cs"/>
          <w:rtl/>
          <w:lang w:bidi="he-IL"/>
        </w:rPr>
        <w:t>כ</w:t>
      </w:r>
      <w:r w:rsidRPr="00882F11">
        <w:rPr>
          <w:rFonts w:cs="Guttman Drogolin"/>
          <w:rtl/>
          <w:lang w:bidi="he-IL"/>
        </w:rPr>
        <w:t xml:space="preserve"> </w:t>
      </w:r>
      <w:r w:rsidRPr="00882F11">
        <w:rPr>
          <w:rFonts w:cs="Guttman Drogolin" w:hint="cs"/>
          <w:rtl/>
          <w:lang w:bidi="he-IL"/>
        </w:rPr>
        <w:t>נאבד</w:t>
      </w:r>
      <w:r w:rsidRPr="00882F11">
        <w:rPr>
          <w:rFonts w:cs="Guttman Drogolin"/>
          <w:rtl/>
          <w:lang w:bidi="he-IL"/>
        </w:rPr>
        <w:t xml:space="preserve"> </w:t>
      </w:r>
      <w:r w:rsidRPr="00882F11">
        <w:rPr>
          <w:rFonts w:cs="Guttman Drogolin" w:hint="cs"/>
          <w:rtl/>
          <w:lang w:bidi="he-IL"/>
        </w:rPr>
        <w:t>ממנו</w:t>
      </w:r>
      <w:r w:rsidRPr="00882F11">
        <w:rPr>
          <w:rFonts w:cs="Guttman Drogolin"/>
          <w:rtl/>
          <w:lang w:bidi="he-IL"/>
        </w:rPr>
        <w:t xml:space="preserve"> </w:t>
      </w:r>
      <w:r w:rsidRPr="00882F11">
        <w:rPr>
          <w:rFonts w:cs="Guttman Drogolin" w:hint="cs"/>
          <w:rtl/>
          <w:lang w:bidi="he-IL"/>
        </w:rPr>
        <w:t>שם</w:t>
      </w:r>
      <w:r w:rsidRPr="00882F11">
        <w:rPr>
          <w:rFonts w:cs="Guttman Drogolin"/>
          <w:rtl/>
          <w:lang w:bidi="he-IL"/>
        </w:rPr>
        <w:t xml:space="preserve"> </w:t>
      </w:r>
      <w:r w:rsidRPr="00882F11">
        <w:rPr>
          <w:rFonts w:cs="Guttman Drogolin" w:hint="cs"/>
          <w:rtl/>
          <w:lang w:bidi="he-IL"/>
        </w:rPr>
        <w:t>חתיכה</w:t>
      </w:r>
      <w:r w:rsidRPr="00882F11">
        <w:rPr>
          <w:rFonts w:cs="Guttman Drogolin"/>
          <w:rtl/>
          <w:lang w:bidi="he-IL"/>
        </w:rPr>
        <w:t xml:space="preserve"> </w:t>
      </w:r>
      <w:r w:rsidRPr="00882F11">
        <w:rPr>
          <w:rFonts w:cs="Guttman Drogolin" w:hint="cs"/>
          <w:rtl/>
          <w:lang w:bidi="he-IL"/>
        </w:rPr>
        <w:t>ולכן</w:t>
      </w:r>
      <w:r w:rsidRPr="00882F11">
        <w:rPr>
          <w:rFonts w:cs="Guttman Drogolin"/>
          <w:rtl/>
          <w:lang w:bidi="he-IL"/>
        </w:rPr>
        <w:t xml:space="preserve"> </w:t>
      </w:r>
      <w:r w:rsidRPr="00882F11">
        <w:rPr>
          <w:rFonts w:cs="Guttman Drogolin" w:hint="cs"/>
          <w:rtl/>
          <w:lang w:bidi="he-IL"/>
        </w:rPr>
        <w:t>אע</w:t>
      </w:r>
      <w:r w:rsidRPr="00882F11">
        <w:rPr>
          <w:rFonts w:cs="Guttman Drogolin"/>
          <w:rtl/>
          <w:lang w:bidi="he-IL"/>
        </w:rPr>
        <w:t>"</w:t>
      </w:r>
      <w:r w:rsidRPr="00882F11">
        <w:rPr>
          <w:rFonts w:cs="Guttman Drogolin" w:hint="cs"/>
          <w:rtl/>
          <w:lang w:bidi="he-IL"/>
        </w:rPr>
        <w:t>ג</w:t>
      </w:r>
      <w:r w:rsidRPr="00882F11">
        <w:rPr>
          <w:rFonts w:cs="Guttman Drogolin"/>
          <w:rtl/>
          <w:lang w:bidi="he-IL"/>
        </w:rPr>
        <w:t xml:space="preserve"> </w:t>
      </w:r>
      <w:r w:rsidRPr="00882F11">
        <w:rPr>
          <w:rFonts w:cs="Guttman Drogolin" w:hint="cs"/>
          <w:rtl/>
          <w:lang w:bidi="he-IL"/>
        </w:rPr>
        <w:t>שראוי</w:t>
      </w:r>
      <w:r w:rsidRPr="00882F11">
        <w:rPr>
          <w:rFonts w:cs="Guttman Drogolin"/>
          <w:rtl/>
          <w:lang w:bidi="he-IL"/>
        </w:rPr>
        <w:t xml:space="preserve">' </w:t>
      </w:r>
      <w:r w:rsidRPr="00882F11">
        <w:rPr>
          <w:rFonts w:cs="Guttman Drogolin" w:hint="cs"/>
          <w:rtl/>
          <w:lang w:bidi="he-IL"/>
        </w:rPr>
        <w:t>להתכבד</w:t>
      </w:r>
      <w:r w:rsidRPr="00882F11">
        <w:rPr>
          <w:rFonts w:cs="Guttman Drogolin"/>
          <w:rtl/>
          <w:lang w:bidi="he-IL"/>
        </w:rPr>
        <w:t xml:space="preserve"> </w:t>
      </w:r>
      <w:r w:rsidRPr="00882F11">
        <w:rPr>
          <w:rFonts w:cs="Guttman Drogolin" w:hint="cs"/>
          <w:rtl/>
          <w:lang w:bidi="he-IL"/>
        </w:rPr>
        <w:t>הרי</w:t>
      </w:r>
      <w:r w:rsidRPr="00882F11">
        <w:rPr>
          <w:rFonts w:cs="Guttman Drogolin"/>
          <w:rtl/>
          <w:lang w:bidi="he-IL"/>
        </w:rPr>
        <w:t xml:space="preserve"> </w:t>
      </w:r>
      <w:r w:rsidRPr="00882F11">
        <w:rPr>
          <w:rFonts w:cs="Guttman Drogolin" w:hint="cs"/>
          <w:rtl/>
          <w:lang w:bidi="he-IL"/>
        </w:rPr>
        <w:t>הוא</w:t>
      </w:r>
      <w:r w:rsidRPr="00882F11">
        <w:rPr>
          <w:rFonts w:cs="Guttman Drogolin"/>
          <w:rtl/>
          <w:lang w:bidi="he-IL"/>
        </w:rPr>
        <w:t xml:space="preserve"> </w:t>
      </w:r>
      <w:r w:rsidRPr="00882F11">
        <w:rPr>
          <w:rFonts w:cs="Guttman Drogolin" w:hint="cs"/>
          <w:rtl/>
          <w:lang w:bidi="he-IL"/>
        </w:rPr>
        <w:t>בטל</w:t>
      </w:r>
      <w:r w:rsidRPr="00882F11">
        <w:rPr>
          <w:rFonts w:cs="Guttman Drogolin"/>
          <w:rtl/>
          <w:lang w:bidi="he-IL"/>
        </w:rPr>
        <w:t>.</w:t>
      </w:r>
    </w:p>
    <w:p w:rsidR="00634077" w:rsidRPr="00882F11" w:rsidRDefault="00634077" w:rsidP="00634077">
      <w:pPr>
        <w:pStyle w:val="Heading1"/>
        <w:bidi/>
        <w:spacing w:before="0" w:line="360" w:lineRule="auto"/>
        <w:jc w:val="center"/>
        <w:rPr>
          <w:rFonts w:cs="Guttman Drogolin"/>
          <w:color w:val="auto"/>
          <w:sz w:val="24"/>
          <w:szCs w:val="24"/>
          <w:u w:val="single"/>
          <w:rtl/>
          <w:lang w:bidi="he-IL"/>
        </w:rPr>
      </w:pPr>
      <w:bookmarkStart w:id="345" w:name="_Toc496175596"/>
      <w:r w:rsidRPr="00882F11">
        <w:rPr>
          <w:rFonts w:cs="Guttman Drogolin" w:hint="cs"/>
          <w:color w:val="auto"/>
          <w:sz w:val="24"/>
          <w:szCs w:val="24"/>
          <w:u w:val="single"/>
          <w:rtl/>
          <w:lang w:bidi="he-IL"/>
        </w:rPr>
        <w:t>סי' ק"א סעיף</w:t>
      </w:r>
      <w:r w:rsidRPr="00882F11">
        <w:rPr>
          <w:rFonts w:cs="Guttman Drogolin"/>
          <w:color w:val="auto"/>
          <w:sz w:val="24"/>
          <w:szCs w:val="24"/>
          <w:u w:val="single"/>
          <w:rtl/>
          <w:lang w:bidi="he-IL"/>
        </w:rPr>
        <w:t xml:space="preserve"> </w:t>
      </w:r>
      <w:r w:rsidRPr="00882F11">
        <w:rPr>
          <w:rFonts w:cs="Guttman Drogolin" w:hint="cs"/>
          <w:color w:val="auto"/>
          <w:sz w:val="24"/>
          <w:szCs w:val="24"/>
          <w:u w:val="single"/>
          <w:rtl/>
          <w:lang w:bidi="he-IL"/>
        </w:rPr>
        <w:t>ו</w:t>
      </w:r>
      <w:r w:rsidRPr="00882F11">
        <w:rPr>
          <w:rFonts w:cs="Guttman Drogolin"/>
          <w:color w:val="auto"/>
          <w:sz w:val="24"/>
          <w:szCs w:val="24"/>
          <w:u w:val="single"/>
          <w:rtl/>
          <w:lang w:bidi="he-IL"/>
        </w:rPr>
        <w:t>'</w:t>
      </w:r>
      <w:bookmarkEnd w:id="345"/>
    </w:p>
    <w:p w:rsidR="00634077" w:rsidRPr="00882F11" w:rsidRDefault="00634077" w:rsidP="00634077">
      <w:pPr>
        <w:tabs>
          <w:tab w:val="right" w:pos="7497"/>
        </w:tabs>
        <w:bidi/>
        <w:jc w:val="both"/>
        <w:rPr>
          <w:rFonts w:cs="Guttman Drogolin"/>
          <w:rtl/>
          <w:lang w:bidi="he-IL"/>
        </w:rPr>
      </w:pPr>
      <w:r w:rsidRPr="00882F11">
        <w:rPr>
          <w:rFonts w:cs="Guttman Drogolin" w:hint="cs"/>
          <w:rtl/>
          <w:lang w:bidi="he-IL"/>
        </w:rPr>
        <w:t xml:space="preserve">בסעיף ו' מבואר שלא נאמרו החומרות של ברי' וחהר"ל אלא כשהם שלמים ולא כשהם חתוכים. אמנם ראוי' להדגיש שיש חילוק בין ברי' לחהר"ל בדין זה. שבברי' אפילו נחתך רק קצת ממנו כבר נאבד ממנו שם ברי' משא"כ בחהר"ל. ונראה שיש חילוק ביניהם גם הטעם להקל. שבחהר"ל הוא דין פשוט, דעד כמה שנחתך כבר אינה ראוי' להתכבד, אבל בברי' יכול להיות שכל הברי' מעורב בתערובת, אבל כיון שאינו שלם כבר </w:t>
      </w:r>
      <w:r w:rsidRPr="00882F11">
        <w:rPr>
          <w:rFonts w:cs="Guttman Drogolin" w:hint="cs"/>
          <w:rtl/>
          <w:lang w:bidi="he-IL"/>
        </w:rPr>
        <w:lastRenderedPageBreak/>
        <w:t>נאבד ממנו שם ברי'. וע' במ"ב סי' ר"ח ס"ק י' שדן בהתפרפר ע"י בישול אם נחשב ברי' או לא.  וא"כ הלשון ל נתרסקה או נאבדה צורתן של השו"ע לא נצרך אלא בחהר"ל דהא בבברי' אפילו בפחות מזה בטיל.</w:t>
      </w:r>
    </w:p>
    <w:p w:rsidR="00634077" w:rsidRPr="00882F11" w:rsidRDefault="00634077" w:rsidP="00634077">
      <w:pPr>
        <w:tabs>
          <w:tab w:val="right" w:pos="7497"/>
        </w:tabs>
        <w:bidi/>
        <w:jc w:val="both"/>
        <w:rPr>
          <w:rFonts w:cs="Guttman Drogolin"/>
          <w:rtl/>
          <w:lang w:bidi="he-IL"/>
        </w:rPr>
      </w:pPr>
      <w:r w:rsidRPr="00882F11">
        <w:rPr>
          <w:rFonts w:cs="Guttman Drogolin" w:hint="cs"/>
          <w:rtl/>
          <w:lang w:bidi="he-IL"/>
        </w:rPr>
        <w:t xml:space="preserve">ולכאורה יש לחלק ביניהם נמי בדין </w:t>
      </w:r>
      <w:r w:rsidR="00530B4B" w:rsidRPr="00882F11">
        <w:rPr>
          <w:rFonts w:cs="Guttman Drogolin" w:hint="cs"/>
          <w:rtl/>
          <w:lang w:bidi="he-IL"/>
        </w:rPr>
        <w:t xml:space="preserve">נסרחה, שבחהר"ל דנו אם נסרחה עדיין חשוב חהר"ל, אבל בבברי' לכאורה שפיר י"ל דעדיין ברי היא. והוא משום החילוק ביניהם הנ"ל. שו"ר כה"ג בפר"ח ס"ק י"ט. </w:t>
      </w:r>
    </w:p>
    <w:p w:rsidR="00150C33" w:rsidRPr="00882F11" w:rsidRDefault="00150C33" w:rsidP="00150C33">
      <w:pPr>
        <w:tabs>
          <w:tab w:val="right" w:pos="7497"/>
        </w:tabs>
        <w:bidi/>
        <w:jc w:val="both"/>
        <w:rPr>
          <w:rFonts w:cs="Guttman Drogolin"/>
          <w:rtl/>
          <w:lang w:bidi="he-IL"/>
        </w:rPr>
      </w:pPr>
    </w:p>
    <w:p w:rsidR="00150C33" w:rsidRPr="00882F11" w:rsidRDefault="00150C33" w:rsidP="00150C33">
      <w:pPr>
        <w:tabs>
          <w:tab w:val="right" w:pos="7497"/>
        </w:tabs>
        <w:bidi/>
        <w:jc w:val="both"/>
        <w:rPr>
          <w:rFonts w:cs="Guttman Drogolin"/>
          <w:rtl/>
          <w:lang w:bidi="he-IL"/>
        </w:rPr>
        <w:sectPr w:rsidR="00150C33" w:rsidRPr="00882F11" w:rsidSect="00891DE2">
          <w:type w:val="continuous"/>
          <w:pgSz w:w="11907" w:h="16839" w:code="9"/>
          <w:pgMar w:top="1440" w:right="1440" w:bottom="1440" w:left="1440" w:header="720" w:footer="720" w:gutter="0"/>
          <w:cols w:num="2" w:space="720"/>
          <w:bidi/>
          <w:docGrid w:linePitch="360"/>
        </w:sectPr>
      </w:pPr>
    </w:p>
    <w:p w:rsidR="00C91E1E" w:rsidRPr="00891DE2" w:rsidRDefault="00C91E1E" w:rsidP="00C91E1E">
      <w:pPr>
        <w:keepNext/>
        <w:tabs>
          <w:tab w:val="left" w:pos="3818"/>
          <w:tab w:val="center" w:pos="4680"/>
        </w:tabs>
        <w:bidi/>
        <w:jc w:val="center"/>
        <w:rPr>
          <w:rFonts w:cs="Guttman Drogolin"/>
          <w:b/>
          <w:bCs/>
          <w:sz w:val="48"/>
          <w:szCs w:val="48"/>
          <w:rtl/>
          <w:lang w:bidi="he-IL"/>
        </w:rPr>
      </w:pPr>
      <w:r w:rsidRPr="00891DE2">
        <w:rPr>
          <w:rFonts w:cs="Guttman Drogolin" w:hint="cs"/>
          <w:b/>
          <w:bCs/>
          <w:sz w:val="48"/>
          <w:szCs w:val="48"/>
          <w:rtl/>
          <w:lang w:bidi="he-IL"/>
        </w:rPr>
        <w:lastRenderedPageBreak/>
        <w:t>שיעור פ"ו</w:t>
      </w:r>
    </w:p>
    <w:p w:rsidR="00891DE2" w:rsidRDefault="00891DE2" w:rsidP="00C91E1E">
      <w:pPr>
        <w:pStyle w:val="Heading1"/>
        <w:bidi/>
        <w:spacing w:before="0" w:line="360" w:lineRule="auto"/>
        <w:jc w:val="center"/>
        <w:rPr>
          <w:rFonts w:cs="Guttman Drogolin"/>
          <w:color w:val="auto"/>
          <w:sz w:val="24"/>
          <w:szCs w:val="24"/>
          <w:u w:val="single"/>
          <w:rtl/>
          <w:lang w:bidi="he-IL"/>
        </w:rPr>
        <w:sectPr w:rsidR="00891DE2" w:rsidSect="00891DE2">
          <w:headerReference w:type="default" r:id="rId66"/>
          <w:pgSz w:w="11907" w:h="16839" w:code="9"/>
          <w:pgMar w:top="1440" w:right="1440" w:bottom="1440" w:left="1440" w:header="720" w:footer="720" w:gutter="0"/>
          <w:cols w:space="720"/>
          <w:bidi/>
          <w:docGrid w:linePitch="360"/>
        </w:sectPr>
      </w:pPr>
    </w:p>
    <w:p w:rsidR="00C91E1E" w:rsidRPr="00882F11" w:rsidRDefault="00C91E1E" w:rsidP="00C91E1E">
      <w:pPr>
        <w:pStyle w:val="Heading1"/>
        <w:bidi/>
        <w:spacing w:before="0" w:line="360" w:lineRule="auto"/>
        <w:jc w:val="center"/>
        <w:rPr>
          <w:rFonts w:cs="Guttman Drogolin"/>
          <w:color w:val="auto"/>
          <w:sz w:val="24"/>
          <w:szCs w:val="24"/>
          <w:u w:val="single"/>
          <w:rtl/>
          <w:lang w:bidi="he-IL"/>
        </w:rPr>
      </w:pPr>
      <w:bookmarkStart w:id="346" w:name="_Toc496175597"/>
      <w:r w:rsidRPr="00882F11">
        <w:rPr>
          <w:rFonts w:cs="Guttman Drogolin" w:hint="cs"/>
          <w:color w:val="auto"/>
          <w:sz w:val="24"/>
          <w:szCs w:val="24"/>
          <w:u w:val="single"/>
          <w:rtl/>
          <w:lang w:bidi="he-IL"/>
        </w:rPr>
        <w:lastRenderedPageBreak/>
        <w:t>הטעם שדבר שיש לו מתירין לא בטל</w:t>
      </w:r>
      <w:bookmarkEnd w:id="346"/>
    </w:p>
    <w:p w:rsidR="00D7625B" w:rsidRPr="00882F11" w:rsidRDefault="0029471F" w:rsidP="00150C33">
      <w:pPr>
        <w:tabs>
          <w:tab w:val="right" w:pos="7497"/>
        </w:tabs>
        <w:bidi/>
        <w:jc w:val="both"/>
        <w:rPr>
          <w:rFonts w:cs="Guttman Drogolin"/>
          <w:rtl/>
          <w:lang w:bidi="he-IL"/>
        </w:rPr>
      </w:pPr>
      <w:r>
        <w:rPr>
          <w:rFonts w:cs="Guttman Drogolin"/>
          <w:rtl/>
          <w:lang w:bidi="he-IL"/>
        </w:rPr>
        <w:fldChar w:fldCharType="begin"/>
      </w:r>
      <w:r>
        <w:instrText xml:space="preserve"> XE "</w:instrText>
      </w:r>
      <w:r w:rsidRPr="000F41BE">
        <w:rPr>
          <w:rFonts w:hint="cs"/>
          <w:rtl/>
          <w:lang w:bidi="he-IL"/>
        </w:rPr>
        <w:instrText>דבר שיש לו מתירין</w:instrText>
      </w:r>
      <w:r w:rsidRPr="000F41BE">
        <w:rPr>
          <w:rtl/>
        </w:rPr>
        <w:instrText>:</w:instrText>
      </w:r>
      <w:r w:rsidRPr="000F41BE">
        <w:rPr>
          <w:rFonts w:hint="cs"/>
          <w:rtl/>
          <w:lang w:bidi="he-IL"/>
        </w:rPr>
        <w:instrText>טעם חומרתה</w:instrText>
      </w:r>
      <w:r>
        <w:instrText xml:space="preserve">" </w:instrText>
      </w:r>
      <w:r>
        <w:rPr>
          <w:rFonts w:cs="Guttman Drogolin"/>
          <w:rtl/>
          <w:lang w:bidi="he-IL"/>
        </w:rPr>
        <w:fldChar w:fldCharType="end"/>
      </w:r>
      <w:r w:rsidR="00C91E1E" w:rsidRPr="00882F11">
        <w:rPr>
          <w:rFonts w:cs="Guttman Drogolin" w:hint="cs"/>
          <w:rtl/>
          <w:lang w:bidi="he-IL"/>
        </w:rPr>
        <w:t>מן הדברים המפורסמים הוא שיש ב' טעמים בראשונים למה דבר שי"ל מתירין לא בטל. בפירש"י במס' ביצה דדף ג' ע"ב ד"ה אפילו באלף פי' "ואף</w:t>
      </w:r>
      <w:r w:rsidR="00C91E1E" w:rsidRPr="00882F11">
        <w:rPr>
          <w:rFonts w:cs="Guttman Drogolin"/>
          <w:rtl/>
          <w:lang w:bidi="he-IL"/>
        </w:rPr>
        <w:t xml:space="preserve"> </w:t>
      </w:r>
      <w:r w:rsidR="00C91E1E" w:rsidRPr="00882F11">
        <w:rPr>
          <w:rFonts w:cs="Guttman Drogolin" w:hint="cs"/>
          <w:rtl/>
          <w:lang w:bidi="he-IL"/>
        </w:rPr>
        <w:t>על</w:t>
      </w:r>
      <w:r w:rsidR="00C91E1E" w:rsidRPr="00882F11">
        <w:rPr>
          <w:rFonts w:cs="Guttman Drogolin"/>
          <w:rtl/>
          <w:lang w:bidi="he-IL"/>
        </w:rPr>
        <w:t xml:space="preserve"> </w:t>
      </w:r>
      <w:r w:rsidR="00C91E1E" w:rsidRPr="00882F11">
        <w:rPr>
          <w:rFonts w:cs="Guttman Drogolin" w:hint="cs"/>
          <w:rtl/>
          <w:lang w:bidi="he-IL"/>
        </w:rPr>
        <w:t>גב</w:t>
      </w:r>
      <w:r w:rsidR="00C91E1E" w:rsidRPr="00882F11">
        <w:rPr>
          <w:rFonts w:cs="Guttman Drogolin"/>
          <w:rtl/>
          <w:lang w:bidi="he-IL"/>
        </w:rPr>
        <w:t xml:space="preserve"> </w:t>
      </w:r>
      <w:r w:rsidR="00C91E1E" w:rsidRPr="00882F11">
        <w:rPr>
          <w:rFonts w:cs="Guttman Drogolin" w:hint="cs"/>
          <w:rtl/>
          <w:lang w:bidi="he-IL"/>
        </w:rPr>
        <w:t>דמדאורייתא</w:t>
      </w:r>
      <w:r w:rsidR="00C91E1E" w:rsidRPr="00882F11">
        <w:rPr>
          <w:rFonts w:cs="Guttman Drogolin"/>
          <w:rtl/>
          <w:lang w:bidi="he-IL"/>
        </w:rPr>
        <w:t xml:space="preserve"> </w:t>
      </w:r>
      <w:r w:rsidR="00C91E1E" w:rsidRPr="00882F11">
        <w:rPr>
          <w:rFonts w:cs="Guttman Drogolin" w:hint="cs"/>
          <w:rtl/>
          <w:lang w:bidi="he-IL"/>
        </w:rPr>
        <w:t>חד</w:t>
      </w:r>
      <w:r w:rsidR="00C91E1E" w:rsidRPr="00882F11">
        <w:rPr>
          <w:rFonts w:cs="Guttman Drogolin"/>
          <w:rtl/>
          <w:lang w:bidi="he-IL"/>
        </w:rPr>
        <w:t xml:space="preserve"> </w:t>
      </w:r>
      <w:r w:rsidR="00C91E1E" w:rsidRPr="00882F11">
        <w:rPr>
          <w:rFonts w:cs="Guttman Drogolin" w:hint="cs"/>
          <w:rtl/>
          <w:lang w:bidi="he-IL"/>
        </w:rPr>
        <w:t>בתרי</w:t>
      </w:r>
      <w:r w:rsidR="00C91E1E" w:rsidRPr="00882F11">
        <w:rPr>
          <w:rFonts w:cs="Guttman Drogolin"/>
          <w:rtl/>
          <w:lang w:bidi="he-IL"/>
        </w:rPr>
        <w:t xml:space="preserve"> </w:t>
      </w:r>
      <w:r w:rsidR="00C91E1E" w:rsidRPr="00882F11">
        <w:rPr>
          <w:rFonts w:cs="Guttman Drogolin" w:hint="cs"/>
          <w:rtl/>
          <w:lang w:bidi="he-IL"/>
        </w:rPr>
        <w:t>בטיל</w:t>
      </w:r>
      <w:r w:rsidR="00C91E1E" w:rsidRPr="00882F11">
        <w:rPr>
          <w:rFonts w:cs="Guttman Drogolin"/>
          <w:rtl/>
          <w:lang w:bidi="he-IL"/>
        </w:rPr>
        <w:t xml:space="preserve"> </w:t>
      </w:r>
      <w:r w:rsidR="00C91E1E" w:rsidRPr="00882F11">
        <w:rPr>
          <w:rFonts w:cs="Guttman Drogolin" w:hint="cs"/>
          <w:rtl/>
          <w:lang w:bidi="he-IL"/>
        </w:rPr>
        <w:t>דכתיב</w:t>
      </w:r>
      <w:r w:rsidR="00C91E1E" w:rsidRPr="00882F11">
        <w:rPr>
          <w:rFonts w:cs="Guttman Drogolin"/>
          <w:rtl/>
          <w:lang w:bidi="he-IL"/>
        </w:rPr>
        <w:t xml:space="preserve"> </w:t>
      </w:r>
      <w:r w:rsidR="00C91E1E" w:rsidRPr="00882F11">
        <w:rPr>
          <w:rFonts w:cs="Guttman Drogolin" w:hint="cs"/>
          <w:rtl/>
          <w:lang w:bidi="he-IL"/>
        </w:rPr>
        <w:t>אחרי</w:t>
      </w:r>
      <w:r w:rsidR="00C91E1E" w:rsidRPr="00882F11">
        <w:rPr>
          <w:rFonts w:cs="Guttman Drogolin"/>
          <w:rtl/>
          <w:lang w:bidi="he-IL"/>
        </w:rPr>
        <w:t xml:space="preserve"> </w:t>
      </w:r>
      <w:r w:rsidR="00C91E1E" w:rsidRPr="00882F11">
        <w:rPr>
          <w:rFonts w:cs="Guttman Drogolin" w:hint="cs"/>
          <w:rtl/>
          <w:lang w:bidi="he-IL"/>
        </w:rPr>
        <w:t>רבים</w:t>
      </w:r>
      <w:r w:rsidR="00C91E1E" w:rsidRPr="00882F11">
        <w:rPr>
          <w:rFonts w:cs="Guttman Drogolin"/>
          <w:rtl/>
          <w:lang w:bidi="he-IL"/>
        </w:rPr>
        <w:t xml:space="preserve"> </w:t>
      </w:r>
      <w:r w:rsidR="00C91E1E" w:rsidRPr="00882F11">
        <w:rPr>
          <w:rFonts w:cs="Guttman Drogolin" w:hint="cs"/>
          <w:rtl/>
          <w:lang w:bidi="he-IL"/>
        </w:rPr>
        <w:t>להטות</w:t>
      </w:r>
      <w:r w:rsidR="00C91E1E" w:rsidRPr="00882F11">
        <w:rPr>
          <w:rFonts w:cs="Guttman Drogolin"/>
          <w:rtl/>
          <w:lang w:bidi="he-IL"/>
        </w:rPr>
        <w:t xml:space="preserve"> </w:t>
      </w:r>
      <w:r w:rsidR="00C91E1E" w:rsidRPr="00882F11">
        <w:rPr>
          <w:rFonts w:cs="Guttman Drogolin" w:hint="cs"/>
          <w:rtl/>
          <w:lang w:bidi="he-IL"/>
        </w:rPr>
        <w:t>אחמור</w:t>
      </w:r>
      <w:r w:rsidR="00C91E1E" w:rsidRPr="00882F11">
        <w:rPr>
          <w:rFonts w:cs="Guttman Drogolin"/>
          <w:rtl/>
          <w:lang w:bidi="he-IL"/>
        </w:rPr>
        <w:t xml:space="preserve"> </w:t>
      </w:r>
      <w:r w:rsidR="00C91E1E" w:rsidRPr="00882F11">
        <w:rPr>
          <w:rFonts w:cs="Guttman Drogolin" w:hint="cs"/>
          <w:rtl/>
          <w:lang w:bidi="he-IL"/>
        </w:rPr>
        <w:t>רבנן</w:t>
      </w:r>
      <w:r w:rsidR="00C91E1E" w:rsidRPr="00882F11">
        <w:rPr>
          <w:rFonts w:cs="Guttman Drogolin"/>
          <w:rtl/>
          <w:lang w:bidi="he-IL"/>
        </w:rPr>
        <w:t xml:space="preserve"> </w:t>
      </w:r>
      <w:r w:rsidR="00C91E1E" w:rsidRPr="00882F11">
        <w:rPr>
          <w:rFonts w:cs="Guttman Drogolin" w:hint="cs"/>
          <w:rtl/>
          <w:lang w:bidi="he-IL"/>
        </w:rPr>
        <w:t>הואיל</w:t>
      </w:r>
      <w:r w:rsidR="00C91E1E" w:rsidRPr="00882F11">
        <w:rPr>
          <w:rFonts w:cs="Guttman Drogolin"/>
          <w:rtl/>
          <w:lang w:bidi="he-IL"/>
        </w:rPr>
        <w:t xml:space="preserve"> </w:t>
      </w:r>
      <w:r w:rsidR="00C91E1E" w:rsidRPr="00882F11">
        <w:rPr>
          <w:rFonts w:cs="Guttman Drogolin" w:hint="cs"/>
          <w:rtl/>
          <w:lang w:bidi="he-IL"/>
        </w:rPr>
        <w:t>ויש</w:t>
      </w:r>
      <w:r w:rsidR="00C91E1E" w:rsidRPr="00882F11">
        <w:rPr>
          <w:rFonts w:cs="Guttman Drogolin"/>
          <w:rtl/>
          <w:lang w:bidi="he-IL"/>
        </w:rPr>
        <w:t xml:space="preserve"> </w:t>
      </w:r>
      <w:r w:rsidR="00C91E1E" w:rsidRPr="00882F11">
        <w:rPr>
          <w:rFonts w:cs="Guttman Drogolin" w:hint="cs"/>
          <w:rtl/>
          <w:lang w:bidi="he-IL"/>
        </w:rPr>
        <w:t>לו</w:t>
      </w:r>
      <w:r w:rsidR="00C91E1E" w:rsidRPr="00882F11">
        <w:rPr>
          <w:rFonts w:cs="Guttman Drogolin"/>
          <w:rtl/>
          <w:lang w:bidi="he-IL"/>
        </w:rPr>
        <w:t xml:space="preserve"> </w:t>
      </w:r>
      <w:r w:rsidR="00C91E1E" w:rsidRPr="00882F11">
        <w:rPr>
          <w:rFonts w:cs="Guttman Drogolin" w:hint="cs"/>
          <w:rtl/>
          <w:lang w:bidi="he-IL"/>
        </w:rPr>
        <w:t>מתירין</w:t>
      </w:r>
      <w:r w:rsidR="00C91E1E" w:rsidRPr="00882F11">
        <w:rPr>
          <w:rFonts w:cs="Guttman Drogolin"/>
          <w:rtl/>
          <w:lang w:bidi="he-IL"/>
        </w:rPr>
        <w:t xml:space="preserve"> </w:t>
      </w:r>
      <w:r w:rsidR="00C91E1E" w:rsidRPr="00882F11">
        <w:rPr>
          <w:rFonts w:cs="Guttman Drogolin" w:hint="cs"/>
          <w:rtl/>
          <w:lang w:bidi="he-IL"/>
        </w:rPr>
        <w:t>לאחר</w:t>
      </w:r>
      <w:r w:rsidR="00C91E1E" w:rsidRPr="00882F11">
        <w:rPr>
          <w:rFonts w:cs="Guttman Drogolin"/>
          <w:rtl/>
          <w:lang w:bidi="he-IL"/>
        </w:rPr>
        <w:t xml:space="preserve"> </w:t>
      </w:r>
      <w:r w:rsidR="00C91E1E" w:rsidRPr="00882F11">
        <w:rPr>
          <w:rFonts w:cs="Guttman Drogolin" w:hint="cs"/>
          <w:rtl/>
          <w:lang w:bidi="he-IL"/>
        </w:rPr>
        <w:t>זמן</w:t>
      </w:r>
      <w:r w:rsidR="00C91E1E" w:rsidRPr="00882F11">
        <w:rPr>
          <w:rFonts w:cs="Guttman Drogolin"/>
          <w:rtl/>
          <w:lang w:bidi="he-IL"/>
        </w:rPr>
        <w:t xml:space="preserve"> </w:t>
      </w:r>
      <w:r w:rsidR="00C91E1E" w:rsidRPr="00882F11">
        <w:rPr>
          <w:rFonts w:cs="Guttman Drogolin" w:hint="cs"/>
          <w:rtl/>
          <w:lang w:bidi="he-IL"/>
        </w:rPr>
        <w:t>לא</w:t>
      </w:r>
      <w:r w:rsidR="00C91E1E" w:rsidRPr="00882F11">
        <w:rPr>
          <w:rFonts w:cs="Guttman Drogolin"/>
          <w:rtl/>
          <w:lang w:bidi="he-IL"/>
        </w:rPr>
        <w:t xml:space="preserve"> </w:t>
      </w:r>
      <w:r w:rsidR="00C91E1E" w:rsidRPr="00882F11">
        <w:rPr>
          <w:rFonts w:cs="Guttman Drogolin" w:hint="cs"/>
          <w:rtl/>
          <w:lang w:bidi="he-IL"/>
        </w:rPr>
        <w:t>יאכלנו</w:t>
      </w:r>
      <w:r w:rsidR="00C91E1E" w:rsidRPr="00882F11">
        <w:rPr>
          <w:rFonts w:cs="Guttman Drogolin"/>
          <w:rtl/>
          <w:lang w:bidi="he-IL"/>
        </w:rPr>
        <w:t xml:space="preserve"> </w:t>
      </w:r>
      <w:r w:rsidR="00C91E1E" w:rsidRPr="00882F11">
        <w:rPr>
          <w:rFonts w:cs="Guttman Drogolin" w:hint="cs"/>
          <w:rtl/>
          <w:lang w:bidi="he-IL"/>
        </w:rPr>
        <w:t>באיסור</w:t>
      </w:r>
      <w:r w:rsidR="00C91E1E" w:rsidRPr="00882F11">
        <w:rPr>
          <w:rFonts w:cs="Guttman Drogolin"/>
          <w:rtl/>
          <w:lang w:bidi="he-IL"/>
        </w:rPr>
        <w:t xml:space="preserve"> </w:t>
      </w:r>
      <w:r w:rsidR="00C91E1E" w:rsidRPr="00882F11">
        <w:rPr>
          <w:rFonts w:cs="Guttman Drogolin" w:hint="cs"/>
          <w:rtl/>
          <w:lang w:bidi="he-IL"/>
        </w:rPr>
        <w:t>על</w:t>
      </w:r>
      <w:r w:rsidR="00C91E1E" w:rsidRPr="00882F11">
        <w:rPr>
          <w:rFonts w:cs="Guttman Drogolin"/>
          <w:rtl/>
          <w:lang w:bidi="he-IL"/>
        </w:rPr>
        <w:t xml:space="preserve"> </w:t>
      </w:r>
      <w:r w:rsidR="00C91E1E" w:rsidRPr="00882F11">
        <w:rPr>
          <w:rFonts w:cs="Guttman Drogolin" w:hint="cs"/>
          <w:rtl/>
          <w:lang w:bidi="he-IL"/>
        </w:rPr>
        <w:t>ידי</w:t>
      </w:r>
      <w:r w:rsidR="00C91E1E" w:rsidRPr="00882F11">
        <w:rPr>
          <w:rFonts w:cs="Guttman Drogolin"/>
          <w:rtl/>
          <w:lang w:bidi="he-IL"/>
        </w:rPr>
        <w:t xml:space="preserve"> </w:t>
      </w:r>
      <w:r w:rsidR="00C91E1E" w:rsidRPr="00882F11">
        <w:rPr>
          <w:rFonts w:cs="Guttman Drogolin" w:hint="cs"/>
          <w:rtl/>
          <w:lang w:bidi="he-IL"/>
        </w:rPr>
        <w:t xml:space="preserve">ביטול". ור"ל שהוא חומרא מדרבנן </w:t>
      </w:r>
      <w:r w:rsidR="00D7625B" w:rsidRPr="00882F11">
        <w:rPr>
          <w:rFonts w:cs="Guttman Drogolin" w:hint="cs"/>
          <w:rtl/>
          <w:lang w:bidi="he-IL"/>
        </w:rPr>
        <w:t>לא לסמוך על הביטול כיון שיש עצה לאכלו בלי ביטול לאחר זמן כשיהי' מותר</w:t>
      </w:r>
      <w:r w:rsidR="00D3607B" w:rsidRPr="00882F11">
        <w:rPr>
          <w:rStyle w:val="FootnoteReference"/>
          <w:rFonts w:cs="Guttman Drogolin"/>
          <w:rtl/>
          <w:lang w:bidi="he-IL"/>
        </w:rPr>
        <w:footnoteReference w:id="359"/>
      </w:r>
      <w:r w:rsidR="00D7625B" w:rsidRPr="00882F11">
        <w:rPr>
          <w:rFonts w:cs="Guttman Drogolin" w:hint="cs"/>
          <w:rtl/>
          <w:lang w:bidi="he-IL"/>
        </w:rPr>
        <w:t xml:space="preserve">. </w:t>
      </w:r>
    </w:p>
    <w:p w:rsidR="004C19C7" w:rsidRPr="00882F11" w:rsidRDefault="00D7625B" w:rsidP="00D7625B">
      <w:pPr>
        <w:tabs>
          <w:tab w:val="right" w:pos="7497"/>
        </w:tabs>
        <w:bidi/>
        <w:jc w:val="both"/>
        <w:rPr>
          <w:rFonts w:cs="Guttman Drogolin"/>
          <w:rtl/>
          <w:lang w:bidi="he-IL"/>
        </w:rPr>
      </w:pPr>
      <w:r w:rsidRPr="00882F11">
        <w:rPr>
          <w:rFonts w:cs="Guttman Drogolin" w:hint="cs"/>
          <w:rtl/>
          <w:lang w:bidi="he-IL"/>
        </w:rPr>
        <w:t>ולכאורה מסברא זו יש סתירה לדברי התורת האשם (ת"ח כלל ע"ו דין ב' ס"ק ח', ומובא בפת"ש סי' קט"ז ס"ק י') דסבר</w:t>
      </w:r>
      <w:r w:rsidR="00802ECB" w:rsidRPr="00882F11">
        <w:rPr>
          <w:rFonts w:cs="Guttman Drogolin" w:hint="cs"/>
          <w:rtl/>
          <w:lang w:bidi="he-IL"/>
        </w:rPr>
        <w:t xml:space="preserve"> שמי שמקפיד שלא לאכול תבשיל שיש בה איסור אע"פ שהוא בטל בס' וכו' ומותר ע"פ דיני התורה הרי זה כמינות, דהא אותה תורה שאסרה לאכול המאכל התיר כשבטל בס' וכו' וא"כ אם מקפיד שלא לאכלו משמע שאינו מקבל דיני התורה. ולכאורה כל היסוד של דבר יש לו מתירים הוא זה שלא רצו חז"ל שיסמוך על הביטול עד כמה שאפשר להמתין, וכנראה שיש ענין להקפיד בזה אע"ג שהתורה לא הצריכה ודלא כסברת התורת האשם. ובעיקר הענין יש להעמיד דברי התורת האשם, שהרי חזינן שחז"ל החמירו בדבר שי"ל מתירים ולא הח</w:t>
      </w:r>
      <w:r w:rsidR="005D089C" w:rsidRPr="00882F11">
        <w:rPr>
          <w:rFonts w:cs="Guttman Drogolin" w:hint="cs"/>
          <w:rtl/>
          <w:lang w:bidi="he-IL"/>
        </w:rPr>
        <w:t>מ</w:t>
      </w:r>
      <w:r w:rsidR="00802ECB" w:rsidRPr="00882F11">
        <w:rPr>
          <w:rFonts w:cs="Guttman Drogolin" w:hint="cs"/>
          <w:rtl/>
          <w:lang w:bidi="he-IL"/>
        </w:rPr>
        <w:t>ירו יותר מזה, ואם יבא אדם ויחמיר יותר</w:t>
      </w:r>
      <w:r w:rsidR="005D089C" w:rsidRPr="00882F11">
        <w:rPr>
          <w:rFonts w:cs="Guttman Drogolin" w:hint="cs"/>
          <w:rtl/>
          <w:lang w:bidi="he-IL"/>
        </w:rPr>
        <w:t xml:space="preserve"> מ</w:t>
      </w:r>
      <w:r w:rsidR="00802ECB" w:rsidRPr="00882F11">
        <w:rPr>
          <w:rFonts w:cs="Guttman Drogolin" w:hint="cs"/>
          <w:rtl/>
          <w:lang w:bidi="he-IL"/>
        </w:rPr>
        <w:t xml:space="preserve">מה שהחמירו חז"ל הרי זה מינות, אבל גם זה דחוק, דשפיר י"ל שבדבר שי"ל מתירין </w:t>
      </w:r>
      <w:r w:rsidR="004C19C7" w:rsidRPr="00882F11">
        <w:rPr>
          <w:rFonts w:cs="Guttman Drogolin" w:hint="cs"/>
          <w:rtl/>
          <w:lang w:bidi="he-IL"/>
        </w:rPr>
        <w:t>כיון שאפשר להמתין חייבו להמתין, אבל בסתם ביטול לא חייבו עד כדי כך להפסיד התבשיל אבל מ"מ יש מקום לבעל נפש להחמיר.</w:t>
      </w:r>
    </w:p>
    <w:p w:rsidR="00AE0AD9" w:rsidRPr="00882F11" w:rsidRDefault="004C19C7" w:rsidP="004C19C7">
      <w:pPr>
        <w:tabs>
          <w:tab w:val="right" w:pos="7497"/>
        </w:tabs>
        <w:bidi/>
        <w:jc w:val="both"/>
        <w:rPr>
          <w:rFonts w:cs="Guttman Drogolin"/>
          <w:rtl/>
          <w:lang w:bidi="he-IL"/>
        </w:rPr>
      </w:pPr>
      <w:r w:rsidRPr="00882F11">
        <w:rPr>
          <w:rFonts w:cs="Guttman Drogolin" w:hint="cs"/>
          <w:rtl/>
          <w:lang w:bidi="he-IL"/>
        </w:rPr>
        <w:t xml:space="preserve">ואולי יש לומר בזה, דהנה הראשונים הוכיחו ממתני' שבדף נ"ב ע"א במס' נדרים שלא החמירו לומר שדבר שי"ל מתירין אינו בטל אלא בתערובת מין במינו, אבל במין בשאינו מינו לא </w:t>
      </w:r>
      <w:r w:rsidRPr="00882F11">
        <w:rPr>
          <w:rFonts w:cs="Guttman Drogolin" w:hint="cs"/>
          <w:rtl/>
          <w:lang w:bidi="he-IL"/>
        </w:rPr>
        <w:lastRenderedPageBreak/>
        <w:t>החמירו. ולכאורה הכל טעמא מאי, דמאי שנא מב"מ דאמרינן עד שתאכלנו באיסור תאכלנו בהיתר ממין בשא"מ דלא אמרינן הכי. והנו"כ כאן בשו"ע הביאו מתו"ח</w:t>
      </w:r>
      <w:r w:rsidR="00B50B2A" w:rsidRPr="00882F11">
        <w:rPr>
          <w:rStyle w:val="FootnoteReference"/>
          <w:rFonts w:cs="Guttman Drogolin"/>
          <w:rtl/>
          <w:lang w:bidi="he-IL"/>
        </w:rPr>
        <w:footnoteReference w:id="360"/>
      </w:r>
      <w:r w:rsidRPr="00882F11">
        <w:rPr>
          <w:rFonts w:cs="Guttman Drogolin" w:hint="cs"/>
          <w:rtl/>
          <w:lang w:bidi="he-IL"/>
        </w:rPr>
        <w:t xml:space="preserve"> (כלל מ' סע' ו') לבאר</w:t>
      </w:r>
      <w:r w:rsidR="00802ECB" w:rsidRPr="00882F11">
        <w:rPr>
          <w:rFonts w:cs="Guttman Drogolin" w:hint="cs"/>
          <w:rtl/>
          <w:lang w:bidi="he-IL"/>
        </w:rPr>
        <w:t xml:space="preserve"> </w:t>
      </w:r>
      <w:r w:rsidR="005F31C7" w:rsidRPr="00882F11">
        <w:rPr>
          <w:rFonts w:cs="Guttman Drogolin" w:hint="cs"/>
          <w:rtl/>
          <w:lang w:bidi="he-IL"/>
        </w:rPr>
        <w:t>שהרי הטעם שהחמירו בדבר שי"ל מתירין דכיון "</w:t>
      </w:r>
      <w:r w:rsidRPr="00882F11">
        <w:rPr>
          <w:rFonts w:cs="Guttman Drogolin" w:hint="cs"/>
          <w:rtl/>
          <w:lang w:bidi="he-IL"/>
        </w:rPr>
        <w:t>שיהיה</w:t>
      </w:r>
      <w:r w:rsidRPr="00882F11">
        <w:rPr>
          <w:rFonts w:cs="Guttman Drogolin"/>
          <w:rtl/>
          <w:lang w:bidi="he-IL"/>
        </w:rPr>
        <w:t xml:space="preserve"> </w:t>
      </w:r>
      <w:r w:rsidRPr="00882F11">
        <w:rPr>
          <w:rFonts w:cs="Guttman Drogolin" w:hint="cs"/>
          <w:rtl/>
          <w:lang w:bidi="he-IL"/>
        </w:rPr>
        <w:t>לו</w:t>
      </w:r>
      <w:r w:rsidRPr="00882F11">
        <w:rPr>
          <w:rFonts w:cs="Guttman Drogolin"/>
          <w:rtl/>
          <w:lang w:bidi="he-IL"/>
        </w:rPr>
        <w:t xml:space="preserve"> </w:t>
      </w:r>
      <w:r w:rsidRPr="00882F11">
        <w:rPr>
          <w:rFonts w:cs="Guttman Drogolin" w:hint="cs"/>
          <w:rtl/>
          <w:lang w:bidi="he-IL"/>
        </w:rPr>
        <w:t>היתר</w:t>
      </w:r>
      <w:r w:rsidRPr="00882F11">
        <w:rPr>
          <w:rFonts w:cs="Guttman Drogolin"/>
          <w:rtl/>
          <w:lang w:bidi="he-IL"/>
        </w:rPr>
        <w:t xml:space="preserve"> </w:t>
      </w:r>
      <w:r w:rsidRPr="00882F11">
        <w:rPr>
          <w:rFonts w:cs="Guttman Drogolin" w:hint="cs"/>
          <w:rtl/>
          <w:lang w:bidi="he-IL"/>
        </w:rPr>
        <w:t>אחר</w:t>
      </w:r>
      <w:r w:rsidRPr="00882F11">
        <w:rPr>
          <w:rFonts w:cs="Guttman Drogolin"/>
          <w:rtl/>
          <w:lang w:bidi="he-IL"/>
        </w:rPr>
        <w:t xml:space="preserve"> </w:t>
      </w:r>
      <w:r w:rsidRPr="00882F11">
        <w:rPr>
          <w:rFonts w:cs="Guttman Drogolin" w:hint="cs"/>
          <w:rtl/>
          <w:lang w:bidi="he-IL"/>
        </w:rPr>
        <w:t>כך</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רצו</w:t>
      </w:r>
      <w:r w:rsidRPr="00882F11">
        <w:rPr>
          <w:rFonts w:cs="Guttman Drogolin"/>
          <w:rtl/>
          <w:lang w:bidi="he-IL"/>
        </w:rPr>
        <w:t xml:space="preserve"> </w:t>
      </w:r>
      <w:r w:rsidRPr="00882F11">
        <w:rPr>
          <w:rFonts w:cs="Guttman Drogolin" w:hint="cs"/>
          <w:rtl/>
          <w:lang w:bidi="he-IL"/>
        </w:rPr>
        <w:t>חכמים</w:t>
      </w:r>
      <w:r w:rsidRPr="00882F11">
        <w:rPr>
          <w:rFonts w:cs="Guttman Drogolin"/>
          <w:rtl/>
          <w:lang w:bidi="he-IL"/>
        </w:rPr>
        <w:t xml:space="preserve"> </w:t>
      </w:r>
      <w:r w:rsidRPr="00882F11">
        <w:rPr>
          <w:rFonts w:cs="Guttman Drogolin" w:hint="cs"/>
          <w:rtl/>
          <w:lang w:bidi="he-IL"/>
        </w:rPr>
        <w:t>שיתבטל</w:t>
      </w:r>
      <w:r w:rsidRPr="00882F11">
        <w:rPr>
          <w:rFonts w:cs="Guttman Drogolin"/>
          <w:rtl/>
          <w:lang w:bidi="he-IL"/>
        </w:rPr>
        <w:t xml:space="preserve"> </w:t>
      </w:r>
      <w:r w:rsidRPr="00882F11">
        <w:rPr>
          <w:rFonts w:cs="Guttman Drogolin" w:hint="cs"/>
          <w:rtl/>
          <w:lang w:bidi="he-IL"/>
        </w:rPr>
        <w:t>וכל</w:t>
      </w:r>
      <w:r w:rsidRPr="00882F11">
        <w:rPr>
          <w:rFonts w:cs="Guttman Drogolin"/>
          <w:rtl/>
          <w:lang w:bidi="he-IL"/>
        </w:rPr>
        <w:t xml:space="preserve"> </w:t>
      </w:r>
      <w:r w:rsidRPr="00882F11">
        <w:rPr>
          <w:rFonts w:cs="Guttman Drogolin" w:hint="cs"/>
          <w:rtl/>
          <w:lang w:bidi="he-IL"/>
        </w:rPr>
        <w:t>שנתערב</w:t>
      </w:r>
      <w:r w:rsidRPr="00882F11">
        <w:rPr>
          <w:rFonts w:cs="Guttman Drogolin"/>
          <w:rtl/>
          <w:lang w:bidi="he-IL"/>
        </w:rPr>
        <w:t xml:space="preserve"> </w:t>
      </w:r>
      <w:r w:rsidRPr="00882F11">
        <w:rPr>
          <w:rFonts w:cs="Guttman Drogolin" w:hint="cs"/>
          <w:rtl/>
          <w:lang w:bidi="he-IL"/>
        </w:rPr>
        <w:t>שלא</w:t>
      </w:r>
      <w:r w:rsidRPr="00882F11">
        <w:rPr>
          <w:rFonts w:cs="Guttman Drogolin"/>
          <w:rtl/>
          <w:lang w:bidi="he-IL"/>
        </w:rPr>
        <w:t xml:space="preserve"> </w:t>
      </w:r>
      <w:r w:rsidRPr="00882F11">
        <w:rPr>
          <w:rFonts w:cs="Guttman Drogolin" w:hint="cs"/>
          <w:rtl/>
          <w:lang w:bidi="he-IL"/>
        </w:rPr>
        <w:t>במינו</w:t>
      </w:r>
      <w:r w:rsidRPr="00882F11">
        <w:rPr>
          <w:rFonts w:cs="Guttman Drogolin"/>
          <w:rtl/>
          <w:lang w:bidi="he-IL"/>
        </w:rPr>
        <w:t xml:space="preserve"> </w:t>
      </w:r>
      <w:r w:rsidRPr="00882F11">
        <w:rPr>
          <w:rFonts w:cs="Guttman Drogolin" w:hint="cs"/>
          <w:rtl/>
          <w:lang w:bidi="he-IL"/>
        </w:rPr>
        <w:t>אין</w:t>
      </w:r>
      <w:r w:rsidRPr="00882F11">
        <w:rPr>
          <w:rFonts w:cs="Guttman Drogolin"/>
          <w:rtl/>
          <w:lang w:bidi="he-IL"/>
        </w:rPr>
        <w:t xml:space="preserve"> </w:t>
      </w:r>
      <w:r w:rsidRPr="00882F11">
        <w:rPr>
          <w:rFonts w:cs="Guttman Drogolin" w:hint="cs"/>
          <w:rtl/>
          <w:lang w:bidi="he-IL"/>
        </w:rPr>
        <w:t>ההיתר</w:t>
      </w:r>
      <w:r w:rsidRPr="00882F11">
        <w:rPr>
          <w:rFonts w:cs="Guttman Drogolin"/>
          <w:rtl/>
          <w:lang w:bidi="he-IL"/>
        </w:rPr>
        <w:t xml:space="preserve"> </w:t>
      </w:r>
      <w:r w:rsidRPr="00882F11">
        <w:rPr>
          <w:rFonts w:cs="Guttman Drogolin" w:hint="cs"/>
          <w:rtl/>
          <w:lang w:bidi="he-IL"/>
        </w:rPr>
        <w:t>נקרא</w:t>
      </w:r>
      <w:r w:rsidRPr="00882F11">
        <w:rPr>
          <w:rFonts w:cs="Guttman Drogolin"/>
          <w:rtl/>
          <w:lang w:bidi="he-IL"/>
        </w:rPr>
        <w:t xml:space="preserve"> </w:t>
      </w:r>
      <w:r w:rsidRPr="00882F11">
        <w:rPr>
          <w:rFonts w:cs="Guttman Drogolin" w:hint="cs"/>
          <w:rtl/>
          <w:lang w:bidi="he-IL"/>
        </w:rPr>
        <w:t>על</w:t>
      </w:r>
      <w:r w:rsidRPr="00882F11">
        <w:rPr>
          <w:rFonts w:cs="Guttman Drogolin"/>
          <w:rtl/>
          <w:lang w:bidi="he-IL"/>
        </w:rPr>
        <w:t xml:space="preserve"> </w:t>
      </w:r>
      <w:r w:rsidRPr="00882F11">
        <w:rPr>
          <w:rFonts w:cs="Guttman Drogolin" w:hint="cs"/>
          <w:rtl/>
          <w:lang w:bidi="he-IL"/>
        </w:rPr>
        <w:t>דבר</w:t>
      </w:r>
      <w:r w:rsidRPr="00882F11">
        <w:rPr>
          <w:rFonts w:cs="Guttman Drogolin"/>
          <w:rtl/>
          <w:lang w:bidi="he-IL"/>
        </w:rPr>
        <w:t xml:space="preserve"> </w:t>
      </w:r>
      <w:r w:rsidRPr="00882F11">
        <w:rPr>
          <w:rFonts w:cs="Guttman Drogolin" w:hint="cs"/>
          <w:rtl/>
          <w:lang w:bidi="he-IL"/>
        </w:rPr>
        <w:t>האסור</w:t>
      </w:r>
      <w:r w:rsidRPr="00882F11">
        <w:rPr>
          <w:rFonts w:cs="Guttman Drogolin"/>
          <w:rtl/>
          <w:lang w:bidi="he-IL"/>
        </w:rPr>
        <w:t xml:space="preserve"> </w:t>
      </w:r>
      <w:r w:rsidRPr="00882F11">
        <w:rPr>
          <w:rFonts w:cs="Guttman Drogolin" w:hint="cs"/>
          <w:rtl/>
          <w:lang w:bidi="he-IL"/>
        </w:rPr>
        <w:t>אלא</w:t>
      </w:r>
      <w:r w:rsidRPr="00882F11">
        <w:rPr>
          <w:rFonts w:cs="Guttman Drogolin"/>
          <w:rtl/>
          <w:lang w:bidi="he-IL"/>
        </w:rPr>
        <w:t xml:space="preserve"> </w:t>
      </w:r>
      <w:r w:rsidRPr="00882F11">
        <w:rPr>
          <w:rFonts w:cs="Guttman Drogolin" w:hint="cs"/>
          <w:rtl/>
          <w:lang w:bidi="he-IL"/>
        </w:rPr>
        <w:t>על</w:t>
      </w:r>
      <w:r w:rsidRPr="00882F11">
        <w:rPr>
          <w:rFonts w:cs="Guttman Drogolin"/>
          <w:rtl/>
          <w:lang w:bidi="he-IL"/>
        </w:rPr>
        <w:t xml:space="preserve"> </w:t>
      </w:r>
      <w:r w:rsidRPr="00882F11">
        <w:rPr>
          <w:rFonts w:cs="Guttman Drogolin" w:hint="cs"/>
          <w:rtl/>
          <w:lang w:bidi="he-IL"/>
        </w:rPr>
        <w:t>שם</w:t>
      </w:r>
      <w:r w:rsidRPr="00882F11">
        <w:rPr>
          <w:rFonts w:cs="Guttman Drogolin"/>
          <w:rtl/>
          <w:lang w:bidi="he-IL"/>
        </w:rPr>
        <w:t xml:space="preserve"> </w:t>
      </w:r>
      <w:r w:rsidRPr="00882F11">
        <w:rPr>
          <w:rFonts w:cs="Guttman Drogolin" w:hint="cs"/>
          <w:rtl/>
          <w:lang w:bidi="he-IL"/>
        </w:rPr>
        <w:t>הדבר</w:t>
      </w:r>
      <w:r w:rsidRPr="00882F11">
        <w:rPr>
          <w:rFonts w:cs="Guttman Drogolin"/>
          <w:rtl/>
          <w:lang w:bidi="he-IL"/>
        </w:rPr>
        <w:t xml:space="preserve"> </w:t>
      </w:r>
      <w:r w:rsidRPr="00882F11">
        <w:rPr>
          <w:rFonts w:cs="Guttman Drogolin" w:hint="cs"/>
          <w:rtl/>
          <w:lang w:bidi="he-IL"/>
        </w:rPr>
        <w:t>שנתערב</w:t>
      </w:r>
      <w:r w:rsidRPr="00882F11">
        <w:rPr>
          <w:rFonts w:cs="Guttman Drogolin"/>
          <w:rtl/>
          <w:lang w:bidi="he-IL"/>
        </w:rPr>
        <w:t xml:space="preserve"> </w:t>
      </w:r>
      <w:r w:rsidRPr="00882F11">
        <w:rPr>
          <w:rFonts w:cs="Guttman Drogolin" w:hint="cs"/>
          <w:rtl/>
          <w:lang w:bidi="he-IL"/>
        </w:rPr>
        <w:t>בו</w:t>
      </w:r>
      <w:r w:rsidRPr="00882F11">
        <w:rPr>
          <w:rFonts w:cs="Guttman Drogolin"/>
          <w:rtl/>
          <w:lang w:bidi="he-IL"/>
        </w:rPr>
        <w:t xml:space="preserve"> </w:t>
      </w:r>
      <w:r w:rsidRPr="00882F11">
        <w:rPr>
          <w:rFonts w:cs="Guttman Drogolin" w:hint="cs"/>
          <w:rtl/>
          <w:lang w:bidi="he-IL"/>
        </w:rPr>
        <w:t>והוי</w:t>
      </w:r>
      <w:r w:rsidRPr="00882F11">
        <w:rPr>
          <w:rFonts w:cs="Guttman Drogolin"/>
          <w:rtl/>
          <w:lang w:bidi="he-IL"/>
        </w:rPr>
        <w:t xml:space="preserve"> </w:t>
      </w:r>
      <w:r w:rsidRPr="00882F11">
        <w:rPr>
          <w:rFonts w:cs="Guttman Drogolin" w:hint="cs"/>
          <w:rtl/>
          <w:lang w:bidi="he-IL"/>
        </w:rPr>
        <w:t>כמי</w:t>
      </w:r>
      <w:r w:rsidRPr="00882F11">
        <w:rPr>
          <w:rFonts w:cs="Guttman Drogolin"/>
          <w:rtl/>
          <w:lang w:bidi="he-IL"/>
        </w:rPr>
        <w:t xml:space="preserve"> </w:t>
      </w:r>
      <w:r w:rsidRPr="00882F11">
        <w:rPr>
          <w:rFonts w:cs="Guttman Drogolin" w:hint="cs"/>
          <w:rtl/>
          <w:lang w:bidi="he-IL"/>
        </w:rPr>
        <w:t>שאין</w:t>
      </w:r>
      <w:r w:rsidRPr="00882F11">
        <w:rPr>
          <w:rFonts w:cs="Guttman Drogolin"/>
          <w:rtl/>
          <w:lang w:bidi="he-IL"/>
        </w:rPr>
        <w:t xml:space="preserve"> </w:t>
      </w:r>
      <w:r w:rsidRPr="00882F11">
        <w:rPr>
          <w:rFonts w:cs="Guttman Drogolin" w:hint="cs"/>
          <w:rtl/>
          <w:lang w:bidi="he-IL"/>
        </w:rPr>
        <w:t>לו</w:t>
      </w:r>
      <w:r w:rsidRPr="00882F11">
        <w:rPr>
          <w:rFonts w:cs="Guttman Drogolin"/>
          <w:rtl/>
          <w:lang w:bidi="he-IL"/>
        </w:rPr>
        <w:t xml:space="preserve"> </w:t>
      </w:r>
      <w:r w:rsidRPr="00882F11">
        <w:rPr>
          <w:rFonts w:cs="Guttman Drogolin" w:hint="cs"/>
          <w:rtl/>
          <w:lang w:bidi="he-IL"/>
        </w:rPr>
        <w:t>מתירין</w:t>
      </w:r>
      <w:r w:rsidRPr="00882F11">
        <w:rPr>
          <w:rFonts w:cs="Guttman Drogolin"/>
          <w:rtl/>
          <w:lang w:bidi="he-IL"/>
        </w:rPr>
        <w:t xml:space="preserve"> </w:t>
      </w:r>
      <w:r w:rsidRPr="00882F11">
        <w:rPr>
          <w:rFonts w:cs="Guttman Drogolin" w:hint="cs"/>
          <w:rtl/>
          <w:lang w:bidi="he-IL"/>
        </w:rPr>
        <w:t>כן</w:t>
      </w:r>
      <w:r w:rsidRPr="00882F11">
        <w:rPr>
          <w:rFonts w:cs="Guttman Drogolin"/>
          <w:rtl/>
          <w:lang w:bidi="he-IL"/>
        </w:rPr>
        <w:t xml:space="preserve"> </w:t>
      </w:r>
      <w:r w:rsidRPr="00882F11">
        <w:rPr>
          <w:rFonts w:cs="Guttman Drogolin" w:hint="cs"/>
          <w:rtl/>
          <w:lang w:bidi="he-IL"/>
        </w:rPr>
        <w:t>נראה</w:t>
      </w:r>
      <w:r w:rsidRPr="00882F11">
        <w:rPr>
          <w:rFonts w:cs="Guttman Drogolin"/>
          <w:rtl/>
          <w:lang w:bidi="he-IL"/>
        </w:rPr>
        <w:t xml:space="preserve"> </w:t>
      </w:r>
      <w:r w:rsidRPr="00882F11">
        <w:rPr>
          <w:rFonts w:cs="Guttman Drogolin" w:hint="cs"/>
          <w:rtl/>
          <w:lang w:bidi="he-IL"/>
        </w:rPr>
        <w:t>לי</w:t>
      </w:r>
      <w:r w:rsidR="005F31C7" w:rsidRPr="00882F11">
        <w:rPr>
          <w:rFonts w:cs="Guttman Drogolin" w:hint="cs"/>
          <w:rtl/>
          <w:lang w:bidi="he-IL"/>
        </w:rPr>
        <w:t>". ולכאורה משמע שכוונתו לומר</w:t>
      </w:r>
      <w:r w:rsidR="00B50B2A" w:rsidRPr="00882F11">
        <w:rPr>
          <w:rFonts w:cs="Guttman Drogolin" w:hint="cs"/>
          <w:rtl/>
          <w:lang w:bidi="he-IL"/>
        </w:rPr>
        <w:t xml:space="preserve"> דכיון שלאחר הביטול לא רק שיהא מותר, אלא יהא מין אחר, דהא מקבל דינו של הרוב. ולכן כיון שלבסוף אין לנו המין דמעיקרא אין זה נחשב כאילו אכל דבר האסור שהתבטל. משא"כ במין במינו שאפילו אחרי הביטול הרי הוא אותו מין דמעיקרא החמירו שלא לאכלו. ומשמע מזה שהוא חומרא משום דמיחזי כאוכל דבר האסור, רק שבעלמא שמפסידים את התבשיל לגמרי לא החמירו עליו אע"ג דמיחזי כאוכל האיסור, אבל בדבר שי"ל מתירים, כיון שיכול להמתין החמירו עליו שלא יאכלנו כיון שזהו המין שהי' אסור מקודם. ואם כנים הדברים ודאי שיש חילוק גדול בין </w:t>
      </w:r>
      <w:r w:rsidR="00AE0AD9" w:rsidRPr="00882F11">
        <w:rPr>
          <w:rFonts w:cs="Guttman Drogolin" w:hint="cs"/>
          <w:rtl/>
          <w:lang w:bidi="he-IL"/>
        </w:rPr>
        <w:t>החומרא דדשיל"מ לדברי התו"ח, שלעולם אין טעם להחמיר מדבר שנתבטל בעצם, רק שחששו חז"</w:t>
      </w:r>
      <w:r w:rsidR="007212A3" w:rsidRPr="00882F11">
        <w:rPr>
          <w:rFonts w:cs="Guttman Drogolin" w:hint="cs"/>
          <w:rtl/>
          <w:lang w:bidi="he-IL"/>
        </w:rPr>
        <w:t xml:space="preserve">ל משום הרואים היכא </w:t>
      </w:r>
      <w:r w:rsidR="00AE0AD9" w:rsidRPr="00882F11">
        <w:rPr>
          <w:rFonts w:cs="Guttman Drogolin" w:hint="cs"/>
          <w:rtl/>
          <w:lang w:bidi="he-IL"/>
        </w:rPr>
        <w:t>שיכול להמתין, והיכא שלא חששו לזה אין לנו לעשות גזירה מעצמינו היכא דלא גזרו. ויל"ע אם כנים הדברים.</w:t>
      </w:r>
    </w:p>
    <w:p w:rsidR="007212A3" w:rsidRPr="00882F11" w:rsidRDefault="00AE0AD9" w:rsidP="00C04B27">
      <w:pPr>
        <w:tabs>
          <w:tab w:val="right" w:pos="7497"/>
        </w:tabs>
        <w:bidi/>
        <w:jc w:val="both"/>
        <w:rPr>
          <w:rFonts w:cs="Guttman Drogolin"/>
          <w:rtl/>
          <w:lang w:bidi="he-IL"/>
        </w:rPr>
      </w:pPr>
      <w:r w:rsidRPr="00882F11">
        <w:rPr>
          <w:rFonts w:cs="Guttman Drogolin" w:hint="cs"/>
          <w:rtl/>
          <w:lang w:bidi="he-IL"/>
        </w:rPr>
        <w:t xml:space="preserve">וכל זה הוא לפי פירושו של רש"י ועוד ראשונים. אבל בפי' הר"ן למס' נדרים דף נ"ב ע"א מבואר פי' אחר לגמרי בכל הענין. והוא דהנה הרי"ף במס' חולין נקט דקיי"ל דריחא לאו מילתא היא. וכתב שמ"מ מה שמבואר במס' פסחים דף ע"ו ע"ב דפת שאפאה עם הצלי אסור לאוכלה בכותח אינה סתירה לזה, וא' מן הטעמים משום דהוי כדבר שי"ל מתירים. והביא הר"ן שם שתמהו על </w:t>
      </w:r>
      <w:r w:rsidRPr="00882F11">
        <w:rPr>
          <w:rFonts w:cs="Guttman Drogolin" w:hint="cs"/>
          <w:rtl/>
          <w:lang w:bidi="he-IL"/>
        </w:rPr>
        <w:lastRenderedPageBreak/>
        <w:t>הרי"ף בזה כיון שמבואר במתני' שבדף נ"ב ע"א הנ"ל שלא החמירו בדבר שי"ל מתירין אלא בתערובת של מין במינו, ואילו טעם בשר בפת הוי מין בשאינו מינו וא"</w:t>
      </w:r>
      <w:r w:rsidR="007212A3" w:rsidRPr="00882F11">
        <w:rPr>
          <w:rFonts w:cs="Guttman Drogolin" w:hint="cs"/>
          <w:rtl/>
          <w:lang w:bidi="he-IL"/>
        </w:rPr>
        <w:t>כ אין לנו להחמיר משום</w:t>
      </w:r>
      <w:r w:rsidRPr="00882F11">
        <w:rPr>
          <w:rFonts w:cs="Guttman Drogolin" w:hint="cs"/>
          <w:rtl/>
          <w:lang w:bidi="he-IL"/>
        </w:rPr>
        <w:t xml:space="preserve"> דהוי דשיל"מ. </w:t>
      </w:r>
      <w:r w:rsidR="007212A3" w:rsidRPr="00882F11">
        <w:rPr>
          <w:rFonts w:cs="Guttman Drogolin" w:hint="cs"/>
          <w:rtl/>
          <w:lang w:bidi="he-IL"/>
        </w:rPr>
        <w:t>והביא הר"ן שי"א שהרי"ף סמך על הסוגיא שבמס' ביצה ששם מבואר דמים ומלח אינם בטלים בעי</w:t>
      </w:r>
      <w:r w:rsidR="00C04B27">
        <w:rPr>
          <w:rFonts w:cs="Guttman Drogolin" w:hint="cs"/>
          <w:rtl/>
          <w:lang w:bidi="he-IL"/>
        </w:rPr>
        <w:t>ס</w:t>
      </w:r>
      <w:r w:rsidR="007212A3" w:rsidRPr="00882F11">
        <w:rPr>
          <w:rFonts w:cs="Guttman Drogolin" w:hint="cs"/>
          <w:rtl/>
          <w:lang w:bidi="he-IL"/>
        </w:rPr>
        <w:t>ה משום דהוו דבר שי"ל מתירין, וכתב שאין משם ראי' משום דמים ומלח כיון שהדרך הוא ש</w:t>
      </w:r>
      <w:r w:rsidR="00A37E3D" w:rsidRPr="00882F11">
        <w:rPr>
          <w:rFonts w:cs="Guttman Drogolin" w:hint="cs"/>
          <w:rtl/>
          <w:lang w:bidi="he-IL"/>
        </w:rPr>
        <w:t>מערבין אותם בעיסה חשיבי כמינו, ו</w:t>
      </w:r>
      <w:r w:rsidR="007212A3" w:rsidRPr="00882F11">
        <w:rPr>
          <w:rFonts w:cs="Guttman Drogolin" w:hint="cs"/>
          <w:rtl/>
          <w:lang w:bidi="he-IL"/>
        </w:rPr>
        <w:t>ע"ש שהוכיח מסוגיית הגמ' שכן הוא.</w:t>
      </w:r>
    </w:p>
    <w:p w:rsidR="007212A3" w:rsidRPr="00882F11" w:rsidRDefault="00AE0AD9" w:rsidP="00ED1913">
      <w:pPr>
        <w:tabs>
          <w:tab w:val="right" w:pos="7497"/>
        </w:tabs>
        <w:bidi/>
        <w:jc w:val="both"/>
        <w:rPr>
          <w:rFonts w:cs="Guttman Drogolin"/>
          <w:rtl/>
          <w:lang w:bidi="he-IL"/>
        </w:rPr>
      </w:pPr>
      <w:r w:rsidRPr="00882F11">
        <w:rPr>
          <w:rFonts w:cs="Guttman Drogolin" w:hint="cs"/>
          <w:rtl/>
          <w:lang w:bidi="he-IL"/>
        </w:rPr>
        <w:t>וכתב</w:t>
      </w:r>
      <w:r w:rsidR="007212A3" w:rsidRPr="00882F11">
        <w:rPr>
          <w:rFonts w:cs="Guttman Drogolin" w:hint="cs"/>
          <w:rtl/>
          <w:lang w:bidi="he-IL"/>
        </w:rPr>
        <w:t xml:space="preserve"> </w:t>
      </w:r>
      <w:r w:rsidRPr="00882F11">
        <w:rPr>
          <w:rFonts w:cs="Guttman Drogolin" w:hint="cs"/>
          <w:rtl/>
          <w:lang w:bidi="he-IL"/>
        </w:rPr>
        <w:t xml:space="preserve">הר"ן </w:t>
      </w:r>
      <w:r w:rsidR="007212A3" w:rsidRPr="00882F11">
        <w:rPr>
          <w:rFonts w:cs="Guttman Drogolin" w:hint="cs"/>
          <w:rtl/>
          <w:lang w:bidi="he-IL"/>
        </w:rPr>
        <w:t>ב</w:t>
      </w:r>
      <w:r w:rsidRPr="00882F11">
        <w:rPr>
          <w:rFonts w:cs="Guttman Drogolin" w:hint="cs"/>
          <w:rtl/>
          <w:lang w:bidi="he-IL"/>
        </w:rPr>
        <w:t>יישוב שיטת הרי"ף, דהנה נחלקו התנאים אם מין במינו בטל או לא בטל. ו</w:t>
      </w:r>
      <w:r w:rsidR="00923E58" w:rsidRPr="00882F11">
        <w:rPr>
          <w:rFonts w:cs="Guttman Drogolin" w:hint="cs"/>
          <w:rtl/>
          <w:lang w:bidi="he-IL"/>
        </w:rPr>
        <w:t>סבר הר"ן ש</w:t>
      </w:r>
      <w:r w:rsidRPr="00882F11">
        <w:rPr>
          <w:rFonts w:cs="Guttman Drogolin" w:hint="cs"/>
          <w:rtl/>
          <w:lang w:bidi="he-IL"/>
        </w:rPr>
        <w:t xml:space="preserve">אין הפירוש במחלוקתם </w:t>
      </w:r>
      <w:r w:rsidR="00923E58" w:rsidRPr="00882F11">
        <w:rPr>
          <w:rFonts w:cs="Guttman Drogolin" w:hint="cs"/>
          <w:rtl/>
          <w:lang w:bidi="he-IL"/>
        </w:rPr>
        <w:t>שזה אומר מין במינו מילתא היא ומר סבר לאו מילתא היא</w:t>
      </w:r>
      <w:r w:rsidR="005646DC" w:rsidRPr="00882F11">
        <w:rPr>
          <w:rFonts w:cs="Guttman Drogolin" w:hint="cs"/>
          <w:rtl/>
          <w:lang w:bidi="he-IL"/>
        </w:rPr>
        <w:t xml:space="preserve">, אלא הפי' הוא דלכו"ע בעינן התנגדות בין המינים כדי שיוכל א' לבטל את חבירו. רק דמר סבר שחילוק בין המינים בעינן, וכיון דתרוייהו הוו אותו מין אי אפשר לא' לבטל את חבירו, אבל מר סבר שלא צריכים חילוק בין המינים, ומשום שהחילוק ביניהם בהא דזה אסור וזה מותר סגי. ולכן סברי רבנן שאם אפילו האיסור אינו איסור גמור, דהא עתיד להיות מותר לאחר זמן, אין החילוק שביניהם באיסור והיתר מספיק שיוכל א' לבטל את חבירו אא"כ יש חילוק נוסף ביניהם שהוא החילוק שביניהם במין. וזהו הטעם שלא נאמר הדין דדשיל"מ לא בטל אלא במין במינו ולא במין בשאינו מינו, שבמין במינו כיון שאין חילוק ביניהם במין, וכן החילוק שביניהם באו"ה אינו חילוק רב כיון שעתיד להיות מותר, אין א' מבטל את חבירו. משא"כ בין בשאינו מינו, כיון שיש קצת חילוק באו"ה וכן יש חילוק בין המינים, שפיר אמרינן שא' מבטל את חבירו. ומשו"ה סבר הרי"ף דכל מה דמהני החילוק בין המינים להשלים החסרון </w:t>
      </w:r>
      <w:r w:rsidR="00594DD5" w:rsidRPr="00882F11">
        <w:rPr>
          <w:rFonts w:cs="Guttman Drogolin" w:hint="cs"/>
          <w:rtl/>
          <w:lang w:bidi="he-IL"/>
        </w:rPr>
        <w:t>ש</w:t>
      </w:r>
      <w:r w:rsidR="005646DC" w:rsidRPr="00882F11">
        <w:rPr>
          <w:rFonts w:cs="Guttman Drogolin" w:hint="cs"/>
          <w:rtl/>
          <w:lang w:bidi="he-IL"/>
        </w:rPr>
        <w:t xml:space="preserve">בדבר שי"ל מתירין אינו אלא בדבר </w:t>
      </w:r>
      <w:r w:rsidR="005646DC" w:rsidRPr="00882F11">
        <w:rPr>
          <w:rFonts w:cs="Guttman Drogolin" w:hint="cs"/>
          <w:rtl/>
          <w:lang w:bidi="he-IL"/>
        </w:rPr>
        <w:lastRenderedPageBreak/>
        <w:t>שהוא איסור מוחלט מעכשיו רק יהא מותר לאחר זמן, אבל דבר שגם עכשיו יש</w:t>
      </w:r>
      <w:r w:rsidR="00594DD5" w:rsidRPr="00882F11">
        <w:rPr>
          <w:rFonts w:cs="Guttman Drogolin" w:hint="cs"/>
          <w:rtl/>
          <w:lang w:bidi="he-IL"/>
        </w:rPr>
        <w:t xml:space="preserve"> לו היתר רק שההיתר מוגבל, בזה החילוק באו"ה חלש יותר, ולכן אין החילוק שבין המינים מספיק להשלים הא דשוין בדין, דלרבנן דפליגי אדר' יהודה העיקר תלוי בחילוק שביניהם באו"ה, ולכן בדבר שיל"מ כזה אמרינן שאינו בטל אפילו במין בשאינו מינו. ולפי זה אין שום סתירה בין הגמ' במס' </w:t>
      </w:r>
      <w:r w:rsidR="007212A3" w:rsidRPr="00882F11">
        <w:rPr>
          <w:rFonts w:cs="Guttman Drogolin" w:hint="cs"/>
          <w:rtl/>
          <w:lang w:bidi="he-IL"/>
        </w:rPr>
        <w:t>ביצה למתני' שבדף נ"ב ע"א, שהמתני' בדף נ"ב ע"ב מיירי בדבר שאסור עכשיו לגמרי רק יהי' מותר לאחר זמן, ובזה אמרינן שיש חילוק בין מין במינו למין בשאינו מינו, אבל הגמ' במס' ביצה מיירי בדבר שי"ל היתר גם עכשיו, ובזה לא מחלקינן בין מב"מ למבשא"מ וכמש"נ.</w:t>
      </w:r>
      <w:r w:rsidR="00E90A42" w:rsidRPr="00882F11">
        <w:rPr>
          <w:rFonts w:cs="Guttman Drogolin" w:hint="cs"/>
          <w:rtl/>
          <w:lang w:bidi="he-IL"/>
        </w:rPr>
        <w:t xml:space="preserve"> ואני אדגיש שאין הכרח לומר שסברת הר"ן לומר דדבר שי"ל מתירין מדאורייתא לא בטיל דומיא דמין במינו אליבא דר' יהודה, דשפיר י"ל</w:t>
      </w:r>
      <w:r w:rsidR="00BF2010" w:rsidRPr="00882F11">
        <w:rPr>
          <w:rStyle w:val="FootnoteReference"/>
          <w:rFonts w:cs="Guttman Drogolin"/>
          <w:rtl/>
          <w:lang w:bidi="he-IL"/>
        </w:rPr>
        <w:footnoteReference w:id="361"/>
      </w:r>
      <w:r w:rsidR="00E90A42" w:rsidRPr="00882F11">
        <w:rPr>
          <w:rFonts w:cs="Guttman Drogolin" w:hint="cs"/>
          <w:rtl/>
          <w:lang w:bidi="he-IL"/>
        </w:rPr>
        <w:t xml:space="preserve"> שעצם דבר זה דאמרינן דדשיל"</w:t>
      </w:r>
      <w:r w:rsidR="006C4A16" w:rsidRPr="00882F11">
        <w:rPr>
          <w:rFonts w:cs="Guttman Drogolin" w:hint="cs"/>
          <w:rtl/>
          <w:lang w:bidi="he-IL"/>
        </w:rPr>
        <w:t>מ חשוב כמו מין במינו אינו אל</w:t>
      </w:r>
      <w:r w:rsidR="00E90A42" w:rsidRPr="00882F11">
        <w:rPr>
          <w:rFonts w:cs="Guttman Drogolin" w:hint="cs"/>
          <w:rtl/>
          <w:lang w:bidi="he-IL"/>
        </w:rPr>
        <w:t xml:space="preserve">א מדרבנן (אמנם ראיתי </w:t>
      </w:r>
      <w:r w:rsidR="00ED1913" w:rsidRPr="00882F11">
        <w:rPr>
          <w:rFonts w:cs="Guttman Drogolin" w:hint="cs"/>
          <w:rtl/>
          <w:lang w:bidi="he-IL"/>
        </w:rPr>
        <w:t>ב</w:t>
      </w:r>
      <w:r w:rsidR="006C4A16" w:rsidRPr="00882F11">
        <w:rPr>
          <w:rFonts w:cs="Guttman Drogolin" w:hint="cs"/>
          <w:rtl/>
          <w:lang w:bidi="he-IL"/>
        </w:rPr>
        <w:t xml:space="preserve">ס' עבודת עבודה ע"ז סוף ע"ג ע"ב </w:t>
      </w:r>
      <w:r w:rsidR="00ED1913" w:rsidRPr="00882F11">
        <w:rPr>
          <w:rFonts w:cs="Guttman Drogolin" w:hint="cs"/>
          <w:rtl/>
          <w:lang w:bidi="he-IL"/>
        </w:rPr>
        <w:t xml:space="preserve">[עמ' תרל"ג, כ"י במכתב למוהר"ר ישראל נכד הרב בעל לב ארי'] שהביא שהשואל ר"ל </w:t>
      </w:r>
      <w:r w:rsidR="006C4A16" w:rsidRPr="00882F11">
        <w:rPr>
          <w:rFonts w:cs="Guttman Drogolin" w:hint="cs"/>
          <w:rtl/>
          <w:lang w:bidi="he-IL"/>
        </w:rPr>
        <w:t>דאליבא דר"ן הוי מדאורייתא</w:t>
      </w:r>
      <w:r w:rsidR="00BF2010" w:rsidRPr="00882F11">
        <w:rPr>
          <w:rFonts w:cs="Guttman Drogolin" w:hint="cs"/>
          <w:rtl/>
          <w:lang w:bidi="he-IL"/>
        </w:rPr>
        <w:t xml:space="preserve">, </w:t>
      </w:r>
      <w:r w:rsidR="00ED1913" w:rsidRPr="00882F11">
        <w:rPr>
          <w:rFonts w:cs="Guttman Drogolin" w:hint="cs"/>
          <w:rtl/>
          <w:lang w:bidi="he-IL"/>
        </w:rPr>
        <w:t>וע"ש שדחה את דבריו. ומ"מ</w:t>
      </w:r>
      <w:r w:rsidR="00BF2010" w:rsidRPr="00882F11">
        <w:rPr>
          <w:rFonts w:cs="Guttman Drogolin" w:hint="cs"/>
          <w:rtl/>
          <w:lang w:bidi="he-IL"/>
        </w:rPr>
        <w:t xml:space="preserve"> לכאורה זהו נגד הגמ' במס' בבא מציעא נ"ג ע"א</w:t>
      </w:r>
      <w:r w:rsidR="001F6A55" w:rsidRPr="00882F11">
        <w:rPr>
          <w:rStyle w:val="FootnoteReference"/>
          <w:rFonts w:cs="Guttman Drogolin"/>
          <w:rtl/>
          <w:lang w:bidi="he-IL"/>
        </w:rPr>
        <w:footnoteReference w:id="362"/>
      </w:r>
      <w:r w:rsidR="00BF2010" w:rsidRPr="00882F11">
        <w:rPr>
          <w:rFonts w:cs="Guttman Drogolin" w:hint="cs"/>
          <w:rtl/>
          <w:lang w:bidi="he-IL"/>
        </w:rPr>
        <w:t>, וכן ראיתי שהעיר בקו"ש למס' ביצה אות ד'</w:t>
      </w:r>
      <w:r w:rsidR="006F0D18" w:rsidRPr="00882F11">
        <w:rPr>
          <w:rStyle w:val="FootnoteReference"/>
          <w:rFonts w:cs="Guttman Drogolin"/>
          <w:rtl/>
          <w:lang w:bidi="he-IL"/>
        </w:rPr>
        <w:footnoteReference w:id="363"/>
      </w:r>
      <w:r w:rsidR="006C4A16" w:rsidRPr="00882F11">
        <w:rPr>
          <w:rFonts w:cs="Guttman Drogolin" w:hint="cs"/>
          <w:rtl/>
          <w:lang w:bidi="he-IL"/>
        </w:rPr>
        <w:t>)</w:t>
      </w:r>
      <w:r w:rsidR="00E90A42" w:rsidRPr="00882F11">
        <w:rPr>
          <w:rFonts w:cs="Guttman Drogolin" w:hint="cs"/>
          <w:rtl/>
          <w:lang w:bidi="he-IL"/>
        </w:rPr>
        <w:t>.</w:t>
      </w:r>
    </w:p>
    <w:p w:rsidR="00BF2010" w:rsidRPr="00882F11" w:rsidRDefault="007212A3" w:rsidP="00F46277">
      <w:pPr>
        <w:tabs>
          <w:tab w:val="right" w:pos="7497"/>
        </w:tabs>
        <w:bidi/>
        <w:jc w:val="both"/>
        <w:rPr>
          <w:rFonts w:cs="Guttman Drogolin"/>
          <w:rtl/>
          <w:lang w:bidi="he-IL"/>
        </w:rPr>
      </w:pPr>
      <w:r w:rsidRPr="00882F11">
        <w:rPr>
          <w:rFonts w:cs="Guttman Drogolin" w:hint="cs"/>
          <w:rtl/>
          <w:lang w:bidi="he-IL"/>
        </w:rPr>
        <w:t>ומונח בדברי הרי"ף חידוש בדין דשיל</w:t>
      </w:r>
      <w:r w:rsidR="00F46277" w:rsidRPr="00882F11">
        <w:rPr>
          <w:rFonts w:cs="Guttman Drogolin" w:hint="cs"/>
          <w:rtl/>
          <w:lang w:bidi="he-IL"/>
        </w:rPr>
        <w:t>"מ</w:t>
      </w:r>
      <w:r w:rsidRPr="00882F11">
        <w:rPr>
          <w:rFonts w:cs="Guttman Drogolin" w:hint="cs"/>
          <w:rtl/>
          <w:lang w:bidi="he-IL"/>
        </w:rPr>
        <w:t>. והוא שהי' מקום לומר דעד כאן לא אמרינן שדבר חשוב כיש לו מתירין אלא כהאיסור שעליו אנו דנים יש לו היתר, אבל במקום שהאיסור אין לו היתר, אע"פ שיש לחפץ היתר שימוש בענין אחר</w:t>
      </w:r>
      <w:r w:rsidR="00AE0AD9" w:rsidRPr="00882F11">
        <w:rPr>
          <w:rFonts w:cs="Guttman Drogolin" w:hint="cs"/>
          <w:rtl/>
          <w:lang w:bidi="he-IL"/>
        </w:rPr>
        <w:t xml:space="preserve"> </w:t>
      </w:r>
      <w:r w:rsidRPr="00882F11">
        <w:rPr>
          <w:rFonts w:cs="Guttman Drogolin" w:hint="cs"/>
          <w:rtl/>
          <w:lang w:bidi="he-IL"/>
        </w:rPr>
        <w:t>אין זה דבר שי"ל מתירין, דהא לאיסור עצמו ליכא היתר. וכן באמת סבר הר"ן במס' חולין על דברי הרי"ף ומשו"ה חלק עליו</w:t>
      </w:r>
      <w:r w:rsidRPr="00882F11">
        <w:rPr>
          <w:rStyle w:val="FootnoteReference"/>
          <w:rFonts w:cs="Guttman Drogolin"/>
          <w:rtl/>
          <w:lang w:bidi="he-IL"/>
        </w:rPr>
        <w:footnoteReference w:id="364"/>
      </w:r>
      <w:r w:rsidRPr="00882F11">
        <w:rPr>
          <w:rFonts w:cs="Guttman Drogolin" w:hint="cs"/>
          <w:rtl/>
          <w:lang w:bidi="he-IL"/>
        </w:rPr>
        <w:t>.</w:t>
      </w:r>
      <w:r w:rsidR="00AE0AD9" w:rsidRPr="00882F11">
        <w:rPr>
          <w:rFonts w:cs="Guttman Drogolin" w:hint="cs"/>
          <w:rtl/>
          <w:lang w:bidi="he-IL"/>
        </w:rPr>
        <w:t xml:space="preserve"> </w:t>
      </w:r>
      <w:r w:rsidR="00E90A42" w:rsidRPr="00882F11">
        <w:rPr>
          <w:rFonts w:cs="Guttman Drogolin" w:hint="cs"/>
          <w:rtl/>
          <w:lang w:bidi="he-IL"/>
        </w:rPr>
        <w:t xml:space="preserve">אבל מהרי"ף חזינן להיפך, דכיון שיש לו היתר עכשיו הוי עוד יותר בכלל </w:t>
      </w:r>
      <w:r w:rsidR="00E90A42" w:rsidRPr="00882F11">
        <w:rPr>
          <w:rFonts w:cs="Guttman Drogolin" w:hint="cs"/>
          <w:rtl/>
          <w:lang w:bidi="he-IL"/>
        </w:rPr>
        <w:lastRenderedPageBreak/>
        <w:t>החומרא דדבר שי"ל מתירין. ולכאורה יל"ע לדבריו למה לא יהא חלב (עם צירה) חשוב דבר שי"ל מתירין</w:t>
      </w:r>
      <w:r w:rsidR="00B50B2A" w:rsidRPr="00882F11">
        <w:rPr>
          <w:rFonts w:cs="Guttman Drogolin" w:hint="cs"/>
          <w:rtl/>
          <w:lang w:bidi="he-IL"/>
        </w:rPr>
        <w:t xml:space="preserve"> </w:t>
      </w:r>
      <w:r w:rsidR="00BF2010" w:rsidRPr="00882F11">
        <w:rPr>
          <w:rFonts w:cs="Guttman Drogolin" w:hint="cs"/>
          <w:rtl/>
          <w:lang w:bidi="he-IL"/>
        </w:rPr>
        <w:t xml:space="preserve">כיון שאפשר ליהנות ממנו, דהא קיים הוא להדלקה כמו לאכילה. </w:t>
      </w:r>
      <w:r w:rsidR="00B317FA" w:rsidRPr="00882F11">
        <w:rPr>
          <w:rFonts w:cs="Guttman Drogolin" w:hint="cs"/>
          <w:rtl/>
          <w:lang w:bidi="he-IL"/>
        </w:rPr>
        <w:t>ולכאורה מה שצריכים לומר לשיטת הרי"ף דלא אמרינן שיש לו מתירין אא"כ יש לו היתר באותה צורה של שימוש. ולכן רק בדבר שאפשר ליהנות ממנו באכילה רק לא בענין הנאסר הרי זה חשוב כדבר שי"ל מתירין</w:t>
      </w:r>
      <w:bookmarkStart w:id="347" w:name="_Ref467354431"/>
      <w:r w:rsidR="00D72265" w:rsidRPr="00882F11">
        <w:rPr>
          <w:rStyle w:val="FootnoteReference"/>
          <w:rFonts w:cs="Guttman Drogolin"/>
          <w:rtl/>
          <w:lang w:bidi="he-IL"/>
        </w:rPr>
        <w:footnoteReference w:id="365"/>
      </w:r>
      <w:bookmarkEnd w:id="347"/>
      <w:r w:rsidR="00B317FA" w:rsidRPr="00882F11">
        <w:rPr>
          <w:rFonts w:cs="Guttman Drogolin" w:hint="cs"/>
          <w:rtl/>
          <w:lang w:bidi="he-IL"/>
        </w:rPr>
        <w:t xml:space="preserve">. </w:t>
      </w:r>
    </w:p>
    <w:p w:rsidR="0025620F" w:rsidRPr="00882F11" w:rsidRDefault="00D72265" w:rsidP="00F672BA">
      <w:pPr>
        <w:tabs>
          <w:tab w:val="right" w:pos="7497"/>
        </w:tabs>
        <w:bidi/>
        <w:jc w:val="both"/>
        <w:rPr>
          <w:rFonts w:cs="Guttman Drogolin"/>
          <w:rtl/>
          <w:lang w:bidi="he-IL"/>
        </w:rPr>
      </w:pPr>
      <w:r w:rsidRPr="00882F11">
        <w:rPr>
          <w:rFonts w:cs="Guttman Drogolin" w:hint="cs"/>
          <w:rtl/>
          <w:lang w:bidi="he-IL"/>
        </w:rPr>
        <w:t>ומקשים על ביאורו של הר"ן ב' קושיות גדולות. א' דהרי מבואר במתני' רפ"ט ממס' כלאים "צמר</w:t>
      </w:r>
      <w:r w:rsidRPr="00882F11">
        <w:rPr>
          <w:rFonts w:cs="Guttman Drogolin"/>
          <w:rtl/>
          <w:lang w:bidi="he-IL"/>
        </w:rPr>
        <w:t xml:space="preserve"> </w:t>
      </w:r>
      <w:r w:rsidRPr="00882F11">
        <w:rPr>
          <w:rFonts w:cs="Guttman Drogolin" w:hint="cs"/>
          <w:rtl/>
          <w:lang w:bidi="he-IL"/>
        </w:rPr>
        <w:t>גמלים</w:t>
      </w:r>
      <w:r w:rsidRPr="00882F11">
        <w:rPr>
          <w:rFonts w:cs="Guttman Drogolin"/>
          <w:rtl/>
          <w:lang w:bidi="he-IL"/>
        </w:rPr>
        <w:t xml:space="preserve"> </w:t>
      </w:r>
      <w:r w:rsidRPr="00882F11">
        <w:rPr>
          <w:rFonts w:cs="Guttman Drogolin" w:hint="cs"/>
          <w:rtl/>
          <w:lang w:bidi="he-IL"/>
        </w:rPr>
        <w:t>וצמר</w:t>
      </w:r>
      <w:r w:rsidRPr="00882F11">
        <w:rPr>
          <w:rFonts w:cs="Guttman Drogolin"/>
          <w:rtl/>
          <w:lang w:bidi="he-IL"/>
        </w:rPr>
        <w:t xml:space="preserve"> </w:t>
      </w:r>
      <w:r w:rsidRPr="00882F11">
        <w:rPr>
          <w:rFonts w:cs="Guttman Drogolin" w:hint="cs"/>
          <w:rtl/>
          <w:lang w:bidi="he-IL"/>
        </w:rPr>
        <w:t>רחלים</w:t>
      </w:r>
      <w:r w:rsidRPr="00882F11">
        <w:rPr>
          <w:rFonts w:cs="Guttman Drogolin"/>
          <w:rtl/>
          <w:lang w:bidi="he-IL"/>
        </w:rPr>
        <w:t xml:space="preserve"> </w:t>
      </w:r>
      <w:r w:rsidRPr="00882F11">
        <w:rPr>
          <w:rFonts w:cs="Guttman Drogolin" w:hint="cs"/>
          <w:rtl/>
          <w:lang w:bidi="he-IL"/>
        </w:rPr>
        <w:t>שטרפן</w:t>
      </w:r>
      <w:r w:rsidRPr="00882F11">
        <w:rPr>
          <w:rFonts w:cs="Guttman Drogolin"/>
          <w:rtl/>
          <w:lang w:bidi="he-IL"/>
        </w:rPr>
        <w:t xml:space="preserve"> </w:t>
      </w:r>
      <w:r w:rsidRPr="00882F11">
        <w:rPr>
          <w:rFonts w:cs="Guttman Drogolin" w:hint="cs"/>
          <w:rtl/>
          <w:lang w:bidi="he-IL"/>
        </w:rPr>
        <w:t>זה</w:t>
      </w:r>
      <w:r w:rsidRPr="00882F11">
        <w:rPr>
          <w:rFonts w:cs="Guttman Drogolin"/>
          <w:rtl/>
          <w:lang w:bidi="he-IL"/>
        </w:rPr>
        <w:t xml:space="preserve"> </w:t>
      </w:r>
      <w:r w:rsidRPr="00882F11">
        <w:rPr>
          <w:rFonts w:cs="Guttman Drogolin" w:hint="cs"/>
          <w:rtl/>
          <w:lang w:bidi="he-IL"/>
        </w:rPr>
        <w:t>בזה</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רוב</w:t>
      </w:r>
      <w:r w:rsidRPr="00882F11">
        <w:rPr>
          <w:rFonts w:cs="Guttman Drogolin"/>
          <w:rtl/>
          <w:lang w:bidi="he-IL"/>
        </w:rPr>
        <w:t xml:space="preserve"> </w:t>
      </w:r>
      <w:r w:rsidRPr="00882F11">
        <w:rPr>
          <w:rFonts w:cs="Guttman Drogolin" w:hint="cs"/>
          <w:rtl/>
          <w:lang w:bidi="he-IL"/>
        </w:rPr>
        <w:t>מן</w:t>
      </w:r>
      <w:r w:rsidRPr="00882F11">
        <w:rPr>
          <w:rFonts w:cs="Guttman Drogolin"/>
          <w:rtl/>
          <w:lang w:bidi="he-IL"/>
        </w:rPr>
        <w:t xml:space="preserve"> </w:t>
      </w:r>
      <w:r w:rsidRPr="00882F11">
        <w:rPr>
          <w:rFonts w:cs="Guttman Drogolin" w:hint="cs"/>
          <w:rtl/>
          <w:lang w:bidi="he-IL"/>
        </w:rPr>
        <w:t>הגמלים</w:t>
      </w:r>
      <w:r w:rsidRPr="00882F11">
        <w:rPr>
          <w:rFonts w:cs="Guttman Drogolin"/>
          <w:rtl/>
          <w:lang w:bidi="he-IL"/>
        </w:rPr>
        <w:t xml:space="preserve"> </w:t>
      </w:r>
      <w:r w:rsidRPr="00882F11">
        <w:rPr>
          <w:rFonts w:cs="Guttman Drogolin" w:hint="cs"/>
          <w:rtl/>
          <w:lang w:bidi="he-IL"/>
        </w:rPr>
        <w:t>מותר". ולדברי הר"ן בדעת הרי"ף הרי כיון שיש לצמר רחלים תשמיש היתר כשאינו מערבו בפשתן הי' צריך ליחשב דבר שיש לו מתירין ולא בטל</w:t>
      </w:r>
      <w:r w:rsidR="00724157" w:rsidRPr="00882F11">
        <w:rPr>
          <w:rStyle w:val="FootnoteReference"/>
          <w:rFonts w:cs="Guttman Drogolin"/>
          <w:rtl/>
          <w:lang w:bidi="he-IL"/>
        </w:rPr>
        <w:footnoteReference w:id="366"/>
      </w:r>
      <w:r w:rsidR="00724157" w:rsidRPr="00882F11">
        <w:rPr>
          <w:rFonts w:cs="Guttman Drogolin" w:hint="cs"/>
          <w:rtl/>
          <w:lang w:bidi="he-IL"/>
        </w:rPr>
        <w:t xml:space="preserve">. ועוד שהרי מבואר במס' ביצה דף ד' ע"א שספק איסור דרבנן אינו להקל בדבר שי"ל מתירין, ואין לזה שום הבנה לפי פירושו של הר"ן, דהא סברת הר"ן הוא דין בביטול. וע"כ הביאור בדין זה משום סברא דעד שתאכלנו באיסור תאכלנו בהיתר. </w:t>
      </w:r>
      <w:r w:rsidR="00554233" w:rsidRPr="00882F11">
        <w:rPr>
          <w:rFonts w:cs="Guttman Drogolin" w:hint="cs"/>
          <w:rtl/>
          <w:lang w:bidi="he-IL"/>
        </w:rPr>
        <w:t>וראיתי בצל"ח שם (מבן המחבר) שכתב שדברי הר"ן תלוים באמת בב' התירוצים שבגמ' ולמ"ד שגם בדיל"מ אמרינן ספק דרבנן להל הטעם משום דאית לי' כ</w:t>
      </w:r>
      <w:r w:rsidR="0025620F" w:rsidRPr="00882F11">
        <w:rPr>
          <w:rFonts w:cs="Guttman Drogolin" w:hint="cs"/>
          <w:rtl/>
          <w:lang w:bidi="he-IL"/>
        </w:rPr>
        <w:t>ס</w:t>
      </w:r>
      <w:r w:rsidR="00554233" w:rsidRPr="00882F11">
        <w:rPr>
          <w:rFonts w:cs="Guttman Drogolin" w:hint="cs"/>
          <w:rtl/>
          <w:lang w:bidi="he-IL"/>
        </w:rPr>
        <w:t>ברת הר"ן, רק ר' אשי טעמו כשמ"כ רש"י</w:t>
      </w:r>
      <w:r w:rsidR="0025620F" w:rsidRPr="00882F11">
        <w:rPr>
          <w:rFonts w:cs="Guttman Drogolin" w:hint="cs"/>
          <w:rtl/>
          <w:lang w:bidi="he-IL"/>
        </w:rPr>
        <w:t xml:space="preserve"> (ע"ש שר' פפא הוא לשיטתו במס' מנחות דף ס"ח ע"ב)</w:t>
      </w:r>
      <w:r w:rsidR="00554233" w:rsidRPr="00882F11">
        <w:rPr>
          <w:rFonts w:cs="Guttman Drogolin" w:hint="cs"/>
          <w:rtl/>
          <w:lang w:bidi="he-IL"/>
        </w:rPr>
        <w:t>. ולולא דבריו לכא</w:t>
      </w:r>
      <w:r w:rsidR="0025620F" w:rsidRPr="00882F11">
        <w:rPr>
          <w:rFonts w:cs="Guttman Drogolin" w:hint="cs"/>
          <w:rtl/>
          <w:lang w:bidi="he-IL"/>
        </w:rPr>
        <w:t>ו</w:t>
      </w:r>
      <w:r w:rsidR="00554233" w:rsidRPr="00882F11">
        <w:rPr>
          <w:rFonts w:cs="Guttman Drogolin" w:hint="cs"/>
          <w:rtl/>
          <w:lang w:bidi="he-IL"/>
        </w:rPr>
        <w:t>רה אין המחלוקת בטעם החומרא דדבר שיש לו מתירין, אלא השאלה עד כמה אנחנו מחמירים בדבר שי"ל מתירים, ויתכן שבספק ד</w:t>
      </w:r>
      <w:r w:rsidR="00F672BA" w:rsidRPr="00882F11">
        <w:rPr>
          <w:rFonts w:cs="Guttman Drogolin" w:hint="cs"/>
          <w:rtl/>
          <w:lang w:bidi="he-IL"/>
        </w:rPr>
        <w:t>רבנן</w:t>
      </w:r>
      <w:r w:rsidR="00554233" w:rsidRPr="00882F11">
        <w:rPr>
          <w:rFonts w:cs="Guttman Drogolin" w:hint="cs"/>
          <w:rtl/>
          <w:lang w:bidi="he-IL"/>
        </w:rPr>
        <w:t xml:space="preserve"> שהוא לקולא הקילו גם בדבר שי"ל מתירים.</w:t>
      </w:r>
    </w:p>
    <w:p w:rsidR="002A4683" w:rsidRPr="00882F11" w:rsidRDefault="0025620F" w:rsidP="00C04B27">
      <w:pPr>
        <w:tabs>
          <w:tab w:val="right" w:pos="7497"/>
        </w:tabs>
        <w:bidi/>
        <w:jc w:val="both"/>
        <w:rPr>
          <w:rFonts w:cs="Guttman Drogolin"/>
          <w:rtl/>
          <w:lang w:bidi="he-IL"/>
        </w:rPr>
      </w:pPr>
      <w:r w:rsidRPr="00882F11">
        <w:rPr>
          <w:rFonts w:cs="Guttman Drogolin" w:hint="cs"/>
          <w:rtl/>
          <w:lang w:bidi="he-IL"/>
        </w:rPr>
        <w:lastRenderedPageBreak/>
        <w:t xml:space="preserve">ויש בזה תירוץ אחר המוזכר בכמה אחרונים (ע' כגון שלמי נדרים שם), והוא </w:t>
      </w:r>
      <w:r w:rsidR="00F46277" w:rsidRPr="00882F11">
        <w:rPr>
          <w:rFonts w:cs="Guttman Drogolin" w:hint="cs"/>
          <w:rtl/>
          <w:lang w:bidi="he-IL"/>
        </w:rPr>
        <w:t>שלעולם ליכא פלוגתא בין רש"י לר"ן בטעם הדבר שדיל"מ לא בטיל (תדע שהר"ן לא הביא דעה החולקת עליו אע"פ שדרכו להביא הדעות השונות, וכן הט"ז בסי' ק"ב הביא שיטת רש"י וכן שיטת הר"ן ולא העיר מזה שיש מחלוקת ביניהם). רק כל א' נתן טעם בחלק אחר של החומרא של דשיל"מ. לענין ספק דרבנן ודאי הטעם להחמיר כמש"כ רש"י דעד שתאכלנו באיסור תאכלנו בהיתר, דבזה ודאי לא שייך סברת הר"ן וכנ"ל. וכן בתערובת יבש ביבש לא שייך סברת הר"ן, שהרי</w:t>
      </w:r>
      <w:r w:rsidRPr="00882F11">
        <w:rPr>
          <w:rFonts w:cs="Guttman Drogolin" w:hint="cs"/>
          <w:rtl/>
          <w:lang w:bidi="he-IL"/>
        </w:rPr>
        <w:t xml:space="preserve"> הדין דמין במינו לא בטל היינו בתערובת לח בלח, אבל ביבש ביבש גם ר' יהודה מודה דלא אמרינן דמין במינו לא בטל (ע' תוס' במס' זבחים ע"ג ע"א ד"ה </w:t>
      </w:r>
      <w:r w:rsidR="00F46277" w:rsidRPr="00882F11">
        <w:rPr>
          <w:rFonts w:cs="Guttman Drogolin" w:hint="cs"/>
          <w:rtl/>
          <w:lang w:bidi="he-IL"/>
        </w:rPr>
        <w:t>רבי יהודה)</w:t>
      </w:r>
      <w:r w:rsidRPr="00882F11">
        <w:rPr>
          <w:rFonts w:cs="Guttman Drogolin" w:hint="cs"/>
          <w:rtl/>
          <w:lang w:bidi="he-IL"/>
        </w:rPr>
        <w:t xml:space="preserve">. </w:t>
      </w:r>
      <w:r w:rsidR="00F46277" w:rsidRPr="00882F11">
        <w:rPr>
          <w:rFonts w:cs="Guttman Drogolin" w:hint="cs"/>
          <w:rtl/>
          <w:lang w:bidi="he-IL"/>
        </w:rPr>
        <w:t xml:space="preserve">ומ"מ בתערובת לח בלח סוברים דלא סגי לן בטעם ד'עד שתאכלנו וכו'. ומשו"ה התם הוי מטעם אחר וכמו שביאר הר"ן. וא"כ אין שום קושיא לא מן המתני' דמס' כלאים ולא מדין ספיקא דרבנן שיל"מ להחמיר, דהא בתרוייהו מודה הר"ן שהטם בהם משום טעמא ד'עד שתאכלנו וכו''. </w:t>
      </w:r>
      <w:r w:rsidR="00A525D0" w:rsidRPr="00882F11">
        <w:rPr>
          <w:rFonts w:cs="Guttman Drogolin" w:hint="cs"/>
          <w:rtl/>
          <w:lang w:bidi="he-IL"/>
        </w:rPr>
        <w:t xml:space="preserve">ומ"מ הדברים מחודשים דהא החומרא דדבר שיש לו מתירים סתמא כתיב ודחוק לומר דהוו ב' חומרות נפרדות שאין שום שייכות ביניהם. </w:t>
      </w:r>
    </w:p>
    <w:p w:rsidR="002A4683" w:rsidRPr="00882F11" w:rsidRDefault="002A4683" w:rsidP="002A4683">
      <w:pPr>
        <w:pStyle w:val="Heading1"/>
        <w:bidi/>
        <w:spacing w:before="0" w:line="360" w:lineRule="auto"/>
        <w:jc w:val="center"/>
        <w:rPr>
          <w:rFonts w:cs="Guttman Drogolin"/>
          <w:color w:val="auto"/>
          <w:sz w:val="24"/>
          <w:szCs w:val="24"/>
          <w:u w:val="single"/>
          <w:rtl/>
          <w:lang w:bidi="he-IL"/>
        </w:rPr>
      </w:pPr>
      <w:bookmarkStart w:id="348" w:name="_Toc496175598"/>
      <w:r w:rsidRPr="00882F11">
        <w:rPr>
          <w:rFonts w:cs="Guttman Drogolin" w:hint="cs"/>
          <w:color w:val="auto"/>
          <w:sz w:val="24"/>
          <w:szCs w:val="24"/>
          <w:u w:val="single"/>
          <w:rtl/>
          <w:lang w:bidi="he-IL"/>
        </w:rPr>
        <w:t>דבר שיש לו מתירין ע"י מעשה</w:t>
      </w:r>
      <w:bookmarkEnd w:id="348"/>
    </w:p>
    <w:p w:rsidR="00C74BEF" w:rsidRPr="00882F11" w:rsidRDefault="0029471F" w:rsidP="008172D6">
      <w:pPr>
        <w:tabs>
          <w:tab w:val="right" w:pos="7497"/>
        </w:tabs>
        <w:bidi/>
        <w:jc w:val="both"/>
        <w:rPr>
          <w:rFonts w:cs="Guttman Drogolin"/>
          <w:rtl/>
          <w:lang w:bidi="he-IL"/>
        </w:rPr>
      </w:pPr>
      <w:r>
        <w:rPr>
          <w:rFonts w:cs="Guttman Drogolin"/>
          <w:rtl/>
          <w:lang w:bidi="he-IL"/>
        </w:rPr>
        <w:fldChar w:fldCharType="begin"/>
      </w:r>
      <w:r>
        <w:instrText xml:space="preserve"> XE "</w:instrText>
      </w:r>
      <w:r w:rsidRPr="00D62840">
        <w:rPr>
          <w:rFonts w:hint="cs"/>
          <w:rtl/>
          <w:lang w:bidi="he-IL"/>
        </w:rPr>
        <w:instrText>דבר שיש לו מתירין</w:instrText>
      </w:r>
      <w:r w:rsidRPr="00D62840">
        <w:rPr>
          <w:rtl/>
        </w:rPr>
        <w:instrText>:</w:instrText>
      </w:r>
      <w:r w:rsidRPr="00D62840">
        <w:rPr>
          <w:rFonts w:hint="cs"/>
          <w:rtl/>
          <w:lang w:bidi="he-IL"/>
        </w:rPr>
        <w:instrText>ע</w:instrText>
      </w:r>
      <w:r>
        <w:rPr>
          <w:rFonts w:eastAsiaTheme="minorEastAsia"/>
          <w:lang w:bidi="he-IL"/>
        </w:rPr>
        <w:instrText>\</w:instrText>
      </w:r>
      <w:r w:rsidRPr="00D62840">
        <w:rPr>
          <w:rFonts w:hint="cs"/>
          <w:rtl/>
          <w:lang w:bidi="he-IL"/>
        </w:rPr>
        <w:instrText>"י מעשה</w:instrText>
      </w:r>
      <w:r>
        <w:instrText xml:space="preserve">" </w:instrText>
      </w:r>
      <w:r>
        <w:rPr>
          <w:rFonts w:cs="Guttman Drogolin"/>
          <w:rtl/>
          <w:lang w:bidi="he-IL"/>
        </w:rPr>
        <w:fldChar w:fldCharType="end"/>
      </w:r>
      <w:r w:rsidR="002A4683" w:rsidRPr="00882F11">
        <w:rPr>
          <w:rFonts w:cs="Guttman Drogolin" w:hint="cs"/>
          <w:rtl/>
          <w:lang w:bidi="he-IL"/>
        </w:rPr>
        <w:t>בסוגיית</w:t>
      </w:r>
      <w:r w:rsidR="008172D6" w:rsidRPr="00882F11">
        <w:rPr>
          <w:rFonts w:cs="Guttman Drogolin" w:hint="cs"/>
          <w:rtl/>
          <w:lang w:bidi="he-IL"/>
        </w:rPr>
        <w:t xml:space="preserve"> הגמ' דמס' נדרים דף נ"ט ע"א הקשו</w:t>
      </w:r>
      <w:r w:rsidR="00672C70" w:rsidRPr="00882F11">
        <w:rPr>
          <w:rFonts w:cs="Guttman Drogolin" w:hint="cs"/>
          <w:rtl/>
          <w:lang w:bidi="he-IL"/>
        </w:rPr>
        <w:t xml:space="preserve"> סתירה שמצד א' חזינן דקונמות הוו דבר שי"ל מתירין כיון שאפשר להתירם ע"י שאלה, ומצד שני חזינן דתרומה בטל בק' אע"ג שגם תרומה איתי' בשאלה. ומסקנת הגמ' לחלק דשאני קונמות הואייל ומצוה לאתשולי עלה משא"כ בתרומה. </w:t>
      </w:r>
      <w:r w:rsidR="00672C70" w:rsidRPr="00882F11">
        <w:rPr>
          <w:rFonts w:cs="Guttman Drogolin" w:hint="cs"/>
          <w:rtl/>
          <w:lang w:bidi="he-IL"/>
        </w:rPr>
        <w:lastRenderedPageBreak/>
        <w:t>ולכאורה חזינן מדברי הגמ' מפורש דדבר שי"ל מתירין אינו אך ורק דבר שעתיד להיות מותר לאחר זמן, אלא גם דבר שבידו להתירו כגון ע"י התרת חכם ג"כ חשוב דבר שי"ל מתירין. אלא דהנה יל"ע מהו הביאור במסקנת הגמ' לחלק בין היכא דמצוה לאתשולי עלה להיכא דאינו מצוה, דהא סוף סוף בידו להתיר גם תרומה. ולשון הרא"ש בפירושו שם "</w:t>
      </w:r>
      <w:r w:rsidR="00C74BEF" w:rsidRPr="00882F11">
        <w:rPr>
          <w:rFonts w:cs="Guttman Drogolin" w:hint="cs"/>
          <w:rtl/>
          <w:lang w:bidi="he-IL"/>
        </w:rPr>
        <w:t xml:space="preserve">אלא אימא בשלמא קונמות מצוה לאיתשולי עלייהו הלכך נקרא דבר שיש לו מתירין דסתמייהו עומדים לישאל". ולכאורה ר"ל דלעולם רק דבר שעומד להיות מותר הרי הוא בכלל דבר שיש לו מתירין, ולכן גם נדרים אע"פ שאינו מותרים ממילא חשובים דשיל"מ כיון שעומדים להיות מותרים, אבל זה לבד שאפשר להתירו אינו טעם לומר דהוי דשיל"מ. וכה"ג מבואר גם בפי' הר"ן שם שכתב דכיון שמצוה לאיתשולי עלייהו הוי כאילו איתשיל עלייהו. </w:t>
      </w:r>
    </w:p>
    <w:p w:rsidR="00FD08FE" w:rsidRPr="00882F11" w:rsidRDefault="00C74BEF" w:rsidP="00FD08FE">
      <w:pPr>
        <w:tabs>
          <w:tab w:val="right" w:pos="7497"/>
        </w:tabs>
        <w:bidi/>
        <w:jc w:val="both"/>
        <w:rPr>
          <w:rFonts w:cs="Guttman Drogolin"/>
          <w:rtl/>
          <w:lang w:bidi="he-IL"/>
        </w:rPr>
      </w:pPr>
      <w:r w:rsidRPr="00882F11">
        <w:rPr>
          <w:rFonts w:cs="Guttman Drogolin" w:hint="cs"/>
          <w:rtl/>
          <w:lang w:bidi="he-IL"/>
        </w:rPr>
        <w:t>אמנם העומד לנגדינו הוא מה שמ</w:t>
      </w:r>
      <w:r w:rsidR="00150C33" w:rsidRPr="00882F11">
        <w:rPr>
          <w:rFonts w:cs="Guttman Drogolin" w:hint="cs"/>
          <w:rtl/>
          <w:lang w:bidi="he-IL"/>
        </w:rPr>
        <w:t>ב</w:t>
      </w:r>
      <w:r w:rsidRPr="00882F11">
        <w:rPr>
          <w:rFonts w:cs="Guttman Drogolin" w:hint="cs"/>
          <w:rtl/>
          <w:lang w:bidi="he-IL"/>
        </w:rPr>
        <w:t>ואר ברשב"א דכלים שאפשר להכשיר אותם חשובים כדשיל"מ כיון שאפשר בהגעלה (רק שבאופן שיש תוספת הפסד או טירחא לא חשוב 'יש לו מתירין'</w:t>
      </w:r>
      <w:r w:rsidR="009A0457" w:rsidRPr="00882F11">
        <w:rPr>
          <w:rFonts w:cs="Guttman Drogolin" w:hint="cs"/>
          <w:rtl/>
          <w:lang w:bidi="he-IL"/>
        </w:rPr>
        <w:t>)</w:t>
      </w:r>
      <w:r w:rsidRPr="00882F11">
        <w:rPr>
          <w:rFonts w:cs="Guttman Drogolin" w:hint="cs"/>
          <w:rtl/>
          <w:lang w:bidi="he-IL"/>
        </w:rPr>
        <w:t>.</w:t>
      </w:r>
      <w:r w:rsidR="009A0457" w:rsidRPr="00882F11">
        <w:rPr>
          <w:rFonts w:cs="Guttman Drogolin" w:hint="cs"/>
          <w:rtl/>
          <w:lang w:bidi="he-IL"/>
        </w:rPr>
        <w:t xml:space="preserve"> ולכאורה צ"ע דכיון דליכא מצוה להגעיל כלים למה יחשב דבר שי"ל מתירין כלל. וכן יעוין בש"ך סי' ק"ב ס"ק </w:t>
      </w:r>
      <w:r w:rsidR="00FD08FE" w:rsidRPr="00882F11">
        <w:rPr>
          <w:rFonts w:cs="Guttman Drogolin" w:hint="cs"/>
          <w:rtl/>
          <w:lang w:bidi="he-IL"/>
        </w:rPr>
        <w:t>ח</w:t>
      </w:r>
      <w:r w:rsidR="009A0457" w:rsidRPr="00882F11">
        <w:rPr>
          <w:rFonts w:cs="Guttman Drogolin" w:hint="cs"/>
          <w:rtl/>
          <w:lang w:bidi="he-IL"/>
        </w:rPr>
        <w:t xml:space="preserve">' שהביא ממהרש"ל </w:t>
      </w:r>
      <w:r w:rsidR="00FD08FE" w:rsidRPr="00882F11">
        <w:rPr>
          <w:rFonts w:cs="Guttman Drogolin" w:hint="cs"/>
          <w:rtl/>
          <w:lang w:bidi="he-IL"/>
        </w:rPr>
        <w:t xml:space="preserve">(יש"ש פרק ח' אות פ"ו) שחלק על הרשב"א שאין זה נחשב דשיל"מ כיון שאין ההיתר בא ממילא לאחר זמן. והש"ך שם תמה עליו מהא דנדרים אבל למתבאר לכאורה דברי המהרש"ל מובנים היטב דהא נדרים הוו כממילא כיון דמצוה שאיתשולי עלייהו משא"כ בהגעלת כלים. </w:t>
      </w:r>
    </w:p>
    <w:p w:rsidR="00FD08FE" w:rsidRPr="00882F11" w:rsidRDefault="00FD08FE" w:rsidP="00FD08FE">
      <w:pPr>
        <w:tabs>
          <w:tab w:val="right" w:pos="7497"/>
        </w:tabs>
        <w:bidi/>
        <w:jc w:val="both"/>
        <w:rPr>
          <w:rFonts w:cs="Guttman Drogolin"/>
          <w:rtl/>
          <w:lang w:bidi="he-IL"/>
        </w:rPr>
      </w:pPr>
      <w:r w:rsidRPr="00882F11">
        <w:rPr>
          <w:rFonts w:cs="Guttman Drogolin" w:hint="cs"/>
          <w:rtl/>
          <w:lang w:bidi="he-IL"/>
        </w:rPr>
        <w:t>אלא שהרי במואר בגמ' נ"ח ע"א דטבל ג"כ שוב דבר שי"ל מתירין כיון שיכול להפריש ממנו תרומה. והא אין חיוב להפריש תרומה. וכן כה"ג במע"ש ג"כ מבואר דה</w:t>
      </w:r>
      <w:r w:rsidR="001939A6" w:rsidRPr="00882F11">
        <w:rPr>
          <w:rFonts w:cs="Guttman Drogolin" w:hint="cs"/>
          <w:rtl/>
          <w:lang w:bidi="he-IL"/>
        </w:rPr>
        <w:t xml:space="preserve">וי דשיל"מ כיון שאפשר בפדיון או </w:t>
      </w:r>
      <w:r w:rsidRPr="00882F11">
        <w:rPr>
          <w:rFonts w:cs="Guttman Drogolin" w:hint="cs"/>
          <w:rtl/>
          <w:lang w:bidi="he-IL"/>
        </w:rPr>
        <w:t xml:space="preserve">לאכול בירושלים, וצ"ע שאין מצוה לפדות מעשר. ולכאורה הביאור בכל זה דדבר </w:t>
      </w:r>
      <w:r w:rsidRPr="00882F11">
        <w:rPr>
          <w:rFonts w:cs="Guttman Drogolin" w:hint="cs"/>
          <w:rtl/>
          <w:lang w:bidi="he-IL"/>
        </w:rPr>
        <w:lastRenderedPageBreak/>
        <w:t>שעומד להיות מותר, בין שיהא משום שמצוה להתירו או משום שלזה הוא עומד הרי זה שפיר בכלל דבר שי"ל מתירין. ומשו"ה טבל ומע"ש חשיבי דשיל"מ. ובהגעלת כלים לכאורה סבר הרשב"א שגם הא עומד להגעלה. ומהרש"ל סבר דכיון שאין דין להגעילו רק שיכול להגעילו אם חושש להפסד הכלי אין זה מספיק כדי להחשיבו דשיל"מ.</w:t>
      </w:r>
    </w:p>
    <w:p w:rsidR="00E86A67" w:rsidRPr="00882F11" w:rsidRDefault="00FD08FE" w:rsidP="00C04B27">
      <w:pPr>
        <w:tabs>
          <w:tab w:val="right" w:pos="7497"/>
        </w:tabs>
        <w:bidi/>
        <w:jc w:val="both"/>
        <w:rPr>
          <w:rFonts w:cs="Guttman Drogolin"/>
          <w:rtl/>
          <w:lang w:bidi="he-IL"/>
        </w:rPr>
      </w:pPr>
      <w:r w:rsidRPr="00882F11">
        <w:rPr>
          <w:rFonts w:cs="Guttman Drogolin" w:hint="cs"/>
          <w:rtl/>
          <w:lang w:bidi="he-IL"/>
        </w:rPr>
        <w:t>ומצאתי פי' אחר לדברי הרשב"א. שהרי הט"ז בהלכות חלה (סי' שכ"ג</w:t>
      </w:r>
      <w:r w:rsidR="009C738F" w:rsidRPr="00882F11">
        <w:rPr>
          <w:rFonts w:cs="Guttman Drogolin" w:hint="cs"/>
          <w:rtl/>
          <w:lang w:bidi="he-IL"/>
        </w:rPr>
        <w:t xml:space="preserve"> ס"ק ב') האריך לבאר דאע"ג דמבואר כאן בסוגיא שאפשר להתיר הפרשת תרומה ע"י שאלת חכם, אי אפשר ע"י זה שמתחרט על הפרשתו </w:t>
      </w:r>
      <w:r w:rsidR="00E86A67" w:rsidRPr="00882F11">
        <w:rPr>
          <w:rFonts w:cs="Guttman Drogolin" w:hint="cs"/>
          <w:rtl/>
          <w:lang w:bidi="he-IL"/>
        </w:rPr>
        <w:t>משום זה לבד</w:t>
      </w:r>
      <w:r w:rsidR="009C738F" w:rsidRPr="00882F11">
        <w:rPr>
          <w:rFonts w:cs="Guttman Drogolin" w:hint="cs"/>
          <w:rtl/>
          <w:lang w:bidi="he-IL"/>
        </w:rPr>
        <w:t xml:space="preserve"> שהתערב בתערובת אחר</w:t>
      </w:r>
      <w:r w:rsidR="00E86A67" w:rsidRPr="00882F11">
        <w:rPr>
          <w:rFonts w:cs="Guttman Drogolin" w:hint="cs"/>
          <w:rtl/>
          <w:lang w:bidi="he-IL"/>
        </w:rPr>
        <w:t>, ע"ש כמה הוכחות לזה</w:t>
      </w:r>
      <w:r w:rsidR="009C738F" w:rsidRPr="00882F11">
        <w:rPr>
          <w:rFonts w:cs="Guttman Drogolin" w:hint="cs"/>
          <w:rtl/>
          <w:lang w:bidi="he-IL"/>
        </w:rPr>
        <w:t>.</w:t>
      </w:r>
      <w:r w:rsidR="00E86A67" w:rsidRPr="00882F11">
        <w:rPr>
          <w:rFonts w:cs="Guttman Drogolin" w:hint="cs"/>
          <w:rtl/>
          <w:lang w:bidi="he-IL"/>
        </w:rPr>
        <w:t xml:space="preserve"> וביאר שזהו הביאור בחילוק שבגמ' בין נדרים לתרומה, שבנדרים מתחרט על עיקר הנדר כיון דמצוה לאיתשולי עלי', אבל בתרומה (וכן חלה) אינו מתחרט על עיקר ההפרשה רק משום זה שהתערב בדבר אחר, ואין זה מספיק כדי שיחשב דשיל"מ. ויוצא לדבריו שלעולם זה לבד שבידו לעשותו עושהו דשיל"מ</w:t>
      </w:r>
      <w:r w:rsidR="004E46F4" w:rsidRPr="00882F11">
        <w:rPr>
          <w:rStyle w:val="FootnoteReference"/>
          <w:rFonts w:cs="Guttman Drogolin"/>
          <w:rtl/>
          <w:lang w:bidi="he-IL"/>
        </w:rPr>
        <w:footnoteReference w:id="367"/>
      </w:r>
      <w:r w:rsidR="00E86A67" w:rsidRPr="00882F11">
        <w:rPr>
          <w:rFonts w:cs="Guttman Drogolin" w:hint="cs"/>
          <w:rtl/>
          <w:lang w:bidi="he-IL"/>
        </w:rPr>
        <w:t>, רק תרומה אין בידו לעשותו ומטעם הנ"ל. וכן לכאורה משמע מלשון הרשב"א המובא בטור, דמשמע שיש ב' אופנים שיחשב דשיל"מ, או דעתיד להיות מותר או"ד שיכול להתירו ע"י עצמו, ואם לפי' מהרש"ל ליכא אלא דרך א' והוא דעתיד להיות מותר, רק שגם נדרים עתידים להיות מותר</w:t>
      </w:r>
      <w:r w:rsidR="00C04B27">
        <w:rPr>
          <w:rFonts w:cs="Guttman Drogolin" w:hint="cs"/>
          <w:rtl/>
          <w:lang w:bidi="he-IL"/>
        </w:rPr>
        <w:t>ים</w:t>
      </w:r>
      <w:r w:rsidR="00E86A67" w:rsidRPr="00882F11">
        <w:rPr>
          <w:rFonts w:cs="Guttman Drogolin" w:hint="cs"/>
          <w:rtl/>
          <w:lang w:bidi="he-IL"/>
        </w:rPr>
        <w:t xml:space="preserve"> אע"ג שצריך הוא לישאל עליו בפועל כיון שמסתמא יעשה כן כיון דמצוה לאיתשולי עלי'.</w:t>
      </w:r>
      <w:r w:rsidR="009C738F" w:rsidRPr="00882F11">
        <w:rPr>
          <w:rFonts w:cs="Guttman Drogolin" w:hint="cs"/>
          <w:rtl/>
          <w:lang w:bidi="he-IL"/>
        </w:rPr>
        <w:t xml:space="preserve"> </w:t>
      </w:r>
      <w:r w:rsidRPr="00882F11">
        <w:rPr>
          <w:rFonts w:cs="Guttman Drogolin" w:hint="cs"/>
          <w:rtl/>
          <w:lang w:bidi="he-IL"/>
        </w:rPr>
        <w:t xml:space="preserve"> </w:t>
      </w:r>
      <w:r w:rsidR="009A0457" w:rsidRPr="00882F11">
        <w:rPr>
          <w:rFonts w:cs="Guttman Drogolin" w:hint="cs"/>
          <w:rtl/>
          <w:lang w:bidi="he-IL"/>
        </w:rPr>
        <w:t xml:space="preserve"> </w:t>
      </w:r>
    </w:p>
    <w:p w:rsidR="00E86A67" w:rsidRPr="00882F11" w:rsidRDefault="00E86A67" w:rsidP="00E86A67">
      <w:pPr>
        <w:tabs>
          <w:tab w:val="right" w:pos="7497"/>
        </w:tabs>
        <w:bidi/>
        <w:jc w:val="both"/>
        <w:rPr>
          <w:rFonts w:cs="Guttman Drogolin"/>
          <w:rtl/>
          <w:lang w:bidi="he-IL"/>
        </w:rPr>
        <w:sectPr w:rsidR="00E86A67" w:rsidRPr="00882F11" w:rsidSect="00891DE2">
          <w:type w:val="continuous"/>
          <w:pgSz w:w="11907" w:h="16839" w:code="9"/>
          <w:pgMar w:top="1440" w:right="1440" w:bottom="1440" w:left="1440" w:header="720" w:footer="720" w:gutter="0"/>
          <w:cols w:num="2" w:space="720"/>
          <w:bidi/>
          <w:docGrid w:linePitch="360"/>
        </w:sectPr>
      </w:pPr>
    </w:p>
    <w:p w:rsidR="00E86A67" w:rsidRPr="00891DE2" w:rsidRDefault="00E86A67" w:rsidP="00E86A67">
      <w:pPr>
        <w:keepNext/>
        <w:tabs>
          <w:tab w:val="left" w:pos="3818"/>
          <w:tab w:val="center" w:pos="4680"/>
        </w:tabs>
        <w:bidi/>
        <w:jc w:val="center"/>
        <w:rPr>
          <w:rFonts w:cs="Guttman Drogolin"/>
          <w:b/>
          <w:bCs/>
          <w:sz w:val="48"/>
          <w:szCs w:val="48"/>
          <w:rtl/>
          <w:lang w:bidi="he-IL"/>
        </w:rPr>
      </w:pPr>
      <w:r w:rsidRPr="00891DE2">
        <w:rPr>
          <w:rFonts w:cs="Guttman Drogolin" w:hint="cs"/>
          <w:b/>
          <w:bCs/>
          <w:sz w:val="48"/>
          <w:szCs w:val="48"/>
          <w:rtl/>
          <w:lang w:bidi="he-IL"/>
        </w:rPr>
        <w:lastRenderedPageBreak/>
        <w:t>שיעור פ"ז</w:t>
      </w:r>
    </w:p>
    <w:p w:rsidR="00891DE2" w:rsidRDefault="00891DE2" w:rsidP="00E86A67">
      <w:pPr>
        <w:pStyle w:val="Heading1"/>
        <w:bidi/>
        <w:spacing w:before="0" w:line="360" w:lineRule="auto"/>
        <w:jc w:val="center"/>
        <w:rPr>
          <w:rFonts w:cs="Guttman Drogolin"/>
          <w:color w:val="auto"/>
          <w:sz w:val="24"/>
          <w:szCs w:val="24"/>
          <w:u w:val="single"/>
          <w:rtl/>
          <w:lang w:bidi="he-IL"/>
        </w:rPr>
        <w:sectPr w:rsidR="00891DE2" w:rsidSect="00891DE2">
          <w:pgSz w:w="11907" w:h="16839" w:code="9"/>
          <w:pgMar w:top="1440" w:right="1440" w:bottom="1440" w:left="1440" w:header="720" w:footer="720" w:gutter="0"/>
          <w:cols w:space="720"/>
          <w:bidi/>
          <w:docGrid w:linePitch="360"/>
        </w:sectPr>
      </w:pPr>
    </w:p>
    <w:p w:rsidR="00E86A67" w:rsidRPr="00882F11" w:rsidRDefault="00E86A67" w:rsidP="00E86A67">
      <w:pPr>
        <w:pStyle w:val="Heading1"/>
        <w:bidi/>
        <w:spacing w:before="0" w:line="360" w:lineRule="auto"/>
        <w:jc w:val="center"/>
        <w:rPr>
          <w:rFonts w:cs="Guttman Drogolin"/>
          <w:color w:val="auto"/>
          <w:sz w:val="24"/>
          <w:szCs w:val="24"/>
          <w:u w:val="single"/>
          <w:rtl/>
          <w:lang w:bidi="he-IL"/>
        </w:rPr>
      </w:pPr>
      <w:bookmarkStart w:id="349" w:name="_Toc496175599"/>
      <w:r w:rsidRPr="00882F11">
        <w:rPr>
          <w:rFonts w:cs="Guttman Drogolin" w:hint="cs"/>
          <w:color w:val="auto"/>
          <w:sz w:val="24"/>
          <w:szCs w:val="24"/>
          <w:u w:val="single"/>
          <w:rtl/>
          <w:lang w:bidi="he-IL"/>
        </w:rPr>
        <w:lastRenderedPageBreak/>
        <w:t>דבר שיש לו מתירין ויש איסור אחר</w:t>
      </w:r>
      <w:bookmarkEnd w:id="349"/>
    </w:p>
    <w:p w:rsidR="003F620F" w:rsidRPr="00882F11" w:rsidRDefault="0029471F" w:rsidP="0029471F">
      <w:pPr>
        <w:tabs>
          <w:tab w:val="right" w:pos="7497"/>
        </w:tabs>
        <w:bidi/>
        <w:jc w:val="both"/>
        <w:rPr>
          <w:rFonts w:cs="Guttman Drogolin"/>
          <w:rtl/>
          <w:lang w:bidi="he-IL"/>
        </w:rPr>
      </w:pPr>
      <w:r>
        <w:rPr>
          <w:rFonts w:cs="Guttman Drogolin"/>
          <w:rtl/>
          <w:lang w:bidi="he-IL"/>
        </w:rPr>
        <w:fldChar w:fldCharType="begin"/>
      </w:r>
      <w:r>
        <w:instrText xml:space="preserve"> XE "</w:instrText>
      </w:r>
      <w:r w:rsidRPr="00D62840">
        <w:rPr>
          <w:rFonts w:hint="cs"/>
          <w:rtl/>
          <w:lang w:bidi="he-IL"/>
        </w:rPr>
        <w:instrText>דבר שיש לו מתירין</w:instrText>
      </w:r>
      <w:r w:rsidRPr="00D62840">
        <w:rPr>
          <w:rtl/>
        </w:rPr>
        <w:instrText>:</w:instrText>
      </w:r>
      <w:r>
        <w:rPr>
          <w:rFonts w:hint="cs"/>
          <w:rtl/>
          <w:lang w:bidi="he-IL"/>
        </w:rPr>
        <w:instrText>לא' משני האיסורים שעלי'</w:instrText>
      </w:r>
      <w:r>
        <w:instrText xml:space="preserve">" </w:instrText>
      </w:r>
      <w:r>
        <w:rPr>
          <w:rFonts w:cs="Guttman Drogolin"/>
          <w:rtl/>
          <w:lang w:bidi="he-IL"/>
        </w:rPr>
        <w:fldChar w:fldCharType="end"/>
      </w:r>
      <w:r w:rsidR="00E86A67" w:rsidRPr="00882F11">
        <w:rPr>
          <w:rFonts w:cs="Guttman Drogolin" w:hint="cs"/>
          <w:rtl/>
          <w:lang w:bidi="he-IL"/>
        </w:rPr>
        <w:t xml:space="preserve">בגמ' דמס' נדרים הנ"ל מבואר דאילו הי' מצוה לאיתשולי אתרומה הי' תרומה חשוב דשיל"מ. ולכאורה משאלת השאלה דמאי אהני לן </w:t>
      </w:r>
      <w:r w:rsidR="00914E86" w:rsidRPr="00882F11">
        <w:rPr>
          <w:rFonts w:cs="Guttman Drogolin" w:hint="cs"/>
          <w:rtl/>
          <w:lang w:bidi="he-IL"/>
        </w:rPr>
        <w:t xml:space="preserve">זה </w:t>
      </w:r>
      <w:r w:rsidR="00E86A67" w:rsidRPr="00882F11">
        <w:rPr>
          <w:rFonts w:cs="Guttman Drogolin" w:hint="cs"/>
          <w:rtl/>
          <w:lang w:bidi="he-IL"/>
        </w:rPr>
        <w:t xml:space="preserve">שיוכל </w:t>
      </w:r>
      <w:r w:rsidR="00914E86" w:rsidRPr="00882F11">
        <w:rPr>
          <w:rFonts w:cs="Guttman Drogolin" w:hint="cs"/>
          <w:rtl/>
          <w:lang w:bidi="he-IL"/>
        </w:rPr>
        <w:t xml:space="preserve">לישאל עליו, הא מיד שישאל עליו יהפך להיות טבל והרי גם טבל אסור. </w:t>
      </w:r>
      <w:r w:rsidR="0014737A" w:rsidRPr="00882F11">
        <w:rPr>
          <w:rFonts w:cs="Guttman Drogolin" w:hint="cs"/>
          <w:rtl/>
          <w:lang w:bidi="he-IL"/>
        </w:rPr>
        <w:t xml:space="preserve">ולכאורה הי' אפשר לומר דמ"מ נחשב דשיל"מ כיון שאחרי שנהפך להיות טבל אפשר להפריש ממנו תרומה ממקו"א ואז יהי' מה שהתערב מותר לגמרי. </w:t>
      </w:r>
      <w:r w:rsidR="00D5127A" w:rsidRPr="00882F11">
        <w:rPr>
          <w:rFonts w:cs="Guttman Drogolin" w:hint="cs"/>
          <w:rtl/>
          <w:lang w:bidi="he-IL"/>
        </w:rPr>
        <w:t xml:space="preserve">וכן ע"כ צריכים לומר שהוא הטעם שטבל עצמו חשוב דבר שי"ל מתירין. </w:t>
      </w:r>
      <w:r w:rsidR="0014737A" w:rsidRPr="00882F11">
        <w:rPr>
          <w:rFonts w:cs="Guttman Drogolin" w:hint="cs"/>
          <w:rtl/>
          <w:lang w:bidi="he-IL"/>
        </w:rPr>
        <w:t>אבל בפי' הרא"ש שם התייחס לקושיא זו ותי' "</w:t>
      </w:r>
      <w:r w:rsidR="003F620F" w:rsidRPr="00882F11">
        <w:rPr>
          <w:rFonts w:cs="Guttman Drogolin" w:hint="cs"/>
          <w:rtl/>
          <w:lang w:bidi="he-IL"/>
        </w:rPr>
        <w:t>אף על גב דאי מתשיל עלה הדרא לטבלה מכל מקום מכלל תרומה יצאה ע"י שאלה".</w:t>
      </w:r>
    </w:p>
    <w:p w:rsidR="003F620F" w:rsidRPr="00882F11" w:rsidRDefault="003F620F" w:rsidP="00C04B27">
      <w:pPr>
        <w:tabs>
          <w:tab w:val="right" w:pos="7497"/>
        </w:tabs>
        <w:bidi/>
        <w:jc w:val="both"/>
        <w:rPr>
          <w:rFonts w:cs="Guttman Drogolin"/>
          <w:rtl/>
          <w:lang w:bidi="he-IL"/>
        </w:rPr>
      </w:pPr>
      <w:r w:rsidRPr="00882F11">
        <w:rPr>
          <w:rFonts w:cs="Guttman Drogolin" w:hint="cs"/>
          <w:rtl/>
          <w:lang w:bidi="he-IL"/>
        </w:rPr>
        <w:t xml:space="preserve">והנה בפת"ש כאן הביא משו"ת צמח צדק לדון בביצה שיש בה ספק אם נולדה ביו"ט והיא גם ביצת טריפה האם חשוב דשיל"מ. והשואל שם סבר שאין </w:t>
      </w:r>
      <w:r w:rsidR="00C757A0" w:rsidRPr="00882F11">
        <w:rPr>
          <w:rFonts w:cs="Guttman Drogolin" w:hint="cs"/>
          <w:rtl/>
          <w:lang w:bidi="he-IL"/>
        </w:rPr>
        <w:t>ז</w:t>
      </w:r>
      <w:r w:rsidRPr="00882F11">
        <w:rPr>
          <w:rFonts w:cs="Guttman Drogolin" w:hint="cs"/>
          <w:rtl/>
          <w:lang w:bidi="he-IL"/>
        </w:rPr>
        <w:t>ה דשיל"מ, דהא אפילו אם לא נולדה ביו"ט מ"מ לא יהא מותר כיון שהיא ביצת טריפה.  והצ"צ שם חלק עליו דמ"מ הרי הוא יותר חמור כיון שיש עליו עוד איסור של נולדה ביו"ט, וכיון שכן אמרינן דכיון</w:t>
      </w:r>
      <w:r w:rsidR="00C04B27">
        <w:rPr>
          <w:rFonts w:cs="Guttman Drogolin" w:hint="cs"/>
          <w:rtl/>
          <w:lang w:bidi="he-IL"/>
        </w:rPr>
        <w:t xml:space="preserve"> שיכול לאכ</w:t>
      </w:r>
      <w:r w:rsidRPr="00882F11">
        <w:rPr>
          <w:rFonts w:cs="Guttman Drogolin" w:hint="cs"/>
          <w:rtl/>
          <w:lang w:bidi="he-IL"/>
        </w:rPr>
        <w:t xml:space="preserve">לו באיסור יותר קל יש להמתין. אלא שלכאורה דבריו אינם מועילים בהא דתרומה, דהא ע"י זה שמפקיע השם תרומה לא יהא יותר קל, דאם הוא תרומה אינו טבל ואם הוא טבל אינו תרומה. וכן מלשון הרא"ש הנ"ל מבואר פי' אחר, והוא שהיסוד של דשיל"מ אינו משום שהמאכל יהא מותר לאחר זמן, רק שהאיסור יהא מותר. ולכן כיון שיש כאן איסור שאפשר להתירו הרי הוא בכלל החומרא דדשיל"מ. ואע"ג שלכאורה לא שייך הסברא דעד שתאכלנו באיסור תאכלנו בהיתר בכה"ג שע"י זה שהאיסור הראשון יפקע יהא איסור אחר, מ"מ לכאורה צריכים לומר דכיון שמ"מ האיסור עצמו יפקע לא פלוג רבנן והרי הוא אסור. וחידוש הוא. </w:t>
      </w:r>
    </w:p>
    <w:p w:rsidR="003F620F" w:rsidRPr="00882F11" w:rsidRDefault="003F620F" w:rsidP="003F620F">
      <w:pPr>
        <w:pStyle w:val="Heading1"/>
        <w:bidi/>
        <w:spacing w:before="0" w:line="360" w:lineRule="auto"/>
        <w:jc w:val="center"/>
        <w:rPr>
          <w:rFonts w:cs="Guttman Drogolin"/>
          <w:color w:val="auto"/>
          <w:sz w:val="24"/>
          <w:szCs w:val="24"/>
          <w:u w:val="single"/>
          <w:rtl/>
          <w:lang w:bidi="he-IL"/>
        </w:rPr>
      </w:pPr>
      <w:bookmarkStart w:id="350" w:name="_Toc496175600"/>
      <w:r w:rsidRPr="00882F11">
        <w:rPr>
          <w:rFonts w:cs="Guttman Drogolin" w:hint="cs"/>
          <w:color w:val="auto"/>
          <w:sz w:val="24"/>
          <w:szCs w:val="24"/>
          <w:u w:val="single"/>
          <w:rtl/>
          <w:lang w:bidi="he-IL"/>
        </w:rPr>
        <w:lastRenderedPageBreak/>
        <w:t>דבר שיש לו מתירין ע"י אחר</w:t>
      </w:r>
      <w:bookmarkEnd w:id="350"/>
    </w:p>
    <w:p w:rsidR="007E3802" w:rsidRPr="00882F11" w:rsidRDefault="0029471F" w:rsidP="0029471F">
      <w:pPr>
        <w:tabs>
          <w:tab w:val="right" w:pos="7497"/>
        </w:tabs>
        <w:bidi/>
        <w:jc w:val="both"/>
        <w:rPr>
          <w:rFonts w:cs="Guttman Drogolin"/>
          <w:rtl/>
          <w:lang w:bidi="he-IL"/>
        </w:rPr>
      </w:pPr>
      <w:r w:rsidRPr="0029471F">
        <w:rPr>
          <w:rFonts w:cs="Guttman Drogolin"/>
          <w:rtl/>
          <w:lang w:bidi="he-IL"/>
        </w:rPr>
        <w:fldChar w:fldCharType="begin"/>
      </w:r>
      <w:r w:rsidRPr="0029471F">
        <w:rPr>
          <w:rFonts w:cs="Guttman Drogolin"/>
          <w:lang w:bidi="he-IL"/>
        </w:rPr>
        <w:instrText xml:space="preserve"> XE "</w:instrText>
      </w:r>
      <w:r w:rsidRPr="0029471F">
        <w:rPr>
          <w:rFonts w:cs="Guttman Drogolin" w:hint="cs"/>
          <w:rtl/>
          <w:lang w:bidi="he-IL"/>
        </w:rPr>
        <w:instrText>דבר שיש לו מתירין</w:instrText>
      </w:r>
      <w:r w:rsidRPr="0029471F">
        <w:rPr>
          <w:rFonts w:cs="Guttman Drogolin"/>
          <w:rtl/>
        </w:rPr>
        <w:instrText>:</w:instrText>
      </w:r>
      <w:r w:rsidRPr="0029471F">
        <w:rPr>
          <w:rFonts w:cs="Guttman Drogolin" w:hint="cs"/>
          <w:rtl/>
          <w:lang w:bidi="he-IL"/>
        </w:rPr>
        <w:instrText>ע</w:instrText>
      </w:r>
      <w:r w:rsidRPr="0029471F">
        <w:rPr>
          <w:rFonts w:cs="Guttman Drogolin"/>
          <w:lang w:bidi="he-IL"/>
        </w:rPr>
        <w:instrText>\</w:instrText>
      </w:r>
      <w:r w:rsidRPr="0029471F">
        <w:rPr>
          <w:rFonts w:cs="Guttman Drogolin" w:hint="cs"/>
          <w:rtl/>
          <w:lang w:bidi="he-IL"/>
        </w:rPr>
        <w:instrText xml:space="preserve">"י </w:instrText>
      </w:r>
      <w:r>
        <w:rPr>
          <w:rFonts w:cs="Guttman Drogolin" w:hint="cs"/>
          <w:rtl/>
          <w:lang w:bidi="he-IL"/>
        </w:rPr>
        <w:instrText>אחר</w:instrText>
      </w:r>
      <w:r w:rsidRPr="0029471F">
        <w:rPr>
          <w:rFonts w:cs="Guttman Drogolin"/>
          <w:lang w:bidi="he-IL"/>
        </w:rPr>
        <w:instrText xml:space="preserve">" </w:instrText>
      </w:r>
      <w:r w:rsidRPr="0029471F">
        <w:rPr>
          <w:rFonts w:cs="Guttman Drogolin"/>
          <w:rtl/>
          <w:lang w:bidi="he-IL"/>
        </w:rPr>
        <w:fldChar w:fldCharType="end"/>
      </w:r>
      <w:r w:rsidR="003F620F" w:rsidRPr="00882F11">
        <w:rPr>
          <w:rFonts w:cs="Guttman Drogolin" w:hint="cs"/>
          <w:rtl/>
          <w:lang w:bidi="he-IL"/>
        </w:rPr>
        <w:t>והנה מזה שחזינן שאפשר בשאלה הרי הוא סיבה לומר דנדרים הוו דשיל"מ</w:t>
      </w:r>
      <w:r w:rsidR="007E3802" w:rsidRPr="00882F11">
        <w:rPr>
          <w:rFonts w:cs="Guttman Drogolin" w:hint="cs"/>
          <w:rtl/>
          <w:lang w:bidi="he-IL"/>
        </w:rPr>
        <w:t>, מבואר שדבר חשוב דשיל"מ אע"פ שצריך לעזרת אחר כדי להתיר, דהא אין אדם מתיר נדרי עצמו רק צריך ללכת לחכם או ב"ד שיתירו לו. אמנם בשו"ת מהרי"ט נקט שאם הדיר א' את חבירו, ונכנס הדבר הנדור לתוך תבשילו שאין זה חשוב דשיל"מ דהא אין בידו להתירו. והעירו התלמידים שלכאורה דבר זה תלוי במה שנתבאר בשיעור הקודם. שאם דבר</w:t>
      </w:r>
      <w:r w:rsidR="00C04B27">
        <w:rPr>
          <w:rFonts w:cs="Guttman Drogolin" w:hint="cs"/>
          <w:rtl/>
          <w:lang w:bidi="he-IL"/>
        </w:rPr>
        <w:t xml:space="preserve"> </w:t>
      </w:r>
      <w:r w:rsidR="007E3802" w:rsidRPr="00882F11">
        <w:rPr>
          <w:rFonts w:cs="Guttman Drogolin" w:hint="cs"/>
          <w:rtl/>
          <w:lang w:bidi="he-IL"/>
        </w:rPr>
        <w:t xml:space="preserve">הנדור חשוב דשיל"מ משום שסתמייהו עומדים לישאל לכאורה </w:t>
      </w:r>
      <w:r w:rsidR="00521F63" w:rsidRPr="00882F11">
        <w:rPr>
          <w:rFonts w:cs="Guttman Drogolin" w:hint="cs"/>
          <w:rtl/>
          <w:lang w:bidi="he-IL"/>
        </w:rPr>
        <w:t>גם בכה"ג יחשב דשיל"מ דהא סוף סוף</w:t>
      </w:r>
      <w:r w:rsidR="007E3802" w:rsidRPr="00882F11">
        <w:rPr>
          <w:rFonts w:cs="Guttman Drogolin" w:hint="cs"/>
          <w:rtl/>
          <w:lang w:bidi="he-IL"/>
        </w:rPr>
        <w:t xml:space="preserve"> עומד הו</w:t>
      </w:r>
      <w:r w:rsidR="00C04B27">
        <w:rPr>
          <w:rFonts w:cs="Guttman Drogolin" w:hint="cs"/>
          <w:rtl/>
          <w:lang w:bidi="he-IL"/>
        </w:rPr>
        <w:t>א לישאל אצל האחר. אמנם אם הוא ב</w:t>
      </w:r>
      <w:r w:rsidR="007E3802" w:rsidRPr="00882F11">
        <w:rPr>
          <w:rFonts w:cs="Guttman Drogolin" w:hint="cs"/>
          <w:rtl/>
          <w:lang w:bidi="he-IL"/>
        </w:rPr>
        <w:t xml:space="preserve">גלל שבידו לעשותו, הא שפיר י"ל דכיון שאין בידו לעשותו לא חשוב דשיל"מ ומותר. </w:t>
      </w:r>
    </w:p>
    <w:p w:rsidR="00B24466" w:rsidRPr="00882F11" w:rsidRDefault="007E3802" w:rsidP="00B24466">
      <w:pPr>
        <w:tabs>
          <w:tab w:val="right" w:pos="7497"/>
        </w:tabs>
        <w:bidi/>
        <w:jc w:val="both"/>
        <w:rPr>
          <w:rFonts w:cs="Guttman Drogolin"/>
          <w:rtl/>
          <w:lang w:bidi="he-IL"/>
        </w:rPr>
      </w:pPr>
      <w:r w:rsidRPr="00882F11">
        <w:rPr>
          <w:rFonts w:cs="Guttman Drogolin" w:hint="cs"/>
          <w:rtl/>
          <w:lang w:bidi="he-IL"/>
        </w:rPr>
        <w:t>וראיתי ב</w:t>
      </w:r>
      <w:r w:rsidR="00B24466" w:rsidRPr="00882F11">
        <w:rPr>
          <w:rFonts w:cs="Guttman Drogolin" w:hint="cs"/>
          <w:rtl/>
          <w:lang w:bidi="he-IL"/>
        </w:rPr>
        <w:t>קובץ הערות ומראה מקומות כנסת ישראל למס' נדרים שהעיר שלכאורה לדברי מהרי"ט יהא הדין שכשנתן תרומה ליד כהן כבר אינו דשיל"מ כיון שהכהן לא הפריש ואינן יכול להתיר ההפרשה. והראשונים הרי כתבו טעמים אחרים למה בתרומה ביד כהן אינו חשוב דשיל"מ. אמנם לכאורה גם מזה אין כ"כ קושיא, שהרי אפילו בתרומה ביד כהן יהא נפק</w:t>
      </w:r>
      <w:r w:rsidR="00C04B27">
        <w:rPr>
          <w:rFonts w:cs="Guttman Drogolin" w:hint="cs"/>
          <w:rtl/>
          <w:lang w:bidi="he-IL"/>
        </w:rPr>
        <w:t>"</w:t>
      </w:r>
      <w:r w:rsidR="00B24466" w:rsidRPr="00882F11">
        <w:rPr>
          <w:rFonts w:cs="Guttman Drogolin" w:hint="cs"/>
          <w:rtl/>
          <w:lang w:bidi="he-IL"/>
        </w:rPr>
        <w:t>מ אם התערב תרומה זו לתוך תבשיל שעומד המפריש לאכלו, וכיון שהטעמים שכתבו הראשונים מבארים למה גם בכה"ג לא חשוב י"ל מתירים פירשו מה שפירשו, ולעולם דברי המהרי"ט נכונים לדינא. וגם י"ל שהרא"ש והר"ן לשיטתם שהיסוד בנדרים חשוב דשיל"מ כיון שעתיד להיות מותר, ולכן לא שייכים דברי המהרי"ט וכמש"נ.</w:t>
      </w:r>
      <w:r w:rsidRPr="00882F11">
        <w:rPr>
          <w:rFonts w:cs="Guttman Drogolin" w:hint="cs"/>
          <w:rtl/>
          <w:lang w:bidi="he-IL"/>
        </w:rPr>
        <w:t xml:space="preserve"> </w:t>
      </w:r>
    </w:p>
    <w:p w:rsidR="00B24466" w:rsidRPr="00882F11" w:rsidRDefault="00B24466" w:rsidP="00B24466">
      <w:pPr>
        <w:pStyle w:val="Heading1"/>
        <w:bidi/>
        <w:spacing w:before="0" w:line="360" w:lineRule="auto"/>
        <w:jc w:val="center"/>
        <w:rPr>
          <w:rFonts w:cs="Guttman Drogolin"/>
          <w:color w:val="auto"/>
          <w:sz w:val="24"/>
          <w:szCs w:val="24"/>
          <w:u w:val="single"/>
          <w:rtl/>
          <w:lang w:bidi="he-IL"/>
        </w:rPr>
      </w:pPr>
      <w:bookmarkStart w:id="351" w:name="_Toc496175601"/>
      <w:r w:rsidRPr="00882F11">
        <w:rPr>
          <w:rFonts w:cs="Guttman Drogolin" w:hint="cs"/>
          <w:color w:val="auto"/>
          <w:sz w:val="24"/>
          <w:szCs w:val="24"/>
          <w:u w:val="single"/>
          <w:rtl/>
          <w:lang w:bidi="he-IL"/>
        </w:rPr>
        <w:t>אם חמץ חשוב דבר שיש לו מתירין</w:t>
      </w:r>
      <w:bookmarkEnd w:id="351"/>
    </w:p>
    <w:p w:rsidR="00B24466" w:rsidRPr="00882F11" w:rsidRDefault="0029471F" w:rsidP="0029471F">
      <w:pPr>
        <w:tabs>
          <w:tab w:val="right" w:pos="7497"/>
        </w:tabs>
        <w:bidi/>
        <w:jc w:val="both"/>
        <w:rPr>
          <w:rFonts w:cs="Guttman Drogolin"/>
          <w:lang w:bidi="he-IL"/>
        </w:rPr>
      </w:pPr>
      <w:r>
        <w:rPr>
          <w:rFonts w:cs="Guttman Drogolin"/>
          <w:rtl/>
          <w:lang w:bidi="he-IL"/>
        </w:rPr>
        <w:fldChar w:fldCharType="begin"/>
      </w:r>
      <w:r>
        <w:instrText xml:space="preserve"> XE "</w:instrText>
      </w:r>
      <w:r w:rsidRPr="00D62840">
        <w:rPr>
          <w:rFonts w:hint="cs"/>
          <w:rtl/>
          <w:lang w:bidi="he-IL"/>
        </w:rPr>
        <w:instrText>דבר שיש לו מתירין</w:instrText>
      </w:r>
      <w:r w:rsidRPr="00D62840">
        <w:rPr>
          <w:rtl/>
        </w:rPr>
        <w:instrText>:</w:instrText>
      </w:r>
      <w:r>
        <w:rPr>
          <w:rFonts w:hint="cs"/>
          <w:rtl/>
          <w:lang w:bidi="he-IL"/>
        </w:rPr>
        <w:instrText>אם חמץ חשוב דשיל</w:instrText>
      </w:r>
      <w:r>
        <w:rPr>
          <w:rFonts w:eastAsiaTheme="minorEastAsia"/>
          <w:lang w:bidi="he-IL"/>
        </w:rPr>
        <w:instrText>\</w:instrText>
      </w:r>
      <w:r>
        <w:rPr>
          <w:rFonts w:hint="cs"/>
          <w:rtl/>
          <w:lang w:bidi="he-IL"/>
        </w:rPr>
        <w:instrText>"מ</w:instrText>
      </w:r>
      <w:r>
        <w:instrText xml:space="preserve">" </w:instrText>
      </w:r>
      <w:r>
        <w:rPr>
          <w:rFonts w:cs="Guttman Drogolin"/>
          <w:rtl/>
          <w:lang w:bidi="he-IL"/>
        </w:rPr>
        <w:fldChar w:fldCharType="end"/>
      </w:r>
      <w:r w:rsidR="00B24466" w:rsidRPr="00882F11">
        <w:rPr>
          <w:rFonts w:cs="Guttman Drogolin" w:hint="cs"/>
          <w:rtl/>
          <w:lang w:bidi="he-IL"/>
        </w:rPr>
        <w:t xml:space="preserve">מבואר במס' פסחים (ל' ע"א) שחמץ בפסח במשהו, ונחלקו הראשונים בטעמו של דבר, אבל הרמב"ם בפט"ו מהל' מאכ"א ביאר הטעם זה משום דחמץ הוי דבר שיש לו מתירים. </w:t>
      </w:r>
      <w:r w:rsidR="00AE4D00" w:rsidRPr="00882F11">
        <w:rPr>
          <w:rFonts w:cs="Guttman Drogolin" w:hint="cs"/>
          <w:rtl/>
          <w:lang w:bidi="he-IL"/>
        </w:rPr>
        <w:t xml:space="preserve">ובב"י כאן </w:t>
      </w:r>
      <w:r w:rsidR="00AE4D00" w:rsidRPr="00882F11">
        <w:rPr>
          <w:rFonts w:cs="Guttman Drogolin" w:hint="cs"/>
          <w:rtl/>
          <w:lang w:bidi="he-IL"/>
        </w:rPr>
        <w:lastRenderedPageBreak/>
        <w:t xml:space="preserve">הביא מחי' הרשב"א למס' ביצה דף ג' ע"ב שחלק. </w:t>
      </w:r>
      <w:r w:rsidR="00B24466" w:rsidRPr="00882F11">
        <w:rPr>
          <w:rFonts w:cs="Guttman Drogolin" w:hint="cs"/>
          <w:rtl/>
          <w:lang w:bidi="he-IL"/>
        </w:rPr>
        <w:t>ויש בדברי</w:t>
      </w:r>
      <w:r w:rsidR="00AE4D00" w:rsidRPr="00882F11">
        <w:rPr>
          <w:rFonts w:cs="Guttman Drogolin" w:hint="cs"/>
          <w:rtl/>
          <w:lang w:bidi="he-IL"/>
        </w:rPr>
        <w:t>הם</w:t>
      </w:r>
      <w:r w:rsidR="009A7726" w:rsidRPr="00882F11">
        <w:rPr>
          <w:rFonts w:cs="Guttman Drogolin" w:hint="cs"/>
          <w:rtl/>
          <w:lang w:bidi="he-IL"/>
        </w:rPr>
        <w:t xml:space="preserve"> כמה חידושים וכמו שיתבאר.</w:t>
      </w:r>
    </w:p>
    <w:p w:rsidR="00C36D05" w:rsidRPr="00882F11" w:rsidRDefault="00B24466" w:rsidP="00C36D05">
      <w:pPr>
        <w:tabs>
          <w:tab w:val="right" w:pos="7497"/>
        </w:tabs>
        <w:bidi/>
        <w:jc w:val="both"/>
        <w:rPr>
          <w:rFonts w:cs="Guttman Drogolin"/>
          <w:rtl/>
          <w:lang w:bidi="he-IL"/>
        </w:rPr>
      </w:pPr>
      <w:r w:rsidRPr="00882F11">
        <w:rPr>
          <w:rFonts w:cs="Guttman Drogolin" w:hint="cs"/>
          <w:rtl/>
          <w:lang w:bidi="he-IL"/>
        </w:rPr>
        <w:t xml:space="preserve">הר"ן שם במס' פסחים העיר בזה שלכאורה חמץ אינו דבר ששיש לו מתירין, דהא גם אחר הפסח אין החמץ מותר דהא חמץ שעבר עליו הפסח אסור, ולכאורה הרמב"ם מיירי גם בחמץ של ישראל שעבר עליו הפסח. ופי' לשיטת הרמב"ם דמ"מ חמץ שעבר עליו הפסח מותר בתערובת, </w:t>
      </w:r>
      <w:r w:rsidR="00672B67" w:rsidRPr="00882F11">
        <w:rPr>
          <w:rFonts w:cs="Guttman Drogolin" w:hint="cs"/>
          <w:rtl/>
          <w:lang w:bidi="he-IL"/>
        </w:rPr>
        <w:t>והכא הרי התערב. והר"ן שם דחה שלכאורה י"ל שדנין המאכל האסור כמות שהיא, וכיון שבפני עצמו הרי הוא דבר האסור הרי הוא חשוב דבר שאין לו מתירין</w:t>
      </w:r>
      <w:bookmarkStart w:id="352" w:name="_Ref467354404"/>
      <w:r w:rsidR="00672B67" w:rsidRPr="00882F11">
        <w:rPr>
          <w:rStyle w:val="FootnoteReference"/>
          <w:rFonts w:cs="Guttman Drogolin"/>
          <w:rtl/>
          <w:lang w:bidi="he-IL"/>
        </w:rPr>
        <w:footnoteReference w:id="368"/>
      </w:r>
      <w:bookmarkEnd w:id="352"/>
      <w:r w:rsidR="00672B67" w:rsidRPr="00882F11">
        <w:rPr>
          <w:rFonts w:cs="Guttman Drogolin" w:hint="cs"/>
          <w:rtl/>
          <w:lang w:bidi="he-IL"/>
        </w:rPr>
        <w:t>. וראיתי שהעירו</w:t>
      </w:r>
      <w:r w:rsidR="00C85A51" w:rsidRPr="00882F11">
        <w:rPr>
          <w:rStyle w:val="FootnoteReference"/>
          <w:rFonts w:cs="Guttman Drogolin"/>
          <w:rtl/>
          <w:lang w:bidi="he-IL"/>
        </w:rPr>
        <w:footnoteReference w:id="369"/>
      </w:r>
      <w:r w:rsidR="00672B67" w:rsidRPr="00882F11">
        <w:rPr>
          <w:rFonts w:cs="Guttman Drogolin" w:hint="cs"/>
          <w:rtl/>
          <w:lang w:bidi="he-IL"/>
        </w:rPr>
        <w:t xml:space="preserve"> שלכאורה י"ל שחשוב דשיל"מ אע"פ שיש איסור של חמץ שעבר עליו הפסח ומטעם אחר. והוא שהרי מדאורייתא אין איסור חמץ שעבר עליו הפסח, רק קנס חכמים היא. וא"כ הי' אפשר לומר שאע"פ שהחמץ ישאר באיסורו, מ"מ יהי' איסור פחות חמור שאינו אלא מדרבנן, דומיא דמש"כ הצ"צ שאם יש איסור ביצת טריפה חוץ מאיסור ביצה נולדה ביו"ט עדיין חשוב דבר שי"ל מתירין</w:t>
      </w:r>
      <w:r w:rsidR="00103342" w:rsidRPr="00882F11">
        <w:rPr>
          <w:rFonts w:cs="Guttman Drogolin" w:hint="cs"/>
          <w:rtl/>
          <w:lang w:bidi="he-IL"/>
        </w:rPr>
        <w:t xml:space="preserve">. ולכאורה חזינן שאין זה טעם, וכיון שישאר אסור אין זה דבר שי"ל מתירין. אמנם עדיין י"ל דעד כאן לא קאמר הצ"צ אלא כשהאיסור הנוסף יהא מותר לגמרי, אע"ג שהמאכל ישאר אסור מחמת האיסור השני, אבל בנד"ד שהאיסור חמץ לא פקע לגמרי, דהא נשאר איסור חמץ מדרבנן, שפיר י"ל שאין זה טעם להחשיבו כדבר שי"ל מתירין. וכ"ש שכן הוא לפי מה שנתבאר לפי' הרא"ש במס' נדרים הנ"ל. ואע"ג שאין זה אותה איסור ממש, שהרי מעיקרא איסור חמץ הוא בין שלו בין של אחרים ובין של נכרי, ואילו לאחר הפסח אינו אלא קנס חכמים, מ"מ נראה לומר שהגדר של הקנס הוא שהחמץ ישאר באיסורו הקודם (עד כמה </w:t>
      </w:r>
      <w:r w:rsidR="00103342" w:rsidRPr="00882F11">
        <w:rPr>
          <w:rFonts w:cs="Guttman Drogolin" w:hint="cs"/>
          <w:rtl/>
          <w:lang w:bidi="he-IL"/>
        </w:rPr>
        <w:lastRenderedPageBreak/>
        <w:t>שהוא בעינו) ולכן שפיר י"ל שהאיסור לא ניתר לגמרי ולכן אינו בכלל דבר שי"ל מתירין</w:t>
      </w:r>
      <w:r w:rsidR="00D3607B" w:rsidRPr="00882F11">
        <w:rPr>
          <w:rStyle w:val="FootnoteReference"/>
          <w:rFonts w:cs="Guttman Drogolin"/>
          <w:rtl/>
          <w:lang w:bidi="he-IL"/>
        </w:rPr>
        <w:footnoteReference w:id="370"/>
      </w:r>
      <w:r w:rsidR="00103342" w:rsidRPr="00882F11">
        <w:rPr>
          <w:rFonts w:cs="Guttman Drogolin" w:hint="cs"/>
          <w:rtl/>
          <w:lang w:bidi="he-IL"/>
        </w:rPr>
        <w:t xml:space="preserve">.  </w:t>
      </w:r>
      <w:r w:rsidR="00672B67" w:rsidRPr="00882F11">
        <w:rPr>
          <w:rFonts w:cs="Guttman Drogolin" w:hint="cs"/>
          <w:rtl/>
          <w:lang w:bidi="he-IL"/>
        </w:rPr>
        <w:t xml:space="preserve"> </w:t>
      </w:r>
    </w:p>
    <w:p w:rsidR="00C36D05" w:rsidRPr="00882F11" w:rsidRDefault="00C36D05" w:rsidP="00C36D05">
      <w:pPr>
        <w:pStyle w:val="Heading1"/>
        <w:bidi/>
        <w:spacing w:before="0" w:line="360" w:lineRule="auto"/>
        <w:jc w:val="center"/>
        <w:rPr>
          <w:rFonts w:cs="Guttman Drogolin"/>
          <w:color w:val="auto"/>
          <w:sz w:val="24"/>
          <w:szCs w:val="24"/>
          <w:u w:val="single"/>
          <w:rtl/>
          <w:lang w:bidi="he-IL"/>
        </w:rPr>
      </w:pPr>
      <w:bookmarkStart w:id="353" w:name="_Toc496175602"/>
      <w:r w:rsidRPr="00882F11">
        <w:rPr>
          <w:rFonts w:cs="Guttman Drogolin" w:hint="cs"/>
          <w:color w:val="auto"/>
          <w:sz w:val="24"/>
          <w:szCs w:val="24"/>
          <w:u w:val="single"/>
          <w:rtl/>
          <w:lang w:bidi="he-IL"/>
        </w:rPr>
        <w:t>דבר שיש לו מתירין אבל עתיד להתקלקל</w:t>
      </w:r>
      <w:bookmarkEnd w:id="353"/>
    </w:p>
    <w:p w:rsidR="00C36D05" w:rsidRPr="00882F11" w:rsidRDefault="0029471F" w:rsidP="0029471F">
      <w:pPr>
        <w:tabs>
          <w:tab w:val="right" w:pos="7497"/>
        </w:tabs>
        <w:bidi/>
        <w:jc w:val="both"/>
        <w:rPr>
          <w:rFonts w:cs="Guttman Drogolin"/>
          <w:rtl/>
          <w:lang w:bidi="he-IL"/>
        </w:rPr>
      </w:pPr>
      <w:r>
        <w:rPr>
          <w:rFonts w:cs="Guttman Drogolin"/>
          <w:rtl/>
          <w:lang w:bidi="he-IL"/>
        </w:rPr>
        <w:fldChar w:fldCharType="begin"/>
      </w:r>
      <w:r>
        <w:instrText xml:space="preserve"> XE "</w:instrText>
      </w:r>
      <w:r w:rsidRPr="00D62840">
        <w:rPr>
          <w:rFonts w:hint="cs"/>
          <w:rtl/>
          <w:lang w:bidi="he-IL"/>
        </w:rPr>
        <w:instrText>דבר שיש לו מתירין</w:instrText>
      </w:r>
      <w:r w:rsidRPr="00D62840">
        <w:rPr>
          <w:rtl/>
        </w:rPr>
        <w:instrText>:</w:instrText>
      </w:r>
      <w:r>
        <w:rPr>
          <w:rFonts w:hint="cs"/>
          <w:rtl/>
          <w:lang w:bidi="he-IL"/>
        </w:rPr>
        <w:instrText>כשעתיד להתקלקל</w:instrText>
      </w:r>
      <w:r>
        <w:instrText xml:space="preserve"> </w:instrText>
      </w:r>
      <w:r>
        <w:rPr>
          <w:rFonts w:hint="cs"/>
          <w:rtl/>
          <w:lang w:bidi="he-IL"/>
        </w:rPr>
        <w:instrText>"</w:instrText>
      </w:r>
      <w:r>
        <w:rPr>
          <w:rFonts w:cs="Guttman Drogolin"/>
          <w:rtl/>
          <w:lang w:bidi="he-IL"/>
        </w:rPr>
        <w:fldChar w:fldCharType="end"/>
      </w:r>
      <w:r w:rsidR="00C36D05" w:rsidRPr="00882F11">
        <w:rPr>
          <w:rFonts w:cs="Guttman Drogolin" w:hint="cs"/>
          <w:rtl/>
          <w:lang w:bidi="he-IL"/>
        </w:rPr>
        <w:t>והנה לכאורה הי' אפשר לדחות מש"כ הב"י שיש מחלוקת בין הרשב"א לרמב"ם. דהא אדרבה, הרשב"א לא כתב שחמץ לא חשוב דבר שיש לו מתירין, רק כתב דכיון שהוא נבלע בתבשיל והתבשיל עתיד להתק</w:t>
      </w:r>
      <w:r w:rsidR="00C04B27">
        <w:rPr>
          <w:rFonts w:cs="Guttman Drogolin" w:hint="cs"/>
          <w:rtl/>
          <w:lang w:bidi="he-IL"/>
        </w:rPr>
        <w:t>לקל קודם זמן היתר חמץ, אין זה ח</w:t>
      </w:r>
      <w:r w:rsidR="00C36D05" w:rsidRPr="00882F11">
        <w:rPr>
          <w:rFonts w:cs="Guttman Drogolin" w:hint="cs"/>
          <w:rtl/>
          <w:lang w:bidi="he-IL"/>
        </w:rPr>
        <w:t>שוב דבר שיש לו מתירין. וכתב שם הרשב"א שאם הטעם חמץ יבלע לתוך לחם שיכול להשאר עד אחרי פסח שפיר חשוב דבר שיש לו מתירין. והרמב"ם שכתב דהוי דבר שיש לו מתירין אולי זהו אך ורק בזמן שיכול התערובת להשאר עד אחרי פסח. אמנם ביש"ש (חולין פרק ח' אות פ"ז) הדברים מתבארים יותר</w:t>
      </w:r>
      <w:r w:rsidR="003F2301" w:rsidRPr="00882F11">
        <w:rPr>
          <w:rStyle w:val="FootnoteReference"/>
          <w:rFonts w:cs="Guttman Drogolin"/>
          <w:rtl/>
          <w:lang w:bidi="he-IL"/>
        </w:rPr>
        <w:footnoteReference w:id="371"/>
      </w:r>
      <w:r w:rsidR="00C36D05" w:rsidRPr="00882F11">
        <w:rPr>
          <w:rFonts w:cs="Guttman Drogolin" w:hint="cs"/>
          <w:rtl/>
          <w:lang w:bidi="he-IL"/>
        </w:rPr>
        <w:t>, שהוא חלק על הית</w:t>
      </w:r>
      <w:r w:rsidR="00C04B27">
        <w:rPr>
          <w:rFonts w:cs="Guttman Drogolin" w:hint="cs"/>
          <w:rtl/>
          <w:lang w:bidi="he-IL"/>
        </w:rPr>
        <w:t>ר זה שעתיד להתקלקל ומכח דברי הר</w:t>
      </w:r>
      <w:r w:rsidR="00C36D05" w:rsidRPr="00882F11">
        <w:rPr>
          <w:rFonts w:cs="Guttman Drogolin" w:hint="cs"/>
          <w:rtl/>
          <w:lang w:bidi="he-IL"/>
        </w:rPr>
        <w:t xml:space="preserve">מב"ם, ומשום שסתימת לשון הרמב"ם משמע שבכל אופנים הוי חמץ דשיל"מ, ומשמע שהוא אפילו בענין דעתיד להתקלקל. וכן בשו"ע סע' ד' הביא דעת הרשב"א בשם י"א, ולכאורה הוא כדמשמע בב"י שהרמב"ם חלק על זה וסבר דאע"ג דעתיד להקלקל אין זה חשוב דבר שאין לו מתירין. </w:t>
      </w:r>
    </w:p>
    <w:p w:rsidR="005F1BAF" w:rsidRPr="00882F11" w:rsidRDefault="00C36D05" w:rsidP="005B1E46">
      <w:pPr>
        <w:tabs>
          <w:tab w:val="right" w:pos="7497"/>
        </w:tabs>
        <w:bidi/>
        <w:jc w:val="both"/>
        <w:rPr>
          <w:rFonts w:cs="Guttman Drogolin"/>
          <w:rtl/>
          <w:lang w:bidi="he-IL"/>
        </w:rPr>
      </w:pPr>
      <w:r w:rsidRPr="00882F11">
        <w:rPr>
          <w:rFonts w:cs="Guttman Drogolin" w:hint="cs"/>
          <w:rtl/>
          <w:lang w:bidi="he-IL"/>
        </w:rPr>
        <w:t xml:space="preserve">אלא דהיא עצמה צ"ע, דלמה יחשב דבר שיש לו מתירין כשעתיד להתקלקל, הא ליכא סברא דעד שתאכלנו באיסור תאכלנו בהיתר, דהא לא יוכל לאכלו בהיתר כיון שבזמן שיהי' מותר כבר הוא מקולקל. </w:t>
      </w:r>
      <w:r w:rsidR="00781E6A" w:rsidRPr="00882F11">
        <w:rPr>
          <w:rFonts w:cs="Guttman Drogolin" w:hint="cs"/>
          <w:rtl/>
          <w:lang w:bidi="he-IL"/>
        </w:rPr>
        <w:t xml:space="preserve">והנה בחמץ יש עוד קושיא, והוא שאפילו את"ל שאינו עתיד להתקלקל מעצמו, הא לא יוכל ליהנות ממנו כיון שחייב לשרפו. והי' מעשה בישיבת פונובז' שהתערב קמח של חדש בתוך </w:t>
      </w:r>
      <w:r w:rsidR="00C04B27">
        <w:rPr>
          <w:rFonts w:cs="Guttman Drogolin" w:hint="cs"/>
          <w:rtl/>
          <w:lang w:bidi="he-IL"/>
        </w:rPr>
        <w:t>ה</w:t>
      </w:r>
      <w:r w:rsidR="00781E6A" w:rsidRPr="00882F11">
        <w:rPr>
          <w:rFonts w:cs="Guttman Drogolin" w:hint="cs"/>
          <w:rtl/>
          <w:lang w:bidi="he-IL"/>
        </w:rPr>
        <w:t xml:space="preserve">קמח של הישיבה, וחדש הרי הוא דבר שיש לו מתירין שהרי אחרי ט"ז בניסן הרי הוא מותר. והפונובז'ער רב (מובא בקובץ 'דברי הרב' בשם הגרז"נ גולדברג שליט"א) התיר התערובת, </w:t>
      </w:r>
      <w:r w:rsidR="00781E6A" w:rsidRPr="00882F11">
        <w:rPr>
          <w:rFonts w:cs="Guttman Drogolin" w:hint="cs"/>
          <w:rtl/>
          <w:lang w:bidi="he-IL"/>
        </w:rPr>
        <w:lastRenderedPageBreak/>
        <w:t>וטעמא  דילי' משום שהקמח הי' גם חמץ, וקמח שהוא גם חדש וגם חמץ לעולם לא יהא לו היתר, דעד שיהא מותר מדין חדש יצטרך לשרפו משום חמץ (וכנראה זה שיוכל למכרו בקלות וגם לקנותו חזרה אינו בא בחשבון כיון שהמכירה בשעתו הוא לחלוטין, ויל"ע בזה). אלא דהנה יע</w:t>
      </w:r>
      <w:r w:rsidR="00D04376" w:rsidRPr="00882F11">
        <w:rPr>
          <w:rFonts w:cs="Guttman Drogolin" w:hint="cs"/>
          <w:rtl/>
          <w:lang w:bidi="he-IL"/>
        </w:rPr>
        <w:t>ו</w:t>
      </w:r>
      <w:r w:rsidR="00781E6A" w:rsidRPr="00882F11">
        <w:rPr>
          <w:rFonts w:cs="Guttman Drogolin" w:hint="cs"/>
          <w:rtl/>
          <w:lang w:bidi="he-IL"/>
        </w:rPr>
        <w:t>ין במלחמות ה' שם במס' פסחים שהעיר בזה על הרמב"</w:t>
      </w:r>
      <w:r w:rsidR="005B1E46">
        <w:rPr>
          <w:rFonts w:cs="Guttman Drogolin" w:hint="cs"/>
          <w:rtl/>
          <w:lang w:bidi="he-IL"/>
        </w:rPr>
        <w:t>ם</w:t>
      </w:r>
      <w:r w:rsidR="00781E6A" w:rsidRPr="00882F11">
        <w:rPr>
          <w:rFonts w:cs="Guttman Drogolin" w:hint="cs"/>
          <w:rtl/>
          <w:lang w:bidi="he-IL"/>
        </w:rPr>
        <w:t xml:space="preserve"> דלמה יהא חמץ דבר שיש לו מתירים הא חייב לשרפו ולא ישאר עד זמן היתר. ותי' "</w:t>
      </w:r>
      <w:r w:rsidR="0082308B" w:rsidRPr="00882F11">
        <w:rPr>
          <w:rFonts w:cs="Guttman Drogolin"/>
          <w:rtl/>
          <w:lang w:bidi="he-IL"/>
        </w:rPr>
        <w:t>וליכא למימר בעינו</w:t>
      </w:r>
      <w:r w:rsidR="000E2C11" w:rsidRPr="00882F11">
        <w:rPr>
          <w:rStyle w:val="FootnoteReference"/>
          <w:rFonts w:cs="Guttman Drogolin"/>
          <w:rtl/>
          <w:lang w:bidi="he-IL"/>
        </w:rPr>
        <w:footnoteReference w:id="372"/>
      </w:r>
      <w:r w:rsidR="0082308B" w:rsidRPr="00882F11">
        <w:rPr>
          <w:rFonts w:cs="Guttman Drogolin"/>
          <w:rtl/>
          <w:lang w:bidi="he-IL"/>
        </w:rPr>
        <w:t xml:space="preserve"> כיון דחייב לבערו אין לו מתירין דכל דממילא מישתרי ואין התירו מחוסר מעשה ודאי יש לו מתירין הוא וכ"ש חמץ של נכרי שנפל לקדרה של ישראל שאפי' בעינו דבר שיש לו מתירין הוא</w:t>
      </w:r>
      <w:r w:rsidR="0082308B" w:rsidRPr="00882F11">
        <w:rPr>
          <w:rFonts w:cs="Guttman Drogolin" w:hint="cs"/>
          <w:rtl/>
          <w:lang w:bidi="he-IL"/>
        </w:rPr>
        <w:t>". ור"ל דכיון שאם לא יעשה שום דבר יהא מותר לא מתחשבים במה שמ"מ יצטרך לעשות וממילא לא יהא לו היתר. ולכאורה היינו משום דאע"ג שלמעשה לא יהא לו היתר כיון שיצטרך שרפו, מ"מ לא פלוג רבנן וכל איסור שיהא לו היתר לאחר זמן יש לו דין דבר שי"ל מתירין ואי אפשר להקל בו</w:t>
      </w:r>
      <w:r w:rsidR="0082308B" w:rsidRPr="00882F11">
        <w:rPr>
          <w:rStyle w:val="FootnoteReference"/>
          <w:rFonts w:cs="Guttman Drogolin"/>
          <w:rtl/>
          <w:lang w:bidi="he-IL"/>
        </w:rPr>
        <w:footnoteReference w:id="373"/>
      </w:r>
      <w:r w:rsidR="0082308B" w:rsidRPr="00882F11">
        <w:rPr>
          <w:rFonts w:cs="Guttman Drogolin" w:hint="cs"/>
          <w:rtl/>
          <w:lang w:bidi="he-IL"/>
        </w:rPr>
        <w:t>.</w:t>
      </w:r>
      <w:r w:rsidR="00E677B2" w:rsidRPr="00882F11">
        <w:rPr>
          <w:rFonts w:cs="Guttman Drogolin" w:hint="cs"/>
          <w:rtl/>
          <w:lang w:bidi="he-IL"/>
        </w:rPr>
        <w:t xml:space="preserve"> וזהו לכאורה ג"כ סברת הרמב"ם בהא דסופ</w:t>
      </w:r>
      <w:r w:rsidR="005F1BAF" w:rsidRPr="00882F11">
        <w:rPr>
          <w:rFonts w:cs="Guttman Drogolin" w:hint="cs"/>
          <w:rtl/>
          <w:lang w:bidi="he-IL"/>
        </w:rPr>
        <w:t>ו</w:t>
      </w:r>
      <w:r w:rsidR="00E677B2" w:rsidRPr="00882F11">
        <w:rPr>
          <w:rFonts w:cs="Guttman Drogolin" w:hint="cs"/>
          <w:rtl/>
          <w:lang w:bidi="he-IL"/>
        </w:rPr>
        <w:t xml:space="preserve"> להתקלקל</w:t>
      </w:r>
      <w:r w:rsidR="005F1BAF" w:rsidRPr="00882F11">
        <w:rPr>
          <w:rFonts w:cs="Guttman Drogolin" w:hint="cs"/>
          <w:rtl/>
          <w:lang w:bidi="he-IL"/>
        </w:rPr>
        <w:t xml:space="preserve">. אמנם אולי יש סברא לחלק בין דבר העומד להתקלקל </w:t>
      </w:r>
      <w:r w:rsidR="005B1E46">
        <w:rPr>
          <w:rFonts w:cs="Guttman Drogolin" w:hint="cs"/>
          <w:rtl/>
          <w:lang w:bidi="he-IL"/>
        </w:rPr>
        <w:t>מ</w:t>
      </w:r>
      <w:r w:rsidR="005F1BAF" w:rsidRPr="00882F11">
        <w:rPr>
          <w:rFonts w:cs="Guttman Drogolin" w:hint="cs"/>
          <w:rtl/>
          <w:lang w:bidi="he-IL"/>
        </w:rPr>
        <w:t>איליו לדבר שצריך לקלקלו בידים אע"ג שגם זה דצריך לקלקלו בידים עתיד לבא כיון שמצווה בכך וציית דינא. וצ"ע.</w:t>
      </w:r>
    </w:p>
    <w:p w:rsidR="005F1BAF" w:rsidRPr="00882F11" w:rsidRDefault="005F1BAF" w:rsidP="005F1BAF">
      <w:pPr>
        <w:pStyle w:val="Heading1"/>
        <w:bidi/>
        <w:spacing w:before="0" w:line="360" w:lineRule="auto"/>
        <w:jc w:val="center"/>
        <w:rPr>
          <w:rFonts w:cs="Guttman Drogolin"/>
          <w:color w:val="auto"/>
          <w:sz w:val="24"/>
          <w:szCs w:val="24"/>
          <w:u w:val="single"/>
          <w:rtl/>
          <w:lang w:bidi="he-IL"/>
        </w:rPr>
      </w:pPr>
      <w:bookmarkStart w:id="354" w:name="_Toc496175603"/>
      <w:r w:rsidRPr="00882F11">
        <w:rPr>
          <w:rFonts w:cs="Guttman Drogolin" w:hint="cs"/>
          <w:color w:val="auto"/>
          <w:sz w:val="24"/>
          <w:szCs w:val="24"/>
          <w:u w:val="single"/>
          <w:rtl/>
          <w:lang w:bidi="he-IL"/>
        </w:rPr>
        <w:t>דבר שיש לו מתירין שחוזר לאיסורו</w:t>
      </w:r>
      <w:bookmarkEnd w:id="354"/>
    </w:p>
    <w:p w:rsidR="005F1BAF" w:rsidRPr="00882F11" w:rsidRDefault="0029471F" w:rsidP="0029471F">
      <w:pPr>
        <w:tabs>
          <w:tab w:val="right" w:pos="7497"/>
        </w:tabs>
        <w:bidi/>
        <w:jc w:val="both"/>
        <w:rPr>
          <w:rFonts w:cs="Guttman Drogolin"/>
          <w:rtl/>
          <w:lang w:bidi="he-IL"/>
        </w:rPr>
      </w:pPr>
      <w:r>
        <w:rPr>
          <w:rFonts w:cs="Guttman Drogolin"/>
          <w:rtl/>
          <w:lang w:bidi="he-IL"/>
        </w:rPr>
        <w:fldChar w:fldCharType="begin"/>
      </w:r>
      <w:r>
        <w:instrText xml:space="preserve"> XE "</w:instrText>
      </w:r>
      <w:r w:rsidRPr="00D62840">
        <w:rPr>
          <w:rFonts w:hint="cs"/>
          <w:rtl/>
          <w:lang w:bidi="he-IL"/>
        </w:rPr>
        <w:instrText>דבר שיש לו מתירין</w:instrText>
      </w:r>
      <w:r w:rsidRPr="00D62840">
        <w:rPr>
          <w:rtl/>
        </w:rPr>
        <w:instrText>:</w:instrText>
      </w:r>
      <w:r>
        <w:rPr>
          <w:rFonts w:hint="cs"/>
          <w:rtl/>
          <w:lang w:bidi="he-IL"/>
        </w:rPr>
        <w:instrText>כשחוזר לאיסורו</w:instrText>
      </w:r>
      <w:r>
        <w:instrText xml:space="preserve">" </w:instrText>
      </w:r>
      <w:r>
        <w:rPr>
          <w:rFonts w:cs="Guttman Drogolin"/>
          <w:rtl/>
          <w:lang w:bidi="he-IL"/>
        </w:rPr>
        <w:fldChar w:fldCharType="end"/>
      </w:r>
      <w:r w:rsidR="005B1E46">
        <w:rPr>
          <w:rFonts w:cs="Guttman Drogolin" w:hint="cs"/>
          <w:rtl/>
          <w:lang w:bidi="he-IL"/>
        </w:rPr>
        <w:t>הרמ"א בסע' ד' מב</w:t>
      </w:r>
      <w:r w:rsidR="005F1BAF" w:rsidRPr="00882F11">
        <w:rPr>
          <w:rFonts w:cs="Guttman Drogolin" w:hint="cs"/>
          <w:rtl/>
          <w:lang w:bidi="he-IL"/>
        </w:rPr>
        <w:t xml:space="preserve">יא שיטת המרדכי שדבר שיל"מ שחוזר לאיסורו לאחר מכן אינו חשוב דבר שי"ל מתירין. וחזינן דהרמב"ם הנ"ל לית לי' סברא זו דהא חמץ ג"כ חוזר לאיסורו בפסח הבא ומ"מ חשוב דשיל"מ. ולכאורה סברת המרדכי משום שאין זה שוב דבר שעתיד להיות מותר, רק כך </w:t>
      </w:r>
      <w:r w:rsidR="005F1BAF" w:rsidRPr="00882F11">
        <w:rPr>
          <w:rFonts w:cs="Guttman Drogolin" w:hint="cs"/>
          <w:rtl/>
          <w:lang w:bidi="he-IL"/>
        </w:rPr>
        <w:lastRenderedPageBreak/>
        <w:t xml:space="preserve">דינו מעיקרא להיות פעמים מותר ופעמים אסור. ומ"מ קשה להבין הסברא בזה כיון שעכ"פ יש זמן היתר, ולכן שייכים בין הסברא דעד שתאכלנו באיסור תאכלנו בהיתר, ובין הסברא דכיון שי"ל היתר ליכא התנגדות. ואפילו לפי סברת הר"ן במס' ע"ז דדבר שי"ל היתר עכשיו בדרך אחר חשוב דשיל"מ, מ"מ הכא בשעת היתר הרי הוא מותר ממש. וצ"ע. </w:t>
      </w:r>
    </w:p>
    <w:p w:rsidR="005F1BAF" w:rsidRPr="00882F11" w:rsidRDefault="005F1BAF" w:rsidP="005F1BAF">
      <w:pPr>
        <w:pStyle w:val="Heading1"/>
        <w:bidi/>
        <w:spacing w:before="0" w:line="360" w:lineRule="auto"/>
        <w:jc w:val="center"/>
        <w:rPr>
          <w:rFonts w:cs="Guttman Drogolin"/>
          <w:color w:val="auto"/>
          <w:sz w:val="24"/>
          <w:szCs w:val="24"/>
          <w:u w:val="single"/>
          <w:rtl/>
          <w:lang w:bidi="he-IL"/>
        </w:rPr>
      </w:pPr>
      <w:bookmarkStart w:id="355" w:name="_Toc496175604"/>
      <w:r w:rsidRPr="00882F11">
        <w:rPr>
          <w:rFonts w:cs="Guttman Drogolin" w:hint="cs"/>
          <w:color w:val="auto"/>
          <w:sz w:val="24"/>
          <w:szCs w:val="24"/>
          <w:u w:val="single"/>
          <w:rtl/>
          <w:lang w:bidi="he-IL"/>
        </w:rPr>
        <w:t>חידושו של הצל"ח בדינא דדשיל"מ</w:t>
      </w:r>
      <w:bookmarkEnd w:id="355"/>
    </w:p>
    <w:p w:rsidR="00E74DDF" w:rsidRPr="00882F11" w:rsidRDefault="0029471F" w:rsidP="0029471F">
      <w:pPr>
        <w:tabs>
          <w:tab w:val="right" w:pos="7497"/>
        </w:tabs>
        <w:bidi/>
        <w:jc w:val="both"/>
        <w:rPr>
          <w:rFonts w:cs="Guttman Drogolin"/>
          <w:rtl/>
          <w:lang w:bidi="he-IL"/>
        </w:rPr>
      </w:pPr>
      <w:r>
        <w:rPr>
          <w:rFonts w:cs="Guttman Drogolin"/>
          <w:rtl/>
          <w:lang w:bidi="he-IL"/>
        </w:rPr>
        <w:fldChar w:fldCharType="begin"/>
      </w:r>
      <w:r>
        <w:instrText xml:space="preserve"> XE "</w:instrText>
      </w:r>
      <w:r w:rsidRPr="00D62840">
        <w:rPr>
          <w:rFonts w:hint="cs"/>
          <w:rtl/>
          <w:lang w:bidi="he-IL"/>
        </w:rPr>
        <w:instrText>דבר שיש לו מתירין</w:instrText>
      </w:r>
      <w:r w:rsidRPr="00D62840">
        <w:rPr>
          <w:rtl/>
        </w:rPr>
        <w:instrText>:</w:instrText>
      </w:r>
      <w:r>
        <w:rPr>
          <w:rFonts w:hint="cs"/>
          <w:rtl/>
          <w:lang w:bidi="he-IL"/>
        </w:rPr>
        <w:instrText>חידושו של הצל</w:instrText>
      </w:r>
      <w:r>
        <w:rPr>
          <w:rFonts w:eastAsiaTheme="minorEastAsia"/>
          <w:lang w:bidi="he-IL"/>
        </w:rPr>
        <w:instrText>\</w:instrText>
      </w:r>
      <w:r w:rsidRPr="00D62840">
        <w:rPr>
          <w:rFonts w:hint="cs"/>
          <w:rtl/>
          <w:lang w:bidi="he-IL"/>
        </w:rPr>
        <w:instrText>"</w:instrText>
      </w:r>
      <w:r>
        <w:rPr>
          <w:rFonts w:hint="cs"/>
          <w:rtl/>
          <w:lang w:bidi="he-IL"/>
        </w:rPr>
        <w:instrText>ח</w:instrText>
      </w:r>
      <w:r>
        <w:instrText xml:space="preserve"> </w:instrText>
      </w:r>
      <w:r>
        <w:rPr>
          <w:rFonts w:hint="cs"/>
          <w:rtl/>
          <w:lang w:bidi="he-IL"/>
        </w:rPr>
        <w:instrText>"</w:instrText>
      </w:r>
      <w:r>
        <w:rPr>
          <w:rFonts w:cs="Guttman Drogolin"/>
          <w:rtl/>
          <w:lang w:bidi="he-IL"/>
        </w:rPr>
        <w:fldChar w:fldCharType="end"/>
      </w:r>
      <w:r w:rsidR="005F1BAF" w:rsidRPr="00882F11">
        <w:rPr>
          <w:rFonts w:cs="Guttman Drogolin" w:hint="cs"/>
          <w:rtl/>
          <w:lang w:bidi="he-IL"/>
        </w:rPr>
        <w:t>כתב הצל"ח בכמה מקומות (ע' ביצה דף ג' ע"ב, פסחים דף ט' ע"ב ועוד) שכל הדין של דבר שי"ל מתירין לא נאמר אלא בדבר שיש לו רק מעשה תשמיש א', כגון דבר שקיים לאכילה שאי אפשר לאכלו יותר מפעם א', אבל כגון כלי שאפשר להשתמש בו פעמים רבות לא שייך החומרא דדשיל"מ</w:t>
      </w:r>
      <w:r w:rsidR="00E74DDF" w:rsidRPr="00882F11">
        <w:rPr>
          <w:rFonts w:cs="Guttman Drogolin" w:hint="cs"/>
          <w:rtl/>
          <w:lang w:bidi="he-IL"/>
        </w:rPr>
        <w:t>. וטעמא דילי' שהרי הסברא בדבר שיש לו מתירים כתב רש"י שהוא משום דעד שתאכלנו באיסור תאכלנו בהיתר, ולכן בשלמא בכגון מידי דאכילה שאינו קיים אלא לתשמיש פעם א', דהיינו שיאכל לאכלו רק פעם א', יש סברא דמעשה אכילה זו יעשה בהיתר במקום זה שיעשנו באיסור. אבל בדבר שקיים לתשמישים רבים לא שייך סברא זו, דהא שימוש שמשמש עכשיו אינו משפיע על תשמישתו שלאחר זמן, ולכן איך אפשר לומר 'עד שתאכלנו וכו', הא 'אכילה' זו לא יהי' לי לאחר זמן, דהא ה'אכילה' שלאחר זמן מילתא אחריתי היא ואיני מרויח אותו בזה שאיני אוכל עכשיו.</w:t>
      </w:r>
    </w:p>
    <w:p w:rsidR="00E74DDF" w:rsidRPr="00882F11" w:rsidRDefault="00E74DDF" w:rsidP="00E74DDF">
      <w:pPr>
        <w:tabs>
          <w:tab w:val="right" w:pos="7497"/>
        </w:tabs>
        <w:bidi/>
        <w:jc w:val="both"/>
        <w:rPr>
          <w:rFonts w:cs="Guttman Drogolin"/>
          <w:rtl/>
          <w:lang w:bidi="he-IL"/>
        </w:rPr>
      </w:pPr>
      <w:r w:rsidRPr="00882F11">
        <w:rPr>
          <w:rFonts w:cs="Guttman Drogolin" w:hint="cs"/>
          <w:rtl/>
          <w:lang w:bidi="he-IL"/>
        </w:rPr>
        <w:t xml:space="preserve">ובפת"ש ס"ק ו' הביא את דבריו וכתב שלפי זה לא צריכים לדברי הרשב"א המובאים בסע' ג'. שהרשב"א כתב שאם יש כלי שצריך הכשר שהתערבב בכלים אחרים הרי זה כדבר שיל"מ </w:t>
      </w:r>
      <w:r w:rsidRPr="00882F11">
        <w:rPr>
          <w:rFonts w:cs="Guttman Drogolin" w:hint="cs"/>
          <w:rtl/>
          <w:lang w:bidi="he-IL"/>
        </w:rPr>
        <w:lastRenderedPageBreak/>
        <w:t xml:space="preserve">במקום דליכא טירחא או הפסד, ולסברת הצל"ח לא צריכים לזה, דהא כיון שקיים לתשמישים רבים אין זה דשיל"מ. באופן שלכאורה מבואר מדברי הרשב"א דלא כצל"ח. וראיתי מי שרצה לדחות דשאני כלי משום שכל תשמיש ותשמיש מכלה הכלי </w:t>
      </w:r>
      <w:r w:rsidR="004922A4" w:rsidRPr="00882F11">
        <w:rPr>
          <w:rFonts w:cs="Guttman Drogolin" w:hint="cs"/>
          <w:rtl/>
          <w:lang w:bidi="he-IL"/>
        </w:rPr>
        <w:t>מעט עד שמתכלה, ולכן</w:t>
      </w:r>
      <w:r w:rsidR="00721F02" w:rsidRPr="00882F11">
        <w:rPr>
          <w:rFonts w:cs="Guttman Drogolin" w:hint="cs"/>
          <w:rtl/>
          <w:lang w:bidi="he-IL"/>
        </w:rPr>
        <w:t xml:space="preserve"> גם לגביו שייך הסברא דעד שתאכלנו וכו'. ודחוק.</w:t>
      </w:r>
      <w:r w:rsidRPr="00882F11">
        <w:rPr>
          <w:rFonts w:cs="Guttman Drogolin" w:hint="cs"/>
          <w:rtl/>
          <w:lang w:bidi="he-IL"/>
        </w:rPr>
        <w:t xml:space="preserve"> </w:t>
      </w:r>
    </w:p>
    <w:p w:rsidR="00721F02" w:rsidRPr="00882F11" w:rsidRDefault="00E74DDF" w:rsidP="00E74DDF">
      <w:pPr>
        <w:tabs>
          <w:tab w:val="right" w:pos="7497"/>
        </w:tabs>
        <w:bidi/>
        <w:jc w:val="both"/>
        <w:rPr>
          <w:rFonts w:cs="Guttman Drogolin"/>
          <w:rtl/>
          <w:lang w:bidi="he-IL"/>
        </w:rPr>
      </w:pPr>
      <w:r w:rsidRPr="00882F11">
        <w:rPr>
          <w:rFonts w:cs="Guttman Drogolin" w:hint="cs"/>
          <w:rtl/>
          <w:lang w:bidi="he-IL"/>
        </w:rPr>
        <w:t xml:space="preserve">וראיתי בשו"ת ס' יהושע </w:t>
      </w:r>
      <w:r w:rsidR="00721F02" w:rsidRPr="00882F11">
        <w:rPr>
          <w:rFonts w:cs="Guttman Drogolin" w:hint="cs"/>
          <w:rtl/>
          <w:lang w:bidi="he-IL"/>
        </w:rPr>
        <w:t xml:space="preserve">(מובא בהגה"ה לצל"ח הוצאת מכ"י לפסחים דף ט' ע"ב) </w:t>
      </w:r>
      <w:r w:rsidRPr="00882F11">
        <w:rPr>
          <w:rFonts w:cs="Guttman Drogolin" w:hint="cs"/>
          <w:rtl/>
          <w:lang w:bidi="he-IL"/>
        </w:rPr>
        <w:t>שהעיר מעצם הגמ' במס' ביצה ששם מבואר דנפק"מ בדין דשיל"מ</w:t>
      </w:r>
      <w:r w:rsidR="00721F02" w:rsidRPr="00882F11">
        <w:rPr>
          <w:rFonts w:cs="Guttman Drogolin" w:hint="cs"/>
          <w:rtl/>
          <w:lang w:bidi="he-IL"/>
        </w:rPr>
        <w:t xml:space="preserve"> גם לענין איסור טלטול. אבל דחה שאין משם שום השגה על דברי הצל"ח, שלכאורה דבר שקיים לאכילה אמרינן בה דהוי בכלל דשיל"מ, ואחרי שנאסר מדין דשיל"מ שוב הרי הוא נאסר בכל הדינים, בין טלטול ובין תשמיש חוזר. אבל משו"ע צ"ע.</w:t>
      </w:r>
    </w:p>
    <w:p w:rsidR="00721F02" w:rsidRPr="00882F11" w:rsidRDefault="00721F02" w:rsidP="00721F02">
      <w:pPr>
        <w:tabs>
          <w:tab w:val="right" w:pos="7497"/>
        </w:tabs>
        <w:bidi/>
        <w:jc w:val="both"/>
        <w:rPr>
          <w:rFonts w:cs="Guttman Drogolin"/>
          <w:rtl/>
          <w:lang w:bidi="he-IL"/>
        </w:rPr>
      </w:pPr>
      <w:r w:rsidRPr="00882F11">
        <w:rPr>
          <w:rFonts w:cs="Guttman Drogolin" w:hint="cs"/>
          <w:rtl/>
          <w:lang w:bidi="he-IL"/>
        </w:rPr>
        <w:t>וכן העירו שמתוס' במס' עירובין דף מ"ה ע"ב לכאורה מבואר דלא כצל"ח. ובנובי"ת סי' צ"א העיר בזה וכתב דאה"נ ובתוס' מבואר דלא כדבריו, אבל דבריו הם כשיטת רש"י.</w:t>
      </w:r>
    </w:p>
    <w:p w:rsidR="00721F02" w:rsidRPr="00882F11" w:rsidRDefault="00721F02" w:rsidP="00721F02">
      <w:pPr>
        <w:tabs>
          <w:tab w:val="right" w:pos="7497"/>
        </w:tabs>
        <w:bidi/>
        <w:jc w:val="both"/>
        <w:rPr>
          <w:rFonts w:cs="Guttman Drogolin"/>
          <w:rtl/>
          <w:lang w:bidi="he-IL"/>
        </w:rPr>
      </w:pPr>
      <w:r w:rsidRPr="00882F11">
        <w:rPr>
          <w:rFonts w:cs="Guttman Drogolin" w:hint="cs"/>
          <w:rtl/>
          <w:lang w:bidi="he-IL"/>
        </w:rPr>
        <w:t>וכי תימא דמהו המקום לחלוק על הצל"ח, הא סברא גדולה היא. ו</w:t>
      </w:r>
      <w:r w:rsidR="00496CCE">
        <w:rPr>
          <w:rFonts w:cs="Guttman Drogolin" w:hint="cs"/>
          <w:rtl/>
          <w:lang w:bidi="he-IL"/>
        </w:rPr>
        <w:t>לכאורה גם כאן אפשר לומר שהוא מש</w:t>
      </w:r>
      <w:r w:rsidRPr="00882F11">
        <w:rPr>
          <w:rFonts w:cs="Guttman Drogolin" w:hint="cs"/>
          <w:rtl/>
          <w:lang w:bidi="he-IL"/>
        </w:rPr>
        <w:t>ום לא פלוג, דכל דבר שעתיד איסורו ליפקע הרי הוא בכלל החומרא דדבר שיל"מ אע"ג שהסברא של החומרא כבר לא שייכת.</w:t>
      </w:r>
    </w:p>
    <w:p w:rsidR="0022657A" w:rsidRPr="00882F11" w:rsidRDefault="00721F02" w:rsidP="00721F02">
      <w:pPr>
        <w:tabs>
          <w:tab w:val="right" w:pos="7497"/>
        </w:tabs>
        <w:bidi/>
        <w:jc w:val="both"/>
        <w:rPr>
          <w:rFonts w:cs="Guttman Drogolin"/>
          <w:rtl/>
          <w:lang w:bidi="he-IL"/>
        </w:rPr>
      </w:pPr>
      <w:r w:rsidRPr="00882F11">
        <w:rPr>
          <w:rFonts w:cs="Guttman Drogolin" w:hint="cs"/>
          <w:rtl/>
          <w:lang w:bidi="he-IL"/>
        </w:rPr>
        <w:t>ולמעשה הרבה פוסקים מצרפים את שיטת הצל"ח כסניף להקל כשיש עוד צדדים להקל</w:t>
      </w:r>
      <w:r w:rsidR="00D3607B" w:rsidRPr="00882F11">
        <w:rPr>
          <w:rStyle w:val="FootnoteReference"/>
          <w:rFonts w:cs="Guttman Drogolin"/>
          <w:rtl/>
          <w:lang w:bidi="he-IL"/>
        </w:rPr>
        <w:footnoteReference w:id="374"/>
      </w:r>
      <w:r w:rsidRPr="00882F11">
        <w:rPr>
          <w:rFonts w:cs="Guttman Drogolin" w:hint="cs"/>
          <w:rtl/>
          <w:lang w:bidi="he-IL"/>
        </w:rPr>
        <w:t xml:space="preserve">. </w:t>
      </w:r>
    </w:p>
    <w:p w:rsidR="0022657A" w:rsidRPr="00882F11" w:rsidRDefault="0022657A" w:rsidP="0022657A">
      <w:pPr>
        <w:tabs>
          <w:tab w:val="right" w:pos="7497"/>
        </w:tabs>
        <w:bidi/>
        <w:jc w:val="both"/>
        <w:rPr>
          <w:rFonts w:cs="Guttman Drogolin"/>
          <w:rtl/>
          <w:lang w:bidi="he-IL"/>
        </w:rPr>
        <w:sectPr w:rsidR="0022657A" w:rsidRPr="00882F11" w:rsidSect="00891DE2">
          <w:type w:val="continuous"/>
          <w:pgSz w:w="11907" w:h="16839" w:code="9"/>
          <w:pgMar w:top="1440" w:right="1440" w:bottom="1440" w:left="1440" w:header="720" w:footer="720" w:gutter="0"/>
          <w:cols w:num="2" w:space="720"/>
          <w:bidi/>
          <w:docGrid w:linePitch="360"/>
        </w:sectPr>
      </w:pPr>
    </w:p>
    <w:p w:rsidR="0022657A" w:rsidRPr="00891DE2" w:rsidRDefault="0022657A" w:rsidP="0022657A">
      <w:pPr>
        <w:keepNext/>
        <w:tabs>
          <w:tab w:val="left" w:pos="3818"/>
          <w:tab w:val="center" w:pos="4680"/>
        </w:tabs>
        <w:bidi/>
        <w:jc w:val="center"/>
        <w:rPr>
          <w:rFonts w:cs="Guttman Drogolin"/>
          <w:b/>
          <w:bCs/>
          <w:sz w:val="48"/>
          <w:szCs w:val="48"/>
          <w:rtl/>
          <w:lang w:bidi="he-IL"/>
        </w:rPr>
      </w:pPr>
      <w:r w:rsidRPr="00891DE2">
        <w:rPr>
          <w:rFonts w:cs="Guttman Drogolin" w:hint="cs"/>
          <w:b/>
          <w:bCs/>
          <w:sz w:val="48"/>
          <w:szCs w:val="48"/>
          <w:rtl/>
          <w:lang w:bidi="he-IL"/>
        </w:rPr>
        <w:lastRenderedPageBreak/>
        <w:t>שיעור פ"ח</w:t>
      </w:r>
    </w:p>
    <w:p w:rsidR="00891DE2" w:rsidRDefault="00891DE2" w:rsidP="0022657A">
      <w:pPr>
        <w:pStyle w:val="Heading1"/>
        <w:bidi/>
        <w:spacing w:before="0" w:line="360" w:lineRule="auto"/>
        <w:jc w:val="center"/>
        <w:rPr>
          <w:rFonts w:cs="Guttman Drogolin"/>
          <w:color w:val="auto"/>
          <w:sz w:val="24"/>
          <w:szCs w:val="24"/>
          <w:u w:val="single"/>
          <w:rtl/>
          <w:lang w:bidi="he-IL"/>
        </w:rPr>
        <w:sectPr w:rsidR="00891DE2" w:rsidSect="00891DE2">
          <w:headerReference w:type="default" r:id="rId67"/>
          <w:pgSz w:w="11907" w:h="16839" w:code="9"/>
          <w:pgMar w:top="1440" w:right="1440" w:bottom="1440" w:left="1440" w:header="720" w:footer="720" w:gutter="0"/>
          <w:cols w:space="720"/>
          <w:bidi/>
          <w:docGrid w:linePitch="360"/>
        </w:sectPr>
      </w:pPr>
    </w:p>
    <w:p w:rsidR="0022657A" w:rsidRPr="00882F11" w:rsidRDefault="0022657A" w:rsidP="0029471F">
      <w:pPr>
        <w:pStyle w:val="Heading1"/>
        <w:bidi/>
        <w:spacing w:before="0" w:line="360" w:lineRule="auto"/>
        <w:jc w:val="center"/>
        <w:rPr>
          <w:rFonts w:cs="Guttman Drogolin"/>
          <w:color w:val="auto"/>
          <w:sz w:val="24"/>
          <w:szCs w:val="24"/>
          <w:u w:val="single"/>
          <w:rtl/>
          <w:lang w:bidi="he-IL"/>
        </w:rPr>
      </w:pPr>
      <w:bookmarkStart w:id="356" w:name="_Toc496175605"/>
      <w:r w:rsidRPr="00882F11">
        <w:rPr>
          <w:rFonts w:cs="Guttman Drogolin" w:hint="cs"/>
          <w:color w:val="auto"/>
          <w:sz w:val="24"/>
          <w:szCs w:val="24"/>
          <w:u w:val="single"/>
          <w:rtl/>
          <w:lang w:bidi="he-IL"/>
        </w:rPr>
        <w:lastRenderedPageBreak/>
        <w:t>דבר שיש לו מתירין ב</w:t>
      </w:r>
      <w:r w:rsidR="0029471F">
        <w:rPr>
          <w:rFonts w:cs="Guttman Drogolin" w:hint="cs"/>
          <w:color w:val="auto"/>
          <w:sz w:val="24"/>
          <w:szCs w:val="24"/>
          <w:u w:val="single"/>
          <w:rtl/>
          <w:lang w:bidi="he-IL"/>
        </w:rPr>
        <w:t>שאר דיני תורה</w:t>
      </w:r>
      <w:bookmarkEnd w:id="356"/>
    </w:p>
    <w:p w:rsidR="008F02CB" w:rsidRPr="00882F11" w:rsidRDefault="0029471F" w:rsidP="0029471F">
      <w:pPr>
        <w:tabs>
          <w:tab w:val="right" w:pos="7497"/>
        </w:tabs>
        <w:bidi/>
        <w:jc w:val="both"/>
        <w:rPr>
          <w:rFonts w:cs="Guttman Drogolin"/>
          <w:rtl/>
          <w:lang w:bidi="he-IL"/>
        </w:rPr>
      </w:pPr>
      <w:r>
        <w:rPr>
          <w:rFonts w:cs="Guttman Drogolin"/>
          <w:rtl/>
          <w:lang w:bidi="he-IL"/>
        </w:rPr>
        <w:fldChar w:fldCharType="begin"/>
      </w:r>
      <w:r>
        <w:instrText xml:space="preserve"> XE "</w:instrText>
      </w:r>
      <w:r w:rsidRPr="00D62840">
        <w:rPr>
          <w:rFonts w:hint="cs"/>
          <w:rtl/>
          <w:lang w:bidi="he-IL"/>
        </w:rPr>
        <w:instrText>דבר שיש לו מתירין</w:instrText>
      </w:r>
      <w:r w:rsidRPr="00D62840">
        <w:rPr>
          <w:rtl/>
        </w:rPr>
        <w:instrText>:</w:instrText>
      </w:r>
      <w:r>
        <w:rPr>
          <w:rFonts w:hint="cs"/>
          <w:rtl/>
          <w:lang w:bidi="he-IL"/>
        </w:rPr>
        <w:instrText>בשאר דיני תורה</w:instrText>
      </w:r>
      <w:r>
        <w:instrText xml:space="preserve">" </w:instrText>
      </w:r>
      <w:r>
        <w:rPr>
          <w:rFonts w:cs="Guttman Drogolin"/>
          <w:rtl/>
          <w:lang w:bidi="he-IL"/>
        </w:rPr>
        <w:fldChar w:fldCharType="end"/>
      </w:r>
      <w:r w:rsidR="0022657A" w:rsidRPr="00882F11">
        <w:rPr>
          <w:rFonts w:cs="Guttman Drogolin" w:hint="cs"/>
          <w:rtl/>
          <w:lang w:bidi="he-IL"/>
        </w:rPr>
        <w:t>השו"ע כאן בסע' א' כתב דהא דדבר שי"ל מתרין אסור, לא מיבעי ביצה שיש בה ספק אם נולדה ביו"ט, אלא</w:t>
      </w:r>
      <w:r w:rsidR="00E74DDF" w:rsidRPr="00882F11">
        <w:rPr>
          <w:rFonts w:cs="Guttman Drogolin" w:hint="cs"/>
          <w:rtl/>
          <w:lang w:bidi="he-IL"/>
        </w:rPr>
        <w:t xml:space="preserve"> </w:t>
      </w:r>
      <w:r w:rsidR="0022657A" w:rsidRPr="00882F11">
        <w:rPr>
          <w:rFonts w:cs="Guttman Drogolin"/>
          <w:rtl/>
          <w:lang w:bidi="he-IL"/>
        </w:rPr>
        <w:t xml:space="preserve">אפילו ספק נולדה ביום טוב ונתערבה באחרות </w:t>
      </w:r>
      <w:r w:rsidR="0022657A" w:rsidRPr="00882F11">
        <w:rPr>
          <w:rFonts w:cs="Guttman Drogolin" w:hint="cs"/>
          <w:rtl/>
          <w:lang w:bidi="he-IL"/>
        </w:rPr>
        <w:t xml:space="preserve">ג"כ כולם </w:t>
      </w:r>
      <w:r w:rsidR="0022657A" w:rsidRPr="00882F11">
        <w:rPr>
          <w:rFonts w:cs="Guttman Drogolin"/>
          <w:rtl/>
          <w:lang w:bidi="he-IL"/>
        </w:rPr>
        <w:t>אסורות</w:t>
      </w:r>
      <w:r w:rsidR="0022657A" w:rsidRPr="00882F11">
        <w:rPr>
          <w:rFonts w:cs="Guttman Drogolin" w:hint="cs"/>
          <w:rtl/>
          <w:lang w:bidi="he-IL"/>
        </w:rPr>
        <w:t xml:space="preserve">. </w:t>
      </w:r>
      <w:r w:rsidR="002A513E" w:rsidRPr="00882F11">
        <w:rPr>
          <w:rFonts w:cs="Guttman Drogolin" w:hint="cs"/>
          <w:rtl/>
          <w:lang w:bidi="he-IL"/>
        </w:rPr>
        <w:t>ומקור הדבר ברייתא במס' ביצה ג' ע"ב בביצה שנולדה ביו"ט "וספיקא אסורה ואם נתערבה באלף כולן אסורות". ובהרה"מ פ"א מהל' יו"ט ה"כ הביא ב' פירושים בברייתא, זו י"א ד'נתערבה באחרות' מיירי במאי דקדים לי', ור"ל דמיירי בביתה ספק שנולדה ביו"ט שנתערבה באחרות, וי"מ דמיירי בביצה שודאי נולדה ביו"ט, אבל ספק נולדה ביו"ט ונתערבה באחרות אינו אסור. וכנראה השו"ע נקט כאן בדעת המחמירים אע"ג שבב"י שם משמע דנקט כמקילין, וכן בשו"ע שם סע' ב' לא הביא החומרא דכאן, ועמש"כ בזה המג"א שם ס"ק ד'.</w:t>
      </w:r>
    </w:p>
    <w:p w:rsidR="00B63189" w:rsidRPr="00882F11" w:rsidRDefault="008F02CB" w:rsidP="009106EE">
      <w:pPr>
        <w:tabs>
          <w:tab w:val="right" w:pos="7497"/>
        </w:tabs>
        <w:bidi/>
        <w:jc w:val="both"/>
        <w:rPr>
          <w:rFonts w:cs="Guttman Drogolin"/>
          <w:rtl/>
          <w:lang w:bidi="he-IL"/>
        </w:rPr>
      </w:pPr>
      <w:r w:rsidRPr="00882F11">
        <w:rPr>
          <w:rFonts w:cs="Guttman Drogolin" w:hint="cs"/>
          <w:rtl/>
          <w:lang w:bidi="he-IL"/>
        </w:rPr>
        <w:t xml:space="preserve">ונחלקו בטעם הדבר להחמיר במקרה כזה. שיטת המחבר עצמו דכה"ג לא מיקרי ספק ספיקא, כיון שספק א' בגופו וספק א' בתערובת. אבל י"א </w:t>
      </w:r>
      <w:r w:rsidR="009106EE" w:rsidRPr="00882F11">
        <w:rPr>
          <w:rFonts w:cs="Guttman Drogolin" w:hint="cs"/>
          <w:rtl/>
          <w:lang w:bidi="he-IL"/>
        </w:rPr>
        <w:t>דכיון דהוי</w:t>
      </w:r>
      <w:r w:rsidRPr="00882F11">
        <w:rPr>
          <w:rFonts w:cs="Guttman Drogolin" w:hint="cs"/>
          <w:rtl/>
          <w:lang w:bidi="he-IL"/>
        </w:rPr>
        <w:t xml:space="preserve"> דשיל"מ </w:t>
      </w:r>
      <w:r w:rsidR="009106EE" w:rsidRPr="00882F11">
        <w:rPr>
          <w:rFonts w:cs="Guttman Drogolin" w:hint="cs"/>
          <w:rtl/>
          <w:lang w:bidi="he-IL"/>
        </w:rPr>
        <w:t>לא אמרינן לי' להיתר של</w:t>
      </w:r>
      <w:r w:rsidRPr="00882F11">
        <w:rPr>
          <w:rFonts w:cs="Guttman Drogolin" w:hint="cs"/>
          <w:rtl/>
          <w:lang w:bidi="he-IL"/>
        </w:rPr>
        <w:t xml:space="preserve"> ספק ספיקא</w:t>
      </w:r>
      <w:r w:rsidR="009106EE" w:rsidRPr="00882F11">
        <w:rPr>
          <w:rFonts w:cs="Guttman Drogolin" w:hint="cs"/>
          <w:rtl/>
          <w:lang w:bidi="he-IL"/>
        </w:rPr>
        <w:t xml:space="preserve"> (ע' בביאור הגר"א שהביא ב' הביאורים). ולבאר את הצדדים בזה, נראה לכאורה שהצד המחמירה מובן היטב, דכמו שמצאנו בעלמא דספק דרבנן להקל, ומ"מ בדבר שי"ל מתירין אמרינן לי' דעדיף שלא ליכנס לספק כיון שיכול להמתין, הה"נ בספק ספיקא, דאע"ג שבעלמא מקילים בה אפילו באיסור דאורייתא, מ"מ במקום ליכנס לספק אמרו חז"ל דכיון שיכול להמתין עדיף להמתין. ודעת המקילין לכאורה</w:t>
      </w:r>
      <w:r w:rsidR="00B63189" w:rsidRPr="00882F11">
        <w:rPr>
          <w:rFonts w:cs="Guttman Drogolin" w:hint="cs"/>
          <w:rtl/>
          <w:lang w:bidi="he-IL"/>
        </w:rPr>
        <w:t xml:space="preserve"> היינו משום שאמנם שייך יסוד החומרא של דבר שיש לו מתירין גם בהיתירא דספק ספיקא מ"מ לא החמירו כולי האי. </w:t>
      </w:r>
    </w:p>
    <w:p w:rsidR="00827325" w:rsidRPr="00882F11" w:rsidRDefault="00B63189" w:rsidP="00B63189">
      <w:pPr>
        <w:tabs>
          <w:tab w:val="right" w:pos="7497"/>
        </w:tabs>
        <w:bidi/>
        <w:jc w:val="both"/>
        <w:rPr>
          <w:rFonts w:cs="Guttman Drogolin"/>
          <w:rtl/>
          <w:lang w:bidi="he-IL"/>
        </w:rPr>
      </w:pPr>
      <w:r w:rsidRPr="00882F11">
        <w:rPr>
          <w:rFonts w:cs="Guttman Drogolin" w:hint="cs"/>
          <w:rtl/>
          <w:lang w:bidi="he-IL"/>
        </w:rPr>
        <w:t>ובפוסקים מבואר סברות לחלק בין מינים שונים של ספק ספיקא לענין החומרא דדבר שי"ל מתירין. בש"ך בסי' ק"י ס"ק נ"ו</w:t>
      </w:r>
      <w:r w:rsidR="00E13C79" w:rsidRPr="00882F11">
        <w:rPr>
          <w:rFonts w:cs="Guttman Drogolin" w:hint="cs"/>
          <w:rtl/>
          <w:lang w:bidi="he-IL"/>
        </w:rPr>
        <w:t xml:space="preserve"> (ע"פ רא"ש ריש כלל ב') מבואר שיש לחלק בין דשיל"מ בב' תערובות לדשיל"מ בב' ספקות בגופו. והנראה </w:t>
      </w:r>
      <w:r w:rsidR="00E13C79" w:rsidRPr="00882F11">
        <w:rPr>
          <w:rFonts w:cs="Guttman Drogolin" w:hint="cs"/>
          <w:rtl/>
          <w:lang w:bidi="he-IL"/>
        </w:rPr>
        <w:lastRenderedPageBreak/>
        <w:t xml:space="preserve">בכוונת דבריו שאמנם לא סמכינן על ביטול במקום שיל"מ, ולכן כל תערובת שאתה מוסיף מ"מ לא בטיל ואסור, מ"מ בדין דשיל"מ בספיקות </w:t>
      </w:r>
      <w:r w:rsidR="00827325" w:rsidRPr="00882F11">
        <w:rPr>
          <w:rFonts w:cs="Guttman Drogolin" w:hint="cs"/>
          <w:rtl/>
          <w:lang w:bidi="he-IL"/>
        </w:rPr>
        <w:t>שהוא משום חשש איסור, בזה  אמרינן דעד כמה שיש כאן ב' ספיקות הוי חששא רחוקה ולכן אין חוששין שיש כאן איסור כלל. ואע"ג שבתערובת ראשון של יבש ביבש יש ספק איזה מהן אסור, וכן בתערובת שני יש עוד ספק, מכיון שאין היתר ע"י דין ספיקות בתערובת (אפילו חד בחד באיסור דרבנן וכדמבואר בסי' ק"ט) אין מקום להקל בספק בתערובת אלא ע"י ביטול, ובביטול לא מקילינן כשהוא דשיל"מ.</w:t>
      </w:r>
    </w:p>
    <w:p w:rsidR="00E40989" w:rsidRPr="00882F11" w:rsidRDefault="00827325" w:rsidP="00672958">
      <w:pPr>
        <w:tabs>
          <w:tab w:val="right" w:pos="7497"/>
        </w:tabs>
        <w:bidi/>
        <w:jc w:val="both"/>
        <w:rPr>
          <w:rFonts w:cs="Guttman Drogolin"/>
          <w:rtl/>
          <w:lang w:bidi="he-IL"/>
        </w:rPr>
      </w:pPr>
      <w:r w:rsidRPr="00882F11">
        <w:rPr>
          <w:rFonts w:cs="Guttman Drogolin" w:hint="cs"/>
          <w:rtl/>
          <w:lang w:bidi="he-IL"/>
        </w:rPr>
        <w:t>ובדינא דכל דפריש וכן ברובא דליתא קמן, הר"ן בפ"ק דביצה (שייך לדף ז) הוכיח מן הסוגיא שם דברובא דליתא קמן לא מחמרינן אפילו בדשיל"</w:t>
      </w:r>
      <w:r w:rsidR="00672958" w:rsidRPr="00882F11">
        <w:rPr>
          <w:rFonts w:cs="Guttman Drogolin" w:hint="cs"/>
          <w:rtl/>
          <w:lang w:bidi="he-IL"/>
        </w:rPr>
        <w:t xml:space="preserve">מ. ולכאורה למה לא נימא גם בזה שלא נסמוך על ההסתברות של רוב כיון שאינו צריך, כמו שמחמירים בספיקות, וכן לא סמכינן אביטול בדשיל"מ. אמנם הביאור בזה פשוט </w:t>
      </w:r>
      <w:r w:rsidR="00672958" w:rsidRPr="00882F11">
        <w:rPr>
          <w:rFonts w:cs="Guttman Drogolin"/>
          <w:rtl/>
          <w:lang w:bidi="he-IL"/>
        </w:rPr>
        <w:t>–</w:t>
      </w:r>
      <w:r w:rsidR="00672958" w:rsidRPr="00882F11">
        <w:rPr>
          <w:rFonts w:cs="Guttman Drogolin" w:hint="cs"/>
          <w:rtl/>
          <w:lang w:bidi="he-IL"/>
        </w:rPr>
        <w:t xml:space="preserve"> שהרי אין כאן משום ביטול ולכ</w:t>
      </w:r>
      <w:r w:rsidR="005B1E46">
        <w:rPr>
          <w:rFonts w:cs="Guttman Drogolin" w:hint="cs"/>
          <w:rtl/>
          <w:lang w:bidi="he-IL"/>
        </w:rPr>
        <w:t>ן</w:t>
      </w:r>
      <w:r w:rsidR="00672958" w:rsidRPr="00882F11">
        <w:rPr>
          <w:rFonts w:cs="Guttman Drogolin" w:hint="cs"/>
          <w:rtl/>
          <w:lang w:bidi="he-IL"/>
        </w:rPr>
        <w:t xml:space="preserve"> אינו בכלל החומרא דבדבר שיל"מ לא סמכינן אביטול. וכן לא דמי לספיקות, שהקולא בספק דרבנן להקל אינו משום שיש הסתברות שהאמת עם הצד להקל, דמה"ת דהא ספק השקול הוא. רק קולא היא בספיקות שמותר לעשות פעולה אפילו כשיש ספק אולי יכשל. אבל כשיש רוב אין משום שהקילו שמותר במקום ספק, אלא ההיפך, כיון שיש רוב ע"פ דיני התורה כבר אין ספק, ואין טעם להחמיר אפילו בדבר שיל"מ. וע' בהגהות מלא הרועים על הר"ן שם שהביא עוד כמה מקורות דסמכינן ארובא דליתא קמן אפילו במקום דשיל"מ. ויש נידון באחרונים אם הה"נ ברובא דכל דפריש, ויל"ע אם יש טעם לחלק ביניהם. </w:t>
      </w:r>
      <w:r w:rsidR="00E13C79" w:rsidRPr="00882F11">
        <w:rPr>
          <w:rFonts w:cs="Guttman Drogolin" w:hint="cs"/>
          <w:rtl/>
          <w:lang w:bidi="he-IL"/>
        </w:rPr>
        <w:t xml:space="preserve">  </w:t>
      </w:r>
      <w:r w:rsidR="00B63189" w:rsidRPr="00882F11">
        <w:rPr>
          <w:rFonts w:cs="Guttman Drogolin" w:hint="cs"/>
          <w:rtl/>
          <w:lang w:bidi="he-IL"/>
        </w:rPr>
        <w:t xml:space="preserve">  </w:t>
      </w:r>
      <w:r w:rsidR="009106EE" w:rsidRPr="00882F11">
        <w:rPr>
          <w:rFonts w:cs="Guttman Drogolin" w:hint="cs"/>
          <w:rtl/>
          <w:lang w:bidi="he-IL"/>
        </w:rPr>
        <w:t xml:space="preserve"> </w:t>
      </w:r>
    </w:p>
    <w:p w:rsidR="00E40989" w:rsidRPr="00882F11" w:rsidRDefault="007E538E" w:rsidP="007E538E">
      <w:pPr>
        <w:pStyle w:val="Heading1"/>
        <w:bidi/>
        <w:spacing w:before="0" w:line="360" w:lineRule="auto"/>
        <w:jc w:val="center"/>
        <w:rPr>
          <w:rFonts w:cs="Guttman Drogolin"/>
          <w:color w:val="auto"/>
          <w:sz w:val="24"/>
          <w:szCs w:val="24"/>
          <w:u w:val="single"/>
          <w:rtl/>
          <w:lang w:bidi="he-IL"/>
        </w:rPr>
      </w:pPr>
      <w:bookmarkStart w:id="357" w:name="_Toc496175606"/>
      <w:r w:rsidRPr="00882F11">
        <w:rPr>
          <w:rFonts w:cs="Guttman Drogolin" w:hint="cs"/>
          <w:color w:val="auto"/>
          <w:sz w:val="24"/>
          <w:szCs w:val="24"/>
          <w:u w:val="single"/>
          <w:rtl/>
          <w:lang w:bidi="he-IL"/>
        </w:rPr>
        <w:t>חזותא וטעמא</w:t>
      </w:r>
      <w:bookmarkEnd w:id="357"/>
    </w:p>
    <w:p w:rsidR="00E60C4F" w:rsidRPr="00882F11" w:rsidRDefault="0029471F" w:rsidP="0029471F">
      <w:pPr>
        <w:tabs>
          <w:tab w:val="right" w:pos="7497"/>
        </w:tabs>
        <w:bidi/>
        <w:jc w:val="both"/>
        <w:rPr>
          <w:rFonts w:cs="Guttman Drogolin"/>
          <w:rtl/>
          <w:lang w:bidi="he-IL"/>
        </w:rPr>
      </w:pPr>
      <w:r>
        <w:rPr>
          <w:rFonts w:cs="Guttman Drogolin"/>
          <w:rtl/>
          <w:lang w:bidi="he-IL"/>
        </w:rPr>
        <w:fldChar w:fldCharType="begin"/>
      </w:r>
      <w:r>
        <w:instrText xml:space="preserve"> XE "</w:instrText>
      </w:r>
      <w:r w:rsidRPr="002239DB">
        <w:rPr>
          <w:rFonts w:hint="cs"/>
          <w:rtl/>
          <w:lang w:bidi="he-IL"/>
        </w:rPr>
        <w:instrText>חזותא</w:instrText>
      </w:r>
      <w:r w:rsidRPr="002239DB">
        <w:rPr>
          <w:rtl/>
        </w:rPr>
        <w:instrText>:</w:instrText>
      </w:r>
      <w:r w:rsidRPr="002239DB">
        <w:rPr>
          <w:rFonts w:hint="cs"/>
          <w:rtl/>
          <w:lang w:bidi="he-IL"/>
        </w:rPr>
        <w:instrText>הסוגיא</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D62840">
        <w:rPr>
          <w:rFonts w:hint="cs"/>
          <w:rtl/>
          <w:lang w:bidi="he-IL"/>
        </w:rPr>
        <w:instrText>דבר שיש לו מתירין</w:instrText>
      </w:r>
      <w:r w:rsidRPr="00D62840">
        <w:rPr>
          <w:rtl/>
        </w:rPr>
        <w:instrText>:</w:instrText>
      </w:r>
      <w:r>
        <w:rPr>
          <w:rFonts w:hint="cs"/>
          <w:rtl/>
          <w:lang w:bidi="he-IL"/>
        </w:rPr>
        <w:instrText>כשעושה חזותא</w:instrText>
      </w:r>
      <w:r>
        <w:instrText xml:space="preserve">" </w:instrText>
      </w:r>
      <w:r>
        <w:rPr>
          <w:rFonts w:cs="Guttman Drogolin"/>
          <w:rtl/>
          <w:lang w:bidi="he-IL"/>
        </w:rPr>
        <w:fldChar w:fldCharType="end"/>
      </w:r>
      <w:r w:rsidR="00E40989" w:rsidRPr="00882F11">
        <w:rPr>
          <w:rFonts w:cs="Guttman Drogolin" w:hint="cs"/>
          <w:rtl/>
          <w:lang w:bidi="he-IL"/>
        </w:rPr>
        <w:t>ה</w:t>
      </w:r>
      <w:r w:rsidR="007E538E" w:rsidRPr="00882F11">
        <w:rPr>
          <w:rFonts w:cs="Guttman Drogolin" w:hint="cs"/>
          <w:rtl/>
          <w:lang w:bidi="he-IL"/>
        </w:rPr>
        <w:t>רמ"א בסוף סע' א' כתב לענין הא דכתב המחבר לחלק בין מין במינו למין בשאינו מינו "</w:t>
      </w:r>
      <w:r w:rsidR="007E538E" w:rsidRPr="00882F11">
        <w:rPr>
          <w:rFonts w:cs="Guttman Drogolin"/>
          <w:rtl/>
          <w:lang w:bidi="he-IL"/>
        </w:rPr>
        <w:t xml:space="preserve">מיהו אם לבנו בה מאכל או נתנו בקדירה לתקן הקדירה </w:t>
      </w:r>
      <w:r w:rsidR="007E538E" w:rsidRPr="00882F11">
        <w:rPr>
          <w:rFonts w:cs="Guttman Drogolin" w:hint="cs"/>
          <w:rtl/>
          <w:lang w:bidi="he-IL"/>
        </w:rPr>
        <w:lastRenderedPageBreak/>
        <w:t>וכו'</w:t>
      </w:r>
      <w:r w:rsidR="007E538E" w:rsidRPr="00882F11">
        <w:rPr>
          <w:rFonts w:cs="Guttman Drogolin"/>
          <w:rtl/>
          <w:lang w:bidi="he-IL"/>
        </w:rPr>
        <w:t xml:space="preserve"> אינה בטלה</w:t>
      </w:r>
      <w:r w:rsidR="007E538E" w:rsidRPr="00882F11">
        <w:rPr>
          <w:rFonts w:cs="Guttman Drogolin" w:hint="cs"/>
          <w:rtl/>
          <w:lang w:bidi="he-IL"/>
        </w:rPr>
        <w:t>".</w:t>
      </w:r>
      <w:r w:rsidR="00F87B38" w:rsidRPr="00882F11">
        <w:rPr>
          <w:rFonts w:cs="Guttman Drogolin" w:hint="cs"/>
          <w:rtl/>
          <w:lang w:bidi="he-IL"/>
        </w:rPr>
        <w:t xml:space="preserve"> במקור הדברים בדרכ"מ נראה שיש ב' טעמים לאסור כשליבנו בה מאכל, או משום דבכה"ג חשוב מין במינו, ולכן בדשיל"מ אוסר במשהו, או"ד משום דחזותא מילתא היא ואינה בטלה, ולכן אפילו בשאר איסורים אינו בטל. </w:t>
      </w:r>
      <w:r w:rsidR="00764D09" w:rsidRPr="00882F11">
        <w:rPr>
          <w:rFonts w:cs="Guttman Drogolin" w:hint="cs"/>
          <w:rtl/>
          <w:lang w:bidi="he-IL"/>
        </w:rPr>
        <w:t xml:space="preserve">ונראה שזהו מחלוקת בין הפר"ח לביאור הגר"א, שהפר"ח נקט בדעת המחבר (לפי לשונו באו"ח סי' תקי"ג עכ"פ) דסבר חזותא </w:t>
      </w:r>
      <w:r w:rsidR="00EC0C12" w:rsidRPr="00882F11">
        <w:rPr>
          <w:rFonts w:cs="Guttman Drogolin" w:hint="cs"/>
          <w:rtl/>
          <w:lang w:bidi="he-IL"/>
        </w:rPr>
        <w:t xml:space="preserve">(ע' זבחים ע"ט ע"א, אמנם ע"ש בפירש"י) </w:t>
      </w:r>
      <w:r w:rsidR="00764D09" w:rsidRPr="00882F11">
        <w:rPr>
          <w:rFonts w:cs="Guttman Drogolin" w:hint="cs"/>
          <w:rtl/>
          <w:lang w:bidi="he-IL"/>
        </w:rPr>
        <w:t>וטעמא מילתא היא (אלא שדחה שבחזותא אין הדין כן עכ"פ באיסורים מדרבנן, ובטעם כיון שאין הטעם מורגש הרי הוא בטל). ובביאור הגר"א כאן ציין לדברי התוס' במס' ביצה, דמשמע דסבר שהטעם שאינו בטל משום דהוי מין במינו, ולכן אינו אלא חומרא בדשיל"מ. ולמעשה הפר"ח חשש דחזותא למילתא היא בדינים שהם מדאורייתא, אבל בדרבנן מיקל כיון דסבר שהוא ספיקא דדינא בגמ'</w:t>
      </w:r>
      <w:r w:rsidR="00EC0C12" w:rsidRPr="00882F11">
        <w:rPr>
          <w:rFonts w:cs="Guttman Drogolin" w:hint="cs"/>
          <w:rtl/>
          <w:lang w:bidi="he-IL"/>
        </w:rPr>
        <w:t xml:space="preserve"> (דלא כמנחת כהן ח"ג פ"ג דסבר לגמרי חזותא מילתא היא)</w:t>
      </w:r>
      <w:r w:rsidR="00764D09" w:rsidRPr="00882F11">
        <w:rPr>
          <w:rFonts w:cs="Guttman Drogolin" w:hint="cs"/>
          <w:rtl/>
          <w:lang w:bidi="he-IL"/>
        </w:rPr>
        <w:t>, ויש אחרונים שנקטו דחזותא לאו מילתא היא כלל</w:t>
      </w:r>
      <w:r w:rsidR="00E60C4F" w:rsidRPr="00882F11">
        <w:rPr>
          <w:rFonts w:cs="Guttman Drogolin"/>
          <w:rtl/>
          <w:lang w:bidi="he-IL"/>
        </w:rPr>
        <w:t xml:space="preserve"> </w:t>
      </w:r>
      <w:r w:rsidR="00E60C4F" w:rsidRPr="00882F11">
        <w:rPr>
          <w:rFonts w:cs="Guttman Drogolin" w:hint="cs"/>
          <w:rtl/>
          <w:lang w:bidi="he-IL"/>
        </w:rPr>
        <w:t>(</w:t>
      </w:r>
      <w:r w:rsidR="00E60C4F" w:rsidRPr="00882F11">
        <w:rPr>
          <w:rFonts w:cs="Guttman Drogolin"/>
          <w:rtl/>
          <w:lang w:bidi="he-IL"/>
        </w:rPr>
        <w:t>ע' פר"ת ס"ק ג', מנח</w:t>
      </w:r>
      <w:r w:rsidR="00E60C4F" w:rsidRPr="00882F11">
        <w:rPr>
          <w:rFonts w:cs="Guttman Drogolin" w:hint="cs"/>
          <w:rtl/>
          <w:lang w:bidi="he-IL"/>
        </w:rPr>
        <w:t>"י</w:t>
      </w:r>
      <w:r w:rsidR="00E60C4F" w:rsidRPr="00882F11">
        <w:rPr>
          <w:rFonts w:cs="Guttman Drogolin"/>
          <w:rtl/>
          <w:lang w:bidi="he-IL"/>
        </w:rPr>
        <w:t xml:space="preserve"> (סי' ע"ד ס"ק ה'), יד יהודה (</w:t>
      </w:r>
      <w:r w:rsidR="00E60C4F" w:rsidRPr="00882F11">
        <w:rPr>
          <w:rFonts w:cs="Guttman Drogolin" w:hint="cs"/>
          <w:rtl/>
          <w:lang w:bidi="he-IL"/>
        </w:rPr>
        <w:t>ב</w:t>
      </w:r>
      <w:r w:rsidR="00E60C4F" w:rsidRPr="00882F11">
        <w:rPr>
          <w:rFonts w:cs="Guttman Drogolin"/>
          <w:rtl/>
          <w:lang w:bidi="he-IL"/>
        </w:rPr>
        <w:t>קצר ס"ק י'</w:t>
      </w:r>
      <w:r w:rsidR="00E60C4F" w:rsidRPr="00882F11">
        <w:rPr>
          <w:rFonts w:cs="Guttman Drogolin" w:hint="cs"/>
          <w:rtl/>
          <w:lang w:bidi="he-IL"/>
        </w:rPr>
        <w:t xml:space="preserve"> ו</w:t>
      </w:r>
      <w:r w:rsidR="00E60C4F" w:rsidRPr="00882F11">
        <w:rPr>
          <w:rFonts w:cs="Guttman Drogolin"/>
          <w:rtl/>
          <w:lang w:bidi="he-IL"/>
        </w:rPr>
        <w:t xml:space="preserve">י"א, </w:t>
      </w:r>
      <w:r w:rsidR="00E60C4F" w:rsidRPr="00882F11">
        <w:rPr>
          <w:rFonts w:cs="Guttman Drogolin" w:hint="cs"/>
          <w:rtl/>
          <w:lang w:bidi="he-IL"/>
        </w:rPr>
        <w:t>וב</w:t>
      </w:r>
      <w:r w:rsidR="00E60C4F" w:rsidRPr="00882F11">
        <w:rPr>
          <w:rFonts w:cs="Guttman Drogolin"/>
          <w:rtl/>
          <w:lang w:bidi="he-IL"/>
        </w:rPr>
        <w:t xml:space="preserve">ארוך ס"ק ח') </w:t>
      </w:r>
      <w:r w:rsidR="00E60C4F" w:rsidRPr="00882F11">
        <w:rPr>
          <w:rFonts w:cs="Guttman Drogolin" w:hint="cs"/>
          <w:rtl/>
          <w:lang w:bidi="he-IL"/>
        </w:rPr>
        <w:t>ו</w:t>
      </w:r>
      <w:r w:rsidR="00E60C4F" w:rsidRPr="00882F11">
        <w:rPr>
          <w:rFonts w:cs="Guttman Drogolin"/>
          <w:rtl/>
          <w:lang w:bidi="he-IL"/>
        </w:rPr>
        <w:t>ער</w:t>
      </w:r>
      <w:r w:rsidR="00E60C4F" w:rsidRPr="00882F11">
        <w:rPr>
          <w:rFonts w:cs="Guttman Drogolin" w:hint="cs"/>
          <w:rtl/>
          <w:lang w:bidi="he-IL"/>
        </w:rPr>
        <w:t>ו</w:t>
      </w:r>
      <w:r w:rsidR="00E60C4F" w:rsidRPr="00882F11">
        <w:rPr>
          <w:rFonts w:cs="Guttman Drogolin"/>
          <w:rtl/>
          <w:lang w:bidi="he-IL"/>
        </w:rPr>
        <w:t>ה"ש (סע' ח'</w:t>
      </w:r>
      <w:r w:rsidR="00E60C4F" w:rsidRPr="00882F11">
        <w:rPr>
          <w:rFonts w:cs="Guttman Drogolin" w:hint="cs"/>
          <w:rtl/>
          <w:lang w:bidi="he-IL"/>
        </w:rPr>
        <w:t>)</w:t>
      </w:r>
      <w:r w:rsidR="00764D09" w:rsidRPr="00882F11">
        <w:rPr>
          <w:rFonts w:cs="Guttman Drogolin" w:hint="cs"/>
          <w:rtl/>
          <w:lang w:bidi="he-IL"/>
        </w:rPr>
        <w:t>.</w:t>
      </w:r>
      <w:r w:rsidR="00E60C4F" w:rsidRPr="00882F11">
        <w:rPr>
          <w:rFonts w:cs="Guttman Drogolin" w:hint="cs"/>
          <w:rtl/>
          <w:lang w:bidi="he-IL"/>
        </w:rPr>
        <w:t xml:space="preserve"> ויש אומרים דאע"ג שבעלמא חזותא לאו מילתא היא, מ"מ מכלל איסורי הנאה לא נפיק, ולכן במאכלים שהם אסורים בהנאה יש להחמיר דחזותא מילתא היא.</w:t>
      </w:r>
    </w:p>
    <w:p w:rsidR="00EC0C12" w:rsidRPr="00882F11" w:rsidRDefault="00E60C4F" w:rsidP="00EC0C12">
      <w:pPr>
        <w:tabs>
          <w:tab w:val="right" w:pos="7497"/>
        </w:tabs>
        <w:bidi/>
        <w:jc w:val="both"/>
        <w:rPr>
          <w:rFonts w:cs="Guttman Drogolin"/>
          <w:rtl/>
          <w:lang w:bidi="he-IL"/>
        </w:rPr>
      </w:pPr>
      <w:r w:rsidRPr="00882F11">
        <w:rPr>
          <w:rFonts w:cs="Guttman Drogolin" w:hint="cs"/>
          <w:rtl/>
          <w:lang w:bidi="he-IL"/>
        </w:rPr>
        <w:t xml:space="preserve">ובהאי ענינא דטעמא, יעוין בשו"ע הגר"ז סי' תקי"ג </w:t>
      </w:r>
      <w:r w:rsidR="00194585" w:rsidRPr="00882F11">
        <w:rPr>
          <w:rFonts w:cs="Guttman Drogolin" w:hint="cs"/>
          <w:rtl/>
          <w:lang w:bidi="he-IL"/>
        </w:rPr>
        <w:t xml:space="preserve">בקו"א ס"ק ג' </w:t>
      </w:r>
      <w:r w:rsidRPr="00882F11">
        <w:rPr>
          <w:rFonts w:cs="Guttman Drogolin" w:hint="cs"/>
          <w:rtl/>
          <w:lang w:bidi="he-IL"/>
        </w:rPr>
        <w:t>דנקט שאמנם הט"ז בססי' צ"</w:t>
      </w:r>
      <w:r w:rsidR="00EC0C12" w:rsidRPr="00882F11">
        <w:rPr>
          <w:rFonts w:cs="Guttman Drogolin" w:hint="cs"/>
          <w:rtl/>
          <w:lang w:bidi="he-IL"/>
        </w:rPr>
        <w:t>ח</w:t>
      </w:r>
      <w:r w:rsidRPr="00882F11">
        <w:rPr>
          <w:rFonts w:cs="Guttman Drogolin" w:hint="cs"/>
          <w:rtl/>
          <w:lang w:bidi="he-IL"/>
        </w:rPr>
        <w:t xml:space="preserve"> כתב שאין שומן בכלל דבר דעבידא לטעמא, מ"מ אם </w:t>
      </w:r>
      <w:r w:rsidR="00194585" w:rsidRPr="00882F11">
        <w:rPr>
          <w:rFonts w:cs="Guttman Drogolin" w:hint="cs"/>
          <w:rtl/>
          <w:lang w:bidi="he-IL"/>
        </w:rPr>
        <w:t>הניחו בתבשיל בכוונה גם לט"ז צריכים לחשוש שהוא בכלל מידי דעבידא לטעמא.</w:t>
      </w:r>
      <w:r w:rsidR="00764D09" w:rsidRPr="00882F11">
        <w:rPr>
          <w:rFonts w:cs="Guttman Drogolin" w:hint="cs"/>
          <w:rtl/>
          <w:lang w:bidi="he-IL"/>
        </w:rPr>
        <w:t xml:space="preserve"> </w:t>
      </w:r>
      <w:r w:rsidR="00F87B38" w:rsidRPr="00882F11">
        <w:rPr>
          <w:rFonts w:cs="Guttman Drogolin" w:hint="cs"/>
          <w:rtl/>
          <w:lang w:bidi="he-IL"/>
        </w:rPr>
        <w:t xml:space="preserve"> </w:t>
      </w:r>
      <w:r w:rsidR="008F02CB" w:rsidRPr="00882F11">
        <w:rPr>
          <w:rFonts w:cs="Guttman Drogolin" w:hint="cs"/>
          <w:rtl/>
          <w:lang w:bidi="he-IL"/>
        </w:rPr>
        <w:t xml:space="preserve"> </w:t>
      </w:r>
    </w:p>
    <w:p w:rsidR="00EC0C12" w:rsidRPr="00882F11" w:rsidRDefault="00EC0C12" w:rsidP="00EC0C12">
      <w:pPr>
        <w:pStyle w:val="Heading1"/>
        <w:bidi/>
        <w:spacing w:before="0" w:line="360" w:lineRule="auto"/>
        <w:jc w:val="center"/>
        <w:rPr>
          <w:rFonts w:cs="Guttman Drogolin"/>
          <w:color w:val="auto"/>
          <w:sz w:val="24"/>
          <w:szCs w:val="24"/>
          <w:u w:val="single"/>
          <w:rtl/>
          <w:lang w:bidi="he-IL"/>
        </w:rPr>
      </w:pPr>
      <w:bookmarkStart w:id="358" w:name="_Toc496175607"/>
      <w:r w:rsidRPr="00882F11">
        <w:rPr>
          <w:rFonts w:cs="Guttman Drogolin" w:hint="cs"/>
          <w:color w:val="auto"/>
          <w:sz w:val="24"/>
          <w:szCs w:val="24"/>
          <w:u w:val="single"/>
          <w:rtl/>
          <w:lang w:bidi="he-IL"/>
        </w:rPr>
        <w:t>ביצת ספק טריפה</w:t>
      </w:r>
      <w:bookmarkEnd w:id="358"/>
    </w:p>
    <w:p w:rsidR="00ED4C1E" w:rsidRPr="00882F11" w:rsidRDefault="0029471F" w:rsidP="0029471F">
      <w:pPr>
        <w:tabs>
          <w:tab w:val="right" w:pos="7497"/>
        </w:tabs>
        <w:bidi/>
        <w:jc w:val="both"/>
        <w:rPr>
          <w:rFonts w:cs="Guttman Drogolin"/>
          <w:rtl/>
          <w:lang w:bidi="he-IL"/>
        </w:rPr>
      </w:pPr>
      <w:r>
        <w:rPr>
          <w:rFonts w:cs="Guttman Drogolin"/>
          <w:rtl/>
          <w:lang w:bidi="he-IL"/>
        </w:rPr>
        <w:fldChar w:fldCharType="begin"/>
      </w:r>
      <w:r>
        <w:instrText xml:space="preserve"> XE "</w:instrText>
      </w:r>
      <w:r w:rsidRPr="00D62840">
        <w:rPr>
          <w:rFonts w:hint="cs"/>
          <w:rtl/>
          <w:lang w:bidi="he-IL"/>
        </w:rPr>
        <w:instrText>דבר שיש לו מתירין</w:instrText>
      </w:r>
      <w:r w:rsidRPr="00D62840">
        <w:rPr>
          <w:rtl/>
        </w:rPr>
        <w:instrText>:</w:instrText>
      </w:r>
      <w:r>
        <w:rPr>
          <w:rFonts w:hint="cs"/>
          <w:rtl/>
          <w:lang w:bidi="he-IL"/>
        </w:rPr>
        <w:instrText>בביצת ספק טריפה</w:instrText>
      </w:r>
      <w:r>
        <w:instrText xml:space="preserve">" </w:instrText>
      </w:r>
      <w:r>
        <w:rPr>
          <w:rFonts w:cs="Guttman Drogolin"/>
          <w:rtl/>
          <w:lang w:bidi="he-IL"/>
        </w:rPr>
        <w:fldChar w:fldCharType="end"/>
      </w:r>
      <w:r w:rsidR="00EC0C12" w:rsidRPr="00882F11">
        <w:rPr>
          <w:rFonts w:cs="Guttman Drogolin" w:hint="cs"/>
          <w:rtl/>
          <w:lang w:bidi="he-IL"/>
        </w:rPr>
        <w:t xml:space="preserve">השו"ע בסע' ב' כתב </w:t>
      </w:r>
      <w:r w:rsidR="00BC0A5F" w:rsidRPr="00882F11">
        <w:rPr>
          <w:rFonts w:cs="Guttman Drogolin" w:hint="cs"/>
          <w:rtl/>
          <w:lang w:bidi="he-IL"/>
        </w:rPr>
        <w:t xml:space="preserve">בשם הרשב"א </w:t>
      </w:r>
      <w:r w:rsidR="00EC0C12" w:rsidRPr="00882F11">
        <w:rPr>
          <w:rFonts w:cs="Guttman Drogolin" w:hint="cs"/>
          <w:rtl/>
          <w:lang w:bidi="he-IL"/>
        </w:rPr>
        <w:t xml:space="preserve">שאם אין ההיתר ודאי שיבא אינו בכלל דשיל"מ. ודוגמא לדבר ביצה מתרנגולת שיש לנו בה ספק אם טריפה היא או לא, </w:t>
      </w:r>
      <w:r w:rsidR="00BC0A5F" w:rsidRPr="00882F11">
        <w:rPr>
          <w:rFonts w:cs="Guttman Drogolin" w:hint="cs"/>
          <w:rtl/>
          <w:lang w:bidi="he-IL"/>
        </w:rPr>
        <w:t xml:space="preserve">שאע"פ </w:t>
      </w:r>
      <w:r w:rsidR="00EC0C12" w:rsidRPr="00882F11">
        <w:rPr>
          <w:rFonts w:cs="Guttman Drogolin" w:hint="cs"/>
          <w:rtl/>
          <w:lang w:bidi="he-IL"/>
        </w:rPr>
        <w:t>שאפשר להמ</w:t>
      </w:r>
      <w:r w:rsidR="00BC0A5F" w:rsidRPr="00882F11">
        <w:rPr>
          <w:rFonts w:cs="Guttman Drogolin" w:hint="cs"/>
          <w:rtl/>
          <w:lang w:bidi="he-IL"/>
        </w:rPr>
        <w:t>ת</w:t>
      </w:r>
      <w:r w:rsidR="00EC0C12" w:rsidRPr="00882F11">
        <w:rPr>
          <w:rFonts w:cs="Guttman Drogolin" w:hint="cs"/>
          <w:rtl/>
          <w:lang w:bidi="he-IL"/>
        </w:rPr>
        <w:t>ין י"ב חודש או עד שתטעון</w:t>
      </w:r>
      <w:r w:rsidR="00BC0A5F" w:rsidRPr="00882F11">
        <w:rPr>
          <w:rFonts w:cs="Guttman Drogolin" w:hint="cs"/>
          <w:rtl/>
          <w:lang w:bidi="he-IL"/>
        </w:rPr>
        <w:t xml:space="preserve"> ואז נדע בודאות אם טריפה היא אם לא, ויתכן שיתברר לנו אז שאינו טריפה, מ"מ אינו בכלל דשיל"מ כיו</w:t>
      </w:r>
      <w:r w:rsidR="000E1BA4">
        <w:rPr>
          <w:rFonts w:cs="Guttman Drogolin" w:hint="cs"/>
          <w:rtl/>
          <w:lang w:bidi="he-IL"/>
        </w:rPr>
        <w:t>ן שאינו ודאי שיהא מותר. ותמה בב</w:t>
      </w:r>
      <w:r w:rsidR="00BC0A5F" w:rsidRPr="00882F11">
        <w:rPr>
          <w:rFonts w:cs="Guttman Drogolin" w:hint="cs"/>
          <w:rtl/>
          <w:lang w:bidi="he-IL"/>
        </w:rPr>
        <w:t xml:space="preserve">אר היטב כאן שלכאורה אין זה דשיל"מ כלל, דהא ממ"נ, אם יתברר לנו אז שהי' </w:t>
      </w:r>
      <w:r w:rsidR="00BC0A5F" w:rsidRPr="00882F11">
        <w:rPr>
          <w:rFonts w:cs="Guttman Drogolin" w:hint="cs"/>
          <w:rtl/>
          <w:lang w:bidi="he-IL"/>
        </w:rPr>
        <w:lastRenderedPageBreak/>
        <w:t xml:space="preserve">טריפה כבר מעכשיו הרי הוא אסור לעולם ואין לו מתירין, ואם יתברר שאינה טריפה הא גם מעכשיו מותר, וא"כ למה בעינן לי' ליסוד זה שאין ההיתר ודאי שיבא. והיא לכאורה קושיא עצומה. וע"ש שר"ל שכוונת המחבר לכה"ג שהוא גם ספק טריפה וגם ביצה שנולדה ביו"ט, ולכן אם אינו אסור אלא מדין ביצה שנולדה ביו"ט יש לו מתירין במוצאי יו"ט, אבל אם הוא טריפה, אז לעולם לא יהא לו היתר ולכן הרי הוא מתבטל מעכשיו. </w:t>
      </w:r>
      <w:r w:rsidR="00CD781F" w:rsidRPr="00882F11">
        <w:rPr>
          <w:rFonts w:cs="Guttman Drogolin" w:hint="cs"/>
          <w:rtl/>
          <w:lang w:bidi="he-IL"/>
        </w:rPr>
        <w:t>ו</w:t>
      </w:r>
      <w:r w:rsidR="00BC0A5F" w:rsidRPr="00882F11">
        <w:rPr>
          <w:rFonts w:cs="Guttman Drogolin" w:hint="cs"/>
          <w:rtl/>
          <w:lang w:bidi="he-IL"/>
        </w:rPr>
        <w:t xml:space="preserve">הצ"צ </w:t>
      </w:r>
      <w:r w:rsidR="00CD781F" w:rsidRPr="00882F11">
        <w:rPr>
          <w:rFonts w:cs="Guttman Drogolin" w:hint="cs"/>
          <w:rtl/>
          <w:lang w:bidi="he-IL"/>
        </w:rPr>
        <w:t xml:space="preserve">חלק על סברא זו שגם כה"ג חשוב דשיל"מ וכמו </w:t>
      </w:r>
      <w:r w:rsidR="00BC0A5F" w:rsidRPr="00882F11">
        <w:rPr>
          <w:rFonts w:cs="Guttman Drogolin" w:hint="cs"/>
          <w:rtl/>
          <w:lang w:bidi="he-IL"/>
        </w:rPr>
        <w:t>שהבאנו בשיעור הקודם</w:t>
      </w:r>
      <w:r w:rsidR="00ED4C1E" w:rsidRPr="00882F11">
        <w:rPr>
          <w:rFonts w:cs="Guttman Drogolin" w:hint="cs"/>
          <w:rtl/>
          <w:lang w:bidi="he-IL"/>
        </w:rPr>
        <w:t xml:space="preserve">. וכן בלשון השו"ע אולי אפשר לדחוק שכן כוונתו, אבל ברשב"א קשה לומר כן. </w:t>
      </w:r>
    </w:p>
    <w:p w:rsidR="0098630E" w:rsidRPr="00882F11" w:rsidRDefault="00ED4C1E" w:rsidP="00ED4C1E">
      <w:pPr>
        <w:tabs>
          <w:tab w:val="right" w:pos="7497"/>
        </w:tabs>
        <w:bidi/>
        <w:jc w:val="both"/>
        <w:rPr>
          <w:rFonts w:cs="Guttman Drogolin"/>
          <w:rtl/>
          <w:lang w:bidi="he-IL"/>
        </w:rPr>
      </w:pPr>
      <w:r w:rsidRPr="00882F11">
        <w:rPr>
          <w:rFonts w:cs="Guttman Drogolin" w:hint="cs"/>
          <w:rtl/>
          <w:lang w:bidi="he-IL"/>
        </w:rPr>
        <w:t xml:space="preserve">ומה שנראה לכאורה בזה דכיון שעכשיו צריכים להחמיר באיסורו משום דין ספק דאורייתא לחומרא, ולאחר מכן לא יצטרך להחמיר בכלל שיתבאר לנו אם הוא מותר או אסור, עצם הדין להחמיר מספק הוי דשיל"מ. ע' שער"י </w:t>
      </w:r>
      <w:r w:rsidRPr="00882F11">
        <w:rPr>
          <w:rFonts w:cs="Guttman Drogolin"/>
          <w:rtl/>
          <w:lang w:bidi="he-IL"/>
        </w:rPr>
        <w:t>ש</w:t>
      </w:r>
      <w:r w:rsidRPr="00882F11">
        <w:rPr>
          <w:rFonts w:cs="Guttman Drogolin" w:hint="cs"/>
          <w:rtl/>
          <w:lang w:bidi="he-IL"/>
        </w:rPr>
        <w:t>"</w:t>
      </w:r>
      <w:r w:rsidRPr="00882F11">
        <w:rPr>
          <w:rFonts w:cs="Guttman Drogolin"/>
          <w:rtl/>
          <w:lang w:bidi="he-IL"/>
        </w:rPr>
        <w:t>א פ</w:t>
      </w:r>
      <w:r w:rsidRPr="00882F11">
        <w:rPr>
          <w:rFonts w:cs="Guttman Drogolin" w:hint="cs"/>
          <w:rtl/>
          <w:lang w:bidi="he-IL"/>
        </w:rPr>
        <w:t>"</w:t>
      </w:r>
      <w:r w:rsidRPr="00882F11">
        <w:rPr>
          <w:rFonts w:cs="Guttman Drogolin"/>
          <w:rtl/>
          <w:lang w:bidi="he-IL"/>
        </w:rPr>
        <w:t>ח ד"ה ובזה</w:t>
      </w:r>
      <w:r w:rsidR="00840531" w:rsidRPr="00882F11">
        <w:rPr>
          <w:rFonts w:cs="Guttman Drogolin" w:hint="cs"/>
          <w:rtl/>
          <w:lang w:bidi="he-IL"/>
        </w:rPr>
        <w:t>, וכן יעוין בנקוה"כ בהגה"ה בסוף הסי' מהרמ"א ב' צדדים בזה (</w:t>
      </w:r>
      <w:r w:rsidR="0098630E" w:rsidRPr="00882F11">
        <w:rPr>
          <w:rFonts w:cs="Guttman Drogolin" w:hint="cs"/>
          <w:rtl/>
          <w:lang w:bidi="he-IL"/>
        </w:rPr>
        <w:t>ו</w:t>
      </w:r>
      <w:r w:rsidR="00840531" w:rsidRPr="00882F11">
        <w:rPr>
          <w:rFonts w:cs="Guttman Drogolin" w:hint="cs"/>
          <w:rtl/>
          <w:lang w:bidi="he-IL"/>
        </w:rPr>
        <w:t>נראה שכוונתו לאביו של הש"ך הרב מאיר (וההג"ה נכתב ע"י בנו של הש"ך ולכן קרא לו אבי זקני) ולא לר' משה איסרליס</w:t>
      </w:r>
      <w:r w:rsidR="0098630E" w:rsidRPr="00882F11">
        <w:rPr>
          <w:rFonts w:cs="Guttman Drogolin" w:hint="cs"/>
          <w:rtl/>
          <w:lang w:bidi="he-IL"/>
        </w:rPr>
        <w:t>, אע"ג שהש"ך הי' נשוי לבת נכדו של הר' משה איסרליס</w:t>
      </w:r>
      <w:r w:rsidR="00840531" w:rsidRPr="00882F11">
        <w:rPr>
          <w:rFonts w:cs="Guttman Drogolin" w:hint="cs"/>
          <w:rtl/>
          <w:lang w:bidi="he-IL"/>
        </w:rPr>
        <w:t>). ועדיין צ"ע.</w:t>
      </w:r>
    </w:p>
    <w:p w:rsidR="0098630E" w:rsidRPr="00882F11" w:rsidRDefault="0098630E" w:rsidP="0098630E">
      <w:pPr>
        <w:pStyle w:val="Heading1"/>
        <w:bidi/>
        <w:spacing w:before="0" w:line="360" w:lineRule="auto"/>
        <w:jc w:val="center"/>
        <w:rPr>
          <w:rFonts w:cs="Guttman Drogolin"/>
          <w:color w:val="auto"/>
          <w:sz w:val="24"/>
          <w:szCs w:val="24"/>
          <w:u w:val="single"/>
          <w:rtl/>
          <w:lang w:bidi="he-IL"/>
        </w:rPr>
      </w:pPr>
      <w:bookmarkStart w:id="359" w:name="_Toc496175608"/>
      <w:r w:rsidRPr="00882F11">
        <w:rPr>
          <w:rFonts w:cs="Guttman Drogolin" w:hint="cs"/>
          <w:color w:val="auto"/>
          <w:sz w:val="24"/>
          <w:szCs w:val="24"/>
          <w:u w:val="single"/>
          <w:rtl/>
          <w:lang w:bidi="he-IL"/>
        </w:rPr>
        <w:t>כלי הבלוע איסור שנתערב בכלים אחרים</w:t>
      </w:r>
      <w:bookmarkEnd w:id="359"/>
    </w:p>
    <w:p w:rsidR="003E6164" w:rsidRPr="00882F11" w:rsidRDefault="0029471F" w:rsidP="003E6164">
      <w:pPr>
        <w:tabs>
          <w:tab w:val="right" w:pos="7497"/>
        </w:tabs>
        <w:bidi/>
        <w:jc w:val="both"/>
        <w:rPr>
          <w:rFonts w:cs="Guttman Drogolin"/>
          <w:rtl/>
          <w:lang w:bidi="he-IL"/>
        </w:rPr>
      </w:pPr>
      <w:r>
        <w:rPr>
          <w:rFonts w:cs="Guttman Drogolin"/>
          <w:rtl/>
          <w:lang w:bidi="he-IL"/>
        </w:rPr>
        <w:fldChar w:fldCharType="begin"/>
      </w:r>
      <w:r>
        <w:instrText xml:space="preserve"> XE "</w:instrText>
      </w:r>
      <w:r w:rsidRPr="00AB0B84">
        <w:rPr>
          <w:rFonts w:hint="cs"/>
          <w:rtl/>
          <w:lang w:bidi="he-IL"/>
        </w:rPr>
        <w:instrText>דבר שיש לו מתירין</w:instrText>
      </w:r>
      <w:r w:rsidRPr="00AB0B84">
        <w:rPr>
          <w:rtl/>
        </w:rPr>
        <w:instrText>:</w:instrText>
      </w:r>
      <w:r w:rsidRPr="00AB0B84">
        <w:rPr>
          <w:rFonts w:hint="cs"/>
          <w:rtl/>
          <w:lang w:bidi="he-IL"/>
        </w:rPr>
        <w:instrText>בכלים הבלועים איסור</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2D6EFC">
        <w:rPr>
          <w:rFonts w:hint="cs"/>
          <w:rtl/>
          <w:lang w:bidi="he-IL"/>
        </w:rPr>
        <w:instrText>הכשר כלים</w:instrText>
      </w:r>
      <w:r w:rsidRPr="002D6EFC">
        <w:rPr>
          <w:rtl/>
        </w:rPr>
        <w:instrText>:</w:instrText>
      </w:r>
      <w:r w:rsidRPr="002D6EFC">
        <w:rPr>
          <w:rFonts w:hint="cs"/>
          <w:rtl/>
          <w:lang w:bidi="he-IL"/>
        </w:rPr>
        <w:instrText>התערב כלי הטעון הכשר בשאר כלים</w:instrText>
      </w:r>
      <w:r>
        <w:instrText xml:space="preserve">" </w:instrText>
      </w:r>
      <w:r>
        <w:rPr>
          <w:rFonts w:cs="Guttman Drogolin"/>
          <w:rtl/>
          <w:lang w:bidi="he-IL"/>
        </w:rPr>
        <w:fldChar w:fldCharType="end"/>
      </w:r>
      <w:r w:rsidR="0098630E" w:rsidRPr="00882F11">
        <w:rPr>
          <w:rFonts w:cs="Guttman Drogolin" w:hint="cs"/>
          <w:rtl/>
          <w:lang w:bidi="he-IL"/>
        </w:rPr>
        <w:t xml:space="preserve">השו"ע בסע' ג' הביא דינו של הרשב"א שאם כלי הבלוע איסור התערב </w:t>
      </w:r>
      <w:r w:rsidR="003E6164" w:rsidRPr="00882F11">
        <w:rPr>
          <w:rFonts w:cs="Guttman Drogolin" w:hint="cs"/>
          <w:rtl/>
          <w:lang w:bidi="he-IL"/>
        </w:rPr>
        <w:t>בכלים אחרים שאין צריך להטביל את כולם כיון שהכלי הבלוע איסור בטל ברוב. ולא החמיר לומר שאינו בטל כיון שהוא דשיל"מ כיון שיכול להגעילו, דהא יש בהגעלה הפסד ממון. ולכאורה כוונתו דכיון שיש הפסד לא נחשב ש'יש' לו מתירין, דהא יש איכוב מצד ההפסד ממון. ויש בדברי הרשב"א כמה חידושים והערות וכמו שיתבאר.</w:t>
      </w:r>
    </w:p>
    <w:p w:rsidR="003E6164" w:rsidRPr="00882F11" w:rsidRDefault="003E6164" w:rsidP="00CA1DEB">
      <w:pPr>
        <w:pStyle w:val="ListParagraph"/>
        <w:numPr>
          <w:ilvl w:val="0"/>
          <w:numId w:val="22"/>
        </w:numPr>
        <w:tabs>
          <w:tab w:val="right" w:pos="7497"/>
        </w:tabs>
        <w:bidi/>
        <w:ind w:left="297" w:hanging="270"/>
        <w:jc w:val="both"/>
        <w:rPr>
          <w:rFonts w:cs="Guttman Drogolin"/>
          <w:lang w:bidi="he-IL"/>
        </w:rPr>
      </w:pPr>
      <w:r w:rsidRPr="00882F11">
        <w:rPr>
          <w:rFonts w:cs="Guttman Drogolin" w:hint="cs"/>
          <w:rtl/>
          <w:lang w:bidi="he-IL"/>
        </w:rPr>
        <w:t xml:space="preserve">כבר הזכרנו בשיעור הקודם שלכאורה מבואר מדברי הרשב"א דלא כסברת הצל"ח שבכלי שהוא רב תשמיש לא אמרינן החומרא דדשיל"מ כיון דליכא למימר 'עד שתאכלנו באיסור תאכלנו בהיתר'. </w:t>
      </w:r>
    </w:p>
    <w:p w:rsidR="003E6164" w:rsidRPr="00882F11" w:rsidRDefault="003E6164" w:rsidP="00CA1DEB">
      <w:pPr>
        <w:pStyle w:val="ListParagraph"/>
        <w:numPr>
          <w:ilvl w:val="0"/>
          <w:numId w:val="22"/>
        </w:numPr>
        <w:tabs>
          <w:tab w:val="right" w:pos="7497"/>
        </w:tabs>
        <w:bidi/>
        <w:ind w:left="297" w:hanging="270"/>
        <w:jc w:val="both"/>
        <w:rPr>
          <w:rFonts w:cs="Guttman Drogolin"/>
          <w:lang w:bidi="he-IL"/>
        </w:rPr>
      </w:pPr>
      <w:r w:rsidRPr="00882F11">
        <w:rPr>
          <w:rFonts w:cs="Guttman Drogolin" w:hint="cs"/>
          <w:rtl/>
          <w:lang w:bidi="he-IL"/>
        </w:rPr>
        <w:lastRenderedPageBreak/>
        <w:t xml:space="preserve">לכאורה יש להעיר על דברי הרשב"א דדל מהכא נידון דדשיל"מ, תיפו"ל שאינו בטל כיון שהוא דבר שבמנין. וע' </w:t>
      </w:r>
      <w:r w:rsidR="00A41A1C" w:rsidRPr="00882F11">
        <w:rPr>
          <w:rFonts w:cs="Guttman Drogolin" w:hint="cs"/>
          <w:rtl/>
          <w:lang w:bidi="he-IL"/>
        </w:rPr>
        <w:t>במש"ז ס"ק ח' שהעיר מזה וכתב דכיון שאין האיסור מחמת עצמו לא שייך החומרא דדבר שבמנין. וכמובן לפי דברי הרמ"א בסוף הסימן שגם בדשיל"מ אין חומרא אם אין הדבר אסור מחמת עצמו דבר זה לא יתיישב, וכבר העיר שם הט"ז ש</w:t>
      </w:r>
      <w:r w:rsidR="002A5C92" w:rsidRPr="00882F11">
        <w:rPr>
          <w:rFonts w:cs="Guttman Drogolin" w:hint="cs"/>
          <w:rtl/>
          <w:lang w:bidi="he-IL"/>
        </w:rPr>
        <w:t>ב</w:t>
      </w:r>
      <w:r w:rsidR="00A41A1C" w:rsidRPr="00882F11">
        <w:rPr>
          <w:rFonts w:cs="Guttman Drogolin" w:hint="cs"/>
          <w:rtl/>
          <w:lang w:bidi="he-IL"/>
        </w:rPr>
        <w:t xml:space="preserve">או"ה </w:t>
      </w:r>
      <w:r w:rsidR="002A5C92" w:rsidRPr="00882F11">
        <w:rPr>
          <w:rFonts w:cs="Guttman Drogolin" w:hint="cs"/>
          <w:rtl/>
          <w:lang w:bidi="he-IL"/>
        </w:rPr>
        <w:t xml:space="preserve">(כלל כ"ה דין י"ט) מבואר שיש באמת ב' טעמים להתיר הכלי שבלוע איסור שנתערב באחרים, או משום שאינו אסור מחמת עצמו או משום שיש הוצאות בהגעלה. </w:t>
      </w:r>
    </w:p>
    <w:p w:rsidR="002A5C92" w:rsidRPr="00882F11" w:rsidRDefault="002A5C92" w:rsidP="00CA1DEB">
      <w:pPr>
        <w:pStyle w:val="ListParagraph"/>
        <w:tabs>
          <w:tab w:val="right" w:pos="7497"/>
        </w:tabs>
        <w:bidi/>
        <w:ind w:left="297"/>
        <w:jc w:val="both"/>
        <w:rPr>
          <w:rFonts w:cs="Guttman Drogolin"/>
          <w:lang w:bidi="he-IL"/>
        </w:rPr>
      </w:pPr>
      <w:r w:rsidRPr="00882F11">
        <w:rPr>
          <w:rFonts w:cs="Guttman Drogolin" w:hint="cs"/>
          <w:rtl/>
          <w:lang w:bidi="he-IL"/>
        </w:rPr>
        <w:t>וע"פ הדברים האלו יש להסתפק מה יהא הדין בכלי שקנאו מעכו"ם ולא טבלו האם יכול התבטל באחרים. ועל פניו הרי הוא מאד דומה להא דרשב"א ואם יש הוצאות בטבילתו הרי הוא בטל. אמנם בזה י"ל שהוא אסור מחמת עצמו ולכן אינו בטל משום דהו דבר שבמנין. אלא שהוא תלוי בגדר הדין של טבילת כלים אם הכלי נאסר מחמת עצמו או לא. וצ"ע.</w:t>
      </w:r>
    </w:p>
    <w:p w:rsidR="002A5C92" w:rsidRPr="00882F11" w:rsidRDefault="002A5C92" w:rsidP="00CA1DEB">
      <w:pPr>
        <w:pStyle w:val="ListParagraph"/>
        <w:numPr>
          <w:ilvl w:val="0"/>
          <w:numId w:val="22"/>
        </w:numPr>
        <w:tabs>
          <w:tab w:val="right" w:pos="7497"/>
        </w:tabs>
        <w:bidi/>
        <w:ind w:left="297" w:hanging="270"/>
        <w:jc w:val="both"/>
        <w:rPr>
          <w:rFonts w:cs="Guttman Drogolin"/>
          <w:lang w:bidi="he-IL"/>
        </w:rPr>
      </w:pPr>
      <w:r w:rsidRPr="00882F11">
        <w:rPr>
          <w:rFonts w:cs="Guttman Drogolin" w:hint="cs"/>
          <w:rtl/>
          <w:lang w:bidi="he-IL"/>
        </w:rPr>
        <w:t xml:space="preserve">מבואר בפר"ח דכמו דמהני הא דיש הפסד לומר שאינו דשיל"מ, הה"נ אם יש בזה טירחא. אמנם יעוין בדרכ"ת סי' ק"כ ס"ק ל"ו </w:t>
      </w:r>
      <w:r w:rsidR="00131B2E" w:rsidRPr="00882F11">
        <w:rPr>
          <w:rFonts w:cs="Guttman Drogolin" w:hint="cs"/>
          <w:rtl/>
          <w:lang w:bidi="he-IL"/>
        </w:rPr>
        <w:t xml:space="preserve">שכתב בזה (וע' גם מה שציין בקה"י למס' ביצה סי' ח'), </w:t>
      </w:r>
      <w:r w:rsidRPr="00882F11">
        <w:rPr>
          <w:rFonts w:cs="Guttman Drogolin" w:hint="cs"/>
          <w:rtl/>
          <w:lang w:bidi="he-IL"/>
        </w:rPr>
        <w:t xml:space="preserve">שאין להתיר משום הפסד או טירחא אלא בכה"ג שאלמלא הכלי שהוא אסור לא היינו צריכים לאותו טירחא או הפסד, ור"ל דזה שיש ריבוי כלים עושה תוספת טירחא או הפסד, ובזה אמרינן דליתי' לסברא ד'יש' לו מתירין. אבל בכה"ג שאותו הוצאה היינו צריכים בין לא' ובבין למאה, הא אילו היינו יודעים איזה כלי זה היינו צריכים את כל הטירחא וההפסד, </w:t>
      </w:r>
      <w:r w:rsidR="00131B2E" w:rsidRPr="00882F11">
        <w:rPr>
          <w:rFonts w:cs="Guttman Drogolin" w:hint="cs"/>
          <w:rtl/>
          <w:lang w:bidi="he-IL"/>
        </w:rPr>
        <w:t>וא"כ אין כאן 'היתר' הצריך הוצאות רק זהו דינו של החפץ של איסור.</w:t>
      </w:r>
      <w:r w:rsidRPr="00882F11">
        <w:rPr>
          <w:rFonts w:cs="Guttman Drogolin" w:hint="cs"/>
          <w:rtl/>
          <w:lang w:bidi="he-IL"/>
        </w:rPr>
        <w:t xml:space="preserve"> </w:t>
      </w:r>
      <w:r w:rsidR="00131B2E" w:rsidRPr="00882F11">
        <w:rPr>
          <w:rFonts w:cs="Guttman Drogolin" w:hint="cs"/>
          <w:rtl/>
          <w:lang w:bidi="he-IL"/>
        </w:rPr>
        <w:t xml:space="preserve">וע' במגי"ס כאן אות ו' שהוכיח כן דהא טבל דשיל"מ הוא אע"ג דכדי להתיר אותו צריכים להפריש ממנו תרו"מ ויש בזה הפסד. אמנם לכאורה יש לפקפק בזה דהא בכגון כלים האיסור הוא הכלי שבלוע איסור האסורה בתשמיש עד שיגעיל </w:t>
      </w:r>
      <w:r w:rsidR="00131B2E" w:rsidRPr="00882F11">
        <w:rPr>
          <w:rFonts w:cs="Guttman Drogolin" w:hint="cs"/>
          <w:rtl/>
          <w:lang w:bidi="he-IL"/>
        </w:rPr>
        <w:lastRenderedPageBreak/>
        <w:t>אותו, וכיון שהגעלה יש בה טירחא אין זה חשוב 'מתירין'. וכן לכאורה הבין ה</w:t>
      </w:r>
      <w:r w:rsidR="00CA1DEB" w:rsidRPr="00882F11">
        <w:rPr>
          <w:rFonts w:cs="Guttman Drogolin" w:hint="cs"/>
          <w:rtl/>
          <w:lang w:bidi="he-IL"/>
        </w:rPr>
        <w:t>מהרי"ל ומשו"ה הקשה על הרשב"א דלדבריו למה חשוב מע"ש דשיל"מ כיון שיכול להעלותו לירושלים, הא ודאי שיש בזה טירחא והוצאה. אמנם לפי הנ"ל אין כל קושיא, דהא כל ההוצאה והטירחא שהי' צריך בשביל הפרי המעורב אינו בכלל החשבון, וא"כ שפיר י"ל שאין כ"כ תוספת טירחא להביא גם כל הפירות. וצ"ע לדינא.</w:t>
      </w:r>
      <w:r w:rsidR="00131B2E" w:rsidRPr="00882F11">
        <w:rPr>
          <w:rFonts w:cs="Guttman Drogolin" w:hint="cs"/>
          <w:rtl/>
          <w:lang w:bidi="he-IL"/>
        </w:rPr>
        <w:t xml:space="preserve"> </w:t>
      </w:r>
    </w:p>
    <w:p w:rsidR="00CA1DEB" w:rsidRPr="00882F11" w:rsidRDefault="00CA1DEB" w:rsidP="000C18B9">
      <w:pPr>
        <w:pStyle w:val="ListParagraph"/>
        <w:numPr>
          <w:ilvl w:val="0"/>
          <w:numId w:val="22"/>
        </w:numPr>
        <w:tabs>
          <w:tab w:val="right" w:pos="7497"/>
        </w:tabs>
        <w:bidi/>
        <w:ind w:left="297" w:hanging="270"/>
        <w:jc w:val="both"/>
        <w:rPr>
          <w:rFonts w:cs="Guttman Drogolin"/>
          <w:lang w:bidi="he-IL"/>
        </w:rPr>
      </w:pPr>
      <w:r w:rsidRPr="00882F11">
        <w:rPr>
          <w:rFonts w:cs="Guttman Drogolin" w:hint="cs"/>
          <w:rtl/>
          <w:lang w:bidi="he-IL"/>
        </w:rPr>
        <w:t>הש"ך כתב שיש חיוב להמתין מעל"ע כדי שיהא הכלי אינו בן יומו. ולכאורה ר"ל שגם זה שיכול להמתין עד שיהא איסור פחות חמור חשוב דשיל"מ. וא"כ לכאורה זהו דלא כמו שהוכחנו מן הר"ן במס' פסחים, שהרי שם דן אן זה שהוא אסור לאחר הפסח משום חמץ שעבר עליו הפסח אע"ג שאז אינו אסור אלא מדרבנן. אלא שראיתי במחלקים, דהתם הוי אותו איסור וכמו שכתבנו לעיל, אבל הכא לאחר מעל"ע, אין כאן איסור בבליעות, שהבליעות אינם נשארים באיסורם, ואם בישל בכלי לאח מכן בדיעבד המאכל מותר. רק שהוא גזירה על הכלי שלא להשתמש בו מבלי להכשירו גזירה אטו כלי בן יומו. וא"כ כיון שהוי איסור אחר שפיר י"ל שהוא בכלל מש"כ לעיל מצ"צ שאם יש איסור אחר צריך להמתין.</w:t>
      </w:r>
      <w:r w:rsidR="00CD781F" w:rsidRPr="00882F11">
        <w:rPr>
          <w:rFonts w:cs="Guttman Drogolin" w:hint="cs"/>
          <w:rtl/>
          <w:lang w:bidi="he-IL"/>
        </w:rPr>
        <w:t xml:space="preserve"> אמנם דבר זה תלוי בגדר החומרא דכלי שאינו בן יומו, שמקודם</w:t>
      </w:r>
      <w:r w:rsidR="00CD781F" w:rsidRPr="00882F11">
        <w:rPr>
          <w:rStyle w:val="FootnoteReference"/>
          <w:rFonts w:cs="Guttman Drogolin"/>
          <w:rtl/>
          <w:lang w:bidi="he-IL"/>
        </w:rPr>
        <w:footnoteReference w:id="375"/>
      </w:r>
      <w:r w:rsidR="00CD781F" w:rsidRPr="00882F11">
        <w:rPr>
          <w:rFonts w:cs="Guttman Drogolin" w:hint="cs"/>
          <w:rtl/>
          <w:lang w:bidi="he-IL"/>
        </w:rPr>
        <w:t xml:space="preserve"> הבאנו מקורות דיתכן שאסרו את עצם הבליעות שאינן בנ"י מדרבנן. </w:t>
      </w:r>
    </w:p>
    <w:p w:rsidR="00CD781F" w:rsidRPr="00882F11" w:rsidRDefault="00CD781F" w:rsidP="00CD781F">
      <w:pPr>
        <w:pStyle w:val="ListParagraph"/>
        <w:tabs>
          <w:tab w:val="right" w:pos="7497"/>
        </w:tabs>
        <w:bidi/>
        <w:ind w:left="297"/>
        <w:jc w:val="both"/>
        <w:rPr>
          <w:rFonts w:cs="Guttman Drogolin"/>
          <w:lang w:bidi="he-IL"/>
        </w:rPr>
      </w:pPr>
      <w:r w:rsidRPr="00882F11">
        <w:rPr>
          <w:rFonts w:cs="Guttman Drogolin" w:hint="cs"/>
          <w:rtl/>
          <w:lang w:bidi="he-IL"/>
        </w:rPr>
        <w:t>והי' נראה מדברי הש"ך שאפשר לדון דברי הרשב"א בכלי בן יומו אלמלא דבר זה שאפשר להמתין. ולכאורה צ"ע, דבשלמר באינו ב"י יש גזרה על הכלי, אבל בב"י לכאורה אין איסור בכלי כלל רק באיסור הבלוע בה. ולכאורה חזינן דאעפ"כ כיון שיש מניעה בכלי אלמלא ההגעלה חשוב דשיל"מ.</w:t>
      </w:r>
    </w:p>
    <w:p w:rsidR="00CD781F" w:rsidRPr="00882F11" w:rsidRDefault="00CD781F" w:rsidP="00CD781F">
      <w:pPr>
        <w:pStyle w:val="ListParagraph"/>
        <w:numPr>
          <w:ilvl w:val="0"/>
          <w:numId w:val="22"/>
        </w:numPr>
        <w:tabs>
          <w:tab w:val="right" w:pos="7497"/>
        </w:tabs>
        <w:bidi/>
        <w:ind w:left="297" w:hanging="270"/>
        <w:jc w:val="both"/>
        <w:rPr>
          <w:rFonts w:cs="Guttman Drogolin"/>
          <w:lang w:bidi="he-IL"/>
        </w:rPr>
      </w:pPr>
      <w:r w:rsidRPr="00882F11">
        <w:rPr>
          <w:rFonts w:cs="Guttman Drogolin" w:hint="cs"/>
          <w:rtl/>
          <w:lang w:bidi="he-IL"/>
        </w:rPr>
        <w:t>בשו"ת רע"א סי' כ"ז העיר שלמה יהא הגע</w:t>
      </w:r>
      <w:r w:rsidR="00F032D6">
        <w:rPr>
          <w:rFonts w:cs="Guttman Drogolin" w:hint="cs"/>
          <w:rtl/>
          <w:lang w:bidi="he-IL"/>
        </w:rPr>
        <w:t>ל</w:t>
      </w:r>
      <w:r w:rsidRPr="00882F11">
        <w:rPr>
          <w:rFonts w:cs="Guttman Drogolin" w:hint="cs"/>
          <w:rtl/>
          <w:lang w:bidi="he-IL"/>
        </w:rPr>
        <w:t xml:space="preserve">ת הכלי טעם לומר דהוי דשיל"מ הא אפילו אם </w:t>
      </w:r>
      <w:r w:rsidRPr="00882F11">
        <w:rPr>
          <w:rFonts w:cs="Guttman Drogolin" w:hint="cs"/>
          <w:rtl/>
          <w:lang w:bidi="he-IL"/>
        </w:rPr>
        <w:lastRenderedPageBreak/>
        <w:t>יגעיל אינו מותר אלא ע"י ביטול. ונשאר בצ"ע. ולא ירדתי לסוף דעתו בזה, דהא אע"פ שצריך ביטול, מ"מ הוא ביטול שעל ידו לא יפגע באיסור ולכן שפיר שייך הסברא ד'עד שתאכלנו באיסור תאכלנו בהיתר'. אבל ביטול שע"י ההגעלה מתיר לגמרי. וצ"ע.</w:t>
      </w:r>
    </w:p>
    <w:p w:rsidR="00CD781F" w:rsidRPr="00882F11" w:rsidRDefault="00CD781F" w:rsidP="00CD781F">
      <w:pPr>
        <w:pStyle w:val="ListParagraph"/>
        <w:tabs>
          <w:tab w:val="right" w:pos="7497"/>
        </w:tabs>
        <w:bidi/>
        <w:ind w:left="297"/>
        <w:jc w:val="both"/>
        <w:rPr>
          <w:rFonts w:cs="Guttman Drogolin"/>
          <w:rtl/>
          <w:lang w:bidi="he-IL"/>
        </w:rPr>
      </w:pPr>
    </w:p>
    <w:p w:rsidR="005F1BAF" w:rsidRPr="00882F11" w:rsidRDefault="003E6164" w:rsidP="003E6164">
      <w:pPr>
        <w:tabs>
          <w:tab w:val="right" w:pos="7497"/>
        </w:tabs>
        <w:bidi/>
        <w:jc w:val="both"/>
        <w:rPr>
          <w:rFonts w:cs="Guttman Drogolin"/>
          <w:rtl/>
          <w:lang w:bidi="he-IL"/>
        </w:rPr>
      </w:pPr>
      <w:r w:rsidRPr="00882F11">
        <w:rPr>
          <w:rFonts w:cs="Guttman Drogolin" w:hint="cs"/>
          <w:rtl/>
          <w:lang w:bidi="he-IL"/>
        </w:rPr>
        <w:t xml:space="preserve"> </w:t>
      </w:r>
      <w:r w:rsidR="00ED4C1E" w:rsidRPr="00882F11">
        <w:rPr>
          <w:rFonts w:cs="Guttman Drogolin" w:hint="cs"/>
          <w:rtl/>
          <w:lang w:bidi="he-IL"/>
        </w:rPr>
        <w:t xml:space="preserve"> </w:t>
      </w:r>
      <w:r w:rsidR="00BC0A5F" w:rsidRPr="00882F11">
        <w:rPr>
          <w:rFonts w:cs="Guttman Drogolin" w:hint="cs"/>
          <w:rtl/>
          <w:lang w:bidi="he-IL"/>
        </w:rPr>
        <w:t xml:space="preserve">  </w:t>
      </w:r>
      <w:r w:rsidR="00EC0C12" w:rsidRPr="00882F11">
        <w:rPr>
          <w:rFonts w:cs="Guttman Drogolin" w:hint="cs"/>
          <w:rtl/>
          <w:lang w:bidi="he-IL"/>
        </w:rPr>
        <w:t xml:space="preserve"> </w:t>
      </w:r>
      <w:r w:rsidR="008F02CB" w:rsidRPr="00882F11">
        <w:rPr>
          <w:rFonts w:cs="Guttman Drogolin" w:hint="cs"/>
          <w:rtl/>
          <w:lang w:bidi="he-IL"/>
        </w:rPr>
        <w:t xml:space="preserve"> </w:t>
      </w:r>
      <w:r w:rsidR="00E74DDF" w:rsidRPr="00882F11">
        <w:rPr>
          <w:rFonts w:cs="Guttman Drogolin" w:hint="cs"/>
          <w:rtl/>
          <w:lang w:bidi="he-IL"/>
        </w:rPr>
        <w:t xml:space="preserve"> </w:t>
      </w:r>
      <w:r w:rsidR="005F1BAF" w:rsidRPr="00882F11">
        <w:rPr>
          <w:rFonts w:cs="Guttman Drogolin" w:hint="cs"/>
          <w:rtl/>
          <w:lang w:bidi="he-IL"/>
        </w:rPr>
        <w:t xml:space="preserve"> </w:t>
      </w:r>
    </w:p>
    <w:p w:rsidR="00AA43F2" w:rsidRPr="00882F11" w:rsidRDefault="00AA43F2" w:rsidP="00AA43F2">
      <w:pPr>
        <w:tabs>
          <w:tab w:val="right" w:pos="7497"/>
        </w:tabs>
        <w:bidi/>
        <w:jc w:val="both"/>
        <w:rPr>
          <w:rFonts w:cs="Guttman Drogolin"/>
          <w:rtl/>
          <w:lang w:bidi="he-IL"/>
        </w:rPr>
        <w:sectPr w:rsidR="00AA43F2" w:rsidRPr="00882F11" w:rsidSect="00891DE2">
          <w:type w:val="continuous"/>
          <w:pgSz w:w="11907" w:h="16839" w:code="9"/>
          <w:pgMar w:top="1440" w:right="1440" w:bottom="1440" w:left="1440" w:header="720" w:footer="720" w:gutter="0"/>
          <w:cols w:num="2" w:space="720"/>
          <w:bidi/>
          <w:docGrid w:linePitch="360"/>
        </w:sectPr>
      </w:pPr>
    </w:p>
    <w:p w:rsidR="00AA43F2" w:rsidRPr="00891DE2" w:rsidRDefault="00AA43F2" w:rsidP="00AA43F2">
      <w:pPr>
        <w:keepNext/>
        <w:tabs>
          <w:tab w:val="left" w:pos="3818"/>
          <w:tab w:val="center" w:pos="4680"/>
        </w:tabs>
        <w:bidi/>
        <w:jc w:val="center"/>
        <w:rPr>
          <w:rFonts w:cs="Guttman Drogolin"/>
          <w:b/>
          <w:bCs/>
          <w:sz w:val="48"/>
          <w:szCs w:val="48"/>
          <w:rtl/>
          <w:lang w:bidi="he-IL"/>
        </w:rPr>
      </w:pPr>
      <w:r w:rsidRPr="00891DE2">
        <w:rPr>
          <w:rFonts w:cs="Guttman Drogolin" w:hint="cs"/>
          <w:b/>
          <w:bCs/>
          <w:sz w:val="48"/>
          <w:szCs w:val="48"/>
          <w:rtl/>
          <w:lang w:bidi="he-IL"/>
        </w:rPr>
        <w:lastRenderedPageBreak/>
        <w:t>שיעור פ"ט</w:t>
      </w:r>
    </w:p>
    <w:p w:rsidR="00891DE2" w:rsidRDefault="00891DE2" w:rsidP="00AA43F2">
      <w:pPr>
        <w:pStyle w:val="Heading1"/>
        <w:bidi/>
        <w:spacing w:before="0" w:line="360" w:lineRule="auto"/>
        <w:jc w:val="center"/>
        <w:rPr>
          <w:rFonts w:cs="Guttman Drogolin"/>
          <w:color w:val="auto"/>
          <w:sz w:val="24"/>
          <w:szCs w:val="24"/>
          <w:u w:val="single"/>
          <w:rtl/>
          <w:lang w:bidi="he-IL"/>
        </w:rPr>
        <w:sectPr w:rsidR="00891DE2" w:rsidSect="00891DE2">
          <w:pgSz w:w="11907" w:h="16839" w:code="9"/>
          <w:pgMar w:top="1440" w:right="1440" w:bottom="1440" w:left="1440" w:header="720" w:footer="720" w:gutter="0"/>
          <w:cols w:space="720"/>
          <w:bidi/>
          <w:docGrid w:linePitch="360"/>
        </w:sectPr>
      </w:pPr>
    </w:p>
    <w:p w:rsidR="00AA43F2" w:rsidRPr="00882F11" w:rsidRDefault="00AA43F2" w:rsidP="00AA43F2">
      <w:pPr>
        <w:pStyle w:val="Heading1"/>
        <w:bidi/>
        <w:spacing w:before="0" w:line="360" w:lineRule="auto"/>
        <w:jc w:val="center"/>
        <w:rPr>
          <w:rFonts w:cs="Guttman Drogolin"/>
          <w:color w:val="auto"/>
          <w:sz w:val="24"/>
          <w:szCs w:val="24"/>
          <w:u w:val="single"/>
          <w:rtl/>
          <w:lang w:bidi="he-IL"/>
        </w:rPr>
      </w:pPr>
      <w:bookmarkStart w:id="360" w:name="_Toc496175609"/>
      <w:r w:rsidRPr="00882F11">
        <w:rPr>
          <w:rFonts w:cs="Guttman Drogolin"/>
          <w:color w:val="auto"/>
          <w:sz w:val="24"/>
          <w:szCs w:val="24"/>
          <w:u w:val="single"/>
          <w:rtl/>
          <w:lang w:bidi="he-IL"/>
        </w:rPr>
        <w:lastRenderedPageBreak/>
        <w:t>דבר שיש לו מתירין כשנאסר משום טעם</w:t>
      </w:r>
      <w:bookmarkEnd w:id="360"/>
    </w:p>
    <w:p w:rsidR="00AA43F2" w:rsidRPr="00882F11" w:rsidRDefault="0029471F" w:rsidP="0029471F">
      <w:pPr>
        <w:bidi/>
        <w:jc w:val="both"/>
        <w:rPr>
          <w:rFonts w:cs="Guttman Drogolin"/>
          <w:rtl/>
          <w:lang w:bidi="he-IL"/>
        </w:rPr>
      </w:pPr>
      <w:r>
        <w:rPr>
          <w:rFonts w:cs="Guttman Drogolin"/>
          <w:rtl/>
          <w:lang w:bidi="he-IL"/>
        </w:rPr>
        <w:fldChar w:fldCharType="begin"/>
      </w:r>
      <w:r>
        <w:instrText xml:space="preserve"> XE "</w:instrText>
      </w:r>
      <w:r w:rsidRPr="00D62840">
        <w:rPr>
          <w:rFonts w:hint="cs"/>
          <w:rtl/>
          <w:lang w:bidi="he-IL"/>
        </w:rPr>
        <w:instrText>דבר שיש לו מתירין</w:instrText>
      </w:r>
      <w:r w:rsidRPr="00D62840">
        <w:rPr>
          <w:rtl/>
        </w:rPr>
        <w:instrText>:</w:instrText>
      </w:r>
      <w:r>
        <w:rPr>
          <w:rFonts w:hint="cs"/>
          <w:rtl/>
          <w:lang w:bidi="he-IL"/>
        </w:rPr>
        <w:instrText>כשאינו אלא טעם איסור</w:instrText>
      </w:r>
      <w:r>
        <w:instrText xml:space="preserve">" </w:instrText>
      </w:r>
      <w:r>
        <w:rPr>
          <w:rFonts w:cs="Guttman Drogolin"/>
          <w:rtl/>
          <w:lang w:bidi="he-IL"/>
        </w:rPr>
        <w:fldChar w:fldCharType="end"/>
      </w:r>
      <w:r w:rsidR="00AA43F2" w:rsidRPr="00882F11">
        <w:rPr>
          <w:rFonts w:cs="Guttman Drogolin" w:hint="cs"/>
          <w:rtl/>
          <w:lang w:bidi="he-IL"/>
        </w:rPr>
        <w:t>הרמ"א בסע' ד' הביא כמה חידושי דינים בדין דשיל"מ. הראשון שבהם הוא זה שאם האיסור שי"ל מתירין אינו אלא טעם ולא ממש, שלא החמירו בה חומרת דשיל"מ. ויעוין בדרכ"מ שהביא מקור לדין זה מטור סי' תקי"ג בשם ר"ת. ואע"פ ששם בב"י וכן כאן בש"ך רצו לומר שאין כוונת הטור שם בשם ר"ת לומר שבטעם בעלמא לא החמירו לאסור דשיל"מ אפילו באלף, רק כוונתו לחלק בין תערובת של מב"מ לבין במשא"מ וכמש"כ הטור עצמו כאן בשם ר"ת, מ"מ דבר זה קשה להבין, שהרי הטור הביא שם בשם ר"ת לחלק בין היכא שה</w:t>
      </w:r>
      <w:r w:rsidR="00B0505B" w:rsidRPr="00882F11">
        <w:rPr>
          <w:rFonts w:cs="Guttman Drogolin" w:hint="cs"/>
          <w:rtl/>
          <w:lang w:bidi="he-IL"/>
        </w:rPr>
        <w:t>ת</w:t>
      </w:r>
      <w:r w:rsidR="00AA43F2" w:rsidRPr="00882F11">
        <w:rPr>
          <w:rFonts w:cs="Guttman Drogolin" w:hint="cs"/>
          <w:rtl/>
          <w:lang w:bidi="he-IL"/>
        </w:rPr>
        <w:t xml:space="preserve">ערב בה טעם להיכא שהתערב בה דבר שהוא בעין, </w:t>
      </w:r>
      <w:r w:rsidR="00AA43F2" w:rsidRPr="00882F11">
        <w:rPr>
          <w:rFonts w:ascii="Times New Roman" w:hAnsi="Times New Roman" w:cs="Guttman Drogolin" w:hint="cs"/>
          <w:rtl/>
          <w:lang w:bidi="he-IL"/>
        </w:rPr>
        <w:t>ואם</w:t>
      </w:r>
      <w:r w:rsidR="00AA43F2" w:rsidRPr="00882F11">
        <w:rPr>
          <w:rFonts w:cs="Guttman Drogolin" w:hint="cs"/>
          <w:rtl/>
          <w:lang w:bidi="he-IL"/>
        </w:rPr>
        <w:t xml:space="preserve"> </w:t>
      </w:r>
      <w:r w:rsidR="00AA43F2" w:rsidRPr="00882F11">
        <w:rPr>
          <w:rFonts w:ascii="Times New Roman" w:hAnsi="Times New Roman" w:cs="Guttman Drogolin" w:hint="cs"/>
          <w:rtl/>
          <w:lang w:bidi="he-IL"/>
        </w:rPr>
        <w:t>כדבריהם</w:t>
      </w:r>
      <w:r w:rsidR="00AA43F2" w:rsidRPr="00882F11">
        <w:rPr>
          <w:rFonts w:cs="Guttman Drogolin" w:hint="cs"/>
          <w:rtl/>
          <w:lang w:bidi="he-IL"/>
        </w:rPr>
        <w:t xml:space="preserve"> </w:t>
      </w:r>
      <w:r w:rsidR="00AA43F2" w:rsidRPr="00882F11">
        <w:rPr>
          <w:rFonts w:ascii="Times New Roman" w:hAnsi="Times New Roman" w:cs="Guttman Drogolin" w:hint="cs"/>
          <w:rtl/>
          <w:lang w:bidi="he-IL"/>
        </w:rPr>
        <w:t>אין</w:t>
      </w:r>
      <w:r w:rsidR="00AA43F2" w:rsidRPr="00882F11">
        <w:rPr>
          <w:rFonts w:cs="Guttman Drogolin" w:hint="cs"/>
          <w:rtl/>
          <w:lang w:bidi="he-IL"/>
        </w:rPr>
        <w:t xml:space="preserve"> </w:t>
      </w:r>
      <w:r w:rsidR="00AA43F2" w:rsidRPr="00882F11">
        <w:rPr>
          <w:rFonts w:ascii="Times New Roman" w:hAnsi="Times New Roman" w:cs="Guttman Drogolin" w:hint="cs"/>
          <w:rtl/>
          <w:lang w:bidi="he-IL"/>
        </w:rPr>
        <w:t>זה</w:t>
      </w:r>
      <w:r w:rsidR="00AA43F2" w:rsidRPr="00882F11">
        <w:rPr>
          <w:rFonts w:cs="Guttman Drogolin" w:hint="cs"/>
          <w:rtl/>
          <w:lang w:bidi="he-IL"/>
        </w:rPr>
        <w:t xml:space="preserve"> </w:t>
      </w:r>
      <w:r w:rsidR="00AA43F2" w:rsidRPr="00882F11">
        <w:rPr>
          <w:rFonts w:ascii="Times New Roman" w:hAnsi="Times New Roman" w:cs="Guttman Drogolin" w:hint="cs"/>
          <w:rtl/>
          <w:lang w:bidi="he-IL"/>
        </w:rPr>
        <w:t>עיקר</w:t>
      </w:r>
      <w:r w:rsidR="00AA43F2" w:rsidRPr="00882F11">
        <w:rPr>
          <w:rFonts w:cs="Guttman Drogolin" w:hint="cs"/>
          <w:rtl/>
          <w:lang w:bidi="he-IL"/>
        </w:rPr>
        <w:t xml:space="preserve"> </w:t>
      </w:r>
      <w:r w:rsidR="00AA43F2" w:rsidRPr="00882F11">
        <w:rPr>
          <w:rFonts w:ascii="Times New Roman" w:hAnsi="Times New Roman" w:cs="Guttman Drogolin" w:hint="cs"/>
          <w:rtl/>
          <w:lang w:bidi="he-IL"/>
        </w:rPr>
        <w:t>החילוק</w:t>
      </w:r>
      <w:r w:rsidR="00AA43F2" w:rsidRPr="00882F11">
        <w:rPr>
          <w:rFonts w:cs="Guttman Drogolin" w:hint="cs"/>
          <w:rtl/>
          <w:lang w:bidi="he-IL"/>
        </w:rPr>
        <w:t xml:space="preserve">, </w:t>
      </w:r>
      <w:r w:rsidR="00AA43F2" w:rsidRPr="00882F11">
        <w:rPr>
          <w:rFonts w:ascii="Times New Roman" w:hAnsi="Times New Roman" w:cs="Guttman Drogolin" w:hint="cs"/>
          <w:rtl/>
          <w:lang w:bidi="he-IL"/>
        </w:rPr>
        <w:t>רק</w:t>
      </w:r>
      <w:r w:rsidR="00AA43F2" w:rsidRPr="00882F11">
        <w:rPr>
          <w:rFonts w:cs="Guttman Drogolin" w:hint="cs"/>
          <w:rtl/>
          <w:lang w:bidi="he-IL"/>
        </w:rPr>
        <w:t xml:space="preserve"> </w:t>
      </w:r>
      <w:r w:rsidR="00AA43F2" w:rsidRPr="00882F11">
        <w:rPr>
          <w:rFonts w:ascii="Times New Roman" w:hAnsi="Times New Roman" w:cs="Guttman Drogolin" w:hint="cs"/>
          <w:rtl/>
          <w:lang w:bidi="he-IL"/>
        </w:rPr>
        <w:t>בין</w:t>
      </w:r>
      <w:r w:rsidR="00AA43F2" w:rsidRPr="00882F11">
        <w:rPr>
          <w:rFonts w:cs="Guttman Drogolin" w:hint="cs"/>
          <w:rtl/>
          <w:lang w:bidi="he-IL"/>
        </w:rPr>
        <w:t xml:space="preserve"> </w:t>
      </w:r>
      <w:r w:rsidR="00AA43F2" w:rsidRPr="00882F11">
        <w:rPr>
          <w:rFonts w:ascii="Times New Roman" w:hAnsi="Times New Roman" w:cs="Guttman Drogolin" w:hint="cs"/>
          <w:rtl/>
          <w:lang w:bidi="he-IL"/>
        </w:rPr>
        <w:t>טעם</w:t>
      </w:r>
      <w:r w:rsidR="00AA43F2" w:rsidRPr="00882F11">
        <w:rPr>
          <w:rFonts w:cs="Guttman Drogolin" w:hint="cs"/>
          <w:rtl/>
          <w:lang w:bidi="he-IL"/>
        </w:rPr>
        <w:t xml:space="preserve"> </w:t>
      </w:r>
      <w:r w:rsidR="00AA43F2" w:rsidRPr="00882F11">
        <w:rPr>
          <w:rFonts w:ascii="Times New Roman" w:hAnsi="Times New Roman" w:cs="Guttman Drogolin" w:hint="cs"/>
          <w:rtl/>
          <w:lang w:bidi="he-IL"/>
        </w:rPr>
        <w:t>שנבלע</w:t>
      </w:r>
      <w:r w:rsidR="00AA43F2" w:rsidRPr="00882F11">
        <w:rPr>
          <w:rFonts w:cs="Guttman Drogolin" w:hint="cs"/>
          <w:rtl/>
          <w:lang w:bidi="he-IL"/>
        </w:rPr>
        <w:t xml:space="preserve"> </w:t>
      </w:r>
      <w:r w:rsidR="00AA43F2" w:rsidRPr="00882F11">
        <w:rPr>
          <w:rFonts w:ascii="Times New Roman" w:hAnsi="Times New Roman" w:cs="Guttman Drogolin" w:hint="cs"/>
          <w:rtl/>
          <w:lang w:bidi="he-IL"/>
        </w:rPr>
        <w:t>במינו</w:t>
      </w:r>
      <w:r w:rsidR="00AA43F2" w:rsidRPr="00882F11">
        <w:rPr>
          <w:rFonts w:cs="Guttman Drogolin" w:hint="cs"/>
          <w:rtl/>
          <w:lang w:bidi="he-IL"/>
        </w:rPr>
        <w:t xml:space="preserve"> </w:t>
      </w:r>
      <w:r w:rsidR="00AA43F2" w:rsidRPr="00882F11">
        <w:rPr>
          <w:rFonts w:ascii="Times New Roman" w:hAnsi="Times New Roman" w:cs="Guttman Drogolin" w:hint="cs"/>
          <w:rtl/>
          <w:lang w:bidi="he-IL"/>
        </w:rPr>
        <w:t>לטעם</w:t>
      </w:r>
      <w:r w:rsidR="00AA43F2" w:rsidRPr="00882F11">
        <w:rPr>
          <w:rFonts w:cs="Guttman Drogolin" w:hint="cs"/>
          <w:rtl/>
          <w:lang w:bidi="he-IL"/>
        </w:rPr>
        <w:t xml:space="preserve"> </w:t>
      </w:r>
      <w:r w:rsidR="00AA43F2" w:rsidRPr="00882F11">
        <w:rPr>
          <w:rFonts w:ascii="Times New Roman" w:hAnsi="Times New Roman" w:cs="Guttman Drogolin" w:hint="cs"/>
          <w:rtl/>
          <w:lang w:bidi="he-IL"/>
        </w:rPr>
        <w:t>שנבלע</w:t>
      </w:r>
      <w:r w:rsidR="00AA43F2" w:rsidRPr="00882F11">
        <w:rPr>
          <w:rFonts w:cs="Guttman Drogolin" w:hint="cs"/>
          <w:rtl/>
          <w:lang w:bidi="he-IL"/>
        </w:rPr>
        <w:t xml:space="preserve"> </w:t>
      </w:r>
      <w:r w:rsidR="00AA43F2" w:rsidRPr="00882F11">
        <w:rPr>
          <w:rFonts w:ascii="Times New Roman" w:hAnsi="Times New Roman" w:cs="Guttman Drogolin" w:hint="cs"/>
          <w:rtl/>
          <w:lang w:bidi="he-IL"/>
        </w:rPr>
        <w:t>באינו</w:t>
      </w:r>
      <w:r w:rsidR="00AA43F2" w:rsidRPr="00882F11">
        <w:rPr>
          <w:rFonts w:cs="Guttman Drogolin" w:hint="cs"/>
          <w:rtl/>
          <w:lang w:bidi="he-IL"/>
        </w:rPr>
        <w:t xml:space="preserve"> </w:t>
      </w:r>
      <w:r w:rsidR="00AA43F2" w:rsidRPr="00882F11">
        <w:rPr>
          <w:rFonts w:ascii="Times New Roman" w:hAnsi="Times New Roman" w:cs="Guttman Drogolin" w:hint="cs"/>
          <w:rtl/>
          <w:lang w:bidi="he-IL"/>
        </w:rPr>
        <w:t>מינו</w:t>
      </w:r>
      <w:r w:rsidR="00AA43F2" w:rsidRPr="00882F11">
        <w:rPr>
          <w:rFonts w:cs="Guttman Drogolin" w:hint="cs"/>
          <w:rtl/>
          <w:lang w:bidi="he-IL"/>
        </w:rPr>
        <w:t>. וכן האמת יורה דרכו, בס' הישר לר"ת (חלק החידושים סי' ת"ש) הדברים מפורשים לחלק בין היכא שהתערב טעמו להיכא שהתערב דבר שהוא בעינו</w:t>
      </w:r>
      <w:r w:rsidR="00AA43F2" w:rsidRPr="00882F11">
        <w:rPr>
          <w:rFonts w:cs="Guttman Drogolin"/>
          <w:vertAlign w:val="superscript"/>
          <w:rtl/>
          <w:lang w:bidi="he-IL"/>
        </w:rPr>
        <w:footnoteReference w:id="376"/>
      </w:r>
      <w:r w:rsidR="00AA43F2" w:rsidRPr="00882F11">
        <w:rPr>
          <w:rFonts w:cs="Guttman Drogolin" w:hint="cs"/>
          <w:rtl/>
          <w:lang w:bidi="he-IL"/>
        </w:rPr>
        <w:t xml:space="preserve">. </w:t>
      </w:r>
    </w:p>
    <w:p w:rsidR="00AA43F2" w:rsidRPr="00882F11" w:rsidRDefault="00AA43F2" w:rsidP="00AA43F2">
      <w:pPr>
        <w:bidi/>
        <w:jc w:val="both"/>
        <w:rPr>
          <w:rFonts w:cs="Guttman Drogolin"/>
          <w:rtl/>
          <w:lang w:bidi="he-IL"/>
        </w:rPr>
      </w:pPr>
      <w:r w:rsidRPr="00882F11">
        <w:rPr>
          <w:rFonts w:cs="Guttman Drogolin" w:hint="cs"/>
          <w:rtl/>
          <w:lang w:bidi="he-IL"/>
        </w:rPr>
        <w:t>וקפצו הנו"כ ותמהו על הוראה זו, דהא גם בטעם שייך הסברא ד'עד שתאכלנו באיסור תאכלנו בהיתר. ובט"ז מבואר הטעם משום דטעם בעלמא אינו צריך להיתירא דבי</w:t>
      </w:r>
      <w:r w:rsidR="000E1BA4">
        <w:rPr>
          <w:rFonts w:cs="Guttman Drogolin" w:hint="cs"/>
          <w:rtl/>
          <w:lang w:bidi="he-IL"/>
        </w:rPr>
        <w:t>טול ברוב, והיינו דסבר שהחפצ</w:t>
      </w:r>
      <w:r w:rsidRPr="00882F11">
        <w:rPr>
          <w:rFonts w:cs="Guttman Drogolin" w:hint="cs"/>
          <w:rtl/>
          <w:lang w:bidi="he-IL"/>
        </w:rPr>
        <w:t>א של טעם אין עליו חלות איסור אלמלא הגזה"כ דטכ"ע. וכיון שכן במב"מ דליכא טכ"ע, דהא הטעם אינו מורגש, וכן לא בעינן לי' לדין ביטול דהא אינו אלא טעם, הרי הוא מותר. וצריכים להוסיף בזה, שהרי זה דבר פשוט שגם במין במינו צריכים ששים עכ"פ מדרבנן, וא"כ מיני' שיש כאן מה לבטל ולמה ליכא חומרא דד</w:t>
      </w:r>
      <w:r w:rsidR="000E1BA4">
        <w:rPr>
          <w:rFonts w:cs="Guttman Drogolin" w:hint="cs"/>
          <w:rtl/>
          <w:lang w:bidi="he-IL"/>
        </w:rPr>
        <w:t>שיל"מ. ולכאורה הביאור בזה דסבר ה</w:t>
      </w:r>
      <w:r w:rsidRPr="00882F11">
        <w:rPr>
          <w:rFonts w:cs="Guttman Drogolin" w:hint="cs"/>
          <w:rtl/>
          <w:lang w:bidi="he-IL"/>
        </w:rPr>
        <w:t xml:space="preserve">ט"ז שאין כאן מה לבטל בעצם, דהא לא בעינן ביטול ברוב כיון דלא שייך לגבי' דינא דטכ"ע. אבל מ"מ גזרו </w:t>
      </w:r>
      <w:r w:rsidRPr="00882F11">
        <w:rPr>
          <w:rFonts w:cs="Guttman Drogolin" w:hint="cs"/>
          <w:rtl/>
          <w:lang w:bidi="he-IL"/>
        </w:rPr>
        <w:lastRenderedPageBreak/>
        <w:t xml:space="preserve">מדרבנן שלא להתיר במב"מ אא"כ יש </w:t>
      </w:r>
      <w:r w:rsidR="000E1BA4">
        <w:rPr>
          <w:rFonts w:cs="Guttman Drogolin" w:hint="cs"/>
          <w:rtl/>
          <w:lang w:bidi="he-IL"/>
        </w:rPr>
        <w:t>ש</w:t>
      </w:r>
      <w:r w:rsidRPr="00882F11">
        <w:rPr>
          <w:rFonts w:cs="Guttman Drogolin" w:hint="cs"/>
          <w:rtl/>
          <w:lang w:bidi="he-IL"/>
        </w:rPr>
        <w:t>שים</w:t>
      </w:r>
      <w:r w:rsidR="000E1BA4">
        <w:rPr>
          <w:rFonts w:cs="Guttman Drogolin" w:hint="cs"/>
          <w:rtl/>
          <w:lang w:bidi="he-IL"/>
        </w:rPr>
        <w:t>,</w:t>
      </w:r>
      <w:r w:rsidRPr="00882F11">
        <w:rPr>
          <w:rFonts w:cs="Guttman Drogolin" w:hint="cs"/>
          <w:rtl/>
          <w:lang w:bidi="he-IL"/>
        </w:rPr>
        <w:t xml:space="preserve"> גזרה אטו מבשא"מ, אבל אין זה משום שיש כאן בעצם מה לבטל. ולכן אם יש ששים ולכן ליתי' לגזרה, גם ביטול בעצם לא בעינן כיון דליכא איסור באמת וכנ"ל.</w:t>
      </w:r>
    </w:p>
    <w:p w:rsidR="00AA43F2" w:rsidRPr="00882F11" w:rsidRDefault="00AA43F2" w:rsidP="00ED649A">
      <w:pPr>
        <w:bidi/>
        <w:jc w:val="both"/>
        <w:rPr>
          <w:rFonts w:cs="Guttman Drogolin"/>
          <w:rtl/>
          <w:lang w:bidi="he-IL"/>
        </w:rPr>
      </w:pPr>
      <w:r w:rsidRPr="00882F11">
        <w:rPr>
          <w:rFonts w:cs="Guttman Drogolin" w:hint="cs"/>
          <w:rtl/>
          <w:lang w:bidi="he-IL"/>
        </w:rPr>
        <w:t>וכל דברי הט"ז שייכים אך ורק בפליטת טעם בלבד. וכ"כ שם הט"ז שלא החמיר הרמ"א אלא בכה"ג וכ"כ גם הש"ך. אבל בדברי ר"ת עצמו מבואר שהקיל גם באופן שנימוח גופו של איסור. ולפי זה עדיין הקושיא במקומו עומדת, למה יש מקום לומר שהקילו בזה יותר משאר דבר שיל"מ. והנה כמקור לדין זה הביא בביאור הגר"א לשון הגמ' שבמס' ביצה דף ד' ע"ב,</w:t>
      </w:r>
      <w:r w:rsidRPr="00882F11">
        <w:rPr>
          <w:rFonts w:cs="Guttman Drogolin"/>
          <w:lang w:bidi="he-IL"/>
        </w:rPr>
        <w:t xml:space="preserve"> </w:t>
      </w:r>
      <w:r w:rsidRPr="00882F11">
        <w:rPr>
          <w:rFonts w:cs="Guttman Drogolin" w:hint="cs"/>
          <w:rtl/>
          <w:lang w:bidi="he-IL"/>
        </w:rPr>
        <w:t xml:space="preserve">שבסוגיא דעצים שנשרו מן הדקל לתוך התנור שהדין בהם שמרבה עליהם עצים המוכנים ומבטלן, שואלת הגמ' דהא דשיל"מ הוא ולר' אשי אפילו בדרבנן לא בטיל. ומתרצת הגמ' דשאני הכא דמיקלא קלי איסורא. וסבר הגר"א שדין זה דשאין לטעם חומרת דשיל"מ הוא בכלל מה שמבואר שם בגמ' שבמקילא קלי איסורא הקילו. וכן לכאורה מבואר שם בעין משפט, שהרי על הגמ' הזה מיין לדברי הרמ"א כאן, ולכאורה היינו כגר"א. </w:t>
      </w:r>
    </w:p>
    <w:p w:rsidR="00ED649A" w:rsidRPr="00882F11" w:rsidRDefault="00AA43F2" w:rsidP="00ED649A">
      <w:pPr>
        <w:tabs>
          <w:tab w:val="right" w:pos="7497"/>
        </w:tabs>
        <w:bidi/>
        <w:jc w:val="both"/>
        <w:rPr>
          <w:rFonts w:cs="Guttman Drogolin"/>
          <w:rtl/>
          <w:lang w:bidi="he-IL"/>
        </w:rPr>
      </w:pPr>
      <w:r w:rsidRPr="00882F11">
        <w:rPr>
          <w:rFonts w:cs="Guttman Drogolin" w:hint="cs"/>
          <w:rtl/>
          <w:lang w:bidi="he-IL"/>
        </w:rPr>
        <w:t xml:space="preserve">ובאמת אינו מתבאר בגמ' ולא בפירש"י הטעם שיש להקל יותר במקלא קלי איסורא יותר משאר איסור. ועל פניו כוונת הגמ' דכיון שאינו נהנה ממנו אלא לאחר שנעשתה גחלת לא גזרו. ולכאורה הטעם בזה </w:t>
      </w:r>
      <w:r w:rsidR="00ED649A" w:rsidRPr="00882F11">
        <w:rPr>
          <w:rFonts w:cs="Guttman Drogolin" w:hint="cs"/>
          <w:rtl/>
          <w:lang w:bidi="he-IL"/>
        </w:rPr>
        <w:t xml:space="preserve">דלא מיחזי כאוכל איסור אלא כשניכר החפצא דאיסורא, דומיא דסברת התו"ח בטעם לחלק בין מין במינו למין בשאינו מינו. ולכאורה א"כ מובן המקור לזה שבטעם לא מחמרינן להחמיר בדבר שי"ל מתירין, דכיון שאינו ניכר לעצמו הרי הוא כאבוד, ולכן לא מיחזי כעביד איסורא. ולענין דינא המ"ב בסי' תקי"ג ס"ק ח' </w:t>
      </w:r>
      <w:r w:rsidR="00ED649A" w:rsidRPr="00882F11">
        <w:rPr>
          <w:rFonts w:cs="Guttman Drogolin" w:hint="cs"/>
          <w:rtl/>
          <w:lang w:bidi="he-IL"/>
        </w:rPr>
        <w:lastRenderedPageBreak/>
        <w:t>כתב שבמקום מניעת שמחת יו"ט אפשר לסמוך על הרמ"א.</w:t>
      </w:r>
    </w:p>
    <w:p w:rsidR="004F6450" w:rsidRPr="00882F11" w:rsidRDefault="00ED649A" w:rsidP="00ED649A">
      <w:pPr>
        <w:tabs>
          <w:tab w:val="right" w:pos="7497"/>
        </w:tabs>
        <w:bidi/>
        <w:jc w:val="both"/>
        <w:rPr>
          <w:rFonts w:cs="Guttman Drogolin"/>
          <w:rtl/>
          <w:lang w:bidi="he-IL"/>
        </w:rPr>
      </w:pPr>
      <w:r w:rsidRPr="00882F11">
        <w:rPr>
          <w:rFonts w:cs="Guttman Drogolin" w:hint="cs"/>
          <w:rtl/>
          <w:lang w:bidi="he-IL"/>
        </w:rPr>
        <w:t xml:space="preserve">ובעיקר דברי הגמ' במס' ביצה שם לכאורה צ"ע, דכיון שנפל לתוך התנור אם אינו נהנה ממנו עכשיו הרי הוא ישרף ולא יוכן ליהנות ממנו לאחר זמן, וא"כ לכאורה הרי זה כדבר שעתיד להתקלקל ואין בה משום דשיל"מ. </w:t>
      </w:r>
      <w:r w:rsidR="004F6450" w:rsidRPr="00882F11">
        <w:rPr>
          <w:rFonts w:cs="Guttman Drogolin" w:hint="cs"/>
          <w:rtl/>
          <w:lang w:bidi="he-IL"/>
        </w:rPr>
        <w:t xml:space="preserve">והפשוט בזה דמיירי בנפלו לתוך התנור קודם שנדלקו, וכן משמע לשון הגמ' "ומסיקן", ר"ל אחרי שמרבה עלי' עצים מסיק בהם. וכן יהי' נפק"מ בכה"ג שנפלו לתנור סמוך ליציאת היו"ט, שבכה"ג ליתי' לסברת הרשב"א. אמנם אם באמת מיירי בהדליקן קודם שנפלו הי' אפשר לפרש כוונת הגמ' ד'מיקלא קלי איסורא' דר"ל שהוא יתאבד אם אינו משתמש עכשיו וממילא לא יהי' לו מתירין ולכן הרי הוא בטל. </w:t>
      </w:r>
    </w:p>
    <w:p w:rsidR="007A6D31" w:rsidRPr="00882F11" w:rsidRDefault="004F6450" w:rsidP="006D2B80">
      <w:pPr>
        <w:tabs>
          <w:tab w:val="right" w:pos="7497"/>
        </w:tabs>
        <w:bidi/>
        <w:jc w:val="both"/>
        <w:rPr>
          <w:rFonts w:cs="Guttman Drogolin"/>
          <w:rtl/>
          <w:lang w:bidi="he-IL"/>
        </w:rPr>
      </w:pPr>
      <w:r w:rsidRPr="00882F11">
        <w:rPr>
          <w:rFonts w:cs="Guttman Drogolin" w:hint="cs"/>
          <w:rtl/>
          <w:lang w:bidi="he-IL"/>
        </w:rPr>
        <w:t>עוד הערה קטנה, דהנה כבר הדגשנו שאמנם ר' אשי הוא זה שסבר שבדרבנן אפילו בדבר שי"</w:t>
      </w:r>
      <w:r w:rsidR="00B46740" w:rsidRPr="00882F11">
        <w:rPr>
          <w:rFonts w:cs="Guttman Drogolin" w:hint="cs"/>
          <w:rtl/>
          <w:lang w:bidi="he-IL"/>
        </w:rPr>
        <w:t xml:space="preserve">ל </w:t>
      </w:r>
      <w:r w:rsidRPr="00882F11">
        <w:rPr>
          <w:rFonts w:cs="Guttman Drogolin" w:hint="cs"/>
          <w:rtl/>
          <w:lang w:bidi="he-IL"/>
        </w:rPr>
        <w:t xml:space="preserve">מתירין </w:t>
      </w:r>
      <w:r w:rsidR="00B46740" w:rsidRPr="00882F11">
        <w:rPr>
          <w:rFonts w:cs="Guttman Drogolin" w:hint="cs"/>
          <w:rtl/>
          <w:lang w:bidi="he-IL"/>
        </w:rPr>
        <w:t>ספק דרבנן להחמיר, מ"מ איכא מאן דסבר שגם בדבר שי"ל מתירין סד"ר להקל. ולכאורה הי' אפשר לומר דעד כאן לא אמרינן שהקילו בדשיל"מ באיסור דרבנן אלא לענין זה דספק דרבנן להקל, אבל יתכן שלכו"ע איסור דרבנן ודאי אינו בטל ברוב. והטעם שהרי אין שום הסתברות באיסור דרבנן לומר סד"ר להקל, דמה"ת. רק קולא הוא שהקילו בדבריהם לומר שאין לאסור אא"כ אתה יודע שאתה עובר בודאות. ולכן י"ל דכיון שאין יסוד לומר שהוא מותר רק קולא בעלמא, אמרינן שאין לסמוך על קולא זו במקום שאינו צריך. אבל בביטול ברוב או בס', דיסוד המתיר קיים ומ"מ אמרו חז"ל שאין לסמוך על זה, אולי אי</w:t>
      </w:r>
      <w:r w:rsidR="000E1BA4">
        <w:rPr>
          <w:rFonts w:cs="Guttman Drogolin" w:hint="cs"/>
          <w:rtl/>
          <w:lang w:bidi="he-IL"/>
        </w:rPr>
        <w:t>ן לחלק בין איסור דרבנן לאיסור ד</w:t>
      </w:r>
      <w:r w:rsidR="00B46740" w:rsidRPr="00882F11">
        <w:rPr>
          <w:rFonts w:cs="Guttman Drogolin" w:hint="cs"/>
          <w:rtl/>
          <w:lang w:bidi="he-IL"/>
        </w:rPr>
        <w:t>אורייתא. אלא דהנה לשונו של רב אשי "</w:t>
      </w:r>
      <w:r w:rsidR="006D2B80" w:rsidRPr="00882F11">
        <w:rPr>
          <w:rFonts w:cs="Guttman Drogolin" w:hint="cs"/>
          <w:rtl/>
          <w:lang w:bidi="he-IL"/>
        </w:rPr>
        <w:t xml:space="preserve">לעולם ספק יום טוב ספק חול הוי דבר שיש לו מתירין וכל דבר שיש לו מתירין אפילו בדרבנן לא בטיל".. הרי דמשמעות לשונו שהחומרא של ר' אשי הוי גם לענין ביטול, והמ"ד הראשון סבר שאיסור דרבנן ג"כ בטל. וכן מוכרח גם מדברי הגמ' הנ"ל, שהרי הקושיא בעצים שנשרו מן הדקל לתוך התנור </w:t>
      </w:r>
      <w:r w:rsidR="006D2B80" w:rsidRPr="00882F11">
        <w:rPr>
          <w:rFonts w:cs="Guttman Drogolin" w:hint="cs"/>
          <w:rtl/>
          <w:lang w:bidi="he-IL"/>
        </w:rPr>
        <w:lastRenderedPageBreak/>
        <w:t xml:space="preserve">משום דהוי דשיל"מ מפורש בגמ' שאינו אלא לר' אשי, ומשמע </w:t>
      </w:r>
      <w:r w:rsidR="007A6D31" w:rsidRPr="00882F11">
        <w:rPr>
          <w:rFonts w:cs="Guttman Drogolin" w:hint="cs"/>
          <w:rtl/>
          <w:lang w:bidi="he-IL"/>
        </w:rPr>
        <w:t>דלאידך מ"ד לא קשה מידי, והטעם כנ"ל שלא נחלקו רק אי אמרינן סד"ר להקל בדשיל"מ, אלא גם בדין ביטול בדשיל"מ. ולכאורה אם הטעם של הר"ן לא נאמר אלא בביטול, אבל בדין ספק הוא מטעם אחר,</w:t>
      </w:r>
      <w:r w:rsidR="008226E0" w:rsidRPr="00882F11">
        <w:rPr>
          <w:rFonts w:cs="Guttman Drogolin" w:hint="cs"/>
          <w:rtl/>
          <w:lang w:bidi="he-IL"/>
        </w:rPr>
        <w:t xml:space="preserve"> </w:t>
      </w:r>
      <w:r w:rsidR="007A6D31" w:rsidRPr="00882F11">
        <w:rPr>
          <w:rFonts w:cs="Guttman Drogolin" w:hint="cs"/>
          <w:rtl/>
          <w:lang w:bidi="he-IL"/>
        </w:rPr>
        <w:t>אין לדברי הגמ' כאן שום הבנה.</w:t>
      </w:r>
    </w:p>
    <w:p w:rsidR="007A6D31" w:rsidRPr="00891DE2" w:rsidRDefault="007A6D31" w:rsidP="007A6D31">
      <w:pPr>
        <w:pStyle w:val="Heading1"/>
        <w:bidi/>
        <w:spacing w:before="0" w:line="360" w:lineRule="auto"/>
        <w:jc w:val="center"/>
        <w:rPr>
          <w:rFonts w:cs="Guttman Drogolin"/>
          <w:color w:val="auto"/>
          <w:sz w:val="22"/>
          <w:szCs w:val="22"/>
          <w:u w:val="single"/>
          <w:rtl/>
          <w:lang w:bidi="he-IL"/>
        </w:rPr>
      </w:pPr>
      <w:bookmarkStart w:id="361" w:name="_Toc496175610"/>
      <w:r w:rsidRPr="00891DE2">
        <w:rPr>
          <w:rFonts w:cs="Guttman Drogolin" w:hint="cs"/>
          <w:color w:val="auto"/>
          <w:sz w:val="22"/>
          <w:szCs w:val="22"/>
          <w:u w:val="single"/>
          <w:rtl/>
          <w:lang w:bidi="he-IL"/>
        </w:rPr>
        <w:t xml:space="preserve">דבר שיש לו </w:t>
      </w:r>
      <w:r w:rsidRPr="00891DE2">
        <w:rPr>
          <w:rFonts w:cs="Guttman Drogolin"/>
          <w:color w:val="auto"/>
          <w:sz w:val="22"/>
          <w:szCs w:val="22"/>
          <w:u w:val="single"/>
          <w:rtl/>
          <w:lang w:bidi="he-IL"/>
        </w:rPr>
        <w:t xml:space="preserve">מתירין </w:t>
      </w:r>
      <w:r w:rsidRPr="00891DE2">
        <w:rPr>
          <w:rFonts w:cs="Guttman Drogolin" w:hint="cs"/>
          <w:color w:val="auto"/>
          <w:sz w:val="22"/>
          <w:szCs w:val="22"/>
          <w:u w:val="single"/>
          <w:rtl/>
          <w:lang w:bidi="he-IL"/>
        </w:rPr>
        <w:t>שאינו אסור מחמת עצמו</w:t>
      </w:r>
      <w:bookmarkEnd w:id="361"/>
    </w:p>
    <w:p w:rsidR="007A6D31" w:rsidRPr="00882F11" w:rsidRDefault="0029471F" w:rsidP="0029471F">
      <w:pPr>
        <w:tabs>
          <w:tab w:val="right" w:pos="7497"/>
        </w:tabs>
        <w:bidi/>
        <w:jc w:val="both"/>
        <w:rPr>
          <w:rFonts w:cs="Guttman Drogolin"/>
          <w:rtl/>
          <w:lang w:bidi="he-IL"/>
        </w:rPr>
      </w:pPr>
      <w:r>
        <w:rPr>
          <w:rFonts w:cs="Guttman Drogolin"/>
          <w:rtl/>
          <w:lang w:bidi="he-IL"/>
        </w:rPr>
        <w:fldChar w:fldCharType="begin"/>
      </w:r>
      <w:r>
        <w:instrText xml:space="preserve"> XE "</w:instrText>
      </w:r>
      <w:r w:rsidRPr="00D62840">
        <w:rPr>
          <w:rFonts w:hint="cs"/>
          <w:rtl/>
          <w:lang w:bidi="he-IL"/>
        </w:rPr>
        <w:instrText>דבר שיש לו מתירין</w:instrText>
      </w:r>
      <w:r w:rsidRPr="00D62840">
        <w:rPr>
          <w:rtl/>
        </w:rPr>
        <w:instrText>:</w:instrText>
      </w:r>
      <w:r>
        <w:rPr>
          <w:rFonts w:hint="cs"/>
          <w:rtl/>
          <w:lang w:bidi="he-IL"/>
        </w:rPr>
        <w:instrText>כשאינו אסור מחמת עצמו</w:instrText>
      </w:r>
      <w:r>
        <w:instrText xml:space="preserve">" </w:instrText>
      </w:r>
      <w:r>
        <w:rPr>
          <w:rFonts w:cs="Guttman Drogolin"/>
          <w:rtl/>
          <w:lang w:bidi="he-IL"/>
        </w:rPr>
        <w:fldChar w:fldCharType="end"/>
      </w:r>
      <w:r w:rsidR="007A6D31" w:rsidRPr="00882F11">
        <w:rPr>
          <w:rFonts w:cs="Guttman Drogolin" w:hint="cs"/>
          <w:rtl/>
          <w:lang w:bidi="he-IL"/>
        </w:rPr>
        <w:t xml:space="preserve">עוד כתב הרמ"א שם בסע' ד' </w:t>
      </w:r>
      <w:r w:rsidR="003F530E" w:rsidRPr="00882F11">
        <w:rPr>
          <w:rFonts w:cs="Guttman Drogolin" w:hint="cs"/>
          <w:rtl/>
          <w:lang w:bidi="he-IL"/>
        </w:rPr>
        <w:t>דלא החמירו בדבר שי"ל מתירין אא"כ אסורה מחמת עצמו. ולכן חתיכת בשר הבלוע דם שעבר עליו ג' ימים לא חשוב דשיל"מ אע"ג שראוי' לצלי וי"א שאם קיים לשום תשמיש הרי זה דשיל"מ לענין התשמיש האסור.</w:t>
      </w:r>
    </w:p>
    <w:p w:rsidR="00F22A15" w:rsidRPr="00882F11" w:rsidRDefault="003F530E" w:rsidP="00A47801">
      <w:pPr>
        <w:tabs>
          <w:tab w:val="right" w:pos="7497"/>
        </w:tabs>
        <w:bidi/>
        <w:jc w:val="both"/>
        <w:rPr>
          <w:rFonts w:cs="Guttman Drogolin"/>
          <w:rtl/>
          <w:lang w:bidi="he-IL"/>
        </w:rPr>
      </w:pPr>
      <w:r w:rsidRPr="00882F11">
        <w:rPr>
          <w:rFonts w:cs="Guttman Drogolin" w:hint="cs"/>
          <w:rtl/>
          <w:lang w:bidi="he-IL"/>
        </w:rPr>
        <w:t>וקודם כל נבאר לענין עצם שיטה זו שהיא שיטת הרי"ף שאם אפשר ליהנות ממנו באופן הרי זה כדשיל"מ, האם קיי"ל כוותי' או לא. והש"ך כאן כבר הדגיש שכוונת הרמ"א דאע"פ שי"א כן ר"ל אע"ג דלא קיי"ל כוותי'. ומקור לדבריו יש בדברי הרמ"א לעיל בסי' צ"ו סע' ו', ששם כתב שאם נפל חלב תוך מים ושוב התערב לתוך בשר שאין צריכים ששים כנגד החלב כיון שכבר התבטל במים ולכאורה לשיטת הרי"ף הוו המים כדבר שיל"מ וא"כ לא הי' החלב צריך להתבטל. וע"כ שלא קיי"ל כרי"ף (וע"ש בש"ך שהביא מתו"ח שאם כבר התבטל החלב במים מותר גם לערב מים זה לתוך בשר לכתחילה</w:t>
      </w:r>
      <w:bookmarkStart w:id="362" w:name="_Ref467829659"/>
      <w:r w:rsidR="000A7F05" w:rsidRPr="00882F11">
        <w:rPr>
          <w:rStyle w:val="FootnoteReference"/>
          <w:rFonts w:cs="Guttman Drogolin"/>
          <w:rtl/>
          <w:lang w:bidi="he-IL"/>
        </w:rPr>
        <w:footnoteReference w:id="377"/>
      </w:r>
      <w:bookmarkEnd w:id="362"/>
      <w:r w:rsidR="00096AC9" w:rsidRPr="00882F11">
        <w:rPr>
          <w:rFonts w:cs="Guttman Drogolin" w:hint="cs"/>
          <w:rtl/>
          <w:lang w:bidi="he-IL"/>
        </w:rPr>
        <w:t>)</w:t>
      </w:r>
      <w:r w:rsidRPr="00882F11">
        <w:rPr>
          <w:rFonts w:cs="Guttman Drogolin" w:hint="cs"/>
          <w:rtl/>
          <w:lang w:bidi="he-IL"/>
        </w:rPr>
        <w:t xml:space="preserve">. </w:t>
      </w:r>
      <w:r w:rsidR="00B700C7" w:rsidRPr="00882F11">
        <w:rPr>
          <w:rFonts w:cs="Guttman Drogolin" w:hint="cs"/>
          <w:rtl/>
          <w:lang w:bidi="he-IL"/>
        </w:rPr>
        <w:t xml:space="preserve">ומ"מ ראוי לציין שהפר"ח הביא כאן </w:t>
      </w:r>
      <w:r w:rsidR="00A47801" w:rsidRPr="00882F11">
        <w:rPr>
          <w:rFonts w:cs="Guttman Drogolin" w:hint="cs"/>
          <w:rtl/>
          <w:lang w:bidi="he-IL"/>
        </w:rPr>
        <w:t xml:space="preserve">(ס"ק י"א) </w:t>
      </w:r>
      <w:r w:rsidR="00B700C7" w:rsidRPr="00882F11">
        <w:rPr>
          <w:rFonts w:cs="Guttman Drogolin" w:hint="cs"/>
          <w:rtl/>
          <w:lang w:bidi="he-IL"/>
        </w:rPr>
        <w:t>שראוי להחמיר לכתחילה כשיטת הרי"ף, אמנם צ"ע אם יש להחמיר כוותי', והפר"ח לא הביא כ"כ טעם לדבריו למה כתב כן.</w:t>
      </w:r>
      <w:r w:rsidR="00A47801" w:rsidRPr="00882F11">
        <w:rPr>
          <w:rFonts w:cs="Guttman Drogolin" w:hint="cs"/>
          <w:rtl/>
          <w:lang w:bidi="he-IL"/>
        </w:rPr>
        <w:t xml:space="preserve"> ובעצם הענין יל"ע למה נקט הרמ"א חתיכת בשר שלא נמלחה ג'ימים, ולא חתיכה טרי' שג"כ צריך הכשר וכיון שיכול להכשירו הוי דשיל"מ. </w:t>
      </w:r>
      <w:r w:rsidR="00F22A15" w:rsidRPr="00882F11">
        <w:rPr>
          <w:rFonts w:cs="Guttman Drogolin" w:hint="cs"/>
          <w:rtl/>
          <w:lang w:bidi="he-IL"/>
        </w:rPr>
        <w:t>ויתכן שהוא עכבת הנידון בשו"ע סי' ס"ט סע' י"</w:t>
      </w:r>
      <w:r w:rsidR="009601ED" w:rsidRPr="00882F11">
        <w:rPr>
          <w:rFonts w:cs="Guttman Drogolin" w:hint="cs"/>
          <w:rtl/>
          <w:lang w:bidi="he-IL"/>
        </w:rPr>
        <w:t>ד</w:t>
      </w:r>
      <w:r w:rsidR="00F22A15" w:rsidRPr="00882F11">
        <w:rPr>
          <w:rFonts w:cs="Guttman Drogolin" w:hint="cs"/>
          <w:rtl/>
          <w:lang w:bidi="he-IL"/>
        </w:rPr>
        <w:t xml:space="preserve"> שדן בציור זה. </w:t>
      </w:r>
      <w:r w:rsidR="00A47801" w:rsidRPr="00882F11">
        <w:rPr>
          <w:rFonts w:cs="Guttman Drogolin" w:hint="cs"/>
          <w:rtl/>
          <w:lang w:bidi="he-IL"/>
        </w:rPr>
        <w:t xml:space="preserve">ואין לומר דחתיכה כזו לא יהא חשוב דבר שיל"מ, דבכה"ג אין אנו מחשיבים את הבשר כחפצא דאיסורא, </w:t>
      </w:r>
      <w:r w:rsidR="00A47801" w:rsidRPr="00882F11">
        <w:rPr>
          <w:rFonts w:cs="Guttman Drogolin" w:hint="cs"/>
          <w:rtl/>
          <w:lang w:bidi="he-IL"/>
        </w:rPr>
        <w:lastRenderedPageBreak/>
        <w:t xml:space="preserve">רק שיש איסור בדם וצריכים להוציא את הדם, ולכן אין להתיר מבלי למלוח, דהא גם בכלי בן יומו אמרנו שהוא דשיל"מ כיון שיכול להגעיל ומהני הא שיש הוצאות להתיר הביטול. </w:t>
      </w:r>
      <w:r w:rsidR="004553B7" w:rsidRPr="00882F11">
        <w:rPr>
          <w:rFonts w:cs="Guttman Drogolin" w:hint="cs"/>
          <w:rtl/>
          <w:lang w:bidi="he-IL"/>
        </w:rPr>
        <w:t>וצ"ע.</w:t>
      </w:r>
    </w:p>
    <w:p w:rsidR="00184335" w:rsidRPr="00882F11" w:rsidRDefault="00F22A15" w:rsidP="00184335">
      <w:pPr>
        <w:tabs>
          <w:tab w:val="right" w:pos="7497"/>
        </w:tabs>
        <w:bidi/>
        <w:jc w:val="both"/>
        <w:rPr>
          <w:rFonts w:cs="Guttman Drogolin"/>
          <w:rtl/>
          <w:lang w:bidi="he-IL"/>
        </w:rPr>
      </w:pPr>
      <w:r w:rsidRPr="00882F11">
        <w:rPr>
          <w:rFonts w:cs="Guttman Drogolin" w:hint="cs"/>
          <w:rtl/>
          <w:lang w:bidi="he-IL"/>
        </w:rPr>
        <w:t>ובעיקר דברי הרמ"א כבר קפצו עליו כל המפרשים, שלכאורה אין לחלק בין דבר שאסור מחמת עצמו לדבר שאסור מחמת דבר אחר אלא בכגון חתיכה הראוי' להתכבד, דכיון שאין החתיכה עצמה אסורה אין האיסור ראוי' להתכבד, אבל כאן עדיין שייך הסברא דעד שתאכלנו באיסור תאכלנו בהיתר</w:t>
      </w:r>
      <w:r w:rsidR="00184335" w:rsidRPr="00882F11">
        <w:rPr>
          <w:rFonts w:cs="Guttman Drogolin" w:hint="cs"/>
          <w:rtl/>
          <w:lang w:bidi="he-IL"/>
        </w:rPr>
        <w:t xml:space="preserve">. ולכאורה דברי הרמ"א אינם מובנים גם לפי ההסבר של הר"ן, שהרי ביאר דכיון שלענין ביטול אנחנו צריכים היתר לעומת איסור, דשיל"מ לא חשוב איסור כ"כ להתבטל. וא"כ דבר שיש לו מתירין וכן אפילו אינה אסורה מחמת עצמה כ"ש שלא יתבטל ויהא אסור. אמנם יש מקום לדחות שהרי לפי הר"ן יש לדשיל"מ אלימות שלא להתבטל מכח הדמיון שיש בין ההיתר לאיסור שיל"מ. וא"כ איכא למימר דליכא אלימות זאת אלא כשהמאכל עכ"פ אסור מחמת עצמו, אבל אם לא שלא צריכים ביטול כ"כ חזק גם כשאין התנגדות כ"כ גדולה בין האיסור להיתר הרי הוא מתבטל. </w:t>
      </w:r>
      <w:r w:rsidRPr="00882F11">
        <w:rPr>
          <w:rFonts w:cs="Guttman Drogolin" w:hint="cs"/>
          <w:rtl/>
          <w:lang w:bidi="he-IL"/>
        </w:rPr>
        <w:t xml:space="preserve"> </w:t>
      </w:r>
      <w:r w:rsidR="00A47801" w:rsidRPr="00882F11">
        <w:rPr>
          <w:rFonts w:cs="Guttman Drogolin" w:hint="cs"/>
          <w:rtl/>
          <w:lang w:bidi="he-IL"/>
        </w:rPr>
        <w:t xml:space="preserve"> </w:t>
      </w:r>
    </w:p>
    <w:p w:rsidR="00184335" w:rsidRPr="00891DE2" w:rsidRDefault="00184335" w:rsidP="00184335">
      <w:pPr>
        <w:pStyle w:val="Heading1"/>
        <w:bidi/>
        <w:spacing w:before="0" w:line="360" w:lineRule="auto"/>
        <w:jc w:val="center"/>
        <w:rPr>
          <w:rFonts w:cs="Guttman Drogolin"/>
          <w:color w:val="auto"/>
          <w:sz w:val="20"/>
          <w:szCs w:val="20"/>
          <w:u w:val="single"/>
          <w:rtl/>
          <w:lang w:bidi="he-IL"/>
        </w:rPr>
      </w:pPr>
      <w:bookmarkStart w:id="363" w:name="_Toc496175611"/>
      <w:r w:rsidRPr="00891DE2">
        <w:rPr>
          <w:rFonts w:cs="Guttman Drogolin" w:hint="cs"/>
          <w:color w:val="auto"/>
          <w:sz w:val="20"/>
          <w:szCs w:val="20"/>
          <w:u w:val="single"/>
          <w:rtl/>
          <w:lang w:bidi="he-IL"/>
        </w:rPr>
        <w:t xml:space="preserve">דבר שיש לו </w:t>
      </w:r>
      <w:r w:rsidRPr="00891DE2">
        <w:rPr>
          <w:rFonts w:cs="Guttman Drogolin"/>
          <w:color w:val="auto"/>
          <w:sz w:val="20"/>
          <w:szCs w:val="20"/>
          <w:u w:val="single"/>
          <w:rtl/>
          <w:lang w:bidi="he-IL"/>
        </w:rPr>
        <w:t xml:space="preserve">מתירין </w:t>
      </w:r>
      <w:r w:rsidRPr="00891DE2">
        <w:rPr>
          <w:rFonts w:cs="Guttman Drogolin" w:hint="cs"/>
          <w:color w:val="auto"/>
          <w:sz w:val="20"/>
          <w:szCs w:val="20"/>
          <w:u w:val="single"/>
          <w:rtl/>
          <w:lang w:bidi="he-IL"/>
        </w:rPr>
        <w:t>כשהאיסור נולד בתערובת</w:t>
      </w:r>
      <w:bookmarkEnd w:id="363"/>
    </w:p>
    <w:p w:rsidR="002A4F20" w:rsidRPr="00882F11" w:rsidRDefault="0029471F" w:rsidP="0029471F">
      <w:pPr>
        <w:tabs>
          <w:tab w:val="right" w:pos="7497"/>
        </w:tabs>
        <w:bidi/>
        <w:jc w:val="both"/>
        <w:rPr>
          <w:rFonts w:cs="Guttman Drogolin"/>
          <w:rtl/>
          <w:lang w:bidi="he-IL"/>
        </w:rPr>
      </w:pPr>
      <w:r>
        <w:rPr>
          <w:rFonts w:cs="Guttman Drogolin"/>
          <w:rtl/>
          <w:lang w:bidi="he-IL"/>
        </w:rPr>
        <w:fldChar w:fldCharType="begin"/>
      </w:r>
      <w:r>
        <w:instrText xml:space="preserve"> XE "</w:instrText>
      </w:r>
      <w:r w:rsidRPr="00D62840">
        <w:rPr>
          <w:rFonts w:hint="cs"/>
          <w:rtl/>
          <w:lang w:bidi="he-IL"/>
        </w:rPr>
        <w:instrText>דבר שיש לו מתירין</w:instrText>
      </w:r>
      <w:r w:rsidRPr="00D62840">
        <w:rPr>
          <w:rtl/>
        </w:rPr>
        <w:instrText>:</w:instrText>
      </w:r>
      <w:r>
        <w:rPr>
          <w:rFonts w:hint="cs"/>
          <w:rtl/>
          <w:lang w:bidi="he-IL"/>
        </w:rPr>
        <w:instrText>כשנולד האיסור בתערובת</w:instrText>
      </w:r>
      <w:r>
        <w:instrText xml:space="preserve">" </w:instrText>
      </w:r>
      <w:r>
        <w:rPr>
          <w:rFonts w:cs="Guttman Drogolin"/>
          <w:rtl/>
          <w:lang w:bidi="he-IL"/>
        </w:rPr>
        <w:fldChar w:fldCharType="end"/>
      </w:r>
      <w:r w:rsidR="00184335" w:rsidRPr="00882F11">
        <w:rPr>
          <w:rFonts w:cs="Guttman Drogolin" w:hint="cs"/>
          <w:rtl/>
          <w:lang w:bidi="he-IL"/>
        </w:rPr>
        <w:t xml:space="preserve">עוד כתב הרמ"א שאם האיסור נולד בתערובת ליתי' לחומרא דדשיל"מ. </w:t>
      </w:r>
      <w:r w:rsidR="00151829" w:rsidRPr="00882F11">
        <w:rPr>
          <w:rFonts w:cs="Guttman Drogolin" w:hint="cs"/>
          <w:rtl/>
          <w:lang w:bidi="he-IL"/>
        </w:rPr>
        <w:t xml:space="preserve">וכמקור לדבר זה ציין הגר"א לדבריו בסי' ש"כ סע' ב', ושם כתב הגר"א </w:t>
      </w:r>
      <w:r w:rsidR="002A4F20" w:rsidRPr="00882F11">
        <w:rPr>
          <w:rFonts w:cs="Guttman Drogolin" w:hint="cs"/>
          <w:rtl/>
          <w:lang w:bidi="he-IL"/>
        </w:rPr>
        <w:t xml:space="preserve">(וכן הוא במקור הדברים בס' התרומה סי' רכ"ג) </w:t>
      </w:r>
      <w:r w:rsidR="00151829" w:rsidRPr="00882F11">
        <w:rPr>
          <w:rFonts w:cs="Guttman Drogolin" w:hint="cs"/>
          <w:rtl/>
          <w:lang w:bidi="he-IL"/>
        </w:rPr>
        <w:t>שהמקור</w:t>
      </w:r>
      <w:r w:rsidR="002A4F20" w:rsidRPr="00882F11">
        <w:rPr>
          <w:rFonts w:cs="Guttman Drogolin" w:hint="cs"/>
          <w:rtl/>
          <w:lang w:bidi="he-IL"/>
        </w:rPr>
        <w:t xml:space="preserve"> להיתר זה הוא הגמ' הנ"ל במס' ביצה דבמיקלא קלי איסורא ליתי' לחומרא דדשיל"מ</w:t>
      </w:r>
      <w:r w:rsidR="00151829" w:rsidRPr="00882F11">
        <w:rPr>
          <w:rFonts w:cs="Guttman Drogolin" w:hint="cs"/>
          <w:rtl/>
          <w:lang w:bidi="he-IL"/>
        </w:rPr>
        <w:t>.</w:t>
      </w:r>
      <w:r w:rsidR="002A4F20" w:rsidRPr="00882F11">
        <w:rPr>
          <w:rFonts w:cs="Guttman Drogolin" w:hint="cs"/>
          <w:rtl/>
          <w:lang w:bidi="he-IL"/>
        </w:rPr>
        <w:t xml:space="preserve"> ולכן כיון שהאיסור לא הי' אף פעם ניכר לעצמו רק מיד בבואו לעולם הי' בתערובת, גם הוא כמו איסורא שנשרף ומותר. וא"כ מבואר שזהו היתר מיוחד לדשיל"מ. </w:t>
      </w:r>
    </w:p>
    <w:p w:rsidR="004E46F4" w:rsidRPr="00882F11" w:rsidRDefault="002A4F20" w:rsidP="00A27F0D">
      <w:pPr>
        <w:tabs>
          <w:tab w:val="right" w:pos="7497"/>
        </w:tabs>
        <w:bidi/>
        <w:jc w:val="both"/>
        <w:rPr>
          <w:rFonts w:cs="Guttman Drogolin"/>
          <w:rtl/>
          <w:lang w:bidi="he-IL"/>
        </w:rPr>
      </w:pPr>
      <w:r w:rsidRPr="00882F11">
        <w:rPr>
          <w:rFonts w:cs="Guttman Drogolin" w:hint="cs"/>
          <w:rtl/>
          <w:lang w:bidi="he-IL"/>
        </w:rPr>
        <w:t>ומקשים העולם, שהרי המרדכי במס' חולין (</w:t>
      </w:r>
      <w:r w:rsidR="00F1365B" w:rsidRPr="00882F11">
        <w:rPr>
          <w:rFonts w:cs="Guttman Drogolin" w:hint="cs"/>
          <w:rtl/>
          <w:lang w:bidi="he-IL"/>
        </w:rPr>
        <w:t>סי' תשל"ז) כתב ש</w:t>
      </w:r>
      <w:r w:rsidR="00863295" w:rsidRPr="00882F11">
        <w:rPr>
          <w:rFonts w:cs="Guttman Drogolin" w:hint="cs"/>
          <w:rtl/>
          <w:lang w:bidi="he-IL"/>
        </w:rPr>
        <w:t>איסור</w:t>
      </w:r>
      <w:r w:rsidR="00F1365B" w:rsidRPr="00882F11">
        <w:rPr>
          <w:rFonts w:cs="Guttman Drogolin" w:hint="cs"/>
          <w:rtl/>
          <w:lang w:bidi="he-IL"/>
        </w:rPr>
        <w:t xml:space="preserve"> שהתערב מתחילת ברייתו </w:t>
      </w:r>
      <w:r w:rsidR="00863295" w:rsidRPr="00882F11">
        <w:rPr>
          <w:rFonts w:cs="Guttman Drogolin" w:hint="cs"/>
          <w:rtl/>
          <w:lang w:bidi="he-IL"/>
        </w:rPr>
        <w:t xml:space="preserve">אינו בטל כלל, ולכאורה דזה סותר דברי סה"ת הנ"ל שהוא גם מובא במרדכי במס' שבת (סי' רנ"ט). </w:t>
      </w:r>
      <w:r w:rsidR="00834F21" w:rsidRPr="00882F11">
        <w:rPr>
          <w:rFonts w:cs="Guttman Drogolin" w:hint="cs"/>
          <w:rtl/>
          <w:lang w:bidi="he-IL"/>
        </w:rPr>
        <w:t xml:space="preserve">ובשו"ת נובי"ת סי' נ"ד מובא תשובה בשם </w:t>
      </w:r>
      <w:r w:rsidR="00834F21" w:rsidRPr="00882F11">
        <w:rPr>
          <w:rFonts w:cs="Guttman Drogolin" w:hint="cs"/>
          <w:rtl/>
          <w:lang w:bidi="he-IL"/>
        </w:rPr>
        <w:lastRenderedPageBreak/>
        <w:t xml:space="preserve">הר"ר יעקב לנדא (בנו של הנודע ביהודה) בענין זה, והביא בשם אביו הנו"ב לתרץ שיש לחלק בין היכא דקדם המבטל לאיסור, שבזה אמרינן שהאיסור יכול להתבטל אע"ג שנולד בתערובת להיכא שגם המבטל וגם המתבטל באו בבת אחר בתערובת, שבזה ליכא ביטול כלל. ויעוין שם בתשובה שכתב </w:t>
      </w:r>
      <w:r w:rsidR="00A27F0D" w:rsidRPr="00882F11">
        <w:rPr>
          <w:rFonts w:cs="Guttman Drogolin" w:hint="cs"/>
          <w:rtl/>
          <w:lang w:bidi="he-IL"/>
        </w:rPr>
        <w:t>בשם הנו"ב</w:t>
      </w:r>
      <w:r w:rsidR="00834F21" w:rsidRPr="00882F11">
        <w:rPr>
          <w:rFonts w:cs="Guttman Drogolin" w:hint="cs"/>
          <w:rtl/>
          <w:lang w:bidi="he-IL"/>
        </w:rPr>
        <w:t xml:space="preserve"> (ולאו דוקא כדי לישב הסתירה הנ"ל) שלא נאמרו דברי המרדכי בחולין אלא </w:t>
      </w:r>
      <w:r w:rsidR="00A27F0D" w:rsidRPr="00882F11">
        <w:rPr>
          <w:rFonts w:cs="Guttman Drogolin" w:hint="cs"/>
          <w:rtl/>
          <w:lang w:bidi="he-IL"/>
        </w:rPr>
        <w:t>בביטול יבש ביבש, אבל במין בשאינו מינו ואין בה טעם, גם אינו צריך לדין ביטול ברוב ולכן לא איכפת לן זה שנולד בתערובת. ולדבריו ג"כ מיושבים דברי המרדכי. אלא שעצם דבריו צע"ג, שהרי בשלמא בטעם בעלמא י"ל כדמבואר בט"ז כאן שטעם אינו חפצא דאיסורא אא"כ הוא מורגש, ולכן בדליכא טעם לא צריכים לבטל האיסור, אבל איהו מיירי בתערובת לח בלח ויש ששים, ובכה"ג יש חפצא דאיסורא, וא"כ בלי רוב איך יוכל לאכלו. כן תמהו הרבה אחרונים</w:t>
      </w:r>
      <w:r w:rsidR="00317FB8" w:rsidRPr="00882F11">
        <w:rPr>
          <w:rFonts w:cs="Guttman Drogolin" w:hint="cs"/>
          <w:rtl/>
          <w:lang w:bidi="he-IL"/>
        </w:rPr>
        <w:t xml:space="preserve"> (ע' שו"ת עונג יו"ט סי' ס"ב, ועוד אחרונים שבליקוטי הערות לנו"ב מהדו' מכ"י)</w:t>
      </w:r>
      <w:r w:rsidR="00A27F0D" w:rsidRPr="00882F11">
        <w:rPr>
          <w:rFonts w:cs="Guttman Drogolin" w:hint="cs"/>
          <w:rtl/>
          <w:lang w:bidi="he-IL"/>
        </w:rPr>
        <w:t>.</w:t>
      </w:r>
      <w:r w:rsidR="00317FB8" w:rsidRPr="00882F11">
        <w:rPr>
          <w:rFonts w:cs="Guttman Drogolin" w:hint="cs"/>
          <w:rtl/>
          <w:lang w:bidi="he-IL"/>
        </w:rPr>
        <w:t xml:space="preserve"> והנראה לומר בדעתו דסבר דאיסור שהוא מעורב והוא חצי שיעור ע"י תערובת אינו אסור מדאורייתא</w:t>
      </w:r>
      <w:r w:rsidR="004E46F4" w:rsidRPr="00882F11">
        <w:rPr>
          <w:rFonts w:cs="Guttman Drogolin" w:hint="cs"/>
          <w:rtl/>
          <w:lang w:bidi="he-IL"/>
        </w:rPr>
        <w:t xml:space="preserve"> (וכמו שהביא הר"ש בטבו"י שיטה כזו (וע"ש בליקוטי הערות בשם יד יצחק שכתב דכה"ג הוי שלא כדרך אכילה, והוא כעין דברינו)</w:t>
      </w:r>
      <w:r w:rsidR="00317FB8" w:rsidRPr="00882F11">
        <w:rPr>
          <w:rFonts w:cs="Guttman Drogolin" w:hint="cs"/>
          <w:rtl/>
          <w:lang w:bidi="he-IL"/>
        </w:rPr>
        <w:t>.</w:t>
      </w:r>
      <w:r w:rsidR="004E46F4" w:rsidRPr="00882F11">
        <w:rPr>
          <w:rFonts w:cs="Guttman Drogolin" w:hint="cs"/>
          <w:rtl/>
          <w:lang w:bidi="he-IL"/>
        </w:rPr>
        <w:t xml:space="preserve"> וע' עוד בחי' ר' שלמה ח"ב מש"כ בנד"ד).</w:t>
      </w:r>
    </w:p>
    <w:p w:rsidR="00411849" w:rsidRPr="00882F11" w:rsidRDefault="004E46F4" w:rsidP="004E46F4">
      <w:pPr>
        <w:tabs>
          <w:tab w:val="right" w:pos="7497"/>
        </w:tabs>
        <w:bidi/>
        <w:jc w:val="both"/>
        <w:rPr>
          <w:rFonts w:cs="Guttman Drogolin"/>
          <w:rtl/>
          <w:lang w:bidi="he-IL"/>
        </w:rPr>
      </w:pPr>
      <w:r w:rsidRPr="00882F11">
        <w:rPr>
          <w:rFonts w:cs="Guttman Drogolin" w:hint="cs"/>
          <w:rtl/>
          <w:lang w:bidi="he-IL"/>
        </w:rPr>
        <w:t>ולכאורה עיקר הענין הוא שהאיסור לנולד בתערובת</w:t>
      </w:r>
      <w:r w:rsidR="00317FB8" w:rsidRPr="00882F11">
        <w:rPr>
          <w:rFonts w:cs="Guttman Drogolin" w:hint="cs"/>
          <w:rtl/>
          <w:lang w:bidi="he-IL"/>
        </w:rPr>
        <w:t xml:space="preserve"> </w:t>
      </w:r>
      <w:r w:rsidRPr="00882F11">
        <w:rPr>
          <w:rFonts w:cs="Guttman Drogolin" w:hint="cs"/>
          <w:rtl/>
          <w:lang w:bidi="he-IL"/>
        </w:rPr>
        <w:t>ולא שהמאכל נולד בתערובת. ולכן קשה לשון הש"ך ס"ק י"ב שכתב "שלא היה עליו שם יין בפני עצמו מעולם", שלכאורה אינו תלוי בשם יין רק בחלות איסור. וכן ראיתי שהעיר בציונים לס' בדי השולחן.</w:t>
      </w:r>
    </w:p>
    <w:p w:rsidR="00411849" w:rsidRPr="00882F11" w:rsidRDefault="00411849" w:rsidP="00A813A3">
      <w:pPr>
        <w:pStyle w:val="Heading1"/>
        <w:bidi/>
        <w:spacing w:before="0" w:line="360" w:lineRule="auto"/>
        <w:jc w:val="center"/>
        <w:rPr>
          <w:rFonts w:cs="Guttman Drogolin"/>
          <w:color w:val="auto"/>
          <w:sz w:val="24"/>
          <w:szCs w:val="24"/>
          <w:u w:val="single"/>
          <w:rtl/>
          <w:lang w:bidi="he-IL"/>
        </w:rPr>
      </w:pPr>
      <w:bookmarkStart w:id="364" w:name="_Toc496175612"/>
      <w:r w:rsidRPr="00882F11">
        <w:rPr>
          <w:rFonts w:cs="Guttman Drogolin" w:hint="cs"/>
          <w:color w:val="auto"/>
          <w:sz w:val="24"/>
          <w:szCs w:val="24"/>
          <w:u w:val="single"/>
          <w:rtl/>
          <w:lang w:bidi="he-IL"/>
        </w:rPr>
        <w:t xml:space="preserve">דבר שיש לו היתר </w:t>
      </w:r>
      <w:r w:rsidR="00A813A3" w:rsidRPr="00882F11">
        <w:rPr>
          <w:rFonts w:cs="Guttman Drogolin" w:hint="cs"/>
          <w:color w:val="auto"/>
          <w:sz w:val="24"/>
          <w:szCs w:val="24"/>
          <w:u w:val="single"/>
          <w:rtl/>
          <w:lang w:bidi="he-IL"/>
        </w:rPr>
        <w:t>ש</w:t>
      </w:r>
      <w:r w:rsidRPr="00882F11">
        <w:rPr>
          <w:rFonts w:cs="Guttman Drogolin" w:hint="cs"/>
          <w:color w:val="auto"/>
          <w:sz w:val="24"/>
          <w:szCs w:val="24"/>
          <w:u w:val="single"/>
          <w:rtl/>
          <w:lang w:bidi="he-IL"/>
        </w:rPr>
        <w:t xml:space="preserve">חוזר </w:t>
      </w:r>
      <w:r w:rsidR="00A813A3" w:rsidRPr="00882F11">
        <w:rPr>
          <w:rFonts w:cs="Guttman Drogolin" w:hint="cs"/>
          <w:color w:val="auto"/>
          <w:sz w:val="24"/>
          <w:szCs w:val="24"/>
          <w:u w:val="single"/>
          <w:rtl/>
          <w:lang w:bidi="he-IL"/>
        </w:rPr>
        <w:t>לאיסורו</w:t>
      </w:r>
      <w:bookmarkEnd w:id="364"/>
    </w:p>
    <w:p w:rsidR="00411849" w:rsidRPr="00882F11" w:rsidRDefault="0029471F" w:rsidP="0029471F">
      <w:pPr>
        <w:tabs>
          <w:tab w:val="right" w:pos="7497"/>
        </w:tabs>
        <w:bidi/>
        <w:jc w:val="both"/>
        <w:rPr>
          <w:rFonts w:cs="Guttman Drogolin"/>
          <w:rtl/>
          <w:lang w:bidi="he-IL"/>
        </w:rPr>
      </w:pPr>
      <w:r>
        <w:rPr>
          <w:rFonts w:cs="Guttman Drogolin"/>
          <w:rtl/>
          <w:lang w:bidi="he-IL"/>
        </w:rPr>
        <w:fldChar w:fldCharType="begin"/>
      </w:r>
      <w:r>
        <w:instrText xml:space="preserve"> XE "</w:instrText>
      </w:r>
      <w:r w:rsidRPr="00D62840">
        <w:rPr>
          <w:rFonts w:hint="cs"/>
          <w:rtl/>
          <w:lang w:bidi="he-IL"/>
        </w:rPr>
        <w:instrText>דבר שיש לו מתירין</w:instrText>
      </w:r>
      <w:r w:rsidRPr="00D62840">
        <w:rPr>
          <w:rtl/>
        </w:rPr>
        <w:instrText>:</w:instrText>
      </w:r>
      <w:r>
        <w:rPr>
          <w:rFonts w:hint="cs"/>
          <w:rtl/>
          <w:lang w:bidi="he-IL"/>
        </w:rPr>
        <w:instrText>שחוזר לאיסורו</w:instrText>
      </w:r>
      <w:r>
        <w:instrText xml:space="preserve">" </w:instrText>
      </w:r>
      <w:r>
        <w:rPr>
          <w:rFonts w:cs="Guttman Drogolin"/>
          <w:rtl/>
          <w:lang w:bidi="he-IL"/>
        </w:rPr>
        <w:fldChar w:fldCharType="end"/>
      </w:r>
      <w:r w:rsidR="00411849" w:rsidRPr="00882F11">
        <w:rPr>
          <w:rFonts w:cs="Guttman Drogolin" w:hint="cs"/>
          <w:rtl/>
          <w:lang w:bidi="he-IL"/>
        </w:rPr>
        <w:t>עוד כתב הרמ"א שדבר שיל"מ וחוזר ונאסר לית בה חומרת דשיל"מ ובטל. ומקור לדבר זה במרדכי בריש מס' ביצה. והרמב"ם דסבר שחמץ אסור במשהו כיון דהוי דשיל"מ ע"כ חלק על זה, וכן הביא הרמ"א כאן שיש חולקים.</w:t>
      </w:r>
      <w:r w:rsidR="00434E1B" w:rsidRPr="00882F11">
        <w:rPr>
          <w:rFonts w:cs="Guttman Drogolin" w:hint="cs"/>
          <w:rtl/>
          <w:lang w:bidi="he-IL"/>
        </w:rPr>
        <w:t xml:space="preserve"> וע' בה"ל סי' תמ"ז סע' ב' ד"ה חמץ </w:t>
      </w:r>
      <w:r w:rsidR="005A6EEF" w:rsidRPr="00882F11">
        <w:rPr>
          <w:rFonts w:cs="Guttman Drogolin" w:hint="cs"/>
          <w:rtl/>
          <w:lang w:bidi="he-IL"/>
        </w:rPr>
        <w:t xml:space="preserve">דקדק מלשון השו"ע שם דע"כ </w:t>
      </w:r>
      <w:r w:rsidR="005A6EEF" w:rsidRPr="00882F11">
        <w:rPr>
          <w:rFonts w:cs="Guttman Drogolin" w:hint="cs"/>
          <w:rtl/>
          <w:lang w:bidi="he-IL"/>
        </w:rPr>
        <w:lastRenderedPageBreak/>
        <w:t>קיי"ל</w:t>
      </w:r>
      <w:r w:rsidR="00434E1B" w:rsidRPr="00882F11">
        <w:rPr>
          <w:rFonts w:cs="Guttman Drogolin" w:hint="cs"/>
          <w:rtl/>
          <w:lang w:bidi="he-IL"/>
        </w:rPr>
        <w:t xml:space="preserve"> כדעת המקילין</w:t>
      </w:r>
      <w:r w:rsidR="005A6EEF" w:rsidRPr="00882F11">
        <w:rPr>
          <w:rFonts w:cs="Guttman Drogolin" w:hint="cs"/>
          <w:rtl/>
          <w:lang w:bidi="he-IL"/>
        </w:rPr>
        <w:t>, ודלא כמו שדחה הש"ך כאן בס"ק י"ג</w:t>
      </w:r>
      <w:r w:rsidR="005A6EEF" w:rsidRPr="00882F11">
        <w:rPr>
          <w:rStyle w:val="FootnoteReference"/>
          <w:rFonts w:cs="Guttman Drogolin"/>
          <w:rtl/>
          <w:lang w:bidi="he-IL"/>
        </w:rPr>
        <w:footnoteReference w:id="378"/>
      </w:r>
      <w:r w:rsidR="00434E1B" w:rsidRPr="00882F11">
        <w:rPr>
          <w:rFonts w:cs="Guttman Drogolin" w:hint="cs"/>
          <w:rtl/>
          <w:lang w:bidi="he-IL"/>
        </w:rPr>
        <w:t>.</w:t>
      </w:r>
    </w:p>
    <w:p w:rsidR="00542993" w:rsidRPr="00882F11" w:rsidRDefault="00411849" w:rsidP="00542993">
      <w:pPr>
        <w:tabs>
          <w:tab w:val="right" w:pos="7497"/>
        </w:tabs>
        <w:bidi/>
        <w:jc w:val="both"/>
        <w:rPr>
          <w:rFonts w:cs="Guttman Drogolin"/>
          <w:rtl/>
          <w:lang w:bidi="he-IL"/>
        </w:rPr>
      </w:pPr>
      <w:r w:rsidRPr="00882F11">
        <w:rPr>
          <w:rFonts w:cs="Guttman Drogolin" w:hint="cs"/>
          <w:rtl/>
          <w:lang w:bidi="he-IL"/>
        </w:rPr>
        <w:t xml:space="preserve">וקודם כל יל"ע מהו הסברא בכל הדין הזה, דמאיזה טעם לא יהי' לא חומרת דשיל"מ רק בגלל שחוזר לאיסורו. ולדברי רש"י שהטעם בחומרת דשיל"מ משום דעד שתאכלנו באיסור תאכלנו בהיתר קשה מאד להבין את זה. וראיתי במגי"ס כאן שדחה שלעולם גם לשיטת רש"י זה מובן כיון שאינו חוזר להיתר גמור כיון שחוזר ונאסר. ונראה </w:t>
      </w:r>
      <w:r w:rsidR="00725EB5" w:rsidRPr="00882F11">
        <w:rPr>
          <w:rFonts w:cs="Guttman Drogolin" w:hint="cs"/>
          <w:rtl/>
          <w:lang w:bidi="he-IL"/>
        </w:rPr>
        <w:t>שטעם זה דחוק מאד, דהא סוף סוף</w:t>
      </w:r>
      <w:r w:rsidRPr="00882F11">
        <w:rPr>
          <w:rFonts w:cs="Guttman Drogolin" w:hint="cs"/>
          <w:rtl/>
          <w:lang w:bidi="he-IL"/>
        </w:rPr>
        <w:t xml:space="preserve"> יוכל לאכלו בינתיים. ובפרט חמץ בפסח שמסתמא יתקלקל על פסח הבא ולכן אין להחשיבו כדבר שאין לו מתירין. ולסברת הר"</w:t>
      </w:r>
      <w:r w:rsidR="00542993" w:rsidRPr="00882F11">
        <w:rPr>
          <w:rFonts w:cs="Guttman Drogolin" w:hint="cs"/>
          <w:rtl/>
          <w:lang w:bidi="he-IL"/>
        </w:rPr>
        <w:t>ן</w:t>
      </w:r>
      <w:r w:rsidR="002B13EC" w:rsidRPr="00882F11">
        <w:rPr>
          <w:rStyle w:val="FootnoteReference"/>
          <w:rFonts w:cs="Guttman Drogolin"/>
          <w:rtl/>
          <w:lang w:bidi="he-IL"/>
        </w:rPr>
        <w:footnoteReference w:id="379"/>
      </w:r>
      <w:r w:rsidR="00542993" w:rsidRPr="00882F11">
        <w:rPr>
          <w:rFonts w:cs="Guttman Drogolin" w:hint="cs"/>
          <w:rtl/>
          <w:lang w:bidi="he-IL"/>
        </w:rPr>
        <w:t xml:space="preserve"> לכאורה יש מקום לבאר הטעם בזה דכמו שסבר הר"ן דלא כרי"ף שדבר שיש לו היתר בענין אחד ואיסור בענין אחר אינו חשוב דשיל"מ דהא למב שהוא אסור אין לו היתר לעולם, הה"נ דדבר שהוא לפעמים מותר ולפעמים אסור ג"כ לא חשוב שיש לו היתרף שאין זה 'היתר' רק דינו להיות אסור בפסח וכדומה. </w:t>
      </w:r>
    </w:p>
    <w:p w:rsidR="006652C4" w:rsidRPr="00882F11" w:rsidRDefault="00542993" w:rsidP="00B65A02">
      <w:pPr>
        <w:tabs>
          <w:tab w:val="right" w:pos="7497"/>
        </w:tabs>
        <w:bidi/>
        <w:jc w:val="both"/>
        <w:rPr>
          <w:rFonts w:cs="Guttman Drogolin"/>
          <w:rtl/>
          <w:lang w:bidi="he-IL"/>
        </w:rPr>
      </w:pPr>
      <w:r w:rsidRPr="00882F11">
        <w:rPr>
          <w:rFonts w:cs="Guttman Drogolin" w:hint="cs"/>
          <w:rtl/>
          <w:lang w:bidi="he-IL"/>
        </w:rPr>
        <w:t xml:space="preserve">והב"ח הבא בשם ר' יו"ט (וכן הוא במרדכי </w:t>
      </w:r>
      <w:r w:rsidRPr="00882F11">
        <w:rPr>
          <w:rFonts w:cs="Guttman Drogolin"/>
          <w:rtl/>
          <w:lang w:bidi="he-IL"/>
        </w:rPr>
        <w:t>פסחים סי' תקע</w:t>
      </w:r>
      <w:r w:rsidRPr="00882F11">
        <w:rPr>
          <w:rFonts w:cs="Guttman Drogolin" w:hint="cs"/>
          <w:rtl/>
          <w:lang w:bidi="he-IL"/>
        </w:rPr>
        <w:t>"</w:t>
      </w:r>
      <w:r w:rsidRPr="00882F11">
        <w:rPr>
          <w:rFonts w:cs="Guttman Drogolin"/>
          <w:rtl/>
          <w:lang w:bidi="he-IL"/>
        </w:rPr>
        <w:t>ג</w:t>
      </w:r>
      <w:r w:rsidRPr="00882F11">
        <w:rPr>
          <w:rFonts w:cs="Guttman Drogolin" w:hint="cs"/>
          <w:rtl/>
          <w:lang w:bidi="he-IL"/>
        </w:rPr>
        <w:t xml:space="preserve">) שגם חדש לא חשוב דשיל"מ מהאי טעמא. תמהו עליו המפרשים </w:t>
      </w:r>
      <w:r w:rsidR="00B65A02" w:rsidRPr="00882F11">
        <w:rPr>
          <w:rFonts w:cs="Guttman Drogolin" w:hint="cs"/>
          <w:rtl/>
          <w:lang w:bidi="he-IL"/>
        </w:rPr>
        <w:t xml:space="preserve">(ע' כגון פר"ח) </w:t>
      </w:r>
      <w:r w:rsidRPr="00882F11">
        <w:rPr>
          <w:rFonts w:cs="Guttman Drogolin" w:hint="cs"/>
          <w:rtl/>
          <w:lang w:bidi="he-IL"/>
        </w:rPr>
        <w:t xml:space="preserve">בתרתי. חדא שלכאורה חדש לא שייך לכלל זה כלל, דהא מה שהי' חדש מקודם וניתר בפסח שוב לא נאסר משום חדש, רק שדבר שצמח לאחר מכן יאסר משום חדש. ועוד שהרי בנדרים דף נ"ח ע"א מבואר להדיא שחדש חשוב דבר שיל"מ. </w:t>
      </w:r>
      <w:r w:rsidR="00B65A02" w:rsidRPr="00882F11">
        <w:rPr>
          <w:rFonts w:cs="Guttman Drogolin" w:hint="cs"/>
          <w:rtl/>
          <w:lang w:bidi="he-IL"/>
        </w:rPr>
        <w:t>ולענין הא לא הוי חדש דשיל"מ ע' מש"כ לחדש בכרו"פ שהוא</w:t>
      </w:r>
      <w:r w:rsidR="000E1BA4">
        <w:rPr>
          <w:rFonts w:cs="Guttman Drogolin" w:hint="cs"/>
          <w:rtl/>
          <w:lang w:bidi="he-IL"/>
        </w:rPr>
        <w:t xml:space="preserve"> </w:t>
      </w:r>
      <w:r w:rsidR="00B65A02" w:rsidRPr="00882F11">
        <w:rPr>
          <w:rFonts w:cs="Guttman Drogolin" w:hint="cs"/>
          <w:rtl/>
          <w:lang w:bidi="he-IL"/>
        </w:rPr>
        <w:t>משום שבימות המשיח יחזור כל התבואה להיות חדש. אמנם יעוין בשו"ת אבני מילואים</w:t>
      </w:r>
      <w:r w:rsidRPr="00882F11">
        <w:rPr>
          <w:rFonts w:cs="Guttman Drogolin" w:hint="cs"/>
          <w:rtl/>
          <w:lang w:bidi="he-IL"/>
        </w:rPr>
        <w:t xml:space="preserve"> </w:t>
      </w:r>
      <w:r w:rsidR="00B65A02" w:rsidRPr="00882F11">
        <w:rPr>
          <w:rFonts w:cs="Guttman Drogolin" w:hint="cs"/>
          <w:rtl/>
          <w:lang w:bidi="he-IL"/>
        </w:rPr>
        <w:t xml:space="preserve">סי' ה' </w:t>
      </w:r>
      <w:r w:rsidRPr="00882F11">
        <w:rPr>
          <w:rFonts w:cs="Guttman Drogolin" w:hint="cs"/>
          <w:rtl/>
          <w:lang w:bidi="he-IL"/>
        </w:rPr>
        <w:t>שיש לחלק בין כגון תבואה שיש ספק אם הביאה שליש קודם לעומר,</w:t>
      </w:r>
      <w:r w:rsidR="00B65A02" w:rsidRPr="00882F11">
        <w:rPr>
          <w:rFonts w:cs="Guttman Drogolin" w:hint="cs"/>
          <w:rtl/>
          <w:lang w:bidi="he-IL"/>
        </w:rPr>
        <w:t xml:space="preserve"> לספק יום ט"ז ניסן ספק יום י</w:t>
      </w:r>
      <w:r w:rsidR="005A6EEF" w:rsidRPr="00882F11">
        <w:rPr>
          <w:rFonts w:cs="Guttman Drogolin" w:hint="cs"/>
          <w:rtl/>
          <w:lang w:bidi="he-IL"/>
        </w:rPr>
        <w:t>"</w:t>
      </w:r>
      <w:r w:rsidR="00B65A02" w:rsidRPr="00882F11">
        <w:rPr>
          <w:rFonts w:cs="Guttman Drogolin" w:hint="cs"/>
          <w:rtl/>
          <w:lang w:bidi="he-IL"/>
        </w:rPr>
        <w:t xml:space="preserve">ז, דרק הספק האחרון לא חשוב דשיל"מ שהספק של ביהש"מ במוצאי יום ט"ז חוזר כל שנה </w:t>
      </w:r>
      <w:r w:rsidR="00B65A02" w:rsidRPr="00882F11">
        <w:rPr>
          <w:rFonts w:cs="Guttman Drogolin" w:hint="cs"/>
          <w:rtl/>
          <w:lang w:bidi="he-IL"/>
        </w:rPr>
        <w:lastRenderedPageBreak/>
        <w:t>ושנה ולא חשוב דשיל"מ. וראיתי בס' מגילת ספר (חלק הענינים או"ח סי' כ"ז אות ו') שחידש לבאר הטעם בזה שלא החמירו בדשיל"מ אלא כשהוא בדרך מקרה</w:t>
      </w:r>
      <w:r w:rsidR="005A6EEF" w:rsidRPr="00882F11">
        <w:rPr>
          <w:rFonts w:cs="Guttman Drogolin" w:hint="cs"/>
          <w:rtl/>
          <w:lang w:bidi="he-IL"/>
        </w:rPr>
        <w:t xml:space="preserve"> </w:t>
      </w:r>
      <w:r w:rsidR="00B65A02" w:rsidRPr="00882F11">
        <w:rPr>
          <w:rFonts w:cs="Guttman Drogolin" w:hint="cs"/>
          <w:rtl/>
          <w:lang w:bidi="he-IL"/>
        </w:rPr>
        <w:t>אבל ספק קבוע המתחדש כל שנה אינו דבר שיל"מ. ולכאורה זהו ג"כ ביאור דברי האבנ"מ הנ"ל.</w:t>
      </w:r>
    </w:p>
    <w:p w:rsidR="00411849" w:rsidRPr="00882F11" w:rsidRDefault="006652C4" w:rsidP="00111791">
      <w:pPr>
        <w:tabs>
          <w:tab w:val="right" w:pos="7497"/>
        </w:tabs>
        <w:bidi/>
        <w:jc w:val="both"/>
        <w:rPr>
          <w:rFonts w:cs="Guttman Drogolin"/>
          <w:rtl/>
          <w:lang w:bidi="he-IL"/>
        </w:rPr>
      </w:pPr>
      <w:r w:rsidRPr="00882F11">
        <w:rPr>
          <w:rFonts w:cs="Guttman Drogolin" w:hint="cs"/>
          <w:rtl/>
          <w:lang w:bidi="he-IL"/>
        </w:rPr>
        <w:t>והנה מבואר בתוס' במס' ביצה דף י' ע"ב שמוקצה חשוב דשיל"מ, דהא יהי' מותר במוצ"</w:t>
      </w:r>
      <w:r w:rsidR="00111791" w:rsidRPr="00882F11">
        <w:rPr>
          <w:rFonts w:cs="Guttman Drogolin" w:hint="cs"/>
          <w:rtl/>
          <w:lang w:bidi="he-IL"/>
        </w:rPr>
        <w:t>ש. והעיר</w:t>
      </w:r>
      <w:r w:rsidRPr="00882F11">
        <w:rPr>
          <w:rFonts w:cs="Guttman Drogolin" w:hint="cs"/>
          <w:rtl/>
          <w:lang w:bidi="he-IL"/>
        </w:rPr>
        <w:t xml:space="preserve"> </w:t>
      </w:r>
      <w:r w:rsidR="00111791" w:rsidRPr="00882F11">
        <w:rPr>
          <w:rFonts w:cs="Guttman Drogolin" w:hint="cs"/>
          <w:rtl/>
          <w:lang w:bidi="he-IL"/>
        </w:rPr>
        <w:t xml:space="preserve">שם </w:t>
      </w:r>
      <w:r w:rsidRPr="00882F11">
        <w:rPr>
          <w:rFonts w:cs="Guttman Drogolin" w:hint="cs"/>
          <w:rtl/>
          <w:lang w:bidi="he-IL"/>
        </w:rPr>
        <w:t xml:space="preserve">הצל"ח </w:t>
      </w:r>
      <w:r w:rsidR="00765978" w:rsidRPr="00882F11">
        <w:rPr>
          <w:rFonts w:cs="Guttman Drogolin" w:hint="cs"/>
          <w:rtl/>
          <w:lang w:bidi="he-IL"/>
        </w:rPr>
        <w:t xml:space="preserve">דהא האיסור מוקצה חוזר לשבת או יו"ט הבא, וא"כ </w:t>
      </w:r>
      <w:r w:rsidR="00111791" w:rsidRPr="00882F11">
        <w:rPr>
          <w:rFonts w:cs="Guttman Drogolin" w:hint="cs"/>
          <w:rtl/>
          <w:lang w:bidi="he-IL"/>
        </w:rPr>
        <w:t xml:space="preserve">לשיטה זו של הרמ"א לכאורה לא יהא חשוב דשיל"מ. ואע"ג שאין כאן קושיא, דשפיר י"ל שהתוס' חולקים על הכלל הזה, מ"מ נראה מכמה טעמים שאפילו לשיטה זו הוי מוקצה דשיל"מ. דהנה אולי הי' עולה הדעת שבזה יהא לנו ביאור אחר לדעת התו"י במס' ביצה דף ג' ע"ב. ששם העירו בזה שהגמ' לא שואל למה מחמירים בספק מוקצה רק בספק גזרה דמשקין שזבו או פירות נושרין. ותי' משום דהוי כעין דאו'. והעיר רע"א שלכאורה לר' אשי לא בעינן לי' לטעם זה דהא הוי דשיל"מ, וע"ש שרע"א ביאר שהתו"י לא כתב כן אלא להו"א של הגמ' דלית לי' דר' אשי. ולפי הנ"ל הא אין כאן הערה דהא מוקצה לא הוי דשיל"מ כיון שחוזר לאיסורו בשבת או יו"ט הבא. אבל נראה שאין זה </w:t>
      </w:r>
      <w:r w:rsidR="000E1BA4">
        <w:rPr>
          <w:rFonts w:cs="Guttman Drogolin" w:hint="cs"/>
          <w:rtl/>
          <w:lang w:bidi="he-IL"/>
        </w:rPr>
        <w:t xml:space="preserve">נכון כלל, שאם הוא מוקצה הרי זה </w:t>
      </w:r>
      <w:r w:rsidR="00111791" w:rsidRPr="00882F11">
        <w:rPr>
          <w:rFonts w:cs="Guttman Drogolin" w:hint="cs"/>
          <w:rtl/>
          <w:lang w:bidi="he-IL"/>
        </w:rPr>
        <w:t xml:space="preserve">משום נולד, ונולד הרי לא יחזור לשבת או יו"ט הבא, שהרי כבר אז לא יהא נולד. ופשוט. ואפילו בגוזלות שאינם מוכנים נראה דכיון שיכול להכינם אחרי היו"ט חשוב דשיל"מ אע"פ שחוזר ונאסר ביו"ט הבא. ובקה"י למס' ביצה (סי' ט') </w:t>
      </w:r>
      <w:r w:rsidR="000E1BA4">
        <w:rPr>
          <w:rFonts w:cs="Guttman Drogolin" w:hint="cs"/>
          <w:rtl/>
          <w:lang w:bidi="he-IL"/>
        </w:rPr>
        <w:t>כתב עוד שאם יהא אסור יו"ט הבא אין זה מאותו טעם שהי' מוקצ</w:t>
      </w:r>
      <w:r w:rsidR="00F200F5" w:rsidRPr="00882F11">
        <w:rPr>
          <w:rFonts w:cs="Guttman Drogolin" w:hint="cs"/>
          <w:rtl/>
          <w:lang w:bidi="he-IL"/>
        </w:rPr>
        <w:t>ה ביו"ט הראשון, שלכאורה כל יו"ט יש לו את ההקצאה שלו, ולכן מטעם</w:t>
      </w:r>
      <w:r w:rsidR="00111791" w:rsidRPr="00882F11">
        <w:rPr>
          <w:rFonts w:cs="Guttman Drogolin" w:hint="cs"/>
          <w:rtl/>
          <w:lang w:bidi="he-IL"/>
        </w:rPr>
        <w:t xml:space="preserve"> </w:t>
      </w:r>
      <w:r w:rsidR="00F200F5" w:rsidRPr="00882F11">
        <w:rPr>
          <w:rFonts w:cs="Guttman Drogolin" w:hint="cs"/>
          <w:rtl/>
          <w:lang w:bidi="he-IL"/>
        </w:rPr>
        <w:t xml:space="preserve">זה נמי לא שייך לכלל הנ"ל. </w:t>
      </w:r>
      <w:r w:rsidR="00111791" w:rsidRPr="00882F11">
        <w:rPr>
          <w:rFonts w:cs="Guttman Drogolin" w:hint="cs"/>
          <w:rtl/>
          <w:lang w:bidi="he-IL"/>
        </w:rPr>
        <w:t xml:space="preserve"> </w:t>
      </w:r>
      <w:r w:rsidR="00B65A02" w:rsidRPr="00882F11">
        <w:rPr>
          <w:rFonts w:cs="Guttman Drogolin" w:hint="cs"/>
          <w:rtl/>
          <w:lang w:bidi="he-IL"/>
        </w:rPr>
        <w:t xml:space="preserve"> </w:t>
      </w:r>
    </w:p>
    <w:p w:rsidR="00F200F5" w:rsidRPr="00882F11" w:rsidRDefault="00F200F5" w:rsidP="00F200F5">
      <w:pPr>
        <w:pStyle w:val="Heading1"/>
        <w:bidi/>
        <w:spacing w:before="0" w:line="360" w:lineRule="auto"/>
        <w:jc w:val="center"/>
        <w:rPr>
          <w:rFonts w:cs="Guttman Drogolin"/>
          <w:color w:val="auto"/>
          <w:sz w:val="24"/>
          <w:szCs w:val="24"/>
          <w:u w:val="single"/>
          <w:rtl/>
          <w:lang w:bidi="he-IL"/>
        </w:rPr>
      </w:pPr>
      <w:bookmarkStart w:id="365" w:name="_Toc496175613"/>
      <w:r w:rsidRPr="00882F11">
        <w:rPr>
          <w:rFonts w:cs="Guttman Drogolin" w:hint="cs"/>
          <w:color w:val="auto"/>
          <w:sz w:val="24"/>
          <w:szCs w:val="24"/>
          <w:u w:val="single"/>
          <w:rtl/>
          <w:lang w:bidi="he-IL"/>
        </w:rPr>
        <w:lastRenderedPageBreak/>
        <w:t>נידונים שדנו בהם משום דשיל"מ</w:t>
      </w:r>
      <w:bookmarkEnd w:id="365"/>
    </w:p>
    <w:p w:rsidR="00F200F5" w:rsidRPr="00882F11" w:rsidRDefault="00F200F5" w:rsidP="00F200F5">
      <w:pPr>
        <w:tabs>
          <w:tab w:val="right" w:pos="7497"/>
        </w:tabs>
        <w:bidi/>
        <w:jc w:val="both"/>
        <w:rPr>
          <w:rFonts w:cs="Guttman Drogolin"/>
          <w:rtl/>
          <w:lang w:bidi="he-IL"/>
        </w:rPr>
      </w:pPr>
      <w:r w:rsidRPr="00882F11">
        <w:rPr>
          <w:rFonts w:cs="Guttman Drogolin" w:hint="cs"/>
          <w:rtl/>
          <w:lang w:bidi="he-IL"/>
        </w:rPr>
        <w:t>נביא כמה נידונים שדנו בהם הפוסקים אי אסירי מדין דשיל"מ:</w:t>
      </w:r>
    </w:p>
    <w:p w:rsidR="00933ACF" w:rsidRPr="00882F11" w:rsidRDefault="00933ACF" w:rsidP="00933ACF">
      <w:pPr>
        <w:bidi/>
        <w:spacing w:before="240" w:after="0"/>
        <w:jc w:val="both"/>
        <w:rPr>
          <w:rFonts w:cs="Guttman Drogolin"/>
          <w:b/>
          <w:bCs/>
          <w:u w:val="single"/>
          <w:rtl/>
          <w:lang w:bidi="he-IL"/>
        </w:rPr>
      </w:pPr>
      <w:r w:rsidRPr="00882F11">
        <w:rPr>
          <w:rFonts w:cs="Guttman Drogolin" w:hint="cs"/>
          <w:b/>
          <w:bCs/>
          <w:u w:val="single"/>
          <w:rtl/>
          <w:lang w:bidi="he-IL"/>
        </w:rPr>
        <w:t>מלאכה בבין השמשמות במוצאי יו"ט</w:t>
      </w:r>
    </w:p>
    <w:p w:rsidR="00933ACF" w:rsidRPr="00882F11" w:rsidRDefault="0029471F" w:rsidP="0029471F">
      <w:pPr>
        <w:tabs>
          <w:tab w:val="right" w:pos="7497"/>
        </w:tabs>
        <w:bidi/>
        <w:jc w:val="both"/>
        <w:rPr>
          <w:rFonts w:cs="Guttman Drogolin"/>
          <w:rtl/>
          <w:lang w:bidi="he-IL"/>
        </w:rPr>
      </w:pPr>
      <w:r>
        <w:rPr>
          <w:rFonts w:cs="Guttman Drogolin"/>
          <w:rtl/>
          <w:lang w:bidi="he-IL"/>
        </w:rPr>
        <w:fldChar w:fldCharType="begin"/>
      </w:r>
      <w:r>
        <w:instrText xml:space="preserve"> XE "</w:instrText>
      </w:r>
      <w:r w:rsidRPr="00D62840">
        <w:rPr>
          <w:rFonts w:hint="cs"/>
          <w:rtl/>
          <w:lang w:bidi="he-IL"/>
        </w:rPr>
        <w:instrText>דבר שיש לו מתירין</w:instrText>
      </w:r>
      <w:r w:rsidRPr="00D62840">
        <w:rPr>
          <w:rtl/>
        </w:rPr>
        <w:instrText>:</w:instrText>
      </w:r>
      <w:r>
        <w:rPr>
          <w:rFonts w:hint="cs"/>
          <w:rtl/>
          <w:lang w:bidi="he-IL"/>
        </w:rPr>
        <w:instrText>עשיית מלאכה בבין השמשות של מוצאי יו</w:instrText>
      </w:r>
      <w:r>
        <w:rPr>
          <w:rFonts w:eastAsiaTheme="minorEastAsia"/>
          <w:lang w:bidi="he-IL"/>
        </w:rPr>
        <w:instrText>\</w:instrText>
      </w:r>
      <w:r w:rsidRPr="00D62840">
        <w:rPr>
          <w:rFonts w:hint="cs"/>
          <w:rtl/>
          <w:lang w:bidi="he-IL"/>
        </w:rPr>
        <w:instrText>"</w:instrText>
      </w:r>
      <w:r>
        <w:rPr>
          <w:rFonts w:hint="cs"/>
          <w:rtl/>
          <w:lang w:bidi="he-IL"/>
        </w:rPr>
        <w:instrText>ט</w:instrText>
      </w:r>
      <w:r>
        <w:instrText xml:space="preserve">" </w:instrText>
      </w:r>
      <w:r>
        <w:rPr>
          <w:rFonts w:cs="Guttman Drogolin"/>
          <w:rtl/>
          <w:lang w:bidi="he-IL"/>
        </w:rPr>
        <w:fldChar w:fldCharType="end"/>
      </w:r>
      <w:r w:rsidR="00933ACF" w:rsidRPr="00882F11">
        <w:rPr>
          <w:rFonts w:cs="Guttman Drogolin" w:hint="cs"/>
          <w:rtl/>
          <w:lang w:bidi="he-IL"/>
        </w:rPr>
        <w:t xml:space="preserve">בגנזי רע"א סי' כ"א (מובא בחי' רע"א למס' נדרים דף ס"ט ע"ב) דן להתיר לעשות מלאכה בבין השמשות של מוציא יו"ט לצורך מידי, אע"ג שיש חשש שבזמן שיעשה המלאכה יהא יו"ט, וכבר כשנהנה ממנו יהי' חול, ויעבור משום עושה מלאכה מיו"ט לחול. וטעמו משום דהוי ספק ספיקא, ספק בזמן שעשה המלאכה כבר הי' חול, ואפילו את"ל דיו"ט הוי מ"מ </w:t>
      </w:r>
      <w:r w:rsidR="00E4203E" w:rsidRPr="00882F11">
        <w:rPr>
          <w:rFonts w:cs="Guttman Drogolin" w:hint="cs"/>
          <w:rtl/>
          <w:lang w:bidi="he-IL"/>
        </w:rPr>
        <w:t>אולי גם זמן ההנאה היתה יו"ט. אמנם אין זה היתר גורף, חדא שהרי כתב הש"ך בכללי ספק ספיקא ס"ק ל"ו כתב שאין לנו לבדות שום ס"ס מעצמינו כיון שהכללים עמוקים ורחבים. ועוד שהרי הרמ"א כתב שטוב להחמיר בספק ספיקא בדבר שיל"מ. וע' בס' מגילת ספר (חלק הענינים סי' כ"ז) שאסף בזה כמה סברות להקל. חדא שלפי שיטת הצל"ח לכאורה אין ההיתר מלאכה שבביש"מ דשיל"מ כמו בהשתמשות בכלי.</w:t>
      </w:r>
      <w:r w:rsidR="00022EA8" w:rsidRPr="00882F11">
        <w:rPr>
          <w:rFonts w:cs="Guttman Drogolin" w:hint="cs"/>
          <w:rtl/>
          <w:lang w:bidi="he-IL"/>
        </w:rPr>
        <w:t xml:space="preserve"> ועוד שיטת היד יהודה כאן ס"ק ה' שבאיסור גברא לא מחמרינן בדשיל"מ. ועוד  התיר שהוא כמו איסור שחוזר לאיסורו ע"פ הגדרה הנ"ל. וכן הגרשז"א הוסיף לחדש דכיון שכוונתו לעכשיו ואינו רצה וקא למוצאי יו"ט וכן י"ל שיש רובה זמן שמותר יש להתיר.</w:t>
      </w:r>
      <w:r w:rsidR="00772438" w:rsidRPr="00882F11">
        <w:rPr>
          <w:rFonts w:cs="Guttman Drogolin" w:hint="cs"/>
          <w:rtl/>
          <w:lang w:bidi="he-IL"/>
        </w:rPr>
        <w:t xml:space="preserve"> וע' עוד ב</w:t>
      </w:r>
      <w:r w:rsidR="00772438" w:rsidRPr="00882F11">
        <w:rPr>
          <w:rFonts w:cs="Guttman Drogolin"/>
          <w:rtl/>
          <w:lang w:bidi="he-IL"/>
        </w:rPr>
        <w:t xml:space="preserve">שו"ת מנחת שלמה ח"ב סי' מ"ה </w:t>
      </w:r>
      <w:r w:rsidR="00772438" w:rsidRPr="00882F11">
        <w:rPr>
          <w:rFonts w:cs="Guttman Drogolin" w:hint="cs"/>
          <w:rtl/>
          <w:lang w:bidi="he-IL"/>
        </w:rPr>
        <w:t>ו</w:t>
      </w:r>
      <w:r w:rsidR="00772438" w:rsidRPr="00882F11">
        <w:rPr>
          <w:rFonts w:cs="Guttman Drogolin"/>
          <w:rtl/>
          <w:lang w:bidi="he-IL"/>
        </w:rPr>
        <w:t>שו"ת חשב האפוד ח"ג סי' צ'</w:t>
      </w:r>
      <w:r w:rsidR="00772438" w:rsidRPr="00882F11">
        <w:rPr>
          <w:rFonts w:cs="Guttman Drogolin" w:hint="cs"/>
          <w:rtl/>
          <w:lang w:bidi="he-IL"/>
        </w:rPr>
        <w:t xml:space="preserve"> בנידון.</w:t>
      </w:r>
      <w:r w:rsidR="00933ACF" w:rsidRPr="00882F11">
        <w:rPr>
          <w:rFonts w:cs="Guttman Drogolin" w:hint="cs"/>
          <w:rtl/>
          <w:lang w:bidi="he-IL"/>
        </w:rPr>
        <w:t xml:space="preserve"> </w:t>
      </w:r>
    </w:p>
    <w:p w:rsidR="00933ACF" w:rsidRPr="00882F11" w:rsidRDefault="00933ACF" w:rsidP="00933ACF">
      <w:pPr>
        <w:bidi/>
        <w:spacing w:before="240" w:after="0"/>
        <w:jc w:val="both"/>
        <w:rPr>
          <w:rFonts w:cs="Guttman Drogolin"/>
          <w:b/>
          <w:bCs/>
          <w:u w:val="single"/>
          <w:rtl/>
          <w:lang w:bidi="he-IL"/>
        </w:rPr>
      </w:pPr>
      <w:r w:rsidRPr="00882F11">
        <w:rPr>
          <w:rFonts w:cs="Guttman Drogolin" w:hint="cs"/>
          <w:b/>
          <w:bCs/>
          <w:u w:val="single"/>
          <w:rtl/>
          <w:lang w:bidi="he-IL"/>
        </w:rPr>
        <w:t>עבר ושפך מאכל חי לתוך התבשיל בשבת אם מתבטל</w:t>
      </w:r>
    </w:p>
    <w:p w:rsidR="00F200F5" w:rsidRPr="00882F11" w:rsidRDefault="0029471F" w:rsidP="0029471F">
      <w:pPr>
        <w:tabs>
          <w:tab w:val="right" w:pos="7497"/>
        </w:tabs>
        <w:bidi/>
        <w:jc w:val="both"/>
        <w:rPr>
          <w:rFonts w:cs="Guttman Drogolin"/>
          <w:rtl/>
          <w:lang w:bidi="he-IL"/>
        </w:rPr>
      </w:pPr>
      <w:r>
        <w:rPr>
          <w:rFonts w:cs="Guttman Drogolin"/>
          <w:rtl/>
          <w:lang w:bidi="he-IL"/>
        </w:rPr>
        <w:fldChar w:fldCharType="begin"/>
      </w:r>
      <w:r>
        <w:instrText xml:space="preserve"> XE "</w:instrText>
      </w:r>
      <w:r w:rsidRPr="00D62840">
        <w:rPr>
          <w:rFonts w:hint="cs"/>
          <w:rtl/>
          <w:lang w:bidi="he-IL"/>
        </w:rPr>
        <w:instrText>דבר שיש לו מתירין</w:instrText>
      </w:r>
      <w:r w:rsidRPr="00D62840">
        <w:rPr>
          <w:rtl/>
        </w:rPr>
        <w:instrText>:</w:instrText>
      </w:r>
      <w:r>
        <w:rPr>
          <w:rFonts w:hint="cs"/>
          <w:rtl/>
          <w:lang w:bidi="he-IL"/>
        </w:rPr>
        <w:instrText>בשפך מאכל לא מבושל לתוך תבשיל בשבת</w:instrText>
      </w:r>
      <w:r>
        <w:instrText xml:space="preserve">" </w:instrText>
      </w:r>
      <w:r>
        <w:rPr>
          <w:rFonts w:cs="Guttman Drogolin"/>
          <w:rtl/>
          <w:lang w:bidi="he-IL"/>
        </w:rPr>
        <w:fldChar w:fldCharType="end"/>
      </w:r>
      <w:r w:rsidR="00772438" w:rsidRPr="00882F11">
        <w:rPr>
          <w:rFonts w:cs="Guttman Drogolin" w:hint="cs"/>
          <w:rtl/>
          <w:lang w:bidi="he-IL"/>
        </w:rPr>
        <w:t xml:space="preserve">ראיתי בשם הגרשז"א שאפילו בכה"ג שיהי' </w:t>
      </w:r>
      <w:r w:rsidR="00496CCE">
        <w:rPr>
          <w:rFonts w:cs="Guttman Drogolin" w:hint="cs"/>
          <w:rtl/>
          <w:lang w:bidi="he-IL"/>
        </w:rPr>
        <w:t>לו היתר במוצ"ש מ"מ אין להחמיר מ</w:t>
      </w:r>
      <w:r w:rsidR="00772438" w:rsidRPr="00882F11">
        <w:rPr>
          <w:rFonts w:cs="Guttman Drogolin" w:hint="cs"/>
          <w:rtl/>
          <w:lang w:bidi="he-IL"/>
        </w:rPr>
        <w:t xml:space="preserve">שום דשיל"מ כיון שלא נאסר אלא כשנכנס לתערובת, וכיון שנולד האיסור בתערובת הרי התיר הרמ"א - ע' מנח"ש ח"א רסי' ה' </w:t>
      </w:r>
      <w:r w:rsidR="00933ACF" w:rsidRPr="00882F11">
        <w:rPr>
          <w:rFonts w:cs="Guttman Drogolin" w:hint="cs"/>
          <w:rtl/>
          <w:lang w:bidi="he-IL"/>
        </w:rPr>
        <w:t xml:space="preserve"> </w:t>
      </w:r>
    </w:p>
    <w:p w:rsidR="00933ACF" w:rsidRPr="00882F11" w:rsidRDefault="00933ACF" w:rsidP="00933ACF">
      <w:pPr>
        <w:bidi/>
        <w:spacing w:before="240" w:after="0"/>
        <w:jc w:val="both"/>
        <w:rPr>
          <w:rFonts w:cs="Guttman Drogolin"/>
          <w:b/>
          <w:bCs/>
          <w:u w:val="single"/>
          <w:rtl/>
          <w:lang w:bidi="he-IL"/>
        </w:rPr>
      </w:pPr>
      <w:r w:rsidRPr="00882F11">
        <w:rPr>
          <w:rFonts w:cs="Guttman Drogolin" w:hint="cs"/>
          <w:b/>
          <w:bCs/>
          <w:u w:val="single"/>
          <w:rtl/>
          <w:lang w:bidi="he-IL"/>
        </w:rPr>
        <w:lastRenderedPageBreak/>
        <w:t>ספיקות בדין המתנת ו' שעות בין בשרי לחלבי</w:t>
      </w:r>
    </w:p>
    <w:p w:rsidR="00772438" w:rsidRPr="00882F11" w:rsidRDefault="0029471F" w:rsidP="0029471F">
      <w:pPr>
        <w:tabs>
          <w:tab w:val="right" w:pos="7497"/>
        </w:tabs>
        <w:bidi/>
        <w:jc w:val="both"/>
        <w:rPr>
          <w:rFonts w:cs="Guttman Drogolin"/>
          <w:rtl/>
          <w:lang w:bidi="he-IL"/>
        </w:rPr>
      </w:pPr>
      <w:r>
        <w:rPr>
          <w:rFonts w:cs="Guttman Drogolin"/>
          <w:rtl/>
          <w:lang w:bidi="he-IL"/>
        </w:rPr>
        <w:fldChar w:fldCharType="begin"/>
      </w:r>
      <w:r>
        <w:instrText xml:space="preserve"> XE "</w:instrText>
      </w:r>
      <w:r w:rsidRPr="00D62840">
        <w:rPr>
          <w:rFonts w:hint="cs"/>
          <w:rtl/>
          <w:lang w:bidi="he-IL"/>
        </w:rPr>
        <w:instrText>דבר שיש לו מתירין</w:instrText>
      </w:r>
      <w:r w:rsidRPr="00D62840">
        <w:rPr>
          <w:rtl/>
        </w:rPr>
        <w:instrText>:</w:instrText>
      </w:r>
      <w:r>
        <w:rPr>
          <w:rFonts w:hint="cs"/>
          <w:rtl/>
          <w:lang w:bidi="he-IL"/>
        </w:rPr>
        <w:instrText>המתנת ו' שעות בין בשר לחלב</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882F41">
        <w:rPr>
          <w:rFonts w:hint="cs"/>
          <w:rtl/>
          <w:lang w:bidi="he-IL"/>
        </w:rPr>
        <w:instrText>בשר בחלב - חיוב המתנה</w:instrText>
      </w:r>
      <w:r w:rsidRPr="00882F41">
        <w:rPr>
          <w:rtl/>
        </w:rPr>
        <w:instrText>:</w:instrText>
      </w:r>
      <w:r w:rsidRPr="00882F41">
        <w:rPr>
          <w:rFonts w:hint="cs"/>
          <w:rtl/>
          <w:lang w:bidi="he-IL"/>
        </w:rPr>
        <w:instrText>בספק ו' שעות</w:instrText>
      </w:r>
      <w:r>
        <w:instrText xml:space="preserve">" </w:instrText>
      </w:r>
      <w:r>
        <w:rPr>
          <w:rFonts w:cs="Guttman Drogolin"/>
          <w:rtl/>
          <w:lang w:bidi="he-IL"/>
        </w:rPr>
        <w:fldChar w:fldCharType="end"/>
      </w:r>
      <w:r w:rsidR="00772438" w:rsidRPr="00882F11">
        <w:rPr>
          <w:rFonts w:cs="Guttman Drogolin" w:hint="cs"/>
          <w:rtl/>
          <w:lang w:bidi="he-IL"/>
        </w:rPr>
        <w:t xml:space="preserve">יש לדון בג' מקרים שונים: </w:t>
      </w:r>
    </w:p>
    <w:p w:rsidR="00933ACF" w:rsidRPr="00882F11" w:rsidRDefault="008D0F6C" w:rsidP="008D0F6C">
      <w:pPr>
        <w:pStyle w:val="ListParagraph"/>
        <w:numPr>
          <w:ilvl w:val="0"/>
          <w:numId w:val="21"/>
        </w:numPr>
        <w:tabs>
          <w:tab w:val="right" w:pos="7497"/>
        </w:tabs>
        <w:bidi/>
        <w:jc w:val="both"/>
        <w:rPr>
          <w:rFonts w:cs="Guttman Drogolin"/>
          <w:rtl/>
          <w:lang w:bidi="he-IL"/>
        </w:rPr>
      </w:pPr>
      <w:r w:rsidRPr="00882F11">
        <w:rPr>
          <w:rFonts w:cs="Guttman Drogolin" w:hint="cs"/>
          <w:rtl/>
          <w:lang w:bidi="he-IL"/>
        </w:rPr>
        <w:t>כשיש ספק אם עבר ג' שעות</w:t>
      </w:r>
    </w:p>
    <w:p w:rsidR="008D0F6C" w:rsidRPr="00882F11" w:rsidRDefault="008D0F6C" w:rsidP="008D0F6C">
      <w:pPr>
        <w:pStyle w:val="ListParagraph"/>
        <w:numPr>
          <w:ilvl w:val="0"/>
          <w:numId w:val="21"/>
        </w:numPr>
        <w:tabs>
          <w:tab w:val="right" w:pos="7497"/>
        </w:tabs>
        <w:bidi/>
        <w:jc w:val="both"/>
        <w:rPr>
          <w:rFonts w:cs="Guttman Drogolin"/>
          <w:lang w:bidi="he-IL"/>
        </w:rPr>
      </w:pPr>
      <w:r w:rsidRPr="00882F11">
        <w:rPr>
          <w:rFonts w:cs="Guttman Drogolin" w:hint="cs"/>
          <w:rtl/>
          <w:lang w:bidi="he-IL"/>
        </w:rPr>
        <w:t>כשיש</w:t>
      </w:r>
      <w:r w:rsidR="00413692" w:rsidRPr="00882F11">
        <w:rPr>
          <w:rFonts w:cs="Guttman Drogolin" w:hint="cs"/>
          <w:rtl/>
          <w:lang w:bidi="he-IL"/>
        </w:rPr>
        <w:t xml:space="preserve"> ספק אם מאכל מ</w:t>
      </w:r>
      <w:r w:rsidRPr="00882F11">
        <w:rPr>
          <w:rFonts w:cs="Guttman Drogolin" w:hint="cs"/>
          <w:rtl/>
          <w:lang w:bidi="he-IL"/>
        </w:rPr>
        <w:t>ס</w:t>
      </w:r>
      <w:r w:rsidR="00413692" w:rsidRPr="00882F11">
        <w:rPr>
          <w:rFonts w:cs="Guttman Drogolin" w:hint="cs"/>
          <w:rtl/>
          <w:lang w:bidi="he-IL"/>
        </w:rPr>
        <w:t>ו</w:t>
      </w:r>
      <w:r w:rsidRPr="00882F11">
        <w:rPr>
          <w:rFonts w:cs="Guttman Drogolin" w:hint="cs"/>
          <w:rtl/>
          <w:lang w:bidi="he-IL"/>
        </w:rPr>
        <w:t>ים הוא חלבי או בשרי</w:t>
      </w:r>
    </w:p>
    <w:p w:rsidR="00333220" w:rsidRPr="00882F11" w:rsidRDefault="008D0F6C" w:rsidP="008D0F6C">
      <w:pPr>
        <w:pStyle w:val="ListParagraph"/>
        <w:numPr>
          <w:ilvl w:val="0"/>
          <w:numId w:val="21"/>
        </w:numPr>
        <w:tabs>
          <w:tab w:val="right" w:pos="7497"/>
        </w:tabs>
        <w:bidi/>
        <w:jc w:val="both"/>
        <w:rPr>
          <w:rFonts w:cs="Guttman Drogolin"/>
          <w:lang w:bidi="he-IL"/>
        </w:rPr>
      </w:pPr>
      <w:r w:rsidRPr="00882F11">
        <w:rPr>
          <w:rFonts w:cs="Guttman Drogolin" w:hint="cs"/>
          <w:rtl/>
          <w:lang w:bidi="he-IL"/>
        </w:rPr>
        <w:t>במקרה שידוע שיש בה חלב אבל הרי הוא בטל בס' וכדומה.</w:t>
      </w:r>
    </w:p>
    <w:p w:rsidR="00434E1B" w:rsidRPr="00882F11" w:rsidRDefault="00333220" w:rsidP="00434E1B">
      <w:pPr>
        <w:tabs>
          <w:tab w:val="right" w:pos="7497"/>
        </w:tabs>
        <w:bidi/>
        <w:jc w:val="both"/>
        <w:rPr>
          <w:rFonts w:cs="Guttman Drogolin"/>
          <w:rtl/>
          <w:lang w:bidi="he-IL"/>
        </w:rPr>
      </w:pPr>
      <w:r w:rsidRPr="00882F11">
        <w:rPr>
          <w:rFonts w:cs="Guttman Drogolin" w:hint="cs"/>
          <w:rtl/>
          <w:lang w:bidi="he-IL"/>
        </w:rPr>
        <w:t>בנידון הראשון ע' בדרכ"ת סי פ"ט ס"ק ה' ב' דעות בזה. ולפי טעמו של הצל"ח הנ"ל אין זה דשיל"מ, דהא יוכל לאכול גבינה גם עכשיו וגם לאחר זמן (וסברא זו נחשבת כיון שזהו איסור גברא ולא איסור חפצא). וכן לפמש"כ היד יהודה הנ"ל ג"כ לכאורה יש להקל כיון שבכל איסור גברא לא מחמרינן בדשיל"מ (ולכן צ"ע למה היד יהודה עצמו החמיר בזה בסי' פ"ט ס"ק א'</w:t>
      </w:r>
      <w:r w:rsidR="00434E1B" w:rsidRPr="00882F11">
        <w:rPr>
          <w:rStyle w:val="FootnoteReference"/>
          <w:rFonts w:cs="Guttman Drogolin"/>
          <w:rtl/>
          <w:lang w:bidi="he-IL"/>
        </w:rPr>
        <w:footnoteReference w:id="380"/>
      </w:r>
      <w:r w:rsidR="00434E1B" w:rsidRPr="00882F11">
        <w:rPr>
          <w:rFonts w:cs="Guttman Drogolin" w:hint="cs"/>
          <w:rtl/>
          <w:lang w:bidi="he-IL"/>
        </w:rPr>
        <w:t>)</w:t>
      </w:r>
      <w:r w:rsidRPr="00882F11">
        <w:rPr>
          <w:rFonts w:cs="Guttman Drogolin" w:hint="cs"/>
          <w:rtl/>
          <w:lang w:bidi="he-IL"/>
        </w:rPr>
        <w:t xml:space="preserve">. וכן יש מחלוקת הפוסקים אם צריכים להמתין שש שעות, ולכן יוכל לסמוך על המקילים וכשיטת האומרים שבמחלוקת הפוסקים לא אמרינן לחומרא דדשיל"מ (כן ראיתי בשם הגריש"א בס' מנשים האוהל). </w:t>
      </w:r>
      <w:r w:rsidR="008919D6" w:rsidRPr="00882F11">
        <w:rPr>
          <w:rFonts w:cs="Guttman Drogolin" w:hint="cs"/>
          <w:rtl/>
          <w:lang w:bidi="he-IL"/>
        </w:rPr>
        <w:t xml:space="preserve">אמנם יש לכאורה יש להחמיר בזה מטעם אחר, והוא דהוי ספק חסרון ידיעה, וכן ראיתי מהגרח"ק </w:t>
      </w:r>
      <w:r w:rsidR="00434E1B" w:rsidRPr="00882F11">
        <w:rPr>
          <w:rFonts w:cs="Guttman Drogolin"/>
          <w:rtl/>
          <w:lang w:bidi="he-IL"/>
        </w:rPr>
        <w:t>בס' דולה ומשקה (עמ' רנ"ז)</w:t>
      </w:r>
      <w:r w:rsidR="00434E1B" w:rsidRPr="00882F11">
        <w:rPr>
          <w:rFonts w:cs="Guttman Drogolin" w:hint="cs"/>
          <w:rtl/>
          <w:lang w:bidi="he-IL"/>
        </w:rPr>
        <w:t>. ולכאורה צ"ע בפוסקים שלא דנו לאסור מטעם זה.</w:t>
      </w:r>
    </w:p>
    <w:p w:rsidR="00434E1B" w:rsidRPr="00882F11" w:rsidRDefault="00434E1B" w:rsidP="00434E1B">
      <w:pPr>
        <w:tabs>
          <w:tab w:val="right" w:pos="7497"/>
        </w:tabs>
        <w:bidi/>
        <w:jc w:val="both"/>
        <w:rPr>
          <w:rFonts w:cs="Guttman Drogolin"/>
          <w:rtl/>
          <w:lang w:bidi="he-IL"/>
        </w:rPr>
      </w:pPr>
      <w:r w:rsidRPr="00882F11">
        <w:rPr>
          <w:rFonts w:cs="Guttman Drogolin" w:hint="cs"/>
          <w:rtl/>
          <w:lang w:bidi="he-IL"/>
        </w:rPr>
        <w:t>ובנידון השני כבר לא הוי ספק בגברא, רק בחפצא, ולכאורה א"כ ליתי' לא לסברת הצל"ח הנ"ל ולא לסברת היד יהודה הנ"ל. אמנם סברת הגריש"א שייך גם כאן. ויש להסתפק אם זה מספיק להתיר.</w:t>
      </w:r>
    </w:p>
    <w:p w:rsidR="008D0F6C" w:rsidRPr="00882F11" w:rsidRDefault="00434E1B" w:rsidP="00434E1B">
      <w:pPr>
        <w:tabs>
          <w:tab w:val="right" w:pos="7497"/>
        </w:tabs>
        <w:bidi/>
        <w:jc w:val="both"/>
        <w:rPr>
          <w:rFonts w:cs="Guttman Drogolin"/>
          <w:rtl/>
          <w:lang w:bidi="he-IL"/>
        </w:rPr>
      </w:pPr>
      <w:r w:rsidRPr="00882F11">
        <w:rPr>
          <w:rFonts w:cs="Guttman Drogolin" w:hint="cs"/>
          <w:rtl/>
          <w:lang w:bidi="he-IL"/>
        </w:rPr>
        <w:t xml:space="preserve">ובנידון השלישי ראיתי במגי"ס כאן בסוף הסימן עוד סברא נכונה להתיר, והוא דכיון שכל הגזירה אטו אכילת בב"ח, דבר שהי' מותר לאכול עם הבשר עצמו ודאי יהא מותר לאכול בתוך ו' שעות. </w:t>
      </w:r>
      <w:r w:rsidR="008D0F6C" w:rsidRPr="00882F11">
        <w:rPr>
          <w:rFonts w:cs="Guttman Drogolin" w:hint="cs"/>
          <w:rtl/>
          <w:lang w:bidi="he-IL"/>
        </w:rPr>
        <w:t xml:space="preserve"> </w:t>
      </w:r>
    </w:p>
    <w:p w:rsidR="00714751" w:rsidRPr="00882F11" w:rsidRDefault="00834F21" w:rsidP="00411849">
      <w:pPr>
        <w:tabs>
          <w:tab w:val="right" w:pos="7497"/>
        </w:tabs>
        <w:bidi/>
        <w:jc w:val="both"/>
        <w:rPr>
          <w:rFonts w:cs="Guttman Drogolin"/>
          <w:rtl/>
          <w:lang w:bidi="he-IL"/>
        </w:rPr>
        <w:sectPr w:rsidR="00714751" w:rsidRPr="00882F11" w:rsidSect="00891DE2">
          <w:type w:val="continuous"/>
          <w:pgSz w:w="11907" w:h="16839" w:code="9"/>
          <w:pgMar w:top="1440" w:right="1440" w:bottom="1440" w:left="1440" w:header="720" w:footer="720" w:gutter="0"/>
          <w:cols w:num="2" w:space="720"/>
          <w:bidi/>
          <w:docGrid w:linePitch="360"/>
        </w:sectPr>
      </w:pPr>
      <w:r w:rsidRPr="00882F11">
        <w:rPr>
          <w:rFonts w:cs="Guttman Drogolin" w:hint="cs"/>
          <w:rtl/>
          <w:lang w:bidi="he-IL"/>
        </w:rPr>
        <w:t xml:space="preserve"> </w:t>
      </w:r>
      <w:r w:rsidR="00863295" w:rsidRPr="00882F11">
        <w:rPr>
          <w:rFonts w:cs="Guttman Drogolin" w:hint="cs"/>
          <w:rtl/>
          <w:lang w:bidi="he-IL"/>
        </w:rPr>
        <w:t xml:space="preserve"> </w:t>
      </w:r>
      <w:r w:rsidR="00F1365B" w:rsidRPr="00882F11">
        <w:rPr>
          <w:rFonts w:cs="Guttman Drogolin" w:hint="cs"/>
          <w:rtl/>
          <w:lang w:bidi="he-IL"/>
        </w:rPr>
        <w:t xml:space="preserve"> </w:t>
      </w:r>
      <w:r w:rsidR="002A4F20" w:rsidRPr="00882F11">
        <w:rPr>
          <w:rFonts w:cs="Guttman Drogolin" w:hint="cs"/>
          <w:rtl/>
          <w:lang w:bidi="he-IL"/>
        </w:rPr>
        <w:t xml:space="preserve"> </w:t>
      </w:r>
      <w:r w:rsidR="00A47801" w:rsidRPr="00882F11">
        <w:rPr>
          <w:rFonts w:cs="Guttman Drogolin" w:hint="cs"/>
          <w:rtl/>
          <w:lang w:bidi="he-IL"/>
        </w:rPr>
        <w:t xml:space="preserve"> </w:t>
      </w:r>
    </w:p>
    <w:p w:rsidR="00714751" w:rsidRPr="00891DE2" w:rsidRDefault="00714751" w:rsidP="00714751">
      <w:pPr>
        <w:keepNext/>
        <w:tabs>
          <w:tab w:val="left" w:pos="3818"/>
          <w:tab w:val="center" w:pos="4680"/>
        </w:tabs>
        <w:bidi/>
        <w:jc w:val="center"/>
        <w:rPr>
          <w:rFonts w:cs="Guttman Drogolin"/>
          <w:b/>
          <w:bCs/>
          <w:sz w:val="48"/>
          <w:szCs w:val="48"/>
          <w:rtl/>
          <w:lang w:bidi="he-IL"/>
        </w:rPr>
      </w:pPr>
      <w:r w:rsidRPr="00891DE2">
        <w:rPr>
          <w:rFonts w:cs="Guttman Drogolin" w:hint="cs"/>
          <w:b/>
          <w:bCs/>
          <w:sz w:val="48"/>
          <w:szCs w:val="48"/>
          <w:rtl/>
          <w:lang w:bidi="he-IL"/>
        </w:rPr>
        <w:lastRenderedPageBreak/>
        <w:t>שיעור צ'</w:t>
      </w:r>
    </w:p>
    <w:p w:rsidR="00891DE2" w:rsidRDefault="00891DE2" w:rsidP="00714751">
      <w:pPr>
        <w:pStyle w:val="Heading1"/>
        <w:bidi/>
        <w:spacing w:before="0" w:line="360" w:lineRule="auto"/>
        <w:jc w:val="center"/>
        <w:rPr>
          <w:rFonts w:cs="Guttman Drogolin"/>
          <w:color w:val="auto"/>
          <w:sz w:val="24"/>
          <w:szCs w:val="24"/>
          <w:u w:val="single"/>
          <w:rtl/>
          <w:lang w:bidi="he-IL"/>
        </w:rPr>
        <w:sectPr w:rsidR="00891DE2" w:rsidSect="00891DE2">
          <w:headerReference w:type="default" r:id="rId68"/>
          <w:pgSz w:w="11907" w:h="16839" w:code="9"/>
          <w:pgMar w:top="1440" w:right="1440" w:bottom="1440" w:left="1440" w:header="720" w:footer="720" w:gutter="0"/>
          <w:cols w:space="720"/>
          <w:bidi/>
          <w:docGrid w:linePitch="360"/>
        </w:sectPr>
      </w:pPr>
    </w:p>
    <w:p w:rsidR="00714751" w:rsidRPr="00882F11" w:rsidRDefault="00714751" w:rsidP="00714751">
      <w:pPr>
        <w:pStyle w:val="Heading1"/>
        <w:bidi/>
        <w:spacing w:before="0" w:line="360" w:lineRule="auto"/>
        <w:jc w:val="center"/>
        <w:rPr>
          <w:rFonts w:cs="Guttman Drogolin"/>
          <w:color w:val="auto"/>
          <w:sz w:val="24"/>
          <w:szCs w:val="24"/>
          <w:u w:val="single"/>
          <w:rtl/>
          <w:lang w:bidi="he-IL"/>
        </w:rPr>
      </w:pPr>
      <w:bookmarkStart w:id="366" w:name="_Toc496175614"/>
      <w:r w:rsidRPr="00882F11">
        <w:rPr>
          <w:rFonts w:cs="Guttman Drogolin" w:hint="cs"/>
          <w:color w:val="auto"/>
          <w:sz w:val="24"/>
          <w:szCs w:val="24"/>
          <w:u w:val="single"/>
          <w:rtl/>
          <w:lang w:bidi="he-IL"/>
        </w:rPr>
        <w:lastRenderedPageBreak/>
        <w:t>הקדמה לדין נטל"פ</w:t>
      </w:r>
      <w:bookmarkEnd w:id="366"/>
    </w:p>
    <w:p w:rsidR="00506D04" w:rsidRPr="00882F11" w:rsidRDefault="000A59AA" w:rsidP="009268DD">
      <w:pPr>
        <w:tabs>
          <w:tab w:val="right" w:pos="7497"/>
        </w:tabs>
        <w:bidi/>
        <w:jc w:val="both"/>
        <w:rPr>
          <w:rFonts w:cs="Guttman Drogolin"/>
          <w:rtl/>
          <w:lang w:bidi="he-IL"/>
        </w:rPr>
      </w:pPr>
      <w:r>
        <w:rPr>
          <w:rFonts w:cs="Guttman Drogolin"/>
          <w:rtl/>
          <w:lang w:bidi="he-IL"/>
        </w:rPr>
        <w:fldChar w:fldCharType="begin"/>
      </w:r>
      <w:r>
        <w:instrText xml:space="preserve"> XE "</w:instrText>
      </w:r>
      <w:r w:rsidRPr="00DD7A89">
        <w:rPr>
          <w:rFonts w:hint="cs"/>
          <w:rtl/>
          <w:lang w:bidi="he-IL"/>
        </w:rPr>
        <w:instrText>נותן טעם לפגם</w:instrText>
      </w:r>
      <w:r w:rsidRPr="00DD7A89">
        <w:rPr>
          <w:rtl/>
        </w:rPr>
        <w:instrText>:</w:instrText>
      </w:r>
      <w:r w:rsidRPr="00DD7A89">
        <w:rPr>
          <w:rFonts w:hint="cs"/>
          <w:rtl/>
          <w:lang w:bidi="he-IL"/>
        </w:rPr>
        <w:instrText>הקדמה</w:instrText>
      </w:r>
      <w:r>
        <w:instrText xml:space="preserve">" </w:instrText>
      </w:r>
      <w:r>
        <w:rPr>
          <w:rFonts w:cs="Guttman Drogolin"/>
          <w:rtl/>
          <w:lang w:bidi="he-IL"/>
        </w:rPr>
        <w:fldChar w:fldCharType="end"/>
      </w:r>
      <w:r w:rsidR="00714751" w:rsidRPr="00882F11">
        <w:rPr>
          <w:rFonts w:cs="Guttman Drogolin" w:hint="cs"/>
          <w:rtl/>
          <w:lang w:bidi="he-IL"/>
        </w:rPr>
        <w:t>בגמ' דמס' ע"ז דף ס"</w:t>
      </w:r>
      <w:r w:rsidR="009268DD" w:rsidRPr="00882F11">
        <w:rPr>
          <w:rFonts w:cs="Guttman Drogolin" w:hint="cs"/>
          <w:rtl/>
          <w:lang w:bidi="he-IL"/>
        </w:rPr>
        <w:t>ז ע"ב מבואר שנחלקו תנאים אם נטל"פ אסור או מותר. וקיי"ל כר"ש דנטל"פ מותר, ולמד כן מזה שתירו נבילה שאינה ראוי' לגר. ונחלקו הראשונים בביאור לימוד מנבילה שאינה ראוי' לגר, דהא עיקר הדין של נבילה שאינ ראוי' לגר לא נאמר אלא כשאינה ראוי' לכלל, אבל כאן אנחנו מתירים אפילו פוגם רק קצת. ושיטת הרא"ה אינו כן, אבל בשו"ע מובא רק דעת רשב"א ור"ן. הרשב"א סבר שהדין של נטל"פ לא נאמר אלא לדין טכ"ע, והיינו דבעלמא אע"ג שיש בתערובת רוב היתר נגד האיסור, מ"מ כיון שטעם איסור מורגש הרי הוא אסור מדין טכ"ע. אבל אם הטעם אינו אלא לפגם, אע"פ שהוא מורגש, ליתי' לחומרא דטכ"ע, וחזר דין ל</w:t>
      </w:r>
      <w:r w:rsidR="00C04B27">
        <w:rPr>
          <w:rFonts w:cs="Guttman Drogolin" w:hint="cs"/>
          <w:rtl/>
          <w:lang w:bidi="he-IL"/>
        </w:rPr>
        <w:t>ה</w:t>
      </w:r>
      <w:r w:rsidR="009268DD" w:rsidRPr="00882F11">
        <w:rPr>
          <w:rFonts w:cs="Guttman Drogolin" w:hint="cs"/>
          <w:rtl/>
          <w:lang w:bidi="he-IL"/>
        </w:rPr>
        <w:t xml:space="preserve">יות בטל ברוב היתר. ונחלקו אחרונים אם לרשב"א בביאור בדין טכ"ע (וכנראה שאפילו לפי"ז </w:t>
      </w:r>
      <w:r w:rsidR="00C04B27">
        <w:rPr>
          <w:rFonts w:cs="Guttman Drogolin" w:hint="cs"/>
          <w:rtl/>
          <w:lang w:bidi="he-IL"/>
        </w:rPr>
        <w:t>ה</w:t>
      </w:r>
      <w:r w:rsidR="009268DD" w:rsidRPr="00882F11">
        <w:rPr>
          <w:rFonts w:cs="Guttman Drogolin" w:hint="cs"/>
          <w:rtl/>
          <w:lang w:bidi="he-IL"/>
        </w:rPr>
        <w:t xml:space="preserve">וא מגילוי שיש לנו מדין נבילה שאינה ראוי' לגר) או שהוא לימוד מדין נבילה שאינה ראוי' לגר. והר"ן סבר שיסוד היתר של נבילה שאינה ראוי' לגר הוא בזה שהוא קץ מן המאכל, ולכן בעלמא אם אין המאכל סרוח לגמרי, כיון שבא לאכלו אמרינן דע"כ </w:t>
      </w:r>
      <w:r w:rsidR="00506D04" w:rsidRPr="00882F11">
        <w:rPr>
          <w:rFonts w:cs="Guttman Drogolin" w:hint="cs"/>
          <w:rtl/>
          <w:lang w:bidi="he-IL"/>
        </w:rPr>
        <w:t xml:space="preserve">נהנה מאכילתו, אבל בתערובת, כיון שסוף סוף אינו נהנה מן התוספת של איסור כיון שפוגם, אמרינן שוא קץ במאכל האיסור ואין הוכח כנגד מזה שאוכלו, ולכן הרי הוא מותר. ולפי יסודו כתב הר"ן שאם באמת נהנה מן המאכל האסור מצד אחר, וכגון שמאכל מתרבה במידתו, רי זה אסור אע"פ שוא נטל"פ. </w:t>
      </w:r>
    </w:p>
    <w:p w:rsidR="00CC2000" w:rsidRPr="00882F11" w:rsidRDefault="00506D04" w:rsidP="00506D04">
      <w:pPr>
        <w:tabs>
          <w:tab w:val="right" w:pos="7497"/>
        </w:tabs>
        <w:bidi/>
        <w:jc w:val="both"/>
        <w:rPr>
          <w:rFonts w:cs="Guttman Drogolin"/>
          <w:rtl/>
          <w:lang w:bidi="he-IL"/>
        </w:rPr>
      </w:pPr>
      <w:r w:rsidRPr="00882F11">
        <w:rPr>
          <w:rFonts w:cs="Guttman Drogolin" w:hint="cs"/>
          <w:rtl/>
          <w:lang w:bidi="he-IL"/>
        </w:rPr>
        <w:t xml:space="preserve">ונחלקו האחרונים בביאור דעת ר"ן, רע"א והפמ"ג נקטו שלפי דברי ר"ן התערובת מותרת אפילו בלי דין של ביטול ברוב. ור"ל שאמנם אם יש רוב איסור מסתמא הוא אסור כיון שהתרבה מידת התבשיל ע"י מאכל האסור, דהא הרוב מן המאכל ההוא, אבל אין זה משום דבעינן הדין ביטול ברוב שמגזה"כ דאחרי רבים להטות. וחזו"א </w:t>
      </w:r>
      <w:r w:rsidR="00CC2000" w:rsidRPr="00882F11">
        <w:rPr>
          <w:rFonts w:cs="Guttman Drogolin" w:hint="cs"/>
          <w:rtl/>
          <w:lang w:bidi="he-IL"/>
        </w:rPr>
        <w:t xml:space="preserve">(סי' ל' ס"ק ב') </w:t>
      </w:r>
      <w:r w:rsidRPr="00882F11">
        <w:rPr>
          <w:rFonts w:cs="Guttman Drogolin" w:hint="cs"/>
          <w:rtl/>
          <w:lang w:bidi="he-IL"/>
        </w:rPr>
        <w:t xml:space="preserve">למד שגם הר"ן סבר דבעינן לי' ליסוד של </w:t>
      </w:r>
      <w:r w:rsidRPr="00882F11">
        <w:rPr>
          <w:rFonts w:cs="Guttman Drogolin" w:hint="cs"/>
          <w:rtl/>
          <w:lang w:bidi="he-IL"/>
        </w:rPr>
        <w:lastRenderedPageBreak/>
        <w:t xml:space="preserve">ביטול ברוב, רק סבר הר"ן </w:t>
      </w:r>
      <w:r w:rsidR="00CC2000" w:rsidRPr="00882F11">
        <w:rPr>
          <w:rFonts w:cs="Guttman Drogolin" w:hint="cs"/>
          <w:rtl/>
          <w:lang w:bidi="he-IL"/>
        </w:rPr>
        <w:t xml:space="preserve">שגם בנטל"פ אמרינן לי' לדינא דטכ"ע עד כמ שנהנה מן מאכל האסור באיזה שאופן שיהנה, אפילו ע"י ריבוי מידתו. </w:t>
      </w:r>
    </w:p>
    <w:p w:rsidR="00EC4CBF" w:rsidRPr="00882F11" w:rsidRDefault="00CC2000" w:rsidP="00700F01">
      <w:pPr>
        <w:tabs>
          <w:tab w:val="right" w:pos="7497"/>
        </w:tabs>
        <w:bidi/>
        <w:jc w:val="both"/>
        <w:rPr>
          <w:rFonts w:cs="Guttman Drogolin"/>
          <w:rtl/>
          <w:lang w:bidi="he-IL"/>
        </w:rPr>
      </w:pPr>
      <w:r w:rsidRPr="00882F11">
        <w:rPr>
          <w:rFonts w:cs="Guttman Drogolin" w:hint="cs"/>
          <w:rtl/>
          <w:lang w:bidi="he-IL"/>
        </w:rPr>
        <w:t>וחשבתי נפק"מ בכל זה. דהנה הרמ"א כאן בסע' א' כתב "</w:t>
      </w:r>
      <w:r w:rsidR="00700F01" w:rsidRPr="00882F11">
        <w:rPr>
          <w:rFonts w:cs="Guttman Drogolin" w:hint="cs"/>
          <w:rtl/>
          <w:lang w:bidi="he-IL"/>
        </w:rPr>
        <w:t>מיהו</w:t>
      </w:r>
      <w:r w:rsidR="00700F01" w:rsidRPr="00882F11">
        <w:rPr>
          <w:rFonts w:cs="Guttman Drogolin"/>
          <w:rtl/>
          <w:lang w:bidi="he-IL"/>
        </w:rPr>
        <w:t xml:space="preserve"> </w:t>
      </w:r>
      <w:r w:rsidR="00700F01" w:rsidRPr="00882F11">
        <w:rPr>
          <w:rFonts w:cs="Guttman Drogolin" w:hint="cs"/>
          <w:rtl/>
          <w:lang w:bidi="he-IL"/>
        </w:rPr>
        <w:t>דברים</w:t>
      </w:r>
      <w:r w:rsidR="00700F01" w:rsidRPr="00882F11">
        <w:rPr>
          <w:rFonts w:cs="Guttman Drogolin"/>
          <w:rtl/>
          <w:lang w:bidi="he-IL"/>
        </w:rPr>
        <w:t xml:space="preserve"> </w:t>
      </w:r>
      <w:r w:rsidR="00700F01" w:rsidRPr="00882F11">
        <w:rPr>
          <w:rFonts w:cs="Guttman Drogolin" w:hint="cs"/>
          <w:rtl/>
          <w:lang w:bidi="he-IL"/>
        </w:rPr>
        <w:t>החשובים</w:t>
      </w:r>
      <w:r w:rsidR="00700F01" w:rsidRPr="00882F11">
        <w:rPr>
          <w:rFonts w:cs="Guttman Drogolin"/>
          <w:rtl/>
          <w:lang w:bidi="he-IL"/>
        </w:rPr>
        <w:t xml:space="preserve"> </w:t>
      </w:r>
      <w:r w:rsidR="00700F01" w:rsidRPr="00882F11">
        <w:rPr>
          <w:rFonts w:cs="Guttman Drogolin" w:hint="cs"/>
          <w:rtl/>
          <w:lang w:bidi="he-IL"/>
        </w:rPr>
        <w:t>כבריה</w:t>
      </w:r>
      <w:r w:rsidR="00700F01" w:rsidRPr="00882F11">
        <w:rPr>
          <w:rFonts w:cs="Guttman Drogolin"/>
          <w:rtl/>
          <w:lang w:bidi="he-IL"/>
        </w:rPr>
        <w:t xml:space="preserve"> </w:t>
      </w:r>
      <w:r w:rsidR="00700F01" w:rsidRPr="00882F11">
        <w:rPr>
          <w:rFonts w:cs="Guttman Drogolin" w:hint="cs"/>
          <w:rtl/>
          <w:lang w:bidi="he-IL"/>
        </w:rPr>
        <w:t>או</w:t>
      </w:r>
      <w:r w:rsidR="00700F01" w:rsidRPr="00882F11">
        <w:rPr>
          <w:rFonts w:cs="Guttman Drogolin"/>
          <w:rtl/>
          <w:lang w:bidi="he-IL"/>
        </w:rPr>
        <w:t xml:space="preserve"> </w:t>
      </w:r>
      <w:r w:rsidR="00700F01" w:rsidRPr="00882F11">
        <w:rPr>
          <w:rFonts w:cs="Guttman Drogolin" w:hint="cs"/>
          <w:rtl/>
          <w:lang w:bidi="he-IL"/>
        </w:rPr>
        <w:t>כיוצא</w:t>
      </w:r>
      <w:r w:rsidR="00700F01" w:rsidRPr="00882F11">
        <w:rPr>
          <w:rFonts w:cs="Guttman Drogolin"/>
          <w:rtl/>
          <w:lang w:bidi="he-IL"/>
        </w:rPr>
        <w:t xml:space="preserve"> </w:t>
      </w:r>
      <w:r w:rsidR="00700F01" w:rsidRPr="00882F11">
        <w:rPr>
          <w:rFonts w:cs="Guttman Drogolin" w:hint="cs"/>
          <w:rtl/>
          <w:lang w:bidi="he-IL"/>
        </w:rPr>
        <w:t>בה</w:t>
      </w:r>
      <w:r w:rsidR="00700F01" w:rsidRPr="00882F11">
        <w:rPr>
          <w:rFonts w:cs="Guttman Drogolin"/>
          <w:rtl/>
          <w:lang w:bidi="he-IL"/>
        </w:rPr>
        <w:t xml:space="preserve">, </w:t>
      </w:r>
      <w:r w:rsidR="00700F01" w:rsidRPr="00882F11">
        <w:rPr>
          <w:rFonts w:cs="Guttman Drogolin" w:hint="cs"/>
          <w:rtl/>
          <w:lang w:bidi="he-IL"/>
        </w:rPr>
        <w:t>אם</w:t>
      </w:r>
      <w:r w:rsidR="00700F01" w:rsidRPr="00882F11">
        <w:rPr>
          <w:rFonts w:cs="Guttman Drogolin"/>
          <w:rtl/>
          <w:lang w:bidi="he-IL"/>
        </w:rPr>
        <w:t xml:space="preserve"> </w:t>
      </w:r>
      <w:r w:rsidR="00700F01" w:rsidRPr="00882F11">
        <w:rPr>
          <w:rFonts w:cs="Guttman Drogolin" w:hint="cs"/>
          <w:rtl/>
          <w:lang w:bidi="he-IL"/>
        </w:rPr>
        <w:t>אינן</w:t>
      </w:r>
      <w:r w:rsidR="00700F01" w:rsidRPr="00882F11">
        <w:rPr>
          <w:rFonts w:cs="Guttman Drogolin"/>
          <w:rtl/>
          <w:lang w:bidi="he-IL"/>
        </w:rPr>
        <w:t xml:space="preserve">  </w:t>
      </w:r>
      <w:r w:rsidR="00700F01" w:rsidRPr="00882F11">
        <w:rPr>
          <w:rFonts w:cs="Guttman Drogolin" w:hint="cs"/>
          <w:rtl/>
          <w:lang w:bidi="he-IL"/>
        </w:rPr>
        <w:t>פגומים</w:t>
      </w:r>
      <w:r w:rsidR="00700F01" w:rsidRPr="00882F11">
        <w:rPr>
          <w:rFonts w:cs="Guttman Drogolin"/>
          <w:rtl/>
          <w:lang w:bidi="he-IL"/>
        </w:rPr>
        <w:t xml:space="preserve"> </w:t>
      </w:r>
      <w:r w:rsidR="00700F01" w:rsidRPr="00882F11">
        <w:rPr>
          <w:rFonts w:cs="Guttman Drogolin" w:hint="cs"/>
          <w:rtl/>
          <w:lang w:bidi="he-IL"/>
        </w:rPr>
        <w:t>בעצמן</w:t>
      </w:r>
      <w:r w:rsidR="00700F01" w:rsidRPr="00882F11">
        <w:rPr>
          <w:rFonts w:cs="Guttman Drogolin"/>
          <w:rtl/>
          <w:lang w:bidi="he-IL"/>
        </w:rPr>
        <w:t xml:space="preserve"> </w:t>
      </w:r>
      <w:r w:rsidR="00700F01" w:rsidRPr="00882F11">
        <w:rPr>
          <w:rFonts w:cs="Guttman Drogolin" w:hint="cs"/>
          <w:rtl/>
          <w:lang w:bidi="he-IL"/>
        </w:rPr>
        <w:t>אף</w:t>
      </w:r>
      <w:r w:rsidR="00700F01" w:rsidRPr="00882F11">
        <w:rPr>
          <w:rFonts w:cs="Guttman Drogolin"/>
          <w:rtl/>
          <w:lang w:bidi="he-IL"/>
        </w:rPr>
        <w:t xml:space="preserve"> </w:t>
      </w:r>
      <w:r w:rsidR="00700F01" w:rsidRPr="00882F11">
        <w:rPr>
          <w:rFonts w:cs="Guttman Drogolin" w:hint="cs"/>
          <w:rtl/>
          <w:lang w:bidi="he-IL"/>
        </w:rPr>
        <w:t>על</w:t>
      </w:r>
      <w:r w:rsidR="00700F01" w:rsidRPr="00882F11">
        <w:rPr>
          <w:rFonts w:cs="Guttman Drogolin"/>
          <w:rtl/>
          <w:lang w:bidi="he-IL"/>
        </w:rPr>
        <w:t xml:space="preserve"> </w:t>
      </w:r>
      <w:r w:rsidR="00700F01" w:rsidRPr="00882F11">
        <w:rPr>
          <w:rFonts w:cs="Guttman Drogolin" w:hint="cs"/>
          <w:rtl/>
          <w:lang w:bidi="he-IL"/>
        </w:rPr>
        <w:t>פי</w:t>
      </w:r>
      <w:r w:rsidR="00700F01" w:rsidRPr="00882F11">
        <w:rPr>
          <w:rFonts w:cs="Guttman Drogolin"/>
          <w:rtl/>
          <w:lang w:bidi="he-IL"/>
        </w:rPr>
        <w:t xml:space="preserve"> </w:t>
      </w:r>
      <w:r w:rsidR="00700F01" w:rsidRPr="00882F11">
        <w:rPr>
          <w:rFonts w:cs="Guttman Drogolin" w:hint="cs"/>
          <w:rtl/>
          <w:lang w:bidi="he-IL"/>
        </w:rPr>
        <w:t>שפוגמין</w:t>
      </w:r>
      <w:r w:rsidR="00700F01" w:rsidRPr="00882F11">
        <w:rPr>
          <w:rFonts w:cs="Guttman Drogolin"/>
          <w:rtl/>
          <w:lang w:bidi="he-IL"/>
        </w:rPr>
        <w:t xml:space="preserve"> </w:t>
      </w:r>
      <w:r w:rsidR="00700F01" w:rsidRPr="00882F11">
        <w:rPr>
          <w:rFonts w:cs="Guttman Drogolin" w:hint="cs"/>
          <w:rtl/>
          <w:lang w:bidi="he-IL"/>
        </w:rPr>
        <w:t>התבשיל</w:t>
      </w:r>
      <w:r w:rsidR="00700F01" w:rsidRPr="00882F11">
        <w:rPr>
          <w:rFonts w:cs="Guttman Drogolin"/>
          <w:rtl/>
          <w:lang w:bidi="he-IL"/>
        </w:rPr>
        <w:t xml:space="preserve">, </w:t>
      </w:r>
      <w:r w:rsidR="00700F01" w:rsidRPr="00882F11">
        <w:rPr>
          <w:rFonts w:cs="Guttman Drogolin" w:hint="cs"/>
          <w:rtl/>
          <w:lang w:bidi="he-IL"/>
        </w:rPr>
        <w:t>אינן</w:t>
      </w:r>
      <w:r w:rsidR="00700F01" w:rsidRPr="00882F11">
        <w:rPr>
          <w:rFonts w:cs="Guttman Drogolin"/>
          <w:rtl/>
          <w:lang w:bidi="he-IL"/>
        </w:rPr>
        <w:t xml:space="preserve"> </w:t>
      </w:r>
      <w:r w:rsidR="00700F01" w:rsidRPr="00882F11">
        <w:rPr>
          <w:rFonts w:cs="Guttman Drogolin" w:hint="cs"/>
          <w:rtl/>
          <w:lang w:bidi="he-IL"/>
        </w:rPr>
        <w:t>בטלים</w:t>
      </w:r>
      <w:r w:rsidR="00700F01" w:rsidRPr="00882F11">
        <w:rPr>
          <w:rFonts w:cs="Guttman Drogolin"/>
          <w:rtl/>
          <w:lang w:bidi="he-IL"/>
        </w:rPr>
        <w:t xml:space="preserve"> </w:t>
      </w:r>
      <w:r w:rsidR="00700F01" w:rsidRPr="00882F11">
        <w:rPr>
          <w:rFonts w:cs="Guttman Drogolin" w:hint="cs"/>
          <w:rtl/>
          <w:lang w:bidi="he-IL"/>
        </w:rPr>
        <w:t>אפילו</w:t>
      </w:r>
      <w:r w:rsidR="00700F01" w:rsidRPr="00882F11">
        <w:rPr>
          <w:rFonts w:cs="Guttman Drogolin"/>
          <w:rtl/>
          <w:lang w:bidi="he-IL"/>
        </w:rPr>
        <w:t xml:space="preserve"> </w:t>
      </w:r>
      <w:r w:rsidR="00700F01" w:rsidRPr="00882F11">
        <w:rPr>
          <w:rFonts w:cs="Guttman Drogolin" w:hint="cs"/>
          <w:rtl/>
          <w:lang w:bidi="he-IL"/>
        </w:rPr>
        <w:t>באלף</w:t>
      </w:r>
      <w:r w:rsidR="00EC4CBF" w:rsidRPr="00882F11">
        <w:rPr>
          <w:rFonts w:cs="Guttman Drogolin" w:hint="cs"/>
          <w:rtl/>
          <w:lang w:bidi="he-IL"/>
        </w:rPr>
        <w:t>" ועל פניו דבריו מובנים היטב, דהא כל הדין של נטל"פ הוא דין בטעם, אבל בברי' יש חסרון בביטול ברוב. אמנם לפי הנ"ל, בשלמא לפי פירושו של חזו"א ניחא, אבל לפי פירושו של הפמ"ג ורע"א הא לכאורה הברי' היתה צריכה להיות בטילה כיון שנטל"פ, שזה שאינו בטל ברוב לא איכפת לן כיון שאין מדתו מתרבה. ולכאורה לשיטת הט"ז לקמן בסי ק"ד שדבר גוש אינו מתבטל בדבר יבש כלל הא גם כאן מובנים דברי הרמ"א, אבל הט"ז שם חלק על הרמ"א, ולפי ביאורו של ש"ך בדברי הרמ"א לכאורה לשיטת הר"ן היתה צריכה להתבטל. ויתכן שדברי רמ"א הם בגלל שאנחנו חוששים עכ"פ להחמיר כשיטת הרמ"א שגם בנטל"פ צריכים לי' לדינא דבטל ברוב, אבל סתימת הפוסקים בזה משמע שוא דין לכו"ע. וצ"ע.</w:t>
      </w:r>
    </w:p>
    <w:p w:rsidR="00EC4CBF" w:rsidRPr="00882F11" w:rsidRDefault="00EC4CBF" w:rsidP="00EC4CBF">
      <w:pPr>
        <w:tabs>
          <w:tab w:val="right" w:pos="7497"/>
        </w:tabs>
        <w:bidi/>
        <w:jc w:val="both"/>
        <w:rPr>
          <w:rFonts w:cs="Guttman Drogolin"/>
          <w:rtl/>
          <w:lang w:bidi="he-IL"/>
        </w:rPr>
      </w:pPr>
      <w:r w:rsidRPr="00882F11">
        <w:rPr>
          <w:rFonts w:cs="Guttman Drogolin" w:hint="cs"/>
          <w:rtl/>
          <w:lang w:bidi="he-IL"/>
        </w:rPr>
        <w:t xml:space="preserve">(וראיתי שמעירים </w:t>
      </w:r>
      <w:r w:rsidR="00C04B27">
        <w:rPr>
          <w:rFonts w:cs="Guttman Drogolin" w:hint="cs"/>
          <w:rtl/>
          <w:lang w:bidi="he-IL"/>
        </w:rPr>
        <w:t>ה</w:t>
      </w:r>
      <w:r w:rsidRPr="00882F11">
        <w:rPr>
          <w:rFonts w:cs="Guttman Drogolin" w:hint="cs"/>
          <w:rtl/>
          <w:lang w:bidi="he-IL"/>
        </w:rPr>
        <w:t xml:space="preserve">ערה זו בנוס"א, והוא שהרי הר"ן עצמו כתב שאם נימוח הדברים המאוסים בתוך תערובת הרי </w:t>
      </w:r>
      <w:r w:rsidR="00C04B27">
        <w:rPr>
          <w:rFonts w:cs="Guttman Drogolin" w:hint="cs"/>
          <w:rtl/>
          <w:lang w:bidi="he-IL"/>
        </w:rPr>
        <w:t>ה</w:t>
      </w:r>
      <w:r w:rsidRPr="00882F11">
        <w:rPr>
          <w:rFonts w:cs="Guttman Drogolin" w:hint="cs"/>
          <w:rtl/>
          <w:lang w:bidi="he-IL"/>
        </w:rPr>
        <w:t>וא מותר אם לא התרבה מידתו על ידו. ולכאורה צ"ע שהרי הדברים המאוסים אסורים בפני עצמם אע"ג שיש להם טעם פגום, דבהכי חייבי' רחמנא, א"כ כיון דע"כ סבר הר"ן שגם נטל"פ לא בטל ברוב אם ניכר טעמו, דהא במתרבה מידתו על ידו הרי הוא אסור אע"פ שיש רוב היתר, וא"כ למה לא יא כה"ג אסור כמו אכילת הדבר מאוס בפני עצמו. וצ"ע).</w:t>
      </w:r>
    </w:p>
    <w:p w:rsidR="00EC4CBF" w:rsidRPr="00882F11" w:rsidRDefault="00EC4CBF" w:rsidP="00EC4CBF">
      <w:pPr>
        <w:pStyle w:val="Heading1"/>
        <w:bidi/>
        <w:spacing w:before="0" w:line="360" w:lineRule="auto"/>
        <w:jc w:val="center"/>
        <w:rPr>
          <w:rFonts w:cs="Guttman Drogolin"/>
          <w:color w:val="auto"/>
          <w:sz w:val="24"/>
          <w:szCs w:val="24"/>
          <w:u w:val="single"/>
          <w:rtl/>
          <w:lang w:bidi="he-IL"/>
        </w:rPr>
      </w:pPr>
      <w:bookmarkStart w:id="367" w:name="_Toc496175615"/>
      <w:r w:rsidRPr="00882F11">
        <w:rPr>
          <w:rFonts w:cs="Guttman Drogolin" w:hint="cs"/>
          <w:color w:val="auto"/>
          <w:sz w:val="24"/>
          <w:szCs w:val="24"/>
          <w:u w:val="single"/>
          <w:rtl/>
          <w:lang w:bidi="he-IL"/>
        </w:rPr>
        <w:t>ברי' פגומה</w:t>
      </w:r>
      <w:bookmarkEnd w:id="367"/>
    </w:p>
    <w:p w:rsidR="00CE02DB" w:rsidRPr="00882F11" w:rsidRDefault="000A59AA" w:rsidP="000A59AA">
      <w:pPr>
        <w:tabs>
          <w:tab w:val="right" w:pos="7497"/>
        </w:tabs>
        <w:bidi/>
        <w:jc w:val="both"/>
        <w:rPr>
          <w:rFonts w:cs="Guttman Drogolin"/>
          <w:rtl/>
          <w:lang w:bidi="he-IL"/>
        </w:rPr>
      </w:pPr>
      <w:r>
        <w:rPr>
          <w:rFonts w:cs="Guttman Drogolin"/>
          <w:rtl/>
          <w:lang w:bidi="he-IL"/>
        </w:rPr>
        <w:fldChar w:fldCharType="begin"/>
      </w:r>
      <w:r>
        <w:instrText xml:space="preserve"> XE "</w:instrText>
      </w:r>
      <w:r w:rsidRPr="00DD7A89">
        <w:rPr>
          <w:rFonts w:hint="cs"/>
          <w:rtl/>
          <w:lang w:bidi="he-IL"/>
        </w:rPr>
        <w:instrText>נותן טעם לפגם</w:instrText>
      </w:r>
      <w:r w:rsidRPr="00DD7A89">
        <w:rPr>
          <w:rtl/>
        </w:rPr>
        <w:instrText>:</w:instrText>
      </w:r>
      <w:r>
        <w:rPr>
          <w:rFonts w:hint="cs"/>
          <w:rtl/>
          <w:lang w:bidi="he-IL"/>
        </w:rPr>
        <w:instrText>ברי' פגומה</w:instrText>
      </w:r>
      <w:r>
        <w:instrText xml:space="preserve">" </w:instrText>
      </w:r>
      <w:r>
        <w:rPr>
          <w:rFonts w:cs="Guttman Drogolin"/>
          <w:rtl/>
          <w:lang w:bidi="he-IL"/>
        </w:rPr>
        <w:fldChar w:fldCharType="end"/>
      </w:r>
      <w:r w:rsidR="00753E62" w:rsidRPr="00882F11">
        <w:rPr>
          <w:rFonts w:cs="Guttman Drogolin" w:hint="cs"/>
          <w:rtl/>
          <w:lang w:bidi="he-IL"/>
        </w:rPr>
        <w:t>בלשון הרמ"א הנ"ל מבואר שאמנם ברי' הפוגמת אינה בטילה, מ"מ ברי' הפגומה בטילה.</w:t>
      </w:r>
      <w:r w:rsidR="00CE02DB" w:rsidRPr="00882F11">
        <w:rPr>
          <w:rFonts w:cs="Guttman Drogolin" w:hint="cs"/>
          <w:rtl/>
          <w:lang w:bidi="he-IL"/>
        </w:rPr>
        <w:t xml:space="preserve"> ויש לפרש כוונתו בכמה אנפי. איכא למימר שכוונתו לברי' </w:t>
      </w:r>
      <w:r w:rsidR="00CE02DB" w:rsidRPr="00882F11">
        <w:rPr>
          <w:rFonts w:cs="Guttman Drogolin" w:hint="cs"/>
          <w:rtl/>
          <w:lang w:bidi="he-IL"/>
        </w:rPr>
        <w:lastRenderedPageBreak/>
        <w:t xml:space="preserve">שיתה מעיקרא לשבח ועכשיו נפגמה. כך פי' הפר"ח וביאר הטעם שלא התיר הרמ"א אלא ע"י תערובת משום דאלמלא התערובת הי' אסור מדין בל תשקצו. אמנם הפר"ח למד דהיינו רק בדברים שאינם פגומים מעיקרא, אבל דברים המאוסים שאסורים אע"פ שפגומים מעיקרן הרי הם אסורים אע"פ שנסרחו. והיינו משום שלמד דבכלל הגזה"כ של האיסור במאכלים אלו הוא להתחייב עליהם אע"פ שהם פגומים. ויעוין בשפ"ד </w:t>
      </w:r>
      <w:r w:rsidR="00340D1F" w:rsidRPr="00882F11">
        <w:rPr>
          <w:rFonts w:cs="Guttman Drogolin" w:hint="cs"/>
          <w:rtl/>
          <w:lang w:bidi="he-IL"/>
        </w:rPr>
        <w:t xml:space="preserve">רסי' ק' </w:t>
      </w:r>
      <w:r w:rsidR="00CE02DB" w:rsidRPr="00882F11">
        <w:rPr>
          <w:rFonts w:cs="Guttman Drogolin" w:hint="cs"/>
          <w:rtl/>
          <w:lang w:bidi="he-IL"/>
        </w:rPr>
        <w:t xml:space="preserve">שהבין אחרת והוא דאע"ג שדברים הפגומים מעיקרן אסורים באופן הטבעי שלהם, אבל אם נפגמו באופן אחר, אין זה בכלל הפגם שאסר רחמנא ולכן חזא דינו להיות כשאר נבילה שאינה ראוי' לגר ומותרת. </w:t>
      </w:r>
    </w:p>
    <w:p w:rsidR="00A23049" w:rsidRPr="00882F11" w:rsidRDefault="00CE02DB" w:rsidP="00CE02DB">
      <w:pPr>
        <w:tabs>
          <w:tab w:val="right" w:pos="7497"/>
        </w:tabs>
        <w:bidi/>
        <w:jc w:val="both"/>
        <w:rPr>
          <w:rFonts w:cs="Guttman Drogolin"/>
          <w:rtl/>
          <w:lang w:bidi="he-IL"/>
        </w:rPr>
      </w:pPr>
      <w:r w:rsidRPr="00882F11">
        <w:rPr>
          <w:rFonts w:cs="Guttman Drogolin" w:hint="cs"/>
          <w:rtl/>
          <w:lang w:bidi="he-IL"/>
        </w:rPr>
        <w:t xml:space="preserve">ומ"מ אפילו את"ל דכה"ג מותרת הנ"מ כשנפגמה לגמרי, אבל נפגם קצת לכאורה לא פקע מיני' איסורא כמו בנבילה. ומ"מ אעפ"כ יש לפרש שרמ"א סבר דכל כה"ג אע"פ דבאיסורה עומד, מ"מ </w:t>
      </w:r>
      <w:r w:rsidR="005B70C6" w:rsidRPr="00882F11">
        <w:rPr>
          <w:rFonts w:cs="Guttman Drogolin" w:hint="cs"/>
          <w:rtl/>
          <w:lang w:bidi="he-IL"/>
        </w:rPr>
        <w:t>כבר נאבד ממנו שם ברי' ולכן בטיל</w:t>
      </w:r>
      <w:r w:rsidRPr="00882F11">
        <w:rPr>
          <w:rFonts w:cs="Guttman Drogolin" w:hint="cs"/>
          <w:rtl/>
          <w:lang w:bidi="he-IL"/>
        </w:rPr>
        <w:t xml:space="preserve">ה היא ברוב כשאר איסורים. </w:t>
      </w:r>
      <w:r w:rsidR="00A23049" w:rsidRPr="00882F11">
        <w:rPr>
          <w:rFonts w:cs="Guttman Drogolin" w:hint="cs"/>
          <w:rtl/>
          <w:lang w:bidi="he-IL"/>
        </w:rPr>
        <w:t>ובזה חלק התפארת למשה (מובא בפת"ש) שלא מצאנו שחשיבות של ברי' יאבד ע"י זה שנפגם, שאין ענין של פגם לחשיבות של ברי'.</w:t>
      </w:r>
    </w:p>
    <w:p w:rsidR="00A23049" w:rsidRPr="00882F11" w:rsidRDefault="00A23049" w:rsidP="00A23049">
      <w:pPr>
        <w:pStyle w:val="Heading1"/>
        <w:bidi/>
        <w:spacing w:before="0" w:line="360" w:lineRule="auto"/>
        <w:jc w:val="center"/>
        <w:rPr>
          <w:rFonts w:cs="Guttman Drogolin"/>
          <w:color w:val="auto"/>
          <w:sz w:val="24"/>
          <w:szCs w:val="24"/>
          <w:u w:val="single"/>
          <w:rtl/>
          <w:lang w:bidi="he-IL"/>
        </w:rPr>
      </w:pPr>
      <w:bookmarkStart w:id="368" w:name="_Toc496175616"/>
      <w:r w:rsidRPr="00882F11">
        <w:rPr>
          <w:rFonts w:cs="Guttman Drogolin" w:hint="cs"/>
          <w:color w:val="auto"/>
          <w:sz w:val="24"/>
          <w:szCs w:val="24"/>
          <w:u w:val="single"/>
          <w:rtl/>
          <w:lang w:bidi="he-IL"/>
        </w:rPr>
        <w:t>נותן טעם לא לשבח ולא לפגם</w:t>
      </w:r>
      <w:bookmarkEnd w:id="368"/>
    </w:p>
    <w:p w:rsidR="003207B9" w:rsidRPr="00882F11" w:rsidRDefault="000A59AA" w:rsidP="000A59AA">
      <w:pPr>
        <w:tabs>
          <w:tab w:val="right" w:pos="7497"/>
        </w:tabs>
        <w:bidi/>
        <w:jc w:val="both"/>
        <w:rPr>
          <w:rFonts w:cs="Guttman Drogolin"/>
          <w:rtl/>
          <w:lang w:bidi="he-IL"/>
        </w:rPr>
      </w:pPr>
      <w:r>
        <w:rPr>
          <w:rFonts w:cs="Guttman Drogolin"/>
          <w:rtl/>
          <w:lang w:bidi="he-IL"/>
        </w:rPr>
        <w:fldChar w:fldCharType="begin"/>
      </w:r>
      <w:r>
        <w:instrText xml:space="preserve"> XE "</w:instrText>
      </w:r>
      <w:r w:rsidRPr="00DD7A89">
        <w:rPr>
          <w:rFonts w:hint="cs"/>
          <w:rtl/>
          <w:lang w:bidi="he-IL"/>
        </w:rPr>
        <w:instrText>נותן טעם לפגם</w:instrText>
      </w:r>
      <w:r w:rsidRPr="00DD7A89">
        <w:rPr>
          <w:rtl/>
        </w:rPr>
        <w:instrText>:</w:instrText>
      </w:r>
      <w:r>
        <w:rPr>
          <w:rFonts w:hint="cs"/>
          <w:rtl/>
          <w:lang w:bidi="he-IL"/>
        </w:rPr>
        <w:instrText>כשאינו לא שבח ולא לפגם</w:instrText>
      </w:r>
      <w:r>
        <w:instrText xml:space="preserve">" </w:instrText>
      </w:r>
      <w:r>
        <w:rPr>
          <w:rFonts w:cs="Guttman Drogolin"/>
          <w:rtl/>
          <w:lang w:bidi="he-IL"/>
        </w:rPr>
        <w:fldChar w:fldCharType="end"/>
      </w:r>
      <w:r w:rsidR="00A23049" w:rsidRPr="00882F11">
        <w:rPr>
          <w:rFonts w:cs="Guttman Drogolin" w:hint="cs"/>
          <w:rtl/>
          <w:lang w:bidi="he-IL"/>
        </w:rPr>
        <w:t>כתב הב"י</w:t>
      </w:r>
      <w:r w:rsidR="003207B9" w:rsidRPr="00882F11">
        <w:rPr>
          <w:rFonts w:cs="Guttman Drogolin" w:hint="cs"/>
          <w:rtl/>
          <w:lang w:bidi="he-IL"/>
        </w:rPr>
        <w:t xml:space="preserve"> בשם הגהות אשר"י שאם דבר נותן טעם לא לפגם ולא לשבח עדיין אסור, ומשום שהיסוד של נטל"פ מחייב שיהא דוקא פוגם (אפילו אם אינו אלא קצת). וש"ך בס"ק ב' הביא ראי' לדין זה מה שמצאנו דגיד שנימוח צריך ס' כנגדו אע"ג דקיי"ל שאין בגידין בנ"ט. ולכאורה כוונתו, דבשלמא בפליטת טעמו, כיון שאינו נ"ט אינו צריך אפילו ששים, דפליטה שאינה נותנת טעם לא הוי חפצא דאיסורא כלל, אבל הגיד שהוא חפצא דאיסורא הרי הוא אוסר עד ס' כיון שאין טעמו פוגם. ולפי זה לכאורה יוצא שאם יש פליטה שאינה לא לפגם ולא לשבח ג"כ אינו אוסר, רק </w:t>
      </w:r>
      <w:r w:rsidR="003207B9" w:rsidRPr="00882F11">
        <w:rPr>
          <w:rFonts w:cs="Guttman Drogolin" w:hint="cs"/>
          <w:rtl/>
          <w:lang w:bidi="he-IL"/>
        </w:rPr>
        <w:lastRenderedPageBreak/>
        <w:t xml:space="preserve">בנימוח. ומ"מ תמה עליו הפר"ח שאין הנידון דומה לראי', שהב"י מיירי בדבר באמת נותן טעם, רק שאינו מוסיף שבח ולא פגם, משא"כ בגיד שאין לו טעם כלל, שם אין לו ענין לאסור משום נתינת טעמו (וביארנו לעיל הטעמים שנאמרו בביאור הדבר שבנימוח הגיד צריכים ס' כנגדו).   </w:t>
      </w:r>
      <w:r w:rsidR="00A23049" w:rsidRPr="00882F11">
        <w:rPr>
          <w:rFonts w:cs="Guttman Drogolin" w:hint="cs"/>
          <w:rtl/>
          <w:lang w:bidi="he-IL"/>
        </w:rPr>
        <w:t xml:space="preserve"> </w:t>
      </w:r>
    </w:p>
    <w:p w:rsidR="003207B9" w:rsidRPr="00882F11" w:rsidRDefault="00B077B0" w:rsidP="006D0A1E">
      <w:pPr>
        <w:pStyle w:val="Heading1"/>
        <w:bidi/>
        <w:spacing w:before="0" w:line="240" w:lineRule="auto"/>
        <w:jc w:val="center"/>
        <w:rPr>
          <w:rFonts w:cs="Guttman Drogolin"/>
          <w:color w:val="auto"/>
          <w:sz w:val="24"/>
          <w:szCs w:val="24"/>
          <w:u w:val="single"/>
          <w:rtl/>
          <w:lang w:bidi="he-IL"/>
        </w:rPr>
      </w:pPr>
      <w:bookmarkStart w:id="369" w:name="_Toc496175617"/>
      <w:r w:rsidRPr="00882F11">
        <w:rPr>
          <w:rFonts w:cs="Guttman Drogolin" w:hint="cs"/>
          <w:color w:val="auto"/>
          <w:sz w:val="24"/>
          <w:szCs w:val="24"/>
          <w:u w:val="single"/>
          <w:rtl/>
          <w:lang w:bidi="he-IL"/>
        </w:rPr>
        <w:t>מאכל שאינו פגום מעצמו כלל אבל פוגם תבשיל אחר, ושוב נכנס טעמו לתוך כלי</w:t>
      </w:r>
      <w:bookmarkEnd w:id="369"/>
    </w:p>
    <w:p w:rsidR="006D4A68" w:rsidRPr="00882F11" w:rsidRDefault="000A59AA" w:rsidP="000A59AA">
      <w:pPr>
        <w:tabs>
          <w:tab w:val="right" w:pos="7497"/>
        </w:tabs>
        <w:bidi/>
        <w:jc w:val="both"/>
        <w:rPr>
          <w:rFonts w:cs="Guttman Drogolin"/>
          <w:rtl/>
          <w:lang w:bidi="he-IL"/>
        </w:rPr>
      </w:pPr>
      <w:r>
        <w:rPr>
          <w:rFonts w:cs="Guttman Drogolin"/>
          <w:rtl/>
          <w:lang w:bidi="he-IL"/>
        </w:rPr>
        <w:fldChar w:fldCharType="begin"/>
      </w:r>
      <w:r>
        <w:instrText xml:space="preserve"> XE "</w:instrText>
      </w:r>
      <w:r w:rsidRPr="00DD7A89">
        <w:rPr>
          <w:rFonts w:hint="cs"/>
          <w:rtl/>
          <w:lang w:bidi="he-IL"/>
        </w:rPr>
        <w:instrText>נותן טעם לפגם</w:instrText>
      </w:r>
      <w:r w:rsidRPr="00DD7A89">
        <w:rPr>
          <w:rtl/>
        </w:rPr>
        <w:instrText>:</w:instrText>
      </w:r>
      <w:r>
        <w:rPr>
          <w:rFonts w:hint="cs"/>
          <w:rtl/>
          <w:lang w:bidi="he-IL"/>
        </w:rPr>
        <w:instrText>אינו פגום מעצמו ופוגם תבשיל ושוב נכנס לתוך כלי</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DD7A89">
        <w:rPr>
          <w:rFonts w:hint="cs"/>
          <w:rtl/>
          <w:lang w:bidi="he-IL"/>
        </w:rPr>
        <w:instrText>נותן טעם לפגם</w:instrText>
      </w:r>
      <w:r w:rsidRPr="00DD7A89">
        <w:rPr>
          <w:rtl/>
        </w:rPr>
        <w:instrText>:</w:instrText>
      </w:r>
      <w:r>
        <w:rPr>
          <w:rFonts w:hint="cs"/>
          <w:rtl/>
          <w:lang w:bidi="he-IL"/>
        </w:rPr>
        <w:instrText>במאכל שנכנס בה ראשון ולא במאכל השני</w:instrText>
      </w:r>
      <w:r>
        <w:instrText xml:space="preserve">" </w:instrText>
      </w:r>
      <w:r>
        <w:rPr>
          <w:rFonts w:cs="Guttman Drogolin"/>
          <w:rtl/>
          <w:lang w:bidi="he-IL"/>
        </w:rPr>
        <w:fldChar w:fldCharType="end"/>
      </w:r>
      <w:r w:rsidR="00B077B0" w:rsidRPr="00882F11">
        <w:rPr>
          <w:rFonts w:cs="Guttman Drogolin" w:hint="cs"/>
          <w:rtl/>
          <w:lang w:bidi="he-IL"/>
        </w:rPr>
        <w:t>הדין של נטל"פ אינו מחייב שהמאכל האסור יהא פגום מעצמו כלל, וסגי לן בזה שהוא פוגם התבשיל של היתר שנכנס לתוכו</w:t>
      </w:r>
      <w:r w:rsidR="00B077B0" w:rsidRPr="00882F11">
        <w:rPr>
          <w:rStyle w:val="FootnoteReference"/>
          <w:rFonts w:cs="Guttman Drogolin"/>
          <w:rtl/>
          <w:lang w:bidi="he-IL"/>
        </w:rPr>
        <w:footnoteReference w:id="381"/>
      </w:r>
      <w:r w:rsidR="00B077B0" w:rsidRPr="00882F11">
        <w:rPr>
          <w:rFonts w:cs="Guttman Drogolin" w:hint="cs"/>
          <w:rtl/>
          <w:lang w:bidi="he-IL"/>
        </w:rPr>
        <w:t xml:space="preserve">. ומ"מ כתב הרמ"א </w:t>
      </w:r>
      <w:r w:rsidR="006D4A68" w:rsidRPr="00882F11">
        <w:rPr>
          <w:rFonts w:cs="Guttman Drogolin" w:hint="cs"/>
          <w:rtl/>
          <w:lang w:bidi="he-IL"/>
        </w:rPr>
        <w:t xml:space="preserve">בסע' ב' </w:t>
      </w:r>
      <w:r w:rsidR="00B077B0" w:rsidRPr="00882F11">
        <w:rPr>
          <w:rFonts w:cs="Guttman Drogolin" w:hint="cs"/>
          <w:rtl/>
          <w:lang w:bidi="he-IL"/>
        </w:rPr>
        <w:t xml:space="preserve">שאם נכנס טעם של הדבר איסור לתוך כלי, הכלי יכול לאסור תבשיל אחר אם הטעם של המאכל האסור נותן טעם לשבח במאכל החדש. </w:t>
      </w:r>
      <w:r w:rsidR="006D4A68" w:rsidRPr="00882F11">
        <w:rPr>
          <w:rFonts w:cs="Guttman Drogolin" w:hint="cs"/>
          <w:rtl/>
          <w:lang w:bidi="he-IL"/>
        </w:rPr>
        <w:t xml:space="preserve">והטעם פשוט דהא הטעם של איסור אף פעם לא ניתר בעצם רק שאינו אוסר כל זמן שהוא לפגם, ועכשיו שהוא לשבח הרי הוא אוסר. אמנם כתב הרמ"א דהנ"מ בתבשיל הראשון, אבל אם הכניס כף לתוך התבשיל הראשון ושוב הכניס אותו לתוך תבשיל שני שהוא פוגם גם את התבשיל ההיא, לא נאסרה הקדרה השני' ואפילו אם יבשלו בה לאחר מכן תבשיל אחר שבה הוא לשבח אינו אוסר. וטעם משום שאחרי שעבר לתוך תבשיל א' וב' וכו' הרי הוא נ"ט בר נ"ט, וכיון שלא הי' אסור בזה שעבר ממקום למקום הרי זה בכלל נ"ט בר נ"ט דהיתירא ומותרת. </w:t>
      </w:r>
    </w:p>
    <w:p w:rsidR="005765DB" w:rsidRPr="00882F11" w:rsidRDefault="000A59AA" w:rsidP="006D4A68">
      <w:pPr>
        <w:tabs>
          <w:tab w:val="right" w:pos="7497"/>
        </w:tabs>
        <w:bidi/>
        <w:jc w:val="both"/>
        <w:rPr>
          <w:rFonts w:cs="Guttman Drogolin"/>
          <w:rtl/>
          <w:lang w:bidi="he-IL"/>
        </w:rPr>
      </w:pPr>
      <w:r>
        <w:rPr>
          <w:rFonts w:cs="Guttman Drogolin"/>
          <w:rtl/>
          <w:lang w:bidi="he-IL"/>
        </w:rPr>
        <w:fldChar w:fldCharType="begin"/>
      </w:r>
      <w:r>
        <w:instrText xml:space="preserve"> XE "</w:instrText>
      </w:r>
      <w:r w:rsidRPr="00F9108B">
        <w:rPr>
          <w:rFonts w:hint="cs"/>
          <w:rtl/>
          <w:lang w:bidi="he-IL"/>
        </w:rPr>
        <w:instrText>נ</w:instrText>
      </w:r>
      <w:r>
        <w:rPr>
          <w:rFonts w:eastAsiaTheme="minorEastAsia"/>
          <w:lang w:bidi="he-IL"/>
        </w:rPr>
        <w:instrText>\</w:instrText>
      </w:r>
      <w:r w:rsidRPr="00F9108B">
        <w:rPr>
          <w:rFonts w:hint="cs"/>
          <w:rtl/>
          <w:lang w:bidi="he-IL"/>
        </w:rPr>
        <w:instrText>"ט בר נ</w:instrText>
      </w:r>
      <w:r>
        <w:rPr>
          <w:rFonts w:eastAsiaTheme="minorEastAsia"/>
          <w:lang w:bidi="he-IL"/>
        </w:rPr>
        <w:instrText>\</w:instrText>
      </w:r>
      <w:r w:rsidRPr="00F9108B">
        <w:rPr>
          <w:rFonts w:hint="cs"/>
          <w:rtl/>
          <w:lang w:bidi="he-IL"/>
        </w:rPr>
        <w:instrText>"ט</w:instrText>
      </w:r>
      <w:r w:rsidRPr="00F9108B">
        <w:rPr>
          <w:rtl/>
        </w:rPr>
        <w:instrText>:</w:instrText>
      </w:r>
      <w:r w:rsidRPr="00F9108B">
        <w:rPr>
          <w:rFonts w:hint="cs"/>
          <w:rtl/>
          <w:lang w:bidi="he-IL"/>
        </w:rPr>
        <w:instrText>נטל</w:instrText>
      </w:r>
      <w:r>
        <w:rPr>
          <w:rFonts w:eastAsiaTheme="minorEastAsia"/>
          <w:lang w:bidi="he-IL"/>
        </w:rPr>
        <w:instrText>\</w:instrText>
      </w:r>
      <w:r w:rsidRPr="00F9108B">
        <w:rPr>
          <w:rFonts w:hint="cs"/>
          <w:rtl/>
          <w:lang w:bidi="he-IL"/>
        </w:rPr>
        <w:instrText>"פ במאכל א' ושוב נכנס למאכל שבה אינו לפגם</w:instrText>
      </w:r>
      <w:r>
        <w:instrText xml:space="preserve">" </w:instrText>
      </w:r>
      <w:r>
        <w:rPr>
          <w:rFonts w:cs="Guttman Drogolin"/>
          <w:rtl/>
          <w:lang w:bidi="he-IL"/>
        </w:rPr>
        <w:fldChar w:fldCharType="end"/>
      </w:r>
      <w:r w:rsidR="006D4A68" w:rsidRPr="00882F11">
        <w:rPr>
          <w:rFonts w:cs="Guttman Drogolin" w:hint="cs"/>
          <w:rtl/>
          <w:lang w:bidi="he-IL"/>
        </w:rPr>
        <w:t>ויש בדבריו כמ</w:t>
      </w:r>
      <w:r w:rsidR="00B412A8" w:rsidRPr="00882F11">
        <w:rPr>
          <w:rFonts w:cs="Guttman Drogolin" w:hint="cs"/>
          <w:rtl/>
          <w:lang w:bidi="he-IL"/>
        </w:rPr>
        <w:t>ה</w:t>
      </w:r>
      <w:r w:rsidR="006D4A68" w:rsidRPr="00882F11">
        <w:rPr>
          <w:rFonts w:cs="Guttman Drogolin" w:hint="cs"/>
          <w:rtl/>
          <w:lang w:bidi="he-IL"/>
        </w:rPr>
        <w:t xml:space="preserve"> הערות. חדא דלכאורה </w:t>
      </w:r>
      <w:r w:rsidR="00B412A8" w:rsidRPr="00882F11">
        <w:rPr>
          <w:rFonts w:cs="Guttman Drogolin" w:hint="cs"/>
          <w:rtl/>
          <w:lang w:bidi="he-IL"/>
        </w:rPr>
        <w:t>ה</w:t>
      </w:r>
      <w:r w:rsidR="006D4A68" w:rsidRPr="00882F11">
        <w:rPr>
          <w:rFonts w:cs="Guttman Drogolin" w:hint="cs"/>
          <w:rtl/>
          <w:lang w:bidi="he-IL"/>
        </w:rPr>
        <w:t xml:space="preserve">רי זה דומה לחמץ שנחלקו בה הפוסקים אם הוא נ"ט בר נ"ט דהיתירא או דאיסורא. שי"א דחמץ מיקרי נ"ט בר נ"ט דאיסורא אפילו לפני פסח קודם זמן איסור חמץ, ומשום ש'חמץ שמו עליו'. ור"ל שלא נאמר הדין של נ"ט בר נ"ט דהיתירא אלא בדבר שצריכים לחדש לה השם איסור, אבל בחמץ </w:t>
      </w:r>
      <w:r w:rsidR="00B412A8" w:rsidRPr="00882F11">
        <w:rPr>
          <w:rFonts w:cs="Guttman Drogolin" w:hint="cs"/>
          <w:rtl/>
          <w:lang w:bidi="he-IL"/>
        </w:rPr>
        <w:t>ה</w:t>
      </w:r>
      <w:r w:rsidR="006D4A68" w:rsidRPr="00882F11">
        <w:rPr>
          <w:rFonts w:cs="Guttman Drogolin" w:hint="cs"/>
          <w:rtl/>
          <w:lang w:bidi="he-IL"/>
        </w:rPr>
        <w:t xml:space="preserve">רי הוא חמץ גם מעיקרא, רק עדיין לא הגיע זמן איסורו, אבל לכשיגיע זמן איסורו הרי הוא יאסר ממילא ולא צריכים לזה </w:t>
      </w:r>
      <w:r w:rsidR="005765DB" w:rsidRPr="00882F11">
        <w:rPr>
          <w:rFonts w:cs="Guttman Drogolin" w:hint="cs"/>
          <w:rtl/>
          <w:lang w:bidi="he-IL"/>
        </w:rPr>
        <w:t xml:space="preserve">חלות איסור, ולכן ליתי' </w:t>
      </w:r>
      <w:r w:rsidR="005765DB" w:rsidRPr="00882F11">
        <w:rPr>
          <w:rFonts w:cs="Guttman Drogolin" w:hint="cs"/>
          <w:rtl/>
          <w:lang w:bidi="he-IL"/>
        </w:rPr>
        <w:lastRenderedPageBreak/>
        <w:t>ל</w:t>
      </w:r>
      <w:r w:rsidR="00522ADE">
        <w:rPr>
          <w:rFonts w:cs="Guttman Drogolin" w:hint="cs"/>
          <w:rtl/>
          <w:lang w:bidi="he-IL"/>
        </w:rPr>
        <w:t>ה</w:t>
      </w:r>
      <w:r w:rsidR="005765DB" w:rsidRPr="00882F11">
        <w:rPr>
          <w:rFonts w:cs="Guttman Drogolin" w:hint="cs"/>
          <w:rtl/>
          <w:lang w:bidi="he-IL"/>
        </w:rPr>
        <w:t>יתירא דנ"ט בר נ"ט. וא"כ צ"ע למה התיר כאן הרמ"א לאחר שעבר כמה נ"ט, הא הרי הוא כחמץ ששמו עליו (ויתכן שרמ"א לא החמיר בזה, וכמו בסי' תנ"ב שהתיר להגעיל קודם שעה חמישית משום דהוי נ"ט בר נ"ט).</w:t>
      </w:r>
    </w:p>
    <w:p w:rsidR="0043786E" w:rsidRPr="00882F11" w:rsidRDefault="005765DB" w:rsidP="00F84CE8">
      <w:pPr>
        <w:tabs>
          <w:tab w:val="right" w:pos="7497"/>
        </w:tabs>
        <w:bidi/>
        <w:jc w:val="both"/>
        <w:rPr>
          <w:rFonts w:cs="Guttman Drogolin"/>
          <w:rtl/>
          <w:lang w:bidi="he-IL"/>
        </w:rPr>
      </w:pPr>
      <w:r w:rsidRPr="00882F11">
        <w:rPr>
          <w:rFonts w:cs="Guttman Drogolin" w:hint="cs"/>
          <w:rtl/>
          <w:lang w:bidi="he-IL"/>
        </w:rPr>
        <w:t>ומצאתי לרע"א בהגהות שו"ע באו"ח סי' תנ"ב מג"א ס"ק ו'. שהמג"</w:t>
      </w:r>
      <w:r w:rsidR="0043786E" w:rsidRPr="00882F11">
        <w:rPr>
          <w:rFonts w:cs="Guttman Drogolin" w:hint="cs"/>
          <w:rtl/>
          <w:lang w:bidi="he-IL"/>
        </w:rPr>
        <w:t>א שם הביא דברי</w:t>
      </w:r>
      <w:r w:rsidRPr="00882F11">
        <w:rPr>
          <w:rFonts w:cs="Guttman Drogolin" w:hint="cs"/>
          <w:rtl/>
          <w:lang w:bidi="he-IL"/>
        </w:rPr>
        <w:t xml:space="preserve"> </w:t>
      </w:r>
      <w:r w:rsidR="00F84CE8" w:rsidRPr="00882F11">
        <w:rPr>
          <w:rFonts w:cs="Guttman Drogolin" w:hint="cs"/>
          <w:rtl/>
          <w:lang w:bidi="he-IL"/>
        </w:rPr>
        <w:t xml:space="preserve">שו"ת </w:t>
      </w:r>
      <w:r w:rsidRPr="00882F11">
        <w:rPr>
          <w:rFonts w:cs="Guttman Drogolin" w:hint="cs"/>
          <w:rtl/>
          <w:lang w:bidi="he-IL"/>
        </w:rPr>
        <w:t xml:space="preserve">הרשב"א </w:t>
      </w:r>
      <w:r w:rsidR="00F84CE8" w:rsidRPr="00882F11">
        <w:rPr>
          <w:rFonts w:cs="Guttman Drogolin" w:hint="cs"/>
          <w:rtl/>
          <w:lang w:bidi="he-IL"/>
        </w:rPr>
        <w:t>(סי' רס"ב ו</w:t>
      </w:r>
      <w:r w:rsidRPr="00882F11">
        <w:rPr>
          <w:rFonts w:cs="Guttman Drogolin" w:hint="cs"/>
          <w:rtl/>
          <w:lang w:bidi="he-IL"/>
        </w:rPr>
        <w:t>מובא בב"י</w:t>
      </w:r>
      <w:r w:rsidR="00F84CE8" w:rsidRPr="00882F11">
        <w:rPr>
          <w:rFonts w:cs="Guttman Drogolin" w:hint="cs"/>
          <w:rtl/>
          <w:lang w:bidi="he-IL"/>
        </w:rPr>
        <w:t xml:space="preserve"> שם</w:t>
      </w:r>
      <w:r w:rsidRPr="00882F11">
        <w:rPr>
          <w:rFonts w:cs="Guttman Drogolin" w:hint="cs"/>
          <w:rtl/>
          <w:lang w:bidi="he-IL"/>
        </w:rPr>
        <w:t>)</w:t>
      </w:r>
      <w:r w:rsidR="0043786E" w:rsidRPr="00882F11">
        <w:rPr>
          <w:rFonts w:cs="Guttman Drogolin" w:hint="cs"/>
          <w:rtl/>
          <w:lang w:bidi="he-IL"/>
        </w:rPr>
        <w:t xml:space="preserve"> שאם מגעיל הרבה כלים א' אחרי השני שצריכים ששים כנגד כל הכלים שמגעיל. ואע"ג שבשעה שמגעיל הראשון הא יש ששים כנגד הכלי ההוא, מ"מ כיון שלבסוף יהיו עוד כלים, הרי הטעם של כל הכלים מעורר הטעם הראשון והוא חוזר וניעור. ורע"א תמה עליו, שלכאורה הטעם הראשון אע"פ שהוא חוז</w:t>
      </w:r>
      <w:r w:rsidR="00B412A8" w:rsidRPr="00882F11">
        <w:rPr>
          <w:rFonts w:cs="Guttman Drogolin" w:hint="cs"/>
          <w:rtl/>
          <w:lang w:bidi="he-IL"/>
        </w:rPr>
        <w:t>ר</w:t>
      </w:r>
      <w:r w:rsidR="0043786E" w:rsidRPr="00882F11">
        <w:rPr>
          <w:rFonts w:cs="Guttman Drogolin" w:hint="cs"/>
          <w:rtl/>
          <w:lang w:bidi="he-IL"/>
        </w:rPr>
        <w:t xml:space="preserve"> וניעור הא כבר ניתר והוי נ"ט בר נ"ט ומותר. והוכיח שכן הדין מדברי הרמ"א כאן. וכתב שאין זה דומה לחמץ ששמו עליו</w:t>
      </w:r>
      <w:bookmarkStart w:id="370" w:name="_Ref485978154"/>
      <w:r w:rsidR="004C1DB8" w:rsidRPr="00882F11">
        <w:rPr>
          <w:rStyle w:val="FootnoteReference"/>
          <w:rFonts w:cs="Guttman Drogolin"/>
          <w:rtl/>
          <w:lang w:bidi="he-IL"/>
        </w:rPr>
        <w:footnoteReference w:id="382"/>
      </w:r>
      <w:bookmarkEnd w:id="370"/>
      <w:r w:rsidR="0043786E" w:rsidRPr="00882F11">
        <w:rPr>
          <w:rFonts w:cs="Guttman Drogolin" w:hint="cs"/>
          <w:rtl/>
          <w:lang w:bidi="he-IL"/>
        </w:rPr>
        <w:t xml:space="preserve">, דהנ"מ </w:t>
      </w:r>
      <w:r w:rsidR="00B412A8" w:rsidRPr="00882F11">
        <w:rPr>
          <w:rFonts w:cs="Guttman Drogolin" w:hint="cs"/>
          <w:rtl/>
          <w:lang w:bidi="he-IL"/>
        </w:rPr>
        <w:t>כ</w:t>
      </w:r>
      <w:r w:rsidR="0043786E" w:rsidRPr="00882F11">
        <w:rPr>
          <w:rFonts w:cs="Guttman Drogolin" w:hint="cs"/>
          <w:rtl/>
          <w:lang w:bidi="he-IL"/>
        </w:rPr>
        <w:t>שהוא בעין רק עדיין לא נאסר, אבל בזמן שהוא בטל בששים, לא בטל מיני' רק החלות איסור, אלא גם בטל מיני' השם חמץ או חלב או דם, ולכן אין לומר 'שמו עליו' ולכן הרי הוא מותר (וע"ש דלמ"ד נתבשלו שאני יש לדון)</w:t>
      </w:r>
      <w:r w:rsidR="00351EDC" w:rsidRPr="00882F11">
        <w:rPr>
          <w:rStyle w:val="FootnoteReference"/>
          <w:rFonts w:cs="Guttman Drogolin"/>
          <w:rtl/>
          <w:lang w:bidi="he-IL"/>
        </w:rPr>
        <w:footnoteReference w:id="383"/>
      </w:r>
      <w:r w:rsidR="0043786E" w:rsidRPr="00882F11">
        <w:rPr>
          <w:rFonts w:cs="Guttman Drogolin" w:hint="cs"/>
          <w:rtl/>
          <w:lang w:bidi="he-IL"/>
        </w:rPr>
        <w:t xml:space="preserve">. </w:t>
      </w:r>
    </w:p>
    <w:p w:rsidR="001F2D80" w:rsidRPr="00882F11" w:rsidRDefault="0043786E" w:rsidP="001F2D80">
      <w:pPr>
        <w:tabs>
          <w:tab w:val="right" w:pos="7497"/>
        </w:tabs>
        <w:bidi/>
        <w:jc w:val="both"/>
        <w:rPr>
          <w:rFonts w:cs="Guttman Drogolin"/>
          <w:rtl/>
          <w:lang w:bidi="he-IL"/>
        </w:rPr>
      </w:pPr>
      <w:r w:rsidRPr="00882F11">
        <w:rPr>
          <w:rFonts w:cs="Guttman Drogolin" w:hint="cs"/>
          <w:rtl/>
          <w:lang w:bidi="he-IL"/>
        </w:rPr>
        <w:t>וע' בחזו"א (או"ח</w:t>
      </w:r>
      <w:r w:rsidR="001F2D80" w:rsidRPr="00882F11">
        <w:rPr>
          <w:rFonts w:cs="Guttman Drogolin" w:hint="cs"/>
          <w:rtl/>
          <w:lang w:bidi="he-IL"/>
        </w:rPr>
        <w:t xml:space="preserve"> סי' ק"כ ס"ק ג'</w:t>
      </w:r>
      <w:r w:rsidRPr="00882F11">
        <w:rPr>
          <w:rFonts w:cs="Guttman Drogolin" w:hint="cs"/>
          <w:rtl/>
          <w:lang w:bidi="he-IL"/>
        </w:rPr>
        <w:t>)</w:t>
      </w:r>
      <w:r w:rsidR="001F2D80" w:rsidRPr="00882F11">
        <w:rPr>
          <w:rFonts w:cs="Guttman Drogolin" w:hint="cs"/>
          <w:rtl/>
          <w:lang w:bidi="he-IL"/>
        </w:rPr>
        <w:t xml:space="preserve"> </w:t>
      </w:r>
      <w:r w:rsidRPr="00882F11">
        <w:rPr>
          <w:rFonts w:cs="Guttman Drogolin" w:hint="cs"/>
          <w:rtl/>
          <w:lang w:bidi="he-IL"/>
        </w:rPr>
        <w:t>שהבין שכוונת רע"א לחלוק על המג"א לדינא ולומר דכה"ג לא אמרינן חוזר וניעור. וכתב על זה החזו"א דלא מסתבר שהרמ"א כאן הי' מיקל שלא כדעת הרשב"א. ולכן נקט שאין שום סתירה בין הרמ"א לדברי הרשב"א, והוא משום דעד כאן לא אמרינן הכא שיש כאן היתר של נ"ט</w:t>
      </w:r>
      <w:r w:rsidRPr="00882F11">
        <w:rPr>
          <w:rFonts w:cs="Guttman Drogolin"/>
          <w:lang w:bidi="he-IL"/>
        </w:rPr>
        <w:t xml:space="preserve"> </w:t>
      </w:r>
      <w:r w:rsidRPr="00882F11">
        <w:rPr>
          <w:rFonts w:cs="Guttman Drogolin" w:hint="cs"/>
          <w:rtl/>
          <w:lang w:bidi="he-IL"/>
        </w:rPr>
        <w:t>בר נ"ט אלא</w:t>
      </w:r>
      <w:r w:rsidR="001F2D80" w:rsidRPr="00882F11">
        <w:rPr>
          <w:rFonts w:cs="Guttman Drogolin" w:hint="cs"/>
          <w:rtl/>
          <w:lang w:bidi="he-IL"/>
        </w:rPr>
        <w:t xml:space="preserve"> בנידון הרמ"א שבזמן שהוא נכנס לתבשיל אחר הוא ענין מחודש שעדיין לא הי' לו טעם זה, ולכן שפיר שייך </w:t>
      </w:r>
      <w:r w:rsidR="001F2D80" w:rsidRPr="00882F11">
        <w:rPr>
          <w:rFonts w:cs="Guttman Drogolin" w:hint="cs"/>
          <w:rtl/>
          <w:lang w:bidi="he-IL"/>
        </w:rPr>
        <w:lastRenderedPageBreak/>
        <w:t>הדין של נ"ט בר נ"ט, משא"כ בהא דרשב"א שאינו אלא ריבוי הטעם הקודם דשפיר י"ל דעדייו נחשב איסורא בלע. (וע"ש שהביא שבאג</w:t>
      </w:r>
      <w:r w:rsidR="00522ADE">
        <w:rPr>
          <w:rFonts w:cs="Guttman Drogolin" w:hint="cs"/>
          <w:rtl/>
          <w:lang w:bidi="he-IL"/>
        </w:rPr>
        <w:t>ל</w:t>
      </w:r>
      <w:r w:rsidR="001F2D80" w:rsidRPr="00882F11">
        <w:rPr>
          <w:rFonts w:cs="Guttman Drogolin" w:hint="cs"/>
          <w:rtl/>
          <w:lang w:bidi="he-IL"/>
        </w:rPr>
        <w:t>י טל הבין שאין כוונת הרמ"א להתיר אלא לפי סברת הסמ"ק בדין נ"ט בר נ"ט, דהוא סבר שבעצם נ"ט בר נ"ט שייך גם באיסורא רק דאמרינן חענ"ן, ולכן בנטל"פ דלא אמרינן חענ"ן הרי הוא מותר, וע"ש שכתב שאין זה מסתבר כיון שהראשונים כתבו לחלק ביניהם אפילו לר' אפרים דלא אמרינן חענ"ן בשאר איסורים. וע"ש עוד מש"כ בעיקר דעת הסמ"ק).</w:t>
      </w:r>
    </w:p>
    <w:p w:rsidR="003F530E" w:rsidRPr="00882F11" w:rsidRDefault="001F2D80" w:rsidP="00B072CC">
      <w:pPr>
        <w:tabs>
          <w:tab w:val="right" w:pos="7497"/>
        </w:tabs>
        <w:bidi/>
        <w:jc w:val="both"/>
        <w:rPr>
          <w:rFonts w:cs="Guttman Drogolin"/>
          <w:rtl/>
          <w:lang w:bidi="he-IL"/>
        </w:rPr>
      </w:pPr>
      <w:r w:rsidRPr="00882F11">
        <w:rPr>
          <w:rFonts w:cs="Guttman Drogolin" w:hint="cs"/>
          <w:rtl/>
          <w:lang w:bidi="he-IL"/>
        </w:rPr>
        <w:t xml:space="preserve">עוד הקשה הט"ז על דברי הרמ"א דלמה הצריך שיכניס לתוך ב' תבשילים שבשניהם הטעם לפגם, הא אפילו אם הכניס הכף לתוך המאכל של איסור בפני עצמו שאינו פגום, ושוב הכניס הכף לתבשיל שההוא פוגמו, הרי הוא נ"ט בר נ"ט כשיגיע לקדרה ולא יאסר. והנקוה"כ דחה דהא בעינן ג' נ"ט דהיתירא, ובהגהות רע"א על הפמ"ג תמה על הנקוה"כ דהא גם ג' נ"ט יש, מן התבשיל הראשון לכף, ומן הכף לתבשיל השני, ומן התבשיל לקדרה. ועדיין היתר. והביא שבמש"ז סי' צ"ו ס"ק ט' מבואר דלית לן דינא דנ"ט בר נ"ט אלא בכה"ג </w:t>
      </w:r>
      <w:r w:rsidR="00B072CC" w:rsidRPr="00882F11">
        <w:rPr>
          <w:rFonts w:cs="Guttman Drogolin" w:hint="cs"/>
          <w:rtl/>
          <w:lang w:bidi="he-IL"/>
        </w:rPr>
        <w:t>שהטעם הראשון היתה ג"כ בהיתר, וזה שהאחרון היתה בהיתר לא סגי לן. ולכאורה צ"ע אמאי, הא רק באחרון צריכים לחלות האיסור, וכיון שלא חל כיון שנחלש מה איכפת לן שבשעה שנחלש היתה עדיין איסור. וצ"ע.</w:t>
      </w:r>
      <w:r w:rsidRPr="00882F11">
        <w:rPr>
          <w:rFonts w:cs="Guttman Drogolin" w:hint="cs"/>
          <w:rtl/>
          <w:lang w:bidi="he-IL"/>
        </w:rPr>
        <w:t xml:space="preserve"> </w:t>
      </w:r>
      <w:r w:rsidR="0043786E" w:rsidRPr="00882F11">
        <w:rPr>
          <w:rFonts w:cs="Guttman Drogolin" w:hint="cs"/>
          <w:rtl/>
          <w:lang w:bidi="he-IL"/>
        </w:rPr>
        <w:t xml:space="preserve">   </w:t>
      </w:r>
      <w:r w:rsidR="005765DB" w:rsidRPr="00882F11">
        <w:rPr>
          <w:rFonts w:cs="Guttman Drogolin" w:hint="cs"/>
          <w:rtl/>
          <w:lang w:bidi="he-IL"/>
        </w:rPr>
        <w:t xml:space="preserve">  </w:t>
      </w:r>
      <w:r w:rsidR="006D4A68" w:rsidRPr="00882F11">
        <w:rPr>
          <w:rFonts w:cs="Guttman Drogolin" w:hint="cs"/>
          <w:rtl/>
          <w:lang w:bidi="he-IL"/>
        </w:rPr>
        <w:t xml:space="preserve">     </w:t>
      </w:r>
    </w:p>
    <w:p w:rsidR="00A75A56" w:rsidRPr="00882F11" w:rsidRDefault="00A75A56" w:rsidP="00B700C7">
      <w:pPr>
        <w:tabs>
          <w:tab w:val="right" w:pos="7497"/>
        </w:tabs>
        <w:bidi/>
        <w:jc w:val="both"/>
        <w:rPr>
          <w:rFonts w:cs="Guttman Drogolin"/>
          <w:rtl/>
          <w:lang w:bidi="he-IL"/>
        </w:rPr>
        <w:sectPr w:rsidR="00A75A56" w:rsidRPr="00882F11" w:rsidSect="00891DE2">
          <w:type w:val="continuous"/>
          <w:pgSz w:w="11907" w:h="16839" w:code="9"/>
          <w:pgMar w:top="1440" w:right="1440" w:bottom="1440" w:left="1440" w:header="720" w:footer="720" w:gutter="0"/>
          <w:cols w:num="2" w:space="720"/>
          <w:bidi/>
          <w:docGrid w:linePitch="360"/>
        </w:sectPr>
      </w:pPr>
    </w:p>
    <w:p w:rsidR="00A75A56" w:rsidRPr="006D0A1E" w:rsidRDefault="00A75A56" w:rsidP="00A75A56">
      <w:pPr>
        <w:keepNext/>
        <w:tabs>
          <w:tab w:val="left" w:pos="3818"/>
          <w:tab w:val="center" w:pos="4680"/>
        </w:tabs>
        <w:bidi/>
        <w:jc w:val="center"/>
        <w:rPr>
          <w:rFonts w:cs="Guttman Drogolin"/>
          <w:b/>
          <w:bCs/>
          <w:sz w:val="48"/>
          <w:szCs w:val="48"/>
          <w:rtl/>
          <w:lang w:bidi="he-IL"/>
        </w:rPr>
      </w:pPr>
      <w:r w:rsidRPr="006D0A1E">
        <w:rPr>
          <w:rFonts w:cs="Guttman Drogolin" w:hint="cs"/>
          <w:b/>
          <w:bCs/>
          <w:sz w:val="48"/>
          <w:szCs w:val="48"/>
          <w:rtl/>
          <w:lang w:bidi="he-IL"/>
        </w:rPr>
        <w:lastRenderedPageBreak/>
        <w:t>שיעור צ"א</w:t>
      </w:r>
    </w:p>
    <w:p w:rsidR="006D0A1E" w:rsidRDefault="006D0A1E" w:rsidP="009409D4">
      <w:pPr>
        <w:pStyle w:val="Heading1"/>
        <w:bidi/>
        <w:spacing w:before="0" w:line="360" w:lineRule="auto"/>
        <w:jc w:val="center"/>
        <w:rPr>
          <w:rFonts w:cs="Guttman Drogolin"/>
          <w:color w:val="auto"/>
          <w:sz w:val="24"/>
          <w:szCs w:val="24"/>
          <w:u w:val="single"/>
          <w:rtl/>
          <w:lang w:bidi="he-IL"/>
        </w:rPr>
        <w:sectPr w:rsidR="006D0A1E" w:rsidSect="006D0A1E">
          <w:pgSz w:w="11907" w:h="16839" w:code="9"/>
          <w:pgMar w:top="1440" w:right="1440" w:bottom="1440" w:left="1440" w:header="720" w:footer="720" w:gutter="0"/>
          <w:cols w:space="720"/>
          <w:bidi/>
          <w:docGrid w:linePitch="360"/>
        </w:sectPr>
      </w:pPr>
    </w:p>
    <w:p w:rsidR="00A75A56" w:rsidRPr="00882F11" w:rsidRDefault="009409D4" w:rsidP="009409D4">
      <w:pPr>
        <w:pStyle w:val="Heading1"/>
        <w:bidi/>
        <w:spacing w:before="0" w:line="360" w:lineRule="auto"/>
        <w:jc w:val="center"/>
        <w:rPr>
          <w:rFonts w:cs="Guttman Drogolin"/>
          <w:color w:val="auto"/>
          <w:sz w:val="24"/>
          <w:szCs w:val="24"/>
          <w:u w:val="single"/>
          <w:rtl/>
          <w:lang w:bidi="he-IL"/>
        </w:rPr>
      </w:pPr>
      <w:bookmarkStart w:id="371" w:name="_Toc496175618"/>
      <w:r w:rsidRPr="00882F11">
        <w:rPr>
          <w:rFonts w:cs="Guttman Drogolin" w:hint="cs"/>
          <w:color w:val="auto"/>
          <w:sz w:val="24"/>
          <w:szCs w:val="24"/>
          <w:u w:val="single"/>
          <w:rtl/>
          <w:lang w:bidi="he-IL"/>
        </w:rPr>
        <w:lastRenderedPageBreak/>
        <w:t>השביח ולבסוף פגם, ופגם ולבסוף השביח</w:t>
      </w:r>
      <w:bookmarkEnd w:id="371"/>
    </w:p>
    <w:p w:rsidR="007A34C7" w:rsidRPr="00882F11" w:rsidRDefault="000A59AA" w:rsidP="000A59AA">
      <w:pPr>
        <w:tabs>
          <w:tab w:val="right" w:pos="7497"/>
        </w:tabs>
        <w:bidi/>
        <w:jc w:val="both"/>
        <w:rPr>
          <w:rFonts w:cs="Guttman Drogolin"/>
          <w:rtl/>
          <w:lang w:bidi="he-IL"/>
        </w:rPr>
      </w:pPr>
      <w:r>
        <w:rPr>
          <w:rFonts w:cs="Guttman Drogolin"/>
          <w:rtl/>
          <w:lang w:bidi="he-IL"/>
        </w:rPr>
        <w:fldChar w:fldCharType="begin"/>
      </w:r>
      <w:r>
        <w:instrText xml:space="preserve"> XE "</w:instrText>
      </w:r>
      <w:r w:rsidRPr="00DD7A89">
        <w:rPr>
          <w:rFonts w:hint="cs"/>
          <w:rtl/>
          <w:lang w:bidi="he-IL"/>
        </w:rPr>
        <w:instrText>נותן טעם לפגם</w:instrText>
      </w:r>
      <w:r w:rsidRPr="00DD7A89">
        <w:rPr>
          <w:rtl/>
        </w:rPr>
        <w:instrText>:</w:instrText>
      </w:r>
      <w:r w:rsidRPr="00DD7A89">
        <w:rPr>
          <w:rFonts w:hint="cs"/>
          <w:rtl/>
          <w:lang w:bidi="he-IL"/>
        </w:rPr>
        <w:instrText>ה</w:instrText>
      </w:r>
      <w:r>
        <w:rPr>
          <w:rFonts w:hint="cs"/>
          <w:rtl/>
          <w:lang w:bidi="he-IL"/>
        </w:rPr>
        <w:instrText>שביח ולבסוף פגם</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DD7A89">
        <w:rPr>
          <w:rFonts w:hint="cs"/>
          <w:rtl/>
          <w:lang w:bidi="he-IL"/>
        </w:rPr>
        <w:instrText>נותן טעם לפגם</w:instrText>
      </w:r>
      <w:r w:rsidRPr="00DD7A89">
        <w:rPr>
          <w:rtl/>
        </w:rPr>
        <w:instrText>:</w:instrText>
      </w:r>
      <w:r>
        <w:rPr>
          <w:rFonts w:hint="cs"/>
          <w:rtl/>
          <w:lang w:bidi="he-IL"/>
        </w:rPr>
        <w:instrText>פגם ולבסוף השביח</w:instrText>
      </w:r>
      <w:r>
        <w:instrText xml:space="preserve">" </w:instrText>
      </w:r>
      <w:r>
        <w:rPr>
          <w:rFonts w:cs="Guttman Drogolin"/>
          <w:rtl/>
          <w:lang w:bidi="he-IL"/>
        </w:rPr>
        <w:fldChar w:fldCharType="end"/>
      </w:r>
      <w:r w:rsidR="009409D4" w:rsidRPr="00882F11">
        <w:rPr>
          <w:rFonts w:cs="Guttman Drogolin" w:hint="cs"/>
          <w:rtl/>
          <w:lang w:bidi="he-IL"/>
        </w:rPr>
        <w:t>המחבר בסע' ב'</w:t>
      </w:r>
      <w:r w:rsidR="007A34C7" w:rsidRPr="00882F11">
        <w:rPr>
          <w:rFonts w:cs="Guttman Drogolin" w:hint="cs"/>
          <w:rtl/>
          <w:lang w:bidi="he-IL"/>
        </w:rPr>
        <w:t xml:space="preserve"> הביא הדין דהשביח ולבסוף פגם, שהוא דין הגמ' שבדף ס"ז ע"א, ולעיל הבאנו הטעמים שנאמרו בדין זה</w:t>
      </w:r>
      <w:r w:rsidR="007A34C7" w:rsidRPr="00882F11">
        <w:rPr>
          <w:rStyle w:val="FootnoteReference"/>
          <w:rFonts w:cs="Guttman Drogolin"/>
          <w:rtl/>
          <w:lang w:bidi="he-IL"/>
        </w:rPr>
        <w:footnoteReference w:id="384"/>
      </w:r>
      <w:r w:rsidR="007A34C7" w:rsidRPr="00882F11">
        <w:rPr>
          <w:rFonts w:cs="Guttman Drogolin" w:hint="cs"/>
          <w:rtl/>
          <w:lang w:bidi="he-IL"/>
        </w:rPr>
        <w:t>. וכן הביא שגם פגם ולבסוף השביח אסור. ודבר זה אין לו מקור בגמ' אבל כתבוהו הרמב"ם והרשב"א, וכתב הב"י שמקורם מהשביח ולבסוף פגם, דכ"ש פגם ולבסוף השביח. ולכאורה ביאור הק"ו שהרי הי' טעם להקל בהשביח ולבסוף פגם כיון שמ"מ עכשיו הוא לפגם, וכ"ש דבר שהוא עכשיו לשבח. אבל לכאורה יש כאן חידוש, דבשלמא שתחילתו שבח הא בזמן שנכנס לתוך התבשיל אסרי', ולאחר מכן לא ניתר, ויתכן שהוא מדינא דחענ"ן וכמו שכתבו כמה ראשונים. אבל בנכנס לפגם הי' אפשר לומר שניתר ושוב אינו חוזר לאיסורו. וע"כ סבר הב"י שזו לא ס"ד. ועדיין הענין טעון ביאור קצת.</w:t>
      </w:r>
    </w:p>
    <w:p w:rsidR="007A34C7" w:rsidRPr="00882F11" w:rsidRDefault="007A34C7" w:rsidP="007A34C7">
      <w:pPr>
        <w:pStyle w:val="Heading1"/>
        <w:bidi/>
        <w:spacing w:before="0" w:line="360" w:lineRule="auto"/>
        <w:jc w:val="center"/>
        <w:rPr>
          <w:rFonts w:cs="Guttman Drogolin"/>
          <w:color w:val="auto"/>
          <w:sz w:val="24"/>
          <w:szCs w:val="24"/>
          <w:u w:val="single"/>
          <w:rtl/>
          <w:lang w:bidi="he-IL"/>
        </w:rPr>
      </w:pPr>
      <w:bookmarkStart w:id="372" w:name="_Toc496175619"/>
      <w:r w:rsidRPr="00882F11">
        <w:rPr>
          <w:rFonts w:cs="Guttman Drogolin" w:hint="cs"/>
          <w:color w:val="auto"/>
          <w:sz w:val="24"/>
          <w:szCs w:val="24"/>
          <w:u w:val="single"/>
          <w:rtl/>
          <w:lang w:bidi="he-IL"/>
        </w:rPr>
        <w:t>מה בכלל נותן טעם לפגם</w:t>
      </w:r>
      <w:bookmarkEnd w:id="372"/>
    </w:p>
    <w:p w:rsidR="00765E2D" w:rsidRPr="00882F11" w:rsidRDefault="000A59AA" w:rsidP="000A59AA">
      <w:pPr>
        <w:tabs>
          <w:tab w:val="right" w:pos="7497"/>
        </w:tabs>
        <w:bidi/>
        <w:jc w:val="both"/>
        <w:rPr>
          <w:rFonts w:cs="Guttman Drogolin"/>
          <w:rtl/>
          <w:lang w:bidi="he-IL"/>
        </w:rPr>
      </w:pPr>
      <w:r>
        <w:rPr>
          <w:rFonts w:cs="Guttman Drogolin"/>
          <w:rtl/>
          <w:lang w:bidi="he-IL"/>
        </w:rPr>
        <w:fldChar w:fldCharType="begin"/>
      </w:r>
      <w:r>
        <w:instrText xml:space="preserve"> XE "</w:instrText>
      </w:r>
      <w:r w:rsidRPr="00DD7A89">
        <w:rPr>
          <w:rFonts w:hint="cs"/>
          <w:rtl/>
          <w:lang w:bidi="he-IL"/>
        </w:rPr>
        <w:instrText>נותן טעם לפגם</w:instrText>
      </w:r>
      <w:r w:rsidRPr="00DD7A89">
        <w:rPr>
          <w:rtl/>
        </w:rPr>
        <w:instrText>:</w:instrText>
      </w:r>
      <w:r>
        <w:rPr>
          <w:rFonts w:hint="cs"/>
          <w:rtl/>
          <w:lang w:bidi="he-IL"/>
        </w:rPr>
        <w:instrText>גדר של טעם לפגם</w:instrText>
      </w:r>
      <w:r>
        <w:instrText xml:space="preserve">" </w:instrText>
      </w:r>
      <w:r>
        <w:rPr>
          <w:rFonts w:cs="Guttman Drogolin"/>
          <w:rtl/>
          <w:lang w:bidi="he-IL"/>
        </w:rPr>
        <w:fldChar w:fldCharType="end"/>
      </w:r>
      <w:r w:rsidR="007A34C7" w:rsidRPr="00882F11">
        <w:rPr>
          <w:rFonts w:cs="Guttman Drogolin" w:hint="cs"/>
          <w:rtl/>
          <w:lang w:bidi="he-IL"/>
        </w:rPr>
        <w:t xml:space="preserve">בסע' ד' דנו הב"י ושו"ע ונו"כ בדין בשר לתוך שמן או דבש אי הוי לפגם או לא. ואינו מבואר כל הצורך מהו הנידון, דהא פוק חזי אם הוא לפגם או לשבח. ואין לומר שהנידון אם הי' לשבח או לפגם בזמן הגמ', דהא קושיית הב"י היא מזה שנהגו בזמנו לבשל בשר עם דבש. </w:t>
      </w:r>
      <w:r w:rsidR="0031790A" w:rsidRPr="00882F11">
        <w:rPr>
          <w:rFonts w:cs="Guttman Drogolin" w:hint="cs"/>
          <w:rtl/>
          <w:lang w:bidi="he-IL"/>
        </w:rPr>
        <w:t xml:space="preserve">ועוד </w:t>
      </w:r>
      <w:r w:rsidR="00765E2D" w:rsidRPr="00882F11">
        <w:rPr>
          <w:rFonts w:cs="Guttman Drogolin" w:hint="cs"/>
          <w:rtl/>
          <w:lang w:bidi="he-IL"/>
        </w:rPr>
        <w:t>צ"ע מהו הקושיא של הב"י מזה שמבשלים בשר בדבש, הא שפיר י"ל שקצת דבש נ"ט לשבח בתבשיל של בשר, אבל דבר שכולו דבש ויש בה טעם בשר י"ל שהיא לפגם. ולכאורה מה שיש לומר בזה, דעד כמה שהדבש נותן טעם לשבח בבשר, אי אפשר להתיר דבש משום שיש בה טעם בשר, דהא ע"כ הוא נ"ט לשבח לענין זה שיכול לערבו בבשר. אבל לכאורה גם זה אינו מיישב כל הצואך, דהא גם יין שלא נפגם כלל מותר כל זמן שהוא בתבשיל שפוגמו, וכן יכול להכניסו לתבשיל אחר שהוא לשבח, ומ"מ לעת עתה הוא לפגם ומותר. וכל הענין צ"ע.</w:t>
      </w:r>
    </w:p>
    <w:p w:rsidR="00B700C7" w:rsidRPr="00882F11" w:rsidRDefault="00765E2D" w:rsidP="001F504E">
      <w:pPr>
        <w:tabs>
          <w:tab w:val="right" w:pos="7497"/>
        </w:tabs>
        <w:bidi/>
        <w:jc w:val="both"/>
        <w:rPr>
          <w:rFonts w:cs="Guttman Drogolin"/>
          <w:lang w:bidi="he-IL"/>
        </w:rPr>
      </w:pPr>
      <w:r w:rsidRPr="00882F11">
        <w:rPr>
          <w:rFonts w:cs="Guttman Drogolin" w:hint="cs"/>
          <w:rtl/>
          <w:lang w:bidi="he-IL"/>
        </w:rPr>
        <w:lastRenderedPageBreak/>
        <w:t xml:space="preserve">ובעיקר הנידון מה בכלל נ"ט לפגם, כתוב בס' האשכול </w:t>
      </w:r>
      <w:r w:rsidR="00FD62E3" w:rsidRPr="00882F11">
        <w:rPr>
          <w:rFonts w:cs="Guttman Drogolin" w:hint="cs"/>
          <w:rtl/>
          <w:lang w:bidi="he-IL"/>
        </w:rPr>
        <w:t>(ח</w:t>
      </w:r>
      <w:r w:rsidR="00FD62E3" w:rsidRPr="00882F11">
        <w:rPr>
          <w:rFonts w:cs="Guttman Drogolin"/>
          <w:rtl/>
          <w:lang w:bidi="he-IL"/>
        </w:rPr>
        <w:t>"</w:t>
      </w:r>
      <w:r w:rsidR="00FD62E3" w:rsidRPr="00882F11">
        <w:rPr>
          <w:rFonts w:cs="Guttman Drogolin" w:hint="cs"/>
          <w:rtl/>
          <w:lang w:bidi="he-IL"/>
        </w:rPr>
        <w:t>ג</w:t>
      </w:r>
      <w:r w:rsidR="00FD62E3" w:rsidRPr="00882F11">
        <w:rPr>
          <w:rFonts w:cs="Guttman Drogolin"/>
          <w:rtl/>
          <w:lang w:bidi="he-IL"/>
        </w:rPr>
        <w:t xml:space="preserve"> </w:t>
      </w:r>
      <w:r w:rsidR="00FD62E3" w:rsidRPr="00882F11">
        <w:rPr>
          <w:rFonts w:cs="Guttman Drogolin" w:hint="cs"/>
          <w:rtl/>
          <w:lang w:bidi="he-IL"/>
        </w:rPr>
        <w:t>סי</w:t>
      </w:r>
      <w:r w:rsidR="00FD62E3" w:rsidRPr="00882F11">
        <w:rPr>
          <w:rFonts w:cs="Guttman Drogolin"/>
          <w:rtl/>
          <w:lang w:bidi="he-IL"/>
        </w:rPr>
        <w:t xml:space="preserve">' </w:t>
      </w:r>
      <w:r w:rsidR="00FD62E3" w:rsidRPr="00882F11">
        <w:rPr>
          <w:rFonts w:cs="Guttman Drogolin" w:hint="cs"/>
          <w:rtl/>
          <w:lang w:bidi="he-IL"/>
        </w:rPr>
        <w:t>ל</w:t>
      </w:r>
      <w:r w:rsidR="00FD62E3" w:rsidRPr="00882F11">
        <w:rPr>
          <w:rFonts w:cs="Guttman Drogolin"/>
          <w:rtl/>
          <w:lang w:bidi="he-IL"/>
        </w:rPr>
        <w:t>"</w:t>
      </w:r>
      <w:r w:rsidR="00FD62E3" w:rsidRPr="00882F11">
        <w:rPr>
          <w:rFonts w:cs="Guttman Drogolin" w:hint="cs"/>
          <w:rtl/>
          <w:lang w:bidi="he-IL"/>
        </w:rPr>
        <w:t>ה) בשם יש</w:t>
      </w:r>
      <w:r w:rsidR="00FD62E3" w:rsidRPr="00882F11">
        <w:rPr>
          <w:rFonts w:cs="Guttman Drogolin"/>
          <w:rtl/>
          <w:lang w:bidi="he-IL"/>
        </w:rPr>
        <w:t xml:space="preserve"> </w:t>
      </w:r>
      <w:r w:rsidR="00FD62E3" w:rsidRPr="00882F11">
        <w:rPr>
          <w:rFonts w:cs="Guttman Drogolin" w:hint="cs"/>
          <w:rtl/>
          <w:lang w:bidi="he-IL"/>
        </w:rPr>
        <w:t>מי</w:t>
      </w:r>
      <w:r w:rsidR="00FD62E3" w:rsidRPr="00882F11">
        <w:rPr>
          <w:rFonts w:cs="Guttman Drogolin"/>
          <w:rtl/>
          <w:lang w:bidi="he-IL"/>
        </w:rPr>
        <w:t xml:space="preserve"> </w:t>
      </w:r>
      <w:r w:rsidR="00FD62E3" w:rsidRPr="00882F11">
        <w:rPr>
          <w:rFonts w:cs="Guttman Drogolin" w:hint="cs"/>
          <w:rtl/>
          <w:lang w:bidi="he-IL"/>
        </w:rPr>
        <w:t>שאומר</w:t>
      </w:r>
      <w:r w:rsidR="00FD62E3" w:rsidRPr="00882F11">
        <w:rPr>
          <w:rFonts w:cs="Guttman Drogolin"/>
          <w:rtl/>
          <w:lang w:bidi="he-IL"/>
        </w:rPr>
        <w:t xml:space="preserve"> </w:t>
      </w:r>
      <w:r w:rsidR="00FD62E3" w:rsidRPr="00882F11">
        <w:rPr>
          <w:rFonts w:cs="Guttman Drogolin" w:hint="cs"/>
          <w:rtl/>
          <w:lang w:bidi="he-IL"/>
        </w:rPr>
        <w:t>שאין</w:t>
      </w:r>
      <w:r w:rsidR="00FD62E3" w:rsidRPr="00882F11">
        <w:rPr>
          <w:rFonts w:cs="Guttman Drogolin"/>
          <w:rtl/>
          <w:lang w:bidi="he-IL"/>
        </w:rPr>
        <w:t xml:space="preserve"> </w:t>
      </w:r>
      <w:r w:rsidR="00FD62E3" w:rsidRPr="00882F11">
        <w:rPr>
          <w:rFonts w:cs="Guttman Drogolin" w:hint="cs"/>
          <w:rtl/>
          <w:lang w:bidi="he-IL"/>
        </w:rPr>
        <w:t>אנו</w:t>
      </w:r>
      <w:r w:rsidR="00FD62E3" w:rsidRPr="00882F11">
        <w:rPr>
          <w:rFonts w:cs="Guttman Drogolin"/>
          <w:rtl/>
          <w:lang w:bidi="he-IL"/>
        </w:rPr>
        <w:t xml:space="preserve"> </w:t>
      </w:r>
      <w:r w:rsidR="00FD62E3" w:rsidRPr="00882F11">
        <w:rPr>
          <w:rFonts w:cs="Guttman Drogolin" w:hint="cs"/>
          <w:rtl/>
          <w:lang w:bidi="he-IL"/>
        </w:rPr>
        <w:t>בקיאין</w:t>
      </w:r>
      <w:r w:rsidR="00FD62E3" w:rsidRPr="00882F11">
        <w:rPr>
          <w:rFonts w:cs="Guttman Drogolin"/>
          <w:rtl/>
          <w:lang w:bidi="he-IL"/>
        </w:rPr>
        <w:t xml:space="preserve"> </w:t>
      </w:r>
      <w:r w:rsidR="00FD62E3" w:rsidRPr="00882F11">
        <w:rPr>
          <w:rFonts w:cs="Guttman Drogolin" w:hint="cs"/>
          <w:rtl/>
          <w:lang w:bidi="he-IL"/>
        </w:rPr>
        <w:t>מה</w:t>
      </w:r>
      <w:r w:rsidR="00FD62E3" w:rsidRPr="00882F11">
        <w:rPr>
          <w:rFonts w:cs="Guttman Drogolin"/>
          <w:rtl/>
          <w:lang w:bidi="he-IL"/>
        </w:rPr>
        <w:t xml:space="preserve"> </w:t>
      </w:r>
      <w:r w:rsidR="00FD62E3" w:rsidRPr="00882F11">
        <w:rPr>
          <w:rFonts w:cs="Guttman Drogolin" w:hint="cs"/>
          <w:rtl/>
          <w:lang w:bidi="he-IL"/>
        </w:rPr>
        <w:t>נטל</w:t>
      </w:r>
      <w:r w:rsidR="00FD62E3" w:rsidRPr="00882F11">
        <w:rPr>
          <w:rFonts w:cs="Guttman Drogolin"/>
          <w:rtl/>
          <w:lang w:bidi="he-IL"/>
        </w:rPr>
        <w:t>"</w:t>
      </w:r>
      <w:r w:rsidR="00FD62E3" w:rsidRPr="00882F11">
        <w:rPr>
          <w:rFonts w:cs="Guttman Drogolin" w:hint="cs"/>
          <w:rtl/>
          <w:lang w:bidi="he-IL"/>
        </w:rPr>
        <w:t>פ</w:t>
      </w:r>
      <w:r w:rsidR="00FD62E3" w:rsidRPr="00882F11">
        <w:rPr>
          <w:rFonts w:cs="Guttman Drogolin"/>
          <w:rtl/>
          <w:lang w:bidi="he-IL"/>
        </w:rPr>
        <w:t xml:space="preserve"> </w:t>
      </w:r>
      <w:r w:rsidR="00FD62E3" w:rsidRPr="00882F11">
        <w:rPr>
          <w:rFonts w:cs="Guttman Drogolin" w:hint="cs"/>
          <w:rtl/>
          <w:lang w:bidi="he-IL"/>
        </w:rPr>
        <w:t>ושא"א לסמוך אלא מה שידוע לנו מרבותינו. והנה לכאורה דבר זה לא נתקבל בעצם, דהא מבואר בסי' צ"ח סע' א' שסומכים על טעימת קפילא אם הוא אומר לנו שהוא לפגם, ולכאורה איך אפשר לסמוך עליו, דהא אין לנו אלא מה שאמרו חכמים. אע"ג שיש לדחות דמיירי שיש לנו ספק אם הי' בה מן הדברים שאמרו חכמים לפגם, מ"מ הפשטות היא שאם מרגישים שהוא לפגם לא מסתפקים אולי אינו כן. ומ"מ נראה שקשה לסמוך על זה בטעמים המרובים של ימינו, אא"כ אדם ב</w:t>
      </w:r>
      <w:r w:rsidR="001F504E" w:rsidRPr="00882F11">
        <w:rPr>
          <w:rFonts w:cs="Guttman Drogolin" w:hint="cs"/>
          <w:rtl/>
          <w:lang w:bidi="he-IL"/>
        </w:rPr>
        <w:t>ט</w:t>
      </w:r>
      <w:r w:rsidR="00FD62E3" w:rsidRPr="00882F11">
        <w:rPr>
          <w:rFonts w:cs="Guttman Drogolin" w:hint="cs"/>
          <w:rtl/>
          <w:lang w:bidi="he-IL"/>
        </w:rPr>
        <w:t>ו</w:t>
      </w:r>
      <w:r w:rsidR="001F504E" w:rsidRPr="00882F11">
        <w:rPr>
          <w:rFonts w:cs="Guttman Drogolin" w:hint="cs"/>
          <w:rtl/>
          <w:lang w:bidi="he-IL"/>
        </w:rPr>
        <w:t>ח</w:t>
      </w:r>
      <w:r w:rsidR="00FD62E3" w:rsidRPr="00882F11">
        <w:rPr>
          <w:rFonts w:cs="Guttman Drogolin" w:hint="cs"/>
          <w:rtl/>
          <w:lang w:bidi="he-IL"/>
        </w:rPr>
        <w:t xml:space="preserve"> בנפשו שהוא אמנם נטל"פ. ולכן בדר"כ (ולא תמיד) השאלות של נטל"פ הם בבליעות של כלי שאינו ב"י. </w:t>
      </w:r>
      <w:r w:rsidR="007A34C7" w:rsidRPr="00882F11">
        <w:rPr>
          <w:rFonts w:cs="Guttman Drogolin" w:hint="cs"/>
          <w:rtl/>
          <w:lang w:bidi="he-IL"/>
        </w:rPr>
        <w:t xml:space="preserve"> </w:t>
      </w:r>
    </w:p>
    <w:p w:rsidR="00FD62E3" w:rsidRPr="00882F11" w:rsidRDefault="00DD75BD" w:rsidP="00DD75BD">
      <w:pPr>
        <w:pStyle w:val="Heading1"/>
        <w:bidi/>
        <w:spacing w:before="0" w:line="360" w:lineRule="auto"/>
        <w:jc w:val="center"/>
        <w:rPr>
          <w:rFonts w:cs="Guttman Drogolin"/>
          <w:color w:val="auto"/>
          <w:sz w:val="24"/>
          <w:szCs w:val="24"/>
          <w:u w:val="single"/>
          <w:rtl/>
          <w:lang w:bidi="he-IL"/>
        </w:rPr>
      </w:pPr>
      <w:bookmarkStart w:id="373" w:name="_Toc496175620"/>
      <w:r w:rsidRPr="00882F11">
        <w:rPr>
          <w:rFonts w:cs="Guttman Drogolin" w:hint="cs"/>
          <w:color w:val="auto"/>
          <w:sz w:val="24"/>
          <w:szCs w:val="24"/>
          <w:u w:val="single"/>
          <w:rtl/>
          <w:lang w:bidi="he-IL"/>
        </w:rPr>
        <w:t>מה נחשב 'אינו בן יומו'</w:t>
      </w:r>
      <w:bookmarkEnd w:id="373"/>
    </w:p>
    <w:p w:rsidR="00DD75BD" w:rsidRPr="00882F11" w:rsidRDefault="000A59AA" w:rsidP="00DD75BD">
      <w:pPr>
        <w:tabs>
          <w:tab w:val="right" w:pos="7497"/>
        </w:tabs>
        <w:bidi/>
        <w:jc w:val="both"/>
        <w:rPr>
          <w:rFonts w:cs="Guttman Drogolin"/>
          <w:rtl/>
          <w:lang w:bidi="he-IL"/>
        </w:rPr>
      </w:pPr>
      <w:r>
        <w:rPr>
          <w:rFonts w:cs="Guttman Drogolin"/>
          <w:rtl/>
          <w:lang w:bidi="he-IL"/>
        </w:rPr>
        <w:fldChar w:fldCharType="begin"/>
      </w:r>
      <w:r>
        <w:instrText xml:space="preserve"> XE "</w:instrText>
      </w:r>
      <w:r w:rsidRPr="00F8130A">
        <w:rPr>
          <w:rFonts w:hint="cs"/>
          <w:rtl/>
          <w:lang w:bidi="he-IL"/>
        </w:rPr>
        <w:instrText>כלי שאינו בן יומו</w:instrText>
      </w:r>
      <w:r w:rsidRPr="00F8130A">
        <w:rPr>
          <w:rtl/>
        </w:rPr>
        <w:instrText>:</w:instrText>
      </w:r>
      <w:r w:rsidRPr="00F8130A">
        <w:rPr>
          <w:rFonts w:hint="cs"/>
          <w:rtl/>
          <w:lang w:bidi="he-IL"/>
        </w:rPr>
        <w:instrText>מהו הזמן של בן יומו</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834CDA">
        <w:rPr>
          <w:rFonts w:hint="cs"/>
          <w:rtl/>
          <w:lang w:bidi="he-IL"/>
        </w:rPr>
        <w:instrText>נותן טעם לפגם</w:instrText>
      </w:r>
      <w:r>
        <w:instrText>" \t "</w:instrText>
      </w:r>
      <w:r w:rsidRPr="000E6700">
        <w:rPr>
          <w:rFonts w:cs="Times New Roman" w:hint="cs"/>
          <w:i/>
          <w:rtl/>
          <w:lang w:bidi="he-IL"/>
        </w:rPr>
        <w:instrText>ע</w:instrText>
      </w:r>
      <w:r w:rsidRPr="000E6700">
        <w:rPr>
          <w:rFonts w:cstheme="minorHAnsi" w:hint="cs"/>
          <w:i/>
          <w:rtl/>
          <w:lang w:bidi="he-IL"/>
        </w:rPr>
        <w:instrText xml:space="preserve">' </w:instrText>
      </w:r>
      <w:r w:rsidRPr="000E6700">
        <w:rPr>
          <w:rFonts w:cs="Times New Roman" w:hint="cs"/>
          <w:i/>
          <w:rtl/>
          <w:lang w:bidi="he-IL"/>
        </w:rPr>
        <w:instrText>גם כלי שאינו בן יומו</w:instrText>
      </w:r>
      <w:r>
        <w:instrText xml:space="preserve">" </w:instrText>
      </w:r>
      <w:r>
        <w:rPr>
          <w:rFonts w:cs="Guttman Drogolin"/>
          <w:rtl/>
          <w:lang w:bidi="he-IL"/>
        </w:rPr>
        <w:fldChar w:fldCharType="end"/>
      </w:r>
      <w:r w:rsidR="00DD75BD" w:rsidRPr="00882F11">
        <w:rPr>
          <w:rFonts w:cs="Guttman Drogolin" w:hint="cs"/>
          <w:rtl/>
          <w:lang w:bidi="he-IL"/>
        </w:rPr>
        <w:t xml:space="preserve">נחלקו הראשונים מהו בכלל השיעור של אינו בן יומו. י"א דר"ל שעבר עליו לינת לילה, וי"א דבעינן שיעור מעל"ע מזמן שנכנס הבליעה. ובשיטה זו שמספיק לינת לילה ג"כ הסתפקו אם ר"ל דתחילת הלילה פוגמת או"ד סוף הלילה או"ד זה שעבר לילה שלימה. ולהלכה השו"ע בסע' ה' סתם להחמיר שלא נחשב אינו בן יומו אא"כ עבר עליו מעל"ע. אבל בסע' ז' הקיל הרמ"א כשיטת אלו הסוברים דסגי בלינת לילה ביחד עם הסברא שי"א שאם בישל מים בינתיים מ"מ מונים מזמן בליעת האיסור ולא מזמן בישול המים, ובכה"ג שעבר זמן של מעל"ע מזמן בליעת האיסור. והיינו שעם עוד סניף להקל אפשר להקל דלינת לילה בלבד פוגמת. וע' ברע"א שהביא באמת כה"ג מן המנח"י (כלל נ"ט ס"ק ט') שמצרפים שיטת ר"ת לכל ספק. </w:t>
      </w:r>
    </w:p>
    <w:p w:rsidR="00351EDC" w:rsidRPr="00882F11" w:rsidRDefault="00DD75BD" w:rsidP="00DD75BD">
      <w:pPr>
        <w:tabs>
          <w:tab w:val="right" w:pos="7497"/>
        </w:tabs>
        <w:bidi/>
        <w:jc w:val="both"/>
        <w:rPr>
          <w:rFonts w:cs="Guttman Drogolin"/>
          <w:rtl/>
          <w:lang w:bidi="he-IL"/>
        </w:rPr>
      </w:pPr>
      <w:r w:rsidRPr="00882F11">
        <w:rPr>
          <w:rFonts w:cs="Guttman Drogolin" w:hint="cs"/>
          <w:rtl/>
          <w:lang w:bidi="he-IL"/>
        </w:rPr>
        <w:t xml:space="preserve">וכבר הבאנו פעם הערת הכרו"פ רסי' ק"ה, שלכאורה יש מדברי ר"ת גם לקולא, דהא אם בישל איסור באמצע הלילה, לפי השיטה השני' אחרי שעבר מעל"ע יהא חשוב לפגם. אבל לפי </w:t>
      </w:r>
      <w:r w:rsidRPr="00882F11">
        <w:rPr>
          <w:rFonts w:cs="Guttman Drogolin" w:hint="cs"/>
          <w:rtl/>
          <w:lang w:bidi="he-IL"/>
        </w:rPr>
        <w:lastRenderedPageBreak/>
        <w:t xml:space="preserve">השיטה דלינת לילה פוגמת, הא עדיין לא עבר לילה שלימה עד הבוקר שלאחרי. וסתימת הפוסקים </w:t>
      </w:r>
      <w:r w:rsidR="00351EDC" w:rsidRPr="00882F11">
        <w:rPr>
          <w:rFonts w:cs="Guttman Drogolin" w:hint="cs"/>
          <w:rtl/>
          <w:lang w:bidi="he-IL"/>
        </w:rPr>
        <w:t>מזה משמע שלא מחמירים כן. והיינו או משום שמספיק לנו זה שי"א הזמן הוא מעל"ע, וכן י"א דסגי לן תחילת או סוף הלילה, וכן י"ל דלילה כולה פוגמת אע"ג שלא עבר כל הלילה בת אחת, רק חלק ממנו בבסוף הלילה</w:t>
      </w:r>
      <w:r w:rsidRPr="00882F11">
        <w:rPr>
          <w:rFonts w:cs="Guttman Drogolin" w:hint="cs"/>
          <w:rtl/>
          <w:lang w:bidi="he-IL"/>
        </w:rPr>
        <w:t xml:space="preserve"> </w:t>
      </w:r>
      <w:r w:rsidR="00351EDC" w:rsidRPr="00882F11">
        <w:rPr>
          <w:rFonts w:cs="Guttman Drogolin" w:hint="cs"/>
          <w:rtl/>
          <w:lang w:bidi="he-IL"/>
        </w:rPr>
        <w:t>שלפני, וחלק בסוף הלילה שלאחרי</w:t>
      </w:r>
      <w:r w:rsidR="00351EDC" w:rsidRPr="00882F11">
        <w:rPr>
          <w:rStyle w:val="FootnoteReference"/>
          <w:rFonts w:cs="Guttman Drogolin"/>
          <w:rtl/>
          <w:lang w:bidi="he-IL"/>
        </w:rPr>
        <w:footnoteReference w:id="385"/>
      </w:r>
      <w:r w:rsidR="00351EDC" w:rsidRPr="00882F11">
        <w:rPr>
          <w:rFonts w:cs="Guttman Drogolin" w:hint="cs"/>
          <w:rtl/>
          <w:lang w:bidi="he-IL"/>
        </w:rPr>
        <w:t>. ובמגי"ס רצה לומר דכו"ע מודו לזה דמעל"ע פוגם. ויל"ע אם יש מקורות לזה.</w:t>
      </w:r>
      <w:r w:rsidRPr="00882F11">
        <w:rPr>
          <w:rFonts w:cs="Guttman Drogolin" w:hint="cs"/>
          <w:rtl/>
          <w:lang w:bidi="he-IL"/>
        </w:rPr>
        <w:t xml:space="preserve"> </w:t>
      </w:r>
      <w:r w:rsidR="006D2B80" w:rsidRPr="00882F11">
        <w:rPr>
          <w:rFonts w:cs="Guttman Drogolin" w:hint="cs"/>
          <w:rtl/>
          <w:lang w:bidi="he-IL"/>
        </w:rPr>
        <w:t xml:space="preserve"> </w:t>
      </w:r>
    </w:p>
    <w:p w:rsidR="00351EDC" w:rsidRPr="00882F11" w:rsidRDefault="00351EDC" w:rsidP="00351EDC">
      <w:pPr>
        <w:pStyle w:val="Heading1"/>
        <w:bidi/>
        <w:spacing w:before="0" w:line="360" w:lineRule="auto"/>
        <w:jc w:val="center"/>
        <w:rPr>
          <w:rFonts w:cs="Guttman Drogolin"/>
          <w:color w:val="auto"/>
          <w:sz w:val="24"/>
          <w:szCs w:val="24"/>
          <w:u w:val="single"/>
          <w:rtl/>
          <w:lang w:bidi="he-IL"/>
        </w:rPr>
      </w:pPr>
      <w:bookmarkStart w:id="374" w:name="_Toc496175621"/>
      <w:r w:rsidRPr="00882F11">
        <w:rPr>
          <w:rFonts w:cs="Guttman Drogolin" w:hint="cs"/>
          <w:color w:val="auto"/>
          <w:sz w:val="24"/>
          <w:szCs w:val="24"/>
          <w:u w:val="single"/>
          <w:rtl/>
          <w:lang w:bidi="he-IL"/>
        </w:rPr>
        <w:t>דבר חריף בתוך תבשיל</w:t>
      </w:r>
      <w:bookmarkEnd w:id="374"/>
    </w:p>
    <w:p w:rsidR="00F76589" w:rsidRPr="00882F11" w:rsidRDefault="00F2315A" w:rsidP="00351EDC">
      <w:pPr>
        <w:tabs>
          <w:tab w:val="right" w:pos="7497"/>
        </w:tabs>
        <w:bidi/>
        <w:jc w:val="both"/>
        <w:rPr>
          <w:rFonts w:cs="Guttman Drogolin"/>
          <w:rtl/>
          <w:lang w:bidi="he-IL"/>
        </w:rPr>
      </w:pPr>
      <w:r>
        <w:rPr>
          <w:rFonts w:cs="Guttman Drogolin"/>
          <w:rtl/>
          <w:lang w:bidi="he-IL"/>
        </w:rPr>
        <w:fldChar w:fldCharType="begin"/>
      </w:r>
      <w:r>
        <w:instrText xml:space="preserve"> XE "</w:instrText>
      </w:r>
      <w:r w:rsidRPr="00351E2C">
        <w:rPr>
          <w:rFonts w:hint="cs"/>
          <w:rtl/>
          <w:lang w:bidi="he-IL"/>
        </w:rPr>
        <w:instrText>דבר חריף</w:instrText>
      </w:r>
      <w:r w:rsidRPr="00351E2C">
        <w:rPr>
          <w:rtl/>
        </w:rPr>
        <w:instrText>:</w:instrText>
      </w:r>
      <w:r w:rsidRPr="00351E2C">
        <w:rPr>
          <w:rFonts w:hint="cs"/>
          <w:rtl/>
          <w:lang w:bidi="he-IL"/>
        </w:rPr>
        <w:instrText>בתוך תבשיל שאינו חריף</w:instrText>
      </w:r>
      <w:r>
        <w:instrText xml:space="preserve">" </w:instrText>
      </w:r>
      <w:r>
        <w:rPr>
          <w:rFonts w:cs="Guttman Drogolin"/>
          <w:rtl/>
          <w:lang w:bidi="he-IL"/>
        </w:rPr>
        <w:fldChar w:fldCharType="end"/>
      </w:r>
      <w:r w:rsidR="00351EDC" w:rsidRPr="00882F11">
        <w:rPr>
          <w:rFonts w:cs="Guttman Drogolin" w:hint="cs"/>
          <w:rtl/>
          <w:lang w:bidi="he-IL"/>
        </w:rPr>
        <w:t xml:space="preserve">הב"י הביא מאגור בשם מרדכי שאם הכניסו פלפלין בתוך תבשיל לא איכפת לן זה שהקדרה אינה בן יומ וכיון דחורפי' דתבלין מחליא לשבח. והעיר הט"ז שהרי הרמ"א בסי' צ"ה סע' ב' משמע שרק אם רוב התבשיל חריף יש לו דין דבר חריף, אבל קצת תבשיל לא, וא"כ מאי שנעא הכא שהחמירו, והרמ"א לא השיג כאן. ותי' הט"ז שהסידו הוא ד"בעינן </w:t>
      </w:r>
      <w:r w:rsidR="00DD0FC4" w:rsidRPr="00882F11">
        <w:rPr>
          <w:rFonts w:cs="Guttman Drogolin" w:hint="cs"/>
          <w:rtl/>
          <w:lang w:bidi="he-IL"/>
        </w:rPr>
        <w:t xml:space="preserve">עכ"פ בתבלין חלק גדול שהוא נרגש הרבה בקדרה". והיינו לכאורה שהכל לפי הענין, ואם עדיין יש לו חריפות אע"ג שאינו הרוב נשאר לו הדין של דבר חריף. </w:t>
      </w:r>
    </w:p>
    <w:p w:rsidR="00AA43F2" w:rsidRPr="00882F11" w:rsidRDefault="00F76589" w:rsidP="00F76589">
      <w:pPr>
        <w:tabs>
          <w:tab w:val="right" w:pos="7497"/>
        </w:tabs>
        <w:bidi/>
        <w:jc w:val="both"/>
        <w:rPr>
          <w:rFonts w:cs="Guttman Drogolin"/>
          <w:rtl/>
          <w:lang w:bidi="he-IL"/>
        </w:rPr>
      </w:pPr>
      <w:r w:rsidRPr="00882F11">
        <w:rPr>
          <w:rFonts w:cs="Guttman Drogolin" w:hint="cs"/>
          <w:rtl/>
          <w:lang w:bidi="he-IL"/>
        </w:rPr>
        <w:t>והסתפקתי בגדר הדין. דמה יהא הדין בכה"ג שיש גרגירי פלפל שאינם טחונים בתחתית הקדרה, בענין שאינם נרגשים הרבה בתוך התבשיל עצמו, אבל כשלעצמן חריפי טובא, האם מליעתם בתוך הקדרה הוי לשבח, כיון שבעצמם חריפים הם, או"ד כיון שביחס לשאר התבשיל אינו טעם גדול, הרי זה מחליש את עצם כחל התבלין ולכן גם הם אינם עושים הבליעות שבקדרה לשבח. וצ"ע.</w:t>
      </w:r>
      <w:r w:rsidR="006D2B80" w:rsidRPr="00882F11">
        <w:rPr>
          <w:rFonts w:cs="Guttman Drogolin" w:hint="cs"/>
          <w:rtl/>
          <w:lang w:bidi="he-IL"/>
        </w:rPr>
        <w:t xml:space="preserve">  </w:t>
      </w:r>
      <w:r w:rsidR="00B46740" w:rsidRPr="00882F11">
        <w:rPr>
          <w:rFonts w:cs="Guttman Drogolin" w:hint="cs"/>
          <w:rtl/>
          <w:lang w:bidi="he-IL"/>
        </w:rPr>
        <w:t xml:space="preserve"> </w:t>
      </w:r>
      <w:r w:rsidR="00ED649A" w:rsidRPr="00882F11">
        <w:rPr>
          <w:rFonts w:cs="Guttman Drogolin" w:hint="cs"/>
          <w:rtl/>
          <w:lang w:bidi="he-IL"/>
        </w:rPr>
        <w:t xml:space="preserve"> </w:t>
      </w:r>
      <w:r w:rsidR="00AA43F2" w:rsidRPr="00882F11">
        <w:rPr>
          <w:rFonts w:cs="Guttman Drogolin" w:hint="cs"/>
          <w:rtl/>
          <w:lang w:bidi="he-IL"/>
        </w:rPr>
        <w:t xml:space="preserve">   </w:t>
      </w:r>
    </w:p>
    <w:p w:rsidR="00F76589" w:rsidRPr="006D0A1E" w:rsidRDefault="00F76589" w:rsidP="006D0A1E">
      <w:pPr>
        <w:pStyle w:val="Heading1"/>
        <w:bidi/>
        <w:spacing w:before="0" w:line="240" w:lineRule="auto"/>
        <w:jc w:val="center"/>
        <w:rPr>
          <w:rFonts w:cs="Guttman Drogolin"/>
          <w:color w:val="auto"/>
          <w:sz w:val="24"/>
          <w:szCs w:val="24"/>
          <w:u w:val="single"/>
          <w:rtl/>
          <w:lang w:bidi="he-IL"/>
        </w:rPr>
      </w:pPr>
      <w:bookmarkStart w:id="375" w:name="_Toc496175622"/>
      <w:r w:rsidRPr="006D0A1E">
        <w:rPr>
          <w:rFonts w:cs="Guttman Drogolin" w:hint="cs"/>
          <w:color w:val="auto"/>
          <w:sz w:val="24"/>
          <w:szCs w:val="24"/>
          <w:u w:val="single"/>
          <w:rtl/>
          <w:lang w:bidi="he-IL"/>
        </w:rPr>
        <w:t>חענ"ן בבליעות של בב"ח בתוך מאכל היתר אליבא דר' אפרים</w:t>
      </w:r>
      <w:bookmarkEnd w:id="375"/>
    </w:p>
    <w:p w:rsidR="00356FD4" w:rsidRPr="00882F11" w:rsidRDefault="00F2315A" w:rsidP="00356FD4">
      <w:pPr>
        <w:tabs>
          <w:tab w:val="right" w:pos="7497"/>
        </w:tabs>
        <w:bidi/>
        <w:jc w:val="both"/>
        <w:rPr>
          <w:rFonts w:cs="Guttman Drogolin"/>
          <w:rtl/>
          <w:lang w:bidi="he-IL"/>
        </w:rPr>
      </w:pPr>
      <w:r>
        <w:rPr>
          <w:rFonts w:cs="Guttman Drogolin"/>
          <w:rtl/>
          <w:lang w:bidi="he-IL"/>
        </w:rPr>
        <w:fldChar w:fldCharType="begin"/>
      </w:r>
      <w:r>
        <w:instrText xml:space="preserve"> XE "</w:instrText>
      </w:r>
      <w:r w:rsidRPr="0092280C">
        <w:rPr>
          <w:rFonts w:hint="cs"/>
          <w:rtl/>
          <w:lang w:bidi="he-IL"/>
        </w:rPr>
        <w:instrText>חענ</w:instrText>
      </w:r>
      <w:r>
        <w:rPr>
          <w:rFonts w:eastAsiaTheme="minorEastAsia"/>
          <w:lang w:bidi="he-IL"/>
        </w:rPr>
        <w:instrText>\</w:instrText>
      </w:r>
      <w:r w:rsidRPr="0092280C">
        <w:rPr>
          <w:rFonts w:hint="cs"/>
          <w:rtl/>
          <w:lang w:bidi="he-IL"/>
        </w:rPr>
        <w:instrText>"ן</w:instrText>
      </w:r>
      <w:r w:rsidRPr="0092280C">
        <w:rPr>
          <w:rtl/>
        </w:rPr>
        <w:instrText>:</w:instrText>
      </w:r>
      <w:r w:rsidRPr="0092280C">
        <w:rPr>
          <w:rFonts w:hint="cs"/>
          <w:rtl/>
          <w:lang w:bidi="he-IL"/>
        </w:rPr>
        <w:instrText>בבלוע בבשר בחלב אליבא דר' אפרים</w:instrText>
      </w:r>
      <w:r>
        <w:instrText xml:space="preserve">" </w:instrText>
      </w:r>
      <w:r>
        <w:rPr>
          <w:rFonts w:cs="Guttman Drogolin"/>
          <w:rtl/>
          <w:lang w:bidi="he-IL"/>
        </w:rPr>
        <w:fldChar w:fldCharType="end"/>
      </w:r>
      <w:r w:rsidR="00F76589" w:rsidRPr="00882F11">
        <w:rPr>
          <w:rFonts w:cs="Guttman Drogolin" w:hint="cs"/>
          <w:rtl/>
          <w:lang w:bidi="he-IL"/>
        </w:rPr>
        <w:t xml:space="preserve">הב"י נקט שבבישלו מים בתוך מעל"ע יש לחלק בין בליעות של איסור לבליעות של היתר. </w:t>
      </w:r>
      <w:r w:rsidR="005472B7" w:rsidRPr="00882F11">
        <w:rPr>
          <w:rFonts w:cs="Guttman Drogolin" w:hint="cs"/>
          <w:rtl/>
          <w:lang w:bidi="he-IL"/>
        </w:rPr>
        <w:t xml:space="preserve">והטעם משום שבאיסור אמרינן חענ"ן משא"כ בהיתירא. והעיר הב"י דא"כ לדידן דלא קיי"ל לומר חענ"ן </w:t>
      </w:r>
      <w:r w:rsidR="005472B7" w:rsidRPr="00882F11">
        <w:rPr>
          <w:rFonts w:cs="Guttman Drogolin" w:hint="cs"/>
          <w:rtl/>
          <w:lang w:bidi="he-IL"/>
        </w:rPr>
        <w:lastRenderedPageBreak/>
        <w:t>בשאר איסורים, לא תשכחת לה אלא בב"ח, וא' מן המקרים של חענ"ן בבב"ח הוא מים שבלעו טעם בב"ח. והוא חידוש גדול לדינא, דהא לכאורה היסוד של חענ"ן בב"ח אליבא דר' אפרים היינו משום שיש ב' מאכלים של היתר שיוצאים איסור חדש ביחד, וזה לא שייך בדבר שכבר נאסר משום בב"ח ואוסר דבר היתר בטעמו, דזה לכאורה בכלל חענ"ן בשאר איסורים דלית לי' לר' אפרים. וכן העיר הש"ך כאן בדבריו. וע"כ דין זה אינו אלא מדרבנן אליבא דר' אפרים, ומטעם הנ"ל</w:t>
      </w:r>
      <w:r w:rsidR="00356FD4" w:rsidRPr="00882F11">
        <w:rPr>
          <w:rFonts w:cs="Guttman Drogolin" w:hint="cs"/>
          <w:rtl/>
          <w:lang w:bidi="he-IL"/>
        </w:rPr>
        <w:t xml:space="preserve"> (וכן דאל"כ יהי' לנו קושיא על שיטה זו מדברי התוס' במס' חולין דף ק' ע"ב- ע' לעיל שיעור נ' מזה)</w:t>
      </w:r>
      <w:r w:rsidR="005472B7" w:rsidRPr="00882F11">
        <w:rPr>
          <w:rFonts w:cs="Guttman Drogolin" w:hint="cs"/>
          <w:rtl/>
          <w:lang w:bidi="he-IL"/>
        </w:rPr>
        <w:t>. וא"כ צ"</w:t>
      </w:r>
      <w:r w:rsidR="00356FD4" w:rsidRPr="00882F11">
        <w:rPr>
          <w:rFonts w:cs="Guttman Drogolin" w:hint="cs"/>
          <w:rtl/>
          <w:lang w:bidi="he-IL"/>
        </w:rPr>
        <w:t>ע</w:t>
      </w:r>
      <w:r w:rsidR="005472B7" w:rsidRPr="00882F11">
        <w:rPr>
          <w:rFonts w:cs="Guttman Drogolin"/>
          <w:lang w:bidi="he-IL"/>
        </w:rPr>
        <w:t xml:space="preserve"> </w:t>
      </w:r>
      <w:r w:rsidR="005472B7" w:rsidRPr="00882F11">
        <w:rPr>
          <w:rFonts w:cs="Guttman Drogolin" w:hint="cs"/>
          <w:rtl/>
          <w:lang w:bidi="he-IL"/>
        </w:rPr>
        <w:t xml:space="preserve">מנ"ל לב"י לומר דבר כזה. וע' בהגהות רע"א לט"ז סי' צ' ס"ק ד' </w:t>
      </w:r>
      <w:r w:rsidR="00356FD4" w:rsidRPr="00882F11">
        <w:rPr>
          <w:rFonts w:cs="Guttman Drogolin" w:hint="cs"/>
          <w:rtl/>
          <w:lang w:bidi="he-IL"/>
        </w:rPr>
        <w:t xml:space="preserve">שכתב שהמקור לזה הוא ממה שבטיפת חלב שנפלה על החתיכה אנחנו אוסרים כל החתיכה. ולכאורה צ"ע דהא אינו אלא צלי, וליסגי לן בכדי נטילה. וע' בש"ך סי' צ"ב ס"ק ג' מש"כ בזה, וכן כתבנו מזה השיטות לעיל. וכתב רע"א שהב"י סבר כשיטת הש"ך בסי' ק"ה ס"ק י"ז שהכלל דאין הנאסר אוסר במקום שאין איסור יכול להתפשט לא נאמר אלא בחענ"ן בשאר איסורים, אבל בבב"ח הנאסר אוסר. ולכן רק ע"פ יסודו של הב"י הדברים מובנים היטב, שאחרי שנאסר הכדי נטילה הראשונה, גם הכדי נטיילה השני' נאסר, ואע"ג שהחלב אינו מתפשט יותר מכדי נטילה, מ"מ טעם הכדי נטילה עצמה מתפשטת, והוא הרי נאסר משום בבב"ח ולכן כל החומרות של בב"ח שייכים גם לו, ולכן הרי זה ממשיך עד שנאסר כל החתיכה. ויתכן עוד דסבר דסתימת דברי הראשונים משמע שהדין של בישל מים באמצע שייך גם לר' אפרים, והאופן היחיד שיהי' כן הוא אם ר' אפרים מודה שיש חענ"ן בכה"ג, וכשיטתו שהחילוק בין בישל איסור לבישל היתר משום דינא דחענ"ן. וילע" בזה. וצע"ק קצת בזה שהרמ"א והט"ז לא קפצו על השו"ע בזה, ולכאורה משמע קצת דסבירא להו כוותי' אליבא דר' אפרים (וקשה לדחות דכיון שהרמ"א החמיר חענ"ן בשאר איסורים לא העירו מזה כלום, דהא </w:t>
      </w:r>
      <w:r w:rsidR="00356FD4" w:rsidRPr="00882F11">
        <w:rPr>
          <w:rFonts w:cs="Guttman Drogolin" w:hint="cs"/>
          <w:rtl/>
          <w:lang w:bidi="he-IL"/>
        </w:rPr>
        <w:lastRenderedPageBreak/>
        <w:t>גם לדידהו יש נפק"מ בחתיכה שמקצתה בתוך הרוטב וכדמבואר ברמ"א שם).</w:t>
      </w:r>
      <w:r w:rsidR="005472B7" w:rsidRPr="00882F11">
        <w:rPr>
          <w:rFonts w:cs="Guttman Drogolin" w:hint="cs"/>
          <w:rtl/>
          <w:lang w:bidi="he-IL"/>
        </w:rPr>
        <w:t xml:space="preserve">   </w:t>
      </w:r>
    </w:p>
    <w:p w:rsidR="00356FD4" w:rsidRPr="00882F11" w:rsidRDefault="00356FD4" w:rsidP="00356FD4">
      <w:pPr>
        <w:pStyle w:val="Heading1"/>
        <w:bidi/>
        <w:spacing w:before="0" w:line="360" w:lineRule="auto"/>
        <w:jc w:val="center"/>
        <w:rPr>
          <w:rFonts w:cs="Guttman Drogolin"/>
          <w:color w:val="auto"/>
          <w:sz w:val="24"/>
          <w:szCs w:val="24"/>
          <w:u w:val="single"/>
          <w:rtl/>
          <w:lang w:bidi="he-IL"/>
        </w:rPr>
      </w:pPr>
      <w:bookmarkStart w:id="376" w:name="_Toc496175623"/>
      <w:r w:rsidRPr="00882F11">
        <w:rPr>
          <w:rFonts w:cs="Guttman Drogolin" w:hint="cs"/>
          <w:color w:val="auto"/>
          <w:sz w:val="24"/>
          <w:szCs w:val="24"/>
          <w:u w:val="single"/>
          <w:rtl/>
          <w:lang w:bidi="he-IL"/>
        </w:rPr>
        <w:t>בישל מים תוך מעל"ע</w:t>
      </w:r>
      <w:bookmarkEnd w:id="376"/>
    </w:p>
    <w:p w:rsidR="007176B5" w:rsidRPr="00882F11" w:rsidRDefault="00F2315A" w:rsidP="00F2315A">
      <w:pPr>
        <w:tabs>
          <w:tab w:val="right" w:pos="7497"/>
        </w:tabs>
        <w:bidi/>
        <w:jc w:val="both"/>
        <w:rPr>
          <w:rFonts w:cs="Guttman Drogolin"/>
          <w:rtl/>
          <w:lang w:bidi="he-IL"/>
        </w:rPr>
      </w:pPr>
      <w:r>
        <w:rPr>
          <w:rFonts w:cs="Guttman Drogolin"/>
          <w:rtl/>
          <w:lang w:bidi="he-IL"/>
        </w:rPr>
        <w:fldChar w:fldCharType="begin"/>
      </w:r>
      <w:r>
        <w:instrText xml:space="preserve"> XE "</w:instrText>
      </w:r>
      <w:r w:rsidRPr="008C7D16">
        <w:rPr>
          <w:rFonts w:hint="cs"/>
          <w:rtl/>
          <w:lang w:bidi="he-IL"/>
        </w:rPr>
        <w:instrText>כלי שאינו בן יומו</w:instrText>
      </w:r>
      <w:r w:rsidRPr="008C7D16">
        <w:rPr>
          <w:rtl/>
        </w:rPr>
        <w:instrText>:</w:instrText>
      </w:r>
      <w:r>
        <w:rPr>
          <w:rFonts w:hint="cs"/>
          <w:rtl/>
          <w:lang w:bidi="he-IL"/>
        </w:rPr>
        <w:instrText>כ</w:instrText>
      </w:r>
      <w:r w:rsidRPr="008C7D16">
        <w:rPr>
          <w:rFonts w:hint="cs"/>
          <w:rtl/>
          <w:lang w:bidi="he-IL"/>
        </w:rPr>
        <w:instrText>שבישל מים</w:instrText>
      </w:r>
      <w:r>
        <w:rPr>
          <w:rFonts w:hint="cs"/>
          <w:rtl/>
          <w:lang w:bidi="he-IL"/>
        </w:rPr>
        <w:instrText xml:space="preserve"> באמצע</w:instrText>
      </w:r>
      <w:r>
        <w:instrText xml:space="preserve">" </w:instrText>
      </w:r>
      <w:r>
        <w:rPr>
          <w:rFonts w:cs="Guttman Drogolin"/>
          <w:rtl/>
          <w:lang w:bidi="he-IL"/>
        </w:rPr>
        <w:fldChar w:fldCharType="end"/>
      </w:r>
      <w:r w:rsidR="007176B5" w:rsidRPr="00882F11">
        <w:rPr>
          <w:rFonts w:cs="Guttman Drogolin" w:hint="cs"/>
          <w:rtl/>
          <w:lang w:bidi="he-IL"/>
        </w:rPr>
        <w:t>בתוס' ועוד ראשונים בסוף מס' ע"ז מבואר שאם בישל איסור, ובתוך מעל"ע בישל מים, שיש לחלק בין אם בלע איסור מקודם לבלע היתר מקודם. שאם בלע איסור, צריכים למנות מעל"ע מזמן בישול המים, אבל אם בלע היתר אינו צריך למנות אלא מזמן בליעת הטעם היתר דמעיקרא ולא משעת בישול המים. וכתבו התוס' הטעם להחמיר באיסורא משום דאמרינן בה חענ"ן. ויל"ע מאיזה טעם הי' לנו להקל אלמלא הדין חענ"ן. ולכאורה התי' הפשוט משום שהי' לנו להקל משום שאחרי מעל"ע נעשה הבליעה לפגם אע"ג שבישלו בינתיים, ולכן באיסורא דאמרינן חענ"ן לא איכפת לן בזה שהבליעה דמעיקרא נפגמה, שהרי המים שבינתיים נעשו נבילה, והבליעות של מים עדיין לא נעשו לפגם. ובהיתירא הא לא אמרינן חענ"ן ולכן כיון שהבליעות דמעיקרא הן לפגם הרי הם מותרות. וכן לכאורה מבואר בתוס' במס' ע"ז דף ע"ו ע"א. ולכאורה א"כ לשיטת ר' אפרים שלא אומרים חענ"ן בשאר איסורים יוצא שבכל האיסורים חוץ מבב"ח נמי יהא הדין שאם בישל מים בינתיים הרי הוא לפגם ומותר. ויעוין בב"י סי' ק"ג שיש מי שמתיר אפילו באיסורא אם בישל מים בינתיים, ולכאורה לפי מה שנתבאר, הטעם בדעת המתירים משום שהנאסר אינו אסור יותר מן האוסרו, וכיון שהאוסר הוא לפגם גם המים אינם אוסרים. באופן שסה"ת לית לי' כלל זה, ואע"ג שהבליעה נפגמה המים עדיין באיסורה.</w:t>
      </w:r>
    </w:p>
    <w:p w:rsidR="007176B5" w:rsidRPr="00882F11" w:rsidRDefault="007176B5" w:rsidP="0090458C">
      <w:pPr>
        <w:tabs>
          <w:tab w:val="right" w:pos="7497"/>
        </w:tabs>
        <w:bidi/>
        <w:jc w:val="both"/>
        <w:rPr>
          <w:rFonts w:cs="Guttman Drogolin"/>
          <w:rtl/>
          <w:lang w:bidi="he-IL"/>
        </w:rPr>
      </w:pPr>
      <w:r w:rsidRPr="00882F11">
        <w:rPr>
          <w:rFonts w:cs="Guttman Drogolin" w:hint="cs"/>
          <w:rtl/>
          <w:lang w:bidi="he-IL"/>
        </w:rPr>
        <w:t xml:space="preserve">ובסמ"ק (מובא בש"ך סי' צ"ד ס"ק כ"ב) מבואר שהטעם להקל בהיתירא משום שבהיתירא אמרינן לי' להיתירא דנ"ט בר נ"ט, ולכן אם בישל בינתיים אין ההיתר אוסר כיון שנעשה נ"ט בר נ"ט, אבל באיסורא הרי זה מותר משום שאמרינן חענ"ן. ולכאורה מבואר מדברי הסמ"ק כמה הלכתא גבירתא. חדא דמבואר לדבריו דאלמלא ההיתר של נ"ט בר נ"ט הי' צריך להיות אסור. וא"כ חזינן לדעתי' שיש למים שבישל בה תכונה </w:t>
      </w:r>
      <w:r w:rsidRPr="00882F11">
        <w:rPr>
          <w:rFonts w:cs="Guttman Drogolin" w:hint="cs"/>
          <w:rtl/>
          <w:lang w:bidi="he-IL"/>
        </w:rPr>
        <w:lastRenderedPageBreak/>
        <w:t>לבטל כח של הכלי לפגום הבליעות, ולכן בעצם היינו צריכים למנות מעל"ע מזמן הבישול השני</w:t>
      </w:r>
      <w:r w:rsidR="0090458C" w:rsidRPr="00882F11">
        <w:rPr>
          <w:rFonts w:cs="Guttman Drogolin" w:hint="cs"/>
          <w:rtl/>
          <w:lang w:bidi="he-IL"/>
        </w:rPr>
        <w:t xml:space="preserve"> גם בבליעות של היתר</w:t>
      </w:r>
      <w:r w:rsidRPr="00882F11">
        <w:rPr>
          <w:rFonts w:cs="Guttman Drogolin" w:hint="cs"/>
          <w:rtl/>
          <w:lang w:bidi="he-IL"/>
        </w:rPr>
        <w:t>, אבל מ"מ בהיתירא מקילין כיון שהוא נ"ט בר נ"ט. ועוד מבואר שאלמלא הדין של חענ"ן היינו אומרים גם באיסורא שהוא מותר. וע"כ היינו משום שבעצם ההיתר של נ"ט בר נ"ט שייך גם באיסורא, והטעם בזה פשוט משום דסבר שגדר ההיתר של נ"ט בר נ"ט שנחלש הטעם ואין לו דין טעם</w:t>
      </w:r>
      <w:r w:rsidR="0090458C" w:rsidRPr="00882F11">
        <w:rPr>
          <w:rFonts w:cs="Guttman Drogolin" w:hint="cs"/>
          <w:rtl/>
          <w:lang w:bidi="he-IL"/>
        </w:rPr>
        <w:t xml:space="preserve"> לאסור מדין טכ"ע כלל</w:t>
      </w:r>
      <w:r w:rsidRPr="00882F11">
        <w:rPr>
          <w:rFonts w:cs="Guttman Drogolin" w:hint="cs"/>
          <w:rtl/>
          <w:lang w:bidi="he-IL"/>
        </w:rPr>
        <w:t xml:space="preserve">, ולכן למה לחלק בין איסור להיתר. ונפק"מ שלר' אפרים שאין חענ"ן בשאר איסורים יהא הדין שאומרים נ"ט בר נ"ט גם באיסורא. </w:t>
      </w:r>
    </w:p>
    <w:p w:rsidR="007176B5" w:rsidRPr="00882F11" w:rsidRDefault="007176B5" w:rsidP="0090458C">
      <w:pPr>
        <w:tabs>
          <w:tab w:val="right" w:pos="7497"/>
        </w:tabs>
        <w:bidi/>
        <w:jc w:val="both"/>
        <w:rPr>
          <w:rFonts w:cs="Guttman Drogolin"/>
          <w:rtl/>
          <w:lang w:bidi="he-IL"/>
        </w:rPr>
      </w:pPr>
      <w:r w:rsidRPr="00882F11">
        <w:rPr>
          <w:rFonts w:cs="Guttman Drogolin" w:hint="cs"/>
          <w:rtl/>
          <w:lang w:bidi="he-IL"/>
        </w:rPr>
        <w:t xml:space="preserve">והש"ך </w:t>
      </w:r>
      <w:r w:rsidR="0090458C" w:rsidRPr="00882F11">
        <w:rPr>
          <w:rFonts w:cs="Guttman Drogolin" w:hint="cs"/>
          <w:rtl/>
          <w:lang w:bidi="he-IL"/>
        </w:rPr>
        <w:t>ס"ק כ"ב ועוד אחרונים העירו שלכמה</w:t>
      </w:r>
      <w:r w:rsidRPr="00882F11">
        <w:rPr>
          <w:rFonts w:cs="Guttman Drogolin" w:hint="cs"/>
          <w:rtl/>
          <w:lang w:bidi="he-IL"/>
        </w:rPr>
        <w:t xml:space="preserve"> ראשונים מבואר שאין זה נכון, ואפילו לר' אפרים לא מונים מזמן הראשון אלא מזמן השני. וצ"ע אמאי, הא לא אמרינן חענ"ן. וס</w:t>
      </w:r>
      <w:r w:rsidR="0090458C" w:rsidRPr="00882F11">
        <w:rPr>
          <w:rFonts w:cs="Guttman Drogolin" w:hint="cs"/>
          <w:rtl/>
          <w:lang w:bidi="he-IL"/>
        </w:rPr>
        <w:t>בר הש"ך דע"כ משום שסוברים כמו כמ</w:t>
      </w:r>
      <w:r w:rsidRPr="00882F11">
        <w:rPr>
          <w:rFonts w:cs="Guttman Drogolin" w:hint="cs"/>
          <w:rtl/>
          <w:lang w:bidi="he-IL"/>
        </w:rPr>
        <w:t>ה ראשונים שלא נאמר הדין נ"ט בר נ"ט באיסור אפילו לא אומרים חענ"ן. והטעם משום שהדין של נ"ט בר נ"ט הוא לומר דכי</w:t>
      </w:r>
      <w:r w:rsidR="0090458C" w:rsidRPr="00882F11">
        <w:rPr>
          <w:rFonts w:cs="Guttman Drogolin" w:hint="cs"/>
          <w:rtl/>
          <w:lang w:bidi="he-IL"/>
        </w:rPr>
        <w:t>ו</w:t>
      </w:r>
      <w:r w:rsidRPr="00882F11">
        <w:rPr>
          <w:rFonts w:cs="Guttman Drogolin" w:hint="cs"/>
          <w:rtl/>
          <w:lang w:bidi="he-IL"/>
        </w:rPr>
        <w:t xml:space="preserve">ן שנחלש לא חל עליו איסור, ולכן דבר שהוא כבר איסור לא שייך לגבי' היתירא דנ"ט בר נ"ט. ויוצא שגם הש"ך סבירא לי' כסמ"ק שבישול המים יש בכחה תכונה לבטל כח של הכלי לפגום הבליעות, ולכן רק בנ"ט בר נ"ט מותר אבל בלי זה לא. וכן דקדק רע"א בהגהותיו לש"ך </w:t>
      </w:r>
      <w:r w:rsidR="0090458C" w:rsidRPr="00882F11">
        <w:rPr>
          <w:rFonts w:cs="Guttman Drogolin" w:hint="cs"/>
          <w:rtl/>
          <w:lang w:bidi="he-IL"/>
        </w:rPr>
        <w:t>סי' צ"ד ס"ק ב'</w:t>
      </w:r>
      <w:r w:rsidRPr="00882F11">
        <w:rPr>
          <w:rFonts w:cs="Guttman Drogolin" w:hint="cs"/>
          <w:rtl/>
          <w:lang w:bidi="he-IL"/>
        </w:rPr>
        <w:t xml:space="preserve">. </w:t>
      </w:r>
    </w:p>
    <w:p w:rsidR="007176B5" w:rsidRPr="00882F11" w:rsidRDefault="0090458C" w:rsidP="0090458C">
      <w:pPr>
        <w:tabs>
          <w:tab w:val="right" w:pos="7497"/>
        </w:tabs>
        <w:bidi/>
        <w:jc w:val="both"/>
        <w:rPr>
          <w:rFonts w:cs="Guttman Drogolin"/>
          <w:rtl/>
          <w:lang w:bidi="he-IL"/>
        </w:rPr>
      </w:pPr>
      <w:r w:rsidRPr="00882F11">
        <w:rPr>
          <w:rFonts w:cs="Guttman Drogolin" w:hint="cs"/>
          <w:rtl/>
          <w:lang w:bidi="he-IL"/>
        </w:rPr>
        <w:t xml:space="preserve">ומה שנשאר לנו להעיר הוא שאם לא אומרים חענ"ן, נהי נמי שהבליעות של איסור עדיין אוסרים כיון שלא שייך לגבייהו ההיתר של נ"ט הבר נ"ט, וכן לית בהו פגם כיון שיצאו מן הכלי בתוך מעל"ע, אבל מ"מ הא אמרינן </w:t>
      </w:r>
      <w:r w:rsidR="007176B5" w:rsidRPr="00882F11">
        <w:rPr>
          <w:rFonts w:cs="Guttman Drogolin" w:hint="cs"/>
          <w:rtl/>
          <w:lang w:bidi="he-IL"/>
        </w:rPr>
        <w:t xml:space="preserve">במס' תמורה דף י"ב ע"א שאין המדומע מדמע אלא לפי חשבון. והיינו שאם בישלו משהו במים בענין שלא אומרים חענ"ן, אם בישלו ד"מ כזית איסור בה' כזיתים מים, ולאחר מכן נפל כזית מן </w:t>
      </w:r>
      <w:r w:rsidRPr="00882F11">
        <w:rPr>
          <w:rFonts w:cs="Guttman Drogolin" w:hint="cs"/>
          <w:rtl/>
          <w:lang w:bidi="he-IL"/>
        </w:rPr>
        <w:t>התערובת</w:t>
      </w:r>
      <w:r w:rsidR="007176B5" w:rsidRPr="00882F11">
        <w:rPr>
          <w:rFonts w:cs="Guttman Drogolin" w:hint="cs"/>
          <w:rtl/>
          <w:lang w:bidi="he-IL"/>
        </w:rPr>
        <w:t xml:space="preserve"> לתוך מים אחרים, לא צריכים ששים כזיתים של המים השניים כדי להתיר, דהא אמרינן שאין האיסור אוסר אלא לפי </w:t>
      </w:r>
      <w:r w:rsidRPr="00882F11">
        <w:rPr>
          <w:rFonts w:cs="Guttman Drogolin" w:hint="cs"/>
          <w:rtl/>
          <w:lang w:bidi="he-IL"/>
        </w:rPr>
        <w:t>חשבון</w:t>
      </w:r>
      <w:r w:rsidR="007176B5" w:rsidRPr="00882F11">
        <w:rPr>
          <w:rFonts w:cs="Guttman Drogolin" w:hint="cs"/>
          <w:rtl/>
          <w:lang w:bidi="he-IL"/>
        </w:rPr>
        <w:t xml:space="preserve">, ולכן אמרינן שאין במים אלא א' בה' של טעם איסור, ולכן אין צריכים אלא ששים חמשי ביצים של איסור. </w:t>
      </w:r>
      <w:r w:rsidRPr="00882F11">
        <w:rPr>
          <w:rFonts w:cs="Guttman Drogolin" w:hint="cs"/>
          <w:rtl/>
          <w:lang w:bidi="he-IL"/>
        </w:rPr>
        <w:t>וא"כ</w:t>
      </w:r>
      <w:r w:rsidR="007176B5" w:rsidRPr="00882F11">
        <w:rPr>
          <w:rFonts w:cs="Guttman Drogolin" w:hint="cs"/>
          <w:rtl/>
          <w:lang w:bidi="he-IL"/>
        </w:rPr>
        <w:t xml:space="preserve"> </w:t>
      </w:r>
      <w:r w:rsidR="007176B5" w:rsidRPr="00882F11">
        <w:rPr>
          <w:rFonts w:cs="Guttman Drogolin" w:hint="cs"/>
          <w:rtl/>
          <w:lang w:bidi="he-IL"/>
        </w:rPr>
        <w:lastRenderedPageBreak/>
        <w:t xml:space="preserve">יש לשאול על הש"ך למה אוסר באיסורא הא </w:t>
      </w:r>
      <w:r w:rsidRPr="00882F11">
        <w:rPr>
          <w:rFonts w:cs="Guttman Drogolin" w:hint="cs"/>
          <w:rtl/>
          <w:lang w:bidi="he-IL"/>
        </w:rPr>
        <w:t>מ"מ אינו אוסר אלא לפי חשבון.</w:t>
      </w:r>
      <w:r w:rsidR="007176B5" w:rsidRPr="00882F11">
        <w:rPr>
          <w:rFonts w:cs="Guttman Drogolin" w:hint="cs"/>
          <w:rtl/>
          <w:lang w:bidi="he-IL"/>
        </w:rPr>
        <w:t xml:space="preserve"> והפמ"ג על אתר התייחס לקושיא זו ותי' "דבכל</w:t>
      </w:r>
      <w:r w:rsidR="007176B5" w:rsidRPr="00882F11">
        <w:rPr>
          <w:rFonts w:cs="Guttman Drogolin"/>
          <w:rtl/>
          <w:lang w:bidi="he-IL"/>
        </w:rPr>
        <w:t xml:space="preserve"> </w:t>
      </w:r>
      <w:r w:rsidR="007176B5" w:rsidRPr="00882F11">
        <w:rPr>
          <w:rFonts w:cs="Guttman Drogolin" w:hint="cs"/>
          <w:rtl/>
          <w:lang w:bidi="he-IL"/>
        </w:rPr>
        <w:t>הקדירה</w:t>
      </w:r>
      <w:r w:rsidR="007176B5" w:rsidRPr="00882F11">
        <w:rPr>
          <w:rFonts w:cs="Guttman Drogolin"/>
          <w:rtl/>
          <w:lang w:bidi="he-IL"/>
        </w:rPr>
        <w:t xml:space="preserve"> </w:t>
      </w:r>
      <w:r w:rsidR="007176B5" w:rsidRPr="00882F11">
        <w:rPr>
          <w:rFonts w:cs="Guttman Drogolin" w:hint="cs"/>
          <w:rtl/>
          <w:lang w:bidi="he-IL"/>
        </w:rPr>
        <w:t>משערין</w:t>
      </w:r>
      <w:r w:rsidR="007176B5" w:rsidRPr="00882F11">
        <w:rPr>
          <w:rFonts w:cs="Guttman Drogolin"/>
          <w:rtl/>
          <w:lang w:bidi="he-IL"/>
        </w:rPr>
        <w:t xml:space="preserve"> </w:t>
      </w:r>
      <w:r w:rsidR="007176B5" w:rsidRPr="00882F11">
        <w:rPr>
          <w:rFonts w:cs="Guttman Drogolin" w:hint="cs"/>
          <w:rtl/>
          <w:lang w:bidi="he-IL"/>
        </w:rPr>
        <w:t>דלא</w:t>
      </w:r>
      <w:r w:rsidR="007176B5" w:rsidRPr="00882F11">
        <w:rPr>
          <w:rFonts w:cs="Guttman Drogolin"/>
          <w:rtl/>
          <w:lang w:bidi="he-IL"/>
        </w:rPr>
        <w:t xml:space="preserve"> </w:t>
      </w:r>
      <w:r w:rsidR="007176B5" w:rsidRPr="00882F11">
        <w:rPr>
          <w:rFonts w:cs="Guttman Drogolin" w:hint="cs"/>
          <w:rtl/>
          <w:lang w:bidi="he-IL"/>
        </w:rPr>
        <w:t>ידעינן</w:t>
      </w:r>
      <w:r w:rsidR="007176B5" w:rsidRPr="00882F11">
        <w:rPr>
          <w:rFonts w:cs="Guttman Drogolin"/>
          <w:rtl/>
          <w:lang w:bidi="he-IL"/>
        </w:rPr>
        <w:t xml:space="preserve"> </w:t>
      </w:r>
      <w:r w:rsidR="007176B5" w:rsidRPr="00882F11">
        <w:rPr>
          <w:rFonts w:cs="Guttman Drogolin" w:hint="cs"/>
          <w:rtl/>
          <w:lang w:bidi="he-IL"/>
        </w:rPr>
        <w:t>שיעורא</w:t>
      </w:r>
      <w:r w:rsidR="007176B5" w:rsidRPr="00882F11">
        <w:rPr>
          <w:rFonts w:cs="Guttman Drogolin"/>
          <w:rtl/>
          <w:lang w:bidi="he-IL"/>
        </w:rPr>
        <w:t xml:space="preserve"> </w:t>
      </w:r>
      <w:r w:rsidR="007176B5" w:rsidRPr="00882F11">
        <w:rPr>
          <w:rFonts w:cs="Guttman Drogolin" w:hint="cs"/>
          <w:rtl/>
          <w:lang w:bidi="he-IL"/>
        </w:rPr>
        <w:t>משום</w:t>
      </w:r>
      <w:r w:rsidR="007176B5" w:rsidRPr="00882F11">
        <w:rPr>
          <w:rFonts w:cs="Guttman Drogolin"/>
          <w:rtl/>
          <w:lang w:bidi="he-IL"/>
        </w:rPr>
        <w:t xml:space="preserve"> </w:t>
      </w:r>
      <w:r w:rsidR="007176B5" w:rsidRPr="00882F11">
        <w:rPr>
          <w:rFonts w:cs="Guttman Drogolin" w:hint="cs"/>
          <w:rtl/>
          <w:lang w:bidi="he-IL"/>
        </w:rPr>
        <w:t>הכי</w:t>
      </w:r>
      <w:r w:rsidR="007176B5" w:rsidRPr="00882F11">
        <w:rPr>
          <w:rFonts w:cs="Guttman Drogolin"/>
          <w:rtl/>
          <w:lang w:bidi="he-IL"/>
        </w:rPr>
        <w:t xml:space="preserve"> </w:t>
      </w:r>
      <w:r w:rsidR="007176B5" w:rsidRPr="00882F11">
        <w:rPr>
          <w:rFonts w:cs="Guttman Drogolin" w:hint="cs"/>
          <w:rtl/>
          <w:lang w:bidi="he-IL"/>
        </w:rPr>
        <w:t>אין</w:t>
      </w:r>
      <w:r w:rsidR="007176B5" w:rsidRPr="00882F11">
        <w:rPr>
          <w:rFonts w:cs="Guttman Drogolin"/>
          <w:rtl/>
          <w:lang w:bidi="he-IL"/>
        </w:rPr>
        <w:t xml:space="preserve"> </w:t>
      </w:r>
      <w:r w:rsidR="007176B5" w:rsidRPr="00882F11">
        <w:rPr>
          <w:rFonts w:cs="Guttman Drogolin" w:hint="cs"/>
          <w:rtl/>
          <w:lang w:bidi="he-IL"/>
        </w:rPr>
        <w:t>שייך</w:t>
      </w:r>
      <w:r w:rsidR="007176B5" w:rsidRPr="00882F11">
        <w:rPr>
          <w:rFonts w:cs="Guttman Drogolin"/>
          <w:rtl/>
          <w:lang w:bidi="he-IL"/>
        </w:rPr>
        <w:t xml:space="preserve"> </w:t>
      </w:r>
      <w:r w:rsidR="007176B5" w:rsidRPr="00882F11">
        <w:rPr>
          <w:rFonts w:cs="Guttman Drogolin" w:hint="cs"/>
          <w:rtl/>
          <w:lang w:bidi="he-IL"/>
        </w:rPr>
        <w:t>לומר</w:t>
      </w:r>
      <w:r w:rsidR="007176B5" w:rsidRPr="00882F11">
        <w:rPr>
          <w:rFonts w:cs="Guttman Drogolin"/>
          <w:rtl/>
          <w:lang w:bidi="he-IL"/>
        </w:rPr>
        <w:t xml:space="preserve"> </w:t>
      </w:r>
      <w:r w:rsidR="007176B5" w:rsidRPr="00882F11">
        <w:rPr>
          <w:rFonts w:cs="Guttman Drogolin" w:hint="cs"/>
          <w:rtl/>
          <w:lang w:bidi="he-IL"/>
        </w:rPr>
        <w:t>אין</w:t>
      </w:r>
      <w:r w:rsidR="007176B5" w:rsidRPr="00882F11">
        <w:rPr>
          <w:rFonts w:cs="Guttman Drogolin"/>
          <w:rtl/>
          <w:lang w:bidi="he-IL"/>
        </w:rPr>
        <w:t xml:space="preserve"> </w:t>
      </w:r>
      <w:r w:rsidR="007176B5" w:rsidRPr="00882F11">
        <w:rPr>
          <w:rFonts w:cs="Guttman Drogolin" w:hint="cs"/>
          <w:rtl/>
          <w:lang w:bidi="he-IL"/>
        </w:rPr>
        <w:t>המדומע</w:t>
      </w:r>
      <w:r w:rsidR="007176B5" w:rsidRPr="00882F11">
        <w:rPr>
          <w:rFonts w:cs="Guttman Drogolin"/>
          <w:rtl/>
          <w:lang w:bidi="he-IL"/>
        </w:rPr>
        <w:t xml:space="preserve"> </w:t>
      </w:r>
      <w:r w:rsidR="007176B5" w:rsidRPr="00882F11">
        <w:rPr>
          <w:rFonts w:cs="Guttman Drogolin" w:hint="cs"/>
          <w:rtl/>
          <w:lang w:bidi="he-IL"/>
        </w:rPr>
        <w:t>משא</w:t>
      </w:r>
      <w:r w:rsidR="007176B5" w:rsidRPr="00882F11">
        <w:rPr>
          <w:rFonts w:cs="Guttman Drogolin"/>
          <w:rtl/>
          <w:lang w:bidi="he-IL"/>
        </w:rPr>
        <w:t>"</w:t>
      </w:r>
      <w:r w:rsidR="007176B5" w:rsidRPr="00882F11">
        <w:rPr>
          <w:rFonts w:cs="Guttman Drogolin" w:hint="cs"/>
          <w:rtl/>
          <w:lang w:bidi="he-IL"/>
        </w:rPr>
        <w:t>כ</w:t>
      </w:r>
      <w:r w:rsidR="007176B5" w:rsidRPr="00882F11">
        <w:rPr>
          <w:rFonts w:cs="Guttman Drogolin"/>
          <w:rtl/>
          <w:lang w:bidi="he-IL"/>
        </w:rPr>
        <w:t xml:space="preserve"> </w:t>
      </w:r>
      <w:r w:rsidR="007176B5" w:rsidRPr="00882F11">
        <w:rPr>
          <w:rFonts w:cs="Guttman Drogolin" w:hint="cs"/>
          <w:rtl/>
          <w:lang w:bidi="he-IL"/>
        </w:rPr>
        <w:t>בידעינן</w:t>
      </w:r>
      <w:r w:rsidR="007176B5" w:rsidRPr="00882F11">
        <w:rPr>
          <w:rFonts w:cs="Guttman Drogolin"/>
          <w:rtl/>
          <w:lang w:bidi="he-IL"/>
        </w:rPr>
        <w:t xml:space="preserve"> </w:t>
      </w:r>
      <w:r w:rsidR="007176B5" w:rsidRPr="00882F11">
        <w:rPr>
          <w:rFonts w:cs="Guttman Drogolin" w:hint="cs"/>
          <w:rtl/>
          <w:lang w:bidi="he-IL"/>
        </w:rPr>
        <w:t>שיעורא", וכתב על זה בהגהת רע"א</w:t>
      </w:r>
      <w:r w:rsidR="007176B5" w:rsidRPr="00882F11">
        <w:rPr>
          <w:rFonts w:cs="Guttman Drogolin"/>
          <w:rtl/>
          <w:lang w:bidi="he-IL"/>
        </w:rPr>
        <w:t xml:space="preserve"> </w:t>
      </w:r>
      <w:r w:rsidR="007176B5" w:rsidRPr="00882F11">
        <w:rPr>
          <w:rFonts w:cs="Guttman Drogolin" w:hint="cs"/>
          <w:rtl/>
          <w:lang w:bidi="he-IL"/>
        </w:rPr>
        <w:t>"אינו</w:t>
      </w:r>
      <w:r w:rsidR="007176B5" w:rsidRPr="00882F11">
        <w:rPr>
          <w:rFonts w:cs="Guttman Drogolin"/>
          <w:rtl/>
          <w:lang w:bidi="he-IL"/>
        </w:rPr>
        <w:t xml:space="preserve"> </w:t>
      </w:r>
      <w:r w:rsidR="007176B5" w:rsidRPr="00882F11">
        <w:rPr>
          <w:rFonts w:cs="Guttman Drogolin" w:hint="cs"/>
          <w:rtl/>
          <w:lang w:bidi="he-IL"/>
        </w:rPr>
        <w:t>מובן</w:t>
      </w:r>
      <w:r w:rsidR="007176B5" w:rsidRPr="00882F11">
        <w:rPr>
          <w:rFonts w:cs="Guttman Drogolin"/>
          <w:rtl/>
          <w:lang w:bidi="he-IL"/>
        </w:rPr>
        <w:t xml:space="preserve"> </w:t>
      </w:r>
      <w:r w:rsidR="007176B5" w:rsidRPr="00882F11">
        <w:rPr>
          <w:rFonts w:cs="Guttman Drogolin" w:hint="cs"/>
          <w:rtl/>
          <w:lang w:bidi="he-IL"/>
        </w:rPr>
        <w:t>דמה</w:t>
      </w:r>
      <w:r w:rsidR="007176B5" w:rsidRPr="00882F11">
        <w:rPr>
          <w:rFonts w:cs="Guttman Drogolin"/>
          <w:rtl/>
          <w:lang w:bidi="he-IL"/>
        </w:rPr>
        <w:t xml:space="preserve"> </w:t>
      </w:r>
      <w:r w:rsidR="007176B5" w:rsidRPr="00882F11">
        <w:rPr>
          <w:rFonts w:cs="Guttman Drogolin" w:hint="cs"/>
          <w:rtl/>
          <w:lang w:bidi="he-IL"/>
        </w:rPr>
        <w:t>בכך</w:t>
      </w:r>
      <w:r w:rsidR="007176B5" w:rsidRPr="00882F11">
        <w:rPr>
          <w:rFonts w:cs="Guttman Drogolin"/>
          <w:rtl/>
          <w:lang w:bidi="he-IL"/>
        </w:rPr>
        <w:t xml:space="preserve"> </w:t>
      </w:r>
      <w:r w:rsidR="007176B5" w:rsidRPr="00882F11">
        <w:rPr>
          <w:rFonts w:cs="Guttman Drogolin" w:hint="cs"/>
          <w:rtl/>
          <w:lang w:bidi="he-IL"/>
        </w:rPr>
        <w:t>דמשערין</w:t>
      </w:r>
      <w:r w:rsidR="007176B5" w:rsidRPr="00882F11">
        <w:rPr>
          <w:rFonts w:cs="Guttman Drogolin"/>
          <w:rtl/>
          <w:lang w:bidi="he-IL"/>
        </w:rPr>
        <w:t xml:space="preserve"> </w:t>
      </w:r>
      <w:r w:rsidR="007176B5" w:rsidRPr="00882F11">
        <w:rPr>
          <w:rFonts w:cs="Guttman Drogolin" w:hint="cs"/>
          <w:rtl/>
          <w:lang w:bidi="he-IL"/>
        </w:rPr>
        <w:t>בכל</w:t>
      </w:r>
      <w:r w:rsidR="007176B5" w:rsidRPr="00882F11">
        <w:rPr>
          <w:rFonts w:cs="Guttman Drogolin"/>
          <w:rtl/>
          <w:lang w:bidi="he-IL"/>
        </w:rPr>
        <w:t xml:space="preserve"> </w:t>
      </w:r>
      <w:r w:rsidR="007176B5" w:rsidRPr="00882F11">
        <w:rPr>
          <w:rFonts w:cs="Guttman Drogolin" w:hint="cs"/>
          <w:rtl/>
          <w:lang w:bidi="he-IL"/>
        </w:rPr>
        <w:t>הקדירה</w:t>
      </w:r>
      <w:r w:rsidR="007176B5" w:rsidRPr="00882F11">
        <w:rPr>
          <w:rFonts w:cs="Guttman Drogolin"/>
          <w:rtl/>
          <w:lang w:bidi="he-IL"/>
        </w:rPr>
        <w:t xml:space="preserve"> </w:t>
      </w:r>
      <w:r w:rsidR="007176B5" w:rsidRPr="00882F11">
        <w:rPr>
          <w:rFonts w:cs="Guttman Drogolin" w:hint="cs"/>
          <w:rtl/>
          <w:lang w:bidi="he-IL"/>
        </w:rPr>
        <w:t>דאמרינן</w:t>
      </w:r>
      <w:r w:rsidR="007176B5" w:rsidRPr="00882F11">
        <w:rPr>
          <w:rFonts w:cs="Guttman Drogolin"/>
          <w:rtl/>
          <w:lang w:bidi="he-IL"/>
        </w:rPr>
        <w:t xml:space="preserve"> </w:t>
      </w:r>
      <w:r w:rsidR="007176B5" w:rsidRPr="00882F11">
        <w:rPr>
          <w:rFonts w:cs="Guttman Drogolin" w:hint="cs"/>
          <w:rtl/>
          <w:lang w:bidi="he-IL"/>
        </w:rPr>
        <w:t>דהכל</w:t>
      </w:r>
      <w:r w:rsidR="007176B5" w:rsidRPr="00882F11">
        <w:rPr>
          <w:rFonts w:cs="Guttman Drogolin"/>
          <w:rtl/>
          <w:lang w:bidi="he-IL"/>
        </w:rPr>
        <w:t xml:space="preserve"> </w:t>
      </w:r>
      <w:r w:rsidR="007176B5" w:rsidRPr="00882F11">
        <w:rPr>
          <w:rFonts w:cs="Guttman Drogolin" w:hint="cs"/>
          <w:rtl/>
          <w:lang w:bidi="he-IL"/>
        </w:rPr>
        <w:t>נפלט</w:t>
      </w:r>
      <w:r w:rsidR="007176B5" w:rsidRPr="00882F11">
        <w:rPr>
          <w:rFonts w:cs="Guttman Drogolin"/>
          <w:rtl/>
          <w:lang w:bidi="he-IL"/>
        </w:rPr>
        <w:t xml:space="preserve">, </w:t>
      </w:r>
      <w:r w:rsidR="007176B5" w:rsidRPr="00882F11">
        <w:rPr>
          <w:rFonts w:cs="Guttman Drogolin" w:hint="cs"/>
          <w:rtl/>
          <w:lang w:bidi="he-IL"/>
        </w:rPr>
        <w:t>מכל</w:t>
      </w:r>
      <w:r w:rsidR="007176B5" w:rsidRPr="00882F11">
        <w:rPr>
          <w:rFonts w:cs="Guttman Drogolin"/>
          <w:rtl/>
          <w:lang w:bidi="he-IL"/>
        </w:rPr>
        <w:t xml:space="preserve"> </w:t>
      </w:r>
      <w:r w:rsidR="007176B5" w:rsidRPr="00882F11">
        <w:rPr>
          <w:rFonts w:cs="Guttman Drogolin" w:hint="cs"/>
          <w:rtl/>
          <w:lang w:bidi="he-IL"/>
        </w:rPr>
        <w:t>מקום</w:t>
      </w:r>
      <w:r w:rsidR="007176B5" w:rsidRPr="00882F11">
        <w:rPr>
          <w:rFonts w:cs="Guttman Drogolin"/>
          <w:rtl/>
          <w:lang w:bidi="he-IL"/>
        </w:rPr>
        <w:t xml:space="preserve"> </w:t>
      </w:r>
      <w:r w:rsidR="007176B5" w:rsidRPr="00882F11">
        <w:rPr>
          <w:rFonts w:cs="Guttman Drogolin" w:hint="cs"/>
          <w:rtl/>
          <w:lang w:bidi="he-IL"/>
        </w:rPr>
        <w:t>כשחזר</w:t>
      </w:r>
      <w:r w:rsidR="007176B5" w:rsidRPr="00882F11">
        <w:rPr>
          <w:rFonts w:cs="Guttman Drogolin"/>
          <w:rtl/>
          <w:lang w:bidi="he-IL"/>
        </w:rPr>
        <w:t xml:space="preserve"> </w:t>
      </w:r>
      <w:r w:rsidR="007176B5" w:rsidRPr="00882F11">
        <w:rPr>
          <w:rFonts w:cs="Guttman Drogolin" w:hint="cs"/>
          <w:rtl/>
          <w:lang w:bidi="he-IL"/>
        </w:rPr>
        <w:t>ונבלעו</w:t>
      </w:r>
      <w:r w:rsidR="007176B5" w:rsidRPr="00882F11">
        <w:rPr>
          <w:rFonts w:cs="Guttman Drogolin"/>
          <w:rtl/>
          <w:lang w:bidi="he-IL"/>
        </w:rPr>
        <w:t xml:space="preserve"> </w:t>
      </w:r>
      <w:r w:rsidR="007176B5" w:rsidRPr="00882F11">
        <w:rPr>
          <w:rFonts w:cs="Guttman Drogolin" w:hint="cs"/>
          <w:rtl/>
          <w:lang w:bidi="he-IL"/>
        </w:rPr>
        <w:t>המים</w:t>
      </w:r>
      <w:r w:rsidR="007176B5" w:rsidRPr="00882F11">
        <w:rPr>
          <w:rFonts w:cs="Guttman Drogolin"/>
          <w:rtl/>
          <w:lang w:bidi="he-IL"/>
        </w:rPr>
        <w:t xml:space="preserve"> </w:t>
      </w:r>
      <w:r w:rsidR="007176B5" w:rsidRPr="00882F11">
        <w:rPr>
          <w:rFonts w:cs="Guttman Drogolin" w:hint="cs"/>
          <w:rtl/>
          <w:lang w:bidi="he-IL"/>
        </w:rPr>
        <w:t>שהם</w:t>
      </w:r>
      <w:r w:rsidR="007176B5" w:rsidRPr="00882F11">
        <w:rPr>
          <w:rFonts w:cs="Guttman Drogolin"/>
          <w:rtl/>
          <w:lang w:bidi="he-IL"/>
        </w:rPr>
        <w:t xml:space="preserve"> </w:t>
      </w:r>
      <w:r w:rsidR="007176B5" w:rsidRPr="00882F11">
        <w:rPr>
          <w:rFonts w:cs="Guttman Drogolin" w:hint="cs"/>
          <w:rtl/>
          <w:lang w:bidi="he-IL"/>
        </w:rPr>
        <w:t>דרך</w:t>
      </w:r>
      <w:r w:rsidR="007176B5" w:rsidRPr="00882F11">
        <w:rPr>
          <w:rFonts w:cs="Guttman Drogolin"/>
          <w:rtl/>
          <w:lang w:bidi="he-IL"/>
        </w:rPr>
        <w:t xml:space="preserve"> </w:t>
      </w:r>
      <w:r w:rsidR="007176B5" w:rsidRPr="00882F11">
        <w:rPr>
          <w:rFonts w:cs="Guttman Drogolin" w:hint="cs"/>
          <w:rtl/>
          <w:lang w:bidi="he-IL"/>
        </w:rPr>
        <w:t>משל</w:t>
      </w:r>
      <w:r w:rsidR="007176B5" w:rsidRPr="00882F11">
        <w:rPr>
          <w:rFonts w:cs="Guttman Drogolin"/>
          <w:rtl/>
          <w:lang w:bidi="he-IL"/>
        </w:rPr>
        <w:t xml:space="preserve"> </w:t>
      </w:r>
      <w:r w:rsidR="007176B5" w:rsidRPr="00882F11">
        <w:rPr>
          <w:rFonts w:cs="Guttman Drogolin" w:hint="cs"/>
          <w:rtl/>
          <w:lang w:bidi="he-IL"/>
        </w:rPr>
        <w:t>ששה</w:t>
      </w:r>
      <w:r w:rsidR="007176B5" w:rsidRPr="00882F11">
        <w:rPr>
          <w:rFonts w:cs="Guttman Drogolin"/>
          <w:rtl/>
          <w:lang w:bidi="he-IL"/>
        </w:rPr>
        <w:t xml:space="preserve"> </w:t>
      </w:r>
      <w:r w:rsidR="007176B5" w:rsidRPr="00882F11">
        <w:rPr>
          <w:rFonts w:cs="Guttman Drogolin" w:hint="cs"/>
          <w:rtl/>
          <w:lang w:bidi="he-IL"/>
        </w:rPr>
        <w:t>פעמים</w:t>
      </w:r>
      <w:r w:rsidR="007176B5" w:rsidRPr="00882F11">
        <w:rPr>
          <w:rFonts w:cs="Guttman Drogolin"/>
          <w:rtl/>
          <w:lang w:bidi="he-IL"/>
        </w:rPr>
        <w:t xml:space="preserve"> </w:t>
      </w:r>
      <w:r w:rsidR="007176B5" w:rsidRPr="00882F11">
        <w:rPr>
          <w:rFonts w:cs="Guttman Drogolin" w:hint="cs"/>
          <w:rtl/>
          <w:lang w:bidi="he-IL"/>
        </w:rPr>
        <w:t>נגד</w:t>
      </w:r>
      <w:r w:rsidR="007176B5" w:rsidRPr="00882F11">
        <w:rPr>
          <w:rFonts w:cs="Guttman Drogolin"/>
          <w:rtl/>
          <w:lang w:bidi="he-IL"/>
        </w:rPr>
        <w:t xml:space="preserve"> </w:t>
      </w:r>
      <w:r w:rsidR="007176B5" w:rsidRPr="00882F11">
        <w:rPr>
          <w:rFonts w:cs="Guttman Drogolin" w:hint="cs"/>
          <w:rtl/>
          <w:lang w:bidi="he-IL"/>
        </w:rPr>
        <w:t>הקדירה</w:t>
      </w:r>
      <w:r w:rsidR="007176B5" w:rsidRPr="00882F11">
        <w:rPr>
          <w:rFonts w:cs="Guttman Drogolin"/>
          <w:rtl/>
          <w:lang w:bidi="he-IL"/>
        </w:rPr>
        <w:t xml:space="preserve">, </w:t>
      </w:r>
      <w:r w:rsidR="007176B5" w:rsidRPr="00882F11">
        <w:rPr>
          <w:rFonts w:cs="Guttman Drogolin" w:hint="cs"/>
          <w:rtl/>
          <w:lang w:bidi="he-IL"/>
        </w:rPr>
        <w:t>ובודאי</w:t>
      </w:r>
      <w:r w:rsidR="007176B5" w:rsidRPr="00882F11">
        <w:rPr>
          <w:rFonts w:cs="Guttman Drogolin"/>
          <w:rtl/>
          <w:lang w:bidi="he-IL"/>
        </w:rPr>
        <w:t xml:space="preserve"> </w:t>
      </w:r>
      <w:r w:rsidR="007176B5" w:rsidRPr="00882F11">
        <w:rPr>
          <w:rFonts w:cs="Guttman Drogolin" w:hint="cs"/>
          <w:rtl/>
          <w:lang w:bidi="he-IL"/>
        </w:rPr>
        <w:t>לא</w:t>
      </w:r>
      <w:r w:rsidR="007176B5" w:rsidRPr="00882F11">
        <w:rPr>
          <w:rFonts w:cs="Guttman Drogolin"/>
          <w:rtl/>
          <w:lang w:bidi="he-IL"/>
        </w:rPr>
        <w:t xml:space="preserve"> </w:t>
      </w:r>
      <w:r w:rsidR="007176B5" w:rsidRPr="00882F11">
        <w:rPr>
          <w:rFonts w:cs="Guttman Drogolin" w:hint="cs"/>
          <w:rtl/>
          <w:lang w:bidi="he-IL"/>
        </w:rPr>
        <w:t>נבלעו</w:t>
      </w:r>
      <w:r w:rsidR="007176B5" w:rsidRPr="00882F11">
        <w:rPr>
          <w:rFonts w:cs="Guttman Drogolin"/>
          <w:rtl/>
          <w:lang w:bidi="he-IL"/>
        </w:rPr>
        <w:t xml:space="preserve"> </w:t>
      </w:r>
      <w:r w:rsidR="007176B5" w:rsidRPr="00882F11">
        <w:rPr>
          <w:rFonts w:cs="Guttman Drogolin" w:hint="cs"/>
          <w:rtl/>
          <w:lang w:bidi="he-IL"/>
        </w:rPr>
        <w:t>בקדירה</w:t>
      </w:r>
      <w:r w:rsidR="007176B5" w:rsidRPr="00882F11">
        <w:rPr>
          <w:rFonts w:cs="Guttman Drogolin"/>
          <w:rtl/>
          <w:lang w:bidi="he-IL"/>
        </w:rPr>
        <w:t xml:space="preserve"> </w:t>
      </w:r>
      <w:r w:rsidR="007176B5" w:rsidRPr="00882F11">
        <w:rPr>
          <w:rFonts w:cs="Guttman Drogolin" w:hint="cs"/>
          <w:rtl/>
          <w:lang w:bidi="he-IL"/>
        </w:rPr>
        <w:t>רק</w:t>
      </w:r>
      <w:r w:rsidR="007176B5" w:rsidRPr="00882F11">
        <w:rPr>
          <w:rFonts w:cs="Guttman Drogolin"/>
          <w:rtl/>
          <w:lang w:bidi="he-IL"/>
        </w:rPr>
        <w:t xml:space="preserve"> </w:t>
      </w:r>
      <w:r w:rsidR="007176B5" w:rsidRPr="00882F11">
        <w:rPr>
          <w:rFonts w:cs="Guttman Drogolin" w:hint="cs"/>
          <w:rtl/>
          <w:lang w:bidi="he-IL"/>
        </w:rPr>
        <w:t>חלק</w:t>
      </w:r>
      <w:r w:rsidR="007176B5" w:rsidRPr="00882F11">
        <w:rPr>
          <w:rFonts w:cs="Guttman Drogolin"/>
          <w:rtl/>
          <w:lang w:bidi="he-IL"/>
        </w:rPr>
        <w:t xml:space="preserve"> </w:t>
      </w:r>
      <w:r w:rsidR="007176B5" w:rsidRPr="00882F11">
        <w:rPr>
          <w:rFonts w:cs="Guttman Drogolin" w:hint="cs"/>
          <w:rtl/>
          <w:lang w:bidi="he-IL"/>
        </w:rPr>
        <w:t>שישים</w:t>
      </w:r>
      <w:r w:rsidR="007176B5" w:rsidRPr="00882F11">
        <w:rPr>
          <w:rFonts w:cs="Guttman Drogolin"/>
          <w:rtl/>
          <w:lang w:bidi="he-IL"/>
        </w:rPr>
        <w:t xml:space="preserve"> </w:t>
      </w:r>
      <w:r w:rsidR="007176B5" w:rsidRPr="00882F11">
        <w:rPr>
          <w:rFonts w:cs="Guttman Drogolin" w:hint="cs"/>
          <w:rtl/>
          <w:lang w:bidi="he-IL"/>
        </w:rPr>
        <w:t>מהמים</w:t>
      </w:r>
      <w:r w:rsidR="007176B5" w:rsidRPr="00882F11">
        <w:rPr>
          <w:rFonts w:cs="Guttman Drogolin"/>
          <w:rtl/>
          <w:lang w:bidi="he-IL"/>
        </w:rPr>
        <w:t xml:space="preserve"> </w:t>
      </w:r>
      <w:r w:rsidR="007176B5" w:rsidRPr="00882F11">
        <w:rPr>
          <w:rFonts w:cs="Guttman Drogolin" w:hint="cs"/>
          <w:rtl/>
          <w:lang w:bidi="he-IL"/>
        </w:rPr>
        <w:t>ובהם</w:t>
      </w:r>
      <w:r w:rsidR="007176B5" w:rsidRPr="00882F11">
        <w:rPr>
          <w:rFonts w:cs="Guttman Drogolin"/>
          <w:rtl/>
          <w:lang w:bidi="he-IL"/>
        </w:rPr>
        <w:t xml:space="preserve"> </w:t>
      </w:r>
      <w:r w:rsidR="007176B5" w:rsidRPr="00882F11">
        <w:rPr>
          <w:rFonts w:cs="Guttman Drogolin" w:hint="cs"/>
          <w:rtl/>
          <w:lang w:bidi="he-IL"/>
        </w:rPr>
        <w:t>לפי</w:t>
      </w:r>
      <w:r w:rsidR="007176B5" w:rsidRPr="00882F11">
        <w:rPr>
          <w:rFonts w:cs="Guttman Drogolin"/>
          <w:rtl/>
          <w:lang w:bidi="he-IL"/>
        </w:rPr>
        <w:t xml:space="preserve"> </w:t>
      </w:r>
      <w:r w:rsidR="007176B5" w:rsidRPr="00882F11">
        <w:rPr>
          <w:rFonts w:cs="Guttman Drogolin" w:hint="cs"/>
          <w:rtl/>
          <w:lang w:bidi="he-IL"/>
        </w:rPr>
        <w:t>ערך</w:t>
      </w:r>
      <w:r w:rsidR="007176B5" w:rsidRPr="00882F11">
        <w:rPr>
          <w:rFonts w:cs="Guttman Drogolin"/>
          <w:rtl/>
          <w:lang w:bidi="he-IL"/>
        </w:rPr>
        <w:t xml:space="preserve"> </w:t>
      </w:r>
      <w:r w:rsidR="007176B5" w:rsidRPr="00882F11">
        <w:rPr>
          <w:rFonts w:cs="Guttman Drogolin" w:hint="cs"/>
          <w:rtl/>
          <w:lang w:bidi="he-IL"/>
        </w:rPr>
        <w:t>חלק</w:t>
      </w:r>
      <w:r w:rsidR="007176B5" w:rsidRPr="00882F11">
        <w:rPr>
          <w:rFonts w:cs="Guttman Drogolin"/>
          <w:rtl/>
          <w:lang w:bidi="he-IL"/>
        </w:rPr>
        <w:t xml:space="preserve"> </w:t>
      </w:r>
      <w:r w:rsidR="007176B5" w:rsidRPr="00882F11">
        <w:rPr>
          <w:rFonts w:cs="Guttman Drogolin" w:hint="cs"/>
          <w:rtl/>
          <w:lang w:bidi="he-IL"/>
        </w:rPr>
        <w:t>שישית</w:t>
      </w:r>
      <w:r w:rsidR="007176B5" w:rsidRPr="00882F11">
        <w:rPr>
          <w:rFonts w:cs="Guttman Drogolin"/>
          <w:rtl/>
          <w:lang w:bidi="he-IL"/>
        </w:rPr>
        <w:t xml:space="preserve"> </w:t>
      </w:r>
      <w:r w:rsidR="007176B5" w:rsidRPr="00882F11">
        <w:rPr>
          <w:rFonts w:cs="Guttman Drogolin" w:hint="cs"/>
          <w:rtl/>
          <w:lang w:bidi="he-IL"/>
        </w:rPr>
        <w:t>מהטעם</w:t>
      </w:r>
      <w:r w:rsidR="007176B5" w:rsidRPr="00882F11">
        <w:rPr>
          <w:rFonts w:cs="Guttman Drogolin"/>
          <w:rtl/>
          <w:lang w:bidi="he-IL"/>
        </w:rPr>
        <w:t xml:space="preserve"> </w:t>
      </w:r>
      <w:r w:rsidR="007176B5" w:rsidRPr="00882F11">
        <w:rPr>
          <w:rFonts w:cs="Guttman Drogolin" w:hint="cs"/>
          <w:rtl/>
          <w:lang w:bidi="he-IL"/>
        </w:rPr>
        <w:t>האיסור</w:t>
      </w:r>
      <w:r w:rsidR="007176B5" w:rsidRPr="00882F11">
        <w:rPr>
          <w:rFonts w:cs="Guttman Drogolin"/>
          <w:rtl/>
          <w:lang w:bidi="he-IL"/>
        </w:rPr>
        <w:t xml:space="preserve"> </w:t>
      </w:r>
      <w:r w:rsidR="007176B5" w:rsidRPr="00882F11">
        <w:rPr>
          <w:rFonts w:cs="Guttman Drogolin" w:hint="cs"/>
          <w:rtl/>
          <w:lang w:bidi="he-IL"/>
        </w:rPr>
        <w:t>שבתוכו". וע' גם הגהות רע"א למש"ז סי' צ"ב ס"ק כ"ד שהעיר שמדברי הש"ך נראה דלית לי' כלל זה שאינו אוסר אלא לפי שיעור, והביא שכן מבואר גם בפרישה, אלא שהוסיף להעיר שלכאורה מתוס' בדף ק' ע"א מבואר שאינו אלא לפי שיעור, שהרי זהו הטעם שלרבינו אפרים ניחא הגעלת כלי מדין, משום שיכול לבשל כמה וכמה פעמים ובסוף יהי' ששים, הרי דאמרינן שאינו אוסר אלא לפי שיעור (ושם ברע"א ציין לדברי הש"ך בסי' צ"ה ס"ק כ"א שהביא סברא זו מתוס'). ובחוו"ד ס"ק י"א בעצם למד בש"ך אחרת דאה"נ ואם יש ששים כנגד האיסור הנשאר אינו אסור, אבל נפק"מ בדליכא</w:t>
      </w:r>
      <w:r w:rsidR="007176B5" w:rsidRPr="00882F11">
        <w:rPr>
          <w:rStyle w:val="FootnoteReference"/>
          <w:rFonts w:cs="Guttman Drogolin"/>
          <w:rtl/>
          <w:lang w:bidi="he-IL"/>
        </w:rPr>
        <w:footnoteReference w:id="386"/>
      </w:r>
      <w:r w:rsidR="007176B5" w:rsidRPr="00882F11">
        <w:rPr>
          <w:rFonts w:cs="Guttman Drogolin" w:hint="cs"/>
          <w:rtl/>
          <w:lang w:bidi="he-IL"/>
        </w:rPr>
        <w:t>.</w:t>
      </w:r>
    </w:p>
    <w:p w:rsidR="00AC71C9" w:rsidRPr="00882F11" w:rsidRDefault="00AC71C9" w:rsidP="007176B5">
      <w:pPr>
        <w:tabs>
          <w:tab w:val="right" w:pos="7497"/>
        </w:tabs>
        <w:bidi/>
        <w:jc w:val="both"/>
        <w:rPr>
          <w:rFonts w:cs="Guttman Drogolin"/>
          <w:rtl/>
          <w:lang w:bidi="he-IL"/>
        </w:rPr>
        <w:sectPr w:rsidR="00AC71C9" w:rsidRPr="00882F11" w:rsidSect="006D0A1E">
          <w:type w:val="continuous"/>
          <w:pgSz w:w="11907" w:h="16839" w:code="9"/>
          <w:pgMar w:top="1440" w:right="1440" w:bottom="1440" w:left="1440" w:header="720" w:footer="720" w:gutter="0"/>
          <w:cols w:num="2" w:space="720"/>
          <w:bidi/>
          <w:docGrid w:linePitch="360"/>
        </w:sectPr>
      </w:pPr>
    </w:p>
    <w:p w:rsidR="00AC71C9" w:rsidRPr="006D0A1E" w:rsidRDefault="00AC71C9" w:rsidP="00AC71C9">
      <w:pPr>
        <w:keepNext/>
        <w:tabs>
          <w:tab w:val="left" w:pos="3818"/>
          <w:tab w:val="center" w:pos="4680"/>
        </w:tabs>
        <w:bidi/>
        <w:jc w:val="center"/>
        <w:rPr>
          <w:rFonts w:cs="Guttman Drogolin"/>
          <w:b/>
          <w:bCs/>
          <w:sz w:val="48"/>
          <w:szCs w:val="48"/>
          <w:rtl/>
          <w:lang w:bidi="he-IL"/>
        </w:rPr>
      </w:pPr>
      <w:r w:rsidRPr="006D0A1E">
        <w:rPr>
          <w:rFonts w:cs="Guttman Drogolin" w:hint="cs"/>
          <w:b/>
          <w:bCs/>
          <w:sz w:val="48"/>
          <w:szCs w:val="48"/>
          <w:rtl/>
          <w:lang w:bidi="he-IL"/>
        </w:rPr>
        <w:lastRenderedPageBreak/>
        <w:t>שיעור צ"ב</w:t>
      </w:r>
    </w:p>
    <w:p w:rsidR="006D0A1E" w:rsidRDefault="006D0A1E" w:rsidP="00AC71C9">
      <w:pPr>
        <w:pStyle w:val="Heading1"/>
        <w:bidi/>
        <w:spacing w:before="0" w:line="360" w:lineRule="auto"/>
        <w:jc w:val="center"/>
        <w:rPr>
          <w:rFonts w:cs="Guttman Drogolin"/>
          <w:color w:val="auto"/>
          <w:sz w:val="24"/>
          <w:szCs w:val="24"/>
          <w:u w:val="single"/>
          <w:rtl/>
          <w:lang w:bidi="he-IL"/>
        </w:rPr>
        <w:sectPr w:rsidR="006D0A1E" w:rsidSect="006D0A1E">
          <w:headerReference w:type="default" r:id="rId69"/>
          <w:pgSz w:w="11907" w:h="16839" w:code="9"/>
          <w:pgMar w:top="1440" w:right="1440" w:bottom="1440" w:left="1440" w:header="720" w:footer="720" w:gutter="0"/>
          <w:cols w:space="720"/>
          <w:bidi/>
          <w:docGrid w:linePitch="360"/>
        </w:sectPr>
      </w:pPr>
    </w:p>
    <w:p w:rsidR="00AC71C9" w:rsidRPr="00882F11" w:rsidRDefault="00AC71C9" w:rsidP="00AC71C9">
      <w:pPr>
        <w:pStyle w:val="Heading1"/>
        <w:bidi/>
        <w:spacing w:before="0" w:line="360" w:lineRule="auto"/>
        <w:jc w:val="center"/>
        <w:rPr>
          <w:rFonts w:cs="Guttman Drogolin"/>
          <w:color w:val="auto"/>
          <w:sz w:val="24"/>
          <w:szCs w:val="24"/>
          <w:u w:val="single"/>
          <w:rtl/>
          <w:lang w:bidi="he-IL"/>
        </w:rPr>
      </w:pPr>
      <w:bookmarkStart w:id="377" w:name="_Toc496175624"/>
      <w:r w:rsidRPr="00882F11">
        <w:rPr>
          <w:rFonts w:cs="Guttman Drogolin" w:hint="cs"/>
          <w:color w:val="auto"/>
          <w:sz w:val="24"/>
          <w:szCs w:val="24"/>
          <w:u w:val="single"/>
          <w:rtl/>
          <w:lang w:bidi="he-IL"/>
        </w:rPr>
        <w:lastRenderedPageBreak/>
        <w:t>עוד הערה בדינא דבישל מים תוך מעל"ע</w:t>
      </w:r>
      <w:bookmarkEnd w:id="377"/>
    </w:p>
    <w:p w:rsidR="003F1BF6" w:rsidRPr="00882F11" w:rsidRDefault="00F2315A" w:rsidP="004750AC">
      <w:pPr>
        <w:tabs>
          <w:tab w:val="right" w:pos="7497"/>
        </w:tabs>
        <w:bidi/>
        <w:jc w:val="both"/>
        <w:rPr>
          <w:rFonts w:cs="Guttman Drogolin"/>
          <w:rtl/>
          <w:lang w:bidi="he-IL"/>
        </w:rPr>
      </w:pPr>
      <w:r>
        <w:rPr>
          <w:rFonts w:cs="Guttman Drogolin"/>
          <w:rtl/>
          <w:lang w:bidi="he-IL"/>
        </w:rPr>
        <w:fldChar w:fldCharType="begin"/>
      </w:r>
      <w:r>
        <w:instrText xml:space="preserve"> XE "</w:instrText>
      </w:r>
      <w:r w:rsidRPr="008C7D16">
        <w:rPr>
          <w:rFonts w:hint="cs"/>
          <w:rtl/>
          <w:lang w:bidi="he-IL"/>
        </w:rPr>
        <w:instrText>כלי שאינו בן יומו</w:instrText>
      </w:r>
      <w:r w:rsidRPr="008C7D16">
        <w:rPr>
          <w:rtl/>
        </w:rPr>
        <w:instrText>:</w:instrText>
      </w:r>
      <w:r>
        <w:rPr>
          <w:rFonts w:hint="cs"/>
          <w:rtl/>
          <w:lang w:bidi="he-IL"/>
        </w:rPr>
        <w:instrText>כ</w:instrText>
      </w:r>
      <w:r w:rsidRPr="008C7D16">
        <w:rPr>
          <w:rFonts w:hint="cs"/>
          <w:rtl/>
          <w:lang w:bidi="he-IL"/>
        </w:rPr>
        <w:instrText>שבישל מים</w:instrText>
      </w:r>
      <w:r>
        <w:rPr>
          <w:rFonts w:hint="cs"/>
          <w:rtl/>
          <w:lang w:bidi="he-IL"/>
        </w:rPr>
        <w:instrText xml:space="preserve"> באמצע</w:instrText>
      </w:r>
      <w:r>
        <w:instrText xml:space="preserve">" </w:instrText>
      </w:r>
      <w:r>
        <w:rPr>
          <w:rFonts w:cs="Guttman Drogolin"/>
          <w:rtl/>
          <w:lang w:bidi="he-IL"/>
        </w:rPr>
        <w:fldChar w:fldCharType="end"/>
      </w:r>
      <w:r w:rsidR="00AC71C9" w:rsidRPr="00882F11">
        <w:rPr>
          <w:rFonts w:cs="Guttman Drogolin" w:hint="cs"/>
          <w:rtl/>
          <w:lang w:bidi="he-IL"/>
        </w:rPr>
        <w:t xml:space="preserve">הזכרנו שהכרעת הרמ"א בסוסי' ק"ג הוא להקל שלינת לילה עושה פגם בצירוף שיטה אחרת, ובנד"ד היינו בצירוף השיטה שכשבישל מים באמצע עדיין מונים מן הבליעה הראשונה ולא מזמן בישול המים. והיינו שאמנם צריכים זמן של מעל"ע מן הבליעה הראשונה, אבל זה שבישלו מים קודם מעל"ע אינו מפסיק ובלבד שאפילו את"ל </w:t>
      </w:r>
      <w:r w:rsidR="00CB308D" w:rsidRPr="00882F11">
        <w:rPr>
          <w:rFonts w:cs="Guttman Drogolin" w:hint="cs"/>
          <w:rtl/>
          <w:lang w:bidi="he-IL"/>
        </w:rPr>
        <w:t>שבישול מים מפסיק מ"מ</w:t>
      </w:r>
      <w:r w:rsidR="00AC71C9" w:rsidRPr="00882F11">
        <w:rPr>
          <w:rFonts w:cs="Guttman Drogolin" w:hint="cs"/>
          <w:rtl/>
          <w:lang w:bidi="he-IL"/>
        </w:rPr>
        <w:t xml:space="preserve"> יש פגם למ"ד לינת לילה פוגמת.</w:t>
      </w:r>
      <w:r w:rsidR="00CB308D" w:rsidRPr="00882F11">
        <w:rPr>
          <w:rFonts w:cs="Guttman Drogolin" w:hint="cs"/>
          <w:rtl/>
          <w:lang w:bidi="he-IL"/>
        </w:rPr>
        <w:t xml:space="preserve"> וכתב הרמ"א כדוגמא להוראה זו "וכן</w:t>
      </w:r>
      <w:r w:rsidR="00CB308D" w:rsidRPr="00882F11">
        <w:rPr>
          <w:rFonts w:cs="Guttman Drogolin"/>
          <w:rtl/>
          <w:lang w:bidi="he-IL"/>
        </w:rPr>
        <w:t xml:space="preserve"> </w:t>
      </w:r>
      <w:r w:rsidR="00CB308D" w:rsidRPr="00882F11">
        <w:rPr>
          <w:rFonts w:cs="Guttman Drogolin" w:hint="cs"/>
          <w:rtl/>
          <w:lang w:bidi="he-IL"/>
        </w:rPr>
        <w:t>אם</w:t>
      </w:r>
      <w:r w:rsidR="00CB308D" w:rsidRPr="00882F11">
        <w:rPr>
          <w:rFonts w:cs="Guttman Drogolin"/>
          <w:rtl/>
          <w:lang w:bidi="he-IL"/>
        </w:rPr>
        <w:t xml:space="preserve"> </w:t>
      </w:r>
      <w:r w:rsidR="00CB308D" w:rsidRPr="00882F11">
        <w:rPr>
          <w:rFonts w:cs="Guttman Drogolin" w:hint="cs"/>
          <w:rtl/>
          <w:lang w:bidi="he-IL"/>
        </w:rPr>
        <w:t>עברה</w:t>
      </w:r>
      <w:r w:rsidR="00CB308D" w:rsidRPr="00882F11">
        <w:rPr>
          <w:rFonts w:cs="Guttman Drogolin"/>
          <w:rtl/>
          <w:lang w:bidi="he-IL"/>
        </w:rPr>
        <w:t xml:space="preserve"> </w:t>
      </w:r>
      <w:r w:rsidR="00CB308D" w:rsidRPr="00882F11">
        <w:rPr>
          <w:rFonts w:cs="Guttman Drogolin" w:hint="cs"/>
          <w:rtl/>
          <w:lang w:bidi="he-IL"/>
        </w:rPr>
        <w:t>לילה</w:t>
      </w:r>
      <w:r w:rsidR="00CB308D" w:rsidRPr="00882F11">
        <w:rPr>
          <w:rFonts w:cs="Guttman Drogolin"/>
          <w:rtl/>
          <w:lang w:bidi="he-IL"/>
        </w:rPr>
        <w:t xml:space="preserve"> </w:t>
      </w:r>
      <w:r w:rsidR="00CB308D" w:rsidRPr="00882F11">
        <w:rPr>
          <w:rFonts w:cs="Guttman Drogolin" w:hint="cs"/>
          <w:rtl/>
          <w:lang w:bidi="he-IL"/>
        </w:rPr>
        <w:t>בין</w:t>
      </w:r>
      <w:r w:rsidR="00CB308D" w:rsidRPr="00882F11">
        <w:rPr>
          <w:rFonts w:cs="Guttman Drogolin"/>
          <w:rtl/>
          <w:lang w:bidi="he-IL"/>
        </w:rPr>
        <w:t xml:space="preserve"> </w:t>
      </w:r>
      <w:r w:rsidR="00CB308D" w:rsidRPr="00882F11">
        <w:rPr>
          <w:rFonts w:cs="Guttman Drogolin" w:hint="cs"/>
          <w:rtl/>
          <w:lang w:bidi="he-IL"/>
        </w:rPr>
        <w:t>בישול</w:t>
      </w:r>
      <w:r w:rsidR="00CB308D" w:rsidRPr="00882F11">
        <w:rPr>
          <w:rFonts w:cs="Guttman Drogolin"/>
          <w:rtl/>
          <w:lang w:bidi="he-IL"/>
        </w:rPr>
        <w:t xml:space="preserve"> </w:t>
      </w:r>
      <w:r w:rsidR="00CB308D" w:rsidRPr="00882F11">
        <w:rPr>
          <w:rFonts w:cs="Guttman Drogolin" w:hint="cs"/>
          <w:rtl/>
          <w:lang w:bidi="he-IL"/>
        </w:rPr>
        <w:t>בשר</w:t>
      </w:r>
      <w:r w:rsidR="00CB308D" w:rsidRPr="00882F11">
        <w:rPr>
          <w:rFonts w:cs="Guttman Drogolin"/>
          <w:rtl/>
          <w:lang w:bidi="he-IL"/>
        </w:rPr>
        <w:t xml:space="preserve"> </w:t>
      </w:r>
      <w:r w:rsidR="00CB308D" w:rsidRPr="00882F11">
        <w:rPr>
          <w:rFonts w:cs="Guttman Drogolin" w:hint="cs"/>
          <w:rtl/>
          <w:lang w:bidi="he-IL"/>
        </w:rPr>
        <w:t>לחלב</w:t>
      </w:r>
      <w:r w:rsidR="00CB308D" w:rsidRPr="00882F11">
        <w:rPr>
          <w:rFonts w:cs="Guttman Drogolin"/>
          <w:rtl/>
          <w:lang w:bidi="he-IL"/>
        </w:rPr>
        <w:t xml:space="preserve"> </w:t>
      </w:r>
      <w:r w:rsidR="00CB308D" w:rsidRPr="00882F11">
        <w:rPr>
          <w:rFonts w:cs="Guttman Drogolin" w:hint="cs"/>
          <w:rtl/>
          <w:lang w:bidi="he-IL"/>
        </w:rPr>
        <w:t>אף</w:t>
      </w:r>
      <w:r w:rsidR="00CB308D" w:rsidRPr="00882F11">
        <w:rPr>
          <w:rFonts w:cs="Guttman Drogolin"/>
          <w:rtl/>
          <w:lang w:bidi="he-IL"/>
        </w:rPr>
        <w:t xml:space="preserve"> </w:t>
      </w:r>
      <w:r w:rsidR="00CB308D" w:rsidRPr="00882F11">
        <w:rPr>
          <w:rFonts w:cs="Guttman Drogolin" w:hint="cs"/>
          <w:rtl/>
          <w:lang w:bidi="he-IL"/>
        </w:rPr>
        <w:t>על</w:t>
      </w:r>
      <w:r w:rsidR="00CB308D" w:rsidRPr="00882F11">
        <w:rPr>
          <w:rFonts w:cs="Guttman Drogolin"/>
          <w:rtl/>
          <w:lang w:bidi="he-IL"/>
        </w:rPr>
        <w:t xml:space="preserve"> </w:t>
      </w:r>
      <w:r w:rsidR="00CB308D" w:rsidRPr="00882F11">
        <w:rPr>
          <w:rFonts w:cs="Guttman Drogolin" w:hint="cs"/>
          <w:rtl/>
          <w:lang w:bidi="he-IL"/>
        </w:rPr>
        <w:t>גב</w:t>
      </w:r>
      <w:r w:rsidR="00CB308D" w:rsidRPr="00882F11">
        <w:rPr>
          <w:rFonts w:cs="Guttman Drogolin"/>
          <w:rtl/>
          <w:lang w:bidi="he-IL"/>
        </w:rPr>
        <w:t xml:space="preserve"> </w:t>
      </w:r>
      <w:r w:rsidR="00CB308D" w:rsidRPr="00882F11">
        <w:rPr>
          <w:rFonts w:cs="Guttman Drogolin" w:hint="cs"/>
          <w:rtl/>
          <w:lang w:bidi="he-IL"/>
        </w:rPr>
        <w:t>דאח</w:t>
      </w:r>
      <w:r w:rsidR="00CB308D" w:rsidRPr="00882F11">
        <w:rPr>
          <w:rFonts w:cs="Guttman Drogolin"/>
          <w:rtl/>
          <w:lang w:bidi="he-IL"/>
        </w:rPr>
        <w:t>"</w:t>
      </w:r>
      <w:r w:rsidR="00CB308D" w:rsidRPr="00882F11">
        <w:rPr>
          <w:rFonts w:cs="Guttman Drogolin" w:hint="cs"/>
          <w:rtl/>
          <w:lang w:bidi="he-IL"/>
        </w:rPr>
        <w:t>כ</w:t>
      </w:r>
      <w:r w:rsidR="00CB308D" w:rsidRPr="00882F11">
        <w:rPr>
          <w:rFonts w:cs="Guttman Drogolin"/>
          <w:rtl/>
          <w:lang w:bidi="he-IL"/>
        </w:rPr>
        <w:t xml:space="preserve"> </w:t>
      </w:r>
      <w:r w:rsidR="00CB308D" w:rsidRPr="00882F11">
        <w:rPr>
          <w:rFonts w:cs="Guttman Drogolin" w:hint="cs"/>
          <w:rtl/>
          <w:lang w:bidi="he-IL"/>
        </w:rPr>
        <w:t>הוחמו</w:t>
      </w:r>
      <w:r w:rsidR="00CB308D" w:rsidRPr="00882F11">
        <w:rPr>
          <w:rFonts w:cs="Guttman Drogolin"/>
          <w:rtl/>
          <w:lang w:bidi="he-IL"/>
        </w:rPr>
        <w:t xml:space="preserve"> </w:t>
      </w:r>
      <w:r w:rsidR="00CB308D" w:rsidRPr="00882F11">
        <w:rPr>
          <w:rFonts w:cs="Guttman Drogolin" w:hint="cs"/>
          <w:rtl/>
          <w:lang w:bidi="he-IL"/>
        </w:rPr>
        <w:t>המים</w:t>
      </w:r>
      <w:r w:rsidR="00CB308D" w:rsidRPr="00882F11">
        <w:rPr>
          <w:rFonts w:cs="Guttman Drogolin"/>
          <w:rtl/>
          <w:lang w:bidi="he-IL"/>
        </w:rPr>
        <w:t xml:space="preserve"> </w:t>
      </w:r>
      <w:r w:rsidR="00CB308D" w:rsidRPr="00882F11">
        <w:rPr>
          <w:rFonts w:cs="Guttman Drogolin" w:hint="cs"/>
          <w:rtl/>
          <w:lang w:bidi="he-IL"/>
        </w:rPr>
        <w:t>מיד</w:t>
      </w:r>
      <w:r w:rsidR="00CB308D" w:rsidRPr="00882F11">
        <w:rPr>
          <w:rFonts w:cs="Guttman Drogolin"/>
          <w:rtl/>
          <w:lang w:bidi="he-IL"/>
        </w:rPr>
        <w:t xml:space="preserve"> </w:t>
      </w:r>
      <w:r w:rsidR="00CB308D" w:rsidRPr="00882F11">
        <w:rPr>
          <w:rFonts w:cs="Guttman Drogolin" w:hint="cs"/>
          <w:rtl/>
          <w:lang w:bidi="he-IL"/>
        </w:rPr>
        <w:t>נמי</w:t>
      </w:r>
      <w:r w:rsidR="00CB308D" w:rsidRPr="00882F11">
        <w:rPr>
          <w:rFonts w:cs="Guttman Drogolin"/>
          <w:rtl/>
          <w:lang w:bidi="he-IL"/>
        </w:rPr>
        <w:t xml:space="preserve"> </w:t>
      </w:r>
      <w:r w:rsidR="00CB308D" w:rsidRPr="00882F11">
        <w:rPr>
          <w:rFonts w:cs="Guttman Drogolin" w:hint="cs"/>
          <w:rtl/>
          <w:lang w:bidi="he-IL"/>
        </w:rPr>
        <w:t>דינא</w:t>
      </w:r>
      <w:r w:rsidR="00CB308D" w:rsidRPr="00882F11">
        <w:rPr>
          <w:rFonts w:cs="Guttman Drogolin"/>
          <w:rtl/>
          <w:lang w:bidi="he-IL"/>
        </w:rPr>
        <w:t xml:space="preserve"> </w:t>
      </w:r>
      <w:r w:rsidR="00CB308D" w:rsidRPr="00882F11">
        <w:rPr>
          <w:rFonts w:cs="Guttman Drogolin" w:hint="cs"/>
          <w:rtl/>
          <w:lang w:bidi="he-IL"/>
        </w:rPr>
        <w:t>הכי"</w:t>
      </w:r>
      <w:r w:rsidR="00CB308D" w:rsidRPr="00882F11">
        <w:rPr>
          <w:rFonts w:cs="Guttman Drogolin"/>
          <w:rtl/>
          <w:lang w:bidi="he-IL"/>
        </w:rPr>
        <w:t>.</w:t>
      </w:r>
      <w:r w:rsidR="00CB308D" w:rsidRPr="00882F11">
        <w:rPr>
          <w:rFonts w:cs="Guttman Drogolin" w:hint="cs"/>
          <w:rtl/>
          <w:lang w:bidi="he-IL"/>
        </w:rPr>
        <w:t xml:space="preserve"> והעיר בזה רע"א, דהנה הלינת לילה שבין הבשר לח</w:t>
      </w:r>
      <w:r w:rsidR="004750AC" w:rsidRPr="00882F11">
        <w:rPr>
          <w:rFonts w:cs="Guttman Drogolin" w:hint="cs"/>
          <w:rtl/>
          <w:lang w:bidi="he-IL"/>
        </w:rPr>
        <w:t>לב</w:t>
      </w:r>
      <w:r w:rsidR="00CB308D" w:rsidRPr="00882F11">
        <w:rPr>
          <w:rFonts w:cs="Guttman Drogolin" w:hint="cs"/>
          <w:rtl/>
          <w:lang w:bidi="he-IL"/>
        </w:rPr>
        <w:t xml:space="preserve"> מקיים הקולא דלינת לילה פוגמת, אבל לכאורה </w:t>
      </w:r>
      <w:r w:rsidR="004750AC" w:rsidRPr="00882F11">
        <w:rPr>
          <w:rFonts w:cs="Guttman Drogolin" w:hint="cs"/>
          <w:rtl/>
          <w:lang w:bidi="he-IL"/>
        </w:rPr>
        <w:t xml:space="preserve">אם לינת לילה אינה פוגמת הא יש כאן בליעות של בב"ח. </w:t>
      </w:r>
      <w:r w:rsidR="003F1BF6" w:rsidRPr="00882F11">
        <w:rPr>
          <w:rFonts w:cs="Guttman Drogolin" w:hint="cs"/>
          <w:rtl/>
          <w:lang w:bidi="he-IL"/>
        </w:rPr>
        <w:t>וע"כ מיירי דעברו מעל"ע, אבל נשאלת השאלה מאיזה זמן צריכים להמתין מעל"ע, מבישול הבשר או מבישול החלב. והוכיח רע"א דע"כ מבישול החלב, דאל"כ אלא מבישול הבשר, מה איכפת לן בבישול המים שלאחר בישול החלב, הא הוא מ"מ תוך מעל"ע מבישול החלב. ואע"ג שיש בזה נפר"מ לבשר כיון שהוא תוך מעל"ע גם מבישול הבשר, והו"א שיצטרך מעל"ע מבישול המים וקמ"ל שלא. מ"מ הלשון של 'דאח"כ הוחמו בה מים' משמע שהוא בדוקא לאחר בישול החלב, ואם הוא תוך מעל"ע מן החלב מאי נפק"מ וכנ"ל. וע"כ כנ"ח דבעינן מעל"ע מבישול החלב.</w:t>
      </w:r>
    </w:p>
    <w:p w:rsidR="007B6C05" w:rsidRPr="00882F11" w:rsidRDefault="003F1BF6" w:rsidP="003F1BF6">
      <w:pPr>
        <w:tabs>
          <w:tab w:val="right" w:pos="7497"/>
        </w:tabs>
        <w:bidi/>
        <w:jc w:val="both"/>
        <w:rPr>
          <w:rFonts w:cs="Guttman Drogolin"/>
          <w:rtl/>
          <w:lang w:bidi="he-IL"/>
        </w:rPr>
      </w:pPr>
      <w:r w:rsidRPr="00882F11">
        <w:rPr>
          <w:rFonts w:cs="Guttman Drogolin" w:hint="cs"/>
          <w:rtl/>
          <w:lang w:bidi="he-IL"/>
        </w:rPr>
        <w:t xml:space="preserve">ושורש הנידון, דהנה ברמ"א בסי' קל"ד סע' י"ב מבואר שאם מאכל היתר בלע בליעות של איסור ונאסר ונעשה נבילה, והטעם של האיסור נטל"פ בתבשיל חדש, אבל הטעם של היתר נותם טעם לשבח, הדין הוא שהתבשיל החדש מותר, דהא אין ההיתר אוסר התבשיל אלא משום שנעשה נבילה מכח הטעם איסור, וכיון שהוא נטל"פ בתבשיל אין הנאסר אוסר יותר מן האוסרו. וא"כ לכאורה הי' צריך להיות הדין נמי, שאם בישלו בשר ולאחר מכן חלב בתוך כלי, ושוב עבר זמן </w:t>
      </w:r>
      <w:r w:rsidRPr="00882F11">
        <w:rPr>
          <w:rFonts w:cs="Guttman Drogolin" w:hint="cs"/>
          <w:rtl/>
          <w:lang w:bidi="he-IL"/>
        </w:rPr>
        <w:lastRenderedPageBreak/>
        <w:t xml:space="preserve">מעל"ע מבישול הבשר ולכן נעשו הבליעות של בשר לפגם, שאין כאן לותן טעם לשבח של איסור בבב"ח. ואע"ג שהבליעות של חלב עדיין לא נעשו לפגם, וכן כבר נאסרו מקודם שנעשו הבליעות של בשר לפגם, אבל מ"מ הא אין הנאסר אוסר יותר מן האוסרו, ולכן כיון שהבליעות של בשר נעשו לפגם, שוב אין כאן איסור בב"ח כלל. ומהנ"ל חזינן שאין זה נכון, אלא הבליעות של חלב שכבר נאסרו עדיין באיסורן עומד. ובטעם הדבר צידד רע"א לעיל בסי' צ"ד (על הש"ך ס"ק </w:t>
      </w:r>
      <w:r w:rsidR="00C5137B" w:rsidRPr="00882F11">
        <w:rPr>
          <w:rFonts w:cs="Guttman Drogolin" w:hint="cs"/>
          <w:rtl/>
          <w:lang w:bidi="he-IL"/>
        </w:rPr>
        <w:t>י') משום שבבב"ח לא נאמר הכלל שאין הנאסר אוסר במקום שאין האיסור יכול להתפשט, וכן הוא שיטת הש"ך סי' ק"ה ס"ק י"ז.</w:t>
      </w:r>
      <w:r w:rsidRPr="00882F11">
        <w:rPr>
          <w:rFonts w:cs="Guttman Drogolin" w:hint="cs"/>
          <w:rtl/>
          <w:lang w:bidi="he-IL"/>
        </w:rPr>
        <w:t xml:space="preserve"> </w:t>
      </w:r>
      <w:r w:rsidR="007B6C05" w:rsidRPr="00882F11">
        <w:rPr>
          <w:rFonts w:cs="Guttman Drogolin" w:hint="cs"/>
          <w:rtl/>
          <w:lang w:bidi="he-IL"/>
        </w:rPr>
        <w:t>ולפי הדיוק של רע"א לכאורה יש לנו ראי' לסברת הש"ך.</w:t>
      </w:r>
      <w:r w:rsidRPr="00882F11">
        <w:rPr>
          <w:rFonts w:cs="Guttman Drogolin" w:hint="cs"/>
          <w:rtl/>
          <w:lang w:bidi="he-IL"/>
        </w:rPr>
        <w:t xml:space="preserve">   </w:t>
      </w:r>
    </w:p>
    <w:p w:rsidR="003D06DC" w:rsidRPr="00882F11" w:rsidRDefault="007B6C05" w:rsidP="00263D11">
      <w:pPr>
        <w:tabs>
          <w:tab w:val="right" w:pos="7497"/>
        </w:tabs>
        <w:bidi/>
        <w:jc w:val="both"/>
        <w:rPr>
          <w:rFonts w:cs="Guttman Drogolin"/>
          <w:rtl/>
          <w:lang w:bidi="he-IL"/>
        </w:rPr>
      </w:pPr>
      <w:r w:rsidRPr="00882F11">
        <w:rPr>
          <w:rFonts w:cs="Guttman Drogolin" w:hint="cs"/>
          <w:rtl/>
          <w:lang w:bidi="he-IL"/>
        </w:rPr>
        <w:t xml:space="preserve">אמנם יעוין בחוו"ד ס"ק י' שכתב סברא נוספת לומר שמונים משעת בישול החלב. והוא משום דלא שייך הסברא של אין הנאסר אוסר מן האוסרו לענין בנטל"פ אלא בכגון הא דהרמ"א בסי' קל"ד סע' י"ב, דמה שנבלע בה מעיקרא היתה מאכל שבשעת הבליעה היתה לפגם לענין התבשיל שנופל בה עכשיו, ולכן לא יאסרו התבשיל שבלעו האיסור יותא ממנו. אבל </w:t>
      </w:r>
      <w:r w:rsidR="00263D11" w:rsidRPr="00882F11">
        <w:rPr>
          <w:rFonts w:cs="Guttman Drogolin" w:hint="cs"/>
          <w:rtl/>
          <w:lang w:bidi="he-IL"/>
        </w:rPr>
        <w:t xml:space="preserve">כאן כיון שבשעת שנבלע הבשר לחלב היתה לשבח, אמרינן שיש לחלב דין הבשר בשעה שבלעו, וכיון שאז היתה לשבח יש לחלב דין טעם בשר לשבח, ורוב אינו תלוי בזה שלאחר מכן יהי' לפגם. ואע"ג שבהגהות רע"א כתב שאין הכרח לזה כאן בדינא דבישל מים בימצע לפש"כ הש"ך שהטעם להחמיר באיסורא משום שאין היתר של נ"ט בר נ"ט באיסורא, מ"מ </w:t>
      </w:r>
      <w:r w:rsidR="003D06DC" w:rsidRPr="00882F11">
        <w:rPr>
          <w:rFonts w:cs="Guttman Drogolin" w:hint="cs"/>
          <w:rtl/>
          <w:lang w:bidi="he-IL"/>
        </w:rPr>
        <w:t>כן אפשר לומר בדעת הרמ"א. ובעיקר סברת החוו"ד לכאורה יש לו מקור לפמש"כ הרא"ה בביאור הא דתחילתו שבח וסופו פגם אסור אע"ג שעכשיו היא לפגם. אמנם יתכן שהוא משום דלית לי' כלל ד'אין הנאסר' כלל.</w:t>
      </w:r>
    </w:p>
    <w:p w:rsidR="0067702E" w:rsidRPr="006D0A1E" w:rsidRDefault="000E4C24" w:rsidP="000E4C24">
      <w:pPr>
        <w:pStyle w:val="Heading1"/>
        <w:bidi/>
        <w:spacing w:before="0" w:line="360" w:lineRule="auto"/>
        <w:jc w:val="center"/>
        <w:rPr>
          <w:rFonts w:cs="Guttman Drogolin"/>
          <w:color w:val="auto"/>
          <w:sz w:val="22"/>
          <w:szCs w:val="22"/>
          <w:u w:val="single"/>
          <w:rtl/>
          <w:lang w:bidi="he-IL"/>
        </w:rPr>
      </w:pPr>
      <w:bookmarkStart w:id="378" w:name="_Toc496175625"/>
      <w:r w:rsidRPr="006D0A1E">
        <w:rPr>
          <w:rFonts w:cs="Guttman Drogolin" w:hint="cs"/>
          <w:color w:val="auto"/>
          <w:sz w:val="22"/>
          <w:szCs w:val="22"/>
          <w:u w:val="single"/>
          <w:rtl/>
          <w:lang w:bidi="he-IL"/>
        </w:rPr>
        <w:t>אם יש איסור דרבנן בנבילה שאינה ראוי' לגר</w:t>
      </w:r>
      <w:bookmarkEnd w:id="378"/>
    </w:p>
    <w:p w:rsidR="0071451E" w:rsidRPr="00882F11" w:rsidRDefault="00F45F5A" w:rsidP="00DA09C6">
      <w:pPr>
        <w:tabs>
          <w:tab w:val="right" w:pos="7497"/>
        </w:tabs>
        <w:bidi/>
        <w:jc w:val="both"/>
        <w:rPr>
          <w:rFonts w:cs="Guttman Drogolin"/>
          <w:rtl/>
          <w:lang w:bidi="he-IL"/>
        </w:rPr>
      </w:pPr>
      <w:r>
        <w:rPr>
          <w:rFonts w:cs="Guttman Drogolin"/>
          <w:rtl/>
          <w:lang w:bidi="he-IL"/>
        </w:rPr>
        <w:fldChar w:fldCharType="begin"/>
      </w:r>
      <w:r>
        <w:instrText xml:space="preserve"> XE "</w:instrText>
      </w:r>
      <w:r w:rsidRPr="000F6A33">
        <w:rPr>
          <w:rFonts w:hint="cs"/>
          <w:rtl/>
          <w:lang w:bidi="he-IL"/>
        </w:rPr>
        <w:instrText>נותן טעם לפגם</w:instrText>
      </w:r>
      <w:r w:rsidRPr="000F6A33">
        <w:rPr>
          <w:rtl/>
        </w:rPr>
        <w:instrText>:</w:instrText>
      </w:r>
      <w:r w:rsidRPr="000F6A33">
        <w:rPr>
          <w:rFonts w:hint="cs"/>
          <w:rtl/>
          <w:lang w:bidi="he-IL"/>
        </w:rPr>
        <w:instrText>נבילה שאינה ראוי' לגר - אם מותר גם מדרבנן</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6A1988">
        <w:rPr>
          <w:rFonts w:hint="cs"/>
          <w:rtl/>
          <w:lang w:bidi="he-IL"/>
        </w:rPr>
        <w:instrText>נבילה שאינה ראוי' לגר</w:instrText>
      </w:r>
      <w:r>
        <w:instrText>" \t "</w:instrText>
      </w:r>
      <w:r w:rsidRPr="00F02322">
        <w:rPr>
          <w:rFonts w:cs="Times New Roman" w:hint="cs"/>
          <w:i/>
          <w:rtl/>
          <w:lang w:bidi="he-IL"/>
        </w:rPr>
        <w:instrText>ע</w:instrText>
      </w:r>
      <w:r w:rsidRPr="00F02322">
        <w:rPr>
          <w:rFonts w:cstheme="minorHAnsi" w:hint="cs"/>
          <w:i/>
          <w:rtl/>
          <w:lang w:bidi="he-IL"/>
        </w:rPr>
        <w:instrText xml:space="preserve">' </w:instrText>
      </w:r>
      <w:r w:rsidRPr="00F02322">
        <w:rPr>
          <w:rFonts w:cs="Times New Roman" w:hint="cs"/>
          <w:i/>
          <w:rtl/>
          <w:lang w:bidi="he-IL"/>
        </w:rPr>
        <w:instrText>נותן טעם לפגם</w:instrText>
      </w:r>
      <w:r>
        <w:instrText xml:space="preserve">" </w:instrText>
      </w:r>
      <w:r>
        <w:rPr>
          <w:rFonts w:cs="Guttman Drogolin"/>
          <w:rtl/>
          <w:lang w:bidi="he-IL"/>
        </w:rPr>
        <w:fldChar w:fldCharType="end"/>
      </w:r>
      <w:r>
        <w:rPr>
          <w:rFonts w:cs="Guttman Drogolin" w:hint="cs"/>
          <w:rtl/>
          <w:lang w:bidi="he-IL"/>
        </w:rPr>
        <w:t>עיקר הדין של נטל"פ נ</w:t>
      </w:r>
      <w:r w:rsidR="000E4C24" w:rsidRPr="00882F11">
        <w:rPr>
          <w:rFonts w:cs="Guttman Drogolin" w:hint="cs"/>
          <w:rtl/>
          <w:lang w:bidi="he-IL"/>
        </w:rPr>
        <w:t xml:space="preserve">למד מדין נבילה שאינה ראוי' לגר. ועיקר הכתוב מיירי בנבילה ממש </w:t>
      </w:r>
      <w:r w:rsidR="000E4C24" w:rsidRPr="00882F11">
        <w:rPr>
          <w:rFonts w:cs="Guttman Drogolin" w:hint="cs"/>
          <w:rtl/>
          <w:lang w:bidi="he-IL"/>
        </w:rPr>
        <w:lastRenderedPageBreak/>
        <w:t>שנסרח ולכן פקע איסורו ממנו. וכל זה לענין דאו', אבל יל"ע אם יש מ"מ איסור דרבנן. ולשון השו"ע בסי' ק"ג סע' א' "כל דבר שטעמו פגום אינו אוסר תערובתו ואפילו אין טעמו פגום מחמת עצמו</w:t>
      </w:r>
      <w:r w:rsidR="00F57F07" w:rsidRPr="00882F11">
        <w:rPr>
          <w:rFonts w:cs="Guttman Drogolin" w:hint="cs"/>
          <w:rtl/>
          <w:lang w:bidi="he-IL"/>
        </w:rPr>
        <w:t xml:space="preserve"> וכו'" ושם ברמ"א מיהו דברים החשובים וכו' אם אינן פגומים בעצמן וכו' אינן בטלין אפילו באלף". ומשמע דאילו היתה פגומה בעצמה היתה מותרת כמו נטל"פ. ויש לדחות, שכוונת השו"ע רק בתערובת יהי' מותר סרוח לגמרי, וכן הרמ"א לא היתה כוונתו לומר שאם סרוח לגמרי הרי הוא בטל (וכמו שביארנו לעיל) אבל לעולם בפני עצמו יש בה איסור דרבנן. </w:t>
      </w:r>
      <w:r w:rsidR="0071451E" w:rsidRPr="00882F11">
        <w:rPr>
          <w:rFonts w:cs="Guttman Drogolin" w:hint="cs"/>
          <w:rtl/>
          <w:lang w:bidi="he-IL"/>
        </w:rPr>
        <w:t>אמנם לשון השו"ע בסע' ב' "אבל</w:t>
      </w:r>
      <w:r w:rsidR="0071451E" w:rsidRPr="00882F11">
        <w:rPr>
          <w:rFonts w:cs="Guttman Drogolin"/>
          <w:rtl/>
          <w:lang w:bidi="he-IL"/>
        </w:rPr>
        <w:t xml:space="preserve"> </w:t>
      </w:r>
      <w:r w:rsidR="0071451E" w:rsidRPr="00882F11">
        <w:rPr>
          <w:rFonts w:cs="Guttman Drogolin" w:hint="cs"/>
          <w:rtl/>
          <w:lang w:bidi="he-IL"/>
        </w:rPr>
        <w:t>איסור</w:t>
      </w:r>
      <w:r w:rsidR="0071451E" w:rsidRPr="00882F11">
        <w:rPr>
          <w:rFonts w:cs="Guttman Drogolin"/>
          <w:rtl/>
          <w:lang w:bidi="he-IL"/>
        </w:rPr>
        <w:t xml:space="preserve"> </w:t>
      </w:r>
      <w:r w:rsidR="0071451E" w:rsidRPr="00882F11">
        <w:rPr>
          <w:rFonts w:cs="Guttman Drogolin" w:hint="cs"/>
          <w:rtl/>
          <w:lang w:bidi="he-IL"/>
        </w:rPr>
        <w:t>מרובה</w:t>
      </w:r>
      <w:r w:rsidR="0071451E" w:rsidRPr="00882F11">
        <w:rPr>
          <w:rFonts w:cs="Guttman Drogolin"/>
          <w:rtl/>
          <w:lang w:bidi="he-IL"/>
        </w:rPr>
        <w:t xml:space="preserve"> </w:t>
      </w:r>
      <w:r w:rsidR="0071451E" w:rsidRPr="00882F11">
        <w:rPr>
          <w:rFonts w:cs="Guttman Drogolin" w:hint="cs"/>
          <w:rtl/>
          <w:lang w:bidi="he-IL"/>
        </w:rPr>
        <w:t>לתוך</w:t>
      </w:r>
      <w:r w:rsidR="0071451E" w:rsidRPr="00882F11">
        <w:rPr>
          <w:rFonts w:cs="Guttman Drogolin"/>
          <w:rtl/>
          <w:lang w:bidi="he-IL"/>
        </w:rPr>
        <w:t xml:space="preserve"> </w:t>
      </w:r>
      <w:r w:rsidR="0071451E" w:rsidRPr="00882F11">
        <w:rPr>
          <w:rFonts w:cs="Guttman Drogolin" w:hint="cs"/>
          <w:rtl/>
          <w:lang w:bidi="he-IL"/>
        </w:rPr>
        <w:t>היתר</w:t>
      </w:r>
      <w:r w:rsidR="0071451E" w:rsidRPr="00882F11">
        <w:rPr>
          <w:rFonts w:cs="Guttman Drogolin"/>
          <w:rtl/>
          <w:lang w:bidi="he-IL"/>
        </w:rPr>
        <w:t xml:space="preserve"> </w:t>
      </w:r>
      <w:r w:rsidR="0071451E" w:rsidRPr="00882F11">
        <w:rPr>
          <w:rFonts w:cs="Guttman Drogolin" w:hint="cs"/>
          <w:rtl/>
          <w:lang w:bidi="he-IL"/>
        </w:rPr>
        <w:t>מועט</w:t>
      </w:r>
      <w:r w:rsidR="0071451E" w:rsidRPr="00882F11">
        <w:rPr>
          <w:rFonts w:cs="Guttman Drogolin"/>
          <w:rtl/>
          <w:lang w:bidi="he-IL"/>
        </w:rPr>
        <w:t xml:space="preserve">, </w:t>
      </w:r>
      <w:r w:rsidR="0071451E" w:rsidRPr="00882F11">
        <w:rPr>
          <w:rFonts w:cs="Guttman Drogolin" w:hint="cs"/>
          <w:rtl/>
          <w:lang w:bidi="he-IL"/>
        </w:rPr>
        <w:t>ואפילו</w:t>
      </w:r>
      <w:r w:rsidR="0071451E" w:rsidRPr="00882F11">
        <w:rPr>
          <w:rFonts w:cs="Guttman Drogolin"/>
          <w:rtl/>
          <w:lang w:bidi="he-IL"/>
        </w:rPr>
        <w:t xml:space="preserve"> </w:t>
      </w:r>
      <w:r w:rsidR="0071451E" w:rsidRPr="00882F11">
        <w:rPr>
          <w:rFonts w:cs="Guttman Drogolin" w:hint="cs"/>
          <w:rtl/>
          <w:lang w:bidi="he-IL"/>
        </w:rPr>
        <w:t>מחצה</w:t>
      </w:r>
      <w:r w:rsidR="0071451E" w:rsidRPr="00882F11">
        <w:rPr>
          <w:rFonts w:cs="Guttman Drogolin"/>
          <w:rtl/>
          <w:lang w:bidi="he-IL"/>
        </w:rPr>
        <w:t xml:space="preserve"> </w:t>
      </w:r>
      <w:r w:rsidR="0071451E" w:rsidRPr="00882F11">
        <w:rPr>
          <w:rFonts w:cs="Guttman Drogolin" w:hint="cs"/>
          <w:rtl/>
          <w:lang w:bidi="he-IL"/>
        </w:rPr>
        <w:t>על</w:t>
      </w:r>
      <w:r w:rsidR="0071451E" w:rsidRPr="00882F11">
        <w:rPr>
          <w:rFonts w:cs="Guttman Drogolin"/>
          <w:rtl/>
          <w:lang w:bidi="he-IL"/>
        </w:rPr>
        <w:t xml:space="preserve"> </w:t>
      </w:r>
      <w:r w:rsidR="0071451E" w:rsidRPr="00882F11">
        <w:rPr>
          <w:rFonts w:cs="Guttman Drogolin" w:hint="cs"/>
          <w:rtl/>
          <w:lang w:bidi="he-IL"/>
        </w:rPr>
        <w:t>מחצה</w:t>
      </w:r>
      <w:r w:rsidR="0071451E" w:rsidRPr="00882F11">
        <w:rPr>
          <w:rFonts w:cs="Guttman Drogolin"/>
          <w:rtl/>
          <w:lang w:bidi="he-IL"/>
        </w:rPr>
        <w:t xml:space="preserve">, </w:t>
      </w:r>
      <w:r w:rsidR="0071451E" w:rsidRPr="00882F11">
        <w:rPr>
          <w:rFonts w:cs="Guttman Drogolin" w:hint="cs"/>
          <w:rtl/>
          <w:lang w:bidi="he-IL"/>
        </w:rPr>
        <w:t>אין</w:t>
      </w:r>
      <w:r w:rsidR="0071451E" w:rsidRPr="00882F11">
        <w:rPr>
          <w:rFonts w:cs="Guttman Drogolin"/>
          <w:rtl/>
          <w:lang w:bidi="he-IL"/>
        </w:rPr>
        <w:t xml:space="preserve"> </w:t>
      </w:r>
      <w:r w:rsidR="0071451E" w:rsidRPr="00882F11">
        <w:rPr>
          <w:rFonts w:cs="Guttman Drogolin" w:hint="cs"/>
          <w:rtl/>
          <w:lang w:bidi="he-IL"/>
        </w:rPr>
        <w:t>אומרים</w:t>
      </w:r>
      <w:r w:rsidR="0071451E" w:rsidRPr="00882F11">
        <w:rPr>
          <w:rFonts w:cs="Guttman Drogolin"/>
          <w:rtl/>
          <w:lang w:bidi="he-IL"/>
        </w:rPr>
        <w:t xml:space="preserve"> </w:t>
      </w:r>
      <w:r w:rsidR="0071451E" w:rsidRPr="00882F11">
        <w:rPr>
          <w:rFonts w:cs="Guttman Drogolin" w:hint="cs"/>
          <w:rtl/>
          <w:lang w:bidi="he-IL"/>
        </w:rPr>
        <w:t>נותן</w:t>
      </w:r>
      <w:r w:rsidR="0071451E" w:rsidRPr="00882F11">
        <w:rPr>
          <w:rFonts w:cs="Guttman Drogolin"/>
          <w:rtl/>
          <w:lang w:bidi="he-IL"/>
        </w:rPr>
        <w:t xml:space="preserve"> </w:t>
      </w:r>
      <w:r w:rsidR="0071451E" w:rsidRPr="00882F11">
        <w:rPr>
          <w:rFonts w:cs="Guttman Drogolin" w:hint="cs"/>
          <w:rtl/>
          <w:lang w:bidi="he-IL"/>
        </w:rPr>
        <w:t>טעם</w:t>
      </w:r>
      <w:r w:rsidR="0071451E" w:rsidRPr="00882F11">
        <w:rPr>
          <w:rFonts w:cs="Guttman Drogolin"/>
          <w:rtl/>
          <w:lang w:bidi="he-IL"/>
        </w:rPr>
        <w:t xml:space="preserve"> </w:t>
      </w:r>
      <w:r w:rsidR="0071451E" w:rsidRPr="00882F11">
        <w:rPr>
          <w:rFonts w:cs="Guttman Drogolin" w:hint="cs"/>
          <w:rtl/>
          <w:lang w:bidi="he-IL"/>
        </w:rPr>
        <w:t>לפגם</w:t>
      </w:r>
      <w:r w:rsidR="0071451E" w:rsidRPr="00882F11">
        <w:rPr>
          <w:rFonts w:cs="Guttman Drogolin"/>
          <w:rtl/>
          <w:lang w:bidi="he-IL"/>
        </w:rPr>
        <w:t xml:space="preserve"> </w:t>
      </w:r>
      <w:r w:rsidR="0071451E" w:rsidRPr="00882F11">
        <w:rPr>
          <w:rFonts w:cs="Guttman Drogolin" w:hint="cs"/>
          <w:rtl/>
          <w:lang w:bidi="he-IL"/>
        </w:rPr>
        <w:t>מותר</w:t>
      </w:r>
      <w:r w:rsidR="0071451E" w:rsidRPr="00882F11">
        <w:rPr>
          <w:rFonts w:cs="Guttman Drogolin"/>
          <w:rtl/>
          <w:lang w:bidi="he-IL"/>
        </w:rPr>
        <w:t xml:space="preserve">, </w:t>
      </w:r>
      <w:r w:rsidR="0071451E" w:rsidRPr="00882F11">
        <w:rPr>
          <w:rFonts w:cs="Guttman Drogolin" w:hint="cs"/>
          <w:rtl/>
          <w:lang w:bidi="he-IL"/>
        </w:rPr>
        <w:t>עד</w:t>
      </w:r>
      <w:r w:rsidR="0071451E" w:rsidRPr="00882F11">
        <w:rPr>
          <w:rFonts w:cs="Guttman Drogolin"/>
          <w:rtl/>
          <w:lang w:bidi="he-IL"/>
        </w:rPr>
        <w:t xml:space="preserve"> </w:t>
      </w:r>
      <w:r w:rsidR="0071451E" w:rsidRPr="00882F11">
        <w:rPr>
          <w:rFonts w:cs="Guttman Drogolin" w:hint="cs"/>
          <w:rtl/>
          <w:lang w:bidi="he-IL"/>
        </w:rPr>
        <w:t>שיפגום</w:t>
      </w:r>
      <w:r w:rsidR="0071451E" w:rsidRPr="00882F11">
        <w:rPr>
          <w:rFonts w:cs="Guttman Drogolin"/>
          <w:rtl/>
          <w:lang w:bidi="he-IL"/>
        </w:rPr>
        <w:t xml:space="preserve"> </w:t>
      </w:r>
      <w:r w:rsidR="0071451E" w:rsidRPr="00882F11">
        <w:rPr>
          <w:rFonts w:cs="Guttman Drogolin" w:hint="cs"/>
          <w:rtl/>
          <w:lang w:bidi="he-IL"/>
        </w:rPr>
        <w:t>לגמרי</w:t>
      </w:r>
      <w:r w:rsidR="0071451E" w:rsidRPr="00882F11">
        <w:rPr>
          <w:rFonts w:cs="Guttman Drogolin"/>
          <w:rtl/>
          <w:lang w:bidi="he-IL"/>
        </w:rPr>
        <w:t xml:space="preserve"> </w:t>
      </w:r>
      <w:r w:rsidR="0071451E" w:rsidRPr="00882F11">
        <w:rPr>
          <w:rFonts w:cs="Guttman Drogolin" w:hint="cs"/>
          <w:rtl/>
          <w:lang w:bidi="he-IL"/>
        </w:rPr>
        <w:t>שאינו</w:t>
      </w:r>
      <w:r w:rsidR="0071451E" w:rsidRPr="00882F11">
        <w:rPr>
          <w:rFonts w:cs="Guttman Drogolin"/>
          <w:rtl/>
          <w:lang w:bidi="he-IL"/>
        </w:rPr>
        <w:t xml:space="preserve"> </w:t>
      </w:r>
      <w:r w:rsidR="0071451E" w:rsidRPr="00882F11">
        <w:rPr>
          <w:rFonts w:cs="Guttman Drogolin" w:hint="cs"/>
          <w:rtl/>
          <w:lang w:bidi="he-IL"/>
        </w:rPr>
        <w:t>ראוי</w:t>
      </w:r>
      <w:r w:rsidR="0071451E" w:rsidRPr="00882F11">
        <w:rPr>
          <w:rFonts w:cs="Guttman Drogolin"/>
          <w:rtl/>
          <w:lang w:bidi="he-IL"/>
        </w:rPr>
        <w:t xml:space="preserve"> </w:t>
      </w:r>
      <w:r w:rsidR="0071451E" w:rsidRPr="00882F11">
        <w:rPr>
          <w:rFonts w:cs="Guttman Drogolin" w:hint="cs"/>
          <w:rtl/>
          <w:lang w:bidi="he-IL"/>
        </w:rPr>
        <w:t>למאכל</w:t>
      </w:r>
      <w:r w:rsidR="0071451E" w:rsidRPr="00882F11">
        <w:rPr>
          <w:rFonts w:cs="Guttman Drogolin"/>
          <w:rtl/>
          <w:lang w:bidi="he-IL"/>
        </w:rPr>
        <w:t xml:space="preserve"> </w:t>
      </w:r>
      <w:r w:rsidR="0071451E" w:rsidRPr="00882F11">
        <w:rPr>
          <w:rFonts w:cs="Guttman Drogolin" w:hint="cs"/>
          <w:rtl/>
          <w:lang w:bidi="he-IL"/>
        </w:rPr>
        <w:t>אדם" והרי כאן יש רוב איסור ואין כאן היתר של נטל"פ ומ"מ כאינו ראוי למאכל אדם משמע שהוא מותר.</w:t>
      </w:r>
      <w:r w:rsidR="008E36AE" w:rsidRPr="00882F11">
        <w:rPr>
          <w:rFonts w:cs="Guttman Drogolin" w:hint="cs"/>
          <w:rtl/>
          <w:lang w:bidi="he-IL"/>
        </w:rPr>
        <w:t xml:space="preserve"> וכן נקט הפר"ח שאין בזה איסור מדרבנן, וכן נקט החזו"א שבסמוך.</w:t>
      </w:r>
      <w:r w:rsidR="0071451E" w:rsidRPr="00882F11">
        <w:rPr>
          <w:rFonts w:cs="Guttman Drogolin" w:hint="cs"/>
          <w:rtl/>
          <w:lang w:bidi="he-IL"/>
        </w:rPr>
        <w:t xml:space="preserve"> </w:t>
      </w:r>
    </w:p>
    <w:p w:rsidR="00F57F07" w:rsidRPr="00882F11" w:rsidRDefault="0071451E" w:rsidP="006144FC">
      <w:pPr>
        <w:tabs>
          <w:tab w:val="right" w:pos="7497"/>
        </w:tabs>
        <w:bidi/>
        <w:jc w:val="both"/>
        <w:rPr>
          <w:rFonts w:cs="Guttman Drogolin"/>
          <w:rtl/>
          <w:lang w:bidi="he-IL"/>
        </w:rPr>
      </w:pPr>
      <w:r w:rsidRPr="00882F11">
        <w:rPr>
          <w:rFonts w:cs="Guttman Drogolin" w:hint="cs"/>
          <w:rtl/>
          <w:lang w:bidi="he-IL"/>
        </w:rPr>
        <w:t>ומ"מ יש אחרונים שנקטו שיש בזה איסור מדרבנן (ע' מנח"כ). והביאו מקור לדבריהם מדברי הרמב"ם (פי"ד הי"א מהל' מאכ"א) "או</w:t>
      </w:r>
      <w:r w:rsidRPr="00882F11">
        <w:rPr>
          <w:rFonts w:cs="Guttman Drogolin"/>
          <w:rtl/>
          <w:lang w:bidi="he-IL"/>
        </w:rPr>
        <w:t xml:space="preserve"> </w:t>
      </w:r>
      <w:r w:rsidRPr="00882F11">
        <w:rPr>
          <w:rFonts w:cs="Guttman Drogolin" w:hint="cs"/>
          <w:rtl/>
          <w:lang w:bidi="he-IL"/>
        </w:rPr>
        <w:t>שאכל</w:t>
      </w:r>
      <w:r w:rsidRPr="00882F11">
        <w:rPr>
          <w:rFonts w:cs="Guttman Drogolin"/>
          <w:rtl/>
          <w:lang w:bidi="he-IL"/>
        </w:rPr>
        <w:t xml:space="preserve"> </w:t>
      </w:r>
      <w:r w:rsidRPr="00882F11">
        <w:rPr>
          <w:rFonts w:cs="Guttman Drogolin" w:hint="cs"/>
          <w:rtl/>
          <w:lang w:bidi="he-IL"/>
        </w:rPr>
        <w:t>אוכל</w:t>
      </w:r>
      <w:r w:rsidRPr="00882F11">
        <w:rPr>
          <w:rFonts w:cs="Guttman Drogolin"/>
          <w:rtl/>
          <w:lang w:bidi="he-IL"/>
        </w:rPr>
        <w:t xml:space="preserve"> </w:t>
      </w:r>
      <w:r w:rsidRPr="00882F11">
        <w:rPr>
          <w:rFonts w:cs="Guttman Drogolin" w:hint="cs"/>
          <w:rtl/>
          <w:lang w:bidi="he-IL"/>
        </w:rPr>
        <w:t>האסור</w:t>
      </w:r>
      <w:r w:rsidRPr="00882F11">
        <w:rPr>
          <w:rFonts w:cs="Guttman Drogolin"/>
          <w:rtl/>
          <w:lang w:bidi="he-IL"/>
        </w:rPr>
        <w:t xml:space="preserve"> </w:t>
      </w:r>
      <w:r w:rsidRPr="00882F11">
        <w:rPr>
          <w:rFonts w:cs="Guttman Drogolin" w:hint="cs"/>
          <w:rtl/>
          <w:lang w:bidi="he-IL"/>
        </w:rPr>
        <w:t>אחר</w:t>
      </w:r>
      <w:r w:rsidRPr="00882F11">
        <w:rPr>
          <w:rFonts w:cs="Guttman Drogolin"/>
          <w:rtl/>
          <w:lang w:bidi="he-IL"/>
        </w:rPr>
        <w:t xml:space="preserve"> </w:t>
      </w:r>
      <w:r w:rsidRPr="00882F11">
        <w:rPr>
          <w:rFonts w:cs="Guttman Drogolin" w:hint="cs"/>
          <w:rtl/>
          <w:lang w:bidi="he-IL"/>
        </w:rPr>
        <w:t>שהסריח</w:t>
      </w:r>
      <w:r w:rsidRPr="00882F11">
        <w:rPr>
          <w:rFonts w:cs="Guttman Drogolin"/>
          <w:rtl/>
          <w:lang w:bidi="he-IL"/>
        </w:rPr>
        <w:t xml:space="preserve"> </w:t>
      </w:r>
      <w:r w:rsidRPr="00882F11">
        <w:rPr>
          <w:rFonts w:cs="Guttman Drogolin" w:hint="cs"/>
          <w:rtl/>
          <w:lang w:bidi="he-IL"/>
        </w:rPr>
        <w:t>והבאיש</w:t>
      </w:r>
      <w:r w:rsidRPr="00882F11">
        <w:rPr>
          <w:rFonts w:cs="Guttman Drogolin"/>
          <w:rtl/>
          <w:lang w:bidi="he-IL"/>
        </w:rPr>
        <w:t xml:space="preserve"> </w:t>
      </w:r>
      <w:r w:rsidRPr="00882F11">
        <w:rPr>
          <w:rFonts w:cs="Guttman Drogolin" w:hint="cs"/>
          <w:rtl/>
          <w:lang w:bidi="he-IL"/>
        </w:rPr>
        <w:t>ובטל</w:t>
      </w:r>
      <w:r w:rsidRPr="00882F11">
        <w:rPr>
          <w:rFonts w:cs="Guttman Drogolin"/>
          <w:rtl/>
          <w:lang w:bidi="he-IL"/>
        </w:rPr>
        <w:t xml:space="preserve"> </w:t>
      </w:r>
      <w:r w:rsidRPr="00882F11">
        <w:rPr>
          <w:rFonts w:cs="Guttman Drogolin" w:hint="cs"/>
          <w:rtl/>
          <w:lang w:bidi="he-IL"/>
        </w:rPr>
        <w:t>מאוכל</w:t>
      </w:r>
      <w:r w:rsidRPr="00882F11">
        <w:rPr>
          <w:rFonts w:cs="Guttman Drogolin"/>
          <w:rtl/>
          <w:lang w:bidi="he-IL"/>
        </w:rPr>
        <w:t xml:space="preserve"> </w:t>
      </w:r>
      <w:r w:rsidRPr="00882F11">
        <w:rPr>
          <w:rFonts w:cs="Guttman Drogolin" w:hint="cs"/>
          <w:rtl/>
          <w:lang w:bidi="he-IL"/>
        </w:rPr>
        <w:t>אדם</w:t>
      </w:r>
      <w:r w:rsidRPr="00882F11">
        <w:rPr>
          <w:rFonts w:cs="Guttman Drogolin"/>
          <w:rtl/>
          <w:lang w:bidi="he-IL"/>
        </w:rPr>
        <w:t xml:space="preserve"> </w:t>
      </w:r>
      <w:r w:rsidRPr="00882F11">
        <w:rPr>
          <w:rFonts w:cs="Guttman Drogolin" w:hint="cs"/>
          <w:rtl/>
          <w:lang w:bidi="he-IL"/>
        </w:rPr>
        <w:t>הרי</w:t>
      </w:r>
      <w:r w:rsidRPr="00882F11">
        <w:rPr>
          <w:rFonts w:cs="Guttman Drogolin"/>
          <w:rtl/>
          <w:lang w:bidi="he-IL"/>
        </w:rPr>
        <w:t xml:space="preserve"> </w:t>
      </w:r>
      <w:r w:rsidRPr="00882F11">
        <w:rPr>
          <w:rFonts w:cs="Guttman Drogolin" w:hint="cs"/>
          <w:rtl/>
          <w:lang w:bidi="he-IL"/>
        </w:rPr>
        <w:t>זה</w:t>
      </w:r>
      <w:r w:rsidRPr="00882F11">
        <w:rPr>
          <w:rFonts w:cs="Guttman Drogolin"/>
          <w:rtl/>
          <w:lang w:bidi="he-IL"/>
        </w:rPr>
        <w:t xml:space="preserve"> </w:t>
      </w:r>
      <w:r w:rsidRPr="00882F11">
        <w:rPr>
          <w:rFonts w:cs="Guttman Drogolin" w:hint="cs"/>
          <w:rtl/>
          <w:lang w:bidi="he-IL"/>
        </w:rPr>
        <w:t xml:space="preserve">פטור". ומשמע דפטור אבל אסור. ויש נודון באחרונים אם הרמב"ם חולק על הרשב"א בזה או שהרשב"א מיירי רק באופן שיש בה תערובת של היתר או בענין אחר </w:t>
      </w:r>
      <w:r w:rsidRPr="00882F11">
        <w:rPr>
          <w:rFonts w:cs="Guttman Drogolin"/>
          <w:rtl/>
          <w:lang w:bidi="he-IL"/>
        </w:rPr>
        <w:t>–</w:t>
      </w:r>
      <w:r w:rsidRPr="00882F11">
        <w:rPr>
          <w:rFonts w:cs="Guttman Drogolin" w:hint="cs"/>
          <w:rtl/>
          <w:lang w:bidi="he-IL"/>
        </w:rPr>
        <w:t xml:space="preserve"> ע' מזה במגי"ס רסי ק"ג. ויש להוסיף בזה מש"כ הרא"ש בר"פ כל שעה שחמץ שחרכו קודם זמנו שמותר מדאורייתא אפילו באכילה ומ"מ אסרו אכילתו מדרבנ</w:t>
      </w:r>
      <w:r w:rsidR="006144FC" w:rsidRPr="00882F11">
        <w:rPr>
          <w:rFonts w:cs="Guttman Drogolin" w:hint="cs"/>
          <w:rtl/>
          <w:lang w:bidi="he-IL"/>
        </w:rPr>
        <w:t>ן</w:t>
      </w:r>
      <w:r w:rsidRPr="00882F11">
        <w:rPr>
          <w:rFonts w:cs="Guttman Drogolin" w:hint="cs"/>
          <w:rtl/>
          <w:lang w:bidi="he-IL"/>
        </w:rPr>
        <w:t xml:space="preserve"> משום שע"י אכילתו אחשבי'. וע' בחזו"א סי' קט"ז ס"ק ז' דנקט שאין איסור לאכול נבילה שאינה ראוי' לגר אפילו מדרבנן</w:t>
      </w:r>
      <w:r w:rsidR="00041B8B" w:rsidRPr="00882F11">
        <w:rPr>
          <w:rFonts w:cs="Guttman Drogolin" w:hint="cs"/>
          <w:rtl/>
          <w:lang w:bidi="he-IL"/>
        </w:rPr>
        <w:t>, וחילק</w:t>
      </w:r>
      <w:r w:rsidR="008E36AE" w:rsidRPr="00882F11">
        <w:rPr>
          <w:rFonts w:cs="Guttman Drogolin" w:hint="cs"/>
          <w:rtl/>
          <w:lang w:bidi="he-IL"/>
        </w:rPr>
        <w:t xml:space="preserve"> (שם בד"ה ודין א') </w:t>
      </w:r>
      <w:r w:rsidR="00041B8B" w:rsidRPr="00882F11">
        <w:rPr>
          <w:rFonts w:cs="Guttman Drogolin" w:hint="cs"/>
          <w:rtl/>
          <w:lang w:bidi="he-IL"/>
        </w:rPr>
        <w:t>בין הא דחמץ לשאר איסורים.</w:t>
      </w:r>
      <w:r w:rsidR="008E36AE" w:rsidRPr="00882F11">
        <w:rPr>
          <w:rFonts w:cs="Guttman Drogolin" w:hint="cs"/>
          <w:rtl/>
          <w:lang w:bidi="he-IL"/>
        </w:rPr>
        <w:t xml:space="preserve"> ונראה הביאור בדבריו התם, דבשלמא בנבילה אין הבשר אסור מצד היותו בשר, רק משום שהבהמה מתה ולא נעשתה בה שחיטה. ולכן בזה כיון שנסרחה אמרינן שאין לנו כאן אלא בשר, והאיסור משום האי-שחיטה נפקעה. אבל חמץ </w:t>
      </w:r>
      <w:r w:rsidR="008E36AE" w:rsidRPr="00882F11">
        <w:rPr>
          <w:rFonts w:cs="Guttman Drogolin" w:hint="cs"/>
          <w:rtl/>
          <w:lang w:bidi="he-IL"/>
        </w:rPr>
        <w:lastRenderedPageBreak/>
        <w:t>הרי הוא חמץ מצד עצם זה שהתחמץ, ולכן יש לאסור מדרבנן.</w:t>
      </w:r>
      <w:r w:rsidR="00041B8B" w:rsidRPr="00882F11">
        <w:rPr>
          <w:rFonts w:cs="Guttman Drogolin" w:hint="cs"/>
          <w:rtl/>
          <w:lang w:bidi="he-IL"/>
        </w:rPr>
        <w:t xml:space="preserve"> </w:t>
      </w:r>
      <w:r w:rsidRPr="00882F11">
        <w:rPr>
          <w:rFonts w:cs="Guttman Drogolin" w:hint="cs"/>
          <w:rtl/>
          <w:lang w:bidi="he-IL"/>
        </w:rPr>
        <w:t xml:space="preserve"> </w:t>
      </w:r>
      <w:r w:rsidRPr="00882F11">
        <w:rPr>
          <w:rFonts w:cs="Guttman Drogolin"/>
          <w:rtl/>
          <w:lang w:bidi="he-IL"/>
        </w:rPr>
        <w:t xml:space="preserve"> </w:t>
      </w:r>
      <w:r w:rsidR="00F57F07" w:rsidRPr="00882F11">
        <w:rPr>
          <w:rFonts w:cs="Guttman Drogolin" w:hint="cs"/>
          <w:rtl/>
          <w:lang w:bidi="he-IL"/>
        </w:rPr>
        <w:t xml:space="preserve"> </w:t>
      </w:r>
    </w:p>
    <w:p w:rsidR="00F57F07" w:rsidRPr="006D0A1E" w:rsidRDefault="00F57F07" w:rsidP="00F57F07">
      <w:pPr>
        <w:pStyle w:val="Heading1"/>
        <w:bidi/>
        <w:spacing w:before="0" w:line="360" w:lineRule="auto"/>
        <w:jc w:val="center"/>
        <w:rPr>
          <w:rFonts w:cs="Guttman Drogolin"/>
          <w:color w:val="auto"/>
          <w:sz w:val="22"/>
          <w:szCs w:val="22"/>
          <w:u w:val="single"/>
          <w:rtl/>
          <w:lang w:bidi="he-IL"/>
        </w:rPr>
      </w:pPr>
      <w:bookmarkStart w:id="379" w:name="_Toc496175626"/>
      <w:r w:rsidRPr="006D0A1E">
        <w:rPr>
          <w:rFonts w:cs="Guttman Drogolin" w:hint="cs"/>
          <w:color w:val="auto"/>
          <w:sz w:val="22"/>
          <w:szCs w:val="22"/>
          <w:u w:val="single"/>
          <w:rtl/>
          <w:lang w:bidi="he-IL"/>
        </w:rPr>
        <w:t>מאכלות האסורות הפגומים מתחילת ברייתן</w:t>
      </w:r>
      <w:bookmarkEnd w:id="379"/>
    </w:p>
    <w:p w:rsidR="00432A49" w:rsidRPr="00882F11" w:rsidRDefault="00F45F5A" w:rsidP="00F57F07">
      <w:pPr>
        <w:tabs>
          <w:tab w:val="right" w:pos="7497"/>
        </w:tabs>
        <w:bidi/>
        <w:jc w:val="both"/>
        <w:rPr>
          <w:rFonts w:cs="Guttman Drogolin"/>
          <w:rtl/>
          <w:lang w:bidi="he-IL"/>
        </w:rPr>
      </w:pPr>
      <w:r>
        <w:rPr>
          <w:rFonts w:cs="Guttman Drogolin"/>
          <w:rtl/>
          <w:lang w:bidi="he-IL"/>
        </w:rPr>
        <w:fldChar w:fldCharType="begin"/>
      </w:r>
      <w:r>
        <w:instrText xml:space="preserve"> XE "</w:instrText>
      </w:r>
      <w:r w:rsidRPr="009C33E5">
        <w:rPr>
          <w:rFonts w:hint="cs"/>
          <w:rtl/>
          <w:lang w:bidi="he-IL"/>
        </w:rPr>
        <w:instrText>נותן טעם לפגם</w:instrText>
      </w:r>
      <w:r w:rsidRPr="009C33E5">
        <w:rPr>
          <w:rtl/>
        </w:rPr>
        <w:instrText>:</w:instrText>
      </w:r>
      <w:r w:rsidRPr="009C33E5">
        <w:rPr>
          <w:rFonts w:hint="cs"/>
          <w:rtl/>
          <w:lang w:bidi="he-IL"/>
        </w:rPr>
        <w:instrText>במאכלים הפגומים מתחילת ברייתן</w:instrText>
      </w:r>
      <w:r>
        <w:instrText xml:space="preserve">" </w:instrText>
      </w:r>
      <w:r>
        <w:rPr>
          <w:rFonts w:cs="Guttman Drogolin"/>
          <w:rtl/>
          <w:lang w:bidi="he-IL"/>
        </w:rPr>
        <w:fldChar w:fldCharType="end"/>
      </w:r>
      <w:r w:rsidR="008E36AE" w:rsidRPr="00882F11">
        <w:rPr>
          <w:rFonts w:cs="Guttman Drogolin" w:hint="cs"/>
          <w:rtl/>
          <w:lang w:bidi="he-IL"/>
        </w:rPr>
        <w:t xml:space="preserve">אע"פ שנבילה שאינה ראוי' לגר מותרת, מ"מ עכברים ושאר שקצים אסורים באכילה מדאורייתא, ולא שייך לגבייהו הדין של נבילה שאינה ראוי' לגר. והטעם בזה פשוט, דהא בהכי חייבי' רחמנא להיות עובר עליהם אע"פ שהם מאוסים. </w:t>
      </w:r>
      <w:r w:rsidR="00432A49" w:rsidRPr="00882F11">
        <w:rPr>
          <w:rFonts w:cs="Guttman Drogolin" w:hint="cs"/>
          <w:rtl/>
          <w:lang w:bidi="he-IL"/>
        </w:rPr>
        <w:t>ונחלקו האחרונים אם הדין כן אפילו אם הסריחו, שהפר"ח סבר שגם אם הסריחו עובר עליהם, והטעם משום דע"כ במאכלים אלו לא הקפידה תורה אם ראוי' לגר או לא, דהא מצד מהותם אינם ראוים לגם. אמנם בהרה"מ בפ"ב הכ"א מהל' מאכ"א מדויק דכה"ג אין חיוב. וטעמו שאין לך בה אלא חידושו, דרק הדבר המאוס בטבעו אסר רחמנא, אבל במיאוס אחר הדרנו לכללים דנבילה שאינה ראוי' לגר מותרת.</w:t>
      </w:r>
    </w:p>
    <w:p w:rsidR="00432A49" w:rsidRPr="00882F11" w:rsidRDefault="00432A49" w:rsidP="00425EC7">
      <w:pPr>
        <w:tabs>
          <w:tab w:val="right" w:pos="7497"/>
        </w:tabs>
        <w:bidi/>
        <w:jc w:val="both"/>
        <w:rPr>
          <w:rFonts w:cs="Guttman Drogolin"/>
          <w:rtl/>
          <w:lang w:bidi="he-IL"/>
        </w:rPr>
      </w:pPr>
      <w:r w:rsidRPr="00882F11">
        <w:rPr>
          <w:rFonts w:cs="Guttman Drogolin" w:hint="cs"/>
          <w:rtl/>
          <w:lang w:bidi="he-IL"/>
        </w:rPr>
        <w:t>ובגדר הפגם שלהם, הבאנו בשעתו</w:t>
      </w:r>
      <w:r w:rsidRPr="00882F11">
        <w:rPr>
          <w:rStyle w:val="FootnoteReference"/>
          <w:rFonts w:cs="Guttman Drogolin"/>
          <w:rtl/>
          <w:lang w:bidi="he-IL"/>
        </w:rPr>
        <w:footnoteReference w:id="387"/>
      </w:r>
      <w:r w:rsidRPr="00882F11">
        <w:rPr>
          <w:rFonts w:cs="Guttman Drogolin" w:hint="cs"/>
          <w:rtl/>
          <w:lang w:bidi="he-IL"/>
        </w:rPr>
        <w:t xml:space="preserve"> את דברי המרומי שדה דסבר דענין הפגם שבהם אינו משום טעם החיך, רק שאדם קץ בהם אע"פ דאילו לא הי' יודע מקור הטעם הי' אומר שהוא טעם טוב. וכן נקט בס' בדה"ש שהוא הפשטות בלשון הגמ' בזה, והעיר שמחזו"א סי' י"ב ס"ק ו' מבואר דכה"ג חשיב נותן טעם לשבח. </w:t>
      </w:r>
      <w:r w:rsidR="00480117" w:rsidRPr="00882F11">
        <w:rPr>
          <w:rFonts w:cs="Guttman Drogolin" w:hint="cs"/>
          <w:rtl/>
          <w:lang w:bidi="he-IL"/>
        </w:rPr>
        <w:t>ושם במרומי שדה כתב שלדבריו מיושב הערת הש"ך סי' ק"ד ס"ק א'</w:t>
      </w:r>
      <w:r w:rsidRPr="00882F11">
        <w:rPr>
          <w:rFonts w:cs="Guttman Drogolin" w:hint="cs"/>
          <w:rtl/>
          <w:lang w:bidi="he-IL"/>
        </w:rPr>
        <w:t xml:space="preserve"> </w:t>
      </w:r>
      <w:r w:rsidR="00480117" w:rsidRPr="00882F11">
        <w:rPr>
          <w:rFonts w:cs="Guttman Drogolin" w:hint="cs"/>
          <w:rtl/>
          <w:lang w:bidi="he-IL"/>
        </w:rPr>
        <w:t>דלמה יש לנו לחלק בין עכברא דדברא לעכברא שמתא לענין טעם לשבח בשכר, שרק בדמתא מסתפק הגמ' אבל בדדברא לכו"ע הוי לשבח. וביאר במרומי שדה לדבריו ניחא, שמצד טעם החיך תרוייהו הוו לשבח, אבל רק מדמתא אדם מאיס ולא מדדברא דהא עולה על שולחן מלכים</w:t>
      </w:r>
      <w:r w:rsidR="00425EC7" w:rsidRPr="00882F11">
        <w:rPr>
          <w:rFonts w:cs="Guttman Drogolin" w:hint="cs"/>
          <w:rtl/>
          <w:lang w:bidi="he-IL"/>
        </w:rPr>
        <w:t>,</w:t>
      </w:r>
      <w:r w:rsidR="00480117" w:rsidRPr="00882F11">
        <w:rPr>
          <w:rFonts w:cs="Guttman Drogolin" w:hint="cs"/>
          <w:rtl/>
          <w:lang w:bidi="he-IL"/>
        </w:rPr>
        <w:t xml:space="preserve"> ולכן רק בדמתא יש צד לומר שהוא נטל"פ. אמנם היא הנותנת, שאם זהו הטעם לומר שהוא לפגם בשכר, </w:t>
      </w:r>
      <w:r w:rsidR="00DB714D" w:rsidRPr="00882F11">
        <w:rPr>
          <w:rFonts w:cs="Guttman Drogolin" w:hint="cs"/>
          <w:rtl/>
          <w:lang w:bidi="he-IL"/>
        </w:rPr>
        <w:t xml:space="preserve">למה רק בשכר אסרו ולא בשארי דברים. ולכאורה מה שצריכים לומר שזה הי' פשוט שבשארי הדברים ודאי אין לו טעם טוב, רק בשכר. ומאידך לכאורה מזה שלמדו כמה ראשונים דין שאר שקצים ורמשים מעכבר משמע </w:t>
      </w:r>
      <w:r w:rsidR="00DB714D" w:rsidRPr="00882F11">
        <w:rPr>
          <w:rFonts w:cs="Guttman Drogolin" w:hint="cs"/>
          <w:rtl/>
          <w:lang w:bidi="he-IL"/>
        </w:rPr>
        <w:lastRenderedPageBreak/>
        <w:t>שהוא משום המיאוס, דאל"כ היכי נדע שבשארי שקצים ורמשים אין החיך נהנה. ואולי לא למדו אלא דבר זה שאע"פ שאין לנם טעם טוב (וזאת היתה ידוע להם) מ"מ הרי הוא בטל ולא אמרינן כר' ששת שם בסוגיא. וכל הענין עדיין צ"ע.</w:t>
      </w:r>
      <w:r w:rsidR="00480117" w:rsidRPr="00882F11">
        <w:rPr>
          <w:rFonts w:cs="Guttman Drogolin" w:hint="cs"/>
          <w:rtl/>
          <w:lang w:bidi="he-IL"/>
        </w:rPr>
        <w:t xml:space="preserve">  </w:t>
      </w:r>
    </w:p>
    <w:p w:rsidR="007176B5" w:rsidRPr="00882F11" w:rsidRDefault="00432A49" w:rsidP="00432A49">
      <w:pPr>
        <w:tabs>
          <w:tab w:val="right" w:pos="7497"/>
        </w:tabs>
        <w:bidi/>
        <w:jc w:val="both"/>
        <w:rPr>
          <w:rFonts w:cs="Guttman Drogolin"/>
          <w:rtl/>
          <w:lang w:bidi="he-IL"/>
        </w:rPr>
      </w:pPr>
      <w:r w:rsidRPr="00882F11">
        <w:rPr>
          <w:rFonts w:cs="Guttman Drogolin" w:hint="cs"/>
          <w:rtl/>
          <w:lang w:bidi="he-IL"/>
        </w:rPr>
        <w:t xml:space="preserve">והנה אע"פ שהתורה אסרה לאכול הדברם המאוסים, מ"מ אם התערב טעמם לתוך תבשיל אחר הרי הם מותרים (אע"פ שנחלקו בזה בגמ', הכי קיי"ל). ולכאורה היינו משום שאע"ג דהוו חפצר דאיסורא בפני עצמם אע"פ שהם פגומים, אבל בתערובת כיון שאין מקום לאסור אלא משום טעמו, טעם לפגם לאו שמי' טעם ולכן ליכא טכ"ע והרי הוא בטל ברוב (וע' לעיל בשיעור הקודם מה שהערנו לפי זה לשיטת הר"ן).  </w:t>
      </w:r>
      <w:r w:rsidR="00F57F07" w:rsidRPr="00882F11">
        <w:rPr>
          <w:rFonts w:cs="Guttman Drogolin" w:hint="cs"/>
          <w:rtl/>
          <w:lang w:bidi="he-IL"/>
        </w:rPr>
        <w:t xml:space="preserve"> </w:t>
      </w:r>
      <w:r w:rsidR="000E4C24" w:rsidRPr="00882F11">
        <w:rPr>
          <w:rFonts w:cs="Guttman Drogolin" w:hint="cs"/>
          <w:rtl/>
          <w:lang w:bidi="he-IL"/>
        </w:rPr>
        <w:t xml:space="preserve"> </w:t>
      </w:r>
      <w:r w:rsidR="007B6C05" w:rsidRPr="00882F11">
        <w:rPr>
          <w:rFonts w:cs="Guttman Drogolin" w:hint="cs"/>
          <w:rtl/>
          <w:lang w:bidi="he-IL"/>
        </w:rPr>
        <w:t xml:space="preserve">  </w:t>
      </w:r>
      <w:r w:rsidR="004750AC" w:rsidRPr="00882F11">
        <w:rPr>
          <w:rFonts w:cs="Guttman Drogolin" w:hint="cs"/>
          <w:rtl/>
          <w:lang w:bidi="he-IL"/>
        </w:rPr>
        <w:t xml:space="preserve"> </w:t>
      </w:r>
      <w:r w:rsidR="00CB308D" w:rsidRPr="00882F11">
        <w:rPr>
          <w:rFonts w:cs="Guttman Drogolin"/>
          <w:rtl/>
          <w:lang w:bidi="he-IL"/>
        </w:rPr>
        <w:t xml:space="preserve"> </w:t>
      </w:r>
      <w:r w:rsidR="00CB308D" w:rsidRPr="00882F11">
        <w:rPr>
          <w:rFonts w:cs="Guttman Drogolin" w:hint="cs"/>
          <w:rtl/>
          <w:lang w:bidi="he-IL"/>
        </w:rPr>
        <w:t xml:space="preserve"> </w:t>
      </w:r>
      <w:r w:rsidR="00AC71C9" w:rsidRPr="00882F11">
        <w:rPr>
          <w:rFonts w:cs="Guttman Drogolin" w:hint="cs"/>
          <w:rtl/>
          <w:lang w:bidi="he-IL"/>
        </w:rPr>
        <w:t xml:space="preserve"> </w:t>
      </w:r>
    </w:p>
    <w:p w:rsidR="00DA2B21" w:rsidRPr="00882F11" w:rsidRDefault="00DA2B21" w:rsidP="00DA2B21">
      <w:pPr>
        <w:tabs>
          <w:tab w:val="right" w:pos="7497"/>
        </w:tabs>
        <w:bidi/>
        <w:jc w:val="both"/>
        <w:rPr>
          <w:rFonts w:cs="Guttman Drogolin"/>
          <w:b/>
          <w:bCs/>
          <w:sz w:val="28"/>
          <w:szCs w:val="28"/>
          <w:rtl/>
          <w:lang w:bidi="he-IL"/>
        </w:rPr>
        <w:sectPr w:rsidR="00DA2B21" w:rsidRPr="00882F11" w:rsidSect="006D0A1E">
          <w:type w:val="continuous"/>
          <w:pgSz w:w="11907" w:h="16839" w:code="9"/>
          <w:pgMar w:top="1440" w:right="1440" w:bottom="1440" w:left="1440" w:header="720" w:footer="720" w:gutter="0"/>
          <w:cols w:num="2" w:space="720"/>
          <w:bidi/>
          <w:docGrid w:linePitch="360"/>
        </w:sectPr>
      </w:pPr>
    </w:p>
    <w:p w:rsidR="00DA2B21" w:rsidRPr="006D0A1E" w:rsidRDefault="00DA2B21" w:rsidP="00870F7B">
      <w:pPr>
        <w:keepNext/>
        <w:tabs>
          <w:tab w:val="left" w:pos="3818"/>
          <w:tab w:val="center" w:pos="4680"/>
        </w:tabs>
        <w:bidi/>
        <w:jc w:val="center"/>
        <w:rPr>
          <w:rFonts w:cs="Guttman Drogolin"/>
          <w:b/>
          <w:bCs/>
          <w:sz w:val="48"/>
          <w:szCs w:val="48"/>
          <w:rtl/>
          <w:lang w:bidi="he-IL"/>
        </w:rPr>
      </w:pPr>
      <w:r w:rsidRPr="006D0A1E">
        <w:rPr>
          <w:rFonts w:cs="Guttman Drogolin" w:hint="cs"/>
          <w:b/>
          <w:bCs/>
          <w:sz w:val="48"/>
          <w:szCs w:val="48"/>
          <w:rtl/>
          <w:lang w:bidi="he-IL"/>
        </w:rPr>
        <w:lastRenderedPageBreak/>
        <w:t>שיעור צ"</w:t>
      </w:r>
      <w:r w:rsidR="00870F7B" w:rsidRPr="006D0A1E">
        <w:rPr>
          <w:rFonts w:cs="Guttman Drogolin" w:hint="cs"/>
          <w:b/>
          <w:bCs/>
          <w:sz w:val="48"/>
          <w:szCs w:val="48"/>
          <w:rtl/>
          <w:lang w:bidi="he-IL"/>
        </w:rPr>
        <w:t>ג</w:t>
      </w:r>
    </w:p>
    <w:p w:rsidR="006D0A1E" w:rsidRDefault="006D0A1E" w:rsidP="00DA2B21">
      <w:pPr>
        <w:pStyle w:val="Heading1"/>
        <w:bidi/>
        <w:spacing w:before="0" w:line="360" w:lineRule="auto"/>
        <w:jc w:val="center"/>
        <w:rPr>
          <w:rFonts w:cs="Guttman Drogolin"/>
          <w:color w:val="auto"/>
          <w:sz w:val="24"/>
          <w:szCs w:val="24"/>
          <w:u w:val="single"/>
          <w:rtl/>
          <w:lang w:bidi="he-IL"/>
        </w:rPr>
        <w:sectPr w:rsidR="006D0A1E" w:rsidSect="006D0A1E">
          <w:headerReference w:type="default" r:id="rId70"/>
          <w:pgSz w:w="11907" w:h="16839" w:code="9"/>
          <w:pgMar w:top="1440" w:right="1440" w:bottom="1440" w:left="1440" w:header="720" w:footer="720" w:gutter="0"/>
          <w:cols w:space="720"/>
          <w:bidi/>
          <w:docGrid w:linePitch="360"/>
        </w:sectPr>
      </w:pPr>
    </w:p>
    <w:p w:rsidR="00DA2B21" w:rsidRPr="006D0A1E" w:rsidRDefault="00DA2B21" w:rsidP="00DA2B21">
      <w:pPr>
        <w:pStyle w:val="Heading1"/>
        <w:bidi/>
        <w:spacing w:before="0" w:line="360" w:lineRule="auto"/>
        <w:jc w:val="center"/>
        <w:rPr>
          <w:rFonts w:cs="Guttman Drogolin"/>
          <w:color w:val="auto"/>
          <w:sz w:val="18"/>
          <w:szCs w:val="18"/>
          <w:u w:val="single"/>
          <w:rtl/>
          <w:lang w:bidi="he-IL"/>
        </w:rPr>
      </w:pPr>
      <w:bookmarkStart w:id="380" w:name="_Toc496175627"/>
      <w:r w:rsidRPr="006D0A1E">
        <w:rPr>
          <w:rFonts w:cs="Guttman Drogolin" w:hint="cs"/>
          <w:color w:val="auto"/>
          <w:sz w:val="18"/>
          <w:szCs w:val="18"/>
          <w:u w:val="single"/>
          <w:rtl/>
          <w:lang w:bidi="he-IL"/>
        </w:rPr>
        <w:lastRenderedPageBreak/>
        <w:t>מחלוקת הט"ז והרמ"א בעכבר שהתפרק לתוך תבשיל</w:t>
      </w:r>
      <w:bookmarkEnd w:id="380"/>
    </w:p>
    <w:p w:rsidR="0096484A" w:rsidRPr="00882F11" w:rsidRDefault="00F45F5A" w:rsidP="00DA2B21">
      <w:pPr>
        <w:tabs>
          <w:tab w:val="right" w:pos="7497"/>
        </w:tabs>
        <w:bidi/>
        <w:jc w:val="both"/>
        <w:rPr>
          <w:rFonts w:cs="Guttman Drogolin"/>
          <w:rtl/>
          <w:lang w:bidi="he-IL"/>
        </w:rPr>
      </w:pPr>
      <w:r>
        <w:rPr>
          <w:rFonts w:cs="Guttman Drogolin"/>
          <w:rtl/>
          <w:lang w:bidi="he-IL"/>
        </w:rPr>
        <w:fldChar w:fldCharType="begin"/>
      </w:r>
      <w:r>
        <w:instrText xml:space="preserve"> XE "</w:instrText>
      </w:r>
      <w:r w:rsidRPr="00E52F7C">
        <w:rPr>
          <w:rFonts w:hint="cs"/>
          <w:rtl/>
          <w:lang w:bidi="he-IL"/>
        </w:rPr>
        <w:instrText>ביטול ברוב</w:instrText>
      </w:r>
      <w:r w:rsidRPr="00E52F7C">
        <w:rPr>
          <w:rtl/>
        </w:rPr>
        <w:instrText>:</w:instrText>
      </w:r>
      <w:r w:rsidRPr="00E52F7C">
        <w:rPr>
          <w:rFonts w:hint="cs"/>
          <w:rtl/>
          <w:lang w:bidi="he-IL"/>
        </w:rPr>
        <w:instrText>עכבר שהתפרק בתוך תבשיל</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9D7172">
        <w:rPr>
          <w:rFonts w:hint="cs"/>
          <w:rtl/>
          <w:lang w:bidi="he-IL"/>
        </w:rPr>
        <w:instrText>ביטול ברוב</w:instrText>
      </w:r>
      <w:r w:rsidRPr="009D7172">
        <w:rPr>
          <w:rtl/>
        </w:rPr>
        <w:instrText>:</w:instrText>
      </w:r>
      <w:r w:rsidRPr="009D7172">
        <w:rPr>
          <w:rFonts w:hint="cs"/>
          <w:rtl/>
          <w:lang w:bidi="he-IL"/>
        </w:rPr>
        <w:instrText>בחתיכות דקות בתוך רוטב שאי אפשר למצוא אותם</w:instrText>
      </w:r>
      <w:r>
        <w:instrText xml:space="preserve">" </w:instrText>
      </w:r>
      <w:r>
        <w:rPr>
          <w:rFonts w:cs="Guttman Drogolin"/>
          <w:rtl/>
          <w:lang w:bidi="he-IL"/>
        </w:rPr>
        <w:fldChar w:fldCharType="end"/>
      </w:r>
      <w:r w:rsidR="00DA2B21" w:rsidRPr="00882F11">
        <w:rPr>
          <w:rFonts w:cs="Guttman Drogolin" w:hint="cs"/>
          <w:rtl/>
          <w:lang w:bidi="he-IL"/>
        </w:rPr>
        <w:t>ברסי</w:t>
      </w:r>
      <w:r w:rsidR="00DA2B21" w:rsidRPr="00882F11">
        <w:rPr>
          <w:rFonts w:cs="Guttman Drogolin"/>
          <w:rtl/>
          <w:lang w:bidi="he-IL"/>
        </w:rPr>
        <w:t xml:space="preserve"> </w:t>
      </w:r>
      <w:r w:rsidR="00DA2B21" w:rsidRPr="00882F11">
        <w:rPr>
          <w:rFonts w:cs="Guttman Drogolin" w:hint="cs"/>
          <w:rtl/>
          <w:lang w:bidi="he-IL"/>
        </w:rPr>
        <w:t>ק</w:t>
      </w:r>
      <w:r w:rsidR="00DA2B21" w:rsidRPr="00882F11">
        <w:rPr>
          <w:rFonts w:cs="Guttman Drogolin"/>
          <w:rtl/>
          <w:lang w:bidi="he-IL"/>
        </w:rPr>
        <w:t>"</w:t>
      </w:r>
      <w:r w:rsidR="00DA2B21" w:rsidRPr="00882F11">
        <w:rPr>
          <w:rFonts w:cs="Guttman Drogolin" w:hint="cs"/>
          <w:rtl/>
          <w:lang w:bidi="he-IL"/>
        </w:rPr>
        <w:t>ד</w:t>
      </w:r>
      <w:r w:rsidR="00DA2B21" w:rsidRPr="00882F11">
        <w:rPr>
          <w:rFonts w:cs="Guttman Drogolin"/>
          <w:rtl/>
          <w:lang w:bidi="he-IL"/>
        </w:rPr>
        <w:t xml:space="preserve"> </w:t>
      </w:r>
      <w:r w:rsidR="00DA2B21" w:rsidRPr="00882F11">
        <w:rPr>
          <w:rFonts w:cs="Guttman Drogolin" w:hint="cs"/>
          <w:rtl/>
          <w:lang w:bidi="he-IL"/>
        </w:rPr>
        <w:t>כתב</w:t>
      </w:r>
      <w:r w:rsidR="00DA2B21" w:rsidRPr="00882F11">
        <w:rPr>
          <w:rFonts w:cs="Guttman Drogolin"/>
          <w:rtl/>
          <w:lang w:bidi="he-IL"/>
        </w:rPr>
        <w:t xml:space="preserve"> </w:t>
      </w:r>
      <w:r w:rsidR="00DA2B21" w:rsidRPr="00882F11">
        <w:rPr>
          <w:rFonts w:cs="Guttman Drogolin" w:hint="cs"/>
          <w:rtl/>
          <w:lang w:bidi="he-IL"/>
        </w:rPr>
        <w:t>המחבר</w:t>
      </w:r>
      <w:r w:rsidR="00DA2B21" w:rsidRPr="00882F11">
        <w:rPr>
          <w:rFonts w:cs="Guttman Drogolin"/>
          <w:rtl/>
          <w:lang w:bidi="he-IL"/>
        </w:rPr>
        <w:t xml:space="preserve"> "</w:t>
      </w:r>
      <w:r w:rsidR="00DA2B21" w:rsidRPr="00882F11">
        <w:rPr>
          <w:rFonts w:cs="Guttman Drogolin" w:hint="cs"/>
          <w:rtl/>
          <w:lang w:bidi="he-IL"/>
        </w:rPr>
        <w:t>ואם</w:t>
      </w:r>
      <w:r w:rsidR="00DA2B21" w:rsidRPr="00882F11">
        <w:rPr>
          <w:rFonts w:cs="Guttman Drogolin"/>
          <w:rtl/>
          <w:lang w:bidi="he-IL"/>
        </w:rPr>
        <w:t xml:space="preserve"> </w:t>
      </w:r>
      <w:r w:rsidR="00DA2B21" w:rsidRPr="00882F11">
        <w:rPr>
          <w:rFonts w:cs="Guttman Drogolin" w:hint="cs"/>
          <w:rtl/>
          <w:lang w:bidi="he-IL"/>
        </w:rPr>
        <w:t>נחתך</w:t>
      </w:r>
      <w:r w:rsidR="00DA2B21" w:rsidRPr="00882F11">
        <w:rPr>
          <w:rFonts w:cs="Guttman Drogolin"/>
          <w:rtl/>
          <w:lang w:bidi="he-IL"/>
        </w:rPr>
        <w:t xml:space="preserve"> </w:t>
      </w:r>
      <w:r w:rsidR="00DA2B21" w:rsidRPr="00882F11">
        <w:rPr>
          <w:rFonts w:cs="Guttman Drogolin" w:hint="cs"/>
          <w:rtl/>
          <w:lang w:bidi="he-IL"/>
        </w:rPr>
        <w:t>לחתיכות</w:t>
      </w:r>
      <w:r w:rsidR="00DA2B21" w:rsidRPr="00882F11">
        <w:rPr>
          <w:rFonts w:cs="Guttman Drogolin"/>
          <w:rtl/>
          <w:lang w:bidi="he-IL"/>
        </w:rPr>
        <w:t xml:space="preserve"> </w:t>
      </w:r>
      <w:r w:rsidR="00DA2B21" w:rsidRPr="00882F11">
        <w:rPr>
          <w:rFonts w:cs="Guttman Drogolin" w:hint="cs"/>
          <w:rtl/>
          <w:lang w:bidi="he-IL"/>
        </w:rPr>
        <w:t>דקות</w:t>
      </w:r>
      <w:r w:rsidR="00DA2B21" w:rsidRPr="00882F11">
        <w:rPr>
          <w:rFonts w:cs="Guttman Drogolin"/>
          <w:rtl/>
          <w:lang w:bidi="he-IL"/>
        </w:rPr>
        <w:t xml:space="preserve">, </w:t>
      </w:r>
      <w:r w:rsidR="00DA2B21" w:rsidRPr="00882F11">
        <w:rPr>
          <w:rFonts w:cs="Guttman Drogolin" w:hint="cs"/>
          <w:rtl/>
          <w:lang w:bidi="he-IL"/>
        </w:rPr>
        <w:t>והוא</w:t>
      </w:r>
      <w:r w:rsidR="00DA2B21" w:rsidRPr="00882F11">
        <w:rPr>
          <w:rFonts w:cs="Guttman Drogolin"/>
          <w:rtl/>
          <w:lang w:bidi="he-IL"/>
        </w:rPr>
        <w:t xml:space="preserve"> </w:t>
      </w:r>
      <w:r w:rsidR="00DA2B21" w:rsidRPr="00882F11">
        <w:rPr>
          <w:rFonts w:cs="Guttman Drogolin" w:hint="cs"/>
          <w:rtl/>
          <w:lang w:bidi="he-IL"/>
        </w:rPr>
        <w:t>בענין</w:t>
      </w:r>
      <w:r w:rsidR="00DA2B21" w:rsidRPr="00882F11">
        <w:rPr>
          <w:rFonts w:cs="Guttman Drogolin"/>
          <w:rtl/>
          <w:lang w:bidi="he-IL"/>
        </w:rPr>
        <w:t xml:space="preserve"> </w:t>
      </w:r>
      <w:r w:rsidR="00DA2B21" w:rsidRPr="00882F11">
        <w:rPr>
          <w:rFonts w:cs="Guttman Drogolin" w:hint="cs"/>
          <w:rtl/>
          <w:lang w:bidi="he-IL"/>
        </w:rPr>
        <w:t>שאינו</w:t>
      </w:r>
      <w:r w:rsidR="00DA2B21" w:rsidRPr="00882F11">
        <w:rPr>
          <w:rFonts w:cs="Guttman Drogolin"/>
          <w:rtl/>
          <w:lang w:bidi="he-IL"/>
        </w:rPr>
        <w:t xml:space="preserve"> </w:t>
      </w:r>
      <w:r w:rsidR="00DA2B21" w:rsidRPr="00882F11">
        <w:rPr>
          <w:rFonts w:cs="Guttman Drogolin" w:hint="cs"/>
          <w:rtl/>
          <w:lang w:bidi="he-IL"/>
        </w:rPr>
        <w:t>יכול</w:t>
      </w:r>
      <w:r w:rsidR="00DA2B21" w:rsidRPr="00882F11">
        <w:rPr>
          <w:rFonts w:cs="Guttman Drogolin"/>
          <w:rtl/>
          <w:lang w:bidi="he-IL"/>
        </w:rPr>
        <w:t xml:space="preserve"> </w:t>
      </w:r>
      <w:r w:rsidR="00DA2B21" w:rsidRPr="00882F11">
        <w:rPr>
          <w:rFonts w:cs="Guttman Drogolin" w:hint="cs"/>
          <w:rtl/>
          <w:lang w:bidi="he-IL"/>
        </w:rPr>
        <w:t>לסננו</w:t>
      </w:r>
      <w:r w:rsidR="00DA2B21" w:rsidRPr="00882F11">
        <w:rPr>
          <w:rFonts w:cs="Guttman Drogolin"/>
          <w:rtl/>
          <w:lang w:bidi="he-IL"/>
        </w:rPr>
        <w:t xml:space="preserve"> </w:t>
      </w:r>
      <w:r w:rsidR="00DA2B21" w:rsidRPr="00882F11">
        <w:rPr>
          <w:rFonts w:cs="Guttman Drogolin" w:hint="cs"/>
          <w:rtl/>
          <w:lang w:bidi="he-IL"/>
        </w:rPr>
        <w:t>כגון</w:t>
      </w:r>
      <w:r w:rsidR="00DA2B21" w:rsidRPr="00882F11">
        <w:rPr>
          <w:rFonts w:cs="Guttman Drogolin"/>
          <w:rtl/>
          <w:lang w:bidi="he-IL"/>
        </w:rPr>
        <w:t xml:space="preserve"> </w:t>
      </w:r>
      <w:r w:rsidR="00DA2B21" w:rsidRPr="00882F11">
        <w:rPr>
          <w:rFonts w:cs="Guttman Drogolin" w:hint="cs"/>
          <w:rtl/>
          <w:lang w:bidi="he-IL"/>
        </w:rPr>
        <w:t>שנתערב</w:t>
      </w:r>
      <w:r w:rsidR="00DA2B21" w:rsidRPr="00882F11">
        <w:rPr>
          <w:rFonts w:cs="Guttman Drogolin"/>
          <w:rtl/>
          <w:lang w:bidi="he-IL"/>
        </w:rPr>
        <w:t xml:space="preserve"> </w:t>
      </w:r>
      <w:r w:rsidR="00DA2B21" w:rsidRPr="00882F11">
        <w:rPr>
          <w:rFonts w:cs="Guttman Drogolin" w:hint="cs"/>
          <w:rtl/>
          <w:lang w:bidi="he-IL"/>
        </w:rPr>
        <w:t>השכר</w:t>
      </w:r>
      <w:r w:rsidR="00DA2B21" w:rsidRPr="00882F11">
        <w:rPr>
          <w:rFonts w:cs="Guttman Drogolin"/>
          <w:rtl/>
          <w:lang w:bidi="he-IL"/>
        </w:rPr>
        <w:t xml:space="preserve"> </w:t>
      </w:r>
      <w:r w:rsidR="00DA2B21" w:rsidRPr="00882F11">
        <w:rPr>
          <w:rFonts w:cs="Guttman Drogolin" w:hint="cs"/>
          <w:rtl/>
          <w:lang w:bidi="he-IL"/>
        </w:rPr>
        <w:t>או</w:t>
      </w:r>
      <w:r w:rsidR="00DA2B21" w:rsidRPr="00882F11">
        <w:rPr>
          <w:rFonts w:cs="Guttman Drogolin"/>
          <w:rtl/>
          <w:lang w:bidi="he-IL"/>
        </w:rPr>
        <w:t xml:space="preserve"> </w:t>
      </w:r>
      <w:r w:rsidR="00DA2B21" w:rsidRPr="00882F11">
        <w:rPr>
          <w:rFonts w:cs="Guttman Drogolin" w:hint="cs"/>
          <w:rtl/>
          <w:lang w:bidi="he-IL"/>
        </w:rPr>
        <w:t>החומץ</w:t>
      </w:r>
      <w:r w:rsidR="00DA2B21" w:rsidRPr="00882F11">
        <w:rPr>
          <w:rFonts w:cs="Guttman Drogolin"/>
          <w:rtl/>
          <w:lang w:bidi="he-IL"/>
        </w:rPr>
        <w:t xml:space="preserve"> </w:t>
      </w:r>
      <w:r w:rsidR="00DA2B21" w:rsidRPr="00882F11">
        <w:rPr>
          <w:rFonts w:cs="Guttman Drogolin" w:hint="cs"/>
          <w:rtl/>
          <w:lang w:bidi="he-IL"/>
        </w:rPr>
        <w:t>במאכל</w:t>
      </w:r>
      <w:r w:rsidR="00DA2B21" w:rsidRPr="00882F11">
        <w:rPr>
          <w:rFonts w:cs="Guttman Drogolin"/>
          <w:rtl/>
          <w:lang w:bidi="he-IL"/>
        </w:rPr>
        <w:t xml:space="preserve"> </w:t>
      </w:r>
      <w:r w:rsidR="00DA2B21" w:rsidRPr="00882F11">
        <w:rPr>
          <w:rFonts w:cs="Guttman Drogolin" w:hint="cs"/>
          <w:rtl/>
          <w:lang w:bidi="he-IL"/>
        </w:rPr>
        <w:t>עב</w:t>
      </w:r>
      <w:r w:rsidR="00DA2B21" w:rsidRPr="00882F11">
        <w:rPr>
          <w:rFonts w:cs="Guttman Drogolin"/>
          <w:rtl/>
          <w:lang w:bidi="he-IL"/>
        </w:rPr>
        <w:t xml:space="preserve">, </w:t>
      </w:r>
      <w:r w:rsidR="00DA2B21" w:rsidRPr="00882F11">
        <w:rPr>
          <w:rFonts w:cs="Guttman Drogolin" w:hint="cs"/>
          <w:rtl/>
          <w:lang w:bidi="he-IL"/>
        </w:rPr>
        <w:t>הכל</w:t>
      </w:r>
      <w:r w:rsidR="00DA2B21" w:rsidRPr="00882F11">
        <w:rPr>
          <w:rFonts w:cs="Guttman Drogolin"/>
          <w:rtl/>
          <w:lang w:bidi="he-IL"/>
        </w:rPr>
        <w:t xml:space="preserve"> </w:t>
      </w:r>
      <w:r w:rsidR="00DA2B21" w:rsidRPr="00882F11">
        <w:rPr>
          <w:rFonts w:cs="Guttman Drogolin" w:hint="cs"/>
          <w:rtl/>
          <w:lang w:bidi="he-IL"/>
        </w:rPr>
        <w:t>אסור</w:t>
      </w:r>
      <w:r w:rsidR="00DA2B21" w:rsidRPr="00882F11">
        <w:rPr>
          <w:rFonts w:cs="Guttman Drogolin"/>
          <w:rtl/>
          <w:lang w:bidi="he-IL"/>
        </w:rPr>
        <w:t xml:space="preserve"> </w:t>
      </w:r>
      <w:r w:rsidR="00DA2B21" w:rsidRPr="00882F11">
        <w:rPr>
          <w:rFonts w:cs="Guttman Drogolin" w:hint="cs"/>
          <w:rtl/>
          <w:lang w:bidi="he-IL"/>
        </w:rPr>
        <w:t>ואין</w:t>
      </w:r>
      <w:r w:rsidR="00DA2B21" w:rsidRPr="00882F11">
        <w:rPr>
          <w:rFonts w:cs="Guttman Drogolin"/>
          <w:rtl/>
          <w:lang w:bidi="he-IL"/>
        </w:rPr>
        <w:t xml:space="preserve"> </w:t>
      </w:r>
      <w:r w:rsidR="00DA2B21" w:rsidRPr="00882F11">
        <w:rPr>
          <w:rFonts w:cs="Guttman Drogolin" w:hint="cs"/>
          <w:rtl/>
          <w:lang w:bidi="he-IL"/>
        </w:rPr>
        <w:t>שם</w:t>
      </w:r>
      <w:r w:rsidR="00DA2B21" w:rsidRPr="00882F11">
        <w:rPr>
          <w:rFonts w:cs="Guttman Drogolin"/>
          <w:rtl/>
          <w:lang w:bidi="he-IL"/>
        </w:rPr>
        <w:t xml:space="preserve"> </w:t>
      </w:r>
      <w:r w:rsidR="00DA2B21" w:rsidRPr="00882F11">
        <w:rPr>
          <w:rFonts w:cs="Guttman Drogolin" w:hint="cs"/>
          <w:rtl/>
          <w:lang w:bidi="he-IL"/>
        </w:rPr>
        <w:t>ביטול</w:t>
      </w:r>
      <w:r w:rsidR="00DA2B21" w:rsidRPr="00882F11">
        <w:rPr>
          <w:rFonts w:cs="Guttman Drogolin"/>
          <w:rtl/>
          <w:lang w:bidi="he-IL"/>
        </w:rPr>
        <w:t xml:space="preserve">, </w:t>
      </w:r>
      <w:r w:rsidR="00DA2B21" w:rsidRPr="00882F11">
        <w:rPr>
          <w:rFonts w:cs="Guttman Drogolin" w:hint="cs"/>
          <w:rtl/>
          <w:lang w:bidi="he-IL"/>
        </w:rPr>
        <w:t>דחיישינן</w:t>
      </w:r>
      <w:r w:rsidR="00DA2B21" w:rsidRPr="00882F11">
        <w:rPr>
          <w:rFonts w:cs="Guttman Drogolin"/>
          <w:rtl/>
          <w:lang w:bidi="he-IL"/>
        </w:rPr>
        <w:t xml:space="preserve"> </w:t>
      </w:r>
      <w:r w:rsidR="00DA2B21" w:rsidRPr="00882F11">
        <w:rPr>
          <w:rFonts w:cs="Guttman Drogolin" w:hint="cs"/>
          <w:rtl/>
          <w:lang w:bidi="he-IL"/>
        </w:rPr>
        <w:t>שמא</w:t>
      </w:r>
      <w:r w:rsidR="00DA2B21" w:rsidRPr="00882F11">
        <w:rPr>
          <w:rFonts w:cs="Guttman Drogolin"/>
          <w:rtl/>
          <w:lang w:bidi="he-IL"/>
        </w:rPr>
        <w:t xml:space="preserve"> </w:t>
      </w:r>
      <w:r w:rsidR="00DA2B21" w:rsidRPr="00882F11">
        <w:rPr>
          <w:rFonts w:cs="Guttman Drogolin" w:hint="cs"/>
          <w:rtl/>
          <w:lang w:bidi="he-IL"/>
        </w:rPr>
        <w:t>יפגע</w:t>
      </w:r>
      <w:r w:rsidR="00DA2B21" w:rsidRPr="00882F11">
        <w:rPr>
          <w:rFonts w:cs="Guttman Drogolin"/>
          <w:rtl/>
          <w:lang w:bidi="he-IL"/>
        </w:rPr>
        <w:t xml:space="preserve"> </w:t>
      </w:r>
      <w:r w:rsidR="00DA2B21" w:rsidRPr="00882F11">
        <w:rPr>
          <w:rFonts w:cs="Guttman Drogolin" w:hint="cs"/>
          <w:rtl/>
          <w:lang w:bidi="he-IL"/>
        </w:rPr>
        <w:t>בממשו</w:t>
      </w:r>
      <w:r w:rsidR="00DA2B21" w:rsidRPr="00882F11">
        <w:rPr>
          <w:rFonts w:cs="Guttman Drogolin"/>
          <w:rtl/>
          <w:lang w:bidi="he-IL"/>
        </w:rPr>
        <w:t xml:space="preserve"> </w:t>
      </w:r>
      <w:r w:rsidR="00DA2B21" w:rsidRPr="00882F11">
        <w:rPr>
          <w:rFonts w:cs="Guttman Drogolin" w:hint="cs"/>
          <w:rtl/>
          <w:lang w:bidi="he-IL"/>
        </w:rPr>
        <w:t>של</w:t>
      </w:r>
      <w:r w:rsidR="00DA2B21" w:rsidRPr="00882F11">
        <w:rPr>
          <w:rFonts w:cs="Guttman Drogolin"/>
          <w:rtl/>
          <w:lang w:bidi="he-IL"/>
        </w:rPr>
        <w:t xml:space="preserve"> </w:t>
      </w:r>
      <w:r w:rsidR="00DA2B21" w:rsidRPr="00882F11">
        <w:rPr>
          <w:rFonts w:cs="Guttman Drogolin" w:hint="cs"/>
          <w:rtl/>
          <w:lang w:bidi="he-IL"/>
        </w:rPr>
        <w:t>איסור</w:t>
      </w:r>
      <w:r w:rsidR="00DA2B21" w:rsidRPr="00882F11">
        <w:rPr>
          <w:rFonts w:cs="Guttman Drogolin"/>
          <w:rtl/>
          <w:lang w:bidi="he-IL"/>
        </w:rPr>
        <w:t xml:space="preserve"> </w:t>
      </w:r>
      <w:r w:rsidR="00DA2B21" w:rsidRPr="00882F11">
        <w:rPr>
          <w:rFonts w:cs="Guttman Drogolin" w:hint="cs"/>
          <w:rtl/>
          <w:lang w:bidi="he-IL"/>
        </w:rPr>
        <w:t>ולא</w:t>
      </w:r>
      <w:r w:rsidR="00DA2B21" w:rsidRPr="00882F11">
        <w:rPr>
          <w:rFonts w:cs="Guttman Drogolin"/>
          <w:rtl/>
          <w:lang w:bidi="he-IL"/>
        </w:rPr>
        <w:t xml:space="preserve"> </w:t>
      </w:r>
      <w:r w:rsidR="00DA2B21" w:rsidRPr="00882F11">
        <w:rPr>
          <w:rFonts w:cs="Guttman Drogolin" w:hint="cs"/>
          <w:rtl/>
          <w:lang w:bidi="he-IL"/>
        </w:rPr>
        <w:t>ירגיש</w:t>
      </w:r>
      <w:r w:rsidR="00DA2B21" w:rsidRPr="00882F11">
        <w:rPr>
          <w:rFonts w:cs="Guttman Drogolin"/>
          <w:rtl/>
          <w:lang w:bidi="he-IL"/>
        </w:rPr>
        <w:t xml:space="preserve">". </w:t>
      </w:r>
      <w:r w:rsidR="00DA2B21" w:rsidRPr="00882F11">
        <w:rPr>
          <w:rFonts w:cs="Guttman Drogolin" w:hint="cs"/>
          <w:rtl/>
          <w:lang w:bidi="he-IL"/>
        </w:rPr>
        <w:t>והוסיף</w:t>
      </w:r>
      <w:r w:rsidR="00DA2B21" w:rsidRPr="00882F11">
        <w:rPr>
          <w:rFonts w:cs="Guttman Drogolin"/>
          <w:rtl/>
          <w:lang w:bidi="he-IL"/>
        </w:rPr>
        <w:t xml:space="preserve"> </w:t>
      </w:r>
      <w:r w:rsidR="00DA2B21" w:rsidRPr="00882F11">
        <w:rPr>
          <w:rFonts w:cs="Guttman Drogolin" w:hint="cs"/>
          <w:rtl/>
          <w:lang w:bidi="he-IL"/>
        </w:rPr>
        <w:t>הרמ</w:t>
      </w:r>
      <w:r w:rsidR="00DA2B21" w:rsidRPr="00882F11">
        <w:rPr>
          <w:rFonts w:cs="Guttman Drogolin"/>
          <w:rtl/>
          <w:lang w:bidi="he-IL"/>
        </w:rPr>
        <w:t>"</w:t>
      </w:r>
      <w:r w:rsidR="00DA2B21" w:rsidRPr="00882F11">
        <w:rPr>
          <w:rFonts w:cs="Guttman Drogolin" w:hint="cs"/>
          <w:rtl/>
          <w:lang w:bidi="he-IL"/>
        </w:rPr>
        <w:t>א</w:t>
      </w:r>
      <w:r w:rsidR="00DA2B21" w:rsidRPr="00882F11">
        <w:rPr>
          <w:rFonts w:cs="Guttman Drogolin"/>
          <w:rtl/>
          <w:lang w:bidi="he-IL"/>
        </w:rPr>
        <w:t xml:space="preserve"> "</w:t>
      </w:r>
      <w:r w:rsidR="00DA2B21" w:rsidRPr="00882F11">
        <w:rPr>
          <w:rFonts w:cs="Guttman Drogolin" w:hint="cs"/>
          <w:rtl/>
          <w:lang w:bidi="he-IL"/>
        </w:rPr>
        <w:t>ודוקא</w:t>
      </w:r>
      <w:r w:rsidR="00DA2B21" w:rsidRPr="00882F11">
        <w:rPr>
          <w:rFonts w:cs="Guttman Drogolin"/>
          <w:rtl/>
          <w:lang w:bidi="he-IL"/>
        </w:rPr>
        <w:t xml:space="preserve"> </w:t>
      </w:r>
      <w:r w:rsidR="00DA2B21" w:rsidRPr="00882F11">
        <w:rPr>
          <w:rFonts w:cs="Guttman Drogolin" w:hint="cs"/>
          <w:rtl/>
          <w:lang w:bidi="he-IL"/>
        </w:rPr>
        <w:t>בשרץ</w:t>
      </w:r>
      <w:r w:rsidR="00DA2B21" w:rsidRPr="00882F11">
        <w:rPr>
          <w:rFonts w:cs="Guttman Drogolin"/>
          <w:rtl/>
          <w:lang w:bidi="he-IL"/>
        </w:rPr>
        <w:t xml:space="preserve"> </w:t>
      </w:r>
      <w:r w:rsidR="00DA2B21" w:rsidRPr="00882F11">
        <w:rPr>
          <w:rFonts w:cs="Guttman Drogolin" w:hint="cs"/>
          <w:rtl/>
          <w:lang w:bidi="he-IL"/>
        </w:rPr>
        <w:t>יש</w:t>
      </w:r>
      <w:r w:rsidR="00DA2B21" w:rsidRPr="00882F11">
        <w:rPr>
          <w:rFonts w:cs="Guttman Drogolin"/>
          <w:rtl/>
          <w:lang w:bidi="he-IL"/>
        </w:rPr>
        <w:t xml:space="preserve"> </w:t>
      </w:r>
      <w:r w:rsidR="00DA2B21" w:rsidRPr="00882F11">
        <w:rPr>
          <w:rFonts w:cs="Guttman Drogolin" w:hint="cs"/>
          <w:rtl/>
          <w:lang w:bidi="he-IL"/>
        </w:rPr>
        <w:t>לחוש</w:t>
      </w:r>
      <w:r w:rsidR="00DA2B21" w:rsidRPr="00882F11">
        <w:rPr>
          <w:rFonts w:cs="Guttman Drogolin"/>
          <w:rtl/>
          <w:lang w:bidi="he-IL"/>
        </w:rPr>
        <w:t xml:space="preserve"> </w:t>
      </w:r>
      <w:r w:rsidR="00DA2B21" w:rsidRPr="00882F11">
        <w:rPr>
          <w:rFonts w:cs="Guttman Drogolin" w:hint="cs"/>
          <w:rtl/>
          <w:lang w:bidi="he-IL"/>
        </w:rPr>
        <w:t>אם</w:t>
      </w:r>
      <w:r w:rsidR="00DA2B21" w:rsidRPr="00882F11">
        <w:rPr>
          <w:rFonts w:cs="Guttman Drogolin"/>
          <w:rtl/>
          <w:lang w:bidi="he-IL"/>
        </w:rPr>
        <w:t xml:space="preserve"> </w:t>
      </w:r>
      <w:r w:rsidR="00DA2B21" w:rsidRPr="00882F11">
        <w:rPr>
          <w:rFonts w:cs="Guttman Drogolin" w:hint="cs"/>
          <w:rtl/>
          <w:lang w:bidi="he-IL"/>
        </w:rPr>
        <w:t>נשאר</w:t>
      </w:r>
      <w:r w:rsidR="00DA2B21" w:rsidRPr="00882F11">
        <w:rPr>
          <w:rFonts w:cs="Guttman Drogolin"/>
          <w:rtl/>
          <w:lang w:bidi="he-IL"/>
        </w:rPr>
        <w:t xml:space="preserve"> </w:t>
      </w:r>
      <w:r w:rsidR="00DA2B21" w:rsidRPr="00882F11">
        <w:rPr>
          <w:rFonts w:cs="Guttman Drogolin" w:hint="cs"/>
          <w:rtl/>
          <w:lang w:bidi="he-IL"/>
        </w:rPr>
        <w:t>שם</w:t>
      </w:r>
      <w:r w:rsidR="00DA2B21" w:rsidRPr="00882F11">
        <w:rPr>
          <w:rFonts w:cs="Guttman Drogolin"/>
          <w:rtl/>
          <w:lang w:bidi="he-IL"/>
        </w:rPr>
        <w:t xml:space="preserve"> </w:t>
      </w:r>
      <w:r w:rsidR="00DA2B21" w:rsidRPr="00882F11">
        <w:rPr>
          <w:rFonts w:cs="Guttman Drogolin" w:hint="cs"/>
          <w:rtl/>
          <w:lang w:bidi="he-IL"/>
        </w:rPr>
        <w:t>שלא</w:t>
      </w:r>
      <w:r w:rsidR="00DA2B21" w:rsidRPr="00882F11">
        <w:rPr>
          <w:rFonts w:cs="Guttman Drogolin"/>
          <w:rtl/>
          <w:lang w:bidi="he-IL"/>
        </w:rPr>
        <w:t xml:space="preserve"> </w:t>
      </w:r>
      <w:r w:rsidR="00DA2B21" w:rsidRPr="00882F11">
        <w:rPr>
          <w:rFonts w:cs="Guttman Drogolin" w:hint="cs"/>
          <w:rtl/>
          <w:lang w:bidi="he-IL"/>
        </w:rPr>
        <w:t>יוכל</w:t>
      </w:r>
      <w:r w:rsidR="00DA2B21" w:rsidRPr="00882F11">
        <w:rPr>
          <w:rFonts w:cs="Guttman Drogolin"/>
          <w:rtl/>
          <w:lang w:bidi="he-IL"/>
        </w:rPr>
        <w:t xml:space="preserve"> </w:t>
      </w:r>
      <w:r w:rsidR="00DA2B21" w:rsidRPr="00882F11">
        <w:rPr>
          <w:rFonts w:cs="Guttman Drogolin" w:hint="cs"/>
          <w:rtl/>
          <w:lang w:bidi="he-IL"/>
        </w:rPr>
        <w:t>להוציאו</w:t>
      </w:r>
      <w:r w:rsidR="00DA2B21" w:rsidRPr="00882F11">
        <w:rPr>
          <w:rFonts w:cs="Guttman Drogolin"/>
          <w:rtl/>
          <w:lang w:bidi="he-IL"/>
        </w:rPr>
        <w:t xml:space="preserve">, </w:t>
      </w:r>
      <w:r w:rsidR="00DA2B21" w:rsidRPr="00882F11">
        <w:rPr>
          <w:rFonts w:cs="Guttman Drogolin" w:hint="cs"/>
          <w:rtl/>
          <w:lang w:bidi="he-IL"/>
        </w:rPr>
        <w:t>אבל</w:t>
      </w:r>
      <w:r w:rsidR="00DA2B21" w:rsidRPr="00882F11">
        <w:rPr>
          <w:rFonts w:cs="Guttman Drogolin"/>
          <w:rtl/>
          <w:lang w:bidi="he-IL"/>
        </w:rPr>
        <w:t xml:space="preserve"> </w:t>
      </w:r>
      <w:r w:rsidR="00DA2B21" w:rsidRPr="00882F11">
        <w:rPr>
          <w:rFonts w:cs="Guttman Drogolin" w:hint="cs"/>
          <w:rtl/>
          <w:lang w:bidi="he-IL"/>
        </w:rPr>
        <w:t>בשאר</w:t>
      </w:r>
      <w:r w:rsidR="00DA2B21" w:rsidRPr="00882F11">
        <w:rPr>
          <w:rFonts w:cs="Guttman Drogolin"/>
          <w:rtl/>
          <w:lang w:bidi="he-IL"/>
        </w:rPr>
        <w:t xml:space="preserve"> </w:t>
      </w:r>
      <w:r w:rsidR="00DA2B21" w:rsidRPr="00882F11">
        <w:rPr>
          <w:rFonts w:cs="Guttman Drogolin" w:hint="cs"/>
          <w:rtl/>
          <w:lang w:bidi="he-IL"/>
        </w:rPr>
        <w:t>איסורין</w:t>
      </w:r>
      <w:r w:rsidR="00DA2B21" w:rsidRPr="00882F11">
        <w:rPr>
          <w:rFonts w:cs="Guttman Drogolin"/>
          <w:rtl/>
          <w:lang w:bidi="he-IL"/>
        </w:rPr>
        <w:t xml:space="preserve"> </w:t>
      </w:r>
      <w:r w:rsidR="00DA2B21" w:rsidRPr="00882F11">
        <w:rPr>
          <w:rFonts w:cs="Guttman Drogolin" w:hint="cs"/>
          <w:rtl/>
          <w:lang w:bidi="he-IL"/>
        </w:rPr>
        <w:t>אין</w:t>
      </w:r>
      <w:r w:rsidR="00DA2B21" w:rsidRPr="00882F11">
        <w:rPr>
          <w:rFonts w:cs="Guttman Drogolin"/>
          <w:rtl/>
          <w:lang w:bidi="he-IL"/>
        </w:rPr>
        <w:t xml:space="preserve"> </w:t>
      </w:r>
      <w:r w:rsidR="00DA2B21" w:rsidRPr="00882F11">
        <w:rPr>
          <w:rFonts w:cs="Guttman Drogolin" w:hint="cs"/>
          <w:rtl/>
          <w:lang w:bidi="he-IL"/>
        </w:rPr>
        <w:t>לחוש</w:t>
      </w:r>
      <w:r w:rsidR="00DA2B21" w:rsidRPr="00882F11">
        <w:rPr>
          <w:rFonts w:cs="Guttman Drogolin"/>
          <w:rtl/>
          <w:lang w:bidi="he-IL"/>
        </w:rPr>
        <w:t xml:space="preserve">". </w:t>
      </w:r>
      <w:r w:rsidR="00DA2B21" w:rsidRPr="00882F11">
        <w:rPr>
          <w:rFonts w:cs="Guttman Drogolin" w:hint="cs"/>
          <w:rtl/>
          <w:lang w:bidi="he-IL"/>
        </w:rPr>
        <w:t>והביא</w:t>
      </w:r>
      <w:r w:rsidR="00DA2B21" w:rsidRPr="00882F11">
        <w:rPr>
          <w:rFonts w:cs="Guttman Drogolin"/>
          <w:rtl/>
          <w:lang w:bidi="he-IL"/>
        </w:rPr>
        <w:t xml:space="preserve"> </w:t>
      </w:r>
      <w:r w:rsidR="00DA2B21" w:rsidRPr="00882F11">
        <w:rPr>
          <w:rFonts w:cs="Guttman Drogolin" w:hint="cs"/>
          <w:rtl/>
          <w:lang w:bidi="he-IL"/>
        </w:rPr>
        <w:t>הט</w:t>
      </w:r>
      <w:r w:rsidR="00DA2B21" w:rsidRPr="00882F11">
        <w:rPr>
          <w:rFonts w:cs="Guttman Drogolin"/>
          <w:rtl/>
          <w:lang w:bidi="he-IL"/>
        </w:rPr>
        <w:t>"</w:t>
      </w:r>
      <w:r w:rsidR="00DA2B21" w:rsidRPr="00882F11">
        <w:rPr>
          <w:rFonts w:cs="Guttman Drogolin" w:hint="cs"/>
          <w:rtl/>
          <w:lang w:bidi="he-IL"/>
        </w:rPr>
        <w:t>ז</w:t>
      </w:r>
      <w:r w:rsidR="00DA2B21" w:rsidRPr="00882F11">
        <w:rPr>
          <w:rFonts w:cs="Guttman Drogolin"/>
          <w:rtl/>
          <w:lang w:bidi="he-IL"/>
        </w:rPr>
        <w:t xml:space="preserve"> </w:t>
      </w:r>
      <w:r w:rsidR="00DA2B21" w:rsidRPr="00882F11">
        <w:rPr>
          <w:rFonts w:cs="Guttman Drogolin" w:hint="cs"/>
          <w:rtl/>
          <w:lang w:bidi="he-IL"/>
        </w:rPr>
        <w:t>ס</w:t>
      </w:r>
      <w:r w:rsidR="00DA2B21" w:rsidRPr="00882F11">
        <w:rPr>
          <w:rFonts w:cs="Guttman Drogolin"/>
          <w:rtl/>
          <w:lang w:bidi="he-IL"/>
        </w:rPr>
        <w:t>"</w:t>
      </w:r>
      <w:r w:rsidR="00DA2B21" w:rsidRPr="00882F11">
        <w:rPr>
          <w:rFonts w:cs="Guttman Drogolin" w:hint="cs"/>
          <w:rtl/>
          <w:lang w:bidi="he-IL"/>
        </w:rPr>
        <w:t>ק</w:t>
      </w:r>
      <w:r w:rsidR="00DA2B21" w:rsidRPr="00882F11">
        <w:rPr>
          <w:rFonts w:cs="Guttman Drogolin"/>
          <w:rtl/>
          <w:lang w:bidi="he-IL"/>
        </w:rPr>
        <w:t xml:space="preserve"> </w:t>
      </w:r>
      <w:r w:rsidR="00DA2B21" w:rsidRPr="00882F11">
        <w:rPr>
          <w:rFonts w:cs="Guttman Drogolin" w:hint="cs"/>
          <w:rtl/>
          <w:lang w:bidi="he-IL"/>
        </w:rPr>
        <w:t>א</w:t>
      </w:r>
      <w:r w:rsidR="00DA2B21" w:rsidRPr="00882F11">
        <w:rPr>
          <w:rFonts w:cs="Guttman Drogolin"/>
          <w:rtl/>
          <w:lang w:bidi="he-IL"/>
        </w:rPr>
        <w:t xml:space="preserve">' </w:t>
      </w:r>
      <w:r w:rsidR="00DA2B21" w:rsidRPr="00882F11">
        <w:rPr>
          <w:rFonts w:cs="Guttman Drogolin" w:hint="cs"/>
          <w:rtl/>
          <w:lang w:bidi="he-IL"/>
        </w:rPr>
        <w:t>מדרכ</w:t>
      </w:r>
      <w:r w:rsidR="00DA2B21" w:rsidRPr="00882F11">
        <w:rPr>
          <w:rFonts w:cs="Guttman Drogolin"/>
          <w:rtl/>
          <w:lang w:bidi="he-IL"/>
        </w:rPr>
        <w:t>"</w:t>
      </w:r>
      <w:r w:rsidR="00DA2B21" w:rsidRPr="00882F11">
        <w:rPr>
          <w:rFonts w:cs="Guttman Drogolin" w:hint="cs"/>
          <w:rtl/>
          <w:lang w:bidi="he-IL"/>
        </w:rPr>
        <w:t>מ</w:t>
      </w:r>
      <w:r w:rsidR="00DA2B21" w:rsidRPr="00882F11">
        <w:rPr>
          <w:rFonts w:cs="Guttman Drogolin"/>
          <w:rtl/>
          <w:lang w:bidi="he-IL"/>
        </w:rPr>
        <w:t xml:space="preserve"> </w:t>
      </w:r>
      <w:r w:rsidR="00DA2B21" w:rsidRPr="00882F11">
        <w:rPr>
          <w:rFonts w:cs="Guttman Drogolin" w:hint="cs"/>
          <w:rtl/>
          <w:lang w:bidi="he-IL"/>
        </w:rPr>
        <w:t>בטעמו</w:t>
      </w:r>
      <w:r w:rsidR="00DA2B21" w:rsidRPr="00882F11">
        <w:rPr>
          <w:rFonts w:cs="Guttman Drogolin"/>
          <w:rtl/>
          <w:lang w:bidi="he-IL"/>
        </w:rPr>
        <w:t xml:space="preserve"> </w:t>
      </w:r>
      <w:r w:rsidR="00DA2B21" w:rsidRPr="00882F11">
        <w:rPr>
          <w:rFonts w:cs="Guttman Drogolin" w:hint="cs"/>
          <w:rtl/>
          <w:lang w:bidi="he-IL"/>
        </w:rPr>
        <w:t>הטעם</w:t>
      </w:r>
      <w:r w:rsidR="00DA2B21" w:rsidRPr="00882F11">
        <w:rPr>
          <w:rFonts w:cs="Guttman Drogolin"/>
          <w:rtl/>
          <w:lang w:bidi="he-IL"/>
        </w:rPr>
        <w:t xml:space="preserve"> </w:t>
      </w:r>
      <w:r w:rsidR="00DA2B21" w:rsidRPr="00882F11">
        <w:rPr>
          <w:rFonts w:cs="Guttman Drogolin" w:hint="cs"/>
          <w:rtl/>
          <w:lang w:bidi="he-IL"/>
        </w:rPr>
        <w:t>משום</w:t>
      </w:r>
      <w:r w:rsidR="00DA2B21" w:rsidRPr="00882F11">
        <w:rPr>
          <w:rFonts w:cs="Guttman Drogolin"/>
          <w:rtl/>
          <w:lang w:bidi="he-IL"/>
        </w:rPr>
        <w:t xml:space="preserve"> </w:t>
      </w:r>
      <w:r w:rsidR="00DA2B21" w:rsidRPr="00882F11">
        <w:rPr>
          <w:rFonts w:cs="Guttman Drogolin" w:hint="cs"/>
          <w:rtl/>
          <w:lang w:bidi="he-IL"/>
        </w:rPr>
        <w:t>דיתכן</w:t>
      </w:r>
      <w:r w:rsidR="00DA2B21" w:rsidRPr="00882F11">
        <w:rPr>
          <w:rFonts w:cs="Guttman Drogolin"/>
          <w:rtl/>
          <w:lang w:bidi="he-IL"/>
        </w:rPr>
        <w:t xml:space="preserve"> </w:t>
      </w:r>
      <w:r w:rsidR="00DA2B21" w:rsidRPr="00882F11">
        <w:rPr>
          <w:rFonts w:cs="Guttman Drogolin" w:hint="cs"/>
          <w:rtl/>
          <w:lang w:bidi="he-IL"/>
        </w:rPr>
        <w:t>שישאר</w:t>
      </w:r>
      <w:r w:rsidR="00DA2B21" w:rsidRPr="00882F11">
        <w:rPr>
          <w:rFonts w:cs="Guttman Drogolin"/>
          <w:rtl/>
          <w:lang w:bidi="he-IL"/>
        </w:rPr>
        <w:t xml:space="preserve"> </w:t>
      </w:r>
      <w:r w:rsidR="00DA2B21" w:rsidRPr="00882F11">
        <w:rPr>
          <w:rFonts w:cs="Guttman Drogolin" w:hint="cs"/>
          <w:rtl/>
          <w:lang w:bidi="he-IL"/>
        </w:rPr>
        <w:t>כעדשה</w:t>
      </w:r>
      <w:r w:rsidR="00DA2B21" w:rsidRPr="00882F11">
        <w:rPr>
          <w:rFonts w:cs="Guttman Drogolin"/>
          <w:rtl/>
          <w:lang w:bidi="he-IL"/>
        </w:rPr>
        <w:t xml:space="preserve"> </w:t>
      </w:r>
      <w:r w:rsidR="00DA2B21" w:rsidRPr="00882F11">
        <w:rPr>
          <w:rFonts w:cs="Guttman Drogolin" w:hint="cs"/>
          <w:rtl/>
          <w:lang w:bidi="he-IL"/>
        </w:rPr>
        <w:t>והוא</w:t>
      </w:r>
      <w:r w:rsidR="00DA2B21" w:rsidRPr="00882F11">
        <w:rPr>
          <w:rFonts w:cs="Guttman Drogolin"/>
          <w:rtl/>
          <w:lang w:bidi="he-IL"/>
        </w:rPr>
        <w:t xml:space="preserve"> </w:t>
      </w:r>
      <w:r w:rsidR="00DA2B21" w:rsidRPr="00882F11">
        <w:rPr>
          <w:rFonts w:cs="Guttman Drogolin" w:hint="cs"/>
          <w:rtl/>
          <w:lang w:bidi="he-IL"/>
        </w:rPr>
        <w:t>כברי</w:t>
      </w:r>
      <w:r w:rsidR="00DA2B21" w:rsidRPr="00882F11">
        <w:rPr>
          <w:rFonts w:cs="Guttman Drogolin"/>
          <w:rtl/>
          <w:lang w:bidi="he-IL"/>
        </w:rPr>
        <w:t xml:space="preserve">' </w:t>
      </w:r>
      <w:r w:rsidR="00DA2B21" w:rsidRPr="00882F11">
        <w:rPr>
          <w:rFonts w:cs="Guttman Drogolin" w:hint="cs"/>
          <w:rtl/>
          <w:lang w:bidi="he-IL"/>
        </w:rPr>
        <w:t>דלא</w:t>
      </w:r>
      <w:r w:rsidR="00DA2B21" w:rsidRPr="00882F11">
        <w:rPr>
          <w:rFonts w:cs="Guttman Drogolin"/>
          <w:rtl/>
          <w:lang w:bidi="he-IL"/>
        </w:rPr>
        <w:t xml:space="preserve"> </w:t>
      </w:r>
      <w:r w:rsidR="00DA2B21" w:rsidRPr="00882F11">
        <w:rPr>
          <w:rFonts w:cs="Guttman Drogolin" w:hint="cs"/>
          <w:rtl/>
          <w:lang w:bidi="he-IL"/>
        </w:rPr>
        <w:t>בטיל</w:t>
      </w:r>
      <w:r w:rsidR="00DA2B21" w:rsidRPr="00882F11">
        <w:rPr>
          <w:rFonts w:cs="Guttman Drogolin"/>
          <w:rtl/>
          <w:lang w:bidi="he-IL"/>
        </w:rPr>
        <w:t xml:space="preserve">. </w:t>
      </w:r>
      <w:r w:rsidR="00DA2B21" w:rsidRPr="00882F11">
        <w:rPr>
          <w:rFonts w:cs="Guttman Drogolin" w:hint="cs"/>
          <w:rtl/>
          <w:lang w:bidi="he-IL"/>
        </w:rPr>
        <w:t>והט</w:t>
      </w:r>
      <w:r w:rsidR="00DA2B21" w:rsidRPr="00882F11">
        <w:rPr>
          <w:rFonts w:cs="Guttman Drogolin"/>
          <w:rtl/>
          <w:lang w:bidi="he-IL"/>
        </w:rPr>
        <w:t>"</w:t>
      </w:r>
      <w:r w:rsidR="00DA2B21" w:rsidRPr="00882F11">
        <w:rPr>
          <w:rFonts w:cs="Guttman Drogolin" w:hint="cs"/>
          <w:rtl/>
          <w:lang w:bidi="he-IL"/>
        </w:rPr>
        <w:t>ז</w:t>
      </w:r>
      <w:r w:rsidR="00DA2B21" w:rsidRPr="00882F11">
        <w:rPr>
          <w:rFonts w:cs="Guttman Drogolin"/>
          <w:rtl/>
          <w:lang w:bidi="he-IL"/>
        </w:rPr>
        <w:t xml:space="preserve"> </w:t>
      </w:r>
      <w:r w:rsidR="00DA2B21" w:rsidRPr="00882F11">
        <w:rPr>
          <w:rFonts w:cs="Guttman Drogolin" w:hint="cs"/>
          <w:rtl/>
          <w:lang w:bidi="he-IL"/>
        </w:rPr>
        <w:t>עצמו</w:t>
      </w:r>
      <w:r w:rsidR="00DA2B21" w:rsidRPr="00882F11">
        <w:rPr>
          <w:rFonts w:cs="Guttman Drogolin"/>
          <w:rtl/>
          <w:lang w:bidi="he-IL"/>
        </w:rPr>
        <w:t xml:space="preserve"> </w:t>
      </w:r>
      <w:r w:rsidR="00DA2B21" w:rsidRPr="00882F11">
        <w:rPr>
          <w:rFonts w:cs="Guttman Drogolin" w:hint="cs"/>
          <w:rtl/>
          <w:lang w:bidi="he-IL"/>
        </w:rPr>
        <w:t>חלק</w:t>
      </w:r>
      <w:r w:rsidR="00DA2B21" w:rsidRPr="00882F11">
        <w:rPr>
          <w:rFonts w:cs="Guttman Drogolin"/>
          <w:rtl/>
          <w:lang w:bidi="he-IL"/>
        </w:rPr>
        <w:t xml:space="preserve"> </w:t>
      </w:r>
      <w:r w:rsidR="00DA2B21" w:rsidRPr="00882F11">
        <w:rPr>
          <w:rFonts w:cs="Guttman Drogolin" w:hint="cs"/>
          <w:rtl/>
          <w:lang w:bidi="he-IL"/>
        </w:rPr>
        <w:t>על</w:t>
      </w:r>
      <w:r w:rsidR="00DA2B21" w:rsidRPr="00882F11">
        <w:rPr>
          <w:rFonts w:cs="Guttman Drogolin"/>
          <w:rtl/>
          <w:lang w:bidi="he-IL"/>
        </w:rPr>
        <w:t xml:space="preserve"> </w:t>
      </w:r>
      <w:r w:rsidR="00DA2B21" w:rsidRPr="00882F11">
        <w:rPr>
          <w:rFonts w:cs="Guttman Drogolin" w:hint="cs"/>
          <w:rtl/>
          <w:lang w:bidi="he-IL"/>
        </w:rPr>
        <w:t>זה</w:t>
      </w:r>
      <w:r w:rsidR="00DA2B21" w:rsidRPr="00882F11">
        <w:rPr>
          <w:rFonts w:cs="Guttman Drogolin"/>
          <w:rtl/>
          <w:lang w:bidi="he-IL"/>
        </w:rPr>
        <w:t xml:space="preserve"> </w:t>
      </w:r>
      <w:r w:rsidR="00DA2B21" w:rsidRPr="00882F11">
        <w:rPr>
          <w:rFonts w:cs="Guttman Drogolin" w:hint="cs"/>
          <w:rtl/>
          <w:lang w:bidi="he-IL"/>
        </w:rPr>
        <w:t>דכיון</w:t>
      </w:r>
      <w:r w:rsidR="00DA2B21" w:rsidRPr="00882F11">
        <w:rPr>
          <w:rFonts w:cs="Guttman Drogolin"/>
          <w:rtl/>
          <w:lang w:bidi="he-IL"/>
        </w:rPr>
        <w:t xml:space="preserve"> </w:t>
      </w:r>
      <w:r w:rsidR="00DA2B21" w:rsidRPr="00882F11">
        <w:rPr>
          <w:rFonts w:cs="Guttman Drogolin" w:hint="cs"/>
          <w:rtl/>
          <w:lang w:bidi="he-IL"/>
        </w:rPr>
        <w:t>שהוא</w:t>
      </w:r>
      <w:r w:rsidR="00DA2B21" w:rsidRPr="00882F11">
        <w:rPr>
          <w:rFonts w:cs="Guttman Drogolin"/>
          <w:rtl/>
          <w:lang w:bidi="he-IL"/>
        </w:rPr>
        <w:t xml:space="preserve"> </w:t>
      </w:r>
      <w:r w:rsidR="00DA2B21" w:rsidRPr="00882F11">
        <w:rPr>
          <w:rFonts w:cs="Guttman Drogolin" w:hint="cs"/>
          <w:rtl/>
          <w:lang w:bidi="he-IL"/>
        </w:rPr>
        <w:t>ניכר</w:t>
      </w:r>
      <w:r w:rsidR="00DA2B21" w:rsidRPr="00882F11">
        <w:rPr>
          <w:rFonts w:cs="Guttman Drogolin"/>
          <w:rtl/>
          <w:lang w:bidi="he-IL"/>
        </w:rPr>
        <w:t xml:space="preserve"> </w:t>
      </w:r>
      <w:r w:rsidR="00DA2B21" w:rsidRPr="00882F11">
        <w:rPr>
          <w:rFonts w:cs="Guttman Drogolin" w:hint="cs"/>
          <w:rtl/>
          <w:lang w:bidi="he-IL"/>
        </w:rPr>
        <w:t>אע</w:t>
      </w:r>
      <w:r w:rsidR="00DA2B21" w:rsidRPr="00882F11">
        <w:rPr>
          <w:rFonts w:cs="Guttman Drogolin"/>
          <w:rtl/>
          <w:lang w:bidi="he-IL"/>
        </w:rPr>
        <w:t>"</w:t>
      </w:r>
      <w:r w:rsidR="00DA2B21" w:rsidRPr="00882F11">
        <w:rPr>
          <w:rFonts w:cs="Guttman Drogolin" w:hint="cs"/>
          <w:rtl/>
          <w:lang w:bidi="he-IL"/>
        </w:rPr>
        <w:t>פ</w:t>
      </w:r>
      <w:r w:rsidR="00DA2B21" w:rsidRPr="00882F11">
        <w:rPr>
          <w:rFonts w:cs="Guttman Drogolin"/>
          <w:rtl/>
          <w:lang w:bidi="he-IL"/>
        </w:rPr>
        <w:t xml:space="preserve"> </w:t>
      </w:r>
      <w:r w:rsidR="00DA2B21" w:rsidRPr="00882F11">
        <w:rPr>
          <w:rFonts w:cs="Guttman Drogolin" w:hint="cs"/>
          <w:rtl/>
          <w:lang w:bidi="he-IL"/>
        </w:rPr>
        <w:t>שאי</w:t>
      </w:r>
      <w:r w:rsidR="00DA2B21" w:rsidRPr="00882F11">
        <w:rPr>
          <w:rFonts w:cs="Guttman Drogolin"/>
          <w:rtl/>
          <w:lang w:bidi="he-IL"/>
        </w:rPr>
        <w:t xml:space="preserve"> </w:t>
      </w:r>
      <w:r w:rsidR="00DA2B21" w:rsidRPr="00882F11">
        <w:rPr>
          <w:rFonts w:cs="Guttman Drogolin" w:hint="cs"/>
          <w:rtl/>
          <w:lang w:bidi="he-IL"/>
        </w:rPr>
        <w:t>אפשר</w:t>
      </w:r>
      <w:r w:rsidR="00DA2B21" w:rsidRPr="00882F11">
        <w:rPr>
          <w:rFonts w:cs="Guttman Drogolin"/>
          <w:rtl/>
          <w:lang w:bidi="he-IL"/>
        </w:rPr>
        <w:t xml:space="preserve"> </w:t>
      </w:r>
      <w:r w:rsidR="00DA2B21" w:rsidRPr="00882F11">
        <w:rPr>
          <w:rFonts w:cs="Guttman Drogolin" w:hint="cs"/>
          <w:rtl/>
          <w:lang w:bidi="he-IL"/>
        </w:rPr>
        <w:t>לבררו</w:t>
      </w:r>
      <w:r w:rsidR="00DA2B21" w:rsidRPr="00882F11">
        <w:rPr>
          <w:rFonts w:cs="Guttman Drogolin"/>
          <w:rtl/>
          <w:lang w:bidi="he-IL"/>
        </w:rPr>
        <w:t xml:space="preserve"> </w:t>
      </w:r>
      <w:r w:rsidR="00DA2B21" w:rsidRPr="00882F11">
        <w:rPr>
          <w:rFonts w:cs="Guttman Drogolin" w:hint="cs"/>
          <w:rtl/>
          <w:lang w:bidi="he-IL"/>
        </w:rPr>
        <w:t>אין</w:t>
      </w:r>
      <w:r w:rsidR="00DA2B21" w:rsidRPr="00882F11">
        <w:rPr>
          <w:rFonts w:cs="Guttman Drogolin"/>
          <w:rtl/>
          <w:lang w:bidi="he-IL"/>
        </w:rPr>
        <w:t xml:space="preserve"> </w:t>
      </w:r>
      <w:r w:rsidR="00DA2B21" w:rsidRPr="00882F11">
        <w:rPr>
          <w:rFonts w:cs="Guttman Drogolin" w:hint="cs"/>
          <w:rtl/>
          <w:lang w:bidi="he-IL"/>
        </w:rPr>
        <w:t>כאן</w:t>
      </w:r>
      <w:r w:rsidR="00DA2B21" w:rsidRPr="00882F11">
        <w:rPr>
          <w:rFonts w:cs="Guttman Drogolin"/>
          <w:rtl/>
          <w:lang w:bidi="he-IL"/>
        </w:rPr>
        <w:t xml:space="preserve"> </w:t>
      </w:r>
      <w:r w:rsidR="00DA2B21" w:rsidRPr="00882F11">
        <w:rPr>
          <w:rFonts w:cs="Guttman Drogolin" w:hint="cs"/>
          <w:rtl/>
          <w:lang w:bidi="he-IL"/>
        </w:rPr>
        <w:t>ביטול</w:t>
      </w:r>
      <w:r w:rsidR="00DA2B21" w:rsidRPr="00882F11">
        <w:rPr>
          <w:rFonts w:cs="Guttman Drogolin"/>
          <w:rtl/>
          <w:lang w:bidi="he-IL"/>
        </w:rPr>
        <w:t xml:space="preserve"> </w:t>
      </w:r>
      <w:r w:rsidR="00DA2B21" w:rsidRPr="00882F11">
        <w:rPr>
          <w:rFonts w:cs="Guttman Drogolin" w:hint="cs"/>
          <w:rtl/>
          <w:lang w:bidi="he-IL"/>
        </w:rPr>
        <w:t>כלל</w:t>
      </w:r>
      <w:r w:rsidR="00DA2B21" w:rsidRPr="00882F11">
        <w:rPr>
          <w:rFonts w:cs="Guttman Drogolin"/>
          <w:rtl/>
          <w:lang w:bidi="he-IL"/>
        </w:rPr>
        <w:t xml:space="preserve">. </w:t>
      </w:r>
      <w:r w:rsidR="00411583" w:rsidRPr="00882F11">
        <w:rPr>
          <w:rFonts w:cs="Guttman Drogolin" w:hint="cs"/>
          <w:rtl/>
          <w:lang w:bidi="he-IL"/>
        </w:rPr>
        <w:t xml:space="preserve">והביא שבאמת בדבר זה נחלקו הרשב"א והרמב"ם, שהרמב"ם סבר שדבר שהוא ניכר אע"פ שאי אפשר לבררו, אינו בטל. ולכן לשיטתו פשוט למה העכבר אינו בטל אע"פ שנחתך לחתיכות דקות. </w:t>
      </w:r>
      <w:r w:rsidR="0096484A" w:rsidRPr="00882F11">
        <w:rPr>
          <w:rFonts w:cs="Guttman Drogolin" w:hint="cs"/>
          <w:rtl/>
          <w:lang w:bidi="he-IL"/>
        </w:rPr>
        <w:t xml:space="preserve">אמנם שיטת הרשב"א היא שאם אי אפשר לבררו הרי הוא בטל אע"פ שהוא ניכר. ולכן לשיטתו הקשה מאי שנא מהא דעכבר. ותי' דמ"מ חוששים שמא יפגע בחתיכת עכבר שפני עצמו ויעבור. </w:t>
      </w:r>
      <w:r w:rsidR="00DA2B21" w:rsidRPr="00882F11">
        <w:rPr>
          <w:rFonts w:cs="Guttman Drogolin" w:hint="cs"/>
          <w:rtl/>
          <w:lang w:bidi="he-IL"/>
        </w:rPr>
        <w:t>וכן</w:t>
      </w:r>
      <w:r w:rsidR="00DA2B21" w:rsidRPr="00882F11">
        <w:rPr>
          <w:rFonts w:cs="Guttman Drogolin"/>
          <w:rtl/>
          <w:lang w:bidi="he-IL"/>
        </w:rPr>
        <w:t xml:space="preserve"> </w:t>
      </w:r>
      <w:r w:rsidR="00DA2B21" w:rsidRPr="00882F11">
        <w:rPr>
          <w:rFonts w:cs="Guttman Drogolin" w:hint="cs"/>
          <w:rtl/>
          <w:lang w:bidi="he-IL"/>
        </w:rPr>
        <w:t>תמה</w:t>
      </w:r>
      <w:r w:rsidR="00DA2B21" w:rsidRPr="00882F11">
        <w:rPr>
          <w:rFonts w:cs="Guttman Drogolin"/>
          <w:rtl/>
          <w:lang w:bidi="he-IL"/>
        </w:rPr>
        <w:t xml:space="preserve"> </w:t>
      </w:r>
      <w:r w:rsidR="00DA2B21" w:rsidRPr="00882F11">
        <w:rPr>
          <w:rFonts w:cs="Guttman Drogolin" w:hint="cs"/>
          <w:rtl/>
          <w:lang w:bidi="he-IL"/>
        </w:rPr>
        <w:t>על</w:t>
      </w:r>
      <w:r w:rsidR="00DA2B21" w:rsidRPr="00882F11">
        <w:rPr>
          <w:rFonts w:cs="Guttman Drogolin"/>
          <w:rtl/>
          <w:lang w:bidi="he-IL"/>
        </w:rPr>
        <w:t xml:space="preserve"> </w:t>
      </w:r>
      <w:r w:rsidR="00DA2B21" w:rsidRPr="00882F11">
        <w:rPr>
          <w:rFonts w:cs="Guttman Drogolin" w:hint="cs"/>
          <w:rtl/>
          <w:lang w:bidi="he-IL"/>
        </w:rPr>
        <w:t>זה</w:t>
      </w:r>
      <w:r w:rsidR="00DA2B21" w:rsidRPr="00882F11">
        <w:rPr>
          <w:rFonts w:cs="Guttman Drogolin"/>
          <w:rtl/>
          <w:lang w:bidi="he-IL"/>
        </w:rPr>
        <w:t xml:space="preserve"> </w:t>
      </w:r>
      <w:r w:rsidR="00DA2B21" w:rsidRPr="00882F11">
        <w:rPr>
          <w:rFonts w:cs="Guttman Drogolin" w:hint="cs"/>
          <w:rtl/>
          <w:lang w:bidi="he-IL"/>
        </w:rPr>
        <w:t>שיהא</w:t>
      </w:r>
      <w:r w:rsidR="00DA2B21" w:rsidRPr="00882F11">
        <w:rPr>
          <w:rFonts w:cs="Guttman Drogolin"/>
          <w:rtl/>
          <w:lang w:bidi="he-IL"/>
        </w:rPr>
        <w:t xml:space="preserve"> </w:t>
      </w:r>
      <w:r w:rsidR="00DA2B21" w:rsidRPr="00882F11">
        <w:rPr>
          <w:rFonts w:cs="Guttman Drogolin" w:hint="cs"/>
          <w:rtl/>
          <w:lang w:bidi="he-IL"/>
        </w:rPr>
        <w:t>שיעור</w:t>
      </w:r>
      <w:r w:rsidR="00DA2B21" w:rsidRPr="00882F11">
        <w:rPr>
          <w:rFonts w:cs="Guttman Drogolin"/>
          <w:rtl/>
          <w:lang w:bidi="he-IL"/>
        </w:rPr>
        <w:t xml:space="preserve"> </w:t>
      </w:r>
      <w:r w:rsidR="00DA2B21" w:rsidRPr="00882F11">
        <w:rPr>
          <w:rFonts w:cs="Guttman Drogolin" w:hint="cs"/>
          <w:rtl/>
          <w:lang w:bidi="he-IL"/>
        </w:rPr>
        <w:t>כעדשה</w:t>
      </w:r>
      <w:r w:rsidR="00DA2B21" w:rsidRPr="00882F11">
        <w:rPr>
          <w:rFonts w:cs="Guttman Drogolin"/>
          <w:rtl/>
          <w:lang w:bidi="he-IL"/>
        </w:rPr>
        <w:t xml:space="preserve"> </w:t>
      </w:r>
      <w:r w:rsidR="00DA2B21" w:rsidRPr="00882F11">
        <w:rPr>
          <w:rFonts w:cs="Guttman Drogolin" w:hint="cs"/>
          <w:rtl/>
          <w:lang w:bidi="he-IL"/>
        </w:rPr>
        <w:t>חשוב</w:t>
      </w:r>
      <w:r w:rsidR="00DA2B21" w:rsidRPr="00882F11">
        <w:rPr>
          <w:rFonts w:cs="Guttman Drogolin"/>
          <w:rtl/>
          <w:lang w:bidi="he-IL"/>
        </w:rPr>
        <w:t xml:space="preserve"> </w:t>
      </w:r>
      <w:r w:rsidR="00DA2B21" w:rsidRPr="00882F11">
        <w:rPr>
          <w:rFonts w:cs="Guttman Drogolin" w:hint="cs"/>
          <w:rtl/>
          <w:lang w:bidi="he-IL"/>
        </w:rPr>
        <w:t>ברי</w:t>
      </w:r>
      <w:r w:rsidR="00DA2B21" w:rsidRPr="00882F11">
        <w:rPr>
          <w:rFonts w:cs="Guttman Drogolin"/>
          <w:rtl/>
          <w:lang w:bidi="he-IL"/>
        </w:rPr>
        <w:t xml:space="preserve">'. </w:t>
      </w:r>
    </w:p>
    <w:p w:rsidR="00DA2B21" w:rsidRPr="00882F11" w:rsidRDefault="00DA2B21" w:rsidP="002963F5">
      <w:pPr>
        <w:tabs>
          <w:tab w:val="right" w:pos="7497"/>
        </w:tabs>
        <w:bidi/>
        <w:jc w:val="both"/>
        <w:rPr>
          <w:rFonts w:cs="Guttman Drogolin"/>
          <w:rtl/>
          <w:lang w:bidi="he-IL"/>
        </w:rPr>
      </w:pPr>
      <w:r w:rsidRPr="00882F11">
        <w:rPr>
          <w:rFonts w:cs="Guttman Drogolin" w:hint="cs"/>
          <w:rtl/>
          <w:lang w:bidi="he-IL"/>
        </w:rPr>
        <w:t>וע</w:t>
      </w:r>
      <w:r w:rsidRPr="00882F11">
        <w:rPr>
          <w:rFonts w:cs="Guttman Drogolin"/>
          <w:rtl/>
          <w:lang w:bidi="he-IL"/>
        </w:rPr>
        <w:t>"</w:t>
      </w:r>
      <w:r w:rsidRPr="00882F11">
        <w:rPr>
          <w:rFonts w:cs="Guttman Drogolin" w:hint="cs"/>
          <w:rtl/>
          <w:lang w:bidi="he-IL"/>
        </w:rPr>
        <w:t>ש</w:t>
      </w:r>
      <w:r w:rsidRPr="00882F11">
        <w:rPr>
          <w:rFonts w:cs="Guttman Drogolin"/>
          <w:rtl/>
          <w:lang w:bidi="he-IL"/>
        </w:rPr>
        <w:t xml:space="preserve"> </w:t>
      </w:r>
      <w:r w:rsidRPr="00882F11">
        <w:rPr>
          <w:rFonts w:cs="Guttman Drogolin" w:hint="cs"/>
          <w:rtl/>
          <w:lang w:bidi="he-IL"/>
        </w:rPr>
        <w:t>בש</w:t>
      </w:r>
      <w:r w:rsidRPr="00882F11">
        <w:rPr>
          <w:rFonts w:cs="Guttman Drogolin"/>
          <w:rtl/>
          <w:lang w:bidi="he-IL"/>
        </w:rPr>
        <w:t>"</w:t>
      </w:r>
      <w:r w:rsidRPr="00882F11">
        <w:rPr>
          <w:rFonts w:cs="Guttman Drogolin" w:hint="cs"/>
          <w:rtl/>
          <w:lang w:bidi="he-IL"/>
        </w:rPr>
        <w:t>ך</w:t>
      </w:r>
      <w:r w:rsidRPr="00882F11">
        <w:rPr>
          <w:rFonts w:cs="Guttman Drogolin"/>
          <w:rtl/>
          <w:lang w:bidi="he-IL"/>
        </w:rPr>
        <w:t xml:space="preserve"> </w:t>
      </w:r>
      <w:r w:rsidRPr="00882F11">
        <w:rPr>
          <w:rFonts w:cs="Guttman Drogolin" w:hint="cs"/>
          <w:rtl/>
          <w:lang w:bidi="he-IL"/>
        </w:rPr>
        <w:t>ובנקוה</w:t>
      </w:r>
      <w:r w:rsidRPr="00882F11">
        <w:rPr>
          <w:rFonts w:cs="Guttman Drogolin"/>
          <w:rtl/>
          <w:lang w:bidi="he-IL"/>
        </w:rPr>
        <w:t>"</w:t>
      </w:r>
      <w:r w:rsidRPr="00882F11">
        <w:rPr>
          <w:rFonts w:cs="Guttman Drogolin" w:hint="cs"/>
          <w:rtl/>
          <w:lang w:bidi="he-IL"/>
        </w:rPr>
        <w:t>כ</w:t>
      </w:r>
      <w:r w:rsidRPr="00882F11">
        <w:rPr>
          <w:rFonts w:cs="Guttman Drogolin"/>
          <w:rtl/>
          <w:lang w:bidi="he-IL"/>
        </w:rPr>
        <w:t xml:space="preserve"> </w:t>
      </w:r>
      <w:r w:rsidRPr="00882F11">
        <w:rPr>
          <w:rFonts w:cs="Guttman Drogolin" w:hint="cs"/>
          <w:rtl/>
          <w:lang w:bidi="he-IL"/>
        </w:rPr>
        <w:t>שהעמיד</w:t>
      </w:r>
      <w:r w:rsidRPr="00882F11">
        <w:rPr>
          <w:rFonts w:cs="Guttman Drogolin"/>
          <w:rtl/>
          <w:lang w:bidi="he-IL"/>
        </w:rPr>
        <w:t xml:space="preserve"> </w:t>
      </w:r>
      <w:r w:rsidRPr="00882F11">
        <w:rPr>
          <w:rFonts w:cs="Guttman Drogolin" w:hint="cs"/>
          <w:rtl/>
          <w:lang w:bidi="he-IL"/>
        </w:rPr>
        <w:t>דברי</w:t>
      </w:r>
      <w:r w:rsidRPr="00882F11">
        <w:rPr>
          <w:rFonts w:cs="Guttman Drogolin"/>
          <w:rtl/>
          <w:lang w:bidi="he-IL"/>
        </w:rPr>
        <w:t xml:space="preserve"> </w:t>
      </w:r>
      <w:r w:rsidRPr="00882F11">
        <w:rPr>
          <w:rFonts w:cs="Guttman Drogolin" w:hint="cs"/>
          <w:rtl/>
          <w:lang w:bidi="he-IL"/>
        </w:rPr>
        <w:t>רמ</w:t>
      </w:r>
      <w:r w:rsidRPr="00882F11">
        <w:rPr>
          <w:rFonts w:cs="Guttman Drogolin"/>
          <w:rtl/>
          <w:lang w:bidi="he-IL"/>
        </w:rPr>
        <w:t>"</w:t>
      </w:r>
      <w:r w:rsidRPr="00882F11">
        <w:rPr>
          <w:rFonts w:cs="Guttman Drogolin" w:hint="cs"/>
          <w:rtl/>
          <w:lang w:bidi="he-IL"/>
        </w:rPr>
        <w:t>א</w:t>
      </w:r>
      <w:r w:rsidRPr="00882F11">
        <w:rPr>
          <w:rFonts w:cs="Guttman Drogolin"/>
          <w:rtl/>
          <w:lang w:bidi="he-IL"/>
        </w:rPr>
        <w:t xml:space="preserve"> </w:t>
      </w:r>
      <w:r w:rsidR="0096484A" w:rsidRPr="00882F11">
        <w:rPr>
          <w:rFonts w:cs="Guttman Drogolin" w:hint="cs"/>
          <w:rtl/>
          <w:lang w:bidi="he-IL"/>
        </w:rPr>
        <w:t>וסבר שבנד"ד אין זה חשוב ניכר. ויוצא שנחלקו הט"ז והש"ך אם דבר שאינו ניכר לעין עכשיו, אבל במקומו הוא ניכר ואם יפגע בו יהא ניכר האם הוא בטל או לא, שלש"ך הוא בטל ולט"ז אינו בטל. והש"ך שם הביא מקור לדבריו מדברי הרשב"א שהוא מקור לדברי השו"ע בסי'</w:t>
      </w:r>
      <w:r w:rsidR="00B6605B" w:rsidRPr="00882F11">
        <w:rPr>
          <w:rFonts w:cs="Guttman Drogolin" w:hint="cs"/>
          <w:rtl/>
          <w:lang w:bidi="he-IL"/>
        </w:rPr>
        <w:t xml:space="preserve"> ק' סע' ג'. שכתב שם השו"ע</w:t>
      </w:r>
      <w:r w:rsidR="002963F5" w:rsidRPr="00882F11">
        <w:rPr>
          <w:rFonts w:cs="Guttman Drogolin" w:hint="cs"/>
          <w:rtl/>
          <w:lang w:bidi="he-IL"/>
        </w:rPr>
        <w:t xml:space="preserve"> "קדרה</w:t>
      </w:r>
      <w:r w:rsidR="002963F5" w:rsidRPr="00882F11">
        <w:rPr>
          <w:rFonts w:cs="Guttman Drogolin"/>
          <w:rtl/>
          <w:lang w:bidi="he-IL"/>
        </w:rPr>
        <w:t xml:space="preserve"> </w:t>
      </w:r>
      <w:r w:rsidR="002963F5" w:rsidRPr="00882F11">
        <w:rPr>
          <w:rFonts w:cs="Guttman Drogolin" w:hint="cs"/>
          <w:rtl/>
          <w:lang w:bidi="he-IL"/>
        </w:rPr>
        <w:t>של</w:t>
      </w:r>
      <w:r w:rsidR="002963F5" w:rsidRPr="00882F11">
        <w:rPr>
          <w:rFonts w:cs="Guttman Drogolin"/>
          <w:rtl/>
          <w:lang w:bidi="he-IL"/>
        </w:rPr>
        <w:t xml:space="preserve"> </w:t>
      </w:r>
      <w:r w:rsidR="002963F5" w:rsidRPr="00882F11">
        <w:rPr>
          <w:rFonts w:cs="Guttman Drogolin" w:hint="cs"/>
          <w:rtl/>
          <w:lang w:bidi="he-IL"/>
        </w:rPr>
        <w:t>מרק</w:t>
      </w:r>
      <w:r w:rsidR="002963F5" w:rsidRPr="00882F11">
        <w:rPr>
          <w:rFonts w:cs="Guttman Drogolin"/>
          <w:rtl/>
          <w:lang w:bidi="he-IL"/>
        </w:rPr>
        <w:t xml:space="preserve"> </w:t>
      </w:r>
      <w:r w:rsidR="002963F5" w:rsidRPr="00882F11">
        <w:rPr>
          <w:rFonts w:cs="Guttman Drogolin" w:hint="cs"/>
          <w:rtl/>
          <w:lang w:bidi="he-IL"/>
        </w:rPr>
        <w:t>שנפל</w:t>
      </w:r>
      <w:r w:rsidR="002963F5" w:rsidRPr="00882F11">
        <w:rPr>
          <w:rFonts w:cs="Guttman Drogolin"/>
          <w:rtl/>
          <w:lang w:bidi="he-IL"/>
        </w:rPr>
        <w:t xml:space="preserve"> </w:t>
      </w:r>
      <w:r w:rsidR="002963F5" w:rsidRPr="00882F11">
        <w:rPr>
          <w:rFonts w:cs="Guttman Drogolin" w:hint="cs"/>
          <w:rtl/>
          <w:lang w:bidi="he-IL"/>
        </w:rPr>
        <w:t>שם</w:t>
      </w:r>
      <w:r w:rsidR="002963F5" w:rsidRPr="00882F11">
        <w:rPr>
          <w:rFonts w:cs="Guttman Drogolin"/>
          <w:rtl/>
          <w:lang w:bidi="he-IL"/>
        </w:rPr>
        <w:t xml:space="preserve"> </w:t>
      </w:r>
      <w:r w:rsidR="002963F5" w:rsidRPr="00882F11">
        <w:rPr>
          <w:rFonts w:cs="Guttman Drogolin" w:hint="cs"/>
          <w:rtl/>
          <w:lang w:bidi="he-IL"/>
        </w:rPr>
        <w:t>בריה</w:t>
      </w:r>
      <w:r w:rsidR="002963F5" w:rsidRPr="00882F11">
        <w:rPr>
          <w:rFonts w:cs="Guttman Drogolin"/>
          <w:rtl/>
          <w:lang w:bidi="he-IL"/>
        </w:rPr>
        <w:t xml:space="preserve"> </w:t>
      </w:r>
      <w:r w:rsidR="002963F5" w:rsidRPr="00882F11">
        <w:rPr>
          <w:rFonts w:cs="Guttman Drogolin" w:hint="cs"/>
          <w:rtl/>
          <w:lang w:bidi="he-IL"/>
        </w:rPr>
        <w:t>ונאבדה</w:t>
      </w:r>
      <w:r w:rsidR="002963F5" w:rsidRPr="00882F11">
        <w:rPr>
          <w:rFonts w:cs="Guttman Drogolin"/>
          <w:rtl/>
          <w:lang w:bidi="he-IL"/>
        </w:rPr>
        <w:t xml:space="preserve">, </w:t>
      </w:r>
      <w:r w:rsidR="002963F5" w:rsidRPr="00882F11">
        <w:rPr>
          <w:rFonts w:cs="Guttman Drogolin" w:hint="cs"/>
          <w:rtl/>
          <w:lang w:bidi="he-IL"/>
        </w:rPr>
        <w:t>אסור</w:t>
      </w:r>
      <w:r w:rsidR="002963F5" w:rsidRPr="00882F11">
        <w:rPr>
          <w:rFonts w:cs="Guttman Drogolin"/>
          <w:rtl/>
          <w:lang w:bidi="he-IL"/>
        </w:rPr>
        <w:t xml:space="preserve"> </w:t>
      </w:r>
      <w:r w:rsidR="002963F5" w:rsidRPr="00882F11">
        <w:rPr>
          <w:rFonts w:cs="Guttman Drogolin" w:hint="cs"/>
          <w:rtl/>
          <w:lang w:bidi="he-IL"/>
        </w:rPr>
        <w:t>הכל". ומשמע דרק משום שיש לה דין ברי', אבל זה עצמו דהוי דבר גוש בתוך דבר לח אינו טעם לומר שאינו בטל. וע"ש בחזו"א סי' ל' ס"ק ג' מש"כ לדחות. וצ"ע.</w:t>
      </w:r>
      <w:r w:rsidR="0096484A" w:rsidRPr="00882F11">
        <w:rPr>
          <w:rFonts w:cs="Guttman Drogolin" w:hint="cs"/>
          <w:rtl/>
          <w:lang w:bidi="he-IL"/>
        </w:rPr>
        <w:t xml:space="preserve"> </w:t>
      </w:r>
      <w:r w:rsidR="002963F5" w:rsidRPr="00882F11">
        <w:rPr>
          <w:rFonts w:cs="Guttman Drogolin" w:hint="cs"/>
          <w:rtl/>
          <w:lang w:bidi="he-IL"/>
        </w:rPr>
        <w:t>ומחלוקת</w:t>
      </w:r>
      <w:r w:rsidR="002963F5" w:rsidRPr="00882F11">
        <w:rPr>
          <w:rFonts w:cs="Guttman Drogolin"/>
          <w:rtl/>
          <w:lang w:bidi="he-IL"/>
        </w:rPr>
        <w:t xml:space="preserve"> </w:t>
      </w:r>
      <w:r w:rsidR="002963F5" w:rsidRPr="00882F11">
        <w:rPr>
          <w:rFonts w:cs="Guttman Drogolin" w:hint="cs"/>
          <w:rtl/>
          <w:lang w:bidi="he-IL"/>
        </w:rPr>
        <w:t>זו לכאורה שייכת</w:t>
      </w:r>
      <w:r w:rsidR="002963F5" w:rsidRPr="00882F11">
        <w:rPr>
          <w:rFonts w:cs="Guttman Drogolin"/>
          <w:rtl/>
          <w:lang w:bidi="he-IL"/>
        </w:rPr>
        <w:t xml:space="preserve"> </w:t>
      </w:r>
      <w:r w:rsidR="002963F5" w:rsidRPr="00882F11">
        <w:rPr>
          <w:rFonts w:cs="Guttman Drogolin" w:hint="cs"/>
          <w:rtl/>
          <w:lang w:bidi="he-IL"/>
        </w:rPr>
        <w:t>גם למה</w:t>
      </w:r>
      <w:r w:rsidR="002963F5" w:rsidRPr="00882F11">
        <w:rPr>
          <w:rFonts w:cs="Guttman Drogolin"/>
          <w:rtl/>
          <w:lang w:bidi="he-IL"/>
        </w:rPr>
        <w:t xml:space="preserve"> </w:t>
      </w:r>
      <w:r w:rsidR="002963F5" w:rsidRPr="00882F11">
        <w:rPr>
          <w:rFonts w:cs="Guttman Drogolin" w:hint="cs"/>
          <w:rtl/>
          <w:lang w:bidi="he-IL"/>
        </w:rPr>
        <w:t>שביארנו</w:t>
      </w:r>
      <w:r w:rsidR="002963F5" w:rsidRPr="00882F11">
        <w:rPr>
          <w:rFonts w:cs="Guttman Drogolin"/>
          <w:rtl/>
          <w:lang w:bidi="he-IL"/>
        </w:rPr>
        <w:t xml:space="preserve"> </w:t>
      </w:r>
      <w:r w:rsidR="002963F5" w:rsidRPr="00882F11">
        <w:rPr>
          <w:rFonts w:cs="Guttman Drogolin" w:hint="cs"/>
          <w:rtl/>
          <w:lang w:bidi="he-IL"/>
        </w:rPr>
        <w:t>בביטול</w:t>
      </w:r>
      <w:r w:rsidR="002963F5" w:rsidRPr="00882F11">
        <w:rPr>
          <w:rFonts w:cs="Guttman Drogolin"/>
          <w:rtl/>
          <w:lang w:bidi="he-IL"/>
        </w:rPr>
        <w:t xml:space="preserve"> </w:t>
      </w:r>
      <w:r w:rsidR="002963F5" w:rsidRPr="00882F11">
        <w:rPr>
          <w:rFonts w:cs="Guttman Drogolin" w:hint="cs"/>
          <w:rtl/>
          <w:lang w:bidi="he-IL"/>
        </w:rPr>
        <w:t>ברי</w:t>
      </w:r>
      <w:r w:rsidR="002963F5" w:rsidRPr="00882F11">
        <w:rPr>
          <w:rFonts w:cs="Guttman Drogolin"/>
          <w:rtl/>
          <w:lang w:bidi="he-IL"/>
        </w:rPr>
        <w:t>'</w:t>
      </w:r>
      <w:r w:rsidR="002963F5" w:rsidRPr="00882F11">
        <w:rPr>
          <w:rFonts w:cs="Guttman Drogolin" w:hint="cs"/>
          <w:rtl/>
          <w:lang w:bidi="he-IL"/>
        </w:rPr>
        <w:t xml:space="preserve">, שיש כמה דוגמות של ברי' דצ"ע היכי משכחת לה לזה שאין היכר בין החתיכה של היתר לחתיכה של איסור ולכן רק משום שהוא ברי' אינו בטל. ואם כסברת הש"ך ניחא, דבכגון נמלה המעורב בכגון הרבה </w:t>
      </w:r>
      <w:r w:rsidR="002963F5" w:rsidRPr="00882F11">
        <w:rPr>
          <w:rFonts w:cs="Guttman Drogolin" w:hint="cs"/>
          <w:rtl/>
          <w:lang w:bidi="he-IL"/>
        </w:rPr>
        <w:lastRenderedPageBreak/>
        <w:t>פרג, שאינו ניכר אלא ע"י טירחא מרובה, י"ל שאינו ניכר יהי' צריך להיות בטל אלמלא הדין ברי'.  ולעיל</w:t>
      </w:r>
      <w:r w:rsidR="002963F5" w:rsidRPr="00882F11">
        <w:rPr>
          <w:rFonts w:cs="Guttman Drogolin"/>
          <w:rtl/>
          <w:lang w:bidi="he-IL"/>
        </w:rPr>
        <w:t xml:space="preserve"> </w:t>
      </w:r>
      <w:r w:rsidR="002963F5" w:rsidRPr="00882F11">
        <w:rPr>
          <w:rFonts w:cs="Guttman Drogolin" w:hint="cs"/>
          <w:rtl/>
          <w:lang w:bidi="he-IL"/>
        </w:rPr>
        <w:t>שיעור</w:t>
      </w:r>
      <w:r w:rsidR="002963F5" w:rsidRPr="00882F11">
        <w:rPr>
          <w:rFonts w:cs="Guttman Drogolin"/>
          <w:rtl/>
          <w:lang w:bidi="he-IL"/>
        </w:rPr>
        <w:t xml:space="preserve"> </w:t>
      </w:r>
      <w:r w:rsidR="002963F5" w:rsidRPr="00882F11">
        <w:rPr>
          <w:rFonts w:cs="Guttman Drogolin" w:hint="cs"/>
          <w:rtl/>
          <w:lang w:bidi="he-IL"/>
        </w:rPr>
        <w:t>י</w:t>
      </w:r>
      <w:r w:rsidR="002963F5" w:rsidRPr="00882F11">
        <w:rPr>
          <w:rFonts w:cs="Guttman Drogolin"/>
          <w:rtl/>
          <w:lang w:bidi="he-IL"/>
        </w:rPr>
        <w:t>"</w:t>
      </w:r>
      <w:r w:rsidR="002963F5" w:rsidRPr="00882F11">
        <w:rPr>
          <w:rFonts w:cs="Guttman Drogolin" w:hint="cs"/>
          <w:rtl/>
          <w:lang w:bidi="he-IL"/>
        </w:rPr>
        <w:t>ד</w:t>
      </w:r>
      <w:r w:rsidR="002963F5" w:rsidRPr="00882F11">
        <w:rPr>
          <w:rFonts w:cs="Guttman Drogolin"/>
          <w:rtl/>
          <w:lang w:bidi="he-IL"/>
        </w:rPr>
        <w:t xml:space="preserve"> </w:t>
      </w:r>
      <w:r w:rsidR="002963F5" w:rsidRPr="00882F11">
        <w:rPr>
          <w:rFonts w:cs="Guttman Drogolin" w:hint="cs"/>
          <w:rtl/>
          <w:lang w:bidi="he-IL"/>
        </w:rPr>
        <w:t>ושיעור</w:t>
      </w:r>
      <w:r w:rsidR="002963F5" w:rsidRPr="00882F11">
        <w:rPr>
          <w:rFonts w:cs="Guttman Drogolin"/>
          <w:rtl/>
          <w:lang w:bidi="he-IL"/>
        </w:rPr>
        <w:t xml:space="preserve"> </w:t>
      </w:r>
      <w:r w:rsidR="002963F5" w:rsidRPr="00882F11">
        <w:rPr>
          <w:rFonts w:cs="Guttman Drogolin" w:hint="cs"/>
          <w:rtl/>
          <w:lang w:bidi="he-IL"/>
        </w:rPr>
        <w:t>ל</w:t>
      </w:r>
      <w:r w:rsidR="002963F5" w:rsidRPr="00882F11">
        <w:rPr>
          <w:rFonts w:cs="Guttman Drogolin"/>
          <w:rtl/>
          <w:lang w:bidi="he-IL"/>
        </w:rPr>
        <w:t>"</w:t>
      </w:r>
      <w:r w:rsidR="002963F5" w:rsidRPr="00882F11">
        <w:rPr>
          <w:rFonts w:cs="Guttman Drogolin" w:hint="cs"/>
          <w:rtl/>
          <w:lang w:bidi="he-IL"/>
        </w:rPr>
        <w:t>ז הבאנו שבס' בדיקה המזון כהלכתו עצ' 135 מובא בשם הגריש"א והגרשז"א להקל כערוה"ש שביאר בכגון הא דברי' שאפשר להקל משום זה לבד שאינו ניכר בלי טירחא יתירה אם איין לחתיכה דין ברי'</w:t>
      </w:r>
      <w:r w:rsidR="002963F5" w:rsidRPr="00882F11">
        <w:rPr>
          <w:rFonts w:cs="Guttman Drogolin"/>
          <w:rtl/>
          <w:lang w:bidi="he-IL"/>
        </w:rPr>
        <w:t xml:space="preserve">. </w:t>
      </w:r>
      <w:r w:rsidR="0096484A" w:rsidRPr="00882F11">
        <w:rPr>
          <w:rFonts w:cs="Guttman Drogolin" w:hint="cs"/>
          <w:rtl/>
          <w:lang w:bidi="he-IL"/>
        </w:rPr>
        <w:t>ו</w:t>
      </w:r>
      <w:r w:rsidR="002963F5" w:rsidRPr="00882F11">
        <w:rPr>
          <w:rFonts w:cs="Guttman Drogolin" w:hint="cs"/>
          <w:rtl/>
          <w:lang w:bidi="he-IL"/>
        </w:rPr>
        <w:t xml:space="preserve">לענין הא דכעדשה הוי ברי', </w:t>
      </w:r>
      <w:r w:rsidR="0096484A" w:rsidRPr="00882F11">
        <w:rPr>
          <w:rFonts w:cs="Guttman Drogolin" w:hint="cs"/>
          <w:rtl/>
          <w:lang w:bidi="he-IL"/>
        </w:rPr>
        <w:t>ע"ש בנקוה"כ שביאר שאין זה הדין ברי' דעלמא אלא הוא כמו גזירה שמא יפ</w:t>
      </w:r>
      <w:r w:rsidR="002963F5" w:rsidRPr="00882F11">
        <w:rPr>
          <w:rFonts w:cs="Guttman Drogolin" w:hint="cs"/>
          <w:rtl/>
          <w:lang w:bidi="he-IL"/>
        </w:rPr>
        <w:t>ג</w:t>
      </w:r>
      <w:r w:rsidR="0096484A" w:rsidRPr="00882F11">
        <w:rPr>
          <w:rFonts w:cs="Guttman Drogolin" w:hint="cs"/>
          <w:rtl/>
          <w:lang w:bidi="he-IL"/>
        </w:rPr>
        <w:t>ע בו</w:t>
      </w:r>
      <w:r w:rsidR="002963F5" w:rsidRPr="00882F11">
        <w:rPr>
          <w:rFonts w:cs="Guttman Drogolin" w:hint="cs"/>
          <w:rtl/>
          <w:lang w:bidi="he-IL"/>
        </w:rPr>
        <w:t xml:space="preserve"> בפני עצמו</w:t>
      </w:r>
      <w:r w:rsidRPr="00882F11">
        <w:rPr>
          <w:rFonts w:cs="Guttman Drogolin"/>
          <w:rtl/>
          <w:lang w:bidi="he-IL"/>
        </w:rPr>
        <w:t xml:space="preserve">. </w:t>
      </w:r>
    </w:p>
    <w:p w:rsidR="004F142A" w:rsidRPr="00882F11" w:rsidRDefault="004F142A" w:rsidP="004F142A">
      <w:pPr>
        <w:pStyle w:val="Heading1"/>
        <w:bidi/>
        <w:spacing w:before="0" w:line="360" w:lineRule="auto"/>
        <w:jc w:val="center"/>
        <w:rPr>
          <w:rFonts w:cs="Guttman Drogolin"/>
          <w:color w:val="auto"/>
          <w:sz w:val="24"/>
          <w:szCs w:val="24"/>
          <w:u w:val="single"/>
          <w:rtl/>
          <w:lang w:bidi="he-IL"/>
        </w:rPr>
      </w:pPr>
      <w:bookmarkStart w:id="381" w:name="_Toc496175628"/>
      <w:r w:rsidRPr="00882F11">
        <w:rPr>
          <w:rFonts w:cs="Guttman Drogolin" w:hint="cs"/>
          <w:color w:val="auto"/>
          <w:sz w:val="24"/>
          <w:szCs w:val="24"/>
          <w:u w:val="single"/>
          <w:rtl/>
          <w:lang w:bidi="he-IL"/>
        </w:rPr>
        <w:t>טעם של דברים המאוסים בשאר משקין</w:t>
      </w:r>
      <w:bookmarkEnd w:id="381"/>
    </w:p>
    <w:p w:rsidR="004F142A" w:rsidRPr="00882F11" w:rsidRDefault="00F45F5A" w:rsidP="00B25B71">
      <w:pPr>
        <w:tabs>
          <w:tab w:val="right" w:pos="7497"/>
        </w:tabs>
        <w:bidi/>
        <w:jc w:val="both"/>
        <w:rPr>
          <w:rFonts w:cs="Guttman Drogolin"/>
          <w:rtl/>
          <w:lang w:bidi="he-IL"/>
        </w:rPr>
      </w:pPr>
      <w:r>
        <w:rPr>
          <w:rFonts w:cs="Guttman Drogolin"/>
          <w:rtl/>
          <w:lang w:bidi="he-IL"/>
        </w:rPr>
        <w:fldChar w:fldCharType="begin"/>
      </w:r>
      <w:r>
        <w:instrText xml:space="preserve"> XE "</w:instrText>
      </w:r>
      <w:r w:rsidRPr="00981298">
        <w:rPr>
          <w:rFonts w:hint="cs"/>
          <w:rtl/>
          <w:lang w:bidi="he-IL"/>
        </w:rPr>
        <w:instrText>נותן טעם לפגם</w:instrText>
      </w:r>
      <w:r w:rsidRPr="00981298">
        <w:rPr>
          <w:rtl/>
        </w:rPr>
        <w:instrText>:</w:instrText>
      </w:r>
      <w:r w:rsidRPr="00981298">
        <w:rPr>
          <w:rFonts w:hint="cs"/>
          <w:rtl/>
          <w:lang w:bidi="he-IL"/>
        </w:rPr>
        <w:instrText>דברים המאוסים בשאר משקים</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6A1988">
        <w:rPr>
          <w:rFonts w:hint="cs"/>
          <w:rtl/>
          <w:lang w:bidi="he-IL"/>
        </w:rPr>
        <w:instrText>דברים המאוסים</w:instrText>
      </w:r>
      <w:r>
        <w:instrText>" \t "</w:instrText>
      </w:r>
      <w:r w:rsidRPr="00F02322">
        <w:rPr>
          <w:rFonts w:cs="Times New Roman" w:hint="cs"/>
          <w:i/>
          <w:rtl/>
          <w:lang w:bidi="he-IL"/>
        </w:rPr>
        <w:instrText>ע</w:instrText>
      </w:r>
      <w:r w:rsidRPr="00F02322">
        <w:rPr>
          <w:rFonts w:cstheme="minorHAnsi" w:hint="cs"/>
          <w:i/>
          <w:rtl/>
          <w:lang w:bidi="he-IL"/>
        </w:rPr>
        <w:instrText xml:space="preserve">' </w:instrText>
      </w:r>
      <w:r w:rsidRPr="00F02322">
        <w:rPr>
          <w:rFonts w:cs="Times New Roman" w:hint="cs"/>
          <w:i/>
          <w:rtl/>
          <w:lang w:bidi="he-IL"/>
        </w:rPr>
        <w:instrText>נותן טעם לפגם</w:instrText>
      </w:r>
      <w:r>
        <w:instrText xml:space="preserve">" </w:instrText>
      </w:r>
      <w:r>
        <w:rPr>
          <w:rFonts w:cs="Guttman Drogolin"/>
          <w:rtl/>
          <w:lang w:bidi="he-IL"/>
        </w:rPr>
        <w:fldChar w:fldCharType="end"/>
      </w:r>
      <w:r w:rsidR="00B25B71" w:rsidRPr="00882F11">
        <w:rPr>
          <w:rFonts w:cs="Guttman Drogolin" w:hint="cs"/>
          <w:rtl/>
          <w:lang w:bidi="he-IL"/>
        </w:rPr>
        <w:t xml:space="preserve">לענין הא דמבואר בגמ' להסתפק בשכר או חלא אם נותן טעם לשבח, והכי קיי"ל להחמיר בזה, יש להסתפק אם דוקא באלו החמירו או"ד גם בשאר משקין. </w:t>
      </w:r>
      <w:r w:rsidR="001A5279" w:rsidRPr="00882F11">
        <w:rPr>
          <w:rFonts w:cs="Guttman Drogolin" w:hint="cs"/>
          <w:rtl/>
          <w:lang w:bidi="he-IL"/>
        </w:rPr>
        <w:t>ועל פניו רק באלו החמירו, ומן הטעמים המוזכרים ברש"י ותוס', דאל"כ למה מנו את אלו. אמנם בשו"ת הרא"ש מבואר להחמיר גם בשומן. וכן ברמב"ם פט"ו הלכה ל"א כתב "עכבר</w:t>
      </w:r>
      <w:r w:rsidR="001A5279" w:rsidRPr="00882F11">
        <w:rPr>
          <w:rFonts w:cs="Guttman Drogolin"/>
          <w:rtl/>
          <w:lang w:bidi="he-IL"/>
        </w:rPr>
        <w:t xml:space="preserve"> </w:t>
      </w:r>
      <w:r w:rsidR="001A5279" w:rsidRPr="00882F11">
        <w:rPr>
          <w:rFonts w:cs="Guttman Drogolin" w:hint="cs"/>
          <w:rtl/>
          <w:lang w:bidi="he-IL"/>
        </w:rPr>
        <w:t>שנפל</w:t>
      </w:r>
      <w:r w:rsidR="001A5279" w:rsidRPr="00882F11">
        <w:rPr>
          <w:rFonts w:cs="Guttman Drogolin"/>
          <w:rtl/>
          <w:lang w:bidi="he-IL"/>
        </w:rPr>
        <w:t xml:space="preserve"> </w:t>
      </w:r>
      <w:r w:rsidR="001A5279" w:rsidRPr="00882F11">
        <w:rPr>
          <w:rFonts w:cs="Guttman Drogolin" w:hint="cs"/>
          <w:rtl/>
          <w:lang w:bidi="he-IL"/>
        </w:rPr>
        <w:t>לשכר</w:t>
      </w:r>
      <w:r w:rsidR="001A5279" w:rsidRPr="00882F11">
        <w:rPr>
          <w:rFonts w:cs="Guttman Drogolin"/>
          <w:rtl/>
          <w:lang w:bidi="he-IL"/>
        </w:rPr>
        <w:t xml:space="preserve"> </w:t>
      </w:r>
      <w:r w:rsidR="001A5279" w:rsidRPr="00882F11">
        <w:rPr>
          <w:rFonts w:cs="Guttman Drogolin" w:hint="cs"/>
          <w:rtl/>
          <w:lang w:bidi="he-IL"/>
        </w:rPr>
        <w:t>או</w:t>
      </w:r>
      <w:r w:rsidR="001A5279" w:rsidRPr="00882F11">
        <w:rPr>
          <w:rFonts w:cs="Guttman Drogolin"/>
          <w:rtl/>
          <w:lang w:bidi="he-IL"/>
        </w:rPr>
        <w:t xml:space="preserve"> </w:t>
      </w:r>
      <w:r w:rsidR="001A5279" w:rsidRPr="00882F11">
        <w:rPr>
          <w:rFonts w:cs="Guttman Drogolin" w:hint="cs"/>
          <w:rtl/>
          <w:lang w:bidi="he-IL"/>
        </w:rPr>
        <w:t>לחומץ</w:t>
      </w:r>
      <w:r w:rsidR="001A5279" w:rsidRPr="00882F11">
        <w:rPr>
          <w:rFonts w:cs="Guttman Drogolin"/>
          <w:rtl/>
          <w:lang w:bidi="he-IL"/>
        </w:rPr>
        <w:t xml:space="preserve"> </w:t>
      </w:r>
      <w:r w:rsidR="001A5279" w:rsidRPr="00882F11">
        <w:rPr>
          <w:rFonts w:cs="Guttman Drogolin" w:hint="cs"/>
          <w:rtl/>
          <w:lang w:bidi="he-IL"/>
        </w:rPr>
        <w:t>משערין</w:t>
      </w:r>
      <w:r w:rsidR="001A5279" w:rsidRPr="00882F11">
        <w:rPr>
          <w:rFonts w:cs="Guttman Drogolin"/>
          <w:rtl/>
          <w:lang w:bidi="he-IL"/>
        </w:rPr>
        <w:t xml:space="preserve"> </w:t>
      </w:r>
      <w:r w:rsidR="001A5279" w:rsidRPr="00882F11">
        <w:rPr>
          <w:rFonts w:cs="Guttman Drogolin" w:hint="cs"/>
          <w:rtl/>
          <w:lang w:bidi="he-IL"/>
        </w:rPr>
        <w:t>אותו</w:t>
      </w:r>
      <w:r w:rsidR="001A5279" w:rsidRPr="00882F11">
        <w:rPr>
          <w:rFonts w:cs="Guttman Drogolin"/>
          <w:rtl/>
          <w:lang w:bidi="he-IL"/>
        </w:rPr>
        <w:t xml:space="preserve"> </w:t>
      </w:r>
      <w:r w:rsidR="001A5279" w:rsidRPr="00882F11">
        <w:rPr>
          <w:rFonts w:cs="Guttman Drogolin" w:hint="cs"/>
          <w:rtl/>
          <w:lang w:bidi="he-IL"/>
        </w:rPr>
        <w:t>בששים</w:t>
      </w:r>
      <w:r w:rsidR="001A5279" w:rsidRPr="00882F11">
        <w:rPr>
          <w:rFonts w:cs="Guttman Drogolin"/>
          <w:rtl/>
          <w:lang w:bidi="he-IL"/>
        </w:rPr>
        <w:t xml:space="preserve">, </w:t>
      </w:r>
      <w:r w:rsidR="001A5279" w:rsidRPr="00882F11">
        <w:rPr>
          <w:rFonts w:cs="Guttman Drogolin" w:hint="cs"/>
          <w:rtl/>
          <w:lang w:bidi="he-IL"/>
        </w:rPr>
        <w:t>שאנו</w:t>
      </w:r>
      <w:r w:rsidR="001A5279" w:rsidRPr="00882F11">
        <w:rPr>
          <w:rFonts w:cs="Guttman Drogolin"/>
          <w:rtl/>
          <w:lang w:bidi="he-IL"/>
        </w:rPr>
        <w:t xml:space="preserve"> </w:t>
      </w:r>
      <w:r w:rsidR="001A5279" w:rsidRPr="00882F11">
        <w:rPr>
          <w:rFonts w:cs="Guttman Drogolin" w:hint="cs"/>
          <w:rtl/>
          <w:lang w:bidi="he-IL"/>
        </w:rPr>
        <w:t>חוששין</w:t>
      </w:r>
      <w:r w:rsidR="001A5279" w:rsidRPr="00882F11">
        <w:rPr>
          <w:rFonts w:cs="Guttman Drogolin"/>
          <w:rtl/>
          <w:lang w:bidi="he-IL"/>
        </w:rPr>
        <w:t xml:space="preserve"> </w:t>
      </w:r>
      <w:r w:rsidR="001A5279" w:rsidRPr="00882F11">
        <w:rPr>
          <w:rFonts w:cs="Guttman Drogolin" w:hint="cs"/>
          <w:rtl/>
          <w:lang w:bidi="he-IL"/>
        </w:rPr>
        <w:t>שמא</w:t>
      </w:r>
      <w:r w:rsidR="001A5279" w:rsidRPr="00882F11">
        <w:rPr>
          <w:rFonts w:cs="Guttman Drogolin"/>
          <w:rtl/>
          <w:lang w:bidi="he-IL"/>
        </w:rPr>
        <w:t xml:space="preserve"> </w:t>
      </w:r>
      <w:r w:rsidR="001A5279" w:rsidRPr="00882F11">
        <w:rPr>
          <w:rFonts w:cs="Guttman Drogolin" w:hint="cs"/>
          <w:rtl/>
          <w:lang w:bidi="he-IL"/>
        </w:rPr>
        <w:t>טעמו</w:t>
      </w:r>
      <w:r w:rsidR="001A5279" w:rsidRPr="00882F11">
        <w:rPr>
          <w:rFonts w:cs="Guttman Drogolin"/>
          <w:rtl/>
          <w:lang w:bidi="he-IL"/>
        </w:rPr>
        <w:t xml:space="preserve"> </w:t>
      </w:r>
      <w:r w:rsidR="001A5279" w:rsidRPr="00882F11">
        <w:rPr>
          <w:rFonts w:cs="Guttman Drogolin" w:hint="cs"/>
          <w:rtl/>
          <w:lang w:bidi="he-IL"/>
        </w:rPr>
        <w:t>בשכר</w:t>
      </w:r>
      <w:r w:rsidR="001A5279" w:rsidRPr="00882F11">
        <w:rPr>
          <w:rFonts w:cs="Guttman Drogolin"/>
          <w:rtl/>
          <w:lang w:bidi="he-IL"/>
        </w:rPr>
        <w:t xml:space="preserve"> </w:t>
      </w:r>
      <w:r w:rsidR="001A5279" w:rsidRPr="00882F11">
        <w:rPr>
          <w:rFonts w:cs="Guttman Drogolin" w:hint="cs"/>
          <w:rtl/>
          <w:lang w:bidi="he-IL"/>
        </w:rPr>
        <w:t>ובחומץ</w:t>
      </w:r>
      <w:r w:rsidR="001A5279" w:rsidRPr="00882F11">
        <w:rPr>
          <w:rFonts w:cs="Guttman Drogolin"/>
          <w:rtl/>
          <w:lang w:bidi="he-IL"/>
        </w:rPr>
        <w:t xml:space="preserve"> </w:t>
      </w:r>
      <w:r w:rsidR="001A5279" w:rsidRPr="00882F11">
        <w:rPr>
          <w:rFonts w:cs="Guttman Drogolin" w:hint="cs"/>
          <w:rtl/>
          <w:lang w:bidi="he-IL"/>
        </w:rPr>
        <w:t>משביח</w:t>
      </w:r>
      <w:r w:rsidR="001A5279" w:rsidRPr="00882F11">
        <w:rPr>
          <w:rFonts w:cs="Guttman Drogolin"/>
          <w:rtl/>
          <w:lang w:bidi="he-IL"/>
        </w:rPr>
        <w:t xml:space="preserve">, </w:t>
      </w:r>
      <w:r w:rsidR="001A5279" w:rsidRPr="00882F11">
        <w:rPr>
          <w:rFonts w:cs="Guttman Drogolin" w:hint="cs"/>
          <w:rtl/>
          <w:lang w:bidi="he-IL"/>
        </w:rPr>
        <w:t>אבל</w:t>
      </w:r>
      <w:r w:rsidR="001A5279" w:rsidRPr="00882F11">
        <w:rPr>
          <w:rFonts w:cs="Guttman Drogolin"/>
          <w:rtl/>
          <w:lang w:bidi="he-IL"/>
        </w:rPr>
        <w:t xml:space="preserve"> </w:t>
      </w:r>
      <w:r w:rsidR="001A5279" w:rsidRPr="00882F11">
        <w:rPr>
          <w:rFonts w:cs="Guttman Drogolin" w:hint="cs"/>
          <w:rtl/>
          <w:lang w:bidi="he-IL"/>
        </w:rPr>
        <w:t>אם</w:t>
      </w:r>
      <w:r w:rsidR="001A5279" w:rsidRPr="00882F11">
        <w:rPr>
          <w:rFonts w:cs="Guttman Drogolin"/>
          <w:rtl/>
          <w:lang w:bidi="he-IL"/>
        </w:rPr>
        <w:t xml:space="preserve"> </w:t>
      </w:r>
      <w:r w:rsidR="001A5279" w:rsidRPr="00882F11">
        <w:rPr>
          <w:rFonts w:cs="Guttman Drogolin" w:hint="cs"/>
          <w:rtl/>
          <w:lang w:bidi="he-IL"/>
        </w:rPr>
        <w:t>נפל</w:t>
      </w:r>
      <w:r w:rsidR="001A5279" w:rsidRPr="00882F11">
        <w:rPr>
          <w:rFonts w:cs="Guttman Drogolin"/>
          <w:rtl/>
          <w:lang w:bidi="he-IL"/>
        </w:rPr>
        <w:t xml:space="preserve"> </w:t>
      </w:r>
      <w:r w:rsidR="001A5279" w:rsidRPr="00882F11">
        <w:rPr>
          <w:rFonts w:cs="Guttman Drogolin" w:hint="cs"/>
          <w:rtl/>
          <w:lang w:bidi="he-IL"/>
        </w:rPr>
        <w:t>ליין</w:t>
      </w:r>
      <w:r w:rsidR="001A5279" w:rsidRPr="00882F11">
        <w:rPr>
          <w:rFonts w:cs="Guttman Drogolin"/>
          <w:rtl/>
          <w:lang w:bidi="he-IL"/>
        </w:rPr>
        <w:t xml:space="preserve"> </w:t>
      </w:r>
      <w:r w:rsidR="001A5279" w:rsidRPr="00882F11">
        <w:rPr>
          <w:rFonts w:cs="Guttman Drogolin" w:hint="cs"/>
          <w:rtl/>
          <w:lang w:bidi="he-IL"/>
        </w:rPr>
        <w:t>או</w:t>
      </w:r>
      <w:r w:rsidR="001A5279" w:rsidRPr="00882F11">
        <w:rPr>
          <w:rFonts w:cs="Guttman Drogolin"/>
          <w:rtl/>
          <w:lang w:bidi="he-IL"/>
        </w:rPr>
        <w:t xml:space="preserve"> </w:t>
      </w:r>
      <w:r w:rsidR="001A5279" w:rsidRPr="00882F11">
        <w:rPr>
          <w:rFonts w:cs="Guttman Drogolin" w:hint="cs"/>
          <w:rtl/>
          <w:lang w:bidi="he-IL"/>
        </w:rPr>
        <w:t>לשמן</w:t>
      </w:r>
      <w:r w:rsidR="001A5279" w:rsidRPr="00882F11">
        <w:rPr>
          <w:rFonts w:cs="Guttman Drogolin"/>
          <w:rtl/>
          <w:lang w:bidi="he-IL"/>
        </w:rPr>
        <w:t xml:space="preserve"> </w:t>
      </w:r>
      <w:r w:rsidR="001A5279" w:rsidRPr="00882F11">
        <w:rPr>
          <w:rFonts w:cs="Guttman Drogolin" w:hint="cs"/>
          <w:rtl/>
          <w:lang w:bidi="he-IL"/>
        </w:rPr>
        <w:t>או</w:t>
      </w:r>
      <w:r w:rsidR="001A5279" w:rsidRPr="00882F11">
        <w:rPr>
          <w:rFonts w:cs="Guttman Drogolin"/>
          <w:rtl/>
          <w:lang w:bidi="he-IL"/>
        </w:rPr>
        <w:t xml:space="preserve"> </w:t>
      </w:r>
      <w:r w:rsidR="001A5279" w:rsidRPr="00882F11">
        <w:rPr>
          <w:rFonts w:cs="Guttman Drogolin" w:hint="cs"/>
          <w:rtl/>
          <w:lang w:bidi="he-IL"/>
        </w:rPr>
        <w:t>לדבש</w:t>
      </w:r>
      <w:r w:rsidR="001A5279" w:rsidRPr="00882F11">
        <w:rPr>
          <w:rFonts w:cs="Guttman Drogolin"/>
          <w:rtl/>
          <w:lang w:bidi="he-IL"/>
        </w:rPr>
        <w:t xml:space="preserve"> </w:t>
      </w:r>
      <w:r w:rsidR="001A5279" w:rsidRPr="00882F11">
        <w:rPr>
          <w:rFonts w:cs="Guttman Drogolin" w:hint="cs"/>
          <w:rtl/>
          <w:lang w:bidi="he-IL"/>
        </w:rPr>
        <w:t>מותר</w:t>
      </w:r>
      <w:r w:rsidR="001A5279" w:rsidRPr="00882F11">
        <w:rPr>
          <w:rFonts w:cs="Guttman Drogolin"/>
          <w:rtl/>
          <w:lang w:bidi="he-IL"/>
        </w:rPr>
        <w:t xml:space="preserve"> </w:t>
      </w:r>
      <w:r w:rsidR="001A5279" w:rsidRPr="00882F11">
        <w:rPr>
          <w:rFonts w:cs="Guttman Drogolin" w:hint="cs"/>
          <w:rtl/>
          <w:lang w:bidi="he-IL"/>
        </w:rPr>
        <w:t>ואפילו</w:t>
      </w:r>
      <w:r w:rsidR="001A5279" w:rsidRPr="00882F11">
        <w:rPr>
          <w:rFonts w:cs="Guttman Drogolin"/>
          <w:rtl/>
          <w:lang w:bidi="he-IL"/>
        </w:rPr>
        <w:t xml:space="preserve"> </w:t>
      </w:r>
      <w:r w:rsidR="001A5279" w:rsidRPr="00882F11">
        <w:rPr>
          <w:rFonts w:cs="Guttman Drogolin" w:hint="cs"/>
          <w:rtl/>
          <w:lang w:bidi="he-IL"/>
        </w:rPr>
        <w:t>נתן</w:t>
      </w:r>
      <w:r w:rsidR="001A5279" w:rsidRPr="00882F11">
        <w:rPr>
          <w:rFonts w:cs="Guttman Drogolin"/>
          <w:rtl/>
          <w:lang w:bidi="he-IL"/>
        </w:rPr>
        <w:t xml:space="preserve"> </w:t>
      </w:r>
      <w:r w:rsidR="001A5279" w:rsidRPr="00882F11">
        <w:rPr>
          <w:rFonts w:cs="Guttman Drogolin" w:hint="cs"/>
          <w:rtl/>
          <w:lang w:bidi="he-IL"/>
        </w:rPr>
        <w:t>טעם</w:t>
      </w:r>
      <w:r w:rsidR="001A5279" w:rsidRPr="00882F11">
        <w:rPr>
          <w:rFonts w:cs="Guttman Drogolin"/>
          <w:rtl/>
          <w:lang w:bidi="he-IL"/>
        </w:rPr>
        <w:t xml:space="preserve"> </w:t>
      </w:r>
      <w:r w:rsidR="001A5279" w:rsidRPr="00882F11">
        <w:rPr>
          <w:rFonts w:cs="Guttman Drogolin" w:hint="cs"/>
          <w:rtl/>
          <w:lang w:bidi="he-IL"/>
        </w:rPr>
        <w:t>מפני</w:t>
      </w:r>
      <w:r w:rsidR="001A5279" w:rsidRPr="00882F11">
        <w:rPr>
          <w:rFonts w:cs="Guttman Drogolin"/>
          <w:rtl/>
          <w:lang w:bidi="he-IL"/>
        </w:rPr>
        <w:t xml:space="preserve"> </w:t>
      </w:r>
      <w:r w:rsidR="001A5279" w:rsidRPr="00882F11">
        <w:rPr>
          <w:rFonts w:cs="Guttman Drogolin" w:hint="cs"/>
          <w:rtl/>
          <w:lang w:bidi="he-IL"/>
        </w:rPr>
        <w:t>שטעמו</w:t>
      </w:r>
      <w:r w:rsidR="001A5279" w:rsidRPr="00882F11">
        <w:rPr>
          <w:rFonts w:cs="Guttman Drogolin"/>
          <w:rtl/>
          <w:lang w:bidi="he-IL"/>
        </w:rPr>
        <w:t xml:space="preserve"> </w:t>
      </w:r>
      <w:r w:rsidR="001A5279" w:rsidRPr="00882F11">
        <w:rPr>
          <w:rFonts w:cs="Guttman Drogolin" w:hint="cs"/>
          <w:rtl/>
          <w:lang w:bidi="he-IL"/>
        </w:rPr>
        <w:t>פוגם</w:t>
      </w:r>
      <w:r w:rsidR="001A5279" w:rsidRPr="00882F11">
        <w:rPr>
          <w:rFonts w:cs="Guttman Drogolin"/>
          <w:rtl/>
          <w:lang w:bidi="he-IL"/>
        </w:rPr>
        <w:t xml:space="preserve">, </w:t>
      </w:r>
      <w:r w:rsidR="001A5279" w:rsidRPr="00882F11">
        <w:rPr>
          <w:rFonts w:cs="Guttman Drogolin" w:hint="cs"/>
          <w:rtl/>
          <w:lang w:bidi="he-IL"/>
        </w:rPr>
        <w:t>שכל</w:t>
      </w:r>
      <w:r w:rsidR="001A5279" w:rsidRPr="00882F11">
        <w:rPr>
          <w:rFonts w:cs="Guttman Drogolin"/>
          <w:rtl/>
          <w:lang w:bidi="he-IL"/>
        </w:rPr>
        <w:t xml:space="preserve"> </w:t>
      </w:r>
      <w:r w:rsidR="001A5279" w:rsidRPr="00882F11">
        <w:rPr>
          <w:rFonts w:cs="Guttman Drogolin" w:hint="cs"/>
          <w:rtl/>
          <w:lang w:bidi="he-IL"/>
        </w:rPr>
        <w:t>אלו</w:t>
      </w:r>
      <w:r w:rsidR="001A5279" w:rsidRPr="00882F11">
        <w:rPr>
          <w:rFonts w:cs="Guttman Drogolin"/>
          <w:rtl/>
          <w:lang w:bidi="he-IL"/>
        </w:rPr>
        <w:t xml:space="preserve"> </w:t>
      </w:r>
      <w:r w:rsidR="001A5279" w:rsidRPr="00882F11">
        <w:rPr>
          <w:rFonts w:cs="Guttman Drogolin" w:hint="cs"/>
          <w:rtl/>
          <w:lang w:bidi="he-IL"/>
        </w:rPr>
        <w:t>צריכין</w:t>
      </w:r>
      <w:r w:rsidR="001A5279" w:rsidRPr="00882F11">
        <w:rPr>
          <w:rFonts w:cs="Guttman Drogolin"/>
          <w:rtl/>
          <w:lang w:bidi="he-IL"/>
        </w:rPr>
        <w:t xml:space="preserve"> </w:t>
      </w:r>
      <w:r w:rsidR="001A5279" w:rsidRPr="00882F11">
        <w:rPr>
          <w:rFonts w:cs="Guttman Drogolin" w:hint="cs"/>
          <w:rtl/>
          <w:lang w:bidi="he-IL"/>
        </w:rPr>
        <w:t>להיותן</w:t>
      </w:r>
      <w:r w:rsidR="001A5279" w:rsidRPr="00882F11">
        <w:rPr>
          <w:rFonts w:cs="Guttman Drogolin"/>
          <w:rtl/>
          <w:lang w:bidi="he-IL"/>
        </w:rPr>
        <w:t xml:space="preserve"> </w:t>
      </w:r>
      <w:r w:rsidR="001A5279" w:rsidRPr="00882F11">
        <w:rPr>
          <w:rFonts w:cs="Guttman Drogolin" w:hint="cs"/>
          <w:rtl/>
          <w:lang w:bidi="he-IL"/>
        </w:rPr>
        <w:t>מבושמים</w:t>
      </w:r>
      <w:r w:rsidR="001A5279" w:rsidRPr="00882F11">
        <w:rPr>
          <w:rFonts w:cs="Guttman Drogolin"/>
          <w:rtl/>
          <w:lang w:bidi="he-IL"/>
        </w:rPr>
        <w:t xml:space="preserve"> </w:t>
      </w:r>
      <w:r w:rsidR="001A5279" w:rsidRPr="00882F11">
        <w:rPr>
          <w:rFonts w:cs="Guttman Drogolin" w:hint="cs"/>
          <w:rtl/>
          <w:lang w:bidi="he-IL"/>
        </w:rPr>
        <w:t>וזה</w:t>
      </w:r>
      <w:r w:rsidR="001A5279" w:rsidRPr="00882F11">
        <w:rPr>
          <w:rFonts w:cs="Guttman Drogolin"/>
          <w:rtl/>
          <w:lang w:bidi="he-IL"/>
        </w:rPr>
        <w:t xml:space="preserve"> </w:t>
      </w:r>
      <w:r w:rsidR="001A5279" w:rsidRPr="00882F11">
        <w:rPr>
          <w:rFonts w:cs="Guttman Drogolin" w:hint="cs"/>
          <w:rtl/>
          <w:lang w:bidi="he-IL"/>
        </w:rPr>
        <w:t>מסריחן</w:t>
      </w:r>
      <w:r w:rsidR="001A5279" w:rsidRPr="00882F11">
        <w:rPr>
          <w:rFonts w:cs="Guttman Drogolin"/>
          <w:rtl/>
          <w:lang w:bidi="he-IL"/>
        </w:rPr>
        <w:t xml:space="preserve"> </w:t>
      </w:r>
      <w:r w:rsidR="001A5279" w:rsidRPr="00882F11">
        <w:rPr>
          <w:rFonts w:cs="Guttman Drogolin" w:hint="cs"/>
          <w:rtl/>
          <w:lang w:bidi="he-IL"/>
        </w:rPr>
        <w:t>ומפסיד</w:t>
      </w:r>
      <w:r w:rsidR="001A5279" w:rsidRPr="00882F11">
        <w:rPr>
          <w:rFonts w:cs="Guttman Drogolin"/>
          <w:rtl/>
          <w:lang w:bidi="he-IL"/>
        </w:rPr>
        <w:t xml:space="preserve"> </w:t>
      </w:r>
      <w:r w:rsidR="001A5279" w:rsidRPr="00882F11">
        <w:rPr>
          <w:rFonts w:cs="Guttman Drogolin" w:hint="cs"/>
          <w:rtl/>
          <w:lang w:bidi="he-IL"/>
        </w:rPr>
        <w:t xml:space="preserve">טעמן" ודקדקו הרש"ל והגר"א שרק יין שמן ודבש שצריכים להיות מבושמים, אבל בשאר משקין יש לאסור. אמנם בר"ן משמע ששיטת הרמב"ם להקל בכל שאר משקין ומדיוק שמן הגמ' הנ"ל. ולכאורה צ"ע בטעם להחמיר בשאר משקין, למה"ת דהוי בהו טעם לשבח. </w:t>
      </w:r>
    </w:p>
    <w:p w:rsidR="00B82380" w:rsidRPr="00882F11" w:rsidRDefault="00B82380" w:rsidP="00B82380">
      <w:pPr>
        <w:tabs>
          <w:tab w:val="right" w:pos="7497"/>
        </w:tabs>
        <w:bidi/>
        <w:jc w:val="both"/>
        <w:rPr>
          <w:rFonts w:cs="Guttman Drogolin"/>
          <w:rtl/>
          <w:lang w:bidi="he-IL"/>
        </w:rPr>
      </w:pPr>
      <w:r w:rsidRPr="00882F11">
        <w:rPr>
          <w:rFonts w:cs="Guttman Drogolin" w:hint="cs"/>
          <w:rtl/>
          <w:lang w:bidi="he-IL"/>
        </w:rPr>
        <w:t>ולהלכה כתב השו"ע "אם</w:t>
      </w:r>
      <w:r w:rsidRPr="00882F11">
        <w:rPr>
          <w:rFonts w:cs="Guttman Drogolin"/>
          <w:rtl/>
          <w:lang w:bidi="he-IL"/>
        </w:rPr>
        <w:t xml:space="preserve"> </w:t>
      </w:r>
      <w:r w:rsidRPr="00882F11">
        <w:rPr>
          <w:rFonts w:cs="Guttman Drogolin" w:hint="cs"/>
          <w:rtl/>
          <w:lang w:bidi="he-IL"/>
        </w:rPr>
        <w:t>נפל</w:t>
      </w:r>
      <w:r w:rsidRPr="00882F11">
        <w:rPr>
          <w:rFonts w:cs="Guttman Drogolin"/>
          <w:rtl/>
          <w:lang w:bidi="he-IL"/>
        </w:rPr>
        <w:t xml:space="preserve"> </w:t>
      </w:r>
      <w:r w:rsidRPr="00882F11">
        <w:rPr>
          <w:rFonts w:cs="Guttman Drogolin" w:hint="cs"/>
          <w:rtl/>
          <w:lang w:bidi="he-IL"/>
        </w:rPr>
        <w:t>ליין</w:t>
      </w:r>
      <w:r w:rsidRPr="00882F11">
        <w:rPr>
          <w:rFonts w:cs="Guttman Drogolin"/>
          <w:rtl/>
          <w:lang w:bidi="he-IL"/>
        </w:rPr>
        <w:t xml:space="preserve"> </w:t>
      </w:r>
      <w:r w:rsidRPr="00882F11">
        <w:rPr>
          <w:rFonts w:cs="Guttman Drogolin" w:hint="cs"/>
          <w:rtl/>
          <w:lang w:bidi="he-IL"/>
        </w:rPr>
        <w:t>ושמן</w:t>
      </w:r>
      <w:r w:rsidRPr="00882F11">
        <w:rPr>
          <w:rFonts w:cs="Guttman Drogolin"/>
          <w:rtl/>
          <w:lang w:bidi="he-IL"/>
        </w:rPr>
        <w:t xml:space="preserve"> </w:t>
      </w:r>
      <w:r w:rsidRPr="00882F11">
        <w:rPr>
          <w:rFonts w:cs="Guttman Drogolin" w:hint="cs"/>
          <w:rtl/>
          <w:lang w:bidi="he-IL"/>
        </w:rPr>
        <w:t>או</w:t>
      </w:r>
      <w:r w:rsidRPr="00882F11">
        <w:rPr>
          <w:rFonts w:cs="Guttman Drogolin"/>
          <w:rtl/>
          <w:lang w:bidi="he-IL"/>
        </w:rPr>
        <w:t xml:space="preserve"> </w:t>
      </w:r>
      <w:r w:rsidRPr="00882F11">
        <w:rPr>
          <w:rFonts w:cs="Guttman Drogolin" w:hint="cs"/>
          <w:rtl/>
          <w:lang w:bidi="he-IL"/>
        </w:rPr>
        <w:t>לשאר</w:t>
      </w:r>
      <w:r w:rsidRPr="00882F11">
        <w:rPr>
          <w:rFonts w:cs="Guttman Drogolin"/>
          <w:rtl/>
          <w:lang w:bidi="he-IL"/>
        </w:rPr>
        <w:t xml:space="preserve"> </w:t>
      </w:r>
      <w:r w:rsidRPr="00882F11">
        <w:rPr>
          <w:rFonts w:cs="Guttman Drogolin" w:hint="cs"/>
          <w:rtl/>
          <w:lang w:bidi="he-IL"/>
        </w:rPr>
        <w:t>משקין</w:t>
      </w:r>
      <w:r w:rsidRPr="00882F11">
        <w:rPr>
          <w:rFonts w:cs="Guttman Drogolin"/>
          <w:rtl/>
          <w:lang w:bidi="he-IL"/>
        </w:rPr>
        <w:t xml:space="preserve">, </w:t>
      </w:r>
      <w:r w:rsidRPr="00882F11">
        <w:rPr>
          <w:rFonts w:cs="Guttman Drogolin" w:hint="cs"/>
          <w:rtl/>
          <w:lang w:bidi="he-IL"/>
        </w:rPr>
        <w:t>פוגם</w:t>
      </w:r>
      <w:r w:rsidRPr="00882F11">
        <w:rPr>
          <w:rFonts w:cs="Guttman Drogolin"/>
          <w:rtl/>
          <w:lang w:bidi="he-IL"/>
        </w:rPr>
        <w:t xml:space="preserve"> </w:t>
      </w:r>
      <w:r w:rsidRPr="00882F11">
        <w:rPr>
          <w:rFonts w:cs="Guttman Drogolin" w:hint="cs"/>
          <w:rtl/>
          <w:lang w:bidi="he-IL"/>
        </w:rPr>
        <w:t>בודאי</w:t>
      </w:r>
      <w:r w:rsidRPr="00882F11">
        <w:rPr>
          <w:rFonts w:cs="Guttman Drogolin"/>
          <w:rtl/>
          <w:lang w:bidi="he-IL"/>
        </w:rPr>
        <w:t xml:space="preserve"> </w:t>
      </w:r>
      <w:r w:rsidRPr="00882F11">
        <w:rPr>
          <w:rFonts w:cs="Guttman Drogolin" w:hint="cs"/>
          <w:rtl/>
          <w:lang w:bidi="he-IL"/>
        </w:rPr>
        <w:t>ואין</w:t>
      </w:r>
      <w:r w:rsidRPr="00882F11">
        <w:rPr>
          <w:rFonts w:cs="Guttman Drogolin"/>
          <w:rtl/>
          <w:lang w:bidi="he-IL"/>
        </w:rPr>
        <w:t xml:space="preserve"> </w:t>
      </w:r>
      <w:r w:rsidRPr="00882F11">
        <w:rPr>
          <w:rFonts w:cs="Guttman Drogolin" w:hint="cs"/>
          <w:rtl/>
          <w:lang w:bidi="he-IL"/>
        </w:rPr>
        <w:t>צריך</w:t>
      </w:r>
      <w:r w:rsidRPr="00882F11">
        <w:rPr>
          <w:rFonts w:cs="Guttman Drogolin"/>
          <w:rtl/>
          <w:lang w:bidi="he-IL"/>
        </w:rPr>
        <w:t xml:space="preserve"> </w:t>
      </w:r>
      <w:r w:rsidRPr="00882F11">
        <w:rPr>
          <w:rFonts w:cs="Guttman Drogolin" w:hint="cs"/>
          <w:rtl/>
          <w:lang w:bidi="he-IL"/>
        </w:rPr>
        <w:t>ס</w:t>
      </w:r>
      <w:r w:rsidRPr="00882F11">
        <w:rPr>
          <w:rFonts w:cs="Guttman Drogolin"/>
          <w:rtl/>
          <w:lang w:bidi="he-IL"/>
        </w:rPr>
        <w:t xml:space="preserve">' </w:t>
      </w:r>
      <w:r w:rsidRPr="00882F11">
        <w:rPr>
          <w:rFonts w:cs="Guttman Drogolin" w:hint="cs"/>
          <w:rtl/>
          <w:lang w:bidi="he-IL"/>
        </w:rPr>
        <w:t>לבטל</w:t>
      </w:r>
      <w:r w:rsidRPr="00882F11">
        <w:rPr>
          <w:rFonts w:cs="Guttman Drogolin"/>
          <w:rtl/>
          <w:lang w:bidi="he-IL"/>
        </w:rPr>
        <w:t xml:space="preserve"> </w:t>
      </w:r>
      <w:r w:rsidRPr="00882F11">
        <w:rPr>
          <w:rFonts w:cs="Guttman Drogolin" w:hint="cs"/>
          <w:rtl/>
          <w:lang w:bidi="he-IL"/>
        </w:rPr>
        <w:t>פליטתו"</w:t>
      </w:r>
      <w:r w:rsidRPr="00882F11">
        <w:rPr>
          <w:rFonts w:cs="Guttman Drogolin"/>
          <w:rtl/>
          <w:lang w:bidi="he-IL"/>
        </w:rPr>
        <w:t xml:space="preserve">. </w:t>
      </w:r>
      <w:r w:rsidRPr="00882F11">
        <w:rPr>
          <w:rFonts w:cs="Guttman Drogolin" w:hint="cs"/>
          <w:rtl/>
          <w:lang w:bidi="he-IL"/>
        </w:rPr>
        <w:t>וכתב על זה הרמ"א</w:t>
      </w:r>
      <w:r w:rsidRPr="00882F11">
        <w:rPr>
          <w:rFonts w:cs="Guttman Drogolin"/>
          <w:rtl/>
          <w:lang w:bidi="he-IL"/>
        </w:rPr>
        <w:t xml:space="preserve"> </w:t>
      </w:r>
      <w:r w:rsidRPr="00882F11">
        <w:rPr>
          <w:rFonts w:cs="Guttman Drogolin" w:hint="cs"/>
          <w:rtl/>
          <w:lang w:bidi="he-IL"/>
        </w:rPr>
        <w:t>"ולפי</w:t>
      </w:r>
      <w:r w:rsidRPr="00882F11">
        <w:rPr>
          <w:rFonts w:cs="Guttman Drogolin"/>
          <w:rtl/>
          <w:lang w:bidi="he-IL"/>
        </w:rPr>
        <w:t xml:space="preserve"> </w:t>
      </w:r>
      <w:r w:rsidRPr="00882F11">
        <w:rPr>
          <w:rFonts w:cs="Guttman Drogolin" w:hint="cs"/>
          <w:rtl/>
          <w:lang w:bidi="he-IL"/>
        </w:rPr>
        <w:t>זה</w:t>
      </w:r>
      <w:r w:rsidRPr="00882F11">
        <w:rPr>
          <w:rFonts w:cs="Guttman Drogolin"/>
          <w:rtl/>
          <w:lang w:bidi="he-IL"/>
        </w:rPr>
        <w:t xml:space="preserve"> </w:t>
      </w:r>
      <w:r w:rsidRPr="00882F11">
        <w:rPr>
          <w:rFonts w:cs="Guttman Drogolin" w:hint="cs"/>
          <w:rtl/>
          <w:lang w:bidi="he-IL"/>
        </w:rPr>
        <w:t>אם</w:t>
      </w:r>
      <w:r w:rsidRPr="00882F11">
        <w:rPr>
          <w:rFonts w:cs="Guttman Drogolin"/>
          <w:rtl/>
          <w:lang w:bidi="he-IL"/>
        </w:rPr>
        <w:t xml:space="preserve"> </w:t>
      </w:r>
      <w:r w:rsidRPr="00882F11">
        <w:rPr>
          <w:rFonts w:cs="Guttman Drogolin" w:hint="cs"/>
          <w:rtl/>
          <w:lang w:bidi="he-IL"/>
        </w:rPr>
        <w:t>נפל</w:t>
      </w:r>
      <w:r w:rsidRPr="00882F11">
        <w:rPr>
          <w:rFonts w:cs="Guttman Drogolin"/>
          <w:rtl/>
          <w:lang w:bidi="he-IL"/>
        </w:rPr>
        <w:t xml:space="preserve"> </w:t>
      </w:r>
      <w:r w:rsidRPr="00882F11">
        <w:rPr>
          <w:rFonts w:cs="Guttman Drogolin" w:hint="cs"/>
          <w:rtl/>
          <w:lang w:bidi="he-IL"/>
        </w:rPr>
        <w:t>לשומן</w:t>
      </w:r>
      <w:r w:rsidRPr="00882F11">
        <w:rPr>
          <w:rFonts w:cs="Guttman Drogolin"/>
          <w:rtl/>
          <w:lang w:bidi="he-IL"/>
        </w:rPr>
        <w:t xml:space="preserve"> </w:t>
      </w:r>
      <w:r w:rsidRPr="00882F11">
        <w:rPr>
          <w:rFonts w:cs="Guttman Drogolin" w:hint="cs"/>
          <w:rtl/>
          <w:lang w:bidi="he-IL"/>
        </w:rPr>
        <w:t>נמי</w:t>
      </w:r>
      <w:r w:rsidRPr="00882F11">
        <w:rPr>
          <w:rFonts w:cs="Guttman Drogolin"/>
          <w:rtl/>
          <w:lang w:bidi="he-IL"/>
        </w:rPr>
        <w:t xml:space="preserve"> </w:t>
      </w:r>
      <w:r w:rsidRPr="00882F11">
        <w:rPr>
          <w:rFonts w:cs="Guttman Drogolin" w:hint="cs"/>
          <w:rtl/>
          <w:lang w:bidi="he-IL"/>
        </w:rPr>
        <w:t>דינא</w:t>
      </w:r>
      <w:r w:rsidRPr="00882F11">
        <w:rPr>
          <w:rFonts w:cs="Guttman Drogolin"/>
          <w:rtl/>
          <w:lang w:bidi="he-IL"/>
        </w:rPr>
        <w:t xml:space="preserve"> </w:t>
      </w:r>
      <w:r w:rsidRPr="00882F11">
        <w:rPr>
          <w:rFonts w:cs="Guttman Drogolin" w:hint="cs"/>
          <w:rtl/>
          <w:lang w:bidi="he-IL"/>
        </w:rPr>
        <w:t>הכי</w:t>
      </w:r>
      <w:r w:rsidRPr="00882F11">
        <w:rPr>
          <w:rFonts w:cs="Guttman Drogolin"/>
          <w:rtl/>
          <w:lang w:bidi="he-IL"/>
        </w:rPr>
        <w:t xml:space="preserve"> </w:t>
      </w:r>
      <w:r w:rsidRPr="00882F11">
        <w:rPr>
          <w:rFonts w:cs="Guttman Drogolin" w:hint="cs"/>
          <w:rtl/>
          <w:lang w:bidi="he-IL"/>
        </w:rPr>
        <w:t>ויש</w:t>
      </w:r>
      <w:r w:rsidRPr="00882F11">
        <w:rPr>
          <w:rFonts w:cs="Guttman Drogolin"/>
          <w:rtl/>
          <w:lang w:bidi="he-IL"/>
        </w:rPr>
        <w:t xml:space="preserve"> </w:t>
      </w:r>
      <w:r w:rsidRPr="00882F11">
        <w:rPr>
          <w:rFonts w:cs="Guttman Drogolin" w:hint="cs"/>
          <w:rtl/>
          <w:lang w:bidi="he-IL"/>
        </w:rPr>
        <w:t>מחמירין</w:t>
      </w:r>
      <w:r w:rsidRPr="00882F11">
        <w:rPr>
          <w:rFonts w:cs="Guttman Drogolin"/>
          <w:rtl/>
          <w:lang w:bidi="he-IL"/>
        </w:rPr>
        <w:t xml:space="preserve"> </w:t>
      </w:r>
      <w:r w:rsidRPr="00882F11">
        <w:rPr>
          <w:rFonts w:cs="Guttman Drogolin" w:hint="cs"/>
          <w:rtl/>
          <w:lang w:bidi="he-IL"/>
        </w:rPr>
        <w:t>בשומן" ובסוף דבריו "ובמקום</w:t>
      </w:r>
      <w:r w:rsidRPr="00882F11">
        <w:rPr>
          <w:rFonts w:cs="Guttman Drogolin"/>
          <w:rtl/>
          <w:lang w:bidi="he-IL"/>
        </w:rPr>
        <w:t xml:space="preserve"> </w:t>
      </w:r>
      <w:r w:rsidRPr="00882F11">
        <w:rPr>
          <w:rFonts w:cs="Guttman Drogolin" w:hint="cs"/>
          <w:rtl/>
          <w:lang w:bidi="he-IL"/>
        </w:rPr>
        <w:t>הפסד</w:t>
      </w:r>
      <w:r w:rsidRPr="00882F11">
        <w:rPr>
          <w:rFonts w:cs="Guttman Drogolin"/>
          <w:rtl/>
          <w:lang w:bidi="he-IL"/>
        </w:rPr>
        <w:t xml:space="preserve"> </w:t>
      </w:r>
      <w:r w:rsidRPr="00882F11">
        <w:rPr>
          <w:rFonts w:cs="Guttman Drogolin" w:hint="cs"/>
          <w:rtl/>
          <w:lang w:bidi="he-IL"/>
        </w:rPr>
        <w:t>גדול</w:t>
      </w:r>
      <w:r w:rsidRPr="00882F11">
        <w:rPr>
          <w:rFonts w:cs="Guttman Drogolin"/>
          <w:rtl/>
          <w:lang w:bidi="he-IL"/>
        </w:rPr>
        <w:t xml:space="preserve"> </w:t>
      </w:r>
      <w:r w:rsidRPr="00882F11">
        <w:rPr>
          <w:rFonts w:cs="Guttman Drogolin" w:hint="cs"/>
          <w:rtl/>
          <w:lang w:bidi="he-IL"/>
        </w:rPr>
        <w:t>יש</w:t>
      </w:r>
      <w:r w:rsidRPr="00882F11">
        <w:rPr>
          <w:rFonts w:cs="Guttman Drogolin"/>
          <w:rtl/>
          <w:lang w:bidi="he-IL"/>
        </w:rPr>
        <w:t xml:space="preserve"> </w:t>
      </w:r>
      <w:r w:rsidRPr="00882F11">
        <w:rPr>
          <w:rFonts w:cs="Guttman Drogolin" w:hint="cs"/>
          <w:rtl/>
          <w:lang w:bidi="he-IL"/>
        </w:rPr>
        <w:t>לסמוך</w:t>
      </w:r>
      <w:r w:rsidRPr="00882F11">
        <w:rPr>
          <w:rFonts w:cs="Guttman Drogolin"/>
          <w:rtl/>
          <w:lang w:bidi="he-IL"/>
        </w:rPr>
        <w:t xml:space="preserve"> </w:t>
      </w:r>
      <w:r w:rsidRPr="00882F11">
        <w:rPr>
          <w:rFonts w:cs="Guttman Drogolin" w:hint="cs"/>
          <w:rtl/>
          <w:lang w:bidi="he-IL"/>
        </w:rPr>
        <w:t>אדברי</w:t>
      </w:r>
      <w:r w:rsidRPr="00882F11">
        <w:rPr>
          <w:rFonts w:cs="Guttman Drogolin"/>
          <w:rtl/>
          <w:lang w:bidi="he-IL"/>
        </w:rPr>
        <w:t xml:space="preserve"> </w:t>
      </w:r>
      <w:r w:rsidRPr="00882F11">
        <w:rPr>
          <w:rFonts w:cs="Guttman Drogolin" w:hint="cs"/>
          <w:rtl/>
          <w:lang w:bidi="he-IL"/>
        </w:rPr>
        <w:t xml:space="preserve">המקילין", וביאר הט"ז על אתר דקאי העכבר בשומן, שיש להחמיר שנותן בה טעם לשבח. וברע"א שם הביא מתו"ח שרק בשומן מחמירים שלא במקום הפסד, </w:t>
      </w:r>
      <w:r w:rsidRPr="00882F11">
        <w:rPr>
          <w:rFonts w:cs="Guttman Drogolin" w:hint="cs"/>
          <w:rtl/>
          <w:lang w:bidi="he-IL"/>
        </w:rPr>
        <w:lastRenderedPageBreak/>
        <w:t xml:space="preserve">אבך בשאר משקין מקילין אפילו שלא במקום הפסד. </w:t>
      </w:r>
    </w:p>
    <w:p w:rsidR="004F142A" w:rsidRPr="00882F11" w:rsidRDefault="004F142A" w:rsidP="004F142A">
      <w:pPr>
        <w:pStyle w:val="Heading1"/>
        <w:bidi/>
        <w:spacing w:before="0" w:line="360" w:lineRule="auto"/>
        <w:jc w:val="center"/>
        <w:rPr>
          <w:rFonts w:cs="Guttman Drogolin"/>
          <w:color w:val="auto"/>
          <w:sz w:val="24"/>
          <w:szCs w:val="24"/>
          <w:u w:val="single"/>
          <w:rtl/>
          <w:lang w:bidi="he-IL"/>
        </w:rPr>
      </w:pPr>
      <w:bookmarkStart w:id="382" w:name="_Toc496175629"/>
      <w:r w:rsidRPr="00882F11">
        <w:rPr>
          <w:rFonts w:cs="Guttman Drogolin" w:hint="cs"/>
          <w:color w:val="auto"/>
          <w:sz w:val="24"/>
          <w:szCs w:val="24"/>
          <w:u w:val="single"/>
          <w:rtl/>
          <w:lang w:bidi="he-IL"/>
        </w:rPr>
        <w:t>דינם של שאר דברים המאוסים</w:t>
      </w:r>
      <w:bookmarkEnd w:id="382"/>
    </w:p>
    <w:p w:rsidR="00A950DF" w:rsidRPr="00882F11" w:rsidRDefault="00A413C6" w:rsidP="00A950DF">
      <w:pPr>
        <w:tabs>
          <w:tab w:val="right" w:pos="7497"/>
        </w:tabs>
        <w:bidi/>
        <w:jc w:val="both"/>
        <w:rPr>
          <w:rFonts w:cs="Guttman Drogolin"/>
          <w:rtl/>
          <w:lang w:bidi="he-IL"/>
        </w:rPr>
      </w:pPr>
      <w:r>
        <w:rPr>
          <w:rFonts w:cs="Guttman Drogolin"/>
          <w:rtl/>
          <w:lang w:bidi="he-IL"/>
        </w:rPr>
        <w:fldChar w:fldCharType="begin"/>
      </w:r>
      <w:r>
        <w:instrText xml:space="preserve"> XE "</w:instrText>
      </w:r>
      <w:r w:rsidRPr="005507B3">
        <w:rPr>
          <w:rFonts w:hint="cs"/>
          <w:rtl/>
          <w:lang w:bidi="he-IL"/>
        </w:rPr>
        <w:instrText>נותן טעם לפגם</w:instrText>
      </w:r>
      <w:r w:rsidRPr="005507B3">
        <w:rPr>
          <w:rtl/>
        </w:rPr>
        <w:instrText>:</w:instrText>
      </w:r>
      <w:r w:rsidRPr="005507B3">
        <w:rPr>
          <w:rFonts w:hint="cs"/>
          <w:rtl/>
          <w:lang w:bidi="he-IL"/>
        </w:rPr>
        <w:instrText>דברים המאוסים</w:instrText>
      </w:r>
      <w:r>
        <w:instrText xml:space="preserve">" </w:instrText>
      </w:r>
      <w:r>
        <w:rPr>
          <w:rFonts w:cs="Guttman Drogolin"/>
          <w:rtl/>
          <w:lang w:bidi="he-IL"/>
        </w:rPr>
        <w:fldChar w:fldCharType="end"/>
      </w:r>
      <w:r w:rsidR="00300B51" w:rsidRPr="00882F11">
        <w:rPr>
          <w:rFonts w:cs="Guttman Drogolin" w:hint="cs"/>
          <w:rtl/>
          <w:lang w:bidi="he-IL"/>
        </w:rPr>
        <w:t xml:space="preserve">בסוף הסימן מבואר שדין שאר דברים המאוסים כדין עכבר. וכבר דיברנו על החידוש שיש בזה, דמה"ת שיהיו דינם שוה. </w:t>
      </w:r>
      <w:r w:rsidR="002B0669" w:rsidRPr="00882F11">
        <w:rPr>
          <w:rFonts w:cs="Guttman Drogolin" w:hint="cs"/>
          <w:rtl/>
          <w:lang w:bidi="he-IL"/>
        </w:rPr>
        <w:t>והט"ז ש</w:t>
      </w:r>
      <w:r w:rsidR="00A950DF" w:rsidRPr="00882F11">
        <w:rPr>
          <w:rFonts w:cs="Guttman Drogolin" w:hint="cs"/>
          <w:rtl/>
          <w:lang w:bidi="he-IL"/>
        </w:rPr>
        <w:t>ם</w:t>
      </w:r>
      <w:r w:rsidR="002B0669" w:rsidRPr="00882F11">
        <w:rPr>
          <w:rFonts w:cs="Guttman Drogolin" w:hint="cs"/>
          <w:rtl/>
          <w:lang w:bidi="he-IL"/>
        </w:rPr>
        <w:t xml:space="preserve"> בס"ק ו הביא שיש חולקים וסוברים שאין להשוות שארי הדברים לעכבר, שבשאר חוששים שהם נותן טעם לשבח. אמנם הט"ז הביא שם מרמ"א סי' ק"ז שאין לשנות ממנהג שנהגו להקל. ואע"פ שהש"ך שם בסי' ק"ז נטה להחמיר בזה, ההוראה למעשה שהיא מותרת, אבל המחמיר תע"ב, וכ"כ בש"ד</w:t>
      </w:r>
      <w:r w:rsidR="00A950DF" w:rsidRPr="00882F11">
        <w:rPr>
          <w:rFonts w:cs="Guttman Drogolin" w:hint="cs"/>
          <w:rtl/>
          <w:lang w:bidi="he-IL"/>
        </w:rPr>
        <w:t>, וכן הוא בבדי השולחן</w:t>
      </w:r>
      <w:r w:rsidR="002B0669" w:rsidRPr="00882F11">
        <w:rPr>
          <w:rFonts w:cs="Guttman Drogolin" w:hint="cs"/>
          <w:rtl/>
          <w:lang w:bidi="he-IL"/>
        </w:rPr>
        <w:t>.</w:t>
      </w:r>
    </w:p>
    <w:p w:rsidR="004F142A" w:rsidRPr="00882F11" w:rsidRDefault="00A950DF" w:rsidP="00A950DF">
      <w:pPr>
        <w:tabs>
          <w:tab w:val="right" w:pos="7497"/>
        </w:tabs>
        <w:bidi/>
        <w:jc w:val="both"/>
        <w:rPr>
          <w:rFonts w:cs="Guttman Drogolin"/>
          <w:rtl/>
          <w:lang w:bidi="he-IL"/>
        </w:rPr>
      </w:pPr>
      <w:r w:rsidRPr="00882F11">
        <w:rPr>
          <w:rFonts w:cs="Guttman Drogolin" w:hint="cs"/>
          <w:rtl/>
          <w:lang w:bidi="he-IL"/>
        </w:rPr>
        <w:t xml:space="preserve">ויש כאן הערה מהגרע"א, שהגרע"א הבין בדעת הט"ז בס"ק ב' שדעתו להחמיר כדעת המהרש"ל שבעכרב שנתן טעם בשאר משקין חוץ מיין שמן ודבש ג"כ צריכים להחמיר שאולי נותן טעם לשבח. וא"כ נהי נמי שאין לזוז מפסק הרמ"א ששאר דברים המאוסים דינם כמועכבר, הא עכבר עצמו אסור בשאר משקין, ותבשיל לכאורה הוי כשאר משקין, ולכן למה בתמו להיתר. וכתב רע"א שאולי יש לדחוק </w:t>
      </w:r>
      <w:r w:rsidR="002376BA" w:rsidRPr="00882F11">
        <w:rPr>
          <w:rFonts w:cs="Guttman Drogolin" w:hint="cs"/>
          <w:rtl/>
          <w:lang w:bidi="he-IL"/>
        </w:rPr>
        <w:t>שבכה"ג הרמ"א סמך להיתר בצירוף השיטה הסוברת דזבוב קיל מעכרב ואפילו בשכרא אינו נותן טעם לשבח, ואף דלא קיי"ל כוותי', מ"מ בצירוף שאר השיטות מקילין אפילו לכתחילה.</w:t>
      </w:r>
      <w:r w:rsidR="002B0669" w:rsidRPr="00882F11">
        <w:rPr>
          <w:rFonts w:cs="Guttman Drogolin" w:hint="cs"/>
          <w:rtl/>
          <w:lang w:bidi="he-IL"/>
        </w:rPr>
        <w:t xml:space="preserve"> </w:t>
      </w:r>
      <w:r w:rsidR="00B82380" w:rsidRPr="00882F11">
        <w:rPr>
          <w:rFonts w:cs="Guttman Drogolin" w:hint="cs"/>
          <w:rtl/>
          <w:lang w:bidi="he-IL"/>
        </w:rPr>
        <w:t xml:space="preserve"> </w:t>
      </w:r>
    </w:p>
    <w:p w:rsidR="00DA2B21" w:rsidRPr="006D0A1E" w:rsidRDefault="00DA2B21" w:rsidP="006D0A1E">
      <w:pPr>
        <w:pStyle w:val="Heading1"/>
        <w:bidi/>
        <w:spacing w:before="0" w:line="240" w:lineRule="auto"/>
        <w:jc w:val="center"/>
        <w:rPr>
          <w:rFonts w:cs="Guttman Drogolin"/>
          <w:color w:val="auto"/>
          <w:sz w:val="24"/>
          <w:szCs w:val="24"/>
          <w:u w:val="single"/>
          <w:rtl/>
          <w:lang w:bidi="he-IL"/>
        </w:rPr>
      </w:pPr>
      <w:bookmarkStart w:id="383" w:name="_Toc496175630"/>
      <w:r w:rsidRPr="006D0A1E">
        <w:rPr>
          <w:rFonts w:cs="Guttman Drogolin" w:hint="cs"/>
          <w:color w:val="auto"/>
          <w:sz w:val="24"/>
          <w:szCs w:val="24"/>
          <w:u w:val="single"/>
          <w:rtl/>
          <w:lang w:bidi="he-IL"/>
        </w:rPr>
        <w:t>שיטת הר"ן בדברים המאוסים שנימוחו ו</w:t>
      </w:r>
      <w:r w:rsidR="004F142A" w:rsidRPr="006D0A1E">
        <w:rPr>
          <w:rFonts w:cs="Guttman Drogolin" w:hint="cs"/>
          <w:color w:val="auto"/>
          <w:sz w:val="24"/>
          <w:szCs w:val="24"/>
          <w:u w:val="single"/>
          <w:rtl/>
          <w:lang w:bidi="he-IL"/>
        </w:rPr>
        <w:t>נ</w:t>
      </w:r>
      <w:r w:rsidRPr="006D0A1E">
        <w:rPr>
          <w:rFonts w:cs="Guttman Drogolin" w:hint="cs"/>
          <w:color w:val="auto"/>
          <w:sz w:val="24"/>
          <w:szCs w:val="24"/>
          <w:u w:val="single"/>
          <w:rtl/>
          <w:lang w:bidi="he-IL"/>
        </w:rPr>
        <w:t>תערבו לתוך תבשיל</w:t>
      </w:r>
      <w:bookmarkEnd w:id="383"/>
    </w:p>
    <w:p w:rsidR="00DA2B21" w:rsidRPr="00882F11" w:rsidRDefault="00A413C6" w:rsidP="00E76FFB">
      <w:pPr>
        <w:tabs>
          <w:tab w:val="right" w:pos="7497"/>
        </w:tabs>
        <w:bidi/>
        <w:jc w:val="both"/>
        <w:rPr>
          <w:rFonts w:cs="Guttman Drogolin"/>
          <w:rtl/>
          <w:lang w:bidi="he-IL"/>
        </w:rPr>
      </w:pPr>
      <w:r>
        <w:rPr>
          <w:rFonts w:cs="Guttman Drogolin"/>
          <w:rtl/>
          <w:lang w:bidi="he-IL"/>
        </w:rPr>
        <w:fldChar w:fldCharType="begin"/>
      </w:r>
      <w:r>
        <w:instrText xml:space="preserve"> XE "</w:instrText>
      </w:r>
      <w:r w:rsidRPr="006933F1">
        <w:rPr>
          <w:rFonts w:hint="cs"/>
          <w:rtl/>
          <w:lang w:bidi="he-IL"/>
        </w:rPr>
        <w:instrText>נותן טעם לפגם</w:instrText>
      </w:r>
      <w:r w:rsidRPr="006933F1">
        <w:rPr>
          <w:rtl/>
        </w:rPr>
        <w:instrText>:</w:instrText>
      </w:r>
      <w:r w:rsidRPr="006933F1">
        <w:rPr>
          <w:rFonts w:hint="cs"/>
          <w:rtl/>
          <w:lang w:bidi="he-IL"/>
        </w:rPr>
        <w:instrText>דברים המאוסים - השייך לשיטת הר</w:instrText>
      </w:r>
      <w:r>
        <w:rPr>
          <w:rFonts w:eastAsiaTheme="minorEastAsia"/>
          <w:lang w:bidi="he-IL"/>
        </w:rPr>
        <w:instrText>\</w:instrText>
      </w:r>
      <w:r w:rsidRPr="006933F1">
        <w:rPr>
          <w:rFonts w:hint="cs"/>
          <w:rtl/>
          <w:lang w:bidi="he-IL"/>
        </w:rPr>
        <w:instrText>"ן בהיתירא דנטל</w:instrText>
      </w:r>
      <w:r>
        <w:rPr>
          <w:rFonts w:eastAsiaTheme="minorEastAsia"/>
          <w:lang w:bidi="he-IL"/>
        </w:rPr>
        <w:instrText>\</w:instrText>
      </w:r>
      <w:r w:rsidRPr="006933F1">
        <w:rPr>
          <w:rFonts w:hint="cs"/>
          <w:rtl/>
          <w:lang w:bidi="he-IL"/>
        </w:rPr>
        <w:instrText>"פ</w:instrText>
      </w:r>
      <w:r>
        <w:instrText xml:space="preserve">" </w:instrText>
      </w:r>
      <w:r>
        <w:rPr>
          <w:rFonts w:cs="Guttman Drogolin"/>
          <w:rtl/>
          <w:lang w:bidi="he-IL"/>
        </w:rPr>
        <w:fldChar w:fldCharType="end"/>
      </w:r>
      <w:r w:rsidR="00ED07B2" w:rsidRPr="00882F11">
        <w:rPr>
          <w:rFonts w:cs="Guttman Drogolin" w:hint="cs"/>
          <w:rtl/>
          <w:lang w:bidi="he-IL"/>
        </w:rPr>
        <w:t xml:space="preserve">מבואר בר"ן שגם הואו מודה שאם </w:t>
      </w:r>
      <w:r w:rsidR="00DA2B21" w:rsidRPr="00882F11">
        <w:rPr>
          <w:rFonts w:cs="Guttman Drogolin" w:hint="cs"/>
          <w:rtl/>
          <w:lang w:bidi="he-IL"/>
        </w:rPr>
        <w:t>הדברים המאוסים נימוחו ונתערבו בתוך תבשיל שהתבשיל מותר.</w:t>
      </w:r>
      <w:r w:rsidR="00ED07B2" w:rsidRPr="00882F11">
        <w:rPr>
          <w:rFonts w:cs="Guttman Drogolin" w:hint="cs"/>
          <w:rtl/>
          <w:lang w:bidi="he-IL"/>
        </w:rPr>
        <w:t xml:space="preserve"> ולכאורה צ"ע בתרתי, חדא שהרי שיטת הר"ן עצמו ע"כ שנטל"פ אינו בטל מדאורייתא מדאין אחרי רבים להטות, דאל"כ האיך יהא אסור תבשיל שהתרבה מדתו ע"י דבר שהוא נטל"פ הא האיסור בטל הוא. ולכאורה הביאור בזה משום שמ"מ הא ניכר טעמו, וכמש"כ הרשב"א בשם הראב"ד בחידושיו למס' חולין סוף </w:t>
      </w:r>
      <w:r w:rsidR="00ED07B2" w:rsidRPr="00882F11">
        <w:rPr>
          <w:rFonts w:cs="Guttman Drogolin" w:hint="cs"/>
          <w:rtl/>
          <w:lang w:bidi="he-IL"/>
        </w:rPr>
        <w:lastRenderedPageBreak/>
        <w:t xml:space="preserve">דף צ"ח ע"ב. </w:t>
      </w:r>
      <w:r w:rsidR="00A31AF3" w:rsidRPr="00882F11">
        <w:rPr>
          <w:rFonts w:cs="Guttman Drogolin" w:hint="cs"/>
          <w:rtl/>
          <w:lang w:bidi="he-IL"/>
        </w:rPr>
        <w:t xml:space="preserve">ומ"מ בלא התרבה מדתו הרי הוא מותר. ולכאורה צ"ע בטעמו של דבר, דבשלמא לפי שיטת החזו"א שלא נאמרו דברי הר"ן אלא בדברים שצריכים ליאסר משום נתינת טעם ניחא, שבכה"ג שאינו נהנה מטעמו הרי הוא מותר מדין נבילה שאינה ראוי' לגר, ואין כאן דינא דהיכר טעם למנוע הביטול כיון דלא אמרינן טכ"ע. אבל לשיטת רע"א וסייעתו דלא בעינן לי' לדינא דביטול ברוב כלל צ"ע, דהא כל הטעם שנטל"פ מותר משום שנלמד מגזה"כ דנבילה שאינה ראוי' לגר, ולכאורה היתר זה לא שייך בדברים המאוסים, דהא בהכי חייבי' רחמנא, שהרי דברים המאוסים אינם ראוים לגר מתחילת ברייתן ומ"מ אסרי' רחמנא. וא"כ למה לא יאסר ע"י תערובת. זאת ועוד שהרי הר"ן עצמו כתב </w:t>
      </w:r>
      <w:r w:rsidR="00E76FFB" w:rsidRPr="00882F11">
        <w:rPr>
          <w:rFonts w:cs="Guttman Drogolin" w:hint="cs"/>
          <w:rtl/>
          <w:lang w:bidi="he-IL"/>
        </w:rPr>
        <w:t>"ומיהא</w:t>
      </w:r>
      <w:r w:rsidR="00E76FFB" w:rsidRPr="00882F11">
        <w:rPr>
          <w:rFonts w:cs="Guttman Drogolin"/>
          <w:rtl/>
          <w:lang w:bidi="he-IL"/>
        </w:rPr>
        <w:t xml:space="preserve"> </w:t>
      </w:r>
      <w:r w:rsidR="00E76FFB" w:rsidRPr="00882F11">
        <w:rPr>
          <w:rFonts w:cs="Guttman Drogolin" w:hint="cs"/>
          <w:rtl/>
          <w:lang w:bidi="he-IL"/>
        </w:rPr>
        <w:t>שמעי</w:t>
      </w:r>
      <w:r w:rsidR="00E76FFB" w:rsidRPr="00882F11">
        <w:rPr>
          <w:rFonts w:cs="Guttman Drogolin"/>
          <w:rtl/>
          <w:lang w:bidi="he-IL"/>
        </w:rPr>
        <w:t xml:space="preserve">' </w:t>
      </w:r>
      <w:r w:rsidR="00E76FFB" w:rsidRPr="00882F11">
        <w:rPr>
          <w:rFonts w:cs="Guttman Drogolin" w:hint="cs"/>
          <w:rtl/>
          <w:lang w:bidi="he-IL"/>
        </w:rPr>
        <w:t>שכל</w:t>
      </w:r>
      <w:r w:rsidR="00E76FFB" w:rsidRPr="00882F11">
        <w:rPr>
          <w:rFonts w:cs="Guttman Drogolin"/>
          <w:rtl/>
          <w:lang w:bidi="he-IL"/>
        </w:rPr>
        <w:t xml:space="preserve"> </w:t>
      </w:r>
      <w:r w:rsidR="00E76FFB" w:rsidRPr="00882F11">
        <w:rPr>
          <w:rFonts w:cs="Guttman Drogolin" w:hint="cs"/>
          <w:rtl/>
          <w:lang w:bidi="he-IL"/>
        </w:rPr>
        <w:t>הדברים</w:t>
      </w:r>
      <w:r w:rsidR="00E76FFB" w:rsidRPr="00882F11">
        <w:rPr>
          <w:rFonts w:cs="Guttman Drogolin"/>
          <w:rtl/>
          <w:lang w:bidi="he-IL"/>
        </w:rPr>
        <w:t xml:space="preserve"> </w:t>
      </w:r>
      <w:r w:rsidR="00E76FFB" w:rsidRPr="00882F11">
        <w:rPr>
          <w:rFonts w:cs="Guttman Drogolin" w:hint="cs"/>
          <w:rtl/>
          <w:lang w:bidi="he-IL"/>
        </w:rPr>
        <w:t>המאוסין</w:t>
      </w:r>
      <w:r w:rsidR="00E76FFB" w:rsidRPr="00882F11">
        <w:rPr>
          <w:rFonts w:cs="Guttman Drogolin"/>
          <w:rtl/>
          <w:lang w:bidi="he-IL"/>
        </w:rPr>
        <w:t xml:space="preserve"> </w:t>
      </w:r>
      <w:r w:rsidR="00E76FFB" w:rsidRPr="00882F11">
        <w:rPr>
          <w:rFonts w:cs="Guttman Drogolin" w:hint="cs"/>
          <w:rtl/>
          <w:lang w:bidi="he-IL"/>
        </w:rPr>
        <w:t>כעכבר</w:t>
      </w:r>
      <w:r w:rsidR="00E76FFB" w:rsidRPr="00882F11">
        <w:rPr>
          <w:rFonts w:cs="Guttman Drogolin"/>
          <w:rtl/>
          <w:lang w:bidi="he-IL"/>
        </w:rPr>
        <w:t xml:space="preserve"> </w:t>
      </w:r>
      <w:r w:rsidR="00E76FFB" w:rsidRPr="00882F11">
        <w:rPr>
          <w:rFonts w:cs="Guttman Drogolin" w:hint="cs"/>
          <w:rtl/>
          <w:lang w:bidi="he-IL"/>
        </w:rPr>
        <w:t>וכיוצא</w:t>
      </w:r>
      <w:r w:rsidR="00E76FFB" w:rsidRPr="00882F11">
        <w:rPr>
          <w:rFonts w:cs="Guttman Drogolin"/>
          <w:rtl/>
          <w:lang w:bidi="he-IL"/>
        </w:rPr>
        <w:t xml:space="preserve"> </w:t>
      </w:r>
      <w:r w:rsidR="00E76FFB" w:rsidRPr="00882F11">
        <w:rPr>
          <w:rFonts w:cs="Guttman Drogolin" w:hint="cs"/>
          <w:rtl/>
          <w:lang w:bidi="he-IL"/>
        </w:rPr>
        <w:t>בו</w:t>
      </w:r>
      <w:r w:rsidR="00E76FFB" w:rsidRPr="00882F11">
        <w:rPr>
          <w:rFonts w:cs="Guttman Drogolin"/>
          <w:rtl/>
          <w:lang w:bidi="he-IL"/>
        </w:rPr>
        <w:t xml:space="preserve"> </w:t>
      </w:r>
      <w:r w:rsidR="00E76FFB" w:rsidRPr="00882F11">
        <w:rPr>
          <w:rFonts w:cs="Guttman Drogolin" w:hint="cs"/>
          <w:rtl/>
          <w:lang w:bidi="he-IL"/>
        </w:rPr>
        <w:t>אין</w:t>
      </w:r>
      <w:r w:rsidR="00E76FFB" w:rsidRPr="00882F11">
        <w:rPr>
          <w:rFonts w:cs="Guttman Drogolin"/>
          <w:rtl/>
          <w:lang w:bidi="he-IL"/>
        </w:rPr>
        <w:t xml:space="preserve"> </w:t>
      </w:r>
      <w:r w:rsidR="00E76FFB" w:rsidRPr="00882F11">
        <w:rPr>
          <w:rFonts w:cs="Guttman Drogolin" w:hint="cs"/>
          <w:rtl/>
          <w:lang w:bidi="he-IL"/>
        </w:rPr>
        <w:t>אוסרין</w:t>
      </w:r>
      <w:r w:rsidR="00E76FFB" w:rsidRPr="00882F11">
        <w:rPr>
          <w:rFonts w:cs="Guttman Drogolin"/>
          <w:rtl/>
          <w:lang w:bidi="he-IL"/>
        </w:rPr>
        <w:t xml:space="preserve"> </w:t>
      </w:r>
      <w:r w:rsidR="00E76FFB" w:rsidRPr="00882F11">
        <w:rPr>
          <w:rFonts w:cs="Guttman Drogolin" w:hint="cs"/>
          <w:rtl/>
          <w:lang w:bidi="he-IL"/>
        </w:rPr>
        <w:t>בפליטתן</w:t>
      </w:r>
      <w:r w:rsidR="00E76FFB" w:rsidRPr="00882F11">
        <w:rPr>
          <w:rFonts w:cs="Guttman Drogolin"/>
          <w:rtl/>
          <w:lang w:bidi="he-IL"/>
        </w:rPr>
        <w:t xml:space="preserve"> </w:t>
      </w:r>
      <w:r w:rsidR="00E76FFB" w:rsidRPr="00882F11">
        <w:rPr>
          <w:rFonts w:cs="Guttman Drogolin" w:hint="cs"/>
          <w:rtl/>
          <w:lang w:bidi="he-IL"/>
        </w:rPr>
        <w:t>אלא</w:t>
      </w:r>
      <w:r w:rsidR="00E76FFB" w:rsidRPr="00882F11">
        <w:rPr>
          <w:rFonts w:cs="Guttman Drogolin"/>
          <w:rtl/>
          <w:lang w:bidi="he-IL"/>
        </w:rPr>
        <w:t xml:space="preserve"> </w:t>
      </w:r>
      <w:r w:rsidR="00E76FFB" w:rsidRPr="00882F11">
        <w:rPr>
          <w:rFonts w:cs="Guttman Drogolin" w:hint="cs"/>
          <w:rtl/>
          <w:lang w:bidi="he-IL"/>
        </w:rPr>
        <w:t>דוקא</w:t>
      </w:r>
      <w:r w:rsidR="00E76FFB" w:rsidRPr="00882F11">
        <w:rPr>
          <w:rFonts w:cs="Guttman Drogolin"/>
          <w:rtl/>
          <w:lang w:bidi="he-IL"/>
        </w:rPr>
        <w:t xml:space="preserve"> </w:t>
      </w:r>
      <w:r w:rsidR="00E76FFB" w:rsidRPr="00882F11">
        <w:rPr>
          <w:rFonts w:cs="Guttman Drogolin" w:hint="cs"/>
          <w:rtl/>
          <w:lang w:bidi="he-IL"/>
        </w:rPr>
        <w:t>בחלא</w:t>
      </w:r>
      <w:r w:rsidR="00E76FFB" w:rsidRPr="00882F11">
        <w:rPr>
          <w:rFonts w:cs="Guttman Drogolin"/>
          <w:rtl/>
          <w:lang w:bidi="he-IL"/>
        </w:rPr>
        <w:t xml:space="preserve"> </w:t>
      </w:r>
      <w:r w:rsidR="00E76FFB" w:rsidRPr="00882F11">
        <w:rPr>
          <w:rFonts w:cs="Guttman Drogolin" w:hint="cs"/>
          <w:rtl/>
          <w:lang w:bidi="he-IL"/>
        </w:rPr>
        <w:t>ושיכרא</w:t>
      </w:r>
      <w:r w:rsidR="00E76FFB" w:rsidRPr="00882F11">
        <w:rPr>
          <w:rFonts w:cs="Guttman Drogolin"/>
          <w:rtl/>
          <w:lang w:bidi="he-IL"/>
        </w:rPr>
        <w:t xml:space="preserve"> </w:t>
      </w:r>
      <w:r w:rsidR="00E76FFB" w:rsidRPr="00882F11">
        <w:rPr>
          <w:rFonts w:cs="Guttman Drogolin" w:hint="cs"/>
          <w:rtl/>
          <w:lang w:bidi="he-IL"/>
        </w:rPr>
        <w:t>דמשבחי</w:t>
      </w:r>
      <w:r w:rsidR="00E76FFB" w:rsidRPr="00882F11">
        <w:rPr>
          <w:rFonts w:cs="Guttman Drogolin"/>
          <w:rtl/>
          <w:lang w:bidi="he-IL"/>
        </w:rPr>
        <w:t xml:space="preserve"> </w:t>
      </w:r>
      <w:r w:rsidR="00E76FFB" w:rsidRPr="00882F11">
        <w:rPr>
          <w:rFonts w:cs="Guttman Drogolin" w:hint="cs"/>
          <w:rtl/>
          <w:lang w:bidi="he-IL"/>
        </w:rPr>
        <w:t>בהו</w:t>
      </w:r>
      <w:r w:rsidR="00E76FFB" w:rsidRPr="00882F11">
        <w:rPr>
          <w:rFonts w:cs="Guttman Drogolin"/>
          <w:rtl/>
          <w:lang w:bidi="he-IL"/>
        </w:rPr>
        <w:t xml:space="preserve"> </w:t>
      </w:r>
      <w:r w:rsidR="00E76FFB" w:rsidRPr="00882F11">
        <w:rPr>
          <w:rFonts w:cs="Guttman Drogolin" w:hint="cs"/>
          <w:rtl/>
          <w:lang w:bidi="he-IL"/>
        </w:rPr>
        <w:t>ואף</w:t>
      </w:r>
      <w:r w:rsidR="00E76FFB" w:rsidRPr="00882F11">
        <w:rPr>
          <w:rFonts w:cs="Guttman Drogolin"/>
          <w:rtl/>
          <w:lang w:bidi="he-IL"/>
        </w:rPr>
        <w:t xml:space="preserve"> </w:t>
      </w:r>
      <w:r w:rsidR="00E76FFB" w:rsidRPr="00882F11">
        <w:rPr>
          <w:rFonts w:cs="Guttman Drogolin" w:hint="cs"/>
          <w:rtl/>
          <w:lang w:bidi="he-IL"/>
        </w:rPr>
        <w:t>בשנמחה</w:t>
      </w:r>
      <w:r w:rsidR="00E76FFB" w:rsidRPr="00882F11">
        <w:rPr>
          <w:rFonts w:cs="Guttman Drogolin"/>
          <w:rtl/>
          <w:lang w:bidi="he-IL"/>
        </w:rPr>
        <w:t xml:space="preserve"> </w:t>
      </w:r>
      <w:r w:rsidR="00E76FFB" w:rsidRPr="00882F11">
        <w:rPr>
          <w:rFonts w:cs="Guttman Drogolin" w:hint="cs"/>
          <w:rtl/>
          <w:lang w:bidi="he-IL"/>
        </w:rPr>
        <w:t>גופן</w:t>
      </w:r>
      <w:r w:rsidR="00E76FFB" w:rsidRPr="00882F11">
        <w:rPr>
          <w:rFonts w:cs="Guttman Drogolin"/>
          <w:rtl/>
          <w:lang w:bidi="he-IL"/>
        </w:rPr>
        <w:t xml:space="preserve"> </w:t>
      </w:r>
      <w:r w:rsidR="00E76FFB" w:rsidRPr="00882F11">
        <w:rPr>
          <w:rFonts w:cs="Guttman Drogolin" w:hint="cs"/>
          <w:rtl/>
          <w:lang w:bidi="he-IL"/>
        </w:rPr>
        <w:t>לגמרי</w:t>
      </w:r>
      <w:r w:rsidR="00E76FFB" w:rsidRPr="00882F11">
        <w:rPr>
          <w:rFonts w:cs="Guttman Drogolin"/>
          <w:rtl/>
          <w:lang w:bidi="he-IL"/>
        </w:rPr>
        <w:t xml:space="preserve"> </w:t>
      </w:r>
      <w:r w:rsidR="00E76FFB" w:rsidRPr="00882F11">
        <w:rPr>
          <w:rFonts w:cs="Guttman Drogolin" w:hint="cs"/>
          <w:rtl/>
          <w:lang w:bidi="he-IL"/>
        </w:rPr>
        <w:t>ונתערב</w:t>
      </w:r>
      <w:r w:rsidR="00E76FFB" w:rsidRPr="00882F11">
        <w:rPr>
          <w:rFonts w:cs="Guttman Drogolin"/>
          <w:rtl/>
          <w:lang w:bidi="he-IL"/>
        </w:rPr>
        <w:t xml:space="preserve"> </w:t>
      </w:r>
      <w:r w:rsidR="00E76FFB" w:rsidRPr="00882F11">
        <w:rPr>
          <w:rFonts w:cs="Guttman Drogolin" w:hint="cs"/>
          <w:rtl/>
          <w:lang w:bidi="he-IL"/>
        </w:rPr>
        <w:t>בהיתר</w:t>
      </w:r>
      <w:r w:rsidR="00E76FFB" w:rsidRPr="00882F11">
        <w:rPr>
          <w:rFonts w:cs="Guttman Drogolin"/>
          <w:rtl/>
          <w:lang w:bidi="he-IL"/>
        </w:rPr>
        <w:t xml:space="preserve"> </w:t>
      </w:r>
      <w:r w:rsidR="00E76FFB" w:rsidRPr="00882F11">
        <w:rPr>
          <w:rFonts w:cs="Guttman Drogolin" w:hint="cs"/>
          <w:rtl/>
          <w:lang w:bidi="he-IL"/>
        </w:rPr>
        <w:t>מרובה</w:t>
      </w:r>
      <w:r w:rsidR="00E76FFB" w:rsidRPr="00882F11">
        <w:rPr>
          <w:rFonts w:cs="Guttman Drogolin"/>
          <w:rtl/>
          <w:lang w:bidi="he-IL"/>
        </w:rPr>
        <w:t xml:space="preserve"> </w:t>
      </w:r>
      <w:r w:rsidR="00E76FFB" w:rsidRPr="00882F11">
        <w:rPr>
          <w:rFonts w:cs="Guttman Drogolin" w:hint="cs"/>
          <w:rtl/>
          <w:lang w:bidi="he-IL"/>
        </w:rPr>
        <w:t>מהן</w:t>
      </w:r>
      <w:r w:rsidR="00E76FFB" w:rsidRPr="00882F11">
        <w:rPr>
          <w:rFonts w:cs="Guttman Drogolin"/>
          <w:rtl/>
          <w:lang w:bidi="he-IL"/>
        </w:rPr>
        <w:t xml:space="preserve"> </w:t>
      </w:r>
      <w:r w:rsidR="00E76FFB" w:rsidRPr="00882F11">
        <w:rPr>
          <w:rFonts w:cs="Guttman Drogolin" w:hint="cs"/>
          <w:rtl/>
          <w:lang w:bidi="he-IL"/>
        </w:rPr>
        <w:t>יש</w:t>
      </w:r>
      <w:r w:rsidR="00E76FFB" w:rsidRPr="00882F11">
        <w:rPr>
          <w:rFonts w:cs="Guttman Drogolin"/>
          <w:rtl/>
          <w:lang w:bidi="he-IL"/>
        </w:rPr>
        <w:t xml:space="preserve"> </w:t>
      </w:r>
      <w:r w:rsidR="00E76FFB" w:rsidRPr="00882F11">
        <w:rPr>
          <w:rFonts w:cs="Guttman Drogolin" w:hint="cs"/>
          <w:rtl/>
          <w:lang w:bidi="he-IL"/>
        </w:rPr>
        <w:t>להתיר</w:t>
      </w:r>
      <w:r w:rsidR="00E76FFB" w:rsidRPr="00882F11">
        <w:rPr>
          <w:rFonts w:cs="Guttman Drogolin"/>
          <w:rtl/>
          <w:lang w:bidi="he-IL"/>
        </w:rPr>
        <w:t xml:space="preserve"> </w:t>
      </w:r>
      <w:r w:rsidR="00E76FFB" w:rsidRPr="00882F11">
        <w:rPr>
          <w:rFonts w:cs="Guttman Drogolin" w:hint="cs"/>
          <w:rtl/>
          <w:lang w:bidi="he-IL"/>
        </w:rPr>
        <w:t>משום</w:t>
      </w:r>
      <w:r w:rsidR="00E76FFB" w:rsidRPr="00882F11">
        <w:rPr>
          <w:rFonts w:cs="Guttman Drogolin"/>
          <w:rtl/>
          <w:lang w:bidi="he-IL"/>
        </w:rPr>
        <w:t xml:space="preserve"> </w:t>
      </w:r>
      <w:r w:rsidR="00E76FFB" w:rsidRPr="00882F11">
        <w:rPr>
          <w:rFonts w:cs="Guttman Drogolin" w:hint="cs"/>
          <w:rtl/>
          <w:lang w:bidi="he-IL"/>
        </w:rPr>
        <w:t>דמדאורייתא</w:t>
      </w:r>
      <w:r w:rsidR="00E76FFB" w:rsidRPr="00882F11">
        <w:rPr>
          <w:rFonts w:cs="Guttman Drogolin"/>
          <w:rtl/>
          <w:lang w:bidi="he-IL"/>
        </w:rPr>
        <w:t xml:space="preserve"> </w:t>
      </w:r>
      <w:r w:rsidR="00E76FFB" w:rsidRPr="00882F11">
        <w:rPr>
          <w:rFonts w:cs="Guttman Drogolin" w:hint="cs"/>
          <w:rtl/>
          <w:lang w:bidi="he-IL"/>
        </w:rPr>
        <w:t>ברובא</w:t>
      </w:r>
      <w:r w:rsidR="00E76FFB" w:rsidRPr="00882F11">
        <w:rPr>
          <w:rFonts w:cs="Guttman Drogolin"/>
          <w:rtl/>
          <w:lang w:bidi="he-IL"/>
        </w:rPr>
        <w:t xml:space="preserve"> </w:t>
      </w:r>
      <w:r w:rsidR="00E76FFB" w:rsidRPr="00882F11">
        <w:rPr>
          <w:rFonts w:cs="Guttman Drogolin" w:hint="cs"/>
          <w:rtl/>
          <w:lang w:bidi="he-IL"/>
        </w:rPr>
        <w:t>בטיל</w:t>
      </w:r>
      <w:r w:rsidR="00E76FFB" w:rsidRPr="00882F11">
        <w:rPr>
          <w:rFonts w:cs="Guttman Drogolin"/>
          <w:rtl/>
          <w:lang w:bidi="he-IL"/>
        </w:rPr>
        <w:t xml:space="preserve"> </w:t>
      </w:r>
      <w:r w:rsidR="00E76FFB" w:rsidRPr="00882F11">
        <w:rPr>
          <w:rFonts w:cs="Guttman Drogolin" w:hint="cs"/>
          <w:rtl/>
          <w:lang w:bidi="he-IL"/>
        </w:rPr>
        <w:t>ולא</w:t>
      </w:r>
      <w:r w:rsidR="00E76FFB" w:rsidRPr="00882F11">
        <w:rPr>
          <w:rFonts w:cs="Guttman Drogolin"/>
          <w:rtl/>
          <w:lang w:bidi="he-IL"/>
        </w:rPr>
        <w:t xml:space="preserve"> </w:t>
      </w:r>
      <w:r w:rsidR="00E76FFB" w:rsidRPr="00882F11">
        <w:rPr>
          <w:rFonts w:cs="Guttman Drogolin" w:hint="cs"/>
          <w:rtl/>
          <w:lang w:bidi="he-IL"/>
        </w:rPr>
        <w:t>מתהני</w:t>
      </w:r>
      <w:r w:rsidR="00E76FFB" w:rsidRPr="00882F11">
        <w:rPr>
          <w:rFonts w:cs="Guttman Drogolin"/>
          <w:rtl/>
          <w:lang w:bidi="he-IL"/>
        </w:rPr>
        <w:t xml:space="preserve"> </w:t>
      </w:r>
      <w:r w:rsidR="00E76FFB" w:rsidRPr="00882F11">
        <w:rPr>
          <w:rFonts w:cs="Guttman Drogolin" w:hint="cs"/>
          <w:rtl/>
          <w:lang w:bidi="he-IL"/>
        </w:rPr>
        <w:t>מאיסורא</w:t>
      </w:r>
      <w:r w:rsidR="00E76FFB" w:rsidRPr="00882F11">
        <w:rPr>
          <w:rFonts w:cs="Guttman Drogolin"/>
          <w:rtl/>
          <w:lang w:bidi="he-IL"/>
        </w:rPr>
        <w:t xml:space="preserve"> </w:t>
      </w:r>
      <w:r w:rsidR="00E76FFB" w:rsidRPr="00882F11">
        <w:rPr>
          <w:rFonts w:cs="Guttman Drogolin" w:hint="cs"/>
          <w:rtl/>
          <w:lang w:bidi="he-IL"/>
        </w:rPr>
        <w:t>כלל</w:t>
      </w:r>
      <w:r w:rsidR="00E76FFB" w:rsidRPr="00882F11">
        <w:rPr>
          <w:rStyle w:val="FootnoteReference"/>
          <w:rFonts w:cs="Guttman Drogolin"/>
          <w:rtl/>
          <w:lang w:bidi="he-IL"/>
        </w:rPr>
        <w:footnoteReference w:id="388"/>
      </w:r>
      <w:r w:rsidR="00E76FFB" w:rsidRPr="00882F11">
        <w:rPr>
          <w:rFonts w:cs="Guttman Drogolin" w:hint="cs"/>
          <w:rtl/>
          <w:lang w:bidi="he-IL"/>
        </w:rPr>
        <w:t>". הרי שמפורש בר"ן שטעם ההיתר משום דבטיל ברוב. ולכאורה זהו סתירה גלוי' למהלך רע"א ועוד בדעת הר"ן, וכן הביא החזו"א (סי' ל' ס"ק ב') ראי' מדברי ר"ן אלו דלא כרע"א.</w:t>
      </w:r>
    </w:p>
    <w:p w:rsidR="004A6BAD" w:rsidRPr="00882F11" w:rsidRDefault="00E76FFB" w:rsidP="004A6BAD">
      <w:pPr>
        <w:tabs>
          <w:tab w:val="right" w:pos="7497"/>
        </w:tabs>
        <w:bidi/>
        <w:jc w:val="both"/>
        <w:rPr>
          <w:rFonts w:cs="Guttman Drogolin"/>
          <w:rtl/>
          <w:lang w:bidi="he-IL"/>
        </w:rPr>
      </w:pPr>
      <w:r w:rsidRPr="00882F11">
        <w:rPr>
          <w:rFonts w:cs="Guttman Drogolin" w:hint="cs"/>
          <w:rtl/>
          <w:lang w:bidi="he-IL"/>
        </w:rPr>
        <w:t xml:space="preserve">ולכאורה צ"ע עוד יותר מזה, שהרי הב"י כתב כאן בססי' ק"ד שבדברים המאוסים גם הר"ן מודה לרשב"א שאפילו אם התרבה מדתו </w:t>
      </w:r>
      <w:r w:rsidR="000B2AE1" w:rsidRPr="00882F11">
        <w:rPr>
          <w:rFonts w:cs="Guttman Drogolin" w:hint="cs"/>
          <w:rtl/>
          <w:lang w:bidi="he-IL"/>
        </w:rPr>
        <w:t>מ"מ הרי הוא מותר. ולשונו של הב"י בזה "ואף</w:t>
      </w:r>
      <w:r w:rsidR="000B2AE1" w:rsidRPr="00882F11">
        <w:rPr>
          <w:rFonts w:cs="Guttman Drogolin"/>
          <w:rtl/>
          <w:lang w:bidi="he-IL"/>
        </w:rPr>
        <w:t xml:space="preserve"> </w:t>
      </w:r>
      <w:r w:rsidR="000B2AE1" w:rsidRPr="00882F11">
        <w:rPr>
          <w:rFonts w:cs="Guttman Drogolin" w:hint="cs"/>
          <w:rtl/>
          <w:lang w:bidi="he-IL"/>
        </w:rPr>
        <w:t>על</w:t>
      </w:r>
      <w:r w:rsidR="000B2AE1" w:rsidRPr="00882F11">
        <w:rPr>
          <w:rFonts w:cs="Guttman Drogolin"/>
          <w:rtl/>
          <w:lang w:bidi="he-IL"/>
        </w:rPr>
        <w:t xml:space="preserve"> </w:t>
      </w:r>
      <w:r w:rsidR="000B2AE1" w:rsidRPr="00882F11">
        <w:rPr>
          <w:rFonts w:cs="Guttman Drogolin" w:hint="cs"/>
          <w:rtl/>
          <w:lang w:bidi="he-IL"/>
        </w:rPr>
        <w:t>פי</w:t>
      </w:r>
      <w:r w:rsidR="000B2AE1" w:rsidRPr="00882F11">
        <w:rPr>
          <w:rFonts w:cs="Guttman Drogolin"/>
          <w:rtl/>
          <w:lang w:bidi="he-IL"/>
        </w:rPr>
        <w:t xml:space="preserve"> </w:t>
      </w:r>
      <w:r w:rsidR="000B2AE1" w:rsidRPr="00882F11">
        <w:rPr>
          <w:rFonts w:cs="Guttman Drogolin" w:hint="cs"/>
          <w:rtl/>
          <w:lang w:bidi="he-IL"/>
        </w:rPr>
        <w:t>שהר</w:t>
      </w:r>
      <w:r w:rsidR="000B2AE1" w:rsidRPr="00882F11">
        <w:rPr>
          <w:rFonts w:cs="Guttman Drogolin"/>
          <w:rtl/>
          <w:lang w:bidi="he-IL"/>
        </w:rPr>
        <w:t>"</w:t>
      </w:r>
      <w:r w:rsidR="000B2AE1" w:rsidRPr="00882F11">
        <w:rPr>
          <w:rFonts w:cs="Guttman Drogolin" w:hint="cs"/>
          <w:rtl/>
          <w:lang w:bidi="he-IL"/>
        </w:rPr>
        <w:t>ן</w:t>
      </w:r>
      <w:r w:rsidR="000B2AE1" w:rsidRPr="00882F11">
        <w:rPr>
          <w:rFonts w:cs="Guttman Drogolin"/>
          <w:rtl/>
          <w:lang w:bidi="he-IL"/>
        </w:rPr>
        <w:t xml:space="preserve"> </w:t>
      </w:r>
      <w:r w:rsidR="000B2AE1" w:rsidRPr="00882F11">
        <w:rPr>
          <w:rFonts w:cs="Guttman Drogolin" w:hint="cs"/>
          <w:rtl/>
          <w:lang w:bidi="he-IL"/>
        </w:rPr>
        <w:t>חולק</w:t>
      </w:r>
      <w:r w:rsidR="000B2AE1" w:rsidRPr="00882F11">
        <w:rPr>
          <w:rFonts w:cs="Guttman Drogolin"/>
          <w:rtl/>
          <w:lang w:bidi="he-IL"/>
        </w:rPr>
        <w:t xml:space="preserve"> </w:t>
      </w:r>
      <w:r w:rsidR="000B2AE1" w:rsidRPr="00882F11">
        <w:rPr>
          <w:rFonts w:cs="Guttman Drogolin" w:hint="cs"/>
          <w:rtl/>
          <w:lang w:bidi="he-IL"/>
        </w:rPr>
        <w:t>על</w:t>
      </w:r>
      <w:r w:rsidR="000B2AE1" w:rsidRPr="00882F11">
        <w:rPr>
          <w:rFonts w:cs="Guttman Drogolin"/>
          <w:rtl/>
          <w:lang w:bidi="he-IL"/>
        </w:rPr>
        <w:t xml:space="preserve"> </w:t>
      </w:r>
      <w:r w:rsidR="000B2AE1" w:rsidRPr="00882F11">
        <w:rPr>
          <w:rFonts w:cs="Guttman Drogolin" w:hint="cs"/>
          <w:rtl/>
          <w:lang w:bidi="he-IL"/>
        </w:rPr>
        <w:t>הרשב</w:t>
      </w:r>
      <w:r w:rsidR="000B2AE1" w:rsidRPr="00882F11">
        <w:rPr>
          <w:rFonts w:cs="Guttman Drogolin"/>
          <w:rtl/>
          <w:lang w:bidi="he-IL"/>
        </w:rPr>
        <w:t>"</w:t>
      </w:r>
      <w:r w:rsidR="000B2AE1" w:rsidRPr="00882F11">
        <w:rPr>
          <w:rFonts w:cs="Guttman Drogolin" w:hint="cs"/>
          <w:rtl/>
          <w:lang w:bidi="he-IL"/>
        </w:rPr>
        <w:t>א</w:t>
      </w:r>
      <w:r w:rsidR="000B2AE1" w:rsidRPr="00882F11">
        <w:rPr>
          <w:rFonts w:cs="Guttman Drogolin"/>
          <w:rtl/>
          <w:lang w:bidi="he-IL"/>
        </w:rPr>
        <w:t xml:space="preserve"> </w:t>
      </w:r>
      <w:r w:rsidR="000B2AE1" w:rsidRPr="00882F11">
        <w:rPr>
          <w:rFonts w:cs="Guttman Drogolin" w:hint="cs"/>
          <w:rtl/>
          <w:lang w:bidi="he-IL"/>
        </w:rPr>
        <w:t>וכו'</w:t>
      </w:r>
      <w:r w:rsidR="000B2AE1" w:rsidRPr="00882F11">
        <w:rPr>
          <w:rFonts w:cs="Guttman Drogolin"/>
          <w:rtl/>
          <w:lang w:bidi="he-IL"/>
        </w:rPr>
        <w:t xml:space="preserve"> </w:t>
      </w:r>
      <w:r w:rsidR="000B2AE1" w:rsidRPr="00882F11">
        <w:rPr>
          <w:rFonts w:cs="Guttman Drogolin" w:hint="cs"/>
          <w:rtl/>
          <w:lang w:bidi="he-IL"/>
        </w:rPr>
        <w:t>נראה</w:t>
      </w:r>
      <w:r w:rsidR="000B2AE1" w:rsidRPr="00882F11">
        <w:rPr>
          <w:rFonts w:cs="Guttman Drogolin"/>
          <w:rtl/>
          <w:lang w:bidi="he-IL"/>
        </w:rPr>
        <w:t xml:space="preserve"> </w:t>
      </w:r>
      <w:r w:rsidR="000B2AE1" w:rsidRPr="00882F11">
        <w:rPr>
          <w:rFonts w:cs="Guttman Drogolin" w:hint="cs"/>
          <w:rtl/>
          <w:lang w:bidi="he-IL"/>
        </w:rPr>
        <w:t>דבדברים</w:t>
      </w:r>
      <w:r w:rsidR="000B2AE1" w:rsidRPr="00882F11">
        <w:rPr>
          <w:rFonts w:cs="Guttman Drogolin"/>
          <w:rtl/>
          <w:lang w:bidi="he-IL"/>
        </w:rPr>
        <w:t xml:space="preserve"> </w:t>
      </w:r>
      <w:r w:rsidR="000B2AE1" w:rsidRPr="00882F11">
        <w:rPr>
          <w:rFonts w:cs="Guttman Drogolin" w:hint="cs"/>
          <w:rtl/>
          <w:lang w:bidi="he-IL"/>
        </w:rPr>
        <w:t>הפגומים</w:t>
      </w:r>
      <w:r w:rsidR="000B2AE1" w:rsidRPr="00882F11">
        <w:rPr>
          <w:rFonts w:cs="Guttman Drogolin"/>
          <w:rtl/>
          <w:lang w:bidi="he-IL"/>
        </w:rPr>
        <w:t xml:space="preserve"> </w:t>
      </w:r>
      <w:r w:rsidR="000B2AE1" w:rsidRPr="00882F11">
        <w:rPr>
          <w:rFonts w:cs="Guttman Drogolin" w:hint="cs"/>
          <w:rtl/>
          <w:lang w:bidi="he-IL"/>
        </w:rPr>
        <w:t>מעצמם</w:t>
      </w:r>
      <w:r w:rsidR="000B2AE1" w:rsidRPr="00882F11">
        <w:rPr>
          <w:rFonts w:cs="Guttman Drogolin"/>
          <w:rtl/>
          <w:lang w:bidi="he-IL"/>
        </w:rPr>
        <w:t xml:space="preserve"> </w:t>
      </w:r>
      <w:r w:rsidR="000B2AE1" w:rsidRPr="00882F11">
        <w:rPr>
          <w:rFonts w:cs="Guttman Drogolin" w:hint="cs"/>
          <w:rtl/>
          <w:lang w:bidi="he-IL"/>
        </w:rPr>
        <w:t>כעכבר</w:t>
      </w:r>
      <w:r w:rsidR="000B2AE1" w:rsidRPr="00882F11">
        <w:rPr>
          <w:rFonts w:cs="Guttman Drogolin"/>
          <w:rtl/>
          <w:lang w:bidi="he-IL"/>
        </w:rPr>
        <w:t xml:space="preserve"> </w:t>
      </w:r>
      <w:r w:rsidR="000B2AE1" w:rsidRPr="00882F11">
        <w:rPr>
          <w:rFonts w:cs="Guttman Drogolin" w:hint="cs"/>
          <w:rtl/>
          <w:lang w:bidi="he-IL"/>
        </w:rPr>
        <w:t>וכיוצא</w:t>
      </w:r>
      <w:r w:rsidR="000B2AE1" w:rsidRPr="00882F11">
        <w:rPr>
          <w:rFonts w:cs="Guttman Drogolin"/>
          <w:rtl/>
          <w:lang w:bidi="he-IL"/>
        </w:rPr>
        <w:t xml:space="preserve"> </w:t>
      </w:r>
      <w:r w:rsidR="000B2AE1" w:rsidRPr="00882F11">
        <w:rPr>
          <w:rFonts w:cs="Guttman Drogolin" w:hint="cs"/>
          <w:rtl/>
          <w:lang w:bidi="he-IL"/>
        </w:rPr>
        <w:t>בו</w:t>
      </w:r>
      <w:r w:rsidR="000B2AE1" w:rsidRPr="00882F11">
        <w:rPr>
          <w:rFonts w:cs="Guttman Drogolin"/>
          <w:rtl/>
          <w:lang w:bidi="he-IL"/>
        </w:rPr>
        <w:t xml:space="preserve"> </w:t>
      </w:r>
      <w:r w:rsidR="000B2AE1" w:rsidRPr="00882F11">
        <w:rPr>
          <w:rFonts w:cs="Guttman Drogolin" w:hint="cs"/>
          <w:rtl/>
          <w:lang w:bidi="he-IL"/>
        </w:rPr>
        <w:t>מודה</w:t>
      </w:r>
      <w:r w:rsidR="000B2AE1" w:rsidRPr="00882F11">
        <w:rPr>
          <w:rFonts w:cs="Guttman Drogolin"/>
          <w:rtl/>
          <w:lang w:bidi="he-IL"/>
        </w:rPr>
        <w:t xml:space="preserve"> </w:t>
      </w:r>
      <w:r w:rsidR="000B2AE1" w:rsidRPr="00882F11">
        <w:rPr>
          <w:rFonts w:cs="Guttman Drogolin" w:hint="cs"/>
          <w:rtl/>
          <w:lang w:bidi="he-IL"/>
        </w:rPr>
        <w:t>להרשב</w:t>
      </w:r>
      <w:r w:rsidR="000B2AE1" w:rsidRPr="00882F11">
        <w:rPr>
          <w:rFonts w:cs="Guttman Drogolin"/>
          <w:rtl/>
          <w:lang w:bidi="he-IL"/>
        </w:rPr>
        <w:t>"</w:t>
      </w:r>
      <w:r w:rsidR="000B2AE1" w:rsidRPr="00882F11">
        <w:rPr>
          <w:rFonts w:cs="Guttman Drogolin" w:hint="cs"/>
          <w:rtl/>
          <w:lang w:bidi="he-IL"/>
        </w:rPr>
        <w:t>א</w:t>
      </w:r>
      <w:r w:rsidR="000B2AE1" w:rsidRPr="00882F11">
        <w:rPr>
          <w:rFonts w:cs="Guttman Drogolin"/>
          <w:rtl/>
          <w:lang w:bidi="he-IL"/>
        </w:rPr>
        <w:t xml:space="preserve"> </w:t>
      </w:r>
      <w:r w:rsidR="000B2AE1" w:rsidRPr="00882F11">
        <w:rPr>
          <w:rFonts w:cs="Guttman Drogolin" w:hint="cs"/>
          <w:rtl/>
          <w:lang w:bidi="he-IL"/>
        </w:rPr>
        <w:t>ז</w:t>
      </w:r>
      <w:r w:rsidR="000B2AE1" w:rsidRPr="00882F11">
        <w:rPr>
          <w:rFonts w:cs="Guttman Drogolin"/>
          <w:rtl/>
          <w:lang w:bidi="he-IL"/>
        </w:rPr>
        <w:t>"</w:t>
      </w:r>
      <w:r w:rsidR="000B2AE1" w:rsidRPr="00882F11">
        <w:rPr>
          <w:rFonts w:cs="Guttman Drogolin" w:hint="cs"/>
          <w:rtl/>
          <w:lang w:bidi="he-IL"/>
        </w:rPr>
        <w:t>ל</w:t>
      </w:r>
      <w:r w:rsidR="000B2AE1" w:rsidRPr="00882F11">
        <w:rPr>
          <w:rFonts w:cs="Guttman Drogolin"/>
          <w:rtl/>
          <w:lang w:bidi="he-IL"/>
        </w:rPr>
        <w:t xml:space="preserve"> </w:t>
      </w:r>
      <w:r w:rsidR="000B2AE1" w:rsidRPr="00882F11">
        <w:rPr>
          <w:rFonts w:cs="Guttman Drogolin" w:hint="cs"/>
          <w:rtl/>
          <w:lang w:bidi="he-IL"/>
        </w:rPr>
        <w:t>וטעם</w:t>
      </w:r>
      <w:r w:rsidR="000B2AE1" w:rsidRPr="00882F11">
        <w:rPr>
          <w:rFonts w:cs="Guttman Drogolin"/>
          <w:rtl/>
          <w:lang w:bidi="he-IL"/>
        </w:rPr>
        <w:t xml:space="preserve"> </w:t>
      </w:r>
      <w:r w:rsidR="000B2AE1" w:rsidRPr="00882F11">
        <w:rPr>
          <w:rFonts w:cs="Guttman Drogolin" w:hint="cs"/>
          <w:rtl/>
          <w:lang w:bidi="he-IL"/>
        </w:rPr>
        <w:t>גדול</w:t>
      </w:r>
      <w:r w:rsidR="000B2AE1" w:rsidRPr="00882F11">
        <w:rPr>
          <w:rFonts w:cs="Guttman Drogolin"/>
          <w:rtl/>
          <w:lang w:bidi="he-IL"/>
        </w:rPr>
        <w:t xml:space="preserve"> </w:t>
      </w:r>
      <w:r w:rsidR="000B2AE1" w:rsidRPr="00882F11">
        <w:rPr>
          <w:rFonts w:cs="Guttman Drogolin" w:hint="cs"/>
          <w:rtl/>
          <w:lang w:bidi="he-IL"/>
        </w:rPr>
        <w:t>יש</w:t>
      </w:r>
      <w:r w:rsidR="000B2AE1" w:rsidRPr="00882F11">
        <w:rPr>
          <w:rFonts w:cs="Guttman Drogolin"/>
          <w:rtl/>
          <w:lang w:bidi="he-IL"/>
        </w:rPr>
        <w:t xml:space="preserve"> </w:t>
      </w:r>
      <w:r w:rsidR="000B2AE1" w:rsidRPr="00882F11">
        <w:rPr>
          <w:rFonts w:cs="Guttman Drogolin" w:hint="cs"/>
          <w:rtl/>
          <w:lang w:bidi="he-IL"/>
        </w:rPr>
        <w:t>לחלק</w:t>
      </w:r>
      <w:r w:rsidR="000B2AE1" w:rsidRPr="00882F11">
        <w:rPr>
          <w:rFonts w:cs="Guttman Drogolin"/>
          <w:rtl/>
          <w:lang w:bidi="he-IL"/>
        </w:rPr>
        <w:t xml:space="preserve"> </w:t>
      </w:r>
      <w:r w:rsidR="000B2AE1" w:rsidRPr="00882F11">
        <w:rPr>
          <w:rFonts w:cs="Guttman Drogolin" w:hint="cs"/>
          <w:rtl/>
          <w:lang w:bidi="he-IL"/>
        </w:rPr>
        <w:t xml:space="preserve">ביניהם". הרי הדברים להיפך, שמסברא היינו אומרים שכאן הר"ן אוסר אפילו אם לא התרבה מדתו וכנ"ל, ובא הב"י שבכה"ג אדרבה, </w:t>
      </w:r>
      <w:r w:rsidR="004A6BAD" w:rsidRPr="00882F11">
        <w:rPr>
          <w:rFonts w:cs="Guttman Drogolin" w:hint="cs"/>
          <w:rtl/>
          <w:lang w:bidi="he-IL"/>
        </w:rPr>
        <w:t>טעם גדול יש לומר</w:t>
      </w:r>
      <w:r w:rsidR="000B2AE1" w:rsidRPr="00882F11">
        <w:rPr>
          <w:rFonts w:cs="Guttman Drogolin" w:hint="cs"/>
          <w:rtl/>
          <w:lang w:bidi="he-IL"/>
        </w:rPr>
        <w:t xml:space="preserve"> </w:t>
      </w:r>
      <w:r w:rsidR="004A6BAD" w:rsidRPr="00882F11">
        <w:rPr>
          <w:rFonts w:cs="Guttman Drogolin" w:hint="cs"/>
          <w:rtl/>
          <w:lang w:bidi="he-IL"/>
        </w:rPr>
        <w:t>ש</w:t>
      </w:r>
      <w:r w:rsidR="000B2AE1" w:rsidRPr="00882F11">
        <w:rPr>
          <w:rFonts w:cs="Guttman Drogolin" w:hint="cs"/>
          <w:rtl/>
          <w:lang w:bidi="he-IL"/>
        </w:rPr>
        <w:t>הר"ן מודה להיתר</w:t>
      </w:r>
      <w:r w:rsidR="004A6BAD" w:rsidRPr="00882F11">
        <w:rPr>
          <w:rFonts w:cs="Guttman Drogolin" w:hint="cs"/>
          <w:rtl/>
          <w:lang w:bidi="he-IL"/>
        </w:rPr>
        <w:t xml:space="preserve"> אפילו התרבה מדתו, והוא לכאורה צ"ע מסברא. והש"ך הביא כדברים האלו מן הב"י, ובשפ"ד שם בסברא לחלק ביניהם וסיים וכתב "ולא</w:t>
      </w:r>
      <w:r w:rsidR="004A6BAD" w:rsidRPr="00882F11">
        <w:rPr>
          <w:rFonts w:cs="Guttman Drogolin"/>
          <w:rtl/>
          <w:lang w:bidi="he-IL"/>
        </w:rPr>
        <w:t xml:space="preserve"> </w:t>
      </w:r>
      <w:r w:rsidR="004A6BAD" w:rsidRPr="00882F11">
        <w:rPr>
          <w:rFonts w:cs="Guttman Drogolin" w:hint="cs"/>
          <w:rtl/>
          <w:lang w:bidi="he-IL"/>
        </w:rPr>
        <w:t>מצאתי</w:t>
      </w:r>
      <w:r w:rsidR="004A6BAD" w:rsidRPr="00882F11">
        <w:rPr>
          <w:rFonts w:cs="Guttman Drogolin"/>
          <w:rtl/>
          <w:lang w:bidi="he-IL"/>
        </w:rPr>
        <w:t xml:space="preserve"> </w:t>
      </w:r>
      <w:r w:rsidR="004A6BAD" w:rsidRPr="00882F11">
        <w:rPr>
          <w:rFonts w:cs="Guttman Drogolin" w:hint="cs"/>
          <w:rtl/>
          <w:lang w:bidi="he-IL"/>
        </w:rPr>
        <w:t>לאחד</w:t>
      </w:r>
      <w:r w:rsidR="004A6BAD" w:rsidRPr="00882F11">
        <w:rPr>
          <w:rFonts w:cs="Guttman Drogolin"/>
          <w:rtl/>
          <w:lang w:bidi="he-IL"/>
        </w:rPr>
        <w:t xml:space="preserve"> </w:t>
      </w:r>
      <w:r w:rsidR="004A6BAD" w:rsidRPr="00882F11">
        <w:rPr>
          <w:rFonts w:cs="Guttman Drogolin" w:hint="cs"/>
          <w:rtl/>
          <w:lang w:bidi="he-IL"/>
        </w:rPr>
        <w:t>מהאחרונים</w:t>
      </w:r>
      <w:r w:rsidR="004A6BAD" w:rsidRPr="00882F11">
        <w:rPr>
          <w:rFonts w:cs="Guttman Drogolin"/>
          <w:rtl/>
          <w:lang w:bidi="he-IL"/>
        </w:rPr>
        <w:t xml:space="preserve"> </w:t>
      </w:r>
      <w:r w:rsidR="004A6BAD" w:rsidRPr="00882F11">
        <w:rPr>
          <w:rFonts w:cs="Guttman Drogolin" w:hint="cs"/>
          <w:rtl/>
          <w:lang w:bidi="he-IL"/>
        </w:rPr>
        <w:t>שיאמרו</w:t>
      </w:r>
      <w:r w:rsidR="004A6BAD" w:rsidRPr="00882F11">
        <w:rPr>
          <w:rFonts w:cs="Guttman Drogolin"/>
          <w:rtl/>
          <w:lang w:bidi="he-IL"/>
        </w:rPr>
        <w:t xml:space="preserve"> </w:t>
      </w:r>
      <w:r w:rsidR="004A6BAD" w:rsidRPr="00882F11">
        <w:rPr>
          <w:rFonts w:cs="Guttman Drogolin" w:hint="cs"/>
          <w:rtl/>
          <w:lang w:bidi="he-IL"/>
        </w:rPr>
        <w:t>בזה".</w:t>
      </w:r>
    </w:p>
    <w:p w:rsidR="00FB4F83" w:rsidRPr="00882F11" w:rsidRDefault="00FB4F83" w:rsidP="00FB4F83">
      <w:pPr>
        <w:tabs>
          <w:tab w:val="right" w:pos="7497"/>
        </w:tabs>
        <w:bidi/>
        <w:jc w:val="both"/>
        <w:rPr>
          <w:rFonts w:cs="Guttman Drogolin"/>
          <w:rtl/>
          <w:lang w:bidi="he-IL"/>
        </w:rPr>
      </w:pPr>
      <w:r w:rsidRPr="00882F11">
        <w:rPr>
          <w:rFonts w:cs="Guttman Drogolin" w:hint="cs"/>
          <w:rtl/>
          <w:lang w:bidi="he-IL"/>
        </w:rPr>
        <w:lastRenderedPageBreak/>
        <w:t xml:space="preserve">אמנם בהאי ענינא ע' במש"כ בביאור הגר"א ס"ק </w:t>
      </w:r>
      <w:r w:rsidR="0075176D" w:rsidRPr="00882F11">
        <w:rPr>
          <w:rFonts w:cs="Guttman Drogolin" w:hint="cs"/>
          <w:rtl/>
          <w:lang w:bidi="he-IL"/>
        </w:rPr>
        <w:t xml:space="preserve">י"א דשאני הכא שהם פגומים לגמרי לא מתהני כלל ולכן גם הר"ן מודה. ור"ל שאמנם הי' אמור להיות שמח מריבוי מדתו, כיון שהם כ"כ פגומים הרי זה פוגם את תבשילו כ"כ שאין לו שמחה מריבוי המדה. </w:t>
      </w:r>
    </w:p>
    <w:p w:rsidR="00E76FFB" w:rsidRPr="00882F11" w:rsidRDefault="0075176D" w:rsidP="00870F7B">
      <w:pPr>
        <w:tabs>
          <w:tab w:val="right" w:pos="7497"/>
        </w:tabs>
        <w:bidi/>
        <w:jc w:val="both"/>
        <w:rPr>
          <w:rFonts w:cs="Guttman Drogolin"/>
          <w:rtl/>
          <w:lang w:bidi="he-IL"/>
        </w:rPr>
      </w:pPr>
      <w:r w:rsidRPr="00882F11">
        <w:rPr>
          <w:rFonts w:cs="Guttman Drogolin" w:hint="cs"/>
          <w:rtl/>
          <w:lang w:bidi="he-IL"/>
        </w:rPr>
        <w:t xml:space="preserve">אמנם </w:t>
      </w:r>
      <w:r w:rsidR="004A6BAD" w:rsidRPr="00882F11">
        <w:rPr>
          <w:rFonts w:cs="Guttman Drogolin" w:hint="cs"/>
          <w:rtl/>
          <w:lang w:bidi="he-IL"/>
        </w:rPr>
        <w:t>מה שנראה לומר בזה, דהנה עכ"פ לשיטת הרשב"א לא נאמר הדין של היכר טעם אלא בנ"ט לשבח, אבל בנטל"פ, אע"ג שהטעם ניכר לא. ואפשר לבאר את זה באופנים שונים, אבל י"ל משום דרק אחרי הגזה"כ דטכ"ע אמירנן שהיכר טעם מונע הביטול, ומיני' שרק טעם לשבח שהוא בכלל גזה"כ דטכ"ע ואינו בטל, אבל נטל"פ בטל. ואיכא למימר שגם הר"ן מודה בעצם לכלל זה ונטל"פ בטל, רק שנחלקו הרשב"א  והר"ן מה חשוב טעם לשבח ומה חשוב טעם לפגם. שהרשב"א סבר דאע"ג שהטעם אינו פגום מצד עצמו לגמרי, מ"מ כיון שהוא פוגם את התבשיל הרי הוא בכלל דינא דנטל"פ ולא נאמר בה הדין של היכר טעם. אבל הר"ן סבר דכיון שהטעם כשלעצמו אינו סרוח לגמרי</w:t>
      </w:r>
      <w:r w:rsidR="00870F7B" w:rsidRPr="00882F11">
        <w:rPr>
          <w:rFonts w:cs="Guttman Drogolin" w:hint="cs"/>
          <w:rtl/>
          <w:lang w:bidi="he-IL"/>
        </w:rPr>
        <w:t xml:space="preserve"> אמרינן בי' דינא דטכ"ע, ולכן אינו בטל. וכי תימא דא"כ למה לא יהא הטעם אוסר את התבשיל, סבר הר"ן שזהו הדין שנלמד מנבילה שאינה ראוי' לגר, שאם יש לנו איסור אע"פ שאינו סרוח לגמרי, אם פוגם ואינו מרויח ממנו אין איסור לאכלו. ומ"מ הנ"מ בדבר שמצד הטעם של עצמו אינו סרוח לגמרי, אבל דברים המאוסים, אע"פ שמצד עצמם אסורים דהא בהכי חייבי' רחמנא, מ"מ לא נאמר בהם הדין של טכ"ע כיון שאין בהם טעם טוב כל</w:t>
      </w:r>
      <w:r w:rsidR="00FB4F83" w:rsidRPr="00882F11">
        <w:rPr>
          <w:rFonts w:cs="Guttman Drogolin" w:hint="cs"/>
          <w:rtl/>
          <w:lang w:bidi="he-IL"/>
        </w:rPr>
        <w:t>ל, וכמש"כ הרשב"א שאין זה טעם כיון שהוא</w:t>
      </w:r>
      <w:r w:rsidR="00870F7B" w:rsidRPr="00882F11">
        <w:rPr>
          <w:rFonts w:cs="Guttman Drogolin" w:hint="cs"/>
          <w:rtl/>
          <w:lang w:bidi="he-IL"/>
        </w:rPr>
        <w:t xml:space="preserve"> לפגם.</w:t>
      </w:r>
      <w:r w:rsidR="00FB4F83" w:rsidRPr="00882F11">
        <w:rPr>
          <w:rFonts w:cs="Guttman Drogolin" w:hint="cs"/>
          <w:rtl/>
          <w:lang w:bidi="he-IL"/>
        </w:rPr>
        <w:t xml:space="preserve"> וכיון שכן חזר הדין בטעם של דברין המאוסים להיות בטלים כשארי הדברים שלא האמר בהם הדין של טכ"ע. וכיון שכן ודאי שדברי הב"י נכונים, דכיון שאנחנו מתירים אותו משום שהוא בטל, כבר אין מקום לחומרא של הר"ן במתרבה מדתו, דזה לא נאמר אלא בדברין שאינם בטלים, אבל הנהו בטלים וכמש"נ. </w:t>
      </w:r>
      <w:r w:rsidR="004A6BAD" w:rsidRPr="00882F11">
        <w:rPr>
          <w:rFonts w:cs="Guttman Drogolin" w:hint="cs"/>
          <w:rtl/>
          <w:lang w:bidi="he-IL"/>
        </w:rPr>
        <w:t xml:space="preserve"> </w:t>
      </w:r>
      <w:r w:rsidR="000B2AE1" w:rsidRPr="00882F11">
        <w:rPr>
          <w:rFonts w:cs="Guttman Drogolin"/>
          <w:rtl/>
          <w:lang w:bidi="he-IL"/>
        </w:rPr>
        <w:t xml:space="preserve"> </w:t>
      </w:r>
    </w:p>
    <w:p w:rsidR="00D15826" w:rsidRPr="00882F11" w:rsidRDefault="00D15826" w:rsidP="00D15826">
      <w:pPr>
        <w:tabs>
          <w:tab w:val="right" w:pos="7497"/>
        </w:tabs>
        <w:bidi/>
        <w:jc w:val="both"/>
        <w:rPr>
          <w:rFonts w:cs="Guttman Drogolin"/>
          <w:b/>
          <w:bCs/>
          <w:sz w:val="28"/>
          <w:szCs w:val="28"/>
          <w:rtl/>
          <w:lang w:bidi="he-IL"/>
        </w:rPr>
        <w:sectPr w:rsidR="00D15826" w:rsidRPr="00882F11" w:rsidSect="006D0A1E">
          <w:type w:val="continuous"/>
          <w:pgSz w:w="11907" w:h="16839" w:code="9"/>
          <w:pgMar w:top="1440" w:right="1440" w:bottom="1440" w:left="1440" w:header="720" w:footer="720" w:gutter="0"/>
          <w:cols w:num="2" w:space="720"/>
          <w:bidi/>
          <w:docGrid w:linePitch="360"/>
        </w:sectPr>
      </w:pPr>
    </w:p>
    <w:p w:rsidR="00D15826" w:rsidRPr="006D0A1E" w:rsidRDefault="00D15826" w:rsidP="00D15826">
      <w:pPr>
        <w:keepNext/>
        <w:tabs>
          <w:tab w:val="left" w:pos="3818"/>
          <w:tab w:val="center" w:pos="4680"/>
        </w:tabs>
        <w:bidi/>
        <w:jc w:val="center"/>
        <w:rPr>
          <w:rFonts w:cs="Guttman Drogolin"/>
          <w:b/>
          <w:bCs/>
          <w:sz w:val="48"/>
          <w:szCs w:val="48"/>
          <w:rtl/>
          <w:lang w:bidi="he-IL"/>
        </w:rPr>
      </w:pPr>
      <w:r w:rsidRPr="006D0A1E">
        <w:rPr>
          <w:rFonts w:cs="Guttman Drogolin" w:hint="cs"/>
          <w:b/>
          <w:bCs/>
          <w:sz w:val="48"/>
          <w:szCs w:val="48"/>
          <w:rtl/>
          <w:lang w:bidi="he-IL"/>
        </w:rPr>
        <w:lastRenderedPageBreak/>
        <w:t>שיעור צ"ד</w:t>
      </w:r>
    </w:p>
    <w:p w:rsidR="006D0A1E" w:rsidRDefault="006D0A1E" w:rsidP="006D0A1E">
      <w:pPr>
        <w:pStyle w:val="Heading1"/>
        <w:bidi/>
        <w:spacing w:before="0" w:line="240" w:lineRule="auto"/>
        <w:jc w:val="center"/>
        <w:rPr>
          <w:rFonts w:cs="Guttman Drogolin"/>
          <w:color w:val="auto"/>
          <w:sz w:val="22"/>
          <w:szCs w:val="22"/>
          <w:u w:val="single"/>
          <w:rtl/>
          <w:lang w:bidi="he-IL"/>
        </w:rPr>
        <w:sectPr w:rsidR="006D0A1E" w:rsidSect="006D0A1E">
          <w:headerReference w:type="default" r:id="rId71"/>
          <w:pgSz w:w="11907" w:h="16839" w:code="9"/>
          <w:pgMar w:top="1440" w:right="1440" w:bottom="1440" w:left="1440" w:header="720" w:footer="720" w:gutter="0"/>
          <w:cols w:space="720"/>
          <w:bidi/>
          <w:docGrid w:linePitch="360"/>
        </w:sectPr>
      </w:pPr>
    </w:p>
    <w:p w:rsidR="00D15826" w:rsidRPr="006D0A1E" w:rsidRDefault="00D15826" w:rsidP="006D0A1E">
      <w:pPr>
        <w:pStyle w:val="Heading1"/>
        <w:bidi/>
        <w:spacing w:before="0" w:line="240" w:lineRule="auto"/>
        <w:jc w:val="center"/>
        <w:rPr>
          <w:rFonts w:cs="Guttman Drogolin"/>
          <w:color w:val="auto"/>
          <w:sz w:val="22"/>
          <w:szCs w:val="22"/>
          <w:u w:val="single"/>
          <w:rtl/>
          <w:lang w:bidi="he-IL"/>
        </w:rPr>
      </w:pPr>
      <w:bookmarkStart w:id="384" w:name="_Toc496175631"/>
      <w:r w:rsidRPr="006D0A1E">
        <w:rPr>
          <w:rFonts w:cs="Guttman Drogolin" w:hint="cs"/>
          <w:color w:val="auto"/>
          <w:sz w:val="22"/>
          <w:szCs w:val="22"/>
          <w:u w:val="single"/>
          <w:rtl/>
          <w:lang w:bidi="he-IL"/>
        </w:rPr>
        <w:lastRenderedPageBreak/>
        <w:t>בנידון של דג טמא שנמצא בתוך תערובת של דגים טהורים שהתבשלו ביחד בתוך מחבת א'</w:t>
      </w:r>
      <w:bookmarkEnd w:id="384"/>
    </w:p>
    <w:p w:rsidR="0064738A" w:rsidRPr="00882F11" w:rsidRDefault="00A413C6" w:rsidP="005A46F0">
      <w:pPr>
        <w:tabs>
          <w:tab w:val="right" w:pos="7497"/>
        </w:tabs>
        <w:bidi/>
        <w:jc w:val="both"/>
        <w:rPr>
          <w:rFonts w:cs="Guttman Drogolin"/>
          <w:rtl/>
          <w:lang w:bidi="he-IL"/>
        </w:rPr>
      </w:pPr>
      <w:r>
        <w:rPr>
          <w:rFonts w:cs="Guttman Drogolin"/>
          <w:rtl/>
          <w:lang w:bidi="he-IL"/>
        </w:rPr>
        <w:fldChar w:fldCharType="begin"/>
      </w:r>
      <w:r>
        <w:instrText xml:space="preserve"> XE "</w:instrText>
      </w:r>
      <w:r w:rsidRPr="00456552">
        <w:rPr>
          <w:rFonts w:hint="cs"/>
          <w:rtl/>
          <w:lang w:bidi="he-IL"/>
        </w:rPr>
        <w:instrText>שיעור ששים</w:instrText>
      </w:r>
      <w:r w:rsidRPr="00456552">
        <w:rPr>
          <w:rtl/>
        </w:rPr>
        <w:instrText>:</w:instrText>
      </w:r>
      <w:r w:rsidRPr="00456552">
        <w:rPr>
          <w:rFonts w:hint="cs"/>
          <w:rtl/>
          <w:lang w:bidi="he-IL"/>
        </w:rPr>
        <w:instrText>כששופך תבשיל שיש בה דג טמא לתוך כלי אחר</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2000F3">
        <w:rPr>
          <w:rFonts w:hint="cs"/>
          <w:rtl/>
          <w:lang w:bidi="he-IL"/>
        </w:rPr>
        <w:instrText>דג טמא</w:instrText>
      </w:r>
      <w:r w:rsidRPr="002000F3">
        <w:rPr>
          <w:rtl/>
        </w:rPr>
        <w:instrText>:</w:instrText>
      </w:r>
      <w:r w:rsidRPr="002000F3">
        <w:rPr>
          <w:rFonts w:hint="cs"/>
          <w:rtl/>
          <w:lang w:bidi="he-IL"/>
        </w:rPr>
        <w:instrText>שבתערובת דגים אחרים - יו</w:instrText>
      </w:r>
      <w:r>
        <w:rPr>
          <w:rFonts w:eastAsiaTheme="minorEastAsia"/>
          <w:lang w:bidi="he-IL"/>
        </w:rPr>
        <w:instrText>\</w:instrText>
      </w:r>
      <w:r w:rsidRPr="002000F3">
        <w:rPr>
          <w:rFonts w:hint="cs"/>
          <w:rtl/>
          <w:lang w:bidi="he-IL"/>
        </w:rPr>
        <w:instrText>"ד סי' ק</w:instrText>
      </w:r>
      <w:r>
        <w:rPr>
          <w:rFonts w:eastAsiaTheme="minorEastAsia"/>
          <w:lang w:bidi="he-IL"/>
        </w:rPr>
        <w:instrText>\</w:instrText>
      </w:r>
      <w:r w:rsidRPr="002000F3">
        <w:rPr>
          <w:rFonts w:hint="cs"/>
          <w:rtl/>
          <w:lang w:bidi="he-IL"/>
        </w:rPr>
        <w:instrText>"ז</w:instrText>
      </w:r>
      <w:r>
        <w:instrText xml:space="preserve">" </w:instrText>
      </w:r>
      <w:r>
        <w:rPr>
          <w:rFonts w:cs="Guttman Drogolin"/>
          <w:rtl/>
          <w:lang w:bidi="he-IL"/>
        </w:rPr>
        <w:fldChar w:fldCharType="end"/>
      </w:r>
      <w:r w:rsidR="00D15826" w:rsidRPr="00882F11">
        <w:rPr>
          <w:rFonts w:cs="Guttman Drogolin" w:hint="cs"/>
          <w:rtl/>
          <w:lang w:bidi="he-IL"/>
        </w:rPr>
        <w:t>בסי' ק"ז מובא שהראשונים דנו במחבת שבישלו בה הרבה דגים בבת א', ושוב נשפכו לתוך קערה, ונמצא ביניהם דג טמא. ומיירי</w:t>
      </w:r>
      <w:r w:rsidR="00E26761" w:rsidRPr="00882F11">
        <w:rPr>
          <w:rFonts w:cs="Guttman Drogolin" w:hint="cs"/>
          <w:rtl/>
          <w:lang w:bidi="he-IL"/>
        </w:rPr>
        <w:t xml:space="preserve"> בכה"ג שיש ששים במים ודגים הטהורים נגד הדג טמא, ולכן אין לאסור המים ושאר הדגים משום התערובת שלפנינו. </w:t>
      </w:r>
      <w:r w:rsidR="005A46F0" w:rsidRPr="00882F11">
        <w:rPr>
          <w:rFonts w:cs="Guttman Drogolin" w:hint="cs"/>
          <w:rtl/>
          <w:lang w:bidi="he-IL"/>
        </w:rPr>
        <w:t xml:space="preserve">וכן לא מיירי בכה"ג שהדג טמא עדיין מעורב בו ולא ניכר, דהא אילו כן היו כל הדגים אסורים ולא בטלים כיון דברי' לא בטלה. </w:t>
      </w:r>
      <w:r w:rsidR="00E26761" w:rsidRPr="00882F11">
        <w:rPr>
          <w:rFonts w:cs="Guttman Drogolin" w:hint="cs"/>
          <w:rtl/>
          <w:lang w:bidi="he-IL"/>
        </w:rPr>
        <w:t xml:space="preserve">אמנם נחלקו הפוסקים אם יש מקום לחשוש שבשעה ששפכו הדגים והמים מן המחבת נאסרו הדגים וכמו שיתבאר. </w:t>
      </w:r>
    </w:p>
    <w:p w:rsidR="00CF4DF4" w:rsidRPr="00882F11" w:rsidRDefault="0064738A" w:rsidP="00CF4DF4">
      <w:pPr>
        <w:tabs>
          <w:tab w:val="right" w:pos="7497"/>
        </w:tabs>
        <w:bidi/>
        <w:jc w:val="both"/>
        <w:rPr>
          <w:rFonts w:cs="Guttman Drogolin"/>
          <w:rtl/>
          <w:lang w:bidi="he-IL"/>
        </w:rPr>
      </w:pPr>
      <w:r w:rsidRPr="00882F11">
        <w:rPr>
          <w:rFonts w:cs="Guttman Drogolin" w:hint="cs"/>
          <w:rtl/>
          <w:lang w:bidi="he-IL"/>
        </w:rPr>
        <w:t>כתב הטור</w:t>
      </w:r>
      <w:r w:rsidR="005A46F0" w:rsidRPr="00882F11">
        <w:rPr>
          <w:rFonts w:cs="Guttman Drogolin" w:hint="cs"/>
          <w:rtl/>
          <w:lang w:bidi="he-IL"/>
        </w:rPr>
        <w:t xml:space="preserve"> בשם סמ"ג</w:t>
      </w:r>
      <w:r w:rsidR="005A46F0" w:rsidRPr="00882F11">
        <w:rPr>
          <w:rFonts w:cs="Guttman Drogolin"/>
          <w:rtl/>
          <w:lang w:bidi="he-IL"/>
        </w:rPr>
        <w:t xml:space="preserve"> </w:t>
      </w:r>
      <w:r w:rsidR="005A46F0" w:rsidRPr="00882F11">
        <w:rPr>
          <w:rFonts w:cs="Guttman Drogolin" w:hint="cs"/>
          <w:rtl/>
          <w:lang w:bidi="he-IL"/>
        </w:rPr>
        <w:t>"דגים</w:t>
      </w:r>
      <w:r w:rsidR="005A46F0" w:rsidRPr="00882F11">
        <w:rPr>
          <w:rFonts w:cs="Guttman Drogolin"/>
          <w:rtl/>
          <w:lang w:bidi="he-IL"/>
        </w:rPr>
        <w:t xml:space="preserve"> </w:t>
      </w:r>
      <w:r w:rsidR="005A46F0" w:rsidRPr="00882F11">
        <w:rPr>
          <w:rFonts w:cs="Guttman Drogolin" w:hint="cs"/>
          <w:rtl/>
          <w:lang w:bidi="he-IL"/>
        </w:rPr>
        <w:t>קטנים</w:t>
      </w:r>
      <w:r w:rsidR="005A46F0" w:rsidRPr="00882F11">
        <w:rPr>
          <w:rFonts w:cs="Guttman Drogolin"/>
          <w:rtl/>
          <w:lang w:bidi="he-IL"/>
        </w:rPr>
        <w:t xml:space="preserve"> </w:t>
      </w:r>
      <w:r w:rsidR="005A46F0" w:rsidRPr="00882F11">
        <w:rPr>
          <w:rFonts w:cs="Guttman Drogolin" w:hint="cs"/>
          <w:rtl/>
          <w:lang w:bidi="he-IL"/>
        </w:rPr>
        <w:t>שנתבשלו</w:t>
      </w:r>
      <w:r w:rsidR="005A46F0" w:rsidRPr="00882F11">
        <w:rPr>
          <w:rFonts w:cs="Guttman Drogolin"/>
          <w:rtl/>
          <w:lang w:bidi="he-IL"/>
        </w:rPr>
        <w:t xml:space="preserve"> </w:t>
      </w:r>
      <w:r w:rsidR="005A46F0" w:rsidRPr="00882F11">
        <w:rPr>
          <w:rFonts w:cs="Guttman Drogolin" w:hint="cs"/>
          <w:rtl/>
          <w:lang w:bidi="he-IL"/>
        </w:rPr>
        <w:t>ונמצא</w:t>
      </w:r>
      <w:r w:rsidR="005A46F0" w:rsidRPr="00882F11">
        <w:rPr>
          <w:rFonts w:cs="Guttman Drogolin"/>
          <w:rtl/>
          <w:lang w:bidi="he-IL"/>
        </w:rPr>
        <w:t xml:space="preserve"> </w:t>
      </w:r>
      <w:r w:rsidR="005A46F0" w:rsidRPr="00882F11">
        <w:rPr>
          <w:rFonts w:cs="Guttman Drogolin" w:hint="cs"/>
          <w:rtl/>
          <w:lang w:bidi="he-IL"/>
        </w:rPr>
        <w:t>בהן</w:t>
      </w:r>
      <w:r w:rsidR="005A46F0" w:rsidRPr="00882F11">
        <w:rPr>
          <w:rFonts w:cs="Guttman Drogolin"/>
          <w:rtl/>
          <w:lang w:bidi="he-IL"/>
        </w:rPr>
        <w:t xml:space="preserve"> </w:t>
      </w:r>
      <w:r w:rsidR="005A46F0" w:rsidRPr="00882F11">
        <w:rPr>
          <w:rFonts w:cs="Guttman Drogolin" w:hint="cs"/>
          <w:rtl/>
          <w:lang w:bidi="he-IL"/>
        </w:rPr>
        <w:t>דג</w:t>
      </w:r>
      <w:r w:rsidR="005A46F0" w:rsidRPr="00882F11">
        <w:rPr>
          <w:rFonts w:cs="Guttman Drogolin"/>
          <w:rtl/>
          <w:lang w:bidi="he-IL"/>
        </w:rPr>
        <w:t xml:space="preserve"> </w:t>
      </w:r>
      <w:r w:rsidR="005A46F0" w:rsidRPr="00882F11">
        <w:rPr>
          <w:rFonts w:cs="Guttman Drogolin" w:hint="cs"/>
          <w:rtl/>
          <w:lang w:bidi="he-IL"/>
        </w:rPr>
        <w:t>טמא</w:t>
      </w:r>
      <w:r w:rsidR="005A46F0" w:rsidRPr="00882F11">
        <w:rPr>
          <w:rFonts w:cs="Guttman Drogolin"/>
          <w:rtl/>
          <w:lang w:bidi="he-IL"/>
        </w:rPr>
        <w:t xml:space="preserve"> </w:t>
      </w:r>
      <w:r w:rsidR="005A46F0" w:rsidRPr="00882F11">
        <w:rPr>
          <w:rFonts w:cs="Guttman Drogolin" w:hint="cs"/>
          <w:rtl/>
          <w:lang w:bidi="he-IL"/>
        </w:rPr>
        <w:t>יש</w:t>
      </w:r>
      <w:r w:rsidR="005A46F0" w:rsidRPr="00882F11">
        <w:rPr>
          <w:rFonts w:cs="Guttman Drogolin"/>
          <w:rtl/>
          <w:lang w:bidi="he-IL"/>
        </w:rPr>
        <w:t xml:space="preserve"> </w:t>
      </w:r>
      <w:r w:rsidR="005A46F0" w:rsidRPr="00882F11">
        <w:rPr>
          <w:rFonts w:cs="Guttman Drogolin" w:hint="cs"/>
          <w:rtl/>
          <w:lang w:bidi="he-IL"/>
        </w:rPr>
        <w:t>אוסרים</w:t>
      </w:r>
      <w:r w:rsidR="005A46F0" w:rsidRPr="00882F11">
        <w:rPr>
          <w:rFonts w:cs="Guttman Drogolin"/>
          <w:rtl/>
          <w:lang w:bidi="he-IL"/>
        </w:rPr>
        <w:t xml:space="preserve"> </w:t>
      </w:r>
      <w:r w:rsidR="005A46F0" w:rsidRPr="00882F11">
        <w:rPr>
          <w:rFonts w:cs="Guttman Drogolin" w:hint="cs"/>
          <w:rtl/>
          <w:lang w:bidi="he-IL"/>
        </w:rPr>
        <w:t>אפי</w:t>
      </w:r>
      <w:r w:rsidR="005A46F0" w:rsidRPr="00882F11">
        <w:rPr>
          <w:rFonts w:cs="Guttman Drogolin"/>
          <w:rtl/>
          <w:lang w:bidi="he-IL"/>
        </w:rPr>
        <w:t xml:space="preserve">' </w:t>
      </w:r>
      <w:r w:rsidR="005A46F0" w:rsidRPr="00882F11">
        <w:rPr>
          <w:rFonts w:cs="Guttman Drogolin" w:hint="cs"/>
          <w:rtl/>
          <w:lang w:bidi="he-IL"/>
        </w:rPr>
        <w:t>מכירו</w:t>
      </w:r>
      <w:r w:rsidR="005A46F0" w:rsidRPr="00882F11">
        <w:rPr>
          <w:rFonts w:cs="Guttman Drogolin"/>
          <w:rtl/>
          <w:lang w:bidi="he-IL"/>
        </w:rPr>
        <w:t xml:space="preserve"> </w:t>
      </w:r>
      <w:r w:rsidR="005A46F0" w:rsidRPr="00882F11">
        <w:rPr>
          <w:rFonts w:cs="Guttman Drogolin" w:hint="cs"/>
          <w:rtl/>
          <w:lang w:bidi="he-IL"/>
        </w:rPr>
        <w:t>וזורקו</w:t>
      </w:r>
      <w:r w:rsidR="005A46F0" w:rsidRPr="00882F11">
        <w:rPr>
          <w:rFonts w:cs="Guttman Drogolin"/>
          <w:rtl/>
          <w:lang w:bidi="he-IL"/>
        </w:rPr>
        <w:t xml:space="preserve"> </w:t>
      </w:r>
      <w:r w:rsidR="005A46F0" w:rsidRPr="00882F11">
        <w:rPr>
          <w:rFonts w:cs="Guttman Drogolin" w:hint="cs"/>
          <w:rtl/>
          <w:lang w:bidi="he-IL"/>
        </w:rPr>
        <w:t>ויש</w:t>
      </w:r>
      <w:r w:rsidR="005A46F0" w:rsidRPr="00882F11">
        <w:rPr>
          <w:rFonts w:cs="Guttman Drogolin"/>
          <w:rtl/>
          <w:lang w:bidi="he-IL"/>
        </w:rPr>
        <w:t xml:space="preserve"> </w:t>
      </w:r>
      <w:r w:rsidR="005A46F0" w:rsidRPr="00882F11">
        <w:rPr>
          <w:rFonts w:cs="Guttman Drogolin" w:hint="cs"/>
          <w:rtl/>
          <w:lang w:bidi="he-IL"/>
        </w:rPr>
        <w:t>ס</w:t>
      </w:r>
      <w:r w:rsidR="005A46F0" w:rsidRPr="00882F11">
        <w:rPr>
          <w:rFonts w:cs="Guttman Drogolin"/>
          <w:rtl/>
          <w:lang w:bidi="he-IL"/>
        </w:rPr>
        <w:t xml:space="preserve">' </w:t>
      </w:r>
      <w:r w:rsidR="005A46F0" w:rsidRPr="00882F11">
        <w:rPr>
          <w:rFonts w:cs="Guttman Drogolin" w:hint="cs"/>
          <w:rtl/>
          <w:lang w:bidi="he-IL"/>
        </w:rPr>
        <w:t>לבטלו</w:t>
      </w:r>
      <w:r w:rsidR="005A46F0" w:rsidRPr="00882F11">
        <w:rPr>
          <w:rFonts w:cs="Guttman Drogolin"/>
          <w:rtl/>
          <w:lang w:bidi="he-IL"/>
        </w:rPr>
        <w:t xml:space="preserve"> </w:t>
      </w:r>
      <w:r w:rsidR="005A46F0" w:rsidRPr="00882F11">
        <w:rPr>
          <w:rFonts w:cs="Guttman Drogolin" w:hint="cs"/>
          <w:rtl/>
          <w:lang w:bidi="he-IL"/>
        </w:rPr>
        <w:t>לפי</w:t>
      </w:r>
      <w:r w:rsidR="005A46F0" w:rsidRPr="00882F11">
        <w:rPr>
          <w:rFonts w:cs="Guttman Drogolin"/>
          <w:rtl/>
          <w:lang w:bidi="he-IL"/>
        </w:rPr>
        <w:t xml:space="preserve"> </w:t>
      </w:r>
      <w:r w:rsidR="005A46F0" w:rsidRPr="00882F11">
        <w:rPr>
          <w:rFonts w:cs="Guttman Drogolin" w:hint="cs"/>
          <w:rtl/>
          <w:lang w:bidi="he-IL"/>
        </w:rPr>
        <w:t>שכשמערה</w:t>
      </w:r>
      <w:r w:rsidR="005A46F0" w:rsidRPr="00882F11">
        <w:rPr>
          <w:rFonts w:cs="Guttman Drogolin"/>
          <w:rtl/>
          <w:lang w:bidi="he-IL"/>
        </w:rPr>
        <w:t xml:space="preserve"> </w:t>
      </w:r>
      <w:r w:rsidR="005A46F0" w:rsidRPr="00882F11">
        <w:rPr>
          <w:rFonts w:cs="Guttman Drogolin" w:hint="cs"/>
          <w:rtl/>
          <w:lang w:bidi="he-IL"/>
        </w:rPr>
        <w:t>מים</w:t>
      </w:r>
      <w:r w:rsidR="005A46F0" w:rsidRPr="00882F11">
        <w:rPr>
          <w:rFonts w:cs="Guttman Drogolin"/>
          <w:rtl/>
          <w:lang w:bidi="he-IL"/>
        </w:rPr>
        <w:t xml:space="preserve"> </w:t>
      </w:r>
      <w:r w:rsidR="005A46F0" w:rsidRPr="00882F11">
        <w:rPr>
          <w:rFonts w:cs="Guttman Drogolin" w:hint="cs"/>
          <w:rtl/>
          <w:lang w:bidi="he-IL"/>
        </w:rPr>
        <w:t>החמין</w:t>
      </w:r>
      <w:r w:rsidR="005A46F0" w:rsidRPr="00882F11">
        <w:rPr>
          <w:rFonts w:cs="Guttman Drogolin"/>
          <w:rtl/>
          <w:lang w:bidi="he-IL"/>
        </w:rPr>
        <w:t xml:space="preserve"> </w:t>
      </w:r>
      <w:r w:rsidR="005A46F0" w:rsidRPr="00882F11">
        <w:rPr>
          <w:rFonts w:cs="Guttman Drogolin" w:hint="cs"/>
          <w:rtl/>
          <w:lang w:bidi="he-IL"/>
        </w:rPr>
        <w:t>לפעמים</w:t>
      </w:r>
      <w:r w:rsidR="005A46F0" w:rsidRPr="00882F11">
        <w:rPr>
          <w:rFonts w:cs="Guttman Drogolin"/>
          <w:rtl/>
          <w:lang w:bidi="he-IL"/>
        </w:rPr>
        <w:t xml:space="preserve"> </w:t>
      </w:r>
      <w:r w:rsidR="005A46F0" w:rsidRPr="00882F11">
        <w:rPr>
          <w:rFonts w:cs="Guttman Drogolin" w:hint="cs"/>
          <w:rtl/>
          <w:lang w:bidi="he-IL"/>
        </w:rPr>
        <w:t>בסוף</w:t>
      </w:r>
      <w:r w:rsidR="005A46F0" w:rsidRPr="00882F11">
        <w:rPr>
          <w:rFonts w:cs="Guttman Drogolin"/>
          <w:rtl/>
          <w:lang w:bidi="he-IL"/>
        </w:rPr>
        <w:t xml:space="preserve"> </w:t>
      </w:r>
      <w:r w:rsidR="005A46F0" w:rsidRPr="00882F11">
        <w:rPr>
          <w:rFonts w:cs="Guttman Drogolin" w:hint="cs"/>
          <w:rtl/>
          <w:lang w:bidi="he-IL"/>
        </w:rPr>
        <w:t>העירוי</w:t>
      </w:r>
      <w:r w:rsidR="005A46F0" w:rsidRPr="00882F11">
        <w:rPr>
          <w:rFonts w:cs="Guttman Drogolin"/>
          <w:rtl/>
          <w:lang w:bidi="he-IL"/>
        </w:rPr>
        <w:t xml:space="preserve"> </w:t>
      </w:r>
      <w:r w:rsidR="005A46F0" w:rsidRPr="00882F11">
        <w:rPr>
          <w:rFonts w:cs="Guttman Drogolin" w:hint="cs"/>
          <w:rtl/>
          <w:lang w:bidi="he-IL"/>
        </w:rPr>
        <w:t>עם</w:t>
      </w:r>
      <w:r w:rsidR="005A46F0" w:rsidRPr="00882F11">
        <w:rPr>
          <w:rFonts w:cs="Guttman Drogolin"/>
          <w:rtl/>
          <w:lang w:bidi="he-IL"/>
        </w:rPr>
        <w:t xml:space="preserve"> </w:t>
      </w:r>
      <w:r w:rsidR="005A46F0" w:rsidRPr="00882F11">
        <w:rPr>
          <w:rFonts w:cs="Guttman Drogolin" w:hint="cs"/>
          <w:rtl/>
          <w:lang w:bidi="he-IL"/>
        </w:rPr>
        <w:t>מעט</w:t>
      </w:r>
      <w:r w:rsidR="005A46F0" w:rsidRPr="00882F11">
        <w:rPr>
          <w:rFonts w:cs="Guttman Drogolin"/>
          <w:rtl/>
          <w:lang w:bidi="he-IL"/>
        </w:rPr>
        <w:t xml:space="preserve"> </w:t>
      </w:r>
      <w:r w:rsidR="005A46F0" w:rsidRPr="00882F11">
        <w:rPr>
          <w:rFonts w:cs="Guttman Drogolin" w:hint="cs"/>
          <w:rtl/>
          <w:lang w:bidi="he-IL"/>
        </w:rPr>
        <w:t>מים</w:t>
      </w:r>
      <w:r w:rsidR="005A46F0" w:rsidRPr="00882F11">
        <w:rPr>
          <w:rFonts w:cs="Guttman Drogolin"/>
          <w:rtl/>
          <w:lang w:bidi="he-IL"/>
        </w:rPr>
        <w:t xml:space="preserve"> </w:t>
      </w:r>
      <w:r w:rsidR="005A46F0" w:rsidRPr="00882F11">
        <w:rPr>
          <w:rFonts w:cs="Guttman Drogolin" w:hint="cs"/>
          <w:rtl/>
          <w:lang w:bidi="he-IL"/>
        </w:rPr>
        <w:t>ישאר</w:t>
      </w:r>
      <w:r w:rsidR="005A46F0" w:rsidRPr="00882F11">
        <w:rPr>
          <w:rFonts w:cs="Guttman Drogolin"/>
          <w:rtl/>
          <w:lang w:bidi="he-IL"/>
        </w:rPr>
        <w:t xml:space="preserve"> </w:t>
      </w:r>
      <w:r w:rsidR="005A46F0" w:rsidRPr="00882F11">
        <w:rPr>
          <w:rFonts w:cs="Guttman Drogolin" w:hint="cs"/>
          <w:rtl/>
          <w:lang w:bidi="he-IL"/>
        </w:rPr>
        <w:t>הדג</w:t>
      </w:r>
      <w:r w:rsidR="005A46F0" w:rsidRPr="00882F11">
        <w:rPr>
          <w:rFonts w:cs="Guttman Drogolin"/>
          <w:rtl/>
          <w:lang w:bidi="he-IL"/>
        </w:rPr>
        <w:t xml:space="preserve"> </w:t>
      </w:r>
      <w:r w:rsidR="005A46F0" w:rsidRPr="00882F11">
        <w:rPr>
          <w:rFonts w:cs="Guttman Drogolin" w:hint="cs"/>
          <w:rtl/>
          <w:lang w:bidi="he-IL"/>
        </w:rPr>
        <w:t>טמא</w:t>
      </w:r>
      <w:r w:rsidR="005A46F0" w:rsidRPr="00882F11">
        <w:rPr>
          <w:rFonts w:cs="Guttman Drogolin"/>
          <w:rtl/>
          <w:lang w:bidi="he-IL"/>
        </w:rPr>
        <w:t xml:space="preserve"> </w:t>
      </w:r>
      <w:r w:rsidR="005A46F0" w:rsidRPr="00882F11">
        <w:rPr>
          <w:rFonts w:cs="Guttman Drogolin" w:hint="cs"/>
          <w:rtl/>
          <w:lang w:bidi="he-IL"/>
        </w:rPr>
        <w:t>עם</w:t>
      </w:r>
      <w:r w:rsidR="005A46F0" w:rsidRPr="00882F11">
        <w:rPr>
          <w:rFonts w:cs="Guttman Drogolin"/>
          <w:rtl/>
          <w:lang w:bidi="he-IL"/>
        </w:rPr>
        <w:t xml:space="preserve"> </w:t>
      </w:r>
      <w:r w:rsidR="005A46F0" w:rsidRPr="00882F11">
        <w:rPr>
          <w:rFonts w:cs="Guttman Drogolin" w:hint="cs"/>
          <w:rtl/>
          <w:lang w:bidi="he-IL"/>
        </w:rPr>
        <w:t>כ</w:t>
      </w:r>
      <w:r w:rsidR="005A46F0" w:rsidRPr="00882F11">
        <w:rPr>
          <w:rFonts w:cs="Guttman Drogolin"/>
          <w:rtl/>
          <w:lang w:bidi="he-IL"/>
        </w:rPr>
        <w:t xml:space="preserve">' </w:t>
      </w:r>
      <w:r w:rsidR="005A46F0" w:rsidRPr="00882F11">
        <w:rPr>
          <w:rFonts w:cs="Guttman Drogolin" w:hint="cs"/>
          <w:rtl/>
          <w:lang w:bidi="he-IL"/>
        </w:rPr>
        <w:t>או</w:t>
      </w:r>
      <w:r w:rsidR="005A46F0" w:rsidRPr="00882F11">
        <w:rPr>
          <w:rFonts w:cs="Guttman Drogolin"/>
          <w:rtl/>
          <w:lang w:bidi="he-IL"/>
        </w:rPr>
        <w:t xml:space="preserve"> </w:t>
      </w:r>
      <w:r w:rsidR="005A46F0" w:rsidRPr="00882F11">
        <w:rPr>
          <w:rFonts w:cs="Guttman Drogolin" w:hint="cs"/>
          <w:rtl/>
          <w:lang w:bidi="he-IL"/>
        </w:rPr>
        <w:t>עם</w:t>
      </w:r>
      <w:r w:rsidR="005A46F0" w:rsidRPr="00882F11">
        <w:rPr>
          <w:rFonts w:cs="Guttman Drogolin"/>
          <w:rtl/>
          <w:lang w:bidi="he-IL"/>
        </w:rPr>
        <w:t xml:space="preserve"> </w:t>
      </w:r>
      <w:r w:rsidR="005A46F0" w:rsidRPr="00882F11">
        <w:rPr>
          <w:rFonts w:cs="Guttman Drogolin" w:hint="cs"/>
          <w:rtl/>
          <w:lang w:bidi="he-IL"/>
        </w:rPr>
        <w:t>ל</w:t>
      </w:r>
      <w:r w:rsidR="005A46F0" w:rsidRPr="00882F11">
        <w:rPr>
          <w:rFonts w:cs="Guttman Drogolin"/>
          <w:rtl/>
          <w:lang w:bidi="he-IL"/>
        </w:rPr>
        <w:t xml:space="preserve">' </w:t>
      </w:r>
      <w:r w:rsidR="005A46F0" w:rsidRPr="00882F11">
        <w:rPr>
          <w:rFonts w:cs="Guttman Drogolin" w:hint="cs"/>
          <w:rtl/>
          <w:lang w:bidi="he-IL"/>
        </w:rPr>
        <w:t>דגים</w:t>
      </w:r>
      <w:r w:rsidR="005A46F0" w:rsidRPr="00882F11">
        <w:rPr>
          <w:rFonts w:cs="Guttman Drogolin"/>
          <w:rtl/>
          <w:lang w:bidi="he-IL"/>
        </w:rPr>
        <w:t xml:space="preserve"> </w:t>
      </w:r>
      <w:r w:rsidR="005A46F0" w:rsidRPr="00882F11">
        <w:rPr>
          <w:rFonts w:cs="Guttman Drogolin" w:hint="cs"/>
          <w:rtl/>
          <w:lang w:bidi="he-IL"/>
        </w:rPr>
        <w:t>ונאסרו</w:t>
      </w:r>
      <w:r w:rsidR="005A46F0" w:rsidRPr="00882F11">
        <w:rPr>
          <w:rFonts w:cs="Guttman Drogolin"/>
          <w:rtl/>
          <w:lang w:bidi="he-IL"/>
        </w:rPr>
        <w:t xml:space="preserve"> </w:t>
      </w:r>
      <w:r w:rsidR="005A46F0" w:rsidRPr="00882F11">
        <w:rPr>
          <w:rFonts w:cs="Guttman Drogolin" w:hint="cs"/>
          <w:rtl/>
          <w:lang w:bidi="he-IL"/>
        </w:rPr>
        <w:t>וחוזרין</w:t>
      </w:r>
      <w:r w:rsidR="005A46F0" w:rsidRPr="00882F11">
        <w:rPr>
          <w:rFonts w:cs="Guttman Drogolin"/>
          <w:rtl/>
          <w:lang w:bidi="he-IL"/>
        </w:rPr>
        <w:t xml:space="preserve"> </w:t>
      </w:r>
      <w:r w:rsidR="005A46F0" w:rsidRPr="00882F11">
        <w:rPr>
          <w:rFonts w:cs="Guttman Drogolin" w:hint="cs"/>
          <w:rtl/>
          <w:lang w:bidi="he-IL"/>
        </w:rPr>
        <w:t>המים</w:t>
      </w:r>
      <w:r w:rsidR="005A46F0" w:rsidRPr="00882F11">
        <w:rPr>
          <w:rFonts w:cs="Guttman Drogolin"/>
          <w:rtl/>
          <w:lang w:bidi="he-IL"/>
        </w:rPr>
        <w:t xml:space="preserve"> </w:t>
      </w:r>
      <w:r w:rsidR="005A46F0" w:rsidRPr="00882F11">
        <w:rPr>
          <w:rFonts w:cs="Guttman Drogolin" w:hint="cs"/>
          <w:rtl/>
          <w:lang w:bidi="he-IL"/>
        </w:rPr>
        <w:t>ונוגעין</w:t>
      </w:r>
      <w:r w:rsidR="005A46F0" w:rsidRPr="00882F11">
        <w:rPr>
          <w:rFonts w:cs="Guttman Drogolin"/>
          <w:rtl/>
          <w:lang w:bidi="he-IL"/>
        </w:rPr>
        <w:t xml:space="preserve"> </w:t>
      </w:r>
      <w:r w:rsidR="005A46F0" w:rsidRPr="00882F11">
        <w:rPr>
          <w:rFonts w:cs="Guttman Drogolin" w:hint="cs"/>
          <w:rtl/>
          <w:lang w:bidi="he-IL"/>
        </w:rPr>
        <w:t>לכל</w:t>
      </w:r>
      <w:r w:rsidR="005A46F0" w:rsidRPr="00882F11">
        <w:rPr>
          <w:rFonts w:cs="Guttman Drogolin"/>
          <w:rtl/>
          <w:lang w:bidi="he-IL"/>
        </w:rPr>
        <w:t xml:space="preserve"> </w:t>
      </w:r>
      <w:r w:rsidR="005A46F0" w:rsidRPr="00882F11">
        <w:rPr>
          <w:rFonts w:cs="Guttman Drogolin" w:hint="cs"/>
          <w:rtl/>
          <w:lang w:bidi="he-IL"/>
        </w:rPr>
        <w:t>הדגים".</w:t>
      </w:r>
      <w:r w:rsidR="005A46F0" w:rsidRPr="00882F11">
        <w:rPr>
          <w:rFonts w:cs="Guttman Drogolin"/>
          <w:rtl/>
          <w:lang w:bidi="he-IL"/>
        </w:rPr>
        <w:t xml:space="preserve"> </w:t>
      </w:r>
      <w:r w:rsidR="005A46F0" w:rsidRPr="00882F11">
        <w:rPr>
          <w:rFonts w:cs="Guttman Drogolin" w:hint="cs"/>
          <w:rtl/>
          <w:lang w:bidi="he-IL"/>
        </w:rPr>
        <w:t xml:space="preserve">ושוב הביא </w:t>
      </w:r>
      <w:r w:rsidR="00BD7074" w:rsidRPr="00882F11">
        <w:rPr>
          <w:rFonts w:cs="Guttman Drogolin" w:hint="cs"/>
          <w:rtl/>
          <w:lang w:bidi="he-IL"/>
        </w:rPr>
        <w:t>שיטת ר' ברוך בשם '</w:t>
      </w:r>
      <w:r w:rsidR="005A46F0" w:rsidRPr="00882F11">
        <w:rPr>
          <w:rFonts w:cs="Guttman Drogolin" w:hint="cs"/>
          <w:rtl/>
          <w:lang w:bidi="he-IL"/>
        </w:rPr>
        <w:t>יש</w:t>
      </w:r>
      <w:r w:rsidR="005A46F0" w:rsidRPr="00882F11">
        <w:rPr>
          <w:rFonts w:cs="Guttman Drogolin"/>
          <w:rtl/>
          <w:lang w:bidi="he-IL"/>
        </w:rPr>
        <w:t xml:space="preserve"> </w:t>
      </w:r>
      <w:r w:rsidR="005A46F0" w:rsidRPr="00882F11">
        <w:rPr>
          <w:rFonts w:cs="Guttman Drogolin" w:hint="cs"/>
          <w:rtl/>
          <w:lang w:bidi="he-IL"/>
        </w:rPr>
        <w:t>מתירין</w:t>
      </w:r>
      <w:r w:rsidR="00BD7074" w:rsidRPr="00882F11">
        <w:rPr>
          <w:rFonts w:cs="Guttman Drogolin" w:hint="cs"/>
          <w:rtl/>
          <w:lang w:bidi="he-IL"/>
        </w:rPr>
        <w:t>'</w:t>
      </w:r>
      <w:r w:rsidR="005A46F0" w:rsidRPr="00882F11">
        <w:rPr>
          <w:rFonts w:cs="Guttman Drogolin"/>
          <w:rtl/>
          <w:lang w:bidi="he-IL"/>
        </w:rPr>
        <w:t xml:space="preserve"> </w:t>
      </w:r>
      <w:r w:rsidR="005A46F0" w:rsidRPr="00882F11">
        <w:rPr>
          <w:rFonts w:cs="Guttman Drogolin" w:hint="cs"/>
          <w:rtl/>
          <w:lang w:bidi="he-IL"/>
        </w:rPr>
        <w:t>"מפני</w:t>
      </w:r>
      <w:r w:rsidR="005A46F0" w:rsidRPr="00882F11">
        <w:rPr>
          <w:rFonts w:cs="Guttman Drogolin"/>
          <w:rtl/>
          <w:lang w:bidi="he-IL"/>
        </w:rPr>
        <w:t xml:space="preserve"> </w:t>
      </w:r>
      <w:r w:rsidR="005A46F0" w:rsidRPr="00882F11">
        <w:rPr>
          <w:rFonts w:cs="Guttman Drogolin" w:hint="cs"/>
          <w:rtl/>
          <w:lang w:bidi="he-IL"/>
        </w:rPr>
        <w:t>שאותם</w:t>
      </w:r>
      <w:r w:rsidR="005A46F0" w:rsidRPr="00882F11">
        <w:rPr>
          <w:rFonts w:cs="Guttman Drogolin"/>
          <w:rtl/>
          <w:lang w:bidi="he-IL"/>
        </w:rPr>
        <w:t xml:space="preserve"> </w:t>
      </w:r>
      <w:r w:rsidR="005A46F0" w:rsidRPr="00882F11">
        <w:rPr>
          <w:rFonts w:cs="Guttman Drogolin" w:hint="cs"/>
          <w:rtl/>
          <w:lang w:bidi="he-IL"/>
        </w:rPr>
        <w:t>כ</w:t>
      </w:r>
      <w:r w:rsidR="005A46F0" w:rsidRPr="00882F11">
        <w:rPr>
          <w:rFonts w:cs="Guttman Drogolin"/>
          <w:rtl/>
          <w:lang w:bidi="he-IL"/>
        </w:rPr>
        <w:t xml:space="preserve">' </w:t>
      </w:r>
      <w:r w:rsidR="005A46F0" w:rsidRPr="00882F11">
        <w:rPr>
          <w:rFonts w:cs="Guttman Drogolin" w:hint="cs"/>
          <w:rtl/>
          <w:lang w:bidi="he-IL"/>
        </w:rPr>
        <w:t>או</w:t>
      </w:r>
      <w:r w:rsidR="005A46F0" w:rsidRPr="00882F11">
        <w:rPr>
          <w:rFonts w:cs="Guttman Drogolin"/>
          <w:rtl/>
          <w:lang w:bidi="he-IL"/>
        </w:rPr>
        <w:t xml:space="preserve"> </w:t>
      </w:r>
      <w:r w:rsidR="005A46F0" w:rsidRPr="00882F11">
        <w:rPr>
          <w:rFonts w:cs="Guttman Drogolin" w:hint="cs"/>
          <w:rtl/>
          <w:lang w:bidi="he-IL"/>
        </w:rPr>
        <w:t>ל</w:t>
      </w:r>
      <w:r w:rsidR="005A46F0" w:rsidRPr="00882F11">
        <w:rPr>
          <w:rFonts w:cs="Guttman Drogolin"/>
          <w:rtl/>
          <w:lang w:bidi="he-IL"/>
        </w:rPr>
        <w:t xml:space="preserve">' </w:t>
      </w:r>
      <w:r w:rsidR="005A46F0" w:rsidRPr="00882F11">
        <w:rPr>
          <w:rFonts w:cs="Guttman Drogolin" w:hint="cs"/>
          <w:rtl/>
          <w:lang w:bidi="he-IL"/>
        </w:rPr>
        <w:t>שנשארים</w:t>
      </w:r>
      <w:r w:rsidR="005A46F0" w:rsidRPr="00882F11">
        <w:rPr>
          <w:rFonts w:cs="Guttman Drogolin"/>
          <w:rtl/>
          <w:lang w:bidi="he-IL"/>
        </w:rPr>
        <w:t xml:space="preserve"> </w:t>
      </w:r>
      <w:r w:rsidR="005A46F0" w:rsidRPr="00882F11">
        <w:rPr>
          <w:rFonts w:cs="Guttman Drogolin" w:hint="cs"/>
          <w:rtl/>
          <w:lang w:bidi="he-IL"/>
        </w:rPr>
        <w:t>בטילין</w:t>
      </w:r>
      <w:r w:rsidR="005A46F0" w:rsidRPr="00882F11">
        <w:rPr>
          <w:rFonts w:cs="Guttman Drogolin"/>
          <w:rtl/>
          <w:lang w:bidi="he-IL"/>
        </w:rPr>
        <w:t xml:space="preserve"> </w:t>
      </w:r>
      <w:r w:rsidR="005A46F0" w:rsidRPr="00882F11">
        <w:rPr>
          <w:rFonts w:cs="Guttman Drogolin" w:hint="cs"/>
          <w:rtl/>
          <w:lang w:bidi="he-IL"/>
        </w:rPr>
        <w:t>ברוב</w:t>
      </w:r>
      <w:r w:rsidR="005A46F0" w:rsidRPr="00882F11">
        <w:rPr>
          <w:rFonts w:cs="Guttman Drogolin"/>
          <w:rtl/>
          <w:lang w:bidi="he-IL"/>
        </w:rPr>
        <w:t xml:space="preserve"> </w:t>
      </w:r>
      <w:r w:rsidR="005A46F0" w:rsidRPr="00882F11">
        <w:rPr>
          <w:rFonts w:cs="Guttman Drogolin" w:hint="cs"/>
          <w:rtl/>
          <w:lang w:bidi="he-IL"/>
        </w:rPr>
        <w:t>תערובות</w:t>
      </w:r>
      <w:r w:rsidR="005A46F0" w:rsidRPr="00882F11">
        <w:rPr>
          <w:rFonts w:cs="Guttman Drogolin"/>
          <w:rtl/>
          <w:lang w:bidi="he-IL"/>
        </w:rPr>
        <w:t xml:space="preserve"> </w:t>
      </w:r>
      <w:r w:rsidR="005A46F0" w:rsidRPr="00882F11">
        <w:rPr>
          <w:rFonts w:cs="Guttman Drogolin" w:hint="cs"/>
          <w:rtl/>
          <w:lang w:bidi="he-IL"/>
        </w:rPr>
        <w:t>כי</w:t>
      </w:r>
      <w:r w:rsidR="005A46F0" w:rsidRPr="00882F11">
        <w:rPr>
          <w:rFonts w:cs="Guttman Drogolin"/>
          <w:rtl/>
          <w:lang w:bidi="he-IL"/>
        </w:rPr>
        <w:t xml:space="preserve"> </w:t>
      </w:r>
      <w:r w:rsidR="005A46F0" w:rsidRPr="00882F11">
        <w:rPr>
          <w:rFonts w:cs="Guttman Drogolin" w:hint="cs"/>
          <w:rtl/>
          <w:lang w:bidi="he-IL"/>
        </w:rPr>
        <w:t>לא</w:t>
      </w:r>
      <w:r w:rsidR="005A46F0" w:rsidRPr="00882F11">
        <w:rPr>
          <w:rFonts w:cs="Guttman Drogolin"/>
          <w:rtl/>
          <w:lang w:bidi="he-IL"/>
        </w:rPr>
        <w:t xml:space="preserve"> </w:t>
      </w:r>
      <w:r w:rsidR="005A46F0" w:rsidRPr="00882F11">
        <w:rPr>
          <w:rFonts w:cs="Guttman Drogolin" w:hint="cs"/>
          <w:rtl/>
          <w:lang w:bidi="he-IL"/>
        </w:rPr>
        <w:t>שייך</w:t>
      </w:r>
      <w:r w:rsidR="005A46F0" w:rsidRPr="00882F11">
        <w:rPr>
          <w:rFonts w:cs="Guttman Drogolin"/>
          <w:rtl/>
          <w:lang w:bidi="he-IL"/>
        </w:rPr>
        <w:t xml:space="preserve"> </w:t>
      </w:r>
      <w:r w:rsidR="005A46F0" w:rsidRPr="00882F11">
        <w:rPr>
          <w:rFonts w:cs="Guttman Drogolin" w:hint="cs"/>
          <w:rtl/>
          <w:lang w:bidi="he-IL"/>
        </w:rPr>
        <w:t>לומר</w:t>
      </w:r>
      <w:r w:rsidR="005A46F0" w:rsidRPr="00882F11">
        <w:rPr>
          <w:rFonts w:cs="Guttman Drogolin"/>
          <w:rtl/>
          <w:lang w:bidi="he-IL"/>
        </w:rPr>
        <w:t xml:space="preserve"> </w:t>
      </w:r>
      <w:r w:rsidR="005A46F0" w:rsidRPr="00882F11">
        <w:rPr>
          <w:rFonts w:cs="Guttman Drogolin" w:hint="cs"/>
          <w:rtl/>
          <w:lang w:bidi="he-IL"/>
        </w:rPr>
        <w:t>בריה</w:t>
      </w:r>
      <w:r w:rsidR="005A46F0" w:rsidRPr="00882F11">
        <w:rPr>
          <w:rFonts w:cs="Guttman Drogolin"/>
          <w:rtl/>
          <w:lang w:bidi="he-IL"/>
        </w:rPr>
        <w:t xml:space="preserve"> </w:t>
      </w:r>
      <w:r w:rsidR="005A46F0" w:rsidRPr="00882F11">
        <w:rPr>
          <w:rFonts w:cs="Guttman Drogolin" w:hint="cs"/>
          <w:rtl/>
          <w:lang w:bidi="he-IL"/>
        </w:rPr>
        <w:t>לא</w:t>
      </w:r>
      <w:r w:rsidR="005A46F0" w:rsidRPr="00882F11">
        <w:rPr>
          <w:rFonts w:cs="Guttman Drogolin"/>
          <w:rtl/>
          <w:lang w:bidi="he-IL"/>
        </w:rPr>
        <w:t xml:space="preserve"> </w:t>
      </w:r>
      <w:r w:rsidR="005A46F0" w:rsidRPr="00882F11">
        <w:rPr>
          <w:rFonts w:cs="Guttman Drogolin" w:hint="cs"/>
          <w:rtl/>
          <w:lang w:bidi="he-IL"/>
        </w:rPr>
        <w:t>בטלה</w:t>
      </w:r>
      <w:r w:rsidR="005A46F0" w:rsidRPr="00882F11">
        <w:rPr>
          <w:rFonts w:cs="Guttman Drogolin"/>
          <w:rtl/>
          <w:lang w:bidi="he-IL"/>
        </w:rPr>
        <w:t xml:space="preserve"> </w:t>
      </w:r>
      <w:r w:rsidR="005A46F0" w:rsidRPr="00882F11">
        <w:rPr>
          <w:rFonts w:cs="Guttman Drogolin" w:hint="cs"/>
          <w:rtl/>
          <w:lang w:bidi="he-IL"/>
        </w:rPr>
        <w:t>אלא</w:t>
      </w:r>
      <w:r w:rsidR="005A46F0" w:rsidRPr="00882F11">
        <w:rPr>
          <w:rFonts w:cs="Guttman Drogolin"/>
          <w:rtl/>
          <w:lang w:bidi="he-IL"/>
        </w:rPr>
        <w:t xml:space="preserve"> </w:t>
      </w:r>
      <w:r w:rsidR="005A46F0" w:rsidRPr="00882F11">
        <w:rPr>
          <w:rFonts w:cs="Guttman Drogolin" w:hint="cs"/>
          <w:rtl/>
          <w:lang w:bidi="he-IL"/>
        </w:rPr>
        <w:t>בבריה</w:t>
      </w:r>
      <w:r w:rsidR="005A46F0" w:rsidRPr="00882F11">
        <w:rPr>
          <w:rFonts w:cs="Guttman Drogolin"/>
          <w:rtl/>
          <w:lang w:bidi="he-IL"/>
        </w:rPr>
        <w:t xml:space="preserve"> </w:t>
      </w:r>
      <w:r w:rsidR="005A46F0" w:rsidRPr="00882F11">
        <w:rPr>
          <w:rFonts w:cs="Guttman Drogolin" w:hint="cs"/>
          <w:rtl/>
          <w:lang w:bidi="he-IL"/>
        </w:rPr>
        <w:t>שנאסרה</w:t>
      </w:r>
      <w:r w:rsidR="005A46F0" w:rsidRPr="00882F11">
        <w:rPr>
          <w:rFonts w:cs="Guttman Drogolin"/>
          <w:rtl/>
          <w:lang w:bidi="he-IL"/>
        </w:rPr>
        <w:t xml:space="preserve"> </w:t>
      </w:r>
      <w:r w:rsidR="005A46F0" w:rsidRPr="00882F11">
        <w:rPr>
          <w:rFonts w:cs="Guttman Drogolin" w:hint="cs"/>
          <w:rtl/>
          <w:lang w:bidi="he-IL"/>
        </w:rPr>
        <w:t>מחמת</w:t>
      </w:r>
      <w:r w:rsidR="005A46F0" w:rsidRPr="00882F11">
        <w:rPr>
          <w:rFonts w:cs="Guttman Drogolin"/>
          <w:rtl/>
          <w:lang w:bidi="he-IL"/>
        </w:rPr>
        <w:t xml:space="preserve"> </w:t>
      </w:r>
      <w:r w:rsidR="005A46F0" w:rsidRPr="00882F11">
        <w:rPr>
          <w:rFonts w:cs="Guttman Drogolin" w:hint="cs"/>
          <w:rtl/>
          <w:lang w:bidi="he-IL"/>
        </w:rPr>
        <w:t>עצמה</w:t>
      </w:r>
      <w:r w:rsidR="005A46F0" w:rsidRPr="00882F11">
        <w:rPr>
          <w:rFonts w:cs="Guttman Drogolin"/>
          <w:rtl/>
          <w:lang w:bidi="he-IL"/>
        </w:rPr>
        <w:t xml:space="preserve"> </w:t>
      </w:r>
      <w:r w:rsidR="005A46F0" w:rsidRPr="00882F11">
        <w:rPr>
          <w:rFonts w:cs="Guttman Drogolin" w:hint="cs"/>
          <w:rtl/>
          <w:lang w:bidi="he-IL"/>
        </w:rPr>
        <w:t>ולא</w:t>
      </w:r>
      <w:r w:rsidR="005A46F0" w:rsidRPr="00882F11">
        <w:rPr>
          <w:rFonts w:cs="Guttman Drogolin"/>
          <w:rtl/>
          <w:lang w:bidi="he-IL"/>
        </w:rPr>
        <w:t xml:space="preserve"> </w:t>
      </w:r>
      <w:r w:rsidR="005A46F0" w:rsidRPr="00882F11">
        <w:rPr>
          <w:rFonts w:cs="Guttman Drogolin" w:hint="cs"/>
          <w:rtl/>
          <w:lang w:bidi="he-IL"/>
        </w:rPr>
        <w:t>שנאסר</w:t>
      </w:r>
      <w:r w:rsidR="005A46F0" w:rsidRPr="00882F11">
        <w:rPr>
          <w:rFonts w:cs="Guttman Drogolin"/>
          <w:rtl/>
          <w:lang w:bidi="he-IL"/>
        </w:rPr>
        <w:t xml:space="preserve"> </w:t>
      </w:r>
      <w:r w:rsidR="005A46F0" w:rsidRPr="00882F11">
        <w:rPr>
          <w:rFonts w:cs="Guttman Drogolin" w:hint="cs"/>
          <w:rtl/>
          <w:lang w:bidi="he-IL"/>
        </w:rPr>
        <w:t>מחמת</w:t>
      </w:r>
      <w:r w:rsidR="005A46F0" w:rsidRPr="00882F11">
        <w:rPr>
          <w:rFonts w:cs="Guttman Drogolin"/>
          <w:rtl/>
          <w:lang w:bidi="he-IL"/>
        </w:rPr>
        <w:t xml:space="preserve"> </w:t>
      </w:r>
      <w:r w:rsidR="005A46F0" w:rsidRPr="00882F11">
        <w:rPr>
          <w:rFonts w:cs="Guttman Drogolin" w:hint="cs"/>
          <w:rtl/>
          <w:lang w:bidi="he-IL"/>
        </w:rPr>
        <w:t>בליעת</w:t>
      </w:r>
      <w:r w:rsidR="005A46F0" w:rsidRPr="00882F11">
        <w:rPr>
          <w:rFonts w:cs="Guttman Drogolin"/>
          <w:rtl/>
          <w:lang w:bidi="he-IL"/>
        </w:rPr>
        <w:t xml:space="preserve"> </w:t>
      </w:r>
      <w:r w:rsidR="005A46F0" w:rsidRPr="00882F11">
        <w:rPr>
          <w:rFonts w:cs="Guttman Drogolin" w:hint="cs"/>
          <w:rtl/>
          <w:lang w:bidi="he-IL"/>
        </w:rPr>
        <w:t>איסור</w:t>
      </w:r>
      <w:r w:rsidR="005A46F0" w:rsidRPr="00882F11">
        <w:rPr>
          <w:rFonts w:cs="Guttman Drogolin"/>
          <w:rtl/>
          <w:lang w:bidi="he-IL"/>
        </w:rPr>
        <w:t xml:space="preserve"> </w:t>
      </w:r>
      <w:r w:rsidR="005A46F0" w:rsidRPr="00882F11">
        <w:rPr>
          <w:rFonts w:cs="Guttman Drogolin" w:hint="cs"/>
          <w:rtl/>
          <w:lang w:bidi="he-IL"/>
        </w:rPr>
        <w:t>אחר</w:t>
      </w:r>
      <w:r w:rsidR="005A46F0" w:rsidRPr="00882F11">
        <w:rPr>
          <w:rFonts w:cs="Guttman Drogolin"/>
          <w:rtl/>
          <w:lang w:bidi="he-IL"/>
        </w:rPr>
        <w:t xml:space="preserve"> </w:t>
      </w:r>
      <w:r w:rsidR="005A46F0" w:rsidRPr="00882F11">
        <w:rPr>
          <w:rFonts w:cs="Guttman Drogolin" w:hint="cs"/>
          <w:rtl/>
          <w:lang w:bidi="he-IL"/>
        </w:rPr>
        <w:t>ואין</w:t>
      </w:r>
      <w:r w:rsidR="005A46F0" w:rsidRPr="00882F11">
        <w:rPr>
          <w:rFonts w:cs="Guttman Drogolin"/>
          <w:rtl/>
          <w:lang w:bidi="he-IL"/>
        </w:rPr>
        <w:t xml:space="preserve"> </w:t>
      </w:r>
      <w:r w:rsidR="005A46F0" w:rsidRPr="00882F11">
        <w:rPr>
          <w:rFonts w:cs="Guttman Drogolin" w:hint="cs"/>
          <w:rtl/>
          <w:lang w:bidi="he-IL"/>
        </w:rPr>
        <w:t>חוזרין</w:t>
      </w:r>
      <w:r w:rsidR="005A46F0" w:rsidRPr="00882F11">
        <w:rPr>
          <w:rFonts w:cs="Guttman Drogolin"/>
          <w:rtl/>
          <w:lang w:bidi="he-IL"/>
        </w:rPr>
        <w:t xml:space="preserve"> </w:t>
      </w:r>
      <w:r w:rsidR="005A46F0" w:rsidRPr="00882F11">
        <w:rPr>
          <w:rFonts w:cs="Guttman Drogolin" w:hint="cs"/>
          <w:rtl/>
          <w:lang w:bidi="he-IL"/>
        </w:rPr>
        <w:t>ואוסרין</w:t>
      </w:r>
      <w:r w:rsidR="005A46F0" w:rsidRPr="00882F11">
        <w:rPr>
          <w:rFonts w:cs="Guttman Drogolin"/>
          <w:rtl/>
          <w:lang w:bidi="he-IL"/>
        </w:rPr>
        <w:t xml:space="preserve"> </w:t>
      </w:r>
      <w:r w:rsidR="005A46F0" w:rsidRPr="00882F11">
        <w:rPr>
          <w:rFonts w:cs="Guttman Drogolin" w:hint="cs"/>
          <w:rtl/>
          <w:lang w:bidi="he-IL"/>
        </w:rPr>
        <w:t>השאר</w:t>
      </w:r>
      <w:r w:rsidR="005A46F0" w:rsidRPr="00882F11">
        <w:rPr>
          <w:rFonts w:cs="Guttman Drogolin"/>
          <w:rtl/>
          <w:lang w:bidi="he-IL"/>
        </w:rPr>
        <w:t xml:space="preserve"> </w:t>
      </w:r>
      <w:r w:rsidR="005A46F0" w:rsidRPr="00882F11">
        <w:rPr>
          <w:rFonts w:cs="Guttman Drogolin" w:hint="cs"/>
          <w:rtl/>
          <w:lang w:bidi="he-IL"/>
        </w:rPr>
        <w:t>שבמחבת</w:t>
      </w:r>
      <w:r w:rsidR="005A46F0" w:rsidRPr="00882F11">
        <w:rPr>
          <w:rFonts w:cs="Guttman Drogolin"/>
          <w:rtl/>
          <w:lang w:bidi="he-IL"/>
        </w:rPr>
        <w:t xml:space="preserve"> </w:t>
      </w:r>
      <w:r w:rsidR="005A46F0" w:rsidRPr="00882F11">
        <w:rPr>
          <w:rFonts w:cs="Guttman Drogolin" w:hint="cs"/>
          <w:rtl/>
          <w:lang w:bidi="he-IL"/>
        </w:rPr>
        <w:t>אף</w:t>
      </w:r>
      <w:r w:rsidR="005A46F0" w:rsidRPr="00882F11">
        <w:rPr>
          <w:rFonts w:cs="Guttman Drogolin"/>
          <w:rtl/>
          <w:lang w:bidi="he-IL"/>
        </w:rPr>
        <w:t xml:space="preserve"> </w:t>
      </w:r>
      <w:r w:rsidR="005A46F0" w:rsidRPr="00882F11">
        <w:rPr>
          <w:rFonts w:cs="Guttman Drogolin" w:hint="cs"/>
          <w:rtl/>
          <w:lang w:bidi="he-IL"/>
        </w:rPr>
        <w:t>על</w:t>
      </w:r>
      <w:r w:rsidR="005A46F0" w:rsidRPr="00882F11">
        <w:rPr>
          <w:rFonts w:cs="Guttman Drogolin"/>
          <w:rtl/>
          <w:lang w:bidi="he-IL"/>
        </w:rPr>
        <w:t xml:space="preserve"> </w:t>
      </w:r>
      <w:r w:rsidR="005A46F0" w:rsidRPr="00882F11">
        <w:rPr>
          <w:rFonts w:cs="Guttman Drogolin" w:hint="cs"/>
          <w:rtl/>
          <w:lang w:bidi="he-IL"/>
        </w:rPr>
        <w:t>פי</w:t>
      </w:r>
      <w:r w:rsidR="005A46F0" w:rsidRPr="00882F11">
        <w:rPr>
          <w:rFonts w:cs="Guttman Drogolin"/>
          <w:rtl/>
          <w:lang w:bidi="he-IL"/>
        </w:rPr>
        <w:t xml:space="preserve"> </w:t>
      </w:r>
      <w:r w:rsidR="005A46F0" w:rsidRPr="00882F11">
        <w:rPr>
          <w:rFonts w:cs="Guttman Drogolin" w:hint="cs"/>
          <w:rtl/>
          <w:lang w:bidi="he-IL"/>
        </w:rPr>
        <w:t>שנוגעין</w:t>
      </w:r>
      <w:r w:rsidR="005A46F0" w:rsidRPr="00882F11">
        <w:rPr>
          <w:rFonts w:cs="Guttman Drogolin"/>
          <w:rtl/>
          <w:lang w:bidi="he-IL"/>
        </w:rPr>
        <w:t xml:space="preserve"> </w:t>
      </w:r>
      <w:r w:rsidR="005A46F0" w:rsidRPr="00882F11">
        <w:rPr>
          <w:rFonts w:cs="Guttman Drogolin" w:hint="cs"/>
          <w:rtl/>
          <w:lang w:bidi="he-IL"/>
        </w:rPr>
        <w:t>בהן</w:t>
      </w:r>
      <w:r w:rsidR="005A46F0" w:rsidRPr="00882F11">
        <w:rPr>
          <w:rFonts w:cs="Guttman Drogolin"/>
          <w:rtl/>
          <w:lang w:bidi="he-IL"/>
        </w:rPr>
        <w:t xml:space="preserve"> </w:t>
      </w:r>
      <w:r w:rsidR="005A46F0" w:rsidRPr="00882F11">
        <w:rPr>
          <w:rFonts w:cs="Guttman Drogolin" w:hint="cs"/>
          <w:rtl/>
          <w:lang w:bidi="he-IL"/>
        </w:rPr>
        <w:t>המים</w:t>
      </w:r>
      <w:r w:rsidR="005A46F0" w:rsidRPr="00882F11">
        <w:rPr>
          <w:rFonts w:cs="Guttman Drogolin"/>
          <w:rtl/>
          <w:lang w:bidi="he-IL"/>
        </w:rPr>
        <w:t xml:space="preserve"> </w:t>
      </w:r>
      <w:r w:rsidR="005A46F0" w:rsidRPr="00882F11">
        <w:rPr>
          <w:rFonts w:cs="Guttman Drogolin" w:hint="cs"/>
          <w:rtl/>
          <w:lang w:bidi="he-IL"/>
        </w:rPr>
        <w:t>לפי</w:t>
      </w:r>
      <w:r w:rsidR="005A46F0" w:rsidRPr="00882F11">
        <w:rPr>
          <w:rFonts w:cs="Guttman Drogolin"/>
          <w:rtl/>
          <w:lang w:bidi="he-IL"/>
        </w:rPr>
        <w:t xml:space="preserve"> </w:t>
      </w:r>
      <w:r w:rsidR="005A46F0" w:rsidRPr="00882F11">
        <w:rPr>
          <w:rFonts w:cs="Guttman Drogolin" w:hint="cs"/>
          <w:rtl/>
          <w:lang w:bidi="he-IL"/>
        </w:rPr>
        <w:t>שאיסור</w:t>
      </w:r>
      <w:r w:rsidR="005A46F0" w:rsidRPr="00882F11">
        <w:rPr>
          <w:rFonts w:cs="Guttman Drogolin"/>
          <w:rtl/>
          <w:lang w:bidi="he-IL"/>
        </w:rPr>
        <w:t xml:space="preserve"> </w:t>
      </w:r>
      <w:r w:rsidR="005A46F0" w:rsidRPr="00882F11">
        <w:rPr>
          <w:rFonts w:cs="Guttman Drogolin" w:hint="cs"/>
          <w:rtl/>
          <w:lang w:bidi="he-IL"/>
        </w:rPr>
        <w:t>הנבלע</w:t>
      </w:r>
      <w:r w:rsidR="005A46F0" w:rsidRPr="00882F11">
        <w:rPr>
          <w:rFonts w:cs="Guttman Drogolin"/>
          <w:rtl/>
          <w:lang w:bidi="he-IL"/>
        </w:rPr>
        <w:t xml:space="preserve"> </w:t>
      </w:r>
      <w:r w:rsidR="005A46F0" w:rsidRPr="00882F11">
        <w:rPr>
          <w:rFonts w:cs="Guttman Drogolin" w:hint="cs"/>
          <w:rtl/>
          <w:lang w:bidi="he-IL"/>
        </w:rPr>
        <w:t>ואין</w:t>
      </w:r>
      <w:r w:rsidR="005A46F0" w:rsidRPr="00882F11">
        <w:rPr>
          <w:rFonts w:cs="Guttman Drogolin"/>
          <w:rtl/>
          <w:lang w:bidi="he-IL"/>
        </w:rPr>
        <w:t xml:space="preserve"> </w:t>
      </w:r>
      <w:r w:rsidR="005A46F0" w:rsidRPr="00882F11">
        <w:rPr>
          <w:rFonts w:cs="Guttman Drogolin" w:hint="cs"/>
          <w:rtl/>
          <w:lang w:bidi="he-IL"/>
        </w:rPr>
        <w:t>איסורו</w:t>
      </w:r>
      <w:r w:rsidR="005A46F0" w:rsidRPr="00882F11">
        <w:rPr>
          <w:rFonts w:cs="Guttman Drogolin"/>
          <w:rtl/>
          <w:lang w:bidi="he-IL"/>
        </w:rPr>
        <w:t xml:space="preserve"> </w:t>
      </w:r>
      <w:r w:rsidR="005A46F0" w:rsidRPr="00882F11">
        <w:rPr>
          <w:rFonts w:cs="Guttman Drogolin" w:hint="cs"/>
          <w:rtl/>
          <w:lang w:bidi="he-IL"/>
        </w:rPr>
        <w:t>מחמת</w:t>
      </w:r>
      <w:r w:rsidR="005A46F0" w:rsidRPr="00882F11">
        <w:rPr>
          <w:rFonts w:cs="Guttman Drogolin"/>
          <w:rtl/>
          <w:lang w:bidi="he-IL"/>
        </w:rPr>
        <w:t xml:space="preserve"> </w:t>
      </w:r>
      <w:r w:rsidR="005A46F0" w:rsidRPr="00882F11">
        <w:rPr>
          <w:rFonts w:cs="Guttman Drogolin" w:hint="cs"/>
          <w:rtl/>
          <w:lang w:bidi="he-IL"/>
        </w:rPr>
        <w:t>עצמה</w:t>
      </w:r>
      <w:r w:rsidR="005A46F0" w:rsidRPr="00882F11">
        <w:rPr>
          <w:rFonts w:cs="Guttman Drogolin"/>
          <w:rtl/>
          <w:lang w:bidi="he-IL"/>
        </w:rPr>
        <w:t xml:space="preserve"> </w:t>
      </w:r>
      <w:r w:rsidR="005A46F0" w:rsidRPr="00882F11">
        <w:rPr>
          <w:rFonts w:cs="Guttman Drogolin" w:hint="cs"/>
          <w:rtl/>
          <w:lang w:bidi="he-IL"/>
        </w:rPr>
        <w:t>אינו</w:t>
      </w:r>
      <w:r w:rsidR="005A46F0" w:rsidRPr="00882F11">
        <w:rPr>
          <w:rFonts w:cs="Guttman Drogolin"/>
          <w:rtl/>
          <w:lang w:bidi="he-IL"/>
        </w:rPr>
        <w:t xml:space="preserve"> </w:t>
      </w:r>
      <w:r w:rsidR="005A46F0" w:rsidRPr="00882F11">
        <w:rPr>
          <w:rFonts w:cs="Guttman Drogolin" w:hint="cs"/>
          <w:rtl/>
          <w:lang w:bidi="he-IL"/>
        </w:rPr>
        <w:t>חוזר</w:t>
      </w:r>
      <w:r w:rsidR="005A46F0" w:rsidRPr="00882F11">
        <w:rPr>
          <w:rFonts w:cs="Guttman Drogolin"/>
          <w:rtl/>
          <w:lang w:bidi="he-IL"/>
        </w:rPr>
        <w:t xml:space="preserve"> </w:t>
      </w:r>
      <w:r w:rsidR="005A46F0" w:rsidRPr="00882F11">
        <w:rPr>
          <w:rFonts w:cs="Guttman Drogolin" w:hint="cs"/>
          <w:rtl/>
          <w:lang w:bidi="he-IL"/>
        </w:rPr>
        <w:t>ונבלע</w:t>
      </w:r>
      <w:r w:rsidR="005A46F0" w:rsidRPr="00882F11">
        <w:rPr>
          <w:rFonts w:cs="Guttman Drogolin"/>
          <w:rtl/>
          <w:lang w:bidi="he-IL"/>
        </w:rPr>
        <w:t xml:space="preserve"> </w:t>
      </w:r>
      <w:r w:rsidR="005A46F0" w:rsidRPr="00882F11">
        <w:rPr>
          <w:rFonts w:cs="Guttman Drogolin" w:hint="cs"/>
          <w:rtl/>
          <w:lang w:bidi="he-IL"/>
        </w:rPr>
        <w:t>ביבש</w:t>
      </w:r>
      <w:r w:rsidR="005A46F0" w:rsidRPr="00882F11">
        <w:rPr>
          <w:rFonts w:cs="Guttman Drogolin"/>
          <w:rtl/>
          <w:lang w:bidi="he-IL"/>
        </w:rPr>
        <w:t xml:space="preserve"> </w:t>
      </w:r>
      <w:r w:rsidR="005A46F0" w:rsidRPr="00882F11">
        <w:rPr>
          <w:rFonts w:cs="Guttman Drogolin" w:hint="cs"/>
          <w:rtl/>
          <w:lang w:bidi="he-IL"/>
        </w:rPr>
        <w:t>כי</w:t>
      </w:r>
      <w:r w:rsidR="005A46F0" w:rsidRPr="00882F11">
        <w:rPr>
          <w:rFonts w:cs="Guttman Drogolin"/>
          <w:rtl/>
          <w:lang w:bidi="he-IL"/>
        </w:rPr>
        <w:t xml:space="preserve"> </w:t>
      </w:r>
      <w:r w:rsidR="005A46F0" w:rsidRPr="00882F11">
        <w:rPr>
          <w:rFonts w:cs="Guttman Drogolin" w:hint="cs"/>
          <w:rtl/>
          <w:lang w:bidi="he-IL"/>
        </w:rPr>
        <w:t>אם</w:t>
      </w:r>
      <w:r w:rsidR="005A46F0" w:rsidRPr="00882F11">
        <w:rPr>
          <w:rFonts w:cs="Guttman Drogolin"/>
          <w:rtl/>
          <w:lang w:bidi="he-IL"/>
        </w:rPr>
        <w:t xml:space="preserve"> </w:t>
      </w:r>
      <w:r w:rsidR="005A46F0" w:rsidRPr="00882F11">
        <w:rPr>
          <w:rFonts w:cs="Guttman Drogolin" w:hint="cs"/>
          <w:rtl/>
          <w:lang w:bidi="he-IL"/>
        </w:rPr>
        <w:t>על</w:t>
      </w:r>
      <w:r w:rsidR="005A46F0" w:rsidRPr="00882F11">
        <w:rPr>
          <w:rFonts w:cs="Guttman Drogolin"/>
          <w:rtl/>
          <w:lang w:bidi="he-IL"/>
        </w:rPr>
        <w:t xml:space="preserve"> </w:t>
      </w:r>
      <w:r w:rsidR="005A46F0" w:rsidRPr="00882F11">
        <w:rPr>
          <w:rFonts w:cs="Guttman Drogolin" w:hint="cs"/>
          <w:rtl/>
          <w:lang w:bidi="he-IL"/>
        </w:rPr>
        <w:t>ידי</w:t>
      </w:r>
      <w:r w:rsidR="005A46F0" w:rsidRPr="00882F11">
        <w:rPr>
          <w:rFonts w:cs="Guttman Drogolin"/>
          <w:rtl/>
          <w:lang w:bidi="he-IL"/>
        </w:rPr>
        <w:t xml:space="preserve"> </w:t>
      </w:r>
      <w:r w:rsidR="005A46F0" w:rsidRPr="00882F11">
        <w:rPr>
          <w:rFonts w:cs="Guttman Drogolin" w:hint="cs"/>
          <w:rtl/>
          <w:lang w:bidi="he-IL"/>
        </w:rPr>
        <w:t xml:space="preserve">בישול". </w:t>
      </w:r>
      <w:r w:rsidR="00CF4DF4" w:rsidRPr="00882F11">
        <w:rPr>
          <w:rFonts w:cs="Guttman Drogolin" w:hint="cs"/>
          <w:rtl/>
          <w:lang w:bidi="he-IL"/>
        </w:rPr>
        <w:t xml:space="preserve">ור"ל שאמנם בהתחלה וכן לבסוף יש ס' כנגד הדג טמא, מ"מ בזמן ששופך מחבית לקערה הרי מתמעט הכמות של מים, ולכן יתכן שהי' פחות מס' באמצע השפיכה, ובו בזמן הדג טמא עדיין לא נשפך מן המחבת והי' עדיין בתוך המחבת, ובכה"ג </w:t>
      </w:r>
      <w:r w:rsidR="005A46F0" w:rsidRPr="00882F11">
        <w:rPr>
          <w:rFonts w:cs="Guttman Drogolin" w:hint="cs"/>
          <w:rtl/>
          <w:lang w:bidi="he-IL"/>
        </w:rPr>
        <w:t xml:space="preserve">הרי </w:t>
      </w:r>
      <w:r w:rsidR="00CF4DF4" w:rsidRPr="00882F11">
        <w:rPr>
          <w:rFonts w:cs="Guttman Drogolin" w:hint="cs"/>
          <w:rtl/>
          <w:lang w:bidi="he-IL"/>
        </w:rPr>
        <w:t xml:space="preserve">הדג טמא אוסר את כל הנמצא במים. </w:t>
      </w:r>
    </w:p>
    <w:p w:rsidR="00FC4D88" w:rsidRPr="00882F11" w:rsidRDefault="00CF4DF4" w:rsidP="00FC4D88">
      <w:pPr>
        <w:tabs>
          <w:tab w:val="right" w:pos="7497"/>
        </w:tabs>
        <w:bidi/>
        <w:jc w:val="both"/>
        <w:rPr>
          <w:rFonts w:cs="Guttman Drogolin"/>
          <w:rtl/>
          <w:lang w:bidi="he-IL"/>
        </w:rPr>
      </w:pPr>
      <w:r w:rsidRPr="00882F11">
        <w:rPr>
          <w:rFonts w:cs="Guttman Drogolin" w:hint="cs"/>
          <w:rtl/>
          <w:lang w:bidi="he-IL"/>
        </w:rPr>
        <w:t xml:space="preserve">ונראה שבדבר זה לא נחלקו הסמ"ג והיש מתירין. רק נחלקו מטעם אחר וכמו שמתבאר מתוך דברי היש מתירין. </w:t>
      </w:r>
      <w:r w:rsidR="005A46F0" w:rsidRPr="00882F11">
        <w:rPr>
          <w:rFonts w:cs="Guttman Drogolin" w:hint="cs"/>
          <w:rtl/>
          <w:lang w:bidi="he-IL"/>
        </w:rPr>
        <w:t xml:space="preserve">שהיש מתירין התייחסו לב' טעמים לאסור, ודחו את שתיהם. חדא שהי' אפשר לומר דאע"ג שרוב הדגים לא בלעו מן הדג טמא, מ"מ אי אפשר לבטל הדגים שבלעו ממנו ברוב כיון </w:t>
      </w:r>
      <w:r w:rsidR="005A46F0" w:rsidRPr="00882F11">
        <w:rPr>
          <w:rFonts w:cs="Guttman Drogolin" w:hint="cs"/>
          <w:rtl/>
          <w:lang w:bidi="he-IL"/>
        </w:rPr>
        <w:lastRenderedPageBreak/>
        <w:t>שהדגים שבלעו הוו ברי' דלא בטלה. בזה כתבו היש מתירין דכיון שאין הדגים אסורים מחמת עצמן רק מחמת מה שבלעו אין בהם חומרת ברי' ובטלין. ועוד שהי' אפשר לומר ששאר הדגים שבלעו ישירות מן הדג טמא עדיין אסורים כיון שבלעו מן הדגים הטהורים שנגעו בדג טמא ו</w:t>
      </w:r>
      <w:r w:rsidR="000F2518" w:rsidRPr="00882F11">
        <w:rPr>
          <w:rFonts w:cs="Guttman Drogolin" w:hint="cs"/>
          <w:rtl/>
          <w:lang w:bidi="he-IL"/>
        </w:rPr>
        <w:t>ב</w:t>
      </w:r>
      <w:r w:rsidR="005A46F0" w:rsidRPr="00882F11">
        <w:rPr>
          <w:rFonts w:cs="Guttman Drogolin" w:hint="cs"/>
          <w:rtl/>
          <w:lang w:bidi="he-IL"/>
        </w:rPr>
        <w:t>לעו ממנו.</w:t>
      </w:r>
      <w:r w:rsidR="000F2518" w:rsidRPr="00882F11">
        <w:rPr>
          <w:rFonts w:cs="Guttman Drogolin" w:hint="cs"/>
          <w:rtl/>
          <w:lang w:bidi="he-IL"/>
        </w:rPr>
        <w:t xml:space="preserve"> </w:t>
      </w:r>
      <w:r w:rsidRPr="00882F11">
        <w:rPr>
          <w:rFonts w:cs="Guttman Drogolin" w:hint="cs"/>
          <w:rtl/>
          <w:lang w:bidi="he-IL"/>
        </w:rPr>
        <w:t>בזה כתב דכיון שהדגים הטהורים אינם אסורים מצד עצמם רק משום מה שבלעו מן הדג טמא, אין הבליעה עובר מדג לדג בלי בישול.</w:t>
      </w:r>
    </w:p>
    <w:p w:rsidR="00D15826" w:rsidRPr="00882F11" w:rsidRDefault="00FC4D88" w:rsidP="005B3979">
      <w:pPr>
        <w:tabs>
          <w:tab w:val="right" w:pos="7497"/>
        </w:tabs>
        <w:bidi/>
        <w:jc w:val="both"/>
        <w:rPr>
          <w:rFonts w:cs="Guttman Drogolin"/>
          <w:rtl/>
          <w:lang w:bidi="he-IL"/>
        </w:rPr>
      </w:pPr>
      <w:r w:rsidRPr="00882F11">
        <w:rPr>
          <w:rFonts w:cs="Guttman Drogolin" w:hint="cs"/>
          <w:rtl/>
          <w:lang w:bidi="he-IL"/>
        </w:rPr>
        <w:t>ויל"ע מהו באמת טעמו של הבה"ג שאסר ולא התייחס לטעמים אלו.</w:t>
      </w:r>
      <w:r w:rsidR="009D5489" w:rsidRPr="00882F11">
        <w:rPr>
          <w:rFonts w:cs="Guttman Drogolin" w:hint="cs"/>
          <w:rtl/>
          <w:lang w:bidi="he-IL"/>
        </w:rPr>
        <w:t xml:space="preserve"> </w:t>
      </w:r>
      <w:r w:rsidR="005B3979" w:rsidRPr="00882F11">
        <w:rPr>
          <w:rFonts w:cs="Guttman Drogolin" w:hint="cs"/>
          <w:rtl/>
          <w:lang w:bidi="he-IL"/>
        </w:rPr>
        <w:t xml:space="preserve">ובב"י מבואר הטעם משום שהדג שנאסרו אוסרים בנגיעתם, וזה צ"ע כנ"ל שהא אין בליעה עובר מחתיכה לחתיכה בלי רוטב. ואפילו למ"ד דאמרינן חענ"ן בשאר איסורים הא אין הנאסר אוסר וכו'. וע' ביד יהודה שדחה הצד לומר דסמ"ג לית לי' אין הנאסר אוסר. </w:t>
      </w:r>
      <w:r w:rsidR="009D5489" w:rsidRPr="00882F11">
        <w:rPr>
          <w:rFonts w:cs="Guttman Drogolin" w:hint="cs"/>
          <w:rtl/>
          <w:lang w:bidi="he-IL"/>
        </w:rPr>
        <w:t xml:space="preserve">ולכאורה הדבר תלוי, דהנה נחלקו הפוסקים באיזה ציור מיירי הסמ"ג והיש מתירין. הב"ח והש"ך נקטו דמיירי בכה"ג ששפכו המים לאיבוד בפני עצמם, ולכן בכה"ג מאמצע השפיכה כמות המים מתמעט עד שלא יהא ס' של מים ודגים טהרים המונחים במים כנגד הדג טמא, וא"כ מיד נאסרו כל הדגים הטהורים שבתוך המים. ואע"פ ששוב שפכו גם את שאר המים לאיבוד, מ"מ הדגים הטהורים נשארים באיסורם. וא"כ לכאורה עדיין נשאלת שאלה, דנהי נמי שהמתירין סוברים אין הבליעות שבתוך הדג אוסרים שאר הדגים הטהורים כיון שאין בליעה עובר מחתיכה לחתיכה בלי רוטב, וכן שפכו את המים בחוץ, מ"מ כפשוטו נשאר על כל דג שכבה של מים. ולכאורה א"כ השכבה של מים שנשאר על הדגים הטהורים שהיו בתוך המים בזמן שלא הי' ס' במים יהיו משקים האסורים משום שיש בהם בליעת איסור. וא"כ עדיין צ"ע דעת המתירין למה לא יאסרו משום המים האלו שיבליעו בתוך הדגים שעדיין לא בלעו, דכה"ג לא הוי מחתיכה לחתיכה רק מן הרוטב שכבר בלע לחתיכה. וראיתי במגי"ס כאן </w:t>
      </w:r>
      <w:r w:rsidR="002C6443" w:rsidRPr="00882F11">
        <w:rPr>
          <w:rFonts w:cs="Guttman Drogolin" w:hint="cs"/>
          <w:rtl/>
          <w:lang w:bidi="he-IL"/>
        </w:rPr>
        <w:t xml:space="preserve">שהביא מיד יהודה שכתב שזהו באמת טעמו של </w:t>
      </w:r>
      <w:r w:rsidR="002C6443" w:rsidRPr="00882F11">
        <w:rPr>
          <w:rFonts w:cs="Guttman Drogolin" w:hint="cs"/>
          <w:rtl/>
          <w:lang w:bidi="he-IL"/>
        </w:rPr>
        <w:lastRenderedPageBreak/>
        <w:t xml:space="preserve">הסמ"ג לאסור, משום דסבר שאע"ג שהדגים עצמם אינם יכולים לאסור, המים שעל גבם אוסרים. </w:t>
      </w:r>
      <w:r w:rsidR="005B6F7B" w:rsidRPr="00882F11">
        <w:rPr>
          <w:rFonts w:cs="Guttman Drogolin" w:hint="cs"/>
          <w:rtl/>
          <w:lang w:bidi="he-IL"/>
        </w:rPr>
        <w:t>וכן לכאורה מדויק לשון הטור הנ"ל "וחוזרין</w:t>
      </w:r>
      <w:r w:rsidR="005B6F7B" w:rsidRPr="00882F11">
        <w:rPr>
          <w:rFonts w:cs="Guttman Drogolin"/>
          <w:rtl/>
          <w:lang w:bidi="he-IL"/>
        </w:rPr>
        <w:t xml:space="preserve"> </w:t>
      </w:r>
      <w:r w:rsidR="005B6F7B" w:rsidRPr="00882F11">
        <w:rPr>
          <w:rFonts w:cs="Guttman Drogolin" w:hint="cs"/>
          <w:i/>
          <w:iCs/>
          <w:rtl/>
          <w:lang w:bidi="he-IL"/>
        </w:rPr>
        <w:t>המים</w:t>
      </w:r>
      <w:r w:rsidR="005B6F7B" w:rsidRPr="00882F11">
        <w:rPr>
          <w:rFonts w:cs="Guttman Drogolin"/>
          <w:rtl/>
          <w:lang w:bidi="he-IL"/>
        </w:rPr>
        <w:t xml:space="preserve"> </w:t>
      </w:r>
      <w:r w:rsidR="005B6F7B" w:rsidRPr="00882F11">
        <w:rPr>
          <w:rFonts w:cs="Guttman Drogolin" w:hint="cs"/>
          <w:rtl/>
          <w:lang w:bidi="he-IL"/>
        </w:rPr>
        <w:t>ונוגעין</w:t>
      </w:r>
      <w:r w:rsidR="005B6F7B" w:rsidRPr="00882F11">
        <w:rPr>
          <w:rFonts w:cs="Guttman Drogolin"/>
          <w:rtl/>
          <w:lang w:bidi="he-IL"/>
        </w:rPr>
        <w:t xml:space="preserve"> </w:t>
      </w:r>
      <w:r w:rsidR="005B6F7B" w:rsidRPr="00882F11">
        <w:rPr>
          <w:rFonts w:cs="Guttman Drogolin" w:hint="cs"/>
          <w:rtl/>
          <w:lang w:bidi="he-IL"/>
        </w:rPr>
        <w:t>לכל</w:t>
      </w:r>
      <w:r w:rsidR="005B6F7B" w:rsidRPr="00882F11">
        <w:rPr>
          <w:rFonts w:cs="Guttman Drogolin"/>
          <w:rtl/>
          <w:lang w:bidi="he-IL"/>
        </w:rPr>
        <w:t xml:space="preserve"> </w:t>
      </w:r>
      <w:r w:rsidR="005B6F7B" w:rsidRPr="00882F11">
        <w:rPr>
          <w:rFonts w:cs="Guttman Drogolin" w:hint="cs"/>
          <w:rtl/>
          <w:lang w:bidi="he-IL"/>
        </w:rPr>
        <w:t>הדגים"</w:t>
      </w:r>
      <w:r w:rsidR="005B6F7B" w:rsidRPr="00882F11">
        <w:rPr>
          <w:rStyle w:val="FootnoteReference"/>
          <w:rFonts w:cs="Guttman Drogolin"/>
          <w:rtl/>
          <w:lang w:bidi="he-IL"/>
        </w:rPr>
        <w:footnoteReference w:id="389"/>
      </w:r>
      <w:r w:rsidR="005B6F7B" w:rsidRPr="00882F11">
        <w:rPr>
          <w:rFonts w:cs="Guttman Drogolin" w:hint="cs"/>
          <w:rtl/>
          <w:lang w:bidi="he-IL"/>
        </w:rPr>
        <w:t>.</w:t>
      </w:r>
      <w:r w:rsidR="005B3979" w:rsidRPr="00882F11">
        <w:rPr>
          <w:rFonts w:cs="Guttman Drogolin" w:hint="cs"/>
          <w:rtl/>
          <w:lang w:bidi="he-IL"/>
        </w:rPr>
        <w:t xml:space="preserve"> וכן לכאורה מבואר בט"ז ס"ק ב' בשם או"ה הארוך.</w:t>
      </w:r>
      <w:r w:rsidR="005B6F7B" w:rsidRPr="00882F11">
        <w:rPr>
          <w:rFonts w:cs="Guttman Drogolin" w:hint="cs"/>
          <w:rtl/>
          <w:lang w:bidi="he-IL"/>
        </w:rPr>
        <w:t xml:space="preserve"> </w:t>
      </w:r>
      <w:r w:rsidR="002C6443" w:rsidRPr="00882F11">
        <w:rPr>
          <w:rFonts w:cs="Guttman Drogolin" w:hint="cs"/>
          <w:rtl/>
          <w:lang w:bidi="he-IL"/>
        </w:rPr>
        <w:t xml:space="preserve">אלא שעדיין צ"ע לפשיטת המתירין למה לא יאסרו. </w:t>
      </w:r>
    </w:p>
    <w:p w:rsidR="00BD7074" w:rsidRPr="00882F11" w:rsidRDefault="002C6443" w:rsidP="005B6F7B">
      <w:pPr>
        <w:tabs>
          <w:tab w:val="right" w:pos="7497"/>
        </w:tabs>
        <w:bidi/>
        <w:jc w:val="both"/>
        <w:rPr>
          <w:rFonts w:cs="Guttman Drogolin"/>
          <w:rtl/>
          <w:lang w:bidi="he-IL"/>
        </w:rPr>
      </w:pPr>
      <w:r w:rsidRPr="00882F11">
        <w:rPr>
          <w:rFonts w:cs="Guttman Drogolin" w:hint="cs"/>
          <w:rtl/>
          <w:lang w:bidi="he-IL"/>
        </w:rPr>
        <w:t>אלא דהנה שיטת החוו"ד</w:t>
      </w:r>
      <w:r w:rsidR="008B0600" w:rsidRPr="00882F11">
        <w:rPr>
          <w:rFonts w:cs="Guttman Drogolin" w:hint="cs"/>
          <w:rtl/>
          <w:lang w:bidi="he-IL"/>
        </w:rPr>
        <w:t xml:space="preserve"> </w:t>
      </w:r>
      <w:r w:rsidR="00EA7BA3" w:rsidRPr="00882F11">
        <w:rPr>
          <w:rFonts w:cs="Guttman Drogolin" w:hint="cs"/>
          <w:rtl/>
          <w:lang w:bidi="he-IL"/>
        </w:rPr>
        <w:t>(סי</w:t>
      </w:r>
      <w:r w:rsidR="00EA7BA3" w:rsidRPr="00882F11">
        <w:rPr>
          <w:rFonts w:cs="Guttman Drogolin"/>
          <w:rtl/>
          <w:lang w:bidi="he-IL"/>
        </w:rPr>
        <w:t xml:space="preserve">' </w:t>
      </w:r>
      <w:r w:rsidR="00EA7BA3" w:rsidRPr="00882F11">
        <w:rPr>
          <w:rFonts w:cs="Guttman Drogolin" w:hint="cs"/>
          <w:rtl/>
          <w:lang w:bidi="he-IL"/>
        </w:rPr>
        <w:t>צ</w:t>
      </w:r>
      <w:r w:rsidR="00EA7BA3" w:rsidRPr="00882F11">
        <w:rPr>
          <w:rFonts w:cs="Guttman Drogolin"/>
          <w:rtl/>
          <w:lang w:bidi="he-IL"/>
        </w:rPr>
        <w:t>"</w:t>
      </w:r>
      <w:r w:rsidR="00EA7BA3" w:rsidRPr="00882F11">
        <w:rPr>
          <w:rFonts w:cs="Guttman Drogolin" w:hint="cs"/>
          <w:rtl/>
          <w:lang w:bidi="he-IL"/>
        </w:rPr>
        <w:t>א</w:t>
      </w:r>
      <w:r w:rsidR="00EA7BA3" w:rsidRPr="00882F11">
        <w:rPr>
          <w:rFonts w:cs="Guttman Drogolin"/>
          <w:rtl/>
          <w:lang w:bidi="he-IL"/>
        </w:rPr>
        <w:t xml:space="preserve"> </w:t>
      </w:r>
      <w:r w:rsidR="00EA7BA3" w:rsidRPr="00882F11">
        <w:rPr>
          <w:rFonts w:cs="Guttman Drogolin" w:hint="cs"/>
          <w:rtl/>
          <w:lang w:bidi="he-IL"/>
        </w:rPr>
        <w:t>ס</w:t>
      </w:r>
      <w:r w:rsidR="00EA7BA3" w:rsidRPr="00882F11">
        <w:rPr>
          <w:rFonts w:cs="Guttman Drogolin"/>
          <w:rtl/>
          <w:lang w:bidi="he-IL"/>
        </w:rPr>
        <w:t>"</w:t>
      </w:r>
      <w:r w:rsidR="00EA7BA3" w:rsidRPr="00882F11">
        <w:rPr>
          <w:rFonts w:cs="Guttman Drogolin" w:hint="cs"/>
          <w:rtl/>
          <w:lang w:bidi="he-IL"/>
        </w:rPr>
        <w:t>ק</w:t>
      </w:r>
      <w:r w:rsidR="00EA7BA3" w:rsidRPr="00882F11">
        <w:rPr>
          <w:rFonts w:cs="Guttman Drogolin"/>
          <w:rtl/>
          <w:lang w:bidi="he-IL"/>
        </w:rPr>
        <w:t xml:space="preserve"> </w:t>
      </w:r>
      <w:r w:rsidR="00EA7BA3" w:rsidRPr="00882F11">
        <w:rPr>
          <w:rFonts w:cs="Guttman Drogolin" w:hint="cs"/>
          <w:rtl/>
          <w:lang w:bidi="he-IL"/>
        </w:rPr>
        <w:t>ז</w:t>
      </w:r>
      <w:r w:rsidR="00EA7BA3" w:rsidRPr="00882F11">
        <w:rPr>
          <w:rFonts w:cs="Guttman Drogolin"/>
          <w:rtl/>
          <w:lang w:bidi="he-IL"/>
        </w:rPr>
        <w:t>'</w:t>
      </w:r>
      <w:r w:rsidR="005B6F7B" w:rsidRPr="00882F11">
        <w:rPr>
          <w:rFonts w:cs="Guttman Drogolin" w:hint="cs"/>
          <w:rtl/>
          <w:lang w:bidi="he-IL"/>
        </w:rPr>
        <w:t>,</w:t>
      </w:r>
      <w:r w:rsidR="00EA7BA3" w:rsidRPr="00882F11">
        <w:rPr>
          <w:rFonts w:cs="Guttman Drogolin"/>
          <w:rtl/>
          <w:lang w:bidi="he-IL"/>
        </w:rPr>
        <w:t xml:space="preserve"> </w:t>
      </w:r>
      <w:r w:rsidR="00EA7BA3" w:rsidRPr="00882F11">
        <w:rPr>
          <w:rFonts w:cs="Guttman Drogolin" w:hint="cs"/>
          <w:rtl/>
          <w:lang w:bidi="he-IL"/>
        </w:rPr>
        <w:t>וסי</w:t>
      </w:r>
      <w:r w:rsidR="00EA7BA3" w:rsidRPr="00882F11">
        <w:rPr>
          <w:rFonts w:cs="Guttman Drogolin"/>
          <w:rtl/>
          <w:lang w:bidi="he-IL"/>
        </w:rPr>
        <w:t xml:space="preserve">' </w:t>
      </w:r>
      <w:r w:rsidR="00EA7BA3" w:rsidRPr="00882F11">
        <w:rPr>
          <w:rFonts w:cs="Guttman Drogolin" w:hint="cs"/>
          <w:rtl/>
          <w:lang w:bidi="he-IL"/>
        </w:rPr>
        <w:t>צ</w:t>
      </w:r>
      <w:r w:rsidR="00EA7BA3" w:rsidRPr="00882F11">
        <w:rPr>
          <w:rFonts w:cs="Guttman Drogolin"/>
          <w:rtl/>
          <w:lang w:bidi="he-IL"/>
        </w:rPr>
        <w:t>"</w:t>
      </w:r>
      <w:r w:rsidR="00EA7BA3" w:rsidRPr="00882F11">
        <w:rPr>
          <w:rFonts w:cs="Guttman Drogolin" w:hint="cs"/>
          <w:rtl/>
          <w:lang w:bidi="he-IL"/>
        </w:rPr>
        <w:t>ב</w:t>
      </w:r>
      <w:r w:rsidR="00EA7BA3" w:rsidRPr="00882F11">
        <w:rPr>
          <w:rFonts w:cs="Guttman Drogolin"/>
          <w:rtl/>
          <w:lang w:bidi="he-IL"/>
        </w:rPr>
        <w:t xml:space="preserve"> </w:t>
      </w:r>
      <w:r w:rsidR="00EA7BA3" w:rsidRPr="00882F11">
        <w:rPr>
          <w:rFonts w:cs="Guttman Drogolin" w:hint="cs"/>
          <w:rtl/>
          <w:lang w:bidi="he-IL"/>
        </w:rPr>
        <w:t>ס</w:t>
      </w:r>
      <w:r w:rsidR="00EA7BA3" w:rsidRPr="00882F11">
        <w:rPr>
          <w:rFonts w:cs="Guttman Drogolin"/>
          <w:rtl/>
          <w:lang w:bidi="he-IL"/>
        </w:rPr>
        <w:t>"</w:t>
      </w:r>
      <w:r w:rsidR="00EA7BA3" w:rsidRPr="00882F11">
        <w:rPr>
          <w:rFonts w:cs="Guttman Drogolin" w:hint="cs"/>
          <w:rtl/>
          <w:lang w:bidi="he-IL"/>
        </w:rPr>
        <w:t>ק</w:t>
      </w:r>
      <w:r w:rsidR="00EA7BA3" w:rsidRPr="00882F11">
        <w:rPr>
          <w:rFonts w:cs="Guttman Drogolin"/>
          <w:rtl/>
          <w:lang w:bidi="he-IL"/>
        </w:rPr>
        <w:t xml:space="preserve"> </w:t>
      </w:r>
      <w:r w:rsidR="00EA7BA3" w:rsidRPr="00882F11">
        <w:rPr>
          <w:rFonts w:cs="Guttman Drogolin" w:hint="cs"/>
          <w:rtl/>
          <w:lang w:bidi="he-IL"/>
        </w:rPr>
        <w:t>כ</w:t>
      </w:r>
      <w:r w:rsidR="00EA7BA3" w:rsidRPr="00882F11">
        <w:rPr>
          <w:rFonts w:cs="Guttman Drogolin"/>
          <w:rtl/>
          <w:lang w:bidi="he-IL"/>
        </w:rPr>
        <w:t>'</w:t>
      </w:r>
      <w:r w:rsidR="005B6F7B" w:rsidRPr="00882F11">
        <w:rPr>
          <w:rFonts w:cs="Guttman Drogolin" w:hint="cs"/>
          <w:rtl/>
          <w:lang w:bidi="he-IL"/>
        </w:rPr>
        <w:t>, וסי' ק"ה סע' ז'</w:t>
      </w:r>
      <w:r w:rsidR="00EA7BA3" w:rsidRPr="00882F11">
        <w:rPr>
          <w:rFonts w:cs="Guttman Drogolin" w:hint="cs"/>
          <w:rtl/>
          <w:lang w:bidi="he-IL"/>
        </w:rPr>
        <w:t xml:space="preserve">) </w:t>
      </w:r>
      <w:r w:rsidR="008B0600" w:rsidRPr="00882F11">
        <w:rPr>
          <w:rFonts w:cs="Guttman Drogolin" w:hint="cs"/>
          <w:rtl/>
          <w:lang w:bidi="he-IL"/>
        </w:rPr>
        <w:t>דהא דאמרינן שאין בליעה עובר מחתיכה לחתיכה</w:t>
      </w:r>
      <w:r w:rsidR="00EA7BA3" w:rsidRPr="00882F11">
        <w:rPr>
          <w:rFonts w:cs="Guttman Drogolin" w:hint="cs"/>
          <w:rtl/>
          <w:lang w:bidi="he-IL"/>
        </w:rPr>
        <w:t xml:space="preserve"> בלי רוטב, לא סגי לן בזה שיש קצת רוטב. ועוד יותר מזה מבואר, שאפילו אם הרוטב כבר בלע מן האיסור, מ"מ אם אינו אלא קצת רוטב אין לו כח לאסור חתיכה אחרת. </w:t>
      </w:r>
      <w:r w:rsidR="005B6F7B" w:rsidRPr="00882F11">
        <w:rPr>
          <w:rFonts w:cs="Guttman Drogolin" w:hint="cs"/>
          <w:rtl/>
          <w:lang w:bidi="he-IL"/>
        </w:rPr>
        <w:t>ולדבריו ניחא. והיד יהודה באמת חלק על החוו"ד שם וסבר שאפילו קצת רוטב אוסר. וע' ביד יהודה כאן שכתב ליישב שיטת המתירין שלפעמים אין חוששין שיבלע מעט לחלוחית.</w:t>
      </w:r>
      <w:r w:rsidR="008B0600" w:rsidRPr="00882F11">
        <w:rPr>
          <w:rFonts w:cs="Guttman Drogolin" w:hint="cs"/>
          <w:rtl/>
          <w:lang w:bidi="he-IL"/>
        </w:rPr>
        <w:t xml:space="preserve"> </w:t>
      </w:r>
    </w:p>
    <w:p w:rsidR="00EE7418" w:rsidRPr="00882F11" w:rsidRDefault="00BD7074" w:rsidP="00EE7418">
      <w:pPr>
        <w:tabs>
          <w:tab w:val="right" w:pos="7497"/>
        </w:tabs>
        <w:bidi/>
        <w:jc w:val="both"/>
        <w:rPr>
          <w:rFonts w:cs="Guttman Drogolin"/>
          <w:rtl/>
          <w:lang w:bidi="he-IL"/>
        </w:rPr>
      </w:pPr>
      <w:r w:rsidRPr="00882F11">
        <w:rPr>
          <w:rFonts w:cs="Guttman Drogolin" w:hint="cs"/>
          <w:rtl/>
          <w:lang w:bidi="he-IL"/>
        </w:rPr>
        <w:t>ונאמרו כמה טעמים נוספים להתיר את התערובת. א' מהם מה שאמר רבינו שמשון דאיסורא דרובא איתי'. ור"ל שהרי בציור הנ"ל הטעם לאסור משום שחוששים שהדגים הם למטה מגובה המים בשעה שמתמעט המים לשיעור פחות מס'. וסבר רבינו שמשון, דכיון שרוב הדגים הם למעלה מן המים, שמשו"ה סובר ר' ברוך שיש להתיר כיון שיש רוב דגים טהור שלא בלעו מן הדג טמא נגד השגים שבלעו ממנו. וכיון שכן יש כלל דאמרינן שהדג טמא הי' ביחד עם הרוב, דהיינו עם הדגים שלמעלה מגובה המים שהם הרוב, ולכן לא נאסרו הדגים מחמת המים כלל, דכשהיו כולם במים הי' ס' כנגד הדג טמא, וכשהתמעט המים לא הי' הדג טמא בתוך המים. ועיקר כלל זה יש לו מקור במס' זבחים דף ע"ד ע"א.</w:t>
      </w:r>
      <w:r w:rsidR="008C30C0" w:rsidRPr="00882F11">
        <w:rPr>
          <w:rFonts w:cs="Guttman Drogolin" w:hint="cs"/>
          <w:rtl/>
          <w:lang w:bidi="he-IL"/>
        </w:rPr>
        <w:t xml:space="preserve"> </w:t>
      </w:r>
      <w:r w:rsidR="00B672A2" w:rsidRPr="00882F11">
        <w:rPr>
          <w:rFonts w:cs="Guttman Drogolin" w:hint="cs"/>
          <w:rtl/>
          <w:lang w:bidi="he-IL"/>
        </w:rPr>
        <w:t xml:space="preserve">וע' בביאור הגר"א </w:t>
      </w:r>
      <w:r w:rsidR="00695039" w:rsidRPr="00882F11">
        <w:rPr>
          <w:rFonts w:cs="Guttman Drogolin" w:hint="cs"/>
          <w:rtl/>
          <w:lang w:bidi="he-IL"/>
        </w:rPr>
        <w:t xml:space="preserve">ס"ק ד' </w:t>
      </w:r>
      <w:r w:rsidR="00B672A2" w:rsidRPr="00882F11">
        <w:rPr>
          <w:rFonts w:cs="Guttman Drogolin" w:hint="cs"/>
          <w:rtl/>
          <w:lang w:bidi="he-IL"/>
        </w:rPr>
        <w:t xml:space="preserve">וחוו"ד </w:t>
      </w:r>
      <w:r w:rsidR="00695039" w:rsidRPr="00882F11">
        <w:rPr>
          <w:rFonts w:cs="Guttman Drogolin" w:hint="cs"/>
          <w:rtl/>
          <w:lang w:bidi="he-IL"/>
        </w:rPr>
        <w:t xml:space="preserve">ס"ק א' </w:t>
      </w:r>
      <w:r w:rsidR="00B672A2" w:rsidRPr="00882F11">
        <w:rPr>
          <w:rFonts w:cs="Guttman Drogolin" w:hint="cs"/>
          <w:rtl/>
          <w:lang w:bidi="he-IL"/>
        </w:rPr>
        <w:t>שהעירו שמשמעות הגמ' שם דלא קיי"ל לומר איסור ברובא איתי'</w:t>
      </w:r>
      <w:r w:rsidR="00695039" w:rsidRPr="00882F11">
        <w:rPr>
          <w:rFonts w:cs="Guttman Drogolin" w:hint="cs"/>
          <w:rtl/>
          <w:lang w:bidi="he-IL"/>
        </w:rPr>
        <w:t xml:space="preserve"> כדמבואר במס' זבחים שם, וכן מבואר לעיל בסי' ק"א סע' ז'</w:t>
      </w:r>
      <w:r w:rsidR="00B672A2" w:rsidRPr="00882F11">
        <w:rPr>
          <w:rFonts w:cs="Guttman Drogolin" w:hint="cs"/>
          <w:rtl/>
          <w:lang w:bidi="he-IL"/>
        </w:rPr>
        <w:t>. וע' מש"כ בזה היד יהודה.</w:t>
      </w:r>
      <w:r w:rsidR="00695039" w:rsidRPr="00882F11">
        <w:rPr>
          <w:rFonts w:cs="Guttman Drogolin" w:hint="cs"/>
          <w:rtl/>
          <w:lang w:bidi="he-IL"/>
        </w:rPr>
        <w:t xml:space="preserve"> וע' בסמוך.</w:t>
      </w:r>
    </w:p>
    <w:p w:rsidR="00695039" w:rsidRPr="00882F11" w:rsidRDefault="00EE7418" w:rsidP="00695039">
      <w:pPr>
        <w:tabs>
          <w:tab w:val="right" w:pos="7497"/>
        </w:tabs>
        <w:bidi/>
        <w:jc w:val="both"/>
        <w:rPr>
          <w:rFonts w:cs="Guttman Drogolin"/>
          <w:rtl/>
          <w:lang w:bidi="he-IL"/>
        </w:rPr>
      </w:pPr>
      <w:r w:rsidRPr="00882F11">
        <w:rPr>
          <w:rFonts w:cs="Guttman Drogolin" w:hint="cs"/>
          <w:rtl/>
          <w:lang w:bidi="he-IL"/>
        </w:rPr>
        <w:lastRenderedPageBreak/>
        <w:t>ועוד מבואר ברמ"א</w:t>
      </w:r>
      <w:r w:rsidRPr="00882F11">
        <w:rPr>
          <w:rFonts w:cs="Guttman Drogolin"/>
          <w:lang w:bidi="he-IL"/>
        </w:rPr>
        <w:t xml:space="preserve"> </w:t>
      </w:r>
      <w:r w:rsidRPr="00882F11">
        <w:rPr>
          <w:rFonts w:cs="Guttman Drogolin" w:hint="cs"/>
          <w:rtl/>
          <w:lang w:bidi="he-IL"/>
        </w:rPr>
        <w:t>סברא נוספת והוא דלא מחזקינן איסורא. וב</w:t>
      </w:r>
      <w:r w:rsidR="00695039" w:rsidRPr="00882F11">
        <w:rPr>
          <w:rFonts w:cs="Guttman Drogolin" w:hint="cs"/>
          <w:rtl/>
          <w:lang w:bidi="he-IL"/>
        </w:rPr>
        <w:t xml:space="preserve">תו"ח (כלל נ"א ד"א) עצמו ועוד </w:t>
      </w:r>
      <w:r w:rsidRPr="00882F11">
        <w:rPr>
          <w:rFonts w:cs="Guttman Drogolin" w:hint="cs"/>
          <w:rtl/>
          <w:lang w:bidi="he-IL"/>
        </w:rPr>
        <w:t>פוסקים משמע שזהו סברת ר' שמשון</w:t>
      </w:r>
      <w:r w:rsidR="00695039" w:rsidRPr="00882F11">
        <w:rPr>
          <w:rFonts w:cs="Guttman Drogolin" w:hint="cs"/>
          <w:rtl/>
          <w:lang w:bidi="he-IL"/>
        </w:rPr>
        <w:t>,</w:t>
      </w:r>
      <w:r w:rsidRPr="00882F11">
        <w:rPr>
          <w:rFonts w:cs="Guttman Drogolin" w:hint="cs"/>
          <w:rtl/>
          <w:lang w:bidi="he-IL"/>
        </w:rPr>
        <w:t xml:space="preserve"> אבל לכאורה סברא אחרת היא. </w:t>
      </w:r>
      <w:r w:rsidR="00695039" w:rsidRPr="00882F11">
        <w:rPr>
          <w:rFonts w:cs="Guttman Drogolin" w:hint="cs"/>
          <w:rtl/>
          <w:lang w:bidi="he-IL"/>
        </w:rPr>
        <w:t>והנה מדברי התו"ח ששניהם אותה סברא, יל"ע אם עיקר סברתו דאיסורא ברובא איתי' קשה כנ"ל דהא לא קיי"ל כן, וכן לפי זה קשה מה שהתיר ע"פ סברא זו אפילו בביצים, הא בביצים נקטו הפוסקים דמסתמא ליכא רוב. וכן הקשה הש"ך. אבל עיקר סברתו דלא מחזקינן איסורא ליכא קושיא. וכן הט"ז נקט שלסברת הרמ"א יש להתיר בביצים, ולכאורה היינו משום דנקט דעיקר הטעם משום דלא מחזקינן איסורא.</w:t>
      </w:r>
    </w:p>
    <w:p w:rsidR="00F17B68" w:rsidRPr="00882F11" w:rsidRDefault="00EE7418" w:rsidP="00695039">
      <w:pPr>
        <w:tabs>
          <w:tab w:val="right" w:pos="7497"/>
        </w:tabs>
        <w:bidi/>
        <w:jc w:val="both"/>
        <w:rPr>
          <w:rFonts w:cs="Guttman Drogolin"/>
          <w:rtl/>
          <w:lang w:bidi="he-IL"/>
        </w:rPr>
      </w:pPr>
      <w:r w:rsidRPr="00882F11">
        <w:rPr>
          <w:rFonts w:cs="Guttman Drogolin" w:hint="cs"/>
          <w:rtl/>
          <w:lang w:bidi="he-IL"/>
        </w:rPr>
        <w:t>וביד יהודה כתב ע"פ סברא זו לבאר עוד הערה. והוא דהנה דברי ר' ברוך להתיר מיוסדים על זה שאין בליעה עובר מחתיכה לחתיכה בלי רוטב. אלא שהרי כלל זה לא נאמר אלא בב' כלים, אבל בליעה עוברת מכלי לאוכל בלי רוטב. וא"כ הנה כשהגיע גובה המים לפחות משיעור ס' לא נאסרו אך ורק הדגים והמים אלא גם הכלי נאסר. ובסי' צ"ב סע' ה' ראינו שכשהכלי נאסר חוששים שהבליעה מפעפע בתוך הכלי עצמו עד שיעור ביטול של ס'. וא"כ בנד"ד הי' לנו לחשוש שהבליעה מפעפעת בתוך הכלי ואוסרת כל הדגים הנוגעים בכלי אפילו אלו שהם למעלה מגובה המים. ותי' היד יהודה ע"פ כלל זה דלא מחזקינן איסורא.</w:t>
      </w:r>
      <w:r w:rsidR="00B672A2" w:rsidRPr="00882F11">
        <w:rPr>
          <w:rFonts w:cs="Guttman Drogolin" w:hint="cs"/>
          <w:rtl/>
          <w:lang w:bidi="he-IL"/>
        </w:rPr>
        <w:t xml:space="preserve"> ור"ל </w:t>
      </w:r>
      <w:r w:rsidR="00F17B68" w:rsidRPr="00882F11">
        <w:rPr>
          <w:rFonts w:cs="Guttman Drogolin" w:hint="cs"/>
          <w:rtl/>
          <w:lang w:bidi="he-IL"/>
        </w:rPr>
        <w:t>שדוקא בדגים שנתהווה בהם ריעותא, דהא בכל האופנים יש לכה"פ דג או שתים שנאסרו מחמת נגיעתם לדג טמא, בהם חיישינן שנאסרו יותר, אבל בכלי דיתכן שלא נאסר כלל ומשום שלא נגע בה הדג טמא ולא הדגים שנאסרו מחמתה, שפיר י"ל דלא מחזקינן איסורא.</w:t>
      </w:r>
      <w:r w:rsidR="00695039" w:rsidRPr="00882F11">
        <w:rPr>
          <w:rFonts w:cs="Guttman Drogolin" w:hint="cs"/>
          <w:rtl/>
          <w:lang w:bidi="he-IL"/>
        </w:rPr>
        <w:t xml:space="preserve"> ולפי סברת ר' שמשון מרותו טעם שמתירין הכלי מתירין גם הדגים. </w:t>
      </w:r>
    </w:p>
    <w:p w:rsidR="005B3979" w:rsidRPr="00882F11" w:rsidRDefault="00F17B68" w:rsidP="00F17B68">
      <w:pPr>
        <w:tabs>
          <w:tab w:val="right" w:pos="7497"/>
        </w:tabs>
        <w:bidi/>
        <w:jc w:val="both"/>
        <w:rPr>
          <w:rFonts w:cs="Guttman Drogolin"/>
          <w:rtl/>
          <w:lang w:bidi="he-IL"/>
        </w:rPr>
      </w:pPr>
      <w:r w:rsidRPr="00882F11">
        <w:rPr>
          <w:rFonts w:cs="Guttman Drogolin" w:hint="cs"/>
          <w:rtl/>
          <w:lang w:bidi="he-IL"/>
        </w:rPr>
        <w:t xml:space="preserve">וע' בנו"כ שהביאו מתו"ח עוד סברא להקל, והוא דאפילו אם לא אמרינן איסורא ברובא איתי', לא יהא אלא ספק, מ"מ כיון דמיירי במין במינו, הא </w:t>
      </w:r>
      <w:r w:rsidRPr="00882F11">
        <w:rPr>
          <w:rFonts w:cs="Guttman Drogolin" w:hint="cs"/>
          <w:rtl/>
          <w:lang w:bidi="he-IL"/>
        </w:rPr>
        <w:lastRenderedPageBreak/>
        <w:t xml:space="preserve">יש ודאי רוב וספק אם יש איסור כלל כיון דיתכן שהי' הדג טמא למעלה, וא"כ יש לנו להתיר. </w:t>
      </w:r>
      <w:r w:rsidR="005B3979" w:rsidRPr="00882F11">
        <w:rPr>
          <w:rFonts w:cs="Guttman Drogolin" w:hint="cs"/>
          <w:rtl/>
          <w:lang w:bidi="he-IL"/>
        </w:rPr>
        <w:t xml:space="preserve">ולכאורה ר"ל שהטעם דג טמא שנכנס לדגים הטהורים אינו אלא מיעוט, רק דאסרינן אפילו במין במינו משום דליכא ס'. ומ"מ אין הכדי קליפה אסור אלא מדרבנן. </w:t>
      </w:r>
      <w:r w:rsidRPr="00882F11">
        <w:rPr>
          <w:rFonts w:cs="Guttman Drogolin" w:hint="cs"/>
          <w:rtl/>
          <w:lang w:bidi="he-IL"/>
        </w:rPr>
        <w:t>וכן דימה לסי' קי"א שמצרפינן הכל לששים, וא"כ גם כאן הי' לנו לצרף גם את הלמעלה וגם את הלמטה לשיעור ס'.</w:t>
      </w:r>
      <w:r w:rsidR="005B3979" w:rsidRPr="00882F11">
        <w:rPr>
          <w:rFonts w:cs="Guttman Drogolin" w:hint="cs"/>
          <w:rtl/>
          <w:lang w:bidi="he-IL"/>
        </w:rPr>
        <w:t xml:space="preserve"> והט"ז נקט שאין להתיר מטעם זה כיון שעיקר הספק הוא בדאורייתא, ור"ל האם הדג טמא למעלה או למטה. וכיון שנאסר שוב לא אמרינן שיש כאן ספק רק איסור ודאי מספק. ואיסור זה הרי נכנס לתוך הדג. וע' בש"ך דנקט דנד"ד הוי מין בשא"מ, וע' מש"כ בזה בהגהות רע"א. </w:t>
      </w:r>
    </w:p>
    <w:p w:rsidR="005B3979" w:rsidRPr="00882F11" w:rsidRDefault="005B3979" w:rsidP="005B3979">
      <w:pPr>
        <w:tabs>
          <w:tab w:val="right" w:pos="7497"/>
        </w:tabs>
        <w:bidi/>
        <w:jc w:val="both"/>
        <w:rPr>
          <w:rFonts w:cs="Guttman Drogolin"/>
          <w:rtl/>
          <w:lang w:bidi="he-IL"/>
        </w:rPr>
      </w:pPr>
      <w:r w:rsidRPr="00882F11">
        <w:rPr>
          <w:rFonts w:cs="Guttman Drogolin" w:hint="cs"/>
          <w:rtl/>
          <w:lang w:bidi="he-IL"/>
        </w:rPr>
        <w:t xml:space="preserve">וכל זה בציור של הש"ך. וכתב הש"ך והט"ז שאם הרימו את המחבת באמצע השפיכה בזמן דליכא ס' במים עם הדגים הטהורים שבתוך המים כנגד הדג טמא, שודאי נאסרו המים, ואם ישפך המים לאחר מכן צריכים להתייחס לביטול המים וכן לדין עירוי כלי ראשון. </w:t>
      </w:r>
    </w:p>
    <w:p w:rsidR="00EE4CC1" w:rsidRPr="00882F11" w:rsidRDefault="005B3979" w:rsidP="005B3979">
      <w:pPr>
        <w:tabs>
          <w:tab w:val="right" w:pos="7497"/>
        </w:tabs>
        <w:bidi/>
        <w:jc w:val="both"/>
        <w:rPr>
          <w:rFonts w:cs="Guttman Drogolin"/>
          <w:rtl/>
          <w:lang w:bidi="he-IL"/>
        </w:rPr>
      </w:pPr>
      <w:r w:rsidRPr="00882F11">
        <w:rPr>
          <w:rFonts w:cs="Guttman Drogolin" w:hint="cs"/>
          <w:rtl/>
          <w:lang w:bidi="he-IL"/>
        </w:rPr>
        <w:t xml:space="preserve">והנה כל הנ"ל הוא לפי ביאורם של הב"ח והש"ך במחלוקת הסמ"ג ור' ברוך. אבל הב"י והרמ"א נקטו דנחלקו בכה"ג ששפכו גם הדגים וגם המים לתוך הקערה. וא"כ מקשים הפוסקים דלמה לא יאסר המים הנשפכים בסוף מדין עירוי. </w:t>
      </w:r>
      <w:r w:rsidR="00EE4CC1" w:rsidRPr="00882F11">
        <w:rPr>
          <w:rFonts w:cs="Guttman Drogolin" w:hint="cs"/>
          <w:rtl/>
          <w:lang w:bidi="he-IL"/>
        </w:rPr>
        <w:t>והתו"ח הבין דמיירי ששפכו המים לחוץ כשהגיע לפחות מס', אבל כתב הש"ך שבב"י מבואר שגם אם שפכו הכל אינו אוסר, וצ"ע כנ"ל. ויש תי' שונים באחרונים ביישוב קושיא זו. הש"ך כתב שגם הב"י מצריך כדי קליפה ולא נחלקו אלא בהא דאסרו הכל. וא"כ לכאורה צ"ע מהו טעמם של האוסרים בזה. ובערוה"ש ויד יהודה נקטו שכששופך המים והוא נופל למים שבקערה, החלשו כח המים ואין לו דין כלי עירוי כלי ראשון. וע' בפוסקים שהדגישו שמ"מ צ"ל שיש ששים במים שבתוך הקערה ולא נאסרו נגד המים שנאסר, דאל"כ יש לאסור משום תערובת המים בלבד.</w:t>
      </w:r>
    </w:p>
    <w:p w:rsidR="00EE4CC1" w:rsidRPr="00882F11" w:rsidRDefault="00EE4CC1" w:rsidP="00EE4CC1">
      <w:pPr>
        <w:tabs>
          <w:tab w:val="right" w:pos="7497"/>
        </w:tabs>
        <w:bidi/>
        <w:jc w:val="both"/>
        <w:rPr>
          <w:rFonts w:cs="Guttman Drogolin"/>
          <w:rtl/>
          <w:lang w:bidi="he-IL"/>
        </w:rPr>
      </w:pPr>
      <w:r w:rsidRPr="00882F11">
        <w:rPr>
          <w:rFonts w:cs="Guttman Drogolin" w:hint="cs"/>
          <w:rtl/>
          <w:lang w:bidi="he-IL"/>
        </w:rPr>
        <w:t xml:space="preserve">ונראה להדגיש עוד דבר קטן, שאם שופך הכל בבת אחת לא נאסר המים, וכל החשש משום </w:t>
      </w:r>
      <w:r w:rsidRPr="00882F11">
        <w:rPr>
          <w:rFonts w:cs="Guttman Drogolin" w:hint="cs"/>
          <w:rtl/>
          <w:lang w:bidi="he-IL"/>
        </w:rPr>
        <w:lastRenderedPageBreak/>
        <w:t>שאולי אינו בבת אחת. וכן בט"ז ס"ק ג' מבואר שמספק חיישינן לזה, אבל אם ברור שהי' הכל בבת אחת, לא נאסר. אמנם נראה שבציור של הש"ך כיון ששופכים מעט מעט הרי הוא נאסר אפילו לא נפסק הקילוח. וי"ש לע' באיזה מהירות נחשב הכל בבת א'.</w:t>
      </w:r>
    </w:p>
    <w:p w:rsidR="00EE4CC1" w:rsidRPr="00882F11" w:rsidRDefault="00EE4CC1" w:rsidP="00EE4CC1">
      <w:pPr>
        <w:pStyle w:val="Heading1"/>
        <w:bidi/>
        <w:spacing w:before="0" w:line="360" w:lineRule="auto"/>
        <w:jc w:val="center"/>
        <w:rPr>
          <w:rFonts w:cs="Guttman Drogolin"/>
          <w:color w:val="auto"/>
          <w:sz w:val="24"/>
          <w:szCs w:val="24"/>
          <w:u w:val="single"/>
          <w:rtl/>
          <w:lang w:bidi="he-IL"/>
        </w:rPr>
      </w:pPr>
      <w:bookmarkStart w:id="385" w:name="_Toc496175632"/>
      <w:r w:rsidRPr="00882F11">
        <w:rPr>
          <w:rFonts w:cs="Guttman Drogolin" w:hint="cs"/>
          <w:color w:val="auto"/>
          <w:sz w:val="24"/>
          <w:szCs w:val="24"/>
          <w:u w:val="single"/>
          <w:rtl/>
          <w:lang w:bidi="he-IL"/>
        </w:rPr>
        <w:t>הדין במצא זבוב במרק</w:t>
      </w:r>
      <w:bookmarkEnd w:id="385"/>
    </w:p>
    <w:p w:rsidR="00553752" w:rsidRPr="00882F11" w:rsidRDefault="00A413C6" w:rsidP="00185204">
      <w:pPr>
        <w:tabs>
          <w:tab w:val="right" w:pos="7497"/>
        </w:tabs>
        <w:bidi/>
        <w:jc w:val="both"/>
        <w:rPr>
          <w:rFonts w:cs="Guttman Drogolin"/>
          <w:rtl/>
          <w:lang w:bidi="he-IL"/>
        </w:rPr>
      </w:pPr>
      <w:r>
        <w:rPr>
          <w:rFonts w:cs="Guttman Drogolin"/>
          <w:rtl/>
          <w:lang w:bidi="he-IL"/>
        </w:rPr>
        <w:fldChar w:fldCharType="begin"/>
      </w:r>
      <w:r>
        <w:instrText xml:space="preserve"> XE "</w:instrText>
      </w:r>
      <w:r w:rsidRPr="0086692E">
        <w:rPr>
          <w:rFonts w:hint="cs"/>
          <w:rtl/>
          <w:lang w:bidi="he-IL"/>
        </w:rPr>
        <w:instrText>נותן טעם לפגם</w:instrText>
      </w:r>
      <w:r w:rsidRPr="0086692E">
        <w:rPr>
          <w:rtl/>
        </w:rPr>
        <w:instrText>:</w:instrText>
      </w:r>
      <w:r w:rsidRPr="0086692E">
        <w:rPr>
          <w:rFonts w:hint="cs"/>
          <w:rtl/>
          <w:lang w:bidi="he-IL"/>
        </w:rPr>
        <w:instrText>זבוב במרק</w:instrText>
      </w:r>
      <w:r>
        <w:instrText xml:space="preserve">" </w:instrText>
      </w:r>
      <w:r>
        <w:rPr>
          <w:rFonts w:cs="Guttman Drogolin"/>
          <w:rtl/>
          <w:lang w:bidi="he-IL"/>
        </w:rPr>
        <w:fldChar w:fldCharType="end"/>
      </w:r>
      <w:r w:rsidR="00EE4CC1" w:rsidRPr="00882F11">
        <w:rPr>
          <w:rFonts w:cs="Guttman Drogolin" w:hint="cs"/>
          <w:rtl/>
          <w:lang w:bidi="he-IL"/>
        </w:rPr>
        <w:t>דנו הפוסקים בדין שאר דברים המאוסים האם דינם כנטל"פ ולכן אין צריכים ס' כנגדם, או"ד חיישינן דהוו נותן טעם לשבח וצריכים ס' כנגדם. וכתב כאן הש"ד בס"ק ז' שאמנם הש"ך כתב להחמיר</w:t>
      </w:r>
      <w:r w:rsidR="008C2EF8" w:rsidRPr="00882F11">
        <w:rPr>
          <w:rFonts w:cs="Guttman Drogolin" w:hint="cs"/>
          <w:rtl/>
          <w:lang w:bidi="he-IL"/>
        </w:rPr>
        <w:t xml:space="preserve"> (שלא במקום הפמ"ר או שעה"ד)</w:t>
      </w:r>
      <w:r w:rsidR="00EE4CC1" w:rsidRPr="00882F11">
        <w:rPr>
          <w:rFonts w:cs="Guttman Drogolin" w:hint="cs"/>
          <w:rtl/>
          <w:lang w:bidi="he-IL"/>
        </w:rPr>
        <w:t xml:space="preserve">, אבל הט"ז והפר"ח נקטו להקל, ומסיק שעיקר הדין להקל והמחמיר תבא עליו ברכה. ולכן מי שמוצא זבוב במרק שלו </w:t>
      </w:r>
      <w:r w:rsidR="00553752" w:rsidRPr="00882F11">
        <w:rPr>
          <w:rFonts w:cs="Guttman Drogolin" w:hint="cs"/>
          <w:rtl/>
          <w:lang w:bidi="he-IL"/>
        </w:rPr>
        <w:t xml:space="preserve">אין המרק נאסר משום שבדר"כ יש ששים בקערה כנגד הזבוב. ואם </w:t>
      </w:r>
      <w:r w:rsidR="00EE4CC1" w:rsidRPr="00882F11">
        <w:rPr>
          <w:rFonts w:cs="Guttman Drogolin" w:hint="cs"/>
          <w:rtl/>
          <w:lang w:bidi="he-IL"/>
        </w:rPr>
        <w:t>רוצה להוציאו, לכאורה עדיף להוציאו עם כף חד פעמי ולזרוק את שניהם כדי להחמיר אולי נותן טעם לשבח, דאילו הוציאו בכף של שאינו חד פעמי יתכן שאסרו הכף.</w:t>
      </w:r>
      <w:r w:rsidR="008C2EF8" w:rsidRPr="00882F11">
        <w:rPr>
          <w:rFonts w:cs="Guttman Drogolin" w:hint="cs"/>
          <w:rtl/>
          <w:lang w:bidi="he-IL"/>
        </w:rPr>
        <w:t xml:space="preserve"> (וכן </w:t>
      </w:r>
      <w:r w:rsidR="00185204" w:rsidRPr="00882F11">
        <w:rPr>
          <w:rFonts w:cs="Guttman Drogolin" w:hint="cs"/>
          <w:rtl/>
          <w:lang w:bidi="he-IL"/>
        </w:rPr>
        <w:t>ראיתי בביאורים לס' בדה"ש כאן</w:t>
      </w:r>
      <w:r w:rsidR="008C2EF8" w:rsidRPr="00882F11">
        <w:rPr>
          <w:rFonts w:cs="Guttman Drogolin" w:hint="cs"/>
          <w:rtl/>
          <w:lang w:bidi="he-IL"/>
        </w:rPr>
        <w:t xml:space="preserve"> בשם שו"ת קול אליהו </w:t>
      </w:r>
      <w:r w:rsidR="008C2EF8" w:rsidRPr="00882F11">
        <w:rPr>
          <w:rFonts w:cs="Guttman Drogolin"/>
          <w:rtl/>
          <w:lang w:bidi="he-IL"/>
        </w:rPr>
        <w:t>(</w:t>
      </w:r>
      <w:r w:rsidR="008C2EF8" w:rsidRPr="00882F11">
        <w:rPr>
          <w:rFonts w:cs="Guttman Drogolin" w:hint="cs"/>
          <w:rtl/>
          <w:lang w:bidi="he-IL"/>
        </w:rPr>
        <w:t>יו</w:t>
      </w:r>
      <w:r w:rsidR="008C2EF8" w:rsidRPr="00882F11">
        <w:rPr>
          <w:rFonts w:cs="Guttman Drogolin"/>
          <w:rtl/>
          <w:lang w:bidi="he-IL"/>
        </w:rPr>
        <w:t>"</w:t>
      </w:r>
      <w:r w:rsidR="008C2EF8" w:rsidRPr="00882F11">
        <w:rPr>
          <w:rFonts w:cs="Guttman Drogolin" w:hint="cs"/>
          <w:rtl/>
          <w:lang w:bidi="he-IL"/>
        </w:rPr>
        <w:t>ד</w:t>
      </w:r>
      <w:r w:rsidR="008C2EF8" w:rsidRPr="00882F11">
        <w:rPr>
          <w:rFonts w:cs="Guttman Drogolin"/>
          <w:rtl/>
          <w:lang w:bidi="he-IL"/>
        </w:rPr>
        <w:t xml:space="preserve"> </w:t>
      </w:r>
      <w:r w:rsidR="008C2EF8" w:rsidRPr="00882F11">
        <w:rPr>
          <w:rFonts w:cs="Guttman Drogolin" w:hint="cs"/>
          <w:rtl/>
          <w:lang w:bidi="he-IL"/>
        </w:rPr>
        <w:t>סוף</w:t>
      </w:r>
      <w:r w:rsidR="008C2EF8" w:rsidRPr="00882F11">
        <w:rPr>
          <w:rFonts w:cs="Guttman Drogolin"/>
          <w:rtl/>
          <w:lang w:bidi="he-IL"/>
        </w:rPr>
        <w:t xml:space="preserve"> </w:t>
      </w:r>
      <w:r w:rsidR="008C2EF8" w:rsidRPr="00882F11">
        <w:rPr>
          <w:rFonts w:cs="Guttman Drogolin" w:hint="cs"/>
          <w:rtl/>
          <w:lang w:bidi="he-IL"/>
        </w:rPr>
        <w:t>סי</w:t>
      </w:r>
      <w:r w:rsidR="008C2EF8" w:rsidRPr="00882F11">
        <w:rPr>
          <w:rFonts w:cs="Guttman Drogolin"/>
          <w:rtl/>
          <w:lang w:bidi="he-IL"/>
        </w:rPr>
        <w:t xml:space="preserve">' </w:t>
      </w:r>
      <w:r w:rsidR="008C2EF8" w:rsidRPr="00882F11">
        <w:rPr>
          <w:rFonts w:cs="Guttman Drogolin" w:hint="cs"/>
          <w:rtl/>
          <w:lang w:bidi="he-IL"/>
        </w:rPr>
        <w:t>כ</w:t>
      </w:r>
      <w:r w:rsidR="008C2EF8" w:rsidRPr="00882F11">
        <w:rPr>
          <w:rFonts w:cs="Guttman Drogolin"/>
          <w:rtl/>
          <w:lang w:bidi="he-IL"/>
        </w:rPr>
        <w:t>"</w:t>
      </w:r>
      <w:r w:rsidR="008C2EF8" w:rsidRPr="00882F11">
        <w:rPr>
          <w:rFonts w:cs="Guttman Drogolin" w:hint="cs"/>
          <w:rtl/>
          <w:lang w:bidi="he-IL"/>
        </w:rPr>
        <w:t>ב)</w:t>
      </w:r>
      <w:r w:rsidR="00EE4CC1" w:rsidRPr="00882F11">
        <w:rPr>
          <w:rFonts w:cs="Guttman Drogolin" w:hint="cs"/>
          <w:rtl/>
          <w:lang w:bidi="he-IL"/>
        </w:rPr>
        <w:t xml:space="preserve"> </w:t>
      </w:r>
      <w:r w:rsidR="008C2EF8" w:rsidRPr="00882F11">
        <w:rPr>
          <w:rFonts w:cs="Guttman Drogolin" w:hint="cs"/>
          <w:rtl/>
          <w:lang w:bidi="he-IL"/>
        </w:rPr>
        <w:t xml:space="preserve">שלא להוציא הזבוב בכף באופן שאם הוא נ"ט לשבח יאסר הכף. </w:t>
      </w:r>
      <w:r w:rsidR="00553752" w:rsidRPr="00882F11">
        <w:rPr>
          <w:rFonts w:cs="Guttman Drogolin" w:hint="cs"/>
          <w:rtl/>
          <w:lang w:bidi="he-IL"/>
        </w:rPr>
        <w:t xml:space="preserve">ואם הכניסו המרק לתוך הקערה דרך כף (מצקת) לכאורה הדבר תלוי, שאם יש ס' במקר שבכף נגד הזבוב כשהי' בפנים אין כל חשש (דלכאורה לא צריכים לחשוש שהי' הזבוב נוגע בכף, וכנ"ל מן היד יהודה במחבת שיש בה דגים). אבל אם אין ס' לכאורה הכל אסור אא"כ מקילין שהוא נטל"פ. </w:t>
      </w:r>
      <w:r w:rsidR="008C2EF8" w:rsidRPr="00882F11">
        <w:rPr>
          <w:rFonts w:cs="Guttman Drogolin" w:hint="cs"/>
          <w:rtl/>
          <w:lang w:bidi="he-IL"/>
        </w:rPr>
        <w:t>ולכאורה כיון שלמעשה אינו אלא ענים של תע"ב, אין לאסור המרק בדיעבד, וכן לכאורה אין  להצריך להכשיר הכלי בדיעבד אם לא נבלע אלא ע"י כלי שני (כגון מן הקערה). אבל יל"ע אם להכשיר המצ</w:t>
      </w:r>
      <w:r w:rsidR="00185204" w:rsidRPr="00882F11">
        <w:rPr>
          <w:rFonts w:cs="Guttman Drogolin" w:hint="cs"/>
          <w:rtl/>
          <w:lang w:bidi="he-IL"/>
        </w:rPr>
        <w:t>ק</w:t>
      </w:r>
      <w:r w:rsidR="008C2EF8" w:rsidRPr="00882F11">
        <w:rPr>
          <w:rFonts w:cs="Guttman Drogolin" w:hint="cs"/>
          <w:rtl/>
          <w:lang w:bidi="he-IL"/>
        </w:rPr>
        <w:t xml:space="preserve">ת לכתחילה משום תע"ב.  </w:t>
      </w:r>
    </w:p>
    <w:p w:rsidR="002C6443" w:rsidRPr="00882F11" w:rsidRDefault="00553752" w:rsidP="00553752">
      <w:pPr>
        <w:tabs>
          <w:tab w:val="right" w:pos="7497"/>
        </w:tabs>
        <w:bidi/>
        <w:jc w:val="both"/>
        <w:rPr>
          <w:rFonts w:cs="Guttman Drogolin"/>
          <w:rtl/>
          <w:lang w:bidi="he-IL"/>
        </w:rPr>
      </w:pPr>
      <w:r w:rsidRPr="00882F11">
        <w:rPr>
          <w:rFonts w:cs="Guttman Drogolin" w:hint="cs"/>
          <w:rtl/>
          <w:lang w:bidi="he-IL"/>
        </w:rPr>
        <w:t>ובכל הנ"ל ראוי להדגיש שאם מוציא הזבוב בשבת שיש להחמיר להוציא עם הזבוב יותר משקין ממה שהי' רגיל להוציא עם הזבוב בחול כדי שלא להכשל באיסור בורר.</w:t>
      </w:r>
      <w:r w:rsidR="00EE4CC1" w:rsidRPr="00882F11">
        <w:rPr>
          <w:rFonts w:cs="Guttman Drogolin" w:hint="cs"/>
          <w:rtl/>
          <w:lang w:bidi="he-IL"/>
        </w:rPr>
        <w:t xml:space="preserve"> </w:t>
      </w:r>
      <w:r w:rsidR="005B3979" w:rsidRPr="00882F11">
        <w:rPr>
          <w:rFonts w:cs="Guttman Drogolin" w:hint="cs"/>
          <w:rtl/>
          <w:lang w:bidi="he-IL"/>
        </w:rPr>
        <w:t xml:space="preserve"> </w:t>
      </w:r>
      <w:r w:rsidR="00F17B68" w:rsidRPr="00882F11">
        <w:rPr>
          <w:rFonts w:cs="Guttman Drogolin" w:hint="cs"/>
          <w:rtl/>
          <w:lang w:bidi="he-IL"/>
        </w:rPr>
        <w:t xml:space="preserve"> </w:t>
      </w:r>
      <w:r w:rsidR="00EE7418" w:rsidRPr="00882F11">
        <w:rPr>
          <w:rFonts w:cs="Guttman Drogolin" w:hint="cs"/>
          <w:rtl/>
          <w:lang w:bidi="he-IL"/>
        </w:rPr>
        <w:t xml:space="preserve">  </w:t>
      </w:r>
      <w:r w:rsidR="00BD7074" w:rsidRPr="00882F11">
        <w:rPr>
          <w:rFonts w:cs="Guttman Drogolin" w:hint="cs"/>
          <w:rtl/>
          <w:lang w:bidi="he-IL"/>
        </w:rPr>
        <w:t xml:space="preserve"> </w:t>
      </w:r>
      <w:r w:rsidR="002C6443" w:rsidRPr="00882F11">
        <w:rPr>
          <w:rFonts w:cs="Guttman Drogolin" w:hint="cs"/>
          <w:rtl/>
          <w:lang w:bidi="he-IL"/>
        </w:rPr>
        <w:t xml:space="preserve"> </w:t>
      </w:r>
    </w:p>
    <w:p w:rsidR="00547EDA" w:rsidRPr="00882F11" w:rsidRDefault="00547EDA" w:rsidP="00547EDA">
      <w:pPr>
        <w:tabs>
          <w:tab w:val="right" w:pos="7497"/>
        </w:tabs>
        <w:bidi/>
        <w:jc w:val="both"/>
        <w:rPr>
          <w:rFonts w:cs="Guttman Drogolin"/>
          <w:b/>
          <w:bCs/>
          <w:sz w:val="28"/>
          <w:szCs w:val="28"/>
          <w:rtl/>
          <w:lang w:bidi="he-IL"/>
        </w:rPr>
        <w:sectPr w:rsidR="00547EDA" w:rsidRPr="00882F11" w:rsidSect="006D0A1E">
          <w:type w:val="continuous"/>
          <w:pgSz w:w="11907" w:h="16839" w:code="9"/>
          <w:pgMar w:top="1440" w:right="1440" w:bottom="1440" w:left="1440" w:header="720" w:footer="720" w:gutter="0"/>
          <w:cols w:num="2" w:space="720"/>
          <w:bidi/>
          <w:docGrid w:linePitch="360"/>
        </w:sectPr>
      </w:pPr>
    </w:p>
    <w:p w:rsidR="00547EDA" w:rsidRPr="006D0A1E" w:rsidRDefault="00547EDA" w:rsidP="00547EDA">
      <w:pPr>
        <w:keepNext/>
        <w:tabs>
          <w:tab w:val="left" w:pos="3818"/>
          <w:tab w:val="center" w:pos="4680"/>
        </w:tabs>
        <w:bidi/>
        <w:jc w:val="center"/>
        <w:rPr>
          <w:rFonts w:cs="Guttman Drogolin"/>
          <w:b/>
          <w:bCs/>
          <w:sz w:val="48"/>
          <w:szCs w:val="48"/>
          <w:rtl/>
          <w:lang w:bidi="he-IL"/>
        </w:rPr>
      </w:pPr>
      <w:r w:rsidRPr="006D0A1E">
        <w:rPr>
          <w:rFonts w:cs="Guttman Drogolin" w:hint="cs"/>
          <w:b/>
          <w:bCs/>
          <w:sz w:val="48"/>
          <w:szCs w:val="48"/>
          <w:rtl/>
          <w:lang w:bidi="he-IL"/>
        </w:rPr>
        <w:lastRenderedPageBreak/>
        <w:t>שיעור צ"ה</w:t>
      </w:r>
    </w:p>
    <w:p w:rsidR="006D0A1E" w:rsidRDefault="006D0A1E" w:rsidP="007E188E">
      <w:pPr>
        <w:pStyle w:val="Heading1"/>
        <w:bidi/>
        <w:spacing w:before="0" w:line="360" w:lineRule="auto"/>
        <w:jc w:val="center"/>
        <w:rPr>
          <w:rFonts w:cs="Guttman Drogolin"/>
          <w:color w:val="auto"/>
          <w:sz w:val="24"/>
          <w:szCs w:val="24"/>
          <w:u w:val="single"/>
          <w:rtl/>
          <w:lang w:bidi="he-IL"/>
        </w:rPr>
        <w:sectPr w:rsidR="006D0A1E" w:rsidSect="006D0A1E">
          <w:headerReference w:type="default" r:id="rId72"/>
          <w:pgSz w:w="11907" w:h="16839" w:code="9"/>
          <w:pgMar w:top="1440" w:right="1440" w:bottom="1440" w:left="1440" w:header="720" w:footer="720" w:gutter="0"/>
          <w:cols w:space="720"/>
          <w:bidi/>
          <w:docGrid w:linePitch="360"/>
        </w:sectPr>
      </w:pPr>
    </w:p>
    <w:p w:rsidR="00547EDA" w:rsidRPr="00882F11" w:rsidRDefault="007E188E" w:rsidP="007E188E">
      <w:pPr>
        <w:pStyle w:val="Heading1"/>
        <w:bidi/>
        <w:spacing w:before="0" w:line="360" w:lineRule="auto"/>
        <w:jc w:val="center"/>
        <w:rPr>
          <w:rFonts w:cs="Guttman Drogolin"/>
          <w:color w:val="auto"/>
          <w:sz w:val="24"/>
          <w:szCs w:val="24"/>
          <w:u w:val="single"/>
          <w:rtl/>
          <w:lang w:bidi="he-IL"/>
        </w:rPr>
      </w:pPr>
      <w:bookmarkStart w:id="386" w:name="_Toc496175633"/>
      <w:r w:rsidRPr="00882F11">
        <w:rPr>
          <w:rFonts w:cs="Guttman Drogolin" w:hint="cs"/>
          <w:color w:val="auto"/>
          <w:sz w:val="24"/>
          <w:szCs w:val="24"/>
          <w:u w:val="single"/>
          <w:rtl/>
          <w:lang w:bidi="he-IL"/>
        </w:rPr>
        <w:lastRenderedPageBreak/>
        <w:t>תמצית ה</w:t>
      </w:r>
      <w:r w:rsidR="00E26761" w:rsidRPr="00882F11">
        <w:rPr>
          <w:rFonts w:cs="Guttman Drogolin" w:hint="cs"/>
          <w:color w:val="auto"/>
          <w:sz w:val="24"/>
          <w:szCs w:val="24"/>
          <w:u w:val="single"/>
          <w:rtl/>
          <w:lang w:bidi="he-IL"/>
        </w:rPr>
        <w:t>סוגיא דריחא מילתא</w:t>
      </w:r>
      <w:bookmarkEnd w:id="386"/>
    </w:p>
    <w:p w:rsidR="00F42C20" w:rsidRPr="00882F11" w:rsidRDefault="00A413C6" w:rsidP="00A413C6">
      <w:pPr>
        <w:tabs>
          <w:tab w:val="right" w:pos="7497"/>
        </w:tabs>
        <w:bidi/>
        <w:jc w:val="both"/>
        <w:rPr>
          <w:rFonts w:cs="Guttman Drogolin"/>
          <w:rtl/>
          <w:lang w:bidi="he-IL"/>
        </w:rPr>
      </w:pPr>
      <w:r>
        <w:rPr>
          <w:rFonts w:cs="Guttman Drogolin"/>
          <w:rtl/>
          <w:lang w:bidi="he-IL"/>
        </w:rPr>
        <w:fldChar w:fldCharType="begin"/>
      </w:r>
      <w:r>
        <w:instrText xml:space="preserve"> XE "</w:instrText>
      </w:r>
      <w:r w:rsidRPr="003538A1">
        <w:rPr>
          <w:rFonts w:hint="cs"/>
          <w:rtl/>
          <w:lang w:bidi="he-IL"/>
        </w:rPr>
        <w:instrText>ריחא</w:instrText>
      </w:r>
      <w:r>
        <w:rPr>
          <w:rFonts w:hint="cs"/>
          <w:rtl/>
          <w:lang w:bidi="he-IL"/>
        </w:rPr>
        <w:instrText xml:space="preserve"> מילתא</w:instrText>
      </w:r>
      <w:r w:rsidRPr="003538A1">
        <w:rPr>
          <w:rtl/>
        </w:rPr>
        <w:instrText>:</w:instrText>
      </w:r>
      <w:r w:rsidRPr="003538A1">
        <w:rPr>
          <w:rFonts w:hint="cs"/>
          <w:rtl/>
          <w:lang w:bidi="he-IL"/>
        </w:rPr>
        <w:instrText>סוגי</w:instrText>
      </w:r>
      <w:r>
        <w:rPr>
          <w:rFonts w:hint="cs"/>
          <w:rtl/>
          <w:lang w:bidi="he-IL"/>
        </w:rPr>
        <w:instrText>י</w:instrText>
      </w:r>
      <w:r w:rsidRPr="003538A1">
        <w:rPr>
          <w:rFonts w:hint="cs"/>
          <w:rtl/>
          <w:lang w:bidi="he-IL"/>
        </w:rPr>
        <w:instrText>ת הגמ</w:instrText>
      </w:r>
      <w:r>
        <w:rPr>
          <w:rFonts w:hint="cs"/>
          <w:rtl/>
          <w:lang w:bidi="he-IL"/>
        </w:rPr>
        <w:instrText>רא</w:instrText>
      </w:r>
      <w:r>
        <w:instrText xml:space="preserve">" </w:instrText>
      </w:r>
      <w:r>
        <w:rPr>
          <w:rFonts w:cs="Guttman Drogolin"/>
          <w:rtl/>
          <w:lang w:bidi="he-IL"/>
        </w:rPr>
        <w:fldChar w:fldCharType="end"/>
      </w:r>
      <w:r w:rsidR="007E188E" w:rsidRPr="00882F11">
        <w:rPr>
          <w:rFonts w:cs="Guttman Drogolin" w:hint="cs"/>
          <w:rtl/>
          <w:lang w:bidi="he-IL"/>
        </w:rPr>
        <w:t xml:space="preserve">במס' פסחים דף ע"ו ע"ב מבואר מחלוקת רב ולוי בכה"ג שצלאו בשר </w:t>
      </w:r>
      <w:r w:rsidR="005A5FB3" w:rsidRPr="00882F11">
        <w:rPr>
          <w:rFonts w:cs="Guttman Drogolin" w:hint="cs"/>
          <w:rtl/>
          <w:lang w:bidi="he-IL"/>
        </w:rPr>
        <w:t>שחוטה עם בשר נבילה, שרב סבר שאפילו אם השחוטה שמינה והנבילה כחושה אסור משום דריחא מילתא היא, ושמואל סבר שאפילו אם הנבילה שמינה</w:t>
      </w:r>
      <w:r w:rsidR="005A5FB3" w:rsidRPr="00882F11">
        <w:rPr>
          <w:rStyle w:val="FootnoteReference"/>
          <w:rFonts w:cs="Guttman Drogolin"/>
          <w:rtl/>
          <w:lang w:bidi="he-IL"/>
        </w:rPr>
        <w:footnoteReference w:id="390"/>
      </w:r>
      <w:r w:rsidR="005A5FB3" w:rsidRPr="00882F11">
        <w:rPr>
          <w:rFonts w:cs="Guttman Drogolin" w:hint="cs"/>
          <w:rtl/>
          <w:lang w:bidi="he-IL"/>
        </w:rPr>
        <w:t xml:space="preserve"> מ"מ מותר כיון דריחא לאו מילתא היא. ועוד נחלקו רבא ואביי במס' ע"ז דף ס"ו ע"ב בבת תיהא אם ריחא מילתא היא או לא. ורש"י שם במס' פסחים נקט דכיון דקיי"ל כרבא נגד אביי, חזינן דריחא לאו מילתא היא, והיינו כשיטת לוי שם בפסחים. וכן נקטו הרי"ף </w:t>
      </w:r>
      <w:r w:rsidR="00F42C20" w:rsidRPr="00882F11">
        <w:rPr>
          <w:rFonts w:cs="Guttman Drogolin" w:hint="cs"/>
          <w:rtl/>
          <w:lang w:bidi="he-IL"/>
        </w:rPr>
        <w:t xml:space="preserve">(במס' חולין ל"ב ע"א מדפי הרי"ף) </w:t>
      </w:r>
      <w:r w:rsidR="005A5FB3" w:rsidRPr="00882F11">
        <w:rPr>
          <w:rFonts w:cs="Guttman Drogolin" w:hint="cs"/>
          <w:rtl/>
          <w:lang w:bidi="he-IL"/>
        </w:rPr>
        <w:t xml:space="preserve">והרמב"ם. והתוס' שם במס' ע"ז נקט שאין שייכות בין המחלוקת בין רב ללוי למחלוקת שבין רבא לאביי. דרב ולוי נחלקו אם הריחא שנכנס לתוך מאכל יש לו החומרא של מאכלות אסורות כמו טעם, או שאינו נחשב לכלום. ורבא ואביי נחלקו במילתא אחריתי, והוא אם המעשה להריח חשוב כמעשה שתי' או לא, ואביי סבר שהוי כשתיי' ורבא סבר שלא, וע"ש במהר"ם ומהרש"א לטעמים למה לא יחשב מעשה שתיי' אליב דרבא. וע"ש שביארו שאביי שאסר הוי אפילו ללוי דסבר ריחא לאו מילתא היא, משום דעד כאן לא קאמר לוי אלא בריחא שהתערב בתוך מאכל, אבל אם מריח מגוף הדבר גם לוי מודה. </w:t>
      </w:r>
      <w:r w:rsidR="00C36FD1" w:rsidRPr="00882F11">
        <w:rPr>
          <w:rFonts w:cs="Guttman Drogolin" w:hint="cs"/>
          <w:rtl/>
          <w:lang w:bidi="he-IL"/>
        </w:rPr>
        <w:t xml:space="preserve">ולדבריהם יוצא דקיי"ל כרבא בדינא דבת תיהא, אבל כרב כשצלה בשר שחוטה עם בשר נבילה. </w:t>
      </w:r>
      <w:r w:rsidR="00F42C20" w:rsidRPr="00882F11">
        <w:rPr>
          <w:rFonts w:cs="Guttman Drogolin" w:hint="cs"/>
          <w:rtl/>
          <w:lang w:bidi="he-IL"/>
        </w:rPr>
        <w:t xml:space="preserve">ומ"מ להלכה מבואר בשו"ע דקיי"ל כרש"י הרי"ף והרמב"ם דהלכתא כלוי והוי חדא מחלוקת. </w:t>
      </w:r>
    </w:p>
    <w:p w:rsidR="005A1A44" w:rsidRPr="00882F11" w:rsidRDefault="00F42C20" w:rsidP="00F950B8">
      <w:pPr>
        <w:tabs>
          <w:tab w:val="right" w:pos="7497"/>
        </w:tabs>
        <w:bidi/>
        <w:jc w:val="both"/>
        <w:rPr>
          <w:rFonts w:cs="Guttman Drogolin"/>
          <w:rtl/>
          <w:lang w:bidi="he-IL"/>
        </w:rPr>
      </w:pPr>
      <w:r w:rsidRPr="00882F11">
        <w:rPr>
          <w:rFonts w:cs="Guttman Drogolin" w:hint="cs"/>
          <w:rtl/>
          <w:lang w:bidi="he-IL"/>
        </w:rPr>
        <w:t>והנה הראשונים דנו אליבא דלוי אם הוא מתיר רק בדיעבד או אפילו לכתחילה. והתוס' מביאים דעת רש"י שלא התיר אלא לכתחילה (וע"ש במהרש"א איפה ראו את זה בפירש"י). וכ"כ הרי"ף</w:t>
      </w:r>
      <w:r w:rsidR="00F950B8" w:rsidRPr="00882F11">
        <w:rPr>
          <w:rFonts w:cs="Guttman Drogolin" w:hint="cs"/>
          <w:rtl/>
          <w:lang w:bidi="he-IL"/>
        </w:rPr>
        <w:t>,</w:t>
      </w:r>
      <w:r w:rsidRPr="00882F11">
        <w:rPr>
          <w:rFonts w:cs="Guttman Drogolin" w:hint="cs"/>
          <w:rtl/>
          <w:lang w:bidi="he-IL"/>
        </w:rPr>
        <w:t xml:space="preserve"> </w:t>
      </w:r>
      <w:r w:rsidR="00F950B8" w:rsidRPr="00882F11">
        <w:rPr>
          <w:rFonts w:cs="Guttman Drogolin" w:hint="cs"/>
          <w:rtl/>
          <w:lang w:bidi="he-IL"/>
        </w:rPr>
        <w:t xml:space="preserve">ודקדק כן מלשון 'שצלאו', </w:t>
      </w:r>
      <w:r w:rsidRPr="00882F11">
        <w:rPr>
          <w:rFonts w:cs="Guttman Drogolin" w:hint="cs"/>
          <w:rtl/>
          <w:lang w:bidi="he-IL"/>
        </w:rPr>
        <w:t>ו</w:t>
      </w:r>
      <w:r w:rsidR="00F950B8" w:rsidRPr="00882F11">
        <w:rPr>
          <w:rFonts w:cs="Guttman Drogolin" w:hint="cs"/>
          <w:rtl/>
          <w:lang w:bidi="he-IL"/>
        </w:rPr>
        <w:t xml:space="preserve">כן </w:t>
      </w:r>
      <w:r w:rsidRPr="00882F11">
        <w:rPr>
          <w:rFonts w:cs="Guttman Drogolin" w:hint="cs"/>
          <w:rtl/>
          <w:lang w:bidi="he-IL"/>
        </w:rPr>
        <w:t xml:space="preserve">הוכיח </w:t>
      </w:r>
      <w:r w:rsidR="00F950B8" w:rsidRPr="00882F11">
        <w:rPr>
          <w:rFonts w:cs="Guttman Drogolin" w:hint="cs"/>
          <w:rtl/>
          <w:lang w:bidi="he-IL"/>
        </w:rPr>
        <w:t xml:space="preserve"> </w:t>
      </w:r>
      <w:r w:rsidR="00F950B8" w:rsidRPr="00882F11">
        <w:rPr>
          <w:rFonts w:cs="Guttman Drogolin" w:hint="cs"/>
          <w:rtl/>
          <w:lang w:bidi="he-IL"/>
        </w:rPr>
        <w:lastRenderedPageBreak/>
        <w:t xml:space="preserve">שלכתחילה אסור </w:t>
      </w:r>
      <w:r w:rsidRPr="00882F11">
        <w:rPr>
          <w:rFonts w:cs="Guttman Drogolin" w:hint="cs"/>
          <w:rtl/>
          <w:lang w:bidi="he-IL"/>
        </w:rPr>
        <w:t>מסוף דברי הגמ' במס' פסחים שם שרבא מפרזקיא אסר לחם שנאפה עם בשר צלי ליאבל עם חלב, וכן ר' כהנא אסר לאכול דג שנצלה עם בשר בחל. והבין הרי"ף דהלכתא כוותייהו, וזה קשה למאי דקיי"ל כלוי. וע"כ כנ"ל, שלוי לא התיר אלא בדיעבד, וכה"ג הוי כל</w:t>
      </w:r>
      <w:r w:rsidR="005A1A44" w:rsidRPr="00882F11">
        <w:rPr>
          <w:rFonts w:cs="Guttman Drogolin" w:hint="cs"/>
          <w:rtl/>
          <w:lang w:bidi="he-IL"/>
        </w:rPr>
        <w:t>כ</w:t>
      </w:r>
      <w:r w:rsidRPr="00882F11">
        <w:rPr>
          <w:rFonts w:cs="Guttman Drogolin" w:hint="cs"/>
          <w:rtl/>
          <w:lang w:bidi="he-IL"/>
        </w:rPr>
        <w:t>תחילה.</w:t>
      </w:r>
      <w:r w:rsidR="005A1A44" w:rsidRPr="00882F11">
        <w:rPr>
          <w:rFonts w:cs="Guttman Drogolin" w:hint="cs"/>
          <w:rtl/>
          <w:lang w:bidi="he-IL"/>
        </w:rPr>
        <w:t xml:space="preserve"> והראשונים תמהו על זה. התוס' תמה שהרי הגמ' מקשה על לוי מהא דאין צולין ב' פסחים כא' וכו', ולכאורה אם לוי ג"כ אוסר לכתחילה מאי קשיא, הא הברייתא לכתחילה קאמר. וכן הקשה הר"ן בחולין שם והוסיף להקשות דהא רבא דאזיל בשיטת לוי התיר בת תיהא אפילו לכתחילה, וכן בירושלמי מבואר דלוי מתיר אפילו לכתחילה. ולענין הא דרבא מפרזקיא ור' כהנא כתב הר"ן דהוו דלא כהלכתא. ולעיל</w:t>
      </w:r>
      <w:r w:rsidR="005A1A44" w:rsidRPr="00882F11">
        <w:rPr>
          <w:rStyle w:val="FootnoteReference"/>
          <w:rFonts w:cs="Guttman Drogolin"/>
          <w:rtl/>
          <w:lang w:bidi="he-IL"/>
        </w:rPr>
        <w:footnoteReference w:id="391"/>
      </w:r>
      <w:r w:rsidR="005A1A44" w:rsidRPr="00882F11">
        <w:rPr>
          <w:rFonts w:cs="Guttman Drogolin" w:hint="cs"/>
          <w:rtl/>
          <w:lang w:bidi="he-IL"/>
        </w:rPr>
        <w:t xml:space="preserve"> הבאנו מרע"א במערכה ליישב דהנה הרי"ף הביא ב' טעמים להחמיר לכתחילה, או משום דלוי הקיל רק בדיעבד, או"ד משום דהוי דשיל"מ, דהא יכול לאכול הלחם עם בשר. ולא איתפרש טעם הראשון שלוי מחמיר לכתחילה. ונקט רע"א דהא דמחמיר לוי לכתחילה, היינו שהחמיר לכתחילה כתנא דריחא מילתא היא, ואה"נ למ"ד לאו מילתא היא הרי זה אפילו לכתחילה. </w:t>
      </w:r>
      <w:r w:rsidR="00F950B8" w:rsidRPr="00882F11">
        <w:rPr>
          <w:rFonts w:cs="Guttman Drogolin" w:hint="cs"/>
          <w:rtl/>
          <w:lang w:bidi="he-IL"/>
        </w:rPr>
        <w:t xml:space="preserve">ונאמרו עוד טעמים להחמיר לכתחילה. הרי"ף כתב משום דהוי דשיל"מ כיון שיש לו היתר בענין אחר, וכבר כתבנו מזה לעיל בסוגיא דדבר שיש לו מתירין. והר"ן כתב עוד טעם שגזרו כשיש לריח של איסור ריח שונה מן המאכל של היתר א"כ מיחזי כאוכל דבר איסור א"נ משום בב"ח שהוא היתירא החמירו יותר. </w:t>
      </w:r>
      <w:r w:rsidR="005A1A44" w:rsidRPr="00882F11">
        <w:rPr>
          <w:rFonts w:cs="Guttman Drogolin" w:hint="cs"/>
          <w:rtl/>
          <w:lang w:bidi="he-IL"/>
        </w:rPr>
        <w:t xml:space="preserve">ולהלכה החמירו </w:t>
      </w:r>
      <w:r w:rsidR="002A2634" w:rsidRPr="00882F11">
        <w:rPr>
          <w:rFonts w:cs="Guttman Drogolin" w:hint="cs"/>
          <w:rtl/>
          <w:lang w:bidi="he-IL"/>
        </w:rPr>
        <w:t xml:space="preserve">המחבר והרמ"א לריחא לכתחילה אע"ג שהקילו בדיעבד. </w:t>
      </w:r>
    </w:p>
    <w:p w:rsidR="00FA107B" w:rsidRPr="00882F11" w:rsidRDefault="002A2634" w:rsidP="00FA107B">
      <w:pPr>
        <w:tabs>
          <w:tab w:val="right" w:pos="7497"/>
        </w:tabs>
        <w:bidi/>
        <w:jc w:val="both"/>
        <w:rPr>
          <w:rFonts w:cs="Guttman Drogolin"/>
          <w:rtl/>
          <w:lang w:bidi="he-IL"/>
        </w:rPr>
      </w:pPr>
      <w:r w:rsidRPr="00882F11">
        <w:rPr>
          <w:rFonts w:cs="Guttman Drogolin" w:hint="cs"/>
          <w:rtl/>
          <w:lang w:bidi="he-IL"/>
        </w:rPr>
        <w:t>והנה בהמשך הגמ' שם במס' ע"ז רצו לומר שמחלוקת אביי ורבא אי ריחא מילתא היא תלוי במחלוקת תנאים ברודה</w:t>
      </w:r>
      <w:r w:rsidRPr="00882F11">
        <w:rPr>
          <w:rFonts w:cs="Guttman Drogolin"/>
          <w:rtl/>
          <w:lang w:bidi="he-IL"/>
        </w:rPr>
        <w:t xml:space="preserve"> </w:t>
      </w:r>
      <w:r w:rsidRPr="00882F11">
        <w:rPr>
          <w:rFonts w:cs="Guttman Drogolin" w:hint="cs"/>
          <w:rtl/>
          <w:lang w:bidi="he-IL"/>
        </w:rPr>
        <w:t>פת</w:t>
      </w:r>
      <w:r w:rsidRPr="00882F11">
        <w:rPr>
          <w:rFonts w:cs="Guttman Drogolin"/>
          <w:rtl/>
          <w:lang w:bidi="he-IL"/>
        </w:rPr>
        <w:t xml:space="preserve"> </w:t>
      </w:r>
      <w:r w:rsidRPr="00882F11">
        <w:rPr>
          <w:rFonts w:cs="Guttman Drogolin" w:hint="cs"/>
          <w:rtl/>
          <w:lang w:bidi="he-IL"/>
        </w:rPr>
        <w:t>חמה</w:t>
      </w:r>
      <w:r w:rsidRPr="00882F11">
        <w:rPr>
          <w:rFonts w:cs="Guttman Drogolin"/>
          <w:rtl/>
          <w:lang w:bidi="he-IL"/>
        </w:rPr>
        <w:t xml:space="preserve"> </w:t>
      </w:r>
      <w:r w:rsidRPr="00882F11">
        <w:rPr>
          <w:rFonts w:cs="Guttman Drogolin" w:hint="cs"/>
          <w:rtl/>
          <w:lang w:bidi="he-IL"/>
        </w:rPr>
        <w:t>ונתנה</w:t>
      </w:r>
      <w:r w:rsidRPr="00882F11">
        <w:rPr>
          <w:rFonts w:cs="Guttman Drogolin"/>
          <w:rtl/>
          <w:lang w:bidi="he-IL"/>
        </w:rPr>
        <w:t xml:space="preserve"> </w:t>
      </w:r>
      <w:r w:rsidRPr="00882F11">
        <w:rPr>
          <w:rFonts w:cs="Guttman Drogolin" w:hint="cs"/>
          <w:rtl/>
          <w:lang w:bidi="he-IL"/>
        </w:rPr>
        <w:t>ע</w:t>
      </w:r>
      <w:r w:rsidRPr="00882F11">
        <w:rPr>
          <w:rFonts w:cs="Guttman Drogolin"/>
          <w:rtl/>
          <w:lang w:bidi="he-IL"/>
        </w:rPr>
        <w:t>"</w:t>
      </w:r>
      <w:r w:rsidRPr="00882F11">
        <w:rPr>
          <w:rFonts w:cs="Guttman Drogolin" w:hint="cs"/>
          <w:rtl/>
          <w:lang w:bidi="he-IL"/>
        </w:rPr>
        <w:t>פ</w:t>
      </w:r>
      <w:r w:rsidRPr="00882F11">
        <w:rPr>
          <w:rFonts w:cs="Guttman Drogolin"/>
          <w:rtl/>
          <w:lang w:bidi="he-IL"/>
        </w:rPr>
        <w:t xml:space="preserve"> </w:t>
      </w:r>
      <w:r w:rsidRPr="00882F11">
        <w:rPr>
          <w:rFonts w:cs="Guttman Drogolin" w:hint="cs"/>
          <w:rtl/>
          <w:lang w:bidi="he-IL"/>
        </w:rPr>
        <w:t>חבית</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יין</w:t>
      </w:r>
      <w:r w:rsidRPr="00882F11">
        <w:rPr>
          <w:rFonts w:cs="Guttman Drogolin"/>
          <w:rtl/>
          <w:lang w:bidi="he-IL"/>
        </w:rPr>
        <w:t xml:space="preserve"> </w:t>
      </w:r>
      <w:r w:rsidRPr="00882F11">
        <w:rPr>
          <w:rFonts w:cs="Guttman Drogolin" w:hint="cs"/>
          <w:rtl/>
          <w:lang w:bidi="he-IL"/>
        </w:rPr>
        <w:t>של</w:t>
      </w:r>
      <w:r w:rsidRPr="00882F11">
        <w:rPr>
          <w:rFonts w:cs="Guttman Drogolin"/>
          <w:rtl/>
          <w:lang w:bidi="he-IL"/>
        </w:rPr>
        <w:t xml:space="preserve"> </w:t>
      </w:r>
      <w:r w:rsidRPr="00882F11">
        <w:rPr>
          <w:rFonts w:cs="Guttman Drogolin" w:hint="cs"/>
          <w:rtl/>
          <w:lang w:bidi="he-IL"/>
        </w:rPr>
        <w:t xml:space="preserve">תרומה. והגמ' רצתה לדחות </w:t>
      </w:r>
      <w:r w:rsidRPr="00882F11">
        <w:rPr>
          <w:rFonts w:cs="Guttman Drogolin" w:hint="cs"/>
          <w:rtl/>
          <w:lang w:bidi="he-IL"/>
        </w:rPr>
        <w:lastRenderedPageBreak/>
        <w:t>שלשיטת רביי אינו צריך להיות לוי במחלוקת דהאמר ר"ל "בפת</w:t>
      </w:r>
      <w:r w:rsidRPr="00882F11">
        <w:rPr>
          <w:rFonts w:cs="Guttman Drogolin"/>
          <w:rtl/>
          <w:lang w:bidi="he-IL"/>
        </w:rPr>
        <w:t xml:space="preserve"> </w:t>
      </w:r>
      <w:r w:rsidRPr="00882F11">
        <w:rPr>
          <w:rFonts w:cs="Guttman Drogolin" w:hint="cs"/>
          <w:rtl/>
          <w:lang w:bidi="he-IL"/>
        </w:rPr>
        <w:t>חמה</w:t>
      </w:r>
      <w:r w:rsidRPr="00882F11">
        <w:rPr>
          <w:rFonts w:cs="Guttman Drogolin"/>
          <w:rtl/>
          <w:lang w:bidi="he-IL"/>
        </w:rPr>
        <w:t xml:space="preserve"> </w:t>
      </w:r>
      <w:r w:rsidRPr="00882F11">
        <w:rPr>
          <w:rFonts w:cs="Guttman Drogolin" w:hint="cs"/>
          <w:rtl/>
          <w:lang w:bidi="he-IL"/>
        </w:rPr>
        <w:t>וחבית</w:t>
      </w:r>
      <w:r w:rsidRPr="00882F11">
        <w:rPr>
          <w:rFonts w:cs="Guttman Drogolin"/>
          <w:rtl/>
          <w:lang w:bidi="he-IL"/>
        </w:rPr>
        <w:t xml:space="preserve"> </w:t>
      </w:r>
      <w:r w:rsidRPr="00882F11">
        <w:rPr>
          <w:rFonts w:cs="Guttman Drogolin" w:hint="cs"/>
          <w:rtl/>
          <w:lang w:bidi="he-IL"/>
        </w:rPr>
        <w:t>פתוחה דברי</w:t>
      </w:r>
      <w:r w:rsidRPr="00882F11">
        <w:rPr>
          <w:rFonts w:cs="Guttman Drogolin"/>
          <w:rtl/>
          <w:lang w:bidi="he-IL"/>
        </w:rPr>
        <w:t xml:space="preserve"> </w:t>
      </w:r>
      <w:r w:rsidRPr="00882F11">
        <w:rPr>
          <w:rFonts w:cs="Guttman Drogolin" w:hint="cs"/>
          <w:rtl/>
          <w:lang w:bidi="he-IL"/>
        </w:rPr>
        <w:t>הכל</w:t>
      </w:r>
      <w:r w:rsidRPr="00882F11">
        <w:rPr>
          <w:rFonts w:cs="Guttman Drogolin"/>
          <w:rtl/>
          <w:lang w:bidi="he-IL"/>
        </w:rPr>
        <w:t xml:space="preserve"> </w:t>
      </w:r>
      <w:r w:rsidRPr="00882F11">
        <w:rPr>
          <w:rFonts w:cs="Guttman Drogolin" w:hint="cs"/>
          <w:rtl/>
          <w:lang w:bidi="he-IL"/>
        </w:rPr>
        <w:t>אסורה</w:t>
      </w:r>
      <w:r w:rsidRPr="00882F11">
        <w:rPr>
          <w:rFonts w:cs="Guttman Drogolin"/>
          <w:rtl/>
          <w:lang w:bidi="he-IL"/>
        </w:rPr>
        <w:t xml:space="preserve"> </w:t>
      </w:r>
      <w:r w:rsidRPr="00882F11">
        <w:rPr>
          <w:rFonts w:cs="Guttman Drogolin" w:hint="cs"/>
          <w:rtl/>
          <w:lang w:bidi="he-IL"/>
        </w:rPr>
        <w:t>בפת</w:t>
      </w:r>
      <w:r w:rsidRPr="00882F11">
        <w:rPr>
          <w:rFonts w:cs="Guttman Drogolin"/>
          <w:rtl/>
          <w:lang w:bidi="he-IL"/>
        </w:rPr>
        <w:t xml:space="preserve"> </w:t>
      </w:r>
      <w:r w:rsidRPr="00882F11">
        <w:rPr>
          <w:rFonts w:cs="Guttman Drogolin" w:hint="cs"/>
          <w:rtl/>
          <w:lang w:bidi="he-IL"/>
        </w:rPr>
        <w:t>צוננת</w:t>
      </w:r>
      <w:r w:rsidRPr="00882F11">
        <w:rPr>
          <w:rFonts w:cs="Guttman Drogolin"/>
          <w:rtl/>
          <w:lang w:bidi="he-IL"/>
        </w:rPr>
        <w:t xml:space="preserve"> </w:t>
      </w:r>
      <w:r w:rsidRPr="00882F11">
        <w:rPr>
          <w:rFonts w:cs="Guttman Drogolin" w:hint="cs"/>
          <w:rtl/>
          <w:lang w:bidi="he-IL"/>
        </w:rPr>
        <w:t>וחבית</w:t>
      </w:r>
      <w:r w:rsidRPr="00882F11">
        <w:rPr>
          <w:rFonts w:cs="Guttman Drogolin"/>
          <w:rtl/>
          <w:lang w:bidi="he-IL"/>
        </w:rPr>
        <w:t xml:space="preserve"> </w:t>
      </w:r>
      <w:r w:rsidRPr="00882F11">
        <w:rPr>
          <w:rFonts w:cs="Guttman Drogolin" w:hint="cs"/>
          <w:rtl/>
          <w:lang w:bidi="he-IL"/>
        </w:rPr>
        <w:t>מגופה</w:t>
      </w:r>
      <w:r w:rsidRPr="00882F11">
        <w:rPr>
          <w:rFonts w:cs="Guttman Drogolin"/>
          <w:rtl/>
          <w:lang w:bidi="he-IL"/>
        </w:rPr>
        <w:t xml:space="preserve"> </w:t>
      </w:r>
      <w:r w:rsidRPr="00882F11">
        <w:rPr>
          <w:rFonts w:cs="Guttman Drogolin" w:hint="cs"/>
          <w:rtl/>
          <w:lang w:bidi="he-IL"/>
        </w:rPr>
        <w:t>דברי</w:t>
      </w:r>
      <w:r w:rsidRPr="00882F11">
        <w:rPr>
          <w:rFonts w:cs="Guttman Drogolin"/>
          <w:rtl/>
          <w:lang w:bidi="he-IL"/>
        </w:rPr>
        <w:t xml:space="preserve"> </w:t>
      </w:r>
      <w:r w:rsidRPr="00882F11">
        <w:rPr>
          <w:rFonts w:cs="Guttman Drogolin" w:hint="cs"/>
          <w:rtl/>
          <w:lang w:bidi="he-IL"/>
        </w:rPr>
        <w:t>הכל</w:t>
      </w:r>
      <w:r w:rsidRPr="00882F11">
        <w:rPr>
          <w:rFonts w:cs="Guttman Drogolin"/>
          <w:rtl/>
          <w:lang w:bidi="he-IL"/>
        </w:rPr>
        <w:t xml:space="preserve"> </w:t>
      </w:r>
      <w:r w:rsidRPr="00882F11">
        <w:rPr>
          <w:rFonts w:cs="Guttman Drogolin" w:hint="cs"/>
          <w:rtl/>
          <w:lang w:bidi="he-IL"/>
        </w:rPr>
        <w:t>מותרת</w:t>
      </w:r>
      <w:r w:rsidRPr="00882F11">
        <w:rPr>
          <w:rFonts w:cs="Guttman Drogolin"/>
          <w:rtl/>
          <w:lang w:bidi="he-IL"/>
        </w:rPr>
        <w:t xml:space="preserve"> </w:t>
      </w:r>
      <w:r w:rsidRPr="00882F11">
        <w:rPr>
          <w:rFonts w:cs="Guttman Drogolin" w:hint="cs"/>
          <w:rtl/>
          <w:lang w:bidi="he-IL"/>
        </w:rPr>
        <w:t>לא</w:t>
      </w:r>
      <w:r w:rsidRPr="00882F11">
        <w:rPr>
          <w:rFonts w:cs="Guttman Drogolin"/>
          <w:rtl/>
          <w:lang w:bidi="he-IL"/>
        </w:rPr>
        <w:t xml:space="preserve"> </w:t>
      </w:r>
      <w:r w:rsidRPr="00882F11">
        <w:rPr>
          <w:rFonts w:cs="Guttman Drogolin" w:hint="cs"/>
          <w:rtl/>
          <w:lang w:bidi="he-IL"/>
        </w:rPr>
        <w:t>נחלקו</w:t>
      </w:r>
      <w:r w:rsidRPr="00882F11">
        <w:rPr>
          <w:rFonts w:cs="Guttman Drogolin"/>
          <w:rtl/>
          <w:lang w:bidi="he-IL"/>
        </w:rPr>
        <w:t xml:space="preserve"> </w:t>
      </w:r>
      <w:r w:rsidRPr="00882F11">
        <w:rPr>
          <w:rFonts w:cs="Guttman Drogolin" w:hint="cs"/>
          <w:rtl/>
          <w:lang w:bidi="he-IL"/>
        </w:rPr>
        <w:t>אלא</w:t>
      </w:r>
      <w:r w:rsidRPr="00882F11">
        <w:rPr>
          <w:rFonts w:cs="Guttman Drogolin"/>
          <w:rtl/>
          <w:lang w:bidi="he-IL"/>
        </w:rPr>
        <w:t xml:space="preserve"> </w:t>
      </w:r>
      <w:r w:rsidRPr="00882F11">
        <w:rPr>
          <w:rFonts w:cs="Guttman Drogolin" w:hint="cs"/>
          <w:rtl/>
          <w:lang w:bidi="he-IL"/>
        </w:rPr>
        <w:t>בפת</w:t>
      </w:r>
      <w:r w:rsidRPr="00882F11">
        <w:rPr>
          <w:rFonts w:cs="Guttman Drogolin"/>
          <w:rtl/>
          <w:lang w:bidi="he-IL"/>
        </w:rPr>
        <w:t xml:space="preserve"> </w:t>
      </w:r>
      <w:r w:rsidRPr="00882F11">
        <w:rPr>
          <w:rFonts w:cs="Guttman Drogolin" w:hint="cs"/>
          <w:rtl/>
          <w:lang w:bidi="he-IL"/>
        </w:rPr>
        <w:t>חמה</w:t>
      </w:r>
      <w:r w:rsidRPr="00882F11">
        <w:rPr>
          <w:rFonts w:cs="Guttman Drogolin"/>
          <w:rtl/>
          <w:lang w:bidi="he-IL"/>
        </w:rPr>
        <w:t xml:space="preserve"> </w:t>
      </w:r>
      <w:r w:rsidRPr="00882F11">
        <w:rPr>
          <w:rFonts w:cs="Guttman Drogolin" w:hint="cs"/>
          <w:rtl/>
          <w:lang w:bidi="he-IL"/>
        </w:rPr>
        <w:t>וחבית</w:t>
      </w:r>
      <w:r w:rsidRPr="00882F11">
        <w:rPr>
          <w:rFonts w:cs="Guttman Drogolin"/>
          <w:rtl/>
          <w:lang w:bidi="he-IL"/>
        </w:rPr>
        <w:t xml:space="preserve"> </w:t>
      </w:r>
      <w:r w:rsidRPr="00882F11">
        <w:rPr>
          <w:rFonts w:cs="Guttman Drogolin" w:hint="cs"/>
          <w:rtl/>
          <w:lang w:bidi="he-IL"/>
        </w:rPr>
        <w:t>מגופה</w:t>
      </w:r>
      <w:r w:rsidRPr="00882F11">
        <w:rPr>
          <w:rFonts w:cs="Guttman Drogolin"/>
          <w:rtl/>
          <w:lang w:bidi="he-IL"/>
        </w:rPr>
        <w:t xml:space="preserve"> </w:t>
      </w:r>
      <w:r w:rsidRPr="00882F11">
        <w:rPr>
          <w:rFonts w:cs="Guttman Drogolin" w:hint="cs"/>
          <w:rtl/>
          <w:lang w:bidi="he-IL"/>
        </w:rPr>
        <w:t>בפת</w:t>
      </w:r>
      <w:r w:rsidRPr="00882F11">
        <w:rPr>
          <w:rFonts w:cs="Guttman Drogolin"/>
          <w:rtl/>
          <w:lang w:bidi="he-IL"/>
        </w:rPr>
        <w:t xml:space="preserve"> </w:t>
      </w:r>
      <w:r w:rsidRPr="00882F11">
        <w:rPr>
          <w:rFonts w:cs="Guttman Drogolin" w:hint="cs"/>
          <w:rtl/>
          <w:lang w:bidi="he-IL"/>
        </w:rPr>
        <w:t>צוננת</w:t>
      </w:r>
      <w:r w:rsidRPr="00882F11">
        <w:rPr>
          <w:rFonts w:cs="Guttman Drogolin"/>
          <w:rtl/>
          <w:lang w:bidi="he-IL"/>
        </w:rPr>
        <w:t xml:space="preserve"> </w:t>
      </w:r>
      <w:r w:rsidRPr="00882F11">
        <w:rPr>
          <w:rFonts w:cs="Guttman Drogolin" w:hint="cs"/>
          <w:rtl/>
          <w:lang w:bidi="he-IL"/>
        </w:rPr>
        <w:t>וחבית</w:t>
      </w:r>
      <w:r w:rsidRPr="00882F11">
        <w:rPr>
          <w:rFonts w:cs="Guttman Drogolin"/>
          <w:rtl/>
          <w:lang w:bidi="he-IL"/>
        </w:rPr>
        <w:t xml:space="preserve"> </w:t>
      </w:r>
      <w:r w:rsidRPr="00882F11">
        <w:rPr>
          <w:rFonts w:cs="Guttman Drogolin" w:hint="cs"/>
          <w:rtl/>
          <w:lang w:bidi="he-IL"/>
        </w:rPr>
        <w:t>פתוחה</w:t>
      </w:r>
      <w:r w:rsidRPr="00882F11">
        <w:rPr>
          <w:rFonts w:cs="Guttman Drogolin"/>
          <w:rtl/>
          <w:lang w:bidi="he-IL"/>
        </w:rPr>
        <w:t xml:space="preserve"> </w:t>
      </w:r>
      <w:r w:rsidRPr="00882F11">
        <w:rPr>
          <w:rFonts w:cs="Guttman Drogolin" w:hint="cs"/>
          <w:rtl/>
          <w:lang w:bidi="he-IL"/>
        </w:rPr>
        <w:t>והא</w:t>
      </w:r>
      <w:r w:rsidRPr="00882F11">
        <w:rPr>
          <w:rFonts w:cs="Guttman Drogolin"/>
          <w:rtl/>
          <w:lang w:bidi="he-IL"/>
        </w:rPr>
        <w:t xml:space="preserve"> </w:t>
      </w:r>
      <w:r w:rsidRPr="00882F11">
        <w:rPr>
          <w:rFonts w:cs="Guttman Drogolin" w:hint="cs"/>
          <w:rtl/>
          <w:lang w:bidi="he-IL"/>
        </w:rPr>
        <w:t>דידי</w:t>
      </w:r>
      <w:r w:rsidRPr="00882F11">
        <w:rPr>
          <w:rFonts w:cs="Guttman Drogolin"/>
          <w:rtl/>
          <w:lang w:bidi="he-IL"/>
        </w:rPr>
        <w:t xml:space="preserve"> </w:t>
      </w:r>
      <w:r w:rsidRPr="00882F11">
        <w:rPr>
          <w:rFonts w:cs="Guttman Drogolin" w:hint="cs"/>
          <w:rtl/>
          <w:lang w:bidi="he-IL"/>
        </w:rPr>
        <w:t>נמי</w:t>
      </w:r>
      <w:r w:rsidRPr="00882F11">
        <w:rPr>
          <w:rFonts w:cs="Guttman Drogolin"/>
          <w:rtl/>
          <w:lang w:bidi="he-IL"/>
        </w:rPr>
        <w:t xml:space="preserve"> </w:t>
      </w:r>
      <w:r w:rsidRPr="00882F11">
        <w:rPr>
          <w:rFonts w:cs="Guttman Drogolin" w:hint="cs"/>
          <w:rtl/>
          <w:lang w:bidi="he-IL"/>
        </w:rPr>
        <w:t>כפת</w:t>
      </w:r>
      <w:r w:rsidRPr="00882F11">
        <w:rPr>
          <w:rFonts w:cs="Guttman Drogolin"/>
          <w:rtl/>
          <w:lang w:bidi="he-IL"/>
        </w:rPr>
        <w:t xml:space="preserve"> </w:t>
      </w:r>
      <w:r w:rsidRPr="00882F11">
        <w:rPr>
          <w:rFonts w:cs="Guttman Drogolin" w:hint="cs"/>
          <w:rtl/>
          <w:lang w:bidi="he-IL"/>
        </w:rPr>
        <w:t>חמה</w:t>
      </w:r>
      <w:r w:rsidRPr="00882F11">
        <w:rPr>
          <w:rFonts w:cs="Guttman Drogolin"/>
          <w:rtl/>
          <w:lang w:bidi="he-IL"/>
        </w:rPr>
        <w:t xml:space="preserve"> </w:t>
      </w:r>
      <w:r w:rsidRPr="00882F11">
        <w:rPr>
          <w:rFonts w:cs="Guttman Drogolin" w:hint="cs"/>
          <w:rtl/>
          <w:lang w:bidi="he-IL"/>
        </w:rPr>
        <w:t>וחבית</w:t>
      </w:r>
      <w:r w:rsidRPr="00882F11">
        <w:rPr>
          <w:rFonts w:cs="Guttman Drogolin"/>
          <w:rtl/>
          <w:lang w:bidi="he-IL"/>
        </w:rPr>
        <w:t xml:space="preserve"> </w:t>
      </w:r>
      <w:r w:rsidRPr="00882F11">
        <w:rPr>
          <w:rFonts w:cs="Guttman Drogolin" w:hint="cs"/>
          <w:rtl/>
          <w:lang w:bidi="he-IL"/>
        </w:rPr>
        <w:t>פתוחה</w:t>
      </w:r>
      <w:r w:rsidRPr="00882F11">
        <w:rPr>
          <w:rFonts w:cs="Guttman Drogolin"/>
          <w:rtl/>
          <w:lang w:bidi="he-IL"/>
        </w:rPr>
        <w:t xml:space="preserve"> </w:t>
      </w:r>
      <w:r w:rsidRPr="00882F11">
        <w:rPr>
          <w:rFonts w:cs="Guttman Drogolin" w:hint="cs"/>
          <w:rtl/>
          <w:lang w:bidi="he-IL"/>
        </w:rPr>
        <w:t xml:space="preserve">דמי". ולכאורה י"ל שאין דברי ר"ל אלא לשיטת אביי דסבר בבת תיהא דריחא מילתא היא, ולרבא ולוי ע"כ תנאי היא, וקיי"ל כשיטה המקילה. וכן מבואר שם ברי"ף שדברי לוי הם דלא כהלכתא. אבל בתוס' </w:t>
      </w:r>
      <w:r w:rsidR="000E51DE" w:rsidRPr="00882F11">
        <w:rPr>
          <w:rFonts w:cs="Guttman Drogolin" w:hint="cs"/>
          <w:rtl/>
          <w:lang w:bidi="he-IL"/>
        </w:rPr>
        <w:t xml:space="preserve">(וכן בשו"ת הרשב"א ח"א סי' תתמ"ט) </w:t>
      </w:r>
      <w:r w:rsidRPr="00882F11">
        <w:rPr>
          <w:rFonts w:cs="Guttman Drogolin" w:hint="cs"/>
          <w:rtl/>
          <w:lang w:bidi="he-IL"/>
        </w:rPr>
        <w:t>מבואר דהא דאמרינן דפת חמה וחבית פתוחה דברי הכל אסור הוא אפילו לרבא</w:t>
      </w:r>
      <w:r w:rsidR="00604D0F" w:rsidRPr="00882F11">
        <w:rPr>
          <w:rFonts w:cs="Guttman Drogolin" w:hint="cs"/>
          <w:rtl/>
          <w:lang w:bidi="he-IL"/>
        </w:rPr>
        <w:t xml:space="preserve"> ואפילו לרב (לשיטתם דרב ורבא ב' שיטות הוו)</w:t>
      </w:r>
      <w:r w:rsidRPr="00882F11">
        <w:rPr>
          <w:rFonts w:cs="Guttman Drogolin" w:hint="cs"/>
          <w:rtl/>
          <w:lang w:bidi="he-IL"/>
        </w:rPr>
        <w:t>. ויל"</w:t>
      </w:r>
      <w:r w:rsidR="00604D0F" w:rsidRPr="00882F11">
        <w:rPr>
          <w:rFonts w:cs="Guttman Drogolin" w:hint="cs"/>
          <w:rtl/>
          <w:lang w:bidi="he-IL"/>
        </w:rPr>
        <w:t>ע מהו טעמו של דבר דהא סבר רב</w:t>
      </w:r>
      <w:r w:rsidRPr="00882F11">
        <w:rPr>
          <w:rFonts w:cs="Guttman Drogolin" w:hint="cs"/>
          <w:rtl/>
          <w:lang w:bidi="he-IL"/>
        </w:rPr>
        <w:t xml:space="preserve"> דריחא לאו מילתא היא</w:t>
      </w:r>
      <w:r w:rsidR="00604D0F" w:rsidRPr="00882F11">
        <w:rPr>
          <w:rFonts w:cs="Guttman Drogolin" w:hint="cs"/>
          <w:rtl/>
          <w:lang w:bidi="he-IL"/>
        </w:rPr>
        <w:t xml:space="preserve">. ומשמעות דבריהם משום דהוי ריח חזק. וכן יעוין שם ברי"ף </w:t>
      </w:r>
      <w:r w:rsidR="00FA107B" w:rsidRPr="00882F11">
        <w:rPr>
          <w:rFonts w:cs="Guttman Drogolin" w:hint="cs"/>
          <w:rtl/>
          <w:lang w:bidi="he-IL"/>
        </w:rPr>
        <w:t>ביאר שיטת ר' יוסי במתני' שם שבעצם סבר ריחא לאו מילתא היא, ומ"מ החמיר ר' יוסי בפת של שעורין משום "מפני שהשעורין שואבות גופו של יין ולאו ריחא הוא". ור"ל שבפת שעורין כח השאיבה היא כ"כ חזק שהוא מושך גופו של איסור ולא רק ריחו ולכן אסור. ולכאורה י"ל שזהו ג"כ הטעם דכו"ע סברי שבפת חמה וחבית פתוחה לכו"ע אסור, שאין זה אך ורק ריחא</w:t>
      </w:r>
      <w:r w:rsidR="00FA107B" w:rsidRPr="00882F11">
        <w:rPr>
          <w:rStyle w:val="FootnoteReference"/>
          <w:rFonts w:cs="Guttman Drogolin"/>
          <w:rtl/>
          <w:lang w:bidi="he-IL"/>
        </w:rPr>
        <w:footnoteReference w:id="392"/>
      </w:r>
      <w:r w:rsidR="00FA107B" w:rsidRPr="00882F11">
        <w:rPr>
          <w:rFonts w:cs="Guttman Drogolin" w:hint="cs"/>
          <w:rtl/>
          <w:lang w:bidi="he-IL"/>
        </w:rPr>
        <w:t>.</w:t>
      </w:r>
    </w:p>
    <w:p w:rsidR="002A2634" w:rsidRPr="00882F11" w:rsidRDefault="00FA107B" w:rsidP="00C36FD1">
      <w:pPr>
        <w:tabs>
          <w:tab w:val="right" w:pos="7497"/>
        </w:tabs>
        <w:bidi/>
        <w:jc w:val="both"/>
        <w:rPr>
          <w:rFonts w:cs="Guttman Drogolin"/>
          <w:rtl/>
          <w:lang w:bidi="he-IL"/>
        </w:rPr>
      </w:pPr>
      <w:r w:rsidRPr="00882F11">
        <w:rPr>
          <w:rFonts w:cs="Guttman Drogolin" w:hint="cs"/>
          <w:rtl/>
          <w:lang w:bidi="he-IL"/>
        </w:rPr>
        <w:t>ועכ"פ חזינן שיש אופנים דריחא אסור אפילו בדיעבד לכו"ע, לתוס' היינו פת חמה וחבית פתוחה, ולר' יוסי היינו בפת שעורין. ובשו"ע סע' ד' החמיר כשיטת התוס' בזה דפת</w:t>
      </w:r>
      <w:r w:rsidR="00F26D92" w:rsidRPr="00882F11">
        <w:rPr>
          <w:rFonts w:cs="Guttman Drogolin" w:hint="cs"/>
          <w:rtl/>
          <w:lang w:bidi="he-IL"/>
        </w:rPr>
        <w:t xml:space="preserve"> חמה וחב</w:t>
      </w:r>
      <w:r w:rsidRPr="00882F11">
        <w:rPr>
          <w:rFonts w:cs="Guttman Drogolin" w:hint="cs"/>
          <w:rtl/>
          <w:lang w:bidi="he-IL"/>
        </w:rPr>
        <w:t>ית פתוחה אסור לדברי הכל, וכן החמיר כשיטת ר' יוסי שבפת שעורים אסור אפילו פת חמה לבד רו חבית פתוחה לבד. וע"ש בביאור הגר"א שהביא שהרשב"א חולק.</w:t>
      </w:r>
      <w:r w:rsidR="0035508A" w:rsidRPr="00882F11">
        <w:rPr>
          <w:rFonts w:cs="Guttman Drogolin" w:hint="cs"/>
          <w:rtl/>
          <w:lang w:bidi="he-IL"/>
        </w:rPr>
        <w:t xml:space="preserve"> וכן ע' בפר"ח ס"ק י"ח שחלק על עצם הדין מכח דברי הרי"ף והרמב"ם, וכן ע' </w:t>
      </w:r>
      <w:r w:rsidR="0035508A" w:rsidRPr="00882F11">
        <w:rPr>
          <w:rFonts w:cs="Guttman Drogolin" w:hint="cs"/>
          <w:rtl/>
          <w:lang w:bidi="he-IL"/>
        </w:rPr>
        <w:lastRenderedPageBreak/>
        <w:t>בבדה"ש ס"ק פ"ח עוד אחרונים על דרך זה.</w:t>
      </w:r>
      <w:r w:rsidR="00604D0F" w:rsidRPr="00882F11">
        <w:rPr>
          <w:rFonts w:cs="Guttman Drogolin" w:hint="cs"/>
          <w:rtl/>
          <w:lang w:bidi="he-IL"/>
        </w:rPr>
        <w:t xml:space="preserve"> </w:t>
      </w:r>
      <w:r w:rsidR="0035508A" w:rsidRPr="00882F11">
        <w:rPr>
          <w:rFonts w:cs="Guttman Drogolin" w:hint="cs"/>
          <w:rtl/>
          <w:lang w:bidi="he-IL"/>
        </w:rPr>
        <w:t>ואפילו לדעת האוסרים ע"ש ברמ"א שלא אסרינן אלא אם הפת מונחת כנגד המגופה</w:t>
      </w:r>
      <w:r w:rsidR="0035508A" w:rsidRPr="00882F11">
        <w:rPr>
          <w:rStyle w:val="FootnoteReference"/>
          <w:rFonts w:cs="Guttman Drogolin"/>
          <w:rtl/>
          <w:lang w:bidi="he-IL"/>
        </w:rPr>
        <w:footnoteReference w:id="393"/>
      </w:r>
      <w:r w:rsidR="0035508A" w:rsidRPr="00882F11">
        <w:rPr>
          <w:rFonts w:cs="Guttman Drogolin" w:hint="cs"/>
          <w:rtl/>
          <w:lang w:bidi="he-IL"/>
        </w:rPr>
        <w:t>.</w:t>
      </w:r>
      <w:r w:rsidR="006E1093" w:rsidRPr="00882F11">
        <w:rPr>
          <w:rFonts w:cs="Guttman Drogolin" w:hint="cs"/>
          <w:rtl/>
          <w:lang w:bidi="he-IL"/>
        </w:rPr>
        <w:t xml:space="preserve"> ולכאורה נראה שאין חוששין אלא בדברים המפורשים דהיינו פת חמה או פת שעורים עם יין, אבל בעלמא לא חי</w:t>
      </w:r>
      <w:r w:rsidR="00C36FD1" w:rsidRPr="00882F11">
        <w:rPr>
          <w:rFonts w:cs="Guttman Drogolin" w:hint="cs"/>
          <w:rtl/>
          <w:lang w:bidi="he-IL"/>
        </w:rPr>
        <w:t>י</w:t>
      </w:r>
      <w:r w:rsidR="006E1093" w:rsidRPr="00882F11">
        <w:rPr>
          <w:rFonts w:cs="Guttman Drogolin" w:hint="cs"/>
          <w:rtl/>
          <w:lang w:bidi="he-IL"/>
        </w:rPr>
        <w:t>שינן דריחא מילתא היא בשום מקום לענין דיעבד.</w:t>
      </w:r>
    </w:p>
    <w:p w:rsidR="000E51DE" w:rsidRPr="00882F11" w:rsidRDefault="000E51DE" w:rsidP="00647177">
      <w:pPr>
        <w:tabs>
          <w:tab w:val="right" w:pos="7497"/>
        </w:tabs>
        <w:bidi/>
        <w:jc w:val="both"/>
        <w:rPr>
          <w:rFonts w:cs="Guttman Drogolin"/>
          <w:rtl/>
          <w:lang w:bidi="he-IL"/>
        </w:rPr>
      </w:pPr>
      <w:r w:rsidRPr="00882F11">
        <w:rPr>
          <w:rFonts w:cs="Guttman Drogolin" w:hint="cs"/>
          <w:rtl/>
          <w:lang w:bidi="he-IL"/>
        </w:rPr>
        <w:t xml:space="preserve">אלא דהנה מצאנו שדימא הפוסקים הא דפת חמה גם למקרים נוספים. חדא לתנור סתום, ויתבאר בסמוך. ועוד שהרי מבואר בשו"ת הרשב"א </w:t>
      </w:r>
      <w:r w:rsidR="00647177" w:rsidRPr="00882F11">
        <w:rPr>
          <w:rFonts w:cs="Guttman Drogolin" w:hint="cs"/>
          <w:rtl/>
          <w:lang w:bidi="he-IL"/>
        </w:rPr>
        <w:t>(</w:t>
      </w:r>
      <w:r w:rsidRPr="00882F11">
        <w:rPr>
          <w:rFonts w:cs="Guttman Drogolin" w:hint="cs"/>
          <w:rtl/>
          <w:lang w:bidi="he-IL"/>
        </w:rPr>
        <w:t>ח"א סי' תתמ"ט</w:t>
      </w:r>
      <w:r w:rsidR="00647177" w:rsidRPr="00882F11">
        <w:rPr>
          <w:rFonts w:cs="Guttman Drogolin" w:hint="cs"/>
          <w:rtl/>
          <w:lang w:bidi="he-IL"/>
        </w:rPr>
        <w:t>)</w:t>
      </w:r>
      <w:r w:rsidRPr="00882F11">
        <w:rPr>
          <w:rFonts w:cs="Guttman Drogolin" w:hint="cs"/>
          <w:rtl/>
          <w:lang w:bidi="he-IL"/>
        </w:rPr>
        <w:t xml:space="preserve"> ובמרדכי (חולין תרס"</w:t>
      </w:r>
      <w:r w:rsidR="00647177" w:rsidRPr="00882F11">
        <w:rPr>
          <w:rFonts w:cs="Guttman Drogolin" w:hint="cs"/>
          <w:rtl/>
          <w:lang w:bidi="he-IL"/>
        </w:rPr>
        <w:t>ו</w:t>
      </w:r>
      <w:r w:rsidRPr="00882F11">
        <w:rPr>
          <w:rFonts w:cs="Guttman Drogolin" w:hint="cs"/>
          <w:rtl/>
          <w:lang w:bidi="he-IL"/>
        </w:rPr>
        <w:t xml:space="preserve">) שאם ההיתר דברי חריף יש לאסור משום ריחא אפילו בדיעבד. ומקור הדבר מבואר שם שהוא כמו פת חמה וחבית פתוחה. </w:t>
      </w:r>
      <w:r w:rsidR="00647177" w:rsidRPr="00882F11">
        <w:rPr>
          <w:rFonts w:cs="Guttman Drogolin" w:hint="cs"/>
          <w:rtl/>
          <w:lang w:bidi="he-IL"/>
        </w:rPr>
        <w:t xml:space="preserve">וע' בביאור הגר"א שכתב שבזה מיושב הא דר"ל הוי לכו"ע. וע"ש בביאור הגר"א שהעיר שאין הדין כן לרי"ף והרמב"ם, דהא לדידהו ר"ל הוא דלא כהלכתא ואין לנו מקור מפת חמה וחבית פתוחה וכמש"נ. ובדרכ"מ בסי' ק"ח הוסיף שהה"נ אם המאכל של איסור הוא דבר חריף הרי זה אסור בדיעבד אפילו אם המאכל של היתר אינו חריף. וכ"כ הרמ"א לדינא להחמיר בתרוייהו. וגם כאן צ"ע למה לא התיר בדיעבד כמו סמקום סתום שהקיל כרי"ף ורמב"ם. וצ"ע. </w:t>
      </w:r>
      <w:r w:rsidR="00344D05" w:rsidRPr="00882F11">
        <w:rPr>
          <w:rFonts w:cs="Guttman Drogolin" w:hint="cs"/>
          <w:rtl/>
          <w:lang w:bidi="he-IL"/>
        </w:rPr>
        <w:t>וכן הב"י מביא מהגהות מיי' (פט"ו אות ע') וכן מרדכי שנקטו דשפטירא עם פת הוי כפת חמה וחבית פתוחה (אלא דצ"ע מקור לדברי זה).</w:t>
      </w:r>
    </w:p>
    <w:p w:rsidR="005F26AC" w:rsidRPr="00882F11" w:rsidRDefault="005F26AC" w:rsidP="005F26AC">
      <w:pPr>
        <w:pStyle w:val="Heading1"/>
        <w:bidi/>
        <w:spacing w:before="0" w:line="360" w:lineRule="auto"/>
        <w:jc w:val="center"/>
        <w:rPr>
          <w:rFonts w:cs="Guttman Drogolin"/>
          <w:color w:val="auto"/>
          <w:sz w:val="24"/>
          <w:szCs w:val="24"/>
          <w:u w:val="single"/>
          <w:rtl/>
          <w:lang w:bidi="he-IL"/>
        </w:rPr>
      </w:pPr>
      <w:bookmarkStart w:id="387" w:name="_Toc496175634"/>
      <w:r w:rsidRPr="00882F11">
        <w:rPr>
          <w:rFonts w:cs="Guttman Drogolin" w:hint="cs"/>
          <w:color w:val="auto"/>
          <w:sz w:val="24"/>
          <w:szCs w:val="24"/>
          <w:u w:val="single"/>
          <w:rtl/>
          <w:lang w:bidi="he-IL"/>
        </w:rPr>
        <w:t>תנור גדול, ותנור סתום</w:t>
      </w:r>
      <w:bookmarkEnd w:id="387"/>
    </w:p>
    <w:p w:rsidR="000215DE" w:rsidRPr="00882F11" w:rsidRDefault="00A96BDF" w:rsidP="00A96BDF">
      <w:pPr>
        <w:tabs>
          <w:tab w:val="right" w:pos="7497"/>
        </w:tabs>
        <w:bidi/>
        <w:jc w:val="both"/>
        <w:rPr>
          <w:rFonts w:cs="Guttman Drogolin"/>
          <w:rtl/>
          <w:lang w:bidi="he-IL"/>
        </w:rPr>
      </w:pPr>
      <w:r w:rsidRPr="00A96BDF">
        <w:rPr>
          <w:rFonts w:cs="Guttman Drogolin"/>
          <w:rtl/>
          <w:lang w:bidi="he-IL"/>
        </w:rPr>
        <w:fldChar w:fldCharType="begin"/>
      </w:r>
      <w:r w:rsidRPr="00B80448">
        <w:rPr>
          <w:rFonts w:cs="Guttman Drogolin"/>
        </w:rPr>
        <w:instrText xml:space="preserve"> XE "</w:instrText>
      </w:r>
      <w:r w:rsidRPr="00B80448">
        <w:rPr>
          <w:rFonts w:cs="Guttman Drogolin" w:hint="eastAsia"/>
          <w:rtl/>
          <w:lang w:bidi="he-IL"/>
        </w:rPr>
        <w:instrText>ריחא</w:instrText>
      </w:r>
      <w:r w:rsidRPr="00B80448">
        <w:rPr>
          <w:rFonts w:cs="Guttman Drogolin"/>
          <w:rtl/>
          <w:lang w:bidi="he-IL"/>
        </w:rPr>
        <w:instrText xml:space="preserve"> </w:instrText>
      </w:r>
      <w:r w:rsidRPr="00B80448">
        <w:rPr>
          <w:rFonts w:cs="Guttman Drogolin" w:hint="eastAsia"/>
          <w:rtl/>
          <w:lang w:bidi="he-IL"/>
        </w:rPr>
        <w:instrText>מילתא</w:instrText>
      </w:r>
      <w:r w:rsidRPr="00B80448">
        <w:rPr>
          <w:rFonts w:cs="Guttman Drogolin"/>
          <w:rtl/>
        </w:rPr>
        <w:instrText>:</w:instrText>
      </w:r>
      <w:r w:rsidRPr="00B80448">
        <w:rPr>
          <w:rFonts w:cs="Guttman Drogolin" w:hint="eastAsia"/>
          <w:rtl/>
          <w:lang w:bidi="he-IL"/>
        </w:rPr>
        <w:instrText>תנור</w:instrText>
      </w:r>
      <w:r w:rsidRPr="00B80448">
        <w:rPr>
          <w:rFonts w:cs="Guttman Drogolin"/>
          <w:rtl/>
          <w:lang w:bidi="he-IL"/>
        </w:rPr>
        <w:instrText xml:space="preserve"> </w:instrText>
      </w:r>
      <w:r w:rsidRPr="00B80448">
        <w:rPr>
          <w:rFonts w:cs="Guttman Drogolin" w:hint="eastAsia"/>
          <w:rtl/>
          <w:lang w:bidi="he-IL"/>
        </w:rPr>
        <w:instrText>גדול</w:instrText>
      </w:r>
      <w:r w:rsidRPr="00B80448">
        <w:rPr>
          <w:rFonts w:cs="Guttman Drogolin"/>
          <w:rtl/>
          <w:lang w:bidi="he-IL"/>
        </w:rPr>
        <w:instrText xml:space="preserve">, </w:instrText>
      </w:r>
      <w:r w:rsidRPr="00B80448">
        <w:rPr>
          <w:rFonts w:cs="Guttman Drogolin" w:hint="eastAsia"/>
          <w:rtl/>
          <w:lang w:bidi="he-IL"/>
        </w:rPr>
        <w:instrText>ותנור</w:instrText>
      </w:r>
      <w:r w:rsidRPr="00B80448">
        <w:rPr>
          <w:rFonts w:cs="Guttman Drogolin"/>
          <w:rtl/>
          <w:lang w:bidi="he-IL"/>
        </w:rPr>
        <w:instrText xml:space="preserve"> </w:instrText>
      </w:r>
      <w:r w:rsidRPr="00B80448">
        <w:rPr>
          <w:rFonts w:cs="Guttman Drogolin" w:hint="eastAsia"/>
          <w:rtl/>
          <w:lang w:bidi="he-IL"/>
        </w:rPr>
        <w:instrText>סתום</w:instrText>
      </w:r>
      <w:r w:rsidRPr="00B80448">
        <w:rPr>
          <w:rFonts w:cs="Guttman Drogolin"/>
        </w:rPr>
        <w:instrText xml:space="preserve">" </w:instrText>
      </w:r>
      <w:r w:rsidRPr="00A96BDF">
        <w:rPr>
          <w:rFonts w:cs="Guttman Drogolin"/>
          <w:rtl/>
          <w:lang w:bidi="he-IL"/>
        </w:rPr>
        <w:fldChar w:fldCharType="end"/>
      </w:r>
      <w:r w:rsidR="00C36FD1" w:rsidRPr="00882F11">
        <w:rPr>
          <w:rFonts w:cs="Guttman Drogolin" w:hint="cs"/>
          <w:rtl/>
          <w:lang w:bidi="he-IL"/>
        </w:rPr>
        <w:t>והנה בתוך דבריהם כתבו התוס' הנ"ל דאע"ג דקיי"ל</w:t>
      </w:r>
      <w:r w:rsidR="005F26AC" w:rsidRPr="00882F11">
        <w:rPr>
          <w:rFonts w:cs="Guttman Drogolin" w:hint="cs"/>
          <w:rtl/>
          <w:lang w:bidi="he-IL"/>
        </w:rPr>
        <w:t xml:space="preserve"> כרב דריחא מילתא היא, מ"מ "בתנורים</w:t>
      </w:r>
      <w:r w:rsidR="005F26AC" w:rsidRPr="00882F11">
        <w:rPr>
          <w:rFonts w:cs="Guttman Drogolin"/>
          <w:rtl/>
          <w:lang w:bidi="he-IL"/>
        </w:rPr>
        <w:t xml:space="preserve"> </w:t>
      </w:r>
      <w:r w:rsidR="005F26AC" w:rsidRPr="00882F11">
        <w:rPr>
          <w:rFonts w:cs="Guttman Drogolin" w:hint="cs"/>
          <w:rtl/>
          <w:lang w:bidi="he-IL"/>
        </w:rPr>
        <w:t>גדולים</w:t>
      </w:r>
      <w:r w:rsidR="005F26AC" w:rsidRPr="00882F11">
        <w:rPr>
          <w:rFonts w:cs="Guttman Drogolin"/>
          <w:rtl/>
          <w:lang w:bidi="he-IL"/>
        </w:rPr>
        <w:t xml:space="preserve"> </w:t>
      </w:r>
      <w:r w:rsidR="005F26AC" w:rsidRPr="00882F11">
        <w:rPr>
          <w:rFonts w:cs="Guttman Drogolin" w:hint="cs"/>
          <w:rtl/>
          <w:lang w:bidi="he-IL"/>
        </w:rPr>
        <w:t>שלנו</w:t>
      </w:r>
      <w:r w:rsidR="005F26AC" w:rsidRPr="00882F11">
        <w:rPr>
          <w:rFonts w:cs="Guttman Drogolin"/>
          <w:rtl/>
          <w:lang w:bidi="he-IL"/>
        </w:rPr>
        <w:t xml:space="preserve"> </w:t>
      </w:r>
      <w:r w:rsidR="005F26AC" w:rsidRPr="00882F11">
        <w:rPr>
          <w:rFonts w:cs="Guttman Drogolin" w:hint="cs"/>
          <w:rtl/>
          <w:lang w:bidi="he-IL"/>
        </w:rPr>
        <w:t>אין</w:t>
      </w:r>
      <w:r w:rsidR="005F26AC" w:rsidRPr="00882F11">
        <w:rPr>
          <w:rFonts w:cs="Guttman Drogolin"/>
          <w:rtl/>
          <w:lang w:bidi="he-IL"/>
        </w:rPr>
        <w:t xml:space="preserve"> </w:t>
      </w:r>
      <w:r w:rsidR="005F26AC" w:rsidRPr="00882F11">
        <w:rPr>
          <w:rFonts w:cs="Guttman Drogolin" w:hint="cs"/>
          <w:rtl/>
          <w:lang w:bidi="he-IL"/>
        </w:rPr>
        <w:t>לחוש</w:t>
      </w:r>
      <w:r w:rsidR="005F26AC" w:rsidRPr="00882F11">
        <w:rPr>
          <w:rFonts w:cs="Guttman Drogolin"/>
          <w:rtl/>
          <w:lang w:bidi="he-IL"/>
        </w:rPr>
        <w:t xml:space="preserve"> </w:t>
      </w:r>
      <w:r w:rsidR="005F26AC" w:rsidRPr="00882F11">
        <w:rPr>
          <w:rFonts w:cs="Guttman Drogolin" w:hint="cs"/>
          <w:rtl/>
          <w:lang w:bidi="he-IL"/>
        </w:rPr>
        <w:t>לריחא</w:t>
      </w:r>
      <w:r w:rsidR="005F26AC" w:rsidRPr="00882F11">
        <w:rPr>
          <w:rFonts w:cs="Guttman Drogolin"/>
          <w:rtl/>
          <w:lang w:bidi="he-IL"/>
        </w:rPr>
        <w:t xml:space="preserve"> </w:t>
      </w:r>
      <w:r w:rsidR="005F26AC" w:rsidRPr="00882F11">
        <w:rPr>
          <w:rFonts w:cs="Guttman Drogolin" w:hint="cs"/>
          <w:rtl/>
          <w:lang w:bidi="he-IL"/>
        </w:rPr>
        <w:t>ובלבד</w:t>
      </w:r>
      <w:r w:rsidR="005F26AC" w:rsidRPr="00882F11">
        <w:rPr>
          <w:rFonts w:cs="Guttman Drogolin"/>
          <w:rtl/>
          <w:lang w:bidi="he-IL"/>
        </w:rPr>
        <w:t xml:space="preserve"> </w:t>
      </w:r>
      <w:r w:rsidR="005F26AC" w:rsidRPr="00882F11">
        <w:rPr>
          <w:rFonts w:cs="Guttman Drogolin" w:hint="cs"/>
          <w:rtl/>
          <w:lang w:bidi="he-IL"/>
        </w:rPr>
        <w:t>שלא</w:t>
      </w:r>
      <w:r w:rsidR="005F26AC" w:rsidRPr="00882F11">
        <w:rPr>
          <w:rFonts w:cs="Guttman Drogolin"/>
          <w:rtl/>
          <w:lang w:bidi="he-IL"/>
        </w:rPr>
        <w:t xml:space="preserve"> </w:t>
      </w:r>
      <w:r w:rsidR="005F26AC" w:rsidRPr="00882F11">
        <w:rPr>
          <w:rFonts w:cs="Guttman Drogolin" w:hint="cs"/>
          <w:rtl/>
          <w:lang w:bidi="he-IL"/>
        </w:rPr>
        <w:t>יהא</w:t>
      </w:r>
      <w:r w:rsidR="005F26AC" w:rsidRPr="00882F11">
        <w:rPr>
          <w:rFonts w:cs="Guttman Drogolin"/>
          <w:rtl/>
          <w:lang w:bidi="he-IL"/>
        </w:rPr>
        <w:t xml:space="preserve"> </w:t>
      </w:r>
      <w:r w:rsidR="005F26AC" w:rsidRPr="00882F11">
        <w:rPr>
          <w:rFonts w:cs="Guttman Drogolin" w:hint="cs"/>
          <w:rtl/>
          <w:lang w:bidi="he-IL"/>
        </w:rPr>
        <w:t>פי</w:t>
      </w:r>
      <w:r w:rsidR="005F26AC" w:rsidRPr="00882F11">
        <w:rPr>
          <w:rFonts w:cs="Guttman Drogolin"/>
          <w:rtl/>
          <w:lang w:bidi="he-IL"/>
        </w:rPr>
        <w:t xml:space="preserve"> </w:t>
      </w:r>
      <w:r w:rsidR="005F26AC" w:rsidRPr="00882F11">
        <w:rPr>
          <w:rFonts w:cs="Guttman Drogolin" w:hint="cs"/>
          <w:rtl/>
          <w:lang w:bidi="he-IL"/>
        </w:rPr>
        <w:t>התנור</w:t>
      </w:r>
      <w:r w:rsidR="005F26AC" w:rsidRPr="00882F11">
        <w:rPr>
          <w:rFonts w:cs="Guttman Drogolin"/>
          <w:rtl/>
          <w:lang w:bidi="he-IL"/>
        </w:rPr>
        <w:t xml:space="preserve"> </w:t>
      </w:r>
      <w:r w:rsidR="005F26AC" w:rsidRPr="00882F11">
        <w:rPr>
          <w:rFonts w:cs="Guttman Drogolin" w:hint="cs"/>
          <w:rtl/>
          <w:lang w:bidi="he-IL"/>
        </w:rPr>
        <w:t xml:space="preserve">סתום". הרי שנתחדש לנו ב' דינים בסוגיא </w:t>
      </w:r>
      <w:r w:rsidR="005F26AC" w:rsidRPr="00882F11">
        <w:rPr>
          <w:rFonts w:cs="Guttman Drogolin" w:hint="cs"/>
          <w:rtl/>
          <w:lang w:bidi="he-IL"/>
        </w:rPr>
        <w:lastRenderedPageBreak/>
        <w:t>דריחא: א) דלא חיישינן לריחא בתנור גדול</w:t>
      </w:r>
      <w:r w:rsidR="00DC1712" w:rsidRPr="00882F11">
        <w:rPr>
          <w:rStyle w:val="FootnoteReference"/>
          <w:rFonts w:cs="Guttman Drogolin"/>
          <w:rtl/>
          <w:lang w:bidi="he-IL"/>
        </w:rPr>
        <w:footnoteReference w:id="394"/>
      </w:r>
      <w:r w:rsidR="005F26AC" w:rsidRPr="00882F11">
        <w:rPr>
          <w:rFonts w:cs="Guttman Drogolin" w:hint="cs"/>
          <w:rtl/>
          <w:lang w:bidi="he-IL"/>
        </w:rPr>
        <w:t xml:space="preserve">, ב) דהנ"מ אם התנור </w:t>
      </w:r>
      <w:r w:rsidR="001F1527" w:rsidRPr="00882F11">
        <w:rPr>
          <w:rFonts w:cs="Guttman Drogolin" w:hint="cs"/>
          <w:rtl/>
          <w:lang w:bidi="he-IL"/>
        </w:rPr>
        <w:t>פתוח, אבל בתנור סתום אין לנו קו</w:t>
      </w:r>
      <w:r w:rsidR="005F26AC" w:rsidRPr="00882F11">
        <w:rPr>
          <w:rFonts w:cs="Guttman Drogolin" w:hint="cs"/>
          <w:rtl/>
          <w:lang w:bidi="he-IL"/>
        </w:rPr>
        <w:t>לא דתנור גדול.</w:t>
      </w:r>
      <w:r w:rsidR="001F1527" w:rsidRPr="00882F11">
        <w:rPr>
          <w:rFonts w:cs="Guttman Drogolin" w:hint="cs"/>
          <w:rtl/>
          <w:lang w:bidi="he-IL"/>
        </w:rPr>
        <w:t xml:space="preserve"> והנה פשוט שביאור הטעם להקל בתנור גדולן משום שאמנם המאכל האסור מוציא טעם, אבל כיון שיש מקום לריחא להתפשט אין לחוש שהוא נבלע בתוך המאכל של היתר. </w:t>
      </w:r>
      <w:r w:rsidR="00A607E7" w:rsidRPr="00882F11">
        <w:rPr>
          <w:rFonts w:cs="Guttman Drogolin" w:hint="cs"/>
          <w:rtl/>
          <w:lang w:bidi="he-IL"/>
        </w:rPr>
        <w:t>ולענין הגודל של תנור גדול מבואר בב"י ש</w:t>
      </w:r>
      <w:r w:rsidR="00DC1712" w:rsidRPr="00882F11">
        <w:rPr>
          <w:rFonts w:cs="Guttman Drogolin" w:hint="cs"/>
          <w:rtl/>
          <w:lang w:bidi="he-IL"/>
        </w:rPr>
        <w:t>ת</w:t>
      </w:r>
      <w:r w:rsidR="00A607E7" w:rsidRPr="00882F11">
        <w:rPr>
          <w:rFonts w:cs="Guttman Drogolin" w:hint="cs"/>
          <w:rtl/>
          <w:lang w:bidi="he-IL"/>
        </w:rPr>
        <w:t xml:space="preserve">נור המחזיק י"ב עשרונין של מצות נחשב לתנור גדול. </w:t>
      </w:r>
      <w:r w:rsidR="00DC1712" w:rsidRPr="00882F11">
        <w:rPr>
          <w:rFonts w:cs="Guttman Drogolin" w:hint="cs"/>
          <w:rtl/>
          <w:lang w:bidi="he-IL"/>
        </w:rPr>
        <w:t xml:space="preserve">וע' בינת אדם כלל ס"ב מהו גודל זה. ושם בב"י שהביא דעה הסוברת דלא בעינן תנור גדול כולי האי רק 'רחב קצת', אבל לא ידעינן לאיזה רוחא התכוין. ובשו"ע סתם כשיעור י"ב עשרונין. </w:t>
      </w:r>
      <w:r w:rsidR="000215DE" w:rsidRPr="00882F11">
        <w:rPr>
          <w:rFonts w:cs="Guttman Drogolin" w:hint="cs"/>
          <w:rtl/>
          <w:lang w:bidi="he-IL"/>
        </w:rPr>
        <w:t>ולכאורה הי' צריך להיות שבתנור גדול יהא מותר אפילו לכתחילה ואין חוששין בזה לריחא כלל. וכן נראה דעת המחבר בסע' א'. אבל הרמ"א כתב להחמיר אפילו בתנור גדול, ומקורו באו"ה הארוך (כלל ל"ט ד"ג) וביאר הגר"א משום דסבירא להו שכל דברי התוס' הם לשיטת עצמם דאית להו הלכה כרב דריחא מילתא היא, אבל לדידן אין לחלק. והסיק דכל הפוסקים חולקים על זה ומתירים אפילו לכתחילה בתנור גדול.</w:t>
      </w:r>
    </w:p>
    <w:p w:rsidR="00C36FD1" w:rsidRPr="00882F11" w:rsidRDefault="000215DE" w:rsidP="00647177">
      <w:pPr>
        <w:tabs>
          <w:tab w:val="right" w:pos="7497"/>
        </w:tabs>
        <w:bidi/>
        <w:jc w:val="both"/>
        <w:rPr>
          <w:rFonts w:cs="Guttman Drogolin"/>
          <w:rtl/>
          <w:lang w:bidi="he-IL"/>
        </w:rPr>
      </w:pPr>
      <w:r w:rsidRPr="00882F11">
        <w:rPr>
          <w:rFonts w:cs="Guttman Drogolin" w:hint="cs"/>
          <w:rtl/>
          <w:lang w:bidi="he-IL"/>
        </w:rPr>
        <w:t>ולענין תנור סתום הנה הט"ז התיר בדיעבד אפילו בתנור סתום. אמנם הנה הרמ"א כתב בהמשך דבריו בשם י"א שאין להתיר ריחא אפילו בדיעבד אלא א"כ התנור פתוח קצת מו הצד או למעלה שהעשן יוצא, אבל אם אין מקום לעשן לצאת הרי זה אסור אפילו בדיעבד.</w:t>
      </w:r>
      <w:r w:rsidR="004F5394" w:rsidRPr="00882F11">
        <w:rPr>
          <w:rFonts w:cs="Guttman Drogolin" w:hint="cs"/>
          <w:rtl/>
          <w:lang w:bidi="he-IL"/>
        </w:rPr>
        <w:t xml:space="preserve"> </w:t>
      </w:r>
      <w:r w:rsidRPr="00882F11">
        <w:rPr>
          <w:rFonts w:cs="Guttman Drogolin" w:hint="cs"/>
          <w:rtl/>
          <w:lang w:bidi="he-IL"/>
        </w:rPr>
        <w:t xml:space="preserve">ומקור הדבר האו"ה (ל"ט, </w:t>
      </w:r>
      <w:r w:rsidR="004F5394" w:rsidRPr="00882F11">
        <w:rPr>
          <w:rFonts w:cs="Guttman Drogolin" w:hint="cs"/>
          <w:rtl/>
          <w:lang w:bidi="he-IL"/>
        </w:rPr>
        <w:t>ב</w:t>
      </w:r>
      <w:r w:rsidR="004F5394" w:rsidRPr="00882F11">
        <w:rPr>
          <w:rStyle w:val="FootnoteReference"/>
          <w:rFonts w:cs="Guttman Drogolin"/>
          <w:rtl/>
          <w:lang w:bidi="he-IL"/>
        </w:rPr>
        <w:footnoteReference w:id="395"/>
      </w:r>
      <w:r w:rsidRPr="00882F11">
        <w:rPr>
          <w:rFonts w:cs="Guttman Drogolin" w:hint="cs"/>
          <w:rtl/>
          <w:lang w:bidi="he-IL"/>
        </w:rPr>
        <w:t xml:space="preserve">) ולא ביאר טעמו, אבל בביאור הגר"א (ס"ק י') מבואר שהוא כמו פת חמה וחבית סתומה. </w:t>
      </w:r>
      <w:r w:rsidR="004F5394" w:rsidRPr="00882F11">
        <w:rPr>
          <w:rFonts w:cs="Guttman Drogolin" w:hint="cs"/>
          <w:rtl/>
          <w:lang w:bidi="he-IL"/>
        </w:rPr>
        <w:t xml:space="preserve">ושם </w:t>
      </w:r>
      <w:r w:rsidR="004F5394" w:rsidRPr="00882F11">
        <w:rPr>
          <w:rFonts w:cs="Guttman Drogolin" w:hint="cs"/>
          <w:rtl/>
          <w:lang w:bidi="he-IL"/>
        </w:rPr>
        <w:lastRenderedPageBreak/>
        <w:t xml:space="preserve">הקיל במקום הפסד (מרובה </w:t>
      </w:r>
      <w:r w:rsidR="004F5394" w:rsidRPr="00882F11">
        <w:rPr>
          <w:rFonts w:cs="Guttman Drogolin"/>
          <w:rtl/>
          <w:lang w:bidi="he-IL"/>
        </w:rPr>
        <w:t>–</w:t>
      </w:r>
      <w:r w:rsidR="004F5394" w:rsidRPr="00882F11">
        <w:rPr>
          <w:rFonts w:cs="Guttman Drogolin" w:hint="cs"/>
          <w:rtl/>
          <w:lang w:bidi="he-IL"/>
        </w:rPr>
        <w:t xml:space="preserve"> ש"ך ס"ק ח' מתו"ח) וביאר הגר"א שהוא 'כסברת כל הפוסקים שחולקים עליו'. וכן בהמשך דבריו כתב הרמ"א "אם</w:t>
      </w:r>
      <w:r w:rsidR="004F5394" w:rsidRPr="00882F11">
        <w:rPr>
          <w:rFonts w:cs="Guttman Drogolin"/>
          <w:rtl/>
          <w:lang w:bidi="he-IL"/>
        </w:rPr>
        <w:t xml:space="preserve"> </w:t>
      </w:r>
      <w:r w:rsidR="004F5394" w:rsidRPr="00882F11">
        <w:rPr>
          <w:rFonts w:cs="Guttman Drogolin" w:hint="cs"/>
          <w:rtl/>
          <w:lang w:bidi="he-IL"/>
        </w:rPr>
        <w:t>אפו</w:t>
      </w:r>
      <w:r w:rsidR="004F5394" w:rsidRPr="00882F11">
        <w:rPr>
          <w:rFonts w:cs="Guttman Drogolin"/>
          <w:rtl/>
          <w:lang w:bidi="he-IL"/>
        </w:rPr>
        <w:t xml:space="preserve"> </w:t>
      </w:r>
      <w:r w:rsidR="004F5394" w:rsidRPr="00882F11">
        <w:rPr>
          <w:rFonts w:cs="Guttman Drogolin" w:hint="cs"/>
          <w:rtl/>
          <w:lang w:bidi="he-IL"/>
        </w:rPr>
        <w:t>או</w:t>
      </w:r>
      <w:r w:rsidR="004F5394" w:rsidRPr="00882F11">
        <w:rPr>
          <w:rFonts w:cs="Guttman Drogolin"/>
          <w:rtl/>
          <w:lang w:bidi="he-IL"/>
        </w:rPr>
        <w:t xml:space="preserve"> </w:t>
      </w:r>
      <w:r w:rsidR="004F5394" w:rsidRPr="00882F11">
        <w:rPr>
          <w:rFonts w:cs="Guttman Drogolin" w:hint="cs"/>
          <w:rtl/>
          <w:lang w:bidi="he-IL"/>
        </w:rPr>
        <w:t>צלאו</w:t>
      </w:r>
      <w:r w:rsidR="004F5394" w:rsidRPr="00882F11">
        <w:rPr>
          <w:rFonts w:cs="Guttman Drogolin"/>
          <w:rtl/>
          <w:lang w:bidi="he-IL"/>
        </w:rPr>
        <w:t xml:space="preserve"> </w:t>
      </w:r>
      <w:r w:rsidR="004F5394" w:rsidRPr="00882F11">
        <w:rPr>
          <w:rFonts w:cs="Guttman Drogolin" w:hint="cs"/>
          <w:rtl/>
          <w:lang w:bidi="he-IL"/>
        </w:rPr>
        <w:t>איסור</w:t>
      </w:r>
      <w:r w:rsidR="004F5394" w:rsidRPr="00882F11">
        <w:rPr>
          <w:rFonts w:cs="Guttman Drogolin"/>
          <w:rtl/>
          <w:lang w:bidi="he-IL"/>
        </w:rPr>
        <w:t xml:space="preserve"> </w:t>
      </w:r>
      <w:r w:rsidR="004F5394" w:rsidRPr="00882F11">
        <w:rPr>
          <w:rFonts w:cs="Guttman Drogolin" w:hint="cs"/>
          <w:rtl/>
          <w:lang w:bidi="he-IL"/>
        </w:rPr>
        <w:t>והיתר</w:t>
      </w:r>
      <w:r w:rsidR="004F5394" w:rsidRPr="00882F11">
        <w:rPr>
          <w:rFonts w:cs="Guttman Drogolin"/>
          <w:rtl/>
          <w:lang w:bidi="he-IL"/>
        </w:rPr>
        <w:t xml:space="preserve"> </w:t>
      </w:r>
      <w:r w:rsidR="004F5394" w:rsidRPr="00882F11">
        <w:rPr>
          <w:rFonts w:cs="Guttman Drogolin" w:hint="cs"/>
          <w:rtl/>
          <w:lang w:bidi="he-IL"/>
        </w:rPr>
        <w:t>תחת</w:t>
      </w:r>
      <w:r w:rsidR="004F5394" w:rsidRPr="00882F11">
        <w:rPr>
          <w:rFonts w:cs="Guttman Drogolin"/>
          <w:rtl/>
          <w:lang w:bidi="he-IL"/>
        </w:rPr>
        <w:t xml:space="preserve"> </w:t>
      </w:r>
      <w:r w:rsidR="004F5394" w:rsidRPr="00882F11">
        <w:rPr>
          <w:rFonts w:cs="Guttman Drogolin" w:hint="cs"/>
          <w:rtl/>
          <w:lang w:bidi="he-IL"/>
        </w:rPr>
        <w:t>מחבת</w:t>
      </w:r>
      <w:r w:rsidR="004F5394" w:rsidRPr="00882F11">
        <w:rPr>
          <w:rFonts w:cs="Guttman Drogolin"/>
          <w:rtl/>
          <w:lang w:bidi="he-IL"/>
        </w:rPr>
        <w:t xml:space="preserve"> </w:t>
      </w:r>
      <w:r w:rsidR="004F5394" w:rsidRPr="00882F11">
        <w:rPr>
          <w:rFonts w:cs="Guttman Drogolin" w:hint="cs"/>
          <w:rtl/>
          <w:lang w:bidi="he-IL"/>
        </w:rPr>
        <w:t>אחת</w:t>
      </w:r>
      <w:r w:rsidR="004F5394" w:rsidRPr="00882F11">
        <w:rPr>
          <w:rFonts w:cs="Guttman Drogolin"/>
          <w:rtl/>
          <w:lang w:bidi="he-IL"/>
        </w:rPr>
        <w:t xml:space="preserve"> </w:t>
      </w:r>
      <w:r w:rsidR="004F5394" w:rsidRPr="00882F11">
        <w:rPr>
          <w:rFonts w:cs="Guttman Drogolin" w:hint="cs"/>
          <w:rtl/>
          <w:lang w:bidi="he-IL"/>
        </w:rPr>
        <w:t>מגולין</w:t>
      </w:r>
      <w:r w:rsidR="004F5394" w:rsidRPr="00882F11">
        <w:rPr>
          <w:rFonts w:cs="Guttman Drogolin"/>
          <w:rtl/>
          <w:lang w:bidi="he-IL"/>
        </w:rPr>
        <w:t xml:space="preserve"> </w:t>
      </w:r>
      <w:r w:rsidR="004F5394" w:rsidRPr="00882F11">
        <w:rPr>
          <w:rFonts w:cs="Guttman Drogolin" w:hint="cs"/>
          <w:rtl/>
          <w:lang w:bidi="he-IL"/>
        </w:rPr>
        <w:t>אסור</w:t>
      </w:r>
      <w:r w:rsidR="004F5394" w:rsidRPr="00882F11">
        <w:rPr>
          <w:rFonts w:cs="Guttman Drogolin"/>
          <w:rtl/>
          <w:lang w:bidi="he-IL"/>
        </w:rPr>
        <w:t xml:space="preserve"> </w:t>
      </w:r>
      <w:r w:rsidR="004F5394" w:rsidRPr="00882F11">
        <w:rPr>
          <w:rFonts w:cs="Guttman Drogolin" w:hint="cs"/>
          <w:rtl/>
          <w:lang w:bidi="he-IL"/>
        </w:rPr>
        <w:t>אפילו</w:t>
      </w:r>
      <w:r w:rsidR="004F5394" w:rsidRPr="00882F11">
        <w:rPr>
          <w:rFonts w:cs="Guttman Drogolin"/>
          <w:rtl/>
          <w:lang w:bidi="he-IL"/>
        </w:rPr>
        <w:t xml:space="preserve"> </w:t>
      </w:r>
      <w:r w:rsidR="004F5394" w:rsidRPr="00882F11">
        <w:rPr>
          <w:rFonts w:cs="Guttman Drogolin" w:hint="cs"/>
          <w:rtl/>
          <w:lang w:bidi="he-IL"/>
        </w:rPr>
        <w:t>בדיעבד</w:t>
      </w:r>
      <w:r w:rsidR="004F5394" w:rsidRPr="00882F11">
        <w:rPr>
          <w:rFonts w:cs="Guttman Drogolin"/>
          <w:rtl/>
          <w:lang w:bidi="he-IL"/>
        </w:rPr>
        <w:t xml:space="preserve"> </w:t>
      </w:r>
      <w:r w:rsidR="004F5394" w:rsidRPr="00882F11">
        <w:rPr>
          <w:rFonts w:cs="Guttman Drogolin" w:hint="cs"/>
          <w:rtl/>
          <w:lang w:bidi="he-IL"/>
        </w:rPr>
        <w:t>וה</w:t>
      </w:r>
      <w:r w:rsidR="004F5394" w:rsidRPr="00882F11">
        <w:rPr>
          <w:rFonts w:cs="Guttman Drogolin"/>
          <w:rtl/>
          <w:lang w:bidi="he-IL"/>
        </w:rPr>
        <w:t>"</w:t>
      </w:r>
      <w:r w:rsidR="004F5394" w:rsidRPr="00882F11">
        <w:rPr>
          <w:rFonts w:cs="Guttman Drogolin" w:hint="cs"/>
          <w:rtl/>
          <w:lang w:bidi="he-IL"/>
        </w:rPr>
        <w:t>ה</w:t>
      </w:r>
      <w:r w:rsidR="004F5394" w:rsidRPr="00882F11">
        <w:rPr>
          <w:rFonts w:cs="Guttman Drogolin"/>
          <w:rtl/>
          <w:lang w:bidi="he-IL"/>
        </w:rPr>
        <w:t xml:space="preserve"> </w:t>
      </w:r>
      <w:r w:rsidR="004F5394" w:rsidRPr="00882F11">
        <w:rPr>
          <w:rFonts w:cs="Guttman Drogolin" w:hint="cs"/>
          <w:rtl/>
          <w:lang w:bidi="he-IL"/>
        </w:rPr>
        <w:t>אם</w:t>
      </w:r>
      <w:r w:rsidR="004F5394" w:rsidRPr="00882F11">
        <w:rPr>
          <w:rFonts w:cs="Guttman Drogolin"/>
          <w:rtl/>
          <w:lang w:bidi="he-IL"/>
        </w:rPr>
        <w:t xml:space="preserve"> </w:t>
      </w:r>
      <w:r w:rsidR="004F5394" w:rsidRPr="00882F11">
        <w:rPr>
          <w:rFonts w:cs="Guttman Drogolin" w:hint="cs"/>
          <w:rtl/>
          <w:lang w:bidi="he-IL"/>
        </w:rPr>
        <w:t>אפו</w:t>
      </w:r>
      <w:r w:rsidR="004F5394" w:rsidRPr="00882F11">
        <w:rPr>
          <w:rFonts w:cs="Guttman Drogolin"/>
          <w:rtl/>
          <w:lang w:bidi="he-IL"/>
        </w:rPr>
        <w:t xml:space="preserve"> </w:t>
      </w:r>
      <w:r w:rsidR="004F5394" w:rsidRPr="00882F11">
        <w:rPr>
          <w:rFonts w:cs="Guttman Drogolin" w:hint="cs"/>
          <w:rtl/>
          <w:lang w:bidi="he-IL"/>
        </w:rPr>
        <w:t>בכה</w:t>
      </w:r>
      <w:r w:rsidR="004F5394" w:rsidRPr="00882F11">
        <w:rPr>
          <w:rFonts w:cs="Guttman Drogolin"/>
          <w:rtl/>
          <w:lang w:bidi="he-IL"/>
        </w:rPr>
        <w:t>"</w:t>
      </w:r>
      <w:r w:rsidR="004F5394" w:rsidRPr="00882F11">
        <w:rPr>
          <w:rFonts w:cs="Guttman Drogolin" w:hint="cs"/>
          <w:rtl/>
          <w:lang w:bidi="he-IL"/>
        </w:rPr>
        <w:t>ג</w:t>
      </w:r>
      <w:r w:rsidR="004F5394" w:rsidRPr="00882F11">
        <w:rPr>
          <w:rFonts w:cs="Guttman Drogolin"/>
          <w:rtl/>
          <w:lang w:bidi="he-IL"/>
        </w:rPr>
        <w:t xml:space="preserve"> </w:t>
      </w:r>
      <w:r w:rsidR="004F5394" w:rsidRPr="00882F11">
        <w:rPr>
          <w:rFonts w:cs="Guttman Drogolin" w:hint="cs"/>
          <w:rtl/>
          <w:lang w:bidi="he-IL"/>
        </w:rPr>
        <w:t>פת</w:t>
      </w:r>
      <w:r w:rsidR="004F5394" w:rsidRPr="00882F11">
        <w:rPr>
          <w:rFonts w:cs="Guttman Drogolin"/>
          <w:rtl/>
          <w:lang w:bidi="he-IL"/>
        </w:rPr>
        <w:t xml:space="preserve"> </w:t>
      </w:r>
      <w:r w:rsidR="004F5394" w:rsidRPr="00882F11">
        <w:rPr>
          <w:rFonts w:cs="Guttman Drogolin" w:hint="cs"/>
          <w:rtl/>
          <w:lang w:bidi="he-IL"/>
        </w:rPr>
        <w:t>עם</w:t>
      </w:r>
      <w:r w:rsidR="004F5394" w:rsidRPr="00882F11">
        <w:rPr>
          <w:rFonts w:cs="Guttman Drogolin"/>
          <w:rtl/>
          <w:lang w:bidi="he-IL"/>
        </w:rPr>
        <w:t xml:space="preserve"> </w:t>
      </w:r>
      <w:r w:rsidR="004F5394" w:rsidRPr="00882F11">
        <w:rPr>
          <w:rFonts w:cs="Guttman Drogolin" w:hint="cs"/>
          <w:rtl/>
          <w:lang w:bidi="he-IL"/>
        </w:rPr>
        <w:t>בשר</w:t>
      </w:r>
      <w:r w:rsidR="004F5394" w:rsidRPr="00882F11">
        <w:rPr>
          <w:rFonts w:cs="Guttman Drogolin"/>
          <w:rtl/>
          <w:lang w:bidi="he-IL"/>
        </w:rPr>
        <w:t xml:space="preserve"> </w:t>
      </w:r>
      <w:r w:rsidR="004F5394" w:rsidRPr="00882F11">
        <w:rPr>
          <w:rFonts w:cs="Guttman Drogolin" w:hint="cs"/>
          <w:rtl/>
          <w:lang w:bidi="he-IL"/>
        </w:rPr>
        <w:t>אסור</w:t>
      </w:r>
      <w:r w:rsidR="004F5394" w:rsidRPr="00882F11">
        <w:rPr>
          <w:rFonts w:cs="Guttman Drogolin"/>
          <w:rtl/>
          <w:lang w:bidi="he-IL"/>
        </w:rPr>
        <w:t xml:space="preserve"> </w:t>
      </w:r>
      <w:r w:rsidR="004F5394" w:rsidRPr="00882F11">
        <w:rPr>
          <w:rFonts w:cs="Guttman Drogolin" w:hint="cs"/>
          <w:rtl/>
          <w:lang w:bidi="he-IL"/>
        </w:rPr>
        <w:t>לאכלו</w:t>
      </w:r>
      <w:r w:rsidR="004F5394" w:rsidRPr="00882F11">
        <w:rPr>
          <w:rFonts w:cs="Guttman Drogolin"/>
          <w:rtl/>
          <w:lang w:bidi="he-IL"/>
        </w:rPr>
        <w:t xml:space="preserve"> </w:t>
      </w:r>
      <w:r w:rsidR="004F5394" w:rsidRPr="00882F11">
        <w:rPr>
          <w:rFonts w:cs="Guttman Drogolin" w:hint="cs"/>
          <w:rtl/>
          <w:lang w:bidi="he-IL"/>
        </w:rPr>
        <w:t>בחלב</w:t>
      </w:r>
      <w:r w:rsidR="00775097" w:rsidRPr="00882F11">
        <w:rPr>
          <w:rStyle w:val="FootnoteReference"/>
          <w:rFonts w:cs="Guttman Drogolin"/>
          <w:rtl/>
          <w:lang w:bidi="he-IL"/>
        </w:rPr>
        <w:footnoteReference w:id="396"/>
      </w:r>
      <w:r w:rsidR="004F5394" w:rsidRPr="00882F11">
        <w:rPr>
          <w:rFonts w:cs="Guttman Drogolin" w:hint="cs"/>
          <w:rtl/>
          <w:lang w:bidi="he-IL"/>
        </w:rPr>
        <w:t xml:space="preserve">". והוא לכאורה מטעם הנ"ל וכאן לא כתב </w:t>
      </w:r>
      <w:r w:rsidR="00E00F36" w:rsidRPr="00882F11">
        <w:rPr>
          <w:rFonts w:cs="Guttman Drogolin" w:hint="cs"/>
          <w:rtl/>
          <w:lang w:bidi="he-IL"/>
        </w:rPr>
        <w:t xml:space="preserve">שיש היתר במקום הפסד, והעיר מזה בביאור הגר"א ס"ק ט"ו ולא כתב אלא "ואף על פי כן לא רצה להקל כאן". וסתם ולא פירש למה יש לחלק ביניהם. </w:t>
      </w:r>
      <w:r w:rsidR="00775097" w:rsidRPr="00882F11">
        <w:rPr>
          <w:rFonts w:cs="Guttman Drogolin" w:hint="cs"/>
          <w:rtl/>
          <w:lang w:bidi="he-IL"/>
        </w:rPr>
        <w:t>וע' חזו"א סי' ל"ה סס"ק א' שא</w:t>
      </w:r>
      <w:r w:rsidR="00C226EA" w:rsidRPr="00882F11">
        <w:rPr>
          <w:rFonts w:cs="Guttman Drogolin" w:hint="cs"/>
          <w:rtl/>
          <w:lang w:bidi="he-IL"/>
        </w:rPr>
        <w:t>ו</w:t>
      </w:r>
      <w:r w:rsidR="00775097" w:rsidRPr="00882F11">
        <w:rPr>
          <w:rFonts w:cs="Guttman Drogolin" w:hint="cs"/>
          <w:rtl/>
          <w:lang w:bidi="he-IL"/>
        </w:rPr>
        <w:t xml:space="preserve">לי הוא למיגדר מילתא. </w:t>
      </w:r>
      <w:r w:rsidR="009651A4" w:rsidRPr="00882F11">
        <w:rPr>
          <w:rFonts w:cs="Guttman Drogolin" w:hint="cs"/>
          <w:rtl/>
          <w:lang w:bidi="he-IL"/>
        </w:rPr>
        <w:t xml:space="preserve">ומ"מ כן הדין היוצר מדברי הרמ"א, ולכן צ"ע מש"כ הט"ז להקל אפילו בסתום. ולכן ביאר המש"ז דמיירי בסתום אבל לא לגמרי ויש מקום לעשן לצאת, אבל בלי זה אסור וכדברי הרמ"א. </w:t>
      </w:r>
      <w:r w:rsidR="004F5394" w:rsidRPr="00882F11">
        <w:rPr>
          <w:rFonts w:cs="Guttman Drogolin" w:hint="cs"/>
          <w:rtl/>
          <w:lang w:bidi="he-IL"/>
        </w:rPr>
        <w:t xml:space="preserve"> </w:t>
      </w:r>
    </w:p>
    <w:p w:rsidR="001F1527" w:rsidRPr="00882F11" w:rsidRDefault="001F1527" w:rsidP="001F1527">
      <w:pPr>
        <w:pStyle w:val="Heading1"/>
        <w:bidi/>
        <w:spacing w:before="0" w:line="360" w:lineRule="auto"/>
        <w:jc w:val="center"/>
        <w:rPr>
          <w:rFonts w:cs="Guttman Drogolin"/>
          <w:color w:val="auto"/>
          <w:sz w:val="24"/>
          <w:szCs w:val="24"/>
          <w:u w:val="single"/>
          <w:rtl/>
          <w:lang w:bidi="he-IL"/>
        </w:rPr>
      </w:pPr>
      <w:bookmarkStart w:id="388" w:name="_Toc496175635"/>
      <w:r w:rsidRPr="00882F11">
        <w:rPr>
          <w:rFonts w:cs="Guttman Drogolin" w:hint="cs"/>
          <w:color w:val="auto"/>
          <w:sz w:val="24"/>
          <w:szCs w:val="24"/>
          <w:u w:val="single"/>
          <w:rtl/>
          <w:lang w:bidi="he-IL"/>
        </w:rPr>
        <w:t>היתירא דכעין ב' קדירות</w:t>
      </w:r>
      <w:bookmarkEnd w:id="388"/>
    </w:p>
    <w:p w:rsidR="00647177" w:rsidRPr="00882F11" w:rsidRDefault="00702C75" w:rsidP="0092065E">
      <w:pPr>
        <w:tabs>
          <w:tab w:val="right" w:pos="7497"/>
        </w:tabs>
        <w:bidi/>
        <w:jc w:val="both"/>
        <w:rPr>
          <w:rFonts w:cs="Guttman Drogolin"/>
          <w:rtl/>
          <w:lang w:bidi="he-IL"/>
        </w:rPr>
      </w:pPr>
      <w:r>
        <w:rPr>
          <w:rFonts w:cs="Guttman Drogolin"/>
          <w:rtl/>
          <w:lang w:bidi="he-IL"/>
        </w:rPr>
        <w:fldChar w:fldCharType="begin"/>
      </w:r>
      <w:r>
        <w:instrText xml:space="preserve"> XE "</w:instrText>
      </w:r>
      <w:r w:rsidRPr="00646201">
        <w:rPr>
          <w:rFonts w:hint="cs"/>
          <w:rtl/>
          <w:lang w:bidi="he-IL"/>
        </w:rPr>
        <w:instrText>ריחא מילתא</w:instrText>
      </w:r>
      <w:r w:rsidRPr="00646201">
        <w:rPr>
          <w:rtl/>
        </w:rPr>
        <w:instrText>:</w:instrText>
      </w:r>
      <w:r w:rsidRPr="00646201">
        <w:rPr>
          <w:rFonts w:hint="cs"/>
          <w:rtl/>
          <w:lang w:bidi="he-IL"/>
        </w:rPr>
        <w:instrText>מחיצה מפסקת בין המאכלים (כעין ב' קדירות)</w:instrText>
      </w:r>
      <w:r>
        <w:instrText xml:space="preserve">" </w:instrText>
      </w:r>
      <w:r>
        <w:rPr>
          <w:rFonts w:cs="Guttman Drogolin"/>
          <w:rtl/>
          <w:lang w:bidi="he-IL"/>
        </w:rPr>
        <w:fldChar w:fldCharType="end"/>
      </w:r>
      <w:r w:rsidR="00647177" w:rsidRPr="00882F11">
        <w:rPr>
          <w:rFonts w:cs="Guttman Drogolin" w:hint="cs"/>
          <w:rtl/>
          <w:lang w:bidi="he-IL"/>
        </w:rPr>
        <w:t>שם במס' פסחים דף ע"ו ע"ב הקשו על רב דסבר ריחא מילתא מתוספתא שכתוב בה "אין</w:t>
      </w:r>
      <w:r w:rsidR="00647177" w:rsidRPr="00882F11">
        <w:rPr>
          <w:rFonts w:cs="Guttman Drogolin"/>
          <w:rtl/>
          <w:lang w:bidi="he-IL"/>
        </w:rPr>
        <w:t xml:space="preserve"> </w:t>
      </w:r>
      <w:r w:rsidR="00647177" w:rsidRPr="00882F11">
        <w:rPr>
          <w:rFonts w:cs="Guttman Drogolin" w:hint="cs"/>
          <w:rtl/>
          <w:lang w:bidi="he-IL"/>
        </w:rPr>
        <w:t>צולין</w:t>
      </w:r>
      <w:r w:rsidR="00647177" w:rsidRPr="00882F11">
        <w:rPr>
          <w:rFonts w:cs="Guttman Drogolin"/>
          <w:rtl/>
          <w:lang w:bidi="he-IL"/>
        </w:rPr>
        <w:t xml:space="preserve"> </w:t>
      </w:r>
      <w:r w:rsidR="00647177" w:rsidRPr="00882F11">
        <w:rPr>
          <w:rFonts w:cs="Guttman Drogolin" w:hint="cs"/>
          <w:rtl/>
          <w:lang w:bidi="he-IL"/>
        </w:rPr>
        <w:t>שני</w:t>
      </w:r>
      <w:r w:rsidR="00647177" w:rsidRPr="00882F11">
        <w:rPr>
          <w:rFonts w:cs="Guttman Drogolin"/>
          <w:rtl/>
          <w:lang w:bidi="he-IL"/>
        </w:rPr>
        <w:t xml:space="preserve"> </w:t>
      </w:r>
      <w:r w:rsidR="00647177" w:rsidRPr="00882F11">
        <w:rPr>
          <w:rFonts w:cs="Guttman Drogolin" w:hint="cs"/>
          <w:rtl/>
          <w:lang w:bidi="he-IL"/>
        </w:rPr>
        <w:t>פסחים</w:t>
      </w:r>
      <w:r w:rsidR="00647177" w:rsidRPr="00882F11">
        <w:rPr>
          <w:rFonts w:cs="Guttman Drogolin"/>
          <w:rtl/>
          <w:lang w:bidi="he-IL"/>
        </w:rPr>
        <w:t xml:space="preserve"> </w:t>
      </w:r>
      <w:r w:rsidR="00647177" w:rsidRPr="00882F11">
        <w:rPr>
          <w:rFonts w:cs="Guttman Drogolin" w:hint="cs"/>
          <w:rtl/>
          <w:lang w:bidi="he-IL"/>
        </w:rPr>
        <w:t>כאחד</w:t>
      </w:r>
      <w:r w:rsidR="00647177" w:rsidRPr="00882F11">
        <w:rPr>
          <w:rFonts w:cs="Guttman Drogolin"/>
          <w:rtl/>
          <w:lang w:bidi="he-IL"/>
        </w:rPr>
        <w:t xml:space="preserve"> </w:t>
      </w:r>
      <w:r w:rsidR="00647177" w:rsidRPr="00882F11">
        <w:rPr>
          <w:rFonts w:cs="Guttman Drogolin" w:hint="cs"/>
          <w:rtl/>
          <w:lang w:bidi="he-IL"/>
        </w:rPr>
        <w:t>מפני</w:t>
      </w:r>
      <w:r w:rsidR="00647177" w:rsidRPr="00882F11">
        <w:rPr>
          <w:rFonts w:cs="Guttman Drogolin"/>
          <w:rtl/>
          <w:lang w:bidi="he-IL"/>
        </w:rPr>
        <w:t xml:space="preserve"> </w:t>
      </w:r>
      <w:r w:rsidR="00647177" w:rsidRPr="00882F11">
        <w:rPr>
          <w:rFonts w:cs="Guttman Drogolin" w:hint="cs"/>
          <w:rtl/>
          <w:lang w:bidi="he-IL"/>
        </w:rPr>
        <w:t>התערובת</w:t>
      </w:r>
      <w:r w:rsidR="00647177" w:rsidRPr="00882F11">
        <w:rPr>
          <w:rFonts w:cs="Guttman Drogolin"/>
          <w:rtl/>
          <w:lang w:bidi="he-IL"/>
        </w:rPr>
        <w:t xml:space="preserve"> </w:t>
      </w:r>
      <w:r w:rsidR="00647177" w:rsidRPr="00882F11">
        <w:rPr>
          <w:rFonts w:cs="Guttman Drogolin" w:hint="cs"/>
          <w:rtl/>
          <w:lang w:bidi="he-IL"/>
        </w:rPr>
        <w:t>וכו'</w:t>
      </w:r>
      <w:r w:rsidR="00647177" w:rsidRPr="00882F11">
        <w:rPr>
          <w:rFonts w:cs="Guttman Drogolin"/>
          <w:rtl/>
          <w:lang w:bidi="he-IL"/>
        </w:rPr>
        <w:t xml:space="preserve"> </w:t>
      </w:r>
      <w:r w:rsidR="00647177" w:rsidRPr="00882F11">
        <w:rPr>
          <w:rFonts w:cs="Guttman Drogolin" w:hint="cs"/>
          <w:rtl/>
          <w:lang w:bidi="he-IL"/>
        </w:rPr>
        <w:t>אפילו</w:t>
      </w:r>
      <w:r w:rsidR="00647177" w:rsidRPr="00882F11">
        <w:rPr>
          <w:rFonts w:cs="Guttman Drogolin"/>
          <w:rtl/>
          <w:lang w:bidi="he-IL"/>
        </w:rPr>
        <w:t xml:space="preserve"> </w:t>
      </w:r>
      <w:r w:rsidR="00647177" w:rsidRPr="00882F11">
        <w:rPr>
          <w:rFonts w:cs="Guttman Drogolin" w:hint="cs"/>
          <w:rtl/>
          <w:lang w:bidi="he-IL"/>
        </w:rPr>
        <w:t>גדי</w:t>
      </w:r>
      <w:r w:rsidR="00647177" w:rsidRPr="00882F11">
        <w:rPr>
          <w:rFonts w:cs="Guttman Drogolin"/>
          <w:rtl/>
          <w:lang w:bidi="he-IL"/>
        </w:rPr>
        <w:t xml:space="preserve"> </w:t>
      </w:r>
      <w:r w:rsidR="00647177" w:rsidRPr="00882F11">
        <w:rPr>
          <w:rFonts w:cs="Guttman Drogolin" w:hint="cs"/>
          <w:rtl/>
          <w:lang w:bidi="he-IL"/>
        </w:rPr>
        <w:t>וטלה". ומשמע שהחשש משום תערובת הגופים ולא משום תערובת טעמים. ואם ריחא מילתא היא הי' לנו לאסור גם משום תערובת טעמלם. ותי' רבי</w:t>
      </w:r>
      <w:r w:rsidR="00647177" w:rsidRPr="00882F11">
        <w:rPr>
          <w:rFonts w:cs="Guttman Drogolin"/>
          <w:rtl/>
          <w:lang w:bidi="he-IL"/>
        </w:rPr>
        <w:t xml:space="preserve"> </w:t>
      </w:r>
      <w:r w:rsidR="00647177" w:rsidRPr="00882F11">
        <w:rPr>
          <w:rFonts w:cs="Guttman Drogolin" w:hint="cs"/>
          <w:rtl/>
          <w:lang w:bidi="he-IL"/>
        </w:rPr>
        <w:t>ירמיה</w:t>
      </w:r>
      <w:r w:rsidR="00647177" w:rsidRPr="00882F11">
        <w:rPr>
          <w:rFonts w:cs="Guttman Drogolin"/>
          <w:rtl/>
          <w:lang w:bidi="he-IL"/>
        </w:rPr>
        <w:t xml:space="preserve"> </w:t>
      </w:r>
      <w:r w:rsidR="0092065E" w:rsidRPr="00882F11">
        <w:rPr>
          <w:rFonts w:cs="Guttman Drogolin" w:hint="cs"/>
          <w:rtl/>
          <w:lang w:bidi="he-IL"/>
        </w:rPr>
        <w:t>"</w:t>
      </w:r>
      <w:r w:rsidR="00647177" w:rsidRPr="00882F11">
        <w:rPr>
          <w:rFonts w:cs="Guttman Drogolin" w:hint="cs"/>
          <w:rtl/>
          <w:lang w:bidi="he-IL"/>
        </w:rPr>
        <w:t>הכא</w:t>
      </w:r>
      <w:r w:rsidR="00647177" w:rsidRPr="00882F11">
        <w:rPr>
          <w:rFonts w:cs="Guttman Drogolin"/>
          <w:rtl/>
          <w:lang w:bidi="he-IL"/>
        </w:rPr>
        <w:t xml:space="preserve"> </w:t>
      </w:r>
      <w:r w:rsidR="00647177" w:rsidRPr="00882F11">
        <w:rPr>
          <w:rFonts w:cs="Guttman Drogolin" w:hint="cs"/>
          <w:rtl/>
          <w:lang w:bidi="he-IL"/>
        </w:rPr>
        <w:t>במאי</w:t>
      </w:r>
      <w:r w:rsidR="00647177" w:rsidRPr="00882F11">
        <w:rPr>
          <w:rFonts w:cs="Guttman Drogolin"/>
          <w:rtl/>
          <w:lang w:bidi="he-IL"/>
        </w:rPr>
        <w:t xml:space="preserve"> </w:t>
      </w:r>
      <w:r w:rsidR="00647177" w:rsidRPr="00882F11">
        <w:rPr>
          <w:rFonts w:cs="Guttman Drogolin" w:hint="cs"/>
          <w:rtl/>
          <w:lang w:bidi="he-IL"/>
        </w:rPr>
        <w:t>עסקינן</w:t>
      </w:r>
      <w:r w:rsidR="00647177" w:rsidRPr="00882F11">
        <w:rPr>
          <w:rFonts w:cs="Guttman Drogolin"/>
          <w:rtl/>
          <w:lang w:bidi="he-IL"/>
        </w:rPr>
        <w:t xml:space="preserve"> </w:t>
      </w:r>
      <w:r w:rsidR="0092065E" w:rsidRPr="00882F11">
        <w:rPr>
          <w:rFonts w:cs="Guttman Drogolin" w:hint="cs"/>
          <w:rtl/>
          <w:lang w:bidi="he-IL"/>
        </w:rPr>
        <w:t>וכו'</w:t>
      </w:r>
      <w:r w:rsidR="00647177" w:rsidRPr="00882F11">
        <w:rPr>
          <w:rFonts w:cs="Guttman Drogolin"/>
          <w:rtl/>
          <w:lang w:bidi="he-IL"/>
        </w:rPr>
        <w:t xml:space="preserve"> </w:t>
      </w:r>
      <w:r w:rsidR="00647177" w:rsidRPr="00882F11">
        <w:rPr>
          <w:rFonts w:cs="Guttman Drogolin" w:hint="cs"/>
          <w:rtl/>
          <w:lang w:bidi="he-IL"/>
        </w:rPr>
        <w:t>כעין</w:t>
      </w:r>
      <w:r w:rsidR="00647177" w:rsidRPr="00882F11">
        <w:rPr>
          <w:rFonts w:cs="Guttman Drogolin"/>
          <w:rtl/>
          <w:lang w:bidi="he-IL"/>
        </w:rPr>
        <w:t xml:space="preserve"> </w:t>
      </w:r>
      <w:r w:rsidR="00647177" w:rsidRPr="00882F11">
        <w:rPr>
          <w:rFonts w:cs="Guttman Drogolin" w:hint="cs"/>
          <w:rtl/>
          <w:lang w:bidi="he-IL"/>
        </w:rPr>
        <w:t>שתי</w:t>
      </w:r>
      <w:r w:rsidR="00647177" w:rsidRPr="00882F11">
        <w:rPr>
          <w:rFonts w:cs="Guttman Drogolin"/>
          <w:rtl/>
          <w:lang w:bidi="he-IL"/>
        </w:rPr>
        <w:t xml:space="preserve"> </w:t>
      </w:r>
      <w:r w:rsidR="00647177" w:rsidRPr="00882F11">
        <w:rPr>
          <w:rFonts w:cs="Guttman Drogolin" w:hint="cs"/>
          <w:rtl/>
          <w:lang w:bidi="he-IL"/>
        </w:rPr>
        <w:t>קדירות</w:t>
      </w:r>
      <w:r w:rsidR="0092065E" w:rsidRPr="00882F11">
        <w:rPr>
          <w:rFonts w:cs="Guttman Drogolin" w:hint="cs"/>
          <w:rtl/>
          <w:lang w:bidi="he-IL"/>
        </w:rPr>
        <w:t>". ופירש"י שם "שפוד</w:t>
      </w:r>
      <w:r w:rsidR="0092065E" w:rsidRPr="00882F11">
        <w:rPr>
          <w:rFonts w:cs="Guttman Drogolin"/>
          <w:rtl/>
          <w:lang w:bidi="he-IL"/>
        </w:rPr>
        <w:t xml:space="preserve"> </w:t>
      </w:r>
      <w:r w:rsidR="0092065E" w:rsidRPr="00882F11">
        <w:rPr>
          <w:rFonts w:cs="Guttman Drogolin" w:hint="cs"/>
          <w:rtl/>
          <w:lang w:bidi="he-IL"/>
        </w:rPr>
        <w:t>מכאן</w:t>
      </w:r>
      <w:r w:rsidR="0092065E" w:rsidRPr="00882F11">
        <w:rPr>
          <w:rFonts w:cs="Guttman Drogolin"/>
          <w:rtl/>
          <w:lang w:bidi="he-IL"/>
        </w:rPr>
        <w:t xml:space="preserve"> </w:t>
      </w:r>
      <w:r w:rsidR="0092065E" w:rsidRPr="00882F11">
        <w:rPr>
          <w:rFonts w:cs="Guttman Drogolin" w:hint="cs"/>
          <w:rtl/>
          <w:lang w:bidi="he-IL"/>
        </w:rPr>
        <w:t>ושפוד</w:t>
      </w:r>
      <w:r w:rsidR="0092065E" w:rsidRPr="00882F11">
        <w:rPr>
          <w:rFonts w:cs="Guttman Drogolin"/>
          <w:rtl/>
          <w:lang w:bidi="he-IL"/>
        </w:rPr>
        <w:t xml:space="preserve"> </w:t>
      </w:r>
      <w:r w:rsidR="0092065E" w:rsidRPr="00882F11">
        <w:rPr>
          <w:rFonts w:cs="Guttman Drogolin" w:hint="cs"/>
          <w:rtl/>
          <w:lang w:bidi="he-IL"/>
        </w:rPr>
        <w:t>מכאן</w:t>
      </w:r>
      <w:r w:rsidR="0092065E" w:rsidRPr="00882F11">
        <w:rPr>
          <w:rFonts w:cs="Guttman Drogolin"/>
          <w:rtl/>
          <w:lang w:bidi="he-IL"/>
        </w:rPr>
        <w:t xml:space="preserve"> </w:t>
      </w:r>
      <w:r w:rsidR="0092065E" w:rsidRPr="00882F11">
        <w:rPr>
          <w:rFonts w:cs="Guttman Drogolin" w:hint="cs"/>
          <w:rtl/>
          <w:lang w:bidi="he-IL"/>
        </w:rPr>
        <w:t>ותל</w:t>
      </w:r>
      <w:r w:rsidR="0092065E" w:rsidRPr="00882F11">
        <w:rPr>
          <w:rFonts w:cs="Guttman Drogolin"/>
          <w:rtl/>
          <w:lang w:bidi="he-IL"/>
        </w:rPr>
        <w:t xml:space="preserve"> </w:t>
      </w:r>
      <w:r w:rsidR="0092065E" w:rsidRPr="00882F11">
        <w:rPr>
          <w:rFonts w:cs="Guttman Drogolin" w:hint="cs"/>
          <w:rtl/>
          <w:lang w:bidi="he-IL"/>
        </w:rPr>
        <w:t>גדול</w:t>
      </w:r>
      <w:r w:rsidR="0092065E" w:rsidRPr="00882F11">
        <w:rPr>
          <w:rFonts w:cs="Guttman Drogolin"/>
          <w:rtl/>
          <w:lang w:bidi="he-IL"/>
        </w:rPr>
        <w:t xml:space="preserve"> </w:t>
      </w:r>
      <w:r w:rsidR="0092065E" w:rsidRPr="00882F11">
        <w:rPr>
          <w:rFonts w:cs="Guttman Drogolin" w:hint="cs"/>
          <w:rtl/>
          <w:lang w:bidi="he-IL"/>
        </w:rPr>
        <w:t>של</w:t>
      </w:r>
      <w:r w:rsidR="0092065E" w:rsidRPr="00882F11">
        <w:rPr>
          <w:rFonts w:cs="Guttman Drogolin"/>
          <w:rtl/>
          <w:lang w:bidi="he-IL"/>
        </w:rPr>
        <w:t xml:space="preserve"> </w:t>
      </w:r>
      <w:r w:rsidR="0092065E" w:rsidRPr="00882F11">
        <w:rPr>
          <w:rFonts w:cs="Guttman Drogolin" w:hint="cs"/>
          <w:rtl/>
          <w:lang w:bidi="he-IL"/>
        </w:rPr>
        <w:t>גחלים</w:t>
      </w:r>
      <w:r w:rsidR="0092065E" w:rsidRPr="00882F11">
        <w:rPr>
          <w:rFonts w:cs="Guttman Drogolin"/>
          <w:rtl/>
          <w:lang w:bidi="he-IL"/>
        </w:rPr>
        <w:t xml:space="preserve"> </w:t>
      </w:r>
      <w:r w:rsidR="0092065E" w:rsidRPr="00882F11">
        <w:rPr>
          <w:rFonts w:cs="Guttman Drogolin" w:hint="cs"/>
          <w:rtl/>
          <w:lang w:bidi="he-IL"/>
        </w:rPr>
        <w:t>או</w:t>
      </w:r>
      <w:r w:rsidR="0092065E" w:rsidRPr="00882F11">
        <w:rPr>
          <w:rFonts w:cs="Guttman Drogolin"/>
          <w:rtl/>
          <w:lang w:bidi="he-IL"/>
        </w:rPr>
        <w:t xml:space="preserve"> </w:t>
      </w:r>
      <w:r w:rsidR="0092065E" w:rsidRPr="00882F11">
        <w:rPr>
          <w:rFonts w:cs="Guttman Drogolin" w:hint="cs"/>
          <w:rtl/>
          <w:lang w:bidi="he-IL"/>
        </w:rPr>
        <w:t>אפר</w:t>
      </w:r>
      <w:r w:rsidR="0092065E" w:rsidRPr="00882F11">
        <w:rPr>
          <w:rFonts w:cs="Guttman Drogolin"/>
          <w:rtl/>
          <w:lang w:bidi="he-IL"/>
        </w:rPr>
        <w:t xml:space="preserve"> </w:t>
      </w:r>
      <w:r w:rsidR="0092065E" w:rsidRPr="00882F11">
        <w:rPr>
          <w:rFonts w:cs="Guttman Drogolin" w:hint="cs"/>
          <w:rtl/>
          <w:lang w:bidi="he-IL"/>
        </w:rPr>
        <w:t xml:space="preserve">באמצע". הרי שיש לנו עוד היתר בריחא, ור"ל דלא מיבעי היכא שכל א' נמצא בקדירה בפני עצמה שאין כאן משום ריחא, אלא אפילו אם יש גל של גחלים או אפר באמצע שרי. ולמדו הפוסקים דא"כ הה"נ אם א' </w:t>
      </w:r>
      <w:r w:rsidR="0092065E" w:rsidRPr="00882F11">
        <w:rPr>
          <w:rFonts w:cs="Guttman Drogolin" w:hint="cs"/>
          <w:rtl/>
          <w:lang w:bidi="he-IL"/>
        </w:rPr>
        <w:lastRenderedPageBreak/>
        <w:t>מהם עטוף בבצק ג"כ יש להתיר, שהבצק הרי הוא כמחיצה ואין כאן משום ריחא. וכ"כ השו"ע לעיל בססי' צ"ז ואפילו בתנור צר</w:t>
      </w:r>
      <w:r w:rsidR="0092065E" w:rsidRPr="00882F11">
        <w:rPr>
          <w:rStyle w:val="FootnoteReference"/>
          <w:rFonts w:cs="Guttman Drogolin"/>
          <w:rtl/>
          <w:lang w:bidi="he-IL"/>
        </w:rPr>
        <w:footnoteReference w:id="397"/>
      </w:r>
      <w:r w:rsidR="0092065E" w:rsidRPr="00882F11">
        <w:rPr>
          <w:rFonts w:cs="Guttman Drogolin" w:hint="cs"/>
          <w:rtl/>
          <w:lang w:bidi="he-IL"/>
        </w:rPr>
        <w:t xml:space="preserve">. </w:t>
      </w:r>
    </w:p>
    <w:p w:rsidR="00624AB8" w:rsidRPr="00882F11" w:rsidRDefault="0092065E" w:rsidP="0092065E">
      <w:pPr>
        <w:tabs>
          <w:tab w:val="right" w:pos="7497"/>
        </w:tabs>
        <w:bidi/>
        <w:jc w:val="both"/>
        <w:rPr>
          <w:rFonts w:cs="Guttman Drogolin"/>
          <w:rtl/>
          <w:lang w:bidi="he-IL"/>
        </w:rPr>
      </w:pPr>
      <w:r w:rsidRPr="00882F11">
        <w:rPr>
          <w:rFonts w:cs="Guttman Drogolin" w:hint="cs"/>
          <w:rtl/>
          <w:lang w:bidi="he-IL"/>
        </w:rPr>
        <w:t>והב"י הביא מרשב"א להקל בנתבשלים. והעיר הב"י שלכאורה כיון שנתבשלים הם ע"כ בקדירה בפני עצמם, גם בנצלים יש להקל וכדמפורש בגמ'. וכן החזיק בדבריו בש"ך ס"ק ט"ז. וע' בפר"ח ס"ק ט"ו שר"ל שגם הרשב"א לא התכוין לנבשלו דוקא.</w:t>
      </w:r>
    </w:p>
    <w:p w:rsidR="00344D05" w:rsidRPr="00882F11" w:rsidRDefault="00344D05" w:rsidP="00344D05">
      <w:pPr>
        <w:pStyle w:val="Heading1"/>
        <w:bidi/>
        <w:spacing w:before="0" w:line="360" w:lineRule="auto"/>
        <w:jc w:val="center"/>
        <w:rPr>
          <w:rFonts w:cs="Guttman Drogolin"/>
          <w:color w:val="auto"/>
          <w:sz w:val="24"/>
          <w:szCs w:val="24"/>
          <w:u w:val="single"/>
          <w:rtl/>
          <w:lang w:bidi="he-IL"/>
        </w:rPr>
      </w:pPr>
      <w:bookmarkStart w:id="389" w:name="_Toc496175636"/>
      <w:r w:rsidRPr="00882F11">
        <w:rPr>
          <w:rFonts w:cs="Guttman Drogolin" w:hint="cs"/>
          <w:color w:val="auto"/>
          <w:sz w:val="24"/>
          <w:szCs w:val="24"/>
          <w:u w:val="single"/>
          <w:rtl/>
          <w:lang w:bidi="he-IL"/>
        </w:rPr>
        <w:t>עוד נושאים בדינא דריחא</w:t>
      </w:r>
      <w:bookmarkEnd w:id="389"/>
    </w:p>
    <w:p w:rsidR="00344D05" w:rsidRPr="00882F11" w:rsidRDefault="00702C75" w:rsidP="00344D05">
      <w:pPr>
        <w:tabs>
          <w:tab w:val="right" w:pos="7497"/>
        </w:tabs>
        <w:bidi/>
        <w:jc w:val="both"/>
        <w:rPr>
          <w:rFonts w:cs="Guttman Drogolin"/>
          <w:rtl/>
          <w:lang w:bidi="he-IL"/>
        </w:rPr>
      </w:pPr>
      <w:r>
        <w:rPr>
          <w:rFonts w:cs="Guttman Drogolin"/>
          <w:rtl/>
          <w:lang w:bidi="he-IL"/>
        </w:rPr>
        <w:fldChar w:fldCharType="begin"/>
      </w:r>
      <w:r>
        <w:instrText xml:space="preserve"> XE "</w:instrText>
      </w:r>
      <w:r w:rsidRPr="00DD633A">
        <w:rPr>
          <w:rFonts w:hint="cs"/>
          <w:rtl/>
          <w:lang w:bidi="he-IL"/>
        </w:rPr>
        <w:instrText>ריחא מילתא</w:instrText>
      </w:r>
      <w:r w:rsidRPr="00DD633A">
        <w:rPr>
          <w:rtl/>
        </w:rPr>
        <w:instrText>:</w:instrText>
      </w:r>
      <w:r w:rsidRPr="00DD633A">
        <w:rPr>
          <w:rFonts w:hint="cs"/>
          <w:rtl/>
          <w:lang w:bidi="he-IL"/>
        </w:rPr>
        <w:instrText>במאכלים כחושים</w:instrText>
      </w:r>
      <w:r>
        <w:instrText xml:space="preserve">" </w:instrText>
      </w:r>
      <w:r>
        <w:rPr>
          <w:rFonts w:cs="Guttman Drogolin"/>
          <w:rtl/>
          <w:lang w:bidi="he-IL"/>
        </w:rPr>
        <w:fldChar w:fldCharType="end"/>
      </w:r>
      <w:r w:rsidR="00344D05" w:rsidRPr="00882F11">
        <w:rPr>
          <w:rFonts w:cs="Guttman Drogolin" w:hint="cs"/>
          <w:rtl/>
          <w:lang w:bidi="he-IL"/>
        </w:rPr>
        <w:t xml:space="preserve">משמעות הגמ' דמס' פסחים שאפילו לרב דסבר ריחא מילתא היא, הנ"מ כשלכה"פ ההיתר שמן, אבל אם בין ההיתר ובין האיסור כחושים לל"ב. וכן הביא הב"י מתוה"א וכן הביא הש"ך ס"ק א'. ובשפ"ד העיר מזה שקיי"ל בסי' ק"ה שלא ידעינן מהו כחוש ומהו שמן, ולכן כתב שיש להחמיר בזה. ויש בזה נפק"מ לחלה שמפרישים והיו אלו שנהגו לשרוף אותו בתנור שם אופים הלחם. והטעם להתיר משום דהוו ב' דברים כחושים שאינו אסור. אבל לדעת הפמ"ג יל"ע בזה. ובתנורים שלנו אין להקל להניח החלה שהופרשה בלי שום נייר כסף וכדומה אפילו אם דלא כשפ"ד, שהרי צולים שם גם בשר שהוא שמן ובזה ודאי יש לאסור עכ"פ לכתחילה.     </w:t>
      </w:r>
    </w:p>
    <w:p w:rsidR="000F1DBB" w:rsidRPr="00882F11" w:rsidRDefault="00344D05" w:rsidP="00344D05">
      <w:pPr>
        <w:tabs>
          <w:tab w:val="right" w:pos="7497"/>
        </w:tabs>
        <w:bidi/>
        <w:jc w:val="both"/>
        <w:rPr>
          <w:rFonts w:cs="Guttman Drogolin"/>
          <w:rtl/>
          <w:lang w:bidi="he-IL"/>
        </w:rPr>
      </w:pPr>
      <w:r w:rsidRPr="00882F11">
        <w:rPr>
          <w:rFonts w:cs="Guttman Drogolin" w:hint="cs"/>
          <w:rtl/>
          <w:lang w:bidi="he-IL"/>
        </w:rPr>
        <w:t xml:space="preserve">עוד כתבו שם במס' ע"ז לדחות שאין ראי' ממתני' דכמון של תרומה משום דמיקלא קלי איסורא. וע' גר"א וש"ך שמכאן לדברי הרמ"א שאם צלו איסור </w:t>
      </w:r>
      <w:r w:rsidR="00E85864" w:rsidRPr="00882F11">
        <w:rPr>
          <w:rFonts w:cs="Guttman Drogolin" w:hint="cs"/>
          <w:rtl/>
          <w:lang w:bidi="he-IL"/>
        </w:rPr>
        <w:t>בתנור אפילו סתום לגמרי, ושוב הוציאו את האיסור משם, אין הריח אוסר המאכל שיצלו שם לאחר מכן. רק כששניהם שם בבת אחת יש לדון משום ריחא מילתא.</w:t>
      </w:r>
    </w:p>
    <w:p w:rsidR="0009204D" w:rsidRPr="00882F11" w:rsidRDefault="0009204D" w:rsidP="0009204D">
      <w:pPr>
        <w:tabs>
          <w:tab w:val="right" w:pos="7497"/>
        </w:tabs>
        <w:bidi/>
        <w:jc w:val="both"/>
        <w:rPr>
          <w:rFonts w:cs="Guttman Drogolin"/>
          <w:rtl/>
          <w:lang w:bidi="he-IL"/>
        </w:rPr>
        <w:sectPr w:rsidR="0009204D" w:rsidRPr="00882F11" w:rsidSect="006D0A1E">
          <w:type w:val="continuous"/>
          <w:pgSz w:w="11907" w:h="16839" w:code="9"/>
          <w:pgMar w:top="1440" w:right="1440" w:bottom="1440" w:left="1440" w:header="720" w:footer="720" w:gutter="0"/>
          <w:cols w:num="2" w:space="720"/>
          <w:bidi/>
          <w:docGrid w:linePitch="360"/>
        </w:sectPr>
      </w:pPr>
    </w:p>
    <w:p w:rsidR="0009204D" w:rsidRPr="006D0A1E" w:rsidRDefault="0009204D" w:rsidP="0009204D">
      <w:pPr>
        <w:keepNext/>
        <w:tabs>
          <w:tab w:val="left" w:pos="3818"/>
          <w:tab w:val="center" w:pos="4680"/>
        </w:tabs>
        <w:bidi/>
        <w:jc w:val="center"/>
        <w:rPr>
          <w:rFonts w:cs="Guttman Drogolin"/>
          <w:b/>
          <w:bCs/>
          <w:sz w:val="48"/>
          <w:szCs w:val="48"/>
          <w:rtl/>
          <w:lang w:bidi="he-IL"/>
        </w:rPr>
      </w:pPr>
      <w:r w:rsidRPr="006D0A1E">
        <w:rPr>
          <w:rFonts w:cs="Guttman Drogolin" w:hint="cs"/>
          <w:b/>
          <w:bCs/>
          <w:sz w:val="48"/>
          <w:szCs w:val="48"/>
          <w:rtl/>
          <w:lang w:bidi="he-IL"/>
        </w:rPr>
        <w:lastRenderedPageBreak/>
        <w:t>שיעור צ"ו</w:t>
      </w:r>
    </w:p>
    <w:p w:rsidR="006D0A1E" w:rsidRDefault="006D0A1E" w:rsidP="00232B72">
      <w:pPr>
        <w:pStyle w:val="Heading1"/>
        <w:bidi/>
        <w:spacing w:before="0" w:line="360" w:lineRule="auto"/>
        <w:jc w:val="center"/>
        <w:rPr>
          <w:rFonts w:cs="Guttman Drogolin"/>
          <w:color w:val="auto"/>
          <w:sz w:val="24"/>
          <w:szCs w:val="24"/>
          <w:u w:val="single"/>
          <w:rtl/>
          <w:lang w:bidi="he-IL"/>
        </w:rPr>
        <w:sectPr w:rsidR="006D0A1E" w:rsidSect="006D0A1E">
          <w:pgSz w:w="11907" w:h="16839" w:code="9"/>
          <w:pgMar w:top="1440" w:right="1440" w:bottom="1440" w:left="1440" w:header="720" w:footer="720" w:gutter="0"/>
          <w:cols w:space="720"/>
          <w:bidi/>
          <w:docGrid w:linePitch="360"/>
        </w:sectPr>
      </w:pPr>
    </w:p>
    <w:p w:rsidR="0009204D" w:rsidRPr="00882F11" w:rsidRDefault="00232B72" w:rsidP="00232B72">
      <w:pPr>
        <w:pStyle w:val="Heading1"/>
        <w:bidi/>
        <w:spacing w:before="0" w:line="360" w:lineRule="auto"/>
        <w:jc w:val="center"/>
        <w:rPr>
          <w:rFonts w:cs="Guttman Drogolin"/>
          <w:color w:val="auto"/>
          <w:sz w:val="24"/>
          <w:szCs w:val="24"/>
          <w:u w:val="single"/>
          <w:rtl/>
          <w:lang w:bidi="he-IL"/>
        </w:rPr>
      </w:pPr>
      <w:bookmarkStart w:id="390" w:name="_Toc496175637"/>
      <w:r w:rsidRPr="00882F11">
        <w:rPr>
          <w:rFonts w:cs="Guttman Drogolin" w:hint="cs"/>
          <w:color w:val="auto"/>
          <w:sz w:val="24"/>
          <w:szCs w:val="24"/>
          <w:u w:val="single"/>
          <w:rtl/>
          <w:lang w:bidi="he-IL"/>
        </w:rPr>
        <w:lastRenderedPageBreak/>
        <w:t>ריחא בפשטידא</w:t>
      </w:r>
      <w:bookmarkEnd w:id="390"/>
    </w:p>
    <w:p w:rsidR="00232B72" w:rsidRPr="00882F11" w:rsidRDefault="00702C75" w:rsidP="005832EE">
      <w:pPr>
        <w:tabs>
          <w:tab w:val="right" w:pos="7497"/>
        </w:tabs>
        <w:bidi/>
        <w:jc w:val="both"/>
        <w:rPr>
          <w:rFonts w:cs="Guttman Drogolin"/>
          <w:rtl/>
          <w:lang w:bidi="he-IL"/>
        </w:rPr>
      </w:pPr>
      <w:r>
        <w:rPr>
          <w:rFonts w:cs="Guttman Drogolin"/>
          <w:rtl/>
          <w:lang w:bidi="he-IL"/>
        </w:rPr>
        <w:fldChar w:fldCharType="begin"/>
      </w:r>
      <w:r>
        <w:instrText xml:space="preserve"> XE "</w:instrText>
      </w:r>
      <w:r w:rsidRPr="00460E95">
        <w:rPr>
          <w:rFonts w:hint="cs"/>
          <w:rtl/>
          <w:lang w:bidi="he-IL"/>
        </w:rPr>
        <w:instrText>ריחא מילתא</w:instrText>
      </w:r>
      <w:r w:rsidRPr="00460E95">
        <w:rPr>
          <w:rtl/>
        </w:rPr>
        <w:instrText>:</w:instrText>
      </w:r>
      <w:r w:rsidRPr="00460E95">
        <w:rPr>
          <w:rFonts w:hint="cs"/>
          <w:rtl/>
          <w:lang w:bidi="he-IL"/>
        </w:rPr>
        <w:instrText>בפשטידא</w:instrText>
      </w:r>
      <w:r>
        <w:instrText xml:space="preserve">" </w:instrText>
      </w:r>
      <w:r>
        <w:rPr>
          <w:rFonts w:cs="Guttman Drogolin"/>
          <w:rtl/>
          <w:lang w:bidi="he-IL"/>
        </w:rPr>
        <w:fldChar w:fldCharType="end"/>
      </w:r>
      <w:r w:rsidR="00232B72" w:rsidRPr="00882F11">
        <w:rPr>
          <w:rFonts w:cs="Guttman Drogolin" w:hint="cs"/>
          <w:rtl/>
          <w:lang w:bidi="he-IL"/>
        </w:rPr>
        <w:t>מבואר בגמ' שאפילו במקרה דריחא מילתא היא מ"מ בב' קדירות, ואפילו כעין ב' קדירות, אין לאסור. והפוסקים כתבו לפי זה דהה"נ בפשטידא אין לאסור כיון שיש כיסוי לבשר ע"י הבצק, דמאי שנא. ולכן כתב כאן המחבר שאם הוא מכוסה בבצק שאין לאסור אפילו לכתחילה. ו</w:t>
      </w:r>
      <w:r w:rsidR="005B6F2B" w:rsidRPr="00882F11">
        <w:rPr>
          <w:rFonts w:cs="Guttman Drogolin" w:hint="cs"/>
          <w:rtl/>
          <w:lang w:bidi="he-IL"/>
        </w:rPr>
        <w:t>כ</w:t>
      </w:r>
      <w:r w:rsidR="00232B72" w:rsidRPr="00882F11">
        <w:rPr>
          <w:rFonts w:cs="Guttman Drogolin" w:hint="cs"/>
          <w:rtl/>
          <w:lang w:bidi="he-IL"/>
        </w:rPr>
        <w:t xml:space="preserve">ן כתב הרמ"א </w:t>
      </w:r>
      <w:r w:rsidR="005B6F2B" w:rsidRPr="00882F11">
        <w:rPr>
          <w:rFonts w:cs="Guttman Drogolin" w:hint="cs"/>
          <w:rtl/>
          <w:lang w:bidi="he-IL"/>
        </w:rPr>
        <w:t>דאע"ג שריחא אוסר בדבר חריף אפילו בדיעבד, אין לאסור בדבר חריף בדיעבד כשהבשר מכוסה בבצק. והעיר רע"א</w:t>
      </w:r>
      <w:r w:rsidR="00FF171A" w:rsidRPr="00882F11">
        <w:rPr>
          <w:rFonts w:cs="Guttman Drogolin" w:hint="cs"/>
          <w:rtl/>
          <w:lang w:bidi="he-IL"/>
        </w:rPr>
        <w:t xml:space="preserve"> שלכאורה אע"ג שהבצק מגן</w:t>
      </w:r>
      <w:r w:rsidR="005B6F2B" w:rsidRPr="00882F11">
        <w:rPr>
          <w:rFonts w:cs="Guttman Drogolin" w:hint="cs"/>
          <w:rtl/>
          <w:lang w:bidi="he-IL"/>
        </w:rPr>
        <w:t xml:space="preserve"> </w:t>
      </w:r>
      <w:r w:rsidR="00D9162C" w:rsidRPr="00882F11">
        <w:rPr>
          <w:rFonts w:cs="Guttman Drogolin" w:hint="cs"/>
          <w:rtl/>
          <w:lang w:bidi="he-IL"/>
        </w:rPr>
        <w:t>על</w:t>
      </w:r>
      <w:r w:rsidR="00FF171A" w:rsidRPr="00882F11">
        <w:rPr>
          <w:rFonts w:cs="Guttman Drogolin" w:hint="cs"/>
          <w:rtl/>
          <w:lang w:bidi="he-IL"/>
        </w:rPr>
        <w:t xml:space="preserve"> הבשר שבפנים, מ"מ הרי הוא גם בולע ממנו, וא"כ למה אין לאסור מכח הבליעות שבבצק שעושים ריחא. והנה גם במחבר כתב להתיר ע"י זה שהוא עטוף בבצק, אמנם רע"א לא העמיד שאלתו על המחבר דהא יש נפק"מ כשהדבר השני כחוש, שאילו הי' ביחד עם בשר מגולה הי' צריך להיות אסור, אבל עכשיו שהוא עטוף יש כאן ב' דברים כחושים שאינם אוסרים א' לשני. אבל בנידון של הרמ"א </w:t>
      </w:r>
      <w:r w:rsidR="00F932AF" w:rsidRPr="00882F11">
        <w:rPr>
          <w:rFonts w:cs="Guttman Drogolin" w:hint="cs"/>
          <w:rtl/>
          <w:lang w:bidi="he-IL"/>
        </w:rPr>
        <w:t>הא הדבר חריף בולע, ולכן אפילו מדבר כחוש הי' צריך להיות אסור</w:t>
      </w:r>
      <w:r w:rsidR="0053619D" w:rsidRPr="00882F11">
        <w:rPr>
          <w:rFonts w:cs="Guttman Drogolin" w:hint="cs"/>
          <w:rtl/>
          <w:lang w:bidi="he-IL"/>
        </w:rPr>
        <w:t xml:space="preserve"> אם יש תבשיל בקדירה</w:t>
      </w:r>
      <w:r w:rsidR="00F932AF" w:rsidRPr="00882F11">
        <w:rPr>
          <w:rFonts w:cs="Guttman Drogolin" w:hint="cs"/>
          <w:rtl/>
          <w:lang w:bidi="he-IL"/>
        </w:rPr>
        <w:t>.</w:t>
      </w:r>
      <w:r w:rsidR="0053619D" w:rsidRPr="00882F11">
        <w:rPr>
          <w:rFonts w:cs="Guttman Drogolin" w:hint="cs"/>
          <w:rtl/>
          <w:lang w:bidi="he-IL"/>
        </w:rPr>
        <w:t xml:space="preserve"> וראיתי ביד יהודה</w:t>
      </w:r>
      <w:r w:rsidR="00F932AF" w:rsidRPr="00882F11">
        <w:rPr>
          <w:rFonts w:cs="Guttman Drogolin" w:hint="cs"/>
          <w:rtl/>
          <w:lang w:bidi="he-IL"/>
        </w:rPr>
        <w:t xml:space="preserve"> </w:t>
      </w:r>
      <w:r w:rsidR="005832EE" w:rsidRPr="00882F11">
        <w:rPr>
          <w:rFonts w:cs="Guttman Drogolin" w:hint="cs"/>
          <w:rtl/>
          <w:lang w:bidi="he-IL"/>
        </w:rPr>
        <w:t xml:space="preserve">(ארוך ס"ק א' ד"ה אבל) </w:t>
      </w:r>
      <w:r w:rsidR="0053619D" w:rsidRPr="00882F11">
        <w:rPr>
          <w:rFonts w:cs="Guttman Drogolin" w:hint="cs"/>
          <w:rtl/>
          <w:lang w:bidi="he-IL"/>
        </w:rPr>
        <w:t>שעמד על מדוכה זו, ו</w:t>
      </w:r>
      <w:r w:rsidR="005832EE" w:rsidRPr="00882F11">
        <w:rPr>
          <w:rFonts w:cs="Guttman Drogolin" w:hint="cs"/>
          <w:rtl/>
          <w:lang w:bidi="he-IL"/>
        </w:rPr>
        <w:t>מעיקרא רצה להוכיח מכח קושיא זו שאין ה</w:t>
      </w:r>
      <w:r w:rsidR="0053619D" w:rsidRPr="00882F11">
        <w:rPr>
          <w:rFonts w:cs="Guttman Drogolin" w:hint="cs"/>
          <w:rtl/>
          <w:lang w:bidi="he-IL"/>
        </w:rPr>
        <w:t>איסור אוסר בריחא אא"כ הוא אסור מחמת עצמו ולא מחמת הבלוע.</w:t>
      </w:r>
      <w:r w:rsidR="005832EE" w:rsidRPr="00882F11">
        <w:rPr>
          <w:rFonts w:cs="Guttman Drogolin" w:hint="cs"/>
          <w:rtl/>
          <w:lang w:bidi="he-IL"/>
        </w:rPr>
        <w:t xml:space="preserve"> אמנם ע"ש מה שדן ע"פ זה בכה"ג שההיתר מכוסה בבצק שעכ"פ יאסר הבצק, וכתב דאה"נ שהבצק אסור, והנפק"מ שכשאינו רוצה לאכול הבצק. וע"ש מש"כ בזה לפי מאי דקיי"ל דאמרינן חענ"ן בשאר איסורים. </w:t>
      </w:r>
    </w:p>
    <w:p w:rsidR="00232B72" w:rsidRPr="00882F11" w:rsidRDefault="00232B72" w:rsidP="00232B72">
      <w:pPr>
        <w:pStyle w:val="Heading1"/>
        <w:bidi/>
        <w:spacing w:before="0" w:line="360" w:lineRule="auto"/>
        <w:jc w:val="center"/>
        <w:rPr>
          <w:rFonts w:cs="Guttman Drogolin"/>
          <w:color w:val="auto"/>
          <w:sz w:val="24"/>
          <w:szCs w:val="24"/>
          <w:u w:val="single"/>
          <w:rtl/>
          <w:lang w:bidi="he-IL"/>
        </w:rPr>
      </w:pPr>
      <w:bookmarkStart w:id="391" w:name="_Toc496175638"/>
      <w:r w:rsidRPr="00882F11">
        <w:rPr>
          <w:rFonts w:cs="Guttman Drogolin" w:hint="cs"/>
          <w:color w:val="auto"/>
          <w:sz w:val="24"/>
          <w:szCs w:val="24"/>
          <w:u w:val="single"/>
          <w:rtl/>
          <w:lang w:bidi="he-IL"/>
        </w:rPr>
        <w:t>ריחא בדאיכא ששים</w:t>
      </w:r>
      <w:bookmarkEnd w:id="391"/>
    </w:p>
    <w:p w:rsidR="005B6F2B" w:rsidRPr="00882F11" w:rsidRDefault="00702C75" w:rsidP="004D732E">
      <w:pPr>
        <w:tabs>
          <w:tab w:val="right" w:pos="7497"/>
        </w:tabs>
        <w:bidi/>
        <w:jc w:val="both"/>
        <w:rPr>
          <w:rFonts w:cs="Guttman Drogolin"/>
          <w:rtl/>
          <w:lang w:bidi="he-IL"/>
        </w:rPr>
      </w:pPr>
      <w:r>
        <w:rPr>
          <w:rFonts w:cs="Guttman Drogolin"/>
          <w:rtl/>
          <w:lang w:bidi="he-IL"/>
        </w:rPr>
        <w:fldChar w:fldCharType="begin"/>
      </w:r>
      <w:r>
        <w:instrText xml:space="preserve"> XE "</w:instrText>
      </w:r>
      <w:r w:rsidRPr="00D0714E">
        <w:rPr>
          <w:rFonts w:hint="cs"/>
          <w:rtl/>
          <w:lang w:bidi="he-IL"/>
        </w:rPr>
        <w:instrText>ריחא מילתא</w:instrText>
      </w:r>
      <w:r w:rsidRPr="00D0714E">
        <w:rPr>
          <w:rtl/>
        </w:rPr>
        <w:instrText>:</w:instrText>
      </w:r>
      <w:r w:rsidRPr="00D0714E">
        <w:rPr>
          <w:rFonts w:hint="cs"/>
          <w:rtl/>
          <w:lang w:bidi="he-IL"/>
        </w:rPr>
        <w:instrText>בדאיכא ששים</w:instrText>
      </w:r>
      <w:r>
        <w:instrText xml:space="preserve">" </w:instrText>
      </w:r>
      <w:r>
        <w:rPr>
          <w:rFonts w:cs="Guttman Drogolin"/>
          <w:rtl/>
          <w:lang w:bidi="he-IL"/>
        </w:rPr>
        <w:fldChar w:fldCharType="end"/>
      </w:r>
      <w:r w:rsidR="00232B72" w:rsidRPr="00882F11">
        <w:rPr>
          <w:rFonts w:cs="Guttman Drogolin" w:hint="cs"/>
          <w:rtl/>
          <w:lang w:bidi="he-IL"/>
        </w:rPr>
        <w:t>הרמ"א מביא דעה שאם יש ששים אין לאסור אפילן במקרה שריחא או</w:t>
      </w:r>
      <w:r w:rsidR="004D732E" w:rsidRPr="00882F11">
        <w:rPr>
          <w:rFonts w:cs="Guttman Drogolin" w:hint="cs"/>
          <w:rtl/>
          <w:lang w:bidi="he-IL"/>
        </w:rPr>
        <w:t xml:space="preserve">סר. וראיתי ביד יהודה שהתקשה בזה דא"כ למה לא מהני טעימת קפילא. ומה שנראה לבאר בזה, דהנה שמקרה שריחא אוסר ביארנו שאין זה משום שבכה"ג כו"ע מודו דריחא מילמא, רק שבכה"ג אין זה אך ורק ריחא אלא גם טעמא, וכמש"כ הרי"ף בביאור שיטת ר' </w:t>
      </w:r>
      <w:r w:rsidR="004D732E" w:rsidRPr="00882F11">
        <w:rPr>
          <w:rFonts w:cs="Guttman Drogolin" w:hint="cs"/>
          <w:rtl/>
          <w:lang w:bidi="he-IL"/>
        </w:rPr>
        <w:lastRenderedPageBreak/>
        <w:t xml:space="preserve">יוסי. וא"כ זה לבד שיכול להריח את הדבר אינו סיבה לאסור, דהא קיי"ל דריחא לאו מילתא היא, רק בזמן שהוא אוסר אמרינן שיש כאן טעמו ולכן הרי הוא אוסר כדבעלמא. ומשמעות דברי הרמ"א שיש כאן מחלוקת אם מהני ס', ואיכא למימר שיש אוסרים משום דסברי דהוי כצלי, אלא דא"כ לכה"פ קליפה תהני. ואיכא למימר שהוא משום דסבר שכשריחא אוסר, כשיין אינו אלא בגדרי ריחא, וא"כ כיון שמריח אסור ולא מהני ס'.      </w:t>
      </w:r>
      <w:r w:rsidR="00232B72" w:rsidRPr="00882F11">
        <w:rPr>
          <w:rFonts w:cs="Guttman Drogolin" w:hint="cs"/>
          <w:rtl/>
          <w:lang w:bidi="he-IL"/>
        </w:rPr>
        <w:t xml:space="preserve"> </w:t>
      </w:r>
    </w:p>
    <w:p w:rsidR="005B6F2B" w:rsidRPr="00882F11" w:rsidRDefault="005B6F2B" w:rsidP="005B6F2B">
      <w:pPr>
        <w:pStyle w:val="Heading1"/>
        <w:bidi/>
        <w:spacing w:before="0" w:line="360" w:lineRule="auto"/>
        <w:jc w:val="center"/>
        <w:rPr>
          <w:rFonts w:cs="Guttman Drogolin"/>
          <w:color w:val="auto"/>
          <w:sz w:val="24"/>
          <w:szCs w:val="24"/>
          <w:u w:val="single"/>
          <w:rtl/>
          <w:lang w:bidi="he-IL"/>
        </w:rPr>
      </w:pPr>
      <w:bookmarkStart w:id="392" w:name="_Toc496175639"/>
      <w:r w:rsidRPr="00882F11">
        <w:rPr>
          <w:rFonts w:cs="Guttman Drogolin" w:hint="cs"/>
          <w:color w:val="auto"/>
          <w:sz w:val="24"/>
          <w:szCs w:val="24"/>
          <w:u w:val="single"/>
          <w:rtl/>
          <w:lang w:bidi="he-IL"/>
        </w:rPr>
        <w:t>כלי שאינו בן יומו כשא"א בענין אחר</w:t>
      </w:r>
      <w:bookmarkEnd w:id="392"/>
    </w:p>
    <w:p w:rsidR="00BC5C77" w:rsidRPr="00882F11" w:rsidRDefault="00702C75" w:rsidP="00444A40">
      <w:pPr>
        <w:tabs>
          <w:tab w:val="right" w:pos="7497"/>
        </w:tabs>
        <w:bidi/>
        <w:jc w:val="both"/>
        <w:rPr>
          <w:rFonts w:cs="Guttman Drogolin"/>
          <w:rtl/>
          <w:lang w:bidi="he-IL"/>
        </w:rPr>
      </w:pPr>
      <w:r>
        <w:rPr>
          <w:rFonts w:cs="Guttman Drogolin"/>
          <w:rtl/>
          <w:lang w:bidi="he-IL"/>
        </w:rPr>
        <w:fldChar w:fldCharType="begin"/>
      </w:r>
      <w:r>
        <w:instrText xml:space="preserve"> XE "</w:instrText>
      </w:r>
      <w:r w:rsidRPr="00762998">
        <w:rPr>
          <w:rFonts w:hint="cs"/>
          <w:rtl/>
          <w:lang w:bidi="he-IL"/>
        </w:rPr>
        <w:instrText>כלי שאינו בן יומו</w:instrText>
      </w:r>
      <w:r w:rsidRPr="00762998">
        <w:rPr>
          <w:rtl/>
        </w:rPr>
        <w:instrText>:</w:instrText>
      </w:r>
      <w:r w:rsidRPr="00762998">
        <w:rPr>
          <w:rFonts w:hint="cs"/>
          <w:rtl/>
          <w:lang w:bidi="he-IL"/>
        </w:rPr>
        <w:instrText>כשאי אפשר בענין אחר</w:instrText>
      </w:r>
      <w:r>
        <w:instrText xml:space="preserve">" </w:instrText>
      </w:r>
      <w:r>
        <w:rPr>
          <w:rFonts w:cs="Guttman Drogolin"/>
          <w:rtl/>
          <w:lang w:bidi="he-IL"/>
        </w:rPr>
        <w:fldChar w:fldCharType="end"/>
      </w:r>
      <w:r w:rsidR="009C24C2" w:rsidRPr="00882F11">
        <w:rPr>
          <w:rFonts w:cs="Guttman Drogolin" w:hint="cs"/>
          <w:rtl/>
          <w:lang w:bidi="he-IL"/>
        </w:rPr>
        <w:t xml:space="preserve">השו"ע בסע' ג' מביא את הדין המושכר בתוס' במס' ע"ז ס"ו ע"ב ד"ה רבא, שכשאופה בביתו של נכרי, אם יש שמנונית על המרדה הרי זה אוסר הלחם, אבל אם המרדה אינו בן יומו מותר להשתמש בו כיון שא"א בענין אחר. </w:t>
      </w:r>
      <w:r w:rsidR="00444A40" w:rsidRPr="00882F11">
        <w:rPr>
          <w:rFonts w:cs="Guttman Drogolin" w:hint="cs"/>
          <w:rtl/>
          <w:lang w:bidi="he-IL"/>
        </w:rPr>
        <w:t xml:space="preserve">והיינו לכאורה שאמנם יש דין בכלי שאי אפשר להשתמש בה אפילו כשאינו בן יומו גזירה אטו בן יומו, מ"מ לא גזרו בדאי אפשר. והנה במש"ז ס"ק ח כתב דמשמע </w:t>
      </w:r>
      <w:r w:rsidR="00BC5C77" w:rsidRPr="00882F11">
        <w:rPr>
          <w:rFonts w:cs="Guttman Drogolin" w:hint="cs"/>
          <w:rtl/>
          <w:lang w:bidi="he-IL"/>
        </w:rPr>
        <w:t xml:space="preserve">שגם במרדה של ישראל יש להתיר, ושהפר"ח חולק. ולכאורה הי' נראה לבאר כוונת הענין, שאמנם א"א בענין אחר, אין זה מתיר להכניס מרדה של ישראל אם הוא אינו ב"י של איסור, שרק מרדה ששייך לגוי אפשר לומר בו אי אפשר בענין אחר, אבל להכניס מרדה אחר לא. </w:t>
      </w:r>
    </w:p>
    <w:p w:rsidR="005B6F2B" w:rsidRPr="00882F11" w:rsidRDefault="00BC5C77" w:rsidP="00BC5C77">
      <w:pPr>
        <w:tabs>
          <w:tab w:val="right" w:pos="7497"/>
        </w:tabs>
        <w:bidi/>
        <w:jc w:val="both"/>
        <w:rPr>
          <w:rFonts w:cs="Guttman Drogolin"/>
          <w:rtl/>
          <w:lang w:bidi="he-IL"/>
        </w:rPr>
      </w:pPr>
      <w:r w:rsidRPr="00882F11">
        <w:rPr>
          <w:rFonts w:cs="Guttman Drogolin" w:hint="cs"/>
          <w:rtl/>
          <w:lang w:bidi="he-IL"/>
        </w:rPr>
        <w:t xml:space="preserve">וחשבתי אולי חידוש, דהנה יש הרבה יהודים שחזרו בתשובה וצריכים מכמה טעמים לחזור לבית ההורים שלהם אע"פ שאינו שומרי תו"מ רח"ל. ויל"ע אם גם במקום שלהם י"ל שמותר להם להשתמש בכלים שאינם בני יומן כיון שגם הם לא ישמעו לנו. או"ד לא ניתר דבר זה אלא בבית עכו"ם שהעכו"ם עצמו לא פשע שהרי מותר לו לאכול דברים האסורים, אבל בבית ישראל כיון שבעצם הוא מצווה על הכשרות, לא הקילו למי שמקפיד על זה משום שאי אפשר בענין אחר. והסברא אומרת שגם במקרה כזה התירו כיון דסוף סוך אי אפשר בענין אחר. וצ"ע.  </w:t>
      </w:r>
      <w:r w:rsidR="00444A40" w:rsidRPr="00882F11">
        <w:rPr>
          <w:rFonts w:cs="Guttman Drogolin" w:hint="cs"/>
          <w:rtl/>
          <w:lang w:bidi="he-IL"/>
        </w:rPr>
        <w:t xml:space="preserve">  </w:t>
      </w:r>
    </w:p>
    <w:p w:rsidR="005B6F2B" w:rsidRPr="00882F11" w:rsidRDefault="005B6F2B" w:rsidP="00702C75">
      <w:pPr>
        <w:pStyle w:val="Heading1"/>
        <w:bidi/>
        <w:spacing w:before="0" w:line="240" w:lineRule="auto"/>
        <w:jc w:val="center"/>
        <w:rPr>
          <w:rFonts w:cs="Guttman Drogolin"/>
          <w:color w:val="auto"/>
          <w:sz w:val="24"/>
          <w:szCs w:val="24"/>
          <w:u w:val="single"/>
          <w:rtl/>
          <w:lang w:bidi="he-IL"/>
        </w:rPr>
      </w:pPr>
      <w:bookmarkStart w:id="393" w:name="_Toc496175640"/>
      <w:r w:rsidRPr="00882F11">
        <w:rPr>
          <w:rFonts w:cs="Guttman Drogolin" w:hint="cs"/>
          <w:color w:val="auto"/>
          <w:sz w:val="24"/>
          <w:szCs w:val="24"/>
          <w:u w:val="single"/>
          <w:rtl/>
          <w:lang w:bidi="he-IL"/>
        </w:rPr>
        <w:lastRenderedPageBreak/>
        <w:t>בכל המקרים של זיעה המוזכרים בגמ' ובפוסקים למה לא חשו לזיעה</w:t>
      </w:r>
      <w:bookmarkEnd w:id="393"/>
    </w:p>
    <w:p w:rsidR="00A80C82" w:rsidRPr="00882F11" w:rsidRDefault="00702C75" w:rsidP="002B0F9A">
      <w:pPr>
        <w:tabs>
          <w:tab w:val="right" w:pos="7497"/>
        </w:tabs>
        <w:bidi/>
        <w:jc w:val="both"/>
        <w:rPr>
          <w:rFonts w:cs="Guttman Drogolin"/>
          <w:rtl/>
          <w:lang w:bidi="he-IL"/>
        </w:rPr>
      </w:pPr>
      <w:r>
        <w:rPr>
          <w:rFonts w:cs="Guttman Drogolin"/>
          <w:rtl/>
          <w:lang w:bidi="he-IL"/>
        </w:rPr>
        <w:fldChar w:fldCharType="begin"/>
      </w:r>
      <w:r>
        <w:instrText xml:space="preserve"> XE "</w:instrText>
      </w:r>
      <w:r w:rsidRPr="0024291E">
        <w:rPr>
          <w:rFonts w:hint="cs"/>
          <w:rtl/>
          <w:lang w:bidi="he-IL"/>
        </w:rPr>
        <w:instrText>ריחא מילתא</w:instrText>
      </w:r>
      <w:r w:rsidRPr="0024291E">
        <w:rPr>
          <w:rtl/>
        </w:rPr>
        <w:instrText>:</w:instrText>
      </w:r>
      <w:r w:rsidRPr="0024291E">
        <w:rPr>
          <w:rFonts w:hint="cs"/>
          <w:rtl/>
          <w:lang w:bidi="he-IL"/>
        </w:rPr>
        <w:instrText>למה לא חששו לזיעה</w:instrText>
      </w:r>
      <w:r>
        <w:instrText xml:space="preserve">" </w:instrText>
      </w:r>
      <w:r>
        <w:rPr>
          <w:rFonts w:cs="Guttman Drogolin"/>
          <w:rtl/>
          <w:lang w:bidi="he-IL"/>
        </w:rPr>
        <w:fldChar w:fldCharType="end"/>
      </w:r>
      <w:r w:rsidR="00BC5C77" w:rsidRPr="00882F11">
        <w:rPr>
          <w:rFonts w:cs="Guttman Drogolin" w:hint="cs"/>
          <w:rtl/>
          <w:lang w:bidi="he-IL"/>
        </w:rPr>
        <w:t xml:space="preserve">הנה יש לנו כמה אופנים המוזכרים בשו"ע לענין ריחא לענין דאורייתא, ולענין דרבנן. והיינו שאסור לאפות או לצלות בשר איסור באותו תנור אפילו אם הוא תנור גדול ויש לו פתח, ובדיעבד הכל מותר אא"כ </w:t>
      </w:r>
      <w:r w:rsidR="002B0F9A" w:rsidRPr="00882F11">
        <w:rPr>
          <w:rFonts w:cs="Guttman Drogolin" w:hint="cs"/>
          <w:rtl/>
          <w:lang w:bidi="he-IL"/>
        </w:rPr>
        <w:t xml:space="preserve">הוא סתום לגמרי, שאם הוא תנור גדול אסור אא"כ הוא הפסד מרובה, ואם הוא בתוך מכסה א' הרי הוא אסור בדיעבד לגמרי. וכן במקום דחד מינייהו דבר חריף הרי זה אסור אפילו בדיעבד. וכל זה במאכלים מגולים, אבל אם המאכלים בתוך מחבתות, אפילו המחבתות מגולות מלמעלה, מבואר בסע' ב' </w:t>
      </w:r>
      <w:r w:rsidR="00B956B7" w:rsidRPr="00882F11">
        <w:rPr>
          <w:rFonts w:cs="Guttman Drogolin" w:hint="cs"/>
          <w:rtl/>
          <w:lang w:bidi="he-IL"/>
        </w:rPr>
        <w:t xml:space="preserve">שמותר לכתחילה </w:t>
      </w:r>
      <w:r w:rsidR="00A80C82" w:rsidRPr="00882F11">
        <w:rPr>
          <w:rFonts w:cs="Guttman Drogolin" w:hint="cs"/>
          <w:rtl/>
          <w:lang w:bidi="he-IL"/>
        </w:rPr>
        <w:t xml:space="preserve">(וכן הדגיש שם הש"ך ס"ק י"ז) </w:t>
      </w:r>
      <w:r w:rsidR="00B956B7" w:rsidRPr="00882F11">
        <w:rPr>
          <w:rFonts w:cs="Guttman Drogolin" w:hint="cs"/>
          <w:rtl/>
          <w:lang w:bidi="he-IL"/>
        </w:rPr>
        <w:t xml:space="preserve">אפילו בתנור קטן ופיו סתום, והרמ"א לא הוסיף להחמיר אלא </w:t>
      </w:r>
      <w:r w:rsidR="00A80C82" w:rsidRPr="00882F11">
        <w:rPr>
          <w:rFonts w:cs="Guttman Drogolin" w:hint="cs"/>
          <w:rtl/>
          <w:lang w:bidi="he-IL"/>
        </w:rPr>
        <w:t xml:space="preserve">שאם סתום מכל הצדדים אסור ויש מחמירים </w:t>
      </w:r>
      <w:r w:rsidR="00CB4B19" w:rsidRPr="00882F11">
        <w:rPr>
          <w:rFonts w:cs="Guttman Drogolin" w:hint="cs"/>
          <w:rtl/>
          <w:lang w:bidi="he-IL"/>
        </w:rPr>
        <w:t>אפילו</w:t>
      </w:r>
      <w:r w:rsidR="00A80C82" w:rsidRPr="00882F11">
        <w:rPr>
          <w:rFonts w:cs="Guttman Drogolin" w:hint="cs"/>
          <w:rtl/>
          <w:lang w:bidi="he-IL"/>
        </w:rPr>
        <w:t xml:space="preserve"> בדיעבד, והנ"מ במגולים, אבל משמע מן הרמ"א שאם אין הקדירות מגולים אין לאסור עכ"פ בדיעבד, ואיכא למימר שגם לכתחילה מיקל</w:t>
      </w:r>
      <w:r w:rsidR="00B956B7" w:rsidRPr="00882F11">
        <w:rPr>
          <w:rFonts w:cs="Guttman Drogolin" w:hint="cs"/>
          <w:rtl/>
          <w:lang w:bidi="he-IL"/>
        </w:rPr>
        <w:t>.</w:t>
      </w:r>
    </w:p>
    <w:p w:rsidR="00A80C82" w:rsidRPr="00882F11" w:rsidRDefault="00A80C82" w:rsidP="00A80C82">
      <w:pPr>
        <w:tabs>
          <w:tab w:val="right" w:pos="7497"/>
        </w:tabs>
        <w:bidi/>
        <w:jc w:val="both"/>
        <w:rPr>
          <w:rFonts w:cs="Guttman Drogolin"/>
          <w:rtl/>
          <w:lang w:bidi="he-IL"/>
        </w:rPr>
      </w:pPr>
      <w:r w:rsidRPr="00882F11">
        <w:rPr>
          <w:rFonts w:cs="Guttman Drogolin" w:hint="cs"/>
          <w:rtl/>
          <w:lang w:bidi="he-IL"/>
        </w:rPr>
        <w:t>ובכל הלין צ"ע למה לא חשו לאיסור זיעה, וכדמבואר בשו"ע בסי' צ"ב סע' ח' שאם יש ב' קדירות זו למעלה מזו, שהזיעה שעולה מא' מהם אוסרת את השני. וא"כ גם כאן בכגון בשר צלי ובשר שחוטה שהם בתנור א', למה לא יאסר הבשר השחוטה מכח הזיעה העולה מן הבשר נבילה ויורד גם למטה לבשר שחוטה. וכן בב' קדירות שהם בדרך בישול הא ודאי עולה זיעה משניהם וא"כ למה אין אוסרים א' לשני אע"ג שהתנור פתוח קצת.</w:t>
      </w:r>
    </w:p>
    <w:p w:rsidR="0009204D" w:rsidRPr="00882F11" w:rsidRDefault="00A80C82" w:rsidP="00BD2BD1">
      <w:pPr>
        <w:tabs>
          <w:tab w:val="right" w:pos="7497"/>
        </w:tabs>
        <w:bidi/>
        <w:jc w:val="both"/>
        <w:rPr>
          <w:rFonts w:cs="Guttman Drogolin"/>
          <w:rtl/>
          <w:lang w:bidi="he-IL"/>
        </w:rPr>
      </w:pPr>
      <w:r w:rsidRPr="00882F11">
        <w:rPr>
          <w:rFonts w:cs="Guttman Drogolin" w:hint="cs"/>
          <w:rtl/>
          <w:lang w:bidi="he-IL"/>
        </w:rPr>
        <w:t>ובשו"ת הב"ח (החדשות סי' כ"ד) התייחס לקושיא זו, וכתב בזה ב' תירוצים. א' דאיכא למימר שאין הזיעה אוסר אלא כשאין מקום לזיעה לענן הזיעה להתפשט, אבל בהא שב</w:t>
      </w:r>
      <w:r w:rsidR="009230BF" w:rsidRPr="00882F11">
        <w:rPr>
          <w:rFonts w:cs="Guttman Drogolin" w:hint="cs"/>
          <w:rtl/>
          <w:lang w:bidi="he-IL"/>
        </w:rPr>
        <w:t>ש</w:t>
      </w:r>
      <w:r w:rsidRPr="00882F11">
        <w:rPr>
          <w:rFonts w:cs="Guttman Drogolin" w:hint="cs"/>
          <w:rtl/>
          <w:lang w:bidi="he-IL"/>
        </w:rPr>
        <w:t xml:space="preserve">ר צלי ובשר שחוטה יש מקום לזיעה להתפשט ולא אין אוסרים א' לשני. והוכיח הב"ח דע"כ המרא"י לית לי' תי' זה, דהא לא התיר בשר התלוי למעלה מקדירות המתבשלות אלא משום שאין הי' סולדת בזיעה, אבל משום זה לבד שיכול הזיעה להתפשט לא התיר. ולדעתו ביאר הב"ח דע"כ סבר שאין זיעה </w:t>
      </w:r>
      <w:r w:rsidRPr="00882F11">
        <w:rPr>
          <w:rFonts w:cs="Guttman Drogolin" w:hint="cs"/>
          <w:rtl/>
          <w:lang w:bidi="he-IL"/>
        </w:rPr>
        <w:lastRenderedPageBreak/>
        <w:t xml:space="preserve">אוסרת לצדדין רק למעלה, אבל למעלה הרי הוא אוסר אע"פ שיש מקום לזיעה </w:t>
      </w:r>
      <w:r w:rsidR="00BD2BD1" w:rsidRPr="00882F11">
        <w:rPr>
          <w:rFonts w:cs="Guttman Drogolin" w:hint="cs"/>
          <w:rtl/>
          <w:lang w:bidi="he-IL"/>
        </w:rPr>
        <w:t>ל</w:t>
      </w:r>
      <w:r w:rsidRPr="00882F11">
        <w:rPr>
          <w:rFonts w:cs="Guttman Drogolin" w:hint="cs"/>
          <w:rtl/>
          <w:lang w:bidi="he-IL"/>
        </w:rPr>
        <w:t xml:space="preserve">התפשט.   </w:t>
      </w:r>
      <w:r w:rsidR="00B956B7" w:rsidRPr="00882F11">
        <w:rPr>
          <w:rFonts w:cs="Guttman Drogolin" w:hint="cs"/>
          <w:rtl/>
          <w:lang w:bidi="he-IL"/>
        </w:rPr>
        <w:t xml:space="preserve"> </w:t>
      </w:r>
      <w:r w:rsidR="002B0F9A" w:rsidRPr="00882F11">
        <w:rPr>
          <w:rFonts w:cs="Guttman Drogolin" w:hint="cs"/>
          <w:rtl/>
          <w:lang w:bidi="he-IL"/>
        </w:rPr>
        <w:t xml:space="preserve"> </w:t>
      </w:r>
      <w:r w:rsidR="00232B72" w:rsidRPr="00882F11">
        <w:rPr>
          <w:rFonts w:cs="Guttman Drogolin" w:hint="cs"/>
          <w:rtl/>
          <w:lang w:bidi="he-IL"/>
        </w:rPr>
        <w:t xml:space="preserve"> </w:t>
      </w:r>
    </w:p>
    <w:p w:rsidR="00232B72" w:rsidRPr="00882F11" w:rsidRDefault="00232B72" w:rsidP="00232B72">
      <w:pPr>
        <w:tabs>
          <w:tab w:val="right" w:pos="7497"/>
        </w:tabs>
        <w:bidi/>
        <w:jc w:val="both"/>
        <w:rPr>
          <w:rFonts w:cs="Guttman Drogolin"/>
          <w:rtl/>
          <w:lang w:bidi="he-IL"/>
        </w:rPr>
      </w:pPr>
    </w:p>
    <w:p w:rsidR="00232B72" w:rsidRPr="00882F11" w:rsidRDefault="00232B72" w:rsidP="00232B72">
      <w:pPr>
        <w:tabs>
          <w:tab w:val="right" w:pos="7497"/>
        </w:tabs>
        <w:bidi/>
        <w:jc w:val="both"/>
        <w:rPr>
          <w:rFonts w:cs="Guttman Drogolin"/>
          <w:rtl/>
          <w:lang w:bidi="he-IL"/>
        </w:rPr>
        <w:sectPr w:rsidR="00232B72" w:rsidRPr="00882F11" w:rsidSect="006D0A1E">
          <w:type w:val="continuous"/>
          <w:pgSz w:w="11907" w:h="16839" w:code="9"/>
          <w:pgMar w:top="1440" w:right="1440" w:bottom="1440" w:left="1440" w:header="720" w:footer="720" w:gutter="0"/>
          <w:cols w:num="2" w:space="720"/>
          <w:bidi/>
          <w:docGrid w:linePitch="360"/>
        </w:sectPr>
      </w:pPr>
    </w:p>
    <w:p w:rsidR="0009204D" w:rsidRPr="006D0A1E" w:rsidRDefault="0009204D" w:rsidP="0009204D">
      <w:pPr>
        <w:keepNext/>
        <w:tabs>
          <w:tab w:val="left" w:pos="3818"/>
          <w:tab w:val="center" w:pos="4680"/>
        </w:tabs>
        <w:bidi/>
        <w:jc w:val="center"/>
        <w:rPr>
          <w:rFonts w:cs="Guttman Drogolin"/>
          <w:b/>
          <w:bCs/>
          <w:sz w:val="48"/>
          <w:szCs w:val="48"/>
          <w:rtl/>
          <w:lang w:bidi="he-IL"/>
        </w:rPr>
      </w:pPr>
      <w:r w:rsidRPr="006D0A1E">
        <w:rPr>
          <w:rFonts w:cs="Guttman Drogolin" w:hint="cs"/>
          <w:b/>
          <w:bCs/>
          <w:sz w:val="48"/>
          <w:szCs w:val="48"/>
          <w:rtl/>
          <w:lang w:bidi="he-IL"/>
        </w:rPr>
        <w:lastRenderedPageBreak/>
        <w:t>שיעור צ"ז</w:t>
      </w:r>
    </w:p>
    <w:p w:rsidR="006D0A1E" w:rsidRDefault="006D0A1E" w:rsidP="00EA2324">
      <w:pPr>
        <w:pStyle w:val="Heading1"/>
        <w:bidi/>
        <w:spacing w:before="0" w:line="360" w:lineRule="auto"/>
        <w:jc w:val="center"/>
        <w:rPr>
          <w:rFonts w:cs="Guttman Drogolin"/>
          <w:color w:val="auto"/>
          <w:sz w:val="24"/>
          <w:szCs w:val="24"/>
          <w:u w:val="single"/>
          <w:rtl/>
          <w:lang w:bidi="he-IL"/>
        </w:rPr>
        <w:sectPr w:rsidR="006D0A1E" w:rsidSect="006D0A1E">
          <w:headerReference w:type="default" r:id="rId73"/>
          <w:pgSz w:w="11907" w:h="16839" w:code="9"/>
          <w:pgMar w:top="1440" w:right="1440" w:bottom="1440" w:left="1440" w:header="720" w:footer="720" w:gutter="0"/>
          <w:cols w:space="720"/>
          <w:bidi/>
          <w:docGrid w:linePitch="360"/>
        </w:sectPr>
      </w:pPr>
    </w:p>
    <w:p w:rsidR="0009204D" w:rsidRPr="00882F11" w:rsidRDefault="0009204D" w:rsidP="00EA2324">
      <w:pPr>
        <w:pStyle w:val="Heading1"/>
        <w:bidi/>
        <w:spacing w:before="0" w:line="360" w:lineRule="auto"/>
        <w:jc w:val="center"/>
        <w:rPr>
          <w:rFonts w:cs="Guttman Drogolin"/>
          <w:color w:val="auto"/>
          <w:sz w:val="24"/>
          <w:szCs w:val="24"/>
          <w:u w:val="single"/>
          <w:rtl/>
          <w:lang w:bidi="he-IL"/>
        </w:rPr>
      </w:pPr>
      <w:bookmarkStart w:id="394" w:name="_Toc496175641"/>
      <w:r w:rsidRPr="00882F11">
        <w:rPr>
          <w:rFonts w:cs="Guttman Drogolin" w:hint="cs"/>
          <w:color w:val="auto"/>
          <w:sz w:val="24"/>
          <w:szCs w:val="24"/>
          <w:u w:val="single"/>
          <w:rtl/>
          <w:lang w:bidi="he-IL"/>
        </w:rPr>
        <w:lastRenderedPageBreak/>
        <w:t>תמצית ה</w:t>
      </w:r>
      <w:r w:rsidR="00EA2324" w:rsidRPr="00882F11">
        <w:rPr>
          <w:rFonts w:cs="Guttman Drogolin" w:hint="cs"/>
          <w:color w:val="auto"/>
          <w:sz w:val="24"/>
          <w:szCs w:val="24"/>
          <w:u w:val="single"/>
          <w:rtl/>
          <w:lang w:bidi="he-IL"/>
        </w:rPr>
        <w:t>שיטות המוזכרות במחבר ורמ"א בדין ביטול יבש ביבש</w:t>
      </w:r>
      <w:bookmarkEnd w:id="394"/>
    </w:p>
    <w:p w:rsidR="0009204D" w:rsidRPr="00882F11" w:rsidRDefault="00E55436" w:rsidP="0009204D">
      <w:pPr>
        <w:tabs>
          <w:tab w:val="right" w:pos="7497"/>
        </w:tabs>
        <w:bidi/>
        <w:jc w:val="both"/>
        <w:rPr>
          <w:rFonts w:cs="Guttman Drogolin"/>
          <w:rtl/>
          <w:lang w:bidi="he-IL"/>
        </w:rPr>
      </w:pPr>
      <w:r w:rsidRPr="00882F11">
        <w:rPr>
          <w:rFonts w:cs="Guttman Drogolin" w:hint="cs"/>
          <w:rtl/>
          <w:lang w:bidi="he-IL"/>
        </w:rPr>
        <w:t>תערובת יבש ביבש מין במינו יוצא מן הכלל משאר תערובת בזה שהוא בטל ברוב ולא צריך ס'.</w:t>
      </w:r>
    </w:p>
    <w:p w:rsidR="00E55436" w:rsidRPr="00882F11" w:rsidRDefault="00E55436" w:rsidP="00E55436">
      <w:pPr>
        <w:tabs>
          <w:tab w:val="right" w:pos="7497"/>
        </w:tabs>
        <w:bidi/>
        <w:jc w:val="both"/>
        <w:rPr>
          <w:rFonts w:cs="Guttman Drogolin"/>
          <w:rtl/>
          <w:lang w:bidi="he-IL"/>
        </w:rPr>
      </w:pPr>
      <w:r w:rsidRPr="00882F11">
        <w:rPr>
          <w:rFonts w:cs="Guttman Drogolin" w:hint="cs"/>
          <w:rtl/>
          <w:lang w:bidi="he-IL"/>
        </w:rPr>
        <w:t>ובהנהגת מהר"ם</w:t>
      </w:r>
    </w:p>
    <w:p w:rsidR="00E55436" w:rsidRPr="00882F11" w:rsidRDefault="00E55436" w:rsidP="00E55436">
      <w:pPr>
        <w:pStyle w:val="Heading1"/>
        <w:bidi/>
        <w:spacing w:before="0" w:line="360" w:lineRule="auto"/>
        <w:jc w:val="center"/>
        <w:rPr>
          <w:rFonts w:cs="Guttman Drogolin"/>
          <w:color w:val="auto"/>
          <w:sz w:val="24"/>
          <w:szCs w:val="24"/>
          <w:u w:val="single"/>
          <w:rtl/>
          <w:lang w:bidi="he-IL"/>
        </w:rPr>
      </w:pPr>
      <w:bookmarkStart w:id="395" w:name="_Toc496175642"/>
      <w:r w:rsidRPr="00882F11">
        <w:rPr>
          <w:rFonts w:cs="Guttman Drogolin" w:hint="cs"/>
          <w:color w:val="auto"/>
          <w:sz w:val="24"/>
          <w:szCs w:val="24"/>
          <w:u w:val="single"/>
          <w:rtl/>
          <w:lang w:bidi="he-IL"/>
        </w:rPr>
        <w:t>היכי משכחת לה לדין ביטול יבש ביבש במין בשאינו מינו</w:t>
      </w:r>
      <w:bookmarkEnd w:id="395"/>
    </w:p>
    <w:p w:rsidR="00E55436" w:rsidRPr="00882F11" w:rsidRDefault="00E55436" w:rsidP="00E55436">
      <w:pPr>
        <w:tabs>
          <w:tab w:val="right" w:pos="7497"/>
        </w:tabs>
        <w:bidi/>
        <w:jc w:val="both"/>
        <w:rPr>
          <w:rFonts w:cs="Guttman Drogolin"/>
          <w:rtl/>
          <w:lang w:bidi="he-IL"/>
        </w:rPr>
      </w:pPr>
      <w:r w:rsidRPr="00882F11">
        <w:rPr>
          <w:rFonts w:cs="Guttman Drogolin" w:hint="cs"/>
          <w:rtl/>
          <w:lang w:bidi="he-IL"/>
        </w:rPr>
        <w:t>הרמ"א מביא דעה שאם יש ששים אין ל</w:t>
      </w:r>
    </w:p>
    <w:p w:rsidR="00EA2324" w:rsidRPr="00882F11" w:rsidRDefault="00EA2324" w:rsidP="00EA2324">
      <w:pPr>
        <w:pStyle w:val="Heading1"/>
        <w:bidi/>
        <w:spacing w:before="0" w:line="360" w:lineRule="auto"/>
        <w:jc w:val="center"/>
        <w:rPr>
          <w:rFonts w:cs="Guttman Drogolin"/>
          <w:color w:val="auto"/>
          <w:sz w:val="24"/>
          <w:szCs w:val="24"/>
          <w:u w:val="single"/>
          <w:rtl/>
          <w:lang w:bidi="he-IL"/>
        </w:rPr>
      </w:pPr>
      <w:bookmarkStart w:id="396" w:name="_Toc496175643"/>
      <w:r w:rsidRPr="00882F11">
        <w:rPr>
          <w:rFonts w:cs="Guttman Drogolin" w:hint="cs"/>
          <w:color w:val="auto"/>
          <w:sz w:val="24"/>
          <w:szCs w:val="24"/>
          <w:u w:val="single"/>
          <w:rtl/>
          <w:lang w:bidi="he-IL"/>
        </w:rPr>
        <w:t>רוב מנין או רוב בנין</w:t>
      </w:r>
      <w:bookmarkEnd w:id="396"/>
    </w:p>
    <w:p w:rsidR="00EA2324" w:rsidRPr="00882F11" w:rsidRDefault="00EA2324" w:rsidP="00EA2324">
      <w:pPr>
        <w:tabs>
          <w:tab w:val="right" w:pos="7497"/>
        </w:tabs>
        <w:bidi/>
        <w:jc w:val="both"/>
        <w:rPr>
          <w:rFonts w:cs="Guttman Drogolin"/>
          <w:rtl/>
          <w:lang w:bidi="he-IL"/>
        </w:rPr>
      </w:pPr>
      <w:r w:rsidRPr="00882F11">
        <w:rPr>
          <w:rFonts w:cs="Guttman Drogolin" w:hint="cs"/>
          <w:rtl/>
          <w:lang w:bidi="he-IL"/>
        </w:rPr>
        <w:t>בש"ך ס"ק ו'</w:t>
      </w:r>
    </w:p>
    <w:p w:rsidR="00EA2324" w:rsidRPr="00882F11" w:rsidRDefault="00EA2324" w:rsidP="00EA2324">
      <w:pPr>
        <w:pStyle w:val="Heading1"/>
        <w:bidi/>
        <w:spacing w:before="0" w:line="360" w:lineRule="auto"/>
        <w:jc w:val="center"/>
        <w:rPr>
          <w:rFonts w:cs="Guttman Drogolin"/>
          <w:color w:val="auto"/>
          <w:sz w:val="24"/>
          <w:szCs w:val="24"/>
          <w:u w:val="single"/>
          <w:rtl/>
          <w:lang w:bidi="he-IL"/>
        </w:rPr>
      </w:pPr>
      <w:bookmarkStart w:id="397" w:name="_Toc496175644"/>
      <w:r w:rsidRPr="00882F11">
        <w:rPr>
          <w:rFonts w:cs="Guttman Drogolin" w:hint="cs"/>
          <w:color w:val="auto"/>
          <w:sz w:val="24"/>
          <w:szCs w:val="24"/>
          <w:u w:val="single"/>
          <w:rtl/>
          <w:lang w:bidi="he-IL"/>
        </w:rPr>
        <w:t>אם יש ביטול ברוב בלי ידיעה</w:t>
      </w:r>
      <w:bookmarkEnd w:id="397"/>
    </w:p>
    <w:p w:rsidR="00EA2324" w:rsidRPr="00882F11" w:rsidRDefault="00EA2324" w:rsidP="00EA2324">
      <w:pPr>
        <w:tabs>
          <w:tab w:val="right" w:pos="7497"/>
        </w:tabs>
        <w:bidi/>
        <w:jc w:val="both"/>
        <w:rPr>
          <w:rFonts w:cs="Guttman Drogolin"/>
          <w:rtl/>
          <w:lang w:bidi="he-IL"/>
        </w:rPr>
      </w:pPr>
      <w:r w:rsidRPr="00882F11">
        <w:rPr>
          <w:rFonts w:cs="Guttman Drogolin" w:hint="cs"/>
          <w:rtl/>
          <w:lang w:bidi="he-IL"/>
        </w:rPr>
        <w:t>הרמ"א מביא דעה שאם יש ששים אין ל</w:t>
      </w:r>
    </w:p>
    <w:p w:rsidR="00A819E0" w:rsidRPr="00882F11" w:rsidRDefault="00A819E0" w:rsidP="00A819E0">
      <w:pPr>
        <w:tabs>
          <w:tab w:val="right" w:pos="7497"/>
        </w:tabs>
        <w:bidi/>
        <w:jc w:val="both"/>
        <w:rPr>
          <w:rFonts w:cs="Guttman Drogolin"/>
          <w:rtl/>
          <w:lang w:bidi="he-IL"/>
        </w:rPr>
        <w:sectPr w:rsidR="00A819E0" w:rsidRPr="00882F11" w:rsidSect="006D0A1E">
          <w:type w:val="continuous"/>
          <w:pgSz w:w="11907" w:h="16839" w:code="9"/>
          <w:pgMar w:top="1440" w:right="1440" w:bottom="1440" w:left="1440" w:header="720" w:footer="720" w:gutter="0"/>
          <w:cols w:num="2" w:space="720"/>
          <w:bidi/>
          <w:docGrid w:linePitch="360"/>
        </w:sectPr>
      </w:pPr>
    </w:p>
    <w:p w:rsidR="00A819E0" w:rsidRPr="006D0A1E" w:rsidRDefault="00A819E0" w:rsidP="00A819E0">
      <w:pPr>
        <w:keepNext/>
        <w:tabs>
          <w:tab w:val="left" w:pos="3818"/>
          <w:tab w:val="center" w:pos="4680"/>
        </w:tabs>
        <w:bidi/>
        <w:jc w:val="center"/>
        <w:rPr>
          <w:rFonts w:cs="Guttman Drogolin"/>
          <w:b/>
          <w:bCs/>
          <w:sz w:val="48"/>
          <w:szCs w:val="48"/>
          <w:rtl/>
          <w:lang w:bidi="he-IL"/>
        </w:rPr>
      </w:pPr>
      <w:r w:rsidRPr="006D0A1E">
        <w:rPr>
          <w:rFonts w:cs="Guttman Drogolin" w:hint="cs"/>
          <w:b/>
          <w:bCs/>
          <w:sz w:val="48"/>
          <w:szCs w:val="48"/>
          <w:rtl/>
          <w:lang w:bidi="he-IL"/>
        </w:rPr>
        <w:lastRenderedPageBreak/>
        <w:t>שיעור צ"ח</w:t>
      </w:r>
    </w:p>
    <w:p w:rsidR="006D0A1E" w:rsidRDefault="006D0A1E" w:rsidP="00A819E0">
      <w:pPr>
        <w:pStyle w:val="Heading1"/>
        <w:bidi/>
        <w:spacing w:before="0" w:line="360" w:lineRule="auto"/>
        <w:jc w:val="center"/>
        <w:rPr>
          <w:rFonts w:cs="Guttman Drogolin"/>
          <w:color w:val="auto"/>
          <w:sz w:val="24"/>
          <w:szCs w:val="24"/>
          <w:u w:val="single"/>
          <w:rtl/>
          <w:lang w:bidi="he-IL"/>
        </w:rPr>
        <w:sectPr w:rsidR="006D0A1E" w:rsidSect="006D0A1E">
          <w:headerReference w:type="default" r:id="rId74"/>
          <w:pgSz w:w="11907" w:h="16839" w:code="9"/>
          <w:pgMar w:top="1440" w:right="1440" w:bottom="1440" w:left="1440" w:header="720" w:footer="720" w:gutter="0"/>
          <w:cols w:space="720"/>
          <w:bidi/>
          <w:docGrid w:linePitch="360"/>
        </w:sectPr>
      </w:pPr>
    </w:p>
    <w:p w:rsidR="00A819E0" w:rsidRPr="00882F11" w:rsidRDefault="00A819E0" w:rsidP="00A819E0">
      <w:pPr>
        <w:pStyle w:val="Heading1"/>
        <w:bidi/>
        <w:spacing w:before="0" w:line="360" w:lineRule="auto"/>
        <w:jc w:val="center"/>
        <w:rPr>
          <w:rFonts w:cs="Guttman Drogolin"/>
          <w:color w:val="auto"/>
          <w:sz w:val="24"/>
          <w:szCs w:val="24"/>
          <w:u w:val="single"/>
          <w:rtl/>
          <w:lang w:bidi="he-IL"/>
        </w:rPr>
      </w:pPr>
      <w:bookmarkStart w:id="398" w:name="_Toc496175645"/>
      <w:r w:rsidRPr="00882F11">
        <w:rPr>
          <w:rFonts w:cs="Guttman Drogolin" w:hint="cs"/>
          <w:color w:val="auto"/>
          <w:sz w:val="24"/>
          <w:szCs w:val="24"/>
          <w:u w:val="single"/>
          <w:rtl/>
          <w:lang w:bidi="he-IL"/>
        </w:rPr>
        <w:lastRenderedPageBreak/>
        <w:t>דיני כבוש</w:t>
      </w:r>
      <w:bookmarkEnd w:id="398"/>
    </w:p>
    <w:p w:rsidR="00C900F6" w:rsidRPr="00882F11" w:rsidRDefault="00702C75" w:rsidP="008D4158">
      <w:pPr>
        <w:tabs>
          <w:tab w:val="right" w:pos="7497"/>
        </w:tabs>
        <w:bidi/>
        <w:jc w:val="both"/>
        <w:rPr>
          <w:rFonts w:cs="Guttman Drogolin"/>
          <w:rtl/>
          <w:lang w:bidi="he-IL"/>
        </w:rPr>
      </w:pPr>
      <w:r>
        <w:rPr>
          <w:rFonts w:cs="Guttman Drogolin"/>
          <w:rtl/>
          <w:lang w:bidi="he-IL"/>
        </w:rPr>
        <w:fldChar w:fldCharType="begin"/>
      </w:r>
      <w:r>
        <w:instrText xml:space="preserve"> XE "</w:instrText>
      </w:r>
      <w:r w:rsidRPr="00EA0E4C">
        <w:rPr>
          <w:rFonts w:hint="cs"/>
          <w:rtl/>
          <w:lang w:bidi="he-IL"/>
        </w:rPr>
        <w:instrText>כבוש</w:instrText>
      </w:r>
      <w:r w:rsidRPr="00EA0E4C">
        <w:rPr>
          <w:rtl/>
        </w:rPr>
        <w:instrText>:</w:instrText>
      </w:r>
      <w:r w:rsidRPr="00EA0E4C">
        <w:rPr>
          <w:rFonts w:hint="cs"/>
          <w:rtl/>
          <w:lang w:bidi="he-IL"/>
        </w:rPr>
        <w:instrText>סוגיית הגמרא</w:instrText>
      </w:r>
      <w:r>
        <w:instrText xml:space="preserve">" </w:instrText>
      </w:r>
      <w:r>
        <w:rPr>
          <w:rFonts w:cs="Guttman Drogolin"/>
          <w:rtl/>
          <w:lang w:bidi="he-IL"/>
        </w:rPr>
        <w:fldChar w:fldCharType="end"/>
      </w:r>
      <w:r w:rsidR="00B57D46" w:rsidRPr="00882F11">
        <w:rPr>
          <w:rFonts w:cs="Guttman Drogolin" w:hint="cs"/>
          <w:rtl/>
          <w:lang w:bidi="he-IL"/>
        </w:rPr>
        <w:t>מבואר בחולין צ"ז ע"ב ועוד כמה מקומות בש"ס דכבוש כמבושל. אמנם לא מוזכר בגמ' כמה זמן צריך דבר להיות במשקה כדי שיהא לו דין כבוש. והרא"ש במס' ע"ז (פ"ה אות י"א) דקדק מלשון הגמ' במס' פסחים שהוא כשבר נמצא בתוך משקה לזמן של מעל"ע. דהא כתוב שם בגמ' דבשר בחלב חידוש הוא ושונה משאר איסורים כיון שאם שרה בשר כולי' יומא בחלבא אינו אסור מדאורייתא כיון שדרך בישול אסרה תורה. ומשמע שבזה הוא שונה משאר איסורים משום שבשאר איסורים אילו שרה אותן במשקה כולי יומא, שזהו זמן דמעל"ע, הי' אוסר מדאורייתא. אמנם הב"י הביא מר"ת לאסור רק אחרי שעברו ג' ימים</w:t>
      </w:r>
      <w:r w:rsidR="008D4158" w:rsidRPr="00882F11">
        <w:rPr>
          <w:rFonts w:cs="Guttman Drogolin" w:hint="cs"/>
          <w:rtl/>
          <w:lang w:bidi="he-IL"/>
        </w:rPr>
        <w:t xml:space="preserve">, והוכיח כן ממס' עבודה זרה דף ל"ג ע"א דע"י שרי' ג' ימים אפשר </w:t>
      </w:r>
      <w:r w:rsidR="0073429C" w:rsidRPr="00882F11">
        <w:rPr>
          <w:rFonts w:cs="Guttman Drogolin" w:hint="cs"/>
          <w:rtl/>
          <w:lang w:bidi="he-IL"/>
        </w:rPr>
        <w:t>ל</w:t>
      </w:r>
      <w:r w:rsidR="008D4158" w:rsidRPr="00882F11">
        <w:rPr>
          <w:rFonts w:cs="Guttman Drogolin" w:hint="cs"/>
          <w:rtl/>
          <w:lang w:bidi="he-IL"/>
        </w:rPr>
        <w:t>הכשיר קנקנים של גוים</w:t>
      </w:r>
      <w:r w:rsidR="00B57D46" w:rsidRPr="00882F11">
        <w:rPr>
          <w:rFonts w:cs="Guttman Drogolin" w:hint="cs"/>
          <w:rtl/>
          <w:lang w:bidi="he-IL"/>
        </w:rPr>
        <w:t>. ולכאורה לדידי' תיקשי הא לכאורה מפורש בגמ' דאחרי שרי' ליום שלם הרי זה אוסר וכנ"ל</w:t>
      </w:r>
      <w:r w:rsidR="0073429C" w:rsidRPr="00882F11">
        <w:rPr>
          <w:rStyle w:val="FootnoteReference"/>
          <w:rFonts w:cs="Guttman Drogolin"/>
          <w:rtl/>
          <w:lang w:bidi="he-IL"/>
        </w:rPr>
        <w:footnoteReference w:id="398"/>
      </w:r>
      <w:r w:rsidR="00B57D46" w:rsidRPr="00882F11">
        <w:rPr>
          <w:rFonts w:cs="Guttman Drogolin" w:hint="cs"/>
          <w:rtl/>
          <w:lang w:bidi="he-IL"/>
        </w:rPr>
        <w:t>. אלא דיעוין בתוס' ר' פרץ על אתר שתמה על מה שהי' נהוג ביומו לשרותת בשר שלא נמלחה במים ליותר מיום א' מדברי הגמ' הנ"ל. ופי' הגמ' בכמה אנפי לומר שאין ראי' מן הגמ' שם שהוא נ"ט בזמן של מעל"ע, או שמסתמא לא אמרינן שנתן טעם אחרי מעל"ע, וכוונת הגמ' שאם טעמו קפילא אחרי מעל"ע ויש באמת טעם הרי הוא אוסר בשאר איסורים, או דפירות שאני (לכאורה ר"ל מי פירות כמו חלב),</w:t>
      </w:r>
      <w:r w:rsidR="00C900F6" w:rsidRPr="00882F11">
        <w:rPr>
          <w:rFonts w:cs="Guttman Drogolin" w:hint="cs"/>
          <w:rtl/>
          <w:lang w:bidi="he-IL"/>
        </w:rPr>
        <w:t xml:space="preserve"> א</w:t>
      </w:r>
      <w:r w:rsidR="00BE3E0D">
        <w:rPr>
          <w:rFonts w:cs="Guttman Drogolin" w:hint="cs"/>
          <w:rtl/>
          <w:lang w:bidi="he-IL"/>
        </w:rPr>
        <w:t>ו</w:t>
      </w:r>
      <w:r w:rsidR="00C900F6" w:rsidRPr="00882F11">
        <w:rPr>
          <w:rFonts w:cs="Guttman Drogolin" w:hint="cs"/>
          <w:rtl/>
          <w:lang w:bidi="he-IL"/>
        </w:rPr>
        <w:t xml:space="preserve"> דמיירי בחלב חם אבל עדיין אינו דרך בישול. ולדבריו שפיר י"ל כדברי ר"ת.</w:t>
      </w:r>
      <w:r w:rsidR="008D4158" w:rsidRPr="00882F11">
        <w:rPr>
          <w:rFonts w:cs="Guttman Drogolin" w:hint="cs"/>
          <w:rtl/>
          <w:lang w:bidi="he-IL"/>
        </w:rPr>
        <w:t xml:space="preserve"> ומ"מ למעשה השו"ע כתב שכבוש הוא מעל"ע, ולא הביא שיטת ר"ת כלל, ובפמ"ג דקדק שאינו אפילו ספיקא דדינא, אחרי שהשו"ע לא הקל בספק מעל"ע בצירוף שיטת ר"ת.</w:t>
      </w:r>
      <w:r w:rsidR="00C900F6" w:rsidRPr="00882F11">
        <w:rPr>
          <w:rFonts w:cs="Guttman Drogolin" w:hint="cs"/>
          <w:rtl/>
          <w:lang w:bidi="he-IL"/>
        </w:rPr>
        <w:t xml:space="preserve"> </w:t>
      </w:r>
    </w:p>
    <w:p w:rsidR="003E7B05" w:rsidRPr="00882F11" w:rsidRDefault="00C900F6" w:rsidP="008D4158">
      <w:pPr>
        <w:tabs>
          <w:tab w:val="right" w:pos="7497"/>
        </w:tabs>
        <w:bidi/>
        <w:jc w:val="both"/>
        <w:rPr>
          <w:rFonts w:cs="Guttman Drogolin"/>
          <w:rtl/>
          <w:lang w:bidi="he-IL"/>
        </w:rPr>
      </w:pPr>
      <w:r w:rsidRPr="00882F11">
        <w:rPr>
          <w:rFonts w:cs="Guttman Drogolin" w:hint="cs"/>
          <w:rtl/>
          <w:lang w:bidi="he-IL"/>
        </w:rPr>
        <w:t>ורש"י בכל מקום מזכיר דכבוש ר"ל בחומץ. וכן מבואר בב"י בשם שו"ת הרשב"א. ותמה המרדכי עליו מדברי הגמ' הנ"ל שלכאורה מבואר מיני' להדיא ששייך כבוש גם בחלב ולא רק בחומץ.</w:t>
      </w:r>
      <w:r w:rsidR="00B57D46" w:rsidRPr="00882F11">
        <w:rPr>
          <w:rFonts w:cs="Guttman Drogolin" w:hint="cs"/>
          <w:rtl/>
          <w:lang w:bidi="he-IL"/>
        </w:rPr>
        <w:t xml:space="preserve"> </w:t>
      </w:r>
      <w:r w:rsidR="008D4158" w:rsidRPr="00882F11">
        <w:rPr>
          <w:rFonts w:cs="Guttman Drogolin" w:hint="cs"/>
          <w:rtl/>
          <w:lang w:bidi="he-IL"/>
        </w:rPr>
        <w:lastRenderedPageBreak/>
        <w:t xml:space="preserve">וע"פ הגמ' בפסחים הנ"ל הוכיח המרדכי שיש כבוש גם בשאר דברים, וכן פסק בשו"ע שגם כבוש במים מעל"ע אוסר. והב"י הביא מהרא"ש בפרק כל הבשר (ססי' מ"ט) שכבוש בציר אוסר בזמן יותר קצר, </w:t>
      </w:r>
      <w:r w:rsidR="008D4158" w:rsidRPr="00882F11">
        <w:rPr>
          <w:rFonts w:cs="Guttman Drogolin"/>
          <w:rtl/>
          <w:lang w:bidi="he-IL"/>
        </w:rPr>
        <w:t>דשיעורו הוי כאילו נתנו על האור כדי שירתיח ויתחיל לבשל</w:t>
      </w:r>
      <w:r w:rsidR="008D4158" w:rsidRPr="00882F11">
        <w:rPr>
          <w:rFonts w:cs="Guttman Drogolin" w:hint="cs"/>
          <w:rtl/>
          <w:lang w:bidi="he-IL"/>
        </w:rPr>
        <w:t xml:space="preserve">. ומשו"ה נקט הב"י דהה"נ כבשו בחומץ. והב"ח כתב שזהו ג"כ הפירוש בדברי רש"י הנ"ל, דהא דהדגיש בכל מקום כבוש בחומץ היינו משום שרק בחומץ הוא מבליע כ"כ מהר ואינו צריך זמן דמעל"ע. ומ"מ </w:t>
      </w:r>
      <w:r w:rsidR="003E7B05" w:rsidRPr="00882F11">
        <w:rPr>
          <w:rFonts w:cs="Guttman Drogolin" w:hint="cs"/>
          <w:rtl/>
          <w:lang w:bidi="he-IL"/>
        </w:rPr>
        <w:t>כבר העירו הש"ך (ס"ק ב') וביאור הגר"א, שמדברי הרא"ש עצמו במס' ע"ז הנ"ל מפורש</w:t>
      </w:r>
      <w:r w:rsidR="008D4158" w:rsidRPr="00882F11">
        <w:rPr>
          <w:rFonts w:cs="Guttman Drogolin"/>
          <w:rtl/>
          <w:lang w:bidi="he-IL"/>
        </w:rPr>
        <w:t xml:space="preserve"> </w:t>
      </w:r>
      <w:r w:rsidR="003E7B05" w:rsidRPr="00882F11">
        <w:rPr>
          <w:rFonts w:cs="Guttman Drogolin" w:hint="cs"/>
          <w:rtl/>
          <w:lang w:bidi="he-IL"/>
        </w:rPr>
        <w:t>שחומץ צריך מעל"ע, ומשו"ה חלקו על השו"ע וסברו שגם חומץ צריך מעל"ע.</w:t>
      </w:r>
    </w:p>
    <w:p w:rsidR="00467336" w:rsidRPr="00882F11" w:rsidRDefault="00467336" w:rsidP="00467336">
      <w:pPr>
        <w:pStyle w:val="Heading1"/>
        <w:bidi/>
        <w:spacing w:before="0" w:line="360" w:lineRule="auto"/>
        <w:jc w:val="center"/>
        <w:rPr>
          <w:rFonts w:cs="Guttman Drogolin"/>
          <w:color w:val="auto"/>
          <w:sz w:val="24"/>
          <w:szCs w:val="24"/>
          <w:u w:val="single"/>
          <w:rtl/>
          <w:lang w:bidi="he-IL"/>
        </w:rPr>
      </w:pPr>
      <w:bookmarkStart w:id="399" w:name="_Toc496175646"/>
      <w:r w:rsidRPr="00882F11">
        <w:rPr>
          <w:rFonts w:cs="Guttman Drogolin" w:hint="cs"/>
          <w:color w:val="auto"/>
          <w:sz w:val="24"/>
          <w:szCs w:val="24"/>
          <w:u w:val="single"/>
          <w:rtl/>
          <w:lang w:bidi="he-IL"/>
        </w:rPr>
        <w:t>גדרי כבוש</w:t>
      </w:r>
      <w:bookmarkEnd w:id="399"/>
    </w:p>
    <w:p w:rsidR="00467336" w:rsidRPr="00882F11" w:rsidRDefault="001714D2" w:rsidP="00467336">
      <w:pPr>
        <w:tabs>
          <w:tab w:val="right" w:pos="7497"/>
        </w:tabs>
        <w:bidi/>
        <w:jc w:val="both"/>
        <w:rPr>
          <w:rFonts w:cs="Guttman Drogolin"/>
          <w:rtl/>
          <w:lang w:bidi="he-IL"/>
        </w:rPr>
      </w:pPr>
      <w:r>
        <w:rPr>
          <w:rFonts w:cs="Guttman Drogolin"/>
          <w:rtl/>
          <w:lang w:bidi="he-IL"/>
        </w:rPr>
        <w:fldChar w:fldCharType="begin"/>
      </w:r>
      <w:r>
        <w:instrText xml:space="preserve"> XE "</w:instrText>
      </w:r>
      <w:r w:rsidRPr="006266B3">
        <w:rPr>
          <w:rFonts w:hint="cs"/>
          <w:rtl/>
          <w:lang w:bidi="he-IL"/>
        </w:rPr>
        <w:instrText>כבוש</w:instrText>
      </w:r>
      <w:r w:rsidRPr="006266B3">
        <w:rPr>
          <w:rtl/>
        </w:rPr>
        <w:instrText>:</w:instrText>
      </w:r>
      <w:r w:rsidRPr="006266B3">
        <w:rPr>
          <w:rFonts w:hint="cs"/>
          <w:rtl/>
          <w:lang w:bidi="he-IL"/>
        </w:rPr>
        <w:instrText>גדרי כבוש</w:instrText>
      </w:r>
      <w:r>
        <w:instrText xml:space="preserve">" </w:instrText>
      </w:r>
      <w:r>
        <w:rPr>
          <w:rFonts w:cs="Guttman Drogolin"/>
          <w:rtl/>
          <w:lang w:bidi="he-IL"/>
        </w:rPr>
        <w:fldChar w:fldCharType="end"/>
      </w:r>
      <w:r w:rsidR="00467336" w:rsidRPr="00882F11">
        <w:rPr>
          <w:rFonts w:cs="Guttman Drogolin" w:hint="cs"/>
          <w:rtl/>
          <w:lang w:bidi="he-IL"/>
        </w:rPr>
        <w:t xml:space="preserve">בהאי ענינא דאמרינן כבוש כמבושל יל"ע אם בכל הענינים אמרינן שהרי הוא כמבושל. ולדוגמא בדין בישול אחר בישול בשבת מבואר במש"ז (סי' שי"ח ס"ק ו) דפשיטא לי' שיש בישול אחר כבוש, ולכן המבשל מאכל שהי' כבר כבוש חייב חטאת. ומיני' שיל"ע אם בשארי הענינים דינו כמבושל. </w:t>
      </w:r>
    </w:p>
    <w:p w:rsidR="00B84766" w:rsidRPr="00882F11" w:rsidRDefault="00B84766" w:rsidP="00B84766">
      <w:pPr>
        <w:tabs>
          <w:tab w:val="right" w:pos="7497"/>
        </w:tabs>
        <w:bidi/>
        <w:jc w:val="both"/>
        <w:rPr>
          <w:rFonts w:cs="Guttman Drogolin"/>
          <w:rtl/>
          <w:lang w:bidi="he-IL"/>
        </w:rPr>
      </w:pPr>
      <w:r w:rsidRPr="00882F11">
        <w:rPr>
          <w:rFonts w:cs="Guttman Drogolin" w:hint="cs"/>
          <w:rtl/>
          <w:lang w:bidi="he-IL"/>
        </w:rPr>
        <w:t xml:space="preserve">ויעוין בדרכ"מ שהביא מחלוקת מה הדין בחתיכה מקצתה בתוך המשקין למשך זמן של מעל"ע האם כל החתיכה בולעת מן המשקין או רק את החלק שבתוך הרוטב. וכוונתו שהרי בבישול ראינו שיש מחלוקת רש"י ור"ת בנפל טיפת חלב על החתיכה שמקצתה בתוך הרוטב האם מצרפינן את כל התבשיל לבטל בס' או לא. ושיטת ר"ת שמצרפין הכל ומשום שהוא מפעפע למעלה. ומיני' גם לכבוש כבוש שגם הוא מפעפע למעלה. אמנם י"ל שהדין כבוש כמבושל לא נאמר אלא למאכל שהי' באמת כבוש, אבל לא נאמר בכבוש פעפוע למעלה. וע' בביאור הגר"א שזהו ביאור פלוגתתם. </w:t>
      </w:r>
      <w:r w:rsidRPr="00882F11">
        <w:rPr>
          <w:rFonts w:cs="Guttman Drogolin" w:hint="cs"/>
          <w:rtl/>
          <w:lang w:bidi="he-IL"/>
        </w:rPr>
        <w:lastRenderedPageBreak/>
        <w:t xml:space="preserve">ולמעשה נקטינן כשיטה המקילה שאינו מפעפע למעלה. </w:t>
      </w:r>
    </w:p>
    <w:p w:rsidR="00350D9E" w:rsidRPr="00882F11" w:rsidRDefault="000136C8" w:rsidP="00350D9E">
      <w:pPr>
        <w:tabs>
          <w:tab w:val="right" w:pos="7497"/>
        </w:tabs>
        <w:bidi/>
        <w:jc w:val="both"/>
        <w:rPr>
          <w:rFonts w:cs="Guttman Drogolin"/>
          <w:rtl/>
          <w:lang w:bidi="he-IL"/>
        </w:rPr>
      </w:pPr>
      <w:r w:rsidRPr="00882F11">
        <w:rPr>
          <w:rFonts w:cs="Guttman Drogolin" w:hint="cs"/>
          <w:rtl/>
          <w:lang w:bidi="he-IL"/>
        </w:rPr>
        <w:t>אלא דהנה יעוין בהגהות רע"א שהביא ממש"ז סי' תמ"ז ס"ק ל' שכתב שאם הי' משקה בתוך כלי לשיעור זמן של מעל"ע, הרי הוא בו</w:t>
      </w:r>
      <w:r w:rsidR="00350D9E" w:rsidRPr="00882F11">
        <w:rPr>
          <w:rFonts w:cs="Guttman Drogolin" w:hint="cs"/>
          <w:rtl/>
          <w:lang w:bidi="he-IL"/>
        </w:rPr>
        <w:t>לע לא רק מן הבליעות שבפנים אלא גם מן הדבוק אליו מבחוץ. והשאיר ד"ז בצ"ע, ולכאורה כוונתו דהא אין כאן מעשה כבוש מבחוץ, קשה טובא לומר שהוא משפיע על הכלי שיהא חשוב כמבושל עד כדי כך שבולע גם ממקום שלא הי' מעשה כבישה כלל. ואף שבדרכ"ת ס"ק ד' הביא מאחרונים שכתבו שאין דבריו אלא בחמץ בפסח, מ"מ הדברים מוקשיי הבנה. וע' ביד יהודה ס"ק א' שג"כ מבואר ממנו דלית לי' כדברי רע"א.</w:t>
      </w:r>
    </w:p>
    <w:p w:rsidR="006A4317" w:rsidRPr="00882F11" w:rsidRDefault="006A4317" w:rsidP="006A4317">
      <w:pPr>
        <w:tabs>
          <w:tab w:val="right" w:pos="7497"/>
        </w:tabs>
        <w:bidi/>
        <w:jc w:val="both"/>
        <w:rPr>
          <w:rFonts w:cs="Guttman Drogolin"/>
          <w:rtl/>
          <w:lang w:bidi="he-IL"/>
        </w:rPr>
      </w:pPr>
      <w:r w:rsidRPr="00882F11">
        <w:rPr>
          <w:rFonts w:cs="Guttman Drogolin" w:hint="cs"/>
          <w:rtl/>
          <w:lang w:bidi="he-IL"/>
        </w:rPr>
        <w:t xml:space="preserve">עוד יש לדון בכמות המים שצריכים כדי שיהא חשוב כבוש. ויעוין כאן במש"ז ס"ק א' דשני גושים הנוגעים זב"ז אפילו לחים קצת אין בהם משום כבוש אפילו נוגעים זב"ז ימים רבים. </w:t>
      </w:r>
      <w:r w:rsidR="00586FC1" w:rsidRPr="00882F11">
        <w:rPr>
          <w:rFonts w:cs="Guttman Drogolin" w:hint="cs"/>
          <w:rtl/>
          <w:lang w:bidi="he-IL"/>
        </w:rPr>
        <w:t>אמנם בא"א או"ח ססי' תמ"ז לכאורה מבואר שאפילו קצת ליחות יכול להיות כבוש. וע' במגי"ס (אות ט"ו) שעיר בדוחק דבר זה שכמות מועטת של ליחות עושה כבוש. ומ"מ לא מתבאר איזה כמות צריכים. לכאורה צריך להיות שהחפץ שקוע עכ"פ מקצתו במים ולא סגי לו בזה שיש עליו מים.</w:t>
      </w:r>
      <w:r w:rsidRPr="00882F11">
        <w:rPr>
          <w:rFonts w:cs="Guttman Drogolin" w:hint="cs"/>
          <w:rtl/>
          <w:lang w:bidi="he-IL"/>
        </w:rPr>
        <w:t xml:space="preserve"> </w:t>
      </w:r>
    </w:p>
    <w:p w:rsidR="000136C8" w:rsidRPr="00882F11" w:rsidRDefault="00350D9E" w:rsidP="00FA0566">
      <w:pPr>
        <w:tabs>
          <w:tab w:val="right" w:pos="7497"/>
        </w:tabs>
        <w:bidi/>
        <w:jc w:val="both"/>
        <w:rPr>
          <w:rFonts w:cs="Guttman Drogolin"/>
          <w:rtl/>
          <w:lang w:bidi="he-IL"/>
        </w:rPr>
      </w:pPr>
      <w:r w:rsidRPr="00882F11">
        <w:rPr>
          <w:rFonts w:cs="Guttman Drogolin" w:hint="cs"/>
          <w:rtl/>
          <w:lang w:bidi="he-IL"/>
        </w:rPr>
        <w:t>ויש בכל זה נפק"מ במה שמכסים את השיש לפסח שלא הכשירו אותו כדין. שהרי אם יש בליעות של חמץ בל</w:t>
      </w:r>
      <w:r w:rsidR="00FA0566">
        <w:rPr>
          <w:rFonts w:cs="Guttman Drogolin" w:hint="cs"/>
          <w:rtl/>
          <w:lang w:bidi="he-IL"/>
        </w:rPr>
        <w:t>ו</w:t>
      </w:r>
      <w:r w:rsidRPr="00882F11">
        <w:rPr>
          <w:rFonts w:cs="Guttman Drogolin" w:hint="cs"/>
          <w:rtl/>
          <w:lang w:bidi="he-IL"/>
        </w:rPr>
        <w:t>עים בשיש</w:t>
      </w:r>
      <w:r w:rsidR="006A4317" w:rsidRPr="00882F11">
        <w:rPr>
          <w:rFonts w:cs="Guttman Drogolin" w:hint="cs"/>
          <w:rtl/>
          <w:lang w:bidi="he-IL"/>
        </w:rPr>
        <w:t xml:space="preserve">, הכיסוי אמור למנוע בליעה מן השיש לתוך מאכל וכדומה אפילו הניחו עליו דבר חם כיון שאין בליעה עובר מחתיכה לחתיכה בלי רוטב. אמנם ידוע שאפילו כשמכסים השיש וכן מנגבים השיש לפני פסח, מ"מ טבע הדברים הוא שמים נכנס בין השיש למכסה, וכיון שהמכסה </w:t>
      </w:r>
      <w:r w:rsidR="00586FC1" w:rsidRPr="00882F11">
        <w:rPr>
          <w:rFonts w:cs="Guttman Drogolin" w:hint="cs"/>
          <w:rtl/>
          <w:lang w:bidi="he-IL"/>
        </w:rPr>
        <w:t>מונח בה מעל"ע לכאורה בולע מן השיש.</w:t>
      </w:r>
      <w:r w:rsidR="00B32A14" w:rsidRPr="00882F11">
        <w:rPr>
          <w:rFonts w:cs="Guttman Drogolin" w:hint="cs"/>
          <w:rtl/>
          <w:lang w:bidi="he-IL"/>
        </w:rPr>
        <w:t xml:space="preserve"> </w:t>
      </w:r>
      <w:r w:rsidR="00036537" w:rsidRPr="00882F11">
        <w:rPr>
          <w:rFonts w:cs="Guttman Drogolin" w:hint="cs"/>
          <w:rtl/>
          <w:lang w:bidi="he-IL"/>
        </w:rPr>
        <w:t xml:space="preserve">ואע"ג שלקמן הבאנו כמה אחרונים שחלקו על האו"ה וסברו שאין כבוש בכלים, היינו משום דהוי נטל"פ, אבל בפסח שאסרו נטל"פ עדיין יש לאסור גם לדידהו. </w:t>
      </w:r>
      <w:r w:rsidR="00B32A14" w:rsidRPr="00882F11">
        <w:rPr>
          <w:rFonts w:cs="Guttman Drogolin" w:hint="cs"/>
          <w:rtl/>
          <w:lang w:bidi="he-IL"/>
        </w:rPr>
        <w:t>וא"כ כשיניח על השיש מאכל חם הרי הוא יבלע מן המכסה ויאסר.</w:t>
      </w:r>
      <w:r w:rsidR="00586FC1" w:rsidRPr="00882F11">
        <w:rPr>
          <w:rFonts w:cs="Guttman Drogolin" w:hint="cs"/>
          <w:rtl/>
          <w:lang w:bidi="he-IL"/>
        </w:rPr>
        <w:t xml:space="preserve"> וכבר העיר במגי"ס שם שלפי המסתבר שכמות מועטת של מים אינו </w:t>
      </w:r>
      <w:r w:rsidR="00586FC1" w:rsidRPr="00882F11">
        <w:rPr>
          <w:rFonts w:cs="Guttman Drogolin" w:hint="cs"/>
          <w:rtl/>
          <w:lang w:bidi="he-IL"/>
        </w:rPr>
        <w:lastRenderedPageBreak/>
        <w:t xml:space="preserve">עושה כבוש גם כאן ליכא כבוש. זאת ועוד שהרי </w:t>
      </w:r>
      <w:r w:rsidR="00FA0566">
        <w:rPr>
          <w:rFonts w:cs="Guttman Drogolin" w:hint="cs"/>
          <w:rtl/>
          <w:lang w:bidi="he-IL"/>
        </w:rPr>
        <w:t>קיי"ל כשיטה המקילה ברמ"א שאין</w:t>
      </w:r>
      <w:r w:rsidR="00B32A14" w:rsidRPr="00882F11">
        <w:rPr>
          <w:rFonts w:cs="Guttman Drogolin" w:hint="cs"/>
          <w:rtl/>
          <w:lang w:bidi="he-IL"/>
        </w:rPr>
        <w:t xml:space="preserve"> כבוש אוסר מה שחוץ לכבישה, וא"כ גם כאן אינו אוסר החלק </w:t>
      </w:r>
      <w:r w:rsidR="00FA0566">
        <w:rPr>
          <w:rFonts w:cs="Guttman Drogolin" w:hint="cs"/>
          <w:rtl/>
          <w:lang w:bidi="he-IL"/>
        </w:rPr>
        <w:t>ה</w:t>
      </w:r>
      <w:r w:rsidR="00B32A14" w:rsidRPr="00882F11">
        <w:rPr>
          <w:rFonts w:cs="Guttman Drogolin" w:hint="cs"/>
          <w:rtl/>
          <w:lang w:bidi="he-IL"/>
        </w:rPr>
        <w:t>עליון של המכסה.</w:t>
      </w:r>
      <w:r w:rsidRPr="00882F11">
        <w:rPr>
          <w:rFonts w:cs="Guttman Drogolin" w:hint="cs"/>
          <w:rtl/>
          <w:lang w:bidi="he-IL"/>
        </w:rPr>
        <w:t xml:space="preserve"> </w:t>
      </w:r>
      <w:r w:rsidR="00B32A14" w:rsidRPr="00882F11">
        <w:rPr>
          <w:rFonts w:cs="Guttman Drogolin" w:hint="cs"/>
          <w:rtl/>
          <w:lang w:bidi="he-IL"/>
        </w:rPr>
        <w:t>אמנם עדיין יש לדון בזה ש</w:t>
      </w:r>
      <w:r w:rsidR="00FA0566">
        <w:rPr>
          <w:rFonts w:cs="Guttman Drogolin" w:hint="cs"/>
          <w:rtl/>
          <w:lang w:bidi="he-IL"/>
        </w:rPr>
        <w:t>מקרה שמניח סיר רותח על המכסה האם</w:t>
      </w:r>
      <w:r w:rsidR="00B32A14" w:rsidRPr="00882F11">
        <w:rPr>
          <w:rFonts w:cs="Guttman Drogolin" w:hint="cs"/>
          <w:rtl/>
          <w:lang w:bidi="he-IL"/>
        </w:rPr>
        <w:t xml:space="preserve"> יחמם המים שמתחת לסיר וגם המכסה</w:t>
      </w:r>
      <w:r w:rsidR="00FA0566">
        <w:rPr>
          <w:rFonts w:cs="Guttman Drogolin" w:hint="cs"/>
          <w:rtl/>
          <w:lang w:bidi="he-IL"/>
        </w:rPr>
        <w:t>,</w:t>
      </w:r>
      <w:r w:rsidR="00B32A14" w:rsidRPr="00882F11">
        <w:rPr>
          <w:rFonts w:cs="Guttman Drogolin" w:hint="cs"/>
          <w:rtl/>
          <w:lang w:bidi="he-IL"/>
        </w:rPr>
        <w:t xml:space="preserve"> באופן שאם יש ליחות מתחת לסיר הרי הוא יבלע מן הבליעות שהיו בשיש. ובהמשך בסוגיא דתתאה גבר נעיין בזה יותר, אבל ראוי להדגיש שלפי שיטת החוו"ד שקצת רוטב אינו נחשב רוטב לענין בליעה מחתיכה לחתיכה בלי רוטב, אין כאן בית מיחוש.</w:t>
      </w:r>
      <w:r w:rsidR="000136C8" w:rsidRPr="00882F11">
        <w:rPr>
          <w:rFonts w:cs="Guttman Drogolin" w:hint="cs"/>
          <w:rtl/>
          <w:lang w:bidi="he-IL"/>
        </w:rPr>
        <w:t xml:space="preserve"> </w:t>
      </w:r>
    </w:p>
    <w:p w:rsidR="00F0791C" w:rsidRPr="00882F11" w:rsidRDefault="00B84766" w:rsidP="00B84766">
      <w:pPr>
        <w:tabs>
          <w:tab w:val="right" w:pos="7497"/>
        </w:tabs>
        <w:bidi/>
        <w:jc w:val="both"/>
        <w:rPr>
          <w:rFonts w:cs="Guttman Drogolin"/>
          <w:rtl/>
          <w:lang w:bidi="he-IL"/>
        </w:rPr>
      </w:pPr>
      <w:r w:rsidRPr="00882F11">
        <w:rPr>
          <w:rFonts w:cs="Guttman Drogolin" w:hint="cs"/>
          <w:rtl/>
          <w:lang w:bidi="he-IL"/>
        </w:rPr>
        <w:t xml:space="preserve">עוד יש לדון מה מיקרי כבוש. והנה עיקר הדבר הוא שצריך להיות כבוש במשקין, אבל כבוש בדבר יבש ולא מיקרי כבוש, וכן מבואר בשו"ת הרא"ש המובא ברמ"א סי' ק"ד סע' ב', שבשומן שהוא קשה לא חיישינן לכבוש. ומשו"ה נקטו כמה אחרונים שכבוש במים שנקרשו ג"כ לא מיקרי כבוש, ולכן דבר שהי' שקוע לתוך שלג או קרח אינו מבליע ולא מפליט. וכן נקטו כמה אחרונים לדינא (ע' באר היטב סי' ס"ט ס"ק </w:t>
      </w:r>
      <w:r w:rsidR="00F0791C" w:rsidRPr="00882F11">
        <w:rPr>
          <w:rFonts w:cs="Guttman Drogolin" w:hint="cs"/>
          <w:rtl/>
          <w:lang w:bidi="he-IL"/>
        </w:rPr>
        <w:t>ח' (וע"ש בפת"ש ס"ק ו') ושם בשפ"ד ס"ק ס', וכאן בחוו"ד וגליון מהרש"א ובחכמ"א כלל נ"ח ד"א). ובאלי' זוטא (או"ח סי' ש"כ ס"ק ז') חילק בין קרח להא דשומן "</w:t>
      </w:r>
      <w:r w:rsidR="00F0791C" w:rsidRPr="00882F11">
        <w:rPr>
          <w:rFonts w:cs="Guttman Drogolin"/>
          <w:rtl/>
          <w:lang w:bidi="he-IL"/>
        </w:rPr>
        <w:t>דהכא מכל מקום איכא לחלוחית דהוי כתורת משקין לכל דבר</w:t>
      </w:r>
      <w:r w:rsidR="00F0791C" w:rsidRPr="00882F11">
        <w:rPr>
          <w:rFonts w:cs="Guttman Drogolin" w:hint="cs"/>
          <w:rtl/>
          <w:lang w:bidi="he-IL"/>
        </w:rPr>
        <w:t>". ולכאורה משמע שכוונתו דכיון שיש עליו תורת משקין אע"ג שעכשיו קרוש הוא אמרינ</w:t>
      </w:r>
      <w:r w:rsidR="000136C8" w:rsidRPr="00882F11">
        <w:rPr>
          <w:rFonts w:cs="Guttman Drogolin" w:hint="cs"/>
          <w:rtl/>
          <w:lang w:bidi="he-IL"/>
        </w:rPr>
        <w:t>ן</w:t>
      </w:r>
      <w:r w:rsidR="00F0791C" w:rsidRPr="00882F11">
        <w:rPr>
          <w:rFonts w:cs="Guttman Drogolin" w:hint="cs"/>
          <w:rtl/>
          <w:lang w:bidi="he-IL"/>
        </w:rPr>
        <w:t xml:space="preserve"> בי' דכבוש כמבושל. והוא חידוש בהבנת הדברים, שלכאורה הטעם דבעינן לח אינו משום דין רק משום שהמציאות היא שאינה בולעת בדבר שאינו עכשיו משקה. </w:t>
      </w:r>
    </w:p>
    <w:p w:rsidR="000136C8" w:rsidRPr="00882F11" w:rsidRDefault="00F0791C" w:rsidP="000136C8">
      <w:pPr>
        <w:tabs>
          <w:tab w:val="right" w:pos="7497"/>
        </w:tabs>
        <w:bidi/>
        <w:jc w:val="both"/>
        <w:rPr>
          <w:rFonts w:cs="Guttman Drogolin"/>
          <w:rtl/>
          <w:lang w:bidi="he-IL"/>
        </w:rPr>
      </w:pPr>
      <w:r w:rsidRPr="00882F11">
        <w:rPr>
          <w:rFonts w:cs="Guttman Drogolin" w:hint="cs"/>
          <w:rtl/>
          <w:lang w:bidi="he-IL"/>
        </w:rPr>
        <w:t>ודבר זה נפק"מ גדולה במאכל שבמקפיא.</w:t>
      </w:r>
      <w:r w:rsidR="00B84766" w:rsidRPr="00882F11">
        <w:rPr>
          <w:rFonts w:cs="Guttman Drogolin" w:hint="cs"/>
          <w:rtl/>
          <w:lang w:bidi="he-IL"/>
        </w:rPr>
        <w:t xml:space="preserve"> </w:t>
      </w:r>
      <w:r w:rsidR="000136C8" w:rsidRPr="00882F11">
        <w:rPr>
          <w:rFonts w:cs="Guttman Drogolin" w:hint="cs"/>
          <w:rtl/>
          <w:lang w:bidi="he-IL"/>
        </w:rPr>
        <w:t>שהרבה פעמים מאכל שקוע לתוך קרח בתוך המקפיא, ואם נבוא לחשוש לדברי הא"ז, יצא כמה חומרות. חדא שהרי דבר השכיח טובא שיש חמץ בתוך קרח בתוך המקפיא, וא"כ נבלע המקפיא מן החמץ. ומיני' דאע"פ שבפסח הבליעות הנ"ל כבר נפגמו, הא מחמירים בפסח אפילו אנטל"פ. ולכן אפילו ניקו את המקפיא מאד מ"מ אחרי שיהא מאכל כשר לפסח במקפיא וגם הוא ישב בקרח הרי הוא יבלע מן המקפיא ויאסר. ועוד יהא נפק</w:t>
      </w:r>
      <w:r w:rsidR="00156F5D" w:rsidRPr="00882F11">
        <w:rPr>
          <w:rFonts w:cs="Guttman Drogolin" w:hint="cs"/>
          <w:rtl/>
          <w:lang w:bidi="he-IL"/>
        </w:rPr>
        <w:t>"</w:t>
      </w:r>
      <w:r w:rsidR="000136C8" w:rsidRPr="00882F11">
        <w:rPr>
          <w:rFonts w:cs="Guttman Drogolin" w:hint="cs"/>
          <w:rtl/>
          <w:lang w:bidi="he-IL"/>
        </w:rPr>
        <w:t xml:space="preserve">מ בבשר </w:t>
      </w:r>
      <w:r w:rsidR="000136C8" w:rsidRPr="00882F11">
        <w:rPr>
          <w:rFonts w:cs="Guttman Drogolin" w:hint="cs"/>
          <w:rtl/>
          <w:lang w:bidi="he-IL"/>
        </w:rPr>
        <w:lastRenderedPageBreak/>
        <w:t>וגם חלב שבמק</w:t>
      </w:r>
      <w:r w:rsidR="00156F5D" w:rsidRPr="00882F11">
        <w:rPr>
          <w:rFonts w:cs="Guttman Drogolin" w:hint="cs"/>
          <w:rtl/>
          <w:lang w:bidi="he-IL"/>
        </w:rPr>
        <w:t>פ</w:t>
      </w:r>
      <w:r w:rsidR="000136C8" w:rsidRPr="00882F11">
        <w:rPr>
          <w:rFonts w:cs="Guttman Drogolin" w:hint="cs"/>
          <w:rtl/>
          <w:lang w:bidi="he-IL"/>
        </w:rPr>
        <w:t>יא ושניהם בתוך קרח שיאסרו א' את השני. ונהוג עלמא שלא להקפיד בזה, בפרט בפסח דלא מיירי באלא בנטל"פ.</w:t>
      </w:r>
    </w:p>
    <w:p w:rsidR="003E7B05" w:rsidRPr="00882F11" w:rsidRDefault="003E7B05" w:rsidP="003E7B05">
      <w:pPr>
        <w:pStyle w:val="Heading1"/>
        <w:bidi/>
        <w:spacing w:before="0" w:line="360" w:lineRule="auto"/>
        <w:jc w:val="center"/>
        <w:rPr>
          <w:rFonts w:cs="Guttman Drogolin"/>
          <w:color w:val="auto"/>
          <w:sz w:val="24"/>
          <w:szCs w:val="24"/>
          <w:u w:val="single"/>
          <w:rtl/>
          <w:lang w:bidi="he-IL"/>
        </w:rPr>
      </w:pPr>
      <w:bookmarkStart w:id="400" w:name="_Toc496175647"/>
      <w:r w:rsidRPr="00882F11">
        <w:rPr>
          <w:rFonts w:cs="Guttman Drogolin" w:hint="cs"/>
          <w:color w:val="auto"/>
          <w:sz w:val="24"/>
          <w:szCs w:val="24"/>
          <w:u w:val="single"/>
          <w:rtl/>
          <w:lang w:bidi="he-IL"/>
        </w:rPr>
        <w:t>כבוש בכלים</w:t>
      </w:r>
      <w:bookmarkEnd w:id="400"/>
    </w:p>
    <w:p w:rsidR="00A819E0" w:rsidRPr="00882F11" w:rsidRDefault="001714D2" w:rsidP="006409FF">
      <w:pPr>
        <w:tabs>
          <w:tab w:val="right" w:pos="7497"/>
        </w:tabs>
        <w:bidi/>
        <w:jc w:val="both"/>
        <w:rPr>
          <w:rFonts w:cs="Guttman Drogolin"/>
          <w:rtl/>
          <w:lang w:bidi="he-IL"/>
        </w:rPr>
      </w:pPr>
      <w:r>
        <w:rPr>
          <w:rFonts w:cs="Guttman Drogolin"/>
          <w:rtl/>
          <w:lang w:bidi="he-IL"/>
        </w:rPr>
        <w:fldChar w:fldCharType="begin"/>
      </w:r>
      <w:r>
        <w:instrText xml:space="preserve"> XE "</w:instrText>
      </w:r>
      <w:r w:rsidRPr="000F70EB">
        <w:rPr>
          <w:rFonts w:hint="cs"/>
          <w:rtl/>
          <w:lang w:bidi="he-IL"/>
        </w:rPr>
        <w:instrText>כבוש</w:instrText>
      </w:r>
      <w:r w:rsidRPr="000F70EB">
        <w:rPr>
          <w:rtl/>
        </w:rPr>
        <w:instrText>:</w:instrText>
      </w:r>
      <w:r w:rsidRPr="000F70EB">
        <w:rPr>
          <w:rFonts w:hint="cs"/>
          <w:rtl/>
          <w:lang w:bidi="he-IL"/>
        </w:rPr>
        <w:instrText>בכלים</w:instrText>
      </w:r>
      <w:r>
        <w:instrText xml:space="preserve">" </w:instrText>
      </w:r>
      <w:r>
        <w:rPr>
          <w:rFonts w:cs="Guttman Drogolin"/>
          <w:rtl/>
          <w:lang w:bidi="he-IL"/>
        </w:rPr>
        <w:fldChar w:fldCharType="end"/>
      </w:r>
      <w:r w:rsidR="00B32A14" w:rsidRPr="00882F11">
        <w:rPr>
          <w:rFonts w:cs="Guttman Drogolin" w:hint="cs"/>
          <w:rtl/>
          <w:lang w:bidi="he-IL"/>
        </w:rPr>
        <w:t xml:space="preserve">בש"ך וט"ז הביאו מאו"ה כלל ל' שכתבו שהיתר שנכבש בכלי איסור אסור מדין כבוש כמבושל. </w:t>
      </w:r>
      <w:r w:rsidR="00036537" w:rsidRPr="00882F11">
        <w:rPr>
          <w:rFonts w:cs="Guttman Drogolin" w:hint="cs"/>
          <w:rtl/>
          <w:lang w:bidi="he-IL"/>
        </w:rPr>
        <w:t xml:space="preserve">ותמהו עליו, דהא קיי"ל שאין אומרים כבוש כמבושל עד שיעבור מעל"ע. וא"כ עד שיהא כמבושל כבר יהיו הבליעות נטל"פ, וא"כ איזה מקום יש לאסור. </w:t>
      </w:r>
      <w:r w:rsidR="000F74FF" w:rsidRPr="00882F11">
        <w:rPr>
          <w:rFonts w:cs="Guttman Drogolin" w:hint="cs"/>
          <w:rtl/>
          <w:lang w:bidi="he-IL"/>
        </w:rPr>
        <w:t>וידועים דברי הכרו"פ דסבר שפעולת הבישול דכבוש כמבושל אינו בבת א' מיד בתום המעל"ע, אלא הרי הוא נכנס מעט מעט דרך המעל"ע, רק מקודם עדיין לא נכנס מספיק טעם כדי לאסור, אבל אחרי מעל"ע כבר חיישינן לטעם שנכנס בה. ותמהו האחרונים על דבריו כמה תמיהות. חדא תמה החוו"ד שלדברי הכרו"פ יוצ</w:t>
      </w:r>
      <w:r w:rsidR="006409FF" w:rsidRPr="00882F11">
        <w:rPr>
          <w:rFonts w:cs="Guttman Drogolin" w:hint="cs"/>
          <w:rtl/>
          <w:lang w:bidi="he-IL"/>
        </w:rPr>
        <w:t>א שדברים האוסרים במשהו נאסרים מ</w:t>
      </w:r>
      <w:r w:rsidR="000F74FF" w:rsidRPr="00882F11">
        <w:rPr>
          <w:rFonts w:cs="Guttman Drogolin" w:hint="cs"/>
          <w:rtl/>
          <w:lang w:bidi="he-IL"/>
        </w:rPr>
        <w:t>יד מדין כבו</w:t>
      </w:r>
      <w:r w:rsidR="006409FF" w:rsidRPr="00882F11">
        <w:rPr>
          <w:rFonts w:cs="Guttman Drogolin" w:hint="cs"/>
          <w:rtl/>
          <w:lang w:bidi="he-IL"/>
        </w:rPr>
        <w:t>ש</w:t>
      </w:r>
      <w:r w:rsidR="000F74FF" w:rsidRPr="00882F11">
        <w:rPr>
          <w:rFonts w:cs="Guttman Drogolin" w:hint="cs"/>
          <w:rtl/>
          <w:lang w:bidi="he-IL"/>
        </w:rPr>
        <w:t xml:space="preserve"> כמבושל ולא צריכים מעל"ע. ובבדה"ש עמ' רנ"ג העיר שהרי יש דבר גדול שנכבש ויש דבר קטן, והאיך נימא שחלק נכנס מעיקרא ובכל הדבר האסורים לא איכפת לן איזה גודל אינו אוסר עד עמל"ע עד כמה שבאמת כבר נכנס בה ממן האיסור מקודם. ומאידך לכאורה דבר מוזר הוא לומר שכל הטעם נכנס ממש בבת א' בסוף המעל"ע ומקודם לא נכנס כלום, וכ"כ הכרו"פ שם באמת להעמיד שיטתו וראיתי במגי"ס שר"ל על דרך הכרו"פ, והיינו דאע"ג שאין הכל נכנס בבת א', מ"מ מה שנכנס מקודם אין עליו שם איסור משום אי חשיבותו. והוא על דרך קיוהא המבואר בטור באו"ח תמ"ב</w:t>
      </w:r>
      <w:r w:rsidR="000F74FF" w:rsidRPr="00882F11">
        <w:rPr>
          <w:rStyle w:val="FootnoteReference"/>
          <w:rFonts w:cs="Guttman Drogolin"/>
          <w:rtl/>
          <w:lang w:bidi="he-IL"/>
        </w:rPr>
        <w:footnoteReference w:id="399"/>
      </w:r>
      <w:r w:rsidR="000F74FF" w:rsidRPr="00882F11">
        <w:rPr>
          <w:rFonts w:cs="Guttman Drogolin" w:hint="cs"/>
          <w:rtl/>
          <w:lang w:bidi="he-IL"/>
        </w:rPr>
        <w:t xml:space="preserve">. </w:t>
      </w:r>
      <w:r w:rsidR="00E2400F" w:rsidRPr="00882F11">
        <w:rPr>
          <w:rFonts w:cs="Guttman Drogolin" w:hint="cs"/>
          <w:rtl/>
          <w:lang w:bidi="he-IL"/>
        </w:rPr>
        <w:t>ולדבריו לא קשה כל הקושיות הנ"ל. אבל מאידך יוצא שהדין עם הש"ך והט"ז ולא עם האו"ה.</w:t>
      </w:r>
      <w:r w:rsidR="000F74FF" w:rsidRPr="00882F11">
        <w:rPr>
          <w:rFonts w:cs="Guttman Drogolin" w:hint="cs"/>
          <w:rtl/>
          <w:lang w:bidi="he-IL"/>
        </w:rPr>
        <w:t xml:space="preserve">  </w:t>
      </w:r>
      <w:r w:rsidR="00036537" w:rsidRPr="00882F11">
        <w:rPr>
          <w:rFonts w:cs="Guttman Drogolin" w:hint="cs"/>
          <w:rtl/>
          <w:lang w:bidi="he-IL"/>
        </w:rPr>
        <w:t xml:space="preserve"> </w:t>
      </w:r>
      <w:r w:rsidR="008D4158" w:rsidRPr="00882F11">
        <w:rPr>
          <w:rFonts w:cs="Guttman Drogolin" w:hint="cs"/>
          <w:rtl/>
          <w:lang w:bidi="he-IL"/>
        </w:rPr>
        <w:t xml:space="preserve"> </w:t>
      </w:r>
    </w:p>
    <w:p w:rsidR="00E2400F" w:rsidRPr="00882F11" w:rsidRDefault="00E2400F" w:rsidP="00E2400F">
      <w:pPr>
        <w:pStyle w:val="Heading1"/>
        <w:bidi/>
        <w:spacing w:before="0" w:line="360" w:lineRule="auto"/>
        <w:jc w:val="center"/>
        <w:rPr>
          <w:rFonts w:cs="Guttman Drogolin"/>
          <w:color w:val="auto"/>
          <w:sz w:val="24"/>
          <w:szCs w:val="24"/>
          <w:u w:val="single"/>
          <w:rtl/>
          <w:lang w:bidi="he-IL"/>
        </w:rPr>
      </w:pPr>
      <w:bookmarkStart w:id="401" w:name="_Toc496175648"/>
      <w:r w:rsidRPr="00882F11">
        <w:rPr>
          <w:rFonts w:cs="Guttman Drogolin" w:hint="cs"/>
          <w:color w:val="auto"/>
          <w:sz w:val="24"/>
          <w:szCs w:val="24"/>
          <w:u w:val="single"/>
          <w:rtl/>
          <w:lang w:bidi="he-IL"/>
        </w:rPr>
        <w:t>ספק כבוש</w:t>
      </w:r>
      <w:bookmarkEnd w:id="401"/>
    </w:p>
    <w:p w:rsidR="00E2400F" w:rsidRPr="00882F11" w:rsidRDefault="001714D2" w:rsidP="00E2400F">
      <w:pPr>
        <w:tabs>
          <w:tab w:val="right" w:pos="7497"/>
        </w:tabs>
        <w:bidi/>
        <w:jc w:val="both"/>
        <w:rPr>
          <w:rFonts w:cs="Guttman Drogolin"/>
          <w:rtl/>
          <w:lang w:bidi="he-IL"/>
        </w:rPr>
      </w:pPr>
      <w:r>
        <w:rPr>
          <w:rFonts w:cs="Guttman Drogolin"/>
          <w:rtl/>
          <w:lang w:bidi="he-IL"/>
        </w:rPr>
        <w:fldChar w:fldCharType="begin"/>
      </w:r>
      <w:r>
        <w:instrText xml:space="preserve"> XE "</w:instrText>
      </w:r>
      <w:r w:rsidRPr="00A93FF7">
        <w:rPr>
          <w:rFonts w:hint="cs"/>
          <w:rtl/>
          <w:lang w:bidi="he-IL"/>
        </w:rPr>
        <w:instrText>כבוש</w:instrText>
      </w:r>
      <w:r w:rsidRPr="00A93FF7">
        <w:rPr>
          <w:rtl/>
        </w:rPr>
        <w:instrText>:</w:instrText>
      </w:r>
      <w:r w:rsidRPr="00A93FF7">
        <w:rPr>
          <w:rFonts w:hint="cs"/>
          <w:rtl/>
          <w:lang w:bidi="he-IL"/>
        </w:rPr>
        <w:instrText>ספק כבוש</w:instrText>
      </w:r>
      <w:r>
        <w:instrText xml:space="preserve">" </w:instrText>
      </w:r>
      <w:r>
        <w:rPr>
          <w:rFonts w:cs="Guttman Drogolin"/>
          <w:rtl/>
          <w:lang w:bidi="he-IL"/>
        </w:rPr>
        <w:fldChar w:fldCharType="end"/>
      </w:r>
      <w:r w:rsidR="00E2400F" w:rsidRPr="00882F11">
        <w:rPr>
          <w:rFonts w:cs="Guttman Drogolin" w:hint="cs"/>
          <w:rtl/>
          <w:lang w:bidi="he-IL"/>
        </w:rPr>
        <w:t xml:space="preserve">רמ"א כתב להחמיר בספק כבוש כיון שכבוש כמבושל מדאורייתא אא"כ חוץ מבשר בחלב שבה כבוש אינו כמבושל מדאורייתא כיון שדרך בישול אסרה תורה. </w:t>
      </w:r>
      <w:r w:rsidR="00C933C0" w:rsidRPr="00882F11">
        <w:rPr>
          <w:rFonts w:cs="Guttman Drogolin" w:hint="cs"/>
          <w:rtl/>
          <w:lang w:bidi="he-IL"/>
        </w:rPr>
        <w:t xml:space="preserve">והעיר הט"ז שלכאורה יש להתיר </w:t>
      </w:r>
      <w:r w:rsidR="00C933C0" w:rsidRPr="00882F11">
        <w:rPr>
          <w:rFonts w:cs="Guttman Drogolin" w:hint="cs"/>
          <w:rtl/>
          <w:lang w:bidi="he-IL"/>
        </w:rPr>
        <w:lastRenderedPageBreak/>
        <w:t>אפילו באיסורים דאורייתא כיון שיש חזקת היתר דומיא דממקוה שנמדד ונמצא חסר. וע' בנקוה"כ שדחה דשאני הכא שיש ריעותא לפנינו כיון שהי' בתוך משקין. ובש"ש (ש"ג פ"ז) העיר על הנקוה"כ בתרתי, חדא דלמה יש לנו לומר שיש ריעותא, הא אע"ג שהי' בתוך המיים מ"מ אין לנו שום ריעותא שבלע כלל. ועוד שהרי קיי"ל להקל ולסמוך אחזקת היתר אפילו היכא שיש ריעותא. ומשו"ה כתב הש"ש ליישב שיטת הרמ"א שאין לדון כאן משום חזקת היתר, שאין אנו דנים אדינו של ההיתר אלא אם יש כאן גם איסור, ולזה לא מהני חזקת היתר. והש"ש כתב שהוא משום דלא אמרינן חענ"ן בשאר איסורים, וכוונתו דאילו היינו אומרים חענ"ן בשאר איסורים הא שייך הספק לחפצא של היתר עצמו, וא"כ שפיר מהני החזקת היתר לומר שהוא מותר. והוסיף שאפילו לרמ"א עצמו שהחמיר לומר חענ"ן בשאר איסורים, מ"מ אין גדר החענ"ן שהוא אסור בעצמו. ולכאורה ראי' לדבריו מזה שאינו עושה חהר"ל אפילו למ"ד אמרינן חענ"ן בשאר איסורים, וכמו שהארכנו בזה לעיל. אמנם עצם הדבר לכאורה צ"ע, שאפילו אם הי' החתיכה אסורה מכח עצמו לא הי' מקום להתיר ע"פ חזקת היתר, דהא אין החזקה מתיר אלא עצם החתיכה לומר שאין חענ"ן, אבל עדיין יש לאסור משום תערובת האיסור עצמו דלא מהני לה חזקה וכסברת הש"ש. וראיתי במילואי שמעתתא שכתב שבזה הש"ש לשיטתו בש"ד פ"ד שהחזקה לחפצא עצמה מהני גם לדברים אחרים. ואכמ"ל.</w:t>
      </w:r>
    </w:p>
    <w:p w:rsidR="00A819E0" w:rsidRPr="00882F11" w:rsidRDefault="00A819E0" w:rsidP="003E7B05">
      <w:pPr>
        <w:tabs>
          <w:tab w:val="right" w:pos="7497"/>
        </w:tabs>
        <w:bidi/>
        <w:jc w:val="both"/>
        <w:rPr>
          <w:rFonts w:cs="Guttman Drogolin"/>
          <w:rtl/>
          <w:lang w:bidi="he-IL"/>
        </w:rPr>
      </w:pPr>
    </w:p>
    <w:p w:rsidR="003E7B05" w:rsidRPr="00882F11" w:rsidRDefault="003E7B05" w:rsidP="003E7B05">
      <w:pPr>
        <w:tabs>
          <w:tab w:val="right" w:pos="7497"/>
        </w:tabs>
        <w:bidi/>
        <w:jc w:val="both"/>
        <w:rPr>
          <w:rFonts w:cs="Guttman Drogolin"/>
          <w:rtl/>
          <w:lang w:bidi="he-IL"/>
        </w:rPr>
        <w:sectPr w:rsidR="003E7B05" w:rsidRPr="00882F11" w:rsidSect="006D0A1E">
          <w:type w:val="continuous"/>
          <w:pgSz w:w="11907" w:h="16839" w:code="9"/>
          <w:pgMar w:top="1440" w:right="1440" w:bottom="1440" w:left="1440" w:header="720" w:footer="720" w:gutter="0"/>
          <w:cols w:num="2" w:space="720"/>
          <w:bidi/>
          <w:docGrid w:linePitch="360"/>
        </w:sectPr>
      </w:pPr>
    </w:p>
    <w:p w:rsidR="00A819E0" w:rsidRPr="006D0A1E" w:rsidRDefault="00A819E0" w:rsidP="00A819E0">
      <w:pPr>
        <w:keepNext/>
        <w:tabs>
          <w:tab w:val="left" w:pos="3818"/>
          <w:tab w:val="center" w:pos="4680"/>
        </w:tabs>
        <w:bidi/>
        <w:jc w:val="center"/>
        <w:rPr>
          <w:rFonts w:cs="Guttman Drogolin"/>
          <w:b/>
          <w:bCs/>
          <w:sz w:val="48"/>
          <w:szCs w:val="48"/>
          <w:rtl/>
          <w:lang w:bidi="he-IL"/>
        </w:rPr>
      </w:pPr>
      <w:r w:rsidRPr="006D0A1E">
        <w:rPr>
          <w:rFonts w:cs="Guttman Drogolin" w:hint="cs"/>
          <w:b/>
          <w:bCs/>
          <w:sz w:val="48"/>
          <w:szCs w:val="48"/>
          <w:rtl/>
          <w:lang w:bidi="he-IL"/>
        </w:rPr>
        <w:lastRenderedPageBreak/>
        <w:t>שיעור צ"ט</w:t>
      </w:r>
    </w:p>
    <w:p w:rsidR="006D0A1E" w:rsidRDefault="006D0A1E" w:rsidP="00A819E0">
      <w:pPr>
        <w:pStyle w:val="Heading1"/>
        <w:bidi/>
        <w:spacing w:before="0" w:line="360" w:lineRule="auto"/>
        <w:jc w:val="center"/>
        <w:rPr>
          <w:rFonts w:cs="Guttman Drogolin"/>
          <w:color w:val="auto"/>
          <w:sz w:val="24"/>
          <w:szCs w:val="24"/>
          <w:u w:val="single"/>
          <w:rtl/>
          <w:lang w:bidi="he-IL"/>
        </w:rPr>
        <w:sectPr w:rsidR="006D0A1E" w:rsidSect="006D0A1E">
          <w:headerReference w:type="default" r:id="rId75"/>
          <w:pgSz w:w="11907" w:h="16839" w:code="9"/>
          <w:pgMar w:top="1440" w:right="1440" w:bottom="1440" w:left="1440" w:header="720" w:footer="720" w:gutter="0"/>
          <w:cols w:space="720"/>
          <w:bidi/>
          <w:docGrid w:linePitch="360"/>
        </w:sectPr>
      </w:pPr>
    </w:p>
    <w:p w:rsidR="00A819E0" w:rsidRPr="00882F11" w:rsidRDefault="00A819E0" w:rsidP="00A819E0">
      <w:pPr>
        <w:pStyle w:val="Heading1"/>
        <w:bidi/>
        <w:spacing w:before="0" w:line="360" w:lineRule="auto"/>
        <w:jc w:val="center"/>
        <w:rPr>
          <w:rFonts w:cs="Guttman Drogolin"/>
          <w:color w:val="auto"/>
          <w:sz w:val="24"/>
          <w:szCs w:val="24"/>
          <w:u w:val="single"/>
          <w:rtl/>
          <w:lang w:bidi="he-IL"/>
        </w:rPr>
      </w:pPr>
      <w:bookmarkStart w:id="402" w:name="_Toc496175649"/>
      <w:r w:rsidRPr="00882F11">
        <w:rPr>
          <w:rFonts w:cs="Guttman Drogolin" w:hint="cs"/>
          <w:color w:val="auto"/>
          <w:sz w:val="24"/>
          <w:szCs w:val="24"/>
          <w:u w:val="single"/>
          <w:rtl/>
          <w:lang w:bidi="he-IL"/>
        </w:rPr>
        <w:lastRenderedPageBreak/>
        <w:t>חיוב הדחה כשנגעו מאכלים זה בזה</w:t>
      </w:r>
      <w:bookmarkEnd w:id="402"/>
    </w:p>
    <w:p w:rsidR="00B85BC3" w:rsidRPr="00882F11" w:rsidRDefault="001714D2" w:rsidP="00581F00">
      <w:pPr>
        <w:tabs>
          <w:tab w:val="right" w:pos="7497"/>
        </w:tabs>
        <w:bidi/>
        <w:jc w:val="both"/>
        <w:rPr>
          <w:rFonts w:cs="Guttman Drogolin"/>
          <w:rtl/>
          <w:lang w:bidi="he-IL"/>
        </w:rPr>
      </w:pPr>
      <w:r>
        <w:rPr>
          <w:rFonts w:cs="Guttman Drogolin"/>
          <w:rtl/>
          <w:lang w:bidi="he-IL"/>
        </w:rPr>
        <w:fldChar w:fldCharType="begin"/>
      </w:r>
      <w:r>
        <w:instrText xml:space="preserve"> XE "</w:instrText>
      </w:r>
      <w:r w:rsidRPr="0032055C">
        <w:rPr>
          <w:rFonts w:hint="cs"/>
          <w:rtl/>
          <w:lang w:bidi="he-IL"/>
        </w:rPr>
        <w:instrText>נגעו מאכלים זו בזו</w:instrText>
      </w:r>
      <w:r w:rsidRPr="0032055C">
        <w:rPr>
          <w:rtl/>
        </w:rPr>
        <w:instrText>:</w:instrText>
      </w:r>
      <w:r w:rsidRPr="0032055C">
        <w:rPr>
          <w:rFonts w:hint="cs"/>
          <w:rtl/>
          <w:lang w:bidi="he-IL"/>
        </w:rPr>
        <w:instrText>חיוב הדחה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E4634F">
        <w:rPr>
          <w:rFonts w:hint="cs"/>
          <w:rtl/>
          <w:lang w:bidi="he-IL"/>
        </w:rPr>
        <w:instrText>הדחה</w:instrText>
      </w:r>
      <w:r w:rsidRPr="00E4634F">
        <w:rPr>
          <w:rtl/>
        </w:rPr>
        <w:instrText>:</w:instrText>
      </w:r>
      <w:r>
        <w:rPr>
          <w:rFonts w:hint="cs"/>
          <w:rtl/>
          <w:lang w:bidi="he-IL"/>
        </w:rPr>
        <w:instrText>כשנ</w:instrText>
      </w:r>
      <w:r w:rsidRPr="00E4634F">
        <w:rPr>
          <w:rFonts w:hint="cs"/>
          <w:rtl/>
          <w:lang w:bidi="he-IL"/>
        </w:rPr>
        <w:instrText>געו מאכלים זו בזו</w:instrText>
      </w:r>
      <w:r>
        <w:instrText xml:space="preserve">" </w:instrText>
      </w:r>
      <w:r>
        <w:rPr>
          <w:rFonts w:cs="Guttman Drogolin"/>
          <w:rtl/>
          <w:lang w:bidi="he-IL"/>
        </w:rPr>
        <w:fldChar w:fldCharType="end"/>
      </w:r>
      <w:r w:rsidR="00A819E0" w:rsidRPr="00882F11">
        <w:rPr>
          <w:rFonts w:cs="Guttman Drogolin" w:hint="cs"/>
          <w:rtl/>
          <w:lang w:bidi="he-IL"/>
        </w:rPr>
        <w:t>איתא במתני' במס' חולין דף ק"ז ע"ב "</w:t>
      </w:r>
      <w:r w:rsidR="00A819E0" w:rsidRPr="00882F11">
        <w:rPr>
          <w:rFonts w:cs="Guttman Drogolin"/>
          <w:rtl/>
          <w:lang w:bidi="he-IL"/>
        </w:rPr>
        <w:t>צורר אדם בשר וגבינה במטפחת אחת ובלבד שלא יהו נוגעין זה בזה</w:t>
      </w:r>
      <w:r w:rsidR="00A819E0" w:rsidRPr="00882F11">
        <w:rPr>
          <w:rFonts w:cs="Guttman Drogolin" w:hint="cs"/>
          <w:rtl/>
          <w:lang w:bidi="he-IL"/>
        </w:rPr>
        <w:t xml:space="preserve">". ובגמ' </w:t>
      </w:r>
      <w:r w:rsidR="00581F00" w:rsidRPr="00882F11">
        <w:rPr>
          <w:rFonts w:cs="Guttman Drogolin" w:hint="cs"/>
          <w:rtl/>
          <w:lang w:bidi="he-IL"/>
        </w:rPr>
        <w:t>"</w:t>
      </w:r>
      <w:r w:rsidR="00581F00" w:rsidRPr="00882F11">
        <w:rPr>
          <w:rFonts w:cs="Guttman Drogolin"/>
          <w:rtl/>
          <w:lang w:bidi="he-IL"/>
        </w:rPr>
        <w:t>וכי נוגע זה בזה מאי הוי</w:t>
      </w:r>
      <w:r w:rsidR="00A819E0" w:rsidRPr="00882F11">
        <w:rPr>
          <w:rFonts w:cs="Guttman Drogolin"/>
          <w:rtl/>
          <w:lang w:bidi="he-IL"/>
        </w:rPr>
        <w:t xml:space="preserve"> צונן בצונן הוא</w:t>
      </w:r>
      <w:r w:rsidR="00581F00" w:rsidRPr="00882F11">
        <w:rPr>
          <w:rFonts w:cs="Guttman Drogolin" w:hint="cs"/>
          <w:rtl/>
          <w:lang w:bidi="he-IL"/>
        </w:rPr>
        <w:t>.</w:t>
      </w:r>
      <w:r w:rsidR="00A819E0" w:rsidRPr="00882F11">
        <w:rPr>
          <w:rFonts w:cs="Guttman Drogolin"/>
          <w:rtl/>
          <w:lang w:bidi="he-IL"/>
        </w:rPr>
        <w:t xml:space="preserve"> אמר אביי נהי דקליפה לא בעי, הדחה מי לא בעי</w:t>
      </w:r>
      <w:r w:rsidR="00581F00" w:rsidRPr="00882F11">
        <w:rPr>
          <w:rFonts w:cs="Guttman Drogolin" w:hint="cs"/>
          <w:rtl/>
          <w:lang w:bidi="he-IL"/>
        </w:rPr>
        <w:t xml:space="preserve">". ולמדנו מזה שאמנם צונן אינו מבליע לתוך צונן, מ"מ יש חיוב להדיח המאכלים כשנגעו זה בזה אפילו כשהם צוננים. ודקדקו הראשונים  ממתני' עוד יותר מזה, דלא זו בלבד שצריך להדיח אם נגעו זב"ז, אלא שאין להניח בשר וגבינה במטפחת א' אם יש חשש שיגעו זב"ז, אע"פ שיכול להדיחם ויהא מותר, ומשום שחוששים שאולי ישכח מלהדיחם. וכתב בזה </w:t>
      </w:r>
      <w:r w:rsidR="00B85BC3" w:rsidRPr="00882F11">
        <w:rPr>
          <w:rFonts w:cs="Guttman Drogolin" w:hint="cs"/>
          <w:rtl/>
          <w:lang w:bidi="he-IL"/>
        </w:rPr>
        <w:t>הטור סי' צ"א בשם בעל העיטור, דכיון שהחשש משום חשש שכחה מהלדיח, אם הוא מאכל שדרכו בהדחה, מותר להגיע אותו למאכל השני, דהא מ"מ ידיחנו כיון שדרכו בהדחה. וראיתי בשם ס' הבתים שהביא י"א שהטעם שצריכים להקפיד שלא יהיו נוגעים א' בשני אינו משום חשש שכחה אלא משום חשש שמא לא ידחנו יפה יפה. וא"כ אפילו דבר שד</w:t>
      </w:r>
      <w:r w:rsidR="00087B22" w:rsidRPr="00882F11">
        <w:rPr>
          <w:rFonts w:cs="Guttman Drogolin" w:hint="cs"/>
          <w:rtl/>
          <w:lang w:bidi="he-IL"/>
        </w:rPr>
        <w:t>ר</w:t>
      </w:r>
      <w:r w:rsidR="00B85BC3" w:rsidRPr="00882F11">
        <w:rPr>
          <w:rFonts w:cs="Guttman Drogolin" w:hint="cs"/>
          <w:rtl/>
          <w:lang w:bidi="he-IL"/>
        </w:rPr>
        <w:t>כו בהדחה יש לאסור.</w:t>
      </w:r>
      <w:r w:rsidR="00087B22" w:rsidRPr="00882F11">
        <w:rPr>
          <w:rFonts w:cs="Guttman Drogolin" w:hint="cs"/>
          <w:rtl/>
          <w:lang w:bidi="he-IL"/>
        </w:rPr>
        <w:t xml:space="preserve"> והשו"ע נקט דכה"ג יש לאסור. </w:t>
      </w:r>
    </w:p>
    <w:p w:rsidR="00EB3283" w:rsidRPr="00882F11" w:rsidRDefault="00EB3283" w:rsidP="00EB3283">
      <w:pPr>
        <w:tabs>
          <w:tab w:val="right" w:pos="7497"/>
        </w:tabs>
        <w:bidi/>
        <w:jc w:val="both"/>
        <w:rPr>
          <w:rFonts w:cs="Guttman Drogolin"/>
          <w:rtl/>
        </w:rPr>
      </w:pPr>
      <w:r w:rsidRPr="00882F11">
        <w:rPr>
          <w:rFonts w:cs="Guttman Drogolin" w:hint="cs"/>
          <w:rtl/>
          <w:lang w:bidi="he-IL"/>
        </w:rPr>
        <w:t>ונראה מן המתני' שיש חידוש בזה שיכול להניחם במטפחת א' באופן שאין נוגעים זב"ז. ובתו"ח על אתר פי' שהחידוש הוא משום דסד"א שאסור כיון שיש חשש שמא יבא לאכלם ביחד, דומיא דסיפא דמתני' "</w:t>
      </w:r>
      <w:r w:rsidRPr="00882F11">
        <w:rPr>
          <w:rFonts w:cs="Guttman Drogolin"/>
          <w:rtl/>
          <w:lang w:bidi="he-IL"/>
        </w:rPr>
        <w:t xml:space="preserve">שני אכסנאין אוכלין על שלחן אחד </w:t>
      </w:r>
      <w:r w:rsidRPr="00882F11">
        <w:rPr>
          <w:rFonts w:cs="Guttman Drogolin" w:hint="cs"/>
          <w:rtl/>
          <w:lang w:bidi="he-IL"/>
        </w:rPr>
        <w:t>וכו'". אמנם לשון הטור ושו"ע ברסי' צ"א "</w:t>
      </w:r>
      <w:r w:rsidRPr="00882F11">
        <w:rPr>
          <w:rFonts w:cs="Guttman Drogolin"/>
          <w:rtl/>
          <w:lang w:bidi="he-IL"/>
        </w:rPr>
        <w:t>ומותר לצור אותם במטפחת אחת, ולא חיישינן שמא יגעו זה בזה</w:t>
      </w:r>
      <w:r w:rsidRPr="00882F11">
        <w:rPr>
          <w:rFonts w:cs="Guttman Drogolin" w:hint="cs"/>
          <w:rtl/>
          <w:lang w:bidi="he-IL"/>
        </w:rPr>
        <w:t>". ומשמע</w:t>
      </w:r>
      <w:r w:rsidR="00AB6BE1" w:rsidRPr="00882F11">
        <w:rPr>
          <w:rFonts w:cs="Guttman Drogolin" w:hint="cs"/>
          <w:rtl/>
          <w:lang w:bidi="he-IL"/>
        </w:rPr>
        <w:t xml:space="preserve"> חי</w:t>
      </w:r>
      <w:r w:rsidRPr="00882F11">
        <w:rPr>
          <w:rFonts w:cs="Guttman Drogolin" w:hint="cs"/>
          <w:rtl/>
          <w:lang w:bidi="he-IL"/>
        </w:rPr>
        <w:t>דוש אחר</w:t>
      </w:r>
      <w:r w:rsidR="00AB6BE1" w:rsidRPr="00882F11">
        <w:rPr>
          <w:rFonts w:cs="Guttman Drogolin" w:hint="cs"/>
          <w:rtl/>
          <w:lang w:bidi="he-IL"/>
        </w:rPr>
        <w:t>, שאין חוששים שיגעו מן הסתם. ובבדה"ש העיר בהבנת הדברים, שלטלטלם במטפחת א' כששניהם מגולים, פשיטא שיגעו זב"ז ואסור, ואם כל א' כרוך לעצמו, פשיטא. וע"ד הפשט נראה ששניהם כר</w:t>
      </w:r>
      <w:r w:rsidR="00C352F9" w:rsidRPr="00882F11">
        <w:rPr>
          <w:rFonts w:cs="Guttman Drogolin" w:hint="cs"/>
          <w:rtl/>
          <w:lang w:bidi="he-IL"/>
        </w:rPr>
        <w:t>וכים לעצמם אבל מ"מ הייתי אומר ש</w:t>
      </w:r>
      <w:r w:rsidR="00AB6BE1" w:rsidRPr="00882F11">
        <w:rPr>
          <w:rFonts w:cs="Guttman Drogolin" w:hint="cs"/>
          <w:rtl/>
          <w:lang w:bidi="he-IL"/>
        </w:rPr>
        <w:t>חוששים אולי יתגלו ויגעו א' בשני, וקמ"ל שלא.</w:t>
      </w:r>
    </w:p>
    <w:p w:rsidR="008A28D7" w:rsidRPr="00882F11" w:rsidRDefault="00B85BC3" w:rsidP="004F357F">
      <w:pPr>
        <w:tabs>
          <w:tab w:val="right" w:pos="7497"/>
        </w:tabs>
        <w:bidi/>
        <w:jc w:val="both"/>
        <w:rPr>
          <w:rFonts w:cs="Guttman Drogolin"/>
          <w:rtl/>
          <w:lang w:bidi="he-IL"/>
        </w:rPr>
      </w:pPr>
      <w:r w:rsidRPr="00882F11">
        <w:rPr>
          <w:rFonts w:cs="Guttman Drogolin" w:hint="cs"/>
          <w:rtl/>
          <w:lang w:bidi="he-IL"/>
        </w:rPr>
        <w:lastRenderedPageBreak/>
        <w:t>ויל"ע מהו הדין בדיעבד אם לא הדיח. ור"ל מה יהא הדין אם לא הריחו דבר ושוב בישלו, או"ד דבר שלא שייך לגבי' הדחה האם אסור בדיעבד.</w:t>
      </w:r>
      <w:r w:rsidR="00087B22" w:rsidRPr="00882F11">
        <w:rPr>
          <w:rFonts w:cs="Guttman Drogolin" w:hint="cs"/>
          <w:rtl/>
          <w:lang w:bidi="he-IL"/>
        </w:rPr>
        <w:t xml:space="preserve"> והנה הט"ז בס"ק ב' כתב בשם רש"ל </w:t>
      </w:r>
      <w:r w:rsidR="004F357F" w:rsidRPr="00882F11">
        <w:rPr>
          <w:rFonts w:cs="Guttman Drogolin" w:hint="cs"/>
          <w:rtl/>
          <w:lang w:bidi="he-IL"/>
        </w:rPr>
        <w:t>"</w:t>
      </w:r>
      <w:r w:rsidR="004F357F" w:rsidRPr="00882F11">
        <w:rPr>
          <w:rFonts w:cs="Guttman Drogolin"/>
          <w:rtl/>
          <w:lang w:bidi="he-IL"/>
        </w:rPr>
        <w:t xml:space="preserve">וכ"ש שלא יפה עושים אותם הקונים מיני קשואים מלוחים שקורין אוגרקי"ש עם מי המלח ואוכלים בקערה שלהם </w:t>
      </w:r>
      <w:r w:rsidR="004F357F" w:rsidRPr="00882F11">
        <w:rPr>
          <w:rFonts w:cs="Guttman Drogolin" w:hint="cs"/>
          <w:rtl/>
          <w:lang w:bidi="he-IL"/>
        </w:rPr>
        <w:t xml:space="preserve">[פי' של הכותיים] </w:t>
      </w:r>
      <w:r w:rsidR="004F357F" w:rsidRPr="00882F11">
        <w:rPr>
          <w:rFonts w:cs="Guttman Drogolin"/>
          <w:rtl/>
          <w:lang w:bidi="he-IL"/>
        </w:rPr>
        <w:t>שהרי אפי' הקשואים צריכים הדחה אם הושמו בקערה שלהם וא"כ המי המלח דלא שייך בו הדחה נאסרה כולה</w:t>
      </w:r>
      <w:r w:rsidR="004F357F" w:rsidRPr="00882F11">
        <w:rPr>
          <w:rFonts w:cs="Guttman Drogolin" w:hint="cs"/>
          <w:rtl/>
          <w:lang w:bidi="he-IL"/>
        </w:rPr>
        <w:t>". ולכאורה נראה מדבריו</w:t>
      </w:r>
      <w:r w:rsidR="00970411" w:rsidRPr="00882F11">
        <w:rPr>
          <w:rFonts w:cs="Guttman Drogolin" w:hint="cs"/>
          <w:rtl/>
          <w:lang w:bidi="he-IL"/>
        </w:rPr>
        <w:t xml:space="preserve"> שהדחה מעכבת בדיעבד, ואם לא הדיח הרי זה אסור. והחוו"ד כתב שאין זה יכול להיות אמת, </w:t>
      </w:r>
      <w:r w:rsidR="008A28D7" w:rsidRPr="00882F11">
        <w:rPr>
          <w:rFonts w:cs="Guttman Drogolin" w:hint="cs"/>
          <w:rtl/>
          <w:lang w:bidi="he-IL"/>
        </w:rPr>
        <w:t>דהא מבואר (חולין קי"ב ע"א) שבר גוזלא דנפל לכדא לכמכא אף הכמכא שרי, וצ"ע שהרי אי אפשר להדיחו. ואני אוסיף בזה פליאה, דהא הט"ז עצמו בס"ק דלעיל מיני' כתב בהדיא שבלי הדחה אינו אוסר בדיעבד, וא"כ היכי כתב כאן שאוסר בדיעבד. והחוו"ד ר"ל דאה"נ ואינו בדיעבד, אמנם אם עשה כן במזיד, כיון שאסור לבטל איסור לכתחילה הרי זה אוסר. ובהגהות אמרי ברוך תמה על פירוש זה כיון שאין כוונתו לבטל. וצ"ע.</w:t>
      </w:r>
    </w:p>
    <w:p w:rsidR="00B85BC3" w:rsidRPr="00882F11" w:rsidRDefault="008A28D7" w:rsidP="00413C93">
      <w:pPr>
        <w:tabs>
          <w:tab w:val="right" w:pos="7497"/>
        </w:tabs>
        <w:bidi/>
        <w:jc w:val="both"/>
        <w:rPr>
          <w:rFonts w:cs="Guttman Drogolin"/>
          <w:lang w:bidi="he-IL"/>
        </w:rPr>
      </w:pPr>
      <w:r w:rsidRPr="00882F11">
        <w:rPr>
          <w:rFonts w:cs="Guttman Drogolin" w:hint="cs"/>
          <w:rtl/>
          <w:lang w:bidi="he-IL"/>
        </w:rPr>
        <w:t xml:space="preserve">והחוו"ד שם המשיך להסתפק בעצם דבר זה שאם לא הדיח שמותר בדיעבד, האם זה רק משום שמסתמא יש ששים כנגדו, או"ד אפילו אין ס' כנגדו מ"מ אינו אלא חומרא בעלמא ואינו אוסר בדיעבד. </w:t>
      </w:r>
      <w:r w:rsidR="00EB3283" w:rsidRPr="00882F11">
        <w:rPr>
          <w:rFonts w:cs="Guttman Drogolin" w:hint="cs"/>
          <w:rtl/>
          <w:lang w:bidi="he-IL"/>
        </w:rPr>
        <w:t>ודבר זה נפק"מ בכגון בשר וגבינה שנגעו זב"ז ואח"כ נצלו האם צריכים קלי</w:t>
      </w:r>
      <w:r w:rsidR="00413C93" w:rsidRPr="00882F11">
        <w:rPr>
          <w:rFonts w:cs="Guttman Drogolin" w:hint="cs"/>
          <w:rtl/>
          <w:lang w:bidi="he-IL"/>
        </w:rPr>
        <w:t>פ</w:t>
      </w:r>
      <w:r w:rsidR="00EB3283" w:rsidRPr="00882F11">
        <w:rPr>
          <w:rFonts w:cs="Guttman Drogolin" w:hint="cs"/>
          <w:rtl/>
          <w:lang w:bidi="he-IL"/>
        </w:rPr>
        <w:t xml:space="preserve">ה במקום נגיעתם מדינא או לא. </w:t>
      </w:r>
      <w:r w:rsidRPr="00882F11">
        <w:rPr>
          <w:rFonts w:cs="Guttman Drogolin" w:hint="cs"/>
          <w:rtl/>
          <w:lang w:bidi="he-IL"/>
        </w:rPr>
        <w:t xml:space="preserve">וכתב החוו"ד שהוא מחלוקת בשו"ע (או"ח סי' תס"ז סע' י"ב). </w:t>
      </w:r>
      <w:r w:rsidR="00EB3283" w:rsidRPr="00882F11">
        <w:rPr>
          <w:rFonts w:cs="Guttman Drogolin" w:hint="cs"/>
          <w:rtl/>
          <w:lang w:bidi="he-IL"/>
        </w:rPr>
        <w:t xml:space="preserve">ויוצא מחלוקת יסודית בדינא דהדחה, האם יש חשש שכשב' מאכלים נוגעים זב"ז יתדבקו ממשות של א' בשני או לא.   </w:t>
      </w:r>
      <w:r w:rsidR="004F357F" w:rsidRPr="00882F11">
        <w:rPr>
          <w:rFonts w:cs="Guttman Drogolin" w:hint="cs"/>
          <w:rtl/>
          <w:lang w:bidi="he-IL"/>
        </w:rPr>
        <w:t xml:space="preserve"> </w:t>
      </w:r>
    </w:p>
    <w:p w:rsidR="004F357F" w:rsidRPr="00882F11" w:rsidRDefault="004F357F" w:rsidP="004922A4">
      <w:pPr>
        <w:tabs>
          <w:tab w:val="right" w:pos="7497"/>
        </w:tabs>
        <w:bidi/>
        <w:jc w:val="both"/>
        <w:rPr>
          <w:rFonts w:cs="Guttman Drogolin"/>
          <w:rtl/>
          <w:lang w:bidi="he-IL"/>
        </w:rPr>
      </w:pPr>
      <w:r w:rsidRPr="00882F11">
        <w:rPr>
          <w:rFonts w:cs="Guttman Drogolin" w:hint="cs"/>
          <w:rtl/>
          <w:lang w:bidi="he-IL"/>
        </w:rPr>
        <w:t xml:space="preserve">ואיך עושים הדחה. הנה </w:t>
      </w:r>
      <w:r w:rsidR="00025968" w:rsidRPr="00882F11">
        <w:rPr>
          <w:rFonts w:cs="Guttman Drogolin" w:hint="cs"/>
          <w:rtl/>
          <w:lang w:bidi="he-IL"/>
        </w:rPr>
        <w:t>החוו"ד בס"ק א' הביא מ</w:t>
      </w:r>
      <w:r w:rsidRPr="00882F11">
        <w:rPr>
          <w:rFonts w:cs="Guttman Drogolin" w:hint="cs"/>
          <w:rtl/>
          <w:lang w:bidi="he-IL"/>
        </w:rPr>
        <w:t xml:space="preserve">תוה"א </w:t>
      </w:r>
      <w:r w:rsidR="00025968" w:rsidRPr="00882F11">
        <w:rPr>
          <w:rFonts w:cs="Guttman Drogolin" w:hint="cs"/>
          <w:rtl/>
          <w:lang w:bidi="he-IL"/>
        </w:rPr>
        <w:t xml:space="preserve">שהוא הדחה בלי שפשוף. ולא מצאתי שכתב כן התוה"א בהדיא, רק שכתב (בית ד' סוף שער א') שיש דברים שצריכים הדחה, ויש שצריך שפשוף גדול כגון דבר שמן שנתקנח בהיתר. </w:t>
      </w:r>
      <w:r w:rsidR="00025968" w:rsidRPr="00882F11">
        <w:rPr>
          <w:rFonts w:cs="Guttman Drogolin" w:hint="cs"/>
          <w:rtl/>
          <w:lang w:bidi="he-IL"/>
        </w:rPr>
        <w:lastRenderedPageBreak/>
        <w:t>ולכאורה מיני' דקדק החוו"ד שסתם הדחה היינו בלי שפשוף. אמנם ביד יהודה דקדק שאין לך הדחה שאין בה שפשוף כלל, דהא בס</w:t>
      </w:r>
      <w:r w:rsidR="004922A4" w:rsidRPr="00882F11">
        <w:rPr>
          <w:rFonts w:cs="Guttman Drogolin" w:hint="cs"/>
          <w:rtl/>
          <w:lang w:bidi="he-IL"/>
        </w:rPr>
        <w:t>ו</w:t>
      </w:r>
      <w:r w:rsidR="00025968" w:rsidRPr="00882F11">
        <w:rPr>
          <w:rFonts w:cs="Guttman Drogolin" w:hint="cs"/>
          <w:rtl/>
          <w:lang w:bidi="he-IL"/>
        </w:rPr>
        <w:t>ף מס' ע"ז מבואר שכלים שהשתמשו בהם בצונן מדיחן ומטבילן, ואם הדחה היא בלי שפשוף כלל הא בכלל טבילה יש גם שפשוף. וע"כ דהדחה צריך שפשוף. רק שיש לחלק בין דברים הצריכים שפשוף סתם לדברים הצריכים שפשוף גדול.</w:t>
      </w:r>
      <w:r w:rsidRPr="00882F11">
        <w:rPr>
          <w:rFonts w:cs="Guttman Drogolin" w:hint="cs"/>
          <w:rtl/>
          <w:lang w:bidi="he-IL"/>
        </w:rPr>
        <w:t xml:space="preserve"> </w:t>
      </w:r>
      <w:r w:rsidR="00025968" w:rsidRPr="00882F11">
        <w:rPr>
          <w:rFonts w:cs="Guttman Drogolin" w:hint="cs"/>
          <w:rtl/>
          <w:lang w:bidi="he-IL"/>
        </w:rPr>
        <w:t xml:space="preserve">והיד יהודה מבאר </w:t>
      </w:r>
      <w:r w:rsidR="00970411" w:rsidRPr="00882F11">
        <w:rPr>
          <w:rFonts w:cs="Guttman Drogolin" w:hint="cs"/>
          <w:rtl/>
          <w:lang w:bidi="he-IL"/>
        </w:rPr>
        <w:t xml:space="preserve">דיפה יפה היינו פעמיים או שלש. </w:t>
      </w:r>
    </w:p>
    <w:p w:rsidR="00AB6BE1" w:rsidRPr="00882F11" w:rsidRDefault="00E1099B" w:rsidP="00AB6BE1">
      <w:pPr>
        <w:pStyle w:val="Heading1"/>
        <w:bidi/>
        <w:spacing w:before="0" w:line="360" w:lineRule="auto"/>
        <w:jc w:val="center"/>
        <w:rPr>
          <w:rFonts w:cs="Guttman Drogolin"/>
          <w:color w:val="auto"/>
          <w:sz w:val="24"/>
          <w:szCs w:val="24"/>
          <w:u w:val="single"/>
          <w:rtl/>
          <w:lang w:bidi="he-IL"/>
        </w:rPr>
      </w:pPr>
      <w:bookmarkStart w:id="403" w:name="_Toc496175650"/>
      <w:r w:rsidRPr="00882F11">
        <w:rPr>
          <w:rFonts w:cs="Guttman Drogolin" w:hint="cs"/>
          <w:color w:val="auto"/>
          <w:sz w:val="24"/>
          <w:szCs w:val="24"/>
          <w:u w:val="single"/>
          <w:rtl/>
          <w:lang w:bidi="he-IL"/>
        </w:rPr>
        <w:t>א</w:t>
      </w:r>
      <w:r w:rsidR="00AB6BE1" w:rsidRPr="00882F11">
        <w:rPr>
          <w:rFonts w:cs="Guttman Drogolin" w:hint="cs"/>
          <w:color w:val="auto"/>
          <w:sz w:val="24"/>
          <w:szCs w:val="24"/>
          <w:u w:val="single"/>
          <w:rtl/>
          <w:lang w:bidi="he-IL"/>
        </w:rPr>
        <w:t>יזה נגיעה חייבת בהדחה</w:t>
      </w:r>
      <w:bookmarkEnd w:id="403"/>
    </w:p>
    <w:p w:rsidR="00923A15" w:rsidRPr="00882F11" w:rsidRDefault="001714D2" w:rsidP="001714D2">
      <w:pPr>
        <w:tabs>
          <w:tab w:val="right" w:pos="7497"/>
        </w:tabs>
        <w:bidi/>
        <w:jc w:val="both"/>
        <w:rPr>
          <w:rFonts w:cs="Guttman Drogolin"/>
          <w:rtl/>
          <w:lang w:bidi="he-IL"/>
        </w:rPr>
      </w:pPr>
      <w:r>
        <w:rPr>
          <w:rFonts w:cs="Guttman Drogolin"/>
          <w:rtl/>
          <w:lang w:bidi="he-IL"/>
        </w:rPr>
        <w:fldChar w:fldCharType="begin"/>
      </w:r>
      <w:r>
        <w:instrText xml:space="preserve"> XE "</w:instrText>
      </w:r>
      <w:r w:rsidRPr="00065374">
        <w:rPr>
          <w:rFonts w:hint="cs"/>
          <w:rtl/>
          <w:lang w:bidi="he-IL"/>
        </w:rPr>
        <w:instrText>הדחה</w:instrText>
      </w:r>
      <w:r w:rsidRPr="00065374">
        <w:rPr>
          <w:rtl/>
        </w:rPr>
        <w:instrText>:</w:instrText>
      </w:r>
      <w:r>
        <w:rPr>
          <w:rFonts w:hint="cs"/>
          <w:rtl/>
          <w:lang w:bidi="he-IL"/>
        </w:rPr>
        <w:instrText>איזה נגי</w:instrText>
      </w:r>
      <w:r w:rsidRPr="00065374">
        <w:rPr>
          <w:rFonts w:hint="cs"/>
          <w:rtl/>
          <w:lang w:bidi="he-IL"/>
        </w:rPr>
        <w:instrText>ע</w:instrText>
      </w:r>
      <w:r>
        <w:rPr>
          <w:rFonts w:hint="cs"/>
          <w:rtl/>
          <w:lang w:bidi="he-IL"/>
        </w:rPr>
        <w:instrText>ה</w:instrText>
      </w:r>
      <w:r w:rsidRPr="00065374">
        <w:rPr>
          <w:rFonts w:hint="cs"/>
          <w:rtl/>
          <w:lang w:bidi="he-IL"/>
        </w:rPr>
        <w:instrText xml:space="preserve"> מחייבת</w:instrText>
      </w:r>
      <w:r>
        <w:instrText xml:space="preserve">" </w:instrText>
      </w:r>
      <w:r>
        <w:rPr>
          <w:rFonts w:cs="Guttman Drogolin"/>
          <w:rtl/>
          <w:lang w:bidi="he-IL"/>
        </w:rPr>
        <w:fldChar w:fldCharType="end"/>
      </w:r>
      <w:r w:rsidR="00AB6BE1" w:rsidRPr="00882F11">
        <w:rPr>
          <w:rFonts w:cs="Guttman Drogolin" w:hint="cs"/>
          <w:rtl/>
          <w:lang w:bidi="he-IL"/>
        </w:rPr>
        <w:t>הנה בגמ' הנ"ל שאלו מה איכפת לן אם יגעו זב"ז. והקשה הב"ח, דמהו כל הקושיא, הא פשיטא שצריך הדחה. וכתב בזה הב"ח</w:t>
      </w:r>
      <w:r w:rsidR="009141A2" w:rsidRPr="00882F11">
        <w:rPr>
          <w:rStyle w:val="FootnoteReference"/>
          <w:rFonts w:cs="Guttman Drogolin"/>
          <w:rtl/>
          <w:lang w:bidi="he-IL"/>
        </w:rPr>
        <w:footnoteReference w:id="400"/>
      </w:r>
      <w:r w:rsidR="00AB6BE1" w:rsidRPr="00882F11">
        <w:rPr>
          <w:rFonts w:cs="Guttman Drogolin" w:hint="cs"/>
          <w:rtl/>
          <w:lang w:bidi="he-IL"/>
        </w:rPr>
        <w:t xml:space="preserve"> </w:t>
      </w:r>
      <w:r w:rsidR="00E1099B" w:rsidRPr="00882F11">
        <w:rPr>
          <w:rFonts w:cs="Guttman Drogolin" w:hint="cs"/>
          <w:rtl/>
          <w:lang w:bidi="he-IL"/>
        </w:rPr>
        <w:t>דע"כ לא בכל ענין צריכים הדחה, רק אם א' מהם לחה, אבל תרוייהו יבשין אין צריכים הדחה (וכבר הוזכר ברמ"א שצריך שיהי' לח אבל איהו כתב כן כשנגע בכלים, ויתבאר בסמוך). וכבר העירו האחרונים שחזינן בסע' ה' שגם דברים יבשים צריכים הדחה, וכתבן דמליחה שאני, וע' בשפ"ד בר</w:t>
      </w:r>
      <w:r w:rsidR="00923A15" w:rsidRPr="00882F11">
        <w:rPr>
          <w:rFonts w:cs="Guttman Drogolin" w:hint="cs"/>
          <w:rtl/>
          <w:lang w:bidi="he-IL"/>
        </w:rPr>
        <w:t>ה</w:t>
      </w:r>
      <w:r w:rsidR="00E1099B" w:rsidRPr="00882F11">
        <w:rPr>
          <w:rFonts w:cs="Guttman Drogolin" w:hint="cs"/>
          <w:rtl/>
          <w:lang w:bidi="he-IL"/>
        </w:rPr>
        <w:t xml:space="preserve">סי' שלא ידע לחלק בין מלוחין לאינן מלוחים. </w:t>
      </w:r>
      <w:r w:rsidR="00923A15" w:rsidRPr="00882F11">
        <w:rPr>
          <w:rFonts w:cs="Guttman Drogolin" w:hint="cs"/>
          <w:rtl/>
          <w:lang w:bidi="he-IL"/>
        </w:rPr>
        <w:t>ובחוו"ד כתב דמיני' לכל דברים החריפים שצריכים הדחה אפילו יבשים.</w:t>
      </w:r>
    </w:p>
    <w:p w:rsidR="00A939AA" w:rsidRPr="00882F11" w:rsidRDefault="00923A15" w:rsidP="00A939AA">
      <w:pPr>
        <w:tabs>
          <w:tab w:val="right" w:pos="7497"/>
        </w:tabs>
        <w:bidi/>
        <w:jc w:val="both"/>
        <w:rPr>
          <w:rFonts w:cs="Guttman Drogolin"/>
          <w:rtl/>
          <w:lang w:bidi="he-IL"/>
        </w:rPr>
      </w:pPr>
      <w:r w:rsidRPr="00882F11">
        <w:rPr>
          <w:rFonts w:cs="Guttman Drogolin" w:hint="cs"/>
          <w:rtl/>
          <w:lang w:bidi="he-IL"/>
        </w:rPr>
        <w:t>ומיני' לחומרא גדולה לכאורה. ד</w:t>
      </w:r>
      <w:r w:rsidR="00A939AA" w:rsidRPr="00882F11">
        <w:rPr>
          <w:rFonts w:cs="Guttman Drogolin" w:hint="cs"/>
          <w:rtl/>
          <w:lang w:bidi="he-IL"/>
        </w:rPr>
        <w:t>ה</w:t>
      </w:r>
      <w:r w:rsidRPr="00882F11">
        <w:rPr>
          <w:rFonts w:cs="Guttman Drogolin" w:hint="cs"/>
          <w:rtl/>
          <w:lang w:bidi="he-IL"/>
        </w:rPr>
        <w:t>נה בבעל העיטור</w:t>
      </w:r>
      <w:r w:rsidR="00A939AA" w:rsidRPr="00882F11">
        <w:rPr>
          <w:rFonts w:cs="Guttman Drogolin" w:hint="cs"/>
          <w:rtl/>
          <w:lang w:bidi="he-IL"/>
        </w:rPr>
        <w:t xml:space="preserve"> </w:t>
      </w:r>
      <w:r w:rsidRPr="00882F11">
        <w:rPr>
          <w:rFonts w:cs="Guttman Drogolin" w:hint="cs"/>
          <w:rtl/>
          <w:lang w:bidi="he-IL"/>
        </w:rPr>
        <w:t xml:space="preserve">המובא בטור מבואר שלא רק במאכלים שנגעו זב"ז צריכים הדחה, אלא גם מאכל שנגע בכלי צריך הדחה, וכן אסור שיגע בכלי בדבר שאין דרכו בהדחה. </w:t>
      </w:r>
      <w:r w:rsidR="00A939AA" w:rsidRPr="00882F11">
        <w:rPr>
          <w:rFonts w:cs="Guttman Drogolin" w:hint="cs"/>
          <w:rtl/>
          <w:lang w:bidi="he-IL"/>
        </w:rPr>
        <w:t xml:space="preserve">וא"כ לכאורה יוצא ד"מ שיש לאסור להניח בצל על שיש חלבי אם הוא מתכונן להשתמש בה בסיר בשרי, וכן יוצא ע"פ הנ"ל שיתכן שאוסר אפילו בדיעבד אם לא הדיחו לאחר מכן. </w:t>
      </w:r>
      <w:r w:rsidR="009141A2" w:rsidRPr="00882F11">
        <w:rPr>
          <w:rFonts w:cs="Guttman Drogolin" w:hint="cs"/>
          <w:rtl/>
          <w:lang w:bidi="he-IL"/>
        </w:rPr>
        <w:t>ודבר זה יהא אסור אפילו בכלי אינו בן יומו כיון שדבר חריף מחליא לשבח.</w:t>
      </w:r>
    </w:p>
    <w:p w:rsidR="00C1697A" w:rsidRPr="00882F11" w:rsidRDefault="00A939AA" w:rsidP="00F76365">
      <w:pPr>
        <w:tabs>
          <w:tab w:val="right" w:pos="7497"/>
        </w:tabs>
        <w:bidi/>
        <w:jc w:val="both"/>
        <w:rPr>
          <w:rFonts w:cs="Guttman Drogolin"/>
          <w:rtl/>
          <w:lang w:bidi="he-IL"/>
        </w:rPr>
      </w:pPr>
      <w:r w:rsidRPr="00882F11">
        <w:rPr>
          <w:rFonts w:cs="Guttman Drogolin" w:hint="cs"/>
          <w:rtl/>
          <w:lang w:bidi="he-IL"/>
        </w:rPr>
        <w:t>והנה בעצם דבר שיש חיוב הגחה כשנוגע מאכל בכלי, וכן אסור להגיע מאכל לכלי כשיש חשש שלא ידיחנו, העיר בדרכ"מ שלכאורה יש לנו סתירה לדבר זה.</w:t>
      </w:r>
      <w:r w:rsidR="00F76365" w:rsidRPr="00882F11">
        <w:rPr>
          <w:rFonts w:cs="Guttman Drogolin"/>
          <w:rtl/>
          <w:lang w:bidi="he-IL"/>
        </w:rPr>
        <w:t xml:space="preserve"> </w:t>
      </w:r>
      <w:r w:rsidR="00F76365" w:rsidRPr="00882F11">
        <w:rPr>
          <w:rFonts w:cs="Guttman Drogolin" w:hint="cs"/>
          <w:rtl/>
          <w:lang w:bidi="he-IL"/>
        </w:rPr>
        <w:t xml:space="preserve">חדא דבמס' </w:t>
      </w:r>
      <w:r w:rsidR="00F76365" w:rsidRPr="00882F11">
        <w:rPr>
          <w:rFonts w:cs="Guttman Drogolin"/>
          <w:rtl/>
          <w:lang w:bidi="he-IL"/>
        </w:rPr>
        <w:t xml:space="preserve">פסחים </w:t>
      </w:r>
      <w:r w:rsidR="00F76365" w:rsidRPr="00882F11">
        <w:rPr>
          <w:rFonts w:cs="Guttman Drogolin" w:hint="cs"/>
          <w:rtl/>
          <w:lang w:bidi="he-IL"/>
        </w:rPr>
        <w:t xml:space="preserve">דף </w:t>
      </w:r>
      <w:r w:rsidR="00F76365" w:rsidRPr="00882F11">
        <w:rPr>
          <w:rFonts w:cs="Guttman Drogolin"/>
          <w:rtl/>
          <w:lang w:bidi="he-IL"/>
        </w:rPr>
        <w:t xml:space="preserve">ל </w:t>
      </w:r>
      <w:r w:rsidR="00F76365" w:rsidRPr="00882F11">
        <w:rPr>
          <w:rFonts w:cs="Guttman Drogolin" w:hint="cs"/>
          <w:rtl/>
          <w:lang w:bidi="he-IL"/>
        </w:rPr>
        <w:t>ע"</w:t>
      </w:r>
      <w:r w:rsidR="00F76365" w:rsidRPr="00882F11">
        <w:rPr>
          <w:rFonts w:cs="Guttman Drogolin"/>
          <w:rtl/>
          <w:lang w:bidi="he-IL"/>
        </w:rPr>
        <w:t xml:space="preserve">ב </w:t>
      </w:r>
      <w:r w:rsidR="00F76365" w:rsidRPr="00882F11">
        <w:rPr>
          <w:rFonts w:cs="Guttman Drogolin" w:hint="cs"/>
          <w:rtl/>
          <w:lang w:bidi="he-IL"/>
        </w:rPr>
        <w:lastRenderedPageBreak/>
        <w:t>מבואר ד</w:t>
      </w:r>
      <w:r w:rsidR="00F76365" w:rsidRPr="00882F11">
        <w:rPr>
          <w:rFonts w:cs="Guttman Drogolin"/>
          <w:rtl/>
          <w:lang w:bidi="he-IL"/>
        </w:rPr>
        <w:t xml:space="preserve">כלי שנשתמש בו חמץ </w:t>
      </w:r>
      <w:r w:rsidR="00F76365" w:rsidRPr="00882F11">
        <w:rPr>
          <w:rFonts w:cs="Guttman Drogolin" w:hint="cs"/>
          <w:rtl/>
          <w:lang w:bidi="he-IL"/>
        </w:rPr>
        <w:t xml:space="preserve">צונן </w:t>
      </w:r>
      <w:r w:rsidR="00F76365" w:rsidRPr="00882F11">
        <w:rPr>
          <w:rFonts w:cs="Guttman Drogolin"/>
          <w:rtl/>
          <w:lang w:bidi="he-IL"/>
        </w:rPr>
        <w:t>משתמש בו מצה</w:t>
      </w:r>
      <w:r w:rsidR="00F76365" w:rsidRPr="00882F11">
        <w:rPr>
          <w:rFonts w:cs="Guttman Drogolin" w:hint="cs"/>
          <w:rtl/>
          <w:lang w:bidi="he-IL"/>
        </w:rPr>
        <w:t xml:space="preserve">. ועל קושיא כתב לחלק בין דבר יבש לדבר לח (והניח דבר זה בצ"ע). ועוד כתב לחלק בין היכא דבלע בצונן להיכא שבלע בחמין, דרק כשבלע בחמין אסור להגיע אליו מאכל. והסיק הדרכ"מ שתי' זו נראה לו עיקר. </w:t>
      </w:r>
    </w:p>
    <w:p w:rsidR="00285917" w:rsidRPr="00882F11" w:rsidRDefault="00C1697A" w:rsidP="00BE2F24">
      <w:pPr>
        <w:tabs>
          <w:tab w:val="right" w:pos="7497"/>
        </w:tabs>
        <w:bidi/>
        <w:jc w:val="both"/>
        <w:rPr>
          <w:rFonts w:cs="Guttman Drogolin"/>
          <w:rtl/>
          <w:lang w:bidi="he-IL"/>
        </w:rPr>
      </w:pPr>
      <w:r w:rsidRPr="00882F11">
        <w:rPr>
          <w:rFonts w:cs="Guttman Drogolin" w:hint="cs"/>
          <w:rtl/>
          <w:lang w:bidi="he-IL"/>
        </w:rPr>
        <w:t>ובנו"כ הביאו שב</w:t>
      </w:r>
      <w:r w:rsidR="00BE2F24" w:rsidRPr="00882F11">
        <w:rPr>
          <w:rFonts w:cs="Guttman Drogolin" w:hint="cs"/>
          <w:rtl/>
          <w:lang w:bidi="he-IL"/>
        </w:rPr>
        <w:t>תו"ח</w:t>
      </w:r>
      <w:r w:rsidRPr="00882F11">
        <w:rPr>
          <w:rFonts w:cs="Guttman Drogolin" w:hint="cs"/>
          <w:rtl/>
          <w:lang w:bidi="he-IL"/>
        </w:rPr>
        <w:t xml:space="preserve"> (כלל י"ז ד"ד) הקשה מדקדוק הנ"ל מס' בעל העיטור על המבואר בארחות חיים שמותר ליתן מלח ותבלין לתוך כלי לכתחילה ולהשתמש בה לכתחילה לאחר מכן. וצ"ע שהא אין הדרך להדיח תבלין ומלח, וא"כ לכאורה לדיוק הנ"ל בבעל העיטור הי' צריך להיות אסור. וכתב התו"ח לחלק כנ"ל בין בלע בחמין לבלע בצונן</w:t>
      </w:r>
      <w:r w:rsidR="00980CED" w:rsidRPr="00882F11">
        <w:rPr>
          <w:rFonts w:cs="Guttman Drogolin" w:hint="cs"/>
          <w:rtl/>
          <w:lang w:bidi="he-IL"/>
        </w:rPr>
        <w:t xml:space="preserve"> (כגון כבוש או מליחה)</w:t>
      </w:r>
      <w:r w:rsidRPr="00882F11">
        <w:rPr>
          <w:rFonts w:cs="Guttman Drogolin" w:hint="cs"/>
          <w:rtl/>
          <w:lang w:bidi="he-IL"/>
        </w:rPr>
        <w:t>, אבל הוסיף עוד טעם לחלק דשאני הא דארחות חיים שמיירי בכה"ג שרחצו הכלי היטב, אבל אם לא רחצ היטב אסור. ו</w:t>
      </w:r>
      <w:r w:rsidR="00285917" w:rsidRPr="00882F11">
        <w:rPr>
          <w:rFonts w:cs="Guttman Drogolin" w:hint="cs"/>
          <w:rtl/>
          <w:lang w:bidi="he-IL"/>
        </w:rPr>
        <w:t xml:space="preserve">בעקבות דבריו בתו"ח </w:t>
      </w:r>
      <w:r w:rsidRPr="00882F11">
        <w:rPr>
          <w:rFonts w:cs="Guttman Drogolin" w:hint="cs"/>
          <w:rtl/>
          <w:lang w:bidi="he-IL"/>
        </w:rPr>
        <w:t xml:space="preserve">כתב הרמ"א בשו"ע סע' ב' </w:t>
      </w:r>
      <w:r w:rsidR="00285917" w:rsidRPr="00882F11">
        <w:rPr>
          <w:rFonts w:cs="Guttman Drogolin" w:hint="cs"/>
          <w:rtl/>
          <w:lang w:bidi="he-IL"/>
        </w:rPr>
        <w:t xml:space="preserve">על דברי בעל העיטור </w:t>
      </w:r>
      <w:r w:rsidRPr="00882F11">
        <w:rPr>
          <w:rFonts w:cs="Guttman Drogolin" w:hint="cs"/>
          <w:rtl/>
          <w:lang w:bidi="he-IL"/>
        </w:rPr>
        <w:t>"</w:t>
      </w:r>
      <w:r w:rsidRPr="00882F11">
        <w:rPr>
          <w:rFonts w:cs="Guttman Drogolin"/>
          <w:rtl/>
          <w:lang w:bidi="he-IL"/>
        </w:rPr>
        <w:t>ודוקא דבר שיש בו לחלוחית קצת, אבל דבר יבש ממש, אם לא בלע הכלי רק בצונן, מותר להניח בו דבר יבש בלא הדחה כלל</w:t>
      </w:r>
      <w:r w:rsidR="00285917" w:rsidRPr="00882F11">
        <w:rPr>
          <w:rFonts w:cs="Guttman Drogolin" w:hint="cs"/>
          <w:rtl/>
          <w:lang w:bidi="he-IL"/>
        </w:rPr>
        <w:t xml:space="preserve">". </w:t>
      </w:r>
    </w:p>
    <w:p w:rsidR="00FE333A" w:rsidRPr="00882F11" w:rsidRDefault="00C653D7" w:rsidP="00C31B22">
      <w:pPr>
        <w:tabs>
          <w:tab w:val="right" w:pos="7497"/>
        </w:tabs>
        <w:bidi/>
        <w:jc w:val="both"/>
        <w:rPr>
          <w:rFonts w:cs="Guttman Drogolin"/>
          <w:rtl/>
          <w:lang w:bidi="he-IL"/>
        </w:rPr>
      </w:pPr>
      <w:r w:rsidRPr="00882F11">
        <w:rPr>
          <w:rFonts w:cs="Guttman Drogolin" w:hint="cs"/>
          <w:rtl/>
          <w:lang w:bidi="he-IL"/>
        </w:rPr>
        <w:t xml:space="preserve">ובתי' השני של התו"ח כתב הט"ז שפשוט שגם הטור שהביא דברי בעל העיטור מיירי בכה"ג שהכלי נקי, דאל"כ "בכל גווני אסור". </w:t>
      </w:r>
      <w:r w:rsidR="003859B5" w:rsidRPr="00882F11">
        <w:rPr>
          <w:rFonts w:cs="Guttman Drogolin" w:hint="cs"/>
          <w:rtl/>
          <w:lang w:bidi="he-IL"/>
        </w:rPr>
        <w:t>וע' רע"א שהתקשה בדבריו דהא הטור בשם בעל העיטור באמת אסר, וסבר רע"א שאולי כוונתו ע"פ מש"כ בס"ק א'. ששם כתב הט"ז שהחידוש של בע</w:t>
      </w:r>
      <w:r w:rsidR="00C31B22" w:rsidRPr="00882F11">
        <w:rPr>
          <w:rFonts w:cs="Guttman Drogolin" w:hint="cs"/>
          <w:rtl/>
          <w:lang w:bidi="he-IL"/>
        </w:rPr>
        <w:t>ל</w:t>
      </w:r>
      <w:r w:rsidR="003859B5" w:rsidRPr="00882F11">
        <w:rPr>
          <w:rFonts w:cs="Guttman Drogolin" w:hint="cs"/>
          <w:rtl/>
          <w:lang w:bidi="he-IL"/>
        </w:rPr>
        <w:t xml:space="preserve"> העיטור יותר מן המבואר בגמ' הוא עצם זה שהחמירו בכלי ולא רק בהגעת מאכלים. ובזה סבר הט"ז שאם מיירי בכלי שאינו מקונח, אין חידוש בכלי יותר ממאכל, דהיא היא.</w:t>
      </w:r>
      <w:r w:rsidR="00C31B22" w:rsidRPr="00882F11">
        <w:rPr>
          <w:rFonts w:cs="Guttman Drogolin" w:hint="cs"/>
          <w:rtl/>
          <w:lang w:bidi="he-IL"/>
        </w:rPr>
        <w:t xml:space="preserve"> מ"מ מתבאר מן הטור שהחשש נגיעה בכלי הוא משום הבלוע בכלי. והוא חידוש עצום שיש חשש בבלוע בכלי גם בנגיעת צונן בעלמא. ומ"מ הט"ז הגי' את דברי הרמ"א, שלעולם אם תשמישתו בצונן אין חיוב הדחה אפילו אם המאכל לח</w:t>
      </w:r>
      <w:r w:rsidR="00980CED" w:rsidRPr="00882F11">
        <w:rPr>
          <w:rFonts w:cs="Guttman Drogolin" w:hint="cs"/>
          <w:rtl/>
          <w:lang w:bidi="he-IL"/>
        </w:rPr>
        <w:t>, רק כוונת</w:t>
      </w:r>
      <w:r w:rsidR="00C31B22" w:rsidRPr="00882F11">
        <w:rPr>
          <w:rFonts w:cs="Guttman Drogolin" w:hint="cs"/>
          <w:rtl/>
          <w:lang w:bidi="he-IL"/>
        </w:rPr>
        <w:t xml:space="preserve"> הרמ"א להקל </w:t>
      </w:r>
      <w:r w:rsidR="00FE333A" w:rsidRPr="00882F11">
        <w:rPr>
          <w:rFonts w:cs="Guttman Drogolin" w:hint="cs"/>
          <w:rtl/>
          <w:lang w:bidi="he-IL"/>
        </w:rPr>
        <w:t>אפילו במאכל לח אם הכלי בלע בצונן</w:t>
      </w:r>
      <w:r w:rsidR="00C31B22" w:rsidRPr="00882F11">
        <w:rPr>
          <w:rFonts w:cs="Guttman Drogolin" w:hint="cs"/>
          <w:rtl/>
          <w:lang w:bidi="he-IL"/>
        </w:rPr>
        <w:t>.</w:t>
      </w:r>
      <w:r w:rsidR="00FE333A" w:rsidRPr="00882F11">
        <w:rPr>
          <w:rFonts w:cs="Guttman Drogolin" w:hint="cs"/>
          <w:rtl/>
          <w:lang w:bidi="he-IL"/>
        </w:rPr>
        <w:t xml:space="preserve"> אבל מ"מ לכאורה דברי הט"ז כיון שדר </w:t>
      </w:r>
      <w:r w:rsidR="00FE333A" w:rsidRPr="00882F11">
        <w:rPr>
          <w:rFonts w:cs="Guttman Drogolin" w:hint="cs"/>
          <w:rtl/>
          <w:lang w:bidi="he-IL"/>
        </w:rPr>
        <w:lastRenderedPageBreak/>
        <w:t>חריף דינו כלח, יהא אסור להניחו על השיש אם בלע בחמין.</w:t>
      </w:r>
      <w:r w:rsidR="00C31B22" w:rsidRPr="00882F11">
        <w:rPr>
          <w:rFonts w:cs="Guttman Drogolin" w:hint="cs"/>
          <w:rtl/>
          <w:lang w:bidi="he-IL"/>
        </w:rPr>
        <w:t xml:space="preserve">  </w:t>
      </w:r>
      <w:r w:rsidR="003859B5" w:rsidRPr="00882F11">
        <w:rPr>
          <w:rFonts w:cs="Guttman Drogolin" w:hint="cs"/>
          <w:rtl/>
          <w:lang w:bidi="he-IL"/>
        </w:rPr>
        <w:t xml:space="preserve"> </w:t>
      </w:r>
    </w:p>
    <w:p w:rsidR="00FE333A" w:rsidRPr="00882F11" w:rsidRDefault="00FE333A" w:rsidP="00FE333A">
      <w:pPr>
        <w:tabs>
          <w:tab w:val="right" w:pos="7497"/>
        </w:tabs>
        <w:bidi/>
        <w:jc w:val="both"/>
        <w:rPr>
          <w:rFonts w:cs="Guttman Drogolin"/>
          <w:rtl/>
          <w:lang w:bidi="he-IL"/>
        </w:rPr>
      </w:pPr>
      <w:r w:rsidRPr="00882F11">
        <w:rPr>
          <w:rFonts w:cs="Guttman Drogolin" w:hint="cs"/>
          <w:rtl/>
          <w:lang w:bidi="he-IL"/>
        </w:rPr>
        <w:t xml:space="preserve">אמנם הש"ך האריך לתמוה על הרמ"א. חדא שלא ידע טעם לחלק בין בלע בצונן לבלע בחמין, הא בתרוייהו בלע וא"כ מאי שנא זה מזה. ועוד דמוכח מכמה דוכתי שאין איסור להגיע בכלי עד כמה שהוא נקי, ולא מיבעי שמותר אם הדיחו עכשיו שמותר, אלא אפילו בקינוח סגי (וכל זה לתשמיש עראי, אבל תשמיש קבוע אסור וכדמבואר ברמ"א סי' קכ"א סע' ה'). וכ"כ הפמ"ג והפר"ח להסכים לדברי הש"ך, ולכן כתב בבדה"ש שהלכה כמותו. </w:t>
      </w:r>
    </w:p>
    <w:p w:rsidR="009141A2" w:rsidRPr="00882F11" w:rsidRDefault="00FE333A" w:rsidP="00FE333A">
      <w:pPr>
        <w:tabs>
          <w:tab w:val="right" w:pos="7497"/>
        </w:tabs>
        <w:bidi/>
        <w:jc w:val="both"/>
        <w:rPr>
          <w:rFonts w:cs="Guttman Drogolin"/>
          <w:rtl/>
          <w:lang w:bidi="he-IL"/>
        </w:rPr>
      </w:pPr>
      <w:r w:rsidRPr="00882F11">
        <w:rPr>
          <w:rFonts w:cs="Guttman Drogolin" w:hint="cs"/>
          <w:rtl/>
          <w:lang w:bidi="he-IL"/>
        </w:rPr>
        <w:t>ואפילו</w:t>
      </w:r>
      <w:r w:rsidR="009141A2" w:rsidRPr="00882F11">
        <w:rPr>
          <w:rFonts w:cs="Guttman Drogolin" w:hint="cs"/>
          <w:rtl/>
          <w:lang w:bidi="he-IL"/>
        </w:rPr>
        <w:t xml:space="preserve"> </w:t>
      </w:r>
      <w:r w:rsidRPr="00882F11">
        <w:rPr>
          <w:rFonts w:cs="Guttman Drogolin" w:hint="cs"/>
          <w:rtl/>
          <w:lang w:bidi="he-IL"/>
        </w:rPr>
        <w:t>לדברי הט"ז יעוין ביד יהודה</w:t>
      </w:r>
      <w:r w:rsidR="009141A2" w:rsidRPr="00882F11">
        <w:rPr>
          <w:rFonts w:cs="Guttman Drogolin" w:hint="cs"/>
          <w:rtl/>
          <w:lang w:bidi="he-IL"/>
        </w:rPr>
        <w:t xml:space="preserve"> ס"ק ב' שהרבה לתמוה על דברי הב"ח הנ"ל שחילק בין דבר לח לדבר יבש, וכן במה שחילקו בין דבר חריף לאינו חריף, דאיזה טעם יש לחלק בזה. ולכן כתב שהכל תלוי אם נדבק א' בשני או לא, וכגון אם המאכל יכול להתפורר, ומסיק "כללו של דבר אין בכל דברים אלו אלא לפי ראות העין ותו לא מידי". </w:t>
      </w:r>
    </w:p>
    <w:p w:rsidR="00BE6F7F" w:rsidRPr="00882F11" w:rsidRDefault="00BE6F7F" w:rsidP="009141A2">
      <w:pPr>
        <w:tabs>
          <w:tab w:val="right" w:pos="7497"/>
        </w:tabs>
        <w:bidi/>
        <w:jc w:val="both"/>
        <w:rPr>
          <w:rFonts w:cs="Guttman Drogolin"/>
          <w:b/>
          <w:bCs/>
          <w:u w:val="single"/>
          <w:rtl/>
          <w:lang w:bidi="he-IL"/>
        </w:rPr>
      </w:pPr>
      <w:r w:rsidRPr="00882F11">
        <w:rPr>
          <w:rFonts w:cs="Guttman Drogolin" w:hint="cs"/>
          <w:b/>
          <w:bCs/>
          <w:u w:val="single"/>
          <w:rtl/>
          <w:lang w:bidi="he-IL"/>
        </w:rPr>
        <w:t xml:space="preserve">סוגיא הבאה </w:t>
      </w:r>
      <w:r w:rsidRPr="00882F11">
        <w:rPr>
          <w:rFonts w:cs="Guttman Drogolin"/>
          <w:b/>
          <w:bCs/>
          <w:u w:val="single"/>
          <w:rtl/>
          <w:lang w:bidi="he-IL"/>
        </w:rPr>
        <w:t>–</w:t>
      </w:r>
      <w:r w:rsidRPr="00882F11">
        <w:rPr>
          <w:rFonts w:cs="Guttman Drogolin" w:hint="cs"/>
          <w:b/>
          <w:bCs/>
          <w:u w:val="single"/>
          <w:rtl/>
          <w:lang w:bidi="he-IL"/>
        </w:rPr>
        <w:t xml:space="preserve"> תתאה גבר ועילאה גבר, </w:t>
      </w:r>
      <w:r w:rsidR="00A90017" w:rsidRPr="00882F11">
        <w:rPr>
          <w:rFonts w:cs="Guttman Drogolin" w:hint="cs"/>
          <w:b/>
          <w:bCs/>
          <w:u w:val="single"/>
          <w:rtl/>
          <w:lang w:bidi="he-IL"/>
        </w:rPr>
        <w:t>והמסתעף</w:t>
      </w:r>
    </w:p>
    <w:p w:rsidR="000B35E1" w:rsidRPr="00882F11" w:rsidRDefault="00BE6F7F" w:rsidP="000B35E1">
      <w:pPr>
        <w:tabs>
          <w:tab w:val="right" w:pos="7497"/>
        </w:tabs>
        <w:bidi/>
        <w:spacing w:after="0"/>
        <w:jc w:val="both"/>
        <w:rPr>
          <w:rFonts w:cs="Guttman Drogolin"/>
          <w:rtl/>
          <w:lang w:bidi="he-IL"/>
        </w:rPr>
      </w:pPr>
      <w:r w:rsidRPr="00882F11">
        <w:rPr>
          <w:rFonts w:cs="Guttman Drogolin" w:hint="cs"/>
          <w:rtl/>
          <w:lang w:bidi="he-IL"/>
        </w:rPr>
        <w:t xml:space="preserve">פסחים ע"ה ע"ב מתני' עד ע"ו ע"א </w:t>
      </w:r>
      <w:r w:rsidR="000B35E1" w:rsidRPr="00882F11">
        <w:rPr>
          <w:rFonts w:cs="Guttman Drogolin" w:hint="cs"/>
          <w:rtl/>
          <w:lang w:bidi="he-IL"/>
        </w:rPr>
        <w:t>"</w:t>
      </w:r>
      <w:r w:rsidR="000B35E1" w:rsidRPr="00882F11">
        <w:rPr>
          <w:rFonts w:cs="Guttman Drogolin"/>
          <w:rtl/>
          <w:lang w:bidi="he-IL"/>
        </w:rPr>
        <w:t>ואי מתובל בתבלי אסור</w:t>
      </w:r>
      <w:r w:rsidR="000B35E1" w:rsidRPr="00882F11">
        <w:rPr>
          <w:rFonts w:cs="Guttman Drogolin" w:hint="cs"/>
          <w:rtl/>
          <w:lang w:bidi="he-IL"/>
        </w:rPr>
        <w:t>"</w:t>
      </w:r>
    </w:p>
    <w:p w:rsidR="000B35E1" w:rsidRPr="00882F11" w:rsidRDefault="000B35E1" w:rsidP="000B35E1">
      <w:pPr>
        <w:tabs>
          <w:tab w:val="right" w:pos="7497"/>
        </w:tabs>
        <w:bidi/>
        <w:spacing w:after="0"/>
        <w:jc w:val="both"/>
        <w:rPr>
          <w:rFonts w:cs="Guttman Drogolin"/>
          <w:rtl/>
          <w:lang w:bidi="he-IL"/>
        </w:rPr>
      </w:pPr>
      <w:r w:rsidRPr="00882F11">
        <w:rPr>
          <w:rFonts w:cs="Guttman Drogolin" w:hint="cs"/>
          <w:rtl/>
          <w:lang w:bidi="he-IL"/>
        </w:rPr>
        <w:t xml:space="preserve">חולין צ"ו ע"ב מתני' עד צ"ז ע"א "כחוש הוה" </w:t>
      </w:r>
      <w:r w:rsidRPr="00882F11">
        <w:rPr>
          <w:rFonts w:cs="Guttman Drogolin"/>
          <w:rtl/>
          <w:lang w:bidi="he-IL"/>
        </w:rPr>
        <w:t xml:space="preserve"> </w:t>
      </w:r>
    </w:p>
    <w:p w:rsidR="00A90017" w:rsidRPr="00882F11" w:rsidRDefault="000B35E1" w:rsidP="00A90017">
      <w:pPr>
        <w:tabs>
          <w:tab w:val="right" w:pos="7497"/>
        </w:tabs>
        <w:bidi/>
        <w:spacing w:after="0"/>
        <w:jc w:val="both"/>
        <w:rPr>
          <w:rFonts w:cs="Guttman Drogolin"/>
          <w:rtl/>
          <w:lang w:bidi="he-IL"/>
        </w:rPr>
      </w:pPr>
      <w:r w:rsidRPr="00882F11">
        <w:rPr>
          <w:rFonts w:cs="Guttman Drogolin" w:hint="cs"/>
          <w:rtl/>
          <w:lang w:bidi="he-IL"/>
        </w:rPr>
        <w:t xml:space="preserve">שבת מ"א ע"א מתני' "המיחם שפינהו" </w:t>
      </w:r>
      <w:r w:rsidR="00A90017" w:rsidRPr="00882F11">
        <w:rPr>
          <w:rFonts w:cs="Guttman Drogolin" w:hint="cs"/>
          <w:rtl/>
          <w:lang w:bidi="he-IL"/>
        </w:rPr>
        <w:t xml:space="preserve">ובגמ' מ"ב ע"א "מ"ר נותן דם" </w:t>
      </w:r>
      <w:r w:rsidRPr="00882F11">
        <w:rPr>
          <w:rFonts w:cs="Guttman Drogolin" w:hint="cs"/>
          <w:rtl/>
          <w:lang w:bidi="he-IL"/>
        </w:rPr>
        <w:t>עד מ"ב ע"ב "חומץ וציר"</w:t>
      </w:r>
    </w:p>
    <w:p w:rsidR="009D2421" w:rsidRPr="00882F11" w:rsidRDefault="009D2421" w:rsidP="009D2421">
      <w:pPr>
        <w:tabs>
          <w:tab w:val="right" w:pos="7497"/>
        </w:tabs>
        <w:bidi/>
        <w:spacing w:after="0"/>
        <w:jc w:val="both"/>
        <w:rPr>
          <w:rFonts w:cs="Guttman Drogolin"/>
          <w:rtl/>
          <w:lang w:bidi="he-IL"/>
        </w:rPr>
      </w:pPr>
      <w:r w:rsidRPr="00882F11">
        <w:rPr>
          <w:rFonts w:cs="Guttman Drogolin" w:hint="cs"/>
          <w:rtl/>
          <w:lang w:bidi="he-IL"/>
        </w:rPr>
        <w:t>תוס' שם מ' ע"ב ד"ה ושמע</w:t>
      </w:r>
    </w:p>
    <w:p w:rsidR="00A90017" w:rsidRPr="00882F11" w:rsidRDefault="00A90017" w:rsidP="00A90017">
      <w:pPr>
        <w:tabs>
          <w:tab w:val="right" w:pos="7497"/>
        </w:tabs>
        <w:bidi/>
        <w:spacing w:after="0"/>
        <w:jc w:val="both"/>
        <w:rPr>
          <w:rFonts w:cs="Guttman Drogolin"/>
          <w:rtl/>
          <w:lang w:bidi="he-IL"/>
        </w:rPr>
      </w:pPr>
    </w:p>
    <w:p w:rsidR="0080224C" w:rsidRPr="00882F11" w:rsidRDefault="00A90017" w:rsidP="00A90017">
      <w:pPr>
        <w:tabs>
          <w:tab w:val="right" w:pos="7497"/>
        </w:tabs>
        <w:bidi/>
        <w:spacing w:after="0"/>
        <w:jc w:val="both"/>
        <w:rPr>
          <w:rFonts w:cs="Guttman Drogolin"/>
          <w:rtl/>
          <w:lang w:bidi="he-IL"/>
        </w:rPr>
      </w:pPr>
      <w:r w:rsidRPr="00882F11">
        <w:rPr>
          <w:rFonts w:cs="Guttman Drogolin" w:hint="cs"/>
          <w:rtl/>
          <w:lang w:bidi="he-IL"/>
        </w:rPr>
        <w:t xml:space="preserve">טוש"ע סי' צ"א סע' ד', ק"ה סע' ב' </w:t>
      </w:r>
      <w:r w:rsidRPr="00882F11">
        <w:rPr>
          <w:rFonts w:cs="Guttman Drogolin"/>
          <w:rtl/>
          <w:lang w:bidi="he-IL"/>
        </w:rPr>
        <w:t>–</w:t>
      </w:r>
      <w:r w:rsidRPr="00882F11">
        <w:rPr>
          <w:rFonts w:cs="Guttman Drogolin" w:hint="cs"/>
          <w:rtl/>
          <w:lang w:bidi="he-IL"/>
        </w:rPr>
        <w:t xml:space="preserve"> ח' </w:t>
      </w:r>
      <w:r w:rsidR="00FE333A" w:rsidRPr="00882F11">
        <w:rPr>
          <w:rFonts w:cs="Guttman Drogolin" w:hint="cs"/>
          <w:rtl/>
          <w:lang w:bidi="he-IL"/>
        </w:rPr>
        <w:t xml:space="preserve"> </w:t>
      </w:r>
      <w:r w:rsidR="00C1697A" w:rsidRPr="00882F11">
        <w:rPr>
          <w:rFonts w:cs="Guttman Drogolin"/>
          <w:rtl/>
          <w:lang w:bidi="he-IL"/>
        </w:rPr>
        <w:t xml:space="preserve"> </w:t>
      </w:r>
      <w:r w:rsidR="00C1697A" w:rsidRPr="00882F11">
        <w:rPr>
          <w:rFonts w:cs="Guttman Drogolin" w:hint="cs"/>
          <w:rtl/>
          <w:lang w:bidi="he-IL"/>
        </w:rPr>
        <w:t xml:space="preserve">  </w:t>
      </w:r>
    </w:p>
    <w:p w:rsidR="00AB6BE1" w:rsidRPr="00882F11" w:rsidRDefault="00F76365" w:rsidP="0080224C">
      <w:pPr>
        <w:tabs>
          <w:tab w:val="right" w:pos="7497"/>
        </w:tabs>
        <w:bidi/>
        <w:spacing w:after="0"/>
        <w:jc w:val="both"/>
        <w:rPr>
          <w:rFonts w:cs="Guttman Drogolin"/>
          <w:rtl/>
          <w:lang w:bidi="he-IL"/>
        </w:rPr>
      </w:pPr>
      <w:r w:rsidRPr="00882F11">
        <w:rPr>
          <w:rFonts w:cs="Guttman Drogolin" w:hint="cs"/>
          <w:rtl/>
          <w:lang w:bidi="he-IL"/>
        </w:rPr>
        <w:t xml:space="preserve">  </w:t>
      </w:r>
      <w:r w:rsidRPr="00882F11">
        <w:rPr>
          <w:rFonts w:cs="Guttman Drogolin"/>
          <w:rtl/>
          <w:lang w:bidi="he-IL"/>
        </w:rPr>
        <w:t xml:space="preserve"> </w:t>
      </w:r>
      <w:r w:rsidR="00A939AA" w:rsidRPr="00882F11">
        <w:rPr>
          <w:rFonts w:cs="Guttman Drogolin" w:hint="cs"/>
          <w:rtl/>
          <w:lang w:bidi="he-IL"/>
        </w:rPr>
        <w:t xml:space="preserve">   </w:t>
      </w:r>
      <w:r w:rsidR="00E1099B" w:rsidRPr="00882F11">
        <w:rPr>
          <w:rFonts w:cs="Guttman Drogolin" w:hint="cs"/>
          <w:rtl/>
          <w:lang w:bidi="he-IL"/>
        </w:rPr>
        <w:t xml:space="preserve">  </w:t>
      </w:r>
    </w:p>
    <w:p w:rsidR="0080224C" w:rsidRPr="00882F11" w:rsidRDefault="0080224C" w:rsidP="00B85BC3">
      <w:pPr>
        <w:tabs>
          <w:tab w:val="right" w:pos="7497"/>
        </w:tabs>
        <w:bidi/>
        <w:jc w:val="both"/>
        <w:rPr>
          <w:rFonts w:cs="Guttman Drogolin"/>
          <w:rtl/>
          <w:lang w:bidi="he-IL"/>
        </w:rPr>
        <w:sectPr w:rsidR="0080224C" w:rsidRPr="00882F11" w:rsidSect="006D0A1E">
          <w:type w:val="continuous"/>
          <w:pgSz w:w="11907" w:h="16839" w:code="9"/>
          <w:pgMar w:top="1440" w:right="1440" w:bottom="1440" w:left="1440" w:header="720" w:footer="720" w:gutter="0"/>
          <w:cols w:num="2" w:space="720"/>
          <w:bidi/>
          <w:docGrid w:linePitch="360"/>
        </w:sectPr>
      </w:pPr>
    </w:p>
    <w:p w:rsidR="0080224C" w:rsidRPr="006D0A1E" w:rsidRDefault="0080224C" w:rsidP="0080224C">
      <w:pPr>
        <w:keepNext/>
        <w:tabs>
          <w:tab w:val="left" w:pos="3818"/>
          <w:tab w:val="center" w:pos="4680"/>
        </w:tabs>
        <w:bidi/>
        <w:jc w:val="center"/>
        <w:rPr>
          <w:rFonts w:cs="Guttman Drogolin"/>
          <w:b/>
          <w:bCs/>
          <w:sz w:val="48"/>
          <w:szCs w:val="48"/>
          <w:rtl/>
          <w:lang w:bidi="he-IL"/>
        </w:rPr>
      </w:pPr>
      <w:r w:rsidRPr="006D0A1E">
        <w:rPr>
          <w:rFonts w:cs="Guttman Drogolin" w:hint="cs"/>
          <w:b/>
          <w:bCs/>
          <w:sz w:val="48"/>
          <w:szCs w:val="48"/>
          <w:rtl/>
          <w:lang w:bidi="he-IL"/>
        </w:rPr>
        <w:lastRenderedPageBreak/>
        <w:t>שיעור ק'</w:t>
      </w:r>
    </w:p>
    <w:p w:rsidR="006D0A1E" w:rsidRDefault="006D0A1E" w:rsidP="0080224C">
      <w:pPr>
        <w:pStyle w:val="Heading1"/>
        <w:bidi/>
        <w:spacing w:before="0" w:line="360" w:lineRule="auto"/>
        <w:jc w:val="center"/>
        <w:rPr>
          <w:rFonts w:cs="Guttman Drogolin"/>
          <w:color w:val="auto"/>
          <w:sz w:val="24"/>
          <w:szCs w:val="24"/>
          <w:u w:val="single"/>
          <w:rtl/>
          <w:lang w:bidi="he-IL"/>
        </w:rPr>
        <w:sectPr w:rsidR="006D0A1E" w:rsidSect="006D0A1E">
          <w:headerReference w:type="default" r:id="rId76"/>
          <w:pgSz w:w="11907" w:h="16839" w:code="9"/>
          <w:pgMar w:top="1440" w:right="1440" w:bottom="1440" w:left="1440" w:header="720" w:footer="720" w:gutter="0"/>
          <w:cols w:space="720"/>
          <w:bidi/>
          <w:docGrid w:linePitch="360"/>
        </w:sectPr>
      </w:pPr>
    </w:p>
    <w:p w:rsidR="0080224C" w:rsidRPr="00882F11" w:rsidRDefault="0080224C" w:rsidP="0080224C">
      <w:pPr>
        <w:pStyle w:val="Heading1"/>
        <w:bidi/>
        <w:spacing w:before="0" w:line="360" w:lineRule="auto"/>
        <w:jc w:val="center"/>
        <w:rPr>
          <w:rFonts w:cs="Guttman Drogolin"/>
          <w:color w:val="auto"/>
          <w:sz w:val="24"/>
          <w:szCs w:val="24"/>
          <w:u w:val="single"/>
          <w:rtl/>
          <w:lang w:bidi="he-IL"/>
        </w:rPr>
      </w:pPr>
      <w:bookmarkStart w:id="404" w:name="_Toc496175651"/>
      <w:r w:rsidRPr="00882F11">
        <w:rPr>
          <w:rFonts w:cs="Guttman Drogolin" w:hint="cs"/>
          <w:color w:val="auto"/>
          <w:sz w:val="24"/>
          <w:szCs w:val="24"/>
          <w:u w:val="single"/>
          <w:rtl/>
          <w:lang w:bidi="he-IL"/>
        </w:rPr>
        <w:lastRenderedPageBreak/>
        <w:t>עד כמה מתפשט טעם בצלי'</w:t>
      </w:r>
      <w:bookmarkEnd w:id="404"/>
    </w:p>
    <w:p w:rsidR="00A819E0" w:rsidRPr="00882F11" w:rsidRDefault="008E7E6C" w:rsidP="003516FB">
      <w:pPr>
        <w:tabs>
          <w:tab w:val="right" w:pos="7497"/>
        </w:tabs>
        <w:bidi/>
        <w:jc w:val="both"/>
        <w:rPr>
          <w:rFonts w:cs="Guttman Drogolin"/>
          <w:rtl/>
          <w:lang w:bidi="he-IL"/>
        </w:rPr>
      </w:pPr>
      <w:r>
        <w:rPr>
          <w:rFonts w:cs="Guttman Drogolin"/>
          <w:rtl/>
          <w:lang w:bidi="he-IL"/>
        </w:rPr>
        <w:fldChar w:fldCharType="begin"/>
      </w:r>
      <w:r>
        <w:instrText xml:space="preserve"> XE "</w:instrText>
      </w:r>
      <w:r w:rsidRPr="00EC5BEF">
        <w:rPr>
          <w:rFonts w:hint="cs"/>
          <w:rtl/>
          <w:lang w:bidi="he-IL"/>
        </w:rPr>
        <w:instrText>צלי</w:instrText>
      </w:r>
      <w:r w:rsidRPr="00EC5BEF">
        <w:rPr>
          <w:rtl/>
        </w:rPr>
        <w:instrText>:</w:instrText>
      </w:r>
      <w:r w:rsidRPr="00EC5BEF">
        <w:rPr>
          <w:rFonts w:hint="cs"/>
          <w:rtl/>
          <w:lang w:bidi="he-IL"/>
        </w:rPr>
        <w:instrText>עד כמה מתפשט טעם על ידו</w:instrText>
      </w:r>
      <w:r>
        <w:instrText xml:space="preserve">" </w:instrText>
      </w:r>
      <w:r>
        <w:rPr>
          <w:rFonts w:cs="Guttman Drogolin"/>
          <w:rtl/>
          <w:lang w:bidi="he-IL"/>
        </w:rPr>
        <w:fldChar w:fldCharType="end"/>
      </w:r>
      <w:r w:rsidR="0080224C" w:rsidRPr="00882F11">
        <w:rPr>
          <w:rFonts w:cs="Guttman Drogolin" w:hint="cs"/>
          <w:rtl/>
          <w:lang w:bidi="he-IL"/>
        </w:rPr>
        <w:t>במתני' שבמס' פסחים דף ע"ה ע"ב דנו בכמה אופנים של קרבן פסח שאינו צלי אש אלא צלי ע"י דבר אחר. ברישא של המתני' כתוב "</w:t>
      </w:r>
      <w:r w:rsidR="0080224C" w:rsidRPr="00882F11">
        <w:rPr>
          <w:rFonts w:cs="Guttman Drogolin"/>
          <w:rtl/>
          <w:lang w:bidi="he-IL"/>
        </w:rPr>
        <w:t>נגע בחרסו של תנור יקלוף את מקומו</w:t>
      </w:r>
      <w:r w:rsidR="0080224C" w:rsidRPr="00882F11">
        <w:rPr>
          <w:rFonts w:cs="Guttman Drogolin" w:hint="cs"/>
          <w:rtl/>
          <w:lang w:bidi="he-IL"/>
        </w:rPr>
        <w:t xml:space="preserve">". </w:t>
      </w:r>
      <w:r w:rsidR="00155293" w:rsidRPr="00882F11">
        <w:rPr>
          <w:rFonts w:cs="Guttman Drogolin" w:hint="cs"/>
          <w:rtl/>
          <w:lang w:bidi="he-IL"/>
        </w:rPr>
        <w:t>ובהמשך "</w:t>
      </w:r>
      <w:r w:rsidR="00155293" w:rsidRPr="00882F11">
        <w:rPr>
          <w:rFonts w:cs="Guttman Drogolin"/>
          <w:rtl/>
          <w:lang w:bidi="he-IL"/>
        </w:rPr>
        <w:t>נטף מרוטבו על החרס וחזר אליו יטול את מקומו</w:t>
      </w:r>
      <w:r w:rsidR="00155293" w:rsidRPr="00882F11">
        <w:rPr>
          <w:rFonts w:cs="Guttman Drogolin" w:hint="cs"/>
          <w:rtl/>
          <w:lang w:bidi="he-IL"/>
        </w:rPr>
        <w:t>". הרי שיש שינוי בין הדינים של הרישא לסי</w:t>
      </w:r>
      <w:r w:rsidR="003516FB" w:rsidRPr="00882F11">
        <w:rPr>
          <w:rFonts w:cs="Guttman Drogolin" w:hint="cs"/>
          <w:rtl/>
          <w:lang w:bidi="he-IL"/>
        </w:rPr>
        <w:t>פ</w:t>
      </w:r>
      <w:r w:rsidR="00155293" w:rsidRPr="00882F11">
        <w:rPr>
          <w:rFonts w:cs="Guttman Drogolin" w:hint="cs"/>
          <w:rtl/>
          <w:lang w:bidi="he-IL"/>
        </w:rPr>
        <w:t>א, דבנגע השיעור הוא כדי קליפה, ובנטף וחזר אליו השיעור הוא כדי נטילה. ובסיפא של המתני' מבואר עוד הפעם השיעור כדי קליפה והוא דכש</w:t>
      </w:r>
      <w:r w:rsidR="00155293" w:rsidRPr="00882F11">
        <w:rPr>
          <w:rFonts w:cs="Guttman Drogolin"/>
          <w:rtl/>
          <w:lang w:bidi="he-IL"/>
        </w:rPr>
        <w:t xml:space="preserve">סכו בשמן תרומה </w:t>
      </w:r>
      <w:r w:rsidR="00155293" w:rsidRPr="00882F11">
        <w:rPr>
          <w:rFonts w:cs="Guttman Drogolin" w:hint="cs"/>
          <w:rtl/>
          <w:lang w:bidi="he-IL"/>
        </w:rPr>
        <w:t xml:space="preserve">והוא </w:t>
      </w:r>
      <w:r w:rsidR="00155293" w:rsidRPr="00882F11">
        <w:rPr>
          <w:rFonts w:cs="Guttman Drogolin"/>
          <w:rtl/>
          <w:lang w:bidi="he-IL"/>
        </w:rPr>
        <w:t>צלי יקלוף את החיצון</w:t>
      </w:r>
      <w:r w:rsidR="00155293" w:rsidRPr="00882F11">
        <w:rPr>
          <w:rFonts w:cs="Guttman Drogolin" w:hint="cs"/>
          <w:rtl/>
          <w:lang w:bidi="he-IL"/>
        </w:rPr>
        <w:t>". וצ"ע למה יש שינוי בין השיעורים.</w:t>
      </w:r>
    </w:p>
    <w:p w:rsidR="003516FB" w:rsidRPr="00882F11" w:rsidRDefault="00155293" w:rsidP="008226E0">
      <w:pPr>
        <w:tabs>
          <w:tab w:val="right" w:pos="7497"/>
        </w:tabs>
        <w:bidi/>
        <w:jc w:val="both"/>
        <w:rPr>
          <w:rFonts w:cs="Guttman Drogolin"/>
          <w:rtl/>
          <w:lang w:bidi="he-IL"/>
        </w:rPr>
      </w:pPr>
      <w:r w:rsidRPr="00882F11">
        <w:rPr>
          <w:rFonts w:cs="Guttman Drogolin" w:hint="cs"/>
          <w:rtl/>
          <w:lang w:bidi="he-IL"/>
        </w:rPr>
        <w:t>והנה לכאורה יש חילוק במהות הדין של הרישא למהות הדין של הסיפא. שברישא הטעם לאסור משום שנהפך הבשר של הקרבן פסח עצמו להיות חפצא דאיסורא כיון שהיתה צלייתו שלא ע"י האש. ובסיפא השיעור משום הרוטב שנאסר וחדר לתוך הקרבן. וא"כ לכאורה יש לנו טעם פשוט בחילוק שבין השיעורים, והוא דאמנם אין המעשה צליי' יותר עמוק מכדי קליפה, אבל בולע הוא כדי נטילה. אמנם על זה גופא תמה בכרו"פ (סוסי' ק"ה) דכיון שבשר הקרבן פסח נהפך להיות חפצא דאיסורא כיון שנצלה שלא ע"י האש, א"כ למה אין צריכים ב' כדי קליפה, הכדי קליפה הראשונה משום שנצלה שלא כדין, והכדי קליפה השני משום</w:t>
      </w:r>
      <w:r w:rsidR="005E1462" w:rsidRPr="00882F11">
        <w:rPr>
          <w:rFonts w:cs="Guttman Drogolin" w:hint="cs"/>
          <w:rtl/>
          <w:lang w:bidi="he-IL"/>
        </w:rPr>
        <w:t xml:space="preserve"> משום שבלע מטעם הכדי קליפה הראשונה. </w:t>
      </w:r>
      <w:r w:rsidR="003516FB" w:rsidRPr="00882F11">
        <w:rPr>
          <w:rFonts w:cs="Guttman Drogolin" w:hint="cs"/>
          <w:rtl/>
          <w:lang w:bidi="he-IL"/>
        </w:rPr>
        <w:t>וברע"א רצה לומר מכח הדוחק דאה"נ וכוונת המתני' לאסור הכדי קליפה השני'.</w:t>
      </w:r>
      <w:r w:rsidR="002E72AF" w:rsidRPr="00882F11">
        <w:rPr>
          <w:rFonts w:cs="Guttman Drogolin" w:hint="cs"/>
          <w:rtl/>
          <w:lang w:bidi="he-IL"/>
        </w:rPr>
        <w:t xml:space="preserve"> </w:t>
      </w:r>
      <w:r w:rsidR="00864DAE" w:rsidRPr="00882F11">
        <w:rPr>
          <w:rFonts w:cs="Guttman Drogolin" w:hint="cs"/>
          <w:rtl/>
          <w:lang w:bidi="he-IL"/>
        </w:rPr>
        <w:t xml:space="preserve">(וראיתי מי שכתב אפילו לדקדק כן מלשון המתני', שהרי בסכו בשמן של תרומה לשון המתני' "יקלוף את החיצון", משמע דלעיל שלא כתוב </w:t>
      </w:r>
      <w:r w:rsidR="008226E0" w:rsidRPr="00882F11">
        <w:rPr>
          <w:rFonts w:cs="Guttman Drogolin" w:hint="cs"/>
          <w:rtl/>
          <w:lang w:bidi="he-IL"/>
        </w:rPr>
        <w:t>'</w:t>
      </w:r>
      <w:r w:rsidR="00864DAE" w:rsidRPr="00882F11">
        <w:rPr>
          <w:rFonts w:cs="Guttman Drogolin" w:hint="cs"/>
          <w:rtl/>
          <w:lang w:bidi="he-IL"/>
        </w:rPr>
        <w:t>את החיצון</w:t>
      </w:r>
      <w:r w:rsidR="008226E0" w:rsidRPr="00882F11">
        <w:rPr>
          <w:rFonts w:cs="Guttman Drogolin" w:hint="cs"/>
          <w:rtl/>
          <w:lang w:bidi="he-IL"/>
        </w:rPr>
        <w:t>'</w:t>
      </w:r>
      <w:r w:rsidR="00864DAE" w:rsidRPr="00882F11">
        <w:rPr>
          <w:rFonts w:cs="Guttman Drogolin" w:hint="cs"/>
          <w:rtl/>
          <w:lang w:bidi="he-IL"/>
        </w:rPr>
        <w:t xml:space="preserve"> היינו קליה אחרת וכדברי רע"א). </w:t>
      </w:r>
      <w:r w:rsidR="002E72AF" w:rsidRPr="00882F11">
        <w:rPr>
          <w:rFonts w:cs="Guttman Drogolin" w:hint="cs"/>
          <w:rtl/>
          <w:lang w:bidi="he-IL"/>
        </w:rPr>
        <w:t xml:space="preserve">ואני חשבתי שבעצם אין איסור משום מעשה הצלי' אלא במשהו החיצון ולא צריכים לזה שיעור כדי קליפה, וכל הטעם שצריכים שיעור כדי קליפה משום שנבלע מן המשהו שבחוץ לתוך הכדי קליפה. </w:t>
      </w:r>
      <w:r w:rsidR="002E72AF" w:rsidRPr="00882F11">
        <w:rPr>
          <w:rFonts w:cs="Guttman Drogolin" w:hint="cs"/>
          <w:rtl/>
          <w:lang w:bidi="he-IL"/>
        </w:rPr>
        <w:lastRenderedPageBreak/>
        <w:t>ויל"ע בזה ותלוי בגדר הדין של כדי קליפה שיתבאר בעזהי"ת בסמוך.</w:t>
      </w:r>
      <w:r w:rsidR="003516FB" w:rsidRPr="00882F11">
        <w:rPr>
          <w:rFonts w:cs="Guttman Drogolin" w:hint="cs"/>
          <w:rtl/>
          <w:lang w:bidi="he-IL"/>
        </w:rPr>
        <w:t xml:space="preserve"> </w:t>
      </w:r>
    </w:p>
    <w:p w:rsidR="00E84091" w:rsidRPr="00882F11" w:rsidRDefault="003516FB" w:rsidP="00E84091">
      <w:pPr>
        <w:tabs>
          <w:tab w:val="right" w:pos="7497"/>
        </w:tabs>
        <w:bidi/>
        <w:jc w:val="both"/>
        <w:rPr>
          <w:rFonts w:cs="Guttman Drogolin"/>
          <w:rtl/>
          <w:lang w:bidi="he-IL"/>
        </w:rPr>
      </w:pPr>
      <w:r w:rsidRPr="00882F11">
        <w:rPr>
          <w:rFonts w:cs="Guttman Drogolin" w:hint="cs"/>
          <w:rtl/>
          <w:lang w:bidi="he-IL"/>
        </w:rPr>
        <w:t xml:space="preserve">והתוס' במס' חולין הסתפקו אם צליי' אוסרת כדי קליפה או כדי נטילה. וכתבו שלכאורה ממציעתא דמתני' הנ"ל דנטף מרוטבו על החרס וחזר אליו חזינן ששיעורו בכדי נטילה. ומעיקרא כתבו שיש לדחות בין היכא דאיכא רוטב להיכא דליכא רוטב, אבל הסיקו שאין הכרח לחלק כן כיון שאין לנו מקור שצליי' אוסרת כדי קליפה, וע"ש איך שדחו הראיות מכמה מקומות בש"ס ששיעור האיסור הוא בכדי קליפה. והתוס' בסוגיין נקטו להיפך, שעיקר השיעור בצליי' הוא כדי קליפה, </w:t>
      </w:r>
      <w:r w:rsidR="00163EAA" w:rsidRPr="00882F11">
        <w:rPr>
          <w:rFonts w:cs="Guttman Drogolin" w:hint="cs"/>
          <w:rtl/>
          <w:lang w:bidi="he-IL"/>
        </w:rPr>
        <w:t xml:space="preserve">אמנם לא ביאר לנו בהדיא מהו המקור שלו. ולכאורה אי אפשר לומר שהמקור מסיפא דמתני' בסכו בשמן של תרומה, דהא פירשו דמיירי אפילו צונן. ולכאורה הי' משמע שהבינו כן מרישא דמתני', וכוונתם במש"כ </w:t>
      </w:r>
      <w:r w:rsidR="00C908B2" w:rsidRPr="00882F11">
        <w:rPr>
          <w:rFonts w:cs="Guttman Drogolin" w:hint="cs"/>
          <w:rtl/>
          <w:lang w:bidi="he-IL"/>
        </w:rPr>
        <w:t xml:space="preserve">"ולא סגי ליה בקלפיה לפי שהרוטב נבלע יותר בתוכו" היינו לאפוקי מרישא דמתני' שאינו צריך אלא קליפה. והתוס' במס' חולין שלא התייחסו לזה י"ל דסברי שאין ראי' כלל מרישא דמתני', דהתם אינו משום דיני התפשטות הטעם רק משום מעשה הצליי' עצמה. </w:t>
      </w:r>
      <w:r w:rsidR="00E84091" w:rsidRPr="00882F11">
        <w:rPr>
          <w:rFonts w:cs="Guttman Drogolin" w:hint="cs"/>
          <w:rtl/>
          <w:lang w:bidi="he-IL"/>
        </w:rPr>
        <w:t>ולכאורה התוס' במס' פסחים הוכיחו מרשיא דמתני' לשיטתם, שהרי בדף צ"ו ע"א בד"ה תנן הקשו למה לא הקשו מרישא דמתני' למ"ד תתאה גבר. ותי' בתי' הראשון דהא גם שמואל מודה דאדמיקר לי' בלע כדי קליפה, ולכן החרס התחמם ע"י הבליעה שבלע מקרבן פסח וזה עמו נותן לו כח לבשל הקרבן פסח ולאסרו. הרי דחזינן שע"י הבליעה שבולע מן החרס יש כח לאסור כדי כח הבליעה. וא"כ אילו הי' הדין שכל צליי' בולע כדי נטילה, לכאורה הי' צריך להיות שבנגע בחרסו של תנור ג"כ אסור כדי נטילה. וע"כ כנ"ל, שעיקר הדין בצליי' הוא ליאסר כדי קליפה. והתוס' במס' חולין ע"כ לא סבירא להו כתי' הראשן של התוס' רק כשאר התירוצים.</w:t>
      </w:r>
    </w:p>
    <w:p w:rsidR="00E57FA6" w:rsidRPr="00882F11" w:rsidRDefault="00E57FA6" w:rsidP="00E57FA6">
      <w:pPr>
        <w:tabs>
          <w:tab w:val="right" w:pos="7497"/>
        </w:tabs>
        <w:bidi/>
        <w:jc w:val="both"/>
        <w:rPr>
          <w:rFonts w:cs="Guttman Drogolin"/>
          <w:rtl/>
          <w:lang w:bidi="he-IL"/>
        </w:rPr>
      </w:pPr>
      <w:r w:rsidRPr="00882F11">
        <w:rPr>
          <w:rFonts w:cs="Guttman Drogolin" w:hint="cs"/>
          <w:rtl/>
          <w:lang w:bidi="he-IL"/>
        </w:rPr>
        <w:lastRenderedPageBreak/>
        <w:t xml:space="preserve">ובעיקר המקור לשיעור כדי נטילה הנה לשון הגמ' במס' חולין "קולף ואוכל עד שמגיע לגיד". ולפום ריהטא אין מלשון זה שום מקור לשיעור כדדי קליפה, דהא כוונת הגמ' לקליפת הבשר של היתר עד שמגיע לגיד, ושיעור קלפיה מתייחסת לשיעור שצריך להשאיר ולא לאכול. אמנם יעוין בתוה"א וכן בבד"ה שבסמוך שנראה שהבינו שהפשטות בביאור לשון זה הוא שאינו אוסר אלא כדי קליפה. ור"ל ד'קולף ואוכל' היינו שאוכל באופן שמשאיר כדי קליפה. </w:t>
      </w:r>
    </w:p>
    <w:p w:rsidR="00CE53D7" w:rsidRPr="00882F11" w:rsidRDefault="00E84091" w:rsidP="00CE53D7">
      <w:pPr>
        <w:tabs>
          <w:tab w:val="right" w:pos="7497"/>
        </w:tabs>
        <w:bidi/>
        <w:jc w:val="both"/>
        <w:rPr>
          <w:rFonts w:cs="Guttman Drogolin"/>
          <w:rtl/>
          <w:lang w:bidi="he-IL"/>
        </w:rPr>
      </w:pPr>
      <w:r w:rsidRPr="00882F11">
        <w:rPr>
          <w:rFonts w:cs="Guttman Drogolin" w:hint="cs"/>
          <w:rtl/>
          <w:lang w:bidi="he-IL"/>
        </w:rPr>
        <w:t xml:space="preserve">והנה שם במס' חולין מחלקת הגמ' בין גדי שצלאו בחלבו לירך שנתבשל בה גיד, שבירך אינו אסור בכולו ולכן קולף ואוכל עד שמגיע לגיד, ובגדי שצלאו בחלבו אסור לאכול כולו. והטעם לחלק ביניהם משום שחלב מפעפע וגיד אינו מפעפע. ויל"ע למה דומה מתני' דנטף מרוטבו על החרס, לחלב או לגיד. </w:t>
      </w:r>
      <w:r w:rsidR="00CE53D7" w:rsidRPr="00882F11">
        <w:rPr>
          <w:rFonts w:cs="Guttman Drogolin" w:hint="cs"/>
          <w:rtl/>
          <w:lang w:bidi="he-IL"/>
        </w:rPr>
        <w:t>ואם הוא דומה לגיד ניחא, ויוצא שכל צלי דינו לאסור עד כדי נטילה כהא דנטף מרוטבו על החרס, ולכן גם בגיד הדין לאסור עד כדי נטילה. רק בחלב דמפעפע אוסר בכולו. אמנם אם רוטב דומה לחלב לכאורה יש סתירה, שבמתני' דמס' פסחים מבואר שדינו ליאסר עד כדי נטילה</w:t>
      </w:r>
      <w:r w:rsidR="009D2421" w:rsidRPr="00882F11">
        <w:rPr>
          <w:rFonts w:cs="Guttman Drogolin" w:hint="cs"/>
          <w:rtl/>
          <w:lang w:bidi="he-IL"/>
        </w:rPr>
        <w:t>, והשאר מותר</w:t>
      </w:r>
      <w:r w:rsidR="00CE53D7" w:rsidRPr="00882F11">
        <w:rPr>
          <w:rFonts w:cs="Guttman Drogolin" w:hint="cs"/>
          <w:rtl/>
          <w:lang w:bidi="he-IL"/>
        </w:rPr>
        <w:t>, ואילו במס' חולין מבואר שאוסר בכולו.</w:t>
      </w:r>
    </w:p>
    <w:p w:rsidR="00E57FA6" w:rsidRPr="00882F11" w:rsidRDefault="00CE53D7" w:rsidP="00B34CC1">
      <w:pPr>
        <w:tabs>
          <w:tab w:val="right" w:pos="7497"/>
        </w:tabs>
        <w:bidi/>
        <w:jc w:val="both"/>
        <w:rPr>
          <w:rFonts w:cs="Guttman Drogolin"/>
          <w:rtl/>
          <w:lang w:bidi="he-IL"/>
        </w:rPr>
      </w:pPr>
      <w:r w:rsidRPr="00882F11">
        <w:rPr>
          <w:rFonts w:cs="Guttman Drogolin" w:hint="cs"/>
          <w:rtl/>
          <w:lang w:bidi="he-IL"/>
        </w:rPr>
        <w:t>ומכח קושיא זו חידש הרשב"א (בתוה"א ב"ד סוף שער א')</w:t>
      </w:r>
      <w:r w:rsidR="00E84091" w:rsidRPr="00882F11">
        <w:rPr>
          <w:rFonts w:cs="Guttman Drogolin" w:hint="cs"/>
          <w:rtl/>
          <w:lang w:bidi="he-IL"/>
        </w:rPr>
        <w:t xml:space="preserve"> </w:t>
      </w:r>
      <w:r w:rsidRPr="00882F11">
        <w:rPr>
          <w:rFonts w:cs="Guttman Drogolin" w:hint="cs"/>
          <w:rtl/>
          <w:lang w:bidi="he-IL"/>
        </w:rPr>
        <w:t xml:space="preserve">דתרוייהו איתנהו בי', שצלי בדבר שמן אוסר מתפשט בכולו, </w:t>
      </w:r>
      <w:r w:rsidR="00B34CC1" w:rsidRPr="00882F11">
        <w:rPr>
          <w:rFonts w:cs="Guttman Drogolin" w:hint="cs"/>
          <w:rtl/>
          <w:lang w:bidi="he-IL"/>
        </w:rPr>
        <w:t xml:space="preserve">אבל אם יש ששים </w:t>
      </w:r>
      <w:r w:rsidRPr="00882F11">
        <w:rPr>
          <w:rFonts w:cs="Guttman Drogolin" w:hint="cs"/>
          <w:rtl/>
          <w:lang w:bidi="he-IL"/>
        </w:rPr>
        <w:t>כנגד</w:t>
      </w:r>
      <w:r w:rsidR="00B34CC1" w:rsidRPr="00882F11">
        <w:rPr>
          <w:rFonts w:cs="Guttman Drogolin" w:hint="cs"/>
          <w:rtl/>
          <w:lang w:bidi="he-IL"/>
        </w:rPr>
        <w:t xml:space="preserve"> האיסור</w:t>
      </w:r>
      <w:r w:rsidRPr="00882F11">
        <w:rPr>
          <w:rFonts w:cs="Guttman Drogolin" w:hint="cs"/>
          <w:rtl/>
          <w:lang w:bidi="he-IL"/>
        </w:rPr>
        <w:t xml:space="preserve"> </w:t>
      </w:r>
      <w:r w:rsidR="00B34CC1" w:rsidRPr="00882F11">
        <w:rPr>
          <w:rFonts w:cs="Guttman Drogolin" w:hint="cs"/>
          <w:rtl/>
          <w:lang w:bidi="he-IL"/>
        </w:rPr>
        <w:t>הרי זה מתיר שאר הבשר.</w:t>
      </w:r>
      <w:r w:rsidRPr="00882F11">
        <w:rPr>
          <w:rFonts w:cs="Guttman Drogolin" w:hint="cs"/>
          <w:rtl/>
          <w:lang w:bidi="he-IL"/>
        </w:rPr>
        <w:t xml:space="preserve"> </w:t>
      </w:r>
      <w:r w:rsidR="00B34CC1" w:rsidRPr="00882F11">
        <w:rPr>
          <w:rFonts w:cs="Guttman Drogolin" w:hint="cs"/>
          <w:rtl/>
          <w:lang w:bidi="he-IL"/>
        </w:rPr>
        <w:t xml:space="preserve">ומ"מ </w:t>
      </w:r>
      <w:r w:rsidRPr="00882F11">
        <w:rPr>
          <w:rFonts w:cs="Guttman Drogolin" w:hint="cs"/>
          <w:rtl/>
          <w:lang w:bidi="he-IL"/>
        </w:rPr>
        <w:t>כדי נטילה עדיין אסור, דהא שואב יותר בשיעור כדי נטילה ואין לומר שגם בשיעור כדי נטילה מתפשט בשוה. ולכן יו</w:t>
      </w:r>
      <w:r w:rsidR="00E57FA6" w:rsidRPr="00882F11">
        <w:rPr>
          <w:rFonts w:cs="Guttman Drogolin" w:hint="cs"/>
          <w:rtl/>
          <w:lang w:bidi="he-IL"/>
        </w:rPr>
        <w:t>צ</w:t>
      </w:r>
      <w:r w:rsidRPr="00882F11">
        <w:rPr>
          <w:rFonts w:cs="Guttman Drogolin" w:hint="cs"/>
          <w:rtl/>
          <w:lang w:bidi="he-IL"/>
        </w:rPr>
        <w:t xml:space="preserve">א שאם אין ס' כולו אסור, ואם יש ס' כולו אסור חוץ משיעור כדי נטילה. </w:t>
      </w:r>
      <w:r w:rsidR="00E57FA6" w:rsidRPr="00882F11">
        <w:rPr>
          <w:rFonts w:cs="Guttman Drogolin" w:hint="cs"/>
          <w:rtl/>
          <w:lang w:bidi="he-IL"/>
        </w:rPr>
        <w:t>והנ"מ בדבר המפעפע, אבל בשאר צלי אינו אוסר אלא כדי קליפה. אמנ</w:t>
      </w:r>
      <w:r w:rsidRPr="00882F11">
        <w:rPr>
          <w:rFonts w:cs="Guttman Drogolin" w:hint="cs"/>
          <w:rtl/>
          <w:lang w:bidi="he-IL"/>
        </w:rPr>
        <w:t xml:space="preserve">ם מתוס' משמע תי' אחר, והוא שאמנם יש חילוק בין רוטב לבלי רוטב, אבל עדיין אין זה אומר שהוא כחלב שמפעפע. רק לעולם רק חלב יש בכוחו לאסור כולו כיון שמפעפע, אבל רוטב אוסר מ"מ יותר מכדי קליפה. </w:t>
      </w:r>
    </w:p>
    <w:p w:rsidR="00E57FA6" w:rsidRPr="00882F11" w:rsidRDefault="00CE53D7" w:rsidP="00CE53D7">
      <w:pPr>
        <w:tabs>
          <w:tab w:val="right" w:pos="7497"/>
        </w:tabs>
        <w:bidi/>
        <w:jc w:val="both"/>
        <w:rPr>
          <w:rFonts w:cs="Guttman Drogolin"/>
          <w:rtl/>
          <w:lang w:bidi="he-IL"/>
        </w:rPr>
      </w:pPr>
      <w:r w:rsidRPr="00882F11">
        <w:rPr>
          <w:rFonts w:cs="Guttman Drogolin" w:hint="cs"/>
          <w:rtl/>
          <w:lang w:bidi="he-IL"/>
        </w:rPr>
        <w:lastRenderedPageBreak/>
        <w:t>והנה ההיתר של ס' לא מוזכר בגמ' לענין צלי, רק שבחלב דמפעפע כולו אסור, ומיני' סבר הרשב"א שאם יש ס' למה יהא כולו אסור, ומאי שנא מבישול בתוך הקדרה שמתפשט בכולו ובטל בס'. אבל בבד"</w:t>
      </w:r>
      <w:r w:rsidR="00E57FA6" w:rsidRPr="00882F11">
        <w:rPr>
          <w:rFonts w:cs="Guttman Drogolin" w:hint="cs"/>
          <w:rtl/>
          <w:lang w:bidi="he-IL"/>
        </w:rPr>
        <w:t xml:space="preserve">ה חלק וסבר שאין להתיר אפילו אם יש ששים כנגד האיסור, ומשום שאינו מתפשט בשיעור שוה. </w:t>
      </w:r>
      <w:r w:rsidR="00B34CC1" w:rsidRPr="00882F11">
        <w:rPr>
          <w:rFonts w:cs="Guttman Drogolin" w:hint="cs"/>
          <w:rtl/>
          <w:lang w:bidi="he-IL"/>
        </w:rPr>
        <w:t xml:space="preserve">ולשיטת הבד"ה לא יתכן לומרר כרשב"א דהא לא מהני ששים אם מתפשט ולכן ע"כ הא דכדי נטילה לא מיירי בדבר המפעפע  (ומ"מ הרא"ה התקשה בעצם דבר זה שמתפשט בששים ולכן ע"כ מתפשט בשוה ומ"מ אסור כדי קליפה). </w:t>
      </w:r>
      <w:r w:rsidR="00E57FA6" w:rsidRPr="00882F11">
        <w:rPr>
          <w:rFonts w:cs="Guttman Drogolin" w:hint="cs"/>
          <w:rtl/>
          <w:lang w:bidi="he-IL"/>
        </w:rPr>
        <w:t>ולענין המתני' שבמס' פסחים סבר שבכל צלי שאינו מפעפע השיעור הוא בכדי נטילה</w:t>
      </w:r>
      <w:r w:rsidR="00983BF6" w:rsidRPr="00882F11">
        <w:rPr>
          <w:rFonts w:cs="Guttman Drogolin" w:hint="cs"/>
          <w:rtl/>
          <w:lang w:bidi="he-IL"/>
        </w:rPr>
        <w:t>, דסבירא שאין לחלק בין רוטב לשאר צלי</w:t>
      </w:r>
      <w:r w:rsidR="00E57FA6" w:rsidRPr="00882F11">
        <w:rPr>
          <w:rFonts w:cs="Guttman Drogolin" w:hint="cs"/>
          <w:rtl/>
          <w:lang w:bidi="he-IL"/>
        </w:rPr>
        <w:t xml:space="preserve">. </w:t>
      </w:r>
    </w:p>
    <w:p w:rsidR="00725FEF" w:rsidRPr="00882F11" w:rsidRDefault="00983BF6" w:rsidP="00983BF6">
      <w:pPr>
        <w:tabs>
          <w:tab w:val="right" w:pos="7497"/>
        </w:tabs>
        <w:bidi/>
        <w:jc w:val="both"/>
        <w:rPr>
          <w:rFonts w:cs="Guttman Drogolin"/>
          <w:rtl/>
          <w:lang w:bidi="he-IL"/>
        </w:rPr>
      </w:pPr>
      <w:r w:rsidRPr="00882F11">
        <w:rPr>
          <w:rFonts w:cs="Guttman Drogolin" w:hint="cs"/>
          <w:rtl/>
          <w:lang w:bidi="he-IL"/>
        </w:rPr>
        <w:t>ויש ב</w:t>
      </w:r>
      <w:r w:rsidR="00E57FA6" w:rsidRPr="00882F11">
        <w:rPr>
          <w:rFonts w:cs="Guttman Drogolin" w:hint="cs"/>
          <w:rtl/>
          <w:lang w:bidi="he-IL"/>
        </w:rPr>
        <w:t>סוגיא זו שיטה נוספת. דהנה לעיל כתבנו</w:t>
      </w:r>
      <w:r w:rsidRPr="00882F11">
        <w:rPr>
          <w:rFonts w:cs="Guttman Drogolin" w:hint="cs"/>
          <w:rtl/>
          <w:lang w:bidi="he-IL"/>
        </w:rPr>
        <w:t xml:space="preserve"> להסתפק בדין רוטב האם דינו כחלב או כגיד. וזהו לפי מה שנראה לכאורה מן הגמ' במס' חולין דהא דמפעפע הוא דין מיוחד בחלב, ושארי הדברים (חוץ מאולי רוטב) דיונ כגיד. אבל יש ראשונים הסוברים דסתם צלי אוסר בכולו כמו בחלב, רק גיד יוצא מן הכלל כיון שטעמו קלוש אינו מעפע ואינו אוסר בכולו. וע' לקמן קי"ב ע"ב במליחה דמבואר שבשר טריפה אוסר בשר כשר, ודג טמא אוסר דג טהור, והר"ן כתב דר"ל שאוסר כדי קליפה, והרשב"א למד שאוסר בכולו ומשום דמיירי בדג ובשר שמן. אבל יש לומדים כמשמעות הפשוטה של הגמ' שאוסר בכולו אע"פ שאינו שמן, שכל המאכלים מסמתא מפעפעים. וע' באמת בתוס' </w:t>
      </w:r>
      <w:r w:rsidR="00725FEF" w:rsidRPr="00882F11">
        <w:rPr>
          <w:rFonts w:cs="Guttman Drogolin" w:hint="cs"/>
          <w:rtl/>
          <w:lang w:bidi="he-IL"/>
        </w:rPr>
        <w:t xml:space="preserve">ועוד ראשונים בשם י"א </w:t>
      </w:r>
      <w:r w:rsidRPr="00882F11">
        <w:rPr>
          <w:rFonts w:cs="Guttman Drogolin" w:hint="cs"/>
          <w:rtl/>
          <w:lang w:bidi="he-IL"/>
        </w:rPr>
        <w:t xml:space="preserve">במס' חולין שהביאו צד דהא דקאמר בגמ' דההוא כחוש הוה, ר"ל שיש ס' כנגדו. ומבואר דסבר שאין לך חלב שאינו מפעפע. ומ"מ יתכן שהוא משום שלא רצה לחלק בין חלב לחלב ומשום שמסתמא כל חלב מפעפע, אבל עדיין אין לנו ראי' לשאר מאכלים. </w:t>
      </w:r>
      <w:r w:rsidR="00725FEF" w:rsidRPr="00882F11">
        <w:rPr>
          <w:rFonts w:cs="Guttman Drogolin" w:hint="cs"/>
          <w:rtl/>
          <w:lang w:bidi="he-IL"/>
        </w:rPr>
        <w:t>ומ"מ יש מפרשים שכולם דינם כחלב וע"כ בהא דרוטב שנטף על החרס שא</w:t>
      </w:r>
      <w:r w:rsidR="009C47E4" w:rsidRPr="00882F11">
        <w:rPr>
          <w:rFonts w:cs="Guttman Drogolin" w:hint="cs"/>
          <w:rtl/>
          <w:lang w:bidi="he-IL"/>
        </w:rPr>
        <w:t xml:space="preserve">ני משו דמועט הוא, מ"מ הוא יותר משמן שסכו בה קרבן פסח שאינו צריך אלא כדי קליפה </w:t>
      </w:r>
      <w:r w:rsidR="009C47E4" w:rsidRPr="00882F11">
        <w:rPr>
          <w:rFonts w:cs="Guttman Drogolin"/>
          <w:rtl/>
          <w:lang w:bidi="he-IL"/>
        </w:rPr>
        <w:t>–</w:t>
      </w:r>
      <w:r w:rsidR="009C47E4" w:rsidRPr="00882F11">
        <w:rPr>
          <w:rFonts w:cs="Guttman Drogolin" w:hint="cs"/>
          <w:rtl/>
          <w:lang w:bidi="he-IL"/>
        </w:rPr>
        <w:t xml:space="preserve"> ע' מזה ביד יהודה סי' ק"ה ס"ק כ"ב.</w:t>
      </w:r>
    </w:p>
    <w:p w:rsidR="009D2421" w:rsidRPr="00882F11" w:rsidRDefault="00725FEF" w:rsidP="00725FEF">
      <w:pPr>
        <w:tabs>
          <w:tab w:val="right" w:pos="7497"/>
        </w:tabs>
        <w:bidi/>
        <w:jc w:val="both"/>
        <w:rPr>
          <w:rFonts w:cs="Guttman Drogolin"/>
          <w:rtl/>
          <w:lang w:bidi="he-IL"/>
        </w:rPr>
      </w:pPr>
      <w:r w:rsidRPr="00882F11">
        <w:rPr>
          <w:rFonts w:cs="Guttman Drogolin" w:hint="cs"/>
          <w:rtl/>
          <w:lang w:bidi="he-IL"/>
        </w:rPr>
        <w:lastRenderedPageBreak/>
        <w:t xml:space="preserve">ולהלכה בחלב דמפעפע קיי"ל כשיטת הרשב"א שצריך להסיר כדי קליפה, וכן יש לאסור כולו אא"כ יש ששים. ומ"מ קיי"ל נמי להחמיר כשיטת התוס' לאסור כל צלי בכדי נטילה. </w:t>
      </w:r>
      <w:r w:rsidR="00E57FA6" w:rsidRPr="00882F11">
        <w:rPr>
          <w:rFonts w:cs="Guttman Drogolin" w:hint="cs"/>
          <w:rtl/>
          <w:lang w:bidi="he-IL"/>
        </w:rPr>
        <w:t xml:space="preserve"> </w:t>
      </w:r>
    </w:p>
    <w:p w:rsidR="00155293" w:rsidRPr="00882F11" w:rsidRDefault="009D2421" w:rsidP="00B34CC1">
      <w:pPr>
        <w:tabs>
          <w:tab w:val="right" w:pos="7497"/>
        </w:tabs>
        <w:bidi/>
        <w:jc w:val="both"/>
        <w:rPr>
          <w:rFonts w:cs="Guttman Drogolin"/>
          <w:rtl/>
        </w:rPr>
      </w:pPr>
      <w:r w:rsidRPr="00882F11">
        <w:rPr>
          <w:rFonts w:cs="Guttman Drogolin" w:hint="cs"/>
          <w:rtl/>
          <w:lang w:bidi="he-IL"/>
        </w:rPr>
        <w:t xml:space="preserve">והא דבקמח צריכים קמיצה, נחלקו המפרשים בכוונת הדברים. </w:t>
      </w:r>
      <w:r w:rsidR="00B34CC1" w:rsidRPr="00882F11">
        <w:rPr>
          <w:rFonts w:cs="Guttman Drogolin" w:hint="cs"/>
          <w:rtl/>
          <w:lang w:bidi="he-IL"/>
        </w:rPr>
        <w:t xml:space="preserve">בתוס' בדף ע"ו ע"א ד"ה אלא מוכח שהוא יותר מכדי נטילה, דהא הביאו גירסת הספרים "ביטול את מקומו סגי" </w:t>
      </w:r>
      <w:r w:rsidR="00B34CC1" w:rsidRPr="00882F11">
        <w:rPr>
          <w:rFonts w:cs="Guttman Drogolin"/>
          <w:rtl/>
          <w:lang w:bidi="he-IL"/>
        </w:rPr>
        <w:t>–</w:t>
      </w:r>
      <w:r w:rsidR="00B34CC1" w:rsidRPr="00882F11">
        <w:rPr>
          <w:rFonts w:cs="Guttman Drogolin" w:hint="cs"/>
          <w:rtl/>
          <w:lang w:bidi="he-IL"/>
        </w:rPr>
        <w:t xml:space="preserve"> הרי שכמעט מפורש</w:t>
      </w:r>
      <w:r w:rsidR="00B34CC1" w:rsidRPr="00882F11">
        <w:rPr>
          <w:rStyle w:val="FootnoteReference"/>
          <w:rFonts w:cs="Guttman Drogolin"/>
          <w:rtl/>
          <w:lang w:bidi="he-IL"/>
        </w:rPr>
        <w:footnoteReference w:id="401"/>
      </w:r>
      <w:r w:rsidR="00B34CC1" w:rsidRPr="00882F11">
        <w:rPr>
          <w:rFonts w:cs="Guttman Drogolin" w:hint="cs"/>
          <w:rtl/>
          <w:lang w:bidi="he-IL"/>
        </w:rPr>
        <w:t xml:space="preserve"> שקמיצה הוא יותר בעומק מכדי נטילה</w:t>
      </w:r>
      <w:r w:rsidR="002E72AF" w:rsidRPr="00882F11">
        <w:rPr>
          <w:rStyle w:val="FootnoteReference"/>
          <w:rFonts w:cs="Guttman Drogolin"/>
          <w:rtl/>
          <w:lang w:bidi="he-IL"/>
        </w:rPr>
        <w:footnoteReference w:id="402"/>
      </w:r>
      <w:r w:rsidR="00B34CC1" w:rsidRPr="00882F11">
        <w:rPr>
          <w:rFonts w:cs="Guttman Drogolin" w:hint="cs"/>
          <w:rtl/>
          <w:lang w:bidi="he-IL"/>
        </w:rPr>
        <w:t>. ואפילו רש"י דלא גרס לי' לכאורה מודה לעצם השיעור</w:t>
      </w:r>
      <w:r w:rsidR="00B34CC1" w:rsidRPr="00882F11">
        <w:rPr>
          <w:rStyle w:val="FootnoteReference"/>
          <w:rFonts w:cs="Guttman Drogolin"/>
          <w:rtl/>
          <w:lang w:bidi="he-IL"/>
        </w:rPr>
        <w:footnoteReference w:id="403"/>
      </w:r>
      <w:r w:rsidR="00B34CC1" w:rsidRPr="00882F11">
        <w:rPr>
          <w:rFonts w:cs="Guttman Drogolin" w:hint="cs"/>
          <w:rtl/>
          <w:lang w:bidi="he-IL"/>
        </w:rPr>
        <w:t>, רק מחקו מטעם אחר וכמו שפירשו בתוס'.</w:t>
      </w:r>
      <w:r w:rsidR="002E72AF" w:rsidRPr="00882F11">
        <w:rPr>
          <w:rFonts w:cs="Guttman Drogolin" w:hint="cs"/>
          <w:rtl/>
          <w:lang w:bidi="he-IL"/>
        </w:rPr>
        <w:t xml:space="preserve"> וכן מבואר בס' הישר לר"ת (סי' ש"ס) דקמיצה הוא שיעור גדול יותר.</w:t>
      </w:r>
      <w:r w:rsidR="00B34CC1" w:rsidRPr="00882F11">
        <w:rPr>
          <w:rFonts w:cs="Guttman Drogolin" w:hint="cs"/>
          <w:rtl/>
          <w:lang w:bidi="he-IL"/>
        </w:rPr>
        <w:t xml:space="preserve"> והטעם שצריכים יותר בעומק בקמח ע' בחת"ס (ד"ה יקמוץ) שביאר משום שהרוטב חודר לתוך הקמח ולא רק נבלע.  </w:t>
      </w:r>
      <w:r w:rsidR="00CE53D7" w:rsidRPr="00882F11">
        <w:rPr>
          <w:rFonts w:cs="Guttman Drogolin" w:hint="cs"/>
          <w:rtl/>
          <w:lang w:bidi="he-IL"/>
        </w:rPr>
        <w:t xml:space="preserve">   </w:t>
      </w:r>
      <w:r w:rsidR="00E84091" w:rsidRPr="00882F11">
        <w:rPr>
          <w:rFonts w:cs="Guttman Drogolin" w:hint="cs"/>
          <w:rtl/>
          <w:lang w:bidi="he-IL"/>
        </w:rPr>
        <w:t xml:space="preserve"> </w:t>
      </w:r>
      <w:r w:rsidR="00163EAA" w:rsidRPr="00882F11">
        <w:rPr>
          <w:rFonts w:cs="Guttman Drogolin" w:hint="cs"/>
          <w:rtl/>
          <w:lang w:bidi="he-IL"/>
        </w:rPr>
        <w:t xml:space="preserve"> </w:t>
      </w:r>
      <w:r w:rsidR="00155293" w:rsidRPr="00882F11">
        <w:rPr>
          <w:rFonts w:cs="Guttman Drogolin" w:hint="cs"/>
          <w:rtl/>
          <w:lang w:bidi="he-IL"/>
        </w:rPr>
        <w:t xml:space="preserve">  </w:t>
      </w:r>
    </w:p>
    <w:p w:rsidR="00EC431A" w:rsidRPr="00882F11" w:rsidRDefault="00EC431A" w:rsidP="00EC431A">
      <w:pPr>
        <w:pStyle w:val="Heading1"/>
        <w:bidi/>
        <w:spacing w:before="0" w:line="360" w:lineRule="auto"/>
        <w:jc w:val="center"/>
        <w:rPr>
          <w:rFonts w:cs="Guttman Drogolin"/>
          <w:color w:val="auto"/>
          <w:sz w:val="24"/>
          <w:szCs w:val="24"/>
          <w:u w:val="single"/>
          <w:rtl/>
          <w:lang w:bidi="he-IL"/>
        </w:rPr>
      </w:pPr>
      <w:bookmarkStart w:id="405" w:name="_Toc496175652"/>
      <w:r w:rsidRPr="00882F11">
        <w:rPr>
          <w:rFonts w:cs="Guttman Drogolin" w:hint="cs"/>
          <w:color w:val="auto"/>
          <w:sz w:val="24"/>
          <w:szCs w:val="24"/>
          <w:u w:val="single"/>
          <w:rtl/>
          <w:lang w:bidi="he-IL"/>
        </w:rPr>
        <w:t>במחלוקת אי תתאה גבר או עילאה גבר</w:t>
      </w:r>
      <w:bookmarkEnd w:id="405"/>
    </w:p>
    <w:p w:rsidR="00EC431A" w:rsidRPr="00882F11" w:rsidRDefault="000F292C" w:rsidP="00EC431A">
      <w:pPr>
        <w:tabs>
          <w:tab w:val="right" w:pos="7497"/>
        </w:tabs>
        <w:bidi/>
        <w:jc w:val="both"/>
        <w:rPr>
          <w:rFonts w:cs="Guttman Drogolin"/>
          <w:rtl/>
          <w:lang w:bidi="he-IL"/>
        </w:rPr>
      </w:pPr>
      <w:r>
        <w:rPr>
          <w:rFonts w:cs="Guttman Drogolin"/>
          <w:rtl/>
          <w:lang w:bidi="he-IL"/>
        </w:rPr>
        <w:fldChar w:fldCharType="begin"/>
      </w:r>
      <w:r>
        <w:instrText xml:space="preserve"> XE "</w:instrText>
      </w:r>
      <w:r w:rsidRPr="00642B15">
        <w:rPr>
          <w:rFonts w:hint="cs"/>
          <w:rtl/>
          <w:lang w:bidi="he-IL"/>
        </w:rPr>
        <w:instrText>תתאה גבר / עילאה גבר</w:instrText>
      </w:r>
      <w:r w:rsidRPr="00642B15">
        <w:rPr>
          <w:rtl/>
        </w:rPr>
        <w:instrText>:</w:instrText>
      </w:r>
      <w:r w:rsidRPr="00642B15">
        <w:rPr>
          <w:rFonts w:hint="cs"/>
          <w:rtl/>
          <w:lang w:bidi="he-IL"/>
        </w:rPr>
        <w:instrText>ביאור המחלוקת</w:instrText>
      </w:r>
      <w:r>
        <w:instrText xml:space="preserve">" </w:instrText>
      </w:r>
      <w:r>
        <w:rPr>
          <w:rFonts w:cs="Guttman Drogolin"/>
          <w:rtl/>
          <w:lang w:bidi="he-IL"/>
        </w:rPr>
        <w:fldChar w:fldCharType="end"/>
      </w:r>
      <w:r w:rsidR="00EC431A" w:rsidRPr="00882F11">
        <w:rPr>
          <w:rFonts w:cs="Guttman Drogolin" w:hint="cs"/>
          <w:rtl/>
          <w:lang w:bidi="he-IL"/>
        </w:rPr>
        <w:t>בגמ' מבואר מחלוקת בין רב לשמואל כשיש ב' מאכלים א' על גבי השני, וא' חם וא' צונן, האם אומרים דעילאה גבר, ור"ל שהעליון הוא זה שגובר על התחתון ולכן אם העליון חם אמרינן שהוא גם מחמם את התחתון ונעשה גם התחתון חם, או"ד תתאה גבר ולכן אם התחתון חם והעליון צונן, אמרינן שהתתאה הוא שגובר על העליון ונעשה גם העליון חם</w:t>
      </w:r>
      <w:r w:rsidR="00FC0C9D" w:rsidRPr="00882F11">
        <w:rPr>
          <w:rStyle w:val="FootnoteReference"/>
          <w:rFonts w:cs="Guttman Drogolin"/>
          <w:rtl/>
          <w:lang w:bidi="he-IL"/>
        </w:rPr>
        <w:footnoteReference w:id="404"/>
      </w:r>
      <w:r w:rsidR="00EC431A" w:rsidRPr="00882F11">
        <w:rPr>
          <w:rFonts w:cs="Guttman Drogolin" w:hint="cs"/>
          <w:rtl/>
          <w:lang w:bidi="he-IL"/>
        </w:rPr>
        <w:t>.</w:t>
      </w:r>
    </w:p>
    <w:p w:rsidR="00A819E0" w:rsidRPr="00882F11" w:rsidRDefault="00EC431A" w:rsidP="00EC431A">
      <w:pPr>
        <w:tabs>
          <w:tab w:val="right" w:pos="7497"/>
        </w:tabs>
        <w:bidi/>
        <w:jc w:val="both"/>
        <w:rPr>
          <w:rFonts w:cs="Guttman Drogolin"/>
          <w:rtl/>
          <w:lang w:bidi="he-IL"/>
        </w:rPr>
      </w:pPr>
      <w:r w:rsidRPr="00882F11">
        <w:rPr>
          <w:rFonts w:cs="Guttman Drogolin" w:hint="cs"/>
          <w:rtl/>
          <w:lang w:bidi="he-IL"/>
        </w:rPr>
        <w:t xml:space="preserve">ותמהו האחרונים </w:t>
      </w:r>
      <w:r w:rsidR="0082726E" w:rsidRPr="00882F11">
        <w:rPr>
          <w:rFonts w:cs="Guttman Drogolin" w:hint="cs"/>
          <w:rtl/>
          <w:lang w:bidi="he-IL"/>
        </w:rPr>
        <w:t xml:space="preserve">(ע' כגון נובי"ק יו"ד סי' כ"ח) </w:t>
      </w:r>
      <w:r w:rsidRPr="00882F11">
        <w:rPr>
          <w:rFonts w:cs="Guttman Drogolin" w:hint="cs"/>
          <w:rtl/>
          <w:lang w:bidi="he-IL"/>
        </w:rPr>
        <w:t xml:space="preserve">במחלוקת זו כמה תמיהות גדולות. חדא דהיאך יתכן לומר שיש מחלוקת </w:t>
      </w:r>
      <w:r w:rsidR="00090F45" w:rsidRPr="00882F11">
        <w:rPr>
          <w:rFonts w:cs="Guttman Drogolin" w:hint="cs"/>
          <w:rtl/>
          <w:lang w:bidi="he-IL"/>
        </w:rPr>
        <w:t>אם עילאה גבר או תתאה, ליטעמי' קפילא ולימא לן. וקושיא זו מתחלקת לתרתי.</w:t>
      </w:r>
      <w:r w:rsidR="0082726E" w:rsidRPr="00882F11">
        <w:rPr>
          <w:rFonts w:cs="Guttman Drogolin" w:hint="cs"/>
          <w:rtl/>
          <w:lang w:bidi="he-IL"/>
        </w:rPr>
        <w:t xml:space="preserve"> חדא למאי נפק"מ אי עילאה או תתאה גבר, אפילו אם תתאה גבר ליטעמי' </w:t>
      </w:r>
      <w:r w:rsidR="0082726E" w:rsidRPr="00882F11">
        <w:rPr>
          <w:rFonts w:cs="Guttman Drogolin" w:hint="cs"/>
          <w:rtl/>
          <w:lang w:bidi="he-IL"/>
        </w:rPr>
        <w:lastRenderedPageBreak/>
        <w:t>לעילאה לקפילא ארמאה וניחזי אם יש בה טעם או לא. בזה כתב הנו"ב שיש נפק"מ במין במינו א"נ בדליכא קפילא. אבל צ"ע עוד דהאיך יש מקום למחלוקת בזה, הא אפשר לנסות בהיתר ע"י עליון ותחתון ולראות מי גובר. בזה יסד הנו"ב יסוד שכשחז"ל אמרו שדבר נותן טעם בשני, אין זה דבר מוכרח, רק שיש חשש שנתן טעם, ובאמת יש גם צד שלא נתן טעם. ולכן אפילו אם תתאה גבר יתכן שלא נתן טעם בעליון כדי שיוכל לקבל טעם</w:t>
      </w:r>
      <w:r w:rsidR="0082726E" w:rsidRPr="00882F11">
        <w:rPr>
          <w:rStyle w:val="FootnoteReference"/>
          <w:rFonts w:cs="Guttman Drogolin"/>
          <w:rtl/>
          <w:lang w:bidi="he-IL"/>
        </w:rPr>
        <w:footnoteReference w:id="405"/>
      </w:r>
      <w:r w:rsidR="0082726E" w:rsidRPr="00882F11">
        <w:rPr>
          <w:rFonts w:cs="Guttman Drogolin" w:hint="cs"/>
          <w:rtl/>
          <w:lang w:bidi="he-IL"/>
        </w:rPr>
        <w:t xml:space="preserve">. </w:t>
      </w:r>
    </w:p>
    <w:p w:rsidR="00FA4A58" w:rsidRPr="00882F11" w:rsidRDefault="0082726E" w:rsidP="00FA4A58">
      <w:pPr>
        <w:tabs>
          <w:tab w:val="right" w:pos="7497"/>
        </w:tabs>
        <w:bidi/>
        <w:jc w:val="both"/>
        <w:rPr>
          <w:rFonts w:cs="Guttman Drogolin"/>
          <w:rtl/>
          <w:lang w:bidi="he-IL"/>
        </w:rPr>
      </w:pPr>
      <w:r w:rsidRPr="00882F11">
        <w:rPr>
          <w:rFonts w:cs="Guttman Drogolin" w:hint="cs"/>
          <w:rtl/>
          <w:lang w:bidi="he-IL"/>
        </w:rPr>
        <w:t>עוד צ"ע דלכאורה יש כאן סברות הפוכות. וכן בסברות הפוכות עצמן יל"ע למה זה אומר בכה וזה אומר בכה. ויתכן שהוא מכח הראיות שהביאו בגמ' וכל א' לית לי' הדדחי' דחברי'. אבל עדיין צ"ע דמה"ת למתני' להכריע שהעליון או התחתון גובר.</w:t>
      </w:r>
      <w:r w:rsidR="00380DF8" w:rsidRPr="00882F11">
        <w:rPr>
          <w:rFonts w:cs="Guttman Drogolin" w:hint="cs"/>
          <w:rtl/>
          <w:lang w:bidi="he-IL"/>
        </w:rPr>
        <w:t xml:space="preserve"> ומצאתי לאיסור והיתר בריש כלל כ"ט שכתב בביאור הא דבכה"ג שהעליון צונן והתחתון חם הרי זה אסור אליבא דשמואל "</w:t>
      </w:r>
      <w:r w:rsidR="00380DF8" w:rsidRPr="00882F11">
        <w:rPr>
          <w:rFonts w:cs="Guttman Drogolin"/>
          <w:rtl/>
          <w:lang w:bidi="he-IL"/>
        </w:rPr>
        <w:t>והכא שהחם למטה הוי כחם בתוך חם דהעליון מכביד על התחתון ומפליטו והילכך תתאי גבר בין לחמם בין לקרר בין לחומרא בין לקולא פי' שנידונין כמו התחתון שאם התחתון חם אפי' שהיתה הכשירה למטה ועליה בשר נבילה צונן אפי' חי ותפל נידונין כרותחין ונאסרה אף הכשירה דלמט' לפי שהעליון מפליט חום התחתון וגם כח האש עולה תמיד כדאיתא לקמן ונעשו שניהם חמין</w:t>
      </w:r>
      <w:r w:rsidR="00380DF8" w:rsidRPr="00882F11">
        <w:rPr>
          <w:rFonts w:cs="Guttman Drogolin" w:hint="cs"/>
          <w:rtl/>
          <w:lang w:bidi="he-IL"/>
        </w:rPr>
        <w:t xml:space="preserve">". וא"כ לכאורה יהי' לנו פתח לבאר גם שיטת רב, דאיהו סבר דכיון שהעליון מכביד על התחתון הרי הוא גם מפליט לתוך התחתון, ור"ל שזה שמכביד הוי טעם לומר שהעליון משפיע על התחתון ולא להיפך. </w:t>
      </w:r>
      <w:r w:rsidR="00FA4A58" w:rsidRPr="00882F11">
        <w:rPr>
          <w:rFonts w:cs="Guttman Drogolin" w:hint="cs"/>
          <w:rtl/>
          <w:lang w:bidi="he-IL"/>
        </w:rPr>
        <w:t xml:space="preserve">וכן ראיתי בשם החת"ס בחי' למסכתין. </w:t>
      </w:r>
      <w:r w:rsidR="00380DF8" w:rsidRPr="00882F11">
        <w:rPr>
          <w:rFonts w:cs="Guttman Drogolin" w:hint="cs"/>
          <w:rtl/>
          <w:lang w:bidi="he-IL"/>
        </w:rPr>
        <w:t xml:space="preserve">וא"כ האו"ה שהוסיף גם טעם שחום עולה למעלה לא הוסיף אלא לרווחא מילתא, דהא ע"כ גם רב </w:t>
      </w:r>
      <w:r w:rsidR="00380DF8" w:rsidRPr="00882F11">
        <w:rPr>
          <w:rFonts w:cs="Guttman Drogolin" w:hint="cs"/>
          <w:rtl/>
          <w:lang w:bidi="he-IL"/>
        </w:rPr>
        <w:lastRenderedPageBreak/>
        <w:t xml:space="preserve">מודה שבדר"כ חום עולה למעלה, ומ"מ סבר דעילאה גבר. </w:t>
      </w:r>
    </w:p>
    <w:p w:rsidR="00FA4A58" w:rsidRPr="00882F11" w:rsidRDefault="00FA4A58" w:rsidP="00FA4A58">
      <w:pPr>
        <w:tabs>
          <w:tab w:val="right" w:pos="7497"/>
        </w:tabs>
        <w:bidi/>
        <w:jc w:val="both"/>
        <w:rPr>
          <w:rFonts w:cs="Guttman Drogolin"/>
          <w:rtl/>
          <w:lang w:bidi="he-IL"/>
        </w:rPr>
      </w:pPr>
      <w:r w:rsidRPr="00882F11">
        <w:rPr>
          <w:rFonts w:cs="Guttman Drogolin" w:hint="cs"/>
          <w:rtl/>
          <w:lang w:bidi="he-IL"/>
        </w:rPr>
        <w:t>ואני אוסיף עוד ב' נידונים מרכזיים בנידון זה דעילאה או תתאה גבר:</w:t>
      </w:r>
    </w:p>
    <w:p w:rsidR="009D2421" w:rsidRPr="00882F11" w:rsidRDefault="00FA4A58" w:rsidP="00FA4A58">
      <w:pPr>
        <w:tabs>
          <w:tab w:val="right" w:pos="7497"/>
        </w:tabs>
        <w:bidi/>
        <w:jc w:val="both"/>
        <w:rPr>
          <w:rFonts w:cs="Guttman Drogolin"/>
          <w:rtl/>
          <w:lang w:bidi="he-IL"/>
        </w:rPr>
      </w:pPr>
      <w:r w:rsidRPr="00882F11">
        <w:rPr>
          <w:rFonts w:cs="Guttman Drogolin" w:hint="cs"/>
          <w:rtl/>
          <w:lang w:bidi="he-IL"/>
        </w:rPr>
        <w:t xml:space="preserve">מקשים העולם, דלכאורה אם התחתון גדול הרבה יותר מן העליון, הרי החוש מעיד </w:t>
      </w:r>
      <w:r w:rsidR="009D2421" w:rsidRPr="00882F11">
        <w:rPr>
          <w:rFonts w:cs="Guttman Drogolin" w:hint="cs"/>
          <w:rtl/>
          <w:lang w:bidi="he-IL"/>
        </w:rPr>
        <w:t xml:space="preserve">שהתחתון גובר על העליון, ואיך יעלה על דעת אדם לומר דעילאה גבר. והה"נ להיפך, אם העליון כ"כ גדול יותר מן התחתון, ודאי שהוא הגובר, וא"כ איך יתכן דתתאה גבר. וי"א דאה"נ ולא נחלקו אלא בכה"ג דאלו ואלו שוין בשיעור, אבל ראיתי שמקשין דא"כ האיך הוכיחו בגמ' משמן של תרומה ע"ג הקרבן פסח לענין עילאה או תתאה גבר, הא פשוט שהקרבן פסח גדול יותר מן השמן שסכו עליו. </w:t>
      </w:r>
    </w:p>
    <w:p w:rsidR="00FC0C9D" w:rsidRPr="00882F11" w:rsidRDefault="009D2421" w:rsidP="00A745D4">
      <w:pPr>
        <w:tabs>
          <w:tab w:val="right" w:pos="7497"/>
        </w:tabs>
        <w:bidi/>
        <w:jc w:val="both"/>
        <w:rPr>
          <w:rFonts w:cs="Guttman Drogolin"/>
          <w:rtl/>
          <w:lang w:bidi="he-IL"/>
        </w:rPr>
      </w:pPr>
      <w:r w:rsidRPr="00882F11">
        <w:rPr>
          <w:rFonts w:cs="Guttman Drogolin" w:hint="cs"/>
          <w:rtl/>
          <w:lang w:bidi="he-IL"/>
        </w:rPr>
        <w:t xml:space="preserve">עוד יל"ע דהנה במס' שבת מבואר דכלי ראשון אפילו אינו ע"ג האש מבשל מדאורייתא, ואילו כלי שני אינו מבשל. ולכאורה למה כלי שני אינו מבשל אליבא דרב, הא עליאה גבר וליהוי הכלי ככלי ראשון. ומאידך גם כלי ראשון אליבא דרב קשה, דכיון שאינו ע"ג האש, כשיכניס לתוכו מאכל צונן לכאורה הוא צריך להתגבר על התחתון ולמב יש בישול כלל. וכל זה יתבאר בעזהי"ת בסמוך. </w:t>
      </w:r>
    </w:p>
    <w:p w:rsidR="00FC0C9D" w:rsidRPr="00882F11" w:rsidRDefault="00FC0C9D" w:rsidP="00FC0C9D">
      <w:pPr>
        <w:tabs>
          <w:tab w:val="right" w:pos="7497"/>
        </w:tabs>
        <w:bidi/>
        <w:jc w:val="both"/>
        <w:rPr>
          <w:rFonts w:cs="Guttman Drogolin"/>
          <w:rtl/>
          <w:lang w:bidi="he-IL"/>
        </w:rPr>
        <w:sectPr w:rsidR="00FC0C9D" w:rsidRPr="00882F11" w:rsidSect="006D0A1E">
          <w:type w:val="continuous"/>
          <w:pgSz w:w="11907" w:h="16839" w:code="9"/>
          <w:pgMar w:top="1440" w:right="1440" w:bottom="1440" w:left="1440" w:header="720" w:footer="720" w:gutter="0"/>
          <w:cols w:num="2" w:space="720"/>
          <w:bidi/>
          <w:docGrid w:linePitch="360"/>
        </w:sectPr>
      </w:pPr>
    </w:p>
    <w:p w:rsidR="00FC0C9D" w:rsidRPr="006D0A1E" w:rsidRDefault="00FC0C9D" w:rsidP="00FC0C9D">
      <w:pPr>
        <w:keepNext/>
        <w:tabs>
          <w:tab w:val="left" w:pos="3818"/>
          <w:tab w:val="center" w:pos="4680"/>
        </w:tabs>
        <w:bidi/>
        <w:jc w:val="center"/>
        <w:rPr>
          <w:rFonts w:cs="Guttman Drogolin"/>
          <w:b/>
          <w:bCs/>
          <w:sz w:val="48"/>
          <w:szCs w:val="48"/>
          <w:rtl/>
          <w:lang w:bidi="he-IL"/>
        </w:rPr>
      </w:pPr>
      <w:r w:rsidRPr="006D0A1E">
        <w:rPr>
          <w:rFonts w:cs="Guttman Drogolin" w:hint="cs"/>
          <w:b/>
          <w:bCs/>
          <w:sz w:val="48"/>
          <w:szCs w:val="48"/>
          <w:rtl/>
          <w:lang w:bidi="he-IL"/>
        </w:rPr>
        <w:lastRenderedPageBreak/>
        <w:t>שיעור ק"א</w:t>
      </w:r>
    </w:p>
    <w:p w:rsidR="006D0A1E" w:rsidRDefault="006D0A1E" w:rsidP="00FC0C9D">
      <w:pPr>
        <w:pStyle w:val="Heading1"/>
        <w:bidi/>
        <w:spacing w:before="0" w:line="360" w:lineRule="auto"/>
        <w:jc w:val="center"/>
        <w:rPr>
          <w:rFonts w:cs="Guttman Drogolin"/>
          <w:color w:val="auto"/>
          <w:sz w:val="24"/>
          <w:szCs w:val="24"/>
          <w:u w:val="single"/>
          <w:rtl/>
          <w:lang w:bidi="he-IL"/>
        </w:rPr>
        <w:sectPr w:rsidR="006D0A1E" w:rsidSect="006D0A1E">
          <w:pgSz w:w="11907" w:h="16839" w:code="9"/>
          <w:pgMar w:top="1440" w:right="1440" w:bottom="1440" w:left="1440" w:header="720" w:footer="720" w:gutter="0"/>
          <w:cols w:space="720"/>
          <w:bidi/>
          <w:docGrid w:linePitch="360"/>
        </w:sectPr>
      </w:pPr>
    </w:p>
    <w:p w:rsidR="00FC0C9D" w:rsidRPr="00882F11" w:rsidRDefault="00FC0C9D" w:rsidP="00FC0C9D">
      <w:pPr>
        <w:pStyle w:val="Heading1"/>
        <w:bidi/>
        <w:spacing w:before="0" w:line="360" w:lineRule="auto"/>
        <w:jc w:val="center"/>
        <w:rPr>
          <w:rFonts w:cs="Guttman Drogolin"/>
          <w:color w:val="auto"/>
          <w:sz w:val="24"/>
          <w:szCs w:val="24"/>
          <w:u w:val="single"/>
          <w:rtl/>
          <w:lang w:bidi="he-IL"/>
        </w:rPr>
      </w:pPr>
      <w:bookmarkStart w:id="406" w:name="_Toc496175653"/>
      <w:r w:rsidRPr="00882F11">
        <w:rPr>
          <w:rFonts w:cs="Guttman Drogolin" w:hint="cs"/>
          <w:color w:val="auto"/>
          <w:sz w:val="24"/>
          <w:szCs w:val="24"/>
          <w:u w:val="single"/>
          <w:rtl/>
          <w:lang w:bidi="he-IL"/>
        </w:rPr>
        <w:lastRenderedPageBreak/>
        <w:t>מה חשוב תתאה או עילאה</w:t>
      </w:r>
      <w:bookmarkEnd w:id="406"/>
    </w:p>
    <w:p w:rsidR="00351B61" w:rsidRPr="00882F11" w:rsidRDefault="000F292C" w:rsidP="00686A43">
      <w:pPr>
        <w:tabs>
          <w:tab w:val="right" w:pos="7497"/>
        </w:tabs>
        <w:bidi/>
        <w:jc w:val="both"/>
        <w:rPr>
          <w:rFonts w:cs="Guttman Drogolin"/>
          <w:rtl/>
          <w:lang w:bidi="he-IL"/>
        </w:rPr>
      </w:pPr>
      <w:r>
        <w:rPr>
          <w:rFonts w:cs="Guttman Drogolin"/>
          <w:rtl/>
          <w:lang w:bidi="he-IL"/>
        </w:rPr>
        <w:fldChar w:fldCharType="begin"/>
      </w:r>
      <w:r>
        <w:instrText xml:space="preserve"> XE "</w:instrText>
      </w:r>
      <w:r w:rsidRPr="001A7E3C">
        <w:rPr>
          <w:rFonts w:hint="cs"/>
          <w:rtl/>
          <w:lang w:bidi="he-IL"/>
        </w:rPr>
        <w:instrText>תתאה גבר / עילאה גבר</w:instrText>
      </w:r>
      <w:r w:rsidRPr="001A7E3C">
        <w:rPr>
          <w:rtl/>
        </w:rPr>
        <w:instrText>:</w:instrText>
      </w:r>
      <w:r w:rsidRPr="001A7E3C">
        <w:rPr>
          <w:rFonts w:hint="cs"/>
          <w:rtl/>
          <w:lang w:bidi="he-IL"/>
        </w:rPr>
        <w:instrText>איך קובעים תתאה ועילאה</w:instrText>
      </w:r>
      <w:r>
        <w:instrText xml:space="preserve">" </w:instrText>
      </w:r>
      <w:r>
        <w:rPr>
          <w:rFonts w:cs="Guttman Drogolin"/>
          <w:rtl/>
          <w:lang w:bidi="he-IL"/>
        </w:rPr>
        <w:fldChar w:fldCharType="end"/>
      </w:r>
      <w:r w:rsidR="00686A43" w:rsidRPr="00882F11">
        <w:rPr>
          <w:rFonts w:cs="Guttman Drogolin" w:hint="cs"/>
          <w:rtl/>
          <w:lang w:bidi="he-IL"/>
        </w:rPr>
        <w:t>התוס' בד"ה בשלמא הקשו למ"ד עילאה גבר למה אין הקרבן פסח נאסר מחמת השפוד. ותי' או משום דשאני עץ מחרס או"ד משום שמבפנים אינו רותח כמבחוץ. והקשה המהרש"א</w:t>
      </w:r>
      <w:r w:rsidR="00E40293" w:rsidRPr="00882F11">
        <w:rPr>
          <w:rStyle w:val="FootnoteReference"/>
          <w:rFonts w:cs="Guttman Drogolin"/>
          <w:rtl/>
          <w:lang w:bidi="he-IL"/>
        </w:rPr>
        <w:footnoteReference w:id="406"/>
      </w:r>
      <w:r w:rsidR="00686A43" w:rsidRPr="00882F11">
        <w:rPr>
          <w:rFonts w:cs="Guttman Drogolin" w:hint="cs"/>
          <w:rtl/>
          <w:lang w:bidi="he-IL"/>
        </w:rPr>
        <w:t xml:space="preserve"> למה קושיא זו קשה רק למ"ד עילאה גבר ולא למ"ד תתאה גבר, הא השפוד מונח בתוך הקרבן פסח, וכמו שהחלק שלמעלה מן השפוד הוא העילאה הה"נ שהחלק שלמטה מן השפור הוא התתאה, א"כ לכו"ע תיקשי. והחוו"ד (סי' צ"ב ס"ק כ"ד) הקשה </w:t>
      </w:r>
      <w:r w:rsidR="00351B61" w:rsidRPr="00882F11">
        <w:rPr>
          <w:rFonts w:cs="Guttman Drogolin" w:hint="cs"/>
          <w:rtl/>
          <w:lang w:bidi="he-IL"/>
        </w:rPr>
        <w:t>על הגמ', שהרי הגמ' רצתה להביא ראי' מקרבן פסח שסכו בשמן של תרומה שהדין הוא לקלוף למ"ד עילאה גבר, דלדידי' ניחא כיון שהשמן למעלה צונן, אבל למ"ד תתאה גבר קשה. וגם בזה הקשה החוו"ד דהא השמן לכאורה יש מסבי</w:t>
      </w:r>
      <w:r w:rsidR="002F293D" w:rsidRPr="00882F11">
        <w:rPr>
          <w:rFonts w:cs="Guttman Drogolin" w:hint="cs"/>
          <w:rtl/>
          <w:lang w:bidi="he-IL"/>
        </w:rPr>
        <w:t>ב לקרבן פסח, ולכן יש גם חלק תתאה</w:t>
      </w:r>
      <w:r w:rsidR="00351B61" w:rsidRPr="00882F11">
        <w:rPr>
          <w:rFonts w:cs="Guttman Drogolin" w:hint="cs"/>
          <w:rtl/>
          <w:lang w:bidi="he-IL"/>
        </w:rPr>
        <w:t xml:space="preserve"> וגם חלק עילאה וא"כ קשה לתרוייהו.</w:t>
      </w:r>
    </w:p>
    <w:p w:rsidR="00A83109" w:rsidRPr="00882F11" w:rsidRDefault="00351B61" w:rsidP="008D0CE8">
      <w:pPr>
        <w:tabs>
          <w:tab w:val="right" w:pos="7497"/>
        </w:tabs>
        <w:bidi/>
        <w:jc w:val="both"/>
        <w:rPr>
          <w:rFonts w:cs="Guttman Drogolin"/>
          <w:rtl/>
          <w:lang w:bidi="he-IL"/>
        </w:rPr>
      </w:pPr>
      <w:r w:rsidRPr="00882F11">
        <w:rPr>
          <w:rFonts w:cs="Guttman Drogolin" w:hint="cs"/>
          <w:rtl/>
          <w:lang w:bidi="he-IL"/>
        </w:rPr>
        <w:t>והחוו"ד הוכיח מכח קושייתו שגדר הדין של עילאה ותתאה אינו תלוי מה יותר גבוה ממה, אלא תלוי במה נסמך ע"ג מה. ולכן כיון שהשמן בין אם הוא למעלה ובין אם הוא למטה הרי הוא נסמך ע"ג הקרבן פסח, הרי הוא חשוב כעילאה. ובזה מיושב בין הערת החוו"ד ובין הערת המהרש"א. אמנם ביד יהודה שם ס"ק מ"ט כתב לחלוק על יסודו של החוו"</w:t>
      </w:r>
      <w:r w:rsidR="008D0CE8" w:rsidRPr="00882F11">
        <w:rPr>
          <w:rFonts w:cs="Guttman Drogolin" w:hint="cs"/>
          <w:rtl/>
          <w:lang w:bidi="he-IL"/>
        </w:rPr>
        <w:t xml:space="preserve">ד, ודחה הראי' כיון שהדרך הוא לאחוז את הבשר בידים ולסוך מלמעלה, ושוב לסבב אותו, כשתמיד סך מלמעלה. ולא הבנתי דחייתו, דהא מ"מ כבר סך החלק הראשון ושוב שסובב אותו, וא"כ לאחר מכן נהפך להיות התתאה. וכנראה סבר שכבר הצטנן בשעה שהניח את השמן, ושוב לא הוי גם הקרבן פסח רותח כיון דעילאה גבר. וכן לשיטת היד יהודה ישאר קושיית המהרש"א. ובאמת מבואר במהרש"א שלא התקשה אלא בתוס' ולא בגמ'.  </w:t>
      </w:r>
    </w:p>
    <w:p w:rsidR="00BA5C21" w:rsidRPr="00882F11" w:rsidRDefault="00BA5C21" w:rsidP="00BA5C21">
      <w:pPr>
        <w:pStyle w:val="Heading1"/>
        <w:bidi/>
        <w:spacing w:before="0" w:line="360" w:lineRule="auto"/>
        <w:jc w:val="center"/>
        <w:rPr>
          <w:rFonts w:cs="Guttman Drogolin"/>
          <w:color w:val="auto"/>
          <w:sz w:val="24"/>
          <w:szCs w:val="24"/>
          <w:u w:val="single"/>
          <w:rtl/>
          <w:lang w:bidi="he-IL"/>
        </w:rPr>
      </w:pPr>
      <w:bookmarkStart w:id="407" w:name="_Toc496175654"/>
      <w:r w:rsidRPr="00882F11">
        <w:rPr>
          <w:rFonts w:cs="Guttman Drogolin" w:hint="cs"/>
          <w:color w:val="auto"/>
          <w:sz w:val="24"/>
          <w:szCs w:val="24"/>
          <w:u w:val="single"/>
          <w:rtl/>
          <w:lang w:bidi="he-IL"/>
        </w:rPr>
        <w:lastRenderedPageBreak/>
        <w:t>בגירסת הגמ' ש'ביטול את מקומו סגי'</w:t>
      </w:r>
      <w:bookmarkEnd w:id="407"/>
    </w:p>
    <w:p w:rsidR="001F46E4" w:rsidRPr="00882F11" w:rsidRDefault="00291868" w:rsidP="00291868">
      <w:pPr>
        <w:tabs>
          <w:tab w:val="right" w:pos="7497"/>
        </w:tabs>
        <w:bidi/>
        <w:jc w:val="both"/>
        <w:rPr>
          <w:rFonts w:cs="Guttman Drogolin"/>
          <w:rtl/>
          <w:lang w:bidi="he-IL"/>
        </w:rPr>
      </w:pPr>
      <w:r>
        <w:rPr>
          <w:rFonts w:cs="Guttman Drogolin"/>
          <w:rtl/>
          <w:lang w:bidi="he-IL"/>
        </w:rPr>
        <w:fldChar w:fldCharType="begin"/>
      </w:r>
      <w:r>
        <w:instrText xml:space="preserve"> XE "</w:instrText>
      </w:r>
      <w:r w:rsidRPr="001A7E3C">
        <w:rPr>
          <w:rFonts w:hint="cs"/>
          <w:rtl/>
          <w:lang w:bidi="he-IL"/>
        </w:rPr>
        <w:instrText>תתאה גבר / עילאה גבר</w:instrText>
      </w:r>
      <w:r w:rsidRPr="001A7E3C">
        <w:rPr>
          <w:rtl/>
        </w:rPr>
        <w:instrText>:</w:instrText>
      </w:r>
      <w:r>
        <w:rPr>
          <w:rFonts w:hint="cs"/>
          <w:rtl/>
          <w:lang w:bidi="he-IL"/>
        </w:rPr>
        <w:instrText>נקודות הסוגיית הגמרא</w:instrText>
      </w:r>
      <w:r>
        <w:instrText xml:space="preserve">" </w:instrText>
      </w:r>
      <w:r>
        <w:rPr>
          <w:rFonts w:cs="Guttman Drogolin"/>
          <w:rtl/>
          <w:lang w:bidi="he-IL"/>
        </w:rPr>
        <w:fldChar w:fldCharType="end"/>
      </w:r>
      <w:r w:rsidR="00BA5C21" w:rsidRPr="00882F11">
        <w:rPr>
          <w:rFonts w:cs="Guttman Drogolin" w:hint="cs"/>
          <w:rtl/>
          <w:lang w:bidi="he-IL"/>
        </w:rPr>
        <w:t>הגמ' מקשה מנטף מרוטבו על הקמח</w:t>
      </w:r>
      <w:r w:rsidR="007F5582" w:rsidRPr="00882F11">
        <w:rPr>
          <w:rFonts w:cs="Guttman Drogolin" w:hint="cs"/>
          <w:rtl/>
          <w:lang w:bidi="he-IL"/>
        </w:rPr>
        <w:t xml:space="preserve"> שצריך לקמוץ אשיטת שמואל דסבר תתאה גבר. וגירסת הספרים ישנים שהוקשיא היתה שב'יטול את מקומו סגי'. ורש"י מחקו וביארו התוס' הטעם דהא לשמואל דסבר תתאה גבר הוי חם לתוך צונן ואינו צריך כדי נטילה. ולכאורה צ"ע דנהי נמי שאינו צריך נטילה, אבל קליפה מיהא בעי. ואין לומר שמחק משום שלשון הגמ' היתה 'יטול' את מקומו דמשמע כדי נטילה, דאי משום הא </w:t>
      </w:r>
      <w:r w:rsidR="001F46E4" w:rsidRPr="00882F11">
        <w:rPr>
          <w:rFonts w:cs="Guttman Drogolin" w:hint="cs"/>
          <w:rtl/>
          <w:lang w:bidi="he-IL"/>
        </w:rPr>
        <w:t>במקום למחוק את הכל ליגרס ביקלוף את מקומו סגי. והי' אפשר לומר דרש"י מחקו משום שעדיין לא אמרו בגמ' שצריך כדי קליפה. אבל התוס' סברו הכי גם מעיקרא. וכן מ"מ קשה לומר שלא ס"ד הכי מעיקרא דהא הגמ' שאלה על המימרא של הברייתא שאמר דסגי במדיח שהוא לא יתכן, ומשום שסברא פשוטה היא שצריך קליפה, ולכן איך אפשר לומר דס"ד מעיקרא אחרת. כל זה מונח בתוך קושיית המהרש"א על אתר. ותי' מהרש"א דע"כ סבר כשיטת ריב"א שאינו צריך לקלוף אלא במקום שיכול לקלוף וכיון דסבירא לי' לרש"י שהטעם לאסור משום שהרוטב מרתח לי' לקמח, והקמח שוב מרתח לי' לרוטב, ונפסל הרוטב משום צלי ע"י דבר אחר, ולכן כיון שאינו יכול לקלוף הרוטב אינו צריך להסיר כלום.</w:t>
      </w:r>
    </w:p>
    <w:p w:rsidR="00BA5C21" w:rsidRPr="00882F11" w:rsidRDefault="001F46E4" w:rsidP="00413C93">
      <w:pPr>
        <w:tabs>
          <w:tab w:val="right" w:pos="7497"/>
        </w:tabs>
        <w:bidi/>
        <w:jc w:val="both"/>
        <w:rPr>
          <w:rFonts w:cs="Guttman Drogolin"/>
          <w:rtl/>
          <w:lang w:bidi="he-IL"/>
        </w:rPr>
      </w:pPr>
      <w:r w:rsidRPr="00882F11">
        <w:rPr>
          <w:rFonts w:cs="Guttman Drogolin" w:hint="cs"/>
          <w:rtl/>
          <w:lang w:bidi="he-IL"/>
        </w:rPr>
        <w:t xml:space="preserve">והתוס' קיימו הגירסא וכתבו שצריך ליטות את מקומו משום שהרוטב אינו מבושל. והוכיח דע"כ כן שאם הי' מבושל לא הי' נפסל מדין צלי ע"י דבר אחר כיון שכבר מבושל הוא. </w:t>
      </w:r>
      <w:r w:rsidR="00413C93" w:rsidRPr="00882F11">
        <w:rPr>
          <w:rFonts w:cs="Guttman Drogolin" w:hint="cs"/>
          <w:rtl/>
          <w:lang w:bidi="he-IL"/>
        </w:rPr>
        <w:t>ויל"ע למה רש"י באמת לית לי' טעמם של התוס' לקלוף. ואולי חלק רש"י וסבר שיש פסול משום צלי ע"י דבר אחר אפילו צלוי כל צרכו מעיקרא.</w:t>
      </w:r>
      <w:r w:rsidRPr="00882F11">
        <w:rPr>
          <w:rFonts w:cs="Guttman Drogolin" w:hint="cs"/>
          <w:rtl/>
          <w:lang w:bidi="he-IL"/>
        </w:rPr>
        <w:t xml:space="preserve">  </w:t>
      </w:r>
      <w:r w:rsidR="007F5582" w:rsidRPr="00882F11">
        <w:rPr>
          <w:rFonts w:cs="Guttman Drogolin" w:hint="cs"/>
          <w:rtl/>
          <w:lang w:bidi="he-IL"/>
        </w:rPr>
        <w:t xml:space="preserve">   </w:t>
      </w:r>
    </w:p>
    <w:p w:rsidR="00A83109" w:rsidRPr="00882F11" w:rsidRDefault="00A83109" w:rsidP="00A83109">
      <w:pPr>
        <w:pStyle w:val="Heading1"/>
        <w:bidi/>
        <w:spacing w:before="0" w:line="360" w:lineRule="auto"/>
        <w:jc w:val="center"/>
        <w:rPr>
          <w:rFonts w:cs="Guttman Drogolin"/>
          <w:color w:val="auto"/>
          <w:sz w:val="24"/>
          <w:szCs w:val="24"/>
          <w:u w:val="single"/>
          <w:rtl/>
          <w:lang w:bidi="he-IL"/>
        </w:rPr>
      </w:pPr>
      <w:bookmarkStart w:id="408" w:name="_Toc496175655"/>
      <w:r w:rsidRPr="00882F11">
        <w:rPr>
          <w:rFonts w:cs="Guttman Drogolin" w:hint="cs"/>
          <w:color w:val="auto"/>
          <w:sz w:val="24"/>
          <w:szCs w:val="24"/>
          <w:u w:val="single"/>
          <w:rtl/>
          <w:lang w:bidi="he-IL"/>
        </w:rPr>
        <w:t>הראי' מסכו בשמן של תרומה</w:t>
      </w:r>
      <w:bookmarkEnd w:id="408"/>
    </w:p>
    <w:p w:rsidR="00413C93" w:rsidRPr="00882F11" w:rsidRDefault="00A83109" w:rsidP="00A83109">
      <w:pPr>
        <w:tabs>
          <w:tab w:val="right" w:pos="7497"/>
        </w:tabs>
        <w:bidi/>
        <w:jc w:val="both"/>
        <w:rPr>
          <w:rFonts w:cs="Guttman Drogolin"/>
          <w:rtl/>
          <w:lang w:bidi="he-IL"/>
        </w:rPr>
      </w:pPr>
      <w:r w:rsidRPr="00882F11">
        <w:rPr>
          <w:rFonts w:cs="Guttman Drogolin" w:hint="cs"/>
          <w:rtl/>
          <w:lang w:bidi="he-IL"/>
        </w:rPr>
        <w:t xml:space="preserve">הגמ' רצתה להוכיח מדין המתני' שבסכו בשמן של תרומה שאינו צריך אלא קליפה דע"כ עילאה </w:t>
      </w:r>
      <w:r w:rsidRPr="00882F11">
        <w:rPr>
          <w:rFonts w:cs="Guttman Drogolin" w:hint="cs"/>
          <w:rtl/>
          <w:lang w:bidi="he-IL"/>
        </w:rPr>
        <w:lastRenderedPageBreak/>
        <w:t>גבר, שאם תתאה גבר הא צריך ליאסר כולו. והתוס' כבר מדגישים שאפילו אליבא דרב צריכים להעמיד בכה"ג שאין הקרבן פסח ע"ג האש, דהא פשיטא שבכה"ג גם רב מודה שמתפשט בכולו. אלא דעוד קשה, שהרי התוס' דקדקו דמתני' מיירי גם בצונן, דהא דומיא דחי קתני. ור"ל שבסכו בשמן הרי הוא נבלע כדי קליפה בתוך דבר צלוי ואין צורך בחום. וא"כ מה"ת לן באמת דמיירי בם עד שיהא קשה לשמואל, לימא דלא מיירי אלא בצונן דוציא דחי. והתוס' שם כתבו דמיירי בין בצונן ובין בחם, וכוונתם שהרי ע"כ מבואר כאן בגמ' דמיירי בחם דאל"כ ה קשה לשמואל. וזה עצמו צ"ע, שאמנם מוכח כן בגמ', אבל מנין לי' לגמ' דבר זה. וחשבתי לומר על דרך הפשט, שאין הדרך לאכול הקרבן פסח כשהוא צונן, רק אפילו אם הצטנן מחממים אותו. וא"כ אע"ג דמעיקרא לא נבלע בה אלא כדי קליפה, מ"</w:t>
      </w:r>
      <w:r w:rsidR="007F5582" w:rsidRPr="00882F11">
        <w:rPr>
          <w:rFonts w:cs="Guttman Drogolin" w:hint="cs"/>
          <w:rtl/>
          <w:lang w:bidi="he-IL"/>
        </w:rPr>
        <w:t>מ אח</w:t>
      </w:r>
      <w:r w:rsidRPr="00882F11">
        <w:rPr>
          <w:rFonts w:cs="Guttman Drogolin" w:hint="cs"/>
          <w:rtl/>
          <w:lang w:bidi="he-IL"/>
        </w:rPr>
        <w:t>ר שהוא מחמם אותו הי' צריך להיות כולו אסור אל</w:t>
      </w:r>
      <w:r w:rsidR="007F5582" w:rsidRPr="00882F11">
        <w:rPr>
          <w:rFonts w:cs="Guttman Drogolin" w:hint="cs"/>
          <w:rtl/>
          <w:lang w:bidi="he-IL"/>
        </w:rPr>
        <w:t>י</w:t>
      </w:r>
      <w:r w:rsidRPr="00882F11">
        <w:rPr>
          <w:rFonts w:cs="Guttman Drogolin" w:hint="cs"/>
          <w:rtl/>
          <w:lang w:bidi="he-IL"/>
        </w:rPr>
        <w:t xml:space="preserve">בא דשמואל.  </w:t>
      </w:r>
    </w:p>
    <w:p w:rsidR="00413C93" w:rsidRPr="008520CC" w:rsidRDefault="00413C93" w:rsidP="00413C93">
      <w:pPr>
        <w:pStyle w:val="Heading1"/>
        <w:bidi/>
        <w:spacing w:before="0" w:line="360" w:lineRule="auto"/>
        <w:jc w:val="center"/>
        <w:rPr>
          <w:rFonts w:cs="Guttman Drogolin"/>
          <w:color w:val="auto"/>
          <w:sz w:val="20"/>
          <w:szCs w:val="20"/>
          <w:u w:val="single"/>
          <w:rtl/>
          <w:lang w:bidi="he-IL"/>
        </w:rPr>
      </w:pPr>
      <w:bookmarkStart w:id="409" w:name="_Toc496175656"/>
      <w:r w:rsidRPr="008520CC">
        <w:rPr>
          <w:rFonts w:cs="Guttman Drogolin" w:hint="cs"/>
          <w:color w:val="auto"/>
          <w:sz w:val="20"/>
          <w:szCs w:val="20"/>
          <w:u w:val="single"/>
          <w:rtl/>
          <w:lang w:bidi="he-IL"/>
        </w:rPr>
        <w:t>בדין כדי קליפה בחם לתוך צונן למ"ד תתאה גבר</w:t>
      </w:r>
      <w:bookmarkEnd w:id="409"/>
    </w:p>
    <w:p w:rsidR="00296A61" w:rsidRPr="00882F11" w:rsidRDefault="00291868" w:rsidP="00291868">
      <w:pPr>
        <w:tabs>
          <w:tab w:val="right" w:pos="7497"/>
        </w:tabs>
        <w:bidi/>
        <w:jc w:val="both"/>
        <w:rPr>
          <w:rFonts w:cs="Guttman Drogolin"/>
          <w:rtl/>
          <w:lang w:bidi="he-IL"/>
        </w:rPr>
      </w:pPr>
      <w:r>
        <w:rPr>
          <w:rFonts w:cs="Guttman Drogolin"/>
          <w:rtl/>
          <w:lang w:bidi="he-IL"/>
        </w:rPr>
        <w:fldChar w:fldCharType="begin"/>
      </w:r>
      <w:r>
        <w:instrText xml:space="preserve"> XE "</w:instrText>
      </w:r>
      <w:r w:rsidRPr="001A7E3C">
        <w:rPr>
          <w:rFonts w:hint="cs"/>
          <w:rtl/>
          <w:lang w:bidi="he-IL"/>
        </w:rPr>
        <w:instrText>תתאה גבר / עילאה גבר</w:instrText>
      </w:r>
      <w:r w:rsidRPr="001A7E3C">
        <w:rPr>
          <w:rtl/>
        </w:rPr>
        <w:instrText>:</w:instrText>
      </w:r>
      <w:r>
        <w:rPr>
          <w:rFonts w:hint="cs"/>
          <w:rtl/>
          <w:lang w:bidi="he-IL"/>
        </w:rPr>
        <w:instrText>כדי קליפה בחם לתוך צונן למ</w:instrText>
      </w:r>
      <w:r>
        <w:rPr>
          <w:rFonts w:eastAsiaTheme="minorEastAsia"/>
          <w:lang w:bidi="he-IL"/>
        </w:rPr>
        <w:instrText>\</w:instrText>
      </w:r>
      <w:r w:rsidRPr="002000F3">
        <w:rPr>
          <w:rFonts w:hint="cs"/>
          <w:rtl/>
          <w:lang w:bidi="he-IL"/>
        </w:rPr>
        <w:instrText>"</w:instrText>
      </w:r>
      <w:r>
        <w:rPr>
          <w:rFonts w:hint="cs"/>
          <w:rtl/>
          <w:lang w:bidi="he-IL"/>
        </w:rPr>
        <w:instrText>ד תתאה גבר</w:instrText>
      </w:r>
      <w:r>
        <w:instrText xml:space="preserve">" </w:instrText>
      </w:r>
      <w:r>
        <w:rPr>
          <w:rFonts w:cs="Guttman Drogolin"/>
          <w:rtl/>
          <w:lang w:bidi="he-IL"/>
        </w:rPr>
        <w:fldChar w:fldCharType="end"/>
      </w:r>
      <w:r w:rsidR="002B0308">
        <w:rPr>
          <w:rFonts w:cs="Guttman Drogolin"/>
          <w:rtl/>
          <w:lang w:bidi="he-IL"/>
        </w:rPr>
        <w:fldChar w:fldCharType="begin"/>
      </w:r>
      <w:r w:rsidR="002B0308">
        <w:instrText xml:space="preserve"> XE "</w:instrText>
      </w:r>
      <w:r w:rsidR="002B0308" w:rsidRPr="002D18F4">
        <w:rPr>
          <w:rFonts w:hint="cs"/>
          <w:rtl/>
          <w:lang w:bidi="he-IL"/>
        </w:rPr>
        <w:instrText>חם לתוך צונן</w:instrText>
      </w:r>
      <w:r w:rsidR="002B0308" w:rsidRPr="002D18F4">
        <w:rPr>
          <w:rtl/>
        </w:rPr>
        <w:instrText>:</w:instrText>
      </w:r>
      <w:r w:rsidR="002B0308" w:rsidRPr="002D18F4">
        <w:rPr>
          <w:rFonts w:hint="cs"/>
          <w:rtl/>
          <w:lang w:bidi="he-IL"/>
        </w:rPr>
        <w:instrText>השיעור כדי קליפה למ</w:instrText>
      </w:r>
      <w:r w:rsidR="002B0308">
        <w:rPr>
          <w:rFonts w:eastAsiaTheme="minorEastAsia"/>
          <w:lang w:bidi="he-IL"/>
        </w:rPr>
        <w:instrText>\</w:instrText>
      </w:r>
      <w:r w:rsidR="002B0308" w:rsidRPr="002D18F4">
        <w:rPr>
          <w:rFonts w:hint="cs"/>
          <w:rtl/>
          <w:lang w:bidi="he-IL"/>
        </w:rPr>
        <w:instrText>"ד תתאה גבר</w:instrText>
      </w:r>
      <w:r w:rsidR="002B0308">
        <w:rPr>
          <w:rFonts w:cs="Guttman Drogolin"/>
          <w:rtl/>
          <w:lang w:bidi="he-IL"/>
        </w:rPr>
        <w:fldChar w:fldCharType="begin"/>
      </w:r>
      <w:r w:rsidR="002B0308">
        <w:instrText xml:space="preserve"> XE "</w:instrText>
      </w:r>
      <w:r w:rsidR="002B0308" w:rsidRPr="00C2178F">
        <w:rPr>
          <w:rFonts w:hint="cs"/>
          <w:rtl/>
          <w:lang w:bidi="he-IL"/>
        </w:rPr>
        <w:instrText>העברת טעם</w:instrText>
      </w:r>
      <w:r w:rsidR="002B0308" w:rsidRPr="00C2178F">
        <w:rPr>
          <w:rtl/>
        </w:rPr>
        <w:instrText>:</w:instrText>
      </w:r>
      <w:r w:rsidR="002B0308" w:rsidRPr="00C2178F">
        <w:rPr>
          <w:rFonts w:hint="cs"/>
          <w:rtl/>
          <w:lang w:bidi="he-IL"/>
        </w:rPr>
        <w:instrText>ע</w:instrText>
      </w:r>
      <w:r w:rsidR="002B0308">
        <w:rPr>
          <w:rFonts w:eastAsiaTheme="minorEastAsia"/>
          <w:lang w:bidi="he-IL"/>
        </w:rPr>
        <w:instrText>\</w:instrText>
      </w:r>
      <w:r w:rsidR="002B0308" w:rsidRPr="00C2178F">
        <w:rPr>
          <w:rFonts w:hint="cs"/>
          <w:rtl/>
          <w:lang w:bidi="he-IL"/>
        </w:rPr>
        <w:instrText>"י חום - חילוק בינו לדין בישול בשבת</w:instrText>
      </w:r>
      <w:r w:rsidR="002B0308">
        <w:instrText xml:space="preserve">" </w:instrText>
      </w:r>
      <w:r w:rsidR="002B0308">
        <w:rPr>
          <w:rFonts w:cs="Guttman Drogolin"/>
          <w:rtl/>
          <w:lang w:bidi="he-IL"/>
        </w:rPr>
        <w:fldChar w:fldCharType="end"/>
      </w:r>
      <w:r w:rsidR="002B0308">
        <w:instrText xml:space="preserve">" </w:instrText>
      </w:r>
      <w:r w:rsidR="002B0308">
        <w:rPr>
          <w:rFonts w:cs="Guttman Drogolin"/>
          <w:rtl/>
          <w:lang w:bidi="he-IL"/>
        </w:rPr>
        <w:fldChar w:fldCharType="end"/>
      </w:r>
      <w:r w:rsidR="002B0308" w:rsidRPr="002B0308">
        <w:t xml:space="preserve"> </w:t>
      </w:r>
      <w:r w:rsidR="002B0308">
        <w:t>XE "</w:t>
      </w:r>
      <w:r w:rsidR="002B0308" w:rsidRPr="00457D4F">
        <w:rPr>
          <w:rFonts w:hint="cs"/>
          <w:rtl/>
          <w:lang w:bidi="he-IL"/>
        </w:rPr>
        <w:t>חום</w:t>
      </w:r>
      <w:r w:rsidR="002B0308">
        <w:t>" \t "</w:t>
      </w:r>
      <w:r w:rsidR="002B0308" w:rsidRPr="00457D4F">
        <w:rPr>
          <w:rFonts w:hint="cs"/>
          <w:rtl/>
          <w:lang w:bidi="he-IL"/>
        </w:rPr>
        <w:t>ע' העברת טעם</w:t>
      </w:r>
      <w:r w:rsidR="002B0308">
        <w:t xml:space="preserve">" </w:t>
      </w:r>
      <w:r w:rsidR="002B0308">
        <w:fldChar w:fldCharType="begin"/>
      </w:r>
      <w:r w:rsidR="002B0308">
        <w:instrText xml:space="preserve"> XE "</w:instrText>
      </w:r>
      <w:r w:rsidR="002B0308" w:rsidRPr="00031ADE">
        <w:rPr>
          <w:rFonts w:hint="cs"/>
          <w:rtl/>
          <w:lang w:bidi="he-IL"/>
        </w:rPr>
        <w:instrText>עירוי</w:instrText>
      </w:r>
      <w:r w:rsidR="002B0308" w:rsidRPr="00031ADE">
        <w:rPr>
          <w:rtl/>
        </w:rPr>
        <w:instrText>:</w:instrText>
      </w:r>
      <w:r w:rsidR="002B0308" w:rsidRPr="00031ADE">
        <w:rPr>
          <w:rFonts w:hint="cs"/>
          <w:rtl/>
          <w:lang w:bidi="he-IL"/>
        </w:rPr>
        <w:instrText>שיטות הראשונים</w:instrText>
      </w:r>
      <w:r w:rsidR="002B0308">
        <w:instrText xml:space="preserve">" </w:instrText>
      </w:r>
      <w:r w:rsidR="002B0308">
        <w:fldChar w:fldCharType="end"/>
      </w:r>
      <w:r w:rsidR="00413C93" w:rsidRPr="00882F11">
        <w:rPr>
          <w:rFonts w:cs="Guttman Drogolin" w:hint="cs"/>
          <w:rtl/>
          <w:lang w:bidi="he-IL"/>
        </w:rPr>
        <w:t>מבואר בגמ' כדבר פשוט שאפילו לשמואל דסבר תתאה גבר, מ"מ בחם לתוך צונן צריך כדי קליפה משום דאדמיקר לי' בלע. והנה בגמ' הביאו ב' ברייתות דתניא כוותי' דשמואל דסבר תתאה גבר</w:t>
      </w:r>
      <w:r w:rsidR="00DB0EB6" w:rsidRPr="00882F11">
        <w:rPr>
          <w:rFonts w:cs="Guttman Drogolin" w:hint="cs"/>
          <w:rtl/>
          <w:lang w:bidi="he-IL"/>
        </w:rPr>
        <w:t>, והקשו בתוס' למה צריכים להביא שתים. ותי' בשם ר"ת שמהשני רואים שכשנפל חתיכה לתוך חלב, גם החלב מותר אע"פ שלא שייך לקלוף את החלב. ור"ל דאע"ג שאין ששים בחלב שלא נאסר כנגד כדי קליפה של חלב איסור מ"מ מותר. וע"ש שהביאו שריב"א חלק על זה וסבר שלעולם צריכים ס' כנגד הכדי קליפה (</w:t>
      </w:r>
      <w:r w:rsidR="00296A61" w:rsidRPr="00882F11">
        <w:rPr>
          <w:rFonts w:cs="Guttman Drogolin" w:hint="cs"/>
          <w:rtl/>
          <w:lang w:bidi="he-IL"/>
        </w:rPr>
        <w:t>אמנ</w:t>
      </w:r>
      <w:r w:rsidR="00DB0EB6" w:rsidRPr="00882F11">
        <w:rPr>
          <w:rFonts w:cs="Guttman Drogolin" w:hint="cs"/>
          <w:rtl/>
          <w:lang w:bidi="he-IL"/>
        </w:rPr>
        <w:t>ם לא כתבו יישוב לקושיית התוס' לדעתו).</w:t>
      </w:r>
      <w:r w:rsidR="00296A61" w:rsidRPr="00882F11">
        <w:rPr>
          <w:rFonts w:cs="Guttman Drogolin" w:hint="cs"/>
          <w:rtl/>
          <w:lang w:bidi="he-IL"/>
        </w:rPr>
        <w:t xml:space="preserve"> ובאו"ה ביאר הטעם שאינו צריך ששים כנגד הכדי קליפה משום שאין השיעור כדי קליפה אלא חומרא בעלמא. </w:t>
      </w:r>
    </w:p>
    <w:p w:rsidR="00296A61" w:rsidRPr="00882F11" w:rsidRDefault="00296A61" w:rsidP="00A5737E">
      <w:pPr>
        <w:tabs>
          <w:tab w:val="right" w:pos="7497"/>
        </w:tabs>
        <w:bidi/>
        <w:jc w:val="both"/>
        <w:rPr>
          <w:rFonts w:cs="Guttman Drogolin"/>
          <w:rtl/>
          <w:lang w:bidi="he-IL"/>
        </w:rPr>
      </w:pPr>
      <w:r w:rsidRPr="00882F11">
        <w:rPr>
          <w:rFonts w:cs="Guttman Drogolin" w:hint="cs"/>
          <w:rtl/>
          <w:lang w:bidi="he-IL"/>
        </w:rPr>
        <w:t xml:space="preserve">ויש לבאר דבריהם יותר. דהנה במס' שבת אנחנו מוצאים בדף מ"ב ע"א שכלי ראשון אפילו אם אינו עכשיו ע"ג האש מ"מ מבשל הוא מדאורייתא, ואילו כלי שני מפורש בגמ' מ' ע"ב שם שאינו מבשל. ולכאורה יל"ע מהו החילוק בין כלי ראשון </w:t>
      </w:r>
      <w:r w:rsidRPr="00882F11">
        <w:rPr>
          <w:rFonts w:cs="Guttman Drogolin" w:hint="cs"/>
          <w:rtl/>
          <w:lang w:bidi="he-IL"/>
        </w:rPr>
        <w:lastRenderedPageBreak/>
        <w:t xml:space="preserve">לכלי שני, דממ"נ אם אין היד סולדת בו, גם כלי ראשון לכאורה אינו מבשל, ואם היד סולדת בו למה כלי אינו מבשל. קושיא זו הקשו התוס' שם בדף מ' ע"ב וכתבו וז"ל  </w:t>
      </w:r>
      <w:r w:rsidRPr="00882F11">
        <w:rPr>
          <w:rFonts w:cs="Guttman Drogolin"/>
          <w:rtl/>
          <w:lang w:bidi="he-IL"/>
        </w:rPr>
        <w:t>"ויש לומר לפי שכלי ראשון מתוך שעמד על האור דופנותיו חמין ומחזיק חומו זמן מרובה ולכך נתנו בו שיעור דכל זמן שהיד סולדת בו אסור אבל כלי שני אף על גב דיד סולדת בו מותר שאין דופנותיו חמין והולך ומתקרר". אמנ</w:t>
      </w:r>
      <w:r w:rsidRPr="00882F11">
        <w:rPr>
          <w:rFonts w:cs="Guttman Drogolin" w:hint="cs"/>
          <w:rtl/>
          <w:lang w:bidi="he-IL"/>
        </w:rPr>
        <w:t>ם</w:t>
      </w:r>
      <w:r w:rsidRPr="00882F11">
        <w:rPr>
          <w:rFonts w:cs="Guttman Drogolin"/>
          <w:rtl/>
          <w:lang w:bidi="he-IL"/>
        </w:rPr>
        <w:t xml:space="preserve"> עדיין אינו מתבאר כל הצורך, דלכאורה מה איכפת לן בזה שהדפנות של הכלי מקררות או מחזיקות חום. ואין לומר שמשו"ה אינו דרך בישול, </w:t>
      </w:r>
      <w:r w:rsidR="00A5737E" w:rsidRPr="00882F11">
        <w:rPr>
          <w:rFonts w:cs="Guttman Drogolin"/>
          <w:rtl/>
          <w:lang w:bidi="he-IL"/>
        </w:rPr>
        <w:t xml:space="preserve">והעברת טעם איסור הוא דבר מציאותי, </w:t>
      </w:r>
      <w:r w:rsidRPr="00882F11">
        <w:rPr>
          <w:rFonts w:cs="Guttman Drogolin"/>
          <w:rtl/>
          <w:lang w:bidi="he-IL"/>
        </w:rPr>
        <w:t>דהא שיטת התוס' לקמן בדף מ"ב ע"ב שאין לחלק בין דיני בישול בשבת</w:t>
      </w:r>
      <w:r w:rsidRPr="00882F11">
        <w:rPr>
          <w:rFonts w:cs="Guttman Drogolin" w:hint="cs"/>
          <w:rtl/>
          <w:lang w:bidi="he-IL"/>
        </w:rPr>
        <w:t xml:space="preserve"> </w:t>
      </w:r>
      <w:r w:rsidRPr="00882F11">
        <w:rPr>
          <w:rFonts w:cs="Guttman Drogolin"/>
          <w:rtl/>
          <w:lang w:bidi="he-IL"/>
        </w:rPr>
        <w:t>לדיני העברת טעם איסור, ולכן צ"ע מה איכפת לן לענין המציאות החילוק בין דפנות חמות או מתקררות. ומצאתי בס' חי' מהר"ם קזיס פירוש לדברי התוס', וכיון שספר זה אינו מצוי כ"כ אצטט את לשונו</w:t>
      </w:r>
      <w:r w:rsidRPr="00882F11">
        <w:rPr>
          <w:rFonts w:cs="Guttman Drogolin"/>
          <w:lang w:bidi="he-IL"/>
        </w:rPr>
        <w:t xml:space="preserve">: </w:t>
      </w:r>
    </w:p>
    <w:p w:rsidR="00A5737E" w:rsidRPr="00882F11" w:rsidRDefault="00296A61" w:rsidP="00296A61">
      <w:pPr>
        <w:tabs>
          <w:tab w:val="right" w:pos="7497"/>
        </w:tabs>
        <w:bidi/>
        <w:jc w:val="both"/>
        <w:rPr>
          <w:rFonts w:cs="Guttman Drogolin"/>
          <w:rtl/>
          <w:lang w:bidi="he-IL"/>
        </w:rPr>
      </w:pPr>
      <w:r w:rsidRPr="00882F11">
        <w:rPr>
          <w:rFonts w:cs="Guttman Drogolin"/>
          <w:rtl/>
          <w:lang w:bidi="he-IL"/>
        </w:rPr>
        <w:t>"ונ"ל פי' הדבר, שכל דבר המתבשל אינו מתבשל ברגע אלא צריך זמן מה כדי שיגיע להיות מבושל, ואפי' אם יתחמם מיד עד שתהא יד סולדת בו לא יתבשל עד שישהא שם איזה זמן, ובוד</w:t>
      </w:r>
      <w:r w:rsidR="00A5737E" w:rsidRPr="00882F11">
        <w:rPr>
          <w:rFonts w:cs="Guttman Drogolin" w:hint="cs"/>
          <w:rtl/>
          <w:lang w:bidi="he-IL"/>
        </w:rPr>
        <w:t>א</w:t>
      </w:r>
      <w:r w:rsidRPr="00882F11">
        <w:rPr>
          <w:rFonts w:cs="Guttman Drogolin"/>
          <w:rtl/>
          <w:lang w:bidi="he-IL"/>
        </w:rPr>
        <w:t xml:space="preserve">י שכלי שני אפשר שיחמם הדברים הניתנים בו עד שיהא יד סולדת בהם, אבל כיון שאין הדברים מתבשלים לאלתר ברור לנו שא"א שיגיעו הדברים לידי בישול בכלי שני שעד שלא יתבשלו יתקררו המים שבתוכו, אבל בכלי ראשון שמחזיק חומו זמן רב יש בזמן ההוא כשעור שיוכלו להתבשל הדברים הניתנים בו. ומיהו גם לפעמים אפשר שגם בכלי ראשון לא יוכלו להגיע לידי בישול כגון שכבר תשש חומו ואע"פ שעדיין היד סולדת בו הוא קרוב להצטנן, מיהו כיון שדבר זה א"א לתת בו שעור אסרו חכמים להניח בכלי ראשון הדברים המתבשלים כל זמן שהיד סולדת בו". </w:t>
      </w:r>
    </w:p>
    <w:p w:rsidR="00C253EC" w:rsidRPr="00882F11" w:rsidRDefault="00A5737E" w:rsidP="00A5737E">
      <w:pPr>
        <w:tabs>
          <w:tab w:val="right" w:pos="7497"/>
        </w:tabs>
        <w:bidi/>
        <w:jc w:val="both"/>
        <w:rPr>
          <w:rFonts w:cs="Guttman Drogolin"/>
          <w:rtl/>
          <w:lang w:bidi="he-IL"/>
        </w:rPr>
      </w:pPr>
      <w:r w:rsidRPr="00882F11">
        <w:rPr>
          <w:rFonts w:cs="Guttman Drogolin" w:hint="cs"/>
          <w:rtl/>
          <w:lang w:bidi="he-IL"/>
        </w:rPr>
        <w:t xml:space="preserve">והנה לכאורה אנחנו מוצאים טעם אחר בחי' הרשב"א לדף מ"ב </w:t>
      </w:r>
      <w:r w:rsidRPr="00882F11">
        <w:rPr>
          <w:rFonts w:cs="Guttman Drogolin"/>
          <w:rtl/>
          <w:lang w:bidi="he-IL"/>
        </w:rPr>
        <w:t xml:space="preserve">ע"א דלכאורה כתב טעם אחר לזה. ששם כתב "... ואפי' היו מים שהיד סולדת בהן לאחר שנתערבו צונן לתוכן אינו מחמת הצוננין שבו להיות יד סולדת אלא מחמת הראשונים שלא נצטננו". ולכאורה כוונתו לומר </w:t>
      </w:r>
      <w:r w:rsidRPr="00882F11">
        <w:rPr>
          <w:rFonts w:cs="Guttman Drogolin"/>
          <w:rtl/>
          <w:lang w:bidi="he-IL"/>
        </w:rPr>
        <w:lastRenderedPageBreak/>
        <w:t>שכלי שני אינו מבשל משום שפשוט אינו מחמם את הדבר להיות יד סולדת בו. ולכאורה ר"ל דהתי' לקושיית התוס' הוא דאה"נ והכל תלוי ביד סולדת בו, אבל כלי שני אף פעם לא מגיע להיס"ב. וראיתי בספר שביתת שבת ס"ק כ"ז שהקשה שלכאורה צ"ע שהרי הביאור של הרשב"א בטעם שהמים מתחממים לא יעלה ארוכה במקרה שהניח מים קרים בשקית בתוך מים חמים שבכלי שני והתחממו, שבכה"ג לכאורה המ</w:t>
      </w:r>
      <w:r w:rsidR="00C253EC" w:rsidRPr="00882F11">
        <w:rPr>
          <w:rFonts w:cs="Guttman Drogolin"/>
          <w:rtl/>
          <w:lang w:bidi="he-IL"/>
        </w:rPr>
        <w:t>ים הקרים אינם מתער</w:t>
      </w:r>
      <w:r w:rsidRPr="00882F11">
        <w:rPr>
          <w:rFonts w:cs="Guttman Drogolin"/>
          <w:rtl/>
          <w:lang w:bidi="he-IL"/>
        </w:rPr>
        <w:t>בים בחמין. והדגיש שקשה לומר שהמים יוצאים ונכנסים דרך השקית. וצ"ע</w:t>
      </w:r>
      <w:r w:rsidRPr="00882F11">
        <w:rPr>
          <w:rStyle w:val="FootnoteReference"/>
          <w:rFonts w:cs="Guttman Drogolin"/>
          <w:rtl/>
          <w:lang w:bidi="he-IL"/>
        </w:rPr>
        <w:footnoteReference w:id="407"/>
      </w:r>
      <w:r w:rsidRPr="00882F11">
        <w:rPr>
          <w:rFonts w:cs="Guttman Drogolin"/>
          <w:rtl/>
          <w:lang w:bidi="he-IL"/>
        </w:rPr>
        <w:t>.</w:t>
      </w:r>
      <w:r w:rsidR="00DB0EB6" w:rsidRPr="00882F11">
        <w:rPr>
          <w:rFonts w:cs="Guttman Drogolin" w:hint="cs"/>
          <w:rtl/>
          <w:lang w:bidi="he-IL"/>
        </w:rPr>
        <w:t xml:space="preserve"> </w:t>
      </w:r>
    </w:p>
    <w:p w:rsidR="00451431" w:rsidRPr="00882F11" w:rsidRDefault="00C253EC" w:rsidP="00D7037C">
      <w:pPr>
        <w:tabs>
          <w:tab w:val="right" w:pos="7497"/>
        </w:tabs>
        <w:bidi/>
        <w:jc w:val="both"/>
        <w:rPr>
          <w:rFonts w:cs="Guttman Drogolin"/>
          <w:rtl/>
          <w:lang w:bidi="he-IL"/>
        </w:rPr>
      </w:pPr>
      <w:r w:rsidRPr="00882F11">
        <w:rPr>
          <w:rFonts w:cs="Guttman Drogolin" w:hint="cs"/>
          <w:rtl/>
          <w:lang w:bidi="he-IL"/>
        </w:rPr>
        <w:t>ומ"מ ע"פ דברי התוס' חידשו הפוסקים כמה נפק"מ לדינא. חדא שי"ל שלא אמרו שכלי שני אינו מבשל אלא במש</w:t>
      </w:r>
      <w:r w:rsidR="007A707F" w:rsidRPr="00882F11">
        <w:rPr>
          <w:rFonts w:cs="Guttman Drogolin" w:hint="cs"/>
          <w:rtl/>
          <w:lang w:bidi="he-IL"/>
        </w:rPr>
        <w:t>ק</w:t>
      </w:r>
      <w:r w:rsidRPr="00882F11">
        <w:rPr>
          <w:rFonts w:cs="Guttman Drogolin" w:hint="cs"/>
          <w:rtl/>
          <w:lang w:bidi="he-IL"/>
        </w:rPr>
        <w:t>ין שבתוך כלי שני, דכיון שהמשקין ממלאים הדפנות הרי הם מושפעים מן הדפנות ואנם מתבשלים. אבל דבר גוש שאינו נוגע לדפנות י"ל שדינו ככלי ראשון.</w:t>
      </w:r>
      <w:r w:rsidR="00DB0EB6" w:rsidRPr="00882F11">
        <w:rPr>
          <w:rFonts w:cs="Guttman Drogolin" w:hint="cs"/>
          <w:rtl/>
          <w:lang w:bidi="he-IL"/>
        </w:rPr>
        <w:t xml:space="preserve"> </w:t>
      </w:r>
      <w:r w:rsidRPr="00882F11">
        <w:rPr>
          <w:rFonts w:cs="Guttman Drogolin" w:hint="cs"/>
          <w:rtl/>
          <w:lang w:bidi="he-IL"/>
        </w:rPr>
        <w:t>אמנם י"א להיפך. שהרי החוש מעיד שדבר גוש מתקרר יותר מהר מדבר לח, ולכן יש לומר יותר שאינו מבשל בכלי מאשר חמיין בכלי ראשון. ועוד דנו הפוסקים</w:t>
      </w:r>
      <w:r w:rsidR="00DB0EB6" w:rsidRPr="00882F11">
        <w:rPr>
          <w:rFonts w:cs="Guttman Drogolin" w:hint="cs"/>
          <w:rtl/>
          <w:lang w:bidi="he-IL"/>
        </w:rPr>
        <w:t xml:space="preserve"> </w:t>
      </w:r>
      <w:r w:rsidRPr="00882F11">
        <w:rPr>
          <w:rFonts w:cs="Guttman Drogolin" w:hint="cs"/>
          <w:rtl/>
          <w:lang w:bidi="he-IL"/>
        </w:rPr>
        <w:t>ע"פ זה מה הדין בדבר גוש המונח בתוך משקין האם יש לו דין כלי שני אפילו למחמירים בעלמא בדבר גוש בכלי שני או לא.</w:t>
      </w:r>
      <w:r w:rsidR="004425EC" w:rsidRPr="00882F11">
        <w:rPr>
          <w:rFonts w:cs="Guttman Drogolin" w:hint="cs"/>
          <w:rtl/>
          <w:lang w:bidi="he-IL"/>
        </w:rPr>
        <w:t xml:space="preserve"> וכן דנו מה הדין בכף שהכניסו לתוך כלי ראשון כדי להוציא משקין ממנו הא דינו ככלי שני או לא </w:t>
      </w:r>
      <w:r w:rsidR="004425EC" w:rsidRPr="00882F11">
        <w:rPr>
          <w:rFonts w:cs="Guttman Drogolin"/>
          <w:rtl/>
          <w:lang w:bidi="he-IL"/>
        </w:rPr>
        <w:t>–</w:t>
      </w:r>
      <w:r w:rsidR="004425EC" w:rsidRPr="00882F11">
        <w:rPr>
          <w:rFonts w:cs="Guttman Drogolin" w:hint="cs"/>
          <w:rtl/>
          <w:lang w:bidi="he-IL"/>
        </w:rPr>
        <w:t xml:space="preserve"> ע' בזה בט"ז ססי' צ"ב. וע</w:t>
      </w:r>
      <w:r w:rsidR="00D7037C" w:rsidRPr="00882F11">
        <w:rPr>
          <w:rFonts w:cs="Guttman Drogolin" w:hint="cs"/>
          <w:rtl/>
          <w:lang w:bidi="he-IL"/>
        </w:rPr>
        <w:t>וד</w:t>
      </w:r>
      <w:r w:rsidR="004425EC" w:rsidRPr="00882F11">
        <w:rPr>
          <w:rFonts w:cs="Guttman Drogolin" w:hint="cs"/>
          <w:rtl/>
          <w:lang w:bidi="he-IL"/>
        </w:rPr>
        <w:t xml:space="preserve"> יש לדון מה יהא הדין במשקין שהריקו אותם לתוך כלי שני ושוב החזירו המשקין לכלי הראשון האם דינו ככלי ראשון או ככלי שני. ובמג"א </w:t>
      </w:r>
      <w:r w:rsidR="00451431" w:rsidRPr="00882F11">
        <w:rPr>
          <w:rFonts w:cs="Guttman Drogolin" w:hint="cs"/>
          <w:rtl/>
          <w:lang w:bidi="he-IL"/>
        </w:rPr>
        <w:t>סי' רנ"ז ס"ק י"ד (מובא במ"ב שם ס"ק כ"ח) כתב שאין דינו ככלי ראשון</w:t>
      </w:r>
      <w:r w:rsidR="00D7037C" w:rsidRPr="00882F11">
        <w:rPr>
          <w:rStyle w:val="FootnoteReference"/>
          <w:rFonts w:cs="Guttman Drogolin"/>
          <w:rtl/>
          <w:lang w:bidi="he-IL"/>
        </w:rPr>
        <w:footnoteReference w:id="408"/>
      </w:r>
      <w:r w:rsidR="00451431" w:rsidRPr="00882F11">
        <w:rPr>
          <w:rFonts w:cs="Guttman Drogolin" w:hint="cs"/>
          <w:rtl/>
          <w:lang w:bidi="he-IL"/>
        </w:rPr>
        <w:t xml:space="preserve">. </w:t>
      </w:r>
    </w:p>
    <w:p w:rsidR="00523317" w:rsidRPr="00882F11" w:rsidRDefault="00451431" w:rsidP="00451431">
      <w:pPr>
        <w:tabs>
          <w:tab w:val="right" w:pos="7497"/>
        </w:tabs>
        <w:bidi/>
        <w:jc w:val="both"/>
        <w:rPr>
          <w:rFonts w:cs="Guttman Drogolin"/>
          <w:rtl/>
          <w:lang w:bidi="he-IL"/>
        </w:rPr>
      </w:pPr>
      <w:r w:rsidRPr="00882F11">
        <w:rPr>
          <w:rFonts w:cs="Guttman Drogolin" w:hint="cs"/>
          <w:rtl/>
          <w:lang w:bidi="he-IL"/>
        </w:rPr>
        <w:t xml:space="preserve">וחוץ מן החילוקים שיש בין כלי ראשון לכלי שני, דנו הראשונים מהו דינו של עירוי כלי ראשון. שיטת הרשב"ם מובא בתוס' במס' שבת דף מ"ב </w:t>
      </w:r>
      <w:r w:rsidRPr="00882F11">
        <w:rPr>
          <w:rFonts w:cs="Guttman Drogolin" w:hint="cs"/>
          <w:rtl/>
          <w:lang w:bidi="he-IL"/>
        </w:rPr>
        <w:lastRenderedPageBreak/>
        <w:t xml:space="preserve">ע"ב ועוד כמה מקומות שעירוי כלי ראשון ככלי שני. וטעמא דילי' משום דקיי"ל דתתאה גבר. ושוב הביאו מר"י דסבר שעירוי כלי ראשון מבשל כדי קליפה, דהא אמירנן בסוגיין דאע"ג דתתאה גבר בחם לתוך צונן צריך קליפה כיון דאדמיקר לי' אי אפשר דלא בלע פורתא. ומינ' שקשה לשיטת הרשב"ם למה דינו ככלי שני לגמרי הא כדי קליפה מיהת בעינן. וכתב בש"ך הארוך לסי' ק"ה דרשב"ם ע"כ סבר שלא אמרו אלא דבלע פורתא, אבל אין לו שם בישול, ולכן אע"ג שלענין שבת אין איסור כלל, באו"ה בלע כדי קליפה. ובשיטת ר"ת נחלקו הראשונים. בתוס' במס' זבחים דף צ"ה מבואר דסברו דר"ת סבר כר"י הנ"ל. אבל הר"ן בסוף מס' ע"ז הבין שלשיטת ר"ת עירוי כלי ראשון ככלי ראשון לגמרי ואפילו לקולא. ואע"ג שבסוגיין מבואר דאליבא דשמואל דקיי"ל כוותי' חם לתוך צונן אינו צריך אלא כדי קליפה, היינו משום דנפסק הקילוח, אבל אם לא נפסק הקילוח </w:t>
      </w:r>
      <w:r w:rsidR="00523317" w:rsidRPr="00882F11">
        <w:rPr>
          <w:rFonts w:cs="Guttman Drogolin" w:hint="cs"/>
          <w:rtl/>
          <w:lang w:bidi="he-IL"/>
        </w:rPr>
        <w:t>מבשל לגמרי.</w:t>
      </w:r>
    </w:p>
    <w:p w:rsidR="00170CDE" w:rsidRPr="00882F11" w:rsidRDefault="00523317" w:rsidP="00170CDE">
      <w:pPr>
        <w:tabs>
          <w:tab w:val="right" w:pos="7497"/>
        </w:tabs>
        <w:bidi/>
        <w:jc w:val="both"/>
        <w:rPr>
          <w:rFonts w:cs="Guttman Drogolin"/>
          <w:rtl/>
          <w:lang w:bidi="he-IL"/>
        </w:rPr>
      </w:pPr>
      <w:r w:rsidRPr="00882F11">
        <w:rPr>
          <w:rFonts w:cs="Guttman Drogolin" w:hint="cs"/>
          <w:rtl/>
          <w:lang w:bidi="he-IL"/>
        </w:rPr>
        <w:t xml:space="preserve">והנה לכאורה יש כאן מקום עיון. שהרי הבאנו לעיל דשיטת ר"ת דהא דצריך כדי קליפה אליבא דר"ת אינו אלא חומרא בעלמא, ולכן כשאינו יכול לקלוף אינו אוסר. </w:t>
      </w:r>
      <w:r w:rsidR="00A96763" w:rsidRPr="00882F11">
        <w:rPr>
          <w:rFonts w:cs="Guttman Drogolin" w:hint="cs"/>
          <w:rtl/>
          <w:lang w:bidi="he-IL"/>
        </w:rPr>
        <w:t>וצ"ע שהרי מוכח בראשונים דזה שמבשל כדי קליפה אליבא דר"ת הוא מעיקר הדין, וא"כ למה אינו צריך אלא כדי קפילה. ועוד יותר מזה העיר החזו"א (סי' ט' ס"ק ז') דהא הגמ' מתמה בסוגיין דאיך יתכן שחם לתוך צונן מדיח כיון שבלע כדי  קליפה אם הדין כדי קליפה אינו אלא חומרא בעלמא</w:t>
      </w:r>
      <w:r w:rsidR="00170CDE" w:rsidRPr="00882F11">
        <w:rPr>
          <w:rFonts w:cs="Guttman Drogolin" w:hint="cs"/>
          <w:rtl/>
          <w:lang w:bidi="he-IL"/>
        </w:rPr>
        <w:t>.</w:t>
      </w:r>
      <w:r w:rsidR="00A96763" w:rsidRPr="00882F11">
        <w:rPr>
          <w:rFonts w:cs="Guttman Drogolin" w:hint="cs"/>
          <w:rtl/>
          <w:lang w:bidi="he-IL"/>
        </w:rPr>
        <w:t xml:space="preserve"> ולכן נקט החזו"א שלעולם זה שהוא מבשל משהו הוא דין גמור, והחומרא דעלמא אינו אלא זה שצריך שיעור שלם של כדי קליפה</w:t>
      </w:r>
      <w:r w:rsidR="00D62D7B" w:rsidRPr="00882F11">
        <w:rPr>
          <w:rFonts w:cs="Guttman Drogolin" w:hint="cs"/>
          <w:rtl/>
          <w:lang w:bidi="he-IL"/>
        </w:rPr>
        <w:t xml:space="preserve">. ולכן כשאינו יכול לקלוף אע"ג שמשהו נאסר מ"מ הפשטות היא שהתבטל בס', ולכן אם </w:t>
      </w:r>
      <w:r w:rsidR="00D62D7B" w:rsidRPr="00882F11">
        <w:rPr>
          <w:rFonts w:cs="Guttman Drogolin" w:hint="cs"/>
          <w:rtl/>
          <w:lang w:bidi="he-IL"/>
        </w:rPr>
        <w:lastRenderedPageBreak/>
        <w:t>אין ס' כנגד הכדי קליפה הוא עדין מותר. אמנם יוצא נפק"מ אליבא דחזו"א, שאם נשפך א' מן האיסורים האוסרים במשהו, בזה לא יסבור ר"ת שהוא מותר בדיעבד, דהא משהו יש בה מעיקר הדין.</w:t>
      </w:r>
      <w:r w:rsidR="00A96763" w:rsidRPr="00882F11">
        <w:rPr>
          <w:rFonts w:cs="Guttman Drogolin" w:hint="cs"/>
          <w:rtl/>
          <w:lang w:bidi="he-IL"/>
        </w:rPr>
        <w:t xml:space="preserve">  </w:t>
      </w:r>
    </w:p>
    <w:p w:rsidR="00170CDE" w:rsidRPr="00882F11" w:rsidRDefault="00170CDE" w:rsidP="00170CDE">
      <w:pPr>
        <w:tabs>
          <w:tab w:val="right" w:pos="7497"/>
        </w:tabs>
        <w:bidi/>
        <w:jc w:val="both"/>
        <w:rPr>
          <w:rFonts w:cs="Guttman Drogolin"/>
          <w:rtl/>
          <w:lang w:bidi="he-IL"/>
        </w:rPr>
        <w:sectPr w:rsidR="00170CDE" w:rsidRPr="00882F11" w:rsidSect="006D0A1E">
          <w:type w:val="continuous"/>
          <w:pgSz w:w="11907" w:h="16839" w:code="9"/>
          <w:pgMar w:top="1440" w:right="1440" w:bottom="1440" w:left="1440" w:header="720" w:footer="720" w:gutter="0"/>
          <w:cols w:num="2" w:space="720"/>
          <w:bidi/>
          <w:docGrid w:linePitch="360"/>
        </w:sectPr>
      </w:pPr>
    </w:p>
    <w:p w:rsidR="00170CDE" w:rsidRPr="008520CC" w:rsidRDefault="00170CDE" w:rsidP="00170CDE">
      <w:pPr>
        <w:keepNext/>
        <w:tabs>
          <w:tab w:val="left" w:pos="3818"/>
          <w:tab w:val="center" w:pos="4680"/>
        </w:tabs>
        <w:bidi/>
        <w:jc w:val="center"/>
        <w:rPr>
          <w:rFonts w:cs="Guttman Drogolin"/>
          <w:b/>
          <w:bCs/>
          <w:sz w:val="48"/>
          <w:szCs w:val="48"/>
          <w:rtl/>
          <w:lang w:bidi="he-IL"/>
        </w:rPr>
      </w:pPr>
      <w:r w:rsidRPr="008520CC">
        <w:rPr>
          <w:rFonts w:cs="Guttman Drogolin" w:hint="cs"/>
          <w:b/>
          <w:bCs/>
          <w:sz w:val="48"/>
          <w:szCs w:val="48"/>
          <w:rtl/>
          <w:lang w:bidi="he-IL"/>
        </w:rPr>
        <w:lastRenderedPageBreak/>
        <w:t>שיעור ק"ב</w:t>
      </w:r>
    </w:p>
    <w:p w:rsidR="008520CC" w:rsidRDefault="008520CC" w:rsidP="00170CDE">
      <w:pPr>
        <w:pStyle w:val="Heading1"/>
        <w:bidi/>
        <w:spacing w:before="0" w:line="360" w:lineRule="auto"/>
        <w:jc w:val="center"/>
        <w:rPr>
          <w:rFonts w:cs="Guttman Drogolin"/>
          <w:color w:val="auto"/>
          <w:sz w:val="24"/>
          <w:szCs w:val="24"/>
          <w:u w:val="single"/>
          <w:rtl/>
          <w:lang w:bidi="he-IL"/>
        </w:rPr>
        <w:sectPr w:rsidR="008520CC" w:rsidSect="008520CC">
          <w:pgSz w:w="11907" w:h="16839" w:code="9"/>
          <w:pgMar w:top="1440" w:right="1440" w:bottom="1440" w:left="1440" w:header="720" w:footer="720" w:gutter="0"/>
          <w:cols w:space="720"/>
          <w:bidi/>
          <w:docGrid w:linePitch="360"/>
        </w:sectPr>
      </w:pPr>
    </w:p>
    <w:p w:rsidR="00170CDE" w:rsidRPr="00882F11" w:rsidRDefault="00170CDE" w:rsidP="00170CDE">
      <w:pPr>
        <w:pStyle w:val="Heading1"/>
        <w:bidi/>
        <w:spacing w:before="0" w:line="360" w:lineRule="auto"/>
        <w:jc w:val="center"/>
        <w:rPr>
          <w:rFonts w:cs="Guttman Drogolin"/>
          <w:color w:val="auto"/>
          <w:sz w:val="24"/>
          <w:szCs w:val="24"/>
          <w:u w:val="single"/>
          <w:rtl/>
          <w:lang w:bidi="he-IL"/>
        </w:rPr>
      </w:pPr>
      <w:bookmarkStart w:id="410" w:name="_Toc496175657"/>
      <w:r w:rsidRPr="00882F11">
        <w:rPr>
          <w:rFonts w:cs="Guttman Drogolin" w:hint="cs"/>
          <w:color w:val="auto"/>
          <w:sz w:val="24"/>
          <w:szCs w:val="24"/>
          <w:u w:val="single"/>
          <w:rtl/>
          <w:lang w:bidi="he-IL"/>
        </w:rPr>
        <w:lastRenderedPageBreak/>
        <w:t>חילוקים בין בישול בשבת להעברת טעם</w:t>
      </w:r>
      <w:bookmarkEnd w:id="410"/>
    </w:p>
    <w:p w:rsidR="00170CDE" w:rsidRPr="00882F11" w:rsidRDefault="002B0308" w:rsidP="00170CDE">
      <w:pPr>
        <w:tabs>
          <w:tab w:val="right" w:pos="7497"/>
        </w:tabs>
        <w:bidi/>
        <w:jc w:val="both"/>
        <w:rPr>
          <w:rFonts w:cs="Guttman Drogolin"/>
          <w:rtl/>
          <w:lang w:bidi="he-IL"/>
        </w:rPr>
      </w:pPr>
      <w:r>
        <w:rPr>
          <w:rFonts w:cs="Guttman Drogolin"/>
          <w:rtl/>
          <w:lang w:bidi="he-IL"/>
        </w:rPr>
        <w:fldChar w:fldCharType="begin"/>
      </w:r>
      <w:r>
        <w:instrText xml:space="preserve"> XE "</w:instrText>
      </w:r>
      <w:r w:rsidRPr="00C2178F">
        <w:rPr>
          <w:rFonts w:hint="cs"/>
          <w:rtl/>
          <w:lang w:bidi="he-IL"/>
        </w:rPr>
        <w:instrText>העברת טעם</w:instrText>
      </w:r>
      <w:r w:rsidRPr="00C2178F">
        <w:rPr>
          <w:rtl/>
        </w:rPr>
        <w:instrText>:</w:instrText>
      </w:r>
      <w:r w:rsidRPr="00C2178F">
        <w:rPr>
          <w:rFonts w:hint="cs"/>
          <w:rtl/>
          <w:lang w:bidi="he-IL"/>
        </w:rPr>
        <w:instrText>ע</w:instrText>
      </w:r>
      <w:r>
        <w:rPr>
          <w:rFonts w:eastAsiaTheme="minorEastAsia"/>
          <w:lang w:bidi="he-IL"/>
        </w:rPr>
        <w:instrText>\</w:instrText>
      </w:r>
      <w:r w:rsidRPr="00C2178F">
        <w:rPr>
          <w:rFonts w:hint="cs"/>
          <w:rtl/>
          <w:lang w:bidi="he-IL"/>
        </w:rPr>
        <w:instrText>"י חום - חילוק בינו לדין בישול בשבת</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C46EFC">
        <w:rPr>
          <w:rFonts w:hint="cs"/>
          <w:rtl/>
          <w:lang w:bidi="he-IL"/>
        </w:rPr>
        <w:instrText>חום</w:instrText>
      </w:r>
      <w:r>
        <w:instrText>" \t "</w:instrText>
      </w:r>
      <w:r w:rsidRPr="00104DE1">
        <w:rPr>
          <w:rFonts w:hint="cs"/>
          <w:rtl/>
          <w:lang w:bidi="he-IL"/>
        </w:rPr>
        <w:instrText>ע</w:instrText>
      </w:r>
      <w:r w:rsidRPr="00104DE1">
        <w:rPr>
          <w:rtl/>
          <w:lang w:bidi="he-IL"/>
        </w:rPr>
        <w:instrText xml:space="preserve">' </w:instrText>
      </w:r>
      <w:r w:rsidRPr="00104DE1">
        <w:rPr>
          <w:rFonts w:hint="cs"/>
          <w:rtl/>
          <w:lang w:bidi="he-IL"/>
        </w:rPr>
        <w:instrText>העברת</w:instrText>
      </w:r>
      <w:r w:rsidRPr="00104DE1">
        <w:rPr>
          <w:rtl/>
          <w:lang w:bidi="he-IL"/>
        </w:rPr>
        <w:instrText xml:space="preserve"> </w:instrText>
      </w:r>
      <w:r w:rsidRPr="00104DE1">
        <w:rPr>
          <w:rFonts w:hint="cs"/>
          <w:rtl/>
          <w:lang w:bidi="he-IL"/>
        </w:rPr>
        <w:instrText>טעם</w:instrText>
      </w:r>
      <w:r>
        <w:instrText xml:space="preserve">" </w:instrText>
      </w:r>
      <w:r>
        <w:rPr>
          <w:rFonts w:cs="Guttman Drogolin"/>
          <w:rtl/>
          <w:lang w:bidi="he-IL"/>
        </w:rPr>
        <w:fldChar w:fldCharType="end"/>
      </w:r>
      <w:r w:rsidR="00170CDE" w:rsidRPr="00882F11">
        <w:rPr>
          <w:rFonts w:cs="Guttman Drogolin" w:hint="cs"/>
          <w:rtl/>
          <w:lang w:bidi="he-IL"/>
        </w:rPr>
        <w:t>בשיעור הקודם הבאנו שיש חילוק במלאכת מבשל בשבת בין כלי ראשון לכלי שני. אמנם לענין העברת טעם נחלקו הראשונים. חדא שהרי הבאנו לעיל ששיטת רשב"ם דעירוי כלי ראשון דינו ככלי שני לגמרי, ושע"כ לדידי' הא דאמרינן במס' פסחים לשמואל דסבר תתאה גבר דמ"מ בעי קליפה משום דאי אפשר דלא פורתא פורתא כיון דאדמיקר לי' בלע, היינו שטעם עובר אבל בישול ליכא. ובאמת שיטת הרשב"א היא דכלי שני מעביר טעם, וכל הקולא של כלי שני לא נאמר אלא לענין בישול. ופלוגתא היא בין הראשונים.</w:t>
      </w:r>
    </w:p>
    <w:p w:rsidR="006F56B9" w:rsidRPr="00882F11" w:rsidRDefault="00170CDE" w:rsidP="006F56B9">
      <w:pPr>
        <w:tabs>
          <w:tab w:val="right" w:pos="7497"/>
        </w:tabs>
        <w:bidi/>
        <w:jc w:val="both"/>
        <w:rPr>
          <w:rFonts w:cs="Guttman Drogolin"/>
          <w:rtl/>
          <w:lang w:bidi="he-IL"/>
        </w:rPr>
      </w:pPr>
      <w:r w:rsidRPr="00882F11">
        <w:rPr>
          <w:rFonts w:cs="Guttman Drogolin" w:hint="cs"/>
          <w:rtl/>
          <w:lang w:bidi="he-IL"/>
        </w:rPr>
        <w:t xml:space="preserve">ומאידך, הנה בשבת חוששין לכמה מאכלים שהם מתבשלים בכלי שני </w:t>
      </w:r>
      <w:r w:rsidR="006F56B9" w:rsidRPr="00882F11">
        <w:rPr>
          <w:rFonts w:cs="Guttman Drogolin" w:hint="cs"/>
          <w:rtl/>
          <w:lang w:bidi="he-IL"/>
        </w:rPr>
        <w:t>משום שהם מקלי הבישול. ושיטת המ"ב ועוד שחוששין לזה בכל המאכלים שאין אנו יודעים בהם אם הם מקלי הבישול או לא. והחזו"א (סי' נ"ב ס"ק י"ט) חלק עליו, דכיון דהא דכלי שני אינו מבשל סתמא כתיב, בודאי שכוונת חז"ל היתה דסתמא דמילתא כלי שני אינו מבשל, ורק בדבר שידוע בהם שהם מתבשלים בכלי שני חיישינן. והחזו"א הוכיח כדבריו דהא באו"ח השו"ע הביא לחשוש לבישול לחם בכלי שני, ואילו ביו"ד לא הביא השולחן ערוך חומרא זו כלל. וע"כ היינו כנ"ל, דסתמא דמילתא כל המאכלים אינם מתבשלים בכלי שני. וע' בבדי השולחן שכבר העיר דמ"מ הו"ל לשו"ע להביא המאכלים שהם כן קלי הבישול ביו"ד כמו שהביא באו"ח. וכנראה סבר החזו"א דכיון שלענין או"ה מאכלים אלו אינם שכיחים לאיסור לא הביאם.</w:t>
      </w:r>
    </w:p>
    <w:p w:rsidR="00F658B6" w:rsidRPr="00882F11" w:rsidRDefault="006F56B9" w:rsidP="006F56B9">
      <w:pPr>
        <w:tabs>
          <w:tab w:val="right" w:pos="7497"/>
        </w:tabs>
        <w:bidi/>
        <w:jc w:val="both"/>
        <w:rPr>
          <w:rFonts w:cs="Guttman Drogolin"/>
          <w:rtl/>
          <w:lang w:bidi="he-IL"/>
        </w:rPr>
      </w:pPr>
      <w:r w:rsidRPr="00882F11">
        <w:rPr>
          <w:rFonts w:cs="Guttman Drogolin" w:hint="cs"/>
          <w:rtl/>
          <w:lang w:bidi="he-IL"/>
        </w:rPr>
        <w:t xml:space="preserve">אמנם כבר קדם המהרי"ל (שו"ת סי' קנ"ז ס"ק י"ד) בכעין הערת החזו"א, וכתב שיש לחלק בין בישול בשבת להעברת טעם. ומשמע שם שהטעם לחלק ביניהם משום שהיסוד של מלאכת בישול בשבת משום שמקשה גוף רך או מרפה גוף קשה. ולכן במאכלים שהם כבר רכים במקצת יכולים להתבשל גם בכלי שני. אבל באו"ה הענין הוא העברת טעם א' מן השני, ולא איכפת לן בריכוך </w:t>
      </w:r>
      <w:r w:rsidRPr="00882F11">
        <w:rPr>
          <w:rFonts w:cs="Guttman Drogolin" w:hint="cs"/>
          <w:rtl/>
          <w:lang w:bidi="he-IL"/>
        </w:rPr>
        <w:lastRenderedPageBreak/>
        <w:t xml:space="preserve">או הקשאה. ולכן אין לך דבר שמעביר טעם בכלי שני (וחלק בזה על שיטת הרשב"א הנ"ל). ולכאורה מיני' גם לשיטית הרשב"א והרשב"ם הנ"ל, שהם סוברים להיפך, שלענין העברת טעם לא בעינן כלי ראשון, רק חום. </w:t>
      </w:r>
      <w:r w:rsidR="00F658B6" w:rsidRPr="00882F11">
        <w:rPr>
          <w:rFonts w:cs="Guttman Drogolin" w:hint="cs"/>
          <w:rtl/>
          <w:lang w:bidi="he-IL"/>
        </w:rPr>
        <w:t>משא"כ במלאכת בישול בשבת.</w:t>
      </w:r>
    </w:p>
    <w:p w:rsidR="00F658B6" w:rsidRPr="00882F11" w:rsidRDefault="00F658B6" w:rsidP="00F658B6">
      <w:pPr>
        <w:pStyle w:val="Heading1"/>
        <w:bidi/>
        <w:spacing w:before="0" w:line="360" w:lineRule="auto"/>
        <w:jc w:val="center"/>
        <w:rPr>
          <w:rFonts w:cs="Guttman Drogolin"/>
          <w:color w:val="auto"/>
          <w:sz w:val="24"/>
          <w:szCs w:val="24"/>
          <w:u w:val="single"/>
          <w:rtl/>
          <w:lang w:bidi="he-IL"/>
        </w:rPr>
      </w:pPr>
      <w:bookmarkStart w:id="411" w:name="_Toc496175658"/>
      <w:r w:rsidRPr="00882F11">
        <w:rPr>
          <w:rFonts w:cs="Guttman Drogolin" w:hint="cs"/>
          <w:color w:val="auto"/>
          <w:sz w:val="24"/>
          <w:szCs w:val="24"/>
          <w:u w:val="single"/>
          <w:rtl/>
          <w:lang w:bidi="he-IL"/>
        </w:rPr>
        <w:t>עוד בשיטת הרשב"ם</w:t>
      </w:r>
      <w:bookmarkEnd w:id="411"/>
    </w:p>
    <w:p w:rsidR="00F658B6" w:rsidRPr="00882F11" w:rsidRDefault="002B0308" w:rsidP="00F658B6">
      <w:pPr>
        <w:tabs>
          <w:tab w:val="right" w:pos="7497"/>
        </w:tabs>
        <w:bidi/>
        <w:jc w:val="both"/>
        <w:rPr>
          <w:rFonts w:cs="Guttman Drogolin"/>
          <w:rtl/>
          <w:lang w:bidi="he-IL"/>
        </w:rPr>
      </w:pPr>
      <w:r>
        <w:rPr>
          <w:rFonts w:cs="Guttman Drogolin"/>
          <w:rtl/>
          <w:lang w:bidi="he-IL"/>
        </w:rPr>
        <w:fldChar w:fldCharType="begin"/>
      </w:r>
      <w:r>
        <w:instrText xml:space="preserve"> XE "</w:instrText>
      </w:r>
      <w:r w:rsidRPr="00084006">
        <w:rPr>
          <w:rFonts w:hint="cs"/>
          <w:rtl/>
          <w:lang w:bidi="he-IL"/>
        </w:rPr>
        <w:instrText>עירוי</w:instrText>
      </w:r>
      <w:r w:rsidRPr="00084006">
        <w:rPr>
          <w:rtl/>
        </w:rPr>
        <w:instrText>:</w:instrText>
      </w:r>
      <w:r w:rsidRPr="00084006">
        <w:rPr>
          <w:rFonts w:hint="cs"/>
          <w:rtl/>
          <w:lang w:bidi="he-IL"/>
        </w:rPr>
        <w:instrText>שיטת הרשב</w:instrText>
      </w:r>
      <w:r>
        <w:rPr>
          <w:rFonts w:eastAsiaTheme="minorEastAsia"/>
          <w:lang w:bidi="he-IL"/>
        </w:rPr>
        <w:instrText>\</w:instrText>
      </w:r>
      <w:r w:rsidRPr="00084006">
        <w:rPr>
          <w:rFonts w:hint="cs"/>
          <w:rtl/>
          <w:lang w:bidi="he-IL"/>
        </w:rPr>
        <w:instrText>"ם</w:instrText>
      </w:r>
      <w:r>
        <w:instrText xml:space="preserve">" </w:instrText>
      </w:r>
      <w:r>
        <w:rPr>
          <w:rFonts w:cs="Guttman Drogolin"/>
          <w:rtl/>
          <w:lang w:bidi="he-IL"/>
        </w:rPr>
        <w:fldChar w:fldCharType="end"/>
      </w:r>
      <w:r w:rsidR="00F658B6" w:rsidRPr="00882F11">
        <w:rPr>
          <w:rFonts w:cs="Guttman Drogolin" w:hint="cs"/>
          <w:rtl/>
          <w:lang w:bidi="he-IL"/>
        </w:rPr>
        <w:t>הבאנו ששיטת הרשב"ם שדין עירוי כלי ראשון ככלי שני, וביארנו דע"כ גם לדידי' מבליע כדי קליפה, דהא מאותה גמ' שהוכיח ממנו הרשב"ם דעירוי ככלי שני מבואר דכדי קלפי מיהת בעינן. ומשו"ה תמה הש"ך על המבואר בתוס' במס' זבחים דף צ"ה ע"ב שהרשב"ם התיר למלוג את התרנגולת ע"י עירוי מכלי ראשון, הא מבואר דעכ"פ מבליע כדי קליפה. וע"פ קושיא זו יסד הש"ך דאע"ג שמבליע כדי קליפה, מ"מ אינו מבליע ומפליט כא'. ור"ל שאם הי' מערה רוטב של איסור מכלי ראשון ע"ג דבר צונן שפיר הי' צריך כדי קליפה. אבל בהא דמולגין, כיון שמערה מים חמין המותרים, רק חוששים שהדם מבליע לתוך העוף, בזה אמרינן שאין העירוי עושה ב' דברים בבת אחת. ודנו האחרונים בדבריו, ובעזהי"ת נראה בזה יותר בהמשך.</w:t>
      </w:r>
    </w:p>
    <w:p w:rsidR="00F658B6" w:rsidRPr="00882F11" w:rsidRDefault="00F658B6" w:rsidP="00F658B6">
      <w:pPr>
        <w:pStyle w:val="Heading1"/>
        <w:bidi/>
        <w:spacing w:before="0" w:line="360" w:lineRule="auto"/>
        <w:jc w:val="center"/>
        <w:rPr>
          <w:rFonts w:cs="Guttman Drogolin"/>
          <w:color w:val="auto"/>
          <w:sz w:val="24"/>
          <w:szCs w:val="24"/>
          <w:u w:val="single"/>
          <w:rtl/>
          <w:lang w:bidi="he-IL"/>
        </w:rPr>
      </w:pPr>
      <w:bookmarkStart w:id="412" w:name="_Toc496175659"/>
      <w:r w:rsidRPr="00882F11">
        <w:rPr>
          <w:rFonts w:cs="Guttman Drogolin" w:hint="cs"/>
          <w:color w:val="auto"/>
          <w:sz w:val="24"/>
          <w:szCs w:val="24"/>
          <w:u w:val="single"/>
          <w:rtl/>
          <w:lang w:bidi="he-IL"/>
        </w:rPr>
        <w:t>כלי שלישי</w:t>
      </w:r>
      <w:bookmarkEnd w:id="412"/>
    </w:p>
    <w:p w:rsidR="00460438" w:rsidRPr="00882F11" w:rsidRDefault="002B0308" w:rsidP="00460438">
      <w:pPr>
        <w:tabs>
          <w:tab w:val="right" w:pos="7497"/>
        </w:tabs>
        <w:bidi/>
        <w:jc w:val="both"/>
        <w:rPr>
          <w:rFonts w:cs="Guttman Drogolin"/>
          <w:rtl/>
          <w:lang w:bidi="he-IL"/>
        </w:rPr>
      </w:pPr>
      <w:r>
        <w:rPr>
          <w:rFonts w:cs="Guttman Drogolin"/>
          <w:rtl/>
          <w:lang w:bidi="he-IL"/>
        </w:rPr>
        <w:fldChar w:fldCharType="begin"/>
      </w:r>
      <w:r>
        <w:instrText xml:space="preserve"> XE "</w:instrText>
      </w:r>
      <w:r w:rsidRPr="00046DB0">
        <w:rPr>
          <w:rFonts w:hint="cs"/>
          <w:rtl/>
          <w:lang w:bidi="he-IL"/>
        </w:rPr>
        <w:instrText>העברת טעם</w:instrText>
      </w:r>
      <w:r w:rsidRPr="00046DB0">
        <w:rPr>
          <w:rtl/>
        </w:rPr>
        <w:instrText>:</w:instrText>
      </w:r>
      <w:r w:rsidRPr="00046DB0">
        <w:rPr>
          <w:rFonts w:hint="cs"/>
          <w:rtl/>
          <w:lang w:bidi="he-IL"/>
        </w:rPr>
        <w:instrText>בכלי שלישי</w:instrText>
      </w:r>
      <w:r>
        <w:instrText xml:space="preserve">" </w:instrText>
      </w:r>
      <w:r>
        <w:rPr>
          <w:rFonts w:cs="Guttman Drogolin"/>
          <w:rtl/>
          <w:lang w:bidi="he-IL"/>
        </w:rPr>
        <w:fldChar w:fldCharType="end"/>
      </w:r>
      <w:r w:rsidR="00F658B6" w:rsidRPr="00882F11">
        <w:rPr>
          <w:rFonts w:cs="Guttman Drogolin" w:hint="cs"/>
          <w:rtl/>
          <w:lang w:bidi="he-IL"/>
        </w:rPr>
        <w:t>הבאנו לעיל שיש דברים שמתבשלים בכלי שני. ודנו האחרונים מה הדין בכלי שלישי. כמה אחרונים, ובכללם הפמ"ג (סי' שי"ח א"א ס"ק ל"ה) המובא במ"ב (שם ס"ק מ"ז) והגרמ"פ (אג"מ או"ח ד' סי' ע"ד) נקטו שכל החומרות שנאמרו בכלי שני אינם א</w:t>
      </w:r>
      <w:r w:rsidR="00460438" w:rsidRPr="00882F11">
        <w:rPr>
          <w:rFonts w:cs="Guttman Drogolin" w:hint="cs"/>
          <w:rtl/>
          <w:lang w:bidi="he-IL"/>
        </w:rPr>
        <w:t xml:space="preserve">לא בכלי שני, אבל בכלי שלישי לא </w:t>
      </w:r>
      <w:r w:rsidR="00F658B6" w:rsidRPr="00882F11">
        <w:rPr>
          <w:rFonts w:cs="Guttman Drogolin" w:hint="cs"/>
          <w:rtl/>
          <w:lang w:bidi="he-IL"/>
        </w:rPr>
        <w:t xml:space="preserve">שמענו להחמיר. </w:t>
      </w:r>
      <w:r w:rsidR="00460438" w:rsidRPr="00882F11">
        <w:rPr>
          <w:rFonts w:cs="Guttman Drogolin" w:hint="cs"/>
          <w:rtl/>
          <w:lang w:bidi="he-IL"/>
        </w:rPr>
        <w:t xml:space="preserve">והחזו"א (שם) ועוד נקטו שאין שום חילוק בין כלי שני לכלי שלישי, ור"ל שכל כוונת חז"ל בדין כלי שני היינו גכלי שיש בה תבשיל חם שאינו בכלי שהיתה ע"ג האש, ואחרי שהוא כן לא איכפת לן עם הוא בכלי שהעבירו לה החמין בפעם הראשון או לא. ובאמת צ"ע בביאור שיטת </w:t>
      </w:r>
      <w:r w:rsidR="00460438" w:rsidRPr="00882F11">
        <w:rPr>
          <w:rFonts w:cs="Guttman Drogolin" w:hint="cs"/>
          <w:rtl/>
          <w:lang w:bidi="he-IL"/>
        </w:rPr>
        <w:lastRenderedPageBreak/>
        <w:t>המקילים מהו הטעם לחלק ביניהם, הא המים הם יס"ב, וגם בכלי שני הדפנות היו קרות, וא"כ מאי שנא כלי שני מכלי שלישי. וע"כ סברו שכל זמן שהוא מערה לתוך כלי חדש שאין דפנות חמות הרי זה מקליש יותר את כח הבישול.</w:t>
      </w:r>
    </w:p>
    <w:p w:rsidR="00170CDE" w:rsidRPr="00882F11" w:rsidRDefault="00460438" w:rsidP="00367749">
      <w:pPr>
        <w:tabs>
          <w:tab w:val="right" w:pos="7497"/>
        </w:tabs>
        <w:bidi/>
        <w:jc w:val="both"/>
        <w:rPr>
          <w:rFonts w:cs="Guttman Drogolin"/>
          <w:rtl/>
          <w:lang w:bidi="he-IL"/>
        </w:rPr>
      </w:pPr>
      <w:r w:rsidRPr="00882F11">
        <w:rPr>
          <w:rFonts w:cs="Guttman Drogolin" w:hint="cs"/>
          <w:rtl/>
          <w:lang w:bidi="he-IL"/>
        </w:rPr>
        <w:t xml:space="preserve">ומיני' להעברת טעם. שיל"ע בכגון שיטת הרשב"א דסבר שכלי שני מעביר טעם האם הדין כן גם בכלי שלישי. דיתכן שאין לו כח להעביר טעם אלא בכלי שני, אבל כלי שלישי כבר הוקלש חומו עד כדי כך שאינו יכול אפילו להעביר טעם. </w:t>
      </w:r>
      <w:r w:rsidR="00AD6A25" w:rsidRPr="00882F11">
        <w:rPr>
          <w:rFonts w:cs="Guttman Drogolin" w:hint="cs"/>
          <w:rtl/>
          <w:lang w:bidi="he-IL"/>
        </w:rPr>
        <w:t xml:space="preserve">ויש לנו לזה דוגמא. דהנה שיטת החיי"א דאע"ג דכלי שני אינו מבשל הנ"מ בחום שהיד סולדת בו, אבל יד נכוית בו מבשל אפילו בכלי שני. וכן לכאורה מבואר מחי' הרשב"א למס' שבת דף מ"ב ע"א, שיש </w:t>
      </w:r>
      <w:r w:rsidR="00367749" w:rsidRPr="00882F11">
        <w:rPr>
          <w:rFonts w:cs="Guttman Drogolin" w:hint="cs"/>
          <w:rtl/>
          <w:lang w:bidi="he-IL"/>
        </w:rPr>
        <w:t>בה ח</w:t>
      </w:r>
      <w:r w:rsidR="00AD6A25" w:rsidRPr="00882F11">
        <w:rPr>
          <w:rFonts w:cs="Guttman Drogolin" w:hint="cs"/>
          <w:rtl/>
          <w:lang w:bidi="he-IL"/>
        </w:rPr>
        <w:t xml:space="preserve">ום </w:t>
      </w:r>
      <w:r w:rsidR="00367749" w:rsidRPr="00882F11">
        <w:rPr>
          <w:rFonts w:cs="Guttman Drogolin" w:hint="cs"/>
          <w:rtl/>
          <w:lang w:bidi="he-IL"/>
        </w:rPr>
        <w:t>כדי ל</w:t>
      </w:r>
      <w:r w:rsidR="00AD6A25" w:rsidRPr="00882F11">
        <w:rPr>
          <w:rFonts w:cs="Guttman Drogolin" w:hint="cs"/>
          <w:rtl/>
          <w:lang w:bidi="he-IL"/>
        </w:rPr>
        <w:t>בשל גם אם אינו בתוך הכלי הראשון. ומ"מ נקטו האג"מ (שם) ועוד אחרונים שאפילו אם כשיטת החיי"א, מסתבר שכלי שלישי כבר אינו בשיעור יד נכוית בו. ומיני' דאולי הה"נ לשיטת הרשב"א.</w:t>
      </w:r>
      <w:r w:rsidRPr="00882F11">
        <w:rPr>
          <w:rFonts w:cs="Guttman Drogolin" w:hint="cs"/>
          <w:rtl/>
          <w:lang w:bidi="he-IL"/>
        </w:rPr>
        <w:t xml:space="preserve"> </w:t>
      </w:r>
      <w:r w:rsidR="00F658B6" w:rsidRPr="00882F11">
        <w:rPr>
          <w:rFonts w:cs="Guttman Drogolin" w:hint="cs"/>
          <w:rtl/>
          <w:lang w:bidi="he-IL"/>
        </w:rPr>
        <w:t xml:space="preserve">  </w:t>
      </w:r>
      <w:r w:rsidR="006F56B9" w:rsidRPr="00882F11">
        <w:rPr>
          <w:rFonts w:cs="Guttman Drogolin" w:hint="cs"/>
          <w:rtl/>
          <w:lang w:bidi="he-IL"/>
        </w:rPr>
        <w:t xml:space="preserve">   </w:t>
      </w:r>
    </w:p>
    <w:p w:rsidR="00AD6A25" w:rsidRPr="00882F11" w:rsidRDefault="00AD6A25" w:rsidP="00AD6A25">
      <w:pPr>
        <w:pStyle w:val="Heading1"/>
        <w:bidi/>
        <w:spacing w:before="0" w:line="360" w:lineRule="auto"/>
        <w:jc w:val="center"/>
        <w:rPr>
          <w:rFonts w:cs="Guttman Drogolin"/>
          <w:color w:val="auto"/>
          <w:sz w:val="24"/>
          <w:szCs w:val="24"/>
          <w:u w:val="single"/>
          <w:rtl/>
          <w:lang w:bidi="he-IL"/>
        </w:rPr>
      </w:pPr>
      <w:bookmarkStart w:id="413" w:name="_Toc496175660"/>
      <w:r w:rsidRPr="00882F11">
        <w:rPr>
          <w:rFonts w:cs="Guttman Drogolin" w:hint="cs"/>
          <w:color w:val="auto"/>
          <w:sz w:val="24"/>
          <w:szCs w:val="24"/>
          <w:u w:val="single"/>
          <w:rtl/>
          <w:lang w:bidi="he-IL"/>
        </w:rPr>
        <w:t>סוגיית הגמרא במס' שבת דף מ"ב ע"א</w:t>
      </w:r>
      <w:bookmarkEnd w:id="413"/>
    </w:p>
    <w:p w:rsidR="004C103E" w:rsidRPr="00882F11" w:rsidRDefault="002B0308" w:rsidP="004C103E">
      <w:pPr>
        <w:tabs>
          <w:tab w:val="right" w:pos="7497"/>
        </w:tabs>
        <w:bidi/>
        <w:jc w:val="both"/>
        <w:rPr>
          <w:rFonts w:cs="Guttman Drogolin"/>
          <w:rtl/>
          <w:lang w:bidi="he-IL"/>
        </w:rPr>
      </w:pPr>
      <w:r>
        <w:rPr>
          <w:rFonts w:cs="Guttman Drogolin"/>
          <w:rtl/>
          <w:lang w:bidi="he-IL"/>
        </w:rPr>
        <w:fldChar w:fldCharType="begin"/>
      </w:r>
      <w:r>
        <w:instrText xml:space="preserve"> XE "</w:instrText>
      </w:r>
      <w:r w:rsidRPr="00701AFD">
        <w:rPr>
          <w:rFonts w:hint="cs"/>
          <w:rtl/>
          <w:lang w:bidi="he-IL"/>
        </w:rPr>
        <w:instrText>עירוי</w:instrText>
      </w:r>
      <w:r w:rsidRPr="00701AFD">
        <w:rPr>
          <w:rtl/>
        </w:rPr>
        <w:instrText>:</w:instrText>
      </w:r>
      <w:r w:rsidRPr="00701AFD">
        <w:rPr>
          <w:rFonts w:hint="cs"/>
          <w:rtl/>
          <w:lang w:bidi="he-IL"/>
        </w:rPr>
        <w:instrText>הסוגיא במס' שבת דף מ</w:instrText>
      </w:r>
      <w:r>
        <w:rPr>
          <w:rFonts w:eastAsiaTheme="minorEastAsia"/>
          <w:lang w:bidi="he-IL"/>
        </w:rPr>
        <w:instrText>\</w:instrText>
      </w:r>
      <w:r w:rsidRPr="00701AFD">
        <w:rPr>
          <w:rFonts w:hint="cs"/>
          <w:rtl/>
          <w:lang w:bidi="he-IL"/>
        </w:rPr>
        <w:instrText>"ב</w:instrText>
      </w:r>
      <w:r>
        <w:instrText xml:space="preserve">" </w:instrText>
      </w:r>
      <w:r>
        <w:rPr>
          <w:rFonts w:cs="Guttman Drogolin"/>
          <w:rtl/>
          <w:lang w:bidi="he-IL"/>
        </w:rPr>
        <w:fldChar w:fldCharType="end"/>
      </w:r>
      <w:r w:rsidR="00AD6A25" w:rsidRPr="00882F11">
        <w:rPr>
          <w:rFonts w:cs="Guttman Drogolin" w:hint="cs"/>
          <w:rtl/>
          <w:lang w:bidi="he-IL"/>
        </w:rPr>
        <w:t xml:space="preserve">כתוב במס' שבת דף מ"ב ע"א </w:t>
      </w:r>
      <w:r w:rsidR="004C103E" w:rsidRPr="00882F11">
        <w:rPr>
          <w:rFonts w:cs="Guttman Drogolin" w:hint="cs"/>
          <w:rtl/>
          <w:lang w:bidi="he-IL"/>
        </w:rPr>
        <w:t>"</w:t>
      </w:r>
      <w:r w:rsidR="004C103E" w:rsidRPr="00882F11">
        <w:rPr>
          <w:rFonts w:cs="Guttman Drogolin"/>
          <w:rtl/>
          <w:lang w:bidi="he-IL"/>
        </w:rPr>
        <w:t>תנו רבנן נותן אדם חמין לתוך הצונן ולא הצונן לתוך החמין דברי בית שמאי ובית הלל אומרים בין חמין לתוך הצונן ובין צונן לתוך החמין מותר במה דברים אמורים בכוס אבל באמבטי חמין לתוך הצונ</w:t>
      </w:r>
      <w:r w:rsidR="004C103E" w:rsidRPr="00882F11">
        <w:rPr>
          <w:rFonts w:cs="Guttman Drogolin" w:hint="cs"/>
          <w:rtl/>
          <w:lang w:bidi="he-IL"/>
        </w:rPr>
        <w:t>ן</w:t>
      </w:r>
      <w:r w:rsidR="004C103E" w:rsidRPr="00882F11">
        <w:rPr>
          <w:rFonts w:cs="Guttman Drogolin"/>
          <w:rtl/>
          <w:lang w:bidi="he-IL"/>
        </w:rPr>
        <w:t xml:space="preserve"> ולא צונן לתוך החמי</w:t>
      </w:r>
      <w:r w:rsidR="004C103E" w:rsidRPr="00882F11">
        <w:rPr>
          <w:rFonts w:cs="Guttman Drogolin" w:hint="cs"/>
          <w:rtl/>
          <w:lang w:bidi="he-IL"/>
        </w:rPr>
        <w:t>ן</w:t>
      </w:r>
      <w:r w:rsidR="004C103E" w:rsidRPr="00882F11">
        <w:rPr>
          <w:rFonts w:cs="Guttman Drogolin"/>
          <w:rtl/>
          <w:lang w:bidi="he-IL"/>
        </w:rPr>
        <w:t xml:space="preserve"> ורבי שמעון בן מנסיא אוסר</w:t>
      </w:r>
      <w:r w:rsidR="004C103E" w:rsidRPr="00882F11">
        <w:rPr>
          <w:rFonts w:cs="Guttman Drogolin" w:hint="cs"/>
          <w:rtl/>
          <w:lang w:bidi="he-IL"/>
        </w:rPr>
        <w:t>". ופירש"י שטעמו של ב"ש לחלק בין חמין לתוך צונן לצונן לתוך חמין משום דתתאה גבר. והתוס' הקשו על פירש"י ב' קושיות, חדא דאם כדבריו תיקשי מן הברייתא על רב דסבר עילאה גבר.</w:t>
      </w:r>
      <w:r w:rsidR="004C103E" w:rsidRPr="00882F11">
        <w:rPr>
          <w:rFonts w:cs="Guttman Drogolin"/>
          <w:rtl/>
          <w:lang w:bidi="he-IL"/>
        </w:rPr>
        <w:t xml:space="preserve"> </w:t>
      </w:r>
      <w:r w:rsidR="004C103E" w:rsidRPr="00882F11">
        <w:rPr>
          <w:rFonts w:cs="Guttman Drogolin" w:hint="cs"/>
          <w:rtl/>
          <w:lang w:bidi="he-IL"/>
        </w:rPr>
        <w:t>ועוד שהרי אפילו שמואל מודה דאדמיקר לי' בלע ומבשל כדי קליפה. ובישוב שיטת רש"יף יעוין בפנ"י שהעיר שהרי זה שיש ברייתא דלא כרב, הרי כבר הביאו בסוגיא דמס' פסחים ב' ברייתות דלא כרב, ואדרבה, התוס' הקשו שם למה צריכים להביא ב' ברייתות הא בחדא סגי. וע' בפסקי הרי"ד שבאמת הוסיף הברייתא כאן לברייתות במס' פסחים המוכיחות</w:t>
      </w:r>
      <w:r w:rsidR="00170CDE" w:rsidRPr="00882F11">
        <w:rPr>
          <w:rFonts w:cs="Guttman Drogolin" w:hint="cs"/>
          <w:rtl/>
          <w:lang w:bidi="he-IL"/>
        </w:rPr>
        <w:t xml:space="preserve"> </w:t>
      </w:r>
      <w:r w:rsidR="004C103E" w:rsidRPr="00882F11">
        <w:rPr>
          <w:rFonts w:cs="Guttman Drogolin" w:hint="cs"/>
          <w:rtl/>
          <w:lang w:bidi="he-IL"/>
        </w:rPr>
        <w:t xml:space="preserve">דהלכתא כשמואל. ולענין הא דמבשל כדי קליפה, הרי שיטת הרשב"ם אינו </w:t>
      </w:r>
      <w:r w:rsidR="004C103E" w:rsidRPr="00882F11">
        <w:rPr>
          <w:rFonts w:cs="Guttman Drogolin" w:hint="cs"/>
          <w:rtl/>
          <w:lang w:bidi="he-IL"/>
        </w:rPr>
        <w:lastRenderedPageBreak/>
        <w:t>כן, דאדמיקר לי' בלע לא נאמר אלא לענין בליעות וכנ"ל.</w:t>
      </w:r>
    </w:p>
    <w:p w:rsidR="00EB248C" w:rsidRPr="00882F11" w:rsidRDefault="004C103E" w:rsidP="00EB248C">
      <w:pPr>
        <w:tabs>
          <w:tab w:val="right" w:pos="7497"/>
        </w:tabs>
        <w:bidi/>
        <w:jc w:val="both"/>
        <w:rPr>
          <w:rFonts w:cs="Guttman Drogolin"/>
          <w:rtl/>
          <w:lang w:bidi="he-IL"/>
        </w:rPr>
      </w:pPr>
      <w:r w:rsidRPr="00882F11">
        <w:rPr>
          <w:rFonts w:cs="Guttman Drogolin" w:hint="cs"/>
          <w:rtl/>
          <w:lang w:bidi="he-IL"/>
        </w:rPr>
        <w:t xml:space="preserve">אלא </w:t>
      </w:r>
      <w:r w:rsidR="00FE55E4" w:rsidRPr="00882F11">
        <w:rPr>
          <w:rFonts w:cs="Guttman Drogolin" w:hint="cs"/>
          <w:rtl/>
          <w:lang w:bidi="he-IL"/>
        </w:rPr>
        <w:t xml:space="preserve">דעוד </w:t>
      </w:r>
      <w:r w:rsidRPr="00882F11">
        <w:rPr>
          <w:rFonts w:cs="Guttman Drogolin" w:hint="cs"/>
          <w:rtl/>
          <w:lang w:bidi="he-IL"/>
        </w:rPr>
        <w:t>יש להק</w:t>
      </w:r>
      <w:r w:rsidR="00FE55E4" w:rsidRPr="00882F11">
        <w:rPr>
          <w:rFonts w:cs="Guttman Drogolin" w:hint="cs"/>
          <w:rtl/>
          <w:lang w:bidi="he-IL"/>
        </w:rPr>
        <w:t>ש</w:t>
      </w:r>
      <w:r w:rsidRPr="00882F11">
        <w:rPr>
          <w:rFonts w:cs="Guttman Drogolin" w:hint="cs"/>
          <w:rtl/>
          <w:lang w:bidi="he-IL"/>
        </w:rPr>
        <w:t>ות</w:t>
      </w:r>
      <w:r w:rsidR="00FE55E4" w:rsidRPr="00882F11">
        <w:rPr>
          <w:rFonts w:cs="Guttman Drogolin" w:hint="cs"/>
          <w:rtl/>
          <w:lang w:bidi="he-IL"/>
        </w:rPr>
        <w:t xml:space="preserve"> </w:t>
      </w:r>
      <w:r w:rsidRPr="00882F11">
        <w:rPr>
          <w:rFonts w:cs="Guttman Drogolin" w:hint="cs"/>
          <w:rtl/>
          <w:lang w:bidi="he-IL"/>
        </w:rPr>
        <w:t>לשיטת רש"י</w:t>
      </w:r>
      <w:r w:rsidR="00FE55E4" w:rsidRPr="00882F11">
        <w:rPr>
          <w:rFonts w:cs="Guttman Drogolin" w:hint="cs"/>
          <w:rtl/>
          <w:lang w:bidi="he-IL"/>
        </w:rPr>
        <w:t xml:space="preserve"> שאם הכל תלוי בהא דתתאה גבר, למה כלי ראשון שלא ע"ג האש מבשל אליבא דרב, הא מה שנכנס בו הוא העילאה והוא גובר על הכלי ראשון. וע' באמת בתוס' הרא"ש שבהמשך שהקשה כעין זה. ועוד צ"ע, דכיון שהברייתא בכלי שני מיירי וכמו שפירש"י, ועל זה הוא דקאמרי ב"ש דחם לתוך צונן מותר משום דתתאה גבר, היכי משכחת לה שהי' כלי שני חם כלל, הא מיד שמערה מכלי ראשון לתוך הכלי שני אמרינן דתתאה גבר, וממילא מה שעירו לתוך הכוס נהפך להיות צונן.</w:t>
      </w:r>
    </w:p>
    <w:p w:rsidR="00EB248C" w:rsidRPr="00882F11" w:rsidRDefault="00FE55E4" w:rsidP="00EB248C">
      <w:pPr>
        <w:tabs>
          <w:tab w:val="right" w:pos="7497"/>
        </w:tabs>
        <w:bidi/>
        <w:jc w:val="both"/>
        <w:rPr>
          <w:rFonts w:cs="Guttman Drogolin"/>
          <w:rtl/>
          <w:lang w:bidi="he-IL"/>
        </w:rPr>
      </w:pPr>
      <w:r w:rsidRPr="00882F11">
        <w:rPr>
          <w:rFonts w:cs="Guttman Drogolin" w:hint="cs"/>
          <w:rtl/>
          <w:lang w:bidi="he-IL"/>
        </w:rPr>
        <w:t xml:space="preserve">והנראה לומר בזה, דהא דאמרינן תתאה גבר, אין זה אלא בדבר שאינו בכלי ראשון, אבל כמו דלכו"ע כלי שלא ע"ג האש מבשל, דאל"כ כמעט ולא משכחת לה בישול כלל, הה"נ כלי ראשון שלא ע"ג האש. רק בדבר שאינו בכלי ראשון יש לדון בה אם תתאה או עילאה גבר. וממילא נראה שבזה נחלקו ב"ה וב"ש אליבא דרש"י, דב"ש סברי דכיון שאינו בכלי ראשון, הדרינן למחלוקת רב ושמואל, ולכן אם התתאה חם הרי הוא מבשל, אבל אם התתאה צונן אין כאן בישול. וב"ה פליג וסבר דלעולם כיון דכלי שני הוא לא חיישינן לי'. ואפשר לפרש פלוגתתם בב' אנפי. די"ל שגם ב"ש סברי שאין איסור בישול מדאורייתא בכלי שני, ומן הטעם שכתבו התוס' בדף </w:t>
      </w:r>
      <w:r w:rsidR="00EB248C" w:rsidRPr="00882F11">
        <w:rPr>
          <w:rFonts w:cs="Guttman Drogolin" w:hint="cs"/>
          <w:rtl/>
          <w:lang w:bidi="he-IL"/>
        </w:rPr>
        <w:t xml:space="preserve">מ' ע"ב, </w:t>
      </w:r>
      <w:r w:rsidRPr="00882F11">
        <w:rPr>
          <w:rFonts w:cs="Guttman Drogolin" w:hint="cs"/>
          <w:rtl/>
          <w:lang w:bidi="he-IL"/>
        </w:rPr>
        <w:t>רק סוברים ד</w:t>
      </w:r>
      <w:r w:rsidR="00EB248C" w:rsidRPr="00882F11">
        <w:rPr>
          <w:rFonts w:cs="Guttman Drogolin" w:hint="cs"/>
          <w:rtl/>
          <w:lang w:bidi="he-IL"/>
        </w:rPr>
        <w:t xml:space="preserve">בצונן לתוך חם, </w:t>
      </w:r>
      <w:r w:rsidRPr="00882F11">
        <w:rPr>
          <w:rFonts w:cs="Guttman Drogolin" w:hint="cs"/>
          <w:rtl/>
          <w:lang w:bidi="he-IL"/>
        </w:rPr>
        <w:t>כיון דסוף סו</w:t>
      </w:r>
      <w:r w:rsidR="00EB248C" w:rsidRPr="00882F11">
        <w:rPr>
          <w:rFonts w:cs="Guttman Drogolin" w:hint="cs"/>
          <w:rtl/>
          <w:lang w:bidi="he-IL"/>
        </w:rPr>
        <w:t>ף</w:t>
      </w:r>
      <w:r w:rsidRPr="00882F11">
        <w:rPr>
          <w:rFonts w:cs="Guttman Drogolin" w:hint="cs"/>
          <w:rtl/>
          <w:lang w:bidi="he-IL"/>
        </w:rPr>
        <w:t xml:space="preserve"> חם הוא כיון ד</w:t>
      </w:r>
      <w:r w:rsidR="00EB248C" w:rsidRPr="00882F11">
        <w:rPr>
          <w:rFonts w:cs="Guttman Drogolin" w:hint="cs"/>
          <w:rtl/>
          <w:lang w:bidi="he-IL"/>
        </w:rPr>
        <w:t>תתאה</w:t>
      </w:r>
      <w:r w:rsidRPr="00882F11">
        <w:rPr>
          <w:rFonts w:cs="Guttman Drogolin" w:hint="cs"/>
          <w:rtl/>
          <w:lang w:bidi="he-IL"/>
        </w:rPr>
        <w:t xml:space="preserve"> גבר, גזרינן עלי'. </w:t>
      </w:r>
      <w:r w:rsidR="00EB248C" w:rsidRPr="00882F11">
        <w:rPr>
          <w:rFonts w:cs="Guttman Drogolin" w:hint="cs"/>
          <w:rtl/>
          <w:lang w:bidi="he-IL"/>
        </w:rPr>
        <w:t xml:space="preserve">וב"ה סברי דלא גזרינן. אלא דעוד י"ל דסברי ב"ש דכיון דתתאה גבר הרי הוא מבשל מדאורייתא, ולית להו סברת התוס' לעיל בדף מ' ע"ב, וב"ה הוא דאית להו סברא זו. וע' באמת בחוו"ד שהעיר שלכאורה ליתי' לקושיית התוס' לעיל אלא אליבא דשמואל, אבל אליבא דרב פשוט שהטעם שכלי שני אינו משום משום דעילאה גבר. </w:t>
      </w:r>
    </w:p>
    <w:p w:rsidR="00EB248C" w:rsidRPr="00882F11" w:rsidRDefault="00EB248C" w:rsidP="00EB248C">
      <w:pPr>
        <w:tabs>
          <w:tab w:val="right" w:pos="7497"/>
        </w:tabs>
        <w:bidi/>
        <w:jc w:val="both"/>
        <w:rPr>
          <w:rFonts w:cs="Guttman Drogolin"/>
          <w:rtl/>
          <w:lang w:bidi="he-IL"/>
        </w:rPr>
      </w:pPr>
      <w:r w:rsidRPr="00882F11">
        <w:rPr>
          <w:rFonts w:cs="Guttman Drogolin" w:hint="cs"/>
          <w:rtl/>
          <w:lang w:bidi="he-IL"/>
        </w:rPr>
        <w:t xml:space="preserve">ולענין השאלה דכל כלי שני צונן הוא אליבא דמ"ד תתאה גבר, ע' בפסקי הרי"ד במס' ספחים שכתב דעד כאן לא נחלקו רב ושמואל אלא באוכלין </w:t>
      </w:r>
      <w:r w:rsidRPr="00882F11">
        <w:rPr>
          <w:rFonts w:cs="Guttman Drogolin" w:hint="cs"/>
          <w:rtl/>
          <w:lang w:bidi="he-IL"/>
        </w:rPr>
        <w:lastRenderedPageBreak/>
        <w:t>ומשקין, אבל משקין שנפלו על כלי אע"פ שצונן הוא צריך הגעלה, ע"ש טעמו.</w:t>
      </w:r>
    </w:p>
    <w:p w:rsidR="0001296F" w:rsidRPr="00882F11" w:rsidRDefault="00EB248C" w:rsidP="002F293D">
      <w:pPr>
        <w:tabs>
          <w:tab w:val="right" w:pos="7497"/>
        </w:tabs>
        <w:bidi/>
        <w:jc w:val="both"/>
        <w:rPr>
          <w:rFonts w:cs="Guttman Drogolin"/>
          <w:rtl/>
          <w:lang w:bidi="he-IL"/>
        </w:rPr>
      </w:pPr>
      <w:r w:rsidRPr="00882F11">
        <w:rPr>
          <w:rFonts w:cs="Guttman Drogolin" w:hint="cs"/>
          <w:rtl/>
          <w:lang w:bidi="he-IL"/>
        </w:rPr>
        <w:t xml:space="preserve">וכל הנ"ל לשיטת רש"י, אבל התוס' דחו דלא שייך המחלוקת בין רב לשמואל לסוגיין. וע"ש </w:t>
      </w:r>
      <w:r w:rsidR="0001296F" w:rsidRPr="00882F11">
        <w:rPr>
          <w:rFonts w:cs="Guttman Drogolin" w:hint="cs"/>
          <w:rtl/>
          <w:lang w:bidi="he-IL"/>
        </w:rPr>
        <w:t>ל</w:t>
      </w:r>
      <w:r w:rsidRPr="00882F11">
        <w:rPr>
          <w:rFonts w:cs="Guttman Drogolin" w:hint="cs"/>
          <w:rtl/>
          <w:lang w:bidi="he-IL"/>
        </w:rPr>
        <w:t>שונו בטעמו של דבר. ונראה הביאור בדבריהם</w:t>
      </w:r>
      <w:r w:rsidR="0001296F" w:rsidRPr="00882F11">
        <w:rPr>
          <w:rFonts w:cs="Guttman Drogolin" w:hint="cs"/>
          <w:rtl/>
          <w:lang w:bidi="he-IL"/>
        </w:rPr>
        <w:t>, דלא שייך המחלוקת דתתאה גבר או עילאה גבר אלא בדברים שאינם מתערבים, אבל בדברים המתערבים לא. ונראה הטעם בזה דכיון שהם מתערבים חשוב כאילו אין כאן לא עילאה ולא תתאה. ורש"י כנראה חלק וסבר דכיון שברגע הראשון א' עילאה וא' תתאה שייך שפיר המחלוקת דתתאה או עילאה גבר. וכיון שלא שייך הדין של תתאה או עילא</w:t>
      </w:r>
      <w:r w:rsidR="002F293D" w:rsidRPr="00882F11">
        <w:rPr>
          <w:rFonts w:cs="Guttman Drogolin" w:hint="cs"/>
          <w:rtl/>
          <w:lang w:bidi="he-IL"/>
        </w:rPr>
        <w:t>ה</w:t>
      </w:r>
      <w:r w:rsidR="0001296F" w:rsidRPr="00882F11">
        <w:rPr>
          <w:rFonts w:cs="Guttman Drogolin" w:hint="cs"/>
          <w:rtl/>
          <w:lang w:bidi="he-IL"/>
        </w:rPr>
        <w:t xml:space="preserve"> גבר </w:t>
      </w:r>
      <w:r w:rsidR="00CE18FE" w:rsidRPr="00882F11">
        <w:rPr>
          <w:rFonts w:cs="Guttman Drogolin" w:hint="cs"/>
          <w:rtl/>
          <w:lang w:bidi="he-IL"/>
        </w:rPr>
        <w:t>במתערבים, אמרינן כלל אחר דאזלינ</w:t>
      </w:r>
      <w:r w:rsidR="0001296F" w:rsidRPr="00882F11">
        <w:rPr>
          <w:rFonts w:cs="Guttman Drogolin" w:hint="cs"/>
          <w:rtl/>
          <w:lang w:bidi="he-IL"/>
        </w:rPr>
        <w:t>ן בתר הרוב (וע' בה"ל סי' שי"</w:t>
      </w:r>
      <w:r w:rsidR="00CE18FE" w:rsidRPr="00882F11">
        <w:rPr>
          <w:rFonts w:cs="Guttman Drogolin" w:hint="cs"/>
          <w:rtl/>
          <w:lang w:bidi="he-IL"/>
        </w:rPr>
        <w:t>ח</w:t>
      </w:r>
      <w:r w:rsidR="0001296F" w:rsidRPr="00882F11">
        <w:rPr>
          <w:rFonts w:cs="Guttman Drogolin" w:hint="cs"/>
          <w:rtl/>
          <w:lang w:bidi="he-IL"/>
        </w:rPr>
        <w:t xml:space="preserve"> סע' י"א שגם זה אינו כלל מוחלט, והכל לפי הענין</w:t>
      </w:r>
      <w:r w:rsidR="00CE18FE" w:rsidRPr="00882F11">
        <w:rPr>
          <w:rFonts w:cs="Guttman Drogolin" w:hint="cs"/>
          <w:rtl/>
          <w:lang w:bidi="he-IL"/>
        </w:rPr>
        <w:t>, ואם אינו חם כל כך אפילו אינו הרוב מותר). וכוונת הברייתא בחם לתוך צונן או צונן לתוך חם לאו דוקא, רק הכל תלוי במה הוא הרוב, וסתמא דמילתא שמערים המיעוט לתוך הרוב</w:t>
      </w:r>
    </w:p>
    <w:p w:rsidR="00CE18FE" w:rsidRPr="00882F11" w:rsidRDefault="0001296F" w:rsidP="0001296F">
      <w:pPr>
        <w:tabs>
          <w:tab w:val="right" w:pos="7497"/>
        </w:tabs>
        <w:bidi/>
        <w:jc w:val="both"/>
        <w:rPr>
          <w:rFonts w:cs="Guttman Drogolin"/>
          <w:rtl/>
          <w:lang w:bidi="he-IL"/>
        </w:rPr>
      </w:pPr>
      <w:r w:rsidRPr="00882F11">
        <w:rPr>
          <w:rFonts w:cs="Guttman Drogolin" w:hint="cs"/>
          <w:rtl/>
          <w:lang w:bidi="he-IL"/>
        </w:rPr>
        <w:t>וע"ש בתוס'</w:t>
      </w:r>
      <w:r w:rsidRPr="00882F11">
        <w:rPr>
          <w:rFonts w:cs="Guttman Drogolin"/>
          <w:rtl/>
          <w:lang w:bidi="he-IL"/>
        </w:rPr>
        <w:t xml:space="preserve"> ש</w:t>
      </w:r>
      <w:r w:rsidRPr="00882F11">
        <w:rPr>
          <w:rFonts w:cs="Guttman Drogolin" w:hint="cs"/>
          <w:rtl/>
          <w:lang w:bidi="he-IL"/>
        </w:rPr>
        <w:t>כתבו ש</w:t>
      </w:r>
      <w:r w:rsidRPr="00882F11">
        <w:rPr>
          <w:rFonts w:cs="Guttman Drogolin"/>
          <w:rtl/>
          <w:lang w:bidi="he-IL"/>
        </w:rPr>
        <w:t xml:space="preserve">טעמם של ב"ש משום דגזרי כלי שני אטו כלי ראשון. </w:t>
      </w:r>
      <w:r w:rsidRPr="00882F11">
        <w:rPr>
          <w:rFonts w:cs="Guttman Drogolin" w:hint="cs"/>
          <w:rtl/>
          <w:lang w:bidi="he-IL"/>
        </w:rPr>
        <w:t xml:space="preserve">ומ"מ כתבו שההיתר דחמין לתו צונן מיירי אפילו בעירו מכלי ראשון לתוך כלי שני. ולא ביארו לנו למה הי' פשוט להם כן, אבל יעוין בתוס' הרא"ש שביאר דאל"כ למה הקילו ב"ש בחמין לתוך צונן, נהי נמי דליכא איסור מדאורייתא כיון שמכלי שני הוא מערה, אבל כמו שגזרו ב"ש בצונן לתוך חמין אטו כלי ראשון, הה"נ דהו"ל למיגזר בעירוי מכלי שני. וע"כ שגם מכלי ראשון ליכא איסור דאורייתא, ומן הטעם שנתבאר. </w:t>
      </w:r>
    </w:p>
    <w:p w:rsidR="00CE18FE" w:rsidRPr="00882F11" w:rsidRDefault="00CE18FE" w:rsidP="00CE18FE">
      <w:pPr>
        <w:tabs>
          <w:tab w:val="right" w:pos="7497"/>
        </w:tabs>
        <w:bidi/>
        <w:jc w:val="both"/>
        <w:rPr>
          <w:rFonts w:cs="Guttman Drogolin"/>
          <w:rtl/>
          <w:lang w:bidi="he-IL"/>
        </w:rPr>
      </w:pPr>
      <w:r w:rsidRPr="00882F11">
        <w:rPr>
          <w:rFonts w:cs="Guttman Drogolin" w:hint="cs"/>
          <w:rtl/>
          <w:lang w:bidi="he-IL"/>
        </w:rPr>
        <w:t xml:space="preserve">ועדיין נשאר לנו לבאר הגמ' דלעיל. שבדף מ"א ע"ב מבואר שאם הי' כלי ראשון עם מים חמים ע"ג האש, והריקט הכלי מן המים, ואחר מכן נתן מים צוננים מרובים לתוכו אין כאן משום בישול, אבל מים מועטים אסורים משום בישול. וקשה </w:t>
      </w:r>
      <w:r w:rsidRPr="00882F11">
        <w:rPr>
          <w:rFonts w:cs="Guttman Drogolin" w:hint="cs"/>
          <w:rtl/>
          <w:lang w:bidi="he-IL"/>
        </w:rPr>
        <w:lastRenderedPageBreak/>
        <w:t xml:space="preserve">בתרתי, במים מועטים למה יהא איסור בישול לרב דסבר עילאה גבר, וכאן מיירי במתני' ולא בברייתא (אמנם יתכן שמפרש המשנה באופן אחר). וכן להיפך, למה מותר במים צוננים מרובים לשמואל דסבר תתאה גבר. וע' בתוס' הרא"ש שהתייחס לב' הקושיות וביאר דלא קשה אליבא דרב משום דכמו דאמרינן אליבא דשמואל בחם לתוך צונן צריך קליפה, ולמד הר"י מזה שגם מבשל כדי קליפה, הה"נ </w:t>
      </w:r>
      <w:r w:rsidR="003835D2" w:rsidRPr="00882F11">
        <w:rPr>
          <w:rFonts w:cs="Guttman Drogolin" w:hint="cs"/>
          <w:rtl/>
          <w:lang w:bidi="he-IL"/>
        </w:rPr>
        <w:t>שבצונן לתוך חם מבשל כדי קליפה</w:t>
      </w:r>
      <w:r w:rsidR="003835D2" w:rsidRPr="00882F11">
        <w:rPr>
          <w:rStyle w:val="FootnoteReference"/>
          <w:rFonts w:cs="Guttman Drogolin"/>
          <w:rtl/>
          <w:lang w:bidi="he-IL"/>
        </w:rPr>
        <w:footnoteReference w:id="409"/>
      </w:r>
      <w:r w:rsidR="003835D2" w:rsidRPr="00882F11">
        <w:rPr>
          <w:rFonts w:cs="Guttman Drogolin" w:hint="cs"/>
          <w:rtl/>
          <w:lang w:bidi="he-IL"/>
        </w:rPr>
        <w:t>.</w:t>
      </w:r>
      <w:r w:rsidR="00772E65" w:rsidRPr="00882F11">
        <w:rPr>
          <w:rFonts w:cs="Guttman Drogolin" w:hint="cs"/>
          <w:rtl/>
          <w:lang w:bidi="he-IL"/>
        </w:rPr>
        <w:t xml:space="preserve"> בהא שאין אי</w:t>
      </w:r>
      <w:r w:rsidR="0038338B" w:rsidRPr="00882F11">
        <w:rPr>
          <w:rFonts w:cs="Guttman Drogolin" w:hint="cs"/>
          <w:rtl/>
          <w:lang w:bidi="he-IL"/>
        </w:rPr>
        <w:t>סור במים מרובים פי' משום דכיון שיש הרבה מים ואינו מניח אותו לחמם המים אין כאן בישול.</w:t>
      </w:r>
      <w:r w:rsidRPr="00882F11">
        <w:rPr>
          <w:rFonts w:cs="Guttman Drogolin" w:hint="cs"/>
          <w:rtl/>
          <w:lang w:bidi="he-IL"/>
        </w:rPr>
        <w:t xml:space="preserve">  </w:t>
      </w:r>
    </w:p>
    <w:p w:rsidR="00547EDA" w:rsidRPr="00882F11" w:rsidRDefault="00CE18FE" w:rsidP="00CE18FE">
      <w:pPr>
        <w:tabs>
          <w:tab w:val="right" w:pos="7497"/>
        </w:tabs>
        <w:bidi/>
        <w:jc w:val="both"/>
        <w:rPr>
          <w:rFonts w:cs="Guttman Drogolin"/>
          <w:rtl/>
          <w:lang w:bidi="he-IL"/>
        </w:rPr>
      </w:pPr>
      <w:r w:rsidRPr="00882F11">
        <w:rPr>
          <w:rFonts w:cs="Guttman Drogolin" w:hint="cs"/>
          <w:rtl/>
          <w:lang w:bidi="he-IL"/>
        </w:rPr>
        <w:t>ובחי' הרשב"א חלק על זה, שלא מסתבר שחם לתוך צונן או צונן לתוך חם הוא לאו דוקא. ולכן כתבו שבחם לתוך צונן מותר אפילו מכלי ראשון וכנ"ל בשיטת התוס'. רק כתב שהדין כן אפילו רוב חמין לתוך מיעוט צונן. והטעם משום מה שנכנס מיד אינו מתבשל כיון שהתחתון צונן, ומיד שנפל לכלי נהפך להיות כלי שני ושוב אינו מבשל. משא"כ בצונן לתוך חם שהוא אסור אפילו אם החם הוא המיעוט. וע"ש בדבריו שמוכח שכל זה לפי הרגיל דכלי שני אינו חם כל כך כדי לבשל, אבל היסוד באמבטי הוא שחם ביותר ולכן מבשל אע"ג שאינו כלי ראשון</w:t>
      </w:r>
      <w:r w:rsidRPr="00882F11">
        <w:rPr>
          <w:rStyle w:val="FootnoteReference"/>
          <w:rFonts w:cs="Guttman Drogolin"/>
          <w:rtl/>
          <w:lang w:bidi="he-IL"/>
        </w:rPr>
        <w:footnoteReference w:id="410"/>
      </w:r>
      <w:r w:rsidRPr="00882F11">
        <w:rPr>
          <w:rFonts w:cs="Guttman Drogolin" w:hint="cs"/>
          <w:rtl/>
          <w:lang w:bidi="he-IL"/>
        </w:rPr>
        <w:t xml:space="preserve">. </w:t>
      </w:r>
      <w:r w:rsidR="0001296F" w:rsidRPr="00882F11">
        <w:rPr>
          <w:rFonts w:cs="Guttman Drogolin" w:hint="cs"/>
          <w:rtl/>
          <w:lang w:bidi="he-IL"/>
        </w:rPr>
        <w:t xml:space="preserve"> </w:t>
      </w:r>
      <w:r w:rsidR="00EB248C" w:rsidRPr="00882F11">
        <w:rPr>
          <w:rFonts w:cs="Guttman Drogolin" w:hint="cs"/>
          <w:rtl/>
          <w:lang w:bidi="he-IL"/>
        </w:rPr>
        <w:t xml:space="preserve"> </w:t>
      </w:r>
      <w:r w:rsidR="00FE55E4" w:rsidRPr="00882F11">
        <w:rPr>
          <w:rFonts w:cs="Guttman Drogolin" w:hint="cs"/>
          <w:rtl/>
          <w:lang w:bidi="he-IL"/>
        </w:rPr>
        <w:t xml:space="preserve">  </w:t>
      </w:r>
      <w:r w:rsidR="00170CDE" w:rsidRPr="00882F11">
        <w:rPr>
          <w:rFonts w:cs="Guttman Drogolin" w:hint="cs"/>
          <w:rtl/>
          <w:lang w:bidi="he-IL"/>
        </w:rPr>
        <w:t xml:space="preserve">  </w:t>
      </w:r>
      <w:r w:rsidR="00A83109" w:rsidRPr="00882F11">
        <w:rPr>
          <w:rFonts w:cs="Guttman Drogolin" w:hint="cs"/>
          <w:rtl/>
          <w:lang w:bidi="he-IL"/>
        </w:rPr>
        <w:t xml:space="preserve"> </w:t>
      </w:r>
      <w:r w:rsidR="00351B61" w:rsidRPr="00882F11">
        <w:rPr>
          <w:rFonts w:cs="Guttman Drogolin" w:hint="cs"/>
          <w:rtl/>
          <w:lang w:bidi="he-IL"/>
        </w:rPr>
        <w:t xml:space="preserve">  </w:t>
      </w:r>
      <w:r w:rsidR="00686A43" w:rsidRPr="00882F11">
        <w:rPr>
          <w:rFonts w:cs="Guttman Drogolin" w:hint="cs"/>
          <w:rtl/>
          <w:lang w:bidi="he-IL"/>
        </w:rPr>
        <w:t xml:space="preserve">  </w:t>
      </w:r>
      <w:r w:rsidR="009D2421" w:rsidRPr="00882F11">
        <w:rPr>
          <w:rFonts w:cs="Guttman Drogolin" w:hint="cs"/>
          <w:rtl/>
          <w:lang w:bidi="he-IL"/>
        </w:rPr>
        <w:t xml:space="preserve"> </w:t>
      </w:r>
    </w:p>
    <w:p w:rsidR="00017031" w:rsidRPr="00882F11" w:rsidRDefault="00017031" w:rsidP="00017031">
      <w:pPr>
        <w:tabs>
          <w:tab w:val="right" w:pos="7497"/>
        </w:tabs>
        <w:bidi/>
        <w:jc w:val="both"/>
        <w:rPr>
          <w:rFonts w:cs="Guttman Drogolin"/>
          <w:b/>
          <w:bCs/>
          <w:sz w:val="28"/>
          <w:szCs w:val="28"/>
          <w:rtl/>
          <w:lang w:bidi="he-IL"/>
        </w:rPr>
        <w:sectPr w:rsidR="00017031" w:rsidRPr="00882F11" w:rsidSect="008520CC">
          <w:type w:val="continuous"/>
          <w:pgSz w:w="11907" w:h="16839" w:code="9"/>
          <w:pgMar w:top="1440" w:right="1440" w:bottom="1440" w:left="1440" w:header="720" w:footer="720" w:gutter="0"/>
          <w:cols w:num="2" w:space="720"/>
          <w:bidi/>
          <w:docGrid w:linePitch="360"/>
        </w:sectPr>
      </w:pPr>
    </w:p>
    <w:p w:rsidR="00017031" w:rsidRPr="008520CC" w:rsidRDefault="00017031" w:rsidP="001024B2">
      <w:pPr>
        <w:keepNext/>
        <w:tabs>
          <w:tab w:val="left" w:pos="3818"/>
          <w:tab w:val="center" w:pos="4680"/>
        </w:tabs>
        <w:bidi/>
        <w:jc w:val="center"/>
        <w:rPr>
          <w:rFonts w:cs="Guttman Drogolin"/>
          <w:b/>
          <w:bCs/>
          <w:sz w:val="48"/>
          <w:szCs w:val="48"/>
          <w:rtl/>
          <w:lang w:bidi="he-IL"/>
        </w:rPr>
      </w:pPr>
      <w:r w:rsidRPr="008520CC">
        <w:rPr>
          <w:rFonts w:cs="Guttman Drogolin" w:hint="cs"/>
          <w:b/>
          <w:bCs/>
          <w:sz w:val="48"/>
          <w:szCs w:val="48"/>
          <w:rtl/>
          <w:lang w:bidi="he-IL"/>
        </w:rPr>
        <w:lastRenderedPageBreak/>
        <w:t>שיעור ק"</w:t>
      </w:r>
      <w:r w:rsidR="001024B2" w:rsidRPr="008520CC">
        <w:rPr>
          <w:rFonts w:cs="Guttman Drogolin" w:hint="cs"/>
          <w:b/>
          <w:bCs/>
          <w:sz w:val="48"/>
          <w:szCs w:val="48"/>
          <w:rtl/>
          <w:lang w:bidi="he-IL"/>
        </w:rPr>
        <w:t>ג</w:t>
      </w:r>
    </w:p>
    <w:p w:rsidR="008520CC" w:rsidRDefault="008520CC" w:rsidP="00DF4F40">
      <w:pPr>
        <w:pStyle w:val="Heading1"/>
        <w:bidi/>
        <w:spacing w:before="0" w:line="360" w:lineRule="auto"/>
        <w:jc w:val="center"/>
        <w:rPr>
          <w:rFonts w:cs="Guttman Drogolin"/>
          <w:color w:val="auto"/>
          <w:sz w:val="24"/>
          <w:szCs w:val="24"/>
          <w:u w:val="single"/>
          <w:rtl/>
          <w:lang w:bidi="he-IL"/>
        </w:rPr>
        <w:sectPr w:rsidR="008520CC" w:rsidSect="008520CC">
          <w:pgSz w:w="11907" w:h="16839" w:code="9"/>
          <w:pgMar w:top="1440" w:right="1440" w:bottom="1440" w:left="1440" w:header="720" w:footer="720" w:gutter="0"/>
          <w:cols w:space="720"/>
          <w:bidi/>
          <w:docGrid w:linePitch="360"/>
        </w:sectPr>
      </w:pPr>
    </w:p>
    <w:p w:rsidR="00017031" w:rsidRPr="00882F11" w:rsidRDefault="00017031" w:rsidP="00DF4F40">
      <w:pPr>
        <w:pStyle w:val="Heading1"/>
        <w:bidi/>
        <w:spacing w:before="0" w:line="360" w:lineRule="auto"/>
        <w:jc w:val="center"/>
        <w:rPr>
          <w:rFonts w:cs="Guttman Drogolin"/>
          <w:color w:val="auto"/>
          <w:sz w:val="24"/>
          <w:szCs w:val="24"/>
          <w:u w:val="single"/>
          <w:rtl/>
          <w:lang w:bidi="he-IL"/>
        </w:rPr>
      </w:pPr>
      <w:bookmarkStart w:id="414" w:name="_Toc496175661"/>
      <w:r w:rsidRPr="00882F11">
        <w:rPr>
          <w:rFonts w:cs="Guttman Drogolin" w:hint="cs"/>
          <w:color w:val="auto"/>
          <w:sz w:val="24"/>
          <w:szCs w:val="24"/>
          <w:u w:val="single"/>
          <w:rtl/>
          <w:lang w:bidi="he-IL"/>
        </w:rPr>
        <w:lastRenderedPageBreak/>
        <w:t>עוד בשיטת הרשב"ם</w:t>
      </w:r>
      <w:bookmarkEnd w:id="414"/>
    </w:p>
    <w:p w:rsidR="00017031" w:rsidRPr="00882F11" w:rsidRDefault="002B0308" w:rsidP="00A80F2F">
      <w:pPr>
        <w:tabs>
          <w:tab w:val="right" w:pos="7497"/>
        </w:tabs>
        <w:bidi/>
        <w:jc w:val="both"/>
        <w:rPr>
          <w:rFonts w:cs="Guttman Drogolin"/>
          <w:rtl/>
          <w:lang w:bidi="he-IL"/>
        </w:rPr>
      </w:pPr>
      <w:r>
        <w:rPr>
          <w:rFonts w:cs="Guttman Drogolin"/>
          <w:rtl/>
          <w:lang w:bidi="he-IL"/>
        </w:rPr>
        <w:fldChar w:fldCharType="begin"/>
      </w:r>
      <w:r>
        <w:instrText xml:space="preserve"> XE "</w:instrText>
      </w:r>
      <w:r w:rsidRPr="00084006">
        <w:rPr>
          <w:rFonts w:hint="cs"/>
          <w:rtl/>
          <w:lang w:bidi="he-IL"/>
        </w:rPr>
        <w:instrText>עירוי</w:instrText>
      </w:r>
      <w:r w:rsidRPr="00084006">
        <w:rPr>
          <w:rtl/>
        </w:rPr>
        <w:instrText>:</w:instrText>
      </w:r>
      <w:r w:rsidRPr="00084006">
        <w:rPr>
          <w:rFonts w:hint="cs"/>
          <w:rtl/>
          <w:lang w:bidi="he-IL"/>
        </w:rPr>
        <w:instrText>שיטת הרשב</w:instrText>
      </w:r>
      <w:r>
        <w:rPr>
          <w:rFonts w:eastAsiaTheme="minorEastAsia"/>
          <w:lang w:bidi="he-IL"/>
        </w:rPr>
        <w:instrText>\</w:instrText>
      </w:r>
      <w:r w:rsidRPr="00084006">
        <w:rPr>
          <w:rFonts w:hint="cs"/>
          <w:rtl/>
          <w:lang w:bidi="he-IL"/>
        </w:rPr>
        <w:instrText>"ם</w:instrText>
      </w:r>
      <w:r>
        <w:instrText xml:space="preserve">" </w:instrText>
      </w:r>
      <w:r>
        <w:rPr>
          <w:rFonts w:cs="Guttman Drogolin"/>
          <w:rtl/>
          <w:lang w:bidi="he-IL"/>
        </w:rPr>
        <w:fldChar w:fldCharType="end"/>
      </w:r>
      <w:r w:rsidR="00017031" w:rsidRPr="00882F11">
        <w:rPr>
          <w:rFonts w:cs="Guttman Drogolin" w:hint="cs"/>
          <w:rtl/>
          <w:lang w:bidi="he-IL"/>
        </w:rPr>
        <w:t xml:space="preserve">שיטת הרשב"ם דסבר שעירוי ככלי שני, וראיתו מהא דקיי"ל תתאה גבר. וביארנו בשם הש"ך שמהמבואר בגמ' דאדמיקר לי' אי אפשר דלא בלע פורתא ומשו"ה צריך להסיר כדי קליפה חזינן דאע"ג שאינו מבשל כלל ואליבא דרשב"ם מותר לערות על מאכל חי בשבת, מ"מ הרי הוא בולע כדי קליפה, ושע"כ יש לחלק בין העברת טעם לבישול. וכן הבאנו שמ"מ התיר הרשב"ם למלוג את העוף ולא לחשוש לדם שנבלע דרך בישול אפילו כדי קליפה, וצ"ע אמאי הא הכא משום העברת טעם אתינן עלה ובזה בעינן כדי קליפה וכנ"ל. ומשו"ה נקט הש"ך דאע"ג שבולע כדי קליפה, מ"מ אינו מבליע ומפליט כא', ולכן אם שפך רוטב של איסור על היתר צונן צריך קליפה, אבל מים חמין ע"ג איסור והיתר המונחיים א' ליד השני לל"ב. </w:t>
      </w:r>
    </w:p>
    <w:p w:rsidR="00EB5CE7" w:rsidRPr="00882F11" w:rsidRDefault="00017031" w:rsidP="00EB5CE7">
      <w:pPr>
        <w:tabs>
          <w:tab w:val="right" w:pos="7497"/>
        </w:tabs>
        <w:bidi/>
        <w:jc w:val="both"/>
        <w:rPr>
          <w:rFonts w:cs="Guttman Drogolin"/>
          <w:rtl/>
          <w:lang w:bidi="he-IL"/>
        </w:rPr>
      </w:pPr>
      <w:r w:rsidRPr="00882F11">
        <w:rPr>
          <w:rFonts w:cs="Guttman Drogolin" w:hint="cs"/>
          <w:rtl/>
          <w:lang w:bidi="he-IL"/>
        </w:rPr>
        <w:t xml:space="preserve">ונראה לבאר את זה קצת יותר. דהנה עד כמה שאין ראי' מן הגמ' שעירוי כלי </w:t>
      </w:r>
      <w:r w:rsidR="00EB5CE7" w:rsidRPr="00882F11">
        <w:rPr>
          <w:rFonts w:cs="Guttman Drogolin" w:hint="cs"/>
          <w:rtl/>
          <w:lang w:bidi="he-IL"/>
        </w:rPr>
        <w:t>ראשון</w:t>
      </w:r>
      <w:r w:rsidRPr="00882F11">
        <w:rPr>
          <w:rFonts w:cs="Guttman Drogolin" w:hint="cs"/>
          <w:rtl/>
          <w:lang w:bidi="he-IL"/>
        </w:rPr>
        <w:t xml:space="preserve"> מבשל כדי קליפה</w:t>
      </w:r>
      <w:r w:rsidR="00EB5CE7" w:rsidRPr="00882F11">
        <w:rPr>
          <w:rFonts w:cs="Guttman Drogolin" w:hint="cs"/>
          <w:rtl/>
          <w:lang w:bidi="he-IL"/>
        </w:rPr>
        <w:t>, ושיש לחלק בין העברת טעם לבישול, מה"ת לרשב"ם לדייק מן הסוגיא דעירוי כלי ראשון ככלי שני משום דתתאה גבר, הא הסוגיא לא מיירי בבישול אלא בהעברת הטעם. והפשוט בזה שזה הי' פשוט שאם התחתון חם והעליון צונן שיש כאן בישול, דכשגובר החם על הצונן נחשב דבר זה כבישול, ומשו"ה בכה"ג אליבא דשמואל לא סגי לן בקליפה. אבל באופן שאין החם גובר על הצונן, אין כאן מעשה בישול, אבל מ"מ איכא העברת טעם.</w:t>
      </w:r>
    </w:p>
    <w:p w:rsidR="00DF4F40" w:rsidRPr="00882F11" w:rsidRDefault="00EB5CE7" w:rsidP="00DF4F40">
      <w:pPr>
        <w:tabs>
          <w:tab w:val="right" w:pos="7497"/>
        </w:tabs>
        <w:bidi/>
        <w:jc w:val="both"/>
        <w:rPr>
          <w:rFonts w:cs="Guttman Drogolin"/>
          <w:rtl/>
          <w:lang w:bidi="he-IL"/>
        </w:rPr>
      </w:pPr>
      <w:r w:rsidRPr="00882F11">
        <w:rPr>
          <w:rFonts w:cs="Guttman Drogolin" w:hint="cs"/>
          <w:rtl/>
          <w:lang w:bidi="he-IL"/>
        </w:rPr>
        <w:t>ובעצם החידוש של הש"ך (וכן מבואר בנו"כ ממהרש"ל) דעירוי אין לו כח להבליע ולהפליט כא'</w:t>
      </w:r>
      <w:r w:rsidR="00174F43" w:rsidRPr="00882F11">
        <w:rPr>
          <w:rFonts w:cs="Guttman Drogolin" w:hint="cs"/>
          <w:rtl/>
          <w:lang w:bidi="he-IL"/>
        </w:rPr>
        <w:t>, האריך היד יהודה</w:t>
      </w:r>
      <w:r w:rsidR="0048749F" w:rsidRPr="00882F11">
        <w:rPr>
          <w:rFonts w:cs="Guttman Drogolin" w:hint="cs"/>
          <w:rtl/>
          <w:lang w:bidi="he-IL"/>
        </w:rPr>
        <w:t xml:space="preserve"> (ס"ק י')</w:t>
      </w:r>
      <w:r w:rsidR="00174F43" w:rsidRPr="00882F11">
        <w:rPr>
          <w:rFonts w:cs="Guttman Drogolin" w:hint="cs"/>
          <w:rtl/>
          <w:lang w:bidi="he-IL"/>
        </w:rPr>
        <w:t xml:space="preserve"> לדחות שאין זה נכון</w:t>
      </w:r>
      <w:r w:rsidR="0048749F" w:rsidRPr="00882F11">
        <w:rPr>
          <w:rFonts w:cs="Guttman Drogolin" w:hint="cs"/>
          <w:rtl/>
          <w:lang w:bidi="he-IL"/>
        </w:rPr>
        <w:t xml:space="preserve">, שכלל זה לא מוזכר בא' מן הראשונים, רק מהרש"ל הוא שסבר דבר זה, והוא יחיד בין כל הראשונים. וראיתי במגי"ס (ס"ק י"ח) שהעיר מזה שהרשב"ם עצמו לא התקשה בדברי הגמ' ולשיטת הש"ך הו"ל לאקשויי. ולדידי לא קשה כ"כ, </w:t>
      </w:r>
      <w:r w:rsidR="0048749F" w:rsidRPr="00882F11">
        <w:rPr>
          <w:rFonts w:cs="Guttman Drogolin" w:hint="cs"/>
          <w:rtl/>
          <w:lang w:bidi="he-IL"/>
        </w:rPr>
        <w:lastRenderedPageBreak/>
        <w:t>דהא עיקר הדין של הגמ' הוא שאין כאן בישול, והמשהו בעלמא אינו אלא משום אדמיקר לי 'בלע', אבל אינו מבליע ומלפיט, כיון שאינו אלא כללא דאדמיקר לי' וכו'. והיד ויהודה סבר שעירוי כלי שני א</w:t>
      </w:r>
      <w:r w:rsidR="00162494" w:rsidRPr="00882F11">
        <w:rPr>
          <w:rFonts w:cs="Guttman Drogolin" w:hint="cs"/>
          <w:rtl/>
          <w:lang w:bidi="he-IL"/>
        </w:rPr>
        <w:t>ינו</w:t>
      </w:r>
      <w:r w:rsidR="00DF4F40" w:rsidRPr="00882F11">
        <w:rPr>
          <w:rFonts w:cs="Guttman Drogolin" w:hint="cs"/>
          <w:rtl/>
          <w:lang w:bidi="he-IL"/>
        </w:rPr>
        <w:t xml:space="preserve"> מבליע ומפליט כלל, והא דאדמיקר לי' בלע הוא דין מיוחד לדבר גוש חם שנפל לתוך משקין. וע' חזו"א סי' ט' ס"ק ד' שתי' באופו אחר, שלעולם בכל הדברים הרי הוא מבליע וגם מפליט כדי קליפה וכנ"ל, הא דהתירו מליגת תרנגולת, היינו משום שגם את הבליעות שע"י עירוי אפשר להוציא ע"י מליחה, רק במקום שהי' בישול ממש יש בליעות שאינו יוצאים. וכה"ג מבואר בר"ן המובא בב"י סי' ס"ח. </w:t>
      </w:r>
      <w:r w:rsidR="0048749F" w:rsidRPr="00882F11">
        <w:rPr>
          <w:rFonts w:cs="Guttman Drogolin" w:hint="cs"/>
          <w:rtl/>
          <w:lang w:bidi="he-IL"/>
        </w:rPr>
        <w:t xml:space="preserve"> </w:t>
      </w:r>
      <w:r w:rsidR="00174F43" w:rsidRPr="00882F11">
        <w:rPr>
          <w:rFonts w:cs="Guttman Drogolin" w:hint="cs"/>
          <w:rtl/>
          <w:lang w:bidi="he-IL"/>
        </w:rPr>
        <w:t xml:space="preserve"> </w:t>
      </w:r>
      <w:r w:rsidRPr="00882F11">
        <w:rPr>
          <w:rFonts w:cs="Guttman Drogolin" w:hint="cs"/>
          <w:rtl/>
          <w:lang w:bidi="he-IL"/>
        </w:rPr>
        <w:t xml:space="preserve">  </w:t>
      </w:r>
      <w:r w:rsidR="00017031" w:rsidRPr="00882F11">
        <w:rPr>
          <w:rFonts w:cs="Guttman Drogolin" w:hint="cs"/>
          <w:rtl/>
          <w:lang w:bidi="he-IL"/>
        </w:rPr>
        <w:t xml:space="preserve"> </w:t>
      </w:r>
    </w:p>
    <w:p w:rsidR="00DF4F40" w:rsidRPr="00882F11" w:rsidRDefault="00DF4F40" w:rsidP="00DF4F40">
      <w:pPr>
        <w:pStyle w:val="Heading1"/>
        <w:bidi/>
        <w:spacing w:before="0" w:line="360" w:lineRule="auto"/>
        <w:jc w:val="center"/>
        <w:rPr>
          <w:rFonts w:cs="Guttman Drogolin"/>
          <w:color w:val="auto"/>
          <w:sz w:val="24"/>
          <w:szCs w:val="24"/>
          <w:u w:val="single"/>
          <w:rtl/>
          <w:lang w:bidi="he-IL"/>
        </w:rPr>
      </w:pPr>
      <w:bookmarkStart w:id="415" w:name="_Toc496175662"/>
      <w:r w:rsidRPr="00882F11">
        <w:rPr>
          <w:rFonts w:cs="Guttman Drogolin" w:hint="cs"/>
          <w:color w:val="auto"/>
          <w:sz w:val="24"/>
          <w:szCs w:val="24"/>
          <w:u w:val="single"/>
          <w:rtl/>
          <w:lang w:bidi="he-IL"/>
        </w:rPr>
        <w:t>כלי שני בהעברת טעם</w:t>
      </w:r>
      <w:bookmarkEnd w:id="415"/>
    </w:p>
    <w:p w:rsidR="006E667C" w:rsidRPr="00882F11" w:rsidRDefault="002B0308" w:rsidP="00762612">
      <w:pPr>
        <w:tabs>
          <w:tab w:val="right" w:pos="7497"/>
        </w:tabs>
        <w:bidi/>
        <w:jc w:val="both"/>
        <w:rPr>
          <w:rFonts w:cs="Guttman Drogolin"/>
          <w:rtl/>
          <w:lang w:bidi="he-IL"/>
        </w:rPr>
      </w:pPr>
      <w:r>
        <w:rPr>
          <w:rFonts w:cs="Guttman Drogolin"/>
          <w:rtl/>
          <w:lang w:bidi="he-IL"/>
        </w:rPr>
        <w:fldChar w:fldCharType="begin"/>
      </w:r>
      <w:r>
        <w:instrText xml:space="preserve"> XE "</w:instrText>
      </w:r>
      <w:r w:rsidRPr="0097244C">
        <w:rPr>
          <w:rFonts w:hint="cs"/>
          <w:rtl/>
          <w:lang w:bidi="he-IL"/>
        </w:rPr>
        <w:instrText>העברת טעם</w:instrText>
      </w:r>
      <w:r w:rsidRPr="0097244C">
        <w:rPr>
          <w:rtl/>
        </w:rPr>
        <w:instrText>:</w:instrText>
      </w:r>
      <w:r w:rsidRPr="0097244C">
        <w:rPr>
          <w:rFonts w:hint="cs"/>
          <w:rtl/>
          <w:lang w:bidi="he-IL"/>
        </w:rPr>
        <w:instrText>כלי שני</w:instrText>
      </w:r>
      <w:r>
        <w:instrText xml:space="preserve">" </w:instrText>
      </w:r>
      <w:r>
        <w:rPr>
          <w:rFonts w:cs="Guttman Drogolin"/>
          <w:rtl/>
          <w:lang w:bidi="he-IL"/>
        </w:rPr>
        <w:fldChar w:fldCharType="end"/>
      </w:r>
      <w:r w:rsidR="00DF4F40" w:rsidRPr="00882F11">
        <w:rPr>
          <w:rFonts w:cs="Guttman Drogolin" w:hint="cs"/>
          <w:rtl/>
          <w:lang w:bidi="he-IL"/>
        </w:rPr>
        <w:t xml:space="preserve">ברשב"א בתוה"א מבואר שכלי שני ג"כ יכול להבליע. </w:t>
      </w:r>
      <w:r w:rsidR="00762612" w:rsidRPr="00882F11">
        <w:rPr>
          <w:rFonts w:cs="Guttman Drogolin" w:hint="cs"/>
          <w:rtl/>
          <w:lang w:bidi="he-IL"/>
        </w:rPr>
        <w:t xml:space="preserve">והטור נקט שאעפ"כ אינו מבליע יותר מכדי קליפה. וכן נראה להוכיח לכאורה מסוגיית הגמ' שבמס' פסחים, שהרי אפילו בחם לתוך צונן אמרינן דתתאה גבר ואינו מבליע אלא כדי קליפה. וא"כ כל כלי שני הרי נפל חם ע"ג כלי צונן ולכן לא יתכן שיהא יותר מעירוי שהוא בכדי קליפה. וכן באמת קשה אפילו שיהא כדי קליפה, דהא הסברא דכדי קליפה משום דאדמיקר לי' בלע, ולכאורה לית לן דבר זה כשהוא כבר בכלי שני. ומ"מ שיטת מהרש"ל </w:t>
      </w:r>
      <w:r w:rsidR="00DD0E1C" w:rsidRPr="00882F11">
        <w:rPr>
          <w:rFonts w:cs="Guttman Drogolin" w:hint="cs"/>
          <w:rtl/>
          <w:lang w:bidi="he-IL"/>
        </w:rPr>
        <w:t xml:space="preserve">והט"ז </w:t>
      </w:r>
      <w:r w:rsidR="006E667C" w:rsidRPr="00882F11">
        <w:rPr>
          <w:rFonts w:cs="Guttman Drogolin" w:hint="cs"/>
          <w:rtl/>
          <w:lang w:bidi="he-IL"/>
        </w:rPr>
        <w:t>שכלי שני מבליע בכולו בכלי חרס. וכן הביא הש"ך מהב"ח בכל כלי שני. ולכאורה צ"ע מן הסוגיא במס' פסחים.</w:t>
      </w:r>
    </w:p>
    <w:p w:rsidR="00017031" w:rsidRPr="00882F11" w:rsidRDefault="006E667C" w:rsidP="007A707F">
      <w:pPr>
        <w:tabs>
          <w:tab w:val="right" w:pos="7497"/>
        </w:tabs>
        <w:bidi/>
        <w:jc w:val="both"/>
        <w:rPr>
          <w:rFonts w:cs="Guttman Drogolin"/>
          <w:rtl/>
          <w:lang w:bidi="he-IL"/>
        </w:rPr>
      </w:pPr>
      <w:r w:rsidRPr="00882F11">
        <w:rPr>
          <w:rFonts w:cs="Guttman Drogolin" w:hint="cs"/>
          <w:rtl/>
          <w:lang w:bidi="he-IL"/>
        </w:rPr>
        <w:t xml:space="preserve">ויש מבארים שהמהרש"ל </w:t>
      </w:r>
      <w:r w:rsidR="00DD0E1C" w:rsidRPr="00882F11">
        <w:rPr>
          <w:rFonts w:cs="Guttman Drogolin" w:hint="cs"/>
          <w:rtl/>
          <w:lang w:bidi="he-IL"/>
        </w:rPr>
        <w:t xml:space="preserve">הזה (וסייעתו) </w:t>
      </w:r>
      <w:r w:rsidRPr="00882F11">
        <w:rPr>
          <w:rFonts w:cs="Guttman Drogolin" w:hint="cs"/>
          <w:rtl/>
          <w:lang w:bidi="he-IL"/>
        </w:rPr>
        <w:t>לשיטתו שסובר שהדין דתתאה אן עילאה גבר לא נאמר בחם ע"ג כלים, וכן הבאנו לעיל מפסקי הרי"ד. ו</w:t>
      </w:r>
      <w:r w:rsidR="00100B36" w:rsidRPr="00882F11">
        <w:rPr>
          <w:rFonts w:cs="Guttman Drogolin" w:hint="cs"/>
          <w:rtl/>
          <w:lang w:bidi="he-IL"/>
        </w:rPr>
        <w:t>בש"ך הארוך הביא לדחות קושיא הנ"ל למהרש"ל לשיטתו, אבל דחה מכח הסוגיא דמס' פסחים, שרצו להוכיח כרב דעילאה גבר מהא דנטף מרוטבו על הרס וחזר אליו ש</w:t>
      </w:r>
      <w:r w:rsidR="006D36C7" w:rsidRPr="00882F11">
        <w:rPr>
          <w:rFonts w:cs="Guttman Drogolin" w:hint="cs"/>
          <w:rtl/>
          <w:lang w:bidi="he-IL"/>
        </w:rPr>
        <w:t xml:space="preserve">צריך ליטול את מקומו, וס"ד דמיירי בחרס צונן. ולכאורה לפי שיטת הרי"ד ורש"ל שבכלים לא אמרינן תתאה או ילאה גבר, הא גם לשמואל ניחא. ובאמת </w:t>
      </w:r>
      <w:r w:rsidR="006D36C7" w:rsidRPr="00882F11">
        <w:rPr>
          <w:rFonts w:cs="Guttman Drogolin" w:hint="cs"/>
          <w:rtl/>
          <w:lang w:bidi="he-IL"/>
        </w:rPr>
        <w:lastRenderedPageBreak/>
        <w:t>קושיא זו כבר התייחס אליו בפסקי הרי"ד שם</w:t>
      </w:r>
      <w:r w:rsidR="004555BE" w:rsidRPr="00882F11">
        <w:rPr>
          <w:rFonts w:cs="Guttman Drogolin" w:hint="cs"/>
          <w:rtl/>
          <w:lang w:bidi="he-IL"/>
        </w:rPr>
        <w:t xml:space="preserve"> דהא דלא מהני כללא דתתאה גבר לקרר כשנפל על כלים, היינו לענין בליעה, אבל אין הכלי מתחמם עד כדי כך שיוכל לחמם רוטב לאחר מכן כדי שיהא בישול שלא מצלי אש. וכה"ג כתב ג</w:t>
      </w:r>
      <w:r w:rsidR="007A707F" w:rsidRPr="00882F11">
        <w:rPr>
          <w:rFonts w:cs="Guttman Drogolin" w:hint="cs"/>
          <w:rtl/>
          <w:lang w:bidi="he-IL"/>
        </w:rPr>
        <w:t>ם</w:t>
      </w:r>
      <w:r w:rsidR="004555BE" w:rsidRPr="00882F11">
        <w:rPr>
          <w:rFonts w:cs="Guttman Drogolin" w:hint="cs"/>
          <w:rtl/>
          <w:lang w:bidi="he-IL"/>
        </w:rPr>
        <w:t xml:space="preserve"> בכרו"פ שיישוב הקושיא. ומ"מ החוו"ד (כאן, וסי' צ"א ס"ק ה') כתב טעם נוסף לומר שמבליע בכולו, והוא משום דלא מהני כללא דתתאה או עילאה גבר, אלא לענין היחס בין העליאה לתתאה. ולכן בחם לתוך צונן אליבא דשמואל דסבר תתאה גבר אין התחתון בולע אלא כדי קליפה משום דאדמיקר לי' בלע, אבל העליון נשאר בחמימותו באופן שאם יפול צונן לתוך יהא מבליע. </w:t>
      </w:r>
      <w:r w:rsidR="00100B36" w:rsidRPr="00882F11">
        <w:rPr>
          <w:rFonts w:cs="Guttman Drogolin" w:hint="cs"/>
          <w:rtl/>
          <w:lang w:bidi="he-IL"/>
        </w:rPr>
        <w:t xml:space="preserve">  </w:t>
      </w:r>
      <w:r w:rsidRPr="00882F11">
        <w:rPr>
          <w:rFonts w:cs="Guttman Drogolin" w:hint="cs"/>
          <w:rtl/>
          <w:lang w:bidi="he-IL"/>
        </w:rPr>
        <w:t xml:space="preserve"> </w:t>
      </w:r>
      <w:r w:rsidR="00017031" w:rsidRPr="00882F11">
        <w:rPr>
          <w:rFonts w:cs="Guttman Drogolin" w:hint="cs"/>
          <w:rtl/>
          <w:lang w:bidi="he-IL"/>
        </w:rPr>
        <w:t xml:space="preserve">  </w:t>
      </w:r>
    </w:p>
    <w:p w:rsidR="004555BE" w:rsidRPr="00882F11" w:rsidRDefault="004555BE" w:rsidP="00B012CA">
      <w:pPr>
        <w:tabs>
          <w:tab w:val="right" w:pos="7497"/>
        </w:tabs>
        <w:bidi/>
        <w:jc w:val="both"/>
        <w:rPr>
          <w:rFonts w:cs="Guttman Drogolin"/>
          <w:rtl/>
          <w:lang w:bidi="he-IL"/>
        </w:rPr>
      </w:pPr>
      <w:r w:rsidRPr="00882F11">
        <w:rPr>
          <w:rFonts w:cs="Guttman Drogolin" w:hint="cs"/>
          <w:rtl/>
          <w:lang w:bidi="he-IL"/>
        </w:rPr>
        <w:t>ולדינא הנה השו"ע הביא ב'</w:t>
      </w:r>
      <w:r w:rsidR="00DD0E1C" w:rsidRPr="00882F11">
        <w:rPr>
          <w:rFonts w:cs="Guttman Drogolin" w:hint="cs"/>
          <w:rtl/>
          <w:lang w:bidi="he-IL"/>
        </w:rPr>
        <w:t xml:space="preserve"> דעות בכלי שני אם מבליע כדי קליפ</w:t>
      </w:r>
      <w:r w:rsidRPr="00882F11">
        <w:rPr>
          <w:rFonts w:cs="Guttman Drogolin" w:hint="cs"/>
          <w:rtl/>
          <w:lang w:bidi="he-IL"/>
        </w:rPr>
        <w:t xml:space="preserve">ה או אינו מבליע כלל. ודעתו להחמיר לכתחילה כשיטה המחמירה ולהקל בדיעבד דכלי שני אינו מבליע. </w:t>
      </w:r>
      <w:r w:rsidR="002A27D2" w:rsidRPr="00882F11">
        <w:rPr>
          <w:rFonts w:cs="Guttman Drogolin" w:hint="cs"/>
          <w:rtl/>
          <w:lang w:bidi="he-IL"/>
        </w:rPr>
        <w:t>אמנם באו"ח</w:t>
      </w:r>
      <w:r w:rsidR="002A27D2" w:rsidRPr="00882F11">
        <w:rPr>
          <w:rFonts w:cs="Guttman Drogolin"/>
          <w:rtl/>
          <w:lang w:bidi="he-IL"/>
        </w:rPr>
        <w:t xml:space="preserve"> סי' תנ"א סע' ה' כתב המחבר שכלים שתשמישתן בכלי שני צריכים הכשר בכלי שני וא"כ חזינן שבולע בכלי שני. ובש"ך (שם ס"ק ד') ביאר דהוי חומרת חמץ. וברע"א</w:t>
      </w:r>
      <w:r w:rsidR="002A27D2" w:rsidRPr="00882F11">
        <w:rPr>
          <w:rFonts w:cs="Guttman Drogolin" w:hint="cs"/>
          <w:rtl/>
          <w:lang w:bidi="he-IL"/>
        </w:rPr>
        <w:t xml:space="preserve"> כאן</w:t>
      </w:r>
      <w:r w:rsidR="002A27D2" w:rsidRPr="00882F11">
        <w:rPr>
          <w:rFonts w:cs="Guttman Drogolin"/>
          <w:rtl/>
          <w:lang w:bidi="he-IL"/>
        </w:rPr>
        <w:t xml:space="preserve"> הביא מן המנח"י (כלל ל"ג ס"ק ג') שכיון שיכול להכשירו הרי זה כלכתחילה ולכן חייבים להכשירו (ונפ"מ בין התירוצים בכלי חרס בפסח שבלע ע"י כלי שני אם מותר או לא</w:t>
      </w:r>
      <w:r w:rsidR="00B012CA" w:rsidRPr="00882F11">
        <w:rPr>
          <w:rFonts w:cs="Guttman Drogolin" w:hint="cs"/>
          <w:rtl/>
          <w:lang w:bidi="he-IL"/>
        </w:rPr>
        <w:t>, ובש"ך שם העיר שברמ"א ברסי תנ"א משמע להחמיר בכ"ש אפילו בכלי חרס, וע' במנח"י מה שדקדק ההיפך לשיטת המחבר</w:t>
      </w:r>
      <w:r w:rsidR="002A27D2" w:rsidRPr="00882F11">
        <w:rPr>
          <w:rFonts w:cs="Guttman Drogolin"/>
          <w:rtl/>
          <w:lang w:bidi="he-IL"/>
        </w:rPr>
        <w:t>)</w:t>
      </w:r>
      <w:r w:rsidR="002A27D2" w:rsidRPr="00882F11">
        <w:rPr>
          <w:rFonts w:cs="Guttman Drogolin" w:hint="cs"/>
          <w:rtl/>
          <w:lang w:bidi="he-IL"/>
        </w:rPr>
        <w:t xml:space="preserve">. </w:t>
      </w:r>
      <w:r w:rsidR="00DD0E1C" w:rsidRPr="00882F11">
        <w:rPr>
          <w:rFonts w:cs="Guttman Drogolin" w:hint="cs"/>
          <w:rtl/>
          <w:lang w:bidi="he-IL"/>
        </w:rPr>
        <w:t>ו</w:t>
      </w:r>
      <w:r w:rsidR="002A27D2" w:rsidRPr="00882F11">
        <w:rPr>
          <w:rFonts w:cs="Guttman Drogolin" w:hint="cs"/>
          <w:rtl/>
          <w:lang w:bidi="he-IL"/>
        </w:rPr>
        <w:t xml:space="preserve">מ"מ </w:t>
      </w:r>
      <w:r w:rsidR="00DD0E1C" w:rsidRPr="00882F11">
        <w:rPr>
          <w:rFonts w:cs="Guttman Drogolin" w:hint="cs"/>
          <w:rtl/>
          <w:lang w:bidi="he-IL"/>
        </w:rPr>
        <w:t>כתב הש"ך להחמיר ב</w:t>
      </w:r>
      <w:r w:rsidR="002A27D2" w:rsidRPr="00882F11">
        <w:rPr>
          <w:rFonts w:cs="Guttman Drogolin" w:hint="cs"/>
          <w:rtl/>
          <w:lang w:bidi="he-IL"/>
        </w:rPr>
        <w:t>כלי שני</w:t>
      </w:r>
      <w:r w:rsidR="00DD0E1C" w:rsidRPr="00882F11">
        <w:rPr>
          <w:rFonts w:cs="Guttman Drogolin" w:hint="cs"/>
          <w:rtl/>
          <w:lang w:bidi="he-IL"/>
        </w:rPr>
        <w:t xml:space="preserve"> במקום שאין הפסד מרובה. והנ"מ לאסור כדי קליפה, אבל לאסור כולו, להש"ך אין לאסור, אבל היד יהודה כתב להחמיר לאסור גם כולו שלא במקום הפ"מ</w:t>
      </w:r>
      <w:r w:rsidR="007A707F" w:rsidRPr="00882F11">
        <w:rPr>
          <w:rStyle w:val="FootnoteReference"/>
          <w:rFonts w:cs="Guttman Drogolin"/>
          <w:rtl/>
          <w:lang w:bidi="he-IL"/>
        </w:rPr>
        <w:footnoteReference w:id="411"/>
      </w:r>
      <w:r w:rsidR="00DD0E1C" w:rsidRPr="00882F11">
        <w:rPr>
          <w:rFonts w:cs="Guttman Drogolin" w:hint="cs"/>
          <w:rtl/>
          <w:lang w:bidi="he-IL"/>
        </w:rPr>
        <w:t xml:space="preserve"> לחשוש לשיטת הט"ז ומהרש"ל.</w:t>
      </w:r>
    </w:p>
    <w:p w:rsidR="00017031" w:rsidRPr="00882F11" w:rsidRDefault="00017031" w:rsidP="00017031">
      <w:pPr>
        <w:pStyle w:val="Heading1"/>
        <w:bidi/>
        <w:spacing w:before="0" w:line="360" w:lineRule="auto"/>
        <w:jc w:val="center"/>
        <w:rPr>
          <w:rFonts w:cs="Guttman Drogolin"/>
          <w:color w:val="auto"/>
          <w:sz w:val="24"/>
          <w:szCs w:val="24"/>
          <w:u w:val="single"/>
          <w:rtl/>
          <w:lang w:bidi="he-IL"/>
        </w:rPr>
      </w:pPr>
      <w:bookmarkStart w:id="416" w:name="_Toc496175663"/>
      <w:r w:rsidRPr="00882F11">
        <w:rPr>
          <w:rFonts w:cs="Guttman Drogolin" w:hint="cs"/>
          <w:color w:val="auto"/>
          <w:sz w:val="24"/>
          <w:szCs w:val="24"/>
          <w:u w:val="single"/>
          <w:rtl/>
          <w:lang w:bidi="he-IL"/>
        </w:rPr>
        <w:t>עוד בדבר גוש</w:t>
      </w:r>
      <w:bookmarkEnd w:id="416"/>
    </w:p>
    <w:p w:rsidR="00F24A1A" w:rsidRPr="00882F11" w:rsidRDefault="002B0308" w:rsidP="00F24A1A">
      <w:pPr>
        <w:tabs>
          <w:tab w:val="right" w:pos="7497"/>
        </w:tabs>
        <w:bidi/>
        <w:jc w:val="both"/>
        <w:rPr>
          <w:rFonts w:cs="Guttman Drogolin"/>
          <w:rtl/>
          <w:lang w:bidi="he-IL"/>
        </w:rPr>
      </w:pPr>
      <w:r>
        <w:rPr>
          <w:rFonts w:cs="Guttman Drogolin"/>
          <w:rtl/>
          <w:lang w:bidi="he-IL"/>
        </w:rPr>
        <w:fldChar w:fldCharType="begin"/>
      </w:r>
      <w:r>
        <w:instrText xml:space="preserve"> XE "</w:instrText>
      </w:r>
      <w:r w:rsidRPr="00AD57AE">
        <w:rPr>
          <w:rFonts w:hint="cs"/>
          <w:rtl/>
          <w:lang w:bidi="he-IL"/>
        </w:rPr>
        <w:instrText>העברת טעם</w:instrText>
      </w:r>
      <w:r w:rsidRPr="00AD57AE">
        <w:rPr>
          <w:rtl/>
        </w:rPr>
        <w:instrText>:</w:instrText>
      </w:r>
      <w:r w:rsidRPr="00AD57AE">
        <w:rPr>
          <w:rFonts w:hint="cs"/>
          <w:rtl/>
          <w:lang w:bidi="he-IL"/>
        </w:rPr>
        <w:instrText>דבר גוש בכלי שני</w:instrText>
      </w:r>
      <w:r>
        <w:instrText xml:space="preserve">" </w:instrText>
      </w:r>
      <w:r>
        <w:rPr>
          <w:rFonts w:cs="Guttman Drogolin"/>
          <w:rtl/>
          <w:lang w:bidi="he-IL"/>
        </w:rPr>
        <w:fldChar w:fldCharType="end"/>
      </w:r>
      <w:r w:rsidR="009B4BA4" w:rsidRPr="00882F11">
        <w:rPr>
          <w:rFonts w:cs="Guttman Drogolin" w:hint="cs"/>
          <w:rtl/>
          <w:lang w:bidi="he-IL"/>
        </w:rPr>
        <w:t xml:space="preserve">הש"ך כאן בס"ק ח' הביא להחמיר בדבר גוש בכלי שני. וביאר הטעם משום שטעם להקל בכלי שני משום שהדפנות מקררות, וזה לא שייך בדבר גוש. ולכאורה יש ראי' שגם </w:t>
      </w:r>
      <w:r w:rsidR="00F24A1A" w:rsidRPr="00882F11">
        <w:rPr>
          <w:rFonts w:cs="Guttman Drogolin" w:hint="cs"/>
          <w:rtl/>
          <w:lang w:bidi="he-IL"/>
        </w:rPr>
        <w:t xml:space="preserve">דבר גוש אינו מתבשל </w:t>
      </w:r>
      <w:r w:rsidR="00F24A1A" w:rsidRPr="00882F11">
        <w:rPr>
          <w:rFonts w:cs="Guttman Drogolin" w:hint="cs"/>
          <w:rtl/>
          <w:lang w:bidi="he-IL"/>
        </w:rPr>
        <w:lastRenderedPageBreak/>
        <w:t>בכלי שני מגמ' דמס' חולין דף ק"ד ע"ב, וכן הביא הגר"א. ויש מחלקים בין העברת טעם לבישול, וכן נקט החוו"ד. אלא שאפילו אם נחלק בין מעשה בישול (ששם מיירי באיסור בישול בב"ח) להעברת טעם, מ"מ אין לבאר הטעם להחמיר בדבר גוש בכלי שני משום דליכא דפנות המקררות דהא סברא זו נזכר לענין בישול, ואם עכ"פ ליכא מעשה בישול בדבר גוש איזה ראי' יש. וכן מבואר במג"א ומ"ב להחמיר בדבר גוש בכלי שני גם בבישול דשבת. וצריך עיון מהו החילוק בין גמ' הנ"ל לבעלמא.</w:t>
      </w:r>
    </w:p>
    <w:p w:rsidR="00B923BA" w:rsidRPr="00882F11" w:rsidRDefault="00F24A1A" w:rsidP="00F24A1A">
      <w:pPr>
        <w:tabs>
          <w:tab w:val="right" w:pos="7497"/>
        </w:tabs>
        <w:bidi/>
        <w:jc w:val="both"/>
        <w:rPr>
          <w:rFonts w:cs="Guttman Drogolin"/>
          <w:rtl/>
          <w:lang w:bidi="he-IL"/>
        </w:rPr>
      </w:pPr>
      <w:r w:rsidRPr="00882F11">
        <w:rPr>
          <w:rFonts w:cs="Guttman Drogolin" w:hint="cs"/>
          <w:rtl/>
          <w:lang w:bidi="he-IL"/>
        </w:rPr>
        <w:t xml:space="preserve">ולענין הסברא לומר שיש לו הקולא של כלי שני י"ל דאע"ג דליכא דפנות המקררות, מ"מ התחתית של הכלי מקרר. ועוד י"ל שרק ביחד עם דפנות המחממות יש חומרא של של כלי ראשון שאינו ע"ג האש, אבל דפנות המקררות או"ד ליכא דפנות לא הוי ככלי ראשון. וכן לכאורה מוכח בכמה דוכתי. חדא שהרי שיטת ר' יונה שאסור לשפוך מכלי ראשון לתוך כלי ראשון אחר בשבת משום שי"א דעירוי כלי ראשון ככלי שני, ובזה שמהפכו מכלי ראשון לכלי שני ע"י זה שמכניסו לכלי השני עובר משום מלאכת מבשל. וצ"ע איך נהפך לכלי שני הא ליכא תחתון המקרר. וכה"ג מבואר גם בתוס' </w:t>
      </w:r>
      <w:r w:rsidR="00B923BA" w:rsidRPr="00882F11">
        <w:rPr>
          <w:rFonts w:cs="Guttman Drogolin" w:hint="cs"/>
          <w:rtl/>
          <w:lang w:bidi="he-IL"/>
        </w:rPr>
        <w:t>במס' שבת מ"ב ע"ב שהוכיחו דעירוי אינו ככלי ראשון ממש מהא דלא התירו להכשיר ע"י גדנפא בסוף מס' ע"ז אלא משום דכבולעו בניצוצות כך פולטו בניצוצות. והקשה רע"א דהא התם הכלי חם וליכא למימר תתאה גבר ולכן מ"מ קשה למה לא מהני עירוי. אבל אי אמרינן דכיון דליכא דפנות המחממות הוי שני לכאורה ניחא.</w:t>
      </w:r>
      <w:r w:rsidRPr="00882F11">
        <w:rPr>
          <w:rFonts w:cs="Guttman Drogolin" w:hint="cs"/>
          <w:rtl/>
          <w:lang w:bidi="he-IL"/>
        </w:rPr>
        <w:t xml:space="preserve"> </w:t>
      </w:r>
    </w:p>
    <w:p w:rsidR="008F0256" w:rsidRPr="00882F11" w:rsidRDefault="00B923BA" w:rsidP="00B923BA">
      <w:pPr>
        <w:tabs>
          <w:tab w:val="right" w:pos="7497"/>
        </w:tabs>
        <w:bidi/>
        <w:jc w:val="both"/>
        <w:rPr>
          <w:rFonts w:cs="Guttman Drogolin"/>
          <w:rtl/>
          <w:lang w:bidi="he-IL"/>
        </w:rPr>
      </w:pPr>
      <w:r w:rsidRPr="00882F11">
        <w:rPr>
          <w:rFonts w:cs="Guttman Drogolin" w:hint="cs"/>
          <w:rtl/>
          <w:lang w:bidi="he-IL"/>
        </w:rPr>
        <w:t xml:space="preserve">ויל"ע מה הדין בדבר גוש המונח בתוך משקין. ולכאורה בזה שפיר י"ל שדינו </w:t>
      </w:r>
      <w:r w:rsidR="00C77E1C" w:rsidRPr="00882F11">
        <w:rPr>
          <w:rFonts w:cs="Guttman Drogolin" w:hint="cs"/>
          <w:rtl/>
          <w:lang w:bidi="he-IL"/>
        </w:rPr>
        <w:t xml:space="preserve">דמהני הדפנות המקררות לתת גם לגוש שבתוכו דין כלי שני, דמאי שנא תוך קערה שכולו משקיו לדבר גוש שבתוך קערה של משקין. </w:t>
      </w:r>
      <w:r w:rsidR="002A3BC6" w:rsidRPr="00882F11">
        <w:rPr>
          <w:rFonts w:cs="Guttman Drogolin" w:hint="cs"/>
          <w:rtl/>
          <w:lang w:bidi="he-IL"/>
        </w:rPr>
        <w:t xml:space="preserve">וכן באמת נקט בסולת למנחה מובא בפת"ש סי' צ"ד ס"ק ז'. </w:t>
      </w:r>
      <w:r w:rsidR="00C77E1C" w:rsidRPr="00882F11">
        <w:rPr>
          <w:rFonts w:cs="Guttman Drogolin" w:hint="cs"/>
          <w:rtl/>
          <w:lang w:bidi="he-IL"/>
        </w:rPr>
        <w:t>אמנם לכאורה היא גופא קשיא</w:t>
      </w:r>
      <w:r w:rsidR="0037758D" w:rsidRPr="00882F11">
        <w:rPr>
          <w:rFonts w:cs="Guttman Drogolin" w:hint="cs"/>
          <w:rtl/>
          <w:lang w:bidi="he-IL"/>
        </w:rPr>
        <w:t xml:space="preserve">, למה יש לתוך של </w:t>
      </w:r>
      <w:r w:rsidR="0037758D" w:rsidRPr="00882F11">
        <w:rPr>
          <w:rFonts w:cs="Guttman Drogolin" w:hint="cs"/>
          <w:rtl/>
          <w:lang w:bidi="he-IL"/>
        </w:rPr>
        <w:lastRenderedPageBreak/>
        <w:t xml:space="preserve">הקערה ג"כ דין כלי שני כיון שאינו נוגע לדפנות המקררות. ולכאורה התשובה </w:t>
      </w:r>
      <w:r w:rsidR="002A3BC6" w:rsidRPr="00882F11">
        <w:rPr>
          <w:rFonts w:cs="Guttman Drogolin" w:hint="cs"/>
          <w:rtl/>
          <w:lang w:bidi="he-IL"/>
        </w:rPr>
        <w:t>דכיון שטבע המשקין להתערב אמרינן שכל המשקין מושפעין מן הדפנות המקררות. ולכן שפיר י"ל דהנ"ת משקין, אבל בגוש לתוך משקין ליכא למימר הכי ולכן עדיין יש לדבר גוש דין כלי ראשון. וע' ביד יהודה ס"ק י"ד.</w:t>
      </w:r>
      <w:r w:rsidR="00C77E1C" w:rsidRPr="00882F11">
        <w:rPr>
          <w:rFonts w:cs="Guttman Drogolin" w:hint="cs"/>
          <w:rtl/>
          <w:lang w:bidi="he-IL"/>
        </w:rPr>
        <w:t xml:space="preserve">  </w:t>
      </w:r>
    </w:p>
    <w:p w:rsidR="00017031" w:rsidRPr="00882F11" w:rsidRDefault="008F0256" w:rsidP="002A27D2">
      <w:pPr>
        <w:tabs>
          <w:tab w:val="right" w:pos="7497"/>
        </w:tabs>
        <w:bidi/>
        <w:jc w:val="both"/>
        <w:rPr>
          <w:rFonts w:cs="Guttman Drogolin"/>
          <w:rtl/>
          <w:lang w:bidi="he-IL"/>
        </w:rPr>
      </w:pPr>
      <w:r w:rsidRPr="00882F11">
        <w:rPr>
          <w:rFonts w:cs="Guttman Drogolin" w:hint="cs"/>
          <w:rtl/>
          <w:lang w:bidi="he-IL"/>
        </w:rPr>
        <w:t>ו</w:t>
      </w:r>
      <w:r w:rsidR="002A27D2" w:rsidRPr="00882F11">
        <w:rPr>
          <w:rFonts w:cs="Guttman Drogolin" w:hint="cs"/>
          <w:rtl/>
          <w:lang w:bidi="he-IL"/>
        </w:rPr>
        <w:t xml:space="preserve">שם בחי' הרשב"א הוכיח שכלי שני בולע מבית השחיטה שבולע. וע' </w:t>
      </w:r>
      <w:r w:rsidRPr="00882F11">
        <w:rPr>
          <w:rFonts w:cs="Guttman Drogolin" w:hint="cs"/>
          <w:rtl/>
          <w:lang w:bidi="he-IL"/>
        </w:rPr>
        <w:t>בביאור הגר"</w:t>
      </w:r>
      <w:r w:rsidR="002A27D2" w:rsidRPr="00882F11">
        <w:rPr>
          <w:rFonts w:cs="Guttman Drogolin" w:hint="cs"/>
          <w:rtl/>
          <w:lang w:bidi="he-IL"/>
        </w:rPr>
        <w:t xml:space="preserve">א שדחה דשאני התם דאיכא נמי דוחקא דסכינא. ומ"מ יוצא לפי דבריו שאפילו למקילין בכלי שני אין להקל כשיש גם דוחקא דסכינא. </w:t>
      </w:r>
      <w:r w:rsidR="002A27D2" w:rsidRPr="00882F11">
        <w:rPr>
          <w:rFonts w:cs="Guttman Drogolin"/>
          <w:rtl/>
          <w:lang w:bidi="he-IL"/>
        </w:rPr>
        <w:t>אמנם ע</w:t>
      </w:r>
      <w:r w:rsidR="002A27D2" w:rsidRPr="00882F11">
        <w:rPr>
          <w:rFonts w:cs="Guttman Drogolin" w:hint="cs"/>
          <w:rtl/>
          <w:lang w:bidi="he-IL"/>
        </w:rPr>
        <w:t>'</w:t>
      </w:r>
      <w:r w:rsidR="002A27D2" w:rsidRPr="00882F11">
        <w:rPr>
          <w:rFonts w:cs="Guttman Drogolin"/>
          <w:rtl/>
          <w:lang w:bidi="he-IL"/>
        </w:rPr>
        <w:t xml:space="preserve"> בסי' ק"ה סע' ז' ברע"א מתורת חטאת שלא אסר אפי' ע"י דוחקא ודלא כגר"א</w:t>
      </w:r>
      <w:r w:rsidR="002A27D2" w:rsidRPr="00882F11">
        <w:rPr>
          <w:rFonts w:cs="Guttman Drogolin" w:hint="cs"/>
          <w:rtl/>
          <w:lang w:bidi="he-IL"/>
        </w:rPr>
        <w:t>. ולשיטתו אולי איכא למימר שהרי לשיטת התוס' אין ראי' כלל דהא ענין כלי ראשון אינו משום היותו חם או קר, רק משום שהדפנות אינם מקררות, וא"כ בית השחיטה יהא לו דין כלי ראשון. ויל"ע בזה.</w:t>
      </w:r>
      <w:r w:rsidR="00F24A1A" w:rsidRPr="00882F11">
        <w:rPr>
          <w:rFonts w:cs="Guttman Drogolin" w:hint="cs"/>
          <w:rtl/>
          <w:lang w:bidi="he-IL"/>
        </w:rPr>
        <w:t xml:space="preserve"> </w:t>
      </w:r>
    </w:p>
    <w:p w:rsidR="00017031" w:rsidRPr="00882F11" w:rsidRDefault="00017031" w:rsidP="00017031">
      <w:pPr>
        <w:pStyle w:val="Heading1"/>
        <w:bidi/>
        <w:spacing w:before="0" w:line="360" w:lineRule="auto"/>
        <w:jc w:val="center"/>
        <w:rPr>
          <w:rFonts w:cs="Guttman Drogolin"/>
          <w:color w:val="auto"/>
          <w:sz w:val="24"/>
          <w:szCs w:val="24"/>
          <w:u w:val="single"/>
          <w:rtl/>
          <w:lang w:bidi="he-IL"/>
        </w:rPr>
      </w:pPr>
      <w:bookmarkStart w:id="417" w:name="_Toc496175664"/>
      <w:r w:rsidRPr="00882F11">
        <w:rPr>
          <w:rFonts w:cs="Guttman Drogolin" w:hint="cs"/>
          <w:color w:val="auto"/>
          <w:sz w:val="24"/>
          <w:szCs w:val="24"/>
          <w:u w:val="single"/>
          <w:rtl/>
          <w:lang w:bidi="he-IL"/>
        </w:rPr>
        <w:t>בענין שיעור יד סולדת בו</w:t>
      </w:r>
      <w:bookmarkEnd w:id="417"/>
    </w:p>
    <w:p w:rsidR="00017031" w:rsidRPr="00882F11" w:rsidRDefault="002B0308" w:rsidP="007F65F9">
      <w:pPr>
        <w:tabs>
          <w:tab w:val="right" w:pos="7497"/>
        </w:tabs>
        <w:bidi/>
        <w:jc w:val="both"/>
        <w:rPr>
          <w:rFonts w:cs="Guttman Drogolin"/>
          <w:rtl/>
          <w:lang w:bidi="he-IL"/>
        </w:rPr>
      </w:pPr>
      <w:r>
        <w:rPr>
          <w:rFonts w:cs="Guttman Drogolin"/>
          <w:rtl/>
          <w:lang w:bidi="he-IL"/>
        </w:rPr>
        <w:fldChar w:fldCharType="begin"/>
      </w:r>
      <w:r>
        <w:instrText xml:space="preserve"> XE "</w:instrText>
      </w:r>
      <w:r w:rsidRPr="005F657C">
        <w:rPr>
          <w:rFonts w:hint="cs"/>
          <w:rtl/>
          <w:lang w:bidi="he-IL"/>
        </w:rPr>
        <w:instrText>העברת טעם</w:instrText>
      </w:r>
      <w:r w:rsidRPr="005F657C">
        <w:rPr>
          <w:rtl/>
        </w:rPr>
        <w:instrText>:</w:instrText>
      </w:r>
      <w:r w:rsidRPr="005F657C">
        <w:rPr>
          <w:rFonts w:hint="cs"/>
          <w:rtl/>
          <w:lang w:bidi="he-IL"/>
        </w:rPr>
        <w:instrText>יד סולדת בו - מהו השיעור</w:instrText>
      </w:r>
      <w:r>
        <w:instrText xml:space="preserve">" </w:instrText>
      </w:r>
      <w:r>
        <w:rPr>
          <w:rFonts w:cs="Guttman Drogolin"/>
          <w:rtl/>
          <w:lang w:bidi="he-IL"/>
        </w:rPr>
        <w:fldChar w:fldCharType="end"/>
      </w:r>
      <w:r w:rsidR="002A3BC6" w:rsidRPr="00882F11">
        <w:rPr>
          <w:rFonts w:cs="Guttman Drogolin" w:hint="cs"/>
          <w:rtl/>
          <w:lang w:bidi="he-IL"/>
        </w:rPr>
        <w:t>רוב הפוסקים נק</w:t>
      </w:r>
      <w:r w:rsidR="005D46F1" w:rsidRPr="00882F11">
        <w:rPr>
          <w:rFonts w:cs="Guttman Drogolin" w:hint="cs"/>
          <w:rtl/>
          <w:lang w:bidi="he-IL"/>
        </w:rPr>
        <w:t>ט</w:t>
      </w:r>
      <w:r w:rsidR="002A3BC6" w:rsidRPr="00882F11">
        <w:rPr>
          <w:rFonts w:cs="Guttman Drogolin" w:hint="cs"/>
          <w:rtl/>
          <w:lang w:bidi="he-IL"/>
        </w:rPr>
        <w:t>ו שאין בליעה אלא בחום של היס"ב. ודבר זה בא מן הגמ' במס' שבת דף מ' ע"ב</w:t>
      </w:r>
      <w:r w:rsidR="00C352F9" w:rsidRPr="00882F11">
        <w:rPr>
          <w:rFonts w:cs="Guttman Drogolin" w:hint="cs"/>
          <w:rtl/>
          <w:lang w:bidi="he-IL"/>
        </w:rPr>
        <w:t xml:space="preserve"> שאמנם יש הפשר בפח</w:t>
      </w:r>
      <w:r w:rsidR="005D46F1" w:rsidRPr="00882F11">
        <w:rPr>
          <w:rFonts w:cs="Guttman Drogolin" w:hint="cs"/>
          <w:rtl/>
          <w:lang w:bidi="he-IL"/>
        </w:rPr>
        <w:t>ות משיעור יס"ב, בישול ליכא אלא כשהיד סולדת בו. וכתוב שם בגמ' "</w:t>
      </w:r>
      <w:r w:rsidR="005D46F1" w:rsidRPr="00882F11">
        <w:rPr>
          <w:rFonts w:cs="Guttman Drogolin"/>
          <w:rtl/>
          <w:lang w:bidi="he-IL"/>
        </w:rPr>
        <w:t>והיכי דמי יד סולדת בו אמר רחבא כל שכריסו של תינוק נכוית</w:t>
      </w:r>
      <w:r w:rsidR="005D46F1" w:rsidRPr="00882F11">
        <w:rPr>
          <w:rFonts w:cs="Guttman Drogolin" w:hint="cs"/>
          <w:rtl/>
          <w:lang w:bidi="he-IL"/>
        </w:rPr>
        <w:t>". ולכאורה דרבי הגמ' אינם מובנים, דמאי קא קשיא לי' לגמ' היכי דמי יד סולדת בו, הא יד סולדת בו מבואר שהוא בחום שהיד סולדת בו. ורש"י שם התייחס לקושיא זו וביאר משום ש</w:t>
      </w:r>
      <w:r w:rsidR="005D46F1" w:rsidRPr="00882F11">
        <w:rPr>
          <w:rFonts w:cs="Guttman Drogolin"/>
          <w:rtl/>
          <w:lang w:bidi="he-IL"/>
        </w:rPr>
        <w:t>יש שסולד מרתיחה מועטת, ויש שאינו סולד</w:t>
      </w:r>
      <w:r w:rsidR="005D46F1" w:rsidRPr="00882F11">
        <w:rPr>
          <w:rFonts w:cs="Guttman Drogolin" w:hint="cs"/>
          <w:rtl/>
          <w:lang w:bidi="he-IL"/>
        </w:rPr>
        <w:t xml:space="preserve">. ומשו"ה נקט הבכור שור, יהביאו הפת"ש כאן, שאין לשער חום יס"ב ע"י ניסוי עם היד שלו עם סולדת לאחור או לא, דהא חזיננן שיש שסולדת מרתיחה מועטת ויש שלו. ולכאורה לדבריו צ"ע מהו תשובת הגמ' בכריסו של תינוק נכוית. ולכאורה התשובה שזאת היתה שיעור הידוע להם בזמן הגמ', ועכשיו אינו ידוע ולכן בעינן יצא הספק מליבו. לכאורה הכוונה ביצא </w:t>
      </w:r>
      <w:r w:rsidR="005D46F1" w:rsidRPr="00882F11">
        <w:rPr>
          <w:rFonts w:cs="Guttman Drogolin" w:hint="cs"/>
          <w:rtl/>
          <w:lang w:bidi="he-IL"/>
        </w:rPr>
        <w:lastRenderedPageBreak/>
        <w:t>הספק מליבו היינו שבטוח שאין לך אדם שסולד מחום כזה. ובאמת לולא דבריו הו"א שעיקר אופן המדידה בידיו</w:t>
      </w:r>
      <w:r w:rsidR="00CF37B1" w:rsidRPr="00882F11">
        <w:rPr>
          <w:rStyle w:val="FootnoteReference"/>
          <w:rFonts w:cs="Guttman Drogolin"/>
          <w:rtl/>
          <w:lang w:bidi="he-IL"/>
        </w:rPr>
        <w:footnoteReference w:id="412"/>
      </w:r>
      <w:r w:rsidR="005D46F1" w:rsidRPr="00882F11">
        <w:rPr>
          <w:rFonts w:cs="Guttman Drogolin" w:hint="cs"/>
          <w:rtl/>
          <w:lang w:bidi="he-IL"/>
        </w:rPr>
        <w:t>, ולכן קראוהו כל מקום יס"ב. רק כיון שיש סולד מרתיחה מועטת וכו' אי אפשר לומר שהוא השיעור העיקרי, ולכן מקשה הגמ' מהו עיקר השיעור</w:t>
      </w:r>
      <w:r w:rsidR="007F65F9" w:rsidRPr="00882F11">
        <w:rPr>
          <w:rFonts w:cs="Guttman Drogolin" w:hint="cs"/>
          <w:rtl/>
          <w:lang w:bidi="he-IL"/>
        </w:rPr>
        <w:t>. ולעולם במי שידוע לו שידיו סולדות באופן הרגיל יכול לשער בידיו. והפוסקים דנו בשיניים תותבות אם בולעים ואוסרים מאכל ואסור לאכול בהם בפסח בלי הכשר, ויש המצרפין דבר זה שאינו מסתבר שמה שמכניס בפיו בדרך כלל הוא יס"ב, והוא כמו הניסוי שעל ידי ידיו.</w:t>
      </w:r>
    </w:p>
    <w:p w:rsidR="00F9422D" w:rsidRPr="00882F11" w:rsidRDefault="00F9422D" w:rsidP="00F9422D">
      <w:pPr>
        <w:tabs>
          <w:tab w:val="right" w:pos="7497"/>
        </w:tabs>
        <w:bidi/>
        <w:jc w:val="both"/>
        <w:rPr>
          <w:rFonts w:cs="Times New Roman"/>
          <w:rtl/>
        </w:rPr>
        <w:sectPr w:rsidR="00F9422D" w:rsidRPr="00882F11" w:rsidSect="008520CC">
          <w:type w:val="continuous"/>
          <w:pgSz w:w="11907" w:h="16839" w:code="9"/>
          <w:pgMar w:top="1440" w:right="1440" w:bottom="1440" w:left="1440" w:header="720" w:footer="720" w:gutter="0"/>
          <w:cols w:num="2" w:space="720"/>
          <w:bidi/>
          <w:docGrid w:linePitch="360"/>
        </w:sectPr>
      </w:pPr>
    </w:p>
    <w:p w:rsidR="00F9422D" w:rsidRPr="008520CC" w:rsidRDefault="00F9422D" w:rsidP="00F9422D">
      <w:pPr>
        <w:keepNext/>
        <w:tabs>
          <w:tab w:val="left" w:pos="3818"/>
          <w:tab w:val="center" w:pos="4680"/>
        </w:tabs>
        <w:bidi/>
        <w:jc w:val="center"/>
        <w:rPr>
          <w:rFonts w:cs="Guttman Drogolin"/>
          <w:b/>
          <w:bCs/>
          <w:sz w:val="48"/>
          <w:szCs w:val="48"/>
          <w:rtl/>
          <w:lang w:bidi="he-IL"/>
        </w:rPr>
      </w:pPr>
      <w:r w:rsidRPr="008520CC">
        <w:rPr>
          <w:rFonts w:cs="Guttman Drogolin" w:hint="cs"/>
          <w:b/>
          <w:bCs/>
          <w:sz w:val="48"/>
          <w:szCs w:val="48"/>
          <w:rtl/>
          <w:lang w:bidi="he-IL"/>
        </w:rPr>
        <w:lastRenderedPageBreak/>
        <w:t>שיעור ק"ד</w:t>
      </w:r>
    </w:p>
    <w:p w:rsidR="008520CC" w:rsidRDefault="008520CC" w:rsidP="00F9422D">
      <w:pPr>
        <w:pStyle w:val="Heading1"/>
        <w:bidi/>
        <w:spacing w:before="0" w:line="360" w:lineRule="auto"/>
        <w:jc w:val="center"/>
        <w:rPr>
          <w:rFonts w:cs="Guttman Drogolin"/>
          <w:color w:val="auto"/>
          <w:sz w:val="24"/>
          <w:szCs w:val="24"/>
          <w:u w:val="single"/>
          <w:rtl/>
          <w:lang w:bidi="he-IL"/>
        </w:rPr>
        <w:sectPr w:rsidR="008520CC" w:rsidSect="008520CC">
          <w:headerReference w:type="default" r:id="rId77"/>
          <w:pgSz w:w="11907" w:h="16839" w:code="9"/>
          <w:pgMar w:top="1440" w:right="1440" w:bottom="1440" w:left="1440" w:header="720" w:footer="720" w:gutter="0"/>
          <w:cols w:space="720"/>
          <w:bidi/>
          <w:docGrid w:linePitch="360"/>
        </w:sectPr>
      </w:pPr>
    </w:p>
    <w:p w:rsidR="00F9422D" w:rsidRPr="00882F11" w:rsidRDefault="00F9422D" w:rsidP="00F9422D">
      <w:pPr>
        <w:pStyle w:val="Heading1"/>
        <w:bidi/>
        <w:spacing w:before="0" w:line="360" w:lineRule="auto"/>
        <w:jc w:val="center"/>
        <w:rPr>
          <w:rFonts w:cs="Guttman Drogolin"/>
          <w:color w:val="auto"/>
          <w:sz w:val="24"/>
          <w:szCs w:val="24"/>
          <w:u w:val="single"/>
          <w:rtl/>
          <w:lang w:bidi="he-IL"/>
        </w:rPr>
      </w:pPr>
      <w:bookmarkStart w:id="418" w:name="_Toc496175665"/>
      <w:r w:rsidRPr="00882F11">
        <w:rPr>
          <w:rFonts w:cs="Guttman Drogolin" w:hint="cs"/>
          <w:color w:val="auto"/>
          <w:sz w:val="24"/>
          <w:szCs w:val="24"/>
          <w:u w:val="single"/>
          <w:rtl/>
          <w:lang w:bidi="he-IL"/>
        </w:rPr>
        <w:lastRenderedPageBreak/>
        <w:t>חם בצד צונן מה דינו</w:t>
      </w:r>
      <w:bookmarkEnd w:id="418"/>
    </w:p>
    <w:p w:rsidR="00C1231A" w:rsidRPr="00882F11" w:rsidRDefault="002B0308" w:rsidP="002077A3">
      <w:pPr>
        <w:tabs>
          <w:tab w:val="right" w:pos="7497"/>
        </w:tabs>
        <w:bidi/>
        <w:jc w:val="both"/>
        <w:rPr>
          <w:rFonts w:cs="Guttman Drogolin"/>
          <w:rtl/>
          <w:lang w:bidi="he-IL"/>
        </w:rPr>
      </w:pPr>
      <w:r>
        <w:rPr>
          <w:rFonts w:cs="Guttman Drogolin"/>
          <w:rtl/>
          <w:lang w:bidi="he-IL"/>
        </w:rPr>
        <w:fldChar w:fldCharType="begin"/>
      </w:r>
      <w:r>
        <w:instrText xml:space="preserve"> XE "</w:instrText>
      </w:r>
      <w:r w:rsidRPr="00777F03">
        <w:rPr>
          <w:rFonts w:hint="cs"/>
          <w:rtl/>
          <w:lang w:bidi="he-IL"/>
        </w:rPr>
        <w:instrText>העברת טעם</w:instrText>
      </w:r>
      <w:r w:rsidRPr="00777F03">
        <w:rPr>
          <w:rtl/>
        </w:rPr>
        <w:instrText>:</w:instrText>
      </w:r>
      <w:r w:rsidRPr="00777F03">
        <w:rPr>
          <w:rFonts w:hint="cs"/>
          <w:rtl/>
          <w:lang w:bidi="he-IL"/>
        </w:rPr>
        <w:instrText>חם בצד צונן</w:instrText>
      </w:r>
      <w:r>
        <w:instrText xml:space="preserve">" </w:instrText>
      </w:r>
      <w:r>
        <w:rPr>
          <w:rFonts w:cs="Guttman Drogolin"/>
          <w:rtl/>
          <w:lang w:bidi="he-IL"/>
        </w:rPr>
        <w:fldChar w:fldCharType="end"/>
      </w:r>
      <w:r w:rsidR="002E4ADF" w:rsidRPr="00882F11">
        <w:rPr>
          <w:rFonts w:cs="Guttman Drogolin" w:hint="cs"/>
          <w:rtl/>
          <w:lang w:bidi="he-IL"/>
        </w:rPr>
        <w:t xml:space="preserve">בסוגיא דמס' פסחים דנו בחם עליון וצונן תחתון או חם תחתון וצונן עליון אי אמרינן דתתאה גבר או"ד עילאה גבר. ויל"ע מהו הדין כשיש א' לצד השני. והדרכי משה הביא בשם או"ה הארוך (כלל כ"ט אות ב') שבחם ליד חם אסור כולו אבל אם א' מהם צונן אינו צריך אלא קליפה. ולכאורה טעמא דילי', שבחם לתום חם חזינן דלא איכפת לן איזה מהן התחתון או העליון, וא"כ </w:t>
      </w:r>
      <w:r w:rsidR="00431595" w:rsidRPr="00882F11">
        <w:rPr>
          <w:rFonts w:cs="Guttman Drogolin" w:hint="cs"/>
          <w:rtl/>
          <w:lang w:bidi="he-IL"/>
        </w:rPr>
        <w:t>גם בזה לצד זה יהי' אותו דין. אבל כשא' מהם חם אין כאן לא עילאה חם ולא תתאה חם ולכן אינו אוסר אלא כדי קליפה</w:t>
      </w:r>
      <w:r w:rsidR="00542AFB" w:rsidRPr="00882F11">
        <w:rPr>
          <w:rStyle w:val="FootnoteReference"/>
          <w:rFonts w:cs="Guttman Drogolin"/>
          <w:rtl/>
          <w:lang w:bidi="he-IL"/>
        </w:rPr>
        <w:footnoteReference w:id="413"/>
      </w:r>
      <w:r w:rsidR="00431595" w:rsidRPr="00882F11">
        <w:rPr>
          <w:rFonts w:cs="Guttman Drogolin" w:hint="cs"/>
          <w:rtl/>
          <w:lang w:bidi="he-IL"/>
        </w:rPr>
        <w:t xml:space="preserve">. </w:t>
      </w:r>
      <w:r w:rsidR="00785ECB" w:rsidRPr="00882F11">
        <w:rPr>
          <w:rFonts w:cs="Guttman Drogolin" w:hint="cs"/>
          <w:rtl/>
          <w:lang w:bidi="he-IL"/>
        </w:rPr>
        <w:t xml:space="preserve">ובש"ך ס"ק ט' הביא מהגהות סמ"ק שאפילו בחם ליד חם אינו צריך אלא קליפה. והביאור בדבריו מתבאר שם </w:t>
      </w:r>
      <w:r w:rsidR="00785ECB" w:rsidRPr="00882F11">
        <w:rPr>
          <w:rFonts w:cs="Guttman Drogolin"/>
          <w:rtl/>
          <w:lang w:bidi="he-IL"/>
        </w:rPr>
        <w:t>דשאני חם ע"ג חם שיש לכה"ג עילאה חם למ"ד עילאה גבר, ותתאה חם למ"ד תתאה גבר, אבל בדליכא לא תחתון חם ולא עליון חם לעולם אינו צריך אלא קליפה</w:t>
      </w:r>
      <w:r w:rsidR="00785ECB" w:rsidRPr="00882F11">
        <w:rPr>
          <w:rStyle w:val="FootnoteReference"/>
          <w:rFonts w:cs="Guttman Drogolin"/>
          <w:rtl/>
          <w:lang w:bidi="he-IL"/>
        </w:rPr>
        <w:footnoteReference w:id="414"/>
      </w:r>
      <w:r w:rsidR="00785ECB" w:rsidRPr="00882F11">
        <w:rPr>
          <w:rFonts w:cs="Guttman Drogolin"/>
          <w:rtl/>
          <w:lang w:bidi="he-IL"/>
        </w:rPr>
        <w:t xml:space="preserve">. </w:t>
      </w:r>
      <w:r w:rsidR="00FE769A" w:rsidRPr="00882F11">
        <w:rPr>
          <w:rFonts w:cs="Guttman Drogolin" w:hint="cs"/>
          <w:rtl/>
          <w:lang w:bidi="he-IL"/>
        </w:rPr>
        <w:t>ועוד הביא שם הש"ך בשם רש"ל שבצונן ליד חם הדבר תלוי איזה מאכל הוא חם, ואם האיסור הוא החם הרי זה אוסר בכולו אע"פ שההיתר צונן, וכמו שהדין כן במליחה וכמו שנראה בהמשך בס"ד. ובחי' רע"א הביא מחי' הר"ן (דף קי"ג ע"א) שלמ"</w:t>
      </w:r>
      <w:r w:rsidR="00704EE9" w:rsidRPr="00882F11">
        <w:rPr>
          <w:rFonts w:cs="Guttman Drogolin" w:hint="cs"/>
          <w:rtl/>
          <w:lang w:bidi="he-IL"/>
        </w:rPr>
        <w:t>ד עילאה גבר, עילאה לאו דוקא וה"ה אם הם זה אצל זה, ולא בא אלא לאפוקי אם החם הוא התתאה, וכ</w:t>
      </w:r>
      <w:r w:rsidR="002077A3" w:rsidRPr="00882F11">
        <w:rPr>
          <w:rFonts w:cs="Guttman Drogolin" w:hint="cs"/>
          <w:rtl/>
          <w:lang w:bidi="he-IL"/>
        </w:rPr>
        <w:t>ן</w:t>
      </w:r>
      <w:r w:rsidR="00704EE9" w:rsidRPr="00882F11">
        <w:rPr>
          <w:rFonts w:cs="Guttman Drogolin" w:hint="cs"/>
          <w:rtl/>
          <w:lang w:bidi="he-IL"/>
        </w:rPr>
        <w:t xml:space="preserve"> לשמואל כתב שאפשר לומר כן</w:t>
      </w:r>
      <w:r w:rsidR="00670F74" w:rsidRPr="00882F11">
        <w:rPr>
          <w:rStyle w:val="FootnoteReference"/>
          <w:rFonts w:cs="Guttman Drogolin"/>
          <w:rtl/>
          <w:lang w:bidi="he-IL"/>
        </w:rPr>
        <w:footnoteReference w:id="415"/>
      </w:r>
      <w:r w:rsidR="00704EE9" w:rsidRPr="00882F11">
        <w:rPr>
          <w:rFonts w:cs="Guttman Drogolin" w:hint="cs"/>
          <w:rtl/>
          <w:lang w:bidi="he-IL"/>
        </w:rPr>
        <w:t>, דלא בא לאפוקי אלא כשהעליון הוא החם. ו</w:t>
      </w:r>
      <w:r w:rsidR="002077A3" w:rsidRPr="00882F11">
        <w:rPr>
          <w:rFonts w:cs="Guttman Drogolin" w:hint="cs"/>
          <w:rtl/>
          <w:lang w:bidi="he-IL"/>
        </w:rPr>
        <w:t xml:space="preserve">אין כוונתו לאסור אפילו בהיתר חם ואיסור צונן, דהא כוונתו שם לבאר למב במליחה אזלינן בתר אוסר </w:t>
      </w:r>
      <w:r w:rsidR="002077A3" w:rsidRPr="00882F11">
        <w:rPr>
          <w:rFonts w:cs="Guttman Drogolin" w:hint="cs"/>
          <w:rtl/>
          <w:lang w:bidi="he-IL"/>
        </w:rPr>
        <w:lastRenderedPageBreak/>
        <w:t xml:space="preserve">חם. רק </w:t>
      </w:r>
      <w:r w:rsidR="00704EE9" w:rsidRPr="00882F11">
        <w:rPr>
          <w:rFonts w:cs="Guttman Drogolin" w:hint="cs"/>
          <w:rtl/>
          <w:lang w:bidi="he-IL"/>
        </w:rPr>
        <w:t>כוונתו כנ"ל מרש"ל שדינו כמו במליחה, דאזלינן בתר האוסר אם הוא חם או לא.</w:t>
      </w:r>
    </w:p>
    <w:p w:rsidR="00C1231A" w:rsidRPr="00882F11" w:rsidRDefault="002077A3" w:rsidP="00C1231A">
      <w:pPr>
        <w:tabs>
          <w:tab w:val="right" w:pos="7497"/>
        </w:tabs>
        <w:bidi/>
        <w:jc w:val="both"/>
        <w:rPr>
          <w:rFonts w:cs="Guttman Drogolin"/>
          <w:rtl/>
          <w:lang w:bidi="he-IL"/>
        </w:rPr>
      </w:pPr>
      <w:r w:rsidRPr="00882F11">
        <w:rPr>
          <w:rFonts w:cs="Guttman Drogolin" w:hint="cs"/>
          <w:rtl/>
          <w:lang w:bidi="he-IL"/>
        </w:rPr>
        <w:t xml:space="preserve">וע' בבית מאיר שכתב </w:t>
      </w:r>
      <w:r w:rsidR="00670F74" w:rsidRPr="00882F11">
        <w:rPr>
          <w:rFonts w:cs="Guttman Drogolin" w:hint="cs"/>
          <w:rtl/>
          <w:lang w:bidi="he-IL"/>
        </w:rPr>
        <w:t xml:space="preserve">שלפי השיטות הסוברות שחם ליד צונן לית לי' חומרת עילאה או תתאה (ודלא כרש"ל) יש ליישב קושיית התוס', שהתוס' כתבו להקשות למה אין לאסור הקרבן פסח משום צלי מחמת דבר אחר כיון שנצלה מן השפוד. וע"ש מש"כ ליישב בזה. </w:t>
      </w:r>
      <w:r w:rsidR="00C1231A" w:rsidRPr="00882F11">
        <w:rPr>
          <w:rFonts w:cs="Guttman Drogolin" w:hint="cs"/>
          <w:rtl/>
          <w:lang w:bidi="he-IL"/>
        </w:rPr>
        <w:t>וכתב הבית מאיר שבתחילת הפרק מבואר שהיו תולין הקרבן פסח מלמעלה למטה, ויוצא לפי זה שהבשר ביחס לשפוד לא הי' לא עליון ולא תחתון רק זה אצל זה. ולשיטת הרמ"א וסייעתו דלית לן ענין תתאה או עילאה בזה בצד זה ניחא. ונראה להוסיף דאע"ג שאפילו לרמ"א הרי הוא אוסר כדי קליפה, וא"כ יצטרכו גם קליפה. י"ל דקליפה זו (לאפוקי שאר שיעור קליפה) אינו אלא חומרא בעלמא, וכמו שמבארים כמה אחרונים בשיטת ר"ת דסבר שאין צורך בחלב ס' נגד שיעור כדי קליפה, ומשום הפסד קרבן פסח לא גזרו. ונראה תו, שלפי הדברים האלו יש ליישב גם קושיית המהרש"א, שהרי המהרש"א הקשה למה הקשו כן לשיטת רב ולא לשיטת שמואל, ונשאר בקושיא. אמנם לפי הנ"ל, הרי בר"ן מבואר שיש צד דרק אליבא דרב אמרינן שבזה בצד זה יש לו דין לאסור בכולו, אבל לא אליבא דשמואל. וא"כ י"ל שכן סוברים התוס' ומשו"ה לא הקשו אלא לרב</w:t>
      </w:r>
      <w:r w:rsidR="00C1231A" w:rsidRPr="00882F11">
        <w:rPr>
          <w:rStyle w:val="FootnoteReference"/>
          <w:rFonts w:cs="Guttman Drogolin"/>
          <w:rtl/>
          <w:lang w:bidi="he-IL"/>
        </w:rPr>
        <w:footnoteReference w:id="416"/>
      </w:r>
      <w:r w:rsidR="00C1231A" w:rsidRPr="00882F11">
        <w:rPr>
          <w:rFonts w:cs="Guttman Drogolin" w:hint="cs"/>
          <w:rtl/>
          <w:lang w:bidi="he-IL"/>
        </w:rPr>
        <w:t xml:space="preserve">. </w:t>
      </w:r>
      <w:r w:rsidR="00670F74" w:rsidRPr="00882F11">
        <w:rPr>
          <w:rFonts w:cs="Guttman Drogolin" w:hint="cs"/>
          <w:rtl/>
          <w:lang w:bidi="he-IL"/>
        </w:rPr>
        <w:t xml:space="preserve"> </w:t>
      </w:r>
    </w:p>
    <w:p w:rsidR="00F9422D" w:rsidRPr="00882F11" w:rsidRDefault="002077A3" w:rsidP="00C1231A">
      <w:pPr>
        <w:tabs>
          <w:tab w:val="right" w:pos="7497"/>
        </w:tabs>
        <w:bidi/>
        <w:jc w:val="both"/>
        <w:rPr>
          <w:rFonts w:cs="Guttman Drogolin"/>
          <w:rtl/>
          <w:lang w:bidi="he-IL"/>
        </w:rPr>
      </w:pPr>
      <w:r w:rsidRPr="00882F11">
        <w:rPr>
          <w:rFonts w:cs="Guttman Drogolin" w:hint="cs"/>
          <w:rtl/>
          <w:lang w:bidi="he-IL"/>
        </w:rPr>
        <w:lastRenderedPageBreak/>
        <w:t>וע' חכמ"א (כלל ס' די"א שיש להחמיר כדעת היש"ש שלא במקום הפ"מ</w:t>
      </w:r>
      <w:r w:rsidRPr="00882F11">
        <w:rPr>
          <w:rStyle w:val="FootnoteReference"/>
          <w:rFonts w:cs="Guttman Drogolin"/>
          <w:rtl/>
          <w:lang w:bidi="he-IL"/>
        </w:rPr>
        <w:footnoteReference w:id="417"/>
      </w:r>
      <w:r w:rsidRPr="00882F11">
        <w:rPr>
          <w:rFonts w:cs="Guttman Drogolin" w:hint="cs"/>
          <w:rtl/>
          <w:lang w:bidi="he-IL"/>
        </w:rPr>
        <w:t>.</w:t>
      </w:r>
      <w:r w:rsidR="00704EE9" w:rsidRPr="00882F11">
        <w:rPr>
          <w:rFonts w:cs="Guttman Drogolin" w:hint="cs"/>
          <w:rtl/>
          <w:lang w:bidi="he-IL"/>
        </w:rPr>
        <w:t xml:space="preserve">  </w:t>
      </w:r>
    </w:p>
    <w:p w:rsidR="00F9422D" w:rsidRPr="00882F11" w:rsidRDefault="00F9422D" w:rsidP="00F9422D">
      <w:pPr>
        <w:pStyle w:val="Heading1"/>
        <w:bidi/>
        <w:spacing w:before="0" w:line="360" w:lineRule="auto"/>
        <w:jc w:val="center"/>
        <w:rPr>
          <w:rFonts w:cs="Guttman Drogolin"/>
          <w:color w:val="auto"/>
          <w:sz w:val="24"/>
          <w:szCs w:val="24"/>
          <w:u w:val="single"/>
          <w:rtl/>
          <w:lang w:bidi="he-IL"/>
        </w:rPr>
      </w:pPr>
      <w:bookmarkStart w:id="419" w:name="_Toc496175666"/>
      <w:r w:rsidRPr="00882F11">
        <w:rPr>
          <w:rFonts w:cs="Guttman Drogolin" w:hint="cs"/>
          <w:color w:val="auto"/>
          <w:sz w:val="24"/>
          <w:szCs w:val="24"/>
          <w:u w:val="single"/>
          <w:rtl/>
          <w:lang w:bidi="he-IL"/>
        </w:rPr>
        <w:t>סוף דברי הרמ"א בסי' ק"ה סע' ג'</w:t>
      </w:r>
      <w:bookmarkEnd w:id="419"/>
    </w:p>
    <w:p w:rsidR="00AD620C" w:rsidRPr="00882F11" w:rsidRDefault="00AA5661" w:rsidP="00B77742">
      <w:pPr>
        <w:tabs>
          <w:tab w:val="right" w:pos="7497"/>
        </w:tabs>
        <w:bidi/>
        <w:jc w:val="both"/>
        <w:rPr>
          <w:rFonts w:cs="Guttman Drogolin"/>
          <w:rtl/>
          <w:lang w:bidi="he-IL"/>
        </w:rPr>
      </w:pPr>
      <w:r>
        <w:rPr>
          <w:rFonts w:cs="Guttman Drogolin"/>
          <w:rtl/>
          <w:lang w:bidi="he-IL"/>
        </w:rPr>
        <w:fldChar w:fldCharType="begin"/>
      </w:r>
      <w:r>
        <w:instrText xml:space="preserve"> XE "</w:instrText>
      </w:r>
      <w:r w:rsidRPr="00CD4ACA">
        <w:rPr>
          <w:rFonts w:hint="cs"/>
          <w:rtl/>
          <w:lang w:bidi="he-IL"/>
        </w:rPr>
        <w:instrText>עירוי</w:instrText>
      </w:r>
      <w:r w:rsidRPr="00CD4ACA">
        <w:rPr>
          <w:rtl/>
        </w:rPr>
        <w:instrText>:</w:instrText>
      </w:r>
      <w:r w:rsidRPr="00CD4ACA">
        <w:rPr>
          <w:rFonts w:hint="cs"/>
          <w:rtl/>
          <w:lang w:bidi="he-IL"/>
        </w:rPr>
        <w:instrText>לתוך נר של חלב</w:instrText>
      </w:r>
      <w:r>
        <w:instrText xml:space="preserve">" </w:instrText>
      </w:r>
      <w:r>
        <w:rPr>
          <w:rFonts w:cs="Guttman Drogolin"/>
          <w:rtl/>
          <w:lang w:bidi="he-IL"/>
        </w:rPr>
        <w:fldChar w:fldCharType="end"/>
      </w:r>
      <w:r w:rsidR="00B77742" w:rsidRPr="00882F11">
        <w:rPr>
          <w:rFonts w:cs="Guttman Drogolin" w:hint="cs"/>
          <w:rtl/>
          <w:lang w:bidi="he-IL"/>
        </w:rPr>
        <w:t>בסוף סע' ג' כתב הרמ"א "</w:t>
      </w:r>
      <w:r w:rsidR="00B77742" w:rsidRPr="00882F11">
        <w:rPr>
          <w:rFonts w:cs="Guttman Drogolin"/>
          <w:rtl/>
          <w:lang w:bidi="he-IL"/>
        </w:rPr>
        <w:t>אסור לערות מכלי שיש בו שומן כשר לנר דולק שיש בו חלב או שומן איסור ובדיעבד אין לחוש</w:t>
      </w:r>
      <w:r w:rsidR="00B77742" w:rsidRPr="00882F11">
        <w:rPr>
          <w:rFonts w:cs="Guttman Drogolin" w:hint="cs"/>
          <w:rtl/>
          <w:lang w:bidi="he-IL"/>
        </w:rPr>
        <w:t>". ומבואר בקדמונים ב' טעמים לאסור בזה, או משום דניצוק חיבור, או משום ההבל שעולה מן הנר של חלב. ולאסור משום ניצוק חיבור מבואר במהרא"י שאין טעם</w:t>
      </w:r>
      <w:r w:rsidR="00752132" w:rsidRPr="00882F11">
        <w:rPr>
          <w:rFonts w:cs="Guttman Drogolin" w:hint="cs"/>
          <w:rtl/>
          <w:lang w:bidi="he-IL"/>
        </w:rPr>
        <w:t xml:space="preserve"> </w:t>
      </w:r>
      <w:r w:rsidR="00B77742" w:rsidRPr="00882F11">
        <w:rPr>
          <w:rFonts w:cs="Guttman Drogolin" w:hint="cs"/>
          <w:rtl/>
          <w:lang w:bidi="he-IL"/>
        </w:rPr>
        <w:t xml:space="preserve">לזה מעיקר הדין, דהא ניצוק חיבור שייך לדברים הנאסים ע"י נגיעה, וכאן משום נתנת טעם נאסר. אבל לאסור משום הבל זהו זיעה המבואר בסי' צ"ב סע' ח' ועוד כמה מקומות שאוסר. ולפום ריהטא הי' נראה שהוא מחלוקת ש"ך וט"ז כאן מהו הטעם לאסור, אמנם יעוין </w:t>
      </w:r>
      <w:r w:rsidR="00AD620C" w:rsidRPr="00882F11">
        <w:rPr>
          <w:rFonts w:cs="Guttman Drogolin" w:hint="cs"/>
          <w:rtl/>
          <w:lang w:bidi="he-IL"/>
        </w:rPr>
        <w:t>במש"ז על אתר שכתב שב' הטעמים נצרכים, שאין כח לענן ההבל לעלות למעלה אא"כ הניצוק מתחמם משום דתתאה גבר. ולכן רק ע"י תרוייהו ביחד יש מה לחשוש. ור"ל שאין טעם האיסור מדינא דניצוק חיבור, רק כלשון האו"ה (מובא בט"ז) "דתתאה גבר ומחברו בניצוק"</w:t>
      </w:r>
      <w:r w:rsidR="00752132" w:rsidRPr="00882F11">
        <w:rPr>
          <w:rFonts w:cs="Guttman Drogolin" w:hint="cs"/>
          <w:rtl/>
          <w:lang w:bidi="he-IL"/>
        </w:rPr>
        <w:t xml:space="preserve"> ו</w:t>
      </w:r>
      <w:r w:rsidR="00AD620C" w:rsidRPr="00882F11">
        <w:rPr>
          <w:rFonts w:cs="Guttman Drogolin" w:hint="cs"/>
          <w:rtl/>
          <w:lang w:bidi="he-IL"/>
        </w:rPr>
        <w:t>כמו שביאר הפמ"ג.</w:t>
      </w:r>
    </w:p>
    <w:p w:rsidR="00F9422D" w:rsidRPr="00882F11" w:rsidRDefault="00AD620C" w:rsidP="00752132">
      <w:pPr>
        <w:tabs>
          <w:tab w:val="right" w:pos="7497"/>
        </w:tabs>
        <w:bidi/>
        <w:jc w:val="both"/>
        <w:rPr>
          <w:rFonts w:cs="Guttman Drogolin"/>
          <w:rtl/>
        </w:rPr>
      </w:pPr>
      <w:r w:rsidRPr="00882F11">
        <w:rPr>
          <w:rFonts w:cs="Guttman Drogolin" w:hint="cs"/>
          <w:rtl/>
          <w:lang w:bidi="he-IL"/>
        </w:rPr>
        <w:t xml:space="preserve">והנה דין זה כתב עליו הרמ"א "ובדיעבד אין לחוש". ולכאורה הדברים צריכים עיון, דלמה אינו אוסר מעיקר הדין, הא בסי' צ"ב סע' ח' מבואר בשם שו"ת הרא"ש לאסור בקדרה תחת קדירה משום ההבל שעולה מן הלמטה למעלה. </w:t>
      </w:r>
      <w:r w:rsidR="00752132" w:rsidRPr="00882F11">
        <w:rPr>
          <w:rFonts w:cs="Guttman Drogolin" w:hint="cs"/>
          <w:rtl/>
          <w:lang w:bidi="he-IL"/>
        </w:rPr>
        <w:t>ובשלמא לפי התי' הראשון של שו"ת הב"ח החדשות סי' כ"ד</w:t>
      </w:r>
      <w:r w:rsidR="00752132" w:rsidRPr="00882F11">
        <w:rPr>
          <w:rStyle w:val="FootnoteReference"/>
          <w:rFonts w:cs="Guttman Drogolin"/>
          <w:rtl/>
          <w:lang w:bidi="he-IL"/>
        </w:rPr>
        <w:footnoteReference w:id="418"/>
      </w:r>
      <w:r w:rsidR="00752132" w:rsidRPr="00882F11">
        <w:rPr>
          <w:rFonts w:cs="Guttman Drogolin" w:hint="cs"/>
          <w:rtl/>
          <w:lang w:bidi="he-IL"/>
        </w:rPr>
        <w:t xml:space="preserve"> שבמקרה שיש להבל מקום להתפשט אינו אוסר ניחא, אבל לפי מאי דמסיק ע"פ מהרא"י שגם כה"ג יש לאסור כיון שא' למעלה מן השני מא"ל. וביד אברהם על אתר כתב שכל דברי הרמ"א בשפיכה לתוך נר שיש בה שלהבת, שבכה"ג ניתן לומר דמיקלא קלי איסורא, ומ"מ מחמירין לכתחילה, אבל אם שפך לתוך תבשיל שאין בה שלהבת הרי הוא אוסר מעיקר הדין כמו הא דהרא"ש. והי' לכאורה אפשר ליישב גם באופן אחר ע"פ דברי הפמ"ג הנ"ל, ור"ל שבמקרה כזה </w:t>
      </w:r>
      <w:r w:rsidR="00752132" w:rsidRPr="00882F11">
        <w:rPr>
          <w:rFonts w:cs="Guttman Drogolin" w:hint="cs"/>
          <w:rtl/>
          <w:lang w:bidi="he-IL"/>
        </w:rPr>
        <w:lastRenderedPageBreak/>
        <w:t xml:space="preserve">ענן ההבל הוא חלש (אפילו למהרא"י הנ"ל) ולכן אע"ג שהניצוק נתחמם ואמרינן שיכו לעלות דרך הניצוק, מעיקר הדין לא חיישינן להכי והרי הוא מותר. </w:t>
      </w:r>
      <w:r w:rsidR="00B77742" w:rsidRPr="00882F11">
        <w:rPr>
          <w:rFonts w:cs="Guttman Drogolin" w:hint="cs"/>
          <w:rtl/>
          <w:lang w:bidi="he-IL"/>
        </w:rPr>
        <w:t xml:space="preserve">  </w:t>
      </w:r>
    </w:p>
    <w:p w:rsidR="00F9422D" w:rsidRPr="008520CC" w:rsidRDefault="00F9422D" w:rsidP="00F9422D">
      <w:pPr>
        <w:pStyle w:val="Heading1"/>
        <w:bidi/>
        <w:spacing w:before="0" w:line="360" w:lineRule="auto"/>
        <w:jc w:val="center"/>
        <w:rPr>
          <w:rFonts w:cs="Guttman Drogolin"/>
          <w:color w:val="auto"/>
          <w:sz w:val="22"/>
          <w:szCs w:val="22"/>
          <w:u w:val="single"/>
          <w:rtl/>
          <w:lang w:bidi="he-IL"/>
        </w:rPr>
      </w:pPr>
      <w:bookmarkStart w:id="420" w:name="_Toc496175667"/>
      <w:r w:rsidRPr="008520CC">
        <w:rPr>
          <w:rFonts w:cs="Guttman Drogolin" w:hint="cs"/>
          <w:color w:val="auto"/>
          <w:sz w:val="22"/>
          <w:szCs w:val="22"/>
          <w:u w:val="single"/>
          <w:rtl/>
          <w:lang w:bidi="he-IL"/>
        </w:rPr>
        <w:t>בדין כף שהוציא משקין מכלי ראשון על ידה</w:t>
      </w:r>
      <w:bookmarkEnd w:id="420"/>
    </w:p>
    <w:p w:rsidR="0057535C" w:rsidRPr="00882F11" w:rsidRDefault="00AA5661" w:rsidP="00A80F2F">
      <w:pPr>
        <w:tabs>
          <w:tab w:val="right" w:pos="7497"/>
        </w:tabs>
        <w:bidi/>
        <w:jc w:val="both"/>
        <w:rPr>
          <w:rFonts w:cs="Guttman Drogolin"/>
          <w:rtl/>
          <w:lang w:bidi="he-IL"/>
        </w:rPr>
      </w:pPr>
      <w:r>
        <w:rPr>
          <w:rFonts w:cs="Guttman Drogolin"/>
          <w:rtl/>
          <w:lang w:bidi="he-IL"/>
        </w:rPr>
        <w:fldChar w:fldCharType="begin"/>
      </w:r>
      <w:r>
        <w:instrText xml:space="preserve"> XE "</w:instrText>
      </w:r>
      <w:r w:rsidRPr="004120E0">
        <w:rPr>
          <w:rFonts w:hint="cs"/>
          <w:rtl/>
          <w:lang w:bidi="he-IL"/>
        </w:rPr>
        <w:instrText>העברת טעם</w:instrText>
      </w:r>
      <w:r w:rsidRPr="004120E0">
        <w:rPr>
          <w:rtl/>
        </w:rPr>
        <w:instrText>:</w:instrText>
      </w:r>
      <w:r w:rsidRPr="004120E0">
        <w:rPr>
          <w:rFonts w:hint="cs"/>
          <w:rtl/>
          <w:lang w:bidi="he-IL"/>
        </w:rPr>
        <w:instrText>כף המונח בכלי שני</w:instrText>
      </w:r>
      <w:r>
        <w:instrText xml:space="preserve">" </w:instrText>
      </w:r>
      <w:r>
        <w:rPr>
          <w:rFonts w:cs="Guttman Drogolin"/>
          <w:rtl/>
          <w:lang w:bidi="he-IL"/>
        </w:rPr>
        <w:fldChar w:fldCharType="end"/>
      </w:r>
      <w:r w:rsidR="00A80F2F" w:rsidRPr="00882F11">
        <w:rPr>
          <w:rFonts w:cs="Guttman Drogolin" w:hint="cs"/>
          <w:rtl/>
          <w:lang w:bidi="he-IL"/>
        </w:rPr>
        <w:t xml:space="preserve">ידוע מחלוקת הט"ז </w:t>
      </w:r>
      <w:r w:rsidR="0057535C" w:rsidRPr="00882F11">
        <w:rPr>
          <w:rFonts w:cs="Guttman Drogolin" w:hint="cs"/>
          <w:rtl/>
          <w:lang w:bidi="he-IL"/>
        </w:rPr>
        <w:t xml:space="preserve">(סי' צ"ב ס"ק ל') </w:t>
      </w:r>
      <w:r w:rsidR="00A80F2F" w:rsidRPr="00882F11">
        <w:rPr>
          <w:rFonts w:cs="Guttman Drogolin" w:hint="cs"/>
          <w:rtl/>
          <w:lang w:bidi="he-IL"/>
        </w:rPr>
        <w:t xml:space="preserve">עם מהרי"ל בכף שהכניסו לתוך תבשיל והוציאו האם דינו ככלי ראשון או"ד ככלי שני. המהרי"ל סבר שדינו ככלי שני אא"כ השאירו את ההכף לתוך הקדרה עד שהעלה רתיחות. והט"ז חלק על זה וסבר שמיד שהכניס כלי לתוך התבשיל הרי הוא מקבל דין כלי ראשון. והט"ז הקשה כמה קושיות על מהרי"ל. חדא דהאיך נימא שלא הי' שם מספיק זמן כדי לאסור, דאיך נימא כמה זמן זה. </w:t>
      </w:r>
      <w:r w:rsidR="0057535C" w:rsidRPr="00882F11">
        <w:rPr>
          <w:rFonts w:cs="Guttman Drogolin" w:hint="cs"/>
          <w:rtl/>
          <w:lang w:bidi="he-IL"/>
        </w:rPr>
        <w:t>וקושיא זו לא הבנתי, דהא המהרי"ל ברור מללו שהוא תלוי בזה שהקדרה העלה רתיחות על הכף בפנים, אבל פחות מזה לא.</w:t>
      </w:r>
    </w:p>
    <w:p w:rsidR="00D9162C" w:rsidRPr="00882F11" w:rsidRDefault="0057535C" w:rsidP="00D9162C">
      <w:pPr>
        <w:tabs>
          <w:tab w:val="right" w:pos="7497"/>
        </w:tabs>
        <w:bidi/>
        <w:jc w:val="both"/>
        <w:rPr>
          <w:rFonts w:cs="Guttman Drogolin"/>
          <w:rtl/>
          <w:lang w:bidi="he-IL"/>
        </w:rPr>
      </w:pPr>
      <w:r w:rsidRPr="00882F11">
        <w:rPr>
          <w:rFonts w:cs="Guttman Drogolin" w:hint="cs"/>
          <w:rtl/>
          <w:lang w:bidi="he-IL"/>
        </w:rPr>
        <w:t xml:space="preserve">ועוד הקשה הט"ז </w:t>
      </w:r>
      <w:r w:rsidR="003D5203" w:rsidRPr="00882F11">
        <w:rPr>
          <w:rFonts w:cs="Guttman Drogolin" w:hint="cs"/>
          <w:rtl/>
          <w:lang w:bidi="he-IL"/>
        </w:rPr>
        <w:t xml:space="preserve">מזה שמעיקר הדין מהני הגעלה אפילו הכניס הכלי לרגע א', וכן מזה שאם הכניס בשר לתוך יורה חולבת הרי הוא אוסר מיד, וא"כ מאי שנא הכף מזה. ומאידך, בסוף דבריו ציין הט"ז לדברי התוס' במס' ע"ז דף ל"ג ע"ב </w:t>
      </w:r>
      <w:r w:rsidR="00D9162C" w:rsidRPr="00882F11">
        <w:rPr>
          <w:rFonts w:cs="Guttman Drogolin" w:hint="cs"/>
          <w:rtl/>
          <w:lang w:bidi="he-IL"/>
        </w:rPr>
        <w:t>ד"ה קינסא שאם נתן קערה לתוך יורה והעלה ר</w:t>
      </w:r>
      <w:r w:rsidR="00650B75" w:rsidRPr="00882F11">
        <w:rPr>
          <w:rFonts w:cs="Guttman Drogolin" w:hint="cs"/>
          <w:rtl/>
          <w:lang w:bidi="he-IL"/>
        </w:rPr>
        <w:t>תיחות יש ספק אם</w:t>
      </w:r>
      <w:r w:rsidR="00D9162C" w:rsidRPr="00882F11">
        <w:rPr>
          <w:rFonts w:cs="Guttman Drogolin" w:hint="cs"/>
          <w:rtl/>
          <w:lang w:bidi="he-IL"/>
        </w:rPr>
        <w:t xml:space="preserve"> מהני בה הגעלה. הרי דחזינן עוד יותר מן המהרי"ל, ויתכן שאפילו העלה רתיחות יתכן שאין דינו ככלי ראשון, וזו באמת צ"ע דמאי שנא משאר תכולת הכלי ראשון. </w:t>
      </w:r>
    </w:p>
    <w:p w:rsidR="00F9422D" w:rsidRPr="00882F11" w:rsidRDefault="00D9162C" w:rsidP="00AB3ABB">
      <w:pPr>
        <w:tabs>
          <w:tab w:val="right" w:pos="7497"/>
        </w:tabs>
        <w:bidi/>
        <w:jc w:val="both"/>
        <w:rPr>
          <w:rFonts w:cs="Guttman Drogolin"/>
          <w:lang w:bidi="he-IL"/>
        </w:rPr>
      </w:pPr>
      <w:r w:rsidRPr="00882F11">
        <w:rPr>
          <w:rFonts w:cs="Guttman Drogolin" w:hint="cs"/>
          <w:rtl/>
          <w:lang w:bidi="he-IL"/>
        </w:rPr>
        <w:t xml:space="preserve">ולכאורה הדברים מיושבים ע"פ דברי החוו"ד על אתר, דאיהו מפרש שאין לכלי מלא תבשיל דין של כלי ראשון אא"כ הכלי התחמם ע"י האש, ולא ע"י זה שהי' בתוך כלי שע"ג האש. ולכן אע"ג שהכלי יש לו דין כמו התבשיל שהוא בתוך הכלי, הא גם תבשיל זה אם יצא מן הכלי ואינו מחובר אליו דינו כעירוי שנפסק הקילוח, ולכן תתאה גבר ואינו ככלי ראשון. וא"כ שפיר מובנים דברי התוס', שאע"פ שהכלי בתוך היורה כשהעלה רתיחת, מ"מ יתכן שאין דינו ככלי ראשון. וכן בזה </w:t>
      </w:r>
      <w:r w:rsidRPr="00882F11">
        <w:rPr>
          <w:rFonts w:cs="Guttman Drogolin" w:hint="cs"/>
          <w:rtl/>
          <w:lang w:bidi="he-IL"/>
        </w:rPr>
        <w:lastRenderedPageBreak/>
        <w:t xml:space="preserve">מיושבים גם שאר ההערות של הט"ז. ולמעשה המ"ב חשש לדברי הט"ז והחמיר שיש לכף דינו של כלי ראשון אפילו לא הי' על האש כשהעלה רתיחות. אבל מ"מ בצירוף צדדים אחרים הקיל לתת לו דין של כלי שני, ומשו"ה בסי' שי"ח </w:t>
      </w:r>
      <w:r w:rsidR="00AB3ABB" w:rsidRPr="00882F11">
        <w:rPr>
          <w:rFonts w:cs="Guttman Drogolin" w:hint="cs"/>
          <w:rtl/>
          <w:lang w:bidi="he-IL"/>
        </w:rPr>
        <w:t>ס"ק מ"ה סבר שאם הוציא משקין מקדרה בכף ושוב הכניסו לכלי אחר שיש לכלי זה דין כלי שלישי ומותר ליתן בה פת (אע"ג שהחמיר בזה בכלי שני). ומאידך, סבר המ"ב (שם ס"ק פ"ז) שאם הי' הכף בתוך הכלי כשהעלה רתיחות יש לו דין כלי ראשון לגמרי. וכן בסי' תנ"ב ס"ק כ' התיר להגעיל כלים שבלעו ע"י עירוי אם משאיר כף בתוך יורה כשמעלה רתיחות</w:t>
      </w:r>
      <w:r w:rsidRPr="00882F11">
        <w:rPr>
          <w:rFonts w:cs="Guttman Drogolin" w:hint="cs"/>
          <w:rtl/>
          <w:lang w:bidi="he-IL"/>
        </w:rPr>
        <w:t xml:space="preserve"> </w:t>
      </w:r>
      <w:r w:rsidR="00AB3ABB" w:rsidRPr="00882F11">
        <w:rPr>
          <w:rFonts w:cs="Guttman Drogolin" w:hint="cs"/>
          <w:rtl/>
          <w:lang w:bidi="he-IL"/>
        </w:rPr>
        <w:t>ואז שופך מן הכף על הכלי. הרי שהקיל לומר שאפשר להגעיל כה"ג. וצ"ע למה לא חשש לספיקת התוס' דאולי לא חשוב כלי ראשון כה"ג.</w:t>
      </w:r>
      <w:r w:rsidRPr="00882F11">
        <w:rPr>
          <w:rFonts w:cs="Guttman Drogolin" w:hint="cs"/>
          <w:rtl/>
          <w:lang w:bidi="he-IL"/>
        </w:rPr>
        <w:t xml:space="preserve"> </w:t>
      </w:r>
      <w:r w:rsidR="003D5203" w:rsidRPr="00882F11">
        <w:rPr>
          <w:rFonts w:cs="Guttman Drogolin" w:hint="cs"/>
          <w:rtl/>
          <w:lang w:bidi="he-IL"/>
        </w:rPr>
        <w:t xml:space="preserve">    </w:t>
      </w:r>
      <w:r w:rsidR="00A80F2F" w:rsidRPr="00882F11">
        <w:rPr>
          <w:rFonts w:cs="Guttman Drogolin" w:hint="cs"/>
          <w:rtl/>
          <w:lang w:bidi="he-IL"/>
        </w:rPr>
        <w:t xml:space="preserve"> </w:t>
      </w:r>
    </w:p>
    <w:p w:rsidR="00F9422D" w:rsidRPr="00882F11" w:rsidRDefault="00F9422D" w:rsidP="00F9422D">
      <w:pPr>
        <w:pStyle w:val="Heading1"/>
        <w:bidi/>
        <w:spacing w:before="0" w:line="360" w:lineRule="auto"/>
        <w:jc w:val="center"/>
        <w:rPr>
          <w:rFonts w:cs="Guttman Drogolin"/>
          <w:color w:val="auto"/>
          <w:sz w:val="24"/>
          <w:szCs w:val="24"/>
          <w:u w:val="single"/>
          <w:rtl/>
          <w:lang w:bidi="he-IL"/>
        </w:rPr>
      </w:pPr>
      <w:bookmarkStart w:id="421" w:name="_Toc496175668"/>
      <w:r w:rsidRPr="00882F11">
        <w:rPr>
          <w:rFonts w:cs="Guttman Drogolin" w:hint="cs"/>
          <w:color w:val="auto"/>
          <w:sz w:val="24"/>
          <w:szCs w:val="24"/>
          <w:u w:val="single"/>
          <w:rtl/>
          <w:lang w:bidi="he-IL"/>
        </w:rPr>
        <w:t>בדברי הרמ"א בסי' צ"ב סע' ז'</w:t>
      </w:r>
      <w:bookmarkEnd w:id="421"/>
    </w:p>
    <w:p w:rsidR="00FD21C0" w:rsidRPr="00882F11" w:rsidRDefault="00AA5661" w:rsidP="00FD21C0">
      <w:pPr>
        <w:tabs>
          <w:tab w:val="right" w:pos="7497"/>
        </w:tabs>
        <w:bidi/>
        <w:jc w:val="both"/>
        <w:rPr>
          <w:rFonts w:cs="Guttman Drogolin"/>
          <w:rtl/>
          <w:lang w:bidi="he-IL"/>
        </w:rPr>
      </w:pPr>
      <w:r>
        <w:rPr>
          <w:rFonts w:cs="Guttman Drogolin"/>
          <w:rtl/>
          <w:lang w:bidi="he-IL"/>
        </w:rPr>
        <w:fldChar w:fldCharType="begin"/>
      </w:r>
      <w:r>
        <w:instrText xml:space="preserve"> XE "</w:instrText>
      </w:r>
      <w:r w:rsidRPr="006D15BB">
        <w:rPr>
          <w:rFonts w:hint="cs"/>
          <w:rtl/>
          <w:lang w:bidi="he-IL"/>
        </w:rPr>
        <w:instrText>ע</w:instrText>
      </w:r>
      <w:r>
        <w:rPr>
          <w:rFonts w:hint="cs"/>
          <w:rtl/>
          <w:lang w:bidi="he-IL"/>
        </w:rPr>
        <w:instrText>י</w:instrText>
      </w:r>
      <w:r w:rsidRPr="006D15BB">
        <w:rPr>
          <w:rFonts w:hint="cs"/>
          <w:rtl/>
          <w:lang w:bidi="he-IL"/>
        </w:rPr>
        <w:instrText>רוי</w:instrText>
      </w:r>
      <w:r w:rsidRPr="006D15BB">
        <w:rPr>
          <w:rtl/>
        </w:rPr>
        <w:instrText>:</w:instrText>
      </w:r>
      <w:r w:rsidRPr="006D15BB">
        <w:rPr>
          <w:rFonts w:hint="cs"/>
          <w:rtl/>
          <w:lang w:bidi="he-IL"/>
        </w:rPr>
        <w:instrText>מקדרה שעל גבי האש</w:instrText>
      </w:r>
      <w:r>
        <w:instrText xml:space="preserve">" </w:instrText>
      </w:r>
      <w:r>
        <w:rPr>
          <w:rFonts w:cs="Guttman Drogolin"/>
          <w:rtl/>
          <w:lang w:bidi="he-IL"/>
        </w:rPr>
        <w:fldChar w:fldCharType="end"/>
      </w:r>
      <w:r w:rsidR="00FD21C0" w:rsidRPr="00882F11">
        <w:rPr>
          <w:rFonts w:cs="Guttman Drogolin" w:hint="cs"/>
          <w:rtl/>
          <w:lang w:bidi="he-IL"/>
        </w:rPr>
        <w:t>כתב</w:t>
      </w:r>
      <w:r w:rsidR="0057535C" w:rsidRPr="00882F11">
        <w:rPr>
          <w:rFonts w:cs="Guttman Drogolin" w:hint="cs"/>
          <w:rtl/>
          <w:lang w:bidi="he-IL"/>
        </w:rPr>
        <w:t xml:space="preserve"> </w:t>
      </w:r>
      <w:r w:rsidR="00FD21C0" w:rsidRPr="00882F11">
        <w:rPr>
          <w:rFonts w:cs="Guttman Drogolin" w:hint="cs"/>
          <w:rtl/>
          <w:lang w:bidi="he-IL"/>
        </w:rPr>
        <w:t>ה</w:t>
      </w:r>
      <w:r w:rsidR="0057535C" w:rsidRPr="00882F11">
        <w:rPr>
          <w:rFonts w:cs="Guttman Drogolin" w:hint="cs"/>
          <w:rtl/>
          <w:lang w:bidi="he-IL"/>
        </w:rPr>
        <w:t xml:space="preserve">רמ"א </w:t>
      </w:r>
      <w:r w:rsidR="00FD21C0" w:rsidRPr="00882F11">
        <w:rPr>
          <w:rFonts w:cs="Guttman Drogolin" w:hint="cs"/>
          <w:rtl/>
          <w:lang w:bidi="he-IL"/>
        </w:rPr>
        <w:t>ב</w:t>
      </w:r>
      <w:r w:rsidR="0057535C" w:rsidRPr="00882F11">
        <w:rPr>
          <w:rFonts w:cs="Guttman Drogolin" w:hint="cs"/>
          <w:rtl/>
          <w:lang w:bidi="he-IL"/>
        </w:rPr>
        <w:t>סי' צ"ב סע' ז'</w:t>
      </w:r>
      <w:r w:rsidR="00FD21C0" w:rsidRPr="00882F11">
        <w:rPr>
          <w:rFonts w:cs="Guttman Drogolin" w:hint="cs"/>
          <w:rtl/>
          <w:lang w:bidi="he-IL"/>
        </w:rPr>
        <w:t xml:space="preserve"> "ואם נשפך חלב או שאר איסור רותח ע"ג קרקע והעמידו עליו קדירה חמה אם מה שנשפך אינו אצל האש לא הוי רק כלי שני ולכן הקדירה אסורה דבולע קצת והתבשיל מותר דתתאה גבר. וקלוח מן הקדירה רותחת שהלך אל קדירה צוננת אם נפסק הקלוח מן הקדירה הרותחת קודם שהגיע אל הצונן הוי נמי כלי שני ואם לא  נפסק הוי כעירוי והקדירה הצוננת נאסרה אם היד סולדת בקלוח הנוגע בקדירה והתבשיל שבתוכה שרי דאין עירוי אוסר רק כדי קליפה אבל אם הקזירה היא חמה והוא כלי ראשון וכל שכן עומד אצל האש אפילו הקלוח הוא צונן הכל אסור דתתאי גבר והוי כצונן לתוך חם דכולו אסור כמו שנתבאר לעיל סימן צ"א".</w:t>
      </w:r>
    </w:p>
    <w:p w:rsidR="00244CBD" w:rsidRPr="00882F11" w:rsidRDefault="00FD21C0" w:rsidP="00FD21C0">
      <w:pPr>
        <w:tabs>
          <w:tab w:val="right" w:pos="7497"/>
        </w:tabs>
        <w:bidi/>
        <w:jc w:val="both"/>
        <w:rPr>
          <w:rFonts w:cs="Guttman Drogolin"/>
          <w:rtl/>
          <w:lang w:bidi="he-IL"/>
        </w:rPr>
      </w:pPr>
      <w:r w:rsidRPr="00882F11">
        <w:rPr>
          <w:rFonts w:cs="Guttman Drogolin" w:hint="cs"/>
          <w:rtl/>
          <w:lang w:bidi="he-IL"/>
        </w:rPr>
        <w:t xml:space="preserve">ויש להעיר על דבריו כמה הערות. הרמ"א כתב שאם העמיד הקדירה ע"ג החלב התבשיל מותר כיון שאינואוסר אלא כדי קליפה. ומקשים על זה שהרי החוו"ד סבר שהדין של תתאה גבר אינו אלא ביחס לעילאה, אבל אין זה משנה דינו של העילאה לענין שארי הדברים. ולכן נהי נמי שהדין הוא שהבליעה נכנסת </w:t>
      </w:r>
      <w:r w:rsidR="00244CBD" w:rsidRPr="00882F11">
        <w:rPr>
          <w:rFonts w:cs="Guttman Drogolin" w:hint="cs"/>
          <w:rtl/>
          <w:lang w:bidi="he-IL"/>
        </w:rPr>
        <w:t xml:space="preserve">מעיקרא </w:t>
      </w:r>
      <w:r w:rsidRPr="00882F11">
        <w:rPr>
          <w:rFonts w:cs="Guttman Drogolin" w:hint="cs"/>
          <w:rtl/>
          <w:lang w:bidi="he-IL"/>
        </w:rPr>
        <w:t>רק תוך</w:t>
      </w:r>
      <w:r w:rsidR="00244CBD" w:rsidRPr="00882F11">
        <w:rPr>
          <w:rFonts w:cs="Guttman Drogolin" w:hint="cs"/>
          <w:rtl/>
          <w:lang w:bidi="he-IL"/>
        </w:rPr>
        <w:t xml:space="preserve"> קליפה כיון שהוא חם לתוך צונן ותתאה גבר, אבל הרי הקדירה נשארת בדינה ככלי ראשון, וא"כ למה </w:t>
      </w:r>
      <w:r w:rsidR="00244CBD" w:rsidRPr="00882F11">
        <w:rPr>
          <w:rFonts w:cs="Guttman Drogolin" w:hint="cs"/>
          <w:rtl/>
          <w:lang w:bidi="he-IL"/>
        </w:rPr>
        <w:lastRenderedPageBreak/>
        <w:t xml:space="preserve">לא יפעפע הבליעה לתוך הקדירה כמו כל כלי ראשון. </w:t>
      </w:r>
    </w:p>
    <w:p w:rsidR="00244CBD" w:rsidRPr="00882F11" w:rsidRDefault="00244CBD" w:rsidP="00244CBD">
      <w:pPr>
        <w:tabs>
          <w:tab w:val="right" w:pos="7497"/>
        </w:tabs>
        <w:bidi/>
        <w:jc w:val="both"/>
        <w:rPr>
          <w:rFonts w:cs="Guttman Drogolin"/>
          <w:rtl/>
          <w:lang w:bidi="he-IL"/>
        </w:rPr>
      </w:pPr>
      <w:r w:rsidRPr="00882F11">
        <w:rPr>
          <w:rFonts w:cs="Guttman Drogolin" w:hint="cs"/>
          <w:rtl/>
          <w:lang w:bidi="he-IL"/>
        </w:rPr>
        <w:t>ועוד חזינן בדבריו דהא דאמרינן דתתאה גבר בחם לתוך צונן, אין זה חייב להיות דבר שהוא צונן ממש, אלא אפילו חם רק שדינו ככלי שני ג"כ אמירנן דתתאה גבר ואין כח בעילאהה החם לאסור יותר מכדי קליפה. והמנח"י נקט אחרת, שאם הוא חם לא איכפת לן שהוא כלי שני, ודינו כחם לתוך חם ואוסר בכולו.</w:t>
      </w:r>
    </w:p>
    <w:p w:rsidR="00F9422D" w:rsidRPr="00882F11" w:rsidRDefault="00244CBD" w:rsidP="00244CBD">
      <w:pPr>
        <w:tabs>
          <w:tab w:val="right" w:pos="7497"/>
        </w:tabs>
        <w:bidi/>
        <w:jc w:val="both"/>
        <w:rPr>
          <w:rFonts w:cs="Guttman Drogolin"/>
          <w:rtl/>
          <w:lang w:bidi="he-IL"/>
        </w:rPr>
      </w:pPr>
      <w:r w:rsidRPr="00882F11">
        <w:rPr>
          <w:rFonts w:cs="Guttman Drogolin" w:hint="cs"/>
          <w:rtl/>
          <w:lang w:bidi="he-IL"/>
        </w:rPr>
        <w:t>ועוד יש להעיר שלכאורה כל דברי הרמ"א הם לשיטתו דכלי שני אינו מבליע ולא מפליט. אבל לרש"ל דסבר דכלי שני מבליע ומפליט בכולו הי' צריך להיות הדין שהכל אסור. וראיתי במגי"ס בשם יד יהודה שהעיר בזה שגם רש"ל לא חשש לאסור כולו. וע"ש שכתב לבאר שהוא משום שרוב הטעם נבלע בקרקע. ולכאו</w:t>
      </w:r>
      <w:r w:rsidR="00ED70C1" w:rsidRPr="00882F11">
        <w:rPr>
          <w:rFonts w:cs="Guttman Drogolin" w:hint="cs"/>
          <w:rtl/>
          <w:lang w:bidi="he-IL"/>
        </w:rPr>
        <w:t>ר</w:t>
      </w:r>
      <w:r w:rsidRPr="00882F11">
        <w:rPr>
          <w:rFonts w:cs="Guttman Drogolin" w:hint="cs"/>
          <w:rtl/>
          <w:lang w:bidi="he-IL"/>
        </w:rPr>
        <w:t>ה א"כ יותא שאם נזחל ע"ג מקום שאינו בולע יהא הדין למהרש"ל לאסור כולו.</w:t>
      </w:r>
      <w:r w:rsidR="00FD21C0" w:rsidRPr="00882F11">
        <w:rPr>
          <w:rFonts w:cs="Guttman Drogolin" w:hint="cs"/>
          <w:rtl/>
          <w:lang w:bidi="he-IL"/>
        </w:rPr>
        <w:t xml:space="preserve">    </w:t>
      </w:r>
      <w:r w:rsidR="00AB3ABB" w:rsidRPr="00882F11">
        <w:rPr>
          <w:rFonts w:cs="Guttman Drogolin" w:hint="cs"/>
          <w:rtl/>
          <w:lang w:bidi="he-IL"/>
        </w:rPr>
        <w:t xml:space="preserve"> </w:t>
      </w:r>
    </w:p>
    <w:p w:rsidR="00244CBD" w:rsidRPr="00882F11" w:rsidRDefault="00244CBD" w:rsidP="00244CBD">
      <w:pPr>
        <w:tabs>
          <w:tab w:val="right" w:pos="7497"/>
        </w:tabs>
        <w:bidi/>
        <w:jc w:val="both"/>
        <w:rPr>
          <w:rFonts w:cs="Times New Roman"/>
          <w:rtl/>
        </w:rPr>
        <w:sectPr w:rsidR="00244CBD" w:rsidRPr="00882F11" w:rsidSect="008520CC">
          <w:type w:val="continuous"/>
          <w:pgSz w:w="11907" w:h="16839" w:code="9"/>
          <w:pgMar w:top="1440" w:right="1440" w:bottom="1440" w:left="1440" w:header="720" w:footer="720" w:gutter="0"/>
          <w:cols w:num="2" w:space="720"/>
          <w:bidi/>
          <w:docGrid w:linePitch="360"/>
        </w:sectPr>
      </w:pPr>
    </w:p>
    <w:p w:rsidR="00244CBD" w:rsidRPr="008520CC" w:rsidRDefault="00244CBD" w:rsidP="00244CBD">
      <w:pPr>
        <w:keepNext/>
        <w:tabs>
          <w:tab w:val="left" w:pos="3818"/>
          <w:tab w:val="center" w:pos="4680"/>
        </w:tabs>
        <w:bidi/>
        <w:jc w:val="center"/>
        <w:rPr>
          <w:rFonts w:cs="Guttman Drogolin"/>
          <w:b/>
          <w:bCs/>
          <w:sz w:val="48"/>
          <w:szCs w:val="48"/>
          <w:rtl/>
          <w:lang w:bidi="he-IL"/>
        </w:rPr>
      </w:pPr>
      <w:r w:rsidRPr="008520CC">
        <w:rPr>
          <w:rFonts w:cs="Guttman Drogolin" w:hint="cs"/>
          <w:b/>
          <w:bCs/>
          <w:sz w:val="48"/>
          <w:szCs w:val="48"/>
          <w:rtl/>
          <w:lang w:bidi="he-IL"/>
        </w:rPr>
        <w:lastRenderedPageBreak/>
        <w:t>שיעור ק"ה</w:t>
      </w:r>
    </w:p>
    <w:p w:rsidR="008520CC" w:rsidRDefault="008520CC" w:rsidP="00244CBD">
      <w:pPr>
        <w:pStyle w:val="Heading1"/>
        <w:bidi/>
        <w:spacing w:before="0" w:line="360" w:lineRule="auto"/>
        <w:jc w:val="center"/>
        <w:rPr>
          <w:rFonts w:cs="Guttman Drogolin"/>
          <w:color w:val="auto"/>
          <w:sz w:val="24"/>
          <w:szCs w:val="24"/>
          <w:u w:val="single"/>
          <w:rtl/>
          <w:lang w:bidi="he-IL"/>
        </w:rPr>
        <w:sectPr w:rsidR="008520CC" w:rsidSect="008520CC">
          <w:headerReference w:type="default" r:id="rId78"/>
          <w:pgSz w:w="11907" w:h="16839" w:code="9"/>
          <w:pgMar w:top="1440" w:right="1440" w:bottom="1440" w:left="1440" w:header="720" w:footer="720" w:gutter="0"/>
          <w:cols w:space="720"/>
          <w:bidi/>
          <w:docGrid w:linePitch="360"/>
        </w:sectPr>
      </w:pPr>
    </w:p>
    <w:p w:rsidR="00244CBD" w:rsidRPr="00882F11" w:rsidRDefault="00244CBD" w:rsidP="00244CBD">
      <w:pPr>
        <w:pStyle w:val="Heading1"/>
        <w:bidi/>
        <w:spacing w:before="0" w:line="360" w:lineRule="auto"/>
        <w:jc w:val="center"/>
        <w:rPr>
          <w:rFonts w:cs="Guttman Drogolin"/>
          <w:color w:val="auto"/>
          <w:sz w:val="24"/>
          <w:szCs w:val="24"/>
          <w:u w:val="single"/>
          <w:rtl/>
          <w:lang w:bidi="he-IL"/>
        </w:rPr>
      </w:pPr>
      <w:bookmarkStart w:id="422" w:name="_Toc496175669"/>
      <w:r w:rsidRPr="00882F11">
        <w:rPr>
          <w:rFonts w:cs="Guttman Drogolin" w:hint="cs"/>
          <w:color w:val="auto"/>
          <w:sz w:val="24"/>
          <w:szCs w:val="24"/>
          <w:u w:val="single"/>
          <w:rtl/>
          <w:lang w:bidi="he-IL"/>
        </w:rPr>
        <w:lastRenderedPageBreak/>
        <w:t>בדברי החמודי דניאל</w:t>
      </w:r>
      <w:bookmarkEnd w:id="422"/>
    </w:p>
    <w:p w:rsidR="00012E6B" w:rsidRPr="00882F11" w:rsidRDefault="00AA5661" w:rsidP="00244CBD">
      <w:pPr>
        <w:tabs>
          <w:tab w:val="right" w:pos="7497"/>
        </w:tabs>
        <w:bidi/>
        <w:jc w:val="both"/>
        <w:rPr>
          <w:rFonts w:cs="Guttman Drogolin"/>
          <w:rtl/>
          <w:lang w:bidi="he-IL"/>
        </w:rPr>
      </w:pPr>
      <w:r>
        <w:rPr>
          <w:rFonts w:cs="Guttman Drogolin"/>
          <w:rtl/>
          <w:lang w:bidi="he-IL"/>
        </w:rPr>
        <w:fldChar w:fldCharType="begin"/>
      </w:r>
      <w:r>
        <w:instrText xml:space="preserve"> XE "</w:instrText>
      </w:r>
      <w:r w:rsidRPr="00E0295B">
        <w:rPr>
          <w:rFonts w:hint="cs"/>
          <w:rtl/>
          <w:lang w:bidi="he-IL"/>
        </w:rPr>
        <w:instrText>העברת טעם</w:instrText>
      </w:r>
      <w:r w:rsidRPr="00E0295B">
        <w:rPr>
          <w:rtl/>
        </w:rPr>
        <w:instrText>:</w:instrText>
      </w:r>
      <w:r w:rsidRPr="00E0295B">
        <w:rPr>
          <w:rFonts w:hint="cs"/>
          <w:rtl/>
          <w:lang w:bidi="he-IL"/>
        </w:rPr>
        <w:instrText>ע</w:instrText>
      </w:r>
      <w:r>
        <w:rPr>
          <w:rFonts w:eastAsiaTheme="minorEastAsia"/>
          <w:lang w:bidi="he-IL"/>
        </w:rPr>
        <w:instrText>\</w:instrText>
      </w:r>
      <w:r w:rsidRPr="00E0295B">
        <w:rPr>
          <w:rFonts w:hint="cs"/>
          <w:rtl/>
          <w:lang w:bidi="he-IL"/>
        </w:rPr>
        <w:instrText>"י חום - אי בעי שיהוי מעט</w:instrText>
      </w:r>
      <w:r>
        <w:instrText xml:space="preserve">" </w:instrText>
      </w:r>
      <w:r>
        <w:rPr>
          <w:rFonts w:cs="Guttman Drogolin"/>
          <w:rtl/>
          <w:lang w:bidi="he-IL"/>
        </w:rPr>
        <w:fldChar w:fldCharType="end"/>
      </w:r>
      <w:r w:rsidR="00244CBD" w:rsidRPr="00882F11">
        <w:rPr>
          <w:rFonts w:cs="Guttman Drogolin" w:hint="cs"/>
          <w:rtl/>
          <w:lang w:bidi="he-IL"/>
        </w:rPr>
        <w:t xml:space="preserve">הפת"ש בסי' ק"ה ס"ק ח* הביא מס' חמודי דניאל קולא שיש בה נפק"מ מאד גדולה לענין מעשה. והוא שאם נפל איסור לתוך היתר באופן שההיתר צריך להיות נאסר על ידו, אינו נאסר אא"כ שהה קצת, ולכן אם הוציאו מיד אינו נאסר. והביא ראי' לדבריו מסי' צ"ב סע' ב', דאמרינן שם שאם נפל טיפת חלב ע"ג חתיכת בשר ואין ס' בחתיכה כנגד החלב, כל החתיכה אסורה ונעשית נבילה, אבל אם ניער או כיסה מיד אפשר לצרף כל התבשיל שבקדירה לבטל הטיפה ויצא שההכל מותר. </w:t>
      </w:r>
      <w:r w:rsidR="00012E6B" w:rsidRPr="00882F11">
        <w:rPr>
          <w:rFonts w:cs="Guttman Drogolin" w:hint="cs"/>
          <w:rtl/>
          <w:lang w:bidi="he-IL"/>
        </w:rPr>
        <w:t>והניעור שהוא מיד הוא ע"כ אחרי שנפל הטיפה, וחזינן דכה"ג לא נאסר, וא"כ מאי שנא נד"ד.</w:t>
      </w:r>
    </w:p>
    <w:p w:rsidR="00012E6B" w:rsidRPr="00882F11" w:rsidRDefault="00012E6B" w:rsidP="00012E6B">
      <w:pPr>
        <w:tabs>
          <w:tab w:val="right" w:pos="7497"/>
        </w:tabs>
        <w:bidi/>
        <w:jc w:val="both"/>
        <w:rPr>
          <w:rFonts w:cs="Guttman Drogolin"/>
          <w:rtl/>
          <w:lang w:bidi="he-IL"/>
        </w:rPr>
      </w:pPr>
      <w:r w:rsidRPr="00882F11">
        <w:rPr>
          <w:rFonts w:cs="Guttman Drogolin" w:hint="cs"/>
          <w:rtl/>
          <w:lang w:bidi="he-IL"/>
        </w:rPr>
        <w:t>ורצוני לבאר ראי' זו יותר, שלכאורה אין הנידון דומה לראי', דהכא לענין איסור אתינן עלה, ויתכן דהתם באמת נאסר, רק דאמרינן שלא נעשית נבילה, וכדאמרינן בעלמא שבסופו להתפשט לא אמרינן דנעשית נבילה. אלא דלכאורה ראיתו במקומו עומד, דהא בשעה שנפל אין הכרח שהי' עומד להתפשט, דיתכן שרק אחרי שנפל החליט לכסות ולהציך תבשילו, וא"כ לכאורה למה לא אמרינן שנאסר ברגע הראשון שנכנס הטעם ושוב לא מהני כיסוי אא"כ החתיכה באמת עדיין לא קיבלה טעם איסור. ומזה הוכיח החמודי דניאל דע"כ כן שהוא שאינו מקבל טעם מיד.</w:t>
      </w:r>
    </w:p>
    <w:p w:rsidR="00D7037C" w:rsidRPr="00882F11" w:rsidRDefault="00012E6B" w:rsidP="00650B75">
      <w:pPr>
        <w:tabs>
          <w:tab w:val="right" w:pos="7497"/>
        </w:tabs>
        <w:bidi/>
        <w:jc w:val="both"/>
        <w:rPr>
          <w:rFonts w:cs="Guttman Drogolin"/>
          <w:rtl/>
          <w:lang w:bidi="he-IL"/>
        </w:rPr>
      </w:pPr>
      <w:r w:rsidRPr="00882F11">
        <w:rPr>
          <w:rFonts w:cs="Guttman Drogolin" w:hint="cs"/>
          <w:rtl/>
          <w:lang w:bidi="he-IL"/>
        </w:rPr>
        <w:t xml:space="preserve">והיד יהודה חלק על החמודי דניאל. והביא ראי' מן הגמ' דמס' פסחים דף ע"ו ע"א. דאמרינן התם </w:t>
      </w:r>
      <w:r w:rsidR="00AF03D0" w:rsidRPr="00882F11">
        <w:rPr>
          <w:rFonts w:cs="Guttman Drogolin" w:hint="cs"/>
          <w:rtl/>
          <w:lang w:bidi="he-IL"/>
        </w:rPr>
        <w:t>שאם נפל ח</w:t>
      </w:r>
      <w:r w:rsidR="00650B75" w:rsidRPr="00882F11">
        <w:rPr>
          <w:rFonts w:cs="Guttman Drogolin" w:hint="cs"/>
          <w:rtl/>
          <w:lang w:bidi="he-IL"/>
        </w:rPr>
        <w:t>ם</w:t>
      </w:r>
      <w:r w:rsidR="00AF03D0" w:rsidRPr="00882F11">
        <w:rPr>
          <w:rFonts w:cs="Guttman Drogolin" w:hint="cs"/>
          <w:rtl/>
          <w:lang w:bidi="he-IL"/>
        </w:rPr>
        <w:t xml:space="preserve"> לתוך צונן אליבא דמ"ד תתאה גבר מ"מ נבלע כדי קליפה, משום דאדמיקר לי' בלע. ולכאורה הבליעה הזאת מידית, ולדעת החמודי דניאל הי' צריך להיות שאינו נבלע כלל. וכן </w:t>
      </w:r>
      <w:r w:rsidR="0096045E" w:rsidRPr="00882F11">
        <w:rPr>
          <w:rFonts w:cs="Guttman Drogolin" w:hint="cs"/>
          <w:rtl/>
          <w:lang w:bidi="he-IL"/>
        </w:rPr>
        <w:t xml:space="preserve">ראיתי בשם דרכ"ת ס"ק ס"ה שהביא </w:t>
      </w:r>
      <w:r w:rsidR="00AF03D0" w:rsidRPr="00882F11">
        <w:rPr>
          <w:rFonts w:cs="Guttman Drogolin" w:hint="cs"/>
          <w:rtl/>
          <w:lang w:bidi="he-IL"/>
        </w:rPr>
        <w:t xml:space="preserve">ראי' מזה שמעיקר הדין מהני הגעלה אפילו כשהכניס רק לרגע א'. </w:t>
      </w:r>
      <w:r w:rsidR="0096045E" w:rsidRPr="00882F11">
        <w:rPr>
          <w:rFonts w:cs="Guttman Drogolin" w:hint="cs"/>
          <w:rtl/>
          <w:lang w:bidi="he-IL"/>
        </w:rPr>
        <w:t xml:space="preserve">והעירו התלמידים שלכאורה כן מבואר גם מדברי הט"ז בסי' צ"ב ס"ק ל' דלא כחמודי דניאל שכתב "וכן קיימא לן בתוחב כף איסור לקדירה דאוסר </w:t>
      </w:r>
      <w:r w:rsidR="0096045E" w:rsidRPr="00882F11">
        <w:rPr>
          <w:rFonts w:cs="Guttman Drogolin" w:hint="cs"/>
          <w:rtl/>
          <w:lang w:bidi="he-IL"/>
        </w:rPr>
        <w:lastRenderedPageBreak/>
        <w:t xml:space="preserve">תקף אפילו אם מוציאו תכף ממנו". ולכאורה א"כ אין מקום להקל כדברי החמודי דניאל. </w:t>
      </w:r>
      <w:r w:rsidR="00AF03D0" w:rsidRPr="00882F11">
        <w:rPr>
          <w:rFonts w:cs="Guttman Drogolin" w:hint="cs"/>
          <w:rtl/>
          <w:lang w:bidi="he-IL"/>
        </w:rPr>
        <w:t xml:space="preserve"> </w:t>
      </w:r>
    </w:p>
    <w:p w:rsidR="002871A4" w:rsidRPr="00882F11" w:rsidRDefault="00D7037C" w:rsidP="002871A4">
      <w:pPr>
        <w:tabs>
          <w:tab w:val="right" w:pos="7497"/>
        </w:tabs>
        <w:bidi/>
        <w:jc w:val="both"/>
        <w:rPr>
          <w:rFonts w:cs="Guttman Drogolin"/>
          <w:rtl/>
          <w:lang w:bidi="he-IL"/>
        </w:rPr>
      </w:pPr>
      <w:r w:rsidRPr="00882F11">
        <w:rPr>
          <w:rFonts w:cs="Guttman Drogolin" w:hint="cs"/>
          <w:rtl/>
          <w:lang w:bidi="he-IL"/>
        </w:rPr>
        <w:t xml:space="preserve">אלא שעדיין יש ליישב הא דסי' צ"ב סע' ב'. ונראה שכוונת הדברים שלא אומרים חענ"ן עד שגמר הבליעה להתפשט, ולכן אם כיסה מיד כיון שלא גמר מלהתפשט עדיין לא נאמר הדין דנע"נ, אבל עדיין י"ל שיש לו כבר טעם, וכמש"נ. </w:t>
      </w:r>
      <w:r w:rsidR="002871A4" w:rsidRPr="00882F11">
        <w:rPr>
          <w:rFonts w:cs="Guttman Drogolin" w:hint="cs"/>
          <w:rtl/>
          <w:lang w:bidi="he-IL"/>
        </w:rPr>
        <w:t xml:space="preserve">ולמעשה אע"ג שהערוה"ש סע' מ"ג) שיבח סברת החמו"ד, קשה לסמוך עליו מהראיות הנ"ל שלא כדבריו, בפרט שהעורה"ש עצמו הזהיר דצריך להיות ממש מיד, ומי בטוח בנפשו שהיתה ממש מיד. וכן נקט במש"ז </w:t>
      </w:r>
      <w:r w:rsidR="002871A4" w:rsidRPr="00882F11">
        <w:rPr>
          <w:rFonts w:cs="Guttman Drogolin"/>
          <w:rtl/>
          <w:lang w:bidi="he-IL"/>
        </w:rPr>
        <w:t xml:space="preserve">סי' ס"ח מש"ז ס"ק ט' דין א' </w:t>
      </w:r>
      <w:r w:rsidR="002871A4" w:rsidRPr="00882F11">
        <w:rPr>
          <w:rFonts w:cs="Guttman Drogolin" w:hint="cs"/>
          <w:rtl/>
          <w:lang w:bidi="he-IL"/>
        </w:rPr>
        <w:t>וב</w:t>
      </w:r>
      <w:r w:rsidR="002871A4" w:rsidRPr="00882F11">
        <w:rPr>
          <w:rFonts w:cs="Guttman Drogolin"/>
          <w:rtl/>
          <w:lang w:bidi="he-IL"/>
        </w:rPr>
        <w:t>פתיחה לבב"ח ד"ה הנאה</w:t>
      </w:r>
      <w:r w:rsidR="002871A4" w:rsidRPr="00882F11">
        <w:rPr>
          <w:rFonts w:cs="Guttman Drogolin" w:hint="cs"/>
          <w:rtl/>
          <w:lang w:bidi="he-IL"/>
        </w:rPr>
        <w:t>. וכ"כ בשו"ת שבט הלוי ח"י סי' קט"ז "</w:t>
      </w:r>
      <w:r w:rsidR="002871A4" w:rsidRPr="00882F11">
        <w:rPr>
          <w:rFonts w:cs="Guttman Drogolin"/>
          <w:rtl/>
          <w:lang w:bidi="he-IL"/>
        </w:rPr>
        <w:t>והוראת הגאון נפש חי' בטלה נגד רוב בנין ומנין של גדולי האחרונים שדחו דעת חמודי דניאל בזה</w:t>
      </w:r>
      <w:r w:rsidR="002871A4" w:rsidRPr="00882F11">
        <w:rPr>
          <w:rFonts w:cs="Guttman Drogolin" w:hint="cs"/>
          <w:rtl/>
          <w:lang w:bidi="he-IL"/>
        </w:rPr>
        <w:t>".</w:t>
      </w:r>
    </w:p>
    <w:p w:rsidR="002871A4" w:rsidRPr="00882F11" w:rsidRDefault="002871A4" w:rsidP="002871A4">
      <w:pPr>
        <w:pStyle w:val="Heading1"/>
        <w:bidi/>
        <w:spacing w:before="0" w:line="360" w:lineRule="auto"/>
        <w:jc w:val="center"/>
        <w:rPr>
          <w:rFonts w:cs="Guttman Drogolin"/>
          <w:color w:val="auto"/>
          <w:sz w:val="24"/>
          <w:szCs w:val="24"/>
          <w:u w:val="single"/>
          <w:rtl/>
          <w:lang w:bidi="he-IL"/>
        </w:rPr>
      </w:pPr>
      <w:bookmarkStart w:id="423" w:name="_Toc496175670"/>
      <w:r w:rsidRPr="00882F11">
        <w:rPr>
          <w:rFonts w:cs="Guttman Drogolin" w:hint="cs"/>
          <w:color w:val="auto"/>
          <w:sz w:val="24"/>
          <w:szCs w:val="24"/>
          <w:u w:val="single"/>
          <w:rtl/>
          <w:lang w:bidi="he-IL"/>
        </w:rPr>
        <w:t>סי' צ"ד סע' ז'</w:t>
      </w:r>
      <w:bookmarkEnd w:id="423"/>
    </w:p>
    <w:p w:rsidR="00576B57" w:rsidRPr="00882F11" w:rsidRDefault="00AA5661" w:rsidP="00207D67">
      <w:pPr>
        <w:tabs>
          <w:tab w:val="right" w:pos="7497"/>
        </w:tabs>
        <w:bidi/>
        <w:jc w:val="both"/>
        <w:rPr>
          <w:rFonts w:cs="Guttman Drogolin"/>
          <w:rtl/>
          <w:lang w:bidi="he-IL"/>
        </w:rPr>
      </w:pPr>
      <w:r>
        <w:rPr>
          <w:rFonts w:cs="Guttman Drogolin"/>
          <w:rtl/>
          <w:lang w:bidi="he-IL"/>
        </w:rPr>
        <w:fldChar w:fldCharType="begin"/>
      </w:r>
      <w:r>
        <w:instrText xml:space="preserve"> XE "</w:instrText>
      </w:r>
      <w:r w:rsidRPr="002A490F">
        <w:rPr>
          <w:rFonts w:hint="cs"/>
          <w:rtl/>
          <w:lang w:bidi="he-IL"/>
        </w:rPr>
        <w:instrText>העברת טעם</w:instrText>
      </w:r>
      <w:r w:rsidRPr="002A490F">
        <w:rPr>
          <w:rtl/>
        </w:rPr>
        <w:instrText>:</w:instrText>
      </w:r>
      <w:r w:rsidRPr="002A490F">
        <w:rPr>
          <w:rFonts w:hint="cs"/>
          <w:rtl/>
          <w:lang w:bidi="he-IL"/>
        </w:rPr>
        <w:instrText>דבר גוש בכלי שני עם דוחקא דסכינא</w:instrText>
      </w:r>
      <w:r>
        <w:instrText xml:space="preserve">" </w:instrText>
      </w:r>
      <w:r>
        <w:rPr>
          <w:rFonts w:cs="Guttman Drogolin"/>
          <w:rtl/>
          <w:lang w:bidi="he-IL"/>
        </w:rPr>
        <w:fldChar w:fldCharType="end"/>
      </w:r>
      <w:r w:rsidR="00EC5495" w:rsidRPr="00882F11">
        <w:rPr>
          <w:rFonts w:cs="Guttman Drogolin" w:hint="cs"/>
          <w:rtl/>
          <w:lang w:bidi="he-IL"/>
        </w:rPr>
        <w:t xml:space="preserve">כתב המחבר בסי' צ"ד סע' ז' </w:t>
      </w:r>
      <w:r w:rsidR="00173D6E" w:rsidRPr="00882F11">
        <w:rPr>
          <w:rFonts w:cs="Guttman Drogolin" w:hint="cs"/>
          <w:rtl/>
          <w:lang w:bidi="he-IL"/>
        </w:rPr>
        <w:t>"</w:t>
      </w:r>
      <w:r w:rsidR="00173D6E" w:rsidRPr="00882F11">
        <w:rPr>
          <w:rFonts w:cs="Guttman Drogolin"/>
          <w:rtl/>
          <w:lang w:bidi="he-IL"/>
        </w:rPr>
        <w:t>בשר רותח שחתכו בסכין חולבת, כל החתיכה אסורה אם אין בה ששים כנגד מקום הסכין שחתך הבשר. אבל אם אינו בן יומו, או אם אינו יודע שהוא בן יומו, אינו אוסר אלא כדי קליפה</w:t>
      </w:r>
      <w:r w:rsidR="00173D6E" w:rsidRPr="00882F11">
        <w:rPr>
          <w:rFonts w:cs="Guttman Drogolin" w:hint="cs"/>
          <w:rtl/>
          <w:lang w:bidi="he-IL"/>
        </w:rPr>
        <w:t>". ומקור הדבר בטור בשם ר"פ, והוא מהגהות סמ"ק. ודרך אג יש לי קושיא על הטור. שהרי ז"ל כאן "</w:t>
      </w:r>
      <w:r w:rsidR="00207D67" w:rsidRPr="00882F11">
        <w:rPr>
          <w:rFonts w:cs="Guttman Drogolin"/>
          <w:rtl/>
          <w:lang w:bidi="he-IL"/>
        </w:rPr>
        <w:t>כתב ה"ר פרץ יש רוצים להתיר בשר רותח שחתכו בסכין חולבת ע"י קליפה וכדאמרינן גבי בית השחיטה רותח וסגי בקליפה ולא דמי להתם דהתם אין כל הבהמה רותחת אלא מקום בית השחיטה לבד אבל חתיכה שכולה רותחת כשחותכין אותה בסכין חולבת מתפשט בכולה וכולה אסורה</w:t>
      </w:r>
      <w:r w:rsidR="00207D67" w:rsidRPr="00882F11">
        <w:rPr>
          <w:rFonts w:cs="Guttman Drogolin" w:hint="cs"/>
          <w:rtl/>
          <w:lang w:bidi="he-IL"/>
        </w:rPr>
        <w:t>". הרי שהטעם שבית השחיטה אינה אוסרת אלא כדי קליפה היינו משום שאין יותר מכדי קליפה של המקום מתחמם. אלא דהנה בסי' ק"ה הביא הטור שיטת הרשב"א שכלי שני אוסר כדי קליפה, וראייתו מביתת השחיטה. והשיג עליו הטור "</w:t>
      </w:r>
      <w:r w:rsidR="00207D67" w:rsidRPr="00882F11">
        <w:rPr>
          <w:rFonts w:cs="Guttman Drogolin"/>
          <w:rtl/>
          <w:lang w:bidi="he-IL"/>
        </w:rPr>
        <w:t xml:space="preserve">ונראה לי שאין הנדון דומה לראיה שאין חום בית השחיטה וחום חלב הכסלים מפליט אלא כדי קליפה אבל </w:t>
      </w:r>
      <w:r w:rsidR="00207D67" w:rsidRPr="00882F11">
        <w:rPr>
          <w:rFonts w:cs="Guttman Drogolin"/>
          <w:rtl/>
          <w:lang w:bidi="he-IL"/>
        </w:rPr>
        <w:lastRenderedPageBreak/>
        <w:t>להבליע בכל ההיתר לא חשוב חום אא"כ היד סולדת בו</w:t>
      </w:r>
      <w:r w:rsidR="00207D67" w:rsidRPr="00882F11">
        <w:rPr>
          <w:rFonts w:cs="Guttman Drogolin" w:hint="cs"/>
          <w:rtl/>
          <w:lang w:bidi="he-IL"/>
        </w:rPr>
        <w:t>". וא"כ לכאורה צ"ע, דכיון שהטור הביא בסי' צ"א שאין בית השחיטה מתחמם יותר משיעור כדי קליפה, איזה השגה יש על הרשב"א בזה, הא שפיר י"ל שלעולם כלי שני אוסר בכולו, והטעם שבבית השחיטה אינו אוסר אלא כדי קליפה היינו משום שרק כדי קליפה חם כשיעור. וצ"ע.</w:t>
      </w:r>
    </w:p>
    <w:p w:rsidR="00576B57" w:rsidRPr="00882F11" w:rsidRDefault="00576B57" w:rsidP="00576B57">
      <w:pPr>
        <w:tabs>
          <w:tab w:val="right" w:pos="7497"/>
        </w:tabs>
        <w:bidi/>
        <w:jc w:val="both"/>
        <w:rPr>
          <w:rFonts w:cs="Guttman Drogolin"/>
          <w:rtl/>
          <w:lang w:bidi="he-IL"/>
        </w:rPr>
      </w:pPr>
      <w:r w:rsidRPr="00882F11">
        <w:rPr>
          <w:rFonts w:cs="Guttman Drogolin" w:hint="cs"/>
          <w:rtl/>
          <w:lang w:bidi="he-IL"/>
        </w:rPr>
        <w:t>והנה בעצם דברי ר"פ והשו"ע יש כמה קושיות. חדא שהרי אפילו את"ל שכולו חם, הא אינו אלא צלי, וצלי הרי קיי"ל שאינו אוסר אלא שיעור כדי קליפה, ולכן צ"ע למה אוסר בכולו. וע' ב"י וש"ך כמה תירוצים</w:t>
      </w:r>
      <w:r w:rsidR="00207D67" w:rsidRPr="00882F11">
        <w:rPr>
          <w:rFonts w:cs="Guttman Drogolin" w:hint="cs"/>
          <w:rtl/>
          <w:lang w:bidi="he-IL"/>
        </w:rPr>
        <w:t xml:space="preserve"> </w:t>
      </w:r>
      <w:r w:rsidRPr="00882F11">
        <w:rPr>
          <w:rFonts w:cs="Guttman Drogolin" w:hint="cs"/>
          <w:rtl/>
          <w:lang w:bidi="he-IL"/>
        </w:rPr>
        <w:t>לזה. והב"י כתב שהוא משום שיש שמנונית על הסכין, ותמה בזה בחוו"ד שהרי משום שמנונית אינו אוסר אלא כדי קליפה וכדמבואר כאן בשו"ע, וחידש ע"פ זה דשאני הכא שיש גם בליעות וגם שמנונית ולכן אוסר בכולו. וגם הב"י וגם הש"ך הביאו לתרץ דשאני הכא שיש גם דוחקא דסכינא. ור"ל שכל הדין דצלי אוסר רק כדי קליפה היינו בלי דוחקא דסכינא, אבל עם דוחקא דסכינא אוסר בכולו.</w:t>
      </w:r>
    </w:p>
    <w:p w:rsidR="00D473A9" w:rsidRPr="00882F11" w:rsidRDefault="00576B57" w:rsidP="00FD6228">
      <w:pPr>
        <w:tabs>
          <w:tab w:val="right" w:pos="7497"/>
        </w:tabs>
        <w:bidi/>
        <w:jc w:val="both"/>
        <w:rPr>
          <w:rFonts w:cs="Guttman Drogolin"/>
          <w:rtl/>
          <w:lang w:bidi="he-IL"/>
        </w:rPr>
      </w:pPr>
      <w:r w:rsidRPr="00882F11">
        <w:rPr>
          <w:rFonts w:cs="Guttman Drogolin" w:hint="cs"/>
          <w:rtl/>
          <w:lang w:bidi="he-IL"/>
        </w:rPr>
        <w:t>ואנחנו מוצאים כאן עוד חומרא בדוחקא. שהרי הרמ"א כתב כאן "</w:t>
      </w:r>
      <w:r w:rsidR="00173D6E" w:rsidRPr="00882F11">
        <w:rPr>
          <w:rFonts w:cs="Guttman Drogolin"/>
          <w:rtl/>
          <w:lang w:bidi="he-IL"/>
        </w:rPr>
        <w:t>וכל זה בבשר רותח בכלי ראשון, ואז אם הסכין בן יומו ואין ס' בבשר נגד הסכין הכל אסור, ואף הסכין צריך הגעלה. אבל אם הוא כלי שני</w:t>
      </w:r>
      <w:r w:rsidRPr="00882F11">
        <w:rPr>
          <w:rFonts w:cs="Guttman Drogolin"/>
          <w:rtl/>
          <w:lang w:bidi="he-IL"/>
        </w:rPr>
        <w:t xml:space="preserve"> הבשר צריך קליפה</w:t>
      </w:r>
      <w:r w:rsidR="00173D6E" w:rsidRPr="00882F11">
        <w:rPr>
          <w:rFonts w:cs="Guttman Drogolin"/>
          <w:rtl/>
          <w:lang w:bidi="he-IL"/>
        </w:rPr>
        <w:t xml:space="preserve"> והסכין, נעיצה בקרקע (ארוך כלל ל"ו), וכן נוהגין.</w:t>
      </w:r>
      <w:r w:rsidRPr="00882F11">
        <w:rPr>
          <w:rFonts w:cs="Guttman Drogolin" w:hint="cs"/>
          <w:rtl/>
          <w:lang w:bidi="he-IL"/>
        </w:rPr>
        <w:t>". הרי דחזינן לדעתי' דרמ"א שדבר גוש בקערה יש לו ג"כ הקולא של כלי שני. ולכאורה צ"ע הראי' מבית השחיטה שאוסר אע"פ שהוא ככי שני וכמש"כ הראשונים. ובביאור הגר"א סי' ק"ה כתב ליישב דשאני בית השחיטה שיש גם דוחקא דסכינא. וכ"כ כאן הט"ז לחלק בזה. והגר"א שם ציין לדברי הרמ"א כאן ולכאורה כוונתו שזהו הטעם שהרמ"א החמיר להצריך קליפה אפילו הוא כלי שני. אב</w:t>
      </w:r>
      <w:r w:rsidR="00D473A9" w:rsidRPr="00882F11">
        <w:rPr>
          <w:rFonts w:cs="Guttman Drogolin" w:hint="cs"/>
          <w:rtl/>
          <w:lang w:bidi="he-IL"/>
        </w:rPr>
        <w:t>ל</w:t>
      </w:r>
      <w:r w:rsidRPr="00882F11">
        <w:rPr>
          <w:rFonts w:cs="Guttman Drogolin" w:hint="cs"/>
          <w:rtl/>
          <w:lang w:bidi="he-IL"/>
        </w:rPr>
        <w:t xml:space="preserve"> יעוין כאן ברע"א </w:t>
      </w:r>
      <w:r w:rsidR="00D473A9" w:rsidRPr="00882F11">
        <w:rPr>
          <w:rFonts w:cs="Guttman Drogolin" w:hint="cs"/>
          <w:rtl/>
          <w:lang w:bidi="he-IL"/>
        </w:rPr>
        <w:t xml:space="preserve">בשם תו"ח </w:t>
      </w:r>
      <w:r w:rsidRPr="00882F11">
        <w:rPr>
          <w:rFonts w:cs="Guttman Drogolin" w:hint="cs"/>
          <w:rtl/>
          <w:lang w:bidi="he-IL"/>
        </w:rPr>
        <w:t xml:space="preserve">שכתב </w:t>
      </w:r>
      <w:r w:rsidRPr="00882F11">
        <w:rPr>
          <w:rFonts w:cs="Guttman Drogolin" w:hint="cs"/>
          <w:rtl/>
          <w:lang w:bidi="he-IL"/>
        </w:rPr>
        <w:lastRenderedPageBreak/>
        <w:t xml:space="preserve">שהחיוב קליפה הוא </w:t>
      </w:r>
      <w:r w:rsidR="00D473A9" w:rsidRPr="00882F11">
        <w:rPr>
          <w:rFonts w:cs="Guttman Drogolin" w:hint="cs"/>
          <w:rtl/>
          <w:lang w:bidi="he-IL"/>
        </w:rPr>
        <w:t>משום שמ</w:t>
      </w:r>
      <w:r w:rsidR="00FD6228" w:rsidRPr="00882F11">
        <w:rPr>
          <w:rFonts w:cs="Guttman Drogolin" w:hint="cs"/>
          <w:rtl/>
          <w:lang w:bidi="he-IL"/>
        </w:rPr>
        <w:t>נ</w:t>
      </w:r>
      <w:r w:rsidR="00D473A9" w:rsidRPr="00882F11">
        <w:rPr>
          <w:rFonts w:cs="Guttman Drogolin" w:hint="cs"/>
          <w:rtl/>
          <w:lang w:bidi="he-IL"/>
        </w:rPr>
        <w:t xml:space="preserve">ונית, </w:t>
      </w:r>
      <w:r w:rsidR="00FD6228" w:rsidRPr="00882F11">
        <w:rPr>
          <w:rFonts w:cs="Guttman Drogolin" w:hint="cs"/>
          <w:rtl/>
          <w:lang w:bidi="he-IL"/>
        </w:rPr>
        <w:t>ויש להסתפק אם כוונתו שאין בליעה בכלי שני כלל, אפילו אם הוא דבר גוש ויש דוחקא דסכינא, או"ד שכוונתו שליכא בליעה אלא משמנונית ולא מכלי, ולעולם גם הרמ"א מודה ששייך בליעה בדבר גוש בכלי שני היכא דאיכא שמנונית ודוחקא דסכינא. וע' בביאורים לבדה"ש שהאריך בזה</w:t>
      </w:r>
      <w:r w:rsidR="00D473A9" w:rsidRPr="00882F11">
        <w:rPr>
          <w:rFonts w:cs="Guttman Drogolin" w:hint="cs"/>
          <w:rtl/>
          <w:lang w:bidi="he-IL"/>
        </w:rPr>
        <w:t xml:space="preserve">. ויל"ע לפי </w:t>
      </w:r>
      <w:r w:rsidR="00FD6228" w:rsidRPr="00882F11">
        <w:rPr>
          <w:rFonts w:cs="Guttman Drogolin" w:hint="cs"/>
          <w:rtl/>
          <w:lang w:bidi="he-IL"/>
        </w:rPr>
        <w:t>הצד דליכא בליעה בכלי שני כלל</w:t>
      </w:r>
      <w:r w:rsidR="00D473A9" w:rsidRPr="00882F11">
        <w:rPr>
          <w:rFonts w:cs="Guttman Drogolin" w:hint="cs"/>
          <w:rtl/>
          <w:lang w:bidi="he-IL"/>
        </w:rPr>
        <w:t xml:space="preserve"> מה יעשה הרמ"א בראי' מבית השחיטה.</w:t>
      </w:r>
    </w:p>
    <w:p w:rsidR="002871A4" w:rsidRPr="00882F11" w:rsidRDefault="00D473A9" w:rsidP="00D473A9">
      <w:pPr>
        <w:tabs>
          <w:tab w:val="right" w:pos="7497"/>
        </w:tabs>
        <w:bidi/>
        <w:jc w:val="both"/>
        <w:rPr>
          <w:rFonts w:cs="Guttman Drogolin"/>
          <w:rtl/>
          <w:lang w:bidi="he-IL"/>
        </w:rPr>
      </w:pPr>
      <w:r w:rsidRPr="00882F11">
        <w:rPr>
          <w:rFonts w:cs="Guttman Drogolin" w:hint="cs"/>
          <w:rtl/>
          <w:lang w:bidi="he-IL"/>
        </w:rPr>
        <w:t>עוד יש להדגיש מה דחזינן כאן בסע' ח' שבהא דבליעות יוצאים מכלי לאוכל בלי רוטב, אינו אוסר רק כדי קליפה ולא כדי נטילה שהוא השיעור שצריכים בעלמא בצלי.</w:t>
      </w:r>
      <w:r w:rsidR="00173D6E" w:rsidRPr="00882F11">
        <w:rPr>
          <w:rFonts w:cs="Guttman Drogolin"/>
          <w:rtl/>
          <w:lang w:bidi="he-IL"/>
        </w:rPr>
        <w:t xml:space="preserve"> </w:t>
      </w:r>
    </w:p>
    <w:p w:rsidR="00273B8F" w:rsidRPr="00882F11" w:rsidRDefault="00273B8F" w:rsidP="008520CC">
      <w:pPr>
        <w:pStyle w:val="Heading1"/>
        <w:bidi/>
        <w:spacing w:before="0" w:line="240" w:lineRule="auto"/>
        <w:jc w:val="center"/>
        <w:rPr>
          <w:rFonts w:cs="Guttman Drogolin"/>
          <w:color w:val="auto"/>
          <w:sz w:val="24"/>
          <w:szCs w:val="24"/>
          <w:u w:val="single"/>
          <w:rtl/>
          <w:lang w:bidi="he-IL"/>
        </w:rPr>
      </w:pPr>
      <w:bookmarkStart w:id="424" w:name="_Toc496175671"/>
      <w:r w:rsidRPr="00882F11">
        <w:rPr>
          <w:rFonts w:cs="Guttman Drogolin" w:hint="cs"/>
          <w:color w:val="auto"/>
          <w:sz w:val="24"/>
          <w:szCs w:val="24"/>
          <w:u w:val="single"/>
          <w:rtl/>
          <w:lang w:bidi="he-IL"/>
        </w:rPr>
        <w:t>בביאור שיטת ר"ת בהא שבחם לתוך צונן צריכים להסיר כדי קליפה</w:t>
      </w:r>
      <w:bookmarkEnd w:id="424"/>
    </w:p>
    <w:p w:rsidR="00273B8F" w:rsidRPr="00882F11" w:rsidRDefault="00AA5661" w:rsidP="00273B8F">
      <w:pPr>
        <w:tabs>
          <w:tab w:val="right" w:pos="7497"/>
        </w:tabs>
        <w:bidi/>
        <w:jc w:val="both"/>
        <w:rPr>
          <w:rFonts w:cs="Guttman Drogolin"/>
          <w:rtl/>
          <w:lang w:bidi="he-IL"/>
        </w:rPr>
      </w:pPr>
      <w:r>
        <w:rPr>
          <w:rFonts w:cs="Guttman Drogolin"/>
          <w:rtl/>
          <w:lang w:bidi="he-IL"/>
        </w:rPr>
        <w:fldChar w:fldCharType="begin"/>
      </w:r>
      <w:r>
        <w:instrText xml:space="preserve"> XE "</w:instrText>
      </w:r>
      <w:r w:rsidRPr="002D4BF1">
        <w:rPr>
          <w:rFonts w:hint="cs"/>
          <w:rtl/>
          <w:lang w:bidi="he-IL"/>
        </w:rPr>
        <w:instrText>עירוי</w:instrText>
      </w:r>
      <w:r w:rsidRPr="002D4BF1">
        <w:rPr>
          <w:rtl/>
        </w:rPr>
        <w:instrText>:</w:instrText>
      </w:r>
      <w:r w:rsidRPr="002D4BF1">
        <w:rPr>
          <w:rFonts w:hint="cs"/>
          <w:rtl/>
          <w:lang w:bidi="he-IL"/>
        </w:rPr>
        <w:instrText>שיטת ר</w:instrText>
      </w:r>
      <w:r>
        <w:rPr>
          <w:rFonts w:eastAsiaTheme="minorEastAsia"/>
          <w:lang w:bidi="he-IL"/>
        </w:rPr>
        <w:instrText>\</w:instrText>
      </w:r>
      <w:r w:rsidRPr="002D4BF1">
        <w:rPr>
          <w:rFonts w:hint="cs"/>
          <w:rtl/>
          <w:lang w:bidi="he-IL"/>
        </w:rPr>
        <w:instrText>"ת</w:instrText>
      </w:r>
      <w:r>
        <w:instrText xml:space="preserve">" </w:instrText>
      </w:r>
      <w:r>
        <w:rPr>
          <w:rFonts w:cs="Guttman Drogolin"/>
          <w:rtl/>
          <w:lang w:bidi="he-IL"/>
        </w:rPr>
        <w:fldChar w:fldCharType="end"/>
      </w:r>
      <w:r w:rsidR="00273B8F" w:rsidRPr="00882F11">
        <w:rPr>
          <w:rFonts w:cs="Guttman Drogolin" w:hint="cs"/>
          <w:rtl/>
          <w:lang w:bidi="he-IL"/>
        </w:rPr>
        <w:t>כבר הבאנו שיטת ר"ת דאע"ג שבחם לתוך צונן צריכים להסיר קליפה, מ"מ אם נפל כגון בשר לתוך חלב אין צריכים ששים בחלב של היתר כנגד כדי קליפה של חלב שנאסר. ויל"ע מהו יסוד שיטתו</w:t>
      </w:r>
      <w:r w:rsidR="003B1454" w:rsidRPr="00882F11">
        <w:rPr>
          <w:rFonts w:cs="Guttman Drogolin" w:hint="cs"/>
          <w:rtl/>
          <w:lang w:bidi="he-IL"/>
        </w:rPr>
        <w:t xml:space="preserve">. ולומר שהוא רק חומרא בעלמא קשה וכמו שהאריך הש"ך להביא ראיות שהשיעור כדי קליפה הוא מעיקר הדין. </w:t>
      </w:r>
    </w:p>
    <w:p w:rsidR="003B1454" w:rsidRPr="00882F11" w:rsidRDefault="00273B8F" w:rsidP="00655298">
      <w:pPr>
        <w:tabs>
          <w:tab w:val="right" w:pos="7497"/>
        </w:tabs>
        <w:bidi/>
        <w:jc w:val="both"/>
        <w:rPr>
          <w:rFonts w:cs="Guttman Drogolin"/>
          <w:rtl/>
          <w:lang w:bidi="he-IL"/>
        </w:rPr>
      </w:pPr>
      <w:r w:rsidRPr="00882F11">
        <w:rPr>
          <w:rFonts w:cs="Guttman Drogolin" w:hint="cs"/>
          <w:rtl/>
          <w:lang w:bidi="he-IL"/>
        </w:rPr>
        <w:t xml:space="preserve">והחוו"ד נקט שהביאור הוא שכשנופל חם ע"ג צונן נבלע טעם בחלק החיצון של החתיכה באופן שיכול לתת טעם רק בכדי קליפה של המאכל. אבל באמת אין שם </w:t>
      </w:r>
      <w:r w:rsidR="00655298" w:rsidRPr="00882F11">
        <w:rPr>
          <w:rFonts w:cs="Guttman Drogolin" w:hint="cs"/>
          <w:rtl/>
          <w:lang w:bidi="he-IL"/>
        </w:rPr>
        <w:t>אלא בליעה מועטת אע"ג שיכול לתת טעם ל</w:t>
      </w:r>
      <w:r w:rsidRPr="00882F11">
        <w:rPr>
          <w:rFonts w:cs="Guttman Drogolin" w:hint="cs"/>
          <w:rtl/>
          <w:lang w:bidi="he-IL"/>
        </w:rPr>
        <w:t xml:space="preserve">כדי קליפה של </w:t>
      </w:r>
      <w:r w:rsidR="00655298" w:rsidRPr="00882F11">
        <w:rPr>
          <w:rFonts w:cs="Guttman Drogolin" w:hint="cs"/>
          <w:rtl/>
          <w:lang w:bidi="he-IL"/>
        </w:rPr>
        <w:t>ההיתר.</w:t>
      </w:r>
      <w:r w:rsidRPr="00882F11">
        <w:rPr>
          <w:rFonts w:cs="Guttman Drogolin" w:hint="cs"/>
          <w:rtl/>
          <w:lang w:bidi="he-IL"/>
        </w:rPr>
        <w:t xml:space="preserve"> ולכן אם </w:t>
      </w:r>
      <w:r w:rsidR="00655298" w:rsidRPr="00882F11">
        <w:rPr>
          <w:rFonts w:cs="Guttman Drogolin" w:hint="cs"/>
          <w:rtl/>
          <w:lang w:bidi="he-IL"/>
        </w:rPr>
        <w:t xml:space="preserve">הטעם איסור </w:t>
      </w:r>
      <w:r w:rsidRPr="00882F11">
        <w:rPr>
          <w:rFonts w:cs="Guttman Drogolin" w:hint="cs"/>
          <w:rtl/>
          <w:lang w:bidi="he-IL"/>
        </w:rPr>
        <w:t>התערב לתוך דבר לח</w:t>
      </w:r>
      <w:r w:rsidR="00655298" w:rsidRPr="00882F11">
        <w:rPr>
          <w:rFonts w:cs="Guttman Drogolin" w:hint="cs"/>
          <w:rtl/>
          <w:lang w:bidi="he-IL"/>
        </w:rPr>
        <w:t>, אין צורך לשער כנגד כל הכדי קליפה כיון דלא ידעינן כמה נפיק מיני' וכדבעלמא, דהא ידעינן מעיקרא שלא היתה אלא בליעה מועטת כיון דאדמיקר לי' בלע, ולכן כיון שמתערב טעם האיסור בכל החלה אמרינן שבודאי א</w:t>
      </w:r>
      <w:r w:rsidRPr="00882F11">
        <w:rPr>
          <w:rFonts w:cs="Guttman Drogolin" w:hint="cs"/>
          <w:rtl/>
          <w:lang w:bidi="he-IL"/>
        </w:rPr>
        <w:t>יכא ס' כנגדו.</w:t>
      </w:r>
      <w:r w:rsidR="00655298" w:rsidRPr="00882F11">
        <w:rPr>
          <w:rFonts w:cs="Guttman Drogolin" w:hint="cs"/>
          <w:rtl/>
          <w:lang w:bidi="he-IL"/>
        </w:rPr>
        <w:t xml:space="preserve"> וע"ש הטעם דלא אמרינן חענ"ן</w:t>
      </w:r>
      <w:r w:rsidR="00655298" w:rsidRPr="00882F11">
        <w:rPr>
          <w:rStyle w:val="FootnoteReference"/>
          <w:rFonts w:cs="Guttman Drogolin"/>
          <w:rtl/>
          <w:lang w:bidi="he-IL"/>
        </w:rPr>
        <w:footnoteReference w:id="419"/>
      </w:r>
      <w:r w:rsidR="00655298" w:rsidRPr="00882F11">
        <w:rPr>
          <w:rFonts w:cs="Guttman Drogolin" w:hint="cs"/>
          <w:rtl/>
          <w:lang w:bidi="he-IL"/>
        </w:rPr>
        <w:t>.</w:t>
      </w:r>
      <w:r w:rsidRPr="00882F11">
        <w:rPr>
          <w:rFonts w:cs="Guttman Drogolin" w:hint="cs"/>
          <w:rtl/>
          <w:lang w:bidi="he-IL"/>
        </w:rPr>
        <w:t xml:space="preserve"> </w:t>
      </w:r>
    </w:p>
    <w:p w:rsidR="003B1454" w:rsidRPr="00882F11" w:rsidRDefault="003B1454" w:rsidP="003B1454">
      <w:pPr>
        <w:tabs>
          <w:tab w:val="right" w:pos="7497"/>
        </w:tabs>
        <w:bidi/>
        <w:jc w:val="both"/>
        <w:rPr>
          <w:rFonts w:cs="Guttman Drogolin"/>
          <w:rtl/>
          <w:lang w:bidi="he-IL"/>
        </w:rPr>
      </w:pPr>
      <w:r w:rsidRPr="00882F11">
        <w:rPr>
          <w:rFonts w:cs="Guttman Drogolin" w:hint="cs"/>
          <w:rtl/>
          <w:lang w:bidi="he-IL"/>
        </w:rPr>
        <w:lastRenderedPageBreak/>
        <w:t>אלא שהרמ"א כתב שגם הבשר שנאסר כדי קליפה, אם חזר ונפל לתוך תבשיל אחר אין צריך ס' כנגד הכדי קליפה של הבשר. וע"כ סבר שאין חשש שנכנס בה טעם ממש רק חומרא בעלמא איכא. ועל זה קשה ראיות הש"ך ששיעור כדי קליפה הוא מעיקר הדין. וע"ש בש"ך שכתב דאה"נ ואינו אלא חומרא בעלמא אבל מ"מ מחמירים להצריך ס' בדבר הלח היכא שהכדי קליפה עדיין קיים, ומשום דלאסור הכדי קליפה ולא המשקין נראה כחוכא ואיטלולא. והרמ"א מיירי בכה"ג שהכדי קליפה נימוח ולכן אפשר להתיר הכל ושוב אמרינן שאינו אלא חומרא בעלמא. וע' גם בחוו"ד מש"כ ביישוב דברי הרמ"א.</w:t>
      </w:r>
    </w:p>
    <w:p w:rsidR="003B1454" w:rsidRPr="00882F11" w:rsidRDefault="003B1454" w:rsidP="003B1454">
      <w:pPr>
        <w:tabs>
          <w:tab w:val="right" w:pos="7497"/>
        </w:tabs>
        <w:bidi/>
        <w:jc w:val="both"/>
        <w:rPr>
          <w:rFonts w:cs="Guttman Drogolin"/>
          <w:rtl/>
          <w:lang w:bidi="he-IL"/>
        </w:rPr>
      </w:pPr>
      <w:r w:rsidRPr="00882F11">
        <w:rPr>
          <w:rFonts w:cs="Guttman Drogolin" w:hint="cs"/>
          <w:rtl/>
          <w:lang w:bidi="he-IL"/>
        </w:rPr>
        <w:t xml:space="preserve">ובמג"א בסי' תס"ז נקט דהא דאמרינן שהשיעור דכדי קליפה אינו אלא חמרא בעלמא, הנ"מ בהא דחם לתוך צונן, אבל בעלמא כשהצריכו כדי קליפה שפיר הוי מעיקר הדין. </w:t>
      </w:r>
      <w:r w:rsidR="00052F68" w:rsidRPr="00882F11">
        <w:rPr>
          <w:rFonts w:cs="Guttman Drogolin" w:hint="cs"/>
          <w:rtl/>
          <w:lang w:bidi="he-IL"/>
        </w:rPr>
        <w:t>אבל לכאורה יש מקורות שגם הכדי קליפה של עירוי משל כדי קליפה מעיקר הדין. כן לכאורה מבואר מתוס' במס' זבחים צ"ה ע"</w:t>
      </w:r>
      <w:r w:rsidR="00B26423" w:rsidRPr="00882F11">
        <w:rPr>
          <w:rFonts w:cs="Guttman Drogolin" w:hint="cs"/>
          <w:rtl/>
          <w:lang w:bidi="he-IL"/>
        </w:rPr>
        <w:t xml:space="preserve">ב. וכן התוס' במס' פסחים ל"ז ע"ב מבואר שהוא פוטר משיעור חלה </w:t>
      </w:r>
      <w:r w:rsidR="00B26423" w:rsidRPr="00882F11">
        <w:rPr>
          <w:rFonts w:cs="Guttman Drogolin"/>
          <w:rtl/>
          <w:lang w:bidi="he-IL"/>
        </w:rPr>
        <w:t>–</w:t>
      </w:r>
      <w:r w:rsidR="00B26423" w:rsidRPr="00882F11">
        <w:rPr>
          <w:rFonts w:cs="Guttman Drogolin" w:hint="cs"/>
          <w:rtl/>
          <w:lang w:bidi="he-IL"/>
        </w:rPr>
        <w:t xml:space="preserve"> הרי שאינו רק חומרא בעלמא.</w:t>
      </w:r>
    </w:p>
    <w:p w:rsidR="00EC5495" w:rsidRPr="00882F11" w:rsidRDefault="00B26423" w:rsidP="00EC5495">
      <w:pPr>
        <w:tabs>
          <w:tab w:val="right" w:pos="7497"/>
        </w:tabs>
        <w:bidi/>
        <w:jc w:val="both"/>
        <w:rPr>
          <w:rFonts w:cs="Guttman Drogolin"/>
          <w:rtl/>
          <w:lang w:bidi="he-IL"/>
        </w:rPr>
      </w:pPr>
      <w:r w:rsidRPr="00882F11">
        <w:rPr>
          <w:rFonts w:cs="Guttman Drogolin" w:hint="cs"/>
          <w:rtl/>
          <w:lang w:bidi="he-IL"/>
        </w:rPr>
        <w:t>והחזו"א נקט קרוב לפירושו של החוו"ד, אבל שונה קצת. והוא שלעולם יש משהו שמתבשל מעיקר הדין, אבל לא כל השיעור כדי קליפה</w:t>
      </w:r>
      <w:r w:rsidR="00C352F9" w:rsidRPr="00882F11">
        <w:rPr>
          <w:rFonts w:cs="Guttman Drogolin" w:hint="cs"/>
          <w:rtl/>
          <w:lang w:bidi="he-IL"/>
        </w:rPr>
        <w:t xml:space="preserve"> (וכמו שהבין ה</w:t>
      </w:r>
      <w:r w:rsidR="00F0649E" w:rsidRPr="00882F11">
        <w:rPr>
          <w:rFonts w:cs="Guttman Drogolin" w:hint="cs"/>
          <w:rtl/>
          <w:lang w:bidi="he-IL"/>
        </w:rPr>
        <w:t>חוו"ד)</w:t>
      </w:r>
      <w:r w:rsidRPr="00882F11">
        <w:rPr>
          <w:rFonts w:cs="Guttman Drogolin" w:hint="cs"/>
          <w:rtl/>
          <w:lang w:bidi="he-IL"/>
        </w:rPr>
        <w:t xml:space="preserve">, ששיעור זה הוא חומרא. ולכן בכגון שיעור חלה אמרינן דשפיר נתמעט השיעור כיון שמשהו מיהת התבשל (וצ"ל דמיירי בכה"ג שהי' שיעור מצומצם ממש של קמח). </w:t>
      </w:r>
      <w:r w:rsidR="00F0649E" w:rsidRPr="00882F11">
        <w:rPr>
          <w:rFonts w:cs="Guttman Drogolin" w:hint="cs"/>
          <w:rtl/>
          <w:lang w:bidi="he-IL"/>
        </w:rPr>
        <w:t xml:space="preserve">ומ"מ יוצא לפי זה שאפילו ר"ת מודה בחמץ בפסח שהוא אוסר בעירוי מעיקר הדין כיון שמשהו מיהא איכא מעיקר הדין. וכל זה הוא לשיטת ר"ת, אבל הנו"כ כאן הביאו להחמיר כשיטת ריב"א שהשיעור כדי קליפה הוא מעיקר הדין. ולדינא הביא הפת"ש ס"ק ה' בשם שו"ת </w:t>
      </w:r>
      <w:r w:rsidR="00EC5495" w:rsidRPr="00882F11">
        <w:rPr>
          <w:rFonts w:cs="Guttman Drogolin" w:hint="cs"/>
          <w:rtl/>
          <w:lang w:bidi="he-IL"/>
        </w:rPr>
        <w:t xml:space="preserve">תשואות חן להחמיר כריב"א בעירוי שלא נפסק הקילוח, אבל להקל כריב"א במקום שנפסק הקילוח. וע' </w:t>
      </w:r>
      <w:r w:rsidR="00EC5495" w:rsidRPr="00882F11">
        <w:rPr>
          <w:rFonts w:cs="Guttman Drogolin"/>
          <w:rtl/>
          <w:lang w:bidi="he-IL"/>
        </w:rPr>
        <w:t>פמ"ג מש"ז ס"ק ז'</w:t>
      </w:r>
      <w:r w:rsidR="00EC5495" w:rsidRPr="00882F11">
        <w:rPr>
          <w:rFonts w:cs="Guttman Drogolin" w:hint="cs"/>
          <w:rtl/>
          <w:lang w:bidi="he-IL"/>
        </w:rPr>
        <w:t xml:space="preserve">, </w:t>
      </w:r>
      <w:r w:rsidR="00EC5495" w:rsidRPr="00882F11">
        <w:rPr>
          <w:rFonts w:cs="Guttman Drogolin"/>
          <w:lang w:bidi="he-IL"/>
        </w:rPr>
        <w:t xml:space="preserve"> </w:t>
      </w:r>
      <w:r w:rsidR="00EC5495" w:rsidRPr="00882F11">
        <w:rPr>
          <w:rFonts w:cs="Guttman Drogolin"/>
          <w:rtl/>
          <w:lang w:bidi="he-IL"/>
        </w:rPr>
        <w:lastRenderedPageBreak/>
        <w:t>חכ</w:t>
      </w:r>
      <w:r w:rsidR="00EC5495" w:rsidRPr="00882F11">
        <w:rPr>
          <w:rFonts w:cs="Guttman Drogolin" w:hint="cs"/>
          <w:rtl/>
          <w:lang w:bidi="he-IL"/>
        </w:rPr>
        <w:t>מ</w:t>
      </w:r>
      <w:r w:rsidR="00EC5495" w:rsidRPr="00882F11">
        <w:rPr>
          <w:rFonts w:cs="Guttman Drogolin"/>
          <w:rtl/>
          <w:lang w:bidi="he-IL"/>
        </w:rPr>
        <w:t>"א (כלל מ"ב סעי' י'</w:t>
      </w:r>
      <w:r w:rsidR="00EC5495" w:rsidRPr="00882F11">
        <w:rPr>
          <w:rFonts w:cs="Guttman Drogolin" w:hint="cs"/>
          <w:rtl/>
          <w:lang w:bidi="he-IL"/>
        </w:rPr>
        <w:t xml:space="preserve">). ובעיקר הנידון של עירוי דנפסק הקילוח ע' </w:t>
      </w:r>
      <w:r w:rsidR="00EC5495" w:rsidRPr="00882F11">
        <w:rPr>
          <w:rFonts w:cs="Guttman Drogolin"/>
          <w:rtl/>
          <w:lang w:bidi="he-IL"/>
        </w:rPr>
        <w:t>חוו"ד (חי' ס"ק י', סי' צ"ד בי' ס"ק י"ח</w:t>
      </w:r>
      <w:r w:rsidR="00EC5495" w:rsidRPr="00882F11">
        <w:rPr>
          <w:rFonts w:cs="Guttman Drogolin" w:hint="cs"/>
          <w:rtl/>
          <w:lang w:bidi="he-IL"/>
        </w:rPr>
        <w:t>)</w:t>
      </w:r>
      <w:r w:rsidR="00E40293" w:rsidRPr="00882F11">
        <w:rPr>
          <w:rFonts w:cs="Guttman Drogolin" w:hint="cs"/>
          <w:rtl/>
          <w:lang w:bidi="he-IL"/>
        </w:rPr>
        <w:t>.</w:t>
      </w:r>
    </w:p>
    <w:p w:rsidR="00E40293" w:rsidRPr="00882F11" w:rsidRDefault="00E40293" w:rsidP="00E40293">
      <w:pPr>
        <w:tabs>
          <w:tab w:val="right" w:pos="7497"/>
        </w:tabs>
        <w:bidi/>
        <w:jc w:val="both"/>
        <w:rPr>
          <w:rFonts w:cs="Times New Roman"/>
          <w:rtl/>
        </w:rPr>
        <w:sectPr w:rsidR="00E40293" w:rsidRPr="00882F11" w:rsidSect="008520CC">
          <w:type w:val="continuous"/>
          <w:pgSz w:w="11907" w:h="16839" w:code="9"/>
          <w:pgMar w:top="1440" w:right="1440" w:bottom="1440" w:left="1440" w:header="720" w:footer="720" w:gutter="0"/>
          <w:cols w:num="2" w:space="720"/>
          <w:bidi/>
          <w:docGrid w:linePitch="360"/>
        </w:sectPr>
      </w:pPr>
    </w:p>
    <w:p w:rsidR="00E40293" w:rsidRPr="008520CC" w:rsidRDefault="00E40293" w:rsidP="00E40293">
      <w:pPr>
        <w:keepNext/>
        <w:tabs>
          <w:tab w:val="left" w:pos="3818"/>
          <w:tab w:val="center" w:pos="4680"/>
        </w:tabs>
        <w:bidi/>
        <w:jc w:val="center"/>
        <w:rPr>
          <w:rFonts w:cs="Guttman Drogolin"/>
          <w:b/>
          <w:bCs/>
          <w:sz w:val="48"/>
          <w:szCs w:val="48"/>
          <w:rtl/>
          <w:lang w:bidi="he-IL"/>
        </w:rPr>
      </w:pPr>
      <w:r w:rsidRPr="008520CC">
        <w:rPr>
          <w:rFonts w:cs="Guttman Drogolin" w:hint="cs"/>
          <w:b/>
          <w:bCs/>
          <w:sz w:val="48"/>
          <w:szCs w:val="48"/>
          <w:rtl/>
          <w:lang w:bidi="he-IL"/>
        </w:rPr>
        <w:lastRenderedPageBreak/>
        <w:t>שיעור ק"ו</w:t>
      </w:r>
    </w:p>
    <w:p w:rsidR="008520CC" w:rsidRDefault="008520CC" w:rsidP="00E40293">
      <w:pPr>
        <w:pStyle w:val="Heading1"/>
        <w:bidi/>
        <w:spacing w:before="0" w:line="360" w:lineRule="auto"/>
        <w:jc w:val="center"/>
        <w:rPr>
          <w:rFonts w:cs="Guttman Drogolin"/>
          <w:color w:val="auto"/>
          <w:sz w:val="24"/>
          <w:szCs w:val="24"/>
          <w:u w:val="single"/>
          <w:rtl/>
          <w:lang w:bidi="he-IL"/>
        </w:rPr>
        <w:sectPr w:rsidR="008520CC" w:rsidSect="008520CC">
          <w:headerReference w:type="default" r:id="rId79"/>
          <w:pgSz w:w="11907" w:h="16839" w:code="9"/>
          <w:pgMar w:top="1440" w:right="1440" w:bottom="1440" w:left="1440" w:header="720" w:footer="720" w:gutter="0"/>
          <w:cols w:space="720"/>
          <w:bidi/>
          <w:docGrid w:linePitch="360"/>
        </w:sectPr>
      </w:pPr>
    </w:p>
    <w:p w:rsidR="00E40293" w:rsidRPr="008520CC" w:rsidRDefault="00E40293" w:rsidP="00E40293">
      <w:pPr>
        <w:pStyle w:val="Heading1"/>
        <w:bidi/>
        <w:spacing w:before="0" w:line="360" w:lineRule="auto"/>
        <w:jc w:val="center"/>
        <w:rPr>
          <w:rFonts w:cs="Guttman Drogolin"/>
          <w:color w:val="auto"/>
          <w:sz w:val="20"/>
          <w:szCs w:val="20"/>
          <w:u w:val="single"/>
          <w:rtl/>
          <w:lang w:bidi="he-IL"/>
        </w:rPr>
      </w:pPr>
      <w:bookmarkStart w:id="425" w:name="_Toc496175672"/>
      <w:r w:rsidRPr="008520CC">
        <w:rPr>
          <w:rFonts w:cs="Guttman Drogolin" w:hint="cs"/>
          <w:color w:val="auto"/>
          <w:sz w:val="20"/>
          <w:szCs w:val="20"/>
          <w:u w:val="single"/>
          <w:rtl/>
          <w:lang w:bidi="he-IL"/>
        </w:rPr>
        <w:lastRenderedPageBreak/>
        <w:t>סתירה בין רמ"א סי' צ"ב סע' ז' וסי' צ"ה סע' ג'</w:t>
      </w:r>
      <w:bookmarkEnd w:id="425"/>
    </w:p>
    <w:p w:rsidR="00AD3BC6" w:rsidRPr="00882F11" w:rsidRDefault="00AA5661" w:rsidP="00AA5661">
      <w:pPr>
        <w:tabs>
          <w:tab w:val="right" w:pos="7497"/>
        </w:tabs>
        <w:bidi/>
        <w:jc w:val="both"/>
        <w:rPr>
          <w:rFonts w:cs="Guttman Drogolin"/>
          <w:rtl/>
          <w:lang w:bidi="he-IL"/>
        </w:rPr>
      </w:pPr>
      <w:r>
        <w:rPr>
          <w:rFonts w:cs="Guttman Drogolin"/>
          <w:rtl/>
          <w:lang w:bidi="he-IL"/>
        </w:rPr>
        <w:fldChar w:fldCharType="begin"/>
      </w:r>
      <w:r>
        <w:instrText xml:space="preserve"> XE "</w:instrText>
      </w:r>
      <w:r w:rsidRPr="00532618">
        <w:rPr>
          <w:rFonts w:hint="cs"/>
          <w:rtl/>
          <w:lang w:bidi="he-IL"/>
        </w:rPr>
        <w:instrText>עירוי</w:instrText>
      </w:r>
      <w:r w:rsidRPr="00532618">
        <w:rPr>
          <w:rtl/>
        </w:rPr>
        <w:instrText>:</w:instrText>
      </w:r>
      <w:r w:rsidRPr="00532618">
        <w:rPr>
          <w:rFonts w:hint="cs"/>
          <w:rtl/>
          <w:lang w:bidi="he-IL"/>
        </w:rPr>
        <w:instrText>סתירה ברמ</w:instrText>
      </w:r>
      <w:r>
        <w:rPr>
          <w:rFonts w:eastAsiaTheme="minorEastAsia"/>
          <w:lang w:bidi="he-IL"/>
        </w:rPr>
        <w:instrText>\</w:instrText>
      </w:r>
      <w:r w:rsidRPr="00532618">
        <w:rPr>
          <w:rFonts w:hint="cs"/>
          <w:rtl/>
          <w:lang w:bidi="he-IL"/>
        </w:rPr>
        <w:instrText>"א בנזחל מן הקדירה</w:instrText>
      </w:r>
      <w:r>
        <w:instrText xml:space="preserve">" </w:instrText>
      </w:r>
      <w:r>
        <w:rPr>
          <w:rFonts w:cs="Guttman Drogolin"/>
          <w:rtl/>
          <w:lang w:bidi="he-IL"/>
        </w:rPr>
        <w:fldChar w:fldCharType="end"/>
      </w:r>
      <w:r w:rsidR="00B4113A" w:rsidRPr="00882F11">
        <w:rPr>
          <w:rFonts w:cs="Guttman Drogolin" w:hint="cs"/>
          <w:rtl/>
          <w:lang w:bidi="he-IL"/>
        </w:rPr>
        <w:t xml:space="preserve">ברמ"א סי' צ"ב סע' ז' מבואר </w:t>
      </w:r>
      <w:r w:rsidR="00FA3755" w:rsidRPr="00882F11">
        <w:rPr>
          <w:rFonts w:cs="Guttman Drogolin" w:hint="cs"/>
          <w:rtl/>
          <w:lang w:bidi="he-IL"/>
        </w:rPr>
        <w:t xml:space="preserve">שאם משקה נזחל מקדירה ונגע בכלי יש לו דין עירוי שלא נפסק הקילוח וצריך קליפה. ומקשים שלכאורה דברי הרמ"א סותרים את מש"כ בסי' צ"ה סע' ג' </w:t>
      </w:r>
      <w:r w:rsidR="00B92425" w:rsidRPr="00882F11">
        <w:rPr>
          <w:rFonts w:cs="Guttman Drogolin" w:hint="cs"/>
          <w:rtl/>
          <w:lang w:bidi="he-IL"/>
        </w:rPr>
        <w:t>"</w:t>
      </w:r>
      <w:r w:rsidR="00B92425" w:rsidRPr="00882F11">
        <w:rPr>
          <w:rFonts w:cs="Guttman Drogolin"/>
          <w:rtl/>
          <w:lang w:bidi="he-IL"/>
        </w:rPr>
        <w:t>אבל אם עירה מים רותחים שאינן של בשר ולא של חלב על כלים של בשר ושל חלב ביחד, ואפילו שומן דבוק בהם, הכל שרי</w:t>
      </w:r>
      <w:r w:rsidR="00B92425" w:rsidRPr="00882F11">
        <w:rPr>
          <w:rFonts w:cs="Guttman Drogolin" w:hint="cs"/>
          <w:rtl/>
          <w:lang w:bidi="he-IL"/>
        </w:rPr>
        <w:t>". הרי דשם לכאורה לא סבר הרמ"א שהנזחל מן הקדירה יש לו דין עירוי כלי ראשון אע"ג שלא נפסק הקילוח.</w:t>
      </w:r>
      <w:r w:rsidR="003C73F4" w:rsidRPr="00882F11">
        <w:rPr>
          <w:rFonts w:cs="Guttman Drogolin" w:hint="cs"/>
          <w:rtl/>
          <w:lang w:bidi="he-IL"/>
        </w:rPr>
        <w:t xml:space="preserve"> וע' בחוו"ד סי' צ"ב ס"ק כ"ג שכתב ליישב דאע"ג דאמרינן כאן שאוסר כדי קליפה, מ"מ אין לו כח לבשל ולא להבליע ולהפליט כא'. ולכן בהא דסי' צ"ה סע' ג' שצריך גם להבליעה וגם להפליט, אין הזחילה אוסרת. </w:t>
      </w:r>
      <w:r w:rsidR="00AD3BC6" w:rsidRPr="00882F11">
        <w:rPr>
          <w:rFonts w:cs="Guttman Drogolin" w:hint="cs"/>
          <w:rtl/>
          <w:lang w:bidi="he-IL"/>
        </w:rPr>
        <w:t xml:space="preserve">אמנם סברת החוו"ד לאו דכו"ע הוא, והפמ"ג סבר שלשיטת הרמ"א בסי' צ"ב הרי הוא גם מבליע ומפליט כא', ולדידי' עדיין תיקשי. וכן ע' באג"מ יו"ד סי' מ"ב ענף ג' וכן במגי"ס סי' צ"ב אות ל"ו מה שהעיר עוד בדברי החוו"ד. </w:t>
      </w:r>
      <w:r w:rsidR="003C73F4" w:rsidRPr="00882F11">
        <w:rPr>
          <w:rFonts w:cs="Guttman Drogolin" w:hint="cs"/>
          <w:rtl/>
          <w:lang w:bidi="he-IL"/>
        </w:rPr>
        <w:t xml:space="preserve"> </w:t>
      </w:r>
    </w:p>
    <w:p w:rsidR="00AD3BC6" w:rsidRPr="00882F11" w:rsidRDefault="00AD3BC6" w:rsidP="00AD3BC6">
      <w:pPr>
        <w:pStyle w:val="Heading1"/>
        <w:bidi/>
        <w:spacing w:before="0" w:line="360" w:lineRule="auto"/>
        <w:jc w:val="center"/>
        <w:rPr>
          <w:rFonts w:cs="Guttman Drogolin"/>
          <w:color w:val="auto"/>
          <w:sz w:val="24"/>
          <w:szCs w:val="24"/>
          <w:u w:val="single"/>
          <w:rtl/>
          <w:lang w:bidi="he-IL"/>
        </w:rPr>
      </w:pPr>
      <w:bookmarkStart w:id="426" w:name="_Toc496175673"/>
      <w:r w:rsidRPr="00882F11">
        <w:rPr>
          <w:rFonts w:cs="Guttman Drogolin" w:hint="cs"/>
          <w:color w:val="auto"/>
          <w:sz w:val="24"/>
          <w:szCs w:val="24"/>
          <w:u w:val="single"/>
          <w:rtl/>
          <w:lang w:bidi="he-IL"/>
        </w:rPr>
        <w:t>עירוי הנזחל מכלי שעל גבי האש</w:t>
      </w:r>
      <w:bookmarkEnd w:id="426"/>
    </w:p>
    <w:p w:rsidR="00E40293" w:rsidRPr="00882F11" w:rsidRDefault="00AA5661" w:rsidP="00067C8C">
      <w:pPr>
        <w:tabs>
          <w:tab w:val="right" w:pos="7497"/>
        </w:tabs>
        <w:bidi/>
        <w:jc w:val="both"/>
        <w:rPr>
          <w:rFonts w:cs="Guttman Drogolin"/>
          <w:rtl/>
          <w:lang w:bidi="he-IL"/>
        </w:rPr>
      </w:pPr>
      <w:r>
        <w:rPr>
          <w:rFonts w:cs="Guttman Drogolin"/>
          <w:rtl/>
          <w:lang w:bidi="he-IL"/>
        </w:rPr>
        <w:fldChar w:fldCharType="begin"/>
      </w:r>
      <w:r>
        <w:instrText xml:space="preserve"> XE "</w:instrText>
      </w:r>
      <w:r w:rsidRPr="00ED6EDB">
        <w:rPr>
          <w:rFonts w:hint="cs"/>
          <w:rtl/>
          <w:lang w:bidi="he-IL"/>
        </w:rPr>
        <w:instrText>עירוי</w:instrText>
      </w:r>
      <w:r w:rsidRPr="00ED6EDB">
        <w:rPr>
          <w:rtl/>
        </w:rPr>
        <w:instrText>:</w:instrText>
      </w:r>
      <w:r w:rsidRPr="00ED6EDB">
        <w:rPr>
          <w:rFonts w:hint="cs"/>
          <w:rtl/>
          <w:lang w:bidi="he-IL"/>
        </w:rPr>
        <w:instrText>מקדירה שע</w:instrText>
      </w:r>
      <w:r>
        <w:rPr>
          <w:rFonts w:eastAsiaTheme="minorEastAsia"/>
          <w:lang w:bidi="he-IL"/>
        </w:rPr>
        <w:instrText>\</w:instrText>
      </w:r>
      <w:r w:rsidRPr="00ED6EDB">
        <w:rPr>
          <w:rFonts w:hint="cs"/>
          <w:rtl/>
          <w:lang w:bidi="he-IL"/>
        </w:rPr>
        <w:instrText>"ג האש</w:instrText>
      </w:r>
      <w:r>
        <w:instrText xml:space="preserve">" </w:instrText>
      </w:r>
      <w:r>
        <w:rPr>
          <w:rFonts w:cs="Guttman Drogolin"/>
          <w:rtl/>
          <w:lang w:bidi="he-IL"/>
        </w:rPr>
        <w:fldChar w:fldCharType="end"/>
      </w:r>
      <w:r w:rsidR="00AD3BC6" w:rsidRPr="00882F11">
        <w:rPr>
          <w:rFonts w:cs="Guttman Drogolin" w:hint="cs"/>
          <w:rtl/>
          <w:lang w:bidi="he-IL"/>
        </w:rPr>
        <w:t>מקור דברי הרמ"א סי' צ"ב סע' ז' הוא תרוה"ד</w:t>
      </w:r>
      <w:r w:rsidR="00BB3403" w:rsidRPr="00882F11">
        <w:rPr>
          <w:rFonts w:cs="Guttman Drogolin" w:hint="cs"/>
          <w:rtl/>
          <w:lang w:bidi="he-IL"/>
        </w:rPr>
        <w:t xml:space="preserve"> סי' קפ"</w:t>
      </w:r>
      <w:r w:rsidR="00571838" w:rsidRPr="00882F11">
        <w:rPr>
          <w:rFonts w:cs="Guttman Drogolin" w:hint="cs"/>
          <w:rtl/>
          <w:lang w:bidi="he-IL"/>
        </w:rPr>
        <w:t xml:space="preserve">א, ושם הוכיח כדבריו שאין הנזחל </w:t>
      </w:r>
      <w:r w:rsidR="001E1472" w:rsidRPr="00882F11">
        <w:rPr>
          <w:rFonts w:cs="Guttman Drogolin" w:hint="cs"/>
          <w:rtl/>
          <w:lang w:bidi="he-IL"/>
        </w:rPr>
        <w:t xml:space="preserve">מן הכלי ראשון </w:t>
      </w:r>
      <w:r w:rsidR="00571838" w:rsidRPr="00882F11">
        <w:rPr>
          <w:rFonts w:cs="Guttman Drogolin" w:hint="cs"/>
          <w:rtl/>
          <w:lang w:bidi="he-IL"/>
        </w:rPr>
        <w:t>מתקרר מן הקרקע מ</w:t>
      </w:r>
      <w:r w:rsidR="001E1472" w:rsidRPr="00882F11">
        <w:rPr>
          <w:rFonts w:cs="Guttman Drogolin" w:hint="cs"/>
          <w:rtl/>
          <w:lang w:bidi="he-IL"/>
        </w:rPr>
        <w:t>הא ד</w:t>
      </w:r>
      <w:r w:rsidR="00571838" w:rsidRPr="00882F11">
        <w:rPr>
          <w:rFonts w:cs="Guttman Drogolin" w:hint="cs"/>
          <w:rtl/>
          <w:lang w:bidi="he-IL"/>
        </w:rPr>
        <w:t>מים שנאספו באמבטי' מחמי טברי'</w:t>
      </w:r>
      <w:r w:rsidR="001E1472" w:rsidRPr="00882F11">
        <w:rPr>
          <w:rFonts w:cs="Guttman Drogolin" w:hint="cs"/>
          <w:rtl/>
          <w:lang w:bidi="he-IL"/>
        </w:rPr>
        <w:t xml:space="preserve"> נחשבים ככלי ראשון. אע"ג שהמים שבאמבטי' נמשכים בה מן המעיין, מ"מ מבואר בגמ' שיש לו דין כלי ראשון. ובהסבר הדבר כתב "</w:t>
      </w:r>
      <w:r w:rsidR="00067C8C" w:rsidRPr="00882F11">
        <w:rPr>
          <w:rFonts w:cs="Guttman Drogolin"/>
          <w:rtl/>
          <w:lang w:bidi="he-IL"/>
        </w:rPr>
        <w:t>הואיל והיה הקילוח נוזל והולך מתוך הרתיחה העומדת אצל האש, כל טיפה וטיפה אחרונה אינה מנחת את הראשונה שלפניה להתקרר</w:t>
      </w:r>
      <w:r w:rsidR="00067C8C" w:rsidRPr="00882F11">
        <w:rPr>
          <w:rFonts w:cs="Guttman Drogolin" w:hint="cs"/>
          <w:rtl/>
          <w:lang w:bidi="he-IL"/>
        </w:rPr>
        <w:t xml:space="preserve">". </w:t>
      </w:r>
    </w:p>
    <w:p w:rsidR="009C5EC9" w:rsidRPr="00882F11" w:rsidRDefault="00067C8C" w:rsidP="00EE005A">
      <w:pPr>
        <w:tabs>
          <w:tab w:val="right" w:pos="7497"/>
        </w:tabs>
        <w:bidi/>
        <w:jc w:val="both"/>
        <w:rPr>
          <w:rFonts w:cs="Guttman Drogolin"/>
          <w:rtl/>
          <w:lang w:bidi="he-IL"/>
        </w:rPr>
      </w:pPr>
      <w:r w:rsidRPr="00882F11">
        <w:rPr>
          <w:rFonts w:cs="Guttman Drogolin" w:hint="cs"/>
          <w:rtl/>
          <w:lang w:bidi="he-IL"/>
        </w:rPr>
        <w:t xml:space="preserve">והנה הרמ"א </w:t>
      </w:r>
      <w:r w:rsidR="00EE005A" w:rsidRPr="00882F11">
        <w:rPr>
          <w:rFonts w:cs="Guttman Drogolin" w:hint="cs"/>
          <w:rtl/>
          <w:lang w:bidi="he-IL"/>
        </w:rPr>
        <w:t>לא אסר אלא כדי קליפה, אע"ג שהתרוה"ד סבר שיש למה שנזחל מן האמבטי' דין כלי ראשון</w:t>
      </w:r>
      <w:r w:rsidRPr="00882F11">
        <w:rPr>
          <w:rFonts w:cs="Guttman Drogolin" w:hint="cs"/>
          <w:rtl/>
          <w:lang w:bidi="he-IL"/>
        </w:rPr>
        <w:t>.</w:t>
      </w:r>
      <w:r w:rsidR="00EE005A" w:rsidRPr="00882F11">
        <w:rPr>
          <w:rFonts w:cs="Guttman Drogolin" w:hint="cs"/>
          <w:rtl/>
          <w:lang w:bidi="he-IL"/>
        </w:rPr>
        <w:t xml:space="preserve"> ולכאורה נראה הטעם משום שכל הטעם דעירוי אוסר כדי קליפה היינו משום דינא דתתאה גבר וכמו שפירשו התוס' במס' שבת מ"ב ע"ב בשם ר"י. </w:t>
      </w:r>
      <w:r w:rsidR="009C5EC9" w:rsidRPr="00882F11">
        <w:rPr>
          <w:rFonts w:cs="Guttman Drogolin" w:hint="cs"/>
          <w:rtl/>
          <w:lang w:bidi="he-IL"/>
        </w:rPr>
        <w:t xml:space="preserve">אמנם לכאורה נראה שיש לחלק בין הנידונים. שאם העירוי הוא מכלי ראשון שלא </w:t>
      </w:r>
      <w:r w:rsidR="009C5EC9" w:rsidRPr="00882F11">
        <w:rPr>
          <w:rFonts w:cs="Guttman Drogolin" w:hint="cs"/>
          <w:rtl/>
          <w:lang w:bidi="he-IL"/>
        </w:rPr>
        <w:lastRenderedPageBreak/>
        <w:t>ע"ג האש, אז י"ל שהעירוי אין לו אלא דין של עירוי כשיטת ר"י ולכן אינו אוסר אלא כדי קליפה. אבל אם העירוי מכלי הוא עכשיו ע"ג האש, י"ל שיש לו דין כלי ראשון ממש, דהא לאמבטי יש דין של כלי ראשון ולא רק של עירוי.</w:t>
      </w:r>
    </w:p>
    <w:p w:rsidR="00067C8C" w:rsidRPr="00882F11" w:rsidRDefault="009C5EC9" w:rsidP="00585156">
      <w:pPr>
        <w:tabs>
          <w:tab w:val="right" w:pos="7497"/>
        </w:tabs>
        <w:bidi/>
        <w:jc w:val="both"/>
        <w:rPr>
          <w:rFonts w:cs="Guttman Drogolin"/>
          <w:rtl/>
        </w:rPr>
      </w:pPr>
      <w:r w:rsidRPr="00882F11">
        <w:rPr>
          <w:rFonts w:cs="Guttman Drogolin" w:hint="cs"/>
          <w:rtl/>
          <w:lang w:bidi="he-IL"/>
        </w:rPr>
        <w:t>ומשו"ה לכאורה נאמר הדין שאם מערה מים מכלי ראשון שהוא עכשיו ע"ג האש, אין לו אך ורק דין של עירוי כלי ראשון, רק של כלי ראשון ממש. והלכה זו נפק"מ גדולה להגעלת השיש. שהרי בסי' תנ"א ס"ק קי"ד החמיר המ"ב בשם מהרי"ו להכשיר השיש ע"י כלי ראשון ממש ולא רק ע"י עירוי כלי ראשון, ומשום חשש שהי' עליו דבר גוש שאין לו הקולא של כלי שני, ולכן יש לו דין של כלי ראשון ממש. ובאמת הקשה הפמ"ג על דברי מהרי"ו, דאפילו את"ל שיש לגוש דין של כלי ראשון, הא גם עירוי יש לו דין של כלי ראשון, רק שאינו אוסר אלא כדי קליפה משום דינא דתתאה גבר, וא"כ</w:t>
      </w:r>
      <w:r w:rsidR="00706C17" w:rsidRPr="00882F11">
        <w:rPr>
          <w:rFonts w:cs="Guttman Drogolin" w:hint="cs"/>
          <w:rtl/>
          <w:lang w:bidi="he-IL"/>
        </w:rPr>
        <w:t xml:space="preserve"> גם בחתיכה למה לא נימא הכי. דבשלמא לענין זה שאינו יכול לבשל דבר אחר, שפיר יש לחלק בין דבר שיש לו דפנות המקררות לדבר שאין לו דפנות המקררות, אבל לענין זה שאוסר את התחתון מאי שנא. ותי' הפמ"ג דעכ"פ עירוי של דבר לח מצטנן יותר מהר מדבר גוש, ולכן לא סגי אם אינו מכשירו ע"י כלי ראש</w:t>
      </w:r>
      <w:r w:rsidR="00D759EB" w:rsidRPr="00882F11">
        <w:rPr>
          <w:rFonts w:cs="Guttman Drogolin" w:hint="cs"/>
          <w:rtl/>
          <w:lang w:bidi="he-IL"/>
        </w:rPr>
        <w:t>ו</w:t>
      </w:r>
      <w:r w:rsidR="00706C17" w:rsidRPr="00882F11">
        <w:rPr>
          <w:rFonts w:cs="Guttman Drogolin" w:hint="cs"/>
          <w:rtl/>
          <w:lang w:bidi="he-IL"/>
        </w:rPr>
        <w:t>ן ממ</w:t>
      </w:r>
      <w:r w:rsidR="00585156" w:rsidRPr="00882F11">
        <w:rPr>
          <w:rFonts w:cs="Guttman Drogolin" w:hint="cs"/>
          <w:rtl/>
          <w:lang w:bidi="he-IL"/>
        </w:rPr>
        <w:t>ש. ומ"מ י"ל שאם הוא עירוי מכלי ש</w:t>
      </w:r>
      <w:r w:rsidR="00706C17" w:rsidRPr="00882F11">
        <w:rPr>
          <w:rFonts w:cs="Guttman Drogolin" w:hint="cs"/>
          <w:rtl/>
          <w:lang w:bidi="he-IL"/>
        </w:rPr>
        <w:t>ע</w:t>
      </w:r>
      <w:r w:rsidR="00585156" w:rsidRPr="00882F11">
        <w:rPr>
          <w:rFonts w:cs="Guttman Drogolin" w:hint="cs"/>
          <w:rtl/>
          <w:lang w:bidi="he-IL"/>
        </w:rPr>
        <w:t>ד</w:t>
      </w:r>
      <w:r w:rsidR="00706C17" w:rsidRPr="00882F11">
        <w:rPr>
          <w:rFonts w:cs="Guttman Drogolin" w:hint="cs"/>
          <w:rtl/>
          <w:lang w:bidi="he-IL"/>
        </w:rPr>
        <w:t xml:space="preserve">יין ע"ג האש, כיון ששייך סברת התרוה"ד שפיר י"ל דמהני גם לשיש. וע' מזה במגי"ס סי' צ"ב אות מ'.  </w:t>
      </w:r>
      <w:r w:rsidRPr="00882F11">
        <w:rPr>
          <w:rFonts w:cs="Guttman Drogolin" w:hint="cs"/>
          <w:rtl/>
          <w:lang w:bidi="he-IL"/>
        </w:rPr>
        <w:t xml:space="preserve"> </w:t>
      </w:r>
      <w:r w:rsidR="00067C8C" w:rsidRPr="00882F11">
        <w:rPr>
          <w:rFonts w:cs="Guttman Drogolin" w:hint="cs"/>
          <w:rtl/>
          <w:lang w:bidi="he-IL"/>
        </w:rPr>
        <w:t xml:space="preserve"> </w:t>
      </w:r>
    </w:p>
    <w:p w:rsidR="00706C17" w:rsidRPr="00882F11" w:rsidRDefault="00706C17" w:rsidP="00706C17">
      <w:pPr>
        <w:pStyle w:val="Heading1"/>
        <w:bidi/>
        <w:spacing w:before="0" w:line="360" w:lineRule="auto"/>
        <w:jc w:val="center"/>
        <w:rPr>
          <w:rFonts w:cs="Guttman Drogolin"/>
          <w:color w:val="auto"/>
          <w:sz w:val="24"/>
          <w:szCs w:val="24"/>
          <w:u w:val="single"/>
          <w:rtl/>
          <w:lang w:bidi="he-IL"/>
        </w:rPr>
      </w:pPr>
      <w:bookmarkStart w:id="427" w:name="_Toc496175674"/>
      <w:r w:rsidRPr="00882F11">
        <w:rPr>
          <w:rFonts w:cs="Guttman Drogolin" w:hint="cs"/>
          <w:color w:val="auto"/>
          <w:sz w:val="24"/>
          <w:szCs w:val="24"/>
          <w:u w:val="single"/>
          <w:rtl/>
          <w:lang w:bidi="he-IL"/>
        </w:rPr>
        <w:t>כללי דין צלי</w:t>
      </w:r>
      <w:bookmarkEnd w:id="427"/>
    </w:p>
    <w:p w:rsidR="001E1472" w:rsidRPr="00882F11" w:rsidRDefault="00AA5661" w:rsidP="00B676FB">
      <w:pPr>
        <w:tabs>
          <w:tab w:val="right" w:pos="7497"/>
        </w:tabs>
        <w:bidi/>
        <w:jc w:val="both"/>
        <w:rPr>
          <w:rFonts w:cs="Guttman Drogolin"/>
          <w:rtl/>
          <w:lang w:bidi="he-IL"/>
        </w:rPr>
      </w:pPr>
      <w:r>
        <w:rPr>
          <w:rFonts w:cs="Guttman Drogolin"/>
          <w:rtl/>
          <w:lang w:bidi="he-IL"/>
        </w:rPr>
        <w:fldChar w:fldCharType="begin"/>
      </w:r>
      <w:r>
        <w:instrText xml:space="preserve"> XE "</w:instrText>
      </w:r>
      <w:r w:rsidRPr="007F5694">
        <w:rPr>
          <w:rFonts w:hint="cs"/>
          <w:rtl/>
          <w:lang w:bidi="he-IL"/>
        </w:rPr>
        <w:instrText>צלי</w:instrText>
      </w:r>
      <w:r w:rsidRPr="007F5694">
        <w:rPr>
          <w:rtl/>
        </w:rPr>
        <w:instrText>:</w:instrText>
      </w:r>
      <w:r w:rsidRPr="007F5694">
        <w:rPr>
          <w:rFonts w:hint="cs"/>
          <w:rtl/>
          <w:lang w:bidi="he-IL"/>
        </w:rPr>
        <w:instrText>כללי הדין</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9C2F5F">
        <w:rPr>
          <w:rFonts w:hint="cs"/>
          <w:rtl/>
          <w:lang w:bidi="he-IL"/>
        </w:rPr>
        <w:instrText>העברת</w:instrText>
      </w:r>
      <w:r w:rsidRPr="009C2F5F">
        <w:rPr>
          <w:rtl/>
          <w:lang w:bidi="he-IL"/>
        </w:rPr>
        <w:instrText xml:space="preserve"> </w:instrText>
      </w:r>
      <w:r w:rsidRPr="009C2F5F">
        <w:rPr>
          <w:rFonts w:hint="cs"/>
          <w:rtl/>
          <w:lang w:bidi="he-IL"/>
        </w:rPr>
        <w:instrText>טעם</w:instrText>
      </w:r>
      <w:r>
        <w:instrText>" \t "</w:instrText>
      </w:r>
      <w:r w:rsidRPr="002A6FD1">
        <w:rPr>
          <w:rFonts w:hint="cs"/>
          <w:rtl/>
          <w:lang w:bidi="he-IL"/>
        </w:rPr>
        <w:instrText>ע</w:instrText>
      </w:r>
      <w:r w:rsidRPr="002A6FD1">
        <w:rPr>
          <w:rtl/>
          <w:lang w:bidi="he-IL"/>
        </w:rPr>
        <w:instrText xml:space="preserve">' </w:instrText>
      </w:r>
      <w:r w:rsidRPr="002A6FD1">
        <w:rPr>
          <w:rFonts w:hint="cs"/>
          <w:rtl/>
          <w:lang w:bidi="he-IL"/>
        </w:rPr>
        <w:instrText>צלי</w:instrText>
      </w:r>
      <w:r>
        <w:instrText xml:space="preserve">" </w:instrText>
      </w:r>
      <w:r>
        <w:rPr>
          <w:rFonts w:cs="Guttman Drogolin"/>
          <w:rtl/>
          <w:lang w:bidi="he-IL"/>
        </w:rPr>
        <w:fldChar w:fldCharType="end"/>
      </w:r>
      <w:r w:rsidR="00706C17" w:rsidRPr="00882F11">
        <w:rPr>
          <w:rFonts w:cs="Guttman Drogolin" w:hint="cs"/>
          <w:rtl/>
          <w:lang w:bidi="he-IL"/>
        </w:rPr>
        <w:t>בסע' ד' וה' מובא הדין של איסור והיתר דרך צלי, ור"ל במאכל חם כשאין בה רוטב. והכלל העולה מדבריו שצלי בדבר איסור האסורה מחמת עצמה אוסרת חתיכת היתר הנוגעת בה בשיעור כדי נטילה, וכשיטת התוס' במס' חולין דף צ"ו ע"ב. וכן סבר שבדבר שמן הרי הוא אוסר בכולו, אבל אם יש ס' כנגדו הרי הוא בטל, חוץ מזה שצריך מ"מ להסיר כדי קליפה אפילו אם יש ס' כנגדו כיון שנבלע בכדי קליפה יותר מבשאר החתיכה.</w:t>
      </w:r>
      <w:r w:rsidR="009E00D6" w:rsidRPr="00882F11">
        <w:rPr>
          <w:rFonts w:cs="Guttman Drogolin" w:hint="cs"/>
          <w:rtl/>
          <w:lang w:bidi="he-IL"/>
        </w:rPr>
        <w:t xml:space="preserve"> וזהו </w:t>
      </w:r>
      <w:r w:rsidR="009E00D6" w:rsidRPr="00882F11">
        <w:rPr>
          <w:rFonts w:cs="Guttman Drogolin" w:hint="cs"/>
          <w:rtl/>
          <w:lang w:bidi="he-IL"/>
        </w:rPr>
        <w:lastRenderedPageBreak/>
        <w:t>כשיטת הרשב"א. ומקור שיטתו מזה דסבר שהשיעור של צלי בדבר כחוש הוא כדי קליפה, ולכן התקשה במתני' שבמס' פסחים ע"ה ע"ב שמבואר ששיעור האיסור כדי נטילה. ופירש דע"</w:t>
      </w:r>
      <w:r w:rsidR="004A5EFE" w:rsidRPr="00882F11">
        <w:rPr>
          <w:rFonts w:cs="Guttman Drogolin" w:hint="cs"/>
          <w:rtl/>
          <w:lang w:bidi="he-IL"/>
        </w:rPr>
        <w:t>כ דמיי</w:t>
      </w:r>
      <w:r w:rsidR="009E00D6" w:rsidRPr="00882F11">
        <w:rPr>
          <w:rFonts w:cs="Guttman Drogolin" w:hint="cs"/>
          <w:rtl/>
          <w:lang w:bidi="he-IL"/>
        </w:rPr>
        <w:t>ר</w:t>
      </w:r>
      <w:r w:rsidR="004A5EFE" w:rsidRPr="00882F11">
        <w:rPr>
          <w:rFonts w:cs="Guttman Drogolin" w:hint="cs"/>
          <w:rtl/>
          <w:lang w:bidi="he-IL"/>
        </w:rPr>
        <w:t>י</w:t>
      </w:r>
      <w:r w:rsidR="009E00D6" w:rsidRPr="00882F11">
        <w:rPr>
          <w:rFonts w:cs="Guttman Drogolin" w:hint="cs"/>
          <w:rtl/>
          <w:lang w:bidi="he-IL"/>
        </w:rPr>
        <w:t xml:space="preserve"> בדבר המפעפע. ואע"ג שבמס' חולין מבואר שדבר המפעפע אוסר בכולו, ביאר הרשב"א דע"כ היינו משום שבמתני' במס' פסחים מיירי בכה"ג שיש ס' כנגד האיסור, ולכן כלפי כל החתיכה הרי הוא בטל, ומ"מ שיעור כדי נטילה נשאר אסור וכנ"ל.</w:t>
      </w:r>
      <w:r w:rsidR="00706C17" w:rsidRPr="00882F11">
        <w:rPr>
          <w:rFonts w:cs="Guttman Drogolin" w:hint="cs"/>
          <w:rtl/>
          <w:lang w:bidi="he-IL"/>
        </w:rPr>
        <w:t xml:space="preserve"> ו</w:t>
      </w:r>
      <w:r w:rsidR="009E00D6" w:rsidRPr="00882F11">
        <w:rPr>
          <w:rFonts w:cs="Guttman Drogolin" w:hint="cs"/>
          <w:rtl/>
          <w:lang w:bidi="he-IL"/>
        </w:rPr>
        <w:t xml:space="preserve">יוצא שהשו"ע </w:t>
      </w:r>
      <w:r w:rsidR="00706C17" w:rsidRPr="00882F11">
        <w:rPr>
          <w:rFonts w:cs="Guttman Drogolin" w:hint="cs"/>
          <w:rtl/>
          <w:lang w:bidi="he-IL"/>
        </w:rPr>
        <w:t>שהחמיר גם את שיטת הרשב"א</w:t>
      </w:r>
      <w:r w:rsidR="009E00D6" w:rsidRPr="00882F11">
        <w:rPr>
          <w:rFonts w:cs="Guttman Drogolin" w:hint="cs"/>
          <w:rtl/>
          <w:lang w:bidi="he-IL"/>
        </w:rPr>
        <w:t xml:space="preserve"> וגם את שיטת התוס', ומ"מ לא החמיר כשיטת הרא"ה לאסור כל החתיכה אפילו אם יש ס' כמותו. ואע"ג שלשיטת התוס' ששיעור האיסור בכל צלי הוא כדי נטילה אין ראי' לשיטת הרשב"א שהוא בטל היכא דיש ששים, מ"מ סבר השו"ע שכן הוא הדין מסברא</w:t>
      </w:r>
      <w:r w:rsidR="004A5EFE" w:rsidRPr="00882F11">
        <w:rPr>
          <w:rStyle w:val="FootnoteReference"/>
          <w:rFonts w:cs="Guttman Drogolin"/>
          <w:rtl/>
          <w:lang w:bidi="he-IL"/>
        </w:rPr>
        <w:footnoteReference w:id="420"/>
      </w:r>
      <w:r w:rsidR="009E00D6" w:rsidRPr="00882F11">
        <w:rPr>
          <w:rFonts w:cs="Guttman Drogolin" w:hint="cs"/>
          <w:rtl/>
          <w:lang w:bidi="he-IL"/>
        </w:rPr>
        <w:t xml:space="preserve">, </w:t>
      </w:r>
      <w:r w:rsidR="00B676FB" w:rsidRPr="00882F11">
        <w:rPr>
          <w:rFonts w:cs="Guttman Drogolin" w:hint="cs"/>
          <w:rtl/>
          <w:lang w:bidi="he-IL"/>
        </w:rPr>
        <w:t>שלא מסתבר</w:t>
      </w:r>
      <w:r w:rsidR="009E00D6" w:rsidRPr="00882F11">
        <w:rPr>
          <w:rFonts w:cs="Guttman Drogolin" w:hint="cs"/>
          <w:rtl/>
          <w:lang w:bidi="he-IL"/>
        </w:rPr>
        <w:t xml:space="preserve"> לומר שאינו מתפשט בשוה חוץ משיעור כדי נטילה</w:t>
      </w:r>
      <w:r w:rsidR="00B676FB" w:rsidRPr="00882F11">
        <w:rPr>
          <w:rFonts w:cs="Guttman Drogolin" w:hint="cs"/>
          <w:rtl/>
          <w:lang w:bidi="he-IL"/>
        </w:rPr>
        <w:t xml:space="preserve"> כדמצאנו בבישול שמתפשט בשוה בכל מקום</w:t>
      </w:r>
      <w:r w:rsidR="00B676FB" w:rsidRPr="00882F11">
        <w:rPr>
          <w:rStyle w:val="FootnoteReference"/>
          <w:rFonts w:cs="Guttman Drogolin"/>
          <w:rtl/>
          <w:lang w:bidi="he-IL"/>
        </w:rPr>
        <w:footnoteReference w:id="421"/>
      </w:r>
      <w:r w:rsidR="009E00D6" w:rsidRPr="00882F11">
        <w:rPr>
          <w:rFonts w:cs="Guttman Drogolin" w:hint="cs"/>
          <w:rtl/>
          <w:lang w:bidi="he-IL"/>
        </w:rPr>
        <w:t>. וע' גם ביאור הגר"א</w:t>
      </w:r>
      <w:r w:rsidR="00706C17" w:rsidRPr="00882F11">
        <w:rPr>
          <w:rFonts w:cs="Guttman Drogolin" w:hint="cs"/>
          <w:rtl/>
          <w:lang w:bidi="he-IL"/>
        </w:rPr>
        <w:t xml:space="preserve"> </w:t>
      </w:r>
      <w:r w:rsidR="00B676FB" w:rsidRPr="00882F11">
        <w:rPr>
          <w:rFonts w:cs="Guttman Drogolin" w:hint="cs"/>
          <w:rtl/>
          <w:lang w:bidi="he-IL"/>
        </w:rPr>
        <w:t>ס"ק ל"א שהביא ראי' לזה מטיפת חלב שנפלה על החתיכה שאם יש ס' בחתיכה כנגד הטיפה כל החתיכה מותרת. אמנם דבר זה תלוי בפירושו של דבר שמשערים בכולו, שאם הוא בגלל שהחלב נחשב דבר שמן שפיר יש הוכחה משם. אבל לפי ביאורו של הר"ן הוא משום שהבל הקדירה עושהו דבר בישול.</w:t>
      </w:r>
      <w:r w:rsidR="00706C17" w:rsidRPr="00882F11">
        <w:rPr>
          <w:rFonts w:cs="Guttman Drogolin" w:hint="cs"/>
          <w:rtl/>
          <w:lang w:bidi="he-IL"/>
        </w:rPr>
        <w:t xml:space="preserve"> </w:t>
      </w:r>
    </w:p>
    <w:p w:rsidR="00B26423" w:rsidRPr="00882F11" w:rsidRDefault="004A5EFE" w:rsidP="004A5EFE">
      <w:pPr>
        <w:tabs>
          <w:tab w:val="right" w:pos="7497"/>
        </w:tabs>
        <w:bidi/>
        <w:jc w:val="both"/>
        <w:rPr>
          <w:rFonts w:cs="Guttman Drogolin"/>
          <w:rtl/>
          <w:lang w:bidi="he-IL"/>
        </w:rPr>
      </w:pPr>
      <w:r w:rsidRPr="00882F11">
        <w:rPr>
          <w:rFonts w:cs="Guttman Drogolin" w:hint="cs"/>
          <w:rtl/>
          <w:lang w:bidi="he-IL"/>
        </w:rPr>
        <w:t xml:space="preserve">והט"ז הביא משע"ד ומהרש"ל שדין הצלי שוה לדין בישול ואוסר כולו בין בכחוש ובין בשמן. ולכאורה ר"ל דזה שקולף ואוכל הוא דין מיוחד בגיד הנשה כיון שאין טעמו חזק אפילו למ"ד אין בגידין בנ"ט. והא דאמרו בגמ' שבכחוש אינו אוסר כולו, יש לפרש כמו שפירשו התוס' דמיירי בכה"ג שיש ששים ומשו"ה מותר. והא דבמתני' בפסחים ע"ה ע"ב אסרו כדי נטילה, ע' בב"י מהגהות מיי' בשם ר"פ דשאני התם שלא היתה אלא טיפה בעלמא. </w:t>
      </w:r>
    </w:p>
    <w:p w:rsidR="004A5EFE" w:rsidRPr="008520CC" w:rsidRDefault="004A5EFE" w:rsidP="004A5EFE">
      <w:pPr>
        <w:pStyle w:val="Heading1"/>
        <w:bidi/>
        <w:spacing w:before="0" w:line="360" w:lineRule="auto"/>
        <w:jc w:val="center"/>
        <w:rPr>
          <w:rFonts w:cs="Guttman Drogolin"/>
          <w:color w:val="auto"/>
          <w:sz w:val="20"/>
          <w:szCs w:val="20"/>
          <w:u w:val="single"/>
          <w:rtl/>
          <w:lang w:bidi="he-IL"/>
        </w:rPr>
      </w:pPr>
      <w:bookmarkStart w:id="428" w:name="_Toc496175675"/>
      <w:r w:rsidRPr="008520CC">
        <w:rPr>
          <w:rFonts w:cs="Guttman Drogolin" w:hint="cs"/>
          <w:color w:val="auto"/>
          <w:sz w:val="20"/>
          <w:szCs w:val="20"/>
          <w:u w:val="single"/>
          <w:rtl/>
          <w:lang w:bidi="he-IL"/>
        </w:rPr>
        <w:lastRenderedPageBreak/>
        <w:t>נפל איסור שמן על מקום שאינו ידוע שבחתיכה</w:t>
      </w:r>
      <w:bookmarkEnd w:id="428"/>
    </w:p>
    <w:p w:rsidR="0099668B" w:rsidRPr="00882F11" w:rsidRDefault="00585906" w:rsidP="0099668B">
      <w:pPr>
        <w:tabs>
          <w:tab w:val="right" w:pos="7497"/>
        </w:tabs>
        <w:bidi/>
        <w:jc w:val="both"/>
        <w:rPr>
          <w:rFonts w:cs="Guttman Drogolin"/>
          <w:rtl/>
          <w:lang w:bidi="he-IL"/>
        </w:rPr>
      </w:pPr>
      <w:r>
        <w:rPr>
          <w:rFonts w:cs="Guttman Drogolin"/>
          <w:rtl/>
          <w:lang w:bidi="he-IL"/>
        </w:rPr>
        <w:fldChar w:fldCharType="begin"/>
      </w:r>
      <w:r>
        <w:instrText xml:space="preserve"> XE "</w:instrText>
      </w:r>
      <w:r w:rsidRPr="008279D9">
        <w:rPr>
          <w:rFonts w:hint="cs"/>
          <w:rtl/>
          <w:lang w:bidi="he-IL"/>
        </w:rPr>
        <w:instrText>צלי</w:instrText>
      </w:r>
      <w:r w:rsidRPr="008279D9">
        <w:rPr>
          <w:rtl/>
        </w:rPr>
        <w:instrText>:</w:instrText>
      </w:r>
      <w:r w:rsidRPr="008279D9">
        <w:rPr>
          <w:rFonts w:hint="cs"/>
          <w:rtl/>
          <w:lang w:bidi="he-IL"/>
        </w:rPr>
        <w:instrText>דבר שמן שנפל על מקום שאינו ידוע</w:instrText>
      </w:r>
      <w:r>
        <w:instrText xml:space="preserve">" </w:instrText>
      </w:r>
      <w:r>
        <w:rPr>
          <w:rFonts w:cs="Guttman Drogolin"/>
          <w:rtl/>
          <w:lang w:bidi="he-IL"/>
        </w:rPr>
        <w:fldChar w:fldCharType="end"/>
      </w:r>
      <w:r w:rsidR="004A5EFE" w:rsidRPr="00882F11">
        <w:rPr>
          <w:rFonts w:cs="Guttman Drogolin" w:hint="cs"/>
          <w:rtl/>
          <w:lang w:bidi="he-IL"/>
        </w:rPr>
        <w:t>השו"ע בסע' ה' כתב "וכל דבר שיש לו פעפוע שנפל למקום ידוע</w:t>
      </w:r>
      <w:r w:rsidR="003B1454" w:rsidRPr="00882F11">
        <w:rPr>
          <w:rFonts w:cs="Guttman Drogolin" w:hint="cs"/>
          <w:rtl/>
          <w:lang w:bidi="he-IL"/>
        </w:rPr>
        <w:t xml:space="preserve"> </w:t>
      </w:r>
      <w:r w:rsidR="004A5EFE" w:rsidRPr="00882F11">
        <w:rPr>
          <w:rFonts w:cs="Guttman Drogolin" w:hint="cs"/>
          <w:rtl/>
          <w:lang w:bidi="he-IL"/>
        </w:rPr>
        <w:t xml:space="preserve">מהחתיכה בצלי אף על פי שיש בחתיכה [הג"ה ששים] לבטל </w:t>
      </w:r>
      <w:r w:rsidR="009344F9" w:rsidRPr="00882F11">
        <w:rPr>
          <w:rFonts w:cs="Guttman Drogolin" w:hint="cs"/>
          <w:rtl/>
          <w:lang w:bidi="he-IL"/>
        </w:rPr>
        <w:t>האיסור צריך נטילת מקום". ונתקשו האחרונים למה התנה השו"ע שיהא במקום ידוע, לכאורה כ"ש שאם נפל במקום שאינו יודע שצריך לקלוף את כולו. ובהגהות רע"א</w:t>
      </w:r>
      <w:r w:rsidR="003B1454" w:rsidRPr="00882F11">
        <w:rPr>
          <w:rFonts w:cs="Guttman Drogolin" w:hint="cs"/>
          <w:rtl/>
          <w:lang w:bidi="he-IL"/>
        </w:rPr>
        <w:t xml:space="preserve"> </w:t>
      </w:r>
      <w:r w:rsidR="009344F9" w:rsidRPr="00882F11">
        <w:rPr>
          <w:rFonts w:cs="Guttman Drogolin" w:hint="cs"/>
          <w:rtl/>
          <w:lang w:bidi="he-IL"/>
        </w:rPr>
        <w:t xml:space="preserve">העיר מזה והביא שהפר"ח סבר שהשיעור כדי נטילה אינו אלא חומרא בעלמא. והנה </w:t>
      </w:r>
      <w:r w:rsidR="0099668B" w:rsidRPr="00882F11">
        <w:rPr>
          <w:rFonts w:cs="Guttman Drogolin" w:hint="cs"/>
          <w:rtl/>
          <w:lang w:bidi="he-IL"/>
        </w:rPr>
        <w:t xml:space="preserve">קשה לומר ששיטת הרשב"א היא דשיעור כדי נטילה אינו אלא חומרא בעלמא, דהא המקור לדבריו המתני' במס' פסחים ע"ה ע"ב, ושם הוא חומרא דאתי לידי קולא, שהרי הוא עוקר החיוב של אכילת קרבן פסח מין זה. </w:t>
      </w:r>
      <w:r w:rsidR="009344F9" w:rsidRPr="00882F11">
        <w:rPr>
          <w:rFonts w:cs="Guttman Drogolin" w:hint="cs"/>
          <w:rtl/>
          <w:lang w:bidi="he-IL"/>
        </w:rPr>
        <w:t xml:space="preserve">לשיטת השו"ע עצמה הי' אולי אפשר לומר שלעולם סבר מעיקר הדין כמו תוס' שהשיעור בצלי הוא כדי נטילה, ואם הוא דבר שמן ויש ס' בחתיכה נגד האיסור אמרינן שכל החתיכה מותרת. רק שחשש לכתחילה לשיטת הרשב"א להסיר כדי </w:t>
      </w:r>
      <w:r w:rsidR="0099668B" w:rsidRPr="00882F11">
        <w:rPr>
          <w:rFonts w:cs="Guttman Drogolin" w:hint="cs"/>
          <w:rtl/>
          <w:lang w:bidi="he-IL"/>
        </w:rPr>
        <w:t>נטילה אם הוא במקום ידוע, אבל להחמיר מ</w:t>
      </w:r>
      <w:r w:rsidR="009344F9" w:rsidRPr="00882F11">
        <w:rPr>
          <w:rFonts w:cs="Guttman Drogolin" w:hint="cs"/>
          <w:rtl/>
          <w:lang w:bidi="he-IL"/>
        </w:rPr>
        <w:t>ספק ו</w:t>
      </w:r>
      <w:r w:rsidR="0099668B" w:rsidRPr="00882F11">
        <w:rPr>
          <w:rFonts w:cs="Guttman Drogolin" w:hint="cs"/>
          <w:rtl/>
          <w:lang w:bidi="he-IL"/>
        </w:rPr>
        <w:t>ל</w:t>
      </w:r>
      <w:r w:rsidR="009344F9" w:rsidRPr="00882F11">
        <w:rPr>
          <w:rFonts w:cs="Guttman Drogolin" w:hint="cs"/>
          <w:rtl/>
          <w:lang w:bidi="he-IL"/>
        </w:rPr>
        <w:t>הסיר כדי נטילה מסביב סביב לא.</w:t>
      </w:r>
      <w:r w:rsidR="0099668B" w:rsidRPr="00882F11">
        <w:rPr>
          <w:rFonts w:cs="Guttman Drogolin" w:hint="cs"/>
          <w:rtl/>
          <w:lang w:bidi="he-IL"/>
        </w:rPr>
        <w:t xml:space="preserve"> אבל העיר במגי"ס שקושיא זו שייך גם לעצם שיטת הרשב"א, דהא לשונו של המחבר לקוח הוא מן הרשב"א, ולרשב"א עצמו צ"ע כנ"ל.</w:t>
      </w:r>
    </w:p>
    <w:p w:rsidR="00273B8F" w:rsidRPr="00882F11" w:rsidRDefault="00585906" w:rsidP="00585906">
      <w:pPr>
        <w:tabs>
          <w:tab w:val="right" w:pos="7497"/>
        </w:tabs>
        <w:bidi/>
        <w:jc w:val="both"/>
        <w:rPr>
          <w:rFonts w:cs="Guttman Drogolin"/>
          <w:lang w:bidi="he-IL"/>
        </w:rPr>
      </w:pPr>
      <w:r>
        <w:rPr>
          <w:rFonts w:cs="Guttman Drogolin"/>
          <w:rtl/>
          <w:lang w:bidi="he-IL"/>
        </w:rPr>
        <w:fldChar w:fldCharType="begin"/>
      </w:r>
      <w:r>
        <w:instrText xml:space="preserve"> XE "</w:instrText>
      </w:r>
      <w:r w:rsidRPr="006F738F">
        <w:rPr>
          <w:rFonts w:hint="cs"/>
          <w:rtl/>
          <w:lang w:bidi="he-IL"/>
        </w:rPr>
        <w:instrText>ביטול יבש ביבש</w:instrText>
      </w:r>
      <w:r w:rsidRPr="006F738F">
        <w:rPr>
          <w:rtl/>
        </w:rPr>
        <w:instrText>:</w:instrText>
      </w:r>
      <w:r w:rsidRPr="006F738F">
        <w:rPr>
          <w:rFonts w:hint="cs"/>
          <w:rtl/>
          <w:lang w:bidi="he-IL"/>
        </w:rPr>
        <w:instrText xml:space="preserve">בכדי קליפה של מאכל </w:instrText>
      </w:r>
      <w:r>
        <w:rPr>
          <w:rFonts w:hint="cs"/>
          <w:rtl/>
          <w:lang w:bidi="he-IL"/>
        </w:rPr>
        <w:instrText>שלא</w:instrText>
      </w:r>
      <w:r w:rsidRPr="006F738F">
        <w:rPr>
          <w:rFonts w:hint="cs"/>
          <w:rtl/>
          <w:lang w:bidi="he-IL"/>
        </w:rPr>
        <w:instrText xml:space="preserve"> ידוע מקומו</w:instrText>
      </w:r>
      <w:r>
        <w:instrText xml:space="preserve">" </w:instrText>
      </w:r>
      <w:r>
        <w:rPr>
          <w:rFonts w:cs="Guttman Drogolin"/>
          <w:rtl/>
          <w:lang w:bidi="he-IL"/>
        </w:rPr>
        <w:fldChar w:fldCharType="end"/>
      </w:r>
      <w:r w:rsidR="0099668B" w:rsidRPr="00882F11">
        <w:rPr>
          <w:rFonts w:cs="Guttman Drogolin" w:hint="cs"/>
          <w:rtl/>
          <w:lang w:bidi="he-IL"/>
        </w:rPr>
        <w:t>ורע"א עצמו נקט שמדינא אינו צריך להסיר כדי נטילה אלא א"כ הוא במקום ידוע. וטעמו שהרי הכדי קליפה בטל בשאר הבשר של החתיכה. ור"ל שהחתיכה שנאסרה היא בטילה מדין ביטו</w:t>
      </w:r>
      <w:r>
        <w:rPr>
          <w:rFonts w:cs="Guttman Drogolin" w:hint="cs"/>
          <w:rtl/>
          <w:lang w:bidi="he-IL"/>
        </w:rPr>
        <w:t>ל</w:t>
      </w:r>
      <w:r w:rsidR="0099668B" w:rsidRPr="00882F11">
        <w:rPr>
          <w:rFonts w:cs="Guttman Drogolin" w:hint="cs"/>
          <w:rtl/>
          <w:lang w:bidi="he-IL"/>
        </w:rPr>
        <w:t xml:space="preserve"> יבש יבש. ואע"ג דכאן הוי מין בשאינו מינו, ומין בשאינו מינו צריך ס', כאן כיון שיש ס' ביחד עם שאר החתיכה לל"ב. והטעם שהרי מעיקר הדין הי' צריך מין בשא"מ יבש ביבש</w:t>
      </w:r>
      <w:r w:rsidR="009344F9" w:rsidRPr="00882F11">
        <w:rPr>
          <w:rFonts w:cs="Guttman Drogolin" w:hint="cs"/>
          <w:rtl/>
          <w:lang w:bidi="he-IL"/>
        </w:rPr>
        <w:t xml:space="preserve"> </w:t>
      </w:r>
      <w:r w:rsidR="0099668B" w:rsidRPr="00882F11">
        <w:rPr>
          <w:rFonts w:cs="Guttman Drogolin" w:hint="cs"/>
          <w:rtl/>
          <w:lang w:bidi="he-IL"/>
        </w:rPr>
        <w:t>להתבטל ברוב ולא בששים, אבל גזרו עליו משום חשש דלמא יבשל הכל ביחד ויבא לידי נתינת טעם. וא"כ כאן שעם החתיכה לא יבא לידי נתינת טעם לל"ב</w:t>
      </w:r>
      <w:r w:rsidR="00D62E97" w:rsidRPr="00882F11">
        <w:rPr>
          <w:rFonts w:cs="Guttman Drogolin" w:hint="cs"/>
          <w:rtl/>
          <w:lang w:bidi="he-IL"/>
        </w:rPr>
        <w:t xml:space="preserve">. ונראה לבאר ענין זה, דהנה לכאורה החשש </w:t>
      </w:r>
      <w:r w:rsidR="00D62E97" w:rsidRPr="00882F11">
        <w:rPr>
          <w:rFonts w:cs="Guttman Drogolin" w:hint="cs"/>
          <w:rtl/>
          <w:lang w:bidi="he-IL"/>
        </w:rPr>
        <w:lastRenderedPageBreak/>
        <w:t>שחששו חז"ל צ"ע, דלמה יחששו שיבשל דקא את הכל ביחד, דמה"ת, דלמא יבשל חלק מן החתיכות בפני עצמם ויבא לידי נתינת טעם, או שיאכל כל א' בפני עצמו. ומ"מ לכאורה נתנו דגדר לתקנה, והוא שצריך ששים כנגד החתיכות של היתר. ויש אחרונים הנוקטים שבכלל השיעור ששים הוא גם השיעור מים שצריכים כדי לבשל, דהא אי אפשר שיבא לידי נתינת טעם בכולהו אא"כ מבשלם באיזה רוטב, וא"כ ע"כ גם הוא נכנס לשיעור ששים. ויש לדחות שאין זה נכון ע"פ הנ"ל, שנתנו גדר לגזירה שצריך ששים בין החתיכות ולא לוקחים בחשבון שיעור הרוטב הנצרך. וראיתי מי שכתב שדברי רע"א הוא ע"פ דעת המקילים הנ"ל שכוללים גם שיעור המים. ולכאורה יש לדחות, שאע"פ שאין לוקחים בחשבון שיעור מים, מ"מ לוקחיים בחשבון כל החתיכות שהם בתערובת, ואפילו החלקים של החתיכה שאינם בכלל הספק, כיון שהוא א' מן החתיכות שלפנינו. ומ"מ יוצא בזה נפק"מ גדולה דלדינא (כן ראיתי שהעיר במגי"ס) שאם נגע א' במקום א' חתיכת בשר ואינו יודע איפה שאפשר להקל אם יש ששים בחתיכה כנגד הכדי נטילה שנגע בה.</w:t>
      </w:r>
      <w:r w:rsidR="0099668B" w:rsidRPr="00882F11">
        <w:rPr>
          <w:rFonts w:cs="Guttman Drogolin" w:hint="cs"/>
          <w:rtl/>
          <w:lang w:bidi="he-IL"/>
        </w:rPr>
        <w:t xml:space="preserve"> </w:t>
      </w:r>
      <w:r w:rsidR="009344F9" w:rsidRPr="00882F11">
        <w:rPr>
          <w:rFonts w:cs="Guttman Drogolin" w:hint="cs"/>
          <w:rtl/>
          <w:lang w:bidi="he-IL"/>
        </w:rPr>
        <w:t xml:space="preserve"> </w:t>
      </w:r>
      <w:r w:rsidR="00273B8F" w:rsidRPr="00882F11">
        <w:rPr>
          <w:rFonts w:cs="Guttman Drogolin" w:hint="cs"/>
          <w:rtl/>
          <w:lang w:bidi="he-IL"/>
        </w:rPr>
        <w:t xml:space="preserve"> </w:t>
      </w:r>
    </w:p>
    <w:p w:rsidR="00D62E97" w:rsidRPr="00882F11" w:rsidRDefault="00576898" w:rsidP="00576898">
      <w:pPr>
        <w:pStyle w:val="Heading1"/>
        <w:bidi/>
        <w:spacing w:before="0" w:line="360" w:lineRule="auto"/>
        <w:jc w:val="center"/>
        <w:rPr>
          <w:rFonts w:cs="Guttman Drogolin"/>
          <w:color w:val="auto"/>
          <w:sz w:val="24"/>
          <w:szCs w:val="24"/>
          <w:u w:val="single"/>
          <w:rtl/>
          <w:lang w:bidi="he-IL"/>
        </w:rPr>
      </w:pPr>
      <w:bookmarkStart w:id="429" w:name="_Toc496175676"/>
      <w:r w:rsidRPr="00882F11">
        <w:rPr>
          <w:rFonts w:cs="Guttman Drogolin" w:hint="cs"/>
          <w:color w:val="auto"/>
          <w:sz w:val="24"/>
          <w:szCs w:val="24"/>
          <w:u w:val="single"/>
          <w:rtl/>
          <w:lang w:bidi="he-IL"/>
        </w:rPr>
        <w:t>בדין פיטום</w:t>
      </w:r>
      <w:bookmarkEnd w:id="429"/>
    </w:p>
    <w:p w:rsidR="00576898" w:rsidRPr="00882F11" w:rsidRDefault="00585906" w:rsidP="00576898">
      <w:pPr>
        <w:tabs>
          <w:tab w:val="right" w:pos="7497"/>
        </w:tabs>
        <w:bidi/>
        <w:jc w:val="both"/>
        <w:rPr>
          <w:rFonts w:cs="Guttman Drogolin"/>
          <w:rtl/>
          <w:lang w:bidi="he-IL"/>
        </w:rPr>
      </w:pPr>
      <w:r>
        <w:rPr>
          <w:rFonts w:cs="Guttman Drogolin"/>
          <w:rtl/>
          <w:lang w:bidi="he-IL"/>
        </w:rPr>
        <w:fldChar w:fldCharType="begin"/>
      </w:r>
      <w:r>
        <w:instrText xml:space="preserve"> XE "</w:instrText>
      </w:r>
      <w:r w:rsidRPr="00C76794">
        <w:rPr>
          <w:rFonts w:hint="cs"/>
          <w:rtl/>
          <w:lang w:bidi="he-IL"/>
        </w:rPr>
        <w:instrText>פיטום</w:instrText>
      </w:r>
      <w:r w:rsidRPr="00C76794">
        <w:rPr>
          <w:rtl/>
        </w:rPr>
        <w:instrText>:</w:instrText>
      </w:r>
      <w:r w:rsidRPr="00C76794">
        <w:rPr>
          <w:rFonts w:hint="cs"/>
          <w:rtl/>
          <w:lang w:bidi="he-IL"/>
        </w:rPr>
        <w:instrText>דינו בהעברת טעם</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C454B9">
        <w:rPr>
          <w:rFonts w:hint="cs"/>
          <w:rtl/>
          <w:lang w:bidi="he-IL"/>
        </w:rPr>
        <w:instrText>העברת טעם</w:instrText>
      </w:r>
      <w:r w:rsidRPr="00C454B9">
        <w:rPr>
          <w:rtl/>
        </w:rPr>
        <w:instrText>:</w:instrText>
      </w:r>
      <w:r w:rsidRPr="00C454B9">
        <w:rPr>
          <w:rFonts w:hint="cs"/>
          <w:rtl/>
          <w:lang w:bidi="he-IL"/>
        </w:rPr>
        <w:instrText>פיטום בדבר שמן</w:instrText>
      </w:r>
      <w:r>
        <w:instrText xml:space="preserve">" </w:instrText>
      </w:r>
      <w:r>
        <w:rPr>
          <w:rFonts w:cs="Guttman Drogolin"/>
          <w:rtl/>
          <w:lang w:bidi="he-IL"/>
        </w:rPr>
        <w:fldChar w:fldCharType="end"/>
      </w:r>
      <w:r w:rsidR="00576898" w:rsidRPr="00882F11">
        <w:rPr>
          <w:rFonts w:cs="Guttman Drogolin" w:hint="cs"/>
          <w:rtl/>
          <w:lang w:bidi="he-IL"/>
        </w:rPr>
        <w:t xml:space="preserve">כתב הטור דהא דאמרינן שבדבר שמן האיסור מפעפע, אין זה אך ורק במקום שהאיסור שמן, אלא אפילו האיסור כחוש וההיתר שמן ג"כ אוסר בכולו. ובב"י התקשה בטעמו של דבר, שהרי הא שיש פעפוע בדבר שמן, היינו כשהאיסור שמן, שע"י זה האיסור עצמו יכול ליפעפע וללכת לכל מקום של החתיכה. אבל מאי אהני לן זה שההיתר מדבר שמן לומר שהאיסור הכחוש מתפשט בכל החתיכה. ולב"י יש ב' תירוצים לזה. א' מדין חענ"ן, דכיון שנכנס טעם איסור לתוך ההיתר השמן, ההיתר שקיבל טעם נע"נ, וממילא יש להיתר השמן שנעשית נבילה כח להתפשט בכל החתיכה. ועל זה הקשה הב"י לשיטתו דקיי"ל כרבינו אפרים שלא אומרים חענ"ן בשאר איסורים אין לאסור. ובפמ"ג הקשה עוד יותר מזה, והוא שאפילו אם היינו אומרים חענ"ן בשאר </w:t>
      </w:r>
      <w:r w:rsidR="00576898" w:rsidRPr="00882F11">
        <w:rPr>
          <w:rFonts w:cs="Guttman Drogolin" w:hint="cs"/>
          <w:rtl/>
          <w:lang w:bidi="he-IL"/>
        </w:rPr>
        <w:lastRenderedPageBreak/>
        <w:t>איסורים, הא אין הנאסר אוסר במקום שאין האיסור יכול להתפשט.</w:t>
      </w:r>
    </w:p>
    <w:p w:rsidR="00E06730" w:rsidRPr="00882F11" w:rsidRDefault="00576898" w:rsidP="008226E0">
      <w:pPr>
        <w:tabs>
          <w:tab w:val="right" w:pos="7497"/>
        </w:tabs>
        <w:bidi/>
        <w:jc w:val="both"/>
        <w:rPr>
          <w:rFonts w:cs="Guttman Drogolin"/>
          <w:rtl/>
          <w:lang w:bidi="he-IL"/>
        </w:rPr>
        <w:sectPr w:rsidR="00E06730" w:rsidRPr="00882F11" w:rsidSect="008520CC">
          <w:type w:val="continuous"/>
          <w:pgSz w:w="11907" w:h="16839" w:code="9"/>
          <w:pgMar w:top="1440" w:right="1440" w:bottom="1440" w:left="1440" w:header="720" w:footer="720" w:gutter="0"/>
          <w:cols w:num="2" w:space="720"/>
          <w:bidi/>
          <w:docGrid w:linePitch="360"/>
        </w:sectPr>
      </w:pPr>
      <w:r w:rsidRPr="00882F11">
        <w:rPr>
          <w:rFonts w:cs="Guttman Drogolin" w:hint="cs"/>
          <w:rtl/>
          <w:lang w:bidi="he-IL"/>
        </w:rPr>
        <w:t>והתי'</w:t>
      </w:r>
      <w:r w:rsidR="00E06730" w:rsidRPr="00882F11">
        <w:rPr>
          <w:rFonts w:cs="Guttman Drogolin" w:hint="cs"/>
          <w:rtl/>
          <w:lang w:bidi="he-IL"/>
        </w:rPr>
        <w:t xml:space="preserve"> השני שהאיסור משום שההיתר מפטם לי' לאיסור ונותן לו התכונה מצד עצמו להתפשט. ויש לנו מקור לדבר זה במס' פסחים דף ע"ו ע"ב, ששם מבואר בדין ריחא (למ"ד מילתא היא) דלא מיבעי אם החתיכת של איסור הוא שמן אלא אפילו אם הוא כחוש וההיתר שמן ג"כ אסור משום שההיתר השמן מפטם לי' לאיסור וגורם שהוא עצמו יוציא ריחא.</w:t>
      </w:r>
      <w:r w:rsidR="00DD1018" w:rsidRPr="00882F11">
        <w:rPr>
          <w:rFonts w:cs="Guttman Drogolin" w:hint="cs"/>
          <w:rtl/>
          <w:lang w:bidi="he-IL"/>
        </w:rPr>
        <w:t xml:space="preserve"> והט"ז ועוד אחרונים התקשו בשיטה זו מכמה מקומות. וא' מהם התוס' בדף צ"ו ע"ב שאמרו שכשיש דם עם שמן אינו אוסר יותר מן היכולת של הדם, וצ"ע למה לא נימא שיש פיטום. וכם הקשו מסע' ט' שמבואר שם שאם נבלע איסור לתוך חתיכה שמינה לית לי' דין שמפעפע, וצ"ע אמאי, ליהוי מפעפע כמו כאן. </w:t>
      </w:r>
      <w:r w:rsidR="009D059D" w:rsidRPr="00882F11">
        <w:rPr>
          <w:rFonts w:cs="Guttman Drogolin" w:hint="cs"/>
          <w:rtl/>
          <w:lang w:bidi="he-IL"/>
        </w:rPr>
        <w:t>והשפ"ד (ס"ק י"ד) סבר שלא נאמר דין מפעפע אלא בחתיכה אחרת בפני עצמה, שבזה יכול חתיכה שמינה לפטם הכחושה ולעשותה שמינה, אבל בבלוע לא אמרינן הכי.   והחוו"ד ביאר שאם לו כח לפטם, רק שאם נכנס לתוך כדי נטילה של החתיכה השמינה, שוב יכול לפעפע בתוך כל החתיכה השמינה. וביארו זה צ"ע כיון שאינו דומה למקור הדברים בהא דריחא.</w:t>
      </w:r>
    </w:p>
    <w:p w:rsidR="00E06730" w:rsidRPr="008520CC" w:rsidRDefault="00E06730" w:rsidP="00E06730">
      <w:pPr>
        <w:keepNext/>
        <w:tabs>
          <w:tab w:val="left" w:pos="3818"/>
          <w:tab w:val="center" w:pos="4680"/>
        </w:tabs>
        <w:bidi/>
        <w:jc w:val="center"/>
        <w:rPr>
          <w:rFonts w:cs="Guttman Drogolin"/>
          <w:b/>
          <w:bCs/>
          <w:sz w:val="48"/>
          <w:szCs w:val="48"/>
          <w:rtl/>
          <w:lang w:bidi="he-IL"/>
        </w:rPr>
      </w:pPr>
      <w:r w:rsidRPr="008520CC">
        <w:rPr>
          <w:rFonts w:cs="Guttman Drogolin" w:hint="cs"/>
          <w:b/>
          <w:bCs/>
          <w:sz w:val="48"/>
          <w:szCs w:val="48"/>
          <w:rtl/>
          <w:lang w:bidi="he-IL"/>
        </w:rPr>
        <w:lastRenderedPageBreak/>
        <w:t>שיעור ק"ז</w:t>
      </w:r>
    </w:p>
    <w:p w:rsidR="008520CC" w:rsidRDefault="008520CC" w:rsidP="00681214">
      <w:pPr>
        <w:pStyle w:val="Heading1"/>
        <w:bidi/>
        <w:spacing w:before="0" w:line="360" w:lineRule="auto"/>
        <w:jc w:val="center"/>
        <w:rPr>
          <w:rFonts w:cs="Guttman Drogolin"/>
          <w:color w:val="auto"/>
          <w:sz w:val="22"/>
          <w:szCs w:val="22"/>
          <w:u w:val="single"/>
          <w:rtl/>
          <w:lang w:bidi="he-IL"/>
        </w:rPr>
        <w:sectPr w:rsidR="008520CC" w:rsidSect="008520CC">
          <w:headerReference w:type="default" r:id="rId80"/>
          <w:pgSz w:w="11907" w:h="16839" w:code="9"/>
          <w:pgMar w:top="1440" w:right="1440" w:bottom="1440" w:left="1440" w:header="720" w:footer="720" w:gutter="0"/>
          <w:cols w:space="720"/>
          <w:bidi/>
          <w:docGrid w:linePitch="360"/>
        </w:sectPr>
      </w:pPr>
    </w:p>
    <w:p w:rsidR="00E06730" w:rsidRPr="008520CC" w:rsidRDefault="00681214" w:rsidP="00681214">
      <w:pPr>
        <w:pStyle w:val="Heading1"/>
        <w:bidi/>
        <w:spacing w:before="0" w:line="360" w:lineRule="auto"/>
        <w:jc w:val="center"/>
        <w:rPr>
          <w:rFonts w:cs="Guttman Drogolin"/>
          <w:color w:val="auto"/>
          <w:sz w:val="22"/>
          <w:szCs w:val="22"/>
          <w:u w:val="single"/>
          <w:rtl/>
          <w:lang w:bidi="he-IL"/>
        </w:rPr>
      </w:pPr>
      <w:bookmarkStart w:id="430" w:name="_Toc496175677"/>
      <w:r w:rsidRPr="008520CC">
        <w:rPr>
          <w:rFonts w:cs="Guttman Drogolin" w:hint="cs"/>
          <w:color w:val="auto"/>
          <w:sz w:val="22"/>
          <w:szCs w:val="22"/>
          <w:u w:val="single"/>
          <w:rtl/>
          <w:lang w:bidi="he-IL"/>
        </w:rPr>
        <w:lastRenderedPageBreak/>
        <w:t>אין בליעה עובר מחתיכה לחתיכה בלי רוטב</w:t>
      </w:r>
      <w:bookmarkEnd w:id="430"/>
    </w:p>
    <w:p w:rsidR="00C44884" w:rsidRPr="00882F11" w:rsidRDefault="00585906" w:rsidP="00681214">
      <w:pPr>
        <w:tabs>
          <w:tab w:val="right" w:pos="7497"/>
        </w:tabs>
        <w:bidi/>
        <w:jc w:val="both"/>
        <w:rPr>
          <w:rFonts w:cs="Guttman Drogolin"/>
          <w:rtl/>
          <w:lang w:bidi="he-IL"/>
        </w:rPr>
      </w:pPr>
      <w:r>
        <w:rPr>
          <w:rFonts w:cs="Guttman Drogolin"/>
          <w:rtl/>
          <w:lang w:bidi="he-IL"/>
        </w:rPr>
        <w:fldChar w:fldCharType="begin"/>
      </w:r>
      <w:r>
        <w:instrText xml:space="preserve"> XE "</w:instrText>
      </w:r>
      <w:r w:rsidRPr="002C4185">
        <w:rPr>
          <w:rFonts w:hint="cs"/>
          <w:rtl/>
          <w:lang w:bidi="he-IL"/>
        </w:rPr>
        <w:instrText>אין בליעה עוברת מחתיכה לחתיכה בלי רוטב</w:instrText>
      </w:r>
      <w:r w:rsidRPr="002C4185">
        <w:rPr>
          <w:rtl/>
        </w:rPr>
        <w:instrText>:</w:instrText>
      </w:r>
      <w:r w:rsidRPr="002C4185">
        <w:rPr>
          <w:rFonts w:hint="cs"/>
          <w:rtl/>
          <w:lang w:bidi="he-IL"/>
        </w:rPr>
        <w:instrText>דינו</w:instrText>
      </w:r>
      <w:r>
        <w:instrText xml:space="preserve">" </w:instrText>
      </w:r>
      <w:r>
        <w:rPr>
          <w:rFonts w:cs="Guttman Drogolin"/>
          <w:rtl/>
          <w:lang w:bidi="he-IL"/>
        </w:rPr>
        <w:fldChar w:fldCharType="end"/>
      </w:r>
      <w:r w:rsidR="00681214" w:rsidRPr="00882F11">
        <w:rPr>
          <w:rFonts w:cs="Guttman Drogolin" w:hint="cs"/>
          <w:rtl/>
          <w:lang w:bidi="he-IL"/>
        </w:rPr>
        <w:t>בסע' ז' הביא השו"ע הדין דהא דאמרינן שחתיכת היתר נאסרת מחתיכת איסור כדי נטילה כשנל</w:t>
      </w:r>
      <w:r w:rsidR="00E06730" w:rsidRPr="00882F11">
        <w:rPr>
          <w:rFonts w:cs="Guttman Drogolin" w:hint="cs"/>
          <w:rtl/>
          <w:lang w:bidi="he-IL"/>
        </w:rPr>
        <w:t>ב</w:t>
      </w:r>
      <w:r w:rsidR="00681214" w:rsidRPr="00882F11">
        <w:rPr>
          <w:rFonts w:cs="Guttman Drogolin" w:hint="cs"/>
          <w:rtl/>
          <w:lang w:bidi="he-IL"/>
        </w:rPr>
        <w:t>ע דרך צלי', הנ"מ בחתיכת איסור האסורה מחמת עצמה, אבל אם לא נאסר אלא מן הבלוע שבה, אין הבליעה עוברת מחתיכה לחתיכה בלי רוטב. והתוס' בדף ק"ח ע"א ד"ה טיפת ועוד ראשונים הוכיחו דבר זה מן הגמ' שבדף ק"ח ע"ב. דמבואר שם בגמ' מחלוקת ר' יהודה ורבנן בטיפת חלב שנפלה ע"ג חתיכה אם מצרפינן כל הנמצא בקדירה לבטל הטיפת חלב או לא. ו</w:t>
      </w:r>
      <w:r w:rsidR="00681214" w:rsidRPr="00882F11">
        <w:rPr>
          <w:rFonts w:cs="Guttman Drogolin"/>
          <w:rtl/>
          <w:lang w:bidi="he-IL"/>
        </w:rPr>
        <w:t xml:space="preserve">אמר רבי </w:t>
      </w:r>
      <w:r w:rsidR="00681214" w:rsidRPr="00882F11">
        <w:rPr>
          <w:rFonts w:cs="Guttman Drogolin" w:hint="cs"/>
          <w:rtl/>
          <w:lang w:bidi="he-IL"/>
        </w:rPr>
        <w:t>ש</w:t>
      </w:r>
      <w:r w:rsidR="00681214" w:rsidRPr="00882F11">
        <w:rPr>
          <w:rFonts w:cs="Guttman Drogolin"/>
          <w:rtl/>
          <w:lang w:bidi="he-IL"/>
        </w:rPr>
        <w:t xml:space="preserve">נראין דברי ר' יהודה בשלא ניער ושלא כסה, ודברי חכמים בשניער וכסה. </w:t>
      </w:r>
      <w:r w:rsidR="00681214" w:rsidRPr="00882F11">
        <w:rPr>
          <w:rFonts w:cs="Guttman Drogolin" w:hint="cs"/>
          <w:rtl/>
          <w:lang w:bidi="he-IL"/>
        </w:rPr>
        <w:t xml:space="preserve">ושואלת הגמ' </w:t>
      </w:r>
      <w:r w:rsidR="00681214" w:rsidRPr="00882F11">
        <w:rPr>
          <w:rFonts w:cs="Guttman Drogolin"/>
          <w:rtl/>
          <w:lang w:bidi="he-IL"/>
        </w:rPr>
        <w:t>מאי לא ניער ולא כסה</w:t>
      </w:r>
      <w:r w:rsidR="00681214" w:rsidRPr="00882F11">
        <w:rPr>
          <w:rFonts w:cs="Guttman Drogolin" w:hint="cs"/>
          <w:rtl/>
          <w:lang w:bidi="he-IL"/>
        </w:rPr>
        <w:t>,</w:t>
      </w:r>
      <w:r w:rsidR="00681214" w:rsidRPr="00882F11">
        <w:rPr>
          <w:rFonts w:cs="Guttman Drogolin"/>
          <w:rtl/>
          <w:lang w:bidi="he-IL"/>
        </w:rPr>
        <w:t xml:space="preserve"> אילימא לא ניער כלל ולא כסה כלל, </w:t>
      </w:r>
      <w:r w:rsidR="00681214" w:rsidRPr="00882F11">
        <w:rPr>
          <w:rFonts w:cs="Guttman Drogolin" w:hint="cs"/>
          <w:rtl/>
          <w:lang w:bidi="he-IL"/>
        </w:rPr>
        <w:t>"</w:t>
      </w:r>
      <w:r w:rsidR="00681214" w:rsidRPr="00882F11">
        <w:rPr>
          <w:rFonts w:cs="Guttman Drogolin"/>
          <w:rtl/>
          <w:lang w:bidi="he-IL"/>
        </w:rPr>
        <w:t>מבלע בלע מפלט לא פלט</w:t>
      </w:r>
      <w:r w:rsidR="00681214" w:rsidRPr="00882F11">
        <w:rPr>
          <w:rFonts w:cs="Guttman Drogolin" w:hint="cs"/>
          <w:rtl/>
          <w:lang w:bidi="he-IL"/>
        </w:rPr>
        <w:t xml:space="preserve">". וכוונת הגמ' שאם יש חתיכה שהיא למעלה מן הרוטב </w:t>
      </w:r>
      <w:r w:rsidR="00C44884" w:rsidRPr="00882F11">
        <w:rPr>
          <w:rFonts w:cs="Guttman Drogolin" w:hint="cs"/>
          <w:rtl/>
          <w:lang w:bidi="he-IL"/>
        </w:rPr>
        <w:t>ונאסרת ע"י טיפת חלב, נהי נמי שאוסרת היא את כל החתיכה, מ"מ אין הטיפה אין נפלטת מן החתיכה להתפשט לחתיכה שתחתיו ולשאר הנמצא בקדירה. וע"כ כנ"ל שאין הבלוע עובר מחתיכה לחתיכה בלי רוטב.</w:t>
      </w:r>
    </w:p>
    <w:p w:rsidR="004D5BF8" w:rsidRPr="00882F11" w:rsidRDefault="00C44884" w:rsidP="00C44884">
      <w:pPr>
        <w:tabs>
          <w:tab w:val="right" w:pos="7497"/>
        </w:tabs>
        <w:bidi/>
        <w:jc w:val="both"/>
        <w:rPr>
          <w:rFonts w:cs="Guttman Drogolin"/>
          <w:rtl/>
          <w:lang w:bidi="he-IL"/>
        </w:rPr>
      </w:pPr>
      <w:r w:rsidRPr="00882F11">
        <w:rPr>
          <w:rFonts w:cs="Guttman Drogolin" w:hint="cs"/>
          <w:rtl/>
          <w:lang w:bidi="he-IL"/>
        </w:rPr>
        <w:t>והר"ן חלק על זה וסבר שאין טעם לומר שעובר כל החתיכה ולא מחתיכה לחתיכה. וע' רע"א</w:t>
      </w:r>
      <w:r w:rsidRPr="00882F11">
        <w:rPr>
          <w:rStyle w:val="FootnoteReference"/>
          <w:rFonts w:cs="Guttman Drogolin"/>
          <w:rtl/>
          <w:lang w:bidi="he-IL"/>
        </w:rPr>
        <w:footnoteReference w:id="422"/>
      </w:r>
      <w:r w:rsidRPr="00882F11">
        <w:rPr>
          <w:rFonts w:cs="Guttman Drogolin" w:hint="cs"/>
          <w:rtl/>
          <w:lang w:bidi="he-IL"/>
        </w:rPr>
        <w:t xml:space="preserve"> שבאמת התקשה לדבריו דא"כ למה אין אנו אומרים שהטיפה מתפשטת מחתיכה לחתיכה עד לתוך התבשיל באופן שכל הקדרה מצטר לבטל הטיפה בס'. וע"כ צריכים לומר כמש"כ בשו"ת חת"ס סי'צ צ"ז דאע"ג שיוצא מחתיכה לחתיכה בי רוטב, מ"מ יש שיהוי קצת בין חתיכה לחתיכה, ובינתיים החתיכה עליונה נע"נ, ולכן יכולה היא לאסור החתיכה שמתחתיו (וכשיטתו שהנאסר אוסר במקום שאין האיסור יכול להתפשט). ולענין דברי הגמ' הנ"ל כתב הר"ן שלא נאמר אלא למ"ד </w:t>
      </w:r>
      <w:r w:rsidR="00DC784B">
        <w:rPr>
          <w:rFonts w:cs="Guttman Drogolin" w:hint="cs"/>
          <w:rtl/>
          <w:lang w:bidi="he-IL"/>
        </w:rPr>
        <w:t>אפשר לסוחטו</w:t>
      </w:r>
      <w:r w:rsidRPr="00882F11">
        <w:rPr>
          <w:rFonts w:cs="Guttman Drogolin" w:hint="cs"/>
          <w:rtl/>
          <w:lang w:bidi="he-IL"/>
        </w:rPr>
        <w:t xml:space="preserve"> מותר</w:t>
      </w:r>
      <w:r w:rsidR="004D5BF8" w:rsidRPr="00882F11">
        <w:rPr>
          <w:rFonts w:cs="Guttman Drogolin" w:hint="cs"/>
          <w:rtl/>
          <w:lang w:bidi="he-IL"/>
        </w:rPr>
        <w:t xml:space="preserve">, וכוונת הגמ' לומר שאינו מפליט פליטה האוסרת כיון שאם החלב מתפשט הא יש ביטול בס', והבשר עצמו אינו נאסר כיון </w:t>
      </w:r>
      <w:r w:rsidR="004D5BF8" w:rsidRPr="00882F11">
        <w:rPr>
          <w:rFonts w:cs="Guttman Drogolin" w:hint="cs"/>
          <w:rtl/>
          <w:lang w:bidi="he-IL"/>
        </w:rPr>
        <w:lastRenderedPageBreak/>
        <w:t xml:space="preserve">דס"ל </w:t>
      </w:r>
      <w:r w:rsidR="00DC784B">
        <w:rPr>
          <w:rFonts w:cs="Guttman Drogolin" w:hint="cs"/>
          <w:rtl/>
          <w:lang w:bidi="he-IL"/>
        </w:rPr>
        <w:t>אפשר לסוחטו</w:t>
      </w:r>
      <w:r w:rsidR="004D5BF8" w:rsidRPr="00882F11">
        <w:rPr>
          <w:rFonts w:cs="Guttman Drogolin" w:hint="cs"/>
          <w:rtl/>
          <w:lang w:bidi="he-IL"/>
        </w:rPr>
        <w:t xml:space="preserve"> מותר, ואה"נ לדידן דקיי"ל </w:t>
      </w:r>
      <w:r w:rsidR="00DC784B">
        <w:rPr>
          <w:rFonts w:cs="Guttman Drogolin" w:hint="cs"/>
          <w:rtl/>
          <w:lang w:bidi="he-IL"/>
        </w:rPr>
        <w:t>אפשר לסוחטו</w:t>
      </w:r>
      <w:r w:rsidR="004D5BF8" w:rsidRPr="00882F11">
        <w:rPr>
          <w:rFonts w:cs="Guttman Drogolin" w:hint="cs"/>
          <w:rtl/>
          <w:lang w:bidi="he-IL"/>
        </w:rPr>
        <w:t xml:space="preserve"> אסור ג"כ כה"ג אסור. </w:t>
      </w:r>
    </w:p>
    <w:p w:rsidR="004D5BF8" w:rsidRPr="00882F11" w:rsidRDefault="004D5BF8" w:rsidP="002A45B2">
      <w:pPr>
        <w:tabs>
          <w:tab w:val="right" w:pos="7497"/>
        </w:tabs>
        <w:bidi/>
        <w:jc w:val="both"/>
        <w:rPr>
          <w:rFonts w:cs="Guttman Drogolin"/>
          <w:rtl/>
          <w:lang w:bidi="he-IL"/>
        </w:rPr>
      </w:pPr>
      <w:r w:rsidRPr="00882F11">
        <w:rPr>
          <w:rFonts w:cs="Guttman Drogolin" w:hint="cs"/>
          <w:rtl/>
          <w:lang w:bidi="he-IL"/>
        </w:rPr>
        <w:t>והרשב"א הוסיף בזה עוד וכתב דהא דאמרינן שאין בליעה עובר מחתיכה לחתיכה בלי רוטב, הנ"מ כשאין הבלוע שמן, אבל בבלוע שמן אמירנן שעובר מחתיכה לחתכה בלי רוטב. והרשב"א לא הביא מקור לדבריו, וכן לכאורה מבואר להיפך מהא דטיפת חלב גופא, שלמ"ד דחלב נחשב דבר שמן, חזינן שהוא מתפשט בכל החתיכה, ומ"מ אינו עובר מחתיכה לחתיכה, ע' מזה בביאור הגר"א ס"ק מ"ב. והט"ז בכמה מקומות (כאן בס"ק ט"ו, לעיל סי' פ"ז ס"ק י'</w:t>
      </w:r>
      <w:r w:rsidR="002A45B2" w:rsidRPr="00882F11">
        <w:rPr>
          <w:rFonts w:cs="Guttman Drogolin" w:hint="cs"/>
          <w:rtl/>
          <w:lang w:bidi="he-IL"/>
        </w:rPr>
        <w:t xml:space="preserve">, סי' צ"ב ס"ק ב') הקשה שלכאורה יש סתירה, שבסי' פ"ז וכן בסי' צ"ב משמע שחלב הוא דבר המפעפע, ומאידך כאן מוכח שאינו מפעפע. והט"ז השאיר את זה בצ"ע. וע' בסי' פ"ז בנקוה"כ מש"כ ליישב בזה.  </w:t>
      </w:r>
      <w:r w:rsidRPr="00882F11">
        <w:rPr>
          <w:rFonts w:cs="Guttman Drogolin" w:hint="cs"/>
          <w:rtl/>
          <w:lang w:bidi="he-IL"/>
        </w:rPr>
        <w:t xml:space="preserve"> </w:t>
      </w:r>
    </w:p>
    <w:p w:rsidR="002A45B2" w:rsidRPr="00882F11" w:rsidRDefault="002A45B2" w:rsidP="002A45B2">
      <w:pPr>
        <w:pStyle w:val="Heading1"/>
        <w:bidi/>
        <w:spacing w:before="0" w:line="360" w:lineRule="auto"/>
        <w:jc w:val="center"/>
        <w:rPr>
          <w:rFonts w:cs="Guttman Drogolin"/>
          <w:color w:val="auto"/>
          <w:sz w:val="24"/>
          <w:szCs w:val="24"/>
          <w:u w:val="single"/>
          <w:rtl/>
          <w:lang w:bidi="he-IL"/>
        </w:rPr>
      </w:pPr>
      <w:bookmarkStart w:id="431" w:name="_Toc496175678"/>
      <w:r w:rsidRPr="00882F11">
        <w:rPr>
          <w:rFonts w:cs="Guttman Drogolin" w:hint="cs"/>
          <w:color w:val="auto"/>
          <w:sz w:val="24"/>
          <w:szCs w:val="24"/>
          <w:u w:val="single"/>
          <w:rtl/>
          <w:lang w:bidi="he-IL"/>
        </w:rPr>
        <w:t>איזה כמות רוטב מעביר טעם</w:t>
      </w:r>
      <w:bookmarkEnd w:id="431"/>
    </w:p>
    <w:p w:rsidR="002A45B2" w:rsidRPr="00882F11" w:rsidRDefault="00585906" w:rsidP="00585906">
      <w:pPr>
        <w:tabs>
          <w:tab w:val="right" w:pos="7497"/>
        </w:tabs>
        <w:bidi/>
        <w:jc w:val="both"/>
        <w:rPr>
          <w:rFonts w:cs="Guttman Drogolin"/>
          <w:rtl/>
          <w:lang w:bidi="he-IL"/>
        </w:rPr>
      </w:pPr>
      <w:r>
        <w:rPr>
          <w:rFonts w:cs="Guttman Drogolin"/>
          <w:rtl/>
          <w:lang w:bidi="he-IL"/>
        </w:rPr>
        <w:fldChar w:fldCharType="begin"/>
      </w:r>
      <w:r>
        <w:instrText xml:space="preserve"> XE "</w:instrText>
      </w:r>
      <w:r w:rsidRPr="002C4185">
        <w:rPr>
          <w:rFonts w:hint="cs"/>
          <w:rtl/>
          <w:lang w:bidi="he-IL"/>
        </w:rPr>
        <w:instrText>אין בליעה עוברת מחתיכה לחתיכה בלי רוטב</w:instrText>
      </w:r>
      <w:r w:rsidRPr="002C4185">
        <w:rPr>
          <w:rtl/>
        </w:rPr>
        <w:instrText>:</w:instrText>
      </w:r>
      <w:r>
        <w:rPr>
          <w:rFonts w:hint="cs"/>
          <w:rtl/>
          <w:lang w:bidi="he-IL"/>
        </w:rPr>
        <w:instrText>כמות הרוטב</w:instrText>
      </w:r>
      <w:r>
        <w:instrText xml:space="preserve">" </w:instrText>
      </w:r>
      <w:r>
        <w:rPr>
          <w:rFonts w:cs="Guttman Drogolin"/>
          <w:rtl/>
          <w:lang w:bidi="he-IL"/>
        </w:rPr>
        <w:fldChar w:fldCharType="end"/>
      </w:r>
      <w:r w:rsidR="002A45B2" w:rsidRPr="00882F11">
        <w:rPr>
          <w:rFonts w:cs="Guttman Drogolin" w:hint="cs"/>
          <w:rtl/>
          <w:lang w:bidi="he-IL"/>
        </w:rPr>
        <w:t xml:space="preserve">החוו"ד העיר שלכאורה כל צלי מטפטף טיפות של רוטב. וסבר החוו"ד שהרוטב הזה יש בה טעם מן החתיכה, מ"מ ע"כ אינו אוסר. והוכיח מזה החוו"ד שהקצת רוטב שהא ע"י צלי אין בכחה לאסור. ומ"מ לא מתבאר בהדיא </w:t>
      </w:r>
      <w:r w:rsidR="00662B6F">
        <w:rPr>
          <w:rFonts w:cs="Guttman Drogolin" w:hint="cs"/>
          <w:rtl/>
          <w:lang w:bidi="he-IL"/>
        </w:rPr>
        <w:t>ל</w:t>
      </w:r>
      <w:r w:rsidR="002A45B2" w:rsidRPr="00882F11">
        <w:rPr>
          <w:rFonts w:cs="Guttman Drogolin" w:hint="cs"/>
          <w:rtl/>
          <w:lang w:bidi="he-IL"/>
        </w:rPr>
        <w:t>שיטת החוו"ד איזה כמות רוטב חשוב כדי לאסור. והיד יהודה חלק וסבר שכל כמות של רוטב יש לו כח לאסור, והטעם שצלי אינו אוסר היינו משום שהרוטב המטפטף מן הצלי אין בה טעם איסור ומשו"ה  אינו אוסר. ודבר זה נפק"מ לחצובות של היום, שאם הם בלועות (וכגון שנפל עליו בשר היום) ושוב גלש מן הקדירה החלבית באופן שיש קצת משקין בין הקדרה לחצובה, האם אנחנו אומרים שהבליעה עוברת מן החתובה לקדרה משום הטיפה של רוטב או לא.</w:t>
      </w:r>
      <w:r w:rsidR="00F535D4" w:rsidRPr="00882F11">
        <w:rPr>
          <w:rFonts w:cs="Guttman Drogolin" w:hint="cs"/>
          <w:rtl/>
          <w:lang w:bidi="he-IL"/>
        </w:rPr>
        <w:t xml:space="preserve"> וכן יש בזה נפק"מ בחצובות לפסח, שאם החצובה בלע חמץ במשך השנה, אע"ג שעכשיו אינו בן יומו, מ"מ אנחנו מחמירים בנטל"פ בפסח, וא"כ אם גולש משקין </w:t>
      </w:r>
      <w:r w:rsidR="00F535D4" w:rsidRPr="00882F11">
        <w:rPr>
          <w:rFonts w:cs="Guttman Drogolin" w:hint="cs"/>
          <w:rtl/>
          <w:lang w:bidi="he-IL"/>
        </w:rPr>
        <w:lastRenderedPageBreak/>
        <w:t>בין החצובה לכלי של פסח, ליד יהודה יש לחשוש שעוברים בליעות מן החצובה לקדרה. ויש בזה עוד הרבה פרטים ואכמ"ל.</w:t>
      </w:r>
      <w:r w:rsidR="002A45B2" w:rsidRPr="00882F11">
        <w:rPr>
          <w:rFonts w:cs="Guttman Drogolin" w:hint="cs"/>
          <w:rtl/>
          <w:lang w:bidi="he-IL"/>
        </w:rPr>
        <w:t xml:space="preserve"> </w:t>
      </w:r>
    </w:p>
    <w:p w:rsidR="00F535D4" w:rsidRPr="008520CC" w:rsidRDefault="00F535D4" w:rsidP="00F535D4">
      <w:pPr>
        <w:pStyle w:val="Heading1"/>
        <w:bidi/>
        <w:spacing w:before="0" w:line="360" w:lineRule="auto"/>
        <w:jc w:val="center"/>
        <w:rPr>
          <w:rFonts w:cs="Guttman Drogolin"/>
          <w:color w:val="auto"/>
          <w:sz w:val="20"/>
          <w:szCs w:val="20"/>
          <w:u w:val="single"/>
          <w:rtl/>
          <w:lang w:bidi="he-IL"/>
        </w:rPr>
      </w:pPr>
      <w:bookmarkStart w:id="432" w:name="_Toc496175679"/>
      <w:r w:rsidRPr="008520CC">
        <w:rPr>
          <w:rFonts w:cs="Guttman Drogolin" w:hint="cs"/>
          <w:color w:val="auto"/>
          <w:sz w:val="20"/>
          <w:szCs w:val="20"/>
          <w:u w:val="single"/>
          <w:rtl/>
          <w:lang w:bidi="he-IL"/>
        </w:rPr>
        <w:t>האם בליעות עוברים מכלי או לתוך כלי בלי רוטב</w:t>
      </w:r>
      <w:bookmarkEnd w:id="432"/>
    </w:p>
    <w:p w:rsidR="0096137B" w:rsidRPr="00882F11" w:rsidRDefault="00585906" w:rsidP="0078141B">
      <w:pPr>
        <w:tabs>
          <w:tab w:val="right" w:pos="7497"/>
        </w:tabs>
        <w:bidi/>
        <w:jc w:val="both"/>
        <w:rPr>
          <w:rFonts w:cs="Guttman Drogolin"/>
          <w:rtl/>
          <w:lang w:bidi="he-IL"/>
        </w:rPr>
      </w:pPr>
      <w:r>
        <w:rPr>
          <w:rFonts w:cs="Guttman Drogolin"/>
          <w:rtl/>
          <w:lang w:bidi="he-IL"/>
        </w:rPr>
        <w:fldChar w:fldCharType="begin"/>
      </w:r>
      <w:r>
        <w:instrText xml:space="preserve"> XE "</w:instrText>
      </w:r>
      <w:r w:rsidRPr="002C4185">
        <w:rPr>
          <w:rFonts w:hint="cs"/>
          <w:rtl/>
          <w:lang w:bidi="he-IL"/>
        </w:rPr>
        <w:instrText xml:space="preserve">אין בליעה עוברת </w:instrText>
      </w:r>
      <w:r>
        <w:rPr>
          <w:rFonts w:hint="cs"/>
          <w:rtl/>
          <w:lang w:bidi="he-IL"/>
        </w:rPr>
        <w:instrText>מכלי לכלי</w:instrText>
      </w:r>
      <w:r w:rsidRPr="002C4185">
        <w:rPr>
          <w:rFonts w:hint="cs"/>
          <w:rtl/>
          <w:lang w:bidi="he-IL"/>
        </w:rPr>
        <w:instrText xml:space="preserve"> בלי רוטב</w:instrText>
      </w:r>
      <w:r w:rsidRPr="002C4185">
        <w:rPr>
          <w:rtl/>
        </w:rPr>
        <w:instrText>:</w:instrText>
      </w:r>
      <w:r w:rsidR="0078141B">
        <w:rPr>
          <w:rFonts w:hint="cs"/>
          <w:rtl/>
          <w:lang w:bidi="he-IL"/>
        </w:rPr>
        <w:instrText>מה הדין בכלי לאוכל או להיפך</w:instrText>
      </w:r>
      <w:r>
        <w:instrText xml:space="preserve">" </w:instrText>
      </w:r>
      <w:r>
        <w:rPr>
          <w:rFonts w:cs="Guttman Drogolin"/>
          <w:rtl/>
          <w:lang w:bidi="he-IL"/>
        </w:rPr>
        <w:fldChar w:fldCharType="end"/>
      </w:r>
      <w:r w:rsidR="0078141B">
        <w:rPr>
          <w:rFonts w:cs="Guttman Drogolin"/>
          <w:rtl/>
          <w:lang w:bidi="he-IL"/>
        </w:rPr>
        <w:fldChar w:fldCharType="begin"/>
      </w:r>
      <w:r w:rsidR="0078141B">
        <w:instrText xml:space="preserve"> XE "</w:instrText>
      </w:r>
      <w:r w:rsidR="0078141B" w:rsidRPr="002C4185">
        <w:rPr>
          <w:rFonts w:hint="cs"/>
          <w:rtl/>
          <w:lang w:bidi="he-IL"/>
        </w:rPr>
        <w:instrText>אין בליעה עוברת מחתיכה לחתיכה בלי רוטב</w:instrText>
      </w:r>
      <w:r w:rsidR="0078141B" w:rsidRPr="002C4185">
        <w:rPr>
          <w:rtl/>
        </w:rPr>
        <w:instrText>:</w:instrText>
      </w:r>
      <w:r w:rsidR="0078141B" w:rsidRPr="0078141B">
        <w:rPr>
          <w:rFonts w:hint="cs"/>
          <w:rtl/>
          <w:lang w:bidi="he-IL"/>
        </w:rPr>
        <w:instrText xml:space="preserve"> </w:instrText>
      </w:r>
      <w:r w:rsidR="0078141B">
        <w:rPr>
          <w:rFonts w:hint="cs"/>
          <w:rtl/>
          <w:lang w:bidi="he-IL"/>
        </w:rPr>
        <w:instrText>הדין בכלי לאוכל או להיפך</w:instrText>
      </w:r>
      <w:r w:rsidR="0078141B">
        <w:instrText xml:space="preserve"> " </w:instrText>
      </w:r>
      <w:r w:rsidR="0078141B">
        <w:rPr>
          <w:rFonts w:cs="Guttman Drogolin"/>
          <w:rtl/>
          <w:lang w:bidi="he-IL"/>
        </w:rPr>
        <w:fldChar w:fldCharType="end"/>
      </w:r>
      <w:r w:rsidR="00F535D4" w:rsidRPr="00882F11">
        <w:rPr>
          <w:rFonts w:cs="Guttman Drogolin" w:hint="cs"/>
          <w:rtl/>
          <w:lang w:bidi="he-IL"/>
        </w:rPr>
        <w:t xml:space="preserve">בסוגיא דדף קי"א ע"ב שדנו בדגים שעלו בקערה אם אוסרים משום דינא דנ"ט בר נ"ט לכאורה מבואר שבליעה עובר ממאכל לכלי בלי רוטב. וכן הוכיח הרשב"א </w:t>
      </w:r>
      <w:r w:rsidR="00B22597" w:rsidRPr="00882F11">
        <w:rPr>
          <w:rFonts w:cs="Guttman Drogolin" w:hint="cs"/>
          <w:rtl/>
          <w:lang w:bidi="he-IL"/>
        </w:rPr>
        <w:t xml:space="preserve">בחידושיו למס' </w:t>
      </w:r>
      <w:r w:rsidR="00B22597" w:rsidRPr="00882F11">
        <w:rPr>
          <w:rFonts w:cs="Guttman Drogolin"/>
          <w:rtl/>
          <w:lang w:bidi="he-IL"/>
        </w:rPr>
        <w:t>חולין דף ק</w:t>
      </w:r>
      <w:r w:rsidR="00B22597" w:rsidRPr="00882F11">
        <w:rPr>
          <w:rFonts w:cs="Guttman Drogolin" w:hint="cs"/>
          <w:rtl/>
          <w:lang w:bidi="he-IL"/>
        </w:rPr>
        <w:t>"</w:t>
      </w:r>
      <w:r w:rsidR="00B22597" w:rsidRPr="00882F11">
        <w:rPr>
          <w:rFonts w:cs="Guttman Drogolin"/>
          <w:rtl/>
          <w:lang w:bidi="he-IL"/>
        </w:rPr>
        <w:t>ח</w:t>
      </w:r>
      <w:r w:rsidR="00B22597" w:rsidRPr="00882F11">
        <w:rPr>
          <w:rFonts w:cs="Guttman Drogolin" w:hint="cs"/>
          <w:rtl/>
          <w:lang w:bidi="he-IL"/>
        </w:rPr>
        <w:t xml:space="preserve"> ע"ב</w:t>
      </w:r>
      <w:r w:rsidR="00B22597" w:rsidRPr="00882F11">
        <w:rPr>
          <w:rFonts w:cs="Guttman Drogolin"/>
          <w:rtl/>
          <w:lang w:bidi="he-IL"/>
        </w:rPr>
        <w:t xml:space="preserve"> </w:t>
      </w:r>
      <w:r w:rsidR="00B22597" w:rsidRPr="00882F11">
        <w:rPr>
          <w:rFonts w:cs="Guttman Drogolin" w:hint="cs"/>
          <w:rtl/>
          <w:lang w:bidi="he-IL"/>
        </w:rPr>
        <w:t>(</w:t>
      </w:r>
      <w:r w:rsidR="00B22597" w:rsidRPr="00882F11">
        <w:rPr>
          <w:rFonts w:cs="Guttman Drogolin"/>
          <w:rtl/>
          <w:lang w:bidi="he-IL"/>
        </w:rPr>
        <w:t>ד"ה אילימא</w:t>
      </w:r>
      <w:r w:rsidR="00B22597" w:rsidRPr="00882F11">
        <w:rPr>
          <w:rFonts w:cs="Guttman Drogolin" w:hint="cs"/>
          <w:rtl/>
          <w:lang w:bidi="he-IL"/>
        </w:rPr>
        <w:t>). וכ"כ כאן גם הרמ"א ובביאור הגר"א הוכיח כן מגמ' הנ"ל. וכתב הרשב"א בטעמו של דבר "ד</w:t>
      </w:r>
      <w:r w:rsidR="00B22597" w:rsidRPr="00882F11">
        <w:rPr>
          <w:rFonts w:cs="Guttman Drogolin"/>
          <w:rtl/>
          <w:lang w:bidi="he-IL"/>
        </w:rPr>
        <w:t>שאני כלים מאוכלים דכלים אין נסרכת בהן בליעתן אלא עומדת בתוכן כעין כנוס ובמעט רתיחה יוצאת בליעתן מהן כולה או מקצתה, משא"כ באוכלין שהיא נסרכת ומתפשטת בתוכם ואינה יוצאת בנקלה כל כך והילכך אינה יוצאת כי אם ע"י רוטב</w:t>
      </w:r>
      <w:r w:rsidR="00B22597" w:rsidRPr="00882F11">
        <w:rPr>
          <w:rFonts w:cs="Guttman Drogolin" w:hint="cs"/>
          <w:rtl/>
          <w:lang w:bidi="he-IL"/>
        </w:rPr>
        <w:t>"</w:t>
      </w:r>
      <w:r w:rsidR="0096137B" w:rsidRPr="00882F11">
        <w:rPr>
          <w:rFonts w:cs="Guttman Drogolin" w:hint="cs"/>
          <w:rtl/>
          <w:lang w:bidi="he-IL"/>
        </w:rPr>
        <w:t>. וע' בש"ך וט"ז כאן שכתבו הטעם לחלק בין כלי למאכל משום שמאכל יש לו פליטה מ</w:t>
      </w:r>
      <w:r w:rsidR="00B00A10" w:rsidRPr="00882F11">
        <w:rPr>
          <w:rFonts w:cs="Guttman Drogolin" w:hint="cs"/>
          <w:rtl/>
          <w:lang w:bidi="he-IL"/>
        </w:rPr>
        <w:t xml:space="preserve">עצמו, משא"כ בכלי. וע' </w:t>
      </w:r>
      <w:r w:rsidR="00B00A10" w:rsidRPr="00882F11">
        <w:rPr>
          <w:rFonts w:cs="Guttman Drogolin"/>
          <w:rtl/>
          <w:lang w:bidi="he-IL"/>
        </w:rPr>
        <w:t>חזו"א (יו"ד סי' כ"ב ס"ק ז' ד"ה ולשון</w:t>
      </w:r>
      <w:r w:rsidR="00B00A10" w:rsidRPr="00882F11">
        <w:rPr>
          <w:rFonts w:cs="Guttman Drogolin" w:hint="cs"/>
          <w:rtl/>
          <w:lang w:bidi="he-IL"/>
        </w:rPr>
        <w:t>) שכתב דע"כ גם הנו"כ כוונתם שטעם הבלוע במאכל מתמזג עם הטעם של המאכל ולכן אינו יוצא בקלות בלי רוטב, משא"כ בטעם בכלי שהוא ככנוס ולכן יוצא, והוא כסברת הרשב"א הנ"ל. ומ"מ כל הטעמי</w:t>
      </w:r>
      <w:r w:rsidR="0096137B" w:rsidRPr="00882F11">
        <w:rPr>
          <w:rFonts w:cs="Guttman Drogolin" w:hint="cs"/>
          <w:rtl/>
          <w:lang w:bidi="he-IL"/>
        </w:rPr>
        <w:t>ם הנ"ל שייכים רק במאכל הבולע מכלי, אבל אין טעם לומר שהבלוע במאכל יעבור לכלי בלי רוטב, שבזה שייך שפיר לומר שאינו עובר בלי רוטב. וכ"כ הט"ז בס"ק ט"ז.</w:t>
      </w:r>
    </w:p>
    <w:p w:rsidR="006466FC" w:rsidRPr="00882F11" w:rsidRDefault="0096137B" w:rsidP="00655EB3">
      <w:pPr>
        <w:tabs>
          <w:tab w:val="right" w:pos="7497"/>
        </w:tabs>
        <w:bidi/>
        <w:jc w:val="both"/>
        <w:rPr>
          <w:rFonts w:cs="Guttman Drogolin"/>
          <w:rtl/>
          <w:lang w:bidi="he-IL"/>
        </w:rPr>
      </w:pPr>
      <w:r w:rsidRPr="00882F11">
        <w:rPr>
          <w:rFonts w:cs="Guttman Drogolin" w:hint="cs"/>
          <w:rtl/>
          <w:lang w:bidi="he-IL"/>
        </w:rPr>
        <w:t xml:space="preserve">ומשו"ה מקשים העולם על המג"א בסי' תנ"א </w:t>
      </w:r>
      <w:r w:rsidRPr="00882F11">
        <w:rPr>
          <w:rFonts w:cs="Guttman Drogolin"/>
          <w:rtl/>
          <w:lang w:bidi="he-IL"/>
        </w:rPr>
        <w:t xml:space="preserve">ס"ק ל"א </w:t>
      </w:r>
      <w:r w:rsidRPr="00882F11">
        <w:rPr>
          <w:rFonts w:cs="Guttman Drogolin" w:hint="cs"/>
          <w:rtl/>
          <w:lang w:bidi="he-IL"/>
        </w:rPr>
        <w:t xml:space="preserve">שכתב </w:t>
      </w:r>
      <w:r w:rsidRPr="00882F11">
        <w:rPr>
          <w:rFonts w:cs="Guttman Drogolin"/>
          <w:rtl/>
          <w:lang w:bidi="he-IL"/>
        </w:rPr>
        <w:t>"ומה"ט עושים שלא כדין שלפעמים חותכין זנגביל בסכין של בשר ודכין אותו במדוכה ונמצא המדוכה בלוע מבשר ואחר כך דכין בתוכו בשמים ואוכלין בחלב</w:t>
      </w:r>
      <w:r w:rsidRPr="00882F11">
        <w:rPr>
          <w:rFonts w:cs="Guttman Drogolin" w:hint="cs"/>
          <w:rtl/>
          <w:lang w:bidi="he-IL"/>
        </w:rPr>
        <w:t>". דנהי נמי דסבר המג"א דלא שייך ההיתר של נ"ט בר נ"ט בכה"ג כיון שהוא דבר חריף, מ"מ איך הבליעה עוברת מן הזנגביל לתוך המדוכה, הא אפילו ע"י כח האש אינו עובר בלי רוטב</w:t>
      </w:r>
      <w:r w:rsidR="006466FC" w:rsidRPr="00882F11">
        <w:rPr>
          <w:rFonts w:cs="Guttman Drogolin" w:hint="cs"/>
          <w:rtl/>
          <w:lang w:bidi="he-IL"/>
        </w:rPr>
        <w:t xml:space="preserve"> כיון שההוא מן הבלוע </w:t>
      </w:r>
      <w:r w:rsidR="006466FC" w:rsidRPr="00882F11">
        <w:rPr>
          <w:rFonts w:cs="Guttman Drogolin" w:hint="cs"/>
          <w:rtl/>
          <w:lang w:bidi="he-IL"/>
        </w:rPr>
        <w:lastRenderedPageBreak/>
        <w:t>במאכל</w:t>
      </w:r>
      <w:r w:rsidRPr="00882F11">
        <w:rPr>
          <w:rFonts w:cs="Guttman Drogolin" w:hint="cs"/>
          <w:rtl/>
          <w:lang w:bidi="he-IL"/>
        </w:rPr>
        <w:t>.</w:t>
      </w:r>
      <w:r w:rsidR="006466FC" w:rsidRPr="00882F11">
        <w:rPr>
          <w:rFonts w:cs="Guttman Drogolin" w:hint="cs"/>
          <w:rtl/>
          <w:lang w:bidi="he-IL"/>
        </w:rPr>
        <w:t xml:space="preserve"> ומכח קושיא זו פי' החוו"ד ס"ק ו' דמיירי בבלוע שמן שעובר מחתיכה ל</w:t>
      </w:r>
      <w:r w:rsidR="00655EB3" w:rsidRPr="00882F11">
        <w:rPr>
          <w:rFonts w:cs="Guttman Drogolin" w:hint="cs"/>
          <w:rtl/>
          <w:lang w:bidi="he-IL"/>
        </w:rPr>
        <w:t>ח</w:t>
      </w:r>
      <w:r w:rsidR="006466FC" w:rsidRPr="00882F11">
        <w:rPr>
          <w:rFonts w:cs="Guttman Drogolin" w:hint="cs"/>
          <w:rtl/>
          <w:lang w:bidi="he-IL"/>
        </w:rPr>
        <w:t>תיכה וכנ"ל. ומ"מ יש מפרשים דסבר המג"א דדבר חריף עם דוחקא דסכינא עדיף מצלי על האש, ובליעה ע</w:t>
      </w:r>
      <w:r w:rsidR="002D703D" w:rsidRPr="00882F11">
        <w:rPr>
          <w:rFonts w:cs="Guttman Drogolin" w:hint="cs"/>
          <w:rtl/>
          <w:lang w:bidi="he-IL"/>
        </w:rPr>
        <w:t>ו</w:t>
      </w:r>
      <w:r w:rsidR="006466FC" w:rsidRPr="00882F11">
        <w:rPr>
          <w:rFonts w:cs="Guttman Drogolin" w:hint="cs"/>
          <w:rtl/>
          <w:lang w:bidi="he-IL"/>
        </w:rPr>
        <w:t xml:space="preserve">ברת ממאכל לכלי גם בלי רוטב </w:t>
      </w:r>
      <w:r w:rsidR="006466FC" w:rsidRPr="00882F11">
        <w:rPr>
          <w:rFonts w:cs="Guttman Drogolin"/>
          <w:rtl/>
          <w:lang w:bidi="he-IL"/>
        </w:rPr>
        <w:t>–</w:t>
      </w:r>
      <w:r w:rsidR="006466FC" w:rsidRPr="00882F11">
        <w:rPr>
          <w:rFonts w:cs="Guttman Drogolin" w:hint="cs"/>
          <w:rtl/>
          <w:lang w:bidi="he-IL"/>
        </w:rPr>
        <w:t xml:space="preserve"> ע' מזה בביאורים לס' דבר חריף סי' א'.</w:t>
      </w:r>
    </w:p>
    <w:p w:rsidR="00145900" w:rsidRPr="00882F11" w:rsidRDefault="006466FC" w:rsidP="00D32ED5">
      <w:pPr>
        <w:tabs>
          <w:tab w:val="right" w:pos="7497"/>
        </w:tabs>
        <w:bidi/>
        <w:jc w:val="both"/>
        <w:rPr>
          <w:rFonts w:cs="Guttman Drogolin"/>
          <w:rtl/>
          <w:lang w:bidi="he-IL"/>
        </w:rPr>
      </w:pPr>
      <w:r w:rsidRPr="00882F11">
        <w:rPr>
          <w:rFonts w:cs="Guttman Drogolin" w:hint="cs"/>
          <w:rtl/>
          <w:lang w:bidi="he-IL"/>
        </w:rPr>
        <w:t>ומ"מ כתב הש"ך דאע"ג שבליעה עוברת מכלי למאכל גם בלי רוטב, מ"מ אינו עובר מכלי לכלי בלי רוטב</w:t>
      </w:r>
      <w:r w:rsidR="002D703D" w:rsidRPr="00882F11">
        <w:rPr>
          <w:rFonts w:cs="Guttman Drogolin" w:hint="cs"/>
          <w:rtl/>
          <w:lang w:bidi="he-IL"/>
        </w:rPr>
        <w:t>, והוכיח כן מדברי הרמ"א סי' צ"ב סע' ח'</w:t>
      </w:r>
      <w:r w:rsidRPr="00882F11">
        <w:rPr>
          <w:rFonts w:cs="Guttman Drogolin" w:hint="cs"/>
          <w:rtl/>
          <w:lang w:bidi="he-IL"/>
        </w:rPr>
        <w:t>.</w:t>
      </w:r>
      <w:r w:rsidR="00D32ED5" w:rsidRPr="00882F11">
        <w:rPr>
          <w:rFonts w:cs="Guttman Drogolin" w:hint="cs"/>
          <w:rtl/>
          <w:lang w:bidi="he-IL"/>
        </w:rPr>
        <w:t xml:space="preserve"> וכן מסי' צ"ג. אמנם יעוין בשפ"ד כאן</w:t>
      </w:r>
      <w:r w:rsidR="00B00A10" w:rsidRPr="00882F11">
        <w:rPr>
          <w:rFonts w:cs="Guttman Drogolin" w:hint="cs"/>
          <w:rtl/>
          <w:lang w:bidi="he-IL"/>
        </w:rPr>
        <w:t xml:space="preserve"> שכתב דהנ"מ בדיעבד, אבל לכתחילה</w:t>
      </w:r>
      <w:r w:rsidR="00D32ED5" w:rsidRPr="00882F11">
        <w:rPr>
          <w:rStyle w:val="FootnoteReference"/>
          <w:rFonts w:cs="Guttman Drogolin"/>
          <w:rtl/>
          <w:lang w:bidi="he-IL"/>
        </w:rPr>
        <w:footnoteReference w:id="423"/>
      </w:r>
      <w:r w:rsidR="00B00A10" w:rsidRPr="00882F11">
        <w:rPr>
          <w:rFonts w:cs="Guttman Drogolin" w:hint="cs"/>
          <w:rtl/>
          <w:lang w:bidi="he-IL"/>
        </w:rPr>
        <w:t xml:space="preserve"> מחמירים אפילו בב' כלים</w:t>
      </w:r>
      <w:r w:rsidR="00145900" w:rsidRPr="00882F11">
        <w:rPr>
          <w:rStyle w:val="FootnoteReference"/>
          <w:rFonts w:cs="Guttman Drogolin"/>
          <w:rtl/>
          <w:lang w:bidi="he-IL"/>
        </w:rPr>
        <w:footnoteReference w:id="424"/>
      </w:r>
      <w:r w:rsidR="00B00A10" w:rsidRPr="00882F11">
        <w:rPr>
          <w:rFonts w:cs="Guttman Drogolin" w:hint="cs"/>
          <w:rtl/>
          <w:lang w:bidi="he-IL"/>
        </w:rPr>
        <w:t>.</w:t>
      </w:r>
      <w:r w:rsidRPr="00882F11">
        <w:rPr>
          <w:rFonts w:cs="Guttman Drogolin" w:hint="cs"/>
          <w:rtl/>
          <w:lang w:bidi="he-IL"/>
        </w:rPr>
        <w:t xml:space="preserve"> </w:t>
      </w:r>
    </w:p>
    <w:p w:rsidR="004D5BF8" w:rsidRPr="00882F11" w:rsidRDefault="00145900" w:rsidP="00145900">
      <w:pPr>
        <w:tabs>
          <w:tab w:val="right" w:pos="7497"/>
        </w:tabs>
        <w:bidi/>
        <w:jc w:val="both"/>
        <w:rPr>
          <w:rFonts w:cs="Guttman Drogolin"/>
          <w:rtl/>
          <w:lang w:bidi="he-IL"/>
        </w:rPr>
      </w:pPr>
      <w:r w:rsidRPr="00882F11">
        <w:rPr>
          <w:rFonts w:cs="Guttman Drogolin" w:hint="cs"/>
          <w:rtl/>
          <w:lang w:bidi="he-IL"/>
        </w:rPr>
        <w:t xml:space="preserve">וראוי להדגיש דאע"ג שבליעה עוברת מכלי לחתיכת אוכל בלי רוטב, אינו אוסר אלא כדי קליפה, וכדמבואר בססי' צ"ד. </w:t>
      </w:r>
      <w:r w:rsidR="0096137B" w:rsidRPr="00882F11">
        <w:rPr>
          <w:rFonts w:cs="Guttman Drogolin" w:hint="cs"/>
          <w:rtl/>
          <w:lang w:bidi="he-IL"/>
        </w:rPr>
        <w:t xml:space="preserve">    </w:t>
      </w:r>
      <w:r w:rsidR="00B22597" w:rsidRPr="00882F11">
        <w:rPr>
          <w:rFonts w:cs="Guttman Drogolin" w:hint="cs"/>
          <w:rtl/>
          <w:lang w:bidi="he-IL"/>
        </w:rPr>
        <w:t xml:space="preserve"> </w:t>
      </w:r>
    </w:p>
    <w:p w:rsidR="00B00A10" w:rsidRPr="008520CC" w:rsidRDefault="00B00A10" w:rsidP="008520CC">
      <w:pPr>
        <w:pStyle w:val="Heading1"/>
        <w:bidi/>
        <w:spacing w:before="0" w:line="240" w:lineRule="auto"/>
        <w:jc w:val="center"/>
        <w:rPr>
          <w:rFonts w:cs="Guttman Drogolin"/>
          <w:color w:val="auto"/>
          <w:sz w:val="24"/>
          <w:szCs w:val="24"/>
          <w:u w:val="single"/>
          <w:rtl/>
          <w:lang w:bidi="he-IL"/>
        </w:rPr>
      </w:pPr>
      <w:bookmarkStart w:id="433" w:name="_Toc496175680"/>
      <w:r w:rsidRPr="008520CC">
        <w:rPr>
          <w:rFonts w:cs="Guttman Drogolin" w:hint="cs"/>
          <w:color w:val="auto"/>
          <w:sz w:val="24"/>
          <w:szCs w:val="24"/>
          <w:u w:val="single"/>
          <w:rtl/>
          <w:lang w:bidi="he-IL"/>
        </w:rPr>
        <w:t>אם הנאסר אוסר בב"ח, ובדברי הרש"ל המובא בש"ך ס"ק כ"ב</w:t>
      </w:r>
      <w:bookmarkEnd w:id="433"/>
    </w:p>
    <w:p w:rsidR="00986F97" w:rsidRPr="00882F11" w:rsidRDefault="00A30A46" w:rsidP="00B00A10">
      <w:pPr>
        <w:tabs>
          <w:tab w:val="right" w:pos="7497"/>
        </w:tabs>
        <w:bidi/>
        <w:jc w:val="both"/>
        <w:rPr>
          <w:rFonts w:cs="Guttman Drogolin"/>
          <w:rtl/>
          <w:lang w:bidi="he-IL"/>
        </w:rPr>
      </w:pPr>
      <w:r>
        <w:rPr>
          <w:rFonts w:cs="Guttman Drogolin"/>
          <w:rtl/>
          <w:lang w:bidi="he-IL"/>
        </w:rPr>
        <w:fldChar w:fldCharType="begin"/>
      </w:r>
      <w:r>
        <w:instrText xml:space="preserve"> XE "</w:instrText>
      </w:r>
      <w:r w:rsidRPr="00D959F9">
        <w:rPr>
          <w:rFonts w:hint="cs"/>
          <w:rtl/>
          <w:lang w:bidi="he-IL"/>
        </w:rPr>
        <w:instrText>חענ</w:instrText>
      </w:r>
      <w:r>
        <w:rPr>
          <w:rFonts w:eastAsiaTheme="minorEastAsia"/>
          <w:lang w:bidi="he-IL"/>
        </w:rPr>
        <w:instrText>\</w:instrText>
      </w:r>
      <w:r w:rsidRPr="00D959F9">
        <w:rPr>
          <w:rFonts w:hint="cs"/>
          <w:rtl/>
          <w:lang w:bidi="he-IL"/>
        </w:rPr>
        <w:instrText>"ן</w:instrText>
      </w:r>
      <w:r w:rsidRPr="00D959F9">
        <w:rPr>
          <w:rtl/>
        </w:rPr>
        <w:instrText>:</w:instrText>
      </w:r>
      <w:r w:rsidRPr="00D959F9">
        <w:rPr>
          <w:rFonts w:hint="cs"/>
          <w:rtl/>
          <w:lang w:bidi="he-IL"/>
        </w:rPr>
        <w:instrText>אם הנאסר אוסר בבב</w:instrText>
      </w:r>
      <w:r>
        <w:rPr>
          <w:rFonts w:eastAsiaTheme="minorEastAsia"/>
          <w:lang w:bidi="he-IL"/>
        </w:rPr>
        <w:instrText>\</w:instrText>
      </w:r>
      <w:r w:rsidRPr="00D959F9">
        <w:rPr>
          <w:rFonts w:hint="cs"/>
          <w:rtl/>
          <w:lang w:bidi="he-IL"/>
        </w:rPr>
        <w:instrText>"ח</w:instrText>
      </w:r>
      <w:r>
        <w:instrText xml:space="preserve">" </w:instrText>
      </w:r>
      <w:r>
        <w:rPr>
          <w:rFonts w:cs="Guttman Drogolin"/>
          <w:rtl/>
          <w:lang w:bidi="he-IL"/>
        </w:rPr>
        <w:fldChar w:fldCharType="end"/>
      </w:r>
      <w:r w:rsidR="00B00A10" w:rsidRPr="00882F11">
        <w:rPr>
          <w:rFonts w:cs="Guttman Drogolin" w:hint="cs"/>
          <w:rtl/>
          <w:lang w:bidi="he-IL"/>
        </w:rPr>
        <w:t>השו"ע בסע' ז' כתב "</w:t>
      </w:r>
      <w:r w:rsidR="00B00A10" w:rsidRPr="00882F11">
        <w:rPr>
          <w:rFonts w:cs="Guttman Drogolin"/>
          <w:rtl/>
          <w:lang w:bidi="he-IL"/>
        </w:rPr>
        <w:t>הא דחתיכת איסור אוסרת חברתה בנגיעתה, דוקא כשאיסורה מחמת עצמה, כגון נבילה או בשר בחלב</w:t>
      </w:r>
      <w:r w:rsidR="00B00A10" w:rsidRPr="00882F11">
        <w:rPr>
          <w:rFonts w:cs="Guttman Drogolin" w:hint="cs"/>
          <w:rtl/>
          <w:lang w:bidi="he-IL"/>
        </w:rPr>
        <w:t xml:space="preserve">". וכמה אחרונים נקטו שכוונת השו"ע ב'בשר בחלב' הוא לחתיכה הבלוע בבשר בחלב, וכדמצאנו בסי' ק"א שהוא חשוב חתיכה האסורה מחמת עצמה ולכן שייך לגבי' החומרא של חתיכה הראוי' להתכבד. אבל הקשו דהא גם בב"ח קיי"ל שאין הנאסר אוסר במקום שאין האיסור יכול להתפשט, ולכן כיון שהבליעה של חלב אינו יוצא מן החתיכה, </w:t>
      </w:r>
      <w:r w:rsidR="00986F97" w:rsidRPr="00882F11">
        <w:rPr>
          <w:rFonts w:cs="Guttman Drogolin" w:hint="cs"/>
          <w:rtl/>
          <w:lang w:bidi="he-IL"/>
        </w:rPr>
        <w:t xml:space="preserve">דהא אין בליעה עובר מחתיכה לחתיכה בלי רוטב, </w:t>
      </w:r>
      <w:r w:rsidR="00B00A10" w:rsidRPr="00882F11">
        <w:rPr>
          <w:rFonts w:cs="Guttman Drogolin" w:hint="cs"/>
          <w:rtl/>
          <w:lang w:bidi="he-IL"/>
        </w:rPr>
        <w:t xml:space="preserve">גם החתיכה של בשר שנע"נ נבילה ג"כ אינו אוסר. ומשו"ה נקטו הרש"ל ועוד כמה אחרונים שאין כוונת השו"ע </w:t>
      </w:r>
      <w:r w:rsidR="00986F97" w:rsidRPr="00882F11">
        <w:rPr>
          <w:rFonts w:cs="Guttman Drogolin" w:hint="cs"/>
          <w:rtl/>
          <w:lang w:bidi="he-IL"/>
        </w:rPr>
        <w:t xml:space="preserve">לחתיכה שנאסר משום בשר בחלב, רק לבשר שנגע בגבינה שאוסר. </w:t>
      </w:r>
    </w:p>
    <w:p w:rsidR="00986F97" w:rsidRPr="00882F11" w:rsidRDefault="00986F97" w:rsidP="00986F97">
      <w:pPr>
        <w:tabs>
          <w:tab w:val="right" w:pos="7497"/>
        </w:tabs>
        <w:bidi/>
        <w:jc w:val="both"/>
        <w:rPr>
          <w:rFonts w:cs="Guttman Drogolin"/>
          <w:rtl/>
          <w:lang w:bidi="he-IL"/>
        </w:rPr>
      </w:pPr>
      <w:r w:rsidRPr="00882F11">
        <w:rPr>
          <w:rFonts w:cs="Guttman Drogolin" w:hint="cs"/>
          <w:rtl/>
          <w:lang w:bidi="he-IL"/>
        </w:rPr>
        <w:t xml:space="preserve">אבל הש"ך כאן בס"ק י"ז נקט כפשוטו, ומשום דסבר שבבב"ח הנאסר אוסר. ומ"מ שיטת הש"ך שונה במקצת משיטת הר"ן שהבאנו בתחילת </w:t>
      </w:r>
      <w:r w:rsidRPr="00882F11">
        <w:rPr>
          <w:rFonts w:cs="Guttman Drogolin" w:hint="cs"/>
          <w:rtl/>
          <w:lang w:bidi="he-IL"/>
        </w:rPr>
        <w:lastRenderedPageBreak/>
        <w:t xml:space="preserve">השיעור. שהר"ן סבר שגם בחענ"ן בשאר איסורים אמרינן שהנאסר אוסר אפילו במקום שאין איסור יכול להתפשט, שהרי טעם הגזרה בשאר איסורים הוא אטו בב"ח, וא"כ כל דתקון כעין דאורייתא תקון. אבל הש"ך סבר שיש לחלק בין בב"ח לשאר איסורים, ובב"ח הנאסר אוסר ולא בשאר איסורים (ודבר זה מובן יותר לשיטת היראים ועוד שחענ"ן בשאר איסורים אינו גזירה אטו בב"ח רק מטעם אחר). </w:t>
      </w:r>
    </w:p>
    <w:p w:rsidR="00E823F3" w:rsidRPr="00882F11" w:rsidRDefault="00E823F3" w:rsidP="00E823F3">
      <w:pPr>
        <w:tabs>
          <w:tab w:val="right" w:pos="7497"/>
        </w:tabs>
        <w:bidi/>
        <w:jc w:val="both"/>
        <w:rPr>
          <w:rFonts w:cs="Guttman Drogolin"/>
          <w:rtl/>
          <w:lang w:bidi="he-IL"/>
        </w:rPr>
      </w:pPr>
      <w:r w:rsidRPr="00882F11">
        <w:rPr>
          <w:rFonts w:cs="Guttman Drogolin" w:hint="cs"/>
          <w:rtl/>
          <w:lang w:bidi="he-IL"/>
        </w:rPr>
        <w:t>והנה לשיטת הש"ך עדיין צ"ע, דכיון שבבב"ח הנאסר אוסר, למה אין שאר החתיכות נאסרות ע"י החתיכה שנאסרה, דאע"ג שאין הבליעה יוצא בלי רוטב, הא גוף הבשר נאסר וכנ"ל. וכנראה הש"ך התייחס לזה וכתב שאמנם כל החתיכה נאסרה כיון שאין אנו בקיאין בכחוש ושמן, מ"מ בבלוע הנראה כחוש אין אוסרים יותר מכדי קליפה. ודברים לכאורה עדיין אינם מובנים, דהא הבשר עצמה נאסרה ואינו אוסר משום בלוע בלבד. ובשפ"ד התייחס לזה וכתב "והוא הדין בשר בחלב דיינינן ליה כבלוע לענין זה דבקיאין, כיון דמכל מק</w:t>
      </w:r>
      <w:r w:rsidR="000C18B9" w:rsidRPr="00882F11">
        <w:rPr>
          <w:rFonts w:cs="Guttman Drogolin" w:hint="cs"/>
          <w:rtl/>
          <w:lang w:bidi="he-IL"/>
        </w:rPr>
        <w:t>ום אין אסורה מעצמה כי אם ממה שנפ</w:t>
      </w:r>
      <w:r w:rsidRPr="00882F11">
        <w:rPr>
          <w:rFonts w:cs="Guttman Drogolin" w:hint="cs"/>
          <w:rtl/>
          <w:lang w:bidi="he-IL"/>
        </w:rPr>
        <w:t xml:space="preserve">ל טפה עליה". וגם דבריו צ"ע דהא מה איכפת לן למה נאסרה הא עכשיו אסורה מחמת עצמה. </w:t>
      </w:r>
      <w:r w:rsidR="006E3D94" w:rsidRPr="00882F11">
        <w:rPr>
          <w:rFonts w:cs="Guttman Drogolin" w:hint="cs"/>
          <w:rtl/>
          <w:lang w:bidi="he-IL"/>
        </w:rPr>
        <w:t>וראיתי בשם תפארת למשה שנשאר בזה בצ"ע.</w:t>
      </w:r>
    </w:p>
    <w:p w:rsidR="00986F97" w:rsidRPr="00882F11" w:rsidRDefault="00986F97" w:rsidP="0050665C">
      <w:pPr>
        <w:tabs>
          <w:tab w:val="right" w:pos="7497"/>
        </w:tabs>
        <w:bidi/>
        <w:jc w:val="both"/>
        <w:rPr>
          <w:rFonts w:cs="Guttman Drogolin"/>
          <w:rtl/>
          <w:lang w:bidi="he-IL"/>
        </w:rPr>
      </w:pPr>
      <w:r w:rsidRPr="00882F11">
        <w:rPr>
          <w:rFonts w:cs="Guttman Drogolin" w:hint="cs"/>
          <w:rtl/>
          <w:lang w:bidi="he-IL"/>
        </w:rPr>
        <w:t>והנה הש"ך בס"ק כ"ב הביא דברי המהרש"ל שכתב "</w:t>
      </w:r>
      <w:r w:rsidRPr="00882F11">
        <w:rPr>
          <w:rFonts w:cs="Guttman Drogolin"/>
          <w:rtl/>
          <w:lang w:bidi="he-IL"/>
        </w:rPr>
        <w:t>תבשיל כגון אורז או דגים שנבלע בהם בשר או חלב אם תחב בהן כף של בשר או חלב בן יומו שפיר אוסר בלוע את המאכל וחשיב המאכל כאילו הוא כולו בשר או חלב ונאסר עם הכף</w:t>
      </w:r>
      <w:r w:rsidRPr="00882F11">
        <w:rPr>
          <w:rFonts w:cs="Guttman Drogolin" w:hint="cs"/>
          <w:rtl/>
          <w:lang w:bidi="he-IL"/>
        </w:rPr>
        <w:t xml:space="preserve">". וכן הביא הט"ז בסי' צ"ד ס"ק י"ד בשמו. ולכאורה דבריו </w:t>
      </w:r>
      <w:r w:rsidR="0050665C" w:rsidRPr="00882F11">
        <w:rPr>
          <w:rFonts w:cs="Guttman Drogolin" w:hint="cs"/>
          <w:rtl/>
          <w:lang w:bidi="he-IL"/>
        </w:rPr>
        <w:t>צ"ע, דנהי נמי שהאורז או דג נאסר ע"י</w:t>
      </w:r>
      <w:r w:rsidRPr="00882F11">
        <w:rPr>
          <w:rFonts w:cs="Guttman Drogolin" w:hint="cs"/>
          <w:rtl/>
          <w:lang w:bidi="he-IL"/>
        </w:rPr>
        <w:t xml:space="preserve"> הכף, כיון שטעם יוצא מכלי בלי רוטב, אבל למה יהא הכף נאסר כיון שלא נכנס אליו טעם ההבלוע באוכל. וע' באמת במש"ז שם שכתב דאה"נ ולשון בלוע הוא לאו דוקא ולעולם מיירי בחלב בעין.</w:t>
      </w:r>
    </w:p>
    <w:p w:rsidR="00986F97" w:rsidRPr="00882F11" w:rsidRDefault="00986F97" w:rsidP="00A30A46">
      <w:pPr>
        <w:tabs>
          <w:tab w:val="right" w:pos="7497"/>
        </w:tabs>
        <w:bidi/>
        <w:jc w:val="both"/>
        <w:rPr>
          <w:rFonts w:cs="Guttman Drogolin"/>
          <w:rtl/>
          <w:lang w:bidi="he-IL"/>
        </w:rPr>
      </w:pPr>
      <w:r w:rsidRPr="00882F11">
        <w:rPr>
          <w:rFonts w:cs="Guttman Drogolin" w:hint="cs"/>
          <w:rtl/>
          <w:lang w:bidi="he-IL"/>
        </w:rPr>
        <w:t>אבל יש אחרונים שהבינו אחרת. החוו"ד פי' שכוונת הרש"ל לאסור כיון דמיי</w:t>
      </w:r>
      <w:r w:rsidR="00A30A46">
        <w:rPr>
          <w:rFonts w:cs="Guttman Drogolin" w:hint="cs"/>
          <w:rtl/>
          <w:lang w:bidi="he-IL"/>
        </w:rPr>
        <w:t>ר</w:t>
      </w:r>
      <w:r w:rsidRPr="00882F11">
        <w:rPr>
          <w:rFonts w:cs="Guttman Drogolin" w:hint="cs"/>
          <w:rtl/>
          <w:lang w:bidi="he-IL"/>
        </w:rPr>
        <w:t xml:space="preserve">י בבב"ח, וכשיטת הש"ך שבבב"ח הנאסר אוסר. אבל דבר </w:t>
      </w:r>
      <w:r w:rsidRPr="00882F11">
        <w:rPr>
          <w:rFonts w:cs="Guttman Drogolin" w:hint="cs"/>
          <w:rtl/>
          <w:lang w:bidi="he-IL"/>
        </w:rPr>
        <w:lastRenderedPageBreak/>
        <w:t>זה לא ניתן ליאמר כיון שמקור הדברים הוא רש"ל, והוא הרי פי' דברי השו"ע כאן דמיירי בגבינה ובשר ומשום דסבר שגם בבב"ח אין הנאסר אוסר.</w:t>
      </w:r>
    </w:p>
    <w:p w:rsidR="00145900" w:rsidRPr="00882F11" w:rsidRDefault="00986F97" w:rsidP="00986F97">
      <w:pPr>
        <w:tabs>
          <w:tab w:val="right" w:pos="7497"/>
        </w:tabs>
        <w:bidi/>
        <w:jc w:val="both"/>
        <w:rPr>
          <w:rFonts w:cs="Guttman Drogolin"/>
          <w:rtl/>
          <w:lang w:bidi="he-IL"/>
        </w:rPr>
      </w:pPr>
      <w:r w:rsidRPr="00882F11">
        <w:rPr>
          <w:rFonts w:cs="Guttman Drogolin" w:hint="cs"/>
          <w:rtl/>
          <w:lang w:bidi="he-IL"/>
        </w:rPr>
        <w:t>וביד יהודה (בסי' צ"ד) יש תירץ מחודש. והוא שב' עניני אין הנאסר אוסר. בבב"ח הוא מטעם שאין כאן חפצא דאיסורא של בב"ח אא"כ קיימים שניהם ביחד. אבל יש עוד דין של אין הנאסר אוסר</w:t>
      </w:r>
      <w:r w:rsidR="00FB4212" w:rsidRPr="00882F11">
        <w:rPr>
          <w:rFonts w:cs="Guttman Drogolin" w:hint="cs"/>
          <w:rtl/>
          <w:lang w:bidi="he-IL"/>
        </w:rPr>
        <w:t xml:space="preserve"> והוא שלא יהא כח הבן גדול מכח האב. ולכן סבר הרש"ל שיש לאסור בנד"ד מדין חענ"ן בשאר איסורים. וכאן לא שייך הסברא שלא יהא גדול כח הבן מכח האב, דהא כאן האורז עצמו ג"כ אסור. ולולא דבריו הי' אפשר לחלק דהא כאן איירינן בכח הבלוע באורז לאסור, ובזה שפיר שייך הסברא שלא יהא כח הבן גדול מכח האב. וצ"ע.</w:t>
      </w:r>
      <w:r w:rsidRPr="00882F11">
        <w:rPr>
          <w:rFonts w:cs="Guttman Drogolin" w:hint="cs"/>
          <w:rtl/>
          <w:lang w:bidi="he-IL"/>
        </w:rPr>
        <w:t xml:space="preserve"> </w:t>
      </w:r>
      <w:r w:rsidRPr="00882F11">
        <w:rPr>
          <w:rFonts w:cs="Guttman Drogolin"/>
          <w:rtl/>
          <w:lang w:bidi="he-IL"/>
        </w:rPr>
        <w:t xml:space="preserve"> </w:t>
      </w:r>
      <w:r w:rsidR="00B00A10" w:rsidRPr="00882F11">
        <w:rPr>
          <w:rFonts w:cs="Guttman Drogolin"/>
          <w:rtl/>
          <w:lang w:bidi="he-IL"/>
        </w:rPr>
        <w:t xml:space="preserve"> </w:t>
      </w:r>
      <w:r w:rsidR="00C44884" w:rsidRPr="00882F11">
        <w:rPr>
          <w:rFonts w:cs="Guttman Drogolin" w:hint="cs"/>
          <w:rtl/>
          <w:lang w:bidi="he-IL"/>
        </w:rPr>
        <w:t xml:space="preserve">  </w:t>
      </w:r>
      <w:r w:rsidR="00576898" w:rsidRPr="00882F11">
        <w:rPr>
          <w:rFonts w:cs="Guttman Drogolin" w:hint="cs"/>
          <w:rtl/>
          <w:lang w:bidi="he-IL"/>
        </w:rPr>
        <w:t xml:space="preserve"> </w:t>
      </w:r>
      <w:r w:rsidR="00012E6B" w:rsidRPr="00882F11">
        <w:rPr>
          <w:rFonts w:cs="Guttman Drogolin" w:hint="cs"/>
          <w:rtl/>
          <w:lang w:bidi="he-IL"/>
        </w:rPr>
        <w:t xml:space="preserve"> </w:t>
      </w:r>
      <w:r w:rsidR="00244CBD" w:rsidRPr="00882F11">
        <w:rPr>
          <w:rFonts w:cs="Guttman Drogolin" w:hint="cs"/>
          <w:rtl/>
          <w:lang w:bidi="he-IL"/>
        </w:rPr>
        <w:t xml:space="preserve">  </w:t>
      </w:r>
    </w:p>
    <w:p w:rsidR="00145900" w:rsidRPr="00882F11" w:rsidRDefault="00145900" w:rsidP="00145900">
      <w:pPr>
        <w:tabs>
          <w:tab w:val="right" w:pos="7497"/>
        </w:tabs>
        <w:bidi/>
        <w:jc w:val="both"/>
        <w:rPr>
          <w:rFonts w:cs="Guttman Drogolin"/>
          <w:rtl/>
          <w:lang w:bidi="he-IL"/>
        </w:rPr>
        <w:sectPr w:rsidR="00145900" w:rsidRPr="00882F11" w:rsidSect="008520CC">
          <w:type w:val="continuous"/>
          <w:pgSz w:w="11907" w:h="16839" w:code="9"/>
          <w:pgMar w:top="1440" w:right="1440" w:bottom="1440" w:left="1440" w:header="720" w:footer="720" w:gutter="0"/>
          <w:cols w:num="2" w:space="720"/>
          <w:bidi/>
          <w:docGrid w:linePitch="360"/>
        </w:sectPr>
      </w:pPr>
    </w:p>
    <w:p w:rsidR="00145900" w:rsidRPr="008520CC" w:rsidRDefault="00145900" w:rsidP="00145900">
      <w:pPr>
        <w:keepNext/>
        <w:tabs>
          <w:tab w:val="left" w:pos="3818"/>
          <w:tab w:val="center" w:pos="4680"/>
        </w:tabs>
        <w:bidi/>
        <w:jc w:val="center"/>
        <w:rPr>
          <w:rFonts w:cs="Guttman Drogolin"/>
          <w:b/>
          <w:bCs/>
          <w:sz w:val="48"/>
          <w:szCs w:val="48"/>
          <w:rtl/>
          <w:lang w:bidi="he-IL"/>
        </w:rPr>
      </w:pPr>
      <w:r w:rsidRPr="008520CC">
        <w:rPr>
          <w:rFonts w:cs="Guttman Drogolin" w:hint="cs"/>
          <w:b/>
          <w:bCs/>
          <w:sz w:val="48"/>
          <w:szCs w:val="48"/>
          <w:rtl/>
          <w:lang w:bidi="he-IL"/>
        </w:rPr>
        <w:lastRenderedPageBreak/>
        <w:t>שיעור ק"ח</w:t>
      </w:r>
    </w:p>
    <w:p w:rsidR="008520CC" w:rsidRDefault="008520CC" w:rsidP="00145900">
      <w:pPr>
        <w:pStyle w:val="Heading1"/>
        <w:bidi/>
        <w:spacing w:before="0" w:line="360" w:lineRule="auto"/>
        <w:jc w:val="center"/>
        <w:rPr>
          <w:rFonts w:cs="Guttman Drogolin"/>
          <w:color w:val="auto"/>
          <w:sz w:val="24"/>
          <w:szCs w:val="24"/>
          <w:u w:val="single"/>
          <w:rtl/>
          <w:lang w:bidi="he-IL"/>
        </w:rPr>
        <w:sectPr w:rsidR="008520CC" w:rsidSect="008520CC">
          <w:headerReference w:type="default" r:id="rId81"/>
          <w:pgSz w:w="11907" w:h="16839" w:code="9"/>
          <w:pgMar w:top="1440" w:right="1440" w:bottom="1440" w:left="1440" w:header="720" w:footer="720" w:gutter="0"/>
          <w:cols w:space="720"/>
          <w:bidi/>
          <w:docGrid w:linePitch="360"/>
        </w:sectPr>
      </w:pPr>
    </w:p>
    <w:p w:rsidR="00145900" w:rsidRPr="00882F11" w:rsidRDefault="00145900" w:rsidP="00145900">
      <w:pPr>
        <w:pStyle w:val="Heading1"/>
        <w:bidi/>
        <w:spacing w:before="0" w:line="360" w:lineRule="auto"/>
        <w:jc w:val="center"/>
        <w:rPr>
          <w:rFonts w:cs="Guttman Drogolin"/>
          <w:color w:val="auto"/>
          <w:sz w:val="24"/>
          <w:szCs w:val="24"/>
          <w:u w:val="single"/>
          <w:rtl/>
          <w:lang w:bidi="he-IL"/>
        </w:rPr>
      </w:pPr>
      <w:bookmarkStart w:id="434" w:name="_Toc496175681"/>
      <w:r w:rsidRPr="00882F11">
        <w:rPr>
          <w:rFonts w:cs="Guttman Drogolin" w:hint="cs"/>
          <w:color w:val="auto"/>
          <w:sz w:val="24"/>
          <w:szCs w:val="24"/>
          <w:u w:val="single"/>
          <w:rtl/>
          <w:lang w:bidi="he-IL"/>
        </w:rPr>
        <w:lastRenderedPageBreak/>
        <w:t>עוד בענין העברת בליעה מכלי</w:t>
      </w:r>
      <w:bookmarkEnd w:id="434"/>
    </w:p>
    <w:p w:rsidR="00771634" w:rsidRPr="00882F11" w:rsidRDefault="00A30A46" w:rsidP="00771634">
      <w:pPr>
        <w:tabs>
          <w:tab w:val="right" w:pos="7497"/>
        </w:tabs>
        <w:bidi/>
        <w:jc w:val="both"/>
        <w:rPr>
          <w:rFonts w:cs="Guttman Drogolin"/>
          <w:rtl/>
          <w:lang w:bidi="he-IL"/>
        </w:rPr>
      </w:pPr>
      <w:r>
        <w:rPr>
          <w:rFonts w:cs="Guttman Drogolin"/>
          <w:rtl/>
          <w:lang w:bidi="he-IL"/>
        </w:rPr>
        <w:fldChar w:fldCharType="begin"/>
      </w:r>
      <w:r>
        <w:instrText xml:space="preserve"> XE "</w:instrText>
      </w:r>
      <w:r w:rsidRPr="006213A8">
        <w:rPr>
          <w:rFonts w:hint="cs"/>
          <w:rtl/>
          <w:lang w:bidi="he-IL"/>
        </w:rPr>
        <w:instrText>העברת טעם</w:instrText>
      </w:r>
      <w:r w:rsidRPr="006213A8">
        <w:rPr>
          <w:rtl/>
        </w:rPr>
        <w:instrText>:</w:instrText>
      </w:r>
      <w:r w:rsidRPr="006213A8">
        <w:rPr>
          <w:rFonts w:hint="cs"/>
          <w:rtl/>
          <w:lang w:bidi="he-IL"/>
        </w:rPr>
        <w:instrText>בכלי</w:instrText>
      </w:r>
      <w:r>
        <w:instrText xml:space="preserve">" </w:instrText>
      </w:r>
      <w:r>
        <w:rPr>
          <w:rFonts w:cs="Guttman Drogolin"/>
          <w:rtl/>
          <w:lang w:bidi="he-IL"/>
        </w:rPr>
        <w:fldChar w:fldCharType="end"/>
      </w:r>
      <w:r w:rsidR="00145900" w:rsidRPr="00882F11">
        <w:rPr>
          <w:rFonts w:cs="Guttman Drogolin" w:hint="cs"/>
          <w:rtl/>
          <w:lang w:bidi="he-IL"/>
        </w:rPr>
        <w:t xml:space="preserve">בשיעור הקודם הבאנו דברי הרמ"א דאע"ג שאין בליעה עובר מחתיכה לחתיכה בלי רוטב, מ"מ עובר מכלי לאוכל בלי רוטב, דזהו דגים שעלו בקערה. ויל"ע מה יהא הדין בכלי הבלוע דבר שמן. ולכאורה הי' צריך להיות הדין שאוסר חתיכת היתר בכולו אפילו בבלי רוטב. והדברים ק"ו, מה בלוע באוכל שאינו עובר לחתיכה אחרת בלי רוטב כלל, מ"מ פסק השו"ע מהרשב"א שאם הוא בלוע באיסור שמן הרי הוא עובר, בלוע בכלי שאפילו כחוש </w:t>
      </w:r>
      <w:r w:rsidR="00771634" w:rsidRPr="00882F11">
        <w:rPr>
          <w:rFonts w:cs="Guttman Drogolin" w:hint="cs"/>
          <w:rtl/>
          <w:lang w:bidi="he-IL"/>
        </w:rPr>
        <w:t>עובר ממנו לאוכל, כ"ש שיאסור דבר במאכל בכולו. ואע"ג שאין כלי אוסר מאכל אלא בשיעור כדי קליפה (אפילו לדעת השו"ע וסייעתו שבעלמא צלי אוסר בשיעור כדי נטילה) היינו משום שהאיסור הבלוע הוא כחוש,</w:t>
      </w:r>
      <w:r w:rsidR="00056910" w:rsidRPr="00882F11">
        <w:rPr>
          <w:rFonts w:cs="Guttman Drogolin" w:hint="cs"/>
          <w:rtl/>
          <w:lang w:bidi="he-IL"/>
        </w:rPr>
        <w:t xml:space="preserve"> </w:t>
      </w:r>
      <w:r w:rsidR="00771634" w:rsidRPr="00882F11">
        <w:rPr>
          <w:rFonts w:cs="Guttman Drogolin" w:hint="cs"/>
          <w:rtl/>
          <w:lang w:bidi="he-IL"/>
        </w:rPr>
        <w:t>אבל בשמן למה יגרע מאוכל. ומ"מ הש"ך בס"ק כ"ג נשאר בדין זה בצ"ע. וכן ע' בפת"ש שהביא שהמג"א סתם בזה להקל, ומנו"ב שמשו"ה יש להקל בזה למעשה ומשום שיש לנקוט כפשיטותי' דמג"א במקום ספיקתו של הש"ך. ולכאורה טעמא בעי, דלמה יגרע כלי וכנ"ל.</w:t>
      </w:r>
    </w:p>
    <w:p w:rsidR="005A0D7B" w:rsidRPr="00882F11" w:rsidRDefault="00771634" w:rsidP="00771634">
      <w:pPr>
        <w:tabs>
          <w:tab w:val="right" w:pos="7497"/>
        </w:tabs>
        <w:bidi/>
        <w:jc w:val="both"/>
        <w:rPr>
          <w:rFonts w:cs="Guttman Drogolin"/>
          <w:rtl/>
          <w:lang w:bidi="he-IL"/>
        </w:rPr>
      </w:pPr>
      <w:r w:rsidRPr="00882F11">
        <w:rPr>
          <w:rFonts w:cs="Guttman Drogolin" w:hint="cs"/>
          <w:rtl/>
          <w:lang w:bidi="he-IL"/>
        </w:rPr>
        <w:t xml:space="preserve">ומצאתי ליד יהודה כאן ס"ק </w:t>
      </w:r>
      <w:r w:rsidR="005A0D7B" w:rsidRPr="00882F11">
        <w:rPr>
          <w:rFonts w:cs="Guttman Drogolin" w:hint="cs"/>
          <w:rtl/>
          <w:lang w:bidi="he-IL"/>
        </w:rPr>
        <w:t xml:space="preserve">ל"ז שהביא מרשב"א בשם הראב"ד שביאר דהוי כמו הא דאמרינן במס' פסחים שבסך ק"פ בשמן של תרומה אינו צריך אלא כדי קליפה כיון דמשהו בעלמא עבדי לי'. </w:t>
      </w:r>
    </w:p>
    <w:p w:rsidR="00056910" w:rsidRPr="00882F11" w:rsidRDefault="005A0D7B" w:rsidP="005A0D7B">
      <w:pPr>
        <w:tabs>
          <w:tab w:val="right" w:pos="7497"/>
        </w:tabs>
        <w:bidi/>
        <w:jc w:val="both"/>
        <w:rPr>
          <w:rFonts w:cs="Guttman Drogolin"/>
          <w:rtl/>
          <w:lang w:bidi="he-IL"/>
        </w:rPr>
      </w:pPr>
      <w:r w:rsidRPr="00882F11">
        <w:rPr>
          <w:rFonts w:cs="Guttman Drogolin" w:hint="cs"/>
          <w:rtl/>
          <w:lang w:bidi="he-IL"/>
        </w:rPr>
        <w:t xml:space="preserve">עוד דקדק הש"ך דהא דאמרינן שבליעה עוברת מכלי למאכל בלי רוטב, היינו דוקא לתוך חתיכת מאכל, אבל לתוך כלי אחר אינו עובר. וגם כאן הבן שואל, מאי שנא כלי לכלי מכלי לאוכל, הא מכלי יוצא טעם בלי רוטב, וכלי מקבל טעם בעלמא כמו שמאכל מקבל טעם. וא"כ מאי שנא הא מהא. וביד יהודה סי' צ"ב ס"ק נ"ו </w:t>
      </w:r>
      <w:r w:rsidR="00056910" w:rsidRPr="00882F11">
        <w:rPr>
          <w:rFonts w:cs="Guttman Drogolin" w:hint="cs"/>
          <w:rtl/>
          <w:lang w:bidi="he-IL"/>
        </w:rPr>
        <w:t xml:space="preserve">הביא מהגהות שע"ד (סי' נ"א) שבאמת התקשה בזה וכתב דע"כ צריכים לחלק בין כלי לכלי לכלי לאוכל, אבל לא ביאר לנו ההגהות שע"ד מהו </w:t>
      </w:r>
      <w:r w:rsidR="00056910" w:rsidRPr="00882F11">
        <w:rPr>
          <w:rFonts w:cs="Guttman Drogolin" w:hint="cs"/>
          <w:rtl/>
          <w:lang w:bidi="he-IL"/>
        </w:rPr>
        <w:lastRenderedPageBreak/>
        <w:t>הטעם לחלק ביניהם. והביא שהיש"ש כתב שהוא משום דהוי בלוע מן הבלוע, והתקשה היד יהודה שם בהבנת דבריו. והסיק היד יהודה שהטעם לחלק ביניהם משום שהכלים הם דברים קשים, ולכן אינם מבליעים ומפליטים כ"כ, ולכן מבלוע בכלי לבלוע בכלי לא אמרינן</w:t>
      </w:r>
      <w:r w:rsidR="000465BF" w:rsidRPr="00882F11">
        <w:rPr>
          <w:rStyle w:val="FootnoteReference"/>
          <w:rFonts w:cs="Guttman Drogolin"/>
          <w:rtl/>
          <w:lang w:bidi="he-IL"/>
        </w:rPr>
        <w:footnoteReference w:id="425"/>
      </w:r>
      <w:r w:rsidR="00056910" w:rsidRPr="00882F11">
        <w:rPr>
          <w:rFonts w:cs="Guttman Drogolin" w:hint="cs"/>
          <w:rtl/>
          <w:lang w:bidi="he-IL"/>
        </w:rPr>
        <w:t xml:space="preserve">. </w:t>
      </w:r>
    </w:p>
    <w:p w:rsidR="00244CBD" w:rsidRPr="00882F11" w:rsidRDefault="00056910" w:rsidP="00056910">
      <w:pPr>
        <w:tabs>
          <w:tab w:val="right" w:pos="7497"/>
        </w:tabs>
        <w:bidi/>
        <w:jc w:val="both"/>
        <w:rPr>
          <w:rFonts w:cs="Guttman Drogolin"/>
        </w:rPr>
      </w:pPr>
      <w:r w:rsidRPr="00882F11">
        <w:rPr>
          <w:rFonts w:cs="Guttman Drogolin" w:hint="cs"/>
          <w:rtl/>
          <w:lang w:bidi="he-IL"/>
        </w:rPr>
        <w:t>וב</w:t>
      </w:r>
      <w:r w:rsidR="00D32ED5" w:rsidRPr="00882F11">
        <w:rPr>
          <w:rFonts w:cs="Guttman Drogolin" w:hint="cs"/>
          <w:rtl/>
          <w:lang w:bidi="he-IL"/>
        </w:rPr>
        <w:t>ה</w:t>
      </w:r>
      <w:r w:rsidRPr="00882F11">
        <w:rPr>
          <w:rFonts w:cs="Guttman Drogolin" w:hint="cs"/>
          <w:rtl/>
          <w:lang w:bidi="he-IL"/>
        </w:rPr>
        <w:t>אי ענינא יל"ע מה יהא הדין בכלי הבלוע איסור שמן אם עובר מכלי לכלי בלי רוטב, וכמובן שזהו לפי הצד שבלוע שמן יוצא מכלי ואוסר חתיכת היתר בכולו כמו בבלוע מאכל בבליעה של איסור שמן. ומצאתי לס' תורת יקותיאל</w:t>
      </w:r>
      <w:r w:rsidR="00D32ED5" w:rsidRPr="00882F11">
        <w:rPr>
          <w:rFonts w:cs="Guttman Drogolin" w:hint="cs"/>
          <w:rtl/>
          <w:lang w:bidi="he-IL"/>
        </w:rPr>
        <w:t xml:space="preserve"> שהי' נראה לו שבאיסור שמן עובר מכלי לכלי בלי רוטב. אמנם רובם ככולם של האחרונים נקטו שגם באיסור שמן אינו עובר מחתיכה לחתיכה בלי רוטב</w:t>
      </w:r>
      <w:r w:rsidR="003E22ED" w:rsidRPr="00882F11">
        <w:rPr>
          <w:rFonts w:cs="Guttman Drogolin" w:hint="cs"/>
          <w:rtl/>
          <w:lang w:bidi="he-IL"/>
        </w:rPr>
        <w:t>, ולכאורה הוא מטעם הנ"ל</w:t>
      </w:r>
      <w:r w:rsidR="00D32ED5" w:rsidRPr="00882F11">
        <w:rPr>
          <w:rFonts w:cs="Guttman Drogolin" w:hint="cs"/>
          <w:rtl/>
          <w:lang w:bidi="he-IL"/>
        </w:rPr>
        <w:t>.</w:t>
      </w:r>
      <w:r w:rsidRPr="00882F11">
        <w:rPr>
          <w:rFonts w:cs="Guttman Drogolin" w:hint="cs"/>
          <w:rtl/>
          <w:lang w:bidi="he-IL"/>
        </w:rPr>
        <w:t xml:space="preserve">       </w:t>
      </w:r>
      <w:r w:rsidR="005A0D7B" w:rsidRPr="00882F11">
        <w:rPr>
          <w:rFonts w:cs="Guttman Drogolin" w:hint="cs"/>
          <w:rtl/>
          <w:lang w:bidi="he-IL"/>
        </w:rPr>
        <w:t xml:space="preserve">   </w:t>
      </w:r>
      <w:r w:rsidR="00145900" w:rsidRPr="00882F11">
        <w:rPr>
          <w:rFonts w:cs="Guttman Drogolin" w:hint="cs"/>
          <w:rtl/>
          <w:lang w:bidi="he-IL"/>
        </w:rPr>
        <w:t xml:space="preserve">   </w:t>
      </w:r>
      <w:r w:rsidR="00244CBD" w:rsidRPr="00882F11">
        <w:rPr>
          <w:rFonts w:cs="Guttman Drogolin" w:hint="cs"/>
          <w:rtl/>
          <w:lang w:bidi="he-IL"/>
        </w:rPr>
        <w:t xml:space="preserve"> </w:t>
      </w:r>
    </w:p>
    <w:p w:rsidR="000F0329" w:rsidRPr="008520CC" w:rsidRDefault="000F0329" w:rsidP="000F0329">
      <w:pPr>
        <w:pStyle w:val="Heading1"/>
        <w:bidi/>
        <w:spacing w:before="0" w:line="360" w:lineRule="auto"/>
        <w:jc w:val="center"/>
        <w:rPr>
          <w:rFonts w:cs="Guttman Drogolin"/>
          <w:color w:val="auto"/>
          <w:sz w:val="18"/>
          <w:szCs w:val="18"/>
          <w:u w:val="single"/>
          <w:rtl/>
          <w:lang w:bidi="he-IL"/>
        </w:rPr>
      </w:pPr>
      <w:bookmarkStart w:id="435" w:name="_Toc496175682"/>
      <w:r w:rsidRPr="008520CC">
        <w:rPr>
          <w:rFonts w:cs="Guttman Drogolin" w:hint="cs"/>
          <w:color w:val="auto"/>
          <w:sz w:val="18"/>
          <w:szCs w:val="18"/>
          <w:u w:val="single"/>
          <w:rtl/>
          <w:lang w:bidi="he-IL"/>
        </w:rPr>
        <w:t>בדין שמליח אינו כרותח אלא כשאינו נאכל מחמת מלחו</w:t>
      </w:r>
      <w:bookmarkEnd w:id="435"/>
    </w:p>
    <w:p w:rsidR="00131C86" w:rsidRPr="00882F11" w:rsidRDefault="00A30A46" w:rsidP="005E0D67">
      <w:pPr>
        <w:tabs>
          <w:tab w:val="right" w:pos="7497"/>
        </w:tabs>
        <w:bidi/>
        <w:jc w:val="both"/>
        <w:rPr>
          <w:rFonts w:cs="Guttman Drogolin"/>
          <w:rtl/>
          <w:lang w:bidi="he-IL"/>
        </w:rPr>
      </w:pPr>
      <w:r>
        <w:rPr>
          <w:rFonts w:cs="Guttman Drogolin"/>
          <w:rtl/>
          <w:lang w:bidi="he-IL"/>
        </w:rPr>
        <w:fldChar w:fldCharType="begin"/>
      </w:r>
      <w:r>
        <w:instrText xml:space="preserve"> XE "</w:instrText>
      </w:r>
      <w:r w:rsidRPr="005C6AEE">
        <w:rPr>
          <w:rFonts w:hint="cs"/>
          <w:rtl/>
          <w:lang w:bidi="he-IL"/>
        </w:rPr>
        <w:instrText>מליח</w:instrText>
      </w:r>
      <w:r w:rsidRPr="005C6AEE">
        <w:rPr>
          <w:rtl/>
        </w:rPr>
        <w:instrText>:</w:instrText>
      </w:r>
      <w:r w:rsidR="005E0D67">
        <w:rPr>
          <w:rFonts w:hint="cs"/>
          <w:rtl/>
          <w:lang w:bidi="he-IL"/>
        </w:rPr>
        <w:instrText xml:space="preserve">אי </w:instrText>
      </w:r>
      <w:r w:rsidRPr="005C6AEE">
        <w:rPr>
          <w:rFonts w:hint="cs"/>
          <w:rtl/>
          <w:lang w:bidi="he-IL"/>
        </w:rPr>
        <w:instrText>בעינן אינו נאכל מחמת מלחו</w:instrText>
      </w:r>
      <w:r>
        <w:instrText xml:space="preserve">" </w:instrText>
      </w:r>
      <w:r>
        <w:rPr>
          <w:rFonts w:cs="Guttman Drogolin"/>
          <w:rtl/>
          <w:lang w:bidi="he-IL"/>
        </w:rPr>
        <w:fldChar w:fldCharType="end"/>
      </w:r>
      <w:r w:rsidR="00131C86" w:rsidRPr="00882F11">
        <w:rPr>
          <w:rFonts w:cs="Guttman Drogolin" w:hint="cs"/>
          <w:rtl/>
          <w:lang w:bidi="he-IL"/>
        </w:rPr>
        <w:t xml:space="preserve">אנחנו מוצאים במליחה ב' תכונות, א' </w:t>
      </w:r>
      <w:r w:rsidR="00D759EB" w:rsidRPr="00882F11">
        <w:rPr>
          <w:rFonts w:cs="Guttman Drogolin" w:hint="cs"/>
          <w:rtl/>
          <w:lang w:bidi="he-IL"/>
        </w:rPr>
        <w:t>שמליח כרות</w:t>
      </w:r>
      <w:r w:rsidR="00131C86" w:rsidRPr="00882F11">
        <w:rPr>
          <w:rFonts w:cs="Guttman Drogolin" w:hint="cs"/>
          <w:rtl/>
          <w:lang w:bidi="he-IL"/>
        </w:rPr>
        <w:t xml:space="preserve">ח, דכמו שצלי רותח יש לו כח ליבלע, הה"נ שיש למליחה תכונה זו. ועוד מבואר שיש למליחה כח לשאוב הדם מחתיכת בשר ולהכשיר אותו לבישול מבלי להכשל באיסור אכילת דם. ויל"ע אם ב' התכונות הם בעצם דבר א' או לא. </w:t>
      </w:r>
    </w:p>
    <w:p w:rsidR="00D759EB" w:rsidRPr="00882F11" w:rsidRDefault="00131C86" w:rsidP="00D759EB">
      <w:pPr>
        <w:tabs>
          <w:tab w:val="right" w:pos="7497"/>
        </w:tabs>
        <w:bidi/>
        <w:jc w:val="both"/>
        <w:rPr>
          <w:rFonts w:cs="Guttman Drogolin"/>
          <w:rtl/>
          <w:lang w:bidi="he-IL"/>
        </w:rPr>
      </w:pPr>
      <w:r w:rsidRPr="00882F11">
        <w:rPr>
          <w:rFonts w:cs="Guttman Drogolin" w:hint="cs"/>
          <w:rtl/>
          <w:lang w:bidi="he-IL"/>
        </w:rPr>
        <w:t xml:space="preserve">והנה הגמ' </w:t>
      </w:r>
      <w:r w:rsidR="00D759EB" w:rsidRPr="00882F11">
        <w:rPr>
          <w:rFonts w:cs="Guttman Drogolin" w:hint="cs"/>
          <w:rtl/>
          <w:lang w:bidi="he-IL"/>
        </w:rPr>
        <w:t xml:space="preserve">אומרת לנו דעד כאן לא מחמרינן במליח לומר שהוא כרותח ומבליע אלא במליח שאינו נאכל מחמת מלחו, אבל נאכל אינו אוסר. ונחלקו הראשונים מהו השיעור של אינו נאכל מחמת מלחו. התוס' מביאים מהר' יעקב ישראל שהוא שיעור שמעבדים בה, שזהו השיעור שמולחים בשר כדי להביאו על הדרך. והתוס' ועוד ראשונים מביאים בשם ר"ת שהשיעור מלח הוא הרבה פחות מזה, והוא כשיעור שאדם מולח את בשרו כדי להכשירו לבישול, ור"ל שהוא השיעור מלח שצריכים להוציא את דמו. </w:t>
      </w:r>
    </w:p>
    <w:p w:rsidR="009078F6" w:rsidRPr="00882F11" w:rsidRDefault="00D759EB" w:rsidP="009078F6">
      <w:pPr>
        <w:tabs>
          <w:tab w:val="right" w:pos="7497"/>
        </w:tabs>
        <w:bidi/>
        <w:jc w:val="both"/>
        <w:rPr>
          <w:rFonts w:cs="Guttman Drogolin"/>
          <w:rtl/>
          <w:lang w:bidi="he-IL"/>
        </w:rPr>
      </w:pPr>
      <w:r w:rsidRPr="00882F11">
        <w:rPr>
          <w:rFonts w:cs="Guttman Drogolin" w:hint="cs"/>
          <w:rtl/>
          <w:lang w:bidi="he-IL"/>
        </w:rPr>
        <w:lastRenderedPageBreak/>
        <w:t xml:space="preserve">והנה לשיטת רי"י וסייעתו לכאורה חזינן שאין הדין להוציא את דמו קשור לדין מליח כרותח, שהרי פסק להדיא שהשיעור מליחה לקידרה אינו שיעור מליח לקדרה. וע"כ יש למלח תכונה להוציא אע"ג שאינו כרותח. אבל לשיטת ר"ת עדיין יל"ע. דהנה </w:t>
      </w:r>
      <w:r w:rsidR="009078F6" w:rsidRPr="00882F11">
        <w:rPr>
          <w:rFonts w:cs="Guttman Drogolin" w:hint="cs"/>
          <w:rtl/>
          <w:lang w:bidi="he-IL"/>
        </w:rPr>
        <w:t>ברמב"ן מובא מבה"ג שהשיעורים למלייחת בשר לקדרה ושיעור מליח כרותח שוין, בין לזמן שהיית בשר ובין לדין רותח. לכאורה הי' משמע שהכח להוציא דם הוא מן הכח של המלח דמליח כרותח. אמנם יש בזה עוד כמה קושיות. ובעזהי"ת נאריך בזה בסמוך.</w:t>
      </w:r>
    </w:p>
    <w:p w:rsidR="00F9422D" w:rsidRPr="00882F11" w:rsidRDefault="009078F6" w:rsidP="009078F6">
      <w:pPr>
        <w:tabs>
          <w:tab w:val="right" w:pos="7497"/>
        </w:tabs>
        <w:bidi/>
        <w:jc w:val="both"/>
        <w:rPr>
          <w:rFonts w:cs="Guttman Drogolin"/>
          <w:rtl/>
          <w:lang w:bidi="he-IL"/>
        </w:rPr>
      </w:pPr>
      <w:r w:rsidRPr="00882F11">
        <w:rPr>
          <w:rFonts w:cs="Guttman Drogolin" w:hint="cs"/>
          <w:rtl/>
          <w:lang w:bidi="he-IL"/>
        </w:rPr>
        <w:t xml:space="preserve">ובעצם הדין דמליח כרותח, מצאתי מחלוקת הראשונים בגדר הדבר. דהנה הרשב"א בתוה"א (ב"ד ש"א) הקשה למה אין המלח אוסר אלא כשאינו נאכל מחמת מלחו, הא </w:t>
      </w:r>
      <w:r w:rsidR="00FD0AF2" w:rsidRPr="00882F11">
        <w:rPr>
          <w:rFonts w:cs="Guttman Drogolin" w:hint="cs"/>
          <w:rtl/>
          <w:lang w:bidi="he-IL"/>
        </w:rPr>
        <w:t xml:space="preserve">לכאורה ע"י קצת מלח יש קצת חום, וכמו שמוכח מבית השחיטה שאפילו חום שאין היד סולדת בו יש לו כח להבליע, הה"נ קצת מלח. ותי' הרשב"א שלעולם אין הטעם במלח מבליע משום שיש חום, רק החריפות של המלח הוא שבמליע. והרא"ה שם חלק שהוא מחמת חום ולא מחמת חריפות. וראיתי בס' מורשת משה שרצה לתלות מחלוקת זו במחלוקת אם אפשר לערב מלח בעיסה של מצה לפסח או שחוששים שהוא מתחמם ומתחמץ. ויל"ע בזה ואכמ"ל. </w:t>
      </w:r>
      <w:r w:rsidRPr="00882F11">
        <w:rPr>
          <w:rFonts w:cs="Guttman Drogolin" w:hint="cs"/>
          <w:rtl/>
          <w:lang w:bidi="he-IL"/>
        </w:rPr>
        <w:t xml:space="preserve"> </w:t>
      </w:r>
      <w:r w:rsidR="00D759EB" w:rsidRPr="00882F11">
        <w:rPr>
          <w:rFonts w:cs="Guttman Drogolin" w:hint="cs"/>
          <w:rtl/>
          <w:lang w:bidi="he-IL"/>
        </w:rPr>
        <w:t xml:space="preserve">   </w:t>
      </w:r>
      <w:r w:rsidR="00131C86" w:rsidRPr="00882F11">
        <w:rPr>
          <w:rFonts w:cs="Guttman Drogolin" w:hint="cs"/>
          <w:rtl/>
          <w:lang w:bidi="he-IL"/>
        </w:rPr>
        <w:t xml:space="preserve"> </w:t>
      </w:r>
    </w:p>
    <w:p w:rsidR="000F0329" w:rsidRPr="008520CC" w:rsidRDefault="000F0329" w:rsidP="008520CC">
      <w:pPr>
        <w:pStyle w:val="Heading1"/>
        <w:bidi/>
        <w:spacing w:before="0" w:line="240" w:lineRule="auto"/>
        <w:jc w:val="center"/>
        <w:rPr>
          <w:rFonts w:cs="Guttman Drogolin"/>
          <w:color w:val="auto"/>
          <w:sz w:val="22"/>
          <w:szCs w:val="22"/>
          <w:u w:val="single"/>
          <w:rtl/>
          <w:lang w:bidi="he-IL"/>
        </w:rPr>
      </w:pPr>
      <w:bookmarkStart w:id="436" w:name="_Toc496175683"/>
      <w:r w:rsidRPr="008520CC">
        <w:rPr>
          <w:rFonts w:cs="Guttman Drogolin" w:hint="cs"/>
          <w:color w:val="auto"/>
          <w:sz w:val="22"/>
          <w:szCs w:val="22"/>
          <w:u w:val="single"/>
          <w:rtl/>
          <w:lang w:bidi="he-IL"/>
        </w:rPr>
        <w:t>הא דבבר גוזלא דנפל לכדא לכמכא בעי קליפה אם הוא לצלי, ועוד בדינא דתתאה גבר</w:t>
      </w:r>
      <w:bookmarkEnd w:id="436"/>
    </w:p>
    <w:p w:rsidR="00814B3D" w:rsidRPr="00882F11" w:rsidRDefault="00A30A46" w:rsidP="000F0329">
      <w:pPr>
        <w:tabs>
          <w:tab w:val="right" w:pos="7497"/>
        </w:tabs>
        <w:bidi/>
        <w:jc w:val="both"/>
        <w:rPr>
          <w:rFonts w:cs="Guttman Drogolin"/>
          <w:rtl/>
          <w:lang w:bidi="he-IL"/>
        </w:rPr>
      </w:pPr>
      <w:r>
        <w:rPr>
          <w:rFonts w:cs="Guttman Drogolin"/>
          <w:rtl/>
          <w:lang w:bidi="he-IL"/>
        </w:rPr>
        <w:fldChar w:fldCharType="begin"/>
      </w:r>
      <w:r>
        <w:instrText xml:space="preserve"> XE "</w:instrText>
      </w:r>
      <w:r w:rsidRPr="00AA09F2">
        <w:rPr>
          <w:rFonts w:hint="cs"/>
          <w:rtl/>
          <w:lang w:bidi="he-IL"/>
        </w:rPr>
        <w:instrText>מליח</w:instrText>
      </w:r>
      <w:r w:rsidRPr="00AA09F2">
        <w:rPr>
          <w:rtl/>
        </w:rPr>
        <w:instrText>:</w:instrText>
      </w:r>
      <w:r w:rsidRPr="00AA09F2">
        <w:rPr>
          <w:rFonts w:hint="cs"/>
          <w:rtl/>
          <w:lang w:bidi="he-IL"/>
        </w:rPr>
        <w:instrText>בר גוזלא דנפל לכדא דכמכא</w:instrText>
      </w:r>
      <w:r>
        <w:instrText xml:space="preserve">" </w:instrText>
      </w:r>
      <w:r>
        <w:rPr>
          <w:rFonts w:cs="Guttman Drogolin"/>
          <w:rtl/>
          <w:lang w:bidi="he-IL"/>
        </w:rPr>
        <w:fldChar w:fldCharType="end"/>
      </w:r>
      <w:r w:rsidR="000F0329" w:rsidRPr="00882F11">
        <w:rPr>
          <w:rFonts w:cs="Guttman Drogolin" w:hint="cs"/>
          <w:rtl/>
          <w:lang w:bidi="he-IL"/>
        </w:rPr>
        <w:t xml:space="preserve">נחלקו הראשונים אם הא דבעינן קליפה בבר גוזלא צלי אם ר"ל צלי חם או"ד אפילו צלי צונן. והנה כבר הבאנו שנחלקו הראשונים אם בעלמא בצלי חם בעינן להסיר כדי קליפה או כדי נטילה. והנה התוס' לעיל בדף צ"ו ע"ב סברו שהשיעור בצלי חם הוא כדי נטילה. ומשו"ה הקשו מן הגמ' כאן למה אינו צריך אלא כדי קליפה. והוכיחו מכח קושיא זו דע"כ הכא מיירי בצלי צונן. והרשב"א סבר דמיירי בצלי רותח, והוא הרי סבר שזהו </w:t>
      </w:r>
      <w:r w:rsidR="000F0329" w:rsidRPr="00882F11">
        <w:rPr>
          <w:rFonts w:cs="Guttman Drogolin" w:hint="cs"/>
          <w:rtl/>
          <w:lang w:bidi="he-IL"/>
        </w:rPr>
        <w:lastRenderedPageBreak/>
        <w:t xml:space="preserve">השיעור בכל צלי רותח. </w:t>
      </w:r>
      <w:r w:rsidR="00814B3D" w:rsidRPr="00882F11">
        <w:rPr>
          <w:rFonts w:cs="Guttman Drogolin" w:hint="cs"/>
          <w:rtl/>
          <w:lang w:bidi="he-IL"/>
        </w:rPr>
        <w:t>אמנם יתכן שהשיעור בין בצלי רותח ובין בצלי צונן הוא כדי קליפה, וכן נראה שיטת התוס' במס' פסחים דף ע"ה ע"ב</w:t>
      </w:r>
      <w:r w:rsidR="00814B3D" w:rsidRPr="00882F11">
        <w:rPr>
          <w:rStyle w:val="FootnoteReference"/>
          <w:rFonts w:cs="Guttman Drogolin"/>
          <w:rtl/>
          <w:lang w:bidi="he-IL"/>
        </w:rPr>
        <w:footnoteReference w:id="426"/>
      </w:r>
      <w:r w:rsidR="00814B3D" w:rsidRPr="00882F11">
        <w:rPr>
          <w:rFonts w:cs="Guttman Drogolin" w:hint="cs"/>
          <w:rtl/>
          <w:lang w:bidi="he-IL"/>
        </w:rPr>
        <w:t>.</w:t>
      </w:r>
    </w:p>
    <w:p w:rsidR="00814B3D" w:rsidRPr="00882F11" w:rsidRDefault="00814B3D" w:rsidP="00814B3D">
      <w:pPr>
        <w:tabs>
          <w:tab w:val="right" w:pos="7497"/>
        </w:tabs>
        <w:bidi/>
        <w:jc w:val="both"/>
        <w:rPr>
          <w:rFonts w:cs="Guttman Drogolin"/>
          <w:rtl/>
          <w:lang w:bidi="he-IL"/>
        </w:rPr>
      </w:pPr>
      <w:r w:rsidRPr="00882F11">
        <w:rPr>
          <w:rFonts w:cs="Guttman Drogolin" w:hint="cs"/>
          <w:rtl/>
          <w:lang w:bidi="he-IL"/>
        </w:rPr>
        <w:t xml:space="preserve">והנה על דברי התוס' דלעיל הקשה הגרע"א שלכאורה אין כל הכרח לומר דהכא מיירי בצלי צונן. דהא י"ל דלעולם מיירי בצלי חם, אבל מ"מ הרי יסדו התוס' שם שבתתאה צונן ועילאה חם אינו אוסר אלא כדי קליפה אפילו לשיטתם כיון שאינו בולע אלא משום ד'אדמיקר לי' בלע', וא"כ גם כאן הרי מיירי בתתאה צונן, ולכן שפיר אינו אוסר אלא כדי קליפה. </w:t>
      </w:r>
    </w:p>
    <w:p w:rsidR="008B1B9C" w:rsidRPr="00882F11" w:rsidRDefault="00A30A46" w:rsidP="00814B3D">
      <w:pPr>
        <w:tabs>
          <w:tab w:val="right" w:pos="7497"/>
        </w:tabs>
        <w:bidi/>
        <w:jc w:val="both"/>
        <w:rPr>
          <w:rFonts w:cs="Guttman Drogolin"/>
          <w:rtl/>
          <w:lang w:bidi="he-IL"/>
        </w:rPr>
      </w:pPr>
      <w:r>
        <w:rPr>
          <w:rFonts w:cs="Guttman Drogolin"/>
          <w:rtl/>
          <w:lang w:bidi="he-IL"/>
        </w:rPr>
        <w:fldChar w:fldCharType="begin"/>
      </w:r>
      <w:r>
        <w:instrText xml:space="preserve"> XE "</w:instrText>
      </w:r>
      <w:r w:rsidRPr="00337DEF">
        <w:rPr>
          <w:rFonts w:hint="cs"/>
          <w:rtl/>
          <w:lang w:bidi="he-IL"/>
        </w:rPr>
        <w:instrText>תתאה גבר / עילאה גבר</w:instrText>
      </w:r>
      <w:r w:rsidRPr="00337DEF">
        <w:rPr>
          <w:rtl/>
        </w:rPr>
        <w:instrText>:</w:instrText>
      </w:r>
      <w:r w:rsidRPr="00337DEF">
        <w:rPr>
          <w:rFonts w:hint="cs"/>
          <w:rtl/>
          <w:lang w:bidi="he-IL"/>
        </w:rPr>
        <w:instrText>איך קובעים מהו עילאה ותתאה</w:instrText>
      </w:r>
      <w:r>
        <w:instrText xml:space="preserve">" </w:instrText>
      </w:r>
      <w:r>
        <w:rPr>
          <w:rFonts w:cs="Guttman Drogolin"/>
          <w:rtl/>
          <w:lang w:bidi="he-IL"/>
        </w:rPr>
        <w:fldChar w:fldCharType="end"/>
      </w:r>
      <w:r w:rsidR="00814B3D" w:rsidRPr="00882F11">
        <w:rPr>
          <w:rFonts w:cs="Guttman Drogolin" w:hint="cs"/>
          <w:rtl/>
          <w:lang w:bidi="he-IL"/>
        </w:rPr>
        <w:t>אלא דהנה בתוה"א (וכן בב"י סי' צ"א בשם שו"ת הרשב"א) באמת הקשו למה יהא חשוב הא דבר גוזלא כתתאה חם</w:t>
      </w:r>
      <w:r w:rsidR="008B1B9C" w:rsidRPr="00882F11">
        <w:rPr>
          <w:rFonts w:cs="Guttman Drogolin" w:hint="cs"/>
          <w:rtl/>
          <w:lang w:bidi="he-IL"/>
        </w:rPr>
        <w:t xml:space="preserve">, הא מיד שנכנס הבר גוזלא לתוך הכד הרי הא שוקע למטה ונהפך להיות התתאה, וא"כ הי' לו לאסור מדין תתאה גבר. והוכיח הרשב"א מכח קושיא זו דע"כ </w:t>
      </w:r>
      <w:r w:rsidR="00E823F3" w:rsidRPr="00882F11">
        <w:rPr>
          <w:rFonts w:cs="Guttman Drogolin" w:hint="cs"/>
          <w:rtl/>
          <w:lang w:bidi="he-IL"/>
        </w:rPr>
        <w:t>א</w:t>
      </w:r>
      <w:r w:rsidR="008B1B9C" w:rsidRPr="00882F11">
        <w:rPr>
          <w:rFonts w:cs="Guttman Drogolin" w:hint="cs"/>
          <w:rtl/>
          <w:lang w:bidi="he-IL"/>
        </w:rPr>
        <w:t xml:space="preserve">ין הבר גוזלא חשוב התתאה, ומשום שהתתאה הוא מה שנמצא במקומו, והעילאה הוא מה שמגיע אליו, ולכן הבר גוזלא שהוא מה שנפל תמיד נחשב העילאה. אמנם כתב החוו"ד ביישוב שיטת התוס' שהם אינם סוברים כן, רק הם סוברים שחשוב הבר גוזלא כתתאה, ומשו"ה שפיר הקשו למה אינו צריך אלא כדי קליפה. </w:t>
      </w:r>
    </w:p>
    <w:p w:rsidR="00131C86" w:rsidRPr="00882F11" w:rsidRDefault="008B1B9C" w:rsidP="008B1B9C">
      <w:pPr>
        <w:tabs>
          <w:tab w:val="right" w:pos="7497"/>
        </w:tabs>
        <w:bidi/>
        <w:jc w:val="both"/>
        <w:rPr>
          <w:rFonts w:cs="Guttman Drogolin"/>
          <w:rtl/>
          <w:lang w:bidi="he-IL"/>
        </w:rPr>
      </w:pPr>
      <w:r w:rsidRPr="00882F11">
        <w:rPr>
          <w:rFonts w:cs="Guttman Drogolin" w:hint="cs"/>
          <w:rtl/>
          <w:lang w:bidi="he-IL"/>
        </w:rPr>
        <w:t xml:space="preserve">ויש להמתיק את דבריו. דהנה רע"א הוסיף לבאר שבזה מיושב קושיית התוס' במס' פסחים. שהתוס' הקשו שם למה היו צריכים להביא ב' ברייתות אליבא דאביי. ותי' בשם ר"ת שהוא כד לחדש לנו שהחלב לא נאסר אע"ג שאין ששים בחלב כנגד שיעור כדי קליפה. אבל הביאו שהריב"א לא סבר כן ולא תירצו קושייתם אליבא דידי'. וכתב רע"א שלדברי הרשב"א הנ"ל ניחא, שהברייתא השני' מחדש לנו שהחתיכה שנפלה לתוך חלב עדיין נחשב העילאה, ומשו"ה היו צריכים להביא הברייתא השני' (וע"ש עוד מש"כ לבאר למה </w:t>
      </w:r>
      <w:r w:rsidRPr="00882F11">
        <w:rPr>
          <w:rFonts w:cs="Guttman Drogolin" w:hint="cs"/>
          <w:rtl/>
          <w:lang w:bidi="he-IL"/>
        </w:rPr>
        <w:lastRenderedPageBreak/>
        <w:t xml:space="preserve">צריכים הברייתא הראשונה, שזה קשה בין לתי' רע"א ובין לתי' התוס'). ואיכא למימר שהתוס' שלא נחתו לזה הוא </w:t>
      </w:r>
      <w:r w:rsidR="00680794">
        <w:rPr>
          <w:rFonts w:cs="Guttman Drogolin" w:hint="cs"/>
          <w:rtl/>
          <w:lang w:bidi="he-IL"/>
        </w:rPr>
        <w:t>לשיטת</w:t>
      </w:r>
      <w:r w:rsidRPr="00882F11">
        <w:rPr>
          <w:rFonts w:cs="Guttman Drogolin" w:hint="cs"/>
          <w:rtl/>
          <w:lang w:bidi="he-IL"/>
        </w:rPr>
        <w:t xml:space="preserve">ם שחולקים על יסוד דברי הרשב"א וסוברים דכה"ג נחשב החתיכה כתתאה. אלא שלכאורה מיני' ובי' תיקשי, וכמש"כ רע"א, שלכאורה הברייתא השני' עצמה מוכרח כדברי הרשב"א, דאל"כ למה באמת אינו אוסר יותר מכדי קליפה. וע"ש שמשו"ה תמה על הרשב"א למה התקשה דוקא לאלו הסוברים דבר גוזלא צלי היינו חם, הא דבר זה קשה לכו"ע מן הברייתא שבמס' פסחים דף ע"ו ע"א. ואולי יש מקום לומר שבפסחים </w:t>
      </w:r>
      <w:r w:rsidR="00131C86" w:rsidRPr="00882F11">
        <w:rPr>
          <w:rFonts w:cs="Guttman Drogolin" w:hint="cs"/>
          <w:rtl/>
          <w:lang w:bidi="he-IL"/>
        </w:rPr>
        <w:t>מיירי בשכבה דקה של חלב ולכן אינו נחשב כתתאה, אבל הא דבר גוזלא מיירי בשקוע ולכן קשה. ויל"ע בזה.</w:t>
      </w:r>
    </w:p>
    <w:p w:rsidR="00E47E73" w:rsidRPr="00882F11" w:rsidRDefault="00131C86" w:rsidP="00131C86">
      <w:pPr>
        <w:tabs>
          <w:tab w:val="right" w:pos="7497"/>
        </w:tabs>
        <w:bidi/>
        <w:jc w:val="both"/>
        <w:rPr>
          <w:rFonts w:cs="Guttman Drogolin"/>
          <w:rtl/>
          <w:lang w:bidi="he-IL"/>
        </w:rPr>
      </w:pPr>
      <w:r w:rsidRPr="00882F11">
        <w:rPr>
          <w:rFonts w:cs="Guttman Drogolin" w:hint="cs"/>
          <w:rtl/>
          <w:lang w:bidi="he-IL"/>
        </w:rPr>
        <w:t xml:space="preserve">ומ"מ החת"ס ביאר קושיית התוס' באופן אחר, והוא שהגירסא של התוס' בגמ' דבר גוזלא הוא דרב הורה שבצלי צריך כדי קליפה (ולפנינו ליתא). וא"כ שפיר הקשו התוס' כיון דרב הרי סבר דעילאה גבר. אמנם נראה שעדיין הוא תי' מחודש, שהרי התוס' לא הדגישו שזהו קושיא לרב לשיטתו. </w:t>
      </w:r>
    </w:p>
    <w:p w:rsidR="00E47E73" w:rsidRPr="00882F11" w:rsidRDefault="00E47E73" w:rsidP="00E47E73">
      <w:pPr>
        <w:tabs>
          <w:tab w:val="right" w:pos="7497"/>
        </w:tabs>
        <w:bidi/>
        <w:jc w:val="both"/>
        <w:rPr>
          <w:rFonts w:cs="Guttman Drogolin"/>
          <w:rtl/>
          <w:lang w:bidi="he-IL"/>
        </w:rPr>
        <w:sectPr w:rsidR="00E47E73" w:rsidRPr="00882F11" w:rsidSect="008520CC">
          <w:type w:val="continuous"/>
          <w:pgSz w:w="11907" w:h="16839" w:code="9"/>
          <w:pgMar w:top="1440" w:right="1440" w:bottom="1440" w:left="1440" w:header="720" w:footer="720" w:gutter="0"/>
          <w:cols w:num="2" w:space="720"/>
          <w:bidi/>
          <w:docGrid w:linePitch="360"/>
        </w:sectPr>
      </w:pPr>
    </w:p>
    <w:p w:rsidR="00E47E73" w:rsidRPr="008520CC" w:rsidRDefault="00E47E73" w:rsidP="00E47E73">
      <w:pPr>
        <w:keepNext/>
        <w:tabs>
          <w:tab w:val="left" w:pos="3818"/>
          <w:tab w:val="center" w:pos="4680"/>
        </w:tabs>
        <w:bidi/>
        <w:jc w:val="center"/>
        <w:rPr>
          <w:rFonts w:cs="Guttman Drogolin"/>
          <w:b/>
          <w:bCs/>
          <w:sz w:val="48"/>
          <w:szCs w:val="48"/>
          <w:rtl/>
          <w:lang w:bidi="he-IL"/>
        </w:rPr>
      </w:pPr>
      <w:r w:rsidRPr="008520CC">
        <w:rPr>
          <w:rFonts w:cs="Guttman Drogolin" w:hint="cs"/>
          <w:b/>
          <w:bCs/>
          <w:sz w:val="48"/>
          <w:szCs w:val="48"/>
          <w:rtl/>
          <w:lang w:bidi="he-IL"/>
        </w:rPr>
        <w:lastRenderedPageBreak/>
        <w:t>שיעור ק"ט</w:t>
      </w:r>
    </w:p>
    <w:p w:rsidR="008520CC" w:rsidRDefault="008520CC" w:rsidP="00711342">
      <w:pPr>
        <w:pStyle w:val="Heading1"/>
        <w:bidi/>
        <w:spacing w:before="0" w:line="360" w:lineRule="auto"/>
        <w:jc w:val="center"/>
        <w:rPr>
          <w:rFonts w:cs="Guttman Drogolin"/>
          <w:color w:val="auto"/>
          <w:sz w:val="24"/>
          <w:szCs w:val="24"/>
          <w:u w:val="single"/>
          <w:rtl/>
          <w:lang w:bidi="he-IL"/>
        </w:rPr>
        <w:sectPr w:rsidR="008520CC" w:rsidSect="008520CC">
          <w:headerReference w:type="default" r:id="rId82"/>
          <w:pgSz w:w="11907" w:h="16839" w:code="9"/>
          <w:pgMar w:top="1440" w:right="1440" w:bottom="1440" w:left="1440" w:header="720" w:footer="720" w:gutter="0"/>
          <w:cols w:space="720"/>
          <w:bidi/>
          <w:docGrid w:linePitch="360"/>
        </w:sectPr>
      </w:pPr>
    </w:p>
    <w:p w:rsidR="00E47E73" w:rsidRPr="00882F11" w:rsidRDefault="00711342" w:rsidP="00711342">
      <w:pPr>
        <w:pStyle w:val="Heading1"/>
        <w:bidi/>
        <w:spacing w:before="0" w:line="360" w:lineRule="auto"/>
        <w:jc w:val="center"/>
        <w:rPr>
          <w:rFonts w:cs="Guttman Drogolin"/>
          <w:color w:val="auto"/>
          <w:sz w:val="24"/>
          <w:szCs w:val="24"/>
          <w:u w:val="single"/>
          <w:rtl/>
          <w:lang w:bidi="he-IL"/>
        </w:rPr>
      </w:pPr>
      <w:bookmarkStart w:id="437" w:name="_Toc496175684"/>
      <w:r w:rsidRPr="00882F11">
        <w:rPr>
          <w:rFonts w:cs="Guttman Drogolin" w:hint="cs"/>
          <w:color w:val="auto"/>
          <w:sz w:val="24"/>
          <w:szCs w:val="24"/>
          <w:u w:val="single"/>
          <w:rtl/>
          <w:lang w:bidi="he-IL"/>
        </w:rPr>
        <w:lastRenderedPageBreak/>
        <w:t>השיטות בשיעור זמן של מליח כרותח</w:t>
      </w:r>
      <w:bookmarkEnd w:id="437"/>
    </w:p>
    <w:p w:rsidR="00EE071C" w:rsidRPr="00882F11" w:rsidRDefault="00A30A46" w:rsidP="008226E0">
      <w:pPr>
        <w:tabs>
          <w:tab w:val="right" w:pos="7497"/>
        </w:tabs>
        <w:bidi/>
        <w:jc w:val="both"/>
        <w:rPr>
          <w:rFonts w:cs="Guttman Drogolin"/>
          <w:rtl/>
          <w:lang w:bidi="he-IL"/>
        </w:rPr>
      </w:pPr>
      <w:r>
        <w:rPr>
          <w:rFonts w:cs="Guttman Drogolin"/>
          <w:rtl/>
          <w:lang w:bidi="he-IL"/>
        </w:rPr>
        <w:fldChar w:fldCharType="begin"/>
      </w:r>
      <w:r>
        <w:instrText xml:space="preserve"> XE "</w:instrText>
      </w:r>
      <w:r w:rsidRPr="00FD5720">
        <w:rPr>
          <w:rFonts w:hint="cs"/>
          <w:rtl/>
          <w:lang w:bidi="he-IL"/>
        </w:rPr>
        <w:instrText>מליח</w:instrText>
      </w:r>
      <w:r w:rsidRPr="00FD5720">
        <w:rPr>
          <w:rtl/>
        </w:rPr>
        <w:instrText>:</w:instrText>
      </w:r>
      <w:r w:rsidRPr="00FD5720">
        <w:rPr>
          <w:rFonts w:hint="cs"/>
          <w:rtl/>
          <w:lang w:bidi="he-IL"/>
        </w:rPr>
        <w:instrText>באיזה זמן נעשה כרותח</w:instrText>
      </w:r>
      <w:r>
        <w:instrText xml:space="preserve">" </w:instrText>
      </w:r>
      <w:r>
        <w:rPr>
          <w:rFonts w:cs="Guttman Drogolin"/>
          <w:rtl/>
          <w:lang w:bidi="he-IL"/>
        </w:rPr>
        <w:fldChar w:fldCharType="end"/>
      </w:r>
      <w:r w:rsidR="00E47E73" w:rsidRPr="00882F11">
        <w:rPr>
          <w:rFonts w:cs="Guttman Drogolin" w:hint="cs"/>
          <w:rtl/>
          <w:lang w:bidi="he-IL"/>
        </w:rPr>
        <w:t xml:space="preserve">בשיעור הקודם הבאנו </w:t>
      </w:r>
      <w:r w:rsidR="00711342" w:rsidRPr="00882F11">
        <w:rPr>
          <w:rFonts w:cs="Guttman Drogolin" w:hint="cs"/>
          <w:rtl/>
          <w:lang w:bidi="he-IL"/>
        </w:rPr>
        <w:t xml:space="preserve">שיטת ר"ת שהשיעור של מליח ברוח היינו שיעור מלח שצריכים כדי להכשיר בשר לבישול בקדרה. והראשונים (ע' כגון חי' הרמב"ן) הביאו מבה"ג שהשיעור זמן שצריכים במליחת בשר כדי להכשיר אותו לאכילה הוא השיעור שצריכים כדי לצלות בשר שהוא גם מוציא דמו, והביאו שהשיעור הוא כדי הילוך מיל. ומ"מ נחלקו הראשונים מהו השיעור זמן של מליח כרותח. דהנה בע"ב מבואר בגמ' דגים ועופות שמלחן זה עם זה אסורין אפילו אם מלחן בכלי מנוקב. והטעם משום </w:t>
      </w:r>
      <w:r w:rsidR="00366FA4" w:rsidRPr="00882F11">
        <w:rPr>
          <w:rFonts w:cs="Guttman Drogolin" w:hint="cs"/>
          <w:rtl/>
          <w:lang w:bidi="he-IL"/>
        </w:rPr>
        <w:t>דדגים כיון דרפו קרמייהו קדמי ופלטי ועופות קמיטי בתר דניחי דגים פלטי עופות והדר בלעי מיני'. והעירו הראשונים דכיון שהעופות עדיין לא גמרו לפלוט דמן, עדיין לא נמלחו שיעור זמן הנ"ל. וא"כ לכאורה חזינן שאפילו קודם הזמן שצריכים כדי להכשיר את העופות יש למליח דין רותח ואוסר. ולכן נקט הרא"ש (סי' מ"ט) דאה"נ דין מליח כרותח יש כבר קודם הזמן הנ"ל, ולכן אוסר כדי נט</w:t>
      </w:r>
      <w:r w:rsidR="008226E0" w:rsidRPr="00882F11">
        <w:rPr>
          <w:rFonts w:cs="Guttman Drogolin" w:hint="cs"/>
          <w:rtl/>
          <w:lang w:bidi="he-IL"/>
        </w:rPr>
        <w:t>י</w:t>
      </w:r>
      <w:r w:rsidR="00366FA4" w:rsidRPr="00882F11">
        <w:rPr>
          <w:rFonts w:cs="Guttman Drogolin" w:hint="cs"/>
          <w:rtl/>
          <w:lang w:bidi="he-IL"/>
        </w:rPr>
        <w:t>לה קודם שיעור זמן הנ"ל</w:t>
      </w:r>
      <w:r w:rsidR="008226E0" w:rsidRPr="00882F11">
        <w:rPr>
          <w:rFonts w:cs="Guttman Drogolin" w:hint="cs"/>
          <w:rtl/>
          <w:lang w:bidi="he-IL"/>
        </w:rPr>
        <w:t>,</w:t>
      </w:r>
      <w:r w:rsidR="00366FA4" w:rsidRPr="00882F11">
        <w:rPr>
          <w:rFonts w:cs="Guttman Drogolin" w:hint="cs"/>
          <w:rtl/>
          <w:lang w:bidi="he-IL"/>
        </w:rPr>
        <w:t xml:space="preserve"> כמו בכל </w:t>
      </w:r>
      <w:r w:rsidR="008226E0" w:rsidRPr="00882F11">
        <w:rPr>
          <w:rFonts w:cs="Guttman Drogolin" w:hint="cs"/>
          <w:rtl/>
          <w:lang w:bidi="he-IL"/>
        </w:rPr>
        <w:t>צ</w:t>
      </w:r>
      <w:r w:rsidR="00366FA4" w:rsidRPr="00882F11">
        <w:rPr>
          <w:rFonts w:cs="Guttman Drogolin" w:hint="cs"/>
          <w:rtl/>
          <w:lang w:bidi="he-IL"/>
        </w:rPr>
        <w:t>לי, ולאחר ששוהה זמן כדי שיהא כבוש בציר (שהוא שיעור זמן כאילו נתנו על הור כדי שירתיח ויתחיל לבשל) הרי הוא אוסר כולו כדי מבושל. ולדבריו הדין מליח כרותח דצלי ודין הכשר בשר מאד דומים, שבין בצלי ובין במליח הרי הוא מתחמם מיד, ולכן שניהם אוסרים שיעור כדי קליפה מיד</w:t>
      </w:r>
      <w:r w:rsidR="00EE071C" w:rsidRPr="00882F11">
        <w:rPr>
          <w:rFonts w:cs="Guttman Drogolin" w:hint="cs"/>
          <w:rtl/>
          <w:lang w:bidi="he-IL"/>
        </w:rPr>
        <w:t xml:space="preserve">. ובשניהם לא נגמר פעולת הצליי' עד שיעור כדי הילוך מילף ורק אז שניהם יוצאים מידי דמם עד שיהיו מוכשרים לבישול. </w:t>
      </w:r>
    </w:p>
    <w:p w:rsidR="00F51A6F" w:rsidRPr="00882F11" w:rsidRDefault="00EE071C" w:rsidP="00F51A6F">
      <w:pPr>
        <w:tabs>
          <w:tab w:val="right" w:pos="7497"/>
        </w:tabs>
        <w:bidi/>
        <w:jc w:val="both"/>
        <w:rPr>
          <w:rFonts w:cs="Guttman Drogolin"/>
          <w:rtl/>
          <w:lang w:bidi="he-IL"/>
        </w:rPr>
      </w:pPr>
      <w:r w:rsidRPr="00882F11">
        <w:rPr>
          <w:rFonts w:cs="Guttman Drogolin" w:hint="cs"/>
          <w:rtl/>
          <w:lang w:bidi="he-IL"/>
        </w:rPr>
        <w:t xml:space="preserve">אמנם שיטת הר"י אלברגלוני (מובא שם ברא"ש ועוד ראשונים) שלא נאמר השיעור מליח כרותח עד אחרי השיעור כדי הילוך מיל, ורק אז הרי הוא כרותח ואוסר. ואי לענין הגמ' בדגים ועופות הנ"ל, ע' בר"ן שתי' דכמו דשאני דגים לענין זה דקדמי ופלטי, הה"נ שמשפיע עליהם המלח יותר מהר, ולכן נבלע בהם טעם דם גם קודם הזמן שנחשב </w:t>
      </w:r>
      <w:r w:rsidRPr="00882F11">
        <w:rPr>
          <w:rFonts w:cs="Guttman Drogolin" w:hint="cs"/>
          <w:rtl/>
          <w:lang w:bidi="he-IL"/>
        </w:rPr>
        <w:lastRenderedPageBreak/>
        <w:t xml:space="preserve">כרותח לשארי הדברים. </w:t>
      </w:r>
      <w:r w:rsidR="00E30355" w:rsidRPr="00882F11">
        <w:rPr>
          <w:rFonts w:cs="Guttman Drogolin" w:hint="cs"/>
          <w:rtl/>
          <w:lang w:bidi="he-IL"/>
        </w:rPr>
        <w:t>ו</w:t>
      </w:r>
      <w:r w:rsidRPr="00882F11">
        <w:rPr>
          <w:rFonts w:cs="Guttman Drogolin" w:hint="cs"/>
          <w:rtl/>
          <w:lang w:bidi="he-IL"/>
        </w:rPr>
        <w:t xml:space="preserve">יעוין ביד יהודה </w:t>
      </w:r>
      <w:r w:rsidR="00E30355" w:rsidRPr="00882F11">
        <w:rPr>
          <w:rFonts w:cs="Guttman Drogolin" w:hint="cs"/>
          <w:rtl/>
          <w:lang w:bidi="he-IL"/>
        </w:rPr>
        <w:t xml:space="preserve">ס"ק י"ז שהעיר שלפלי דבריו אין הצלי והמליח דומים, רק הצלי נרתח מיד רק שאינו גומר הכשר הבשר עד שיעור כדי הילוך מיל, אבל במליח אינו עושה פעולתו להיות כרותח עד </w:t>
      </w:r>
      <w:r w:rsidR="00623AA6" w:rsidRPr="00882F11">
        <w:rPr>
          <w:rFonts w:cs="Guttman Drogolin" w:hint="cs"/>
          <w:rtl/>
          <w:lang w:bidi="he-IL"/>
        </w:rPr>
        <w:t>סוף הזמן שבה הצלי ג"כ עושה גמר פעולתו להוציא את כל הדם.</w:t>
      </w:r>
      <w:r w:rsidR="00F51A6F" w:rsidRPr="00882F11">
        <w:rPr>
          <w:rFonts w:cs="Guttman Drogolin" w:hint="cs"/>
          <w:rtl/>
          <w:lang w:bidi="he-IL"/>
        </w:rPr>
        <w:t xml:space="preserve"> ומסתבר שכל הדם אינו עושה ברגע א' בסוף הזמן מליחה, ולכן נראה שהמלח פועל להפליט את הדם גם מקודם הזמן שנעשה כרותח, רק הענין הוא שמליח כרותח היינו שנעשה בה פעולה כאילו נצלה כולו בזמן שבצליי' ממש נצלה כולו, ובזמן זמן בשניהם אמרינן שכבר יצא כל דמו ומוכשר לבישול, אבל חום יש בצלי גם מקודם, משא"כ במליח.</w:t>
      </w:r>
    </w:p>
    <w:p w:rsidR="00FF4740" w:rsidRPr="00882F11" w:rsidRDefault="00F51A6F" w:rsidP="00F51A6F">
      <w:pPr>
        <w:tabs>
          <w:tab w:val="right" w:pos="7497"/>
        </w:tabs>
        <w:bidi/>
        <w:jc w:val="both"/>
        <w:rPr>
          <w:rFonts w:cs="Guttman Drogolin"/>
          <w:rtl/>
          <w:lang w:bidi="he-IL"/>
        </w:rPr>
      </w:pPr>
      <w:r w:rsidRPr="00882F11">
        <w:rPr>
          <w:rFonts w:cs="Guttman Drogolin" w:hint="cs"/>
          <w:rtl/>
          <w:lang w:bidi="he-IL"/>
        </w:rPr>
        <w:t>ושיטת הרשב"א (ב"ג ש"ג) הוא בדומה לזה. רק</w:t>
      </w:r>
      <w:r w:rsidR="00623AA6" w:rsidRPr="00882F11">
        <w:rPr>
          <w:rFonts w:cs="Guttman Drogolin" w:hint="cs"/>
          <w:rtl/>
          <w:lang w:bidi="he-IL"/>
        </w:rPr>
        <w:t xml:space="preserve"> </w:t>
      </w:r>
      <w:r w:rsidRPr="00882F11">
        <w:rPr>
          <w:rFonts w:cs="Guttman Drogolin" w:hint="cs"/>
          <w:rtl/>
          <w:lang w:bidi="he-IL"/>
        </w:rPr>
        <w:t>שהרשב"א סבר שאמנם אין הבשר נעשה כרותח עד אחר שיעור כדי הילוך מיל, מ"מ הציר והדם נרתחים מיד, ולכן הרי הם אוסרים את הבשר כבר קודם הזמן של כדי הילוך מיל, ובזה מיושב גם הגמ' בדגים ועופות הנ"ל. ובזה כנרה חולק הר"י אלברגלוני שגם הם לא נעשו כרותח עד אחר שיעור כדי הילוך מיל, ולכן אינם אוסרים הבשר קודם לזמן זה כלל.</w:t>
      </w:r>
    </w:p>
    <w:p w:rsidR="00FF4740" w:rsidRPr="008520CC" w:rsidRDefault="00FF4740" w:rsidP="00FF4740">
      <w:pPr>
        <w:pStyle w:val="Heading1"/>
        <w:bidi/>
        <w:spacing w:before="0" w:line="360" w:lineRule="auto"/>
        <w:jc w:val="center"/>
        <w:rPr>
          <w:rFonts w:cs="Guttman Drogolin"/>
          <w:color w:val="auto"/>
          <w:sz w:val="20"/>
          <w:szCs w:val="20"/>
          <w:u w:val="single"/>
          <w:rtl/>
          <w:lang w:bidi="he-IL"/>
        </w:rPr>
      </w:pPr>
      <w:bookmarkStart w:id="438" w:name="_Toc496175685"/>
      <w:r w:rsidRPr="008520CC">
        <w:rPr>
          <w:rFonts w:cs="Guttman Drogolin" w:hint="cs"/>
          <w:color w:val="auto"/>
          <w:sz w:val="20"/>
          <w:szCs w:val="20"/>
          <w:u w:val="single"/>
          <w:rtl/>
          <w:lang w:bidi="he-IL"/>
        </w:rPr>
        <w:t>עוד בשיטת רש"י בשיעור מלח לדין מליח כרותח</w:t>
      </w:r>
      <w:bookmarkEnd w:id="438"/>
    </w:p>
    <w:p w:rsidR="00F9422D" w:rsidRPr="00882F11" w:rsidRDefault="005E0D67" w:rsidP="00801A8E">
      <w:pPr>
        <w:tabs>
          <w:tab w:val="right" w:pos="7497"/>
        </w:tabs>
        <w:bidi/>
        <w:jc w:val="both"/>
        <w:rPr>
          <w:rFonts w:cs="Guttman Drogolin"/>
          <w:rtl/>
          <w:lang w:bidi="he-IL"/>
        </w:rPr>
      </w:pPr>
      <w:r>
        <w:rPr>
          <w:rFonts w:cs="Guttman Drogolin"/>
          <w:rtl/>
          <w:lang w:bidi="he-IL"/>
        </w:rPr>
        <w:fldChar w:fldCharType="begin"/>
      </w:r>
      <w:r>
        <w:instrText xml:space="preserve"> XE "</w:instrText>
      </w:r>
      <w:r w:rsidRPr="005C6AEE">
        <w:rPr>
          <w:rFonts w:hint="cs"/>
          <w:rtl/>
          <w:lang w:bidi="he-IL"/>
        </w:rPr>
        <w:instrText>מליח</w:instrText>
      </w:r>
      <w:r w:rsidRPr="005C6AEE">
        <w:rPr>
          <w:rtl/>
        </w:rPr>
        <w:instrText>:</w:instrText>
      </w:r>
      <w:r>
        <w:rPr>
          <w:rFonts w:hint="cs"/>
          <w:rtl/>
          <w:lang w:bidi="he-IL"/>
        </w:rPr>
        <w:instrText xml:space="preserve">אי </w:instrText>
      </w:r>
      <w:r w:rsidRPr="005C6AEE">
        <w:rPr>
          <w:rFonts w:hint="cs"/>
          <w:rtl/>
          <w:lang w:bidi="he-IL"/>
        </w:rPr>
        <w:instrText>בעינן אינו נאכל מחמת מלחו</w:instrText>
      </w:r>
      <w:r>
        <w:instrText xml:space="preserve">" </w:instrText>
      </w:r>
      <w:r>
        <w:rPr>
          <w:rFonts w:cs="Guttman Drogolin"/>
          <w:rtl/>
          <w:lang w:bidi="he-IL"/>
        </w:rPr>
        <w:fldChar w:fldCharType="end"/>
      </w:r>
      <w:r w:rsidR="00FF4740" w:rsidRPr="00882F11">
        <w:rPr>
          <w:rFonts w:cs="Guttman Drogolin" w:hint="cs"/>
          <w:rtl/>
          <w:lang w:bidi="he-IL"/>
        </w:rPr>
        <w:t>הבאנו לעיל ששיטת רש"י ורי"י שמליח לדקירה אננו מספיק מלח לעשות מליח כרותח התוס' הקשו על שיטתו כמה קושיות מכמה מקומות בש"ס שמשמע מהם שהשיעור מליח לקדירה מספיק כדי שיהא לו דין מליח כרותח. וביישוב שיטת רש"י כתב הכרו"פ סי' צ"א ס"ק</w:t>
      </w:r>
      <w:r w:rsidR="00801A8E" w:rsidRPr="00882F11">
        <w:rPr>
          <w:rFonts w:cs="Guttman Drogolin" w:hint="cs"/>
          <w:rtl/>
          <w:lang w:bidi="he-IL"/>
        </w:rPr>
        <w:t xml:space="preserve"> ד' שלעולם גם רש"י סובר שמליח לקדרה הרי הוא כרותח ואוסר, רק דסבר דהנ"מ תוך שיעור מליחה, אבל לאחר שיעור מליחה כבר אינו כרותח. ולכן סבר רש"י דכיון שהמלח הי' בכותח יותר מזמן זה, ע"כ לא מיירי בשיעור מליח לקדרה בלבד, אלא מיירי בכה"ג שהבשר צריך גם שריי'. </w:t>
      </w:r>
    </w:p>
    <w:p w:rsidR="00801A8E" w:rsidRPr="00882F11" w:rsidRDefault="008305C0" w:rsidP="008305C0">
      <w:pPr>
        <w:pStyle w:val="Heading1"/>
        <w:bidi/>
        <w:spacing w:before="0" w:line="360" w:lineRule="auto"/>
        <w:jc w:val="center"/>
        <w:rPr>
          <w:rFonts w:cs="Guttman Drogolin"/>
          <w:color w:val="auto"/>
          <w:sz w:val="24"/>
          <w:szCs w:val="24"/>
          <w:u w:val="single"/>
          <w:rtl/>
          <w:lang w:bidi="he-IL"/>
        </w:rPr>
      </w:pPr>
      <w:bookmarkStart w:id="439" w:name="_Toc496175686"/>
      <w:r w:rsidRPr="00882F11">
        <w:rPr>
          <w:rFonts w:cs="Guttman Drogolin" w:hint="cs"/>
          <w:color w:val="auto"/>
          <w:sz w:val="24"/>
          <w:szCs w:val="24"/>
          <w:u w:val="single"/>
          <w:rtl/>
          <w:lang w:bidi="he-IL"/>
        </w:rPr>
        <w:lastRenderedPageBreak/>
        <w:t>ככר שחתך עלי' בשר</w:t>
      </w:r>
      <w:bookmarkEnd w:id="439"/>
    </w:p>
    <w:p w:rsidR="00695A91" w:rsidRPr="00882F11" w:rsidRDefault="005E0D67" w:rsidP="00695A91">
      <w:pPr>
        <w:tabs>
          <w:tab w:val="right" w:pos="7497"/>
        </w:tabs>
        <w:bidi/>
        <w:jc w:val="both"/>
        <w:rPr>
          <w:rFonts w:cs="Guttman Drogolin"/>
          <w:rtl/>
          <w:lang w:bidi="he-IL"/>
        </w:rPr>
      </w:pPr>
      <w:r>
        <w:rPr>
          <w:rFonts w:cs="Guttman Drogolin"/>
          <w:rtl/>
          <w:lang w:bidi="he-IL"/>
        </w:rPr>
        <w:fldChar w:fldCharType="begin"/>
      </w:r>
      <w:r>
        <w:instrText xml:space="preserve"> XE "</w:instrText>
      </w:r>
      <w:r w:rsidRPr="00A859B4">
        <w:rPr>
          <w:rFonts w:hint="cs"/>
          <w:rtl/>
          <w:lang w:bidi="he-IL"/>
        </w:rPr>
        <w:instrText>נגיעת אוכל באוכל</w:instrText>
      </w:r>
      <w:r w:rsidRPr="00A859B4">
        <w:rPr>
          <w:rtl/>
        </w:rPr>
        <w:instrText>:</w:instrText>
      </w:r>
      <w:r w:rsidRPr="00A859B4">
        <w:rPr>
          <w:rFonts w:hint="cs"/>
          <w:rtl/>
          <w:lang w:bidi="he-IL"/>
        </w:rPr>
        <w:instrText>ככר שחתך עליו בשר</w:instrText>
      </w:r>
      <w:r>
        <w:instrText xml:space="preserve">" </w:instrText>
      </w:r>
      <w:r>
        <w:rPr>
          <w:rFonts w:cs="Guttman Drogolin"/>
          <w:rtl/>
          <w:lang w:bidi="he-IL"/>
        </w:rPr>
        <w:fldChar w:fldCharType="end"/>
      </w:r>
      <w:r w:rsidR="008305C0" w:rsidRPr="00882F11">
        <w:rPr>
          <w:rFonts w:cs="Guttman Drogolin" w:hint="cs"/>
          <w:rtl/>
          <w:lang w:bidi="he-IL"/>
        </w:rPr>
        <w:t xml:space="preserve">בגמ' יש מחלוקת בין אביי לרבא בדין ככר שחתך עלי' בשר אם מותר או לא, שלאביי הככר אסור אי אסמיק ואברי' ואסמכי', ורבא סבר דאפילו בכל הני הרי הוא מותר כיון שאינו אלא חמר בשר. ומשמעות הגמ' שאפילו לאבי אין לאסור אלא הככר, אבל הבשר עצמו אין לאסור. </w:t>
      </w:r>
      <w:r w:rsidR="00695A91" w:rsidRPr="00882F11">
        <w:rPr>
          <w:rFonts w:cs="Guttman Drogolin" w:hint="cs"/>
          <w:rtl/>
          <w:lang w:bidi="he-IL"/>
        </w:rPr>
        <w:t>וע' בתוס' לעיל דף י"ד ע"א ד"ה ונסבין שיסדו ע"פ דיוק זה ועוד כמה ראיות שהדם המובלע בבשר אינו אסור כלל ומותר לאכלו.</w:t>
      </w:r>
    </w:p>
    <w:p w:rsidR="006F0017" w:rsidRPr="00882F11" w:rsidRDefault="00695A91" w:rsidP="00695A91">
      <w:pPr>
        <w:tabs>
          <w:tab w:val="right" w:pos="7497"/>
        </w:tabs>
        <w:bidi/>
        <w:jc w:val="both"/>
        <w:rPr>
          <w:rFonts w:cs="Guttman Drogolin"/>
          <w:rtl/>
          <w:lang w:bidi="he-IL"/>
        </w:rPr>
      </w:pPr>
      <w:r w:rsidRPr="00882F11">
        <w:rPr>
          <w:rFonts w:cs="Guttman Drogolin" w:hint="cs"/>
          <w:rtl/>
          <w:lang w:bidi="he-IL"/>
        </w:rPr>
        <w:t>ובהמשך הגמ' דנה בנתינת כלי תחת לבשר צלי, דמר זוטרא בשר ר' פפא מתיר משתעלה תמרתו, ורב אשי מצריך ג' גללי מילחא שע"י זה הדם מתפרד מן השומן ולכן הוא מותר. ותוס' והראשונים התקשו בזנה</w:t>
      </w:r>
      <w:r w:rsidR="008226E0" w:rsidRPr="00882F11">
        <w:rPr>
          <w:rFonts w:cs="Guttman Drogolin" w:hint="cs"/>
          <w:rtl/>
          <w:lang w:bidi="he-IL"/>
        </w:rPr>
        <w:t>נ, דנהי נמי שלבסוף הדם יצא ממנו</w:t>
      </w:r>
      <w:r w:rsidRPr="00882F11">
        <w:rPr>
          <w:rFonts w:cs="Guttman Drogolin" w:hint="cs"/>
          <w:rtl/>
          <w:lang w:bidi="he-IL"/>
        </w:rPr>
        <w:t>, אבל קודם הרי נאסר השומן ע"י הדם ונע"נ, וא"כ למה יהא מותר לאחר מכן. והתוס' כתבו שאין לומר חענ"ן במקום שיכול להוציא את כל הטעם איסור ממנו. ור"ל שאמנם חענ"ן, ולכן אע"ג שהאיסור עדיין אינו נותן בו טעם הרי הוא אסור, אבל מ"מ אין זה אלא במקום שנשאר לכה"פ משהו של האוסרו בתוך החתיכה, אבל בלי זה לא אמרינן חענ"ן. ודבר זה מאד מסתבר לשיטת התוס' עצמן דסברי שאין הנאסר אוסר במקום שאין האיסור יכול להתפשט.</w:t>
      </w:r>
      <w:r w:rsidR="006F0017" w:rsidRPr="00882F11">
        <w:rPr>
          <w:rFonts w:cs="Guttman Drogolin" w:hint="cs"/>
          <w:rtl/>
          <w:lang w:bidi="he-IL"/>
        </w:rPr>
        <w:t xml:space="preserve"> ומתוס' לעיל צ"ו ע"ב משמע שאפילו בבב"ח אמרינן שאין הנאסר אוסר במקום שאין האיסור יכול להתפשט. וכבר ביארנו שיסוד דבריו לכאורה דלא שייך החפצא של איסור בב"ח אלא כשיש תערבות של שניהם, אבל זה שאסרו א' את השני מעיקרא אינו טעם לאסור אע"ג שאמרינן חענ"ן. וא"כ דבריהם גם כאן מובנים היטב.</w:t>
      </w:r>
    </w:p>
    <w:p w:rsidR="006F0017" w:rsidRPr="00882F11" w:rsidRDefault="006F0017" w:rsidP="006F0017">
      <w:pPr>
        <w:tabs>
          <w:tab w:val="right" w:pos="7497"/>
        </w:tabs>
        <w:bidi/>
        <w:jc w:val="both"/>
        <w:rPr>
          <w:rFonts w:cs="Guttman Drogolin"/>
          <w:rtl/>
          <w:lang w:bidi="he-IL"/>
        </w:rPr>
      </w:pPr>
      <w:r w:rsidRPr="00882F11">
        <w:rPr>
          <w:rFonts w:cs="Guttman Drogolin" w:hint="cs"/>
          <w:rtl/>
          <w:lang w:bidi="he-IL"/>
        </w:rPr>
        <w:t>והרשב"א תי' לקושיית התוס' דלא אומרים חענ"ן בדברים התערבים. ויל"ע אם הטעם שלא סוברים כמו התוס' משום שסוברים כר"ן שע"י הכלל של חענ"ן הבשר נאסר מחמת עצמו ממש, או"ד דסברי שאפילו ע"י תרי גללי מילחא אין יוצא כל הדם ממש.</w:t>
      </w:r>
    </w:p>
    <w:p w:rsidR="006F0017" w:rsidRPr="00882F11" w:rsidRDefault="006F0017" w:rsidP="006F0017">
      <w:pPr>
        <w:tabs>
          <w:tab w:val="right" w:pos="7497"/>
        </w:tabs>
        <w:bidi/>
        <w:jc w:val="both"/>
        <w:rPr>
          <w:rFonts w:cs="Guttman Drogolin"/>
          <w:rtl/>
          <w:lang w:bidi="he-IL"/>
        </w:rPr>
      </w:pPr>
      <w:r w:rsidRPr="00882F11">
        <w:rPr>
          <w:rFonts w:cs="Guttman Drogolin" w:hint="cs"/>
          <w:rtl/>
          <w:lang w:bidi="he-IL"/>
        </w:rPr>
        <w:lastRenderedPageBreak/>
        <w:t>ובעיקר כלל זה שלא אומרים חענ"ן בלח בלח, הרי כבר ראינו שבבב"ח ודאי אין הדין כן, וכדמבואר מהא דחלב נבילה בדף ק"ח ע"ב. ואם היסוד של חענ"ן בשאר איסורים הוא מטעם אחר, שפיר יש לחלק בין חענ"ן דבב"ח לחענ"ן בשאר איסורים ולומר שבשאר איסורים לא נאמר בלח בלח כיון שאין 'נאסר'. אבל לשיטת הר"ן ודעימי' שהוא משום גזירה אטו בב"ח צ"ע. ואם גם בלח בלח אומרים חענ"ן אם נתשבלו ג"כ ניחא.</w:t>
      </w:r>
    </w:p>
    <w:p w:rsidR="006F0017" w:rsidRPr="00882F11" w:rsidRDefault="006F0017" w:rsidP="006F0017">
      <w:pPr>
        <w:pStyle w:val="Heading1"/>
        <w:bidi/>
        <w:spacing w:before="0" w:line="360" w:lineRule="auto"/>
        <w:jc w:val="center"/>
        <w:rPr>
          <w:rFonts w:cs="Guttman Drogolin"/>
          <w:color w:val="auto"/>
          <w:sz w:val="24"/>
          <w:szCs w:val="24"/>
          <w:u w:val="single"/>
          <w:rtl/>
          <w:lang w:bidi="he-IL"/>
        </w:rPr>
      </w:pPr>
      <w:bookmarkStart w:id="440" w:name="_Toc496175687"/>
      <w:r w:rsidRPr="00882F11">
        <w:rPr>
          <w:rFonts w:cs="Guttman Drogolin" w:hint="cs"/>
          <w:color w:val="auto"/>
          <w:sz w:val="24"/>
          <w:szCs w:val="24"/>
          <w:u w:val="single"/>
          <w:rtl/>
          <w:lang w:bidi="he-IL"/>
        </w:rPr>
        <w:t>דברי התוס' בלימוד דצירן ורוטבן</w:t>
      </w:r>
      <w:bookmarkEnd w:id="440"/>
    </w:p>
    <w:p w:rsidR="006F0017" w:rsidRPr="00882F11" w:rsidRDefault="005E0D67" w:rsidP="008226E0">
      <w:pPr>
        <w:tabs>
          <w:tab w:val="right" w:pos="7497"/>
        </w:tabs>
        <w:bidi/>
        <w:jc w:val="both"/>
        <w:rPr>
          <w:rFonts w:cs="Guttman Drogolin"/>
          <w:rtl/>
          <w:lang w:bidi="he-IL"/>
        </w:rPr>
      </w:pPr>
      <w:r>
        <w:rPr>
          <w:rFonts w:cs="Guttman Drogolin"/>
          <w:rtl/>
          <w:lang w:bidi="he-IL"/>
        </w:rPr>
        <w:fldChar w:fldCharType="begin"/>
      </w:r>
      <w:r>
        <w:instrText xml:space="preserve"> XE "</w:instrText>
      </w:r>
      <w:r w:rsidRPr="002D4ADE">
        <w:rPr>
          <w:rFonts w:hint="cs"/>
          <w:rtl/>
          <w:lang w:bidi="he-IL"/>
        </w:rPr>
        <w:instrText>טעם כעיקר</w:instrText>
      </w:r>
      <w:r w:rsidRPr="002D4ADE">
        <w:rPr>
          <w:rtl/>
        </w:rPr>
        <w:instrText>:</w:instrText>
      </w:r>
      <w:r w:rsidRPr="002D4ADE">
        <w:rPr>
          <w:rFonts w:hint="cs"/>
          <w:rtl/>
          <w:lang w:bidi="he-IL"/>
        </w:rPr>
        <w:instrText>הלימוד דצירן ורוטבן</w:instrText>
      </w:r>
      <w:r>
        <w:instrText xml:space="preserve">" </w:instrText>
      </w:r>
      <w:r>
        <w:rPr>
          <w:rFonts w:cs="Guttman Drogolin"/>
          <w:rtl/>
          <w:lang w:bidi="he-IL"/>
        </w:rPr>
        <w:fldChar w:fldCharType="end"/>
      </w:r>
      <w:r w:rsidR="006F0017" w:rsidRPr="00882F11">
        <w:rPr>
          <w:rFonts w:cs="Guttman Drogolin" w:hint="cs"/>
          <w:rtl/>
          <w:lang w:bidi="he-IL"/>
        </w:rPr>
        <w:t>הקשו התוס' דלמה בעינן לימוד לאסור רוטבן הא יש לנו גזה"כ דטכ"ע. ותי' דאה"נ והלימוד הוא ענינים אחרים ע"ש. והרשב"א לעיל בדף צ"ח ע"ב למד דאה"נ דבעינן לי' לגזה"כ זה לדעת שהרוטב הוא חפצא דאיסורא, אבל עדיין לא היינו יודעים שהוא אוסרים גם כשנבלע בחתיכה אחרת אלמלא הלימוד דטכ"ע. ולכאורה חזינן מיני' מחלוקת, שלתוס' הכגזה"כ דטכ</w:t>
      </w:r>
      <w:r w:rsidR="008226E0" w:rsidRPr="00882F11">
        <w:rPr>
          <w:rFonts w:cs="Guttman Drogolin" w:hint="cs"/>
          <w:rtl/>
          <w:lang w:bidi="he-IL"/>
        </w:rPr>
        <w:t>"</w:t>
      </w:r>
      <w:r w:rsidR="006F0017" w:rsidRPr="00882F11">
        <w:rPr>
          <w:rFonts w:cs="Guttman Drogolin" w:hint="cs"/>
          <w:rtl/>
          <w:lang w:bidi="he-IL"/>
        </w:rPr>
        <w:t>ע מחדש עצם החלות איסור של טעם, ואלמלא הגזה"כ לא היתה הטעם אסור כלל, ולא היינו צריכים לזה אפילו ביטול ברוב, וכן דקדק רע"א מדבריהם לעיל בדף צ"ח ע"ב. אבל לרשב"א לעולם ידענו שטעם הוא חפצא דאיסורא, רק קמ"ל שאינו בטל ברוב מאכל היתר שהוא בלוע בו. ויש לפלפל בזה יותר.</w:t>
      </w:r>
    </w:p>
    <w:p w:rsidR="003C702F" w:rsidRPr="00882F11" w:rsidRDefault="003C702F" w:rsidP="003C702F">
      <w:pPr>
        <w:tabs>
          <w:tab w:val="right" w:pos="7497"/>
        </w:tabs>
        <w:bidi/>
        <w:jc w:val="both"/>
        <w:rPr>
          <w:rFonts w:cs="Guttman Drogolin"/>
          <w:rtl/>
          <w:lang w:bidi="he-IL"/>
        </w:rPr>
        <w:sectPr w:rsidR="003C702F" w:rsidRPr="00882F11" w:rsidSect="008520CC">
          <w:type w:val="continuous"/>
          <w:pgSz w:w="11907" w:h="16839" w:code="9"/>
          <w:pgMar w:top="1440" w:right="1440" w:bottom="1440" w:left="1440" w:header="720" w:footer="720" w:gutter="0"/>
          <w:cols w:num="2" w:space="720"/>
          <w:bidi/>
          <w:docGrid w:linePitch="360"/>
        </w:sectPr>
      </w:pPr>
    </w:p>
    <w:p w:rsidR="003C702F" w:rsidRPr="008520CC" w:rsidRDefault="003C702F" w:rsidP="003C702F">
      <w:pPr>
        <w:keepNext/>
        <w:tabs>
          <w:tab w:val="left" w:pos="3818"/>
          <w:tab w:val="center" w:pos="4680"/>
        </w:tabs>
        <w:bidi/>
        <w:jc w:val="center"/>
        <w:rPr>
          <w:rFonts w:cs="Guttman Drogolin"/>
          <w:b/>
          <w:bCs/>
          <w:sz w:val="48"/>
          <w:szCs w:val="48"/>
          <w:rtl/>
          <w:lang w:bidi="he-IL"/>
        </w:rPr>
      </w:pPr>
      <w:r w:rsidRPr="008520CC">
        <w:rPr>
          <w:rFonts w:cs="Guttman Drogolin" w:hint="cs"/>
          <w:b/>
          <w:bCs/>
          <w:sz w:val="48"/>
          <w:szCs w:val="48"/>
          <w:rtl/>
          <w:lang w:bidi="he-IL"/>
        </w:rPr>
        <w:lastRenderedPageBreak/>
        <w:t>שיעור ק"י</w:t>
      </w:r>
    </w:p>
    <w:p w:rsidR="008520CC" w:rsidRDefault="008520CC" w:rsidP="003C702F">
      <w:pPr>
        <w:pStyle w:val="Heading1"/>
        <w:bidi/>
        <w:spacing w:before="0" w:line="360" w:lineRule="auto"/>
        <w:jc w:val="center"/>
        <w:rPr>
          <w:rFonts w:cs="Guttman Drogolin"/>
          <w:color w:val="auto"/>
          <w:sz w:val="24"/>
          <w:szCs w:val="24"/>
          <w:u w:val="single"/>
          <w:rtl/>
          <w:lang w:bidi="he-IL"/>
        </w:rPr>
        <w:sectPr w:rsidR="008520CC" w:rsidSect="008520CC">
          <w:headerReference w:type="default" r:id="rId83"/>
          <w:pgSz w:w="11907" w:h="16839" w:code="9"/>
          <w:pgMar w:top="1440" w:right="1440" w:bottom="1440" w:left="1440" w:header="720" w:footer="720" w:gutter="0"/>
          <w:cols w:space="720"/>
          <w:bidi/>
          <w:docGrid w:linePitch="360"/>
        </w:sectPr>
      </w:pPr>
    </w:p>
    <w:p w:rsidR="003C702F" w:rsidRPr="008520CC" w:rsidRDefault="003C702F" w:rsidP="003C702F">
      <w:pPr>
        <w:pStyle w:val="Heading1"/>
        <w:bidi/>
        <w:spacing w:before="0" w:line="360" w:lineRule="auto"/>
        <w:jc w:val="center"/>
        <w:rPr>
          <w:rFonts w:cs="Guttman Drogolin"/>
          <w:color w:val="auto"/>
          <w:sz w:val="22"/>
          <w:szCs w:val="22"/>
          <w:u w:val="single"/>
          <w:rtl/>
          <w:lang w:bidi="he-IL"/>
        </w:rPr>
      </w:pPr>
      <w:bookmarkStart w:id="441" w:name="_Toc496175688"/>
      <w:r w:rsidRPr="008520CC">
        <w:rPr>
          <w:rFonts w:cs="Guttman Drogolin" w:hint="cs"/>
          <w:color w:val="auto"/>
          <w:sz w:val="22"/>
          <w:szCs w:val="22"/>
          <w:u w:val="single"/>
          <w:rtl/>
          <w:lang w:bidi="he-IL"/>
        </w:rPr>
        <w:lastRenderedPageBreak/>
        <w:t>בדין בשר טריפה ובשר שחוטה שנמלחו ביחד</w:t>
      </w:r>
      <w:bookmarkEnd w:id="441"/>
    </w:p>
    <w:p w:rsidR="00D937B5" w:rsidRPr="00882F11" w:rsidRDefault="005E0D67" w:rsidP="00C637ED">
      <w:pPr>
        <w:tabs>
          <w:tab w:val="right" w:pos="7497"/>
        </w:tabs>
        <w:bidi/>
        <w:jc w:val="both"/>
        <w:rPr>
          <w:rFonts w:cs="Guttman Drogolin"/>
          <w:rtl/>
          <w:lang w:bidi="he-IL"/>
        </w:rPr>
      </w:pPr>
      <w:r>
        <w:rPr>
          <w:rFonts w:cs="Guttman Drogolin"/>
          <w:rtl/>
          <w:lang w:bidi="he-IL"/>
        </w:rPr>
        <w:fldChar w:fldCharType="begin"/>
      </w:r>
      <w:r>
        <w:instrText xml:space="preserve"> XE "</w:instrText>
      </w:r>
      <w:r w:rsidRPr="00B57719">
        <w:rPr>
          <w:rFonts w:hint="cs"/>
          <w:rtl/>
          <w:lang w:bidi="he-IL"/>
        </w:rPr>
        <w:instrText>מליח</w:instrText>
      </w:r>
      <w:r w:rsidRPr="00B57719">
        <w:rPr>
          <w:rtl/>
        </w:rPr>
        <w:instrText>:</w:instrText>
      </w:r>
      <w:r w:rsidRPr="00B57719">
        <w:rPr>
          <w:rFonts w:hint="cs"/>
          <w:rtl/>
          <w:lang w:bidi="he-IL"/>
        </w:rPr>
        <w:instrText>בשר טריפה ובשר שחוטה שנמלחו יחד</w:instrText>
      </w:r>
      <w:r>
        <w:instrText xml:space="preserve">" </w:instrText>
      </w:r>
      <w:r>
        <w:rPr>
          <w:rFonts w:cs="Guttman Drogolin"/>
          <w:rtl/>
          <w:lang w:bidi="he-IL"/>
        </w:rPr>
        <w:fldChar w:fldCharType="end"/>
      </w:r>
      <w:r w:rsidR="003C702F" w:rsidRPr="00882F11">
        <w:rPr>
          <w:rFonts w:cs="Guttman Drogolin" w:hint="cs"/>
          <w:rtl/>
          <w:lang w:bidi="he-IL"/>
        </w:rPr>
        <w:t>כתוב בגמ'</w:t>
      </w:r>
      <w:r w:rsidR="00D937B5" w:rsidRPr="00882F11">
        <w:rPr>
          <w:rFonts w:cs="Guttman Drogolin" w:hint="cs"/>
          <w:rtl/>
          <w:lang w:bidi="he-IL"/>
        </w:rPr>
        <w:t xml:space="preserve"> דף קי"ב ע"ב "</w:t>
      </w:r>
      <w:r w:rsidR="00D937B5" w:rsidRPr="00882F11">
        <w:rPr>
          <w:rFonts w:cs="Guttman Drogolin"/>
          <w:rtl/>
          <w:lang w:bidi="he-IL"/>
        </w:rPr>
        <w:t>רב מרי בר רחל אימלח ליה בשר שחוטה בהדי בשר טרפה, אתא לקמיה דרבא, אמר ליה</w:t>
      </w:r>
      <w:r w:rsidR="00D937B5" w:rsidRPr="00882F11">
        <w:rPr>
          <w:rFonts w:cs="Guttman Drogolin" w:hint="cs"/>
          <w:rtl/>
          <w:lang w:bidi="he-IL"/>
        </w:rPr>
        <w:t xml:space="preserve"> </w:t>
      </w:r>
      <w:r w:rsidR="00D937B5" w:rsidRPr="00882F11">
        <w:rPr>
          <w:rFonts w:cs="Guttman Drogolin"/>
          <w:rtl/>
          <w:lang w:bidi="he-IL"/>
        </w:rPr>
        <w:t>הטמאים לאסור צירן ורוטבן וקיפה שלהן</w:t>
      </w:r>
      <w:r w:rsidR="00D937B5" w:rsidRPr="00882F11">
        <w:rPr>
          <w:rFonts w:cs="Guttman Drogolin" w:hint="cs"/>
          <w:rtl/>
          <w:lang w:bidi="he-IL"/>
        </w:rPr>
        <w:t>". והגמ' ממשיך לשאול למה רבא לא הביא את הדין דמליח כרותח, ותי' דהו"א שכן הוא רק בדם אבל לא בשאר איסורים קמ"ל שלא. ושוב מקשה הגמ' מברייתא דמבואר שם ש</w:t>
      </w:r>
      <w:r w:rsidR="00D937B5" w:rsidRPr="00882F11">
        <w:rPr>
          <w:rFonts w:cs="Guttman Drogolin"/>
          <w:rtl/>
          <w:lang w:bidi="he-IL"/>
        </w:rPr>
        <w:t>דג טהור שמלחו עם דג טמא מותר</w:t>
      </w:r>
      <w:r w:rsidR="00D937B5" w:rsidRPr="00882F11">
        <w:rPr>
          <w:rFonts w:cs="Guttman Drogolin" w:hint="cs"/>
          <w:rtl/>
          <w:lang w:bidi="he-IL"/>
        </w:rPr>
        <w:t>, וצ"ע מאי שנא. ומסקנת הגמ' אחר דשקיל ותרי הוא דהתם מיירי בטהור מליח וטמא תפל, אבל שניהם מלוחים אסור. וכדי לעמוד על ביאור דברי הגמ' יש להקדים שבמליחת בשר כדי להוציא את דמו אין חוששים לזה שהדם חוזר ונבלע בבשר תוך כדי מליחתו. והיינו כשמולח בתוך כלי מנוקב. ומ"מ אפילו בתוך כלי מנוקב, צריכים לטעמא ד'איידי' דטרידי למיפלט לא בלעי', ור"ל שרק משום שיש לבשר טבע להפליט טעם אמרינן שאינו יכול ליבלע מן הדם היוצא בשעת מליחה.</w:t>
      </w:r>
    </w:p>
    <w:p w:rsidR="00BE427D" w:rsidRPr="00882F11" w:rsidRDefault="00D937B5" w:rsidP="00D937B5">
      <w:pPr>
        <w:tabs>
          <w:tab w:val="right" w:pos="7497"/>
        </w:tabs>
        <w:bidi/>
        <w:jc w:val="both"/>
        <w:rPr>
          <w:rFonts w:cs="Guttman Drogolin"/>
          <w:rtl/>
          <w:lang w:bidi="he-IL"/>
        </w:rPr>
      </w:pPr>
      <w:r w:rsidRPr="00882F11">
        <w:rPr>
          <w:rFonts w:cs="Guttman Drogolin" w:hint="cs"/>
          <w:rtl/>
          <w:lang w:bidi="he-IL"/>
        </w:rPr>
        <w:t>ורש"י כאן פי' ששאלת ר' מרי בר רחל היתה דיתכן דהא דאמרינן דאיידי דטרידי למיפלט לא בלעי, הנ"מ בדם, אבל ציר מבשר נבילה או טריפה נוח יותר ליבלע ולכן הוא אוסר אפילו</w:t>
      </w:r>
      <w:r w:rsidR="00BE427D" w:rsidRPr="00882F11">
        <w:rPr>
          <w:rFonts w:cs="Guttman Drogolin" w:hint="cs"/>
          <w:rtl/>
          <w:lang w:bidi="he-IL"/>
        </w:rPr>
        <w:t xml:space="preserve"> בזמן דטרידי למיפלט. ומקשה הרשב"א על פי' זה דהא א"כ מהו הראי' מהא ד'הטמאים', הא לא ס"ד שהציר לא הוי חפצא דאיסורא רק דס"ד שאינו נבלע. והריטב"א תי' לפי שיטתו של רש"י דע"כ הגזה"כ משמיענו חידוש זה גופא שנבלע אע"ג דטרידי למיפלט, דהא לא נצרכה אלא להכי (ולכאורה כוונתו לקושיית הראשונים דלמה לי גזה"כ זו תיפו"ל משום דטכ"ע). והרשב"א פי' שכוונת הגמ' לומר דהו"א שהמלח מפליט דם אבל אינו מפליט ציר, ומהא דהטמאים חזינן דע"כ מפליט גם ציר, אל"כ היכא אוסר. ועל זה מקשה הגמ' דתיפו"ל מהא דמליח כרותח. ותי' דהו"א שאין זה אלא בדם, אבל בציר לא אמרינן דהוא כרותח, קמ"ל שגם בציר אמרינן כן.</w:t>
      </w:r>
    </w:p>
    <w:p w:rsidR="00BE427D" w:rsidRPr="00882F11" w:rsidRDefault="00BE427D" w:rsidP="00BE427D">
      <w:pPr>
        <w:pStyle w:val="Heading1"/>
        <w:bidi/>
        <w:spacing w:before="0" w:line="360" w:lineRule="auto"/>
        <w:jc w:val="center"/>
        <w:rPr>
          <w:rFonts w:cs="Guttman Drogolin"/>
          <w:color w:val="auto"/>
          <w:sz w:val="24"/>
          <w:szCs w:val="24"/>
          <w:u w:val="single"/>
          <w:rtl/>
          <w:lang w:bidi="he-IL"/>
        </w:rPr>
      </w:pPr>
      <w:bookmarkStart w:id="442" w:name="_Toc496175689"/>
      <w:r w:rsidRPr="00882F11">
        <w:rPr>
          <w:rFonts w:cs="Guttman Drogolin" w:hint="cs"/>
          <w:color w:val="auto"/>
          <w:sz w:val="24"/>
          <w:szCs w:val="24"/>
          <w:u w:val="single"/>
          <w:rtl/>
          <w:lang w:bidi="he-IL"/>
        </w:rPr>
        <w:lastRenderedPageBreak/>
        <w:t>בדין תתאה ועילאה גבר במליחה</w:t>
      </w:r>
      <w:bookmarkEnd w:id="442"/>
    </w:p>
    <w:p w:rsidR="00D937B5" w:rsidRPr="00882F11" w:rsidRDefault="005E0D67" w:rsidP="00217ABA">
      <w:pPr>
        <w:tabs>
          <w:tab w:val="right" w:pos="7497"/>
        </w:tabs>
        <w:bidi/>
        <w:jc w:val="both"/>
        <w:rPr>
          <w:rFonts w:cs="Guttman Drogolin"/>
          <w:rtl/>
          <w:lang w:bidi="he-IL"/>
        </w:rPr>
      </w:pPr>
      <w:r>
        <w:rPr>
          <w:rFonts w:cs="Guttman Drogolin"/>
          <w:rtl/>
          <w:lang w:bidi="he-IL"/>
        </w:rPr>
        <w:fldChar w:fldCharType="begin"/>
      </w:r>
      <w:r>
        <w:instrText xml:space="preserve"> XE "</w:instrText>
      </w:r>
      <w:r w:rsidRPr="00A265E1">
        <w:rPr>
          <w:rFonts w:hint="cs"/>
          <w:rtl/>
          <w:lang w:bidi="he-IL"/>
        </w:rPr>
        <w:instrText>מליח</w:instrText>
      </w:r>
      <w:r w:rsidRPr="00A265E1">
        <w:rPr>
          <w:rtl/>
        </w:rPr>
        <w:instrText>:</w:instrText>
      </w:r>
      <w:r w:rsidRPr="00A265E1">
        <w:rPr>
          <w:rFonts w:hint="cs"/>
          <w:rtl/>
          <w:lang w:bidi="he-IL"/>
        </w:rPr>
        <w:instrText>אי אמרינן בה תתאה ועילאה גבר</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451A4E">
        <w:rPr>
          <w:rFonts w:hint="cs"/>
          <w:rtl/>
          <w:lang w:bidi="he-IL"/>
        </w:rPr>
        <w:instrText>תתאה גבר / עילאה גבר</w:instrText>
      </w:r>
      <w:r w:rsidRPr="00451A4E">
        <w:rPr>
          <w:rtl/>
        </w:rPr>
        <w:instrText>:</w:instrText>
      </w:r>
      <w:r w:rsidRPr="00451A4E">
        <w:rPr>
          <w:rFonts w:hint="cs"/>
          <w:rtl/>
          <w:lang w:bidi="he-IL"/>
        </w:rPr>
        <w:instrText>במליח</w:instrText>
      </w:r>
      <w:r>
        <w:instrText xml:space="preserve">" </w:instrText>
      </w:r>
      <w:r>
        <w:rPr>
          <w:rFonts w:cs="Guttman Drogolin"/>
          <w:rtl/>
          <w:lang w:bidi="he-IL"/>
        </w:rPr>
        <w:fldChar w:fldCharType="end"/>
      </w:r>
      <w:r w:rsidR="00BE427D" w:rsidRPr="00882F11">
        <w:rPr>
          <w:rFonts w:cs="Guttman Drogolin" w:hint="cs"/>
          <w:rtl/>
          <w:lang w:bidi="he-IL"/>
        </w:rPr>
        <w:t>והנה הגמ' סתם וכתב שהכל תלוי בטמא מליח, וס"ד שרק בטמא מליח וטהור תפל אמרינן שהמליח אוסר, וקמ"ל שאפילו אם שניהם מלוחים הדין כן.</w:t>
      </w:r>
      <w:r w:rsidR="00217ABA" w:rsidRPr="00882F11">
        <w:rPr>
          <w:rFonts w:cs="Guttman Drogolin" w:hint="cs"/>
          <w:rtl/>
          <w:lang w:bidi="he-IL"/>
        </w:rPr>
        <w:t xml:space="preserve"> והענין הוא שהדבר האוסר צריך להתחמם, ומשום שרק בכה"ג יש לטעמו של הדבר הטמא כח לצאת ולהיבלע</w:t>
      </w:r>
      <w:r w:rsidR="00BE427D" w:rsidRPr="00882F11">
        <w:rPr>
          <w:rFonts w:cs="Guttman Drogolin" w:hint="cs"/>
          <w:rtl/>
          <w:lang w:bidi="he-IL"/>
        </w:rPr>
        <w:t xml:space="preserve"> </w:t>
      </w:r>
      <w:r w:rsidR="00217ABA" w:rsidRPr="00882F11">
        <w:rPr>
          <w:rFonts w:cs="Guttman Drogolin" w:hint="cs"/>
          <w:rtl/>
          <w:lang w:bidi="he-IL"/>
        </w:rPr>
        <w:t xml:space="preserve">לתוך הקליפה הטהורה. </w:t>
      </w:r>
      <w:r w:rsidR="00BE427D" w:rsidRPr="00882F11">
        <w:rPr>
          <w:rFonts w:cs="Guttman Drogolin" w:hint="cs"/>
          <w:rtl/>
          <w:lang w:bidi="he-IL"/>
        </w:rPr>
        <w:t xml:space="preserve">ולא מוזכר בגמ' כלל שיש חילוק בין תתאה לעילאה. ומשו"ה נקטו התוס' והרא"ש דאה"נ והכלל של עילאה ותתאה גבר לא שייכים למליח, וכלל זה נאמר רק בחום מחמת האש. </w:t>
      </w:r>
      <w:r w:rsidR="00217ABA" w:rsidRPr="00882F11">
        <w:rPr>
          <w:rFonts w:cs="Guttman Drogolin" w:hint="cs"/>
          <w:rtl/>
          <w:lang w:bidi="he-IL"/>
        </w:rPr>
        <w:t>והקשה הרא"ש שמ"מ למה מקילים בכה"ג</w:t>
      </w:r>
      <w:r w:rsidR="00BE427D" w:rsidRPr="00882F11">
        <w:rPr>
          <w:rFonts w:cs="Guttman Drogolin" w:hint="cs"/>
          <w:rtl/>
          <w:lang w:bidi="he-IL"/>
        </w:rPr>
        <w:t xml:space="preserve"> </w:t>
      </w:r>
      <w:r w:rsidR="00217ABA" w:rsidRPr="00882F11">
        <w:rPr>
          <w:rFonts w:cs="Guttman Drogolin" w:hint="cs"/>
          <w:rtl/>
          <w:lang w:bidi="he-IL"/>
        </w:rPr>
        <w:t xml:space="preserve">שהטהור מליח והטמא טפל, הא הטמא נוגע בחתיכה המלוחה וממיילא הוי גם היא מלוחה, וא"כ למה אינו אוסר. ותי' או </w:t>
      </w:r>
      <w:r w:rsidR="00217ABA" w:rsidRPr="00882F11">
        <w:rPr>
          <w:rFonts w:cs="Guttman Drogolin"/>
          <w:rtl/>
          <w:lang w:bidi="he-IL"/>
        </w:rPr>
        <w:t>שנמלח מכל צדדין רק לא במקום שהוא דבוק לטמא א"נ אחר שנמלח הטהור מגיע לטמא ובמה שהוא נוגע בטמא אינו נחשב כרותח להיות פולט</w:t>
      </w:r>
      <w:r w:rsidR="00217ABA" w:rsidRPr="00882F11">
        <w:rPr>
          <w:rFonts w:cs="Guttman Drogolin" w:hint="cs"/>
          <w:rtl/>
          <w:lang w:bidi="he-IL"/>
        </w:rPr>
        <w:t>.</w:t>
      </w:r>
    </w:p>
    <w:p w:rsidR="00D83AFC" w:rsidRPr="00882F11" w:rsidRDefault="00217ABA" w:rsidP="00D83AFC">
      <w:pPr>
        <w:tabs>
          <w:tab w:val="right" w:pos="7497"/>
        </w:tabs>
        <w:bidi/>
        <w:jc w:val="both"/>
        <w:rPr>
          <w:rFonts w:cs="Guttman Drogolin"/>
          <w:rtl/>
          <w:lang w:bidi="he-IL"/>
        </w:rPr>
      </w:pPr>
      <w:r w:rsidRPr="00882F11">
        <w:rPr>
          <w:rFonts w:cs="Guttman Drogolin" w:hint="cs"/>
          <w:rtl/>
          <w:lang w:bidi="he-IL"/>
        </w:rPr>
        <w:t xml:space="preserve">והר"ן העמיד דברי הגמ' בכה"ג שאין החתיכות נוגעות זב"ז. ויש מפרשיים שכוונתו ליישב קשיית הרא"ש הנ"ל. אבל האמת יורה דרכו, ובחי' הר"ן מבואר דסבר דשייך שפיר הדין של תתאה ועילאה גבר גם במליח. וכן מבואר </w:t>
      </w:r>
      <w:r w:rsidR="00D83AFC" w:rsidRPr="00882F11">
        <w:rPr>
          <w:rFonts w:cs="Guttman Drogolin" w:hint="cs"/>
          <w:rtl/>
          <w:lang w:bidi="he-IL"/>
        </w:rPr>
        <w:t xml:space="preserve">דעה כזאת </w:t>
      </w:r>
      <w:r w:rsidRPr="00882F11">
        <w:rPr>
          <w:rFonts w:cs="Guttman Drogolin" w:hint="cs"/>
          <w:rtl/>
          <w:lang w:bidi="he-IL"/>
        </w:rPr>
        <w:t>בחי' הריטב"א</w:t>
      </w:r>
      <w:r w:rsidR="00D83AFC" w:rsidRPr="00882F11">
        <w:rPr>
          <w:rFonts w:cs="Guttman Drogolin" w:hint="cs"/>
          <w:rtl/>
          <w:lang w:bidi="he-IL"/>
        </w:rPr>
        <w:t xml:space="preserve"> וחי' הרשב"א</w:t>
      </w:r>
      <w:r w:rsidRPr="00882F11">
        <w:rPr>
          <w:rFonts w:cs="Guttman Drogolin" w:hint="cs"/>
          <w:rtl/>
          <w:lang w:bidi="he-IL"/>
        </w:rPr>
        <w:t xml:space="preserve">. </w:t>
      </w:r>
      <w:r w:rsidR="00D83AFC" w:rsidRPr="00882F11">
        <w:rPr>
          <w:rFonts w:cs="Guttman Drogolin" w:hint="cs"/>
          <w:rtl/>
          <w:lang w:bidi="he-IL"/>
        </w:rPr>
        <w:t>ו</w:t>
      </w:r>
      <w:r w:rsidRPr="00882F11">
        <w:rPr>
          <w:rFonts w:cs="Guttman Drogolin" w:hint="cs"/>
          <w:rtl/>
          <w:lang w:bidi="he-IL"/>
        </w:rPr>
        <w:t>שיטה שלישית יש לרשב"א</w:t>
      </w:r>
      <w:r w:rsidR="00D83AFC" w:rsidRPr="00882F11">
        <w:rPr>
          <w:rFonts w:cs="Guttman Drogolin" w:hint="cs"/>
          <w:rtl/>
          <w:lang w:bidi="he-IL"/>
        </w:rPr>
        <w:t xml:space="preserve"> בתורת הבית הקצר, וההוא </w:t>
      </w:r>
      <w:r w:rsidRPr="00882F11">
        <w:rPr>
          <w:rFonts w:cs="Guttman Drogolin" w:hint="cs"/>
          <w:rtl/>
          <w:lang w:bidi="he-IL"/>
        </w:rPr>
        <w:t xml:space="preserve"> </w:t>
      </w:r>
      <w:r w:rsidR="00D83AFC" w:rsidRPr="00882F11">
        <w:rPr>
          <w:rFonts w:cs="Guttman Drogolin" w:hint="cs"/>
          <w:rtl/>
          <w:lang w:bidi="he-IL"/>
        </w:rPr>
        <w:t>ד</w:t>
      </w:r>
      <w:r w:rsidRPr="00882F11">
        <w:rPr>
          <w:rFonts w:cs="Guttman Drogolin" w:hint="cs"/>
          <w:rtl/>
          <w:lang w:bidi="he-IL"/>
        </w:rPr>
        <w:t xml:space="preserve">שייך הכלל של תתאה ועילאה גבר במקצת, ור"ל שאם התחתון </w:t>
      </w:r>
      <w:r w:rsidR="00D83AFC" w:rsidRPr="00882F11">
        <w:rPr>
          <w:rFonts w:cs="Guttman Drogolin" w:hint="cs"/>
          <w:rtl/>
          <w:lang w:bidi="he-IL"/>
        </w:rPr>
        <w:t>טהור ו</w:t>
      </w:r>
      <w:r w:rsidRPr="00882F11">
        <w:rPr>
          <w:rFonts w:cs="Guttman Drogolin" w:hint="cs"/>
          <w:rtl/>
          <w:lang w:bidi="he-IL"/>
        </w:rPr>
        <w:t>אינו מליח</w:t>
      </w:r>
      <w:r w:rsidR="00D83AFC" w:rsidRPr="00882F11">
        <w:rPr>
          <w:rFonts w:cs="Guttman Drogolin" w:hint="cs"/>
          <w:rtl/>
          <w:lang w:bidi="he-IL"/>
        </w:rPr>
        <w:t xml:space="preserve"> ויש עליו טמא תפל, אמרינן שהתאה מצנן את העילאה</w:t>
      </w:r>
      <w:r w:rsidR="00C637ED" w:rsidRPr="00882F11">
        <w:rPr>
          <w:rFonts w:cs="Guttman Drogolin" w:hint="cs"/>
          <w:rtl/>
          <w:lang w:bidi="he-IL"/>
        </w:rPr>
        <w:t>, אבל אם התחתון הוא ט</w:t>
      </w:r>
      <w:r w:rsidR="00D83AFC" w:rsidRPr="00882F11">
        <w:rPr>
          <w:rFonts w:cs="Guttman Drogolin" w:hint="cs"/>
          <w:rtl/>
          <w:lang w:bidi="he-IL"/>
        </w:rPr>
        <w:t>הור מליח העליון טמא תפל אין התחתון מחמם את העילאה ועדיין אינו אוסר.</w:t>
      </w:r>
    </w:p>
    <w:p w:rsidR="00C637ED" w:rsidRPr="00882F11" w:rsidRDefault="00C637ED" w:rsidP="00C637ED">
      <w:pPr>
        <w:tabs>
          <w:tab w:val="right" w:pos="7497"/>
        </w:tabs>
        <w:bidi/>
        <w:jc w:val="both"/>
        <w:rPr>
          <w:rFonts w:cs="Guttman Drogolin"/>
          <w:rtl/>
          <w:lang w:bidi="he-IL"/>
        </w:rPr>
      </w:pPr>
    </w:p>
    <w:p w:rsidR="00217ABA" w:rsidRPr="00882F11" w:rsidRDefault="00217ABA" w:rsidP="00D83AFC">
      <w:pPr>
        <w:tabs>
          <w:tab w:val="right" w:pos="7497"/>
        </w:tabs>
        <w:bidi/>
        <w:jc w:val="both"/>
        <w:rPr>
          <w:rFonts w:cs="Guttman Drogolin"/>
          <w:rtl/>
          <w:lang w:bidi="he-IL"/>
        </w:rPr>
        <w:sectPr w:rsidR="00217ABA" w:rsidRPr="00882F11" w:rsidSect="008520CC">
          <w:type w:val="continuous"/>
          <w:pgSz w:w="11907" w:h="16839" w:code="9"/>
          <w:pgMar w:top="1440" w:right="1440" w:bottom="1440" w:left="1440" w:header="720" w:footer="720" w:gutter="0"/>
          <w:cols w:num="2" w:space="720"/>
          <w:bidi/>
          <w:docGrid w:linePitch="360"/>
        </w:sectPr>
      </w:pPr>
      <w:r w:rsidRPr="00882F11">
        <w:rPr>
          <w:rFonts w:cs="Guttman Drogolin" w:hint="cs"/>
          <w:rtl/>
          <w:lang w:bidi="he-IL"/>
        </w:rPr>
        <w:t xml:space="preserve"> </w:t>
      </w:r>
    </w:p>
    <w:p w:rsidR="00442D17" w:rsidRPr="008520CC" w:rsidRDefault="00442D17" w:rsidP="00442D17">
      <w:pPr>
        <w:keepNext/>
        <w:tabs>
          <w:tab w:val="left" w:pos="3818"/>
          <w:tab w:val="center" w:pos="4680"/>
        </w:tabs>
        <w:bidi/>
        <w:jc w:val="center"/>
        <w:rPr>
          <w:rFonts w:cs="Guttman Drogolin"/>
          <w:b/>
          <w:bCs/>
          <w:sz w:val="48"/>
          <w:szCs w:val="48"/>
          <w:rtl/>
          <w:lang w:bidi="he-IL"/>
        </w:rPr>
      </w:pPr>
      <w:r w:rsidRPr="008520CC">
        <w:rPr>
          <w:rFonts w:cs="Guttman Drogolin" w:hint="cs"/>
          <w:b/>
          <w:bCs/>
          <w:sz w:val="48"/>
          <w:szCs w:val="48"/>
          <w:rtl/>
          <w:lang w:bidi="he-IL"/>
        </w:rPr>
        <w:lastRenderedPageBreak/>
        <w:t>שיעור קי"א</w:t>
      </w:r>
    </w:p>
    <w:p w:rsidR="008520CC" w:rsidRDefault="008520CC" w:rsidP="00442D17">
      <w:pPr>
        <w:pStyle w:val="Heading1"/>
        <w:bidi/>
        <w:spacing w:before="0" w:line="360" w:lineRule="auto"/>
        <w:jc w:val="center"/>
        <w:rPr>
          <w:rFonts w:cs="Guttman Drogolin"/>
          <w:color w:val="auto"/>
          <w:sz w:val="24"/>
          <w:szCs w:val="24"/>
          <w:u w:val="single"/>
          <w:rtl/>
          <w:lang w:bidi="he-IL"/>
        </w:rPr>
        <w:sectPr w:rsidR="008520CC" w:rsidSect="008520CC">
          <w:headerReference w:type="default" r:id="rId84"/>
          <w:pgSz w:w="11907" w:h="16839" w:code="9"/>
          <w:pgMar w:top="1440" w:right="1440" w:bottom="1440" w:left="1440" w:header="720" w:footer="720" w:gutter="0"/>
          <w:cols w:space="720"/>
          <w:bidi/>
          <w:docGrid w:linePitch="360"/>
        </w:sectPr>
      </w:pPr>
    </w:p>
    <w:p w:rsidR="00442D17" w:rsidRPr="008520CC" w:rsidRDefault="00442D17" w:rsidP="00442D17">
      <w:pPr>
        <w:pStyle w:val="Heading1"/>
        <w:bidi/>
        <w:spacing w:before="0" w:line="360" w:lineRule="auto"/>
        <w:jc w:val="center"/>
        <w:rPr>
          <w:rFonts w:cs="Guttman Drogolin"/>
          <w:color w:val="auto"/>
          <w:sz w:val="22"/>
          <w:szCs w:val="22"/>
          <w:u w:val="single"/>
          <w:rtl/>
          <w:lang w:bidi="he-IL"/>
        </w:rPr>
      </w:pPr>
      <w:bookmarkStart w:id="443" w:name="_Toc496175690"/>
      <w:r w:rsidRPr="008520CC">
        <w:rPr>
          <w:rFonts w:cs="Guttman Drogolin" w:hint="cs"/>
          <w:color w:val="auto"/>
          <w:sz w:val="22"/>
          <w:szCs w:val="22"/>
          <w:u w:val="single"/>
          <w:rtl/>
          <w:lang w:bidi="he-IL"/>
        </w:rPr>
        <w:lastRenderedPageBreak/>
        <w:t>דעת השו"ע רמ"א ונו"כ בזמן שמליח כרותח</w:t>
      </w:r>
      <w:bookmarkEnd w:id="443"/>
    </w:p>
    <w:p w:rsidR="00B35CB3" w:rsidRPr="00882F11" w:rsidRDefault="005E0D67" w:rsidP="00442D17">
      <w:pPr>
        <w:tabs>
          <w:tab w:val="right" w:pos="7497"/>
        </w:tabs>
        <w:bidi/>
        <w:jc w:val="both"/>
        <w:rPr>
          <w:rFonts w:cs="Guttman Drogolin"/>
          <w:rtl/>
          <w:lang w:bidi="he-IL"/>
        </w:rPr>
      </w:pPr>
      <w:r>
        <w:rPr>
          <w:rFonts w:cs="Guttman Drogolin"/>
          <w:rtl/>
          <w:lang w:bidi="he-IL"/>
        </w:rPr>
        <w:fldChar w:fldCharType="begin"/>
      </w:r>
      <w:r>
        <w:instrText xml:space="preserve"> XE "</w:instrText>
      </w:r>
      <w:r w:rsidRPr="00FD5720">
        <w:rPr>
          <w:rFonts w:hint="cs"/>
          <w:rtl/>
          <w:lang w:bidi="he-IL"/>
        </w:rPr>
        <w:instrText>מליח</w:instrText>
      </w:r>
      <w:r w:rsidRPr="00FD5720">
        <w:rPr>
          <w:rtl/>
        </w:rPr>
        <w:instrText>:</w:instrText>
      </w:r>
      <w:r w:rsidRPr="00FD5720">
        <w:rPr>
          <w:rFonts w:hint="cs"/>
          <w:rtl/>
          <w:lang w:bidi="he-IL"/>
        </w:rPr>
        <w:instrText>באיזה זמן נעשה כרותח</w:instrText>
      </w:r>
      <w:r>
        <w:instrText xml:space="preserve">" </w:instrText>
      </w:r>
      <w:r>
        <w:rPr>
          <w:rFonts w:cs="Guttman Drogolin"/>
          <w:rtl/>
          <w:lang w:bidi="he-IL"/>
        </w:rPr>
        <w:fldChar w:fldCharType="end"/>
      </w:r>
      <w:r w:rsidR="00442D17" w:rsidRPr="00882F11">
        <w:rPr>
          <w:rFonts w:cs="Guttman Drogolin" w:hint="cs"/>
          <w:rtl/>
          <w:lang w:bidi="he-IL"/>
        </w:rPr>
        <w:t>ז"ל השו"ע בסי' צ"א ריש סע' ה' "מליח שאינו יכול ליאכל מחמת מלחו וכו' ושהה כדי מליחה לקדרה כל זמן שלא הדיחו מיקרי אינו נאכל מחמת מלחו וכו' דינו כרותח". והש"ך בס"ק י"א למד שכוונתו לומר שאינו נעשה כרותח עד ששהה שיעור זמן דכדי מליחה לבשר. ומשו"ה תמה עליו, שהרי בסי' ס"ט סע' כ' מבואר דסבר שהרי הוא כרותח מיד, ותי' שיש לחלק בין מליח שמוציא דם למליח שאינו מוציא דם</w:t>
      </w:r>
      <w:r w:rsidR="00B35CB3" w:rsidRPr="00882F11">
        <w:rPr>
          <w:rFonts w:cs="Guttman Drogolin" w:hint="cs"/>
          <w:rtl/>
          <w:lang w:bidi="he-IL"/>
        </w:rPr>
        <w:t>. שמליח שמוציא דם הרי הוא רותח מיד, שזה עצמו שמתחיל להוציא דם מרתיח אותו. ולכן לאחר זמן שמוציא דם כבר תש כוחו ומאז אינו כרותח. משא"כ מליחה באוכל שאינו פועל להוציא דמו, אינו נעשה רותח מיד, רק לאחר זמן ששהה כדי מליחה לקדרה. והסיק הש"ך שאין לסמוך על דברי המחבר בזה לומר שאינו רותח עד ששהה שיעור זמן של מליחה לקדירה</w:t>
      </w:r>
      <w:r w:rsidR="007A12B2" w:rsidRPr="00882F11">
        <w:rPr>
          <w:rFonts w:cs="Guttman Drogolin" w:hint="cs"/>
          <w:rtl/>
          <w:lang w:bidi="he-IL"/>
        </w:rPr>
        <w:t>, כיון שזהו שיטת הר"ן והוא שיטה יחידאה בין הראשונים.</w:t>
      </w:r>
      <w:r w:rsidR="00B35CB3" w:rsidRPr="00882F11">
        <w:rPr>
          <w:rFonts w:cs="Guttman Drogolin" w:hint="cs"/>
          <w:rtl/>
          <w:lang w:bidi="he-IL"/>
        </w:rPr>
        <w:t xml:space="preserve"> </w:t>
      </w:r>
    </w:p>
    <w:p w:rsidR="00B35CB3" w:rsidRPr="00882F11" w:rsidRDefault="00B35CB3" w:rsidP="00B35CB3">
      <w:pPr>
        <w:tabs>
          <w:tab w:val="right" w:pos="7497"/>
        </w:tabs>
        <w:bidi/>
        <w:jc w:val="both"/>
        <w:rPr>
          <w:rFonts w:cs="Guttman Drogolin"/>
          <w:rtl/>
          <w:lang w:bidi="he-IL"/>
        </w:rPr>
      </w:pPr>
      <w:r w:rsidRPr="00882F11">
        <w:rPr>
          <w:rFonts w:cs="Guttman Drogolin" w:hint="cs"/>
          <w:rtl/>
          <w:lang w:bidi="he-IL"/>
        </w:rPr>
        <w:t xml:space="preserve">וע"פ יסוד זה המשיך הש"ך לחלוק על התורה"ד שהו מקור לדברי הרמ"א. שהרי התרוה"ד הקשה שיש מחלוקת, וי"א שאחר שהי' זמן מליחה לקדרה כבר אינו כרותח, וי"א שגם אז דינו כרותח. וכיון שכן הקיל התרוה"ד במקום הפסד מרובה וסעודת מצוה לומר כשיטה המקילה שסבר שאחרי שיעור זמן של מליחה לקדרה כבר אינו רותח. אבל הש"ך חלק וסבר שאין בזה מחלוקת, דעד כאן לא סברי המקילים שאחרי ששהה שיעור זמן מליחה לקדרה אינו כרותח אלא כשהוציא דם עד אז, אבל אם מלח דבר שאינו מוציא דם לכו"ע הרי הוא רותח גם לאחר זמן זה. ואע"ג שלפי זה הי' קום להקל אם מלח כדי להוציא דם גם שלא במקום הפסד וסעודת מצוה, מ"מ הסיק הש"ך שאין להקל יותר מן הרמ"א כיון שי"א שגם במליחה להוציא דם הרי הוא כרותח גם לאחר זמן זה. </w:t>
      </w:r>
      <w:r w:rsidR="006744B3" w:rsidRPr="00882F11">
        <w:rPr>
          <w:rFonts w:cs="Guttman Drogolin" w:hint="cs"/>
          <w:rtl/>
          <w:lang w:bidi="he-IL"/>
        </w:rPr>
        <w:t xml:space="preserve">וע' באר היטב שהביא מפר"ח שגם במקום דחק אין לסמוך על שיטה זו. </w:t>
      </w:r>
    </w:p>
    <w:p w:rsidR="007A12B2" w:rsidRPr="00882F11" w:rsidRDefault="00B35CB3" w:rsidP="007A12B2">
      <w:pPr>
        <w:tabs>
          <w:tab w:val="right" w:pos="7497"/>
        </w:tabs>
        <w:bidi/>
        <w:jc w:val="both"/>
        <w:rPr>
          <w:rFonts w:cs="Guttman Drogolin"/>
          <w:rtl/>
          <w:lang w:bidi="he-IL"/>
        </w:rPr>
      </w:pPr>
      <w:r w:rsidRPr="00882F11">
        <w:rPr>
          <w:rFonts w:cs="Guttman Drogolin" w:hint="cs"/>
          <w:rtl/>
          <w:lang w:bidi="he-IL"/>
        </w:rPr>
        <w:lastRenderedPageBreak/>
        <w:t>ולפי פירושו של הש"ך בדברי השו"ע, דברי הרמ"א מאד קשים.</w:t>
      </w:r>
      <w:r w:rsidR="007A12B2" w:rsidRPr="00882F11">
        <w:rPr>
          <w:rFonts w:cs="Guttman Drogolin" w:hint="cs"/>
          <w:rtl/>
          <w:lang w:bidi="he-IL"/>
        </w:rPr>
        <w:t xml:space="preserve"> ושהרי המחבר בר שאינו כרותח אלא עד ששהה שיעור זמן מליחה לקדרה, ומאז והלאה דינו כרותח. והרמ"א הוסיף להקל שאינו כרותח לאחר ששהה. וכיון שדברי הרמ"א מוסבים על דברי המחבר יוצא שגם קודם השיעור זמן של מליחב לקדרה, וגם לאחר שיעור זמן זה אינו כרותח, ויוצא שאינו כרותח אלא לרגע כמימרי', וזו דבר מחודש ביותר. ואם הרמ"א סבר שלשיטה שהמקילה הרי הוא גם רותח מיד, הול"ל להזכיר בהדיא שיש להחמיר כשיטה זו. </w:t>
      </w:r>
    </w:p>
    <w:p w:rsidR="00D84A8E" w:rsidRPr="00882F11" w:rsidRDefault="007A12B2" w:rsidP="00D84A8E">
      <w:pPr>
        <w:tabs>
          <w:tab w:val="right" w:pos="7497"/>
        </w:tabs>
        <w:bidi/>
        <w:jc w:val="both"/>
        <w:rPr>
          <w:rFonts w:cs="Guttman Drogolin"/>
          <w:rtl/>
          <w:lang w:bidi="he-IL"/>
        </w:rPr>
      </w:pPr>
      <w:r w:rsidRPr="00882F11">
        <w:rPr>
          <w:rFonts w:cs="Guttman Drogolin" w:hint="cs"/>
          <w:rtl/>
          <w:lang w:bidi="he-IL"/>
        </w:rPr>
        <w:t>משו"ה נראין דברי היד יהודה בפירוש דבברי המחבר, והיינו שגם המחבר מודה שנעשה רותח מיד, ואין כוונת המחבר אלא לומר שגם אחרי ששהה שיעור זמן מליחה לקדרה הרי הוא כרותח. ולכן שפיר השיג הרמ"א להקל בזה בשעה"ד ולעולם בין לש</w:t>
      </w:r>
      <w:r w:rsidR="00D84A8E" w:rsidRPr="00882F11">
        <w:rPr>
          <w:rFonts w:cs="Guttman Drogolin" w:hint="cs"/>
          <w:rtl/>
          <w:lang w:bidi="he-IL"/>
        </w:rPr>
        <w:t>יטת ה</w:t>
      </w:r>
      <w:r w:rsidRPr="00882F11">
        <w:rPr>
          <w:rFonts w:cs="Guttman Drogolin" w:hint="cs"/>
          <w:rtl/>
          <w:lang w:bidi="he-IL"/>
        </w:rPr>
        <w:t>מחבר ובין ל</w:t>
      </w:r>
      <w:r w:rsidR="00D84A8E" w:rsidRPr="00882F11">
        <w:rPr>
          <w:rFonts w:cs="Guttman Drogolin" w:hint="cs"/>
          <w:rtl/>
          <w:lang w:bidi="he-IL"/>
        </w:rPr>
        <w:t xml:space="preserve">שיטת </w:t>
      </w:r>
      <w:r w:rsidRPr="00882F11">
        <w:rPr>
          <w:rFonts w:cs="Guttman Drogolin" w:hint="cs"/>
          <w:rtl/>
          <w:lang w:bidi="he-IL"/>
        </w:rPr>
        <w:t>רמ"א הרי הוא כרותח מיד כשיטת רוב הראשונים.</w:t>
      </w:r>
    </w:p>
    <w:p w:rsidR="00D84A8E" w:rsidRPr="008520CC" w:rsidRDefault="006744B3" w:rsidP="006744B3">
      <w:pPr>
        <w:pStyle w:val="Heading1"/>
        <w:bidi/>
        <w:spacing w:before="0" w:line="360" w:lineRule="auto"/>
        <w:jc w:val="center"/>
        <w:rPr>
          <w:rFonts w:cs="Guttman Drogolin"/>
          <w:color w:val="auto"/>
          <w:sz w:val="22"/>
          <w:szCs w:val="22"/>
          <w:u w:val="single"/>
          <w:rtl/>
          <w:lang w:bidi="he-IL"/>
        </w:rPr>
      </w:pPr>
      <w:bookmarkStart w:id="444" w:name="_Toc496175691"/>
      <w:r w:rsidRPr="008520CC">
        <w:rPr>
          <w:rFonts w:cs="Guttman Drogolin" w:hint="cs"/>
          <w:color w:val="auto"/>
          <w:sz w:val="22"/>
          <w:szCs w:val="22"/>
          <w:u w:val="single"/>
          <w:rtl/>
          <w:lang w:bidi="he-IL"/>
        </w:rPr>
        <w:t>חומרת הרמ"א בדין אינו נאכל מחמת מלחו</w:t>
      </w:r>
      <w:bookmarkEnd w:id="444"/>
    </w:p>
    <w:p w:rsidR="004A296A" w:rsidRPr="00882F11" w:rsidRDefault="005E0D67" w:rsidP="00A256D4">
      <w:pPr>
        <w:tabs>
          <w:tab w:val="right" w:pos="7497"/>
        </w:tabs>
        <w:bidi/>
        <w:jc w:val="both"/>
        <w:rPr>
          <w:rFonts w:cs="Guttman Drogolin"/>
          <w:rtl/>
          <w:lang w:bidi="he-IL"/>
        </w:rPr>
      </w:pPr>
      <w:r>
        <w:rPr>
          <w:rFonts w:cs="Guttman Drogolin"/>
          <w:rtl/>
          <w:lang w:bidi="he-IL"/>
        </w:rPr>
        <w:fldChar w:fldCharType="begin"/>
      </w:r>
      <w:r>
        <w:instrText xml:space="preserve"> XE "</w:instrText>
      </w:r>
      <w:r w:rsidRPr="00EF603F">
        <w:rPr>
          <w:rFonts w:hint="cs"/>
          <w:rtl/>
          <w:lang w:bidi="he-IL"/>
        </w:rPr>
        <w:instrText>מליח</w:instrText>
      </w:r>
      <w:r w:rsidRPr="00EF603F">
        <w:rPr>
          <w:rtl/>
        </w:rPr>
        <w:instrText>:</w:instrText>
      </w:r>
      <w:r w:rsidRPr="00EF603F">
        <w:rPr>
          <w:rFonts w:hint="cs"/>
          <w:rtl/>
          <w:lang w:bidi="he-IL"/>
        </w:rPr>
        <w:instrText>אינו נאכל מחמת מלחו - שיטת הרמ</w:instrText>
      </w:r>
      <w:r>
        <w:rPr>
          <w:rFonts w:eastAsiaTheme="minorEastAsia"/>
          <w:lang w:bidi="he-IL"/>
        </w:rPr>
        <w:instrText>\</w:instrText>
      </w:r>
      <w:r w:rsidRPr="00EF603F">
        <w:rPr>
          <w:rFonts w:hint="cs"/>
          <w:rtl/>
          <w:lang w:bidi="he-IL"/>
        </w:rPr>
        <w:instrText>"א</w:instrText>
      </w:r>
      <w:r>
        <w:instrText xml:space="preserve">" </w:instrText>
      </w:r>
      <w:r>
        <w:rPr>
          <w:rFonts w:cs="Guttman Drogolin"/>
          <w:rtl/>
          <w:lang w:bidi="he-IL"/>
        </w:rPr>
        <w:fldChar w:fldCharType="end"/>
      </w:r>
      <w:r w:rsidR="006744B3" w:rsidRPr="00882F11">
        <w:rPr>
          <w:rFonts w:cs="Guttman Drogolin" w:hint="cs"/>
          <w:rtl/>
          <w:lang w:bidi="he-IL"/>
        </w:rPr>
        <w:t xml:space="preserve">אע"ג שהשו"ע </w:t>
      </w:r>
      <w:r w:rsidR="00A256D4" w:rsidRPr="00882F11">
        <w:rPr>
          <w:rFonts w:cs="Guttman Drogolin" w:hint="cs"/>
          <w:rtl/>
          <w:lang w:bidi="he-IL"/>
        </w:rPr>
        <w:t>פסק</w:t>
      </w:r>
      <w:r w:rsidR="006744B3" w:rsidRPr="00882F11">
        <w:rPr>
          <w:rFonts w:cs="Guttman Drogolin" w:hint="cs"/>
          <w:rtl/>
          <w:lang w:bidi="he-IL"/>
        </w:rPr>
        <w:t xml:space="preserve"> כשיטת ר"ת שאינו נאכל מחמת מלחו היינו מליחה לקדרה, מ"מ כתב הרמ"א שי"א שאין אנו בקיאין בדבר ולכן יש להחמיר אפילו בשיעור מליחת צלי, והסיק שטוב להחמיר כשיטה זו במקום שאין הספד מרובה. וביאר ביד יהודה ס"ק ט"ז שהטעם שאין אנו בקיאים בזה כיון ש'אינו נאכל' אצל א' חשוב נאכל אצל השני, ולכן אין אנו בקיאין. ומ"מ כתב היד יהודה (ס"ק </w:t>
      </w:r>
      <w:r w:rsidR="00465983" w:rsidRPr="00882F11">
        <w:rPr>
          <w:rFonts w:cs="Guttman Drogolin" w:hint="cs"/>
          <w:rtl/>
          <w:lang w:bidi="he-IL"/>
        </w:rPr>
        <w:t>כ') שמעט מלח ודאי אינו אוסר, דצריך להיות נרגש הרבה מלח.</w:t>
      </w:r>
    </w:p>
    <w:p w:rsidR="00465983" w:rsidRPr="00882F11" w:rsidRDefault="004A296A" w:rsidP="004A296A">
      <w:pPr>
        <w:tabs>
          <w:tab w:val="right" w:pos="7497"/>
        </w:tabs>
        <w:bidi/>
        <w:jc w:val="both"/>
        <w:rPr>
          <w:rFonts w:cs="Guttman Drogolin"/>
          <w:rtl/>
          <w:lang w:bidi="he-IL"/>
        </w:rPr>
      </w:pPr>
      <w:r w:rsidRPr="00882F11">
        <w:rPr>
          <w:rFonts w:cs="Guttman Drogolin" w:hint="cs"/>
          <w:rtl/>
          <w:lang w:bidi="he-IL"/>
        </w:rPr>
        <w:t xml:space="preserve">וכל הנ"ל הוא בחתיכה שאינו נאכל מחמת מלחו, שבמקום הפ"מ מיהת אפשר להקל אם לא נאכל כשיעור מליחה שמולחים לקדרה. אבל ציר שיצא מבשר שנמלח, כתב הרמ"א שאע"פ שהבשר נאכל מחמת מלחו, מ"מ הרי הוא אוסר מדינא. והטעם משום שאמנם הבשרנאכל מחמת מלחו, </w:t>
      </w:r>
      <w:r w:rsidRPr="00882F11">
        <w:rPr>
          <w:rFonts w:cs="Guttman Drogolin" w:hint="cs"/>
          <w:rtl/>
          <w:lang w:bidi="he-IL"/>
        </w:rPr>
        <w:lastRenderedPageBreak/>
        <w:t>אבל הציר אינו נאכל מחמת מלחו, ולכן הרי הוא אוסר.</w:t>
      </w:r>
      <w:r w:rsidR="00465983" w:rsidRPr="00882F11">
        <w:rPr>
          <w:rFonts w:cs="Guttman Drogolin" w:hint="cs"/>
          <w:rtl/>
          <w:lang w:bidi="he-IL"/>
        </w:rPr>
        <w:t xml:space="preserve"> </w:t>
      </w:r>
    </w:p>
    <w:p w:rsidR="00465983" w:rsidRPr="00882F11" w:rsidRDefault="00465983" w:rsidP="00156F5D">
      <w:pPr>
        <w:tabs>
          <w:tab w:val="right" w:pos="7497"/>
        </w:tabs>
        <w:bidi/>
        <w:jc w:val="both"/>
        <w:rPr>
          <w:rFonts w:cs="Guttman Drogolin"/>
          <w:rtl/>
          <w:lang w:bidi="he-IL"/>
        </w:rPr>
      </w:pPr>
      <w:r w:rsidRPr="00882F11">
        <w:rPr>
          <w:rFonts w:cs="Guttman Drogolin" w:hint="cs"/>
          <w:rtl/>
          <w:lang w:bidi="he-IL"/>
        </w:rPr>
        <w:t xml:space="preserve">והנה בשיעור עומק שאוסר מליחה, פסק השו"ע שאינו אוסר אלא כדי קליפה כשיטת הרא"ש והר"ן ועוד ראשונים. אמנם בסע' ו' כתב השו"ע שאם א' מהן החתיכות הן שמינות, הרי הם אוסרים בכולה, ומשום שהשוממן מפעפע. והרמ"א כאן בסע' ה' כתב שי"א שבכל מליחה משערים בששים. ור"ל שאין אנו </w:t>
      </w:r>
      <w:r w:rsidR="00156F5D" w:rsidRPr="00882F11">
        <w:rPr>
          <w:rFonts w:cs="Guttman Drogolin" w:hint="cs"/>
          <w:rtl/>
          <w:lang w:bidi="he-IL"/>
        </w:rPr>
        <w:t>ב</w:t>
      </w:r>
      <w:r w:rsidRPr="00882F11">
        <w:rPr>
          <w:rFonts w:cs="Guttman Drogolin" w:hint="cs"/>
          <w:rtl/>
          <w:lang w:bidi="he-IL"/>
        </w:rPr>
        <w:t>קיאין מהו שמן ומה לא, ולכן צריכים להחמיר שכולם מפעפעים ולכן צריכים ששים (ומ"מ אמרינן שהוא מתפשט בשוה, ולכן אם יש ששים כנגדו הרי הוא מותר).</w:t>
      </w:r>
    </w:p>
    <w:p w:rsidR="00EE7682" w:rsidRPr="00882F11" w:rsidRDefault="00465983" w:rsidP="00156F5D">
      <w:pPr>
        <w:tabs>
          <w:tab w:val="right" w:pos="7497"/>
        </w:tabs>
        <w:bidi/>
        <w:jc w:val="both"/>
        <w:rPr>
          <w:rFonts w:cs="Guttman Drogolin"/>
          <w:rtl/>
          <w:lang w:bidi="he-IL"/>
        </w:rPr>
      </w:pPr>
      <w:r w:rsidRPr="00882F11">
        <w:rPr>
          <w:rFonts w:cs="Guttman Drogolin" w:hint="cs"/>
          <w:rtl/>
          <w:lang w:bidi="he-IL"/>
        </w:rPr>
        <w:t xml:space="preserve">ולכאורה יוצא לפי זה שאפילו אם אינו מלוח כדי מליחה לקדרה הרי הוא ג"כ אוסר עד ששים כנגדו, דהא אין אנו </w:t>
      </w:r>
      <w:r w:rsidR="00156F5D" w:rsidRPr="00882F11">
        <w:rPr>
          <w:rFonts w:cs="Guttman Drogolin" w:hint="cs"/>
          <w:rtl/>
          <w:lang w:bidi="he-IL"/>
        </w:rPr>
        <w:t>ב</w:t>
      </w:r>
      <w:r w:rsidRPr="00882F11">
        <w:rPr>
          <w:rFonts w:cs="Guttman Drogolin" w:hint="cs"/>
          <w:rtl/>
          <w:lang w:bidi="he-IL"/>
        </w:rPr>
        <w:t xml:space="preserve">קיאים מה נחשב אינו נאככל מחמת מלחו, וכן אין אנו בקיאים מהו שמן ומה לא. וכן באמת נקט הפמ"ג (שפ"ד סי' ק"ה ס"ק כ"ו). אמנם בחי' רע"א </w:t>
      </w:r>
      <w:r w:rsidR="00EE7682" w:rsidRPr="00882F11">
        <w:rPr>
          <w:rFonts w:cs="Guttman Drogolin" w:hint="cs"/>
          <w:rtl/>
          <w:lang w:bidi="he-IL"/>
        </w:rPr>
        <w:t xml:space="preserve">סבר דתרי 'אין אנו בקיאין' לא אמרינן, ולכן כה"ג אינו אוסר בכולו. </w:t>
      </w:r>
    </w:p>
    <w:p w:rsidR="00EE7682" w:rsidRPr="00882F11" w:rsidRDefault="00EE7682" w:rsidP="00EE7682">
      <w:pPr>
        <w:tabs>
          <w:tab w:val="right" w:pos="7497"/>
        </w:tabs>
        <w:bidi/>
        <w:jc w:val="both"/>
        <w:rPr>
          <w:rFonts w:cs="Guttman Drogolin"/>
          <w:rtl/>
          <w:lang w:bidi="he-IL"/>
        </w:rPr>
      </w:pPr>
      <w:r w:rsidRPr="00882F11">
        <w:rPr>
          <w:rFonts w:cs="Guttman Drogolin" w:hint="cs"/>
          <w:rtl/>
          <w:lang w:bidi="he-IL"/>
        </w:rPr>
        <w:t>ולענין דינא בתתאה ועילאה במליח, נראה בהמשך בעזהי"ת.</w:t>
      </w:r>
    </w:p>
    <w:p w:rsidR="00EE7682" w:rsidRPr="00882F11" w:rsidRDefault="00EE7682" w:rsidP="00EE7682">
      <w:pPr>
        <w:pStyle w:val="Heading1"/>
        <w:bidi/>
        <w:spacing w:before="0" w:line="360" w:lineRule="auto"/>
        <w:jc w:val="center"/>
        <w:rPr>
          <w:rFonts w:cs="Guttman Drogolin"/>
          <w:color w:val="auto"/>
          <w:sz w:val="24"/>
          <w:szCs w:val="24"/>
          <w:u w:val="single"/>
          <w:rtl/>
          <w:lang w:bidi="he-IL"/>
        </w:rPr>
      </w:pPr>
      <w:bookmarkStart w:id="445" w:name="_Toc496175692"/>
      <w:r w:rsidRPr="00882F11">
        <w:rPr>
          <w:rFonts w:cs="Guttman Drogolin" w:hint="cs"/>
          <w:color w:val="auto"/>
          <w:sz w:val="24"/>
          <w:szCs w:val="24"/>
          <w:u w:val="single"/>
          <w:rtl/>
          <w:lang w:bidi="he-IL"/>
        </w:rPr>
        <w:t>יבש, יבש גמור, וצלול</w:t>
      </w:r>
      <w:bookmarkEnd w:id="445"/>
    </w:p>
    <w:p w:rsidR="00EE7682" w:rsidRPr="00882F11" w:rsidRDefault="005E0D67" w:rsidP="00EE7682">
      <w:pPr>
        <w:tabs>
          <w:tab w:val="right" w:pos="7497"/>
        </w:tabs>
        <w:bidi/>
        <w:jc w:val="both"/>
        <w:rPr>
          <w:rFonts w:cs="Guttman Drogolin"/>
          <w:rtl/>
          <w:lang w:bidi="he-IL"/>
        </w:rPr>
      </w:pPr>
      <w:r>
        <w:rPr>
          <w:rFonts w:cs="Guttman Drogolin"/>
          <w:rtl/>
          <w:lang w:bidi="he-IL"/>
        </w:rPr>
        <w:fldChar w:fldCharType="begin"/>
      </w:r>
      <w:r>
        <w:instrText xml:space="preserve"> XE "</w:instrText>
      </w:r>
      <w:r w:rsidRPr="00EF0D3C">
        <w:rPr>
          <w:rFonts w:hint="cs"/>
          <w:rtl/>
          <w:lang w:bidi="he-IL"/>
        </w:rPr>
        <w:instrText>מליח</w:instrText>
      </w:r>
      <w:r w:rsidRPr="00EF0D3C">
        <w:rPr>
          <w:rtl/>
        </w:rPr>
        <w:instrText>:</w:instrText>
      </w:r>
      <w:r w:rsidRPr="00EF0D3C">
        <w:rPr>
          <w:rFonts w:hint="cs"/>
          <w:rtl/>
          <w:lang w:bidi="he-IL"/>
        </w:rPr>
        <w:instrText>יבש, יבש גמור, וצלול</w:instrText>
      </w:r>
      <w:r>
        <w:instrText xml:space="preserve">" </w:instrText>
      </w:r>
      <w:r>
        <w:rPr>
          <w:rFonts w:cs="Guttman Drogolin"/>
          <w:rtl/>
          <w:lang w:bidi="he-IL"/>
        </w:rPr>
        <w:fldChar w:fldCharType="end"/>
      </w:r>
      <w:r w:rsidR="00EE7682" w:rsidRPr="00882F11">
        <w:rPr>
          <w:rFonts w:cs="Guttman Drogolin" w:hint="cs"/>
          <w:rtl/>
          <w:lang w:bidi="he-IL"/>
        </w:rPr>
        <w:t xml:space="preserve">כתב הרמ"א דהא דאמרינן דטהור מליח וטמא טפל אינו אוסר, הנ"מ בדברים יבשים, אבל טמא צלול גם אם אינו מליח הרי הוא אוסר את המליח. והטעם בזה משום שכל הטעם שטמא תפל אינו אוסר את הטהור המליח, היינו משום שאין למליח כח להפליט טעם הטמא מן החתיכה. אבל כשיש לנו כבר דבר נוזל, אין אנו צריכים לזה, ולכן הרי הוא אוסר אפילו טהור מליח. </w:t>
      </w:r>
    </w:p>
    <w:p w:rsidR="004A296A" w:rsidRPr="00882F11" w:rsidRDefault="00EE7682" w:rsidP="00EE7682">
      <w:pPr>
        <w:tabs>
          <w:tab w:val="right" w:pos="7497"/>
        </w:tabs>
        <w:bidi/>
        <w:jc w:val="both"/>
        <w:rPr>
          <w:rFonts w:cs="Guttman Drogolin"/>
          <w:rtl/>
          <w:lang w:bidi="he-IL"/>
        </w:rPr>
      </w:pPr>
      <w:r w:rsidRPr="00882F11">
        <w:rPr>
          <w:rFonts w:cs="Guttman Drogolin" w:hint="cs"/>
          <w:rtl/>
          <w:lang w:bidi="he-IL"/>
        </w:rPr>
        <w:t>ומאידך, כתב השו"ע וכן הרמ"א שאם</w:t>
      </w:r>
      <w:r w:rsidR="00546930" w:rsidRPr="00882F11">
        <w:rPr>
          <w:rFonts w:cs="Guttman Drogolin" w:hint="cs"/>
          <w:rtl/>
          <w:lang w:bidi="he-IL"/>
        </w:rPr>
        <w:t xml:space="preserve"> </w:t>
      </w:r>
      <w:r w:rsidRPr="00882F11">
        <w:rPr>
          <w:rFonts w:cs="Guttman Drogolin" w:hint="cs"/>
          <w:rtl/>
          <w:lang w:bidi="he-IL"/>
        </w:rPr>
        <w:t xml:space="preserve">הוא יבש לגמרי אינו אוסר אפילו שניהם מלוחים. ור"ל דהא דטהור מליח וטמא תפל  אינו אוסר אבל שניהם מלוחים אוסר, הנ"מ חתיכה שיש בה לחלוחית אבל אינו דבר לח בעצם, בזה אמרינן דמ"מ </w:t>
      </w:r>
      <w:r w:rsidRPr="00882F11">
        <w:rPr>
          <w:rFonts w:cs="Guttman Drogolin" w:hint="cs"/>
          <w:rtl/>
          <w:lang w:bidi="he-IL"/>
        </w:rPr>
        <w:lastRenderedPageBreak/>
        <w:t xml:space="preserve">כשהטמא מלוח הרי הוא אוסר. אבל חתיכה שנמתלחה עד כדי כך שאין בה כבר לחלוחית, אינו אוסר אפילו הוא מלוח. </w:t>
      </w:r>
      <w:r w:rsidR="004A296A" w:rsidRPr="00882F11">
        <w:rPr>
          <w:rFonts w:cs="Guttman Drogolin" w:hint="cs"/>
          <w:rtl/>
          <w:lang w:bidi="he-IL"/>
        </w:rPr>
        <w:t>וביאר הפר"ח בטעמו של דבר משום דכיון שכן כבר פסק כח המלח להיות כרותח (ע"ש בפר"ח ב' דרכים בזה. ואע"ג שהפר"ח הסיק להחמיר בכל הענין, ע' בדה"ש ס"ק ע' להקל כרמ"א ע"פ פמ"ג וחכמ"א).</w:t>
      </w:r>
    </w:p>
    <w:p w:rsidR="004A296A" w:rsidRPr="008520CC" w:rsidRDefault="004A296A" w:rsidP="00546930">
      <w:pPr>
        <w:pStyle w:val="Heading1"/>
        <w:bidi/>
        <w:spacing w:before="0" w:line="360" w:lineRule="auto"/>
        <w:jc w:val="center"/>
        <w:rPr>
          <w:rFonts w:cs="Guttman Drogolin"/>
          <w:color w:val="auto"/>
          <w:sz w:val="20"/>
          <w:szCs w:val="20"/>
          <w:u w:val="single"/>
          <w:rtl/>
          <w:lang w:bidi="he-IL"/>
        </w:rPr>
      </w:pPr>
      <w:bookmarkStart w:id="446" w:name="_Toc496175693"/>
      <w:r w:rsidRPr="008520CC">
        <w:rPr>
          <w:rFonts w:cs="Guttman Drogolin" w:hint="cs"/>
          <w:color w:val="auto"/>
          <w:sz w:val="20"/>
          <w:szCs w:val="20"/>
          <w:u w:val="single"/>
          <w:rtl/>
          <w:lang w:bidi="he-IL"/>
        </w:rPr>
        <w:t xml:space="preserve">הדין למעשה בצלי שנפל לכותח </w:t>
      </w:r>
      <w:r w:rsidR="00546930" w:rsidRPr="008520CC">
        <w:rPr>
          <w:rFonts w:cs="Guttman Drogolin" w:hint="cs"/>
          <w:color w:val="auto"/>
          <w:sz w:val="20"/>
          <w:szCs w:val="20"/>
          <w:u w:val="single"/>
          <w:rtl/>
          <w:lang w:bidi="he-IL"/>
        </w:rPr>
        <w:t>ה</w:t>
      </w:r>
      <w:r w:rsidRPr="008520CC">
        <w:rPr>
          <w:rFonts w:cs="Guttman Drogolin" w:hint="cs"/>
          <w:color w:val="auto"/>
          <w:sz w:val="20"/>
          <w:szCs w:val="20"/>
          <w:u w:val="single"/>
          <w:rtl/>
          <w:lang w:bidi="he-IL"/>
        </w:rPr>
        <w:t>נאכל מחמת מלחו</w:t>
      </w:r>
      <w:bookmarkEnd w:id="446"/>
    </w:p>
    <w:p w:rsidR="00D84A8E" w:rsidRPr="00882F11" w:rsidRDefault="005E0D67" w:rsidP="005E0D67">
      <w:pPr>
        <w:tabs>
          <w:tab w:val="right" w:pos="7497"/>
        </w:tabs>
        <w:bidi/>
        <w:jc w:val="both"/>
        <w:rPr>
          <w:rFonts w:cs="Guttman Drogolin"/>
          <w:rtl/>
          <w:lang w:bidi="he-IL"/>
        </w:rPr>
      </w:pPr>
      <w:r>
        <w:rPr>
          <w:rFonts w:cs="Guttman Drogolin"/>
          <w:rtl/>
          <w:lang w:bidi="he-IL"/>
        </w:rPr>
        <w:fldChar w:fldCharType="begin"/>
      </w:r>
      <w:r>
        <w:instrText xml:space="preserve"> XE "</w:instrText>
      </w:r>
      <w:r w:rsidRPr="007F694E">
        <w:rPr>
          <w:rFonts w:hint="cs"/>
          <w:rtl/>
          <w:lang w:bidi="he-IL"/>
        </w:rPr>
        <w:instrText>העברת טעם</w:instrText>
      </w:r>
      <w:r w:rsidRPr="007F694E">
        <w:rPr>
          <w:rtl/>
        </w:rPr>
        <w:instrText>:</w:instrText>
      </w:r>
      <w:r w:rsidRPr="007F694E">
        <w:rPr>
          <w:rFonts w:hint="cs"/>
          <w:rtl/>
          <w:lang w:bidi="he-IL"/>
        </w:rPr>
        <w:instrText xml:space="preserve">צלי </w:instrText>
      </w:r>
      <w:r>
        <w:rPr>
          <w:rFonts w:hint="cs"/>
          <w:rtl/>
          <w:lang w:bidi="he-IL"/>
        </w:rPr>
        <w:instrText>ש</w:instrText>
      </w:r>
      <w:r w:rsidRPr="007F694E">
        <w:rPr>
          <w:rFonts w:hint="cs"/>
          <w:rtl/>
          <w:lang w:bidi="he-IL"/>
        </w:rPr>
        <w:instrText>נפל לכותח הנאכל מחמת מלחו</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7237DC">
        <w:rPr>
          <w:rFonts w:hint="cs"/>
          <w:rtl/>
          <w:lang w:bidi="he-IL"/>
        </w:rPr>
        <w:instrText>נגיעת אוכל באוכל</w:instrText>
      </w:r>
      <w:r w:rsidRPr="007237DC">
        <w:rPr>
          <w:rtl/>
        </w:rPr>
        <w:instrText>:</w:instrText>
      </w:r>
      <w:r w:rsidRPr="007237DC">
        <w:rPr>
          <w:rFonts w:hint="cs"/>
          <w:rtl/>
          <w:lang w:bidi="he-IL"/>
        </w:rPr>
        <w:instrText>צלי שנפל לכותח הנאכל מחמת מלחו</w:instrText>
      </w:r>
      <w:r>
        <w:instrText xml:space="preserve">" </w:instrText>
      </w:r>
      <w:r>
        <w:rPr>
          <w:rFonts w:cs="Guttman Drogolin"/>
          <w:rtl/>
          <w:lang w:bidi="he-IL"/>
        </w:rPr>
        <w:fldChar w:fldCharType="end"/>
      </w:r>
      <w:r w:rsidR="00546930" w:rsidRPr="00882F11">
        <w:rPr>
          <w:rFonts w:cs="Guttman Drogolin" w:hint="cs"/>
          <w:rtl/>
          <w:lang w:bidi="he-IL"/>
        </w:rPr>
        <w:t xml:space="preserve">בגמ' מבואר דהא דאמרינן שכותח אינו אוסר מדין מליח כרותח כיון שנאכל מחמת מלחו, הנ"מ בשר חי, אבל צלי אוסר כדי קליפה. וכבר הבאנו שיש מחלוקת הראשונים מהו צלי, ששיטת הרשב"א ועוד דצלי ר"ל צלי רותח, אבל בצונן אינו צריך אלא הדחה. ושיטת התוס' במס' פסחים ע"ה ע"ב וכן במס' חולין צ"ו ע"ב הוא דמיירי בצלי צונן, ואפ"ה אוסר כדי קליפה. וזהו מחלוקת המחבר והרמ"א כאן, שהמחבר מיקל שצלי צונן אינו נאסר, והרמ"א כתב לנהוג כדעת המחמירים אפילו בצלי צונן במקום שאין הפ"מ. </w:t>
      </w:r>
      <w:r w:rsidR="008C36D2" w:rsidRPr="00882F11">
        <w:rPr>
          <w:rFonts w:cs="Guttman Drogolin" w:hint="cs"/>
          <w:rtl/>
          <w:lang w:bidi="he-IL"/>
        </w:rPr>
        <w:t>וע' בש"ך ס"ק כ"א שהסיק שאפילו במקום המ"פ צ"ע אם יש להקל בזה.</w:t>
      </w:r>
      <w:r w:rsidR="004A296A" w:rsidRPr="00882F11">
        <w:rPr>
          <w:rFonts w:cs="Guttman Drogolin" w:hint="cs"/>
          <w:rtl/>
          <w:lang w:bidi="he-IL"/>
        </w:rPr>
        <w:t xml:space="preserve"> </w:t>
      </w:r>
      <w:r w:rsidR="008C36D2" w:rsidRPr="00882F11">
        <w:rPr>
          <w:rFonts w:cs="Guttman Drogolin" w:hint="cs"/>
          <w:rtl/>
          <w:lang w:bidi="he-IL"/>
        </w:rPr>
        <w:t xml:space="preserve">ובערוה"ש סע' </w:t>
      </w:r>
      <w:r w:rsidR="002C7689" w:rsidRPr="00882F11">
        <w:rPr>
          <w:rFonts w:cs="Guttman Drogolin" w:hint="cs"/>
          <w:rtl/>
          <w:lang w:bidi="he-IL"/>
        </w:rPr>
        <w:t>ל"ז שע"פ רוב לצלי יש בקעים, ולכאורה א"כ לשיטות הסוברות שדין בקעים נאמר רק בצלי הנפק"מ בבקעים הוא במקרה שהוא המיעוט שאין בה בקעים, ולא משמע הכי כ"כ מסוגית הגמ'. וצ"ע. וע"ש במהר"ם שיף שמ"מ אין אנו מקיאים מה נחשב פילי ומה לא</w:t>
      </w:r>
      <w:r w:rsidR="002C7689" w:rsidRPr="00882F11">
        <w:rPr>
          <w:rStyle w:val="FootnoteReference"/>
          <w:rFonts w:cs="Guttman Drogolin"/>
          <w:rtl/>
          <w:lang w:bidi="he-IL"/>
        </w:rPr>
        <w:footnoteReference w:id="427"/>
      </w:r>
      <w:r w:rsidR="002C7689" w:rsidRPr="00882F11">
        <w:rPr>
          <w:rFonts w:cs="Guttman Drogolin" w:hint="cs"/>
          <w:rtl/>
          <w:lang w:bidi="he-IL"/>
        </w:rPr>
        <w:t>.</w:t>
      </w:r>
      <w:r w:rsidR="00465983" w:rsidRPr="00882F11">
        <w:rPr>
          <w:rFonts w:cs="Guttman Drogolin" w:hint="cs"/>
          <w:rtl/>
          <w:lang w:bidi="he-IL"/>
        </w:rPr>
        <w:t xml:space="preserve">   </w:t>
      </w:r>
    </w:p>
    <w:p w:rsidR="00156F5D" w:rsidRPr="00882F11" w:rsidRDefault="00A256D4" w:rsidP="00D84A8E">
      <w:pPr>
        <w:tabs>
          <w:tab w:val="right" w:pos="7497"/>
        </w:tabs>
        <w:bidi/>
        <w:jc w:val="both"/>
        <w:rPr>
          <w:rFonts w:cs="Guttman Drogolin"/>
          <w:rtl/>
          <w:lang w:bidi="he-IL"/>
        </w:rPr>
      </w:pPr>
      <w:r w:rsidRPr="00882F11">
        <w:rPr>
          <w:rFonts w:cs="Guttman Drogolin" w:hint="cs"/>
          <w:rtl/>
          <w:lang w:bidi="he-IL"/>
        </w:rPr>
        <w:t xml:space="preserve">ויל"ע מה יהא הדין בצלי רותח לשיטת הרמ"א. דהנה עצם זה שאין צריכים אלא קליפה בצלי רותח י"ל שהרשב"א לשיטתו דסבר שכל צלי אינו צריך אלא כדי קליפה. אבל לשיטת השו"ע אין זה מיושב, דהא השו"ע פסק כשיטת התוס' דצלי אוסר כדי נטילה, וא"כ למה היקל כאן השו"ע בשיעור כדי קליפה. והפשוט בזה, וכ"כ גם הש"ך ס"ק כ"ג, שהרי כאן יש עוד טעם להקל והוא משום דהוי חם לתוך צונן, וכיון דקיי"ל כשמואל דסבר תתאה גבר, אינו אוסר אלא כדי קליפה כיון </w:t>
      </w:r>
      <w:r w:rsidRPr="00882F11">
        <w:rPr>
          <w:rFonts w:cs="Guttman Drogolin" w:hint="cs"/>
          <w:rtl/>
          <w:lang w:bidi="he-IL"/>
        </w:rPr>
        <w:lastRenderedPageBreak/>
        <w:t>דאדמיקר לי' בלע.</w:t>
      </w:r>
      <w:r w:rsidR="00156F5D" w:rsidRPr="00882F11">
        <w:rPr>
          <w:rFonts w:cs="Guttman Drogolin" w:hint="cs"/>
          <w:rtl/>
          <w:lang w:bidi="he-IL"/>
        </w:rPr>
        <w:t xml:space="preserve"> </w:t>
      </w:r>
      <w:r w:rsidR="000465BF" w:rsidRPr="00882F11">
        <w:rPr>
          <w:rFonts w:cs="Guttman Drogolin" w:hint="cs"/>
          <w:rtl/>
          <w:lang w:bidi="he-IL"/>
        </w:rPr>
        <w:t xml:space="preserve">ואע"ג שהחתיכה שוקע עד למטה, מ"מ הרי יסד הרשב"א שמ"מ החתיכה חשו העילאה כיון שאינו במקומו. </w:t>
      </w:r>
      <w:r w:rsidR="00156F5D" w:rsidRPr="00882F11">
        <w:rPr>
          <w:rFonts w:cs="Guttman Drogolin" w:hint="cs"/>
          <w:rtl/>
          <w:lang w:bidi="he-IL"/>
        </w:rPr>
        <w:t>וכיון שכן לכאורה כן הוא הדין נמי לשיטת הרמ"א דסבר דמיירי בצלי צונן שמ"מ אם הוא חם אין לו לאסור יותר מכדי קליפה.</w:t>
      </w:r>
    </w:p>
    <w:p w:rsidR="000465BF" w:rsidRPr="00882F11" w:rsidRDefault="00156F5D" w:rsidP="000465BF">
      <w:pPr>
        <w:tabs>
          <w:tab w:val="right" w:pos="7497"/>
        </w:tabs>
        <w:bidi/>
        <w:jc w:val="both"/>
        <w:rPr>
          <w:rFonts w:cs="Guttman Drogolin"/>
          <w:rtl/>
          <w:lang w:bidi="he-IL"/>
        </w:rPr>
      </w:pPr>
      <w:r w:rsidRPr="00882F11">
        <w:rPr>
          <w:rFonts w:cs="Guttman Drogolin" w:hint="cs"/>
          <w:rtl/>
          <w:lang w:bidi="he-IL"/>
        </w:rPr>
        <w:t>אלא שבש"ך ס"ק כ"ו הביא מהגהות מיי' ואו"ה לאסור יותר מכדי קליפה. וצ"ע שלכאורה הוא נגד הגמ' שבמס' פסחים הנ"ל שלשמואל דסבר תתאה גבר אינו צריך אלא כדי קליפה. וע"ש בהגהות רע"א שביאר דע"כ סברי דהא דקאמר במס' פסחים 'קולף' לאו דוקא נקט אלא ר"ל כדי נטילה. והוא חידוש גדול ונגד ביאורם של כל הראשונים.</w:t>
      </w:r>
      <w:r w:rsidR="000465BF" w:rsidRPr="00882F11">
        <w:rPr>
          <w:rFonts w:cs="Guttman Drogolin" w:hint="cs"/>
          <w:rtl/>
          <w:lang w:bidi="he-IL"/>
        </w:rPr>
        <w:t xml:space="preserve"> והעיר שלכאורה גם מתוס' חזינן שהשיעור צריך להיות כדי נטילה, דהא הקשו מגמ' דההוא בר יונה לשיטתם דבעינן כדי נטילה, ותי' משום דמיירי בצלי צונן, ומשמע דאילו הי' חם הי' צריך כדי נטילה, אלא שהוא תמוה כיון ששיטת התוס' עצמם שם דחם לתוך צונן שונה מצלי דעלמא ואינו צריך אלא כדי קליפה. ורע"א נשאר בזה בצ"ע. והחוו"ד ביאר שהתוס' חולקים על יסוד דברי הרשב"א וסוברים שהחתיכה חשוב תתאה כיון שהוא שקוע למטה, ומשו"ה לא סגי בכדי קליפה כמו בכל חם לתוך צונן. ולכאורה בזה מיושב ג"כ שיטת ההגהות מיי' ואו"ה</w:t>
      </w:r>
      <w:r w:rsidR="000465BF" w:rsidRPr="00882F11">
        <w:rPr>
          <w:rStyle w:val="FootnoteReference"/>
          <w:rFonts w:cs="Guttman Drogolin"/>
          <w:rtl/>
          <w:lang w:bidi="he-IL"/>
        </w:rPr>
        <w:footnoteReference w:id="428"/>
      </w:r>
      <w:r w:rsidR="000465BF" w:rsidRPr="00882F11">
        <w:rPr>
          <w:rFonts w:cs="Guttman Drogolin" w:hint="cs"/>
          <w:rtl/>
          <w:lang w:bidi="he-IL"/>
        </w:rPr>
        <w:t>. וכבר הערנו משמי' דרע"א שלכאורה סוגיית הגמ' דמס' פסחים מוכחת כשיטת הרשב"א דהא מיירי בבשר לתוך חלב, אלא שהרשב"א לא הוכיח משם, ותמה בזה רע"א. וכל הענין עדיין צ"ע.</w:t>
      </w:r>
    </w:p>
    <w:p w:rsidR="00197FD0" w:rsidRPr="00882F11" w:rsidRDefault="000465BF" w:rsidP="00197FD0">
      <w:pPr>
        <w:tabs>
          <w:tab w:val="right" w:pos="7497"/>
        </w:tabs>
        <w:bidi/>
        <w:jc w:val="both"/>
        <w:rPr>
          <w:rFonts w:cs="Guttman Drogolin"/>
          <w:rtl/>
          <w:lang w:bidi="he-IL"/>
        </w:rPr>
      </w:pPr>
      <w:r w:rsidRPr="00882F11">
        <w:rPr>
          <w:rFonts w:cs="Guttman Drogolin" w:hint="cs"/>
          <w:rtl/>
          <w:lang w:bidi="he-IL"/>
        </w:rPr>
        <w:t>והנה לכאורה הי' אפשר לומר דעד כאן לא החמירו בצלי צונן לתוך כותח אלא בכותח שהוא מלוח מיהת אע"ג שאינו נאכל מחמת מלחו. וכן הביא</w:t>
      </w:r>
      <w:r w:rsidR="00197FD0" w:rsidRPr="00882F11">
        <w:rPr>
          <w:rFonts w:cs="Guttman Drogolin" w:hint="cs"/>
          <w:rtl/>
          <w:lang w:bidi="he-IL"/>
        </w:rPr>
        <w:t xml:space="preserve"> הט"ז ס"ק י"ב</w:t>
      </w:r>
      <w:r w:rsidRPr="00882F11">
        <w:rPr>
          <w:rFonts w:cs="Guttman Drogolin" w:hint="cs"/>
          <w:rtl/>
          <w:lang w:bidi="he-IL"/>
        </w:rPr>
        <w:t xml:space="preserve"> משמי' דיש"ש לדון בזה</w:t>
      </w:r>
      <w:r w:rsidR="00197FD0" w:rsidRPr="00882F11">
        <w:rPr>
          <w:rFonts w:cs="Guttman Drogolin" w:hint="cs"/>
          <w:rtl/>
          <w:lang w:bidi="he-IL"/>
        </w:rPr>
        <w:t xml:space="preserve">, אלא שביטל דעתו לדעת כמה ראשונים שמשמע מהם שכל צלי נאסר מכל כותח אע"ג שאין שם מלח כלל. וכן מבואר בש"ך ס"ק כ"ב </w:t>
      </w:r>
      <w:r w:rsidR="008C36D2" w:rsidRPr="00882F11">
        <w:rPr>
          <w:rFonts w:cs="Guttman Drogolin" w:hint="cs"/>
          <w:rtl/>
          <w:lang w:bidi="he-IL"/>
        </w:rPr>
        <w:t xml:space="preserve">וכ"ה </w:t>
      </w:r>
      <w:r w:rsidR="00197FD0" w:rsidRPr="00882F11">
        <w:rPr>
          <w:rFonts w:cs="Guttman Drogolin" w:hint="cs"/>
          <w:rtl/>
          <w:lang w:bidi="he-IL"/>
        </w:rPr>
        <w:t>(אמנם ע"ש במטה יהונתן</w:t>
      </w:r>
      <w:r w:rsidR="002C7689" w:rsidRPr="00882F11">
        <w:rPr>
          <w:rFonts w:cs="Guttman Drogolin" w:hint="cs"/>
          <w:rtl/>
          <w:lang w:bidi="he-IL"/>
        </w:rPr>
        <w:t>, וכן במהר"ם שיף לדף קי"ב ע"א</w:t>
      </w:r>
      <w:r w:rsidR="00197FD0" w:rsidRPr="00882F11">
        <w:rPr>
          <w:rFonts w:cs="Guttman Drogolin" w:hint="cs"/>
          <w:rtl/>
          <w:lang w:bidi="he-IL"/>
        </w:rPr>
        <w:t xml:space="preserve">). </w:t>
      </w:r>
    </w:p>
    <w:p w:rsidR="00946DE6" w:rsidRPr="00882F11" w:rsidRDefault="00197FD0" w:rsidP="00197FD0">
      <w:pPr>
        <w:tabs>
          <w:tab w:val="right" w:pos="7497"/>
        </w:tabs>
        <w:bidi/>
        <w:jc w:val="both"/>
        <w:rPr>
          <w:rFonts w:cs="Guttman Drogolin"/>
          <w:rtl/>
          <w:lang w:bidi="he-IL"/>
        </w:rPr>
      </w:pPr>
      <w:r w:rsidRPr="00882F11">
        <w:rPr>
          <w:rFonts w:cs="Guttman Drogolin" w:hint="cs"/>
          <w:rtl/>
          <w:lang w:bidi="he-IL"/>
        </w:rPr>
        <w:lastRenderedPageBreak/>
        <w:t xml:space="preserve">ולפי שיטה זו הא דאית לי' בקעים וכן מתובל בתבלין ג"כ מיירי בצלי צונן. </w:t>
      </w:r>
      <w:r w:rsidR="008C36D2" w:rsidRPr="00882F11">
        <w:rPr>
          <w:rFonts w:cs="Guttman Drogolin" w:hint="cs"/>
          <w:rtl/>
          <w:lang w:bidi="he-IL"/>
        </w:rPr>
        <w:t>וע' בש"ך ס"ק כ"א שהביא שיטות הסוברות דהא דבקעים</w:t>
      </w:r>
      <w:r w:rsidRPr="00882F11">
        <w:rPr>
          <w:rFonts w:cs="Guttman Drogolin" w:hint="cs"/>
          <w:rtl/>
          <w:lang w:bidi="he-IL"/>
        </w:rPr>
        <w:t xml:space="preserve"> </w:t>
      </w:r>
      <w:r w:rsidR="008C36D2" w:rsidRPr="00882F11">
        <w:rPr>
          <w:rFonts w:cs="Guttman Drogolin" w:hint="cs"/>
          <w:rtl/>
          <w:lang w:bidi="he-IL"/>
        </w:rPr>
        <w:t>ומתובל בתבלין מיירי אפילו בבשר חי.</w:t>
      </w:r>
      <w:r w:rsidR="002C7689" w:rsidRPr="00882F11">
        <w:rPr>
          <w:rFonts w:cs="Guttman Drogolin" w:hint="cs"/>
          <w:rtl/>
          <w:lang w:bidi="he-IL"/>
        </w:rPr>
        <w:t xml:space="preserve"> וע' בחמכ"א יש להחמיר כדבריהם עכ"פ לעצמו ואולי גם לאחרים.</w:t>
      </w:r>
      <w:r w:rsidR="006E535F" w:rsidRPr="00882F11">
        <w:rPr>
          <w:rFonts w:cs="Guttman Drogolin" w:hint="cs"/>
          <w:rtl/>
          <w:lang w:bidi="he-IL"/>
        </w:rPr>
        <w:t xml:space="preserve"> וכן בביאור הגר"א ס"ק י"ח נקט שהעיקר כדעה זו.</w:t>
      </w:r>
    </w:p>
    <w:p w:rsidR="00946DE6" w:rsidRPr="00882F11" w:rsidRDefault="00946DE6" w:rsidP="00946DE6">
      <w:pPr>
        <w:tabs>
          <w:tab w:val="right" w:pos="7497"/>
        </w:tabs>
        <w:bidi/>
        <w:jc w:val="both"/>
        <w:rPr>
          <w:rFonts w:cs="Guttman Drogolin"/>
          <w:rtl/>
          <w:lang w:bidi="he-IL"/>
        </w:rPr>
        <w:sectPr w:rsidR="00946DE6" w:rsidRPr="00882F11" w:rsidSect="008520CC">
          <w:type w:val="continuous"/>
          <w:pgSz w:w="11907" w:h="16839" w:code="9"/>
          <w:pgMar w:top="1440" w:right="1440" w:bottom="1440" w:left="1440" w:header="720" w:footer="720" w:gutter="0"/>
          <w:cols w:num="2" w:space="720"/>
          <w:bidi/>
          <w:docGrid w:linePitch="360"/>
        </w:sectPr>
      </w:pPr>
    </w:p>
    <w:p w:rsidR="00946DE6" w:rsidRPr="008520CC" w:rsidRDefault="00946DE6" w:rsidP="00946DE6">
      <w:pPr>
        <w:keepNext/>
        <w:tabs>
          <w:tab w:val="left" w:pos="3818"/>
          <w:tab w:val="center" w:pos="4680"/>
        </w:tabs>
        <w:bidi/>
        <w:jc w:val="center"/>
        <w:rPr>
          <w:rFonts w:cs="Guttman Drogolin"/>
          <w:b/>
          <w:bCs/>
          <w:sz w:val="48"/>
          <w:szCs w:val="48"/>
          <w:rtl/>
          <w:lang w:bidi="he-IL"/>
        </w:rPr>
      </w:pPr>
      <w:r w:rsidRPr="008520CC">
        <w:rPr>
          <w:rFonts w:cs="Guttman Drogolin" w:hint="cs"/>
          <w:b/>
          <w:bCs/>
          <w:sz w:val="48"/>
          <w:szCs w:val="48"/>
          <w:rtl/>
          <w:lang w:bidi="he-IL"/>
        </w:rPr>
        <w:lastRenderedPageBreak/>
        <w:t>שיעור קי"ב</w:t>
      </w:r>
    </w:p>
    <w:p w:rsidR="008520CC" w:rsidRDefault="008520CC" w:rsidP="00946DE6">
      <w:pPr>
        <w:pStyle w:val="Heading1"/>
        <w:bidi/>
        <w:spacing w:before="0" w:line="360" w:lineRule="auto"/>
        <w:jc w:val="center"/>
        <w:rPr>
          <w:rFonts w:cs="Guttman Drogolin"/>
          <w:color w:val="auto"/>
          <w:sz w:val="24"/>
          <w:szCs w:val="24"/>
          <w:u w:val="single"/>
          <w:rtl/>
          <w:lang w:bidi="he-IL"/>
        </w:rPr>
        <w:sectPr w:rsidR="008520CC" w:rsidSect="008520CC">
          <w:headerReference w:type="default" r:id="rId85"/>
          <w:pgSz w:w="11907" w:h="16839" w:code="9"/>
          <w:pgMar w:top="1440" w:right="1440" w:bottom="1440" w:left="1440" w:header="720" w:footer="720" w:gutter="0"/>
          <w:cols w:space="720"/>
          <w:bidi/>
          <w:docGrid w:linePitch="360"/>
        </w:sectPr>
      </w:pPr>
    </w:p>
    <w:p w:rsidR="00946DE6" w:rsidRPr="00882F11" w:rsidRDefault="00946DE6" w:rsidP="00946DE6">
      <w:pPr>
        <w:pStyle w:val="Heading1"/>
        <w:bidi/>
        <w:spacing w:before="0" w:line="360" w:lineRule="auto"/>
        <w:jc w:val="center"/>
        <w:rPr>
          <w:rFonts w:cs="Guttman Drogolin"/>
          <w:color w:val="auto"/>
          <w:sz w:val="24"/>
          <w:szCs w:val="24"/>
          <w:u w:val="single"/>
          <w:rtl/>
          <w:lang w:bidi="he-IL"/>
        </w:rPr>
      </w:pPr>
      <w:bookmarkStart w:id="447" w:name="_Toc496175694"/>
      <w:r w:rsidRPr="00882F11">
        <w:rPr>
          <w:rFonts w:cs="Guttman Drogolin" w:hint="cs"/>
          <w:color w:val="auto"/>
          <w:sz w:val="24"/>
          <w:szCs w:val="24"/>
          <w:u w:val="single"/>
          <w:rtl/>
          <w:lang w:bidi="he-IL"/>
        </w:rPr>
        <w:lastRenderedPageBreak/>
        <w:t>עוד הערה בדין פילי</w:t>
      </w:r>
      <w:bookmarkEnd w:id="447"/>
    </w:p>
    <w:p w:rsidR="006E535F" w:rsidRPr="00882F11" w:rsidRDefault="005E0D67" w:rsidP="005F4044">
      <w:pPr>
        <w:tabs>
          <w:tab w:val="right" w:pos="7497"/>
        </w:tabs>
        <w:bidi/>
        <w:jc w:val="both"/>
        <w:rPr>
          <w:rFonts w:cs="Guttman Drogolin"/>
          <w:rtl/>
          <w:lang w:bidi="he-IL"/>
        </w:rPr>
      </w:pPr>
      <w:r>
        <w:rPr>
          <w:rFonts w:cs="Guttman Drogolin"/>
          <w:rtl/>
          <w:lang w:bidi="he-IL"/>
        </w:rPr>
        <w:fldChar w:fldCharType="begin"/>
      </w:r>
      <w:r>
        <w:instrText xml:space="preserve"> XE "</w:instrText>
      </w:r>
      <w:r w:rsidRPr="0067680E">
        <w:rPr>
          <w:rFonts w:hint="cs"/>
          <w:rtl/>
          <w:lang w:bidi="he-IL"/>
        </w:rPr>
        <w:instrText>נגיעת אוכל האוכל</w:instrText>
      </w:r>
      <w:r w:rsidRPr="0067680E">
        <w:rPr>
          <w:rtl/>
        </w:rPr>
        <w:instrText>:</w:instrText>
      </w:r>
      <w:r w:rsidRPr="0067680E">
        <w:rPr>
          <w:rFonts w:hint="cs"/>
          <w:rtl/>
          <w:lang w:bidi="he-IL"/>
        </w:rPr>
        <w:instrText>כשיש פילי</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15020A">
        <w:rPr>
          <w:rFonts w:hint="cs"/>
          <w:rtl/>
          <w:lang w:bidi="he-IL"/>
        </w:rPr>
        <w:instrText>פילי</w:instrText>
      </w:r>
      <w:r w:rsidRPr="0015020A">
        <w:rPr>
          <w:rtl/>
        </w:rPr>
        <w:instrText>:</w:instrText>
      </w:r>
      <w:r w:rsidRPr="0015020A">
        <w:rPr>
          <w:rFonts w:hint="cs"/>
          <w:rtl/>
          <w:lang w:bidi="he-IL"/>
        </w:rPr>
        <w:instrText>מה הם</w:instrText>
      </w:r>
      <w:r>
        <w:instrText xml:space="preserve">" </w:instrText>
      </w:r>
      <w:r>
        <w:rPr>
          <w:rFonts w:cs="Guttman Drogolin"/>
          <w:rtl/>
          <w:lang w:bidi="he-IL"/>
        </w:rPr>
        <w:fldChar w:fldCharType="end"/>
      </w:r>
      <w:r w:rsidR="00946DE6" w:rsidRPr="00882F11">
        <w:rPr>
          <w:rFonts w:cs="Guttman Drogolin" w:hint="cs"/>
          <w:rtl/>
          <w:lang w:bidi="he-IL"/>
        </w:rPr>
        <w:t>בשיעור הקודם</w:t>
      </w:r>
      <w:r w:rsidR="005F4044" w:rsidRPr="00882F11">
        <w:rPr>
          <w:rFonts w:cs="Guttman Drogolin" w:hint="cs"/>
          <w:rtl/>
          <w:lang w:bidi="he-IL"/>
        </w:rPr>
        <w:t xml:space="preserve"> הבאנו השיטה שסוברת שאפילו בשר חי אם יש בה פילי הרי הוא אסור. והנה בדיוק מה זה פילי אינו דבר ברור. ויעוין במהר"ם שיף למס' חולין דף קי"ב ע"א "דלכאורה</w:t>
      </w:r>
      <w:r w:rsidR="005F4044" w:rsidRPr="00882F11">
        <w:rPr>
          <w:rFonts w:cs="Guttman Drogolin"/>
          <w:rtl/>
          <w:lang w:bidi="he-IL"/>
        </w:rPr>
        <w:t xml:space="preserve"> </w:t>
      </w:r>
      <w:r w:rsidR="005F4044" w:rsidRPr="00882F11">
        <w:rPr>
          <w:rFonts w:cs="Guttman Drogolin" w:hint="cs"/>
          <w:rtl/>
          <w:lang w:bidi="he-IL"/>
        </w:rPr>
        <w:t>אין</w:t>
      </w:r>
      <w:r w:rsidR="005F4044" w:rsidRPr="00882F11">
        <w:rPr>
          <w:rFonts w:cs="Guttman Drogolin"/>
          <w:rtl/>
          <w:lang w:bidi="he-IL"/>
        </w:rPr>
        <w:t xml:space="preserve"> </w:t>
      </w:r>
      <w:r w:rsidR="005F4044" w:rsidRPr="00882F11">
        <w:rPr>
          <w:rFonts w:cs="Guttman Drogolin" w:hint="cs"/>
          <w:rtl/>
          <w:lang w:bidi="he-IL"/>
        </w:rPr>
        <w:t>אנו</w:t>
      </w:r>
      <w:r w:rsidR="005F4044" w:rsidRPr="00882F11">
        <w:rPr>
          <w:rFonts w:cs="Guttman Drogolin"/>
          <w:rtl/>
          <w:lang w:bidi="he-IL"/>
        </w:rPr>
        <w:t xml:space="preserve"> </w:t>
      </w:r>
      <w:r w:rsidR="005F4044" w:rsidRPr="00882F11">
        <w:rPr>
          <w:rFonts w:cs="Guttman Drogolin" w:hint="cs"/>
          <w:rtl/>
          <w:lang w:bidi="he-IL"/>
        </w:rPr>
        <w:t>יכולין</w:t>
      </w:r>
      <w:r w:rsidR="005F4044" w:rsidRPr="00882F11">
        <w:rPr>
          <w:rFonts w:cs="Guttman Drogolin"/>
          <w:rtl/>
          <w:lang w:bidi="he-IL"/>
        </w:rPr>
        <w:t xml:space="preserve"> </w:t>
      </w:r>
      <w:r w:rsidR="005F4044" w:rsidRPr="00882F11">
        <w:rPr>
          <w:rFonts w:cs="Guttman Drogolin" w:hint="cs"/>
          <w:rtl/>
          <w:lang w:bidi="he-IL"/>
        </w:rPr>
        <w:t>לשער</w:t>
      </w:r>
      <w:r w:rsidR="005F4044" w:rsidRPr="00882F11">
        <w:rPr>
          <w:rFonts w:cs="Guttman Drogolin"/>
          <w:rtl/>
          <w:lang w:bidi="he-IL"/>
        </w:rPr>
        <w:t xml:space="preserve"> </w:t>
      </w:r>
      <w:r w:rsidR="005F4044" w:rsidRPr="00882F11">
        <w:rPr>
          <w:rFonts w:cs="Guttman Drogolin" w:hint="cs"/>
          <w:rtl/>
          <w:lang w:bidi="he-IL"/>
        </w:rPr>
        <w:t>כ</w:t>
      </w:r>
      <w:r w:rsidR="005F4044" w:rsidRPr="00882F11">
        <w:rPr>
          <w:rFonts w:cs="Guttman Drogolin"/>
          <w:rtl/>
          <w:lang w:bidi="he-IL"/>
        </w:rPr>
        <w:t>"</w:t>
      </w:r>
      <w:r w:rsidR="005F4044" w:rsidRPr="00882F11">
        <w:rPr>
          <w:rFonts w:cs="Guttman Drogolin" w:hint="cs"/>
          <w:rtl/>
          <w:lang w:bidi="he-IL"/>
        </w:rPr>
        <w:t>כ</w:t>
      </w:r>
      <w:r w:rsidR="005F4044" w:rsidRPr="00882F11">
        <w:rPr>
          <w:rFonts w:cs="Guttman Drogolin"/>
          <w:rtl/>
          <w:lang w:bidi="he-IL"/>
        </w:rPr>
        <w:t xml:space="preserve"> </w:t>
      </w:r>
      <w:r w:rsidR="005F4044" w:rsidRPr="00882F11">
        <w:rPr>
          <w:rFonts w:cs="Guttman Drogolin" w:hint="cs"/>
          <w:rtl/>
          <w:lang w:bidi="he-IL"/>
        </w:rPr>
        <w:t>איזה</w:t>
      </w:r>
      <w:r w:rsidR="005F4044" w:rsidRPr="00882F11">
        <w:rPr>
          <w:rFonts w:cs="Guttman Drogolin"/>
          <w:rtl/>
          <w:lang w:bidi="he-IL"/>
        </w:rPr>
        <w:t xml:space="preserve"> </w:t>
      </w:r>
      <w:r w:rsidR="005F4044" w:rsidRPr="00882F11">
        <w:rPr>
          <w:rFonts w:cs="Guttman Drogolin" w:hint="cs"/>
          <w:rtl/>
          <w:lang w:bidi="he-IL"/>
        </w:rPr>
        <w:t>חלק</w:t>
      </w:r>
      <w:r w:rsidR="005F4044" w:rsidRPr="00882F11">
        <w:rPr>
          <w:rFonts w:cs="Guttman Drogolin"/>
          <w:rtl/>
          <w:lang w:bidi="he-IL"/>
        </w:rPr>
        <w:t xml:space="preserve"> </w:t>
      </w:r>
      <w:r w:rsidR="005F4044" w:rsidRPr="00882F11">
        <w:rPr>
          <w:rFonts w:cs="Guttman Drogolin" w:hint="cs"/>
          <w:rtl/>
          <w:lang w:bidi="he-IL"/>
        </w:rPr>
        <w:t>ואיזה</w:t>
      </w:r>
      <w:r w:rsidR="005F4044" w:rsidRPr="00882F11">
        <w:rPr>
          <w:rFonts w:cs="Guttman Drogolin"/>
          <w:rtl/>
          <w:lang w:bidi="he-IL"/>
        </w:rPr>
        <w:t xml:space="preserve"> </w:t>
      </w:r>
      <w:r w:rsidR="005F4044" w:rsidRPr="00882F11">
        <w:rPr>
          <w:rFonts w:cs="Guttman Drogolin" w:hint="cs"/>
          <w:rtl/>
          <w:lang w:bidi="he-IL"/>
        </w:rPr>
        <w:t>מקרי</w:t>
      </w:r>
      <w:r w:rsidR="005F4044" w:rsidRPr="00882F11">
        <w:rPr>
          <w:rFonts w:cs="Guttman Drogolin"/>
          <w:rtl/>
          <w:lang w:bidi="he-IL"/>
        </w:rPr>
        <w:t xml:space="preserve"> </w:t>
      </w:r>
      <w:r w:rsidR="005F4044" w:rsidRPr="00882F11">
        <w:rPr>
          <w:rFonts w:cs="Guttman Drogolin" w:hint="cs"/>
          <w:rtl/>
          <w:lang w:bidi="he-IL"/>
        </w:rPr>
        <w:t>יש</w:t>
      </w:r>
      <w:r w:rsidR="005F4044" w:rsidRPr="00882F11">
        <w:rPr>
          <w:rFonts w:cs="Guttman Drogolin"/>
          <w:rtl/>
          <w:lang w:bidi="he-IL"/>
        </w:rPr>
        <w:t xml:space="preserve"> </w:t>
      </w:r>
      <w:r w:rsidR="005F4044" w:rsidRPr="00882F11">
        <w:rPr>
          <w:rFonts w:cs="Guttman Drogolin" w:hint="cs"/>
          <w:rtl/>
          <w:lang w:bidi="he-IL"/>
        </w:rPr>
        <w:t>בו</w:t>
      </w:r>
      <w:r w:rsidR="005F4044" w:rsidRPr="00882F11">
        <w:rPr>
          <w:rFonts w:cs="Guttman Drogolin"/>
          <w:rtl/>
          <w:lang w:bidi="he-IL"/>
        </w:rPr>
        <w:t xml:space="preserve"> </w:t>
      </w:r>
      <w:r w:rsidR="005F4044" w:rsidRPr="00882F11">
        <w:rPr>
          <w:rFonts w:cs="Guttman Drogolin" w:hint="cs"/>
          <w:rtl/>
          <w:lang w:bidi="he-IL"/>
        </w:rPr>
        <w:t>פילי". ולכאורה הי' משמע א"כ שאפילו בבשר חי, כיון דע"כ לפי השיטה המחמירה שייך בה פילי, ואין אנו בקיאים בהם יש לנו להחמיר בכל הנשפך אבשר חי ולא מהני הדחה.</w:t>
      </w:r>
      <w:r w:rsidR="006E535F" w:rsidRPr="00882F11">
        <w:rPr>
          <w:rFonts w:cs="Guttman Drogolin" w:hint="cs"/>
          <w:rtl/>
          <w:lang w:bidi="he-IL"/>
        </w:rPr>
        <w:t xml:space="preserve"> אמנם נראה שאין הדין כן מכמה טעמים. חדא שהרי שיטת ס' התרומה לאו דכו"ע הוא. ועוד הרי הערוה"ש כתב (סע' ל"ז) שרוב הבשר הצלוי יש בה פילי, ומשמע שאין הדין כן בבשר חי. ועוד נראה דעד כאן לא קאמר מהר"ם שיף אלא שאין בקיאים כ"כ איזה חלק וכו', ויתכן שכוונתו שאם יש מקום שהוא ספק אם נחשב בקעים או לא צריכים להחמיר משום שאין אנו בקיאים, אבל אם אחרי בדיקה לא רואים שום חשש בקעים אפשר להתיר בהדחה. והענין עדיין צ"ע.</w:t>
      </w:r>
    </w:p>
    <w:p w:rsidR="006E535F" w:rsidRPr="00882F11" w:rsidRDefault="006E535F" w:rsidP="006E535F">
      <w:pPr>
        <w:pStyle w:val="Heading1"/>
        <w:bidi/>
        <w:spacing w:before="0" w:line="360" w:lineRule="auto"/>
        <w:jc w:val="center"/>
        <w:rPr>
          <w:rFonts w:cs="Guttman Drogolin"/>
          <w:color w:val="auto"/>
          <w:sz w:val="24"/>
          <w:szCs w:val="24"/>
          <w:u w:val="single"/>
          <w:rtl/>
          <w:lang w:bidi="he-IL"/>
        </w:rPr>
      </w:pPr>
      <w:bookmarkStart w:id="448" w:name="_Toc496175695"/>
      <w:r w:rsidRPr="00882F11">
        <w:rPr>
          <w:rFonts w:cs="Guttman Drogolin" w:hint="cs"/>
          <w:color w:val="auto"/>
          <w:sz w:val="24"/>
          <w:szCs w:val="24"/>
          <w:u w:val="single"/>
          <w:rtl/>
          <w:lang w:bidi="he-IL"/>
        </w:rPr>
        <w:t>עד כמה מתפשט טעם ע"י מליחה</w:t>
      </w:r>
      <w:bookmarkEnd w:id="448"/>
    </w:p>
    <w:p w:rsidR="004553CA" w:rsidRPr="00882F11" w:rsidRDefault="005E0D67" w:rsidP="004553CA">
      <w:pPr>
        <w:tabs>
          <w:tab w:val="right" w:pos="7497"/>
        </w:tabs>
        <w:bidi/>
        <w:jc w:val="both"/>
        <w:rPr>
          <w:rFonts w:cs="Guttman Drogolin"/>
          <w:rtl/>
          <w:lang w:bidi="he-IL"/>
        </w:rPr>
      </w:pPr>
      <w:r>
        <w:rPr>
          <w:rFonts w:cs="Guttman Drogolin"/>
          <w:rtl/>
          <w:lang w:bidi="he-IL"/>
        </w:rPr>
        <w:fldChar w:fldCharType="begin"/>
      </w:r>
      <w:r>
        <w:instrText xml:space="preserve"> XE "</w:instrText>
      </w:r>
      <w:r w:rsidRPr="00856AD8">
        <w:rPr>
          <w:rFonts w:hint="cs"/>
          <w:rtl/>
          <w:lang w:bidi="he-IL"/>
        </w:rPr>
        <w:instrText>מליח</w:instrText>
      </w:r>
      <w:r w:rsidRPr="00856AD8">
        <w:rPr>
          <w:rtl/>
        </w:rPr>
        <w:instrText>:</w:instrText>
      </w:r>
      <w:r w:rsidRPr="00856AD8">
        <w:rPr>
          <w:rFonts w:hint="cs"/>
          <w:rtl/>
          <w:lang w:bidi="he-IL"/>
        </w:rPr>
        <w:instrText>עד כמה מתפשט הטעם על ידו</w:instrText>
      </w:r>
      <w:r>
        <w:instrText xml:space="preserve">" </w:instrText>
      </w:r>
      <w:r>
        <w:rPr>
          <w:rFonts w:cs="Guttman Drogolin"/>
          <w:rtl/>
          <w:lang w:bidi="he-IL"/>
        </w:rPr>
        <w:fldChar w:fldCharType="end"/>
      </w:r>
      <w:r w:rsidR="004553CA" w:rsidRPr="00882F11">
        <w:rPr>
          <w:rFonts w:cs="Guttman Drogolin" w:hint="cs"/>
          <w:rtl/>
          <w:lang w:bidi="he-IL"/>
        </w:rPr>
        <w:t xml:space="preserve">ברותח דצלי נחלקו הראשונים אם הוא מתפשט כדי נטילה (זהו שיטת התוס' צ"ו ע"ב) או"ד כדי קליפה (שכן הי' נוטה הרשב"א, אלא שלמעשה [ע' ב"ד ש"א דף ד' ע"ב] החמיר באיסור דאורייתא להצריך כדי נטילה). ובזה קיי"ל בשו"ע סי' ק"ה סע' ד' דצריך כדי נטילה. וכפשוטו דמליח שהרי הוא כרותח דצלי ג"כ דינו כנ"ל, וכן נקטו כמה ראשונים (ע' בד"ה ובחי' הריטב"א צ"ז ע"ב, וע' גם במהרש"א צ"ו ע"ב ד"ה עד שמגיע). </w:t>
      </w:r>
      <w:r w:rsidR="003406CB" w:rsidRPr="00882F11">
        <w:rPr>
          <w:rFonts w:cs="Guttman Drogolin" w:hint="cs"/>
          <w:rtl/>
          <w:lang w:bidi="he-IL"/>
        </w:rPr>
        <w:t>הרא"ש פ"ז אות כ"ד</w:t>
      </w:r>
      <w:r w:rsidR="004553CA" w:rsidRPr="00882F11">
        <w:rPr>
          <w:rFonts w:cs="Guttman Drogolin" w:hint="cs"/>
          <w:rtl/>
          <w:lang w:bidi="he-IL"/>
        </w:rPr>
        <w:t xml:space="preserve"> נקט שיש לחלק בין צלי למליחה, שאמנם צלי בעי כדי נטילה, במליחה אינו צריך אלא כדי קליפה.</w:t>
      </w:r>
    </w:p>
    <w:p w:rsidR="006E535F" w:rsidRPr="00882F11" w:rsidRDefault="004553CA" w:rsidP="004553CA">
      <w:pPr>
        <w:tabs>
          <w:tab w:val="right" w:pos="7497"/>
        </w:tabs>
        <w:bidi/>
        <w:jc w:val="both"/>
        <w:rPr>
          <w:rFonts w:cs="Guttman Drogolin"/>
          <w:rtl/>
          <w:lang w:bidi="he-IL"/>
        </w:rPr>
      </w:pPr>
      <w:r w:rsidRPr="00882F11">
        <w:rPr>
          <w:rFonts w:cs="Guttman Drogolin" w:hint="cs"/>
          <w:rtl/>
          <w:lang w:bidi="he-IL"/>
        </w:rPr>
        <w:t>ויל"ע מהו שיטת השו"ע בשיעור שבולע ע"י מליחה.</w:t>
      </w:r>
      <w:r w:rsidR="003406CB" w:rsidRPr="00882F11">
        <w:rPr>
          <w:rFonts w:cs="Guttman Drogolin" w:hint="cs"/>
          <w:rtl/>
          <w:lang w:bidi="he-IL"/>
        </w:rPr>
        <w:t xml:space="preserve"> </w:t>
      </w:r>
      <w:r w:rsidRPr="00882F11">
        <w:rPr>
          <w:rFonts w:cs="Guttman Drogolin" w:hint="cs"/>
          <w:rtl/>
          <w:lang w:bidi="he-IL"/>
        </w:rPr>
        <w:t>ו</w:t>
      </w:r>
      <w:r w:rsidR="006E535F" w:rsidRPr="00882F11">
        <w:rPr>
          <w:rFonts w:cs="Guttman Drogolin" w:hint="cs"/>
          <w:rtl/>
          <w:lang w:bidi="he-IL"/>
        </w:rPr>
        <w:t>הנה ז"ל השו"ע בסי' ק"ה סע' ט' "</w:t>
      </w:r>
      <w:r w:rsidR="003406CB" w:rsidRPr="00882F11">
        <w:rPr>
          <w:rFonts w:cs="Guttman Drogolin" w:hint="cs"/>
          <w:rtl/>
          <w:lang w:bidi="he-IL"/>
        </w:rPr>
        <w:t>מליח</w:t>
      </w:r>
      <w:r w:rsidR="003406CB" w:rsidRPr="00882F11">
        <w:rPr>
          <w:rFonts w:cs="Guttman Drogolin"/>
          <w:rtl/>
          <w:lang w:bidi="he-IL"/>
        </w:rPr>
        <w:t xml:space="preserve"> </w:t>
      </w:r>
      <w:r w:rsidR="003406CB" w:rsidRPr="00882F11">
        <w:rPr>
          <w:rFonts w:cs="Guttman Drogolin" w:hint="cs"/>
          <w:rtl/>
          <w:lang w:bidi="he-IL"/>
        </w:rPr>
        <w:t>שאינו</w:t>
      </w:r>
      <w:r w:rsidR="003406CB" w:rsidRPr="00882F11">
        <w:rPr>
          <w:rFonts w:cs="Guttman Drogolin"/>
          <w:rtl/>
          <w:lang w:bidi="he-IL"/>
        </w:rPr>
        <w:t xml:space="preserve"> </w:t>
      </w:r>
      <w:r w:rsidR="003406CB" w:rsidRPr="00882F11">
        <w:rPr>
          <w:rFonts w:cs="Guttman Drogolin" w:hint="cs"/>
          <w:rtl/>
          <w:lang w:bidi="he-IL"/>
        </w:rPr>
        <w:t>נאכל</w:t>
      </w:r>
      <w:r w:rsidR="003406CB" w:rsidRPr="00882F11">
        <w:rPr>
          <w:rFonts w:cs="Guttman Drogolin"/>
          <w:rtl/>
          <w:lang w:bidi="he-IL"/>
        </w:rPr>
        <w:t xml:space="preserve"> </w:t>
      </w:r>
      <w:r w:rsidR="003406CB" w:rsidRPr="00882F11">
        <w:rPr>
          <w:rFonts w:cs="Guttman Drogolin" w:hint="cs"/>
          <w:rtl/>
          <w:lang w:bidi="he-IL"/>
        </w:rPr>
        <w:t>מחמת</w:t>
      </w:r>
      <w:r w:rsidR="003406CB" w:rsidRPr="00882F11">
        <w:rPr>
          <w:rFonts w:cs="Guttman Drogolin"/>
          <w:rtl/>
          <w:lang w:bidi="he-IL"/>
        </w:rPr>
        <w:t xml:space="preserve"> </w:t>
      </w:r>
      <w:r w:rsidR="003406CB" w:rsidRPr="00882F11">
        <w:rPr>
          <w:rFonts w:cs="Guttman Drogolin" w:hint="cs"/>
          <w:rtl/>
          <w:lang w:bidi="he-IL"/>
        </w:rPr>
        <w:t>מלחו</w:t>
      </w:r>
      <w:r w:rsidR="003406CB" w:rsidRPr="00882F11">
        <w:rPr>
          <w:rFonts w:cs="Guttman Drogolin"/>
          <w:rtl/>
          <w:lang w:bidi="he-IL"/>
        </w:rPr>
        <w:t xml:space="preserve"> </w:t>
      </w:r>
      <w:r w:rsidR="003406CB" w:rsidRPr="00882F11">
        <w:rPr>
          <w:rFonts w:cs="Guttman Drogolin" w:hint="cs"/>
          <w:rtl/>
          <w:lang w:bidi="he-IL"/>
        </w:rPr>
        <w:t>דינו</w:t>
      </w:r>
      <w:r w:rsidR="003406CB" w:rsidRPr="00882F11">
        <w:rPr>
          <w:rFonts w:cs="Guttman Drogolin"/>
          <w:rtl/>
          <w:lang w:bidi="he-IL"/>
        </w:rPr>
        <w:t xml:space="preserve"> </w:t>
      </w:r>
      <w:r w:rsidR="003406CB" w:rsidRPr="00882F11">
        <w:rPr>
          <w:rFonts w:cs="Guttman Drogolin" w:hint="cs"/>
          <w:rtl/>
          <w:lang w:bidi="he-IL"/>
        </w:rPr>
        <w:t>כרותח</w:t>
      </w:r>
      <w:r w:rsidR="003406CB" w:rsidRPr="00882F11">
        <w:rPr>
          <w:rFonts w:cs="Guttman Drogolin"/>
          <w:rtl/>
          <w:lang w:bidi="he-IL"/>
        </w:rPr>
        <w:t xml:space="preserve"> </w:t>
      </w:r>
      <w:r w:rsidR="003406CB" w:rsidRPr="00882F11">
        <w:rPr>
          <w:rFonts w:cs="Guttman Drogolin" w:hint="cs"/>
          <w:rtl/>
          <w:lang w:bidi="he-IL"/>
        </w:rPr>
        <w:t>ומפליט</w:t>
      </w:r>
      <w:r w:rsidR="003406CB" w:rsidRPr="00882F11">
        <w:rPr>
          <w:rFonts w:cs="Guttman Drogolin"/>
          <w:rtl/>
          <w:lang w:bidi="he-IL"/>
        </w:rPr>
        <w:t xml:space="preserve"> </w:t>
      </w:r>
      <w:r w:rsidR="003406CB" w:rsidRPr="00882F11">
        <w:rPr>
          <w:rFonts w:cs="Guttman Drogolin" w:hint="cs"/>
          <w:rtl/>
          <w:lang w:bidi="he-IL"/>
        </w:rPr>
        <w:lastRenderedPageBreak/>
        <w:t>לאסור</w:t>
      </w:r>
      <w:r w:rsidR="003406CB" w:rsidRPr="00882F11">
        <w:rPr>
          <w:rFonts w:cs="Guttman Drogolin"/>
          <w:rtl/>
          <w:lang w:bidi="he-IL"/>
        </w:rPr>
        <w:t xml:space="preserve"> </w:t>
      </w:r>
      <w:r w:rsidR="003406CB" w:rsidRPr="00882F11">
        <w:rPr>
          <w:rFonts w:cs="Guttman Drogolin" w:hint="cs"/>
          <w:rtl/>
          <w:lang w:bidi="he-IL"/>
        </w:rPr>
        <w:t>כדי</w:t>
      </w:r>
      <w:r w:rsidR="003406CB" w:rsidRPr="00882F11">
        <w:rPr>
          <w:rFonts w:cs="Guttman Drogolin"/>
          <w:rtl/>
          <w:lang w:bidi="he-IL"/>
        </w:rPr>
        <w:t xml:space="preserve"> </w:t>
      </w:r>
      <w:r w:rsidR="003406CB" w:rsidRPr="00882F11">
        <w:rPr>
          <w:rFonts w:cs="Guttman Drogolin" w:hint="cs"/>
          <w:rtl/>
          <w:lang w:bidi="he-IL"/>
        </w:rPr>
        <w:t>קליפה</w:t>
      </w:r>
      <w:r w:rsidR="003406CB" w:rsidRPr="00882F11">
        <w:rPr>
          <w:rFonts w:cs="Guttman Drogolin"/>
          <w:rtl/>
          <w:lang w:bidi="he-IL"/>
        </w:rPr>
        <w:t xml:space="preserve"> </w:t>
      </w:r>
      <w:r w:rsidR="003406CB" w:rsidRPr="00882F11">
        <w:rPr>
          <w:rFonts w:cs="Guttman Drogolin" w:hint="cs"/>
          <w:rtl/>
          <w:lang w:bidi="he-IL"/>
        </w:rPr>
        <w:t>ואם</w:t>
      </w:r>
      <w:r w:rsidR="003406CB" w:rsidRPr="00882F11">
        <w:rPr>
          <w:rFonts w:cs="Guttman Drogolin"/>
          <w:rtl/>
          <w:lang w:bidi="he-IL"/>
        </w:rPr>
        <w:t xml:space="preserve"> </w:t>
      </w:r>
      <w:r w:rsidR="003406CB" w:rsidRPr="00882F11">
        <w:rPr>
          <w:rFonts w:cs="Guttman Drogolin" w:hint="cs"/>
          <w:rtl/>
          <w:lang w:bidi="he-IL"/>
        </w:rPr>
        <w:t>הוא</w:t>
      </w:r>
      <w:r w:rsidR="003406CB" w:rsidRPr="00882F11">
        <w:rPr>
          <w:rFonts w:cs="Guttman Drogolin"/>
          <w:rtl/>
          <w:lang w:bidi="he-IL"/>
        </w:rPr>
        <w:t xml:space="preserve"> </w:t>
      </w:r>
      <w:r w:rsidR="003406CB" w:rsidRPr="00882F11">
        <w:rPr>
          <w:rFonts w:cs="Guttman Drogolin" w:hint="cs"/>
          <w:rtl/>
          <w:lang w:bidi="he-IL"/>
        </w:rPr>
        <w:t>שומן</w:t>
      </w:r>
      <w:r w:rsidR="003406CB" w:rsidRPr="00882F11">
        <w:rPr>
          <w:rFonts w:cs="Guttman Drogolin"/>
          <w:rtl/>
          <w:lang w:bidi="he-IL"/>
        </w:rPr>
        <w:t xml:space="preserve"> </w:t>
      </w:r>
      <w:r w:rsidR="003406CB" w:rsidRPr="00882F11">
        <w:rPr>
          <w:rFonts w:cs="Guttman Drogolin" w:hint="cs"/>
          <w:rtl/>
          <w:lang w:bidi="he-IL"/>
        </w:rPr>
        <w:t>הגיד</w:t>
      </w:r>
      <w:r w:rsidR="003406CB" w:rsidRPr="00882F11">
        <w:rPr>
          <w:rFonts w:cs="Guttman Drogolin"/>
          <w:rtl/>
          <w:lang w:bidi="he-IL"/>
        </w:rPr>
        <w:t xml:space="preserve"> </w:t>
      </w:r>
      <w:r w:rsidR="003406CB" w:rsidRPr="00882F11">
        <w:rPr>
          <w:rFonts w:cs="Guttman Drogolin" w:hint="cs"/>
          <w:rtl/>
          <w:lang w:bidi="he-IL"/>
        </w:rPr>
        <w:t>וקנוקנות</w:t>
      </w:r>
      <w:r w:rsidR="003406CB" w:rsidRPr="00882F11">
        <w:rPr>
          <w:rFonts w:cs="Guttman Drogolin"/>
          <w:rtl/>
          <w:lang w:bidi="he-IL"/>
        </w:rPr>
        <w:t xml:space="preserve"> </w:t>
      </w:r>
      <w:r w:rsidR="003406CB" w:rsidRPr="00882F11">
        <w:rPr>
          <w:rFonts w:cs="Guttman Drogolin" w:hint="cs"/>
          <w:rtl/>
          <w:lang w:bidi="he-IL"/>
        </w:rPr>
        <w:t>שבו</w:t>
      </w:r>
      <w:r w:rsidR="003406CB" w:rsidRPr="00882F11">
        <w:rPr>
          <w:rFonts w:cs="Guttman Drogolin"/>
          <w:rtl/>
          <w:lang w:bidi="he-IL"/>
        </w:rPr>
        <w:t xml:space="preserve"> </w:t>
      </w:r>
      <w:r w:rsidR="003406CB" w:rsidRPr="00882F11">
        <w:rPr>
          <w:rFonts w:cs="Guttman Drogolin" w:hint="cs"/>
          <w:rtl/>
          <w:lang w:bidi="he-IL"/>
        </w:rPr>
        <w:t>והקרומות</w:t>
      </w:r>
      <w:r w:rsidR="003406CB" w:rsidRPr="00882F11">
        <w:rPr>
          <w:rFonts w:cs="Guttman Drogolin"/>
          <w:rtl/>
          <w:lang w:bidi="he-IL"/>
        </w:rPr>
        <w:t xml:space="preserve"> </w:t>
      </w:r>
      <w:r w:rsidR="003406CB" w:rsidRPr="00882F11">
        <w:rPr>
          <w:rFonts w:cs="Guttman Drogolin" w:hint="cs"/>
          <w:rtl/>
          <w:lang w:bidi="he-IL"/>
        </w:rPr>
        <w:t>יש</w:t>
      </w:r>
      <w:r w:rsidR="003406CB" w:rsidRPr="00882F11">
        <w:rPr>
          <w:rFonts w:cs="Guttman Drogolin"/>
          <w:rtl/>
          <w:lang w:bidi="he-IL"/>
        </w:rPr>
        <w:t xml:space="preserve"> </w:t>
      </w:r>
      <w:r w:rsidR="003406CB" w:rsidRPr="00882F11">
        <w:rPr>
          <w:rFonts w:cs="Guttman Drogolin" w:hint="cs"/>
          <w:rtl/>
          <w:lang w:bidi="he-IL"/>
        </w:rPr>
        <w:t>להחמיר</w:t>
      </w:r>
      <w:r w:rsidR="003406CB" w:rsidRPr="00882F11">
        <w:rPr>
          <w:rFonts w:cs="Guttman Drogolin"/>
          <w:rtl/>
          <w:lang w:bidi="he-IL"/>
        </w:rPr>
        <w:t xml:space="preserve"> </w:t>
      </w:r>
      <w:r w:rsidR="003406CB" w:rsidRPr="00882F11">
        <w:rPr>
          <w:rFonts w:cs="Guttman Drogolin" w:hint="cs"/>
          <w:rtl/>
          <w:lang w:bidi="he-IL"/>
        </w:rPr>
        <w:t>ולהצריכם</w:t>
      </w:r>
      <w:r w:rsidR="003406CB" w:rsidRPr="00882F11">
        <w:rPr>
          <w:rFonts w:cs="Guttman Drogolin"/>
          <w:rtl/>
          <w:lang w:bidi="he-IL"/>
        </w:rPr>
        <w:t xml:space="preserve"> </w:t>
      </w:r>
      <w:r w:rsidR="003406CB" w:rsidRPr="00882F11">
        <w:rPr>
          <w:rFonts w:cs="Guttman Drogolin" w:hint="cs"/>
          <w:rtl/>
          <w:lang w:bidi="he-IL"/>
        </w:rPr>
        <w:t>נטילת</w:t>
      </w:r>
      <w:r w:rsidR="003406CB" w:rsidRPr="00882F11">
        <w:rPr>
          <w:rFonts w:cs="Guttman Drogolin"/>
          <w:rtl/>
          <w:lang w:bidi="he-IL"/>
        </w:rPr>
        <w:t xml:space="preserve"> </w:t>
      </w:r>
      <w:r w:rsidR="003406CB" w:rsidRPr="00882F11">
        <w:rPr>
          <w:rFonts w:cs="Guttman Drogolin" w:hint="cs"/>
          <w:rtl/>
          <w:lang w:bidi="he-IL"/>
        </w:rPr>
        <w:t>מקום</w:t>
      </w:r>
      <w:r w:rsidR="003406CB" w:rsidRPr="00882F11">
        <w:rPr>
          <w:rFonts w:cs="Guttman Drogolin"/>
          <w:rtl/>
          <w:lang w:bidi="he-IL"/>
        </w:rPr>
        <w:t xml:space="preserve"> </w:t>
      </w:r>
      <w:r w:rsidR="003406CB" w:rsidRPr="00882F11">
        <w:rPr>
          <w:rFonts w:cs="Guttman Drogolin" w:hint="cs"/>
          <w:rtl/>
          <w:lang w:bidi="he-IL"/>
        </w:rPr>
        <w:t>ואם</w:t>
      </w:r>
      <w:r w:rsidR="003406CB" w:rsidRPr="00882F11">
        <w:rPr>
          <w:rFonts w:cs="Guttman Drogolin"/>
          <w:rtl/>
          <w:lang w:bidi="he-IL"/>
        </w:rPr>
        <w:t xml:space="preserve"> </w:t>
      </w:r>
      <w:r w:rsidR="003406CB" w:rsidRPr="00882F11">
        <w:rPr>
          <w:rFonts w:cs="Guttman Drogolin" w:hint="cs"/>
          <w:rtl/>
          <w:lang w:bidi="he-IL"/>
        </w:rPr>
        <w:t>הוא</w:t>
      </w:r>
      <w:r w:rsidR="003406CB" w:rsidRPr="00882F11">
        <w:rPr>
          <w:rFonts w:cs="Guttman Drogolin"/>
          <w:rtl/>
          <w:lang w:bidi="he-IL"/>
        </w:rPr>
        <w:t xml:space="preserve"> </w:t>
      </w:r>
      <w:r w:rsidR="003406CB" w:rsidRPr="00882F11">
        <w:rPr>
          <w:rFonts w:cs="Guttman Drogolin" w:hint="cs"/>
          <w:rtl/>
          <w:lang w:bidi="he-IL"/>
        </w:rPr>
        <w:t>חלב</w:t>
      </w:r>
      <w:r w:rsidR="003406CB" w:rsidRPr="00882F11">
        <w:rPr>
          <w:rFonts w:cs="Guttman Drogolin"/>
          <w:rtl/>
          <w:lang w:bidi="he-IL"/>
        </w:rPr>
        <w:t xml:space="preserve"> </w:t>
      </w:r>
      <w:r w:rsidR="003406CB" w:rsidRPr="00882F11">
        <w:rPr>
          <w:rFonts w:cs="Guttman Drogolin" w:hint="cs"/>
          <w:rtl/>
          <w:lang w:bidi="he-IL"/>
        </w:rPr>
        <w:t>ממש</w:t>
      </w:r>
      <w:r w:rsidR="003406CB" w:rsidRPr="00882F11">
        <w:rPr>
          <w:rFonts w:cs="Guttman Drogolin"/>
          <w:rtl/>
          <w:lang w:bidi="he-IL"/>
        </w:rPr>
        <w:t xml:space="preserve"> </w:t>
      </w:r>
      <w:r w:rsidR="003406CB" w:rsidRPr="00882F11">
        <w:rPr>
          <w:rFonts w:cs="Guttman Drogolin" w:hint="cs"/>
          <w:rtl/>
          <w:lang w:bidi="he-IL"/>
        </w:rPr>
        <w:t>צריך</w:t>
      </w:r>
      <w:r w:rsidR="003406CB" w:rsidRPr="00882F11">
        <w:rPr>
          <w:rFonts w:cs="Guttman Drogolin"/>
          <w:rtl/>
          <w:lang w:bidi="he-IL"/>
        </w:rPr>
        <w:t xml:space="preserve"> </w:t>
      </w:r>
      <w:r w:rsidR="003406CB" w:rsidRPr="00882F11">
        <w:rPr>
          <w:rFonts w:cs="Guttman Drogolin" w:hint="cs"/>
          <w:rtl/>
          <w:lang w:bidi="he-IL"/>
        </w:rPr>
        <w:t>ששים</w:t>
      </w:r>
      <w:r w:rsidR="003406CB" w:rsidRPr="00882F11">
        <w:rPr>
          <w:rFonts w:cs="Guttman Drogolin"/>
          <w:rtl/>
          <w:lang w:bidi="he-IL"/>
        </w:rPr>
        <w:t xml:space="preserve"> </w:t>
      </w:r>
      <w:r w:rsidR="003406CB" w:rsidRPr="00882F11">
        <w:rPr>
          <w:rFonts w:cs="Guttman Drogolin" w:hint="cs"/>
          <w:rtl/>
          <w:lang w:bidi="he-IL"/>
        </w:rPr>
        <w:t>לבטלו". ויש ב' גירסאות בלשון השו"ע, שיש גורסים "ואם הוא שומן וכו'" וכנ"ל, ויש גורסים "אם הוא שומן וכו'"</w:t>
      </w:r>
      <w:r w:rsidRPr="00882F11">
        <w:rPr>
          <w:rFonts w:cs="Guttman Drogolin" w:hint="cs"/>
          <w:rtl/>
          <w:lang w:bidi="he-IL"/>
        </w:rPr>
        <w:t xml:space="preserve"> (ע' מזה בשפ"ד ס"ק כ"ז)</w:t>
      </w:r>
      <w:r w:rsidR="003406CB" w:rsidRPr="00882F11">
        <w:rPr>
          <w:rFonts w:cs="Guttman Drogolin" w:hint="cs"/>
          <w:rtl/>
          <w:lang w:bidi="he-IL"/>
        </w:rPr>
        <w:t xml:space="preserve">. </w:t>
      </w:r>
    </w:p>
    <w:p w:rsidR="00AB6755" w:rsidRPr="00882F11" w:rsidRDefault="003406CB" w:rsidP="003406CB">
      <w:pPr>
        <w:tabs>
          <w:tab w:val="right" w:pos="7497"/>
        </w:tabs>
        <w:bidi/>
        <w:jc w:val="both"/>
        <w:rPr>
          <w:rFonts w:cs="Guttman Drogolin"/>
          <w:rtl/>
          <w:lang w:bidi="he-IL"/>
        </w:rPr>
      </w:pPr>
      <w:r w:rsidRPr="00882F11">
        <w:rPr>
          <w:rFonts w:cs="Guttman Drogolin" w:hint="cs"/>
          <w:rtl/>
          <w:lang w:bidi="he-IL"/>
        </w:rPr>
        <w:t>הש"ך הי' גורס "ואם וכו'"</w:t>
      </w:r>
      <w:r w:rsidR="004553CA" w:rsidRPr="00882F11">
        <w:rPr>
          <w:rFonts w:cs="Guttman Drogolin" w:hint="cs"/>
          <w:rtl/>
          <w:lang w:bidi="he-IL"/>
        </w:rPr>
        <w:t>.</w:t>
      </w:r>
      <w:r w:rsidRPr="00882F11">
        <w:rPr>
          <w:rFonts w:cs="Guttman Drogolin" w:hint="cs"/>
          <w:rtl/>
          <w:lang w:bidi="he-IL"/>
        </w:rPr>
        <w:t xml:space="preserve"> והיינו משום דסבר</w:t>
      </w:r>
      <w:r w:rsidR="004553CA" w:rsidRPr="00882F11">
        <w:rPr>
          <w:rFonts w:cs="Guttman Drogolin" w:hint="cs"/>
          <w:rtl/>
          <w:lang w:bidi="he-IL"/>
        </w:rPr>
        <w:t xml:space="preserve"> שאמנם קיי"ל כרא"ש שבמליח אינו צריך אלא כדי קליפה ולא כדי נטילה, הנ"מ בדבר כחוש, אבל לא בדבר שמן. וכי תימא דא"כ מהו הטעם שבשומן גיד וכו' צריך כדי נטילה ולא ששים כמו בחלב המפעפע, </w:t>
      </w:r>
      <w:r w:rsidR="00AB6755" w:rsidRPr="00882F11">
        <w:rPr>
          <w:rFonts w:cs="Guttman Drogolin" w:hint="cs"/>
          <w:rtl/>
          <w:lang w:bidi="he-IL"/>
        </w:rPr>
        <w:t>ע' במנח"כ ח"ב פ"ו שפי' ד</w:t>
      </w:r>
      <w:r w:rsidR="004553CA" w:rsidRPr="00882F11">
        <w:rPr>
          <w:rFonts w:cs="Guttman Drogolin" w:hint="cs"/>
          <w:rtl/>
          <w:lang w:bidi="he-IL"/>
        </w:rPr>
        <w:t>היינו משום שאינו אלא שמן קצת, ולכן אמנם מ</w:t>
      </w:r>
      <w:r w:rsidR="00AB6755" w:rsidRPr="00882F11">
        <w:rPr>
          <w:rFonts w:cs="Guttman Drogolin" w:hint="cs"/>
          <w:rtl/>
          <w:lang w:bidi="he-IL"/>
        </w:rPr>
        <w:t xml:space="preserve">פעפע אבל רק כדי קליפה. </w:t>
      </w:r>
    </w:p>
    <w:p w:rsidR="003406CB" w:rsidRPr="00882F11" w:rsidRDefault="00AB6755" w:rsidP="00AB6755">
      <w:pPr>
        <w:tabs>
          <w:tab w:val="right" w:pos="7497"/>
        </w:tabs>
        <w:bidi/>
        <w:jc w:val="both"/>
        <w:rPr>
          <w:rFonts w:cs="Guttman Drogolin"/>
          <w:rtl/>
          <w:lang w:bidi="he-IL"/>
        </w:rPr>
      </w:pPr>
      <w:r w:rsidRPr="00882F11">
        <w:rPr>
          <w:rFonts w:cs="Guttman Drogolin" w:hint="cs"/>
          <w:rtl/>
          <w:lang w:bidi="he-IL"/>
        </w:rPr>
        <w:t>ובפר"ח דחה פי' זה משום שאינו משמע בב"י. ולכן הוא גרס "אם וכו'". ור"ל שאם מיירי בשומן גיד וקנוקנות שבו אז אינו צריך אלא כדי קליפה, אבל אם מיירי בקרומות יש להחמיר ולהצריך כדי נטילה (היינו שלפי פי' זה</w:t>
      </w:r>
      <w:r w:rsidR="00E30CC4" w:rsidRPr="00882F11">
        <w:rPr>
          <w:rFonts w:cs="Guttman Drogolin" w:hint="cs"/>
          <w:rtl/>
          <w:lang w:bidi="he-IL"/>
        </w:rPr>
        <w:t xml:space="preserve"> יש פסיק בין 'שבו' לבין 'והקרומות'). והטעם זה ע' בביאור הגר"א שהוא כפשרה בין השיטות, והיינו שלא רצה השו"ע להקל לגמרי כשיטת הרא"ש שמחלק בין מליח לצלי, אבל באיסורים שאינם אלא מדרבנן, שהרשב"א הרי נטה להקל בהם גם בצלי שאינו צריך אלא כדי קליפה, עכ"פ במליח שהקיל בה הרא"ש יותר מצלי אפשר להקל בכדי קליפה. ולכן בשומן הגיד וקנוקנות שבו שאינו אלא מדרבנן הקיל שאינו צריך אלא כדי קליפה (והיינו משום דסבר דהוו ככחוש, ואינו מחלק בין שמן קצת לשמן גמור). ובאיסור דאורייתא החמיר ששיעורו בכדי קליפה כמו בצלי. וכן באיסורים מדרבנן ג"כ החמיר להצריך תמיד כדי נטילה כיון שבזה אי אפשר לצרף שיטת הרא"ש הנ"ל. והנ"מ כחוש, אבל שמן דינו שוה לכהא דצלי ומתפשט בכולו וצריך ששים כנגדו. ומה שקשה על זה הוא שלכאורה בסי' צ"א סע' ה' מבואר שאינו צריך </w:t>
      </w:r>
      <w:r w:rsidR="00E30CC4" w:rsidRPr="00882F11">
        <w:rPr>
          <w:rFonts w:cs="Guttman Drogolin" w:hint="cs"/>
          <w:rtl/>
          <w:lang w:bidi="he-IL"/>
        </w:rPr>
        <w:lastRenderedPageBreak/>
        <w:t xml:space="preserve">אלא כדי קליפה גם באיסורים מדאורייתא, וזה סותר למש"כ כאן. </w:t>
      </w:r>
    </w:p>
    <w:p w:rsidR="00E30CC4" w:rsidRPr="00D7621D" w:rsidRDefault="009E0A27" w:rsidP="009E0A27">
      <w:pPr>
        <w:pStyle w:val="Heading1"/>
        <w:bidi/>
        <w:spacing w:before="0" w:line="360" w:lineRule="auto"/>
        <w:jc w:val="center"/>
        <w:rPr>
          <w:rFonts w:cs="Guttman Drogolin"/>
          <w:color w:val="auto"/>
          <w:sz w:val="18"/>
          <w:szCs w:val="18"/>
          <w:u w:val="single"/>
          <w:rtl/>
          <w:lang w:bidi="he-IL"/>
        </w:rPr>
      </w:pPr>
      <w:bookmarkStart w:id="449" w:name="_Toc496175696"/>
      <w:r w:rsidRPr="00D7621D">
        <w:rPr>
          <w:rFonts w:cs="Guttman Drogolin" w:hint="cs"/>
          <w:color w:val="auto"/>
          <w:sz w:val="18"/>
          <w:szCs w:val="18"/>
          <w:u w:val="single"/>
          <w:rtl/>
          <w:lang w:bidi="he-IL"/>
        </w:rPr>
        <w:t>בענין העברת בליעה שמינה מחתיכה לחתיכה במליחה</w:t>
      </w:r>
      <w:bookmarkEnd w:id="449"/>
    </w:p>
    <w:p w:rsidR="0037794C" w:rsidRPr="00882F11" w:rsidRDefault="005E0D67" w:rsidP="009E0A27">
      <w:pPr>
        <w:tabs>
          <w:tab w:val="right" w:pos="7497"/>
        </w:tabs>
        <w:bidi/>
        <w:jc w:val="both"/>
        <w:rPr>
          <w:rFonts w:cs="Guttman Drogolin"/>
          <w:rtl/>
          <w:lang w:bidi="he-IL"/>
        </w:rPr>
      </w:pPr>
      <w:r>
        <w:rPr>
          <w:rFonts w:cs="Guttman Drogolin"/>
          <w:rtl/>
          <w:lang w:bidi="he-IL"/>
        </w:rPr>
        <w:fldChar w:fldCharType="begin"/>
      </w:r>
      <w:r>
        <w:instrText xml:space="preserve"> XE "</w:instrText>
      </w:r>
      <w:r w:rsidRPr="00A519F4">
        <w:rPr>
          <w:rFonts w:hint="cs"/>
          <w:rtl/>
          <w:lang w:bidi="he-IL"/>
        </w:rPr>
        <w:instrText>צלי</w:instrText>
      </w:r>
      <w:r w:rsidRPr="00A519F4">
        <w:rPr>
          <w:rtl/>
        </w:rPr>
        <w:instrText>:</w:instrText>
      </w:r>
      <w:r w:rsidRPr="00A519F4">
        <w:rPr>
          <w:rFonts w:hint="cs"/>
          <w:rtl/>
          <w:lang w:bidi="he-IL"/>
        </w:rPr>
        <w:instrText>העברת בליעה שמינה מחתיכה לחתיכה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3D7064">
        <w:rPr>
          <w:rFonts w:hint="cs"/>
          <w:rtl/>
          <w:lang w:bidi="he-IL"/>
        </w:rPr>
        <w:instrText>אין בליעה עוברת מחתיכה לחתיכה בלי רוטב</w:instrText>
      </w:r>
      <w:r w:rsidRPr="003D7064">
        <w:rPr>
          <w:rtl/>
        </w:rPr>
        <w:instrText>:</w:instrText>
      </w:r>
      <w:r w:rsidRPr="003D7064">
        <w:rPr>
          <w:rFonts w:hint="cs"/>
          <w:rtl/>
          <w:lang w:bidi="he-IL"/>
        </w:rPr>
        <w:instrText>בבליעה שמינה</w:instrText>
      </w:r>
      <w:r>
        <w:instrText xml:space="preserve">" </w:instrText>
      </w:r>
      <w:r>
        <w:rPr>
          <w:rFonts w:cs="Guttman Drogolin"/>
          <w:rtl/>
          <w:lang w:bidi="he-IL"/>
        </w:rPr>
        <w:fldChar w:fldCharType="end"/>
      </w:r>
      <w:r w:rsidR="009E0A27" w:rsidRPr="00882F11">
        <w:rPr>
          <w:rFonts w:cs="Guttman Drogolin" w:hint="cs"/>
          <w:rtl/>
          <w:lang w:bidi="he-IL"/>
        </w:rPr>
        <w:t>הב"י הביא מ</w:t>
      </w:r>
      <w:r w:rsidR="0037794C" w:rsidRPr="00882F11">
        <w:rPr>
          <w:rFonts w:cs="Guttman Drogolin" w:hint="cs"/>
          <w:rtl/>
          <w:lang w:bidi="he-IL"/>
        </w:rPr>
        <w:t xml:space="preserve">מרדכי (אות תרפ"ג) בשם </w:t>
      </w:r>
      <w:r w:rsidR="009E0A27" w:rsidRPr="00882F11">
        <w:rPr>
          <w:rFonts w:cs="Guttman Drogolin" w:hint="cs"/>
          <w:rtl/>
          <w:lang w:bidi="he-IL"/>
        </w:rPr>
        <w:t>מהר"ם שאין בלוע שמן עובר מחתיכה לחתיכה בלי רוטב. והמהר"ם הוכיח את זה מהא דטיפת חלב שנפלה על החתיכה ואוסרתת את כל החתיכה ומ"מ אינה עוברת את החברתה אא"כ ניער או כיסה. ולכאורה היינו משום דנקט שחלב חשוב דבר שמן, וכן צידד הדרכ"מ בסי' ק"ה ס"ק ו' (והביאו הש"ך בסי' צ"ב ס"ק ג') שמשו"ה טיפת חלב שנפלה על החתיכה מתפשטת בכל החתיכה אע"פ שאינו עובר מחתיכה לחתיכה, דחלב הוי דבר שמן שמפעפע ואוסרת כל החתיכה, אבל אינה אוסרת את חברתה כיון שאפילו בלוע שמן אינו עובר מחתיכה לחתיכה. ויש לדחות שלעולם אין חלב מפעפע, והטעם שאוסרת את כל החתיכה הוא משארי טעמים שהביא הש"ך ועוד שם. רק דסבר המהר"ם מסברא דנפשי' שאין טעם לחלק בין דבר המפעפע לדבר שאינו מפעפע לענין הכלל שאין בליעה עובר מחתיכה לחתיכה בלי רוטב.</w:t>
      </w:r>
    </w:p>
    <w:p w:rsidR="00FC49C0" w:rsidRPr="00882F11" w:rsidRDefault="0037794C" w:rsidP="00FC49C0">
      <w:pPr>
        <w:tabs>
          <w:tab w:val="right" w:pos="7497"/>
        </w:tabs>
        <w:bidi/>
        <w:jc w:val="both"/>
        <w:rPr>
          <w:rFonts w:cs="Guttman Drogolin"/>
          <w:rtl/>
          <w:lang w:bidi="he-IL"/>
        </w:rPr>
      </w:pPr>
      <w:r w:rsidRPr="00882F11">
        <w:rPr>
          <w:rFonts w:cs="Guttman Drogolin" w:hint="cs"/>
          <w:rtl/>
          <w:lang w:bidi="he-IL"/>
        </w:rPr>
        <w:t>ומכח כלל זה כתב מהר"ם</w:t>
      </w:r>
      <w:r w:rsidR="009E0A27" w:rsidRPr="00882F11">
        <w:rPr>
          <w:rFonts w:cs="Guttman Drogolin" w:hint="cs"/>
          <w:rtl/>
          <w:lang w:bidi="he-IL"/>
        </w:rPr>
        <w:t xml:space="preserve"> </w:t>
      </w:r>
      <w:r w:rsidRPr="00882F11">
        <w:rPr>
          <w:rFonts w:cs="Guttman Drogolin" w:hint="cs"/>
          <w:rtl/>
          <w:lang w:bidi="he-IL"/>
        </w:rPr>
        <w:t>שאם מלחו</w:t>
      </w:r>
      <w:r w:rsidR="00FC49C0" w:rsidRPr="00882F11">
        <w:rPr>
          <w:rFonts w:cs="Guttman Drogolin" w:hint="cs"/>
          <w:rtl/>
          <w:lang w:bidi="he-IL"/>
        </w:rPr>
        <w:t xml:space="preserve"> כמה חתיכות ביחד ויש חלב דבוק לא' מהם הדבר תלוי, אם נגע החלב לכל התחיכות כולן אסורות, ואפילו נגעו כל החתיכות יחד אינן מצטרפות לבטל הטעם שנכנס חתיכה מן החלב, משום שאין בליעה עובר מחתיכה לחתיכה בלי רוטב. ואם יש ספק אולי נגע בכולן ג"כ אסורות. אבל ידוע שלא נגע אלא למיעוט החתיכות, בזה אמרינן שהמיעוט בטל ברוב, ואפילו אם החתיכה שנגע בה היא ראוי' להתכבד ג"כ  כולן מותרות כיון שאינה אסורה מחמת עצמה.</w:t>
      </w:r>
      <w:r w:rsidR="00984549" w:rsidRPr="00882F11">
        <w:rPr>
          <w:rFonts w:cs="Guttman Drogolin" w:hint="cs"/>
          <w:rtl/>
          <w:lang w:bidi="he-IL"/>
        </w:rPr>
        <w:t xml:space="preserve"> וכן נפסק כאן בשו"ע סע' ט'.</w:t>
      </w:r>
    </w:p>
    <w:p w:rsidR="00984549" w:rsidRPr="00882F11" w:rsidRDefault="00FC49C0" w:rsidP="002444B8">
      <w:pPr>
        <w:tabs>
          <w:tab w:val="right" w:pos="7497"/>
        </w:tabs>
        <w:bidi/>
        <w:jc w:val="both"/>
        <w:rPr>
          <w:rFonts w:cs="Guttman Drogolin"/>
          <w:rtl/>
          <w:lang w:bidi="he-IL"/>
        </w:rPr>
      </w:pPr>
      <w:r w:rsidRPr="00882F11">
        <w:rPr>
          <w:rFonts w:cs="Guttman Drogolin" w:hint="cs"/>
          <w:rtl/>
          <w:lang w:bidi="he-IL"/>
        </w:rPr>
        <w:t>והקשה הט"ז</w:t>
      </w:r>
      <w:r w:rsidR="00E71707" w:rsidRPr="00882F11">
        <w:rPr>
          <w:rStyle w:val="FootnoteReference"/>
          <w:rFonts w:cs="Guttman Drogolin"/>
          <w:rtl/>
          <w:lang w:bidi="he-IL"/>
        </w:rPr>
        <w:footnoteReference w:id="429"/>
      </w:r>
      <w:r w:rsidRPr="00882F11">
        <w:rPr>
          <w:rFonts w:cs="Guttman Drogolin" w:hint="cs"/>
          <w:rtl/>
          <w:lang w:bidi="he-IL"/>
        </w:rPr>
        <w:t xml:space="preserve"> ס"ק כ"ב, שהרי הטעם שאין החתיכות מצטרפות משום שאין בלוע שמן עובר מחתיכה לחתיכה בלי רוטב. והרי לעיל בסע' </w:t>
      </w:r>
      <w:r w:rsidR="00984549" w:rsidRPr="00882F11">
        <w:rPr>
          <w:rFonts w:cs="Guttman Drogolin" w:hint="cs"/>
          <w:rtl/>
          <w:lang w:bidi="he-IL"/>
        </w:rPr>
        <w:t xml:space="preserve">ז' </w:t>
      </w:r>
      <w:r w:rsidR="00984549" w:rsidRPr="00882F11">
        <w:rPr>
          <w:rFonts w:cs="Guttman Drogolin" w:hint="cs"/>
          <w:rtl/>
          <w:lang w:bidi="he-IL"/>
        </w:rPr>
        <w:lastRenderedPageBreak/>
        <w:t xml:space="preserve">כתב כשיטת הרשב"א שדבר שמן מפעפע מחתיכה לחתיכה בלי רוטב, וזה לכאורה סותר פסקו של השו"ע כאן. ונשאר הט"ז בצ"ע. </w:t>
      </w:r>
      <w:r w:rsidR="002444B8" w:rsidRPr="00882F11">
        <w:rPr>
          <w:rFonts w:cs="Guttman Drogolin" w:hint="cs"/>
          <w:rtl/>
          <w:lang w:bidi="he-IL"/>
        </w:rPr>
        <w:t>והפר"ח נקט שהמחבר מחלק בין מליחה לצלי'</w:t>
      </w:r>
      <w:r w:rsidR="002444B8" w:rsidRPr="00882F11">
        <w:rPr>
          <w:rStyle w:val="FootnoteReference"/>
          <w:rFonts w:cs="Guttman Drogolin"/>
          <w:rtl/>
          <w:lang w:bidi="he-IL"/>
        </w:rPr>
        <w:footnoteReference w:id="430"/>
      </w:r>
      <w:r w:rsidR="00E71707" w:rsidRPr="00882F11">
        <w:rPr>
          <w:rFonts w:cs="Guttman Drogolin" w:hint="cs"/>
          <w:rtl/>
          <w:lang w:bidi="he-IL"/>
        </w:rPr>
        <w:t>, ובצלי סבר שהוא מפעפע אפילו לקולא, ובמליחה סבר שאינו מפעפע אפילו לקולא</w:t>
      </w:r>
      <w:r w:rsidR="002444B8" w:rsidRPr="00882F11">
        <w:rPr>
          <w:rFonts w:cs="Guttman Drogolin" w:hint="cs"/>
          <w:rtl/>
          <w:lang w:bidi="he-IL"/>
        </w:rPr>
        <w:t xml:space="preserve">. </w:t>
      </w:r>
      <w:r w:rsidR="00984549" w:rsidRPr="00882F11">
        <w:rPr>
          <w:rFonts w:cs="Guttman Drogolin" w:hint="cs"/>
          <w:rtl/>
          <w:lang w:bidi="he-IL"/>
        </w:rPr>
        <w:t xml:space="preserve">וראיתי בשם </w:t>
      </w:r>
      <w:r w:rsidR="002444B8" w:rsidRPr="00882F11">
        <w:rPr>
          <w:rFonts w:cs="Guttman Drogolin" w:hint="cs"/>
          <w:rtl/>
          <w:lang w:bidi="he-IL"/>
        </w:rPr>
        <w:t>השפ"ד ס"ק ל'</w:t>
      </w:r>
      <w:r w:rsidR="00984549" w:rsidRPr="00882F11">
        <w:rPr>
          <w:rFonts w:cs="Guttman Drogolin" w:hint="cs"/>
          <w:rtl/>
          <w:lang w:bidi="he-IL"/>
        </w:rPr>
        <w:t xml:space="preserve"> שהדגיש ש</w:t>
      </w:r>
      <w:r w:rsidR="002444B8" w:rsidRPr="00882F11">
        <w:rPr>
          <w:rFonts w:cs="Guttman Drogolin" w:hint="cs"/>
          <w:rtl/>
          <w:lang w:bidi="he-IL"/>
        </w:rPr>
        <w:t xml:space="preserve">לשיטת מהר"ם עצמו </w:t>
      </w:r>
      <w:r w:rsidR="00984549" w:rsidRPr="00882F11">
        <w:rPr>
          <w:rFonts w:cs="Guttman Drogolin" w:hint="cs"/>
          <w:rtl/>
          <w:lang w:bidi="he-IL"/>
        </w:rPr>
        <w:t>אין לחלק בין מליחה לצלי', דהא המקור של המהר"ם הוא מצלי, וע"כ אינו מחלק ביניהם.</w:t>
      </w:r>
      <w:r w:rsidR="002444B8" w:rsidRPr="00882F11">
        <w:rPr>
          <w:rFonts w:cs="Guttman Drogolin" w:hint="cs"/>
          <w:rtl/>
          <w:lang w:bidi="he-IL"/>
        </w:rPr>
        <w:t xml:space="preserve"> אבל לדעת מחבר י"ל כן. אבל ב</w:t>
      </w:r>
      <w:r w:rsidR="00984549" w:rsidRPr="00882F11">
        <w:rPr>
          <w:rFonts w:cs="Guttman Drogolin" w:hint="cs"/>
          <w:rtl/>
          <w:lang w:bidi="he-IL"/>
        </w:rPr>
        <w:t xml:space="preserve">נקוה"כ </w:t>
      </w:r>
      <w:r w:rsidR="002444B8" w:rsidRPr="00882F11">
        <w:rPr>
          <w:rFonts w:cs="Guttman Drogolin" w:hint="cs"/>
          <w:rtl/>
          <w:lang w:bidi="he-IL"/>
        </w:rPr>
        <w:t xml:space="preserve">כתב לתרץ בזה </w:t>
      </w:r>
      <w:r w:rsidR="00984549" w:rsidRPr="00882F11">
        <w:rPr>
          <w:rFonts w:cs="Guttman Drogolin" w:hint="cs"/>
          <w:rtl/>
          <w:lang w:bidi="he-IL"/>
        </w:rPr>
        <w:t>"לק"מ דלחומרא חייש דמפעפע מחתיכה לחתיכה בלא רוטב אבל הכא קאמר דס"ס אין מצטרף דאין חלב מפעפע בכולן בלא רוטב דנימא דהוי כבישול ממש ומתפשט בכולו בשוה דיכול להיות דנשאר קצת בחתיכה אחת בענין שאין בה כדי לבטל".</w:t>
      </w:r>
    </w:p>
    <w:p w:rsidR="00E71707" w:rsidRPr="00882F11" w:rsidRDefault="00984549" w:rsidP="00E71707">
      <w:pPr>
        <w:tabs>
          <w:tab w:val="right" w:pos="7497"/>
        </w:tabs>
        <w:bidi/>
        <w:jc w:val="both"/>
        <w:rPr>
          <w:rFonts w:cs="Guttman Drogolin"/>
          <w:rtl/>
          <w:lang w:bidi="he-IL"/>
        </w:rPr>
      </w:pPr>
      <w:r w:rsidRPr="00882F11">
        <w:rPr>
          <w:rFonts w:cs="Guttman Drogolin" w:hint="cs"/>
          <w:rtl/>
          <w:lang w:bidi="he-IL"/>
        </w:rPr>
        <w:t>ואיכא לבאר בכוונתו באופן פשוט, שהשו"ע חשש הכא לחומרא והכא לחומרא, דלענין זה שיתפשט לחתיכה כדי לאסרו אמרינן שדבר שמן מפעפע, אבל לענין זה שיפעפע בשוה כדי להתיר את שאר החתיכה שנגע בחלב לא אמרינן. אבל בשפ"ד ס"ק ט"ו, וכן משמע מרע"א, נראה שיש לזה פירוש אחר. והוא דאע"ג דאמרינן</w:t>
      </w:r>
      <w:r w:rsidR="002444B8" w:rsidRPr="00882F11">
        <w:rPr>
          <w:rFonts w:cs="Guttman Drogolin" w:hint="cs"/>
          <w:rtl/>
          <w:lang w:bidi="he-IL"/>
        </w:rPr>
        <w:t xml:space="preserve"> שבתוך </w:t>
      </w:r>
      <w:r w:rsidRPr="00882F11">
        <w:rPr>
          <w:rFonts w:cs="Guttman Drogolin" w:hint="cs"/>
          <w:rtl/>
          <w:lang w:bidi="he-IL"/>
        </w:rPr>
        <w:t>חתיכה א' הבליעה מתפשטת בשוה, ולכן אם יש ס' בחתיכה נגד הבלע הרי היא מותרת (חוץ מכדי נטילה שבה)</w:t>
      </w:r>
      <w:r w:rsidR="002444B8" w:rsidRPr="00882F11">
        <w:rPr>
          <w:rFonts w:cs="Guttman Drogolin" w:hint="cs"/>
          <w:rtl/>
          <w:lang w:bidi="he-IL"/>
        </w:rPr>
        <w:t xml:space="preserve">, מ"מ מחתיכה לחתיכה, אע"ג שעוברת מחתיכה לחתיכה, אינו עובר בשוה, ולכן אינו יכול להתיר את החתיכה שבלע מן החלב עצמו. </w:t>
      </w:r>
      <w:r w:rsidR="00E71707" w:rsidRPr="00882F11">
        <w:rPr>
          <w:rFonts w:cs="Guttman Drogolin" w:hint="cs"/>
          <w:rtl/>
          <w:lang w:bidi="he-IL"/>
        </w:rPr>
        <w:t>ולכאורה יוצא לפי הבנה זו שאם נגע החתיכה שיש בה חלב לחתיכה אחרת, וממנה לחתיכה אחרת, צריכים להסתפק בכל החתיכות אולי יש בה טעם חלב, ומשום שיתכן שרק טעם מועט נשאר בראשונה, אבל הרבה נכנס לחתיכה לאחר מכן ושם נשאר. וא"כ מש"כ בשו"ע שאם</w:t>
      </w:r>
      <w:r w:rsidR="000C18B9" w:rsidRPr="00882F11">
        <w:rPr>
          <w:rFonts w:cs="Guttman Drogolin" w:hint="cs"/>
          <w:rtl/>
          <w:lang w:bidi="he-IL"/>
        </w:rPr>
        <w:t xml:space="preserve"> </w:t>
      </w:r>
      <w:r w:rsidR="00E71707" w:rsidRPr="00882F11">
        <w:rPr>
          <w:rFonts w:cs="Guttman Drogolin" w:hint="cs"/>
          <w:rtl/>
          <w:lang w:bidi="he-IL"/>
        </w:rPr>
        <w:t>נגע רק בא' מן החתיכות ואינו יודע איזה שכולם מותרות מדין ביטול ברוב צ"ל דמיירי בכה"ג שאין נוגעים זב"ז, דאל"כ יהיו כולם אסורות. וכן העיר החזו"א סי' ל"ג ס"ק ג', וע"ש מה שהוסיף עוד לתמוה לפי דרך זה בדעת הנקוה"כ.</w:t>
      </w:r>
    </w:p>
    <w:p w:rsidR="00C84393" w:rsidRPr="00882F11" w:rsidRDefault="00E71707" w:rsidP="00C84393">
      <w:pPr>
        <w:tabs>
          <w:tab w:val="right" w:pos="7497"/>
        </w:tabs>
        <w:bidi/>
        <w:jc w:val="both"/>
        <w:rPr>
          <w:rFonts w:cs="Guttman Drogolin"/>
          <w:rtl/>
          <w:lang w:bidi="he-IL"/>
        </w:rPr>
      </w:pPr>
      <w:r w:rsidRPr="00882F11">
        <w:rPr>
          <w:rFonts w:cs="Guttman Drogolin" w:hint="cs"/>
          <w:rtl/>
          <w:lang w:bidi="he-IL"/>
        </w:rPr>
        <w:lastRenderedPageBreak/>
        <w:t xml:space="preserve">וע' בש"ך ס"ק ל' שהעיר על מה שהחמיר השו"ע לאסור את כולם כשיש ספק אולי נגע בכולם, דבשלמא לשיטת הרמ"א שאומרים חענ"ן גם בשאר איסורים, י"ל שאסר </w:t>
      </w:r>
      <w:r w:rsidR="00DE1FFF" w:rsidRPr="00882F11">
        <w:rPr>
          <w:rFonts w:cs="Guttman Drogolin" w:hint="cs"/>
          <w:rtl/>
          <w:lang w:bidi="he-IL"/>
        </w:rPr>
        <w:t>החתיכה הראשונה, ושוב בלע מן ההיתר שבחתיכה ואסר גם הבלוע של היתר ונע"נ. ולכן יכול לאסור את כולם. אבל לשיטת המחבר עצמו דלא אמרינן חענ"ן בשאר איסורים קשה, דנהי נמי דלא ידעינן כמה נפיק מיני' בכל חתיכה שנוגע בה, מ"מ הא סוף סו</w:t>
      </w:r>
      <w:r w:rsidR="00923B17" w:rsidRPr="00882F11">
        <w:rPr>
          <w:rFonts w:cs="Guttman Drogolin" w:hint="cs"/>
          <w:rtl/>
          <w:lang w:bidi="he-IL"/>
        </w:rPr>
        <w:t>ף</w:t>
      </w:r>
      <w:r w:rsidR="00DE1FFF" w:rsidRPr="00882F11">
        <w:rPr>
          <w:rFonts w:cs="Guttman Drogolin" w:hint="cs"/>
          <w:rtl/>
          <w:lang w:bidi="he-IL"/>
        </w:rPr>
        <w:t xml:space="preserve"> אין מספיק טעם בחלב לאסור את כל החתיכות, ולכן ע"פ חשבון צריך לצאת שיש רוב חתיכות שאין בהם טעם איסור וא"כ ליבטל כולם מדין ביטול ברוב. וע' רע"א</w:t>
      </w:r>
      <w:r w:rsidR="00923B17" w:rsidRPr="00882F11">
        <w:rPr>
          <w:rFonts w:cs="Guttman Drogolin" w:hint="cs"/>
          <w:rtl/>
          <w:lang w:bidi="he-IL"/>
        </w:rPr>
        <w:t xml:space="preserve"> שבאמת תמה על הש"ך שהא י"ל שאסר החתיכה הראשונה ויצא ממנו, ושוב נכנס לחתיכה השני' ולא השאיר אל</w:t>
      </w:r>
      <w:r w:rsidR="00C84393" w:rsidRPr="00882F11">
        <w:rPr>
          <w:rFonts w:cs="Guttman Drogolin" w:hint="cs"/>
          <w:rtl/>
          <w:lang w:bidi="he-IL"/>
        </w:rPr>
        <w:t xml:space="preserve">א קצת ומ"מ נשאר באיסורה כדלקמן </w:t>
      </w:r>
      <w:r w:rsidR="00923B17" w:rsidRPr="00882F11">
        <w:rPr>
          <w:rFonts w:cs="Guttman Drogolin" w:hint="cs"/>
          <w:rtl/>
          <w:lang w:bidi="he-IL"/>
        </w:rPr>
        <w:t>בסי' ק"ו.</w:t>
      </w:r>
      <w:r w:rsidR="00C84393" w:rsidRPr="00882F11">
        <w:rPr>
          <w:rFonts w:cs="Guttman Drogolin" w:hint="cs"/>
          <w:rtl/>
          <w:lang w:bidi="he-IL"/>
        </w:rPr>
        <w:t xml:space="preserve"> </w:t>
      </w:r>
    </w:p>
    <w:p w:rsidR="003C702F" w:rsidRPr="00882F11" w:rsidRDefault="00C84393" w:rsidP="00C84393">
      <w:pPr>
        <w:tabs>
          <w:tab w:val="right" w:pos="7497"/>
        </w:tabs>
        <w:bidi/>
        <w:jc w:val="both"/>
        <w:rPr>
          <w:rFonts w:cs="Guttman Drogolin"/>
          <w:rtl/>
          <w:lang w:bidi="he-IL"/>
        </w:rPr>
      </w:pPr>
      <w:r w:rsidRPr="00882F11">
        <w:rPr>
          <w:rFonts w:cs="Guttman Drogolin" w:hint="cs"/>
          <w:rtl/>
          <w:lang w:bidi="he-IL"/>
        </w:rPr>
        <w:t>עוד הקשה רע"א דבכה"ג שיש ספק אם נגע בכולן למה אין אנו מתירין כל חתיכה בפני עצמה מדין ס"ס, שמא לא נגע בחתיכה זו, ואת"ל נגע מ"מ שמא יש רוב חתיכות שלא נגע בהם והתבטל ברוב. ותי' ע"פ יסודו של הרשב"א (שהזכרנו בלימוד הסוגיא של ביטול יבש ביבש</w:t>
      </w:r>
      <w:r w:rsidRPr="00882F11">
        <w:rPr>
          <w:rStyle w:val="FootnoteReference"/>
          <w:rFonts w:cs="Guttman Drogolin"/>
          <w:rtl/>
          <w:lang w:bidi="he-IL"/>
        </w:rPr>
        <w:footnoteReference w:id="431"/>
      </w:r>
      <w:r w:rsidRPr="00882F11">
        <w:rPr>
          <w:rFonts w:cs="Guttman Drogolin" w:hint="cs"/>
          <w:rtl/>
          <w:lang w:bidi="he-IL"/>
        </w:rPr>
        <w:t xml:space="preserve">) שספק רוב אינו מתיר.  </w:t>
      </w:r>
      <w:r w:rsidR="00984549" w:rsidRPr="00882F11">
        <w:rPr>
          <w:rFonts w:cs="Guttman Drogolin" w:hint="cs"/>
          <w:rtl/>
          <w:lang w:bidi="he-IL"/>
        </w:rPr>
        <w:t xml:space="preserve"> </w:t>
      </w:r>
      <w:r w:rsidR="0037794C" w:rsidRPr="00882F11">
        <w:rPr>
          <w:rFonts w:cs="Guttman Drogolin" w:hint="cs"/>
          <w:rtl/>
          <w:lang w:bidi="he-IL"/>
        </w:rPr>
        <w:t xml:space="preserve"> </w:t>
      </w:r>
      <w:r w:rsidR="006E535F" w:rsidRPr="00882F11">
        <w:rPr>
          <w:rFonts w:cs="Guttman Drogolin" w:hint="cs"/>
          <w:rtl/>
          <w:lang w:bidi="he-IL"/>
        </w:rPr>
        <w:t xml:space="preserve"> </w:t>
      </w:r>
      <w:r w:rsidR="005F4044" w:rsidRPr="00882F11">
        <w:rPr>
          <w:rFonts w:cs="Guttman Drogolin" w:hint="cs"/>
          <w:rtl/>
          <w:lang w:bidi="he-IL"/>
        </w:rPr>
        <w:t xml:space="preserve"> </w:t>
      </w:r>
    </w:p>
    <w:p w:rsidR="00C84393" w:rsidRPr="00882F11" w:rsidRDefault="00C84393" w:rsidP="00C84393">
      <w:pPr>
        <w:pStyle w:val="Heading1"/>
        <w:bidi/>
        <w:spacing w:before="0" w:line="360" w:lineRule="auto"/>
        <w:jc w:val="center"/>
        <w:rPr>
          <w:rFonts w:cs="Guttman Drogolin"/>
          <w:color w:val="auto"/>
          <w:sz w:val="24"/>
          <w:szCs w:val="24"/>
          <w:u w:val="single"/>
          <w:rtl/>
          <w:lang w:bidi="he-IL"/>
        </w:rPr>
      </w:pPr>
      <w:bookmarkStart w:id="450" w:name="_Toc496175697"/>
      <w:r w:rsidRPr="00882F11">
        <w:rPr>
          <w:rFonts w:cs="Guttman Drogolin" w:hint="cs"/>
          <w:color w:val="auto"/>
          <w:sz w:val="24"/>
          <w:szCs w:val="24"/>
          <w:u w:val="single"/>
          <w:rtl/>
          <w:lang w:bidi="he-IL"/>
        </w:rPr>
        <w:t>שיטת הרמ"א בנמלחו כמה חתיכות ביחד</w:t>
      </w:r>
      <w:bookmarkEnd w:id="450"/>
    </w:p>
    <w:p w:rsidR="006D6AD1" w:rsidRDefault="005E0D67" w:rsidP="00C84393">
      <w:pPr>
        <w:tabs>
          <w:tab w:val="right" w:pos="7497"/>
        </w:tabs>
        <w:bidi/>
        <w:jc w:val="both"/>
        <w:rPr>
          <w:rFonts w:cs="Guttman Drogolin"/>
          <w:rtl/>
          <w:lang w:bidi="he-IL"/>
        </w:rPr>
      </w:pPr>
      <w:r>
        <w:rPr>
          <w:rFonts w:cs="Guttman Drogolin"/>
          <w:rtl/>
          <w:lang w:bidi="he-IL"/>
        </w:rPr>
        <w:fldChar w:fldCharType="begin"/>
      </w:r>
      <w:r>
        <w:instrText xml:space="preserve"> XE "</w:instrText>
      </w:r>
      <w:r w:rsidRPr="003F0084">
        <w:rPr>
          <w:rFonts w:hint="cs"/>
          <w:rtl/>
          <w:lang w:bidi="he-IL"/>
        </w:rPr>
        <w:instrText>מליח</w:instrText>
      </w:r>
      <w:r w:rsidRPr="003F0084">
        <w:rPr>
          <w:rtl/>
        </w:rPr>
        <w:instrText>:</w:instrText>
      </w:r>
      <w:r w:rsidRPr="003F0084">
        <w:rPr>
          <w:rFonts w:hint="cs"/>
          <w:rtl/>
          <w:lang w:bidi="he-IL"/>
        </w:rPr>
        <w:instrText>שיטת הרמ</w:instrText>
      </w:r>
      <w:r>
        <w:rPr>
          <w:rFonts w:eastAsiaTheme="minorEastAsia"/>
          <w:lang w:bidi="he-IL"/>
        </w:rPr>
        <w:instrText>\</w:instrText>
      </w:r>
      <w:r w:rsidRPr="003F0084">
        <w:rPr>
          <w:rFonts w:hint="cs"/>
          <w:rtl/>
          <w:lang w:bidi="he-IL"/>
        </w:rPr>
        <w:instrText>"א כשנמלחו כמה חתיכות יחד</w:instrText>
      </w:r>
      <w:r>
        <w:instrText xml:space="preserve">" </w:instrText>
      </w:r>
      <w:r>
        <w:rPr>
          <w:rFonts w:cs="Guttman Drogolin"/>
          <w:rtl/>
          <w:lang w:bidi="he-IL"/>
        </w:rPr>
        <w:fldChar w:fldCharType="end"/>
      </w:r>
      <w:r w:rsidR="00C84393" w:rsidRPr="00882F11">
        <w:rPr>
          <w:rFonts w:cs="Guttman Drogolin" w:hint="cs"/>
          <w:rtl/>
          <w:lang w:bidi="he-IL"/>
        </w:rPr>
        <w:t xml:space="preserve">הרמ"א פסק חומרא שיש בה קולא. חומרא שאין אנו בקיאים מה נחשב דבר שמן ומה לא. ואי משום הא כיון שאנחנו מחמירים שחלב מפעפע, אם מפעפע מחתיכה לחתיכה היינו צריכים להחמיר בכל החתיכות ולאסור כולם, דהא לקולא לא אמרינן. אמנם משום שיטתו זו פסק שאפשר לצרף את כל החתיכות ביחד ולומר שהחלב מפעפע בכולם ואם יש ס' הכל בטל. ואע"ג שי"א שאין אפילו דבר שמן מפעפע מחתיכה לחתיכה בלי רוטב וכנ"ל בשיטת המחבר, אבל כיון שיש גם שיטת הראבי"ה שבמליחה אין חלב מפעפע כלל (רק בצלי) אנחנו מקילים מיהת שבטל בס'. </w:t>
      </w:r>
      <w:r w:rsidR="00C84393" w:rsidRPr="00882F11">
        <w:rPr>
          <w:rFonts w:cs="Guttman Drogolin" w:hint="cs"/>
          <w:rtl/>
          <w:lang w:bidi="he-IL"/>
        </w:rPr>
        <w:lastRenderedPageBreak/>
        <w:t xml:space="preserve">ויעיון ברע"א כללא דמילתא, ובעזהי"ת יתבאר בסמוך. </w:t>
      </w:r>
    </w:p>
    <w:p w:rsidR="005E0D67" w:rsidRPr="00882F11" w:rsidRDefault="005E0D67" w:rsidP="00B80448">
      <w:pPr>
        <w:tabs>
          <w:tab w:val="right" w:pos="7497"/>
        </w:tabs>
        <w:bidi/>
        <w:jc w:val="both"/>
        <w:rPr>
          <w:rFonts w:cs="Guttman Drogolin"/>
          <w:rtl/>
          <w:lang w:bidi="he-IL"/>
        </w:rPr>
        <w:sectPr w:rsidR="005E0D67" w:rsidRPr="00882F11" w:rsidSect="008520CC">
          <w:type w:val="continuous"/>
          <w:pgSz w:w="11907" w:h="16839" w:code="9"/>
          <w:pgMar w:top="1440" w:right="1440" w:bottom="1440" w:left="1440" w:header="720" w:footer="720" w:gutter="0"/>
          <w:cols w:num="2" w:space="720"/>
          <w:bidi/>
          <w:docGrid w:linePitch="360"/>
        </w:sectPr>
      </w:pPr>
    </w:p>
    <w:p w:rsidR="006D6AD1" w:rsidRPr="00D7621D" w:rsidRDefault="006D6AD1" w:rsidP="006D6AD1">
      <w:pPr>
        <w:keepNext/>
        <w:tabs>
          <w:tab w:val="left" w:pos="3818"/>
          <w:tab w:val="center" w:pos="4680"/>
        </w:tabs>
        <w:bidi/>
        <w:jc w:val="center"/>
        <w:rPr>
          <w:rFonts w:cs="Guttman Drogolin"/>
          <w:b/>
          <w:bCs/>
          <w:sz w:val="48"/>
          <w:szCs w:val="48"/>
          <w:rtl/>
          <w:lang w:bidi="he-IL"/>
        </w:rPr>
      </w:pPr>
      <w:r w:rsidRPr="00D7621D">
        <w:rPr>
          <w:rFonts w:cs="Guttman Drogolin" w:hint="cs"/>
          <w:b/>
          <w:bCs/>
          <w:sz w:val="48"/>
          <w:szCs w:val="48"/>
          <w:rtl/>
          <w:lang w:bidi="he-IL"/>
        </w:rPr>
        <w:lastRenderedPageBreak/>
        <w:t>שיעור קי"ג</w:t>
      </w:r>
    </w:p>
    <w:p w:rsidR="00D7621D" w:rsidRDefault="00D7621D" w:rsidP="00AC42CF">
      <w:pPr>
        <w:pStyle w:val="Heading1"/>
        <w:bidi/>
        <w:spacing w:before="0" w:line="360" w:lineRule="auto"/>
        <w:jc w:val="center"/>
        <w:rPr>
          <w:rFonts w:cs="Guttman Drogolin"/>
          <w:color w:val="auto"/>
          <w:sz w:val="22"/>
          <w:szCs w:val="22"/>
          <w:u w:val="single"/>
          <w:rtl/>
          <w:lang w:bidi="he-IL"/>
        </w:rPr>
        <w:sectPr w:rsidR="00D7621D" w:rsidSect="00D7621D">
          <w:headerReference w:type="default" r:id="rId86"/>
          <w:pgSz w:w="11907" w:h="16839" w:code="9"/>
          <w:pgMar w:top="1440" w:right="1440" w:bottom="1440" w:left="1440" w:header="720" w:footer="720" w:gutter="0"/>
          <w:cols w:space="720"/>
          <w:bidi/>
          <w:docGrid w:linePitch="360"/>
        </w:sectPr>
      </w:pPr>
    </w:p>
    <w:p w:rsidR="006D6AD1" w:rsidRPr="00D7621D" w:rsidRDefault="00AC42CF" w:rsidP="00AC42CF">
      <w:pPr>
        <w:pStyle w:val="Heading1"/>
        <w:bidi/>
        <w:spacing w:before="0" w:line="360" w:lineRule="auto"/>
        <w:jc w:val="center"/>
        <w:rPr>
          <w:rFonts w:cs="Guttman Drogolin"/>
          <w:color w:val="auto"/>
          <w:sz w:val="22"/>
          <w:szCs w:val="22"/>
          <w:u w:val="single"/>
          <w:rtl/>
          <w:lang w:bidi="he-IL"/>
        </w:rPr>
      </w:pPr>
      <w:bookmarkStart w:id="451" w:name="_Toc496175698"/>
      <w:r w:rsidRPr="00D7621D">
        <w:rPr>
          <w:rFonts w:cs="Guttman Drogolin" w:hint="cs"/>
          <w:color w:val="auto"/>
          <w:sz w:val="22"/>
          <w:szCs w:val="22"/>
          <w:u w:val="single"/>
          <w:rtl/>
          <w:lang w:bidi="he-IL"/>
        </w:rPr>
        <w:lastRenderedPageBreak/>
        <w:t>ביאור דברי הב"י במחלוקת מהר"ם ור' נתנאל</w:t>
      </w:r>
      <w:bookmarkEnd w:id="451"/>
    </w:p>
    <w:p w:rsidR="00864AB9" w:rsidRPr="00882F11" w:rsidRDefault="005E0D67" w:rsidP="00864AB9">
      <w:pPr>
        <w:tabs>
          <w:tab w:val="right" w:pos="7497"/>
        </w:tabs>
        <w:bidi/>
        <w:jc w:val="both"/>
        <w:rPr>
          <w:rFonts w:cs="Guttman Drogolin"/>
          <w:rtl/>
          <w:lang w:bidi="he-IL"/>
        </w:rPr>
      </w:pPr>
      <w:r>
        <w:rPr>
          <w:rFonts w:cs="Guttman Drogolin"/>
          <w:rtl/>
          <w:lang w:bidi="he-IL"/>
        </w:rPr>
        <w:fldChar w:fldCharType="begin"/>
      </w:r>
      <w:r>
        <w:instrText xml:space="preserve"> XE "</w:instrText>
      </w:r>
      <w:r w:rsidRPr="009B10D6">
        <w:rPr>
          <w:rFonts w:hint="cs"/>
          <w:rtl/>
          <w:lang w:bidi="he-IL"/>
        </w:rPr>
        <w:instrText>אין בליעה עוברת מחתיכה לחתיכה בלי רוטב</w:instrText>
      </w:r>
      <w:r w:rsidRPr="009B10D6">
        <w:rPr>
          <w:rtl/>
        </w:rPr>
        <w:instrText>:</w:instrText>
      </w:r>
      <w:r w:rsidRPr="009B10D6">
        <w:rPr>
          <w:rFonts w:hint="cs"/>
          <w:rtl/>
          <w:lang w:bidi="he-IL"/>
        </w:rPr>
        <w:instrText>מחלוקת מהר</w:instrText>
      </w:r>
      <w:r>
        <w:rPr>
          <w:rFonts w:eastAsiaTheme="minorEastAsia"/>
          <w:lang w:bidi="he-IL"/>
        </w:rPr>
        <w:instrText>\</w:instrText>
      </w:r>
      <w:r w:rsidRPr="009B10D6">
        <w:rPr>
          <w:rFonts w:hint="cs"/>
          <w:rtl/>
          <w:lang w:bidi="he-IL"/>
        </w:rPr>
        <w:instrText>"ם ור' נתנאל</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F9698E">
        <w:rPr>
          <w:rFonts w:hint="cs"/>
          <w:rtl/>
          <w:lang w:bidi="he-IL"/>
        </w:rPr>
        <w:instrText>מליח</w:instrText>
      </w:r>
      <w:r w:rsidRPr="00F9698E">
        <w:rPr>
          <w:rtl/>
        </w:rPr>
        <w:instrText>:</w:instrText>
      </w:r>
      <w:r w:rsidRPr="00F9698E">
        <w:rPr>
          <w:rFonts w:hint="cs"/>
          <w:rtl/>
          <w:lang w:bidi="he-IL"/>
        </w:rPr>
        <w:instrText>מחלוקת מהר</w:instrText>
      </w:r>
      <w:r>
        <w:rPr>
          <w:rFonts w:eastAsiaTheme="minorEastAsia"/>
          <w:lang w:bidi="he-IL"/>
        </w:rPr>
        <w:instrText>\</w:instrText>
      </w:r>
      <w:r w:rsidRPr="00F9698E">
        <w:rPr>
          <w:rFonts w:hint="cs"/>
          <w:rtl/>
          <w:lang w:bidi="he-IL"/>
        </w:rPr>
        <w:instrText>"ם ור' נתנאל</w:instrText>
      </w:r>
      <w:r>
        <w:instrText xml:space="preserve">" </w:instrText>
      </w:r>
      <w:r>
        <w:rPr>
          <w:rFonts w:cs="Guttman Drogolin"/>
          <w:rtl/>
          <w:lang w:bidi="he-IL"/>
        </w:rPr>
        <w:fldChar w:fldCharType="end"/>
      </w:r>
      <w:r w:rsidR="00AC42CF" w:rsidRPr="00882F11">
        <w:rPr>
          <w:rFonts w:cs="Guttman Drogolin" w:hint="cs"/>
          <w:rtl/>
          <w:lang w:bidi="he-IL"/>
        </w:rPr>
        <w:t>הב"י הביא שיטת מהר"ם שלא אומרים שבליעה שמינה עוברת מחתיכה לחתיכה בלי רוטב, והוא המקור למש"כ בשו"ע שאי אפשר לצרף את כל החתיכות לבטל הטעם של החלב, וכבר הארכנו בביאור שיטת השו"ע לעיל בשיעור הקודם. ולאחר מכן הביא הב"י את שיטת ר' נתנאל, וז"ל "</w:t>
      </w:r>
      <w:r w:rsidR="00AC42CF" w:rsidRPr="00882F11">
        <w:rPr>
          <w:rFonts w:cs="Guttman Drogolin"/>
          <w:rtl/>
          <w:lang w:bidi="he-IL"/>
        </w:rPr>
        <w:t>שאם אין בחתיכת בשר ס' מחלבה אך עם שאר החתיכות יש ששים מן החלב היה מחמיר ואוסר החתיכה שיש בה החלב אפילו יש בשאר החתיכות ששים מן החלב שמא אין חלב מפעפע מחתיכה לחתיכה ואין בהם ששים לבטלו אבל אם נוגע החלב בחתיכה אחרת מצטרפת אותה חתיכה עצמה לבטלה דכה"ג לא קרי פעפוע מחתיכה לחתיכה דכיון שנגע בה הוי כאילו דבוק בה</w:t>
      </w:r>
      <w:r w:rsidR="00AC42CF" w:rsidRPr="00882F11">
        <w:rPr>
          <w:rFonts w:cs="Guttman Drogolin" w:hint="cs"/>
          <w:rtl/>
          <w:lang w:bidi="he-IL"/>
        </w:rPr>
        <w:t>". והסיק בזה הב"י "</w:t>
      </w:r>
      <w:r w:rsidR="00AC42CF" w:rsidRPr="00882F11">
        <w:rPr>
          <w:rFonts w:cs="Guttman Drogolin"/>
          <w:rtl/>
          <w:lang w:bidi="he-IL"/>
        </w:rPr>
        <w:t>ונלע"ד דכמהר"ם דסבר אינו מפעפע מחתיכה לחתיכה נקטינן שהוא יותר מפורסם מרבינו נתנאל ועוד דלא שבקינן מאי דפשיטא ליה למהר"ם משום מאי דמספקא לרבינו נתנאל</w:t>
      </w:r>
      <w:r w:rsidR="00AC42CF" w:rsidRPr="00882F11">
        <w:rPr>
          <w:rFonts w:cs="Guttman Drogolin" w:hint="cs"/>
          <w:rtl/>
          <w:lang w:bidi="he-IL"/>
        </w:rPr>
        <w:t>"</w:t>
      </w:r>
      <w:r w:rsidR="008801B8" w:rsidRPr="00882F11">
        <w:rPr>
          <w:rFonts w:cs="Guttman Drogolin" w:hint="cs"/>
          <w:rtl/>
          <w:lang w:bidi="he-IL"/>
        </w:rPr>
        <w:t>.</w:t>
      </w:r>
    </w:p>
    <w:p w:rsidR="00864AB9" w:rsidRPr="00882F11" w:rsidRDefault="008801B8" w:rsidP="00864AB9">
      <w:pPr>
        <w:tabs>
          <w:tab w:val="right" w:pos="7497"/>
        </w:tabs>
        <w:bidi/>
        <w:jc w:val="both"/>
        <w:rPr>
          <w:rFonts w:cs="Guttman Drogolin"/>
          <w:rtl/>
          <w:lang w:bidi="he-IL"/>
        </w:rPr>
      </w:pPr>
      <w:r w:rsidRPr="00882F11">
        <w:rPr>
          <w:rFonts w:cs="Guttman Drogolin" w:hint="cs"/>
          <w:rtl/>
          <w:lang w:bidi="he-IL"/>
        </w:rPr>
        <w:t>והנה לכאורה כוונת הב"י להא דר' נתנאל הוה מספק"ל היינו למש"כ ר' נתנאל '</w:t>
      </w:r>
      <w:r w:rsidRPr="00882F11">
        <w:rPr>
          <w:rFonts w:cs="Guttman Drogolin"/>
          <w:rtl/>
          <w:lang w:bidi="he-IL"/>
        </w:rPr>
        <w:t>שמא אין חלב מפעפע מחתיכה לחתיכה</w:t>
      </w:r>
      <w:r w:rsidRPr="00882F11">
        <w:rPr>
          <w:rFonts w:cs="Guttman Drogolin" w:hint="cs"/>
          <w:rtl/>
          <w:lang w:bidi="he-IL"/>
        </w:rPr>
        <w:t xml:space="preserve">'. אלא דהנה כל זה לכאורה הי' שייך רק לעצם הנידון אם אפשר לצרף שאר החתיכות כדי לבטל טעם האיסור שנבלע בחתיכה שנגעה באיסור. אבל יש חידוש נוסף בדברי ר' נתנאל, והוא זה שאפשר לצרף ב' חתיכות הנוגעות במאכל של איסור, באופן שלא יאסור אותם. וכוונתו לומר שאמנם אין בליעה עוברת מחתיכה לחתיכה בלי רוטב, הנ"מ </w:t>
      </w:r>
      <w:r w:rsidR="00F653A0" w:rsidRPr="00882F11">
        <w:rPr>
          <w:rFonts w:cs="Guttman Drogolin" w:hint="cs"/>
          <w:rtl/>
          <w:lang w:bidi="he-IL"/>
        </w:rPr>
        <w:t xml:space="preserve">בחתיכה שאינה נגעת אלא בחתיכה שיש בה איסור בלוע בה, דהא בכה"ג י"ל שהבלוע אינו עובר בלי רוטב. אבל כשעצם המאכל של איסור נוגעת בחתיכה אחרת לא בעינן לי' לדבר זה שבלוע שמן עובר מחתיכה לחתיכה בלי רוטב, דהא מעיקר המאכל ודאי עובר בלי רוטב, וכן קיי"ל שכשטעם שמן נבלע בחתיכה הרי היא מתפשטת בשוה ומותרת בס' (דלא כרא"ה). וכיון </w:t>
      </w:r>
      <w:r w:rsidR="00F653A0" w:rsidRPr="00882F11">
        <w:rPr>
          <w:rFonts w:cs="Guttman Drogolin" w:hint="cs"/>
          <w:rtl/>
          <w:lang w:bidi="he-IL"/>
        </w:rPr>
        <w:lastRenderedPageBreak/>
        <w:t xml:space="preserve">שכן למה לא יצטרפו ב' החתיכות יחד לבטל הטעם איסור. </w:t>
      </w:r>
      <w:r w:rsidR="00D04376" w:rsidRPr="00882F11">
        <w:rPr>
          <w:rFonts w:cs="Guttman Drogolin" w:hint="cs"/>
          <w:rtl/>
          <w:lang w:bidi="he-IL"/>
        </w:rPr>
        <w:t xml:space="preserve">ואע"ג שחתיכה שנפלה לתוך ב' קדירות צריך ס' בשניהם כדי להתיר אפילו למ"ד דלא אמרינן חענ"ן בשאר איסורים, מ"מ י"ל שהיינו משום שנפל פעמיים, ולכן כל מעשה התפשטות הטעם נידון בפני עצמו ויתכן שבזה עבר פחות ובזה יותר, וכמו שלא חוששים כן בחתיכה א'. </w:t>
      </w:r>
      <w:r w:rsidR="00F653A0" w:rsidRPr="00882F11">
        <w:rPr>
          <w:rFonts w:cs="Guttman Drogolin" w:hint="cs"/>
          <w:rtl/>
          <w:lang w:bidi="he-IL"/>
        </w:rPr>
        <w:t>ולפום ריהטא אין זה שייך למחלוקת שבין מהר"ם ור' נתנאל אם יש צד שבליעה שמי</w:t>
      </w:r>
      <w:r w:rsidR="00D04376" w:rsidRPr="00882F11">
        <w:rPr>
          <w:rFonts w:cs="Guttman Drogolin" w:hint="cs"/>
          <w:rtl/>
          <w:lang w:bidi="he-IL"/>
        </w:rPr>
        <w:t>נה עוברת מחתיכה לחתיכה בלי רוטב, ויתכן שגם מהר"ם מודה לזה</w:t>
      </w:r>
      <w:r w:rsidR="00864AB9" w:rsidRPr="00882F11">
        <w:rPr>
          <w:rFonts w:cs="Guttman Drogolin" w:hint="cs"/>
          <w:rtl/>
          <w:lang w:bidi="he-IL"/>
        </w:rPr>
        <w:t>, וכן מצאתי בכנה"ג שכתב שאינו רואה מחלוקת ביניהם</w:t>
      </w:r>
      <w:r w:rsidR="00D04376" w:rsidRPr="00882F11">
        <w:rPr>
          <w:rFonts w:cs="Guttman Drogolin" w:hint="cs"/>
          <w:rtl/>
          <w:lang w:bidi="he-IL"/>
        </w:rPr>
        <w:t>.</w:t>
      </w:r>
      <w:r w:rsidR="00F653A0" w:rsidRPr="00882F11">
        <w:rPr>
          <w:rFonts w:cs="Guttman Drogolin" w:hint="cs"/>
          <w:rtl/>
          <w:lang w:bidi="he-IL"/>
        </w:rPr>
        <w:t xml:space="preserve"> </w:t>
      </w:r>
    </w:p>
    <w:p w:rsidR="008912A9" w:rsidRPr="00882F11" w:rsidRDefault="00D04376" w:rsidP="008912A9">
      <w:pPr>
        <w:tabs>
          <w:tab w:val="right" w:pos="7497"/>
        </w:tabs>
        <w:bidi/>
        <w:jc w:val="both"/>
        <w:rPr>
          <w:rFonts w:cs="Guttman Drogolin"/>
          <w:rtl/>
          <w:lang w:bidi="he-IL"/>
        </w:rPr>
      </w:pPr>
      <w:r w:rsidRPr="00882F11">
        <w:rPr>
          <w:rFonts w:cs="Guttman Drogolin" w:hint="cs"/>
          <w:rtl/>
          <w:lang w:bidi="he-IL"/>
        </w:rPr>
        <w:t xml:space="preserve">אמנם יעוין בארוך לש"ך שהעיר שלכאורה </w:t>
      </w:r>
      <w:r w:rsidR="00864AB9" w:rsidRPr="00882F11">
        <w:rPr>
          <w:rFonts w:cs="Guttman Drogolin" w:hint="cs"/>
          <w:rtl/>
          <w:lang w:bidi="he-IL"/>
        </w:rPr>
        <w:t>משמע שכוונת הב"י לומר שנחלקו בכה"ג שנוגע כמה חתיכות של היתר לחתיכה של איסור בבת אחת, וכתב שכן משמע מלשון מהר"ם ממש"כ "</w:t>
      </w:r>
      <w:r w:rsidR="00864AB9" w:rsidRPr="00882F11">
        <w:rPr>
          <w:rFonts w:cs="Guttman Drogolin"/>
          <w:rtl/>
          <w:lang w:bidi="he-IL"/>
        </w:rPr>
        <w:t xml:space="preserve">ולענין שאר חתיכות שנמלחו יחד </w:t>
      </w:r>
      <w:r w:rsidR="00864AB9" w:rsidRPr="00882F11">
        <w:rPr>
          <w:rFonts w:cs="Guttman Drogolin" w:hint="cs"/>
          <w:rtl/>
          <w:lang w:bidi="he-IL"/>
        </w:rPr>
        <w:t xml:space="preserve">וכו' </w:t>
      </w:r>
      <w:r w:rsidR="00864AB9" w:rsidRPr="00882F11">
        <w:rPr>
          <w:rFonts w:cs="Guttman Drogolin"/>
          <w:rtl/>
          <w:lang w:bidi="he-IL"/>
        </w:rPr>
        <w:t>שאם אין בכל אחת מהם בפני עצמה ששים לבטל החלב אסורות ואין מצטרפות ביחד לבטל החלב כיון דאין חלב מפעפע מחתיכה לחתיכה בלא רוטב</w:t>
      </w:r>
      <w:r w:rsidR="00864AB9" w:rsidRPr="00882F11">
        <w:rPr>
          <w:rFonts w:cs="Guttman Drogolin" w:hint="cs"/>
          <w:rtl/>
          <w:lang w:bidi="he-IL"/>
        </w:rPr>
        <w:t>", שלכאורה קשה, דאם לא נגע האיסור בכולהו איך נאסרו שאר החתיכות. וע"כ מיירי בנגע, ומ"מ אמרינן דלא מהני ס' לבטלו.</w:t>
      </w:r>
      <w:r w:rsidR="008912A9" w:rsidRPr="00882F11">
        <w:rPr>
          <w:rFonts w:cs="Guttman Drogolin" w:hint="cs"/>
          <w:rtl/>
          <w:lang w:bidi="he-IL"/>
        </w:rPr>
        <w:t xml:space="preserve"> וביאר הש"ך שלענין מש"כ שר' נתנאל הסתפק במקום שמהר"ם פסק בודאי, אין כוונתו להא דהתיר ר' נתנאל לצרף החתיכות הנוגעות באיסור, דאדרבה התם ר' נתנאל התיר בתורת ודאי. רק כוונתו הב"י לומר שמכח זה שהסתפק ר' נתנאל להתיר ולצרף אפילו החתיכות שאינם נוגעות לחתיכת איסור יצא להתיר מיהת היכא דנוגעים, אבל מהר"ם שאסר לצרף החתיכות שאינם נוגעים בחתיכת איסור באופן מוחלט ע"כ לא פשיטא לי' להקל היכא דנגעים בחתיכת איסור. </w:t>
      </w:r>
    </w:p>
    <w:p w:rsidR="001B7CC2" w:rsidRPr="00882F11" w:rsidRDefault="001B7CC2" w:rsidP="001B7CC2">
      <w:pPr>
        <w:tabs>
          <w:tab w:val="right" w:pos="7497"/>
        </w:tabs>
        <w:bidi/>
        <w:jc w:val="both"/>
        <w:rPr>
          <w:rFonts w:cs="Guttman Drogolin"/>
          <w:rtl/>
          <w:lang w:bidi="he-IL"/>
        </w:rPr>
      </w:pPr>
      <w:r w:rsidRPr="00882F11">
        <w:rPr>
          <w:rFonts w:cs="Guttman Drogolin" w:hint="cs"/>
          <w:rtl/>
          <w:lang w:bidi="he-IL"/>
        </w:rPr>
        <w:t xml:space="preserve">ובעיקר דבר זה שאוסרים כשנגעה במאכל של איסור לב' חתיכות של היתר ואין מצרפין את שתיהם להתיר, לכאורה הטעם משום שבאמת </w:t>
      </w:r>
      <w:r w:rsidRPr="00882F11">
        <w:rPr>
          <w:rFonts w:cs="Guttman Drogolin" w:hint="cs"/>
          <w:rtl/>
          <w:lang w:bidi="he-IL"/>
        </w:rPr>
        <w:lastRenderedPageBreak/>
        <w:t xml:space="preserve">חוששים שנכנס בא' יותר ובא' פחות, על דרך מה שחוששים כשנפלב לב' קדרות.  </w:t>
      </w:r>
    </w:p>
    <w:p w:rsidR="00FD6228" w:rsidRPr="00882F11" w:rsidRDefault="00FD6228" w:rsidP="00FD6228">
      <w:pPr>
        <w:pStyle w:val="Heading1"/>
        <w:bidi/>
        <w:spacing w:before="0" w:line="360" w:lineRule="auto"/>
        <w:jc w:val="center"/>
        <w:rPr>
          <w:rFonts w:cs="Guttman Drogolin"/>
          <w:color w:val="auto"/>
          <w:sz w:val="24"/>
          <w:szCs w:val="24"/>
          <w:u w:val="single"/>
          <w:rtl/>
          <w:lang w:bidi="he-IL"/>
        </w:rPr>
      </w:pPr>
      <w:bookmarkStart w:id="452" w:name="_Toc496175699"/>
      <w:r w:rsidRPr="00882F11">
        <w:rPr>
          <w:rFonts w:cs="Guttman Drogolin" w:hint="cs"/>
          <w:color w:val="auto"/>
          <w:sz w:val="24"/>
          <w:szCs w:val="24"/>
          <w:u w:val="single"/>
          <w:rtl/>
          <w:lang w:bidi="he-IL"/>
        </w:rPr>
        <w:t>כללי פעפוע במאכל כחוש ושמן לפי המנהג</w:t>
      </w:r>
      <w:bookmarkEnd w:id="452"/>
    </w:p>
    <w:p w:rsidR="006144FC" w:rsidRPr="00882F11" w:rsidRDefault="005E0D67" w:rsidP="00FD6228">
      <w:pPr>
        <w:tabs>
          <w:tab w:val="right" w:pos="7497"/>
        </w:tabs>
        <w:bidi/>
        <w:jc w:val="both"/>
        <w:rPr>
          <w:rFonts w:cs="Guttman Drogolin"/>
          <w:rtl/>
          <w:lang w:bidi="he-IL"/>
        </w:rPr>
      </w:pPr>
      <w:r>
        <w:rPr>
          <w:rFonts w:cs="Guttman Drogolin"/>
          <w:rtl/>
          <w:lang w:bidi="he-IL"/>
        </w:rPr>
        <w:fldChar w:fldCharType="begin"/>
      </w:r>
      <w:r>
        <w:instrText xml:space="preserve"> XE "</w:instrText>
      </w:r>
      <w:r w:rsidRPr="002837AF">
        <w:rPr>
          <w:rFonts w:hint="cs"/>
          <w:rtl/>
          <w:lang w:bidi="he-IL"/>
        </w:rPr>
        <w:instrText>העברת טעם</w:instrText>
      </w:r>
      <w:r w:rsidRPr="002837AF">
        <w:rPr>
          <w:rtl/>
        </w:rPr>
        <w:instrText>:</w:instrText>
      </w:r>
      <w:r w:rsidRPr="002837AF">
        <w:rPr>
          <w:rFonts w:hint="cs"/>
          <w:rtl/>
          <w:lang w:bidi="he-IL"/>
        </w:rPr>
        <w:instrText>כללי פעפוע במאכל כחוש ושמן לפי המנהג</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D613D4">
        <w:rPr>
          <w:rFonts w:hint="cs"/>
          <w:rtl/>
          <w:lang w:bidi="he-IL"/>
        </w:rPr>
        <w:instrText>צלי</w:instrText>
      </w:r>
      <w:r w:rsidRPr="00D613D4">
        <w:rPr>
          <w:rtl/>
        </w:rPr>
        <w:instrText>:</w:instrText>
      </w:r>
      <w:r w:rsidRPr="00D613D4">
        <w:rPr>
          <w:rFonts w:hint="cs"/>
          <w:rtl/>
          <w:lang w:bidi="he-IL"/>
        </w:rPr>
        <w:instrText>כללי פעפוע במאכל כחוש ושמן לפי המנהג</w:instrText>
      </w:r>
      <w:r>
        <w:instrText xml:space="preserve">" </w:instrText>
      </w:r>
      <w:r>
        <w:rPr>
          <w:rFonts w:cs="Guttman Drogolin"/>
          <w:rtl/>
          <w:lang w:bidi="he-IL"/>
        </w:rPr>
        <w:fldChar w:fldCharType="end"/>
      </w:r>
      <w:r w:rsidR="00FD6228" w:rsidRPr="00882F11">
        <w:rPr>
          <w:rFonts w:cs="Guttman Drogolin" w:hint="cs"/>
          <w:rtl/>
          <w:lang w:bidi="he-IL"/>
        </w:rPr>
        <w:t>כמו שהזכרנו שיטת הרמ"א ללורמ שאין אנו בקיאים מהו כחוש ומהו שמן, ולכן בכולם צריכים ס', אבל מכח חומרא זו נקט להקל שעכ"פ מצרפינן כל החתיכות הנוגעות לומר שמתפשט בכולהו, ואם יש ס' כל החתיכת שלא נגעו בחתיכת היתר מותרות, והוא משום שאפשר לצרף גם שיטת הראבי"ה שבמליחה אין אפילו דבר שמן מפעפע יותר מכדי קליפה</w:t>
      </w:r>
      <w:r w:rsidR="006144FC" w:rsidRPr="00882F11">
        <w:rPr>
          <w:rFonts w:cs="Guttman Drogolin" w:hint="cs"/>
          <w:rtl/>
          <w:lang w:bidi="he-IL"/>
        </w:rPr>
        <w:t>, וכמו שביארנו כל זה בשיעור הקודם</w:t>
      </w:r>
      <w:r w:rsidR="00FD6228" w:rsidRPr="00882F11">
        <w:rPr>
          <w:rFonts w:cs="Guttman Drogolin" w:hint="cs"/>
          <w:rtl/>
          <w:lang w:bidi="he-IL"/>
        </w:rPr>
        <w:t>.</w:t>
      </w:r>
    </w:p>
    <w:p w:rsidR="008C75EC" w:rsidRPr="00882F11" w:rsidRDefault="006144FC" w:rsidP="001C2514">
      <w:pPr>
        <w:tabs>
          <w:tab w:val="right" w:pos="7497"/>
        </w:tabs>
        <w:bidi/>
        <w:jc w:val="both"/>
        <w:rPr>
          <w:rFonts w:cs="Guttman Drogolin"/>
          <w:rtl/>
          <w:lang w:bidi="he-IL"/>
        </w:rPr>
      </w:pPr>
      <w:r w:rsidRPr="00882F11">
        <w:rPr>
          <w:rFonts w:cs="Guttman Drogolin" w:hint="cs"/>
          <w:rtl/>
          <w:lang w:bidi="he-IL"/>
        </w:rPr>
        <w:t xml:space="preserve">והנה בהגהות רע"א עשה סדר בדיני התפשטות הטעם בצלי ובמליחה, ונעבור על הכללים עם המקור שלהם. בדבר שמן ממש קיי"ל להחמיר בין באיסור דאורייתא ובין באיסור מדרבנן שצריך ס' (ומ"מ מהני ס') וע"פ הגמ' דדף צ"ז ע"א "שאני התם דמפעפע" ודלא כפירושו של הרא"ה דלא מהני ס', וכן דלא כראבי"ה, וכן קיי"ל כשיטת הרשב"א שבדבר המפעפע צריכים להסיר גם כדי נטילה אפילו במקום שיש ששים, משום דחיישינן שנבלע שם יותר. אמנם בזה יש חילוק בין מליחה לצלי, שבצלי צריכים להסיר כדי נטילה וע"פ המני' שבמס' פסחים, ואילו במליחה קיי"ל שאינו צריך להסיר אלא כדי קליפה. והנ"מ בדבר המפעפע ממש, אבל דבר כחוש שיש לה סרך שמנונית </w:t>
      </w:r>
      <w:r w:rsidR="001C2514" w:rsidRPr="00882F11">
        <w:rPr>
          <w:rFonts w:cs="Guttman Drogolin" w:hint="cs"/>
          <w:rtl/>
          <w:lang w:bidi="he-IL"/>
        </w:rPr>
        <w:t xml:space="preserve">קיי"ל להחמיר שאין אנו יודעים אם הוא מפעפע או לא וג"כ דינו כנ"ל, רק שבזה מסוף דברי הרמ"א בסע' ט' מבואר שיש להקל במקום הפמ"ר שאנחנו בקיאים וכיון שאינו שמן באמת אינו מפעפע ואם אין ס' יש להתיר ע"י הסרת כדי קליפה. והנ"מ בדבר שהוא אסור מדאורייתא, אבל בדבר שאסור מדרבנן אפשר להקל במקום שיש קצת הפסד וכדמבואר בש"ך ס"ק ל"ח. ובדבר שכחוש לגמרי ואין בה אפילו סרך שמנונית, כתב הרמ"א בהגהות שו"ע שבזה אנחנו בקיאים, אבל בתו"ח מבואר שע"פ המנהג אין לחלק, ומדויק בש"ך דהנ"מ במקום שאין הפסד קצת, אבל כשיש קצת הפסד אפשר להקל, ובאיסור דרבנן אין מנהג להחמיר כלל. וע"ש שדן אם אפשר להקל במליחה </w:t>
      </w:r>
      <w:r w:rsidR="001C2514" w:rsidRPr="00882F11">
        <w:rPr>
          <w:rFonts w:cs="Guttman Drogolin" w:hint="cs"/>
          <w:rtl/>
          <w:lang w:bidi="he-IL"/>
        </w:rPr>
        <w:lastRenderedPageBreak/>
        <w:t xml:space="preserve">בהיתר שאינו כחוש לגמרי לומר שאין ההיתר מפטם לי' לאיסור כיון שפיטום גופו שנוי במחלוקת. </w:t>
      </w:r>
    </w:p>
    <w:p w:rsidR="006165E4" w:rsidRPr="00882F11" w:rsidRDefault="008C75EC" w:rsidP="008F5B85">
      <w:pPr>
        <w:tabs>
          <w:tab w:val="right" w:pos="7497"/>
        </w:tabs>
        <w:bidi/>
        <w:jc w:val="both"/>
        <w:rPr>
          <w:rFonts w:cs="Guttman Drogolin"/>
          <w:rtl/>
          <w:lang w:bidi="he-IL"/>
        </w:rPr>
      </w:pPr>
      <w:r w:rsidRPr="00882F11">
        <w:rPr>
          <w:rFonts w:cs="Guttman Drogolin" w:hint="cs"/>
          <w:rtl/>
          <w:lang w:bidi="he-IL"/>
        </w:rPr>
        <w:t>והנה כל הנ"ל שייך למאכל גופו, אבל בבליעות של איסור מבואר בש"ך בסי' ק"ה ס"ק י"ז שבזה סומכים ע</w:t>
      </w:r>
      <w:r w:rsidR="001B7CC2" w:rsidRPr="00882F11">
        <w:rPr>
          <w:rFonts w:cs="Guttman Drogolin" w:hint="cs"/>
          <w:rtl/>
          <w:lang w:bidi="he-IL"/>
        </w:rPr>
        <w:t>ל</w:t>
      </w:r>
      <w:r w:rsidRPr="00882F11">
        <w:rPr>
          <w:rFonts w:cs="Guttman Drogolin" w:hint="cs"/>
          <w:rtl/>
          <w:lang w:bidi="he-IL"/>
        </w:rPr>
        <w:t xml:space="preserve"> בקיאות שלנו, ואם אינו דבר המפעפע לא חיישינן לפעפוע. וע"פ הוראה זו מקשים כמה אחרונים </w:t>
      </w:r>
      <w:r w:rsidR="001B7CC2" w:rsidRPr="00882F11">
        <w:rPr>
          <w:rFonts w:cs="Guttman Drogolin" w:hint="cs"/>
          <w:rtl/>
          <w:lang w:bidi="he-IL"/>
        </w:rPr>
        <w:t>(ע' שפ"ד וחוו"ד</w:t>
      </w:r>
      <w:r w:rsidR="006165E4" w:rsidRPr="00882F11">
        <w:rPr>
          <w:rFonts w:cs="Guttman Drogolin" w:hint="cs"/>
          <w:rtl/>
          <w:lang w:bidi="he-IL"/>
        </w:rPr>
        <w:t xml:space="preserve"> ס"ק י"ח</w:t>
      </w:r>
      <w:r w:rsidR="001B7CC2" w:rsidRPr="00882F11">
        <w:rPr>
          <w:rFonts w:cs="Guttman Drogolin" w:hint="cs"/>
          <w:rtl/>
          <w:lang w:bidi="he-IL"/>
        </w:rPr>
        <w:t>) שלכאורה מבואר שאם אין ס' בין כל התחיכות כדי לבטל הטעם שיוצא מתחיכת האיסור אז כל החתיכות אסורות. וצ"ע שבשלמא בחתיכה האסורה שהוא באמת שמן יש לחשש שהוא מפעפע מחתיכה לחתיכה, אבל באיסור כחוש שמדינא אינו מפעפע, רק מחמירים בה משום שאין אנו בקיאים, בשלמא בחתיכת היתר שנגעה בה עיקר החתיכה דאיסורא ודאי מחמירים לאסור את כולה כיון שאין אנו בקיאים, אבל</w:t>
      </w:r>
      <w:r w:rsidR="008F5B85" w:rsidRPr="00882F11">
        <w:rPr>
          <w:rFonts w:cs="Guttman Drogolin" w:hint="cs"/>
          <w:rtl/>
          <w:lang w:bidi="he-IL"/>
        </w:rPr>
        <w:t xml:space="preserve"> למה אנחנו אוסרים את כל החתיכות שנגעו בחתיכה שנגעה באיסור, שהרי החתיכה שנגעה באיסור אינו אלא בלוע ובזה הי' לנו לומר שאנחנו בקיאים, ולכן אינו אוסר החתיכה השני' כיון שאין בליעה כחושה עוברת מחתיכה לחתיכה בלי רוטב. וע' בשפ"ד מש"כ בזה. והחוו"ד כתב דכיון שבשעה שבולע מעצם המאכל של איסור אמרינן שאין אנו בקיאים, אין מחלקין בין ההעברה מן המאכל של איסור למאכל של היתר, לביין ההעברה ממאכל שבלע איסור למאכל שני.</w:t>
      </w:r>
    </w:p>
    <w:p w:rsidR="006165E4" w:rsidRPr="00882F11" w:rsidRDefault="006165E4" w:rsidP="006165E4">
      <w:pPr>
        <w:tabs>
          <w:tab w:val="right" w:pos="7497"/>
        </w:tabs>
        <w:bidi/>
        <w:jc w:val="both"/>
        <w:rPr>
          <w:rFonts w:cs="Guttman Drogolin"/>
          <w:rtl/>
          <w:lang w:bidi="he-IL"/>
        </w:rPr>
      </w:pPr>
      <w:r w:rsidRPr="00882F11">
        <w:rPr>
          <w:rFonts w:cs="Guttman Drogolin" w:hint="cs"/>
          <w:rtl/>
          <w:lang w:bidi="he-IL"/>
        </w:rPr>
        <w:t>ולענין מעשה איני באמת יודע מה מיקרי כחוש ומה מיקרי שמן, חוץ ממה שמבואר בפוסקים, ולכן איני יודע אם יש מקום להקל בקולות של דברים כחושים היום חוץ מן הדברים המבוארים בפוסקים.</w:t>
      </w:r>
    </w:p>
    <w:p w:rsidR="006165E4" w:rsidRPr="00882F11" w:rsidRDefault="006165E4" w:rsidP="006165E4">
      <w:pPr>
        <w:pStyle w:val="Heading1"/>
        <w:bidi/>
        <w:spacing w:before="0" w:line="360" w:lineRule="auto"/>
        <w:jc w:val="center"/>
        <w:rPr>
          <w:rFonts w:cs="Guttman Drogolin"/>
          <w:color w:val="auto"/>
          <w:sz w:val="24"/>
          <w:szCs w:val="24"/>
          <w:u w:val="single"/>
          <w:rtl/>
          <w:lang w:bidi="he-IL"/>
        </w:rPr>
      </w:pPr>
      <w:bookmarkStart w:id="453" w:name="_Toc496175700"/>
      <w:r w:rsidRPr="00882F11">
        <w:rPr>
          <w:rFonts w:cs="Guttman Drogolin" w:hint="cs"/>
          <w:color w:val="auto"/>
          <w:sz w:val="24"/>
          <w:szCs w:val="24"/>
          <w:u w:val="single"/>
          <w:rtl/>
          <w:lang w:bidi="he-IL"/>
        </w:rPr>
        <w:t>בדין תתאה ועילאה במליחה למעשה</w:t>
      </w:r>
      <w:bookmarkEnd w:id="453"/>
    </w:p>
    <w:p w:rsidR="000A665D" w:rsidRPr="00882F11" w:rsidRDefault="005E0D67" w:rsidP="00B0782B">
      <w:pPr>
        <w:tabs>
          <w:tab w:val="right" w:pos="7497"/>
        </w:tabs>
        <w:bidi/>
        <w:jc w:val="both"/>
        <w:rPr>
          <w:rFonts w:cs="Guttman Drogolin"/>
          <w:rtl/>
          <w:lang w:bidi="he-IL"/>
        </w:rPr>
      </w:pPr>
      <w:r>
        <w:rPr>
          <w:rFonts w:cs="Guttman Drogolin"/>
          <w:rtl/>
          <w:lang w:bidi="he-IL"/>
        </w:rPr>
        <w:fldChar w:fldCharType="begin"/>
      </w:r>
      <w:r>
        <w:instrText xml:space="preserve"> XE "</w:instrText>
      </w:r>
      <w:r w:rsidRPr="00C70AF0">
        <w:rPr>
          <w:rFonts w:hint="cs"/>
          <w:rtl/>
          <w:lang w:bidi="he-IL"/>
        </w:rPr>
        <w:instrText>מליח</w:instrText>
      </w:r>
      <w:r w:rsidRPr="00C70AF0">
        <w:rPr>
          <w:rtl/>
        </w:rPr>
        <w:instrText>:</w:instrText>
      </w:r>
      <w:r w:rsidRPr="00C70AF0">
        <w:rPr>
          <w:rFonts w:hint="cs"/>
          <w:rtl/>
          <w:lang w:bidi="he-IL"/>
        </w:rPr>
        <w:instrText>בדין תתאה ועילאה למעשה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2A591B">
        <w:rPr>
          <w:rFonts w:hint="cs"/>
          <w:rtl/>
          <w:lang w:bidi="he-IL"/>
        </w:rPr>
        <w:instrText xml:space="preserve">תתאה </w:instrText>
      </w:r>
      <w:r w:rsidR="00B0782B">
        <w:rPr>
          <w:rFonts w:hint="cs"/>
          <w:rtl/>
          <w:lang w:bidi="he-IL"/>
        </w:rPr>
        <w:instrText>ג</w:instrText>
      </w:r>
      <w:r w:rsidRPr="002A591B">
        <w:rPr>
          <w:rFonts w:hint="cs"/>
          <w:rtl/>
          <w:lang w:bidi="he-IL"/>
        </w:rPr>
        <w:instrText>בר / עילאה גבר</w:instrText>
      </w:r>
      <w:r w:rsidRPr="002A591B">
        <w:rPr>
          <w:rtl/>
        </w:rPr>
        <w:instrText>:</w:instrText>
      </w:r>
      <w:r w:rsidRPr="002A591B">
        <w:rPr>
          <w:rFonts w:hint="cs"/>
          <w:rtl/>
          <w:lang w:bidi="he-IL"/>
        </w:rPr>
        <w:instrText>הדין למעשה במליח</w:instrText>
      </w:r>
      <w:r>
        <w:instrText xml:space="preserve">" </w:instrText>
      </w:r>
      <w:r>
        <w:rPr>
          <w:rFonts w:cs="Guttman Drogolin"/>
          <w:rtl/>
          <w:lang w:bidi="he-IL"/>
        </w:rPr>
        <w:fldChar w:fldCharType="end"/>
      </w:r>
      <w:r w:rsidR="006165E4" w:rsidRPr="00882F11">
        <w:rPr>
          <w:rFonts w:cs="Guttman Drogolin" w:hint="cs"/>
          <w:rtl/>
          <w:lang w:bidi="he-IL"/>
        </w:rPr>
        <w:t xml:space="preserve">ראינו כבר שנחלקו הראשונם במליחה אם נאמרו בה הכללים של תתאה גבר ועילאה גבר. והשו"ע כאן בסע' י"א כנראה הקט כשיטת הרשב"א דסבר שבמליח תחתון אין אומרים הכלל דתתאה גבר, ולכן בטוהר מליח למטה וטמא תפל למעשה אין הטהור נאסר, אבל תפל תחתון שפיר אמרינן </w:t>
      </w:r>
      <w:r w:rsidR="006165E4" w:rsidRPr="00882F11">
        <w:rPr>
          <w:rFonts w:cs="Guttman Drogolin" w:hint="cs"/>
          <w:rtl/>
          <w:lang w:bidi="he-IL"/>
        </w:rPr>
        <w:lastRenderedPageBreak/>
        <w:t>תתאה גבר, ולכן אם התתאה טהור תפל ויש עליו טמא מליח אין החתיכה הטהורה צריכה אלא קליפה אע"פ שחתיכ</w:t>
      </w:r>
      <w:r w:rsidR="00EC02B2" w:rsidRPr="00882F11">
        <w:rPr>
          <w:rFonts w:cs="Guttman Drogolin" w:hint="cs"/>
          <w:rtl/>
          <w:lang w:bidi="he-IL"/>
        </w:rPr>
        <w:t>ת האיסור הוא שמן</w:t>
      </w:r>
      <w:r w:rsidR="006165E4" w:rsidRPr="00882F11">
        <w:rPr>
          <w:rFonts w:cs="Guttman Drogolin" w:hint="cs"/>
          <w:rtl/>
          <w:lang w:bidi="he-IL"/>
        </w:rPr>
        <w:t>.</w:t>
      </w:r>
      <w:r w:rsidR="00EC02B2" w:rsidRPr="00882F11">
        <w:rPr>
          <w:rFonts w:cs="Guttman Drogolin" w:hint="cs"/>
          <w:rtl/>
          <w:lang w:bidi="he-IL"/>
        </w:rPr>
        <w:t xml:space="preserve"> והש"ך בסי' צ"א ס"ק י"ב העיר בזה שהשו"ע שם סתם ולא חילק בין ת</w:t>
      </w:r>
      <w:r w:rsidR="00A6629E" w:rsidRPr="00882F11">
        <w:rPr>
          <w:rFonts w:cs="Guttman Drogolin" w:hint="cs"/>
          <w:rtl/>
          <w:lang w:bidi="he-IL"/>
        </w:rPr>
        <w:t xml:space="preserve">פל תחתון לעליון, ובכל ענין הקיל. </w:t>
      </w:r>
      <w:r w:rsidR="000A665D" w:rsidRPr="00882F11">
        <w:rPr>
          <w:rFonts w:cs="Guttman Drogolin" w:hint="cs"/>
          <w:rtl/>
          <w:lang w:bidi="he-IL"/>
        </w:rPr>
        <w:t>ותי' שרק בדבר שמן החמיר בזה. ור"ל ששיטת הרשב"א היא שאין בכח המליח להוציא טעם מן החתיכה התפילה כלל, ולכן אם אין הטמא מליח לא שנא טהור מליח תחתון ולא שנא טהור מליח עליון לא יוצא מן הטמא שום טעם לתוך הטהור ולכן אין החתיכה הטהורה צריכה אלא הדחה. רק במקום שהחתיכה הטמאה היא מלוחה יש לדון בתתאה ועילאה, ולכן אם התתאה תפל ועליון מליח יש לדון משום תתאה גבר שאין התחתון בולע אלא כדי קליפה. ויוצא שגם לענין איסור כחוש אם העליון טמא מליח ותתאה תפל הרי הוא אוסר כדי קליפה, וכמו שהוא אפילו למ"ד שלא אומרים במליחה תתאה ויעלאה כלל.</w:t>
      </w:r>
    </w:p>
    <w:p w:rsidR="00D32E22" w:rsidRPr="00882F11" w:rsidRDefault="000A665D" w:rsidP="000A665D">
      <w:pPr>
        <w:tabs>
          <w:tab w:val="right" w:pos="7497"/>
        </w:tabs>
        <w:bidi/>
        <w:jc w:val="both"/>
        <w:rPr>
          <w:rFonts w:cs="Guttman Drogolin"/>
          <w:rtl/>
          <w:lang w:bidi="he-IL"/>
        </w:rPr>
      </w:pPr>
      <w:r w:rsidRPr="00882F11">
        <w:rPr>
          <w:rFonts w:cs="Guttman Drogolin" w:hint="cs"/>
          <w:rtl/>
          <w:lang w:bidi="he-IL"/>
        </w:rPr>
        <w:t>ו</w:t>
      </w:r>
      <w:r w:rsidR="00D32E22" w:rsidRPr="00882F11">
        <w:rPr>
          <w:rFonts w:cs="Guttman Drogolin" w:hint="cs"/>
          <w:rtl/>
          <w:lang w:bidi="he-IL"/>
        </w:rPr>
        <w:t>מ"מ כל זה הוא שיטת המחבר, אבל הרמ"א שם בסע' י"א כתב שנוהגים כשיטת התוס' והרא"ש שלא נאמר דיין תתאה ועילאה במליחה כלל. אלא ד</w:t>
      </w:r>
      <w:r w:rsidRPr="00882F11">
        <w:rPr>
          <w:rFonts w:cs="Guttman Drogolin" w:hint="cs"/>
          <w:rtl/>
          <w:lang w:bidi="he-IL"/>
        </w:rPr>
        <w:t>הנה הש"ע בסע' י' כתב שאם טהור מליח וטמא תפל מונחים א' ליד השני וא' נוגע בחברתה</w:t>
      </w:r>
      <w:r w:rsidR="00D32E22" w:rsidRPr="00882F11">
        <w:rPr>
          <w:rFonts w:cs="Guttman Drogolin" w:hint="cs"/>
          <w:rtl/>
          <w:lang w:bidi="he-IL"/>
        </w:rPr>
        <w:t>, מ"מ אין צריך אלא הדחה. וכתב על זה הרמ"א שיש אוסרים במקום שנוגעים זה בזה, ושיש להקל במקום הפסד, ומשמע שלא במקוום הפסד יש להחמיר גם בזה. והטעם לכאורה משום שבמקום שנוגע המליח לתפל הרי הוא מלוח, וממילא גם הטמא מליח ואוסר. וכבר הבאנו</w:t>
      </w:r>
      <w:r w:rsidR="00D32E22" w:rsidRPr="00882F11">
        <w:rPr>
          <w:rStyle w:val="FootnoteReference"/>
          <w:rFonts w:cs="Guttman Drogolin"/>
          <w:rtl/>
          <w:lang w:bidi="he-IL"/>
        </w:rPr>
        <w:footnoteReference w:id="432"/>
      </w:r>
      <w:r w:rsidR="00D32E22" w:rsidRPr="00882F11">
        <w:rPr>
          <w:rFonts w:cs="Guttman Drogolin" w:hint="cs"/>
          <w:rtl/>
          <w:lang w:bidi="he-IL"/>
        </w:rPr>
        <w:t xml:space="preserve"> שהרא"ש התייחס להערה זו וכתב שחשוב שם נאכל מחמת מלחו. והגר"א ציין לדעת האוסרים את דברי הר"ן שפי' שהסוגיא דטהור מליח וטמא תפל מיירי באינם נוגעים זה בזה. והעיר במגי"ס שאמנם כן צריכים לומר שפי' שיטה זו המובא ברמ"א, אבל יש להעיר שהר"ן עצמו כן פי' לא משום קושיית הרא"ש בלבד, אלא משום שסבר דלגמרי אמרינן תתאה ועילאה במליח, ואיילו הרמ"א לית לי' עילאה ותתאה במליח. ומ"מ אוקימתא זו צריכים גם לרמ"א לענין זה מיהת דאל"כ לשיטה המובא </w:t>
      </w:r>
      <w:r w:rsidR="00D32E22" w:rsidRPr="00882F11">
        <w:rPr>
          <w:rFonts w:cs="Guttman Drogolin" w:hint="cs"/>
          <w:rtl/>
          <w:lang w:bidi="he-IL"/>
        </w:rPr>
        <w:lastRenderedPageBreak/>
        <w:t>ברמ"א שבנוגעים יש לאסור קשה סוגיית הגמ' וכמש"נ.</w:t>
      </w:r>
      <w:r w:rsidRPr="00882F11">
        <w:rPr>
          <w:rFonts w:cs="Guttman Drogolin" w:hint="cs"/>
          <w:rtl/>
          <w:lang w:bidi="he-IL"/>
        </w:rPr>
        <w:t xml:space="preserve">  </w:t>
      </w:r>
    </w:p>
    <w:p w:rsidR="00D32E22" w:rsidRPr="00882F11" w:rsidRDefault="009765D8" w:rsidP="009765D8">
      <w:pPr>
        <w:pStyle w:val="Heading1"/>
        <w:bidi/>
        <w:spacing w:before="0" w:line="360" w:lineRule="auto"/>
        <w:jc w:val="center"/>
        <w:rPr>
          <w:rFonts w:cs="Guttman Drogolin"/>
          <w:color w:val="auto"/>
          <w:sz w:val="24"/>
          <w:szCs w:val="24"/>
          <w:u w:val="single"/>
          <w:rtl/>
          <w:lang w:bidi="he-IL"/>
        </w:rPr>
      </w:pPr>
      <w:bookmarkStart w:id="454" w:name="_Toc496175701"/>
      <w:r w:rsidRPr="00882F11">
        <w:rPr>
          <w:rFonts w:cs="Guttman Drogolin" w:hint="cs"/>
          <w:color w:val="auto"/>
          <w:sz w:val="24"/>
          <w:szCs w:val="24"/>
          <w:u w:val="single"/>
          <w:rtl/>
          <w:lang w:bidi="he-IL"/>
        </w:rPr>
        <w:t>מליחה בכלים</w:t>
      </w:r>
      <w:bookmarkEnd w:id="454"/>
    </w:p>
    <w:p w:rsidR="0091148E" w:rsidRPr="00882F11" w:rsidRDefault="005E0D67" w:rsidP="0091148E">
      <w:pPr>
        <w:tabs>
          <w:tab w:val="right" w:pos="7497"/>
        </w:tabs>
        <w:bidi/>
        <w:jc w:val="both"/>
        <w:rPr>
          <w:rFonts w:cs="Guttman Drogolin"/>
          <w:rtl/>
          <w:lang w:bidi="he-IL"/>
        </w:rPr>
      </w:pPr>
      <w:r>
        <w:rPr>
          <w:rFonts w:cs="Guttman Drogolin"/>
          <w:rtl/>
          <w:lang w:bidi="he-IL"/>
        </w:rPr>
        <w:fldChar w:fldCharType="begin"/>
      </w:r>
      <w:r>
        <w:instrText xml:space="preserve"> XE "</w:instrText>
      </w:r>
      <w:r w:rsidRPr="00634562">
        <w:rPr>
          <w:rFonts w:hint="cs"/>
          <w:rtl/>
          <w:lang w:bidi="he-IL"/>
        </w:rPr>
        <w:instrText>מליח</w:instrText>
      </w:r>
      <w:r w:rsidRPr="00634562">
        <w:rPr>
          <w:rtl/>
        </w:rPr>
        <w:instrText>:</w:instrText>
      </w:r>
      <w:r w:rsidRPr="00634562">
        <w:rPr>
          <w:rFonts w:hint="cs"/>
          <w:rtl/>
          <w:lang w:bidi="he-IL"/>
        </w:rPr>
        <w:instrText>בכלים</w:instrText>
      </w:r>
      <w:r>
        <w:instrText xml:space="preserve">" </w:instrText>
      </w:r>
      <w:r>
        <w:rPr>
          <w:rFonts w:cs="Guttman Drogolin"/>
          <w:rtl/>
          <w:lang w:bidi="he-IL"/>
        </w:rPr>
        <w:fldChar w:fldCharType="end"/>
      </w:r>
      <w:r w:rsidR="009765D8" w:rsidRPr="00882F11">
        <w:rPr>
          <w:rFonts w:cs="Guttman Drogolin" w:hint="cs"/>
          <w:rtl/>
          <w:lang w:bidi="he-IL"/>
        </w:rPr>
        <w:t>בסע' י"ב וי"ג דן השו"ע במליח בכלי האם מוציא הבלע מתוכו, ויוצא מדבריו שמליח אינו מוציא לא מכלי איסור ולא מכלי היתר בדיעבד, אבל לתכחילה כתב הרמ"א (סע' י"ב) שאסור למלוח בכלי איסור, וכן במלח שבכלי כתב (סי' י"ג) שהמחמיר תבא עליו ברכה. ומ"מ לכאורה יוצא שאם הניחו מלח שהי' בכלי איסור או של המין השני בתוך תבשיל אין לאסרו בדיעבד. אבל העומד לנגדינו הוא המבואר בחי' רע"א בשם התפארת למשה דיתכן שהנ"מ בכלי שבלע ע"י מליחה, אבל כלי שבלע ע"י האור, י"ל שיש בזה מליחה בכלים. וע"ש שהביא מבאר שבע דיתכן שבכלי חרס יש מליחה, רק בכלי עץ אין מליחה בכלים. ולמעשה היד יהודה חלק שלא מהני מליחה לשום כלי, וכן פירש שזהו כוונת הרמ"א "והוא הדין אם נמלח היתר בשאר כלי איסור"</w:t>
      </w:r>
      <w:r w:rsidR="0091148E" w:rsidRPr="00882F11">
        <w:rPr>
          <w:rFonts w:cs="Guttman Drogolin" w:hint="cs"/>
          <w:rtl/>
          <w:lang w:bidi="he-IL"/>
        </w:rPr>
        <w:t xml:space="preserve">, שהכוונה ב'שארא כלי איסור' היינו אפילו בלע ע"י האור. וכן הוא משמעות סתימת הפוסקים בזה שאין מליחה לכלים כלל, לולא דברי התפל"מ. וכן נקט בבדה"ש לדינא להקל. </w:t>
      </w:r>
    </w:p>
    <w:p w:rsidR="0091148E" w:rsidRPr="00882F11" w:rsidRDefault="0091148E" w:rsidP="0091148E">
      <w:pPr>
        <w:pStyle w:val="Heading1"/>
        <w:bidi/>
        <w:spacing w:before="0" w:line="360" w:lineRule="auto"/>
        <w:jc w:val="center"/>
        <w:rPr>
          <w:rFonts w:cs="Guttman Drogolin"/>
          <w:color w:val="auto"/>
          <w:sz w:val="24"/>
          <w:szCs w:val="24"/>
          <w:u w:val="single"/>
          <w:rtl/>
          <w:lang w:bidi="he-IL"/>
        </w:rPr>
      </w:pPr>
      <w:bookmarkStart w:id="455" w:name="_Toc496175702"/>
      <w:r w:rsidRPr="00882F11">
        <w:rPr>
          <w:rFonts w:cs="Guttman Drogolin" w:hint="cs"/>
          <w:color w:val="auto"/>
          <w:sz w:val="24"/>
          <w:szCs w:val="24"/>
          <w:u w:val="single"/>
          <w:rtl/>
          <w:lang w:bidi="he-IL"/>
        </w:rPr>
        <w:t>מלח שבלע דם</w:t>
      </w:r>
      <w:bookmarkEnd w:id="455"/>
    </w:p>
    <w:p w:rsidR="006165E4" w:rsidRPr="00882F11" w:rsidRDefault="005E0D67" w:rsidP="0091148E">
      <w:pPr>
        <w:tabs>
          <w:tab w:val="right" w:pos="7497"/>
        </w:tabs>
        <w:bidi/>
        <w:jc w:val="both"/>
        <w:rPr>
          <w:rFonts w:cs="Guttman Drogolin"/>
          <w:rtl/>
          <w:lang w:bidi="he-IL"/>
        </w:rPr>
      </w:pPr>
      <w:r>
        <w:rPr>
          <w:rFonts w:cs="Guttman Drogolin"/>
          <w:rtl/>
          <w:lang w:bidi="he-IL"/>
        </w:rPr>
        <w:fldChar w:fldCharType="begin"/>
      </w:r>
      <w:r>
        <w:instrText xml:space="preserve"> XE "</w:instrText>
      </w:r>
      <w:r w:rsidRPr="0061123A">
        <w:rPr>
          <w:rFonts w:hint="cs"/>
          <w:rtl/>
          <w:lang w:bidi="he-IL"/>
        </w:rPr>
        <w:instrText>חענ</w:instrText>
      </w:r>
      <w:r>
        <w:rPr>
          <w:rFonts w:eastAsiaTheme="minorEastAsia"/>
          <w:lang w:bidi="he-IL"/>
        </w:rPr>
        <w:instrText>\</w:instrText>
      </w:r>
      <w:r w:rsidRPr="0061123A">
        <w:rPr>
          <w:rFonts w:hint="cs"/>
          <w:rtl/>
          <w:lang w:bidi="he-IL"/>
        </w:rPr>
        <w:instrText>"ן</w:instrText>
      </w:r>
      <w:r w:rsidRPr="0061123A">
        <w:rPr>
          <w:rtl/>
        </w:rPr>
        <w:instrText>:</w:instrText>
      </w:r>
      <w:r w:rsidRPr="0061123A">
        <w:rPr>
          <w:rFonts w:hint="cs"/>
          <w:rtl/>
          <w:lang w:bidi="he-IL"/>
        </w:rPr>
        <w:instrText>בתבלין שבלעו דם</w:instrText>
      </w:r>
      <w:r>
        <w:instrText xml:space="preserve">" </w:instrText>
      </w:r>
      <w:r>
        <w:rPr>
          <w:rFonts w:cs="Guttman Drogolin"/>
          <w:rtl/>
          <w:lang w:bidi="he-IL"/>
        </w:rPr>
        <w:fldChar w:fldCharType="end"/>
      </w:r>
      <w:r w:rsidR="0091148E" w:rsidRPr="00882F11">
        <w:rPr>
          <w:rFonts w:cs="Guttman Drogolin" w:hint="cs"/>
          <w:rtl/>
          <w:lang w:bidi="he-IL"/>
        </w:rPr>
        <w:t>בסע' י"ד הביא השו"ע הדין של מלח שבלע דם שאינו אוסר במקום שיש ששים כנגד המלח אע"ג שמלח לטעמא עבידא וכן נע"נ למ"ד שחענ"ן בשאר איסורים. וכבר ביארנו בזה לעיל בשיעור כ' ע"ש.</w:t>
      </w:r>
    </w:p>
    <w:p w:rsidR="00725D76" w:rsidRPr="00882F11" w:rsidRDefault="00725D76" w:rsidP="0050029E">
      <w:pPr>
        <w:tabs>
          <w:tab w:val="right" w:pos="7497"/>
        </w:tabs>
        <w:bidi/>
        <w:jc w:val="both"/>
        <w:rPr>
          <w:rFonts w:cs="Guttman Drogolin"/>
          <w:b/>
          <w:bCs/>
          <w:rtl/>
          <w:lang w:bidi="he-IL"/>
        </w:rPr>
      </w:pPr>
      <w:r w:rsidRPr="00882F11">
        <w:rPr>
          <w:rFonts w:cs="Guttman Drogolin" w:hint="cs"/>
          <w:b/>
          <w:bCs/>
          <w:rtl/>
          <w:lang w:bidi="he-IL"/>
        </w:rPr>
        <w:t>אחרי שגומרים סי' ק"ה יש ללמוד הסוגיא שבמס' פסחים כ"ט ע"ב "אמר רב חמץ וכו'" עד "חמירא דבני חילא" גפ"ת רי"ף ר"ן רז"ה ומלחמות ה'</w:t>
      </w:r>
      <w:r w:rsidR="0050029E" w:rsidRPr="00882F11">
        <w:rPr>
          <w:rFonts w:cs="Guttman Drogolin" w:hint="cs"/>
          <w:b/>
          <w:bCs/>
          <w:rtl/>
          <w:lang w:bidi="he-IL"/>
        </w:rPr>
        <w:t xml:space="preserve"> וריטב"א. וכן הסוגיא שבמס' ע"ז ע"ד ע"א ושם בפסקי הרא"ש</w:t>
      </w:r>
    </w:p>
    <w:p w:rsidR="008E5E0F" w:rsidRPr="00882F11" w:rsidRDefault="008E5E0F" w:rsidP="00A54162">
      <w:pPr>
        <w:tabs>
          <w:tab w:val="right" w:pos="7497"/>
        </w:tabs>
        <w:bidi/>
        <w:jc w:val="both"/>
        <w:rPr>
          <w:rFonts w:cs="Guttman Drogolin"/>
          <w:rtl/>
          <w:lang w:bidi="he-IL"/>
        </w:rPr>
      </w:pPr>
    </w:p>
    <w:p w:rsidR="008E5E0F" w:rsidRPr="00882F11" w:rsidRDefault="008E5E0F" w:rsidP="008E5E0F">
      <w:pPr>
        <w:tabs>
          <w:tab w:val="right" w:pos="7497"/>
        </w:tabs>
        <w:bidi/>
        <w:jc w:val="both"/>
        <w:rPr>
          <w:rFonts w:cs="Guttman Drogolin"/>
          <w:rtl/>
          <w:lang w:bidi="he-IL"/>
        </w:rPr>
        <w:sectPr w:rsidR="008E5E0F" w:rsidRPr="00882F11" w:rsidSect="00D7621D">
          <w:type w:val="continuous"/>
          <w:pgSz w:w="11907" w:h="16839" w:code="9"/>
          <w:pgMar w:top="1440" w:right="1440" w:bottom="1440" w:left="1440" w:header="720" w:footer="720" w:gutter="0"/>
          <w:cols w:num="2" w:space="720"/>
          <w:bidi/>
          <w:docGrid w:linePitch="360"/>
        </w:sectPr>
      </w:pPr>
    </w:p>
    <w:p w:rsidR="008E5E0F" w:rsidRPr="00D7621D" w:rsidRDefault="008E5E0F" w:rsidP="008E5E0F">
      <w:pPr>
        <w:keepNext/>
        <w:tabs>
          <w:tab w:val="left" w:pos="3818"/>
          <w:tab w:val="center" w:pos="4680"/>
        </w:tabs>
        <w:bidi/>
        <w:jc w:val="center"/>
        <w:rPr>
          <w:rFonts w:cs="Guttman Drogolin"/>
          <w:b/>
          <w:bCs/>
          <w:sz w:val="48"/>
          <w:szCs w:val="48"/>
          <w:rtl/>
          <w:lang w:bidi="he-IL"/>
        </w:rPr>
      </w:pPr>
      <w:r w:rsidRPr="00D7621D">
        <w:rPr>
          <w:rFonts w:cs="Guttman Drogolin" w:hint="cs"/>
          <w:b/>
          <w:bCs/>
          <w:sz w:val="48"/>
          <w:szCs w:val="48"/>
          <w:rtl/>
          <w:lang w:bidi="he-IL"/>
        </w:rPr>
        <w:lastRenderedPageBreak/>
        <w:t>שיעור קי"ד</w:t>
      </w:r>
    </w:p>
    <w:p w:rsidR="00D7621D" w:rsidRDefault="00D7621D" w:rsidP="008E5E0F">
      <w:pPr>
        <w:pStyle w:val="Heading1"/>
        <w:bidi/>
        <w:spacing w:before="0" w:line="360" w:lineRule="auto"/>
        <w:jc w:val="center"/>
        <w:rPr>
          <w:rFonts w:cs="Guttman Drogolin"/>
          <w:color w:val="auto"/>
          <w:sz w:val="24"/>
          <w:szCs w:val="24"/>
          <w:u w:val="single"/>
          <w:rtl/>
          <w:lang w:bidi="he-IL"/>
        </w:rPr>
        <w:sectPr w:rsidR="00D7621D" w:rsidSect="00D7621D">
          <w:headerReference w:type="default" r:id="rId87"/>
          <w:pgSz w:w="11907" w:h="16839" w:code="9"/>
          <w:pgMar w:top="1440" w:right="1440" w:bottom="1440" w:left="1440" w:header="720" w:footer="720" w:gutter="0"/>
          <w:cols w:space="720"/>
          <w:bidi/>
          <w:docGrid w:linePitch="360"/>
        </w:sectPr>
      </w:pPr>
    </w:p>
    <w:p w:rsidR="008E5E0F" w:rsidRPr="00882F11" w:rsidRDefault="008E5E0F" w:rsidP="008E5E0F">
      <w:pPr>
        <w:pStyle w:val="Heading1"/>
        <w:bidi/>
        <w:spacing w:before="0" w:line="360" w:lineRule="auto"/>
        <w:jc w:val="center"/>
        <w:rPr>
          <w:rFonts w:cs="Guttman Drogolin"/>
          <w:color w:val="auto"/>
          <w:sz w:val="24"/>
          <w:szCs w:val="24"/>
          <w:u w:val="single"/>
          <w:rtl/>
          <w:lang w:bidi="he-IL"/>
        </w:rPr>
      </w:pPr>
      <w:bookmarkStart w:id="456" w:name="_Toc496175703"/>
      <w:r w:rsidRPr="00882F11">
        <w:rPr>
          <w:rFonts w:cs="Guttman Drogolin" w:hint="cs"/>
          <w:color w:val="auto"/>
          <w:sz w:val="24"/>
          <w:szCs w:val="24"/>
          <w:u w:val="single"/>
          <w:rtl/>
          <w:lang w:bidi="he-IL"/>
        </w:rPr>
        <w:lastRenderedPageBreak/>
        <w:t>שיטת רב, שמואל, ור' יוחנן</w:t>
      </w:r>
      <w:bookmarkEnd w:id="456"/>
    </w:p>
    <w:p w:rsidR="00C84393" w:rsidRPr="00882F11" w:rsidRDefault="00007B0B" w:rsidP="00983CF4">
      <w:pPr>
        <w:tabs>
          <w:tab w:val="right" w:pos="7497"/>
        </w:tabs>
        <w:bidi/>
        <w:jc w:val="both"/>
        <w:rPr>
          <w:rFonts w:cs="Guttman Drogolin"/>
          <w:rtl/>
          <w:lang w:bidi="he-IL"/>
        </w:rPr>
      </w:pPr>
      <w:r>
        <w:rPr>
          <w:rFonts w:cs="Guttman Drogolin"/>
          <w:rtl/>
          <w:lang w:bidi="he-IL"/>
        </w:rPr>
        <w:fldChar w:fldCharType="begin"/>
      </w:r>
      <w:r>
        <w:instrText xml:space="preserve"> XE "</w:instrText>
      </w:r>
      <w:r w:rsidRPr="007B3D40">
        <w:rPr>
          <w:rFonts w:hint="cs"/>
          <w:rtl/>
          <w:lang w:bidi="he-IL"/>
        </w:rPr>
        <w:instrText>תערובת חמץ</w:instrText>
      </w:r>
      <w:r w:rsidRPr="007B3D40">
        <w:rPr>
          <w:rtl/>
        </w:rPr>
        <w:instrText>:</w:instrText>
      </w:r>
      <w:r w:rsidRPr="007B3D40">
        <w:rPr>
          <w:rFonts w:hint="cs"/>
          <w:rtl/>
          <w:lang w:bidi="he-IL"/>
        </w:rPr>
        <w:instrText>סוגיית הגמרא</w:instrText>
      </w:r>
      <w:r>
        <w:instrText xml:space="preserve">" </w:instrText>
      </w:r>
      <w:r>
        <w:rPr>
          <w:rFonts w:cs="Guttman Drogolin"/>
          <w:rtl/>
          <w:lang w:bidi="he-IL"/>
        </w:rPr>
        <w:fldChar w:fldCharType="end"/>
      </w:r>
      <w:r w:rsidR="00983CF4" w:rsidRPr="00882F11">
        <w:rPr>
          <w:rFonts w:cs="Guttman Drogolin" w:hint="cs"/>
          <w:rtl/>
          <w:lang w:bidi="he-IL"/>
        </w:rPr>
        <w:t xml:space="preserve">קודם שנבא לבאר שיטת האמוראים בסוגיא, יש להקדים המחלוקת שבין ר' יהודה לר' שמעון בחמץ שעבר עליו הפסח. שיטת ר' יהודה היא שחמץ שעבר עליו הפסח אסור אפילו לאחר הפסח מדאורייתא. ולדידי' אין זה תלוי </w:t>
      </w:r>
      <w:r w:rsidR="00BA2729" w:rsidRPr="00882F11">
        <w:rPr>
          <w:rFonts w:cs="Guttman Drogolin" w:hint="cs"/>
          <w:rtl/>
          <w:lang w:bidi="he-IL"/>
        </w:rPr>
        <w:t>בהא דעבר המחזיק בב"י וב"י, רק עצם זה שהי' קיים בפסח אוסרו לאחר הפסח. וגם לר' יהודה אינו אסור באיסור כרת עד הפסח, כדמבואר כל זה בברייתא שבד כ"ח ע"א. ור"ש סבר שמדאורייתא אין איסור בחמץ שעבר עליו הפסח, אפילו עבר עליו הפסח באיסור. אבל מ"מ סבר רבא בדעת ר' שמעון שיש קנס למי שהחזיק חמץ באיסור שהוא אסור אפילו לאחר הפסח.</w:t>
      </w:r>
    </w:p>
    <w:p w:rsidR="00BA2729" w:rsidRPr="00882F11" w:rsidRDefault="0050029E" w:rsidP="0050029E">
      <w:pPr>
        <w:tabs>
          <w:tab w:val="right" w:pos="7497"/>
        </w:tabs>
        <w:bidi/>
        <w:jc w:val="both"/>
        <w:rPr>
          <w:rFonts w:cs="Guttman Drogolin"/>
          <w:rtl/>
          <w:lang w:bidi="he-IL"/>
        </w:rPr>
      </w:pPr>
      <w:r w:rsidRPr="00882F11">
        <w:rPr>
          <w:rFonts w:cs="Guttman Drogolin" w:hint="cs"/>
          <w:rtl/>
          <w:lang w:bidi="he-IL"/>
        </w:rPr>
        <w:t>ועכשיו נביא את שלשת השיטות הראשונות שבגמ':</w:t>
      </w:r>
    </w:p>
    <w:p w:rsidR="0050029E" w:rsidRPr="00882F11" w:rsidRDefault="0050029E" w:rsidP="0052197F">
      <w:pPr>
        <w:tabs>
          <w:tab w:val="right" w:pos="7497"/>
        </w:tabs>
        <w:bidi/>
        <w:jc w:val="both"/>
        <w:rPr>
          <w:rFonts w:cs="Guttman Drogolin"/>
          <w:rtl/>
          <w:lang w:bidi="he-IL"/>
        </w:rPr>
      </w:pPr>
      <w:r w:rsidRPr="00882F11">
        <w:rPr>
          <w:rFonts w:cs="Guttman Drogolin" w:hint="cs"/>
          <w:rtl/>
          <w:lang w:bidi="he-IL"/>
        </w:rPr>
        <w:t xml:space="preserve">רב </w:t>
      </w:r>
      <w:r w:rsidRPr="00882F11">
        <w:rPr>
          <w:rFonts w:cs="Guttman Drogolin"/>
          <w:rtl/>
          <w:lang w:bidi="he-IL"/>
        </w:rPr>
        <w:t>–</w:t>
      </w:r>
      <w:r w:rsidRPr="00882F11">
        <w:rPr>
          <w:rFonts w:cs="Guttman Drogolin" w:hint="cs"/>
          <w:rtl/>
          <w:lang w:bidi="he-IL"/>
        </w:rPr>
        <w:t xml:space="preserve"> סבר דבכה"ת כולה מין במינו לא בטל. וכן סבר כר' יהודה שחמץ לאחר זמנו אסור מדאורייתא. ועוד סבר רב דכיון שחמץ בפסח במינו אוסר תערובתו במשהו מדאורייתא, גזרו גל על מין בשא"מ אטו מין במינו. אע"ג שבעלמא לא גזר רב כה"ג ומין בשאינו מינו בנ"ט, מ"</w:t>
      </w:r>
      <w:r w:rsidR="007B6113" w:rsidRPr="00882F11">
        <w:rPr>
          <w:rFonts w:cs="Guttman Drogolin" w:hint="cs"/>
          <w:rtl/>
          <w:lang w:bidi="he-IL"/>
        </w:rPr>
        <w:t>מ משום</w:t>
      </w:r>
      <w:r w:rsidRPr="00882F11">
        <w:rPr>
          <w:rFonts w:cs="Guttman Drogolin" w:hint="cs"/>
          <w:rtl/>
          <w:lang w:bidi="he-IL"/>
        </w:rPr>
        <w:t xml:space="preserve"> חומרא דחמץ שאיסורו איסור כרת ולא בדילי אינשי מיני' גזרו גם אשאינו מינו. ומ"מ גם רב לא אסר חמץ</w:t>
      </w:r>
      <w:r w:rsidR="0052197F" w:rsidRPr="00882F11">
        <w:rPr>
          <w:rFonts w:cs="Guttman Drogolin" w:hint="cs"/>
          <w:rtl/>
          <w:lang w:bidi="he-IL"/>
        </w:rPr>
        <w:t xml:space="preserve"> לאחר הפסח שלא במינו. דהא כולי האי לא גזרינן, דהא לאחר הפסח אינו חייב עליו כרת.</w:t>
      </w:r>
      <w:r w:rsidRPr="00882F11">
        <w:rPr>
          <w:rFonts w:cs="Guttman Drogolin" w:hint="cs"/>
          <w:rtl/>
          <w:lang w:bidi="he-IL"/>
        </w:rPr>
        <w:t xml:space="preserve"> </w:t>
      </w:r>
    </w:p>
    <w:p w:rsidR="007B6113" w:rsidRPr="00882F11" w:rsidRDefault="0050029E" w:rsidP="007B6113">
      <w:pPr>
        <w:tabs>
          <w:tab w:val="right" w:pos="7497"/>
        </w:tabs>
        <w:bidi/>
        <w:jc w:val="both"/>
        <w:rPr>
          <w:rFonts w:cs="Guttman Drogolin"/>
          <w:rtl/>
          <w:lang w:bidi="he-IL"/>
        </w:rPr>
      </w:pPr>
      <w:r w:rsidRPr="00882F11">
        <w:rPr>
          <w:rFonts w:cs="Guttman Drogolin" w:hint="cs"/>
          <w:rtl/>
          <w:lang w:bidi="he-IL"/>
        </w:rPr>
        <w:t xml:space="preserve">שמואל </w:t>
      </w:r>
      <w:r w:rsidRPr="00882F11">
        <w:rPr>
          <w:rFonts w:cs="Guttman Drogolin"/>
          <w:rtl/>
          <w:lang w:bidi="he-IL"/>
        </w:rPr>
        <w:t>–</w:t>
      </w:r>
      <w:r w:rsidRPr="00882F11">
        <w:rPr>
          <w:rFonts w:cs="Guttman Drogolin" w:hint="cs"/>
          <w:rtl/>
          <w:lang w:bidi="he-IL"/>
        </w:rPr>
        <w:t xml:space="preserve"> סבר ג"כ שמין מבינו אסור מדאורייתא. אבל נחלק עם רב בתרתי. חדא דלא סבר כר' יהודה רק כר' שמעון שחמץ לאחר הפסח אינו אסור מ</w:t>
      </w:r>
      <w:r w:rsidR="007B6113" w:rsidRPr="00882F11">
        <w:rPr>
          <w:rFonts w:cs="Guttman Drogolin" w:hint="cs"/>
          <w:rtl/>
          <w:lang w:bidi="he-IL"/>
        </w:rPr>
        <w:t>ד</w:t>
      </w:r>
      <w:r w:rsidRPr="00882F11">
        <w:rPr>
          <w:rFonts w:cs="Guttman Drogolin" w:hint="cs"/>
          <w:rtl/>
          <w:lang w:bidi="he-IL"/>
        </w:rPr>
        <w:t>אורייתא.</w:t>
      </w:r>
      <w:r w:rsidR="0052197F" w:rsidRPr="00882F11">
        <w:rPr>
          <w:rFonts w:cs="Guttman Drogolin" w:hint="cs"/>
          <w:rtl/>
          <w:lang w:bidi="he-IL"/>
        </w:rPr>
        <w:t xml:space="preserve"> </w:t>
      </w:r>
      <w:r w:rsidR="007B6113" w:rsidRPr="00882F11">
        <w:rPr>
          <w:rFonts w:cs="Guttman Drogolin" w:hint="cs"/>
          <w:rtl/>
          <w:lang w:bidi="he-IL"/>
        </w:rPr>
        <w:t xml:space="preserve">ועוד דשמואל לא ס"ל הגזירה של מין בשאינו מינו אטו מין במינו (וכפשוטו אין </w:t>
      </w:r>
      <w:r w:rsidR="007B6113" w:rsidRPr="00882F11">
        <w:rPr>
          <w:rFonts w:cs="Guttman Drogolin" w:hint="cs"/>
          <w:rtl/>
          <w:lang w:bidi="he-IL"/>
        </w:rPr>
        <w:lastRenderedPageBreak/>
        <w:t>שום שייכות בין פלוגתא א' לשני). ולכן לדידי' אין איסור משהו אלא מין במינו בזמנו.</w:t>
      </w:r>
    </w:p>
    <w:p w:rsidR="0062405F" w:rsidRPr="00882F11" w:rsidRDefault="007B6113" w:rsidP="004D5D27">
      <w:pPr>
        <w:tabs>
          <w:tab w:val="right" w:pos="7497"/>
        </w:tabs>
        <w:bidi/>
        <w:jc w:val="both"/>
        <w:rPr>
          <w:rFonts w:cs="Guttman Drogolin"/>
          <w:rtl/>
          <w:lang w:bidi="he-IL"/>
        </w:rPr>
      </w:pPr>
      <w:r w:rsidRPr="00882F11">
        <w:rPr>
          <w:rFonts w:cs="Guttman Drogolin" w:hint="cs"/>
          <w:rtl/>
          <w:lang w:bidi="he-IL"/>
        </w:rPr>
        <w:t xml:space="preserve">ר' יוחנן </w:t>
      </w:r>
      <w:r w:rsidRPr="00882F11">
        <w:rPr>
          <w:rFonts w:cs="Guttman Drogolin"/>
          <w:rtl/>
          <w:lang w:bidi="he-IL"/>
        </w:rPr>
        <w:t>–</w:t>
      </w:r>
      <w:r w:rsidRPr="00882F11">
        <w:rPr>
          <w:rFonts w:cs="Guttman Drogolin" w:hint="cs"/>
          <w:rtl/>
          <w:lang w:bidi="he-IL"/>
        </w:rPr>
        <w:t xml:space="preserve"> סבר שבכה"ת </w:t>
      </w:r>
      <w:r w:rsidR="0062405F" w:rsidRPr="00882F11">
        <w:rPr>
          <w:rFonts w:cs="Guttman Drogolin" w:hint="cs"/>
          <w:rtl/>
          <w:lang w:bidi="he-IL"/>
        </w:rPr>
        <w:t xml:space="preserve">כולה </w:t>
      </w:r>
      <w:r w:rsidRPr="00882F11">
        <w:rPr>
          <w:rFonts w:cs="Guttman Drogolin" w:hint="cs"/>
          <w:rtl/>
          <w:lang w:bidi="he-IL"/>
        </w:rPr>
        <w:t>מין במינו בס'.</w:t>
      </w:r>
      <w:r w:rsidR="004D5D27" w:rsidRPr="00882F11">
        <w:rPr>
          <w:rFonts w:cs="Guttman Drogolin" w:hint="cs"/>
          <w:rtl/>
          <w:lang w:bidi="he-IL"/>
        </w:rPr>
        <w:t xml:space="preserve"> וכן סבר כר' שמעון</w:t>
      </w:r>
      <w:r w:rsidR="0062405F" w:rsidRPr="00882F11">
        <w:rPr>
          <w:rFonts w:cs="Guttman Drogolin" w:hint="cs"/>
          <w:rtl/>
          <w:lang w:bidi="he-IL"/>
        </w:rPr>
        <w:t>. ולכן אין חמץ אסור בפסח במשהו כלל, רק בזמנו אסור בנ"ט, ולאחר הפסח הכל מותר.</w:t>
      </w:r>
    </w:p>
    <w:p w:rsidR="0008479C" w:rsidRPr="00882F11" w:rsidRDefault="0008479C" w:rsidP="0008479C">
      <w:pPr>
        <w:pStyle w:val="Heading1"/>
        <w:bidi/>
        <w:spacing w:before="0" w:line="360" w:lineRule="auto"/>
        <w:jc w:val="center"/>
        <w:rPr>
          <w:rFonts w:cs="Guttman Drogolin"/>
          <w:color w:val="auto"/>
          <w:sz w:val="24"/>
          <w:szCs w:val="24"/>
          <w:u w:val="single"/>
          <w:rtl/>
          <w:lang w:bidi="he-IL"/>
        </w:rPr>
      </w:pPr>
      <w:bookmarkStart w:id="457" w:name="_Toc496175704"/>
      <w:r w:rsidRPr="00882F11">
        <w:rPr>
          <w:rFonts w:cs="Guttman Drogolin" w:hint="cs"/>
          <w:color w:val="auto"/>
          <w:sz w:val="24"/>
          <w:szCs w:val="24"/>
          <w:u w:val="single"/>
          <w:rtl/>
          <w:lang w:bidi="he-IL"/>
        </w:rPr>
        <w:t xml:space="preserve">שיטת רבא </w:t>
      </w:r>
      <w:r w:rsidRPr="00882F11">
        <w:rPr>
          <w:rFonts w:cs="Guttman Drogolin"/>
          <w:color w:val="auto"/>
          <w:sz w:val="24"/>
          <w:szCs w:val="24"/>
          <w:u w:val="single"/>
          <w:rtl/>
          <w:lang w:bidi="he-IL"/>
        </w:rPr>
        <w:t>–</w:t>
      </w:r>
      <w:r w:rsidRPr="00882F11">
        <w:rPr>
          <w:rFonts w:cs="Guttman Drogolin" w:hint="cs"/>
          <w:color w:val="auto"/>
          <w:sz w:val="24"/>
          <w:szCs w:val="24"/>
          <w:u w:val="single"/>
          <w:rtl/>
          <w:lang w:bidi="he-IL"/>
        </w:rPr>
        <w:t xml:space="preserve"> דעת הרמב"ן</w:t>
      </w:r>
      <w:bookmarkEnd w:id="457"/>
    </w:p>
    <w:p w:rsidR="0050029E" w:rsidRPr="00882F11" w:rsidRDefault="0062405F" w:rsidP="0008479C">
      <w:pPr>
        <w:tabs>
          <w:tab w:val="right" w:pos="7497"/>
        </w:tabs>
        <w:bidi/>
        <w:jc w:val="both"/>
        <w:rPr>
          <w:rFonts w:cs="Guttman Drogolin"/>
          <w:rtl/>
          <w:lang w:bidi="he-IL"/>
        </w:rPr>
      </w:pPr>
      <w:r w:rsidRPr="00882F11">
        <w:rPr>
          <w:rFonts w:cs="Guttman Drogolin" w:hint="cs"/>
          <w:rtl/>
          <w:lang w:bidi="he-IL"/>
        </w:rPr>
        <w:t>ולאחר שהביא הגמ' את שלשת השיטות הראשונות כתוב בגמ' "</w:t>
      </w:r>
      <w:r w:rsidRPr="00882F11">
        <w:rPr>
          <w:rFonts w:cs="Guttman Drogolin"/>
          <w:rtl/>
          <w:lang w:bidi="he-IL"/>
        </w:rPr>
        <w:t>אמר רבא הלכתא חמץ בזמנו בין במינו בין שלא במינו אסור במשהו כרב</w:t>
      </w:r>
      <w:r w:rsidRPr="00882F11">
        <w:rPr>
          <w:rFonts w:cs="Guttman Drogolin" w:hint="cs"/>
          <w:rtl/>
          <w:lang w:bidi="he-IL"/>
        </w:rPr>
        <w:t xml:space="preserve"> (ויש שאין גורסים "במשהו כרב")</w:t>
      </w:r>
      <w:r w:rsidRPr="00882F11">
        <w:rPr>
          <w:rFonts w:cs="Guttman Drogolin"/>
          <w:rtl/>
          <w:lang w:bidi="he-IL"/>
        </w:rPr>
        <w:t xml:space="preserve"> שלא בזמנו, בין במינו בין שלא במינו מותר, כרבי שמעון</w:t>
      </w:r>
      <w:r w:rsidRPr="00882F11">
        <w:rPr>
          <w:rFonts w:cs="Guttman Drogolin" w:hint="cs"/>
          <w:rtl/>
          <w:lang w:bidi="he-IL"/>
        </w:rPr>
        <w:t>". ולפום ריהטא שיטת רבא היא שיטה רביעית, שמצד א' סבר כרב דמין במינו לא בטל וכן גזרינן מין בשאינו מינו אטו מין במינו. אבל סבר כר' שמעון שחמץ לאחר הפסח מותר. וא"כ לכאורה יוצא דקיי"ל שבכה"ת כולה מין במינו לא בטל, וכן הוכיח רש"י מסוגיא זו דקיי"ל דמין במינו לא בטל, וכן הביאו התוס' כאן בשמו. אמנם שיטת עוד ראשונים, והכי קיי"ל לענין מעשה שמין במינו בטל בס', ולדידהו עדיין צ"ע מהו פירושו של שיטת רבא.</w:t>
      </w:r>
    </w:p>
    <w:p w:rsidR="00ED1913" w:rsidRPr="00882F11" w:rsidRDefault="00B97835" w:rsidP="007755C1">
      <w:pPr>
        <w:tabs>
          <w:tab w:val="right" w:pos="7497"/>
        </w:tabs>
        <w:bidi/>
        <w:jc w:val="both"/>
        <w:rPr>
          <w:rFonts w:cs="Guttman Drogolin"/>
          <w:rtl/>
          <w:lang w:bidi="he-IL"/>
        </w:rPr>
      </w:pPr>
      <w:r w:rsidRPr="00882F11">
        <w:rPr>
          <w:rFonts w:cs="Guttman Drogolin" w:hint="cs"/>
          <w:rtl/>
          <w:lang w:bidi="he-IL"/>
        </w:rPr>
        <w:t>והנה מהרי"ף ועוד נראה שהגירסא הקדומה היתה רק ש'אסור' ולא הדגישו לא שהוא במשהו ולא שהוא כרב. ומ"מ נקט הרי"</w:t>
      </w:r>
      <w:r w:rsidR="006F0D18" w:rsidRPr="00882F11">
        <w:rPr>
          <w:rFonts w:cs="Guttman Drogolin" w:hint="cs"/>
          <w:rtl/>
          <w:lang w:bidi="he-IL"/>
        </w:rPr>
        <w:t>ף</w:t>
      </w:r>
      <w:r w:rsidRPr="00882F11">
        <w:rPr>
          <w:rFonts w:cs="Guttman Drogolin" w:hint="cs"/>
          <w:rtl/>
          <w:lang w:bidi="he-IL"/>
        </w:rPr>
        <w:t xml:space="preserve"> ש</w:t>
      </w:r>
      <w:r w:rsidR="006F0D18" w:rsidRPr="00882F11">
        <w:rPr>
          <w:rFonts w:cs="Guttman Drogolin" w:hint="cs"/>
          <w:rtl/>
          <w:lang w:bidi="he-IL"/>
        </w:rPr>
        <w:t>מ</w:t>
      </w:r>
      <w:r w:rsidRPr="00882F11">
        <w:rPr>
          <w:rFonts w:cs="Guttman Drogolin" w:hint="cs"/>
          <w:rtl/>
          <w:lang w:bidi="he-IL"/>
        </w:rPr>
        <w:t>סברא כוונתו לאסור במשהו. והטעם כתב הרמב"ן</w:t>
      </w:r>
      <w:r w:rsidR="007755C1" w:rsidRPr="00882F11">
        <w:rPr>
          <w:rFonts w:cs="Guttman Drogolin" w:hint="cs"/>
          <w:rtl/>
          <w:lang w:bidi="he-IL"/>
        </w:rPr>
        <w:t xml:space="preserve"> (וכן הוא ברמב"ם פט"ו מהל' מאכ"א ה"ט) </w:t>
      </w:r>
      <w:r w:rsidRPr="00882F11">
        <w:rPr>
          <w:rFonts w:cs="Guttman Drogolin" w:hint="cs"/>
          <w:rtl/>
          <w:lang w:bidi="he-IL"/>
        </w:rPr>
        <w:t xml:space="preserve"> משום דחמץ הוי דבר שיש לו מתירין כיון שיהא מותר לאחר הפסח. ויש בדבריו כמה חידושים והערות. חדא שהרי הרמב"ן עצמו העיר דע"כ ר' יוחנן לית לי' דבר זה, דהא מתיר במינו בס'. וכתב הרמב"ן דאה"נ ור' יוחנן לית לי' כל כלל זה דדבר שיש לו מתירין לא בטל</w:t>
      </w:r>
      <w:r w:rsidR="008A6A12" w:rsidRPr="00882F11">
        <w:rPr>
          <w:rStyle w:val="FootnoteReference"/>
          <w:rFonts w:cs="Guttman Drogolin"/>
          <w:rtl/>
          <w:lang w:bidi="he-IL"/>
        </w:rPr>
        <w:footnoteReference w:id="433"/>
      </w:r>
      <w:r w:rsidRPr="00882F11">
        <w:rPr>
          <w:rFonts w:cs="Guttman Drogolin" w:hint="cs"/>
          <w:rtl/>
          <w:lang w:bidi="he-IL"/>
        </w:rPr>
        <w:t xml:space="preserve">. ועוד הקשה הרמב"ן דהא דשיל"מ דלא בטיל היינו במין במינו, אבל מין </w:t>
      </w:r>
      <w:r w:rsidRPr="00882F11">
        <w:rPr>
          <w:rFonts w:cs="Guttman Drogolin" w:hint="cs"/>
          <w:rtl/>
          <w:lang w:bidi="he-IL"/>
        </w:rPr>
        <w:lastRenderedPageBreak/>
        <w:t>בשא"מ מיבטל בטל. ותי'</w:t>
      </w:r>
      <w:r w:rsidR="001F4395" w:rsidRPr="00882F11">
        <w:rPr>
          <w:rFonts w:cs="Guttman Drogolin" w:hint="cs"/>
          <w:rtl/>
          <w:lang w:bidi="he-IL"/>
        </w:rPr>
        <w:t xml:space="preserve"> שגם רבא גזר מין במינו אטו מין בשאינו מינו, וכמו שגזר רב אליבא דידי'. </w:t>
      </w:r>
      <w:r w:rsidR="006F0D18" w:rsidRPr="00882F11">
        <w:rPr>
          <w:rFonts w:cs="Guttman Drogolin" w:hint="cs"/>
          <w:rtl/>
          <w:lang w:bidi="he-IL"/>
        </w:rPr>
        <w:t>והר"ן תמה בזה דבשלמא לרב דסבר מין במינו לא בטל מדאורייתא, שפיר י"ל  שגזרו מבשא"מ אטו מין במינו, אע"ג שבעלמא לא עשו כן אבל משום דפסח גזרו הא אטו הא, אבל דשיל"מ דלא בטיל היינו מדרבנן, וכיון שכן חומרא יתירה הוא לגזור מין בשאינו מינו אטו מין במינו.</w:t>
      </w:r>
      <w:r w:rsidR="00ED1913" w:rsidRPr="00882F11">
        <w:rPr>
          <w:rFonts w:cs="Guttman Drogolin" w:hint="cs"/>
          <w:rtl/>
          <w:lang w:bidi="he-IL"/>
        </w:rPr>
        <w:t xml:space="preserve"> ועוד הקשה הר"ן שדבר תמוה הוא לומר שטעמו של רבא לאסור חמץ במשהו הוא מטעם אחר לגמרי ממן המבואר בהדיא בגמ', ודבר זה קשה בפרט במקום שטעם זה לאו דכו"ע הוא.</w:t>
      </w:r>
    </w:p>
    <w:p w:rsidR="001F6A55" w:rsidRPr="00882F11" w:rsidRDefault="00ED1913" w:rsidP="00ED1913">
      <w:pPr>
        <w:tabs>
          <w:tab w:val="right" w:pos="7497"/>
        </w:tabs>
        <w:bidi/>
        <w:jc w:val="both"/>
        <w:rPr>
          <w:rFonts w:cs="Guttman Drogolin"/>
          <w:rtl/>
          <w:lang w:bidi="he-IL"/>
        </w:rPr>
      </w:pPr>
      <w:r w:rsidRPr="00882F11">
        <w:rPr>
          <w:rFonts w:cs="Guttman Drogolin" w:hint="cs"/>
          <w:rtl/>
          <w:lang w:bidi="he-IL"/>
        </w:rPr>
        <w:t xml:space="preserve">עוד יש להקשות דהא גם לר"ש אין זה דבר שי"ל מתירין, דהא הרי הוא אסור לאחר הפסח משום קנסא. ותי' בזה הרמב"ן דלא קנס ר' שמעון להקל עליו. ור"ל דכיון שאלמלא ר' שמעון לא הי' בטל משום דהוי דשיל"מ, גם עכשיו שגזר לא עקר החומרא דמקודם ונשאר במצב שמקודם דלא בטיל אע"ג שסו"ס אין לו מתירין. והר"ן הביא עוד תי' דכיון שהוא מותר ע"י תערובת (ועכשיו הרי הוא בתערובת) הרי יש לו מתירין. </w:t>
      </w:r>
      <w:r w:rsidR="001F6A55" w:rsidRPr="00882F11">
        <w:rPr>
          <w:rFonts w:cs="Guttman Drogolin" w:hint="cs"/>
          <w:rtl/>
          <w:lang w:bidi="he-IL"/>
        </w:rPr>
        <w:t>ועוד כתב הר"ן שקרוב לומר שחומרת דשיל"מ הוא כשהמין איסור עצמו עתיד להיות מותר, אבל כשהמין עצמו נשאר באיסורו אפשר שהשוו מידותיהם לומר שדבר שאין לו מתירין הוא ובטל.</w:t>
      </w:r>
      <w:r w:rsidR="00375BD1" w:rsidRPr="00882F11">
        <w:rPr>
          <w:rFonts w:cs="Guttman Drogolin" w:hint="cs"/>
          <w:rtl/>
          <w:lang w:bidi="he-IL"/>
        </w:rPr>
        <w:t xml:space="preserve"> ויש בזה עוד שיטה הסוברת דכיון שחמץ חוזר ונאסר לשנה הבאה אין זה חשוב דשיל"מ, וכדמבואר ביו"ד סי' ק"ב.</w:t>
      </w:r>
    </w:p>
    <w:p w:rsidR="00074679" w:rsidRPr="00882F11" w:rsidRDefault="001F6A55" w:rsidP="00C85A51">
      <w:pPr>
        <w:tabs>
          <w:tab w:val="right" w:pos="7497"/>
        </w:tabs>
        <w:bidi/>
        <w:jc w:val="both"/>
        <w:rPr>
          <w:rFonts w:cs="Guttman Drogolin"/>
          <w:rtl/>
          <w:lang w:bidi="he-IL"/>
        </w:rPr>
      </w:pPr>
      <w:r w:rsidRPr="00882F11">
        <w:rPr>
          <w:rFonts w:cs="Guttman Drogolin" w:hint="cs"/>
          <w:rtl/>
          <w:lang w:bidi="he-IL"/>
        </w:rPr>
        <w:lastRenderedPageBreak/>
        <w:t>ומדברי הר"ן כאן חזינן כמה חידושים. חדא</w:t>
      </w:r>
      <w:r w:rsidR="00C85A51" w:rsidRPr="00882F11">
        <w:rPr>
          <w:rStyle w:val="FootnoteReference"/>
          <w:rFonts w:cs="Guttman Drogolin"/>
          <w:rtl/>
          <w:lang w:bidi="he-IL"/>
        </w:rPr>
        <w:footnoteReference w:id="434"/>
      </w:r>
      <w:r w:rsidRPr="00882F11">
        <w:rPr>
          <w:rFonts w:cs="Guttman Drogolin" w:hint="cs"/>
          <w:rtl/>
          <w:lang w:bidi="he-IL"/>
        </w:rPr>
        <w:t xml:space="preserve"> שלכאורה הי' אפשר לומר שחשוב דשיל"מ כיון שבפסח אסור מדאורייתא, ואילו לאחר הפסח אינו אלא מדרבנן, וא"כ כלפי חומר האיסור מדאורייתא הי' לנו לומר דעד שתאכלנו באיסור דאורייתא תאכלנו בהיתר מדאורייתא. וחזינן לדעתם של הנהו ראשונים דלא אומרים כן, אלא כיון שישאר אסור אין זה דבר שיש לו מתירים. </w:t>
      </w:r>
      <w:r w:rsidR="00C85A51" w:rsidRPr="00882F11">
        <w:rPr>
          <w:rFonts w:cs="Guttman Drogolin" w:hint="cs"/>
          <w:rtl/>
          <w:lang w:bidi="he-IL"/>
        </w:rPr>
        <w:t>ועוד קשה במה דס"ד שי"ל מתמירין לאחר זמן כיון שר"ש לא גזר ע"י תערובת. וצ"ע דהא לכאורה גם לאחר זמן הרי הוא מותר משום שבטל, וא"כ נהי נמי שבתוך זמנו בטל בס' ולאחר זמנו בטל ברוב (וכשיטת רש"י הר"ן), מ"מ הא עכשיו מיירי בתבשיל שיש ס' כנגדה (דאל"כ לא איכפת לן שהוא דשיל"מ) וא"כ מאי שנא ביטול דעכשיו מביטול שלאחר זמן</w:t>
      </w:r>
      <w:r w:rsidR="00AB11B4" w:rsidRPr="00882F11">
        <w:rPr>
          <w:rStyle w:val="FootnoteReference"/>
          <w:rFonts w:cs="Guttman Drogolin"/>
          <w:rtl/>
          <w:lang w:bidi="he-IL"/>
        </w:rPr>
        <w:footnoteReference w:id="435"/>
      </w:r>
      <w:r w:rsidR="00C85A51" w:rsidRPr="00882F11">
        <w:rPr>
          <w:rFonts w:cs="Guttman Drogolin" w:hint="cs"/>
          <w:rtl/>
          <w:lang w:bidi="he-IL"/>
        </w:rPr>
        <w:t>. ומה שלכאורה צריכים לומר בזה, דהנה יעוין ברא"ש שהביא מר' יונה שחמץ לאחר זמנו מותר לערבו ולהתירו ברוב לכתחילה. והרא"ש חלק עליו דאע"פ שאם התערב בדיעבד הרי הוא מותר, מ"מ אין מבטלים איסור לכתחילה, ואם עירב אפילו בדיעבד אסור כמו כל דבר שאין מבטלין אותו לכתחילה.</w:t>
      </w:r>
      <w:r w:rsidR="00E96CED" w:rsidRPr="00882F11">
        <w:rPr>
          <w:rFonts w:cs="Guttman Drogolin" w:hint="cs"/>
          <w:rtl/>
          <w:lang w:bidi="he-IL"/>
        </w:rPr>
        <w:t xml:space="preserve"> וע' בחידושי ר' שמואל למס' פסחים לדף ל' ע"א שכתב ביישוב דברי ר' יונה</w:t>
      </w:r>
      <w:r w:rsidR="00C85A51" w:rsidRPr="00882F11">
        <w:rPr>
          <w:rFonts w:cs="Guttman Drogolin" w:hint="cs"/>
          <w:rtl/>
          <w:lang w:bidi="he-IL"/>
        </w:rPr>
        <w:t xml:space="preserve"> </w:t>
      </w:r>
      <w:r w:rsidR="00BF26B8" w:rsidRPr="00882F11">
        <w:rPr>
          <w:rFonts w:cs="Guttman Drogolin" w:hint="cs"/>
          <w:rtl/>
          <w:lang w:bidi="he-IL"/>
        </w:rPr>
        <w:t>דהא דאמרינן דלאחר הפסח תערובתו מותר, אין זה מדין ביטול, רק משום שלא גזרו על תערובת חמץ כלל לאחר הפסח</w:t>
      </w:r>
      <w:r w:rsidR="0017345A" w:rsidRPr="00882F11">
        <w:rPr>
          <w:rStyle w:val="FootnoteReference"/>
          <w:rFonts w:cs="Guttman Drogolin"/>
          <w:rtl/>
          <w:lang w:bidi="he-IL"/>
        </w:rPr>
        <w:footnoteReference w:id="436"/>
      </w:r>
      <w:r w:rsidR="00BF26B8" w:rsidRPr="00882F11">
        <w:rPr>
          <w:rFonts w:cs="Guttman Drogolin" w:hint="cs"/>
          <w:rtl/>
          <w:lang w:bidi="he-IL"/>
        </w:rPr>
        <w:t>. וא"כ שפיר מותר לערבו לכתחילה, דהא בזה אינו מבטלו אלא מתירו, ואין בזה איסור כמו שאין איסור לשחוט בהמה לעשותו שחוטה. ואם כדבריו ש</w:t>
      </w:r>
      <w:r w:rsidR="005822B6" w:rsidRPr="00882F11">
        <w:rPr>
          <w:rFonts w:cs="Guttman Drogolin" w:hint="cs"/>
          <w:rtl/>
          <w:lang w:bidi="he-IL"/>
        </w:rPr>
        <w:t>פ</w:t>
      </w:r>
      <w:r w:rsidR="00BF26B8" w:rsidRPr="00882F11">
        <w:rPr>
          <w:rFonts w:cs="Guttman Drogolin" w:hint="cs"/>
          <w:rtl/>
          <w:lang w:bidi="he-IL"/>
        </w:rPr>
        <w:t xml:space="preserve">יר מובן למה הוי דשיל"מ. ונראה שגם </w:t>
      </w:r>
      <w:r w:rsidR="00BF26B8" w:rsidRPr="00882F11">
        <w:rPr>
          <w:rFonts w:cs="Guttman Drogolin" w:hint="cs"/>
          <w:rtl/>
          <w:lang w:bidi="he-IL"/>
        </w:rPr>
        <w:lastRenderedPageBreak/>
        <w:t xml:space="preserve">מאי דדחה הר"ן סבר שלא גזרו כלל, רק דמ"מ אינו דשיל"מ כיון ש'השוו מידותיהם'. </w:t>
      </w:r>
      <w:r w:rsidR="00074679" w:rsidRPr="00882F11">
        <w:rPr>
          <w:rFonts w:cs="Guttman Drogolin" w:hint="cs"/>
          <w:rtl/>
          <w:lang w:bidi="he-IL"/>
        </w:rPr>
        <w:t>אלא שגם זה קשה דהא הר"ן השוה זה שבטל ברוב לקל שבאסורין כגון תרומת חו"ל שבטל ברוב, ומזה משמע שהוא מותר מדין ביטול. ושם בחי' ר' שמואל העיר מזה ולא יישבו. וצ"ע.</w:t>
      </w:r>
    </w:p>
    <w:p w:rsidR="0008479C" w:rsidRPr="00882F11" w:rsidRDefault="00375BD1" w:rsidP="007755C1">
      <w:pPr>
        <w:tabs>
          <w:tab w:val="right" w:pos="7497"/>
        </w:tabs>
        <w:bidi/>
        <w:jc w:val="both"/>
        <w:rPr>
          <w:rFonts w:cs="Guttman Drogolin"/>
          <w:rtl/>
          <w:lang w:bidi="he-IL"/>
        </w:rPr>
      </w:pPr>
      <w:r w:rsidRPr="00882F11">
        <w:rPr>
          <w:rFonts w:cs="Guttman Drogolin" w:hint="cs"/>
          <w:rtl/>
          <w:lang w:bidi="he-IL"/>
        </w:rPr>
        <w:t>עוד קשה בדברי הרמב"ן מה שהעיר הוא עצמו, שאפילו לפי זה שאומרים שיהי' מותר לאחר זמן, הא מ"מ צריך לבערו, וכיון שצריך לבערו ממילא לא יהא מותר לאחר הפסח. וכתב בזה הרמב"ן "</w:t>
      </w:r>
      <w:r w:rsidR="0026003C" w:rsidRPr="00882F11">
        <w:rPr>
          <w:rFonts w:cs="Guttman Drogolin" w:hint="cs"/>
          <w:rtl/>
          <w:lang w:bidi="he-IL"/>
        </w:rPr>
        <w:t>וליכא למימר</w:t>
      </w:r>
      <w:r w:rsidR="0026003C" w:rsidRPr="00882F11">
        <w:rPr>
          <w:rFonts w:cs="Guttman Drogolin"/>
          <w:rtl/>
          <w:lang w:bidi="he-IL"/>
        </w:rPr>
        <w:t xml:space="preserve"> בעינו כיון דחייב לבערו אין לו מתירין דכל דממילא מישתרי ואין התירו מחוסר מעשה ודאי יש לו מתירין הוא וכ"ש חמץ של נכרי שנפל לקדרה של ישראל שאפי' בעינו דבר שיש לו מתירין הוא</w:t>
      </w:r>
      <w:r w:rsidR="0026003C" w:rsidRPr="00882F11">
        <w:rPr>
          <w:rFonts w:cs="Guttman Drogolin" w:hint="cs"/>
          <w:rtl/>
          <w:lang w:bidi="he-IL"/>
        </w:rPr>
        <w:t>"</w:t>
      </w:r>
      <w:r w:rsidR="00A53EAB" w:rsidRPr="00882F11">
        <w:rPr>
          <w:rFonts w:cs="Guttman Drogolin" w:hint="cs"/>
          <w:rtl/>
          <w:lang w:bidi="he-IL"/>
        </w:rPr>
        <w:t>. והנה זה שהביא מחמצו של נכרי אינו מובן כ"כ, דנהי נמי שחמצו של נכרי י"ל מתירין, אבל חמצו של ישראל הרי אין לו מתירין, ומשמע מן הגמ' שכל חמץ הוא במשהו. ולכאורה על דרך הפשט כוונתו לומר דכיון שיש חמץ שי"ל מתירין, גזרו על כל חמץ שלא יהא בטל. ומבואר יסוד גדול מדברי הרמב"ן בחומרא דדשיל"מ, שאין ר"ל דכיון שיהי' לו היתר בפועל לאחר זמן לא הקילו לו לומר שיתבטל, אלא כיון ששמו יש לו מתירין אינו בטל</w:t>
      </w:r>
      <w:r w:rsidR="00A53EAB" w:rsidRPr="00882F11">
        <w:rPr>
          <w:rStyle w:val="FootnoteReference"/>
          <w:rFonts w:cs="Guttman Drogolin"/>
          <w:rtl/>
          <w:lang w:bidi="he-IL"/>
        </w:rPr>
        <w:footnoteReference w:id="437"/>
      </w:r>
      <w:r w:rsidR="00A53EAB" w:rsidRPr="00882F11">
        <w:rPr>
          <w:rFonts w:cs="Guttman Drogolin" w:hint="cs"/>
          <w:rtl/>
          <w:lang w:bidi="he-IL"/>
        </w:rPr>
        <w:t>.</w:t>
      </w:r>
      <w:r w:rsidR="00074679" w:rsidRPr="00882F11">
        <w:rPr>
          <w:rFonts w:cs="Guttman Drogolin" w:hint="cs"/>
          <w:rtl/>
          <w:lang w:bidi="he-IL"/>
        </w:rPr>
        <w:t xml:space="preserve"> </w:t>
      </w:r>
      <w:r w:rsidR="00A53EAB" w:rsidRPr="00882F11">
        <w:rPr>
          <w:rFonts w:cs="Guttman Drogolin" w:hint="cs"/>
          <w:rtl/>
          <w:lang w:bidi="he-IL"/>
        </w:rPr>
        <w:t>ודבר זה לכאורה מבואר גם מטעמו הראשון, דהא סוף כל סוף לא יהא לאיסור שום היתר לאחר זמן, וא"כ מה איכפת לן דאילו הי' עובר באיסור הי' ניתר לאחר זמן. וכן לכאורה מבואר מזה שהחמיר לומר שלא גזרו להקל, דאיזה סברא היא זו מאחר ולא יהי' מותר לאחר זמן. והנ"ל ניחא. אמנם יעוין בחי' ר' דוד שחלק על רבו הרמב"ן בנקודה זו וכתב וז"ל "ואי לאו דמסתפינא מהרב מורי נ"ר מ"כ [מנוחתו כבוד] הוה אמינא שהטעם שאמרו בדבר שיש לו מתירין שאפי' באלף לא בטיל הואא מפני שלא ראו חכמים לבטל את האיסורין אלא מפני שחסו על ממונן של ישראל שלא ילך לאבוד</w:t>
      </w:r>
      <w:r w:rsidR="007755C1" w:rsidRPr="00882F11">
        <w:rPr>
          <w:rFonts w:cs="Guttman Drogolin" w:hint="cs"/>
          <w:rtl/>
          <w:lang w:bidi="he-IL"/>
        </w:rPr>
        <w:t xml:space="preserve">, ודבר שיש לו מתירין כיון </w:t>
      </w:r>
      <w:r w:rsidR="007755C1" w:rsidRPr="00882F11">
        <w:rPr>
          <w:rFonts w:cs="Guttman Drogolin" w:hint="cs"/>
          <w:rtl/>
          <w:lang w:bidi="he-IL"/>
        </w:rPr>
        <w:lastRenderedPageBreak/>
        <w:t>דלמחר וליומא</w:t>
      </w:r>
      <w:r w:rsidR="00A53EAB" w:rsidRPr="00882F11">
        <w:rPr>
          <w:rFonts w:cs="Guttman Drogolin" w:hint="cs"/>
          <w:rtl/>
          <w:lang w:bidi="he-IL"/>
        </w:rPr>
        <w:t xml:space="preserve"> </w:t>
      </w:r>
      <w:r w:rsidR="007755C1" w:rsidRPr="00882F11">
        <w:rPr>
          <w:rFonts w:cs="Guttman Drogolin" w:hint="cs"/>
          <w:rtl/>
          <w:lang w:bidi="he-IL"/>
        </w:rPr>
        <w:t>אחרי יהיה מותר מאיליו לא ראוו לבטל את האסור שבו שיכול הוא להשהותו ולאכלו, ואם כן חמץ אינו בדין הזה [שיהא] רשאי להשהותו שמצווה הוא לבערו"</w:t>
      </w:r>
      <w:r w:rsidR="007755C1" w:rsidRPr="00882F11">
        <w:rPr>
          <w:rStyle w:val="FootnoteReference"/>
          <w:rFonts w:cs="Guttman Drogolin"/>
          <w:rtl/>
          <w:lang w:bidi="he-IL"/>
        </w:rPr>
        <w:footnoteReference w:id="438"/>
      </w:r>
      <w:r w:rsidR="007755C1" w:rsidRPr="00882F11">
        <w:rPr>
          <w:rFonts w:cs="Guttman Drogolin" w:hint="cs"/>
          <w:rtl/>
          <w:lang w:bidi="he-IL"/>
        </w:rPr>
        <w:t>. ולכאורה הי' משמע שחלק על הכלל הנ"ל, והכל תלוי אם יהי' לו היתר בפועל לאחר זמן או לא, וכיון שלא יהי' לו היתר לאחר זמן אינו בכלל דשיל"מ. אלא שהמשיך ר' דוד וכתב "וא"ת שיכול לשהות את התערובת כשאין בו חמץ כל כך שיהא מצווה לבערו, זה אינו כלום, שכבר כתבנו למעלה שאין לנו לדון על התערובת אלא על האסור המתבטל אם הוא מן הדברים שיש להן מתירין. ואמת הוא". ולכאורה מסוף דבריוי חזינן ההיפך, שלעולם תלוי אם יש לו שם דבר שי"ל מתירין, ואם אין לו שם זה, אע"ג שיתכן שיהא לו היתר לאחר זמן, הרי הוא בטל. וע"כ גם בתחילת דבריו איין כוונתו לומר שצריכים היתר בפועל, רק שהשם היתר צריך להיות שיוכל להיות היתר בפועל, ועולם אין דין שיהא למעשה אפשר להתירו לאחר זמן. ועדיין צ"ע.</w:t>
      </w:r>
      <w:r w:rsidR="001F6A55" w:rsidRPr="00882F11">
        <w:rPr>
          <w:rFonts w:cs="Guttman Drogolin" w:hint="cs"/>
          <w:rtl/>
          <w:lang w:bidi="he-IL"/>
        </w:rPr>
        <w:t xml:space="preserve">  </w:t>
      </w:r>
    </w:p>
    <w:p w:rsidR="0008479C" w:rsidRPr="00882F11" w:rsidRDefault="0008479C" w:rsidP="0008479C">
      <w:pPr>
        <w:pStyle w:val="Heading1"/>
        <w:bidi/>
        <w:spacing w:before="0" w:line="360" w:lineRule="auto"/>
        <w:jc w:val="center"/>
        <w:rPr>
          <w:rFonts w:cs="Guttman Drogolin"/>
          <w:color w:val="auto"/>
          <w:sz w:val="24"/>
          <w:szCs w:val="24"/>
          <w:u w:val="single"/>
          <w:rtl/>
          <w:lang w:bidi="he-IL"/>
        </w:rPr>
      </w:pPr>
      <w:bookmarkStart w:id="458" w:name="_Toc496175705"/>
      <w:r w:rsidRPr="00882F11">
        <w:rPr>
          <w:rFonts w:cs="Guttman Drogolin" w:hint="cs"/>
          <w:color w:val="auto"/>
          <w:sz w:val="24"/>
          <w:szCs w:val="24"/>
          <w:u w:val="single"/>
          <w:rtl/>
          <w:lang w:bidi="he-IL"/>
        </w:rPr>
        <w:t>עוד ביאורים בשיטת רבא</w:t>
      </w:r>
      <w:bookmarkEnd w:id="458"/>
    </w:p>
    <w:p w:rsidR="00360035" w:rsidRPr="00882F11" w:rsidRDefault="009D1805" w:rsidP="00360035">
      <w:pPr>
        <w:tabs>
          <w:tab w:val="right" w:pos="7497"/>
        </w:tabs>
        <w:bidi/>
        <w:jc w:val="both"/>
        <w:rPr>
          <w:rFonts w:cs="Guttman Drogolin"/>
          <w:rtl/>
          <w:lang w:bidi="he-IL"/>
        </w:rPr>
      </w:pPr>
      <w:r w:rsidRPr="00882F11">
        <w:rPr>
          <w:rFonts w:cs="Guttman Drogolin" w:hint="cs"/>
          <w:rtl/>
          <w:lang w:bidi="he-IL"/>
        </w:rPr>
        <w:t>כל הנ"ל הוא לשיטת הרמב"ן. אבל יש ביאורים אחרים. חדא דשיטת הרז"ה והשאילתות וכן צידד אולי ר"ת שלעולם סבר רבא שחמץ בים בזמנו ובין שלא בזמנו אינו אלא בנ"ט וכמו שסבר ר' יוחנן, דלא גרסינן "במשהו כרב". ושואלים הראשונים על זה דא"כ מהו זה דקאמר רבא בין במינו ובין שלא במינו אסור, דבשלמא אם כוונתו לאסור במשהו, זהו החידוש לאיסור שהוא אסור יותר משאר איסורים, אבל אם כוונתו לאסור בנ"ט, פשיטא דמאי שנא משאר איסורי דאורייתא</w:t>
      </w:r>
      <w:r w:rsidRPr="00882F11">
        <w:rPr>
          <w:rStyle w:val="FootnoteReference"/>
          <w:rFonts w:cs="Guttman Drogolin"/>
          <w:rtl/>
          <w:lang w:bidi="he-IL"/>
        </w:rPr>
        <w:footnoteReference w:id="439"/>
      </w:r>
      <w:r w:rsidRPr="00882F11">
        <w:rPr>
          <w:rFonts w:cs="Guttman Drogolin" w:hint="cs"/>
          <w:rtl/>
          <w:lang w:bidi="he-IL"/>
        </w:rPr>
        <w:t>.</w:t>
      </w:r>
      <w:r w:rsidR="00360035" w:rsidRPr="00882F11">
        <w:rPr>
          <w:rFonts w:cs="Guttman Drogolin" w:hint="cs"/>
          <w:rtl/>
          <w:lang w:bidi="he-IL"/>
        </w:rPr>
        <w:t>ותי'</w:t>
      </w:r>
      <w:r w:rsidRPr="00882F11">
        <w:rPr>
          <w:rFonts w:cs="Guttman Drogolin" w:hint="cs"/>
          <w:rtl/>
          <w:lang w:bidi="he-IL"/>
        </w:rPr>
        <w:t xml:space="preserve"> </w:t>
      </w:r>
      <w:r w:rsidR="00D3607B" w:rsidRPr="00882F11">
        <w:rPr>
          <w:rFonts w:cs="Guttman Drogolin" w:hint="cs"/>
          <w:rtl/>
          <w:lang w:bidi="he-IL"/>
        </w:rPr>
        <w:t xml:space="preserve">בחי' </w:t>
      </w:r>
      <w:r w:rsidR="00360035" w:rsidRPr="00882F11">
        <w:rPr>
          <w:rFonts w:cs="Guttman Drogolin" w:hint="cs"/>
          <w:rtl/>
          <w:lang w:bidi="he-IL"/>
        </w:rPr>
        <w:t xml:space="preserve">הר"ן במס' פסחים, וכן בחי' </w:t>
      </w:r>
      <w:r w:rsidR="00D3607B" w:rsidRPr="00882F11">
        <w:rPr>
          <w:rFonts w:cs="Guttman Drogolin" w:hint="cs"/>
          <w:rtl/>
          <w:lang w:bidi="he-IL"/>
        </w:rPr>
        <w:t xml:space="preserve">הרמב"ן למס' ע"ז ע"ג ע"ב כתב שאין כוונתו הרמב"ן לפסוק לא במשהו ולא בנ"ט, רק כוונתו לומר שאין חילוק בין מין לשאינו מינו. ולכן למ"ד </w:t>
      </w:r>
      <w:r w:rsidR="00D3607B" w:rsidRPr="00882F11">
        <w:rPr>
          <w:rFonts w:cs="Guttman Drogolin" w:hint="cs"/>
          <w:rtl/>
          <w:lang w:bidi="he-IL"/>
        </w:rPr>
        <w:lastRenderedPageBreak/>
        <w:t xml:space="preserve">איסורו במינו במשהו, הה"נ בשא"מ הוא במשהו, ודלא כשמואל. ושלא בזמנו, כמו בשלא במינו תערובתו מותר, הה"נ במינו, ודלא כר' יהודה. </w:t>
      </w:r>
      <w:r w:rsidR="00360035" w:rsidRPr="00882F11">
        <w:rPr>
          <w:rFonts w:cs="Guttman Drogolin" w:hint="cs"/>
          <w:rtl/>
          <w:lang w:bidi="he-IL"/>
        </w:rPr>
        <w:t>ולא ירדתי לעומק כוונתם בזזה, דאיזה כלל יש, שלכאורה המחלוקת בין רב לשמואל הוא אם גזרו על מין בשאינו מינו אטו מין במינו או לא, אבל איזה ענין יש לומר שאין חילוק בין מין במינו למין בשאינו מינו למר כדאית לי' ולמר כדאית לי', שהרי אין ענינם שוה. וצ"ע.</w:t>
      </w:r>
    </w:p>
    <w:p w:rsidR="00616770" w:rsidRPr="00882F11" w:rsidRDefault="00360035" w:rsidP="00360035">
      <w:pPr>
        <w:tabs>
          <w:tab w:val="right" w:pos="7497"/>
        </w:tabs>
        <w:bidi/>
        <w:jc w:val="both"/>
        <w:rPr>
          <w:rFonts w:cs="Guttman Drogolin"/>
          <w:rtl/>
          <w:lang w:bidi="he-IL"/>
        </w:rPr>
      </w:pPr>
      <w:r w:rsidRPr="00882F11">
        <w:rPr>
          <w:rFonts w:cs="Guttman Drogolin" w:hint="cs"/>
          <w:rtl/>
          <w:lang w:bidi="he-IL"/>
        </w:rPr>
        <w:t xml:space="preserve">ועוד כתבו התוס' בשם ר"ת דיתכן שבאמת רבא סבר שחמץ בזמנו במשהו אבל לא מטעמו של רב, רק משום חומרא דפסח. וע' בהשגות הראב"ד על הרי"ף שאפשר לפרש שיטה זו בב' אנפי. די"ל שאין כאן ענין של מין במינו לא בטל כלל, רק החמירו בכל חמץ בפסח שלא יתבטל. באופן ששאר המפרשים הנ"ל לא סבירא להחמיר כה"ג, ולכאורה יסוד המחלוקת שביניהם אם החומרא של חמץ הוא טעם מספיק בפני עצמו לומר שלא יתבטל, שלר"ת בזה גופא נחלקו רב וסייעתו עם רבא, ולשאר הראשונים ליכא כזה מ"ד כלל. ויל"ע אם יש יותר עומק לפלוגתתם. אמנם יש בזה ביאור אחר (וכן קצת משמע מתוס') והוא שלעולם עיקר הגזירה היתה שיהא חמץ אסור במין במינו משום חומרא דחמץ. אבל מאחר וגזרו במין במינו החמירו גם במין בשא"מ אטו מין במינו. ואם כדבריו יתיישב קצת הא דסתם רבא ולא פירש טעמו להחמיר בזה, שלפי זה הוא מעין מה שאמרו לשיטת רב. אבל על גוף הדברים צ"ע, חדא מה שהעיר בהשגות הראב"ד שם שלכאורה חומרא יתירה הוא, שהרי עיקר חמץ מין במינו אינו אלא מדרבנן, והוסיפו להחמיר גם בשא"מ. והוא כעין הערת הר"ן על אלו שמחמירים בין בשא"מ משום דחמץ הוי דשיל"מ. אלא שבעיקר יל"ע מהו באמת הטעם החמי יותר במין במינו יותר במין בשא"מ. </w:t>
      </w:r>
      <w:r w:rsidR="00616770" w:rsidRPr="00882F11">
        <w:rPr>
          <w:rFonts w:cs="Guttman Drogolin" w:hint="cs"/>
          <w:rtl/>
          <w:lang w:bidi="he-IL"/>
        </w:rPr>
        <w:t>ואנחנו מוצאים בהרבה איסורים שהחמירו בהם רק במין במינו, כגון טבל ויי"נ, וכן י"א (ולא קיי"ל כוותייהו) שלא החמירו בחהר"ל ולא בברי' אלא במין במינו, ולא מצאתי כ"ל כך למה.</w:t>
      </w:r>
      <w:r w:rsidR="00D3607B" w:rsidRPr="00882F11">
        <w:rPr>
          <w:rFonts w:cs="Guttman Drogolin" w:hint="cs"/>
          <w:rtl/>
          <w:lang w:bidi="he-IL"/>
        </w:rPr>
        <w:t xml:space="preserve"> </w:t>
      </w:r>
      <w:r w:rsidR="00616770" w:rsidRPr="00882F11">
        <w:rPr>
          <w:rFonts w:cs="Guttman Drogolin" w:hint="cs"/>
          <w:rtl/>
          <w:lang w:bidi="he-IL"/>
        </w:rPr>
        <w:t>וצ"ע.</w:t>
      </w:r>
      <w:r w:rsidR="001F6A55" w:rsidRPr="00882F11">
        <w:rPr>
          <w:rFonts w:cs="Guttman Drogolin" w:hint="cs"/>
          <w:rtl/>
          <w:lang w:bidi="he-IL"/>
        </w:rPr>
        <w:t xml:space="preserve"> </w:t>
      </w:r>
    </w:p>
    <w:p w:rsidR="00616770" w:rsidRPr="00882F11" w:rsidRDefault="00616770" w:rsidP="00616770">
      <w:pPr>
        <w:pStyle w:val="Heading1"/>
        <w:bidi/>
        <w:spacing w:before="0" w:line="360" w:lineRule="auto"/>
        <w:jc w:val="center"/>
        <w:rPr>
          <w:rFonts w:cs="Guttman Drogolin"/>
          <w:color w:val="auto"/>
          <w:sz w:val="24"/>
          <w:szCs w:val="24"/>
          <w:u w:val="single"/>
          <w:rtl/>
          <w:lang w:bidi="he-IL"/>
        </w:rPr>
      </w:pPr>
      <w:bookmarkStart w:id="459" w:name="_Toc496175706"/>
      <w:r w:rsidRPr="00882F11">
        <w:rPr>
          <w:rFonts w:cs="Guttman Drogolin" w:hint="cs"/>
          <w:color w:val="auto"/>
          <w:sz w:val="24"/>
          <w:szCs w:val="24"/>
          <w:u w:val="single"/>
          <w:rtl/>
          <w:lang w:bidi="he-IL"/>
        </w:rPr>
        <w:lastRenderedPageBreak/>
        <w:t>חמץ מו' שעות עד הערב</w:t>
      </w:r>
      <w:bookmarkEnd w:id="459"/>
    </w:p>
    <w:p w:rsidR="00616770" w:rsidRPr="00882F11" w:rsidRDefault="00007B0B" w:rsidP="00AC15EF">
      <w:pPr>
        <w:tabs>
          <w:tab w:val="right" w:pos="7497"/>
        </w:tabs>
        <w:bidi/>
        <w:jc w:val="both"/>
        <w:rPr>
          <w:rFonts w:cs="Guttman Drogolin"/>
          <w:rtl/>
        </w:rPr>
      </w:pPr>
      <w:r>
        <w:rPr>
          <w:rFonts w:cs="Guttman Drogolin"/>
          <w:rtl/>
          <w:lang w:bidi="he-IL"/>
        </w:rPr>
        <w:fldChar w:fldCharType="begin"/>
      </w:r>
      <w:r>
        <w:instrText xml:space="preserve"> XE "</w:instrText>
      </w:r>
      <w:r w:rsidRPr="00AC2CD4">
        <w:rPr>
          <w:rFonts w:hint="cs"/>
          <w:rtl/>
          <w:lang w:bidi="he-IL"/>
        </w:rPr>
        <w:instrText>תערובת חמץ</w:instrText>
      </w:r>
      <w:r w:rsidRPr="00AC2CD4">
        <w:rPr>
          <w:rtl/>
        </w:rPr>
        <w:instrText>:</w:instrText>
      </w:r>
      <w:r w:rsidRPr="00AC2CD4">
        <w:rPr>
          <w:rFonts w:hint="cs"/>
          <w:rtl/>
          <w:lang w:bidi="he-IL"/>
        </w:rPr>
        <w:instrText>מו' שעות עד הערב</w:instrText>
      </w:r>
      <w:r>
        <w:instrText xml:space="preserve">" </w:instrText>
      </w:r>
      <w:r>
        <w:rPr>
          <w:rFonts w:cs="Guttman Drogolin"/>
          <w:rtl/>
          <w:lang w:bidi="he-IL"/>
        </w:rPr>
        <w:fldChar w:fldCharType="end"/>
      </w:r>
      <w:r w:rsidR="00AC15EF" w:rsidRPr="00882F11">
        <w:rPr>
          <w:rFonts w:cs="Guttman Drogolin" w:hint="cs"/>
          <w:rtl/>
          <w:lang w:bidi="he-IL"/>
        </w:rPr>
        <w:t>הר"ן</w:t>
      </w:r>
      <w:r w:rsidR="00AC15EF" w:rsidRPr="00882F11">
        <w:rPr>
          <w:rFonts w:cs="Guttman Drogolin"/>
          <w:rtl/>
          <w:lang w:bidi="he-IL"/>
        </w:rPr>
        <w:t xml:space="preserve"> שם במס' פסחים נקט דהא דאמר רבא דחמץ בזמנו מותר כרב, הנ"מ לאחר הפסח, אבל מו' שעות ולמעלה, אע"ג שעדיין אין בה איסר כרת, מ"מ בזמנו מיקרי ואסור במשהו. והוכיח שכן הדין, דבשלמא לאחר הפסח י"ל שמותר ע"י תערובת, ולר"ן היינו ברוב אע"ג שאיכא נתינת טעם, אבל מו' שעות ולמעלה חמץ אסור מדאורייתא ובודאי אסור בנתינת טעם. ויש בזה חידוש שהרי קודם הפסח אין בה איסור מדאורייתא, וכמה ראשונים למדו שהטעם שאסרו לאחר פסח בשמהו משום שיש בה איסור כרת, ומבואר מרב דחמץ לאחר זמנו אפילו לר' יהודה שאסור מדאורייתא מ"מ אינו אסור שלא במינו, וא"כ מאי שנא חמץ מו' שעות ולמעלה שאסרו במשהו. אבל שיטת התוס' במס' ע"ז ס"ו ע"ב וכן הרא"ש בפסחים פ"ב אות ה' שהוא בטל בס', ומטעם הנ"ל. ואי לענין ההוכחה של הר"ן נראה לומר שאמנם רבא כשאמר שהוא מותר לא התייחס לחמץ מו' שעות ולמעלה, מ"מ גם בהא דקאמר בזמנו במשהו לא התייחס לזמן שלפני פסח, וכיון שאין סברא להחמיר בה במשהו לפני פסח כיון שאין בה כרת, י"ל שדינו בס'. ולשיטת הרמב"ן שחמץ הוי דשיל"מ, לכאורה גם לפני זמנו הוי דשיל"מ. אבל יהי' בזה נפק"מ שלפני פסח יהא מין במינו סור במשהו, אבל מין בשא"מ יהא בנ"ט, וכן כתב באמת הכס"מ פ"א ה"ה מהל' חו"מ. אלא שי"ל נמי דכה"ג לא פלוג רבנן וכיון שבמינו במשהו, ובפסח החמירו גם שלא במינו, גם לפני זמנו גזרו שלא במינו. ומ"מ מהשו"ע שפסק שמו' שעות עד הפסח דינו בס', חזינן דלא קיי"ל כמ"ד חמץ בפסח הוי דשיל"מ.</w:t>
      </w:r>
    </w:p>
    <w:p w:rsidR="00616770" w:rsidRPr="00882F11" w:rsidRDefault="00616770" w:rsidP="00616770">
      <w:pPr>
        <w:pStyle w:val="Heading1"/>
        <w:bidi/>
        <w:spacing w:before="0" w:line="360" w:lineRule="auto"/>
        <w:jc w:val="center"/>
        <w:rPr>
          <w:rFonts w:cs="Guttman Drogolin"/>
          <w:color w:val="auto"/>
          <w:sz w:val="24"/>
          <w:szCs w:val="24"/>
          <w:u w:val="single"/>
          <w:rtl/>
          <w:lang w:bidi="he-IL"/>
        </w:rPr>
      </w:pPr>
      <w:bookmarkStart w:id="460" w:name="_Toc496175707"/>
      <w:r w:rsidRPr="00882F11">
        <w:rPr>
          <w:rFonts w:cs="Guttman Drogolin" w:hint="cs"/>
          <w:color w:val="auto"/>
          <w:sz w:val="24"/>
          <w:szCs w:val="24"/>
          <w:u w:val="single"/>
          <w:rtl/>
          <w:lang w:bidi="he-IL"/>
        </w:rPr>
        <w:t>ביטול יבש ביבש בחמץ בפסח</w:t>
      </w:r>
      <w:bookmarkEnd w:id="460"/>
    </w:p>
    <w:p w:rsidR="008D703F" w:rsidRPr="00882F11" w:rsidRDefault="00007B0B" w:rsidP="009D1442">
      <w:pPr>
        <w:tabs>
          <w:tab w:val="right" w:pos="7497"/>
        </w:tabs>
        <w:bidi/>
        <w:jc w:val="both"/>
        <w:rPr>
          <w:rFonts w:cs="Guttman Drogolin"/>
          <w:rtl/>
          <w:lang w:bidi="he-IL"/>
        </w:rPr>
      </w:pPr>
      <w:r>
        <w:rPr>
          <w:rFonts w:cs="Guttman Drogolin"/>
          <w:rtl/>
          <w:lang w:bidi="he-IL"/>
        </w:rPr>
        <w:fldChar w:fldCharType="begin"/>
      </w:r>
      <w:r>
        <w:instrText xml:space="preserve"> XE "</w:instrText>
      </w:r>
      <w:r w:rsidRPr="00D443C2">
        <w:rPr>
          <w:rFonts w:hint="cs"/>
          <w:rtl/>
          <w:lang w:bidi="he-IL"/>
        </w:rPr>
        <w:instrText>תערובת חמץ</w:instrText>
      </w:r>
      <w:r w:rsidRPr="00D443C2">
        <w:rPr>
          <w:rtl/>
        </w:rPr>
        <w:instrText>:</w:instrText>
      </w:r>
      <w:r w:rsidRPr="00D443C2">
        <w:rPr>
          <w:rFonts w:hint="cs"/>
          <w:rtl/>
          <w:lang w:bidi="he-IL"/>
        </w:rPr>
        <w:instrText>ביט</w:instrText>
      </w:r>
      <w:r>
        <w:rPr>
          <w:rFonts w:hint="cs"/>
          <w:rtl/>
          <w:lang w:bidi="he-IL"/>
        </w:rPr>
        <w:instrText>ו</w:instrText>
      </w:r>
      <w:r w:rsidRPr="00D443C2">
        <w:rPr>
          <w:rFonts w:hint="cs"/>
          <w:rtl/>
          <w:lang w:bidi="he-IL"/>
        </w:rPr>
        <w:instrText>ל יבש ביבש</w:instrText>
      </w:r>
      <w:r>
        <w:instrText xml:space="preserve">" </w:instrText>
      </w:r>
      <w:r>
        <w:rPr>
          <w:rFonts w:cs="Guttman Drogolin"/>
          <w:rtl/>
          <w:lang w:bidi="he-IL"/>
        </w:rPr>
        <w:fldChar w:fldCharType="end"/>
      </w:r>
      <w:r w:rsidR="00AC15EF" w:rsidRPr="00882F11">
        <w:rPr>
          <w:rFonts w:cs="Guttman Drogolin" w:hint="cs"/>
          <w:rtl/>
          <w:lang w:bidi="he-IL"/>
        </w:rPr>
        <w:t xml:space="preserve">ע' בסוגיית הגמ' שבמס' ע"ז דף ע"ד ע"א </w:t>
      </w:r>
      <w:r w:rsidR="009D1442" w:rsidRPr="00882F11">
        <w:rPr>
          <w:rFonts w:cs="Guttman Drogolin" w:hint="cs"/>
          <w:rtl/>
          <w:lang w:bidi="he-IL"/>
        </w:rPr>
        <w:t>שלפום ריהטא מבואר בגמ' דהא שאוסר בשמהו היינו אך ורק דבר שבמנין שהוא מאיסורי הנאה. אמנם יעוין שם בתוס' דהא דקאמר בגמ' "</w:t>
      </w:r>
      <w:r w:rsidR="009D1442" w:rsidRPr="00882F11">
        <w:rPr>
          <w:rFonts w:cs="Guttman Drogolin"/>
          <w:rtl/>
          <w:lang w:bidi="he-IL"/>
        </w:rPr>
        <w:t>האי תנא תרתי אית ליה</w:t>
      </w:r>
      <w:r w:rsidR="009D1442" w:rsidRPr="00882F11">
        <w:rPr>
          <w:rFonts w:cs="Guttman Drogolin" w:hint="cs"/>
          <w:rtl/>
          <w:lang w:bidi="he-IL"/>
        </w:rPr>
        <w:t xml:space="preserve">" אין כוונתו אלא לומר שלא הביאו אלא אלו במתני', אבל אה"נ יש דברים אחרים שאינם בטלים אפילו במשהו. </w:t>
      </w:r>
      <w:r w:rsidR="001D21FD" w:rsidRPr="00882F11">
        <w:rPr>
          <w:rFonts w:cs="Guttman Drogolin" w:hint="cs"/>
          <w:rtl/>
          <w:lang w:bidi="he-IL"/>
        </w:rPr>
        <w:t xml:space="preserve">וכן מפורש שם </w:t>
      </w:r>
      <w:r w:rsidR="001D21FD" w:rsidRPr="00882F11">
        <w:rPr>
          <w:rFonts w:cs="Guttman Drogolin" w:hint="cs"/>
          <w:rtl/>
          <w:lang w:bidi="he-IL"/>
        </w:rPr>
        <w:lastRenderedPageBreak/>
        <w:t>שחמץ בפסח שונה משאר איסורי הנאה שאינן בטלים אפילו במשהו. אבל שם ברא"ש כתב שגם חמץ בפסח בטל, וע"ש שחילק בין תערובת יבש ביבש לתערובת לח בלח שנאמר בסוגיין שאינו בטל אפילו במשהו.</w:t>
      </w:r>
      <w:r w:rsidR="00D65A25" w:rsidRPr="00882F11">
        <w:rPr>
          <w:rFonts w:cs="Guttman Drogolin" w:hint="cs"/>
          <w:rtl/>
          <w:lang w:bidi="he-IL"/>
        </w:rPr>
        <w:t xml:space="preserve"> </w:t>
      </w:r>
    </w:p>
    <w:p w:rsidR="00616770" w:rsidRPr="00882F11" w:rsidRDefault="008D703F" w:rsidP="008D703F">
      <w:pPr>
        <w:tabs>
          <w:tab w:val="right" w:pos="7497"/>
        </w:tabs>
        <w:bidi/>
        <w:jc w:val="both"/>
        <w:rPr>
          <w:rFonts w:cs="Guttman Drogolin"/>
          <w:rtl/>
          <w:lang w:bidi="he-IL"/>
        </w:rPr>
      </w:pPr>
      <w:r w:rsidRPr="00882F11">
        <w:rPr>
          <w:rFonts w:cs="Guttman Drogolin" w:hint="cs"/>
          <w:rtl/>
          <w:lang w:bidi="he-IL"/>
        </w:rPr>
        <w:t>ויש דיוק בגמ' שם שחמץ בפסח בטל ביבש ביבש, והוא ממה שמקשה הגמ' דליתני ככרות בפסח דהוי איסורי הנאה ודבר שבמנין, ולכאורה אם חמץ בפסח אוסר במשהו ביבש ביבש אפילו אינו דבר שבמנין, משו"ה לא תני לה דהא אינו</w:t>
      </w:r>
      <w:r w:rsidR="00C65061" w:rsidRPr="00882F11">
        <w:rPr>
          <w:rFonts w:cs="Guttman Drogolin" w:hint="cs"/>
          <w:rtl/>
          <w:lang w:bidi="he-IL"/>
        </w:rPr>
        <w:t xml:space="preserve"> משום דהוי דבר שבמנין. והרשב"א נ</w:t>
      </w:r>
      <w:r w:rsidRPr="00882F11">
        <w:rPr>
          <w:rFonts w:cs="Guttman Drogolin" w:hint="cs"/>
          <w:rtl/>
          <w:lang w:bidi="he-IL"/>
        </w:rPr>
        <w:t>קט שגם יבש ביבש אוסר בשמהו, ויישוב הערה הנ"ל משום שאפילו חמץ שאוסר במשהו אינו אלא באכילה ולא בהנאה. וע' בחזו"א שהעיר דא"כ לכו"ע יבש ביבש אינו אסור בהנאה כשאוסר במשהו. ובר"ן שם בע"ז הקשה מהו הטעם לחלק ביין איסור הנאה לאיסור אכילה, הא אם בטל הוא צ"ל בטל לגמרי ואם לא לא. וע' בצל"ח שביאר הטעם שאוסר רק באכילה ולא בהנאה ע"פ דעת הסוברים שהטעם החומרא של חמץ במשהו בפסח משום דהוי דשיל"מ, וע"פ יסודו המפורסם שרק באיסור אכילה קיים הסברא דדשיל"מ כיון שאינו יכול לאכלו אלא פעם א', ולכן עד שתאכלנו באיסור תאכלנו בהיתר, אבל הנאה שיכול ליהנות כמה פעמים לא שייך סברא זו, ולכן לענין הנאה ליתי' לחומרת דשיל"מ.</w:t>
      </w:r>
      <w:r w:rsidR="00B97835" w:rsidRPr="00882F11">
        <w:rPr>
          <w:rFonts w:cs="Guttman Drogolin" w:hint="cs"/>
          <w:rtl/>
          <w:lang w:bidi="he-IL"/>
        </w:rPr>
        <w:t xml:space="preserve"> </w:t>
      </w:r>
    </w:p>
    <w:p w:rsidR="00616770" w:rsidRPr="00882F11" w:rsidRDefault="00616770" w:rsidP="00616770">
      <w:pPr>
        <w:pStyle w:val="Heading1"/>
        <w:bidi/>
        <w:spacing w:before="0" w:line="360" w:lineRule="auto"/>
        <w:jc w:val="center"/>
        <w:rPr>
          <w:rFonts w:cs="Guttman Drogolin"/>
          <w:color w:val="auto"/>
          <w:sz w:val="24"/>
          <w:szCs w:val="24"/>
          <w:u w:val="single"/>
          <w:rtl/>
          <w:lang w:bidi="he-IL"/>
        </w:rPr>
      </w:pPr>
      <w:bookmarkStart w:id="461" w:name="_Toc496175708"/>
      <w:r w:rsidRPr="00882F11">
        <w:rPr>
          <w:rFonts w:cs="Guttman Drogolin" w:hint="cs"/>
          <w:color w:val="auto"/>
          <w:sz w:val="24"/>
          <w:szCs w:val="24"/>
          <w:u w:val="single"/>
          <w:rtl/>
          <w:lang w:bidi="he-IL"/>
        </w:rPr>
        <w:t>אם חמץ בפסח חוזר וניעור</w:t>
      </w:r>
      <w:bookmarkEnd w:id="461"/>
    </w:p>
    <w:p w:rsidR="0062405F" w:rsidRPr="00882F11" w:rsidRDefault="00007B0B" w:rsidP="00616770">
      <w:pPr>
        <w:tabs>
          <w:tab w:val="right" w:pos="7497"/>
        </w:tabs>
        <w:bidi/>
        <w:jc w:val="both"/>
        <w:rPr>
          <w:rFonts w:cs="Guttman Drogolin"/>
          <w:rtl/>
          <w:lang w:bidi="he-IL"/>
        </w:rPr>
      </w:pPr>
      <w:r>
        <w:rPr>
          <w:rFonts w:cs="Guttman Drogolin"/>
          <w:rtl/>
          <w:lang w:bidi="he-IL"/>
        </w:rPr>
        <w:fldChar w:fldCharType="begin"/>
      </w:r>
      <w:r>
        <w:instrText xml:space="preserve"> XE "</w:instrText>
      </w:r>
      <w:r w:rsidRPr="00EB2DE9">
        <w:rPr>
          <w:rFonts w:hint="cs"/>
          <w:rtl/>
          <w:lang w:bidi="he-IL"/>
        </w:rPr>
        <w:instrText>תערובת חמץ</w:instrText>
      </w:r>
      <w:r w:rsidRPr="00EB2DE9">
        <w:rPr>
          <w:rtl/>
        </w:rPr>
        <w:instrText>:</w:instrText>
      </w:r>
      <w:r w:rsidRPr="00EB2DE9">
        <w:rPr>
          <w:rFonts w:hint="cs"/>
          <w:rtl/>
          <w:lang w:bidi="he-IL"/>
        </w:rPr>
        <w:instrText>חוזר וניעור</w:instrText>
      </w:r>
      <w:r>
        <w:instrText xml:space="preserve">" </w:instrText>
      </w:r>
      <w:r>
        <w:rPr>
          <w:rFonts w:cs="Guttman Drogolin"/>
          <w:rtl/>
          <w:lang w:bidi="he-IL"/>
        </w:rPr>
        <w:fldChar w:fldCharType="end"/>
      </w:r>
      <w:r w:rsidR="001D21FD" w:rsidRPr="00882F11">
        <w:rPr>
          <w:rFonts w:cs="Guttman Drogolin" w:hint="cs"/>
          <w:rtl/>
          <w:lang w:bidi="he-IL"/>
        </w:rPr>
        <w:t xml:space="preserve">נחלקו הראשונים אם חמץ שבטל לפני הפסח חוזר וניעור. שיטת הרא"ש שם פ"ב ה"ה שאינו חוזר וניעור בפסח, וע' במרדכי רמז תקנ"ד </w:t>
      </w:r>
      <w:r w:rsidR="001D21FD" w:rsidRPr="00882F11">
        <w:rPr>
          <w:rFonts w:cs="Guttman Drogolin"/>
          <w:rtl/>
          <w:lang w:bidi="he-IL"/>
        </w:rPr>
        <w:t>–</w:t>
      </w:r>
      <w:r w:rsidR="001D21FD" w:rsidRPr="00882F11">
        <w:rPr>
          <w:rFonts w:cs="Guttman Drogolin" w:hint="cs"/>
          <w:rtl/>
          <w:lang w:bidi="he-IL"/>
        </w:rPr>
        <w:t xml:space="preserve"> תקנ"ה שהוכיח כן ממתני' דמס' כלאים רפ"ט שצמר רחלים שהתערב בצמר גמלים בטל, ובודאי הכוונה שהיאט בטלה אפילו לאחר שחיברו בה פשתים, דאל"כ למאי נפק"מ בביטולה. הרי דחזינן שהיתר מבטל היתר ואינו חוזר לאיסורה. אמנם יש חולקים וסוברים דשאני כלאים שהדבר שמבטל את הצמר רחלים עדיין קיים ולכן אין טעם לומר שחוזר וניעור. אבל חמץ שאיסורו במשהו, לא הי' בטל לפני הפסח כיון שהיתה היתר בהיתר, </w:t>
      </w:r>
      <w:r w:rsidR="001D21FD" w:rsidRPr="00882F11">
        <w:rPr>
          <w:rFonts w:cs="Guttman Drogolin" w:hint="cs"/>
          <w:rtl/>
          <w:lang w:bidi="he-IL"/>
        </w:rPr>
        <w:lastRenderedPageBreak/>
        <w:t>וכשמגיע הפסח אין לך דבר המבטלו דהא חמץ בזמנו במשהו בין במינו ובין שלא במינו.</w:t>
      </w:r>
    </w:p>
    <w:p w:rsidR="00486B1B" w:rsidRPr="00882F11" w:rsidRDefault="00486B1B" w:rsidP="00486B1B">
      <w:pPr>
        <w:tabs>
          <w:tab w:val="right" w:pos="7497"/>
        </w:tabs>
        <w:bidi/>
        <w:jc w:val="both"/>
        <w:rPr>
          <w:rFonts w:cs="Guttman Drogolin"/>
          <w:rtl/>
          <w:lang w:bidi="he-IL"/>
        </w:rPr>
        <w:sectPr w:rsidR="00486B1B" w:rsidRPr="00882F11" w:rsidSect="00D7621D">
          <w:type w:val="continuous"/>
          <w:pgSz w:w="11907" w:h="16839" w:code="9"/>
          <w:pgMar w:top="1440" w:right="1440" w:bottom="1440" w:left="1440" w:header="720" w:footer="720" w:gutter="0"/>
          <w:cols w:num="2" w:space="720"/>
          <w:bidi/>
          <w:docGrid w:linePitch="360"/>
        </w:sectPr>
      </w:pPr>
    </w:p>
    <w:p w:rsidR="00486B1B" w:rsidRPr="00D7621D" w:rsidRDefault="00486B1B" w:rsidP="00486B1B">
      <w:pPr>
        <w:keepNext/>
        <w:tabs>
          <w:tab w:val="left" w:pos="3818"/>
          <w:tab w:val="center" w:pos="4680"/>
        </w:tabs>
        <w:bidi/>
        <w:jc w:val="center"/>
        <w:rPr>
          <w:rFonts w:cs="Guttman Drogolin"/>
          <w:b/>
          <w:bCs/>
          <w:sz w:val="48"/>
          <w:szCs w:val="48"/>
          <w:rtl/>
          <w:lang w:bidi="he-IL"/>
        </w:rPr>
      </w:pPr>
      <w:r w:rsidRPr="00D7621D">
        <w:rPr>
          <w:rFonts w:cs="Guttman Drogolin" w:hint="cs"/>
          <w:b/>
          <w:bCs/>
          <w:sz w:val="48"/>
          <w:szCs w:val="48"/>
          <w:rtl/>
          <w:lang w:bidi="he-IL"/>
        </w:rPr>
        <w:lastRenderedPageBreak/>
        <w:t>שיעור קט"ו</w:t>
      </w:r>
    </w:p>
    <w:p w:rsidR="00D7621D" w:rsidRDefault="00D7621D" w:rsidP="003121B5">
      <w:pPr>
        <w:pStyle w:val="Heading1"/>
        <w:bidi/>
        <w:spacing w:before="0" w:line="360" w:lineRule="auto"/>
        <w:jc w:val="center"/>
        <w:rPr>
          <w:rFonts w:cs="Guttman Drogolin"/>
          <w:color w:val="auto"/>
          <w:sz w:val="24"/>
          <w:szCs w:val="24"/>
          <w:u w:val="single"/>
          <w:rtl/>
          <w:lang w:bidi="he-IL"/>
        </w:rPr>
        <w:sectPr w:rsidR="00D7621D" w:rsidSect="00D7621D">
          <w:headerReference w:type="default" r:id="rId88"/>
          <w:pgSz w:w="11907" w:h="16839" w:code="9"/>
          <w:pgMar w:top="1440" w:right="1440" w:bottom="1440" w:left="1440" w:header="720" w:footer="720" w:gutter="0"/>
          <w:cols w:space="720"/>
          <w:bidi/>
          <w:docGrid w:linePitch="360"/>
        </w:sectPr>
      </w:pPr>
    </w:p>
    <w:p w:rsidR="00486B1B" w:rsidRPr="00882F11" w:rsidRDefault="003121B5" w:rsidP="003121B5">
      <w:pPr>
        <w:pStyle w:val="Heading1"/>
        <w:bidi/>
        <w:spacing w:before="0" w:line="360" w:lineRule="auto"/>
        <w:jc w:val="center"/>
        <w:rPr>
          <w:rFonts w:cs="Guttman Drogolin"/>
          <w:color w:val="auto"/>
          <w:sz w:val="24"/>
          <w:szCs w:val="24"/>
          <w:u w:val="single"/>
          <w:rtl/>
          <w:lang w:bidi="he-IL"/>
        </w:rPr>
      </w:pPr>
      <w:bookmarkStart w:id="462" w:name="_Toc496175709"/>
      <w:r w:rsidRPr="00882F11">
        <w:rPr>
          <w:rFonts w:cs="Guttman Drogolin" w:hint="cs"/>
          <w:color w:val="auto"/>
          <w:sz w:val="24"/>
          <w:szCs w:val="24"/>
          <w:u w:val="single"/>
          <w:rtl/>
          <w:lang w:bidi="he-IL"/>
        </w:rPr>
        <w:lastRenderedPageBreak/>
        <w:t>היכי קיי"ל לדינא בחמץ בפסח</w:t>
      </w:r>
      <w:bookmarkEnd w:id="462"/>
    </w:p>
    <w:p w:rsidR="00C352F9" w:rsidRPr="00882F11" w:rsidRDefault="00007B0B" w:rsidP="000C18B9">
      <w:pPr>
        <w:tabs>
          <w:tab w:val="right" w:pos="7497"/>
        </w:tabs>
        <w:bidi/>
        <w:jc w:val="both"/>
        <w:rPr>
          <w:rFonts w:cs="Guttman Drogolin"/>
          <w:rtl/>
          <w:lang w:bidi="he-IL"/>
        </w:rPr>
      </w:pPr>
      <w:r>
        <w:rPr>
          <w:rFonts w:cs="Guttman Drogolin"/>
          <w:rtl/>
          <w:lang w:bidi="he-IL"/>
        </w:rPr>
        <w:fldChar w:fldCharType="begin"/>
      </w:r>
      <w:r>
        <w:instrText xml:space="preserve"> XE "</w:instrText>
      </w:r>
      <w:r w:rsidRPr="000E3872">
        <w:rPr>
          <w:rFonts w:hint="cs"/>
          <w:rtl/>
          <w:lang w:bidi="he-IL"/>
        </w:rPr>
        <w:instrText>תערובת חמץ</w:instrText>
      </w:r>
      <w:r w:rsidRPr="000E3872">
        <w:rPr>
          <w:rtl/>
        </w:rPr>
        <w:instrText>:</w:instrText>
      </w:r>
      <w:r w:rsidRPr="000E3872">
        <w:rPr>
          <w:rFonts w:hint="cs"/>
          <w:rtl/>
          <w:lang w:bidi="he-IL"/>
        </w:rPr>
        <w:instrText>הדין למעשה</w:instrText>
      </w:r>
      <w:r>
        <w:instrText xml:space="preserve">" </w:instrText>
      </w:r>
      <w:r>
        <w:rPr>
          <w:rFonts w:cs="Guttman Drogolin"/>
          <w:rtl/>
          <w:lang w:bidi="he-IL"/>
        </w:rPr>
        <w:fldChar w:fldCharType="end"/>
      </w:r>
      <w:r w:rsidR="00486B1B" w:rsidRPr="00882F11">
        <w:rPr>
          <w:rFonts w:cs="Guttman Drogolin" w:hint="cs"/>
          <w:rtl/>
          <w:lang w:bidi="he-IL"/>
        </w:rPr>
        <w:t>השו"ע בסע' א' פסק כשיטת כמה ראשונים שחמץ בפסח אוסר אפילו במשהו</w:t>
      </w:r>
      <w:r w:rsidR="003121B5" w:rsidRPr="00882F11">
        <w:rPr>
          <w:rFonts w:cs="Guttman Drogolin" w:hint="cs"/>
          <w:rtl/>
          <w:lang w:bidi="he-IL"/>
        </w:rPr>
        <w:t xml:space="preserve">. ויש להדגיש שהמ"ב כתב שאפשר לסמוך אשיטת השאילתות </w:t>
      </w:r>
      <w:r w:rsidR="00024774" w:rsidRPr="00882F11">
        <w:rPr>
          <w:rFonts w:cs="Guttman Drogolin" w:hint="cs"/>
          <w:rtl/>
          <w:lang w:bidi="he-IL"/>
        </w:rPr>
        <w:t>כשיש עוד הרבה צדדים להקל.</w:t>
      </w:r>
      <w:r w:rsidR="003121B5" w:rsidRPr="00882F11">
        <w:rPr>
          <w:rFonts w:cs="Guttman Drogolin" w:hint="cs"/>
          <w:rtl/>
          <w:lang w:bidi="he-IL"/>
        </w:rPr>
        <w:t xml:space="preserve"> ומ"מ יל"ע האם קיי"ל כטעם הרמב"ן שאסור משום דהוי דשיל"מ או"ד דהוי משום חומרא דחמץ וכשיטת התוס'. ונפק"מ בזה בחמץ משש ולמעלה בער"פ, שאם הטעם להחמיר בחמץ משום דהוי דשיל"מ ע"כ גם בחמץ משש ולמעלה אסור במשהו במין במינו מיהת. ובאמת הר"ן הביא הורה שגם משש הוא במשהו אע"ג דלא סבירא לי' כשיטת הרמב"ן. והביאור בזה משום שאמנם הטעם להחמיר משום שחמץ אסור באיסור כרת, והא ליכא כרת בער"פ, </w:t>
      </w:r>
      <w:r w:rsidR="001F1935" w:rsidRPr="00882F11">
        <w:rPr>
          <w:rFonts w:cs="Guttman Drogolin" w:hint="cs"/>
          <w:rtl/>
          <w:lang w:bidi="he-IL"/>
        </w:rPr>
        <w:t>מ"מ כיון שבעיקר איסור חמץ יש כרת לא פלוג רבנן (משא"כ בחמץ שאינו אסור אלא משום קנס שהוא איסור אחר לא החמירו לאסור במשהו). ומ"מ שיטת השו"ע בסע' ב' שחמץ משש עד הפסח בטל בס'. וא"כ לכאורה חזינן מיני' דסבר שחמץ בפסח לא הוי דשיל"מ, וכן דקדק בבה"ל שם. וע"ש מהש"ך בסי' ק"ב ס"ק י"ג שרצה לדחות שלעולם י"ל שהו</w:t>
      </w:r>
      <w:r w:rsidR="00024774" w:rsidRPr="00882F11">
        <w:rPr>
          <w:rFonts w:cs="Guttman Drogolin" w:hint="cs"/>
          <w:rtl/>
          <w:lang w:bidi="he-IL"/>
        </w:rPr>
        <w:t>א דשיל"מ, ואין כוונת השו"ע להקל בחמץ משש שעות עד הפסח לומר ששיעורו בס' אלא כשהתערב מין בשא"מ, אבל מין במינו אה"נ ושיעורו במשהו כיון דהוי דשיל"מ. וכתב על זה הבה"ל שהוא דחוק כיון שסתימת לשון השו"ע משמע ששיעורו בששים בכל ענין.</w:t>
      </w:r>
    </w:p>
    <w:p w:rsidR="00024774" w:rsidRPr="00882F11" w:rsidRDefault="00024774" w:rsidP="00C632AD">
      <w:pPr>
        <w:tabs>
          <w:tab w:val="right" w:pos="7497"/>
        </w:tabs>
        <w:bidi/>
        <w:jc w:val="both"/>
        <w:rPr>
          <w:rFonts w:cs="Guttman Drogolin"/>
          <w:rtl/>
          <w:lang w:bidi="he-IL"/>
        </w:rPr>
      </w:pPr>
      <w:r w:rsidRPr="00882F11">
        <w:rPr>
          <w:rFonts w:cs="Guttman Drogolin" w:hint="cs"/>
          <w:rtl/>
          <w:lang w:bidi="he-IL"/>
        </w:rPr>
        <w:t xml:space="preserve">והנה לשון הבה"ל שם "ולא מקרי דבר שיש לו מתירין מטעם דלשנה הבאה חוזר ונאסר". וכוונת הבה"ל לשיטה המובא ברמ"א שדבר שחוזר ונאסר </w:t>
      </w:r>
      <w:r w:rsidR="00C632AD" w:rsidRPr="00882F11">
        <w:rPr>
          <w:rFonts w:cs="Guttman Drogolin" w:hint="cs"/>
          <w:rtl/>
          <w:lang w:bidi="he-IL"/>
        </w:rPr>
        <w:t>ל</w:t>
      </w:r>
      <w:r w:rsidRPr="00882F11">
        <w:rPr>
          <w:rFonts w:cs="Guttman Drogolin" w:hint="cs"/>
          <w:rtl/>
          <w:lang w:bidi="he-IL"/>
        </w:rPr>
        <w:t>שנה הבאה לא מיקרי דשיל"מ</w:t>
      </w:r>
      <w:r w:rsidR="00BD3AE4" w:rsidRPr="00882F11">
        <w:rPr>
          <w:rStyle w:val="FootnoteReference"/>
          <w:rFonts w:cs="Guttman Drogolin"/>
          <w:rtl/>
          <w:lang w:bidi="he-IL"/>
        </w:rPr>
        <w:footnoteReference w:id="440"/>
      </w:r>
      <w:r w:rsidR="00C632AD" w:rsidRPr="00882F11">
        <w:rPr>
          <w:rFonts w:cs="Guttman Drogolin" w:hint="cs"/>
          <w:rtl/>
          <w:lang w:bidi="he-IL"/>
        </w:rPr>
        <w:t xml:space="preserve">. ואי להא לכאורה יש שפיר לומר דהא דאמרינן דלא הוי דשיל"מ, היינו משום שהוא נאסר לאחר הפסח משום קנס, ולית לי' הנהו סברות דלא גזרו לאסור או"ד דכיון שהוא ע"י תערובת חשו ביש לו מתרין. או"ד דס"ל דכיון שחייבין עליו לבערו לא מיקרי </w:t>
      </w:r>
      <w:r w:rsidR="00C632AD" w:rsidRPr="00882F11">
        <w:rPr>
          <w:rFonts w:cs="Guttman Drogolin" w:hint="cs"/>
          <w:rtl/>
          <w:lang w:bidi="he-IL"/>
        </w:rPr>
        <w:lastRenderedPageBreak/>
        <w:t xml:space="preserve">דשיל"מ וכמו שחלק בחי' ר' דוד על הרמב"ן. ואדרבה   </w:t>
      </w:r>
      <w:r w:rsidRPr="00882F11">
        <w:rPr>
          <w:rFonts w:cs="Guttman Drogolin" w:hint="cs"/>
          <w:rtl/>
          <w:lang w:bidi="he-IL"/>
        </w:rPr>
        <w:t xml:space="preserve"> </w:t>
      </w:r>
    </w:p>
    <w:p w:rsidR="00024774" w:rsidRPr="00882F11" w:rsidRDefault="00024774" w:rsidP="00024774">
      <w:pPr>
        <w:tabs>
          <w:tab w:val="right" w:pos="7497"/>
        </w:tabs>
        <w:bidi/>
        <w:jc w:val="both"/>
        <w:rPr>
          <w:rFonts w:cs="Guttman Drogolin"/>
          <w:rtl/>
          <w:lang w:bidi="he-IL"/>
        </w:rPr>
        <w:sectPr w:rsidR="00024774" w:rsidRPr="00882F11" w:rsidSect="00D7621D">
          <w:type w:val="continuous"/>
          <w:pgSz w:w="11907" w:h="16839" w:code="9"/>
          <w:pgMar w:top="1440" w:right="1440" w:bottom="1440" w:left="1440" w:header="720" w:footer="720" w:gutter="0"/>
          <w:cols w:num="2" w:space="720"/>
          <w:bidi/>
          <w:docGrid w:linePitch="360"/>
        </w:sectPr>
      </w:pPr>
    </w:p>
    <w:p w:rsidR="00C352F9" w:rsidRPr="00D7621D" w:rsidRDefault="00C352F9" w:rsidP="00C352F9">
      <w:pPr>
        <w:keepNext/>
        <w:tabs>
          <w:tab w:val="left" w:pos="3818"/>
          <w:tab w:val="center" w:pos="4680"/>
        </w:tabs>
        <w:bidi/>
        <w:jc w:val="center"/>
        <w:rPr>
          <w:rFonts w:cs="Guttman Drogolin"/>
          <w:b/>
          <w:bCs/>
          <w:sz w:val="48"/>
          <w:szCs w:val="48"/>
          <w:rtl/>
          <w:lang w:bidi="he-IL"/>
        </w:rPr>
      </w:pPr>
      <w:r w:rsidRPr="00D7621D">
        <w:rPr>
          <w:rFonts w:cs="Guttman Drogolin" w:hint="cs"/>
          <w:b/>
          <w:bCs/>
          <w:sz w:val="48"/>
          <w:szCs w:val="48"/>
          <w:rtl/>
          <w:lang w:bidi="he-IL"/>
        </w:rPr>
        <w:lastRenderedPageBreak/>
        <w:t>שיעור קט"ז</w:t>
      </w:r>
    </w:p>
    <w:p w:rsidR="00D7621D" w:rsidRDefault="00D7621D" w:rsidP="00C352F9">
      <w:pPr>
        <w:pStyle w:val="Heading1"/>
        <w:bidi/>
        <w:spacing w:before="0" w:line="360" w:lineRule="auto"/>
        <w:jc w:val="center"/>
        <w:rPr>
          <w:rFonts w:cs="Guttman Drogolin"/>
          <w:color w:val="auto"/>
          <w:sz w:val="24"/>
          <w:szCs w:val="24"/>
          <w:u w:val="single"/>
          <w:rtl/>
          <w:lang w:bidi="he-IL"/>
        </w:rPr>
        <w:sectPr w:rsidR="00D7621D" w:rsidSect="00D7621D">
          <w:pgSz w:w="11907" w:h="16839" w:code="9"/>
          <w:pgMar w:top="1440" w:right="1440" w:bottom="1440" w:left="1440" w:header="720" w:footer="720" w:gutter="0"/>
          <w:cols w:space="720"/>
          <w:bidi/>
          <w:docGrid w:linePitch="360"/>
        </w:sectPr>
      </w:pPr>
    </w:p>
    <w:p w:rsidR="00C352F9" w:rsidRPr="00882F11" w:rsidRDefault="00C352F9" w:rsidP="00C352F9">
      <w:pPr>
        <w:pStyle w:val="Heading1"/>
        <w:bidi/>
        <w:spacing w:before="0" w:line="360" w:lineRule="auto"/>
        <w:jc w:val="center"/>
        <w:rPr>
          <w:rFonts w:cs="Guttman Drogolin"/>
          <w:color w:val="auto"/>
          <w:sz w:val="24"/>
          <w:szCs w:val="24"/>
          <w:u w:val="single"/>
          <w:rtl/>
          <w:lang w:bidi="he-IL"/>
        </w:rPr>
      </w:pPr>
      <w:bookmarkStart w:id="463" w:name="_Toc496175710"/>
      <w:r w:rsidRPr="00882F11">
        <w:rPr>
          <w:rFonts w:cs="Guttman Drogolin" w:hint="cs"/>
          <w:color w:val="auto"/>
          <w:sz w:val="24"/>
          <w:szCs w:val="24"/>
          <w:u w:val="single"/>
          <w:rtl/>
          <w:lang w:bidi="he-IL"/>
        </w:rPr>
        <w:lastRenderedPageBreak/>
        <w:t>אם הא דחמץ הוי דשיל"מ נתקבלה להלכה</w:t>
      </w:r>
      <w:bookmarkEnd w:id="463"/>
    </w:p>
    <w:p w:rsidR="00C352F9" w:rsidRPr="00882F11" w:rsidRDefault="00C352F9" w:rsidP="00D7621D">
      <w:pPr>
        <w:tabs>
          <w:tab w:val="right" w:pos="7497"/>
        </w:tabs>
        <w:bidi/>
        <w:jc w:val="both"/>
        <w:rPr>
          <w:rFonts w:cs="Guttman Drogolin"/>
          <w:rtl/>
          <w:lang w:bidi="he-IL"/>
        </w:rPr>
        <w:sectPr w:rsidR="00C352F9" w:rsidRPr="00882F11" w:rsidSect="00D7621D">
          <w:type w:val="continuous"/>
          <w:pgSz w:w="11907" w:h="16839" w:code="9"/>
          <w:pgMar w:top="1440" w:right="1440" w:bottom="1440" w:left="1440" w:header="720" w:footer="720" w:gutter="0"/>
          <w:cols w:num="2" w:space="720"/>
          <w:bidi/>
          <w:docGrid w:linePitch="360"/>
        </w:sectPr>
      </w:pPr>
      <w:r w:rsidRPr="00882F11">
        <w:rPr>
          <w:rFonts w:cs="Guttman Drogolin" w:hint="cs"/>
          <w:rtl/>
          <w:lang w:bidi="he-IL"/>
        </w:rPr>
        <w:t>השו"ע בסע' א' פסק כשיטת כמה ראשונים שחמץ בפסח אוסר</w:t>
      </w:r>
      <w:r w:rsidR="00D7621D">
        <w:rPr>
          <w:rFonts w:cs="Guttman Drogolin" w:hint="cs"/>
          <w:rtl/>
          <w:lang w:bidi="he-IL"/>
        </w:rPr>
        <w:t xml:space="preserve"> ...</w:t>
      </w:r>
    </w:p>
    <w:p w:rsidR="00C352F9" w:rsidRPr="00D7621D" w:rsidRDefault="00C352F9" w:rsidP="00C352F9">
      <w:pPr>
        <w:keepNext/>
        <w:tabs>
          <w:tab w:val="left" w:pos="3818"/>
          <w:tab w:val="center" w:pos="4680"/>
        </w:tabs>
        <w:bidi/>
        <w:jc w:val="center"/>
        <w:rPr>
          <w:rFonts w:cs="Guttman Drogolin"/>
          <w:b/>
          <w:bCs/>
          <w:sz w:val="48"/>
          <w:szCs w:val="48"/>
          <w:rtl/>
          <w:lang w:bidi="he-IL"/>
        </w:rPr>
      </w:pPr>
      <w:r w:rsidRPr="00D7621D">
        <w:rPr>
          <w:rFonts w:cs="Guttman Drogolin" w:hint="cs"/>
          <w:b/>
          <w:bCs/>
          <w:sz w:val="48"/>
          <w:szCs w:val="48"/>
          <w:rtl/>
          <w:lang w:bidi="he-IL"/>
        </w:rPr>
        <w:lastRenderedPageBreak/>
        <w:t>שיעור קי"ז</w:t>
      </w:r>
    </w:p>
    <w:p w:rsidR="00D7621D" w:rsidRDefault="00D7621D" w:rsidP="00C352F9">
      <w:pPr>
        <w:pStyle w:val="Heading1"/>
        <w:bidi/>
        <w:spacing w:before="0" w:line="360" w:lineRule="auto"/>
        <w:jc w:val="center"/>
        <w:rPr>
          <w:rFonts w:cs="Guttman Drogolin"/>
          <w:color w:val="auto"/>
          <w:sz w:val="24"/>
          <w:szCs w:val="24"/>
          <w:u w:val="single"/>
          <w:rtl/>
          <w:lang w:bidi="he-IL"/>
        </w:rPr>
        <w:sectPr w:rsidR="00D7621D" w:rsidSect="00D7621D">
          <w:pgSz w:w="11907" w:h="16839" w:code="9"/>
          <w:pgMar w:top="1440" w:right="1440" w:bottom="1440" w:left="1440" w:header="720" w:footer="720" w:gutter="0"/>
          <w:cols w:space="720"/>
          <w:bidi/>
          <w:docGrid w:linePitch="360"/>
        </w:sectPr>
      </w:pPr>
    </w:p>
    <w:p w:rsidR="00C352F9" w:rsidRPr="00882F11" w:rsidRDefault="00C352F9" w:rsidP="00C352F9">
      <w:pPr>
        <w:pStyle w:val="Heading1"/>
        <w:bidi/>
        <w:spacing w:before="0" w:line="360" w:lineRule="auto"/>
        <w:jc w:val="center"/>
        <w:rPr>
          <w:rFonts w:cs="Guttman Drogolin"/>
          <w:color w:val="auto"/>
          <w:sz w:val="24"/>
          <w:szCs w:val="24"/>
          <w:u w:val="single"/>
          <w:rtl/>
          <w:lang w:bidi="he-IL"/>
        </w:rPr>
      </w:pPr>
      <w:bookmarkStart w:id="464" w:name="_Toc496175711"/>
      <w:r w:rsidRPr="00882F11">
        <w:rPr>
          <w:rFonts w:cs="Guttman Drogolin" w:hint="cs"/>
          <w:color w:val="auto"/>
          <w:sz w:val="24"/>
          <w:szCs w:val="24"/>
          <w:u w:val="single"/>
          <w:rtl/>
          <w:lang w:bidi="he-IL"/>
        </w:rPr>
        <w:lastRenderedPageBreak/>
        <w:t>אם הא דחמץ הוי דשיל"מ נתקבלה להלכה</w:t>
      </w:r>
      <w:bookmarkEnd w:id="464"/>
    </w:p>
    <w:p w:rsidR="00C352F9" w:rsidRPr="00882F11" w:rsidRDefault="00C352F9" w:rsidP="00C352F9">
      <w:pPr>
        <w:tabs>
          <w:tab w:val="right" w:pos="7497"/>
        </w:tabs>
        <w:bidi/>
        <w:jc w:val="both"/>
        <w:rPr>
          <w:rFonts w:cs="Guttman Drogolin"/>
          <w:rtl/>
          <w:lang w:bidi="he-IL"/>
        </w:rPr>
      </w:pPr>
      <w:r w:rsidRPr="00882F11">
        <w:rPr>
          <w:rFonts w:cs="Guttman Drogolin" w:hint="cs"/>
          <w:rtl/>
          <w:lang w:bidi="he-IL"/>
        </w:rPr>
        <w:t>השו"ע בסע' א' פסק כשיטת כמה ראשונים שחמץ בפסח אוסר</w:t>
      </w:r>
      <w:r w:rsidR="00D7621D">
        <w:rPr>
          <w:rFonts w:cs="Guttman Drogolin" w:hint="cs"/>
          <w:rtl/>
          <w:lang w:bidi="he-IL"/>
        </w:rPr>
        <w:t>...</w:t>
      </w:r>
    </w:p>
    <w:p w:rsidR="00C352F9" w:rsidRPr="00882F11" w:rsidRDefault="00C352F9" w:rsidP="00C352F9">
      <w:pPr>
        <w:tabs>
          <w:tab w:val="right" w:pos="7497"/>
        </w:tabs>
        <w:bidi/>
        <w:jc w:val="both"/>
        <w:rPr>
          <w:rFonts w:cs="Guttman Drogolin"/>
          <w:rtl/>
          <w:lang w:bidi="he-IL"/>
        </w:rPr>
        <w:sectPr w:rsidR="00C352F9" w:rsidRPr="00882F11" w:rsidSect="00D7621D">
          <w:type w:val="continuous"/>
          <w:pgSz w:w="11907" w:h="16839" w:code="9"/>
          <w:pgMar w:top="1440" w:right="1440" w:bottom="1440" w:left="1440" w:header="720" w:footer="720" w:gutter="0"/>
          <w:cols w:num="2" w:space="720"/>
          <w:bidi/>
          <w:docGrid w:linePitch="360"/>
        </w:sectPr>
      </w:pPr>
    </w:p>
    <w:p w:rsidR="00C352F9" w:rsidRPr="00D7621D" w:rsidRDefault="00C352F9" w:rsidP="00C352F9">
      <w:pPr>
        <w:keepNext/>
        <w:tabs>
          <w:tab w:val="left" w:pos="3818"/>
          <w:tab w:val="center" w:pos="4680"/>
        </w:tabs>
        <w:bidi/>
        <w:jc w:val="center"/>
        <w:rPr>
          <w:rFonts w:cs="Guttman Drogolin"/>
          <w:b/>
          <w:bCs/>
          <w:sz w:val="48"/>
          <w:szCs w:val="48"/>
          <w:rtl/>
          <w:lang w:bidi="he-IL"/>
        </w:rPr>
      </w:pPr>
      <w:r w:rsidRPr="00D7621D">
        <w:rPr>
          <w:rFonts w:cs="Guttman Drogolin" w:hint="cs"/>
          <w:b/>
          <w:bCs/>
          <w:sz w:val="48"/>
          <w:szCs w:val="48"/>
          <w:rtl/>
          <w:lang w:bidi="he-IL"/>
        </w:rPr>
        <w:lastRenderedPageBreak/>
        <w:t>שיעור קי"ח</w:t>
      </w:r>
    </w:p>
    <w:p w:rsidR="00D7621D" w:rsidRDefault="00D7621D" w:rsidP="00C352F9">
      <w:pPr>
        <w:pStyle w:val="Heading1"/>
        <w:bidi/>
        <w:spacing w:before="0" w:line="360" w:lineRule="auto"/>
        <w:jc w:val="center"/>
        <w:rPr>
          <w:rFonts w:cs="Guttman Drogolin"/>
          <w:color w:val="auto"/>
          <w:sz w:val="24"/>
          <w:szCs w:val="24"/>
          <w:u w:val="single"/>
          <w:rtl/>
          <w:lang w:bidi="he-IL"/>
        </w:rPr>
        <w:sectPr w:rsidR="00D7621D" w:rsidSect="00D7621D">
          <w:pgSz w:w="11907" w:h="16839" w:code="9"/>
          <w:pgMar w:top="1440" w:right="1440" w:bottom="1440" w:left="1440" w:header="720" w:footer="720" w:gutter="0"/>
          <w:cols w:space="720"/>
          <w:bidi/>
          <w:docGrid w:linePitch="360"/>
        </w:sectPr>
      </w:pPr>
    </w:p>
    <w:p w:rsidR="00C352F9" w:rsidRPr="00882F11" w:rsidRDefault="00C352F9" w:rsidP="00C352F9">
      <w:pPr>
        <w:pStyle w:val="Heading1"/>
        <w:bidi/>
        <w:spacing w:before="0" w:line="360" w:lineRule="auto"/>
        <w:jc w:val="center"/>
        <w:rPr>
          <w:rFonts w:cs="Guttman Drogolin"/>
          <w:color w:val="auto"/>
          <w:sz w:val="24"/>
          <w:szCs w:val="24"/>
          <w:u w:val="single"/>
          <w:rtl/>
          <w:lang w:bidi="he-IL"/>
        </w:rPr>
      </w:pPr>
      <w:bookmarkStart w:id="465" w:name="_Toc496175712"/>
      <w:r w:rsidRPr="00882F11">
        <w:rPr>
          <w:rFonts w:cs="Guttman Drogolin" w:hint="cs"/>
          <w:color w:val="auto"/>
          <w:sz w:val="24"/>
          <w:szCs w:val="24"/>
          <w:u w:val="single"/>
          <w:rtl/>
          <w:lang w:bidi="he-IL"/>
        </w:rPr>
        <w:lastRenderedPageBreak/>
        <w:t>ביטול יבש ביבש</w:t>
      </w:r>
      <w:bookmarkEnd w:id="465"/>
    </w:p>
    <w:p w:rsidR="00EF1F93" w:rsidRPr="00882F11" w:rsidRDefault="00007B0B" w:rsidP="00EF1F93">
      <w:pPr>
        <w:tabs>
          <w:tab w:val="right" w:pos="7497"/>
        </w:tabs>
        <w:bidi/>
        <w:jc w:val="both"/>
        <w:rPr>
          <w:rFonts w:cs="Guttman Drogolin"/>
          <w:rtl/>
          <w:lang w:bidi="he-IL"/>
        </w:rPr>
      </w:pPr>
      <w:r>
        <w:rPr>
          <w:rFonts w:cs="Guttman Drogolin"/>
          <w:rtl/>
          <w:lang w:bidi="he-IL"/>
        </w:rPr>
        <w:fldChar w:fldCharType="begin"/>
      </w:r>
      <w:r>
        <w:instrText xml:space="preserve"> XE "</w:instrText>
      </w:r>
      <w:r w:rsidRPr="00D443C2">
        <w:rPr>
          <w:rFonts w:hint="cs"/>
          <w:rtl/>
          <w:lang w:bidi="he-IL"/>
        </w:rPr>
        <w:instrText>תערובת חמץ</w:instrText>
      </w:r>
      <w:r w:rsidRPr="00D443C2">
        <w:rPr>
          <w:rtl/>
        </w:rPr>
        <w:instrText>:</w:instrText>
      </w:r>
      <w:r w:rsidRPr="00D443C2">
        <w:rPr>
          <w:rFonts w:hint="cs"/>
          <w:rtl/>
          <w:lang w:bidi="he-IL"/>
        </w:rPr>
        <w:instrText>ביט</w:instrText>
      </w:r>
      <w:r>
        <w:rPr>
          <w:rFonts w:hint="cs"/>
          <w:rtl/>
          <w:lang w:bidi="he-IL"/>
        </w:rPr>
        <w:instrText>ו</w:instrText>
      </w:r>
      <w:r w:rsidRPr="00D443C2">
        <w:rPr>
          <w:rFonts w:hint="cs"/>
          <w:rtl/>
          <w:lang w:bidi="he-IL"/>
        </w:rPr>
        <w:instrText>ל יבש ביבש</w:instrText>
      </w:r>
      <w:r>
        <w:instrText xml:space="preserve">" </w:instrText>
      </w:r>
      <w:r>
        <w:rPr>
          <w:rFonts w:cs="Guttman Drogolin"/>
          <w:rtl/>
          <w:lang w:bidi="he-IL"/>
        </w:rPr>
        <w:fldChar w:fldCharType="end"/>
      </w:r>
      <w:r w:rsidR="00C352F9" w:rsidRPr="00882F11">
        <w:rPr>
          <w:rFonts w:cs="Guttman Drogolin" w:hint="cs"/>
          <w:rtl/>
          <w:lang w:bidi="he-IL"/>
        </w:rPr>
        <w:t xml:space="preserve">השו"ע בסע' ט' הביא ב' הדעות אם חמץ בפסח אסור במשהו גם בתערובת יבש ביבש או לא, וכתב המ"ב בס"ק צ"ה שהסכמת האחרונים שגם ביבש ביבש אוסר חמץ במשהו. והנה הט"ז בסי' צ"ב סס"ק ט"ז העיר סתירה בדברי הלבוש, דהכא פסק כשיטת המחמירים דחמץ יבש ביבש אוסר במשהו </w:t>
      </w:r>
      <w:r w:rsidR="00D53112" w:rsidRPr="00882F11">
        <w:rPr>
          <w:rFonts w:cs="Guttman Drogolin" w:hint="cs"/>
          <w:rtl/>
          <w:lang w:bidi="he-IL"/>
        </w:rPr>
        <w:t>ואילו ביו"ד סי' צ"ב כתב שאם חתיכה נתערבה ברוב הרי הוא מותר. ובנקוה"כ שם כתב שמה שהחמיר השיטה המחמירה כאן בסע' ט' שיבש ביבש אסור במשהו, אין זה משום שיבש ביבש ג"כ נכלל בחומרא דאיסור משהו בפסח. דלעולם ביבש ביבש לא נאמר חומרא זו. אבל י"ל שהחומרא הוא כמש"כ התוס' שבחמץ בפסח החמירו שלא יתבטל כלל משום שהוא בכרת וכן לא בדילי אינשי מיני'. אבל עדיין י"ל שחמץ בפסח הוי דשיל"מ וכמש"כ הרמב"ן, רק שהרמב"ן כתב שזהו גופא שיטת רבא ואסור אפילו מין בשאינו מינו אטו מין במינו, והשו"ע סבר שבזה מסתברים דברי הר"ן שלא היו להם לגזור אינו מינו אטו מינו כיון שדשיל"מ עצמו דלא בטיל אינו אלא מדרבנן, אבל מ"מ בעיקר הדבר דהוי דשיל"מ מודה ולכן במין במינו מיהת אסר</w:t>
      </w:r>
      <w:r w:rsidR="00A3278A" w:rsidRPr="00882F11">
        <w:rPr>
          <w:rStyle w:val="FootnoteReference"/>
          <w:rFonts w:cs="Guttman Drogolin"/>
          <w:rtl/>
          <w:lang w:bidi="he-IL"/>
        </w:rPr>
        <w:footnoteReference w:id="441"/>
      </w:r>
      <w:r w:rsidR="00D53112" w:rsidRPr="00882F11">
        <w:rPr>
          <w:rFonts w:cs="Guttman Drogolin" w:hint="cs"/>
          <w:rtl/>
          <w:lang w:bidi="he-IL"/>
        </w:rPr>
        <w:t>. ולכן ביאר הש"ך שאין סתירה בין דברי הלבוש ביו"ד סי' צ"ב</w:t>
      </w:r>
      <w:r w:rsidR="00EF1F93" w:rsidRPr="00882F11">
        <w:rPr>
          <w:rFonts w:cs="Guttman Drogolin" w:hint="cs"/>
          <w:rtl/>
          <w:lang w:bidi="he-IL"/>
        </w:rPr>
        <w:t xml:space="preserve"> לדבריו </w:t>
      </w:r>
      <w:r w:rsidR="00D53112" w:rsidRPr="00882F11">
        <w:rPr>
          <w:rFonts w:cs="Guttman Drogolin" w:hint="cs"/>
          <w:rtl/>
          <w:lang w:bidi="he-IL"/>
        </w:rPr>
        <w:t xml:space="preserve">כאן, דכאן כוונתו לאסור </w:t>
      </w:r>
      <w:r w:rsidR="00EF1F93" w:rsidRPr="00882F11">
        <w:rPr>
          <w:rFonts w:cs="Guttman Drogolin" w:hint="cs"/>
          <w:rtl/>
          <w:lang w:bidi="he-IL"/>
        </w:rPr>
        <w:t xml:space="preserve">חתיכת </w:t>
      </w:r>
      <w:r w:rsidR="00D53112" w:rsidRPr="00882F11">
        <w:rPr>
          <w:rFonts w:cs="Guttman Drogolin" w:hint="cs"/>
          <w:rtl/>
          <w:lang w:bidi="he-IL"/>
        </w:rPr>
        <w:t>חמץ שאסור</w:t>
      </w:r>
      <w:r w:rsidR="00EF1F93" w:rsidRPr="00882F11">
        <w:rPr>
          <w:rFonts w:cs="Guttman Drogolin" w:hint="cs"/>
          <w:rtl/>
          <w:lang w:bidi="he-IL"/>
        </w:rPr>
        <w:t xml:space="preserve"> מצד עצמו שהתערב במינו, שבזה לא הקילו כיון דהוי דשיל"מ. אבל ביו"ד סי' צ"ב מיירי במין בשאינו מינו א"נ במינו שנאסר במשהו שיש לו דין מין בשא"מ (וכמו שהאריך שם הש"ך בזה) ולכן דינו כשאר איסורים ובטל ברוב.</w:t>
      </w:r>
    </w:p>
    <w:p w:rsidR="00A3278A" w:rsidRPr="00882F11" w:rsidRDefault="00EF1F93" w:rsidP="00EF1F93">
      <w:pPr>
        <w:tabs>
          <w:tab w:val="right" w:pos="7497"/>
        </w:tabs>
        <w:bidi/>
        <w:jc w:val="both"/>
        <w:rPr>
          <w:rFonts w:cs="Guttman Drogolin"/>
          <w:rtl/>
          <w:lang w:bidi="he-IL"/>
        </w:rPr>
      </w:pPr>
      <w:r w:rsidRPr="00882F11">
        <w:rPr>
          <w:rFonts w:cs="Guttman Drogolin" w:hint="cs"/>
          <w:rtl/>
          <w:lang w:bidi="he-IL"/>
        </w:rPr>
        <w:t>ובמג"א וכן באלי' זוטא כאן האריכו</w:t>
      </w:r>
      <w:r w:rsidR="00A3278A" w:rsidRPr="00882F11">
        <w:rPr>
          <w:rFonts w:cs="Guttman Drogolin" w:hint="cs"/>
          <w:rtl/>
          <w:lang w:bidi="he-IL"/>
        </w:rPr>
        <w:t xml:space="preserve"> לדחות דברי הנקוה"כ. המג"א בס"ק מ' העיר עליו שבמרדכי מבואר שהטעם להחמיר ביבש ביבש משום שאין </w:t>
      </w:r>
      <w:r w:rsidR="00A3278A" w:rsidRPr="00882F11">
        <w:rPr>
          <w:rFonts w:cs="Guttman Drogolin" w:hint="cs"/>
          <w:rtl/>
          <w:lang w:bidi="he-IL"/>
        </w:rPr>
        <w:lastRenderedPageBreak/>
        <w:t>לחלק בינו ללח בלח ולא כסברת הנקוה"כ, והש"ך עצמו הביא דרי המרדכי בסי' ק"ב ס"ק י"ג. ובאליהו זוטא ס"ק ט"ז העיר שהלבוש עצמו כן כתב הטעם להחמיר ביבש ביבש משום דלא בדילי אינשי מיני', וכן השו"ע בסע' ב' מדוקדק דלא קיי"ל כטעם דהוי דשיל"מ.</w:t>
      </w:r>
    </w:p>
    <w:p w:rsidR="00C352F9" w:rsidRPr="00882F11" w:rsidRDefault="00A3278A" w:rsidP="002858D5">
      <w:pPr>
        <w:tabs>
          <w:tab w:val="right" w:pos="7497"/>
        </w:tabs>
        <w:bidi/>
        <w:jc w:val="both"/>
        <w:rPr>
          <w:rFonts w:cs="Guttman Drogolin"/>
          <w:rtl/>
          <w:lang w:bidi="he-IL"/>
        </w:rPr>
      </w:pPr>
      <w:r w:rsidRPr="00882F11">
        <w:rPr>
          <w:rFonts w:cs="Guttman Drogolin" w:hint="cs"/>
          <w:rtl/>
          <w:lang w:bidi="he-IL"/>
        </w:rPr>
        <w:t xml:space="preserve">ומשו"ה נקט </w:t>
      </w:r>
      <w:r w:rsidR="002858D5" w:rsidRPr="00882F11">
        <w:rPr>
          <w:rFonts w:cs="Guttman Drogolin" w:hint="cs"/>
          <w:rtl/>
          <w:lang w:bidi="he-IL"/>
        </w:rPr>
        <w:t>הא"ז</w:t>
      </w:r>
      <w:r w:rsidRPr="00882F11">
        <w:rPr>
          <w:rFonts w:cs="Guttman Drogolin" w:hint="cs"/>
          <w:rtl/>
          <w:lang w:bidi="he-IL"/>
        </w:rPr>
        <w:t xml:space="preserve"> תי' אחר ביישוב הסתירה בלבוש. והוא דכיון שיש מקילין לומר שבעלמעא יבש ביבש ג"כ בטל ברוב, יש לסמוך להקל כוותייהו כשהחתיכה האסורה ג"כ אינה אסורה אלא באיסור משהו דרבנן</w:t>
      </w:r>
      <w:r w:rsidRPr="00882F11">
        <w:rPr>
          <w:rStyle w:val="FootnoteReference"/>
          <w:rFonts w:cs="Guttman Drogolin"/>
          <w:rtl/>
          <w:lang w:bidi="he-IL"/>
        </w:rPr>
        <w:footnoteReference w:id="442"/>
      </w:r>
      <w:r w:rsidRPr="00882F11">
        <w:rPr>
          <w:rFonts w:cs="Guttman Drogolin" w:hint="cs"/>
          <w:rtl/>
          <w:lang w:bidi="he-IL"/>
        </w:rPr>
        <w:t xml:space="preserve">.    </w:t>
      </w:r>
      <w:r w:rsidR="00EF1F93" w:rsidRPr="00882F11">
        <w:rPr>
          <w:rFonts w:cs="Guttman Drogolin" w:hint="cs"/>
          <w:rtl/>
          <w:lang w:bidi="he-IL"/>
        </w:rPr>
        <w:t xml:space="preserve"> </w:t>
      </w:r>
      <w:r w:rsidR="00D53112" w:rsidRPr="00882F11">
        <w:rPr>
          <w:rFonts w:cs="Guttman Drogolin" w:hint="cs"/>
          <w:rtl/>
          <w:lang w:bidi="he-IL"/>
        </w:rPr>
        <w:t xml:space="preserve">  </w:t>
      </w:r>
    </w:p>
    <w:p w:rsidR="002858D5" w:rsidRPr="00882F11" w:rsidRDefault="002858D5" w:rsidP="002858D5">
      <w:pPr>
        <w:pStyle w:val="Heading1"/>
        <w:bidi/>
        <w:spacing w:before="0" w:line="360" w:lineRule="auto"/>
        <w:jc w:val="center"/>
        <w:rPr>
          <w:rFonts w:cs="Guttman Drogolin"/>
          <w:color w:val="auto"/>
          <w:sz w:val="24"/>
          <w:szCs w:val="24"/>
          <w:u w:val="single"/>
          <w:rtl/>
          <w:lang w:bidi="he-IL"/>
        </w:rPr>
      </w:pPr>
      <w:bookmarkStart w:id="466" w:name="_Toc496175713"/>
      <w:r w:rsidRPr="00882F11">
        <w:rPr>
          <w:rFonts w:cs="Guttman Drogolin" w:hint="cs"/>
          <w:color w:val="auto"/>
          <w:sz w:val="24"/>
          <w:szCs w:val="24"/>
          <w:u w:val="single"/>
          <w:rtl/>
          <w:lang w:bidi="he-IL"/>
        </w:rPr>
        <w:t>בדין נטל"פ בפסח</w:t>
      </w:r>
      <w:bookmarkEnd w:id="466"/>
    </w:p>
    <w:p w:rsidR="006C0CC5" w:rsidRPr="00882F11" w:rsidRDefault="00007B0B" w:rsidP="002858D5">
      <w:pPr>
        <w:tabs>
          <w:tab w:val="right" w:pos="7497"/>
        </w:tabs>
        <w:bidi/>
        <w:jc w:val="both"/>
        <w:rPr>
          <w:rFonts w:cs="Guttman Drogolin"/>
          <w:rtl/>
          <w:lang w:bidi="he-IL"/>
        </w:rPr>
      </w:pPr>
      <w:r>
        <w:rPr>
          <w:rFonts w:cs="Guttman Drogolin"/>
          <w:rtl/>
          <w:lang w:bidi="he-IL"/>
        </w:rPr>
        <w:fldChar w:fldCharType="begin"/>
      </w:r>
      <w:r>
        <w:instrText xml:space="preserve"> XE "</w:instrText>
      </w:r>
      <w:r w:rsidRPr="007032BC">
        <w:rPr>
          <w:rFonts w:hint="cs"/>
          <w:rtl/>
          <w:lang w:bidi="he-IL"/>
        </w:rPr>
        <w:instrText>תערובת חמץ</w:instrText>
      </w:r>
      <w:r w:rsidRPr="007032BC">
        <w:rPr>
          <w:rtl/>
        </w:rPr>
        <w:instrText>:</w:instrText>
      </w:r>
      <w:r w:rsidRPr="007032BC">
        <w:rPr>
          <w:rFonts w:hint="cs"/>
          <w:rtl/>
          <w:lang w:bidi="he-IL"/>
        </w:rPr>
        <w:instrText>נטל</w:instrText>
      </w:r>
      <w:r>
        <w:rPr>
          <w:rFonts w:eastAsiaTheme="minorEastAsia"/>
          <w:lang w:bidi="he-IL"/>
        </w:rPr>
        <w:instrText>\</w:instrText>
      </w:r>
      <w:r w:rsidRPr="007032BC">
        <w:rPr>
          <w:rFonts w:hint="cs"/>
          <w:rtl/>
          <w:lang w:bidi="he-IL"/>
        </w:rPr>
        <w:instrText>"פ</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4D2B22">
        <w:rPr>
          <w:rFonts w:hint="cs"/>
          <w:rtl/>
          <w:lang w:bidi="he-IL"/>
        </w:rPr>
        <w:instrText>נותן טעם לפגם</w:instrText>
      </w:r>
      <w:r w:rsidRPr="004D2B22">
        <w:rPr>
          <w:rtl/>
        </w:rPr>
        <w:instrText>:</w:instrText>
      </w:r>
      <w:r w:rsidRPr="004D2B22">
        <w:rPr>
          <w:rFonts w:hint="cs"/>
          <w:rtl/>
          <w:lang w:bidi="he-IL"/>
        </w:rPr>
        <w:instrText>בתערובת חמץ</w:instrText>
      </w:r>
      <w:r>
        <w:instrText xml:space="preserve">" </w:instrText>
      </w:r>
      <w:r>
        <w:rPr>
          <w:rFonts w:cs="Guttman Drogolin"/>
          <w:rtl/>
          <w:lang w:bidi="he-IL"/>
        </w:rPr>
        <w:fldChar w:fldCharType="end"/>
      </w:r>
      <w:r w:rsidR="002858D5" w:rsidRPr="00882F11">
        <w:rPr>
          <w:rFonts w:cs="Guttman Drogolin" w:hint="cs"/>
          <w:rtl/>
          <w:lang w:bidi="he-IL"/>
        </w:rPr>
        <w:t>נחלקו המחבר והרמ"א אם יש להחמיר בחמץ בפסח בנטל"פ או לא, שהמחבר מיקל והרמ"א כתב דנוהגים להחמיר במדינות אלו. וע' במג"א ס"ק מ"א המיקל לא מפסיד והמחמיר תע"ב, וכן פסק במ"ב. ויל"ע אם מנהג זה הוא אפילו בשאר איסורים שאיסורם במשהו</w:t>
      </w:r>
      <w:r w:rsidR="006C0CC5" w:rsidRPr="00882F11">
        <w:rPr>
          <w:rFonts w:cs="Guttman Drogolin" w:hint="cs"/>
          <w:rtl/>
          <w:lang w:bidi="he-IL"/>
        </w:rPr>
        <w:t>, דהא מדינא אין לחלק ביניהם,</w:t>
      </w:r>
      <w:r w:rsidR="002858D5" w:rsidRPr="00882F11">
        <w:rPr>
          <w:rFonts w:cs="Guttman Drogolin" w:hint="cs"/>
          <w:rtl/>
          <w:lang w:bidi="he-IL"/>
        </w:rPr>
        <w:t xml:space="preserve"> או"ד שהוא מנהג שנהגו דוקא משום חומרא דחמץ.</w:t>
      </w:r>
    </w:p>
    <w:p w:rsidR="0050029E" w:rsidRPr="00882F11" w:rsidRDefault="006C0CC5" w:rsidP="00735609">
      <w:pPr>
        <w:tabs>
          <w:tab w:val="right" w:pos="7497"/>
        </w:tabs>
        <w:bidi/>
        <w:jc w:val="both"/>
        <w:rPr>
          <w:rFonts w:cs="Guttman Drogolin"/>
          <w:rtl/>
          <w:lang w:bidi="he-IL"/>
        </w:rPr>
      </w:pPr>
      <w:r w:rsidRPr="00882F11">
        <w:rPr>
          <w:rFonts w:cs="Guttman Drogolin" w:hint="cs"/>
          <w:rtl/>
          <w:lang w:bidi="he-IL"/>
        </w:rPr>
        <w:t>ויש בדברי המ"ב כמה הערות.</w:t>
      </w:r>
      <w:r w:rsidR="00B07EA9" w:rsidRPr="00882F11">
        <w:rPr>
          <w:rFonts w:cs="Guttman Drogolin" w:hint="cs"/>
          <w:rtl/>
          <w:lang w:bidi="he-IL"/>
        </w:rPr>
        <w:t xml:space="preserve"> הערה קטנה יש במש"כ בסס"ק צ"ו "</w:t>
      </w:r>
      <w:r w:rsidR="00B07EA9" w:rsidRPr="00882F11">
        <w:rPr>
          <w:rFonts w:cs="Guttman Drogolin"/>
          <w:rtl/>
          <w:lang w:bidi="he-IL"/>
        </w:rPr>
        <w:t>והנה כ"ז הוא לענין התערובות אבל לענין החמץ עצמו מבואר לעיל בסימן תמ"ב ס"ט ע"ש במ"ב</w:t>
      </w:r>
      <w:r w:rsidR="00B07EA9" w:rsidRPr="00882F11">
        <w:rPr>
          <w:rFonts w:cs="Guttman Drogolin" w:hint="cs"/>
          <w:rtl/>
          <w:lang w:bidi="he-IL"/>
        </w:rPr>
        <w:t xml:space="preserve">". ולכאורה כוונתו שאמנם יש כאן נטל"פ, אבל מ"מ אין החמץ סרוח לגמרי וכמש"כ הרשב"א והר"ן בסוגיא דנטל"פ, ולכן הטעם חמץ כשלעצמו אינו סרוח עד כדי כך שיהא חשוב חרכו קודם זמנו, רק שמ"מ אינו אוסר משום שפוגם את טעם התבשיל. ובזה קאמר המ"ב דהנ"מ בתוך תבשיל, אבל אם הוא בעינו עדיין באיסורו עומד אא"כ הוא סרוח לגמרי וכמש"כ שם בסי' תמ"ב. </w:t>
      </w:r>
    </w:p>
    <w:p w:rsidR="00056227" w:rsidRPr="00882F11" w:rsidRDefault="00735609" w:rsidP="00735609">
      <w:pPr>
        <w:tabs>
          <w:tab w:val="right" w:pos="7497"/>
        </w:tabs>
        <w:bidi/>
        <w:jc w:val="both"/>
        <w:rPr>
          <w:rFonts w:cs="Guttman Drogolin"/>
          <w:rtl/>
          <w:lang w:bidi="he-IL"/>
        </w:rPr>
      </w:pPr>
      <w:r w:rsidRPr="00882F11">
        <w:rPr>
          <w:rFonts w:cs="Guttman Drogolin" w:hint="cs"/>
          <w:rtl/>
          <w:lang w:bidi="he-IL"/>
        </w:rPr>
        <w:lastRenderedPageBreak/>
        <w:t>עוד יש להעיר מלשון הרמ"א "</w:t>
      </w:r>
      <w:r w:rsidRPr="00882F11">
        <w:rPr>
          <w:rFonts w:cs="Guttman Drogolin"/>
          <w:rtl/>
          <w:lang w:bidi="he-IL"/>
        </w:rPr>
        <w:t>ובמקום שיש מנהג להחמיר אפילו משהו ונותן טעם לפגם אסור</w:t>
      </w:r>
      <w:r w:rsidRPr="00882F11">
        <w:rPr>
          <w:rFonts w:cs="Guttman Drogolin" w:hint="cs"/>
          <w:rtl/>
          <w:lang w:bidi="he-IL"/>
        </w:rPr>
        <w:t>" דמשמע מלשון זה שיש חידוש נוסף במה שאנחנו אוסרים נטל"פ כשהאיסור הוא במשהו יותר ממה שאנחנו אוסרים נטל"פ כשאין ס כנגדו. והדבר בולט יותר מדברי המ"ב בסס"ק ק' ממש"ז ס"ק י"א, דשם כתב שאם אינו אלא משהו והוא נטל"פ בשמיני של פסח שאינו אלא מדרבנן אפשר להקל, דכיון דאיכא תרתי לטיבותא לל"ב. ולכאורה הדברים צ"ע, דהא אומרים כמה אחרונים, ובכללם הפמ"ג</w:t>
      </w:r>
      <w:r w:rsidR="007615DD" w:rsidRPr="00882F11">
        <w:rPr>
          <w:rFonts w:cs="Guttman Drogolin" w:hint="cs"/>
          <w:rtl/>
          <w:lang w:bidi="he-IL"/>
        </w:rPr>
        <w:t xml:space="preserve"> (מש"ז סי' ק"ג ס"ק א')</w:t>
      </w:r>
      <w:r w:rsidRPr="00882F11">
        <w:rPr>
          <w:rFonts w:cs="Guttman Drogolin" w:hint="cs"/>
          <w:rtl/>
          <w:lang w:bidi="he-IL"/>
        </w:rPr>
        <w:t>, שטעם המחמירים בנטל"פ משום שהדין נטל"פ אינו מוריד אלא הדין של טכ"ע, אבל עדיין יש חפצא דאיסורא שצריך ביטול, ובאלו האוסרים תערובתן במשהו הא ליתי' להיתירא דביטול ברוב ולכן הוא אסור. וא"כ לכאורה צ"ע מה יתן לך ומה יוסיף לך זה שיש או אין שיעור ששים, שהרי כל השיעור ששים הוא משום שכשיש ס' הרי איכא נתינת טעם</w:t>
      </w:r>
      <w:r w:rsidR="00056227" w:rsidRPr="00882F11">
        <w:rPr>
          <w:rFonts w:cs="Guttman Drogolin" w:hint="cs"/>
          <w:rtl/>
          <w:lang w:bidi="he-IL"/>
        </w:rPr>
        <w:t>, והכא הרי אינו אוסר משום נתינת טעם כיון שהוא נטל"פ, וכל הטעם שהוא באיסורו משום שאינו בטל בשום שיעור, וא"כ איזה תוספת קולא יש בזה שיש שיעור פחות מס'.</w:t>
      </w:r>
    </w:p>
    <w:p w:rsidR="00735609" w:rsidRPr="00882F11" w:rsidRDefault="00056227" w:rsidP="00EF430A">
      <w:pPr>
        <w:tabs>
          <w:tab w:val="right" w:pos="7497"/>
        </w:tabs>
        <w:bidi/>
        <w:jc w:val="both"/>
        <w:rPr>
          <w:rFonts w:cs="Guttman Drogolin"/>
          <w:rtl/>
        </w:rPr>
      </w:pPr>
      <w:r w:rsidRPr="00882F11">
        <w:rPr>
          <w:rFonts w:cs="Guttman Drogolin" w:hint="cs"/>
          <w:rtl/>
          <w:lang w:bidi="he-IL"/>
        </w:rPr>
        <w:t>ולכאורה התשובה מונחת בעצם דברי התוס' המובא במ"ב כאן בביאור השיטה דנטל"פ אוסר כשהאיסור הוא במשהו "</w:t>
      </w:r>
      <w:r w:rsidRPr="00882F11">
        <w:rPr>
          <w:rFonts w:cs="Guttman Drogolin"/>
          <w:rtl/>
          <w:lang w:bidi="he-IL"/>
        </w:rPr>
        <w:t>דהא אין לך ביטול טעם יותר ממשהו באלף ואפ"ה אסרו חכמים בפסח וה"ה נמי נותן טעם לפגם בפסח אסור באכילה</w:t>
      </w:r>
      <w:r w:rsidRPr="00882F11">
        <w:rPr>
          <w:rFonts w:cs="Guttman Drogolin" w:hint="cs"/>
          <w:rtl/>
          <w:lang w:bidi="he-IL"/>
        </w:rPr>
        <w:t xml:space="preserve">". ור"ל שהטעם לאסור באיסור משהו משום שהחמירו אפילו בכה"ג שהטעם שבה הוא טעם בטל, ולא שהחפצא דאיסורא עצמה בטילה. והיינו שלולא הדין של טכ"ע הי' צריך להיות הדין שהטעם איסור בטל ברוב (לשיטת הרשב"א), אבל הטעם שבו אינה מניחה אותו להתבטל. ובזה אמרינן דרק טעם המורגש אינו מניח אותו להיות בטל, אבל כשהטעם אינו מורגש חזר דינו להיות בטל. ויש לך אחרת שהיא כזו והוא בכה"ג שאמנם הטעם מורגש אבל היא לפגם, שגם זה אין לו המעלה של טעם המונע את הביטול. והנ"מ בדבר </w:t>
      </w:r>
      <w:r w:rsidRPr="00882F11">
        <w:rPr>
          <w:rFonts w:cs="Guttman Drogolin" w:hint="cs"/>
          <w:rtl/>
          <w:lang w:bidi="he-IL"/>
        </w:rPr>
        <w:lastRenderedPageBreak/>
        <w:t xml:space="preserve">שאין איסורו במשהו, אבל דבר שאיסורו במשהו </w:t>
      </w:r>
      <w:r w:rsidR="00C65061" w:rsidRPr="00882F11">
        <w:rPr>
          <w:rFonts w:cs="Guttman Drogolin" w:hint="cs"/>
          <w:rtl/>
          <w:lang w:bidi="he-IL"/>
        </w:rPr>
        <w:t>ע"כ</w:t>
      </w:r>
      <w:r w:rsidRPr="00882F11">
        <w:rPr>
          <w:rFonts w:cs="Guttman Drogolin" w:hint="cs"/>
          <w:rtl/>
          <w:lang w:bidi="he-IL"/>
        </w:rPr>
        <w:t xml:space="preserve"> גם טעם קלוש יש לו חשיבות המונע</w:t>
      </w:r>
      <w:r w:rsidR="00C65061" w:rsidRPr="00882F11">
        <w:rPr>
          <w:rFonts w:cs="Guttman Drogolin" w:hint="cs"/>
          <w:rtl/>
          <w:lang w:bidi="he-IL"/>
        </w:rPr>
        <w:t>ת</w:t>
      </w:r>
      <w:r w:rsidRPr="00882F11">
        <w:rPr>
          <w:rFonts w:cs="Guttman Drogolin" w:hint="cs"/>
          <w:rtl/>
          <w:lang w:bidi="he-IL"/>
        </w:rPr>
        <w:t xml:space="preserve"> את הביטול</w:t>
      </w:r>
      <w:r w:rsidR="00C65061" w:rsidRPr="00882F11">
        <w:rPr>
          <w:rFonts w:cs="Guttman Drogolin" w:hint="cs"/>
          <w:rtl/>
          <w:lang w:bidi="he-IL"/>
        </w:rPr>
        <w:t xml:space="preserve">. וע' בלשון תוס' הרא"ש במס' פסחים ל' ע"א </w:t>
      </w:r>
      <w:r w:rsidR="001C67AF" w:rsidRPr="00882F11">
        <w:rPr>
          <w:rFonts w:cs="Guttman Drogolin" w:hint="cs"/>
          <w:rtl/>
          <w:lang w:bidi="he-IL"/>
        </w:rPr>
        <w:t xml:space="preserve">"דהיכא דשאר איסורין בנ"ט חמץ משום דלא בדילי אינשי מיניה </w:t>
      </w:r>
      <w:r w:rsidR="001C67AF" w:rsidRPr="00882F11">
        <w:rPr>
          <w:rFonts w:cs="Guttman Drogolin" w:hint="cs"/>
          <w:i/>
          <w:iCs/>
          <w:rtl/>
          <w:lang w:bidi="he-IL"/>
        </w:rPr>
        <w:t>עשו משהו שלו כנתינת טעם</w:t>
      </w:r>
      <w:r w:rsidR="001C67AF" w:rsidRPr="00882F11">
        <w:rPr>
          <w:rFonts w:cs="Guttman Drogolin" w:hint="cs"/>
          <w:rtl/>
          <w:lang w:bidi="he-IL"/>
        </w:rPr>
        <w:t xml:space="preserve"> בשאר איסורין"</w:t>
      </w:r>
      <w:r w:rsidR="001C67AF" w:rsidRPr="00882F11">
        <w:rPr>
          <w:rStyle w:val="FootnoteReference"/>
          <w:rFonts w:cs="Guttman Drogolin"/>
          <w:rtl/>
          <w:lang w:bidi="he-IL"/>
        </w:rPr>
        <w:footnoteReference w:id="443"/>
      </w:r>
      <w:r w:rsidR="007615DD" w:rsidRPr="00882F11">
        <w:rPr>
          <w:rFonts w:cs="Guttman Drogolin" w:hint="cs"/>
          <w:rtl/>
          <w:lang w:bidi="he-IL"/>
        </w:rPr>
        <w:t>. ובזה סוברים התוס' בדעת המ</w:t>
      </w:r>
      <w:r w:rsidR="00EF430A">
        <w:rPr>
          <w:rFonts w:cs="Guttman Drogolin" w:hint="cs"/>
          <w:rtl/>
          <w:lang w:bidi="he-IL"/>
        </w:rPr>
        <w:t>ת</w:t>
      </w:r>
      <w:r w:rsidR="007615DD" w:rsidRPr="00882F11">
        <w:rPr>
          <w:rFonts w:cs="Guttman Drogolin" w:hint="cs"/>
          <w:rtl/>
          <w:lang w:bidi="he-IL"/>
        </w:rPr>
        <w:t>ירים בנטל"פ שהדברים ק"ו, דמה במקום שאין הטעם מורגש כלל מ"מ נתנו לו חשיבות של דבר הנו</w:t>
      </w:r>
      <w:r w:rsidR="00EF430A">
        <w:rPr>
          <w:rFonts w:cs="Guttman Drogolin" w:hint="cs"/>
          <w:rtl/>
          <w:lang w:bidi="he-IL"/>
        </w:rPr>
        <w:t>ת</w:t>
      </w:r>
      <w:r w:rsidR="007615DD" w:rsidRPr="00882F11">
        <w:rPr>
          <w:rFonts w:cs="Guttman Drogolin" w:hint="cs"/>
          <w:rtl/>
          <w:lang w:bidi="he-IL"/>
        </w:rPr>
        <w:t>ן טעם ואינו בטל, כ"ש בטעם שהוא מורגש רק שהוא לפגם שיהא לו חשיבות זה וא</w:t>
      </w:r>
      <w:r w:rsidR="00EF430A">
        <w:rPr>
          <w:rFonts w:cs="Guttman Drogolin" w:hint="cs"/>
          <w:rtl/>
          <w:lang w:bidi="he-IL"/>
        </w:rPr>
        <w:t>י</w:t>
      </w:r>
      <w:r w:rsidR="007615DD" w:rsidRPr="00882F11">
        <w:rPr>
          <w:rFonts w:cs="Guttman Drogolin" w:hint="cs"/>
          <w:rtl/>
          <w:lang w:bidi="he-IL"/>
        </w:rPr>
        <w:t>נו בטל. ולפי זה סבר הפמ"ג דהנ"מ כשהוא לפחות א' מהשתים, דהיינו או מורגש או לשבח, אבל אם הוא גם אינו מורגש וגם טעמו לפגם, י"ל שכולי האי לא החמירו.</w:t>
      </w:r>
      <w:r w:rsidR="001C67AF" w:rsidRPr="00882F11">
        <w:rPr>
          <w:rFonts w:cs="Guttman Drogolin" w:hint="cs"/>
          <w:rtl/>
          <w:lang w:bidi="he-IL"/>
        </w:rPr>
        <w:t xml:space="preserve"> </w:t>
      </w:r>
      <w:r w:rsidR="00C65061" w:rsidRPr="00882F11">
        <w:rPr>
          <w:rFonts w:cs="Guttman Drogolin" w:hint="cs"/>
          <w:rtl/>
          <w:lang w:bidi="he-IL"/>
        </w:rPr>
        <w:t xml:space="preserve"> </w:t>
      </w:r>
      <w:r w:rsidRPr="00882F11">
        <w:rPr>
          <w:rFonts w:cs="Guttman Drogolin" w:hint="cs"/>
          <w:rtl/>
          <w:lang w:bidi="he-IL"/>
        </w:rPr>
        <w:t xml:space="preserve">    </w:t>
      </w:r>
      <w:r w:rsidRPr="00882F11">
        <w:rPr>
          <w:rFonts w:cs="Guttman Drogolin"/>
          <w:rtl/>
          <w:lang w:bidi="he-IL"/>
        </w:rPr>
        <w:t xml:space="preserve"> </w:t>
      </w:r>
      <w:r w:rsidR="00735609" w:rsidRPr="00882F11">
        <w:rPr>
          <w:rFonts w:cs="Guttman Drogolin" w:hint="cs"/>
          <w:rtl/>
          <w:lang w:bidi="he-IL"/>
        </w:rPr>
        <w:t xml:space="preserve">  </w:t>
      </w:r>
    </w:p>
    <w:p w:rsidR="007615DD" w:rsidRPr="00882F11" w:rsidRDefault="007615DD" w:rsidP="007615DD">
      <w:pPr>
        <w:pStyle w:val="Heading1"/>
        <w:bidi/>
        <w:spacing w:before="0" w:line="360" w:lineRule="auto"/>
        <w:jc w:val="center"/>
        <w:rPr>
          <w:rFonts w:cs="Guttman Drogolin"/>
          <w:color w:val="auto"/>
          <w:sz w:val="24"/>
          <w:szCs w:val="24"/>
          <w:u w:val="single"/>
          <w:rtl/>
          <w:lang w:bidi="he-IL"/>
        </w:rPr>
      </w:pPr>
      <w:bookmarkStart w:id="467" w:name="_Toc496175714"/>
      <w:r w:rsidRPr="00882F11">
        <w:rPr>
          <w:rFonts w:cs="Guttman Drogolin" w:hint="cs"/>
          <w:color w:val="auto"/>
          <w:sz w:val="24"/>
          <w:szCs w:val="24"/>
          <w:u w:val="single"/>
          <w:rtl/>
          <w:lang w:bidi="he-IL"/>
        </w:rPr>
        <w:t>בדין חמץ שעבר עליו הפסח</w:t>
      </w:r>
      <w:bookmarkEnd w:id="467"/>
    </w:p>
    <w:p w:rsidR="003A2FB4" w:rsidRPr="00882F11" w:rsidRDefault="00007B0B" w:rsidP="00C71088">
      <w:pPr>
        <w:tabs>
          <w:tab w:val="right" w:pos="7497"/>
        </w:tabs>
        <w:bidi/>
        <w:jc w:val="both"/>
        <w:rPr>
          <w:rFonts w:cs="Guttman Drogolin"/>
          <w:rtl/>
          <w:lang w:bidi="he-IL"/>
        </w:rPr>
      </w:pPr>
      <w:r>
        <w:rPr>
          <w:rFonts w:cs="Guttman Drogolin"/>
          <w:rtl/>
          <w:lang w:bidi="he-IL"/>
        </w:rPr>
        <w:fldChar w:fldCharType="begin"/>
      </w:r>
      <w:r>
        <w:instrText xml:space="preserve"> XE "</w:instrText>
      </w:r>
      <w:r w:rsidRPr="00866B4D">
        <w:rPr>
          <w:rFonts w:hint="cs"/>
          <w:rtl/>
          <w:lang w:bidi="he-IL"/>
        </w:rPr>
        <w:instrText>חמץ</w:instrText>
      </w:r>
      <w:r w:rsidRPr="00866B4D">
        <w:rPr>
          <w:rtl/>
          <w:lang w:bidi="he-IL"/>
        </w:rPr>
        <w:instrText xml:space="preserve"> </w:instrText>
      </w:r>
      <w:r w:rsidRPr="00866B4D">
        <w:rPr>
          <w:rFonts w:hint="cs"/>
          <w:rtl/>
          <w:lang w:bidi="he-IL"/>
        </w:rPr>
        <w:instrText>בפסח</w:instrText>
      </w:r>
      <w:r>
        <w:instrText>" \t "</w:instrText>
      </w:r>
      <w:r w:rsidRPr="002079EA">
        <w:rPr>
          <w:rFonts w:hint="cs"/>
          <w:i/>
          <w:rtl/>
          <w:lang w:bidi="he-IL"/>
        </w:rPr>
        <w:instrText>ע</w:instrText>
      </w:r>
      <w:r w:rsidRPr="002079EA">
        <w:rPr>
          <w:i/>
          <w:rtl/>
          <w:lang w:bidi="he-IL"/>
        </w:rPr>
        <w:instrText xml:space="preserve">' </w:instrText>
      </w:r>
      <w:r w:rsidRPr="002079EA">
        <w:rPr>
          <w:rFonts w:hint="cs"/>
          <w:i/>
          <w:rtl/>
          <w:lang w:bidi="he-IL"/>
        </w:rPr>
        <w:instrText>תערובת</w:instrText>
      </w:r>
      <w:r w:rsidRPr="002079EA">
        <w:rPr>
          <w:i/>
          <w:rtl/>
          <w:lang w:bidi="he-IL"/>
        </w:rPr>
        <w:instrText xml:space="preserve"> </w:instrText>
      </w:r>
      <w:r w:rsidRPr="002079EA">
        <w:rPr>
          <w:rFonts w:hint="cs"/>
          <w:i/>
          <w:rtl/>
          <w:lang w:bidi="he-IL"/>
        </w:rPr>
        <w:instrText>חמץ</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8B230B">
        <w:rPr>
          <w:rFonts w:hint="cs"/>
          <w:rtl/>
          <w:lang w:bidi="he-IL"/>
        </w:rPr>
        <w:instrText>חמץ בפסח</w:instrText>
      </w:r>
      <w:r w:rsidRPr="008B230B">
        <w:rPr>
          <w:rtl/>
        </w:rPr>
        <w:instrText>:</w:instrText>
      </w:r>
      <w:r w:rsidRPr="008B230B">
        <w:rPr>
          <w:rFonts w:hint="cs"/>
          <w:rtl/>
          <w:lang w:bidi="he-IL"/>
        </w:rPr>
        <w:instrText>חמץ שעבר עליו הפסח</w:instrText>
      </w:r>
      <w:r>
        <w:instrText xml:space="preserve">" </w:instrText>
      </w:r>
      <w:r>
        <w:rPr>
          <w:rFonts w:cs="Guttman Drogolin"/>
          <w:rtl/>
          <w:lang w:bidi="he-IL"/>
        </w:rPr>
        <w:fldChar w:fldCharType="end"/>
      </w:r>
      <w:r w:rsidR="007615DD" w:rsidRPr="00882F11">
        <w:rPr>
          <w:rFonts w:cs="Guttman Drogolin" w:hint="cs"/>
          <w:rtl/>
          <w:lang w:bidi="he-IL"/>
        </w:rPr>
        <w:t>קיי"ל כרבא דסבר שאפילו לר"ש שחמץ שעבר עליו הפסח אינו אסור מדאורייתא, מ"מ אם עבר על בל יראה אסרוהו באכילה ובהנאה.</w:t>
      </w:r>
      <w:r w:rsidR="004F39AB" w:rsidRPr="00882F11">
        <w:rPr>
          <w:rFonts w:cs="Guttman Drogolin" w:hint="cs"/>
          <w:rtl/>
          <w:lang w:bidi="he-IL"/>
        </w:rPr>
        <w:t xml:space="preserve"> </w:t>
      </w:r>
      <w:r w:rsidR="00C71088" w:rsidRPr="00882F11">
        <w:rPr>
          <w:rFonts w:cs="Guttman Drogolin" w:hint="cs"/>
          <w:rtl/>
          <w:lang w:bidi="he-IL"/>
        </w:rPr>
        <w:t xml:space="preserve">וקנס זה קנסו גם לאחרים וכמו שהוכיח הר"ן שם במס' פסחים. </w:t>
      </w:r>
      <w:r w:rsidR="004F39AB" w:rsidRPr="00882F11">
        <w:rPr>
          <w:rFonts w:cs="Guttman Drogolin" w:hint="cs"/>
          <w:rtl/>
          <w:lang w:bidi="he-IL"/>
        </w:rPr>
        <w:t>ו</w:t>
      </w:r>
      <w:r w:rsidR="003A2FB4" w:rsidRPr="00882F11">
        <w:rPr>
          <w:rFonts w:cs="Guttman Drogolin" w:hint="cs"/>
          <w:rtl/>
          <w:lang w:bidi="he-IL"/>
        </w:rPr>
        <w:t xml:space="preserve">מדויק בשו"ע, וכן הוא בהדיא במג"א </w:t>
      </w:r>
      <w:r w:rsidR="004F39AB" w:rsidRPr="00882F11">
        <w:rPr>
          <w:rFonts w:cs="Guttman Drogolin" w:hint="cs"/>
          <w:rtl/>
          <w:lang w:bidi="he-IL"/>
        </w:rPr>
        <w:t xml:space="preserve">בבאר היטב </w:t>
      </w:r>
      <w:r w:rsidR="003A2FB4" w:rsidRPr="00882F11">
        <w:rPr>
          <w:rFonts w:cs="Guttman Drogolin" w:hint="cs"/>
          <w:rtl/>
          <w:lang w:bidi="he-IL"/>
        </w:rPr>
        <w:t xml:space="preserve">כאן וכן בחק יעקב לעיל בסי' תמ"ב ס"ק א' </w:t>
      </w:r>
      <w:r w:rsidR="004F39AB" w:rsidRPr="00882F11">
        <w:rPr>
          <w:rFonts w:cs="Guttman Drogolin" w:hint="cs"/>
          <w:rtl/>
          <w:lang w:bidi="he-IL"/>
        </w:rPr>
        <w:t xml:space="preserve">שלא קנסו אלא על חמץ שעוברים עליו </w:t>
      </w:r>
      <w:r w:rsidR="003A2FB4" w:rsidRPr="00882F11">
        <w:rPr>
          <w:rFonts w:cs="Guttman Drogolin" w:hint="cs"/>
          <w:rtl/>
          <w:lang w:bidi="he-IL"/>
        </w:rPr>
        <w:t xml:space="preserve">בבל יראה </w:t>
      </w:r>
      <w:r w:rsidR="004F39AB" w:rsidRPr="00882F11">
        <w:rPr>
          <w:rFonts w:cs="Guttman Drogolin" w:hint="cs"/>
          <w:rtl/>
          <w:lang w:bidi="he-IL"/>
        </w:rPr>
        <w:t>מדאורייתא</w:t>
      </w:r>
      <w:r w:rsidR="003A2FB4" w:rsidRPr="00882F11">
        <w:rPr>
          <w:rFonts w:cs="Guttman Drogolin" w:hint="cs"/>
          <w:rtl/>
          <w:lang w:bidi="he-IL"/>
        </w:rPr>
        <w:t xml:space="preserve">, אבל אם האיסור שהי' אינו אלא מדרבנן, לא קנסו. והנ"מ בכגון תערובת חמץ מין במינו שבטל מדאורייתא, אבל חמץ שביטלו אע"ג שאינו עובר עליו מדאורייתא, מ"מ קנסוהו אם ביטלו ולא ביערו וכדמבואר בסי' תמ"ח סע' ה' ע"פ ירושלמי פ"ב ה"ב והוא משום חשש הערמה (ומ"מ כתב החזו"א בססי' קט"ז שאפילו פירורים דממילא מתבטלי הם בכלל הדין דחמץ שביטלו ולא ביערו אסור לאחר הפסח משום קנס). </w:t>
      </w:r>
    </w:p>
    <w:p w:rsidR="008554D0" w:rsidRPr="00882F11" w:rsidRDefault="003A2FB4" w:rsidP="008554D0">
      <w:pPr>
        <w:tabs>
          <w:tab w:val="right" w:pos="7497"/>
        </w:tabs>
        <w:bidi/>
        <w:jc w:val="both"/>
        <w:rPr>
          <w:rFonts w:cs="Guttman Drogolin"/>
          <w:rtl/>
          <w:lang w:bidi="he-IL"/>
        </w:rPr>
      </w:pPr>
      <w:r w:rsidRPr="00882F11">
        <w:rPr>
          <w:rFonts w:cs="Guttman Drogolin" w:hint="cs"/>
          <w:rtl/>
          <w:lang w:bidi="he-IL"/>
        </w:rPr>
        <w:t xml:space="preserve">והנה בחמץ שעבר עליו הפסח לכו"ע לא החמירו לאסרו במשהו, וכמבואר בגמ'. אמנם נחלקו הראשונים אם דינו להתבטל בששים כמו בשר איסורים, או"ד הקילו לומר שהוא מתבטל ברוב אע"ג דאיכא נתיננת טעם. והטור ושו"ע החמירו </w:t>
      </w:r>
      <w:r w:rsidRPr="00882F11">
        <w:rPr>
          <w:rFonts w:cs="Guttman Drogolin" w:hint="cs"/>
          <w:rtl/>
          <w:lang w:bidi="he-IL"/>
        </w:rPr>
        <w:lastRenderedPageBreak/>
        <w:t>לומר שצריך ס', אבל שיטת רש"י ור"ן שאינו צריך אלא רוב, וע' במג"א ס"ק מ"ד שהרבה להחזיק שיטת רש"י והר"ן מסוגיית הגמ'</w:t>
      </w:r>
      <w:r w:rsidR="005822B6" w:rsidRPr="00882F11">
        <w:rPr>
          <w:rFonts w:cs="Guttman Drogolin" w:hint="cs"/>
          <w:rtl/>
          <w:lang w:bidi="he-IL"/>
        </w:rPr>
        <w:t xml:space="preserve">, דהא מדויק בשיטת </w:t>
      </w:r>
      <w:r w:rsidR="008554D0" w:rsidRPr="00882F11">
        <w:rPr>
          <w:rFonts w:cs="Guttman Drogolin" w:hint="cs"/>
          <w:rtl/>
          <w:lang w:bidi="he-IL"/>
        </w:rPr>
        <w:t>ר' יוחנן שאפילו נ"ט מותר לאחר הפסח, ע"ש עוד. ומסקנתו שהמיקל בזה לא הפסיד. וגם המ"ב (ס"ק ק"ה) התחשב בזה רק שלא הקיל אלא בהפסד מרובה או בשעה"ד.</w:t>
      </w:r>
      <w:r w:rsidRPr="00882F11">
        <w:rPr>
          <w:rFonts w:cs="Guttman Drogolin" w:hint="cs"/>
          <w:rtl/>
          <w:lang w:bidi="he-IL"/>
        </w:rPr>
        <w:t xml:space="preserve">  </w:t>
      </w:r>
    </w:p>
    <w:p w:rsidR="00EB34A7" w:rsidRPr="00882F11" w:rsidRDefault="008554D0" w:rsidP="000C18B9">
      <w:pPr>
        <w:tabs>
          <w:tab w:val="right" w:pos="7497"/>
        </w:tabs>
        <w:bidi/>
        <w:jc w:val="both"/>
        <w:rPr>
          <w:rFonts w:cs="Guttman Drogolin"/>
          <w:rtl/>
          <w:lang w:bidi="he-IL"/>
        </w:rPr>
      </w:pPr>
      <w:r w:rsidRPr="00882F11">
        <w:rPr>
          <w:rFonts w:cs="Guttman Drogolin" w:hint="cs"/>
          <w:rtl/>
          <w:lang w:bidi="he-IL"/>
        </w:rPr>
        <w:t xml:space="preserve">והנה יל"ע לפי שיטת הר"ן שחמץ שעבר עליו הפסח בטל ברוב, מה יהא הדין בדאיכא תערובת שיש בה כזית חמץ בכא"פ. </w:t>
      </w:r>
      <w:r w:rsidR="00C71088" w:rsidRPr="00882F11">
        <w:rPr>
          <w:rFonts w:cs="Guttman Drogolin" w:hint="cs"/>
          <w:rtl/>
          <w:lang w:bidi="he-IL"/>
        </w:rPr>
        <w:t>ועל פניו</w:t>
      </w:r>
      <w:r w:rsidR="001A3C20" w:rsidRPr="00882F11">
        <w:rPr>
          <w:rStyle w:val="FootnoteReference"/>
          <w:rFonts w:cs="Guttman Drogolin"/>
          <w:rtl/>
          <w:lang w:bidi="he-IL"/>
        </w:rPr>
        <w:footnoteReference w:id="444"/>
      </w:r>
      <w:r w:rsidR="00C71088" w:rsidRPr="00882F11">
        <w:rPr>
          <w:rFonts w:cs="Guttman Drogolin" w:hint="cs"/>
          <w:rtl/>
          <w:lang w:bidi="he-IL"/>
        </w:rPr>
        <w:t xml:space="preserve"> לכאורה הי' צריך להיות הדין שאמנם עבר על איסור בל יראה וראוי לקנסו, אבל הרי הקנס לא היתה אלא לחמץ בעין ולא בחמץ ע"י תערובת. </w:t>
      </w:r>
      <w:r w:rsidR="00EB34A7" w:rsidRPr="00882F11">
        <w:rPr>
          <w:rFonts w:cs="Guttman Drogolin" w:hint="cs"/>
          <w:rtl/>
          <w:lang w:bidi="he-IL"/>
        </w:rPr>
        <w:t xml:space="preserve">וכן לכאורה משמע מדברי הר"ן כשכתב דחמץ אוסר תערובתו במשהו משום דהוי דשיל"מ, ואע"ג דרבא קנסא קניס, מ"מ הרי ע"י תערובת יהא מותר לאחר הפסח, וכיון שהוא משהו בתערובת הרי הוא דשיל"מ. וע"ש דאע"ג שהר"ן דחה סברא זו, אין זה אלא משום שבדשיל"מ דנים על החפצא דאיסורא בפני עצמה ולא בדינו כשהוא בתערובת. אלא דשם בר"ן מפורש דהא דאמרינן דחמץ שעבר עליו הפסח בטל ברוב, הנ"מ כשהתערב לאחר הפסח, משמע שאם התערב בתוך הפסח באופן שעובר עליו בבל יראה שפיר קנסו גם תערובת. </w:t>
      </w:r>
    </w:p>
    <w:p w:rsidR="001A3C20" w:rsidRPr="00882F11" w:rsidRDefault="00EB34A7" w:rsidP="006F6C98">
      <w:pPr>
        <w:tabs>
          <w:tab w:val="right" w:pos="7497"/>
        </w:tabs>
        <w:bidi/>
        <w:jc w:val="both"/>
        <w:rPr>
          <w:rFonts w:cs="Guttman Drogolin"/>
          <w:rtl/>
          <w:lang w:bidi="he-IL"/>
        </w:rPr>
      </w:pPr>
      <w:r w:rsidRPr="00882F11">
        <w:rPr>
          <w:rFonts w:cs="Guttman Drogolin" w:hint="cs"/>
          <w:rtl/>
          <w:lang w:bidi="he-IL"/>
        </w:rPr>
        <w:t>והנה ע' במג"א ס"ק מ"ג שכתב הטעם שתערובת חמץ שהתערב ביותר מס' בתוך הפסח</w:t>
      </w:r>
      <w:r w:rsidR="003A2FB4" w:rsidRPr="00882F11">
        <w:rPr>
          <w:rFonts w:cs="Guttman Drogolin" w:hint="cs"/>
          <w:rtl/>
          <w:lang w:bidi="he-IL"/>
        </w:rPr>
        <w:t xml:space="preserve"> </w:t>
      </w:r>
      <w:r w:rsidRPr="00882F11">
        <w:rPr>
          <w:rFonts w:cs="Guttman Drogolin" w:hint="cs"/>
          <w:rtl/>
          <w:lang w:bidi="he-IL"/>
        </w:rPr>
        <w:t xml:space="preserve">אינו אסור לאחר הפסח שהוא משום שלא עבר אאיסור שהי' מדרבנן. ודקדק רע"א, דמשמע שרק בגלל שאין איסור שהי' מדרבנן, אבל אילו הי' איסור שהי' מדאורייתא, אע"ג שלאחר הפסח דינו להיות בטל בששים מ"מ התערובת היתה אסורה. והתספק רע"א בטעמו של דבר. או דכיון שעבר על התערובת אמרינן שכל התערובת נהפך להיות </w:t>
      </w:r>
      <w:r w:rsidRPr="00882F11">
        <w:rPr>
          <w:rFonts w:cs="Guttman Drogolin" w:hint="cs"/>
          <w:rtl/>
          <w:lang w:bidi="he-IL"/>
        </w:rPr>
        <w:lastRenderedPageBreak/>
        <w:t xml:space="preserve">אסור משום קנס ואפילו החלק המותר. או"ד דאמרינן דאע"ג שאין החלק של היתר נהפך להיות אסור, מ"מ גם אינו מועיל לבטל האיסור. וע"ש שהביא נפק"מ בזה בתערובת של חמץ </w:t>
      </w:r>
      <w:r w:rsidR="001A3C20" w:rsidRPr="00882F11">
        <w:rPr>
          <w:rFonts w:cs="Guttman Drogolin" w:hint="cs"/>
          <w:rtl/>
          <w:lang w:bidi="he-IL"/>
        </w:rPr>
        <w:t xml:space="preserve">מין בשאינו מינו ויש פחות מס' שעבר עליו בב"י מדאורייתא האם צריך ששים של היתר (מדבר שלא היתה עדיין מעורב בו) רק כנגד חלק החמץ שבו או"ד צריכים ס' כנגד כל התערובת הקודם. </w:t>
      </w:r>
    </w:p>
    <w:p w:rsidR="00695A91" w:rsidRPr="00882F11" w:rsidRDefault="001A3C20" w:rsidP="00161E5B">
      <w:pPr>
        <w:tabs>
          <w:tab w:val="right" w:pos="7497"/>
        </w:tabs>
        <w:bidi/>
        <w:jc w:val="both"/>
        <w:rPr>
          <w:rFonts w:cs="Guttman Drogolin"/>
          <w:rtl/>
          <w:lang w:bidi="he-IL"/>
        </w:rPr>
      </w:pPr>
      <w:r w:rsidRPr="00882F11">
        <w:rPr>
          <w:rFonts w:cs="Guttman Drogolin" w:hint="cs"/>
          <w:rtl/>
          <w:lang w:bidi="he-IL"/>
        </w:rPr>
        <w:t>ובהגהות רע"א ד"י (מובא בהוצאת מכ"י על אתר)</w:t>
      </w:r>
      <w:r w:rsidR="007615DD" w:rsidRPr="00882F11">
        <w:rPr>
          <w:rFonts w:cs="Guttman Drogolin" w:hint="cs"/>
          <w:rtl/>
          <w:lang w:bidi="he-IL"/>
        </w:rPr>
        <w:t xml:space="preserve"> </w:t>
      </w:r>
      <w:r w:rsidRPr="00882F11">
        <w:rPr>
          <w:rFonts w:cs="Guttman Drogolin" w:hint="cs"/>
          <w:rtl/>
          <w:lang w:bidi="he-IL"/>
        </w:rPr>
        <w:t>לסי' תמ"ח מג"א ס"ק ד' כתב דע"כ חזינן מדברי הר"ן הנ"ל שג"כ סבר שיש קנס על כל התערובת, דאל"כ היכי משכחת לה לקנס בדבר שהוא מעורב וכנ"ל. והדגיש רע"א שאין לומר שהוא משום שהתערובת נע"נ</w:t>
      </w:r>
      <w:r w:rsidR="00161E5B" w:rsidRPr="00882F11">
        <w:rPr>
          <w:rFonts w:cs="Guttman Drogolin" w:hint="cs"/>
          <w:rtl/>
          <w:lang w:bidi="he-IL"/>
        </w:rPr>
        <w:t>, דהא לר"ן עצמו</w:t>
      </w:r>
      <w:r w:rsidR="00161E5B" w:rsidRPr="00882F11">
        <w:rPr>
          <w:rStyle w:val="FootnoteReference"/>
          <w:rFonts w:cs="Guttman Drogolin"/>
          <w:rtl/>
          <w:lang w:bidi="he-IL"/>
        </w:rPr>
        <w:footnoteReference w:id="445"/>
      </w:r>
      <w:r w:rsidR="00161E5B" w:rsidRPr="00882F11">
        <w:rPr>
          <w:rFonts w:cs="Guttman Drogolin" w:hint="cs"/>
          <w:rtl/>
          <w:lang w:bidi="he-IL"/>
        </w:rPr>
        <w:t xml:space="preserve"> לא אמרינן חענ"ן אא"כ הוא דרך בישול, והר"ן בפסחים לא חילק בין נתערב דרך בישול ללא נתערב דרך בישול. אלא ע"כ הוא מטעם</w:t>
      </w:r>
      <w:r w:rsidRPr="00882F11">
        <w:rPr>
          <w:rFonts w:cs="Guttman Drogolin" w:hint="cs"/>
          <w:rtl/>
          <w:lang w:bidi="he-IL"/>
        </w:rPr>
        <w:t xml:space="preserve"> </w:t>
      </w:r>
      <w:r w:rsidR="00161E5B" w:rsidRPr="00882F11">
        <w:rPr>
          <w:rFonts w:cs="Guttman Drogolin" w:hint="cs"/>
          <w:rtl/>
          <w:lang w:bidi="he-IL"/>
        </w:rPr>
        <w:t xml:space="preserve">הנ"ל (ושם צידד רע"א לומר שמ"מ אין צריכים ס' כנגד החלק של היתר גם). </w:t>
      </w:r>
    </w:p>
    <w:p w:rsidR="00161E5B" w:rsidRPr="00882F11" w:rsidRDefault="00161E5B" w:rsidP="006F6C98">
      <w:pPr>
        <w:tabs>
          <w:tab w:val="right" w:pos="7497"/>
        </w:tabs>
        <w:bidi/>
        <w:jc w:val="both"/>
        <w:rPr>
          <w:rFonts w:cs="Guttman Drogolin"/>
          <w:rtl/>
          <w:lang w:bidi="he-IL"/>
        </w:rPr>
      </w:pPr>
      <w:r w:rsidRPr="00882F11">
        <w:rPr>
          <w:rFonts w:cs="Guttman Drogolin" w:hint="cs"/>
          <w:rtl/>
          <w:lang w:bidi="he-IL"/>
        </w:rPr>
        <w:t xml:space="preserve">ובחי' ר' שמואל למס' פסחים דף ל' ע"א דן לחלק בזה. והוא שאמנם לר"ן ע"כ גזרו קנס על תערובת חמץ שעוברים עליו בבל יראה ולא אומרים שהחמץ שבה בטל ברוב, י"ל דהנ"מ כשאינו בטל אלא ברוב, ומשום שהטעם להתיר חמץ שעבר עליו הפסח שבטל ברוב משום שלא גזרו עליו. וא"כ י"ל דהנ"מ כשהתערב אחר הפסח לא גזרו עליו, אבל בתערובת חמץ שחל עליו קנס חכמים משום שעבר על התערובת בבל יראה, שפיר י"ל שגזרו על החמץ בכה"ג, </w:t>
      </w:r>
      <w:r w:rsidR="007A7592" w:rsidRPr="00882F11">
        <w:rPr>
          <w:rFonts w:cs="Guttman Drogolin" w:hint="cs"/>
          <w:rtl/>
          <w:lang w:bidi="he-IL"/>
        </w:rPr>
        <w:t xml:space="preserve">ומילא אינו בטל ברוב כמו שארי הדברים שאינם בטלים ברוב, אבל </w:t>
      </w:r>
      <w:r w:rsidRPr="00882F11">
        <w:rPr>
          <w:rFonts w:cs="Guttman Drogolin" w:hint="cs"/>
          <w:rtl/>
          <w:lang w:bidi="he-IL"/>
        </w:rPr>
        <w:t xml:space="preserve">ומ"מ אין החפצא דאיסורא אלא החמץ שמעורב בה, ולכן שפיר מצטרף </w:t>
      </w:r>
      <w:r w:rsidR="007A7592" w:rsidRPr="00882F11">
        <w:rPr>
          <w:rFonts w:cs="Guttman Drogolin" w:hint="cs"/>
          <w:rtl/>
          <w:lang w:bidi="he-IL"/>
        </w:rPr>
        <w:t xml:space="preserve">ההיתר שהי' מעורב בה מקודם עם שאר היתר לבטלו בס'. </w:t>
      </w:r>
      <w:r w:rsidRPr="00882F11">
        <w:rPr>
          <w:rFonts w:cs="Guttman Drogolin" w:hint="cs"/>
          <w:rtl/>
          <w:lang w:bidi="he-IL"/>
        </w:rPr>
        <w:t xml:space="preserve">   </w:t>
      </w:r>
    </w:p>
    <w:p w:rsidR="00C00C7F" w:rsidRPr="00882F11" w:rsidRDefault="00C00C7F" w:rsidP="00C00C7F">
      <w:pPr>
        <w:tabs>
          <w:tab w:val="right" w:pos="7497"/>
        </w:tabs>
        <w:bidi/>
        <w:jc w:val="both"/>
        <w:rPr>
          <w:rFonts w:cs="Guttman Drogolin"/>
          <w:rtl/>
          <w:lang w:bidi="he-IL"/>
        </w:rPr>
        <w:sectPr w:rsidR="00C00C7F" w:rsidRPr="00882F11" w:rsidSect="00D7621D">
          <w:type w:val="continuous"/>
          <w:pgSz w:w="11907" w:h="16839" w:code="9"/>
          <w:pgMar w:top="1440" w:right="1440" w:bottom="1440" w:left="1440" w:header="720" w:footer="720" w:gutter="0"/>
          <w:cols w:num="2" w:space="720"/>
          <w:bidi/>
          <w:docGrid w:linePitch="360"/>
        </w:sectPr>
      </w:pPr>
    </w:p>
    <w:p w:rsidR="00C00C7F" w:rsidRPr="00D7621D" w:rsidRDefault="00C00C7F" w:rsidP="00C00C7F">
      <w:pPr>
        <w:keepNext/>
        <w:tabs>
          <w:tab w:val="left" w:pos="3818"/>
          <w:tab w:val="center" w:pos="4680"/>
        </w:tabs>
        <w:bidi/>
        <w:jc w:val="center"/>
        <w:rPr>
          <w:rFonts w:cs="Guttman Drogolin"/>
          <w:b/>
          <w:bCs/>
          <w:sz w:val="48"/>
          <w:szCs w:val="48"/>
          <w:rtl/>
          <w:lang w:bidi="he-IL"/>
        </w:rPr>
      </w:pPr>
      <w:r w:rsidRPr="00D7621D">
        <w:rPr>
          <w:rFonts w:cs="Guttman Drogolin" w:hint="cs"/>
          <w:b/>
          <w:bCs/>
          <w:sz w:val="48"/>
          <w:szCs w:val="48"/>
          <w:rtl/>
          <w:lang w:bidi="he-IL"/>
        </w:rPr>
        <w:lastRenderedPageBreak/>
        <w:t>שיעור קי"ט</w:t>
      </w:r>
    </w:p>
    <w:p w:rsidR="00F42FF7" w:rsidRDefault="00F42FF7" w:rsidP="00C00C7F">
      <w:pPr>
        <w:pStyle w:val="Heading1"/>
        <w:bidi/>
        <w:spacing w:before="0" w:line="360" w:lineRule="auto"/>
        <w:jc w:val="center"/>
        <w:rPr>
          <w:rFonts w:cs="Guttman Drogolin"/>
          <w:color w:val="auto"/>
          <w:sz w:val="24"/>
          <w:szCs w:val="24"/>
          <w:u w:val="single"/>
          <w:rtl/>
          <w:lang w:bidi="he-IL"/>
        </w:rPr>
        <w:sectPr w:rsidR="00F42FF7" w:rsidSect="00F42FF7">
          <w:headerReference w:type="default" r:id="rId89"/>
          <w:pgSz w:w="11907" w:h="16839" w:code="9"/>
          <w:pgMar w:top="1440" w:right="1440" w:bottom="1440" w:left="1440" w:header="720" w:footer="720" w:gutter="0"/>
          <w:cols w:space="720"/>
          <w:bidi/>
          <w:docGrid w:linePitch="360"/>
        </w:sectPr>
      </w:pPr>
    </w:p>
    <w:p w:rsidR="00C00C7F" w:rsidRPr="00882F11" w:rsidRDefault="00305724" w:rsidP="00C00C7F">
      <w:pPr>
        <w:pStyle w:val="Heading1"/>
        <w:bidi/>
        <w:spacing w:before="0" w:line="360" w:lineRule="auto"/>
        <w:jc w:val="center"/>
        <w:rPr>
          <w:rFonts w:cs="Guttman Drogolin"/>
          <w:color w:val="auto"/>
          <w:sz w:val="24"/>
          <w:szCs w:val="24"/>
          <w:u w:val="single"/>
          <w:rtl/>
          <w:lang w:bidi="he-IL"/>
        </w:rPr>
      </w:pPr>
      <w:bookmarkStart w:id="468" w:name="_Toc496175715"/>
      <w:r w:rsidRPr="00882F11">
        <w:rPr>
          <w:rFonts w:cs="Guttman Drogolin" w:hint="cs"/>
          <w:color w:val="auto"/>
          <w:sz w:val="24"/>
          <w:szCs w:val="24"/>
          <w:u w:val="single"/>
          <w:rtl/>
          <w:lang w:bidi="he-IL"/>
        </w:rPr>
        <w:lastRenderedPageBreak/>
        <w:t xml:space="preserve">אם יש </w:t>
      </w:r>
      <w:r w:rsidR="00C00C7F" w:rsidRPr="00882F11">
        <w:rPr>
          <w:rFonts w:cs="Guttman Drogolin" w:hint="cs"/>
          <w:color w:val="auto"/>
          <w:sz w:val="24"/>
          <w:szCs w:val="24"/>
          <w:u w:val="single"/>
          <w:rtl/>
          <w:lang w:bidi="he-IL"/>
        </w:rPr>
        <w:t>חיוב של טבילת כלים</w:t>
      </w:r>
      <w:r w:rsidRPr="00882F11">
        <w:rPr>
          <w:rFonts w:cs="Guttman Drogolin" w:hint="cs"/>
          <w:color w:val="auto"/>
          <w:sz w:val="24"/>
          <w:szCs w:val="24"/>
          <w:u w:val="single"/>
          <w:rtl/>
          <w:lang w:bidi="he-IL"/>
        </w:rPr>
        <w:t xml:space="preserve"> מדאורייתא</w:t>
      </w:r>
      <w:bookmarkEnd w:id="468"/>
    </w:p>
    <w:p w:rsidR="00305724" w:rsidRPr="00882F11" w:rsidRDefault="006A3C22" w:rsidP="00F021D5">
      <w:pPr>
        <w:tabs>
          <w:tab w:val="right" w:pos="7497"/>
        </w:tabs>
        <w:bidi/>
        <w:jc w:val="both"/>
        <w:rPr>
          <w:rFonts w:cs="Guttman Drogolin"/>
          <w:rtl/>
          <w:lang w:bidi="he-IL"/>
        </w:rPr>
      </w:pPr>
      <w:r>
        <w:rPr>
          <w:rFonts w:cs="Guttman Drogolin"/>
          <w:rtl/>
          <w:lang w:bidi="he-IL"/>
        </w:rPr>
        <w:fldChar w:fldCharType="begin"/>
      </w:r>
      <w:r>
        <w:instrText xml:space="preserve"> XE "</w:instrText>
      </w:r>
      <w:r w:rsidRPr="000D32D5">
        <w:rPr>
          <w:rFonts w:hint="cs"/>
          <w:rtl/>
          <w:lang w:bidi="he-IL"/>
        </w:rPr>
        <w:instrText>טבילת כלים</w:instrText>
      </w:r>
      <w:r w:rsidRPr="000D32D5">
        <w:rPr>
          <w:rtl/>
        </w:rPr>
        <w:instrText>:</w:instrText>
      </w:r>
      <w:r w:rsidRPr="000D32D5">
        <w:rPr>
          <w:rFonts w:hint="cs"/>
          <w:rtl/>
          <w:lang w:bidi="he-IL"/>
        </w:rPr>
        <w:instrText>אם חיובה מדאורייתא</w:instrText>
      </w:r>
      <w:r>
        <w:instrText xml:space="preserve">" </w:instrText>
      </w:r>
      <w:r>
        <w:rPr>
          <w:rFonts w:cs="Guttman Drogolin"/>
          <w:rtl/>
          <w:lang w:bidi="he-IL"/>
        </w:rPr>
        <w:fldChar w:fldCharType="end"/>
      </w:r>
      <w:r w:rsidR="00C00C7F" w:rsidRPr="00882F11">
        <w:rPr>
          <w:rFonts w:cs="Guttman Drogolin" w:hint="cs"/>
          <w:rtl/>
          <w:lang w:bidi="he-IL"/>
        </w:rPr>
        <w:t xml:space="preserve">כתוב בתורה בפרשה דמלחמת מדין אודות הכלים שלקחו ישראל </w:t>
      </w:r>
      <w:r w:rsidR="00F021D5">
        <w:rPr>
          <w:rFonts w:cs="Guttman Drogolin" w:hint="cs"/>
          <w:rtl/>
          <w:lang w:bidi="he-IL"/>
        </w:rPr>
        <w:t xml:space="preserve">בשלל המלחמה </w:t>
      </w:r>
      <w:r w:rsidR="00C00C7F" w:rsidRPr="00882F11">
        <w:rPr>
          <w:rFonts w:cs="Guttman Drogolin" w:hint="cs"/>
          <w:rtl/>
          <w:lang w:bidi="he-IL"/>
        </w:rPr>
        <w:t xml:space="preserve">מן המדינים (במדבר ל"א, כ"ב </w:t>
      </w:r>
      <w:r w:rsidR="00C00C7F" w:rsidRPr="00882F11">
        <w:rPr>
          <w:rFonts w:cs="Guttman Drogolin"/>
          <w:rtl/>
          <w:lang w:bidi="he-IL"/>
        </w:rPr>
        <w:t>–</w:t>
      </w:r>
      <w:r w:rsidR="00C00C7F" w:rsidRPr="00882F11">
        <w:rPr>
          <w:rFonts w:cs="Guttman Drogolin" w:hint="cs"/>
          <w:rtl/>
          <w:lang w:bidi="he-IL"/>
        </w:rPr>
        <w:t xml:space="preserve"> כ"ג) "אך את הזהב ואת הכסף את הנחשת את הברזל את הבדיל ואת העופרת: כל דבר אשר יבא באש תעבירו באש וטהר אך במי נדה יתחטא וכל אשר לא יבא באש תעבירו במים". ורש"י בפירושו על התורה העיר שהי' אפשר ללמוד שכוונת התורה ב'אך במי נדה יתחטא' היינו לטהרת הכלים מטומאת מת וכדומה וכדנזכר מיד לפני </w:t>
      </w:r>
      <w:r w:rsidR="00332E8B" w:rsidRPr="00882F11">
        <w:rPr>
          <w:rFonts w:cs="Guttman Drogolin" w:hint="cs"/>
          <w:rtl/>
          <w:lang w:bidi="he-IL"/>
        </w:rPr>
        <w:t xml:space="preserve">זה </w:t>
      </w:r>
      <w:r w:rsidR="00C00C7F" w:rsidRPr="00882F11">
        <w:rPr>
          <w:rFonts w:cs="Guttman Drogolin" w:hint="cs"/>
          <w:rtl/>
          <w:lang w:bidi="he-IL"/>
        </w:rPr>
        <w:t xml:space="preserve">בטהרת </w:t>
      </w:r>
      <w:r w:rsidR="00332E8B" w:rsidRPr="00882F11">
        <w:rPr>
          <w:rFonts w:cs="Guttman Drogolin" w:hint="cs"/>
          <w:rtl/>
          <w:lang w:bidi="he-IL"/>
        </w:rPr>
        <w:t xml:space="preserve">אנשי הצבא </w:t>
      </w:r>
      <w:r w:rsidR="00F021D5">
        <w:rPr>
          <w:rFonts w:cs="Guttman Drogolin" w:hint="cs"/>
          <w:rtl/>
          <w:lang w:bidi="he-IL"/>
        </w:rPr>
        <w:t>'</w:t>
      </w:r>
      <w:r w:rsidR="00332E8B" w:rsidRPr="00882F11">
        <w:rPr>
          <w:rFonts w:cs="Guttman Drogolin" w:hint="cs"/>
          <w:rtl/>
          <w:lang w:bidi="he-IL"/>
        </w:rPr>
        <w:t>וכל בגד וכלי עור וכל מעשה עזים וכל כלי עץ</w:t>
      </w:r>
      <w:r w:rsidR="00F021D5">
        <w:rPr>
          <w:rFonts w:cs="Guttman Drogolin" w:hint="cs"/>
          <w:rtl/>
          <w:lang w:bidi="he-IL"/>
        </w:rPr>
        <w:t>'</w:t>
      </w:r>
      <w:r w:rsidR="00332E8B" w:rsidRPr="00882F11">
        <w:rPr>
          <w:rFonts w:cs="Guttman Drogolin" w:hint="cs"/>
          <w:rtl/>
          <w:lang w:bidi="he-IL"/>
        </w:rPr>
        <w:t xml:space="preserve"> (וע' ברא"</w:t>
      </w:r>
      <w:r w:rsidR="00F021D5">
        <w:rPr>
          <w:rFonts w:cs="Guttman Drogolin" w:hint="cs"/>
          <w:rtl/>
          <w:lang w:bidi="he-IL"/>
        </w:rPr>
        <w:t>ם</w:t>
      </w:r>
      <w:r w:rsidR="00332E8B" w:rsidRPr="00882F11">
        <w:rPr>
          <w:rFonts w:cs="Guttman Drogolin" w:hint="cs"/>
          <w:rtl/>
          <w:lang w:bidi="he-IL"/>
        </w:rPr>
        <w:t xml:space="preserve"> שהוסיף שמה שביאר רש"י עה"ת דהעבירו במים היינו טבילת כלים אין זה אלא אחרי שלמדו חז"ל מאך חלק דמיירי בטבילת כלים, ובזה מסולק קושיית הרמב"ן עה"ת עליו). אמנם חז"ל למדו שיש מכאן חיוב לטהר כלי סעודה הנקחים מן העכו"ם. ולכאורה היינו מש"כ בגמ' "במי נדה שומע אני שצריך הזאה שלישי ושביעי ת"ל אך חלק", ר"ל דהו"א שכוונת התורה לטהרה דלעיל מיני', קמ"ל שיש חיוב חדש של טבילת כלי סעודה הנקנין מן העכו"ם. ונראין הדברים שזהו חיוב מדאורייתא, וכן הוא לשון רש"י כאן בסוגיא בד"ה זוזא דסרבלא "וגזירת הכתוב הוא". וכן העירו הרמב"ן והריטב"א שמלשון הגמ' מ</w:t>
      </w:r>
      <w:r w:rsidR="007E798F" w:rsidRPr="00882F11">
        <w:rPr>
          <w:rFonts w:cs="Guttman Drogolin" w:hint="cs"/>
          <w:rtl/>
          <w:lang w:bidi="he-IL"/>
        </w:rPr>
        <w:t>ש</w:t>
      </w:r>
      <w:r w:rsidR="00332E8B" w:rsidRPr="00882F11">
        <w:rPr>
          <w:rFonts w:cs="Guttman Drogolin" w:hint="cs"/>
          <w:rtl/>
          <w:lang w:bidi="he-IL"/>
        </w:rPr>
        <w:t xml:space="preserve">מע שהוא חיוב מדאורייתא, דהא עשו צריכותא </w:t>
      </w:r>
      <w:r w:rsidR="00183FAD" w:rsidRPr="00882F11">
        <w:rPr>
          <w:rFonts w:cs="Guttman Drogolin" w:hint="cs"/>
          <w:rtl/>
          <w:lang w:bidi="he-IL"/>
        </w:rPr>
        <w:t>מלימוד דאך במי נדה לוטהר.</w:t>
      </w:r>
    </w:p>
    <w:p w:rsidR="00F021D5" w:rsidRDefault="00183FAD" w:rsidP="00F021D5">
      <w:pPr>
        <w:tabs>
          <w:tab w:val="right" w:pos="7497"/>
        </w:tabs>
        <w:bidi/>
        <w:jc w:val="both"/>
        <w:rPr>
          <w:rFonts w:cs="Guttman Drogolin"/>
          <w:rtl/>
          <w:lang w:bidi="he-IL"/>
        </w:rPr>
      </w:pPr>
      <w:r w:rsidRPr="00882F11">
        <w:rPr>
          <w:rFonts w:cs="Guttman Drogolin" w:hint="cs"/>
          <w:rtl/>
          <w:lang w:bidi="he-IL"/>
        </w:rPr>
        <w:t xml:space="preserve">אמנם י"א שאין חיוב טבילה מדאורייתא, דע"ש ברמב"ן עה"ת </w:t>
      </w:r>
      <w:r w:rsidR="00F021D5">
        <w:rPr>
          <w:rFonts w:cs="Guttman Drogolin" w:hint="cs"/>
          <w:rtl/>
          <w:lang w:bidi="he-IL"/>
        </w:rPr>
        <w:t>שהעלה</w:t>
      </w:r>
      <w:r w:rsidRPr="00882F11">
        <w:rPr>
          <w:rFonts w:cs="Guttman Drogolin" w:hint="cs"/>
          <w:rtl/>
          <w:lang w:bidi="he-IL"/>
        </w:rPr>
        <w:t xml:space="preserve"> צד ש</w:t>
      </w:r>
      <w:r w:rsidR="00F021D5">
        <w:rPr>
          <w:rFonts w:cs="Guttman Drogolin" w:hint="cs"/>
          <w:rtl/>
          <w:lang w:bidi="he-IL"/>
        </w:rPr>
        <w:t>לעולם החיוב של טבילת כלים אינו אלא מדרבנן, ו</w:t>
      </w:r>
      <w:r w:rsidRPr="00882F11">
        <w:rPr>
          <w:rFonts w:cs="Guttman Drogolin" w:hint="cs"/>
          <w:rtl/>
          <w:lang w:bidi="he-IL"/>
        </w:rPr>
        <w:t xml:space="preserve">כל הנ"ל אינו אלא אסמכתא בעלמא, </w:t>
      </w:r>
      <w:r w:rsidR="004A7423" w:rsidRPr="00882F11">
        <w:rPr>
          <w:rFonts w:cs="Guttman Drogolin" w:hint="cs"/>
          <w:rtl/>
          <w:lang w:bidi="he-IL"/>
        </w:rPr>
        <w:t xml:space="preserve">וכ"כ גם התוס' רי"ד. </w:t>
      </w:r>
      <w:r w:rsidRPr="00882F11">
        <w:rPr>
          <w:rFonts w:cs="Guttman Drogolin" w:hint="cs"/>
          <w:rtl/>
          <w:lang w:bidi="he-IL"/>
        </w:rPr>
        <w:t>וכן למדו כמה ראשונים בדעת הרמב"ם, וכן כמעט מפורש בדבריו שכתב בפי"ז ה"ה מהל' מאכ"א "</w:t>
      </w:r>
      <w:r w:rsidRPr="00882F11">
        <w:rPr>
          <w:rFonts w:cs="Guttman Drogolin"/>
          <w:rtl/>
          <w:lang w:bidi="he-IL"/>
        </w:rPr>
        <w:t>טבילה זו שמטבילין כלי הסעודה הנלקחים מן העכו"ם ואח"כ יותרו לאכילה ושתיה אינן לענין טומאה וטהרה אלא מדברי סופרים</w:t>
      </w:r>
      <w:r w:rsidRPr="00882F11">
        <w:rPr>
          <w:rFonts w:cs="Guttman Drogolin" w:hint="cs"/>
          <w:rtl/>
          <w:lang w:bidi="he-IL"/>
        </w:rPr>
        <w:t>".</w:t>
      </w:r>
      <w:r w:rsidR="005E4732" w:rsidRPr="00882F11">
        <w:rPr>
          <w:rFonts w:cs="Guttman Drogolin" w:hint="cs"/>
          <w:rtl/>
          <w:lang w:bidi="he-IL"/>
        </w:rPr>
        <w:t xml:space="preserve"> וברשב"א </w:t>
      </w:r>
      <w:r w:rsidR="00F021D5">
        <w:rPr>
          <w:rFonts w:cs="Guttman Drogolin" w:hint="cs"/>
          <w:rtl/>
          <w:lang w:bidi="he-IL"/>
        </w:rPr>
        <w:t>מצאנו דיבורים סותרים לענין דעת הרמב"ם בזה</w:t>
      </w:r>
      <w:r w:rsidR="005E4732" w:rsidRPr="00882F11">
        <w:rPr>
          <w:rFonts w:cs="Guttman Drogolin" w:hint="cs"/>
          <w:rtl/>
          <w:lang w:bidi="he-IL"/>
        </w:rPr>
        <w:t xml:space="preserve">, </w:t>
      </w:r>
      <w:r w:rsidR="005E4732" w:rsidRPr="00882F11">
        <w:rPr>
          <w:rFonts w:cs="Guttman Drogolin" w:hint="cs"/>
          <w:rtl/>
          <w:lang w:bidi="he-IL"/>
        </w:rPr>
        <w:lastRenderedPageBreak/>
        <w:t>שבחי' וכן בתוה"א נקט בדעת הרמב"ם שאינו אלא חיוב מדרבנן, ואילו בשו"ת ח"ג סי' רנ"ה וסי' רנ"ט נקט בדעתו שהוא חיוב דאורייתא, וע' בכס"מ על אתר. ובפרי תואר סי' ק"כ ס"ק ד' נקט שהמוזכר בשו"ת הרשב"א ע"כ טעות הדפוס וצ"ל רמב"ן (כנ"ל מפירושו לתורה) במקחם רמב"ם. וע' בסמוך.</w:t>
      </w:r>
      <w:r w:rsidRPr="00882F11">
        <w:rPr>
          <w:rFonts w:cs="Guttman Drogolin" w:hint="cs"/>
          <w:rtl/>
          <w:lang w:bidi="he-IL"/>
        </w:rPr>
        <w:t xml:space="preserve"> </w:t>
      </w:r>
    </w:p>
    <w:p w:rsidR="00305724" w:rsidRPr="00882F11" w:rsidRDefault="00183FAD" w:rsidP="00F021D5">
      <w:pPr>
        <w:tabs>
          <w:tab w:val="right" w:pos="7497"/>
        </w:tabs>
        <w:bidi/>
        <w:jc w:val="both"/>
        <w:rPr>
          <w:rFonts w:cs="Guttman Drogolin"/>
          <w:rtl/>
          <w:lang w:bidi="he-IL"/>
        </w:rPr>
      </w:pPr>
      <w:r w:rsidRPr="00882F11">
        <w:rPr>
          <w:rFonts w:cs="Guttman Drogolin" w:hint="cs"/>
          <w:rtl/>
          <w:lang w:bidi="he-IL"/>
        </w:rPr>
        <w:t xml:space="preserve">ויל"ע למה לא נקטו </w:t>
      </w:r>
      <w:r w:rsidR="005E4732" w:rsidRPr="00882F11">
        <w:rPr>
          <w:rFonts w:cs="Guttman Drogolin" w:hint="cs"/>
          <w:rtl/>
          <w:lang w:bidi="he-IL"/>
        </w:rPr>
        <w:t xml:space="preserve">ראשונים אלו </w:t>
      </w:r>
      <w:r w:rsidRPr="00882F11">
        <w:rPr>
          <w:rFonts w:cs="Guttman Drogolin" w:hint="cs"/>
          <w:rtl/>
          <w:lang w:bidi="he-IL"/>
        </w:rPr>
        <w:t>כפשטות לשון הגמ' שהוא חיוב דאורייתא. ואולי הוא משום קושיית הראשונים שיהא כאן חיוב טבילה במ' סאה מדאורייתא מה שלא מצאנו בכלים באופן אחר. או"ד שהי' קשה להם שיהא כאן טומאה חדשה שאינו טומאה באמת ואינו עובר לדבר אחר. או</w:t>
      </w:r>
      <w:r w:rsidR="00F021D5">
        <w:rPr>
          <w:rFonts w:cs="Guttman Drogolin" w:hint="cs"/>
          <w:rtl/>
          <w:lang w:bidi="he-IL"/>
        </w:rPr>
        <w:t>"ד</w:t>
      </w:r>
      <w:r w:rsidRPr="00882F11">
        <w:rPr>
          <w:rFonts w:cs="Guttman Drogolin" w:hint="cs"/>
          <w:rtl/>
          <w:lang w:bidi="he-IL"/>
        </w:rPr>
        <w:t xml:space="preserve"> משום דנקטו דע"כ עיקר הפשט בפסוק הוא כס"ד דרש"י דמיירי בטהרה ממש, ולא ניחא להו לומר שיש חיוב דאורייתא דלא כפשטות הקרא.</w:t>
      </w:r>
      <w:r w:rsidR="00305724" w:rsidRPr="00882F11">
        <w:rPr>
          <w:rFonts w:cs="Guttman Drogolin" w:hint="cs"/>
          <w:rtl/>
          <w:lang w:bidi="he-IL"/>
        </w:rPr>
        <w:t xml:space="preserve"> ואולי גם בגלל שלא הי' להם בזה מקום במנין המצוות.</w:t>
      </w:r>
      <w:r w:rsidR="004A7423" w:rsidRPr="00882F11">
        <w:rPr>
          <w:rFonts w:cs="Guttman Drogolin" w:hint="cs"/>
          <w:rtl/>
          <w:lang w:bidi="he-IL"/>
        </w:rPr>
        <w:t xml:space="preserve"> </w:t>
      </w:r>
    </w:p>
    <w:p w:rsidR="00305724" w:rsidRPr="00882F11" w:rsidRDefault="00305724" w:rsidP="00305724">
      <w:pPr>
        <w:pStyle w:val="Heading1"/>
        <w:bidi/>
        <w:spacing w:before="0" w:line="360" w:lineRule="auto"/>
        <w:jc w:val="center"/>
        <w:rPr>
          <w:rFonts w:cs="Guttman Drogolin"/>
          <w:color w:val="auto"/>
          <w:sz w:val="24"/>
          <w:szCs w:val="24"/>
          <w:u w:val="single"/>
          <w:rtl/>
          <w:lang w:bidi="he-IL"/>
        </w:rPr>
      </w:pPr>
      <w:bookmarkStart w:id="469" w:name="_Toc496175716"/>
      <w:r w:rsidRPr="00882F11">
        <w:rPr>
          <w:rFonts w:cs="Guttman Drogolin" w:hint="cs"/>
          <w:color w:val="auto"/>
          <w:sz w:val="24"/>
          <w:szCs w:val="24"/>
          <w:u w:val="single"/>
          <w:rtl/>
          <w:lang w:bidi="he-IL"/>
        </w:rPr>
        <w:t>גדר החיוב של טבילת כלים</w:t>
      </w:r>
      <w:bookmarkEnd w:id="469"/>
    </w:p>
    <w:p w:rsidR="00132848" w:rsidRPr="00882F11" w:rsidRDefault="006A3C22" w:rsidP="00F021D5">
      <w:pPr>
        <w:tabs>
          <w:tab w:val="right" w:pos="7497"/>
        </w:tabs>
        <w:bidi/>
        <w:jc w:val="both"/>
        <w:rPr>
          <w:rFonts w:cs="Guttman Drogolin"/>
          <w:rtl/>
          <w:lang w:bidi="he-IL"/>
        </w:rPr>
      </w:pPr>
      <w:r>
        <w:rPr>
          <w:rFonts w:cs="Guttman Drogolin"/>
          <w:rtl/>
          <w:lang w:bidi="he-IL"/>
        </w:rPr>
        <w:fldChar w:fldCharType="begin"/>
      </w:r>
      <w:r>
        <w:instrText xml:space="preserve"> XE "</w:instrText>
      </w:r>
      <w:r w:rsidRPr="005C6B21">
        <w:rPr>
          <w:rFonts w:hint="cs"/>
          <w:rtl/>
          <w:lang w:bidi="he-IL"/>
        </w:rPr>
        <w:instrText>טבילת כלים</w:instrText>
      </w:r>
      <w:r w:rsidRPr="005C6B21">
        <w:rPr>
          <w:rtl/>
        </w:rPr>
        <w:instrText>:</w:instrText>
      </w:r>
      <w:r w:rsidRPr="005C6B21">
        <w:rPr>
          <w:rFonts w:hint="cs"/>
          <w:rtl/>
          <w:lang w:bidi="he-IL"/>
        </w:rPr>
        <w:instrText>גדר החיוב</w:instrText>
      </w:r>
      <w:r>
        <w:instrText xml:space="preserve">" </w:instrText>
      </w:r>
      <w:r>
        <w:rPr>
          <w:rFonts w:cs="Guttman Drogolin"/>
          <w:rtl/>
          <w:lang w:bidi="he-IL"/>
        </w:rPr>
        <w:fldChar w:fldCharType="end"/>
      </w:r>
      <w:r w:rsidR="00305724" w:rsidRPr="00882F11">
        <w:rPr>
          <w:rFonts w:cs="Guttman Drogolin" w:hint="cs"/>
          <w:rtl/>
          <w:lang w:bidi="he-IL"/>
        </w:rPr>
        <w:t xml:space="preserve">בין שיהי' חיוב מדאורייתא ובין שיהי' חיוב מדרבנן, יל"ע מהו גדר החיוב של טבילת כלים. דהנה בדרך כלל הענין של טבילה הוא ענין של הכשר. ור"ל שאין חיוב להכניס דבר לתוך מקוה אם אינו רוצה, רק הכנסה לתוך מקוה היא המטהרת ומכשירה את הנטבל להתעסק בטהרות. ולכן אם אין אדם רוצה ליטהר יכול </w:t>
      </w:r>
      <w:r w:rsidR="007E798F" w:rsidRPr="00882F11">
        <w:rPr>
          <w:rFonts w:cs="Guttman Drogolin" w:hint="cs"/>
          <w:rtl/>
          <w:lang w:bidi="he-IL"/>
        </w:rPr>
        <w:t>ל</w:t>
      </w:r>
      <w:r w:rsidR="00305724" w:rsidRPr="00882F11">
        <w:rPr>
          <w:rFonts w:cs="Guttman Drogolin" w:hint="cs"/>
          <w:rtl/>
          <w:lang w:bidi="he-IL"/>
        </w:rPr>
        <w:t>השאר בטומאתו. וא"כ לכאורה כן הוא גם גדר החיוב של טבילת כלים, שע"י זה שמטביל הכלי הרי הוא מטהרו. ואע"ג שאין כאן טומאה ממש, דהא אין לך דבר שנוגע בו ונטמא, מ"מ הרי הוא כמו טבילת גרים, דכמו שאין אדם נעשה יהודי ע"י קבלת מצות בלבד, רק צריך גם טבילה, הה"נ שהכל</w:t>
      </w:r>
      <w:r w:rsidR="00F021D5">
        <w:rPr>
          <w:rFonts w:cs="Guttman Drogolin" w:hint="cs"/>
          <w:rtl/>
          <w:lang w:bidi="he-IL"/>
        </w:rPr>
        <w:t>י</w:t>
      </w:r>
      <w:r w:rsidR="00305724" w:rsidRPr="00882F11">
        <w:rPr>
          <w:rFonts w:cs="Guttman Drogolin" w:hint="cs"/>
          <w:rtl/>
          <w:lang w:bidi="he-IL"/>
        </w:rPr>
        <w:t xml:space="preserve"> אינו מתקדש</w:t>
      </w:r>
      <w:r w:rsidR="00F021D5">
        <w:rPr>
          <w:rFonts w:cs="Guttman Drogolin" w:hint="cs"/>
          <w:rtl/>
          <w:lang w:bidi="he-IL"/>
        </w:rPr>
        <w:t xml:space="preserve"> בקדושת ישראל</w:t>
      </w:r>
      <w:r w:rsidR="00305724" w:rsidRPr="00882F11">
        <w:rPr>
          <w:rFonts w:cs="Guttman Drogolin" w:hint="cs"/>
          <w:rtl/>
          <w:lang w:bidi="he-IL"/>
        </w:rPr>
        <w:t xml:space="preserve"> עד שיטבול. ובאמת הראשונים מביאים מן הירושלמי שצריך להטבילן מפני שיצאו מטומאתו של עובד כוכבים ונכנסו לקדושתו של ישראל.</w:t>
      </w:r>
      <w:r w:rsidR="00132848" w:rsidRPr="00882F11">
        <w:rPr>
          <w:rFonts w:cs="Guttman Drogolin" w:hint="cs"/>
          <w:rtl/>
          <w:lang w:bidi="he-IL"/>
        </w:rPr>
        <w:t xml:space="preserve"> וא"כ יש כאן כגון </w:t>
      </w:r>
      <w:r w:rsidR="00203324" w:rsidRPr="00882F11">
        <w:rPr>
          <w:rFonts w:cs="Guttman Drogolin" w:hint="cs"/>
          <w:rtl/>
          <w:lang w:bidi="he-IL"/>
        </w:rPr>
        <w:t xml:space="preserve">טבילה של </w:t>
      </w:r>
      <w:r w:rsidR="00132848" w:rsidRPr="00882F11">
        <w:rPr>
          <w:rFonts w:cs="Guttman Drogolin" w:hint="cs"/>
          <w:rtl/>
          <w:lang w:bidi="he-IL"/>
        </w:rPr>
        <w:t xml:space="preserve">גירות </w:t>
      </w:r>
      <w:r w:rsidR="00203324" w:rsidRPr="00882F11">
        <w:rPr>
          <w:rFonts w:cs="Guttman Drogolin" w:hint="cs"/>
          <w:rtl/>
          <w:lang w:bidi="he-IL"/>
        </w:rPr>
        <w:t xml:space="preserve">(ע' </w:t>
      </w:r>
      <w:r w:rsidR="00F021D5">
        <w:rPr>
          <w:rFonts w:cs="Guttman Drogolin" w:hint="cs"/>
          <w:rtl/>
          <w:lang w:bidi="he-IL"/>
        </w:rPr>
        <w:t xml:space="preserve">גם </w:t>
      </w:r>
      <w:r w:rsidR="00203324" w:rsidRPr="00882F11">
        <w:rPr>
          <w:rFonts w:cs="Guttman Drogolin" w:hint="cs"/>
          <w:rtl/>
          <w:lang w:bidi="he-IL"/>
        </w:rPr>
        <w:t xml:space="preserve">ריטב"א למס' יבמות דף </w:t>
      </w:r>
      <w:r w:rsidR="00203324" w:rsidRPr="00882F11">
        <w:rPr>
          <w:rFonts w:cs="Guttman Drogolin" w:hint="cs"/>
          <w:rtl/>
          <w:lang w:bidi="he-IL"/>
        </w:rPr>
        <w:lastRenderedPageBreak/>
        <w:t>מ"ז ע"ב)</w:t>
      </w:r>
      <w:r w:rsidR="00132848" w:rsidRPr="00882F11">
        <w:rPr>
          <w:rFonts w:cs="Guttman Drogolin" w:hint="cs"/>
          <w:rtl/>
          <w:lang w:bidi="he-IL"/>
        </w:rPr>
        <w:t xml:space="preserve">, </w:t>
      </w:r>
      <w:r w:rsidR="00203324" w:rsidRPr="00882F11">
        <w:rPr>
          <w:rFonts w:cs="Guttman Drogolin" w:hint="cs"/>
          <w:rtl/>
          <w:lang w:bidi="he-IL"/>
        </w:rPr>
        <w:t xml:space="preserve">ור"ל דכיון </w:t>
      </w:r>
      <w:r w:rsidR="00F021D5">
        <w:rPr>
          <w:rFonts w:cs="Guttman Drogolin" w:hint="cs"/>
          <w:rtl/>
          <w:lang w:bidi="he-IL"/>
        </w:rPr>
        <w:t>שהוא עכשיו בבעלות</w:t>
      </w:r>
      <w:r w:rsidR="00203324" w:rsidRPr="00882F11">
        <w:rPr>
          <w:rFonts w:cs="Guttman Drogolin" w:hint="cs"/>
          <w:rtl/>
          <w:lang w:bidi="he-IL"/>
        </w:rPr>
        <w:t xml:space="preserve"> ישראל, הרי הוא צריך תוספת קדשה של טבילה </w:t>
      </w:r>
      <w:r w:rsidR="007E798F" w:rsidRPr="00882F11">
        <w:rPr>
          <w:rFonts w:cs="Guttman Drogolin" w:hint="cs"/>
          <w:rtl/>
          <w:lang w:bidi="he-IL"/>
        </w:rPr>
        <w:t>ב</w:t>
      </w:r>
      <w:r w:rsidR="00203324" w:rsidRPr="00882F11">
        <w:rPr>
          <w:rFonts w:cs="Guttman Drogolin" w:hint="cs"/>
          <w:rtl/>
          <w:lang w:bidi="he-IL"/>
        </w:rPr>
        <w:t xml:space="preserve">מקוה. </w:t>
      </w:r>
      <w:r w:rsidR="00132848" w:rsidRPr="00882F11">
        <w:rPr>
          <w:rFonts w:cs="Guttman Drogolin" w:hint="cs"/>
          <w:rtl/>
          <w:lang w:bidi="he-IL"/>
        </w:rPr>
        <w:t>וזהו הענין של טבילת כלים.</w:t>
      </w:r>
    </w:p>
    <w:p w:rsidR="00132848" w:rsidRPr="00882F11" w:rsidRDefault="006A3C22" w:rsidP="00F021D5">
      <w:pPr>
        <w:tabs>
          <w:tab w:val="right" w:pos="7497"/>
        </w:tabs>
        <w:bidi/>
        <w:jc w:val="both"/>
        <w:rPr>
          <w:rFonts w:cs="Guttman Drogolin"/>
          <w:rtl/>
          <w:lang w:bidi="he-IL"/>
        </w:rPr>
      </w:pPr>
      <w:r>
        <w:rPr>
          <w:rFonts w:cs="Guttman Drogolin"/>
          <w:rtl/>
          <w:lang w:bidi="he-IL"/>
        </w:rPr>
        <w:fldChar w:fldCharType="begin"/>
      </w:r>
      <w:r>
        <w:instrText xml:space="preserve"> XE "</w:instrText>
      </w:r>
      <w:r w:rsidRPr="005A1CF1">
        <w:rPr>
          <w:rFonts w:hint="cs"/>
          <w:rtl/>
          <w:lang w:bidi="he-IL"/>
        </w:rPr>
        <w:instrText>טבילת כלים</w:instrText>
      </w:r>
      <w:r w:rsidRPr="005A1CF1">
        <w:rPr>
          <w:rtl/>
        </w:rPr>
        <w:instrText>:</w:instrText>
      </w:r>
      <w:r w:rsidRPr="005A1CF1">
        <w:rPr>
          <w:rFonts w:hint="cs"/>
          <w:rtl/>
          <w:lang w:bidi="he-IL"/>
        </w:rPr>
        <w:instrText>אם הוא חיוב או הכשר</w:instrText>
      </w:r>
      <w:r>
        <w:instrText xml:space="preserve">" </w:instrText>
      </w:r>
      <w:r>
        <w:rPr>
          <w:rFonts w:cs="Guttman Drogolin"/>
          <w:rtl/>
          <w:lang w:bidi="he-IL"/>
        </w:rPr>
        <w:fldChar w:fldCharType="end"/>
      </w:r>
      <w:r w:rsidR="00132848" w:rsidRPr="00882F11">
        <w:rPr>
          <w:rFonts w:cs="Guttman Drogolin" w:hint="cs"/>
          <w:rtl/>
          <w:lang w:bidi="he-IL"/>
        </w:rPr>
        <w:t>אבל גם בזה עדיין לא יצאנו ידי חובת ביאור. והוא משום שבעלמא בטבילת גירות אין שום חיוב לעכו"ם להתגייר, רק שאם רוצה להתגייר הרשות בידו וכדי להתגייר צריך גם טבילה.</w:t>
      </w:r>
      <w:r w:rsidR="00F021D5">
        <w:rPr>
          <w:rFonts w:cs="Guttman Drogolin" w:hint="cs"/>
          <w:rtl/>
          <w:lang w:bidi="he-IL"/>
        </w:rPr>
        <w:t xml:space="preserve"> ולכן יש נפק"מ בטבילה לענין חיוב במצוות וכן שיהא קידושיו קידושין. אבל</w:t>
      </w:r>
      <w:r w:rsidR="00132848" w:rsidRPr="00882F11">
        <w:rPr>
          <w:rFonts w:cs="Guttman Drogolin" w:hint="cs"/>
          <w:rtl/>
          <w:lang w:bidi="he-IL"/>
        </w:rPr>
        <w:t xml:space="preserve"> בטבילת כלים </w:t>
      </w:r>
      <w:r w:rsidR="00F021D5">
        <w:rPr>
          <w:rFonts w:cs="Guttman Drogolin" w:hint="cs"/>
          <w:rtl/>
          <w:lang w:bidi="he-IL"/>
        </w:rPr>
        <w:t>צ"ע מאי נפק"מ בטבילה</w:t>
      </w:r>
      <w:r w:rsidR="00132848" w:rsidRPr="00882F11">
        <w:rPr>
          <w:rFonts w:cs="Guttman Drogolin" w:hint="cs"/>
          <w:rtl/>
          <w:lang w:bidi="he-IL"/>
        </w:rPr>
        <w:t xml:space="preserve">. ואיכא למימר בזה בב' אנפי. דרך א', שעיקר הדין של טבילת כלים הוא מה שאסור להשתמש בכלי סעודה הנקנים מן העכו"ם עד שיתן להם </w:t>
      </w:r>
      <w:r w:rsidR="00203324" w:rsidRPr="00882F11">
        <w:rPr>
          <w:rFonts w:cs="Guttman Drogolin" w:hint="cs"/>
          <w:rtl/>
          <w:lang w:bidi="he-IL"/>
        </w:rPr>
        <w:t>טהרת המקוה</w:t>
      </w:r>
      <w:r w:rsidR="00132848" w:rsidRPr="00882F11">
        <w:rPr>
          <w:rFonts w:cs="Guttman Drogolin" w:hint="cs"/>
          <w:rtl/>
          <w:lang w:bidi="he-IL"/>
        </w:rPr>
        <w:t>.</w:t>
      </w:r>
      <w:r w:rsidR="00305724" w:rsidRPr="00882F11">
        <w:rPr>
          <w:rFonts w:cs="Guttman Drogolin" w:hint="cs"/>
          <w:rtl/>
          <w:lang w:bidi="he-IL"/>
        </w:rPr>
        <w:t xml:space="preserve"> </w:t>
      </w:r>
      <w:r w:rsidR="00132848" w:rsidRPr="00882F11">
        <w:rPr>
          <w:rFonts w:cs="Guttman Drogolin" w:hint="cs"/>
          <w:rtl/>
          <w:lang w:bidi="he-IL"/>
        </w:rPr>
        <w:t xml:space="preserve">ויוצא שהטבילה אינו חיוב באמת, וברצותו מטביל וברצותו אינו מטביל, רק </w:t>
      </w:r>
      <w:r w:rsidR="00203324" w:rsidRPr="00882F11">
        <w:rPr>
          <w:rFonts w:cs="Guttman Drogolin" w:hint="cs"/>
          <w:rtl/>
          <w:lang w:bidi="he-IL"/>
        </w:rPr>
        <w:t>שמטהר</w:t>
      </w:r>
      <w:r w:rsidR="008743D3" w:rsidRPr="00882F11">
        <w:rPr>
          <w:rFonts w:cs="Guttman Drogolin" w:hint="cs"/>
          <w:rtl/>
          <w:lang w:bidi="he-IL"/>
        </w:rPr>
        <w:t xml:space="preserve"> </w:t>
      </w:r>
      <w:r w:rsidR="00132848" w:rsidRPr="00882F11">
        <w:rPr>
          <w:rFonts w:cs="Guttman Drogolin" w:hint="cs"/>
          <w:rtl/>
          <w:lang w:bidi="he-IL"/>
        </w:rPr>
        <w:t xml:space="preserve">לכלי ואסור להשתמש בו </w:t>
      </w:r>
      <w:r w:rsidR="00203324" w:rsidRPr="00882F11">
        <w:rPr>
          <w:rFonts w:cs="Guttman Drogolin" w:hint="cs"/>
          <w:rtl/>
          <w:lang w:bidi="he-IL"/>
        </w:rPr>
        <w:t>בלי טהרה זו</w:t>
      </w:r>
      <w:r w:rsidR="007621FD" w:rsidRPr="00882F11">
        <w:rPr>
          <w:rStyle w:val="FootnoteReference"/>
          <w:rFonts w:cs="Guttman Drogolin"/>
          <w:rtl/>
          <w:lang w:bidi="he-IL"/>
        </w:rPr>
        <w:footnoteReference w:id="446"/>
      </w:r>
      <w:r w:rsidR="00132848" w:rsidRPr="00882F11">
        <w:rPr>
          <w:rFonts w:cs="Guttman Drogolin" w:hint="cs"/>
          <w:rtl/>
          <w:lang w:bidi="he-IL"/>
        </w:rPr>
        <w:t xml:space="preserve">. או"ד שהוא חיוב </w:t>
      </w:r>
      <w:r w:rsidR="00A649EB" w:rsidRPr="00882F11">
        <w:rPr>
          <w:rFonts w:cs="Guttman Drogolin" w:hint="cs"/>
          <w:rtl/>
          <w:lang w:bidi="he-IL"/>
        </w:rPr>
        <w:t>שחל על הכלי להטביל אותו</w:t>
      </w:r>
      <w:r w:rsidR="00132848" w:rsidRPr="00882F11">
        <w:rPr>
          <w:rFonts w:cs="Guttman Drogolin" w:hint="cs"/>
          <w:rtl/>
          <w:lang w:bidi="he-IL"/>
        </w:rPr>
        <w:t xml:space="preserve"> ואין שום איסור השתמשות בכלים אלו, דמהיכי תיתי. </w:t>
      </w:r>
    </w:p>
    <w:p w:rsidR="004A7423" w:rsidRPr="00882F11" w:rsidRDefault="00132848" w:rsidP="008743D3">
      <w:pPr>
        <w:tabs>
          <w:tab w:val="right" w:pos="7497"/>
        </w:tabs>
        <w:bidi/>
        <w:jc w:val="both"/>
        <w:rPr>
          <w:rFonts w:cs="Guttman Drogolin"/>
          <w:rtl/>
          <w:lang w:bidi="he-IL"/>
        </w:rPr>
      </w:pPr>
      <w:r w:rsidRPr="00882F11">
        <w:rPr>
          <w:rFonts w:cs="Guttman Drogolin" w:hint="cs"/>
          <w:rtl/>
          <w:lang w:bidi="he-IL"/>
        </w:rPr>
        <w:t xml:space="preserve">ובפסקי הרי"ד מפורש שאין שום איסור השתמשות בכלי הניקח מן העכו"ם כלל, והוא רק חיוב טבילה בעלמא, וזהו כצד השני הנ"ל. ויש כמה קושיות לפי דבריו. חדא דעדיין צ"ע מהו הגדר בחיוב זה, דכפשוטו אינו חייב להטביל ברגע הראשון ואם לא עשה כן עבר על איסור. וא"כ באיזה זמן חייב לעשות כן. ולכאורה מה שצריכים לומר שהוא חיוב לתת לו </w:t>
      </w:r>
      <w:r w:rsidR="008743D3" w:rsidRPr="00882F11">
        <w:rPr>
          <w:rFonts w:cs="Guttman Drogolin" w:hint="cs"/>
          <w:rtl/>
          <w:lang w:bidi="he-IL"/>
        </w:rPr>
        <w:t>טהרה</w:t>
      </w:r>
      <w:r w:rsidRPr="00882F11">
        <w:rPr>
          <w:rFonts w:cs="Guttman Drogolin" w:hint="cs"/>
          <w:rtl/>
          <w:lang w:bidi="he-IL"/>
        </w:rPr>
        <w:t xml:space="preserve"> פעם </w:t>
      </w:r>
      <w:r w:rsidR="008743D3" w:rsidRPr="00882F11">
        <w:rPr>
          <w:rFonts w:cs="Guttman Drogolin" w:hint="cs"/>
          <w:rtl/>
          <w:lang w:bidi="he-IL"/>
        </w:rPr>
        <w:t>א' בחיי הכלי, ואם לא עשה כן ביטל</w:t>
      </w:r>
      <w:r w:rsidR="007E798F" w:rsidRPr="00882F11">
        <w:rPr>
          <w:rFonts w:cs="Guttman Drogolin" w:hint="cs"/>
          <w:rtl/>
          <w:lang w:bidi="he-IL"/>
        </w:rPr>
        <w:t xml:space="preserve"> המצוה. ודו</w:t>
      </w:r>
      <w:r w:rsidRPr="00882F11">
        <w:rPr>
          <w:rFonts w:cs="Guttman Drogolin" w:hint="cs"/>
          <w:rtl/>
          <w:lang w:bidi="he-IL"/>
        </w:rPr>
        <w:t>ג</w:t>
      </w:r>
      <w:r w:rsidR="007E798F" w:rsidRPr="00882F11">
        <w:rPr>
          <w:rFonts w:cs="Guttman Drogolin" w:hint="cs"/>
          <w:rtl/>
          <w:lang w:bidi="he-IL"/>
        </w:rPr>
        <w:t>מ</w:t>
      </w:r>
      <w:r w:rsidRPr="00882F11">
        <w:rPr>
          <w:rFonts w:cs="Guttman Drogolin" w:hint="cs"/>
          <w:rtl/>
          <w:lang w:bidi="he-IL"/>
        </w:rPr>
        <w:t>א לדבר יש בחיוב מילה, דשיטת הרמב"ם בפ"א ה"ב מהל' מילה דליכ</w:t>
      </w:r>
      <w:r w:rsidR="008743D3" w:rsidRPr="00882F11">
        <w:rPr>
          <w:rFonts w:cs="Guttman Drogolin" w:hint="cs"/>
          <w:rtl/>
          <w:lang w:bidi="he-IL"/>
        </w:rPr>
        <w:t>א</w:t>
      </w:r>
      <w:r w:rsidRPr="00882F11">
        <w:rPr>
          <w:rFonts w:cs="Guttman Drogolin" w:hint="cs"/>
          <w:rtl/>
          <w:lang w:bidi="he-IL"/>
        </w:rPr>
        <w:t xml:space="preserve"> חיוב כרת אלא למי שלא מל כל ימי חייו, והיינו שהחיוב כרת הוא מי שלא קידש את עצמו כל ימי חייו בקדושת ברית מילה, ודומה לזה גם טבילת כלים, </w:t>
      </w:r>
      <w:r w:rsidR="004A7423" w:rsidRPr="00882F11">
        <w:rPr>
          <w:rFonts w:cs="Guttman Drogolin" w:hint="cs"/>
          <w:rtl/>
          <w:lang w:bidi="he-IL"/>
        </w:rPr>
        <w:t xml:space="preserve">שיש חיוב לתת לו </w:t>
      </w:r>
      <w:r w:rsidR="008743D3" w:rsidRPr="00882F11">
        <w:rPr>
          <w:rFonts w:cs="Guttman Drogolin" w:hint="cs"/>
          <w:rtl/>
          <w:lang w:bidi="he-IL"/>
        </w:rPr>
        <w:t>טהרה</w:t>
      </w:r>
      <w:r w:rsidR="004A7423" w:rsidRPr="00882F11">
        <w:rPr>
          <w:rFonts w:cs="Guttman Drogolin" w:hint="cs"/>
          <w:rtl/>
          <w:lang w:bidi="he-IL"/>
        </w:rPr>
        <w:t xml:space="preserve"> זו פעם בחיי הכלי. ולכאורה אף על גב שאין חיוב להטביל הכלי מיד אם לא ירצה, מ"מ יש ענין להטבילו </w:t>
      </w:r>
      <w:r w:rsidR="004A7423" w:rsidRPr="00882F11">
        <w:rPr>
          <w:rFonts w:cs="Guttman Drogolin" w:hint="cs"/>
          <w:rtl/>
          <w:lang w:bidi="he-IL"/>
        </w:rPr>
        <w:lastRenderedPageBreak/>
        <w:t>בהקדם האפשרי משום דזריזין מקדימיין למצות</w:t>
      </w:r>
      <w:r w:rsidR="00F021D5">
        <w:rPr>
          <w:rStyle w:val="FootnoteReference"/>
          <w:rFonts w:cs="Guttman Drogolin"/>
          <w:rtl/>
          <w:lang w:bidi="he-IL"/>
        </w:rPr>
        <w:footnoteReference w:id="447"/>
      </w:r>
      <w:r w:rsidR="004A7423" w:rsidRPr="00882F11">
        <w:rPr>
          <w:rFonts w:cs="Guttman Drogolin" w:hint="cs"/>
          <w:rtl/>
          <w:lang w:bidi="he-IL"/>
        </w:rPr>
        <w:t xml:space="preserve">. </w:t>
      </w:r>
    </w:p>
    <w:p w:rsidR="00817AA9" w:rsidRPr="00882F11" w:rsidRDefault="00D66E9F" w:rsidP="00D66E9F">
      <w:pPr>
        <w:tabs>
          <w:tab w:val="right" w:pos="7497"/>
        </w:tabs>
        <w:bidi/>
        <w:jc w:val="both"/>
        <w:rPr>
          <w:rFonts w:cs="Guttman Drogolin"/>
          <w:rtl/>
          <w:lang w:bidi="he-IL"/>
        </w:rPr>
      </w:pPr>
      <w:r>
        <w:rPr>
          <w:rFonts w:cs="Guttman Drogolin" w:hint="cs"/>
          <w:rtl/>
          <w:lang w:bidi="he-IL"/>
        </w:rPr>
        <w:t>ו</w:t>
      </w:r>
      <w:r w:rsidR="004A7423" w:rsidRPr="00882F11">
        <w:rPr>
          <w:rFonts w:cs="Guttman Drogolin" w:hint="cs"/>
          <w:rtl/>
          <w:lang w:bidi="he-IL"/>
        </w:rPr>
        <w:t xml:space="preserve">יש להעיר על דבריו ממה שמשמע מכמה מקומות בסוגיא שיש איסור השתמשות קודם טבילת הכלי. </w:t>
      </w:r>
      <w:r w:rsidR="005E4732" w:rsidRPr="00882F11">
        <w:rPr>
          <w:rFonts w:cs="Guttman Drogolin" w:hint="cs"/>
          <w:rtl/>
          <w:lang w:bidi="he-IL"/>
        </w:rPr>
        <w:t>חדא שהרי לשון הגמ' באבא דמר בר רב אשי שמשכן ליה עובד כוכבים כסא דכספא 'ואטבליה ואישתי ביה'</w:t>
      </w:r>
      <w:r w:rsidR="00A63BBE" w:rsidRPr="00882F11">
        <w:rPr>
          <w:rFonts w:cs="Guttman Drogolin" w:hint="cs"/>
          <w:rtl/>
          <w:lang w:bidi="he-IL"/>
        </w:rPr>
        <w:t>. ולדברי הרי"ד לכאורה צ"ע, דמהו ענין אישתי ביה, שהרי לשתות בו הי' יכול בין אם הי' עליו חיוב טבילה</w:t>
      </w:r>
      <w:r w:rsidR="007E798F" w:rsidRPr="00882F11">
        <w:rPr>
          <w:rFonts w:cs="Guttman Drogolin" w:hint="cs"/>
          <w:rtl/>
          <w:lang w:bidi="he-IL"/>
        </w:rPr>
        <w:t xml:space="preserve"> </w:t>
      </w:r>
      <w:r w:rsidR="00A63BBE" w:rsidRPr="00882F11">
        <w:rPr>
          <w:rFonts w:cs="Guttman Drogolin" w:hint="cs"/>
          <w:rtl/>
          <w:lang w:bidi="he-IL"/>
        </w:rPr>
        <w:t xml:space="preserve">בין לא, ובין הטבילו ובין לא. ולדבריו הול"ל ואטבלי' ותו לא. ועוד קשה קצת לשון הגמ' מטבילן 'והן טהורין', שהרי אין לנו ענין בטהרתן, רק כיון שהטבילן יצא ידי חובתו. ולכאורה משמעות לשון זה דהן טהורין </w:t>
      </w:r>
      <w:r>
        <w:rPr>
          <w:rFonts w:cs="Guttman Drogolin" w:hint="cs"/>
          <w:rtl/>
          <w:lang w:bidi="he-IL"/>
        </w:rPr>
        <w:t>הוא ד</w:t>
      </w:r>
      <w:r w:rsidR="00A63BBE" w:rsidRPr="00882F11">
        <w:rPr>
          <w:rFonts w:cs="Guttman Drogolin" w:hint="cs"/>
          <w:rtl/>
          <w:lang w:bidi="he-IL"/>
        </w:rPr>
        <w:t>מעכשיו מותרים בתשמיש. ויש לדחות שכל כוונת הגמ' לומר שקיים מצותו, שענין החיוב ה</w:t>
      </w:r>
      <w:r>
        <w:rPr>
          <w:rFonts w:cs="Guttman Drogolin" w:hint="cs"/>
          <w:rtl/>
          <w:lang w:bidi="he-IL"/>
        </w:rPr>
        <w:t>ו</w:t>
      </w:r>
      <w:r w:rsidR="00A63BBE" w:rsidRPr="00882F11">
        <w:rPr>
          <w:rFonts w:cs="Guttman Drogolin" w:hint="cs"/>
          <w:rtl/>
          <w:lang w:bidi="he-IL"/>
        </w:rPr>
        <w:t xml:space="preserve">א לטהר הכלים מטומאת עכו"ם, וא"כ אחרי שהטבילן קיים המצוה הואיל והן טהורים. ועוד לשון הברייתא 'וכולן שנשתמש בהן עד שלא יטביל' ותני חדא מותר, דלשיטת הרי"ד הול"ל עוד יותר, שמותר אפילו לכתחילה להשתמש מהם. אמנם זה שפיר יש לדחות דאגב אחריני הבלועים טעם איסור נקטי', ובהנהו ודאי לכתחילה אסור משום גזירה דאינו בן יומו אטו בן יומו. וראיתי עוד ראי' נפלאה בשם הגר"ח גריינמן. והוא שהרי הי' ס"ד שבטבילת כלים צריך הערב שמש כנדה, וקמ"ל שהוא טהור מיד. ולכאורה צ"ע, שאם אין איסור להשתמש קודם שיתטהר, מהו הענין של הערב שמש, הא המעשה מצוה שהי' מוטל </w:t>
      </w:r>
      <w:r w:rsidR="00A649EB" w:rsidRPr="00882F11">
        <w:rPr>
          <w:rFonts w:cs="Guttman Drogolin" w:hint="cs"/>
          <w:rtl/>
          <w:lang w:bidi="he-IL"/>
        </w:rPr>
        <w:t>עליו לעשות</w:t>
      </w:r>
      <w:r w:rsidR="00A63BBE" w:rsidRPr="00882F11">
        <w:rPr>
          <w:rFonts w:cs="Guttman Drogolin" w:hint="cs"/>
          <w:rtl/>
          <w:lang w:bidi="he-IL"/>
        </w:rPr>
        <w:t xml:space="preserve"> כבר קיים קודם הערב שמש, ואיסור תשמיש בכל אופן ליכא. וע"כ דנפק"מ לאיסור השתמשות, וס"ד שיהא אסור בתשמיש עד שיתט</w:t>
      </w:r>
      <w:r w:rsidR="008743D3" w:rsidRPr="00882F11">
        <w:rPr>
          <w:rFonts w:cs="Guttman Drogolin" w:hint="cs"/>
          <w:rtl/>
          <w:lang w:bidi="he-IL"/>
        </w:rPr>
        <w:t>ה</w:t>
      </w:r>
      <w:r w:rsidR="00A63BBE" w:rsidRPr="00882F11">
        <w:rPr>
          <w:rFonts w:cs="Guttman Drogolin" w:hint="cs"/>
          <w:rtl/>
          <w:lang w:bidi="he-IL"/>
        </w:rPr>
        <w:t>ר ע"י הערב שמש, וקמ"ל שמתט</w:t>
      </w:r>
      <w:r w:rsidR="007E798F" w:rsidRPr="00882F11">
        <w:rPr>
          <w:rFonts w:cs="Guttman Drogolin" w:hint="cs"/>
          <w:rtl/>
          <w:lang w:bidi="he-IL"/>
        </w:rPr>
        <w:t>ה</w:t>
      </w:r>
      <w:r w:rsidR="00A63BBE" w:rsidRPr="00882F11">
        <w:rPr>
          <w:rFonts w:cs="Guttman Drogolin" w:hint="cs"/>
          <w:rtl/>
          <w:lang w:bidi="he-IL"/>
        </w:rPr>
        <w:t xml:space="preserve">ר מיד. וראיתי בס' פני הבית </w:t>
      </w:r>
      <w:r w:rsidR="00817AA9" w:rsidRPr="00882F11">
        <w:rPr>
          <w:rFonts w:cs="Guttman Drogolin" w:hint="cs"/>
          <w:rtl/>
          <w:lang w:bidi="he-IL"/>
        </w:rPr>
        <w:t xml:space="preserve">(עמ' תע"ב) </w:t>
      </w:r>
      <w:r w:rsidR="00A63BBE" w:rsidRPr="00882F11">
        <w:rPr>
          <w:rFonts w:cs="Guttman Drogolin" w:hint="cs"/>
          <w:rtl/>
          <w:lang w:bidi="he-IL"/>
        </w:rPr>
        <w:t xml:space="preserve">שכתב שאפשר לדחות דלעולם ליכא איסור השתמשות, אבל נפק"מ יש בהערב שמש </w:t>
      </w:r>
      <w:r w:rsidR="00A63BBE" w:rsidRPr="00882F11">
        <w:rPr>
          <w:rFonts w:cs="Guttman Drogolin" w:hint="cs"/>
          <w:rtl/>
          <w:lang w:bidi="he-IL"/>
        </w:rPr>
        <w:lastRenderedPageBreak/>
        <w:t xml:space="preserve">למי שקנה כלי </w:t>
      </w:r>
      <w:r w:rsidR="00817AA9" w:rsidRPr="00882F11">
        <w:rPr>
          <w:rFonts w:cs="Guttman Drogolin" w:hint="cs"/>
          <w:rtl/>
          <w:lang w:bidi="he-IL"/>
        </w:rPr>
        <w:t>ודעתו לחזור ולמוכרו לו קודם הערב שמש, האם קיים מצותו או לא, ודחוק.</w:t>
      </w:r>
      <w:r w:rsidR="00A63BBE" w:rsidRPr="00882F11">
        <w:rPr>
          <w:rFonts w:cs="Guttman Drogolin" w:hint="cs"/>
          <w:rtl/>
          <w:lang w:bidi="he-IL"/>
        </w:rPr>
        <w:t xml:space="preserve"> </w:t>
      </w:r>
    </w:p>
    <w:p w:rsidR="008B2331" w:rsidRDefault="006A3C22" w:rsidP="008B2331">
      <w:pPr>
        <w:tabs>
          <w:tab w:val="right" w:pos="7497"/>
        </w:tabs>
        <w:bidi/>
        <w:jc w:val="both"/>
        <w:rPr>
          <w:rFonts w:cs="Guttman Drogolin"/>
          <w:rtl/>
          <w:lang w:bidi="he-IL"/>
        </w:rPr>
      </w:pPr>
      <w:r>
        <w:rPr>
          <w:rFonts w:cs="Guttman Drogolin"/>
          <w:rtl/>
          <w:lang w:bidi="he-IL"/>
        </w:rPr>
        <w:fldChar w:fldCharType="begin"/>
      </w:r>
      <w:r>
        <w:instrText xml:space="preserve"> XE "</w:instrText>
      </w:r>
      <w:r w:rsidRPr="00FC521B">
        <w:rPr>
          <w:rFonts w:hint="cs"/>
          <w:rtl/>
          <w:lang w:bidi="he-IL"/>
        </w:rPr>
        <w:instrText>טבילת כלים</w:instrText>
      </w:r>
      <w:r w:rsidRPr="00FC521B">
        <w:rPr>
          <w:rtl/>
        </w:rPr>
        <w:instrText>:</w:instrText>
      </w:r>
      <w:r w:rsidRPr="00FC521B">
        <w:rPr>
          <w:rFonts w:hint="cs"/>
          <w:rtl/>
          <w:lang w:bidi="he-IL"/>
        </w:rPr>
        <w:instrText>מקורות לאיסור תשמיש לפני טבילה</w:instrText>
      </w:r>
      <w:r>
        <w:instrText xml:space="preserve">" </w:instrText>
      </w:r>
      <w:r>
        <w:rPr>
          <w:rFonts w:cs="Guttman Drogolin"/>
          <w:rtl/>
          <w:lang w:bidi="he-IL"/>
        </w:rPr>
        <w:fldChar w:fldCharType="end"/>
      </w:r>
      <w:r w:rsidR="00817AA9" w:rsidRPr="00882F11">
        <w:rPr>
          <w:rFonts w:cs="Guttman Drogolin" w:hint="cs"/>
          <w:rtl/>
          <w:lang w:bidi="he-IL"/>
        </w:rPr>
        <w:t>ובאמת איסור תשמיש מבואר מכמה ראשונים. חדא שלכאורה כ</w:t>
      </w:r>
      <w:r w:rsidR="00EF2E3A" w:rsidRPr="00882F11">
        <w:rPr>
          <w:rFonts w:cs="Guttman Drogolin" w:hint="cs"/>
          <w:rtl/>
          <w:lang w:bidi="he-IL"/>
        </w:rPr>
        <w:t>ן מבואר מראית התוס' בד"ה מגעילן</w:t>
      </w:r>
      <w:r w:rsidR="00817AA9" w:rsidRPr="00882F11">
        <w:rPr>
          <w:rFonts w:cs="Guttman Drogolin" w:hint="cs"/>
          <w:rtl/>
          <w:lang w:bidi="he-IL"/>
        </w:rPr>
        <w:t>.</w:t>
      </w:r>
      <w:r w:rsidR="007B76D8" w:rsidRPr="00882F11">
        <w:rPr>
          <w:rFonts w:cs="Guttman Drogolin" w:hint="cs"/>
          <w:rtl/>
          <w:lang w:bidi="he-IL"/>
        </w:rPr>
        <w:t xml:space="preserve"> שהתוס' הוכיחו </w:t>
      </w:r>
      <w:r w:rsidR="007E798F" w:rsidRPr="00882F11">
        <w:rPr>
          <w:rFonts w:cs="Guttman Drogolin" w:hint="cs"/>
          <w:rtl/>
          <w:lang w:bidi="he-IL"/>
        </w:rPr>
        <w:t>ש</w:t>
      </w:r>
      <w:r w:rsidR="007B76D8" w:rsidRPr="00882F11">
        <w:rPr>
          <w:rFonts w:cs="Guttman Drogolin" w:hint="cs"/>
          <w:rtl/>
          <w:lang w:bidi="he-IL"/>
        </w:rPr>
        <w:t>אין קפידא בסדר של הגעלה ואח"כ טבילה מהא דסכין שפה והיא טהורה. ולכאורה הביאור בכוונתם, שהרי שיטת התוס' לעיל הוא שאין ההיתר שע"י שפה אלא להשתמש בה בצונן, אבל לרותחין צריכים להוציא הבליעות ממנו. וא"כ לכאורה צ"ע, דנהי נמי שאין הסכין צריך</w:t>
      </w:r>
      <w:r w:rsidR="00817AA9" w:rsidRPr="00882F11">
        <w:rPr>
          <w:rFonts w:cs="Guttman Drogolin" w:hint="cs"/>
          <w:rtl/>
          <w:lang w:bidi="he-IL"/>
        </w:rPr>
        <w:t xml:space="preserve"> </w:t>
      </w:r>
      <w:r w:rsidR="007B76D8" w:rsidRPr="00882F11">
        <w:rPr>
          <w:rFonts w:cs="Guttman Drogolin" w:hint="cs"/>
          <w:rtl/>
          <w:lang w:bidi="he-IL"/>
        </w:rPr>
        <w:t xml:space="preserve">אלא שפה להשתמש בה בצונן, אבל אם סדר של הגעלה ואח"כ טבילה מעכב, איך מותר להשתמש בה בצונן כל זמן שלא הכשירו, הא עדיין אין לה טבילה והיא </w:t>
      </w:r>
      <w:r w:rsidR="007E798F" w:rsidRPr="00882F11">
        <w:rPr>
          <w:rFonts w:cs="Guttman Drogolin" w:hint="cs"/>
          <w:rtl/>
          <w:lang w:bidi="he-IL"/>
        </w:rPr>
        <w:t>אסורה בתשמיש. וע"כ שאין הסדר מעכ</w:t>
      </w:r>
      <w:r w:rsidR="007B76D8" w:rsidRPr="00882F11">
        <w:rPr>
          <w:rFonts w:cs="Guttman Drogolin" w:hint="cs"/>
          <w:rtl/>
          <w:lang w:bidi="he-IL"/>
        </w:rPr>
        <w:t>ב. ומ"מ מילתא אגב אורחא קמ"ל שיש איסור לה</w:t>
      </w:r>
      <w:r w:rsidR="007E798F" w:rsidRPr="00882F11">
        <w:rPr>
          <w:rFonts w:cs="Guttman Drogolin" w:hint="cs"/>
          <w:rtl/>
          <w:lang w:bidi="he-IL"/>
        </w:rPr>
        <w:t>שת</w:t>
      </w:r>
      <w:r w:rsidR="007B76D8" w:rsidRPr="00882F11">
        <w:rPr>
          <w:rFonts w:cs="Guttman Drogolin" w:hint="cs"/>
          <w:rtl/>
          <w:lang w:bidi="he-IL"/>
        </w:rPr>
        <w:t>מש בכלי קודם טבילה</w:t>
      </w:r>
      <w:r w:rsidR="00382D99" w:rsidRPr="00882F11">
        <w:rPr>
          <w:rStyle w:val="FootnoteReference"/>
          <w:rFonts w:cs="Guttman Drogolin"/>
          <w:rtl/>
          <w:lang w:bidi="he-IL"/>
        </w:rPr>
        <w:footnoteReference w:id="448"/>
      </w:r>
      <w:r w:rsidR="007B76D8" w:rsidRPr="00882F11">
        <w:rPr>
          <w:rFonts w:cs="Guttman Drogolin" w:hint="cs"/>
          <w:rtl/>
          <w:lang w:bidi="he-IL"/>
        </w:rPr>
        <w:t>.</w:t>
      </w:r>
      <w:r w:rsidR="008B2331">
        <w:rPr>
          <w:rFonts w:cs="Guttman Drogolin" w:hint="cs"/>
          <w:rtl/>
          <w:lang w:bidi="he-IL"/>
        </w:rPr>
        <w:t xml:space="preserve"> </w:t>
      </w:r>
      <w:r w:rsidR="00817AA9" w:rsidRPr="00882F11">
        <w:rPr>
          <w:rFonts w:cs="Guttman Drogolin" w:hint="cs"/>
          <w:rtl/>
          <w:lang w:bidi="he-IL"/>
        </w:rPr>
        <w:t>וכן לכאורה מבואר מלשון הרמב"ם הנ"ל. וכן משמע לשון הטור בתחילת הסימן "</w:t>
      </w:r>
      <w:r w:rsidR="00817AA9" w:rsidRPr="00882F11">
        <w:rPr>
          <w:rFonts w:cs="Guttman Drogolin"/>
          <w:rtl/>
          <w:lang w:bidi="he-IL"/>
        </w:rPr>
        <w:t>הלוקח כלים חדשים מן הנכרי אסור להשתמש בהן עד שיטבילם</w:t>
      </w:r>
      <w:r w:rsidR="00817AA9" w:rsidRPr="00882F11">
        <w:rPr>
          <w:rFonts w:cs="Guttman Drogolin" w:hint="cs"/>
          <w:rtl/>
          <w:lang w:bidi="he-IL"/>
        </w:rPr>
        <w:t xml:space="preserve">". </w:t>
      </w:r>
    </w:p>
    <w:p w:rsidR="00503477" w:rsidRDefault="00817AA9" w:rsidP="00503477">
      <w:pPr>
        <w:tabs>
          <w:tab w:val="right" w:pos="7497"/>
        </w:tabs>
        <w:bidi/>
        <w:jc w:val="both"/>
        <w:rPr>
          <w:rFonts w:cs="Guttman Drogolin"/>
          <w:rtl/>
          <w:lang w:bidi="he-IL"/>
        </w:rPr>
      </w:pPr>
      <w:r w:rsidRPr="00882F11">
        <w:rPr>
          <w:rFonts w:cs="Guttman Drogolin" w:hint="cs"/>
          <w:rtl/>
          <w:lang w:bidi="he-IL"/>
        </w:rPr>
        <w:t>אמנם יל</w:t>
      </w:r>
      <w:r w:rsidR="008B2331">
        <w:rPr>
          <w:rFonts w:cs="Guttman Drogolin" w:hint="cs"/>
          <w:rtl/>
          <w:lang w:bidi="he-IL"/>
        </w:rPr>
        <w:t xml:space="preserve">"ע אפילו לפי שיטתם מהו גדר הדבר. והנה </w:t>
      </w:r>
      <w:r w:rsidRPr="00882F11">
        <w:rPr>
          <w:rFonts w:cs="Guttman Drogolin" w:hint="cs"/>
          <w:rtl/>
          <w:lang w:bidi="he-IL"/>
        </w:rPr>
        <w:t xml:space="preserve"> </w:t>
      </w:r>
      <w:r w:rsidR="008B2331" w:rsidRPr="00882F11">
        <w:rPr>
          <w:rFonts w:cs="Guttman Drogolin" w:hint="cs"/>
          <w:rtl/>
          <w:lang w:bidi="he-IL"/>
        </w:rPr>
        <w:t xml:space="preserve">באו"ז </w:t>
      </w:r>
      <w:r w:rsidR="008B2331" w:rsidRPr="00882F11">
        <w:rPr>
          <w:rFonts w:cs="Guttman Drogolin"/>
          <w:rtl/>
          <w:lang w:bidi="he-IL"/>
        </w:rPr>
        <w:t>(ח"ד פסקי ע"ז סי' רצ"ג</w:t>
      </w:r>
      <w:r w:rsidR="008B2331">
        <w:rPr>
          <w:rFonts w:cs="Guttman Drogolin" w:hint="cs"/>
          <w:rtl/>
          <w:lang w:bidi="he-IL"/>
        </w:rPr>
        <w:t xml:space="preserve">) כתב שגדר החיוב של טבילת כלים </w:t>
      </w:r>
      <w:r w:rsidR="008B2331" w:rsidRPr="00882F11">
        <w:rPr>
          <w:rFonts w:cs="Guttman Drogolin" w:hint="cs"/>
          <w:rtl/>
          <w:lang w:bidi="he-IL"/>
        </w:rPr>
        <w:t xml:space="preserve">הוא </w:t>
      </w:r>
      <w:r w:rsidR="008B2331" w:rsidRPr="00882F11">
        <w:rPr>
          <w:rFonts w:cs="Guttman Drogolin"/>
          <w:rtl/>
          <w:lang w:bidi="he-IL"/>
        </w:rPr>
        <w:t>"גזירת הכתוב דאסר רחמנא להשתמש בהם</w:t>
      </w:r>
      <w:r w:rsidR="008B2331" w:rsidRPr="00882F11">
        <w:rPr>
          <w:rFonts w:cs="Guttman Drogolin" w:hint="cs"/>
          <w:rtl/>
          <w:lang w:bidi="he-IL"/>
        </w:rPr>
        <w:t>"</w:t>
      </w:r>
      <w:r w:rsidR="008B2331">
        <w:rPr>
          <w:rFonts w:cs="Guttman Drogolin" w:hint="cs"/>
          <w:rtl/>
          <w:lang w:bidi="he-IL"/>
        </w:rPr>
        <w:t xml:space="preserve">. והיינו כצד הנ"ל שכל הדין טבילת כלים מדאורייתא הו להתיר השימוש בו. אמנם יעוין </w:t>
      </w:r>
      <w:r w:rsidR="008B2331">
        <w:rPr>
          <w:rFonts w:cs="Guttman Drogolin"/>
          <w:rtl/>
          <w:lang w:bidi="he-IL"/>
        </w:rPr>
        <w:fldChar w:fldCharType="begin"/>
      </w:r>
      <w:r w:rsidR="008B2331">
        <w:instrText xml:space="preserve"> XE "</w:instrText>
      </w:r>
      <w:r w:rsidR="008B2331" w:rsidRPr="001A769B">
        <w:rPr>
          <w:rFonts w:hint="cs"/>
          <w:rtl/>
          <w:lang w:bidi="he-IL"/>
        </w:rPr>
        <w:instrText>טבילת כלים</w:instrText>
      </w:r>
      <w:r w:rsidR="008B2331" w:rsidRPr="001A769B">
        <w:rPr>
          <w:rtl/>
        </w:rPr>
        <w:instrText>:</w:instrText>
      </w:r>
      <w:r w:rsidR="008B2331" w:rsidRPr="001A769B">
        <w:rPr>
          <w:rFonts w:hint="cs"/>
          <w:rtl/>
          <w:lang w:bidi="he-IL"/>
        </w:rPr>
        <w:instrText>אם האיסור להשתמש לפני טבילה מדאורייתא</w:instrText>
      </w:r>
      <w:r w:rsidR="008B2331">
        <w:instrText xml:space="preserve">" </w:instrText>
      </w:r>
      <w:r w:rsidR="008B2331">
        <w:rPr>
          <w:rFonts w:cs="Guttman Drogolin"/>
          <w:rtl/>
          <w:lang w:bidi="he-IL"/>
        </w:rPr>
        <w:fldChar w:fldCharType="end"/>
      </w:r>
      <w:r w:rsidR="008B2331" w:rsidRPr="00882F11">
        <w:rPr>
          <w:rFonts w:cs="Guttman Drogolin" w:hint="cs"/>
          <w:rtl/>
          <w:lang w:bidi="he-IL"/>
        </w:rPr>
        <w:t xml:space="preserve">בישועות יעקב </w:t>
      </w:r>
      <w:r w:rsidR="008B2331">
        <w:rPr>
          <w:rFonts w:cs="Guttman Drogolin" w:hint="cs"/>
          <w:rtl/>
          <w:lang w:bidi="he-IL"/>
        </w:rPr>
        <w:t>ש</w:t>
      </w:r>
      <w:r w:rsidR="008B2331" w:rsidRPr="00882F11">
        <w:rPr>
          <w:rFonts w:cs="Guttman Drogolin" w:hint="cs"/>
          <w:rtl/>
          <w:lang w:bidi="he-IL"/>
        </w:rPr>
        <w:t>התקשה בדברי הרמב"ם הנ"ל, שמצד א' כתב שטבילת כלים הוא מדברי סופרים. ומצד שני כתב בהמשך דבריו "</w:t>
      </w:r>
      <w:r w:rsidR="008B2331" w:rsidRPr="00882F11">
        <w:rPr>
          <w:rFonts w:cs="Guttman Drogolin"/>
          <w:rtl/>
          <w:lang w:bidi="he-IL"/>
        </w:rPr>
        <w:t>ורמז לה כל דבר אשר יבא באש תעבירו באש וטהר ומפי השמועה למדו שאינו מדבר אלא בטהרתן מידי גיעולי עכו"ם לא מידי טומאה</w:t>
      </w:r>
      <w:r w:rsidR="008B2331" w:rsidRPr="00882F11">
        <w:rPr>
          <w:rFonts w:cs="Guttman Drogolin" w:hint="cs"/>
          <w:rtl/>
          <w:lang w:bidi="he-IL"/>
        </w:rPr>
        <w:t xml:space="preserve">". הרי שכתב שהוא מפי השמועה. ולכן נקט הישועות יעקב בדעת הרמב"ם שלעולם עיקר החיוב של טבילת כלים הוא מן התורה וכמש"כ שו"ת </w:t>
      </w:r>
      <w:r w:rsidR="008B2331" w:rsidRPr="00882F11">
        <w:rPr>
          <w:rFonts w:cs="Guttman Drogolin" w:hint="cs"/>
          <w:rtl/>
          <w:lang w:bidi="he-IL"/>
        </w:rPr>
        <w:lastRenderedPageBreak/>
        <w:t xml:space="preserve">הרשב"א בדעתו, והוא חיוב לטהר את הכלי מידי גיעולו (חוץ מן ההכשר שצריך) אבל איסור שימוש אינו אלא מדרבנן. אמנם עיקר דבריו לכאורה צ"ע. חדא שהוא נגד דעת הרבה ראשונים שנקטו בדעתו שגם </w:t>
      </w:r>
      <w:r w:rsidR="00503477">
        <w:rPr>
          <w:rFonts w:cs="Guttman Drogolin" w:hint="cs"/>
          <w:rtl/>
          <w:lang w:bidi="he-IL"/>
        </w:rPr>
        <w:t>עיקר החיוב אינו אלא מדרבנן, ו</w:t>
      </w:r>
      <w:r w:rsidR="00503477" w:rsidRPr="00882F11">
        <w:rPr>
          <w:rFonts w:cs="Guttman Drogolin" w:hint="cs"/>
          <w:rtl/>
          <w:lang w:bidi="he-IL"/>
        </w:rPr>
        <w:t xml:space="preserve">מיישבים </w:t>
      </w:r>
      <w:r w:rsidR="008B2331" w:rsidRPr="00882F11">
        <w:rPr>
          <w:rFonts w:cs="Guttman Drogolin" w:hint="cs"/>
          <w:rtl/>
          <w:lang w:bidi="he-IL"/>
        </w:rPr>
        <w:t xml:space="preserve">בזה הא דסבר הרמב"ם שבמשכן אצלו כלי אינו חייב בטבילה, </w:t>
      </w:r>
      <w:r w:rsidR="00503477">
        <w:rPr>
          <w:rFonts w:cs="Guttman Drogolin" w:hint="cs"/>
          <w:rtl/>
          <w:lang w:bidi="he-IL"/>
        </w:rPr>
        <w:t>ד</w:t>
      </w:r>
      <w:r w:rsidR="008B2331" w:rsidRPr="00882F11">
        <w:rPr>
          <w:rFonts w:cs="Guttman Drogolin" w:hint="cs"/>
          <w:rtl/>
          <w:lang w:bidi="he-IL"/>
        </w:rPr>
        <w:t xml:space="preserve">כיון שטבילת כלים אינו אלא מדרבנן </w:t>
      </w:r>
      <w:r w:rsidR="00503477">
        <w:rPr>
          <w:rFonts w:cs="Guttman Drogolin" w:hint="cs"/>
          <w:rtl/>
          <w:lang w:bidi="he-IL"/>
        </w:rPr>
        <w:t xml:space="preserve">והחיוב במשכן אצלו כלי אינו אלא מספק,  </w:t>
      </w:r>
      <w:r w:rsidR="008B2331" w:rsidRPr="00882F11">
        <w:rPr>
          <w:rFonts w:cs="Guttman Drogolin" w:hint="cs"/>
          <w:rtl/>
          <w:lang w:bidi="he-IL"/>
        </w:rPr>
        <w:t>מקילים בספיקו. וכן לענין זה שכתב שהוא מפי השמועה, אין ר"ל שהחיוב טבילה הוא מפי השמועה, רק שהדין של הגעלת כלים הוא מפי השמועה, וכוונת הרמב"ם לומר דכיון שמפי השמועה למדו שהפסוק מיירי בהכשר הכלים מבליעתן, יש רמז שה'וטהר' מיירי בטהרה מזה.</w:t>
      </w:r>
    </w:p>
    <w:p w:rsidR="006B74F5" w:rsidRPr="00882F11" w:rsidRDefault="00503477" w:rsidP="00503477">
      <w:pPr>
        <w:tabs>
          <w:tab w:val="right" w:pos="7497"/>
        </w:tabs>
        <w:bidi/>
        <w:jc w:val="both"/>
        <w:rPr>
          <w:rFonts w:cs="Guttman Drogolin"/>
          <w:rtl/>
          <w:lang w:bidi="he-IL"/>
        </w:rPr>
      </w:pPr>
      <w:r>
        <w:rPr>
          <w:rFonts w:cs="Guttman Drogolin" w:hint="cs"/>
          <w:rtl/>
          <w:lang w:bidi="he-IL"/>
        </w:rPr>
        <w:t xml:space="preserve">ומ"מ מבואר מדברי הישועות יעקב בדעת הרמב"ם שהחיוב טבילה הו מדאורייתא אבל האיסור שימוש אינו אלא מדרבנן. וכן נקט לדינא </w:t>
      </w:r>
      <w:r w:rsidRPr="00882F11">
        <w:rPr>
          <w:rFonts w:cs="Guttman Drogolin" w:hint="cs"/>
          <w:rtl/>
          <w:lang w:bidi="he-IL"/>
        </w:rPr>
        <w:t>בביאור הלכה</w:t>
      </w:r>
      <w:r w:rsidRPr="00882F11">
        <w:rPr>
          <w:rStyle w:val="FootnoteReference"/>
          <w:rFonts w:cs="Guttman Drogolin"/>
          <w:rtl/>
          <w:lang w:bidi="he-IL"/>
        </w:rPr>
        <w:footnoteReference w:id="449"/>
      </w:r>
      <w:r w:rsidRPr="00882F11">
        <w:rPr>
          <w:rFonts w:cs="Guttman Drogolin" w:hint="cs"/>
          <w:rtl/>
          <w:lang w:bidi="he-IL"/>
        </w:rPr>
        <w:t xml:space="preserve"> סי' שכ"ג סע' ז' ד"ה מתר להטביל.</w:t>
      </w:r>
      <w:r>
        <w:rPr>
          <w:rFonts w:cs="Guttman Drogolin" w:hint="cs"/>
          <w:rtl/>
          <w:lang w:bidi="he-IL"/>
        </w:rPr>
        <w:t xml:space="preserve"> </w:t>
      </w:r>
      <w:r w:rsidR="001364A2">
        <w:rPr>
          <w:rFonts w:cs="Guttman Drogolin" w:hint="cs"/>
          <w:rtl/>
          <w:lang w:bidi="he-IL"/>
        </w:rPr>
        <w:t xml:space="preserve">ולפי הצד שהבאנו לעיל שעיקר הדין של טבילת כלים הוא לאסור תשמיש ליכא למימר שהחיוב טבילה מדאורייתא ואיסור תשמיש אינו אלא מדרבנן, דהא החיוב טבילה ואיסור תשמיש אחת היא. </w:t>
      </w:r>
      <w:r>
        <w:rPr>
          <w:rFonts w:cs="Guttman Drogolin" w:hint="cs"/>
          <w:rtl/>
          <w:lang w:bidi="he-IL"/>
        </w:rPr>
        <w:t xml:space="preserve">ולדבריהם </w:t>
      </w:r>
      <w:r w:rsidR="000E38D4" w:rsidRPr="00882F11">
        <w:rPr>
          <w:rFonts w:cs="Guttman Drogolin" w:hint="cs"/>
          <w:rtl/>
          <w:lang w:bidi="he-IL"/>
        </w:rPr>
        <w:t>ע"כ כוונת הדברים שלעולם החיוב של טבילת כלים</w:t>
      </w:r>
      <w:r w:rsidR="00A63BBE" w:rsidRPr="00882F11">
        <w:rPr>
          <w:rFonts w:cs="Guttman Drogolin" w:hint="cs"/>
          <w:rtl/>
          <w:lang w:bidi="he-IL"/>
        </w:rPr>
        <w:t xml:space="preserve"> </w:t>
      </w:r>
      <w:r w:rsidR="006B74F5" w:rsidRPr="00882F11">
        <w:rPr>
          <w:rFonts w:cs="Guttman Drogolin" w:hint="cs"/>
          <w:rtl/>
          <w:lang w:bidi="he-IL"/>
        </w:rPr>
        <w:t xml:space="preserve">הוא חיוב </w:t>
      </w:r>
      <w:r w:rsidR="00A649EB" w:rsidRPr="00882F11">
        <w:rPr>
          <w:rFonts w:cs="Guttman Drogolin" w:hint="cs"/>
          <w:rtl/>
          <w:lang w:bidi="he-IL"/>
        </w:rPr>
        <w:t>שחל על הכלי להטביל אותו</w:t>
      </w:r>
      <w:r w:rsidR="006B74F5" w:rsidRPr="00882F11">
        <w:rPr>
          <w:rFonts w:cs="Guttman Drogolin" w:hint="cs"/>
          <w:rtl/>
          <w:lang w:bidi="he-IL"/>
        </w:rPr>
        <w:t xml:space="preserve">, וכמו שסבר הרי"ד הנ"ל, והא דאסרו בשימוש איכא למימר שהוא גזירה בעלמא דלמא יתרשל ולא יטבילנו, א"נ משום דמ"מ לא הוה ניחא להו לחז"ל שישתמשו בכלי קודם שיהא עליו </w:t>
      </w:r>
      <w:r w:rsidR="008743D3" w:rsidRPr="00882F11">
        <w:rPr>
          <w:rFonts w:cs="Guttman Drogolin" w:hint="cs"/>
          <w:rtl/>
          <w:lang w:bidi="he-IL"/>
        </w:rPr>
        <w:t>טהרה מטומאת עכו"ם</w:t>
      </w:r>
      <w:r w:rsidR="006B74F5" w:rsidRPr="00882F11">
        <w:rPr>
          <w:rFonts w:cs="Guttman Drogolin" w:hint="cs"/>
          <w:rtl/>
          <w:lang w:bidi="he-IL"/>
        </w:rPr>
        <w:t>.</w:t>
      </w:r>
    </w:p>
    <w:p w:rsidR="00203324" w:rsidRPr="00882F11" w:rsidRDefault="0098321D" w:rsidP="00203324">
      <w:pPr>
        <w:tabs>
          <w:tab w:val="right" w:pos="7497"/>
        </w:tabs>
        <w:bidi/>
        <w:jc w:val="both"/>
        <w:rPr>
          <w:rFonts w:cs="Guttman Drogolin"/>
          <w:rtl/>
          <w:lang w:bidi="he-IL"/>
        </w:rPr>
      </w:pPr>
      <w:r w:rsidRPr="00882F11">
        <w:rPr>
          <w:rFonts w:cs="Guttman Drogolin" w:hint="cs"/>
          <w:rtl/>
          <w:lang w:bidi="he-IL"/>
        </w:rPr>
        <w:t xml:space="preserve">ויש בנידון זה חידוש של הגרשז"א. שלכאורה נראה שהגרשז"א התקשה בזה שיהי' עיקר החיוב מדאורייתא ואיסור ההשתמשות מדרבנן, ומשום שא"כ מה הם דיני החיוב ומתי חייב להטבילו. ולכן סבר (ע' בס' טבילת כלים, מכתב בסוף הס' ד"ה </w:t>
      </w:r>
      <w:r w:rsidRPr="00882F11">
        <w:rPr>
          <w:rFonts w:cs="Guttman Drogolin" w:hint="cs"/>
          <w:rtl/>
          <w:lang w:bidi="he-IL"/>
        </w:rPr>
        <w:lastRenderedPageBreak/>
        <w:t xml:space="preserve">אגב, וכן בשו"ת מנח"ש תנינא סי' ס"ח אות ב') שאפילו למ"ד האיסור תשמיש אינו אלא מדרבנן, הנ"מ כשהוא אנוס מלהטבילו, אבל אם אינו אנוס מלהטבילו יש איסור תשמיש מדאורייתא. והיינו ע"כ שאין עיקר האיסור תשמיש משום שאסור להשתמש בכלי הנקנה כל זמן שיש עליו טומאת עכו"ם, רק </w:t>
      </w:r>
      <w:r w:rsidR="00203324" w:rsidRPr="00882F11">
        <w:rPr>
          <w:rFonts w:cs="Guttman Drogolin" w:hint="cs"/>
          <w:rtl/>
          <w:lang w:bidi="he-IL"/>
        </w:rPr>
        <w:t>שיש חיוב להשתמש בכלים טהורים, ולכן כל זמן שאנוס מלהטביל הרי אינו מבטל חיוב זה כיון שאנוס הוא, דוגמת מי שלובש בגד של ד' כנפות בלי ציצית כשאנוס לקשור עליו ציצית, כגון בשבת, וכשיטת המרדכי הידוע.</w:t>
      </w:r>
    </w:p>
    <w:p w:rsidR="00203324" w:rsidRPr="00882F11" w:rsidRDefault="00203324" w:rsidP="00203324">
      <w:pPr>
        <w:pStyle w:val="Heading1"/>
        <w:bidi/>
        <w:spacing w:before="0" w:line="360" w:lineRule="auto"/>
        <w:jc w:val="center"/>
        <w:rPr>
          <w:rFonts w:cs="Guttman Drogolin"/>
          <w:color w:val="auto"/>
          <w:sz w:val="24"/>
          <w:szCs w:val="24"/>
          <w:u w:val="single"/>
          <w:rtl/>
          <w:lang w:bidi="he-IL"/>
        </w:rPr>
      </w:pPr>
      <w:bookmarkStart w:id="470" w:name="_Toc496175717"/>
      <w:r w:rsidRPr="00882F11">
        <w:rPr>
          <w:rFonts w:cs="Guttman Drogolin" w:hint="cs"/>
          <w:color w:val="auto"/>
          <w:sz w:val="24"/>
          <w:szCs w:val="24"/>
          <w:u w:val="single"/>
          <w:rtl/>
          <w:lang w:bidi="he-IL"/>
        </w:rPr>
        <w:t>עוד בגדר החיוב של טבילת כלים</w:t>
      </w:r>
      <w:bookmarkEnd w:id="470"/>
    </w:p>
    <w:p w:rsidR="009A02A0" w:rsidRPr="00882F11" w:rsidRDefault="006A3C22" w:rsidP="004C5A4D">
      <w:pPr>
        <w:tabs>
          <w:tab w:val="right" w:pos="7497"/>
        </w:tabs>
        <w:bidi/>
        <w:jc w:val="both"/>
        <w:rPr>
          <w:rFonts w:cs="Guttman Drogolin"/>
          <w:rtl/>
          <w:lang w:bidi="he-IL"/>
        </w:rPr>
      </w:pPr>
      <w:r>
        <w:rPr>
          <w:rFonts w:cs="Guttman Drogolin"/>
          <w:rtl/>
          <w:lang w:bidi="he-IL"/>
        </w:rPr>
        <w:fldChar w:fldCharType="begin"/>
      </w:r>
      <w:r>
        <w:instrText xml:space="preserve"> XE "</w:instrText>
      </w:r>
      <w:r w:rsidRPr="00EB3257">
        <w:rPr>
          <w:rFonts w:hint="cs"/>
          <w:rtl/>
          <w:lang w:bidi="he-IL"/>
        </w:rPr>
        <w:instrText>טבילת כלים</w:instrText>
      </w:r>
      <w:r w:rsidRPr="00EB3257">
        <w:rPr>
          <w:rtl/>
        </w:rPr>
        <w:instrText>:</w:instrText>
      </w:r>
      <w:r w:rsidRPr="00EB3257">
        <w:rPr>
          <w:rFonts w:hint="cs"/>
          <w:rtl/>
          <w:lang w:bidi="he-IL"/>
        </w:rPr>
        <w:instrText>גדר החיוב</w:instrText>
      </w:r>
      <w:r>
        <w:instrText xml:space="preserve">" </w:instrText>
      </w:r>
      <w:r>
        <w:rPr>
          <w:rFonts w:cs="Guttman Drogolin"/>
          <w:rtl/>
          <w:lang w:bidi="he-IL"/>
        </w:rPr>
        <w:fldChar w:fldCharType="end"/>
      </w:r>
      <w:r w:rsidR="00203324" w:rsidRPr="00882F11">
        <w:rPr>
          <w:rFonts w:cs="Guttman Drogolin" w:hint="cs"/>
          <w:rtl/>
          <w:lang w:bidi="he-IL"/>
        </w:rPr>
        <w:t xml:space="preserve">הבאנו </w:t>
      </w:r>
      <w:r w:rsidR="00E10D99" w:rsidRPr="00882F11">
        <w:rPr>
          <w:rFonts w:cs="Guttman Drogolin" w:hint="cs"/>
          <w:rtl/>
          <w:lang w:bidi="he-IL"/>
        </w:rPr>
        <w:t>שהירושלמי מבאר שהחי</w:t>
      </w:r>
      <w:r w:rsidR="00203324" w:rsidRPr="00882F11">
        <w:rPr>
          <w:rFonts w:cs="Guttman Drogolin" w:hint="cs"/>
          <w:rtl/>
          <w:lang w:bidi="he-IL"/>
        </w:rPr>
        <w:t>וב של טבילת כלים הוא שצריך להטבילן מפני שיצאו מטומאתו של עובד כוכבים ונכנסו לקדושתו של ישראל.</w:t>
      </w:r>
      <w:r w:rsidR="00E10D99" w:rsidRPr="00882F11">
        <w:rPr>
          <w:rFonts w:cs="Guttman Drogolin" w:hint="cs"/>
          <w:rtl/>
          <w:lang w:bidi="he-IL"/>
        </w:rPr>
        <w:t xml:space="preserve"> והנה כלי ישן הנלקח מן העכו"ם צריך גם טבילה ו</w:t>
      </w:r>
      <w:r w:rsidR="00AC7A66" w:rsidRPr="00882F11">
        <w:rPr>
          <w:rFonts w:cs="Guttman Drogolin" w:hint="cs"/>
          <w:rtl/>
          <w:lang w:bidi="he-IL"/>
        </w:rPr>
        <w:t xml:space="preserve">גם הכשר מבליעות של איסור. </w:t>
      </w:r>
      <w:r>
        <w:rPr>
          <w:rFonts w:cs="Guttman Drogolin"/>
          <w:rtl/>
          <w:lang w:bidi="he-IL"/>
        </w:rPr>
        <w:fldChar w:fldCharType="begin"/>
      </w:r>
      <w:r>
        <w:instrText xml:space="preserve"> XE "</w:instrText>
      </w:r>
      <w:r w:rsidRPr="005F4852">
        <w:rPr>
          <w:rFonts w:hint="cs"/>
          <w:rtl/>
          <w:lang w:bidi="he-IL"/>
        </w:rPr>
        <w:instrText>טבילת כלים</w:instrText>
      </w:r>
      <w:r w:rsidRPr="005F4852">
        <w:rPr>
          <w:rtl/>
        </w:rPr>
        <w:instrText>:</w:instrText>
      </w:r>
      <w:r w:rsidRPr="005F4852">
        <w:rPr>
          <w:rFonts w:hint="cs"/>
          <w:rtl/>
          <w:lang w:bidi="he-IL"/>
        </w:rPr>
        <w:instrText>אם צריך להכשיר הכלי מבליעות איסור לפני טבילה</w:instrText>
      </w:r>
      <w:r>
        <w:instrText xml:space="preserve">" </w:instrText>
      </w:r>
      <w:r>
        <w:rPr>
          <w:rFonts w:cs="Guttman Drogolin"/>
          <w:rtl/>
          <w:lang w:bidi="he-IL"/>
        </w:rPr>
        <w:fldChar w:fldCharType="end"/>
      </w:r>
      <w:r w:rsidR="00AC7A66" w:rsidRPr="00882F11">
        <w:rPr>
          <w:rFonts w:cs="Guttman Drogolin" w:hint="cs"/>
          <w:rtl/>
          <w:lang w:bidi="he-IL"/>
        </w:rPr>
        <w:t>ונחלקו הראשונים אם סדר ה</w:t>
      </w:r>
      <w:r w:rsidR="001364A2">
        <w:rPr>
          <w:rFonts w:cs="Guttman Drogolin" w:hint="cs"/>
          <w:rtl/>
          <w:lang w:bidi="he-IL"/>
        </w:rPr>
        <w:t>ה</w:t>
      </w:r>
      <w:r w:rsidR="00AC7A66" w:rsidRPr="00882F11">
        <w:rPr>
          <w:rFonts w:cs="Guttman Drogolin" w:hint="cs"/>
          <w:rtl/>
          <w:lang w:bidi="he-IL"/>
        </w:rPr>
        <w:t xml:space="preserve">כשר מעכב, דשיטת התוס' והרא"ש שאין הסדר מעכב, דהא אין הטבילה משום טומאה שיהא טובל ושרץ בידו דהא אפילו חדשים צריכים טבילה. אבל שיטת רשב"ם ור"ן וריטב"א ועוד ראשונים דסבר מעכב, ואם עדיין לא הגעילו הוי טובל ושרץ בידו. וממילא נשאלת </w:t>
      </w:r>
      <w:r w:rsidR="005E05B2" w:rsidRPr="00882F11">
        <w:rPr>
          <w:rFonts w:cs="Guttman Drogolin" w:hint="cs"/>
          <w:rtl/>
          <w:lang w:bidi="he-IL"/>
        </w:rPr>
        <w:t>שאלת התוס', דהא אפילו כלים חדשי</w:t>
      </w:r>
      <w:r w:rsidR="00AC7A66" w:rsidRPr="00882F11">
        <w:rPr>
          <w:rFonts w:cs="Guttman Drogolin" w:hint="cs"/>
          <w:rtl/>
          <w:lang w:bidi="he-IL"/>
        </w:rPr>
        <w:t>ם צריכים טבילה, ואיך אפשר לומר</w:t>
      </w:r>
      <w:r w:rsidR="005E05B2" w:rsidRPr="00882F11">
        <w:rPr>
          <w:rFonts w:cs="Guttman Drogolin" w:hint="cs"/>
          <w:rtl/>
          <w:lang w:bidi="he-IL"/>
        </w:rPr>
        <w:t xml:space="preserve"> שהוא טובל ושרץ בידו. </w:t>
      </w:r>
      <w:r w:rsidR="009A02A0" w:rsidRPr="00882F11">
        <w:rPr>
          <w:rFonts w:cs="Guttman Drogolin" w:hint="cs"/>
          <w:rtl/>
          <w:lang w:bidi="he-IL"/>
        </w:rPr>
        <w:t xml:space="preserve">ויעוין בריטב"א שפי' בד"ה </w:t>
      </w:r>
      <w:r w:rsidR="009A02A0" w:rsidRPr="00882F11">
        <w:rPr>
          <w:rFonts w:cs="Guttman Drogolin"/>
          <w:rtl/>
          <w:lang w:bidi="he-IL"/>
        </w:rPr>
        <w:t xml:space="preserve">כלי סעודה אמורין בפרשה </w:t>
      </w:r>
      <w:r w:rsidR="009A02A0" w:rsidRPr="00882F11">
        <w:rPr>
          <w:rFonts w:cs="Guttman Drogolin" w:hint="cs"/>
          <w:rtl/>
          <w:lang w:bidi="he-IL"/>
        </w:rPr>
        <w:t>"</w:t>
      </w:r>
      <w:r w:rsidR="009A02A0" w:rsidRPr="00882F11">
        <w:rPr>
          <w:rFonts w:cs="Guttman Drogolin"/>
          <w:rtl/>
          <w:lang w:bidi="he-IL"/>
        </w:rPr>
        <w:t xml:space="preserve">פירוש ומשום דסופן להשתמש באיסור ויצאו לקדושה הצריכם הכתוב טבילה אף בחדשים, מה </w:t>
      </w:r>
      <w:r w:rsidR="009A02A0" w:rsidRPr="00882F11">
        <w:rPr>
          <w:rFonts w:cs="Guttman Drogolin"/>
          <w:rtl/>
          <w:lang w:bidi="he-IL"/>
        </w:rPr>
        <w:lastRenderedPageBreak/>
        <w:t>שאין כן בזוזא דסרבלא</w:t>
      </w:r>
      <w:r w:rsidR="009A02A0" w:rsidRPr="00882F11">
        <w:rPr>
          <w:rFonts w:cs="Guttman Drogolin" w:hint="cs"/>
          <w:rtl/>
          <w:lang w:bidi="he-IL"/>
        </w:rPr>
        <w:t>". ור"ל שהטעם שצרי</w:t>
      </w:r>
      <w:r w:rsidR="001364A2">
        <w:rPr>
          <w:rFonts w:cs="Guttman Drogolin" w:hint="cs"/>
          <w:rtl/>
          <w:lang w:bidi="he-IL"/>
        </w:rPr>
        <w:t>כים</w:t>
      </w:r>
      <w:r w:rsidR="009A02A0" w:rsidRPr="00882F11">
        <w:rPr>
          <w:rFonts w:cs="Guttman Drogolin" w:hint="cs"/>
          <w:rtl/>
          <w:lang w:bidi="he-IL"/>
        </w:rPr>
        <w:t xml:space="preserve"> טבילה משום שהיו עומדים לסעודת עכו"ם, בין השתמשו בו בין לא. ולכן אם השתמשו </w:t>
      </w:r>
      <w:r w:rsidR="004C5A4D">
        <w:rPr>
          <w:rFonts w:cs="Guttman Drogolin" w:hint="cs"/>
          <w:rtl/>
          <w:lang w:bidi="he-IL"/>
        </w:rPr>
        <w:t>בהם</w:t>
      </w:r>
      <w:r w:rsidR="009A02A0" w:rsidRPr="00882F11">
        <w:rPr>
          <w:rFonts w:cs="Guttman Drogolin" w:hint="cs"/>
          <w:rtl/>
          <w:lang w:bidi="he-IL"/>
        </w:rPr>
        <w:t xml:space="preserve"> צריך להוציא הבלי</w:t>
      </w:r>
      <w:r w:rsidR="004C5A4D">
        <w:rPr>
          <w:rFonts w:cs="Guttman Drogolin" w:hint="cs"/>
          <w:rtl/>
          <w:lang w:bidi="he-IL"/>
        </w:rPr>
        <w:t>עות מהם</w:t>
      </w:r>
      <w:r w:rsidR="009A02A0" w:rsidRPr="00882F11">
        <w:rPr>
          <w:rFonts w:cs="Guttman Drogolin" w:hint="cs"/>
          <w:rtl/>
          <w:lang w:bidi="he-IL"/>
        </w:rPr>
        <w:t xml:space="preserve"> משום דאל"כ הוי עדיין בכלל כלי סעודה של עכו"ם והוי טובל ושרץ בידו. ומ"מ גם כלים חדשים חייבים. ולכאורה לדבריו יוצא שאם יש כלי שאצל העכו"ם לא הי' כלי סעודה ואצל ישראל הוא כלי סעודה </w:t>
      </w:r>
      <w:r w:rsidR="004C5A4D">
        <w:rPr>
          <w:rFonts w:cs="Guttman Drogolin" w:hint="cs"/>
          <w:rtl/>
          <w:lang w:bidi="he-IL"/>
        </w:rPr>
        <w:t xml:space="preserve">הרי </w:t>
      </w:r>
      <w:r w:rsidR="009A02A0" w:rsidRPr="00882F11">
        <w:rPr>
          <w:rFonts w:cs="Guttman Drogolin" w:hint="cs"/>
          <w:rtl/>
          <w:lang w:bidi="he-IL"/>
        </w:rPr>
        <w:t>הוא פטור מטביל</w:t>
      </w:r>
      <w:bookmarkStart w:id="471" w:name="_Ref482813255"/>
      <w:r w:rsidR="004C5A4D">
        <w:rPr>
          <w:rFonts w:cs="Guttman Drogolin" w:hint="cs"/>
          <w:rtl/>
          <w:lang w:bidi="he-IL"/>
        </w:rPr>
        <w:t>ת כלים</w:t>
      </w:r>
      <w:r w:rsidR="009B58BB" w:rsidRPr="00882F11">
        <w:rPr>
          <w:rStyle w:val="FootnoteReference"/>
          <w:rFonts w:cs="Guttman Drogolin"/>
          <w:rtl/>
          <w:lang w:bidi="he-IL"/>
        </w:rPr>
        <w:footnoteReference w:id="450"/>
      </w:r>
      <w:bookmarkEnd w:id="471"/>
      <w:r w:rsidR="009A02A0" w:rsidRPr="00882F11">
        <w:rPr>
          <w:rFonts w:cs="Guttman Drogolin" w:hint="cs"/>
          <w:rtl/>
          <w:lang w:bidi="he-IL"/>
        </w:rPr>
        <w:t>. ובשו"ת אבנ"ז סי' ק"ו סבר אחרת ע"ש. וע' גם במאירי שנראה שנתן בזה טעם משום שצריך להיות שהטבילה מכשירה לאכילה, ואם עדיין אינה כשירה לאכילה לא עשה הטבילה כלום</w:t>
      </w:r>
      <w:r w:rsidR="00F1725B" w:rsidRPr="00882F11">
        <w:rPr>
          <w:rStyle w:val="FootnoteReference"/>
          <w:rFonts w:cs="Guttman Drogolin"/>
          <w:rtl/>
          <w:lang w:bidi="he-IL"/>
        </w:rPr>
        <w:footnoteReference w:id="451"/>
      </w:r>
      <w:r w:rsidR="009A02A0" w:rsidRPr="00882F11">
        <w:rPr>
          <w:rFonts w:cs="Guttman Drogolin" w:hint="cs"/>
          <w:rtl/>
          <w:lang w:bidi="he-IL"/>
        </w:rPr>
        <w:t>.</w:t>
      </w:r>
    </w:p>
    <w:p w:rsidR="009A02A0" w:rsidRPr="00882F11" w:rsidRDefault="009A02A0" w:rsidP="009A02A0">
      <w:pPr>
        <w:pStyle w:val="Heading1"/>
        <w:bidi/>
        <w:spacing w:before="0" w:line="360" w:lineRule="auto"/>
        <w:jc w:val="center"/>
        <w:rPr>
          <w:rFonts w:cs="Guttman Drogolin"/>
          <w:color w:val="auto"/>
          <w:sz w:val="24"/>
          <w:szCs w:val="24"/>
          <w:u w:val="single"/>
          <w:rtl/>
          <w:lang w:bidi="he-IL"/>
        </w:rPr>
      </w:pPr>
      <w:bookmarkStart w:id="473" w:name="_Toc496175718"/>
      <w:r w:rsidRPr="00882F11">
        <w:rPr>
          <w:rFonts w:cs="Guttman Drogolin" w:hint="cs"/>
          <w:color w:val="auto"/>
          <w:sz w:val="24"/>
          <w:szCs w:val="24"/>
          <w:u w:val="single"/>
          <w:rtl/>
          <w:lang w:bidi="he-IL"/>
        </w:rPr>
        <w:t>כלי קוניא</w:t>
      </w:r>
      <w:bookmarkEnd w:id="473"/>
    </w:p>
    <w:p w:rsidR="009A02A0" w:rsidRPr="00882F11" w:rsidRDefault="006A3C22" w:rsidP="004C5A4D">
      <w:pPr>
        <w:tabs>
          <w:tab w:val="right" w:pos="7497"/>
        </w:tabs>
        <w:bidi/>
        <w:jc w:val="both"/>
        <w:rPr>
          <w:rFonts w:cs="Guttman Drogolin"/>
          <w:rtl/>
          <w:lang w:bidi="he-IL"/>
        </w:rPr>
      </w:pPr>
      <w:r>
        <w:rPr>
          <w:rFonts w:cs="Guttman Drogolin"/>
          <w:rtl/>
          <w:lang w:bidi="he-IL"/>
        </w:rPr>
        <w:fldChar w:fldCharType="begin"/>
      </w:r>
      <w:r>
        <w:instrText xml:space="preserve"> XE "</w:instrText>
      </w:r>
      <w:r w:rsidRPr="00FF273C">
        <w:rPr>
          <w:rFonts w:hint="cs"/>
          <w:rtl/>
          <w:lang w:bidi="he-IL"/>
        </w:rPr>
        <w:instrText>טבילת כלים</w:instrText>
      </w:r>
      <w:r w:rsidRPr="00FF273C">
        <w:rPr>
          <w:rtl/>
        </w:rPr>
        <w:instrText>:</w:instrText>
      </w:r>
      <w:r w:rsidRPr="00FF273C">
        <w:rPr>
          <w:rFonts w:hint="cs"/>
          <w:rtl/>
          <w:lang w:bidi="he-IL"/>
        </w:rPr>
        <w:instrText>כלי חרס המצופה מתכת</w:instrText>
      </w:r>
      <w:r>
        <w:instrText xml:space="preserve">" </w:instrText>
      </w:r>
      <w:r>
        <w:rPr>
          <w:rFonts w:cs="Guttman Drogolin"/>
          <w:rtl/>
          <w:lang w:bidi="he-IL"/>
        </w:rPr>
        <w:fldChar w:fldCharType="end"/>
      </w:r>
      <w:r w:rsidR="009A02A0" w:rsidRPr="00882F11">
        <w:rPr>
          <w:rFonts w:cs="Guttman Drogolin" w:hint="cs"/>
          <w:rtl/>
          <w:lang w:bidi="he-IL"/>
        </w:rPr>
        <w:t xml:space="preserve">כלי העשוי מחרס ומצופה מתכת קיי"ל דאזלינן בתר סופו ר"ל הציפוי וחייב בטבילה. ונראה שנחלקו הראשונים בטעמו של דבר. בתוס' מבואר שהחיוב משום </w:t>
      </w:r>
      <w:r w:rsidR="004C5A4D">
        <w:rPr>
          <w:rFonts w:cs="Guttman Drogolin" w:hint="cs"/>
          <w:rtl/>
          <w:lang w:bidi="he-IL"/>
        </w:rPr>
        <w:t>שהאוכל מונח</w:t>
      </w:r>
      <w:r w:rsidR="009A02A0" w:rsidRPr="00882F11">
        <w:rPr>
          <w:rFonts w:cs="Guttman Drogolin" w:hint="cs"/>
          <w:rtl/>
          <w:lang w:bidi="he-IL"/>
        </w:rPr>
        <w:t xml:space="preserve"> בצד של מתכת. אמנם מהר"ן נראה שאינו חייב אא"כ ציפהו מבית ומחוץ, וע"כ הוא מטעם אחר, וכן מבואר בביאור הגר"א ס"ק י"ז ועוד, והוא משום דציפוי בפנים בלבד אינו אלא לנוי, </w:t>
      </w:r>
      <w:r w:rsidR="004C5A4D">
        <w:rPr>
          <w:rFonts w:cs="Guttman Drogolin" w:hint="cs"/>
          <w:rtl/>
          <w:lang w:bidi="he-IL"/>
        </w:rPr>
        <w:t>ואין ציפוי מחייב אא"כ</w:t>
      </w:r>
      <w:r w:rsidR="009A02A0" w:rsidRPr="00882F11">
        <w:rPr>
          <w:rFonts w:cs="Guttman Drogolin" w:hint="cs"/>
          <w:rtl/>
          <w:lang w:bidi="he-IL"/>
        </w:rPr>
        <w:t xml:space="preserve"> מהני לתשמיש של הכלי. ולכן רק ציפוי מבי</w:t>
      </w:r>
      <w:r w:rsidR="00884E8D" w:rsidRPr="00882F11">
        <w:rPr>
          <w:rFonts w:cs="Guttman Drogolin" w:hint="cs"/>
          <w:rtl/>
          <w:lang w:bidi="he-IL"/>
        </w:rPr>
        <w:t>ת</w:t>
      </w:r>
      <w:r w:rsidR="004C5A4D">
        <w:rPr>
          <w:rFonts w:cs="Guttman Drogolin" w:hint="cs"/>
          <w:rtl/>
          <w:lang w:bidi="he-IL"/>
        </w:rPr>
        <w:t xml:space="preserve"> ומ</w:t>
      </w:r>
      <w:r w:rsidR="009A02A0" w:rsidRPr="00882F11">
        <w:rPr>
          <w:rFonts w:cs="Guttman Drogolin" w:hint="cs"/>
          <w:rtl/>
          <w:lang w:bidi="he-IL"/>
        </w:rPr>
        <w:t xml:space="preserve">חוץ חייב. </w:t>
      </w:r>
    </w:p>
    <w:p w:rsidR="009A02A0" w:rsidRPr="00882F11" w:rsidRDefault="009A02A0" w:rsidP="004C5A4D">
      <w:pPr>
        <w:tabs>
          <w:tab w:val="right" w:pos="7497"/>
        </w:tabs>
        <w:bidi/>
        <w:jc w:val="both"/>
        <w:rPr>
          <w:rFonts w:cs="Guttman Drogolin"/>
          <w:rtl/>
          <w:lang w:bidi="he-IL"/>
        </w:rPr>
      </w:pPr>
      <w:r w:rsidRPr="00882F11">
        <w:rPr>
          <w:rFonts w:cs="Guttman Drogolin" w:hint="cs"/>
          <w:rtl/>
          <w:lang w:bidi="he-IL"/>
        </w:rPr>
        <w:t xml:space="preserve">עוד נראה לומר שכל הספק הוא בכלי חרס וציפוי של מתכת, אבל כלי מתכת ודאי חייב אע"ג </w:t>
      </w:r>
      <w:r w:rsidR="00E50166">
        <w:rPr>
          <w:rFonts w:cs="Guttman Drogolin" w:hint="cs"/>
          <w:rtl/>
          <w:lang w:bidi="he-IL"/>
        </w:rPr>
        <w:lastRenderedPageBreak/>
        <w:t>ד</w:t>
      </w:r>
      <w:r w:rsidRPr="00882F11">
        <w:rPr>
          <w:rFonts w:cs="Guttman Drogolin" w:hint="cs"/>
          <w:rtl/>
          <w:lang w:bidi="he-IL"/>
        </w:rPr>
        <w:t>א</w:t>
      </w:r>
      <w:r w:rsidR="004C5A4D">
        <w:rPr>
          <w:rFonts w:cs="Guttman Drogolin" w:hint="cs"/>
          <w:rtl/>
          <w:lang w:bidi="he-IL"/>
        </w:rPr>
        <w:t>יכא ציפוי של חרס. אמנם יש חולקי</w:t>
      </w:r>
      <w:r w:rsidRPr="00882F11">
        <w:rPr>
          <w:rFonts w:cs="Guttman Drogolin" w:hint="cs"/>
          <w:rtl/>
          <w:lang w:bidi="he-IL"/>
        </w:rPr>
        <w:t xml:space="preserve">ם בזה. </w:t>
      </w:r>
      <w:r w:rsidR="004C5A4D">
        <w:rPr>
          <w:rFonts w:cs="Guttman Drogolin" w:hint="cs"/>
          <w:rtl/>
          <w:lang w:bidi="he-IL"/>
        </w:rPr>
        <w:t>ונבאר בזה יותר</w:t>
      </w:r>
      <w:r w:rsidRPr="00882F11">
        <w:rPr>
          <w:rFonts w:cs="Guttman Drogolin" w:hint="cs"/>
          <w:rtl/>
          <w:lang w:bidi="he-IL"/>
        </w:rPr>
        <w:t xml:space="preserve"> בהמשך.</w:t>
      </w:r>
    </w:p>
    <w:p w:rsidR="0045454F" w:rsidRPr="00A10446" w:rsidRDefault="00131EC7" w:rsidP="00A10446">
      <w:pPr>
        <w:tabs>
          <w:tab w:val="right" w:pos="7497"/>
        </w:tabs>
        <w:bidi/>
        <w:jc w:val="center"/>
        <w:rPr>
          <w:rFonts w:cs="Guttman Drogolin"/>
          <w:b/>
          <w:bCs/>
          <w:sz w:val="28"/>
          <w:szCs w:val="28"/>
          <w:u w:val="single"/>
          <w:rtl/>
          <w:lang w:bidi="he-IL"/>
        </w:rPr>
      </w:pPr>
      <w:r w:rsidRPr="00A10446">
        <w:rPr>
          <w:rFonts w:cs="Guttman Drogolin" w:hint="cs"/>
          <w:b/>
          <w:bCs/>
          <w:sz w:val="28"/>
          <w:szCs w:val="28"/>
          <w:u w:val="single"/>
          <w:rtl/>
          <w:lang w:bidi="he-IL"/>
        </w:rPr>
        <w:t>מיל</w:t>
      </w:r>
      <w:r w:rsidR="00A10446" w:rsidRPr="00A10446">
        <w:rPr>
          <w:rFonts w:cs="Guttman Drogolin" w:hint="cs"/>
          <w:b/>
          <w:bCs/>
          <w:sz w:val="28"/>
          <w:szCs w:val="28"/>
          <w:u w:val="single"/>
          <w:rtl/>
          <w:lang w:bidi="he-IL"/>
        </w:rPr>
        <w:t>ו</w:t>
      </w:r>
      <w:r w:rsidRPr="00A10446">
        <w:rPr>
          <w:rFonts w:cs="Guttman Drogolin" w:hint="cs"/>
          <w:b/>
          <w:bCs/>
          <w:sz w:val="28"/>
          <w:szCs w:val="28"/>
          <w:u w:val="single"/>
          <w:rtl/>
          <w:lang w:bidi="he-IL"/>
        </w:rPr>
        <w:t>אים</w:t>
      </w:r>
    </w:p>
    <w:p w:rsidR="00257E67" w:rsidRDefault="00E3248F" w:rsidP="00257E67">
      <w:pPr>
        <w:pStyle w:val="ListParagraph"/>
        <w:numPr>
          <w:ilvl w:val="0"/>
          <w:numId w:val="25"/>
        </w:numPr>
        <w:tabs>
          <w:tab w:val="right" w:pos="7497"/>
        </w:tabs>
        <w:bidi/>
        <w:ind w:left="193" w:hanging="180"/>
        <w:jc w:val="both"/>
        <w:rPr>
          <w:rFonts w:cs="Guttman Drogolin"/>
          <w:lang w:bidi="he-IL"/>
        </w:rPr>
      </w:pPr>
      <w:r w:rsidRPr="00257E67">
        <w:rPr>
          <w:rFonts w:cs="Guttman Drogolin"/>
          <w:rtl/>
          <w:lang w:bidi="he-IL"/>
        </w:rPr>
        <w:fldChar w:fldCharType="begin"/>
      </w:r>
      <w:r>
        <w:instrText xml:space="preserve"> XE "</w:instrText>
      </w:r>
      <w:r w:rsidRPr="003258FF">
        <w:rPr>
          <w:rFonts w:hint="cs"/>
          <w:rtl/>
          <w:lang w:bidi="he-IL"/>
        </w:rPr>
        <w:instrText>טבילת כלים</w:instrText>
      </w:r>
      <w:r w:rsidRPr="003258FF">
        <w:rPr>
          <w:rtl/>
        </w:rPr>
        <w:instrText>:</w:instrText>
      </w:r>
      <w:r w:rsidRPr="003258FF">
        <w:rPr>
          <w:rFonts w:hint="cs"/>
          <w:rtl/>
          <w:lang w:bidi="he-IL"/>
        </w:rPr>
        <w:instrText>שיעור מ' סאה</w:instrText>
      </w:r>
      <w:r>
        <w:instrText xml:space="preserve">" </w:instrText>
      </w:r>
      <w:r w:rsidRPr="00257E67">
        <w:rPr>
          <w:rFonts w:cs="Guttman Drogolin"/>
          <w:rtl/>
          <w:lang w:bidi="he-IL"/>
        </w:rPr>
        <w:fldChar w:fldCharType="end"/>
      </w:r>
      <w:r w:rsidR="00131EC7" w:rsidRPr="00257E67">
        <w:rPr>
          <w:rFonts w:cs="Guttman Drogolin" w:hint="cs"/>
          <w:rtl/>
          <w:lang w:bidi="he-IL"/>
        </w:rPr>
        <w:t xml:space="preserve">ע' שער המים לראב"ד (ג' י"ז) שמבואר ממנו שהשיעור מ' סאה בטבילת כלים הנקנין מן הנכרים הוא כמו בטבילת כלים מטהרתם. ומבואר לכאאורה דתרוייהו מדרבנן ומדאורייתא ברביעית סגי, ודלא כמש"כ התוס' כאן.   </w:t>
      </w:r>
    </w:p>
    <w:p w:rsidR="00131EC7" w:rsidRPr="00257E67" w:rsidRDefault="00257E67" w:rsidP="00257E67">
      <w:pPr>
        <w:pStyle w:val="ListParagraph"/>
        <w:numPr>
          <w:ilvl w:val="0"/>
          <w:numId w:val="25"/>
        </w:numPr>
        <w:tabs>
          <w:tab w:val="right" w:pos="7497"/>
        </w:tabs>
        <w:bidi/>
        <w:ind w:left="193" w:hanging="180"/>
        <w:jc w:val="both"/>
        <w:rPr>
          <w:rFonts w:cs="Guttman Drogolin"/>
          <w:rtl/>
          <w:lang w:bidi="he-IL"/>
        </w:rPr>
      </w:pPr>
      <w:r>
        <w:rPr>
          <w:rFonts w:cs="Guttman Drogolin" w:hint="cs"/>
          <w:rtl/>
          <w:lang w:bidi="he-IL"/>
        </w:rPr>
        <w:t>ע' בזכרון שמואל מש"כ ליישב דברי הטור בענין מעיין אי צריך מ' סאה לטבילת כלים.</w:t>
      </w:r>
      <w:r w:rsidR="00131EC7" w:rsidRPr="00257E67">
        <w:rPr>
          <w:rFonts w:cs="Guttman Drogolin" w:hint="cs"/>
          <w:rtl/>
          <w:lang w:bidi="he-IL"/>
        </w:rPr>
        <w:t xml:space="preserve"> </w:t>
      </w:r>
    </w:p>
    <w:p w:rsidR="00AD64F7" w:rsidRPr="00882F11" w:rsidRDefault="00AD64F7" w:rsidP="00AD64F7">
      <w:pPr>
        <w:tabs>
          <w:tab w:val="right" w:pos="7497"/>
        </w:tabs>
        <w:bidi/>
        <w:jc w:val="both"/>
        <w:rPr>
          <w:rFonts w:cs="Guttman Drogolin"/>
          <w:rtl/>
          <w:lang w:bidi="he-IL"/>
        </w:rPr>
        <w:sectPr w:rsidR="00AD64F7" w:rsidRPr="00882F11" w:rsidSect="00F42FF7">
          <w:type w:val="continuous"/>
          <w:pgSz w:w="11907" w:h="16839" w:code="9"/>
          <w:pgMar w:top="1440" w:right="1440" w:bottom="1440" w:left="1440" w:header="720" w:footer="720" w:gutter="0"/>
          <w:cols w:num="2" w:space="720"/>
          <w:bidi/>
          <w:docGrid w:linePitch="360"/>
        </w:sectPr>
      </w:pPr>
      <w:r w:rsidRPr="00882F11">
        <w:rPr>
          <w:rFonts w:cs="Guttman Drogolin" w:hint="cs"/>
          <w:sz w:val="24"/>
          <w:szCs w:val="24"/>
          <w:rtl/>
          <w:lang w:bidi="he-IL"/>
        </w:rPr>
        <w:t xml:space="preserve"> </w:t>
      </w:r>
    </w:p>
    <w:p w:rsidR="0045454F" w:rsidRPr="00882F11" w:rsidRDefault="009A02A0" w:rsidP="0045454F">
      <w:pPr>
        <w:keepNext/>
        <w:tabs>
          <w:tab w:val="left" w:pos="3818"/>
          <w:tab w:val="center" w:pos="4680"/>
        </w:tabs>
        <w:bidi/>
        <w:jc w:val="center"/>
        <w:rPr>
          <w:rFonts w:cs="Guttman Drogolin"/>
          <w:b/>
          <w:bCs/>
          <w:sz w:val="48"/>
          <w:szCs w:val="48"/>
          <w:rtl/>
          <w:lang w:bidi="he-IL"/>
        </w:rPr>
      </w:pPr>
      <w:r w:rsidRPr="00882F11">
        <w:rPr>
          <w:rFonts w:cs="Guttman Drogolin" w:hint="cs"/>
          <w:rtl/>
          <w:lang w:bidi="he-IL"/>
        </w:rPr>
        <w:lastRenderedPageBreak/>
        <w:t xml:space="preserve"> </w:t>
      </w:r>
      <w:r w:rsidR="0045454F" w:rsidRPr="00882F11">
        <w:rPr>
          <w:rFonts w:cs="Guttman Drogolin" w:hint="cs"/>
          <w:b/>
          <w:bCs/>
          <w:sz w:val="48"/>
          <w:szCs w:val="48"/>
          <w:rtl/>
          <w:lang w:bidi="he-IL"/>
        </w:rPr>
        <w:t>שיעור ק"כ</w:t>
      </w:r>
    </w:p>
    <w:p w:rsidR="00153315" w:rsidRDefault="00153315" w:rsidP="0045454F">
      <w:pPr>
        <w:pStyle w:val="Heading1"/>
        <w:bidi/>
        <w:spacing w:before="0" w:line="360" w:lineRule="auto"/>
        <w:jc w:val="center"/>
        <w:rPr>
          <w:rFonts w:cs="Guttman Drogolin"/>
          <w:color w:val="auto"/>
          <w:sz w:val="24"/>
          <w:szCs w:val="24"/>
          <w:u w:val="single"/>
          <w:rtl/>
          <w:lang w:bidi="he-IL"/>
        </w:rPr>
        <w:sectPr w:rsidR="00153315" w:rsidSect="00153315">
          <w:pgSz w:w="11907" w:h="16839" w:code="9"/>
          <w:pgMar w:top="1440" w:right="1440" w:bottom="1440" w:left="1440" w:header="720" w:footer="720" w:gutter="0"/>
          <w:cols w:space="720"/>
          <w:bidi/>
          <w:docGrid w:linePitch="360"/>
        </w:sectPr>
      </w:pPr>
    </w:p>
    <w:p w:rsidR="0045454F" w:rsidRPr="00882F11" w:rsidRDefault="0045454F" w:rsidP="0045454F">
      <w:pPr>
        <w:pStyle w:val="Heading1"/>
        <w:bidi/>
        <w:spacing w:before="0" w:line="360" w:lineRule="auto"/>
        <w:jc w:val="center"/>
        <w:rPr>
          <w:rFonts w:cs="Guttman Drogolin"/>
          <w:color w:val="auto"/>
          <w:sz w:val="24"/>
          <w:szCs w:val="24"/>
          <w:u w:val="single"/>
          <w:rtl/>
          <w:lang w:bidi="he-IL"/>
        </w:rPr>
      </w:pPr>
      <w:bookmarkStart w:id="474" w:name="_Toc496175719"/>
      <w:r w:rsidRPr="00882F11">
        <w:rPr>
          <w:rFonts w:cs="Guttman Drogolin" w:hint="cs"/>
          <w:color w:val="auto"/>
          <w:sz w:val="24"/>
          <w:szCs w:val="24"/>
          <w:u w:val="single"/>
          <w:rtl/>
          <w:lang w:bidi="he-IL"/>
        </w:rPr>
        <w:lastRenderedPageBreak/>
        <w:t>בגדרי החיוב דכלי מתכות ו</w:t>
      </w:r>
      <w:r w:rsidR="0013584C" w:rsidRPr="00882F11">
        <w:rPr>
          <w:rFonts w:cs="Guttman Drogolin" w:hint="cs"/>
          <w:color w:val="auto"/>
          <w:sz w:val="24"/>
          <w:szCs w:val="24"/>
          <w:u w:val="single"/>
          <w:rtl/>
          <w:lang w:bidi="he-IL"/>
        </w:rPr>
        <w:t xml:space="preserve">כלי </w:t>
      </w:r>
      <w:r w:rsidRPr="00882F11">
        <w:rPr>
          <w:rFonts w:cs="Guttman Drogolin" w:hint="cs"/>
          <w:color w:val="auto"/>
          <w:sz w:val="24"/>
          <w:szCs w:val="24"/>
          <w:u w:val="single"/>
          <w:rtl/>
          <w:lang w:bidi="he-IL"/>
        </w:rPr>
        <w:t>זכוכית</w:t>
      </w:r>
      <w:bookmarkEnd w:id="474"/>
    </w:p>
    <w:p w:rsidR="00AA4A73" w:rsidRPr="00882F11" w:rsidRDefault="006A3C22" w:rsidP="00AA4A73">
      <w:pPr>
        <w:tabs>
          <w:tab w:val="right" w:pos="7497"/>
        </w:tabs>
        <w:bidi/>
        <w:jc w:val="both"/>
        <w:rPr>
          <w:rFonts w:cs="Guttman Drogolin"/>
          <w:rtl/>
          <w:lang w:bidi="he-IL"/>
        </w:rPr>
      </w:pPr>
      <w:r>
        <w:rPr>
          <w:rFonts w:cs="Guttman Drogolin"/>
          <w:rtl/>
          <w:lang w:bidi="he-IL"/>
        </w:rPr>
        <w:fldChar w:fldCharType="begin"/>
      </w:r>
      <w:r>
        <w:instrText xml:space="preserve"> XE "</w:instrText>
      </w:r>
      <w:r w:rsidRPr="004756BB">
        <w:rPr>
          <w:rFonts w:hint="cs"/>
          <w:rtl/>
          <w:lang w:bidi="he-IL"/>
        </w:rPr>
        <w:instrText>טבילת כלים</w:instrText>
      </w:r>
      <w:r w:rsidRPr="004756BB">
        <w:rPr>
          <w:rtl/>
        </w:rPr>
        <w:instrText>:</w:instrText>
      </w:r>
      <w:r w:rsidRPr="004756BB">
        <w:rPr>
          <w:rFonts w:hint="cs"/>
          <w:rtl/>
          <w:lang w:bidi="he-IL"/>
        </w:rPr>
        <w:instrText>גדר החיוב בכלי מתכת ובכלי זכוכית</w:instrText>
      </w:r>
      <w:r>
        <w:instrText xml:space="preserve">" </w:instrText>
      </w:r>
      <w:r>
        <w:rPr>
          <w:rFonts w:cs="Guttman Drogolin"/>
          <w:rtl/>
          <w:lang w:bidi="he-IL"/>
        </w:rPr>
        <w:fldChar w:fldCharType="end"/>
      </w:r>
      <w:r w:rsidR="0045454F" w:rsidRPr="00882F11">
        <w:rPr>
          <w:rFonts w:cs="Guttman Drogolin" w:hint="cs"/>
          <w:rtl/>
          <w:lang w:bidi="he-IL"/>
        </w:rPr>
        <w:t xml:space="preserve">כתוב בגמ' שכלי אדמה פטורים מטבילת כלים כיון ש'כלי מתכות אמורין בפרשה'. והכוונה למש"כ בתורה "אך את הזהב ואת הכסף את הנחשת ואת הברזל את הבדיל ואת העופרת". והוסיף בזה ר' אשי </w:t>
      </w:r>
      <w:r w:rsidR="00AA4A73" w:rsidRPr="00882F11">
        <w:rPr>
          <w:rFonts w:cs="Guttman Drogolin" w:hint="cs"/>
          <w:rtl/>
          <w:lang w:bidi="he-IL"/>
        </w:rPr>
        <w:t>"</w:t>
      </w:r>
      <w:r w:rsidR="00AA4A73" w:rsidRPr="00882F11">
        <w:rPr>
          <w:rFonts w:cs="Guttman Drogolin"/>
          <w:rtl/>
          <w:lang w:bidi="he-IL"/>
        </w:rPr>
        <w:t>הני כלי זכוכית הואיל וכי נשתברו יש להן תקנה ככלי מתכות דמו</w:t>
      </w:r>
      <w:r w:rsidR="00AA4A73" w:rsidRPr="00882F11">
        <w:rPr>
          <w:rFonts w:cs="Guttman Drogolin" w:hint="cs"/>
          <w:rtl/>
          <w:lang w:bidi="he-IL"/>
        </w:rPr>
        <w:t>". ולכאורה ר"ל שכלי העשוי מכל חומר שהיא חוץ ממתכת וזכוכית אינו חייב בטבילת כלים.</w:t>
      </w:r>
    </w:p>
    <w:p w:rsidR="008F7399" w:rsidRPr="00882F11" w:rsidRDefault="006A3C22" w:rsidP="00174AB2">
      <w:pPr>
        <w:tabs>
          <w:tab w:val="right" w:pos="7497"/>
        </w:tabs>
        <w:bidi/>
        <w:jc w:val="both"/>
        <w:rPr>
          <w:rFonts w:cs="Guttman Drogolin"/>
          <w:rtl/>
          <w:lang w:bidi="he-IL"/>
        </w:rPr>
      </w:pPr>
      <w:r>
        <w:rPr>
          <w:rFonts w:cs="Guttman Drogolin"/>
          <w:rtl/>
          <w:lang w:bidi="he-IL"/>
        </w:rPr>
        <w:fldChar w:fldCharType="begin"/>
      </w:r>
      <w:r>
        <w:instrText xml:space="preserve"> XE "</w:instrText>
      </w:r>
      <w:r w:rsidRPr="002518ED">
        <w:rPr>
          <w:rFonts w:hint="cs"/>
          <w:rtl/>
          <w:lang w:bidi="he-IL"/>
        </w:rPr>
        <w:instrText>טבילת כלים</w:instrText>
      </w:r>
      <w:r w:rsidRPr="002518ED">
        <w:rPr>
          <w:rtl/>
        </w:rPr>
        <w:instrText>:</w:instrText>
      </w:r>
      <w:r w:rsidRPr="002518ED">
        <w:rPr>
          <w:rFonts w:hint="cs"/>
          <w:rtl/>
          <w:lang w:bidi="he-IL"/>
        </w:rPr>
        <w:instrText>אם החיוב של כלי זכוכית מדרבנן</w:instrText>
      </w:r>
      <w:r>
        <w:instrText xml:space="preserve">" </w:instrText>
      </w:r>
      <w:r>
        <w:rPr>
          <w:rFonts w:cs="Guttman Drogolin"/>
          <w:rtl/>
          <w:lang w:bidi="he-IL"/>
        </w:rPr>
        <w:fldChar w:fldCharType="end"/>
      </w:r>
      <w:r w:rsidR="00AA4A73" w:rsidRPr="00882F11">
        <w:rPr>
          <w:rFonts w:cs="Guttman Drogolin" w:hint="cs"/>
          <w:rtl/>
          <w:lang w:bidi="he-IL"/>
        </w:rPr>
        <w:t xml:space="preserve">והנה בחיוב להטביל כלי זכוכית אינו מפורש בגמ' אם החיוב הוא מדאורייתא או מדרבנן. ועל פניו החיוב הוא מדרבנן, דהא בפרשה לא כתוב אלא כלי מתכות, רק חז"ל גזרו גם </w:t>
      </w:r>
      <w:r w:rsidR="00174AB2">
        <w:rPr>
          <w:rFonts w:cs="Guttman Drogolin" w:hint="cs"/>
          <w:rtl/>
          <w:lang w:bidi="he-IL"/>
        </w:rPr>
        <w:t xml:space="preserve">על </w:t>
      </w:r>
      <w:r w:rsidR="00AA4A73" w:rsidRPr="00882F11">
        <w:rPr>
          <w:rFonts w:cs="Guttman Drogolin" w:hint="cs"/>
          <w:rtl/>
          <w:lang w:bidi="he-IL"/>
        </w:rPr>
        <w:t>כלי זכוכית כיון שדומים לכלי מתכות. וכן באמת נקטו כמה וכמה אחרונים. אמנם מצאתי אחדים מן האחרונים שצדדו לומר שהחיוב להטביל כלי זכוכית הוא מדאורייתא</w:t>
      </w:r>
      <w:r w:rsidR="00481F34" w:rsidRPr="00882F11">
        <w:rPr>
          <w:rStyle w:val="FootnoteReference"/>
          <w:rFonts w:cs="Guttman Drogolin"/>
          <w:rtl/>
          <w:lang w:bidi="he-IL"/>
        </w:rPr>
        <w:footnoteReference w:id="452"/>
      </w:r>
      <w:r w:rsidR="00AA4A73" w:rsidRPr="00882F11">
        <w:rPr>
          <w:rFonts w:cs="Guttman Drogolin" w:hint="cs"/>
          <w:rtl/>
          <w:lang w:bidi="he-IL"/>
        </w:rPr>
        <w:t xml:space="preserve">. דיעוין במאמר מרדכי בסי' שכ"ג ס"ק ח' דנקט שאם החיוב של טבילת כלי מתכות הוא מדאורייתא, גם החיוב של כלי זכוכית מדאורייתא (וכן ראיתי שדקדק ממנו בס' טבילת כלים במבוא אות ה'). </w:t>
      </w:r>
      <w:r w:rsidR="0013584C" w:rsidRPr="00882F11">
        <w:rPr>
          <w:rFonts w:cs="Guttman Drogolin" w:hint="cs"/>
          <w:rtl/>
          <w:lang w:bidi="he-IL"/>
        </w:rPr>
        <w:t xml:space="preserve">ולכאורה הביאור בזה, </w:t>
      </w:r>
      <w:r>
        <w:rPr>
          <w:rFonts w:cs="Guttman Drogolin"/>
          <w:rtl/>
          <w:lang w:bidi="he-IL"/>
        </w:rPr>
        <w:fldChar w:fldCharType="begin"/>
      </w:r>
      <w:r>
        <w:instrText xml:space="preserve"> XE "</w:instrText>
      </w:r>
      <w:r w:rsidRPr="00327F41">
        <w:rPr>
          <w:rFonts w:hint="cs"/>
          <w:rtl/>
          <w:lang w:bidi="he-IL"/>
        </w:rPr>
        <w:instrText>טבילת כלים</w:instrText>
      </w:r>
      <w:r w:rsidRPr="00327F41">
        <w:rPr>
          <w:rtl/>
        </w:rPr>
        <w:instrText>:</w:instrText>
      </w:r>
      <w:r w:rsidRPr="00327F41">
        <w:rPr>
          <w:rFonts w:hint="cs"/>
          <w:rtl/>
          <w:lang w:bidi="he-IL"/>
        </w:rPr>
        <w:instrText>האם כל סוגי מתכת חייבים</w:instrText>
      </w:r>
      <w:r>
        <w:instrText xml:space="preserve">" </w:instrText>
      </w:r>
      <w:r>
        <w:rPr>
          <w:rFonts w:cs="Guttman Drogolin"/>
          <w:rtl/>
          <w:lang w:bidi="he-IL"/>
        </w:rPr>
        <w:fldChar w:fldCharType="end"/>
      </w:r>
      <w:r w:rsidR="0013584C" w:rsidRPr="00882F11">
        <w:rPr>
          <w:rFonts w:cs="Guttman Drogolin" w:hint="cs"/>
          <w:rtl/>
          <w:lang w:bidi="he-IL"/>
        </w:rPr>
        <w:t>דהנה יל"ע בזה גופא שחייבה תורה בכלי מתכות, האם כל מיני כלי מתכות בכלל, או"ד רק ששת הסוגים המוזכרים בתורה. ולדוגמא יל"ע אם חייבים להטביל</w:t>
      </w:r>
      <w:r w:rsidR="00AA4A73" w:rsidRPr="00882F11">
        <w:rPr>
          <w:rFonts w:cs="Guttman Drogolin" w:hint="cs"/>
          <w:rtl/>
          <w:lang w:bidi="he-IL"/>
        </w:rPr>
        <w:t xml:space="preserve"> כלים </w:t>
      </w:r>
      <w:r w:rsidR="0013584C" w:rsidRPr="00882F11">
        <w:rPr>
          <w:rFonts w:cs="Guttman Drogolin" w:hint="cs"/>
          <w:rtl/>
          <w:lang w:bidi="he-IL"/>
        </w:rPr>
        <w:t xml:space="preserve">העשוים </w:t>
      </w:r>
      <w:r w:rsidR="00AA4A73" w:rsidRPr="00882F11">
        <w:rPr>
          <w:rFonts w:cs="Guttman Drogolin" w:hint="cs"/>
          <w:rtl/>
          <w:lang w:bidi="he-IL"/>
        </w:rPr>
        <w:t xml:space="preserve">מחומר שקוראים לו אלומינום, </w:t>
      </w:r>
      <w:r w:rsidR="0013584C" w:rsidRPr="00882F11">
        <w:rPr>
          <w:rFonts w:cs="Guttman Drogolin" w:hint="cs"/>
          <w:rtl/>
          <w:lang w:bidi="he-IL"/>
        </w:rPr>
        <w:t>האם חייבים מדאורייתא או לא. ולפום ריהטא מלשונו של הגמ' משמע שכל כלי מתכות חייבים מדאורייתא. אמנם העיר הגרמ"פ (אג"מ יו"ד ג' סי' כ"ב) דזו מה</w:t>
      </w:r>
      <w:r w:rsidR="005617EA" w:rsidRPr="00882F11">
        <w:rPr>
          <w:rFonts w:cs="Guttman Drogolin" w:hint="cs"/>
          <w:rtl/>
          <w:lang w:bidi="he-IL"/>
        </w:rPr>
        <w:t>יכא תיתי</w:t>
      </w:r>
      <w:r w:rsidR="0013584C" w:rsidRPr="00882F11">
        <w:rPr>
          <w:rFonts w:cs="Guttman Drogolin" w:hint="cs"/>
          <w:rtl/>
          <w:lang w:bidi="he-IL"/>
        </w:rPr>
        <w:t xml:space="preserve">, דהא רק שש </w:t>
      </w:r>
      <w:r w:rsidR="005617EA" w:rsidRPr="00882F11">
        <w:rPr>
          <w:rFonts w:cs="Guttman Drogolin" w:hint="cs"/>
          <w:rtl/>
          <w:lang w:bidi="he-IL"/>
        </w:rPr>
        <w:t xml:space="preserve">מיני </w:t>
      </w:r>
      <w:r w:rsidR="0013584C" w:rsidRPr="00882F11">
        <w:rPr>
          <w:rFonts w:cs="Guttman Drogolin" w:hint="cs"/>
          <w:rtl/>
          <w:lang w:bidi="he-IL"/>
        </w:rPr>
        <w:t xml:space="preserve">מתכות כתובים בפרשה, ומה"ת לחייב מדאורייתא מין שביעי, וע"ש עוד מש"כ להוכיח כה"ג. אמנם יש מן האחרונים הנוקטים שהחיוב של טבילת כלי מדאורייתא שייך לכל מיני מתכות, ומששת האלו למדו הכל. ומיני' שלכאורה י"ל עוד יותר, והוא דכל שיש לו התכונה של כלי מתכות </w:t>
      </w:r>
      <w:r w:rsidR="0013584C" w:rsidRPr="00882F11">
        <w:rPr>
          <w:rFonts w:cs="Guttman Drogolin" w:hint="cs"/>
          <w:rtl/>
          <w:lang w:bidi="he-IL"/>
        </w:rPr>
        <w:lastRenderedPageBreak/>
        <w:t xml:space="preserve">חייבים מדאורייתא, ולכן כלי זכוכית </w:t>
      </w:r>
      <w:r w:rsidR="008F7399" w:rsidRPr="00882F11">
        <w:rPr>
          <w:rFonts w:cs="Guttman Drogolin" w:hint="cs"/>
          <w:rtl/>
          <w:lang w:bidi="he-IL"/>
        </w:rPr>
        <w:t>ג"כ נלמדים מששת המתכות המוזכרות</w:t>
      </w:r>
      <w:r w:rsidR="0013584C" w:rsidRPr="00882F11">
        <w:rPr>
          <w:rFonts w:cs="Guttman Drogolin" w:hint="cs"/>
          <w:rtl/>
          <w:lang w:bidi="he-IL"/>
        </w:rPr>
        <w:t xml:space="preserve"> כיון שדומים לכלי מתכות בזה </w:t>
      </w:r>
      <w:r w:rsidR="008F7399" w:rsidRPr="00882F11">
        <w:rPr>
          <w:rFonts w:cs="Guttman Drogolin" w:hint="cs"/>
          <w:rtl/>
          <w:lang w:bidi="he-IL"/>
        </w:rPr>
        <w:t xml:space="preserve">דכי נשברו יש להם תקנה. </w:t>
      </w:r>
    </w:p>
    <w:p w:rsidR="000E7154" w:rsidRPr="00882F11" w:rsidRDefault="008F7399" w:rsidP="000E7154">
      <w:pPr>
        <w:tabs>
          <w:tab w:val="right" w:pos="7497"/>
        </w:tabs>
        <w:bidi/>
        <w:jc w:val="both"/>
        <w:rPr>
          <w:rFonts w:cs="Guttman Drogolin"/>
          <w:rtl/>
          <w:lang w:bidi="he-IL"/>
        </w:rPr>
      </w:pPr>
      <w:r w:rsidRPr="00882F11">
        <w:rPr>
          <w:rFonts w:cs="Guttman Drogolin" w:hint="cs"/>
          <w:rtl/>
          <w:lang w:bidi="he-IL"/>
        </w:rPr>
        <w:t xml:space="preserve">אמנם מצאתי לכאורה מקור מסוגיא דמס' שבת שכלי זכוכית הנקנים מן העכו"ם חייבים רק מדרבנן. דהנה במס' שבת </w:t>
      </w:r>
      <w:r w:rsidR="00174AB2">
        <w:rPr>
          <w:rFonts w:cs="Guttman Drogolin" w:hint="cs"/>
          <w:rtl/>
          <w:lang w:bidi="he-IL"/>
        </w:rPr>
        <w:t xml:space="preserve">דף ט"ו ע"ב מבואר שגזרו על </w:t>
      </w:r>
      <w:r w:rsidR="00FF04C6" w:rsidRPr="00882F11">
        <w:rPr>
          <w:rFonts w:cs="Guttman Drogolin" w:hint="cs"/>
          <w:rtl/>
          <w:lang w:bidi="he-IL"/>
        </w:rPr>
        <w:t xml:space="preserve">כלי זכוכית שיהיו מקבלין טומאה, מעיקרא סבר הגמ' שהטעם שגזרו בהם שיקבלו טומאה משום שדומים לכלי חרס כיון שגם זכוכית ברייתו מן החול. ושואלת על זה הגמ' ממתני' דמס' כלים פ"ב מ"א </w:t>
      </w:r>
      <w:r w:rsidR="000E7154" w:rsidRPr="00882F11">
        <w:rPr>
          <w:rFonts w:cs="Guttman Drogolin" w:hint="cs"/>
          <w:rtl/>
          <w:lang w:bidi="he-IL"/>
        </w:rPr>
        <w:t xml:space="preserve">דמבואר שם שכלי זכוכית מקבלין טומאה מגבן, ואילו כלי חרס אינו מקבל טומאה מגבו. ומעיקרא סבר הגמ' דכיון דכי נשתברו יש להם תקנה, הרי הם דומים לכלי מתכות ולכן מקבלין טומאה ככלי מתכות, ור' אשי תי' דלעולם אינם דומים לכלי מתכות, ומ"מ גזרו שכלי זכוכית יטמאו מגבו כיון שהוא שקוף ותוכו נראה כברו. </w:t>
      </w:r>
    </w:p>
    <w:p w:rsidR="00435F20" w:rsidRPr="00882F11" w:rsidRDefault="000E7154" w:rsidP="00174AB2">
      <w:pPr>
        <w:tabs>
          <w:tab w:val="right" w:pos="7497"/>
        </w:tabs>
        <w:bidi/>
        <w:jc w:val="both"/>
        <w:rPr>
          <w:rFonts w:cs="Guttman Drogolin"/>
          <w:rtl/>
          <w:lang w:bidi="he-IL"/>
        </w:rPr>
      </w:pPr>
      <w:r w:rsidRPr="00882F11">
        <w:rPr>
          <w:rFonts w:cs="Guttman Drogolin" w:hint="cs"/>
          <w:rtl/>
          <w:lang w:bidi="he-IL"/>
        </w:rPr>
        <w:t xml:space="preserve">והנה התוס' שם בד"ה אלא </w:t>
      </w:r>
      <w:r w:rsidR="00C42BBE" w:rsidRPr="00882F11">
        <w:rPr>
          <w:rFonts w:cs="Guttman Drogolin" w:hint="cs"/>
          <w:rtl/>
          <w:lang w:bidi="he-IL"/>
        </w:rPr>
        <w:t>כיון</w:t>
      </w:r>
      <w:r w:rsidRPr="00882F11">
        <w:rPr>
          <w:rFonts w:cs="Guttman Drogolin" w:hint="cs"/>
          <w:rtl/>
          <w:lang w:bidi="he-IL"/>
        </w:rPr>
        <w:t xml:space="preserve"> כתבו שכשהגמ' מדמה כלי זכוכית לכלי מתכות, הגמ' אינה חוזרת ממאי דקאמר מעיקרא דדמי לכלי חרס כיון שברייתו מן החול, דמשום סברא דוכי נשברו יש להם תקנה לבד לא היינו אומרים שכלי זכוכית מקבלים טומאה, רק כיון שגזרו על כלי זכוכית שיהיו מק</w:t>
      </w:r>
      <w:r w:rsidR="005617EA" w:rsidRPr="00882F11">
        <w:rPr>
          <w:rFonts w:cs="Guttman Drogolin" w:hint="cs"/>
          <w:rtl/>
          <w:lang w:bidi="he-IL"/>
        </w:rPr>
        <w:t>ב</w:t>
      </w:r>
      <w:r w:rsidRPr="00882F11">
        <w:rPr>
          <w:rFonts w:cs="Guttman Drogolin" w:hint="cs"/>
          <w:rtl/>
          <w:lang w:bidi="he-IL"/>
        </w:rPr>
        <w:t xml:space="preserve">לים טומאה כיון שדומים לכלי חרס גזרו שיקבלו טומאה מגבן כיון שדומה נמי לכלי מתכת. וע"ש עוד בתוס' ד"ה רב אשי שהעירו דר' אשי </w:t>
      </w:r>
      <w:r w:rsidR="00174AB2">
        <w:rPr>
          <w:rFonts w:cs="Guttman Drogolin" w:hint="cs"/>
          <w:rtl/>
          <w:lang w:bidi="he-IL"/>
        </w:rPr>
        <w:t xml:space="preserve">שבסוגיא דמס' שבת לא סבירא לי' </w:t>
      </w:r>
      <w:r w:rsidRPr="00882F11">
        <w:rPr>
          <w:rFonts w:cs="Guttman Drogolin" w:hint="cs"/>
          <w:rtl/>
          <w:lang w:bidi="he-IL"/>
        </w:rPr>
        <w:t xml:space="preserve">הטעם דוכי נשברו וכו' מ"מ סבירא לי' דמהני טעם זה לענין טבילת כלים הנקנין מן העכו"ם. </w:t>
      </w:r>
      <w:r w:rsidR="00B812C6" w:rsidRPr="00882F11">
        <w:rPr>
          <w:rFonts w:cs="Guttman Drogolin" w:hint="cs"/>
          <w:rtl/>
          <w:lang w:bidi="he-IL"/>
        </w:rPr>
        <w:t>והתוס' לא ביארו לנו מהו הטעם לחלק בין נד"ד לנידון דהתם. אמנם בתוס' הרא"ש</w:t>
      </w:r>
      <w:r w:rsidR="005A545A" w:rsidRPr="00882F11">
        <w:rPr>
          <w:rStyle w:val="FootnoteReference"/>
          <w:rFonts w:cs="Guttman Drogolin"/>
          <w:rtl/>
          <w:lang w:bidi="he-IL"/>
        </w:rPr>
        <w:footnoteReference w:id="453"/>
      </w:r>
      <w:r w:rsidR="00B812C6" w:rsidRPr="00882F11">
        <w:rPr>
          <w:rFonts w:cs="Guttman Drogolin" w:hint="cs"/>
          <w:rtl/>
          <w:lang w:bidi="he-IL"/>
        </w:rPr>
        <w:t xml:space="preserve"> הדברים מבוארים, והוא שהכל משום גזירה, ולכן לענין טומאה וטהרה אפושי טומאה לא מפשינן, ולכן משום סברא דדמו לכלי מתכות בלבד שהיא סברא קלושה לא מפשינן </w:t>
      </w:r>
      <w:r w:rsidR="00B812C6" w:rsidRPr="00882F11">
        <w:rPr>
          <w:rFonts w:cs="Guttman Drogolin" w:hint="cs"/>
          <w:rtl/>
          <w:lang w:bidi="he-IL"/>
        </w:rPr>
        <w:lastRenderedPageBreak/>
        <w:t xml:space="preserve">טומאה, אבל לענין החיוב דכלים הנקנים מן העכו"ם שפיר גזרינן. ונראה שבזה מיושבים גם דברי התוס' בד"ה אלא, שלכאורה קשה, אי לא גרסינן אלא, יוצא שאין לחייב טבילת כלים משום סברא דו'כי נשתברו וכו' בפני עצמו, רק אגב הסברא דדמו לכלי חרס, וכיון שבכלים הנקנין מן העכו"ם לא שייך האי סברא, לכאורה מה"ת לחייב כלי זכוכית בחיובא דטבילת כלים הנקנים מן העכו"ם. </w:t>
      </w:r>
      <w:r w:rsidR="00435F20" w:rsidRPr="00882F11">
        <w:rPr>
          <w:rFonts w:cs="Guttman Drogolin" w:hint="cs"/>
          <w:rtl/>
          <w:lang w:bidi="he-IL"/>
        </w:rPr>
        <w:t xml:space="preserve">ויש לומר שגם הוא אגב זה שמקבלים טומאה ככלי חרס. אמנם </w:t>
      </w:r>
      <w:r w:rsidR="00B812C6" w:rsidRPr="00882F11">
        <w:rPr>
          <w:rFonts w:cs="Guttman Drogolin" w:hint="cs"/>
          <w:rtl/>
          <w:lang w:bidi="he-IL"/>
        </w:rPr>
        <w:t xml:space="preserve">לפי דברי התוס' הרא"ש ניחא, שי"ל דרק לענין טומאה לא היינו גוזרים אלמלא הדמיון לכלי חרס, ומשום דאפושי טומאה לא מפשינן, אבל לענין כלים הנקנין מן העכו"ם גם סברא זו מהני.  </w:t>
      </w:r>
      <w:r w:rsidRPr="00882F11">
        <w:rPr>
          <w:rFonts w:cs="Guttman Drogolin" w:hint="cs"/>
          <w:rtl/>
          <w:lang w:bidi="he-IL"/>
        </w:rPr>
        <w:t xml:space="preserve"> </w:t>
      </w:r>
    </w:p>
    <w:p w:rsidR="00262B06" w:rsidRPr="00882F11" w:rsidRDefault="00435F20" w:rsidP="00174AB2">
      <w:pPr>
        <w:tabs>
          <w:tab w:val="right" w:pos="7497"/>
        </w:tabs>
        <w:bidi/>
        <w:jc w:val="both"/>
        <w:rPr>
          <w:rFonts w:cs="Guttman Drogolin"/>
          <w:rtl/>
          <w:lang w:bidi="he-IL"/>
        </w:rPr>
      </w:pPr>
      <w:r w:rsidRPr="00882F11">
        <w:rPr>
          <w:rFonts w:cs="Guttman Drogolin" w:hint="cs"/>
          <w:rtl/>
          <w:lang w:bidi="he-IL"/>
        </w:rPr>
        <w:t xml:space="preserve">ומ"מ אע"ג שטבילת כלי זכוכית אינו אלא מדרבנן, </w:t>
      </w:r>
      <w:r w:rsidR="00357187" w:rsidRPr="00882F11">
        <w:rPr>
          <w:rFonts w:cs="Guttman Drogolin" w:hint="cs"/>
          <w:rtl/>
          <w:lang w:bidi="he-IL"/>
        </w:rPr>
        <w:t xml:space="preserve">עדיין </w:t>
      </w:r>
      <w:r w:rsidRPr="00882F11">
        <w:rPr>
          <w:rFonts w:cs="Guttman Drogolin" w:hint="cs"/>
          <w:rtl/>
          <w:lang w:bidi="he-IL"/>
        </w:rPr>
        <w:t xml:space="preserve">איכא למימר שהחיוב הנלמד מששת מיני המתכות </w:t>
      </w:r>
      <w:r w:rsidR="00357187" w:rsidRPr="00882F11">
        <w:rPr>
          <w:rFonts w:cs="Guttman Drogolin" w:hint="cs"/>
          <w:rtl/>
          <w:lang w:bidi="he-IL"/>
        </w:rPr>
        <w:t xml:space="preserve">הוא לחייב כל מיני מתכות וכנ"ל. וכן צידד בשו"ת תשובות והנהגות ח"א סי' תנ"א. וכן הוא באמת </w:t>
      </w:r>
      <w:r w:rsidR="009C25DF" w:rsidRPr="00882F11">
        <w:rPr>
          <w:rFonts w:cs="Guttman Drogolin" w:hint="cs"/>
          <w:rtl/>
          <w:lang w:bidi="he-IL"/>
        </w:rPr>
        <w:t>פש</w:t>
      </w:r>
      <w:r w:rsidR="00357187" w:rsidRPr="00882F11">
        <w:rPr>
          <w:rFonts w:cs="Guttman Drogolin" w:hint="cs"/>
          <w:rtl/>
          <w:lang w:bidi="he-IL"/>
        </w:rPr>
        <w:t>טות לשון</w:t>
      </w:r>
      <w:r w:rsidR="00174AB2">
        <w:rPr>
          <w:rFonts w:cs="Guttman Drogolin" w:hint="cs"/>
          <w:rtl/>
          <w:lang w:bidi="he-IL"/>
        </w:rPr>
        <w:t xml:space="preserve"> הגמ' דכלי מתכות אמורים בפרשה, ש</w:t>
      </w:r>
      <w:r w:rsidR="00357187" w:rsidRPr="00882F11">
        <w:rPr>
          <w:rFonts w:cs="Guttman Drogolin" w:hint="cs"/>
          <w:rtl/>
          <w:lang w:bidi="he-IL"/>
        </w:rPr>
        <w:t xml:space="preserve">משמע דכל כלי מתכות בכלל. </w:t>
      </w:r>
      <w:r w:rsidR="009C25DF" w:rsidRPr="00882F11">
        <w:rPr>
          <w:rFonts w:cs="Guttman Drogolin" w:hint="cs"/>
          <w:rtl/>
          <w:lang w:bidi="he-IL"/>
        </w:rPr>
        <w:t>ועוד העיר בתפארת ישראל (יבקש דעת אות מ"ד) שיתכן שכל מיני מתכות הם בכלל הני</w:t>
      </w:r>
      <w:r w:rsidR="00262B06" w:rsidRPr="00882F11">
        <w:rPr>
          <w:rFonts w:cs="Guttman Drogolin" w:hint="cs"/>
          <w:rtl/>
          <w:lang w:bidi="he-IL"/>
        </w:rPr>
        <w:t xml:space="preserve"> שש</w:t>
      </w:r>
      <w:r w:rsidR="009C25DF" w:rsidRPr="00882F11">
        <w:rPr>
          <w:rFonts w:cs="Guttman Drogolin" w:hint="cs"/>
          <w:rtl/>
          <w:lang w:bidi="he-IL"/>
        </w:rPr>
        <w:t xml:space="preserve">, ולכן גם אליומינום </w:t>
      </w:r>
      <w:r w:rsidR="00262B06" w:rsidRPr="00882F11">
        <w:rPr>
          <w:rFonts w:cs="Guttman Drogolin" w:hint="cs"/>
          <w:rtl/>
          <w:lang w:bidi="he-IL"/>
        </w:rPr>
        <w:t>חייבים בטבילה</w:t>
      </w:r>
      <w:r w:rsidR="009C25DF" w:rsidRPr="00882F11">
        <w:rPr>
          <w:rFonts w:cs="Guttman Drogolin" w:hint="cs"/>
          <w:rtl/>
          <w:lang w:bidi="he-IL"/>
        </w:rPr>
        <w:t>. ואם כל מיני מתכות בכלל</w:t>
      </w:r>
      <w:r w:rsidR="00357187" w:rsidRPr="00882F11">
        <w:rPr>
          <w:rFonts w:cs="Guttman Drogolin" w:hint="cs"/>
          <w:rtl/>
          <w:lang w:bidi="he-IL"/>
        </w:rPr>
        <w:t xml:space="preserve"> יל"ע מהו הקובע איזה חומר מיקרי מתכת ואיזה לא. </w:t>
      </w:r>
      <w:r w:rsidR="009C25DF" w:rsidRPr="00882F11">
        <w:rPr>
          <w:rFonts w:cs="Guttman Drogolin" w:hint="cs"/>
          <w:rtl/>
          <w:lang w:bidi="he-IL"/>
        </w:rPr>
        <w:t>וכנראה הוא כל דבר שיש לו ת</w:t>
      </w:r>
      <w:r w:rsidR="00174AB2">
        <w:rPr>
          <w:rFonts w:cs="Guttman Drogolin" w:hint="cs"/>
          <w:rtl/>
          <w:lang w:bidi="he-IL"/>
        </w:rPr>
        <w:t>כונה</w:t>
      </w:r>
      <w:r w:rsidR="009C25DF" w:rsidRPr="00882F11">
        <w:rPr>
          <w:rFonts w:cs="Guttman Drogolin" w:hint="cs"/>
          <w:rtl/>
          <w:lang w:bidi="he-IL"/>
        </w:rPr>
        <w:t xml:space="preserve"> </w:t>
      </w:r>
      <w:r w:rsidR="00174AB2">
        <w:rPr>
          <w:rFonts w:cs="Guttman Drogolin" w:hint="cs"/>
          <w:rtl/>
          <w:lang w:bidi="he-IL"/>
        </w:rPr>
        <w:t>ה</w:t>
      </w:r>
      <w:r w:rsidR="009C25DF" w:rsidRPr="00882F11">
        <w:rPr>
          <w:rFonts w:cs="Guttman Drogolin" w:hint="cs"/>
          <w:rtl/>
          <w:lang w:bidi="he-IL"/>
        </w:rPr>
        <w:t>דומה להנהו, וע"ש בתפא"י שכתב "</w:t>
      </w:r>
      <w:r w:rsidR="009C25DF" w:rsidRPr="00882F11">
        <w:rPr>
          <w:rFonts w:cs="Guttman Drogolin"/>
          <w:rtl/>
          <w:lang w:bidi="he-IL"/>
        </w:rPr>
        <w:t>כל הנרקע בפטיש רקועי פחים נקרא מתכות</w:t>
      </w:r>
      <w:r w:rsidR="009C25DF" w:rsidRPr="00882F11">
        <w:rPr>
          <w:rFonts w:cs="Guttman Drogolin" w:hint="cs"/>
          <w:rtl/>
          <w:lang w:bidi="he-IL"/>
        </w:rPr>
        <w:t>".</w:t>
      </w:r>
      <w:r w:rsidR="000E7154" w:rsidRPr="00882F11">
        <w:rPr>
          <w:rFonts w:cs="Guttman Drogolin" w:hint="cs"/>
          <w:rtl/>
          <w:lang w:bidi="he-IL"/>
        </w:rPr>
        <w:t xml:space="preserve"> </w:t>
      </w:r>
    </w:p>
    <w:p w:rsidR="00C8330D" w:rsidRPr="00882F11" w:rsidRDefault="00262B06" w:rsidP="00262B06">
      <w:pPr>
        <w:tabs>
          <w:tab w:val="right" w:pos="7497"/>
        </w:tabs>
        <w:bidi/>
        <w:jc w:val="both"/>
        <w:rPr>
          <w:rFonts w:cs="Guttman Drogolin"/>
          <w:rtl/>
          <w:lang w:bidi="he-IL"/>
        </w:rPr>
      </w:pPr>
      <w:r w:rsidRPr="00882F11">
        <w:rPr>
          <w:rFonts w:cs="Guttman Drogolin" w:hint="cs"/>
          <w:rtl/>
          <w:lang w:bidi="he-IL"/>
        </w:rPr>
        <w:t>ומ"מ אין זה סברא מוכרח</w:t>
      </w:r>
      <w:r w:rsidR="005617EA" w:rsidRPr="00882F11">
        <w:rPr>
          <w:rFonts w:cs="Guttman Drogolin" w:hint="cs"/>
          <w:rtl/>
          <w:lang w:bidi="he-IL"/>
        </w:rPr>
        <w:t>ת</w:t>
      </w:r>
      <w:r w:rsidRPr="00882F11">
        <w:rPr>
          <w:rFonts w:cs="Guttman Drogolin" w:hint="cs"/>
          <w:rtl/>
          <w:lang w:bidi="he-IL"/>
        </w:rPr>
        <w:t xml:space="preserve"> ושפיר י"ל כגרמ"פ הנ"ל שאין כגון כלי אלומיניום חייבים מדאורייתא כיון שאינם משש מיני המתכות המוזכרים בתורה. ויל"ע אם מ"מ חייבים בטבילת כלים מדרבנן. הנה בזה שכלי זכוכית חייבים משום סברא ד'</w:t>
      </w:r>
      <w:r w:rsidRPr="00882F11">
        <w:rPr>
          <w:rFonts w:cs="Guttman Drogolin"/>
          <w:rtl/>
          <w:lang w:bidi="he-IL"/>
        </w:rPr>
        <w:t>הואיל וכי נשתברו יש להן תקנה ככלי מתכות דמו</w:t>
      </w:r>
      <w:r w:rsidRPr="00882F11">
        <w:rPr>
          <w:rFonts w:cs="Guttman Drogolin" w:hint="cs"/>
          <w:rtl/>
          <w:lang w:bidi="he-IL"/>
        </w:rPr>
        <w:t>', יל"ע מהו גדר הדברים. שלכאורה י"</w:t>
      </w:r>
      <w:r w:rsidR="00C8330D" w:rsidRPr="00882F11">
        <w:rPr>
          <w:rFonts w:cs="Guttman Drogolin" w:hint="cs"/>
          <w:rtl/>
          <w:lang w:bidi="he-IL"/>
        </w:rPr>
        <w:t xml:space="preserve">ל שאמנם זהו הטעם לחייב כלי זכוכית בטבילת כלים, מ"מ לא חייבו אלא כלי זכוכית, ולא כל דבר שיש לו תכונה זו. וא"כ עד כמה שכלי אליומינום אינם חייבם מדאורייתא כיון שאינם בכלל ששת מיני המתכות המוזכרים בתורה, לא יהיו חייבים אפילו מדרבנן. </w:t>
      </w:r>
    </w:p>
    <w:p w:rsidR="00C8330D" w:rsidRPr="00882F11" w:rsidRDefault="006A3C22" w:rsidP="00174AB2">
      <w:pPr>
        <w:tabs>
          <w:tab w:val="right" w:pos="7497"/>
        </w:tabs>
        <w:bidi/>
        <w:jc w:val="both"/>
        <w:rPr>
          <w:rFonts w:cs="Guttman Drogolin"/>
          <w:rtl/>
          <w:lang w:bidi="he-IL"/>
        </w:rPr>
      </w:pPr>
      <w:r>
        <w:rPr>
          <w:rFonts w:cs="Guttman Drogolin"/>
          <w:rtl/>
          <w:lang w:bidi="he-IL"/>
        </w:rPr>
        <w:lastRenderedPageBreak/>
        <w:fldChar w:fldCharType="begin"/>
      </w:r>
      <w:r>
        <w:instrText xml:space="preserve"> XE "</w:instrText>
      </w:r>
      <w:r w:rsidRPr="006A4F64">
        <w:rPr>
          <w:rFonts w:hint="cs"/>
          <w:rtl/>
          <w:lang w:bidi="he-IL"/>
        </w:rPr>
        <w:instrText>טבילת כלים</w:instrText>
      </w:r>
      <w:r w:rsidRPr="006A4F64">
        <w:rPr>
          <w:rtl/>
        </w:rPr>
        <w:instrText>:</w:instrText>
      </w:r>
      <w:r w:rsidRPr="006A4F64">
        <w:rPr>
          <w:rFonts w:hint="cs"/>
          <w:rtl/>
          <w:lang w:bidi="he-IL"/>
        </w:rPr>
        <w:instrText>חומרים שיש להם התכונה של כלי זכוכית</w:instrText>
      </w:r>
      <w:r>
        <w:instrText xml:space="preserve">" </w:instrText>
      </w:r>
      <w:r>
        <w:rPr>
          <w:rFonts w:cs="Guttman Drogolin"/>
          <w:rtl/>
          <w:lang w:bidi="he-IL"/>
        </w:rPr>
        <w:fldChar w:fldCharType="end"/>
      </w:r>
      <w:r w:rsidR="00C8330D" w:rsidRPr="00882F11">
        <w:rPr>
          <w:rFonts w:cs="Guttman Drogolin" w:hint="cs"/>
          <w:rtl/>
          <w:lang w:bidi="he-IL"/>
        </w:rPr>
        <w:t xml:space="preserve">ויש אחרונים שלמדו שחז"ל לא חייבו כלי זכוכית בפרט, רק חייבו כל כלי שיש לו תכונה הנ"ל, ולא נקטו אלא מידי דשכיח. וכ"כ בדרכ"ת בסי' ק"כ ס"ק י"ד בשם </w:t>
      </w:r>
      <w:r w:rsidR="000E20BC" w:rsidRPr="00882F11">
        <w:rPr>
          <w:rFonts w:cs="Guttman Drogolin" w:hint="cs"/>
          <w:rtl/>
          <w:lang w:bidi="he-IL"/>
        </w:rPr>
        <w:t>שו"ת אהל אברהם</w:t>
      </w:r>
      <w:r w:rsidR="00C8330D" w:rsidRPr="00882F11">
        <w:rPr>
          <w:rFonts w:cs="Guttman Drogolin" w:hint="cs"/>
          <w:rtl/>
          <w:lang w:bidi="he-IL"/>
        </w:rPr>
        <w:t>, ולכן כת</w:t>
      </w:r>
      <w:r w:rsidR="00174AB2">
        <w:rPr>
          <w:rFonts w:cs="Guttman Drogolin" w:hint="cs"/>
          <w:rtl/>
          <w:lang w:bidi="he-IL"/>
        </w:rPr>
        <w:t>ב</w:t>
      </w:r>
      <w:r w:rsidR="00C8330D" w:rsidRPr="00882F11">
        <w:rPr>
          <w:rFonts w:cs="Guttman Drogolin" w:hint="cs"/>
          <w:rtl/>
          <w:lang w:bidi="he-IL"/>
        </w:rPr>
        <w:t>ו דכיון שחידשו עכשיו שגם כלי עצם יש להם תכונה זו גם אלו חייבים בטבילה מדרבנן.</w:t>
      </w:r>
      <w:r w:rsidR="00941AD2">
        <w:rPr>
          <w:rFonts w:cs="Guttman Drogolin"/>
          <w:rtl/>
          <w:lang w:bidi="he-IL"/>
        </w:rPr>
        <w:fldChar w:fldCharType="begin"/>
      </w:r>
      <w:r w:rsidR="00941AD2">
        <w:instrText xml:space="preserve"> XE "</w:instrText>
      </w:r>
      <w:r w:rsidR="00941AD2" w:rsidRPr="00AC64FD">
        <w:rPr>
          <w:rFonts w:hint="cs"/>
          <w:rtl/>
          <w:lang w:bidi="he-IL"/>
        </w:rPr>
        <w:instrText>טבילת כלים</w:instrText>
      </w:r>
      <w:r w:rsidR="00941AD2" w:rsidRPr="00AC64FD">
        <w:rPr>
          <w:rtl/>
        </w:rPr>
        <w:instrText>:</w:instrText>
      </w:r>
      <w:r w:rsidR="00941AD2" w:rsidRPr="00AC64FD">
        <w:rPr>
          <w:rFonts w:hint="cs"/>
          <w:rtl/>
          <w:lang w:bidi="he-IL"/>
        </w:rPr>
        <w:instrText>כלי פלסטיק</w:instrText>
      </w:r>
      <w:r w:rsidR="00941AD2">
        <w:instrText xml:space="preserve">" </w:instrText>
      </w:r>
      <w:r w:rsidR="00941AD2">
        <w:rPr>
          <w:rFonts w:cs="Guttman Drogolin"/>
          <w:rtl/>
          <w:lang w:bidi="he-IL"/>
        </w:rPr>
        <w:fldChar w:fldCharType="end"/>
      </w:r>
      <w:r w:rsidR="00C8330D" w:rsidRPr="00882F11">
        <w:rPr>
          <w:rFonts w:cs="Guttman Drogolin" w:hint="cs"/>
          <w:rtl/>
          <w:lang w:bidi="he-IL"/>
        </w:rPr>
        <w:t xml:space="preserve"> וכן נוקטים איזה אחרונים שמטעם זה יש לחייב כלי פלסטיק בטבילה כיון שגם להם יש תכונה זו.</w:t>
      </w:r>
    </w:p>
    <w:p w:rsidR="00572052" w:rsidRPr="00882F11" w:rsidRDefault="00C8330D" w:rsidP="005617EA">
      <w:pPr>
        <w:tabs>
          <w:tab w:val="right" w:pos="7497"/>
        </w:tabs>
        <w:bidi/>
        <w:jc w:val="both"/>
        <w:rPr>
          <w:rFonts w:cs="Guttman Drogolin"/>
          <w:rtl/>
          <w:lang w:bidi="he-IL"/>
        </w:rPr>
      </w:pPr>
      <w:r w:rsidRPr="00882F11">
        <w:rPr>
          <w:rFonts w:cs="Guttman Drogolin" w:hint="cs"/>
          <w:rtl/>
          <w:lang w:bidi="he-IL"/>
        </w:rPr>
        <w:t xml:space="preserve">אמנם שורת הדין שכלי פלסטיק אינם חייבים בטבילת כלים כיון שלא חייבו אלא כלי זכוכית. </w:t>
      </w:r>
      <w:r w:rsidR="00941AD2">
        <w:rPr>
          <w:rFonts w:cs="Guttman Drogolin"/>
          <w:rtl/>
          <w:lang w:bidi="he-IL"/>
        </w:rPr>
        <w:fldChar w:fldCharType="begin"/>
      </w:r>
      <w:r w:rsidR="00941AD2">
        <w:instrText xml:space="preserve"> XE "</w:instrText>
      </w:r>
      <w:r w:rsidR="00941AD2" w:rsidRPr="00BF6511">
        <w:rPr>
          <w:rFonts w:hint="cs"/>
          <w:rtl/>
          <w:lang w:bidi="he-IL"/>
        </w:rPr>
        <w:instrText>טבילת כלים</w:instrText>
      </w:r>
      <w:r w:rsidR="00941AD2" w:rsidRPr="00BF6511">
        <w:rPr>
          <w:rtl/>
        </w:rPr>
        <w:instrText>:</w:instrText>
      </w:r>
      <w:r w:rsidR="00941AD2" w:rsidRPr="00BF6511">
        <w:rPr>
          <w:rFonts w:hint="cs"/>
          <w:rtl/>
          <w:lang w:bidi="he-IL"/>
        </w:rPr>
        <w:instrText>כלי אליומינום</w:instrText>
      </w:r>
      <w:r w:rsidR="00941AD2">
        <w:instrText xml:space="preserve">" </w:instrText>
      </w:r>
      <w:r w:rsidR="00941AD2">
        <w:rPr>
          <w:rFonts w:cs="Guttman Drogolin"/>
          <w:rtl/>
          <w:lang w:bidi="he-IL"/>
        </w:rPr>
        <w:fldChar w:fldCharType="end"/>
      </w:r>
      <w:r w:rsidRPr="00882F11">
        <w:rPr>
          <w:rFonts w:cs="Guttman Drogolin" w:hint="cs"/>
          <w:rtl/>
          <w:lang w:bidi="he-IL"/>
        </w:rPr>
        <w:t>ומ"מ צידד הגרמ"פ שם לומר דאע"ג דכלי אליומינום אינם חייבים מדאורייתא, מ"מ יש לחייבם מדרבנן. והטעם שהרי הגמ' סתם וכתב שכלי מתכות חייבים, ומשמע דכל כלי מתכות בכלל</w:t>
      </w:r>
      <w:r w:rsidR="00572052" w:rsidRPr="00882F11">
        <w:rPr>
          <w:rFonts w:cs="Guttman Drogolin" w:hint="cs"/>
          <w:rtl/>
          <w:lang w:bidi="he-IL"/>
        </w:rPr>
        <w:t xml:space="preserve">. ואם כלי אליומינום אינם חייבים מדאורייתא כיון שאינו בכלל שש מיני התכות המוזכרים וכסברת הגרמ"פ הנ"ל, חייבים לומר שמ"מ גזרו על כולם. ואפילו למ"ד שלא כל דבר שיש לו תכונה של זכוכית חייב בטבילת כלים, מ"מ י"ל דהיינו רק בדברים </w:t>
      </w:r>
      <w:r w:rsidR="005617EA" w:rsidRPr="00882F11">
        <w:rPr>
          <w:rFonts w:cs="Guttman Drogolin" w:hint="cs"/>
          <w:rtl/>
          <w:lang w:bidi="he-IL"/>
        </w:rPr>
        <w:t xml:space="preserve">שאינם </w:t>
      </w:r>
      <w:r w:rsidR="00572052" w:rsidRPr="00882F11">
        <w:rPr>
          <w:rFonts w:cs="Guttman Drogolin" w:hint="cs"/>
          <w:rtl/>
          <w:lang w:bidi="he-IL"/>
        </w:rPr>
        <w:t xml:space="preserve">מוזכרים, אבל </w:t>
      </w:r>
      <w:r w:rsidR="005617EA" w:rsidRPr="00882F11">
        <w:rPr>
          <w:rFonts w:cs="Guttman Drogolin" w:hint="cs"/>
          <w:rtl/>
          <w:lang w:bidi="he-IL"/>
        </w:rPr>
        <w:t>מ</w:t>
      </w:r>
      <w:r w:rsidR="00572052" w:rsidRPr="00882F11">
        <w:rPr>
          <w:rFonts w:cs="Guttman Drogolin" w:hint="cs"/>
          <w:rtl/>
          <w:lang w:bidi="he-IL"/>
        </w:rPr>
        <w:t>תכת שמוזכר לחיוב שפיר י"ל שגם על מתכות גזרו אם הוא ממין שאינו משש המינים, ולא נקטו זכוכית אלא משום שכל מיני זכוכית אינם חייבים</w:t>
      </w:r>
      <w:r w:rsidR="00174AB2">
        <w:rPr>
          <w:rFonts w:cs="Guttman Drogolin" w:hint="cs"/>
          <w:rtl/>
          <w:lang w:bidi="he-IL"/>
        </w:rPr>
        <w:t xml:space="preserve"> אלא</w:t>
      </w:r>
      <w:r w:rsidR="00572052" w:rsidRPr="00882F11">
        <w:rPr>
          <w:rFonts w:cs="Guttman Drogolin" w:hint="cs"/>
          <w:rtl/>
          <w:lang w:bidi="he-IL"/>
        </w:rPr>
        <w:t xml:space="preserve"> מדרבנן.</w:t>
      </w:r>
    </w:p>
    <w:p w:rsidR="00481F34" w:rsidRPr="00882F11" w:rsidRDefault="00572052" w:rsidP="00174AB2">
      <w:pPr>
        <w:tabs>
          <w:tab w:val="right" w:pos="7497"/>
        </w:tabs>
        <w:bidi/>
        <w:jc w:val="both"/>
        <w:rPr>
          <w:rFonts w:cs="Guttman Drogolin"/>
          <w:rtl/>
          <w:lang w:bidi="he-IL"/>
        </w:rPr>
      </w:pPr>
      <w:r w:rsidRPr="00882F11">
        <w:rPr>
          <w:rFonts w:cs="Guttman Drogolin" w:hint="cs"/>
          <w:rtl/>
          <w:lang w:bidi="he-IL"/>
        </w:rPr>
        <w:t xml:space="preserve">ולענין מעשה כיון שיש סברא לחייב אותם מדרבנן ואולי אפילו מדאורייתא, יש להטביל כלי אליומינום. ומ"מ נראה שאין להטבילם בברכה, כיון שיש גם סברא שאינם חייבים כלל, דהא </w:t>
      </w:r>
      <w:r w:rsidR="00481F34" w:rsidRPr="00882F11">
        <w:rPr>
          <w:rFonts w:cs="Guttman Drogolin" w:hint="cs"/>
          <w:rtl/>
          <w:lang w:bidi="he-IL"/>
        </w:rPr>
        <w:t>י"ל ש</w:t>
      </w:r>
      <w:r w:rsidRPr="00882F11">
        <w:rPr>
          <w:rFonts w:cs="Guttman Drogolin" w:hint="cs"/>
          <w:rtl/>
          <w:lang w:bidi="he-IL"/>
        </w:rPr>
        <w:t>מדאורייתא רק ששת מיני</w:t>
      </w:r>
      <w:r w:rsidR="00481F34" w:rsidRPr="00882F11">
        <w:rPr>
          <w:rFonts w:cs="Guttman Drogolin" w:hint="cs"/>
          <w:rtl/>
          <w:lang w:bidi="he-IL"/>
        </w:rPr>
        <w:t xml:space="preserve"> מתכות חייבים, ומדרבנן י"ל שרק זכוכית חייב, וסב"ל. </w:t>
      </w:r>
      <w:r w:rsidR="00C164F8" w:rsidRPr="00882F11">
        <w:rPr>
          <w:rFonts w:cs="Guttman Drogolin" w:hint="cs"/>
          <w:rtl/>
          <w:lang w:bidi="he-IL"/>
        </w:rPr>
        <w:t xml:space="preserve">וכן ראיתי משמי' דהגרמ"פ (מסורת משה יו"ד אות ל') והגר"י קמינצקי (אמת ליעקב הערה נ"א, וע' במכתב שבסוף ס' טבילת כלים). </w:t>
      </w:r>
      <w:r w:rsidR="00481F34" w:rsidRPr="00882F11">
        <w:rPr>
          <w:rFonts w:cs="Guttman Drogolin" w:hint="cs"/>
          <w:rtl/>
          <w:lang w:bidi="he-IL"/>
        </w:rPr>
        <w:t>והנ"מ כלי אליומינום, אבל בכלי פלסטיק וכדומה שורת הדין שפטורים מן הטבילה</w:t>
      </w:r>
      <w:r w:rsidR="00C164F8" w:rsidRPr="00882F11">
        <w:rPr>
          <w:rFonts w:cs="Guttman Drogolin" w:hint="cs"/>
          <w:rtl/>
          <w:lang w:bidi="he-IL"/>
        </w:rPr>
        <w:t xml:space="preserve"> (ע' ארחות רבינו ח"ג עמ' פ"ה וחוט שני שבת ח"ב עמ' שכ"ט </w:t>
      </w:r>
      <w:r w:rsidR="000E20BC" w:rsidRPr="00882F11">
        <w:rPr>
          <w:rFonts w:cs="Guttman Drogolin" w:hint="cs"/>
          <w:rtl/>
          <w:lang w:bidi="he-IL"/>
        </w:rPr>
        <w:t xml:space="preserve">וקובץ מבית לוי (הל' טבילת כלים אות ה' </w:t>
      </w:r>
      <w:r w:rsidR="000E20BC" w:rsidRPr="00882F11">
        <w:rPr>
          <w:rFonts w:cs="Guttman Drogolin"/>
          <w:rtl/>
          <w:lang w:bidi="he-IL"/>
        </w:rPr>
        <w:t>–</w:t>
      </w:r>
      <w:r w:rsidR="000E20BC" w:rsidRPr="00882F11">
        <w:rPr>
          <w:rFonts w:cs="Guttman Drogolin" w:hint="cs"/>
          <w:rtl/>
          <w:lang w:bidi="he-IL"/>
        </w:rPr>
        <w:t xml:space="preserve"> והעיד שם שזהו </w:t>
      </w:r>
      <w:r w:rsidR="000E20BC" w:rsidRPr="00882F11">
        <w:rPr>
          <w:rFonts w:cs="Guttman Drogolin" w:hint="cs"/>
          <w:rtl/>
          <w:lang w:bidi="he-IL"/>
        </w:rPr>
        <w:lastRenderedPageBreak/>
        <w:t xml:space="preserve">מנהג העולם) </w:t>
      </w:r>
      <w:r w:rsidR="00C164F8" w:rsidRPr="00882F11">
        <w:rPr>
          <w:rFonts w:cs="Guttman Drogolin" w:hint="cs"/>
          <w:rtl/>
          <w:lang w:bidi="he-IL"/>
        </w:rPr>
        <w:t>בשם החזו"א,</w:t>
      </w:r>
      <w:r w:rsidR="000E20BC" w:rsidRPr="00882F11">
        <w:rPr>
          <w:rFonts w:cs="Guttman Drogolin" w:hint="cs"/>
          <w:rtl/>
          <w:lang w:bidi="he-IL"/>
        </w:rPr>
        <w:t xml:space="preserve"> ואשרי האיש יורה דעה פ"ט אות ט')</w:t>
      </w:r>
      <w:r w:rsidR="000E20BC" w:rsidRPr="00882F11">
        <w:rPr>
          <w:rStyle w:val="FootnoteReference"/>
          <w:rFonts w:cs="Guttman Drogolin"/>
          <w:rtl/>
          <w:lang w:bidi="he-IL"/>
        </w:rPr>
        <w:footnoteReference w:id="454"/>
      </w:r>
      <w:r w:rsidR="00481F34" w:rsidRPr="00882F11">
        <w:rPr>
          <w:rFonts w:cs="Guttman Drogolin" w:hint="cs"/>
          <w:rtl/>
          <w:lang w:bidi="he-IL"/>
        </w:rPr>
        <w:t>.</w:t>
      </w:r>
    </w:p>
    <w:p w:rsidR="000E20BC" w:rsidRPr="00882F11" w:rsidRDefault="00941AD2" w:rsidP="00174AB2">
      <w:pPr>
        <w:tabs>
          <w:tab w:val="right" w:pos="7497"/>
        </w:tabs>
        <w:bidi/>
        <w:jc w:val="both"/>
        <w:rPr>
          <w:rFonts w:cs="Guttman Drogolin"/>
          <w:rtl/>
          <w:lang w:bidi="he-IL"/>
        </w:rPr>
      </w:pPr>
      <w:r>
        <w:rPr>
          <w:rFonts w:cs="Guttman Drogolin"/>
          <w:rtl/>
          <w:lang w:bidi="he-IL"/>
        </w:rPr>
        <w:fldChar w:fldCharType="begin"/>
      </w:r>
      <w:r>
        <w:instrText xml:space="preserve"> XE "</w:instrText>
      </w:r>
      <w:r w:rsidRPr="00B20945">
        <w:rPr>
          <w:rFonts w:hint="cs"/>
          <w:rtl/>
          <w:lang w:bidi="he-IL"/>
        </w:rPr>
        <w:instrText>טבילת כלים</w:instrText>
      </w:r>
      <w:r w:rsidRPr="00B20945">
        <w:rPr>
          <w:rtl/>
        </w:rPr>
        <w:instrText>:</w:instrText>
      </w:r>
      <w:r w:rsidRPr="00B20945">
        <w:rPr>
          <w:rFonts w:hint="cs"/>
          <w:rtl/>
          <w:lang w:bidi="he-IL"/>
        </w:rPr>
        <w:instrText>כלי חד פעמי</w:instrText>
      </w:r>
      <w:r>
        <w:instrText xml:space="preserve">" </w:instrText>
      </w:r>
      <w:r>
        <w:rPr>
          <w:rFonts w:cs="Guttman Drogolin"/>
          <w:rtl/>
          <w:lang w:bidi="he-IL"/>
        </w:rPr>
        <w:fldChar w:fldCharType="end"/>
      </w:r>
      <w:r w:rsidR="000E20BC" w:rsidRPr="00882F11">
        <w:rPr>
          <w:rFonts w:cs="Guttman Drogolin" w:hint="cs"/>
          <w:rtl/>
          <w:lang w:bidi="he-IL"/>
        </w:rPr>
        <w:t>אמנם זה שאנחנו מחייבים טבילה לכלי</w:t>
      </w:r>
      <w:r w:rsidR="00481F34" w:rsidRPr="00882F11">
        <w:rPr>
          <w:rFonts w:cs="Guttman Drogolin" w:hint="cs"/>
          <w:rtl/>
          <w:lang w:bidi="he-IL"/>
        </w:rPr>
        <w:t xml:space="preserve"> אליומינום</w:t>
      </w:r>
      <w:r w:rsidR="000E20BC" w:rsidRPr="00882F11">
        <w:rPr>
          <w:rFonts w:cs="Guttman Drogolin" w:hint="cs"/>
          <w:rtl/>
          <w:lang w:bidi="he-IL"/>
        </w:rPr>
        <w:t>, הנ"מ בכלי קבוע, אבל הרבה פוסקים נקטו שכלים חד פעמיים אינם חייבים בטבילה אפילו כלי סעודה העשוים מחומר המחייב בטבילה. וטעמם משום שלא חייבו בכלי סעודה אלא דבר שיש לו חשיבות של כלי, ואם הוא חד פעמי אין לו חשיבות של כלי וכמו שהוכיח באג"מ (יו"ד ג' סי' כ"ג). ולכן אין חיוב להטביל אותם כלל.</w:t>
      </w:r>
    </w:p>
    <w:p w:rsidR="00742C09" w:rsidRPr="00882F11" w:rsidRDefault="000E20BC" w:rsidP="00742C09">
      <w:pPr>
        <w:tabs>
          <w:tab w:val="right" w:pos="7497"/>
        </w:tabs>
        <w:bidi/>
        <w:jc w:val="both"/>
        <w:rPr>
          <w:rFonts w:cs="Guttman Drogolin"/>
          <w:rtl/>
          <w:lang w:bidi="he-IL"/>
        </w:rPr>
      </w:pPr>
      <w:r w:rsidRPr="00882F11">
        <w:rPr>
          <w:rFonts w:cs="Guttman Drogolin" w:hint="cs"/>
          <w:rtl/>
          <w:lang w:bidi="he-IL"/>
        </w:rPr>
        <w:t>ובזה שאנחנו מחייבים כלי זכוכית בטבילה</w:t>
      </w:r>
      <w:r w:rsidR="00742C09" w:rsidRPr="00882F11">
        <w:rPr>
          <w:rFonts w:cs="Guttman Drogolin" w:hint="cs"/>
          <w:rtl/>
          <w:lang w:bidi="he-IL"/>
        </w:rPr>
        <w:t>, יש לחייב גם כלי זכוכית שמעורב בהם מיעוט חומרים אחרים, ולכן כגון</w:t>
      </w:r>
      <w:r w:rsidR="000C18B9" w:rsidRPr="00882F11">
        <w:rPr>
          <w:rFonts w:cs="Guttman Drogolin" w:hint="cs"/>
          <w:rtl/>
          <w:lang w:bidi="he-IL"/>
        </w:rPr>
        <w:t xml:space="preserve"> </w:t>
      </w:r>
      <w:r w:rsidR="00742C09" w:rsidRPr="00882F11">
        <w:rPr>
          <w:rFonts w:cs="Guttman Drogolin" w:hint="cs"/>
          <w:rtl/>
          <w:lang w:bidi="he-IL"/>
        </w:rPr>
        <w:t>כלי סעודה העשוי מדורלקס ופיירקס חייבים בטבילה בברכה.</w:t>
      </w:r>
    </w:p>
    <w:p w:rsidR="00742C09" w:rsidRPr="00882F11" w:rsidRDefault="00742C09" w:rsidP="00742C09">
      <w:pPr>
        <w:pStyle w:val="Heading1"/>
        <w:bidi/>
        <w:spacing w:before="0" w:line="360" w:lineRule="auto"/>
        <w:jc w:val="center"/>
        <w:rPr>
          <w:rFonts w:cs="Guttman Drogolin"/>
          <w:color w:val="auto"/>
          <w:sz w:val="24"/>
          <w:szCs w:val="24"/>
          <w:u w:val="single"/>
          <w:rtl/>
          <w:lang w:bidi="he-IL"/>
        </w:rPr>
      </w:pPr>
      <w:bookmarkStart w:id="475" w:name="_Toc496175720"/>
      <w:r w:rsidRPr="00882F11">
        <w:rPr>
          <w:rFonts w:cs="Guttman Drogolin" w:hint="cs"/>
          <w:color w:val="auto"/>
          <w:sz w:val="24"/>
          <w:szCs w:val="24"/>
          <w:u w:val="single"/>
          <w:rtl/>
          <w:lang w:bidi="he-IL"/>
        </w:rPr>
        <w:t>אופן אחיזת הכלי בשעת טבילת כלים</w:t>
      </w:r>
      <w:bookmarkEnd w:id="475"/>
    </w:p>
    <w:p w:rsidR="0080365A" w:rsidRPr="00882F11" w:rsidRDefault="00941AD2" w:rsidP="00174AB2">
      <w:pPr>
        <w:bidi/>
        <w:jc w:val="both"/>
        <w:rPr>
          <w:rFonts w:cs="Guttman Drogolin"/>
          <w:b/>
          <w:i/>
          <w:rtl/>
          <w:lang w:bidi="he-IL"/>
        </w:rPr>
      </w:pPr>
      <w:r>
        <w:rPr>
          <w:rFonts w:cs="Guttman Drogolin"/>
          <w:b/>
          <w:i/>
          <w:rtl/>
          <w:lang w:bidi="he-IL"/>
        </w:rPr>
        <w:fldChar w:fldCharType="begin"/>
      </w:r>
      <w:r>
        <w:instrText xml:space="preserve"> XE "</w:instrText>
      </w:r>
      <w:r w:rsidRPr="008D0FA6">
        <w:rPr>
          <w:rFonts w:hint="cs"/>
          <w:rtl/>
          <w:lang w:bidi="he-IL"/>
        </w:rPr>
        <w:instrText>טבילת כלים</w:instrText>
      </w:r>
      <w:r w:rsidRPr="008D0FA6">
        <w:rPr>
          <w:rtl/>
        </w:rPr>
        <w:instrText>:</w:instrText>
      </w:r>
      <w:r w:rsidRPr="008D0FA6">
        <w:rPr>
          <w:rFonts w:hint="cs"/>
          <w:rtl/>
          <w:lang w:bidi="he-IL"/>
        </w:rPr>
        <w:instrText>אופן אחיזת הכלי בשעת טבילה</w:instrText>
      </w:r>
      <w:r>
        <w:instrText xml:space="preserve">" </w:instrText>
      </w:r>
      <w:r>
        <w:rPr>
          <w:rFonts w:cs="Guttman Drogolin"/>
          <w:b/>
          <w:i/>
          <w:rtl/>
          <w:lang w:bidi="he-IL"/>
        </w:rPr>
        <w:fldChar w:fldCharType="end"/>
      </w:r>
      <w:r w:rsidR="0080365A" w:rsidRPr="00882F11">
        <w:rPr>
          <w:rFonts w:cs="Guttman Drogolin" w:hint="cs"/>
          <w:b/>
          <w:i/>
          <w:rtl/>
          <w:lang w:bidi="he-IL"/>
        </w:rPr>
        <w:t>הראשונים כותבים שחציצה פוסלת בטבילה זו כמו בשאר טבילות. ומשמעות דבריהם שיש מידת חידוש בדבר זה. ולכאורה הכוונה, שהרי זה שפוסל חציצה נלמד מגזה"כ, וא"כ הי' אפשר לומר שלא נתחדש דין זה אלא בשאר טבילות, ולא בטבילה מחודשת זו. וקמ"ל שאין</w:t>
      </w:r>
      <w:r w:rsidR="000C18B9" w:rsidRPr="00882F11">
        <w:rPr>
          <w:rFonts w:cs="Guttman Drogolin" w:hint="cs"/>
          <w:b/>
          <w:i/>
          <w:rtl/>
          <w:lang w:bidi="he-IL"/>
        </w:rPr>
        <w:t xml:space="preserve"> </w:t>
      </w:r>
      <w:r w:rsidR="0080365A" w:rsidRPr="00882F11">
        <w:rPr>
          <w:rFonts w:cs="Guttman Drogolin" w:hint="cs"/>
          <w:b/>
          <w:i/>
          <w:rtl/>
          <w:lang w:bidi="he-IL"/>
        </w:rPr>
        <w:t xml:space="preserve">לחלק. והכלל הגדול בזה דמדאורייתא רק רובו ומקפיד חוצץ אבל מדרבנן מיעוט המקפיד או רובו אפילו אין מקפיד חוצץ. ובדר"כ הנפק"מ בהל' חציצה הוא במיעוט המקפיד, וכיון שהוא פוסל בטבילת כלים הנקנין מן העכו"ם, יש להקפיד שלא יהי' על הכלי שום דבר שאינו רצוי (כגון תוית או מדבקה האינה </w:t>
      </w:r>
      <w:r w:rsidR="00174AB2">
        <w:rPr>
          <w:rFonts w:cs="Guttman Drogolin" w:hint="cs"/>
          <w:b/>
          <w:i/>
          <w:rtl/>
          <w:lang w:bidi="he-IL"/>
        </w:rPr>
        <w:t>ר</w:t>
      </w:r>
      <w:r w:rsidR="0080365A" w:rsidRPr="00882F11">
        <w:rPr>
          <w:rFonts w:cs="Guttman Drogolin" w:hint="cs"/>
          <w:b/>
          <w:i/>
          <w:rtl/>
          <w:lang w:bidi="he-IL"/>
        </w:rPr>
        <w:t>צוי', או לחלוח, וכו'). וכן יש לעיין בכלי קודם הטבילה להיות בטוח שאין עליו חציצה, ואם לא עשה כן, אע"פ שלאחר מכן בדקו ולא מצא עליו חציצה, מ"מ לכאורה יש לחזור ולטובלו</w:t>
      </w:r>
      <w:r w:rsidR="00435BCF" w:rsidRPr="00882F11">
        <w:rPr>
          <w:rFonts w:cs="Guttman Drogolin" w:hint="cs"/>
          <w:b/>
          <w:i/>
          <w:rtl/>
          <w:lang w:bidi="he-IL"/>
        </w:rPr>
        <w:t xml:space="preserve"> (ע' יו"ד סי' קצ"ט סע' ח' לענין לא חפפה ולכאורה כ"ש בדלא עיינה ולא חפפה, ואכמ"ל)</w:t>
      </w:r>
      <w:r w:rsidR="0080365A" w:rsidRPr="00882F11">
        <w:rPr>
          <w:rFonts w:cs="Guttman Drogolin" w:hint="cs"/>
          <w:b/>
          <w:i/>
          <w:rtl/>
          <w:lang w:bidi="he-IL"/>
        </w:rPr>
        <w:t>.</w:t>
      </w:r>
    </w:p>
    <w:p w:rsidR="00742C09" w:rsidRPr="00882F11" w:rsidRDefault="00435BCF" w:rsidP="0080365A">
      <w:pPr>
        <w:bidi/>
        <w:jc w:val="both"/>
        <w:rPr>
          <w:rFonts w:cs="Guttman Drogolin"/>
          <w:b/>
          <w:i/>
          <w:rtl/>
          <w:lang w:bidi="he-IL"/>
        </w:rPr>
      </w:pPr>
      <w:r w:rsidRPr="00882F11">
        <w:rPr>
          <w:rFonts w:cs="Guttman Drogolin" w:hint="cs"/>
          <w:b/>
          <w:i/>
          <w:rtl/>
          <w:lang w:bidi="he-IL"/>
        </w:rPr>
        <w:t xml:space="preserve">ומיני' שלכאורה צ"ע, איך אפשר לאחוז הכלי בשעת טבילה, הא היד עצמה הוי חציצה. בזה יש מתני' במס' מקואות </w:t>
      </w:r>
      <w:r w:rsidR="00742C09" w:rsidRPr="00882F11">
        <w:rPr>
          <w:rFonts w:cs="Guttman Drogolin" w:hint="cs"/>
          <w:b/>
          <w:i/>
          <w:rtl/>
          <w:lang w:bidi="he-IL"/>
        </w:rPr>
        <w:t xml:space="preserve">איתא בפ"ח מ"ה "האוחז </w:t>
      </w:r>
      <w:r w:rsidR="00742C09" w:rsidRPr="00882F11">
        <w:rPr>
          <w:rFonts w:cs="Guttman Drogolin" w:hint="cs"/>
          <w:b/>
          <w:i/>
          <w:rtl/>
          <w:lang w:bidi="he-IL"/>
        </w:rPr>
        <w:lastRenderedPageBreak/>
        <w:t xml:space="preserve">באדם ובכלים והטבילן טמאין ואם הדיח את ידו במים טהורים ר"ש אומר ירפה כדי שיבואו בהם המים". חזינן לשיטת ת"ק שיש חילוק בין הדיח את ידיו קודם או לא הדיח. והטעם בזה הוא כדמבואר בפ"ז מ"ז דכשהטביל מטה אע"ג שרגליו שוקעות בטיט טהורה מפני שהמים מקדמין (ע' רא"ש בהל' מקואות סי' כ' שהביא את ב' הדינים בחדא בקתא). והא דמהני הקדמת המים הוא משום דכשמלחלח ידיו קודם שמטביל אע"פ שאוחז כלי אח"כ אמרינן שתמיד נשאר קצת מים בשטח היד המתחבר לשאר מי המקוה (ע' פי' הרא"ש לפ"ז מ"ז שם, וכן בט"ז סי' ק"כ ס"ק ד' (שהשוה לשאר דיני השקה), וע' חזו"א תנינא סי' ט' אות ו' בענין שיעור המים שצריכים כדי לחבר). </w:t>
      </w:r>
    </w:p>
    <w:p w:rsidR="00742C09" w:rsidRPr="00882F11" w:rsidRDefault="00174AB2" w:rsidP="00174AB2">
      <w:pPr>
        <w:bidi/>
        <w:jc w:val="both"/>
        <w:rPr>
          <w:rFonts w:cs="Guttman Drogolin"/>
          <w:b/>
          <w:i/>
          <w:rtl/>
          <w:lang w:bidi="he-IL"/>
        </w:rPr>
      </w:pPr>
      <w:r>
        <w:rPr>
          <w:rFonts w:cs="Guttman Drogolin" w:hint="cs"/>
          <w:b/>
          <w:i/>
          <w:rtl/>
          <w:lang w:bidi="he-IL"/>
        </w:rPr>
        <w:t xml:space="preserve">ונחלקו הראשונים בביאור </w:t>
      </w:r>
      <w:r w:rsidR="00742C09" w:rsidRPr="00882F11">
        <w:rPr>
          <w:rFonts w:cs="Guttman Drogolin" w:hint="cs"/>
          <w:b/>
          <w:i/>
          <w:rtl/>
          <w:lang w:bidi="he-IL"/>
        </w:rPr>
        <w:t xml:space="preserve">מחלוקת </w:t>
      </w:r>
      <w:r>
        <w:rPr>
          <w:rFonts w:cs="Guttman Drogolin" w:hint="cs"/>
          <w:b/>
          <w:i/>
          <w:rtl/>
          <w:lang w:bidi="he-IL"/>
        </w:rPr>
        <w:t xml:space="preserve">הת"ק ור"ש </w:t>
      </w:r>
      <w:r w:rsidR="00742C09" w:rsidRPr="00882F11">
        <w:rPr>
          <w:rFonts w:cs="Guttman Drogolin" w:hint="cs"/>
          <w:b/>
          <w:i/>
          <w:rtl/>
          <w:lang w:bidi="he-IL"/>
        </w:rPr>
        <w:t xml:space="preserve">שבמתני' הנ"ל. שיטת הרמב"ן (בהל' נדה) ורמב"ם (פ"ב הי"א מהל' מקואות) והרא"ש (בפי' המשניות) והרא"ה בבד"ה שהמחלוקת בין ת"ק לר"ש הוא בגזרה דרבנן. דלכו"ע אם לחלח ידיו במים תחילה מהני. ואם אוחז בחוזק מבלי ללחלח ידיו במים תחילה לכו"ע הטבילה פסולה. במה נחלקו, באוחז הכלי באופן רפוי </w:t>
      </w:r>
      <w:r w:rsidR="0080365A" w:rsidRPr="00882F11">
        <w:rPr>
          <w:rFonts w:cs="Guttman Drogolin" w:hint="cs"/>
          <w:b/>
          <w:i/>
          <w:rtl/>
          <w:lang w:bidi="he-IL"/>
        </w:rPr>
        <w:t>מבלי ללחלח ידיו קודם האחיזה</w:t>
      </w:r>
      <w:r w:rsidR="00742C09" w:rsidRPr="00882F11">
        <w:rPr>
          <w:rFonts w:cs="Guttman Drogolin" w:hint="cs"/>
          <w:b/>
          <w:i/>
          <w:rtl/>
          <w:lang w:bidi="he-IL"/>
        </w:rPr>
        <w:t xml:space="preserve">, דמדינא דאורייתא מהני, אבל ת"ק סבר דגזרינן רפוי אטו שאינו רפוי, ור"ש סבר דלא גזרינן. </w:t>
      </w:r>
    </w:p>
    <w:p w:rsidR="00742C09" w:rsidRPr="00882F11" w:rsidRDefault="00742C09" w:rsidP="00742C09">
      <w:pPr>
        <w:bidi/>
        <w:jc w:val="both"/>
        <w:rPr>
          <w:rFonts w:cs="Guttman Drogolin"/>
          <w:b/>
          <w:i/>
          <w:rtl/>
          <w:lang w:bidi="he-IL"/>
        </w:rPr>
      </w:pPr>
      <w:r w:rsidRPr="00882F11">
        <w:rPr>
          <w:rFonts w:cs="Guttman Drogolin" w:hint="cs"/>
          <w:b/>
          <w:i/>
          <w:rtl/>
          <w:lang w:bidi="he-IL"/>
        </w:rPr>
        <w:t>ולכאורה ע"פ הנ"ל הבא להטביל כלי (ודבר זה נוגע למעשה מידי יום ויום לאלו המטבילים כלי סעודה שקנו מן העכו"ם) העצה היעוצה היא להדיח ידיו במים תחילה קודם שמטביל, ובזה טבילתו כשרה לכל הדעות.</w:t>
      </w:r>
    </w:p>
    <w:p w:rsidR="00742C09" w:rsidRPr="00882F11" w:rsidRDefault="00742C09" w:rsidP="005617EA">
      <w:pPr>
        <w:bidi/>
        <w:jc w:val="both"/>
        <w:rPr>
          <w:rFonts w:cs="Guttman Drogolin"/>
          <w:b/>
          <w:i/>
          <w:rtl/>
          <w:lang w:bidi="he-IL"/>
        </w:rPr>
      </w:pPr>
      <w:r w:rsidRPr="00882F11">
        <w:rPr>
          <w:rFonts w:cs="Guttman Drogolin" w:hint="cs"/>
          <w:b/>
          <w:i/>
          <w:rtl/>
          <w:lang w:bidi="he-IL"/>
        </w:rPr>
        <w:t xml:space="preserve">אלא שכתב המרדכי במס' ע"ז (ססי' תתנ"ט) "ור"מ וכו' גם הורה שיש ליזהר אם מטביל כלי זכוכית מלא ויתנהו בדלי מלא מים והדלי שקוע בבור שלא יושיבהו על שוליו פן יהיה חציצה מפני כובד הכלי וחוצץ אלא יטהו על צדו ויתגלגל הנה והנה בתוך הדלי בבור, ואין להקשות מאי שנא מפרסת רגל האדם העומד בקרקע במקוה ואינו </w:t>
      </w:r>
      <w:r w:rsidRPr="00882F11">
        <w:rPr>
          <w:rFonts w:cs="Guttman Drogolin" w:hint="cs"/>
          <w:b/>
          <w:i/>
          <w:rtl/>
          <w:lang w:bidi="he-IL"/>
        </w:rPr>
        <w:lastRenderedPageBreak/>
        <w:t xml:space="preserve">חוצץ, דהתם אמרינן דמי מקוה באין לשם </w:t>
      </w:r>
      <w:r w:rsidR="005617EA" w:rsidRPr="00882F11">
        <w:rPr>
          <w:rFonts w:cs="Guttman Drogolin" w:hint="cs"/>
          <w:b/>
          <w:i/>
          <w:rtl/>
          <w:lang w:bidi="he-IL"/>
        </w:rPr>
        <w:t>ט</w:t>
      </w:r>
      <w:r w:rsidRPr="00882F11">
        <w:rPr>
          <w:rFonts w:cs="Guttman Drogolin" w:hint="cs"/>
          <w:b/>
          <w:i/>
          <w:rtl/>
          <w:lang w:bidi="he-IL"/>
        </w:rPr>
        <w:t xml:space="preserve">רם יתן רגלו בארץ, </w:t>
      </w:r>
      <w:r w:rsidRPr="00882F11">
        <w:rPr>
          <w:rFonts w:cs="Guttman Drogolin" w:hint="cs"/>
          <w:b/>
          <w:iCs/>
          <w:rtl/>
          <w:lang w:bidi="he-IL"/>
        </w:rPr>
        <w:t>ודוקא מי מקוה, אבל כאן כי נותן הזכוכית בדלי אפילו מלא מים אינו מועיל כי הם תלושין</w:t>
      </w:r>
      <w:r w:rsidRPr="00882F11">
        <w:rPr>
          <w:rFonts w:cs="Guttman Drogolin" w:hint="cs"/>
          <w:b/>
          <w:i/>
          <w:rtl/>
          <w:lang w:bidi="he-IL"/>
        </w:rPr>
        <w:t xml:space="preserve">". והוכיח מזה הרמ"א (דרכ"מ סי' ק"כ ס"ק ב' ושם ברמ"א שבשו"ע סע' </w:t>
      </w:r>
      <w:r w:rsidR="00174AB2">
        <w:rPr>
          <w:rFonts w:cs="Guttman Drogolin" w:hint="cs"/>
          <w:b/>
          <w:i/>
          <w:rtl/>
          <w:lang w:bidi="he-IL"/>
        </w:rPr>
        <w:t>ב') דהא דמהני ללחלח ידיו, הנ"מ ב</w:t>
      </w:r>
      <w:r w:rsidRPr="00882F11">
        <w:rPr>
          <w:rFonts w:cs="Guttman Drogolin" w:hint="cs"/>
          <w:b/>
          <w:i/>
          <w:rtl/>
          <w:lang w:bidi="he-IL"/>
        </w:rPr>
        <w:t>מי מקוה, אבל במים התלושין לא מהני ללחלח ידיו.</w:t>
      </w:r>
    </w:p>
    <w:p w:rsidR="00742C09" w:rsidRPr="00882F11" w:rsidRDefault="00742C09" w:rsidP="00742C09">
      <w:pPr>
        <w:bidi/>
        <w:jc w:val="both"/>
        <w:rPr>
          <w:rFonts w:cs="Guttman Drogolin"/>
          <w:b/>
          <w:i/>
          <w:rtl/>
          <w:lang w:bidi="he-IL"/>
        </w:rPr>
      </w:pPr>
      <w:r w:rsidRPr="00882F11">
        <w:rPr>
          <w:rFonts w:cs="Guttman Drogolin" w:hint="cs"/>
          <w:b/>
          <w:i/>
          <w:rtl/>
          <w:lang w:bidi="he-IL"/>
        </w:rPr>
        <w:t>וקודם כל יש לציין דהנה לשון הרמ"א הוא שילחלח ידיו במי המקוה. ולשון זה משמע שצריך להרטיב ידיו דוקא מן המקוה אע"פ שאח"כ מוציא אותם. ובביאור הגר"א תמה על הרמ"א דמה איכפת לן אם לחלח ידיו במי המקוה או במים אחרים, מ"מ אחר שהוציא את ידו מן המקוה שוב הוו המים מים תלושים כמו שאר מים תלושין. אמנם במטה יהונתן</w:t>
      </w:r>
      <w:r w:rsidRPr="00882F11">
        <w:rPr>
          <w:rFonts w:cs="Guttman Drogolin"/>
          <w:b/>
          <w:i/>
          <w:vertAlign w:val="superscript"/>
          <w:rtl/>
          <w:lang w:bidi="he-IL"/>
        </w:rPr>
        <w:footnoteReference w:id="455"/>
      </w:r>
      <w:r w:rsidRPr="00882F11">
        <w:rPr>
          <w:rFonts w:cs="Guttman Drogolin" w:hint="cs"/>
          <w:b/>
          <w:i/>
          <w:rtl/>
          <w:lang w:bidi="he-IL"/>
        </w:rPr>
        <w:t xml:space="preserve"> פי' שאין כוונת הרמ"א להצריך להרטיב היד עם מי המקוה אע"ג שאח"כ מוציא אותו, אלא כוונתו שיכניס את ידו למקוה ואח"כ ישים את הכלי בתוך היד כשעדיין במקוה, דאז הוו שפיר המים שקדמו מי מקוה (וכנראה ר"ל דלשון ילחלח לאו דוקא נקט).</w:t>
      </w:r>
    </w:p>
    <w:p w:rsidR="00174AB2" w:rsidRDefault="00742C09" w:rsidP="00742C09">
      <w:pPr>
        <w:bidi/>
        <w:jc w:val="both"/>
        <w:rPr>
          <w:rFonts w:cs="Guttman Drogolin"/>
          <w:b/>
          <w:i/>
          <w:rtl/>
          <w:lang w:bidi="he-IL"/>
        </w:rPr>
      </w:pPr>
      <w:r w:rsidRPr="00882F11">
        <w:rPr>
          <w:rFonts w:cs="Guttman Drogolin" w:hint="cs"/>
          <w:b/>
          <w:i/>
          <w:rtl/>
          <w:lang w:bidi="he-IL"/>
        </w:rPr>
        <w:t xml:space="preserve">והט"ז שם ס"ק ד' האריך לבאר דברי המרדכי שיש חילוק בין ב' עניני מים מקדמין. שאם המים שבין היד לכלי הם מי מקוה אז אפי' אוחז בו בחוזק טבילתו כשרה. אבל אם אינו חזק אז מהני החיבור אפי' אם לחלח ידיו במים תלושים (וכמשמעות המתני' דמהני מדיח את ידיו דמשמע מים תלושים). והביאור בדברי הט"ז הוא שיש ב' מיני חיבור למי המקוה. 1) שע"י זה נחשב כחלק מן המקוה; 2) שהמים המחוברים ומושקים למקוה נזרעים ונטהרים ונעשים מי מקוה. וס"ל דנהי דמהני חיבור דמים מקדמין אפי' אם אוחז בחוזק, מ"מ אין זה אלא בכה"ג שהמים שבין היד לכלי הם מי מקוה, דבכה"ג אין אנו צריכים לזריעת המים שבין היד לכלי, רק שיהיו מחוברים, ובכה"ג אמרינן שמחוברים. אבל כשהמים צריכים גם </w:t>
      </w:r>
      <w:r w:rsidRPr="00882F11">
        <w:rPr>
          <w:rFonts w:cs="Guttman Drogolin" w:hint="cs"/>
          <w:b/>
          <w:i/>
          <w:rtl/>
          <w:lang w:bidi="he-IL"/>
        </w:rPr>
        <w:lastRenderedPageBreak/>
        <w:t>זריעה, אז י"ל שאינם נזרעים בחיבור דק כזה, ולכן הטבילה פסולה אם קדמו מים פסולים ומשו"ה תמה על הרמ"א שהרי בטבילה באחיזה בינונית סגי לן אפי' במים תלושים, ומשמעות דברי הרמ"א דלעולם בעינן מי מקוה אפי' אם אוחז שלא בחוזק.</w:t>
      </w:r>
    </w:p>
    <w:p w:rsidR="00742C09" w:rsidRPr="00882F11" w:rsidRDefault="00174AB2" w:rsidP="00174AB2">
      <w:pPr>
        <w:bidi/>
        <w:jc w:val="both"/>
        <w:rPr>
          <w:rFonts w:cs="Guttman Drogolin"/>
          <w:b/>
          <w:i/>
          <w:rtl/>
          <w:lang w:bidi="he-IL"/>
        </w:rPr>
      </w:pPr>
      <w:r>
        <w:rPr>
          <w:rFonts w:cs="Guttman Drogolin" w:hint="cs"/>
          <w:b/>
          <w:i/>
          <w:rtl/>
          <w:lang w:bidi="he-IL"/>
        </w:rPr>
        <w:t xml:space="preserve">ונראים הדברים שדברי הש"ך ג"כ מתפרשים ע"פ דרכו של הט"ז. </w:t>
      </w:r>
      <w:r w:rsidR="00742C09" w:rsidRPr="00882F11">
        <w:rPr>
          <w:rFonts w:cs="Guttman Drogolin" w:hint="cs"/>
          <w:b/>
          <w:i/>
          <w:rtl/>
          <w:lang w:bidi="he-IL"/>
        </w:rPr>
        <w:t>שהש"ך פי' שאם המים פסולים הוי חציצה ופסולה. והקשה בפי' יכין ובועז למתני' דלמה יהא חציצה הרי המים שבין היד לדבר הנטבל נזרעים ומתכשרים ממי המקוה. וע"כ כנ"ל שיש לחלק הין חיבור לחיבור (וע"ש ביכין ובועז שתי' ע"ד דברינו אבל קצת בענין אחר).</w:t>
      </w:r>
    </w:p>
    <w:p w:rsidR="00742C09" w:rsidRPr="00882F11" w:rsidRDefault="00742C09" w:rsidP="00742C09">
      <w:pPr>
        <w:bidi/>
        <w:jc w:val="both"/>
        <w:rPr>
          <w:rFonts w:cs="Guttman Drogolin"/>
          <w:b/>
          <w:i/>
          <w:rtl/>
          <w:lang w:bidi="he-IL"/>
        </w:rPr>
      </w:pPr>
      <w:r w:rsidRPr="00882F11">
        <w:rPr>
          <w:rFonts w:cs="Guttman Drogolin" w:hint="cs"/>
          <w:b/>
          <w:i/>
          <w:rtl/>
          <w:lang w:bidi="he-IL"/>
        </w:rPr>
        <w:t xml:space="preserve">ועכ"פ לדברי הט"ז בדעת המרדכי יש לנו עוד ביאור במחלוקת ת"ק ור"ש דמתני'. והוא שאפי' אם אוחז בחוזק אמרינן שהמים מקדמין. רק דהנ"מ במי מקוה, אבל לא מהני הדחת הידים במים תלושים. ולכן ת"ק המיקל סבר שאין חוששין שיהא בחוזק, ולכן אפשר להתיר ע"י הדחת הידים אפי' אם מדיח במים שאובים. אבל ר"ש חושש שיעשה אחיזת הדבר הנטבל בחוזק, ולכן נהי נמי דמהני מים מקדמין, היינו במי מקוה, אבל הדחת הידים </w:t>
      </w:r>
      <w:r w:rsidRPr="00882F11">
        <w:rPr>
          <w:rFonts w:cs="Guttman Drogolin"/>
          <w:b/>
          <w:i/>
          <w:rtl/>
          <w:lang w:bidi="he-IL"/>
        </w:rPr>
        <w:t>–</w:t>
      </w:r>
      <w:r w:rsidRPr="00882F11">
        <w:rPr>
          <w:rFonts w:cs="Guttman Drogolin" w:hint="cs"/>
          <w:b/>
          <w:i/>
          <w:rtl/>
          <w:lang w:bidi="he-IL"/>
        </w:rPr>
        <w:t xml:space="preserve"> פי' ללחלח במים שאובין, לא מהני, שבחוזק לא מהני מים מקדמין במים תלושים. וע"ש בט"ז דנקט כדבר פשוט דכסברתו בדעת המרדכי היא סברת הרשב"א גם. אבל לכאורה קשה לומר כן כיון שהרשב"א בא לחלק בין הטבלת הרגלים להדחת הידים, ולכאורה אם סבר כמרדכי למה לא תי' שבעמידה במקוה הוי הקדמת מי מקוה הכשר אפי' אם אוחז בחוזק. אלא ע"כ כנ"ל, שהרשב"א סבר שאם אוחז בחוזק אין כאן חיבור כלל ולא מהני אפי' קדמו מי מקוה.</w:t>
      </w:r>
    </w:p>
    <w:p w:rsidR="00742C09" w:rsidRPr="00882F11" w:rsidRDefault="00742C09" w:rsidP="00742C09">
      <w:pPr>
        <w:bidi/>
        <w:jc w:val="both"/>
        <w:rPr>
          <w:rFonts w:cs="Guttman Drogolin"/>
          <w:b/>
          <w:i/>
          <w:rtl/>
          <w:lang w:bidi="he-IL"/>
        </w:rPr>
      </w:pPr>
      <w:r w:rsidRPr="00882F11">
        <w:rPr>
          <w:rFonts w:cs="Guttman Drogolin" w:hint="cs"/>
          <w:b/>
          <w:i/>
          <w:rtl/>
          <w:lang w:bidi="he-IL"/>
        </w:rPr>
        <w:t xml:space="preserve">ולדינא לכאורה יוצא שהרמ"א החמיר להכניס ידו למקוה קודם שאוחז את הכלי ואפילו אם אוחז אחיזה בינונית. ואע"ג שהט"ז פי' דברי המרדכי </w:t>
      </w:r>
      <w:r w:rsidRPr="00882F11">
        <w:rPr>
          <w:rFonts w:cs="Guttman Drogolin" w:hint="cs"/>
          <w:b/>
          <w:i/>
          <w:rtl/>
          <w:lang w:bidi="he-IL"/>
        </w:rPr>
        <w:lastRenderedPageBreak/>
        <w:t>כנ"ל, וכן הגר"א חלק לגמרי עליהם, הא עדיין יש לנו להחמיר כשיטת הרמ"א. ומ"מ הא מיהת דבהכנסת היד למקוה קודם סגי לכו"ע.</w:t>
      </w:r>
    </w:p>
    <w:p w:rsidR="00584C4C" w:rsidRPr="00882F11" w:rsidRDefault="00584C4C" w:rsidP="00584C4C">
      <w:pPr>
        <w:bidi/>
        <w:jc w:val="both"/>
        <w:rPr>
          <w:rFonts w:cs="Guttman Drogolin"/>
          <w:b/>
          <w:i/>
          <w:rtl/>
          <w:lang w:bidi="he-IL"/>
        </w:rPr>
        <w:sectPr w:rsidR="00584C4C" w:rsidRPr="00882F11" w:rsidSect="00153315">
          <w:type w:val="continuous"/>
          <w:pgSz w:w="11907" w:h="16839" w:code="9"/>
          <w:pgMar w:top="1440" w:right="1440" w:bottom="1440" w:left="1440" w:header="720" w:footer="720" w:gutter="0"/>
          <w:cols w:num="2" w:space="720"/>
          <w:bidi/>
          <w:docGrid w:linePitch="360"/>
        </w:sectPr>
      </w:pPr>
    </w:p>
    <w:p w:rsidR="00584C4C" w:rsidRPr="00153315" w:rsidRDefault="00584C4C" w:rsidP="00584C4C">
      <w:pPr>
        <w:keepNext/>
        <w:tabs>
          <w:tab w:val="left" w:pos="3818"/>
          <w:tab w:val="center" w:pos="4680"/>
        </w:tabs>
        <w:bidi/>
        <w:jc w:val="center"/>
        <w:rPr>
          <w:rFonts w:cs="Guttman Drogolin"/>
          <w:b/>
          <w:bCs/>
          <w:sz w:val="48"/>
          <w:szCs w:val="48"/>
          <w:rtl/>
          <w:lang w:bidi="he-IL"/>
        </w:rPr>
      </w:pPr>
      <w:r w:rsidRPr="00153315">
        <w:rPr>
          <w:rFonts w:cs="Guttman Drogolin" w:hint="cs"/>
          <w:b/>
          <w:bCs/>
          <w:sz w:val="48"/>
          <w:szCs w:val="48"/>
          <w:rtl/>
          <w:lang w:bidi="he-IL"/>
        </w:rPr>
        <w:lastRenderedPageBreak/>
        <w:t>שיעור קכ"א</w:t>
      </w:r>
    </w:p>
    <w:p w:rsidR="00153315" w:rsidRDefault="00153315" w:rsidP="00584C4C">
      <w:pPr>
        <w:pStyle w:val="Heading1"/>
        <w:bidi/>
        <w:spacing w:before="0" w:line="360" w:lineRule="auto"/>
        <w:jc w:val="center"/>
        <w:rPr>
          <w:rFonts w:cs="Guttman Drogolin"/>
          <w:color w:val="auto"/>
          <w:sz w:val="24"/>
          <w:szCs w:val="24"/>
          <w:u w:val="single"/>
          <w:rtl/>
          <w:lang w:bidi="he-IL"/>
        </w:rPr>
        <w:sectPr w:rsidR="00153315" w:rsidSect="00153315">
          <w:pgSz w:w="11907" w:h="16839" w:code="9"/>
          <w:pgMar w:top="1440" w:right="1440" w:bottom="1440" w:left="1440" w:header="720" w:footer="720" w:gutter="0"/>
          <w:cols w:space="720"/>
          <w:bidi/>
          <w:docGrid w:linePitch="360"/>
        </w:sectPr>
      </w:pPr>
    </w:p>
    <w:p w:rsidR="00584C4C" w:rsidRPr="00882F11" w:rsidRDefault="00584C4C" w:rsidP="00584C4C">
      <w:pPr>
        <w:pStyle w:val="Heading1"/>
        <w:bidi/>
        <w:spacing w:before="0" w:line="360" w:lineRule="auto"/>
        <w:jc w:val="center"/>
        <w:rPr>
          <w:rFonts w:cs="Guttman Drogolin"/>
          <w:color w:val="auto"/>
          <w:sz w:val="24"/>
          <w:szCs w:val="24"/>
          <w:u w:val="single"/>
          <w:rtl/>
          <w:lang w:bidi="he-IL"/>
        </w:rPr>
      </w:pPr>
      <w:bookmarkStart w:id="476" w:name="_Toc496175721"/>
      <w:r w:rsidRPr="00882F11">
        <w:rPr>
          <w:rFonts w:cs="Guttman Drogolin" w:hint="cs"/>
          <w:color w:val="auto"/>
          <w:sz w:val="24"/>
          <w:szCs w:val="24"/>
          <w:u w:val="single"/>
          <w:rtl/>
          <w:lang w:bidi="he-IL"/>
        </w:rPr>
        <w:lastRenderedPageBreak/>
        <w:t>בדין הגעלה קודם טבילה אי מעכבת</w:t>
      </w:r>
      <w:bookmarkEnd w:id="476"/>
    </w:p>
    <w:p w:rsidR="00584C4C" w:rsidRPr="00882F11" w:rsidRDefault="00CA79CC" w:rsidP="00DE4CB7">
      <w:pPr>
        <w:bidi/>
        <w:jc w:val="both"/>
        <w:rPr>
          <w:rFonts w:cs="Guttman Drogolin"/>
          <w:rtl/>
          <w:lang w:bidi="he-IL"/>
        </w:rPr>
      </w:pPr>
      <w:r>
        <w:rPr>
          <w:rFonts w:cs="Guttman Drogolin"/>
          <w:rtl/>
          <w:lang w:bidi="he-IL"/>
        </w:rPr>
        <w:fldChar w:fldCharType="begin"/>
      </w:r>
      <w:r>
        <w:instrText xml:space="preserve"> XE "</w:instrText>
      </w:r>
      <w:r w:rsidRPr="00D97D45">
        <w:rPr>
          <w:rFonts w:hint="cs"/>
          <w:rtl/>
          <w:lang w:bidi="he-IL"/>
        </w:rPr>
        <w:instrText>טבילת כלים</w:instrText>
      </w:r>
      <w:r w:rsidRPr="00D97D45">
        <w:rPr>
          <w:rtl/>
        </w:rPr>
        <w:instrText>:</w:instrText>
      </w:r>
      <w:r w:rsidRPr="00D97D45">
        <w:rPr>
          <w:rFonts w:cs="Arial"/>
          <w:rtl/>
          <w:lang w:bidi="he-IL"/>
        </w:rPr>
        <w:instrText>אם צריך להכשיר הכלי מבליעות איסור לפני טבילה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D97D45">
        <w:rPr>
          <w:rFonts w:hint="cs"/>
          <w:rtl/>
          <w:lang w:bidi="he-IL"/>
        </w:rPr>
        <w:instrText>טבילת כלים</w:instrText>
      </w:r>
      <w:r w:rsidRPr="00D97D45">
        <w:rPr>
          <w:rtl/>
        </w:rPr>
        <w:instrText>:</w:instrText>
      </w:r>
      <w:r w:rsidRPr="00D97D45">
        <w:rPr>
          <w:rFonts w:cs="Arial"/>
          <w:rtl/>
          <w:lang w:bidi="he-IL"/>
        </w:rPr>
        <w:instrText>אם צריך להכשיר הכלי מבליעות איסור לפני טבילה</w:instrText>
      </w:r>
      <w:r>
        <w:rPr>
          <w:rFonts w:cs="Arial" w:hint="cs"/>
          <w:rtl/>
          <w:lang w:bidi="he-IL"/>
        </w:rPr>
        <w:instrText xml:space="preserve"> </w:instrText>
      </w:r>
      <w:r>
        <w:rPr>
          <w:rFonts w:cs="Arial"/>
          <w:rtl/>
          <w:lang w:bidi="he-IL"/>
        </w:rPr>
        <w:instrText>–</w:instrText>
      </w:r>
      <w:r>
        <w:rPr>
          <w:rFonts w:cs="Arial" w:hint="cs"/>
          <w:rtl/>
          <w:lang w:bidi="he-IL"/>
        </w:rPr>
        <w:instrText xml:space="preserve"> בבליעות שאינן בני יומן</w:instrText>
      </w:r>
      <w:r>
        <w:instrText xml:space="preserve">" </w:instrText>
      </w:r>
      <w:r>
        <w:rPr>
          <w:rFonts w:cs="Guttman Drogolin"/>
          <w:rtl/>
          <w:lang w:bidi="he-IL"/>
        </w:rPr>
        <w:fldChar w:fldCharType="end"/>
      </w:r>
      <w:r w:rsidR="00584C4C" w:rsidRPr="00882F11">
        <w:rPr>
          <w:rFonts w:cs="Guttman Drogolin" w:hint="cs"/>
          <w:rtl/>
          <w:lang w:bidi="he-IL"/>
        </w:rPr>
        <w:t>הבאנו לעיל</w:t>
      </w:r>
      <w:r w:rsidR="00584C4C" w:rsidRPr="00882F11">
        <w:rPr>
          <w:rStyle w:val="FootnoteReference"/>
          <w:rFonts w:cs="Guttman Drogolin"/>
          <w:rtl/>
          <w:lang w:bidi="he-IL"/>
        </w:rPr>
        <w:footnoteReference w:id="456"/>
      </w:r>
      <w:r w:rsidR="00584C4C" w:rsidRPr="00882F11">
        <w:rPr>
          <w:rFonts w:cs="Guttman Drogolin" w:hint="cs"/>
          <w:rtl/>
          <w:lang w:bidi="he-IL"/>
        </w:rPr>
        <w:t xml:space="preserve"> מחלוקת הר</w:t>
      </w:r>
      <w:r w:rsidR="00174AB2">
        <w:rPr>
          <w:rFonts w:cs="Guttman Drogolin" w:hint="cs"/>
          <w:rtl/>
          <w:lang w:bidi="he-IL"/>
        </w:rPr>
        <w:t>אשונים אם אפשר להטביל כלי הנקנה</w:t>
      </w:r>
      <w:r w:rsidR="00584C4C" w:rsidRPr="00882F11">
        <w:rPr>
          <w:rFonts w:cs="Guttman Drogolin" w:hint="cs"/>
          <w:rtl/>
          <w:lang w:bidi="he-IL"/>
        </w:rPr>
        <w:t xml:space="preserve"> מן העכו"ם קודם הגעלה, שהתוס' והרא"ש סוברים שאין הסדר מעכב, והרש</w:t>
      </w:r>
      <w:r w:rsidR="00916093" w:rsidRPr="00882F11">
        <w:rPr>
          <w:rFonts w:cs="Guttman Drogolin" w:hint="cs"/>
          <w:rtl/>
          <w:lang w:bidi="he-IL"/>
        </w:rPr>
        <w:t>ב</w:t>
      </w:r>
      <w:r w:rsidR="00584C4C" w:rsidRPr="00882F11">
        <w:rPr>
          <w:rFonts w:cs="Guttman Drogolin" w:hint="cs"/>
          <w:rtl/>
          <w:lang w:bidi="he-IL"/>
        </w:rPr>
        <w:t xml:space="preserve">"ם ורשב"א ועוד סוברים שהסדר מעכב, ואם עושה כן הוי טובל ושרץ בידו. </w:t>
      </w:r>
      <w:r w:rsidR="00916093" w:rsidRPr="00882F11">
        <w:rPr>
          <w:rFonts w:cs="Guttman Drogolin" w:hint="cs"/>
          <w:rtl/>
          <w:lang w:bidi="he-IL"/>
        </w:rPr>
        <w:t>והתוס' מביאים ראי' לדבריהם מהא דמבואר במתני' שהסכין שפה והיא טהורה. ו</w:t>
      </w:r>
      <w:r w:rsidR="00174AB2">
        <w:rPr>
          <w:rFonts w:cs="Guttman Drogolin" w:hint="cs"/>
          <w:rtl/>
          <w:lang w:bidi="he-IL"/>
        </w:rPr>
        <w:t xml:space="preserve">ביאור דבריהם דהנה </w:t>
      </w:r>
      <w:r w:rsidR="00916093" w:rsidRPr="00882F11">
        <w:rPr>
          <w:rFonts w:cs="Guttman Drogolin" w:hint="cs"/>
          <w:rtl/>
          <w:lang w:bidi="he-IL"/>
        </w:rPr>
        <w:t>התוס' פירשו דטהורה ר"ל שמותר להשתמש בה צונן, אבל אסור להשתמש בה חמין</w:t>
      </w:r>
      <w:r w:rsidR="00174AB2">
        <w:rPr>
          <w:rFonts w:cs="Guttman Drogolin" w:hint="cs"/>
          <w:rtl/>
          <w:lang w:bidi="he-IL"/>
        </w:rPr>
        <w:t xml:space="preserve"> עד שיגעיל אותה</w:t>
      </w:r>
      <w:r w:rsidR="00916093" w:rsidRPr="00882F11">
        <w:rPr>
          <w:rFonts w:cs="Guttman Drogolin" w:hint="cs"/>
          <w:rtl/>
          <w:lang w:bidi="he-IL"/>
        </w:rPr>
        <w:t>. וא"כ לכאורה הסכין עדיין חסר הגעלה, ומ"מ כתוב שהסכין טהורה ור"ל שהוא ראוי לשימוש צונן</w:t>
      </w:r>
      <w:r w:rsidR="00DE4CB7">
        <w:rPr>
          <w:rFonts w:cs="Guttman Drogolin" w:hint="cs"/>
          <w:rtl/>
          <w:lang w:bidi="he-IL"/>
        </w:rPr>
        <w:t>.</w:t>
      </w:r>
      <w:r w:rsidR="00916093" w:rsidRPr="00882F11">
        <w:rPr>
          <w:rFonts w:cs="Guttman Drogolin" w:hint="cs"/>
          <w:rtl/>
          <w:lang w:bidi="he-IL"/>
        </w:rPr>
        <w:t xml:space="preserve"> ולכאורה צ"ע, דאיך יהא מותר לשימוש </w:t>
      </w:r>
      <w:r w:rsidR="00DE4CB7">
        <w:rPr>
          <w:rFonts w:cs="Guttman Drogolin" w:hint="cs"/>
          <w:rtl/>
          <w:lang w:bidi="he-IL"/>
        </w:rPr>
        <w:t xml:space="preserve">אפילו </w:t>
      </w:r>
      <w:r w:rsidR="00916093" w:rsidRPr="00882F11">
        <w:rPr>
          <w:rFonts w:cs="Guttman Drogolin" w:hint="cs"/>
          <w:rtl/>
          <w:lang w:bidi="he-IL"/>
        </w:rPr>
        <w:t>לצונן, הא אסור להשתמש בה מבלי להטביל אותו, ואי אפשר להטביל אותו עד שיגעיל אותו. מזה הוכיחו התוס' דע"כ הסדר אינו מעכב, ושפיר יכול להטבילו קודם הגעלה.</w:t>
      </w:r>
    </w:p>
    <w:p w:rsidR="008053F3" w:rsidRPr="00882F11" w:rsidRDefault="00916093" w:rsidP="00C16F8B">
      <w:pPr>
        <w:bidi/>
        <w:jc w:val="both"/>
        <w:rPr>
          <w:rFonts w:cs="Guttman Drogolin"/>
          <w:rtl/>
          <w:lang w:bidi="he-IL"/>
        </w:rPr>
      </w:pPr>
      <w:r w:rsidRPr="00882F11">
        <w:rPr>
          <w:rFonts w:cs="Guttman Drogolin" w:hint="cs"/>
          <w:rtl/>
          <w:lang w:bidi="he-IL"/>
        </w:rPr>
        <w:t xml:space="preserve">ויל"ע מאי קסברי הראשונים האחרים שסוברים שהסדר מעכב, דמה יענו להוכחת התוס'. </w:t>
      </w:r>
      <w:r w:rsidR="00C16F8B" w:rsidRPr="00882F11">
        <w:rPr>
          <w:rFonts w:cs="Guttman Drogolin" w:hint="cs"/>
          <w:rtl/>
          <w:lang w:bidi="he-IL"/>
        </w:rPr>
        <w:t>ויש לזה דחיי' פשוטה, והוא משום שיש ראשונים הסוברים דהא דשפה והיא טהורה היינו אפילו לחמין, ואם סברי הנהו ראשונים כוותי' ניחא. אמנם יש לזה תי' אחר, דהנה הש"ך בסי' קכ"א ס"ק ד' הביא מעט"ז</w:t>
      </w:r>
      <w:r w:rsidR="008053F3" w:rsidRPr="00882F11">
        <w:rPr>
          <w:rStyle w:val="FootnoteReference"/>
          <w:rFonts w:cs="Guttman Drogolin"/>
          <w:rtl/>
          <w:lang w:bidi="he-IL"/>
        </w:rPr>
        <w:footnoteReference w:id="457"/>
      </w:r>
      <w:r w:rsidR="00C16F8B" w:rsidRPr="00882F11">
        <w:rPr>
          <w:rFonts w:cs="Guttman Drogolin" w:hint="cs"/>
          <w:rtl/>
          <w:lang w:bidi="he-IL"/>
        </w:rPr>
        <w:t xml:space="preserve"> שאפילו למ"ד שהסדר מעכב, מ"מ יכול להטביל כלי להשתמש בה צונן, ואין ההגעלה מעכבת את הטבילה אלא לענין חמין. וביאר הש"ך בכוונתו דכיון שאין דעתו אלא להשתמש בה צונן, הרי אין כאן שרץ לענין תשמיש זו, ולכן אפשר לטובלו בלי הגעלה. </w:t>
      </w:r>
      <w:r w:rsidR="008053F3" w:rsidRPr="00882F11">
        <w:rPr>
          <w:rFonts w:cs="Guttman Drogolin" w:hint="cs"/>
          <w:rtl/>
          <w:lang w:bidi="he-IL"/>
        </w:rPr>
        <w:t>וע"ש שאפילו לפי העט"ז, אם דעתו להשתמש בה חמין, לא מהני ההגעלה של קודם הגעלה אפילו אם ירצה להשתמש בה עכשיו רק צונן. ומ"מ לפי שיטתו שפיר מיושב קושיית התוס' על הראשונים.</w:t>
      </w:r>
    </w:p>
    <w:p w:rsidR="0024099F" w:rsidRPr="00882F11" w:rsidRDefault="008053F3" w:rsidP="00DE4CB7">
      <w:pPr>
        <w:bidi/>
        <w:jc w:val="both"/>
        <w:rPr>
          <w:rFonts w:cs="Guttman Drogolin"/>
          <w:rtl/>
          <w:lang w:bidi="he-IL"/>
        </w:rPr>
      </w:pPr>
      <w:r w:rsidRPr="00882F11">
        <w:rPr>
          <w:rFonts w:cs="Guttman Drogolin" w:hint="cs"/>
          <w:rtl/>
          <w:lang w:bidi="he-IL"/>
        </w:rPr>
        <w:lastRenderedPageBreak/>
        <w:t>והנה לענין הלכה השו"ע בסי' קכ"א סע' ב' מביא השיטה שהסדר אינו מעכב כשיטה ראשונה, ולאחר מכן מביא כי"א את השיטה השני', ומשמע שדעתו שהעיקר להלכה שאינו מעכב. אבל מהש"ך מבואר שיש לטובלו בלא ברכה, ואע"ג שהפת"ש מביא משו"ת יריעות האוהל שהכריע ש</w:t>
      </w:r>
      <w:r w:rsidR="00483922" w:rsidRPr="00882F11">
        <w:rPr>
          <w:rFonts w:cs="Guttman Drogolin" w:hint="cs"/>
          <w:rtl/>
          <w:lang w:bidi="he-IL"/>
        </w:rPr>
        <w:t>העיקר לדינא כמאן דמחייב ולכן יש</w:t>
      </w:r>
      <w:r w:rsidRPr="00882F11">
        <w:rPr>
          <w:rFonts w:cs="Guttman Drogolin" w:hint="cs"/>
          <w:rtl/>
          <w:lang w:bidi="he-IL"/>
        </w:rPr>
        <w:t xml:space="preserve"> להטבילן בברכה, </w:t>
      </w:r>
      <w:r w:rsidR="00DE4CB7">
        <w:rPr>
          <w:rFonts w:cs="Guttman Drogolin" w:hint="cs"/>
          <w:rtl/>
          <w:lang w:bidi="he-IL"/>
        </w:rPr>
        <w:t>מ"מ</w:t>
      </w:r>
      <w:r w:rsidRPr="00882F11">
        <w:rPr>
          <w:rFonts w:cs="Guttman Drogolin" w:hint="cs"/>
          <w:rtl/>
          <w:lang w:bidi="he-IL"/>
        </w:rPr>
        <w:t xml:space="preserve"> אין הדבר יוצא מידי מחלוקת הפוסקים ולכן סב"ל.</w:t>
      </w:r>
    </w:p>
    <w:p w:rsidR="0084593E" w:rsidRPr="00882F11" w:rsidRDefault="0024099F" w:rsidP="0024099F">
      <w:pPr>
        <w:bidi/>
        <w:jc w:val="both"/>
        <w:rPr>
          <w:rFonts w:cs="Guttman Drogolin"/>
          <w:rtl/>
          <w:lang w:bidi="he-IL"/>
        </w:rPr>
      </w:pPr>
      <w:r w:rsidRPr="00882F11">
        <w:rPr>
          <w:rFonts w:cs="Guttman Drogolin" w:hint="cs"/>
          <w:rtl/>
          <w:lang w:bidi="he-IL"/>
        </w:rPr>
        <w:t>והנה זה דבר פשוט שמדאוריי</w:t>
      </w:r>
      <w:r w:rsidR="007F43A8" w:rsidRPr="00882F11">
        <w:rPr>
          <w:rFonts w:cs="Guttman Drogolin" w:hint="cs"/>
          <w:rtl/>
          <w:lang w:bidi="he-IL"/>
        </w:rPr>
        <w:t>ת</w:t>
      </w:r>
      <w:r w:rsidRPr="00882F11">
        <w:rPr>
          <w:rFonts w:cs="Guttman Drogolin" w:hint="cs"/>
          <w:rtl/>
          <w:lang w:bidi="he-IL"/>
        </w:rPr>
        <w:t>א</w:t>
      </w:r>
      <w:r w:rsidR="0084593E" w:rsidRPr="00882F11">
        <w:rPr>
          <w:rFonts w:cs="Guttman Drogolin" w:hint="cs"/>
          <w:rtl/>
          <w:lang w:bidi="he-IL"/>
        </w:rPr>
        <w:t xml:space="preserve"> </w:t>
      </w:r>
      <w:r w:rsidRPr="00882F11">
        <w:rPr>
          <w:rFonts w:cs="Guttman Drogolin" w:hint="cs"/>
          <w:rtl/>
          <w:lang w:bidi="he-IL"/>
        </w:rPr>
        <w:t>אם לא הטבילו כלי שאינו בן יומו אין זה מעכב הטבילה, דהא מדאורייתא לפי מאי דקיי"ל שנטל"פ מותר, אינו צריך להכשירו כלל ולכן לא הוי טובל ושרץ בידו. אמנם אפילו למ"ד נטל"פ מותר מ"מ גזרו שלא להשתמש בכלי שאינו בן יומו מבלי להכשיר אותו אטו כלי בן יומו. ובזה יל"ע האם יש להחמיר גם בכלי שאינו בן יומו שלא להטביל אותו עד שיכשיר אותו. והפת"ש כאן הביא מדגמ"ר, וכן הוא בערוה"ש, שבכלי שאינו בן יומו לא החמירו שהסדר מעכב. ואחרונים אחרים העי</w:t>
      </w:r>
      <w:r w:rsidR="00DE4CB7">
        <w:rPr>
          <w:rFonts w:cs="Guttman Drogolin" w:hint="cs"/>
          <w:rtl/>
          <w:lang w:bidi="he-IL"/>
        </w:rPr>
        <w:t>רו שמסתימת השו"ע משמע אחרת, דהו</w:t>
      </w:r>
      <w:r w:rsidRPr="00882F11">
        <w:rPr>
          <w:rFonts w:cs="Guttman Drogolin" w:hint="cs"/>
          <w:rtl/>
          <w:lang w:bidi="he-IL"/>
        </w:rPr>
        <w:t xml:space="preserve">"ל לשו"ע להדגיש דהנ"מ בבן יומו אבל באינו בן יומו לא, בפרט לפי מאי דקיי"ל דסתם כלים אינן בני יומן, וכן </w:t>
      </w:r>
      <w:r w:rsidR="00DB22A8" w:rsidRPr="00882F11">
        <w:rPr>
          <w:rFonts w:cs="Guttman Drogolin" w:hint="cs"/>
          <w:rtl/>
          <w:lang w:bidi="he-IL"/>
        </w:rPr>
        <w:t>שהמנהג</w:t>
      </w:r>
      <w:r w:rsidR="0084593E" w:rsidRPr="00882F11">
        <w:rPr>
          <w:rFonts w:cs="Guttman Drogolin" w:hint="cs"/>
          <w:rtl/>
          <w:lang w:bidi="he-IL"/>
        </w:rPr>
        <w:t xml:space="preserve"> שאין מגעילים שום כלי שהוא בן יומו. ויש לדחות שאמנם השו"ע לא הדגיש את זה, י"ל שהשו"ע לא נקט אלא עיקר הדין שי"א שהסדר מעכב ואה"נ שבאינו בן יומו לא אסרו. </w:t>
      </w:r>
    </w:p>
    <w:p w:rsidR="0084593E" w:rsidRPr="00882F11" w:rsidRDefault="0084593E" w:rsidP="0084593E">
      <w:pPr>
        <w:bidi/>
        <w:jc w:val="both"/>
        <w:rPr>
          <w:rFonts w:cs="Guttman Drogolin"/>
          <w:rtl/>
          <w:lang w:bidi="he-IL"/>
        </w:rPr>
      </w:pPr>
      <w:r w:rsidRPr="00882F11">
        <w:rPr>
          <w:rFonts w:cs="Guttman Drogolin" w:hint="cs"/>
          <w:rtl/>
          <w:lang w:bidi="he-IL"/>
        </w:rPr>
        <w:t xml:space="preserve">וביסוד המחלוקת נראה לבאר שהוא ע"פ מה שיש להסתפק בגדר החיוב להגעיל כלי שאינו בן יומו, האם הוא בגלל שעשו הבליעות שאינן בני יומן כאילו הן בני יומן, וא"כ שפיר הוי טובל ושרץ בידו מדרבנן כיון שגזרו עליהם. או"ד שגדר החיוב שחייבו להגעיל הכלי אע"ג שהבליעות אינן </w:t>
      </w:r>
      <w:r w:rsidRPr="00882F11">
        <w:rPr>
          <w:rFonts w:cs="Guttman Drogolin" w:hint="cs"/>
          <w:rtl/>
          <w:lang w:bidi="he-IL"/>
        </w:rPr>
        <w:lastRenderedPageBreak/>
        <w:t>אוסרות, וא"כ איכא למימר שאין כאן טובל ושרץ בידו ואין הסדר מעכב.</w:t>
      </w:r>
    </w:p>
    <w:p w:rsidR="00916093" w:rsidRPr="00882F11" w:rsidRDefault="0084593E" w:rsidP="00E26B93">
      <w:pPr>
        <w:bidi/>
        <w:jc w:val="both"/>
        <w:rPr>
          <w:rFonts w:cs="Guttman Drogolin"/>
          <w:b/>
          <w:i/>
          <w:rtl/>
          <w:lang w:bidi="he-IL"/>
        </w:rPr>
      </w:pPr>
      <w:r w:rsidRPr="00882F11">
        <w:rPr>
          <w:rFonts w:cs="Guttman Drogolin" w:hint="cs"/>
          <w:rtl/>
          <w:lang w:bidi="he-IL"/>
        </w:rPr>
        <w:t>ולענין מעשה לכאורה נראה שאמנם לכתחילה יש להגעיל אפילו כלי שאינו בן יומו קודם שיטבלנו, מ"מ נראה שבדיעבד אם לא ה</w:t>
      </w:r>
      <w:r w:rsidR="00E26B93" w:rsidRPr="00882F11">
        <w:rPr>
          <w:rFonts w:cs="Guttman Drogolin" w:hint="cs"/>
          <w:rtl/>
          <w:lang w:bidi="he-IL"/>
        </w:rPr>
        <w:t>ג</w:t>
      </w:r>
      <w:r w:rsidR="00DE4CB7">
        <w:rPr>
          <w:rFonts w:cs="Guttman Drogolin" w:hint="cs"/>
          <w:rtl/>
          <w:lang w:bidi="he-IL"/>
        </w:rPr>
        <w:t xml:space="preserve">עילו קודם </w:t>
      </w:r>
      <w:r w:rsidRPr="00882F11">
        <w:rPr>
          <w:rFonts w:cs="Guttman Drogolin" w:hint="cs"/>
          <w:rtl/>
          <w:lang w:bidi="he-IL"/>
        </w:rPr>
        <w:t xml:space="preserve">יש להקל, דלא יהא אלא מחלוקת הפוסקים בדין דרבנן שדינו להקל. </w:t>
      </w:r>
      <w:r w:rsidR="0024099F" w:rsidRPr="00882F11">
        <w:rPr>
          <w:rFonts w:cs="Guttman Drogolin" w:hint="cs"/>
          <w:rtl/>
          <w:lang w:bidi="he-IL"/>
        </w:rPr>
        <w:t xml:space="preserve">  </w:t>
      </w:r>
      <w:r w:rsidR="008053F3" w:rsidRPr="00882F11">
        <w:rPr>
          <w:rFonts w:cs="Guttman Drogolin" w:hint="cs"/>
          <w:rtl/>
          <w:lang w:bidi="he-IL"/>
        </w:rPr>
        <w:t xml:space="preserve"> </w:t>
      </w:r>
      <w:r w:rsidR="00C16F8B" w:rsidRPr="00882F11">
        <w:rPr>
          <w:rFonts w:cs="Guttman Drogolin" w:hint="cs"/>
          <w:rtl/>
          <w:lang w:bidi="he-IL"/>
        </w:rPr>
        <w:t xml:space="preserve">  </w:t>
      </w:r>
      <w:r w:rsidR="00916093" w:rsidRPr="00882F11">
        <w:rPr>
          <w:rFonts w:cs="Guttman Drogolin" w:hint="cs"/>
          <w:rtl/>
          <w:lang w:bidi="he-IL"/>
        </w:rPr>
        <w:t xml:space="preserve"> </w:t>
      </w:r>
    </w:p>
    <w:p w:rsidR="0084593E" w:rsidRPr="00882F11" w:rsidRDefault="0084593E" w:rsidP="00153315">
      <w:pPr>
        <w:pStyle w:val="Heading1"/>
        <w:bidi/>
        <w:spacing w:before="0" w:line="240" w:lineRule="auto"/>
        <w:jc w:val="center"/>
        <w:rPr>
          <w:rFonts w:cs="Guttman Drogolin"/>
          <w:color w:val="auto"/>
          <w:sz w:val="24"/>
          <w:szCs w:val="24"/>
          <w:u w:val="single"/>
          <w:rtl/>
          <w:lang w:bidi="he-IL"/>
        </w:rPr>
      </w:pPr>
      <w:bookmarkStart w:id="477" w:name="_Toc496175722"/>
      <w:r w:rsidRPr="00882F11">
        <w:rPr>
          <w:rFonts w:cs="Guttman Drogolin" w:hint="cs"/>
          <w:color w:val="auto"/>
          <w:sz w:val="24"/>
          <w:szCs w:val="24"/>
          <w:u w:val="single"/>
          <w:rtl/>
          <w:lang w:bidi="he-IL"/>
        </w:rPr>
        <w:t>הערה בדברי רע"</w:t>
      </w:r>
      <w:r w:rsidR="00E26B93" w:rsidRPr="00882F11">
        <w:rPr>
          <w:rFonts w:cs="Guttman Drogolin" w:hint="cs"/>
          <w:color w:val="auto"/>
          <w:sz w:val="24"/>
          <w:szCs w:val="24"/>
          <w:u w:val="single"/>
          <w:rtl/>
          <w:lang w:bidi="he-IL"/>
        </w:rPr>
        <w:t xml:space="preserve">א בשם מג"א </w:t>
      </w:r>
      <w:r w:rsidRPr="00882F11">
        <w:rPr>
          <w:rFonts w:cs="Guttman Drogolin" w:hint="cs"/>
          <w:color w:val="auto"/>
          <w:sz w:val="24"/>
          <w:szCs w:val="24"/>
          <w:u w:val="single"/>
          <w:rtl/>
          <w:lang w:bidi="he-IL"/>
        </w:rPr>
        <w:t>כשהטביל כלי חרס ולאחר מכן ציפהו מתכת</w:t>
      </w:r>
      <w:bookmarkEnd w:id="477"/>
    </w:p>
    <w:p w:rsidR="00E26B93" w:rsidRPr="00882F11" w:rsidRDefault="003A7A5C" w:rsidP="00E26B93">
      <w:pPr>
        <w:tabs>
          <w:tab w:val="right" w:pos="7497"/>
        </w:tabs>
        <w:bidi/>
        <w:jc w:val="both"/>
        <w:rPr>
          <w:rFonts w:cs="Guttman Drogolin"/>
          <w:rtl/>
          <w:lang w:bidi="he-IL"/>
        </w:rPr>
      </w:pPr>
      <w:r>
        <w:rPr>
          <w:rFonts w:cs="Guttman Drogolin"/>
          <w:rtl/>
          <w:lang w:bidi="he-IL"/>
        </w:rPr>
        <w:fldChar w:fldCharType="begin"/>
      </w:r>
      <w:r>
        <w:instrText xml:space="preserve"> XE "</w:instrText>
      </w:r>
      <w:r w:rsidRPr="0002100B">
        <w:rPr>
          <w:rFonts w:hint="cs"/>
          <w:rtl/>
          <w:lang w:bidi="he-IL"/>
        </w:rPr>
        <w:instrText>טבילת כלים</w:instrText>
      </w:r>
      <w:r w:rsidRPr="0002100B">
        <w:rPr>
          <w:rtl/>
        </w:rPr>
        <w:instrText>:</w:instrText>
      </w:r>
      <w:r w:rsidRPr="0002100B">
        <w:rPr>
          <w:rFonts w:hint="cs"/>
          <w:rtl/>
          <w:lang w:bidi="he-IL"/>
        </w:rPr>
        <w:instrText>כלי חרס המצופה מתכת - הערה בזה</w:instrText>
      </w:r>
      <w:r>
        <w:instrText xml:space="preserve">" </w:instrText>
      </w:r>
      <w:r>
        <w:rPr>
          <w:rFonts w:cs="Guttman Drogolin"/>
          <w:rtl/>
          <w:lang w:bidi="he-IL"/>
        </w:rPr>
        <w:fldChar w:fldCharType="end"/>
      </w:r>
      <w:r w:rsidR="0084593E" w:rsidRPr="00882F11">
        <w:rPr>
          <w:rFonts w:cs="Guttman Drogolin" w:hint="cs"/>
          <w:rtl/>
          <w:lang w:bidi="he-IL"/>
        </w:rPr>
        <w:t xml:space="preserve">ע' בהגהות רע"א </w:t>
      </w:r>
      <w:r w:rsidR="00E26B93" w:rsidRPr="00882F11">
        <w:rPr>
          <w:rFonts w:cs="Guttman Drogolin" w:hint="cs"/>
          <w:rtl/>
          <w:lang w:bidi="he-IL"/>
        </w:rPr>
        <w:t>בשם מג"א סי' תנ"א ס"ק כ"ז דכלים שהוטבלו ואח"כ ציפן אבר צריכים טבילה שנית. ובילקוט מפרשים שבסוף השו"ע מהדו' פרידמן הביאו לתמוה על זה, דאיזה טעם יש לחייבו בטבילה, הא כ</w:t>
      </w:r>
      <w:r w:rsidR="00DE4CB7">
        <w:rPr>
          <w:rFonts w:cs="Guttman Drogolin" w:hint="cs"/>
          <w:rtl/>
          <w:lang w:bidi="he-IL"/>
        </w:rPr>
        <w:t>ש</w:t>
      </w:r>
      <w:r w:rsidR="00E26B93" w:rsidRPr="00882F11">
        <w:rPr>
          <w:rFonts w:cs="Guttman Drogolin" w:hint="cs"/>
          <w:rtl/>
          <w:lang w:bidi="he-IL"/>
        </w:rPr>
        <w:t>קנאו לא הי' חייב, ובשעת ציפוי הא הי' ברשות ישראל. ואולי הי' אפשר לחדש, דכיון שהוא כלי סעודה שהי' ברשות עכו"ם, אע"ג ש</w:t>
      </w:r>
      <w:r w:rsidR="00483922" w:rsidRPr="00882F11">
        <w:rPr>
          <w:rFonts w:cs="Guttman Drogolin" w:hint="cs"/>
          <w:rtl/>
          <w:lang w:bidi="he-IL"/>
        </w:rPr>
        <w:t>לא הי' עשוי מחומר החייב בטבילה כ</w:t>
      </w:r>
      <w:r w:rsidR="00E26B93" w:rsidRPr="00882F11">
        <w:rPr>
          <w:rFonts w:cs="Guttman Drogolin" w:hint="cs"/>
          <w:rtl/>
          <w:lang w:bidi="he-IL"/>
        </w:rPr>
        <w:t>שהי' אצל העכו"ם, מ"מ עכשיו שיש בה מתכת שהוא חומר החייב בטבילת כלים הרי הוא חוזר ומתחייב. אמנם יותר נראה לומר דסבר המג"א שהתוספת של מתכת הוא ממתכת של עכו"ם, וכמ"ד שדבר זה חייב בטבילת כלים. וכל החידוש של המג"א הוא דלא מהני טבילה דמקודם בשעה שלא היתה של מתכת אע"ג שכבר אינו של העכו"ם.</w:t>
      </w:r>
    </w:p>
    <w:p w:rsidR="00E26B93" w:rsidRPr="00882F11" w:rsidRDefault="00E26B93" w:rsidP="00E26B93">
      <w:pPr>
        <w:pStyle w:val="Heading1"/>
        <w:bidi/>
        <w:spacing w:before="0" w:line="360" w:lineRule="auto"/>
        <w:jc w:val="center"/>
        <w:rPr>
          <w:rFonts w:cs="Guttman Drogolin"/>
          <w:color w:val="auto"/>
          <w:sz w:val="24"/>
          <w:szCs w:val="24"/>
          <w:u w:val="single"/>
          <w:rtl/>
          <w:lang w:bidi="he-IL"/>
        </w:rPr>
      </w:pPr>
      <w:bookmarkStart w:id="478" w:name="_Toc496175723"/>
      <w:r w:rsidRPr="00882F11">
        <w:rPr>
          <w:rFonts w:cs="Guttman Drogolin" w:hint="cs"/>
          <w:color w:val="auto"/>
          <w:sz w:val="24"/>
          <w:szCs w:val="24"/>
          <w:u w:val="single"/>
          <w:rtl/>
          <w:lang w:bidi="he-IL"/>
        </w:rPr>
        <w:t>גדרי כלי סעודה</w:t>
      </w:r>
      <w:bookmarkEnd w:id="478"/>
    </w:p>
    <w:p w:rsidR="00A02902" w:rsidRPr="00882F11" w:rsidRDefault="001155AF" w:rsidP="00DE4CB7">
      <w:pPr>
        <w:tabs>
          <w:tab w:val="right" w:pos="7497"/>
        </w:tabs>
        <w:bidi/>
        <w:jc w:val="both"/>
        <w:rPr>
          <w:rFonts w:cs="Guttman Drogolin"/>
          <w:rtl/>
          <w:lang w:bidi="he-IL"/>
        </w:rPr>
      </w:pPr>
      <w:r>
        <w:rPr>
          <w:rFonts w:cs="Guttman Drogolin"/>
          <w:rtl/>
          <w:lang w:bidi="he-IL"/>
        </w:rPr>
        <w:fldChar w:fldCharType="begin"/>
      </w:r>
      <w:r>
        <w:instrText xml:space="preserve"> XE "</w:instrText>
      </w:r>
      <w:r w:rsidRPr="00C42AB0">
        <w:rPr>
          <w:rFonts w:hint="cs"/>
          <w:rtl/>
          <w:lang w:bidi="he-IL"/>
        </w:rPr>
        <w:instrText>טבילת כלים</w:instrText>
      </w:r>
      <w:r w:rsidRPr="00C42AB0">
        <w:rPr>
          <w:rtl/>
        </w:rPr>
        <w:instrText>:</w:instrText>
      </w:r>
      <w:r w:rsidRPr="00C42AB0">
        <w:rPr>
          <w:rFonts w:hint="cs"/>
          <w:rtl/>
          <w:lang w:bidi="he-IL"/>
        </w:rPr>
        <w:instrText>גדרי כלי סעודה</w:instrText>
      </w:r>
      <w:r>
        <w:instrText xml:space="preserve">" </w:instrText>
      </w:r>
      <w:r>
        <w:rPr>
          <w:rFonts w:cs="Guttman Drogolin"/>
          <w:rtl/>
          <w:lang w:bidi="he-IL"/>
        </w:rPr>
        <w:fldChar w:fldCharType="end"/>
      </w:r>
      <w:r w:rsidR="00E26B93" w:rsidRPr="00882F11">
        <w:rPr>
          <w:rFonts w:cs="Guttman Drogolin" w:hint="cs"/>
          <w:rtl/>
          <w:lang w:bidi="he-IL"/>
        </w:rPr>
        <w:t>מבואר בגמ' שלא חייבה תורה בטבילת כלים אלא כלי סעודה.</w:t>
      </w:r>
      <w:r w:rsidR="00F27BFF" w:rsidRPr="00882F11">
        <w:rPr>
          <w:rFonts w:cs="Guttman Drogolin" w:hint="cs"/>
          <w:rtl/>
          <w:lang w:bidi="he-IL"/>
        </w:rPr>
        <w:t xml:space="preserve"> אמנם אינו מפורש מהו בכלל כלי סעודה ומה לא. ובפוסקים מבואר בזה כמה כללים. </w:t>
      </w:r>
      <w:r w:rsidR="00F27BFF" w:rsidRPr="00882F11">
        <w:rPr>
          <w:rFonts w:cs="Guttman Drogolin" w:hint="cs"/>
          <w:rtl/>
          <w:lang w:bidi="he-IL"/>
        </w:rPr>
        <w:lastRenderedPageBreak/>
        <w:t xml:space="preserve">חדא מה שמבואר בסמ"ק </w:t>
      </w:r>
      <w:r w:rsidR="00F333B0">
        <w:rPr>
          <w:rFonts w:cs="Guttman Drogolin"/>
          <w:rtl/>
          <w:lang w:bidi="he-IL"/>
        </w:rPr>
        <w:fldChar w:fldCharType="begin"/>
      </w:r>
      <w:r w:rsidR="00F333B0">
        <w:instrText xml:space="preserve"> XE "</w:instrText>
      </w:r>
      <w:r w:rsidR="00F333B0" w:rsidRPr="00893E1B">
        <w:rPr>
          <w:rFonts w:hint="cs"/>
          <w:rtl/>
          <w:lang w:bidi="he-IL"/>
        </w:rPr>
        <w:instrText>טבילת כלים</w:instrText>
      </w:r>
      <w:r w:rsidR="00F333B0" w:rsidRPr="00893E1B">
        <w:rPr>
          <w:rtl/>
        </w:rPr>
        <w:instrText>:</w:instrText>
      </w:r>
      <w:r w:rsidR="00F333B0" w:rsidRPr="00893E1B">
        <w:rPr>
          <w:rFonts w:hint="cs"/>
          <w:rtl/>
          <w:lang w:bidi="he-IL"/>
        </w:rPr>
        <w:instrText>חצובה</w:instrText>
      </w:r>
      <w:r w:rsidR="00F333B0">
        <w:instrText xml:space="preserve">" </w:instrText>
      </w:r>
      <w:r w:rsidR="00F333B0">
        <w:rPr>
          <w:rFonts w:cs="Guttman Drogolin"/>
          <w:rtl/>
          <w:lang w:bidi="he-IL"/>
        </w:rPr>
        <w:fldChar w:fldCharType="end"/>
      </w:r>
      <w:r w:rsidR="00F27BFF" w:rsidRPr="00882F11">
        <w:rPr>
          <w:rFonts w:cs="Guttman Drogolin" w:hint="cs"/>
          <w:rtl/>
          <w:lang w:bidi="he-IL"/>
        </w:rPr>
        <w:t xml:space="preserve">וכן הוא בשו"ע בסע' ד' ש'טריפיד"ש' שהוא מה ששופתים עליו את הקדרה (חצובה) אינו חייב בטבילת כלים. והטעם כדמבואר שם בש"ך, שאמנם הוא בשימוש בשעת הכנת האוכל, מ"מ אין צולין עליו ממש, דהא אין המאכל מונח עליו. ומבואר דרק מה שמונח עליו המאכל חייב בטבילת כלים. ומ"מ </w:t>
      </w:r>
      <w:r w:rsidR="00073C3A" w:rsidRPr="00882F11">
        <w:rPr>
          <w:rFonts w:cs="Guttman Drogolin" w:hint="cs"/>
          <w:rtl/>
          <w:lang w:bidi="he-IL"/>
        </w:rPr>
        <w:t>מצאתי לגרשז"א (בהערה לס' טבילת כלים פ"א ה"ד)</w:t>
      </w:r>
      <w:r w:rsidR="00F27BFF" w:rsidRPr="00882F11">
        <w:rPr>
          <w:rFonts w:cs="Guttman Drogolin" w:hint="cs"/>
          <w:rtl/>
          <w:lang w:bidi="he-IL"/>
        </w:rPr>
        <w:t xml:space="preserve"> ש</w:t>
      </w:r>
      <w:r w:rsidR="00073C3A" w:rsidRPr="00882F11">
        <w:rPr>
          <w:rFonts w:cs="Guttman Drogolin" w:hint="cs"/>
          <w:rtl/>
          <w:lang w:bidi="he-IL"/>
        </w:rPr>
        <w:t>כתב שהפסק של נייר אליו</w:t>
      </w:r>
      <w:r w:rsidR="00DE4CB7">
        <w:rPr>
          <w:rFonts w:cs="Guttman Drogolin" w:hint="cs"/>
          <w:rtl/>
          <w:lang w:bidi="he-IL"/>
        </w:rPr>
        <w:t>מינם</w:t>
      </w:r>
      <w:r w:rsidR="00073C3A" w:rsidRPr="00882F11">
        <w:rPr>
          <w:rFonts w:cs="Guttman Drogolin" w:hint="cs"/>
          <w:rtl/>
          <w:lang w:bidi="he-IL"/>
        </w:rPr>
        <w:t xml:space="preserve"> וכדומה לא חשיב הפסק</w:t>
      </w:r>
      <w:r w:rsidR="007837EB" w:rsidRPr="00882F11">
        <w:rPr>
          <w:rStyle w:val="FootnoteReference"/>
          <w:rFonts w:cs="Guttman Drogolin"/>
          <w:rtl/>
          <w:lang w:bidi="he-IL"/>
        </w:rPr>
        <w:footnoteReference w:id="458"/>
      </w:r>
      <w:r w:rsidR="00073C3A" w:rsidRPr="00882F11">
        <w:rPr>
          <w:rFonts w:cs="Guttman Drogolin" w:hint="cs"/>
          <w:rtl/>
          <w:lang w:bidi="he-IL"/>
        </w:rPr>
        <w:t xml:space="preserve">. ולא ביאר טעמו כ"כ למה שיהא כן. וע' מש"כ בזה בביאורים </w:t>
      </w:r>
      <w:r w:rsidR="00DE4CB7">
        <w:rPr>
          <w:rFonts w:cs="Guttman Drogolin" w:hint="cs"/>
          <w:rtl/>
          <w:lang w:bidi="he-IL"/>
        </w:rPr>
        <w:t xml:space="preserve">לס' חלקת בנימין לסע' ד'. ונראה </w:t>
      </w:r>
      <w:r w:rsidR="00073C3A" w:rsidRPr="00882F11">
        <w:rPr>
          <w:rFonts w:cs="Guttman Drogolin" w:hint="cs"/>
          <w:rtl/>
          <w:lang w:bidi="he-IL"/>
        </w:rPr>
        <w:t xml:space="preserve">הפשוט בזה שאם מניח עליו נייר כסף </w:t>
      </w:r>
      <w:r w:rsidR="00DE4CB7">
        <w:rPr>
          <w:rFonts w:cs="Guttman Drogolin" w:hint="cs"/>
          <w:rtl/>
          <w:lang w:bidi="he-IL"/>
        </w:rPr>
        <w:t xml:space="preserve">רק </w:t>
      </w:r>
      <w:r w:rsidR="00073C3A" w:rsidRPr="00882F11">
        <w:rPr>
          <w:rFonts w:cs="Guttman Drogolin" w:hint="cs"/>
          <w:rtl/>
          <w:lang w:bidi="he-IL"/>
        </w:rPr>
        <w:t>כדי שלא ילכלך התנור או הרשת וכדומה, אין הנייר חשוב ככלי הסעודה. וממילא הרשת שמתחתיו חשוב כלי סעודה. משא"כ כשמניח האוכל בתוך סיר, והסיר מונח על הרשת,</w:t>
      </w:r>
      <w:r w:rsidR="00DE4CB7">
        <w:rPr>
          <w:rFonts w:cs="Guttman Drogolin" w:hint="cs"/>
          <w:rtl/>
          <w:lang w:bidi="he-IL"/>
        </w:rPr>
        <w:t xml:space="preserve"> כיון שהסיר משמש לאוכל הרי הוא הכלי סעודה, וממילא הרשת שמתחתיו</w:t>
      </w:r>
      <w:r w:rsidR="00073C3A" w:rsidRPr="00882F11">
        <w:rPr>
          <w:rFonts w:cs="Guttman Drogolin" w:hint="cs"/>
          <w:rtl/>
          <w:lang w:bidi="he-IL"/>
        </w:rPr>
        <w:t xml:space="preserve"> הוי כטריפדי"ש הפטור מן הטבילה. </w:t>
      </w:r>
      <w:r w:rsidR="007837EB" w:rsidRPr="00882F11">
        <w:rPr>
          <w:rFonts w:cs="Guttman Drogolin" w:hint="cs"/>
          <w:rtl/>
          <w:lang w:bidi="he-IL"/>
        </w:rPr>
        <w:t>ולכן בכגון רשת ש</w:t>
      </w:r>
      <w:r w:rsidR="00DE4CB7">
        <w:rPr>
          <w:rFonts w:cs="Guttman Drogolin" w:hint="cs"/>
          <w:rtl/>
          <w:lang w:bidi="he-IL"/>
        </w:rPr>
        <w:t xml:space="preserve">לפעמים </w:t>
      </w:r>
      <w:r w:rsidR="007837EB" w:rsidRPr="00882F11">
        <w:rPr>
          <w:rFonts w:cs="Guttman Drogolin" w:hint="cs"/>
          <w:rtl/>
          <w:lang w:bidi="he-IL"/>
        </w:rPr>
        <w:t>מניחים עליו סירים</w:t>
      </w:r>
      <w:r w:rsidR="00DE4CB7">
        <w:rPr>
          <w:rFonts w:cs="Guttman Drogolin" w:hint="cs"/>
          <w:rtl/>
          <w:lang w:bidi="he-IL"/>
        </w:rPr>
        <w:t>, ו</w:t>
      </w:r>
      <w:r w:rsidR="007837EB" w:rsidRPr="00882F11">
        <w:rPr>
          <w:rFonts w:cs="Guttman Drogolin" w:hint="cs"/>
          <w:rtl/>
          <w:lang w:bidi="he-IL"/>
        </w:rPr>
        <w:t xml:space="preserve">לפעמים </w:t>
      </w:r>
      <w:r w:rsidR="00DE4CB7">
        <w:rPr>
          <w:rFonts w:cs="Guttman Drogolin" w:hint="cs"/>
          <w:rtl/>
          <w:lang w:bidi="he-IL"/>
        </w:rPr>
        <w:t xml:space="preserve">מניחים עליו האוכל עצמו </w:t>
      </w:r>
      <w:r w:rsidR="007837EB" w:rsidRPr="00882F11">
        <w:rPr>
          <w:rFonts w:cs="Guttman Drogolin" w:hint="cs"/>
          <w:rtl/>
          <w:lang w:bidi="he-IL"/>
        </w:rPr>
        <w:t>בהפסק נייר, יש להטביל אותו. אמנם לענין ברכה ע' בהערה</w:t>
      </w:r>
      <w:r w:rsidR="007837EB" w:rsidRPr="00882F11">
        <w:rPr>
          <w:rStyle w:val="FootnoteReference"/>
          <w:rFonts w:cs="Guttman Drogolin"/>
          <w:rtl/>
          <w:lang w:bidi="he-IL"/>
        </w:rPr>
        <w:footnoteReference w:id="459"/>
      </w:r>
      <w:r w:rsidR="007837EB" w:rsidRPr="00882F11">
        <w:rPr>
          <w:rFonts w:cs="Guttman Drogolin" w:hint="cs"/>
          <w:rtl/>
          <w:lang w:bidi="he-IL"/>
        </w:rPr>
        <w:t xml:space="preserve">. </w:t>
      </w:r>
    </w:p>
    <w:p w:rsidR="00364A80" w:rsidRPr="00882F11" w:rsidRDefault="00A02902" w:rsidP="00364A80">
      <w:pPr>
        <w:tabs>
          <w:tab w:val="right" w:pos="7497"/>
        </w:tabs>
        <w:bidi/>
        <w:jc w:val="both"/>
        <w:rPr>
          <w:rFonts w:cs="Guttman Drogolin"/>
          <w:rtl/>
          <w:lang w:bidi="he-IL"/>
        </w:rPr>
      </w:pPr>
      <w:r w:rsidRPr="00882F11">
        <w:rPr>
          <w:rFonts w:cs="Guttman Drogolin" w:hint="cs"/>
          <w:rtl/>
          <w:lang w:bidi="he-IL"/>
        </w:rPr>
        <w:t>והפוסקים נח</w:t>
      </w:r>
      <w:r w:rsidR="00364A80" w:rsidRPr="00882F11">
        <w:rPr>
          <w:rFonts w:cs="Guttman Drogolin" w:hint="cs"/>
          <w:rtl/>
          <w:lang w:bidi="he-IL"/>
        </w:rPr>
        <w:t>לקו בסכין של שחיטה אם חייב בטבי</w:t>
      </w:r>
      <w:r w:rsidRPr="00882F11">
        <w:rPr>
          <w:rFonts w:cs="Guttman Drogolin" w:hint="cs"/>
          <w:rtl/>
          <w:lang w:bidi="he-IL"/>
        </w:rPr>
        <w:t xml:space="preserve">לת כלים. </w:t>
      </w:r>
      <w:r w:rsidR="00364A80" w:rsidRPr="00882F11">
        <w:rPr>
          <w:rFonts w:cs="Guttman Drogolin" w:hint="cs"/>
          <w:rtl/>
          <w:lang w:bidi="he-IL"/>
        </w:rPr>
        <w:t xml:space="preserve">המחבר בסע' ה' הביא שיש מי שאומר (המרדכי) דסכין של שחיטה אינו צריך טבילה. ואע"ג שמשתמשים בה כדי לתקן את האוכל, ביארו הפוסקים משום שעדיין אינו מוכן לאכילה אחרי גמר שחיטתו כיון שעדיין צריך בישול או צליי'. והרמ"א כתב שיש חולקים </w:t>
      </w:r>
      <w:r w:rsidR="00364A80" w:rsidRPr="00882F11">
        <w:rPr>
          <w:rFonts w:cs="Guttman Drogolin" w:hint="cs"/>
          <w:rtl/>
          <w:lang w:bidi="he-IL"/>
        </w:rPr>
        <w:lastRenderedPageBreak/>
        <w:t>(התשב"ץ) משום דלא איכפת לן אם יש לו תיקון אחר כיון שמ"מ גם זה מתקן אותו</w:t>
      </w:r>
      <w:r w:rsidR="00364A80" w:rsidRPr="00882F11">
        <w:rPr>
          <w:rStyle w:val="FootnoteReference"/>
          <w:rFonts w:cs="Guttman Drogolin"/>
          <w:rtl/>
          <w:lang w:bidi="he-IL"/>
        </w:rPr>
        <w:footnoteReference w:id="460"/>
      </w:r>
      <w:r w:rsidR="00364A80" w:rsidRPr="00882F11">
        <w:rPr>
          <w:rFonts w:cs="Guttman Drogolin" w:hint="cs"/>
          <w:rtl/>
          <w:lang w:bidi="he-IL"/>
        </w:rPr>
        <w:t xml:space="preserve">. </w:t>
      </w:r>
    </w:p>
    <w:p w:rsidR="00263098" w:rsidRPr="00882F11" w:rsidRDefault="00364A80" w:rsidP="00DE4CB7">
      <w:pPr>
        <w:tabs>
          <w:tab w:val="right" w:pos="7497"/>
        </w:tabs>
        <w:bidi/>
        <w:jc w:val="both"/>
        <w:rPr>
          <w:rFonts w:cs="Guttman Drogolin"/>
          <w:rtl/>
          <w:lang w:bidi="he-IL"/>
        </w:rPr>
      </w:pPr>
      <w:r w:rsidRPr="00882F11">
        <w:rPr>
          <w:rFonts w:cs="Guttman Drogolin" w:hint="cs"/>
          <w:rtl/>
          <w:lang w:bidi="he-IL"/>
        </w:rPr>
        <w:t xml:space="preserve">ומסקנת הרמ"א שטוב לטובלו בלא ברכה. והרמ"א כתב את זה על סכין של שחיטה, אבל לאחר מכן כתב דהה"נ שהברזלים שמתקנים בהם את המצות פטור מן הטבילה כיון שאין המצה ראוי' עדיין עד שיאפנו, ובזה לא כתב הרמ"א שיש לטובלו בלא ברכה. והט"ז כתב שבאמת גם </w:t>
      </w:r>
      <w:r w:rsidR="00DE4CB7">
        <w:rPr>
          <w:rFonts w:cs="Guttman Drogolin" w:hint="cs"/>
          <w:rtl/>
          <w:lang w:bidi="he-IL"/>
        </w:rPr>
        <w:t>זה</w:t>
      </w:r>
      <w:r w:rsidRPr="00882F11">
        <w:rPr>
          <w:rFonts w:cs="Guttman Drogolin" w:hint="cs"/>
          <w:rtl/>
          <w:lang w:bidi="he-IL"/>
        </w:rPr>
        <w:t xml:space="preserve"> תלוי באותו פלוגתא</w:t>
      </w:r>
      <w:r w:rsidR="00DE4CB7">
        <w:rPr>
          <w:rFonts w:cs="Guttman Drogolin" w:hint="cs"/>
          <w:rtl/>
          <w:lang w:bidi="he-IL"/>
        </w:rPr>
        <w:t>,</w:t>
      </w:r>
      <w:r w:rsidRPr="00882F11">
        <w:rPr>
          <w:rFonts w:cs="Guttman Drogolin" w:hint="cs"/>
          <w:rtl/>
          <w:lang w:bidi="he-IL"/>
        </w:rPr>
        <w:t xml:space="preserve"> ו</w:t>
      </w:r>
      <w:r w:rsidR="00DE4CB7">
        <w:rPr>
          <w:rFonts w:cs="Guttman Drogolin" w:hint="cs"/>
          <w:rtl/>
          <w:lang w:bidi="he-IL"/>
        </w:rPr>
        <w:t>ל</w:t>
      </w:r>
      <w:r w:rsidRPr="00882F11">
        <w:rPr>
          <w:rFonts w:cs="Guttman Drogolin" w:hint="cs"/>
          <w:rtl/>
          <w:lang w:bidi="he-IL"/>
        </w:rPr>
        <w:t xml:space="preserve">כן יש לטובלו בלא ברכה, וזה שלא כתב הרמ"א שיש לטובלו בלא ברכה אלא בסכין של שחיטה, היינו משום שעליו נאמר הוראה זו, אבל לעולם ההוראה שייך לתרוייהו. והש"ך חלק </w:t>
      </w:r>
      <w:r w:rsidR="00263098" w:rsidRPr="00882F11">
        <w:rPr>
          <w:rFonts w:cs="Guttman Drogolin" w:hint="cs"/>
          <w:rtl/>
          <w:lang w:bidi="he-IL"/>
        </w:rPr>
        <w:t>וסבר שיש לחלק בין סכין של שחיטה לברזלים של המצות. שהברזלים של המצות אין להם שום תשמיש אחר כ"א לתיקון המצות, ולכן אין חיוב לטובלם כלל, אבל הסכין של שחיטה, שאמנם מיועד לשחיטה מ"מ אפשר להשתמש בה ג"כ לאכול בה מאכל מוכן, ולכן יש עכ"פ לטובלו בלא ברכה. וע' בביאור הגר"א שדחה את דברי הש"ך, שא</w:t>
      </w:r>
      <w:r w:rsidR="00DE4CB7">
        <w:rPr>
          <w:rFonts w:cs="Guttman Drogolin" w:hint="cs"/>
          <w:rtl/>
          <w:lang w:bidi="he-IL"/>
        </w:rPr>
        <w:t>ף</w:t>
      </w:r>
      <w:r w:rsidR="00263098" w:rsidRPr="00882F11">
        <w:rPr>
          <w:rFonts w:cs="Guttman Drogolin" w:hint="cs"/>
          <w:rtl/>
          <w:lang w:bidi="he-IL"/>
        </w:rPr>
        <w:t xml:space="preserve"> א' לא משתמש בה לאכילה בדבר אחר, ולא אזלינן הכא בתר ראוי.</w:t>
      </w:r>
      <w:r w:rsidR="0077547F" w:rsidRPr="00882F11">
        <w:rPr>
          <w:rFonts w:cs="Guttman Drogolin" w:hint="cs"/>
          <w:rtl/>
          <w:lang w:bidi="he-IL"/>
        </w:rPr>
        <w:t xml:space="preserve"> וע' בהגהות רע"א דנפק"מ בפלוגתתם בריחים לפולי קפה, שלט"ז יש לטובלו בלא ברכה, ולש"ך פטור לגמרי.</w:t>
      </w:r>
    </w:p>
    <w:p w:rsidR="00876DE6" w:rsidRPr="00882F11" w:rsidRDefault="001155AF" w:rsidP="006D3CF5">
      <w:pPr>
        <w:tabs>
          <w:tab w:val="right" w:pos="7497"/>
        </w:tabs>
        <w:bidi/>
        <w:jc w:val="both"/>
        <w:rPr>
          <w:rFonts w:cs="Guttman Drogolin"/>
          <w:rtl/>
          <w:lang w:bidi="he-IL"/>
        </w:rPr>
      </w:pPr>
      <w:r>
        <w:rPr>
          <w:rFonts w:cs="Guttman Drogolin"/>
          <w:rtl/>
          <w:lang w:bidi="he-IL"/>
        </w:rPr>
        <w:fldChar w:fldCharType="begin"/>
      </w:r>
      <w:r>
        <w:instrText xml:space="preserve"> XE "</w:instrText>
      </w:r>
      <w:r w:rsidRPr="00FC6522">
        <w:rPr>
          <w:rFonts w:hint="cs"/>
          <w:rtl/>
          <w:lang w:bidi="he-IL"/>
        </w:rPr>
        <w:instrText>טבילת כלים</w:instrText>
      </w:r>
      <w:r w:rsidRPr="00FC6522">
        <w:rPr>
          <w:rtl/>
        </w:rPr>
        <w:instrText>:</w:instrText>
      </w:r>
      <w:r w:rsidRPr="00FC6522">
        <w:rPr>
          <w:rFonts w:hint="cs"/>
          <w:rtl/>
          <w:lang w:bidi="he-IL"/>
        </w:rPr>
        <w:instrText>כלי איחסון</w:instrText>
      </w:r>
      <w:r>
        <w:instrText xml:space="preserve">" </w:instrText>
      </w:r>
      <w:r>
        <w:rPr>
          <w:rFonts w:cs="Guttman Drogolin"/>
          <w:rtl/>
          <w:lang w:bidi="he-IL"/>
        </w:rPr>
        <w:fldChar w:fldCharType="end"/>
      </w:r>
      <w:r w:rsidR="0077547F" w:rsidRPr="00882F11">
        <w:rPr>
          <w:rFonts w:cs="Guttman Drogolin" w:hint="cs"/>
          <w:rtl/>
          <w:lang w:bidi="he-IL"/>
        </w:rPr>
        <w:t>עוד דנו הפוסקים אם כלי איחסון</w:t>
      </w:r>
      <w:r w:rsidR="003A1AD4" w:rsidRPr="00882F11">
        <w:rPr>
          <w:rStyle w:val="FootnoteReference"/>
          <w:rFonts w:cs="Guttman Drogolin"/>
          <w:rtl/>
          <w:lang w:bidi="he-IL"/>
        </w:rPr>
        <w:footnoteReference w:id="461"/>
      </w:r>
      <w:r w:rsidR="0077547F" w:rsidRPr="00882F11">
        <w:rPr>
          <w:rFonts w:cs="Guttman Drogolin" w:hint="cs"/>
          <w:rtl/>
          <w:lang w:bidi="he-IL"/>
        </w:rPr>
        <w:t xml:space="preserve"> </w:t>
      </w:r>
      <w:r w:rsidR="00985C70" w:rsidRPr="00882F11">
        <w:rPr>
          <w:rFonts w:cs="Guttman Drogolin" w:hint="cs"/>
          <w:rtl/>
          <w:lang w:bidi="he-IL"/>
        </w:rPr>
        <w:t>נחשבים ככלי סעודה ו</w:t>
      </w:r>
      <w:r w:rsidR="0077547F" w:rsidRPr="00882F11">
        <w:rPr>
          <w:rFonts w:cs="Guttman Drogolin" w:hint="cs"/>
          <w:rtl/>
          <w:lang w:bidi="he-IL"/>
        </w:rPr>
        <w:t>חייבים בטבילת כלים</w:t>
      </w:r>
      <w:r w:rsidR="00985C70" w:rsidRPr="00882F11">
        <w:rPr>
          <w:rFonts w:cs="Guttman Drogolin" w:hint="cs"/>
          <w:rtl/>
          <w:lang w:bidi="he-IL"/>
        </w:rPr>
        <w:t xml:space="preserve"> או לא</w:t>
      </w:r>
      <w:r w:rsidR="0077547F" w:rsidRPr="00882F11">
        <w:rPr>
          <w:rFonts w:cs="Guttman Drogolin" w:hint="cs"/>
          <w:rtl/>
          <w:lang w:bidi="he-IL"/>
        </w:rPr>
        <w:t xml:space="preserve">. וע' ברע"א מכנה"ג שנחלקו בזה הפוסקים. </w:t>
      </w:r>
      <w:r w:rsidR="00985C70" w:rsidRPr="00882F11">
        <w:rPr>
          <w:rFonts w:cs="Guttman Drogolin" w:hint="cs"/>
          <w:rtl/>
          <w:lang w:bidi="he-IL"/>
        </w:rPr>
        <w:t>והעירו בזה התלמידים</w:t>
      </w:r>
      <w:r w:rsidR="00F1725B" w:rsidRPr="00882F11">
        <w:rPr>
          <w:rStyle w:val="FootnoteReference"/>
          <w:rFonts w:cs="Guttman Drogolin"/>
          <w:rtl/>
          <w:lang w:bidi="he-IL"/>
        </w:rPr>
        <w:footnoteReference w:id="462"/>
      </w:r>
      <w:r w:rsidR="00985C70" w:rsidRPr="00882F11">
        <w:rPr>
          <w:rFonts w:cs="Guttman Drogolin" w:hint="cs"/>
          <w:rtl/>
          <w:lang w:bidi="he-IL"/>
        </w:rPr>
        <w:t xml:space="preserve"> דהא מבואר בהדיא בגמ' דצלוחיות חייבים בטבילה</w:t>
      </w:r>
      <w:r w:rsidR="007F43A8" w:rsidRPr="00882F11">
        <w:rPr>
          <w:rStyle w:val="FootnoteReference"/>
          <w:rFonts w:cs="Guttman Drogolin"/>
          <w:rtl/>
          <w:lang w:bidi="he-IL"/>
        </w:rPr>
        <w:footnoteReference w:id="463"/>
      </w:r>
      <w:r w:rsidR="00985C70" w:rsidRPr="00882F11">
        <w:rPr>
          <w:rFonts w:cs="Guttman Drogolin" w:hint="cs"/>
          <w:rtl/>
          <w:lang w:bidi="he-IL"/>
        </w:rPr>
        <w:t>, ולכאורה אין מכינים אוכל בתוך הצלוחית וכן אין שותים ממנו, וא"כ למה נחשב כלי סעודה. ולכאורה התשובה, דעד כמה ש</w:t>
      </w:r>
      <w:r w:rsidR="00483922" w:rsidRPr="00882F11">
        <w:rPr>
          <w:rFonts w:cs="Guttman Drogolin" w:hint="cs"/>
          <w:rtl/>
          <w:lang w:bidi="he-IL"/>
        </w:rPr>
        <w:t>מ</w:t>
      </w:r>
      <w:r w:rsidR="00985C70" w:rsidRPr="00882F11">
        <w:rPr>
          <w:rFonts w:cs="Guttman Drogolin" w:hint="cs"/>
          <w:rtl/>
          <w:lang w:bidi="he-IL"/>
        </w:rPr>
        <w:t xml:space="preserve">ביאים אותו לשולחן אכילה כדי שיוכלו למלאות בהם הכוסות, הרי זה נחשב ככלי סעודה </w:t>
      </w:r>
      <w:r w:rsidR="00985C70" w:rsidRPr="00882F11">
        <w:rPr>
          <w:rFonts w:cs="Guttman Drogolin" w:hint="cs"/>
          <w:rtl/>
          <w:lang w:bidi="he-IL"/>
        </w:rPr>
        <w:lastRenderedPageBreak/>
        <w:t xml:space="preserve">וחייבים בטבילה בברכה. לא נחלקו אלא בדבר שהוא לקיום בלבד ואין מגישים ממנו בשעת אכילה. </w:t>
      </w:r>
      <w:r w:rsidR="009A107E" w:rsidRPr="00882F11">
        <w:rPr>
          <w:rFonts w:cs="Guttman Drogolin" w:hint="cs"/>
          <w:rtl/>
          <w:lang w:bidi="he-IL"/>
        </w:rPr>
        <w:t>וכן מצאתי לגרשז"א</w:t>
      </w:r>
      <w:r w:rsidR="005E3FB8" w:rsidRPr="00882F11">
        <w:rPr>
          <w:rStyle w:val="FootnoteReference"/>
          <w:rFonts w:cs="Guttman Drogolin"/>
          <w:rtl/>
          <w:lang w:bidi="he-IL"/>
        </w:rPr>
        <w:footnoteReference w:id="464"/>
      </w:r>
      <w:r w:rsidR="009A107E" w:rsidRPr="00882F11">
        <w:rPr>
          <w:rFonts w:cs="Guttman Drogolin" w:hint="cs"/>
          <w:rtl/>
          <w:lang w:bidi="he-IL"/>
        </w:rPr>
        <w:t xml:space="preserve"> בשש"</w:t>
      </w:r>
      <w:r w:rsidR="006D3CF5" w:rsidRPr="00882F11">
        <w:rPr>
          <w:rFonts w:cs="Guttman Drogolin" w:hint="cs"/>
          <w:rtl/>
          <w:lang w:bidi="he-IL"/>
        </w:rPr>
        <w:t>כ</w:t>
      </w:r>
      <w:r w:rsidR="009A107E" w:rsidRPr="00882F11">
        <w:rPr>
          <w:rFonts w:cs="Guttman Drogolin" w:hint="cs"/>
          <w:rtl/>
          <w:lang w:bidi="he-IL"/>
        </w:rPr>
        <w:t xml:space="preserve"> פ"ט הערה מ"ד</w:t>
      </w:r>
      <w:r w:rsidR="006D3CF5" w:rsidRPr="00882F11">
        <w:rPr>
          <w:rStyle w:val="FootnoteReference"/>
          <w:rFonts w:cs="Guttman Drogolin"/>
          <w:rtl/>
          <w:lang w:bidi="he-IL"/>
        </w:rPr>
        <w:footnoteReference w:id="465"/>
      </w:r>
      <w:r w:rsidR="009A107E" w:rsidRPr="00882F11">
        <w:rPr>
          <w:rFonts w:cs="Guttman Drogolin" w:hint="cs"/>
          <w:rtl/>
          <w:lang w:bidi="he-IL"/>
        </w:rPr>
        <w:t>, וע"ש שהעיר דאע"ג שמדברי מסגרת השלחן (סי' ל"ז ס"ק ו'</w:t>
      </w:r>
      <w:r w:rsidR="009A107E" w:rsidRPr="00882F11">
        <w:rPr>
          <w:rStyle w:val="FootnoteReference"/>
          <w:rFonts w:cs="Guttman Drogolin"/>
          <w:rtl/>
          <w:lang w:bidi="he-IL"/>
        </w:rPr>
        <w:footnoteReference w:id="466"/>
      </w:r>
      <w:r w:rsidR="009A107E" w:rsidRPr="00882F11">
        <w:rPr>
          <w:rFonts w:cs="Guttman Drogolin" w:hint="cs"/>
          <w:rtl/>
          <w:lang w:bidi="he-IL"/>
        </w:rPr>
        <w:t>) לא נראה כן, יתכן שגם אליבא דידי' הכי הוי.</w:t>
      </w:r>
      <w:r w:rsidR="002C60AC" w:rsidRPr="00882F11">
        <w:rPr>
          <w:rFonts w:cs="Guttman Drogolin" w:hint="cs"/>
          <w:rtl/>
          <w:lang w:bidi="he-IL"/>
        </w:rPr>
        <w:t xml:space="preserve"> אמנם בעיקר הדבר צ"ע, דבשלמא אם כלי איחסון חייבים בטבילת כלים יש לנו גדר ברור מה נחשב כלי סעודה, דכל מה שמתעסק בה באוכל מזמן שהוא מוכן לאכילה נחשב כלי סעודה, אבל אם כלי איחסון פטורים, לכאורה יש לנו ב' גדרים לענין מה נחשב כלי סעודה, א' זה שמכין את האוכל להיות ראוי לאכילה, וב' זה שאוכלים בה בפועל בשעת אכילה, ומה"ת ב' דיני כלי סעודה. וצ"ע.</w:t>
      </w:r>
    </w:p>
    <w:p w:rsidR="00DE0BA1" w:rsidRPr="00882F11" w:rsidRDefault="00F333B0" w:rsidP="00DE4CB7">
      <w:pPr>
        <w:tabs>
          <w:tab w:val="right" w:pos="7497"/>
        </w:tabs>
        <w:bidi/>
        <w:jc w:val="both"/>
        <w:rPr>
          <w:rFonts w:cs="Guttman Drogolin"/>
          <w:rtl/>
          <w:lang w:bidi="he-IL"/>
        </w:rPr>
      </w:pPr>
      <w:r>
        <w:rPr>
          <w:rFonts w:cs="Guttman Drogolin"/>
          <w:rtl/>
          <w:lang w:bidi="he-IL"/>
        </w:rPr>
        <w:fldChar w:fldCharType="begin"/>
      </w:r>
      <w:r>
        <w:instrText xml:space="preserve"> XE "</w:instrText>
      </w:r>
      <w:r w:rsidRPr="001163E7">
        <w:rPr>
          <w:rFonts w:hint="cs"/>
          <w:rtl/>
          <w:lang w:bidi="he-IL"/>
        </w:rPr>
        <w:instrText>טבילת כלים</w:instrText>
      </w:r>
      <w:r w:rsidRPr="001163E7">
        <w:rPr>
          <w:rtl/>
        </w:rPr>
        <w:instrText>:</w:instrText>
      </w:r>
      <w:r w:rsidRPr="001163E7">
        <w:rPr>
          <w:rFonts w:hint="cs"/>
          <w:rtl/>
          <w:lang w:bidi="he-IL"/>
        </w:rPr>
        <w:instrText>מכסה של כלי</w:instrText>
      </w:r>
      <w:r>
        <w:instrText xml:space="preserve">" </w:instrText>
      </w:r>
      <w:r>
        <w:rPr>
          <w:rFonts w:cs="Guttman Drogolin"/>
          <w:rtl/>
          <w:lang w:bidi="he-IL"/>
        </w:rPr>
        <w:fldChar w:fldCharType="end"/>
      </w:r>
      <w:r w:rsidR="00876DE6" w:rsidRPr="00882F11">
        <w:rPr>
          <w:rFonts w:cs="Guttman Drogolin" w:hint="cs"/>
          <w:rtl/>
          <w:lang w:bidi="he-IL"/>
        </w:rPr>
        <w:t xml:space="preserve">עוד מבואר שמכסה של סיר חשוב כלי סעודה וחייב בטבילה, אבל כלי שמכסים בה את הלחם אינו נחשב כלי סעודה. וקודם כל יש להדגיש שלכאורה המכסה חייב מצד עצמו, ולכן אם יש מכסה של זכוכית ע"ג סיר של חרס וכדומה, המכסה חייב בטבילת כלים בברכה. </w:t>
      </w:r>
      <w:r w:rsidR="00691F4E" w:rsidRPr="00882F11">
        <w:rPr>
          <w:rFonts w:cs="Guttman Drogolin" w:hint="cs"/>
          <w:rtl/>
          <w:lang w:bidi="he-IL"/>
        </w:rPr>
        <w:t>וכן לכאורה מבואר מהש"ך בס"ק י"</w:t>
      </w:r>
      <w:r w:rsidR="00B84D0C" w:rsidRPr="00882F11">
        <w:rPr>
          <w:rFonts w:cs="Guttman Drogolin" w:hint="cs"/>
          <w:rtl/>
          <w:lang w:bidi="he-IL"/>
        </w:rPr>
        <w:t>ד</w:t>
      </w:r>
      <w:r w:rsidR="00691F4E" w:rsidRPr="00882F11">
        <w:rPr>
          <w:rFonts w:cs="Guttman Drogolin" w:hint="cs"/>
          <w:rtl/>
          <w:lang w:bidi="he-IL"/>
        </w:rPr>
        <w:t xml:space="preserve">. </w:t>
      </w:r>
      <w:r w:rsidR="00876DE6" w:rsidRPr="00882F11">
        <w:rPr>
          <w:rFonts w:cs="Guttman Drogolin" w:hint="cs"/>
          <w:rtl/>
          <w:lang w:bidi="he-IL"/>
        </w:rPr>
        <w:t xml:space="preserve">אבל מ"מ יל"ע מהו החילוק שבין מכסה זה למכסה אחר. ובביאור הגר"א מבואר הטעם משום שמכסה של סיר בולע מן התבשיל דרך בישולו, משא"כ בכלי שמכסים בה את הלחם. ועיקר הדבר זה צע"ק שהרי מבואר בטור סי' תנ"א שבכיסוי שע"ג הככר עולה זיעה ונאסר המכסה. וע' </w:t>
      </w:r>
      <w:r w:rsidR="00DE0BA1" w:rsidRPr="00882F11">
        <w:rPr>
          <w:rFonts w:cs="Guttman Drogolin" w:hint="cs"/>
          <w:rtl/>
          <w:lang w:bidi="he-IL"/>
        </w:rPr>
        <w:t>מנח"י</w:t>
      </w:r>
      <w:r w:rsidR="00876DE6" w:rsidRPr="00882F11">
        <w:rPr>
          <w:rFonts w:cs="Guttman Drogolin" w:hint="cs"/>
          <w:rtl/>
          <w:lang w:bidi="he-IL"/>
        </w:rPr>
        <w:t xml:space="preserve"> </w:t>
      </w:r>
      <w:r w:rsidR="00DE0BA1" w:rsidRPr="00882F11">
        <w:rPr>
          <w:rFonts w:cs="Guttman Drogolin"/>
          <w:rtl/>
          <w:lang w:bidi="he-IL"/>
        </w:rPr>
        <w:t>(כלל ל"ה ל"ו ס"ק כ"א</w:t>
      </w:r>
      <w:r w:rsidR="00DE0BA1" w:rsidRPr="00882F11">
        <w:rPr>
          <w:rFonts w:cs="Guttman Drogolin" w:hint="cs"/>
          <w:rtl/>
          <w:lang w:bidi="he-IL"/>
        </w:rPr>
        <w:t>) מש"כ בזה</w:t>
      </w:r>
      <w:r w:rsidR="00DE0BA1" w:rsidRPr="00882F11">
        <w:rPr>
          <w:rStyle w:val="FootnoteReference"/>
          <w:rFonts w:cs="Guttman Drogolin"/>
          <w:rtl/>
          <w:lang w:bidi="he-IL"/>
        </w:rPr>
        <w:footnoteReference w:id="467"/>
      </w:r>
      <w:r w:rsidR="00DE0BA1" w:rsidRPr="00882F11">
        <w:rPr>
          <w:rFonts w:cs="Guttman Drogolin" w:hint="cs"/>
          <w:rtl/>
          <w:lang w:bidi="he-IL"/>
        </w:rPr>
        <w:t>.</w:t>
      </w:r>
      <w:r w:rsidR="00DE0BA1" w:rsidRPr="00882F11">
        <w:rPr>
          <w:rFonts w:cs="Guttman Drogolin"/>
          <w:rtl/>
          <w:lang w:bidi="he-IL"/>
        </w:rPr>
        <w:t xml:space="preserve"> </w:t>
      </w:r>
    </w:p>
    <w:p w:rsidR="0077547F" w:rsidRPr="00882F11" w:rsidRDefault="001155AF" w:rsidP="00DE0BA1">
      <w:pPr>
        <w:tabs>
          <w:tab w:val="right" w:pos="7497"/>
        </w:tabs>
        <w:bidi/>
        <w:jc w:val="both"/>
        <w:rPr>
          <w:rFonts w:cs="Guttman Drogolin"/>
          <w:rtl/>
          <w:lang w:bidi="he-IL"/>
        </w:rPr>
      </w:pPr>
      <w:r>
        <w:rPr>
          <w:rFonts w:cs="Guttman Drogolin"/>
          <w:rtl/>
          <w:lang w:bidi="he-IL"/>
        </w:rPr>
        <w:fldChar w:fldCharType="begin"/>
      </w:r>
      <w:r>
        <w:instrText xml:space="preserve"> XE "</w:instrText>
      </w:r>
      <w:r w:rsidRPr="00B24C36">
        <w:rPr>
          <w:rFonts w:hint="cs"/>
          <w:rtl/>
          <w:lang w:bidi="he-IL"/>
        </w:rPr>
        <w:instrText>טבילת כלים</w:instrText>
      </w:r>
      <w:r w:rsidRPr="00B24C36">
        <w:rPr>
          <w:rtl/>
        </w:rPr>
        <w:instrText>:</w:instrText>
      </w:r>
      <w:r w:rsidRPr="00B24C36">
        <w:rPr>
          <w:rFonts w:hint="cs"/>
          <w:rtl/>
          <w:lang w:bidi="he-IL"/>
        </w:rPr>
        <w:instrText>תנור ומיקרוגל</w:instrText>
      </w:r>
      <w:r>
        <w:instrText xml:space="preserve">" </w:instrText>
      </w:r>
      <w:r>
        <w:rPr>
          <w:rFonts w:cs="Guttman Drogolin"/>
          <w:rtl/>
          <w:lang w:bidi="he-IL"/>
        </w:rPr>
        <w:fldChar w:fldCharType="end"/>
      </w:r>
      <w:r w:rsidR="00DE0BA1" w:rsidRPr="00882F11">
        <w:rPr>
          <w:rFonts w:cs="Guttman Drogolin" w:hint="cs"/>
          <w:rtl/>
          <w:lang w:bidi="he-IL"/>
        </w:rPr>
        <w:t xml:space="preserve">ודנו הפוסקים אם תנור אפיי' או תנור מיקרוגל חייבים בטבילת כלים (ואפילו המחמירים אינם סוברים שיטבלנו כיון דלא שייך, רק שיביא טכנאי לפרק אותו באופן שצריך מעשה אומן כדי לתקנו וכה"ג אינו חייב כיון שהכלי נעשה ע"י ישראל). </w:t>
      </w:r>
      <w:r w:rsidR="00DE0BA1" w:rsidRPr="00882F11">
        <w:rPr>
          <w:rFonts w:cs="Guttman Drogolin" w:hint="cs"/>
          <w:rtl/>
          <w:lang w:bidi="he-IL"/>
        </w:rPr>
        <w:lastRenderedPageBreak/>
        <w:t xml:space="preserve">ואומרים משמי' דהגריש"א (ע' </w:t>
      </w:r>
      <w:r w:rsidR="00DE0BA1" w:rsidRPr="00882F11">
        <w:rPr>
          <w:rFonts w:cs="Guttman Drogolin"/>
          <w:rtl/>
          <w:lang w:bidi="he-IL"/>
        </w:rPr>
        <w:t>אשרי האיש יו"ד פרק ט' אות ל"א</w:t>
      </w:r>
      <w:r w:rsidR="00DE0BA1" w:rsidRPr="00882F11">
        <w:rPr>
          <w:rFonts w:cs="Guttman Drogolin" w:hint="cs"/>
          <w:rtl/>
          <w:lang w:bidi="he-IL"/>
        </w:rPr>
        <w:t xml:space="preserve">) שחייב בטבילת כלים כיון שזיעה עולה עד לגגו של התנור ודומה למכסה של כלי. אמנם מנהג רוב העולם אינו כן, וכן סבר הגרשז"א (ע' </w:t>
      </w:r>
      <w:r w:rsidR="00DE0BA1" w:rsidRPr="00882F11">
        <w:rPr>
          <w:rFonts w:cs="Guttman Drogolin"/>
          <w:rtl/>
          <w:lang w:bidi="he-IL"/>
        </w:rPr>
        <w:t>מנחת שלמה ח"ב סי' ס"ו אות ב', טבילת כלים פרק י"א הע' קנ"ד, שלמי מועד עמ' תקנ"ו</w:t>
      </w:r>
      <w:r w:rsidR="00DE0BA1" w:rsidRPr="00882F11">
        <w:rPr>
          <w:rFonts w:cs="Guttman Drogolin" w:hint="cs"/>
          <w:rtl/>
          <w:lang w:bidi="he-IL"/>
        </w:rPr>
        <w:t>). ולכאורה דברי הגריש"א קשים ביותר, דהא אם תנור חייב גם מכסה של לחם חייב, שלכאורה לא למדנו שיש זיעה בתנורים אלא משם. ואפילו כשתמצא לומר שבולע הזיעה, מ"מ כיון שאין תכליתו לבשל ע"י בליעת הזיעה, דהא אין צורת הבישול בזה שהזיעה עולה ויורד כמו במכסה של סיר, רק שהוא נבלע דרך מקרה, אין לחייבו בטבילת כלים, והוא כמו השפופרת של המשפכות המוזכר בש"ך ס"ק ט"ו.</w:t>
      </w:r>
      <w:r w:rsidR="009A107E" w:rsidRPr="00882F11">
        <w:rPr>
          <w:rFonts w:cs="Guttman Drogolin" w:hint="cs"/>
          <w:rtl/>
          <w:lang w:bidi="he-IL"/>
        </w:rPr>
        <w:t xml:space="preserve"> </w:t>
      </w:r>
      <w:r w:rsidR="00985C70" w:rsidRPr="00882F11">
        <w:rPr>
          <w:rFonts w:cs="Guttman Drogolin" w:hint="cs"/>
          <w:rtl/>
          <w:lang w:bidi="he-IL"/>
        </w:rPr>
        <w:t xml:space="preserve"> </w:t>
      </w:r>
    </w:p>
    <w:p w:rsidR="008513B2" w:rsidRPr="00C53875" w:rsidRDefault="008513B2" w:rsidP="008513B2">
      <w:pPr>
        <w:keepNext/>
        <w:tabs>
          <w:tab w:val="right" w:pos="7497"/>
        </w:tabs>
        <w:bidi/>
        <w:jc w:val="both"/>
        <w:rPr>
          <w:rFonts w:cs="Guttman Drogolin"/>
          <w:b/>
          <w:bCs/>
          <w:sz w:val="28"/>
          <w:szCs w:val="28"/>
          <w:rtl/>
          <w:lang w:bidi="he-IL"/>
        </w:rPr>
      </w:pPr>
      <w:r w:rsidRPr="00C53875">
        <w:rPr>
          <w:rFonts w:cs="Guttman Drogolin" w:hint="cs"/>
          <w:b/>
          <w:bCs/>
          <w:sz w:val="28"/>
          <w:szCs w:val="28"/>
          <w:rtl/>
          <w:lang w:bidi="he-IL"/>
        </w:rPr>
        <w:t>מילואים</w:t>
      </w:r>
    </w:p>
    <w:p w:rsidR="008513B2" w:rsidRPr="00882F11" w:rsidRDefault="008513B2" w:rsidP="008513B2">
      <w:pPr>
        <w:tabs>
          <w:tab w:val="right" w:pos="7497"/>
        </w:tabs>
        <w:bidi/>
        <w:jc w:val="both"/>
        <w:rPr>
          <w:rFonts w:cs="Guttman Drogolin"/>
          <w:sz w:val="24"/>
          <w:szCs w:val="24"/>
          <w:rtl/>
          <w:lang w:bidi="he-IL"/>
        </w:rPr>
      </w:pPr>
      <w:r w:rsidRPr="00882F11">
        <w:rPr>
          <w:rFonts w:cs="Guttman Drogolin" w:hint="cs"/>
          <w:sz w:val="24"/>
          <w:szCs w:val="24"/>
          <w:rtl/>
          <w:lang w:bidi="he-IL"/>
        </w:rPr>
        <w:t xml:space="preserve">לענין משפכות שבסע' ז' מהו </w:t>
      </w:r>
      <w:r w:rsidRPr="00882F11">
        <w:rPr>
          <w:rFonts w:cs="Guttman Drogolin"/>
          <w:sz w:val="24"/>
          <w:szCs w:val="24"/>
          <w:rtl/>
          <w:lang w:bidi="he-IL"/>
        </w:rPr>
        <w:t>–</w:t>
      </w:r>
      <w:r w:rsidRPr="00882F11">
        <w:rPr>
          <w:rFonts w:cs="Guttman Drogolin" w:hint="cs"/>
          <w:sz w:val="24"/>
          <w:szCs w:val="24"/>
          <w:rtl/>
          <w:lang w:bidi="he-IL"/>
        </w:rPr>
        <w:t xml:space="preserve"> ע' מתני' ע"ב ע"א ושם בפירש"י. ובאנגלית: </w:t>
      </w:r>
      <w:r w:rsidRPr="00882F11">
        <w:rPr>
          <w:rFonts w:cs="Guttman Drogolin"/>
          <w:sz w:val="24"/>
          <w:szCs w:val="24"/>
          <w:lang w:bidi="he-IL"/>
        </w:rPr>
        <w:t>funnel</w:t>
      </w:r>
      <w:r w:rsidRPr="00882F11">
        <w:rPr>
          <w:rFonts w:cs="Guttman Drogolin" w:hint="cs"/>
          <w:sz w:val="24"/>
          <w:szCs w:val="24"/>
          <w:rtl/>
          <w:lang w:bidi="he-IL"/>
        </w:rPr>
        <w:t xml:space="preserve">  </w:t>
      </w:r>
    </w:p>
    <w:p w:rsidR="005E3FB8" w:rsidRPr="00882F11" w:rsidRDefault="005E3FB8" w:rsidP="00263098">
      <w:pPr>
        <w:tabs>
          <w:tab w:val="right" w:pos="7497"/>
        </w:tabs>
        <w:bidi/>
        <w:jc w:val="both"/>
        <w:rPr>
          <w:rFonts w:cs="Guttman Drogolin"/>
          <w:sz w:val="18"/>
          <w:szCs w:val="18"/>
          <w:rtl/>
          <w:lang w:bidi="he-IL"/>
        </w:rPr>
        <w:sectPr w:rsidR="005E3FB8" w:rsidRPr="00882F11" w:rsidSect="00153315">
          <w:type w:val="continuous"/>
          <w:pgSz w:w="11907" w:h="16839" w:code="9"/>
          <w:pgMar w:top="1440" w:right="1440" w:bottom="1440" w:left="1440" w:header="720" w:footer="720" w:gutter="0"/>
          <w:cols w:num="2" w:space="720"/>
          <w:bidi/>
          <w:docGrid w:linePitch="360"/>
        </w:sectPr>
      </w:pPr>
    </w:p>
    <w:p w:rsidR="007F43A8" w:rsidRPr="00153315" w:rsidRDefault="007F43A8" w:rsidP="007F43A8">
      <w:pPr>
        <w:keepNext/>
        <w:tabs>
          <w:tab w:val="left" w:pos="3818"/>
          <w:tab w:val="center" w:pos="4680"/>
        </w:tabs>
        <w:bidi/>
        <w:jc w:val="center"/>
        <w:rPr>
          <w:rFonts w:cs="Guttman Drogolin"/>
          <w:b/>
          <w:bCs/>
          <w:sz w:val="48"/>
          <w:szCs w:val="48"/>
          <w:rtl/>
          <w:lang w:bidi="he-IL"/>
        </w:rPr>
      </w:pPr>
      <w:r w:rsidRPr="00153315">
        <w:rPr>
          <w:rFonts w:cs="Guttman Drogolin" w:hint="cs"/>
          <w:b/>
          <w:bCs/>
          <w:sz w:val="48"/>
          <w:szCs w:val="48"/>
          <w:rtl/>
          <w:lang w:bidi="he-IL"/>
        </w:rPr>
        <w:lastRenderedPageBreak/>
        <w:t>שיעור קכ"ב</w:t>
      </w:r>
    </w:p>
    <w:p w:rsidR="00153315" w:rsidRDefault="00153315" w:rsidP="007F43A8">
      <w:pPr>
        <w:pStyle w:val="Heading1"/>
        <w:bidi/>
        <w:spacing w:before="0" w:line="360" w:lineRule="auto"/>
        <w:jc w:val="center"/>
        <w:rPr>
          <w:rFonts w:cs="Guttman Drogolin"/>
          <w:color w:val="auto"/>
          <w:sz w:val="24"/>
          <w:szCs w:val="24"/>
          <w:u w:val="single"/>
          <w:rtl/>
          <w:lang w:bidi="he-IL"/>
        </w:rPr>
        <w:sectPr w:rsidR="00153315" w:rsidSect="00153315">
          <w:pgSz w:w="11907" w:h="16839" w:code="9"/>
          <w:pgMar w:top="1440" w:right="1440" w:bottom="1440" w:left="1440" w:header="720" w:footer="720" w:gutter="0"/>
          <w:cols w:space="720"/>
          <w:bidi/>
          <w:docGrid w:linePitch="360"/>
        </w:sectPr>
      </w:pPr>
    </w:p>
    <w:p w:rsidR="007F43A8" w:rsidRPr="00882F11" w:rsidRDefault="007F43A8" w:rsidP="007F43A8">
      <w:pPr>
        <w:pStyle w:val="Heading1"/>
        <w:bidi/>
        <w:spacing w:before="0" w:line="360" w:lineRule="auto"/>
        <w:jc w:val="center"/>
        <w:rPr>
          <w:rFonts w:cs="Guttman Drogolin"/>
          <w:color w:val="auto"/>
          <w:sz w:val="24"/>
          <w:szCs w:val="24"/>
          <w:u w:val="single"/>
          <w:rtl/>
          <w:lang w:bidi="he-IL"/>
        </w:rPr>
      </w:pPr>
      <w:bookmarkStart w:id="479" w:name="_Toc496175724"/>
      <w:r w:rsidRPr="00882F11">
        <w:rPr>
          <w:rFonts w:cs="Guttman Drogolin" w:hint="cs"/>
          <w:color w:val="auto"/>
          <w:sz w:val="24"/>
          <w:szCs w:val="24"/>
          <w:u w:val="single"/>
          <w:rtl/>
          <w:lang w:bidi="he-IL"/>
        </w:rPr>
        <w:lastRenderedPageBreak/>
        <w:t>כלי קוניא</w:t>
      </w:r>
      <w:bookmarkEnd w:id="479"/>
    </w:p>
    <w:p w:rsidR="00A26606" w:rsidRPr="00882F11" w:rsidRDefault="001155AF" w:rsidP="00CC084B">
      <w:pPr>
        <w:tabs>
          <w:tab w:val="right" w:pos="7497"/>
        </w:tabs>
        <w:bidi/>
        <w:jc w:val="both"/>
        <w:rPr>
          <w:rFonts w:cs="Guttman Drogolin"/>
          <w:rtl/>
          <w:lang w:bidi="he-IL"/>
        </w:rPr>
      </w:pPr>
      <w:r>
        <w:rPr>
          <w:rFonts w:cs="Guttman Drogolin"/>
          <w:rtl/>
          <w:lang w:bidi="he-IL"/>
        </w:rPr>
        <w:fldChar w:fldCharType="begin"/>
      </w:r>
      <w:r>
        <w:instrText xml:space="preserve"> XE "</w:instrText>
      </w:r>
      <w:r w:rsidRPr="0004565F">
        <w:rPr>
          <w:rFonts w:hint="cs"/>
          <w:rtl/>
          <w:lang w:bidi="he-IL"/>
        </w:rPr>
        <w:instrText>טבילת כלים</w:instrText>
      </w:r>
      <w:r w:rsidRPr="0004565F">
        <w:rPr>
          <w:rtl/>
        </w:rPr>
        <w:instrText>:</w:instrText>
      </w:r>
      <w:r w:rsidRPr="0004565F">
        <w:rPr>
          <w:rFonts w:hint="cs"/>
          <w:rtl/>
          <w:lang w:bidi="he-IL"/>
        </w:rPr>
        <w:instrText>כלי חרס המצופה מתכת</w:instrText>
      </w:r>
      <w:r>
        <w:instrText xml:space="preserve">" </w:instrText>
      </w:r>
      <w:r>
        <w:rPr>
          <w:rFonts w:cs="Guttman Drogolin"/>
          <w:rtl/>
          <w:lang w:bidi="he-IL"/>
        </w:rPr>
        <w:fldChar w:fldCharType="end"/>
      </w:r>
      <w:r w:rsidR="001D4D22" w:rsidRPr="00882F11">
        <w:rPr>
          <w:rFonts w:cs="Guttman Drogolin" w:hint="cs"/>
          <w:rtl/>
          <w:lang w:bidi="he-IL"/>
        </w:rPr>
        <w:t>מסקנת הגמ' היא דכלי קוניא, ר"ל כלי חרס המצופים במתכות</w:t>
      </w:r>
      <w:r w:rsidR="00AD09AF" w:rsidRPr="00882F11">
        <w:rPr>
          <w:rFonts w:cs="Guttman Drogolin" w:hint="cs"/>
          <w:rtl/>
          <w:lang w:bidi="he-IL"/>
        </w:rPr>
        <w:t xml:space="preserve"> (והש"ך הביא מאו"ה דהה"נ מצופים זכוכית)</w:t>
      </w:r>
      <w:r w:rsidR="001D4D22" w:rsidRPr="00882F11">
        <w:rPr>
          <w:rFonts w:cs="Guttman Drogolin" w:hint="cs"/>
          <w:rtl/>
          <w:lang w:bidi="he-IL"/>
        </w:rPr>
        <w:t xml:space="preserve">, חייבים בטבילת כלים. ומתוס' מבואר דהנ"מ במצופה בפנים דכלי סעודה נאמרים בפרשה והיינו שמשתמשים בהם. ומהאי טעמא כתבו התוס' שאפילו יש מתכות שמעמיד את הכלי אינו חייב בטבילה, שאע"פ שמעמיד אינו משתמש דרך המתכת. </w:t>
      </w:r>
      <w:r w:rsidR="00834C7B" w:rsidRPr="00882F11">
        <w:rPr>
          <w:rFonts w:cs="Guttman Drogolin" w:hint="cs"/>
          <w:rtl/>
          <w:lang w:bidi="he-IL"/>
        </w:rPr>
        <w:t xml:space="preserve">והטור הביא שיטה זו וסיים ויש מחמירים להטבילו בלא ברכה. </w:t>
      </w:r>
      <w:r w:rsidR="00CC084B" w:rsidRPr="00882F11">
        <w:rPr>
          <w:rFonts w:cs="Guttman Drogolin" w:hint="cs"/>
          <w:rtl/>
          <w:lang w:bidi="he-IL"/>
        </w:rPr>
        <w:t>ובב"י מבואר שיש בזה באמת כמה שיטות. חדא שיטת התוס' שהכל תלוי במצופה מבפנים, ועוד שיטת הר"ן דבעינן מצופה מבפנים ומבחוץ, ועוד שיטת המרדכי בשם אבי עזרי שאו מבנים או מבחוץ חייב. ולאחר מכן הביא מ</w:t>
      </w:r>
      <w:r w:rsidR="00532874" w:rsidRPr="00882F11">
        <w:rPr>
          <w:rFonts w:cs="Guttman Drogolin" w:hint="cs"/>
          <w:rtl/>
          <w:lang w:bidi="he-IL"/>
        </w:rPr>
        <w:t xml:space="preserve">הגהות </w:t>
      </w:r>
      <w:r w:rsidR="00CC084B" w:rsidRPr="00882F11">
        <w:rPr>
          <w:rFonts w:cs="Guttman Drogolin" w:hint="cs"/>
          <w:rtl/>
          <w:lang w:bidi="he-IL"/>
        </w:rPr>
        <w:t xml:space="preserve">סמ"ק שנראה ממנו דסבר שמבחוץ ודאי פטור אבל אפילו מבפנים בלבד יטבלנו בלא ברכה כיון שיתכן שאינו אלא לנוי. </w:t>
      </w:r>
      <w:r w:rsidR="00C60F75" w:rsidRPr="00882F11">
        <w:rPr>
          <w:rFonts w:cs="Guttman Drogolin" w:hint="cs"/>
          <w:rtl/>
          <w:lang w:bidi="he-IL"/>
        </w:rPr>
        <w:t>ולכאורה ר"ל שאם הוא מבחוץ בלבד אפילו אם אינו לנוי מ"מ אינו חייב בטבילה, ולכאורה זהו כשיטת התוס' דרק אם המתכת הוא במקום אוכל חייב בטבילה. אלא שגם בזה לא מחייב הסמ"ק אא"כ הוא חלק חשוב של הכלי, אבל נוי אפילו במקום תשמיש אינו מחייב בטבילת כלים.</w:t>
      </w:r>
      <w:r w:rsidR="00532874" w:rsidRPr="00882F11">
        <w:rPr>
          <w:rFonts w:cs="Guttman Drogolin" w:hint="cs"/>
          <w:rtl/>
          <w:lang w:bidi="he-IL"/>
        </w:rPr>
        <w:t xml:space="preserve"> ומ"מ אם הוא בפנים לנוי משמע מהגהות סמ"ק שיש מ"מ צד לחייב אותו בטבילה, ולכאורה היינו משום שמספקא לי' אם לנוי הוי טעם לפטור או לא</w:t>
      </w:r>
      <w:r w:rsidR="00532874" w:rsidRPr="00882F11">
        <w:rPr>
          <w:rStyle w:val="FootnoteReference"/>
          <w:rFonts w:cs="Guttman Drogolin"/>
          <w:rtl/>
          <w:lang w:bidi="he-IL"/>
        </w:rPr>
        <w:footnoteReference w:id="468"/>
      </w:r>
      <w:r w:rsidR="00532874" w:rsidRPr="00882F11">
        <w:rPr>
          <w:rFonts w:cs="Guttman Drogolin" w:hint="cs"/>
          <w:rtl/>
          <w:lang w:bidi="he-IL"/>
        </w:rPr>
        <w:t>, כיון שעכ"פ משתמש דרך המתכת.</w:t>
      </w:r>
      <w:r w:rsidR="00C60F75" w:rsidRPr="00882F11">
        <w:rPr>
          <w:rFonts w:cs="Guttman Drogolin" w:hint="cs"/>
          <w:rtl/>
          <w:lang w:bidi="he-IL"/>
        </w:rPr>
        <w:t xml:space="preserve"> </w:t>
      </w:r>
    </w:p>
    <w:p w:rsidR="007F1D20" w:rsidRPr="00882F11" w:rsidRDefault="00A26606" w:rsidP="008F74DA">
      <w:pPr>
        <w:tabs>
          <w:tab w:val="right" w:pos="7497"/>
        </w:tabs>
        <w:bidi/>
        <w:jc w:val="both"/>
        <w:rPr>
          <w:rFonts w:cs="Guttman Drogolin"/>
          <w:rtl/>
          <w:lang w:bidi="he-IL"/>
        </w:rPr>
      </w:pPr>
      <w:r w:rsidRPr="00882F11">
        <w:rPr>
          <w:rFonts w:cs="Guttman Drogolin" w:hint="cs"/>
          <w:rtl/>
          <w:lang w:bidi="he-IL"/>
        </w:rPr>
        <w:t>ועוד הביא הב"י שיטת מהר"ם רוטנברג שחולק על ששיטת התוס' וסבר דאזלינן בתר מעמיד לענין טבילת כלים.</w:t>
      </w:r>
      <w:r w:rsidR="007F1D20" w:rsidRPr="00882F11">
        <w:rPr>
          <w:rFonts w:cs="Guttman Drogolin" w:hint="cs"/>
          <w:rtl/>
          <w:lang w:bidi="he-IL"/>
        </w:rPr>
        <w:t xml:space="preserve"> ונראה לבאר בזה, דהנה לכאורה הביאור בשיטת המהר"ם שהענין של מתכות אינו אלא לענין לקבוע איזה חומר חייב בטבילת כלים, ולכן אם יש כלי סעודה של מתכות חייב בטבילת כלים, ואין תנאי שיהא משמש דרך </w:t>
      </w:r>
      <w:r w:rsidR="007F1D20" w:rsidRPr="00882F11">
        <w:rPr>
          <w:rFonts w:cs="Guttman Drogolin" w:hint="cs"/>
          <w:rtl/>
          <w:lang w:bidi="he-IL"/>
        </w:rPr>
        <w:lastRenderedPageBreak/>
        <w:t>המתכות (ודלא כמש"כ התוס'). אבל שיטת אבי עזרי הנ"ל אחרת, והוא שיש חיוב טבילת כלים בזה לבד שיש עליו מתכות. ונפק"מ לכסף בחוץ שאינו מעמיד את הכלי, שלמהר"ם יהא פטור, אבל משמעות האבי עזר</w:t>
      </w:r>
      <w:r w:rsidR="008F74DA" w:rsidRPr="00882F11">
        <w:rPr>
          <w:rFonts w:cs="Guttman Drogolin" w:hint="cs"/>
          <w:rtl/>
          <w:lang w:bidi="he-IL"/>
        </w:rPr>
        <w:t>י</w:t>
      </w:r>
      <w:r w:rsidR="007F1D20" w:rsidRPr="00882F11">
        <w:rPr>
          <w:rFonts w:cs="Guttman Drogolin" w:hint="cs"/>
          <w:rtl/>
          <w:lang w:bidi="he-IL"/>
        </w:rPr>
        <w:t xml:space="preserve"> שגם כה"ג חייב. </w:t>
      </w:r>
    </w:p>
    <w:p w:rsidR="00581FF4" w:rsidRPr="00882F11" w:rsidRDefault="00581FF4" w:rsidP="005B0F4B">
      <w:pPr>
        <w:tabs>
          <w:tab w:val="right" w:pos="7497"/>
        </w:tabs>
        <w:bidi/>
        <w:jc w:val="both"/>
        <w:rPr>
          <w:rFonts w:cs="Guttman Drogolin"/>
          <w:rtl/>
          <w:lang w:bidi="he-IL"/>
        </w:rPr>
      </w:pPr>
      <w:r w:rsidRPr="00882F11">
        <w:rPr>
          <w:rFonts w:cs="Guttman Drogolin" w:hint="cs"/>
          <w:rtl/>
          <w:lang w:bidi="he-IL"/>
        </w:rPr>
        <w:t xml:space="preserve">והסיק דמש"כ הטור שיש להטבילו בלא ברכה קאי אתרוייהו, בין אמעמיד של עץ והוא של כסף, ובין אמעמיד של כסף והוא של עץ. והיינו משום דאי אזלינן בתר מעמיד והמעמיד של עץ אין כאן כלי שחייב </w:t>
      </w:r>
      <w:r w:rsidR="00483922" w:rsidRPr="00882F11">
        <w:rPr>
          <w:rFonts w:cs="Guttman Drogolin" w:hint="cs"/>
          <w:rtl/>
          <w:lang w:bidi="he-IL"/>
        </w:rPr>
        <w:t>בטבילת כלים. ולכאורה דברי הב"י מ</w:t>
      </w:r>
      <w:r w:rsidRPr="00882F11">
        <w:rPr>
          <w:rFonts w:cs="Guttman Drogolin" w:hint="cs"/>
          <w:rtl/>
          <w:lang w:bidi="he-IL"/>
        </w:rPr>
        <w:t xml:space="preserve">רפסין איגרי, דנהי נמי דאזלינן בתר מעמיד, הנ"מ כדי שיהא חשוב כלי העשוי מחומר של המעמיד נמי, אבל איך יתכן שעיקר הכלי מכסף וכיון שיש מעמיד של עץ יהא פטור. וראיתי בשם קהילת יעקב ר"ה </w:t>
      </w:r>
      <w:r w:rsidR="005B0F4B" w:rsidRPr="00882F11">
        <w:rPr>
          <w:rFonts w:cs="Guttman Drogolin" w:hint="cs"/>
          <w:rtl/>
          <w:lang w:bidi="he-IL"/>
        </w:rPr>
        <w:t xml:space="preserve"> סי' י"ז בשם מרכבת המשנה דכיון שעל ידי המעמיד נגמר הכלי הכל הולך אחריו. ובזה תהא מובן גם לשון הגמ' שלפנינו "כתחילתו" ו"כסופו". </w:t>
      </w:r>
      <w:r w:rsidRPr="00882F11">
        <w:rPr>
          <w:rFonts w:cs="Guttman Drogolin" w:hint="cs"/>
          <w:rtl/>
          <w:lang w:bidi="he-IL"/>
        </w:rPr>
        <w:t>ו</w:t>
      </w:r>
      <w:r w:rsidR="005B0F4B" w:rsidRPr="00882F11">
        <w:rPr>
          <w:rFonts w:cs="Guttman Drogolin" w:hint="cs"/>
          <w:rtl/>
          <w:lang w:bidi="he-IL"/>
        </w:rPr>
        <w:t>ה</w:t>
      </w:r>
      <w:r w:rsidRPr="00882F11">
        <w:rPr>
          <w:rFonts w:cs="Guttman Drogolin" w:hint="cs"/>
          <w:rtl/>
          <w:lang w:bidi="he-IL"/>
        </w:rPr>
        <w:t xml:space="preserve">חזו"א כלים סי' ג' אות ה' </w:t>
      </w:r>
      <w:r w:rsidR="005B0F4B" w:rsidRPr="00882F11">
        <w:rPr>
          <w:rFonts w:cs="Guttman Drogolin" w:hint="cs"/>
          <w:rtl/>
          <w:lang w:bidi="he-IL"/>
        </w:rPr>
        <w:t>חלק וסבר שאין המעמיד מבטל עיקר הכלי</w:t>
      </w:r>
      <w:r w:rsidRPr="00882F11">
        <w:rPr>
          <w:rFonts w:cs="Guttman Drogolin" w:hint="cs"/>
          <w:rtl/>
          <w:lang w:bidi="he-IL"/>
        </w:rPr>
        <w:t>.</w:t>
      </w:r>
    </w:p>
    <w:p w:rsidR="00293CD3" w:rsidRPr="00882F11" w:rsidRDefault="00F333B0" w:rsidP="00293CD3">
      <w:pPr>
        <w:tabs>
          <w:tab w:val="right" w:pos="7497"/>
        </w:tabs>
        <w:bidi/>
        <w:jc w:val="both"/>
        <w:rPr>
          <w:rFonts w:cs="Guttman Drogolin"/>
          <w:rtl/>
          <w:lang w:bidi="he-IL"/>
        </w:rPr>
      </w:pPr>
      <w:r>
        <w:rPr>
          <w:rFonts w:cs="Guttman Drogolin"/>
          <w:rtl/>
          <w:lang w:bidi="he-IL"/>
        </w:rPr>
        <w:fldChar w:fldCharType="begin"/>
      </w:r>
      <w:r>
        <w:instrText xml:space="preserve"> XE "</w:instrText>
      </w:r>
      <w:r w:rsidRPr="0004565F">
        <w:rPr>
          <w:rFonts w:hint="cs"/>
          <w:rtl/>
          <w:lang w:bidi="he-IL"/>
        </w:rPr>
        <w:instrText>טבילת כלים</w:instrText>
      </w:r>
      <w:r w:rsidRPr="0004565F">
        <w:rPr>
          <w:rtl/>
        </w:rPr>
        <w:instrText>:</w:instrText>
      </w:r>
      <w:r w:rsidRPr="0004565F">
        <w:rPr>
          <w:rFonts w:hint="cs"/>
          <w:rtl/>
          <w:lang w:bidi="he-IL"/>
        </w:rPr>
        <w:instrText>כלי חרס המצופה מתכת</w:instrText>
      </w:r>
      <w:r>
        <w:rPr>
          <w:rFonts w:hint="cs"/>
          <w:rtl/>
          <w:lang w:bidi="he-IL"/>
        </w:rPr>
        <w:instrText xml:space="preserve"> - אם חיובם מדאורייתא</w:instrText>
      </w:r>
      <w:r>
        <w:instrText xml:space="preserve">" </w:instrText>
      </w:r>
      <w:r>
        <w:rPr>
          <w:rFonts w:cs="Guttman Drogolin"/>
          <w:rtl/>
          <w:lang w:bidi="he-IL"/>
        </w:rPr>
        <w:fldChar w:fldCharType="end"/>
      </w:r>
      <w:r w:rsidR="00293CD3" w:rsidRPr="00882F11">
        <w:rPr>
          <w:rFonts w:cs="Guttman Drogolin" w:hint="cs"/>
          <w:rtl/>
          <w:lang w:bidi="he-IL"/>
        </w:rPr>
        <w:t xml:space="preserve">ונראה לבאר בזה עוד, דהנה הקרי"ס ובינת אדם (מובא בפת"ש ס"ק ה') ועוד כמה אחרונים נוקטים שכלי קוניא שחייבים אינו אלא מדרבנן. ולולא דבריהם הי' אפשר לומר שהוא חיוב מדאורייתא, והיינו שהדין כלי סעודה מחייב שאם משתמש דרך המתכת חייב. ומ"מ אם אין החיוב אלא מדרבנן, הא פשוט שאין הציפוי יכול לפטור אותו מטבילת כלים, דהא מדינא דאורייתא אין הציפוי מחייב. וא"כ צ"ע איך פטר הב"י משום שהמעמיד של עץ. והפשוט בזה דמעמיד לחוד וציפוי לחוד, שאף א' לא אמר שהכל הולך אחר הציפוי, רק אחר המעמיד. וא"כ למאן דמחייב בטבילה משום שהכל הולך אחר המעיד, ע"כ דינא דאורייתא הוא. אמנם יש לומר עוד שאפילו אם המעמיד אינו מחייב מדאורייתא, מ"מ הרי הוא פוטר מדאורייתא. והטעם משום דלעולם כדי להתחייב </w:t>
      </w:r>
      <w:r w:rsidR="00293CD3" w:rsidRPr="00882F11">
        <w:rPr>
          <w:rFonts w:cs="Guttman Drogolin" w:hint="cs"/>
          <w:rtl/>
          <w:lang w:bidi="he-IL"/>
        </w:rPr>
        <w:lastRenderedPageBreak/>
        <w:t xml:space="preserve">בטבילת כלים בעינן תרתי, שיהא עיקר הכלי של מתכות, וכן שיהא המתכת מעמיד את עצמו. אבל כל זמן שחסר א' מהם אינו חייב בטבילת כלים. ויל"ע בזה.    </w:t>
      </w:r>
    </w:p>
    <w:p w:rsidR="00452A92" w:rsidRPr="00882F11" w:rsidRDefault="00581FF4" w:rsidP="00483922">
      <w:pPr>
        <w:tabs>
          <w:tab w:val="right" w:pos="7497"/>
        </w:tabs>
        <w:bidi/>
        <w:jc w:val="both"/>
        <w:rPr>
          <w:rFonts w:cs="Guttman Drogolin"/>
          <w:rtl/>
          <w:lang w:bidi="he-IL"/>
        </w:rPr>
      </w:pPr>
      <w:r w:rsidRPr="00882F11">
        <w:rPr>
          <w:rFonts w:cs="Guttman Drogolin" w:hint="cs"/>
          <w:rtl/>
          <w:lang w:bidi="he-IL"/>
        </w:rPr>
        <w:t xml:space="preserve">בשו"ע </w:t>
      </w:r>
      <w:r w:rsidR="002443EF" w:rsidRPr="00882F11">
        <w:rPr>
          <w:rFonts w:cs="Guttman Drogolin" w:hint="cs"/>
          <w:rtl/>
          <w:lang w:bidi="he-IL"/>
        </w:rPr>
        <w:t xml:space="preserve">בסע' א' כתב שכלי המצופה בפנים בלבד חייב בטבילת כלים, ומשמע דהיינו </w:t>
      </w:r>
      <w:r w:rsidR="00AD09AF" w:rsidRPr="00882F11">
        <w:rPr>
          <w:rFonts w:cs="Guttman Drogolin" w:hint="cs"/>
          <w:rtl/>
          <w:lang w:bidi="he-IL"/>
        </w:rPr>
        <w:t xml:space="preserve">בברכה. והרמ"א כתב שיש לטובלו בלא ברכה. </w:t>
      </w:r>
      <w:r w:rsidR="008F74DA" w:rsidRPr="00882F11">
        <w:rPr>
          <w:rFonts w:cs="Guttman Drogolin" w:hint="cs"/>
          <w:rtl/>
          <w:lang w:bidi="he-IL"/>
        </w:rPr>
        <w:t>והיינו שחשש לשיטת הר"ן שאם אינו מצופה שם מבחוץ אינו צריך טביילה, הט"ז והגר"א פירשו דהיינו משום שסובר שאם הוא לנוי אין צריך טבילה, והיינו ע"כ משום שסוברים שמב</w:t>
      </w:r>
      <w:r w:rsidR="00483922" w:rsidRPr="00882F11">
        <w:rPr>
          <w:rFonts w:cs="Guttman Drogolin" w:hint="cs"/>
          <w:rtl/>
          <w:lang w:bidi="he-IL"/>
        </w:rPr>
        <w:t>פ</w:t>
      </w:r>
      <w:r w:rsidR="008F74DA" w:rsidRPr="00882F11">
        <w:rPr>
          <w:rFonts w:cs="Guttman Drogolin" w:hint="cs"/>
          <w:rtl/>
          <w:lang w:bidi="he-IL"/>
        </w:rPr>
        <w:t xml:space="preserve">נים ולא מבחוץ הפשטות היא שהוא לנוי בלבד. </w:t>
      </w:r>
      <w:r w:rsidR="00452A92" w:rsidRPr="00882F11">
        <w:rPr>
          <w:rFonts w:cs="Guttman Drogolin" w:hint="cs"/>
          <w:rtl/>
          <w:lang w:bidi="he-IL"/>
        </w:rPr>
        <w:t>ויוצא לכאו</w:t>
      </w:r>
      <w:r w:rsidR="00483922" w:rsidRPr="00882F11">
        <w:rPr>
          <w:rFonts w:cs="Guttman Drogolin" w:hint="cs"/>
          <w:rtl/>
          <w:lang w:bidi="he-IL"/>
        </w:rPr>
        <w:t>רה שאם ידעינן שהציפוי הפנימי אינ</w:t>
      </w:r>
      <w:r w:rsidR="00452A92" w:rsidRPr="00882F11">
        <w:rPr>
          <w:rFonts w:cs="Guttman Drogolin" w:hint="cs"/>
          <w:rtl/>
          <w:lang w:bidi="he-IL"/>
        </w:rPr>
        <w:t xml:space="preserve">ו לנוי רק לשימוש הכלי ודאי יתחייב בברכה אפילו שאינו מצופה מבחוץ. ואמנם כך יוצא מאו"ה, אבל בר"ן הדברים סתומים. </w:t>
      </w:r>
    </w:p>
    <w:p w:rsidR="00AD09AF" w:rsidRPr="00882F11" w:rsidRDefault="00AD09AF" w:rsidP="00452A92">
      <w:pPr>
        <w:tabs>
          <w:tab w:val="right" w:pos="7497"/>
        </w:tabs>
        <w:bidi/>
        <w:jc w:val="both"/>
        <w:rPr>
          <w:rFonts w:cs="Guttman Drogolin"/>
          <w:rtl/>
          <w:lang w:bidi="he-IL"/>
        </w:rPr>
      </w:pPr>
      <w:r w:rsidRPr="00882F11">
        <w:rPr>
          <w:rFonts w:cs="Guttman Drogolin" w:hint="cs"/>
          <w:rtl/>
          <w:lang w:bidi="he-IL"/>
        </w:rPr>
        <w:t xml:space="preserve">והש"ך כתב על זה שיש להטבילו עם כלי החייב בטבילה, ולכאורה ר"ל שיותר קרוב לומר שעיקר הדין שחייב בטבילה בברכה, ולכן נהי נמי שמחמירים לא לברך כדי לחשוש לשיטת הר"ן הפוטר, אבל חומרא דאתי לידי קולא הוא, דהא מבטל עיקר הדין שחייב לברך. ולכן כתב שהטביל על כלי אחר כדי שיוכל לברך ולא יצא מזה קולא. וציין לדברי האו"ה, ושם מבואר (כלל נ"ח אות פ"ב) הטעם שחשש לזה משום שיש מהציפוים שבפנים העשוים לתשמיש ולא לנוי, ולכן </w:t>
      </w:r>
      <w:r w:rsidR="008F74DA" w:rsidRPr="00882F11">
        <w:rPr>
          <w:rFonts w:cs="Guttman Drogolin" w:hint="cs"/>
          <w:rtl/>
          <w:lang w:bidi="he-IL"/>
        </w:rPr>
        <w:t>יש לחשש ש</w:t>
      </w:r>
      <w:r w:rsidRPr="00882F11">
        <w:rPr>
          <w:rFonts w:cs="Guttman Drogolin" w:hint="cs"/>
          <w:rtl/>
          <w:lang w:bidi="he-IL"/>
        </w:rPr>
        <w:t>חייבים מעיקר הדין.</w:t>
      </w:r>
      <w:r w:rsidR="008F74DA" w:rsidRPr="00882F11">
        <w:rPr>
          <w:rFonts w:cs="Guttman Drogolin" w:hint="cs"/>
          <w:rtl/>
          <w:lang w:bidi="he-IL"/>
        </w:rPr>
        <w:t xml:space="preserve"> ועוד הביא שם הש"ך השיטה הסוברת שאפילו מחופה מבחוץ חייב בטבילה, ומשמע שאין זו שיטת הרמ"א, אבל הפר"ח למד שזהו ג"כ כוונת הרמ"א מדכתב "אפילו בפנים יטבול בלא ברכה" דמשמע דלא רק מבחוץ אלא גם מבנים. ובחכמ"א פסק שמבחוץ בלבד אין צריך טבילה. </w:t>
      </w:r>
      <w:r w:rsidR="00452A92" w:rsidRPr="00882F11">
        <w:rPr>
          <w:rFonts w:cs="Guttman Drogolin" w:hint="cs"/>
          <w:rtl/>
          <w:lang w:bidi="he-IL"/>
        </w:rPr>
        <w:t>ונראה שאם אינו אלא לנוי בעלמא יש לפטור, דיתכן שגם האבי עזרי אינו מחייב אלא כשהוא משמש כעיקר הכלי רק שאינו מצריך תשמיש דרך התכות, אבל ציפוי מבחוץ שאינו אלא לנוי ליכא למ"ד.</w:t>
      </w:r>
    </w:p>
    <w:p w:rsidR="00293CD3" w:rsidRPr="00882F11" w:rsidRDefault="00AD09AF" w:rsidP="00483922">
      <w:pPr>
        <w:tabs>
          <w:tab w:val="right" w:pos="7497"/>
        </w:tabs>
        <w:bidi/>
        <w:jc w:val="both"/>
        <w:rPr>
          <w:rFonts w:cs="Guttman Drogolin"/>
          <w:rtl/>
          <w:lang w:bidi="he-IL"/>
        </w:rPr>
      </w:pPr>
      <w:r w:rsidRPr="00882F11">
        <w:rPr>
          <w:rFonts w:cs="Guttman Drogolin" w:hint="cs"/>
          <w:rtl/>
          <w:lang w:bidi="he-IL"/>
        </w:rPr>
        <w:t>ו</w:t>
      </w:r>
      <w:r w:rsidR="00581FF4" w:rsidRPr="00882F11">
        <w:rPr>
          <w:rFonts w:cs="Guttman Drogolin" w:hint="cs"/>
          <w:rtl/>
          <w:lang w:bidi="he-IL"/>
        </w:rPr>
        <w:t xml:space="preserve">בסע' ו' סתם שאם המעמיד לבד הוא של מתכות שאינו צריך טבילה, והקשה עליו הש"ך, דהא הב"י </w:t>
      </w:r>
      <w:r w:rsidR="007F1D20" w:rsidRPr="00882F11">
        <w:rPr>
          <w:rFonts w:cs="Guttman Drogolin" w:hint="cs"/>
          <w:rtl/>
          <w:lang w:bidi="he-IL"/>
        </w:rPr>
        <w:lastRenderedPageBreak/>
        <w:t>הסיק שיש לטובלו בלא ברכה, וכשיטות דסברי שגם כאן אזלינן בתר מעמיד.</w:t>
      </w:r>
      <w:r w:rsidR="00A4541F" w:rsidRPr="00882F11">
        <w:rPr>
          <w:rFonts w:cs="Guttman Drogolin" w:hint="cs"/>
          <w:rtl/>
          <w:lang w:bidi="he-IL"/>
        </w:rPr>
        <w:t xml:space="preserve"> וע' פר"ח</w:t>
      </w:r>
      <w:r w:rsidR="00691F4E" w:rsidRPr="00882F11">
        <w:rPr>
          <w:rFonts w:cs="Guttman Drogolin" w:hint="cs"/>
          <w:rtl/>
          <w:lang w:bidi="he-IL"/>
        </w:rPr>
        <w:t xml:space="preserve"> וגר"א שפירשו שהשו"ע חזר בו</w:t>
      </w:r>
      <w:r w:rsidR="00A4541F" w:rsidRPr="00882F11">
        <w:rPr>
          <w:rFonts w:cs="Guttman Drogolin" w:hint="cs"/>
          <w:rtl/>
          <w:lang w:bidi="he-IL"/>
        </w:rPr>
        <w:t>. וכן לענין מעשה לכאורה יש לחייב בזה טבילה בלא ברכה</w:t>
      </w:r>
      <w:r w:rsidR="00691F4E" w:rsidRPr="00882F11">
        <w:rPr>
          <w:rFonts w:cs="Guttman Drogolin" w:hint="cs"/>
          <w:rtl/>
          <w:lang w:bidi="he-IL"/>
        </w:rPr>
        <w:t xml:space="preserve"> עכ"פ בכלי מתכות, וכ"פ החכמ"א</w:t>
      </w:r>
      <w:r w:rsidR="00A4541F" w:rsidRPr="00882F11">
        <w:rPr>
          <w:rFonts w:cs="Guttman Drogolin" w:hint="cs"/>
          <w:rtl/>
          <w:lang w:bidi="he-IL"/>
        </w:rPr>
        <w:t>.</w:t>
      </w:r>
      <w:r w:rsidR="00691F4E" w:rsidRPr="00882F11">
        <w:rPr>
          <w:rFonts w:cs="Guttman Drogolin" w:hint="cs"/>
          <w:rtl/>
          <w:lang w:bidi="he-IL"/>
        </w:rPr>
        <w:t xml:space="preserve"> </w:t>
      </w:r>
      <w:r w:rsidR="002443EF" w:rsidRPr="00882F11">
        <w:rPr>
          <w:rFonts w:cs="Guttman Drogolin" w:hint="cs"/>
          <w:rtl/>
          <w:lang w:bidi="he-IL"/>
        </w:rPr>
        <w:t xml:space="preserve">ובכוס של כסף ומעמידו של עץ סתם השו"ע שחייב בטבילה ודקדק הש"ך דהיינו בברכה, ולכן הקשה הש"ך דהא הש"ך הסיק </w:t>
      </w:r>
      <w:r w:rsidR="00293CD3" w:rsidRPr="00882F11">
        <w:rPr>
          <w:rFonts w:cs="Guttman Drogolin" w:hint="cs"/>
          <w:rtl/>
          <w:lang w:bidi="he-IL"/>
        </w:rPr>
        <w:t>שיש להטביל</w:t>
      </w:r>
      <w:r w:rsidR="002443EF" w:rsidRPr="00882F11">
        <w:rPr>
          <w:rFonts w:cs="Guttman Drogolin" w:hint="cs"/>
          <w:rtl/>
          <w:lang w:bidi="he-IL"/>
        </w:rPr>
        <w:t>ו בלא ברכה, ותי' דאה"נ שאם העץ מעמיד הכלי אינו מברך, רק אם מדובק אליו עץ ואינו מעמיד הכלי מטביל בברכה. וכ"פ גם החכמ"א.</w:t>
      </w:r>
      <w:r w:rsidR="00452A92" w:rsidRPr="00882F11">
        <w:rPr>
          <w:rFonts w:cs="Guttman Drogolin" w:hint="cs"/>
          <w:rtl/>
          <w:lang w:bidi="he-IL"/>
        </w:rPr>
        <w:t xml:space="preserve"> אמנם הט"ז בס"ק ט' כתב שאם הפנים של מתכות ודאי חייב בטבילה בברכה אפילו אם מעמידו בשל עץ</w:t>
      </w:r>
      <w:r w:rsidR="00293CD3" w:rsidRPr="00882F11">
        <w:rPr>
          <w:rFonts w:cs="Guttman Drogolin" w:hint="cs"/>
          <w:rtl/>
          <w:lang w:bidi="he-IL"/>
        </w:rPr>
        <w:t>, וכן פי' שיטת המחבר ושחזר בו ממש"כ בב"י</w:t>
      </w:r>
      <w:r w:rsidR="00452A92" w:rsidRPr="00882F11">
        <w:rPr>
          <w:rFonts w:cs="Guttman Drogolin" w:hint="cs"/>
          <w:rtl/>
          <w:lang w:bidi="he-IL"/>
        </w:rPr>
        <w:t xml:space="preserve">. </w:t>
      </w:r>
      <w:r w:rsidR="00293CD3" w:rsidRPr="00882F11">
        <w:rPr>
          <w:rFonts w:cs="Guttman Drogolin" w:hint="cs"/>
          <w:rtl/>
          <w:lang w:bidi="he-IL"/>
        </w:rPr>
        <w:t xml:space="preserve">וכן הביא בשם הב"ח. לענין מעשה לכאורה סב"ל, אבל נראה שגם </w:t>
      </w:r>
      <w:r w:rsidR="00483922" w:rsidRPr="00882F11">
        <w:rPr>
          <w:rFonts w:cs="Guttman Drogolin" w:hint="cs"/>
          <w:rtl/>
          <w:lang w:bidi="he-IL"/>
        </w:rPr>
        <w:t xml:space="preserve">כאן </w:t>
      </w:r>
      <w:r w:rsidR="00293CD3" w:rsidRPr="00882F11">
        <w:rPr>
          <w:rFonts w:cs="Guttman Drogolin" w:hint="cs"/>
          <w:rtl/>
          <w:lang w:bidi="he-IL"/>
        </w:rPr>
        <w:t>יזהר לטובלו עם כלי אחר כיון שנראין הדברים שוהא חייב מעיקר הדין.</w:t>
      </w:r>
    </w:p>
    <w:p w:rsidR="00C06556" w:rsidRPr="00153315" w:rsidRDefault="00C06556" w:rsidP="00153315">
      <w:pPr>
        <w:pStyle w:val="Heading1"/>
        <w:bidi/>
        <w:spacing w:before="0" w:line="240" w:lineRule="auto"/>
        <w:jc w:val="center"/>
        <w:rPr>
          <w:rFonts w:cs="Guttman Drogolin"/>
          <w:color w:val="auto"/>
          <w:sz w:val="24"/>
          <w:szCs w:val="24"/>
          <w:u w:val="single"/>
          <w:rtl/>
          <w:lang w:bidi="he-IL"/>
        </w:rPr>
      </w:pPr>
      <w:bookmarkStart w:id="480" w:name="_Toc496175725"/>
      <w:r w:rsidRPr="00153315">
        <w:rPr>
          <w:rFonts w:cs="Guttman Drogolin" w:hint="cs"/>
          <w:color w:val="auto"/>
          <w:sz w:val="24"/>
          <w:szCs w:val="24"/>
          <w:u w:val="single"/>
          <w:rtl/>
          <w:lang w:bidi="he-IL"/>
        </w:rPr>
        <w:t>כלים שאינם כלי סעודה ומשתמש בהם שימוש עראי לסעודה</w:t>
      </w:r>
      <w:bookmarkEnd w:id="480"/>
    </w:p>
    <w:p w:rsidR="00C06556" w:rsidRPr="00882F11" w:rsidRDefault="00F333B0" w:rsidP="00C06556">
      <w:pPr>
        <w:tabs>
          <w:tab w:val="right" w:pos="7497"/>
        </w:tabs>
        <w:bidi/>
        <w:jc w:val="both"/>
        <w:rPr>
          <w:rFonts w:cs="Guttman Drogolin"/>
          <w:rtl/>
          <w:lang w:bidi="he-IL"/>
        </w:rPr>
      </w:pPr>
      <w:r>
        <w:rPr>
          <w:rFonts w:cs="Guttman Drogolin"/>
          <w:rtl/>
          <w:lang w:bidi="he-IL"/>
        </w:rPr>
        <w:fldChar w:fldCharType="begin"/>
      </w:r>
      <w:r>
        <w:instrText xml:space="preserve"> XE "</w:instrText>
      </w:r>
      <w:r w:rsidRPr="00745A8F">
        <w:rPr>
          <w:rFonts w:hint="cs"/>
          <w:rtl/>
          <w:lang w:bidi="he-IL"/>
        </w:rPr>
        <w:instrText>טבילת כלים</w:instrText>
      </w:r>
      <w:r w:rsidRPr="00745A8F">
        <w:rPr>
          <w:rtl/>
        </w:rPr>
        <w:instrText>:</w:instrText>
      </w:r>
      <w:r w:rsidRPr="00745A8F">
        <w:rPr>
          <w:rFonts w:hint="cs"/>
          <w:rtl/>
          <w:lang w:bidi="he-IL"/>
        </w:rPr>
        <w:instrText>כלי שאינם כלי סעודה ומשתמש עראי לסעודה</w:instrText>
      </w:r>
      <w:r>
        <w:instrText xml:space="preserve">" </w:instrText>
      </w:r>
      <w:r>
        <w:rPr>
          <w:rFonts w:cs="Guttman Drogolin"/>
          <w:rtl/>
          <w:lang w:bidi="he-IL"/>
        </w:rPr>
        <w:fldChar w:fldCharType="end"/>
      </w:r>
      <w:r w:rsidR="00C06556" w:rsidRPr="00882F11">
        <w:rPr>
          <w:rFonts w:cs="Guttman Drogolin" w:hint="cs"/>
          <w:rtl/>
          <w:lang w:bidi="he-IL"/>
        </w:rPr>
        <w:t xml:space="preserve">הב"י מביא ההגהות אשרי דסבר שאם ישראל קנה סכין מעכו"ם לחתוך בה קלפים ושוב השאילו לישראל חבירו כדי שיוכל להשתמש בו לסעודה, אינו חייב בטבילה. והטעם פשוט משום שלא התחייב אצל הראשון כיון שאצלו אינו כלי סעודה, וא"כ אין עליו חיוב גם אצל השואל. והש"ך בס"ק ט"ז הביא מאו"ה שכה"ג יש עדיין להטבילו בלא ברכה. ולכאורה הי' נראה שנחלקו ביסוד הדין כלי סעודה החייב בטבילת כלים. שההגהות אשרי סבר </w:t>
      </w:r>
      <w:r w:rsidR="005B0F4B" w:rsidRPr="00882F11">
        <w:rPr>
          <w:rFonts w:cs="Guttman Drogolin" w:hint="cs"/>
          <w:rtl/>
          <w:lang w:bidi="he-IL"/>
        </w:rPr>
        <w:t xml:space="preserve">שהדין כלי סעודה הוא דין בשם הכלי, ורק דבר שעיקר שימושו לצורך סעודה הוי כלי סעודה. ולכן כיון שהבעלים קנאו לחתוך בה קלפים לא נחשב כלי סעודה. ומאחר שאינו כלי סעודה אין חיוב </w:t>
      </w:r>
      <w:r w:rsidR="00C00283" w:rsidRPr="00882F11">
        <w:rPr>
          <w:rFonts w:cs="Guttman Drogolin" w:hint="cs"/>
          <w:rtl/>
          <w:lang w:bidi="he-IL"/>
        </w:rPr>
        <w:t xml:space="preserve">טבילת </w:t>
      </w:r>
      <w:r w:rsidR="005B0F4B" w:rsidRPr="00882F11">
        <w:rPr>
          <w:rFonts w:cs="Guttman Drogolin" w:hint="cs"/>
          <w:rtl/>
          <w:lang w:bidi="he-IL"/>
        </w:rPr>
        <w:t xml:space="preserve">כלים ואין </w:t>
      </w:r>
      <w:r w:rsidR="00C00283" w:rsidRPr="00882F11">
        <w:rPr>
          <w:rFonts w:cs="Guttman Drogolin" w:hint="cs"/>
          <w:rtl/>
          <w:lang w:bidi="he-IL"/>
        </w:rPr>
        <w:t xml:space="preserve">לשואל </w:t>
      </w:r>
      <w:r w:rsidR="005B0F4B" w:rsidRPr="00882F11">
        <w:rPr>
          <w:rFonts w:cs="Guttman Drogolin" w:hint="cs"/>
          <w:rtl/>
          <w:lang w:bidi="he-IL"/>
        </w:rPr>
        <w:t xml:space="preserve">איסור להשתמש בה שימוש סעודה, דהא רק בכלי סעודה נאמר דין זה. </w:t>
      </w:r>
      <w:r w:rsidR="00C00283" w:rsidRPr="00882F11">
        <w:rPr>
          <w:rFonts w:cs="Guttman Drogolin" w:hint="cs"/>
          <w:rtl/>
          <w:lang w:bidi="he-IL"/>
        </w:rPr>
        <w:t xml:space="preserve">אבל האו"ה סבר שאין הדין כלי סעודה נאמר </w:t>
      </w:r>
      <w:r w:rsidR="00C00283" w:rsidRPr="00882F11">
        <w:rPr>
          <w:rFonts w:cs="Guttman Drogolin" w:hint="cs"/>
          <w:rtl/>
          <w:lang w:bidi="he-IL"/>
        </w:rPr>
        <w:lastRenderedPageBreak/>
        <w:t>בסוג הכלי ש</w:t>
      </w:r>
      <w:r w:rsidR="00933E6C" w:rsidRPr="00882F11">
        <w:rPr>
          <w:rFonts w:cs="Guttman Drogolin" w:hint="cs"/>
          <w:rtl/>
          <w:lang w:bidi="he-IL"/>
        </w:rPr>
        <w:t>ח</w:t>
      </w:r>
      <w:r w:rsidR="00C00283" w:rsidRPr="00882F11">
        <w:rPr>
          <w:rFonts w:cs="Guttman Drogolin" w:hint="cs"/>
          <w:rtl/>
          <w:lang w:bidi="he-IL"/>
        </w:rPr>
        <w:t>ייב, דכל הכלים חייבים</w:t>
      </w:r>
      <w:bookmarkStart w:id="481" w:name="_Ref484068335"/>
      <w:r w:rsidR="00933E6C" w:rsidRPr="00882F11">
        <w:rPr>
          <w:rStyle w:val="FootnoteReference"/>
          <w:rFonts w:cs="Guttman Drogolin"/>
          <w:rtl/>
          <w:lang w:bidi="he-IL"/>
        </w:rPr>
        <w:footnoteReference w:id="469"/>
      </w:r>
      <w:bookmarkEnd w:id="481"/>
      <w:r w:rsidR="00C00283" w:rsidRPr="00882F11">
        <w:rPr>
          <w:rFonts w:cs="Guttman Drogolin" w:hint="cs"/>
          <w:rtl/>
          <w:lang w:bidi="he-IL"/>
        </w:rPr>
        <w:t>, רק נאמר דין שאין להשתמש בכלי שימוש סעודה מבלי להטביל אותו קודם. ולכן אע"ג שהבעלים יחדו הכלי לחתוך בה קלפים, מ"מ יש לה חיוב טבילה למי שרוצה להשתמש בה שימוש סעודה, ולכן נהי שאין הבעלים עצמם צריכים להטביל הכלי, דהא אינו משתמש בה שימוש סעודה, מ"מ השואל שמשתמש בה שימוש סעודה חייב.</w:t>
      </w:r>
    </w:p>
    <w:p w:rsidR="00C00283" w:rsidRPr="00882F11" w:rsidRDefault="00C00283" w:rsidP="00C00283">
      <w:pPr>
        <w:tabs>
          <w:tab w:val="right" w:pos="7497"/>
        </w:tabs>
        <w:bidi/>
        <w:jc w:val="both"/>
        <w:rPr>
          <w:rFonts w:cs="Guttman Drogolin"/>
          <w:lang w:bidi="he-IL"/>
        </w:rPr>
      </w:pPr>
      <w:r w:rsidRPr="00882F11">
        <w:rPr>
          <w:rFonts w:cs="Guttman Drogolin" w:hint="cs"/>
          <w:rtl/>
          <w:lang w:bidi="he-IL"/>
        </w:rPr>
        <w:t xml:space="preserve">והנה לכאורה לפי הנ"ל הי' יוצא, שלשיטת ההגהות אשרי, אפילו אם הבעלים עצמם ירצו להשתמש בה שימוש סעודה באופן עראי יהא מותר, דהא סוף כל סוף אין כאן כלי סעודה כיון שעיקרו לחתוך בה קלפים. וכן באמת נקט הפר"ח </w:t>
      </w:r>
      <w:r w:rsidR="000D7AB2" w:rsidRPr="00882F11">
        <w:rPr>
          <w:rFonts w:cs="Guttman Drogolin" w:hint="cs"/>
          <w:rtl/>
          <w:lang w:bidi="he-IL"/>
        </w:rPr>
        <w:t>בס"ק י"ט וכ"ב. אבל הרמ"א כתב על דברי המחבר שהוא כשיטת ההגהות אשר"י "אבל הראשון אסור להשתמש בו צרכי סעודה אפילו דרך עראי בלא טבילה אף על פי שלקחו לצורך קלפים". ולכאורה צ"ע</w:t>
      </w:r>
      <w:r w:rsidR="0076456E" w:rsidRPr="00882F11">
        <w:rPr>
          <w:rStyle w:val="FootnoteReference"/>
          <w:rFonts w:cs="Guttman Drogolin"/>
          <w:rtl/>
          <w:lang w:bidi="he-IL"/>
        </w:rPr>
        <w:footnoteReference w:id="470"/>
      </w:r>
      <w:r w:rsidR="000D7AB2" w:rsidRPr="00882F11">
        <w:rPr>
          <w:rFonts w:cs="Guttman Drogolin" w:hint="cs"/>
          <w:rtl/>
          <w:lang w:bidi="he-IL"/>
        </w:rPr>
        <w:t xml:space="preserve">, דכיון שלשיטת ההגהות אשר"י החיוב בדבר שהוא כלי סעודה, והוא הרי יחדו לחתוך בה קלפים, למה יהא אסור לו להשתמש בה שימוש עראי של סעודה. ולכאורה מה שצריכים לומר שאם הוא הבעלים, כל זמן שמשתמש בה שימוש סעודה אפילו באופן עראי הרי הוא עושהו כלי סעודה כיון דשלו הוא, וממילא אם יעשה כן יהא חייב בטבילת כלים. אבל השואל שאין הכלי שלו אינו מהפך שם הכלי לכלי סעודה ולכן נשאר פטור. </w:t>
      </w:r>
      <w:r w:rsidR="0069627E" w:rsidRPr="00882F11">
        <w:rPr>
          <w:rFonts w:cs="Guttman Drogolin" w:hint="cs"/>
          <w:rtl/>
          <w:lang w:bidi="he-IL"/>
        </w:rPr>
        <w:t>ותי' זה דחוק כיון שמסברא גם הבעלים אינו עושהו כלי סעודה ע"י שימושו כיון שאינו אלא שימוש עראי. וצ"ע.</w:t>
      </w:r>
      <w:r w:rsidR="00410DE8" w:rsidRPr="00882F11">
        <w:rPr>
          <w:rFonts w:cs="Guttman Drogolin" w:hint="cs"/>
          <w:rtl/>
          <w:lang w:bidi="he-IL"/>
        </w:rPr>
        <w:t xml:space="preserve"> וע' בשו"ת שב יעקב ח"א סי' ל"א (מובא בפת"ש כאן) שצ</w:t>
      </w:r>
      <w:r w:rsidR="00DD0650" w:rsidRPr="00882F11">
        <w:rPr>
          <w:rFonts w:cs="Guttman Drogolin" w:hint="cs"/>
          <w:rtl/>
          <w:lang w:bidi="he-IL"/>
        </w:rPr>
        <w:t>ידד לומר כדעת הפר"ח, ואמנם דברי הפר"ח</w:t>
      </w:r>
      <w:r w:rsidR="00410DE8" w:rsidRPr="00882F11">
        <w:rPr>
          <w:rFonts w:cs="Guttman Drogolin" w:hint="cs"/>
          <w:rtl/>
          <w:lang w:bidi="he-IL"/>
        </w:rPr>
        <w:t xml:space="preserve"> מובנים </w:t>
      </w:r>
      <w:r w:rsidR="00410DE8" w:rsidRPr="00882F11">
        <w:rPr>
          <w:rFonts w:cs="Guttman Drogolin" w:hint="cs"/>
          <w:rtl/>
          <w:lang w:bidi="he-IL"/>
        </w:rPr>
        <w:lastRenderedPageBreak/>
        <w:t xml:space="preserve">מסברא וכנ"ל, מ"מ צ"ע איך התעלם מהכרעת הרמ"א בנידון. </w:t>
      </w:r>
      <w:r w:rsidR="000D7AB2" w:rsidRPr="00882F11">
        <w:rPr>
          <w:rFonts w:cs="Guttman Drogolin" w:hint="cs"/>
          <w:rtl/>
          <w:lang w:bidi="he-IL"/>
        </w:rPr>
        <w:t xml:space="preserve"> </w:t>
      </w:r>
    </w:p>
    <w:p w:rsidR="0069627E" w:rsidRPr="00882F11" w:rsidRDefault="0069627E" w:rsidP="0069627E">
      <w:pPr>
        <w:pStyle w:val="Heading1"/>
        <w:bidi/>
        <w:spacing w:before="0" w:line="360" w:lineRule="auto"/>
        <w:jc w:val="center"/>
        <w:rPr>
          <w:rFonts w:cs="Guttman Drogolin"/>
          <w:color w:val="auto"/>
          <w:sz w:val="24"/>
          <w:szCs w:val="24"/>
          <w:u w:val="single"/>
          <w:rtl/>
          <w:lang w:bidi="he-IL"/>
        </w:rPr>
      </w:pPr>
      <w:bookmarkStart w:id="482" w:name="_Toc496175726"/>
      <w:r w:rsidRPr="00882F11">
        <w:rPr>
          <w:rFonts w:cs="Guttman Drogolin" w:hint="cs"/>
          <w:color w:val="auto"/>
          <w:sz w:val="24"/>
          <w:szCs w:val="24"/>
          <w:u w:val="single"/>
          <w:rtl/>
          <w:lang w:bidi="he-IL"/>
        </w:rPr>
        <w:t>כלי סחורה</w:t>
      </w:r>
      <w:bookmarkEnd w:id="482"/>
    </w:p>
    <w:p w:rsidR="0069627E" w:rsidRPr="00882F11" w:rsidRDefault="00F333B0" w:rsidP="0069627E">
      <w:pPr>
        <w:tabs>
          <w:tab w:val="right" w:pos="7497"/>
        </w:tabs>
        <w:bidi/>
        <w:jc w:val="both"/>
        <w:rPr>
          <w:rFonts w:cs="Guttman Drogolin"/>
          <w:rtl/>
          <w:lang w:bidi="he-IL"/>
        </w:rPr>
      </w:pPr>
      <w:r>
        <w:rPr>
          <w:rFonts w:cs="Guttman Drogolin"/>
          <w:rtl/>
          <w:lang w:bidi="he-IL"/>
        </w:rPr>
        <w:fldChar w:fldCharType="begin"/>
      </w:r>
      <w:r>
        <w:instrText xml:space="preserve"> XE "</w:instrText>
      </w:r>
      <w:r w:rsidRPr="005E091C">
        <w:rPr>
          <w:rFonts w:hint="cs"/>
          <w:rtl/>
          <w:lang w:bidi="he-IL"/>
        </w:rPr>
        <w:instrText>טבילת כלים</w:instrText>
      </w:r>
      <w:r w:rsidRPr="005E091C">
        <w:rPr>
          <w:rtl/>
        </w:rPr>
        <w:instrText>:</w:instrText>
      </w:r>
      <w:r w:rsidRPr="005E091C">
        <w:rPr>
          <w:rFonts w:hint="cs"/>
          <w:rtl/>
          <w:lang w:bidi="he-IL"/>
        </w:rPr>
        <w:instrText>כלי סחורה</w:instrText>
      </w:r>
      <w:r>
        <w:instrText xml:space="preserve">" </w:instrText>
      </w:r>
      <w:r>
        <w:rPr>
          <w:rFonts w:cs="Guttman Drogolin"/>
          <w:rtl/>
          <w:lang w:bidi="he-IL"/>
        </w:rPr>
        <w:fldChar w:fldCharType="end"/>
      </w:r>
      <w:r w:rsidR="0069627E" w:rsidRPr="00882F11">
        <w:rPr>
          <w:rFonts w:cs="Guttman Drogolin" w:hint="cs"/>
          <w:rtl/>
          <w:lang w:bidi="he-IL"/>
        </w:rPr>
        <w:t>הב"י שם אחרי שהביא דעת ההגהות אשרי צידד לומר שלפי דבריו אם הראשון שסוחר שקנה כלים מנכרי ושוב מכרם לאחר, אין השני חייב בטבילת כלים. אמנם דקדק מעצם דברי ההגהות אשר"י שאין הדין כן, דהא לא התיר אלא השואל ולא הקונה, ולעולם השני חייב בטבילת כלים. והנה קודם כל נראה להעיר למה הב"י פתח בחיתוך קלפים וסיים בסחורה, הא עיקר הספק שלו אם בכה"ג שישראל קנה כלי שלא לצורך סעודה ושוב מכרו לישראל אחר לצורך סעודה האם חייב בטבילת כלים, וספק זה שייך לחיתוך קלפים כמו ששייך לסחורה. וא"כ הול"ל לאסתפוקי במי שקנה סכין לחיתוך קלפים ושוב מכרו לישראל אם חייב. תדע שהרי הביא ראי' לספק שלו בכלי סחורה מדקדק שבהגהות אשרי לענין סכין לתחוך בה קלפים, הרי שמבואר מזה שחד דינא אית להו. והפשוט בזה שהב"י דבר שיש בה נפק"מ טובא, דדבר ההוה הוא שהסוחר קונה כלים מנכרים ומוכרם לישראל, וכן הוא היום בחנויות של ישראל, ויצא נפק"מ גדולה שכל הכלים האלו פטורים מטבילת כלים. והסיק שאין זה פוטר אותם.</w:t>
      </w:r>
    </w:p>
    <w:p w:rsidR="00411FA0" w:rsidRPr="00882F11" w:rsidRDefault="0069627E" w:rsidP="007621FD">
      <w:pPr>
        <w:tabs>
          <w:tab w:val="right" w:pos="7497"/>
        </w:tabs>
        <w:bidi/>
        <w:jc w:val="both"/>
        <w:rPr>
          <w:rFonts w:cs="Guttman Drogolin"/>
          <w:rtl/>
          <w:lang w:bidi="he-IL"/>
        </w:rPr>
      </w:pPr>
      <w:r w:rsidRPr="00882F11">
        <w:rPr>
          <w:rFonts w:cs="Guttman Drogolin" w:hint="cs"/>
          <w:rtl/>
          <w:lang w:bidi="he-IL"/>
        </w:rPr>
        <w:t>ומ"מ מדברי הב"י שמענו חידוש. והוא דהו"א שאין הכלי נחשב ככלי שאינו לסעודה אלא כשמשתמש בה בפועל לענינים אחרים כמו לחתוך בה קלפים. אבל הסוחר הרי אינו קובע השימוש של הכלי, רק מרויח ממכירתם</w:t>
      </w:r>
      <w:r w:rsidR="00884E8D" w:rsidRPr="00882F11">
        <w:rPr>
          <w:rStyle w:val="FootnoteReference"/>
          <w:rFonts w:cs="Guttman Drogolin"/>
          <w:rtl/>
          <w:lang w:bidi="he-IL"/>
        </w:rPr>
        <w:footnoteReference w:id="471"/>
      </w:r>
      <w:r w:rsidRPr="00882F11">
        <w:rPr>
          <w:rFonts w:cs="Guttman Drogolin" w:hint="cs"/>
          <w:rtl/>
          <w:lang w:bidi="he-IL"/>
        </w:rPr>
        <w:t xml:space="preserve">. </w:t>
      </w:r>
      <w:r w:rsidRPr="00882F11">
        <w:rPr>
          <w:rFonts w:cs="Guttman Drogolin" w:hint="cs"/>
          <w:rtl/>
          <w:lang w:bidi="he-IL"/>
        </w:rPr>
        <w:lastRenderedPageBreak/>
        <w:t xml:space="preserve">ולדוגמא, הרא"ש בסופ"ק דמס' סוכה </w:t>
      </w:r>
      <w:r w:rsidR="00C66D93">
        <w:rPr>
          <w:rFonts w:cs="Guttman Drogolin"/>
          <w:rtl/>
          <w:lang w:bidi="he-IL"/>
        </w:rPr>
        <w:fldChar w:fldCharType="begin"/>
      </w:r>
      <w:r w:rsidR="00C66D93">
        <w:instrText xml:space="preserve"> XE "</w:instrText>
      </w:r>
      <w:r w:rsidR="00C66D93" w:rsidRPr="006A77D2">
        <w:rPr>
          <w:rFonts w:hint="cs"/>
          <w:rtl/>
          <w:lang w:bidi="he-IL"/>
        </w:rPr>
        <w:instrText>סוכה</w:instrText>
      </w:r>
      <w:r w:rsidR="00C66D93" w:rsidRPr="006A77D2">
        <w:rPr>
          <w:rtl/>
        </w:rPr>
        <w:instrText>:</w:instrText>
      </w:r>
      <w:r w:rsidR="00C66D93" w:rsidRPr="006A77D2">
        <w:rPr>
          <w:rFonts w:hint="cs"/>
          <w:rtl/>
          <w:lang w:bidi="he-IL"/>
        </w:rPr>
        <w:instrText>מחצלת שעשאו למוכרו</w:instrText>
      </w:r>
      <w:r w:rsidR="00C66D93">
        <w:instrText xml:space="preserve">" </w:instrText>
      </w:r>
      <w:r w:rsidR="00C66D93">
        <w:rPr>
          <w:rFonts w:cs="Guttman Drogolin"/>
          <w:rtl/>
          <w:lang w:bidi="he-IL"/>
        </w:rPr>
        <w:fldChar w:fldCharType="end"/>
      </w:r>
      <w:r w:rsidRPr="00882F11">
        <w:rPr>
          <w:rFonts w:cs="Guttman Drogolin" w:hint="cs"/>
          <w:rtl/>
          <w:lang w:bidi="he-IL"/>
        </w:rPr>
        <w:t>דן במחצלות שעשאן כדי למ</w:t>
      </w:r>
      <w:r w:rsidR="007621FD" w:rsidRPr="00882F11">
        <w:rPr>
          <w:rFonts w:cs="Guttman Drogolin" w:hint="cs"/>
          <w:rtl/>
          <w:lang w:bidi="he-IL"/>
        </w:rPr>
        <w:t>ו</w:t>
      </w:r>
      <w:r w:rsidRPr="00882F11">
        <w:rPr>
          <w:rFonts w:cs="Guttman Drogolin" w:hint="cs"/>
          <w:rtl/>
          <w:lang w:bidi="he-IL"/>
        </w:rPr>
        <w:t xml:space="preserve">כרם </w:t>
      </w:r>
      <w:r w:rsidR="00411FA0" w:rsidRPr="00882F11">
        <w:rPr>
          <w:rFonts w:cs="Guttman Drogolin" w:hint="cs"/>
          <w:rtl/>
          <w:lang w:bidi="he-IL"/>
        </w:rPr>
        <w:t xml:space="preserve">האם </w:t>
      </w:r>
      <w:r w:rsidRPr="00882F11">
        <w:rPr>
          <w:rFonts w:cs="Guttman Drogolin" w:hint="cs"/>
          <w:rtl/>
          <w:lang w:bidi="he-IL"/>
        </w:rPr>
        <w:t xml:space="preserve">אזלינן בתר </w:t>
      </w:r>
      <w:r w:rsidR="00411FA0" w:rsidRPr="00882F11">
        <w:rPr>
          <w:rFonts w:cs="Guttman Drogolin" w:hint="cs"/>
          <w:rtl/>
          <w:lang w:bidi="he-IL"/>
        </w:rPr>
        <w:t>מנהג המקום שבה הוא מוכרם לקבוע אם הוא לישיבה או לסיכוך. ולדברי הב"י הא אינו עושה אותם אלא כדי למוכרם ולא לישיבה, וא"כ יהיו כולם טהורים. ואולי יש לומר שלעולם גם ההגהות אשר"י סבר שאין החיוב משום היותם חפצא של כלי סעודה, רק שימוש לצורך סעודה מחייב. רק גדר החיוב, שאם עומד לשימוש של סעודה אצל הבעלים הרי הם חייבים, וכיון שאצל הסוחר אינם עומדים לזה הרי הם פטורים, אבל לעולם אינו קובע הכלי כחפצא של כלי סעודה. ובזה לכאורה מיושב שיטת הרמ"א הנ"ל גם, שאם הבעלים עצמם משתמשים בה לסעודה הרי עומדים לבעלים לשימוש סעודה וחייבים, אבל השואל אינו הופך יעודו של הכלי אצל הבעלים, ולכן לעולם ישאר בפטורו</w:t>
      </w:r>
      <w:r w:rsidR="00884E8D" w:rsidRPr="00882F11">
        <w:rPr>
          <w:rStyle w:val="FootnoteReference"/>
          <w:rFonts w:cs="Guttman Drogolin"/>
          <w:rtl/>
          <w:lang w:bidi="he-IL"/>
        </w:rPr>
        <w:footnoteReference w:id="472"/>
      </w:r>
      <w:r w:rsidR="00411FA0" w:rsidRPr="00882F11">
        <w:rPr>
          <w:rFonts w:cs="Guttman Drogolin" w:hint="cs"/>
          <w:rtl/>
          <w:lang w:bidi="he-IL"/>
        </w:rPr>
        <w:t>.</w:t>
      </w:r>
    </w:p>
    <w:p w:rsidR="00373F1D" w:rsidRPr="00882F11" w:rsidRDefault="00411FA0" w:rsidP="00483922">
      <w:pPr>
        <w:tabs>
          <w:tab w:val="right" w:pos="7497"/>
        </w:tabs>
        <w:bidi/>
        <w:jc w:val="both"/>
        <w:rPr>
          <w:rFonts w:cs="Guttman Drogolin"/>
          <w:rtl/>
          <w:lang w:bidi="he-IL"/>
        </w:rPr>
      </w:pPr>
      <w:r w:rsidRPr="00882F11">
        <w:rPr>
          <w:rFonts w:cs="Guttman Drogolin" w:hint="cs"/>
          <w:rtl/>
          <w:lang w:bidi="he-IL"/>
        </w:rPr>
        <w:t xml:space="preserve">והנה הטעם לפטור הכלי סחורה מטבילת כלים אינו משום היותו עומד לסחורה בעצם, רק משום שאינו עומד לשימוש של סעודה, דהא כלי סעודה נאמרים בפרשה. </w:t>
      </w:r>
      <w:r w:rsidR="009703D6" w:rsidRPr="00882F11">
        <w:rPr>
          <w:rFonts w:cs="Guttman Drogolin" w:hint="cs"/>
          <w:rtl/>
          <w:lang w:bidi="he-IL"/>
        </w:rPr>
        <w:t xml:space="preserve">וא"כ אם יהא כלי סחורה העומדים לשימוש סעודה ודאי יהיו חייבים. ולכן אם יש לא' קייטרינג או מסעדה, וחלק מן העסק שלו הוא לבשל וכן להגיש אוכל בכלים של מתכות או זכוכית, ודאי יהיו חייבים בטבילת כלים לכו"ע, דהא הנהו כלי סעודה נינהו, ואין זה שמרויח מן הכלי סעודה טעם לפטור אותם מחיובא דטבילת כלים. וכן נקט </w:t>
      </w:r>
      <w:r w:rsidR="00373F1D" w:rsidRPr="00882F11">
        <w:rPr>
          <w:rFonts w:cs="Guttman Drogolin" w:hint="cs"/>
          <w:rtl/>
          <w:lang w:bidi="he-IL"/>
        </w:rPr>
        <w:t>האג"מ (יו"ד ג' ססי' כ"ב) ועוד גדולי הפוסקים (ע' תשובות והנהגות ח"א סי' שנ"ו [וע"ש נידון בשיטת החזו"א בזה], אשרי האיש יו"ד פ"ט הל' נ"ז, חוט שני שבת ח"א עמ' ר"כ). אמנם יש מן האחרונים הפוטרים גם בזה</w:t>
      </w:r>
      <w:r w:rsidR="00D6758B" w:rsidRPr="00882F11">
        <w:rPr>
          <w:rStyle w:val="FootnoteReference"/>
          <w:rFonts w:cs="Guttman Drogolin"/>
          <w:rtl/>
          <w:lang w:bidi="he-IL"/>
        </w:rPr>
        <w:footnoteReference w:id="473"/>
      </w:r>
      <w:r w:rsidR="00373F1D" w:rsidRPr="00882F11">
        <w:rPr>
          <w:rFonts w:cs="Guttman Drogolin" w:hint="cs"/>
          <w:rtl/>
          <w:lang w:bidi="he-IL"/>
        </w:rPr>
        <w:t xml:space="preserve">, ולא מתבאר לי טעמם (ע' דרכ"ת ס"ק ע' ופ"ח, שו"ת </w:t>
      </w:r>
      <w:r w:rsidR="00373F1D" w:rsidRPr="00882F11">
        <w:rPr>
          <w:rFonts w:cs="Guttman Drogolin" w:hint="cs"/>
          <w:rtl/>
          <w:lang w:bidi="he-IL"/>
        </w:rPr>
        <w:lastRenderedPageBreak/>
        <w:t xml:space="preserve">מנח"י (ח"א סי' מ"ד), ושו"ת יחו"ד ח"ד סי' מ"ד ויבי"ע ח"ז סי' ט' אות ג' </w:t>
      </w:r>
      <w:r w:rsidR="00373F1D" w:rsidRPr="00882F11">
        <w:rPr>
          <w:rFonts w:cs="Guttman Drogolin"/>
          <w:rtl/>
          <w:lang w:bidi="he-IL"/>
        </w:rPr>
        <w:t>–</w:t>
      </w:r>
      <w:r w:rsidR="00373F1D" w:rsidRPr="00882F11">
        <w:rPr>
          <w:rFonts w:cs="Guttman Drogolin" w:hint="cs"/>
          <w:rtl/>
          <w:lang w:bidi="he-IL"/>
        </w:rPr>
        <w:t xml:space="preserve"> אמנם יעוין בס' טבילת כלים פ"ג סוף הערה כ"ד, וצ"ע). </w:t>
      </w:r>
      <w:r w:rsidR="001C7405" w:rsidRPr="00882F11">
        <w:rPr>
          <w:rFonts w:cs="Guttman Drogolin" w:hint="cs"/>
          <w:rtl/>
          <w:lang w:bidi="he-IL"/>
        </w:rPr>
        <w:t xml:space="preserve">וכן ראיתי בס' חלקת בנימין (בציונים ס"ק </w:t>
      </w:r>
      <w:r w:rsidR="009B58BB" w:rsidRPr="00882F11">
        <w:rPr>
          <w:rFonts w:cs="Guttman Drogolin" w:hint="cs"/>
          <w:rtl/>
          <w:lang w:bidi="he-IL"/>
        </w:rPr>
        <w:t>קצ"א, וכתב שכן מצא במהרי"ל</w:t>
      </w:r>
      <w:r w:rsidR="001C7405" w:rsidRPr="00882F11">
        <w:rPr>
          <w:rFonts w:cs="Guttman Drogolin" w:hint="cs"/>
          <w:rtl/>
          <w:lang w:bidi="he-IL"/>
        </w:rPr>
        <w:t>) שיש להוכיח שחייב מהא דבסע' ט"ז נתן עצה בשבת להקנות הכלים לנכרי, ולכאורה לדברי הפוטרים למה לא הקנה הכלים לישראל ויהיו פטורים כיון שאלו אינם כלי סעודה. ואולי יש לדחות דאחרי הישראל הראשון כבר קנאם לכלי סעודה לא מהני למוכרם לאחר לעקור מהם שם כלי סעודה, אלא שצ"ע הסברא בזה. עוד ראיתי בשו"ת מהריל"ד להוכיח דכה"ג חייב מהא דהוכיחו דסכין של עכו"ם מותר לשחוט בה שאינו חייב בטבילה, ואם כדבריהם הא נפק"מ למי ששהשאיל או השכיר לחבירו. אלא שהוא עצמו דחה שהראי' היא ממה שלא</w:t>
      </w:r>
      <w:r w:rsidR="00483922" w:rsidRPr="00882F11">
        <w:rPr>
          <w:rFonts w:cs="Guttman Drogolin" w:hint="cs"/>
          <w:rtl/>
          <w:lang w:bidi="he-IL"/>
        </w:rPr>
        <w:t xml:space="preserve"> </w:t>
      </w:r>
      <w:r w:rsidR="001C7405" w:rsidRPr="00882F11">
        <w:rPr>
          <w:rFonts w:cs="Guttman Drogolin" w:hint="cs"/>
          <w:rtl/>
          <w:lang w:bidi="he-IL"/>
        </w:rPr>
        <w:t xml:space="preserve">העיר מזה הש"ס. </w:t>
      </w:r>
      <w:r w:rsidR="00373F1D" w:rsidRPr="00882F11">
        <w:rPr>
          <w:rFonts w:cs="Guttman Drogolin" w:hint="cs"/>
          <w:rtl/>
          <w:lang w:bidi="he-IL"/>
        </w:rPr>
        <w:t>ו</w:t>
      </w:r>
      <w:r w:rsidR="001C7405" w:rsidRPr="00882F11">
        <w:rPr>
          <w:rFonts w:cs="Guttman Drogolin" w:hint="cs"/>
          <w:rtl/>
          <w:lang w:bidi="he-IL"/>
        </w:rPr>
        <w:t>מ"מ</w:t>
      </w:r>
      <w:r w:rsidR="00373F1D" w:rsidRPr="00882F11">
        <w:rPr>
          <w:rFonts w:cs="Guttman Drogolin" w:hint="cs"/>
          <w:rtl/>
          <w:lang w:bidi="he-IL"/>
        </w:rPr>
        <w:t xml:space="preserve"> כל דבריהם הם אליבא דהגהות אשר"י, אבל לאו"ה ודאי שהסועד חייב להטביל כליו, ואע"ג שיש מקילים בהא דאו"ה לענין כלי זכוכית וכדומה שאינם חייבים אלא מדרבנן, מ"מ במתכות (כגון סכו"ם) יש לחייב מדאורייתא.</w:t>
      </w:r>
    </w:p>
    <w:p w:rsidR="00373F1D" w:rsidRPr="00882F11" w:rsidRDefault="00373F1D" w:rsidP="00373F1D">
      <w:pPr>
        <w:pStyle w:val="Heading1"/>
        <w:bidi/>
        <w:spacing w:before="0" w:line="360" w:lineRule="auto"/>
        <w:jc w:val="center"/>
        <w:rPr>
          <w:rFonts w:cs="Guttman Drogolin"/>
          <w:color w:val="auto"/>
          <w:sz w:val="24"/>
          <w:szCs w:val="24"/>
          <w:u w:val="single"/>
          <w:rtl/>
          <w:lang w:bidi="he-IL"/>
        </w:rPr>
      </w:pPr>
      <w:bookmarkStart w:id="483" w:name="_Toc496175727"/>
      <w:r w:rsidRPr="00882F11">
        <w:rPr>
          <w:rFonts w:cs="Guttman Drogolin" w:hint="cs"/>
          <w:color w:val="auto"/>
          <w:sz w:val="24"/>
          <w:szCs w:val="24"/>
          <w:u w:val="single"/>
          <w:rtl/>
          <w:lang w:bidi="he-IL"/>
        </w:rPr>
        <w:t>טבילה בסכין לחתוך בה קלפים</w:t>
      </w:r>
      <w:bookmarkEnd w:id="483"/>
    </w:p>
    <w:p w:rsidR="00145B79" w:rsidRPr="00882F11" w:rsidRDefault="00F333B0" w:rsidP="00483922">
      <w:pPr>
        <w:tabs>
          <w:tab w:val="right" w:pos="7497"/>
        </w:tabs>
        <w:bidi/>
        <w:jc w:val="both"/>
        <w:rPr>
          <w:rFonts w:cs="Guttman Drogolin"/>
          <w:rtl/>
          <w:lang w:bidi="he-IL"/>
        </w:rPr>
      </w:pPr>
      <w:r>
        <w:rPr>
          <w:rFonts w:cs="Guttman Drogolin"/>
          <w:rtl/>
          <w:lang w:bidi="he-IL"/>
        </w:rPr>
        <w:fldChar w:fldCharType="begin"/>
      </w:r>
      <w:r>
        <w:instrText xml:space="preserve"> XE "</w:instrText>
      </w:r>
      <w:r w:rsidRPr="005C1C3D">
        <w:rPr>
          <w:rFonts w:hint="cs"/>
          <w:rtl/>
          <w:lang w:bidi="he-IL"/>
        </w:rPr>
        <w:instrText>טבילת כלים</w:instrText>
      </w:r>
      <w:r w:rsidRPr="005C1C3D">
        <w:rPr>
          <w:rtl/>
        </w:rPr>
        <w:instrText>:</w:instrText>
      </w:r>
      <w:r w:rsidRPr="005C1C3D">
        <w:rPr>
          <w:rFonts w:hint="cs"/>
          <w:rtl/>
          <w:lang w:bidi="he-IL"/>
        </w:rPr>
        <w:instrText>סכין לחתוך בה קלפים</w:instrText>
      </w:r>
      <w:r>
        <w:instrText xml:space="preserve">" </w:instrText>
      </w:r>
      <w:r>
        <w:rPr>
          <w:rFonts w:cs="Guttman Drogolin"/>
          <w:rtl/>
          <w:lang w:bidi="he-IL"/>
        </w:rPr>
        <w:fldChar w:fldCharType="end"/>
      </w:r>
      <w:r w:rsidR="00373F1D" w:rsidRPr="00882F11">
        <w:rPr>
          <w:rFonts w:cs="Guttman Drogolin" w:hint="cs"/>
          <w:rtl/>
          <w:lang w:bidi="he-IL"/>
        </w:rPr>
        <w:t>ויש עוד ספק בהא דהגהות אשר"י. והוא שיל"ע אם לשיטתו אפשר להטביל סכין לחתוך בה קלפים באופן שאם לאחר מכן ירצה לשנות את דינו ולעשותו כלי סעודה לא יצטרך שוב להטבילו</w:t>
      </w:r>
      <w:r w:rsidR="00FE253D" w:rsidRPr="00882F11">
        <w:rPr>
          <w:rStyle w:val="FootnoteReference"/>
          <w:rFonts w:cs="Guttman Drogolin"/>
          <w:rtl/>
          <w:lang w:bidi="he-IL"/>
        </w:rPr>
        <w:footnoteReference w:id="474"/>
      </w:r>
      <w:r w:rsidR="00373F1D" w:rsidRPr="00882F11">
        <w:rPr>
          <w:rFonts w:cs="Guttman Drogolin" w:hint="cs"/>
          <w:rtl/>
          <w:lang w:bidi="he-IL"/>
        </w:rPr>
        <w:t xml:space="preserve">. ויש מדייקים מהט"ז בס"ק </w:t>
      </w:r>
      <w:r w:rsidR="00145B79" w:rsidRPr="00882F11">
        <w:rPr>
          <w:rFonts w:cs="Guttman Drogolin" w:hint="cs"/>
          <w:rtl/>
          <w:lang w:bidi="he-IL"/>
        </w:rPr>
        <w:t>י' שלא עלתה לו טבילה. והטעם לכאורה דכיון שלהגהות אשרי אינו חייב בטבילת כלים, אין כאן טבילה. ולכאורה מסברא הי' אפשר לומר דכיון שעכשיו אינו של נכרי אלא של יהודי, ודאי אפשר להטבילו לטהרו, רק שאין הטהרה הזאת חיובית. ולכן אם יטבלנו ושוב</w:t>
      </w:r>
      <w:r w:rsidR="00483922" w:rsidRPr="00882F11">
        <w:rPr>
          <w:rFonts w:cs="Guttman Drogolin" w:hint="cs"/>
          <w:rtl/>
          <w:lang w:bidi="he-IL"/>
        </w:rPr>
        <w:t xml:space="preserve"> </w:t>
      </w:r>
      <w:r w:rsidR="00145B79" w:rsidRPr="00882F11">
        <w:rPr>
          <w:rFonts w:cs="Guttman Drogolin" w:hint="cs"/>
          <w:rtl/>
          <w:lang w:bidi="he-IL"/>
        </w:rPr>
        <w:lastRenderedPageBreak/>
        <w:t>ישתמש בה שימוש של סעודה יהי' טהור ולא יצטרך להטביל אותו פעם שני. וכן ראיתי בשם שו"ת משנה הלכות (חי"ד סי' ל"א) וס' מנחת אשר (במדבר סי' ס"ח סוף אות ד') וכ"ש שלשיטת האו"ה הנ"ל מהני לה טבילה, דהא גם מקודם הי' לו דין להטבילו, ומה איכפת לן דמקודם הי' משום תשמיש עראי ועכשיו משום תשמיש קבע.</w:t>
      </w:r>
    </w:p>
    <w:p w:rsidR="008E4B5C" w:rsidRPr="00882F11" w:rsidRDefault="00145B79" w:rsidP="00483922">
      <w:pPr>
        <w:tabs>
          <w:tab w:val="right" w:pos="7497"/>
        </w:tabs>
        <w:bidi/>
        <w:jc w:val="both"/>
        <w:rPr>
          <w:rFonts w:cs="Guttman Drogolin"/>
          <w:rtl/>
          <w:lang w:bidi="he-IL"/>
        </w:rPr>
      </w:pPr>
      <w:r w:rsidRPr="00882F11">
        <w:rPr>
          <w:rFonts w:cs="Guttman Drogolin" w:hint="cs"/>
          <w:rtl/>
          <w:lang w:bidi="he-IL"/>
        </w:rPr>
        <w:t>ולדברי האומרים דלא מהני להו טבילה יוצא שאם א' מוכר כלי הגשה עם אוכל בפנים, לאלו הסוברים דכה"ג חשוב כלי סחורה ולא כלי סעודה לא יהא אפשר להטביל הכלי קודם, ורק אחרי שהסוחר קיבלו יהא חייב להטבילו. וכה"ג גם במי שקנה כלי כדי להכניס בה אוכל כמתנה לחבירו (כמו ששכיח במשלוח מנות), דכיון שאצל נותן המתנה אין זה כלי סעודה רק כלי מתנה, לא עלתה לו טבילה. ומ"מ נראה שלדינא מהני טבילתם, כיון שהפשטות היא דכה"ג חשוב כלי סעודה וכמש"נ</w:t>
      </w:r>
      <w:r w:rsidR="002C503A" w:rsidRPr="00882F11">
        <w:rPr>
          <w:rStyle w:val="FootnoteReference"/>
          <w:rFonts w:cs="Guttman Drogolin"/>
          <w:rtl/>
          <w:lang w:bidi="he-IL"/>
        </w:rPr>
        <w:footnoteReference w:id="475"/>
      </w:r>
      <w:r w:rsidRPr="00882F11">
        <w:rPr>
          <w:rFonts w:cs="Guttman Drogolin" w:hint="cs"/>
          <w:rtl/>
          <w:lang w:bidi="he-IL"/>
        </w:rPr>
        <w:t xml:space="preserve">, וכן י"א דמהני טבילה לכלי סחורה </w:t>
      </w:r>
      <w:r w:rsidR="008E4B5C" w:rsidRPr="00882F11">
        <w:rPr>
          <w:rFonts w:cs="Guttman Drogolin" w:hint="cs"/>
          <w:rtl/>
          <w:lang w:bidi="he-IL"/>
        </w:rPr>
        <w:t xml:space="preserve">אפילו להגהות אשרי, וכן מ"מ לשיטת האו"ה </w:t>
      </w:r>
      <w:r w:rsidRPr="00882F11">
        <w:rPr>
          <w:rFonts w:cs="Guttman Drogolin" w:hint="cs"/>
          <w:rtl/>
          <w:lang w:bidi="he-IL"/>
        </w:rPr>
        <w:t xml:space="preserve">חייבים. ומ"מ לענין ברכה יל"ע, בפרט בזמן שהרבה ועדי כשרות סומכים אשיטת אלו הסוברים דלא חשוב כלי סעודה. </w:t>
      </w:r>
    </w:p>
    <w:p w:rsidR="00153315" w:rsidRDefault="00153315" w:rsidP="00FE253D">
      <w:pPr>
        <w:keepNext/>
        <w:tabs>
          <w:tab w:val="right" w:pos="7497"/>
        </w:tabs>
        <w:bidi/>
        <w:spacing w:after="0"/>
        <w:jc w:val="both"/>
        <w:rPr>
          <w:rFonts w:cs="Guttman Drogolin"/>
          <w:b/>
          <w:bCs/>
          <w:sz w:val="28"/>
          <w:szCs w:val="28"/>
          <w:rtl/>
          <w:lang w:bidi="he-IL"/>
        </w:rPr>
      </w:pPr>
    </w:p>
    <w:p w:rsidR="008E4B5C" w:rsidRPr="00153315" w:rsidRDefault="008E4B5C" w:rsidP="00C53875">
      <w:pPr>
        <w:keepNext/>
        <w:tabs>
          <w:tab w:val="right" w:pos="7497"/>
        </w:tabs>
        <w:bidi/>
        <w:jc w:val="both"/>
        <w:rPr>
          <w:rFonts w:cs="Guttman Drogolin"/>
          <w:sz w:val="36"/>
          <w:szCs w:val="36"/>
          <w:rtl/>
          <w:lang w:bidi="he-IL"/>
        </w:rPr>
      </w:pPr>
      <w:r w:rsidRPr="00C53875">
        <w:rPr>
          <w:rFonts w:cs="Guttman Drogolin" w:hint="cs"/>
          <w:b/>
          <w:bCs/>
          <w:sz w:val="28"/>
          <w:szCs w:val="28"/>
          <w:rtl/>
          <w:lang w:bidi="he-IL"/>
        </w:rPr>
        <w:t>מילואים</w:t>
      </w:r>
    </w:p>
    <w:p w:rsidR="008E4B5C" w:rsidRPr="00882F11" w:rsidRDefault="008E4B5C" w:rsidP="00FE253D">
      <w:pPr>
        <w:keepNext/>
        <w:tabs>
          <w:tab w:val="right" w:pos="7497"/>
        </w:tabs>
        <w:bidi/>
        <w:jc w:val="both"/>
        <w:rPr>
          <w:rFonts w:cs="Guttman Drogolin"/>
          <w:sz w:val="28"/>
          <w:szCs w:val="28"/>
          <w:rtl/>
          <w:lang w:bidi="he-IL"/>
        </w:rPr>
      </w:pPr>
      <w:r w:rsidRPr="00882F11">
        <w:rPr>
          <w:rFonts w:cs="Guttman Drogolin" w:hint="cs"/>
          <w:b/>
          <w:bCs/>
          <w:sz w:val="28"/>
          <w:szCs w:val="28"/>
          <w:rtl/>
          <w:lang w:bidi="he-IL"/>
        </w:rPr>
        <w:t>כלים מכלים שונים</w:t>
      </w:r>
      <w:r w:rsidR="00373F1D" w:rsidRPr="00882F11">
        <w:rPr>
          <w:rFonts w:cs="Guttman Drogolin" w:hint="cs"/>
          <w:b/>
          <w:bCs/>
          <w:sz w:val="28"/>
          <w:szCs w:val="28"/>
          <w:rtl/>
          <w:lang w:bidi="he-IL"/>
        </w:rPr>
        <w:t xml:space="preserve"> </w:t>
      </w:r>
      <w:r w:rsidR="00411FA0" w:rsidRPr="00882F11">
        <w:rPr>
          <w:rFonts w:cs="Guttman Drogolin" w:hint="cs"/>
          <w:b/>
          <w:bCs/>
          <w:sz w:val="28"/>
          <w:szCs w:val="28"/>
          <w:rtl/>
          <w:lang w:bidi="he-IL"/>
        </w:rPr>
        <w:t xml:space="preserve"> </w:t>
      </w:r>
    </w:p>
    <w:p w:rsidR="008E4B5C" w:rsidRPr="00882F11" w:rsidRDefault="00F333B0" w:rsidP="00DD0650">
      <w:pPr>
        <w:keepNext/>
        <w:tabs>
          <w:tab w:val="right" w:pos="7497"/>
        </w:tabs>
        <w:bidi/>
        <w:jc w:val="both"/>
        <w:rPr>
          <w:rFonts w:cs="Guttman Drogolin"/>
          <w:sz w:val="28"/>
          <w:szCs w:val="28"/>
          <w:rtl/>
          <w:lang w:bidi="he-IL"/>
        </w:rPr>
      </w:pPr>
      <w:r>
        <w:rPr>
          <w:rFonts w:cs="Guttman Drogolin"/>
          <w:sz w:val="28"/>
          <w:szCs w:val="28"/>
          <w:rtl/>
          <w:lang w:bidi="he-IL"/>
        </w:rPr>
        <w:fldChar w:fldCharType="begin"/>
      </w:r>
      <w:r>
        <w:instrText xml:space="preserve"> XE "</w:instrText>
      </w:r>
      <w:r w:rsidRPr="00B55BD5">
        <w:rPr>
          <w:rFonts w:hint="cs"/>
          <w:rtl/>
          <w:lang w:bidi="he-IL"/>
        </w:rPr>
        <w:instrText>טבילת כלים</w:instrText>
      </w:r>
      <w:r w:rsidRPr="00B55BD5">
        <w:rPr>
          <w:rtl/>
        </w:rPr>
        <w:instrText>:</w:instrText>
      </w:r>
      <w:r w:rsidRPr="00B55BD5">
        <w:rPr>
          <w:rFonts w:cs="Arial"/>
          <w:rtl/>
          <w:lang w:bidi="he-IL"/>
        </w:rPr>
        <w:instrText>כלי זכוכית שקונים בה קפה 'טייסטרס טשויס</w:instrText>
      </w:r>
      <w:r w:rsidRPr="00B55BD5">
        <w:rPr>
          <w:lang w:bidi="he-IL"/>
        </w:rPr>
        <w:instrText>'</w:instrText>
      </w:r>
      <w:r>
        <w:instrText xml:space="preserve">" </w:instrText>
      </w:r>
      <w:r>
        <w:rPr>
          <w:rFonts w:cs="Guttman Drogolin"/>
          <w:sz w:val="28"/>
          <w:szCs w:val="28"/>
          <w:rtl/>
          <w:lang w:bidi="he-IL"/>
        </w:rPr>
        <w:fldChar w:fldCharType="end"/>
      </w:r>
      <w:r w:rsidR="008E4B5C" w:rsidRPr="00882F11">
        <w:rPr>
          <w:rFonts w:cs="Guttman Drogolin" w:hint="cs"/>
          <w:sz w:val="28"/>
          <w:szCs w:val="28"/>
          <w:rtl/>
          <w:lang w:bidi="he-IL"/>
        </w:rPr>
        <w:t>כלי זכוכית שקונים בה קפה 'טייסטרס טשויס'</w:t>
      </w:r>
    </w:p>
    <w:p w:rsidR="00015C05" w:rsidRDefault="008E4B5C" w:rsidP="00B358AE">
      <w:pPr>
        <w:tabs>
          <w:tab w:val="right" w:pos="7497"/>
        </w:tabs>
        <w:bidi/>
        <w:jc w:val="both"/>
        <w:rPr>
          <w:rFonts w:cs="Guttman Drogolin"/>
          <w:rtl/>
          <w:lang w:bidi="he-IL"/>
        </w:rPr>
      </w:pPr>
      <w:r w:rsidRPr="00882F11">
        <w:rPr>
          <w:rFonts w:cs="Guttman Drogolin" w:hint="cs"/>
          <w:rtl/>
          <w:lang w:bidi="he-IL"/>
        </w:rPr>
        <w:t xml:space="preserve">הנה לכאורה אין לומר שיש כאן כלי חד פעמי כיון שהכלי ראוי לעמוד ימים רבים, וכן יש כאלו ששומרים אותו כדי לאחסן בה סוכר וכדומה. ומ"מ עד כמה שאינו חוזר ומשתמש בה יש להקל בדבר. שהרי כלי זה יש בה כמה צדדים להקל: 1) כלי איחסון שנחלקו בה הפוסקים וכמו שהביא רע"א </w:t>
      </w:r>
      <w:r w:rsidRPr="00882F11">
        <w:rPr>
          <w:rFonts w:cs="Guttman Drogolin" w:hint="cs"/>
          <w:rtl/>
          <w:lang w:bidi="he-IL"/>
        </w:rPr>
        <w:lastRenderedPageBreak/>
        <w:t xml:space="preserve">מכנה"ג. </w:t>
      </w:r>
      <w:r w:rsidR="002F5AE3" w:rsidRPr="00882F11">
        <w:rPr>
          <w:rFonts w:cs="Guttman Drogolin" w:hint="cs"/>
          <w:rtl/>
          <w:lang w:bidi="he-IL"/>
        </w:rPr>
        <w:t xml:space="preserve">ואע"ג שלפעמים מביאים אותו לשולחן כדי שיוכלו לעשות קפה (דכה"ג חילק הגרשז"א בין כד הגשה לחבית של איחסון), מ"מ נראה שאינו כצלוחית להיות חייב, כיון שאין זה עיקר השימוש שלו. </w:t>
      </w:r>
      <w:r w:rsidRPr="00882F11">
        <w:rPr>
          <w:rFonts w:cs="Guttman Drogolin" w:hint="cs"/>
          <w:rtl/>
          <w:lang w:bidi="he-IL"/>
        </w:rPr>
        <w:t xml:space="preserve">2) אין הקפה ראוי לאכילה, ולכן לא גרע מריחיים של קפה שדן בה רע"א, ואע"ג שכאן גם הש"ך יודה מסתמא לחיוב כיון שאפשר לאכול ממנה, מ"מ עדיין תלוי במחלוקת דסכין של שחיטה (ולשון הרמ"א בזה אינו אלא ש'טוב' לטובלו בלא ברכה. 3) סברת הגריל"ד דכיון שקונה בה האוכל ואינו מניחו בה אין זה נחשב שימוש כיון שהוא שב ואל תעשה. </w:t>
      </w:r>
      <w:r w:rsidR="0044412E" w:rsidRPr="00882F11">
        <w:rPr>
          <w:rFonts w:cs="Guttman Drogolin" w:hint="cs"/>
          <w:rtl/>
          <w:lang w:bidi="he-IL"/>
        </w:rPr>
        <w:t xml:space="preserve">ועוד שייך סברת הגרמ"פ שבסמוך. </w:t>
      </w:r>
      <w:r w:rsidR="002F5AE3" w:rsidRPr="00882F11">
        <w:rPr>
          <w:rFonts w:cs="Guttman Drogolin" w:hint="cs"/>
          <w:rtl/>
          <w:lang w:bidi="he-IL"/>
        </w:rPr>
        <w:t>ולכן כיון שאינו אלא כלי זכוכית דינו להקל אפילו לכתחילה.</w:t>
      </w:r>
    </w:p>
    <w:p w:rsidR="002F5AE3" w:rsidRPr="00882F11" w:rsidRDefault="002F5AE3" w:rsidP="00015C05">
      <w:pPr>
        <w:tabs>
          <w:tab w:val="right" w:pos="7497"/>
        </w:tabs>
        <w:bidi/>
        <w:jc w:val="both"/>
        <w:rPr>
          <w:rFonts w:cs="Guttman Drogolin"/>
          <w:rtl/>
          <w:lang w:bidi="he-IL"/>
        </w:rPr>
      </w:pPr>
      <w:r w:rsidRPr="00882F11">
        <w:rPr>
          <w:rFonts w:cs="Guttman Drogolin" w:hint="cs"/>
          <w:rtl/>
          <w:lang w:bidi="he-IL"/>
        </w:rPr>
        <w:t xml:space="preserve">אמנם בחוזר ומשתמש בה למידי דאכילה, נראה שיש לטובלו בלי ברכה. דכיון שמ"מ הוא כלי איחסון אין לברך. ומ"מ אין להקל משום דהוי מחלוקת הפוסקים בדין דרבנן, כיון שיתכן שאוכל ישירות ממנו לפעמים (אם מניח בה עוגיות, או אפילו סוכר). אמנם אם חוזר ומשתמש בה לקפה לכאורה ג"כ יש להקל. </w:t>
      </w:r>
      <w:r w:rsidR="00E4065E" w:rsidRPr="00882F11">
        <w:rPr>
          <w:rFonts w:cs="Guttman Drogolin" w:hint="cs"/>
          <w:rtl/>
          <w:lang w:bidi="he-IL"/>
        </w:rPr>
        <w:t>ואין לחייב בצד הכיסוי של מתכת כיון שאין הזיעה</w:t>
      </w:r>
      <w:r w:rsidR="00B358AE" w:rsidRPr="00882F11">
        <w:rPr>
          <w:rFonts w:cs="Guttman Drogolin" w:hint="cs"/>
          <w:rtl/>
          <w:lang w:bidi="he-IL"/>
        </w:rPr>
        <w:t xml:space="preserve">, והוי ממש ככיסוי שע"ג הלחם, וכ"כ בשו"ת </w:t>
      </w:r>
      <w:r w:rsidR="00B358AE" w:rsidRPr="00882F11">
        <w:rPr>
          <w:rFonts w:cs="Guttman Drogolin"/>
          <w:rtl/>
          <w:lang w:bidi="he-IL"/>
        </w:rPr>
        <w:t xml:space="preserve">חשב האפוד (ח"ב סי' צ"ט) </w:t>
      </w:r>
      <w:r w:rsidR="00B358AE" w:rsidRPr="00882F11">
        <w:rPr>
          <w:rFonts w:cs="Guttman Drogolin" w:hint="cs"/>
          <w:rtl/>
          <w:lang w:bidi="he-IL"/>
        </w:rPr>
        <w:t xml:space="preserve">ובספר </w:t>
      </w:r>
      <w:r w:rsidR="00B358AE" w:rsidRPr="00882F11">
        <w:rPr>
          <w:rFonts w:cs="Guttman Drogolin"/>
          <w:rtl/>
          <w:lang w:bidi="he-IL"/>
        </w:rPr>
        <w:t>טבילת כלים (פרק י"א סעי' ס"ג)</w:t>
      </w:r>
      <w:r w:rsidR="00E4065E" w:rsidRPr="00882F11">
        <w:rPr>
          <w:rFonts w:cs="Guttman Drogolin" w:hint="cs"/>
          <w:rtl/>
          <w:lang w:bidi="he-IL"/>
        </w:rPr>
        <w:t>.</w:t>
      </w:r>
      <w:r w:rsidR="00B358AE" w:rsidRPr="00882F11">
        <w:rPr>
          <w:rFonts w:cs="Guttman Drogolin" w:hint="cs"/>
          <w:rtl/>
          <w:lang w:bidi="he-IL"/>
        </w:rPr>
        <w:t xml:space="preserve"> (וראיתי משמי' דהגריש"א (</w:t>
      </w:r>
      <w:r w:rsidR="00B358AE" w:rsidRPr="00882F11">
        <w:rPr>
          <w:rFonts w:cs="Guttman Drogolin"/>
          <w:rtl/>
          <w:lang w:bidi="he-IL"/>
        </w:rPr>
        <w:t>אשרי האיש יו"ד פרק ט' אות ז'</w:t>
      </w:r>
      <w:r w:rsidR="00B358AE" w:rsidRPr="00882F11">
        <w:rPr>
          <w:rFonts w:cs="Guttman Drogolin" w:hint="cs"/>
          <w:rtl/>
          <w:lang w:bidi="he-IL"/>
        </w:rPr>
        <w:t>)</w:t>
      </w:r>
      <w:r w:rsidR="00B358AE" w:rsidRPr="00882F11">
        <w:rPr>
          <w:rFonts w:cs="Guttman Drogolin"/>
          <w:rtl/>
          <w:lang w:bidi="he-IL"/>
        </w:rPr>
        <w:t xml:space="preserve"> </w:t>
      </w:r>
      <w:r w:rsidR="00B358AE" w:rsidRPr="00882F11">
        <w:rPr>
          <w:rFonts w:cs="Guttman Drogolin" w:hint="cs"/>
          <w:rtl/>
          <w:lang w:bidi="he-IL"/>
        </w:rPr>
        <w:t xml:space="preserve">קצת חילוק בדבר, ע"ש). </w:t>
      </w:r>
      <w:r w:rsidR="008E4B5C" w:rsidRPr="00882F11">
        <w:rPr>
          <w:rFonts w:cs="Guttman Drogolin" w:hint="cs"/>
          <w:rtl/>
          <w:lang w:bidi="he-IL"/>
        </w:rPr>
        <w:t xml:space="preserve"> </w:t>
      </w:r>
    </w:p>
    <w:p w:rsidR="002F5AE3" w:rsidRPr="00882F11" w:rsidRDefault="00F333B0" w:rsidP="00DD0650">
      <w:pPr>
        <w:keepNext/>
        <w:tabs>
          <w:tab w:val="right" w:pos="7497"/>
        </w:tabs>
        <w:bidi/>
        <w:jc w:val="both"/>
        <w:rPr>
          <w:rFonts w:cs="Guttman Drogolin"/>
          <w:sz w:val="28"/>
          <w:szCs w:val="28"/>
          <w:rtl/>
          <w:lang w:bidi="he-IL"/>
        </w:rPr>
      </w:pPr>
      <w:r>
        <w:rPr>
          <w:rFonts w:cs="Guttman Drogolin"/>
          <w:sz w:val="28"/>
          <w:szCs w:val="28"/>
          <w:rtl/>
          <w:lang w:bidi="he-IL"/>
        </w:rPr>
        <w:fldChar w:fldCharType="begin"/>
      </w:r>
      <w:r>
        <w:instrText xml:space="preserve"> XE "</w:instrText>
      </w:r>
      <w:r w:rsidRPr="00F4319E">
        <w:rPr>
          <w:rFonts w:hint="cs"/>
          <w:rtl/>
          <w:lang w:bidi="he-IL"/>
        </w:rPr>
        <w:instrText>טבילת כלים</w:instrText>
      </w:r>
      <w:r w:rsidRPr="00F4319E">
        <w:rPr>
          <w:rtl/>
        </w:rPr>
        <w:instrText>:</w:instrText>
      </w:r>
      <w:r w:rsidRPr="00F4319E">
        <w:rPr>
          <w:rFonts w:cs="Arial"/>
          <w:rtl/>
          <w:lang w:bidi="he-IL"/>
        </w:rPr>
        <w:instrText>כלי זכוכית שקונים בה 'קוקה קולה</w:instrText>
      </w:r>
      <w:r w:rsidRPr="00F4319E">
        <w:rPr>
          <w:lang w:bidi="he-IL"/>
        </w:rPr>
        <w:instrText>'</w:instrText>
      </w:r>
      <w:r>
        <w:instrText xml:space="preserve">" </w:instrText>
      </w:r>
      <w:r>
        <w:rPr>
          <w:rFonts w:cs="Guttman Drogolin"/>
          <w:sz w:val="28"/>
          <w:szCs w:val="28"/>
          <w:rtl/>
          <w:lang w:bidi="he-IL"/>
        </w:rPr>
        <w:fldChar w:fldCharType="end"/>
      </w:r>
      <w:r w:rsidR="002F5AE3" w:rsidRPr="00882F11">
        <w:rPr>
          <w:rFonts w:cs="Guttman Drogolin" w:hint="cs"/>
          <w:sz w:val="28"/>
          <w:szCs w:val="28"/>
          <w:rtl/>
          <w:lang w:bidi="he-IL"/>
        </w:rPr>
        <w:t>כלי זכוכית שקונים בה 'קוקה קולה' ו'סנעפל'</w:t>
      </w:r>
    </w:p>
    <w:p w:rsidR="00B358AE" w:rsidRPr="00882F11" w:rsidRDefault="002F5AE3" w:rsidP="002F5AE3">
      <w:pPr>
        <w:tabs>
          <w:tab w:val="right" w:pos="7497"/>
        </w:tabs>
        <w:bidi/>
        <w:jc w:val="both"/>
        <w:rPr>
          <w:rFonts w:cs="Guttman Drogolin"/>
          <w:rtl/>
          <w:lang w:bidi="he-IL"/>
        </w:rPr>
      </w:pPr>
      <w:r w:rsidRPr="00882F11">
        <w:rPr>
          <w:rFonts w:cs="Guttman Drogolin" w:hint="cs"/>
          <w:rtl/>
          <w:lang w:bidi="he-IL"/>
        </w:rPr>
        <w:t>כה"ג חמור יותר מציור דלעיל, שהרי שותים ממנו ממש ולכן אינו לא כלי איחסון וכן הרי הוא ראוי לאכילה. וכן ההיתר של הגריל"ד לא שייך הכא כיון שאינו רק איחסון וגם שותים ממנו.</w:t>
      </w:r>
      <w:r w:rsidR="008E4B5C" w:rsidRPr="00882F11">
        <w:rPr>
          <w:rFonts w:cs="Guttman Drogolin" w:hint="cs"/>
          <w:rtl/>
          <w:lang w:bidi="he-IL"/>
        </w:rPr>
        <w:t xml:space="preserve"> </w:t>
      </w:r>
      <w:r w:rsidRPr="00882F11">
        <w:rPr>
          <w:rFonts w:cs="Guttman Drogolin" w:hint="cs"/>
          <w:rtl/>
          <w:lang w:bidi="he-IL"/>
        </w:rPr>
        <w:t xml:space="preserve">ואולי הי' אפשר לומר שהבקבוק של קוקה קולה דינה ככלי חד פעמי, דהא אין לה שימוש אחרי שפותחים אותו כיון שהמכסה נהרס בשעת פתיחה, ואין לה </w:t>
      </w:r>
      <w:r w:rsidRPr="00882F11">
        <w:rPr>
          <w:rFonts w:cs="Guttman Drogolin" w:hint="cs"/>
          <w:rtl/>
          <w:lang w:bidi="he-IL"/>
        </w:rPr>
        <w:lastRenderedPageBreak/>
        <w:t>כ"כ תשמיש לאחר מכן. וחוץ ממה שאין זה סברא כ"כ חזקה, דהא שפיר יכול למלאות אותה ושוב לשתות ממנה, ומצד חוזר הכלי הרי הוא ראוי לימים רבים, הרי בצלוחית של סנעפל הרי הוא ראוי לכמה שימושים, וא"כ למה לא יהא חייב בטבילת כלים.</w:t>
      </w:r>
      <w:r w:rsidR="00B358AE" w:rsidRPr="00882F11">
        <w:rPr>
          <w:rFonts w:cs="Guttman Drogolin" w:hint="cs"/>
          <w:rtl/>
          <w:lang w:bidi="he-IL"/>
        </w:rPr>
        <w:t xml:space="preserve"> ואפילו אם שותה ממנה דרך קש מ"מ נראה פשוט שעדיין נחשב כלי סעודה. </w:t>
      </w:r>
    </w:p>
    <w:p w:rsidR="004D52E1" w:rsidRPr="00882F11" w:rsidRDefault="00B358AE" w:rsidP="00483922">
      <w:pPr>
        <w:tabs>
          <w:tab w:val="right" w:pos="7497"/>
        </w:tabs>
        <w:bidi/>
        <w:jc w:val="both"/>
        <w:rPr>
          <w:rFonts w:cs="Guttman Drogolin"/>
          <w:rtl/>
          <w:lang w:bidi="he-IL"/>
        </w:rPr>
      </w:pPr>
      <w:r w:rsidRPr="00882F11">
        <w:rPr>
          <w:rFonts w:cs="Guttman Drogolin" w:hint="cs"/>
          <w:rtl/>
          <w:lang w:bidi="he-IL"/>
        </w:rPr>
        <w:t xml:space="preserve">וכמדומה לי מנהג העולם להקל בזה. וכמה סברות נאמרו בדבר. </w:t>
      </w:r>
      <w:r w:rsidR="0099447E" w:rsidRPr="00882F11">
        <w:rPr>
          <w:rFonts w:cs="Guttman Drogolin" w:hint="cs"/>
          <w:rtl/>
          <w:lang w:bidi="he-IL"/>
        </w:rPr>
        <w:t xml:space="preserve">בשו"ת </w:t>
      </w:r>
      <w:r w:rsidR="0099447E" w:rsidRPr="00882F11">
        <w:rPr>
          <w:rFonts w:cs="Guttman Drogolin"/>
          <w:rtl/>
          <w:lang w:bidi="he-IL"/>
        </w:rPr>
        <w:t xml:space="preserve">פרי השדה (ח"ב סי' ק"ט) </w:t>
      </w:r>
      <w:r w:rsidR="0099447E" w:rsidRPr="00882F11">
        <w:rPr>
          <w:rFonts w:cs="Guttman Drogolin" w:hint="cs"/>
          <w:rtl/>
          <w:lang w:bidi="he-IL"/>
        </w:rPr>
        <w:t xml:space="preserve">ושו"ת משנה הלכות </w:t>
      </w:r>
      <w:r w:rsidR="0099447E" w:rsidRPr="00882F11">
        <w:rPr>
          <w:rFonts w:cs="Guttman Drogolin"/>
          <w:rtl/>
          <w:lang w:bidi="he-IL"/>
        </w:rPr>
        <w:t xml:space="preserve">(ח"ד סי' ק"ז) </w:t>
      </w:r>
      <w:r w:rsidR="0099447E" w:rsidRPr="00882F11">
        <w:rPr>
          <w:rFonts w:cs="Guttman Drogolin" w:hint="cs"/>
          <w:rtl/>
          <w:lang w:bidi="he-IL"/>
        </w:rPr>
        <w:t>כתבו טעם לפטור משום שאין דעתו של הקונה לקנות הכלי כיון שזורקו לאחר מכן. וזהו חידוש גדול, דלכאורה אין זה נכון, ואם ירצה א' לקחת הזכוכית ולהשתמש בה לעצמו, מי מורשה לשפוך המשקה לכלי אחר ולקחת אותו. ומ"מ עצה יש להפקיר הכלי (אב</w:t>
      </w:r>
      <w:r w:rsidR="004D52E1" w:rsidRPr="00882F11">
        <w:rPr>
          <w:rFonts w:cs="Guttman Drogolin" w:hint="cs"/>
          <w:rtl/>
          <w:lang w:bidi="he-IL"/>
        </w:rPr>
        <w:t>ל</w:t>
      </w:r>
      <w:r w:rsidR="0099447E" w:rsidRPr="00882F11">
        <w:rPr>
          <w:rFonts w:cs="Guttman Drogolin" w:hint="cs"/>
          <w:rtl/>
          <w:lang w:bidi="he-IL"/>
        </w:rPr>
        <w:t xml:space="preserve"> שלא לזכות בה לא תיהני אא"כ קנה אותו מנכרי, שאם קנה מישראל </w:t>
      </w:r>
      <w:r w:rsidR="004D52E1" w:rsidRPr="00882F11">
        <w:rPr>
          <w:rFonts w:cs="Guttman Drogolin" w:hint="cs"/>
          <w:rtl/>
          <w:lang w:bidi="he-IL"/>
        </w:rPr>
        <w:t>ישאר בחיובו</w:t>
      </w:r>
      <w:r w:rsidR="006279C7" w:rsidRPr="00882F11">
        <w:rPr>
          <w:rFonts w:cs="Guttman Drogolin" w:hint="cs"/>
          <w:rtl/>
          <w:lang w:bidi="he-IL"/>
        </w:rPr>
        <w:t>, וכן מבואר באשרי האיש מובא בסמוך</w:t>
      </w:r>
      <w:r w:rsidR="004D52E1" w:rsidRPr="00882F11">
        <w:rPr>
          <w:rFonts w:cs="Guttman Drogolin" w:hint="cs"/>
          <w:rtl/>
          <w:lang w:bidi="he-IL"/>
        </w:rPr>
        <w:t>. אמנם אולי י"ל שאם אינו זוכה בה אינו אצל המוכר ככלי סעודה, רק ככלי סעודה לשיטת המקילין שבבית מלון וכדומה חשוב כלי סחורה. אמנם כבר הארכנו בקושי שבסברא זו</w:t>
      </w:r>
      <w:r w:rsidR="00ED2FFB" w:rsidRPr="00882F11">
        <w:rPr>
          <w:rFonts w:cs="Guttman Drogolin" w:hint="cs"/>
          <w:rtl/>
          <w:lang w:bidi="he-IL"/>
        </w:rPr>
        <w:t xml:space="preserve">. </w:t>
      </w:r>
      <w:r w:rsidR="00C97FF7" w:rsidRPr="00882F11">
        <w:rPr>
          <w:rFonts w:cs="Guttman Drogolin" w:hint="cs"/>
          <w:rtl/>
          <w:lang w:bidi="he-IL"/>
        </w:rPr>
        <w:t>ואע"פ ש</w:t>
      </w:r>
      <w:r w:rsidR="00ED2FFB" w:rsidRPr="00882F11">
        <w:rPr>
          <w:rFonts w:cs="Guttman Drogolin" w:hint="cs"/>
          <w:rtl/>
          <w:lang w:bidi="he-IL"/>
        </w:rPr>
        <w:t>לפי הבירורים שלי הבקבוקים באר"י של קוקה קולה ופפסי מיוצרים באר"י, ומסתמא בבעלות ישראל ולכן ליכא חיוב טבילה</w:t>
      </w:r>
      <w:r w:rsidR="00C97FF7" w:rsidRPr="00882F11">
        <w:rPr>
          <w:rFonts w:cs="Guttman Drogolin" w:hint="cs"/>
          <w:rtl/>
          <w:lang w:bidi="he-IL"/>
        </w:rPr>
        <w:t>, מ"מ לכאורה קוקה קולה קנתה את הבקבוקים מהם וא"כ שוב יתחייבו. וכה"ג יש לדון ב</w:t>
      </w:r>
      <w:r w:rsidR="00483922" w:rsidRPr="00882F11">
        <w:rPr>
          <w:rFonts w:cs="Guttman Drogolin" w:hint="cs"/>
          <w:rtl/>
          <w:lang w:bidi="he-IL"/>
        </w:rPr>
        <w:t>צרכני'</w:t>
      </w:r>
      <w:r w:rsidR="00C97FF7" w:rsidRPr="00882F11">
        <w:rPr>
          <w:rFonts w:cs="Guttman Drogolin" w:hint="cs"/>
          <w:rtl/>
          <w:lang w:bidi="he-IL"/>
        </w:rPr>
        <w:t xml:space="preserve"> שקנה בקבוקים כאלו וכדומה, ולפעמים אינם קונים רק מוכרים בשליחות ומרויחים חלק ושוב מחזירים השאר</w:t>
      </w:r>
      <w:r w:rsidR="004D52E1" w:rsidRPr="00882F11">
        <w:rPr>
          <w:rFonts w:cs="Guttman Drogolin" w:hint="cs"/>
          <w:rtl/>
          <w:lang w:bidi="he-IL"/>
        </w:rPr>
        <w:t>). וכן הביא עצה זו בשו"ת שרידי אש (ח"ב סי' כ"ט).</w:t>
      </w:r>
    </w:p>
    <w:p w:rsidR="00ED2FFB" w:rsidRPr="00882F11" w:rsidRDefault="004D52E1" w:rsidP="00F1024C">
      <w:pPr>
        <w:tabs>
          <w:tab w:val="right" w:pos="7497"/>
        </w:tabs>
        <w:bidi/>
        <w:jc w:val="both"/>
        <w:rPr>
          <w:rFonts w:cs="Guttman Drogolin"/>
          <w:rtl/>
          <w:lang w:bidi="he-IL"/>
        </w:rPr>
      </w:pPr>
      <w:r w:rsidRPr="00882F11">
        <w:rPr>
          <w:rFonts w:cs="Guttman Drogolin" w:hint="cs"/>
          <w:rtl/>
          <w:lang w:bidi="he-IL"/>
        </w:rPr>
        <w:t xml:space="preserve">ובאג"מ </w:t>
      </w:r>
      <w:r w:rsidR="0044412E" w:rsidRPr="00882F11">
        <w:rPr>
          <w:rFonts w:cs="Guttman Drogolin" w:hint="cs"/>
          <w:rtl/>
          <w:lang w:bidi="he-IL"/>
        </w:rPr>
        <w:t xml:space="preserve">(יו"ד ב' סי' מ') </w:t>
      </w:r>
      <w:r w:rsidRPr="00882F11">
        <w:rPr>
          <w:rFonts w:cs="Guttman Drogolin" w:hint="cs"/>
          <w:rtl/>
          <w:lang w:bidi="he-IL"/>
        </w:rPr>
        <w:t>כתב בזה סברא אחרת</w:t>
      </w:r>
      <w:r w:rsidR="0044412E" w:rsidRPr="00882F11">
        <w:rPr>
          <w:rFonts w:cs="Guttman Drogolin" w:hint="cs"/>
          <w:rtl/>
          <w:lang w:bidi="he-IL"/>
        </w:rPr>
        <w:t>, והוא שכלים כאלו נחשבים כקליפה ולא ככלי. וע"ש דמשו"ה אפילו אם ירצה להשתמש בה פעם שני לאחר מכן אינו צריך טבילה כיון שהישראל הוא שעשאו לכלי. (ונראה להדגיש שזהו סברא אחרת ממה שהבאנו לעיל בכלים חד פעמיים, דהכא אין זה משום היותם אינם ראוים לזמן ארוך, רק משום שאינם אלא כקליפה. ומאידך, צריכים אנו להיתירא דכלים חד פעמיים ב</w:t>
      </w:r>
      <w:r w:rsidR="00F1024C" w:rsidRPr="00882F11">
        <w:rPr>
          <w:rFonts w:cs="Guttman Drogolin" w:hint="cs"/>
          <w:rtl/>
          <w:lang w:bidi="he-IL"/>
        </w:rPr>
        <w:t>כה"ג שקונה אותם בלי מאכל בפנים,</w:t>
      </w:r>
      <w:r w:rsidR="0044412E" w:rsidRPr="00882F11">
        <w:rPr>
          <w:rFonts w:cs="Guttman Drogolin" w:hint="cs"/>
          <w:rtl/>
          <w:lang w:bidi="he-IL"/>
        </w:rPr>
        <w:t xml:space="preserve"> וכגון בתבניות חד-</w:t>
      </w:r>
      <w:r w:rsidR="0044412E" w:rsidRPr="00882F11">
        <w:rPr>
          <w:rFonts w:cs="Guttman Drogolin" w:hint="cs"/>
          <w:rtl/>
          <w:lang w:bidi="he-IL"/>
        </w:rPr>
        <w:lastRenderedPageBreak/>
        <w:t>פעמיות). וע"ש שהאריך ביסוד זה והסיק "</w:t>
      </w:r>
      <w:r w:rsidR="0044412E" w:rsidRPr="00882F11">
        <w:rPr>
          <w:rFonts w:cs="Guttman Drogolin"/>
          <w:rtl/>
          <w:lang w:bidi="he-IL"/>
        </w:rPr>
        <w:t>ובכלי זכוכית שטבילתן הוא רק מדרבנן יש ודאי לסמוך ע"ז, ואף אם יסמכו ע"ז גם בכלי מתכות אין למחות בידם</w:t>
      </w:r>
      <w:r w:rsidR="00ED2FFB" w:rsidRPr="00882F11">
        <w:rPr>
          <w:rFonts w:cs="Guttman Drogolin" w:hint="cs"/>
          <w:rtl/>
          <w:lang w:bidi="he-IL"/>
        </w:rPr>
        <w:t xml:space="preserve">". </w:t>
      </w:r>
      <w:r w:rsidR="00320634" w:rsidRPr="00882F11">
        <w:rPr>
          <w:rFonts w:cs="Guttman Drogolin" w:hint="cs"/>
          <w:rtl/>
          <w:lang w:bidi="he-IL"/>
        </w:rPr>
        <w:t xml:space="preserve">ויל"ע לשיטתו אם יצטרך טבילת כלים לפתחן כיון שלדידי' הכלי אינו אלא שומר לפרי, ולכן הוי כמו קלפן. </w:t>
      </w:r>
      <w:r w:rsidR="00F1024C" w:rsidRPr="00882F11">
        <w:rPr>
          <w:rFonts w:cs="Guttman Drogolin" w:hint="cs"/>
          <w:rtl/>
          <w:lang w:bidi="he-IL"/>
        </w:rPr>
        <w:t xml:space="preserve">ובשו"ת שבט הלוי </w:t>
      </w:r>
      <w:r w:rsidR="00F1024C" w:rsidRPr="00882F11">
        <w:rPr>
          <w:rFonts w:cs="Guttman Drogolin"/>
          <w:rtl/>
          <w:lang w:bidi="he-IL"/>
        </w:rPr>
        <w:t>(ח"ו סי' רמ"ה אות ד'</w:t>
      </w:r>
      <w:r w:rsidR="00F1024C" w:rsidRPr="00882F11">
        <w:rPr>
          <w:rFonts w:cs="Guttman Drogolin" w:hint="cs"/>
          <w:rtl/>
          <w:lang w:bidi="he-IL"/>
        </w:rPr>
        <w:t xml:space="preserve">) פטר מפצח אגוזים מטבילת כלים כיון שאינו נוגע באוכל וא"כ ודאי לדידי' אין לחייב (ויש מחייבים </w:t>
      </w:r>
      <w:r w:rsidR="00F1024C" w:rsidRPr="00882F11">
        <w:rPr>
          <w:rFonts w:cs="Guttman Drogolin"/>
          <w:rtl/>
          <w:lang w:bidi="he-IL"/>
        </w:rPr>
        <w:t>–</w:t>
      </w:r>
      <w:r w:rsidR="00F1024C" w:rsidRPr="00882F11">
        <w:rPr>
          <w:rFonts w:cs="Guttman Drogolin" w:hint="cs"/>
          <w:rtl/>
          <w:lang w:bidi="he-IL"/>
        </w:rPr>
        <w:t xml:space="preserve"> ע'  בס' </w:t>
      </w:r>
      <w:r w:rsidR="00F1024C" w:rsidRPr="00882F11">
        <w:rPr>
          <w:rFonts w:cs="Guttman Drogolin"/>
          <w:rtl/>
          <w:lang w:bidi="he-IL"/>
        </w:rPr>
        <w:tab/>
        <w:t>טבילת כלים פרק י"א אות קכ"ד)</w:t>
      </w:r>
      <w:r w:rsidR="00F1024C" w:rsidRPr="00882F11">
        <w:rPr>
          <w:rFonts w:cs="Guttman Drogolin" w:hint="cs"/>
          <w:rtl/>
          <w:lang w:bidi="he-IL"/>
        </w:rPr>
        <w:t xml:space="preserve">. </w:t>
      </w:r>
      <w:r w:rsidR="00320634" w:rsidRPr="00882F11">
        <w:rPr>
          <w:rFonts w:cs="Guttman Drogolin" w:hint="cs"/>
          <w:rtl/>
          <w:lang w:bidi="he-IL"/>
        </w:rPr>
        <w:t>ו</w:t>
      </w:r>
      <w:r w:rsidR="00F1024C" w:rsidRPr="00882F11">
        <w:rPr>
          <w:rFonts w:cs="Guttman Drogolin" w:hint="cs"/>
          <w:rtl/>
          <w:lang w:bidi="he-IL"/>
        </w:rPr>
        <w:t xml:space="preserve">כן מ"מ </w:t>
      </w:r>
      <w:r w:rsidR="00320634" w:rsidRPr="00882F11">
        <w:rPr>
          <w:rFonts w:cs="Guttman Drogolin" w:hint="cs"/>
          <w:rtl/>
          <w:lang w:bidi="he-IL"/>
        </w:rPr>
        <w:t xml:space="preserve">לכאורה יש לחלק. </w:t>
      </w:r>
      <w:r w:rsidR="00F1024C" w:rsidRPr="00882F11">
        <w:rPr>
          <w:rFonts w:cs="Guttman Drogolin" w:hint="cs"/>
          <w:rtl/>
          <w:lang w:bidi="he-IL"/>
        </w:rPr>
        <w:t>ומ"מ יעוין בס' הזכרון להגרא"ז גורביץ עמ' ר"ה שהגרח"פ שיינברג זצ"ל דחה ראויתיו וסבר שעדיין שם כלי עליו.</w:t>
      </w:r>
    </w:p>
    <w:p w:rsidR="00320634" w:rsidRPr="00882F11" w:rsidRDefault="00ED2FFB" w:rsidP="00ED2FFB">
      <w:pPr>
        <w:tabs>
          <w:tab w:val="right" w:pos="7497"/>
        </w:tabs>
        <w:bidi/>
        <w:jc w:val="both"/>
        <w:rPr>
          <w:rFonts w:cs="Guttman Drogolin"/>
          <w:rtl/>
          <w:lang w:bidi="he-IL"/>
        </w:rPr>
      </w:pPr>
      <w:r w:rsidRPr="00882F11">
        <w:rPr>
          <w:rFonts w:cs="Guttman Drogolin" w:hint="cs"/>
          <w:rtl/>
          <w:lang w:bidi="he-IL"/>
        </w:rPr>
        <w:t>וסברא נוספת מצאתי בשם הגרשז"א (ע' ס' טבילת כלים פ"ד הערה ט"ו). והוא שהרי עכ"פ מותר להוריק את תכולת הכלי מן הכלי וא"כ מאי שנא אם רוקנים הכלי דרך שתי' או בדרך אחר. ואף על גב דסבר ששתיי' ודאי חשוב תשמיש, מ"מ כיון שאין דעתו אלא לרוקן הכלי ולזורקו מיד לאחר מכן</w:t>
      </w:r>
      <w:r w:rsidR="00320634" w:rsidRPr="00882F11">
        <w:rPr>
          <w:rFonts w:cs="Guttman Drogolin" w:hint="cs"/>
          <w:rtl/>
          <w:lang w:bidi="he-IL"/>
        </w:rPr>
        <w:t xml:space="preserve"> אין זה אלא תשמיש ריקון ולא תשמיש שתיי' ואין בה איסור.</w:t>
      </w:r>
      <w:r w:rsidRPr="00882F11">
        <w:rPr>
          <w:rFonts w:cs="Guttman Drogolin" w:hint="cs"/>
          <w:rtl/>
          <w:lang w:bidi="he-IL"/>
        </w:rPr>
        <w:t xml:space="preserve"> </w:t>
      </w:r>
    </w:p>
    <w:p w:rsidR="006279C7" w:rsidRPr="00882F11" w:rsidRDefault="00F333B0" w:rsidP="00F333B0">
      <w:pPr>
        <w:keepNext/>
        <w:tabs>
          <w:tab w:val="right" w:pos="7497"/>
        </w:tabs>
        <w:bidi/>
        <w:jc w:val="both"/>
        <w:rPr>
          <w:rFonts w:cs="Guttman Drogolin"/>
          <w:sz w:val="28"/>
          <w:szCs w:val="28"/>
          <w:rtl/>
          <w:lang w:bidi="he-IL"/>
        </w:rPr>
      </w:pPr>
      <w:r>
        <w:rPr>
          <w:rFonts w:cs="Guttman Drogolin"/>
          <w:sz w:val="28"/>
          <w:szCs w:val="28"/>
          <w:rtl/>
          <w:lang w:bidi="he-IL"/>
        </w:rPr>
        <w:fldChar w:fldCharType="begin"/>
      </w:r>
      <w:r>
        <w:instrText xml:space="preserve"> XE "</w:instrText>
      </w:r>
      <w:r w:rsidRPr="00CF70DC">
        <w:rPr>
          <w:rFonts w:cs="Guttman Drogolin" w:hint="cs"/>
          <w:sz w:val="28"/>
          <w:szCs w:val="28"/>
          <w:rtl/>
          <w:lang w:bidi="he-IL"/>
        </w:rPr>
        <w:instrText>טבילת כלים</w:instrText>
      </w:r>
      <w:r w:rsidRPr="00CF70DC">
        <w:rPr>
          <w:rFonts w:cs="Guttman Drogolin"/>
          <w:sz w:val="28"/>
          <w:szCs w:val="28"/>
          <w:rtl/>
        </w:rPr>
        <w:instrText>:</w:instrText>
      </w:r>
      <w:r w:rsidRPr="00CF70DC">
        <w:rPr>
          <w:rFonts w:cs="Arial"/>
          <w:rtl/>
          <w:lang w:bidi="he-IL"/>
        </w:rPr>
        <w:instrText>בקבוקי יין הנמצאים בצרכניה השייכת לנכרי</w:instrText>
      </w:r>
      <w:r>
        <w:instrText xml:space="preserve">" </w:instrText>
      </w:r>
      <w:r>
        <w:rPr>
          <w:rFonts w:cs="Guttman Drogolin"/>
          <w:sz w:val="28"/>
          <w:szCs w:val="28"/>
          <w:rtl/>
          <w:lang w:bidi="he-IL"/>
        </w:rPr>
        <w:fldChar w:fldCharType="end"/>
      </w:r>
      <w:r w:rsidR="006279C7" w:rsidRPr="00882F11">
        <w:rPr>
          <w:rFonts w:cs="Guttman Drogolin" w:hint="cs"/>
          <w:sz w:val="28"/>
          <w:szCs w:val="28"/>
          <w:rtl/>
          <w:lang w:bidi="he-IL"/>
        </w:rPr>
        <w:t>בקבוקי יין הנמצאים בצרכניה השייכת לנכרי</w:t>
      </w:r>
    </w:p>
    <w:p w:rsidR="006279C7" w:rsidRPr="00882F11" w:rsidRDefault="006279C7" w:rsidP="00F178D7">
      <w:pPr>
        <w:keepNext/>
        <w:tabs>
          <w:tab w:val="right" w:pos="7497"/>
        </w:tabs>
        <w:bidi/>
        <w:jc w:val="both"/>
        <w:rPr>
          <w:rFonts w:cs="Guttman Drogolin"/>
          <w:sz w:val="28"/>
          <w:szCs w:val="28"/>
          <w:rtl/>
          <w:lang w:bidi="he-IL"/>
        </w:rPr>
      </w:pPr>
      <w:r w:rsidRPr="00882F11">
        <w:rPr>
          <w:rFonts w:cs="Guttman Drogolin" w:hint="cs"/>
          <w:rtl/>
          <w:lang w:bidi="he-IL"/>
        </w:rPr>
        <w:t>אפילו אם ידוע שחברת יין מסוים שהוא בבעלות יהודי קנה בקבוקי זכוכית מיהודי, או שיצר הבקבוקים בבית חרושת שלהם, עדיין יש ל</w:t>
      </w:r>
      <w:r w:rsidR="00F178D7" w:rsidRPr="00882F11">
        <w:rPr>
          <w:rFonts w:cs="Guttman Drogolin" w:hint="cs"/>
          <w:rtl/>
          <w:lang w:bidi="he-IL"/>
        </w:rPr>
        <w:t>דון מה יהא הדין בקונה יין בצרכנ</w:t>
      </w:r>
      <w:r w:rsidRPr="00882F11">
        <w:rPr>
          <w:rFonts w:cs="Guttman Drogolin" w:hint="cs"/>
          <w:rtl/>
          <w:lang w:bidi="he-IL"/>
        </w:rPr>
        <w:t xml:space="preserve">י' השייך לנכרי (ודבר זה שכיח טובא בחו"ל), שכה"ג הרי קנה הבקבוק מן הנכרי בעל הצרכני'. </w:t>
      </w:r>
      <w:r w:rsidR="00F178D7" w:rsidRPr="00882F11">
        <w:rPr>
          <w:rFonts w:cs="Guttman Drogolin" w:hint="cs"/>
          <w:rtl/>
          <w:lang w:bidi="he-IL"/>
        </w:rPr>
        <w:t>והנה בקבוקים אלו אם הם של זכוכית יתכן שדינם ככלי איחסון, ואולי אפשר להקל בכלי איחסון של זכוכית כיון דהוי מחלוקת הפוסקים בדין דרבנן. אלא כיון שהנהוג שמביאים ב</w:t>
      </w:r>
      <w:r w:rsidR="00483922" w:rsidRPr="00882F11">
        <w:rPr>
          <w:rFonts w:cs="Guttman Drogolin" w:hint="cs"/>
          <w:rtl/>
          <w:lang w:bidi="he-IL"/>
        </w:rPr>
        <w:t>קבוקים אלו לשולחן לכאורה הוו כצ</w:t>
      </w:r>
      <w:r w:rsidR="00F178D7" w:rsidRPr="00882F11">
        <w:rPr>
          <w:rFonts w:cs="Guttman Drogolin" w:hint="cs"/>
          <w:rtl/>
          <w:lang w:bidi="he-IL"/>
        </w:rPr>
        <w:t xml:space="preserve">לוחית החייבת. ויתכן שאין הצרכניי' בעל הבקבוקים רק מוכרים בשליחות ישראל, ודבר זה </w:t>
      </w:r>
      <w:r w:rsidR="00F178D7" w:rsidRPr="00882F11">
        <w:rPr>
          <w:rFonts w:cs="Guttman Drogolin" w:hint="cs"/>
          <w:rtl/>
          <w:lang w:bidi="he-IL"/>
        </w:rPr>
        <w:lastRenderedPageBreak/>
        <w:t>תלוי במציאות. ועוד יתכן שחשוב שב ואל מעשה, וכן שייך סברת הגרשז"א דלעיל. וצ"ע.</w:t>
      </w:r>
    </w:p>
    <w:p w:rsidR="00320634" w:rsidRPr="00882F11" w:rsidRDefault="00F333B0" w:rsidP="006279C7">
      <w:pPr>
        <w:keepNext/>
        <w:tabs>
          <w:tab w:val="right" w:pos="7497"/>
        </w:tabs>
        <w:bidi/>
        <w:jc w:val="both"/>
        <w:rPr>
          <w:rFonts w:cs="Guttman Drogolin"/>
          <w:sz w:val="28"/>
          <w:szCs w:val="28"/>
          <w:rtl/>
          <w:lang w:bidi="he-IL"/>
        </w:rPr>
      </w:pPr>
      <w:r>
        <w:rPr>
          <w:rFonts w:cs="Guttman Drogolin"/>
          <w:sz w:val="28"/>
          <w:szCs w:val="28"/>
          <w:rtl/>
          <w:lang w:bidi="he-IL"/>
        </w:rPr>
        <w:fldChar w:fldCharType="begin"/>
      </w:r>
      <w:r>
        <w:instrText xml:space="preserve"> XE "</w:instrText>
      </w:r>
      <w:r w:rsidRPr="00015686">
        <w:rPr>
          <w:rFonts w:hint="cs"/>
          <w:rtl/>
          <w:lang w:bidi="he-IL"/>
        </w:rPr>
        <w:instrText>טבילת כלים</w:instrText>
      </w:r>
      <w:r w:rsidRPr="00015686">
        <w:rPr>
          <w:rtl/>
        </w:rPr>
        <w:instrText>:</w:instrText>
      </w:r>
      <w:r w:rsidRPr="00015686">
        <w:rPr>
          <w:rFonts w:hint="cs"/>
          <w:rtl/>
          <w:lang w:bidi="he-IL"/>
        </w:rPr>
        <w:instrText>פחיות של קוקה קולה</w:instrText>
      </w:r>
      <w:r>
        <w:instrText xml:space="preserve">" </w:instrText>
      </w:r>
      <w:r>
        <w:rPr>
          <w:rFonts w:cs="Guttman Drogolin"/>
          <w:sz w:val="28"/>
          <w:szCs w:val="28"/>
          <w:rtl/>
          <w:lang w:bidi="he-IL"/>
        </w:rPr>
        <w:fldChar w:fldCharType="end"/>
      </w:r>
      <w:r w:rsidR="007F01EE" w:rsidRPr="00882F11">
        <w:rPr>
          <w:rFonts w:cs="Guttman Drogolin" w:hint="cs"/>
          <w:sz w:val="28"/>
          <w:szCs w:val="28"/>
          <w:rtl/>
          <w:lang w:bidi="he-IL"/>
        </w:rPr>
        <w:t xml:space="preserve">פחיות של </w:t>
      </w:r>
      <w:r w:rsidR="00320634" w:rsidRPr="00882F11">
        <w:rPr>
          <w:rFonts w:cs="Guttman Drogolin" w:hint="cs"/>
          <w:sz w:val="28"/>
          <w:szCs w:val="28"/>
          <w:rtl/>
          <w:lang w:bidi="he-IL"/>
        </w:rPr>
        <w:t xml:space="preserve">'קוקה קולה' </w:t>
      </w:r>
    </w:p>
    <w:p w:rsidR="00F1024C" w:rsidRPr="00882F11" w:rsidRDefault="007F01EE" w:rsidP="00320634">
      <w:pPr>
        <w:tabs>
          <w:tab w:val="right" w:pos="7497"/>
        </w:tabs>
        <w:bidi/>
        <w:jc w:val="both"/>
        <w:rPr>
          <w:rFonts w:cs="Guttman Drogolin"/>
          <w:rtl/>
          <w:lang w:bidi="he-IL"/>
        </w:rPr>
      </w:pPr>
      <w:r w:rsidRPr="00882F11">
        <w:rPr>
          <w:rFonts w:cs="Guttman Drogolin" w:hint="cs"/>
          <w:rtl/>
          <w:lang w:bidi="he-IL"/>
        </w:rPr>
        <w:t>פטורים כיון דהוו חד-פעמי שאינם ראוים ליותר מתשמיש א'.</w:t>
      </w:r>
      <w:r w:rsidR="00ED2FFB" w:rsidRPr="00882F11">
        <w:rPr>
          <w:rFonts w:cs="Guttman Drogolin" w:hint="cs"/>
          <w:rtl/>
          <w:lang w:bidi="he-IL"/>
        </w:rPr>
        <w:t xml:space="preserve"> </w:t>
      </w:r>
      <w:r w:rsidR="0044412E" w:rsidRPr="00882F11">
        <w:rPr>
          <w:rFonts w:cs="Guttman Drogolin"/>
          <w:rtl/>
          <w:lang w:bidi="he-IL"/>
        </w:rPr>
        <w:t xml:space="preserve"> </w:t>
      </w:r>
    </w:p>
    <w:p w:rsidR="00F1024C" w:rsidRPr="00882F11" w:rsidRDefault="00F333B0" w:rsidP="00DD0650">
      <w:pPr>
        <w:keepNext/>
        <w:tabs>
          <w:tab w:val="right" w:pos="7497"/>
        </w:tabs>
        <w:bidi/>
        <w:jc w:val="both"/>
        <w:rPr>
          <w:rFonts w:cs="Guttman Drogolin"/>
          <w:sz w:val="28"/>
          <w:szCs w:val="28"/>
          <w:rtl/>
          <w:lang w:bidi="he-IL"/>
        </w:rPr>
      </w:pPr>
      <w:r>
        <w:rPr>
          <w:rFonts w:cs="Guttman Drogolin"/>
          <w:sz w:val="28"/>
          <w:szCs w:val="28"/>
          <w:rtl/>
          <w:lang w:bidi="he-IL"/>
        </w:rPr>
        <w:fldChar w:fldCharType="begin"/>
      </w:r>
      <w:r>
        <w:instrText xml:space="preserve"> XE "</w:instrText>
      </w:r>
      <w:r w:rsidRPr="00D66381">
        <w:rPr>
          <w:rFonts w:hint="cs"/>
          <w:rtl/>
          <w:lang w:bidi="he-IL"/>
        </w:rPr>
        <w:instrText>טבילת כלים</w:instrText>
      </w:r>
      <w:r w:rsidRPr="00D66381">
        <w:rPr>
          <w:rtl/>
        </w:rPr>
        <w:instrText>:</w:instrText>
      </w:r>
      <w:r w:rsidRPr="00D66381">
        <w:rPr>
          <w:rFonts w:hint="cs"/>
          <w:rtl/>
          <w:lang w:bidi="he-IL"/>
        </w:rPr>
        <w:instrText>שלחן</w:instrText>
      </w:r>
      <w:r>
        <w:instrText xml:space="preserve">" </w:instrText>
      </w:r>
      <w:r>
        <w:rPr>
          <w:rFonts w:cs="Guttman Drogolin"/>
          <w:sz w:val="28"/>
          <w:szCs w:val="28"/>
          <w:rtl/>
          <w:lang w:bidi="he-IL"/>
        </w:rPr>
        <w:fldChar w:fldCharType="end"/>
      </w:r>
      <w:r w:rsidR="00F1024C" w:rsidRPr="00882F11">
        <w:rPr>
          <w:rFonts w:cs="Guttman Drogolin" w:hint="cs"/>
          <w:sz w:val="28"/>
          <w:szCs w:val="28"/>
          <w:rtl/>
          <w:lang w:bidi="he-IL"/>
        </w:rPr>
        <w:t>שלחן מזכוכית או דף במקרר של זכוכית</w:t>
      </w:r>
    </w:p>
    <w:p w:rsidR="00EA443D" w:rsidRPr="00882F11" w:rsidRDefault="00F1024C" w:rsidP="00F1024C">
      <w:pPr>
        <w:tabs>
          <w:tab w:val="right" w:pos="7497"/>
        </w:tabs>
        <w:bidi/>
        <w:jc w:val="both"/>
        <w:rPr>
          <w:rFonts w:cs="Guttman Drogolin"/>
          <w:rtl/>
          <w:lang w:bidi="he-IL"/>
        </w:rPr>
      </w:pPr>
      <w:r w:rsidRPr="00882F11">
        <w:rPr>
          <w:rFonts w:cs="Guttman Drogolin" w:hint="cs"/>
          <w:rtl/>
          <w:lang w:bidi="he-IL"/>
        </w:rPr>
        <w:t xml:space="preserve">לכאורה עיקר תשמיש אלו ע"י שמניח כלי עליהם, ובתוך הכלי יש אוכל. אמנם נפק"מ למי שמניח אוכל ישירות עליו. ולשיטת הפר"ח יש לפטור בזה כיון שאפילו אצל הבעלים אזלינן בתר רוב תשמישתו. אבל לרמ"א לכאורה יש לאסור לבעלים להניח עליו. וכ"ש לאו"ה יהא אסור. ובמקרר שאינו אלא לאיחסון לכאורה יש להקל עכ"פ בזכוכית כיון שיש פוטרים כלי איחסון, וכן אינו אלא תשמיש עראי שפטור אליבא דפר"ח, וכן הוא מחזיק מ' סאה ולכן י"א דהוי כקרקע </w:t>
      </w:r>
      <w:r w:rsidR="000A5812" w:rsidRPr="00882F11">
        <w:rPr>
          <w:rFonts w:cs="Guttman Drogolin" w:hint="cs"/>
          <w:rtl/>
          <w:lang w:bidi="he-IL"/>
        </w:rPr>
        <w:t xml:space="preserve"> (ע' מזה בשו"ת </w:t>
      </w:r>
      <w:r w:rsidR="000A5812" w:rsidRPr="00882F11">
        <w:rPr>
          <w:rFonts w:cs="Guttman Drogolin"/>
          <w:rtl/>
          <w:lang w:bidi="he-IL"/>
        </w:rPr>
        <w:t>טוב טעם ודעת תליתאי ח"ב סי' כ"ב</w:t>
      </w:r>
      <w:r w:rsidR="000A5812" w:rsidRPr="00882F11">
        <w:rPr>
          <w:rFonts w:cs="Guttman Drogolin" w:hint="cs"/>
          <w:rtl/>
          <w:lang w:bidi="he-IL"/>
        </w:rPr>
        <w:t>, וע' חלקת בנימין ס"ק ג'</w:t>
      </w:r>
      <w:r w:rsidR="000A5812" w:rsidRPr="00882F11">
        <w:rPr>
          <w:rFonts w:cs="Guttman Drogolin"/>
          <w:rtl/>
          <w:lang w:bidi="he-IL"/>
        </w:rPr>
        <w:t>)</w:t>
      </w:r>
      <w:r w:rsidRPr="00882F11">
        <w:rPr>
          <w:rFonts w:cs="Guttman Drogolin" w:hint="cs"/>
          <w:rtl/>
          <w:lang w:bidi="he-IL"/>
        </w:rPr>
        <w:t>.</w:t>
      </w:r>
      <w:r w:rsidR="000A5812" w:rsidRPr="00882F11">
        <w:rPr>
          <w:rFonts w:cs="Guttman Drogolin" w:hint="cs"/>
          <w:rtl/>
          <w:lang w:bidi="he-IL"/>
        </w:rPr>
        <w:t xml:space="preserve"> ומ"מ בשולחן יל"ע אם אפשר לסמוך על הפר"ח לבד באיסור דרבנן. ואולי יש להוסיף בזה עוד סברא, דעד כאן לא החמיר הרמ"א בתשמיש שאינו קבוע בבעלים אלא בכגון סכין שבעצם מהותו עומד לתשמיש סעודה, רק שהוא ייחד אותו לחיתוך קלפים. אבל שולחן שאינו עומד להנחת אוכל רק להנחת כלים אפילו הרמ"א מודה. אלא שלכאורה אפילו אם סברא זו נכונה, מ</w:t>
      </w:r>
      <w:r w:rsidR="00483922" w:rsidRPr="00882F11">
        <w:rPr>
          <w:rFonts w:cs="Guttman Drogolin" w:hint="cs"/>
          <w:rtl/>
          <w:lang w:bidi="he-IL"/>
        </w:rPr>
        <w:t>"מ לכאורה השולחן מיועד להניח על</w:t>
      </w:r>
      <w:r w:rsidR="000A5812" w:rsidRPr="00882F11">
        <w:rPr>
          <w:rFonts w:cs="Guttman Drogolin" w:hint="cs"/>
          <w:rtl/>
          <w:lang w:bidi="he-IL"/>
        </w:rPr>
        <w:t>יו אוכלים לפעמים. ויל"ע לאלו המחמירים שבהניח עליו נייר אליומינום לא מהני לפטור אם אמרינן גם בשולחן כן כשיש עליו מפה, ואפילו את"ל מפה שהיא כלי קבוע שאני, אם מניח עליו מפת ניילון חד פעמים ודאי הוי כנייר אליומינום.</w:t>
      </w:r>
      <w:r w:rsidR="0044412E" w:rsidRPr="00882F11">
        <w:rPr>
          <w:rFonts w:cs="Guttman Drogolin" w:hint="cs"/>
          <w:rtl/>
          <w:lang w:bidi="he-IL"/>
        </w:rPr>
        <w:t xml:space="preserve"> </w:t>
      </w:r>
      <w:r w:rsidR="0099447E" w:rsidRPr="00882F11">
        <w:rPr>
          <w:rFonts w:cs="Guttman Drogolin" w:hint="cs"/>
          <w:rtl/>
          <w:lang w:bidi="he-IL"/>
        </w:rPr>
        <w:t xml:space="preserve"> </w:t>
      </w:r>
    </w:p>
    <w:p w:rsidR="00933E6C" w:rsidRPr="00882F11" w:rsidRDefault="008D7A21" w:rsidP="00483922">
      <w:pPr>
        <w:tabs>
          <w:tab w:val="right" w:pos="7497"/>
        </w:tabs>
        <w:bidi/>
        <w:jc w:val="both"/>
        <w:rPr>
          <w:rFonts w:cs="Guttman Drogolin"/>
          <w:rtl/>
          <w:lang w:bidi="he-IL"/>
        </w:rPr>
      </w:pPr>
      <w:r w:rsidRPr="00882F11">
        <w:rPr>
          <w:rFonts w:cs="Guttman Drogolin" w:hint="cs"/>
          <w:rtl/>
          <w:lang w:bidi="he-IL"/>
        </w:rPr>
        <w:t>ו</w:t>
      </w:r>
      <w:r w:rsidR="00443376" w:rsidRPr="00882F11">
        <w:rPr>
          <w:rFonts w:cs="Guttman Drogolin" w:hint="cs"/>
          <w:rtl/>
          <w:lang w:bidi="he-IL"/>
        </w:rPr>
        <w:t xml:space="preserve">חשבתי שיש </w:t>
      </w:r>
      <w:r w:rsidR="00933E6C" w:rsidRPr="00882F11">
        <w:rPr>
          <w:rFonts w:cs="Guttman Drogolin" w:hint="cs"/>
          <w:rtl/>
          <w:lang w:bidi="he-IL"/>
        </w:rPr>
        <w:t xml:space="preserve">כעין </w:t>
      </w:r>
      <w:r w:rsidR="00443376" w:rsidRPr="00882F11">
        <w:rPr>
          <w:rFonts w:cs="Guttman Drogolin" w:hint="cs"/>
          <w:rtl/>
          <w:lang w:bidi="he-IL"/>
        </w:rPr>
        <w:t xml:space="preserve">סמך לסברא זו שאם אין זה א' מתשמישתיו אינו חייב באופן עראי אפילו לאו"ה. והוא דהנה בר"פ כל הכלים מבואר שמותר לטלטל כלי שמלאכתו לאיסור לצורך גופו, ודוגמא </w:t>
      </w:r>
      <w:r w:rsidR="00443376" w:rsidRPr="00882F11">
        <w:rPr>
          <w:rFonts w:cs="Guttman Drogolin" w:hint="cs"/>
          <w:rtl/>
          <w:lang w:bidi="he-IL"/>
        </w:rPr>
        <w:lastRenderedPageBreak/>
        <w:t>לזה הוא פטיש לשבור אגוזים. ולכאורה צ"ע איך שובר בה אגוזים, הא לא טבלו. ולא מסתבר כלל שטבל פטיש על הצד אולי ישבור בה אגוזים, ודבר זה הו"ל לאשמעינן. וכן הרי מבואר מראית הפוסקים בסכין עכו"ם במס' חולין דף ח' ע"ב שאף א' לא ביאר דמיירי בדטבלו.</w:t>
      </w:r>
      <w:r w:rsidR="00933E6C" w:rsidRPr="00882F11">
        <w:rPr>
          <w:rFonts w:cs="Guttman Drogolin" w:hint="cs"/>
          <w:rtl/>
          <w:lang w:bidi="he-IL"/>
        </w:rPr>
        <w:t xml:space="preserve"> ויש שפיר לדחות דמיירי בפט</w:t>
      </w:r>
      <w:r w:rsidR="00483922" w:rsidRPr="00882F11">
        <w:rPr>
          <w:rFonts w:cs="Guttman Drogolin" w:hint="cs"/>
          <w:rtl/>
          <w:lang w:bidi="he-IL"/>
        </w:rPr>
        <w:t>י</w:t>
      </w:r>
      <w:r w:rsidR="00933E6C" w:rsidRPr="00882F11">
        <w:rPr>
          <w:rFonts w:cs="Guttman Drogolin" w:hint="cs"/>
          <w:rtl/>
          <w:lang w:bidi="he-IL"/>
        </w:rPr>
        <w:t>ש המיוצר ע"י ישראל. אמנם הלא דבר הוא שבהל' שבת לא אישתמט א' מן הפוסקים להזהיר במידי דשכיח שלא להשתמש בפטיש בפטיש המיוצר ע"י נכרי שהוא מידי דשכיח.</w:t>
      </w:r>
      <w:r w:rsidR="00443376" w:rsidRPr="00882F11">
        <w:rPr>
          <w:rFonts w:cs="Guttman Drogolin" w:hint="cs"/>
          <w:rtl/>
          <w:lang w:bidi="he-IL"/>
        </w:rPr>
        <w:t xml:space="preserve"> וא"כ בשל</w:t>
      </w:r>
      <w:r w:rsidR="00C97FF7" w:rsidRPr="00882F11">
        <w:rPr>
          <w:rFonts w:cs="Guttman Drogolin" w:hint="cs"/>
          <w:rtl/>
          <w:lang w:bidi="he-IL"/>
        </w:rPr>
        <w:t>מ</w:t>
      </w:r>
      <w:r w:rsidR="00443376" w:rsidRPr="00882F11">
        <w:rPr>
          <w:rFonts w:cs="Guttman Drogolin" w:hint="cs"/>
          <w:rtl/>
          <w:lang w:bidi="he-IL"/>
        </w:rPr>
        <w:t xml:space="preserve">א למאן דאזיל בתר עיקר תשמישתו ניחא, אבל לאו"ה מא"ל. </w:t>
      </w:r>
      <w:r w:rsidR="00C97FF7" w:rsidRPr="00882F11">
        <w:rPr>
          <w:rFonts w:cs="Guttman Drogolin" w:hint="cs"/>
          <w:rtl/>
          <w:lang w:bidi="he-IL"/>
        </w:rPr>
        <w:t xml:space="preserve">ולמ"ד שאין חיוב טבילה למפצח אגוזים ניחא, אבל למאן דמחייב מא"ל. </w:t>
      </w:r>
      <w:r w:rsidR="00443376" w:rsidRPr="00882F11">
        <w:rPr>
          <w:rFonts w:cs="Guttman Drogolin" w:hint="cs"/>
          <w:rtl/>
          <w:lang w:bidi="he-IL"/>
        </w:rPr>
        <w:t xml:space="preserve">וע"כ כסברא הנ"ל, דכיון שאין שבירת אגוזים א' מתשמישתיו </w:t>
      </w:r>
      <w:r w:rsidR="00C97FF7" w:rsidRPr="00882F11">
        <w:rPr>
          <w:rFonts w:cs="Guttman Drogolin" w:hint="cs"/>
          <w:rtl/>
          <w:lang w:bidi="he-IL"/>
        </w:rPr>
        <w:t xml:space="preserve">של פטיש </w:t>
      </w:r>
      <w:r w:rsidR="00443376" w:rsidRPr="00882F11">
        <w:rPr>
          <w:rFonts w:cs="Guttman Drogolin" w:hint="cs"/>
          <w:rtl/>
          <w:lang w:bidi="he-IL"/>
        </w:rPr>
        <w:t>אין חיוב אפילו לפי האו"ה.</w:t>
      </w:r>
    </w:p>
    <w:p w:rsidR="008D7A21" w:rsidRPr="00882F11" w:rsidRDefault="008D7A21" w:rsidP="008D7A21">
      <w:pPr>
        <w:tabs>
          <w:tab w:val="right" w:pos="7497"/>
        </w:tabs>
        <w:bidi/>
        <w:jc w:val="both"/>
        <w:rPr>
          <w:rFonts w:cs="Guttman Drogolin"/>
          <w:rtl/>
          <w:lang w:bidi="he-IL"/>
        </w:rPr>
      </w:pPr>
      <w:r w:rsidRPr="00882F11">
        <w:rPr>
          <w:rFonts w:cs="Guttman Drogolin" w:hint="cs"/>
          <w:rtl/>
          <w:lang w:bidi="he-IL"/>
        </w:rPr>
        <w:t>שו"ר בשו"ת מנח"י ח"ט סי' פ"ד</w:t>
      </w:r>
      <w:r w:rsidR="00A64C5A" w:rsidRPr="00882F11">
        <w:rPr>
          <w:rFonts w:cs="Guttman Drogolin" w:hint="cs"/>
          <w:rtl/>
          <w:lang w:bidi="he-IL"/>
        </w:rPr>
        <w:t xml:space="preserve"> שכתב סברא זה, והוכיח כן מהא דפטר בטריפדי"ש מטבילת כלים, ולא כתב לחייב משום שלפעמים מניחים עליו האוכל עצמו, וכמו שכתב הפר"ח בס"ק י"ב. ואע"ג שהפר"ח פטר בזה, הא לשיטתו ודאי אינו חייב כיון דאזלינן בתר רוב תשמישתו, אבל לרמ"א מא"ל. וע"כ כנ"ל, דכיון שאין הכלי עשוי לשתמיש זה אינו חייב אפילו לרמ"א (ואולי גם לאו"ה אינו חייב). ולכאורה יש לפקפק בראי' זו, שי"ל שבזמן הרמ"א לא היו מניחים עליו אוכל כלל. ומשו"ה לא העיר מזה. וראיתי בקונ' שיעורי הלכה -  טבילת כלים (עמ' </w:t>
      </w:r>
      <w:r w:rsidR="00941053" w:rsidRPr="00882F11">
        <w:rPr>
          <w:rFonts w:cs="Guttman Drogolin" w:hint="cs"/>
          <w:rtl/>
          <w:lang w:bidi="he-IL"/>
        </w:rPr>
        <w:t xml:space="preserve">נ') שהעיר שמלשון האו"ה משמע שהסכין לחתוך בה קלפים היתה צורתו שונה מסכין רגיל, ומ"מ מחייב בטבילת כלים. ומש"כ לדחות שהרמ"א לא נקט כדבריו אינו מוכרח. </w:t>
      </w:r>
      <w:r w:rsidR="00A64C5A" w:rsidRPr="00882F11">
        <w:rPr>
          <w:rFonts w:cs="Guttman Drogolin" w:hint="cs"/>
          <w:rtl/>
          <w:lang w:bidi="he-IL"/>
        </w:rPr>
        <w:t xml:space="preserve">  </w:t>
      </w:r>
    </w:p>
    <w:p w:rsidR="00D9437B" w:rsidRPr="00882F11" w:rsidRDefault="00F333B0" w:rsidP="00D9437B">
      <w:pPr>
        <w:keepNext/>
        <w:tabs>
          <w:tab w:val="right" w:pos="7497"/>
        </w:tabs>
        <w:bidi/>
        <w:jc w:val="both"/>
        <w:rPr>
          <w:rFonts w:cs="Guttman Drogolin"/>
          <w:sz w:val="28"/>
          <w:szCs w:val="28"/>
          <w:rtl/>
          <w:lang w:bidi="he-IL"/>
        </w:rPr>
      </w:pPr>
      <w:r>
        <w:rPr>
          <w:rFonts w:cs="Guttman Drogolin"/>
          <w:sz w:val="28"/>
          <w:szCs w:val="28"/>
          <w:rtl/>
          <w:lang w:bidi="he-IL"/>
        </w:rPr>
        <w:fldChar w:fldCharType="begin"/>
      </w:r>
      <w:r>
        <w:instrText xml:space="preserve"> XE "</w:instrText>
      </w:r>
      <w:r w:rsidRPr="0008374A">
        <w:rPr>
          <w:rFonts w:hint="cs"/>
          <w:rtl/>
          <w:lang w:bidi="he-IL"/>
        </w:rPr>
        <w:instrText>טבילת כלים</w:instrText>
      </w:r>
      <w:r w:rsidRPr="0008374A">
        <w:rPr>
          <w:rtl/>
        </w:rPr>
        <w:instrText>:</w:instrText>
      </w:r>
      <w:r w:rsidRPr="0008374A">
        <w:rPr>
          <w:rFonts w:hint="cs"/>
          <w:rtl/>
          <w:lang w:bidi="he-IL"/>
        </w:rPr>
        <w:instrText>פח (בלעך)</w:instrText>
      </w:r>
      <w:r>
        <w:instrText xml:space="preserve">" </w:instrText>
      </w:r>
      <w:r>
        <w:rPr>
          <w:rFonts w:cs="Guttman Drogolin"/>
          <w:sz w:val="28"/>
          <w:szCs w:val="28"/>
          <w:rtl/>
          <w:lang w:bidi="he-IL"/>
        </w:rPr>
        <w:fldChar w:fldCharType="end"/>
      </w:r>
      <w:r>
        <w:rPr>
          <w:rFonts w:cs="Guttman Drogolin" w:hint="cs"/>
          <w:sz w:val="28"/>
          <w:szCs w:val="28"/>
          <w:rtl/>
          <w:lang w:bidi="he-IL"/>
        </w:rPr>
        <w:t>פח</w:t>
      </w:r>
      <w:r w:rsidR="00D9437B" w:rsidRPr="00882F11">
        <w:rPr>
          <w:rFonts w:cs="Guttman Drogolin" w:hint="cs"/>
          <w:sz w:val="28"/>
          <w:szCs w:val="28"/>
          <w:rtl/>
          <w:lang w:bidi="he-IL"/>
        </w:rPr>
        <w:t xml:space="preserve"> (בלע"ך)</w:t>
      </w:r>
    </w:p>
    <w:p w:rsidR="00D9437B" w:rsidRPr="00882F11" w:rsidRDefault="00D9437B" w:rsidP="00D9437B">
      <w:pPr>
        <w:keepNext/>
        <w:tabs>
          <w:tab w:val="right" w:pos="7497"/>
        </w:tabs>
        <w:bidi/>
        <w:jc w:val="both"/>
        <w:rPr>
          <w:rFonts w:cs="Guttman Drogolin"/>
          <w:sz w:val="28"/>
          <w:szCs w:val="28"/>
          <w:rtl/>
          <w:lang w:bidi="he-IL"/>
        </w:rPr>
      </w:pPr>
      <w:r w:rsidRPr="00882F11">
        <w:rPr>
          <w:rFonts w:cs="Guttman Drogolin" w:hint="cs"/>
          <w:rtl/>
          <w:lang w:bidi="he-IL"/>
        </w:rPr>
        <w:t xml:space="preserve">דינו כחצובה, אבל כאן כמו בחצובה יש לדון אם מותר להניח מאכל ישירות עליו כדי לחמם אותו. </w:t>
      </w:r>
      <w:r w:rsidRPr="00882F11">
        <w:rPr>
          <w:rFonts w:cs="Guttman Drogolin" w:hint="cs"/>
          <w:rtl/>
          <w:lang w:bidi="he-IL"/>
        </w:rPr>
        <w:lastRenderedPageBreak/>
        <w:t>והוא תלוי מסברא הנ"ל בענין</w:t>
      </w:r>
      <w:r w:rsidRPr="00882F11">
        <w:rPr>
          <w:rFonts w:cs="Guttman Drogolin"/>
          <w:rtl/>
          <w:lang w:bidi="he-IL"/>
        </w:rPr>
        <w:t xml:space="preserve"> שלחן מזכוכית או דף במקרר של זכוכית</w:t>
      </w:r>
    </w:p>
    <w:p w:rsidR="00EA443D" w:rsidRPr="00882F11" w:rsidRDefault="00F333B0" w:rsidP="00D9437B">
      <w:pPr>
        <w:keepNext/>
        <w:tabs>
          <w:tab w:val="right" w:pos="7497"/>
        </w:tabs>
        <w:bidi/>
        <w:jc w:val="both"/>
        <w:rPr>
          <w:rFonts w:cs="Guttman Drogolin"/>
          <w:sz w:val="28"/>
          <w:szCs w:val="28"/>
          <w:rtl/>
          <w:lang w:bidi="he-IL"/>
        </w:rPr>
      </w:pPr>
      <w:r>
        <w:rPr>
          <w:rFonts w:cs="Guttman Drogolin"/>
          <w:sz w:val="28"/>
          <w:szCs w:val="28"/>
          <w:rtl/>
          <w:lang w:bidi="he-IL"/>
        </w:rPr>
        <w:fldChar w:fldCharType="begin"/>
      </w:r>
      <w:r>
        <w:instrText xml:space="preserve"> XE "</w:instrText>
      </w:r>
      <w:r w:rsidRPr="00F16CBD">
        <w:rPr>
          <w:rFonts w:hint="cs"/>
          <w:rtl/>
          <w:lang w:bidi="he-IL"/>
        </w:rPr>
        <w:instrText>טבילת כלים</w:instrText>
      </w:r>
      <w:r w:rsidRPr="00F16CBD">
        <w:rPr>
          <w:rtl/>
        </w:rPr>
        <w:instrText>:</w:instrText>
      </w:r>
      <w:r w:rsidRPr="00F16CBD">
        <w:rPr>
          <w:rFonts w:hint="cs"/>
          <w:rtl/>
          <w:lang w:bidi="he-IL"/>
        </w:rPr>
        <w:instrText>קומקום חשמלי</w:instrText>
      </w:r>
      <w:r>
        <w:instrText xml:space="preserve">" </w:instrText>
      </w:r>
      <w:r>
        <w:rPr>
          <w:rFonts w:cs="Guttman Drogolin"/>
          <w:sz w:val="28"/>
          <w:szCs w:val="28"/>
          <w:rtl/>
          <w:lang w:bidi="he-IL"/>
        </w:rPr>
        <w:fldChar w:fldCharType="end"/>
      </w:r>
      <w:r w:rsidR="00EA443D" w:rsidRPr="00882F11">
        <w:rPr>
          <w:rFonts w:cs="Guttman Drogolin" w:hint="cs"/>
          <w:sz w:val="28"/>
          <w:szCs w:val="28"/>
          <w:rtl/>
          <w:lang w:bidi="he-IL"/>
        </w:rPr>
        <w:t>קומקום חשמלי</w:t>
      </w:r>
    </w:p>
    <w:p w:rsidR="004B5FB2" w:rsidRPr="00882F11" w:rsidRDefault="00EA443D" w:rsidP="00EA443D">
      <w:pPr>
        <w:tabs>
          <w:tab w:val="right" w:pos="7497"/>
        </w:tabs>
        <w:bidi/>
        <w:jc w:val="both"/>
        <w:rPr>
          <w:rFonts w:cs="Guttman Drogolin"/>
          <w:rtl/>
          <w:lang w:bidi="he-IL"/>
        </w:rPr>
      </w:pPr>
      <w:r w:rsidRPr="00882F11">
        <w:rPr>
          <w:rFonts w:cs="Guttman Drogolin" w:hint="cs"/>
          <w:rtl/>
          <w:lang w:bidi="he-IL"/>
        </w:rPr>
        <w:t>לכאורה חייב בטבילה בברכה. ואע"ג שרובו מפלסטיק, מ"מ לא גרע מריחיים של עץ שחייב משום חלק המתכת שבה עושים הטחינה. דמאי שנא זו מזו. ואפילו את"ל שכיון שמחובר לקרקע בחוט החשמל אינו חייב (וסברא זו אינו פשוטה כלל ואכמ"ל), מ"מ בנשלף לכאורה לא שייך סברא זו. ואין לומר שהכל הוא כלי אחד, כמו שלא אומרים שסיר הוי כלי א' ביחד ע</w:t>
      </w:r>
      <w:r w:rsidR="00C97FF7" w:rsidRPr="00882F11">
        <w:rPr>
          <w:rFonts w:cs="Guttman Drogolin" w:hint="cs"/>
          <w:rtl/>
          <w:lang w:bidi="he-IL"/>
        </w:rPr>
        <w:t>ם</w:t>
      </w:r>
      <w:r w:rsidRPr="00882F11">
        <w:rPr>
          <w:rFonts w:cs="Guttman Drogolin" w:hint="cs"/>
          <w:rtl/>
          <w:lang w:bidi="he-IL"/>
        </w:rPr>
        <w:t xml:space="preserve"> התנור אע"ג שאין לסיר שימוש בלי תנור.</w:t>
      </w:r>
    </w:p>
    <w:p w:rsidR="00443376" w:rsidRPr="00882F11" w:rsidRDefault="00443376" w:rsidP="00443376">
      <w:pPr>
        <w:tabs>
          <w:tab w:val="right" w:pos="7497"/>
        </w:tabs>
        <w:bidi/>
        <w:jc w:val="both"/>
        <w:rPr>
          <w:rFonts w:cs="Guttman Drogolin"/>
          <w:rtl/>
          <w:lang w:bidi="he-IL"/>
        </w:rPr>
      </w:pPr>
      <w:r w:rsidRPr="00882F11">
        <w:rPr>
          <w:rFonts w:cs="Guttman Drogolin" w:hint="cs"/>
          <w:rtl/>
          <w:lang w:bidi="he-IL"/>
        </w:rPr>
        <w:t>שוב שמעתי שהגר"ש רוזנבלט שליט"א שאל בין את הגר"נ קרליץ שליט"א ובין הגר"ח קניבסקי שליט"א ושניהם כא' אמרו שיש לטובלו בלא ברכה.</w:t>
      </w:r>
    </w:p>
    <w:p w:rsidR="00AA0DF4" w:rsidRPr="00882F11" w:rsidRDefault="00F333B0" w:rsidP="00AA0DF4">
      <w:pPr>
        <w:keepNext/>
        <w:tabs>
          <w:tab w:val="right" w:pos="7497"/>
        </w:tabs>
        <w:bidi/>
        <w:jc w:val="both"/>
        <w:rPr>
          <w:rFonts w:cs="Guttman Drogolin"/>
          <w:sz w:val="28"/>
          <w:szCs w:val="28"/>
          <w:rtl/>
          <w:lang w:bidi="he-IL"/>
        </w:rPr>
      </w:pPr>
      <w:r>
        <w:rPr>
          <w:rFonts w:cs="Guttman Drogolin"/>
          <w:sz w:val="28"/>
          <w:szCs w:val="28"/>
          <w:rtl/>
          <w:lang w:bidi="he-IL"/>
        </w:rPr>
        <w:fldChar w:fldCharType="begin"/>
      </w:r>
      <w:r>
        <w:instrText xml:space="preserve"> XE "</w:instrText>
      </w:r>
      <w:r w:rsidRPr="000317DC">
        <w:rPr>
          <w:rFonts w:hint="cs"/>
          <w:rtl/>
          <w:lang w:bidi="he-IL"/>
        </w:rPr>
        <w:instrText>טבילת כלים</w:instrText>
      </w:r>
      <w:r w:rsidRPr="000317DC">
        <w:rPr>
          <w:rtl/>
        </w:rPr>
        <w:instrText>:</w:instrText>
      </w:r>
      <w:r w:rsidRPr="000317DC">
        <w:rPr>
          <w:rFonts w:hint="cs"/>
          <w:rtl/>
          <w:lang w:bidi="he-IL"/>
        </w:rPr>
        <w:instrText>טרמוס</w:instrText>
      </w:r>
      <w:r>
        <w:instrText xml:space="preserve">" </w:instrText>
      </w:r>
      <w:r>
        <w:rPr>
          <w:rFonts w:cs="Guttman Drogolin"/>
          <w:sz w:val="28"/>
          <w:szCs w:val="28"/>
          <w:rtl/>
          <w:lang w:bidi="he-IL"/>
        </w:rPr>
        <w:fldChar w:fldCharType="end"/>
      </w:r>
      <w:r w:rsidR="00AA0DF4" w:rsidRPr="00882F11">
        <w:rPr>
          <w:rFonts w:cs="Guttman Drogolin" w:hint="cs"/>
          <w:sz w:val="28"/>
          <w:szCs w:val="28"/>
          <w:rtl/>
          <w:lang w:bidi="he-IL"/>
        </w:rPr>
        <w:t>טרמוס</w:t>
      </w:r>
    </w:p>
    <w:p w:rsidR="00AA0DF4" w:rsidRPr="00882F11" w:rsidRDefault="00483922" w:rsidP="00AA0DF4">
      <w:pPr>
        <w:tabs>
          <w:tab w:val="right" w:pos="7497"/>
        </w:tabs>
        <w:bidi/>
        <w:jc w:val="both"/>
        <w:rPr>
          <w:rFonts w:cs="Guttman Drogolin"/>
          <w:rtl/>
          <w:lang w:bidi="he-IL"/>
        </w:rPr>
      </w:pPr>
      <w:r w:rsidRPr="00882F11">
        <w:rPr>
          <w:rFonts w:cs="Guttman Drogolin" w:hint="cs"/>
          <w:rtl/>
          <w:lang w:bidi="he-IL"/>
        </w:rPr>
        <w:t>בדרך כלל הטרמוס עשויי מבית</w:t>
      </w:r>
      <w:r w:rsidR="00AA0DF4" w:rsidRPr="00882F11">
        <w:rPr>
          <w:rFonts w:cs="Guttman Drogolin" w:hint="cs"/>
          <w:rtl/>
          <w:lang w:bidi="he-IL"/>
        </w:rPr>
        <w:t xml:space="preserve"> ומחוץ בפלסטיק, והדבר</w:t>
      </w:r>
      <w:r w:rsidRPr="00882F11">
        <w:rPr>
          <w:rFonts w:cs="Guttman Drogolin" w:hint="cs"/>
          <w:rtl/>
          <w:lang w:bidi="he-IL"/>
        </w:rPr>
        <w:t xml:space="preserve"> </w:t>
      </w:r>
      <w:r w:rsidR="00AA0DF4" w:rsidRPr="00882F11">
        <w:rPr>
          <w:rFonts w:cs="Guttman Drogolin" w:hint="cs"/>
          <w:rtl/>
          <w:lang w:bidi="he-IL"/>
        </w:rPr>
        <w:t>היחיד העשוי מזכוכית הוא הפנים שאינו נוגע באוכל. וראיתי בשם אבני ישפה .... ובקונ' של הרב ויג .... ולכאורה נראה שפטור לגמרי כיון שאינו מעמיד ואינו נוגע באוכל, והרי הוא כפח שאמנם מתחמם וכן מחמת התבשיל אינו חייב בטבילת כלים.</w:t>
      </w:r>
    </w:p>
    <w:p w:rsidR="004B5FB2" w:rsidRPr="00882F11" w:rsidRDefault="00F333B0" w:rsidP="00DD0650">
      <w:pPr>
        <w:keepNext/>
        <w:tabs>
          <w:tab w:val="right" w:pos="7497"/>
        </w:tabs>
        <w:bidi/>
        <w:jc w:val="both"/>
        <w:rPr>
          <w:rFonts w:cs="Guttman Drogolin"/>
          <w:sz w:val="28"/>
          <w:szCs w:val="28"/>
          <w:rtl/>
          <w:lang w:bidi="he-IL"/>
        </w:rPr>
      </w:pPr>
      <w:r>
        <w:rPr>
          <w:rFonts w:cs="Guttman Drogolin"/>
          <w:sz w:val="28"/>
          <w:szCs w:val="28"/>
          <w:rtl/>
          <w:lang w:bidi="he-IL"/>
        </w:rPr>
        <w:fldChar w:fldCharType="begin"/>
      </w:r>
      <w:r>
        <w:instrText xml:space="preserve"> XE "</w:instrText>
      </w:r>
      <w:r w:rsidRPr="00A45C38">
        <w:rPr>
          <w:rFonts w:hint="cs"/>
          <w:rtl/>
          <w:lang w:bidi="he-IL"/>
        </w:rPr>
        <w:instrText>טבילת כלים</w:instrText>
      </w:r>
      <w:r w:rsidRPr="00A45C38">
        <w:rPr>
          <w:rtl/>
        </w:rPr>
        <w:instrText>:</w:instrText>
      </w:r>
      <w:r w:rsidRPr="00A45C38">
        <w:rPr>
          <w:rFonts w:hint="cs"/>
          <w:rtl/>
          <w:lang w:bidi="he-IL"/>
        </w:rPr>
        <w:instrText>מצנם</w:instrText>
      </w:r>
      <w:r>
        <w:instrText xml:space="preserve">" </w:instrText>
      </w:r>
      <w:r>
        <w:rPr>
          <w:rFonts w:cs="Guttman Drogolin"/>
          <w:sz w:val="28"/>
          <w:szCs w:val="28"/>
          <w:rtl/>
          <w:lang w:bidi="he-IL"/>
        </w:rPr>
        <w:fldChar w:fldCharType="end"/>
      </w:r>
      <w:r w:rsidR="004B5FB2" w:rsidRPr="00882F11">
        <w:rPr>
          <w:rFonts w:cs="Guttman Drogolin" w:hint="cs"/>
          <w:sz w:val="28"/>
          <w:szCs w:val="28"/>
          <w:rtl/>
          <w:lang w:bidi="he-IL"/>
        </w:rPr>
        <w:t>מצנם ('טוסטר')</w:t>
      </w:r>
    </w:p>
    <w:p w:rsidR="004B5FB2" w:rsidRPr="00882F11" w:rsidRDefault="004B5FB2" w:rsidP="00F45355">
      <w:pPr>
        <w:tabs>
          <w:tab w:val="right" w:pos="7497"/>
        </w:tabs>
        <w:bidi/>
        <w:jc w:val="both"/>
        <w:rPr>
          <w:rFonts w:cs="Guttman Drogolin"/>
          <w:rtl/>
          <w:lang w:bidi="he-IL"/>
        </w:rPr>
      </w:pPr>
      <w:r w:rsidRPr="00882F11">
        <w:rPr>
          <w:rFonts w:cs="Guttman Drogolin" w:hint="cs"/>
          <w:rtl/>
          <w:lang w:bidi="he-IL"/>
        </w:rPr>
        <w:t xml:space="preserve">המכשיר הזה כמעט ואין לו שום תשמיש אלא להפוך לחם לצנימים. ומשו"ה סבר הגרמ"פ (אג"מ יו"ד ג' סי' כ"ד) שאינו נחשב כלי סעודה. והביא כמקור לדבריו המחלוקת אם כלי איחסון חייבים בטבילה. וביאר טעם הפוטרים משום שאיחסון לא נחשב תשמיש חשוב כדי לחייב בטבילת כלים. </w:t>
      </w:r>
      <w:r w:rsidR="00A62CAF" w:rsidRPr="00882F11">
        <w:rPr>
          <w:rFonts w:cs="Guttman Drogolin" w:hint="cs"/>
          <w:rtl/>
          <w:lang w:bidi="he-IL"/>
        </w:rPr>
        <w:t>והוסי</w:t>
      </w:r>
      <w:r w:rsidR="00E070B5" w:rsidRPr="00882F11">
        <w:rPr>
          <w:rFonts w:cs="Guttman Drogolin" w:hint="cs"/>
          <w:rtl/>
          <w:lang w:bidi="he-IL"/>
        </w:rPr>
        <w:t>ף</w:t>
      </w:r>
      <w:r w:rsidR="00A62CAF" w:rsidRPr="00882F11">
        <w:rPr>
          <w:rFonts w:cs="Guttman Drogolin" w:hint="cs"/>
          <w:rtl/>
          <w:lang w:bidi="he-IL"/>
        </w:rPr>
        <w:t xml:space="preserve"> שאפילו מאן דמחייב כלי איחסון בטבילת כלים, היינו משום שסוף סוף משקים צריכים כלי קיבול, אבל מצנם שאינו דבר הצריך כלל אינו מחייב בטבילה (וקצת משמע מלשונו שם שכלי איחסון לדברים יבשים יהא כמו מצנם). ונראה </w:t>
      </w:r>
      <w:r w:rsidR="00F45355" w:rsidRPr="00882F11">
        <w:rPr>
          <w:rFonts w:cs="Guttman Drogolin" w:hint="cs"/>
          <w:rtl/>
          <w:lang w:bidi="he-IL"/>
        </w:rPr>
        <w:lastRenderedPageBreak/>
        <w:t>להד</w:t>
      </w:r>
      <w:r w:rsidR="00A62CAF" w:rsidRPr="00882F11">
        <w:rPr>
          <w:rFonts w:cs="Guttman Drogolin" w:hint="cs"/>
          <w:rtl/>
          <w:lang w:bidi="he-IL"/>
        </w:rPr>
        <w:t>ג</w:t>
      </w:r>
      <w:r w:rsidR="00F45355" w:rsidRPr="00882F11">
        <w:rPr>
          <w:rFonts w:cs="Guttman Drogolin" w:hint="cs"/>
          <w:rtl/>
          <w:lang w:bidi="he-IL"/>
        </w:rPr>
        <w:t>י</w:t>
      </w:r>
      <w:r w:rsidR="00A62CAF" w:rsidRPr="00882F11">
        <w:rPr>
          <w:rFonts w:cs="Guttman Drogolin" w:hint="cs"/>
          <w:rtl/>
          <w:lang w:bidi="he-IL"/>
        </w:rPr>
        <w:t>ש ש</w:t>
      </w:r>
      <w:r w:rsidR="00F45355" w:rsidRPr="00882F11">
        <w:rPr>
          <w:rFonts w:cs="Guttman Drogolin" w:hint="cs"/>
          <w:rtl/>
          <w:lang w:bidi="he-IL"/>
        </w:rPr>
        <w:t xml:space="preserve">לדבריו </w:t>
      </w:r>
      <w:r w:rsidR="00A62CAF" w:rsidRPr="00882F11">
        <w:rPr>
          <w:rFonts w:cs="Guttman Drogolin" w:hint="cs"/>
          <w:rtl/>
          <w:lang w:bidi="he-IL"/>
        </w:rPr>
        <w:t>אין לחייב מצנם משום עצם זה שמניחים בה לחם, וא"כ גם הוא בכלל כלי איחסון, דהא אין מכניסים הלחם שם לאיחסון ק כדי שיוכל לעשות ממנו צנימים, ועד כמה שעשיית צנימים לא מחייב, גם זה לא מחייב.</w:t>
      </w:r>
      <w:r w:rsidR="00F5457C" w:rsidRPr="00882F11">
        <w:rPr>
          <w:rFonts w:cs="Guttman Drogolin" w:hint="cs"/>
          <w:rtl/>
          <w:lang w:bidi="he-IL"/>
        </w:rPr>
        <w:t xml:space="preserve"> אמנם עיקר דבריו מחודשים, דמה"ת שלכאורה אייחסון שאני כיון שאינו עושה שינוי לאוכל כלל, אבל דבר העושה שינוי לאוכל יתחייב, ומאן לימא לן איזה תיקון חשוב ואיזה תיקון אינו חשוב. </w:t>
      </w:r>
      <w:r w:rsidR="00F45355" w:rsidRPr="00882F11">
        <w:rPr>
          <w:rFonts w:cs="Guttman Drogolin" w:hint="cs"/>
          <w:rtl/>
          <w:lang w:bidi="he-IL"/>
        </w:rPr>
        <w:t xml:space="preserve">וכן רובם ככולם של גדולי הפוסקים חולקים עליו בזה (ע' שו"ת </w:t>
      </w:r>
      <w:r w:rsidR="00F45355" w:rsidRPr="00882F11">
        <w:rPr>
          <w:rFonts w:cs="Guttman Drogolin"/>
          <w:rtl/>
          <w:lang w:bidi="he-IL"/>
        </w:rPr>
        <w:t xml:space="preserve">באר משה (ח"ד סי' ק', </w:t>
      </w:r>
      <w:r w:rsidR="00F45355" w:rsidRPr="00882F11">
        <w:rPr>
          <w:rFonts w:cs="Guttman Drogolin" w:hint="cs"/>
          <w:rtl/>
          <w:lang w:bidi="he-IL"/>
        </w:rPr>
        <w:t>ו</w:t>
      </w:r>
      <w:r w:rsidR="00F45355" w:rsidRPr="00882F11">
        <w:rPr>
          <w:rFonts w:cs="Guttman Drogolin"/>
          <w:rtl/>
          <w:lang w:bidi="he-IL"/>
        </w:rPr>
        <w:t>ח"ז קו"ע סי' נ"ז)</w:t>
      </w:r>
      <w:r w:rsidR="00F45355" w:rsidRPr="00882F11">
        <w:rPr>
          <w:rFonts w:cs="Guttman Drogolin" w:hint="cs"/>
          <w:rtl/>
          <w:lang w:bidi="he-IL"/>
        </w:rPr>
        <w:t>,</w:t>
      </w:r>
      <w:r w:rsidR="00F45355" w:rsidRPr="00882F11">
        <w:rPr>
          <w:rFonts w:cs="Guttman Drogolin"/>
          <w:rtl/>
          <w:lang w:bidi="he-IL"/>
        </w:rPr>
        <w:t xml:space="preserve"> </w:t>
      </w:r>
      <w:r w:rsidR="00F45355" w:rsidRPr="00882F11">
        <w:rPr>
          <w:rFonts w:cs="Guttman Drogolin" w:hint="cs"/>
          <w:rtl/>
          <w:lang w:bidi="he-IL"/>
        </w:rPr>
        <w:t xml:space="preserve">שו"ת </w:t>
      </w:r>
      <w:r w:rsidR="00F45355" w:rsidRPr="00882F11">
        <w:rPr>
          <w:rFonts w:cs="Guttman Drogolin"/>
          <w:rtl/>
          <w:lang w:bidi="he-IL"/>
        </w:rPr>
        <w:t>מנח</w:t>
      </w:r>
      <w:r w:rsidR="00F45355" w:rsidRPr="00882F11">
        <w:rPr>
          <w:rFonts w:cs="Guttman Drogolin" w:hint="cs"/>
          <w:rtl/>
          <w:lang w:bidi="he-IL"/>
        </w:rPr>
        <w:t>"י</w:t>
      </w:r>
      <w:r w:rsidR="00F45355" w:rsidRPr="00882F11">
        <w:rPr>
          <w:rFonts w:cs="Guttman Drogolin"/>
          <w:rtl/>
          <w:lang w:bidi="he-IL"/>
        </w:rPr>
        <w:t xml:space="preserve"> (ח"ט סי' פ"ג) </w:t>
      </w:r>
      <w:r w:rsidR="00F45355" w:rsidRPr="00882F11">
        <w:rPr>
          <w:rFonts w:cs="Guttman Drogolin" w:hint="cs"/>
          <w:rtl/>
          <w:lang w:bidi="he-IL"/>
        </w:rPr>
        <w:t xml:space="preserve">שו"ת </w:t>
      </w:r>
      <w:r w:rsidR="00F45355" w:rsidRPr="00882F11">
        <w:rPr>
          <w:rFonts w:cs="Guttman Drogolin"/>
          <w:lang w:bidi="he-IL"/>
        </w:rPr>
        <w:tab/>
      </w:r>
      <w:r w:rsidR="00F45355" w:rsidRPr="00882F11">
        <w:rPr>
          <w:rFonts w:cs="Guttman Drogolin"/>
          <w:rtl/>
          <w:lang w:bidi="he-IL"/>
        </w:rPr>
        <w:t xml:space="preserve">משנה הלכות (ח"ט סי' קס"ב) </w:t>
      </w:r>
      <w:r w:rsidR="00F45355" w:rsidRPr="00882F11">
        <w:rPr>
          <w:rFonts w:cs="Guttman Drogolin" w:hint="cs"/>
          <w:rtl/>
          <w:lang w:bidi="he-IL"/>
        </w:rPr>
        <w:t xml:space="preserve">שו"ת </w:t>
      </w:r>
      <w:r w:rsidR="00F45355" w:rsidRPr="00882F11">
        <w:rPr>
          <w:rFonts w:cs="Guttman Drogolin"/>
          <w:rtl/>
          <w:lang w:bidi="he-IL"/>
        </w:rPr>
        <w:t xml:space="preserve">תשובות והנהגות (ח"א סי' ת"נ) </w:t>
      </w:r>
      <w:r w:rsidR="00F45355" w:rsidRPr="00882F11">
        <w:rPr>
          <w:rFonts w:cs="Guttman Drogolin" w:hint="cs"/>
          <w:rtl/>
          <w:lang w:bidi="he-IL"/>
        </w:rPr>
        <w:t xml:space="preserve">וס' </w:t>
      </w:r>
      <w:r w:rsidR="00F45355" w:rsidRPr="00882F11">
        <w:rPr>
          <w:rFonts w:cs="Guttman Drogolin"/>
          <w:rtl/>
          <w:lang w:bidi="he-IL"/>
        </w:rPr>
        <w:t>טבילת כלים פרק י"א הע' נ"ב</w:t>
      </w:r>
      <w:r w:rsidR="00F45355" w:rsidRPr="00882F11">
        <w:rPr>
          <w:rFonts w:cs="Guttman Drogolin" w:hint="cs"/>
          <w:rtl/>
          <w:lang w:bidi="he-IL"/>
        </w:rPr>
        <w:t xml:space="preserve"> בשם הגרשז"א</w:t>
      </w:r>
      <w:r w:rsidR="00F45355" w:rsidRPr="00882F11">
        <w:rPr>
          <w:rFonts w:cs="Guttman Drogolin"/>
          <w:rtl/>
          <w:lang w:bidi="he-IL"/>
        </w:rPr>
        <w:t xml:space="preserve"> </w:t>
      </w:r>
      <w:r w:rsidR="00F45355" w:rsidRPr="00882F11">
        <w:rPr>
          <w:rFonts w:cs="Guttman Drogolin" w:hint="cs"/>
          <w:rtl/>
          <w:lang w:bidi="he-IL"/>
        </w:rPr>
        <w:t>והגר"ש ואזנר). וצ"ע אם יש להחמיר ולהטבילו בלי ברכה.</w:t>
      </w:r>
      <w:r w:rsidR="00B358AE" w:rsidRPr="00882F11">
        <w:rPr>
          <w:rFonts w:cs="Guttman Drogolin" w:hint="cs"/>
          <w:rtl/>
          <w:lang w:bidi="he-IL"/>
        </w:rPr>
        <w:t xml:space="preserve"> </w:t>
      </w:r>
    </w:p>
    <w:p w:rsidR="003E5BCA" w:rsidRPr="00882F11" w:rsidRDefault="00F333B0" w:rsidP="003E5BCA">
      <w:pPr>
        <w:keepNext/>
        <w:tabs>
          <w:tab w:val="right" w:pos="7497"/>
        </w:tabs>
        <w:bidi/>
        <w:jc w:val="both"/>
        <w:rPr>
          <w:rFonts w:cs="Guttman Drogolin"/>
          <w:sz w:val="28"/>
          <w:szCs w:val="28"/>
          <w:rtl/>
          <w:lang w:bidi="he-IL"/>
        </w:rPr>
      </w:pPr>
      <w:r>
        <w:rPr>
          <w:rFonts w:cs="Guttman Drogolin"/>
          <w:sz w:val="28"/>
          <w:szCs w:val="28"/>
          <w:rtl/>
          <w:lang w:bidi="he-IL"/>
        </w:rPr>
        <w:fldChar w:fldCharType="begin"/>
      </w:r>
      <w:r>
        <w:instrText xml:space="preserve"> XE "</w:instrText>
      </w:r>
      <w:r w:rsidRPr="00B26D52">
        <w:rPr>
          <w:rFonts w:hint="cs"/>
          <w:rtl/>
          <w:lang w:bidi="he-IL"/>
        </w:rPr>
        <w:instrText>טבילת כלים</w:instrText>
      </w:r>
      <w:r w:rsidRPr="00B26D52">
        <w:rPr>
          <w:rtl/>
        </w:rPr>
        <w:instrText>:</w:instrText>
      </w:r>
      <w:r w:rsidRPr="00B26D52">
        <w:rPr>
          <w:rFonts w:hint="cs"/>
          <w:rtl/>
          <w:lang w:bidi="he-IL"/>
        </w:rPr>
        <w:instrText>מכשיר חשמלי לפריסת לחם</w:instrText>
      </w:r>
      <w:r>
        <w:instrText xml:space="preserve">" </w:instrText>
      </w:r>
      <w:r>
        <w:rPr>
          <w:rFonts w:cs="Guttman Drogolin"/>
          <w:sz w:val="28"/>
          <w:szCs w:val="28"/>
          <w:rtl/>
          <w:lang w:bidi="he-IL"/>
        </w:rPr>
        <w:fldChar w:fldCharType="end"/>
      </w:r>
      <w:r w:rsidR="003E5BCA" w:rsidRPr="00882F11">
        <w:rPr>
          <w:rFonts w:cs="Guttman Drogolin" w:hint="cs"/>
          <w:sz w:val="28"/>
          <w:szCs w:val="28"/>
          <w:rtl/>
          <w:lang w:bidi="he-IL"/>
        </w:rPr>
        <w:t>מכשיר חשמלי לפריסת לחם</w:t>
      </w:r>
    </w:p>
    <w:p w:rsidR="003E5BCA" w:rsidRPr="00882F11" w:rsidRDefault="003E5BCA" w:rsidP="003E5BCA">
      <w:pPr>
        <w:tabs>
          <w:tab w:val="right" w:pos="7497"/>
        </w:tabs>
        <w:bidi/>
        <w:jc w:val="both"/>
        <w:rPr>
          <w:rFonts w:cs="Guttman Drogolin"/>
          <w:rtl/>
          <w:lang w:bidi="he-IL"/>
        </w:rPr>
      </w:pPr>
      <w:r w:rsidRPr="00882F11">
        <w:rPr>
          <w:rFonts w:cs="Guttman Drogolin" w:hint="cs"/>
          <w:rtl/>
          <w:lang w:bidi="he-IL"/>
        </w:rPr>
        <w:t>בכמה צרכניות יש מכשיר חשמלי למי שרוצה לקנות ככר שלם של לחם ולפרוס אותו, ו</w:t>
      </w:r>
      <w:r w:rsidR="00636A36" w:rsidRPr="00882F11">
        <w:rPr>
          <w:rFonts w:cs="Guttman Drogolin" w:hint="cs"/>
          <w:rtl/>
          <w:lang w:bidi="he-IL"/>
        </w:rPr>
        <w:t>ענינו של כלי זה ש</w:t>
      </w:r>
      <w:r w:rsidRPr="00882F11">
        <w:rPr>
          <w:rFonts w:cs="Guttman Drogolin" w:hint="cs"/>
          <w:rtl/>
          <w:lang w:bidi="he-IL"/>
        </w:rPr>
        <w:t xml:space="preserve">מניחים הככר בתוך המכשיר וכשמפעיל אותו המכשיר פורסת את כל הככר לפרוסות. ולכאורה דינו כסכין החייב בטבילת כלים. ואיני יודע אם מכשירים אלו מיוצרים ע"י יהודים או נכרים, אמנם אם עשוים ע"י נכרים לכאורה חייב בטבילת כלים. והגריל"ד סבר שמותר להשכיר כלים לצורך סעודה כיון שאצל הבעלים אינו אלא לכלי סחורה, ולכן אצלו ליכא חיוב, וממילא גם אצל השוכר או שואל ליכא חיוב. וא"כ לדידי' לכאורה אין חיוב טבילה. </w:t>
      </w:r>
      <w:r w:rsidR="001D4543" w:rsidRPr="00882F11">
        <w:rPr>
          <w:rFonts w:cs="Guttman Drogolin" w:hint="cs"/>
          <w:rtl/>
          <w:lang w:bidi="he-IL"/>
        </w:rPr>
        <w:t>אמנם דבריו</w:t>
      </w:r>
      <w:r w:rsidR="00E070B5" w:rsidRPr="00882F11">
        <w:rPr>
          <w:rFonts w:cs="Guttman Drogolin" w:hint="cs"/>
          <w:rtl/>
          <w:lang w:bidi="he-IL"/>
        </w:rPr>
        <w:t xml:space="preserve"> אלו ג"כ קשים כיון שהוא בעצם לת</w:t>
      </w:r>
      <w:r w:rsidR="001D4543" w:rsidRPr="00882F11">
        <w:rPr>
          <w:rFonts w:cs="Guttman Drogolin" w:hint="cs"/>
          <w:rtl/>
          <w:lang w:bidi="he-IL"/>
        </w:rPr>
        <w:t xml:space="preserve">שמיש סעודה אצל הבעלים, כיון שאצלו הם בשימוש סעודה אצל אחרים. </w:t>
      </w:r>
    </w:p>
    <w:p w:rsidR="00831C87" w:rsidRPr="00882F11" w:rsidRDefault="00F333B0" w:rsidP="00831C87">
      <w:pPr>
        <w:keepNext/>
        <w:tabs>
          <w:tab w:val="right" w:pos="7497"/>
        </w:tabs>
        <w:bidi/>
        <w:jc w:val="both"/>
        <w:rPr>
          <w:rFonts w:cs="Guttman Drogolin"/>
          <w:sz w:val="28"/>
          <w:szCs w:val="28"/>
          <w:rtl/>
          <w:lang w:bidi="he-IL"/>
        </w:rPr>
      </w:pPr>
      <w:r>
        <w:rPr>
          <w:rFonts w:cs="Guttman Drogolin"/>
          <w:sz w:val="28"/>
          <w:szCs w:val="28"/>
          <w:rtl/>
          <w:lang w:bidi="he-IL"/>
        </w:rPr>
        <w:fldChar w:fldCharType="begin"/>
      </w:r>
      <w:r>
        <w:instrText xml:space="preserve"> XE "</w:instrText>
      </w:r>
      <w:r w:rsidRPr="00B12020">
        <w:rPr>
          <w:rFonts w:hint="cs"/>
          <w:rtl/>
          <w:lang w:bidi="he-IL"/>
        </w:rPr>
        <w:instrText>טבילת כלים</w:instrText>
      </w:r>
      <w:r w:rsidRPr="00B12020">
        <w:rPr>
          <w:rtl/>
        </w:rPr>
        <w:instrText>:</w:instrText>
      </w:r>
      <w:r w:rsidRPr="00B12020">
        <w:rPr>
          <w:rFonts w:hint="cs"/>
          <w:rtl/>
          <w:lang w:bidi="he-IL"/>
        </w:rPr>
        <w:instrText>מכונת קפה</w:instrText>
      </w:r>
      <w:r>
        <w:instrText xml:space="preserve">" </w:instrText>
      </w:r>
      <w:r>
        <w:rPr>
          <w:rFonts w:cs="Guttman Drogolin"/>
          <w:sz w:val="28"/>
          <w:szCs w:val="28"/>
          <w:rtl/>
          <w:lang w:bidi="he-IL"/>
        </w:rPr>
        <w:fldChar w:fldCharType="end"/>
      </w:r>
      <w:r w:rsidR="00831C87" w:rsidRPr="00882F11">
        <w:rPr>
          <w:rFonts w:cs="Guttman Drogolin" w:hint="cs"/>
          <w:sz w:val="28"/>
          <w:szCs w:val="28"/>
          <w:rtl/>
          <w:lang w:bidi="he-IL"/>
        </w:rPr>
        <w:t>מכונת קפה (הסוג שקונים ממנה קפה ע"י הכנסת מטבעות)</w:t>
      </w:r>
    </w:p>
    <w:p w:rsidR="00831C87" w:rsidRPr="00882F11" w:rsidRDefault="00831C87" w:rsidP="0064481B">
      <w:pPr>
        <w:tabs>
          <w:tab w:val="right" w:pos="7497"/>
        </w:tabs>
        <w:bidi/>
        <w:jc w:val="both"/>
        <w:rPr>
          <w:rFonts w:cs="Guttman Drogolin"/>
          <w:rtl/>
          <w:lang w:bidi="he-IL"/>
        </w:rPr>
      </w:pPr>
      <w:r w:rsidRPr="00882F11">
        <w:rPr>
          <w:rFonts w:cs="Guttman Drogolin" w:hint="cs"/>
          <w:rtl/>
          <w:lang w:bidi="he-IL"/>
        </w:rPr>
        <w:t xml:space="preserve">לפי הבירורים שלי הטעם </w:t>
      </w:r>
      <w:r w:rsidR="0064481B" w:rsidRPr="00882F11">
        <w:rPr>
          <w:rFonts w:cs="Guttman Drogolin" w:hint="cs"/>
          <w:rtl/>
          <w:lang w:bidi="he-IL"/>
        </w:rPr>
        <w:t>לחייב אלו בטבילת כלים משום שהמכונה מערבת המים חמים עם האבקה ב</w:t>
      </w:r>
      <w:r w:rsidRPr="00882F11">
        <w:rPr>
          <w:rFonts w:cs="Guttman Drogolin" w:hint="cs"/>
          <w:rtl/>
          <w:lang w:bidi="he-IL"/>
        </w:rPr>
        <w:t>כפית של מתכת שהוא חלק של המכשיר</w:t>
      </w:r>
      <w:r w:rsidR="0064481B" w:rsidRPr="00882F11">
        <w:rPr>
          <w:rFonts w:cs="Guttman Drogolin" w:hint="cs"/>
          <w:rtl/>
          <w:lang w:bidi="he-IL"/>
        </w:rPr>
        <w:t>. ולא ידעתי טעם להקל בזה.</w:t>
      </w:r>
    </w:p>
    <w:p w:rsidR="00DD0650" w:rsidRPr="00882F11" w:rsidRDefault="00DD0650" w:rsidP="00DD0650">
      <w:pPr>
        <w:keepNext/>
        <w:tabs>
          <w:tab w:val="right" w:pos="7497"/>
        </w:tabs>
        <w:bidi/>
        <w:jc w:val="both"/>
        <w:rPr>
          <w:rFonts w:cs="Guttman Drogolin"/>
          <w:sz w:val="28"/>
          <w:szCs w:val="28"/>
          <w:rtl/>
          <w:lang w:bidi="he-IL"/>
        </w:rPr>
      </w:pPr>
      <w:r w:rsidRPr="00882F11">
        <w:rPr>
          <w:rFonts w:cs="Guttman Drogolin" w:hint="cs"/>
          <w:sz w:val="28"/>
          <w:szCs w:val="28"/>
          <w:rtl/>
          <w:lang w:bidi="he-IL"/>
        </w:rPr>
        <w:lastRenderedPageBreak/>
        <w:t>מנגל</w:t>
      </w:r>
    </w:p>
    <w:p w:rsidR="00DD0650" w:rsidRPr="00882F11" w:rsidRDefault="00DD0650" w:rsidP="00DD0650">
      <w:pPr>
        <w:tabs>
          <w:tab w:val="right" w:pos="7497"/>
        </w:tabs>
        <w:bidi/>
        <w:jc w:val="both"/>
        <w:rPr>
          <w:rFonts w:cs="Guttman Drogolin"/>
          <w:rtl/>
          <w:lang w:bidi="he-IL"/>
        </w:rPr>
      </w:pPr>
      <w:r w:rsidRPr="00882F11">
        <w:rPr>
          <w:rFonts w:cs="Guttman Drogolin" w:hint="cs"/>
          <w:rtl/>
          <w:lang w:bidi="he-IL"/>
        </w:rPr>
        <w:t>הרשת של המנגל חייב בטבילת כלים בברכה, וזהו ממש הפדיליא"ש במוזכר בסע' ד'. אמנם אם הוא עשוי מאליומינום יש להסתפק אם לברך, וכמו שביארנו לעיל.</w:t>
      </w:r>
    </w:p>
    <w:p w:rsidR="004B5FB2" w:rsidRPr="00882F11" w:rsidRDefault="00C0031A" w:rsidP="00DD0650">
      <w:pPr>
        <w:keepNext/>
        <w:tabs>
          <w:tab w:val="right" w:pos="7497"/>
        </w:tabs>
        <w:bidi/>
        <w:jc w:val="both"/>
        <w:rPr>
          <w:rFonts w:cs="Guttman Drogolin"/>
          <w:sz w:val="28"/>
          <w:szCs w:val="28"/>
          <w:rtl/>
          <w:lang w:bidi="he-IL"/>
        </w:rPr>
      </w:pPr>
      <w:r>
        <w:rPr>
          <w:rFonts w:cs="Guttman Drogolin"/>
          <w:sz w:val="28"/>
          <w:szCs w:val="28"/>
          <w:rtl/>
          <w:lang w:bidi="he-IL"/>
        </w:rPr>
        <w:fldChar w:fldCharType="begin"/>
      </w:r>
      <w:r>
        <w:instrText xml:space="preserve"> XE "</w:instrText>
      </w:r>
      <w:r w:rsidRPr="002C71E7">
        <w:rPr>
          <w:rFonts w:hint="cs"/>
          <w:rtl/>
          <w:lang w:bidi="he-IL"/>
        </w:rPr>
        <w:instrText>טבילת כלים</w:instrText>
      </w:r>
      <w:r w:rsidRPr="002C71E7">
        <w:rPr>
          <w:rtl/>
        </w:rPr>
        <w:instrText>:</w:instrText>
      </w:r>
      <w:r w:rsidRPr="002C71E7">
        <w:rPr>
          <w:rFonts w:hint="cs"/>
          <w:rtl/>
          <w:lang w:bidi="he-IL"/>
        </w:rPr>
        <w:instrText>קומביין</w:instrText>
      </w:r>
      <w:r>
        <w:instrText xml:space="preserve">" </w:instrText>
      </w:r>
      <w:r>
        <w:rPr>
          <w:rFonts w:cs="Guttman Drogolin"/>
          <w:sz w:val="28"/>
          <w:szCs w:val="28"/>
          <w:rtl/>
          <w:lang w:bidi="he-IL"/>
        </w:rPr>
        <w:fldChar w:fldCharType="end"/>
      </w:r>
      <w:r w:rsidR="004B5FB2" w:rsidRPr="00882F11">
        <w:rPr>
          <w:rFonts w:cs="Guttman Drogolin" w:hint="cs"/>
          <w:sz w:val="28"/>
          <w:szCs w:val="28"/>
          <w:rtl/>
          <w:lang w:bidi="he-IL"/>
        </w:rPr>
        <w:t>קומביין (מכונה לקצירת חיטין)</w:t>
      </w:r>
    </w:p>
    <w:p w:rsidR="00C97FF7" w:rsidRPr="00882F11" w:rsidRDefault="004B5FB2" w:rsidP="004B5FB2">
      <w:pPr>
        <w:tabs>
          <w:tab w:val="right" w:pos="7497"/>
        </w:tabs>
        <w:bidi/>
        <w:jc w:val="both"/>
        <w:rPr>
          <w:rFonts w:cs="Guttman Drogolin"/>
          <w:sz w:val="28"/>
          <w:szCs w:val="28"/>
          <w:rtl/>
          <w:lang w:bidi="he-IL"/>
        </w:rPr>
      </w:pPr>
      <w:r w:rsidRPr="00882F11">
        <w:rPr>
          <w:rFonts w:cs="Guttman Drogolin" w:hint="cs"/>
          <w:rtl/>
          <w:lang w:bidi="he-IL"/>
        </w:rPr>
        <w:t>לכאורה תלוי במחלוקת הט"ז והש"ך בחיוב טבילה בסכין של שחיטה, שלט"ז שגם אם אינו ראוי לשעת סעודה ממש מ"מ חייב למאן דמחייב סכין של שחיטה בטבילה, הה"נ הכא. אבל לש"ך יהא פטור. וכיון דמיירי במתכת שלרוב ראשונים חייב מדאורייתא, לכאורה שורת הדין הי' לומר שיש להטבילו בלא ברכה. אמנם כמדומני לא מחמירים להטבילו. וצ"ע.</w:t>
      </w:r>
      <w:r w:rsidR="00411FA0" w:rsidRPr="00882F11">
        <w:rPr>
          <w:rFonts w:cs="Guttman Drogolin" w:hint="cs"/>
          <w:sz w:val="28"/>
          <w:szCs w:val="28"/>
          <w:rtl/>
          <w:lang w:bidi="he-IL"/>
        </w:rPr>
        <w:t xml:space="preserve"> </w:t>
      </w:r>
    </w:p>
    <w:p w:rsidR="00C97FF7" w:rsidRPr="00882F11" w:rsidRDefault="00C0031A" w:rsidP="00C97FF7">
      <w:pPr>
        <w:tabs>
          <w:tab w:val="right" w:pos="7497"/>
        </w:tabs>
        <w:bidi/>
        <w:jc w:val="both"/>
        <w:rPr>
          <w:rFonts w:cs="Guttman Drogolin"/>
          <w:sz w:val="28"/>
          <w:szCs w:val="28"/>
          <w:rtl/>
          <w:lang w:bidi="he-IL"/>
        </w:rPr>
      </w:pPr>
      <w:r>
        <w:rPr>
          <w:rFonts w:cs="Guttman Drogolin"/>
          <w:b/>
          <w:bCs/>
          <w:sz w:val="28"/>
          <w:szCs w:val="28"/>
          <w:rtl/>
          <w:lang w:bidi="he-IL"/>
        </w:rPr>
        <w:fldChar w:fldCharType="begin"/>
      </w:r>
      <w:r>
        <w:instrText xml:space="preserve"> XE "</w:instrText>
      </w:r>
      <w:r w:rsidRPr="005D2CA7">
        <w:rPr>
          <w:rFonts w:hint="cs"/>
          <w:rtl/>
          <w:lang w:bidi="he-IL"/>
        </w:rPr>
        <w:instrText>טבילת כ</w:instrText>
      </w:r>
      <w:r w:rsidR="000E776E">
        <w:rPr>
          <w:rFonts w:hint="cs"/>
          <w:rtl/>
          <w:lang w:bidi="he-IL"/>
        </w:rPr>
        <w:instrText>ל</w:instrText>
      </w:r>
      <w:r w:rsidRPr="005D2CA7">
        <w:rPr>
          <w:rFonts w:hint="cs"/>
          <w:rtl/>
          <w:lang w:bidi="he-IL"/>
        </w:rPr>
        <w:instrText>ים</w:instrText>
      </w:r>
      <w:r w:rsidRPr="005D2CA7">
        <w:rPr>
          <w:rtl/>
        </w:rPr>
        <w:instrText>:</w:instrText>
      </w:r>
      <w:r w:rsidR="000E776E">
        <w:rPr>
          <w:rFonts w:hint="cs"/>
          <w:rtl/>
          <w:lang w:bidi="he-IL"/>
        </w:rPr>
        <w:instrText>עצ</w:instrText>
      </w:r>
      <w:r w:rsidRPr="005D2CA7">
        <w:rPr>
          <w:rFonts w:hint="cs"/>
          <w:rtl/>
          <w:lang w:bidi="he-IL"/>
        </w:rPr>
        <w:instrText>ות להפטר ממנה</w:instrText>
      </w:r>
      <w:r>
        <w:instrText xml:space="preserve">" </w:instrText>
      </w:r>
      <w:r>
        <w:rPr>
          <w:rFonts w:cs="Guttman Drogolin"/>
          <w:b/>
          <w:bCs/>
          <w:sz w:val="28"/>
          <w:szCs w:val="28"/>
          <w:rtl/>
          <w:lang w:bidi="he-IL"/>
        </w:rPr>
        <w:fldChar w:fldCharType="end"/>
      </w:r>
      <w:r w:rsidR="00C97FF7" w:rsidRPr="00882F11">
        <w:rPr>
          <w:rFonts w:cs="Guttman Drogolin" w:hint="cs"/>
          <w:b/>
          <w:bCs/>
          <w:sz w:val="28"/>
          <w:szCs w:val="28"/>
          <w:rtl/>
          <w:lang w:bidi="he-IL"/>
        </w:rPr>
        <w:t xml:space="preserve">עצות להפטר מטבילת כלים  </w:t>
      </w:r>
    </w:p>
    <w:p w:rsidR="00A536B3" w:rsidRPr="00882F11" w:rsidRDefault="00A536B3" w:rsidP="00A536B3">
      <w:pPr>
        <w:tabs>
          <w:tab w:val="right" w:pos="7497"/>
        </w:tabs>
        <w:bidi/>
        <w:jc w:val="both"/>
        <w:rPr>
          <w:rFonts w:cs="Guttman Drogolin"/>
          <w:sz w:val="28"/>
          <w:szCs w:val="28"/>
          <w:rtl/>
          <w:lang w:bidi="he-IL"/>
        </w:rPr>
      </w:pPr>
      <w:r w:rsidRPr="00882F11">
        <w:rPr>
          <w:rFonts w:cs="Guttman Drogolin" w:hint="cs"/>
          <w:rtl/>
          <w:lang w:bidi="he-IL"/>
        </w:rPr>
        <w:t>כמובן אין לחפש תצדקי להפטר מטבילת כלים היכא דאפשר להטביל, שעל זה נאמר בעידן ריתחא ענשינן אעשה (מנחות מ"א ע"א). אמנם לפעמים אין ע</w:t>
      </w:r>
      <w:r w:rsidR="00DD0650" w:rsidRPr="00882F11">
        <w:rPr>
          <w:rFonts w:cs="Guttman Drogolin" w:hint="cs"/>
          <w:rtl/>
          <w:lang w:bidi="he-IL"/>
        </w:rPr>
        <w:t>צ</w:t>
      </w:r>
      <w:r w:rsidRPr="00882F11">
        <w:rPr>
          <w:rFonts w:cs="Guttman Drogolin" w:hint="cs"/>
          <w:rtl/>
          <w:lang w:bidi="he-IL"/>
        </w:rPr>
        <w:t xml:space="preserve">ה להטביל את הכלי, </w:t>
      </w:r>
      <w:r w:rsidR="00DD0650" w:rsidRPr="00882F11">
        <w:rPr>
          <w:rFonts w:cs="Guttman Drogolin" w:hint="cs"/>
          <w:rtl/>
          <w:lang w:bidi="he-IL"/>
        </w:rPr>
        <w:t xml:space="preserve">כגון שאין מקוה בקרבת מקום, או שהטבילה יהרוס את הכלי, כגון בכלי סעודה שיש בהם כרטיס או מסך של מחשב. </w:t>
      </w:r>
      <w:r w:rsidRPr="00882F11">
        <w:rPr>
          <w:rFonts w:cs="Guttman Drogolin" w:hint="cs"/>
          <w:rtl/>
          <w:lang w:bidi="he-IL"/>
        </w:rPr>
        <w:t>ולכן יל"ע אם יש עצה להפטר מחיוב הטבילה בעת הצורך.</w:t>
      </w:r>
    </w:p>
    <w:p w:rsidR="00C97FF7" w:rsidRPr="00882F11" w:rsidRDefault="00D0066D" w:rsidP="001A1CBC">
      <w:pPr>
        <w:keepNext/>
        <w:tabs>
          <w:tab w:val="right" w:pos="7497"/>
        </w:tabs>
        <w:bidi/>
        <w:jc w:val="both"/>
        <w:rPr>
          <w:rFonts w:cs="Guttman Drogolin"/>
          <w:sz w:val="28"/>
          <w:szCs w:val="28"/>
          <w:rtl/>
          <w:lang w:bidi="he-IL"/>
        </w:rPr>
      </w:pPr>
      <w:r w:rsidRPr="00882F11">
        <w:rPr>
          <w:rFonts w:cs="Guttman Drogolin" w:hint="cs"/>
          <w:sz w:val="28"/>
          <w:szCs w:val="28"/>
          <w:rtl/>
          <w:lang w:bidi="he-IL"/>
        </w:rPr>
        <w:t xml:space="preserve">לא לזכות בכלי / </w:t>
      </w:r>
      <w:r w:rsidR="00911ED1" w:rsidRPr="00882F11">
        <w:rPr>
          <w:rFonts w:cs="Guttman Drogolin" w:hint="cs"/>
          <w:sz w:val="28"/>
          <w:szCs w:val="28"/>
          <w:rtl/>
          <w:lang w:bidi="he-IL"/>
        </w:rPr>
        <w:t>להפקיר הכלי</w:t>
      </w:r>
    </w:p>
    <w:p w:rsidR="001E4735" w:rsidRPr="00882F11" w:rsidRDefault="00C97FF7" w:rsidP="00E070B5">
      <w:pPr>
        <w:tabs>
          <w:tab w:val="right" w:pos="7497"/>
        </w:tabs>
        <w:bidi/>
        <w:jc w:val="both"/>
        <w:rPr>
          <w:rFonts w:cs="Guttman Drogolin"/>
          <w:rtl/>
          <w:lang w:bidi="he-IL"/>
        </w:rPr>
      </w:pPr>
      <w:r w:rsidRPr="00882F11">
        <w:rPr>
          <w:rFonts w:cs="Guttman Drogolin" w:hint="cs"/>
          <w:rtl/>
          <w:lang w:bidi="he-IL"/>
        </w:rPr>
        <w:t xml:space="preserve">הנה </w:t>
      </w:r>
      <w:r w:rsidR="00D0066D" w:rsidRPr="00882F11">
        <w:rPr>
          <w:rFonts w:cs="Guttman Drogolin" w:hint="cs"/>
          <w:rtl/>
          <w:lang w:bidi="he-IL"/>
        </w:rPr>
        <w:t xml:space="preserve">כיון שמבואר בירושלמי שטבילת כלים משום שיצא מטומאת עכו"ם ונכנס לקדושת ישראל, לכאורה פשוט שאם העכו"ם הפקיר הכלי אין חיוב טבילה עד כמה שהישראל זכה בו אע"ג </w:t>
      </w:r>
      <w:r w:rsidR="00E070B5" w:rsidRPr="00882F11">
        <w:rPr>
          <w:rFonts w:cs="Guttman Drogolin" w:hint="cs"/>
          <w:rtl/>
          <w:lang w:bidi="he-IL"/>
        </w:rPr>
        <w:t>ש</w:t>
      </w:r>
      <w:r w:rsidR="00D0066D" w:rsidRPr="00882F11">
        <w:rPr>
          <w:rFonts w:cs="Guttman Drogolin" w:hint="cs"/>
          <w:rtl/>
          <w:lang w:bidi="he-IL"/>
        </w:rPr>
        <w:t>משתמש בו. ולכן אם קונה מן העכו"ם ודעתו להדיא שלא לזכות בכלי אין חיוב טבילה (אמנם בפשוטו עד כמה שאינו מכוין לזה להדיא סתמא דמילתא קונה הכלי וכמש"כ לעיל בענין בקבוקי קוקה קולה).</w:t>
      </w:r>
      <w:r w:rsidR="00DA125F" w:rsidRPr="00882F11">
        <w:rPr>
          <w:rFonts w:cs="Guttman Drogolin" w:hint="cs"/>
          <w:rtl/>
          <w:lang w:bidi="he-IL"/>
        </w:rPr>
        <w:t xml:space="preserve"> אמנם נראה שאם המוכר הוא ישראל שקנא</w:t>
      </w:r>
      <w:r w:rsidR="00E070B5" w:rsidRPr="00882F11">
        <w:rPr>
          <w:rFonts w:cs="Guttman Drogolin" w:hint="cs"/>
          <w:rtl/>
          <w:lang w:bidi="he-IL"/>
        </w:rPr>
        <w:t>ו</w:t>
      </w:r>
      <w:r w:rsidR="00DA125F" w:rsidRPr="00882F11">
        <w:rPr>
          <w:rFonts w:cs="Guttman Drogolin" w:hint="cs"/>
          <w:rtl/>
          <w:lang w:bidi="he-IL"/>
        </w:rPr>
        <w:t xml:space="preserve"> מנכרי, לא מהני זה שאינו זוכה בו, דהא עדיין ישאר של ישראל הראשון. ואין לומר דמ"מ כלי סחורה שאולים הוו, </w:t>
      </w:r>
      <w:r w:rsidR="001E4735" w:rsidRPr="00882F11">
        <w:rPr>
          <w:rFonts w:cs="Guttman Drogolin" w:hint="cs"/>
          <w:rtl/>
          <w:lang w:bidi="he-IL"/>
        </w:rPr>
        <w:t xml:space="preserve">דהא אחרי שמוכרם </w:t>
      </w:r>
      <w:r w:rsidR="001E4735" w:rsidRPr="00882F11">
        <w:rPr>
          <w:rFonts w:cs="Guttman Drogolin" w:hint="cs"/>
          <w:rtl/>
          <w:lang w:bidi="he-IL"/>
        </w:rPr>
        <w:lastRenderedPageBreak/>
        <w:t>לישראל דעתו שיהיו לשימוש כדעת הקונה אפילו אם לא יזכה בו ישראל השני, וא"כ נהפכו להיות כלי סעודה</w:t>
      </w:r>
      <w:r w:rsidR="00A536B3" w:rsidRPr="00882F11">
        <w:rPr>
          <w:rFonts w:cs="Guttman Drogolin" w:hint="cs"/>
          <w:rtl/>
          <w:lang w:bidi="he-IL"/>
        </w:rPr>
        <w:t xml:space="preserve"> (וכן ראיתי באשרי האיש דבסמוך שהורה כן)</w:t>
      </w:r>
      <w:r w:rsidR="001E4735" w:rsidRPr="00882F11">
        <w:rPr>
          <w:rFonts w:cs="Guttman Drogolin" w:hint="cs"/>
          <w:rtl/>
          <w:lang w:bidi="he-IL"/>
        </w:rPr>
        <w:t>.</w:t>
      </w:r>
    </w:p>
    <w:p w:rsidR="008000E5" w:rsidRPr="00882F11" w:rsidRDefault="001E4735" w:rsidP="00E070B5">
      <w:pPr>
        <w:tabs>
          <w:tab w:val="right" w:pos="7497"/>
        </w:tabs>
        <w:bidi/>
        <w:jc w:val="both"/>
        <w:rPr>
          <w:rFonts w:cs="Guttman Drogolin"/>
          <w:rtl/>
          <w:lang w:bidi="he-IL"/>
        </w:rPr>
      </w:pPr>
      <w:r w:rsidRPr="00882F11">
        <w:rPr>
          <w:rFonts w:cs="Guttman Drogolin" w:hint="cs"/>
          <w:rtl/>
          <w:lang w:bidi="he-IL"/>
        </w:rPr>
        <w:t xml:space="preserve">ויש לדון אם יש עצה לישראל שיפקיר הכלי אחרי שקנאו מן הנכרי. ומסברא אין חיוב אלא עד כמה שהוא של ישראל, אבל אם הוא הפקר, אע"ג דמעיקרא היתה של ישראל שקנאי מנכרי, לל"ב. אמנם העירו כמה אחרונים דא"כ בסע' ט"ז כשדנו בשבת ואי אפשר לו להטביל הכלי, למה לא נתנו עצה להפקיר הכלי </w:t>
      </w:r>
      <w:r w:rsidR="00E070B5" w:rsidRPr="00882F11">
        <w:rPr>
          <w:rFonts w:cs="Guttman Drogolin" w:hint="cs"/>
          <w:rtl/>
          <w:lang w:bidi="he-IL"/>
        </w:rPr>
        <w:t>ב</w:t>
      </w:r>
      <w:r w:rsidRPr="00882F11">
        <w:rPr>
          <w:rFonts w:cs="Guttman Drogolin" w:hint="cs"/>
          <w:rtl/>
          <w:lang w:bidi="he-IL"/>
        </w:rPr>
        <w:t>מקום להקנותו לעכו"ם.</w:t>
      </w:r>
      <w:r w:rsidR="008000E5" w:rsidRPr="00882F11">
        <w:rPr>
          <w:rFonts w:cs="Guttman Drogolin" w:hint="cs"/>
          <w:rtl/>
          <w:lang w:bidi="he-IL"/>
        </w:rPr>
        <w:t xml:space="preserve"> ואולי מכאן ראי' שאחרי שנכנס לקדושת ישראל הרי הוא חייב בטבילת כלים אפילו אם עכשיו אינו ברשות ישראל. ועל תשיבני דא"כ למה מהני להקנותו לעכו"ם אחרי שכבר התחייב, דשאני התם דחזר ונטמא בטומאת עכו"ם, אבל כל זמן שלא חזר ונטמא הרי זה חייב. </w:t>
      </w:r>
    </w:p>
    <w:p w:rsidR="003E5BCA" w:rsidRPr="00882F11" w:rsidRDefault="008000E5" w:rsidP="00DD0650">
      <w:pPr>
        <w:tabs>
          <w:tab w:val="right" w:pos="7497"/>
        </w:tabs>
        <w:bidi/>
        <w:jc w:val="both"/>
        <w:rPr>
          <w:rFonts w:cs="Guttman Drogolin"/>
          <w:rtl/>
          <w:lang w:bidi="he-IL"/>
        </w:rPr>
      </w:pPr>
      <w:r w:rsidRPr="00882F11">
        <w:rPr>
          <w:rFonts w:cs="Guttman Drogolin" w:hint="cs"/>
          <w:rtl/>
          <w:lang w:bidi="he-IL"/>
        </w:rPr>
        <w:t xml:space="preserve">ומ"מ מסברא הי' נראה לפטור. והקושיא מסע' ט"ז אינה ראי' גמורה. ואומרים בשם החזו"א </w:t>
      </w:r>
      <w:r w:rsidRPr="00882F11">
        <w:rPr>
          <w:rFonts w:cs="Guttman Drogolin"/>
          <w:rtl/>
          <w:lang w:bidi="he-IL"/>
        </w:rPr>
        <w:t>(</w:t>
      </w:r>
      <w:r w:rsidRPr="00882F11">
        <w:rPr>
          <w:rFonts w:cs="Guttman Drogolin" w:hint="cs"/>
          <w:rtl/>
          <w:lang w:bidi="he-IL"/>
        </w:rPr>
        <w:t xml:space="preserve">ע' ס' </w:t>
      </w:r>
      <w:r w:rsidRPr="00882F11">
        <w:rPr>
          <w:rFonts w:cs="Guttman Drogolin"/>
          <w:rtl/>
          <w:lang w:bidi="he-IL"/>
        </w:rPr>
        <w:t xml:space="preserve">טבילת כלים פרק ד' סוף הע' כ' </w:t>
      </w:r>
      <w:r w:rsidRPr="00882F11">
        <w:rPr>
          <w:rFonts w:cs="Guttman Drogolin" w:hint="cs"/>
          <w:rtl/>
          <w:lang w:bidi="he-IL"/>
        </w:rPr>
        <w:t>ו</w:t>
      </w:r>
      <w:r w:rsidRPr="00882F11">
        <w:rPr>
          <w:rFonts w:cs="Guttman Drogolin"/>
          <w:rtl/>
          <w:lang w:bidi="he-IL"/>
        </w:rPr>
        <w:t>ארחות רבנו ח"ג עמ' פ"ד אות נ"ג</w:t>
      </w:r>
      <w:r w:rsidRPr="00882F11">
        <w:rPr>
          <w:rFonts w:cs="Guttman Drogolin" w:hint="cs"/>
          <w:rtl/>
          <w:lang w:bidi="he-IL"/>
        </w:rPr>
        <w:t xml:space="preserve">) שנתן עצה כזאת. </w:t>
      </w:r>
      <w:r w:rsidR="00A536B3" w:rsidRPr="00882F11">
        <w:rPr>
          <w:rFonts w:cs="Guttman Drogolin" w:hint="cs"/>
          <w:rtl/>
          <w:lang w:bidi="he-IL"/>
        </w:rPr>
        <w:t>ומאידך ה</w:t>
      </w:r>
      <w:r w:rsidR="00A536B3" w:rsidRPr="00882F11">
        <w:rPr>
          <w:rFonts w:cs="Guttman Drogolin"/>
          <w:rtl/>
          <w:lang w:bidi="he-IL"/>
        </w:rPr>
        <w:t>מהרי"ל דיסקין (קונ"א סי' ה' אות קל"ו</w:t>
      </w:r>
      <w:r w:rsidR="00A536B3" w:rsidRPr="00882F11">
        <w:rPr>
          <w:rFonts w:cs="Guttman Drogolin" w:hint="cs"/>
          <w:rtl/>
          <w:lang w:bidi="he-IL"/>
        </w:rPr>
        <w:t>) דחה עצה זו מכח דברי השו"ע הנ"ל.</w:t>
      </w:r>
      <w:r w:rsidR="00DD0650" w:rsidRPr="00882F11">
        <w:rPr>
          <w:rFonts w:cs="Guttman Drogolin" w:hint="cs"/>
          <w:rtl/>
          <w:lang w:bidi="he-IL"/>
        </w:rPr>
        <w:t xml:space="preserve"> וראיתי במנחת שלמה (</w:t>
      </w:r>
      <w:r w:rsidR="00DD0650" w:rsidRPr="00882F11">
        <w:rPr>
          <w:rFonts w:cs="Guttman Drogolin"/>
          <w:rtl/>
          <w:lang w:bidi="he-IL"/>
        </w:rPr>
        <w:t>ח"ב סי' ס"ו אות ט"ז</w:t>
      </w:r>
      <w:r w:rsidR="00DD0650" w:rsidRPr="00882F11">
        <w:rPr>
          <w:rFonts w:cs="Guttman Drogolin" w:hint="cs"/>
          <w:rtl/>
          <w:lang w:bidi="he-IL"/>
        </w:rPr>
        <w:t>- ולא מצאתיו בתנינא) שכתב להקל בזה בשעה"ד.</w:t>
      </w:r>
      <w:r w:rsidR="001E4735" w:rsidRPr="00882F11">
        <w:rPr>
          <w:rFonts w:cs="Guttman Drogolin" w:hint="cs"/>
          <w:rtl/>
          <w:lang w:bidi="he-IL"/>
        </w:rPr>
        <w:t xml:space="preserve">  </w:t>
      </w:r>
    </w:p>
    <w:p w:rsidR="000E776E" w:rsidRDefault="003E5BCA" w:rsidP="003E5BCA">
      <w:pPr>
        <w:tabs>
          <w:tab w:val="right" w:pos="7497"/>
        </w:tabs>
        <w:bidi/>
        <w:jc w:val="both"/>
        <w:rPr>
          <w:rFonts w:cs="Guttman Drogolin"/>
          <w:rtl/>
          <w:lang w:bidi="he-IL"/>
        </w:rPr>
      </w:pPr>
      <w:r w:rsidRPr="00882F11">
        <w:rPr>
          <w:rFonts w:cs="Guttman Drogolin" w:hint="cs"/>
          <w:rtl/>
          <w:lang w:bidi="he-IL"/>
        </w:rPr>
        <w:t>וכמובן עצה זו לא מה</w:t>
      </w:r>
      <w:r w:rsidR="00E070B5" w:rsidRPr="00882F11">
        <w:rPr>
          <w:rFonts w:cs="Guttman Drogolin" w:hint="cs"/>
          <w:rtl/>
          <w:lang w:bidi="he-IL"/>
        </w:rPr>
        <w:t>ני לשואל כלי מישראל שהתחייב בטב</w:t>
      </w:r>
      <w:r w:rsidRPr="00882F11">
        <w:rPr>
          <w:rFonts w:cs="Guttman Drogolin" w:hint="cs"/>
          <w:rtl/>
          <w:lang w:bidi="he-IL"/>
        </w:rPr>
        <w:t>ילת כלים כיון שאין הכלי שלו כדי שיוכל להפקירו.</w:t>
      </w:r>
      <w:r w:rsidR="001E4735" w:rsidRPr="00882F11">
        <w:rPr>
          <w:rFonts w:cs="Guttman Drogolin" w:hint="cs"/>
          <w:rtl/>
          <w:lang w:bidi="he-IL"/>
        </w:rPr>
        <w:t xml:space="preserve">  </w:t>
      </w:r>
      <w:r w:rsidR="00DA125F" w:rsidRPr="00882F11">
        <w:rPr>
          <w:rFonts w:cs="Guttman Drogolin" w:hint="cs"/>
          <w:rtl/>
          <w:lang w:bidi="he-IL"/>
        </w:rPr>
        <w:t xml:space="preserve"> </w:t>
      </w:r>
    </w:p>
    <w:p w:rsidR="000E776E" w:rsidRPr="00882F11" w:rsidRDefault="000E776E" w:rsidP="000E776E">
      <w:pPr>
        <w:keepNext/>
        <w:tabs>
          <w:tab w:val="right" w:pos="7497"/>
        </w:tabs>
        <w:bidi/>
        <w:jc w:val="both"/>
        <w:rPr>
          <w:rFonts w:cs="Guttman Drogolin"/>
          <w:sz w:val="28"/>
          <w:szCs w:val="28"/>
          <w:rtl/>
          <w:lang w:bidi="he-IL"/>
        </w:rPr>
      </w:pPr>
      <w:r w:rsidRPr="00882F11">
        <w:rPr>
          <w:rFonts w:cs="Guttman Drogolin" w:hint="cs"/>
          <w:sz w:val="28"/>
          <w:szCs w:val="28"/>
          <w:rtl/>
          <w:lang w:bidi="he-IL"/>
        </w:rPr>
        <w:t>ל</w:t>
      </w:r>
      <w:r>
        <w:rPr>
          <w:rFonts w:cs="Guttman Drogolin" w:hint="cs"/>
          <w:sz w:val="28"/>
          <w:szCs w:val="28"/>
          <w:rtl/>
          <w:lang w:bidi="he-IL"/>
        </w:rPr>
        <w:t>הקנות הכלי לקטן</w:t>
      </w:r>
    </w:p>
    <w:p w:rsidR="009965F6" w:rsidRDefault="007C394D" w:rsidP="00E2105B">
      <w:pPr>
        <w:tabs>
          <w:tab w:val="right" w:pos="7497"/>
        </w:tabs>
        <w:bidi/>
        <w:jc w:val="both"/>
        <w:rPr>
          <w:rFonts w:cs="Guttman Drogolin"/>
          <w:lang w:bidi="he-IL"/>
        </w:rPr>
      </w:pPr>
      <w:r>
        <w:rPr>
          <w:rFonts w:cs="Guttman Drogolin"/>
          <w:rtl/>
          <w:lang w:bidi="he-IL"/>
        </w:rPr>
        <w:fldChar w:fldCharType="begin"/>
      </w:r>
      <w:r>
        <w:instrText xml:space="preserve"> XE "</w:instrText>
      </w:r>
      <w:r w:rsidRPr="004A40BE">
        <w:rPr>
          <w:rFonts w:hint="cs"/>
          <w:rtl/>
          <w:lang w:bidi="he-IL"/>
        </w:rPr>
        <w:instrText>טבילת כלים</w:instrText>
      </w:r>
      <w:r w:rsidRPr="004A40BE">
        <w:rPr>
          <w:rtl/>
        </w:rPr>
        <w:instrText>:</w:instrText>
      </w:r>
      <w:r w:rsidRPr="004A40BE">
        <w:rPr>
          <w:rFonts w:hint="cs"/>
          <w:rtl/>
          <w:lang w:bidi="he-IL"/>
        </w:rPr>
        <w:instrText>כלי של קטן</w:instrText>
      </w:r>
      <w:r>
        <w:instrText xml:space="preserve">" </w:instrText>
      </w:r>
      <w:r>
        <w:rPr>
          <w:rFonts w:cs="Guttman Drogolin"/>
          <w:rtl/>
          <w:lang w:bidi="he-IL"/>
        </w:rPr>
        <w:fldChar w:fldCharType="end"/>
      </w:r>
      <w:r w:rsidR="009965F6">
        <w:rPr>
          <w:rFonts w:cs="Guttman Drogolin" w:hint="cs"/>
          <w:rtl/>
          <w:lang w:bidi="he-IL"/>
        </w:rPr>
        <w:t xml:space="preserve">ע' לקמן בשיעור הבא הבאנו מחלוקת אם כלי של קטן חייב או פטור. והוא תלוי בעיקר גדר החיוב של טילת כלים ע"ש. </w:t>
      </w:r>
    </w:p>
    <w:p w:rsidR="00D7725F" w:rsidRDefault="009965F6" w:rsidP="009965F6">
      <w:pPr>
        <w:tabs>
          <w:tab w:val="right" w:pos="7497"/>
        </w:tabs>
        <w:bidi/>
        <w:jc w:val="both"/>
        <w:rPr>
          <w:rFonts w:cs="Guttman Drogolin"/>
          <w:rtl/>
          <w:lang w:bidi="he-IL"/>
        </w:rPr>
      </w:pPr>
      <w:r>
        <w:rPr>
          <w:rFonts w:cs="Guttman Drogolin" w:hint="cs"/>
          <w:rtl/>
          <w:lang w:bidi="he-IL"/>
        </w:rPr>
        <w:t>ואפילו למקילים לכאורה אין זה עצה יותר טובה מזה שיפקיר הכלי (אלא דעדיף מצד אחר, דכאן לא ישתקע הדבר כיון שבסופו של דבר הקטן יתחייב בטבילת כלים). אלא</w:t>
      </w:r>
      <w:r w:rsidR="00CF76EF">
        <w:rPr>
          <w:rFonts w:cs="Guttman Drogolin" w:hint="cs"/>
          <w:rtl/>
          <w:lang w:bidi="he-IL"/>
        </w:rPr>
        <w:t xml:space="preserve"> </w:t>
      </w:r>
      <w:r>
        <w:rPr>
          <w:rFonts w:cs="Guttman Drogolin" w:hint="cs"/>
          <w:rtl/>
          <w:lang w:bidi="he-IL"/>
        </w:rPr>
        <w:t>ד</w:t>
      </w:r>
      <w:r w:rsidR="004B43D8">
        <w:rPr>
          <w:rFonts w:cs="Guttman Drogolin" w:hint="cs"/>
          <w:rtl/>
          <w:lang w:bidi="he-IL"/>
        </w:rPr>
        <w:t xml:space="preserve">שו"ר בשו"ת מהרי"ל דיסקין  שכתב שבמשכיר לקטן אין קושיא </w:t>
      </w:r>
      <w:r w:rsidR="004B43D8">
        <w:rPr>
          <w:rFonts w:cs="Guttman Drogolin" w:hint="cs"/>
          <w:rtl/>
          <w:lang w:bidi="he-IL"/>
        </w:rPr>
        <w:lastRenderedPageBreak/>
        <w:t xml:space="preserve">למה לא נתנו עצה זאת בשבת משום שקטן לאו בר אושלי הוא, ואי אפשר להושיב ב"ד בשבת. ויל"ע מהו כוונתו בזה, שאם לאו בר אושלי הוא לאו בר השכרה הוא, וא"כ מאי קמיירי המהריל"ד. ואולי כוונתו שהשכיר ע"י ב"ד ואפוטרופוס, וא"כ אין עצה להשכיר ג"כ אא"כ העמיד אפוטרופוס. </w:t>
      </w:r>
      <w:r w:rsidR="00E2105B">
        <w:rPr>
          <w:rFonts w:cs="Guttman Drogolin" w:hint="cs"/>
          <w:rtl/>
          <w:lang w:bidi="he-IL"/>
        </w:rPr>
        <w:t>ו</w:t>
      </w:r>
      <w:r w:rsidR="004B43D8">
        <w:rPr>
          <w:rFonts w:cs="Guttman Drogolin" w:hint="cs"/>
          <w:rtl/>
          <w:lang w:bidi="he-IL"/>
        </w:rPr>
        <w:t xml:space="preserve">בגוף הענין </w:t>
      </w:r>
      <w:r w:rsidR="00E2105B">
        <w:rPr>
          <w:rFonts w:cs="Guttman Drogolin" w:hint="cs"/>
          <w:rtl/>
          <w:lang w:bidi="he-IL"/>
        </w:rPr>
        <w:t>ע' או"ח סי' תר</w:t>
      </w:r>
      <w:r w:rsidR="00545A12">
        <w:rPr>
          <w:rFonts w:cs="Guttman Drogolin" w:hint="cs"/>
          <w:rtl/>
          <w:lang w:bidi="he-IL"/>
        </w:rPr>
        <w:t>נ"ח סע' ו' שלא יתן הלולב לקטן בי</w:t>
      </w:r>
      <w:r w:rsidR="00E2105B">
        <w:rPr>
          <w:rFonts w:cs="Guttman Drogolin" w:hint="cs"/>
          <w:rtl/>
          <w:lang w:bidi="he-IL"/>
        </w:rPr>
        <w:t>ום ראשון קודם שיצא בו כיון שאין הקטן יכול להקנות לו מן התורה. ומשמע שבשאר ימים שפיר דמי. ולדברי המהריל"ד הא לאו בר אושלי הוא.</w:t>
      </w:r>
      <w:r w:rsidR="00D7725F">
        <w:rPr>
          <w:rFonts w:cs="Guttman Drogolin" w:hint="cs"/>
          <w:rtl/>
          <w:lang w:bidi="he-IL"/>
        </w:rPr>
        <w:t xml:space="preserve"> </w:t>
      </w:r>
      <w:r w:rsidR="003621E5">
        <w:rPr>
          <w:rFonts w:cs="Guttman Drogolin" w:hint="cs"/>
          <w:rtl/>
          <w:lang w:bidi="he-IL"/>
        </w:rPr>
        <w:t>ומ"מ לא הבנתי, שלכאורה כל מה שצריך אפוטרופוס אינו אלא כשלא הגיע לעונת פעוטות, אבל הגיע לעונת הפעוטות תיקנו שגם קטן מקנה.</w:t>
      </w:r>
    </w:p>
    <w:p w:rsidR="004B43D8" w:rsidRDefault="00D7725F" w:rsidP="00CB24AE">
      <w:pPr>
        <w:tabs>
          <w:tab w:val="right" w:pos="7497"/>
        </w:tabs>
        <w:bidi/>
        <w:jc w:val="both"/>
        <w:rPr>
          <w:rFonts w:cs="Guttman Drogolin"/>
          <w:rtl/>
          <w:lang w:bidi="he-IL"/>
        </w:rPr>
      </w:pPr>
      <w:r>
        <w:rPr>
          <w:rFonts w:cs="Guttman Drogolin" w:hint="cs"/>
          <w:rtl/>
          <w:lang w:bidi="he-IL"/>
        </w:rPr>
        <w:t xml:space="preserve">שו"מ שבאמת בעיקר הדין בלולב נחלקו הפוסקים אם מותר להשתמש בה בשאר ימים. שבחזו"א (נשים סי' ע"ד ס"ק י"ח ד"ה בקצה"ח) לכאורה מבואר דאה"נ אם הקנהו לקטן שוב אסור להשתמש בה לעצמך ביו"ט שני כיון דהוי שואל שלא מדעת. </w:t>
      </w:r>
      <w:r w:rsidR="00CB24AE">
        <w:rPr>
          <w:rFonts w:cs="Guttman Drogolin" w:hint="cs"/>
          <w:rtl/>
          <w:lang w:bidi="he-IL"/>
        </w:rPr>
        <w:t xml:space="preserve">אמנם בשו"ת אג"מ או"ח סי' ק"ז דקדק כדברינו הנ"ל שאינו אלא חומרא של יום ראשון. וע"ש שכן מדוקדק ג"כ מבה"ל סי' תרנ"ח סע' ו' בשם א"ר, שכתב שביום ראשון אינו כדאי להקנות לקטן כיון שיתכן שיש גדול אחר שעדיין לא יצא בו ביום ראשון, משמע שבשאר הימים שפי"ד. וביאר דאע"ג שאין הקטן יכול להקנות מ"מ אינו חשוב גזול אצלו.   </w:t>
      </w:r>
      <w:r>
        <w:rPr>
          <w:rFonts w:cs="Guttman Drogolin" w:hint="cs"/>
          <w:rtl/>
          <w:lang w:bidi="he-IL"/>
        </w:rPr>
        <w:t xml:space="preserve">   </w:t>
      </w:r>
      <w:r w:rsidR="00E2105B">
        <w:rPr>
          <w:rFonts w:cs="Guttman Drogolin" w:hint="cs"/>
          <w:rtl/>
          <w:lang w:bidi="he-IL"/>
        </w:rPr>
        <w:t xml:space="preserve"> </w:t>
      </w:r>
    </w:p>
    <w:p w:rsidR="009965F6" w:rsidRDefault="004B43D8" w:rsidP="004B43D8">
      <w:pPr>
        <w:tabs>
          <w:tab w:val="right" w:pos="7497"/>
        </w:tabs>
        <w:bidi/>
        <w:jc w:val="both"/>
        <w:rPr>
          <w:rFonts w:cs="Guttman Drogolin"/>
          <w:rtl/>
          <w:lang w:bidi="he-IL"/>
        </w:rPr>
      </w:pPr>
      <w:r>
        <w:rPr>
          <w:rFonts w:cs="Guttman Drogolin" w:hint="cs"/>
          <w:rtl/>
          <w:lang w:bidi="he-IL"/>
        </w:rPr>
        <w:t>ובעיקר הדין כתב שם שנראה לו פשוט שבשוכר כלי מקטן שקנה מעכו"ם אינו חייב טבילת כלים. ומותר להשתמש בו. והדגיש דאע"ג שיש חיוב חינוך, אין זה אלא על אביו, אבל על השוכר ליכא חיוב. וא"כ לדבריו אין עצה כזאת כשאביו מקנה אותו לבנו, דהא עדיין יהא אסור בשימוש משום מצות חינוך.</w:t>
      </w:r>
    </w:p>
    <w:p w:rsidR="00911ED1" w:rsidRPr="00882F11" w:rsidRDefault="00347EB3" w:rsidP="00347EB3">
      <w:pPr>
        <w:tabs>
          <w:tab w:val="right" w:pos="7497"/>
        </w:tabs>
        <w:bidi/>
        <w:jc w:val="both"/>
        <w:rPr>
          <w:rFonts w:cs="Guttman Drogolin"/>
          <w:sz w:val="28"/>
          <w:szCs w:val="28"/>
          <w:rtl/>
          <w:lang w:bidi="he-IL"/>
        </w:rPr>
      </w:pPr>
      <w:r>
        <w:rPr>
          <w:rFonts w:cs="Guttman Drogolin" w:hint="cs"/>
          <w:rtl/>
          <w:lang w:bidi="he-IL"/>
        </w:rPr>
        <w:t xml:space="preserve">עוד סברא חשבתי, דהנה אפילו את"ל שיהא פטור כששואל מקטן, יש אולי לומר דהנ"מ כשקנאו הקטן עצמו מנכרי, אבל גדול שקנה מנכרי ושוב הקנהו לקטן, אולי כה"ג יש עדיין חיוב כיון שהי' מקורם של גדול ואין החיוב נפקע בזה שהקנהו </w:t>
      </w:r>
      <w:r>
        <w:rPr>
          <w:rFonts w:cs="Guttman Drogolin" w:hint="cs"/>
          <w:rtl/>
          <w:lang w:bidi="he-IL"/>
        </w:rPr>
        <w:lastRenderedPageBreak/>
        <w:t xml:space="preserve">לקטן. אבב"י יש ב' צדדים בישראל שקנה מנכרי סכין לחתוך בה קלפים ושוב קנאו ישראל אחר לצרכי סעודה אם יהא חייב בטבילת כלים. ולצד דחייב לכאורה כאן יהא פטור, דמבואר שהכל הולך אחר מי שהכלי שלו עכשיו ולא במי שקנה אותו ממנו. ואע"ג דקיי"ל כתי' זה, אולי זה רק לוחמרא. </w:t>
      </w:r>
      <w:r w:rsidR="00A96BDF">
        <w:rPr>
          <w:rFonts w:cs="Guttman Drogolin" w:hint="cs"/>
          <w:rtl/>
          <w:lang w:bidi="he-IL"/>
        </w:rPr>
        <w:t>אלא דנראה שאפילו לצד השני אין הפ</w:t>
      </w:r>
      <w:r>
        <w:rPr>
          <w:rFonts w:cs="Guttman Drogolin" w:hint="cs"/>
          <w:rtl/>
          <w:lang w:bidi="he-IL"/>
        </w:rPr>
        <w:t>טור אלא משום שבשעת הקנין לא הי' כלי סעודה, ולא נשאר בפטורו, אבל זה שהי' חייב מקודם אינו אומר שעכשיו נשאר בחיובו.</w:t>
      </w:r>
      <w:r w:rsidR="004B43D8">
        <w:rPr>
          <w:rFonts w:cs="Guttman Drogolin" w:hint="cs"/>
          <w:rtl/>
          <w:lang w:bidi="he-IL"/>
        </w:rPr>
        <w:t xml:space="preserve">   </w:t>
      </w:r>
      <w:r w:rsidR="00CF76EF">
        <w:rPr>
          <w:rFonts w:cs="Guttman Drogolin" w:hint="cs"/>
          <w:rtl/>
          <w:lang w:bidi="he-IL"/>
        </w:rPr>
        <w:t xml:space="preserve"> </w:t>
      </w:r>
      <w:r w:rsidR="0069627E" w:rsidRPr="00882F11">
        <w:rPr>
          <w:rFonts w:cs="Guttman Drogolin" w:hint="cs"/>
          <w:sz w:val="28"/>
          <w:szCs w:val="28"/>
          <w:rtl/>
          <w:lang w:bidi="he-IL"/>
        </w:rPr>
        <w:t xml:space="preserve"> </w:t>
      </w:r>
    </w:p>
    <w:p w:rsidR="00F308BE" w:rsidRDefault="007C394D" w:rsidP="00147FDF">
      <w:pPr>
        <w:tabs>
          <w:tab w:val="right" w:pos="7497"/>
        </w:tabs>
        <w:bidi/>
        <w:jc w:val="both"/>
        <w:rPr>
          <w:rFonts w:cs="Guttman Drogolin"/>
          <w:rtl/>
          <w:lang w:bidi="he-IL"/>
        </w:rPr>
      </w:pPr>
      <w:r>
        <w:rPr>
          <w:rFonts w:cs="Guttman Drogolin"/>
          <w:rtl/>
          <w:lang w:bidi="he-IL"/>
        </w:rPr>
        <w:fldChar w:fldCharType="begin"/>
      </w:r>
      <w:r>
        <w:instrText xml:space="preserve"> XE "</w:instrText>
      </w:r>
      <w:r w:rsidRPr="00B07637">
        <w:rPr>
          <w:rFonts w:hint="cs"/>
          <w:rtl/>
          <w:lang w:bidi="he-IL"/>
        </w:rPr>
        <w:instrText>טבילת כלים</w:instrText>
      </w:r>
      <w:r w:rsidRPr="00B07637">
        <w:rPr>
          <w:rtl/>
        </w:rPr>
        <w:instrText>:</w:instrText>
      </w:r>
      <w:r w:rsidRPr="00B07637">
        <w:rPr>
          <w:rFonts w:hint="cs"/>
          <w:rtl/>
          <w:lang w:bidi="he-IL"/>
        </w:rPr>
        <w:instrText xml:space="preserve">קביעת </w:instrText>
      </w:r>
      <w:r w:rsidR="00147FDF">
        <w:rPr>
          <w:rFonts w:hint="cs"/>
          <w:rtl/>
          <w:lang w:bidi="he-IL"/>
        </w:rPr>
        <w:instrText xml:space="preserve">כלי </w:instrText>
      </w:r>
      <w:r w:rsidRPr="00B07637">
        <w:rPr>
          <w:rFonts w:hint="cs"/>
          <w:rtl/>
          <w:lang w:bidi="he-IL"/>
        </w:rPr>
        <w:instrText>ככלי סעודה ע</w:instrText>
      </w:r>
      <w:r>
        <w:rPr>
          <w:rFonts w:eastAsiaTheme="minorEastAsia"/>
          <w:lang w:bidi="he-IL"/>
        </w:rPr>
        <w:instrText>\</w:instrText>
      </w:r>
      <w:r w:rsidRPr="00B07637">
        <w:rPr>
          <w:rFonts w:hint="cs"/>
          <w:rtl/>
          <w:lang w:bidi="he-IL"/>
        </w:rPr>
        <w:instrText>"י קטן</w:instrText>
      </w:r>
      <w:r>
        <w:instrText xml:space="preserve">" </w:instrText>
      </w:r>
      <w:r>
        <w:rPr>
          <w:rFonts w:cs="Guttman Drogolin"/>
          <w:rtl/>
          <w:lang w:bidi="he-IL"/>
        </w:rPr>
        <w:fldChar w:fldCharType="end"/>
      </w:r>
      <w:r w:rsidR="00F308BE">
        <w:rPr>
          <w:rFonts w:cs="Guttman Drogolin" w:hint="cs"/>
          <w:rtl/>
          <w:lang w:bidi="he-IL"/>
        </w:rPr>
        <w:t xml:space="preserve">וע"ש בשו"ת מהריל"ד עוד סברא להקל בכלי של קטן, והוא דכיון שאין לו דעת אינו יכול לקבוע הכלי ככלי סעודה וממילא לא מתחייב. ולכאורה סברא זו מובנת יותר לפי הוראת הב"י שכלי סחורה אינם נחשבים ככלי סעודה אע"ג שעומדים לתשמיש זה, וא"כ אצל קטן שפיר י"ל שאינם כלי סעודה. ויל"ע בזה. </w:t>
      </w:r>
    </w:p>
    <w:p w:rsidR="00911ED1" w:rsidRPr="00882F11" w:rsidRDefault="00911ED1" w:rsidP="00911ED1">
      <w:pPr>
        <w:tabs>
          <w:tab w:val="right" w:pos="7497"/>
        </w:tabs>
        <w:bidi/>
        <w:jc w:val="both"/>
        <w:rPr>
          <w:rFonts w:cs="Guttman Drogolin"/>
          <w:sz w:val="28"/>
          <w:szCs w:val="28"/>
          <w:rtl/>
          <w:lang w:bidi="he-IL"/>
        </w:rPr>
      </w:pPr>
      <w:r w:rsidRPr="00882F11">
        <w:rPr>
          <w:rFonts w:cs="Guttman Drogolin" w:hint="cs"/>
          <w:sz w:val="28"/>
          <w:szCs w:val="28"/>
          <w:rtl/>
          <w:lang w:bidi="he-IL"/>
        </w:rPr>
        <w:t>לשבור את הכלי באופן שצריך מעשה אומן ושוב תקנו</w:t>
      </w:r>
    </w:p>
    <w:p w:rsidR="00911ED1" w:rsidRPr="00882F11" w:rsidRDefault="00193109" w:rsidP="00911ED1">
      <w:pPr>
        <w:tabs>
          <w:tab w:val="right" w:pos="7497"/>
        </w:tabs>
        <w:bidi/>
        <w:jc w:val="both"/>
        <w:rPr>
          <w:rFonts w:cs="Guttman Drogolin"/>
          <w:sz w:val="28"/>
          <w:szCs w:val="28"/>
          <w:rtl/>
          <w:lang w:bidi="he-IL"/>
        </w:rPr>
      </w:pPr>
      <w:r w:rsidRPr="00882F11">
        <w:rPr>
          <w:rFonts w:cs="Guttman Drogolin" w:hint="cs"/>
          <w:rtl/>
          <w:lang w:bidi="he-IL"/>
        </w:rPr>
        <w:t xml:space="preserve">.... ע' בקונ' שיעורי הלכה </w:t>
      </w:r>
      <w:r w:rsidRPr="00882F11">
        <w:rPr>
          <w:rFonts w:cs="Guttman Drogolin"/>
          <w:rtl/>
          <w:lang w:bidi="he-IL"/>
        </w:rPr>
        <w:t>–</w:t>
      </w:r>
      <w:r w:rsidRPr="00882F11">
        <w:rPr>
          <w:rFonts w:cs="Guttman Drogolin" w:hint="cs"/>
          <w:rtl/>
          <w:lang w:bidi="he-IL"/>
        </w:rPr>
        <w:t xml:space="preserve"> טבילת כלים של הגרא"נ ויג עמ' נ"ג עד נ"ה.</w:t>
      </w:r>
      <w:r w:rsidR="00911ED1" w:rsidRPr="00882F11">
        <w:rPr>
          <w:rFonts w:cs="Guttman Drogolin" w:hint="cs"/>
          <w:sz w:val="28"/>
          <w:szCs w:val="28"/>
          <w:rtl/>
          <w:lang w:bidi="he-IL"/>
        </w:rPr>
        <w:t xml:space="preserve"> </w:t>
      </w:r>
    </w:p>
    <w:p w:rsidR="00911ED1" w:rsidRPr="00882F11" w:rsidRDefault="00911ED1" w:rsidP="00911ED1">
      <w:pPr>
        <w:tabs>
          <w:tab w:val="right" w:pos="7497"/>
        </w:tabs>
        <w:bidi/>
        <w:jc w:val="both"/>
        <w:rPr>
          <w:rFonts w:cs="Guttman Drogolin"/>
          <w:sz w:val="28"/>
          <w:szCs w:val="28"/>
          <w:rtl/>
          <w:lang w:bidi="he-IL"/>
        </w:rPr>
      </w:pPr>
      <w:r w:rsidRPr="00882F11">
        <w:rPr>
          <w:rFonts w:cs="Guttman Drogolin" w:hint="cs"/>
          <w:sz w:val="28"/>
          <w:szCs w:val="28"/>
          <w:rtl/>
          <w:lang w:bidi="he-IL"/>
        </w:rPr>
        <w:t>לתת הכלי לנכרי ושוב לשואלו ממנו</w:t>
      </w:r>
    </w:p>
    <w:p w:rsidR="00636A36" w:rsidRPr="00882F11" w:rsidRDefault="00911ED1" w:rsidP="00911ED1">
      <w:pPr>
        <w:tabs>
          <w:tab w:val="right" w:pos="7497"/>
        </w:tabs>
        <w:bidi/>
        <w:jc w:val="both"/>
        <w:rPr>
          <w:rFonts w:cs="Guttman Drogolin"/>
          <w:rtl/>
          <w:lang w:bidi="he-IL"/>
        </w:rPr>
      </w:pPr>
      <w:r w:rsidRPr="00882F11">
        <w:rPr>
          <w:rFonts w:cs="Guttman Drogolin" w:hint="cs"/>
          <w:rtl/>
          <w:lang w:bidi="he-IL"/>
        </w:rPr>
        <w:t>הנה</w:t>
      </w:r>
      <w:r w:rsidR="001A1CBC" w:rsidRPr="00882F11">
        <w:rPr>
          <w:rFonts w:cs="Guttman Drogolin" w:hint="cs"/>
          <w:rtl/>
          <w:lang w:bidi="he-IL"/>
        </w:rPr>
        <w:t xml:space="preserve"> בססי' ק"כ מבואר שבשבת ... אמנם יעוין בט"ז ... ודבריו מחודשים ...</w:t>
      </w:r>
    </w:p>
    <w:p w:rsidR="00636A36" w:rsidRPr="00882F11" w:rsidRDefault="00636A36" w:rsidP="00636A36">
      <w:pPr>
        <w:tabs>
          <w:tab w:val="right" w:pos="7497"/>
        </w:tabs>
        <w:bidi/>
        <w:jc w:val="both"/>
        <w:rPr>
          <w:rFonts w:cs="Guttman Drogolin"/>
          <w:sz w:val="28"/>
          <w:szCs w:val="28"/>
          <w:rtl/>
          <w:lang w:bidi="he-IL"/>
        </w:rPr>
      </w:pPr>
      <w:r w:rsidRPr="00882F11">
        <w:rPr>
          <w:rFonts w:cs="Guttman Drogolin" w:hint="cs"/>
          <w:b/>
          <w:bCs/>
          <w:sz w:val="28"/>
          <w:szCs w:val="28"/>
          <w:rtl/>
          <w:lang w:bidi="he-IL"/>
        </w:rPr>
        <w:t xml:space="preserve">אם יש איסור לפני עור בקונה מאכלים שיהיו מוכנים בכלים שאינם טבולים  </w:t>
      </w:r>
    </w:p>
    <w:p w:rsidR="00636A36" w:rsidRPr="00882F11" w:rsidRDefault="00636A36" w:rsidP="00636A36">
      <w:pPr>
        <w:tabs>
          <w:tab w:val="right" w:pos="7497"/>
        </w:tabs>
        <w:bidi/>
        <w:jc w:val="both"/>
        <w:rPr>
          <w:rFonts w:cs="Guttman Drogolin"/>
          <w:sz w:val="28"/>
          <w:szCs w:val="28"/>
          <w:rtl/>
          <w:lang w:bidi="he-IL"/>
        </w:rPr>
      </w:pPr>
      <w:r w:rsidRPr="00882F11">
        <w:rPr>
          <w:rFonts w:cs="Guttman Drogolin" w:hint="cs"/>
          <w:rtl/>
          <w:lang w:bidi="he-IL"/>
        </w:rPr>
        <w:t>כמובן אין לחפש תצדקי להפטר מטבילת כלים היכא דאפשר להטביל, שעל זה נאמר בעידן ריתחא ענשינן אעשה (מנחות</w:t>
      </w:r>
      <w:r w:rsidR="00911ED1" w:rsidRPr="00882F11">
        <w:rPr>
          <w:rFonts w:cs="Guttman Drogolin" w:hint="cs"/>
          <w:sz w:val="28"/>
          <w:szCs w:val="28"/>
          <w:rtl/>
          <w:lang w:bidi="he-IL"/>
        </w:rPr>
        <w:t xml:space="preserve">  </w:t>
      </w:r>
    </w:p>
    <w:p w:rsidR="00636A36" w:rsidRPr="00882F11" w:rsidRDefault="00636A36" w:rsidP="00636A36">
      <w:pPr>
        <w:tabs>
          <w:tab w:val="right" w:pos="7497"/>
        </w:tabs>
        <w:bidi/>
        <w:jc w:val="both"/>
        <w:rPr>
          <w:rFonts w:cs="Guttman Drogolin"/>
          <w:sz w:val="28"/>
          <w:szCs w:val="28"/>
          <w:rtl/>
          <w:lang w:bidi="he-IL"/>
        </w:rPr>
      </w:pPr>
      <w:r w:rsidRPr="00882F11">
        <w:rPr>
          <w:rFonts w:cs="Guttman Drogolin" w:hint="cs"/>
          <w:b/>
          <w:bCs/>
          <w:sz w:val="28"/>
          <w:szCs w:val="28"/>
          <w:rtl/>
          <w:lang w:bidi="he-IL"/>
        </w:rPr>
        <w:t xml:space="preserve">איזה חלקים של הכלי חייבים לטבול, ואם אפשר להטבילו חלקים חלקים  </w:t>
      </w:r>
    </w:p>
    <w:p w:rsidR="00636A36" w:rsidRPr="00882F11" w:rsidRDefault="00636A36" w:rsidP="00636A36">
      <w:pPr>
        <w:tabs>
          <w:tab w:val="right" w:pos="7497"/>
        </w:tabs>
        <w:bidi/>
        <w:jc w:val="both"/>
        <w:rPr>
          <w:rFonts w:cs="Guttman Drogolin"/>
          <w:sz w:val="28"/>
          <w:szCs w:val="28"/>
          <w:rtl/>
          <w:lang w:bidi="he-IL"/>
        </w:rPr>
      </w:pPr>
      <w:r w:rsidRPr="00882F11">
        <w:rPr>
          <w:rFonts w:cs="Guttman Drogolin" w:hint="cs"/>
          <w:rtl/>
          <w:lang w:bidi="he-IL"/>
        </w:rPr>
        <w:t>כמובן</w:t>
      </w:r>
      <w:r w:rsidR="00911ED1" w:rsidRPr="00882F11">
        <w:rPr>
          <w:rFonts w:cs="Guttman Drogolin" w:hint="cs"/>
          <w:sz w:val="28"/>
          <w:szCs w:val="28"/>
          <w:rtl/>
          <w:lang w:bidi="he-IL"/>
        </w:rPr>
        <w:t xml:space="preserve">   </w:t>
      </w:r>
    </w:p>
    <w:p w:rsidR="00636A36" w:rsidRPr="00882F11" w:rsidRDefault="00636A36" w:rsidP="00636A36">
      <w:pPr>
        <w:tabs>
          <w:tab w:val="right" w:pos="7497"/>
        </w:tabs>
        <w:bidi/>
        <w:jc w:val="both"/>
        <w:rPr>
          <w:rFonts w:cs="Guttman Drogolin"/>
          <w:sz w:val="28"/>
          <w:szCs w:val="28"/>
          <w:rtl/>
          <w:lang w:bidi="he-IL"/>
        </w:rPr>
        <w:sectPr w:rsidR="00636A36" w:rsidRPr="00882F11" w:rsidSect="00153315">
          <w:type w:val="continuous"/>
          <w:pgSz w:w="11907" w:h="16839" w:code="9"/>
          <w:pgMar w:top="1440" w:right="1440" w:bottom="1440" w:left="1440" w:header="720" w:footer="720" w:gutter="0"/>
          <w:cols w:num="2" w:space="720"/>
          <w:bidi/>
          <w:docGrid w:linePitch="360"/>
        </w:sectPr>
      </w:pPr>
    </w:p>
    <w:p w:rsidR="00636A36" w:rsidRPr="00153315" w:rsidRDefault="00636A36" w:rsidP="00636A36">
      <w:pPr>
        <w:keepNext/>
        <w:tabs>
          <w:tab w:val="left" w:pos="3818"/>
          <w:tab w:val="center" w:pos="4680"/>
        </w:tabs>
        <w:bidi/>
        <w:jc w:val="center"/>
        <w:rPr>
          <w:rFonts w:cs="Guttman Drogolin"/>
          <w:b/>
          <w:bCs/>
          <w:sz w:val="48"/>
          <w:szCs w:val="48"/>
          <w:rtl/>
          <w:lang w:bidi="he-IL"/>
        </w:rPr>
      </w:pPr>
      <w:r w:rsidRPr="00153315">
        <w:rPr>
          <w:rFonts w:cs="Guttman Drogolin" w:hint="cs"/>
          <w:b/>
          <w:bCs/>
          <w:sz w:val="48"/>
          <w:szCs w:val="48"/>
          <w:rtl/>
          <w:lang w:bidi="he-IL"/>
        </w:rPr>
        <w:lastRenderedPageBreak/>
        <w:t>שיעור קכ"ג</w:t>
      </w:r>
    </w:p>
    <w:p w:rsidR="00153315" w:rsidRDefault="00153315" w:rsidP="005A3FD3">
      <w:pPr>
        <w:pStyle w:val="Heading1"/>
        <w:bidi/>
        <w:spacing w:before="0" w:line="360" w:lineRule="auto"/>
        <w:jc w:val="center"/>
        <w:rPr>
          <w:rFonts w:cs="Guttman Drogolin"/>
          <w:color w:val="auto"/>
          <w:sz w:val="24"/>
          <w:szCs w:val="24"/>
          <w:u w:val="single"/>
          <w:rtl/>
          <w:lang w:bidi="he-IL"/>
        </w:rPr>
        <w:sectPr w:rsidR="00153315" w:rsidSect="00153315">
          <w:pgSz w:w="11907" w:h="16839" w:code="9"/>
          <w:pgMar w:top="1440" w:right="1440" w:bottom="1440" w:left="1440" w:header="720" w:footer="720" w:gutter="0"/>
          <w:cols w:space="720"/>
          <w:bidi/>
          <w:docGrid w:linePitch="360"/>
        </w:sectPr>
      </w:pPr>
    </w:p>
    <w:p w:rsidR="00636A36" w:rsidRPr="00882F11" w:rsidRDefault="005A3FD3" w:rsidP="005A3FD3">
      <w:pPr>
        <w:pStyle w:val="Heading1"/>
        <w:bidi/>
        <w:spacing w:before="0" w:line="360" w:lineRule="auto"/>
        <w:jc w:val="center"/>
        <w:rPr>
          <w:rFonts w:cs="Guttman Drogolin"/>
          <w:color w:val="auto"/>
          <w:sz w:val="24"/>
          <w:szCs w:val="24"/>
          <w:u w:val="single"/>
          <w:rtl/>
          <w:lang w:bidi="he-IL"/>
        </w:rPr>
      </w:pPr>
      <w:bookmarkStart w:id="484" w:name="_Toc496175728"/>
      <w:r w:rsidRPr="00882F11">
        <w:rPr>
          <w:rFonts w:cs="Guttman Drogolin" w:hint="cs"/>
          <w:color w:val="auto"/>
          <w:sz w:val="24"/>
          <w:szCs w:val="24"/>
          <w:u w:val="single"/>
          <w:rtl/>
          <w:lang w:bidi="he-IL"/>
        </w:rPr>
        <w:lastRenderedPageBreak/>
        <w:t>כלי של שותפות ישראל עם עכו"ם</w:t>
      </w:r>
      <w:bookmarkEnd w:id="484"/>
    </w:p>
    <w:p w:rsidR="00E50764" w:rsidRPr="00882F11" w:rsidRDefault="00C0031A" w:rsidP="00E50764">
      <w:pPr>
        <w:tabs>
          <w:tab w:val="right" w:pos="7497"/>
        </w:tabs>
        <w:bidi/>
        <w:jc w:val="both"/>
        <w:rPr>
          <w:rFonts w:cs="Guttman Drogolin"/>
          <w:rtl/>
          <w:lang w:bidi="he-IL"/>
        </w:rPr>
      </w:pPr>
      <w:r>
        <w:rPr>
          <w:rFonts w:cs="Guttman Drogolin"/>
          <w:rtl/>
          <w:lang w:bidi="he-IL"/>
        </w:rPr>
        <w:fldChar w:fldCharType="begin"/>
      </w:r>
      <w:r>
        <w:instrText xml:space="preserve"> XE "</w:instrText>
      </w:r>
      <w:r w:rsidRPr="00AA0E2D">
        <w:rPr>
          <w:rFonts w:hint="cs"/>
          <w:rtl/>
          <w:lang w:bidi="he-IL"/>
        </w:rPr>
        <w:instrText>טבילת כלים</w:instrText>
      </w:r>
      <w:r w:rsidRPr="00AA0E2D">
        <w:rPr>
          <w:rtl/>
        </w:rPr>
        <w:instrText>:</w:instrText>
      </w:r>
      <w:r w:rsidRPr="00AA0E2D">
        <w:rPr>
          <w:rFonts w:hint="cs"/>
          <w:rtl/>
          <w:lang w:bidi="he-IL"/>
        </w:rPr>
        <w:instrText>שותפות ישראל עם עכו</w:instrText>
      </w:r>
      <w:r>
        <w:rPr>
          <w:rFonts w:eastAsiaTheme="minorEastAsia"/>
          <w:lang w:bidi="he-IL"/>
        </w:rPr>
        <w:instrText>\</w:instrText>
      </w:r>
      <w:r w:rsidRPr="00AA0E2D">
        <w:rPr>
          <w:rFonts w:hint="cs"/>
          <w:rtl/>
          <w:lang w:bidi="he-IL"/>
        </w:rPr>
        <w:instrText>"ם</w:instrText>
      </w:r>
      <w:r>
        <w:instrText xml:space="preserve">" </w:instrText>
      </w:r>
      <w:r>
        <w:rPr>
          <w:rFonts w:cs="Guttman Drogolin"/>
          <w:rtl/>
          <w:lang w:bidi="he-IL"/>
        </w:rPr>
        <w:fldChar w:fldCharType="end"/>
      </w:r>
      <w:r w:rsidR="00AD29B4" w:rsidRPr="00882F11">
        <w:rPr>
          <w:rFonts w:cs="Guttman Drogolin" w:hint="cs"/>
          <w:rtl/>
          <w:lang w:bidi="he-IL"/>
        </w:rPr>
        <w:t xml:space="preserve">כתב הרמ"א בסע' י"א שאם ישראל ועכו"ם קנו כלי בשותפות אין צריך טבילה. ומקור הדברים בדרכ"מ בשם או"ה (שער נ"ח אות צ"א). </w:t>
      </w:r>
      <w:r w:rsidR="00E50764" w:rsidRPr="00882F11">
        <w:rPr>
          <w:rFonts w:cs="Guttman Drogolin" w:hint="cs"/>
          <w:rtl/>
          <w:lang w:bidi="he-IL"/>
        </w:rPr>
        <w:t>ו</w:t>
      </w:r>
      <w:r w:rsidR="00AD29B4" w:rsidRPr="00882F11">
        <w:rPr>
          <w:rFonts w:cs="Guttman Drogolin" w:hint="cs"/>
          <w:rtl/>
          <w:lang w:bidi="he-IL"/>
        </w:rPr>
        <w:t xml:space="preserve">שם האו"ה </w:t>
      </w:r>
      <w:r w:rsidR="00E50764" w:rsidRPr="00882F11">
        <w:rPr>
          <w:rFonts w:cs="Guttman Drogolin" w:hint="cs"/>
          <w:rtl/>
          <w:lang w:bidi="he-IL"/>
        </w:rPr>
        <w:t xml:space="preserve">ביאר </w:t>
      </w:r>
      <w:r w:rsidR="00AD29B4" w:rsidRPr="00882F11">
        <w:rPr>
          <w:rFonts w:cs="Guttman Drogolin" w:hint="cs"/>
          <w:rtl/>
          <w:lang w:bidi="he-IL"/>
        </w:rPr>
        <w:t xml:space="preserve">הטעם </w:t>
      </w:r>
      <w:r w:rsidR="00E50764" w:rsidRPr="00882F11">
        <w:rPr>
          <w:rFonts w:cs="Guttman Drogolin" w:hint="cs"/>
          <w:rtl/>
          <w:lang w:bidi="he-IL"/>
        </w:rPr>
        <w:t>"</w:t>
      </w:r>
      <w:r w:rsidR="00E50764" w:rsidRPr="00882F11">
        <w:rPr>
          <w:rFonts w:cs="Guttman Drogolin"/>
          <w:rtl/>
          <w:lang w:bidi="he-IL"/>
        </w:rPr>
        <w:t xml:space="preserve">דהא בודאי אין יוצא מידי שום טומאה </w:t>
      </w:r>
      <w:r w:rsidR="00E50764" w:rsidRPr="00882F11">
        <w:rPr>
          <w:rFonts w:cs="Guttman Drogolin" w:hint="cs"/>
          <w:rtl/>
          <w:lang w:bidi="he-IL"/>
        </w:rPr>
        <w:t>(</w:t>
      </w:r>
      <w:r w:rsidR="00E50764" w:rsidRPr="00882F11">
        <w:rPr>
          <w:rFonts w:cs="Guttman Drogolin"/>
          <w:rtl/>
          <w:lang w:bidi="he-IL"/>
        </w:rPr>
        <w:t>דטבילה</w:t>
      </w:r>
      <w:r w:rsidR="00E50764" w:rsidRPr="00882F11">
        <w:rPr>
          <w:rFonts w:cs="Guttman Drogolin" w:hint="cs"/>
          <w:rtl/>
          <w:lang w:bidi="he-IL"/>
        </w:rPr>
        <w:t>) [בטבילה]</w:t>
      </w:r>
      <w:r w:rsidR="00E50764" w:rsidRPr="00882F11">
        <w:rPr>
          <w:rFonts w:cs="Guttman Drogolin"/>
          <w:rtl/>
          <w:lang w:bidi="he-IL"/>
        </w:rPr>
        <w:t xml:space="preserve"> זו דעדיין שם ושותפות הכנעני עליו</w:t>
      </w:r>
      <w:r w:rsidR="00E50764" w:rsidRPr="00882F11">
        <w:rPr>
          <w:rFonts w:cs="Guttman Drogolin" w:hint="cs"/>
          <w:rtl/>
          <w:lang w:bidi="he-IL"/>
        </w:rPr>
        <w:t>"</w:t>
      </w:r>
      <w:r w:rsidR="00E50764" w:rsidRPr="00882F11">
        <w:rPr>
          <w:rFonts w:cs="Guttman Drogolin"/>
          <w:rtl/>
          <w:lang w:bidi="he-IL"/>
        </w:rPr>
        <w:t xml:space="preserve"> </w:t>
      </w:r>
      <w:r w:rsidR="00E50764" w:rsidRPr="00882F11">
        <w:rPr>
          <w:rFonts w:cs="Guttman Drogolin" w:hint="cs"/>
          <w:rtl/>
          <w:lang w:bidi="he-IL"/>
        </w:rPr>
        <w:t>וכן הביאו הש"ך ס"ק כ"ד וה</w:t>
      </w:r>
      <w:r w:rsidR="00AD29B4" w:rsidRPr="00882F11">
        <w:rPr>
          <w:rFonts w:cs="Guttman Drogolin" w:hint="cs"/>
          <w:rtl/>
          <w:lang w:bidi="he-IL"/>
        </w:rPr>
        <w:t>גר"א בס"ק ל"א. וכתב הש"ך בס"ק כ"ו שאם חזר הישראל וקנה חלקו של העכו"ם חייב בטבילת כלים.</w:t>
      </w:r>
      <w:r w:rsidR="00E50764" w:rsidRPr="00882F11">
        <w:rPr>
          <w:rFonts w:cs="Guttman Drogolin" w:hint="cs"/>
          <w:rtl/>
          <w:lang w:bidi="he-IL"/>
        </w:rPr>
        <w:t xml:space="preserve"> </w:t>
      </w:r>
    </w:p>
    <w:p w:rsidR="00AB5277" w:rsidRPr="00882F11" w:rsidRDefault="00E50764" w:rsidP="00AB5277">
      <w:pPr>
        <w:tabs>
          <w:tab w:val="right" w:pos="7497"/>
        </w:tabs>
        <w:bidi/>
        <w:jc w:val="both"/>
        <w:rPr>
          <w:rFonts w:cs="Guttman Drogolin"/>
          <w:rtl/>
          <w:lang w:bidi="he-IL"/>
        </w:rPr>
      </w:pPr>
      <w:r w:rsidRPr="00882F11">
        <w:rPr>
          <w:rFonts w:cs="Guttman Drogolin" w:hint="cs"/>
          <w:rtl/>
          <w:lang w:bidi="he-IL"/>
        </w:rPr>
        <w:t>ו</w:t>
      </w:r>
      <w:r w:rsidR="00AB5277" w:rsidRPr="00882F11">
        <w:rPr>
          <w:rFonts w:cs="Guttman Drogolin" w:hint="cs"/>
          <w:rtl/>
          <w:lang w:bidi="he-IL"/>
        </w:rPr>
        <w:t>הנה טעמו של האו"ה מבאר למה אי אפשר להטבילו, דהא עדיין לא יצא מטומאת עכו"ם. ומלשון 'אין צריך טבילה' משמע שגם פטורים מטבילה ומותרים בתשמיש, וכן הבין דבריהם בפשיטות</w:t>
      </w:r>
      <w:r w:rsidRPr="00882F11">
        <w:rPr>
          <w:rFonts w:cs="Guttman Drogolin" w:hint="cs"/>
          <w:rtl/>
          <w:lang w:bidi="he-IL"/>
        </w:rPr>
        <w:t xml:space="preserve"> בס' בית מאיר</w:t>
      </w:r>
      <w:r w:rsidR="00AB5277" w:rsidRPr="00882F11">
        <w:rPr>
          <w:rFonts w:cs="Guttman Drogolin" w:hint="cs"/>
          <w:rtl/>
          <w:lang w:bidi="he-IL"/>
        </w:rPr>
        <w:t xml:space="preserve">, ומשו"ה הרבה לתמוה על זה, דהא מ"מ נכנס לקדושת ישראל בחלקו של הישראל, ונימא שאסור בשימוש אע"ג שלא יוכל לטובלו. ועוד הקשה שהרי כיון דחיישינן שיש ברירה (וכשיטת הפוסקים שהטעם שמדאורייתא אין ברירה משום חומרא מספק) הא כשמשתמש בה הישראל כולו לשלו וא"כ הרי הוא חייב. </w:t>
      </w:r>
    </w:p>
    <w:p w:rsidR="004F1462" w:rsidRPr="00882F11" w:rsidRDefault="00AB5277" w:rsidP="004F1462">
      <w:pPr>
        <w:tabs>
          <w:tab w:val="right" w:pos="7497"/>
        </w:tabs>
        <w:bidi/>
        <w:jc w:val="both"/>
        <w:rPr>
          <w:rFonts w:cs="Guttman Drogolin"/>
          <w:rtl/>
          <w:lang w:bidi="he-IL"/>
        </w:rPr>
      </w:pPr>
      <w:r w:rsidRPr="00882F11">
        <w:rPr>
          <w:rFonts w:cs="Guttman Drogolin" w:hint="cs"/>
          <w:rtl/>
          <w:lang w:bidi="he-IL"/>
        </w:rPr>
        <w:t>והנה לענין השאלה הראשונה לכאורה יל"ע</w:t>
      </w:r>
      <w:r w:rsidR="004F1462" w:rsidRPr="00882F11">
        <w:rPr>
          <w:rFonts w:cs="Guttman Drogolin" w:hint="cs"/>
          <w:rtl/>
          <w:lang w:bidi="he-IL"/>
        </w:rPr>
        <w:t>, שמזה שכתב האו"ה 'דעדיין שם' לכאורה משמע דמיירי בכה"ג שקנו בשותפות מעכו"ם, וא"כ שפיר הקשה הבית מאיר. אמנם אולי יש לומר שכוונת האו"ה לכה"ג שקנו הנכרי וישראל כלי בשותפות מישראל, או שיצרו כלי מחדש לצורך שניהם, באופן שחלקו של ישראל לא יצא מטומאת עכו"ם כלל. וא"כ לא קשה מידי קושיית הבית מאיר הראשונה.</w:t>
      </w:r>
      <w:r w:rsidR="00F16BA6" w:rsidRPr="00882F11">
        <w:rPr>
          <w:rFonts w:cs="Guttman Drogolin" w:hint="cs"/>
          <w:rtl/>
          <w:lang w:bidi="he-IL"/>
        </w:rPr>
        <w:t xml:space="preserve"> ובאמת לפי פירושו של הבית מאיר, שהוא מדוקדק מלשונו של האו"ה וכנ"ל, יש להסתפק בכלי שקנאו ישראל ונכרי בשותפות מישראל, ושוב קנה השות</w:t>
      </w:r>
      <w:r w:rsidR="00D105C1" w:rsidRPr="00882F11">
        <w:rPr>
          <w:rFonts w:cs="Guttman Drogolin" w:hint="cs"/>
          <w:rtl/>
          <w:lang w:bidi="he-IL"/>
        </w:rPr>
        <w:t xml:space="preserve">ף ישראל משותף העכו"ם, האם כה"ג </w:t>
      </w:r>
      <w:r w:rsidR="00F16BA6" w:rsidRPr="00882F11">
        <w:rPr>
          <w:rFonts w:cs="Guttman Drogolin" w:hint="cs"/>
          <w:rtl/>
          <w:lang w:bidi="he-IL"/>
        </w:rPr>
        <w:t xml:space="preserve">יתחייב בטבילת כלים, דדלמא רק </w:t>
      </w:r>
      <w:r w:rsidR="00D75006" w:rsidRPr="00882F11">
        <w:rPr>
          <w:rFonts w:cs="Guttman Drogolin" w:hint="cs"/>
          <w:rtl/>
          <w:lang w:bidi="he-IL"/>
        </w:rPr>
        <w:t xml:space="preserve">כשהי' מעיקרא כולו של נכרי ושוב נכנס לקדושת ישראל חייב, אבל דבר שלא הי' אף פעם כולו של נכרי לא הי' מספיק בטומאת עכו"ם </w:t>
      </w:r>
      <w:r w:rsidR="00D75006" w:rsidRPr="00882F11">
        <w:rPr>
          <w:rFonts w:cs="Guttman Drogolin" w:hint="cs"/>
          <w:rtl/>
          <w:lang w:bidi="he-IL"/>
        </w:rPr>
        <w:lastRenderedPageBreak/>
        <w:t>לחייב. וסתימת לשון הפוסקים משמע שבכל אופן שהי' בשותפות ישראל עם נכרי ושוב קנאו הישראל כולו שחייב בטבילת כלים. וכן מסברא נראה שאין צריך כולו של נכרי. וצ"ע כעת.</w:t>
      </w:r>
    </w:p>
    <w:p w:rsidR="00F16BA6" w:rsidRPr="00882F11" w:rsidRDefault="004F1462" w:rsidP="004C690C">
      <w:pPr>
        <w:tabs>
          <w:tab w:val="right" w:pos="7497"/>
        </w:tabs>
        <w:bidi/>
        <w:jc w:val="both"/>
        <w:rPr>
          <w:rFonts w:cs="Guttman Drogolin"/>
          <w:rtl/>
          <w:lang w:bidi="he-IL"/>
        </w:rPr>
      </w:pPr>
      <w:r w:rsidRPr="00882F11">
        <w:rPr>
          <w:rFonts w:cs="Guttman Drogolin" w:hint="cs"/>
          <w:rtl/>
          <w:lang w:bidi="he-IL"/>
        </w:rPr>
        <w:t>ויעוין בשו"ת מנח"ש תנינא סי' ס"ח אות א' שכתב ליישב ע"פ שיטת הבה"ל וסייעתו הסוברים שאיסור ההשתמשות אינו אלא מדרבנן</w:t>
      </w:r>
      <w:r w:rsidR="004C690C" w:rsidRPr="00882F11">
        <w:rPr>
          <w:rFonts w:cs="Guttman Drogolin" w:hint="cs"/>
          <w:rtl/>
          <w:lang w:bidi="he-IL"/>
        </w:rPr>
        <w:t>. והיינו שעי</w:t>
      </w:r>
      <w:r w:rsidR="00D105C1" w:rsidRPr="00882F11">
        <w:rPr>
          <w:rFonts w:cs="Guttman Drogolin" w:hint="cs"/>
          <w:rtl/>
          <w:lang w:bidi="he-IL"/>
        </w:rPr>
        <w:t>קר הדין של טבילת כלים הוא להטבי</w:t>
      </w:r>
      <w:r w:rsidR="004C690C" w:rsidRPr="00882F11">
        <w:rPr>
          <w:rFonts w:cs="Guttman Drogolin" w:hint="cs"/>
          <w:rtl/>
          <w:lang w:bidi="he-IL"/>
        </w:rPr>
        <w:t>ל הכלי, ולא אסרו השתמשות אלא משום גזרה שמא לא יטבלנו, וא"כ איכא למימר שבשותפות עכו"ם שמ"מ אינו יכול להטבילו לא גזרו. ופשוט לפי הצד השני שביארנו שהבאנו לעיל אין זה תירוץ, דהיי</w:t>
      </w:r>
      <w:r w:rsidR="00E070B5" w:rsidRPr="00882F11">
        <w:rPr>
          <w:rFonts w:cs="Guttman Drogolin" w:hint="cs"/>
          <w:rtl/>
          <w:lang w:bidi="he-IL"/>
        </w:rPr>
        <w:t>נו לומר שמדאורייתא אין חיוב לטבו</w:t>
      </w:r>
      <w:r w:rsidR="004C690C" w:rsidRPr="00882F11">
        <w:rPr>
          <w:rFonts w:cs="Guttman Drogolin" w:hint="cs"/>
          <w:rtl/>
          <w:lang w:bidi="he-IL"/>
        </w:rPr>
        <w:t xml:space="preserve">ל כלי סעודה אם אינו רוצה, רק עיקר דין טבילת כלים הוא איסור השתמשות בכלי סעודה של עכו"ם עד שיטבילם. וא"כ סברת הבית מאיר מובן היטב, דמה איכפת לן אם יוכל לטובלו, הא מ"מ יש עליו זיקה שמחייב טהרה קודם ההשתמשות, ולכן אע"ג </w:t>
      </w:r>
      <w:r w:rsidR="00D75006" w:rsidRPr="00882F11">
        <w:rPr>
          <w:rFonts w:cs="Guttman Drogolin" w:hint="cs"/>
          <w:rtl/>
          <w:lang w:bidi="he-IL"/>
        </w:rPr>
        <w:t>שאינו יכול לטהרו, אס</w:t>
      </w:r>
      <w:r w:rsidR="004C690C" w:rsidRPr="00882F11">
        <w:rPr>
          <w:rFonts w:cs="Guttman Drogolin" w:hint="cs"/>
          <w:rtl/>
          <w:lang w:bidi="he-IL"/>
        </w:rPr>
        <w:t>ורה היא בהשתמשות.</w:t>
      </w:r>
    </w:p>
    <w:p w:rsidR="001545F8" w:rsidRPr="00882F11" w:rsidRDefault="001545F8" w:rsidP="00E35C40">
      <w:pPr>
        <w:tabs>
          <w:tab w:val="right" w:pos="7497"/>
        </w:tabs>
        <w:bidi/>
        <w:jc w:val="both"/>
        <w:rPr>
          <w:rFonts w:cs="Guttman Drogolin"/>
          <w:rtl/>
          <w:lang w:bidi="he-IL"/>
        </w:rPr>
      </w:pPr>
      <w:r w:rsidRPr="00882F11">
        <w:rPr>
          <w:rFonts w:cs="Guttman Drogolin" w:hint="cs"/>
          <w:rtl/>
          <w:lang w:bidi="he-IL"/>
        </w:rPr>
        <w:t xml:space="preserve">וחשבתי להביא </w:t>
      </w:r>
      <w:r w:rsidR="00E35C40" w:rsidRPr="00882F11">
        <w:rPr>
          <w:rFonts w:cs="Guttman Drogolin" w:hint="cs"/>
          <w:rtl/>
          <w:lang w:bidi="he-IL"/>
        </w:rPr>
        <w:t>סמך</w:t>
      </w:r>
      <w:r w:rsidRPr="00882F11">
        <w:rPr>
          <w:rFonts w:cs="Guttman Drogolin" w:hint="cs"/>
          <w:rtl/>
          <w:lang w:bidi="he-IL"/>
        </w:rPr>
        <w:t xml:space="preserve"> מן השו"ע שיסוד הדין איסור השתמשות. והוא שבאמת הקשוני מה"ת שהשו"ע סובר שיש איסור השתמשות, דלמא השו"ע סבר כתוס' הרי"ד שהכל הוא חיוב טבילה בלבד. </w:t>
      </w:r>
      <w:r w:rsidR="00E35C40" w:rsidRPr="00882F11">
        <w:rPr>
          <w:rFonts w:cs="Guttman Drogolin" w:hint="cs"/>
          <w:rtl/>
          <w:lang w:bidi="he-IL"/>
        </w:rPr>
        <w:t>והראי' היחידה שמצאתי הוא הסע' האחרון, ששם מבואר שאם הוא שבת יש להקנות הכלי לגוי ואז יוכל להשתמש בו. ולכאורה צ"ע למה השו"ע לא הדגיש במפורש שיש איסור להשתמש בה קודם טבילה במקום שנדייק את זה מן הסע' האחרון. ולכאורה התשובה משום שלא הי' צורך להדגיש את זה כיון שזהו כל הדין של טבילת כלים שיש איסור להשתמש בה קודם טבילה. אבל לאלו הסוברים שעיקר הדין הוא חיוב טבילה בעלמא, ולא גזרו איסור תשמיש אלא מדרבנן, הו"ל לאשמועינן דבר זה בהדיא. אלא ע"כ כנ"ל, שעיקר גדר הדין הוא איסור השתמשות מבלי לטהר אותו.</w:t>
      </w:r>
    </w:p>
    <w:p w:rsidR="00D75006" w:rsidRPr="00882F11" w:rsidRDefault="00F16BA6" w:rsidP="00D75006">
      <w:pPr>
        <w:tabs>
          <w:tab w:val="right" w:pos="7497"/>
        </w:tabs>
        <w:bidi/>
        <w:jc w:val="both"/>
        <w:rPr>
          <w:rFonts w:cs="Guttman Drogolin"/>
          <w:rtl/>
          <w:lang w:bidi="he-IL"/>
        </w:rPr>
      </w:pPr>
      <w:r w:rsidRPr="00882F11">
        <w:rPr>
          <w:rFonts w:cs="Guttman Drogolin" w:hint="cs"/>
          <w:rtl/>
          <w:lang w:bidi="he-IL"/>
        </w:rPr>
        <w:lastRenderedPageBreak/>
        <w:t>ולכאורה לולא דבריהם הי' אפשר ליישב באופן אחר, והוא שאין חיוב להטביל משום שיצא קצת מטומאת עכו"</w:t>
      </w:r>
      <w:r w:rsidR="00D75006" w:rsidRPr="00882F11">
        <w:rPr>
          <w:rFonts w:cs="Guttman Drogolin" w:hint="cs"/>
          <w:rtl/>
          <w:lang w:bidi="he-IL"/>
        </w:rPr>
        <w:t>ם, רק מה שנחלט לגמרי מן העכו"ם מחייב בטבילת כלים. אלא דא"כ צ"ע למה הדגיש האו"ה שלא יצא מטומאתו בטבילה זו, ולא אמר עוד יותר מזה שאין מחייב של טבילה כלל. ואולי איכא למימר שזהו גופא כוונתו, שהמחייב הוא להסיר כל הטומאה, ועד כמה שאינו יכול עדיין לא התחייב.</w:t>
      </w:r>
    </w:p>
    <w:p w:rsidR="00D75006" w:rsidRPr="00882F11" w:rsidRDefault="00D75006" w:rsidP="00D75006">
      <w:pPr>
        <w:tabs>
          <w:tab w:val="right" w:pos="7497"/>
        </w:tabs>
        <w:bidi/>
        <w:jc w:val="both"/>
        <w:rPr>
          <w:rFonts w:cs="Guttman Drogolin"/>
          <w:rtl/>
          <w:lang w:bidi="he-IL"/>
        </w:rPr>
      </w:pPr>
      <w:r w:rsidRPr="00882F11">
        <w:rPr>
          <w:rFonts w:cs="Guttman Drogolin" w:hint="cs"/>
          <w:rtl/>
          <w:lang w:bidi="he-IL"/>
        </w:rPr>
        <w:t>ולענין קושייתו השני' של הבית מאיר כתב המנח"ש דאע"ג שע"י ברירה אמרינן שעבר כולו לישראל, מ"מ כיון שעדיין יש זיקת נכרי אין זה כמעשה שהי'.</w:t>
      </w:r>
      <w:r w:rsidR="004C690C" w:rsidRPr="00882F11">
        <w:rPr>
          <w:rFonts w:cs="Guttman Drogolin" w:hint="cs"/>
          <w:rtl/>
          <w:lang w:bidi="he-IL"/>
        </w:rPr>
        <w:t xml:space="preserve">  </w:t>
      </w:r>
      <w:r w:rsidR="004F1462" w:rsidRPr="00882F11">
        <w:rPr>
          <w:rFonts w:cs="Guttman Drogolin" w:hint="cs"/>
          <w:rtl/>
          <w:lang w:bidi="he-IL"/>
        </w:rPr>
        <w:t xml:space="preserve"> </w:t>
      </w:r>
    </w:p>
    <w:p w:rsidR="0027172C" w:rsidRPr="00882F11" w:rsidRDefault="00D75006" w:rsidP="006279C7">
      <w:pPr>
        <w:tabs>
          <w:tab w:val="right" w:pos="7497"/>
        </w:tabs>
        <w:bidi/>
        <w:jc w:val="both"/>
        <w:rPr>
          <w:rFonts w:cs="Guttman Drogolin"/>
          <w:lang w:bidi="he-IL"/>
        </w:rPr>
      </w:pPr>
      <w:r w:rsidRPr="00882F11">
        <w:rPr>
          <w:rFonts w:cs="Guttman Drogolin" w:hint="cs"/>
          <w:rtl/>
          <w:lang w:bidi="he-IL"/>
        </w:rPr>
        <w:t xml:space="preserve">ובהאי ענינא יש לבאר דין כלים </w:t>
      </w:r>
      <w:r w:rsidR="00C61D50" w:rsidRPr="00882F11">
        <w:rPr>
          <w:rFonts w:cs="Guttman Drogolin" w:hint="cs"/>
          <w:rtl/>
          <w:lang w:bidi="he-IL"/>
        </w:rPr>
        <w:t>המיוצרים ב</w:t>
      </w:r>
      <w:r w:rsidR="006279C7" w:rsidRPr="00882F11">
        <w:rPr>
          <w:rFonts w:cs="Guttman Drogolin" w:hint="cs"/>
          <w:rtl/>
          <w:lang w:bidi="he-IL"/>
        </w:rPr>
        <w:t>בית חרושת</w:t>
      </w:r>
      <w:r w:rsidR="00C61D50" w:rsidRPr="00882F11">
        <w:rPr>
          <w:rFonts w:cs="Guttman Drogolin" w:hint="cs"/>
          <w:rtl/>
          <w:lang w:bidi="he-IL"/>
        </w:rPr>
        <w:t xml:space="preserve"> השייכת</w:t>
      </w:r>
      <w:r w:rsidRPr="00882F11">
        <w:rPr>
          <w:rFonts w:cs="Guttman Drogolin" w:hint="cs"/>
          <w:rtl/>
          <w:lang w:bidi="he-IL"/>
        </w:rPr>
        <w:t xml:space="preserve"> לחברת בע"מ שבבעלות</w:t>
      </w:r>
      <w:r w:rsidR="00C61D50" w:rsidRPr="00882F11">
        <w:rPr>
          <w:rFonts w:cs="Guttman Drogolin" w:hint="cs"/>
          <w:rtl/>
          <w:lang w:bidi="he-IL"/>
        </w:rPr>
        <w:t>ו</w:t>
      </w:r>
      <w:r w:rsidRPr="00882F11">
        <w:rPr>
          <w:rFonts w:cs="Guttman Drogolin" w:hint="cs"/>
          <w:rtl/>
          <w:lang w:bidi="he-IL"/>
        </w:rPr>
        <w:t xml:space="preserve"> של נכרי.</w:t>
      </w:r>
      <w:r w:rsidR="00C61D50" w:rsidRPr="00882F11">
        <w:rPr>
          <w:rFonts w:cs="Guttman Drogolin" w:hint="cs"/>
          <w:rtl/>
          <w:lang w:bidi="he-IL"/>
        </w:rPr>
        <w:t xml:space="preserve"> </w:t>
      </w:r>
      <w:r w:rsidR="0027172C" w:rsidRPr="00882F11">
        <w:rPr>
          <w:rFonts w:cs="Guttman Drogolin" w:hint="cs"/>
          <w:rtl/>
          <w:lang w:bidi="he-IL"/>
        </w:rPr>
        <w:t>והנה</w:t>
      </w:r>
      <w:r w:rsidR="00E50764" w:rsidRPr="00882F11">
        <w:rPr>
          <w:rFonts w:cs="Guttman Drogolin" w:hint="cs"/>
          <w:rtl/>
          <w:lang w:bidi="he-IL"/>
        </w:rPr>
        <w:t xml:space="preserve"> </w:t>
      </w:r>
      <w:r w:rsidR="0027172C" w:rsidRPr="00882F11">
        <w:rPr>
          <w:rFonts w:cs="Guttman Drogolin" w:hint="cs"/>
          <w:rtl/>
          <w:lang w:bidi="he-IL"/>
        </w:rPr>
        <w:t>דינו של חברות בע"מ בהלכה הוא דבר מסובך ביותר, והטעם משום שבדיניהם חברת בע"מ אינו בבעלות אף א', רק הוא גוף לעצמו שעושה קנינים וקונה ומוכר. ודין תורתנו הקדושה אינו מכיר דבר כזה שדומם (או 'מוסג') יכול להיות בעלים על קרקע או מטלטלין. ומאידך הנהוג בשוק המודרני כך הוא מתנהל גם אצל חרדים ושלמים, ואי אפשר נהלו בענין אחר. ולכן שנו הפוסקים היכי נדיינו דייני להאי דינא. ואומרים בשם הגרח"פ דכיון שהוקם חברת בע"מ לפי ההבנה שהחברה היא הבעלים ולא בני אדם, יש לו דין ש</w:t>
      </w:r>
      <w:r w:rsidR="00E070B5" w:rsidRPr="00882F11">
        <w:rPr>
          <w:rFonts w:cs="Guttman Drogolin" w:hint="cs"/>
          <w:rtl/>
          <w:lang w:bidi="he-IL"/>
        </w:rPr>
        <w:t xml:space="preserve">ל הפקר. ולשיטתו יוצא שאין חיוב </w:t>
      </w:r>
      <w:r w:rsidR="0027172C" w:rsidRPr="00882F11">
        <w:rPr>
          <w:rFonts w:cs="Guttman Drogolin" w:hint="cs"/>
          <w:rtl/>
          <w:lang w:bidi="he-IL"/>
        </w:rPr>
        <w:t>ט</w:t>
      </w:r>
      <w:r w:rsidR="00E070B5" w:rsidRPr="00882F11">
        <w:rPr>
          <w:rFonts w:cs="Guttman Drogolin" w:hint="cs"/>
          <w:rtl/>
          <w:lang w:bidi="he-IL"/>
        </w:rPr>
        <w:t>ב</w:t>
      </w:r>
      <w:r w:rsidR="0027172C" w:rsidRPr="00882F11">
        <w:rPr>
          <w:rFonts w:cs="Guttman Drogolin" w:hint="cs"/>
          <w:rtl/>
          <w:lang w:bidi="he-IL"/>
        </w:rPr>
        <w:t xml:space="preserve">ילת כלים לאף כלי שקנוי מחברת בע"מ, והוא מידי דשכיח. </w:t>
      </w:r>
    </w:p>
    <w:p w:rsidR="006279C7" w:rsidRPr="00882F11" w:rsidRDefault="0027172C" w:rsidP="0027172C">
      <w:pPr>
        <w:tabs>
          <w:tab w:val="right" w:pos="7497"/>
        </w:tabs>
        <w:bidi/>
        <w:jc w:val="both"/>
        <w:rPr>
          <w:rFonts w:cs="Guttman Drogolin"/>
          <w:rtl/>
          <w:lang w:bidi="he-IL"/>
        </w:rPr>
      </w:pPr>
      <w:r w:rsidRPr="00882F11">
        <w:rPr>
          <w:rFonts w:cs="Guttman Drogolin" w:hint="cs"/>
          <w:rtl/>
          <w:lang w:bidi="he-IL"/>
        </w:rPr>
        <w:t xml:space="preserve">אמנם רוב הפוסקים אינם סוברים כן. הגרמ"פ הבין שנכסי החברת בע"מ באמת שייכים לבעלי החברה, רק שאין חובת הגוף על הבעלים לשלם את חובות חברת בע"מ, רק הנכסים הם משועבדים </w:t>
      </w:r>
      <w:r w:rsidR="006279C7" w:rsidRPr="00882F11">
        <w:rPr>
          <w:rFonts w:cs="Guttman Drogolin" w:hint="cs"/>
          <w:rtl/>
          <w:lang w:bidi="he-IL"/>
        </w:rPr>
        <w:t xml:space="preserve">לחובות החברה. וכן נקט הגרשז"א (ע' ס' </w:t>
      </w:r>
      <w:r w:rsidR="006279C7" w:rsidRPr="00882F11">
        <w:rPr>
          <w:rFonts w:cs="Guttman Drogolin"/>
          <w:rtl/>
          <w:lang w:bidi="he-IL"/>
        </w:rPr>
        <w:t>טבילת כלים פרק ב' הע' א'</w:t>
      </w:r>
      <w:r w:rsidR="006279C7" w:rsidRPr="00882F11">
        <w:rPr>
          <w:rFonts w:cs="Guttman Drogolin" w:hint="cs"/>
          <w:rtl/>
          <w:lang w:bidi="he-IL"/>
        </w:rPr>
        <w:t xml:space="preserve">). ואם דינו כשותפות נכרי הרי הדין הוא שאם קנה ישראל </w:t>
      </w:r>
      <w:r w:rsidR="006279C7" w:rsidRPr="00882F11">
        <w:rPr>
          <w:rFonts w:cs="Guttman Drogolin" w:hint="cs"/>
          <w:rtl/>
          <w:lang w:bidi="he-IL"/>
        </w:rPr>
        <w:lastRenderedPageBreak/>
        <w:t>משותפות נכרי עם ישראל הרי זה חייב בטבילת כלים, ואף</w:t>
      </w:r>
      <w:r w:rsidRPr="00882F11">
        <w:rPr>
          <w:rFonts w:cs="Guttman Drogolin" w:hint="cs"/>
          <w:rtl/>
          <w:lang w:bidi="he-IL"/>
        </w:rPr>
        <w:t xml:space="preserve"> </w:t>
      </w:r>
      <w:r w:rsidR="006279C7" w:rsidRPr="00882F11">
        <w:rPr>
          <w:rFonts w:cs="Guttman Drogolin" w:hint="cs"/>
          <w:rtl/>
          <w:lang w:bidi="he-IL"/>
        </w:rPr>
        <w:t xml:space="preserve">שהעלינו צד דהנ"מ שקנו ביחד מנכרי, אבל אם יצרו כלי ביחד אולי אינו חייב, שורת הדין נראה דכה"ג ג"כ חייב. </w:t>
      </w:r>
    </w:p>
    <w:p w:rsidR="00AB77C2" w:rsidRPr="00882F11" w:rsidRDefault="006279C7" w:rsidP="00451F17">
      <w:pPr>
        <w:tabs>
          <w:tab w:val="right" w:pos="7497"/>
        </w:tabs>
        <w:bidi/>
        <w:jc w:val="both"/>
        <w:rPr>
          <w:rFonts w:cs="Guttman Drogolin"/>
          <w:rtl/>
          <w:lang w:bidi="he-IL"/>
        </w:rPr>
      </w:pPr>
      <w:r w:rsidRPr="00882F11">
        <w:rPr>
          <w:rFonts w:cs="Guttman Drogolin" w:hint="cs"/>
          <w:rtl/>
          <w:lang w:bidi="he-IL"/>
        </w:rPr>
        <w:t>ויש לדון בזה גם לאידך גיסא. שהרי הקונה כלי מישראל אינו חייב בטבילת כלים. אמנם בקונה מחברת בע"מ השייכת לישראל, עדיין יש לדון. והוא משום דאמנם רובו ככולו שייכת לישראל, אבל מ"מ יתכן</w:t>
      </w:r>
      <w:r w:rsidR="00F178D7" w:rsidRPr="00882F11">
        <w:rPr>
          <w:rFonts w:cs="Guttman Drogolin" w:hint="cs"/>
          <w:rtl/>
          <w:lang w:bidi="he-IL"/>
        </w:rPr>
        <w:t xml:space="preserve"> שיש נכרי שהוא בעל כמה מניות, וא"כ הוי שותפות נכרי המחייב.</w:t>
      </w:r>
      <w:r w:rsidR="00451F17" w:rsidRPr="00882F11">
        <w:rPr>
          <w:rFonts w:cs="Guttman Drogolin" w:hint="cs"/>
          <w:rtl/>
          <w:lang w:bidi="he-IL"/>
        </w:rPr>
        <w:t xml:space="preserve"> אמנם בזה נקטו כמה פוסקים דעד כמה שאין לבעלי המניות מספיק בעלות באחוזי החברה, באופן שאין מתייחסים לדעת בעלי המניות כאלו בניהול החברה, אינם נחשבים כבעלים ואין להתייחס עליהם.</w:t>
      </w:r>
      <w:r w:rsidR="00F178D7" w:rsidRPr="00882F11">
        <w:rPr>
          <w:rFonts w:cs="Guttman Drogolin" w:hint="cs"/>
          <w:rtl/>
          <w:lang w:bidi="he-IL"/>
        </w:rPr>
        <w:t xml:space="preserve">  </w:t>
      </w:r>
    </w:p>
    <w:p w:rsidR="00AB77C2" w:rsidRPr="00882F11" w:rsidRDefault="00AB77C2" w:rsidP="00AB77C2">
      <w:pPr>
        <w:pStyle w:val="Heading1"/>
        <w:bidi/>
        <w:spacing w:before="0" w:line="360" w:lineRule="auto"/>
        <w:jc w:val="center"/>
        <w:rPr>
          <w:rFonts w:cs="Guttman Drogolin"/>
          <w:color w:val="auto"/>
          <w:sz w:val="24"/>
          <w:szCs w:val="24"/>
          <w:u w:val="single"/>
          <w:rtl/>
          <w:lang w:bidi="he-IL"/>
        </w:rPr>
      </w:pPr>
      <w:bookmarkStart w:id="485" w:name="_Toc496175729"/>
      <w:r w:rsidRPr="00882F11">
        <w:rPr>
          <w:rFonts w:cs="Guttman Drogolin" w:hint="cs"/>
          <w:color w:val="auto"/>
          <w:sz w:val="24"/>
          <w:szCs w:val="24"/>
          <w:u w:val="single"/>
          <w:rtl/>
          <w:lang w:bidi="he-IL"/>
        </w:rPr>
        <w:t>קטן בטבילת כלים</w:t>
      </w:r>
      <w:bookmarkEnd w:id="485"/>
    </w:p>
    <w:p w:rsidR="00045481" w:rsidRPr="00882F11" w:rsidRDefault="00C0031A" w:rsidP="00045481">
      <w:pPr>
        <w:tabs>
          <w:tab w:val="right" w:pos="7497"/>
        </w:tabs>
        <w:bidi/>
        <w:jc w:val="both"/>
        <w:rPr>
          <w:rFonts w:cs="Guttman Drogolin"/>
          <w:rtl/>
          <w:lang w:bidi="he-IL"/>
        </w:rPr>
      </w:pPr>
      <w:r>
        <w:rPr>
          <w:rFonts w:cs="Guttman Drogolin"/>
          <w:rtl/>
          <w:lang w:bidi="he-IL"/>
        </w:rPr>
        <w:fldChar w:fldCharType="begin"/>
      </w:r>
      <w:r>
        <w:instrText xml:space="preserve"> XE "</w:instrText>
      </w:r>
      <w:r w:rsidRPr="00A17598">
        <w:rPr>
          <w:rFonts w:hint="cs"/>
          <w:rtl/>
          <w:lang w:bidi="he-IL"/>
        </w:rPr>
        <w:instrText>טבילת כלים</w:instrText>
      </w:r>
      <w:r w:rsidRPr="00A17598">
        <w:rPr>
          <w:rtl/>
        </w:rPr>
        <w:instrText>:</w:instrText>
      </w:r>
      <w:r w:rsidR="000E776E">
        <w:rPr>
          <w:rFonts w:hint="cs"/>
          <w:rtl/>
          <w:lang w:bidi="he-IL"/>
        </w:rPr>
        <w:instrText xml:space="preserve">כלי של </w:instrText>
      </w:r>
      <w:r w:rsidRPr="00A17598">
        <w:rPr>
          <w:rFonts w:hint="cs"/>
          <w:rtl/>
          <w:lang w:bidi="he-IL"/>
        </w:rPr>
        <w:instrText>קטן</w:instrText>
      </w:r>
      <w:r>
        <w:instrText xml:space="preserve">" </w:instrText>
      </w:r>
      <w:r>
        <w:rPr>
          <w:rFonts w:cs="Guttman Drogolin"/>
          <w:rtl/>
          <w:lang w:bidi="he-IL"/>
        </w:rPr>
        <w:fldChar w:fldCharType="end"/>
      </w:r>
      <w:r w:rsidR="00AB77C2" w:rsidRPr="00882F11">
        <w:rPr>
          <w:rFonts w:cs="Guttman Drogolin" w:hint="cs"/>
          <w:rtl/>
          <w:lang w:bidi="he-IL"/>
        </w:rPr>
        <w:t xml:space="preserve">הפוסקים בסע' י"ד דנו בנאמנות קטן בטבילת כלים. ונראה מקודם לדון בכלי השייך לקטן האם חייב בטבילת כלים. </w:t>
      </w:r>
      <w:r w:rsidR="00831C87" w:rsidRPr="00882F11">
        <w:rPr>
          <w:rFonts w:cs="Guttman Drogolin" w:hint="cs"/>
          <w:rtl/>
          <w:lang w:bidi="he-IL"/>
        </w:rPr>
        <w:t>וראיתי בס' טבילת כלים (פ"ג הי"ז)</w:t>
      </w:r>
      <w:r w:rsidR="000E776E">
        <w:rPr>
          <w:rStyle w:val="FootnoteReference"/>
          <w:rFonts w:cs="Guttman Drogolin"/>
          <w:rtl/>
          <w:lang w:bidi="he-IL"/>
        </w:rPr>
        <w:footnoteReference w:id="476"/>
      </w:r>
      <w:r w:rsidR="00831C87" w:rsidRPr="00882F11">
        <w:rPr>
          <w:rFonts w:cs="Guttman Drogolin" w:hint="cs"/>
          <w:rtl/>
          <w:lang w:bidi="he-IL"/>
        </w:rPr>
        <w:t xml:space="preserve"> שכתב שהשואל או שוכר כלי מקטן אינו חייב להטבילו כיון שלא נתחייב אצל הקטן. והוראה זו ג"כ לכאורה תלוי בהנ"ל, שאם האיסור השתמשות אינו אלא מדרבנן, הדברים מובנים היטב, שהרי הקטן אינו חייב בטבילת כלים, וכל זמ</w:t>
      </w:r>
      <w:r w:rsidR="00E070B5" w:rsidRPr="00882F11">
        <w:rPr>
          <w:rFonts w:cs="Guttman Drogolin" w:hint="cs"/>
          <w:rtl/>
          <w:lang w:bidi="he-IL"/>
        </w:rPr>
        <w:t>ן</w:t>
      </w:r>
      <w:r w:rsidR="00831C87" w:rsidRPr="00882F11">
        <w:rPr>
          <w:rFonts w:cs="Guttman Drogolin" w:hint="cs"/>
          <w:rtl/>
          <w:lang w:bidi="he-IL"/>
        </w:rPr>
        <w:t xml:space="preserve"> דליכא חיוב להטביל הכלי ממילא ליכא איסור השתמשות. אמנם לפי הצד שדין טבילת כלים הוא איסור להשתמש בלי טהרה, י"ל שאצל הקטן הרי קיים תנאי המחייב לבטילת כלים, וממילא שיש איסור להשתמש בה בלי טהרה. רק שבזה הקטן פטור כיון שפטור מדאורייתא מכל המצוות, אבל אחרים חייבים</w:t>
      </w:r>
      <w:r w:rsidR="00045481" w:rsidRPr="00882F11">
        <w:rPr>
          <w:rFonts w:cs="Guttman Drogolin" w:hint="cs"/>
          <w:rtl/>
          <w:lang w:bidi="he-IL"/>
        </w:rPr>
        <w:t xml:space="preserve">, ולכן כיון דהוו כלי סעודה אסור לכל ישראל להשתמש בה בלי טבילה. וכן ראיתי בשם הגרמ"פ (ע' בס' </w:t>
      </w:r>
      <w:r w:rsidR="00045481" w:rsidRPr="00882F11">
        <w:rPr>
          <w:rFonts w:cs="Guttman Drogolin"/>
          <w:rtl/>
          <w:lang w:bidi="he-IL"/>
        </w:rPr>
        <w:t>אהלי יש</w:t>
      </w:r>
      <w:r w:rsidR="00045481" w:rsidRPr="00882F11">
        <w:rPr>
          <w:rFonts w:cs="Guttman Drogolin" w:hint="cs"/>
          <w:rtl/>
          <w:lang w:bidi="he-IL"/>
        </w:rPr>
        <w:t>ו</w:t>
      </w:r>
      <w:r w:rsidR="00045481" w:rsidRPr="00882F11">
        <w:rPr>
          <w:rFonts w:cs="Guttman Drogolin"/>
          <w:rtl/>
          <w:lang w:bidi="he-IL"/>
        </w:rPr>
        <w:t>רון ח"א פרק ג' הע' רי"ט</w:t>
      </w:r>
      <w:r w:rsidR="00045481" w:rsidRPr="00882F11">
        <w:rPr>
          <w:rFonts w:cs="Guttman Drogolin" w:hint="cs"/>
          <w:rtl/>
          <w:lang w:bidi="he-IL"/>
        </w:rPr>
        <w:t>) לומר שאסור לגדול להשתמש בה מטעם הנ"ל.</w:t>
      </w:r>
    </w:p>
    <w:p w:rsidR="00E35C40" w:rsidRPr="00882F11" w:rsidRDefault="00045481" w:rsidP="001545F8">
      <w:pPr>
        <w:tabs>
          <w:tab w:val="right" w:pos="7497"/>
        </w:tabs>
        <w:bidi/>
        <w:jc w:val="both"/>
        <w:rPr>
          <w:rFonts w:cs="Guttman Drogolin"/>
          <w:rtl/>
          <w:lang w:bidi="he-IL"/>
        </w:rPr>
      </w:pPr>
      <w:r w:rsidRPr="00882F11">
        <w:rPr>
          <w:rFonts w:cs="Guttman Drogolin" w:hint="cs"/>
          <w:rtl/>
          <w:lang w:bidi="he-IL"/>
        </w:rPr>
        <w:lastRenderedPageBreak/>
        <w:t>ולענין טבילה ע"י קטן ע' בשו"ע סע' י"ד שכתב בשם התרוה"ד שאין נאמנות לקטן בזה כיון שהוא חיוב מדאורייתא. וע' ברע"א שכתב שלפי זה בזכוכית שהוא מדרבנן יש להאמין לקטן, אמנם הראה לדברי התוס' במס' עירובין דמשמע מיני' שאין להאמין קטן אפילו בכלי זכוכית כיון דלא רמיא עלי'. ובפת"ש כתב שבזכוכית אין להאמין קטן כיון שיש  חזקת איסור</w:t>
      </w:r>
      <w:r w:rsidR="001545F8" w:rsidRPr="00882F11">
        <w:rPr>
          <w:rStyle w:val="FootnoteReference"/>
          <w:rFonts w:cs="Guttman Drogolin"/>
          <w:rtl/>
          <w:lang w:bidi="he-IL"/>
        </w:rPr>
        <w:footnoteReference w:id="477"/>
      </w:r>
      <w:r w:rsidRPr="00882F11">
        <w:rPr>
          <w:rFonts w:cs="Guttman Drogolin" w:hint="cs"/>
          <w:rtl/>
          <w:lang w:bidi="he-IL"/>
        </w:rPr>
        <w:t>. ואע"ג שלכאורה חזינן לדעתי' דתרוה"ד דלית לי' הנהו טעמי, כיון שכתב שהטעם שאינו נאמן משום שהוא מדאורייתא, מ"מ למעשה לכאורה אין להאמין לקטן אפילו בטבילת כלי זכוכית</w:t>
      </w:r>
      <w:r w:rsidR="001545F8" w:rsidRPr="00882F11">
        <w:rPr>
          <w:rFonts w:cs="Guttman Drogolin" w:hint="cs"/>
          <w:rtl/>
          <w:lang w:bidi="he-IL"/>
        </w:rPr>
        <w:t xml:space="preserve"> (אמנם ע' </w:t>
      </w:r>
      <w:r w:rsidR="001545F8" w:rsidRPr="00882F11">
        <w:rPr>
          <w:rFonts w:cs="Guttman Drogolin"/>
          <w:rtl/>
          <w:lang w:bidi="he-IL"/>
        </w:rPr>
        <w:t>חכ"א כלל ע"ג סע' כ"א</w:t>
      </w:r>
      <w:r w:rsidR="001545F8" w:rsidRPr="00882F11">
        <w:rPr>
          <w:rFonts w:cs="Guttman Drogolin" w:hint="cs"/>
          <w:rtl/>
          <w:lang w:bidi="he-IL"/>
        </w:rPr>
        <w:t xml:space="preserve"> שהקיל בזה לצורך שבת)</w:t>
      </w:r>
      <w:r w:rsidRPr="00882F11">
        <w:rPr>
          <w:rFonts w:cs="Guttman Drogolin" w:hint="cs"/>
          <w:rtl/>
          <w:lang w:bidi="he-IL"/>
        </w:rPr>
        <w:t xml:space="preserve">. </w:t>
      </w:r>
      <w:r w:rsidR="00410458" w:rsidRPr="00882F11">
        <w:rPr>
          <w:rFonts w:cs="Guttman Drogolin" w:hint="cs"/>
          <w:rtl/>
          <w:lang w:bidi="he-IL"/>
        </w:rPr>
        <w:t>וראיתי במגילת ספר (חלק בענינים</w:t>
      </w:r>
      <w:r w:rsidR="006E2016" w:rsidRPr="00882F11">
        <w:rPr>
          <w:rFonts w:cs="Guttman Drogolin" w:hint="cs"/>
          <w:rtl/>
          <w:lang w:bidi="he-IL"/>
        </w:rPr>
        <w:t xml:space="preserve"> ח"ב סי' קל"א</w:t>
      </w:r>
      <w:r w:rsidR="00410458" w:rsidRPr="00882F11">
        <w:rPr>
          <w:rFonts w:cs="Guttman Drogolin" w:hint="cs"/>
          <w:rtl/>
          <w:lang w:bidi="he-IL"/>
        </w:rPr>
        <w:t>) שדן להתיר לסמוך על קטן באופן מסוים. וכן ראיתי בשם שו"ת עמק התשובה ח"ה סי' ס"ז אפילו בכלי מתכת.</w:t>
      </w:r>
    </w:p>
    <w:p w:rsidR="00045481" w:rsidRPr="00882F11" w:rsidRDefault="00E35C40" w:rsidP="00E35C40">
      <w:pPr>
        <w:tabs>
          <w:tab w:val="right" w:pos="7497"/>
        </w:tabs>
        <w:bidi/>
        <w:jc w:val="both"/>
        <w:rPr>
          <w:rFonts w:cs="Guttman Drogolin"/>
          <w:rtl/>
          <w:lang w:bidi="he-IL"/>
        </w:rPr>
      </w:pPr>
      <w:r w:rsidRPr="00882F11">
        <w:rPr>
          <w:rFonts w:cs="Guttman Drogolin" w:hint="cs"/>
          <w:rtl/>
          <w:lang w:bidi="he-IL"/>
        </w:rPr>
        <w:t xml:space="preserve">ועוד דנו הפוסקים אם אפשר לסמוך אחזקה דרבה בטבילת כלי מתכות (ובכלי זכוכית פשיטא שיוכל לסמוך עליו) </w:t>
      </w:r>
      <w:r w:rsidRPr="00882F11">
        <w:rPr>
          <w:rFonts w:cs="Guttman Drogolin"/>
          <w:rtl/>
          <w:lang w:bidi="he-IL"/>
        </w:rPr>
        <w:t>–</w:t>
      </w:r>
      <w:r w:rsidRPr="00882F11">
        <w:rPr>
          <w:rFonts w:cs="Guttman Drogolin" w:hint="cs"/>
          <w:rtl/>
          <w:lang w:bidi="he-IL"/>
        </w:rPr>
        <w:t xml:space="preserve"> ע' בפת"ש שם שדן בזה. ומש"כ טעם להקל משום שלא נא</w:t>
      </w:r>
      <w:r w:rsidR="00D0129A" w:rsidRPr="00882F11">
        <w:rPr>
          <w:rFonts w:cs="Guttman Drogolin" w:hint="cs"/>
          <w:rtl/>
          <w:lang w:bidi="he-IL"/>
        </w:rPr>
        <w:t>ס</w:t>
      </w:r>
      <w:r w:rsidRPr="00882F11">
        <w:rPr>
          <w:rFonts w:cs="Guttman Drogolin" w:hint="cs"/>
          <w:rtl/>
          <w:lang w:bidi="he-IL"/>
        </w:rPr>
        <w:t>ר המאכל</w:t>
      </w:r>
      <w:r w:rsidR="00E070B5" w:rsidRPr="00882F11">
        <w:rPr>
          <w:rFonts w:cs="Guttman Drogolin" w:hint="cs"/>
          <w:rtl/>
          <w:lang w:bidi="he-IL"/>
        </w:rPr>
        <w:t xml:space="preserve"> צ"ע, דהא מ"מ יש דין דאורייתא יהי'</w:t>
      </w:r>
      <w:r w:rsidRPr="00882F11">
        <w:rPr>
          <w:rFonts w:cs="Guttman Drogolin" w:hint="cs"/>
          <w:rtl/>
          <w:lang w:bidi="he-IL"/>
        </w:rPr>
        <w:t xml:space="preserve"> מה שיהי' ואיך אפשר לסמוך עליו לדין זה. וצ"ע</w:t>
      </w:r>
      <w:r w:rsidR="00AD64F7" w:rsidRPr="00882F11">
        <w:rPr>
          <w:rStyle w:val="FootnoteReference"/>
          <w:rFonts w:cs="Guttman Drogolin"/>
          <w:rtl/>
          <w:lang w:bidi="he-IL"/>
        </w:rPr>
        <w:footnoteReference w:id="478"/>
      </w:r>
      <w:r w:rsidRPr="00882F11">
        <w:rPr>
          <w:rFonts w:cs="Guttman Drogolin" w:hint="cs"/>
          <w:rtl/>
          <w:lang w:bidi="he-IL"/>
        </w:rPr>
        <w:t>.</w:t>
      </w:r>
      <w:r w:rsidR="00045481" w:rsidRPr="00882F11">
        <w:rPr>
          <w:rFonts w:cs="Guttman Drogolin" w:hint="cs"/>
          <w:rtl/>
          <w:lang w:bidi="he-IL"/>
        </w:rPr>
        <w:t xml:space="preserve"> </w:t>
      </w:r>
    </w:p>
    <w:p w:rsidR="00E35C40" w:rsidRPr="00882F11" w:rsidRDefault="00CB11F9" w:rsidP="00153315">
      <w:pPr>
        <w:pStyle w:val="Heading1"/>
        <w:bidi/>
        <w:spacing w:before="0" w:line="240" w:lineRule="auto"/>
        <w:jc w:val="center"/>
        <w:rPr>
          <w:rFonts w:cs="Guttman Drogolin"/>
          <w:color w:val="auto"/>
          <w:sz w:val="24"/>
          <w:szCs w:val="24"/>
          <w:u w:val="single"/>
          <w:rtl/>
          <w:lang w:bidi="he-IL"/>
        </w:rPr>
      </w:pPr>
      <w:bookmarkStart w:id="486" w:name="_Toc496175730"/>
      <w:r w:rsidRPr="00882F11">
        <w:rPr>
          <w:rFonts w:cs="Guttman Drogolin" w:hint="cs"/>
          <w:color w:val="auto"/>
          <w:sz w:val="24"/>
          <w:szCs w:val="24"/>
          <w:u w:val="single"/>
          <w:rtl/>
          <w:lang w:bidi="he-IL"/>
        </w:rPr>
        <w:t>משכ</w:t>
      </w:r>
      <w:r w:rsidR="00FE6703" w:rsidRPr="00882F11">
        <w:rPr>
          <w:rFonts w:cs="Guttman Drogolin" w:hint="cs"/>
          <w:color w:val="auto"/>
          <w:sz w:val="24"/>
          <w:szCs w:val="24"/>
          <w:u w:val="single"/>
          <w:rtl/>
          <w:lang w:bidi="he-IL"/>
        </w:rPr>
        <w:t>נ</w:t>
      </w:r>
      <w:r w:rsidRPr="00882F11">
        <w:rPr>
          <w:rFonts w:cs="Guttman Drogolin" w:hint="cs"/>
          <w:color w:val="auto"/>
          <w:sz w:val="24"/>
          <w:szCs w:val="24"/>
          <w:u w:val="single"/>
          <w:rtl/>
          <w:lang w:bidi="he-IL"/>
        </w:rPr>
        <w:t xml:space="preserve">תא, ודין </w:t>
      </w:r>
      <w:r w:rsidR="00E35C40" w:rsidRPr="00882F11">
        <w:rPr>
          <w:rFonts w:cs="Guttman Drogolin" w:hint="cs"/>
          <w:color w:val="auto"/>
          <w:sz w:val="24"/>
          <w:szCs w:val="24"/>
          <w:u w:val="single"/>
          <w:rtl/>
          <w:lang w:bidi="he-IL"/>
        </w:rPr>
        <w:t>אומן קונה בשבת כלי לענין חיוב טבילת כלים הנקנים מן העכו"ם</w:t>
      </w:r>
      <w:bookmarkEnd w:id="486"/>
    </w:p>
    <w:p w:rsidR="00E35C40" w:rsidRPr="00882F11" w:rsidRDefault="00C0031A" w:rsidP="00580B43">
      <w:pPr>
        <w:tabs>
          <w:tab w:val="right" w:pos="7497"/>
        </w:tabs>
        <w:bidi/>
        <w:jc w:val="both"/>
        <w:rPr>
          <w:rFonts w:cs="Guttman Drogolin"/>
          <w:rtl/>
          <w:lang w:bidi="he-IL"/>
        </w:rPr>
      </w:pPr>
      <w:r>
        <w:rPr>
          <w:rFonts w:cs="Guttman Drogolin"/>
          <w:rtl/>
          <w:lang w:bidi="he-IL"/>
        </w:rPr>
        <w:fldChar w:fldCharType="begin"/>
      </w:r>
      <w:r>
        <w:instrText xml:space="preserve"> XE "</w:instrText>
      </w:r>
      <w:r w:rsidRPr="004310EA">
        <w:rPr>
          <w:rFonts w:hint="cs"/>
          <w:rtl/>
          <w:lang w:bidi="he-IL"/>
        </w:rPr>
        <w:instrText>טבילת כלים</w:instrText>
      </w:r>
      <w:r w:rsidRPr="004310EA">
        <w:rPr>
          <w:rtl/>
        </w:rPr>
        <w:instrText>:</w:instrText>
      </w:r>
      <w:r w:rsidRPr="004310EA">
        <w:rPr>
          <w:rFonts w:hint="cs"/>
          <w:rtl/>
          <w:lang w:bidi="he-IL"/>
        </w:rPr>
        <w:instrText>משכנתא</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4C15EE">
        <w:rPr>
          <w:rFonts w:hint="cs"/>
          <w:rtl/>
          <w:lang w:bidi="he-IL"/>
        </w:rPr>
        <w:instrText>טבילת כלים</w:instrText>
      </w:r>
      <w:r w:rsidRPr="004C15EE">
        <w:rPr>
          <w:rtl/>
        </w:rPr>
        <w:instrText>:</w:instrText>
      </w:r>
      <w:r w:rsidRPr="004C15EE">
        <w:rPr>
          <w:rFonts w:hint="cs"/>
          <w:rtl/>
          <w:lang w:bidi="he-IL"/>
        </w:rPr>
        <w:instrText>אומן קונה בשבח כלי</w:instrText>
      </w:r>
      <w:r>
        <w:instrText xml:space="preserve">" </w:instrText>
      </w:r>
      <w:r>
        <w:rPr>
          <w:rFonts w:cs="Guttman Drogolin"/>
          <w:rtl/>
          <w:lang w:bidi="he-IL"/>
        </w:rPr>
        <w:fldChar w:fldCharType="end"/>
      </w:r>
      <w:r w:rsidR="00CB11F9" w:rsidRPr="00882F11">
        <w:rPr>
          <w:rFonts w:cs="Guttman Drogolin" w:hint="cs"/>
          <w:rtl/>
          <w:lang w:bidi="he-IL"/>
        </w:rPr>
        <w:t>בגמ' הסתפקו בכה"ג שנכרי משכן כלי ביד ישראל אם חייב בטבילת כלים</w:t>
      </w:r>
      <w:r w:rsidR="00D0129A" w:rsidRPr="00882F11">
        <w:rPr>
          <w:rFonts w:cs="Guttman Drogolin" w:hint="cs"/>
          <w:rtl/>
          <w:lang w:bidi="he-IL"/>
        </w:rPr>
        <w:t xml:space="preserve">, ותלוי אם אומרים דמשכתנא כזביני או לא. וכן לכאורה מבואר בגמ' שאם דעתי' לשקועי' ודאי חייב. ורוב הראשונים נקטו שהוא איבעיא דלא איפשיטא בגמ' והדין </w:t>
      </w:r>
      <w:r w:rsidR="00D0129A" w:rsidRPr="00882F11">
        <w:rPr>
          <w:rFonts w:cs="Guttman Drogolin" w:hint="cs"/>
          <w:rtl/>
          <w:lang w:bidi="he-IL"/>
        </w:rPr>
        <w:lastRenderedPageBreak/>
        <w:t>הוא להחמיר כיון שטבילת כלים דאורייתא, ובדעת הרמב"ם נקטו שהוא לקולא כיון דסבר שטבילת כלים מדרבנן בלבד אלא שמ"מ הקשו אהא דלא הביא דעתי' לשקועי' כיון שזה לכו"ע חייב, ואכמ"ל בזה. ועוד הוסיפו שאם ישראל משכן כלי ביד עכו"ם דודאי לא אמרינן דמשכנתא כזביני</w:t>
      </w:r>
      <w:r w:rsidR="009F0F1A" w:rsidRPr="00882F11">
        <w:rPr>
          <w:rFonts w:cs="Guttman Drogolin" w:hint="cs"/>
          <w:rtl/>
          <w:lang w:bidi="he-IL"/>
        </w:rPr>
        <w:t>, וע' מהרש"א</w:t>
      </w:r>
      <w:r w:rsidR="009F0F1A" w:rsidRPr="00882F11">
        <w:rPr>
          <w:rStyle w:val="FootnoteReference"/>
          <w:rFonts w:cs="Guttman Drogolin"/>
          <w:rtl/>
          <w:lang w:bidi="he-IL"/>
        </w:rPr>
        <w:footnoteReference w:id="479"/>
      </w:r>
      <w:r w:rsidR="009F0F1A" w:rsidRPr="00882F11">
        <w:rPr>
          <w:rFonts w:cs="Guttman Drogolin" w:hint="cs"/>
          <w:rtl/>
          <w:lang w:bidi="he-IL"/>
        </w:rPr>
        <w:t xml:space="preserve"> </w:t>
      </w:r>
      <w:r w:rsidR="00CB4B19" w:rsidRPr="00882F11">
        <w:rPr>
          <w:rFonts w:cs="Guttman Drogolin" w:hint="cs"/>
          <w:rtl/>
          <w:lang w:bidi="he-IL"/>
        </w:rPr>
        <w:t>מש"כ בביאור הענין, אבל הפוסקים (ע' ט"ז ועוד) נקטו כ</w:t>
      </w:r>
      <w:r w:rsidR="009F0F1A" w:rsidRPr="00882F11">
        <w:rPr>
          <w:rFonts w:cs="Guttman Drogolin" w:hint="cs"/>
          <w:rtl/>
          <w:lang w:bidi="he-IL"/>
        </w:rPr>
        <w:t xml:space="preserve">קרני רא"מ </w:t>
      </w:r>
      <w:r w:rsidR="00E070B5" w:rsidRPr="00882F11">
        <w:rPr>
          <w:rFonts w:cs="Guttman Drogolin" w:hint="cs"/>
          <w:rtl/>
          <w:lang w:bidi="he-IL"/>
        </w:rPr>
        <w:t>דשאני ישראל המ</w:t>
      </w:r>
      <w:r w:rsidR="00CB4B19" w:rsidRPr="00882F11">
        <w:rPr>
          <w:rFonts w:cs="Guttman Drogolin" w:hint="cs"/>
          <w:rtl/>
          <w:lang w:bidi="he-IL"/>
        </w:rPr>
        <w:t>משכן בזה שאין לנכרי קנין במשכון</w:t>
      </w:r>
      <w:r w:rsidR="009F0F1A" w:rsidRPr="00882F11">
        <w:rPr>
          <w:rFonts w:cs="Guttman Drogolin" w:hint="cs"/>
          <w:rtl/>
          <w:lang w:bidi="he-IL"/>
        </w:rPr>
        <w:t xml:space="preserve">. ולכאורה </w:t>
      </w:r>
      <w:r w:rsidR="00580B43" w:rsidRPr="00882F11">
        <w:rPr>
          <w:rFonts w:cs="Guttman Drogolin" w:hint="cs"/>
          <w:rtl/>
          <w:lang w:bidi="he-IL"/>
        </w:rPr>
        <w:t>הי' אפשר לומר</w:t>
      </w:r>
      <w:r w:rsidR="009F0F1A" w:rsidRPr="00882F11">
        <w:rPr>
          <w:rFonts w:cs="Guttman Drogolin" w:hint="cs"/>
          <w:rtl/>
          <w:lang w:bidi="he-IL"/>
        </w:rPr>
        <w:t xml:space="preserve"> דר"ל שענין טומאת עכו"ם אינו אלא אם הי' של העכו"ם ממש ולא דרך משכנתא בלבד, אבל כל שיצא מטומאת עכו"ם אפילו דרך משכנתא הרי הוא חייב.</w:t>
      </w:r>
    </w:p>
    <w:p w:rsidR="00933E6C" w:rsidRPr="00882F11" w:rsidRDefault="00580B43" w:rsidP="00E070B5">
      <w:pPr>
        <w:tabs>
          <w:tab w:val="right" w:pos="7497"/>
        </w:tabs>
        <w:bidi/>
        <w:jc w:val="both"/>
        <w:rPr>
          <w:rFonts w:cs="Guttman Drogolin"/>
          <w:rtl/>
          <w:lang w:bidi="he-IL"/>
        </w:rPr>
      </w:pPr>
      <w:r w:rsidRPr="00882F11">
        <w:rPr>
          <w:rFonts w:cs="Guttman Drogolin" w:hint="cs"/>
          <w:rtl/>
          <w:lang w:bidi="he-IL"/>
        </w:rPr>
        <w:t>והתוס' שם כתבו שאם נתן הישראל מתכת לאומן עכו"ם לעשות לו כלי עדיין אינו חייב בטבילת כלים אפילו למ"ד אומן קונ</w:t>
      </w:r>
      <w:r w:rsidR="00E070B5" w:rsidRPr="00882F11">
        <w:rPr>
          <w:rFonts w:cs="Guttman Drogolin" w:hint="cs"/>
          <w:rtl/>
          <w:lang w:bidi="he-IL"/>
        </w:rPr>
        <w:t>ה בשב</w:t>
      </w:r>
      <w:r w:rsidRPr="00882F11">
        <w:rPr>
          <w:rFonts w:cs="Guttman Drogolin" w:hint="cs"/>
          <w:rtl/>
          <w:lang w:bidi="he-IL"/>
        </w:rPr>
        <w:t>ח כלי. ופירשו בטעם הדבר "</w:t>
      </w:r>
      <w:r w:rsidRPr="00882F11">
        <w:rPr>
          <w:rFonts w:cs="Guttman Drogolin"/>
          <w:rtl/>
          <w:lang w:bidi="he-IL"/>
        </w:rPr>
        <w:t>כיון דאין שמו עליו דלא הוי כמעשה שהיה שהיו הכלים של מדין</w:t>
      </w:r>
      <w:r w:rsidRPr="00882F11">
        <w:rPr>
          <w:rFonts w:cs="Guttman Drogolin" w:hint="cs"/>
          <w:rtl/>
          <w:lang w:bidi="he-IL"/>
        </w:rPr>
        <w:t xml:space="preserve">". </w:t>
      </w:r>
      <w:r w:rsidR="00933E6C" w:rsidRPr="00882F11">
        <w:rPr>
          <w:rFonts w:cs="Guttman Drogolin" w:hint="cs"/>
          <w:rtl/>
          <w:lang w:bidi="he-IL"/>
        </w:rPr>
        <w:t>וכל זה מלבד שנחלקו הראשוני</w:t>
      </w:r>
      <w:r w:rsidR="00E9382F" w:rsidRPr="00882F11">
        <w:rPr>
          <w:rFonts w:cs="Guttman Drogolin" w:hint="cs"/>
          <w:rtl/>
          <w:lang w:bidi="he-IL"/>
        </w:rPr>
        <w:t>ם</w:t>
      </w:r>
      <w:r w:rsidR="00933E6C" w:rsidRPr="00882F11">
        <w:rPr>
          <w:rFonts w:cs="Guttman Drogolin" w:hint="cs"/>
          <w:rtl/>
          <w:lang w:bidi="he-IL"/>
        </w:rPr>
        <w:t xml:space="preserve"> אי </w:t>
      </w:r>
      <w:r w:rsidR="00E070B5" w:rsidRPr="00882F11">
        <w:rPr>
          <w:rFonts w:cs="Guttman Drogolin" w:hint="cs"/>
          <w:rtl/>
          <w:lang w:bidi="he-IL"/>
        </w:rPr>
        <w:t>קיי"ל כמ"ד אומן קונה</w:t>
      </w:r>
      <w:r w:rsidR="00933E6C" w:rsidRPr="00882F11">
        <w:rPr>
          <w:rFonts w:cs="Guttman Drogolin" w:hint="cs"/>
          <w:rtl/>
          <w:lang w:bidi="he-IL"/>
        </w:rPr>
        <w:t xml:space="preserve"> בשב</w:t>
      </w:r>
      <w:r w:rsidR="00E070B5" w:rsidRPr="00882F11">
        <w:rPr>
          <w:rFonts w:cs="Guttman Drogolin" w:hint="cs"/>
          <w:rtl/>
          <w:lang w:bidi="he-IL"/>
        </w:rPr>
        <w:t>ח</w:t>
      </w:r>
      <w:r w:rsidR="00933E6C" w:rsidRPr="00882F11">
        <w:rPr>
          <w:rFonts w:cs="Guttman Drogolin" w:hint="cs"/>
          <w:rtl/>
          <w:lang w:bidi="he-IL"/>
        </w:rPr>
        <w:t xml:space="preserve"> כלי או לא. </w:t>
      </w:r>
      <w:r w:rsidRPr="00882F11">
        <w:rPr>
          <w:rFonts w:cs="Guttman Drogolin" w:hint="cs"/>
          <w:rtl/>
          <w:lang w:bidi="he-IL"/>
        </w:rPr>
        <w:t>אמנם יש ראשונים המחייבים, ע' בריטב"א שהביאו כן מתוס' (והוא דלא כתוס' שלפנינו</w:t>
      </w:r>
      <w:r w:rsidR="004D0DF0" w:rsidRPr="00882F11">
        <w:rPr>
          <w:rFonts w:cs="Guttman Drogolin" w:hint="cs"/>
          <w:rtl/>
          <w:lang w:bidi="he-IL"/>
        </w:rPr>
        <w:t>, אבל בר"י מפריז מובא שיטה כזו</w:t>
      </w:r>
      <w:r w:rsidRPr="00882F11">
        <w:rPr>
          <w:rFonts w:cs="Guttman Drogolin" w:hint="cs"/>
          <w:rtl/>
          <w:lang w:bidi="he-IL"/>
        </w:rPr>
        <w:t>).</w:t>
      </w:r>
      <w:r w:rsidR="00933E6C" w:rsidRPr="00882F11">
        <w:rPr>
          <w:rFonts w:cs="Guttman Drogolin" w:hint="cs"/>
          <w:rtl/>
          <w:lang w:bidi="he-IL"/>
        </w:rPr>
        <w:t xml:space="preserve"> ובעצם הענין דמהני הסברא דאומן קונה בשבח כלי לחייב בטבילת כלים ע' </w:t>
      </w:r>
      <w:r w:rsidR="00430668" w:rsidRPr="00882F11">
        <w:rPr>
          <w:rFonts w:cs="Guttman Drogolin" w:hint="cs"/>
          <w:rtl/>
          <w:lang w:bidi="he-IL"/>
        </w:rPr>
        <w:t>בקצות החושן (סי' ש"ו ס"ק ד') שהביא משו"ת מהר"ש שהוכיח מזה שי"א דמהני הסברא דאומן קונה בשבח כלי לחייב בטבילת כלים דע"כ ע"י דינא דאומן קונה בשבח כלי קונה הוא את גוף הכלי, וע"ש שהקצוה"ח דחה שאין זה מוכח ושיש אלו שסוברים בהדיא שאינו קונה את גוף הכלי.</w:t>
      </w:r>
    </w:p>
    <w:p w:rsidR="00003D4D" w:rsidRPr="00882F11" w:rsidRDefault="004D0DF0" w:rsidP="00D9437B">
      <w:pPr>
        <w:tabs>
          <w:tab w:val="right" w:pos="7497"/>
        </w:tabs>
        <w:bidi/>
        <w:jc w:val="both"/>
        <w:rPr>
          <w:rFonts w:cs="Guttman Drogolin"/>
          <w:rtl/>
          <w:lang w:bidi="he-IL"/>
        </w:rPr>
      </w:pPr>
      <w:r w:rsidRPr="00882F11">
        <w:rPr>
          <w:rFonts w:cs="Guttman Drogolin" w:hint="cs"/>
          <w:rtl/>
          <w:lang w:bidi="he-IL"/>
        </w:rPr>
        <w:lastRenderedPageBreak/>
        <w:t xml:space="preserve"> וכתב הטור בסי' ק"כ </w:t>
      </w:r>
      <w:r w:rsidR="00933E6C" w:rsidRPr="00882F11">
        <w:rPr>
          <w:rFonts w:cs="Guttman Drogolin" w:hint="cs"/>
          <w:rtl/>
          <w:lang w:bidi="he-IL"/>
        </w:rPr>
        <w:t>"</w:t>
      </w:r>
      <w:r w:rsidR="00933E6C" w:rsidRPr="00882F11">
        <w:rPr>
          <w:rFonts w:cs="Guttman Drogolin"/>
          <w:rtl/>
          <w:lang w:bidi="he-IL"/>
        </w:rPr>
        <w:t>ישראל שנתן כסף לאומן נכרי לתקן לו כלי א"צ טבילה אפי' למ"ד אומן קונה בשבח כלי כיון שלא נקרא שם הנכרי עליו וריצב"א כתב דאפילו אם נותן לו כלי שבור לתקנו אם לא היה מחזיק רביעית קודם לכן ותקנו שמחזיק רביעית צריך טבילה דקיי"ל הכל הולך אחר המעמיד</w:t>
      </w:r>
      <w:r w:rsidR="00933E6C" w:rsidRPr="00882F11">
        <w:rPr>
          <w:rFonts w:cs="Guttman Drogolin" w:hint="cs"/>
          <w:rtl/>
          <w:lang w:bidi="he-IL"/>
        </w:rPr>
        <w:t xml:space="preserve">". ולכאורה כוונתו להביא את ב' הדעות אי מהני </w:t>
      </w:r>
      <w:r w:rsidR="00D9437B" w:rsidRPr="00882F11">
        <w:rPr>
          <w:rFonts w:cs="Guttman Drogolin" w:hint="cs"/>
          <w:rtl/>
          <w:lang w:bidi="he-IL"/>
        </w:rPr>
        <w:t>הסברא דאומן קונה בשבח כלי לחייב בטבילת כלים. אלא שהתקשה הב"י בסוף דבריו במש"כ '</w:t>
      </w:r>
      <w:r w:rsidR="00D9437B" w:rsidRPr="00882F11">
        <w:rPr>
          <w:rFonts w:cs="Guttman Drogolin"/>
          <w:rtl/>
          <w:lang w:bidi="he-IL"/>
        </w:rPr>
        <w:t>דקיי"ל הכל הולך אחר המעמיד</w:t>
      </w:r>
      <w:r w:rsidR="00D9437B" w:rsidRPr="00882F11">
        <w:rPr>
          <w:rFonts w:cs="Guttman Drogolin" w:hint="cs"/>
          <w:rtl/>
          <w:lang w:bidi="he-IL"/>
        </w:rPr>
        <w:t xml:space="preserve">', דמאי שייטי' הכא. ומשו"ה דחק דאע"ג שבדר"כ הלשון של הכל הולך אחר המעמיד קאי אחלק של הכלי המעמיד אותו, כאן כוונתו לומר שכיון שהנכרי העמיד הכלי חייב בטבילה. והט"ז הביא מב"ח שכוונת הטור בסוף דבריו לכה"ג שהנכרי הביא הכסף כדי לתקן את הכלי וגם את זה דחה הט"ז, ולכן פירש דאע"ג דמיירי במתכת של ישראל, מ"מ כיון שעיקר הכלי קיים רק הנכרי תיקנו במילוי חור וכדומה, לא הוה מהני הסברא דאומן קונה בשבח כלי אלמלא הא דהכל הולך אחר המעמיד, ולכן כתב הטור בשם ריצב"א שאם תיקנו חייב כיון דאומן קונה בשבח כלי והחלק שתיקן מעמיד את הכלי וכל ההולך אחר המעמיד. </w:t>
      </w:r>
    </w:p>
    <w:p w:rsidR="00003D4D" w:rsidRPr="00882F11" w:rsidRDefault="00003D4D" w:rsidP="00003D4D">
      <w:pPr>
        <w:tabs>
          <w:tab w:val="right" w:pos="7497"/>
        </w:tabs>
        <w:bidi/>
        <w:jc w:val="both"/>
        <w:rPr>
          <w:rFonts w:cs="Guttman Drogolin"/>
          <w:rtl/>
          <w:lang w:bidi="he-IL"/>
        </w:rPr>
      </w:pPr>
      <w:r w:rsidRPr="00882F11">
        <w:rPr>
          <w:rFonts w:cs="Guttman Drogolin" w:hint="cs"/>
          <w:rtl/>
          <w:lang w:bidi="he-IL"/>
        </w:rPr>
        <w:t>ובשו"ע סע' י' פסק המחבר דלא מהני הסברא דאומן קונה בשבח כלי לחייב, והרמ"א הביא שיש חולקים ולכן יש להטבילו בלא ברכה. ואינו מפורש שם אם מחייב אפילו כשתיקן מקצת הכלי, אבל הש"ך כתב דכיון שחששא דאורייתא היא יש לחייב גם בענין זה (ומשמע דאילו הי' זכוכית הי' הדין להקל).</w:t>
      </w:r>
    </w:p>
    <w:p w:rsidR="00003D4D" w:rsidRPr="00882F11" w:rsidRDefault="00003D4D" w:rsidP="00E070B5">
      <w:pPr>
        <w:tabs>
          <w:tab w:val="right" w:pos="7497"/>
        </w:tabs>
        <w:bidi/>
        <w:jc w:val="both"/>
        <w:rPr>
          <w:rFonts w:cs="Guttman Drogolin"/>
          <w:rtl/>
          <w:lang w:bidi="he-IL"/>
        </w:rPr>
      </w:pPr>
      <w:r w:rsidRPr="00882F11">
        <w:rPr>
          <w:rFonts w:cs="Guttman Drogolin" w:hint="cs"/>
          <w:rtl/>
          <w:lang w:bidi="he-IL"/>
        </w:rPr>
        <w:t xml:space="preserve">וכל זה אם לא הי' המתכת של נכרי כלל, אבל אם חלק המתכת של נכרי, כתב הרמ"א שחייב בטבילה, ופי' הש"ך דר"ל שחייב בברכה. ובט"ז כתב לחלק, שאם הישראל עשה כלי מחדש, וחלק מן המתכת של ישראל וחלק של נכרי, אין לברך על הטבילה דאזלינן בתר רובא ומאן לימא לן שהמתכת של נכרי בא במקום המעמיד. אבל אם תיקן כלי של ישראל ע"י מתכת של עכו"ם ודאי יש להטביל בברכה. ונראה פשוט דהנ"מ כשמשתמש דרך המתכת, אבל אם מעמיד </w:t>
      </w:r>
      <w:r w:rsidRPr="00882F11">
        <w:rPr>
          <w:rFonts w:cs="Guttman Drogolin" w:hint="cs"/>
          <w:rtl/>
          <w:lang w:bidi="he-IL"/>
        </w:rPr>
        <w:lastRenderedPageBreak/>
        <w:t>מאחורי הכלי הא כבר פסק בכלי של חרס ומעמידו של מתכת שאין לה</w:t>
      </w:r>
      <w:r w:rsidR="00E070B5" w:rsidRPr="00882F11">
        <w:rPr>
          <w:rFonts w:cs="Guttman Drogolin" w:hint="cs"/>
          <w:rtl/>
          <w:lang w:bidi="he-IL"/>
        </w:rPr>
        <w:t>טב</w:t>
      </w:r>
      <w:r w:rsidRPr="00882F11">
        <w:rPr>
          <w:rFonts w:cs="Guttman Drogolin" w:hint="cs"/>
          <w:rtl/>
          <w:lang w:bidi="he-IL"/>
        </w:rPr>
        <w:t xml:space="preserve">יל בברכה. </w:t>
      </w:r>
    </w:p>
    <w:p w:rsidR="003E5E6A" w:rsidRPr="00882F11" w:rsidRDefault="00003D4D" w:rsidP="003E5E6A">
      <w:pPr>
        <w:tabs>
          <w:tab w:val="right" w:pos="7497"/>
        </w:tabs>
        <w:bidi/>
        <w:jc w:val="both"/>
        <w:rPr>
          <w:rFonts w:cs="Guttman Drogolin"/>
          <w:rtl/>
          <w:lang w:bidi="he-IL"/>
        </w:rPr>
      </w:pPr>
      <w:r w:rsidRPr="00882F11">
        <w:rPr>
          <w:rFonts w:cs="Guttman Drogolin" w:hint="cs"/>
          <w:rtl/>
          <w:lang w:bidi="he-IL"/>
        </w:rPr>
        <w:t xml:space="preserve">ועוד כתב האו"ה שאם נכרי נתן מתכת לישראל לעשות כלי לנכרי שג"כ יש להטבילו בלא ברכה. והוא מאותו ספק דאולי אזלינן בתר אומן, וכיון שהישראל האומן אולי נחשב ככלי של ישראל ואינו חייב. ותמהו בזה הפר"ח והגר"א דנהי נמי שישראל האומן קונה בשבח כלי, הא מ"מ אין כולו שלו, ויש חלק של נכרי, והרי נכרי וישראל שקנו כלי בשותפות ושוב קנה הישראל חלקו של נכרי חיב בטבילת כלים, וא"כ מאי שנא הכא דפטור. </w:t>
      </w:r>
      <w:r w:rsidR="003E5E6A" w:rsidRPr="00882F11">
        <w:rPr>
          <w:rFonts w:cs="Guttman Drogolin" w:hint="cs"/>
          <w:rtl/>
          <w:lang w:bidi="he-IL"/>
        </w:rPr>
        <w:t xml:space="preserve">וראיתי בחלקת בנימין (ס"ק פ"ט) דע"כ סברי האו"ה והרמ"א שלמאן דמחייב משום דינא דאומן קונה בשבח כלי סבר שהעיקר תלוי באומן. והוא תי' דחוק מאד. ומ"מ לענין דינא צ"ע אם יש לברך נגד דעת הרמ"א. </w:t>
      </w:r>
    </w:p>
    <w:p w:rsidR="001A1CBC" w:rsidRPr="00882F11" w:rsidRDefault="003E5E6A" w:rsidP="003E5E6A">
      <w:pPr>
        <w:tabs>
          <w:tab w:val="right" w:pos="7497"/>
        </w:tabs>
        <w:bidi/>
        <w:jc w:val="both"/>
        <w:rPr>
          <w:rFonts w:cs="Guttman Drogolin"/>
          <w:rtl/>
          <w:lang w:bidi="he-IL"/>
        </w:rPr>
      </w:pPr>
      <w:r w:rsidRPr="00882F11">
        <w:rPr>
          <w:rFonts w:cs="Guttman Drogolin" w:hint="cs"/>
          <w:rtl/>
          <w:lang w:bidi="he-IL"/>
        </w:rPr>
        <w:t>ובסוף דבריו שם כתב הרמ"א "</w:t>
      </w:r>
      <w:r w:rsidRPr="00882F11">
        <w:rPr>
          <w:rFonts w:cs="Guttman Drogolin"/>
          <w:rtl/>
          <w:lang w:bidi="he-IL"/>
        </w:rPr>
        <w:t>אבל אם עשאו לעצמו רק שקנה המתכות מן העובד כוכבים, או שנתן מקצת מתכות משלו, אין צריך טבילה</w:t>
      </w:r>
      <w:r w:rsidRPr="00882F11">
        <w:rPr>
          <w:rFonts w:cs="Guttman Drogolin" w:hint="cs"/>
          <w:rtl/>
          <w:lang w:bidi="he-IL"/>
        </w:rPr>
        <w:t>". ודין הראשון פשוט כיון שלא קנה כלי מן העכו"ם. אבל דנו הפוסקים מהו כוונת סוף דבריו ב'נתן מקצת מתכות משלו', שאם כוונת הרמ"א לומר שאם מקצת ה</w:t>
      </w:r>
      <w:r w:rsidR="00E070B5" w:rsidRPr="00882F11">
        <w:rPr>
          <w:rFonts w:cs="Guttman Drogolin" w:hint="cs"/>
          <w:rtl/>
          <w:lang w:bidi="he-IL"/>
        </w:rPr>
        <w:t>מתכת של ישראל ג"כ פטור, פשיטא, ד</w:t>
      </w:r>
      <w:r w:rsidRPr="00882F11">
        <w:rPr>
          <w:rFonts w:cs="Guttman Drogolin" w:hint="cs"/>
          <w:rtl/>
          <w:lang w:bidi="he-IL"/>
        </w:rPr>
        <w:t>הא אפילו כולו של נכרי פטור. והש</w:t>
      </w:r>
      <w:r w:rsidR="0013426E" w:rsidRPr="00882F11">
        <w:rPr>
          <w:rFonts w:cs="Guttman Drogolin" w:hint="cs"/>
          <w:rtl/>
          <w:lang w:bidi="he-IL"/>
        </w:rPr>
        <w:t>"</w:t>
      </w:r>
      <w:r w:rsidRPr="00882F11">
        <w:rPr>
          <w:rFonts w:cs="Guttman Drogolin" w:hint="cs"/>
          <w:rtl/>
          <w:lang w:bidi="he-IL"/>
        </w:rPr>
        <w:t xml:space="preserve">ך כתב בזה ב' פירושים, חדא שכוונת הרמ"א אפילו לכה"ג שחלק של הכלי נשאר בבעלותו של נכרי, או"ד שכוונתו לומר דהא דאמרינן שישראל שעשה כלי לעכו"ם ושוב קנאו ממנו שחייב בטבילת כלים, הנ"מ כשהיתה כל המתכת מעיקרא של נכרי, אבל אם רק מקצת המתכת הי' שלו ומקצת של ישראל, אינו חייב בטבילת כלים. דשאני כה"ג מנכרי וישראל בשותפות ושוב קנה הישראל חלקו של נכרי כיון שבנד"ד האומן ישראל קונה בשבח הכלי. והוא חידוש עצום לדינא. </w:t>
      </w:r>
      <w:r w:rsidR="0013426E" w:rsidRPr="00882F11">
        <w:rPr>
          <w:rFonts w:cs="Guttman Drogolin" w:hint="cs"/>
          <w:rtl/>
          <w:lang w:bidi="he-IL"/>
        </w:rPr>
        <w:t>והט"ז הגהי' דברי הרמ"א וכתב שאין כוונת הרמ"א אלא לומר שאם ישראל נתן מקצת הכסף מ"מ חייב בטבילה.</w:t>
      </w:r>
      <w:r w:rsidRPr="00882F11">
        <w:rPr>
          <w:rFonts w:cs="Guttman Drogolin" w:hint="cs"/>
          <w:rtl/>
          <w:lang w:bidi="he-IL"/>
        </w:rPr>
        <w:t xml:space="preserve">   </w:t>
      </w:r>
    </w:p>
    <w:p w:rsidR="001A1CBC" w:rsidRPr="00882F11" w:rsidRDefault="001A1CBC" w:rsidP="001A1CBC">
      <w:pPr>
        <w:tabs>
          <w:tab w:val="right" w:pos="7497"/>
        </w:tabs>
        <w:bidi/>
        <w:jc w:val="both"/>
        <w:rPr>
          <w:rFonts w:cs="Guttman Drogolin"/>
          <w:rtl/>
          <w:lang w:bidi="he-IL"/>
        </w:rPr>
        <w:sectPr w:rsidR="001A1CBC" w:rsidRPr="00882F11" w:rsidSect="00153315">
          <w:type w:val="continuous"/>
          <w:pgSz w:w="11907" w:h="16839" w:code="9"/>
          <w:pgMar w:top="1440" w:right="1440" w:bottom="1440" w:left="1440" w:header="720" w:footer="720" w:gutter="0"/>
          <w:cols w:num="2" w:space="720"/>
          <w:bidi/>
          <w:docGrid w:linePitch="360"/>
        </w:sectPr>
      </w:pPr>
    </w:p>
    <w:p w:rsidR="001A1CBC" w:rsidRPr="00153315" w:rsidRDefault="001A1CBC" w:rsidP="001A1CBC">
      <w:pPr>
        <w:keepNext/>
        <w:tabs>
          <w:tab w:val="left" w:pos="3818"/>
          <w:tab w:val="center" w:pos="4680"/>
        </w:tabs>
        <w:bidi/>
        <w:jc w:val="center"/>
        <w:rPr>
          <w:rFonts w:cs="Guttman Drogolin"/>
          <w:b/>
          <w:bCs/>
          <w:sz w:val="48"/>
          <w:szCs w:val="48"/>
          <w:rtl/>
          <w:lang w:bidi="he-IL"/>
        </w:rPr>
      </w:pPr>
      <w:r w:rsidRPr="00153315">
        <w:rPr>
          <w:rFonts w:cs="Guttman Drogolin" w:hint="cs"/>
          <w:b/>
          <w:bCs/>
          <w:sz w:val="48"/>
          <w:szCs w:val="48"/>
          <w:rtl/>
          <w:lang w:bidi="he-IL"/>
        </w:rPr>
        <w:lastRenderedPageBreak/>
        <w:t>שיעור קכ"ד</w:t>
      </w:r>
    </w:p>
    <w:p w:rsidR="00153315" w:rsidRDefault="00153315" w:rsidP="001A1CBC">
      <w:pPr>
        <w:pStyle w:val="Heading1"/>
        <w:bidi/>
        <w:spacing w:before="0" w:line="360" w:lineRule="auto"/>
        <w:jc w:val="center"/>
        <w:rPr>
          <w:rFonts w:cs="Guttman Drogolin"/>
          <w:color w:val="auto"/>
          <w:sz w:val="24"/>
          <w:szCs w:val="24"/>
          <w:u w:val="single"/>
          <w:rtl/>
          <w:lang w:bidi="he-IL"/>
        </w:rPr>
        <w:sectPr w:rsidR="00153315" w:rsidSect="00153315">
          <w:headerReference w:type="default" r:id="rId90"/>
          <w:pgSz w:w="11907" w:h="16839" w:code="9"/>
          <w:pgMar w:top="1440" w:right="1440" w:bottom="1440" w:left="1440" w:header="720" w:footer="720" w:gutter="0"/>
          <w:cols w:space="720"/>
          <w:bidi/>
          <w:docGrid w:linePitch="360"/>
        </w:sectPr>
      </w:pPr>
    </w:p>
    <w:p w:rsidR="001A1CBC" w:rsidRPr="00882F11" w:rsidRDefault="001A1CBC" w:rsidP="001A1CBC">
      <w:pPr>
        <w:pStyle w:val="Heading1"/>
        <w:bidi/>
        <w:spacing w:before="0" w:line="360" w:lineRule="auto"/>
        <w:jc w:val="center"/>
        <w:rPr>
          <w:rFonts w:cs="Guttman Drogolin"/>
          <w:color w:val="auto"/>
          <w:sz w:val="24"/>
          <w:szCs w:val="24"/>
          <w:u w:val="single"/>
          <w:rtl/>
          <w:lang w:bidi="he-IL"/>
        </w:rPr>
      </w:pPr>
      <w:bookmarkStart w:id="487" w:name="_Toc496175731"/>
      <w:r w:rsidRPr="00882F11">
        <w:rPr>
          <w:rFonts w:cs="Guttman Drogolin" w:hint="cs"/>
          <w:color w:val="auto"/>
          <w:sz w:val="24"/>
          <w:szCs w:val="24"/>
          <w:u w:val="single"/>
          <w:rtl/>
          <w:lang w:bidi="he-IL"/>
        </w:rPr>
        <w:lastRenderedPageBreak/>
        <w:t>הכשר הסכין</w:t>
      </w:r>
      <w:bookmarkEnd w:id="487"/>
    </w:p>
    <w:p w:rsidR="00580B43" w:rsidRPr="00882F11" w:rsidRDefault="006740EF" w:rsidP="00EC40BE">
      <w:pPr>
        <w:tabs>
          <w:tab w:val="right" w:pos="7497"/>
        </w:tabs>
        <w:bidi/>
        <w:jc w:val="both"/>
        <w:rPr>
          <w:rFonts w:cs="Guttman Drogolin"/>
          <w:rtl/>
          <w:lang w:bidi="he-IL"/>
        </w:rPr>
      </w:pPr>
      <w:r>
        <w:rPr>
          <w:rFonts w:cs="Guttman Drogolin"/>
          <w:rtl/>
          <w:lang w:bidi="he-IL"/>
        </w:rPr>
        <w:fldChar w:fldCharType="begin"/>
      </w:r>
      <w:r>
        <w:instrText xml:space="preserve"> XE "</w:instrText>
      </w:r>
      <w:r w:rsidRPr="00CD2176">
        <w:rPr>
          <w:rFonts w:hint="cs"/>
          <w:rtl/>
          <w:lang w:bidi="he-IL"/>
        </w:rPr>
        <w:instrText>הכשר כלים</w:instrText>
      </w:r>
      <w:r w:rsidRPr="00CD2176">
        <w:rPr>
          <w:rtl/>
        </w:rPr>
        <w:instrText>:</w:instrText>
      </w:r>
      <w:r w:rsidRPr="00CD2176">
        <w:rPr>
          <w:rFonts w:hint="cs"/>
          <w:rtl/>
          <w:lang w:bidi="he-IL"/>
        </w:rPr>
        <w:instrText>הכשר הסכין</w:instrText>
      </w:r>
      <w:r>
        <w:instrText xml:space="preserve">" </w:instrText>
      </w:r>
      <w:r>
        <w:rPr>
          <w:rFonts w:cs="Guttman Drogolin"/>
          <w:rtl/>
          <w:lang w:bidi="he-IL"/>
        </w:rPr>
        <w:fldChar w:fldCharType="end"/>
      </w:r>
      <w:r w:rsidR="001A1CBC" w:rsidRPr="00882F11">
        <w:rPr>
          <w:rFonts w:cs="Guttman Drogolin" w:hint="cs"/>
          <w:rtl/>
          <w:lang w:bidi="he-IL"/>
        </w:rPr>
        <w:t xml:space="preserve">כתוב במתני' שבדף ע"ה ע"ב "הסכין שפה והיא טהורה". ופירש"י "לוטשה באבן של נפחים". וכוונתו שמחדד את הסכין. ויעוין בדף ע"ו ע"ב דקאמר ר' עוקבא בר חמא "ונועצה עשרה פעמיים בקרקע". ופירש"י דנועצה אע"פ ששפה. ור"ל דדין נעיצה היא תוספת להכשר של שיפה. ומקור לדבר זה הוא הגירסא שלו </w:t>
      </w:r>
      <w:r w:rsidR="001A1CBC" w:rsidRPr="00882F11">
        <w:rPr>
          <w:rFonts w:cs="Guttman Drogolin" w:hint="cs"/>
          <w:u w:val="single"/>
          <w:rtl/>
          <w:lang w:bidi="he-IL"/>
        </w:rPr>
        <w:t>ו</w:t>
      </w:r>
      <w:r w:rsidR="001A1CBC" w:rsidRPr="00882F11">
        <w:rPr>
          <w:rFonts w:cs="Guttman Drogolin" w:hint="cs"/>
          <w:rtl/>
          <w:lang w:bidi="he-IL"/>
        </w:rPr>
        <w:t xml:space="preserve">נועצה </w:t>
      </w:r>
      <w:r w:rsidR="00EC40BE" w:rsidRPr="00882F11">
        <w:rPr>
          <w:rFonts w:cs="Guttman Drogolin" w:hint="cs"/>
          <w:rtl/>
          <w:lang w:bidi="he-IL"/>
        </w:rPr>
        <w:t xml:space="preserve">בקרקע, דהיינו שנעיצה היא תוספת לקודם. ולדבריו ע"כ ההיתר של שיפה דמתני' אינו אלא לצונן, דהא בהמשך סוגיא דנעיצה קאמר </w:t>
      </w:r>
      <w:r w:rsidR="00EC40BE" w:rsidRPr="00882F11">
        <w:rPr>
          <w:rFonts w:cs="Guttman Drogolin"/>
          <w:rtl/>
          <w:lang w:bidi="he-IL"/>
        </w:rPr>
        <w:t xml:space="preserve">רב הונא בריה דרב יהושע </w:t>
      </w:r>
      <w:r w:rsidR="00EC40BE" w:rsidRPr="00882F11">
        <w:rPr>
          <w:rFonts w:cs="Guttman Drogolin" w:hint="cs"/>
          <w:rtl/>
          <w:lang w:bidi="he-IL"/>
        </w:rPr>
        <w:t>'</w:t>
      </w:r>
      <w:r w:rsidR="00EC40BE" w:rsidRPr="00882F11">
        <w:rPr>
          <w:rFonts w:cs="Guttman Drogolin"/>
          <w:rtl/>
          <w:lang w:bidi="he-IL"/>
        </w:rPr>
        <w:t>לאכול בה צונן</w:t>
      </w:r>
      <w:r w:rsidR="00EC40BE" w:rsidRPr="00882F11">
        <w:rPr>
          <w:rFonts w:cs="Guttman Drogolin" w:hint="cs"/>
          <w:rtl/>
          <w:lang w:bidi="he-IL"/>
        </w:rPr>
        <w:t xml:space="preserve">', וכ"כ הראשונים דעת רש"י דלא מהני שיפה אלא לצונן. </w:t>
      </w:r>
    </w:p>
    <w:p w:rsidR="00A35AB8" w:rsidRPr="00882F11" w:rsidRDefault="00EC40BE" w:rsidP="00A35AB8">
      <w:pPr>
        <w:tabs>
          <w:tab w:val="right" w:pos="7497"/>
        </w:tabs>
        <w:bidi/>
        <w:jc w:val="both"/>
        <w:rPr>
          <w:rFonts w:cs="Guttman Drogolin"/>
          <w:rtl/>
          <w:lang w:bidi="he-IL"/>
        </w:rPr>
      </w:pPr>
      <w:r w:rsidRPr="00882F11">
        <w:rPr>
          <w:rFonts w:cs="Guttman Drogolin" w:hint="cs"/>
          <w:rtl/>
          <w:lang w:bidi="he-IL"/>
        </w:rPr>
        <w:t>ושם בפירושו לגמ' הביא רש"י פירוש אחר לשיפה והוא ד'</w:t>
      </w:r>
      <w:r w:rsidRPr="00882F11">
        <w:rPr>
          <w:rFonts w:cs="Guttman Drogolin"/>
          <w:rtl/>
          <w:lang w:bidi="he-IL"/>
        </w:rPr>
        <w:t>משפשפה בבגד צמר שאינה חלק ומעביר שמנוניתה</w:t>
      </w:r>
      <w:r w:rsidRPr="00882F11">
        <w:rPr>
          <w:rFonts w:cs="Guttman Drogolin" w:hint="cs"/>
          <w:rtl/>
          <w:lang w:bidi="he-IL"/>
        </w:rPr>
        <w:t xml:space="preserve">'. וע' מהרש"א שביאר שרש"י נטה מפירושו הראשון משום שהי' </w:t>
      </w:r>
      <w:r w:rsidRPr="00882F11">
        <w:rPr>
          <w:rFonts w:cs="Guttman Drogolin"/>
          <w:rtl/>
          <w:lang w:bidi="he-IL"/>
        </w:rPr>
        <w:t xml:space="preserve">נראה לו דחוק </w:t>
      </w:r>
      <w:r w:rsidRPr="00882F11">
        <w:rPr>
          <w:rFonts w:cs="Guttman Drogolin" w:hint="cs"/>
          <w:rtl/>
          <w:lang w:bidi="he-IL"/>
        </w:rPr>
        <w:t>"</w:t>
      </w:r>
      <w:r w:rsidRPr="00882F11">
        <w:rPr>
          <w:rFonts w:cs="Guttman Drogolin"/>
          <w:rtl/>
          <w:lang w:bidi="he-IL"/>
        </w:rPr>
        <w:t>שאחר ששפה באבן כפירושו במתניתין דבעי עוד נעיצה י"פ</w:t>
      </w:r>
      <w:r w:rsidRPr="00882F11">
        <w:rPr>
          <w:rFonts w:cs="Guttman Drogolin" w:hint="cs"/>
          <w:rtl/>
          <w:lang w:bidi="he-IL"/>
        </w:rPr>
        <w:t>"</w:t>
      </w:r>
      <w:r w:rsidR="00F613AE" w:rsidRPr="00882F11">
        <w:rPr>
          <w:rFonts w:cs="Guttman Drogolin" w:hint="cs"/>
          <w:rtl/>
          <w:lang w:bidi="he-IL"/>
        </w:rPr>
        <w:t>.</w:t>
      </w:r>
      <w:r w:rsidRPr="00882F11">
        <w:rPr>
          <w:rFonts w:cs="Guttman Drogolin"/>
          <w:rtl/>
          <w:lang w:bidi="he-IL"/>
        </w:rPr>
        <w:t xml:space="preserve"> ועוד </w:t>
      </w:r>
      <w:r w:rsidRPr="00882F11">
        <w:rPr>
          <w:rFonts w:cs="Guttman Drogolin" w:hint="cs"/>
          <w:rtl/>
          <w:lang w:bidi="he-IL"/>
        </w:rPr>
        <w:t xml:space="preserve">הי' קשה לו המעשה </w:t>
      </w:r>
      <w:r w:rsidRPr="00882F11">
        <w:rPr>
          <w:rFonts w:cs="Guttman Drogolin"/>
          <w:rtl/>
          <w:lang w:bidi="he-IL"/>
        </w:rPr>
        <w:t xml:space="preserve">דשבור מלכא </w:t>
      </w:r>
      <w:r w:rsidR="008513B2" w:rsidRPr="00882F11">
        <w:rPr>
          <w:rFonts w:cs="Guttman Drogolin" w:hint="cs"/>
          <w:rtl/>
          <w:lang w:bidi="he-IL"/>
        </w:rPr>
        <w:t>שבס</w:t>
      </w:r>
      <w:r w:rsidRPr="00882F11">
        <w:rPr>
          <w:rFonts w:cs="Guttman Drogolin" w:hint="cs"/>
          <w:rtl/>
          <w:lang w:bidi="he-IL"/>
        </w:rPr>
        <w:t>מוך ד</w:t>
      </w:r>
      <w:r w:rsidRPr="00882F11">
        <w:rPr>
          <w:rFonts w:cs="Guttman Drogolin"/>
          <w:rtl/>
          <w:lang w:bidi="he-IL"/>
        </w:rPr>
        <w:t xml:space="preserve">משמע </w:t>
      </w:r>
      <w:r w:rsidRPr="00882F11">
        <w:rPr>
          <w:rFonts w:cs="Guttman Drogolin" w:hint="cs"/>
          <w:rtl/>
          <w:lang w:bidi="he-IL"/>
        </w:rPr>
        <w:t xml:space="preserve">שם </w:t>
      </w:r>
      <w:r w:rsidRPr="00882F11">
        <w:rPr>
          <w:rFonts w:cs="Guttman Drogolin"/>
          <w:rtl/>
          <w:lang w:bidi="he-IL"/>
        </w:rPr>
        <w:t>דלא עבד שיפה באבן</w:t>
      </w:r>
      <w:r w:rsidRPr="00882F11">
        <w:rPr>
          <w:rFonts w:cs="Guttman Drogolin" w:hint="cs"/>
          <w:rtl/>
          <w:lang w:bidi="he-IL"/>
        </w:rPr>
        <w:t xml:space="preserve">. ולכאורה הביאור בקושיא הראשונה דאיזה תכלית יש לנעיצה </w:t>
      </w:r>
      <w:r w:rsidR="008513B2" w:rsidRPr="00882F11">
        <w:rPr>
          <w:rFonts w:cs="Guttman Drogolin" w:hint="cs"/>
          <w:rtl/>
          <w:lang w:bidi="he-IL"/>
        </w:rPr>
        <w:t xml:space="preserve">אחרי שחידד את הסכין, הא לכאורה חידוד הסכין מגרד אותו כל צרכו אין צורך שוב לנעיצה. </w:t>
      </w:r>
      <w:r w:rsidR="00A35AB8" w:rsidRPr="00882F11">
        <w:rPr>
          <w:rFonts w:cs="Guttman Drogolin"/>
          <w:rtl/>
          <w:lang w:bidi="he-IL"/>
        </w:rPr>
        <w:t>אבל לפי</w:t>
      </w:r>
      <w:r w:rsidRPr="00882F11">
        <w:rPr>
          <w:rFonts w:cs="Guttman Drogolin"/>
          <w:rtl/>
          <w:lang w:bidi="he-IL"/>
        </w:rPr>
        <w:t xml:space="preserve"> </w:t>
      </w:r>
      <w:r w:rsidR="00A35AB8" w:rsidRPr="00882F11">
        <w:rPr>
          <w:rFonts w:cs="Guttman Drogolin" w:hint="cs"/>
          <w:rtl/>
          <w:lang w:bidi="he-IL"/>
        </w:rPr>
        <w:t>שיטת ה</w:t>
      </w:r>
      <w:r w:rsidRPr="00882F11">
        <w:rPr>
          <w:rFonts w:cs="Guttman Drogolin"/>
          <w:rtl/>
          <w:lang w:bidi="he-IL"/>
        </w:rPr>
        <w:t>י"א ניחא דמשפשפה בבגד אינו אלא להעביר שמנונית ולכך בעי שפיר נעיצה אחר כך ולא הוזכר נמי שיפת בגד בעובדא דשבור מלכא דעל ידי שפסק אתרוגא כבר ואכל הוא העביר ממנו השמנונית ועוד דכיון דדבר קל הוא לעשות לא חש להזכירו</w:t>
      </w:r>
      <w:r w:rsidR="00A35AB8" w:rsidRPr="00882F11">
        <w:rPr>
          <w:rFonts w:cs="Guttman Drogolin" w:hint="cs"/>
          <w:rtl/>
          <w:lang w:bidi="he-IL"/>
        </w:rPr>
        <w:t xml:space="preserve">. </w:t>
      </w:r>
      <w:r w:rsidR="00707FB6" w:rsidRPr="00882F11">
        <w:rPr>
          <w:rFonts w:cs="Guttman Drogolin" w:hint="cs"/>
          <w:rtl/>
          <w:lang w:bidi="he-IL"/>
        </w:rPr>
        <w:t xml:space="preserve">וכן הקשה בבדק הבית בב"ד ש"ד אשיטה זו ומשו"ה דחאו. </w:t>
      </w:r>
      <w:r w:rsidR="00A35AB8" w:rsidRPr="00882F11">
        <w:rPr>
          <w:rFonts w:cs="Guttman Drogolin" w:hint="cs"/>
          <w:rtl/>
          <w:lang w:bidi="he-IL"/>
        </w:rPr>
        <w:t xml:space="preserve">ולפי הפירוש הראשון של רש"י שמעתי אולי לבאר שחידוד לא שייך אלא למתכת שסמוך ללהב, אבל לשאר עובי הסכין אינו משפיע. ולכן שפיר יש תכלית לנעיצה שם אחרי שיפה. ואולי יש ליישב גם קושייתו השני' לפי זה, </w:t>
      </w:r>
      <w:r w:rsidR="00A35AB8" w:rsidRPr="00882F11">
        <w:rPr>
          <w:rFonts w:cs="Guttman Drogolin" w:hint="cs"/>
          <w:rtl/>
          <w:lang w:bidi="he-IL"/>
        </w:rPr>
        <w:lastRenderedPageBreak/>
        <w:t>והוא שזה הי' דבר פשוט שהיו מחדדים הסכין של המלך אחרי כל חתיכה, שזהו דרך מלכות, אבל לעשות נעיצה אינו הדרך, ולכן הי' צורך להזכיר ששבור מלכא עשה גם נעיצה מה שאינו דרכו.</w:t>
      </w:r>
    </w:p>
    <w:p w:rsidR="00637770" w:rsidRPr="00882F11" w:rsidRDefault="00A35AB8" w:rsidP="00637770">
      <w:pPr>
        <w:tabs>
          <w:tab w:val="right" w:pos="7497"/>
        </w:tabs>
        <w:bidi/>
        <w:jc w:val="both"/>
        <w:rPr>
          <w:rFonts w:cs="Guttman Drogolin"/>
          <w:rtl/>
          <w:lang w:bidi="he-IL"/>
        </w:rPr>
      </w:pPr>
      <w:r w:rsidRPr="00882F11">
        <w:rPr>
          <w:rFonts w:cs="Guttman Drogolin" w:hint="cs"/>
          <w:rtl/>
          <w:lang w:bidi="he-IL"/>
        </w:rPr>
        <w:t>ומ"מ הקשה הרמב"ן על פירוש זה, שאם באמת צריכ</w:t>
      </w:r>
      <w:r w:rsidR="00707FB6" w:rsidRPr="00882F11">
        <w:rPr>
          <w:rFonts w:cs="Guttman Drogolin" w:hint="cs"/>
          <w:rtl/>
          <w:lang w:bidi="he-IL"/>
        </w:rPr>
        <w:t>ים את שניהם, למה לא הזכירו שניה</w:t>
      </w:r>
      <w:r w:rsidRPr="00882F11">
        <w:rPr>
          <w:rFonts w:cs="Guttman Drogolin" w:hint="cs"/>
          <w:rtl/>
          <w:lang w:bidi="he-IL"/>
        </w:rPr>
        <w:t>ם במתני'. והרמב"ן הביא מי שפירש, וכן הוא ב</w:t>
      </w:r>
      <w:r w:rsidR="00EC40BE" w:rsidRPr="00882F11">
        <w:rPr>
          <w:rFonts w:cs="Guttman Drogolin"/>
          <w:rtl/>
          <w:lang w:bidi="he-IL"/>
        </w:rPr>
        <w:t>רא"ש</w:t>
      </w:r>
      <w:r w:rsidRPr="00882F11">
        <w:rPr>
          <w:rFonts w:cs="Guttman Drogolin" w:hint="cs"/>
          <w:rtl/>
          <w:lang w:bidi="he-IL"/>
        </w:rPr>
        <w:t>,</w:t>
      </w:r>
      <w:r w:rsidR="00EC40BE" w:rsidRPr="00882F11">
        <w:rPr>
          <w:rFonts w:cs="Guttman Drogolin"/>
          <w:rtl/>
          <w:lang w:bidi="he-IL"/>
        </w:rPr>
        <w:t xml:space="preserve"> דלא </w:t>
      </w:r>
      <w:r w:rsidRPr="00882F11">
        <w:rPr>
          <w:rFonts w:cs="Guttman Drogolin"/>
          <w:rtl/>
          <w:lang w:bidi="he-IL"/>
        </w:rPr>
        <w:t>בעי רק שיפה או נעיצה</w:t>
      </w:r>
      <w:r w:rsidRPr="00882F11">
        <w:rPr>
          <w:rFonts w:cs="Guttman Drogolin" w:hint="cs"/>
          <w:rtl/>
          <w:lang w:bidi="he-IL"/>
        </w:rPr>
        <w:t xml:space="preserve">. ולדברי שיטה זו קשה למה לא מוזכר נעיצה במתני' כיון שהוא חידוש יותר גדול. ועוד הקשה הרמב"ן </w:t>
      </w:r>
      <w:r w:rsidR="00F613AE" w:rsidRPr="00882F11">
        <w:rPr>
          <w:rFonts w:cs="Guttman Drogolin" w:hint="cs"/>
          <w:rtl/>
          <w:lang w:bidi="he-IL"/>
        </w:rPr>
        <w:t>לפי ב' הפירושים הנ"ל למה בסכינים הזכירו הכשר הסכין לצונן, ואילו באסכלא הזכירו ההכשר לחמין. ותי' א' לקושיא זו תי' שהמתני' דיבר בהוה, ויש משתמשים בסכין לצונן, אבל לא אסכלא. ועוד תי' שלאסכלא אילו הי' רוצה להשתמש בצונן סגי בהדחה בעלמא</w:t>
      </w:r>
      <w:r w:rsidR="00637770" w:rsidRPr="00882F11">
        <w:rPr>
          <w:rStyle w:val="FootnoteReference"/>
          <w:rFonts w:cs="Guttman Drogolin"/>
          <w:rtl/>
          <w:lang w:bidi="he-IL"/>
        </w:rPr>
        <w:footnoteReference w:id="480"/>
      </w:r>
      <w:r w:rsidR="00F613AE" w:rsidRPr="00882F11">
        <w:rPr>
          <w:rFonts w:cs="Guttman Drogolin" w:hint="cs"/>
          <w:rtl/>
          <w:lang w:bidi="he-IL"/>
        </w:rPr>
        <w:t xml:space="preserve">, רק סכין שיש בה דוחקא דסכינא חייב להיות בשיפה או נעיצה או שניהם ביחד (כל מאן כדאית לי'). </w:t>
      </w:r>
    </w:p>
    <w:p w:rsidR="00707FB6" w:rsidRPr="00882F11" w:rsidRDefault="00707FB6" w:rsidP="00707FB6">
      <w:pPr>
        <w:tabs>
          <w:tab w:val="right" w:pos="7497"/>
        </w:tabs>
        <w:bidi/>
        <w:jc w:val="both"/>
        <w:rPr>
          <w:rFonts w:cs="Guttman Drogolin"/>
          <w:rtl/>
          <w:lang w:bidi="he-IL"/>
        </w:rPr>
      </w:pPr>
      <w:r w:rsidRPr="00882F11">
        <w:rPr>
          <w:rFonts w:cs="Guttman Drogolin" w:hint="cs"/>
          <w:rtl/>
          <w:lang w:bidi="he-IL"/>
        </w:rPr>
        <w:t xml:space="preserve">עוד הביאו הראשונים, וכן נראה שיטת הרמב"ם, שלעולם שיפה ונעיצה ב' הכשרים נינהו, ושיפה מהני לחתוך בה אפילו רותח, ונעיצה מהני רק לצונן. ולכן מתיישב המתני' כמין חומר, שכל ההכר של המתני' הם לענין חמין, וכן לא חסר במתני' הענין של נעיצה כיון שהוא ענין אחר שאינו אלא לצונן. וע"ש ברמב"ן שהוכיח שיטה זו מן הירושלמי, וע' מש"כ בראי' זו ברשב"א, וכן בתוס' בע"ב.  </w:t>
      </w:r>
    </w:p>
    <w:p w:rsidR="00707FB6" w:rsidRPr="00882F11" w:rsidRDefault="00637770" w:rsidP="00B6625C">
      <w:pPr>
        <w:tabs>
          <w:tab w:val="right" w:pos="7497"/>
        </w:tabs>
        <w:bidi/>
        <w:jc w:val="both"/>
        <w:rPr>
          <w:rFonts w:cs="Guttman Drogolin"/>
          <w:rtl/>
        </w:rPr>
      </w:pPr>
      <w:r w:rsidRPr="00882F11">
        <w:rPr>
          <w:rFonts w:cs="Guttman Drogolin" w:hint="cs"/>
          <w:rtl/>
          <w:lang w:bidi="he-IL"/>
        </w:rPr>
        <w:t>והנה מסברא הענין של נעיצה ושיפה הוא להעביר השמנונית שעל פני הסכין</w:t>
      </w:r>
      <w:r w:rsidR="00897C51" w:rsidRPr="00882F11">
        <w:rPr>
          <w:rFonts w:cs="Guttman Drogolin" w:hint="cs"/>
          <w:rtl/>
          <w:lang w:bidi="he-IL"/>
        </w:rPr>
        <w:t>, וכן הוא להדיא בתוס' בסוף הפרק</w:t>
      </w:r>
      <w:r w:rsidRPr="00882F11">
        <w:rPr>
          <w:rFonts w:cs="Guttman Drogolin" w:hint="cs"/>
          <w:rtl/>
          <w:lang w:bidi="he-IL"/>
        </w:rPr>
        <w:t>. וא"כ לכאורה צ"ע,</w:t>
      </w:r>
      <w:r w:rsidR="00707FB6" w:rsidRPr="00882F11">
        <w:rPr>
          <w:rFonts w:cs="Guttman Drogolin" w:hint="cs"/>
          <w:rtl/>
          <w:lang w:bidi="he-IL"/>
        </w:rPr>
        <w:t xml:space="preserve">איך תהני שיפה לחתוך בה רותח. ובבד"ה </w:t>
      </w:r>
      <w:r w:rsidR="00B6625C" w:rsidRPr="00882F11">
        <w:rPr>
          <w:rFonts w:cs="Guttman Drogolin" w:hint="cs"/>
          <w:rtl/>
          <w:lang w:bidi="he-IL"/>
        </w:rPr>
        <w:t xml:space="preserve">שם כתב בביאור הענין "[שיפה] </w:t>
      </w:r>
      <w:r w:rsidR="00B6625C" w:rsidRPr="00882F11">
        <w:rPr>
          <w:rFonts w:cs="Guttman Drogolin"/>
          <w:rtl/>
          <w:lang w:bidi="he-IL"/>
        </w:rPr>
        <w:t xml:space="preserve">הכשר גמור היא לכל סכינין ולכל דבר מפני שהשיפה קליפה היא לברזל וקים להו לרבנן שאין ברזל בולע על ידי רותח </w:t>
      </w:r>
      <w:r w:rsidR="00B6625C" w:rsidRPr="00882F11">
        <w:rPr>
          <w:rFonts w:cs="Guttman Drogolin"/>
          <w:rtl/>
          <w:lang w:bidi="he-IL"/>
        </w:rPr>
        <w:lastRenderedPageBreak/>
        <w:t>יותר מכדי קליפה ואף על פי שפעמים שמשתמשין בסכין ע"י האור הלכו חכמים אחר רוב תשמישן בסתם</w:t>
      </w:r>
      <w:r w:rsidR="00B6625C" w:rsidRPr="00882F11">
        <w:rPr>
          <w:rFonts w:cs="Guttman Drogolin" w:hint="cs"/>
          <w:rtl/>
          <w:lang w:bidi="he-IL"/>
        </w:rPr>
        <w:t>". ור"ל ששיפה משום כחו הרב אינו מסיר אך ורק שמנונית אלא גם מסיר קליפה מן הסכין, ולכן לא נשאר המתכת של הסכין</w:t>
      </w:r>
      <w:r w:rsidR="000C18B9" w:rsidRPr="00882F11">
        <w:rPr>
          <w:rFonts w:cs="Guttman Drogolin" w:hint="cs"/>
          <w:rtl/>
          <w:lang w:bidi="he-IL"/>
        </w:rPr>
        <w:t xml:space="preserve"> </w:t>
      </w:r>
      <w:r w:rsidR="00B6625C" w:rsidRPr="00882F11">
        <w:rPr>
          <w:rFonts w:cs="Guttman Drogolin" w:hint="cs"/>
          <w:rtl/>
          <w:lang w:bidi="he-IL"/>
        </w:rPr>
        <w:t>שבה היתה בלועה הבליעות של איסור. אמנם דבר זהלא מהני לן לפמש"כ הרשב"א לדייק מן הירושלמי דסבר שגם נעיצה מהני לרותח (ודלא כסוגיית הבבלי). ולדעתי' לכאורה עדיין צ"ע מה מהני שיפה ונעיצה לרותח.</w:t>
      </w:r>
    </w:p>
    <w:p w:rsidR="00897C51" w:rsidRPr="00882F11" w:rsidRDefault="00707FB6" w:rsidP="00D20F21">
      <w:pPr>
        <w:tabs>
          <w:tab w:val="right" w:pos="7497"/>
        </w:tabs>
        <w:bidi/>
        <w:jc w:val="both"/>
        <w:rPr>
          <w:rFonts w:cs="Guttman Drogolin"/>
          <w:rtl/>
          <w:lang w:bidi="he-IL"/>
        </w:rPr>
      </w:pPr>
      <w:r w:rsidRPr="00882F11">
        <w:rPr>
          <w:rFonts w:cs="Guttman Drogolin" w:hint="cs"/>
          <w:rtl/>
          <w:lang w:bidi="he-IL"/>
        </w:rPr>
        <w:t>והנה</w:t>
      </w:r>
      <w:r w:rsidR="00637770" w:rsidRPr="00882F11">
        <w:rPr>
          <w:rFonts w:cs="Guttman Drogolin" w:hint="cs"/>
          <w:rtl/>
          <w:lang w:bidi="he-IL"/>
        </w:rPr>
        <w:t xml:space="preserve"> במעשה דשבור מלכה נעץ הסכין ושוב חתך בה אתרוג</w:t>
      </w:r>
      <w:r w:rsidR="00B6625C" w:rsidRPr="00882F11">
        <w:rPr>
          <w:rFonts w:cs="Guttman Drogolin" w:hint="cs"/>
          <w:rtl/>
          <w:lang w:bidi="he-IL"/>
        </w:rPr>
        <w:t xml:space="preserve">. ולכאורה צ"ע שהרי </w:t>
      </w:r>
      <w:r w:rsidR="00637770" w:rsidRPr="00882F11">
        <w:rPr>
          <w:rFonts w:cs="Guttman Drogolin" w:hint="cs"/>
          <w:rtl/>
          <w:lang w:bidi="he-IL"/>
        </w:rPr>
        <w:t>אתר</w:t>
      </w:r>
      <w:r w:rsidRPr="00882F11">
        <w:rPr>
          <w:rFonts w:cs="Guttman Drogolin" w:hint="cs"/>
          <w:rtl/>
          <w:lang w:bidi="he-IL"/>
        </w:rPr>
        <w:t>ו</w:t>
      </w:r>
      <w:r w:rsidR="00637770" w:rsidRPr="00882F11">
        <w:rPr>
          <w:rFonts w:cs="Guttman Drogolin" w:hint="cs"/>
          <w:rtl/>
          <w:lang w:bidi="he-IL"/>
        </w:rPr>
        <w:t>ג דבר חריף</w:t>
      </w:r>
      <w:r w:rsidR="00B6625C" w:rsidRPr="00882F11">
        <w:rPr>
          <w:rFonts w:cs="Guttman Drogolin" w:hint="cs"/>
          <w:rtl/>
          <w:lang w:bidi="he-IL"/>
        </w:rPr>
        <w:t xml:space="preserve"> הוא</w:t>
      </w:r>
      <w:r w:rsidR="00637770" w:rsidRPr="00882F11">
        <w:rPr>
          <w:rFonts w:cs="Guttman Drogolin" w:hint="cs"/>
          <w:rtl/>
          <w:lang w:bidi="he-IL"/>
        </w:rPr>
        <w:t>, וא"כ מה הואיל הנעיצה, דנהי שמעכשיו אין עליו שמנונית, וא"כ יצא הבליעות מן הסכין לאתרוג ויהי' אסור. וע' באמת ברשב"א בתורת הבית (ב"ד ש"ד) שכתב ש</w:t>
      </w:r>
      <w:r w:rsidR="00637770" w:rsidRPr="00882F11">
        <w:rPr>
          <w:rFonts w:cs="Guttman Drogolin"/>
          <w:rtl/>
          <w:lang w:bidi="he-IL"/>
        </w:rPr>
        <w:t xml:space="preserve">הסכינים </w:t>
      </w:r>
      <w:r w:rsidR="00637770" w:rsidRPr="00882F11">
        <w:rPr>
          <w:rFonts w:cs="Guttman Drogolin" w:hint="cs"/>
          <w:rtl/>
          <w:lang w:bidi="he-IL"/>
        </w:rPr>
        <w:t>מהני להו נעיצה</w:t>
      </w:r>
      <w:r w:rsidR="00637770" w:rsidRPr="00882F11">
        <w:rPr>
          <w:rFonts w:cs="Guttman Drogolin"/>
          <w:rtl/>
          <w:lang w:bidi="he-IL"/>
        </w:rPr>
        <w:t xml:space="preserve"> לחתוך בהם צונן אפילו הדברים החריפים</w:t>
      </w:r>
      <w:r w:rsidR="00637770" w:rsidRPr="00882F11">
        <w:rPr>
          <w:rFonts w:cs="Guttman Drogolin" w:hint="cs"/>
          <w:rtl/>
          <w:lang w:bidi="he-IL"/>
        </w:rPr>
        <w:t>, משא"כ בבלע בחמין.</w:t>
      </w:r>
      <w:r w:rsidR="00637770" w:rsidRPr="00882F11">
        <w:rPr>
          <w:rFonts w:cs="Guttman Drogolin"/>
          <w:rtl/>
          <w:lang w:bidi="he-IL"/>
        </w:rPr>
        <w:t xml:space="preserve"> </w:t>
      </w:r>
      <w:r w:rsidR="00637770" w:rsidRPr="00882F11">
        <w:rPr>
          <w:rFonts w:cs="Guttman Drogolin" w:hint="cs"/>
          <w:rtl/>
          <w:lang w:bidi="he-IL"/>
        </w:rPr>
        <w:t xml:space="preserve">הרי שהדגיש שההכשר של נעיצה מהני גם לדבר חריף. </w:t>
      </w:r>
      <w:r w:rsidR="00E0146B" w:rsidRPr="00882F11">
        <w:rPr>
          <w:rFonts w:cs="Guttman Drogolin" w:hint="cs"/>
          <w:rtl/>
          <w:lang w:bidi="he-IL"/>
        </w:rPr>
        <w:t xml:space="preserve">ואע"ג ששיטת הרשב"א דלא אמרינן שמחליא לי' לשבח אלא בחילתית, </w:t>
      </w:r>
      <w:r w:rsidR="000E15B4" w:rsidRPr="00882F11">
        <w:rPr>
          <w:rFonts w:cs="Guttman Drogolin" w:hint="cs"/>
          <w:rtl/>
          <w:lang w:bidi="he-IL"/>
        </w:rPr>
        <w:t xml:space="preserve">ולכן הי' אפשר לומר דמהני נעיצה לשמנונית שע"ג הסכין, ולענין הבליעות מסתמא הוי הסכין אינו בן יומו ומשו"ה אינו אוסר האתרוג, אבל </w:t>
      </w:r>
      <w:r w:rsidR="00E0146B" w:rsidRPr="00882F11">
        <w:rPr>
          <w:rFonts w:cs="Guttman Drogolin" w:hint="cs"/>
          <w:rtl/>
          <w:lang w:bidi="he-IL"/>
        </w:rPr>
        <w:t xml:space="preserve">מ"מ </w:t>
      </w:r>
      <w:r w:rsidR="000E15B4" w:rsidRPr="00882F11">
        <w:rPr>
          <w:rFonts w:cs="Guttman Drogolin" w:hint="cs"/>
          <w:rtl/>
          <w:lang w:bidi="he-IL"/>
        </w:rPr>
        <w:t>הרי הרשב"א הוכיח דמהני, ולכאורה מהני לבן יומו כמו לאינו בן יומו, וע"כ סבר שסוגיין משמע דמיירי בסכין בן יומו</w:t>
      </w:r>
      <w:r w:rsidR="00B6625C" w:rsidRPr="00882F11">
        <w:rPr>
          <w:rFonts w:cs="Guttman Drogolin" w:hint="cs"/>
          <w:rtl/>
          <w:lang w:bidi="he-IL"/>
        </w:rPr>
        <w:t>.</w:t>
      </w:r>
      <w:r w:rsidR="000E15B4" w:rsidRPr="00882F11">
        <w:rPr>
          <w:rFonts w:cs="Guttman Drogolin" w:hint="cs"/>
          <w:rtl/>
          <w:lang w:bidi="he-IL"/>
        </w:rPr>
        <w:t xml:space="preserve"> וזו למה מהני הא יש בליעות בסכין ונעיצה אינו מסיר אלא השמנונית. </w:t>
      </w:r>
      <w:r w:rsidR="00E162AC" w:rsidRPr="00882F11">
        <w:rPr>
          <w:rFonts w:cs="Guttman Drogolin" w:hint="cs"/>
          <w:rtl/>
          <w:lang w:bidi="he-IL"/>
        </w:rPr>
        <w:t xml:space="preserve">ובבית מאיר </w:t>
      </w:r>
      <w:r w:rsidR="0091403A">
        <w:rPr>
          <w:rFonts w:cs="Guttman Drogolin" w:hint="cs"/>
          <w:rtl/>
          <w:lang w:bidi="he-IL"/>
        </w:rPr>
        <w:t xml:space="preserve">(יו"ד רסי' צ"ו) </w:t>
      </w:r>
      <w:r w:rsidR="00E162AC" w:rsidRPr="00882F11">
        <w:rPr>
          <w:rFonts w:cs="Guttman Drogolin" w:hint="cs"/>
          <w:rtl/>
          <w:lang w:bidi="he-IL"/>
        </w:rPr>
        <w:t>צידד בדעת הרשב"א ע</w:t>
      </w:r>
      <w:r w:rsidR="00D20F21">
        <w:rPr>
          <w:rFonts w:cs="Guttman Drogolin" w:hint="cs"/>
          <w:rtl/>
          <w:lang w:bidi="he-IL"/>
        </w:rPr>
        <w:t>צ</w:t>
      </w:r>
      <w:r w:rsidR="00E162AC" w:rsidRPr="00882F11">
        <w:rPr>
          <w:rFonts w:cs="Guttman Drogolin" w:hint="cs"/>
          <w:rtl/>
          <w:lang w:bidi="he-IL"/>
        </w:rPr>
        <w:t>מו לומר דלעולם דבר חריף אינו מבליע בצונן, והסוגיא שבמס' חולין קי"א ע"ב מיירי בסכין שיש עליו שמנונית</w:t>
      </w:r>
      <w:r w:rsidR="00E162AC" w:rsidRPr="00882F11">
        <w:rPr>
          <w:rStyle w:val="FootnoteReference"/>
          <w:rFonts w:cs="Guttman Drogolin"/>
          <w:rtl/>
          <w:lang w:bidi="he-IL"/>
        </w:rPr>
        <w:footnoteReference w:id="481"/>
      </w:r>
      <w:r w:rsidR="00E162AC" w:rsidRPr="00882F11">
        <w:rPr>
          <w:rFonts w:cs="Guttman Drogolin" w:hint="cs"/>
          <w:rtl/>
          <w:lang w:bidi="he-IL"/>
        </w:rPr>
        <w:t>.</w:t>
      </w:r>
      <w:r w:rsidR="00B6625C" w:rsidRPr="00882F11">
        <w:rPr>
          <w:rFonts w:cs="Guttman Drogolin" w:hint="cs"/>
          <w:rtl/>
          <w:lang w:bidi="he-IL"/>
        </w:rPr>
        <w:t xml:space="preserve"> </w:t>
      </w:r>
      <w:r w:rsidR="00E162AC" w:rsidRPr="00882F11">
        <w:rPr>
          <w:rFonts w:cs="Guttman Drogolin" w:hint="cs"/>
          <w:rtl/>
          <w:lang w:bidi="he-IL"/>
        </w:rPr>
        <w:t>אבל התקשה בזה לשיטת השו"ע שפסק כרשב"א דמהני שיפה לאתרוג אע"ג דסברי שדבר חריף מבליע את הבלוע בצונן ולאו דוקא השמנונית</w:t>
      </w:r>
      <w:r w:rsidR="00897C51" w:rsidRPr="00882F11">
        <w:rPr>
          <w:rFonts w:cs="Guttman Drogolin" w:hint="cs"/>
          <w:rtl/>
          <w:lang w:bidi="he-IL"/>
        </w:rPr>
        <w:t xml:space="preserve">, וכן שוב הוכיח שהרשב"א עצמו כן מבין שדוחקא בדבר חריף מבליע ומפליט אפילו בצונן, ע"ש מה שפלפל בזה, וכתב שאולי יש הסוברים דאתרוג לא מיקרי דבר חריף, אבל זה עצמו הוא דלא </w:t>
      </w:r>
      <w:r w:rsidR="00897C51" w:rsidRPr="00882F11">
        <w:rPr>
          <w:rFonts w:cs="Guttman Drogolin" w:hint="cs"/>
          <w:rtl/>
          <w:lang w:bidi="he-IL"/>
        </w:rPr>
        <w:lastRenderedPageBreak/>
        <w:t>כרשב"א</w:t>
      </w:r>
      <w:r w:rsidR="00E162AC" w:rsidRPr="00882F11">
        <w:rPr>
          <w:rFonts w:cs="Guttman Drogolin" w:hint="cs"/>
          <w:rtl/>
          <w:lang w:bidi="he-IL"/>
        </w:rPr>
        <w:t>.</w:t>
      </w:r>
      <w:r w:rsidR="00897C51" w:rsidRPr="00882F11">
        <w:rPr>
          <w:rFonts w:cs="Guttman Drogolin" w:hint="cs"/>
          <w:rtl/>
          <w:lang w:bidi="he-IL"/>
        </w:rPr>
        <w:t xml:space="preserve"> וע"ש שנשאר בכל הדין בצ"ע. וכה"ג העיר גם הבכור שור למס' חולין קי"א ע"ב.</w:t>
      </w:r>
    </w:p>
    <w:p w:rsidR="00A35C5C" w:rsidRPr="00882F11" w:rsidRDefault="00897C51" w:rsidP="00C935A7">
      <w:pPr>
        <w:tabs>
          <w:tab w:val="right" w:pos="7497"/>
        </w:tabs>
        <w:bidi/>
        <w:jc w:val="both"/>
        <w:rPr>
          <w:rFonts w:cs="Guttman Drogolin"/>
          <w:rtl/>
          <w:lang w:bidi="he-IL"/>
        </w:rPr>
      </w:pPr>
      <w:r w:rsidRPr="00882F11">
        <w:rPr>
          <w:rFonts w:cs="Guttman Drogolin" w:hint="cs"/>
          <w:rtl/>
          <w:lang w:bidi="he-IL"/>
        </w:rPr>
        <w:t>ומכח קושיות אלו יש אחרונים הנוקטים שיש לנעיצה תכונה להוציא בליעות מן הסכין</w:t>
      </w:r>
      <w:r w:rsidR="00A35C5C" w:rsidRPr="00882F11">
        <w:rPr>
          <w:rFonts w:cs="Guttman Drogolin" w:hint="cs"/>
          <w:rtl/>
          <w:lang w:bidi="he-IL"/>
        </w:rPr>
        <w:t xml:space="preserve"> </w:t>
      </w:r>
      <w:r w:rsidR="00A35C5C" w:rsidRPr="00882F11">
        <w:rPr>
          <w:rFonts w:cs="Guttman Drogolin"/>
          <w:rtl/>
          <w:lang w:bidi="he-IL"/>
        </w:rPr>
        <w:t>–</w:t>
      </w:r>
      <w:r w:rsidR="00A35C5C" w:rsidRPr="00882F11">
        <w:rPr>
          <w:rFonts w:cs="Guttman Drogolin" w:hint="cs"/>
          <w:rtl/>
          <w:lang w:bidi="he-IL"/>
        </w:rPr>
        <w:t xml:space="preserve"> ע' בשפ"ד סי' ס"ק ו' שכן מבואר לכאורה</w:t>
      </w:r>
      <w:r w:rsidRPr="00882F11">
        <w:rPr>
          <w:rFonts w:cs="Guttman Drogolin" w:hint="cs"/>
          <w:rtl/>
          <w:lang w:bidi="he-IL"/>
        </w:rPr>
        <w:t>.</w:t>
      </w:r>
      <w:r w:rsidR="00A35C5C" w:rsidRPr="00882F11">
        <w:rPr>
          <w:rFonts w:cs="Guttman Drogolin" w:hint="cs"/>
          <w:rtl/>
          <w:lang w:bidi="he-IL"/>
        </w:rPr>
        <w:t xml:space="preserve"> וא"כ יתכן שזהו ג"כ</w:t>
      </w:r>
      <w:r w:rsidR="00C935A7" w:rsidRPr="00882F11">
        <w:rPr>
          <w:rFonts w:cs="Guttman Drogolin" w:hint="cs"/>
          <w:rtl/>
          <w:lang w:bidi="he-IL"/>
        </w:rPr>
        <w:t xml:space="preserve"> </w:t>
      </w:r>
      <w:r w:rsidR="00A35C5C" w:rsidRPr="00882F11">
        <w:rPr>
          <w:rFonts w:cs="Guttman Drogolin" w:hint="cs"/>
          <w:rtl/>
          <w:lang w:bidi="he-IL"/>
        </w:rPr>
        <w:t>הטעם דמהני שיפה לרותח</w:t>
      </w:r>
      <w:r w:rsidR="00C935A7" w:rsidRPr="00882F11">
        <w:rPr>
          <w:rFonts w:cs="Guttman Drogolin" w:hint="cs"/>
          <w:rtl/>
          <w:lang w:bidi="he-IL"/>
        </w:rPr>
        <w:t xml:space="preserve">. ואפילו אם נעיצה לא מהני, יתכן שנעיצה אינו מועיל לבלוע אבל שיפה מהני, א"נ שמהני לענין הבליעות היוצאים בדבר חריף בצונן ולא להשתמש בה חמין. וכן לכאורה מבואר מן הרשב"א, שלא התיר אלא דבר חריף בצונן, אבל להשתמש בה חמין לא מהני נעיצה. </w:t>
      </w:r>
      <w:r w:rsidR="00A35C5C" w:rsidRPr="00882F11">
        <w:rPr>
          <w:rFonts w:cs="Guttman Drogolin" w:hint="cs"/>
          <w:rtl/>
          <w:lang w:bidi="he-IL"/>
        </w:rPr>
        <w:t>ו</w:t>
      </w:r>
      <w:r w:rsidR="00C935A7" w:rsidRPr="00882F11">
        <w:rPr>
          <w:rFonts w:cs="Guttman Drogolin" w:hint="cs"/>
          <w:rtl/>
          <w:lang w:bidi="he-IL"/>
        </w:rPr>
        <w:t xml:space="preserve">מ"מ </w:t>
      </w:r>
      <w:r w:rsidR="00A35C5C" w:rsidRPr="00882F11">
        <w:rPr>
          <w:rFonts w:cs="Guttman Drogolin" w:hint="cs"/>
          <w:rtl/>
          <w:lang w:bidi="he-IL"/>
        </w:rPr>
        <w:t>יש להבין למה זה מוציא, ולכאורה דברי הרא"ה מובנים היטב מסברא. וכל הענין עדיין צ"ע.</w:t>
      </w:r>
    </w:p>
    <w:p w:rsidR="00A86A69" w:rsidRPr="00882F11" w:rsidRDefault="00A35C5C" w:rsidP="00A35C5C">
      <w:pPr>
        <w:tabs>
          <w:tab w:val="right" w:pos="7497"/>
        </w:tabs>
        <w:bidi/>
        <w:jc w:val="both"/>
        <w:rPr>
          <w:rFonts w:cs="Guttman Drogolin"/>
          <w:rtl/>
          <w:lang w:bidi="he-IL"/>
        </w:rPr>
      </w:pPr>
      <w:r w:rsidRPr="00882F11">
        <w:rPr>
          <w:rFonts w:cs="Guttman Drogolin" w:hint="cs"/>
          <w:rtl/>
          <w:lang w:bidi="he-IL"/>
        </w:rPr>
        <w:t xml:space="preserve">והנה יהי' איך שיהי, מ"מ לכאורה יש לנו גמ' מפורשת דמהני נעיצה י' פעמים בקרקע לתחוך לכה"פ אתרוג, אבל להקל בשאר דברים חריפים לכאורה י"ל שטעם גמ' דילן משום דסבר דאתרוג אינו חריף וכמו שצידד הבית מאיר הנ"ל. </w:t>
      </w:r>
      <w:r w:rsidR="00897C51" w:rsidRPr="00882F11">
        <w:rPr>
          <w:rFonts w:cs="Guttman Drogolin" w:hint="cs"/>
          <w:rtl/>
          <w:lang w:bidi="he-IL"/>
        </w:rPr>
        <w:t xml:space="preserve"> </w:t>
      </w:r>
    </w:p>
    <w:p w:rsidR="00EC40BE" w:rsidRPr="00882F11" w:rsidRDefault="00A86A69" w:rsidP="0054514F">
      <w:pPr>
        <w:tabs>
          <w:tab w:val="right" w:pos="7497"/>
        </w:tabs>
        <w:bidi/>
        <w:jc w:val="both"/>
        <w:rPr>
          <w:rFonts w:cs="Guttman Drogolin"/>
        </w:rPr>
      </w:pPr>
      <w:r w:rsidRPr="00882F11">
        <w:rPr>
          <w:rFonts w:cs="Guttman Drogolin" w:hint="cs"/>
          <w:rtl/>
          <w:lang w:bidi="he-IL"/>
        </w:rPr>
        <w:t xml:space="preserve">ועוד דנו הראשונים אם לא מהני שיפה לחמין איזה הכשר צריכים, ויש בזה סתירה בסוגיות הגמ'. ויש ב' שיטות עיקריות ביישוב הסוגיות. א' מהם שיש לחלק בין היתירא בלע לאיסורא בלע. ויסוד חילוק זה מתבאר בסוגיית הגמ' שדף ע"ו ע"א, ושם נאריך בה יותר בעזהי"ת. עוד חילוק כתבו לחלק בין רוב תשמישתו למיעוט תשמישתו. ורמ"ע מפאנו </w:t>
      </w:r>
      <w:r w:rsidR="00814A34">
        <w:rPr>
          <w:rFonts w:cs="Guttman Drogolin" w:hint="cs"/>
          <w:rtl/>
          <w:lang w:bidi="he-IL"/>
        </w:rPr>
        <w:t xml:space="preserve">ורשב"א </w:t>
      </w:r>
      <w:r w:rsidRPr="00882F11">
        <w:rPr>
          <w:rFonts w:cs="Guttman Drogolin" w:hint="cs"/>
          <w:rtl/>
          <w:lang w:bidi="he-IL"/>
        </w:rPr>
        <w:t>פי' טעם היתר זה משום דמיירי בכלי אינו בן יומו, וכיון שאינו אלא</w:t>
      </w:r>
      <w:r w:rsidR="004C7F52">
        <w:rPr>
          <w:rFonts w:cs="Guttman Drogolin" w:hint="cs"/>
          <w:rtl/>
          <w:lang w:bidi="he-IL"/>
        </w:rPr>
        <w:t xml:space="preserve"> תקנה מדרבנן הקילו להכשיר כרוב </w:t>
      </w:r>
      <w:r w:rsidRPr="00882F11">
        <w:rPr>
          <w:rFonts w:cs="Guttman Drogolin" w:hint="cs"/>
          <w:rtl/>
          <w:lang w:bidi="he-IL"/>
        </w:rPr>
        <w:t>ת</w:t>
      </w:r>
      <w:r w:rsidR="004C7F52">
        <w:rPr>
          <w:rFonts w:cs="Guttman Drogolin" w:hint="cs"/>
          <w:rtl/>
          <w:lang w:bidi="he-IL"/>
        </w:rPr>
        <w:t>ש</w:t>
      </w:r>
      <w:r w:rsidRPr="00882F11">
        <w:rPr>
          <w:rFonts w:cs="Guttman Drogolin" w:hint="cs"/>
          <w:rtl/>
          <w:lang w:bidi="he-IL"/>
        </w:rPr>
        <w:t xml:space="preserve">מישתו.  </w:t>
      </w:r>
      <w:r w:rsidR="00E0146B" w:rsidRPr="00882F11">
        <w:rPr>
          <w:rFonts w:cs="Guttman Drogolin" w:hint="cs"/>
          <w:rtl/>
          <w:lang w:bidi="he-IL"/>
        </w:rPr>
        <w:t xml:space="preserve"> </w:t>
      </w:r>
      <w:r w:rsidR="00637770" w:rsidRPr="00882F11">
        <w:rPr>
          <w:rFonts w:cs="Guttman Drogolin" w:hint="cs"/>
          <w:rtl/>
          <w:lang w:bidi="he-IL"/>
        </w:rPr>
        <w:t xml:space="preserve"> </w:t>
      </w:r>
      <w:r w:rsidR="00637770" w:rsidRPr="00882F11">
        <w:rPr>
          <w:rFonts w:cs="Guttman Drogolin"/>
          <w:rtl/>
          <w:lang w:bidi="he-IL"/>
        </w:rPr>
        <w:t xml:space="preserve"> </w:t>
      </w:r>
      <w:r w:rsidR="00637770" w:rsidRPr="00882F11">
        <w:rPr>
          <w:rFonts w:cs="Guttman Drogolin" w:hint="cs"/>
          <w:rtl/>
          <w:lang w:bidi="he-IL"/>
        </w:rPr>
        <w:t xml:space="preserve">  </w:t>
      </w:r>
      <w:r w:rsidR="00A35AB8" w:rsidRPr="00882F11">
        <w:rPr>
          <w:rFonts w:cs="Guttman Drogolin" w:hint="cs"/>
          <w:rtl/>
          <w:lang w:bidi="he-IL"/>
        </w:rPr>
        <w:t xml:space="preserve"> </w:t>
      </w:r>
      <w:r w:rsidR="00EC40BE" w:rsidRPr="00882F11">
        <w:rPr>
          <w:rFonts w:cs="Guttman Drogolin" w:hint="cs"/>
          <w:rtl/>
          <w:lang w:bidi="he-IL"/>
        </w:rPr>
        <w:t xml:space="preserve"> </w:t>
      </w:r>
    </w:p>
    <w:p w:rsidR="00A86A69" w:rsidRPr="00882F11" w:rsidRDefault="00A86A69" w:rsidP="00D0129A">
      <w:pPr>
        <w:tabs>
          <w:tab w:val="right" w:pos="7497"/>
        </w:tabs>
        <w:bidi/>
        <w:jc w:val="both"/>
        <w:rPr>
          <w:rFonts w:cs="Times New Roman"/>
          <w:rtl/>
        </w:rPr>
        <w:sectPr w:rsidR="00A86A69" w:rsidRPr="00882F11" w:rsidSect="00153315">
          <w:type w:val="continuous"/>
          <w:pgSz w:w="11907" w:h="16839" w:code="9"/>
          <w:pgMar w:top="1440" w:right="1440" w:bottom="1440" w:left="1440" w:header="720" w:footer="720" w:gutter="0"/>
          <w:cols w:num="2" w:space="720"/>
          <w:bidi/>
          <w:docGrid w:linePitch="360"/>
        </w:sectPr>
      </w:pPr>
    </w:p>
    <w:p w:rsidR="00A86A69" w:rsidRPr="00C32744" w:rsidRDefault="00A86A69" w:rsidP="00A86A69">
      <w:pPr>
        <w:keepNext/>
        <w:tabs>
          <w:tab w:val="left" w:pos="3818"/>
          <w:tab w:val="center" w:pos="4680"/>
        </w:tabs>
        <w:bidi/>
        <w:jc w:val="center"/>
        <w:rPr>
          <w:rFonts w:cs="Guttman Drogolin"/>
          <w:b/>
          <w:bCs/>
          <w:sz w:val="48"/>
          <w:szCs w:val="48"/>
          <w:rtl/>
          <w:lang w:bidi="he-IL"/>
        </w:rPr>
      </w:pPr>
      <w:r w:rsidRPr="00C32744">
        <w:rPr>
          <w:rFonts w:cs="Guttman Drogolin" w:hint="cs"/>
          <w:b/>
          <w:bCs/>
          <w:sz w:val="48"/>
          <w:szCs w:val="48"/>
          <w:rtl/>
          <w:lang w:bidi="he-IL"/>
        </w:rPr>
        <w:lastRenderedPageBreak/>
        <w:t>שיעור קכ"ה</w:t>
      </w:r>
    </w:p>
    <w:p w:rsidR="00C32744" w:rsidRDefault="00C32744" w:rsidP="00A86A69">
      <w:pPr>
        <w:pStyle w:val="Heading1"/>
        <w:bidi/>
        <w:spacing w:before="0" w:line="360" w:lineRule="auto"/>
        <w:jc w:val="center"/>
        <w:rPr>
          <w:rFonts w:cs="Guttman Drogolin"/>
          <w:color w:val="auto"/>
          <w:sz w:val="24"/>
          <w:szCs w:val="24"/>
          <w:u w:val="single"/>
          <w:rtl/>
          <w:lang w:bidi="he-IL"/>
        </w:rPr>
        <w:sectPr w:rsidR="00C32744" w:rsidSect="00C32744">
          <w:pgSz w:w="11907" w:h="16839" w:code="9"/>
          <w:pgMar w:top="1440" w:right="1440" w:bottom="1440" w:left="1440" w:header="720" w:footer="720" w:gutter="0"/>
          <w:cols w:space="720"/>
          <w:bidi/>
          <w:docGrid w:linePitch="360"/>
        </w:sectPr>
      </w:pPr>
    </w:p>
    <w:p w:rsidR="00A86A69" w:rsidRPr="00882F11" w:rsidRDefault="00A86A69" w:rsidP="00A86A69">
      <w:pPr>
        <w:pStyle w:val="Heading1"/>
        <w:bidi/>
        <w:spacing w:before="0" w:line="360" w:lineRule="auto"/>
        <w:jc w:val="center"/>
        <w:rPr>
          <w:rFonts w:cs="Guttman Drogolin"/>
          <w:color w:val="auto"/>
          <w:sz w:val="24"/>
          <w:szCs w:val="24"/>
          <w:u w:val="single"/>
          <w:rtl/>
          <w:lang w:bidi="he-IL"/>
        </w:rPr>
      </w:pPr>
      <w:bookmarkStart w:id="488" w:name="_Toc496175732"/>
      <w:r w:rsidRPr="00882F11">
        <w:rPr>
          <w:rFonts w:cs="Guttman Drogolin" w:hint="cs"/>
          <w:color w:val="auto"/>
          <w:sz w:val="24"/>
          <w:szCs w:val="24"/>
          <w:u w:val="single"/>
          <w:rtl/>
          <w:lang w:bidi="he-IL"/>
        </w:rPr>
        <w:lastRenderedPageBreak/>
        <w:t>דיני הדחה</w:t>
      </w:r>
      <w:bookmarkEnd w:id="488"/>
    </w:p>
    <w:p w:rsidR="00D0129A" w:rsidRPr="00882F11" w:rsidRDefault="00A86A69" w:rsidP="00A86A69">
      <w:pPr>
        <w:tabs>
          <w:tab w:val="right" w:pos="7497"/>
        </w:tabs>
        <w:bidi/>
        <w:jc w:val="both"/>
        <w:rPr>
          <w:rFonts w:cs="Guttman Drogolin"/>
          <w:rtl/>
          <w:lang w:bidi="he-IL"/>
        </w:rPr>
      </w:pPr>
      <w:r w:rsidRPr="00882F11">
        <w:rPr>
          <w:rFonts w:cs="Guttman Drogolin" w:hint="cs"/>
          <w:rtl/>
          <w:lang w:bidi="he-IL"/>
        </w:rPr>
        <w:t>כתוב במתני' שבדף ע"ה ע"ב "הסכין שפה והיא טהורה</w:t>
      </w:r>
    </w:p>
    <w:p w:rsidR="00A86A69" w:rsidRPr="00882F11" w:rsidRDefault="00A86A69" w:rsidP="00A86A69">
      <w:pPr>
        <w:pStyle w:val="Heading1"/>
        <w:bidi/>
        <w:spacing w:before="0" w:line="360" w:lineRule="auto"/>
        <w:jc w:val="center"/>
        <w:rPr>
          <w:rFonts w:cs="Guttman Drogolin"/>
          <w:color w:val="auto"/>
          <w:sz w:val="24"/>
          <w:szCs w:val="24"/>
          <w:u w:val="single"/>
          <w:rtl/>
          <w:lang w:bidi="he-IL"/>
        </w:rPr>
      </w:pPr>
      <w:bookmarkStart w:id="489" w:name="_Toc496175733"/>
      <w:r w:rsidRPr="00882F11">
        <w:rPr>
          <w:rFonts w:cs="Guttman Drogolin" w:hint="cs"/>
          <w:color w:val="auto"/>
          <w:sz w:val="24"/>
          <w:szCs w:val="24"/>
          <w:u w:val="single"/>
          <w:rtl/>
          <w:lang w:bidi="he-IL"/>
        </w:rPr>
        <w:t>גדרי הגזירה דהכשר כלי שאינו בן יומו</w:t>
      </w:r>
      <w:bookmarkEnd w:id="489"/>
    </w:p>
    <w:p w:rsidR="00A86A69" w:rsidRPr="00882F11" w:rsidRDefault="00A86A69" w:rsidP="00A86A69">
      <w:pPr>
        <w:tabs>
          <w:tab w:val="right" w:pos="7497"/>
        </w:tabs>
        <w:bidi/>
        <w:jc w:val="both"/>
        <w:rPr>
          <w:rFonts w:cs="Guttman Drogolin"/>
          <w:rtl/>
          <w:lang w:bidi="he-IL"/>
        </w:rPr>
      </w:pPr>
      <w:r w:rsidRPr="00882F11">
        <w:rPr>
          <w:rFonts w:cs="Guttman Drogolin" w:hint="cs"/>
          <w:rtl/>
          <w:lang w:bidi="he-IL"/>
        </w:rPr>
        <w:t>כתוב במתני' שבדף ע"ה ע"ב "הסכין שפה והיא טהורה</w:t>
      </w:r>
    </w:p>
    <w:p w:rsidR="00965D2C" w:rsidRPr="00882F11" w:rsidRDefault="00965D2C" w:rsidP="00965D2C">
      <w:pPr>
        <w:tabs>
          <w:tab w:val="right" w:pos="7497"/>
        </w:tabs>
        <w:bidi/>
        <w:jc w:val="both"/>
        <w:rPr>
          <w:rFonts w:cs="Times New Roman"/>
          <w:rtl/>
        </w:rPr>
        <w:sectPr w:rsidR="00965D2C" w:rsidRPr="00882F11" w:rsidSect="00C32744">
          <w:type w:val="continuous"/>
          <w:pgSz w:w="11907" w:h="16839" w:code="9"/>
          <w:pgMar w:top="1440" w:right="1440" w:bottom="1440" w:left="1440" w:header="720" w:footer="720" w:gutter="0"/>
          <w:cols w:num="2" w:space="720"/>
          <w:bidi/>
          <w:docGrid w:linePitch="360"/>
        </w:sectPr>
      </w:pPr>
    </w:p>
    <w:p w:rsidR="00965D2C" w:rsidRPr="00882F11" w:rsidRDefault="00965D2C" w:rsidP="00965D2C">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קכ"ו</w:t>
      </w:r>
    </w:p>
    <w:p w:rsidR="00C32744" w:rsidRDefault="00C32744" w:rsidP="00965D2C">
      <w:pPr>
        <w:pStyle w:val="Heading1"/>
        <w:bidi/>
        <w:spacing w:before="0" w:line="360" w:lineRule="auto"/>
        <w:jc w:val="center"/>
        <w:rPr>
          <w:rFonts w:cs="Guttman Drogolin"/>
          <w:color w:val="auto"/>
          <w:sz w:val="24"/>
          <w:szCs w:val="24"/>
          <w:u w:val="single"/>
          <w:rtl/>
          <w:lang w:bidi="he-IL"/>
        </w:rPr>
        <w:sectPr w:rsidR="00C32744" w:rsidSect="00C32744">
          <w:headerReference w:type="default" r:id="rId91"/>
          <w:pgSz w:w="11907" w:h="16839" w:code="9"/>
          <w:pgMar w:top="1440" w:right="1440" w:bottom="1440" w:left="1440" w:header="720" w:footer="720" w:gutter="0"/>
          <w:cols w:space="720"/>
          <w:bidi/>
          <w:docGrid w:linePitch="360"/>
        </w:sectPr>
      </w:pPr>
    </w:p>
    <w:p w:rsidR="00965D2C" w:rsidRPr="00C32744" w:rsidRDefault="00965D2C" w:rsidP="00C32744">
      <w:pPr>
        <w:pStyle w:val="Heading1"/>
        <w:bidi/>
        <w:spacing w:before="0" w:line="240" w:lineRule="auto"/>
        <w:jc w:val="center"/>
        <w:rPr>
          <w:rFonts w:cs="Guttman Drogolin"/>
          <w:color w:val="auto"/>
          <w:sz w:val="24"/>
          <w:szCs w:val="24"/>
          <w:u w:val="single"/>
          <w:rtl/>
          <w:lang w:bidi="he-IL"/>
        </w:rPr>
      </w:pPr>
      <w:bookmarkStart w:id="490" w:name="_Toc496175734"/>
      <w:r w:rsidRPr="00C32744">
        <w:rPr>
          <w:rFonts w:cs="Guttman Drogolin" w:hint="cs"/>
          <w:color w:val="auto"/>
          <w:sz w:val="24"/>
          <w:szCs w:val="24"/>
          <w:u w:val="single"/>
          <w:rtl/>
          <w:lang w:bidi="he-IL"/>
        </w:rPr>
        <w:lastRenderedPageBreak/>
        <w:t>קושיית הגמ' בסתירה שבין המתני' שבמס' זבחים למתני</w:t>
      </w:r>
      <w:r w:rsidR="000E1CF8" w:rsidRPr="00C32744">
        <w:rPr>
          <w:rFonts w:cs="Guttman Drogolin" w:hint="cs"/>
          <w:color w:val="auto"/>
          <w:sz w:val="24"/>
          <w:szCs w:val="24"/>
          <w:u w:val="single"/>
          <w:rtl/>
          <w:lang w:bidi="he-IL"/>
        </w:rPr>
        <w:t>'</w:t>
      </w:r>
      <w:r w:rsidRPr="00C32744">
        <w:rPr>
          <w:rFonts w:cs="Guttman Drogolin" w:hint="cs"/>
          <w:color w:val="auto"/>
          <w:sz w:val="24"/>
          <w:szCs w:val="24"/>
          <w:u w:val="single"/>
          <w:rtl/>
          <w:lang w:bidi="he-IL"/>
        </w:rPr>
        <w:t xml:space="preserve"> כאן</w:t>
      </w:r>
      <w:bookmarkEnd w:id="490"/>
    </w:p>
    <w:p w:rsidR="00965D2C" w:rsidRPr="00882F11" w:rsidRDefault="006740EF" w:rsidP="00965D2C">
      <w:pPr>
        <w:tabs>
          <w:tab w:val="left" w:pos="4002"/>
        </w:tabs>
        <w:bidi/>
        <w:jc w:val="both"/>
        <w:rPr>
          <w:rFonts w:cs="Guttman Drogolin"/>
          <w:rtl/>
          <w:lang w:bidi="he-IL"/>
        </w:rPr>
      </w:pPr>
      <w:r>
        <w:rPr>
          <w:rFonts w:cs="Guttman Drogolin"/>
          <w:rtl/>
          <w:lang w:bidi="he-IL"/>
        </w:rPr>
        <w:fldChar w:fldCharType="begin"/>
      </w:r>
      <w:r>
        <w:instrText xml:space="preserve"> XE "</w:instrText>
      </w:r>
      <w:r w:rsidRPr="00222274">
        <w:rPr>
          <w:rFonts w:hint="cs"/>
          <w:rtl/>
          <w:lang w:bidi="he-IL"/>
        </w:rPr>
        <w:instrText>הכשר כלים</w:instrText>
      </w:r>
      <w:r w:rsidRPr="00222274">
        <w:rPr>
          <w:rtl/>
        </w:rPr>
        <w:instrText>:</w:instrText>
      </w:r>
      <w:r w:rsidRPr="00222274">
        <w:rPr>
          <w:rFonts w:hint="cs"/>
          <w:rtl/>
          <w:lang w:bidi="he-IL"/>
        </w:rPr>
        <w:instrText>הכשר שפוד ואסכלא</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EA46C5">
        <w:rPr>
          <w:rFonts w:hint="cs"/>
          <w:rtl/>
          <w:lang w:bidi="he-IL"/>
        </w:rPr>
        <w:instrText>הכשר כלים</w:instrText>
      </w:r>
      <w:r w:rsidRPr="00EA46C5">
        <w:rPr>
          <w:rtl/>
        </w:rPr>
        <w:instrText>:</w:instrText>
      </w:r>
      <w:r w:rsidRPr="00EA46C5">
        <w:rPr>
          <w:rFonts w:hint="cs"/>
          <w:rtl/>
          <w:lang w:bidi="he-IL"/>
        </w:rPr>
        <w:instrText>כל יום נעשה גיעול לחבירו</w:instrText>
      </w:r>
      <w:r>
        <w:instrText xml:space="preserve">" </w:instrText>
      </w:r>
      <w:r>
        <w:rPr>
          <w:rFonts w:cs="Guttman Drogolin"/>
          <w:rtl/>
          <w:lang w:bidi="he-IL"/>
        </w:rPr>
        <w:fldChar w:fldCharType="end"/>
      </w:r>
      <w:r w:rsidR="00965D2C" w:rsidRPr="00882F11">
        <w:rPr>
          <w:rFonts w:cs="Guttman Drogolin" w:hint="cs"/>
          <w:rtl/>
          <w:lang w:bidi="he-IL"/>
        </w:rPr>
        <w:t>במתני' כאן מבואר שבשפוד ואסכלא הנקחין מן העכו"ם חייבים להכשיר אותם בליבון קודם שתשתמש בה היתר. והגמ' מקשה סתירה, שהרי במס' זבחים לכאורה מבואר שהדין הוא להכשירם בהגעלה. ולשון הגמ' כאן משמע שאין הקושיא במסוים על המתני' דמס' זבחים, שלעצמו אפשר להבין אותו, דאע"ג דהנהו תשמישתן ע"י האור, מ"מ ע"י הגעלה הרי הוא מכשיר אותו לתשמיש. אמנם לשון רש"י במס' זבחים (צ"ז ע"א ד"ה האסכלא) משמע שגם הדין קשה להבין אותו, שלכאורה דבר שתמשיתו ע"י האור חייב ליבון, למה יהא הדין בזבחים שהכשרו בהגעלה.</w:t>
      </w:r>
    </w:p>
    <w:p w:rsidR="00DE66EA" w:rsidRPr="00882F11" w:rsidRDefault="00965D2C" w:rsidP="00DE66EA">
      <w:pPr>
        <w:tabs>
          <w:tab w:val="right" w:pos="7497"/>
        </w:tabs>
        <w:bidi/>
        <w:jc w:val="both"/>
        <w:rPr>
          <w:rFonts w:cs="Guttman Drogolin"/>
          <w:rtl/>
          <w:lang w:bidi="he-IL"/>
        </w:rPr>
      </w:pPr>
      <w:r w:rsidRPr="00882F11">
        <w:rPr>
          <w:rFonts w:cs="Guttman Drogolin" w:hint="cs"/>
          <w:rtl/>
          <w:lang w:bidi="he-IL"/>
        </w:rPr>
        <w:t>וכדי לעמוד על פירוש סוגיא דידן לכאורה יש להקדים פי' הסוגיא שמס' זבחים. דהנה שם במתני' (צ"ו ע"ב) "רבי</w:t>
      </w:r>
      <w:r w:rsidRPr="00882F11">
        <w:rPr>
          <w:rFonts w:cs="Guttman Drogolin"/>
          <w:rtl/>
          <w:lang w:bidi="he-IL"/>
        </w:rPr>
        <w:t xml:space="preserve"> </w:t>
      </w:r>
      <w:r w:rsidRPr="00882F11">
        <w:rPr>
          <w:rFonts w:cs="Guttman Drogolin" w:hint="cs"/>
          <w:rtl/>
          <w:lang w:bidi="he-IL"/>
        </w:rPr>
        <w:t>טרפון</w:t>
      </w:r>
      <w:r w:rsidRPr="00882F11">
        <w:rPr>
          <w:rFonts w:cs="Guttman Drogolin"/>
          <w:rtl/>
          <w:lang w:bidi="he-IL"/>
        </w:rPr>
        <w:t xml:space="preserve"> </w:t>
      </w:r>
      <w:r w:rsidRPr="00882F11">
        <w:rPr>
          <w:rFonts w:cs="Guttman Drogolin" w:hint="cs"/>
          <w:rtl/>
          <w:lang w:bidi="he-IL"/>
        </w:rPr>
        <w:t>אומר</w:t>
      </w:r>
      <w:r w:rsidRPr="00882F11">
        <w:rPr>
          <w:rFonts w:cs="Guttman Drogolin"/>
          <w:rtl/>
          <w:lang w:bidi="he-IL"/>
        </w:rPr>
        <w:t xml:space="preserve"> </w:t>
      </w:r>
      <w:r w:rsidRPr="00882F11">
        <w:rPr>
          <w:rFonts w:cs="Guttman Drogolin" w:hint="cs"/>
          <w:rtl/>
          <w:lang w:bidi="he-IL"/>
        </w:rPr>
        <w:t>בישל</w:t>
      </w:r>
      <w:r w:rsidRPr="00882F11">
        <w:rPr>
          <w:rFonts w:cs="Guttman Drogolin"/>
          <w:rtl/>
          <w:lang w:bidi="he-IL"/>
        </w:rPr>
        <w:t xml:space="preserve"> </w:t>
      </w:r>
      <w:r w:rsidRPr="00882F11">
        <w:rPr>
          <w:rFonts w:cs="Guttman Drogolin" w:hint="cs"/>
          <w:rtl/>
          <w:lang w:bidi="he-IL"/>
        </w:rPr>
        <w:t>מתחילת</w:t>
      </w:r>
      <w:r w:rsidRPr="00882F11">
        <w:rPr>
          <w:rFonts w:cs="Guttman Drogolin"/>
          <w:rtl/>
          <w:lang w:bidi="he-IL"/>
        </w:rPr>
        <w:t xml:space="preserve"> </w:t>
      </w:r>
      <w:r w:rsidRPr="00882F11">
        <w:rPr>
          <w:rFonts w:cs="Guttman Drogolin" w:hint="cs"/>
          <w:rtl/>
          <w:lang w:bidi="he-IL"/>
        </w:rPr>
        <w:t>הרגל</w:t>
      </w:r>
      <w:r w:rsidRPr="00882F11">
        <w:rPr>
          <w:rFonts w:cs="Guttman Drogolin"/>
          <w:rtl/>
          <w:lang w:bidi="he-IL"/>
        </w:rPr>
        <w:t xml:space="preserve"> </w:t>
      </w:r>
      <w:r w:rsidRPr="00882F11">
        <w:rPr>
          <w:rFonts w:cs="Guttman Drogolin" w:hint="cs"/>
          <w:rtl/>
          <w:lang w:bidi="he-IL"/>
        </w:rPr>
        <w:t>יבשל</w:t>
      </w:r>
      <w:r w:rsidRPr="00882F11">
        <w:rPr>
          <w:rFonts w:cs="Guttman Drogolin"/>
          <w:rtl/>
          <w:lang w:bidi="he-IL"/>
        </w:rPr>
        <w:t xml:space="preserve"> </w:t>
      </w:r>
      <w:r w:rsidRPr="00882F11">
        <w:rPr>
          <w:rFonts w:cs="Guttman Drogolin" w:hint="cs"/>
          <w:rtl/>
          <w:lang w:bidi="he-IL"/>
        </w:rPr>
        <w:t>בו</w:t>
      </w:r>
      <w:r w:rsidRPr="00882F11">
        <w:rPr>
          <w:rFonts w:cs="Guttman Drogolin"/>
          <w:rtl/>
          <w:lang w:bidi="he-IL"/>
        </w:rPr>
        <w:t xml:space="preserve"> </w:t>
      </w:r>
      <w:r w:rsidRPr="00882F11">
        <w:rPr>
          <w:rFonts w:cs="Guttman Drogolin" w:hint="cs"/>
          <w:rtl/>
          <w:lang w:bidi="he-IL"/>
        </w:rPr>
        <w:t>כל</w:t>
      </w:r>
      <w:r w:rsidRPr="00882F11">
        <w:rPr>
          <w:rFonts w:cs="Guttman Drogolin"/>
          <w:rtl/>
          <w:lang w:bidi="he-IL"/>
        </w:rPr>
        <w:t xml:space="preserve"> </w:t>
      </w:r>
      <w:r w:rsidRPr="00882F11">
        <w:rPr>
          <w:rFonts w:cs="Guttman Drogolin" w:hint="cs"/>
          <w:rtl/>
          <w:lang w:bidi="he-IL"/>
        </w:rPr>
        <w:t>הרגל</w:t>
      </w:r>
      <w:r w:rsidRPr="00882F11">
        <w:rPr>
          <w:rFonts w:cs="Guttman Drogolin"/>
          <w:rtl/>
          <w:lang w:bidi="he-IL"/>
        </w:rPr>
        <w:t xml:space="preserve"> </w:t>
      </w:r>
      <w:r w:rsidRPr="00882F11">
        <w:rPr>
          <w:rFonts w:cs="Guttman Drogolin" w:hint="cs"/>
          <w:rtl/>
          <w:lang w:bidi="he-IL"/>
        </w:rPr>
        <w:t>וחכ</w:t>
      </w:r>
      <w:r w:rsidRPr="00882F11">
        <w:rPr>
          <w:rFonts w:cs="Guttman Drogolin"/>
          <w:rtl/>
          <w:lang w:bidi="he-IL"/>
        </w:rPr>
        <w:t>"</w:t>
      </w:r>
      <w:r w:rsidRPr="00882F11">
        <w:rPr>
          <w:rFonts w:cs="Guttman Drogolin" w:hint="cs"/>
          <w:rtl/>
          <w:lang w:bidi="he-IL"/>
        </w:rPr>
        <w:t>א</w:t>
      </w:r>
      <w:r w:rsidRPr="00882F11">
        <w:rPr>
          <w:rFonts w:cs="Guttman Drogolin"/>
          <w:rtl/>
          <w:lang w:bidi="he-IL"/>
        </w:rPr>
        <w:t xml:space="preserve"> </w:t>
      </w:r>
      <w:r w:rsidRPr="00882F11">
        <w:rPr>
          <w:rFonts w:cs="Guttman Drogolin" w:hint="cs"/>
          <w:rtl/>
          <w:lang w:bidi="he-IL"/>
        </w:rPr>
        <w:t>עד</w:t>
      </w:r>
      <w:r w:rsidRPr="00882F11">
        <w:rPr>
          <w:rFonts w:cs="Guttman Drogolin"/>
          <w:rtl/>
          <w:lang w:bidi="he-IL"/>
        </w:rPr>
        <w:t xml:space="preserve"> </w:t>
      </w:r>
      <w:r w:rsidRPr="00882F11">
        <w:rPr>
          <w:rFonts w:cs="Guttman Drogolin" w:hint="cs"/>
          <w:rtl/>
          <w:lang w:bidi="he-IL"/>
        </w:rPr>
        <w:t>זמן</w:t>
      </w:r>
      <w:r w:rsidRPr="00882F11">
        <w:rPr>
          <w:rFonts w:cs="Guttman Drogolin"/>
          <w:rtl/>
          <w:lang w:bidi="he-IL"/>
        </w:rPr>
        <w:t xml:space="preserve"> </w:t>
      </w:r>
      <w:r w:rsidRPr="00882F11">
        <w:rPr>
          <w:rFonts w:cs="Guttman Drogolin" w:hint="cs"/>
          <w:rtl/>
          <w:lang w:bidi="he-IL"/>
        </w:rPr>
        <w:t>אכילה</w:t>
      </w:r>
      <w:r w:rsidRPr="00882F11">
        <w:rPr>
          <w:rFonts w:cs="Guttman Drogolin"/>
          <w:rtl/>
          <w:lang w:bidi="he-IL"/>
        </w:rPr>
        <w:t xml:space="preserve"> </w:t>
      </w:r>
      <w:r w:rsidRPr="00882F11">
        <w:rPr>
          <w:rFonts w:cs="Guttman Drogolin" w:hint="cs"/>
          <w:rtl/>
          <w:lang w:bidi="he-IL"/>
        </w:rPr>
        <w:t>מריקה</w:t>
      </w:r>
      <w:r w:rsidRPr="00882F11">
        <w:rPr>
          <w:rFonts w:cs="Guttman Drogolin"/>
          <w:rtl/>
          <w:lang w:bidi="he-IL"/>
        </w:rPr>
        <w:t xml:space="preserve"> </w:t>
      </w:r>
      <w:r w:rsidRPr="00882F11">
        <w:rPr>
          <w:rFonts w:cs="Guttman Drogolin" w:hint="cs"/>
          <w:rtl/>
          <w:lang w:bidi="he-IL"/>
        </w:rPr>
        <w:t>ושטיפה</w:t>
      </w:r>
      <w:r w:rsidRPr="00882F11">
        <w:rPr>
          <w:rFonts w:cs="Guttman Drogolin"/>
          <w:rtl/>
          <w:lang w:bidi="he-IL"/>
        </w:rPr>
        <w:t xml:space="preserve"> </w:t>
      </w:r>
      <w:r w:rsidRPr="00882F11">
        <w:rPr>
          <w:rFonts w:cs="Guttman Drogolin" w:hint="cs"/>
          <w:rtl/>
          <w:lang w:bidi="he-IL"/>
        </w:rPr>
        <w:t>מריקה</w:t>
      </w:r>
      <w:r w:rsidRPr="00882F11">
        <w:rPr>
          <w:rFonts w:cs="Guttman Drogolin"/>
          <w:rtl/>
          <w:lang w:bidi="he-IL"/>
        </w:rPr>
        <w:t xml:space="preserve"> </w:t>
      </w:r>
      <w:r w:rsidRPr="00882F11">
        <w:rPr>
          <w:rFonts w:cs="Guttman Drogolin" w:hint="cs"/>
          <w:rtl/>
          <w:lang w:bidi="he-IL"/>
        </w:rPr>
        <w:t>כמריקת</w:t>
      </w:r>
      <w:r w:rsidRPr="00882F11">
        <w:rPr>
          <w:rFonts w:cs="Guttman Drogolin"/>
          <w:rtl/>
          <w:lang w:bidi="he-IL"/>
        </w:rPr>
        <w:t xml:space="preserve"> </w:t>
      </w:r>
      <w:r w:rsidRPr="00882F11">
        <w:rPr>
          <w:rFonts w:cs="Guttman Drogolin" w:hint="cs"/>
          <w:rtl/>
          <w:lang w:bidi="he-IL"/>
        </w:rPr>
        <w:t>הכוס</w:t>
      </w:r>
      <w:r w:rsidRPr="00882F11">
        <w:rPr>
          <w:rFonts w:cs="Guttman Drogolin"/>
          <w:rtl/>
          <w:lang w:bidi="he-IL"/>
        </w:rPr>
        <w:t xml:space="preserve"> </w:t>
      </w:r>
      <w:r w:rsidRPr="00882F11">
        <w:rPr>
          <w:rFonts w:cs="Guttman Drogolin" w:hint="cs"/>
          <w:rtl/>
          <w:lang w:bidi="he-IL"/>
        </w:rPr>
        <w:t>ושטיפה</w:t>
      </w:r>
      <w:r w:rsidRPr="00882F11">
        <w:rPr>
          <w:rFonts w:cs="Guttman Drogolin"/>
          <w:rtl/>
          <w:lang w:bidi="he-IL"/>
        </w:rPr>
        <w:t xml:space="preserve"> </w:t>
      </w:r>
      <w:r w:rsidRPr="00882F11">
        <w:rPr>
          <w:rFonts w:cs="Guttman Drogolin" w:hint="cs"/>
          <w:rtl/>
          <w:lang w:bidi="he-IL"/>
        </w:rPr>
        <w:t>כשטיפת</w:t>
      </w:r>
      <w:r w:rsidRPr="00882F11">
        <w:rPr>
          <w:rFonts w:cs="Guttman Drogolin"/>
          <w:rtl/>
          <w:lang w:bidi="he-IL"/>
        </w:rPr>
        <w:t xml:space="preserve"> </w:t>
      </w:r>
      <w:r w:rsidRPr="00882F11">
        <w:rPr>
          <w:rFonts w:cs="Guttman Drogolin" w:hint="cs"/>
          <w:rtl/>
          <w:lang w:bidi="he-IL"/>
        </w:rPr>
        <w:t>הכוס</w:t>
      </w:r>
      <w:r w:rsidRPr="00882F11">
        <w:rPr>
          <w:rFonts w:cs="Guttman Drogolin"/>
          <w:rtl/>
          <w:lang w:bidi="he-IL"/>
        </w:rPr>
        <w:t xml:space="preserve"> </w:t>
      </w:r>
      <w:r w:rsidRPr="00882F11">
        <w:rPr>
          <w:rFonts w:cs="Guttman Drogolin" w:hint="cs"/>
          <w:rtl/>
          <w:lang w:bidi="he-IL"/>
        </w:rPr>
        <w:t>מריקה</w:t>
      </w:r>
      <w:r w:rsidRPr="00882F11">
        <w:rPr>
          <w:rFonts w:cs="Guttman Drogolin"/>
          <w:rtl/>
          <w:lang w:bidi="he-IL"/>
        </w:rPr>
        <w:t xml:space="preserve"> </w:t>
      </w:r>
      <w:r w:rsidRPr="00882F11">
        <w:rPr>
          <w:rFonts w:cs="Guttman Drogolin" w:hint="cs"/>
          <w:rtl/>
          <w:lang w:bidi="he-IL"/>
        </w:rPr>
        <w:t>ושטיפה</w:t>
      </w:r>
      <w:r w:rsidRPr="00882F11">
        <w:rPr>
          <w:rFonts w:cs="Guttman Drogolin"/>
          <w:rtl/>
          <w:lang w:bidi="he-IL"/>
        </w:rPr>
        <w:t xml:space="preserve"> </w:t>
      </w:r>
      <w:r w:rsidRPr="00882F11">
        <w:rPr>
          <w:rFonts w:cs="Guttman Drogolin" w:hint="cs"/>
          <w:rtl/>
          <w:lang w:bidi="he-IL"/>
        </w:rPr>
        <w:t>בצונן</w:t>
      </w:r>
      <w:r w:rsidRPr="00882F11">
        <w:rPr>
          <w:rFonts w:cs="Guttman Drogolin"/>
          <w:rtl/>
          <w:lang w:bidi="he-IL"/>
        </w:rPr>
        <w:t xml:space="preserve"> </w:t>
      </w:r>
      <w:r w:rsidRPr="00882F11">
        <w:rPr>
          <w:rFonts w:cs="Guttman Drogolin" w:hint="cs"/>
          <w:rtl/>
          <w:lang w:bidi="he-IL"/>
        </w:rPr>
        <w:t>השפוד</w:t>
      </w:r>
      <w:r w:rsidRPr="00882F11">
        <w:rPr>
          <w:rFonts w:cs="Guttman Drogolin"/>
          <w:rtl/>
          <w:lang w:bidi="he-IL"/>
        </w:rPr>
        <w:t xml:space="preserve"> </w:t>
      </w:r>
      <w:r w:rsidRPr="00882F11">
        <w:rPr>
          <w:rFonts w:cs="Guttman Drogolin" w:hint="cs"/>
          <w:rtl/>
          <w:lang w:bidi="he-IL"/>
        </w:rPr>
        <w:t>והאסכלא</w:t>
      </w:r>
      <w:r w:rsidRPr="00882F11">
        <w:rPr>
          <w:rFonts w:cs="Guttman Drogolin"/>
          <w:rtl/>
          <w:lang w:bidi="he-IL"/>
        </w:rPr>
        <w:t xml:space="preserve"> </w:t>
      </w:r>
      <w:r w:rsidRPr="00882F11">
        <w:rPr>
          <w:rFonts w:cs="Guttman Drogolin" w:hint="cs"/>
          <w:rtl/>
          <w:lang w:bidi="he-IL"/>
        </w:rPr>
        <w:t>מגעילן</w:t>
      </w:r>
      <w:r w:rsidRPr="00882F11">
        <w:rPr>
          <w:rFonts w:cs="Guttman Drogolin"/>
          <w:rtl/>
          <w:lang w:bidi="he-IL"/>
        </w:rPr>
        <w:t xml:space="preserve"> </w:t>
      </w:r>
      <w:r w:rsidRPr="00882F11">
        <w:rPr>
          <w:rFonts w:cs="Guttman Drogolin" w:hint="cs"/>
          <w:rtl/>
          <w:lang w:bidi="he-IL"/>
        </w:rPr>
        <w:t>בחמין</w:t>
      </w:r>
      <w:r w:rsidR="00B510DB" w:rsidRPr="00882F11">
        <w:rPr>
          <w:rFonts w:cs="Guttman Drogolin" w:hint="cs"/>
          <w:rtl/>
          <w:lang w:bidi="he-IL"/>
        </w:rPr>
        <w:t>". ולמסקנה, הגמ' מבארת טעמו של ר</w:t>
      </w:r>
      <w:r w:rsidRPr="00882F11">
        <w:rPr>
          <w:rFonts w:cs="Guttman Drogolin" w:hint="cs"/>
          <w:rtl/>
          <w:lang w:bidi="he-IL"/>
        </w:rPr>
        <w:t>' טרפון משום שכל י</w:t>
      </w:r>
      <w:r w:rsidR="00B510DB" w:rsidRPr="00882F11">
        <w:rPr>
          <w:rFonts w:cs="Guttman Drogolin" w:hint="cs"/>
          <w:rtl/>
          <w:lang w:bidi="he-IL"/>
        </w:rPr>
        <w:t>ו</w:t>
      </w:r>
      <w:r w:rsidRPr="00882F11">
        <w:rPr>
          <w:rFonts w:cs="Guttman Drogolin" w:hint="cs"/>
          <w:rtl/>
          <w:lang w:bidi="he-IL"/>
        </w:rPr>
        <w:t>ם נעשה גיעול לחבירו. ור"ל שאין חיוב לעשות מריקה ושטיפה עד שיהא הכלי בלוע בנותר, וכיון שכל יום נעשה גיעול לחבירו, לעולם אין הבליעות נעשים נותר עד סוף הרגל, ולכן אין חיוב של מריקה ושטיפה עד אז. ובשיטת חכמים מבארת הגמ' שהוא דרשה מן הכתוב דממתין לה עד זמן אכילה ושוב עביד להו מריקה ושטיפה. וע' קר"א על אתר שפי' לשיטת ר' טרפון חזינן שאין חיוב מריקה ושטיפה אא"כ יעשה נותר, ולכן כיון שכל יום נעשה גיעול לחבירו אין חיוב מריקה ושטיפה, וחכמים חולקים. וע'</w:t>
      </w:r>
      <w:r w:rsidR="00DE66EA" w:rsidRPr="00882F11">
        <w:rPr>
          <w:rFonts w:cs="Guttman Drogolin" w:hint="cs"/>
          <w:rtl/>
          <w:lang w:bidi="he-IL"/>
        </w:rPr>
        <w:t xml:space="preserve"> שם שהסתפק</w:t>
      </w:r>
      <w:r w:rsidRPr="00882F11">
        <w:rPr>
          <w:rFonts w:cs="Guttman Drogolin" w:hint="cs"/>
          <w:rtl/>
          <w:lang w:bidi="he-IL"/>
        </w:rPr>
        <w:t xml:space="preserve"> </w:t>
      </w:r>
      <w:r w:rsidR="00DE66EA" w:rsidRPr="00882F11">
        <w:rPr>
          <w:rFonts w:cs="Guttman Drogolin" w:hint="cs"/>
          <w:rtl/>
          <w:lang w:bidi="he-IL"/>
        </w:rPr>
        <w:t xml:space="preserve">אם גם </w:t>
      </w:r>
      <w:r w:rsidRPr="00882F11">
        <w:rPr>
          <w:rFonts w:cs="Guttman Drogolin" w:hint="cs"/>
          <w:rtl/>
          <w:lang w:bidi="he-IL"/>
        </w:rPr>
        <w:t xml:space="preserve">חכמים </w:t>
      </w:r>
      <w:r w:rsidR="00DE66EA" w:rsidRPr="00882F11">
        <w:rPr>
          <w:rFonts w:cs="Guttman Drogolin" w:hint="cs"/>
          <w:rtl/>
          <w:lang w:bidi="he-IL"/>
        </w:rPr>
        <w:t xml:space="preserve">מודים שכל יום נעשה גיעול לחבירו, רק שמ"מ אין </w:t>
      </w:r>
      <w:r w:rsidR="00DE66EA" w:rsidRPr="00882F11">
        <w:rPr>
          <w:rFonts w:cs="Guttman Drogolin" w:hint="cs"/>
          <w:rtl/>
          <w:lang w:bidi="he-IL"/>
        </w:rPr>
        <w:lastRenderedPageBreak/>
        <w:t xml:space="preserve">זה פוטרו מחיוב מריקה ושטיפה. או"ד </w:t>
      </w:r>
      <w:r w:rsidRPr="00882F11">
        <w:rPr>
          <w:rFonts w:cs="Guttman Drogolin" w:hint="cs"/>
          <w:rtl/>
          <w:lang w:bidi="he-IL"/>
        </w:rPr>
        <w:t xml:space="preserve">חכמים חולקים על ר"ט משום דלית להו יסוד זה שכל יום נעשה גיעול לחבירו, וממילא נעשה נותר בעלות השחר ולכן צריך לעשות מריקה ושטיפה. </w:t>
      </w:r>
      <w:r w:rsidR="00DE66EA" w:rsidRPr="00882F11">
        <w:rPr>
          <w:rFonts w:cs="Guttman Drogolin" w:hint="cs"/>
          <w:rtl/>
          <w:lang w:bidi="he-IL"/>
        </w:rPr>
        <w:t>וע' בחי' הגרי"ז שחקר בזה</w:t>
      </w:r>
      <w:r w:rsidRPr="00882F11">
        <w:rPr>
          <w:rFonts w:cs="Guttman Drogolin" w:hint="cs"/>
          <w:rtl/>
          <w:lang w:bidi="he-IL"/>
        </w:rPr>
        <w:t xml:space="preserve"> </w:t>
      </w:r>
      <w:r w:rsidR="00DE66EA" w:rsidRPr="00882F11">
        <w:rPr>
          <w:rFonts w:cs="Guttman Drogolin" w:hint="cs"/>
          <w:rtl/>
          <w:lang w:bidi="he-IL"/>
        </w:rPr>
        <w:t>ו</w:t>
      </w:r>
      <w:r w:rsidRPr="00882F11">
        <w:rPr>
          <w:rFonts w:cs="Guttman Drogolin" w:hint="cs"/>
          <w:rtl/>
          <w:lang w:bidi="he-IL"/>
        </w:rPr>
        <w:t xml:space="preserve">רצה לתלות חקירה זו במחלוקת רמב"ם וראב"ד וכן בגירסאות המובאות בתוס' שם על אתר. </w:t>
      </w:r>
    </w:p>
    <w:p w:rsidR="00965D2C" w:rsidRPr="00882F11" w:rsidRDefault="00DE66EA" w:rsidP="00DE66EA">
      <w:pPr>
        <w:tabs>
          <w:tab w:val="right" w:pos="7497"/>
        </w:tabs>
        <w:bidi/>
        <w:jc w:val="both"/>
        <w:rPr>
          <w:rFonts w:cs="Guttman Drogolin"/>
          <w:rtl/>
          <w:lang w:bidi="he-IL"/>
        </w:rPr>
      </w:pPr>
      <w:r w:rsidRPr="00882F11">
        <w:rPr>
          <w:rFonts w:cs="Guttman Drogolin" w:hint="cs"/>
          <w:rtl/>
          <w:lang w:bidi="he-IL"/>
        </w:rPr>
        <w:t>עוד מבואר שם מחלוקת אם מריקה הוא במים צוננים או בחמין.</w:t>
      </w:r>
      <w:r w:rsidR="00965D2C" w:rsidRPr="00882F11">
        <w:rPr>
          <w:rFonts w:cs="Guttman Drogolin" w:hint="cs"/>
          <w:rtl/>
          <w:lang w:bidi="he-IL"/>
        </w:rPr>
        <w:t xml:space="preserve">  </w:t>
      </w:r>
    </w:p>
    <w:p w:rsidR="00FE07B9" w:rsidRPr="00882F11" w:rsidRDefault="00DE66EA" w:rsidP="00FE07B9">
      <w:pPr>
        <w:tabs>
          <w:tab w:val="right" w:pos="7497"/>
        </w:tabs>
        <w:bidi/>
        <w:jc w:val="both"/>
        <w:rPr>
          <w:rFonts w:cs="Guttman Drogolin"/>
          <w:rtl/>
          <w:lang w:bidi="he-IL"/>
        </w:rPr>
      </w:pPr>
      <w:r w:rsidRPr="00882F11">
        <w:rPr>
          <w:rFonts w:cs="Guttman Drogolin" w:hint="cs"/>
          <w:rtl/>
          <w:lang w:bidi="he-IL"/>
        </w:rPr>
        <w:t xml:space="preserve">והנה ביישוב הסתירה הנ"ל נאמרו </w:t>
      </w:r>
      <w:r w:rsidR="00B60329" w:rsidRPr="00882F11">
        <w:rPr>
          <w:rFonts w:cs="Guttman Drogolin" w:hint="cs"/>
          <w:rtl/>
          <w:lang w:bidi="he-IL"/>
        </w:rPr>
        <w:t xml:space="preserve">בגמ' דמס' ע"ז </w:t>
      </w:r>
      <w:r w:rsidRPr="00882F11">
        <w:rPr>
          <w:rFonts w:cs="Guttman Drogolin" w:hint="cs"/>
          <w:rtl/>
          <w:lang w:bidi="he-IL"/>
        </w:rPr>
        <w:t>חמשה תירוצים בגמ'</w:t>
      </w:r>
      <w:r w:rsidR="00575B77" w:rsidRPr="00882F11">
        <w:rPr>
          <w:rFonts w:cs="Guttman Drogolin" w:hint="cs"/>
          <w:rtl/>
          <w:lang w:bidi="he-IL"/>
        </w:rPr>
        <w:t xml:space="preserve"> (חוץ מן התירוץ הראשון שהוא בעצם התירוץ האחרון</w:t>
      </w:r>
      <w:r w:rsidR="003C7870" w:rsidRPr="00882F11">
        <w:rPr>
          <w:rFonts w:cs="Guttman Drogolin" w:hint="cs"/>
          <w:rtl/>
          <w:lang w:bidi="he-IL"/>
        </w:rPr>
        <w:t>, וכמו שביאר הריטב"א</w:t>
      </w:r>
      <w:r w:rsidR="00575B77" w:rsidRPr="00882F11">
        <w:rPr>
          <w:rFonts w:cs="Guttman Drogolin" w:hint="cs"/>
          <w:rtl/>
          <w:lang w:bidi="he-IL"/>
        </w:rPr>
        <w:t>)</w:t>
      </w:r>
      <w:r w:rsidRPr="00882F11">
        <w:rPr>
          <w:rFonts w:cs="Guttman Drogolin" w:hint="cs"/>
          <w:rtl/>
          <w:lang w:bidi="he-IL"/>
        </w:rPr>
        <w:t>. הראשון</w:t>
      </w:r>
      <w:r w:rsidR="00575B77" w:rsidRPr="00882F11">
        <w:rPr>
          <w:rFonts w:cs="Guttman Drogolin" w:hint="cs"/>
          <w:rtl/>
          <w:lang w:bidi="he-IL"/>
        </w:rPr>
        <w:t xml:space="preserve"> </w:t>
      </w:r>
      <w:r w:rsidR="003C7870" w:rsidRPr="00882F11">
        <w:rPr>
          <w:rFonts w:cs="Guttman Drogolin" w:hint="cs"/>
          <w:rtl/>
          <w:lang w:bidi="he-IL"/>
        </w:rPr>
        <w:t xml:space="preserve">הוא תירוצו של רבה </w:t>
      </w:r>
      <w:r w:rsidR="00575B77" w:rsidRPr="00882F11">
        <w:rPr>
          <w:rFonts w:cs="Guttman Drogolin" w:hint="cs"/>
          <w:rtl/>
          <w:lang w:bidi="he-IL"/>
        </w:rPr>
        <w:t>שבאמת אין כוונת המתני' להכשר השפוד והאס</w:t>
      </w:r>
      <w:r w:rsidR="003C7870" w:rsidRPr="00882F11">
        <w:rPr>
          <w:rFonts w:cs="Guttman Drogolin" w:hint="cs"/>
          <w:rtl/>
          <w:lang w:bidi="he-IL"/>
        </w:rPr>
        <w:t>כ</w:t>
      </w:r>
      <w:r w:rsidR="00575B77" w:rsidRPr="00882F11">
        <w:rPr>
          <w:rFonts w:cs="Guttman Drogolin" w:hint="cs"/>
          <w:rtl/>
          <w:lang w:bidi="he-IL"/>
        </w:rPr>
        <w:t xml:space="preserve">לא, רק כוונת המתני' שבמס' זבחים לדין מריקה ושטיפה. </w:t>
      </w:r>
      <w:r w:rsidR="003C7870" w:rsidRPr="00882F11">
        <w:rPr>
          <w:rFonts w:cs="Guttman Drogolin" w:hint="cs"/>
          <w:rtl/>
          <w:lang w:bidi="he-IL"/>
        </w:rPr>
        <w:t>וא"ל אביי</w:t>
      </w:r>
      <w:r w:rsidR="00575B77" w:rsidRPr="00882F11">
        <w:rPr>
          <w:rFonts w:cs="Guttman Drogolin" w:hint="cs"/>
          <w:rtl/>
          <w:lang w:bidi="he-IL"/>
        </w:rPr>
        <w:t xml:space="preserve"> </w:t>
      </w:r>
      <w:r w:rsidR="003C7870" w:rsidRPr="00882F11">
        <w:rPr>
          <w:rFonts w:cs="Guttman Drogolin" w:hint="cs"/>
          <w:rtl/>
          <w:lang w:bidi="he-IL"/>
        </w:rPr>
        <w:t xml:space="preserve">דמי דמי הא מריקה ושטיפה בצונן והגעלה בחמין. ותוס' שם מבארים דרבה סבר דמריקה בחמין, ויש בזה פלוגתא שם בגמ'. </w:t>
      </w:r>
      <w:r w:rsidR="00FE07B9" w:rsidRPr="00882F11">
        <w:rPr>
          <w:rFonts w:cs="Guttman Drogolin" w:hint="cs"/>
          <w:rtl/>
          <w:lang w:bidi="he-IL"/>
        </w:rPr>
        <w:t>וביאר בטהרת הקדש שם שאביי שהקשה</w:t>
      </w:r>
      <w:r w:rsidR="002D483E" w:rsidRPr="00882F11">
        <w:rPr>
          <w:rStyle w:val="FootnoteReference"/>
          <w:rFonts w:cs="Guttman Drogolin"/>
          <w:rtl/>
          <w:lang w:bidi="he-IL"/>
        </w:rPr>
        <w:footnoteReference w:id="482"/>
      </w:r>
      <w:r w:rsidR="00FE07B9" w:rsidRPr="00882F11">
        <w:rPr>
          <w:rFonts w:cs="Guttman Drogolin" w:hint="cs"/>
          <w:rtl/>
          <w:lang w:bidi="he-IL"/>
        </w:rPr>
        <w:t xml:space="preserve"> מי דמי וכו' סבר שאם מריקה בחמין פירושו של דבר שיעשה הגעלה, וכיון דסבר רבה שצריך לעשות גם ליבון, אין שום תכלית לעשות הגעלה</w:t>
      </w:r>
      <w:r w:rsidR="00FE07B9" w:rsidRPr="00882F11">
        <w:rPr>
          <w:rStyle w:val="FootnoteReference"/>
          <w:rFonts w:cs="Guttman Drogolin"/>
          <w:rtl/>
          <w:lang w:bidi="he-IL"/>
        </w:rPr>
        <w:footnoteReference w:id="483"/>
      </w:r>
      <w:r w:rsidR="00FE07B9" w:rsidRPr="00882F11">
        <w:rPr>
          <w:rFonts w:cs="Guttman Drogolin" w:hint="cs"/>
          <w:rtl/>
          <w:lang w:bidi="he-IL"/>
        </w:rPr>
        <w:t xml:space="preserve">. ולכן כיון שצריך לעשות ליבון, אם הגעלה היינו מריקה ושטיפה שאחר ליבון חייבים לומר דהיינו מריקה בצונן, רק שקוראים לו הגעלה. ובזה שפיר מקשה אביי (כן נלעוק"ד פי' דברי הטה"ק). </w:t>
      </w:r>
      <w:r w:rsidR="003C7870" w:rsidRPr="00882F11">
        <w:rPr>
          <w:rFonts w:cs="Guttman Drogolin" w:hint="cs"/>
          <w:rtl/>
          <w:lang w:bidi="he-IL"/>
        </w:rPr>
        <w:t>ו</w:t>
      </w:r>
      <w:r w:rsidR="00FE07B9" w:rsidRPr="00882F11">
        <w:rPr>
          <w:rFonts w:cs="Guttman Drogolin" w:hint="cs"/>
          <w:rtl/>
          <w:lang w:bidi="he-IL"/>
        </w:rPr>
        <w:t xml:space="preserve">מ"מ </w:t>
      </w:r>
      <w:r w:rsidR="003C7870" w:rsidRPr="00882F11">
        <w:rPr>
          <w:rFonts w:cs="Guttman Drogolin" w:hint="cs"/>
          <w:rtl/>
          <w:lang w:bidi="he-IL"/>
        </w:rPr>
        <w:t>לדברי</w:t>
      </w:r>
      <w:r w:rsidR="00FE07B9" w:rsidRPr="00882F11">
        <w:rPr>
          <w:rFonts w:cs="Guttman Drogolin" w:hint="cs"/>
          <w:rtl/>
          <w:lang w:bidi="he-IL"/>
        </w:rPr>
        <w:t xml:space="preserve"> רבה</w:t>
      </w:r>
      <w:r w:rsidR="003C7870" w:rsidRPr="00882F11">
        <w:rPr>
          <w:rFonts w:cs="Guttman Drogolin" w:hint="cs"/>
          <w:rtl/>
          <w:lang w:bidi="he-IL"/>
        </w:rPr>
        <w:t xml:space="preserve"> לכאורה כוונת המתני' לומר שגם השפוד והאסכלא צריכים מריקה</w:t>
      </w:r>
      <w:r w:rsidR="00A82A76" w:rsidRPr="00882F11">
        <w:rPr>
          <w:rFonts w:cs="Guttman Drogolin" w:hint="cs"/>
          <w:rtl/>
          <w:lang w:bidi="he-IL"/>
        </w:rPr>
        <w:t xml:space="preserve"> ושטיפה, והוא לכאורה דוחק גדול ד</w:t>
      </w:r>
      <w:r w:rsidR="003C7870" w:rsidRPr="00882F11">
        <w:rPr>
          <w:rFonts w:cs="Guttman Drogolin" w:hint="cs"/>
          <w:rtl/>
          <w:lang w:bidi="he-IL"/>
        </w:rPr>
        <w:t xml:space="preserve">הא המתני' פתח במריקה ושטיפה, וסיים בהגעלה. </w:t>
      </w:r>
      <w:r w:rsidR="00A82A76" w:rsidRPr="00882F11">
        <w:rPr>
          <w:rFonts w:cs="Guttman Drogolin" w:hint="cs"/>
          <w:rtl/>
          <w:lang w:bidi="he-IL"/>
        </w:rPr>
        <w:t>ובתוס' ר"י מפריז פי' בשיטת רבה דסבר בעלמא מריקה ושטיפה בצונן, אבל בשפוד ואסכלא מריקה ושטיפה בחמין. ולדבריו ניחא.</w:t>
      </w:r>
      <w:r w:rsidR="003C7870" w:rsidRPr="00882F11">
        <w:rPr>
          <w:rFonts w:cs="Guttman Drogolin" w:hint="cs"/>
          <w:rtl/>
          <w:lang w:bidi="he-IL"/>
        </w:rPr>
        <w:t xml:space="preserve"> </w:t>
      </w:r>
    </w:p>
    <w:p w:rsidR="00DE66EA" w:rsidRPr="00882F11" w:rsidRDefault="00FE07B9" w:rsidP="00FE07B9">
      <w:pPr>
        <w:tabs>
          <w:tab w:val="right" w:pos="7497"/>
        </w:tabs>
        <w:bidi/>
        <w:jc w:val="both"/>
        <w:rPr>
          <w:rFonts w:cs="Guttman Drogolin"/>
          <w:lang w:bidi="he-IL"/>
        </w:rPr>
      </w:pPr>
      <w:r w:rsidRPr="00882F11">
        <w:rPr>
          <w:rFonts w:cs="Guttman Drogolin" w:hint="cs"/>
          <w:rtl/>
          <w:lang w:bidi="he-IL"/>
        </w:rPr>
        <w:lastRenderedPageBreak/>
        <w:t>ואביי סבר שלעולם צריכים גם ליבון וגם הגעלה, ולכן המתני' דמס' ע"ז והמתני' דמס' זבחים אינם סותרים א' את השני אלא אדרבה משלימי</w:t>
      </w:r>
      <w:r w:rsidR="00B510DB" w:rsidRPr="00882F11">
        <w:rPr>
          <w:rFonts w:cs="Guttman Drogolin" w:hint="cs"/>
          <w:rtl/>
          <w:lang w:bidi="he-IL"/>
        </w:rPr>
        <w:t>ם א' את השני. ועל זה מקשה רבא ד</w:t>
      </w:r>
      <w:r w:rsidRPr="00882F11">
        <w:rPr>
          <w:rFonts w:cs="Guttman Drogolin" w:hint="cs"/>
          <w:rtl/>
          <w:lang w:bidi="he-IL"/>
        </w:rPr>
        <w:t>א"כ ליתנינהו כולהו בחדא מתני'. ובעיקר דבריו יוצא חידוש שהי' הו"א שיצטרך לעשות גם הגעלה וגם ליבון</w:t>
      </w:r>
      <w:r w:rsidR="002D483E" w:rsidRPr="00882F11">
        <w:rPr>
          <w:rFonts w:cs="Guttman Drogolin" w:hint="cs"/>
          <w:rtl/>
          <w:lang w:bidi="he-IL"/>
        </w:rPr>
        <w:t>, וכנראה משום שגם ליבון אינו מכלה את כל הבליעות</w:t>
      </w:r>
      <w:r w:rsidRPr="00882F11">
        <w:rPr>
          <w:rFonts w:cs="Guttman Drogolin" w:hint="cs"/>
          <w:rtl/>
          <w:lang w:bidi="he-IL"/>
        </w:rPr>
        <w:t xml:space="preserve">. </w:t>
      </w:r>
      <w:r w:rsidR="00A82A76" w:rsidRPr="00882F11">
        <w:rPr>
          <w:rFonts w:cs="Guttman Drogolin" w:hint="cs"/>
          <w:rtl/>
          <w:lang w:bidi="he-IL"/>
        </w:rPr>
        <w:t xml:space="preserve">וראיתי בס' עבודה ברורה שהעיר שבמס' פסחים </w:t>
      </w:r>
      <w:r w:rsidR="002D483E" w:rsidRPr="00882F11">
        <w:rPr>
          <w:rFonts w:cs="Guttman Drogolin" w:hint="cs"/>
          <w:rtl/>
          <w:lang w:bidi="he-IL"/>
        </w:rPr>
        <w:t xml:space="preserve">(ל' ע"ב) </w:t>
      </w:r>
      <w:r w:rsidR="00A82A76" w:rsidRPr="00882F11">
        <w:rPr>
          <w:rFonts w:cs="Guttman Drogolin" w:hint="cs"/>
          <w:rtl/>
          <w:lang w:bidi="he-IL"/>
        </w:rPr>
        <w:t xml:space="preserve">קראו לכלים שעשו להם ליבון "כעין חדתי", ואיך אפשר לומר שיש אחר ליבון כלום. ואיהו פי' דאה"נ דהתם ר' אשי הוא דקאמר הכי ואביי לא סבירא לי' הכי. </w:t>
      </w:r>
      <w:r w:rsidRPr="00882F11">
        <w:rPr>
          <w:rFonts w:cs="Guttman Drogolin" w:hint="cs"/>
          <w:rtl/>
          <w:lang w:bidi="he-IL"/>
        </w:rPr>
        <w:t xml:space="preserve"> </w:t>
      </w:r>
      <w:r w:rsidR="00B60329" w:rsidRPr="00882F11">
        <w:rPr>
          <w:rFonts w:cs="Guttman Drogolin" w:hint="cs"/>
          <w:rtl/>
          <w:lang w:bidi="he-IL"/>
        </w:rPr>
        <w:t xml:space="preserve"> </w:t>
      </w:r>
      <w:r w:rsidR="00DE66EA" w:rsidRPr="00882F11">
        <w:rPr>
          <w:rFonts w:cs="Guttman Drogolin" w:hint="cs"/>
          <w:rtl/>
          <w:lang w:bidi="he-IL"/>
        </w:rPr>
        <w:t xml:space="preserve"> </w:t>
      </w:r>
    </w:p>
    <w:p w:rsidR="00A25CBA" w:rsidRPr="00882F11" w:rsidRDefault="002D483E" w:rsidP="00EF1137">
      <w:pPr>
        <w:tabs>
          <w:tab w:val="right" w:pos="7497"/>
        </w:tabs>
        <w:bidi/>
        <w:jc w:val="both"/>
        <w:rPr>
          <w:rFonts w:cs="Guttman Drogolin"/>
          <w:rtl/>
          <w:lang w:bidi="he-IL"/>
        </w:rPr>
      </w:pPr>
      <w:r w:rsidRPr="00882F11">
        <w:rPr>
          <w:rFonts w:cs="Guttman Drogolin" w:hint="cs"/>
          <w:rtl/>
          <w:lang w:bidi="he-IL"/>
        </w:rPr>
        <w:t xml:space="preserve">והתי' השלישי היא תי' של רבא שלעולם דבר שתשמיתו ע"י האור צריך ליבון, והא דזבחים שאני משום שכל יום נעשה גיעול לחבירו. והקשה הרשב"א דמאי אהני לן הא דכל יום נעשה גיעול לחבירו, הא דבר </w:t>
      </w:r>
      <w:r w:rsidR="0054514F">
        <w:rPr>
          <w:rFonts w:cs="Guttman Drogolin" w:hint="cs"/>
          <w:rtl/>
          <w:lang w:bidi="he-IL"/>
        </w:rPr>
        <w:t>תשמישתו</w:t>
      </w:r>
      <w:r w:rsidRPr="00882F11">
        <w:rPr>
          <w:rFonts w:cs="Guttman Drogolin" w:hint="cs"/>
          <w:rtl/>
          <w:lang w:bidi="he-IL"/>
        </w:rPr>
        <w:t xml:space="preserve"> ע"י האור צריך ליבון שהוא </w:t>
      </w:r>
      <w:r w:rsidR="00BD2677" w:rsidRPr="00882F11">
        <w:rPr>
          <w:rFonts w:cs="Guttman Drogolin" w:hint="cs"/>
          <w:rtl/>
          <w:lang w:bidi="he-IL"/>
        </w:rPr>
        <w:t>באופן</w:t>
      </w:r>
      <w:r w:rsidRPr="00882F11">
        <w:rPr>
          <w:rFonts w:cs="Guttman Drogolin" w:hint="cs"/>
          <w:rtl/>
          <w:lang w:bidi="he-IL"/>
        </w:rPr>
        <w:t xml:space="preserve"> </w:t>
      </w:r>
      <w:r w:rsidR="00BD2677" w:rsidRPr="00882F11">
        <w:rPr>
          <w:rFonts w:cs="Guttman Drogolin" w:hint="cs"/>
          <w:rtl/>
          <w:lang w:bidi="he-IL"/>
        </w:rPr>
        <w:t>ש</w:t>
      </w:r>
      <w:r w:rsidRPr="00882F11">
        <w:rPr>
          <w:rFonts w:cs="Guttman Drogolin"/>
          <w:rtl/>
          <w:lang w:bidi="he-IL"/>
        </w:rPr>
        <w:t xml:space="preserve">הנצוצות מנתזות ממנו </w:t>
      </w:r>
      <w:r w:rsidR="00BD2677" w:rsidRPr="00882F11">
        <w:rPr>
          <w:rFonts w:cs="Guttman Drogolin" w:hint="cs"/>
          <w:rtl/>
          <w:lang w:bidi="he-IL"/>
        </w:rPr>
        <w:t>ו</w:t>
      </w:r>
      <w:r w:rsidRPr="00882F11">
        <w:rPr>
          <w:rFonts w:cs="Guttman Drogolin"/>
          <w:rtl/>
          <w:lang w:bidi="he-IL"/>
        </w:rPr>
        <w:t>עד שתסיר קליפתן</w:t>
      </w:r>
      <w:r w:rsidR="00BD2677" w:rsidRPr="00882F11">
        <w:rPr>
          <w:rFonts w:cs="Guttman Drogolin" w:hint="cs"/>
          <w:rtl/>
          <w:lang w:bidi="he-IL"/>
        </w:rPr>
        <w:t xml:space="preserve">, וא"כ מאי אני לן הא דכל יום נעשה גיעול לחבירו. זאת ועוד שבשעת צלי' בשפוד ואסכלא הבליעות עוברות בכל הכלי מדין חם מקצתו חם כולו, וא"כ מה מהני לן זה שלה מזה לאחר מכן, הא אין זה מוציא את כל הבליעות שבכלי. וכתב הרשב"א ביישוב קושיות אלו, שיש לחלק בין היתירא בלע כמו קדשים, לאיסורא בלע כגון סכין של עכו"ם. שבהיתירא בלע, כיון שנחלש ע"י זה שכל יום נעשה גיעול לחבירו, נהי נמי שלא יצאו כל הבליעות כיון שהי' </w:t>
      </w:r>
      <w:r w:rsidR="0054514F">
        <w:rPr>
          <w:rFonts w:cs="Guttman Drogolin" w:hint="cs"/>
          <w:rtl/>
          <w:lang w:bidi="he-IL"/>
        </w:rPr>
        <w:t>תשמישתו</w:t>
      </w:r>
      <w:r w:rsidR="00BD2677" w:rsidRPr="00882F11">
        <w:rPr>
          <w:rFonts w:cs="Guttman Drogolin" w:hint="cs"/>
          <w:rtl/>
          <w:lang w:bidi="he-IL"/>
        </w:rPr>
        <w:t xml:space="preserve"> ע"י האור, מ"מ אחרי שנחלש שוב לא יחול עליו חלות איסור. </w:t>
      </w:r>
      <w:r w:rsidR="00A25CBA" w:rsidRPr="00882F11">
        <w:rPr>
          <w:rFonts w:cs="Guttman Drogolin" w:hint="cs"/>
          <w:rtl/>
          <w:lang w:bidi="he-IL"/>
        </w:rPr>
        <w:t>ומשו"ה מהני הסברא דכל יום נעשה גיעול לחבירו בקדשים, ואילו בסכין הבלוע איסור לא מהני אפילו יעשה בישול כיון דאיסורא בלע.</w:t>
      </w:r>
      <w:r w:rsidR="00277CEE" w:rsidRPr="00882F11">
        <w:rPr>
          <w:rFonts w:cs="Guttman Drogolin" w:hint="cs"/>
          <w:rtl/>
          <w:lang w:bidi="he-IL"/>
        </w:rPr>
        <w:t xml:space="preserve"> ולכאורה מבואר עוד בגמ' דכדי להתיר ע"פ סברא דכל יום נעשה גיעול לחבירו סגי גם צליי' ולא צריכים ליבון גמור (וכדמבואר בראשונים שאין לזה שם ליבון גמור). והמרדכי כאן כתב שליבון קל מהני כהגעלה, אבל אינו משמע שם שהוציא</w:t>
      </w:r>
      <w:r w:rsidR="006E3B7D">
        <w:rPr>
          <w:rFonts w:cs="Guttman Drogolin"/>
          <w:lang w:bidi="he-IL"/>
        </w:rPr>
        <w:t xml:space="preserve"> </w:t>
      </w:r>
      <w:r w:rsidR="00277CEE" w:rsidRPr="00882F11">
        <w:rPr>
          <w:rFonts w:cs="Guttman Drogolin" w:hint="cs"/>
          <w:rtl/>
          <w:lang w:bidi="he-IL"/>
        </w:rPr>
        <w:t>יסוד זה מסוגיין (רק החילוק שבין היתירא לאיסורא). ויתכן דהיינו משום שלא מהני צליי' אלא ליסוד דכל יום נעשה גיעול לחבירו</w:t>
      </w:r>
      <w:r w:rsidR="00EF1137" w:rsidRPr="00882F11">
        <w:rPr>
          <w:rFonts w:cs="Guttman Drogolin" w:hint="cs"/>
          <w:rtl/>
          <w:lang w:bidi="he-IL"/>
        </w:rPr>
        <w:t>, ור"ל שבזה הוא נחלש, אבל אין זה עושה הגעלה ממש.</w:t>
      </w:r>
    </w:p>
    <w:p w:rsidR="00A25CBA" w:rsidRPr="00882F11" w:rsidRDefault="00A25CBA" w:rsidP="00C44F1A">
      <w:pPr>
        <w:tabs>
          <w:tab w:val="right" w:pos="7497"/>
        </w:tabs>
        <w:bidi/>
        <w:jc w:val="both"/>
        <w:rPr>
          <w:rFonts w:cs="Guttman Drogolin"/>
          <w:rtl/>
          <w:lang w:bidi="he-IL"/>
        </w:rPr>
      </w:pPr>
      <w:r w:rsidRPr="00882F11">
        <w:rPr>
          <w:rFonts w:cs="Guttman Drogolin" w:hint="cs"/>
          <w:rtl/>
          <w:lang w:bidi="he-IL"/>
        </w:rPr>
        <w:lastRenderedPageBreak/>
        <w:t xml:space="preserve">והנה יסוד זה דכל יום נעשה גיעול לחבירו מתבאר במס' זבחים כטעמו של ר טרפון דהא שאינו צריך מריקה ושטיפה כל הרגל, דמשו"ה לא נעשה נותר. אמנם חכמים שם הרי חולקים על ר' טרפון, וא"כ לכאורה הדבר תלוי, שאם חכמים חלקו על ר' טרפון משום דלית להו הא דכל יום נעשה גיעול לחבירו, </w:t>
      </w:r>
      <w:r w:rsidR="00C44F1A" w:rsidRPr="00882F11">
        <w:rPr>
          <w:rFonts w:cs="Guttman Drogolin" w:hint="cs"/>
          <w:rtl/>
          <w:lang w:bidi="he-IL"/>
        </w:rPr>
        <w:t>יוצא שתי' של רבא אינו אלא אליבא דר' טרפון, דהא לרבנן לא אמרינן הכי. אבל הבאנו צד לעיל שלא נחלקו אי אמרינן היסוד שכל יום נעשה גיעול לחבירו, וא"כ יכול להיות ככו"ע.</w:t>
      </w:r>
      <w:r w:rsidRPr="00882F11">
        <w:rPr>
          <w:rFonts w:cs="Guttman Drogolin" w:hint="cs"/>
          <w:rtl/>
          <w:lang w:bidi="he-IL"/>
        </w:rPr>
        <w:t xml:space="preserve"> </w:t>
      </w:r>
    </w:p>
    <w:p w:rsidR="00C44F1A" w:rsidRPr="00882F11" w:rsidRDefault="00A25CBA" w:rsidP="00A25CBA">
      <w:pPr>
        <w:tabs>
          <w:tab w:val="right" w:pos="7497"/>
        </w:tabs>
        <w:bidi/>
        <w:jc w:val="both"/>
        <w:rPr>
          <w:rFonts w:cs="Guttman Drogolin"/>
          <w:rtl/>
          <w:lang w:bidi="he-IL"/>
        </w:rPr>
      </w:pPr>
      <w:r w:rsidRPr="00882F11">
        <w:rPr>
          <w:rFonts w:cs="Guttman Drogolin" w:hint="cs"/>
          <w:rtl/>
          <w:lang w:bidi="he-IL"/>
        </w:rPr>
        <w:t>והנה על תירוצו של רבא שואלת הגמ' שאם יבשל חטאת היום ולמחר יבשל שלמים השלמים יפסלו משום הבליעות של נותר מן הקרבן חטאת, וא"כ אין זה גיעול. ותי' דאה"נ אבל סדר הדברים היתה שאם יבשל חטאת היום שוב יבשל שלמים היום, ובזה יהיו הבליעות של חטאת ומותרים, והבליעות של שלמים למחר יהיו מותרים, וממילא כשיבשל בה שלמים למחר לא יהיו אסורים, והשלמים שלמחר יכשירו הבליעות של שלמים שמאתמול. ולגירסא שלפנינו הגמ' מסיקה על תי' זה בקושיא דא"כ למה צריכים לעשות הגעלה במתני' דמס' זבחים כלל.</w:t>
      </w:r>
      <w:r w:rsidR="00BD2677" w:rsidRPr="00882F11">
        <w:rPr>
          <w:rFonts w:cs="Guttman Drogolin" w:hint="cs"/>
          <w:rtl/>
          <w:lang w:bidi="he-IL"/>
        </w:rPr>
        <w:t xml:space="preserve"> </w:t>
      </w:r>
    </w:p>
    <w:p w:rsidR="00831A54" w:rsidRPr="00882F11" w:rsidRDefault="00C44F1A" w:rsidP="00024118">
      <w:pPr>
        <w:tabs>
          <w:tab w:val="right" w:pos="7497"/>
        </w:tabs>
        <w:bidi/>
        <w:jc w:val="both"/>
        <w:rPr>
          <w:rFonts w:cs="Guttman Drogolin"/>
          <w:rtl/>
          <w:lang w:bidi="he-IL"/>
        </w:rPr>
      </w:pPr>
      <w:r w:rsidRPr="00882F11">
        <w:rPr>
          <w:rFonts w:cs="Guttman Drogolin" w:hint="cs"/>
          <w:rtl/>
          <w:lang w:bidi="he-IL"/>
        </w:rPr>
        <w:t xml:space="preserve">והנה הרמב"ן כתב דע"כ לא גרסינן הא דא"כ הגעלה למה לי, דהא שפיר בעינן לי', דנהי נמי שהכשרת את הכלי, אבל כשמבשל שלמים של היום אחרי חטאת של היום הרי הוא מביא השלמים לידי פסול, דשוב לא יוכל לאכול השלמים אלא ליום א' כדין החטאת, וכדאמרינן במס' פסחים מ"ה ע"א. ומשו"ה בעינן הגעלה ואין כל קושיא. </w:t>
      </w:r>
      <w:r w:rsidR="00831A54" w:rsidRPr="00882F11">
        <w:rPr>
          <w:rFonts w:cs="Guttman Drogolin" w:hint="cs"/>
          <w:rtl/>
          <w:lang w:bidi="he-IL"/>
        </w:rPr>
        <w:t xml:space="preserve">וע"כ לאו היינו משום דינא דנ"ט בר נ"ט, דהא לא מהני באיסורא, רק משום דנתמעט ע"י ההגעלה עד כדי כך שאין בה כדי נתינת טעם הרי זה מותר. </w:t>
      </w:r>
    </w:p>
    <w:p w:rsidR="00831A54" w:rsidRPr="00882F11" w:rsidRDefault="00831A54" w:rsidP="00831A54">
      <w:pPr>
        <w:tabs>
          <w:tab w:val="right" w:pos="7497"/>
        </w:tabs>
        <w:bidi/>
        <w:jc w:val="both"/>
        <w:rPr>
          <w:rFonts w:cs="Guttman Drogolin"/>
          <w:rtl/>
          <w:lang w:bidi="he-IL"/>
        </w:rPr>
      </w:pPr>
      <w:r w:rsidRPr="00882F11">
        <w:rPr>
          <w:rFonts w:cs="Guttman Drogolin" w:hint="cs"/>
          <w:rtl/>
          <w:lang w:bidi="he-IL"/>
        </w:rPr>
        <w:t>ו</w:t>
      </w:r>
      <w:r w:rsidR="00C44F1A" w:rsidRPr="00882F11">
        <w:rPr>
          <w:rFonts w:cs="Guttman Drogolin" w:hint="cs"/>
          <w:rtl/>
          <w:lang w:bidi="he-IL"/>
        </w:rPr>
        <w:t xml:space="preserve">הרשב"א הביא תירוצו של הרמב"ן וחלק עליו, דהא אי משום הא בעינן לה, מאי קא קשיא להו לגמ' תינח שלמים וכו', הא עושים לה גיעול. ובאמת לקושיית הרמב"ן דלמה אינו מביא לידי פסול נשאר הרשב"א בצ"ע למה יהא כן, ולכן שפיר מקשה הגמ' דא"כ הגעלה למה לי, אע"ג </w:t>
      </w:r>
      <w:r w:rsidR="00C44F1A" w:rsidRPr="00882F11">
        <w:rPr>
          <w:rFonts w:cs="Guttman Drogolin" w:hint="cs"/>
          <w:rtl/>
          <w:lang w:bidi="he-IL"/>
        </w:rPr>
        <w:lastRenderedPageBreak/>
        <w:t xml:space="preserve">שהי' ניחא לומר שזהו גופא הטעם דבעינן הגעלה. והריטב"א תמה טובא על מי שגרס דא"כ הגעלה למה לי, שאם לא צריכים הגעלה הרי עיקר תי' של הגמ' חסר מן הספר, שכל קושיית הגמ' היתה למה סגי בהגעלה, ולתי' של הגמ' ביארנו לא למה צריכים הגעלה, דהא למסקנא לא ידעינן למה, רק ביארנו למה אין צריך ליבון. </w:t>
      </w:r>
      <w:r w:rsidR="00C6047A" w:rsidRPr="00882F11">
        <w:rPr>
          <w:rFonts w:cs="Guttman Drogolin" w:hint="cs"/>
          <w:rtl/>
          <w:lang w:bidi="he-IL"/>
        </w:rPr>
        <w:t>ולכן כתב שבודאי לא גורסים הגעלה למה לי, דהא שפיר צריכים הגעלה וכטעמו של הרמב"ן. ואי לקושיית הרשב"א כתב הריטב"א דשאני איסור נותר מהא דגמ' דילן, והוא משום דעד כמה שלא נכנס בה טעם הפוסל את הקרבן לגמרי, סגי לן בהא שעושה הגעלה בלבד אפילו בלי היסוד שכל יום נעשה גיעול לחבירו</w:t>
      </w:r>
      <w:r w:rsidRPr="00882F11">
        <w:rPr>
          <w:rFonts w:cs="Guttman Drogolin" w:hint="cs"/>
          <w:rtl/>
          <w:lang w:bidi="he-IL"/>
        </w:rPr>
        <w:t>, אבל הגמ' שאלה על איסור נ</w:t>
      </w:r>
      <w:r w:rsidR="00C6047A" w:rsidRPr="00882F11">
        <w:rPr>
          <w:rFonts w:cs="Guttman Drogolin" w:hint="cs"/>
          <w:rtl/>
          <w:lang w:bidi="he-IL"/>
        </w:rPr>
        <w:t>ותר שיפסול את הקרבן לגמרי, ובזה לא סמכינן על הגעלה וצריכים הא דכל יום נעשה גיעול לחבירו, ולכן רק לפי הסדר המוזכר בגמ' אפשר להתיר.</w:t>
      </w:r>
    </w:p>
    <w:p w:rsidR="00C6047A" w:rsidRPr="00882F11" w:rsidRDefault="00831A54" w:rsidP="0097711B">
      <w:pPr>
        <w:tabs>
          <w:tab w:val="right" w:pos="7497"/>
        </w:tabs>
        <w:bidi/>
        <w:jc w:val="both"/>
        <w:rPr>
          <w:rFonts w:cs="Guttman Drogolin"/>
          <w:rtl/>
          <w:lang w:bidi="he-IL"/>
        </w:rPr>
      </w:pPr>
      <w:r w:rsidRPr="00882F11">
        <w:rPr>
          <w:rFonts w:cs="Guttman Drogolin" w:hint="cs"/>
          <w:rtl/>
          <w:lang w:bidi="he-IL"/>
        </w:rPr>
        <w:t>ומ"מ צ"ע, דהא להתיר קרבן שיבא לאחר מכן סגי בהגעלה לבד, ואילו להכשיר הכלי צריכים גם הא דכל יום נעשה גיעול לחבירו וגם הגעלה. ולכאורה צ"ע מאי שנא הא מהא. ונראה הפשוט בזה, שלענין לאסור קרבן שיבא לאחר מכן, שפיר מהני הגעלה לבד. אבל אין זה מוציא את כל הבליעות מן הכלי, וכדי להתיר שתמישו לכתחילה צריכים להוציא את כולו. ולזה מהני הצירוף של הגעלה עם הא דכל יום נעשה גיעול לחבירו, והיינו לכאורה משום דכיון שהבליעות נחלשת עד כדי כך שאינו מקבל שם נותר, וכן שאין בה כדי נתינת טעם כיון שעשו הגעלה, לא גזרו בה. וכי תימא שאם לא התירו אא"כ עש</w:t>
      </w:r>
      <w:r w:rsidR="0097711B" w:rsidRPr="00882F11">
        <w:rPr>
          <w:rFonts w:cs="Guttman Drogolin" w:hint="cs"/>
          <w:rtl/>
          <w:lang w:bidi="he-IL"/>
        </w:rPr>
        <w:t>ו</w:t>
      </w:r>
      <w:r w:rsidRPr="00882F11">
        <w:rPr>
          <w:rFonts w:cs="Guttman Drogolin" w:hint="cs"/>
          <w:rtl/>
          <w:lang w:bidi="he-IL"/>
        </w:rPr>
        <w:t xml:space="preserve"> שניהם,</w:t>
      </w:r>
      <w:r w:rsidR="0097711B" w:rsidRPr="00882F11">
        <w:rPr>
          <w:rFonts w:cs="Guttman Drogolin" w:hint="cs"/>
          <w:rtl/>
          <w:lang w:bidi="he-IL"/>
        </w:rPr>
        <w:t xml:space="preserve"> למה התירו לבשל כגון לבשל שלמים לאחר חטאת לכתחילה. ואולי הי' אפשר לומר משום דאין שבות במקדש. אבל דברי הריטב"א משמע </w:t>
      </w:r>
      <w:r w:rsidR="00EE66B7" w:rsidRPr="00882F11">
        <w:rPr>
          <w:rFonts w:cs="Guttman Drogolin" w:hint="cs"/>
          <w:rtl/>
          <w:lang w:bidi="he-IL"/>
        </w:rPr>
        <w:t xml:space="preserve">שלא גזרו האיסור לכתחילה אלא בדבר שאין תשמישתו תדיר, אבל במקדש לא גזרו כיון שמשתמשים שם הרבה וממילא כל יום נעשה גיעול לחבירו ויהי' מותר כיון שלא יחול איסור נותר על בליעה שנחלש. </w:t>
      </w:r>
      <w:r w:rsidR="0097711B" w:rsidRPr="00882F11">
        <w:rPr>
          <w:rFonts w:cs="Guttman Drogolin" w:hint="cs"/>
          <w:rtl/>
          <w:lang w:bidi="he-IL"/>
        </w:rPr>
        <w:t>ו</w:t>
      </w:r>
      <w:r w:rsidR="00EE66B7" w:rsidRPr="00882F11">
        <w:rPr>
          <w:rFonts w:cs="Guttman Drogolin" w:hint="cs"/>
          <w:rtl/>
          <w:lang w:bidi="he-IL"/>
        </w:rPr>
        <w:t xml:space="preserve">מ"מ </w:t>
      </w:r>
      <w:r w:rsidR="0097711B" w:rsidRPr="00882F11">
        <w:rPr>
          <w:rFonts w:cs="Guttman Drogolin" w:hint="cs"/>
          <w:rtl/>
          <w:lang w:bidi="he-IL"/>
        </w:rPr>
        <w:t>לפי זה יוצא חידוש, שאמנם לא מהני הגעלה</w:t>
      </w:r>
      <w:r w:rsidRPr="00882F11">
        <w:rPr>
          <w:rFonts w:cs="Guttman Drogolin" w:hint="cs"/>
          <w:rtl/>
          <w:lang w:bidi="he-IL"/>
        </w:rPr>
        <w:t xml:space="preserve"> </w:t>
      </w:r>
      <w:r w:rsidR="0097711B" w:rsidRPr="00882F11">
        <w:rPr>
          <w:rFonts w:cs="Guttman Drogolin" w:hint="cs"/>
          <w:rtl/>
          <w:lang w:bidi="he-IL"/>
        </w:rPr>
        <w:t>לכתחילה</w:t>
      </w:r>
      <w:r w:rsidR="00EE66B7" w:rsidRPr="00882F11">
        <w:rPr>
          <w:rFonts w:cs="Guttman Drogolin" w:hint="cs"/>
          <w:rtl/>
          <w:lang w:bidi="he-IL"/>
        </w:rPr>
        <w:t xml:space="preserve"> לדבר שתשמישתו ע"י האור, מ"מ אין זה אוסר בדיעבד. </w:t>
      </w:r>
      <w:r w:rsidR="0097711B" w:rsidRPr="00882F11">
        <w:rPr>
          <w:rFonts w:cs="Guttman Drogolin" w:hint="cs"/>
          <w:rtl/>
          <w:lang w:bidi="he-IL"/>
        </w:rPr>
        <w:t xml:space="preserve"> </w:t>
      </w:r>
      <w:r w:rsidRPr="00882F11">
        <w:rPr>
          <w:rFonts w:cs="Guttman Drogolin" w:hint="cs"/>
          <w:rtl/>
          <w:lang w:bidi="he-IL"/>
        </w:rPr>
        <w:t xml:space="preserve"> </w:t>
      </w:r>
      <w:r w:rsidR="00C6047A" w:rsidRPr="00882F11">
        <w:rPr>
          <w:rFonts w:cs="Guttman Drogolin" w:hint="cs"/>
          <w:rtl/>
          <w:lang w:bidi="he-IL"/>
        </w:rPr>
        <w:t xml:space="preserve"> </w:t>
      </w:r>
    </w:p>
    <w:p w:rsidR="00744523" w:rsidRPr="00882F11" w:rsidRDefault="00AF2E25" w:rsidP="00904C3C">
      <w:pPr>
        <w:tabs>
          <w:tab w:val="right" w:pos="7497"/>
        </w:tabs>
        <w:bidi/>
        <w:jc w:val="both"/>
        <w:rPr>
          <w:rFonts w:cs="Guttman Drogolin"/>
          <w:rtl/>
          <w:lang w:bidi="he-IL"/>
        </w:rPr>
      </w:pPr>
      <w:r w:rsidRPr="00882F11">
        <w:rPr>
          <w:rFonts w:cs="Guttman Drogolin" w:hint="cs"/>
          <w:rtl/>
          <w:lang w:bidi="he-IL"/>
        </w:rPr>
        <w:lastRenderedPageBreak/>
        <w:t xml:space="preserve">והנה הריטב"א שם הביא בשם יש שהיו סבורין שמתירוצו של רבא חזינן שאם בשל אדם חלב בקדרה, ושוב בישל בה ירקות, שמותר לאחר מכן לבשל בה ירקות, דהא אמרינן דאיתי' להיתירא דכל יום נעשה גיעול לחבירו, וכן הוא בתוה"א ב"ד ש"ד. </w:t>
      </w:r>
      <w:r w:rsidR="00BC23CF" w:rsidRPr="00882F11">
        <w:rPr>
          <w:rFonts w:cs="Guttman Drogolin" w:hint="cs"/>
          <w:rtl/>
          <w:lang w:bidi="he-IL"/>
        </w:rPr>
        <w:t xml:space="preserve">וכתב הריטב"א שלפי דבריו ליתי' להוראה זו. והנה דבר פשוט הוא שלפי דבריו אין בבישול הירקות משום הגעלה ממש, דאל"כ איזה מקום יש לחלוק על הוראה זו, הא בנד"ד לא מיירי בתשמישתו ע"י האור. וע"כ מיירי בבישול ירקות באופן דליכא </w:t>
      </w:r>
      <w:r w:rsidR="00904C3C" w:rsidRPr="00882F11">
        <w:rPr>
          <w:rFonts w:cs="Guttman Drogolin" w:hint="cs"/>
          <w:rtl/>
          <w:lang w:bidi="he-IL"/>
        </w:rPr>
        <w:t>הגעלה</w:t>
      </w:r>
      <w:r w:rsidR="00BC23CF" w:rsidRPr="00882F11">
        <w:rPr>
          <w:rFonts w:cs="Guttman Drogolin" w:hint="cs"/>
          <w:rtl/>
          <w:lang w:bidi="he-IL"/>
        </w:rPr>
        <w:t>, וכגון דלא ידעינן שגובה המים של בישול ירקות הגיע עד למעלה</w:t>
      </w:r>
      <w:r w:rsidR="00904C3C" w:rsidRPr="00882F11">
        <w:rPr>
          <w:rFonts w:cs="Guttman Drogolin" w:hint="cs"/>
          <w:rtl/>
          <w:lang w:bidi="he-IL"/>
        </w:rPr>
        <w:t xml:space="preserve"> (ע' ט"ז סי' צ"ג ס"ק ב', וכן נקוה"כ שם), או"ד בקדרה של חרס (וכמש"כ הב"י ונקוה"כ שבסמוך שבהם לא נאמרו דברי הרשב"א), או"ד שלא העלה רתיחות (ע' נקוה"כ שם וכן בביאור הגר"א סי' צ"ד </w:t>
      </w:r>
      <w:r w:rsidR="00105EEB" w:rsidRPr="00882F11">
        <w:rPr>
          <w:rFonts w:cs="Guttman Drogolin" w:hint="cs"/>
          <w:rtl/>
          <w:lang w:bidi="he-IL"/>
        </w:rPr>
        <w:t>ס"ק י"א)</w:t>
      </w:r>
      <w:r w:rsidR="00BC23CF" w:rsidRPr="00882F11">
        <w:rPr>
          <w:rFonts w:cs="Guttman Drogolin" w:hint="cs"/>
          <w:rtl/>
          <w:lang w:bidi="he-IL"/>
        </w:rPr>
        <w:t xml:space="preserve">. רק שמ"מ סבר הרשב"א שבישול תדיר מספיק להחליש הבליעה כדי שלא יאסור ומטעם הנ"ל. ובזה חלק הריטב"א, דהא לדבריו לא סמכינן על הא דבישול אלא בהדי הגעלה ממש, אבל בישול לבד לא מספיק.  </w:t>
      </w:r>
    </w:p>
    <w:p w:rsidR="00EF1137" w:rsidRPr="00882F11" w:rsidRDefault="00744523" w:rsidP="00904C3C">
      <w:pPr>
        <w:tabs>
          <w:tab w:val="right" w:pos="7497"/>
        </w:tabs>
        <w:bidi/>
        <w:jc w:val="both"/>
        <w:rPr>
          <w:rFonts w:cs="Guttman Drogolin"/>
          <w:rtl/>
          <w:lang w:bidi="he-IL"/>
        </w:rPr>
      </w:pPr>
      <w:r w:rsidRPr="00882F11">
        <w:rPr>
          <w:rFonts w:cs="Guttman Drogolin" w:hint="cs"/>
          <w:rtl/>
          <w:lang w:bidi="he-IL"/>
        </w:rPr>
        <w:t>ויעוין בתוס' במס' חולין דף קי"ב ע"א שהקשה קושיא הנ"ל של הרמב"ן, שאפילו את"ל שבהיתירא הטעם דכל יום נעשה גיעול לחבירו מספיק, אבל איך תהני בזה שהקרבן שלמים בלע מן הקרבן חטאת ומיעט אכילתו. והתוס' כתבו ליישב קושיא זו שהוא משום שמ"מ איכא רוב היתר, ואע"ג דליכא ששים</w:t>
      </w:r>
      <w:r w:rsidR="00277CEE" w:rsidRPr="00882F11">
        <w:rPr>
          <w:rFonts w:cs="Guttman Drogolin" w:hint="cs"/>
          <w:rtl/>
          <w:lang w:bidi="he-IL"/>
        </w:rPr>
        <w:t>, במקדש לא גזרו. והב"י בסי' צ"ג הביא דחזינן לדעתם של התוס' שחולקים על הרשב"א,דה איש להם פירוש אחר לגמ'. ולכאורה להבנת הב"י בדעת התוס' הא דכל יום נעשה גיעול לחבירו פירושו של דבר דליכא אלא מיעוט טעם איסור ובמקדש לא גזרו.</w:t>
      </w:r>
      <w:r w:rsidRPr="00882F11">
        <w:rPr>
          <w:rFonts w:cs="Guttman Drogolin" w:hint="cs"/>
          <w:rtl/>
          <w:lang w:bidi="he-IL"/>
        </w:rPr>
        <w:t xml:space="preserve"> </w:t>
      </w:r>
      <w:r w:rsidR="00277CEE" w:rsidRPr="00882F11">
        <w:rPr>
          <w:rFonts w:cs="Guttman Drogolin" w:hint="cs"/>
          <w:rtl/>
          <w:lang w:bidi="he-IL"/>
        </w:rPr>
        <w:t xml:space="preserve">ותמה </w:t>
      </w:r>
      <w:r w:rsidR="00904C3C" w:rsidRPr="00882F11">
        <w:rPr>
          <w:rFonts w:cs="Guttman Drogolin" w:hint="cs"/>
          <w:rtl/>
          <w:lang w:bidi="he-IL"/>
        </w:rPr>
        <w:t>הנקוה"כ בסי' צ"ג</w:t>
      </w:r>
      <w:r w:rsidR="00277CEE" w:rsidRPr="00882F11">
        <w:rPr>
          <w:rFonts w:cs="Guttman Drogolin" w:hint="cs"/>
          <w:rtl/>
          <w:lang w:bidi="he-IL"/>
        </w:rPr>
        <w:t xml:space="preserve">, דא"כ מהו כל קושיית הגמ' משלמים שבישלו חטאת אחריו, הא מ"מ הוי מיעוט, דמשו"ה אין קושיא למה מותר לתת טעם חטאת בשלמים. </w:t>
      </w:r>
      <w:r w:rsidR="00904C3C" w:rsidRPr="00882F11">
        <w:rPr>
          <w:rFonts w:cs="Guttman Drogolin" w:hint="cs"/>
          <w:rtl/>
          <w:lang w:bidi="he-IL"/>
        </w:rPr>
        <w:t>ומשו"ה תי' שלעולם גם התוס' מודי</w:t>
      </w:r>
      <w:r w:rsidR="00277CEE" w:rsidRPr="00882F11">
        <w:rPr>
          <w:rFonts w:cs="Guttman Drogolin" w:hint="cs"/>
          <w:rtl/>
          <w:lang w:bidi="he-IL"/>
        </w:rPr>
        <w:t>ם ליסוד דברי הרשב"א, רק דלא מהני סברתם אלא להתיר הכלי ולא להתיר האוכל. וע' מש"כ בזה החוו"ד</w:t>
      </w:r>
      <w:r w:rsidR="00EF1137" w:rsidRPr="00882F11">
        <w:rPr>
          <w:rFonts w:cs="Guttman Drogolin" w:hint="cs"/>
          <w:rtl/>
          <w:lang w:bidi="he-IL"/>
        </w:rPr>
        <w:t xml:space="preserve"> שם</w:t>
      </w:r>
      <w:r w:rsidR="00277CEE" w:rsidRPr="00882F11">
        <w:rPr>
          <w:rFonts w:cs="Guttman Drogolin" w:hint="cs"/>
          <w:rtl/>
          <w:lang w:bidi="he-IL"/>
        </w:rPr>
        <w:t>.</w:t>
      </w:r>
    </w:p>
    <w:p w:rsidR="00EF1137" w:rsidRPr="00882F11" w:rsidRDefault="00EF1137" w:rsidP="00F07EF3">
      <w:pPr>
        <w:tabs>
          <w:tab w:val="right" w:pos="7497"/>
        </w:tabs>
        <w:bidi/>
        <w:jc w:val="both"/>
        <w:rPr>
          <w:rFonts w:cs="Guttman Drogolin"/>
          <w:rtl/>
          <w:lang w:bidi="he-IL"/>
        </w:rPr>
      </w:pPr>
      <w:r w:rsidRPr="00882F11">
        <w:rPr>
          <w:rFonts w:cs="Guttman Drogolin" w:hint="cs"/>
          <w:rtl/>
          <w:lang w:bidi="he-IL"/>
        </w:rPr>
        <w:lastRenderedPageBreak/>
        <w:t xml:space="preserve">והתי' הרביעי הוא </w:t>
      </w:r>
      <w:r w:rsidR="00F07EF3" w:rsidRPr="00882F11">
        <w:rPr>
          <w:rFonts w:cs="Guttman Drogolin" w:hint="cs"/>
          <w:rtl/>
          <w:lang w:bidi="he-IL"/>
        </w:rPr>
        <w:t>תירוצו של ר' פפא ד'האי קריד והאי לא קריד' ופירש"י דקדשים כיון דמבשלי בהו כל שעה לא מתקשה הבליעה בתוכו ונוח לפלוט, ומשו"ה סגי בהגעלה, אבל גיועלי נכרי כיון שאינו מבשל בהם כל שעה, מתקשה הבליעה בתוכו ונדבקת בו ואינו נוח לפלוט</w:t>
      </w:r>
      <w:r w:rsidRPr="00882F11">
        <w:rPr>
          <w:rFonts w:cs="Guttman Drogolin" w:hint="cs"/>
          <w:rtl/>
          <w:lang w:bidi="he-IL"/>
        </w:rPr>
        <w:t>.</w:t>
      </w:r>
      <w:r w:rsidR="00F07EF3" w:rsidRPr="00882F11">
        <w:rPr>
          <w:rFonts w:cs="Guttman Drogolin" w:hint="cs"/>
          <w:rtl/>
          <w:lang w:bidi="he-IL"/>
        </w:rPr>
        <w:t xml:space="preserve"> ולכאורה חזינן לדעתי' שכלל זה דכבולעו כך פולטו לאו כלל מוחלט הוא, ויש דברים שיוצאים אפילו בדרך פחות ממה נכנסו, דהא סוף סוך גם בקדשים נכנסו הבליעות ע"י האור.</w:t>
      </w:r>
    </w:p>
    <w:p w:rsidR="00D60734" w:rsidRPr="00882F11" w:rsidRDefault="00EF1137" w:rsidP="00F07EF3">
      <w:pPr>
        <w:tabs>
          <w:tab w:val="right" w:pos="7497"/>
        </w:tabs>
        <w:bidi/>
        <w:jc w:val="both"/>
        <w:rPr>
          <w:rFonts w:cs="Guttman Drogolin"/>
          <w:sz w:val="28"/>
          <w:szCs w:val="28"/>
          <w:rtl/>
          <w:lang w:bidi="he-IL"/>
        </w:rPr>
        <w:sectPr w:rsidR="00D60734" w:rsidRPr="00882F11" w:rsidSect="00C32744">
          <w:type w:val="continuous"/>
          <w:pgSz w:w="11907" w:h="16839" w:code="9"/>
          <w:pgMar w:top="1440" w:right="1440" w:bottom="1440" w:left="1440" w:header="720" w:footer="720" w:gutter="0"/>
          <w:cols w:num="2" w:space="720"/>
          <w:bidi/>
          <w:docGrid w:linePitch="360"/>
        </w:sectPr>
      </w:pPr>
      <w:r w:rsidRPr="00882F11">
        <w:rPr>
          <w:rFonts w:cs="Guttman Drogolin" w:hint="cs"/>
          <w:rtl/>
          <w:lang w:bidi="he-IL"/>
        </w:rPr>
        <w:t>והתי' האחרון (שהוא באמת התירוץ הראשון) הוא לחלק בין היתירא בלע לאיסורא בלע. ואע"ג שזהו באמת כבר בכלל התי' של רבא, שהרי גם לדידי' התירוץ מבוסס על זה, שאני תי' זה שאנחנו מקילים אפילו אם נעשה נותר קודם הגעלה</w:t>
      </w:r>
      <w:r w:rsidR="00D0565C" w:rsidRPr="00882F11">
        <w:rPr>
          <w:rStyle w:val="FootnoteReference"/>
          <w:rFonts w:cs="Guttman Drogolin"/>
          <w:rtl/>
          <w:lang w:bidi="he-IL"/>
        </w:rPr>
        <w:footnoteReference w:id="484"/>
      </w:r>
      <w:r w:rsidRPr="00882F11">
        <w:rPr>
          <w:rFonts w:cs="Guttman Drogolin" w:hint="cs"/>
          <w:rtl/>
          <w:lang w:bidi="he-IL"/>
        </w:rPr>
        <w:t>. והטעם מבואר בראשונים שהחלק של טעם שלא יצא ע"י הגעלה אינו נאסר אפילו קודם ההגעלה, ולכן מהני להו הגעלה. משא"כ בגיעולי נכרים שהוא כבר איסור לא מהני סברא זו. וע' בחזו"א שביאר קצת באופן אחר, והוא דכיון שאינו יוצא ע"י הגעלה הרי הוא נטפל לכלי</w:t>
      </w:r>
      <w:r w:rsidR="002A1187" w:rsidRPr="00882F11">
        <w:rPr>
          <w:rStyle w:val="FootnoteReference"/>
          <w:rFonts w:cs="Guttman Drogolin"/>
          <w:rtl/>
          <w:lang w:bidi="he-IL"/>
        </w:rPr>
        <w:footnoteReference w:id="485"/>
      </w:r>
      <w:r w:rsidRPr="00882F11">
        <w:rPr>
          <w:rFonts w:cs="Guttman Drogolin" w:hint="cs"/>
          <w:rtl/>
          <w:lang w:bidi="he-IL"/>
        </w:rPr>
        <w:t xml:space="preserve"> ומשו"ה לא חל עליו איסור.</w:t>
      </w:r>
      <w:r w:rsidR="00831C87" w:rsidRPr="00882F11">
        <w:rPr>
          <w:rFonts w:cs="Guttman Drogolin" w:hint="cs"/>
          <w:rtl/>
          <w:lang w:bidi="he-IL"/>
        </w:rPr>
        <w:t xml:space="preserve"> </w:t>
      </w:r>
      <w:r w:rsidR="0027172C" w:rsidRPr="00882F11">
        <w:rPr>
          <w:rFonts w:cs="Guttman Drogolin" w:hint="cs"/>
          <w:rtl/>
          <w:lang w:bidi="he-IL"/>
        </w:rPr>
        <w:t xml:space="preserve"> </w:t>
      </w:r>
      <w:r w:rsidR="00AD29B4" w:rsidRPr="00882F11">
        <w:rPr>
          <w:rFonts w:cs="Guttman Drogolin" w:hint="cs"/>
          <w:rtl/>
          <w:lang w:bidi="he-IL"/>
        </w:rPr>
        <w:t xml:space="preserve"> </w:t>
      </w:r>
      <w:r w:rsidR="00911ED1" w:rsidRPr="00882F11">
        <w:rPr>
          <w:rFonts w:cs="Guttman Drogolin" w:hint="cs"/>
          <w:sz w:val="28"/>
          <w:szCs w:val="28"/>
          <w:rtl/>
          <w:lang w:bidi="he-IL"/>
        </w:rPr>
        <w:t xml:space="preserve"> </w:t>
      </w:r>
    </w:p>
    <w:p w:rsidR="00D60734" w:rsidRPr="00882F11" w:rsidRDefault="00D60734" w:rsidP="00D60734">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קכ"ז</w:t>
      </w:r>
    </w:p>
    <w:p w:rsidR="006E3B7D" w:rsidRDefault="006E3B7D" w:rsidP="00D60734">
      <w:pPr>
        <w:pStyle w:val="Heading1"/>
        <w:bidi/>
        <w:spacing w:before="0" w:line="360" w:lineRule="auto"/>
        <w:jc w:val="center"/>
        <w:rPr>
          <w:rFonts w:cs="Guttman Drogolin"/>
          <w:color w:val="auto"/>
          <w:sz w:val="24"/>
          <w:szCs w:val="24"/>
          <w:u w:val="single"/>
          <w:rtl/>
          <w:lang w:bidi="he-IL"/>
        </w:rPr>
        <w:sectPr w:rsidR="006E3B7D" w:rsidSect="006E3B7D">
          <w:headerReference w:type="default" r:id="rId92"/>
          <w:pgSz w:w="11907" w:h="16839" w:code="9"/>
          <w:pgMar w:top="1440" w:right="1440" w:bottom="1440" w:left="1440" w:header="720" w:footer="720" w:gutter="0"/>
          <w:cols w:space="720"/>
          <w:bidi/>
          <w:docGrid w:linePitch="360"/>
        </w:sectPr>
      </w:pPr>
    </w:p>
    <w:p w:rsidR="00D60734" w:rsidRPr="00882F11" w:rsidRDefault="00D60734" w:rsidP="00D60734">
      <w:pPr>
        <w:pStyle w:val="Heading1"/>
        <w:bidi/>
        <w:spacing w:before="0" w:line="360" w:lineRule="auto"/>
        <w:jc w:val="center"/>
        <w:rPr>
          <w:rFonts w:cs="Guttman Drogolin"/>
          <w:color w:val="auto"/>
          <w:sz w:val="24"/>
          <w:szCs w:val="24"/>
          <w:u w:val="single"/>
          <w:rtl/>
          <w:lang w:bidi="he-IL"/>
        </w:rPr>
      </w:pPr>
      <w:bookmarkStart w:id="491" w:name="_Toc496175735"/>
      <w:r w:rsidRPr="00882F11">
        <w:rPr>
          <w:rFonts w:cs="Guttman Drogolin" w:hint="cs"/>
          <w:color w:val="auto"/>
          <w:sz w:val="24"/>
          <w:szCs w:val="24"/>
          <w:u w:val="single"/>
          <w:rtl/>
          <w:lang w:bidi="he-IL"/>
        </w:rPr>
        <w:lastRenderedPageBreak/>
        <w:t>הגעלת יורה גדולה</w:t>
      </w:r>
      <w:bookmarkEnd w:id="491"/>
    </w:p>
    <w:p w:rsidR="00B62044" w:rsidRPr="00882F11" w:rsidRDefault="006740EF" w:rsidP="00B62044">
      <w:pPr>
        <w:tabs>
          <w:tab w:val="right" w:pos="7497"/>
        </w:tabs>
        <w:bidi/>
        <w:jc w:val="both"/>
        <w:rPr>
          <w:rFonts w:cs="Guttman Drogolin"/>
          <w:rtl/>
          <w:lang w:bidi="he-IL"/>
        </w:rPr>
      </w:pPr>
      <w:r>
        <w:rPr>
          <w:rFonts w:cs="Guttman Drogolin"/>
          <w:rtl/>
          <w:lang w:bidi="he-IL"/>
        </w:rPr>
        <w:fldChar w:fldCharType="begin"/>
      </w:r>
      <w:r>
        <w:instrText xml:space="preserve"> XE "</w:instrText>
      </w:r>
      <w:r w:rsidRPr="00596B6B">
        <w:rPr>
          <w:rFonts w:hint="cs"/>
          <w:rtl/>
          <w:lang w:bidi="he-IL"/>
        </w:rPr>
        <w:instrText>הכשר כלים</w:instrText>
      </w:r>
      <w:r w:rsidRPr="00596B6B">
        <w:rPr>
          <w:rtl/>
        </w:rPr>
        <w:instrText>:</w:instrText>
      </w:r>
      <w:r w:rsidRPr="00596B6B">
        <w:rPr>
          <w:rFonts w:hint="cs"/>
          <w:rtl/>
          <w:lang w:bidi="he-IL"/>
        </w:rPr>
        <w:instrText>הכשר יורה גדולה</w:instrText>
      </w:r>
      <w:r>
        <w:instrText xml:space="preserve">" </w:instrText>
      </w:r>
      <w:r>
        <w:rPr>
          <w:rFonts w:cs="Guttman Drogolin"/>
          <w:rtl/>
          <w:lang w:bidi="he-IL"/>
        </w:rPr>
        <w:fldChar w:fldCharType="end"/>
      </w:r>
      <w:r w:rsidR="00D60734" w:rsidRPr="00882F11">
        <w:rPr>
          <w:rFonts w:cs="Guttman Drogolin" w:hint="cs"/>
          <w:rtl/>
          <w:lang w:bidi="he-IL"/>
        </w:rPr>
        <w:t>הגמ' שבדף ע"ו ע"א מבארת את תהליך ההכשר של ליבון ושל הגעלה, שבליבון צריכים ללבן עד שתשיר קליפתו (ומ"מ נראה פשוט שאין זה אלא סימן, דהא גם השחזת הסכין מסיר קליפה וכמש"כ הרא"ה, מ"מ יש כאלו הסוברים דלא מהני השחזה כמו ליבון. וע"כ כוונת הגמ' לומר שכשתסיר קליפתו הרי זה סימן שהבליעות שבתוך כל הכלי נשרפו ושוב לא יאסרו). והגעלה היינו שמניח יורה קטנה (פי הכלי שמגעילין אותה) לתוך יורה גדולה (הכלי שמגעילין בה) שיש בה מיים רותחים, ומשום שע"י זה מי ההגעלה עוברים על כל הכלי</w:t>
      </w:r>
      <w:r w:rsidR="00A50C79" w:rsidRPr="00882F11">
        <w:rPr>
          <w:rStyle w:val="FootnoteReference"/>
          <w:rFonts w:cs="Guttman Drogolin"/>
          <w:rtl/>
          <w:lang w:bidi="he-IL"/>
        </w:rPr>
        <w:footnoteReference w:id="486"/>
      </w:r>
      <w:r w:rsidR="00D60734" w:rsidRPr="00882F11">
        <w:rPr>
          <w:rFonts w:cs="Guttman Drogolin" w:hint="cs"/>
          <w:rtl/>
          <w:lang w:bidi="he-IL"/>
        </w:rPr>
        <w:t xml:space="preserve"> ומכשירים אותה. ולכן שואלת הגמ' איך יכשירו יורה גדולה שאי אפשר להכניסה לתוך יורה אחרת. ומתרצת הגמ' שמדביקים עיסה מסביב ל</w:t>
      </w:r>
      <w:r w:rsidR="00F8104D" w:rsidRPr="00882F11">
        <w:rPr>
          <w:rFonts w:cs="Guttman Drogolin" w:hint="cs"/>
          <w:rtl/>
          <w:lang w:bidi="he-IL"/>
        </w:rPr>
        <w:t xml:space="preserve">גדנפא (פי' </w:t>
      </w:r>
      <w:r w:rsidR="00D60734" w:rsidRPr="00882F11">
        <w:rPr>
          <w:rFonts w:cs="Guttman Drogolin" w:hint="cs"/>
          <w:rtl/>
          <w:lang w:bidi="he-IL"/>
        </w:rPr>
        <w:t>שפת הכלי</w:t>
      </w:r>
      <w:r w:rsidR="00F8104D" w:rsidRPr="00882F11">
        <w:rPr>
          <w:rFonts w:cs="Guttman Drogolin" w:hint="cs"/>
          <w:rtl/>
          <w:lang w:bidi="he-IL"/>
        </w:rPr>
        <w:t>)</w:t>
      </w:r>
      <w:r w:rsidR="00D60734" w:rsidRPr="00882F11">
        <w:rPr>
          <w:rFonts w:cs="Guttman Drogolin" w:hint="cs"/>
          <w:rtl/>
          <w:lang w:bidi="he-IL"/>
        </w:rPr>
        <w:t xml:space="preserve">, ולאחר מכן מרתיחים מים בתוך הכלי. ומבארת הגמ' בטעמו של דבר משום </w:t>
      </w:r>
      <w:r w:rsidR="00F8104D" w:rsidRPr="00882F11">
        <w:rPr>
          <w:rFonts w:cs="Guttman Drogolin" w:hint="cs"/>
          <w:rtl/>
          <w:lang w:bidi="he-IL"/>
        </w:rPr>
        <w:t xml:space="preserve">דמה בולעו בניצוצות (פי' הרתיחות של מי הבישול) אף פולטו בניצוצות. ומבאר רש"י כוונת הגמ' לשפת הכלי, שהוא זה שבולע הניצוצות וכן מוכשר בניצוצות. והי' אולי אפשר להבין שכוונת הגמ' לומר שמכשירים השפה של הכלי ע"י הרתיחות שעולים בשעת ההגעלה, אלא שהעיר רש"י בזה דא"כ למה צריכים עיסה. ומשו"ה פירש"י דבעינן לי' דלישה משום שאין הרתיחות עולים על הכלי בכל פעם, ולכן נהי נמי שחוששים שברוב הבישולים עלו רתיחות לשפת הכלי לכה"פ פעם א', מ"מ אי אפשר להיות בטוח שעלה עכשיו,ולכן צריכים שפה של עיסה להיות בטוח שהשפה נכשר. </w:t>
      </w:r>
      <w:r w:rsidR="002254EC" w:rsidRPr="00882F11">
        <w:rPr>
          <w:rFonts w:cs="Guttman Drogolin" w:hint="cs"/>
          <w:rtl/>
          <w:lang w:bidi="he-IL"/>
        </w:rPr>
        <w:lastRenderedPageBreak/>
        <w:t xml:space="preserve">והריטב"א ביאר באופן אחר, והוא שאין רתיחות הבישול עולים </w:t>
      </w:r>
      <w:r w:rsidR="00B62044" w:rsidRPr="00882F11">
        <w:rPr>
          <w:rFonts w:cs="Guttman Drogolin" w:hint="cs"/>
          <w:rtl/>
          <w:lang w:bidi="he-IL"/>
        </w:rPr>
        <w:t xml:space="preserve">בכל מקום של השפה, רק פעמים כאן ופעמים במקום אחר עד שנבלע כולה, ולכן אמנם הרתיחות עולים גם עכשיו בשעת הגעלה, מ"מ אי אפשר שיכשירו את כל השפה, ולכן צריכים לישה בגדנפא. </w:t>
      </w:r>
    </w:p>
    <w:p w:rsidR="00D60832" w:rsidRPr="00882F11" w:rsidRDefault="00B62044" w:rsidP="00D106EB">
      <w:pPr>
        <w:tabs>
          <w:tab w:val="right" w:pos="7497"/>
        </w:tabs>
        <w:bidi/>
        <w:jc w:val="both"/>
        <w:rPr>
          <w:rFonts w:cs="Guttman Drogolin"/>
          <w:rtl/>
          <w:lang w:bidi="he-IL"/>
        </w:rPr>
      </w:pPr>
      <w:r w:rsidRPr="00882F11">
        <w:rPr>
          <w:rFonts w:cs="Guttman Drogolin" w:hint="cs"/>
          <w:rtl/>
          <w:lang w:bidi="he-IL"/>
        </w:rPr>
        <w:t>והנה לשון הגמ' היא מה בולעו בניצוצות אף פולטו בניצוצות. ולכאורה יל"ע שבולעו שפיר הוי ע"י ניצוצות וכנ"ל, אבל בשעת פליטה הא איכא גדנפא וא"כ המים עולים למעלה מן השפה ואין זה רק ניצוצות. ולכאורה הי' אפשר לומר שכוונת הגמ' שבעצם הי' אפשר להכשיר ע"י ניצוצות לבד, רק שחוששים לא יהיו ניצוצות או שלא יהיו בכל מקום של השפה. אבל בריבט"א מבואר שאפילו אחרי שמדביק העיסה לכלי, אין הכלי מחזיק מים יותר מגובה של עיקר הכלי, שאין המים משתהין שם</w:t>
      </w:r>
      <w:r w:rsidRPr="00882F11">
        <w:rPr>
          <w:rStyle w:val="FootnoteReference"/>
          <w:rFonts w:cs="Guttman Drogolin"/>
          <w:rtl/>
          <w:lang w:bidi="he-IL"/>
        </w:rPr>
        <w:footnoteReference w:id="487"/>
      </w:r>
      <w:r w:rsidRPr="00882F11">
        <w:rPr>
          <w:rFonts w:cs="Guttman Drogolin" w:hint="cs"/>
          <w:rtl/>
          <w:lang w:bidi="he-IL"/>
        </w:rPr>
        <w:t>. אבל המים שיעלו לשם מ"מ הוו לכה"פ כניצוצות ומשו"ה מהני.</w:t>
      </w:r>
      <w:r w:rsidR="00A50C79" w:rsidRPr="00882F11">
        <w:rPr>
          <w:rFonts w:cs="Guttman Drogolin" w:hint="cs"/>
          <w:rtl/>
          <w:lang w:bidi="he-IL"/>
        </w:rPr>
        <w:t xml:space="preserve"> וע' </w:t>
      </w:r>
      <w:r w:rsidR="00D60832" w:rsidRPr="00882F11">
        <w:rPr>
          <w:rFonts w:cs="Guttman Drogolin" w:hint="cs"/>
          <w:rtl/>
          <w:lang w:bidi="he-IL"/>
        </w:rPr>
        <w:t xml:space="preserve">עוד </w:t>
      </w:r>
      <w:r w:rsidR="00A50C79" w:rsidRPr="00882F11">
        <w:rPr>
          <w:rFonts w:cs="Guttman Drogolin" w:hint="cs"/>
          <w:rtl/>
          <w:lang w:bidi="he-IL"/>
        </w:rPr>
        <w:t>בחזו"א</w:t>
      </w:r>
      <w:r w:rsidR="00D60832" w:rsidRPr="00882F11">
        <w:rPr>
          <w:rFonts w:cs="Guttman Drogolin" w:hint="cs"/>
          <w:rtl/>
          <w:lang w:bidi="he-IL"/>
        </w:rPr>
        <w:t xml:space="preserve"> רסי' י"ט.</w:t>
      </w:r>
    </w:p>
    <w:p w:rsidR="00D106EB" w:rsidRPr="00882F11" w:rsidRDefault="00D60832" w:rsidP="00D60832">
      <w:pPr>
        <w:tabs>
          <w:tab w:val="right" w:pos="7497"/>
        </w:tabs>
        <w:bidi/>
        <w:jc w:val="both"/>
        <w:rPr>
          <w:rFonts w:cs="Guttman Drogolin"/>
          <w:rtl/>
          <w:lang w:bidi="he-IL"/>
        </w:rPr>
      </w:pPr>
      <w:r w:rsidRPr="00882F11">
        <w:rPr>
          <w:rFonts w:cs="Guttman Drogolin" w:hint="cs"/>
          <w:rtl/>
          <w:lang w:bidi="he-IL"/>
        </w:rPr>
        <w:t xml:space="preserve">והריטב"א הוכיח מכח הסוגיא שאין הבליעות עוברים ממקום למקום משום כללא דחם מקצתו חם כולו אלא בשתמשיתו ע"י האור, דאל"כ למה בעינן לי' להא דמה בולעו בניצוצות, תיפו"ל דחם מקצתו חם כולו. </w:t>
      </w:r>
      <w:r w:rsidR="00063CA7" w:rsidRPr="00882F11">
        <w:rPr>
          <w:rFonts w:cs="Guttman Drogolin" w:hint="cs"/>
          <w:rtl/>
          <w:lang w:bidi="he-IL"/>
        </w:rPr>
        <w:t>ולכאורה הי' אפשר להוכיח את זה גם ממקום אחר</w:t>
      </w:r>
      <w:r w:rsidR="00D106EB" w:rsidRPr="00882F11">
        <w:rPr>
          <w:rFonts w:cs="Guttman Drogolin" w:hint="cs"/>
          <w:rtl/>
          <w:lang w:bidi="he-IL"/>
        </w:rPr>
        <w:t xml:space="preserve">, שלכאורה למה מהני מה שמגעיל רק את הפנים של הכלי, הא הבליעות עוברות בכל הכלי, וכמו שהקשה הרשב"א לעיל בכללא דכל יום ויום נעשה גיעול לחבירו דלא </w:t>
      </w:r>
      <w:r w:rsidR="00D106EB" w:rsidRPr="00882F11">
        <w:rPr>
          <w:rFonts w:cs="Guttman Drogolin" w:hint="cs"/>
          <w:rtl/>
          <w:lang w:bidi="he-IL"/>
        </w:rPr>
        <w:lastRenderedPageBreak/>
        <w:t>מהני כיון שחם מקצתו חם כולו, הה"נ הכא. וצ"ע למה לא הוכיח כן.</w:t>
      </w:r>
    </w:p>
    <w:p w:rsidR="00E9382F" w:rsidRPr="00882F11" w:rsidRDefault="00D106EB" w:rsidP="003B14DA">
      <w:pPr>
        <w:tabs>
          <w:tab w:val="right" w:pos="7497"/>
        </w:tabs>
        <w:bidi/>
        <w:jc w:val="both"/>
        <w:rPr>
          <w:rFonts w:cs="Guttman Drogolin"/>
          <w:rtl/>
          <w:lang w:bidi="he-IL"/>
        </w:rPr>
      </w:pPr>
      <w:r w:rsidRPr="00882F11">
        <w:rPr>
          <w:rFonts w:cs="Guttman Drogolin" w:hint="cs"/>
          <w:rtl/>
          <w:lang w:bidi="he-IL"/>
        </w:rPr>
        <w:t>ויש עוד הערה שהעיר הריטב"א, והוא דנהי נמי שאפשר להגעיל את כל הכלי ע"י זה שממלא אות מים ומרתיחו, אבל לכאורה המים נאסרים מן הבליעות שבפנים</w:t>
      </w:r>
      <w:r w:rsidR="009E69FD" w:rsidRPr="00882F11">
        <w:rPr>
          <w:rFonts w:cs="Guttman Drogolin" w:hint="cs"/>
          <w:rtl/>
          <w:lang w:bidi="he-IL"/>
        </w:rPr>
        <w:t>, וא"כ למה אינם חוזרים ואוסרים הכלי. והקושיא שלעצמו הי' אפשר ליישב דמיירי בכלי שאינו בן יומו, דהא גזרו שחייבים להכשיר כלי שאינו בן יומו אטו בן יומו. וא"כ אחרי הבליעות נתבטלו במי ההגעלה, שוב אינם אוסרים הכלי. אבל הקשו הראשונים דמשמעות הגמ' שאפשר להגעיל אותו בכל אופן, אפילו אם הוא בן יומו. וע' עוד בתוס' במס' חולין ק' ע"ב שהקשו אעיקר הפרשה של כלי מדין איך הכש</w:t>
      </w:r>
      <w:r w:rsidR="003B14DA" w:rsidRPr="00882F11">
        <w:rPr>
          <w:rFonts w:cs="Guttman Drogolin" w:hint="cs"/>
          <w:rtl/>
          <w:lang w:bidi="he-IL"/>
        </w:rPr>
        <w:t>י</w:t>
      </w:r>
      <w:r w:rsidR="009E69FD" w:rsidRPr="00882F11">
        <w:rPr>
          <w:rFonts w:cs="Guttman Drogolin" w:hint="cs"/>
          <w:rtl/>
          <w:lang w:bidi="he-IL"/>
        </w:rPr>
        <w:t>רו יורה גדולה למ"ד חענ"ן בשאר איסורים. והם תירצו שם דאה"נ ולא הכשירו הכלים הגדולים. אבל בסוגיין מא"ל. ולכן כתב הריטב"א שיש למים תכונה שמוציא הבליעות מן הכלי ואינו מכניסם שוב. ויש בזה עוד מהלכים בראשונים ובעזהי"ת בהמשך נאריך בזה יותר</w:t>
      </w:r>
      <w:r w:rsidR="00695A45" w:rsidRPr="00882F11">
        <w:rPr>
          <w:rStyle w:val="FootnoteReference"/>
          <w:rFonts w:cs="Guttman Drogolin"/>
          <w:rtl/>
          <w:lang w:bidi="he-IL"/>
        </w:rPr>
        <w:footnoteReference w:id="488"/>
      </w:r>
      <w:r w:rsidR="009E69FD" w:rsidRPr="00882F11">
        <w:rPr>
          <w:rFonts w:cs="Guttman Drogolin" w:hint="cs"/>
          <w:rtl/>
          <w:lang w:bidi="he-IL"/>
        </w:rPr>
        <w:t xml:space="preserve">. </w:t>
      </w:r>
    </w:p>
    <w:p w:rsidR="00E9382F" w:rsidRPr="00882F11" w:rsidRDefault="00E9382F" w:rsidP="003B44E1">
      <w:pPr>
        <w:tabs>
          <w:tab w:val="right" w:pos="7497"/>
        </w:tabs>
        <w:bidi/>
        <w:jc w:val="both"/>
        <w:rPr>
          <w:rFonts w:cs="Guttman Drogolin"/>
          <w:rtl/>
          <w:lang w:bidi="he-IL"/>
        </w:rPr>
      </w:pPr>
      <w:r w:rsidRPr="00882F11">
        <w:rPr>
          <w:rFonts w:cs="Guttman Drogolin" w:hint="cs"/>
          <w:rtl/>
          <w:lang w:bidi="he-IL"/>
        </w:rPr>
        <w:t>עוד נחלקו הראשונים אם יש עצה נוספת להכשיר הכלי. והוא שבמקום לעשות שפה לכלי ירתיח המים וש</w:t>
      </w:r>
      <w:r w:rsidR="003B44E1" w:rsidRPr="00882F11">
        <w:rPr>
          <w:rFonts w:cs="Guttman Drogolin" w:hint="cs"/>
          <w:rtl/>
          <w:lang w:bidi="he-IL"/>
        </w:rPr>
        <w:t>ו</w:t>
      </w:r>
      <w:r w:rsidRPr="00882F11">
        <w:rPr>
          <w:rFonts w:cs="Guttman Drogolin" w:hint="cs"/>
          <w:rtl/>
          <w:lang w:bidi="he-IL"/>
        </w:rPr>
        <w:t>ב ישליך בה לפיד אש או אבן, וע"י זה המים יצאו דרך השפה ויכשיר אותו. והרא"ש והרמב"ן במס' פסחים נקטו דכה"ג מהני כיון שסוף סוך עובר דרך השפה ומכשיר אותו</w:t>
      </w:r>
      <w:r w:rsidR="003B44E1" w:rsidRPr="00882F11">
        <w:rPr>
          <w:rStyle w:val="FootnoteReference"/>
          <w:rFonts w:cs="Guttman Drogolin"/>
          <w:rtl/>
          <w:lang w:bidi="he-IL"/>
        </w:rPr>
        <w:footnoteReference w:id="489"/>
      </w:r>
      <w:r w:rsidRPr="00882F11">
        <w:rPr>
          <w:rFonts w:cs="Guttman Drogolin" w:hint="cs"/>
          <w:rtl/>
          <w:lang w:bidi="he-IL"/>
        </w:rPr>
        <w:t xml:space="preserve">. אבל בריטב"א חלק דלא מהני, ולכאורה טעמו משום שהמים שהרתיחו נשאר יותר זמן ממה שגולש דרך זריקת אבן וכדומה. </w:t>
      </w:r>
    </w:p>
    <w:p w:rsidR="009E69FD" w:rsidRPr="00882F11" w:rsidRDefault="00E9382F" w:rsidP="00E9382F">
      <w:pPr>
        <w:tabs>
          <w:tab w:val="right" w:pos="7497"/>
        </w:tabs>
        <w:bidi/>
        <w:jc w:val="both"/>
        <w:rPr>
          <w:rFonts w:cs="Guttman Drogolin"/>
          <w:rtl/>
          <w:lang w:bidi="he-IL"/>
        </w:rPr>
      </w:pPr>
      <w:r w:rsidRPr="00882F11">
        <w:rPr>
          <w:rFonts w:cs="Guttman Drogolin" w:hint="cs"/>
          <w:rtl/>
          <w:lang w:bidi="he-IL"/>
        </w:rPr>
        <w:t>וע' לקמן שיעור קכ"ט לענין מחלוקת הראשונים אם הסוגיא מיירי בכלי שמגעילים בה, או סתם כלי תשמיש שהוא גדול.</w:t>
      </w:r>
      <w:r w:rsidR="00D106EB" w:rsidRPr="00882F11">
        <w:rPr>
          <w:rFonts w:cs="Guttman Drogolin" w:hint="cs"/>
          <w:rtl/>
          <w:lang w:bidi="he-IL"/>
        </w:rPr>
        <w:t xml:space="preserve">  </w:t>
      </w:r>
    </w:p>
    <w:p w:rsidR="009E69FD" w:rsidRPr="00882F11" w:rsidRDefault="009E69FD" w:rsidP="009E69FD">
      <w:pPr>
        <w:pStyle w:val="Heading1"/>
        <w:bidi/>
        <w:spacing w:before="0" w:line="360" w:lineRule="auto"/>
        <w:jc w:val="center"/>
        <w:rPr>
          <w:rFonts w:cs="Guttman Drogolin"/>
          <w:color w:val="auto"/>
          <w:sz w:val="24"/>
          <w:szCs w:val="24"/>
          <w:u w:val="single"/>
          <w:rtl/>
          <w:lang w:bidi="he-IL"/>
        </w:rPr>
      </w:pPr>
      <w:bookmarkStart w:id="492" w:name="_Toc496175736"/>
      <w:r w:rsidRPr="00882F11">
        <w:rPr>
          <w:rFonts w:cs="Guttman Drogolin" w:hint="cs"/>
          <w:color w:val="auto"/>
          <w:sz w:val="24"/>
          <w:szCs w:val="24"/>
          <w:u w:val="single"/>
          <w:rtl/>
          <w:lang w:bidi="he-IL"/>
        </w:rPr>
        <w:lastRenderedPageBreak/>
        <w:t>שיטת רב דקדרות בפסח ישברו</w:t>
      </w:r>
      <w:bookmarkEnd w:id="492"/>
    </w:p>
    <w:p w:rsidR="00193982" w:rsidRPr="00882F11" w:rsidRDefault="006740EF" w:rsidP="00591354">
      <w:pPr>
        <w:tabs>
          <w:tab w:val="right" w:pos="7497"/>
        </w:tabs>
        <w:bidi/>
        <w:jc w:val="both"/>
        <w:rPr>
          <w:rFonts w:cs="Guttman Drogolin"/>
          <w:rtl/>
          <w:lang w:bidi="he-IL"/>
        </w:rPr>
      </w:pPr>
      <w:r>
        <w:rPr>
          <w:rFonts w:cs="Guttman Drogolin"/>
          <w:rtl/>
          <w:lang w:bidi="he-IL"/>
        </w:rPr>
        <w:fldChar w:fldCharType="begin"/>
      </w:r>
      <w:r>
        <w:instrText xml:space="preserve"> XE "</w:instrText>
      </w:r>
      <w:r w:rsidRPr="001B05C4">
        <w:rPr>
          <w:rFonts w:hint="cs"/>
          <w:rtl/>
          <w:lang w:bidi="he-IL"/>
        </w:rPr>
        <w:instrText>חמץ פסח</w:instrText>
      </w:r>
      <w:r w:rsidRPr="001B05C4">
        <w:rPr>
          <w:rtl/>
        </w:rPr>
        <w:instrText>:</w:instrText>
      </w:r>
      <w:r w:rsidRPr="001B05C4">
        <w:rPr>
          <w:rFonts w:hint="cs"/>
          <w:rtl/>
          <w:lang w:bidi="he-IL"/>
        </w:rPr>
        <w:instrText>שיטת רב דקדרות בפסח ישברו</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931598">
        <w:rPr>
          <w:rFonts w:hint="cs"/>
          <w:rtl/>
          <w:lang w:bidi="he-IL"/>
        </w:rPr>
        <w:instrText>הכשר כלים</w:instrText>
      </w:r>
      <w:r w:rsidRPr="00931598">
        <w:rPr>
          <w:rtl/>
        </w:rPr>
        <w:instrText>:</w:instrText>
      </w:r>
      <w:r w:rsidRPr="00931598">
        <w:rPr>
          <w:rFonts w:hint="cs"/>
          <w:rtl/>
          <w:lang w:bidi="he-IL"/>
        </w:rPr>
        <w:instrText>שיטת רב שקדרות בפסח ישברו</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263DFE">
        <w:rPr>
          <w:rFonts w:hint="cs"/>
          <w:rtl/>
          <w:lang w:bidi="he-IL"/>
        </w:rPr>
        <w:instrText>הכשר כלים</w:instrText>
      </w:r>
      <w:r w:rsidRPr="00263DFE">
        <w:rPr>
          <w:rtl/>
        </w:rPr>
        <w:instrText>:</w:instrText>
      </w:r>
      <w:r w:rsidRPr="00263DFE">
        <w:rPr>
          <w:rFonts w:hint="cs"/>
          <w:rtl/>
          <w:lang w:bidi="he-IL"/>
        </w:rPr>
        <w:instrText>סוגיית הגמרא דמסכת פסחים דף ל'</w:instrText>
      </w:r>
      <w:r>
        <w:instrText xml:space="preserve">" </w:instrText>
      </w:r>
      <w:r>
        <w:rPr>
          <w:rFonts w:cs="Guttman Drogolin"/>
          <w:rtl/>
          <w:lang w:bidi="he-IL"/>
        </w:rPr>
        <w:fldChar w:fldCharType="end"/>
      </w:r>
      <w:r w:rsidR="006F2892" w:rsidRPr="00882F11">
        <w:rPr>
          <w:rFonts w:cs="Guttman Drogolin" w:hint="cs"/>
          <w:rtl/>
          <w:lang w:bidi="he-IL"/>
        </w:rPr>
        <w:t xml:space="preserve">במס' פסחים דף ל' ע"א מבואר מחלוקת רב ושמואל בקדרות של חרס הבלועים חמץ, דרב סבר שישברו, ושמואל סבר שאפשר להשהותם עד לאחר הפסח וישתמש בהם בין במינו ובין שלא במינו. והגמ' שואלת על שיטת רב דלמה לא ישתמש בהם בשלא במינו מיהת. ומתרצת הגמ' שגזרו אינו מינו אטו מינו. ומהא דמעיקר הדין אסרו רק מינו ולא אינו מינו, לכאורה חזינן שטעמו של רב משום דסבר בעלמא דמין במינו לא בטל, שזהו הטעם היחיד להחמיר במינו יותר מבשאינו מינו. ועוד מבואר לכאורה שאין בה כדי נתינת טעם, דאל"כ גם בשלא במינו הי' לנו לאסור מדינא דטכ"ע. ועוד חזינן דרב אסר אפילו לאחר הפסח שהבליעה כבר אינו בן יומו שהבליעה כבר נותן טעם לפגם. ורש"י כתב דלא קיי"ל כרב מתרי טעמי, חדא רב סבר נטל"פ אסור ואנן קיי"ל דמותר, ועוד משום דרב ע"כ סבר כר' יהודה שחמץ לאחר הפסח אסור מעיקר הדין (דאי משום קנס הא סגי לן ברוב, כשיטת רש"י לעיל שם בדף ל' ע"א). </w:t>
      </w:r>
      <w:r w:rsidR="00193982" w:rsidRPr="00882F11">
        <w:rPr>
          <w:rFonts w:cs="Guttman Drogolin" w:hint="cs"/>
          <w:rtl/>
          <w:lang w:bidi="he-IL"/>
        </w:rPr>
        <w:t>ובאמת לדידן יש עוד טעם לומר שאין הלכה כרב, והוא משום דקיי"ל דמין במינו לא בטל, ורש"י שלא כתב כן לשיטתו במס' חולין דף ק"ט ע"א דקיי"ל כמ"ד מין במינו לא בטל.</w:t>
      </w:r>
      <w:r w:rsidR="005E5DE0" w:rsidRPr="00882F11">
        <w:rPr>
          <w:rFonts w:cs="Guttman Drogolin" w:hint="cs"/>
          <w:rtl/>
          <w:lang w:bidi="he-IL"/>
        </w:rPr>
        <w:t xml:space="preserve"> ובהא דתלי רש"י בזה דקיי"ל נטל"פ מותר יש לדחות וכמש"כ כמה ראשונים דלעולם י"ל נטל"פ מותר (ובמס' ע"ז הי' רב מסופק בזה)</w:t>
      </w:r>
      <w:r w:rsidR="00591354" w:rsidRPr="00882F11">
        <w:rPr>
          <w:rFonts w:cs="Guttman Drogolin" w:hint="cs"/>
          <w:rtl/>
          <w:lang w:bidi="he-IL"/>
        </w:rPr>
        <w:t>, והכא גזרו אינו בן יומו אטו בן יומו.</w:t>
      </w:r>
      <w:r w:rsidR="00606B88" w:rsidRPr="00882F11">
        <w:rPr>
          <w:rFonts w:cs="Guttman Drogolin" w:hint="cs"/>
          <w:rtl/>
          <w:lang w:bidi="he-IL"/>
        </w:rPr>
        <w:t xml:space="preserve"> ויעוין בתוס' הרא"ש ותוס' ר"פ ועוד דנקטו שאין לגזור כאן אינו בן יומו אטו בן יומו, דכיון שאין האיסור אלא בחמץ שעבר עליו הפסח, לא שייך בן יומו ולכן ליכא למיגזר באינו בן יומו.</w:t>
      </w:r>
      <w:r w:rsidR="00591354" w:rsidRPr="00882F11">
        <w:rPr>
          <w:rFonts w:cs="Guttman Drogolin" w:hint="cs"/>
          <w:rtl/>
          <w:lang w:bidi="he-IL"/>
        </w:rPr>
        <w:t xml:space="preserve"> </w:t>
      </w:r>
    </w:p>
    <w:p w:rsidR="00591354" w:rsidRPr="00882F11" w:rsidRDefault="00193982" w:rsidP="00591354">
      <w:pPr>
        <w:tabs>
          <w:tab w:val="right" w:pos="7497"/>
        </w:tabs>
        <w:bidi/>
        <w:jc w:val="both"/>
        <w:rPr>
          <w:rFonts w:cs="Guttman Drogolin"/>
          <w:rtl/>
          <w:lang w:bidi="he-IL"/>
        </w:rPr>
      </w:pPr>
      <w:r w:rsidRPr="00882F11">
        <w:rPr>
          <w:rFonts w:cs="Guttman Drogolin" w:hint="cs"/>
          <w:rtl/>
          <w:lang w:bidi="he-IL"/>
        </w:rPr>
        <w:t>והראשונים מקשים ב' קושיות על סוגיית הגמ'. חדא דלמה הי' פשוט לגמ' שאין כאן אלא משהו, הא בעלמא חיישינן שי</w:t>
      </w:r>
      <w:r w:rsidR="005E5DE0" w:rsidRPr="00882F11">
        <w:rPr>
          <w:rFonts w:cs="Guttman Drogolin" w:hint="cs"/>
          <w:rtl/>
          <w:lang w:bidi="he-IL"/>
        </w:rPr>
        <w:t>ש מספיק טעם בקדרה לאסור תבשיל וכ</w:t>
      </w:r>
      <w:r w:rsidRPr="00882F11">
        <w:rPr>
          <w:rFonts w:cs="Guttman Drogolin" w:hint="cs"/>
          <w:rtl/>
          <w:lang w:bidi="he-IL"/>
        </w:rPr>
        <w:t xml:space="preserve">דאמרינן במס' חולין (צ"ז ע"א) </w:t>
      </w:r>
      <w:r w:rsidRPr="00882F11">
        <w:rPr>
          <w:rFonts w:cs="Guttman Drogolin"/>
          <w:rtl/>
          <w:lang w:bidi="he-IL"/>
        </w:rPr>
        <w:lastRenderedPageBreak/>
        <w:t>קדרה שבשל בה בשר לא יבשל בה חלב, ואם בשל בנותן טע</w:t>
      </w:r>
      <w:r w:rsidRPr="00882F11">
        <w:rPr>
          <w:rFonts w:cs="Guttman Drogolin" w:hint="cs"/>
          <w:rtl/>
          <w:lang w:bidi="he-IL"/>
        </w:rPr>
        <w:t>ם</w:t>
      </w:r>
      <w:r w:rsidRPr="00882F11">
        <w:rPr>
          <w:rStyle w:val="FootnoteReference"/>
          <w:rFonts w:cs="Guttman Drogolin"/>
          <w:rtl/>
          <w:lang w:bidi="he-IL"/>
        </w:rPr>
        <w:footnoteReference w:id="490"/>
      </w:r>
      <w:r w:rsidR="005E5DE0" w:rsidRPr="00882F11">
        <w:rPr>
          <w:rFonts w:cs="Guttman Drogolin" w:hint="cs"/>
          <w:rtl/>
          <w:lang w:bidi="he-IL"/>
        </w:rPr>
        <w:t>.</w:t>
      </w:r>
      <w:r w:rsidR="00591354" w:rsidRPr="00882F11">
        <w:rPr>
          <w:rFonts w:cs="Guttman Drogolin" w:hint="cs"/>
          <w:rtl/>
          <w:lang w:bidi="he-IL"/>
        </w:rPr>
        <w:t xml:space="preserve"> ועוד הקשו איך ס"ד להתיר להשתמש בה בשאינו מינו, דאע"ג שאין בה נתינת טעם, מ"מ אין מבטלין איסור לכתחילה.</w:t>
      </w:r>
    </w:p>
    <w:p w:rsidR="001A0CA0" w:rsidRPr="00882F11" w:rsidRDefault="00591354" w:rsidP="002A1187">
      <w:pPr>
        <w:tabs>
          <w:tab w:val="right" w:pos="7497"/>
        </w:tabs>
        <w:bidi/>
        <w:jc w:val="both"/>
        <w:rPr>
          <w:rFonts w:cs="Guttman Drogolin"/>
          <w:rtl/>
          <w:lang w:bidi="he-IL"/>
        </w:rPr>
      </w:pPr>
      <w:r w:rsidRPr="00882F11">
        <w:rPr>
          <w:rFonts w:cs="Guttman Drogolin" w:hint="cs"/>
          <w:rtl/>
          <w:lang w:bidi="he-IL"/>
        </w:rPr>
        <w:t xml:space="preserve">ובתוס' </w:t>
      </w:r>
      <w:r w:rsidR="002A1187" w:rsidRPr="00882F11">
        <w:rPr>
          <w:rFonts w:cs="Guttman Drogolin" w:hint="cs"/>
          <w:rtl/>
          <w:lang w:bidi="he-IL"/>
        </w:rPr>
        <w:t xml:space="preserve">שם ד"ה </w:t>
      </w:r>
      <w:r w:rsidR="002A1187" w:rsidRPr="00882F11">
        <w:rPr>
          <w:rFonts w:cs="Guttman Drogolin"/>
          <w:rtl/>
          <w:lang w:bidi="he-IL"/>
        </w:rPr>
        <w:t>לשהינהו</w:t>
      </w:r>
      <w:r w:rsidR="002A1187" w:rsidRPr="00882F11">
        <w:rPr>
          <w:rFonts w:cs="Guttman Drogolin" w:hint="cs"/>
          <w:rtl/>
          <w:lang w:bidi="he-IL"/>
        </w:rPr>
        <w:t xml:space="preserve"> </w:t>
      </w:r>
      <w:r w:rsidRPr="00882F11">
        <w:rPr>
          <w:rFonts w:cs="Guttman Drogolin" w:hint="cs"/>
          <w:rtl/>
          <w:lang w:bidi="he-IL"/>
        </w:rPr>
        <w:t xml:space="preserve">מבואר שהטעם שאינו אלא איסור משהו משום </w:t>
      </w:r>
      <w:r w:rsidR="002A1187" w:rsidRPr="00882F11">
        <w:rPr>
          <w:rFonts w:cs="Guttman Drogolin" w:hint="cs"/>
          <w:rtl/>
          <w:lang w:bidi="he-IL"/>
        </w:rPr>
        <w:t>'</w:t>
      </w:r>
      <w:r w:rsidRPr="00882F11">
        <w:rPr>
          <w:rFonts w:cs="Guttman Drogolin"/>
          <w:rtl/>
          <w:lang w:bidi="he-IL"/>
        </w:rPr>
        <w:t>שאין רגילין להשתמש הרבה ביחד</w:t>
      </w:r>
      <w:r w:rsidR="002A1187" w:rsidRPr="00882F11">
        <w:rPr>
          <w:rFonts w:cs="Guttman Drogolin" w:hint="cs"/>
          <w:rtl/>
          <w:lang w:bidi="he-IL"/>
        </w:rPr>
        <w:t>'. וכה"ג מבואר גם בר"ן על הרי"ף. ולכאורה היינו משום לא הי' הדרך לבשל קדרה מלאה רק עם חמץ, רק ביחד עם מים, וכמות שחמץ שהי' בו לא הי' מספיק כדי שיוכל להכנס לתוך הכלי ושוה ליתן טעם במאכל אחר. ואע"ג שבישל בה הרבה פעמים, מ"מ אין המדומע מדמע אלא לפי חשבון. וע' חזו"א</w:t>
      </w:r>
      <w:r w:rsidR="00D1519F" w:rsidRPr="00882F11">
        <w:rPr>
          <w:rFonts w:cs="Guttman Drogolin" w:hint="cs"/>
          <w:rtl/>
          <w:lang w:bidi="he-IL"/>
        </w:rPr>
        <w:t xml:space="preserve"> או"ח</w:t>
      </w:r>
      <w:r w:rsidR="002A1187" w:rsidRPr="00882F11">
        <w:rPr>
          <w:rFonts w:cs="Guttman Drogolin" w:hint="cs"/>
          <w:rtl/>
          <w:lang w:bidi="he-IL"/>
        </w:rPr>
        <w:t xml:space="preserve"> ססי' קי"ז על דרך זה.</w:t>
      </w:r>
    </w:p>
    <w:p w:rsidR="007860D5" w:rsidRPr="00882F11" w:rsidRDefault="001A0CA0" w:rsidP="00221764">
      <w:pPr>
        <w:tabs>
          <w:tab w:val="right" w:pos="7497"/>
        </w:tabs>
        <w:bidi/>
        <w:jc w:val="both"/>
        <w:rPr>
          <w:rFonts w:cs="Guttman Drogolin"/>
          <w:rtl/>
          <w:lang w:bidi="he-IL"/>
        </w:rPr>
      </w:pPr>
      <w:r w:rsidRPr="00882F11">
        <w:rPr>
          <w:rFonts w:cs="Guttman Drogolin" w:hint="cs"/>
          <w:rtl/>
          <w:lang w:bidi="he-IL"/>
        </w:rPr>
        <w:t>עוד דעה מוזכר ברמב"ן, והוא שלעולם יכול להיות שיש בה כדי נתינת טעם, ולא היתה כוונת הגמ' אלא לומר שיבשל בה ויטעמנו לקפילא, ומשום דרוב פעמים אין בה נתינת טעם רק דמחמרינן. והרמב"ן דחה תי' זה, שאינו מסתבר שנטעימנו כל שעה לקפילא</w:t>
      </w:r>
      <w:r w:rsidRPr="00882F11">
        <w:rPr>
          <w:rStyle w:val="FootnoteReference"/>
          <w:rFonts w:cs="Guttman Drogolin"/>
          <w:rtl/>
          <w:lang w:bidi="he-IL"/>
        </w:rPr>
        <w:footnoteReference w:id="491"/>
      </w:r>
      <w:r w:rsidRPr="00882F11">
        <w:rPr>
          <w:rFonts w:cs="Guttman Drogolin" w:hint="cs"/>
          <w:rtl/>
          <w:lang w:bidi="he-IL"/>
        </w:rPr>
        <w:t xml:space="preserve"> משום שבכה"ג אתי לידי תקלה</w:t>
      </w:r>
      <w:r w:rsidR="00221764" w:rsidRPr="00882F11">
        <w:rPr>
          <w:rStyle w:val="FootnoteReference"/>
          <w:rFonts w:cs="Guttman Drogolin"/>
          <w:rtl/>
          <w:lang w:bidi="he-IL"/>
        </w:rPr>
        <w:footnoteReference w:id="492"/>
      </w:r>
      <w:r w:rsidRPr="00882F11">
        <w:rPr>
          <w:rFonts w:cs="Guttman Drogolin" w:hint="cs"/>
          <w:rtl/>
          <w:lang w:bidi="he-IL"/>
        </w:rPr>
        <w:t>. וכן אין לומר שיטעמנו פעם א' ותו לא, דהא אין בישול א' מעיד על השני אם יהי' בה נתינת טעם או לא. ומ"מ בחי' ר' דוד הסיק כתי' זה.</w:t>
      </w:r>
    </w:p>
    <w:p w:rsidR="00606B88" w:rsidRPr="00882F11" w:rsidRDefault="007860D5" w:rsidP="00267BB9">
      <w:pPr>
        <w:tabs>
          <w:tab w:val="right" w:pos="7497"/>
        </w:tabs>
        <w:bidi/>
        <w:jc w:val="both"/>
        <w:rPr>
          <w:rFonts w:cs="Guttman Drogolin"/>
          <w:rtl/>
          <w:lang w:bidi="he-IL"/>
        </w:rPr>
      </w:pPr>
      <w:r w:rsidRPr="00882F11">
        <w:rPr>
          <w:rFonts w:cs="Guttman Drogolin" w:hint="cs"/>
          <w:rtl/>
          <w:lang w:bidi="he-IL"/>
        </w:rPr>
        <w:t xml:space="preserve">והרמב"ן עצמו כתב </w:t>
      </w:r>
      <w:r w:rsidR="00D1519F" w:rsidRPr="00882F11">
        <w:rPr>
          <w:rFonts w:cs="Guttman Drogolin" w:hint="cs"/>
          <w:rtl/>
          <w:lang w:bidi="he-IL"/>
        </w:rPr>
        <w:t>שאפילו בכלי חרס שאינו</w:t>
      </w:r>
      <w:r w:rsidR="00D1519F" w:rsidRPr="00882F11">
        <w:rPr>
          <w:rFonts w:cs="Guttman Drogolin"/>
          <w:rtl/>
          <w:lang w:bidi="he-IL"/>
        </w:rPr>
        <w:t xml:space="preserve"> יוצא מידי דפיו לעולם </w:t>
      </w:r>
      <w:r w:rsidR="00D1519F" w:rsidRPr="00882F11">
        <w:rPr>
          <w:rFonts w:cs="Guttman Drogolin" w:hint="cs"/>
          <w:rtl/>
          <w:lang w:bidi="he-IL"/>
        </w:rPr>
        <w:t xml:space="preserve">מ"מ </w:t>
      </w:r>
      <w:r w:rsidR="00D1519F" w:rsidRPr="00882F11">
        <w:rPr>
          <w:rFonts w:cs="Guttman Drogolin"/>
          <w:rtl/>
          <w:lang w:bidi="he-IL"/>
        </w:rPr>
        <w:t xml:space="preserve">אם אדם </w:t>
      </w:r>
      <w:r w:rsidR="00D1519F" w:rsidRPr="00882F11">
        <w:rPr>
          <w:rFonts w:cs="Guttman Drogolin" w:hint="cs"/>
          <w:rtl/>
          <w:lang w:bidi="he-IL"/>
        </w:rPr>
        <w:t>"</w:t>
      </w:r>
      <w:r w:rsidR="00D1519F" w:rsidRPr="00882F11">
        <w:rPr>
          <w:rFonts w:cs="Guttman Drogolin"/>
          <w:rtl/>
          <w:lang w:bidi="he-IL"/>
        </w:rPr>
        <w:t>מדיחו יפה ומקרקר ושוטפו בחמין ומפליטו יפה לא ישאר בו כדי נותן טעם</w:t>
      </w:r>
      <w:r w:rsidR="00D1519F" w:rsidRPr="00882F11">
        <w:rPr>
          <w:rFonts w:cs="Guttman Drogolin" w:hint="cs"/>
          <w:rtl/>
          <w:lang w:bidi="he-IL"/>
        </w:rPr>
        <w:t xml:space="preserve">". ולא ברירא לי כוונתו כל הצורך. ולכאורה כוונתו לומר דאע"ג שאין הכשר לכלי חרס, מ"מ ההגעלה אינו משאיר אלא משהו אבל לא כדי נתינת טעם. אבל א"כ מהו זה שהוסיף שמדיחו ושוטפו וכו' הם ענינים של הסרת </w:t>
      </w:r>
      <w:r w:rsidR="00D1519F" w:rsidRPr="00882F11">
        <w:rPr>
          <w:rFonts w:cs="Guttman Drogolin" w:hint="cs"/>
          <w:rtl/>
          <w:lang w:bidi="he-IL"/>
        </w:rPr>
        <w:lastRenderedPageBreak/>
        <w:t>שמנונית, ולכאורה אין חילוק בין כלי חרס לכלי שטף לענין זה</w:t>
      </w:r>
      <w:r w:rsidR="005B5EA7" w:rsidRPr="00882F11">
        <w:rPr>
          <w:rFonts w:cs="Guttman Drogolin" w:hint="cs"/>
          <w:rtl/>
          <w:lang w:bidi="he-IL"/>
        </w:rPr>
        <w:t xml:space="preserve"> (וע' בר' דוד שהעירר מעין זה)</w:t>
      </w:r>
      <w:r w:rsidR="00D1519F" w:rsidRPr="00882F11">
        <w:rPr>
          <w:rFonts w:cs="Guttman Drogolin" w:hint="cs"/>
          <w:rtl/>
          <w:lang w:bidi="he-IL"/>
        </w:rPr>
        <w:t xml:space="preserve">. וצ"ע. ועוד צ"ע בדבריו שהרי כתב שאם </w:t>
      </w:r>
      <w:r w:rsidR="005B5EA7" w:rsidRPr="00882F11">
        <w:rPr>
          <w:rFonts w:cs="Guttman Drogolin" w:hint="cs"/>
          <w:rtl/>
          <w:lang w:bidi="he-IL"/>
        </w:rPr>
        <w:t>הגעיל כלי חרס הבלוע שאר איסורים שפיר אוסר בנ"ט, רק בחמץ כיון שבשעת בליעתו היתה היתר אין בה כדי נתינת טעם. וע' בחי' ר' דוד שבאמת תמה על זה, והוסיף שהרי בחמץ בדר"כ החמירו יותר מבשאר איסורים.</w:t>
      </w:r>
      <w:r w:rsidR="00D1519F" w:rsidRPr="00882F11">
        <w:rPr>
          <w:rFonts w:cs="Guttman Drogolin" w:hint="cs"/>
          <w:rtl/>
          <w:lang w:bidi="he-IL"/>
        </w:rPr>
        <w:t xml:space="preserve"> </w:t>
      </w:r>
      <w:r w:rsidR="00546723" w:rsidRPr="00882F11">
        <w:rPr>
          <w:rFonts w:cs="Guttman Drogolin" w:hint="cs"/>
          <w:rtl/>
          <w:lang w:bidi="he-IL"/>
        </w:rPr>
        <w:t xml:space="preserve">וע"ש שבאמת דחה טענת הרמב"ן שאין בה כדי נתינת טעם, ואע"ג שבכלי מתכת שתשמישו באור מהני הגעלה לענין זה שאין בה כדי נתינת טעם, וכדברי הרמב"ן במס' ע"ז ע"ו ע"א שהבאנו בשיעור הקודם, מ"מ כלי חרס שאני ולא מהני הגעלה להוציא מספיק טעם כדי שלא יהא בה נתינת טעם. ומ"מ בביאור שיטת הרמב"ן ע"כ צריכים לומר שלעולם מעיקר הדין גם באיסורא אחרי שהגעיל את הכלי את הכלי אין בה כדי נתינ טעם. רק דלא סמכינן על זה. ואע"ג שלכאורה מהני טעימת קפילא, וא"כ מאי שנא הא דהגילו מטעימת קפילא כיון שסמכינן שאין בה כדי נתינת טעם, הנ"מ כשהטעימו לקפילא, אבל אין אנו סומכים על ההסתברות שאין נתינת טעם אחרי הגעלה באיסורא, רק בחמץ. </w:t>
      </w:r>
      <w:r w:rsidR="00267BB9" w:rsidRPr="00882F11">
        <w:rPr>
          <w:rFonts w:cs="Guttman Drogolin" w:hint="cs"/>
          <w:rtl/>
          <w:lang w:bidi="he-IL"/>
        </w:rPr>
        <w:t xml:space="preserve">ונראה שהטעם שהחמירו בסאכר איסורים ולא בחמץ הוא משום שבכלי חמץ כי השתמש בהיתירא משתמש, משא"כ באיסורא, וכטעמו של הרמב"ן המובא בסמוך בהא שאין בה משום מבטל איסור לכתחילה. </w:t>
      </w:r>
      <w:r w:rsidR="00546723" w:rsidRPr="00882F11">
        <w:rPr>
          <w:rFonts w:cs="Guttman Drogolin" w:hint="cs"/>
          <w:rtl/>
          <w:lang w:bidi="he-IL"/>
        </w:rPr>
        <w:t xml:space="preserve"> </w:t>
      </w:r>
    </w:p>
    <w:p w:rsidR="000E527A" w:rsidRPr="00882F11" w:rsidRDefault="00606B88" w:rsidP="000E527A">
      <w:pPr>
        <w:tabs>
          <w:tab w:val="right" w:pos="7497"/>
        </w:tabs>
        <w:bidi/>
        <w:jc w:val="both"/>
        <w:rPr>
          <w:rFonts w:cs="Guttman Drogolin"/>
          <w:rtl/>
          <w:lang w:bidi="he-IL"/>
        </w:rPr>
      </w:pPr>
      <w:r w:rsidRPr="00882F11">
        <w:rPr>
          <w:rFonts w:cs="Guttman Drogolin" w:hint="cs"/>
          <w:rtl/>
          <w:lang w:bidi="he-IL"/>
        </w:rPr>
        <w:t xml:space="preserve">ויש עוד מהלך המוזכר בראשונים. והוא דלעולם סבר </w:t>
      </w:r>
      <w:r w:rsidR="000E527A" w:rsidRPr="00882F11">
        <w:rPr>
          <w:rFonts w:cs="Guttman Drogolin" w:hint="cs"/>
          <w:rtl/>
          <w:lang w:bidi="he-IL"/>
        </w:rPr>
        <w:t>רב נטל"פ מותר, והכא יש מספיק טעם דאילו הי' לשבח הי' אוסר בנתינת טעם. אבל מ"מ הרי הוא אוסר במינו במשהו כיון שלא נאמר ההיתר של נטל"פ בדברים האוסרים במשהו</w:t>
      </w:r>
      <w:r w:rsidR="000E527A" w:rsidRPr="00882F11">
        <w:rPr>
          <w:rStyle w:val="FootnoteReference"/>
          <w:rFonts w:cs="Guttman Drogolin"/>
          <w:rtl/>
          <w:lang w:bidi="he-IL"/>
        </w:rPr>
        <w:footnoteReference w:id="493"/>
      </w:r>
      <w:r w:rsidR="000E527A" w:rsidRPr="00882F11">
        <w:rPr>
          <w:rFonts w:cs="Guttman Drogolin" w:hint="cs"/>
          <w:rtl/>
          <w:lang w:bidi="he-IL"/>
        </w:rPr>
        <w:t xml:space="preserve">. וע' בדברי רוב הראשונים מש"כ לדחות שיטה זו. ומצאתי </w:t>
      </w:r>
      <w:r w:rsidR="000E527A" w:rsidRPr="00882F11">
        <w:rPr>
          <w:rFonts w:cs="Guttman Drogolin" w:hint="cs"/>
          <w:rtl/>
          <w:lang w:bidi="he-IL"/>
        </w:rPr>
        <w:lastRenderedPageBreak/>
        <w:t>דבר חידוש ב</w:t>
      </w:r>
      <w:r w:rsidRPr="00882F11">
        <w:rPr>
          <w:rFonts w:cs="Guttman Drogolin" w:hint="cs"/>
          <w:rtl/>
          <w:lang w:bidi="he-IL"/>
        </w:rPr>
        <w:t>מהר"ם חלאוה שכתב "</w:t>
      </w:r>
      <w:r w:rsidRPr="00882F11">
        <w:rPr>
          <w:rFonts w:cs="Guttman Drogolin"/>
          <w:rtl/>
          <w:lang w:bidi="he-IL"/>
        </w:rPr>
        <w:t>לפי' נראה מה שפירשו בתוספות דמשהו לא פגים דלרוב דקותו לא שייך ביה פגם. הלכך במינן לית להו תקנתא כיון שהוא במשהו אבל שלא במינן דבנותן טעם הוה ליה נותן טעם לפגם ונותן טעם לפגם מותר</w:t>
      </w:r>
      <w:r w:rsidRPr="00882F11">
        <w:rPr>
          <w:rFonts w:cs="Guttman Drogolin" w:hint="cs"/>
          <w:rtl/>
          <w:lang w:bidi="he-IL"/>
        </w:rPr>
        <w:t xml:space="preserve">". ואי אפשר לומר שכוונתו לומר שאם אין הבלוע אלא משהו אינו נפגם, אבל כשיש יותר ממשהו הוא נגפם, דהא כאן מיירי באותם בליעות לענין מינו ולענין אינו מינו, ולכן אם לא הוו נ"ט לשבח לענין שלא במינו, גם לענין במינו י"ל כן. וע"כ כוונתו לומר (אע"פ שלשונו קשה) כתי' המובא בהרבה ראשונים דלעולם הוא נטל"פ ומ"מ הוא אוסר בשמהו במינו ומשום שדברים האוסרים במשהו אוסרים אפילו אם נטל"פ. רק שיש לו ביאור חדש בזה, והוא דהא דאמרינן שהבליעות שבתוך הכלי נטל"פ, הנ"מ רוב הבליעות, אבל לעולם יש קצת בליעות שלא נפגמו רק שאין להם כח לתת טעם לשבח. ולכן בדברים שאינם אסורים במשהו הא הוי לפגם, אבל אם אוסרים במשהו, נהי נמי שרוב הבליעות נפגמו, מ"מ יש משהו שלא נפגם ויש לו כח לאסור.  </w:t>
      </w:r>
    </w:p>
    <w:p w:rsidR="00C81FC3" w:rsidRPr="00882F11" w:rsidRDefault="000E527A" w:rsidP="00D56412">
      <w:pPr>
        <w:tabs>
          <w:tab w:val="right" w:pos="7497"/>
        </w:tabs>
        <w:bidi/>
        <w:jc w:val="both"/>
        <w:rPr>
          <w:rFonts w:cs="Guttman Drogolin"/>
          <w:rtl/>
          <w:lang w:bidi="he-IL"/>
        </w:rPr>
      </w:pPr>
      <w:r w:rsidRPr="00882F11">
        <w:rPr>
          <w:rFonts w:cs="Guttman Drogolin" w:hint="cs"/>
          <w:rtl/>
          <w:lang w:bidi="he-IL"/>
        </w:rPr>
        <w:t xml:space="preserve">וכל הנ"ל שייך להא דמבואר שאינו אוסר אלא במינו, אבל יש עוד קושיא דלמה יהא מותר שלא במינו הא מבטל איסור לכתחילה. והנה בעיקר הקושיא יעוין בתוס' ר"פ שכתב דכיון שאין כוונתו </w:t>
      </w:r>
      <w:r w:rsidR="00D56412" w:rsidRPr="00882F11">
        <w:rPr>
          <w:rFonts w:cs="Guttman Drogolin" w:hint="cs"/>
          <w:rtl/>
          <w:lang w:bidi="he-IL"/>
        </w:rPr>
        <w:t>ליהנות מן האיסור, אין בה משום דינא דאין מבטלין איסור לכתחילה, והוכיח כן מהא שמגעילין יורה קטנה בתוך יורה גדולה כשיש ס' כנגד היורה הקטנה, ולא חיישינן לזה שהאיסור מתבטל במי ההגעלה. ולכאורה הי' מדויק משאר הראשונים שלא תירצו כן דלית להו יסוד זה.</w:t>
      </w:r>
      <w:r w:rsidR="00C81FC3" w:rsidRPr="00882F11">
        <w:rPr>
          <w:rFonts w:cs="Guttman Drogolin" w:hint="cs"/>
          <w:rtl/>
          <w:lang w:bidi="he-IL"/>
        </w:rPr>
        <w:t xml:space="preserve"> וע' ביד יהודה סי' צ"ט ס"ק י"ג שהעיר מזה. </w:t>
      </w:r>
    </w:p>
    <w:p w:rsidR="003F49DB" w:rsidRPr="00882F11" w:rsidRDefault="00C81FC3" w:rsidP="003F49DB">
      <w:pPr>
        <w:tabs>
          <w:tab w:val="right" w:pos="7497"/>
        </w:tabs>
        <w:bidi/>
        <w:jc w:val="both"/>
        <w:rPr>
          <w:rFonts w:cs="Guttman Drogolin"/>
          <w:rtl/>
          <w:lang w:bidi="he-IL"/>
        </w:rPr>
      </w:pPr>
      <w:r w:rsidRPr="00882F11">
        <w:rPr>
          <w:rFonts w:cs="Guttman Drogolin" w:hint="cs"/>
          <w:rtl/>
          <w:lang w:bidi="he-IL"/>
        </w:rPr>
        <w:t>והתוס'</w:t>
      </w:r>
      <w:r w:rsidR="00B044D1" w:rsidRPr="00882F11">
        <w:rPr>
          <w:rFonts w:cs="Guttman Drogolin" w:hint="cs"/>
          <w:rtl/>
          <w:lang w:bidi="he-IL"/>
        </w:rPr>
        <w:t xml:space="preserve"> תירצו בתי' הראשון דכיון דהוי משהו ונטל"פ לא החמירו לאסור לבטל איסור לכתחילה. ובתי' השני סברו דכיון דמיירי בכלי חרס שאם לא נשתמש בה אין לו עצה אלא בשבירה, הרי זה כבדיעבד ואין ז</w:t>
      </w:r>
      <w:r w:rsidR="009D7B24" w:rsidRPr="00882F11">
        <w:rPr>
          <w:rFonts w:cs="Guttman Drogolin" w:hint="cs"/>
          <w:rtl/>
          <w:lang w:bidi="he-IL"/>
        </w:rPr>
        <w:t>ה</w:t>
      </w:r>
      <w:r w:rsidR="00B044D1" w:rsidRPr="00882F11">
        <w:rPr>
          <w:rFonts w:cs="Guttman Drogolin" w:hint="cs"/>
          <w:rtl/>
          <w:lang w:bidi="he-IL"/>
        </w:rPr>
        <w:t xml:space="preserve"> מבטל איסור לכתחילה</w:t>
      </w:r>
      <w:r w:rsidR="009D7B24" w:rsidRPr="00882F11">
        <w:rPr>
          <w:rFonts w:cs="Guttman Drogolin" w:hint="cs"/>
          <w:rtl/>
          <w:lang w:bidi="he-IL"/>
        </w:rPr>
        <w:t xml:space="preserve">. והתוס' הדגישו לפי תירוצם השני דאע"ג שהכא חשוב בדיעבד מ"מ החמירו בקדירה שאינה בת יומא </w:t>
      </w:r>
      <w:r w:rsidR="009D7B24" w:rsidRPr="00882F11">
        <w:rPr>
          <w:rFonts w:cs="Guttman Drogolin" w:hint="cs"/>
          <w:rtl/>
          <w:lang w:bidi="he-IL"/>
        </w:rPr>
        <w:lastRenderedPageBreak/>
        <w:t>אטו בת יומא משום שבלע איסור טפי, משא"כ כאן שאינו אלא משהו (וכשיטתם הנ"ל בטעם שאין בה אלא טעם משהו). ויש להבין דבריהם, דלכאורה קשה בתרתי, חדא, למה תהא זה חשוב בדיעבד יותר משאר איסור, דאילו הי' לו רוטב של נבילה הי' צריך לזרוק אותו אא"כ נתיר לו לבטל איסור לכתחילה, וכיון שכן ליהוי כבדיעבד ונתיר לבטל. ועוד מהו קושיית מ</w:t>
      </w:r>
      <w:r w:rsidR="003F49DB" w:rsidRPr="00882F11">
        <w:rPr>
          <w:rFonts w:cs="Guttman Drogolin" w:hint="cs"/>
          <w:rtl/>
          <w:lang w:bidi="he-IL"/>
        </w:rPr>
        <w:t>כלי שאינו בת יומא, דהיכן מרמוז בגזירה דקדירה שאינה בת יומא אטו בת יומא שהקילו בה בדיעבד עד שיהי' לנו קושיא. ועוד צ"ע, שאם בבליעות שהם נטל"פ שיש בהם משום מבטלין איסור לכתחילה, למה היו צריכים לטעם בסוגיא שלנו שגזרו קדירה שאינה בת יומא אטו בת יומא, תיפו"ל משום שמבטל איסור לכתחילה.</w:t>
      </w:r>
    </w:p>
    <w:p w:rsidR="003F49DB" w:rsidRPr="00882F11" w:rsidRDefault="003F49DB" w:rsidP="003F49DB">
      <w:pPr>
        <w:tabs>
          <w:tab w:val="right" w:pos="7497"/>
        </w:tabs>
        <w:bidi/>
        <w:jc w:val="both"/>
        <w:rPr>
          <w:rFonts w:cs="Guttman Drogolin"/>
          <w:rtl/>
          <w:lang w:bidi="he-IL"/>
        </w:rPr>
      </w:pPr>
      <w:r w:rsidRPr="00882F11">
        <w:rPr>
          <w:rFonts w:cs="Guttman Drogolin" w:hint="cs"/>
          <w:rtl/>
          <w:lang w:bidi="he-IL"/>
        </w:rPr>
        <w:t>והנראה לומר בכל זה דהנה כבר חקרנו בגזירה דאינה בת יומא אטו בת יומא אם גזרו ע הכלי או"ד על הבליעות שאינן בני יומן. ואם נימא שגזרו על הבליעות, הדברים מובנין היטב, שלענין קושייתנו הראשונה, כוונת הדברים דאע"ג שעל עצם האיסור גזרו שלא לבטל לכתחילה, מ"מ כשיש הפסד לחפצא של יש לנו להתיר, דומיא דמה שהקילו כמה ראשונים להוסיף היתר לבטל איסור דרבנן לכתחילה כיון שיש הפסד להיתר שכבר מעורב בה איסור. שכוונת התוס' להקשות דנהי נמי שגזרו על בליעות לכתחילה, מ"מ כיון שיהא הפסד לכלי ואינם אוסרים בדיעבד, למה לא נתיר לבטל אותם בדיעבד כמו כאן. וכן משו"ה לא הי' אפשר לאסור כלי שאינה בת יומא משום דאין מבטלין איסור לכתחילה, שבעצם נטל"פ לא הוי חפצא דאיסורא ואין זה מבטלין 'איסור' לכתחילה. רק אחרי שגזרו על הבליעות אטו בליעות שהן בני יומן הוו חפצא דאיסורא. וראיתי בס' פני הבית שהבין בדבריהם שכן הוא מזה שהדגישו שאיסור לבטל איסור לכתחילה שייך גם באיסורים שהם מדרבנן, וצ"ע דהכא לשיטת ר' יהודה קיימי, ולדידי' הוי איסור מדאורייתא. רק כוונתם משום דהוי אינו בן יומו, ואפילו לפי הצד שלהם שסוגיין למ"ד נטל"פ מותר ואין על הבליעות אלא איסור דרבנן, מ"מ אין מבטלין איסור לכתחילה.</w:t>
      </w:r>
    </w:p>
    <w:p w:rsidR="00E933F0" w:rsidRPr="00882F11" w:rsidRDefault="003F49DB" w:rsidP="00546723">
      <w:pPr>
        <w:tabs>
          <w:tab w:val="right" w:pos="7497"/>
        </w:tabs>
        <w:bidi/>
        <w:jc w:val="both"/>
        <w:rPr>
          <w:rFonts w:cs="Guttman Drogolin"/>
          <w:rtl/>
          <w:lang w:bidi="he-IL"/>
        </w:rPr>
      </w:pPr>
      <w:r w:rsidRPr="00882F11">
        <w:rPr>
          <w:rFonts w:cs="Guttman Drogolin" w:hint="cs"/>
          <w:rtl/>
          <w:lang w:bidi="he-IL"/>
        </w:rPr>
        <w:lastRenderedPageBreak/>
        <w:t>והרמב"ן תי' הקושיא דאין מבטלין איסור לכתחילה לפי פירושו בסוגיא</w:t>
      </w:r>
      <w:r w:rsidR="006E2016" w:rsidRPr="00882F11">
        <w:rPr>
          <w:rFonts w:cs="Guttman Drogolin" w:hint="cs"/>
          <w:rtl/>
          <w:lang w:bidi="he-IL"/>
        </w:rPr>
        <w:t xml:space="preserve">, דכיון </w:t>
      </w:r>
      <w:r w:rsidR="008E268C" w:rsidRPr="00882F11">
        <w:rPr>
          <w:rFonts w:cs="Guttman Drogolin" w:hint="cs"/>
          <w:rtl/>
          <w:lang w:bidi="he-IL"/>
        </w:rPr>
        <w:t>שאינו אלא בלוע</w:t>
      </w:r>
      <w:r w:rsidR="006E2016" w:rsidRPr="00882F11">
        <w:rPr>
          <w:rFonts w:cs="Guttman Drogolin" w:hint="cs"/>
          <w:rtl/>
          <w:lang w:bidi="he-IL"/>
        </w:rPr>
        <w:t xml:space="preserve"> </w:t>
      </w:r>
      <w:r w:rsidR="00B042C6" w:rsidRPr="00882F11">
        <w:rPr>
          <w:rFonts w:cs="Guttman Drogolin" w:hint="cs"/>
          <w:rtl/>
          <w:lang w:bidi="he-IL"/>
        </w:rPr>
        <w:t xml:space="preserve">הוי כמו מקילא קלי איסורא שבמס' ביצה דף ד' ע"ב. ועל זה לבד לא רה לסמוך, רק </w:t>
      </w:r>
      <w:r w:rsidR="00546723" w:rsidRPr="00882F11">
        <w:rPr>
          <w:rFonts w:cs="Guttman Drogolin" w:hint="cs"/>
          <w:rtl/>
          <w:lang w:bidi="he-IL"/>
        </w:rPr>
        <w:t>כיון</w:t>
      </w:r>
      <w:r w:rsidR="00B042C6" w:rsidRPr="00882F11">
        <w:rPr>
          <w:rFonts w:cs="Guttman Drogolin" w:hint="cs"/>
          <w:rtl/>
          <w:lang w:bidi="he-IL"/>
        </w:rPr>
        <w:t xml:space="preserve"> ד</w:t>
      </w:r>
      <w:r w:rsidR="008E268C" w:rsidRPr="00882F11">
        <w:rPr>
          <w:rFonts w:cs="Guttman Drogolin" w:hint="cs"/>
          <w:rtl/>
          <w:lang w:bidi="he-IL"/>
        </w:rPr>
        <w:t>מעיקרא</w:t>
      </w:r>
      <w:r w:rsidR="006E2016" w:rsidRPr="00882F11">
        <w:rPr>
          <w:rFonts w:cs="Guttman Drogolin" w:hint="cs"/>
          <w:rtl/>
          <w:lang w:bidi="he-IL"/>
        </w:rPr>
        <w:t xml:space="preserve"> היתר </w:t>
      </w:r>
      <w:r w:rsidR="008E268C" w:rsidRPr="00882F11">
        <w:rPr>
          <w:rFonts w:cs="Guttman Drogolin" w:hint="cs"/>
          <w:rtl/>
          <w:lang w:bidi="he-IL"/>
        </w:rPr>
        <w:t>הוה ולבסוף</w:t>
      </w:r>
      <w:r w:rsidR="006E2016" w:rsidRPr="00882F11">
        <w:rPr>
          <w:rFonts w:cs="Guttman Drogolin" w:hint="cs"/>
          <w:rtl/>
          <w:lang w:bidi="he-IL"/>
        </w:rPr>
        <w:t xml:space="preserve"> היתר </w:t>
      </w:r>
      <w:r w:rsidR="008E268C" w:rsidRPr="00882F11">
        <w:rPr>
          <w:rFonts w:cs="Guttman Drogolin" w:hint="cs"/>
          <w:rtl/>
          <w:lang w:bidi="he-IL"/>
        </w:rPr>
        <w:t xml:space="preserve">הוה, </w:t>
      </w:r>
      <w:r w:rsidR="006E2016" w:rsidRPr="00882F11">
        <w:rPr>
          <w:rFonts w:cs="Guttman Drogolin" w:hint="cs"/>
          <w:rtl/>
          <w:lang w:bidi="he-IL"/>
        </w:rPr>
        <w:t>אין כאן משום מבטלין איסור לכתחילה.</w:t>
      </w:r>
      <w:r w:rsidR="00546723" w:rsidRPr="00882F11">
        <w:rPr>
          <w:rFonts w:cs="Guttman Drogolin" w:hint="cs"/>
          <w:rtl/>
          <w:lang w:bidi="he-IL"/>
        </w:rPr>
        <w:t xml:space="preserve"> וכוונתו בהא דלבסוף היתירא היינו שהוא טעם בלוע ומיקלא קלי איסורא כהא דמס' ביצה, רק שלא סמך על זה אלא כשהוא היתירא בשעת תשמיש.</w:t>
      </w:r>
      <w:r w:rsidR="00267BB9" w:rsidRPr="00882F11">
        <w:rPr>
          <w:rFonts w:cs="Guttman Drogolin" w:hint="cs"/>
          <w:rtl/>
          <w:lang w:bidi="he-IL"/>
        </w:rPr>
        <w:t xml:space="preserve"> ולכאורה הביאור בחילוק שבין משתמש בהיתירא להשתמש באיסורא דכיון שבשעת ההשתמשות אין לו עסק באיסור, אין ההכנסה של הבליעות לתוך הכלי שעל ידו יכנס למאכל אחר הפסח משום מבטל איסור 'לכתחילה', משא"כ כשנכנס באיסור.</w:t>
      </w:r>
      <w:r w:rsidR="00546723" w:rsidRPr="00882F11">
        <w:rPr>
          <w:rFonts w:cs="Guttman Drogolin" w:hint="cs"/>
          <w:rtl/>
          <w:lang w:bidi="he-IL"/>
        </w:rPr>
        <w:t xml:space="preserve"> </w:t>
      </w:r>
    </w:p>
    <w:p w:rsidR="00E933F0" w:rsidRPr="00882F11" w:rsidRDefault="00E933F0" w:rsidP="00E933F0">
      <w:pPr>
        <w:tabs>
          <w:tab w:val="right" w:pos="7497"/>
        </w:tabs>
        <w:bidi/>
        <w:jc w:val="both"/>
        <w:rPr>
          <w:rFonts w:cs="Guttman Drogolin"/>
          <w:rtl/>
          <w:lang w:bidi="he-IL"/>
        </w:rPr>
        <w:sectPr w:rsidR="00E933F0" w:rsidRPr="00882F11" w:rsidSect="006E3B7D">
          <w:type w:val="continuous"/>
          <w:pgSz w:w="11907" w:h="16839" w:code="9"/>
          <w:pgMar w:top="1440" w:right="1440" w:bottom="1440" w:left="1440" w:header="720" w:footer="720" w:gutter="0"/>
          <w:cols w:num="2" w:space="720"/>
          <w:bidi/>
          <w:docGrid w:linePitch="360"/>
        </w:sectPr>
      </w:pPr>
    </w:p>
    <w:p w:rsidR="006E3B7D" w:rsidRDefault="00E933F0" w:rsidP="006E3B7D">
      <w:pPr>
        <w:keepNext/>
        <w:tabs>
          <w:tab w:val="left" w:pos="3818"/>
          <w:tab w:val="center" w:pos="4680"/>
        </w:tabs>
        <w:bidi/>
        <w:jc w:val="center"/>
        <w:rPr>
          <w:rFonts w:cs="Guttman Drogolin"/>
          <w:sz w:val="24"/>
          <w:szCs w:val="24"/>
          <w:u w:val="single"/>
          <w:rtl/>
          <w:lang w:bidi="he-IL"/>
        </w:rPr>
        <w:sectPr w:rsidR="006E3B7D" w:rsidSect="006E3B7D">
          <w:headerReference w:type="default" r:id="rId93"/>
          <w:pgSz w:w="11907" w:h="16839" w:code="9"/>
          <w:pgMar w:top="1440" w:right="1440" w:bottom="1440" w:left="1440" w:header="720" w:footer="720" w:gutter="0"/>
          <w:cols w:space="720"/>
          <w:bidi/>
          <w:docGrid w:linePitch="360"/>
        </w:sectPr>
      </w:pPr>
      <w:r w:rsidRPr="00882F11">
        <w:rPr>
          <w:rFonts w:cs="Guttman Drogolin" w:hint="cs"/>
          <w:b/>
          <w:bCs/>
          <w:sz w:val="48"/>
          <w:szCs w:val="48"/>
          <w:rtl/>
          <w:lang w:bidi="he-IL"/>
        </w:rPr>
        <w:lastRenderedPageBreak/>
        <w:t>שיעור קכ"ח</w:t>
      </w:r>
    </w:p>
    <w:p w:rsidR="00E933F0" w:rsidRPr="00882F11" w:rsidRDefault="00E933F0" w:rsidP="00E933F0">
      <w:pPr>
        <w:pStyle w:val="Heading1"/>
        <w:bidi/>
        <w:spacing w:before="0" w:line="360" w:lineRule="auto"/>
        <w:jc w:val="center"/>
        <w:rPr>
          <w:rFonts w:cs="Guttman Drogolin"/>
          <w:color w:val="auto"/>
          <w:sz w:val="24"/>
          <w:szCs w:val="24"/>
          <w:u w:val="single"/>
          <w:rtl/>
          <w:lang w:bidi="he-IL"/>
        </w:rPr>
      </w:pPr>
      <w:bookmarkStart w:id="493" w:name="_Toc496175737"/>
      <w:r w:rsidRPr="00882F11">
        <w:rPr>
          <w:rFonts w:cs="Guttman Drogolin" w:hint="cs"/>
          <w:color w:val="auto"/>
          <w:sz w:val="24"/>
          <w:szCs w:val="24"/>
          <w:u w:val="single"/>
          <w:rtl/>
          <w:lang w:bidi="he-IL"/>
        </w:rPr>
        <w:lastRenderedPageBreak/>
        <w:t xml:space="preserve">הערה בדברי התוס' ד"ה </w:t>
      </w:r>
      <w:r w:rsidR="00EA44EE" w:rsidRPr="00882F11">
        <w:rPr>
          <w:rFonts w:cs="Guttman Drogolin" w:hint="cs"/>
          <w:color w:val="auto"/>
          <w:sz w:val="24"/>
          <w:szCs w:val="24"/>
          <w:u w:val="single"/>
          <w:rtl/>
          <w:lang w:bidi="he-IL"/>
        </w:rPr>
        <w:t>דילמא</w:t>
      </w:r>
      <w:bookmarkEnd w:id="493"/>
    </w:p>
    <w:p w:rsidR="00C81FC3" w:rsidRPr="00882F11" w:rsidRDefault="00EA44EE" w:rsidP="001B66F1">
      <w:pPr>
        <w:tabs>
          <w:tab w:val="right" w:pos="7497"/>
        </w:tabs>
        <w:bidi/>
        <w:jc w:val="both"/>
        <w:rPr>
          <w:rFonts w:cs="Guttman Drogolin"/>
          <w:rtl/>
          <w:lang w:bidi="he-IL"/>
        </w:rPr>
      </w:pPr>
      <w:r w:rsidRPr="00882F11">
        <w:rPr>
          <w:rFonts w:cs="Guttman Drogolin" w:hint="cs"/>
          <w:rtl/>
          <w:lang w:bidi="he-IL"/>
        </w:rPr>
        <w:t>כתוב בגמ' "</w:t>
      </w:r>
      <w:r w:rsidRPr="00882F11">
        <w:rPr>
          <w:rFonts w:cs="Guttman Drogolin"/>
          <w:rtl/>
          <w:lang w:bidi="he-IL"/>
        </w:rPr>
        <w:t>ההוא תנורא דטחו ביה טיחיא אסרה רבא בר אהילאי למיכליה לריפתא אפילו במילחא לעולם דילמא אתי למיכליה בכותחא</w:t>
      </w:r>
      <w:r w:rsidRPr="00882F11">
        <w:rPr>
          <w:rFonts w:cs="Guttman Drogolin" w:hint="cs"/>
          <w:rtl/>
          <w:lang w:bidi="he-IL"/>
        </w:rPr>
        <w:t>"</w:t>
      </w:r>
      <w:r w:rsidRPr="00882F11">
        <w:rPr>
          <w:rFonts w:cs="Guttman Drogolin"/>
          <w:rtl/>
          <w:lang w:bidi="he-IL"/>
        </w:rPr>
        <w:t>.</w:t>
      </w:r>
      <w:r w:rsidRPr="00882F11">
        <w:rPr>
          <w:rFonts w:cs="Guttman Drogolin" w:hint="cs"/>
          <w:rtl/>
          <w:lang w:bidi="he-IL"/>
        </w:rPr>
        <w:t xml:space="preserve"> ומקשה הגמ' על זה מברייתא שאמנם מבואר ממנו</w:t>
      </w:r>
      <w:r w:rsidRPr="00882F11">
        <w:rPr>
          <w:rFonts w:cs="Guttman Drogolin"/>
          <w:rtl/>
          <w:lang w:bidi="he-IL"/>
        </w:rPr>
        <w:t xml:space="preserve"> </w:t>
      </w:r>
      <w:r w:rsidR="002C25A7" w:rsidRPr="00882F11">
        <w:rPr>
          <w:rFonts w:cs="Guttman Drogolin" w:hint="cs"/>
          <w:rtl/>
          <w:lang w:bidi="he-IL"/>
        </w:rPr>
        <w:t>שאסור לאכול פת חלבי או בשרי, אבל מ"מ יש עצה להכשיר התנור ע"י ליבון, ומכח קושיא הגמ' אומרת שיש תיובתא לרבא בר אהילאי. והתוס' העירו דלמה שיהי' הפת אסור אם לא ליבנו אותו, הא אין הפת אלא נ"ט בר נ"ט של בשר ושוב אינו נאסר כשמבשלו בחלב. וכתבו שהדבר תלוי, שי"א שאם המאכל נצלה או נתבשל בכלי של חלב או בשר, ליתי' להיתירא דנ"ט בר נ"ט, ולא נאמר ההיתר של נ"ט בר נ"ט אלא היכא ד'עלו'. וא"כ הדברים מובנים היטב, דמשו"ה אסור לאכלו בחלב, דהא נצלו שאני ויש חשש שיערבנו עם המין השני</w:t>
      </w:r>
      <w:r w:rsidR="001B66F1" w:rsidRPr="00882F11">
        <w:rPr>
          <w:rFonts w:cs="Guttman Drogolin" w:hint="cs"/>
          <w:rtl/>
          <w:lang w:bidi="he-IL"/>
        </w:rPr>
        <w:t>. אבל למ"ד דנצלו ועלו שוין אין זה מעלה ארוכה, ולשיטתם כתבו התוס' "</w:t>
      </w:r>
      <w:r w:rsidR="001B66F1" w:rsidRPr="00882F11">
        <w:rPr>
          <w:rFonts w:cs="Guttman Drogolin"/>
          <w:rtl/>
          <w:lang w:bidi="he-IL"/>
        </w:rPr>
        <w:t>דשומן שעל החרס אינו יכול לקנח יפה</w:t>
      </w:r>
      <w:r w:rsidR="001B66F1" w:rsidRPr="00882F11">
        <w:rPr>
          <w:rFonts w:cs="Guttman Drogolin" w:hint="cs"/>
          <w:rtl/>
          <w:lang w:bidi="he-IL"/>
        </w:rPr>
        <w:t>". ומקשים האחרונים (ע' מש"ז סי' צ"ז ס"ק ד' וקו"ש) דלכאורה עדיין תיקשי, דנהי נמי דסבר רבא בר אהילאי דלא מהני ליבון להכשיר התנור, מ"מ למה לא מהני ליבון לשרוף את השומן</w:t>
      </w:r>
      <w:r w:rsidR="00080A71" w:rsidRPr="00882F11">
        <w:rPr>
          <w:rFonts w:cs="Guttman Drogolin" w:hint="cs"/>
          <w:rtl/>
          <w:lang w:bidi="he-IL"/>
        </w:rPr>
        <w:t xml:space="preserve"> (ע' תוס' סוף מס' ע"ז מר' אליהו דליבון מהני שרוף השמנונית)</w:t>
      </w:r>
      <w:r w:rsidR="001B66F1" w:rsidRPr="00882F11">
        <w:rPr>
          <w:rFonts w:cs="Guttman Drogolin" w:hint="cs"/>
          <w:rtl/>
          <w:lang w:bidi="he-IL"/>
        </w:rPr>
        <w:t>, ואי משום הבליעות הא הוו נ"ט בר נ"ט. ונשארו בקושיא.</w:t>
      </w:r>
    </w:p>
    <w:p w:rsidR="00080A71" w:rsidRPr="00882F11" w:rsidRDefault="001B66F1" w:rsidP="001B66F1">
      <w:pPr>
        <w:tabs>
          <w:tab w:val="right" w:pos="7497"/>
        </w:tabs>
        <w:bidi/>
        <w:jc w:val="both"/>
        <w:rPr>
          <w:rFonts w:cs="Guttman Drogolin"/>
          <w:rtl/>
          <w:lang w:bidi="he-IL"/>
        </w:rPr>
      </w:pPr>
      <w:r w:rsidRPr="00882F11">
        <w:rPr>
          <w:rFonts w:cs="Guttman Drogolin" w:hint="cs"/>
          <w:rtl/>
          <w:lang w:bidi="he-IL"/>
        </w:rPr>
        <w:t xml:space="preserve">ונראה ליישב דבר זה על דרך הפשט. דהנה לכאורה יל"ע מניין לי' לגמ' ממעשה דרבא בר אהילאי שלא התיר ע"י ליבון, דלמא לא אסר אלא הפת שאפו בה קודם ליבון. וע' באמת בראשונים שהקשו על דרך זה מהמשך הגמ', דהא בהמשך מבואר שיש לחלק בין תנור של מתכת לתנור של חרס, וא"כ למה הוי תיובתא דרבא בר אהילאי, דלמא הי' תנורו של חרס. ותי' שידעו שהי' תנור של מתכת. </w:t>
      </w:r>
      <w:r w:rsidR="00080A71" w:rsidRPr="00882F11">
        <w:rPr>
          <w:rFonts w:cs="Guttman Drogolin" w:hint="cs"/>
          <w:rtl/>
          <w:lang w:bidi="he-IL"/>
        </w:rPr>
        <w:t xml:space="preserve">ואולי י"ל כה"ג גם לקושייתנו, דידעו שאסרו אפילו כשעשו ליבון. אמנם רש"י בד"ה </w:t>
      </w:r>
      <w:r w:rsidR="00080A71" w:rsidRPr="00882F11">
        <w:rPr>
          <w:rFonts w:cs="Guttman Drogolin" w:hint="cs"/>
          <w:rtl/>
          <w:lang w:bidi="he-IL"/>
        </w:rPr>
        <w:lastRenderedPageBreak/>
        <w:t xml:space="preserve">דקדק התשובה לקושיא זו ממקום אחר. והוא ממש"כ שאסרו 'לעולם' (ע"ש ד"ה לעולם). </w:t>
      </w:r>
    </w:p>
    <w:p w:rsidR="00D12B70" w:rsidRPr="00882F11" w:rsidRDefault="00080A71" w:rsidP="00D12B70">
      <w:pPr>
        <w:tabs>
          <w:tab w:val="right" w:pos="7497"/>
        </w:tabs>
        <w:bidi/>
        <w:jc w:val="both"/>
        <w:rPr>
          <w:rFonts w:cs="Guttman Drogolin"/>
          <w:rtl/>
          <w:lang w:bidi="he-IL"/>
        </w:rPr>
      </w:pPr>
      <w:r w:rsidRPr="00882F11">
        <w:rPr>
          <w:rFonts w:cs="Guttman Drogolin" w:hint="cs"/>
          <w:rtl/>
          <w:lang w:bidi="he-IL"/>
        </w:rPr>
        <w:t>ומ"מ חזינן לדעתי' שלא רצה להתיר להכשיר התנור לאפות בה ע"י ליבון. וקושיית התוס' לא היתה לענין הכשר התנור, רק היתר של אכילת הפת, שלכאורה הפת אינו אלא נ"ט בר נ"ט ולכן אין לאסרו. ובזה הקשו התוס' דמשמע מן הגמ' דסבר הברייתא שאין הפת מותרת אא"כ הכשירו ע"י ליבון, וזו אמאי הא אינו אלא נ"ט בר נ"ט. ותי' דמ"מ עד כמה שלא ליבנו מסתבר שעדיין יש על שמנונית על הדפנות כיון שאינו יכול להתקנח יפה. ומ"מ אפילו ליבנו אין זה מתיר אלא הפת אא"כ מהני ליבון להכשיר התנור, אבל לרב</w:t>
      </w:r>
      <w:r w:rsidR="00D12B70" w:rsidRPr="00882F11">
        <w:rPr>
          <w:rFonts w:cs="Guttman Drogolin" w:hint="cs"/>
          <w:rtl/>
          <w:lang w:bidi="he-IL"/>
        </w:rPr>
        <w:t>א</w:t>
      </w:r>
      <w:r w:rsidRPr="00882F11">
        <w:rPr>
          <w:rFonts w:cs="Guttman Drogolin" w:hint="cs"/>
          <w:rtl/>
          <w:lang w:bidi="he-IL"/>
        </w:rPr>
        <w:t xml:space="preserve"> בר אהילאי, אע"ג שליבון מהני לענין זה שאין התנור אוסר הפת בדיעבד, מ"מ אי</w:t>
      </w:r>
      <w:r w:rsidR="00D12B70" w:rsidRPr="00882F11">
        <w:rPr>
          <w:rFonts w:cs="Guttman Drogolin" w:hint="cs"/>
          <w:rtl/>
          <w:lang w:bidi="he-IL"/>
        </w:rPr>
        <w:t xml:space="preserve">ן זה מתיר השתמשות בתנור לכתחילה, דהא אין אנו מתירים נ"ט בר נ"ט לכתחילה. וכיון שאינו מתיר התנור לכתחילה שפיר אסר רבא בר אהילאי להשתמש בתנור לכתחילה. </w:t>
      </w:r>
    </w:p>
    <w:p w:rsidR="006C1831" w:rsidRPr="00882F11" w:rsidRDefault="00D12B70" w:rsidP="00F35BDD">
      <w:pPr>
        <w:tabs>
          <w:tab w:val="right" w:pos="7497"/>
        </w:tabs>
        <w:bidi/>
        <w:jc w:val="both"/>
        <w:rPr>
          <w:rFonts w:cs="Guttman Drogolin"/>
          <w:rtl/>
          <w:lang w:bidi="he-IL"/>
        </w:rPr>
      </w:pPr>
      <w:r w:rsidRPr="00882F11">
        <w:rPr>
          <w:rFonts w:cs="Guttman Drogolin" w:hint="cs"/>
          <w:rtl/>
          <w:lang w:bidi="he-IL"/>
        </w:rPr>
        <w:t>אלא דהנה כיון שאסרו לעולם צריכים לומר שאסרו לא רק כשהוא בן יומו אלא גם כשאינו בן יומו. וא"כ יוצא שאסר רבא בר אהילאי נ"ט בר נ"ט לכתחילה אפילו הוא נטל"פ. ואיכא למימר שהוא משום דסבר נטל"פ אסור</w:t>
      </w:r>
      <w:r w:rsidRPr="00882F11">
        <w:rPr>
          <w:rFonts w:cs="Guttman Drogolin" w:hint="cs"/>
          <w:lang w:bidi="he-IL"/>
        </w:rPr>
        <w:t xml:space="preserve"> </w:t>
      </w:r>
      <w:r w:rsidRPr="00882F11">
        <w:rPr>
          <w:rFonts w:cs="Guttman Drogolin" w:hint="cs"/>
          <w:rtl/>
          <w:lang w:bidi="he-IL"/>
        </w:rPr>
        <w:t xml:space="preserve">אבל אם סבר כדקיי"ל להלכה דנטל"פ מותר, חזינן לדעתי שגם נ"ט בר נ"ט ונטל"פ אינו מותר לכתחילה, וכשיטת החכמ"א (כלל מ"ח ד"ב). אלא </w:t>
      </w:r>
      <w:r w:rsidR="00F35BDD" w:rsidRPr="00882F11">
        <w:rPr>
          <w:rFonts w:cs="Guttman Drogolin" w:hint="cs"/>
          <w:rtl/>
          <w:lang w:bidi="he-IL"/>
        </w:rPr>
        <w:t xml:space="preserve">שהעיר א' מן התלמידים שהרי </w:t>
      </w:r>
      <w:r w:rsidRPr="00882F11">
        <w:rPr>
          <w:rFonts w:cs="Guttman Drogolin" w:hint="cs"/>
          <w:rtl/>
          <w:lang w:bidi="he-IL"/>
        </w:rPr>
        <w:t>לעיל</w:t>
      </w:r>
      <w:r w:rsidRPr="00882F11">
        <w:rPr>
          <w:rStyle w:val="FootnoteReference"/>
          <w:rFonts w:cs="Guttman Drogolin"/>
          <w:rtl/>
          <w:lang w:bidi="he-IL"/>
        </w:rPr>
        <w:footnoteReference w:id="494"/>
      </w:r>
      <w:r w:rsidRPr="00882F11">
        <w:rPr>
          <w:rFonts w:cs="Guttman Drogolin" w:hint="cs"/>
          <w:rtl/>
          <w:lang w:bidi="he-IL"/>
        </w:rPr>
        <w:t xml:space="preserve"> חקרנו</w:t>
      </w:r>
      <w:r w:rsidR="00F35BDD" w:rsidRPr="00882F11">
        <w:rPr>
          <w:rFonts w:cs="Guttman Drogolin" w:hint="cs"/>
          <w:rtl/>
          <w:lang w:bidi="he-IL"/>
        </w:rPr>
        <w:t xml:space="preserve"> אם כוונת החכמ"א לאסור אפילו בעלו או רק בנתבשלו ולהחמיר כשיטה שסוברת שאין היתר של נ"ט בר נ"ט בנתבשלו. ואם כמו הצד השני, הא גם החכמ"א לא החמיר אא"כ יש צד דבנתבשלו ליכא היתר דנ"ט בר נ"ט, אבל התוס' כתבו דבריהם למ"ד נתבשלו ועלו שוין. ולכאורה ללפי הצד הזה </w:t>
      </w:r>
      <w:r w:rsidR="00F35BDD" w:rsidRPr="00882F11">
        <w:rPr>
          <w:rFonts w:cs="Guttman Drogolin" w:hint="cs"/>
          <w:rtl/>
          <w:lang w:bidi="he-IL"/>
        </w:rPr>
        <w:lastRenderedPageBreak/>
        <w:t xml:space="preserve">צריכים לדחוק דסבר רבא בר אהילאי דנטל"פ אסור. </w:t>
      </w:r>
    </w:p>
    <w:p w:rsidR="006C1831" w:rsidRPr="006E3B7D" w:rsidRDefault="006C1831" w:rsidP="006E3B7D">
      <w:pPr>
        <w:pStyle w:val="Heading1"/>
        <w:tabs>
          <w:tab w:val="right" w:pos="1917"/>
        </w:tabs>
        <w:bidi/>
        <w:spacing w:before="0" w:line="240" w:lineRule="auto"/>
        <w:jc w:val="center"/>
        <w:rPr>
          <w:rFonts w:cs="Guttman Drogolin"/>
          <w:color w:val="auto"/>
          <w:sz w:val="24"/>
          <w:szCs w:val="24"/>
          <w:u w:val="single"/>
          <w:rtl/>
          <w:lang w:bidi="he-IL"/>
        </w:rPr>
      </w:pPr>
      <w:bookmarkStart w:id="494" w:name="_Toc496175738"/>
      <w:r w:rsidRPr="006E3B7D">
        <w:rPr>
          <w:rFonts w:cs="Guttman Drogolin" w:hint="cs"/>
          <w:color w:val="auto"/>
          <w:sz w:val="24"/>
          <w:szCs w:val="24"/>
          <w:u w:val="single"/>
          <w:rtl/>
          <w:lang w:bidi="he-IL"/>
        </w:rPr>
        <w:t>בהא דהתורה העידה על כלי חרס שאינו יוצא מידי דופיו לעולם</w:t>
      </w:r>
      <w:bookmarkEnd w:id="494"/>
    </w:p>
    <w:p w:rsidR="00B22385" w:rsidRPr="00882F11" w:rsidRDefault="006740EF" w:rsidP="00E92D3D">
      <w:pPr>
        <w:tabs>
          <w:tab w:val="right" w:pos="1917"/>
          <w:tab w:val="right" w:pos="7497"/>
        </w:tabs>
        <w:bidi/>
        <w:jc w:val="both"/>
        <w:rPr>
          <w:rFonts w:cs="Guttman Drogolin"/>
          <w:rtl/>
          <w:lang w:bidi="he-IL"/>
        </w:rPr>
      </w:pPr>
      <w:r>
        <w:rPr>
          <w:rFonts w:cs="Guttman Drogolin"/>
          <w:rtl/>
          <w:lang w:bidi="he-IL"/>
        </w:rPr>
        <w:fldChar w:fldCharType="begin"/>
      </w:r>
      <w:r>
        <w:instrText xml:space="preserve"> XE "</w:instrText>
      </w:r>
      <w:r w:rsidRPr="002E4C76">
        <w:rPr>
          <w:rFonts w:hint="cs"/>
          <w:rtl/>
          <w:lang w:bidi="he-IL"/>
        </w:rPr>
        <w:instrText>הכשר כלים</w:instrText>
      </w:r>
      <w:r w:rsidRPr="002E4C76">
        <w:rPr>
          <w:rtl/>
        </w:rPr>
        <w:instrText>:</w:instrText>
      </w:r>
      <w:r w:rsidRPr="002E4C76">
        <w:rPr>
          <w:rFonts w:hint="cs"/>
          <w:rtl/>
          <w:lang w:bidi="he-IL"/>
        </w:rPr>
        <w:instrText>התורה העידה על כלי חרס שאין יוצא מידי דופיו לעולם</w:instrText>
      </w:r>
      <w:r>
        <w:instrText xml:space="preserve">" </w:instrText>
      </w:r>
      <w:r>
        <w:rPr>
          <w:rFonts w:cs="Guttman Drogolin"/>
          <w:rtl/>
          <w:lang w:bidi="he-IL"/>
        </w:rPr>
        <w:fldChar w:fldCharType="end"/>
      </w:r>
      <w:r w:rsidR="006C1831" w:rsidRPr="00882F11">
        <w:rPr>
          <w:rFonts w:cs="Guttman Drogolin" w:hint="cs"/>
          <w:rtl/>
          <w:lang w:bidi="he-IL"/>
        </w:rPr>
        <w:t xml:space="preserve">מבואר בגמ' </w:t>
      </w:r>
      <w:r w:rsidR="009653BD" w:rsidRPr="00882F11">
        <w:rPr>
          <w:rFonts w:cs="Guttman Drogolin" w:hint="cs"/>
          <w:rtl/>
          <w:lang w:bidi="he-IL"/>
        </w:rPr>
        <w:t xml:space="preserve">בע"ב </w:t>
      </w:r>
      <w:r w:rsidR="006C1831" w:rsidRPr="00882F11">
        <w:rPr>
          <w:rFonts w:cs="Guttman Drogolin" w:hint="cs"/>
          <w:rtl/>
          <w:lang w:bidi="he-IL"/>
        </w:rPr>
        <w:t>שיש עדות מן התורה שאי אפשר להכשיר כלי חרס</w:t>
      </w:r>
      <w:r w:rsidR="009653BD" w:rsidRPr="00882F11">
        <w:rPr>
          <w:rFonts w:cs="Guttman Drogolin" w:hint="cs"/>
          <w:rtl/>
          <w:lang w:bidi="he-IL"/>
        </w:rPr>
        <w:t xml:space="preserve"> לעולם, וברש"י ותוס' מבואר שהוא ממש"כ בויקרא (ו, כ"א) שאם בישלו קרבן בתוך כלי חרס חייבים לשבור אותו. ואין לומר שלעולם יוצא מידי דופיו לעולם ושבירת כלי חרס גזיה"כ הוא,</w:t>
      </w:r>
      <w:r w:rsidR="00B22385" w:rsidRPr="00882F11">
        <w:rPr>
          <w:rFonts w:cs="Guttman Drogolin" w:hint="cs"/>
          <w:rtl/>
          <w:lang w:bidi="he-IL"/>
        </w:rPr>
        <w:t xml:space="preserve"> דהא בכלי נחושת לא הצריכו אלא מריקה ושטיפה, ולכן קיים להו לחז"ל שהוא משום החילוק שיש בין תכונת חרס לתכונת נחושת, שבא' אפשר להכשירו ובשני לא.</w:t>
      </w:r>
    </w:p>
    <w:p w:rsidR="00FD7E15" w:rsidRPr="00882F11" w:rsidRDefault="00B22385" w:rsidP="00FD7E15">
      <w:pPr>
        <w:tabs>
          <w:tab w:val="right" w:pos="7497"/>
        </w:tabs>
        <w:bidi/>
        <w:jc w:val="both"/>
        <w:rPr>
          <w:rFonts w:cs="Guttman Drogolin"/>
          <w:rtl/>
          <w:lang w:bidi="he-IL"/>
        </w:rPr>
      </w:pPr>
      <w:r w:rsidRPr="00882F11">
        <w:rPr>
          <w:rFonts w:cs="Guttman Drogolin" w:hint="cs"/>
          <w:rtl/>
          <w:lang w:bidi="he-IL"/>
        </w:rPr>
        <w:t xml:space="preserve">ומקשים הראשונים דהא בכמה מקומות מצאנו שאפשר להכשיר כלי חרס. חדא בגמ' שלנו גופא מבואר שבתנור של חרס שהסיקו מבפנים אפשר להכשיר, דהיינו הא ד"ואב"א הא והא בשל חרס". ועוד שהרי אלמלא הא דחייס עלי' הוה מהני הא דמליי' גומרי. וכן דקדקו הראשונים ממס' זבחים דף צ"ו ע"א שלכאורה מהני החזרת כבשונות. </w:t>
      </w:r>
      <w:r w:rsidR="009F52B9" w:rsidRPr="00882F11">
        <w:rPr>
          <w:rFonts w:cs="Guttman Drogolin" w:hint="cs"/>
          <w:rtl/>
          <w:lang w:bidi="he-IL"/>
        </w:rPr>
        <w:t>ולכאורה כל זה סתירה להא דהעידה תורה על כלי חרס שאינו יוצא מידי דופיו לעולם.</w:t>
      </w:r>
      <w:r w:rsidR="00FD7E15" w:rsidRPr="00882F11">
        <w:rPr>
          <w:rFonts w:cs="Guttman Drogolin" w:hint="cs"/>
          <w:rtl/>
          <w:lang w:bidi="he-IL"/>
        </w:rPr>
        <w:t xml:space="preserve"> ולכאורה לולא דבריהם הי' אפשר לומר דהא דאמרינן שאינו יוצא מידי דופיו לעולם, היינו דרך הגעלה, שהוא ענין של יציאת הבליעה, אבל בליבון הא כבר הבאנו שהענין של ליבון אינו הפלטה רק שריפת הבליעה במקומו, ואיפה ראינו שזה לא שייך בכלי חרס. לכאורה הביאור בכוונתם שמ"מ אילו הי' שייך ליבון למה חייבה תורה שבירה לכלי חרס ולא ליבנו את הכלי. אלא שאין זה מספיק, שהרי איך שנפרש למה מהני החזרת כבשונות וכו' ג"כ אפשר לשאול כן. וצ"ע.  </w:t>
      </w:r>
    </w:p>
    <w:p w:rsidR="00E92D3D" w:rsidRPr="00882F11" w:rsidRDefault="00FD7E15" w:rsidP="006E2FE4">
      <w:pPr>
        <w:tabs>
          <w:tab w:val="right" w:pos="7497"/>
        </w:tabs>
        <w:bidi/>
        <w:jc w:val="both"/>
        <w:rPr>
          <w:rFonts w:cs="Guttman Drogolin"/>
          <w:rtl/>
          <w:lang w:bidi="he-IL"/>
        </w:rPr>
      </w:pPr>
      <w:r w:rsidRPr="00882F11">
        <w:rPr>
          <w:rFonts w:cs="Guttman Drogolin" w:hint="cs"/>
          <w:rtl/>
          <w:lang w:bidi="he-IL"/>
        </w:rPr>
        <w:t xml:space="preserve">והתוס' כתבו שבכל הני דמהני בהו ליבון נעשה ככלי חדש. וא"ל שאין כוונת התורה אלא לומר שאין הבליעות יוצאים ממנו, אבל לעולם אפשר לחדש אותו ואז יהא מותר בשימוש. </w:t>
      </w:r>
      <w:r w:rsidR="006E2FE4" w:rsidRPr="00882F11">
        <w:rPr>
          <w:rFonts w:cs="Guttman Drogolin" w:hint="cs"/>
          <w:rtl/>
          <w:lang w:bidi="he-IL"/>
        </w:rPr>
        <w:t xml:space="preserve">ולכאורה צ"ע, דמה לנו לחידוש הכלי, הא חרסי הכלי אינם אוסרים את המאכל, רק הבליעה שבפנים. ולכאורה ר"ל שאמנם אין אנו צריכים לעצם חידושו של הכלי כדי להכשיר אותו, מ"מ רק </w:t>
      </w:r>
      <w:r w:rsidR="006E2FE4" w:rsidRPr="00882F11">
        <w:rPr>
          <w:rFonts w:cs="Guttman Drogolin" w:hint="cs"/>
          <w:rtl/>
          <w:lang w:bidi="he-IL"/>
        </w:rPr>
        <w:lastRenderedPageBreak/>
        <w:t>כשמגיע למצב של חידוש כלי ידעינן שהבליעות שבפנים הוכשרו. וכוונת התוס' לומר שאין זה סתירה לכלל שאינו יוצא מידי דופיו לעולם, דהא סוף כל סוף אין זה אותו כלי ולא יוצא בליעות מדבר שנשאר כלי כמו שהי' מקודם. ונראה להביא עוד סמך לזה. דהנה התוס' בסוף דבריהם הקשו אהא דמחלקים תנור שנטמא לשלוש ולא מסיקים אותו, ותי' דהיסק שעושים לתנור אע"ג שמסיקים אותו אינו נעשה פנים חדשות. וביאר המהרש"א, דא</w:t>
      </w:r>
      <w:r w:rsidR="00784516" w:rsidRPr="00882F11">
        <w:rPr>
          <w:rFonts w:cs="Guttman Drogolin" w:hint="cs"/>
          <w:rtl/>
          <w:lang w:bidi="he-IL"/>
        </w:rPr>
        <w:t>ע"ג דמבואר בהדיא בגמ' שאפשר להכ</w:t>
      </w:r>
      <w:r w:rsidR="006E2FE4" w:rsidRPr="00882F11">
        <w:rPr>
          <w:rFonts w:cs="Guttman Drogolin" w:hint="cs"/>
          <w:rtl/>
          <w:lang w:bidi="he-IL"/>
        </w:rPr>
        <w:t>שיר תנור של חרס שהסיקו אותו מבפנים, היינו משום שהוא מוכשר מבלי שיהא פנים חדשות</w:t>
      </w:r>
      <w:r w:rsidR="00784516" w:rsidRPr="00882F11">
        <w:rPr>
          <w:rFonts w:cs="Guttman Drogolin" w:hint="cs"/>
          <w:rtl/>
          <w:lang w:bidi="he-IL"/>
        </w:rPr>
        <w:t>, רק לענין טומאה בעינן פנים חדשות ומשו"ה בעי לחלקו לג'. ובקו"ש העיר אתי' של המהרש"א דא"כ הדרה קושיא לדוכתי', דכיון שאפשר להכשיר התנור מבלי שיהא פנים חדשות, למה אמרינן בגמ' שהגמ' העידה על כלי חרס שאינו יוצא מידי דופיו לעולם, הא יש לנו תנור שאפשר להכשיר אותו ואינו פנים חדשות. ונראה בתי' קושיא זו, שלא אמרו אלא בכגון קדירות או קערות, שהם הנקראים 'כלי', אבל אה"נ דאיכא תנור שיוצא מידי דופיו.</w:t>
      </w:r>
    </w:p>
    <w:p w:rsidR="00E575B6" w:rsidRPr="00882F11" w:rsidRDefault="00E575B6" w:rsidP="00E575B6">
      <w:pPr>
        <w:tabs>
          <w:tab w:val="right" w:pos="7497"/>
        </w:tabs>
        <w:bidi/>
        <w:jc w:val="both"/>
        <w:rPr>
          <w:rFonts w:cs="Guttman Drogolin"/>
          <w:rtl/>
          <w:lang w:bidi="he-IL"/>
        </w:rPr>
      </w:pPr>
      <w:r w:rsidRPr="00882F11">
        <w:rPr>
          <w:rFonts w:cs="Guttman Drogolin" w:hint="cs"/>
          <w:rtl/>
          <w:lang w:bidi="he-IL"/>
        </w:rPr>
        <w:t xml:space="preserve">ובעני הא דקאמר בגמ' דלא מהניא מליי' גומרי משום דחייס, מקשים הראשונים דא"כ למה מדויק במס' זבחים דמהני החזרת כבשונות ולא חיישינן דלא פייס. ובחי' הריטב"א מרומז תי' לזה, והוא שי"ל דדלמא חייס אינו מעכב בדיעבד. וא"כ איכא למימר שבמקדש לא גזרו. </w:t>
      </w:r>
      <w:r w:rsidR="00365D1B" w:rsidRPr="00882F11">
        <w:rPr>
          <w:rFonts w:cs="Guttman Drogolin" w:hint="cs"/>
          <w:rtl/>
          <w:lang w:bidi="he-IL"/>
        </w:rPr>
        <w:t>ובחי' הר"ן תי' שכהניים אינם חוששים לכליהם, ולכן ליכא למיחש דלמא חייס. ולדבריו לכאורה יוצא שלמעשה לא מהני החזרת כבשונות. אבל כמה ראשונים נקטו דמהני החזרת כבשונות. וע' ברא"ש שכנראה הביא ב' טעמים לזה, חדא שאין חשש שיפקע בכבשן, דהא כן הוא הדרך לשיים כלים בכבשן בשעת עשייתן. או"ד דכיון שהניח בכבשן הסיח דעתו מהם, ומשום הכי לא חיישינן דלמא פייס.</w:t>
      </w:r>
    </w:p>
    <w:p w:rsidR="00E92D3D" w:rsidRPr="00882F11" w:rsidRDefault="00FD5515" w:rsidP="00E92D3D">
      <w:pPr>
        <w:pStyle w:val="Heading1"/>
        <w:bidi/>
        <w:spacing w:before="0" w:line="360" w:lineRule="auto"/>
        <w:jc w:val="center"/>
        <w:rPr>
          <w:rFonts w:cs="Guttman Drogolin"/>
          <w:color w:val="auto"/>
          <w:sz w:val="24"/>
          <w:szCs w:val="24"/>
          <w:u w:val="single"/>
          <w:rtl/>
          <w:lang w:bidi="he-IL"/>
        </w:rPr>
      </w:pPr>
      <w:bookmarkStart w:id="495" w:name="_Toc496175739"/>
      <w:r w:rsidRPr="00882F11">
        <w:rPr>
          <w:rFonts w:cs="Guttman Drogolin" w:hint="cs"/>
          <w:color w:val="auto"/>
          <w:sz w:val="24"/>
          <w:szCs w:val="24"/>
          <w:u w:val="single"/>
          <w:rtl/>
          <w:lang w:bidi="he-IL"/>
        </w:rPr>
        <w:t>הכשר</w:t>
      </w:r>
      <w:r w:rsidR="005C760E" w:rsidRPr="00882F11">
        <w:rPr>
          <w:rFonts w:cs="Guttman Drogolin" w:hint="cs"/>
          <w:color w:val="auto"/>
          <w:sz w:val="24"/>
          <w:szCs w:val="24"/>
          <w:u w:val="single"/>
          <w:rtl/>
          <w:lang w:bidi="he-IL"/>
        </w:rPr>
        <w:t xml:space="preserve"> </w:t>
      </w:r>
      <w:r w:rsidR="00E92D3D" w:rsidRPr="00882F11">
        <w:rPr>
          <w:rFonts w:cs="Guttman Drogolin" w:hint="cs"/>
          <w:color w:val="auto"/>
          <w:sz w:val="24"/>
          <w:szCs w:val="24"/>
          <w:u w:val="single"/>
          <w:rtl/>
          <w:lang w:bidi="he-IL"/>
        </w:rPr>
        <w:t>כלי זכוכית</w:t>
      </w:r>
      <w:bookmarkEnd w:id="495"/>
    </w:p>
    <w:p w:rsidR="001A6D67" w:rsidRPr="00882F11" w:rsidRDefault="00FD5515" w:rsidP="001A6D67">
      <w:pPr>
        <w:tabs>
          <w:tab w:val="right" w:pos="7497"/>
        </w:tabs>
        <w:bidi/>
        <w:jc w:val="both"/>
        <w:rPr>
          <w:rFonts w:cs="Guttman Drogolin"/>
          <w:rtl/>
          <w:lang w:bidi="he-IL"/>
        </w:rPr>
      </w:pPr>
      <w:r w:rsidRPr="00882F11">
        <w:rPr>
          <w:rFonts w:cs="Guttman Drogolin" w:hint="cs"/>
          <w:rtl/>
          <w:lang w:bidi="he-IL"/>
        </w:rPr>
        <w:t xml:space="preserve">לא </w:t>
      </w:r>
      <w:r w:rsidR="00E92D3D" w:rsidRPr="00882F11">
        <w:rPr>
          <w:rFonts w:cs="Guttman Drogolin" w:hint="cs"/>
          <w:rtl/>
          <w:lang w:bidi="he-IL"/>
        </w:rPr>
        <w:t>מבואר ב</w:t>
      </w:r>
      <w:r w:rsidRPr="00882F11">
        <w:rPr>
          <w:rFonts w:cs="Guttman Drogolin" w:hint="cs"/>
          <w:rtl/>
          <w:lang w:bidi="he-IL"/>
        </w:rPr>
        <w:t>הדיא ב</w:t>
      </w:r>
      <w:r w:rsidR="00E92D3D" w:rsidRPr="00882F11">
        <w:rPr>
          <w:rFonts w:cs="Guttman Drogolin" w:hint="cs"/>
          <w:rtl/>
          <w:lang w:bidi="he-IL"/>
        </w:rPr>
        <w:t xml:space="preserve">גמ' </w:t>
      </w:r>
      <w:r w:rsidRPr="00882F11">
        <w:rPr>
          <w:rFonts w:cs="Guttman Drogolin" w:hint="cs"/>
          <w:rtl/>
          <w:lang w:bidi="he-IL"/>
        </w:rPr>
        <w:t xml:space="preserve">מהו דינו של כלי זכוכית. והריטב"א כאן שמעיקר הדין דינו ככלי מתכת ומהני להו הגעלה, אבל כתב כיון דחיישינן שמא </w:t>
      </w:r>
      <w:r w:rsidRPr="00882F11">
        <w:rPr>
          <w:rFonts w:cs="Guttman Drogolin" w:hint="cs"/>
          <w:rtl/>
          <w:lang w:bidi="he-IL"/>
        </w:rPr>
        <w:lastRenderedPageBreak/>
        <w:t>פקעי אין מגעילין אותם.</w:t>
      </w:r>
      <w:r w:rsidR="001A6D67" w:rsidRPr="00882F11">
        <w:rPr>
          <w:rFonts w:cs="Guttman Drogolin" w:hint="cs"/>
          <w:rtl/>
          <w:lang w:bidi="he-IL"/>
        </w:rPr>
        <w:t xml:space="preserve"> וע' בשעה"צ סי' תנ"א ס"ק קצ"ו שהעיר מזה ששאר הפוסקים לא הזכירו את זה, וביאר שמשום שלכאורה סברי דכבולעו כך פולטו, וכיון שמגעיל באותו כח שבלע והרי השתמשו בחוזק זה לא חוששין שיפקע. בביאור שיטת הריטב"א הי' נראה שאמנם בשעת שימוש אינו חושש שמא יפקע מן החום, אבל בשעת הנחה לתוך היורה חוששין שישבר דרך נפילה, ולא לא יגעיל אותו כראוי.</w:t>
      </w:r>
    </w:p>
    <w:p w:rsidR="00E9382F" w:rsidRPr="00882F11" w:rsidRDefault="001A6D67" w:rsidP="00E575B6">
      <w:pPr>
        <w:tabs>
          <w:tab w:val="right" w:pos="7497"/>
        </w:tabs>
        <w:bidi/>
        <w:jc w:val="both"/>
        <w:rPr>
          <w:rFonts w:cs="Guttman Drogolin"/>
          <w:rtl/>
          <w:lang w:bidi="he-IL"/>
        </w:rPr>
      </w:pPr>
      <w:r w:rsidRPr="00882F11">
        <w:rPr>
          <w:rFonts w:cs="Guttman Drogolin" w:hint="cs"/>
          <w:rtl/>
          <w:lang w:bidi="he-IL"/>
        </w:rPr>
        <w:t xml:space="preserve">ולמעשה בב"י מובא עוד ב' שיטות בזה. הב"י הביא מהגהות מיי' בשם ר' יחיאל שכלי זכוכית דינו ככלי חרס, דהא ברייתו מן החול כמו חרס, ולכן גם לגביו י"ל שהתורה העידה על כלי חרס שאינו יוצא מידי דופיו לעולם ואין לו הכשר כלל. ומאידך, הביא </w:t>
      </w:r>
      <w:r w:rsidR="00E575B6" w:rsidRPr="00882F11">
        <w:rPr>
          <w:rFonts w:cs="Guttman Drogolin" w:hint="cs"/>
          <w:rtl/>
          <w:lang w:bidi="he-IL"/>
        </w:rPr>
        <w:t>בשם ראבי"ה שכלי זכוכית אינו בולע כלל ואינו צריך הכשר. והבביע ב' ראיות לדברף חדא שהרי כלי זכוכית שיעי ולא בלעי, וכדאמרינן בגמ' שבדף ע"ד ע"ב שלב אינו בולע מהאי טעמא. ועוד שהרי מפורש באבות דר' נתן פמ"א ה"ו "</w:t>
      </w:r>
      <w:r w:rsidR="00E575B6" w:rsidRPr="00882F11">
        <w:rPr>
          <w:rFonts w:cs="Guttman Drogolin"/>
          <w:rtl/>
          <w:lang w:bidi="he-IL"/>
        </w:rPr>
        <w:t>שלשה דברים נאמרו בכלי חרס ושלשה בכלי זכוכית כלי חרס בולע ומפליט ומשמר מה שבתוכו מה שאין כן בכלי זכוכית</w:t>
      </w:r>
      <w:r w:rsidR="00E575B6" w:rsidRPr="00882F11">
        <w:rPr>
          <w:rFonts w:cs="Guttman Drogolin" w:hint="cs"/>
          <w:rtl/>
          <w:lang w:bidi="he-IL"/>
        </w:rPr>
        <w:t xml:space="preserve">". הרי שלכאורה מפורש באבות דר' נתן שכלי זכוכית אינו בולע ואינו מפליט. אמנם יעוין בביאור הגר"א (לסי' תנ"א סע' כ"ו) שדחה הראיות של ראבי"ה, שאי משום לב הא לא קיימא למסקנא, ואי מאבות דר' נתן, אין כוונתם אלא לומר שאינו בולע ופולט ככלי חרס, אבל לעולם בולע ופולט, והוכיח שכן הוא דאל"כ, מאחר ואינו בולע, מהיכא יפליט. </w:t>
      </w:r>
    </w:p>
    <w:p w:rsidR="00E9382F" w:rsidRPr="00882F11" w:rsidRDefault="00E9382F" w:rsidP="00E9382F">
      <w:pPr>
        <w:tabs>
          <w:tab w:val="right" w:pos="7497"/>
        </w:tabs>
        <w:bidi/>
        <w:jc w:val="both"/>
        <w:rPr>
          <w:rFonts w:cs="Guttman Drogolin"/>
          <w:rtl/>
          <w:lang w:bidi="he-IL"/>
        </w:rPr>
        <w:sectPr w:rsidR="00E9382F" w:rsidRPr="00882F11" w:rsidSect="006E3B7D">
          <w:type w:val="continuous"/>
          <w:pgSz w:w="11907" w:h="16839" w:code="9"/>
          <w:pgMar w:top="1440" w:right="1440" w:bottom="1440" w:left="1440" w:header="720" w:footer="720" w:gutter="0"/>
          <w:cols w:num="2" w:space="720"/>
          <w:bidi/>
          <w:docGrid w:linePitch="360"/>
        </w:sectPr>
      </w:pPr>
    </w:p>
    <w:p w:rsidR="00E9382F" w:rsidRPr="00882F11" w:rsidRDefault="00E9382F" w:rsidP="00E9382F">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קכ"ט</w:t>
      </w:r>
    </w:p>
    <w:p w:rsidR="006E3B7D" w:rsidRDefault="006E3B7D" w:rsidP="00E9382F">
      <w:pPr>
        <w:pStyle w:val="Heading1"/>
        <w:bidi/>
        <w:spacing w:before="0" w:line="360" w:lineRule="auto"/>
        <w:jc w:val="center"/>
        <w:rPr>
          <w:rFonts w:cs="Guttman Drogolin"/>
          <w:color w:val="auto"/>
          <w:sz w:val="24"/>
          <w:szCs w:val="24"/>
          <w:u w:val="single"/>
          <w:rtl/>
          <w:lang w:bidi="he-IL"/>
        </w:rPr>
        <w:sectPr w:rsidR="006E3B7D" w:rsidSect="006E3B7D">
          <w:pgSz w:w="11907" w:h="16839" w:code="9"/>
          <w:pgMar w:top="1440" w:right="1440" w:bottom="1440" w:left="1440" w:header="720" w:footer="720" w:gutter="0"/>
          <w:cols w:space="720"/>
          <w:bidi/>
          <w:docGrid w:linePitch="360"/>
        </w:sectPr>
      </w:pPr>
    </w:p>
    <w:p w:rsidR="00E9382F" w:rsidRPr="00882F11" w:rsidRDefault="00E9382F" w:rsidP="00E9382F">
      <w:pPr>
        <w:pStyle w:val="Heading1"/>
        <w:bidi/>
        <w:spacing w:before="0" w:line="360" w:lineRule="auto"/>
        <w:jc w:val="center"/>
        <w:rPr>
          <w:rFonts w:cs="Guttman Drogolin"/>
          <w:color w:val="auto"/>
          <w:sz w:val="24"/>
          <w:szCs w:val="24"/>
          <w:u w:val="single"/>
          <w:rtl/>
          <w:lang w:bidi="he-IL"/>
        </w:rPr>
      </w:pPr>
      <w:bookmarkStart w:id="496" w:name="_Toc496175740"/>
      <w:r w:rsidRPr="00882F11">
        <w:rPr>
          <w:rFonts w:cs="Guttman Drogolin" w:hint="cs"/>
          <w:color w:val="auto"/>
          <w:sz w:val="24"/>
          <w:szCs w:val="24"/>
          <w:u w:val="single"/>
          <w:rtl/>
          <w:lang w:bidi="he-IL"/>
        </w:rPr>
        <w:lastRenderedPageBreak/>
        <w:t>אם יש חיוב להגעיל היורה שמגעילים בה</w:t>
      </w:r>
      <w:bookmarkEnd w:id="496"/>
    </w:p>
    <w:p w:rsidR="00637870" w:rsidRPr="00882F11" w:rsidRDefault="00BB4151" w:rsidP="00637870">
      <w:pPr>
        <w:tabs>
          <w:tab w:val="right" w:pos="7497"/>
        </w:tabs>
        <w:bidi/>
        <w:jc w:val="both"/>
        <w:rPr>
          <w:rFonts w:cs="Guttman Drogolin"/>
          <w:rtl/>
          <w:lang w:bidi="he-IL"/>
        </w:rPr>
      </w:pPr>
      <w:r>
        <w:rPr>
          <w:rFonts w:cs="Guttman Drogolin"/>
          <w:rtl/>
          <w:lang w:bidi="he-IL"/>
        </w:rPr>
        <w:fldChar w:fldCharType="begin"/>
      </w:r>
      <w:r>
        <w:instrText xml:space="preserve"> XE "</w:instrText>
      </w:r>
      <w:r w:rsidRPr="00672777">
        <w:rPr>
          <w:rFonts w:hint="cs"/>
          <w:rtl/>
          <w:lang w:bidi="he-IL"/>
        </w:rPr>
        <w:instrText>הכשר כלים</w:instrText>
      </w:r>
      <w:r w:rsidRPr="00672777">
        <w:rPr>
          <w:rtl/>
        </w:rPr>
        <w:instrText>:</w:instrText>
      </w:r>
      <w:r w:rsidRPr="00672777">
        <w:rPr>
          <w:rFonts w:hint="cs"/>
          <w:rtl/>
          <w:lang w:bidi="he-IL"/>
        </w:rPr>
        <w:instrText>הכשר היורה שמגעילים בה</w:instrText>
      </w:r>
      <w:r>
        <w:instrText xml:space="preserve">" </w:instrText>
      </w:r>
      <w:r>
        <w:rPr>
          <w:rFonts w:cs="Guttman Drogolin"/>
          <w:rtl/>
          <w:lang w:bidi="he-IL"/>
        </w:rPr>
        <w:fldChar w:fldCharType="end"/>
      </w:r>
      <w:r w:rsidR="003B44E1" w:rsidRPr="00882F11">
        <w:rPr>
          <w:rFonts w:cs="Guttman Drogolin" w:hint="cs"/>
          <w:rtl/>
          <w:lang w:bidi="he-IL"/>
        </w:rPr>
        <w:t>הבאנו לעיל</w:t>
      </w:r>
      <w:r w:rsidR="003B44E1" w:rsidRPr="00882F11">
        <w:rPr>
          <w:rStyle w:val="FootnoteReference"/>
          <w:rFonts w:cs="Guttman Drogolin"/>
          <w:rtl/>
          <w:lang w:bidi="he-IL"/>
        </w:rPr>
        <w:footnoteReference w:id="495"/>
      </w:r>
      <w:r w:rsidR="003B44E1" w:rsidRPr="00882F11">
        <w:rPr>
          <w:rFonts w:cs="Guttman Drogolin" w:hint="cs"/>
          <w:rtl/>
          <w:lang w:bidi="he-IL"/>
        </w:rPr>
        <w:t xml:space="preserve"> דברי הגמ' במס' ע"ז בהגעלת יורה גדולה שצריך לעשות עיסה ולהדביקו סביב לשפה שלו. וכאן בפסקי הרא"ש הביא מקודם דברי הרשב"א ועוד ראשונים שפירשו שכוונת הגמ' לוירה שמגעילים בה, שגם הוא צריך הכשר. וטעמם שהרי אם לא יכשיר אותו, הבליעות (אם הם בני יומן) יצאו מן היורה שמגעילים בה לתוך הכלי שמגעלין אותו</w:t>
      </w:r>
      <w:r w:rsidR="00807ABE" w:rsidRPr="00882F11">
        <w:rPr>
          <w:rFonts w:cs="Guttman Drogolin" w:hint="cs"/>
          <w:rtl/>
          <w:lang w:bidi="he-IL"/>
        </w:rPr>
        <w:t>, ואין ששים כנגד אותם בליעות כיון דקיי"ל שבדרך כלל אין ששים בתוך כלי כנגד דופני הכלי</w:t>
      </w:r>
      <w:r w:rsidR="003B44E1" w:rsidRPr="00882F11">
        <w:rPr>
          <w:rFonts w:cs="Guttman Drogolin" w:hint="cs"/>
          <w:rtl/>
          <w:lang w:bidi="he-IL"/>
        </w:rPr>
        <w:t>.</w:t>
      </w:r>
      <w:r w:rsidR="00807ABE" w:rsidRPr="00882F11">
        <w:rPr>
          <w:rFonts w:cs="Guttman Drogolin" w:hint="cs"/>
          <w:rtl/>
          <w:lang w:bidi="he-IL"/>
        </w:rPr>
        <w:t xml:space="preserve"> </w:t>
      </w:r>
      <w:r w:rsidR="00BB3A4D" w:rsidRPr="00882F11">
        <w:rPr>
          <w:rFonts w:cs="Guttman Drogolin" w:hint="cs"/>
          <w:rtl/>
          <w:lang w:bidi="he-IL"/>
        </w:rPr>
        <w:t>ושוב הביא שיש חולקים על זה ומפרשים דיורה גדולה ר"ל יורה שמשתמשים בה לאוכל, ולעולם אין היורה שמגעילים בה צריך הכשר. והוכיחו שכן הדין משום דאל"כ אפילו אם הגעילו היורה איך יוכלו להמשיך להגעיל שאר הכלים, הא מיד שנכנסו הכלים הראשונים יוצאים הבליעות מהם ולבסוף יתווספו הבליעות עד שלא יהי' ס' כנגדם וממילא יאסרו את הכלים האחרונים. וע"כ צריכים לומר שאין היורה ולא הכלים אוסרים בבליעתם בשעת ההגעלה כיון דאיידי דטרידי למיפלט לא בלע. והרא"ש חלק עליהם שלעולם היורה צריך הגעלה ומשום דאל"כ הבליעות שביורה יאסרו הכלים שמגעיל בהם. ואין להקשות מן הבליעות של הכלים הראשונים, דהא כיון שהי' ששים כנגדם הרי הם בטלים. ולכאורה כוונתו לומר דאע"ג שיתווספו יותר בליעות לאחר מכן ואז עם הכל ביחד לא יהי' ס', לא אומרים דחו</w:t>
      </w:r>
      <w:r w:rsidR="00637870" w:rsidRPr="00882F11">
        <w:rPr>
          <w:rFonts w:cs="Guttman Drogolin" w:hint="cs"/>
          <w:rtl/>
          <w:lang w:bidi="he-IL"/>
        </w:rPr>
        <w:t>ז</w:t>
      </w:r>
      <w:r w:rsidR="00BB3A4D" w:rsidRPr="00882F11">
        <w:rPr>
          <w:rFonts w:cs="Guttman Drogolin" w:hint="cs"/>
          <w:rtl/>
          <w:lang w:bidi="he-IL"/>
        </w:rPr>
        <w:t>ר וניעור</w:t>
      </w:r>
      <w:r w:rsidR="00A16FD7" w:rsidRPr="00882F11">
        <w:rPr>
          <w:rStyle w:val="FootnoteReference"/>
          <w:rFonts w:cs="Guttman Drogolin"/>
          <w:rtl/>
          <w:lang w:bidi="he-IL"/>
        </w:rPr>
        <w:footnoteReference w:id="496"/>
      </w:r>
      <w:r w:rsidR="00BB3A4D" w:rsidRPr="00882F11">
        <w:rPr>
          <w:rFonts w:cs="Guttman Drogolin" w:hint="cs"/>
          <w:rtl/>
          <w:lang w:bidi="he-IL"/>
        </w:rPr>
        <w:t>.</w:t>
      </w:r>
      <w:r w:rsidR="00637870" w:rsidRPr="00882F11">
        <w:rPr>
          <w:rFonts w:cs="Guttman Drogolin" w:hint="cs"/>
          <w:rtl/>
          <w:lang w:bidi="he-IL"/>
        </w:rPr>
        <w:t xml:space="preserve"> אלא שדבריו מרפסין איגרי וכמו שהאריך בזה הק"נ שם, שמיד לאחר מכן כתב שלאחר ההגעה צריכים להכשיר היורה שהגעיל בה ע"י שמסבב שפתה בטיט וכו'. ולכאורה כל זה למה, הא עד כמה שהכלים </w:t>
      </w:r>
      <w:r w:rsidR="00637870" w:rsidRPr="00882F11">
        <w:rPr>
          <w:rFonts w:cs="Guttman Drogolin" w:hint="cs"/>
          <w:rtl/>
          <w:lang w:bidi="he-IL"/>
        </w:rPr>
        <w:lastRenderedPageBreak/>
        <w:t>שהכשירו בה כשרים גם היורה צריך להיות כשר לאחר מכן. וע"ש מש"כ בזה. וצ"ע.</w:t>
      </w:r>
    </w:p>
    <w:p w:rsidR="002D6706" w:rsidRPr="00882F11" w:rsidRDefault="00727E3F" w:rsidP="00627770">
      <w:pPr>
        <w:tabs>
          <w:tab w:val="right" w:pos="7497"/>
        </w:tabs>
        <w:bidi/>
        <w:jc w:val="both"/>
        <w:rPr>
          <w:rFonts w:cs="Guttman Drogolin"/>
          <w:rtl/>
          <w:lang w:bidi="he-IL"/>
        </w:rPr>
      </w:pPr>
      <w:r w:rsidRPr="00882F11">
        <w:rPr>
          <w:rFonts w:cs="Guttman Drogolin" w:hint="cs"/>
          <w:rtl/>
          <w:lang w:bidi="he-IL"/>
        </w:rPr>
        <w:t xml:space="preserve">ואם אין </w:t>
      </w:r>
      <w:r w:rsidR="002D6706" w:rsidRPr="00882F11">
        <w:rPr>
          <w:rFonts w:cs="Guttman Drogolin" w:hint="cs"/>
          <w:rtl/>
          <w:lang w:bidi="he-IL"/>
        </w:rPr>
        <w:t>היורה בן יומו סבר הרא"ש שאין צורך לה</w:t>
      </w:r>
      <w:r w:rsidR="00627770" w:rsidRPr="00882F11">
        <w:rPr>
          <w:rFonts w:cs="Guttman Drogolin" w:hint="cs"/>
          <w:rtl/>
          <w:lang w:bidi="he-IL"/>
        </w:rPr>
        <w:t>כ</w:t>
      </w:r>
      <w:r w:rsidR="002D6706" w:rsidRPr="00882F11">
        <w:rPr>
          <w:rFonts w:cs="Guttman Drogolin" w:hint="cs"/>
          <w:rtl/>
          <w:lang w:bidi="he-IL"/>
        </w:rPr>
        <w:t xml:space="preserve">שירו. ואע"ג שבעלמא בכלי שאינו בן יומו גזרו אינו בן יומו אטו בן יומו, </w:t>
      </w:r>
      <w:r w:rsidR="00193C18" w:rsidRPr="00882F11">
        <w:rPr>
          <w:rFonts w:cs="Guttman Drogolin" w:hint="cs"/>
          <w:rtl/>
          <w:lang w:bidi="he-IL"/>
        </w:rPr>
        <w:t>ב</w:t>
      </w:r>
      <w:r w:rsidR="002D6706" w:rsidRPr="00882F11">
        <w:rPr>
          <w:rFonts w:cs="Guttman Drogolin" w:hint="cs"/>
          <w:rtl/>
          <w:lang w:bidi="he-IL"/>
        </w:rPr>
        <w:t>כלי שמגעיל בה לא אמרינן הכי</w:t>
      </w:r>
      <w:r w:rsidR="00193C18" w:rsidRPr="00882F11">
        <w:rPr>
          <w:rStyle w:val="FootnoteReference"/>
          <w:rFonts w:cs="Guttman Drogolin"/>
          <w:rtl/>
          <w:lang w:bidi="he-IL"/>
        </w:rPr>
        <w:footnoteReference w:id="497"/>
      </w:r>
      <w:r w:rsidR="002D6706" w:rsidRPr="00882F11">
        <w:rPr>
          <w:rFonts w:cs="Guttman Drogolin" w:hint="cs"/>
          <w:rtl/>
          <w:lang w:bidi="he-IL"/>
        </w:rPr>
        <w:t xml:space="preserve"> "</w:t>
      </w:r>
      <w:r w:rsidR="00193C18" w:rsidRPr="00882F11">
        <w:rPr>
          <w:rFonts w:cs="Guttman Drogolin"/>
          <w:rtl/>
          <w:lang w:bidi="he-IL"/>
        </w:rPr>
        <w:t>דהתם ראוי לגזור שאם יבשל בכלי בן יומו התבשיל אסור מן התורה. וגם בישול תבשיל שעושין בני הבית בקל יטעו אם נתיר לכתחלה לבשל בכלי שאין בן יומו כך יבשלו בכלי שהוא בן יומו. אבל הכא אם יחזור ויבלע מעט מן הנפלט דבר מועט הוא ונותן טעם בר נותן טעם הוא וגם הבא להכשיר כלי אינו רגיל לטעות</w:t>
      </w:r>
      <w:r w:rsidR="00193C18" w:rsidRPr="00882F11">
        <w:rPr>
          <w:rFonts w:cs="Guttman Drogolin" w:hint="cs"/>
          <w:rtl/>
          <w:lang w:bidi="he-IL"/>
        </w:rPr>
        <w:t>". וכוונתו לומר שיש ב' טעמים לחלק בין זה לזה, חדא שבכלי שמבשל בה יש יותר חשש לטעות, ועוד שבכלי במבשל בה יש יותר חשש שיאסר המאכל לאחר מכן. ובחילוק הראשון ביאר שהבאים להכשיר אינם טועים, אבל מי שסתם מבשל טועה. אבל בחילוק השני לכאורה צ"ע,דהא כבר יסד הרא"ש שאין בתוכו של הכלי ששים כנגד הכלי עצמו, וא"כ למה אין חשש של נתינת טעם. ופשוט שכוונתו לומר שאמנם יתכן שיהא בה נתינת טעם כיון שליכא ששים, ואילו הי בן יומו היינו צריכים לאסור מספק, אבל בדרך כלל אין בה כי נתינת טעם, ולכן לבא לעשות גזירה של אינו בן יומו אטו בן יומו, כולי האי לא גזרינן. ו</w:t>
      </w:r>
      <w:r w:rsidR="000B44AC" w:rsidRPr="00882F11">
        <w:rPr>
          <w:rFonts w:cs="Guttman Drogolin" w:hint="cs"/>
          <w:rtl/>
          <w:lang w:bidi="he-IL"/>
        </w:rPr>
        <w:t>זה</w:t>
      </w:r>
      <w:r w:rsidR="00193C18" w:rsidRPr="00882F11">
        <w:rPr>
          <w:rFonts w:cs="Guttman Drogolin" w:hint="cs"/>
          <w:rtl/>
          <w:lang w:bidi="he-IL"/>
        </w:rPr>
        <w:t xml:space="preserve">ו ג"כ כוונתו בהא דהוי נ"ט בר נ"ט, </w:t>
      </w:r>
      <w:r w:rsidR="000B44AC" w:rsidRPr="00882F11">
        <w:rPr>
          <w:rFonts w:cs="Guttman Drogolin" w:hint="cs"/>
          <w:rtl/>
          <w:lang w:bidi="he-IL"/>
        </w:rPr>
        <w:t>שלכאורה קשה דהא</w:t>
      </w:r>
      <w:r w:rsidR="00193C18" w:rsidRPr="00882F11">
        <w:rPr>
          <w:rFonts w:cs="Guttman Drogolin" w:hint="cs"/>
          <w:rtl/>
          <w:lang w:bidi="he-IL"/>
        </w:rPr>
        <w:t xml:space="preserve"> </w:t>
      </w:r>
      <w:r w:rsidR="000B44AC" w:rsidRPr="00882F11">
        <w:rPr>
          <w:rFonts w:cs="Guttman Drogolin" w:hint="cs"/>
          <w:rtl/>
          <w:lang w:bidi="he-IL"/>
        </w:rPr>
        <w:t xml:space="preserve">באיסור לא אמרינן לי' להיתירא דנ"ט בר נ"ט, וע"כ הרא"ש </w:t>
      </w:r>
      <w:r w:rsidR="00193C18" w:rsidRPr="00882F11">
        <w:rPr>
          <w:rFonts w:cs="Guttman Drogolin" w:hint="cs"/>
          <w:rtl/>
          <w:lang w:bidi="he-IL"/>
        </w:rPr>
        <w:t xml:space="preserve">מיירי באיסור, </w:t>
      </w:r>
      <w:r w:rsidR="000B44AC" w:rsidRPr="00882F11">
        <w:rPr>
          <w:rFonts w:cs="Guttman Drogolin" w:hint="cs"/>
          <w:rtl/>
          <w:lang w:bidi="he-IL"/>
        </w:rPr>
        <w:t>ד</w:t>
      </w:r>
      <w:r w:rsidR="00193C18" w:rsidRPr="00882F11">
        <w:rPr>
          <w:rFonts w:cs="Guttman Drogolin" w:hint="cs"/>
          <w:rtl/>
          <w:lang w:bidi="he-IL"/>
        </w:rPr>
        <w:t xml:space="preserve">הא בהיתר כגון חמץ בפסח (לשיטת הרא"ש עכ"פ) </w:t>
      </w:r>
      <w:r w:rsidR="000B44AC" w:rsidRPr="00882F11">
        <w:rPr>
          <w:rFonts w:cs="Guttman Drogolin" w:hint="cs"/>
          <w:rtl/>
          <w:lang w:bidi="he-IL"/>
        </w:rPr>
        <w:t>כתב הרא"ש מיד לאחר מכן שאפשר להגעיל אפילו כלי בן יומו דכה"ג הוי נ"ט בר נ"ט. וע"כ כוונתו שא</w:t>
      </w:r>
      <w:r w:rsidR="00627770" w:rsidRPr="00882F11">
        <w:rPr>
          <w:rFonts w:cs="Guttman Drogolin" w:hint="cs"/>
          <w:rtl/>
          <w:lang w:bidi="he-IL"/>
        </w:rPr>
        <w:t>מ</w:t>
      </w:r>
      <w:r w:rsidR="000B44AC" w:rsidRPr="00882F11">
        <w:rPr>
          <w:rFonts w:cs="Guttman Drogolin" w:hint="cs"/>
          <w:rtl/>
          <w:lang w:bidi="he-IL"/>
        </w:rPr>
        <w:t xml:space="preserve">נם בנ"ט בר נ"ט לא סמכינן על זה שהוא </w:t>
      </w:r>
      <w:r w:rsidR="000B44AC" w:rsidRPr="00882F11">
        <w:rPr>
          <w:rFonts w:cs="Guttman Drogolin" w:hint="cs"/>
          <w:rtl/>
          <w:lang w:bidi="he-IL"/>
        </w:rPr>
        <w:lastRenderedPageBreak/>
        <w:t xml:space="preserve">מותר, דיתכן שיש נתינת טעם והיתירא דנ"ט בר נ"ט ליכא, מ"מ בדרך כלל לא יהא נ"ט בר נ"ט נותן טעם, ולכן כולי האי לא גזרינן.  </w:t>
      </w:r>
      <w:r w:rsidR="00193C18" w:rsidRPr="00882F11">
        <w:rPr>
          <w:rFonts w:cs="Guttman Drogolin" w:hint="cs"/>
          <w:rtl/>
          <w:lang w:bidi="he-IL"/>
        </w:rPr>
        <w:t xml:space="preserve"> </w:t>
      </w:r>
      <w:r w:rsidR="00637870" w:rsidRPr="00882F11">
        <w:rPr>
          <w:rFonts w:cs="Guttman Drogolin" w:hint="cs"/>
          <w:rtl/>
          <w:lang w:bidi="he-IL"/>
        </w:rPr>
        <w:t xml:space="preserve"> </w:t>
      </w:r>
      <w:r w:rsidR="00BB3A4D" w:rsidRPr="00882F11">
        <w:rPr>
          <w:rFonts w:cs="Guttman Drogolin" w:hint="cs"/>
          <w:rtl/>
          <w:lang w:bidi="he-IL"/>
        </w:rPr>
        <w:t xml:space="preserve">   </w:t>
      </w:r>
    </w:p>
    <w:p w:rsidR="002D6706" w:rsidRPr="00882F11" w:rsidRDefault="002D6706" w:rsidP="006E3B7D">
      <w:pPr>
        <w:pStyle w:val="Heading1"/>
        <w:bidi/>
        <w:spacing w:before="0" w:line="240" w:lineRule="auto"/>
        <w:jc w:val="center"/>
        <w:rPr>
          <w:rFonts w:cs="Guttman Drogolin"/>
          <w:color w:val="auto"/>
          <w:sz w:val="24"/>
          <w:szCs w:val="24"/>
          <w:u w:val="single"/>
          <w:rtl/>
          <w:lang w:bidi="he-IL"/>
        </w:rPr>
      </w:pPr>
      <w:bookmarkStart w:id="497" w:name="_Toc496175741"/>
      <w:r w:rsidRPr="00882F11">
        <w:rPr>
          <w:rFonts w:cs="Guttman Drogolin" w:hint="cs"/>
          <w:color w:val="auto"/>
          <w:sz w:val="24"/>
          <w:szCs w:val="24"/>
          <w:u w:val="single"/>
          <w:rtl/>
          <w:lang w:bidi="he-IL"/>
        </w:rPr>
        <w:t>איך להגעיל כלי ולא לחשוש שהבליעות יחזרו לתוך הכלי ויאסרנה</w:t>
      </w:r>
      <w:bookmarkEnd w:id="497"/>
    </w:p>
    <w:p w:rsidR="00F84685" w:rsidRPr="00882F11" w:rsidRDefault="00BB4151" w:rsidP="007978F4">
      <w:pPr>
        <w:tabs>
          <w:tab w:val="right" w:pos="7497"/>
        </w:tabs>
        <w:bidi/>
        <w:jc w:val="both"/>
        <w:rPr>
          <w:rFonts w:cs="Guttman Drogolin"/>
          <w:rtl/>
          <w:lang w:bidi="he-IL"/>
        </w:rPr>
      </w:pPr>
      <w:r>
        <w:rPr>
          <w:rFonts w:cs="Guttman Drogolin"/>
          <w:rtl/>
          <w:lang w:bidi="he-IL"/>
        </w:rPr>
        <w:fldChar w:fldCharType="begin"/>
      </w:r>
      <w:r>
        <w:instrText xml:space="preserve"> XE "</w:instrText>
      </w:r>
      <w:r w:rsidRPr="00E73634">
        <w:rPr>
          <w:rFonts w:hint="cs"/>
          <w:rtl/>
          <w:lang w:bidi="he-IL"/>
        </w:rPr>
        <w:instrText>הכשר כלים</w:instrText>
      </w:r>
      <w:r w:rsidRPr="00E73634">
        <w:rPr>
          <w:rtl/>
        </w:rPr>
        <w:instrText>:</w:instrText>
      </w:r>
      <w:r w:rsidRPr="00E73634">
        <w:rPr>
          <w:rFonts w:hint="cs"/>
          <w:rtl/>
          <w:lang w:bidi="he-IL"/>
        </w:rPr>
        <w:instrText>בהא שהבליעות חוזרים ונכנסים</w:instrText>
      </w:r>
      <w:r>
        <w:instrText xml:space="preserve">" </w:instrText>
      </w:r>
      <w:r>
        <w:rPr>
          <w:rFonts w:cs="Guttman Drogolin"/>
          <w:rtl/>
          <w:lang w:bidi="he-IL"/>
        </w:rPr>
        <w:fldChar w:fldCharType="end"/>
      </w:r>
      <w:r w:rsidR="007E60EF" w:rsidRPr="00882F11">
        <w:rPr>
          <w:rFonts w:cs="Guttman Drogolin" w:hint="cs"/>
          <w:rtl/>
          <w:lang w:bidi="he-IL"/>
        </w:rPr>
        <w:t>יש מן הראשונים הסוברים שאפשר להכשיר כלי אפילו בן יומו אפילו במים שהם פחת מס' ומשום דלא חיישינן שיחזור ויבלע כיון דטרידי למיפלט וכמו שהבאנו לעיל</w:t>
      </w:r>
      <w:r w:rsidR="002D5D9A" w:rsidRPr="00882F11">
        <w:rPr>
          <w:rFonts w:cs="Guttman Drogolin" w:hint="cs"/>
          <w:rtl/>
          <w:lang w:bidi="he-IL"/>
        </w:rPr>
        <w:t>.</w:t>
      </w:r>
      <w:r w:rsidR="007E60EF" w:rsidRPr="00882F11">
        <w:rPr>
          <w:rFonts w:cs="Guttman Drogolin" w:hint="cs"/>
          <w:rtl/>
          <w:lang w:bidi="he-IL"/>
        </w:rPr>
        <w:t xml:space="preserve"> אמנם הרבה ראשונים נקטו שאי אפשר לסמוך על זה, ולכן הביאו שאי אפשר להכשיר כלי בהגעלה אא"כ יש ס' במים כנגד הכלי או"ד שהכלי אינו בן יומו. והרא"ש והר"ן העירו שאם חוששים שהבליעות יחזרו ויבלעו, מה הועילו חכמים בתקנתם, דהא גם קודם שהגעילו היו הבליעות מותרות מעיקר הדין כיון שלא היו בני יומן, וכן לאחר הגעלה ג"כ חיישינן שאותם בליעות יחזרו לכלי, וא"כ איזה טעם יש לדבר. ולכאורה דבריהם צריכים עיון, דלכאורה פשוט הטעם דמהני, דהא הבליעות מתערבים עם המים, ואע"ג שאין במים ס' כנגד הבליעות, מ"מ כיון שהם נטל"פ אינן אוסרים המים. ולכן אחרי שהבליעות יחזרו ויכנסו לתוך הכלי הא כבר התערבו במים שהם מותרים, ולכן אין צורך להכשיר הכלי כמו שאין המים נאסרים וכן אינם אוסרים כלי אחר. ומה </w:t>
      </w:r>
      <w:r w:rsidR="007978F4">
        <w:rPr>
          <w:rFonts w:cs="Guttman Drogolin" w:hint="cs"/>
          <w:rtl/>
          <w:lang w:bidi="he-IL"/>
        </w:rPr>
        <w:t>ש</w:t>
      </w:r>
      <w:r w:rsidR="007E60EF" w:rsidRPr="00882F11">
        <w:rPr>
          <w:rFonts w:cs="Guttman Drogolin" w:hint="cs"/>
          <w:rtl/>
          <w:lang w:bidi="he-IL"/>
        </w:rPr>
        <w:t>לכאורה צריכים לומר בזה, דהנה לפי הגירסא שלפנינו במס' ע"ז הטעם שאסור להשתמש בכלי שאינו בן יומו משום שגזרו אינו בן יומו</w:t>
      </w:r>
      <w:r w:rsidR="007978F4">
        <w:rPr>
          <w:rFonts w:cs="Guttman Drogolin" w:hint="cs"/>
          <w:rtl/>
          <w:lang w:bidi="he-IL"/>
        </w:rPr>
        <w:t xml:space="preserve"> </w:t>
      </w:r>
      <w:r w:rsidR="007E60EF" w:rsidRPr="00882F11">
        <w:rPr>
          <w:rFonts w:cs="Guttman Drogolin" w:hint="cs"/>
          <w:rtl/>
          <w:lang w:bidi="he-IL"/>
        </w:rPr>
        <w:t xml:space="preserve">אטו בן יומו. ולכאורה צ"ע, </w:t>
      </w:r>
      <w:r w:rsidR="00160194" w:rsidRPr="00882F11">
        <w:rPr>
          <w:rFonts w:cs="Guttman Drogolin" w:hint="cs"/>
          <w:rtl/>
          <w:lang w:bidi="he-IL"/>
        </w:rPr>
        <w:t>ד</w:t>
      </w:r>
      <w:r w:rsidR="007E60EF" w:rsidRPr="00882F11">
        <w:rPr>
          <w:rFonts w:cs="Guttman Drogolin" w:hint="cs"/>
          <w:rtl/>
          <w:lang w:bidi="he-IL"/>
        </w:rPr>
        <w:t>תיפו"ל משום דינא דאין מב</w:t>
      </w:r>
      <w:r w:rsidR="00096AD3" w:rsidRPr="00882F11">
        <w:rPr>
          <w:rFonts w:cs="Guttman Drogolin" w:hint="cs"/>
          <w:rtl/>
          <w:lang w:bidi="he-IL"/>
        </w:rPr>
        <w:t>ט</w:t>
      </w:r>
      <w:r w:rsidR="007E60EF" w:rsidRPr="00882F11">
        <w:rPr>
          <w:rFonts w:cs="Guttman Drogolin" w:hint="cs"/>
          <w:rtl/>
          <w:lang w:bidi="he-IL"/>
        </w:rPr>
        <w:t xml:space="preserve">לין איסור לכתחילה, הא כל הראשונים הקשו כן על הגמ' </w:t>
      </w:r>
      <w:r w:rsidR="007E60EF" w:rsidRPr="00882F11">
        <w:rPr>
          <w:rFonts w:cs="Guttman Drogolin" w:hint="cs"/>
          <w:rtl/>
          <w:lang w:bidi="he-IL"/>
        </w:rPr>
        <w:lastRenderedPageBreak/>
        <w:t>בעמוד א'. ולכאורה חזינן שאין כאן משום ביטול איסור לכתחילה, דהא אין כאן איסור. ו</w:t>
      </w:r>
      <w:r w:rsidR="00F84685" w:rsidRPr="00882F11">
        <w:rPr>
          <w:rFonts w:cs="Guttman Drogolin" w:hint="cs"/>
          <w:rtl/>
          <w:lang w:bidi="he-IL"/>
        </w:rPr>
        <w:t xml:space="preserve">לכאורה כן חזינן </w:t>
      </w:r>
      <w:r w:rsidR="007E60EF" w:rsidRPr="00882F11">
        <w:rPr>
          <w:rFonts w:cs="Guttman Drogolin" w:hint="cs"/>
          <w:rtl/>
          <w:lang w:bidi="he-IL"/>
        </w:rPr>
        <w:t>אע"</w:t>
      </w:r>
      <w:r w:rsidR="00F84685" w:rsidRPr="00882F11">
        <w:rPr>
          <w:rFonts w:cs="Guttman Drogolin" w:hint="cs"/>
          <w:rtl/>
          <w:lang w:bidi="he-IL"/>
        </w:rPr>
        <w:t xml:space="preserve">ג שאינו סרוח מעיקרו וצריכים ביטול לשיטת הרשב"א, וצ"ע. ומ"מ א"כ כוונתם להקשות, דאע"ג שע"י ביטול יהי' המים מותר, מ"מ הרי גם מקודם היו בליעות של היתר, ומ"מ גזרו עליהם אטו כלי בן יומו. וא"כ מאי </w:t>
      </w:r>
      <w:r w:rsidR="00627770" w:rsidRPr="00882F11">
        <w:rPr>
          <w:rFonts w:cs="Guttman Drogolin" w:hint="cs"/>
          <w:rtl/>
          <w:lang w:bidi="he-IL"/>
        </w:rPr>
        <w:t>ש</w:t>
      </w:r>
      <w:r w:rsidR="00F84685" w:rsidRPr="00882F11">
        <w:rPr>
          <w:rFonts w:cs="Guttman Drogolin" w:hint="cs"/>
          <w:rtl/>
          <w:lang w:bidi="he-IL"/>
        </w:rPr>
        <w:t xml:space="preserve">נא בליעות אלו של היתר שגזרו עליהם מבליעות הבטילים בתוך המים, הא אידי ואידי היתירא נינהו וכמו שגזרו על זה לכאורה גזרו גם על זה. </w:t>
      </w:r>
    </w:p>
    <w:p w:rsidR="0087643D" w:rsidRPr="00882F11" w:rsidRDefault="00B00DFC" w:rsidP="00B00DFC">
      <w:pPr>
        <w:tabs>
          <w:tab w:val="right" w:pos="7497"/>
        </w:tabs>
        <w:bidi/>
        <w:jc w:val="both"/>
        <w:rPr>
          <w:rFonts w:cs="Guttman Drogolin"/>
          <w:rtl/>
          <w:lang w:bidi="he-IL"/>
        </w:rPr>
      </w:pPr>
      <w:r w:rsidRPr="00882F11">
        <w:rPr>
          <w:rFonts w:cs="Guttman Drogolin" w:hint="cs"/>
          <w:rtl/>
          <w:lang w:bidi="he-IL"/>
        </w:rPr>
        <w:t>והר"ן תי' לקושיא שיש לחלק בין היכא שבלע כשהי' פגום לבלע כשהי' לשבח. והוא לכאורה ע"פ החילוק שכתבו התוס' במס' ע"ז ע"ו ע"א לחלק בין אוכל לכלי, שגזרו על הכלי משום שנכנס בפגם משא"כ האוכל שנכנס כשהי' כבר פגום. ומיני' גם לכלי, שאם חוזר ונכנס כשהי' פגום לל"ב. אבל הרא"ש</w:t>
      </w:r>
      <w:r w:rsidR="000C7A05" w:rsidRPr="00882F11">
        <w:rPr>
          <w:rStyle w:val="FootnoteReference"/>
          <w:rFonts w:cs="Guttman Drogolin"/>
          <w:rtl/>
          <w:lang w:bidi="he-IL"/>
        </w:rPr>
        <w:footnoteReference w:id="498"/>
      </w:r>
      <w:r w:rsidRPr="00882F11">
        <w:rPr>
          <w:rFonts w:cs="Guttman Drogolin" w:hint="cs"/>
          <w:rtl/>
          <w:lang w:bidi="he-IL"/>
        </w:rPr>
        <w:t xml:space="preserve"> כתב שהטעם לחלק בזה משום דהוי נ"ט בר נ"ט דהיתירא. וזו לכאורה צריך ביאור, דהא גם קודם שהגעיל הי' היתר כיון </w:t>
      </w:r>
      <w:r w:rsidR="00160194" w:rsidRPr="00882F11">
        <w:rPr>
          <w:rFonts w:cs="Guttman Drogolin" w:hint="cs"/>
          <w:rtl/>
          <w:lang w:bidi="he-IL"/>
        </w:rPr>
        <w:t>שהי' נטל"פ, ואם גזרו עליו להיות חפצא דאסורא הא כבר אינו נ"ט בר נ"ט דהיתירא רק דאיסורא. ואין לומר כמו שביארנו למעלה שאין כוונת הרא"ש אלא לומר שהטעם מועט, דא"כ מאי שנא דהוי כולו היתר מלא הוי כולו היתר.</w:t>
      </w:r>
      <w:r w:rsidR="0087643D" w:rsidRPr="00882F11">
        <w:rPr>
          <w:rFonts w:cs="Guttman Drogolin" w:hint="cs"/>
          <w:rtl/>
          <w:lang w:bidi="he-IL"/>
        </w:rPr>
        <w:t xml:space="preserve"> וצע</w:t>
      </w:r>
      <w:r w:rsidR="000C7A05" w:rsidRPr="00882F11">
        <w:rPr>
          <w:rFonts w:cs="Guttman Drogolin" w:hint="cs"/>
          <w:rtl/>
          <w:lang w:bidi="he-IL"/>
        </w:rPr>
        <w:t>"ג</w:t>
      </w:r>
      <w:bookmarkStart w:id="498" w:name="_Ref485626650"/>
      <w:r w:rsidR="004968CB" w:rsidRPr="00882F11">
        <w:rPr>
          <w:rStyle w:val="FootnoteReference"/>
          <w:rFonts w:cs="Guttman Drogolin"/>
          <w:rtl/>
          <w:lang w:bidi="he-IL"/>
        </w:rPr>
        <w:footnoteReference w:id="499"/>
      </w:r>
      <w:bookmarkEnd w:id="498"/>
      <w:r w:rsidR="0087643D" w:rsidRPr="00882F11">
        <w:rPr>
          <w:rFonts w:cs="Guttman Drogolin" w:hint="cs"/>
          <w:rtl/>
          <w:lang w:bidi="he-IL"/>
        </w:rPr>
        <w:t>.</w:t>
      </w:r>
    </w:p>
    <w:p w:rsidR="0087643D" w:rsidRPr="006E3B7D" w:rsidRDefault="0087643D" w:rsidP="0087643D">
      <w:pPr>
        <w:pStyle w:val="Heading1"/>
        <w:bidi/>
        <w:spacing w:before="0" w:line="360" w:lineRule="auto"/>
        <w:jc w:val="center"/>
        <w:rPr>
          <w:rFonts w:cs="Guttman Drogolin"/>
          <w:color w:val="auto"/>
          <w:sz w:val="22"/>
          <w:szCs w:val="22"/>
          <w:u w:val="single"/>
          <w:rtl/>
          <w:lang w:bidi="he-IL"/>
        </w:rPr>
      </w:pPr>
      <w:bookmarkStart w:id="499" w:name="_Toc496175742"/>
      <w:r w:rsidRPr="006E3B7D">
        <w:rPr>
          <w:rFonts w:cs="Guttman Drogolin" w:hint="cs"/>
          <w:color w:val="auto"/>
          <w:sz w:val="22"/>
          <w:szCs w:val="22"/>
          <w:u w:val="single"/>
          <w:rtl/>
          <w:lang w:bidi="he-IL"/>
        </w:rPr>
        <w:t>סתירת דברי הראשונים דהא דחמץ שמו עליו</w:t>
      </w:r>
      <w:bookmarkEnd w:id="499"/>
    </w:p>
    <w:p w:rsidR="00D51987" w:rsidRPr="00882F11" w:rsidRDefault="00BB4151" w:rsidP="0087643D">
      <w:pPr>
        <w:tabs>
          <w:tab w:val="right" w:pos="7497"/>
        </w:tabs>
        <w:bidi/>
        <w:jc w:val="both"/>
        <w:rPr>
          <w:rFonts w:cs="Guttman Drogolin"/>
          <w:rtl/>
          <w:lang w:bidi="he-IL"/>
        </w:rPr>
      </w:pPr>
      <w:r>
        <w:rPr>
          <w:rFonts w:cs="Guttman Drogolin"/>
          <w:rtl/>
          <w:lang w:bidi="he-IL"/>
        </w:rPr>
        <w:fldChar w:fldCharType="begin"/>
      </w:r>
      <w:r>
        <w:instrText xml:space="preserve"> XE "</w:instrText>
      </w:r>
      <w:r w:rsidRPr="00EC786E">
        <w:rPr>
          <w:rFonts w:hint="cs"/>
          <w:rtl/>
          <w:lang w:bidi="he-IL"/>
        </w:rPr>
        <w:instrText>חמץ בפסח</w:instrText>
      </w:r>
      <w:r w:rsidRPr="00EC786E">
        <w:rPr>
          <w:rtl/>
        </w:rPr>
        <w:instrText>:</w:instrText>
      </w:r>
      <w:r w:rsidRPr="00EC786E">
        <w:rPr>
          <w:rFonts w:hint="cs"/>
          <w:rtl/>
          <w:lang w:bidi="he-IL"/>
        </w:rPr>
        <w:instrText>אי הוי היתירא בלע</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A54D72">
        <w:rPr>
          <w:rFonts w:hint="cs"/>
          <w:rtl/>
          <w:lang w:bidi="he-IL"/>
        </w:rPr>
        <w:instrText>הכשר כלים</w:instrText>
      </w:r>
      <w:r w:rsidRPr="00A54D72">
        <w:rPr>
          <w:rtl/>
        </w:rPr>
        <w:instrText>:</w:instrText>
      </w:r>
      <w:r w:rsidRPr="00A54D72">
        <w:rPr>
          <w:rFonts w:hint="cs"/>
          <w:rtl/>
          <w:lang w:bidi="he-IL"/>
        </w:rPr>
        <w:instrText>אי חמץ הוי היתירא בלע</w:instrText>
      </w:r>
      <w:r>
        <w:instrText xml:space="preserve">" </w:instrText>
      </w:r>
      <w:r>
        <w:rPr>
          <w:rFonts w:cs="Guttman Drogolin"/>
          <w:rtl/>
          <w:lang w:bidi="he-IL"/>
        </w:rPr>
        <w:fldChar w:fldCharType="end"/>
      </w:r>
      <w:r w:rsidR="0087643D" w:rsidRPr="00882F11">
        <w:rPr>
          <w:rFonts w:cs="Guttman Drogolin" w:hint="cs"/>
          <w:rtl/>
          <w:lang w:bidi="he-IL"/>
        </w:rPr>
        <w:t>הראשונים התייחסו לזה ש</w:t>
      </w:r>
      <w:r w:rsidR="007978F4">
        <w:rPr>
          <w:rFonts w:cs="Guttman Drogolin" w:hint="cs"/>
          <w:rtl/>
          <w:lang w:bidi="he-IL"/>
        </w:rPr>
        <w:t>א</w:t>
      </w:r>
      <w:r w:rsidR="0087643D" w:rsidRPr="00882F11">
        <w:rPr>
          <w:rFonts w:cs="Guttman Drogolin" w:hint="cs"/>
          <w:rtl/>
          <w:lang w:bidi="he-IL"/>
        </w:rPr>
        <w:t xml:space="preserve">נחנו מוצאים סתירה בדין הכשר הסכין, שבמס' חולין וכן בתוספתא מבואר שצריכה ליבון, ואילו במס' פסחים מסקנת הגמ' שאינו צריך אלא הגעלה. והנה אם חמץ </w:t>
      </w:r>
      <w:r w:rsidR="0087643D" w:rsidRPr="00882F11">
        <w:rPr>
          <w:rFonts w:cs="Guttman Drogolin" w:hint="cs"/>
          <w:rtl/>
          <w:lang w:bidi="he-IL"/>
        </w:rPr>
        <w:lastRenderedPageBreak/>
        <w:t xml:space="preserve">קודם זמנו מקרי היתירא בלע, אין כאן קושיא דהא בפסחים מיירי בחמץ בפסח דהוי היתירא בלע, </w:t>
      </w:r>
      <w:r w:rsidR="000C7A05" w:rsidRPr="00882F11">
        <w:rPr>
          <w:rFonts w:cs="Guttman Drogolin" w:hint="cs"/>
          <w:rtl/>
          <w:lang w:bidi="he-IL"/>
        </w:rPr>
        <w:t xml:space="preserve">וכתירוצו של ר' אשי במס' ע"ז לסתירה בדין הגעלת </w:t>
      </w:r>
      <w:r w:rsidR="0087643D" w:rsidRPr="00882F11">
        <w:rPr>
          <w:rFonts w:cs="Guttman Drogolin" w:hint="cs"/>
          <w:rtl/>
          <w:lang w:bidi="he-IL"/>
        </w:rPr>
        <w:t>ובעלמא מיירי באיסורא</w:t>
      </w:r>
      <w:r w:rsidR="000C7A05" w:rsidRPr="00882F11">
        <w:rPr>
          <w:rFonts w:cs="Guttman Drogolin" w:hint="cs"/>
          <w:rtl/>
          <w:lang w:bidi="he-IL"/>
        </w:rPr>
        <w:t xml:space="preserve"> ולכן צריכים ליבון. אמנם ידוע שיטת הרמב"ן דלא שייך כאן דינא דהיתירא בלע, דהא </w:t>
      </w:r>
      <w:r w:rsidR="00D51987" w:rsidRPr="00882F11">
        <w:rPr>
          <w:rFonts w:cs="Guttman Drogolin" w:hint="cs"/>
          <w:rtl/>
          <w:lang w:bidi="he-IL"/>
        </w:rPr>
        <w:t xml:space="preserve">חמץ שמו עליו. ולכן צריכים לחלק בין רוב תשמישו למיעוט תשמישו. ולענין הביאור בתוספתא ובסתירת הסוגיות מביאים בשם רש"י דסוגיית הש"ס היא דבעי ליבון ודלא כתוספתא, והגמ' בחולין לאו דוקא נקט. ובתוס' למדו אחרת ואכמ"ל. </w:t>
      </w:r>
    </w:p>
    <w:p w:rsidR="00E33799" w:rsidRPr="00882F11" w:rsidRDefault="00D51987" w:rsidP="00F36DF4">
      <w:pPr>
        <w:tabs>
          <w:tab w:val="right" w:pos="7497"/>
        </w:tabs>
        <w:bidi/>
        <w:jc w:val="both"/>
        <w:rPr>
          <w:rFonts w:cs="Guttman Drogolin"/>
          <w:rtl/>
          <w:lang w:bidi="he-IL"/>
        </w:rPr>
      </w:pPr>
      <w:r w:rsidRPr="00882F11">
        <w:rPr>
          <w:rFonts w:cs="Guttman Drogolin" w:hint="cs"/>
          <w:rtl/>
          <w:lang w:bidi="he-IL"/>
        </w:rPr>
        <w:t xml:space="preserve">והנה הרא"ש כאן כתב </w:t>
      </w:r>
      <w:r w:rsidR="00F36DF4" w:rsidRPr="00882F11">
        <w:rPr>
          <w:rFonts w:cs="Guttman Drogolin" w:hint="cs"/>
          <w:rtl/>
          <w:lang w:bidi="he-IL"/>
        </w:rPr>
        <w:t xml:space="preserve">שאפשר להגעיל אפילו כלי חמץ בן יומו אפילו במים שהם פחות מס' אם הוא קודם שעה חמישית כיון שבשעה ההוא הוי היתר, והוי נ"ט בר נ"ט דהיתירא. והר"ן הביא שיטה זו וכתב "ואפשר לחלק קצת משום דהתם אין שם איסור חל עליו דהיינו בשר בחלב אבל הכא מעיקרא חמץ והשתא חמץ". וע' בחזו"א סי' קי"ט ס"ק י"ג שהעיר שלכאורה יש סתירה בדבר זה בכמה ראשונים, שהרי הרא"ש סבר דחמץ מיקרי איסורא בלע ולכן גם בפסח בעי ליבון, ואילו לענין נ"ט בר נ"ט סבר דמהני. וכן הר"ן לא כתב אלא ש'אפשר לחלק קצת, משמע שאינו מוכרח להיות תלוי במש"כ מקודם דלענין הגעלה במקום ליבון חמץ שמו עליו. וע' גם בביאור הגר"א ברסי' תנ"ב וכן שם בבה"ל שגם בשו"ע לכאורה יש סתירה בדין זה. וכתב החזו"א דע"כ צריכים לחלק בין דינא דנ"ט בר נ"ט לדינא דהיתירא בלע לענין הצורך של ליבון, שלענין נ"ט בר נ"ט סגי שיהא היתר אע"ג ששמו עליו, אבל לענין הכשר כלים צריך שלא יהא שמו עליו. וע"ש בחזו"א שכתב ע"פ זה שיש להתיר אם הכשיר בפחות מס' קודם שעה חמישית.   </w:t>
      </w:r>
      <w:r w:rsidRPr="00882F11">
        <w:rPr>
          <w:rFonts w:cs="Guttman Drogolin" w:hint="cs"/>
          <w:rtl/>
          <w:lang w:bidi="he-IL"/>
        </w:rPr>
        <w:t xml:space="preserve">  </w:t>
      </w:r>
      <w:r w:rsidR="000C7A05" w:rsidRPr="00882F11">
        <w:rPr>
          <w:rFonts w:cs="Guttman Drogolin" w:hint="cs"/>
          <w:rtl/>
          <w:lang w:bidi="he-IL"/>
        </w:rPr>
        <w:t xml:space="preserve"> </w:t>
      </w:r>
    </w:p>
    <w:p w:rsidR="00E33799" w:rsidRPr="00882F11" w:rsidRDefault="000C7A05" w:rsidP="00E33799">
      <w:pPr>
        <w:tabs>
          <w:tab w:val="right" w:pos="7497"/>
        </w:tabs>
        <w:bidi/>
        <w:jc w:val="both"/>
        <w:rPr>
          <w:rFonts w:cs="Guttman Drogolin"/>
          <w:rtl/>
          <w:lang w:bidi="he-IL"/>
        </w:rPr>
        <w:sectPr w:rsidR="00E33799" w:rsidRPr="00882F11" w:rsidSect="006E3B7D">
          <w:type w:val="continuous"/>
          <w:pgSz w:w="11907" w:h="16839" w:code="9"/>
          <w:pgMar w:top="1440" w:right="1440" w:bottom="1440" w:left="1440" w:header="720" w:footer="720" w:gutter="0"/>
          <w:cols w:num="2" w:space="720"/>
          <w:bidi/>
          <w:docGrid w:linePitch="360"/>
        </w:sectPr>
      </w:pPr>
      <w:r w:rsidRPr="00882F11">
        <w:rPr>
          <w:rFonts w:cs="Guttman Drogolin" w:hint="cs"/>
          <w:rtl/>
          <w:lang w:bidi="he-IL"/>
        </w:rPr>
        <w:t xml:space="preserve"> </w:t>
      </w:r>
    </w:p>
    <w:p w:rsidR="00E33799" w:rsidRPr="00882F11" w:rsidRDefault="00E33799" w:rsidP="00E33799">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ק"ל</w:t>
      </w:r>
    </w:p>
    <w:p w:rsidR="006E3B7D" w:rsidRDefault="006E3B7D" w:rsidP="00413796">
      <w:pPr>
        <w:pStyle w:val="Heading1"/>
        <w:bidi/>
        <w:spacing w:before="0" w:line="360" w:lineRule="auto"/>
        <w:jc w:val="center"/>
        <w:rPr>
          <w:rFonts w:cs="Guttman Drogolin"/>
          <w:color w:val="auto"/>
          <w:sz w:val="24"/>
          <w:szCs w:val="24"/>
          <w:u w:val="single"/>
          <w:rtl/>
          <w:lang w:bidi="he-IL"/>
        </w:rPr>
        <w:sectPr w:rsidR="006E3B7D" w:rsidSect="006E3B7D">
          <w:headerReference w:type="default" r:id="rId94"/>
          <w:pgSz w:w="11907" w:h="16839" w:code="9"/>
          <w:pgMar w:top="1440" w:right="1440" w:bottom="1440" w:left="1440" w:header="720" w:footer="720" w:gutter="0"/>
          <w:cols w:space="720"/>
          <w:bidi/>
          <w:docGrid w:linePitch="360"/>
        </w:sectPr>
      </w:pPr>
    </w:p>
    <w:p w:rsidR="00E33799" w:rsidRPr="00882F11" w:rsidRDefault="00413796" w:rsidP="00413796">
      <w:pPr>
        <w:pStyle w:val="Heading1"/>
        <w:bidi/>
        <w:spacing w:before="0" w:line="360" w:lineRule="auto"/>
        <w:jc w:val="center"/>
        <w:rPr>
          <w:rFonts w:cs="Guttman Drogolin"/>
          <w:color w:val="auto"/>
          <w:sz w:val="24"/>
          <w:szCs w:val="24"/>
          <w:u w:val="single"/>
          <w:rtl/>
          <w:lang w:bidi="he-IL"/>
        </w:rPr>
      </w:pPr>
      <w:bookmarkStart w:id="500" w:name="_Toc496175743"/>
      <w:r w:rsidRPr="00882F11">
        <w:rPr>
          <w:rFonts w:cs="Guttman Drogolin" w:hint="cs"/>
          <w:color w:val="auto"/>
          <w:sz w:val="24"/>
          <w:szCs w:val="24"/>
          <w:u w:val="single"/>
          <w:rtl/>
          <w:lang w:bidi="he-IL"/>
        </w:rPr>
        <w:lastRenderedPageBreak/>
        <w:t>העלאת רתיחות בהגעלה</w:t>
      </w:r>
      <w:bookmarkEnd w:id="500"/>
    </w:p>
    <w:p w:rsidR="002203D2" w:rsidRPr="00882F11" w:rsidRDefault="00673A6D" w:rsidP="00581624">
      <w:pPr>
        <w:tabs>
          <w:tab w:val="right" w:pos="7497"/>
        </w:tabs>
        <w:bidi/>
        <w:jc w:val="both"/>
        <w:rPr>
          <w:rFonts w:cs="Guttman Drogolin"/>
          <w:rtl/>
          <w:lang w:bidi="he-IL"/>
        </w:rPr>
      </w:pPr>
      <w:r>
        <w:rPr>
          <w:rFonts w:cs="Guttman Drogolin"/>
          <w:rtl/>
          <w:lang w:bidi="he-IL"/>
        </w:rPr>
        <w:fldChar w:fldCharType="begin"/>
      </w:r>
      <w:r>
        <w:instrText xml:space="preserve"> XE "</w:instrText>
      </w:r>
      <w:r w:rsidRPr="00367316">
        <w:rPr>
          <w:rFonts w:hint="cs"/>
          <w:rtl/>
          <w:lang w:bidi="he-IL"/>
        </w:rPr>
        <w:instrText>הגעלה</w:instrText>
      </w:r>
      <w:r w:rsidRPr="00367316">
        <w:rPr>
          <w:rtl/>
        </w:rPr>
        <w:instrText>:</w:instrText>
      </w:r>
      <w:r w:rsidRPr="00367316">
        <w:rPr>
          <w:rFonts w:hint="cs"/>
          <w:rtl/>
          <w:lang w:bidi="he-IL"/>
        </w:rPr>
        <w:instrText>העלאת רתיחות</w:instrText>
      </w:r>
      <w:r>
        <w:instrText xml:space="preserve">" </w:instrText>
      </w:r>
      <w:r>
        <w:rPr>
          <w:rFonts w:cs="Guttman Drogolin"/>
          <w:rtl/>
          <w:lang w:bidi="he-IL"/>
        </w:rPr>
        <w:fldChar w:fldCharType="end"/>
      </w:r>
      <w:r w:rsidR="00413796" w:rsidRPr="00882F11">
        <w:rPr>
          <w:rFonts w:cs="Guttman Drogolin" w:hint="cs"/>
          <w:rtl/>
          <w:lang w:bidi="he-IL"/>
        </w:rPr>
        <w:t>כתוב בגמ' במס' פסחים דף ל' ע"ב "</w:t>
      </w:r>
      <w:r w:rsidR="00413796" w:rsidRPr="00882F11">
        <w:rPr>
          <w:rFonts w:cs="Guttman Drogolin"/>
          <w:rtl/>
          <w:lang w:bidi="he-IL"/>
        </w:rPr>
        <w:t>אמר רב הונא בריה דרב יהושע עץ פרור מגעילו ברותחין ובכלי ראשון קסבר כבולעו כך פולטו</w:t>
      </w:r>
      <w:r w:rsidR="00413796" w:rsidRPr="00882F11">
        <w:rPr>
          <w:rFonts w:cs="Guttman Drogolin" w:hint="cs"/>
          <w:rtl/>
          <w:lang w:bidi="he-IL"/>
        </w:rPr>
        <w:t xml:space="preserve">". </w:t>
      </w:r>
      <w:r w:rsidR="00790E52" w:rsidRPr="00882F11">
        <w:rPr>
          <w:rFonts w:cs="Guttman Drogolin" w:hint="cs"/>
          <w:rtl/>
          <w:lang w:bidi="he-IL"/>
        </w:rPr>
        <w:t>וכן לעיל מיני' בדינא דסכינים מבואר דבעינן</w:t>
      </w:r>
      <w:r w:rsidR="00790E52" w:rsidRPr="00882F11">
        <w:rPr>
          <w:rFonts w:cs="Guttman Drogolin"/>
          <w:rtl/>
          <w:lang w:bidi="he-IL"/>
        </w:rPr>
        <w:t xml:space="preserve"> </w:t>
      </w:r>
      <w:r w:rsidR="00790E52" w:rsidRPr="00882F11">
        <w:rPr>
          <w:rFonts w:cs="Guttman Drogolin" w:hint="cs"/>
          <w:rtl/>
          <w:lang w:bidi="he-IL"/>
        </w:rPr>
        <w:t>'</w:t>
      </w:r>
      <w:r w:rsidR="00790E52" w:rsidRPr="00882F11">
        <w:rPr>
          <w:rFonts w:cs="Guttman Drogolin"/>
          <w:rtl/>
          <w:lang w:bidi="he-IL"/>
        </w:rPr>
        <w:t>רותחין ובכלי ראשון</w:t>
      </w:r>
      <w:r w:rsidR="00790E52" w:rsidRPr="00882F11">
        <w:rPr>
          <w:rFonts w:cs="Guttman Drogolin" w:hint="cs"/>
          <w:rtl/>
          <w:lang w:bidi="he-IL"/>
        </w:rPr>
        <w:t>'</w:t>
      </w:r>
      <w:r w:rsidR="00790E52" w:rsidRPr="00882F11">
        <w:rPr>
          <w:rFonts w:cs="Guttman Drogolin"/>
          <w:rtl/>
          <w:lang w:bidi="he-IL"/>
        </w:rPr>
        <w:t xml:space="preserve">. </w:t>
      </w:r>
      <w:r w:rsidR="00413796" w:rsidRPr="00882F11">
        <w:rPr>
          <w:rFonts w:cs="Guttman Drogolin" w:hint="cs"/>
          <w:rtl/>
          <w:lang w:bidi="he-IL"/>
        </w:rPr>
        <w:t xml:space="preserve">ונחלקו הראשונים בביאור סוגיית הגמ'. </w:t>
      </w:r>
      <w:r w:rsidR="00790E52" w:rsidRPr="00882F11">
        <w:rPr>
          <w:rFonts w:cs="Guttman Drogolin" w:hint="cs"/>
          <w:rtl/>
          <w:lang w:bidi="he-IL"/>
        </w:rPr>
        <w:t>והמהר"ם חלאוה מביא מן הרמב"ן (כצ"ל וכמו שכתב המגי')</w:t>
      </w:r>
      <w:r w:rsidR="00413796" w:rsidRPr="00882F11">
        <w:rPr>
          <w:rFonts w:cs="Guttman Drogolin" w:hint="cs"/>
          <w:rtl/>
          <w:lang w:bidi="he-IL"/>
        </w:rPr>
        <w:t xml:space="preserve"> </w:t>
      </w:r>
      <w:r w:rsidR="00790E52" w:rsidRPr="00882F11">
        <w:rPr>
          <w:rFonts w:cs="Guttman Drogolin" w:hint="cs"/>
          <w:rtl/>
          <w:lang w:bidi="he-IL"/>
        </w:rPr>
        <w:t>שכוונת הגמ' ב'ברותחין וכלי ראשון' היינו לכלי ראשון אחר</w:t>
      </w:r>
      <w:r w:rsidR="00157A67" w:rsidRPr="00882F11">
        <w:rPr>
          <w:rFonts w:cs="Guttman Drogolin" w:hint="cs"/>
          <w:rtl/>
          <w:lang w:bidi="he-IL"/>
        </w:rPr>
        <w:t>י</w:t>
      </w:r>
      <w:r w:rsidR="00790E52" w:rsidRPr="00882F11">
        <w:rPr>
          <w:rFonts w:cs="Guttman Drogolin" w:hint="cs"/>
          <w:rtl/>
          <w:lang w:bidi="he-IL"/>
        </w:rPr>
        <w:t xml:space="preserve"> שהעבירו אותו מעל האש. וע"ש כמה הוכחות לזה</w:t>
      </w:r>
      <w:r w:rsidR="00157A67" w:rsidRPr="00882F11">
        <w:rPr>
          <w:rStyle w:val="FootnoteReference"/>
          <w:rFonts w:cs="Guttman Drogolin"/>
          <w:rtl/>
          <w:lang w:bidi="he-IL"/>
        </w:rPr>
        <w:footnoteReference w:id="500"/>
      </w:r>
      <w:r w:rsidR="00790E52" w:rsidRPr="00882F11">
        <w:rPr>
          <w:rFonts w:cs="Guttman Drogolin" w:hint="cs"/>
          <w:rtl/>
          <w:lang w:bidi="he-IL"/>
        </w:rPr>
        <w:t>.</w:t>
      </w:r>
      <w:r w:rsidR="00157A67" w:rsidRPr="00882F11">
        <w:rPr>
          <w:rFonts w:cs="Guttman Drogolin" w:hint="cs"/>
          <w:rtl/>
          <w:lang w:bidi="he-IL"/>
        </w:rPr>
        <w:t xml:space="preserve"> וביאר דהא דקאמר רותחין, אין הכוונה להעלאת רתיחות, </w:t>
      </w:r>
      <w:r w:rsidR="002203D2" w:rsidRPr="00882F11">
        <w:rPr>
          <w:rFonts w:cs="Guttman Drogolin" w:hint="cs"/>
          <w:rtl/>
          <w:lang w:bidi="he-IL"/>
        </w:rPr>
        <w:t xml:space="preserve">דהא ליכא העלאת רתיחות בחמין שאינן ע"ג האש, </w:t>
      </w:r>
      <w:r w:rsidR="00157A67" w:rsidRPr="00882F11">
        <w:rPr>
          <w:rFonts w:cs="Guttman Drogolin" w:hint="cs"/>
          <w:rtl/>
          <w:lang w:bidi="he-IL"/>
        </w:rPr>
        <w:t>אלא לקצף שמעלה על פני הכלי</w:t>
      </w:r>
      <w:r w:rsidR="00157A67" w:rsidRPr="00882F11">
        <w:rPr>
          <w:rStyle w:val="FootnoteReference"/>
          <w:rFonts w:cs="Guttman Drogolin"/>
          <w:rtl/>
          <w:lang w:bidi="he-IL"/>
        </w:rPr>
        <w:footnoteReference w:id="501"/>
      </w:r>
      <w:r w:rsidR="00157A67" w:rsidRPr="00882F11">
        <w:rPr>
          <w:rFonts w:cs="Guttman Drogolin" w:hint="cs"/>
          <w:rtl/>
          <w:lang w:bidi="he-IL"/>
        </w:rPr>
        <w:t xml:space="preserve">. </w:t>
      </w:r>
    </w:p>
    <w:p w:rsidR="002203D2" w:rsidRPr="00882F11" w:rsidRDefault="002203D2" w:rsidP="002203D2">
      <w:pPr>
        <w:tabs>
          <w:tab w:val="right" w:pos="7497"/>
        </w:tabs>
        <w:bidi/>
        <w:jc w:val="both"/>
        <w:rPr>
          <w:rFonts w:cs="Guttman Drogolin"/>
          <w:rtl/>
          <w:lang w:bidi="he-IL"/>
        </w:rPr>
      </w:pPr>
      <w:r w:rsidRPr="00882F11">
        <w:rPr>
          <w:rFonts w:cs="Guttman Drogolin" w:hint="cs"/>
          <w:rtl/>
          <w:lang w:bidi="he-IL"/>
        </w:rPr>
        <w:t>ולפי פירושו ביאר שסכינים אינם צריכם אלא הכשר בכלי ראשון שלא ע"ג האש כיון שעיקר תשמישתו שלא ע"ג האש. ולענין עץ הפרור פי' שאין הכוונה לעץ שמגיסים בו את הקדרה, דהא כה"ג לא סגי לן בכלי ראשון שלא ע"ג האש, רק לכלי שהשימוש שלו בכלי שלא ע"ג האש. והיינו דהא דאמרינן שאין צורך בהעלאת רתיחות, היינו לכלי שהבליעות לא נכנסו דרך העלאת רתיחות, רק בכגון כל ראשון שלא ע"ג האש, אבל דבר שנבלע בכלי ראשון ע"ג האש שמעלה רתיחות ודאי צריך הגעלה ע"י העלאת רתיחות. והוסיף המהר"ם חלאוה שגוף החידוש של הגמ' בהא דעץ הפרור היינו לומר שבדבר שאין תשמישו ע"ג האור אינו צריך אלא הכשר שלא ע"ג האור.</w:t>
      </w:r>
    </w:p>
    <w:p w:rsidR="00AC2712" w:rsidRPr="00882F11" w:rsidRDefault="002203D2" w:rsidP="00974529">
      <w:pPr>
        <w:tabs>
          <w:tab w:val="right" w:pos="7497"/>
        </w:tabs>
        <w:bidi/>
        <w:jc w:val="both"/>
        <w:rPr>
          <w:rFonts w:cs="Guttman Drogolin"/>
          <w:rtl/>
          <w:lang w:bidi="he-IL"/>
        </w:rPr>
      </w:pPr>
      <w:r w:rsidRPr="00882F11">
        <w:rPr>
          <w:rFonts w:cs="Guttman Drogolin" w:hint="cs"/>
          <w:rtl/>
          <w:lang w:bidi="he-IL"/>
        </w:rPr>
        <w:lastRenderedPageBreak/>
        <w:t>אמנם שיטת ר' דוד אינו כן. וכן הביא ש</w:t>
      </w:r>
      <w:r w:rsidR="0068481D" w:rsidRPr="00882F11">
        <w:rPr>
          <w:rFonts w:cs="Guttman Drogolin" w:hint="cs"/>
          <w:rtl/>
          <w:lang w:bidi="he-IL"/>
        </w:rPr>
        <w:t>הרמב"ן עצמו</w:t>
      </w:r>
      <w:r w:rsidR="0029261E" w:rsidRPr="00882F11">
        <w:rPr>
          <w:rStyle w:val="FootnoteReference"/>
          <w:rFonts w:cs="Guttman Drogolin"/>
          <w:rtl/>
          <w:lang w:bidi="he-IL"/>
        </w:rPr>
        <w:footnoteReference w:id="502"/>
      </w:r>
      <w:r w:rsidR="0029261E" w:rsidRPr="00882F11">
        <w:rPr>
          <w:rFonts w:cs="Guttman Drogolin" w:hint="cs"/>
          <w:rtl/>
          <w:lang w:bidi="he-IL"/>
        </w:rPr>
        <w:t xml:space="preserve"> שכתב כנ"ל חזר ממה שהי' סובר </w:t>
      </w:r>
      <w:r w:rsidR="00D0565C" w:rsidRPr="00882F11">
        <w:rPr>
          <w:rFonts w:cs="Guttman Drogolin" w:hint="cs"/>
          <w:rtl/>
          <w:lang w:bidi="he-IL"/>
        </w:rPr>
        <w:t>מעיקרא כסרבת ר' דוד</w:t>
      </w:r>
      <w:r w:rsidR="0029261E" w:rsidRPr="00882F11">
        <w:rPr>
          <w:rFonts w:cs="Guttman Drogolin" w:hint="cs"/>
          <w:rtl/>
          <w:lang w:bidi="he-IL"/>
        </w:rPr>
        <w:t>.</w:t>
      </w:r>
      <w:r w:rsidR="00D0565C" w:rsidRPr="00882F11">
        <w:rPr>
          <w:rFonts w:cs="Guttman Drogolin" w:hint="cs"/>
          <w:rtl/>
          <w:lang w:bidi="he-IL"/>
        </w:rPr>
        <w:t xml:space="preserve"> והיינו דהא דאמרינן שצריך רותחין בכלי ראשון, היינו שאין לך מעשה הגעלה אא"כ הוא כלי ראשון שע"ג האש המעלה רתיחות. </w:t>
      </w:r>
      <w:r w:rsidR="00F96C23" w:rsidRPr="00882F11">
        <w:rPr>
          <w:rFonts w:cs="Guttman Drogolin" w:hint="cs"/>
          <w:rtl/>
          <w:lang w:bidi="he-IL"/>
        </w:rPr>
        <w:t>ור"ל שאפילו אם ידוע שכל הבליעות נכנסו לכלי בתוך כלי ראשון שלא ע"ג האש, מ"מ התהליך של הגעלה מחייבת שיהי' היורה שמגעילין בה מעלה רתיחות ע"ג האש</w:t>
      </w:r>
      <w:r w:rsidR="00974529" w:rsidRPr="00882F11">
        <w:rPr>
          <w:rFonts w:cs="Guttman Drogolin" w:hint="cs"/>
          <w:rtl/>
          <w:lang w:bidi="he-IL"/>
        </w:rPr>
        <w:t>, ואם לא העלה רתיחות אין זה הגעלה</w:t>
      </w:r>
      <w:r w:rsidR="00F96C23" w:rsidRPr="00882F11">
        <w:rPr>
          <w:rFonts w:cs="Guttman Drogolin" w:hint="cs"/>
          <w:rtl/>
          <w:lang w:bidi="he-IL"/>
        </w:rPr>
        <w:t xml:space="preserve">. וכן מבואר באו"ה (כלל נ"ח אות מ') שכתב </w:t>
      </w:r>
      <w:r w:rsidR="00974529" w:rsidRPr="00882F11">
        <w:rPr>
          <w:rFonts w:cs="Guttman Drogolin" w:hint="cs"/>
          <w:rtl/>
          <w:lang w:bidi="he-IL"/>
        </w:rPr>
        <w:t>"</w:t>
      </w:r>
      <w:r w:rsidR="00974529" w:rsidRPr="00882F11">
        <w:rPr>
          <w:rFonts w:cs="Guttman Drogolin"/>
          <w:rtl/>
          <w:lang w:bidi="he-IL"/>
        </w:rPr>
        <w:t xml:space="preserve">אפי' אם נאסר בשעה שלא עלה הרתיחה רק שהיד סולדת בו צריך הגעלה בשעה שהרתיחה עולה </w:t>
      </w:r>
      <w:r w:rsidR="00974529" w:rsidRPr="00882F11">
        <w:rPr>
          <w:rFonts w:cs="Guttman Drogolin" w:hint="cs"/>
          <w:rtl/>
          <w:lang w:bidi="he-IL"/>
        </w:rPr>
        <w:t>וכו'". ולדעתו זהו גופא החידוש של עץ הפרור, דאע"ג שהוא כלי שאין תשמישתו בכלי ראשון שע"ג האש, מ"מ צריך 'רותחין</w:t>
      </w:r>
      <w:r w:rsidR="00F83B52" w:rsidRPr="00882F11">
        <w:rPr>
          <w:rFonts w:cs="Guttman Drogolin" w:hint="cs"/>
          <w:rtl/>
          <w:lang w:bidi="he-IL"/>
        </w:rPr>
        <w:t xml:space="preserve"> בכלי ראשון'</w:t>
      </w:r>
      <w:r w:rsidR="00974529" w:rsidRPr="00882F11">
        <w:rPr>
          <w:rFonts w:cs="Guttman Drogolin" w:hint="cs"/>
          <w:rtl/>
          <w:lang w:bidi="he-IL"/>
        </w:rPr>
        <w:t xml:space="preserve"> </w:t>
      </w:r>
      <w:r w:rsidR="00F83B52" w:rsidRPr="00882F11">
        <w:rPr>
          <w:rFonts w:cs="Guttman Drogolin" w:hint="cs"/>
          <w:rtl/>
          <w:lang w:bidi="he-IL"/>
        </w:rPr>
        <w:t>דהיינו העלאת רתיחות שבכלי ראשון שע"ג האש.</w:t>
      </w:r>
      <w:r w:rsidR="00A319B1" w:rsidRPr="00882F11">
        <w:rPr>
          <w:rFonts w:cs="Guttman Drogolin" w:hint="cs"/>
          <w:rtl/>
          <w:lang w:bidi="he-IL"/>
        </w:rPr>
        <w:t xml:space="preserve"> וע"ש שביאר שמש"כ בגמ' "כבולעו כך פולטו" היינו שאם נבלע בכלי ראשון צריכים הכשר בכלי ראשון, אבל אה"נ שאם נבלע בכלי ראשון אפילו שלא ע"י האור צריך הכשר בכלי ראשון ע"ג האור המעלה רתיחות. </w:t>
      </w:r>
      <w:r w:rsidR="00AC2712" w:rsidRPr="00882F11">
        <w:rPr>
          <w:rFonts w:cs="Guttman Drogolin" w:hint="cs"/>
          <w:rtl/>
          <w:lang w:bidi="he-IL"/>
        </w:rPr>
        <w:t xml:space="preserve">וע"ש מש"כ בהכשר כלי שבלע בכלי שני שאמנם צריכים להכשיר אותו בכלי שני, מ"מ אין זה הגעלה רק ענין של 'כבולעו כך פולטו'. </w:t>
      </w:r>
    </w:p>
    <w:p w:rsidR="001B49BD" w:rsidRPr="00882F11" w:rsidRDefault="00AC2712" w:rsidP="00AC2712">
      <w:pPr>
        <w:tabs>
          <w:tab w:val="right" w:pos="7497"/>
        </w:tabs>
        <w:bidi/>
        <w:jc w:val="both"/>
        <w:rPr>
          <w:rFonts w:cs="Guttman Drogolin"/>
          <w:rtl/>
          <w:lang w:bidi="he-IL"/>
        </w:rPr>
      </w:pPr>
      <w:r w:rsidRPr="00882F11">
        <w:rPr>
          <w:rFonts w:cs="Guttman Drogolin" w:hint="cs"/>
          <w:rtl/>
          <w:lang w:bidi="he-IL"/>
        </w:rPr>
        <w:t>ויש בזה עוד שיטה שלישית</w:t>
      </w:r>
      <w:r w:rsidR="00BE7146" w:rsidRPr="00882F11">
        <w:rPr>
          <w:rFonts w:cs="Guttman Drogolin" w:hint="cs"/>
          <w:rtl/>
          <w:lang w:bidi="he-IL"/>
        </w:rPr>
        <w:t xml:space="preserve">. דהנה רש"י פי' דעץ הפרור היינו כף שמגיסים בה את הקדרה. </w:t>
      </w:r>
      <w:r w:rsidR="001B49BD" w:rsidRPr="00882F11">
        <w:rPr>
          <w:rFonts w:cs="Guttman Drogolin" w:hint="cs"/>
          <w:rtl/>
          <w:lang w:bidi="he-IL"/>
        </w:rPr>
        <w:t xml:space="preserve">ולכאורה צ"ע, בין לפי מש"כ מהר"ם חלאוה בשם הרמב"ן, ובין לפמש"כ ר' דוד, החידוש הוא דוקא </w:t>
      </w:r>
      <w:r w:rsidR="001B49BD" w:rsidRPr="00882F11">
        <w:rPr>
          <w:rFonts w:cs="Guttman Drogolin" w:hint="cs"/>
          <w:rtl/>
          <w:lang w:bidi="he-IL"/>
        </w:rPr>
        <w:lastRenderedPageBreak/>
        <w:t>בכלי שאין שתשמישתו בכלי המעלה רתיחות ע"ג האור, וקמ"ל או דאין צריך העלאת רתיחות או דצריך. אבל כף שמגיסים בה הקדרה לכאורה פשיטא שצריך להגעילה בכלי ראשון שע"ג האור המעלה רתיחות, וא"כ מאי קמ"ל. ובחי' ר' דוד ד"ה עץ משמע שיש לו בזה תי', ע"ש ובהערה 52. אמנם לכאורה יש לומר, דהא דסבר כפירושו של מהר"ם חלאוה בדעת הרמב"ן בגמ', שההכשר של רותחין בכלי ראשון המוזכר בגמ' הוא בכלי ראשון שלא ע"ג אש. אמנם סבר רש"י דמהני הכשר זה אפילו לכלי שבלע בתוך קדרה שהעלה רתיחות ע"ג האור. ור"ל דשם כלי ראשון חד הוא, וכיון שגם לכלי ראשון שלא ע"ג האש יש דין של כלי ראשון, סגי לן בזה כדי להכשיר הכלי. וכן לכאורה מבואר לשיטת ר"ת דסבר שמהני עירוי להכשיר כלי שבלע ע"י כלי ראשון, דהא מ"מ אין זה באותו ענין שבלע. אלא ע"כ כנ"ל כיון שדינו ככלי ראשון סגי לן בזה. וכן מבואר דעה כזאת בטור בסי' קכ"א, וכן מבואר ב</w:t>
      </w:r>
      <w:r w:rsidR="004D51CD" w:rsidRPr="00882F11">
        <w:rPr>
          <w:rFonts w:cs="Guttman Drogolin" w:hint="cs"/>
          <w:rtl/>
          <w:lang w:bidi="he-IL"/>
        </w:rPr>
        <w:t>הגהה שב</w:t>
      </w:r>
      <w:r w:rsidR="001B49BD" w:rsidRPr="00882F11">
        <w:rPr>
          <w:rFonts w:cs="Guttman Drogolin" w:hint="cs"/>
          <w:rtl/>
          <w:lang w:bidi="he-IL"/>
        </w:rPr>
        <w:t>מרדכי במס' ע"ז</w:t>
      </w:r>
      <w:r w:rsidR="004D51CD" w:rsidRPr="00882F11">
        <w:rPr>
          <w:rFonts w:cs="Guttman Drogolin" w:hint="cs"/>
          <w:rtl/>
          <w:lang w:bidi="he-IL"/>
        </w:rPr>
        <w:t xml:space="preserve"> (דף מ"ה ע"א) בשם ר' אלחנן.</w:t>
      </w:r>
      <w:r w:rsidR="001B49BD" w:rsidRPr="00882F11">
        <w:rPr>
          <w:rFonts w:cs="Guttman Drogolin" w:hint="cs"/>
          <w:rtl/>
          <w:lang w:bidi="he-IL"/>
        </w:rPr>
        <w:t xml:space="preserve"> </w:t>
      </w:r>
    </w:p>
    <w:p w:rsidR="001B66F1" w:rsidRPr="00882F11" w:rsidRDefault="001B49BD" w:rsidP="007450FA">
      <w:pPr>
        <w:tabs>
          <w:tab w:val="right" w:pos="7497"/>
        </w:tabs>
        <w:bidi/>
        <w:jc w:val="both"/>
        <w:rPr>
          <w:rFonts w:cs="Guttman Drogolin"/>
          <w:rtl/>
          <w:lang w:bidi="he-IL"/>
        </w:rPr>
      </w:pPr>
      <w:r w:rsidRPr="00882F11">
        <w:rPr>
          <w:rFonts w:cs="Guttman Drogolin" w:hint="cs"/>
          <w:rtl/>
          <w:lang w:bidi="he-IL"/>
        </w:rPr>
        <w:t>והנה בשו"ע ברסי' תנ"ב כתב השו"ע שיש להגעיל קודם שעה חמישית, וא' מן הטעמים הוא כדי שלא יצטרך להגעיל בכלי ראשון המעלה רתיחות ע"ג האש. והרמ"א תמה ע</w:t>
      </w:r>
      <w:r w:rsidR="004D51CD" w:rsidRPr="00882F11">
        <w:rPr>
          <w:rFonts w:cs="Guttman Drogolin" w:hint="cs"/>
          <w:rtl/>
          <w:lang w:bidi="he-IL"/>
        </w:rPr>
        <w:t>ל</w:t>
      </w:r>
      <w:r w:rsidRPr="00882F11">
        <w:rPr>
          <w:rFonts w:cs="Guttman Drogolin" w:hint="cs"/>
          <w:rtl/>
          <w:lang w:bidi="he-IL"/>
        </w:rPr>
        <w:t>יו</w:t>
      </w:r>
      <w:r w:rsidR="004D51CD" w:rsidRPr="00882F11">
        <w:rPr>
          <w:rFonts w:cs="Guttman Drogolin" w:hint="cs"/>
          <w:rtl/>
          <w:lang w:bidi="he-IL"/>
        </w:rPr>
        <w:t xml:space="preserve"> דהא העלאת רתיחות בעינן אפילו קודם שעה חמישית. וע' במג"א ועוד שכתבו דאה"נ וגם המחבר לא התכוין לומר שאינו צריך העלאת רתיחות בשעת ההגעלה, רק כוונתו לומר שאין צריך להוציא אותו קודם שינוח, שמשעה ששית כבר צריכים לדאוג אולי יכנסו הבליעות חזרה ויאסרו הכלי, אבל קודם שעה חמישית אפילו אם יחזרו ויכנסו יהא מותר כיון דהוי נ"ט בר נ"ט דהיתירא. והי' לכאורה משמע מכל דבריהם דסברי כר' דוד, שכל שאינו מעלה רתיחות אין עליו שם הגעלה. אמנם זה ודאי יש לדחות, שאין כוונתו אלא לומר דעד </w:t>
      </w:r>
      <w:r w:rsidR="004D51CD" w:rsidRPr="00882F11">
        <w:rPr>
          <w:rFonts w:cs="Guttman Drogolin" w:hint="cs"/>
          <w:rtl/>
          <w:lang w:bidi="he-IL"/>
        </w:rPr>
        <w:lastRenderedPageBreak/>
        <w:t xml:space="preserve">כמה שצריך העלאת רתיחות אחרי שעה ו', צריכים העלאת רתיחות גם מקודם, ואה"נ אם יהא כלי שברור שלא הי' תשמישתו בכלי שע"ג האור המעלה רתיחות. וכן לכאורה מוכרח, דהא בסי' תנ"א סע' ג' כתב השו"ע </w:t>
      </w:r>
      <w:r w:rsidR="00815990" w:rsidRPr="00882F11">
        <w:rPr>
          <w:rFonts w:cs="Guttman Drogolin" w:hint="cs"/>
          <w:rtl/>
          <w:lang w:bidi="he-IL"/>
        </w:rPr>
        <w:t>במפורש "</w:t>
      </w:r>
      <w:r w:rsidR="00815990" w:rsidRPr="00882F11">
        <w:rPr>
          <w:rFonts w:cs="Guttman Drogolin"/>
          <w:rtl/>
          <w:lang w:bidi="he-IL"/>
        </w:rPr>
        <w:t>סכינים מגעילן בכלי ראשון ומותרין וכלי ראשון נקרא שהרתיחו בו מים על האש אפילו אינו עתה על האש רק שעודנו רותח</w:t>
      </w:r>
      <w:r w:rsidR="00815990" w:rsidRPr="00882F11">
        <w:rPr>
          <w:rFonts w:cs="Guttman Drogolin" w:hint="cs"/>
          <w:rtl/>
          <w:lang w:bidi="he-IL"/>
        </w:rPr>
        <w:t>". הרי שמפורש בדברי השו"ע שאינו צריך העלאת רתיחות כיד להכשיר אם ידוע שלא נבלע ע"י העלאת רתיחות. אמנם יעוין בלבושי שרד על המג"א סי' תנ"ב ס"ק ג' שכתב דשאני סכינים שעיקר תשמישתן בכלי שני, ולכן אע"ג שלכאורה הי' סגי לן בכלי שני, מ"מ החמירו שיהא בכלי ראשון ע"ש טעמו. והביאו המ"ב בסי' תנ"א ס"ק כ'</w:t>
      </w:r>
      <w:r w:rsidR="00815990" w:rsidRPr="00882F11">
        <w:rPr>
          <w:rStyle w:val="FootnoteReference"/>
          <w:rFonts w:cs="Guttman Drogolin"/>
          <w:rtl/>
          <w:lang w:bidi="he-IL"/>
        </w:rPr>
        <w:footnoteReference w:id="503"/>
      </w:r>
      <w:r w:rsidR="00815990" w:rsidRPr="00882F11">
        <w:rPr>
          <w:rFonts w:cs="Guttman Drogolin" w:hint="cs"/>
          <w:rtl/>
          <w:lang w:bidi="he-IL"/>
        </w:rPr>
        <w:t xml:space="preserve">. </w:t>
      </w:r>
      <w:r w:rsidR="00E32E78" w:rsidRPr="00882F11">
        <w:rPr>
          <w:rFonts w:cs="Guttman Drogolin" w:hint="cs"/>
          <w:rtl/>
          <w:lang w:bidi="he-IL"/>
        </w:rPr>
        <w:t>ולכאורה זה סותר מש"כ המ"ב עצמו בסי' תנ"ב ס"ק ח'</w:t>
      </w:r>
      <w:r w:rsidR="00E32E78" w:rsidRPr="00882F11">
        <w:rPr>
          <w:rStyle w:val="FootnoteReference"/>
          <w:rFonts w:cs="Guttman Drogolin"/>
          <w:rtl/>
          <w:lang w:bidi="he-IL"/>
        </w:rPr>
        <w:footnoteReference w:id="504"/>
      </w:r>
      <w:r w:rsidR="00E32E78" w:rsidRPr="00882F11">
        <w:rPr>
          <w:rFonts w:cs="Guttman Drogolin" w:hint="cs"/>
          <w:rtl/>
          <w:lang w:bidi="he-IL"/>
        </w:rPr>
        <w:t xml:space="preserve">. </w:t>
      </w:r>
      <w:r w:rsidR="00815990" w:rsidRPr="00882F11">
        <w:rPr>
          <w:rFonts w:cs="Guttman Drogolin" w:hint="cs"/>
          <w:rtl/>
          <w:lang w:bidi="he-IL"/>
        </w:rPr>
        <w:t>וצ"ע. ובפרט לפמש"כ גם</w:t>
      </w:r>
      <w:r w:rsidR="007450FA" w:rsidRPr="00882F11">
        <w:rPr>
          <w:rFonts w:cs="Guttman Drogolin" w:hint="cs"/>
          <w:rtl/>
          <w:lang w:bidi="he-IL"/>
        </w:rPr>
        <w:t xml:space="preserve"> בסע' ה' דמהני עירוי לכלי שתמשיתו בעירוי (והוא באמת פלא בדברי הלבו"ש. וצ"ע). וכ"כ גם החזו"א בסי' קכ"ב ס"ק ה' שאם בטוח שלא בלע אלא בכלי ראשון שלא ע"ג האש אינו צריך העלאת רתיחות כדי להכשיר הכלי.</w:t>
      </w:r>
      <w:r w:rsidR="004D51CD" w:rsidRPr="00882F11">
        <w:rPr>
          <w:rFonts w:cs="Guttman Drogolin" w:hint="cs"/>
          <w:rtl/>
          <w:lang w:bidi="he-IL"/>
        </w:rPr>
        <w:t xml:space="preserve"> </w:t>
      </w:r>
      <w:r w:rsidRPr="00882F11">
        <w:rPr>
          <w:rFonts w:cs="Guttman Drogolin" w:hint="cs"/>
          <w:rtl/>
          <w:lang w:bidi="he-IL"/>
        </w:rPr>
        <w:t xml:space="preserve">  </w:t>
      </w:r>
      <w:r w:rsidR="00AC2712" w:rsidRPr="00882F11">
        <w:rPr>
          <w:rFonts w:cs="Guttman Drogolin" w:hint="cs"/>
          <w:rtl/>
          <w:lang w:bidi="he-IL"/>
        </w:rPr>
        <w:t xml:space="preserve">   </w:t>
      </w:r>
      <w:r w:rsidR="00F83B52" w:rsidRPr="00882F11">
        <w:rPr>
          <w:rFonts w:cs="Guttman Drogolin" w:hint="cs"/>
          <w:rtl/>
          <w:lang w:bidi="he-IL"/>
        </w:rPr>
        <w:t xml:space="preserve"> </w:t>
      </w:r>
    </w:p>
    <w:p w:rsidR="00B6556E" w:rsidRPr="00882F11" w:rsidRDefault="00B6556E" w:rsidP="00B6556E">
      <w:pPr>
        <w:pStyle w:val="Heading1"/>
        <w:bidi/>
        <w:spacing w:before="0" w:line="360" w:lineRule="auto"/>
        <w:jc w:val="center"/>
        <w:rPr>
          <w:rFonts w:cs="Guttman Drogolin"/>
          <w:color w:val="auto"/>
          <w:sz w:val="24"/>
          <w:szCs w:val="24"/>
          <w:u w:val="single"/>
          <w:rtl/>
          <w:lang w:bidi="he-IL"/>
        </w:rPr>
      </w:pPr>
      <w:bookmarkStart w:id="501" w:name="_Toc496175744"/>
      <w:r w:rsidRPr="00882F11">
        <w:rPr>
          <w:rFonts w:cs="Guttman Drogolin" w:hint="cs"/>
          <w:color w:val="auto"/>
          <w:sz w:val="24"/>
          <w:szCs w:val="24"/>
          <w:u w:val="single"/>
          <w:rtl/>
          <w:lang w:bidi="he-IL"/>
        </w:rPr>
        <w:t>כלי קוניא</w:t>
      </w:r>
      <w:bookmarkEnd w:id="501"/>
    </w:p>
    <w:p w:rsidR="00245405" w:rsidRPr="00882F11" w:rsidRDefault="00BB4151" w:rsidP="00245405">
      <w:pPr>
        <w:tabs>
          <w:tab w:val="right" w:pos="7497"/>
        </w:tabs>
        <w:bidi/>
        <w:jc w:val="both"/>
        <w:rPr>
          <w:rFonts w:cs="Guttman Drogolin"/>
          <w:rtl/>
          <w:lang w:bidi="he-IL"/>
        </w:rPr>
      </w:pPr>
      <w:r>
        <w:rPr>
          <w:rFonts w:cs="Guttman Drogolin"/>
          <w:rtl/>
          <w:lang w:bidi="he-IL"/>
        </w:rPr>
        <w:fldChar w:fldCharType="begin"/>
      </w:r>
      <w:r>
        <w:instrText xml:space="preserve"> XE "</w:instrText>
      </w:r>
      <w:r w:rsidRPr="004B254F">
        <w:rPr>
          <w:rFonts w:hint="cs"/>
          <w:rtl/>
          <w:lang w:bidi="he-IL"/>
        </w:rPr>
        <w:instrText>הכשר כלים</w:instrText>
      </w:r>
      <w:r w:rsidRPr="004B254F">
        <w:rPr>
          <w:rtl/>
        </w:rPr>
        <w:instrText>:</w:instrText>
      </w:r>
      <w:r w:rsidRPr="004B254F">
        <w:rPr>
          <w:rFonts w:hint="cs"/>
          <w:rtl/>
          <w:lang w:bidi="he-IL"/>
        </w:rPr>
        <w:instrText>כלי קוניא</w:instrText>
      </w:r>
      <w:r>
        <w:instrText xml:space="preserve">" </w:instrText>
      </w:r>
      <w:r>
        <w:rPr>
          <w:rFonts w:cs="Guttman Drogolin"/>
          <w:rtl/>
          <w:lang w:bidi="he-IL"/>
        </w:rPr>
        <w:fldChar w:fldCharType="end"/>
      </w:r>
      <w:r w:rsidR="00B6556E" w:rsidRPr="00882F11">
        <w:rPr>
          <w:rFonts w:cs="Guttman Drogolin" w:hint="cs"/>
          <w:rtl/>
          <w:lang w:bidi="he-IL"/>
        </w:rPr>
        <w:t>בגמ' דנו מהו דינם של כלי קוניא</w:t>
      </w:r>
      <w:r w:rsidR="00245405" w:rsidRPr="00882F11">
        <w:rPr>
          <w:rFonts w:cs="Guttman Drogolin" w:hint="cs"/>
          <w:rtl/>
          <w:lang w:bidi="he-IL"/>
        </w:rPr>
        <w:t xml:space="preserve">, ומסקנת הגמ' שהם אסורים כיון דחזינא להו דמדייתי. ורש"י על אתר פי' דכלי קוניא ר"ל כלי חרס המצופין במתכת. אמנם יעוין בתוס' במס' ע"ז ל"ג ע"ב ד"ה קוניא הקשו על זה, ובין הקושיות שלהם שאם הוא מחופה במתכת למה שיהי' כלי קוניא גריעי מכלי שכולו מתכת. ואנו מבואר כ"כ מהו הביאור בקושייתם, דהא אם כולו של מתכת הרי שייך הגעלה בכולו, משא"כ כאן שחלקו הפנימי חרס, ואם נכנסו הבליעות עד החרס הא אין להם הגעלה. ומתוך הדוחק נראה שהתוס' סוברים דכיון שיש ב' חלקים שונים לכלי הזה, דהיינו שחלק </w:t>
      </w:r>
      <w:r w:rsidR="00245405" w:rsidRPr="00882F11">
        <w:rPr>
          <w:rFonts w:cs="Guttman Drogolin" w:hint="cs"/>
          <w:rtl/>
          <w:lang w:bidi="he-IL"/>
        </w:rPr>
        <w:lastRenderedPageBreak/>
        <w:t>החיצון של מתכת והפנימי של חרס, אמרינן שיש כאן דין ב' כלים, ולכן כיון שדינא הוא שאין בליעה עובר מכלי לכלי בלי רוטב, אין טעם שהבליעה של הכלי מתכת יעבור לחלק הפנימי עדי לאסרו.</w:t>
      </w:r>
    </w:p>
    <w:p w:rsidR="00245405" w:rsidRPr="00882F11" w:rsidRDefault="00245405" w:rsidP="00245405">
      <w:pPr>
        <w:tabs>
          <w:tab w:val="right" w:pos="7497"/>
        </w:tabs>
        <w:bidi/>
        <w:jc w:val="both"/>
        <w:rPr>
          <w:rFonts w:cs="Guttman Drogolin"/>
          <w:rtl/>
          <w:lang w:bidi="he-IL"/>
        </w:rPr>
      </w:pPr>
      <w:r w:rsidRPr="00882F11">
        <w:rPr>
          <w:rFonts w:cs="Guttman Drogolin" w:hint="cs"/>
          <w:rtl/>
          <w:lang w:bidi="he-IL"/>
        </w:rPr>
        <w:t>והתוס' עצמם פירשו דכלי קוניא הם "</w:t>
      </w:r>
      <w:r w:rsidRPr="00882F11">
        <w:rPr>
          <w:rFonts w:cs="Guttman Drogolin"/>
          <w:rtl/>
          <w:lang w:bidi="he-IL"/>
        </w:rPr>
        <w:t>היתוך כלי זכוכית שלא נתבשל כל צרכו והוא מן החול כמו כלי חרס כדאמרינן פ"ק דשבת הואיל ותחילת ברייתו מן החול שוינהו רבנן ככלי חרס כדאמרינן ואף על גב דכלי זכוכית שלם לא בלע הכא כיון דאין בו אלא חיפוי על החרס בלע</w:t>
      </w:r>
      <w:r w:rsidRPr="00882F11">
        <w:rPr>
          <w:rFonts w:cs="Guttman Drogolin" w:hint="cs"/>
          <w:rtl/>
          <w:lang w:bidi="he-IL"/>
        </w:rPr>
        <w:t xml:space="preserve">". ונראה הביאור בדבריהם, דלא מיירי בכלי חרס המצופה לא בזכוכית ולא במתכת. רק מיירי בזכוכית שלא נגמרה עשייתו כל הצורך. ולזכוכית כזה יש לכולו דין כלי חרס, כיון שהוא עשוי מן החול. </w:t>
      </w:r>
    </w:p>
    <w:p w:rsidR="00F84CE8" w:rsidRPr="00882F11" w:rsidRDefault="00245405" w:rsidP="00245405">
      <w:pPr>
        <w:tabs>
          <w:tab w:val="right" w:pos="7497"/>
        </w:tabs>
        <w:bidi/>
        <w:jc w:val="both"/>
        <w:rPr>
          <w:rFonts w:cs="Guttman Drogolin"/>
          <w:rtl/>
          <w:lang w:bidi="he-IL"/>
        </w:rPr>
      </w:pPr>
      <w:r w:rsidRPr="00882F11">
        <w:rPr>
          <w:rFonts w:cs="Guttman Drogolin" w:hint="cs"/>
          <w:rtl/>
          <w:lang w:bidi="he-IL"/>
        </w:rPr>
        <w:t xml:space="preserve">ויעיון ברא"ש </w:t>
      </w:r>
      <w:r w:rsidR="009374F5" w:rsidRPr="00882F11">
        <w:rPr>
          <w:rFonts w:cs="Guttman Drogolin" w:hint="cs"/>
          <w:rtl/>
          <w:lang w:bidi="he-IL"/>
        </w:rPr>
        <w:t xml:space="preserve">כאן אות ח' שנראה שיש לו פירוש אחר. והוא שר"ת פירש דמיירי במצופה זכוכית. ומ"מ אינו דומה לכלי זכוכית דלא בלע כלל "כיון דמחופה על החרס ונצרף עמו בכבשן בלע טפי". וכוונתו לומר שאמנם יש כאן ציפוי, והחומר של הציפוי הוא דבר שבדר"כ לא בלע כלל, מ"מ כיון שנצרף בכבשן הרי זה מחליש כוחו של הזכוכית ולכן הוי ככלי חרס ואסור. וע' בבה"ל ססי' תנ"א שהדגיש שיש חילוק בין פירושו של הרא"ש לפי' של התוס', אבל משמע שם שלמד שכוונת התוס' דמיירי בכלי חרס המצופה זכוכית, וצ"ע שלולא דבריו אין זה משמעות לשון התוס'. </w:t>
      </w:r>
      <w:r w:rsidRPr="00882F11">
        <w:rPr>
          <w:rFonts w:cs="Guttman Drogolin"/>
          <w:rtl/>
          <w:lang w:bidi="he-IL"/>
        </w:rPr>
        <w:t xml:space="preserve"> </w:t>
      </w:r>
      <w:r w:rsidRPr="00882F11">
        <w:rPr>
          <w:rFonts w:cs="Guttman Drogolin" w:hint="cs"/>
          <w:rtl/>
          <w:lang w:bidi="he-IL"/>
        </w:rPr>
        <w:t xml:space="preserve">  </w:t>
      </w:r>
    </w:p>
    <w:p w:rsidR="00F84CE8" w:rsidRPr="00882F11" w:rsidRDefault="00F84CE8" w:rsidP="00F84CE8">
      <w:pPr>
        <w:tabs>
          <w:tab w:val="right" w:pos="7497"/>
        </w:tabs>
        <w:bidi/>
        <w:jc w:val="both"/>
        <w:rPr>
          <w:rFonts w:cs="Guttman Drogolin"/>
          <w:rtl/>
          <w:lang w:bidi="he-IL"/>
        </w:rPr>
        <w:sectPr w:rsidR="00F84CE8" w:rsidRPr="00882F11" w:rsidSect="006E3B7D">
          <w:type w:val="continuous"/>
          <w:pgSz w:w="11907" w:h="16839" w:code="9"/>
          <w:pgMar w:top="1440" w:right="1440" w:bottom="1440" w:left="1440" w:header="720" w:footer="720" w:gutter="0"/>
          <w:cols w:num="2" w:space="720"/>
          <w:bidi/>
          <w:docGrid w:linePitch="360"/>
        </w:sectPr>
      </w:pPr>
    </w:p>
    <w:p w:rsidR="00F84CE8" w:rsidRPr="00882F11" w:rsidRDefault="00F84CE8" w:rsidP="00F84CE8">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קל"א</w:t>
      </w:r>
    </w:p>
    <w:p w:rsidR="006E3B7D" w:rsidRDefault="006E3B7D" w:rsidP="00F84CE8">
      <w:pPr>
        <w:pStyle w:val="Heading1"/>
        <w:bidi/>
        <w:spacing w:before="0" w:line="360" w:lineRule="auto"/>
        <w:jc w:val="center"/>
        <w:rPr>
          <w:rFonts w:cs="Guttman Drogolin"/>
          <w:color w:val="auto"/>
          <w:sz w:val="20"/>
          <w:szCs w:val="20"/>
          <w:u w:val="single"/>
          <w:rtl/>
          <w:lang w:bidi="he-IL"/>
        </w:rPr>
        <w:sectPr w:rsidR="006E3B7D" w:rsidSect="006E3B7D">
          <w:headerReference w:type="default" r:id="rId95"/>
          <w:pgSz w:w="11907" w:h="16839" w:code="9"/>
          <w:pgMar w:top="1440" w:right="1440" w:bottom="1440" w:left="1440" w:header="720" w:footer="720" w:gutter="0"/>
          <w:cols w:space="720"/>
          <w:bidi/>
          <w:docGrid w:linePitch="360"/>
        </w:sectPr>
      </w:pPr>
    </w:p>
    <w:p w:rsidR="00F84CE8" w:rsidRPr="006E3B7D" w:rsidRDefault="00F84CE8" w:rsidP="00F84CE8">
      <w:pPr>
        <w:pStyle w:val="Heading1"/>
        <w:bidi/>
        <w:spacing w:before="0" w:line="360" w:lineRule="auto"/>
        <w:jc w:val="center"/>
        <w:rPr>
          <w:rFonts w:cs="Guttman Drogolin"/>
          <w:color w:val="auto"/>
          <w:sz w:val="20"/>
          <w:szCs w:val="20"/>
          <w:u w:val="single"/>
          <w:rtl/>
          <w:lang w:bidi="he-IL"/>
        </w:rPr>
      </w:pPr>
      <w:bookmarkStart w:id="502" w:name="_Toc496175745"/>
      <w:r w:rsidRPr="006E3B7D">
        <w:rPr>
          <w:rFonts w:cs="Guttman Drogolin" w:hint="cs"/>
          <w:color w:val="auto"/>
          <w:sz w:val="20"/>
          <w:szCs w:val="20"/>
          <w:u w:val="single"/>
          <w:rtl/>
          <w:lang w:bidi="he-IL"/>
        </w:rPr>
        <w:lastRenderedPageBreak/>
        <w:t>אם זמן היתר הוא משעה חמישית או משעה ששית</w:t>
      </w:r>
      <w:bookmarkEnd w:id="502"/>
    </w:p>
    <w:p w:rsidR="00D5098B" w:rsidRPr="00882F11" w:rsidRDefault="00BB4151" w:rsidP="00D5098B">
      <w:pPr>
        <w:tabs>
          <w:tab w:val="right" w:pos="7497"/>
        </w:tabs>
        <w:bidi/>
        <w:jc w:val="both"/>
        <w:rPr>
          <w:rFonts w:cs="Guttman Drogolin"/>
          <w:rtl/>
          <w:lang w:bidi="he-IL"/>
        </w:rPr>
      </w:pPr>
      <w:r>
        <w:rPr>
          <w:rFonts w:cs="Guttman Drogolin"/>
          <w:rtl/>
          <w:lang w:bidi="he-IL"/>
        </w:rPr>
        <w:fldChar w:fldCharType="begin"/>
      </w:r>
      <w:r>
        <w:instrText xml:space="preserve"> XE "</w:instrText>
      </w:r>
      <w:r w:rsidRPr="00436C4B">
        <w:rPr>
          <w:rFonts w:hint="cs"/>
          <w:rtl/>
          <w:lang w:bidi="he-IL"/>
        </w:rPr>
        <w:instrText>חמץ בפסח</w:instrText>
      </w:r>
      <w:r w:rsidRPr="00436C4B">
        <w:rPr>
          <w:rtl/>
        </w:rPr>
        <w:instrText>:</w:instrText>
      </w:r>
      <w:r w:rsidRPr="00436C4B">
        <w:rPr>
          <w:rFonts w:hint="cs"/>
          <w:rtl/>
          <w:lang w:bidi="he-IL"/>
        </w:rPr>
        <w:instrText>אי הוי היתירא בלע שעה חמישית</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D74CA1">
        <w:rPr>
          <w:rFonts w:hint="cs"/>
          <w:rtl/>
          <w:lang w:bidi="he-IL"/>
        </w:rPr>
        <w:instrText>הכשר כלים</w:instrText>
      </w:r>
      <w:r w:rsidRPr="00D74CA1">
        <w:rPr>
          <w:rtl/>
        </w:rPr>
        <w:instrText>:</w:instrText>
      </w:r>
      <w:r w:rsidRPr="00D74CA1">
        <w:rPr>
          <w:rFonts w:hint="cs"/>
          <w:rtl/>
          <w:lang w:bidi="he-IL"/>
        </w:rPr>
        <w:instrText>אי חמץ הוי היתירא בלע שעה חמישית</w:instrText>
      </w:r>
      <w:r>
        <w:instrText xml:space="preserve">" </w:instrText>
      </w:r>
      <w:r>
        <w:rPr>
          <w:rFonts w:cs="Guttman Drogolin"/>
          <w:rtl/>
          <w:lang w:bidi="he-IL"/>
        </w:rPr>
        <w:fldChar w:fldCharType="end"/>
      </w:r>
      <w:r w:rsidR="00F513B6" w:rsidRPr="00882F11">
        <w:rPr>
          <w:rFonts w:cs="Guttman Drogolin" w:hint="cs"/>
          <w:rtl/>
          <w:lang w:bidi="he-IL"/>
        </w:rPr>
        <w:t xml:space="preserve">הטור הביא שיטת אבי העזרי </w:t>
      </w:r>
      <w:r w:rsidR="00F274CF" w:rsidRPr="00882F11">
        <w:rPr>
          <w:rFonts w:cs="Guttman Drogolin" w:hint="cs"/>
          <w:rtl/>
          <w:lang w:bidi="he-IL"/>
        </w:rPr>
        <w:t>"</w:t>
      </w:r>
      <w:r w:rsidR="00F274CF" w:rsidRPr="00882F11">
        <w:rPr>
          <w:rFonts w:cs="Guttman Drogolin"/>
          <w:rtl/>
          <w:lang w:bidi="he-IL"/>
        </w:rPr>
        <w:t>לכן ירא שמים הרוצה להגעיל כלים הרבה ביחד ישהם מעת לעת לתשמישן דכיון דטעמם פגום אין אוסרין רק שיגעיל בזמן היתר קודם שעה חמישית דלאחר אסורו אין פגימתו מתרת</w:t>
      </w:r>
      <w:r w:rsidR="00F274CF" w:rsidRPr="00882F11">
        <w:rPr>
          <w:rFonts w:cs="Guttman Drogolin" w:hint="cs"/>
          <w:rtl/>
          <w:lang w:bidi="he-IL"/>
        </w:rPr>
        <w:t>". וי"ג במקום 'שעה חמישית' 'שעה ששית'. והנה הדין מבואר בר"פ כל שעה שחמץ מותרת באכילה כל ד' שעות, ושעה חמישית אסור באכילה ומותר בהנאה, ומתחילת שעה ששית אסור מדרבנן בין באכילה ובין בהנאה. וראיתי בחי' ר' שמואל למס' פסחים (ל' ע"ב) שהעיר שלפום ריהטא הגירסא הנכונה לענין שיטת אבי העזרי הוא 'שעה ששית'. וטעמו שהרי האבי העזרי החמיר שנטל"פ אסור בער"פ, הוא ע"כ כשיטות המחמירות שחמץ אסור במשהו אפילו בער"פ</w:t>
      </w:r>
      <w:r w:rsidR="00F70610" w:rsidRPr="00882F11">
        <w:rPr>
          <w:rFonts w:cs="Guttman Drogolin" w:hint="cs"/>
          <w:rtl/>
          <w:lang w:bidi="he-IL"/>
        </w:rPr>
        <w:t>, ובזה הוא שמחלק בין זמן איסור לזמן היתר</w:t>
      </w:r>
      <w:r w:rsidR="00F274CF" w:rsidRPr="00882F11">
        <w:rPr>
          <w:rFonts w:cs="Guttman Drogolin" w:hint="cs"/>
          <w:rtl/>
          <w:lang w:bidi="he-IL"/>
        </w:rPr>
        <w:t>. ולכאורה אין להחמיר בער"פ אלא משעה ששית דאז אסור בהנאה, אבל בזמן שאינו אסור אלא באכילה לכאורה אין טעם להחמיר בה</w:t>
      </w:r>
      <w:r w:rsidR="00F70610" w:rsidRPr="00882F11">
        <w:rPr>
          <w:rFonts w:cs="Guttman Drogolin" w:hint="cs"/>
          <w:rtl/>
          <w:lang w:bidi="he-IL"/>
        </w:rPr>
        <w:t xml:space="preserve"> במשהו יותר משאר מאכלות אסורות. באופן שיל"ע מהו טעם אלו הגורסים שעה </w:t>
      </w:r>
      <w:r w:rsidR="00D5098B" w:rsidRPr="00882F11">
        <w:rPr>
          <w:rFonts w:cs="Guttman Drogolin" w:hint="cs"/>
          <w:rtl/>
          <w:lang w:bidi="he-IL"/>
        </w:rPr>
        <w:t>חמישית</w:t>
      </w:r>
      <w:r w:rsidR="00F70610" w:rsidRPr="00882F11">
        <w:rPr>
          <w:rFonts w:cs="Guttman Drogolin" w:hint="cs"/>
          <w:rtl/>
          <w:lang w:bidi="he-IL"/>
        </w:rPr>
        <w:t>. ו</w:t>
      </w:r>
      <w:r w:rsidR="00D5098B" w:rsidRPr="00882F11">
        <w:rPr>
          <w:rFonts w:cs="Guttman Drogolin" w:hint="cs"/>
          <w:rtl/>
          <w:lang w:bidi="he-IL"/>
        </w:rPr>
        <w:t>מבואר שם ד</w:t>
      </w:r>
      <w:r w:rsidR="00F70610" w:rsidRPr="00882F11">
        <w:rPr>
          <w:rFonts w:cs="Guttman Drogolin" w:hint="cs"/>
          <w:rtl/>
          <w:lang w:bidi="he-IL"/>
        </w:rPr>
        <w:t>איכ</w:t>
      </w:r>
      <w:r w:rsidR="00D5098B" w:rsidRPr="00882F11">
        <w:rPr>
          <w:rFonts w:cs="Guttman Drogolin" w:hint="cs"/>
          <w:rtl/>
          <w:lang w:bidi="he-IL"/>
        </w:rPr>
        <w:t>א</w:t>
      </w:r>
      <w:r w:rsidR="00F70610" w:rsidRPr="00882F11">
        <w:rPr>
          <w:rFonts w:cs="Guttman Drogolin" w:hint="cs"/>
          <w:rtl/>
          <w:lang w:bidi="he-IL"/>
        </w:rPr>
        <w:t xml:space="preserve"> למימר בזה בב' אנפי. או דאע"ג שא החמירו לאסרו בהנאה, לא ראו לחלק בין זמן איסור לזמן היתר לענין השיעור משהו. או"ד</w:t>
      </w:r>
      <w:r w:rsidR="00D5098B" w:rsidRPr="00882F11">
        <w:rPr>
          <w:rFonts w:cs="Guttman Drogolin" w:hint="cs"/>
          <w:rtl/>
          <w:lang w:bidi="he-IL"/>
        </w:rPr>
        <w:t xml:space="preserve"> דאע"ג שאינו אסור אז במשהו, מ"מ יש צד דחוזר וניעור בזמן איסור. אבל סבר אבי העזרי שבזמן היתר גמור, כיון שיש לסמוך נמי על אלו הסוברים שחמץ מיקרי היתירא בלע ולכן מהני מדין נ"ט בר נ"ט, אע"ג שאין סומכים גם על שיטה זו בפני עצמה, אבל על תרוייהו יחד אפשר לסמוך.</w:t>
      </w:r>
    </w:p>
    <w:p w:rsidR="00851BB5" w:rsidRPr="00882F11" w:rsidRDefault="00D5098B" w:rsidP="00851BB5">
      <w:pPr>
        <w:tabs>
          <w:tab w:val="right" w:pos="7497"/>
        </w:tabs>
        <w:bidi/>
        <w:jc w:val="both"/>
        <w:rPr>
          <w:rFonts w:cs="Guttman Drogolin"/>
          <w:rtl/>
          <w:lang w:bidi="he-IL"/>
        </w:rPr>
      </w:pPr>
      <w:r w:rsidRPr="00882F11">
        <w:rPr>
          <w:rFonts w:cs="Guttman Drogolin" w:hint="cs"/>
          <w:rtl/>
          <w:lang w:bidi="he-IL"/>
        </w:rPr>
        <w:t>והנה בשו"ע בתחילת הסע' הלשון הוא "</w:t>
      </w:r>
      <w:r w:rsidRPr="00882F11">
        <w:rPr>
          <w:rFonts w:cs="Guttman Drogolin"/>
          <w:rtl/>
          <w:lang w:bidi="he-IL"/>
        </w:rPr>
        <w:t>יש ליזהר להגעיל קודם שעה חמישית</w:t>
      </w:r>
      <w:r w:rsidRPr="00882F11">
        <w:rPr>
          <w:rFonts w:cs="Guttman Drogolin" w:hint="cs"/>
          <w:rtl/>
          <w:lang w:bidi="he-IL"/>
        </w:rPr>
        <w:t xml:space="preserve"> וכו'"</w:t>
      </w:r>
      <w:r w:rsidR="00851BB5" w:rsidRPr="00882F11">
        <w:rPr>
          <w:rFonts w:cs="Guttman Drogolin" w:hint="cs"/>
          <w:rtl/>
          <w:lang w:bidi="he-IL"/>
        </w:rPr>
        <w:t>, ולכאורה הוא ע</w:t>
      </w:r>
      <w:r w:rsidRPr="00882F11">
        <w:rPr>
          <w:rFonts w:cs="Guttman Drogolin" w:hint="cs"/>
          <w:rtl/>
          <w:lang w:bidi="he-IL"/>
        </w:rPr>
        <w:t xml:space="preserve">נין אחר, שפשוט שבשעה חמשית לא מיקרי היתירא בלע לענין דינא דנ"ט בר נ"ט, ואין לזה שייכות לגירסאות בטור בדעת אבי העזרי. אמנם בט"ז מבואר שהוא תלוי בגירסאות הטור, ולכאורה טעמו משום שהמשך לשון הטור הנ"ל </w:t>
      </w:r>
      <w:r w:rsidRPr="00882F11">
        <w:rPr>
          <w:rFonts w:cs="Guttman Drogolin" w:hint="cs"/>
          <w:rtl/>
          <w:lang w:bidi="he-IL"/>
        </w:rPr>
        <w:lastRenderedPageBreak/>
        <w:t>"</w:t>
      </w:r>
      <w:r w:rsidR="00851BB5" w:rsidRPr="00882F11">
        <w:rPr>
          <w:rFonts w:cs="Guttman Drogolin"/>
          <w:rtl/>
          <w:lang w:bidi="he-IL"/>
        </w:rPr>
        <w:t>רק שיגעיל בזמן היתר קודם שעה חמישית דלאחר אסורו אין פגימתו מתרת וא"א הרא"ש ז"ל כתב דקודם זמן איסורו יכול להגעיל אפילו כלי בן יומו אפילו אין במים ס'</w:t>
      </w:r>
      <w:r w:rsidR="00851BB5" w:rsidRPr="00882F11">
        <w:rPr>
          <w:rFonts w:cs="Guttman Drogolin" w:hint="cs"/>
          <w:rtl/>
          <w:lang w:bidi="he-IL"/>
        </w:rPr>
        <w:t>". ולכאורה מסתימת דבריו מבואר שכוונת הטור בדעת הרא"ש ב'קודם זמן איסורו' הוא מש"כ לעיילל מיני'. וא"כ אם הגירסא בדברי אבי העזרי הוא שעה ששית גם כאן הוי שעה ששית. אלא דלכאורה א"כ הדברים תמוהים, דאיזה ט</w:t>
      </w:r>
      <w:r w:rsidR="00483922" w:rsidRPr="00882F11">
        <w:rPr>
          <w:rFonts w:cs="Guttman Drogolin" w:hint="cs"/>
          <w:rtl/>
          <w:lang w:bidi="he-IL"/>
        </w:rPr>
        <w:t>עם יש</w:t>
      </w:r>
      <w:r w:rsidR="00851BB5" w:rsidRPr="00882F11">
        <w:rPr>
          <w:rFonts w:cs="Guttman Drogolin" w:hint="cs"/>
          <w:rtl/>
          <w:lang w:bidi="he-IL"/>
        </w:rPr>
        <w:t xml:space="preserve"> להקל בשעה חמישית בדין נ"ט בר נ"ט כיון שכבר הוא מן המאכלות האסורות. והרמ"א בסוף הסע' כתב שעה ששית, וזהו לכאורה סתירה למבואר במחבר, וכן ע' במג"א סס"ק ו' שתמה בדברי הרמ"א, וכן בביאור הגר"א בסוף הסע' שכתב שגירסת הרמ"א קשה להולמו, ולכאורה טעמו כנ"ל.</w:t>
      </w:r>
    </w:p>
    <w:p w:rsidR="00801A8E" w:rsidRPr="00882F11" w:rsidRDefault="00851BB5" w:rsidP="006F279E">
      <w:pPr>
        <w:tabs>
          <w:tab w:val="right" w:pos="7497"/>
        </w:tabs>
        <w:bidi/>
        <w:jc w:val="both"/>
        <w:rPr>
          <w:rFonts w:cs="Guttman Drogolin"/>
          <w:rtl/>
          <w:lang w:bidi="he-IL"/>
        </w:rPr>
      </w:pPr>
      <w:r w:rsidRPr="00882F11">
        <w:rPr>
          <w:rFonts w:cs="Guttman Drogolin" w:hint="cs"/>
          <w:rtl/>
          <w:lang w:bidi="he-IL"/>
        </w:rPr>
        <w:t xml:space="preserve">ושם בחי' ר' שמואל הביא ששמע ליישב בזה ממרן הגרי"ז ע"פ מש"כ בחי' מרן רי"ז הלוי בהל' חמץ ומצה. דשם כתוב שיש חילוק יסודית בין הגזרה דרבנן דשעה ששית לשעה חמישית. שבשעה ששית הרי הוא חפצא דאיסורא מדרבנן. אבל בשעה חמישית אינו איסור שחל על החפצא של חמץ, רק איסור גברא להמנע מלאכול חמץ. ולכן לא הוי בשעה חמישית מאכלות אסורות ושפיר שייך הדין נ"ט בר נ"ט לגבי'. וע"ש בחידושי מרן רי"ד הלוי הוכחות ליסוד זה (אבל התוספת ענינו לא מוזכר שם). וע"ש בחי' ר' שמואל שהביא שהרי"ז סבר לענין אכילה בשעה חמישית שפיר הוי איסורא, רק לענין לאחר זמנו מהני דהוי נ"ט בר נ"ט. ור' שמואל שם התקשה בזה, שלכאורה גם בשעה חמישית הול"ל דהוי היתירא בלע. ונראה פשוט הביאור בכוונת הגרי"ז, </w:t>
      </w:r>
      <w:r w:rsidR="006F279E" w:rsidRPr="00882F11">
        <w:rPr>
          <w:rFonts w:cs="Guttman Drogolin" w:hint="cs"/>
          <w:rtl/>
          <w:lang w:bidi="he-IL"/>
        </w:rPr>
        <w:t xml:space="preserve">שאיסור גברא גם שייך לגבי' דין איסורא בלע, דהא מ"מ איסורא הוא, אבל לאחר שעה חמישית פקע איסור זה וחל איסור חדש שהוא איסור בחפצא של חמץ, ולענין איסור זה שפיר הוי היתירא כיון שעדיין לא חל. והוא דוגמת מי שמגעיל כלי חמץ קודם זמן איסורו דמהני אע"ג שהוא חמץ שיש עליו עוד איסור כגון טבל, דמ"מ </w:t>
      </w:r>
      <w:r w:rsidR="006F279E" w:rsidRPr="00882F11">
        <w:rPr>
          <w:rFonts w:cs="Guttman Drogolin" w:hint="cs"/>
          <w:rtl/>
          <w:lang w:bidi="he-IL"/>
        </w:rPr>
        <w:lastRenderedPageBreak/>
        <w:t>אחרי שמפריש על הבליעות יהא מותר, ולענין האיסור חמץ הא ודאי הוי היתירא.</w:t>
      </w:r>
      <w:r w:rsidRPr="00882F11">
        <w:rPr>
          <w:rFonts w:cs="Guttman Drogolin" w:hint="cs"/>
          <w:rtl/>
          <w:lang w:bidi="he-IL"/>
        </w:rPr>
        <w:t xml:space="preserve">   </w:t>
      </w:r>
      <w:r w:rsidR="00D5098B" w:rsidRPr="00882F11">
        <w:rPr>
          <w:rFonts w:cs="Guttman Drogolin" w:hint="cs"/>
          <w:rtl/>
          <w:lang w:bidi="he-IL"/>
        </w:rPr>
        <w:t xml:space="preserve"> </w:t>
      </w:r>
      <w:r w:rsidR="00F70610" w:rsidRPr="00882F11">
        <w:rPr>
          <w:rFonts w:cs="Guttman Drogolin" w:hint="cs"/>
          <w:rtl/>
          <w:lang w:bidi="he-IL"/>
        </w:rPr>
        <w:t xml:space="preserve">  </w:t>
      </w:r>
      <w:r w:rsidR="00F274CF" w:rsidRPr="00882F11">
        <w:rPr>
          <w:rFonts w:cs="Guttman Drogolin" w:hint="cs"/>
          <w:rtl/>
          <w:lang w:bidi="he-IL"/>
        </w:rPr>
        <w:t xml:space="preserve">    </w:t>
      </w:r>
    </w:p>
    <w:p w:rsidR="00F84CE8" w:rsidRPr="006E3B7D" w:rsidRDefault="00F84CE8" w:rsidP="00F84CE8">
      <w:pPr>
        <w:pStyle w:val="Heading1"/>
        <w:bidi/>
        <w:spacing w:before="0" w:line="360" w:lineRule="auto"/>
        <w:jc w:val="center"/>
        <w:rPr>
          <w:rFonts w:cs="Guttman Drogolin"/>
          <w:color w:val="auto"/>
          <w:sz w:val="18"/>
          <w:szCs w:val="18"/>
          <w:u w:val="single"/>
          <w:rtl/>
          <w:lang w:bidi="he-IL"/>
        </w:rPr>
      </w:pPr>
      <w:bookmarkStart w:id="503" w:name="_Toc496175746"/>
      <w:r w:rsidRPr="006E3B7D">
        <w:rPr>
          <w:rFonts w:cs="Guttman Drogolin" w:hint="cs"/>
          <w:color w:val="auto"/>
          <w:sz w:val="18"/>
          <w:szCs w:val="18"/>
          <w:u w:val="single"/>
          <w:rtl/>
          <w:lang w:bidi="he-IL"/>
        </w:rPr>
        <w:t>מהו התהליך של הגעלה לכתחילה, ובדין הכשר היורה</w:t>
      </w:r>
      <w:bookmarkEnd w:id="503"/>
    </w:p>
    <w:p w:rsidR="008F4A43" w:rsidRPr="00882F11" w:rsidRDefault="00BB4151" w:rsidP="0040135B">
      <w:pPr>
        <w:tabs>
          <w:tab w:val="right" w:pos="7497"/>
        </w:tabs>
        <w:bidi/>
        <w:jc w:val="both"/>
        <w:rPr>
          <w:rFonts w:cs="Guttman Drogolin"/>
          <w:rtl/>
          <w:lang w:bidi="he-IL"/>
        </w:rPr>
      </w:pPr>
      <w:r>
        <w:rPr>
          <w:rFonts w:cs="Guttman Drogolin"/>
          <w:rtl/>
          <w:lang w:bidi="he-IL"/>
        </w:rPr>
        <w:fldChar w:fldCharType="begin"/>
      </w:r>
      <w:r>
        <w:instrText xml:space="preserve"> XE "</w:instrText>
      </w:r>
      <w:r w:rsidRPr="00A96174">
        <w:rPr>
          <w:rFonts w:hint="cs"/>
          <w:rtl/>
          <w:lang w:bidi="he-IL"/>
        </w:rPr>
        <w:instrText>הכשר כלים</w:instrText>
      </w:r>
      <w:r w:rsidRPr="00A96174">
        <w:rPr>
          <w:rtl/>
        </w:rPr>
        <w:instrText>:</w:instrText>
      </w:r>
      <w:r w:rsidRPr="00A96174">
        <w:rPr>
          <w:rFonts w:hint="cs"/>
          <w:rtl/>
          <w:lang w:bidi="he-IL"/>
        </w:rPr>
        <w:instrText>תהליך הגעלה לכתחילה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D47859">
        <w:rPr>
          <w:rFonts w:hint="cs"/>
          <w:rtl/>
          <w:lang w:bidi="he-IL"/>
        </w:rPr>
        <w:instrText>הכשר כלים</w:instrText>
      </w:r>
      <w:r w:rsidRPr="00D47859">
        <w:rPr>
          <w:rtl/>
        </w:rPr>
        <w:instrText>:</w:instrText>
      </w:r>
      <w:r w:rsidRPr="00D47859">
        <w:rPr>
          <w:rFonts w:hint="cs"/>
          <w:rtl/>
          <w:lang w:bidi="he-IL"/>
        </w:rPr>
        <w:instrText>הכשר היורה שמגעילים בה</w:instrText>
      </w:r>
      <w:r>
        <w:instrText xml:space="preserve">" </w:instrText>
      </w:r>
      <w:r>
        <w:rPr>
          <w:rFonts w:cs="Guttman Drogolin"/>
          <w:rtl/>
          <w:lang w:bidi="he-IL"/>
        </w:rPr>
        <w:fldChar w:fldCharType="end"/>
      </w:r>
      <w:r w:rsidR="00F513B6" w:rsidRPr="00882F11">
        <w:rPr>
          <w:rFonts w:cs="Guttman Drogolin" w:hint="cs"/>
          <w:rtl/>
          <w:lang w:bidi="he-IL"/>
        </w:rPr>
        <w:t>אע"ג שהשו"ע הביא דעת התוס' והרא"ש ועוד שאפשר להכשיר כלים בער"פ אע"פ שהם בני יומן כיון שמותרים מדין נ"ט בר נ"ט דהיתירא</w:t>
      </w:r>
      <w:r w:rsidR="00E32E78" w:rsidRPr="00882F11">
        <w:rPr>
          <w:rFonts w:cs="Guttman Drogolin" w:hint="cs"/>
          <w:rtl/>
          <w:lang w:bidi="he-IL"/>
        </w:rPr>
        <w:t>, מ"מ המנהג אפילו לדבריו שאין מגעילים אלא כלי שאינו בן יומו משום חשש שמא יגעיל כלי חלב עם כלי בשר ויבאו לידי בשר בחלב. ולענין דיעבד, הנה הבה"ל בד"ה</w:t>
      </w:r>
      <w:r w:rsidR="00963732" w:rsidRPr="00882F11">
        <w:rPr>
          <w:rFonts w:cs="Guttman Drogolin" w:hint="cs"/>
          <w:rtl/>
          <w:lang w:bidi="he-IL"/>
        </w:rPr>
        <w:t xml:space="preserve"> הביא דעת כמה פוסקים הסוברים דמעיקר הדין לא מהני הגעלה אפילו לפני פסח בכלים שהם בני יומן כיון דחמץ שמו עליו. אמנם אינו מפורש בדבריו </w:t>
      </w:r>
      <w:r w:rsidR="008F4A43" w:rsidRPr="00882F11">
        <w:rPr>
          <w:rFonts w:cs="Guttman Drogolin" w:hint="cs"/>
          <w:rtl/>
          <w:lang w:bidi="he-IL"/>
        </w:rPr>
        <w:t xml:space="preserve">כאן </w:t>
      </w:r>
      <w:r w:rsidR="00963732" w:rsidRPr="00882F11">
        <w:rPr>
          <w:rFonts w:cs="Guttman Drogolin" w:hint="cs"/>
          <w:rtl/>
          <w:lang w:bidi="he-IL"/>
        </w:rPr>
        <w:t xml:space="preserve">אם דעתו להחמיר בזה אפילו בדיעבד, או"ד אין כוונתו אלא להראות עד כמה שצריכים להחמיר לכתחילה שלא יהא בן יומו. </w:t>
      </w:r>
      <w:r w:rsidR="008F4A43" w:rsidRPr="00882F11">
        <w:rPr>
          <w:rFonts w:cs="Guttman Drogolin" w:hint="cs"/>
          <w:rtl/>
          <w:lang w:bidi="he-IL"/>
        </w:rPr>
        <w:t>אבל יעוין בסי' תמ"ז ס"ק ס"ה שנראה דעתו להחמיר בזה בדיעבד, ואע"ג שבשעה"צ שם ס"ק פ"ז הביא מפמ"ג לסמוך על זה לבד דהוי נ"ט בר נ"ט, מ"מ לא רצה להקל אלא בדאיכא ס' ובמקום הפסד מרובה. אמנם ה</w:t>
      </w:r>
      <w:r w:rsidR="00963732" w:rsidRPr="00882F11">
        <w:rPr>
          <w:rFonts w:cs="Guttman Drogolin" w:hint="cs"/>
          <w:rtl/>
          <w:lang w:bidi="he-IL"/>
        </w:rPr>
        <w:t xml:space="preserve">חזו"א סי' קי"ט ס"ק י"ד </w:t>
      </w:r>
      <w:r w:rsidR="008F4A43" w:rsidRPr="00882F11">
        <w:rPr>
          <w:rFonts w:cs="Guttman Drogolin" w:hint="cs"/>
          <w:rtl/>
          <w:lang w:bidi="he-IL"/>
        </w:rPr>
        <w:t>כתב ש</w:t>
      </w:r>
      <w:r w:rsidR="00963732" w:rsidRPr="00882F11">
        <w:rPr>
          <w:rFonts w:cs="Guttman Drogolin" w:hint="cs"/>
          <w:rtl/>
          <w:lang w:bidi="he-IL"/>
        </w:rPr>
        <w:t>המיקל לענין נ"ט בר נ"ט קודם שעה חמישית לא הפסיד</w:t>
      </w:r>
      <w:r w:rsidR="008F4A43" w:rsidRPr="00882F11">
        <w:rPr>
          <w:rFonts w:cs="Guttman Drogolin" w:hint="cs"/>
          <w:rtl/>
          <w:lang w:bidi="he-IL"/>
        </w:rPr>
        <w:t>, וכדעת הפמ"ג הנ"ל</w:t>
      </w:r>
      <w:r w:rsidR="00963732" w:rsidRPr="00882F11">
        <w:rPr>
          <w:rFonts w:cs="Guttman Drogolin" w:hint="cs"/>
          <w:rtl/>
          <w:lang w:bidi="he-IL"/>
        </w:rPr>
        <w:t>.</w:t>
      </w:r>
      <w:r w:rsidR="008F4A43" w:rsidRPr="00882F11">
        <w:rPr>
          <w:rFonts w:cs="Guttman Drogolin" w:hint="cs"/>
          <w:rtl/>
          <w:lang w:bidi="he-IL"/>
        </w:rPr>
        <w:t xml:space="preserve"> </w:t>
      </w:r>
      <w:r w:rsidR="0040135B" w:rsidRPr="00882F11">
        <w:rPr>
          <w:rFonts w:cs="Guttman Drogolin" w:hint="cs"/>
          <w:rtl/>
          <w:lang w:bidi="he-IL"/>
        </w:rPr>
        <w:t xml:space="preserve">ואם יש ששים כנגד הכלי (דכן הוא בכמעט כל ההגעלות כלים המרכזיים) הא שיטת הרא"ש דלא אמרינן חוזר וניעור (וביארנו שזה יכול להיות משום ב' טעמים, או משום דלא אמרינן כלל שהאיסור חוזר וניעור, או"ד משום דהוי נ"ט בר נ"ט דהיתירא וכמש"כ רע"א על המג"א סי' תנ"ב ס"ק ו'), ואע"ג שהרשב"א חלק על זה, מ"מ בהצטרף לשיטת השו"ע ורמ"א דקודם זמן איסורו הרי הוא מותר מדין נ"ט בר נ"ט לכאורה הדין הוא להקל. </w:t>
      </w:r>
      <w:r w:rsidR="008F4A43" w:rsidRPr="00882F11">
        <w:rPr>
          <w:rFonts w:cs="Guttman Drogolin" w:hint="cs"/>
          <w:rtl/>
          <w:lang w:bidi="he-IL"/>
        </w:rPr>
        <w:t xml:space="preserve">ונראה </w:t>
      </w:r>
      <w:r w:rsidR="0040135B" w:rsidRPr="00882F11">
        <w:rPr>
          <w:rFonts w:cs="Guttman Drogolin" w:hint="cs"/>
          <w:rtl/>
          <w:lang w:bidi="he-IL"/>
        </w:rPr>
        <w:t xml:space="preserve">מ"מ </w:t>
      </w:r>
      <w:r w:rsidR="008F4A43" w:rsidRPr="00882F11">
        <w:rPr>
          <w:rFonts w:cs="Guttman Drogolin" w:hint="cs"/>
          <w:rtl/>
          <w:lang w:bidi="he-IL"/>
        </w:rPr>
        <w:t xml:space="preserve">שכן יש להורות למעשה </w:t>
      </w:r>
      <w:r w:rsidR="0040135B" w:rsidRPr="00882F11">
        <w:rPr>
          <w:rFonts w:cs="Guttman Drogolin" w:hint="cs"/>
          <w:rtl/>
          <w:lang w:bidi="he-IL"/>
        </w:rPr>
        <w:t xml:space="preserve">בדינא דנ"ט בר נ"ט </w:t>
      </w:r>
      <w:r w:rsidR="008F4A43" w:rsidRPr="00882F11">
        <w:rPr>
          <w:rFonts w:cs="Guttman Drogolin" w:hint="cs"/>
          <w:rtl/>
          <w:lang w:bidi="he-IL"/>
        </w:rPr>
        <w:t xml:space="preserve">בכלי שאינו בן יומו </w:t>
      </w:r>
      <w:r w:rsidR="0040135B" w:rsidRPr="00882F11">
        <w:rPr>
          <w:rFonts w:cs="Guttman Drogolin" w:hint="cs"/>
          <w:rtl/>
          <w:lang w:bidi="he-IL"/>
        </w:rPr>
        <w:t>אפילו בפסח כיון ש</w:t>
      </w:r>
      <w:r w:rsidR="008F4A43" w:rsidRPr="00882F11">
        <w:rPr>
          <w:rFonts w:cs="Guttman Drogolin" w:hint="cs"/>
          <w:rtl/>
          <w:lang w:bidi="he-IL"/>
        </w:rPr>
        <w:t>אינו אלא נטל"פ בפסח</w:t>
      </w:r>
      <w:r w:rsidR="0040135B" w:rsidRPr="00882F11">
        <w:rPr>
          <w:rFonts w:cs="Guttman Drogolin" w:hint="cs"/>
          <w:rtl/>
          <w:lang w:bidi="he-IL"/>
        </w:rPr>
        <w:t xml:space="preserve"> שאמנם הדין הוא להחמיר בה, מ"מ הקילו בה הפוסקים בצירוף שיטות אחרות</w:t>
      </w:r>
      <w:r w:rsidR="008F4A43" w:rsidRPr="00882F11">
        <w:rPr>
          <w:rFonts w:cs="Guttman Drogolin" w:hint="cs"/>
          <w:rtl/>
          <w:lang w:bidi="he-IL"/>
        </w:rPr>
        <w:t>.</w:t>
      </w:r>
    </w:p>
    <w:p w:rsidR="003E2D92" w:rsidRPr="00882F11" w:rsidRDefault="008F4A43" w:rsidP="003E2D92">
      <w:pPr>
        <w:tabs>
          <w:tab w:val="right" w:pos="7497"/>
        </w:tabs>
        <w:bidi/>
        <w:jc w:val="both"/>
        <w:rPr>
          <w:rFonts w:cs="Guttman Drogolin"/>
          <w:rtl/>
          <w:lang w:bidi="he-IL"/>
        </w:rPr>
      </w:pPr>
      <w:r w:rsidRPr="00882F11">
        <w:rPr>
          <w:rFonts w:cs="Guttman Drogolin" w:hint="cs"/>
          <w:rtl/>
          <w:lang w:bidi="he-IL"/>
        </w:rPr>
        <w:lastRenderedPageBreak/>
        <w:t xml:space="preserve">ויל"ע מה הדין לענין היורה האם צריכים להכשיר אותו או לא. וכבר הבאנו שיטת הרא"ש דאע"ג שביורה בן יומו חייבים להגעיל אותו, מ"מ באינו בן יומו אינו צריך להגעיל משום דלא שייך הטעם להחמיר באינו בן יומו אטו בן יומו כמו שהחמירו בכלי סעודה. </w:t>
      </w:r>
      <w:r w:rsidR="00952731" w:rsidRPr="00882F11">
        <w:rPr>
          <w:rFonts w:cs="Guttman Drogolin" w:hint="cs"/>
          <w:rtl/>
          <w:lang w:bidi="he-IL"/>
        </w:rPr>
        <w:t xml:space="preserve">ויל"ע היכי קיי"ל בזה לענין מעשה. </w:t>
      </w:r>
      <w:r w:rsidR="003E2D92" w:rsidRPr="00882F11">
        <w:rPr>
          <w:rFonts w:cs="Guttman Drogolin" w:hint="cs"/>
          <w:rtl/>
          <w:lang w:bidi="he-IL"/>
        </w:rPr>
        <w:t xml:space="preserve">והנה הטור כתב שיש להכשיר היורה תחילה וסוף. </w:t>
      </w:r>
      <w:r w:rsidR="00952731" w:rsidRPr="00882F11">
        <w:rPr>
          <w:rFonts w:cs="Guttman Drogolin" w:hint="cs"/>
          <w:rtl/>
          <w:lang w:bidi="he-IL"/>
        </w:rPr>
        <w:t>וב</w:t>
      </w:r>
      <w:r w:rsidRPr="00882F11">
        <w:rPr>
          <w:rFonts w:cs="Guttman Drogolin" w:hint="cs"/>
          <w:rtl/>
          <w:lang w:bidi="he-IL"/>
        </w:rPr>
        <w:t>שו"ע ברסי' תנ"ב</w:t>
      </w:r>
      <w:r w:rsidR="00952731" w:rsidRPr="00882F11">
        <w:rPr>
          <w:rFonts w:cs="Guttman Drogolin" w:hint="cs"/>
          <w:rtl/>
          <w:lang w:bidi="he-IL"/>
        </w:rPr>
        <w:t xml:space="preserve"> מבואר שיש לח</w:t>
      </w:r>
      <w:r w:rsidR="003E2D92" w:rsidRPr="00882F11">
        <w:rPr>
          <w:rFonts w:cs="Guttman Drogolin" w:hint="cs"/>
          <w:rtl/>
          <w:lang w:bidi="he-IL"/>
        </w:rPr>
        <w:t>ל</w:t>
      </w:r>
      <w:r w:rsidR="00952731" w:rsidRPr="00882F11">
        <w:rPr>
          <w:rFonts w:cs="Guttman Drogolin" w:hint="cs"/>
          <w:rtl/>
          <w:lang w:bidi="he-IL"/>
        </w:rPr>
        <w:t xml:space="preserve">ק </w:t>
      </w:r>
      <w:r w:rsidR="003E2D92" w:rsidRPr="00882F11">
        <w:rPr>
          <w:rFonts w:cs="Guttman Drogolin" w:hint="cs"/>
          <w:rtl/>
          <w:lang w:bidi="he-IL"/>
        </w:rPr>
        <w:t xml:space="preserve">בזה </w:t>
      </w:r>
      <w:r w:rsidR="00952731" w:rsidRPr="00882F11">
        <w:rPr>
          <w:rFonts w:cs="Guttman Drogolin" w:hint="cs"/>
          <w:rtl/>
          <w:lang w:bidi="he-IL"/>
        </w:rPr>
        <w:t>בין היכא שמגעיל כלי</w:t>
      </w:r>
      <w:r w:rsidRPr="00882F11">
        <w:rPr>
          <w:rFonts w:cs="Guttman Drogolin" w:hint="cs"/>
          <w:rtl/>
          <w:lang w:bidi="he-IL"/>
        </w:rPr>
        <w:t xml:space="preserve">ם בני יומן </w:t>
      </w:r>
      <w:r w:rsidR="00952731" w:rsidRPr="00882F11">
        <w:rPr>
          <w:rFonts w:cs="Guttman Drogolin" w:hint="cs"/>
          <w:rtl/>
          <w:lang w:bidi="he-IL"/>
        </w:rPr>
        <w:t>ק</w:t>
      </w:r>
      <w:r w:rsidRPr="00882F11">
        <w:rPr>
          <w:rFonts w:cs="Guttman Drogolin" w:hint="cs"/>
          <w:rtl/>
          <w:lang w:bidi="he-IL"/>
        </w:rPr>
        <w:t xml:space="preserve">ודם שעה חמישית </w:t>
      </w:r>
      <w:r w:rsidR="00952731" w:rsidRPr="00882F11">
        <w:rPr>
          <w:rFonts w:cs="Guttman Drogolin" w:hint="cs"/>
          <w:rtl/>
          <w:lang w:bidi="he-IL"/>
        </w:rPr>
        <w:t xml:space="preserve">למגעיל לאחר זמן האיסור. וטעמו לכאורה שאם מגעיל אחר זמן האיסור הרי הבליעות שבכלי יכולים לאסור הכלים בשעת הגעלתן, וכן אחרי שהגעיל הכלים צריך להכשיר היורה כיון שנבלע ביורה הטעם שהי' בכלים שהגעילו. וכאן הבן שואל, שאם הכלים </w:t>
      </w:r>
      <w:r w:rsidR="00C776EC" w:rsidRPr="00882F11">
        <w:rPr>
          <w:rFonts w:cs="Guttman Drogolin"/>
          <w:lang w:bidi="he-IL"/>
        </w:rPr>
        <w:t xml:space="preserve"> </w:t>
      </w:r>
      <w:r w:rsidR="00952731" w:rsidRPr="00882F11">
        <w:rPr>
          <w:rFonts w:cs="Guttman Drogolin" w:hint="cs"/>
          <w:rtl/>
          <w:lang w:bidi="he-IL"/>
        </w:rPr>
        <w:t>שהמ</w:t>
      </w:r>
      <w:r w:rsidR="003E2D92" w:rsidRPr="00882F11">
        <w:rPr>
          <w:rFonts w:cs="Guttman Drogolin" w:hint="cs"/>
          <w:rtl/>
          <w:lang w:bidi="he-IL"/>
        </w:rPr>
        <w:t>ג</w:t>
      </w:r>
      <w:r w:rsidR="00952731" w:rsidRPr="00882F11">
        <w:rPr>
          <w:rFonts w:cs="Guttman Drogolin" w:hint="cs"/>
          <w:rtl/>
          <w:lang w:bidi="he-IL"/>
        </w:rPr>
        <w:t xml:space="preserve">עיל יוכלים לאסור היורה שמגעילים בה, למה לא יאסרו </w:t>
      </w:r>
      <w:r w:rsidR="003E2D92" w:rsidRPr="00882F11">
        <w:rPr>
          <w:rFonts w:cs="Guttman Drogolin" w:hint="cs"/>
          <w:rtl/>
          <w:lang w:bidi="he-IL"/>
        </w:rPr>
        <w:t>את מי ההגעלה וכן הכלים האחרונים עצמם. וכתב בזה הב"ח בד"ה ואיכא דע"כ סבר שהכלים אינו בולעים ממי ההגעלה איידי דטרידי למיפלט, אבל היורה, כיון שהכשירו אותו מקודם בולע ונאסר.</w:t>
      </w:r>
    </w:p>
    <w:p w:rsidR="00C776EC" w:rsidRPr="00882F11" w:rsidRDefault="003E2D92" w:rsidP="007E1DEE">
      <w:pPr>
        <w:tabs>
          <w:tab w:val="right" w:pos="7497"/>
        </w:tabs>
        <w:bidi/>
        <w:jc w:val="both"/>
        <w:rPr>
          <w:rFonts w:cs="Guttman Drogolin"/>
          <w:rtl/>
          <w:lang w:bidi="he-IL"/>
        </w:rPr>
      </w:pPr>
      <w:r w:rsidRPr="00882F11">
        <w:rPr>
          <w:rFonts w:cs="Guttman Drogolin" w:hint="cs"/>
          <w:rtl/>
          <w:lang w:bidi="he-IL"/>
        </w:rPr>
        <w:t xml:space="preserve">אמנם הב"ח פירש שמסתימת דברי הטור משמע דמיירי בכל אופנים, ואפילו קודם שעה חמישית יש להגעיל תחילה וסוף. וביאר </w:t>
      </w:r>
      <w:r w:rsidR="007E1DEE" w:rsidRPr="00882F11">
        <w:rPr>
          <w:rFonts w:cs="Guttman Drogolin" w:hint="cs"/>
          <w:rtl/>
          <w:lang w:bidi="he-IL"/>
        </w:rPr>
        <w:t>הטעם</w:t>
      </w:r>
      <w:r w:rsidR="00A71801" w:rsidRPr="00882F11">
        <w:rPr>
          <w:rStyle w:val="FootnoteReference"/>
          <w:rFonts w:cs="Guttman Drogolin"/>
          <w:rtl/>
          <w:lang w:bidi="he-IL"/>
        </w:rPr>
        <w:footnoteReference w:id="505"/>
      </w:r>
      <w:r w:rsidR="007E1DEE" w:rsidRPr="00882F11">
        <w:rPr>
          <w:rFonts w:cs="Guttman Drogolin" w:hint="cs"/>
          <w:rtl/>
          <w:lang w:bidi="he-IL"/>
        </w:rPr>
        <w:t xml:space="preserve"> שצריך להגעיל פעם שני משום שהטעם הבלוע בכלי הגיע מעלמא, פי' מן הכלים שהגעילו בתוכו, ולכן יש להכשירו לכתחילה ולא לסמוך על זה דהוי נ"ט בר נ"ט. ושאני היורה מן הכלים שהגעילו בתוכו שהקילו להגעילם אפילו בפחות מס' ונ"ט לשבח משום שהם פולעים מפלי</w:t>
      </w:r>
      <w:r w:rsidR="00A71801" w:rsidRPr="00882F11">
        <w:rPr>
          <w:rFonts w:cs="Guttman Drogolin" w:hint="cs"/>
          <w:rtl/>
          <w:lang w:bidi="he-IL"/>
        </w:rPr>
        <w:t xml:space="preserve">טת עצמן ואי אפשר בענין אחר ולכן </w:t>
      </w:r>
      <w:r w:rsidR="007E1DEE" w:rsidRPr="00882F11">
        <w:rPr>
          <w:rFonts w:cs="Guttman Drogolin" w:hint="cs"/>
          <w:rtl/>
          <w:lang w:bidi="he-IL"/>
        </w:rPr>
        <w:t xml:space="preserve">הקילו. </w:t>
      </w:r>
      <w:r w:rsidR="00A71801" w:rsidRPr="00882F11">
        <w:rPr>
          <w:rFonts w:cs="Guttman Drogolin" w:hint="cs"/>
          <w:rtl/>
          <w:lang w:bidi="he-IL"/>
        </w:rPr>
        <w:t>וכתב בזה עוד שלפי דבריו יהי' הדין שיש להכשיר אפילו יורה שאינו בן יומו</w:t>
      </w:r>
      <w:r w:rsidR="007E1DEE" w:rsidRPr="00882F11">
        <w:rPr>
          <w:rFonts w:cs="Guttman Drogolin" w:hint="cs"/>
          <w:rtl/>
          <w:lang w:bidi="he-IL"/>
        </w:rPr>
        <w:t xml:space="preserve"> </w:t>
      </w:r>
      <w:r w:rsidR="00A71801" w:rsidRPr="00882F11">
        <w:rPr>
          <w:rFonts w:cs="Guttman Drogolin" w:hint="cs"/>
          <w:rtl/>
          <w:lang w:bidi="he-IL"/>
        </w:rPr>
        <w:t>קודם שמגעילים אותו, ושלא כדברי הרא"ש הנ"ל. וכוונתו לומר דכיון שאפשר להכשיר הכלי מן הבליעות שקיבל מעלמא יש לעשות כן ולא לסמוך על זה דהוי אינו בן יומו. והוסיף לומר שכן הוא המנהג ואל תטוש וכו'.</w:t>
      </w:r>
    </w:p>
    <w:p w:rsidR="008F4A43" w:rsidRPr="00882F11" w:rsidRDefault="00C776EC" w:rsidP="00787E1A">
      <w:pPr>
        <w:tabs>
          <w:tab w:val="right" w:pos="7497"/>
        </w:tabs>
        <w:bidi/>
        <w:jc w:val="both"/>
        <w:rPr>
          <w:rFonts w:cs="Guttman Drogolin"/>
          <w:rtl/>
          <w:lang w:bidi="he-IL"/>
        </w:rPr>
      </w:pPr>
      <w:r w:rsidRPr="00882F11">
        <w:rPr>
          <w:rFonts w:cs="Guttman Drogolin" w:hint="cs"/>
          <w:rtl/>
          <w:lang w:bidi="he-IL"/>
        </w:rPr>
        <w:lastRenderedPageBreak/>
        <w:t>והנה עד כאן לא מצאנו אלא שהב"ח החמיר להכשיר כלי בן יומו בין לפני ובין לאחרי משום שאינו רוצה לסמוך על נ"ט בר נ"ט לכתיחלה היכא דאפשר להכשיר, וכן החמיר להכשיר כלי שאינו בן יומו כיון שנכנסו הבליעות לשבח</w:t>
      </w:r>
      <w:r w:rsidR="0040135B" w:rsidRPr="00882F11">
        <w:rPr>
          <w:rFonts w:cs="Guttman Drogolin" w:hint="cs"/>
          <w:rtl/>
          <w:lang w:bidi="he-IL"/>
        </w:rPr>
        <w:t xml:space="preserve"> (ולענין זה לכאורה אין טעם לחלק בין מכשיר כלים בן יומו לכלים שאינם בני יומן)</w:t>
      </w:r>
      <w:r w:rsidRPr="00882F11">
        <w:rPr>
          <w:rFonts w:cs="Guttman Drogolin" w:hint="cs"/>
          <w:rtl/>
          <w:lang w:bidi="he-IL"/>
        </w:rPr>
        <w:t>. אבל לכאורה עדיין אפשר לומר ש</w:t>
      </w:r>
      <w:r w:rsidR="0040135B" w:rsidRPr="00882F11">
        <w:rPr>
          <w:rFonts w:cs="Guttman Drogolin" w:hint="cs"/>
          <w:rtl/>
          <w:lang w:bidi="he-IL"/>
        </w:rPr>
        <w:t xml:space="preserve">אפילו </w:t>
      </w:r>
      <w:r w:rsidRPr="00882F11">
        <w:rPr>
          <w:rFonts w:cs="Guttman Drogolin" w:hint="cs"/>
          <w:rtl/>
          <w:lang w:bidi="he-IL"/>
        </w:rPr>
        <w:t>לב"ח אם הכשיר כלים</w:t>
      </w:r>
      <w:r w:rsidR="00706A99" w:rsidRPr="00882F11">
        <w:rPr>
          <w:rFonts w:cs="Guttman Drogolin" w:hint="cs"/>
          <w:rtl/>
          <w:lang w:bidi="he-IL"/>
        </w:rPr>
        <w:t xml:space="preserve"> שאינם בני יומן בתוך יורה כשרה שאינו צריך להכשירה לאחר מכן כיון שכבר נתבטלו במי ההגעלה וכן נכנסו בפגם.</w:t>
      </w:r>
      <w:r w:rsidR="00787E1A" w:rsidRPr="00882F11">
        <w:rPr>
          <w:rFonts w:cs="Guttman Drogolin" w:hint="cs"/>
          <w:rtl/>
          <w:lang w:bidi="he-IL"/>
        </w:rPr>
        <w:t xml:space="preserve"> אמנם </w:t>
      </w:r>
      <w:r w:rsidR="009F6D29" w:rsidRPr="00882F11">
        <w:rPr>
          <w:rFonts w:cs="Guttman Drogolin" w:hint="cs"/>
          <w:rtl/>
          <w:lang w:bidi="he-IL"/>
        </w:rPr>
        <w:t>ע' במג"א בס"ק ו' "</w:t>
      </w:r>
      <w:r w:rsidR="009F6D29" w:rsidRPr="00882F11">
        <w:rPr>
          <w:rFonts w:cs="Guttman Drogolin"/>
          <w:rtl/>
          <w:lang w:bidi="he-IL"/>
        </w:rPr>
        <w:t>נ"ל דאם אין היורה ב"י א"צ להגעילה תחלה דלא גרע מהכלים עצמן ואם הגעילה תחלה אין צריך להגעיל' בסוף דהא אין הכלים ב"י אך נהגו להחמיר בכל החומרות אפי' קודם ה' וכ"כ הב"ח</w:t>
      </w:r>
      <w:r w:rsidR="009F6D29" w:rsidRPr="00882F11">
        <w:rPr>
          <w:rFonts w:cs="Guttman Drogolin" w:hint="cs"/>
          <w:rtl/>
          <w:lang w:bidi="he-IL"/>
        </w:rPr>
        <w:t>", ומשמע מדבריו שגם אם הכשיר קודם ההגעלה צריך להכשיר גם אחרי ההגעלה,</w:t>
      </w:r>
      <w:r w:rsidR="00787E1A" w:rsidRPr="00882F11">
        <w:rPr>
          <w:rFonts w:cs="Guttman Drogolin" w:hint="cs"/>
          <w:rtl/>
          <w:lang w:bidi="he-IL"/>
        </w:rPr>
        <w:t xml:space="preserve"> וכתב על זה במפורש במגעיל כלים שאינם בני יומן. ולכאורה הטעם במנהג זה משום שלא רצו לשנות תהליך ההגעלה בין כלים בני יומן לכלים שאינם בני יומן</w:t>
      </w:r>
      <w:r w:rsidR="00183455" w:rsidRPr="00882F11">
        <w:rPr>
          <w:rFonts w:cs="Guttman Drogolin" w:hint="cs"/>
          <w:rtl/>
          <w:lang w:bidi="he-IL"/>
        </w:rPr>
        <w:t>, וכיון דסבר שבבני יומן חייבים להגעיל גם אחרי ההגעלה (לפי דעתו של הב"ח) גם באינן בני יומן הנהיגו כן. אמנם לכאורה אם מגעיל בתוך מים שיש ס' כנגד הכלי לכאורה יש להקל בזה. ואפילו אם מגעיל יותר מכלי א', נראה שאפשר להקל ולא להגעיל אחרי, ואע"ג שלשיטת הרשב"א אמרינן דחוזר וניעור, מ"מ הרי שיטת הרא"ש ועוד ראשונים להקל דלא אמרינן חוזר וניעור, וי"א להקל משום דהוי נ"ט בק נ"ט דהיתירא. ואע"ג שיש להחמיר לענין כלי בן יומו, לכאורה במנהג דהגעלת כלים שאינם בני יומן קודם שעה חמישית (שבה שיטת השו"ע ועוד להקל דהוי גם נ"ט בר נ"ט) יש להקל.</w:t>
      </w:r>
      <w:r w:rsidR="00A71801" w:rsidRPr="00882F11">
        <w:rPr>
          <w:rFonts w:cs="Guttman Drogolin" w:hint="cs"/>
          <w:rtl/>
          <w:lang w:bidi="he-IL"/>
        </w:rPr>
        <w:t xml:space="preserve"> </w:t>
      </w:r>
      <w:r w:rsidR="003E2D92" w:rsidRPr="00882F11">
        <w:rPr>
          <w:rFonts w:cs="Guttman Drogolin" w:hint="cs"/>
          <w:rtl/>
          <w:lang w:bidi="he-IL"/>
        </w:rPr>
        <w:t xml:space="preserve">   </w:t>
      </w:r>
      <w:r w:rsidR="008F4A43" w:rsidRPr="00882F11">
        <w:rPr>
          <w:rFonts w:cs="Guttman Drogolin" w:hint="cs"/>
          <w:rtl/>
          <w:lang w:bidi="he-IL"/>
        </w:rPr>
        <w:t xml:space="preserve"> </w:t>
      </w:r>
    </w:p>
    <w:p w:rsidR="008F4A43" w:rsidRPr="00882F11" w:rsidRDefault="008F4A43" w:rsidP="008F4A43">
      <w:pPr>
        <w:pStyle w:val="Heading1"/>
        <w:bidi/>
        <w:spacing w:before="0" w:line="360" w:lineRule="auto"/>
        <w:jc w:val="center"/>
        <w:rPr>
          <w:rFonts w:cs="Guttman Drogolin"/>
          <w:color w:val="auto"/>
          <w:sz w:val="24"/>
          <w:szCs w:val="24"/>
          <w:u w:val="single"/>
          <w:rtl/>
          <w:lang w:bidi="he-IL"/>
        </w:rPr>
      </w:pPr>
      <w:bookmarkStart w:id="504" w:name="_Toc496175747"/>
      <w:r w:rsidRPr="00882F11">
        <w:rPr>
          <w:rFonts w:cs="Guttman Drogolin" w:hint="cs"/>
          <w:color w:val="auto"/>
          <w:sz w:val="24"/>
          <w:szCs w:val="24"/>
          <w:u w:val="single"/>
          <w:rtl/>
          <w:lang w:bidi="he-IL"/>
        </w:rPr>
        <w:t>חוזר וניעור בהגעלת כלים</w:t>
      </w:r>
      <w:bookmarkEnd w:id="504"/>
    </w:p>
    <w:p w:rsidR="00F84CE8" w:rsidRPr="00882F11" w:rsidRDefault="00BB4151" w:rsidP="00F10CAB">
      <w:pPr>
        <w:tabs>
          <w:tab w:val="right" w:pos="7497"/>
        </w:tabs>
        <w:bidi/>
        <w:jc w:val="both"/>
        <w:rPr>
          <w:rFonts w:cs="Guttman Drogolin"/>
          <w:rtl/>
          <w:lang w:bidi="he-IL"/>
        </w:rPr>
      </w:pPr>
      <w:r>
        <w:rPr>
          <w:rFonts w:cs="Guttman Drogolin"/>
          <w:rtl/>
          <w:lang w:bidi="he-IL"/>
        </w:rPr>
        <w:fldChar w:fldCharType="begin"/>
      </w:r>
      <w:r>
        <w:instrText xml:space="preserve"> XE "</w:instrText>
      </w:r>
      <w:r w:rsidRPr="00567FBB">
        <w:rPr>
          <w:rFonts w:hint="cs"/>
          <w:rtl/>
          <w:lang w:bidi="he-IL"/>
        </w:rPr>
        <w:instrText>הכשר כלים</w:instrText>
      </w:r>
      <w:r w:rsidRPr="00567FBB">
        <w:rPr>
          <w:rtl/>
        </w:rPr>
        <w:instrText>:</w:instrText>
      </w:r>
      <w:r w:rsidRPr="00567FBB">
        <w:rPr>
          <w:rFonts w:hint="cs"/>
          <w:rtl/>
          <w:lang w:bidi="he-IL"/>
        </w:rPr>
        <w:instrText>חוזר וניעור בהגעלת כלים</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F8676F">
        <w:rPr>
          <w:rFonts w:hint="cs"/>
          <w:rtl/>
          <w:lang w:bidi="he-IL"/>
        </w:rPr>
        <w:instrText>חוזר וניעור</w:instrText>
      </w:r>
      <w:r w:rsidRPr="00F8676F">
        <w:rPr>
          <w:rtl/>
        </w:rPr>
        <w:instrText>:</w:instrText>
      </w:r>
      <w:r w:rsidRPr="00F8676F">
        <w:rPr>
          <w:rFonts w:hint="cs"/>
          <w:rtl/>
          <w:lang w:bidi="he-IL"/>
        </w:rPr>
        <w:instrText>בהגעלת כלים</w:instrText>
      </w:r>
      <w:r>
        <w:instrText xml:space="preserve">" </w:instrText>
      </w:r>
      <w:r>
        <w:rPr>
          <w:rFonts w:cs="Guttman Drogolin"/>
          <w:rtl/>
          <w:lang w:bidi="he-IL"/>
        </w:rPr>
        <w:fldChar w:fldCharType="end"/>
      </w:r>
      <w:r w:rsidR="00080DBD" w:rsidRPr="00882F11">
        <w:rPr>
          <w:rFonts w:cs="Guttman Drogolin" w:hint="cs"/>
          <w:rtl/>
          <w:lang w:bidi="he-IL"/>
        </w:rPr>
        <w:t xml:space="preserve">הבאנו מקודם שיטת הרא"ש שאשר להגעיל כמה כלים בני יומן בתוך יורה שיש בה ששים כנגד כל כלי ולא חיישינן לזה דחוזר וניעור. אמנם בשו"ת הרשב"א (סי' רס"ב) כתב לחוש לזה דחוזר וניעור, וכן הביא המג"א בס"ק ו'. והעיר רע"א דלכאורה </w:t>
      </w:r>
      <w:r w:rsidR="00080DBD" w:rsidRPr="00882F11">
        <w:rPr>
          <w:rFonts w:cs="Guttman Drogolin" w:hint="cs"/>
          <w:rtl/>
          <w:lang w:bidi="he-IL"/>
        </w:rPr>
        <w:lastRenderedPageBreak/>
        <w:t>אפילו א</w:t>
      </w:r>
      <w:r w:rsidR="00F10CAB" w:rsidRPr="00882F11">
        <w:rPr>
          <w:rFonts w:cs="Guttman Drogolin" w:hint="cs"/>
          <w:rtl/>
          <w:lang w:bidi="he-IL"/>
        </w:rPr>
        <w:t>ם</w:t>
      </w:r>
      <w:r w:rsidR="00080DBD" w:rsidRPr="00882F11">
        <w:rPr>
          <w:rFonts w:cs="Guttman Drogolin" w:hint="cs"/>
          <w:rtl/>
          <w:lang w:bidi="he-IL"/>
        </w:rPr>
        <w:t xml:space="preserve"> חוזר וניעור יש להתיר מדין נ"ט בר נ"ט. וע' מש"כ בזה לעיל בשיעור צ'.</w:t>
      </w:r>
      <w:r w:rsidR="00963732" w:rsidRPr="00882F11">
        <w:rPr>
          <w:rFonts w:cs="Guttman Drogolin" w:hint="cs"/>
          <w:rtl/>
          <w:lang w:bidi="he-IL"/>
        </w:rPr>
        <w:t xml:space="preserve"> </w:t>
      </w:r>
      <w:r w:rsidR="00E32E78" w:rsidRPr="00882F11">
        <w:rPr>
          <w:rFonts w:cs="Guttman Drogolin" w:hint="cs"/>
          <w:rtl/>
          <w:lang w:bidi="he-IL"/>
        </w:rPr>
        <w:t xml:space="preserve"> </w:t>
      </w:r>
    </w:p>
    <w:p w:rsidR="00183455" w:rsidRPr="00882F11" w:rsidRDefault="00183455" w:rsidP="00183455">
      <w:pPr>
        <w:tabs>
          <w:tab w:val="right" w:pos="7497"/>
        </w:tabs>
        <w:bidi/>
        <w:jc w:val="both"/>
        <w:rPr>
          <w:rFonts w:cs="Guttman Drogolin"/>
          <w:rtl/>
          <w:lang w:bidi="he-IL"/>
        </w:rPr>
        <w:sectPr w:rsidR="00183455" w:rsidRPr="00882F11" w:rsidSect="006E3B7D">
          <w:type w:val="continuous"/>
          <w:pgSz w:w="11907" w:h="16839" w:code="9"/>
          <w:pgMar w:top="1440" w:right="1440" w:bottom="1440" w:left="1440" w:header="720" w:footer="720" w:gutter="0"/>
          <w:cols w:num="2" w:space="720"/>
          <w:bidi/>
          <w:docGrid w:linePitch="360"/>
        </w:sectPr>
      </w:pPr>
    </w:p>
    <w:p w:rsidR="00183455" w:rsidRPr="00882F11" w:rsidRDefault="00183455" w:rsidP="00183455">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קל"ב</w:t>
      </w:r>
    </w:p>
    <w:p w:rsidR="006E3B7D" w:rsidRDefault="006E3B7D" w:rsidP="00183455">
      <w:pPr>
        <w:pStyle w:val="Heading1"/>
        <w:bidi/>
        <w:spacing w:before="0" w:line="360" w:lineRule="auto"/>
        <w:jc w:val="center"/>
        <w:rPr>
          <w:rFonts w:cs="Guttman Drogolin"/>
          <w:color w:val="auto"/>
          <w:sz w:val="24"/>
          <w:szCs w:val="24"/>
          <w:u w:val="single"/>
          <w:rtl/>
          <w:lang w:bidi="he-IL"/>
        </w:rPr>
        <w:sectPr w:rsidR="006E3B7D" w:rsidSect="006E3B7D">
          <w:pgSz w:w="11907" w:h="16839" w:code="9"/>
          <w:pgMar w:top="1440" w:right="1440" w:bottom="1440" w:left="1440" w:header="720" w:footer="720" w:gutter="0"/>
          <w:cols w:space="720"/>
          <w:bidi/>
          <w:docGrid w:linePitch="360"/>
        </w:sectPr>
      </w:pPr>
    </w:p>
    <w:p w:rsidR="00183455" w:rsidRPr="00882F11" w:rsidRDefault="00183455" w:rsidP="00183455">
      <w:pPr>
        <w:pStyle w:val="Heading1"/>
        <w:bidi/>
        <w:spacing w:before="0" w:line="360" w:lineRule="auto"/>
        <w:jc w:val="center"/>
        <w:rPr>
          <w:rFonts w:cs="Guttman Drogolin"/>
          <w:color w:val="auto"/>
          <w:sz w:val="24"/>
          <w:szCs w:val="24"/>
          <w:u w:val="single"/>
          <w:rtl/>
          <w:lang w:bidi="he-IL"/>
        </w:rPr>
      </w:pPr>
      <w:bookmarkStart w:id="505" w:name="_Toc496175748"/>
      <w:r w:rsidRPr="00882F11">
        <w:rPr>
          <w:rFonts w:cs="Guttman Drogolin" w:hint="cs"/>
          <w:color w:val="auto"/>
          <w:sz w:val="24"/>
          <w:szCs w:val="24"/>
          <w:u w:val="single"/>
          <w:rtl/>
          <w:lang w:bidi="he-IL"/>
        </w:rPr>
        <w:lastRenderedPageBreak/>
        <w:t>בדין הגעלת כלים שאינם בני יומן</w:t>
      </w:r>
      <w:bookmarkEnd w:id="505"/>
    </w:p>
    <w:p w:rsidR="00183455" w:rsidRPr="00882F11" w:rsidRDefault="00BB4151" w:rsidP="00183455">
      <w:pPr>
        <w:tabs>
          <w:tab w:val="right" w:pos="7497"/>
        </w:tabs>
        <w:bidi/>
        <w:jc w:val="both"/>
        <w:rPr>
          <w:rFonts w:cs="Guttman Drogolin"/>
          <w:rtl/>
          <w:lang w:bidi="he-IL"/>
        </w:rPr>
      </w:pPr>
      <w:r>
        <w:rPr>
          <w:rFonts w:cs="Guttman Drogolin"/>
          <w:rtl/>
          <w:lang w:bidi="he-IL"/>
        </w:rPr>
        <w:fldChar w:fldCharType="begin"/>
      </w:r>
      <w:r>
        <w:instrText xml:space="preserve"> XE "</w:instrText>
      </w:r>
      <w:r w:rsidRPr="00EA7E77">
        <w:rPr>
          <w:rFonts w:hint="cs"/>
          <w:rtl/>
          <w:lang w:bidi="he-IL"/>
        </w:rPr>
        <w:instrText>הכשר כלים</w:instrText>
      </w:r>
      <w:r w:rsidRPr="00EA7E77">
        <w:rPr>
          <w:rtl/>
        </w:rPr>
        <w:instrText>:</w:instrText>
      </w:r>
      <w:r w:rsidRPr="00EA7E77">
        <w:rPr>
          <w:rFonts w:hint="cs"/>
          <w:rtl/>
          <w:lang w:bidi="he-IL"/>
        </w:rPr>
        <w:instrText>שאינם בני יומן</w:instrText>
      </w:r>
      <w:r>
        <w:instrText xml:space="preserve">" </w:instrText>
      </w:r>
      <w:r>
        <w:rPr>
          <w:rFonts w:cs="Guttman Drogolin"/>
          <w:rtl/>
          <w:lang w:bidi="he-IL"/>
        </w:rPr>
        <w:fldChar w:fldCharType="end"/>
      </w:r>
      <w:r w:rsidR="00183455" w:rsidRPr="00882F11">
        <w:rPr>
          <w:rFonts w:cs="Guttman Drogolin" w:hint="cs"/>
          <w:rtl/>
          <w:lang w:bidi="he-IL"/>
        </w:rPr>
        <w:t>כתב הרמ"א בסע' ב' שמנהגינו שלא להגעיל שום כלי שהוא בן יומו, והטעם משום החשש של הגעלת ב' כלים ביחד א' של חלב וא' של בשר, ואם אין ששים כנגדם יאסרו א' את השני וכן כל מי ההגעלה</w:t>
      </w:r>
      <w:r w:rsidR="00970753" w:rsidRPr="00882F11">
        <w:rPr>
          <w:rStyle w:val="FootnoteReference"/>
          <w:rFonts w:cs="Guttman Drogolin"/>
          <w:rtl/>
          <w:lang w:bidi="he-IL"/>
        </w:rPr>
        <w:footnoteReference w:id="506"/>
      </w:r>
      <w:r w:rsidR="00183455" w:rsidRPr="00882F11">
        <w:rPr>
          <w:rFonts w:cs="Guttman Drogolin" w:hint="cs"/>
          <w:rtl/>
          <w:lang w:bidi="he-IL"/>
        </w:rPr>
        <w:t xml:space="preserve">. </w:t>
      </w:r>
      <w:r w:rsidR="00970753" w:rsidRPr="00882F11">
        <w:rPr>
          <w:rFonts w:cs="Guttman Drogolin" w:hint="cs"/>
          <w:rtl/>
          <w:lang w:bidi="he-IL"/>
        </w:rPr>
        <w:t>וכן הביא המ"ב לעיל שיש טעם מדינ</w:t>
      </w:r>
      <w:r w:rsidR="00183455" w:rsidRPr="00882F11">
        <w:rPr>
          <w:rFonts w:cs="Guttman Drogolin" w:hint="cs"/>
          <w:rtl/>
          <w:lang w:bidi="he-IL"/>
        </w:rPr>
        <w:t>א להחמיר שיהא אינו בן יומו כיון דאיכא למימר כיון דחמץ שמו עליו לא שייך לגבי' הדין של נ"ט בר נ"ט. וכידוע נחלקו הראשונים בזמן אינו בן יומו, שי"א שהוא ע"י לינת לילה בלבד, וי"א דבעינן מעל"ע, ומחמירים כשיטות דבעינן מעל"ע, אבל כשיש עוד סניף להקל אפשר להקל דע"י לינת לילה לבד הוי אינו בן יומו.</w:t>
      </w:r>
    </w:p>
    <w:p w:rsidR="00FE6703" w:rsidRPr="00882F11" w:rsidRDefault="00183455" w:rsidP="00351824">
      <w:pPr>
        <w:tabs>
          <w:tab w:val="right" w:pos="7497"/>
        </w:tabs>
        <w:bidi/>
        <w:jc w:val="both"/>
        <w:rPr>
          <w:rFonts w:cs="Guttman Drogolin"/>
          <w:rtl/>
          <w:lang w:bidi="he-IL"/>
        </w:rPr>
      </w:pPr>
      <w:r w:rsidRPr="00882F11">
        <w:rPr>
          <w:rFonts w:cs="Guttman Drogolin" w:hint="cs"/>
          <w:rtl/>
          <w:lang w:bidi="he-IL"/>
        </w:rPr>
        <w:t>ועוד דנו הראשונים</w:t>
      </w:r>
      <w:r w:rsidR="00225E07" w:rsidRPr="00882F11">
        <w:rPr>
          <w:rStyle w:val="FootnoteReference"/>
          <w:rFonts w:cs="Guttman Drogolin"/>
          <w:rtl/>
          <w:lang w:bidi="he-IL"/>
        </w:rPr>
        <w:footnoteReference w:id="507"/>
      </w:r>
      <w:r w:rsidRPr="00882F11">
        <w:rPr>
          <w:rFonts w:cs="Guttman Drogolin" w:hint="cs"/>
          <w:rtl/>
          <w:lang w:bidi="he-IL"/>
        </w:rPr>
        <w:t xml:space="preserve"> מה יהא הדין </w:t>
      </w:r>
      <w:r w:rsidR="00351824" w:rsidRPr="00882F11">
        <w:rPr>
          <w:rFonts w:cs="Guttman Drogolin" w:hint="cs"/>
          <w:rtl/>
          <w:lang w:bidi="he-IL"/>
        </w:rPr>
        <w:t>אם הכלי אינו בן יומו מבליעות של חמץ, אבל בינתיים בישלו בה מים, האם צריכים מעל"ע מזמן בישול המים, או"ד בעל"ע מזמן בישול החמת סגי. והפוסקים נחלקו בזה, י"א שבבליעה של איסור בעינן מעל"ע מבישול המים, אבל בבליעה של היתר לא בעינן אלא מעל"ע מבליעת החמץ. וי"א שגם באיסורא סגי מזמן בליעת החמץ. ובדעת המחמירים</w:t>
      </w:r>
      <w:r w:rsidR="007617C9" w:rsidRPr="00882F11">
        <w:rPr>
          <w:rFonts w:cs="Guttman Drogolin" w:hint="cs"/>
          <w:rtl/>
          <w:lang w:bidi="he-IL"/>
        </w:rPr>
        <w:t xml:space="preserve"> להצריך מעל"ע מן הבליעה של של מים היכא דבלע איסור, נחלקו הפוסקים בטעמו של דבר. י"א שהוא משום דינא דחענ"ן, שבאיסורא דאמרינן חענ"ן, אע"ג שהבליעה של איסור דמעיקרא נעשית לפגם, מ"מ המים נאסרו והם עדיין לשבח עד שיעברו מעל"ע מבליעת המים. משא"כ בהיתירא דלא אמרינן בה חענ"ן וכמש"כ התוס' בדף ע"ו ע"א של מס' ע"ז. </w:t>
      </w:r>
      <w:r w:rsidR="00225E07" w:rsidRPr="00882F11">
        <w:rPr>
          <w:rFonts w:cs="Guttman Drogolin" w:hint="cs"/>
          <w:rtl/>
          <w:lang w:bidi="he-IL"/>
        </w:rPr>
        <w:t>ואמנם הש"ך בסי' צ"ד ס"ק כ"ב</w:t>
      </w:r>
      <w:r w:rsidR="00FE6703" w:rsidRPr="00882F11">
        <w:rPr>
          <w:rFonts w:cs="Guttman Drogolin" w:hint="cs"/>
          <w:rtl/>
          <w:lang w:bidi="he-IL"/>
        </w:rPr>
        <w:t xml:space="preserve"> שכתב שאין הדבר תלוי בחענ"ן, רק הדבר תלוי אם הבליעה היא של איסור או הבליעה היא של היתר, שאם הוא של היתר אחרי שהבליעה יצא ונכנס נעשה נ"ט בר נ"ט דהיתירא שמותר, אבל בבליעה של איסור ליתי' להיתירא דנ"ט בר נ"ט ולכן אע"ג שיצא ונכנס באיסורו </w:t>
      </w:r>
      <w:r w:rsidR="00FE6703" w:rsidRPr="00882F11">
        <w:rPr>
          <w:rFonts w:cs="Guttman Drogolin" w:hint="cs"/>
          <w:rtl/>
          <w:lang w:bidi="he-IL"/>
        </w:rPr>
        <w:lastRenderedPageBreak/>
        <w:t xml:space="preserve">עומד, ומאידך כיון שיצא ונכנס הבליעה מתחדשת ולכן צריכים מעל"ע מזמן הבליעה החדשה. </w:t>
      </w:r>
    </w:p>
    <w:p w:rsidR="0035604B" w:rsidRPr="00882F11" w:rsidRDefault="00FE6703" w:rsidP="00D64E99">
      <w:pPr>
        <w:tabs>
          <w:tab w:val="right" w:pos="7497"/>
        </w:tabs>
        <w:bidi/>
        <w:jc w:val="both"/>
        <w:rPr>
          <w:rFonts w:cs="Guttman Drogolin"/>
          <w:rtl/>
          <w:lang w:bidi="he-IL"/>
        </w:rPr>
      </w:pPr>
      <w:r w:rsidRPr="00882F11">
        <w:rPr>
          <w:rFonts w:cs="Guttman Drogolin" w:hint="cs"/>
          <w:rtl/>
          <w:lang w:bidi="he-IL"/>
        </w:rPr>
        <w:t xml:space="preserve">ולכאורה הדין לענין חמץ </w:t>
      </w:r>
      <w:r w:rsidR="00D64E99">
        <w:rPr>
          <w:rFonts w:cs="Guttman Drogolin" w:hint="cs"/>
          <w:rtl/>
          <w:lang w:bidi="he-IL"/>
        </w:rPr>
        <w:t xml:space="preserve">קודם </w:t>
      </w:r>
      <w:r w:rsidRPr="00882F11">
        <w:rPr>
          <w:rFonts w:cs="Guttman Drogolin" w:hint="cs"/>
          <w:rtl/>
          <w:lang w:bidi="he-IL"/>
        </w:rPr>
        <w:t>זמן איסורו תלוי במהלכים הנ"ל. שאם הטעם שהחמירו מזמן בישול המים הוא משום דינא דחענ"ן, הא אפילו למ"ד חמץ שמו עליו ולא שייך לגבי' היתירא דנ"ט בר נ"ט אפילו קודם לזמן איסורו, מ"מ לא אמרינן בה חענ"ן</w:t>
      </w:r>
      <w:r w:rsidR="003E6F7E" w:rsidRPr="00882F11">
        <w:rPr>
          <w:rFonts w:cs="Guttman Drogolin" w:hint="cs"/>
          <w:rtl/>
          <w:lang w:bidi="he-IL"/>
        </w:rPr>
        <w:t xml:space="preserve"> וכמש"כ המג"א בסי' תמ"ז ס"ק ל"ח</w:t>
      </w:r>
      <w:r w:rsidR="003E6F7E" w:rsidRPr="00882F11">
        <w:rPr>
          <w:rStyle w:val="FootnoteReference"/>
          <w:rFonts w:cs="Guttman Drogolin"/>
          <w:rtl/>
          <w:lang w:bidi="he-IL"/>
        </w:rPr>
        <w:footnoteReference w:id="508"/>
      </w:r>
      <w:r w:rsidR="003E6F7E" w:rsidRPr="00882F11">
        <w:rPr>
          <w:rFonts w:cs="Guttman Drogolin" w:hint="cs"/>
          <w:rtl/>
          <w:lang w:bidi="he-IL"/>
        </w:rPr>
        <w:t>.</w:t>
      </w:r>
      <w:r w:rsidR="0035604B" w:rsidRPr="00882F11">
        <w:rPr>
          <w:rFonts w:cs="Guttman Drogolin" w:hint="cs"/>
          <w:rtl/>
          <w:lang w:bidi="he-IL"/>
        </w:rPr>
        <w:t xml:space="preserve"> </w:t>
      </w:r>
      <w:r w:rsidR="003E6F7E" w:rsidRPr="00882F11">
        <w:rPr>
          <w:rFonts w:cs="Guttman Drogolin" w:hint="cs"/>
          <w:rtl/>
          <w:lang w:bidi="he-IL"/>
        </w:rPr>
        <w:t>וא"כ ב</w:t>
      </w:r>
      <w:r w:rsidR="00D64E99">
        <w:rPr>
          <w:rFonts w:cs="Guttman Drogolin" w:hint="cs"/>
          <w:rtl/>
          <w:lang w:bidi="he-IL"/>
        </w:rPr>
        <w:t>א</w:t>
      </w:r>
      <w:r w:rsidR="003E6F7E" w:rsidRPr="00882F11">
        <w:rPr>
          <w:rFonts w:cs="Guttman Drogolin" w:hint="cs"/>
          <w:rtl/>
          <w:lang w:bidi="he-IL"/>
        </w:rPr>
        <w:t>מת הי</w:t>
      </w:r>
      <w:r w:rsidR="00D64E99">
        <w:rPr>
          <w:rFonts w:cs="Guttman Drogolin" w:hint="cs"/>
          <w:rtl/>
          <w:lang w:bidi="he-IL"/>
        </w:rPr>
        <w:t>'</w:t>
      </w:r>
      <w:r w:rsidR="003E6F7E" w:rsidRPr="00882F11">
        <w:rPr>
          <w:rFonts w:cs="Guttman Drogolin" w:hint="cs"/>
          <w:rtl/>
          <w:lang w:bidi="he-IL"/>
        </w:rPr>
        <w:t xml:space="preserve"> צריך להיות הדין שמונים משעת בליעת החמץ ולא בעינן משעת בליעת המים. </w:t>
      </w:r>
      <w:r w:rsidR="0035604B" w:rsidRPr="00882F11">
        <w:rPr>
          <w:rFonts w:cs="Guttman Drogolin" w:hint="cs"/>
          <w:rtl/>
          <w:lang w:bidi="he-IL"/>
        </w:rPr>
        <w:t>אבל אם הוא תלוי בדין נ"ט בר נ"ט, הא לשיטת הבה"ל ודעימי' דלא אמרינן לי' להיתירא דנ"ט בר נ"ט בחמץ קודם פסח, לכאורה יש למנות מזמן בליעת המים.</w:t>
      </w:r>
    </w:p>
    <w:p w:rsidR="00F10CAB" w:rsidRPr="00882F11" w:rsidRDefault="0035604B" w:rsidP="00434DA2">
      <w:pPr>
        <w:tabs>
          <w:tab w:val="right" w:pos="7497"/>
        </w:tabs>
        <w:bidi/>
        <w:jc w:val="both"/>
        <w:rPr>
          <w:rFonts w:cs="Guttman Drogolin"/>
          <w:rtl/>
          <w:lang w:bidi="he-IL"/>
        </w:rPr>
      </w:pPr>
      <w:r w:rsidRPr="00882F11">
        <w:rPr>
          <w:rFonts w:cs="Guttman Drogolin" w:hint="cs"/>
          <w:rtl/>
          <w:lang w:bidi="he-IL"/>
        </w:rPr>
        <w:t xml:space="preserve">והנה המג"א בסי' תנ"ב ס"ק </w:t>
      </w:r>
      <w:r w:rsidR="00D30FE0" w:rsidRPr="00882F11">
        <w:rPr>
          <w:rFonts w:cs="Guttman Drogolin" w:hint="cs"/>
          <w:rtl/>
          <w:lang w:bidi="he-IL"/>
        </w:rPr>
        <w:t>ט</w:t>
      </w:r>
      <w:r w:rsidRPr="00882F11">
        <w:rPr>
          <w:rFonts w:cs="Guttman Drogolin" w:hint="cs"/>
          <w:rtl/>
          <w:lang w:bidi="he-IL"/>
        </w:rPr>
        <w:t xml:space="preserve">' כתב </w:t>
      </w:r>
      <w:r w:rsidR="00D30FE0" w:rsidRPr="00882F11">
        <w:rPr>
          <w:rFonts w:cs="Guttman Drogolin" w:hint="cs"/>
          <w:rtl/>
          <w:lang w:bidi="he-IL"/>
        </w:rPr>
        <w:t>"</w:t>
      </w:r>
      <w:r w:rsidR="00D30FE0" w:rsidRPr="00882F11">
        <w:rPr>
          <w:rFonts w:cs="Guttman Drogolin"/>
          <w:rtl/>
          <w:lang w:bidi="he-IL"/>
        </w:rPr>
        <w:t>ואפילו שלחנות ישפשף יפה וישהה אחר השפשוף מע"ל שלא יהיו ב"י</w:t>
      </w:r>
      <w:r w:rsidR="00D30FE0" w:rsidRPr="00882F11">
        <w:rPr>
          <w:rFonts w:cs="Guttman Drogolin" w:hint="cs"/>
          <w:rtl/>
          <w:lang w:bidi="he-IL"/>
        </w:rPr>
        <w:t>"</w:t>
      </w:r>
      <w:r w:rsidR="00D30FE0" w:rsidRPr="00882F11">
        <w:rPr>
          <w:rFonts w:cs="Guttman Drogolin"/>
          <w:rtl/>
          <w:lang w:bidi="he-IL"/>
        </w:rPr>
        <w:t xml:space="preserve"> </w:t>
      </w:r>
      <w:r w:rsidRPr="00882F11">
        <w:rPr>
          <w:rFonts w:cs="Guttman Drogolin" w:hint="cs"/>
          <w:rtl/>
          <w:lang w:bidi="he-IL"/>
        </w:rPr>
        <w:t>והעתיקו המ"ב בס"ק כ'.</w:t>
      </w:r>
      <w:r w:rsidR="00D30FE0" w:rsidRPr="00882F11">
        <w:rPr>
          <w:rFonts w:cs="Guttman Drogolin" w:hint="cs"/>
          <w:rtl/>
          <w:lang w:bidi="he-IL"/>
        </w:rPr>
        <w:t xml:space="preserve"> ושם בשעה"צ ס"ק כ"ה הביא מחק יעקב דלא בעינן מעל"ע מאחרי זמן השפשוף, וסגי לן במעל"ע מזמן האחרון שנכנס בה טעם חמץ. </w:t>
      </w:r>
      <w:r w:rsidR="00163E07" w:rsidRPr="00882F11">
        <w:rPr>
          <w:rFonts w:cs="Guttman Drogolin" w:hint="cs"/>
          <w:rtl/>
          <w:lang w:bidi="he-IL"/>
        </w:rPr>
        <w:t>וכתב החק יעקב ס"ק י"ד שלא ידע טעם לחומרא זו, דמה איכפת לן בזה שהי' משהו דבוק לשולחן כיון שלא הבליע בתוכו. ולחשוש שהדיחו במים חמים ובעת ההדחה הב</w:t>
      </w:r>
      <w:r w:rsidR="00D64E99">
        <w:rPr>
          <w:rFonts w:cs="Guttman Drogolin" w:hint="cs"/>
          <w:rtl/>
          <w:lang w:bidi="he-IL"/>
        </w:rPr>
        <w:t>ל</w:t>
      </w:r>
      <w:r w:rsidR="00163E07" w:rsidRPr="00882F11">
        <w:rPr>
          <w:rFonts w:cs="Guttman Drogolin" w:hint="cs"/>
          <w:rtl/>
          <w:lang w:bidi="he-IL"/>
        </w:rPr>
        <w:t xml:space="preserve">יע אותו באיזה דבר שהי' דבוק בו הוא ג"כ דבר רחוק. </w:t>
      </w:r>
      <w:r w:rsidR="00434DA2" w:rsidRPr="00882F11">
        <w:rPr>
          <w:rFonts w:cs="Guttman Drogolin" w:hint="cs"/>
          <w:rtl/>
          <w:lang w:bidi="he-IL"/>
        </w:rPr>
        <w:t xml:space="preserve">ובדעת המג"א </w:t>
      </w:r>
      <w:r w:rsidR="00F10CAB" w:rsidRPr="00882F11">
        <w:rPr>
          <w:rFonts w:cs="Guttman Drogolin" w:hint="cs"/>
          <w:rtl/>
          <w:lang w:bidi="he-IL"/>
        </w:rPr>
        <w:t xml:space="preserve">(ע' מש"כ בזה המג"א) </w:t>
      </w:r>
      <w:r w:rsidR="00434DA2" w:rsidRPr="00882F11">
        <w:rPr>
          <w:rFonts w:cs="Guttman Drogolin" w:hint="cs"/>
          <w:rtl/>
          <w:lang w:bidi="he-IL"/>
        </w:rPr>
        <w:t>איכא למימר בתרתי, או דחשש שהמים הכניס והוציא הבליעה, וכיון דחמץ שמו עליו אין כאן משום נ"ט בר נ"ט, או"ד שהמג"א חשש שיבליע בן הדבוק בשולחן בשעת ההדחה, ואחד שאין זה חומרא יתירה. ולפי התירוץ הראשון ק"ק כיון שהמג"א בכלל לא הביא דעה בסוברת שאין בחמץ קודם זמנו משום היתירא דנ"ט בר נ"ט.</w:t>
      </w:r>
      <w:r w:rsidRPr="00882F11">
        <w:rPr>
          <w:rFonts w:cs="Guttman Drogolin" w:hint="cs"/>
          <w:rtl/>
          <w:lang w:bidi="he-IL"/>
        </w:rPr>
        <w:t xml:space="preserve"> </w:t>
      </w:r>
    </w:p>
    <w:p w:rsidR="0035224F" w:rsidRPr="00882F11" w:rsidRDefault="00F10CAB" w:rsidP="00F10CAB">
      <w:pPr>
        <w:tabs>
          <w:tab w:val="right" w:pos="7497"/>
        </w:tabs>
        <w:bidi/>
        <w:jc w:val="both"/>
        <w:rPr>
          <w:rFonts w:cs="Guttman Drogolin"/>
          <w:rtl/>
          <w:lang w:bidi="he-IL"/>
        </w:rPr>
      </w:pPr>
      <w:r w:rsidRPr="00882F11">
        <w:rPr>
          <w:rFonts w:cs="Guttman Drogolin" w:hint="cs"/>
          <w:rtl/>
          <w:lang w:bidi="he-IL"/>
        </w:rPr>
        <w:t xml:space="preserve">ולענין דינא נראה פשוט שמשום הבלבול ולא פלוג יש תמיד להמתין מעל"ע מזמן בישול המים אפילו </w:t>
      </w:r>
      <w:r w:rsidRPr="00882F11">
        <w:rPr>
          <w:rFonts w:cs="Guttman Drogolin" w:hint="cs"/>
          <w:rtl/>
          <w:lang w:bidi="he-IL"/>
        </w:rPr>
        <w:lastRenderedPageBreak/>
        <w:t>כשמגעילים בער"פ קודם זמן האיסור, וכ"ש שיש צד להחמיר בזה כיון שבחמץ לא שייך הדין של נ"ט בק נ"ט וכנ"ל. אבל בדיעבד לכאורה יש להקל בזה, וע' בס' מגילת ספר יורה דעה סי' ק"ג ס"ק ט"ו שמנה כמה טעמים לזה: א) הראשונים ופוסקים הסוברים שגם בחמץ נחשב היתירא בלע ושייך דינא דנ"ט בר נ"ט, בפרט לפמש"כ החזו"א שלענין נ"ט בר נ"ט כו"ע מודוד וכן שהמיקל כדבריהם לא הפסיד, ב) דעת הסוברים שגם באיסורא מונים מזמן בליעת האיסור ולא מזמן בישול המים, ג) דעת הסוברים שאם מונים מזמן בישול המים באיסורא היינו מדינא דחענ"ן שלא שייך בחמץ, ד) איכא למימר שאין בכלים אלא חמץ בשיעור משהו המתבטל במים וכדמבואר בתוס' ור"ן בביאור שיטת רב, ה) אפילו הסוברים שגם בכלי חמץ שיש בה כדי נתינת טעם, מ"מ אינו חוזר לכלי אלא כפי השיעור</w:t>
      </w:r>
      <w:r w:rsidR="00DB1B94" w:rsidRPr="00882F11">
        <w:rPr>
          <w:rFonts w:cs="Guttman Drogolin" w:hint="cs"/>
          <w:rtl/>
          <w:lang w:bidi="he-IL"/>
        </w:rPr>
        <w:t xml:space="preserve"> ביחס למים שנכנס בה</w:t>
      </w:r>
      <w:r w:rsidRPr="00882F11">
        <w:rPr>
          <w:rFonts w:cs="Guttman Drogolin" w:hint="cs"/>
          <w:rtl/>
          <w:lang w:bidi="he-IL"/>
        </w:rPr>
        <w:t xml:space="preserve">. </w:t>
      </w:r>
      <w:r w:rsidR="00DB1B94" w:rsidRPr="00882F11">
        <w:rPr>
          <w:rFonts w:cs="Guttman Drogolin" w:hint="cs"/>
          <w:rtl/>
          <w:lang w:bidi="he-IL"/>
        </w:rPr>
        <w:t>ויש לצרף בזה עוד כמה שיטות, והמחמיר זה אינו אלא מן המתמיהים.</w:t>
      </w:r>
      <w:r w:rsidRPr="00882F11">
        <w:rPr>
          <w:rFonts w:cs="Guttman Drogolin" w:hint="cs"/>
          <w:rtl/>
          <w:lang w:bidi="he-IL"/>
        </w:rPr>
        <w:t xml:space="preserve"> </w:t>
      </w:r>
    </w:p>
    <w:p w:rsidR="0035224F" w:rsidRPr="00882F11" w:rsidRDefault="0035224F" w:rsidP="0035224F">
      <w:pPr>
        <w:pStyle w:val="Heading1"/>
        <w:bidi/>
        <w:spacing w:before="0" w:line="360" w:lineRule="auto"/>
        <w:jc w:val="center"/>
        <w:rPr>
          <w:rFonts w:cs="Guttman Drogolin"/>
          <w:color w:val="auto"/>
          <w:sz w:val="24"/>
          <w:szCs w:val="24"/>
          <w:u w:val="single"/>
          <w:rtl/>
          <w:lang w:bidi="he-IL"/>
        </w:rPr>
      </w:pPr>
      <w:bookmarkStart w:id="506" w:name="_Toc496175749"/>
      <w:r w:rsidRPr="00882F11">
        <w:rPr>
          <w:rFonts w:cs="Guttman Drogolin" w:hint="cs"/>
          <w:color w:val="auto"/>
          <w:sz w:val="24"/>
          <w:szCs w:val="24"/>
          <w:u w:val="single"/>
          <w:rtl/>
          <w:lang w:bidi="he-IL"/>
        </w:rPr>
        <w:t>נגיעת כלי בכלי בשעת הגעלה</w:t>
      </w:r>
      <w:bookmarkEnd w:id="506"/>
    </w:p>
    <w:p w:rsidR="00662AEE" w:rsidRPr="00882F11" w:rsidRDefault="00BB4151" w:rsidP="00662AEE">
      <w:pPr>
        <w:tabs>
          <w:tab w:val="right" w:pos="7497"/>
        </w:tabs>
        <w:bidi/>
        <w:jc w:val="both"/>
        <w:rPr>
          <w:rFonts w:cs="Guttman Drogolin"/>
          <w:rtl/>
          <w:lang w:bidi="he-IL"/>
        </w:rPr>
      </w:pPr>
      <w:r>
        <w:rPr>
          <w:rFonts w:cs="Guttman Drogolin"/>
          <w:rtl/>
          <w:lang w:bidi="he-IL"/>
        </w:rPr>
        <w:fldChar w:fldCharType="begin"/>
      </w:r>
      <w:r>
        <w:instrText xml:space="preserve"> XE "</w:instrText>
      </w:r>
      <w:r w:rsidRPr="006C05FE">
        <w:rPr>
          <w:rFonts w:hint="cs"/>
          <w:rtl/>
          <w:lang w:bidi="he-IL"/>
        </w:rPr>
        <w:instrText>הכשר כלים</w:instrText>
      </w:r>
      <w:r w:rsidRPr="006C05FE">
        <w:rPr>
          <w:rtl/>
        </w:rPr>
        <w:instrText>:</w:instrText>
      </w:r>
      <w:r w:rsidRPr="006C05FE">
        <w:rPr>
          <w:rFonts w:hint="cs"/>
          <w:rtl/>
          <w:lang w:bidi="he-IL"/>
        </w:rPr>
        <w:instrText>נגיעת כלי בכלי בשעת הגעלה</w:instrText>
      </w:r>
      <w:r>
        <w:instrText xml:space="preserve">" </w:instrText>
      </w:r>
      <w:r>
        <w:rPr>
          <w:rFonts w:cs="Guttman Drogolin"/>
          <w:rtl/>
          <w:lang w:bidi="he-IL"/>
        </w:rPr>
        <w:fldChar w:fldCharType="end"/>
      </w:r>
      <w:r w:rsidR="0035224F" w:rsidRPr="00882F11">
        <w:rPr>
          <w:rFonts w:cs="Guttman Drogolin" w:hint="cs"/>
          <w:rtl/>
          <w:lang w:bidi="he-IL"/>
        </w:rPr>
        <w:t>כתב השו"ע בסע' ג' "</w:t>
      </w:r>
      <w:r w:rsidR="0035224F" w:rsidRPr="00882F11">
        <w:rPr>
          <w:rFonts w:cs="Guttman Drogolin"/>
          <w:rtl/>
          <w:lang w:bidi="he-IL"/>
        </w:rPr>
        <w:t>לא יניח כלים הרבה לתוך כלי ויגעילם יחד</w:t>
      </w:r>
      <w:r w:rsidR="0035224F" w:rsidRPr="00882F11">
        <w:rPr>
          <w:rFonts w:cs="Guttman Drogolin" w:hint="cs"/>
          <w:rtl/>
          <w:lang w:bidi="he-IL"/>
        </w:rPr>
        <w:t>" והוסיף הרמ"א</w:t>
      </w:r>
      <w:r w:rsidR="0035224F" w:rsidRPr="00882F11">
        <w:rPr>
          <w:rFonts w:cs="Guttman Drogolin"/>
          <w:rtl/>
          <w:lang w:bidi="he-IL"/>
        </w:rPr>
        <w:t xml:space="preserve"> </w:t>
      </w:r>
      <w:r w:rsidR="0035224F" w:rsidRPr="00882F11">
        <w:rPr>
          <w:rFonts w:cs="Guttman Drogolin" w:hint="cs"/>
          <w:rtl/>
          <w:lang w:bidi="he-IL"/>
        </w:rPr>
        <w:t>"</w:t>
      </w:r>
      <w:r w:rsidR="0035224F" w:rsidRPr="00882F11">
        <w:rPr>
          <w:rFonts w:cs="Guttman Drogolin"/>
          <w:rtl/>
          <w:lang w:bidi="he-IL"/>
        </w:rPr>
        <w:t>אם נוגעים זה בזה</w:t>
      </w:r>
      <w:r w:rsidR="0035224F" w:rsidRPr="00882F11">
        <w:rPr>
          <w:rFonts w:cs="Guttman Drogolin" w:hint="cs"/>
          <w:rtl/>
          <w:lang w:bidi="he-IL"/>
        </w:rPr>
        <w:t>". ובסע' ד' "</w:t>
      </w:r>
      <w:r w:rsidR="0035224F" w:rsidRPr="00882F11">
        <w:rPr>
          <w:rFonts w:cs="Guttman Drogolin"/>
          <w:rtl/>
          <w:lang w:bidi="he-IL"/>
        </w:rPr>
        <w:t>אם מגעיל בצבת יגלגל הכלי דאם לא כן במקום הצבת לא סליק דיקולא דמיא</w:t>
      </w:r>
      <w:r w:rsidR="0035224F" w:rsidRPr="00882F11">
        <w:rPr>
          <w:rFonts w:cs="Guttman Drogolin" w:hint="cs"/>
          <w:rtl/>
          <w:lang w:bidi="he-IL"/>
        </w:rPr>
        <w:t>". ומבואר שאם נוגע כלי לכלי בשעת ההגעלה אין ההגעלה מכשיר את מקום הנגיעה. וע' בב"י בשם המרדכי שהוא המקור לסע' ג' שביאר דאע"ג שלענים טבילה יש לנו כלל שאין נגיעת כלי חוצץ אם קדם מים לנגיעה כיון שהמים מקדמין</w:t>
      </w:r>
      <w:r w:rsidR="00662AEE" w:rsidRPr="00882F11">
        <w:rPr>
          <w:rStyle w:val="FootnoteReference"/>
          <w:rFonts w:cs="Guttman Drogolin"/>
          <w:rtl/>
          <w:lang w:bidi="he-IL"/>
        </w:rPr>
        <w:footnoteReference w:id="509"/>
      </w:r>
      <w:r w:rsidR="0035224F" w:rsidRPr="00882F11">
        <w:rPr>
          <w:rFonts w:cs="Guttman Drogolin" w:hint="cs"/>
          <w:rtl/>
          <w:lang w:bidi="he-IL"/>
        </w:rPr>
        <w:t>, מ"מ לא מהני הסברא דמים מקדמין בהגעלת כלים. ונראה בטעמו של דבר, דכיון שהטעם דמהני מים מקדמין בטבילה משום שתמיד יש שכבה דקה של מים במקום הנגיעה, אין מועיל שכבה דקה זו לעשות הגעלה. וגם בטבילה הרי לא מהני להכשיר המים שבמקום הנגיעה אם היו מים שאובים מקודם</w:t>
      </w:r>
      <w:r w:rsidR="00662AEE" w:rsidRPr="00882F11">
        <w:rPr>
          <w:rFonts w:cs="Guttman Drogolin" w:hint="cs"/>
          <w:rtl/>
          <w:lang w:bidi="he-IL"/>
        </w:rPr>
        <w:t xml:space="preserve"> וכמו שביאר הט"ז בסי' ק"כ.</w:t>
      </w:r>
    </w:p>
    <w:p w:rsidR="0035224F" w:rsidRPr="00882F11" w:rsidRDefault="00662AEE" w:rsidP="00662AEE">
      <w:pPr>
        <w:tabs>
          <w:tab w:val="right" w:pos="7497"/>
        </w:tabs>
        <w:bidi/>
        <w:jc w:val="both"/>
        <w:rPr>
          <w:rFonts w:cs="Guttman Drogolin"/>
          <w:rtl/>
          <w:lang w:bidi="he-IL"/>
        </w:rPr>
      </w:pPr>
      <w:r w:rsidRPr="00882F11">
        <w:rPr>
          <w:rFonts w:cs="Guttman Drogolin" w:hint="cs"/>
          <w:rtl/>
          <w:lang w:bidi="he-IL"/>
        </w:rPr>
        <w:lastRenderedPageBreak/>
        <w:t xml:space="preserve">והנה לכאורה צ"ע, דהא מבואר בפוסקים שיש להניח הכלים שמגעיל בהם בתוך כלי מנוקב וכדומה. ולכאורה גם במונח בתוך כלי מנוקב הרי הכלי מונח ע"ג הכלי במקומות מסוימות, ואיך מהני הגעלה כה"ג. ולא משמע כלל שגם בזה צריך לגלגל הכלי. ולכאורה הי' משמע שלא אמרו שלא מהני אלא מים מקדמים, אבל אם מחזיק הכלי רפוי, שבהלכות טבילה הרי הוא כשר ולא בעינן לי' לכללא דמים מקדמים, בכה"ג אמרינן דמהני הגעלה. וכל מה שאמרו דלא מהני, היינו כשנוגע בחוזק, כגון בצבת, או כשיש כמה כלים א' על גבי השני. אבל מונח ע"ג כלי מונח שפיר מהני, וכן אפילו בכלי שאינו מנוקב מבואר דמהני אם המים מעלין רתיחות, והוא ג"כ מטעם הנ"ל. </w:t>
      </w:r>
      <w:r w:rsidR="0035224F" w:rsidRPr="00882F11">
        <w:rPr>
          <w:rFonts w:cs="Guttman Drogolin" w:hint="cs"/>
          <w:rtl/>
          <w:lang w:bidi="he-IL"/>
        </w:rPr>
        <w:t xml:space="preserve">  </w:t>
      </w:r>
    </w:p>
    <w:p w:rsidR="00662AEE" w:rsidRPr="00882F11" w:rsidRDefault="00662AEE" w:rsidP="00662AEE">
      <w:pPr>
        <w:pStyle w:val="Heading1"/>
        <w:bidi/>
        <w:spacing w:before="0" w:line="360" w:lineRule="auto"/>
        <w:jc w:val="center"/>
        <w:rPr>
          <w:rFonts w:cs="Guttman Drogolin"/>
          <w:color w:val="auto"/>
          <w:sz w:val="24"/>
          <w:szCs w:val="24"/>
          <w:u w:val="single"/>
          <w:rtl/>
          <w:lang w:bidi="he-IL"/>
        </w:rPr>
      </w:pPr>
      <w:bookmarkStart w:id="507" w:name="_Toc496175750"/>
      <w:r w:rsidRPr="00882F11">
        <w:rPr>
          <w:rFonts w:cs="Guttman Drogolin" w:hint="cs"/>
          <w:color w:val="auto"/>
          <w:sz w:val="24"/>
          <w:szCs w:val="24"/>
          <w:u w:val="single"/>
          <w:rtl/>
          <w:lang w:bidi="he-IL"/>
        </w:rPr>
        <w:t>חמי טבריה</w:t>
      </w:r>
      <w:bookmarkEnd w:id="507"/>
    </w:p>
    <w:p w:rsidR="00BA6FA9" w:rsidRPr="00882F11" w:rsidRDefault="00BB4151" w:rsidP="00BA6FA9">
      <w:pPr>
        <w:tabs>
          <w:tab w:val="right" w:pos="7497"/>
        </w:tabs>
        <w:bidi/>
        <w:jc w:val="both"/>
        <w:rPr>
          <w:rFonts w:cs="Guttman Drogolin"/>
          <w:rtl/>
          <w:lang w:bidi="he-IL"/>
        </w:rPr>
      </w:pPr>
      <w:r>
        <w:rPr>
          <w:rFonts w:cs="Guttman Drogolin"/>
          <w:rtl/>
          <w:lang w:bidi="he-IL"/>
        </w:rPr>
        <w:fldChar w:fldCharType="begin"/>
      </w:r>
      <w:r>
        <w:instrText xml:space="preserve"> XE "</w:instrText>
      </w:r>
      <w:r w:rsidRPr="00130D9A">
        <w:rPr>
          <w:rFonts w:hint="cs"/>
          <w:rtl/>
          <w:lang w:bidi="he-IL"/>
        </w:rPr>
        <w:instrText>הכשר כלים</w:instrText>
      </w:r>
      <w:r w:rsidRPr="00130D9A">
        <w:rPr>
          <w:rtl/>
        </w:rPr>
        <w:instrText>:</w:instrText>
      </w:r>
      <w:r w:rsidRPr="00130D9A">
        <w:rPr>
          <w:rFonts w:hint="cs"/>
          <w:rtl/>
          <w:lang w:bidi="he-IL"/>
        </w:rPr>
        <w:instrText>הגעלה בחמי טברי'</w:instrText>
      </w:r>
      <w:r>
        <w:instrText xml:space="preserve">" </w:instrText>
      </w:r>
      <w:r>
        <w:rPr>
          <w:rFonts w:cs="Guttman Drogolin"/>
          <w:rtl/>
          <w:lang w:bidi="he-IL"/>
        </w:rPr>
        <w:fldChar w:fldCharType="end"/>
      </w:r>
      <w:r w:rsidR="007372C0" w:rsidRPr="00882F11">
        <w:rPr>
          <w:rFonts w:cs="Guttman Drogolin" w:hint="cs"/>
          <w:rtl/>
          <w:lang w:bidi="he-IL"/>
        </w:rPr>
        <w:t xml:space="preserve">כתב הרמ"א </w:t>
      </w:r>
      <w:r w:rsidR="00662AEE" w:rsidRPr="00882F11">
        <w:rPr>
          <w:rFonts w:cs="Guttman Drogolin" w:hint="cs"/>
          <w:rtl/>
          <w:lang w:bidi="he-IL"/>
        </w:rPr>
        <w:t xml:space="preserve">בסע' ה' </w:t>
      </w:r>
      <w:r w:rsidR="007372C0" w:rsidRPr="00882F11">
        <w:rPr>
          <w:rFonts w:cs="Guttman Drogolin" w:hint="cs"/>
          <w:rtl/>
          <w:lang w:bidi="he-IL"/>
        </w:rPr>
        <w:t>דאע"ג שאין מגעילים כלי שבלע חמץ ע"י בישול מחום האש בחמי טבריה, מ"מ מגעילים דבר שבלע ע"י חמי טבריה בחמי טבריה. והגהות רע"א העיר שאין חידוש בזה שיכול להגעיל בחמי טבריה, והעיר שמן הארחות חיים משמע שיש חידוש שיכול להגעיל בחמי האור, דהו"א דלא מהני לחמי טבריה אלא חמי טבריה, וקמ"ל דחמי האור מהני לכולם. ולולא דבריו לכאורה הי' אפשר לומר שיש חידוש דמהני חמי טבריה אע"ג שלא נכלע אלא בחמי טבריה, דהא שיטת ר' דוד ועוד שאין הגעלה אלא בכלי ראשון שע"ג האש ומעלה רתיחות</w:t>
      </w:r>
      <w:r w:rsidR="00BA6FA9" w:rsidRPr="00882F11">
        <w:rPr>
          <w:rFonts w:cs="Guttman Drogolin" w:hint="cs"/>
          <w:rtl/>
          <w:lang w:bidi="he-IL"/>
        </w:rPr>
        <w:t xml:space="preserve"> אפילו אם לא נבלע אלא שלא ע"ג האש וכדומה, וא"כ לכאורה לשיטתם איכא למימר דהה"נ דבעינן חמי האור, ולא סגי לן בחמי טברי' אע"ג שלא בלע אלא בחום שמחמי טבריה. וקמ"ל שלא ומהני חמי טבריה לדבר שנבלע ע"י חמי טבריה, וכן לא קיי"ל כד' דוד בזה וכמש"כ לעיל</w:t>
      </w:r>
      <w:r w:rsidR="00BA6FA9" w:rsidRPr="00882F11">
        <w:rPr>
          <w:rStyle w:val="FootnoteReference"/>
          <w:rFonts w:cs="Guttman Drogolin"/>
          <w:rtl/>
          <w:lang w:bidi="he-IL"/>
        </w:rPr>
        <w:footnoteReference w:id="510"/>
      </w:r>
      <w:r w:rsidR="00BA6FA9" w:rsidRPr="00882F11">
        <w:rPr>
          <w:rFonts w:cs="Guttman Drogolin" w:hint="cs"/>
          <w:rtl/>
          <w:lang w:bidi="he-IL"/>
        </w:rPr>
        <w:t>.</w:t>
      </w:r>
    </w:p>
    <w:p w:rsidR="00662AEE" w:rsidRPr="00882F11" w:rsidRDefault="00BA6FA9" w:rsidP="00BA6FA9">
      <w:pPr>
        <w:tabs>
          <w:tab w:val="right" w:pos="7497"/>
        </w:tabs>
        <w:bidi/>
        <w:jc w:val="both"/>
        <w:rPr>
          <w:rFonts w:cs="Guttman Drogolin"/>
          <w:rtl/>
          <w:lang w:bidi="he-IL"/>
        </w:rPr>
      </w:pPr>
      <w:r w:rsidRPr="00882F11">
        <w:rPr>
          <w:rFonts w:cs="Guttman Drogolin" w:hint="cs"/>
          <w:rtl/>
          <w:lang w:bidi="he-IL"/>
        </w:rPr>
        <w:t>ונראה להדגיש שהסכמת הפוסקים שחמי חשמל נחשבים כחמי האור</w:t>
      </w:r>
      <w:r w:rsidRPr="00882F11">
        <w:rPr>
          <w:rStyle w:val="FootnoteReference"/>
          <w:rFonts w:cs="Guttman Drogolin"/>
          <w:rtl/>
          <w:lang w:bidi="he-IL"/>
        </w:rPr>
        <w:footnoteReference w:id="511"/>
      </w:r>
      <w:r w:rsidRPr="00882F11">
        <w:rPr>
          <w:rFonts w:cs="Guttman Drogolin" w:hint="cs"/>
          <w:rtl/>
          <w:lang w:bidi="he-IL"/>
        </w:rPr>
        <w:t xml:space="preserve">. וטעמם שהרי המתכת </w:t>
      </w:r>
      <w:r w:rsidRPr="00882F11">
        <w:rPr>
          <w:rFonts w:cs="Guttman Drogolin" w:hint="cs"/>
          <w:rtl/>
          <w:lang w:bidi="he-IL"/>
        </w:rPr>
        <w:lastRenderedPageBreak/>
        <w:t xml:space="preserve">מתחממת ע"י האור, וכן מתאדם אלמלא הוא מונח בתוך מים.      </w:t>
      </w:r>
    </w:p>
    <w:p w:rsidR="00BA6FA9" w:rsidRPr="00882F11" w:rsidRDefault="00BA6FA9" w:rsidP="00BA6FA9">
      <w:pPr>
        <w:pStyle w:val="Heading1"/>
        <w:bidi/>
        <w:spacing w:before="0" w:line="360" w:lineRule="auto"/>
        <w:jc w:val="center"/>
        <w:rPr>
          <w:rFonts w:cs="Guttman Drogolin"/>
          <w:color w:val="auto"/>
          <w:sz w:val="24"/>
          <w:szCs w:val="24"/>
          <w:u w:val="single"/>
          <w:rtl/>
          <w:lang w:bidi="he-IL"/>
        </w:rPr>
      </w:pPr>
      <w:bookmarkStart w:id="508" w:name="_Toc496175751"/>
      <w:r w:rsidRPr="00882F11">
        <w:rPr>
          <w:rFonts w:cs="Guttman Drogolin" w:hint="cs"/>
          <w:color w:val="auto"/>
          <w:sz w:val="24"/>
          <w:szCs w:val="24"/>
          <w:u w:val="single"/>
          <w:rtl/>
          <w:lang w:bidi="he-IL"/>
        </w:rPr>
        <w:t>באיזה משקין אפשר להגעיל</w:t>
      </w:r>
      <w:bookmarkEnd w:id="508"/>
    </w:p>
    <w:p w:rsidR="00695A45" w:rsidRPr="00882F11" w:rsidRDefault="00BB4151" w:rsidP="00BB4151">
      <w:pPr>
        <w:tabs>
          <w:tab w:val="right" w:pos="7497"/>
        </w:tabs>
        <w:bidi/>
        <w:jc w:val="both"/>
        <w:rPr>
          <w:rFonts w:cs="Guttman Drogolin"/>
          <w:rtl/>
        </w:rPr>
      </w:pPr>
      <w:r>
        <w:rPr>
          <w:rFonts w:cs="Guttman Drogolin"/>
          <w:rtl/>
          <w:lang w:bidi="he-IL"/>
        </w:rPr>
        <w:fldChar w:fldCharType="begin"/>
      </w:r>
      <w:r>
        <w:instrText xml:space="preserve"> XE "</w:instrText>
      </w:r>
      <w:r w:rsidRPr="00C20934">
        <w:rPr>
          <w:rFonts w:hint="cs"/>
          <w:rtl/>
          <w:lang w:bidi="he-IL"/>
        </w:rPr>
        <w:instrText>הכשר כלים</w:instrText>
      </w:r>
      <w:r w:rsidRPr="00C20934">
        <w:rPr>
          <w:rtl/>
        </w:rPr>
        <w:instrText>:</w:instrText>
      </w:r>
      <w:r w:rsidRPr="00C20934">
        <w:rPr>
          <w:rFonts w:hint="cs"/>
          <w:rtl/>
          <w:lang w:bidi="he-IL"/>
        </w:rPr>
        <w:instrText>באיזה משקין אפשר להגעיל</w:instrText>
      </w:r>
      <w:r>
        <w:instrText xml:space="preserve">" </w:instrText>
      </w:r>
      <w:r>
        <w:rPr>
          <w:rFonts w:cs="Guttman Drogolin"/>
          <w:rtl/>
          <w:lang w:bidi="he-IL"/>
        </w:rPr>
        <w:fldChar w:fldCharType="end"/>
      </w:r>
      <w:r w:rsidR="00165C8E" w:rsidRPr="00882F11">
        <w:rPr>
          <w:rFonts w:cs="Guttman Drogolin" w:hint="cs"/>
          <w:rtl/>
          <w:lang w:bidi="he-IL"/>
        </w:rPr>
        <w:t>בג</w:t>
      </w:r>
      <w:r>
        <w:rPr>
          <w:rFonts w:cs="Guttman Drogolin" w:hint="cs"/>
          <w:rtl/>
          <w:lang w:bidi="he-IL"/>
        </w:rPr>
        <w:t>מ</w:t>
      </w:r>
      <w:r w:rsidR="00165C8E" w:rsidRPr="00882F11">
        <w:rPr>
          <w:rFonts w:cs="Guttman Drogolin" w:hint="cs"/>
          <w:rtl/>
          <w:lang w:bidi="he-IL"/>
        </w:rPr>
        <w:t>' ש</w:t>
      </w:r>
      <w:r w:rsidR="00740866" w:rsidRPr="00882F11">
        <w:rPr>
          <w:rFonts w:cs="Guttman Drogolin" w:hint="cs"/>
          <w:rtl/>
          <w:lang w:bidi="he-IL"/>
        </w:rPr>
        <w:t xml:space="preserve">במס' חולין דף ק"ח ע"ב </w:t>
      </w:r>
      <w:r w:rsidR="00165C8E" w:rsidRPr="00882F11">
        <w:rPr>
          <w:rFonts w:cs="Guttman Drogolin" w:hint="cs"/>
          <w:rtl/>
          <w:lang w:bidi="he-IL"/>
        </w:rPr>
        <w:t>מובא דסבר רב שבחתיכת בשר שנפל לתוך יורה של חלב אין החלב נאסר משום דינא דמין במינו לא בטל. ושואלת הגמ' למה לא אמרינן שהחלב נכנס לבשר ונאסר, ושוב נכנס החלב שנאסר לתוך הקדרה כדי לאוסרו. ולמסקנא קאמר הגמ' שהטעם שאינו אוסר משום דמיירי בכה"ג</w:t>
      </w:r>
      <w:r w:rsidR="00165C8E" w:rsidRPr="00882F11">
        <w:rPr>
          <w:rFonts w:cs="Guttman Drogolin"/>
          <w:rtl/>
          <w:lang w:bidi="he-IL"/>
        </w:rPr>
        <w:t xml:space="preserve"> שנפל לתוך יורה רותחת דמבלע בלע מפלט לא פלט</w:t>
      </w:r>
      <w:r w:rsidR="00165C8E" w:rsidRPr="00882F11">
        <w:rPr>
          <w:rFonts w:cs="Guttman Drogolin" w:hint="cs"/>
          <w:rtl/>
          <w:lang w:bidi="he-IL"/>
        </w:rPr>
        <w:t>. ושואלים הראשונים שלכאורה חזינן שאין זה נכון, וכן כל הגעלת כלים בנוי על זה דפלט. והרמב"ן שם בחידושים כתב ביישוב קושיא זו</w:t>
      </w:r>
      <w:r w:rsidR="007E53D8" w:rsidRPr="00882F11">
        <w:rPr>
          <w:rFonts w:cs="Guttman Drogolin" w:hint="cs"/>
          <w:rtl/>
          <w:lang w:bidi="he-IL"/>
        </w:rPr>
        <w:t xml:space="preserve"> שיש כמה מיני משקים, וכל א' יש לו טבע שונה, וטבע החלב להיות </w:t>
      </w:r>
      <w:r w:rsidR="007E53D8" w:rsidRPr="00882F11">
        <w:rPr>
          <w:rFonts w:cs="Guttman Drogolin"/>
          <w:rtl/>
          <w:lang w:bidi="he-IL"/>
        </w:rPr>
        <w:t>מחליק ונבלע בבשר ואינו מפליט את הבשר</w:t>
      </w:r>
      <w:r w:rsidR="007E53D8" w:rsidRPr="00882F11">
        <w:rPr>
          <w:rFonts w:cs="Guttman Drogolin" w:hint="cs"/>
          <w:rtl/>
          <w:lang w:bidi="he-IL"/>
        </w:rPr>
        <w:t xml:space="preserve">, ומשו"ה לא יצא חלב שנאסר מן החתיכה והחלב של היורה נשאר בהיתירו. מים הוא להיפך, שהוא מפליט ואינו מבליע. וע"פ זה כתב הרמב"ן שאין להגעיל כלים אלא במים, אבל שאר משקין יש לחשוש שאינן מפליטים. זאת ועוד שאם מגעיל במים, אין צורך להגעיל היורה קודם אע"ג שיש </w:t>
      </w:r>
      <w:r w:rsidR="00695A45" w:rsidRPr="00882F11">
        <w:rPr>
          <w:rFonts w:cs="Guttman Drogolin" w:hint="cs"/>
          <w:rtl/>
          <w:lang w:bidi="he-IL"/>
        </w:rPr>
        <w:t>בה בליעות של איסור שהן בני יומן, ובזה ביאר הגמ' שבמס' ע"ז ע"ו ע"א שמגעילים יורה גדולה ע"י הגעלת מים בתוכו אע"ג שבדר"כ אין ששים כנגד במים שתוך הכלי כנגד דפני הכלי, שהוא משום שהמים יש לו תכונה שמפליט ואינו מבליע</w:t>
      </w:r>
      <w:r w:rsidR="00C830EB" w:rsidRPr="00882F11">
        <w:rPr>
          <w:rStyle w:val="FootnoteReference"/>
          <w:rFonts w:cs="Guttman Drogolin"/>
          <w:rtl/>
          <w:lang w:bidi="he-IL"/>
        </w:rPr>
        <w:footnoteReference w:id="512"/>
      </w:r>
      <w:r w:rsidR="00695A45" w:rsidRPr="00882F11">
        <w:rPr>
          <w:rFonts w:cs="Guttman Drogolin" w:hint="cs"/>
          <w:rtl/>
          <w:lang w:bidi="he-IL"/>
        </w:rPr>
        <w:t>. וכבר הבאנו</w:t>
      </w:r>
      <w:r w:rsidR="00695A45" w:rsidRPr="00882F11">
        <w:rPr>
          <w:rStyle w:val="FootnoteReference"/>
          <w:rFonts w:cs="Guttman Drogolin"/>
          <w:rtl/>
          <w:lang w:bidi="he-IL"/>
        </w:rPr>
        <w:footnoteReference w:id="513"/>
      </w:r>
      <w:r w:rsidR="00695A45" w:rsidRPr="00882F11">
        <w:rPr>
          <w:rFonts w:cs="Guttman Drogolin" w:hint="cs"/>
          <w:rtl/>
          <w:lang w:bidi="he-IL"/>
        </w:rPr>
        <w:t xml:space="preserve"> כה"ג מחי' הריטב"א שם במס' ע"ז. </w:t>
      </w:r>
      <w:r w:rsidR="00F33AB4" w:rsidRPr="00882F11">
        <w:rPr>
          <w:rFonts w:cs="Guttman Drogolin" w:hint="cs"/>
          <w:rtl/>
          <w:lang w:bidi="he-IL"/>
        </w:rPr>
        <w:t xml:space="preserve">והוסיף הרמב"ן דאעפ"כ, אם נפל חתיכת נבילה לתוך יורה רותחת ושוב עירב היורה עם הכף, הכף יאסר, ולא אמרינן כיון שאין תכונת המים להבליע הרי הוא בהיתירו. והטעם משום </w:t>
      </w:r>
      <w:r w:rsidR="00F33AB4" w:rsidRPr="00882F11">
        <w:rPr>
          <w:rFonts w:cs="Guttman Drogolin"/>
          <w:rtl/>
          <w:lang w:bidi="he-IL"/>
        </w:rPr>
        <w:t xml:space="preserve">שיש בה ציר ורוטב של בשר הרבה </w:t>
      </w:r>
      <w:r w:rsidR="00F33AB4" w:rsidRPr="00882F11">
        <w:rPr>
          <w:rFonts w:cs="Guttman Drogolin" w:hint="cs"/>
          <w:rtl/>
          <w:lang w:bidi="he-IL"/>
        </w:rPr>
        <w:t xml:space="preserve">ולכן </w:t>
      </w:r>
      <w:r w:rsidR="00F33AB4" w:rsidRPr="00882F11">
        <w:rPr>
          <w:rFonts w:cs="Guttman Drogolin"/>
          <w:rtl/>
          <w:lang w:bidi="he-IL"/>
        </w:rPr>
        <w:t xml:space="preserve">אין כח </w:t>
      </w:r>
      <w:r w:rsidR="00F33AB4" w:rsidRPr="00882F11">
        <w:rPr>
          <w:rFonts w:cs="Guttman Drogolin" w:hint="cs"/>
          <w:rtl/>
          <w:lang w:bidi="he-IL"/>
        </w:rPr>
        <w:t>ל</w:t>
      </w:r>
      <w:r w:rsidR="00F33AB4" w:rsidRPr="00882F11">
        <w:rPr>
          <w:rFonts w:cs="Guttman Drogolin"/>
          <w:rtl/>
          <w:lang w:bidi="he-IL"/>
        </w:rPr>
        <w:t>מים במקומו להפליט ואלו מבליעין אותה</w:t>
      </w:r>
      <w:r w:rsidR="00F33AB4" w:rsidRPr="00882F11">
        <w:rPr>
          <w:rFonts w:cs="Guttman Drogolin" w:hint="cs"/>
          <w:rtl/>
          <w:lang w:bidi="he-IL"/>
        </w:rPr>
        <w:t xml:space="preserve">. והוסיף שלפי זה </w:t>
      </w:r>
      <w:r w:rsidR="00F33AB4" w:rsidRPr="00882F11">
        <w:rPr>
          <w:rFonts w:cs="Guttman Drogolin"/>
          <w:rtl/>
          <w:lang w:bidi="he-IL"/>
        </w:rPr>
        <w:t xml:space="preserve">צריך להזהר שלא להגעיל כלים </w:t>
      </w:r>
      <w:r w:rsidR="00F33AB4" w:rsidRPr="00882F11">
        <w:rPr>
          <w:rFonts w:cs="Guttman Drogolin"/>
          <w:rtl/>
          <w:lang w:bidi="he-IL"/>
        </w:rPr>
        <w:lastRenderedPageBreak/>
        <w:t>יותר מדאי ביורה אחת שמא ירבה פליטת הכלים ואותו שומן רבה על המים ומבטלין אותן ומתישין כחו ואוסרין את הכלים</w:t>
      </w:r>
      <w:r w:rsidR="00F33AB4" w:rsidRPr="00882F11">
        <w:rPr>
          <w:rFonts w:cs="Guttman Drogolin" w:hint="cs"/>
          <w:rtl/>
          <w:lang w:bidi="he-IL"/>
        </w:rPr>
        <w:t xml:space="preserve"> (אלא שהעיר שיש מקום לחלק בין</w:t>
      </w:r>
      <w:r w:rsidR="00F33AB4" w:rsidRPr="00882F11">
        <w:rPr>
          <w:rFonts w:cs="Guttman Drogolin"/>
          <w:rtl/>
          <w:lang w:bidi="he-IL"/>
        </w:rPr>
        <w:t xml:space="preserve"> כח </w:t>
      </w:r>
      <w:r w:rsidR="00F33AB4" w:rsidRPr="00882F11">
        <w:rPr>
          <w:rFonts w:cs="Guttman Drogolin" w:hint="cs"/>
          <w:rtl/>
          <w:lang w:bidi="he-IL"/>
        </w:rPr>
        <w:t>ה</w:t>
      </w:r>
      <w:r w:rsidR="00F33AB4" w:rsidRPr="00882F11">
        <w:rPr>
          <w:rFonts w:cs="Guttman Drogolin"/>
          <w:rtl/>
          <w:lang w:bidi="he-IL"/>
        </w:rPr>
        <w:t xml:space="preserve">פליטה </w:t>
      </w:r>
      <w:r w:rsidR="00F33AB4" w:rsidRPr="00882F11">
        <w:rPr>
          <w:rFonts w:cs="Guttman Drogolin" w:hint="cs"/>
          <w:rtl/>
          <w:lang w:bidi="he-IL"/>
        </w:rPr>
        <w:t>ל</w:t>
      </w:r>
      <w:r w:rsidR="00F33AB4" w:rsidRPr="00882F11">
        <w:rPr>
          <w:rFonts w:cs="Guttman Drogolin"/>
          <w:rtl/>
          <w:lang w:bidi="he-IL"/>
        </w:rPr>
        <w:t>כח הציר והרוטב</w:t>
      </w:r>
      <w:r w:rsidR="00F33AB4" w:rsidRPr="00882F11">
        <w:rPr>
          <w:rFonts w:cs="Guttman Drogolin" w:hint="cs"/>
          <w:rtl/>
          <w:lang w:bidi="he-IL"/>
        </w:rPr>
        <w:t>).</w:t>
      </w:r>
    </w:p>
    <w:p w:rsidR="0023405C" w:rsidRPr="00882F11" w:rsidRDefault="00695A45" w:rsidP="00C830EB">
      <w:pPr>
        <w:tabs>
          <w:tab w:val="right" w:pos="7497"/>
        </w:tabs>
        <w:bidi/>
        <w:jc w:val="both"/>
        <w:rPr>
          <w:rFonts w:cs="Guttman Drogolin"/>
          <w:rtl/>
          <w:lang w:bidi="he-IL"/>
        </w:rPr>
      </w:pPr>
      <w:r w:rsidRPr="00882F11">
        <w:rPr>
          <w:rFonts w:cs="Guttman Drogolin" w:hint="cs"/>
          <w:rtl/>
          <w:lang w:bidi="he-IL"/>
        </w:rPr>
        <w:t xml:space="preserve">והנה בשו"ת הרשב"א סי' תק"ג כתב ששאל את פי הרמב"ן כמה שאלות על דבריו. </w:t>
      </w:r>
      <w:r w:rsidR="00F33AB4" w:rsidRPr="00882F11">
        <w:rPr>
          <w:rFonts w:cs="Guttman Drogolin" w:hint="cs"/>
          <w:rtl/>
          <w:lang w:bidi="he-IL"/>
        </w:rPr>
        <w:t xml:space="preserve">חדא שאם כדבריו בהא דיורה שיש בה נבילה, לכאורה הי' צריך להיות הדין שאחרי שהגעיל כלי ויש בליעות של הכלי בתוך המים, שאותם </w:t>
      </w:r>
      <w:r w:rsidR="00C830EB" w:rsidRPr="00882F11">
        <w:rPr>
          <w:rFonts w:cs="Guttman Drogolin" w:hint="cs"/>
          <w:rtl/>
          <w:lang w:bidi="he-IL"/>
        </w:rPr>
        <w:t xml:space="preserve">בליעות יגרמו שהמים יבליע לתוך היורה. ונראה שקושיא זו מתורצת לפי דברי הרמב"ן בחידושיו הנ"ל, שרק ריבוי בליעות יעכבו ולא רק בליעות שמכלי א', וכן שאם יש ריבוי כלים ואה"נ יאסרו ההגעלה (וכ"ש לפי מה שצידד הרמב"ן אולי לומר דבליעות שבתוך כלים שאני). ועוד הקשה הרשב"א שהרי במס' זבחים דף צ"ו ע"ב מבואר שיש גזה"כ שלא שייך מריקה ושטיפה אלא במים ולא ביין, והגמ' מחלקת בהדיא בין קדשים לתרומה, ושבתרומה שפיר שייך להגעיל ע"י יין. הרי שמפורש שאפשר להגעיל בשאר משקין חוץ מיין. ובחי' הרמב"ן הנ"ל התייחס לזה, ותי' די"ל דלא קיי"ל כתי' זה בגמ', או"ד דיין שאני משמן שומן וחומץ. </w:t>
      </w:r>
    </w:p>
    <w:p w:rsidR="00436732" w:rsidRPr="00882F11" w:rsidRDefault="0023405C" w:rsidP="0023405C">
      <w:pPr>
        <w:tabs>
          <w:tab w:val="right" w:pos="7497"/>
        </w:tabs>
        <w:bidi/>
        <w:jc w:val="both"/>
        <w:rPr>
          <w:rFonts w:cs="Guttman Drogolin"/>
          <w:rtl/>
          <w:lang w:bidi="he-IL"/>
        </w:rPr>
      </w:pPr>
      <w:r w:rsidRPr="00882F11">
        <w:rPr>
          <w:rFonts w:cs="Guttman Drogolin" w:hint="cs"/>
          <w:rtl/>
          <w:lang w:bidi="he-IL"/>
        </w:rPr>
        <w:t xml:space="preserve">והנה הב"י הביא מארחות חיים (הלכות חו"מ סי' צ"ב) </w:t>
      </w:r>
      <w:r w:rsidRPr="00882F11">
        <w:rPr>
          <w:rFonts w:cs="Guttman Drogolin"/>
          <w:rtl/>
          <w:lang w:bidi="he-IL"/>
        </w:rPr>
        <w:t>שכל זה לכתחלה אבל בדיעבד מותר והמים המעורבים באפר שקורים לישי"א נראה שדינן כשאר משקין</w:t>
      </w:r>
      <w:r w:rsidRPr="00882F11">
        <w:rPr>
          <w:rFonts w:cs="Guttman Drogolin" w:hint="cs"/>
          <w:rtl/>
          <w:lang w:bidi="he-IL"/>
        </w:rPr>
        <w:t>. ומלשונו משמע שאפילו לשיטת הרמב"ן ודעימי' אין מים מעכב בדיעבד (ובגוף דברי האר"ח מבואר ש'יש' אומרים כן</w:t>
      </w:r>
      <w:r w:rsidR="00436732" w:rsidRPr="00882F11">
        <w:rPr>
          <w:rFonts w:cs="Guttman Drogolin" w:hint="cs"/>
          <w:rtl/>
          <w:lang w:bidi="he-IL"/>
        </w:rPr>
        <w:t xml:space="preserve"> </w:t>
      </w:r>
      <w:r w:rsidR="00436732" w:rsidRPr="00882F11">
        <w:rPr>
          <w:rFonts w:cs="Guttman Drogolin"/>
          <w:rtl/>
          <w:lang w:bidi="he-IL"/>
        </w:rPr>
        <w:t>–</w:t>
      </w:r>
      <w:r w:rsidR="00436732" w:rsidRPr="00882F11">
        <w:rPr>
          <w:rFonts w:cs="Guttman Drogolin" w:hint="cs"/>
          <w:rtl/>
          <w:lang w:bidi="he-IL"/>
        </w:rPr>
        <w:t xml:space="preserve"> שו"ר בשם המאמ"ר שכן הדגיש</w:t>
      </w:r>
      <w:r w:rsidR="00733C96" w:rsidRPr="00882F11">
        <w:rPr>
          <w:rStyle w:val="FootnoteReference"/>
          <w:rFonts w:cs="Guttman Drogolin"/>
          <w:rtl/>
          <w:lang w:bidi="he-IL"/>
        </w:rPr>
        <w:footnoteReference w:id="514"/>
      </w:r>
      <w:r w:rsidRPr="00882F11">
        <w:rPr>
          <w:rFonts w:cs="Guttman Drogolin" w:hint="cs"/>
          <w:rtl/>
          <w:lang w:bidi="he-IL"/>
        </w:rPr>
        <w:t xml:space="preserve">). </w:t>
      </w:r>
      <w:r w:rsidR="00436732" w:rsidRPr="00882F11">
        <w:rPr>
          <w:rFonts w:cs="Guttman Drogolin" w:hint="cs"/>
          <w:rtl/>
          <w:lang w:bidi="he-IL"/>
        </w:rPr>
        <w:t xml:space="preserve">וצ"ע מניין לו דבר זה, והפשטות היא שלשיטת הרמב"ן דבר מעכב אפילו בדיעבד לשיטת הרמב"ן, וכן הקשה הפר"ח בס"ק ה'. והרמ"א הביא דברי האר"ח, ונראה מדברי ביאור הגר"א שהכוונה היא שלכתחילה </w:t>
      </w:r>
      <w:r w:rsidR="00436732" w:rsidRPr="00882F11">
        <w:rPr>
          <w:rFonts w:cs="Guttman Drogolin" w:hint="cs"/>
          <w:rtl/>
          <w:lang w:bidi="he-IL"/>
        </w:rPr>
        <w:lastRenderedPageBreak/>
        <w:t>מחמירים כשיטת הרמב"ן, אבל בדיעבד סמכינן על הרשב"א</w:t>
      </w:r>
      <w:r w:rsidR="0082029D" w:rsidRPr="00882F11">
        <w:rPr>
          <w:rFonts w:cs="Guttman Drogolin" w:hint="cs"/>
          <w:rtl/>
          <w:lang w:bidi="he-IL"/>
        </w:rPr>
        <w:t>, וכ"כ המ"ב בס"ק כ"ו</w:t>
      </w:r>
      <w:r w:rsidR="00436732" w:rsidRPr="00882F11">
        <w:rPr>
          <w:rFonts w:cs="Guttman Drogolin" w:hint="cs"/>
          <w:rtl/>
          <w:lang w:bidi="he-IL"/>
        </w:rPr>
        <w:t xml:space="preserve">. </w:t>
      </w:r>
    </w:p>
    <w:p w:rsidR="00733C96" w:rsidRPr="00882F11" w:rsidRDefault="00436732" w:rsidP="00E50DF0">
      <w:pPr>
        <w:tabs>
          <w:tab w:val="right" w:pos="7497"/>
        </w:tabs>
        <w:bidi/>
        <w:jc w:val="both"/>
        <w:rPr>
          <w:rFonts w:cs="Guttman Drogolin"/>
          <w:rtl/>
          <w:lang w:bidi="he-IL"/>
        </w:rPr>
      </w:pPr>
      <w:r w:rsidRPr="00882F11">
        <w:rPr>
          <w:rFonts w:cs="Guttman Drogolin" w:hint="cs"/>
          <w:rtl/>
          <w:lang w:bidi="he-IL"/>
        </w:rPr>
        <w:t xml:space="preserve">וכתב הפר"ח </w:t>
      </w:r>
      <w:r w:rsidR="00F83C23" w:rsidRPr="00882F11">
        <w:rPr>
          <w:rFonts w:cs="Guttman Drogolin" w:hint="cs"/>
          <w:rtl/>
          <w:lang w:bidi="he-IL"/>
        </w:rPr>
        <w:t xml:space="preserve">שמזה שכתב הר"ן להחמיר במים שיש בה ציר ורוטב יש להחמיר במים שיש בה אפר אפילו למקילין בשאר משקין (דלא כארחות חיים הנ"ל שכתב להיפך). </w:t>
      </w:r>
      <w:r w:rsidR="00ED2DDB" w:rsidRPr="00882F11">
        <w:rPr>
          <w:rFonts w:cs="Guttman Drogolin" w:hint="cs"/>
          <w:rtl/>
          <w:lang w:bidi="he-IL"/>
        </w:rPr>
        <w:t>ולא ירדתי לסוף דעתו בזה, שלכאורה הר"ן (והרמב"ן) שכתבו כן היינו לשיטתם דלא מהני אלא מים ולא שאר משקין, אבל למ"ד שגם שאר משקין איזה טעם יש לחלק בין זה לשאר משקין, וכ"כ הא"ר. וע"כ הפר"ח סבר שהוא דין במים שאין להם כח להפליט כשיש בהם חומרים אחרים, אבל הסברא בזה צ"ע.</w:t>
      </w:r>
      <w:r w:rsidR="0082029D" w:rsidRPr="00882F11">
        <w:rPr>
          <w:rFonts w:cs="Guttman Drogolin" w:hint="cs"/>
          <w:rtl/>
          <w:lang w:bidi="he-IL"/>
        </w:rPr>
        <w:t xml:space="preserve"> והמ"ב שם כתב שגם במים עם אפר יש להקל בדיעבד, ובשעה"צ כתב שזהו דלא כפר"ח, והוא צ"ע שנראה מדברי הפר"ח עצמו שגם הוא מיקל בזה בדיעבד, רק דסבר דמאן דמיקל בשאר משקין אולי יחמיר בזה.</w:t>
      </w:r>
      <w:r w:rsidR="00733C96" w:rsidRPr="00882F11">
        <w:rPr>
          <w:rFonts w:cs="Guttman Drogolin" w:hint="cs"/>
          <w:rtl/>
          <w:lang w:bidi="he-IL"/>
        </w:rPr>
        <w:t xml:space="preserve"> ועוד צ"ע דהנה כתב הרמ"א ש</w:t>
      </w:r>
      <w:r w:rsidR="00733C96" w:rsidRPr="00882F11">
        <w:rPr>
          <w:rFonts w:cs="Guttman Drogolin"/>
          <w:rtl/>
          <w:lang w:bidi="he-IL"/>
        </w:rPr>
        <w:t>אם הגעיל הרבה כלים ביורה עד שמרוב פליטת הכלים נעשו המים כציר, אין להגעיל עוד באותן המים</w:t>
      </w:r>
      <w:r w:rsidR="00733C96" w:rsidRPr="00882F11">
        <w:rPr>
          <w:rFonts w:cs="Guttman Drogolin" w:hint="cs"/>
          <w:rtl/>
          <w:lang w:bidi="he-IL"/>
        </w:rPr>
        <w:t>. וכתב שמקור הדברים בר"ן.</w:t>
      </w:r>
      <w:r w:rsidR="00733C96" w:rsidRPr="00882F11">
        <w:rPr>
          <w:rFonts w:cs="Guttman Drogolin"/>
          <w:rtl/>
          <w:lang w:bidi="he-IL"/>
        </w:rPr>
        <w:t xml:space="preserve"> </w:t>
      </w:r>
      <w:r w:rsidR="00733C96" w:rsidRPr="00882F11">
        <w:rPr>
          <w:rFonts w:cs="Guttman Drogolin" w:hint="cs"/>
          <w:rtl/>
          <w:lang w:bidi="he-IL"/>
        </w:rPr>
        <w:t xml:space="preserve">ובזה כתב המ"ב בס"ק ס"ק כ"ז שיש כמה אחרונים שמחמירים אפילו בדיעבד. והיינו שחילק בין הא דאפר להא דציר. ובשעה"צ כתב שכן משמע בפר"ח, </w:t>
      </w:r>
      <w:r w:rsidR="00E50DF0" w:rsidRPr="00882F11">
        <w:rPr>
          <w:rFonts w:cs="Guttman Drogolin" w:hint="cs"/>
          <w:rtl/>
          <w:lang w:bidi="he-IL"/>
        </w:rPr>
        <w:t>ולא ראיתי כן בפר"ח. ומסברא גם כאן לא גרע ממי פירות הכשרים בדיעבד. גם מש"כ שתלוי בתירוצים של הא"ר, לכאורה נראה שאם מים עם אפר עדיף מציר, מ"מ לדידן שכל המשקים כשרים גם ציר בכלל. ולולא דבריו הו"א שהכל כשר בדיעבד. אבל מן המ"ב נראה שיש להחמיר בדיעבד בציר וכן במים שמרוב פליטת כלים נעשה כציר. וצ"ע.</w:t>
      </w:r>
      <w:r w:rsidR="00733C96" w:rsidRPr="00882F11">
        <w:rPr>
          <w:rFonts w:cs="Guttman Drogolin" w:hint="cs"/>
          <w:rtl/>
          <w:lang w:bidi="he-IL"/>
        </w:rPr>
        <w:t xml:space="preserve">  </w:t>
      </w:r>
    </w:p>
    <w:p w:rsidR="00BA6FA9" w:rsidRPr="00882F11" w:rsidRDefault="0082029D" w:rsidP="0082029D">
      <w:pPr>
        <w:tabs>
          <w:tab w:val="right" w:pos="7497"/>
        </w:tabs>
        <w:bidi/>
        <w:jc w:val="both"/>
        <w:rPr>
          <w:rFonts w:cs="Guttman Drogolin"/>
          <w:rtl/>
        </w:rPr>
      </w:pPr>
      <w:r w:rsidRPr="00882F11">
        <w:rPr>
          <w:rFonts w:cs="Guttman Drogolin" w:hint="cs"/>
          <w:rtl/>
          <w:lang w:bidi="he-IL"/>
        </w:rPr>
        <w:t xml:space="preserve">ובשו"ת אג"מ יו"ד א' ססי' ס' כתב דיתכן שגם הרשב"א אינו מיקל אלא ביין ולא בשאר משקין כיון שלא הזכיר אלא יין. ולכאורה דבריו תמוהים דהא סתם וכתב "גם על שאר המשקין אמרתי שהם מפליטים על כרחנו" </w:t>
      </w:r>
      <w:r w:rsidRPr="00882F11">
        <w:rPr>
          <w:rFonts w:cs="Guttman Drogolin"/>
          <w:rtl/>
          <w:lang w:bidi="he-IL"/>
        </w:rPr>
        <w:t>–</w:t>
      </w:r>
      <w:r w:rsidRPr="00882F11">
        <w:rPr>
          <w:rFonts w:cs="Guttman Drogolin" w:hint="cs"/>
          <w:rtl/>
          <w:lang w:bidi="he-IL"/>
        </w:rPr>
        <w:t xml:space="preserve"> ומשמע כל המשקים. ומ"מ גם הגרמ"פ מודה שברמ"א מבואר דשאר משקים כשרים. אמנם הסתפק הגרמ"פ דאולי אין שומן בכלל משקה. ור"ל שאע"ג שהרמב"ן בא לאפוקי משומן לשיטתו דלא מהני אלא מים, מ"מ</w:t>
      </w:r>
      <w:r w:rsidR="00B3504F" w:rsidRPr="00882F11">
        <w:rPr>
          <w:rFonts w:cs="Guttman Drogolin" w:hint="cs"/>
          <w:rtl/>
          <w:lang w:bidi="he-IL"/>
        </w:rPr>
        <w:t xml:space="preserve"> </w:t>
      </w:r>
      <w:r w:rsidR="00B3504F" w:rsidRPr="00882F11">
        <w:rPr>
          <w:rFonts w:cs="Guttman Drogolin" w:hint="cs"/>
          <w:rtl/>
          <w:lang w:bidi="he-IL"/>
        </w:rPr>
        <w:lastRenderedPageBreak/>
        <w:t>הרשב"א לא חלק על זה. ולולא דבריו סתימת דבריהם משמע דעד כמה דמהני שאר משקין גם שומן מהני, דגם הרשב"א בשו"ת הזכיר שומן ושוב כתב דמהני כל המשקין, ולא יצא לבאר שמ"מ שומן שאני. ודברי הגרמ"פ צ"ע.</w:t>
      </w:r>
      <w:r w:rsidRPr="00882F11">
        <w:rPr>
          <w:rFonts w:cs="Guttman Drogolin" w:hint="cs"/>
          <w:rtl/>
          <w:lang w:bidi="he-IL"/>
        </w:rPr>
        <w:t xml:space="preserve">    </w:t>
      </w:r>
      <w:r w:rsidR="00ED2DDB" w:rsidRPr="00882F11">
        <w:rPr>
          <w:rFonts w:cs="Guttman Drogolin" w:hint="cs"/>
          <w:rtl/>
          <w:lang w:bidi="he-IL"/>
        </w:rPr>
        <w:t xml:space="preserve"> </w:t>
      </w:r>
      <w:r w:rsidR="00436732" w:rsidRPr="00882F11">
        <w:rPr>
          <w:rFonts w:cs="Guttman Drogolin" w:hint="cs"/>
          <w:rtl/>
          <w:lang w:bidi="he-IL"/>
        </w:rPr>
        <w:t xml:space="preserve">     </w:t>
      </w:r>
      <w:r w:rsidR="0023405C" w:rsidRPr="00882F11">
        <w:rPr>
          <w:rFonts w:cs="Guttman Drogolin" w:hint="cs"/>
          <w:rtl/>
          <w:lang w:bidi="he-IL"/>
        </w:rPr>
        <w:t xml:space="preserve"> </w:t>
      </w:r>
      <w:r w:rsidR="00C830EB" w:rsidRPr="00882F11">
        <w:rPr>
          <w:rFonts w:cs="Guttman Drogolin" w:hint="cs"/>
          <w:rtl/>
          <w:lang w:bidi="he-IL"/>
        </w:rPr>
        <w:t xml:space="preserve"> </w:t>
      </w:r>
    </w:p>
    <w:p w:rsidR="00970753" w:rsidRPr="00882F11" w:rsidRDefault="00970753" w:rsidP="00662AEE">
      <w:pPr>
        <w:tabs>
          <w:tab w:val="right" w:pos="7497"/>
        </w:tabs>
        <w:bidi/>
        <w:jc w:val="both"/>
        <w:rPr>
          <w:rFonts w:cs="Guttman Drogolin"/>
          <w:rtl/>
          <w:lang w:bidi="he-IL"/>
        </w:rPr>
        <w:sectPr w:rsidR="00970753" w:rsidRPr="00882F11" w:rsidSect="006E3B7D">
          <w:type w:val="continuous"/>
          <w:pgSz w:w="11907" w:h="16839" w:code="9"/>
          <w:pgMar w:top="1440" w:right="1440" w:bottom="1440" w:left="1440" w:header="720" w:footer="720" w:gutter="0"/>
          <w:cols w:num="2" w:space="720"/>
          <w:bidi/>
          <w:docGrid w:linePitch="360"/>
        </w:sectPr>
      </w:pPr>
    </w:p>
    <w:p w:rsidR="00970753" w:rsidRPr="00882F11" w:rsidRDefault="00970753" w:rsidP="00970753">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קל"ג</w:t>
      </w:r>
    </w:p>
    <w:p w:rsidR="00803D0F" w:rsidRDefault="00803D0F" w:rsidP="00970753">
      <w:pPr>
        <w:pStyle w:val="Heading1"/>
        <w:bidi/>
        <w:spacing w:before="0" w:line="360" w:lineRule="auto"/>
        <w:jc w:val="center"/>
        <w:rPr>
          <w:rFonts w:cs="Guttman Drogolin"/>
          <w:color w:val="auto"/>
          <w:sz w:val="24"/>
          <w:szCs w:val="24"/>
          <w:u w:val="single"/>
          <w:rtl/>
          <w:lang w:bidi="he-IL"/>
        </w:rPr>
        <w:sectPr w:rsidR="00803D0F" w:rsidSect="00803D0F">
          <w:headerReference w:type="default" r:id="rId96"/>
          <w:pgSz w:w="11907" w:h="16839" w:code="9"/>
          <w:pgMar w:top="1440" w:right="1440" w:bottom="1440" w:left="1440" w:header="720" w:footer="720" w:gutter="0"/>
          <w:cols w:space="720"/>
          <w:bidi/>
          <w:docGrid w:linePitch="360"/>
        </w:sectPr>
      </w:pPr>
    </w:p>
    <w:p w:rsidR="00970753" w:rsidRPr="00882F11" w:rsidRDefault="00970753" w:rsidP="00970753">
      <w:pPr>
        <w:pStyle w:val="Heading1"/>
        <w:bidi/>
        <w:spacing w:before="0" w:line="360" w:lineRule="auto"/>
        <w:jc w:val="center"/>
        <w:rPr>
          <w:rFonts w:cs="Guttman Drogolin"/>
          <w:color w:val="auto"/>
          <w:sz w:val="24"/>
          <w:szCs w:val="24"/>
          <w:u w:val="single"/>
          <w:rtl/>
          <w:lang w:bidi="he-IL"/>
        </w:rPr>
      </w:pPr>
      <w:bookmarkStart w:id="509" w:name="_Toc496175752"/>
      <w:r w:rsidRPr="00882F11">
        <w:rPr>
          <w:rFonts w:cs="Guttman Drogolin" w:hint="cs"/>
          <w:color w:val="auto"/>
          <w:sz w:val="24"/>
          <w:szCs w:val="24"/>
          <w:u w:val="single"/>
          <w:rtl/>
          <w:lang w:bidi="he-IL"/>
        </w:rPr>
        <w:lastRenderedPageBreak/>
        <w:t xml:space="preserve">בדין להגעיל </w:t>
      </w:r>
      <w:r w:rsidR="009A665B" w:rsidRPr="00882F11">
        <w:rPr>
          <w:rFonts w:cs="Guttman Drogolin" w:hint="cs"/>
          <w:color w:val="auto"/>
          <w:sz w:val="24"/>
          <w:szCs w:val="24"/>
          <w:u w:val="single"/>
          <w:rtl/>
          <w:lang w:bidi="he-IL"/>
        </w:rPr>
        <w:t xml:space="preserve">דוקא </w:t>
      </w:r>
      <w:r w:rsidRPr="00882F11">
        <w:rPr>
          <w:rFonts w:cs="Guttman Drogolin" w:hint="cs"/>
          <w:color w:val="auto"/>
          <w:sz w:val="24"/>
          <w:szCs w:val="24"/>
          <w:u w:val="single"/>
          <w:rtl/>
          <w:lang w:bidi="he-IL"/>
        </w:rPr>
        <w:t>כלי שאינו בן יומו</w:t>
      </w:r>
      <w:bookmarkEnd w:id="509"/>
    </w:p>
    <w:p w:rsidR="00662AEE" w:rsidRPr="00882F11" w:rsidRDefault="00BB4151" w:rsidP="009A665B">
      <w:pPr>
        <w:tabs>
          <w:tab w:val="right" w:pos="7497"/>
        </w:tabs>
        <w:bidi/>
        <w:jc w:val="both"/>
        <w:rPr>
          <w:rFonts w:cs="Guttman Drogolin"/>
          <w:rtl/>
          <w:lang w:bidi="he-IL"/>
        </w:rPr>
      </w:pPr>
      <w:r>
        <w:rPr>
          <w:rFonts w:cs="Guttman Drogolin"/>
          <w:rtl/>
          <w:lang w:bidi="he-IL"/>
        </w:rPr>
        <w:fldChar w:fldCharType="begin"/>
      </w:r>
      <w:r>
        <w:instrText xml:space="preserve"> XE "</w:instrText>
      </w:r>
      <w:r w:rsidRPr="00611AD9">
        <w:rPr>
          <w:rFonts w:hint="cs"/>
          <w:rtl/>
          <w:lang w:bidi="he-IL"/>
        </w:rPr>
        <w:instrText>הכשר כלים</w:instrText>
      </w:r>
      <w:r w:rsidRPr="00611AD9">
        <w:rPr>
          <w:rtl/>
        </w:rPr>
        <w:instrText>:</w:instrText>
      </w:r>
      <w:r w:rsidRPr="00611AD9">
        <w:rPr>
          <w:rFonts w:hint="cs"/>
          <w:rtl/>
          <w:lang w:bidi="he-IL"/>
        </w:rPr>
        <w:instrText>הדין להכשיר דוקא כלי שאינו בן יומו</w:instrText>
      </w:r>
      <w:r>
        <w:instrText xml:space="preserve">" </w:instrText>
      </w:r>
      <w:r>
        <w:rPr>
          <w:rFonts w:cs="Guttman Drogolin"/>
          <w:rtl/>
          <w:lang w:bidi="he-IL"/>
        </w:rPr>
        <w:fldChar w:fldCharType="end"/>
      </w:r>
      <w:r w:rsidR="00970753" w:rsidRPr="00882F11">
        <w:rPr>
          <w:rFonts w:cs="Guttman Drogolin" w:hint="cs"/>
          <w:rtl/>
          <w:lang w:bidi="he-IL"/>
        </w:rPr>
        <w:t>ביו"ד סי' קכ"א סע' ב' כתב הרמ"א "</w:t>
      </w:r>
      <w:r w:rsidR="00970753" w:rsidRPr="00882F11">
        <w:rPr>
          <w:rFonts w:cs="Guttman Drogolin"/>
          <w:rtl/>
          <w:lang w:bidi="he-IL"/>
        </w:rPr>
        <w:t>אין להגעיל שום כלי כל זמן שהוא בן יומו</w:t>
      </w:r>
      <w:r w:rsidR="00970753" w:rsidRPr="00882F11">
        <w:rPr>
          <w:rFonts w:cs="Guttman Drogolin" w:hint="cs"/>
          <w:rtl/>
          <w:lang w:bidi="he-IL"/>
        </w:rPr>
        <w:t>". והט"ז שם בס"ק ב' תמה דהא איכא דרכא אחרינא, דהא יכול להגעיל ביורה שיש בה ששים אפילו אם הכלי בן יומו. וע"ש מש"כ ליישב בזה. ובנקוה"כ כתב ליישב שלא כתבו הרמ"א משום שפשוט הוא א"נ משום שכבר כתב כן בסי' תנ"ב. ומצאתי לחדרי דעה וכן למקור מים חיים שכתבו שכוונת הרמ"א לפי המנהג המוזכר בסע' ב' שאין מגעילין שום כלי בן יומו, אפילו בער"פ קודם שעה חמישית שאין צריך לא ס' ולא אינו בן יומו (לשיטת המחבר)</w:t>
      </w:r>
      <w:r w:rsidR="009A665B" w:rsidRPr="00882F11">
        <w:rPr>
          <w:rFonts w:cs="Guttman Drogolin" w:hint="cs"/>
          <w:rtl/>
          <w:lang w:bidi="he-IL"/>
        </w:rPr>
        <w:t>,</w:t>
      </w:r>
      <w:r w:rsidR="00970753" w:rsidRPr="00882F11">
        <w:rPr>
          <w:rFonts w:cs="Guttman Drogolin" w:hint="cs"/>
          <w:rtl/>
          <w:lang w:bidi="he-IL"/>
        </w:rPr>
        <w:t xml:space="preserve"> </w:t>
      </w:r>
      <w:r w:rsidR="009A665B" w:rsidRPr="00882F11">
        <w:rPr>
          <w:rFonts w:cs="Guttman Drogolin" w:hint="cs"/>
          <w:rtl/>
          <w:lang w:bidi="he-IL"/>
        </w:rPr>
        <w:t>ומשום חשש שיגעיל ב' כלים בני יומן א' של בשר וא</w:t>
      </w:r>
      <w:r w:rsidR="00C04B27">
        <w:rPr>
          <w:rFonts w:cs="Guttman Drogolin" w:hint="cs"/>
          <w:rtl/>
          <w:lang w:bidi="he-IL"/>
        </w:rPr>
        <w:t>'</w:t>
      </w:r>
      <w:r w:rsidR="009A665B" w:rsidRPr="00882F11">
        <w:rPr>
          <w:rFonts w:cs="Guttman Drogolin" w:hint="cs"/>
          <w:rtl/>
          <w:lang w:bidi="he-IL"/>
        </w:rPr>
        <w:t xml:space="preserve"> של חלב ולא יהי' ס' כנגדם ויאסרו א' את השני, וכן משום שאולי יחליף בכלי איסור. והיינו שלפי המנהג אין מגעילים כלי בן יומו אפילו אם יש ששים כנגדו, וכן מבואר בחק יעקב סי' תנ"ב ס"ק י"ד וכן במ"ב ס"ק כ'. והם נקטו דמש"כ הט"ז והנקוה"כ דמהני ס' היינו משום שהבינו שהרמ"א מירי מדינא ולא לפי המנהג. ולולא דבריהם לכאורה הי' אפשר לומר לשיטת הט"ז והש"ך שהם הבינו שהרמ"א התיר כשיש בה ס' גם לפי המנהג, דהא בדאיכא ס' ליכא למיחש שיש בה כלים של בשר וחלב, דהא אפילו אם יש אינם אוסרים כיון ששבטל בס'. ומשו"ה תמה הט"ז דהול"ל להביאו. ואם כנים הדברים מבוארים דברי הנקוה"כ עוד יותר, דלא רק שהדין כן אלא שלא הי' צורך לכתבו מרוב פשיטות. ויל"ע מנין להו לחק יעקב ולמ"ב שאינו כן. ולכאורה למדו כן מסתימת לשון הרמ"א בסי' תנ"ב סע' ב'. ויל"ע בזה.</w:t>
      </w:r>
    </w:p>
    <w:p w:rsidR="009A665B" w:rsidRPr="00882F11" w:rsidRDefault="009A665B" w:rsidP="00803D0F">
      <w:pPr>
        <w:pStyle w:val="Heading1"/>
        <w:bidi/>
        <w:spacing w:before="0" w:line="240" w:lineRule="auto"/>
        <w:jc w:val="center"/>
        <w:rPr>
          <w:rFonts w:cs="Guttman Drogolin"/>
          <w:color w:val="auto"/>
          <w:sz w:val="24"/>
          <w:szCs w:val="24"/>
          <w:u w:val="single"/>
          <w:rtl/>
          <w:lang w:bidi="he-IL"/>
        </w:rPr>
      </w:pPr>
      <w:bookmarkStart w:id="510" w:name="_Toc496175753"/>
      <w:r w:rsidRPr="00882F11">
        <w:rPr>
          <w:rFonts w:cs="Guttman Drogolin" w:hint="cs"/>
          <w:color w:val="auto"/>
          <w:sz w:val="24"/>
          <w:szCs w:val="24"/>
          <w:u w:val="single"/>
          <w:rtl/>
          <w:lang w:bidi="he-IL"/>
        </w:rPr>
        <w:t xml:space="preserve">דין הכשר המחבת, </w:t>
      </w:r>
      <w:r w:rsidR="00B34E9C" w:rsidRPr="00882F11">
        <w:rPr>
          <w:rFonts w:cs="Guttman Drogolin" w:hint="cs"/>
          <w:color w:val="auto"/>
          <w:sz w:val="24"/>
          <w:szCs w:val="24"/>
          <w:u w:val="single"/>
          <w:rtl/>
          <w:lang w:bidi="he-IL"/>
        </w:rPr>
        <w:t>ודין הגעלת כלי חלבי או בשרי שתשמישתו ע"י האור</w:t>
      </w:r>
      <w:bookmarkEnd w:id="510"/>
    </w:p>
    <w:p w:rsidR="00B34E9C" w:rsidRPr="00882F11" w:rsidRDefault="00BB4151" w:rsidP="00B34E9C">
      <w:pPr>
        <w:tabs>
          <w:tab w:val="right" w:pos="7497"/>
        </w:tabs>
        <w:bidi/>
        <w:jc w:val="both"/>
        <w:rPr>
          <w:rFonts w:cs="Guttman Drogolin"/>
          <w:rtl/>
          <w:lang w:bidi="he-IL"/>
        </w:rPr>
      </w:pPr>
      <w:r>
        <w:rPr>
          <w:rFonts w:cs="Guttman Drogolin"/>
          <w:rtl/>
          <w:lang w:bidi="he-IL"/>
        </w:rPr>
        <w:fldChar w:fldCharType="begin"/>
      </w:r>
      <w:r>
        <w:instrText xml:space="preserve"> XE "</w:instrText>
      </w:r>
      <w:r w:rsidRPr="00E26780">
        <w:rPr>
          <w:rFonts w:hint="cs"/>
          <w:rtl/>
          <w:lang w:bidi="he-IL"/>
        </w:rPr>
        <w:instrText>הכשר כלים</w:instrText>
      </w:r>
      <w:r w:rsidRPr="00E26780">
        <w:rPr>
          <w:rtl/>
        </w:rPr>
        <w:instrText>:</w:instrText>
      </w:r>
      <w:r w:rsidRPr="00E26780">
        <w:rPr>
          <w:rFonts w:hint="cs"/>
          <w:rtl/>
          <w:lang w:bidi="he-IL"/>
        </w:rPr>
        <w:instrText>הכשר המחבת</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C957C8">
        <w:rPr>
          <w:rFonts w:hint="cs"/>
          <w:rtl/>
          <w:lang w:bidi="he-IL"/>
        </w:rPr>
        <w:instrText>הכשר כלים</w:instrText>
      </w:r>
      <w:r w:rsidRPr="00C957C8">
        <w:rPr>
          <w:rtl/>
        </w:rPr>
        <w:instrText>:</w:instrText>
      </w:r>
      <w:r w:rsidRPr="00C957C8">
        <w:rPr>
          <w:rFonts w:hint="cs"/>
          <w:rtl/>
          <w:lang w:bidi="he-IL"/>
        </w:rPr>
        <w:instrText>הכשר כלי חלבי או בשרי שתמשיתו ע</w:instrText>
      </w:r>
      <w:r>
        <w:rPr>
          <w:rFonts w:eastAsiaTheme="minorEastAsia"/>
          <w:lang w:bidi="he-IL"/>
        </w:rPr>
        <w:instrText>\</w:instrText>
      </w:r>
      <w:r w:rsidRPr="00C957C8">
        <w:rPr>
          <w:rFonts w:hint="cs"/>
          <w:rtl/>
          <w:lang w:bidi="he-IL"/>
        </w:rPr>
        <w:instrText>"י האור</w:instrText>
      </w:r>
      <w:r>
        <w:instrText xml:space="preserve">" </w:instrText>
      </w:r>
      <w:r>
        <w:rPr>
          <w:rFonts w:cs="Guttman Drogolin"/>
          <w:rtl/>
          <w:lang w:bidi="he-IL"/>
        </w:rPr>
        <w:fldChar w:fldCharType="end"/>
      </w:r>
      <w:r w:rsidR="00B34E9C" w:rsidRPr="00882F11">
        <w:rPr>
          <w:rFonts w:cs="Guttman Drogolin" w:hint="cs"/>
          <w:rtl/>
          <w:lang w:bidi="he-IL"/>
        </w:rPr>
        <w:t xml:space="preserve">במס' ע"ז ע"ו ע"א קיי"ל כר' אשי דסבר שהחילוק שבין המתני' דס' ע"ז ע"ה ע"ב והמתני' דמס' </w:t>
      </w:r>
      <w:r w:rsidR="00B34E9C" w:rsidRPr="00882F11">
        <w:rPr>
          <w:rFonts w:cs="Guttman Drogolin" w:hint="cs"/>
          <w:rtl/>
          <w:lang w:bidi="he-IL"/>
        </w:rPr>
        <w:lastRenderedPageBreak/>
        <w:t>זבחים צ"ו ע"ב הוא דקדשים הוו היתירא בלע ולכן סגי לן בהגעלה, אבל כלים הנקנין מן העכו"ם הוו איסורא בלע. והוכחנו שכוונתו להכשיר ע"י הגעלה אפילו אם לא עשו הגעלה קודם שחל החלות איסור (כגון שנעשה זמן נותר קודם ההגעלה) ומשום שהבליעות שאינן עתידות לצאת דרך הגעלה קלישי ואינם נאסרים. ולפום ריהטא לפי זה יוצא שגם</w:t>
      </w:r>
      <w:r w:rsidR="000C18B9" w:rsidRPr="00882F11">
        <w:rPr>
          <w:rFonts w:cs="Guttman Drogolin" w:hint="cs"/>
          <w:rtl/>
          <w:lang w:bidi="he-IL"/>
        </w:rPr>
        <w:t xml:space="preserve"> </w:t>
      </w:r>
      <w:r w:rsidR="00B34E9C" w:rsidRPr="00882F11">
        <w:rPr>
          <w:rFonts w:cs="Guttman Drogolin" w:hint="cs"/>
          <w:rtl/>
          <w:lang w:bidi="he-IL"/>
        </w:rPr>
        <w:t xml:space="preserve">כלי שבלע בשר היתר ונבלע ע"י האור הכשרו בהגעלה, דהא חד טעמא לתרוייהו, דתרוייהו היתירא נינהו. </w:t>
      </w:r>
    </w:p>
    <w:p w:rsidR="00CF6AF8" w:rsidRPr="00882F11" w:rsidRDefault="00B34E9C" w:rsidP="00CF6AF8">
      <w:pPr>
        <w:tabs>
          <w:tab w:val="right" w:pos="7497"/>
        </w:tabs>
        <w:bidi/>
        <w:jc w:val="both"/>
        <w:rPr>
          <w:rFonts w:cs="Guttman Drogolin"/>
          <w:rtl/>
          <w:lang w:bidi="he-IL"/>
        </w:rPr>
      </w:pPr>
      <w:r w:rsidRPr="00882F11">
        <w:rPr>
          <w:rFonts w:cs="Guttman Drogolin" w:hint="cs"/>
          <w:rtl/>
          <w:lang w:bidi="he-IL"/>
        </w:rPr>
        <w:t>אלא דהנה נחלקו הראשונים בדינא דכלי מחבת, האם הכשרו בהגעלה או בליבון.</w:t>
      </w:r>
      <w:r w:rsidR="00CF6AF8" w:rsidRPr="00882F11">
        <w:rPr>
          <w:rFonts w:cs="Guttman Drogolin" w:hint="cs"/>
          <w:rtl/>
          <w:lang w:bidi="he-IL"/>
        </w:rPr>
        <w:t xml:space="preserve"> וביו"ד סי' קכ"א סע' ד כתב השו"ע לחלק בין חמץ בפסח לשאר איסורים, שבשאר איסורים דינו בליבון אבל בחמץ בפסח אפשר להכשירו ע"י הגעלה. ובטעמו של השו"ע בזה ע' בביאור הגר"א, וכן לכאורה מבואר בט"ז, שבחמץ בפסח יש טעם נוסף להקל והכשיר ע"י הגעלה, והוא משום ששיטת הראב"ד היא דחמץ ג"כ מיקרי היתירא בלע (אם נבלע לפני זמן האיסור). ואע"ג שדעת השו"ע להחמיר כשיטת הרמב"ן ועוד דחמץ שמו עליו ואי אפשר להכשירו ע"י הגעלה אם נבלע ע"י האש, מ"מ הרי במחבת י"א שדינו תמיד בהגעלה, ולכן בצירוף השיטה הסוברת דמחבת דינו תמיד בהגעלה ביחד עם השיטה הסוברת שחמץ מיקרי היתירא בלע אפשר להקל.</w:t>
      </w:r>
    </w:p>
    <w:p w:rsidR="00E03CF4" w:rsidRPr="00882F11" w:rsidRDefault="00BB4151" w:rsidP="00662B6F">
      <w:pPr>
        <w:tabs>
          <w:tab w:val="right" w:pos="7497"/>
        </w:tabs>
        <w:bidi/>
        <w:jc w:val="both"/>
        <w:rPr>
          <w:rFonts w:cs="Guttman Drogolin"/>
          <w:rtl/>
          <w:lang w:bidi="he-IL"/>
        </w:rPr>
      </w:pPr>
      <w:r>
        <w:rPr>
          <w:rFonts w:cs="Guttman Drogolin"/>
          <w:rtl/>
          <w:lang w:bidi="he-IL"/>
        </w:rPr>
        <w:fldChar w:fldCharType="begin"/>
      </w:r>
      <w:r>
        <w:instrText xml:space="preserve"> XE "</w:instrText>
      </w:r>
      <w:r w:rsidRPr="003B729C">
        <w:rPr>
          <w:rFonts w:hint="cs"/>
          <w:rtl/>
          <w:lang w:bidi="he-IL"/>
        </w:rPr>
        <w:instrText>הכשר כלים</w:instrText>
      </w:r>
      <w:r w:rsidRPr="003B729C">
        <w:rPr>
          <w:rtl/>
        </w:rPr>
        <w:instrText>:</w:instrText>
      </w:r>
      <w:r w:rsidRPr="003B729C">
        <w:rPr>
          <w:rFonts w:hint="cs"/>
          <w:rtl/>
          <w:lang w:bidi="he-IL"/>
        </w:rPr>
        <w:instrText>מה נחשב תשמישתו ע</w:instrText>
      </w:r>
      <w:r>
        <w:rPr>
          <w:rFonts w:eastAsiaTheme="minorEastAsia"/>
          <w:lang w:bidi="he-IL"/>
        </w:rPr>
        <w:instrText>\</w:instrText>
      </w:r>
      <w:r w:rsidRPr="003B729C">
        <w:rPr>
          <w:rFonts w:hint="cs"/>
          <w:rtl/>
          <w:lang w:bidi="he-IL"/>
        </w:rPr>
        <w:instrText>"י האור</w:instrText>
      </w:r>
      <w:r>
        <w:instrText xml:space="preserve">" </w:instrText>
      </w:r>
      <w:r>
        <w:rPr>
          <w:rFonts w:cs="Guttman Drogolin"/>
          <w:rtl/>
          <w:lang w:bidi="he-IL"/>
        </w:rPr>
        <w:fldChar w:fldCharType="end"/>
      </w:r>
      <w:r w:rsidR="00CF6AF8" w:rsidRPr="00882F11">
        <w:rPr>
          <w:rFonts w:cs="Guttman Drogolin" w:hint="cs"/>
          <w:rtl/>
          <w:lang w:bidi="he-IL"/>
        </w:rPr>
        <w:t>אמנם בשו"ת רמ"ע מפאנו סי' צ"ו יוצא ביאור אחר. דהנה לכאורה יש לבאר מה מקרי בליעתו ע"י האור שדינו בליבון, ובליעתו שלא ע"י האור שדינו בהגעלה. ולכאורה הביאור הוא</w:t>
      </w:r>
      <w:r w:rsidR="006B01A4" w:rsidRPr="00882F11">
        <w:rPr>
          <w:rStyle w:val="FootnoteReference"/>
          <w:rFonts w:cs="Guttman Drogolin"/>
          <w:rtl/>
          <w:lang w:bidi="he-IL"/>
        </w:rPr>
        <w:footnoteReference w:id="515"/>
      </w:r>
      <w:r w:rsidR="00CF6AF8" w:rsidRPr="00882F11">
        <w:rPr>
          <w:rFonts w:cs="Guttman Drogolin" w:hint="cs"/>
          <w:rtl/>
          <w:lang w:bidi="he-IL"/>
        </w:rPr>
        <w:t xml:space="preserve">, שאם </w:t>
      </w:r>
      <w:r w:rsidR="00CF6AF8" w:rsidRPr="00882F11">
        <w:rPr>
          <w:rFonts w:cs="Guttman Drogolin" w:hint="cs"/>
          <w:rtl/>
          <w:lang w:bidi="he-IL"/>
        </w:rPr>
        <w:lastRenderedPageBreak/>
        <w:t xml:space="preserve">נבלע ע"י משקין דינו בהגעלה, ואם נבלע </w:t>
      </w:r>
      <w:r w:rsidR="00E03CF4" w:rsidRPr="00882F11">
        <w:rPr>
          <w:rFonts w:cs="Guttman Drogolin" w:hint="cs"/>
          <w:rtl/>
          <w:lang w:bidi="he-IL"/>
        </w:rPr>
        <w:t>באור</w:t>
      </w:r>
      <w:bookmarkStart w:id="511" w:name="_Ref488137565"/>
      <w:r w:rsidR="00E03CF4" w:rsidRPr="00882F11">
        <w:rPr>
          <w:rStyle w:val="FootnoteReference"/>
          <w:rFonts w:cs="Guttman Drogolin"/>
          <w:rtl/>
          <w:lang w:bidi="he-IL"/>
        </w:rPr>
        <w:footnoteReference w:id="516"/>
      </w:r>
      <w:bookmarkEnd w:id="511"/>
      <w:r w:rsidR="00E03CF4" w:rsidRPr="00882F11">
        <w:rPr>
          <w:rFonts w:cs="Guttman Drogolin" w:hint="cs"/>
          <w:rtl/>
          <w:lang w:bidi="he-IL"/>
        </w:rPr>
        <w:t xml:space="preserve"> שלא </w:t>
      </w:r>
      <w:r w:rsidR="00CF6AF8" w:rsidRPr="00882F11">
        <w:rPr>
          <w:rFonts w:cs="Guttman Drogolin" w:hint="cs"/>
          <w:rtl/>
          <w:lang w:bidi="he-IL"/>
        </w:rPr>
        <w:t xml:space="preserve">ע"י </w:t>
      </w:r>
      <w:r w:rsidR="00E03CF4" w:rsidRPr="00882F11">
        <w:rPr>
          <w:rFonts w:cs="Guttman Drogolin" w:hint="cs"/>
          <w:rtl/>
          <w:lang w:bidi="he-IL"/>
        </w:rPr>
        <w:t>משקין דינו בליבון. אמנם מדברי רמ"ע מפאנו נראה לכאורה כלל אחר. והוא שאם האיסור נבלע ע"י עצמו הרי זה נחשב שבלע ע"י האור וצריך ליבון, אבל אם נבלע ע"י אמצעי דינו בהגעלה. והנפק"מ הגדולה שיש בזה, שאם בישלו כגון חלב (עם קמץ) טמא בתוך כ</w:t>
      </w:r>
      <w:r w:rsidR="00662B6F">
        <w:rPr>
          <w:rFonts w:cs="Guttman Drogolin" w:hint="cs"/>
          <w:rtl/>
          <w:lang w:bidi="he-IL"/>
        </w:rPr>
        <w:t>ל</w:t>
      </w:r>
      <w:r w:rsidR="00E03CF4" w:rsidRPr="00882F11">
        <w:rPr>
          <w:rFonts w:cs="Guttman Drogolin" w:hint="cs"/>
          <w:rtl/>
          <w:lang w:bidi="he-IL"/>
        </w:rPr>
        <w:t>י ע"ג האור, לפי הפירוש הראשון דינו בהגעלה, אבל לפי הרמ"ע מפאנו אין דינו אלא בליבון. ולפי"ז ביאר הרמ"ע מפאנו החילוק בין חמץ לשאר איסורים בדינו של הכשר המחבת. שבחמץ בדרך כלל הוא נבלע ע"י אמצעי, ולכן דינו בהגעלה, אבל מחבת של עכו"ם שמשתמשים בכל מיני מאכלות אסורות כדי לטגן את מאכליהם, צריך ליבון.</w:t>
      </w:r>
    </w:p>
    <w:p w:rsidR="00816A9A" w:rsidRPr="00882F11" w:rsidRDefault="00E03CF4" w:rsidP="00816A9A">
      <w:pPr>
        <w:tabs>
          <w:tab w:val="right" w:pos="7497"/>
        </w:tabs>
        <w:bidi/>
        <w:jc w:val="both"/>
        <w:rPr>
          <w:rFonts w:cs="Guttman Drogolin"/>
          <w:rtl/>
          <w:lang w:bidi="he-IL"/>
        </w:rPr>
      </w:pPr>
      <w:r w:rsidRPr="00882F11">
        <w:rPr>
          <w:rFonts w:cs="Guttman Drogolin" w:hint="cs"/>
          <w:rtl/>
          <w:lang w:bidi="he-IL"/>
        </w:rPr>
        <w:t>ו</w:t>
      </w:r>
      <w:r w:rsidR="00816A9A" w:rsidRPr="00882F11">
        <w:rPr>
          <w:rFonts w:cs="Guttman Drogolin" w:hint="cs"/>
          <w:rtl/>
          <w:lang w:bidi="he-IL"/>
        </w:rPr>
        <w:t>ע'</w:t>
      </w:r>
      <w:r w:rsidR="00F817BB" w:rsidRPr="00882F11">
        <w:rPr>
          <w:rFonts w:cs="Guttman Drogolin" w:hint="cs"/>
          <w:rtl/>
          <w:lang w:bidi="he-IL"/>
        </w:rPr>
        <w:t xml:space="preserve"> </w:t>
      </w:r>
      <w:r w:rsidRPr="00882F11">
        <w:rPr>
          <w:rFonts w:cs="Guttman Drogolin" w:hint="cs"/>
          <w:rtl/>
          <w:lang w:bidi="he-IL"/>
        </w:rPr>
        <w:t xml:space="preserve">במקו"ח סי' תנ"א ס"ק </w:t>
      </w:r>
      <w:r w:rsidR="00F817BB" w:rsidRPr="00882F11">
        <w:rPr>
          <w:rFonts w:cs="Guttman Drogolin" w:hint="cs"/>
          <w:rtl/>
          <w:lang w:bidi="he-IL"/>
        </w:rPr>
        <w:t xml:space="preserve">ג' תמה על הרמ"ע שאם כדבריו האיך מועיל הגעלה לכלי מדין, </w:t>
      </w:r>
      <w:r w:rsidR="00816A9A" w:rsidRPr="00882F11">
        <w:rPr>
          <w:rFonts w:cs="Guttman Drogolin" w:hint="cs"/>
          <w:rtl/>
          <w:lang w:bidi="he-IL"/>
        </w:rPr>
        <w:t>וציין לדברי התוס' במס' פסחים מ"ד ע"ב ד"ה אלא דמבואר שם דכלי מדין מיירי בבלוע עם יין. ואיני יודע איזה הוכחה יש משם, דאיכא למימר שהכשירו את הכלי מדין בליבון</w:t>
      </w:r>
      <w:bookmarkStart w:id="512" w:name="_Ref487792239"/>
      <w:r w:rsidR="00FD1E5F" w:rsidRPr="00882F11">
        <w:rPr>
          <w:rStyle w:val="FootnoteReference"/>
          <w:rFonts w:cs="Guttman Drogolin"/>
          <w:rtl/>
          <w:lang w:bidi="he-IL"/>
        </w:rPr>
        <w:footnoteReference w:id="517"/>
      </w:r>
      <w:bookmarkEnd w:id="512"/>
      <w:r w:rsidR="00816A9A" w:rsidRPr="00882F11">
        <w:rPr>
          <w:rFonts w:cs="Guttman Drogolin" w:hint="cs"/>
          <w:rtl/>
          <w:lang w:bidi="he-IL"/>
        </w:rPr>
        <w:t xml:space="preserve"> (וכן ראיתי שהעיר בהגהות צפחת שמן למקו"ח). תדע שהרי אין לנו מקור מפרשת כלי מדין למין ההכשר של הגעלה, וע"כ מקורו מסברא משום דכבולעו כך פולטו, </w:t>
      </w:r>
      <w:r w:rsidR="00816A9A" w:rsidRPr="00882F11">
        <w:rPr>
          <w:rFonts w:cs="Guttman Drogolin" w:hint="cs"/>
          <w:rtl/>
          <w:lang w:bidi="he-IL"/>
        </w:rPr>
        <w:lastRenderedPageBreak/>
        <w:t xml:space="preserve">או"ד שמקורו מדין מריקה בשטיפה הנאמר בקדשים אם מריקה היינו בחמין. </w:t>
      </w:r>
    </w:p>
    <w:p w:rsidR="00CB04BA" w:rsidRPr="00882F11" w:rsidRDefault="00816A9A" w:rsidP="002475B0">
      <w:pPr>
        <w:tabs>
          <w:tab w:val="right" w:pos="7497"/>
        </w:tabs>
        <w:bidi/>
        <w:jc w:val="both"/>
        <w:rPr>
          <w:rFonts w:cs="Guttman Drogolin"/>
          <w:rtl/>
          <w:lang w:bidi="he-IL"/>
        </w:rPr>
      </w:pPr>
      <w:r w:rsidRPr="00882F11">
        <w:rPr>
          <w:rFonts w:cs="Guttman Drogolin" w:hint="cs"/>
          <w:rtl/>
          <w:lang w:bidi="he-IL"/>
        </w:rPr>
        <w:t>והנה הש"ך בסי' קכ"א ס"ק ח' כתב ע"פ דברי הרמ"ע שאם נבלע חלב בתוך קדרה ורוצים להכשירו להשתמש בו בשר שצריך ליבון כיון שנבלע ע"י עצמו. ובהגהות רע"א (וכן בשו"ת סי' מ"ט) העיר שלכאורה יש לחלק, דשאני בשר דמיקרי היתירא בלע, ובהיתירא בלע קיי"ל כר' אשי שאפילו דבר שתשמישתו באור הכשרו בהגעלה, וכנ"ל בתחילת דברי</w:t>
      </w:r>
      <w:r w:rsidR="002475B0">
        <w:rPr>
          <w:rFonts w:cs="Guttman Drogolin" w:hint="cs"/>
          <w:rtl/>
          <w:lang w:bidi="he-IL"/>
        </w:rPr>
        <w:t>נו. והביא שהפר"ח רצה לומר שבשר וחלב הוו כמו חמץ דלית בהו</w:t>
      </w:r>
      <w:r w:rsidRPr="00882F11">
        <w:rPr>
          <w:rFonts w:cs="Guttman Drogolin" w:hint="cs"/>
          <w:rtl/>
          <w:lang w:bidi="he-IL"/>
        </w:rPr>
        <w:t xml:space="preserve"> דינא דהיתירא בלע, אבל הביא רע"א שברשב"א מבואר דאע"ג דחמץ מיקרי איסורא בלע, מ"מ בשר או חלב מיקרו היתירא בלע. ולכן כתבו בזה רע"א ועוד כמה אחרונים שבבלע בשר או חלב אפילו ע"י האור דינו בהגעלה. </w:t>
      </w:r>
    </w:p>
    <w:p w:rsidR="002D551A" w:rsidRPr="00882F11" w:rsidRDefault="00CB04BA" w:rsidP="00280678">
      <w:pPr>
        <w:tabs>
          <w:tab w:val="right" w:pos="7497"/>
        </w:tabs>
        <w:bidi/>
        <w:jc w:val="both"/>
        <w:rPr>
          <w:rFonts w:cs="Guttman Drogolin"/>
          <w:rtl/>
          <w:lang w:bidi="he-IL"/>
        </w:rPr>
      </w:pPr>
      <w:r w:rsidRPr="00882F11">
        <w:rPr>
          <w:rFonts w:cs="Guttman Drogolin" w:hint="cs"/>
          <w:rtl/>
          <w:lang w:bidi="he-IL"/>
        </w:rPr>
        <w:t xml:space="preserve">אמנם עדיין עלינו להסתפק מה יהא הדין כשצלה בשר בכלי ושוב בישל בה חלב כשעדיין הכל בן יומו. והנה ראיתי במגי"ס לסי' צ"ג שהעיר שאם צלו בשר בכלי ואח"כ צלו בו גבינה, ודאי דינו להכשירו בליבון. והטעם, שאמנם הבליעות של בשר שאינם יוצאים ע"י הגעלה אינם נאסרות, מ"מ הבליעות של בשר יוצאים לגבינה ואוסרים </w:t>
      </w:r>
      <w:r w:rsidRPr="00882F11">
        <w:rPr>
          <w:rFonts w:cs="Guttman Drogolin" w:hint="cs"/>
          <w:rtl/>
          <w:lang w:bidi="he-IL"/>
        </w:rPr>
        <w:lastRenderedPageBreak/>
        <w:t xml:space="preserve">אותו, ובליעות אלו שוב נכנסים לתוך הכלי, וכיון שנאסר הגבינה קודם שנכנס הבליעות לתוך הכלי הוי איסורא בלע ולכן ודאי צריך ליבון. אבל מה שיש לדון הוא בצלה בשר בכלי ואח"כ בישלו בה חלב, דכה"ג אפילו אם החלב נאסר (וכגון שאין ס' כנגד החלב) מ"מ הרי הוא נכנס דרך בישול ולכאורה מהני לו הגעלה, ואי משום הבליעות של בשר שנכנסו דרך צלי, הא מה שאינו יוצא דרך הגעלה אינו נאסר כיון שנכנס בהיתר. </w:t>
      </w:r>
      <w:r w:rsidR="002D551A" w:rsidRPr="00882F11">
        <w:rPr>
          <w:rFonts w:cs="Guttman Drogolin" w:hint="cs"/>
          <w:rtl/>
          <w:lang w:bidi="he-IL"/>
        </w:rPr>
        <w:t>אלא דלפי מה שנתבאר מרמ"ע פמאנו, לכאורה יהא הדין שהכלי שבישלו בה חלב שנאסר דינו בליבון, דהא לא נכנס האיסו</w:t>
      </w:r>
      <w:r w:rsidR="00280678">
        <w:rPr>
          <w:rFonts w:cs="Guttman Drogolin" w:hint="cs"/>
          <w:rtl/>
          <w:lang w:bidi="he-IL"/>
        </w:rPr>
        <w:t>ר</w:t>
      </w:r>
      <w:r w:rsidR="002D551A" w:rsidRPr="00882F11">
        <w:rPr>
          <w:rFonts w:cs="Guttman Drogolin" w:hint="cs"/>
          <w:rtl/>
          <w:lang w:bidi="he-IL"/>
        </w:rPr>
        <w:t xml:space="preserve"> מחמת אמצעי רק ע"י אחר, ולכן הוי כמו צליית גבינה הנ"ל וצריך ליבון. ומשמעות דברי רע"א על הש"ך הנ"ל משמע להחמיר כשיטת הרמ"ע.</w:t>
      </w:r>
    </w:p>
    <w:p w:rsidR="003B7D77" w:rsidRPr="00882F11" w:rsidRDefault="002D551A" w:rsidP="003B7D77">
      <w:pPr>
        <w:tabs>
          <w:tab w:val="right" w:pos="7497"/>
        </w:tabs>
        <w:bidi/>
        <w:jc w:val="both"/>
        <w:rPr>
          <w:rFonts w:cs="Guttman Drogolin"/>
          <w:rtl/>
          <w:lang w:bidi="he-IL"/>
        </w:rPr>
      </w:pPr>
      <w:r w:rsidRPr="00882F11">
        <w:rPr>
          <w:rFonts w:cs="Guttman Drogolin" w:hint="cs"/>
          <w:rtl/>
          <w:lang w:bidi="he-IL"/>
        </w:rPr>
        <w:t>והנה החזו"א באו"ח סי' קי"ט ס"ק י"ט</w:t>
      </w:r>
      <w:r w:rsidR="00414889" w:rsidRPr="00882F11">
        <w:rPr>
          <w:rFonts w:cs="Guttman Drogolin" w:hint="cs"/>
          <w:rtl/>
          <w:lang w:bidi="he-IL"/>
        </w:rPr>
        <w:t xml:space="preserve"> מאד התקשה בדברי הרמ"ע. וטעמו שהרי הראשונים נחלקו </w:t>
      </w:r>
      <w:r w:rsidR="00A3598B" w:rsidRPr="00882F11">
        <w:rPr>
          <w:rFonts w:cs="Guttman Drogolin" w:hint="cs"/>
          <w:rtl/>
          <w:lang w:bidi="he-IL"/>
        </w:rPr>
        <w:t xml:space="preserve">אם מחבת דינו בהגעלה או בליבון, ומשמעות הדברים שנחלקו בין במחבת של חמץ ובין במחבת הקנה מן העכו"ם, ומבואר שם שיסוד פלוגתתם אי אמרינן שכיון שנבלע ע"י משקין דינו בהגעלה או"ד חוששים שמא ישרף ויהא בולע שלא ע"י משקין ולכן דינו בליבון. וכיון שהרי יש במחבת של עכו"ם ג"כ שומן של נבילה וקרבי דגים וכו' וכמש"כ הרמ"ע ומ"מ אמרינן שדינו בהגעלה עד כמה שלא חוששים לבליעה שלא ע"י משקין, חזינן </w:t>
      </w:r>
      <w:r w:rsidR="00251F6A" w:rsidRPr="00882F11">
        <w:rPr>
          <w:rFonts w:cs="Guttman Drogolin" w:hint="cs"/>
          <w:rtl/>
          <w:lang w:bidi="he-IL"/>
        </w:rPr>
        <w:t xml:space="preserve">דכל שבלע ע"י משקין דינו בהגעלה אע"ג </w:t>
      </w:r>
      <w:r w:rsidR="003B7D77" w:rsidRPr="00882F11">
        <w:rPr>
          <w:rFonts w:cs="Guttman Drogolin" w:hint="cs"/>
          <w:rtl/>
          <w:lang w:bidi="he-IL"/>
        </w:rPr>
        <w:t>דהוו משקין האסורין. ולכן נקט החזו"א לדינא דלא כדברי הרמ"ע ולעולם אם נבלע ע"י משקין אפילו משקין האסורים אינו צריך אלא הגעלה.</w:t>
      </w:r>
    </w:p>
    <w:p w:rsidR="00884941" w:rsidRPr="00882F11" w:rsidRDefault="003B7D77" w:rsidP="0038433D">
      <w:pPr>
        <w:tabs>
          <w:tab w:val="right" w:pos="7497"/>
        </w:tabs>
        <w:bidi/>
        <w:jc w:val="both"/>
        <w:rPr>
          <w:rFonts w:cs="Guttman Drogolin"/>
          <w:rtl/>
          <w:lang w:bidi="he-IL"/>
        </w:rPr>
      </w:pPr>
      <w:r w:rsidRPr="00882F11">
        <w:rPr>
          <w:rFonts w:cs="Guttman Drogolin" w:hint="cs"/>
          <w:rtl/>
          <w:lang w:bidi="he-IL"/>
        </w:rPr>
        <w:t>ובשו"ת חת"ס יו"ד סי' קי"א (מובא כאן בפת"ש</w:t>
      </w:r>
      <w:r w:rsidR="00A3598B" w:rsidRPr="00882F11">
        <w:rPr>
          <w:rFonts w:cs="Guttman Drogolin" w:hint="cs"/>
          <w:rtl/>
          <w:lang w:bidi="he-IL"/>
        </w:rPr>
        <w:t xml:space="preserve"> </w:t>
      </w:r>
      <w:r w:rsidRPr="00882F11">
        <w:rPr>
          <w:rFonts w:cs="Guttman Drogolin" w:hint="cs"/>
          <w:rtl/>
          <w:lang w:bidi="he-IL"/>
        </w:rPr>
        <w:t>ס"ק ד') רצה לומר שגם הרמ"ע לא התכוין לומר שאם נבלע ע"י בישול משקין האסורים שלא יהא מותר בהגעלה, דהא אמרינן דכבולעו כך פולטו.</w:t>
      </w:r>
      <w:r w:rsidR="0038433D" w:rsidRPr="00882F11">
        <w:rPr>
          <w:rFonts w:cs="Guttman Drogolin" w:hint="cs"/>
          <w:rtl/>
          <w:lang w:bidi="he-IL"/>
        </w:rPr>
        <w:t xml:space="preserve"> רק כוונתו בכגון שומן שאינו נחשב דרך בישול, ולכן שייך הכלל דכבולעו כך פולטו, מ"מ יש להקל </w:t>
      </w:r>
      <w:r w:rsidR="0038433D" w:rsidRPr="00882F11">
        <w:rPr>
          <w:rFonts w:cs="Guttman Drogolin" w:hint="cs"/>
          <w:rtl/>
          <w:lang w:bidi="he-IL"/>
        </w:rPr>
        <w:lastRenderedPageBreak/>
        <w:t>ע"י הגעלה בכה"ג שהאיסור לא נכנס ע"י עצמו</w:t>
      </w:r>
      <w:r w:rsidR="00F900A7" w:rsidRPr="00882F11">
        <w:rPr>
          <w:rFonts w:cs="Guttman Drogolin" w:hint="cs"/>
          <w:rtl/>
          <w:lang w:bidi="he-IL"/>
        </w:rPr>
        <w:t>, ובזה הוא דמחלקינן בין כלי עכו"ם שבולעין ע"י האיסור עצמו לכלי חמץ שהוא ע"י אמצעי. ויש בדבריו כמה חידושים. חדא דשומן לא נחשב ע"י משקין</w:t>
      </w:r>
      <w:r w:rsidR="00E33770" w:rsidRPr="00882F11">
        <w:rPr>
          <w:rFonts w:cs="Guttman Drogolin" w:hint="cs"/>
          <w:rtl/>
          <w:lang w:bidi="he-IL"/>
        </w:rPr>
        <w:t xml:space="preserve"> ולא שייך אליו הדין דכבולעו כך פולטו, ומדברי הראשונים נראה אחרת וכמו שהעיר החזו"א הנ"ל. עוד יש חידוש דאע"ג שלדבריו לא שייך הגעלה לבליעת שומן אן אסור מחמת עצמו, מ"מ שייך הגעלה אם לא נכנס ע" עצמו, וצ"ע מהו טעמו של דבר. ועוד דקדקו כמה אחרונים שמדברי הרמ"ע והש"ך בדעתו משמע דלא כדעת החת"ס, והכל תלוי אם נכנס ע"י עצמו ואפילו דרך בישול. ולכאורה א"כ בפרט מכח הערת החזו"א נראה דשורת הדין הוא דלא כרמ"ע ולכן בניד"ד שצלו בשר ואח"כ בישלו חלב סגי בהגעלה. (אמנם אם הוא חמאה לכאורה לחת"ס צריך ליבון, ואילו לחזו"א סגי בהגעלה. ולכאורה גם בזה נראה שהדין הוא להקל, בפרט אחרי מעל"ע שאינו אלא גזירה דאינו בן יומו אטו בן יומו. ויל"ע בזה).</w:t>
      </w:r>
    </w:p>
    <w:p w:rsidR="00884941" w:rsidRPr="00803D0F" w:rsidRDefault="00884941" w:rsidP="00803D0F">
      <w:pPr>
        <w:pStyle w:val="Heading1"/>
        <w:bidi/>
        <w:spacing w:before="0" w:line="240" w:lineRule="auto"/>
        <w:jc w:val="center"/>
        <w:rPr>
          <w:rFonts w:cs="Guttman Drogolin"/>
          <w:color w:val="auto"/>
          <w:sz w:val="24"/>
          <w:szCs w:val="24"/>
          <w:u w:val="single"/>
          <w:rtl/>
          <w:lang w:bidi="he-IL"/>
        </w:rPr>
      </w:pPr>
      <w:bookmarkStart w:id="513" w:name="_Toc496175754"/>
      <w:r w:rsidRPr="00803D0F">
        <w:rPr>
          <w:rFonts w:cs="Guttman Drogolin" w:hint="cs"/>
          <w:color w:val="auto"/>
          <w:sz w:val="24"/>
          <w:szCs w:val="24"/>
          <w:u w:val="single"/>
          <w:rtl/>
          <w:lang w:bidi="he-IL"/>
        </w:rPr>
        <w:t>ביאור שיטת הפר"ח דבשר וחלב דינם כחמץ לענין הכשר כלים</w:t>
      </w:r>
      <w:bookmarkEnd w:id="513"/>
    </w:p>
    <w:p w:rsidR="00D602ED" w:rsidRPr="00882F11" w:rsidRDefault="00BB4151" w:rsidP="00A507D1">
      <w:pPr>
        <w:tabs>
          <w:tab w:val="right" w:pos="7497"/>
        </w:tabs>
        <w:bidi/>
        <w:jc w:val="both"/>
        <w:rPr>
          <w:rFonts w:cs="Guttman Drogolin"/>
          <w:rtl/>
          <w:lang w:bidi="he-IL"/>
        </w:rPr>
      </w:pPr>
      <w:r>
        <w:rPr>
          <w:rFonts w:cs="Guttman Drogolin"/>
          <w:rtl/>
          <w:lang w:bidi="he-IL"/>
        </w:rPr>
        <w:fldChar w:fldCharType="begin"/>
      </w:r>
      <w:r>
        <w:instrText xml:space="preserve"> XE "</w:instrText>
      </w:r>
      <w:r w:rsidRPr="003929C9">
        <w:rPr>
          <w:rFonts w:hint="cs"/>
          <w:rtl/>
          <w:lang w:bidi="he-IL"/>
        </w:rPr>
        <w:instrText>הכשר כלים</w:instrText>
      </w:r>
      <w:r w:rsidRPr="003929C9">
        <w:rPr>
          <w:rtl/>
        </w:rPr>
        <w:instrText>:</w:instrText>
      </w:r>
      <w:r w:rsidRPr="003929C9">
        <w:rPr>
          <w:rFonts w:hint="cs"/>
          <w:rtl/>
          <w:lang w:bidi="he-IL"/>
        </w:rPr>
        <w:instrText>אם כלי בשר וחל</w:instrText>
      </w:r>
      <w:r w:rsidR="00201810">
        <w:rPr>
          <w:rFonts w:hint="cs"/>
          <w:rtl/>
          <w:lang w:bidi="he-IL"/>
        </w:rPr>
        <w:instrText>ב</w:instrText>
      </w:r>
      <w:r w:rsidRPr="003929C9">
        <w:rPr>
          <w:rFonts w:hint="cs"/>
          <w:rtl/>
          <w:lang w:bidi="he-IL"/>
        </w:rPr>
        <w:instrText xml:space="preserve"> דינם כבלוע חמץ</w:instrText>
      </w:r>
      <w:r>
        <w:instrText xml:space="preserve">" </w:instrText>
      </w:r>
      <w:r>
        <w:rPr>
          <w:rFonts w:cs="Guttman Drogolin"/>
          <w:rtl/>
          <w:lang w:bidi="he-IL"/>
        </w:rPr>
        <w:fldChar w:fldCharType="end"/>
      </w:r>
      <w:r w:rsidR="00884941" w:rsidRPr="00882F11">
        <w:rPr>
          <w:rFonts w:cs="Guttman Drogolin" w:hint="cs"/>
          <w:rtl/>
          <w:lang w:bidi="he-IL"/>
        </w:rPr>
        <w:t>הבאנו לעיל דעת הפר"ח בביאור שיטת הש"ך שכשבלע בשר או חלב ע"י האור</w:t>
      </w:r>
      <w:r w:rsidR="00DA6CED" w:rsidRPr="00882F11">
        <w:rPr>
          <w:rFonts w:cs="Guttman Drogolin" w:hint="cs"/>
          <w:rtl/>
          <w:lang w:bidi="he-IL"/>
        </w:rPr>
        <w:t xml:space="preserve"> דינו כחמץ</w:t>
      </w:r>
      <w:r w:rsidR="00AF28DA" w:rsidRPr="00882F11">
        <w:rPr>
          <w:rStyle w:val="FootnoteReference"/>
          <w:rFonts w:cs="Guttman Drogolin"/>
          <w:rtl/>
          <w:lang w:bidi="he-IL"/>
        </w:rPr>
        <w:footnoteReference w:id="518"/>
      </w:r>
      <w:r w:rsidR="00DA6CED" w:rsidRPr="00882F11">
        <w:rPr>
          <w:rFonts w:cs="Guttman Drogolin" w:hint="cs"/>
          <w:rtl/>
          <w:lang w:bidi="he-IL"/>
        </w:rPr>
        <w:t>, וכיון דקיי"ל דחמץ שמו עליו הה"נ בהנהו. ונראה לבאר הסברא בזה יותר. דהנה כבר הבאנו</w:t>
      </w:r>
      <w:r w:rsidR="000672CD" w:rsidRPr="00882F11">
        <w:rPr>
          <w:rStyle w:val="FootnoteReference"/>
          <w:rFonts w:cs="Guttman Drogolin"/>
          <w:rtl/>
          <w:lang w:bidi="he-IL"/>
        </w:rPr>
        <w:footnoteReference w:id="519"/>
      </w:r>
      <w:r w:rsidR="00DA6CED" w:rsidRPr="00882F11">
        <w:rPr>
          <w:rFonts w:cs="Guttman Drogolin" w:hint="cs"/>
          <w:rtl/>
          <w:lang w:bidi="he-IL"/>
        </w:rPr>
        <w:t xml:space="preserve"> מקודם כמה פעמים לחקור ביסוד האיסור של בב"ח מהו. האם הגדר הוא שהבשר אוסר את החלב וכן להיפך. או"ד שיסוד האיסור</w:t>
      </w:r>
      <w:r w:rsidR="002C6E24" w:rsidRPr="00882F11">
        <w:rPr>
          <w:rFonts w:cs="Guttman Drogolin" w:hint="cs"/>
          <w:rtl/>
          <w:lang w:bidi="he-IL"/>
        </w:rPr>
        <w:t xml:space="preserve"> של בב"ח הוא התערובת של שניהם, ולא שא' אוסר את השני. ולכאורה אם גדר האיסור הוא שהחלב אוסר את החלב וכן להיפך, י"ל שכוונת הדברים שהחלב נהפך להיות שם בשר בחלב אחרי שנאסר, וכן הבשר נהפך לשם זה. </w:t>
      </w:r>
      <w:r w:rsidR="004F185D" w:rsidRPr="00882F11">
        <w:rPr>
          <w:rFonts w:cs="Guttman Drogolin" w:hint="cs"/>
          <w:rtl/>
          <w:lang w:bidi="he-IL"/>
        </w:rPr>
        <w:t xml:space="preserve">וא"כ לכאורה יש לחלק בין בב"ח לחמץ וכמו שהעיר רע"א מדברי הרשב"א. אבל אם עיקר גדר האיסור הוא תערובת של שניהם, הא שם בשר ושם חלב יש כבר מעיקרא, וא"כ שפיר איכא למימר דשמו </w:t>
      </w:r>
      <w:r w:rsidR="004F185D" w:rsidRPr="00882F11">
        <w:rPr>
          <w:rFonts w:cs="Guttman Drogolin" w:hint="cs"/>
          <w:rtl/>
          <w:lang w:bidi="he-IL"/>
        </w:rPr>
        <w:lastRenderedPageBreak/>
        <w:t xml:space="preserve">עליו. שוב חשבתי שאפשר לומר גם ההיפך. </w:t>
      </w:r>
      <w:r w:rsidR="00A507D1" w:rsidRPr="00882F11">
        <w:rPr>
          <w:rFonts w:cs="Guttman Drogolin" w:hint="cs"/>
          <w:rtl/>
          <w:lang w:bidi="he-IL"/>
        </w:rPr>
        <w:t xml:space="preserve">והיינו שאם גדר האיסור הוא תערובת של שניהם, הא אין לנו 'בשר בחלב' עד שיאסר, והוא שם חדש שחל אתרוייהו אחרי שהתבשלו יחד. משא"כ אם הוא ענין שא' אוסר את השני, הא אין זה אלא חלב האוסר ובשר האסור, והוא דוגמת חמץ שמוקדם הוא אסור ולאחר מכן מותר. ויל"ע בזה.  </w:t>
      </w:r>
      <w:r w:rsidR="00DA6CED" w:rsidRPr="00882F11">
        <w:rPr>
          <w:rFonts w:cs="Guttman Drogolin" w:hint="cs"/>
          <w:rtl/>
          <w:lang w:bidi="he-IL"/>
        </w:rPr>
        <w:t xml:space="preserve"> </w:t>
      </w:r>
      <w:r w:rsidR="00E33770" w:rsidRPr="00882F11">
        <w:rPr>
          <w:rFonts w:cs="Guttman Drogolin" w:hint="cs"/>
          <w:rtl/>
          <w:lang w:bidi="he-IL"/>
        </w:rPr>
        <w:t xml:space="preserve"> </w:t>
      </w:r>
      <w:r w:rsidR="0038433D" w:rsidRPr="00882F11">
        <w:rPr>
          <w:rFonts w:cs="Guttman Drogolin" w:hint="cs"/>
          <w:rtl/>
          <w:lang w:bidi="he-IL"/>
        </w:rPr>
        <w:t xml:space="preserve"> </w:t>
      </w:r>
      <w:r w:rsidR="005B1063" w:rsidRPr="00882F11">
        <w:rPr>
          <w:rFonts w:cs="Guttman Drogolin" w:hint="cs"/>
          <w:rtl/>
          <w:lang w:bidi="he-IL"/>
        </w:rPr>
        <w:t xml:space="preserve"> </w:t>
      </w:r>
      <w:r w:rsidR="003B7D77" w:rsidRPr="00882F11">
        <w:rPr>
          <w:rFonts w:cs="Guttman Drogolin" w:hint="cs"/>
          <w:rtl/>
          <w:lang w:bidi="he-IL"/>
        </w:rPr>
        <w:t xml:space="preserve">  </w:t>
      </w:r>
      <w:r w:rsidR="00CB04BA" w:rsidRPr="00882F11">
        <w:rPr>
          <w:rFonts w:cs="Guttman Drogolin" w:hint="cs"/>
          <w:rtl/>
          <w:lang w:bidi="he-IL"/>
        </w:rPr>
        <w:t xml:space="preserve"> </w:t>
      </w:r>
    </w:p>
    <w:p w:rsidR="00D602ED" w:rsidRPr="00882F11" w:rsidRDefault="00D602ED" w:rsidP="00D602ED">
      <w:pPr>
        <w:tabs>
          <w:tab w:val="right" w:pos="7497"/>
        </w:tabs>
        <w:bidi/>
        <w:jc w:val="both"/>
        <w:rPr>
          <w:rFonts w:cs="Guttman Drogolin"/>
          <w:rtl/>
          <w:lang w:bidi="he-IL"/>
        </w:rPr>
        <w:sectPr w:rsidR="00D602ED" w:rsidRPr="00882F11" w:rsidSect="00803D0F">
          <w:type w:val="continuous"/>
          <w:pgSz w:w="11907" w:h="16839" w:code="9"/>
          <w:pgMar w:top="1440" w:right="1440" w:bottom="1440" w:left="1440" w:header="720" w:footer="720" w:gutter="0"/>
          <w:cols w:num="2" w:space="720"/>
          <w:bidi/>
          <w:docGrid w:linePitch="360"/>
        </w:sectPr>
      </w:pPr>
    </w:p>
    <w:p w:rsidR="00D602ED" w:rsidRPr="00882F11" w:rsidRDefault="00D602ED" w:rsidP="00D602ED">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קל"ד</w:t>
      </w:r>
    </w:p>
    <w:p w:rsidR="00803D0F" w:rsidRDefault="00803D0F" w:rsidP="00D602ED">
      <w:pPr>
        <w:pStyle w:val="Heading1"/>
        <w:bidi/>
        <w:spacing w:before="0" w:line="360" w:lineRule="auto"/>
        <w:jc w:val="center"/>
        <w:rPr>
          <w:rFonts w:cs="Guttman Drogolin"/>
          <w:color w:val="auto"/>
          <w:sz w:val="24"/>
          <w:szCs w:val="24"/>
          <w:u w:val="single"/>
          <w:rtl/>
          <w:lang w:bidi="he-IL"/>
        </w:rPr>
        <w:sectPr w:rsidR="00803D0F" w:rsidSect="00803D0F">
          <w:pgSz w:w="11907" w:h="16839" w:code="9"/>
          <w:pgMar w:top="1440" w:right="1440" w:bottom="1440" w:left="1440" w:header="720" w:footer="720" w:gutter="0"/>
          <w:cols w:space="720"/>
          <w:bidi/>
          <w:docGrid w:linePitch="360"/>
        </w:sectPr>
      </w:pPr>
    </w:p>
    <w:p w:rsidR="00D602ED" w:rsidRPr="00882F11" w:rsidRDefault="00D602ED" w:rsidP="00D602ED">
      <w:pPr>
        <w:pStyle w:val="Heading1"/>
        <w:bidi/>
        <w:spacing w:before="0" w:line="360" w:lineRule="auto"/>
        <w:jc w:val="center"/>
        <w:rPr>
          <w:rFonts w:cs="Guttman Drogolin"/>
          <w:color w:val="auto"/>
          <w:sz w:val="24"/>
          <w:szCs w:val="24"/>
          <w:u w:val="single"/>
          <w:rtl/>
          <w:lang w:bidi="he-IL"/>
        </w:rPr>
      </w:pPr>
      <w:bookmarkStart w:id="514" w:name="_Toc496175755"/>
      <w:r w:rsidRPr="00882F11">
        <w:rPr>
          <w:rFonts w:cs="Guttman Drogolin" w:hint="cs"/>
          <w:color w:val="auto"/>
          <w:sz w:val="24"/>
          <w:szCs w:val="24"/>
          <w:u w:val="single"/>
          <w:rtl/>
          <w:lang w:bidi="he-IL"/>
        </w:rPr>
        <w:lastRenderedPageBreak/>
        <w:t>הגעיל כלי הטעון ליבון</w:t>
      </w:r>
      <w:bookmarkEnd w:id="514"/>
    </w:p>
    <w:p w:rsidR="00D50460" w:rsidRPr="00882F11" w:rsidRDefault="00BB4151" w:rsidP="00B34915">
      <w:pPr>
        <w:tabs>
          <w:tab w:val="right" w:pos="7497"/>
        </w:tabs>
        <w:bidi/>
        <w:jc w:val="both"/>
        <w:rPr>
          <w:rFonts w:cs="Guttman Drogolin"/>
          <w:rtl/>
          <w:lang w:bidi="he-IL"/>
        </w:rPr>
      </w:pPr>
      <w:r>
        <w:rPr>
          <w:rFonts w:cs="Guttman Drogolin"/>
          <w:rtl/>
          <w:lang w:bidi="he-IL"/>
        </w:rPr>
        <w:fldChar w:fldCharType="begin"/>
      </w:r>
      <w:r>
        <w:instrText xml:space="preserve"> XE "</w:instrText>
      </w:r>
      <w:r w:rsidRPr="000D2643">
        <w:rPr>
          <w:rFonts w:hint="cs"/>
          <w:rtl/>
          <w:lang w:bidi="he-IL"/>
        </w:rPr>
        <w:instrText>הכשר כלים</w:instrText>
      </w:r>
      <w:r w:rsidRPr="000D2643">
        <w:rPr>
          <w:rtl/>
        </w:rPr>
        <w:instrText>:</w:instrText>
      </w:r>
      <w:r w:rsidRPr="000D2643">
        <w:rPr>
          <w:rFonts w:hint="cs"/>
          <w:rtl/>
          <w:lang w:bidi="he-IL"/>
        </w:rPr>
        <w:instrText>הגעיל כלי הטעון ליבון</w:instrText>
      </w:r>
      <w:r>
        <w:instrText xml:space="preserve">" </w:instrText>
      </w:r>
      <w:r>
        <w:rPr>
          <w:rFonts w:cs="Guttman Drogolin"/>
          <w:rtl/>
          <w:lang w:bidi="he-IL"/>
        </w:rPr>
        <w:fldChar w:fldCharType="end"/>
      </w:r>
      <w:r w:rsidR="00D602ED" w:rsidRPr="00882F11">
        <w:rPr>
          <w:rFonts w:cs="Guttman Drogolin" w:hint="cs"/>
          <w:rtl/>
          <w:lang w:bidi="he-IL"/>
        </w:rPr>
        <w:t>כתב השו"ע בסי' קכ"א סע' ה' שאם הגעיל כלי הטעון ליבון אסור להשתמש בו חמין אפילו שלא ע"י האש. והוא שיטת כמה ראשונים דהא דאמרינן שדבר שתשמישו ע"י האור צריך ליבון, אין זה אך ורק להשתמש בו על האור, אלא גם ברותחין אסור, דוגמת כלי חרס דלא מהני לה הגעלה ולא אמרינן שמה שיצא בפעם הראשון שוב אינו יוצא. וברמ"א שם כתב "ו</w:t>
      </w:r>
      <w:r w:rsidR="00D602ED" w:rsidRPr="00882F11">
        <w:rPr>
          <w:rFonts w:cs="Guttman Drogolin"/>
          <w:rtl/>
          <w:lang w:bidi="he-IL"/>
        </w:rPr>
        <w:t>אפילו תיבות ושלחנות הנקחים מן העובד כוכבים נוהגין להגעיל שמא נשפכו עליהם חמין ודוקא לכתחלה אבל בדיעבד אין לחוש</w:t>
      </w:r>
      <w:r w:rsidR="00D602ED" w:rsidRPr="00882F11">
        <w:rPr>
          <w:rFonts w:cs="Guttman Drogolin" w:hint="cs"/>
          <w:rtl/>
          <w:lang w:bidi="he-IL"/>
        </w:rPr>
        <w:t xml:space="preserve">". וכתב הט"ז בס"ק ה' </w:t>
      </w:r>
      <w:r w:rsidR="001F4D84" w:rsidRPr="00882F11">
        <w:rPr>
          <w:rFonts w:cs="Guttman Drogolin" w:hint="cs"/>
          <w:rtl/>
          <w:lang w:bidi="he-IL"/>
        </w:rPr>
        <w:t>דמש"כ הרמ"א שבדיעבד אין לחוש</w:t>
      </w:r>
      <w:r w:rsidR="001F4D84" w:rsidRPr="00882F11">
        <w:rPr>
          <w:rFonts w:cs="Guttman Drogolin"/>
          <w:rtl/>
          <w:lang w:bidi="he-IL"/>
        </w:rPr>
        <w:t xml:space="preserve"> לא קאי</w:t>
      </w:r>
      <w:r w:rsidR="001F4D84" w:rsidRPr="00882F11">
        <w:rPr>
          <w:rFonts w:cs="Guttman Drogolin" w:hint="cs"/>
          <w:rtl/>
          <w:lang w:bidi="he-IL"/>
        </w:rPr>
        <w:t xml:space="preserve"> אלא</w:t>
      </w:r>
      <w:r w:rsidR="001F4D84" w:rsidRPr="00882F11">
        <w:rPr>
          <w:rFonts w:cs="Guttman Drogolin"/>
          <w:rtl/>
          <w:lang w:bidi="he-IL"/>
        </w:rPr>
        <w:t xml:space="preserve"> אדברי ההג"ה</w:t>
      </w:r>
      <w:r w:rsidR="001F4D84" w:rsidRPr="00882F11">
        <w:rPr>
          <w:rFonts w:cs="Guttman Drogolin" w:hint="cs"/>
          <w:rtl/>
          <w:lang w:bidi="he-IL"/>
        </w:rPr>
        <w:t>,</w:t>
      </w:r>
      <w:r w:rsidR="001F4D84" w:rsidRPr="00882F11">
        <w:rPr>
          <w:rFonts w:cs="Guttman Drogolin"/>
          <w:rtl/>
          <w:lang w:bidi="he-IL"/>
        </w:rPr>
        <w:t xml:space="preserve"> אבל אמה שכתב הש"ע </w:t>
      </w:r>
      <w:r w:rsidR="001F4D84" w:rsidRPr="00882F11">
        <w:rPr>
          <w:rFonts w:cs="Guttman Drogolin" w:hint="cs"/>
          <w:rtl/>
          <w:lang w:bidi="he-IL"/>
        </w:rPr>
        <w:t>ש</w:t>
      </w:r>
      <w:r w:rsidR="001F4D84" w:rsidRPr="00882F11">
        <w:rPr>
          <w:rFonts w:cs="Guttman Drogolin"/>
          <w:rtl/>
          <w:lang w:bidi="he-IL"/>
        </w:rPr>
        <w:t xml:space="preserve">אם הגעיל כלי הצריך ליבון כו' אפילו </w:t>
      </w:r>
      <w:r w:rsidR="001F4D84" w:rsidRPr="00882F11">
        <w:rPr>
          <w:rFonts w:cs="Guttman Drogolin" w:hint="cs"/>
          <w:rtl/>
          <w:lang w:bidi="he-IL"/>
        </w:rPr>
        <w:t>ב</w:t>
      </w:r>
      <w:r w:rsidR="001F4D84" w:rsidRPr="00882F11">
        <w:rPr>
          <w:rFonts w:cs="Guttman Drogolin"/>
          <w:rtl/>
          <w:lang w:bidi="he-IL"/>
        </w:rPr>
        <w:t>דיעבד אסור</w:t>
      </w:r>
      <w:r w:rsidR="001F4D84" w:rsidRPr="00882F11">
        <w:rPr>
          <w:rFonts w:cs="Guttman Drogolin" w:hint="cs"/>
          <w:rtl/>
          <w:lang w:bidi="he-IL"/>
        </w:rPr>
        <w:t>. ולפום ריהטא כוונתו שאם שצלו בכלי דבר אסור על האור, ושוב הגעיל הכלי ועדיין הוא בן יומו, אם בישל בכלי מאכל אחר והוא עדיין בן יומו הרי הוא אוסר המאכל. והוסיף "</w:t>
      </w:r>
      <w:r w:rsidR="001F4D84" w:rsidRPr="00882F11">
        <w:rPr>
          <w:rFonts w:cs="Guttman Drogolin"/>
          <w:rtl/>
          <w:lang w:bidi="he-IL"/>
        </w:rPr>
        <w:t>וזה פשוט</w:t>
      </w:r>
      <w:r w:rsidR="001F4D84" w:rsidRPr="00882F11">
        <w:rPr>
          <w:rFonts w:cs="Guttman Drogolin" w:hint="cs"/>
          <w:rtl/>
          <w:lang w:bidi="he-IL"/>
        </w:rPr>
        <w:t xml:space="preserve">". והנה לכאורה אין זה פשוט כלל, דהא שיטת הרמב"ן והריטב"א בסוף מס' ע"ז </w:t>
      </w:r>
      <w:r w:rsidR="00B34915" w:rsidRPr="00882F11">
        <w:rPr>
          <w:rFonts w:cs="Guttman Drogolin" w:hint="cs"/>
          <w:rtl/>
          <w:lang w:bidi="he-IL"/>
        </w:rPr>
        <w:t xml:space="preserve">שהשפוד שצלו בה קרבן חטאת מותר לצלות בה קרבן שלמים, ולא חיישינן לזה שממעט אוכליו או זמן אכילתו כיון שמגעיל השפוד קודם, ואחרי שמגעיל השפוד אמרינן דמסתא כבר אינו נותן טעם, וכיון שאינו נותן טעם לא אמרינן שדינו כמו הקרבן הראשון. וא"כ לכאורה אדרבה, הדין הי' צריך להיות שאין התבשיל השני אסור בדיעבד כלל. </w:t>
      </w:r>
    </w:p>
    <w:p w:rsidR="00D50460" w:rsidRPr="00882F11" w:rsidRDefault="00D50460" w:rsidP="00D50460">
      <w:pPr>
        <w:tabs>
          <w:tab w:val="right" w:pos="7497"/>
        </w:tabs>
        <w:bidi/>
        <w:jc w:val="both"/>
        <w:rPr>
          <w:rFonts w:cs="Guttman Drogolin"/>
          <w:rtl/>
          <w:lang w:bidi="he-IL"/>
        </w:rPr>
      </w:pPr>
      <w:r w:rsidRPr="00882F11">
        <w:rPr>
          <w:rFonts w:cs="Guttman Drogolin" w:hint="cs"/>
          <w:rtl/>
          <w:lang w:bidi="he-IL"/>
        </w:rPr>
        <w:t xml:space="preserve">והנה בעיקר דברי הרמב"ן לכאורה צ"ע, שהרי הוא עצמו שם בחידושיו למס' ע"ז כתב דלא מהני הגעלה להכשיר כלי שתשמישו ע"י האור אפילו להשתמש בו בחמין שלא ע"י האור וכדברי השו"ע הנ"ל. ולכאורה צ"ע אמאי, הא ע"י ההגעלה לא נשאר אלא משהו ואינו נותן טעם, וא"כ למה לא יהא מותר לאחר מכן להשתמש בה חמין שלא </w:t>
      </w:r>
      <w:r w:rsidRPr="00882F11">
        <w:rPr>
          <w:rFonts w:cs="Guttman Drogolin" w:hint="cs"/>
          <w:rtl/>
          <w:lang w:bidi="he-IL"/>
        </w:rPr>
        <w:lastRenderedPageBreak/>
        <w:t>ע"י האור הא אינו אוסר התבשיל. ולכאורה התשובה לזה, דאע"ג שאינו אוסר התבשיל, מ"מ אסור להשתמש בה לכתחילה, כיון שסוף סוף יש שם בליעות שנותנים טעם לשבח רק שאין מספיק כדי ליתן בה טעם. וע' בחי' הריטב"א שם שמבואר שהוא משום שמבטל איסור לכתחילה. אמנם דבר זה לא מהני לענינינו, דהא בדיעבד הי' צריך להיות מותר עכ"פ בדיעבד, והט"ז הרי אסר המאכל אפילו בדיעבד.</w:t>
      </w:r>
    </w:p>
    <w:p w:rsidR="000E1CF8" w:rsidRPr="00882F11" w:rsidRDefault="00D50460" w:rsidP="000E1CF8">
      <w:pPr>
        <w:tabs>
          <w:tab w:val="right" w:pos="7497"/>
        </w:tabs>
        <w:bidi/>
        <w:jc w:val="both"/>
        <w:rPr>
          <w:rFonts w:cs="Guttman Drogolin"/>
          <w:rtl/>
          <w:lang w:bidi="he-IL"/>
        </w:rPr>
      </w:pPr>
      <w:r w:rsidRPr="00882F11">
        <w:rPr>
          <w:rFonts w:cs="Guttman Drogolin" w:hint="cs"/>
          <w:rtl/>
          <w:lang w:bidi="he-IL"/>
        </w:rPr>
        <w:t xml:space="preserve">ומצאתי לס' בית דוד </w:t>
      </w:r>
      <w:r w:rsidR="004A3ED9" w:rsidRPr="00882F11">
        <w:rPr>
          <w:rFonts w:cs="Guttman Drogolin" w:hint="cs"/>
          <w:rtl/>
          <w:lang w:bidi="he-IL"/>
        </w:rPr>
        <w:t>(ביסטריץ) שהביא גם מן המרדכי שאסר התבשי אפילו בדיעבד, אלא שדחה דיתכן דהנ"מ בפסח שאוסר במשהו, אבל לשאר איסורים שאינם אוסרים במשהו י"ל שמודה המרדכי שאינו אוסר בדיעבד. והביא מדברי   הרמב"ן במס' פסחים שכבר דמהני הגעלה גם לכלי חרס כדי שלא יהא בה אלא טעם משהו (ושמשו"ה קאמר שם בגמ' דליעביד בהו שלא במינו)</w:t>
      </w:r>
      <w:r w:rsidR="00DE16E7" w:rsidRPr="00882F11">
        <w:rPr>
          <w:rFonts w:cs="Guttman Drogolin" w:hint="cs"/>
          <w:rtl/>
          <w:lang w:bidi="he-IL"/>
        </w:rPr>
        <w:t xml:space="preserve">, ואם הדין כן בחרס, כ"ש במתכת. </w:t>
      </w:r>
      <w:r w:rsidR="007F1F7C" w:rsidRPr="00882F11">
        <w:rPr>
          <w:rFonts w:cs="Guttman Drogolin" w:hint="cs"/>
          <w:rtl/>
          <w:lang w:bidi="he-IL"/>
        </w:rPr>
        <w:t>ומכח דברי הרמב"ן הניח דברי הט"ז בצ"ע לדינא</w:t>
      </w:r>
      <w:r w:rsidR="005F0F05" w:rsidRPr="00882F11">
        <w:rPr>
          <w:rFonts w:cs="Guttman Drogolin" w:hint="cs"/>
          <w:rtl/>
          <w:lang w:bidi="he-IL"/>
        </w:rPr>
        <w:t>, אבל בסוף הביא שגם ברוקח מבואר</w:t>
      </w:r>
      <w:r w:rsidR="007F1F7C" w:rsidRPr="00882F11">
        <w:rPr>
          <w:rFonts w:cs="Guttman Drogolin" w:hint="cs"/>
          <w:rtl/>
          <w:lang w:bidi="he-IL"/>
        </w:rPr>
        <w:t xml:space="preserve"> כדעת הט"ז שאוסר התבשיל בדיעבד. וע' גם בערך השלחן (טייב) סי' קכ"</w:t>
      </w:r>
      <w:r w:rsidR="00361EC9" w:rsidRPr="00882F11">
        <w:rPr>
          <w:rFonts w:cs="Guttman Drogolin" w:hint="cs"/>
          <w:rtl/>
          <w:lang w:bidi="he-IL"/>
        </w:rPr>
        <w:t>א אות י"ג שהעיר מדברי הרמב"ן במס' פסחים וגם מדברי הריטב"א במס' ע"ז הנ"ל, והסיק דאע"ג שאין הלכה כמותם (לכאורה כוונתו משום דברי ה</w:t>
      </w:r>
      <w:r w:rsidR="004146CF" w:rsidRPr="00882F11">
        <w:rPr>
          <w:rFonts w:cs="Guttman Drogolin" w:hint="cs"/>
          <w:rtl/>
          <w:lang w:bidi="he-IL"/>
        </w:rPr>
        <w:t>ט"ז</w:t>
      </w:r>
      <w:r w:rsidR="00361EC9" w:rsidRPr="00882F11">
        <w:rPr>
          <w:rFonts w:cs="Guttman Drogolin" w:hint="cs"/>
          <w:rtl/>
          <w:lang w:bidi="he-IL"/>
        </w:rPr>
        <w:t xml:space="preserve"> והרוקח ועוד מפרשים</w:t>
      </w:r>
      <w:r w:rsidR="004146CF" w:rsidRPr="00882F11">
        <w:rPr>
          <w:rFonts w:cs="Guttman Drogolin" w:hint="cs"/>
          <w:rtl/>
          <w:lang w:bidi="he-IL"/>
        </w:rPr>
        <w:t xml:space="preserve"> שהחמירו בזה), מ"מ אפשר להקל ולש</w:t>
      </w:r>
      <w:r w:rsidR="000E1CF8" w:rsidRPr="00882F11">
        <w:rPr>
          <w:rFonts w:cs="Guttman Drogolin" w:hint="cs"/>
          <w:rtl/>
          <w:lang w:bidi="he-IL"/>
        </w:rPr>
        <w:t>ע</w:t>
      </w:r>
      <w:r w:rsidR="004146CF" w:rsidRPr="00882F11">
        <w:rPr>
          <w:rFonts w:cs="Guttman Drogolin" w:hint="cs"/>
          <w:rtl/>
          <w:lang w:bidi="he-IL"/>
        </w:rPr>
        <w:t>ר במאי דנפק מיני', וכן מותר להשתמש בה צונן</w:t>
      </w:r>
      <w:r w:rsidR="000E1CF8" w:rsidRPr="00882F11">
        <w:rPr>
          <w:rFonts w:cs="Guttman Drogolin" w:hint="cs"/>
          <w:rtl/>
          <w:lang w:bidi="he-IL"/>
        </w:rPr>
        <w:t xml:space="preserve"> קבוע</w:t>
      </w:r>
      <w:r w:rsidR="000E1CF8" w:rsidRPr="00882F11">
        <w:rPr>
          <w:rStyle w:val="FootnoteReference"/>
          <w:rFonts w:cs="Guttman Drogolin"/>
          <w:rtl/>
          <w:lang w:bidi="he-IL"/>
        </w:rPr>
        <w:footnoteReference w:id="520"/>
      </w:r>
      <w:r w:rsidR="000E1CF8" w:rsidRPr="00882F11">
        <w:rPr>
          <w:rFonts w:cs="Guttman Drogolin" w:hint="cs"/>
          <w:rtl/>
          <w:lang w:bidi="he-IL"/>
        </w:rPr>
        <w:t>.</w:t>
      </w:r>
      <w:r w:rsidR="00361EC9" w:rsidRPr="00882F11">
        <w:rPr>
          <w:rFonts w:cs="Guttman Drogolin" w:hint="cs"/>
          <w:rtl/>
          <w:lang w:bidi="he-IL"/>
        </w:rPr>
        <w:t xml:space="preserve"> </w:t>
      </w:r>
    </w:p>
    <w:p w:rsidR="005F0F05" w:rsidRPr="00882F11" w:rsidRDefault="000E1CF8" w:rsidP="005F0F05">
      <w:pPr>
        <w:tabs>
          <w:tab w:val="right" w:pos="7497"/>
        </w:tabs>
        <w:bidi/>
        <w:jc w:val="both"/>
        <w:rPr>
          <w:rFonts w:cs="Guttman Drogolin"/>
          <w:rtl/>
          <w:lang w:bidi="he-IL"/>
        </w:rPr>
      </w:pPr>
      <w:r w:rsidRPr="00882F11">
        <w:rPr>
          <w:rFonts w:cs="Guttman Drogolin" w:hint="cs"/>
          <w:rtl/>
          <w:lang w:bidi="he-IL"/>
        </w:rPr>
        <w:t>ו</w:t>
      </w:r>
      <w:r w:rsidR="005F0F05" w:rsidRPr="00882F11">
        <w:rPr>
          <w:rFonts w:cs="Guttman Drogolin" w:hint="cs"/>
          <w:rtl/>
          <w:lang w:bidi="he-IL"/>
        </w:rPr>
        <w:t>ל</w:t>
      </w:r>
      <w:r w:rsidRPr="00882F11">
        <w:rPr>
          <w:rFonts w:cs="Guttman Drogolin" w:hint="cs"/>
          <w:rtl/>
          <w:lang w:bidi="he-IL"/>
        </w:rPr>
        <w:t>ולא דברי</w:t>
      </w:r>
      <w:r w:rsidR="005F0F05" w:rsidRPr="00882F11">
        <w:rPr>
          <w:rFonts w:cs="Guttman Drogolin" w:hint="cs"/>
          <w:rtl/>
          <w:lang w:bidi="he-IL"/>
        </w:rPr>
        <w:t>הם</w:t>
      </w:r>
      <w:r w:rsidRPr="00882F11">
        <w:rPr>
          <w:rFonts w:cs="Guttman Drogolin" w:hint="cs"/>
          <w:rtl/>
          <w:lang w:bidi="he-IL"/>
        </w:rPr>
        <w:t xml:space="preserve">, </w:t>
      </w:r>
      <w:r w:rsidR="005F0F05" w:rsidRPr="00882F11">
        <w:rPr>
          <w:rFonts w:cs="Guttman Drogolin" w:hint="cs"/>
          <w:rtl/>
          <w:lang w:bidi="he-IL"/>
        </w:rPr>
        <w:t xml:space="preserve">לכאורה </w:t>
      </w:r>
      <w:r w:rsidRPr="00882F11">
        <w:rPr>
          <w:rFonts w:cs="Guttman Drogolin" w:hint="cs"/>
          <w:rtl/>
          <w:lang w:bidi="he-IL"/>
        </w:rPr>
        <w:t>מדברי הרמב"ן במס' פסחים</w:t>
      </w:r>
      <w:r w:rsidR="005F0F05" w:rsidRPr="00882F11">
        <w:rPr>
          <w:rFonts w:cs="Guttman Drogolin" w:hint="cs"/>
          <w:rtl/>
          <w:lang w:bidi="he-IL"/>
        </w:rPr>
        <w:t xml:space="preserve"> </w:t>
      </w:r>
      <w:r w:rsidRPr="00882F11">
        <w:rPr>
          <w:rFonts w:cs="Guttman Drogolin" w:hint="cs"/>
          <w:rtl/>
          <w:lang w:bidi="he-IL"/>
        </w:rPr>
        <w:t>עצמם מבואר שלא כדבריהם. שהרי הרמב"ן כתב דעד כן לא מקילינן לומר שאינו אוסר בדיעבד היכא דהגעילו כלי חרס אלא בכה"ג דהיתירא בלע, אבל איסורא בלע חיישינן לנתינת טעם. ואמרנו</w:t>
      </w:r>
      <w:r w:rsidRPr="00882F11">
        <w:rPr>
          <w:rStyle w:val="FootnoteReference"/>
          <w:rFonts w:cs="Guttman Drogolin"/>
          <w:rtl/>
          <w:lang w:bidi="he-IL"/>
        </w:rPr>
        <w:footnoteReference w:id="521"/>
      </w:r>
      <w:r w:rsidRPr="00882F11">
        <w:rPr>
          <w:rFonts w:cs="Guttman Drogolin" w:hint="cs"/>
          <w:rtl/>
          <w:lang w:bidi="he-IL"/>
        </w:rPr>
        <w:t xml:space="preserve"> שלכאורה הביאור בזה </w:t>
      </w:r>
      <w:r w:rsidR="005F0F05" w:rsidRPr="00882F11">
        <w:rPr>
          <w:rFonts w:cs="Guttman Drogolin" w:hint="cs"/>
          <w:rtl/>
          <w:lang w:bidi="he-IL"/>
        </w:rPr>
        <w:t xml:space="preserve">דאע"ג שמסתמא אין בה נתינת טעם, מ"מ אין זה מוכרח, ורק בהיתירא בלע הקילו בזה ולא </w:t>
      </w:r>
      <w:r w:rsidR="005F0F05" w:rsidRPr="00882F11">
        <w:rPr>
          <w:rFonts w:cs="Guttman Drogolin" w:hint="cs"/>
          <w:rtl/>
          <w:lang w:bidi="he-IL"/>
        </w:rPr>
        <w:lastRenderedPageBreak/>
        <w:t>באיסורא בלע, וברבינו דוד תמה גם בזה, דהא בדר"כ מחמירים בחמץ יותר מבשאר איסורים. ויהי' הביאור איך שיהי', עכ"פ מבואר שאפילו הרמב"ן מודה שבשאר איסורים אם הגעיל כלי חרס הרי הוא אוסר בדיעבד אא"כ טעמו קפילא. ומיני' שי"ל נמי כה"ג בכלי שצריך ליבון והגעילו, שאין סומכים על זה לכתחילה היכא בלע איסורא, ושאני חטאת שהיתר הוא רק הוא מגביל זמן ההיתר, וכמו שחילק הריטב"א שם. ויש לחלק. וכל הענין עדיין טעון ביאור.</w:t>
      </w:r>
    </w:p>
    <w:p w:rsidR="005F0F05" w:rsidRPr="00280E73" w:rsidRDefault="005F0F05" w:rsidP="005F0F05">
      <w:pPr>
        <w:pStyle w:val="Heading1"/>
        <w:bidi/>
        <w:spacing w:before="0" w:line="360" w:lineRule="auto"/>
        <w:jc w:val="center"/>
        <w:rPr>
          <w:rFonts w:cs="Guttman Drogolin"/>
          <w:color w:val="auto"/>
          <w:sz w:val="18"/>
          <w:szCs w:val="18"/>
          <w:u w:val="single"/>
          <w:rtl/>
          <w:lang w:bidi="he-IL"/>
        </w:rPr>
      </w:pPr>
      <w:bookmarkStart w:id="515" w:name="_Toc496175756"/>
      <w:r w:rsidRPr="00280E73">
        <w:rPr>
          <w:rFonts w:cs="Guttman Drogolin" w:hint="cs"/>
          <w:color w:val="auto"/>
          <w:sz w:val="18"/>
          <w:szCs w:val="18"/>
          <w:u w:val="single"/>
          <w:rtl/>
          <w:lang w:bidi="he-IL"/>
        </w:rPr>
        <w:t>אם מותר להשתמש צונן כלי שבלע איסור וצריך הכשר</w:t>
      </w:r>
      <w:bookmarkEnd w:id="515"/>
    </w:p>
    <w:p w:rsidR="002A68E5" w:rsidRPr="00882F11" w:rsidRDefault="00BB4151" w:rsidP="005F0F05">
      <w:pPr>
        <w:tabs>
          <w:tab w:val="right" w:pos="7497"/>
        </w:tabs>
        <w:bidi/>
        <w:jc w:val="both"/>
        <w:rPr>
          <w:rFonts w:cs="Guttman Drogolin"/>
          <w:rtl/>
          <w:lang w:bidi="he-IL"/>
        </w:rPr>
      </w:pPr>
      <w:r>
        <w:rPr>
          <w:rFonts w:cs="Guttman Drogolin"/>
          <w:rtl/>
          <w:lang w:bidi="he-IL"/>
        </w:rPr>
        <w:fldChar w:fldCharType="begin"/>
      </w:r>
      <w:r>
        <w:instrText xml:space="preserve"> XE "</w:instrText>
      </w:r>
      <w:r w:rsidRPr="002B40AA">
        <w:rPr>
          <w:rFonts w:hint="cs"/>
          <w:rtl/>
          <w:lang w:bidi="he-IL"/>
        </w:rPr>
        <w:instrText>הכשר כלים</w:instrText>
      </w:r>
      <w:r w:rsidRPr="002B40AA">
        <w:rPr>
          <w:rtl/>
        </w:rPr>
        <w:instrText>:</w:instrText>
      </w:r>
      <w:r w:rsidRPr="002B40AA">
        <w:rPr>
          <w:rFonts w:hint="cs"/>
          <w:rtl/>
          <w:lang w:bidi="he-IL"/>
        </w:rPr>
        <w:instrText>להשתמש צונן בכלי הטעון הכשר</w:instrText>
      </w:r>
      <w:r>
        <w:instrText xml:space="preserve">" </w:instrText>
      </w:r>
      <w:r>
        <w:rPr>
          <w:rFonts w:cs="Guttman Drogolin"/>
          <w:rtl/>
          <w:lang w:bidi="he-IL"/>
        </w:rPr>
        <w:fldChar w:fldCharType="end"/>
      </w:r>
      <w:r w:rsidR="005F0F05" w:rsidRPr="00882F11">
        <w:rPr>
          <w:rFonts w:cs="Guttman Drogolin" w:hint="cs"/>
          <w:rtl/>
          <w:lang w:bidi="he-IL"/>
        </w:rPr>
        <w:t xml:space="preserve">בסוף מס' ע"ז מבואר להדיא דשאם עשה נעיצה לסכין שבלע איסור וצריכה הכשר שמותר להשתמש בה צונן. הרי דמפורש בגמ' שאפילו כלי הצריכה הכשר מותר להשתמש בה צונן. והטעם בזה פשוט, דהא בשימוש של צונן לא יצאו הבליעות שבתוך הכלי, ולכן לא יאסר המאכל ע"י השימוש בצונן. </w:t>
      </w:r>
    </w:p>
    <w:p w:rsidR="00A47941" w:rsidRPr="00882F11" w:rsidRDefault="002A68E5" w:rsidP="00A47941">
      <w:pPr>
        <w:tabs>
          <w:tab w:val="right" w:pos="7497"/>
        </w:tabs>
        <w:bidi/>
        <w:jc w:val="both"/>
        <w:rPr>
          <w:rFonts w:cs="Guttman Drogolin"/>
          <w:rtl/>
          <w:lang w:bidi="he-IL"/>
        </w:rPr>
      </w:pPr>
      <w:r w:rsidRPr="00882F11">
        <w:rPr>
          <w:rFonts w:cs="Guttman Drogolin" w:hint="cs"/>
          <w:rtl/>
          <w:lang w:bidi="he-IL"/>
        </w:rPr>
        <w:t>אמנם יעוין בסוגיית הגמ' שבמס' פסחים ל' ע"ב "</w:t>
      </w:r>
      <w:r w:rsidRPr="00882F11">
        <w:rPr>
          <w:rFonts w:cs="Guttman Drogolin"/>
          <w:rtl/>
          <w:lang w:bidi="he-IL"/>
        </w:rPr>
        <w:t>אמר רבא בר אבא אמר רב חייא בר אשי אמר שמואל כל הכלים שנשתמשו בהן חמץ בצונן משתמש בהן מצה חוץ מן בית שאור הואיל שחימוצו קשה</w:t>
      </w:r>
      <w:r w:rsidRPr="00882F11">
        <w:rPr>
          <w:rFonts w:cs="Guttman Drogolin" w:hint="cs"/>
          <w:rtl/>
          <w:lang w:bidi="he-IL"/>
        </w:rPr>
        <w:t>"</w:t>
      </w:r>
      <w:r w:rsidR="000427C5" w:rsidRPr="00882F11">
        <w:rPr>
          <w:rFonts w:cs="Guttman Drogolin" w:hint="cs"/>
          <w:rtl/>
          <w:lang w:bidi="he-IL"/>
        </w:rPr>
        <w:t xml:space="preserve"> ולפי זה מבואר שהכלי שמשתמש בו צונן מור להשתמש בו גם חמין, והוא על דרך הנ"ל, דכיון שלא השתמש בה אלא איסור צונן לא נבלע בה מן האיסור, ולכן כיון ששטפו והדיחו אין חשש אם משתמש בה אפילו חמין, דהא אין בליעות בכלי לאסור את התבשיל. אמנם גירסת הרי"ף בגמ' שונה מגירסא הנ"ל, שהוא גרס "</w:t>
      </w:r>
      <w:r w:rsidR="000427C5" w:rsidRPr="00882F11">
        <w:rPr>
          <w:rFonts w:cs="Guttman Drogolin"/>
          <w:rtl/>
          <w:lang w:bidi="he-IL"/>
        </w:rPr>
        <w:t xml:space="preserve">כל כלי חרס שנשתמש בהן חמץ בצונן מותר להשתמש בהן מצה </w:t>
      </w:r>
      <w:r w:rsidR="000427C5" w:rsidRPr="00882F11">
        <w:rPr>
          <w:rFonts w:cs="Guttman Drogolin"/>
          <w:u w:val="single"/>
          <w:rtl/>
          <w:lang w:bidi="he-IL"/>
        </w:rPr>
        <w:t>בצונן</w:t>
      </w:r>
      <w:r w:rsidR="000427C5" w:rsidRPr="00882F11">
        <w:rPr>
          <w:rFonts w:cs="Guttman Drogolin" w:hint="cs"/>
          <w:rtl/>
          <w:lang w:bidi="he-IL"/>
        </w:rPr>
        <w:t xml:space="preserve"> חוץ מבית שאור וכו'", וע' בר"ן שהעיר שמלשונו יש חידוש בתרתי, חדא שאפילו לא השתמש בה מעיקרא אלא צונן אינו יכול להשתמש בה חמין, וע' בר"ן מה שביאר </w:t>
      </w:r>
      <w:r w:rsidR="000427C5" w:rsidRPr="00882F11">
        <w:rPr>
          <w:rFonts w:cs="Guttman Drogolin" w:hint="cs"/>
          <w:rtl/>
          <w:lang w:bidi="he-IL"/>
        </w:rPr>
        <w:lastRenderedPageBreak/>
        <w:t>בטעמו של הרי"ף בזה, שחמץ אפילו צונן נבלע בכלי. אבל יש בגירסא זו עוד חידוש, והוא שאם השתמש ב</w:t>
      </w:r>
      <w:r w:rsidR="00B2341A" w:rsidRPr="00882F11">
        <w:rPr>
          <w:rFonts w:cs="Guttman Drogolin" w:hint="cs"/>
          <w:rtl/>
          <w:lang w:bidi="he-IL"/>
        </w:rPr>
        <w:t>ו</w:t>
      </w:r>
      <w:r w:rsidR="000427C5" w:rsidRPr="00882F11">
        <w:rPr>
          <w:rFonts w:cs="Guttman Drogolin" w:hint="cs"/>
          <w:rtl/>
          <w:lang w:bidi="he-IL"/>
        </w:rPr>
        <w:t xml:space="preserve"> מעיקרא בחמין אסור להשתמש בה לאחר מכן בצונן. וזה לכאורה סותר דברי הגמ' בסוף מס' ע"ז הנ"ל שאם עשו נעיצה מותר להשתמש בה לאחר מכן צונן אע"ג שהסכין עדיין צריך הכשר מן הבליעות שבו. </w:t>
      </w:r>
      <w:r w:rsidR="00723EE7" w:rsidRPr="00882F11">
        <w:rPr>
          <w:rFonts w:cs="Guttman Drogolin" w:hint="cs"/>
          <w:rtl/>
          <w:lang w:bidi="he-IL"/>
        </w:rPr>
        <w:t>וע' בר"ן שכתב דלא קאמר הרי"ף שאסור להשתמש בה צונן אלא בכלי חרס. ונתן בזה תרי טעמי, חדא שכלי חרס בלע טפי ולכן הוי כנגיעת אוכלים שחייב בהדחה. ועוד משום שאין לכלי חרס שום כהשר כיון שהתורה העידה עליו שאינו יוצא מידי דופיו לעולם, ומשו"ה חיישינן שאם ישתמש בה צונן יבא להשתמש בה חמין. וכה"ג מבואר גם בהרה"מ</w:t>
      </w:r>
      <w:r w:rsidR="00B2341A" w:rsidRPr="00882F11">
        <w:rPr>
          <w:rFonts w:cs="Guttman Drogolin" w:hint="cs"/>
          <w:rtl/>
          <w:lang w:bidi="he-IL"/>
        </w:rPr>
        <w:t xml:space="preserve"> פ"ה הכ"א.</w:t>
      </w:r>
    </w:p>
    <w:p w:rsidR="009A665B" w:rsidRPr="00882F11" w:rsidRDefault="00B2341A" w:rsidP="0066233E">
      <w:pPr>
        <w:tabs>
          <w:tab w:val="right" w:pos="7497"/>
        </w:tabs>
        <w:bidi/>
        <w:jc w:val="both"/>
        <w:rPr>
          <w:rFonts w:cs="Guttman Drogolin"/>
          <w:rtl/>
        </w:rPr>
      </w:pPr>
      <w:r w:rsidRPr="00882F11">
        <w:rPr>
          <w:rFonts w:cs="Guttman Drogolin" w:hint="cs"/>
          <w:rtl/>
          <w:lang w:bidi="he-IL"/>
        </w:rPr>
        <w:t xml:space="preserve">וע' בפר"ח סי' צ"א ס"ק ג' שהביא מרא"מ שתמה על דבריהם דמאי שנא כלי חרס מכלי מתכת עד כמה שלא הכשיר את שניהם. ותי' הפר"ח דבשלמא </w:t>
      </w:r>
      <w:r w:rsidRPr="00882F11">
        <w:rPr>
          <w:rFonts w:cs="Guttman Drogolin"/>
          <w:rtl/>
          <w:lang w:bidi="he-IL"/>
        </w:rPr>
        <w:t>כלי חרס כיון שאין לו תקנה</w:t>
      </w:r>
      <w:r w:rsidR="00142988" w:rsidRPr="00882F11">
        <w:rPr>
          <w:rStyle w:val="FootnoteReference"/>
          <w:rFonts w:cs="Guttman Drogolin"/>
          <w:rtl/>
          <w:lang w:bidi="he-IL"/>
        </w:rPr>
        <w:footnoteReference w:id="522"/>
      </w:r>
      <w:r w:rsidRPr="00882F11">
        <w:rPr>
          <w:rFonts w:cs="Guttman Drogolin"/>
          <w:rtl/>
          <w:lang w:bidi="he-IL"/>
        </w:rPr>
        <w:t xml:space="preserve"> ישהנו בבית להשתמש בו צונן ואתי ביה לידי תקלה</w:t>
      </w:r>
      <w:r w:rsidRPr="00882F11">
        <w:rPr>
          <w:rFonts w:cs="Guttman Drogolin" w:hint="cs"/>
          <w:rtl/>
          <w:lang w:bidi="he-IL"/>
        </w:rPr>
        <w:t xml:space="preserve">, </w:t>
      </w:r>
      <w:r w:rsidRPr="00882F11">
        <w:rPr>
          <w:rFonts w:cs="Guttman Drogolin"/>
          <w:rtl/>
          <w:lang w:bidi="he-IL"/>
        </w:rPr>
        <w:t xml:space="preserve"> אבל בכלי מתכת</w:t>
      </w:r>
      <w:r w:rsidRPr="00882F11">
        <w:rPr>
          <w:rFonts w:cs="Guttman Drogolin" w:hint="cs"/>
          <w:rtl/>
          <w:lang w:bidi="he-IL"/>
        </w:rPr>
        <w:t>,</w:t>
      </w:r>
      <w:r w:rsidRPr="00882F11">
        <w:rPr>
          <w:rFonts w:cs="Guttman Drogolin"/>
          <w:rtl/>
          <w:lang w:bidi="he-IL"/>
        </w:rPr>
        <w:t xml:space="preserve"> כיון שיש לו תקנה בהגעלה מסתמא מגעיל אותו </w:t>
      </w:r>
      <w:r w:rsidRPr="00882F11">
        <w:rPr>
          <w:rFonts w:cs="Guttman Drogolin" w:hint="cs"/>
          <w:rtl/>
          <w:lang w:bidi="he-IL"/>
        </w:rPr>
        <w:t>בזמן הקרוב</w:t>
      </w:r>
      <w:r w:rsidRPr="00882F11">
        <w:rPr>
          <w:rFonts w:cs="Guttman Drogolin"/>
          <w:rtl/>
          <w:lang w:bidi="he-IL"/>
        </w:rPr>
        <w:t>, ולזמן מועט שמשתמש בו קודם שיגעילנו לא ח</w:t>
      </w:r>
      <w:r w:rsidRPr="00882F11">
        <w:rPr>
          <w:rFonts w:cs="Guttman Drogolin" w:hint="cs"/>
          <w:rtl/>
          <w:lang w:bidi="he-IL"/>
        </w:rPr>
        <w:t xml:space="preserve">ששו. וע"ש שכתב שאפילו </w:t>
      </w:r>
      <w:r w:rsidRPr="00882F11">
        <w:rPr>
          <w:rFonts w:cs="Guttman Drogolin"/>
          <w:rtl/>
          <w:lang w:bidi="he-IL"/>
        </w:rPr>
        <w:t>אם משתמש בו זמן מרובה בלא הגעלה</w:t>
      </w:r>
      <w:r w:rsidR="00A47941" w:rsidRPr="00882F11">
        <w:rPr>
          <w:rFonts w:cs="Guttman Drogolin" w:hint="cs"/>
          <w:rtl/>
          <w:lang w:bidi="he-IL"/>
        </w:rPr>
        <w:t xml:space="preserve"> מ"מ </w:t>
      </w:r>
      <w:r w:rsidRPr="00882F11">
        <w:rPr>
          <w:rFonts w:cs="Guttman Drogolin"/>
          <w:rtl/>
          <w:lang w:bidi="he-IL"/>
        </w:rPr>
        <w:t>לא פלוג רבנן</w:t>
      </w:r>
      <w:r w:rsidR="00A47941" w:rsidRPr="00882F11">
        <w:rPr>
          <w:rFonts w:cs="Guttman Drogolin" w:hint="cs"/>
          <w:rtl/>
          <w:lang w:bidi="he-IL"/>
        </w:rPr>
        <w:t xml:space="preserve">. והנה הרמ"א בסע' ה' כתב </w:t>
      </w:r>
      <w:r w:rsidRPr="00882F11">
        <w:rPr>
          <w:rFonts w:cs="Guttman Drogolin"/>
          <w:rtl/>
          <w:lang w:bidi="he-IL"/>
        </w:rPr>
        <w:t xml:space="preserve"> </w:t>
      </w:r>
      <w:r w:rsidR="00A47941" w:rsidRPr="00882F11">
        <w:rPr>
          <w:rFonts w:cs="Guttman Drogolin" w:hint="cs"/>
          <w:rtl/>
          <w:lang w:bidi="he-IL"/>
        </w:rPr>
        <w:t>"</w:t>
      </w:r>
      <w:r w:rsidR="00A47941" w:rsidRPr="00882F11">
        <w:rPr>
          <w:rFonts w:cs="Guttman Drogolin"/>
          <w:rtl/>
          <w:lang w:bidi="he-IL"/>
        </w:rPr>
        <w:t xml:space="preserve">אבל מותר להשתמש </w:t>
      </w:r>
      <w:r w:rsidR="00A47941" w:rsidRPr="00882F11">
        <w:rPr>
          <w:rFonts w:cs="Guttman Drogolin" w:hint="cs"/>
          <w:rtl/>
          <w:lang w:bidi="he-IL"/>
        </w:rPr>
        <w:t>[בכלי ששימשו בה חמין ולא הכשירו בליבון]</w:t>
      </w:r>
      <w:r w:rsidR="00A47941" w:rsidRPr="00882F11">
        <w:rPr>
          <w:rFonts w:cs="Guttman Drogolin"/>
          <w:rtl/>
          <w:lang w:bidi="he-IL"/>
        </w:rPr>
        <w:t xml:space="preserve"> צונן, אפילו לכתחלה, ע"י הדחה ושפשוף היטב</w:t>
      </w:r>
      <w:r w:rsidR="00A47941" w:rsidRPr="00882F11">
        <w:rPr>
          <w:rFonts w:cs="Guttman Drogolin" w:hint="cs"/>
          <w:rtl/>
          <w:lang w:bidi="he-IL"/>
        </w:rPr>
        <w:t xml:space="preserve"> וכו'</w:t>
      </w:r>
      <w:r w:rsidR="00A47941" w:rsidRPr="00882F11">
        <w:rPr>
          <w:rFonts w:cs="Guttman Drogolin"/>
          <w:rtl/>
          <w:lang w:bidi="he-IL"/>
        </w:rPr>
        <w:t xml:space="preserve"> ודוקא בדרך עראי</w:t>
      </w:r>
      <w:r w:rsidR="00A47941" w:rsidRPr="00882F11">
        <w:rPr>
          <w:rFonts w:cs="Guttman Drogolin" w:hint="cs"/>
          <w:rtl/>
          <w:lang w:bidi="he-IL"/>
        </w:rPr>
        <w:t xml:space="preserve"> וכו'</w:t>
      </w:r>
      <w:r w:rsidR="00A47941" w:rsidRPr="00882F11">
        <w:rPr>
          <w:rFonts w:cs="Guttman Drogolin"/>
          <w:rtl/>
          <w:lang w:bidi="he-IL"/>
        </w:rPr>
        <w:t xml:space="preserve"> אבל אם רוצה להשתמש בו בקבע יש מחמירים ואומרים דאפילו להשתמש בו צונן צריך הגעלה או ליבון, גזירה שמא ישתמש בו חמין</w:t>
      </w:r>
      <w:r w:rsidR="00A47941" w:rsidRPr="00882F11">
        <w:rPr>
          <w:rFonts w:cs="Guttman Drogolin" w:hint="cs"/>
          <w:rtl/>
          <w:lang w:bidi="he-IL"/>
        </w:rPr>
        <w:t>"</w:t>
      </w:r>
      <w:r w:rsidR="00493505" w:rsidRPr="00882F11">
        <w:rPr>
          <w:rFonts w:cs="Guttman Drogolin" w:hint="cs"/>
          <w:rtl/>
          <w:lang w:bidi="he-IL"/>
        </w:rPr>
        <w:t xml:space="preserve"> ומשמעות הדברים שכן הוא בכל הכלים, שאין היתר אא"כ משתמש בה עראי, אבל קבע אסור. ולכאורה זהו דלא כמשמעות הר"ן והרה"מ שרק בכלי חרס גזרו ולא בשאר כלים. ובדרכ"מ מבואר </w:t>
      </w:r>
      <w:r w:rsidR="00493505" w:rsidRPr="00882F11">
        <w:rPr>
          <w:rFonts w:cs="Guttman Drogolin" w:hint="cs"/>
          <w:rtl/>
          <w:lang w:bidi="he-IL"/>
        </w:rPr>
        <w:lastRenderedPageBreak/>
        <w:t>שהמקור להיתר זה ב</w:t>
      </w:r>
      <w:r w:rsidR="00D93FBD" w:rsidRPr="00882F11">
        <w:rPr>
          <w:rFonts w:cs="Guttman Drogolin" w:hint="cs"/>
          <w:rtl/>
          <w:lang w:bidi="he-IL"/>
        </w:rPr>
        <w:t xml:space="preserve">או"ה בשם ראבי"ה. ולכאורה י"ל בביאור דבריו דזה שהחמירו לומר שאסור להשתמש בכלי חרס, אין זה דין בכלי חרס, רק הוא דין בתשמיש קבוע, וכלי חרס מסתמא הוי תשמיש קבוע כיון שאין לו הכשר, אבל בכלי מתכת הדבר תלוי, שאם הוא קבוע דינו ככלי חרס, אבל אם הוא עראי מותר כנ"ל בסכין שעשו לה נעיצה. ולפי זה לכאורה הי' צריך להיות הדין שכלי חרס שמשתמש בה עראי ג"כ מותר, אבל במנח"י כלל י"א אות ו' כתב דכיון שהרמ"א לא התיר באף כלי כשמשתמש בה קבוע, יוצא שהראשונים שהחמירו בכלי חרס יותר מבכלי מתכת </w:t>
      </w:r>
      <w:r w:rsidR="00FC1A4B" w:rsidRPr="00882F11">
        <w:rPr>
          <w:rFonts w:cs="Guttman Drogolin" w:hint="cs"/>
          <w:rtl/>
          <w:lang w:bidi="he-IL"/>
        </w:rPr>
        <w:t xml:space="preserve">רוצים להחמיר בכלי חרס גם תשמיש עראי. וכן הביא רע"א בסי' ס"ט על הש"ך ס"ק ס"ו. </w:t>
      </w:r>
      <w:r w:rsidR="0066233E" w:rsidRPr="00882F11">
        <w:rPr>
          <w:rFonts w:cs="Guttman Drogolin" w:hint="cs"/>
          <w:rtl/>
          <w:lang w:bidi="he-IL"/>
        </w:rPr>
        <w:t xml:space="preserve">ויעוין בחכמ"א </w:t>
      </w:r>
      <w:r w:rsidR="0066233E" w:rsidRPr="00882F11">
        <w:rPr>
          <w:rFonts w:cs="Guttman Drogolin"/>
          <w:rtl/>
          <w:lang w:bidi="he-IL"/>
        </w:rPr>
        <w:t>כלל נ"ו סעי' ג'</w:t>
      </w:r>
      <w:r w:rsidR="0066233E" w:rsidRPr="00882F11">
        <w:rPr>
          <w:rFonts w:cs="Guttman Drogolin" w:hint="cs"/>
          <w:rtl/>
          <w:lang w:bidi="he-IL"/>
        </w:rPr>
        <w:t xml:space="preserve"> שמ"מ הקיל בזה </w:t>
      </w:r>
      <w:r w:rsidR="0066233E" w:rsidRPr="00882F11">
        <w:rPr>
          <w:rFonts w:cs="Guttman Drogolin"/>
          <w:rtl/>
          <w:lang w:bidi="he-IL"/>
        </w:rPr>
        <w:t>לצורך שבת</w:t>
      </w:r>
      <w:r w:rsidR="0066233E" w:rsidRPr="00882F11">
        <w:rPr>
          <w:rFonts w:cs="Guttman Drogolin" w:hint="cs"/>
          <w:rtl/>
          <w:lang w:bidi="he-IL"/>
        </w:rPr>
        <w:t>.</w:t>
      </w:r>
      <w:r w:rsidR="0066233E" w:rsidRPr="00882F11">
        <w:rPr>
          <w:rFonts w:cs="Guttman Drogolin"/>
          <w:rtl/>
          <w:lang w:bidi="he-IL"/>
        </w:rPr>
        <w:t xml:space="preserve"> </w:t>
      </w:r>
    </w:p>
    <w:p w:rsidR="0066233E" w:rsidRPr="00280E73" w:rsidRDefault="0066233E" w:rsidP="0066233E">
      <w:pPr>
        <w:pStyle w:val="Heading1"/>
        <w:bidi/>
        <w:spacing w:before="0" w:line="360" w:lineRule="auto"/>
        <w:jc w:val="center"/>
        <w:rPr>
          <w:rFonts w:cs="Guttman Drogolin"/>
          <w:color w:val="auto"/>
          <w:sz w:val="22"/>
          <w:szCs w:val="22"/>
          <w:u w:val="single"/>
          <w:lang w:bidi="he-IL"/>
        </w:rPr>
      </w:pPr>
      <w:bookmarkStart w:id="516" w:name="_Toc496175757"/>
      <w:r w:rsidRPr="00280E73">
        <w:rPr>
          <w:rFonts w:cs="Guttman Drogolin" w:hint="cs"/>
          <w:color w:val="auto"/>
          <w:sz w:val="22"/>
          <w:szCs w:val="22"/>
          <w:u w:val="single"/>
          <w:rtl/>
          <w:lang w:bidi="he-IL"/>
        </w:rPr>
        <w:t>חם מקצתו חם כולו, ובדין הכשר מקצת כלי</w:t>
      </w:r>
      <w:bookmarkEnd w:id="516"/>
    </w:p>
    <w:p w:rsidR="00BF77D3" w:rsidRPr="00882F11" w:rsidRDefault="00BB4151" w:rsidP="00BF77D3">
      <w:pPr>
        <w:tabs>
          <w:tab w:val="right" w:pos="7497"/>
        </w:tabs>
        <w:bidi/>
        <w:jc w:val="both"/>
        <w:rPr>
          <w:rFonts w:cs="Guttman Drogolin"/>
          <w:rtl/>
          <w:lang w:bidi="he-IL"/>
        </w:rPr>
      </w:pPr>
      <w:r>
        <w:rPr>
          <w:rFonts w:cs="Guttman Drogolin"/>
          <w:rtl/>
          <w:lang w:bidi="he-IL"/>
        </w:rPr>
        <w:fldChar w:fldCharType="begin"/>
      </w:r>
      <w:r>
        <w:instrText xml:space="preserve"> XE "</w:instrText>
      </w:r>
      <w:r w:rsidRPr="00CE47FE">
        <w:rPr>
          <w:rFonts w:hint="cs"/>
          <w:rtl/>
          <w:lang w:bidi="he-IL"/>
        </w:rPr>
        <w:instrText>הכשר כלים</w:instrText>
      </w:r>
      <w:r w:rsidRPr="00CE47FE">
        <w:rPr>
          <w:rtl/>
        </w:rPr>
        <w:instrText>:</w:instrText>
      </w:r>
      <w:r w:rsidRPr="00CE47FE">
        <w:rPr>
          <w:rFonts w:hint="cs"/>
          <w:rtl/>
          <w:lang w:bidi="he-IL"/>
        </w:rPr>
        <w:instrText>הכשר מקצת הכלי</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985349">
        <w:rPr>
          <w:rFonts w:hint="cs"/>
          <w:rtl/>
          <w:lang w:bidi="he-IL"/>
        </w:rPr>
        <w:instrText>חם מקצתו חם כולו</w:instrText>
      </w:r>
      <w:r w:rsidRPr="00985349">
        <w:rPr>
          <w:rtl/>
        </w:rPr>
        <w:instrText>:</w:instrText>
      </w:r>
      <w:r w:rsidRPr="00985349">
        <w:rPr>
          <w:rFonts w:hint="cs"/>
          <w:rtl/>
          <w:lang w:bidi="he-IL"/>
        </w:rPr>
        <w:instrText>לענין הכשר כלים</w:instrText>
      </w:r>
      <w:r>
        <w:instrText xml:space="preserve">" </w:instrText>
      </w:r>
      <w:r>
        <w:rPr>
          <w:rFonts w:cs="Guttman Drogolin"/>
          <w:rtl/>
          <w:lang w:bidi="he-IL"/>
        </w:rPr>
        <w:fldChar w:fldCharType="end"/>
      </w:r>
      <w:r w:rsidR="00BF77D3" w:rsidRPr="00882F11">
        <w:rPr>
          <w:rFonts w:cs="Guttman Drogolin" w:hint="cs"/>
          <w:rtl/>
          <w:lang w:bidi="he-IL"/>
        </w:rPr>
        <w:t>לשון הגמ' שלפנינו במס' פסחים ל' ע"ב "</w:t>
      </w:r>
      <w:r w:rsidR="00BF77D3" w:rsidRPr="00882F11">
        <w:rPr>
          <w:rFonts w:cs="Guttman Drogolin"/>
          <w:rtl/>
          <w:lang w:bidi="he-IL"/>
        </w:rPr>
        <w:t>אמר ליה רבינא לרב אשי הני סכיני בפסחא היכי עבדינן להו</w:t>
      </w:r>
      <w:r w:rsidR="00BF77D3" w:rsidRPr="00882F11">
        <w:rPr>
          <w:rFonts w:cs="Guttman Drogolin" w:hint="cs"/>
          <w:rtl/>
          <w:lang w:bidi="he-IL"/>
        </w:rPr>
        <w:t xml:space="preserve"> וכו'" ומעיקרא אמרו בגמ' "</w:t>
      </w:r>
      <w:r w:rsidR="00BF77D3" w:rsidRPr="00882F11">
        <w:rPr>
          <w:rFonts w:cs="Guttman Drogolin"/>
          <w:rtl/>
          <w:lang w:bidi="he-IL"/>
        </w:rPr>
        <w:t>קתייהו בטינא ופרזלייהו בנורא והדר מעיילנא לקתייהו ברותחין</w:t>
      </w:r>
      <w:r w:rsidR="00BF77D3" w:rsidRPr="00882F11">
        <w:rPr>
          <w:rFonts w:cs="Guttman Drogolin" w:hint="cs"/>
          <w:rtl/>
          <w:lang w:bidi="he-IL"/>
        </w:rPr>
        <w:t xml:space="preserve">". וע' בר"ן על הרי"ף שביאר הטעם דבעינן גם ליבון וגם הגעלה, משום שיש לסכין ב' תשמישים, א' ע"י האור וא' ע"י רותחין, ולכן צריך ב' הכשרים, הלהב שתשמישתו באור דינו בליבון, והקתא שתשמישתו ברותחין דינו בהגעלה. והוסיף הר"ן שמזה מבואר שאם נבלע איסור בחלק של כלי אין צריכים להכשיר אלא אותו חלק של כלי, שאין הבליעות עוברות ממקום למקום. ואע"ג שמבואר במס' פסחים שיש לנו כלל דחם מקצתו חם כולו, זה לא נאמר אלא לענין צליית הפסח שלא יהא צלי מחמת דבר אחר, אבל לענין הכשר בהכשר מקצתו סגי. והוסיף שכן מבואר במס' זבחים (צ"ו ע"ב) דבישל במקצת אין צריך להכשיר כל הכלי אלא לענין קדשים בלבד. </w:t>
      </w:r>
    </w:p>
    <w:p w:rsidR="00F37360" w:rsidRPr="00882F11" w:rsidRDefault="00BF77D3" w:rsidP="00F22DC7">
      <w:pPr>
        <w:tabs>
          <w:tab w:val="right" w:pos="7497"/>
        </w:tabs>
        <w:bidi/>
        <w:jc w:val="both"/>
        <w:rPr>
          <w:rFonts w:cs="Guttman Drogolin"/>
          <w:rtl/>
          <w:lang w:bidi="he-IL"/>
        </w:rPr>
      </w:pPr>
      <w:r w:rsidRPr="00882F11">
        <w:rPr>
          <w:rFonts w:cs="Guttman Drogolin" w:hint="cs"/>
          <w:rtl/>
          <w:lang w:bidi="he-IL"/>
        </w:rPr>
        <w:lastRenderedPageBreak/>
        <w:t>אמנם הרא"ה והרשב"א חלקו עליו</w:t>
      </w:r>
      <w:r w:rsidR="00F22DC7" w:rsidRPr="00882F11">
        <w:rPr>
          <w:rFonts w:cs="Guttman Drogolin" w:hint="cs"/>
          <w:rtl/>
          <w:lang w:bidi="he-IL"/>
        </w:rPr>
        <w:t xml:space="preserve"> וסברי דכללא דחם מקצתו חם כולו אומר לנו שהבליעות עוברות ממקום למקום בכלי ע"י החום. ומ"מ נחלקו גם הרא"ה והרשב"א בדין זה.</w:t>
      </w:r>
      <w:r w:rsidRPr="00882F11">
        <w:rPr>
          <w:rFonts w:cs="Guttman Drogolin" w:hint="cs"/>
          <w:rtl/>
          <w:lang w:bidi="he-IL"/>
        </w:rPr>
        <w:t xml:space="preserve"> הרא"ה</w:t>
      </w:r>
      <w:r w:rsidR="00F37360" w:rsidRPr="00882F11">
        <w:rPr>
          <w:rStyle w:val="FootnoteReference"/>
          <w:rFonts w:cs="Guttman Drogolin"/>
          <w:rtl/>
          <w:lang w:bidi="he-IL"/>
        </w:rPr>
        <w:footnoteReference w:id="523"/>
      </w:r>
      <w:r w:rsidRPr="00882F11">
        <w:rPr>
          <w:rFonts w:cs="Guttman Drogolin" w:hint="cs"/>
          <w:rtl/>
          <w:lang w:bidi="he-IL"/>
        </w:rPr>
        <w:t xml:space="preserve"> סבר שלעולם אם נבלע הטעם בחלק של כלי אמרינן שהטעם מתפשט בכל הכלי אמנם כתב הרא"ה שחלוקים ההכשר של ליבון </w:t>
      </w:r>
      <w:r w:rsidR="00AC50CF" w:rsidRPr="00882F11">
        <w:rPr>
          <w:rFonts w:cs="Guttman Drogolin" w:hint="cs"/>
          <w:rtl/>
          <w:lang w:bidi="he-IL"/>
        </w:rPr>
        <w:t xml:space="preserve">מן </w:t>
      </w:r>
      <w:r w:rsidRPr="00882F11">
        <w:rPr>
          <w:rFonts w:cs="Guttman Drogolin" w:hint="cs"/>
          <w:rtl/>
          <w:lang w:bidi="he-IL"/>
        </w:rPr>
        <w:t>הכשר של הגעלה</w:t>
      </w:r>
      <w:r w:rsidR="00AC50CF" w:rsidRPr="00882F11">
        <w:rPr>
          <w:rFonts w:cs="Guttman Drogolin" w:hint="cs"/>
          <w:rtl/>
          <w:lang w:bidi="he-IL"/>
        </w:rPr>
        <w:t xml:space="preserve"> ביסוד דינם. שליבון שורף את הבליעות במקומם, ולכן אינם אוסרים שוב, אבל הגעלה מפליטה את הבליעות, ולכן יש חילוק בענין הכשר של מקצת כלי, שבהגעלה סגי לן בזה שהכשיר החלק הכלי שבלע, דאימרינן כבולעו כך פולטו, כשם שנכנס ע"י בישול אותו מקצת הה"נ שיוצא ע"י הגעלת אותו מקצת. אבל ליבון ששורף במקומו לא מהני אלא למקום שהכשירו. </w:t>
      </w:r>
      <w:r w:rsidR="00F37360" w:rsidRPr="00882F11">
        <w:rPr>
          <w:rFonts w:cs="Guttman Drogolin" w:hint="cs"/>
          <w:rtl/>
          <w:lang w:bidi="he-IL"/>
        </w:rPr>
        <w:t xml:space="preserve">ובזה ביאר לנו הא דבמס' זבחים מבואר שרק לקדשים בעינן להגעיל כל הכלי, דהא בשאר איסורים הגעלה במקצת כלי מהני לכולו וכמש"נ. </w:t>
      </w:r>
    </w:p>
    <w:p w:rsidR="00D70826" w:rsidRPr="00882F11" w:rsidRDefault="00F37360" w:rsidP="00D70826">
      <w:pPr>
        <w:tabs>
          <w:tab w:val="right" w:pos="7497"/>
        </w:tabs>
        <w:bidi/>
        <w:jc w:val="both"/>
        <w:rPr>
          <w:rFonts w:cs="Guttman Drogolin"/>
          <w:rtl/>
          <w:lang w:bidi="he-IL"/>
        </w:rPr>
      </w:pPr>
      <w:r w:rsidRPr="00882F11">
        <w:rPr>
          <w:rFonts w:cs="Guttman Drogolin" w:hint="cs"/>
          <w:rtl/>
          <w:lang w:bidi="he-IL"/>
        </w:rPr>
        <w:t>והרשב"א</w:t>
      </w:r>
      <w:r w:rsidR="00BD6B8B" w:rsidRPr="00882F11">
        <w:rPr>
          <w:rStyle w:val="FootnoteReference"/>
          <w:rFonts w:cs="Guttman Drogolin"/>
          <w:rtl/>
          <w:lang w:bidi="he-IL"/>
        </w:rPr>
        <w:footnoteReference w:id="524"/>
      </w:r>
      <w:r w:rsidRPr="00882F11">
        <w:rPr>
          <w:rFonts w:cs="Guttman Drogolin" w:hint="cs"/>
          <w:rtl/>
          <w:lang w:bidi="he-IL"/>
        </w:rPr>
        <w:t xml:space="preserve"> סבר שלעולם לא נאמר כלל שאם נבלע ע"י בישול במקצת כלי דסגי לן גכ בהגעלת כל הכלי, דהא כלל דחם מקצתו חם כולו מעביר הבליעות בכל מקום, אבל אין הכלל דחם מקצתו</w:t>
      </w:r>
      <w:r w:rsidR="00BF77D3" w:rsidRPr="00882F11">
        <w:rPr>
          <w:rFonts w:cs="Guttman Drogolin" w:hint="cs"/>
          <w:rtl/>
          <w:lang w:bidi="he-IL"/>
        </w:rPr>
        <w:t xml:space="preserve"> </w:t>
      </w:r>
      <w:r w:rsidR="00982F6D" w:rsidRPr="00882F11">
        <w:rPr>
          <w:rFonts w:cs="Guttman Drogolin" w:hint="cs"/>
          <w:rtl/>
          <w:lang w:bidi="he-IL"/>
        </w:rPr>
        <w:t>חם כולו מספיק ל</w:t>
      </w:r>
      <w:r w:rsidRPr="00882F11">
        <w:rPr>
          <w:rFonts w:cs="Guttman Drogolin" w:hint="cs"/>
          <w:rtl/>
          <w:lang w:bidi="he-IL"/>
        </w:rPr>
        <w:t>ה</w:t>
      </w:r>
      <w:r w:rsidR="00982F6D" w:rsidRPr="00882F11">
        <w:rPr>
          <w:rFonts w:cs="Guttman Drogolin" w:hint="cs"/>
          <w:rtl/>
          <w:lang w:bidi="he-IL"/>
        </w:rPr>
        <w:t>ו</w:t>
      </w:r>
      <w:r w:rsidRPr="00882F11">
        <w:rPr>
          <w:rFonts w:cs="Guttman Drogolin" w:hint="cs"/>
          <w:rtl/>
          <w:lang w:bidi="he-IL"/>
        </w:rPr>
        <w:t xml:space="preserve">ציא הבליעות לאחר שנכנסו בה. </w:t>
      </w:r>
      <w:r w:rsidR="00982F6D" w:rsidRPr="00882F11">
        <w:rPr>
          <w:rFonts w:cs="Guttman Drogolin" w:hint="cs"/>
          <w:rtl/>
          <w:lang w:bidi="he-IL"/>
        </w:rPr>
        <w:t xml:space="preserve">ואע"ג שבמס' זבחים אמרו </w:t>
      </w:r>
      <w:r w:rsidR="00D70826" w:rsidRPr="00882F11">
        <w:rPr>
          <w:rFonts w:cs="Guttman Drogolin" w:hint="cs"/>
          <w:rtl/>
          <w:lang w:bidi="he-IL"/>
        </w:rPr>
        <w:t xml:space="preserve">שאין צורך הכשר לכל הכלי אלא לקדשים בלבד, דלמא היינו רק בהיתר או בתרומה, אבל בלע איסור ליכא למ"ד. וגירסתו בגמ' דמס' פסחים הנ"ל 'מגעיל להו </w:t>
      </w:r>
      <w:r w:rsidR="00D70826" w:rsidRPr="00882F11">
        <w:rPr>
          <w:rFonts w:cs="Guttman Drogolin" w:hint="cs"/>
          <w:u w:val="single"/>
          <w:rtl/>
          <w:lang w:bidi="he-IL"/>
        </w:rPr>
        <w:t>ו</w:t>
      </w:r>
      <w:r w:rsidR="00D70826" w:rsidRPr="00882F11">
        <w:rPr>
          <w:rFonts w:cs="Guttman Drogolin" w:hint="cs"/>
          <w:rtl/>
          <w:lang w:bidi="he-IL"/>
        </w:rPr>
        <w:t>לקתייהו ברותחין', ור"ל שאחרי שליבן הסכין צריך להכשיר את כולו ע"י הגעלה. וביאר דאע"ג שלא ליבן אלא מקצת סכין, והבלע שע"י האור מתפשט בכולו ואפילו בחלק דקתא, מ"מ כיון שיש צד שהליבון הוציא הכל וכן עשה לה גם הגעלה, סגי בהכי. א"נ שלא חוששין שישתמש בחלק הסכין שבתוך הקתא אע"פ שיש בה בליעות שהתפשטו לשם ע"י האור</w:t>
      </w:r>
      <w:r w:rsidR="00D70826" w:rsidRPr="00882F11">
        <w:rPr>
          <w:rStyle w:val="FootnoteReference"/>
          <w:rFonts w:cs="Guttman Drogolin"/>
          <w:rtl/>
          <w:lang w:bidi="he-IL"/>
        </w:rPr>
        <w:footnoteReference w:id="525"/>
      </w:r>
      <w:r w:rsidR="00D70826" w:rsidRPr="00882F11">
        <w:rPr>
          <w:rFonts w:cs="Guttman Drogolin" w:hint="cs"/>
          <w:rtl/>
          <w:lang w:bidi="he-IL"/>
        </w:rPr>
        <w:t xml:space="preserve">. </w:t>
      </w:r>
      <w:r w:rsidR="00982F6D" w:rsidRPr="00882F11">
        <w:rPr>
          <w:rFonts w:cs="Guttman Drogolin" w:hint="cs"/>
          <w:rtl/>
          <w:lang w:bidi="he-IL"/>
        </w:rPr>
        <w:t xml:space="preserve"> </w:t>
      </w:r>
      <w:r w:rsidR="00BF77D3" w:rsidRPr="00882F11">
        <w:rPr>
          <w:rFonts w:cs="Guttman Drogolin" w:hint="cs"/>
          <w:rtl/>
          <w:lang w:bidi="he-IL"/>
        </w:rPr>
        <w:t xml:space="preserve">  </w:t>
      </w:r>
    </w:p>
    <w:p w:rsidR="00784586" w:rsidRPr="00882F11" w:rsidRDefault="00D70826" w:rsidP="00EC425A">
      <w:pPr>
        <w:tabs>
          <w:tab w:val="right" w:pos="7497"/>
        </w:tabs>
        <w:bidi/>
        <w:jc w:val="both"/>
        <w:rPr>
          <w:rFonts w:cs="Guttman Drogolin"/>
          <w:rtl/>
          <w:lang w:bidi="he-IL"/>
        </w:rPr>
      </w:pPr>
      <w:r w:rsidRPr="00882F11">
        <w:rPr>
          <w:rFonts w:cs="Guttman Drogolin" w:hint="cs"/>
          <w:rtl/>
          <w:lang w:bidi="he-IL"/>
        </w:rPr>
        <w:lastRenderedPageBreak/>
        <w:t xml:space="preserve">והנה לענין הלכה </w:t>
      </w:r>
      <w:r w:rsidR="001728F4" w:rsidRPr="00882F11">
        <w:rPr>
          <w:rFonts w:cs="Guttman Drogolin" w:hint="cs"/>
          <w:rtl/>
          <w:lang w:bidi="he-IL"/>
        </w:rPr>
        <w:t>המחבר כתב בסי' קכ"א סע' ו' דאע"ג שאמרינן חם מקצתו חם כולו גם לענין זה שמפליט לצד השני, מ"מ לא מהני להגעיל רק החלק של הכלי שנבלע בה</w:t>
      </w:r>
      <w:r w:rsidR="001649A2" w:rsidRPr="00882F11">
        <w:rPr>
          <w:rFonts w:cs="Guttman Drogolin" w:hint="cs"/>
          <w:rtl/>
          <w:lang w:bidi="he-IL"/>
        </w:rPr>
        <w:t>. וזהו כשיטת הרשב"א הנ"ל. והוסיף הרמ"א "</w:t>
      </w:r>
      <w:r w:rsidR="001649A2" w:rsidRPr="00882F11">
        <w:rPr>
          <w:rFonts w:cs="Guttman Drogolin"/>
          <w:rtl/>
          <w:lang w:bidi="he-IL"/>
        </w:rPr>
        <w:t>ודוקא אם נשתמש בכולו, אבל אם ידוע שלא נשתמש רק בקצתו, כבולעו כך פולטו</w:t>
      </w:r>
      <w:r w:rsidR="001649A2" w:rsidRPr="00882F11">
        <w:rPr>
          <w:rFonts w:cs="Guttman Drogolin" w:hint="cs"/>
          <w:rtl/>
          <w:lang w:bidi="he-IL"/>
        </w:rPr>
        <w:t>"</w:t>
      </w:r>
      <w:r w:rsidR="00F71C42" w:rsidRPr="00882F11">
        <w:rPr>
          <w:rFonts w:cs="Guttman Drogolin" w:hint="cs"/>
          <w:rtl/>
          <w:lang w:bidi="he-IL"/>
        </w:rPr>
        <w:t>. ותמהו הנו"כ, שהרי לכאורה משמע מדברי הרמ"א שכוונתו לפרש דברי המחבר, ואין זה נכון, דשיטת הרמ"א שהוא כשיטת הטור חולקת על שיטת המחבר. והט"ז בסוהס"י הביא השיטות בזה, וביאר בדעת הטור דמהני הכשר החלק שבלע בין אם הכשירו בליבון ובין אם הכשירו בהגעלה, וזהו לכאורה כשיטת הר"ן הנ"ל, וכ"כ שם בביאור הגר"א. וכל זה בדיעבד אבל לכתחילה גם הטור מודה שצריכים להכשיר את כל הכלי וכמו שפסק באו"ח סי' תנ"א סע' י"ב. ולענין דינא כתב הט"ז לתמוה על הרמ"א שלא החמיר כשיטת הרשב"א, אבל מ"מ דעתו להקל כרמ"א בצירוף שיטה אחרת, וכמו בצלה בשר שלא הכשירו אותו קודם שי"א שאין השפוד צריך הכשר כלל, ולכן אם הכשיר לכה"פ חלק השפוד שבלע סגי. ועוד כתב הט"ז שאם הכשיר חלק גדול של השפוד באופן שהחלק שלא הכשירו הוא מרחק רב מן האוכל ג"כ לל"ב. ולא ידעתי טעמו בזה</w:t>
      </w:r>
      <w:r w:rsidR="00AD4EAE" w:rsidRPr="00882F11">
        <w:rPr>
          <w:rFonts w:cs="Guttman Drogolin" w:hint="cs"/>
          <w:rtl/>
          <w:lang w:bidi="he-IL"/>
        </w:rPr>
        <w:t xml:space="preserve">. </w:t>
      </w:r>
      <w:r w:rsidR="00784586" w:rsidRPr="00882F11">
        <w:rPr>
          <w:rFonts w:cs="Guttman Drogolin" w:hint="cs"/>
          <w:rtl/>
          <w:lang w:bidi="he-IL"/>
        </w:rPr>
        <w:t xml:space="preserve">ואם טעמו משום דאע"ג דחם מקצתו חם כולו מעביר בליעות אבל גבול יש לה, לא ידענו איזה גבול יש לזה. </w:t>
      </w:r>
      <w:r w:rsidR="00AD4EAE" w:rsidRPr="00882F11">
        <w:rPr>
          <w:rFonts w:cs="Guttman Drogolin" w:hint="cs"/>
          <w:rtl/>
          <w:lang w:bidi="he-IL"/>
        </w:rPr>
        <w:t xml:space="preserve">ויתכן שהט"ז סבר שאפילו לפי שיטת הרשב"א (והרא"ה בכה"ג שליבנו וכנ"ל) אע"פ שהבילעות עוברות מקצה אל קצה מדין חם מקצתו חם כולו, מ"מ אין חוזרים למקום הראשון דרך בישול, דומיא להא דלא מהני לה ליבון. </w:t>
      </w:r>
      <w:r w:rsidR="00784586" w:rsidRPr="00882F11">
        <w:rPr>
          <w:rFonts w:cs="Guttman Drogolin" w:hint="cs"/>
          <w:rtl/>
          <w:lang w:bidi="he-IL"/>
        </w:rPr>
        <w:t>וע' בסמוך.</w:t>
      </w:r>
    </w:p>
    <w:p w:rsidR="00183455" w:rsidRPr="00882F11" w:rsidRDefault="00784586" w:rsidP="00587CAD">
      <w:pPr>
        <w:tabs>
          <w:tab w:val="right" w:pos="7497"/>
        </w:tabs>
        <w:bidi/>
        <w:jc w:val="both"/>
        <w:rPr>
          <w:rFonts w:cs="Guttman Drogolin"/>
          <w:rtl/>
          <w:lang w:bidi="he-IL"/>
        </w:rPr>
      </w:pPr>
      <w:r w:rsidRPr="00882F11">
        <w:rPr>
          <w:rFonts w:cs="Guttman Drogolin" w:hint="cs"/>
          <w:rtl/>
          <w:lang w:bidi="he-IL"/>
        </w:rPr>
        <w:t>והש"ך</w:t>
      </w:r>
      <w:r w:rsidR="008276B7" w:rsidRPr="00882F11">
        <w:rPr>
          <w:rFonts w:cs="Guttman Drogolin" w:hint="cs"/>
          <w:rtl/>
          <w:lang w:bidi="he-IL"/>
        </w:rPr>
        <w:t xml:space="preserve"> </w:t>
      </w:r>
      <w:r w:rsidR="00012378" w:rsidRPr="00882F11">
        <w:rPr>
          <w:rFonts w:cs="Guttman Drogolin" w:hint="cs"/>
          <w:rtl/>
          <w:lang w:bidi="he-IL"/>
        </w:rPr>
        <w:t xml:space="preserve">כתב שדעת הטור כדעת הרא"ה, וכן הוא דעת הרא"ש. וסבר שלשיטתם אם ליבן מקצת הכלי מהני הליבון להכשר אותו מקצת </w:t>
      </w:r>
      <w:r w:rsidR="00D96647" w:rsidRPr="00882F11">
        <w:rPr>
          <w:rFonts w:cs="Guttman Drogolin" w:hint="cs"/>
          <w:rtl/>
          <w:lang w:bidi="he-IL"/>
        </w:rPr>
        <w:t>להשתמש בה שלא ע"י האור</w:t>
      </w:r>
      <w:r w:rsidR="00012378" w:rsidRPr="00882F11">
        <w:rPr>
          <w:rFonts w:cs="Guttman Drogolin" w:hint="cs"/>
          <w:rtl/>
          <w:lang w:bidi="he-IL"/>
        </w:rPr>
        <w:t xml:space="preserve">. </w:t>
      </w:r>
      <w:r w:rsidR="00D96647" w:rsidRPr="00882F11">
        <w:rPr>
          <w:rFonts w:cs="Guttman Drogolin" w:hint="cs"/>
          <w:rtl/>
          <w:lang w:bidi="he-IL"/>
        </w:rPr>
        <w:t xml:space="preserve">ור"ל שלהשתמש בה ע"י האור אסור אפילו באותו מקצת שכבר הכשיר, דאע"ג שהוציא הבליעות מאותו מקצת, מ"מ </w:t>
      </w:r>
      <w:r w:rsidR="000818E0" w:rsidRPr="00882F11">
        <w:rPr>
          <w:rFonts w:cs="Guttman Drogolin" w:hint="cs"/>
          <w:rtl/>
          <w:lang w:bidi="he-IL"/>
        </w:rPr>
        <w:t xml:space="preserve">כשיצלה בה שוב הבליעות יעברו חזרה לאותו מקצת שהכשיר. וכדמשמע מלשונו של הרא"ה, </w:t>
      </w:r>
      <w:r w:rsidR="00012378" w:rsidRPr="00882F11">
        <w:rPr>
          <w:rFonts w:cs="Guttman Drogolin" w:hint="cs"/>
          <w:rtl/>
          <w:lang w:bidi="he-IL"/>
        </w:rPr>
        <w:t xml:space="preserve">דז"ל </w:t>
      </w:r>
      <w:r w:rsidR="000818E0" w:rsidRPr="00882F11">
        <w:rPr>
          <w:rFonts w:cs="Guttman Drogolin" w:hint="cs"/>
          <w:rtl/>
          <w:lang w:bidi="he-IL"/>
        </w:rPr>
        <w:t>(בדק הבית ב"ד ש"ד)</w:t>
      </w:r>
      <w:r w:rsidR="00012378" w:rsidRPr="00882F11">
        <w:rPr>
          <w:rFonts w:cs="Guttman Drogolin" w:hint="cs"/>
          <w:rtl/>
          <w:lang w:bidi="he-IL"/>
        </w:rPr>
        <w:t xml:space="preserve"> "</w:t>
      </w:r>
      <w:r w:rsidR="00012378" w:rsidRPr="00882F11">
        <w:rPr>
          <w:rFonts w:cs="Guttman Drogolin"/>
          <w:rtl/>
          <w:lang w:bidi="he-IL"/>
        </w:rPr>
        <w:t xml:space="preserve">וכשבא להכשירו בליבון לא די לו ללבן </w:t>
      </w:r>
      <w:r w:rsidR="00012378" w:rsidRPr="00882F11">
        <w:rPr>
          <w:rFonts w:cs="Guttman Drogolin"/>
          <w:rtl/>
          <w:lang w:bidi="he-IL"/>
        </w:rPr>
        <w:lastRenderedPageBreak/>
        <w:t>עד כדי אותו מקצת שנשתמש בו באיסור לפי שאין הלבון מפלט בלעו אלא מכלה וכשמכלה עד כדי אותו מקצת לא די לו בכך שכשיבא להשתמש בו בהיתר יפלוט אסור על ידי אותו מקצת שלא הוכשר שהרי חם מקצתו חם כלו ולא די לו אלא בליבון כלו</w:t>
      </w:r>
      <w:r w:rsidR="00012378" w:rsidRPr="00882F11">
        <w:rPr>
          <w:rFonts w:cs="Guttman Drogolin" w:hint="cs"/>
          <w:rtl/>
          <w:lang w:bidi="he-IL"/>
        </w:rPr>
        <w:t>" ומשמע שהוא אוסר בפעם השני ע"י כללא דחם מקצתו חם כולו, ולא משום שצולה על אותו מקצת שעדיין לא ליבן.</w:t>
      </w:r>
      <w:r w:rsidR="000818E0" w:rsidRPr="00882F11">
        <w:rPr>
          <w:rFonts w:cs="Guttman Drogolin" w:hint="cs"/>
          <w:rtl/>
          <w:lang w:bidi="he-IL"/>
        </w:rPr>
        <w:t xml:space="preserve"> אבל כל זה אינו</w:t>
      </w:r>
      <w:r w:rsidR="00587CAD" w:rsidRPr="00882F11">
        <w:rPr>
          <w:rFonts w:cs="Guttman Drogolin" w:hint="cs"/>
          <w:rtl/>
          <w:lang w:bidi="he-IL"/>
        </w:rPr>
        <w:t xml:space="preserve"> </w:t>
      </w:r>
      <w:r w:rsidR="000818E0" w:rsidRPr="00882F11">
        <w:rPr>
          <w:rFonts w:cs="Guttman Drogolin" w:hint="cs"/>
          <w:rtl/>
          <w:lang w:bidi="he-IL"/>
        </w:rPr>
        <w:t>אלא דרך צלי, אבל דרך בישול אינו חוזר לאותו מקום שכבר הכשיר. וזה באמת צ"ע דהרי הרא"ה ודאי סבר שע"י בישול אמרינן הכלל דחם מקצתו חם כולו, ומשו"ה מהני גם הגעלה במקצת. וא"</w:t>
      </w:r>
      <w:r w:rsidR="002E2AA7" w:rsidRPr="00882F11">
        <w:rPr>
          <w:rFonts w:cs="Guttman Drogolin" w:hint="cs"/>
          <w:rtl/>
          <w:lang w:bidi="he-IL"/>
        </w:rPr>
        <w:t>כ ל</w:t>
      </w:r>
      <w:r w:rsidR="000818E0" w:rsidRPr="00882F11">
        <w:rPr>
          <w:rFonts w:cs="Guttman Drogolin" w:hint="cs"/>
          <w:rtl/>
          <w:lang w:bidi="he-IL"/>
        </w:rPr>
        <w:t>מה מהני ליבון במקצת לענין בישול. וצ"ע.</w:t>
      </w:r>
      <w:r w:rsidR="00012378" w:rsidRPr="00882F11">
        <w:rPr>
          <w:rFonts w:cs="Guttman Drogolin" w:hint="cs"/>
          <w:rtl/>
          <w:lang w:bidi="he-IL"/>
        </w:rPr>
        <w:t xml:space="preserve"> </w:t>
      </w:r>
      <w:r w:rsidR="002E2AA7" w:rsidRPr="00882F11">
        <w:rPr>
          <w:rFonts w:cs="Guttman Drogolin" w:hint="cs"/>
          <w:rtl/>
          <w:lang w:bidi="he-IL"/>
        </w:rPr>
        <w:t xml:space="preserve">ומ"מ כל זה כתב הש"ך לדעת הטור והרמ"א, אבל איהו סבר כוותי' דמהר"ם ועוד שהכלל דחם מקצתו חם כולו אינו מבליע בכולו. ואפילו אם אין הדין כשבלע ע"י האור, לכה"פ כן הדין </w:t>
      </w:r>
      <w:r w:rsidR="00716CEF" w:rsidRPr="00882F11">
        <w:rPr>
          <w:rFonts w:cs="Guttman Drogolin" w:hint="cs"/>
          <w:rtl/>
          <w:lang w:bidi="he-IL"/>
        </w:rPr>
        <w:t>כשבלע ע"י רותחין.</w:t>
      </w:r>
      <w:r w:rsidR="00D96647" w:rsidRPr="00882F11">
        <w:rPr>
          <w:rFonts w:cs="Guttman Drogolin" w:hint="cs"/>
          <w:rtl/>
          <w:lang w:bidi="he-IL"/>
        </w:rPr>
        <w:t xml:space="preserve"> </w:t>
      </w:r>
      <w:r w:rsidR="00012378" w:rsidRPr="00882F11">
        <w:rPr>
          <w:rFonts w:cs="Guttman Drogolin"/>
          <w:rtl/>
          <w:lang w:bidi="he-IL"/>
        </w:rPr>
        <w:t xml:space="preserve"> </w:t>
      </w:r>
      <w:r w:rsidRPr="00882F11">
        <w:rPr>
          <w:rFonts w:cs="Guttman Drogolin" w:hint="cs"/>
          <w:rtl/>
          <w:lang w:bidi="he-IL"/>
        </w:rPr>
        <w:t xml:space="preserve"> </w:t>
      </w:r>
      <w:r w:rsidR="00AD4EAE" w:rsidRPr="00882F11">
        <w:rPr>
          <w:rFonts w:cs="Guttman Drogolin" w:hint="cs"/>
          <w:rtl/>
          <w:lang w:bidi="he-IL"/>
        </w:rPr>
        <w:t xml:space="preserve"> </w:t>
      </w:r>
      <w:r w:rsidR="00F71C42" w:rsidRPr="00882F11">
        <w:rPr>
          <w:rFonts w:cs="Guttman Drogolin" w:hint="cs"/>
          <w:rtl/>
          <w:lang w:bidi="he-IL"/>
        </w:rPr>
        <w:t xml:space="preserve">   </w:t>
      </w:r>
      <w:r w:rsidR="001649A2" w:rsidRPr="00882F11">
        <w:rPr>
          <w:rFonts w:cs="Guttman Drogolin"/>
          <w:rtl/>
          <w:lang w:bidi="he-IL"/>
        </w:rPr>
        <w:t xml:space="preserve"> </w:t>
      </w:r>
      <w:r w:rsidR="001728F4" w:rsidRPr="00882F11">
        <w:rPr>
          <w:rFonts w:cs="Guttman Drogolin" w:hint="cs"/>
          <w:rtl/>
          <w:lang w:bidi="he-IL"/>
        </w:rPr>
        <w:t xml:space="preserve"> </w:t>
      </w:r>
      <w:r w:rsidR="00BF77D3" w:rsidRPr="00882F11">
        <w:rPr>
          <w:rFonts w:cs="Guttman Drogolin" w:hint="cs"/>
          <w:rtl/>
          <w:lang w:bidi="he-IL"/>
        </w:rPr>
        <w:t xml:space="preserve"> </w:t>
      </w:r>
      <w:r w:rsidR="00F10CAB" w:rsidRPr="00882F11">
        <w:rPr>
          <w:rFonts w:cs="Guttman Drogolin" w:hint="cs"/>
          <w:rtl/>
          <w:lang w:bidi="he-IL"/>
        </w:rPr>
        <w:t xml:space="preserve">  </w:t>
      </w:r>
      <w:r w:rsidR="0035604B" w:rsidRPr="00882F11">
        <w:rPr>
          <w:rFonts w:cs="Guttman Drogolin" w:hint="cs"/>
          <w:rtl/>
          <w:lang w:bidi="he-IL"/>
        </w:rPr>
        <w:t xml:space="preserve">  </w:t>
      </w:r>
      <w:r w:rsidR="003E6F7E" w:rsidRPr="00882F11">
        <w:rPr>
          <w:rFonts w:cs="Guttman Drogolin" w:hint="cs"/>
          <w:rtl/>
          <w:lang w:bidi="he-IL"/>
        </w:rPr>
        <w:t xml:space="preserve"> </w:t>
      </w:r>
      <w:r w:rsidR="00FE6703" w:rsidRPr="00882F11">
        <w:rPr>
          <w:rFonts w:cs="Guttman Drogolin" w:hint="cs"/>
          <w:rtl/>
          <w:lang w:bidi="he-IL"/>
        </w:rPr>
        <w:t xml:space="preserve">   </w:t>
      </w:r>
      <w:r w:rsidR="00183455" w:rsidRPr="00882F11">
        <w:rPr>
          <w:rFonts w:cs="Guttman Drogolin" w:hint="cs"/>
          <w:rtl/>
          <w:lang w:bidi="he-IL"/>
        </w:rPr>
        <w:t xml:space="preserve"> </w:t>
      </w:r>
    </w:p>
    <w:p w:rsidR="00F84CE8" w:rsidRPr="00882F11" w:rsidRDefault="00716CEF" w:rsidP="003B0B76">
      <w:pPr>
        <w:tabs>
          <w:tab w:val="right" w:pos="7497"/>
        </w:tabs>
        <w:bidi/>
        <w:jc w:val="both"/>
        <w:rPr>
          <w:rFonts w:cs="Guttman Drogolin"/>
          <w:rtl/>
          <w:lang w:bidi="he-IL"/>
        </w:rPr>
      </w:pPr>
      <w:r w:rsidRPr="00882F11">
        <w:rPr>
          <w:rFonts w:cs="Guttman Drogolin" w:hint="cs"/>
          <w:rtl/>
          <w:lang w:bidi="he-IL"/>
        </w:rPr>
        <w:t>ולענין מעשה הנה בין הט"ז ובין הש"ך כתבו שלכתחילה ודאי צריכים להכשיר כל הכלי כנ"ל מסי' תנ"א סע' י"ב. ובדיעבד, אם הכשירו רק מקצת הכלי, אצ</w:t>
      </w:r>
      <w:r w:rsidR="003B0B76" w:rsidRPr="00882F11">
        <w:rPr>
          <w:rFonts w:cs="Guttman Drogolin" w:hint="cs"/>
          <w:rtl/>
          <w:lang w:bidi="he-IL"/>
        </w:rPr>
        <w:t>טט</w:t>
      </w:r>
      <w:r w:rsidRPr="00882F11">
        <w:rPr>
          <w:rFonts w:cs="Guttman Drogolin" w:hint="cs"/>
          <w:rtl/>
          <w:lang w:bidi="he-IL"/>
        </w:rPr>
        <w:t xml:space="preserve"> לשון החכמ"א בכלל ע"ד די"א "</w:t>
      </w:r>
      <w:r w:rsidRPr="00882F11">
        <w:rPr>
          <w:rFonts w:cs="Guttman Drogolin"/>
          <w:rtl/>
          <w:lang w:bidi="he-IL"/>
        </w:rPr>
        <w:t xml:space="preserve">כלי מתכות אף על פי שיש אומרים שאם נשתמש בו איסור במקצתו נאסר כולו משום דחם מקצתו חם כולו אבל לענין הכשרו לא עלה לו הכשר עד שיכשיר כולו בין לענין הגעלה ובין לענין ליבון דאף על גב דמוליך הבליעה בכולו מכל מקום אינו מפליט מכולו ולכן אם השתמש במקצת על ידי אור וליבן אותו המקצת ואחר כך תחב הצד שלא הגעיל בכלי אסור לכולי עלמא שהליבון אינו מפליט כלום אלא ששורף האיסור אבל דבר שנבלע על ידי חמין במקצת והגעיל אותו מקצת אם נשתמש באותו מקצת שהגעיל מותר בדיעבד דאמרינן אינו מפליט מכולו אבל אם השתמש </w:t>
      </w:r>
      <w:r w:rsidRPr="00882F11">
        <w:rPr>
          <w:rFonts w:cs="Guttman Drogolin"/>
          <w:rtl/>
          <w:lang w:bidi="he-IL"/>
        </w:rPr>
        <w:lastRenderedPageBreak/>
        <w:t>באותו מקצת שלא הגעיל</w:t>
      </w:r>
      <w:r w:rsidR="003B0B76" w:rsidRPr="00882F11">
        <w:rPr>
          <w:rStyle w:val="FootnoteReference"/>
          <w:rFonts w:cs="Guttman Drogolin"/>
          <w:rtl/>
          <w:lang w:bidi="he-IL"/>
        </w:rPr>
        <w:footnoteReference w:id="526"/>
      </w:r>
      <w:r w:rsidRPr="00882F11">
        <w:rPr>
          <w:rFonts w:cs="Guttman Drogolin"/>
          <w:rtl/>
          <w:lang w:bidi="he-IL"/>
        </w:rPr>
        <w:t xml:space="preserve"> נחלקו האחרונים המגן אברהם בסימן תנ"א ס"ק כ"ד כתב דאסור בדיעבד והש"ך ופרי חדש מתירים ונראה לי דבהפסד מרובה ויש עוד צדדים להקל, יש להקל אבל לא בלאו הכי</w:t>
      </w:r>
      <w:r w:rsidR="000E66E5" w:rsidRPr="00882F11">
        <w:rPr>
          <w:rFonts w:cs="Guttman Drogolin" w:hint="cs"/>
          <w:rtl/>
          <w:lang w:bidi="he-IL"/>
        </w:rPr>
        <w:t>".</w:t>
      </w:r>
    </w:p>
    <w:p w:rsidR="000E66E5" w:rsidRPr="00882F11" w:rsidRDefault="000E66E5" w:rsidP="000E66E5">
      <w:pPr>
        <w:tabs>
          <w:tab w:val="right" w:pos="7497"/>
        </w:tabs>
        <w:bidi/>
        <w:jc w:val="both"/>
        <w:rPr>
          <w:rFonts w:cs="Guttman Drogolin"/>
          <w:rtl/>
          <w:lang w:bidi="he-IL"/>
        </w:rPr>
      </w:pPr>
      <w:r w:rsidRPr="00882F11">
        <w:rPr>
          <w:rFonts w:cs="Guttman Drogolin" w:hint="cs"/>
          <w:rtl/>
          <w:lang w:bidi="he-IL"/>
        </w:rPr>
        <w:t>וע' מש"כ לעיל בשיעור ס"ב</w:t>
      </w:r>
      <w:r w:rsidR="00A867AC" w:rsidRPr="00882F11">
        <w:rPr>
          <w:rFonts w:cs="Guttman Drogolin" w:hint="cs"/>
          <w:rtl/>
          <w:lang w:bidi="he-IL"/>
        </w:rPr>
        <w:t>, ולקמן שיעור קל"ח</w:t>
      </w:r>
      <w:r w:rsidRPr="00882F11">
        <w:rPr>
          <w:rFonts w:cs="Guttman Drogolin" w:hint="cs"/>
          <w:rtl/>
          <w:lang w:bidi="he-IL"/>
        </w:rPr>
        <w:t>.</w:t>
      </w:r>
    </w:p>
    <w:p w:rsidR="00136396" w:rsidRPr="00882F11" w:rsidRDefault="00136396" w:rsidP="00136396">
      <w:pPr>
        <w:bidi/>
        <w:jc w:val="both"/>
        <w:rPr>
          <w:rFonts w:cs="Guttman Drogolin"/>
          <w:b/>
          <w:bCs/>
          <w:sz w:val="28"/>
          <w:szCs w:val="28"/>
          <w:rtl/>
          <w:lang w:bidi="he-IL"/>
        </w:rPr>
      </w:pPr>
      <w:r w:rsidRPr="00882F11">
        <w:rPr>
          <w:rFonts w:cs="Guttman Drogolin" w:hint="cs"/>
          <w:b/>
          <w:bCs/>
          <w:sz w:val="28"/>
          <w:szCs w:val="28"/>
          <w:rtl/>
          <w:lang w:bidi="he-IL"/>
        </w:rPr>
        <w:t>מילואים</w:t>
      </w:r>
    </w:p>
    <w:p w:rsidR="00136396" w:rsidRPr="00882F11" w:rsidRDefault="00136396" w:rsidP="00136396">
      <w:pPr>
        <w:keepNext/>
        <w:bidi/>
        <w:jc w:val="both"/>
        <w:rPr>
          <w:rFonts w:cs="Guttman Drogolin"/>
          <w:b/>
          <w:bCs/>
          <w:rtl/>
          <w:lang w:bidi="he-IL"/>
        </w:rPr>
      </w:pPr>
      <w:r w:rsidRPr="00882F11">
        <w:rPr>
          <w:rFonts w:cs="Guttman Drogolin" w:hint="cs"/>
          <w:b/>
          <w:bCs/>
          <w:rtl/>
          <w:lang w:bidi="he-IL"/>
        </w:rPr>
        <w:t xml:space="preserve">בדין הגעלה ג' פעמים לכלי חרס </w:t>
      </w:r>
    </w:p>
    <w:p w:rsidR="00136396" w:rsidRPr="00882F11" w:rsidRDefault="00BB4151" w:rsidP="004C3B3D">
      <w:pPr>
        <w:tabs>
          <w:tab w:val="right" w:pos="7497"/>
        </w:tabs>
        <w:bidi/>
        <w:jc w:val="both"/>
        <w:rPr>
          <w:rFonts w:cs="Guttman Drogolin"/>
          <w:rtl/>
          <w:lang w:bidi="he-IL"/>
        </w:rPr>
      </w:pPr>
      <w:r>
        <w:rPr>
          <w:rFonts w:cs="Guttman Drogolin"/>
          <w:rtl/>
          <w:lang w:bidi="he-IL"/>
        </w:rPr>
        <w:fldChar w:fldCharType="begin"/>
      </w:r>
      <w:r>
        <w:instrText xml:space="preserve"> XE "</w:instrText>
      </w:r>
      <w:r w:rsidRPr="001633CC">
        <w:rPr>
          <w:rFonts w:hint="cs"/>
          <w:rtl/>
          <w:lang w:bidi="he-IL"/>
        </w:rPr>
        <w:instrText>הכשר כלים</w:instrText>
      </w:r>
      <w:r w:rsidRPr="001633CC">
        <w:rPr>
          <w:rtl/>
        </w:rPr>
        <w:instrText>:</w:instrText>
      </w:r>
      <w:r w:rsidRPr="001633CC">
        <w:rPr>
          <w:rFonts w:hint="cs"/>
          <w:rtl/>
          <w:lang w:bidi="he-IL"/>
        </w:rPr>
        <w:instrText>הגעלה ג' פעמים בכלי חרס</w:instrText>
      </w:r>
      <w:r>
        <w:instrText xml:space="preserve">" </w:instrText>
      </w:r>
      <w:r>
        <w:rPr>
          <w:rFonts w:cs="Guttman Drogolin"/>
          <w:rtl/>
          <w:lang w:bidi="he-IL"/>
        </w:rPr>
        <w:fldChar w:fldCharType="end"/>
      </w:r>
      <w:r w:rsidR="00136396" w:rsidRPr="00882F11">
        <w:rPr>
          <w:rFonts w:cs="Guttman Drogolin" w:hint="cs"/>
          <w:rtl/>
          <w:lang w:bidi="he-IL"/>
        </w:rPr>
        <w:t>הטור ביו"ד סי' קכ"א הביא מבעל העיטור "</w:t>
      </w:r>
      <w:r w:rsidR="00136396" w:rsidRPr="00882F11">
        <w:rPr>
          <w:rFonts w:cs="Guttman Drogolin"/>
          <w:rtl/>
          <w:lang w:bidi="he-IL"/>
        </w:rPr>
        <w:t>אי לא מסתפינא מרבוותא אמינא דאפילו כלי חרס בקדרה דלאו בת יומא כיון דאיסורה דרבנן מגעילה ג' פעמים ודיו והביא ראיה מן הירושלמי</w:t>
      </w:r>
      <w:r w:rsidR="00136396" w:rsidRPr="00882F11">
        <w:rPr>
          <w:rFonts w:cs="Guttman Drogolin" w:hint="cs"/>
          <w:rtl/>
          <w:lang w:bidi="he-IL"/>
        </w:rPr>
        <w:t xml:space="preserve">" כוונתו לדברי הירושלמי </w:t>
      </w:r>
      <w:r w:rsidR="001B00B5" w:rsidRPr="00882F11">
        <w:rPr>
          <w:rFonts w:cs="Guttman Drogolin" w:hint="cs"/>
          <w:rtl/>
          <w:lang w:bidi="he-IL"/>
        </w:rPr>
        <w:t>בסוף מס' תרומות (פי"א ה"ד) וכמו שהביא הב"י "</w:t>
      </w:r>
      <w:r w:rsidR="001B00B5" w:rsidRPr="00882F11">
        <w:rPr>
          <w:rFonts w:cs="Guttman Drogolin"/>
          <w:rtl/>
          <w:lang w:bidi="he-IL"/>
        </w:rPr>
        <w:t>תני רבי חלפתא בן שאול קדרה</w:t>
      </w:r>
      <w:r w:rsidR="00750851" w:rsidRPr="00882F11">
        <w:rPr>
          <w:rStyle w:val="FootnoteReference"/>
          <w:rFonts w:cs="Guttman Drogolin"/>
          <w:rtl/>
          <w:lang w:bidi="he-IL"/>
        </w:rPr>
        <w:footnoteReference w:id="527"/>
      </w:r>
      <w:r w:rsidR="001B00B5" w:rsidRPr="00882F11">
        <w:rPr>
          <w:rFonts w:cs="Guttman Drogolin"/>
          <w:rtl/>
          <w:lang w:bidi="he-IL"/>
        </w:rPr>
        <w:t xml:space="preserve"> שבישל בה התרומה מגעילה שלש פעמים</w:t>
      </w:r>
      <w:r w:rsidR="002B637A" w:rsidRPr="00882F11">
        <w:rPr>
          <w:rStyle w:val="FootnoteReference"/>
          <w:rFonts w:cs="Guttman Drogolin"/>
          <w:rtl/>
          <w:lang w:bidi="he-IL"/>
        </w:rPr>
        <w:footnoteReference w:id="528"/>
      </w:r>
      <w:r w:rsidR="001B00B5" w:rsidRPr="00882F11">
        <w:rPr>
          <w:rFonts w:cs="Guttman Drogolin"/>
          <w:rtl/>
          <w:lang w:bidi="he-IL"/>
        </w:rPr>
        <w:t xml:space="preserve"> בחמין ודיו אמר רבי אבא ואין למדין ממנה לענין נבלה אמר רבי יוסי קשיתיה קומי ר' בא תרומה בעון מיתה ונבלה בלא תעשה ואת אמר כן א"ל כמאן דאמר מאליהן קבלו המעשרות רבי אשתם בר שונם בעי קומי רבי מונא תנן (תרומות פי"א מ"ח) הרכינה ומיצה הרי זו תרומה ואיתמר הכי אמר ליה כאן ע"י האור הוא נגעל</w:t>
      </w:r>
      <w:r w:rsidR="001B00B5" w:rsidRPr="00882F11">
        <w:rPr>
          <w:rFonts w:cs="Guttman Drogolin" w:hint="cs"/>
          <w:rtl/>
          <w:lang w:bidi="he-IL"/>
        </w:rPr>
        <w:t xml:space="preserve">". והנה הטור שם הביא מהרשב"א (ב"ד ש"ד) שהרשב"א </w:t>
      </w:r>
      <w:r w:rsidR="00846139" w:rsidRPr="00882F11">
        <w:rPr>
          <w:rFonts w:cs="Guttman Drogolin" w:hint="cs"/>
          <w:rtl/>
          <w:lang w:bidi="he-IL"/>
        </w:rPr>
        <w:t xml:space="preserve">הסתפק </w:t>
      </w:r>
      <w:r w:rsidR="004C3B3D" w:rsidRPr="00882F11">
        <w:rPr>
          <w:rFonts w:cs="Guttman Drogolin" w:hint="cs"/>
          <w:rtl/>
          <w:lang w:bidi="he-IL"/>
        </w:rPr>
        <w:t>"</w:t>
      </w:r>
      <w:r w:rsidR="00136396" w:rsidRPr="00882F11">
        <w:rPr>
          <w:rFonts w:cs="Guttman Drogolin"/>
          <w:rtl/>
          <w:lang w:bidi="he-IL"/>
        </w:rPr>
        <w:t>דאפשר שלא התירו אלא באיסור של דבריהם שאין לו עיקר מן התורה כתרומה וחלה בחוצה לארץ וכן בישולי נכרי' אבל שאר איסורים של דבריהם החמירו בהם כשל תורה</w:t>
      </w:r>
      <w:r w:rsidR="004C3B3D" w:rsidRPr="00882F11">
        <w:rPr>
          <w:rFonts w:cs="Guttman Drogolin" w:hint="cs"/>
          <w:rtl/>
          <w:lang w:bidi="he-IL"/>
        </w:rPr>
        <w:t xml:space="preserve">". </w:t>
      </w:r>
      <w:r w:rsidR="00CF08ED" w:rsidRPr="00882F11">
        <w:rPr>
          <w:rFonts w:cs="Guttman Drogolin" w:hint="cs"/>
          <w:rtl/>
          <w:lang w:bidi="he-IL"/>
        </w:rPr>
        <w:t>ושם במשמרת הבית מבואר שבליעה שאינה בת יומא חשוב אין לו עיקר מן התורה</w:t>
      </w:r>
      <w:r w:rsidR="00846139" w:rsidRPr="00882F11">
        <w:rPr>
          <w:rFonts w:cs="Guttman Drogolin" w:hint="cs"/>
          <w:rtl/>
          <w:lang w:bidi="he-IL"/>
        </w:rPr>
        <w:t>, ולכן נראה שלפי ב' הצדדים של הרשב"א אי אפשר להכשיר כלי חרס שאינו בן יומו ע"י הגעלה ג"פ, ודלא כבעל העיטור (וכן העיר בשו"ת חת"ס יו"ד סי' קי"ג)</w:t>
      </w:r>
      <w:r w:rsidR="00CF08ED" w:rsidRPr="00882F11">
        <w:rPr>
          <w:rFonts w:cs="Guttman Drogolin" w:hint="cs"/>
          <w:rtl/>
          <w:lang w:bidi="he-IL"/>
        </w:rPr>
        <w:t xml:space="preserve">. ויעוין בחי' הרמב"ן למס' ב"ב פ"ז ע"ב שגם באיסור דרבנן שאין לו עיקר מן התורה </w:t>
      </w:r>
      <w:r w:rsidR="00CF08ED" w:rsidRPr="00882F11">
        <w:rPr>
          <w:rFonts w:cs="Guttman Drogolin" w:hint="cs"/>
          <w:rtl/>
          <w:lang w:bidi="he-IL"/>
        </w:rPr>
        <w:lastRenderedPageBreak/>
        <w:t xml:space="preserve">לא הקילו, שאין כוונת הירולשמי אלא לקולי תרומה בלבד. </w:t>
      </w:r>
    </w:p>
    <w:p w:rsidR="00393D2E" w:rsidRPr="00882F11" w:rsidRDefault="00846139" w:rsidP="00393D2E">
      <w:pPr>
        <w:tabs>
          <w:tab w:val="right" w:pos="7497"/>
        </w:tabs>
        <w:bidi/>
        <w:jc w:val="both"/>
        <w:rPr>
          <w:rFonts w:cs="Guttman Drogolin"/>
          <w:rtl/>
          <w:lang w:bidi="he-IL"/>
        </w:rPr>
      </w:pPr>
      <w:r w:rsidRPr="00882F11">
        <w:rPr>
          <w:rFonts w:cs="Guttman Drogolin" w:hint="cs"/>
          <w:rtl/>
          <w:lang w:bidi="he-IL"/>
        </w:rPr>
        <w:t xml:space="preserve">ובעיקר דעת בעל העיטור ע"ש (ודבר זה לא מובא בטור) דלא מהני ג"פ לכלי שאינו בן יומו אלא בשאר איסורים, אבל לחמץ שהוא במשהו לא מהני. והטעם שהגעלה ג"פ אינו מוציא את כל הבלע, רק שאנחנו מובטחים שאין בה נתינת טעם, ולכן בחמץ בפסח שהוא במשהו לא מהני (וכ"כ החזו"א מסברא בדעת בעל העיטור מבלי לראות את דבריו בפנים </w:t>
      </w:r>
      <w:r w:rsidRPr="00882F11">
        <w:rPr>
          <w:rFonts w:cs="Guttman Drogolin"/>
          <w:rtl/>
          <w:lang w:bidi="he-IL"/>
        </w:rPr>
        <w:t>–</w:t>
      </w:r>
      <w:r w:rsidRPr="00882F11">
        <w:rPr>
          <w:rFonts w:cs="Guttman Drogolin" w:hint="cs"/>
          <w:rtl/>
          <w:lang w:bidi="he-IL"/>
        </w:rPr>
        <w:t xml:space="preserve"> ומכאן שחכם עדיף מנביא). ובזה מובן גם שיטת רב דקדירות בפסח ישברו ולא אמרינן שיעשו הגעלה ג"פ.</w:t>
      </w:r>
      <w:r w:rsidR="00750851" w:rsidRPr="00882F11">
        <w:rPr>
          <w:rFonts w:cs="Guttman Drogolin" w:hint="cs"/>
          <w:rtl/>
          <w:lang w:bidi="he-IL"/>
        </w:rPr>
        <w:t xml:space="preserve"> אמנם יעוין בס' הגעלת כלים פרק י"ג הערה צ"ב ד"ה ולפי"ז והעה ק"ח שיש סברא דמ"מ מהני אם עושה כן לפני פסח בזמן שהבליעה אינה בת יומא (לכאורה זהו כוונתו שם) אלא שהביא שמשמעות השו"ע שלא הביא הכשר זה אלא בבישול עכו"ם דלא קיי"ל כן, וכן משמע ממ"ש ברסי' תנ"א</w:t>
      </w:r>
      <w:r w:rsidRPr="00882F11">
        <w:rPr>
          <w:rFonts w:cs="Guttman Drogolin" w:hint="cs"/>
          <w:rtl/>
          <w:lang w:bidi="he-IL"/>
        </w:rPr>
        <w:t xml:space="preserve"> </w:t>
      </w:r>
      <w:r w:rsidR="00750851" w:rsidRPr="00882F11">
        <w:rPr>
          <w:rFonts w:cs="Guttman Drogolin" w:hint="cs"/>
          <w:rtl/>
          <w:lang w:bidi="he-IL"/>
        </w:rPr>
        <w:t>שאין תקנה לכלי חרס דלא קיי"ל להקל בהגעלת ג' פעמים עכ"פ לפסח.</w:t>
      </w:r>
      <w:r w:rsidR="00393D2E" w:rsidRPr="00882F11">
        <w:rPr>
          <w:rFonts w:cs="Guttman Drogolin" w:hint="cs"/>
          <w:rtl/>
          <w:lang w:bidi="he-IL"/>
        </w:rPr>
        <w:t xml:space="preserve"> אמנם לפעמים מצרפים דעת המקילים כשיש עוד סניפים להקל. וע' בכגון </w:t>
      </w:r>
      <w:r w:rsidR="00393D2E" w:rsidRPr="00882F11">
        <w:rPr>
          <w:rFonts w:cs="Guttman Drogolin"/>
          <w:rtl/>
          <w:lang w:bidi="he-IL"/>
        </w:rPr>
        <w:t>ציץ אליעזר (ח"ט סי' כ"ו אות ב'</w:t>
      </w:r>
      <w:r w:rsidR="00393D2E" w:rsidRPr="00882F11">
        <w:rPr>
          <w:rFonts w:cs="Guttman Drogolin" w:hint="cs"/>
          <w:rtl/>
          <w:lang w:bidi="he-IL"/>
        </w:rPr>
        <w:t>) בשם הגרצ"פ שאפשר להכשיר כלי פיירקס ע"י הגעלה ג"פ. וע' גם ערוה"ש יו"ד סי' קכ"א סע' כ"ז להקל בהכשר כלי אמייל ע"י הגעלה ג' פעמים.</w:t>
      </w:r>
    </w:p>
    <w:p w:rsidR="00393D2E" w:rsidRPr="00882F11" w:rsidRDefault="00393D2E" w:rsidP="00393D2E">
      <w:pPr>
        <w:tabs>
          <w:tab w:val="right" w:pos="7497"/>
        </w:tabs>
        <w:bidi/>
        <w:jc w:val="both"/>
        <w:rPr>
          <w:rFonts w:cs="Guttman Drogolin"/>
          <w:rtl/>
          <w:lang w:bidi="he-IL"/>
        </w:rPr>
      </w:pPr>
      <w:r w:rsidRPr="00882F11">
        <w:rPr>
          <w:rFonts w:cs="Guttman Drogolin" w:hint="cs"/>
          <w:rtl/>
          <w:lang w:bidi="he-IL"/>
        </w:rPr>
        <w:t xml:space="preserve">וחשבתי להסתפק אם מהני ליבון קל ג' פעמים. במקום דמהני הגעלה ג' פעמים. וא"כ אולי יש מקום להקל בהכשר התנורים ע"י ליבון קל ג' פעמים כמו שהקיל העורה"ש לענין אמייל, כיון שא' מן החששות הגדלות שלא להתיר כ"א ע"י ליבון חמור משום שמצופה באמייל. </w:t>
      </w:r>
    </w:p>
    <w:p w:rsidR="00CF08ED" w:rsidRPr="00882F11" w:rsidRDefault="00CF08ED" w:rsidP="00CF08ED">
      <w:pPr>
        <w:tabs>
          <w:tab w:val="right" w:pos="7497"/>
        </w:tabs>
        <w:bidi/>
        <w:jc w:val="both"/>
        <w:rPr>
          <w:rFonts w:cs="Guttman Drogolin"/>
          <w:rtl/>
          <w:lang w:bidi="he-IL"/>
        </w:rPr>
        <w:sectPr w:rsidR="00CF08ED" w:rsidRPr="00882F11" w:rsidSect="00803D0F">
          <w:type w:val="continuous"/>
          <w:pgSz w:w="11907" w:h="16839" w:code="9"/>
          <w:pgMar w:top="1440" w:right="1440" w:bottom="1440" w:left="1440" w:header="720" w:footer="720" w:gutter="0"/>
          <w:cols w:num="2" w:space="720"/>
          <w:bidi/>
          <w:docGrid w:linePitch="360"/>
        </w:sectPr>
      </w:pPr>
      <w:r w:rsidRPr="00882F11">
        <w:rPr>
          <w:rFonts w:cs="Guttman Drogolin" w:hint="cs"/>
          <w:rtl/>
          <w:lang w:bidi="he-IL"/>
        </w:rPr>
        <w:t xml:space="preserve">  </w:t>
      </w:r>
    </w:p>
    <w:p w:rsidR="003B0B76" w:rsidRPr="00882F11" w:rsidRDefault="003B0B76" w:rsidP="003B0B76">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קל"ה</w:t>
      </w:r>
    </w:p>
    <w:p w:rsidR="00280E73" w:rsidRDefault="00280E73" w:rsidP="003B0B76">
      <w:pPr>
        <w:pStyle w:val="Heading1"/>
        <w:bidi/>
        <w:spacing w:before="0" w:line="360" w:lineRule="auto"/>
        <w:jc w:val="center"/>
        <w:rPr>
          <w:rFonts w:cs="Guttman Drogolin"/>
          <w:color w:val="auto"/>
          <w:sz w:val="24"/>
          <w:szCs w:val="24"/>
          <w:u w:val="single"/>
          <w:rtl/>
          <w:lang w:bidi="he-IL"/>
        </w:rPr>
        <w:sectPr w:rsidR="00280E73" w:rsidSect="00280E73">
          <w:headerReference w:type="default" r:id="rId97"/>
          <w:pgSz w:w="11907" w:h="16839" w:code="9"/>
          <w:pgMar w:top="1440" w:right="1440" w:bottom="1440" w:left="1440" w:header="720" w:footer="720" w:gutter="0"/>
          <w:cols w:space="720"/>
          <w:bidi/>
          <w:docGrid w:linePitch="360"/>
        </w:sectPr>
      </w:pPr>
    </w:p>
    <w:p w:rsidR="003B0B76" w:rsidRPr="00882F11" w:rsidRDefault="003B0B76" w:rsidP="003B0B76">
      <w:pPr>
        <w:pStyle w:val="Heading1"/>
        <w:bidi/>
        <w:spacing w:before="0" w:line="360" w:lineRule="auto"/>
        <w:jc w:val="center"/>
        <w:rPr>
          <w:rFonts w:cs="Guttman Drogolin"/>
          <w:color w:val="auto"/>
          <w:sz w:val="24"/>
          <w:szCs w:val="24"/>
          <w:u w:val="single"/>
          <w:rtl/>
          <w:lang w:bidi="he-IL"/>
        </w:rPr>
      </w:pPr>
      <w:bookmarkStart w:id="517" w:name="_Toc496175758"/>
      <w:r w:rsidRPr="00882F11">
        <w:rPr>
          <w:rFonts w:cs="Guttman Drogolin" w:hint="cs"/>
          <w:color w:val="auto"/>
          <w:sz w:val="24"/>
          <w:szCs w:val="24"/>
          <w:u w:val="single"/>
          <w:rtl/>
          <w:lang w:bidi="he-IL"/>
        </w:rPr>
        <w:lastRenderedPageBreak/>
        <w:t>דיני הכשר הסכין</w:t>
      </w:r>
      <w:bookmarkEnd w:id="517"/>
    </w:p>
    <w:p w:rsidR="005066E1" w:rsidRPr="00882F11" w:rsidRDefault="00BB4151" w:rsidP="0041562F">
      <w:pPr>
        <w:tabs>
          <w:tab w:val="right" w:pos="7497"/>
        </w:tabs>
        <w:bidi/>
        <w:jc w:val="both"/>
        <w:rPr>
          <w:rFonts w:cs="Guttman Drogolin"/>
          <w:lang w:bidi="he-IL"/>
        </w:rPr>
      </w:pPr>
      <w:r>
        <w:rPr>
          <w:rFonts w:cs="Guttman Drogolin"/>
          <w:rtl/>
          <w:lang w:bidi="he-IL"/>
        </w:rPr>
        <w:fldChar w:fldCharType="begin"/>
      </w:r>
      <w:r>
        <w:instrText xml:space="preserve"> XE "</w:instrText>
      </w:r>
      <w:r w:rsidRPr="008C4C3E">
        <w:rPr>
          <w:rFonts w:hint="cs"/>
          <w:rtl/>
          <w:lang w:bidi="he-IL"/>
        </w:rPr>
        <w:instrText>הכשר כלים</w:instrText>
      </w:r>
      <w:r w:rsidRPr="008C4C3E">
        <w:rPr>
          <w:rtl/>
        </w:rPr>
        <w:instrText>:</w:instrText>
      </w:r>
      <w:r w:rsidRPr="008C4C3E">
        <w:rPr>
          <w:rFonts w:hint="cs"/>
          <w:rtl/>
          <w:lang w:bidi="he-IL"/>
        </w:rPr>
        <w:instrText>הכשר הסכין</w:instrText>
      </w:r>
      <w:r>
        <w:instrText xml:space="preserve">" </w:instrText>
      </w:r>
      <w:r>
        <w:rPr>
          <w:rFonts w:cs="Guttman Drogolin"/>
          <w:rtl/>
          <w:lang w:bidi="he-IL"/>
        </w:rPr>
        <w:fldChar w:fldCharType="end"/>
      </w:r>
      <w:r w:rsidR="002B6E1D" w:rsidRPr="00882F11">
        <w:rPr>
          <w:rFonts w:cs="Guttman Drogolin" w:hint="cs"/>
          <w:rtl/>
          <w:lang w:bidi="he-IL"/>
        </w:rPr>
        <w:t xml:space="preserve">שיטת </w:t>
      </w:r>
      <w:r w:rsidR="003B0B76" w:rsidRPr="00882F11">
        <w:rPr>
          <w:rFonts w:cs="Guttman Drogolin" w:hint="cs"/>
          <w:rtl/>
          <w:lang w:bidi="he-IL"/>
        </w:rPr>
        <w:t>השו"ע ב</w:t>
      </w:r>
      <w:r w:rsidR="002B6E1D" w:rsidRPr="00882F11">
        <w:rPr>
          <w:rFonts w:cs="Guttman Drogolin" w:hint="cs"/>
          <w:rtl/>
          <w:lang w:bidi="he-IL"/>
        </w:rPr>
        <w:t>ס</w:t>
      </w:r>
      <w:r w:rsidR="003B0B76" w:rsidRPr="00882F11">
        <w:rPr>
          <w:rFonts w:cs="Guttman Drogolin" w:hint="cs"/>
          <w:rtl/>
          <w:lang w:bidi="he-IL"/>
        </w:rPr>
        <w:t xml:space="preserve">סי' קכ"א </w:t>
      </w:r>
      <w:r w:rsidR="002B6E1D" w:rsidRPr="00882F11">
        <w:rPr>
          <w:rFonts w:cs="Guttman Drogolin" w:hint="cs"/>
          <w:rtl/>
          <w:lang w:bidi="he-IL"/>
        </w:rPr>
        <w:t xml:space="preserve">שלסכין של איסור שאין בה גומות מהני הכשר דנעיצה להשתמש בה צונן (עראי וכנ"ל בסע' ה') ואפילו צונן חריף, ומהני לה ליבון או השחזה להשתמש בה אפילו חמין. והרמ"א כתב דנוהגין לכתחילה להחמיר בהשחזה דלא מהני אלא לצונן. </w:t>
      </w:r>
      <w:r w:rsidR="00F32F22" w:rsidRPr="00882F11">
        <w:rPr>
          <w:rFonts w:cs="Guttman Drogolin" w:hint="cs"/>
          <w:rtl/>
          <w:lang w:bidi="he-IL"/>
        </w:rPr>
        <w:t>ומ"מ סבר דבדיעבד מהני השחזה או הגעלה (כשאין גומות), והטעם שהרי רוב תשמישתו של סכין ברותחין ולא ע"י האור, ובדיעבד קיי"ל דאזלינן בתר רוב תשמישתו, והרמ"א כתב בהדיא דהיינו אפילו אם הכלי בן יומו (וכן פשוט דאל"כ הוי נטל"פ ולעולם אינו אוסר).</w:t>
      </w:r>
      <w:r w:rsidR="00161E3F" w:rsidRPr="00882F11">
        <w:rPr>
          <w:rFonts w:cs="Guttman Drogolin" w:hint="cs"/>
          <w:rtl/>
          <w:lang w:bidi="he-IL"/>
        </w:rPr>
        <w:t xml:space="preserve"> ובעיקר דין זה דמהני אפילו לדבר</w:t>
      </w:r>
      <w:r w:rsidR="00BD5F69" w:rsidRPr="00882F11">
        <w:rPr>
          <w:rFonts w:cs="Guttman Drogolin" w:hint="cs"/>
          <w:rtl/>
          <w:lang w:bidi="he-IL"/>
        </w:rPr>
        <w:t xml:space="preserve"> חריף ע' בבית מאיר וכן בתבו"ש המובא בפת"ש שאין זה דבר פשוט. ומ"מ פשוט דעכ"פ מהני באתרוג, דהא כך מבואר בהדיא בגמ'. </w:t>
      </w:r>
    </w:p>
    <w:p w:rsidR="005066E1" w:rsidRPr="00882F11" w:rsidRDefault="00F32F22" w:rsidP="00ED096F">
      <w:pPr>
        <w:tabs>
          <w:tab w:val="right" w:pos="7497"/>
        </w:tabs>
        <w:bidi/>
        <w:jc w:val="both"/>
        <w:rPr>
          <w:rFonts w:cs="Guttman Drogolin"/>
          <w:rtl/>
          <w:lang w:bidi="he-IL"/>
        </w:rPr>
      </w:pPr>
      <w:r w:rsidRPr="00882F11">
        <w:rPr>
          <w:rFonts w:cs="Guttman Drogolin" w:hint="cs"/>
          <w:rtl/>
          <w:lang w:bidi="he-IL"/>
        </w:rPr>
        <w:t>וכאן הבן שואל, דמאי אהני לן שרוב תשמישתו ברותחין, הא זה לא מהני אלא לכלי שאינו בן יומו וכמו שביארנו לעיל</w:t>
      </w:r>
      <w:r w:rsidRPr="00882F11">
        <w:rPr>
          <w:rStyle w:val="FootnoteReference"/>
          <w:rFonts w:cs="Guttman Drogolin"/>
          <w:rtl/>
          <w:lang w:bidi="he-IL"/>
        </w:rPr>
        <w:footnoteReference w:id="529"/>
      </w:r>
      <w:r w:rsidRPr="00882F11">
        <w:rPr>
          <w:rFonts w:cs="Guttman Drogolin" w:hint="cs"/>
          <w:rtl/>
          <w:lang w:bidi="he-IL"/>
        </w:rPr>
        <w:t xml:space="preserve">, וא"כ למה מהני הגעלה בדיעבד משום דרוב שתמשיתו שלא ע"י האור, הא אם </w:t>
      </w:r>
      <w:r w:rsidR="0054514F">
        <w:rPr>
          <w:rFonts w:cs="Guttman Drogolin" w:hint="cs"/>
          <w:rtl/>
          <w:lang w:bidi="he-IL"/>
        </w:rPr>
        <w:t>תשמישתו</w:t>
      </w:r>
      <w:r w:rsidRPr="00882F11">
        <w:rPr>
          <w:rFonts w:cs="Guttman Drogolin" w:hint="cs"/>
          <w:rtl/>
          <w:lang w:bidi="he-IL"/>
        </w:rPr>
        <w:t xml:space="preserve"> ע"י האור והוא בן יומו הי' צריך לאסור המאכל, ומה איכפת לן מה שהי' קודם לכן.</w:t>
      </w:r>
      <w:r w:rsidR="00295E46" w:rsidRPr="00882F11">
        <w:rPr>
          <w:rFonts w:cs="Guttman Drogolin" w:hint="cs"/>
          <w:rtl/>
          <w:lang w:bidi="he-IL"/>
        </w:rPr>
        <w:t xml:space="preserve"> </w:t>
      </w:r>
      <w:r w:rsidR="00295E46" w:rsidRPr="00882F11">
        <w:rPr>
          <w:rFonts w:cs="Guttman Drogolin" w:hint="cs"/>
          <w:rtl/>
          <w:lang w:bidi="he-IL"/>
        </w:rPr>
        <w:lastRenderedPageBreak/>
        <w:t>וכ"כ המ"ב בסי' תנ"א ס"ק מ"ו.</w:t>
      </w:r>
      <w:r w:rsidRPr="00882F11">
        <w:rPr>
          <w:rFonts w:cs="Guttman Drogolin" w:hint="cs"/>
          <w:rtl/>
          <w:lang w:bidi="he-IL"/>
        </w:rPr>
        <w:t xml:space="preserve"> וראיתי בביאורים לס' חלקת בנימין שהתייחס לזה, וכתב</w:t>
      </w:r>
      <w:r w:rsidR="00515008" w:rsidRPr="00882F11">
        <w:rPr>
          <w:rFonts w:cs="Guttman Drogolin" w:hint="cs"/>
          <w:rtl/>
          <w:lang w:bidi="he-IL"/>
        </w:rPr>
        <w:t xml:space="preserve"> </w:t>
      </w:r>
      <w:r w:rsidR="00295E46" w:rsidRPr="00882F11">
        <w:rPr>
          <w:rFonts w:cs="Guttman Drogolin" w:hint="cs"/>
          <w:rtl/>
          <w:lang w:bidi="he-IL"/>
        </w:rPr>
        <w:t>לפרש כוונת הרמ"א לכה"ג דלא ידוע אם הוא בן יומו, ומשום דסתם כלים אינם בני יומן, והוא דוחק גדול</w:t>
      </w:r>
      <w:r w:rsidR="00515008" w:rsidRPr="00882F11">
        <w:rPr>
          <w:rStyle w:val="FootnoteReference"/>
          <w:rFonts w:cs="Guttman Drogolin"/>
          <w:rtl/>
          <w:lang w:bidi="he-IL"/>
        </w:rPr>
        <w:footnoteReference w:id="530"/>
      </w:r>
      <w:r w:rsidR="00295E46" w:rsidRPr="00882F11">
        <w:rPr>
          <w:rFonts w:cs="Guttman Drogolin" w:hint="cs"/>
          <w:rtl/>
          <w:lang w:bidi="he-IL"/>
        </w:rPr>
        <w:t>. וחשבתי אולי לחדש ולומר מהלך חדש בדין רוב תשמישתו, והוא שאם נבלעו בליעות בתוך כלי ע"י בישולים רבים, כל בישול ובישו</w:t>
      </w:r>
      <w:r w:rsidR="00ED096F" w:rsidRPr="00882F11">
        <w:rPr>
          <w:rFonts w:cs="Guttman Drogolin" w:hint="cs"/>
          <w:rtl/>
          <w:lang w:bidi="he-IL"/>
        </w:rPr>
        <w:t>ל מכניס מקצת ומוציא מקצת, וכן פועל</w:t>
      </w:r>
      <w:r w:rsidR="00295E46" w:rsidRPr="00882F11">
        <w:rPr>
          <w:rFonts w:cs="Guttman Drogolin" w:hint="cs"/>
          <w:rtl/>
          <w:lang w:bidi="he-IL"/>
        </w:rPr>
        <w:t xml:space="preserve"> הבישול השני ל</w:t>
      </w:r>
      <w:r w:rsidR="00ED096F" w:rsidRPr="00882F11">
        <w:rPr>
          <w:rFonts w:cs="Guttman Drogolin" w:hint="cs"/>
          <w:rtl/>
          <w:lang w:bidi="he-IL"/>
        </w:rPr>
        <w:t xml:space="preserve">החליש הבליעות שמן </w:t>
      </w:r>
      <w:r w:rsidR="00295E46" w:rsidRPr="00882F11">
        <w:rPr>
          <w:rFonts w:cs="Guttman Drogolin" w:hint="cs"/>
          <w:rtl/>
          <w:lang w:bidi="he-IL"/>
        </w:rPr>
        <w:t xml:space="preserve">הבישול הראשון וכמש"נ לעיל. וא"כ יש מקום לומר שאם הי' רק מעשה צליי' א' </w:t>
      </w:r>
      <w:r w:rsidR="005066E1" w:rsidRPr="00882F11">
        <w:rPr>
          <w:rFonts w:cs="Guttman Drogolin" w:hint="cs"/>
          <w:rtl/>
          <w:lang w:bidi="he-IL"/>
        </w:rPr>
        <w:t xml:space="preserve">בכלי של מאכל של איסור, הא ודאי צריכים ליבון. אבל אם עשו בה הרבה בישולים, ורובם ברותחין ורק מיעוט ע"י האור, י"ל שאותם בליעות שנשארו בדרך צלי אינם אלא בליעת חלשות ומעטות, ולכן אין לבליעות אלו כח לאסור עכ"פ אחרי שעשו הגעלה. ואם כנים הדברים שפיר אפשר לומר כן אפילו בבליעות בני יומן. ומ"מ א"כ לא שייך דינא דרוב </w:t>
      </w:r>
      <w:r w:rsidR="0054514F">
        <w:rPr>
          <w:rFonts w:cs="Guttman Drogolin" w:hint="cs"/>
          <w:rtl/>
          <w:lang w:bidi="he-IL"/>
        </w:rPr>
        <w:t>תשמישתו</w:t>
      </w:r>
      <w:r w:rsidR="005066E1" w:rsidRPr="00882F11">
        <w:rPr>
          <w:rFonts w:cs="Guttman Drogolin" w:hint="cs"/>
          <w:rtl/>
          <w:lang w:bidi="he-IL"/>
        </w:rPr>
        <w:t xml:space="preserve"> אלא כשבלעו רק באופן אחר, אבל כגון רוב תשמישתו בצונן לא תהני, ודלא כמש"כ המ"ב סי' תנ"א ס"ק מ"ה</w:t>
      </w:r>
      <w:bookmarkStart w:id="518" w:name="_Ref488697008"/>
      <w:r w:rsidR="007173AC" w:rsidRPr="00882F11">
        <w:rPr>
          <w:rStyle w:val="FootnoteReference"/>
          <w:rFonts w:cs="Guttman Drogolin"/>
          <w:rtl/>
          <w:lang w:bidi="he-IL"/>
        </w:rPr>
        <w:footnoteReference w:id="531"/>
      </w:r>
      <w:bookmarkEnd w:id="518"/>
      <w:r w:rsidR="005066E1" w:rsidRPr="00882F11">
        <w:rPr>
          <w:rFonts w:cs="Guttman Drogolin" w:hint="cs"/>
          <w:rtl/>
          <w:lang w:bidi="he-IL"/>
        </w:rPr>
        <w:t>. ועדיין צ"ע.</w:t>
      </w:r>
      <w:r w:rsidRPr="00882F11">
        <w:rPr>
          <w:rFonts w:cs="Guttman Drogolin" w:hint="cs"/>
          <w:rtl/>
          <w:lang w:bidi="he-IL"/>
        </w:rPr>
        <w:t xml:space="preserve">  </w:t>
      </w:r>
    </w:p>
    <w:p w:rsidR="003B0B76" w:rsidRPr="00882F11" w:rsidRDefault="005066E1" w:rsidP="009B2BCF">
      <w:pPr>
        <w:tabs>
          <w:tab w:val="right" w:pos="7497"/>
        </w:tabs>
        <w:bidi/>
        <w:jc w:val="both"/>
        <w:rPr>
          <w:rFonts w:cs="Guttman Drogolin"/>
          <w:rtl/>
          <w:lang w:bidi="he-IL"/>
        </w:rPr>
      </w:pPr>
      <w:r w:rsidRPr="00882F11">
        <w:rPr>
          <w:rFonts w:cs="Guttman Drogolin" w:hint="cs"/>
          <w:rtl/>
          <w:lang w:bidi="he-IL"/>
        </w:rPr>
        <w:t xml:space="preserve">ובהא </w:t>
      </w:r>
      <w:r w:rsidR="00515008" w:rsidRPr="00882F11">
        <w:rPr>
          <w:rFonts w:cs="Guttman Drogolin" w:hint="cs"/>
          <w:rtl/>
          <w:lang w:bidi="he-IL"/>
        </w:rPr>
        <w:t>דמהני השחז</w:t>
      </w:r>
      <w:r w:rsidRPr="00882F11">
        <w:rPr>
          <w:rFonts w:cs="Guttman Drogolin" w:hint="cs"/>
          <w:rtl/>
          <w:lang w:bidi="he-IL"/>
        </w:rPr>
        <w:t xml:space="preserve">ה לבד ג"כ ביאר הש"ך משום דהרי חזינן למחבר דסבר שהשחזה עדיף מהגעלה, </w:t>
      </w:r>
      <w:r w:rsidRPr="00882F11">
        <w:rPr>
          <w:rFonts w:cs="Guttman Drogolin" w:hint="cs"/>
          <w:rtl/>
          <w:lang w:bidi="he-IL"/>
        </w:rPr>
        <w:lastRenderedPageBreak/>
        <w:t xml:space="preserve">דהא לדידי' אם </w:t>
      </w:r>
      <w:r w:rsidR="0054514F">
        <w:rPr>
          <w:rFonts w:cs="Guttman Drogolin" w:hint="cs"/>
          <w:rtl/>
          <w:lang w:bidi="he-IL"/>
        </w:rPr>
        <w:t>תשמישתו</w:t>
      </w:r>
      <w:r w:rsidRPr="00882F11">
        <w:rPr>
          <w:rFonts w:cs="Guttman Drogolin" w:hint="cs"/>
          <w:rtl/>
          <w:lang w:bidi="he-IL"/>
        </w:rPr>
        <w:t xml:space="preserve"> באור מהני השחזה ולא הגעלה, ולכן כיון דמהני הגעלה בדיעבד משום דאזלינן בתר רוב תשמישתו הה"נ דמהני השחזה. ואע"ג שי"א דהשחזה גרועה מהגעלה, מ"מ בדיעבד סמכינן על המקילים, בפרט דאי</w:t>
      </w:r>
      <w:r w:rsidR="009B2BCF" w:rsidRPr="00882F11">
        <w:rPr>
          <w:rFonts w:cs="Guttman Drogolin" w:hint="cs"/>
          <w:rtl/>
          <w:lang w:bidi="he-IL"/>
        </w:rPr>
        <w:t>כ</w:t>
      </w:r>
      <w:r w:rsidRPr="00882F11">
        <w:rPr>
          <w:rFonts w:cs="Guttman Drogolin" w:hint="cs"/>
          <w:rtl/>
          <w:lang w:bidi="he-IL"/>
        </w:rPr>
        <w:t>א מ"ד דמהני השחזה כמו ליבון.</w:t>
      </w:r>
      <w:r w:rsidR="009B2BCF" w:rsidRPr="00882F11">
        <w:rPr>
          <w:rFonts w:cs="Guttman Drogolin" w:hint="cs"/>
          <w:rtl/>
          <w:lang w:bidi="he-IL"/>
        </w:rPr>
        <w:t xml:space="preserve"> </w:t>
      </w:r>
      <w:r w:rsidRPr="00882F11">
        <w:rPr>
          <w:rFonts w:cs="Guttman Drogolin" w:hint="cs"/>
          <w:rtl/>
          <w:lang w:bidi="he-IL"/>
        </w:rPr>
        <w:t xml:space="preserve"> </w:t>
      </w:r>
      <w:r w:rsidR="00F32F22" w:rsidRPr="00882F11">
        <w:rPr>
          <w:rFonts w:cs="Guttman Drogolin" w:hint="cs"/>
          <w:rtl/>
          <w:lang w:bidi="he-IL"/>
        </w:rPr>
        <w:t xml:space="preserve"> </w:t>
      </w:r>
      <w:r w:rsidR="002B6E1D" w:rsidRPr="00882F11">
        <w:rPr>
          <w:rFonts w:cs="Guttman Drogolin" w:hint="cs"/>
          <w:rtl/>
          <w:lang w:bidi="he-IL"/>
        </w:rPr>
        <w:t xml:space="preserve">  </w:t>
      </w:r>
      <w:r w:rsidR="003B0B76" w:rsidRPr="00882F11">
        <w:rPr>
          <w:rFonts w:cs="Guttman Drogolin" w:hint="cs"/>
          <w:rtl/>
          <w:lang w:bidi="he-IL"/>
        </w:rPr>
        <w:t xml:space="preserve"> </w:t>
      </w:r>
    </w:p>
    <w:p w:rsidR="00BD5F69" w:rsidRPr="00882F11" w:rsidRDefault="009B2BCF" w:rsidP="00161E3F">
      <w:pPr>
        <w:tabs>
          <w:tab w:val="right" w:pos="7497"/>
        </w:tabs>
        <w:bidi/>
        <w:jc w:val="both"/>
        <w:rPr>
          <w:rFonts w:cs="Guttman Drogolin"/>
          <w:rtl/>
          <w:lang w:bidi="he-IL"/>
        </w:rPr>
      </w:pPr>
      <w:r w:rsidRPr="00882F11">
        <w:rPr>
          <w:rFonts w:cs="Guttman Drogolin" w:hint="cs"/>
          <w:rtl/>
          <w:lang w:bidi="he-IL"/>
        </w:rPr>
        <w:t xml:space="preserve">ועוד חידש הרמ"א דמהני השחזה עם הגעלה אפילו לכתחילה. ומקור הדבר במרדכי, ושם מבואר הטעם בזה משום </w:t>
      </w:r>
      <w:r w:rsidR="00161E3F" w:rsidRPr="00882F11">
        <w:rPr>
          <w:rFonts w:cs="Guttman Drogolin" w:hint="cs"/>
          <w:rtl/>
          <w:lang w:bidi="he-IL"/>
        </w:rPr>
        <w:t xml:space="preserve">דליבון מהני להסיר קליפה מה דלא מהני בהגעלה, וזהו העדיפות של ליבון על הגעלה. וכיון שהשחיז הסכין, הא כבר הסיר קליפה, וממילא מהני הגעלה לחלק שנבלע יותר עמוק מדכדי קליפה. ויוצא לכאורה שהמחלוקת אם מהני השחזה לבד או לא הוא אי אמרינן שנבלע יותר עמוק בכדי קליפה, דלמקילין אינו נכנס יותר מכדי קליפה כלל, ולחולקים עליו נכנס אבל לא יותר משאר בליעה שע"י חום. </w:t>
      </w:r>
    </w:p>
    <w:p w:rsidR="008F372F" w:rsidRPr="00882F11" w:rsidRDefault="00BD5F69" w:rsidP="008F372F">
      <w:pPr>
        <w:tabs>
          <w:tab w:val="right" w:pos="7497"/>
        </w:tabs>
        <w:bidi/>
        <w:jc w:val="both"/>
        <w:rPr>
          <w:rFonts w:cs="Guttman Drogolin"/>
          <w:rtl/>
          <w:lang w:bidi="he-IL"/>
        </w:rPr>
      </w:pPr>
      <w:r w:rsidRPr="00882F11">
        <w:rPr>
          <w:rFonts w:cs="Guttman Drogolin" w:hint="cs"/>
          <w:rtl/>
          <w:lang w:bidi="he-IL"/>
        </w:rPr>
        <w:t xml:space="preserve">וסכין שיש בה גומות, לכאורה הכוונה לזה שיש לו גומות בצדדיו, שע"י החתיכות בדברים שמנים וכדומה מתמלא הגומא בשומן אסור ודומה ואינו יוצא ע"י נעיצה ולא ע"י הגעלה. והרבה מן הסכינים של היום יש להם פגימות, ולפום ריהטא לזה שפיר מהני נעיצה, דהא אין זה מקום כינוס שומן והוא משתפשף כמו שאר להב של סכין. אמנם מצאתי לכמה אחרונים (ע' </w:t>
      </w:r>
      <w:r w:rsidRPr="00882F11">
        <w:rPr>
          <w:rFonts w:cs="Guttman Drogolin"/>
          <w:rtl/>
          <w:lang w:bidi="he-IL"/>
        </w:rPr>
        <w:t>אשרי האיש יו"ד פרק</w:t>
      </w:r>
      <w:r w:rsidRPr="00882F11">
        <w:rPr>
          <w:rFonts w:cs="Guttman Drogolin" w:hint="cs"/>
          <w:rtl/>
          <w:lang w:bidi="he-IL"/>
        </w:rPr>
        <w:t xml:space="preserve"> ו אות ה', </w:t>
      </w:r>
      <w:r w:rsidR="006274CC" w:rsidRPr="00882F11">
        <w:rPr>
          <w:rFonts w:cs="Guttman Drogolin" w:hint="cs"/>
          <w:rtl/>
          <w:lang w:bidi="he-IL"/>
        </w:rPr>
        <w:t>ו</w:t>
      </w:r>
      <w:r w:rsidRPr="00882F11">
        <w:rPr>
          <w:rFonts w:cs="Guttman Drogolin" w:hint="cs"/>
          <w:rtl/>
          <w:lang w:bidi="he-IL"/>
        </w:rPr>
        <w:t>חוט שני פסח פרק</w:t>
      </w:r>
      <w:r w:rsidR="006274CC" w:rsidRPr="00882F11">
        <w:rPr>
          <w:rFonts w:cs="Guttman Drogolin" w:hint="cs"/>
          <w:rtl/>
          <w:lang w:bidi="he-IL"/>
        </w:rPr>
        <w:t xml:space="preserve"> י' ס"ק</w:t>
      </w:r>
      <w:r w:rsidRPr="00882F11">
        <w:rPr>
          <w:rFonts w:cs="Guttman Drogolin" w:hint="cs"/>
          <w:rtl/>
          <w:lang w:bidi="he-IL"/>
        </w:rPr>
        <w:t xml:space="preserve"> י"ח אות ב'</w:t>
      </w:r>
      <w:r w:rsidR="008F372F" w:rsidRPr="00882F11">
        <w:rPr>
          <w:rFonts w:cs="Guttman Drogolin" w:hint="cs"/>
          <w:rtl/>
          <w:lang w:bidi="he-IL"/>
        </w:rPr>
        <w:t>, הלכות פסח (איידר) פט"ו הערה ק"מ</w:t>
      </w:r>
      <w:r w:rsidR="006274CC" w:rsidRPr="00882F11">
        <w:rPr>
          <w:rFonts w:cs="Guttman Drogolin" w:hint="cs"/>
          <w:rtl/>
          <w:lang w:bidi="he-IL"/>
        </w:rPr>
        <w:t>)</w:t>
      </w:r>
      <w:r w:rsidR="00161E3F" w:rsidRPr="00882F11">
        <w:rPr>
          <w:rFonts w:cs="Guttman Drogolin" w:hint="cs"/>
          <w:rtl/>
          <w:lang w:bidi="he-IL"/>
        </w:rPr>
        <w:t xml:space="preserve"> </w:t>
      </w:r>
      <w:r w:rsidR="006274CC" w:rsidRPr="00882F11">
        <w:rPr>
          <w:rFonts w:cs="Guttman Drogolin" w:hint="cs"/>
          <w:rtl/>
          <w:lang w:bidi="he-IL"/>
        </w:rPr>
        <w:t>שנקטו אחרת. ונראה שהוא תלוי בסוגי השיני</w:t>
      </w:r>
      <w:r w:rsidR="008F372F" w:rsidRPr="00882F11">
        <w:rPr>
          <w:rFonts w:cs="Guttman Drogolin" w:hint="cs"/>
          <w:rtl/>
          <w:lang w:bidi="he-IL"/>
        </w:rPr>
        <w:t>י</w:t>
      </w:r>
      <w:r w:rsidR="006274CC" w:rsidRPr="00882F11">
        <w:rPr>
          <w:rFonts w:cs="Guttman Drogolin" w:hint="cs"/>
          <w:rtl/>
          <w:lang w:bidi="he-IL"/>
        </w:rPr>
        <w:t>ם</w:t>
      </w:r>
      <w:r w:rsidR="008F372F" w:rsidRPr="00882F11">
        <w:rPr>
          <w:rFonts w:cs="Guttman Drogolin" w:hint="cs"/>
          <w:rtl/>
          <w:lang w:bidi="he-IL"/>
        </w:rPr>
        <w:t xml:space="preserve"> אם נראה שהוא משתפשף בקרקע כמו שאר הסכין או לא</w:t>
      </w:r>
      <w:r w:rsidR="006274CC" w:rsidRPr="00882F11">
        <w:rPr>
          <w:rFonts w:cs="Guttman Drogolin" w:hint="cs"/>
          <w:rtl/>
          <w:lang w:bidi="he-IL"/>
        </w:rPr>
        <w:t>.</w:t>
      </w:r>
    </w:p>
    <w:p w:rsidR="0041562F" w:rsidRPr="00882F11" w:rsidRDefault="008F372F" w:rsidP="00792FED">
      <w:pPr>
        <w:tabs>
          <w:tab w:val="right" w:pos="7497"/>
        </w:tabs>
        <w:bidi/>
        <w:jc w:val="both"/>
        <w:rPr>
          <w:rFonts w:cs="Guttman Drogolin"/>
          <w:rtl/>
          <w:lang w:bidi="he-IL"/>
        </w:rPr>
      </w:pPr>
      <w:r w:rsidRPr="00882F11">
        <w:rPr>
          <w:rFonts w:cs="Guttman Drogolin" w:hint="cs"/>
          <w:rtl/>
          <w:lang w:bidi="he-IL"/>
        </w:rPr>
        <w:t xml:space="preserve">והנה בעצם ההכשר של נעיצה, הרי מבואר שצריך קרקע שאינה עבודה, וכן לא יהי' קרקע קשה מדי וכמש"כ התוס' בסוף מס' ע"ז. </w:t>
      </w:r>
      <w:r w:rsidR="00792FED" w:rsidRPr="00882F11">
        <w:rPr>
          <w:rFonts w:cs="Guttman Drogolin" w:hint="cs"/>
          <w:rtl/>
          <w:lang w:bidi="he-IL"/>
        </w:rPr>
        <w:t>ולכאורה נראה שהענין הוא שיהי' אינה עבודה אבל לא כאבן כדי שהאבן יכנס בה בטוב, ומי שיודע שכך עשה הכשיר הסכין ואפשר לסמוך על זה.</w:t>
      </w:r>
      <w:r w:rsidR="000E4470" w:rsidRPr="00882F11">
        <w:rPr>
          <w:rFonts w:cs="Guttman Drogolin" w:hint="cs"/>
          <w:rtl/>
          <w:lang w:bidi="he-IL"/>
        </w:rPr>
        <w:t xml:space="preserve"> והפוסקים דנו אם גם צמר פלדה ג"כ דינו כנעיצה </w:t>
      </w:r>
      <w:r w:rsidR="000E4470" w:rsidRPr="00882F11">
        <w:rPr>
          <w:rFonts w:cs="Guttman Drogolin" w:hint="cs"/>
          <w:rtl/>
          <w:lang w:bidi="he-IL"/>
        </w:rPr>
        <w:lastRenderedPageBreak/>
        <w:t>דהא כך נעשית.</w:t>
      </w:r>
      <w:r w:rsidR="00792FED" w:rsidRPr="00882F11">
        <w:rPr>
          <w:rFonts w:cs="Guttman Drogolin" w:hint="cs"/>
          <w:rtl/>
          <w:lang w:bidi="he-IL"/>
        </w:rPr>
        <w:t xml:space="preserve"> אבל </w:t>
      </w:r>
      <w:r w:rsidRPr="00882F11">
        <w:rPr>
          <w:rFonts w:cs="Guttman Drogolin" w:hint="cs"/>
          <w:rtl/>
          <w:lang w:bidi="he-IL"/>
        </w:rPr>
        <w:t>התבו"</w:t>
      </w:r>
      <w:r w:rsidR="00792FED" w:rsidRPr="00882F11">
        <w:rPr>
          <w:rFonts w:cs="Guttman Drogolin" w:hint="cs"/>
          <w:rtl/>
          <w:lang w:bidi="he-IL"/>
        </w:rPr>
        <w:t>ש</w:t>
      </w:r>
      <w:r w:rsidR="006274CC" w:rsidRPr="00882F11">
        <w:rPr>
          <w:rFonts w:cs="Guttman Drogolin" w:hint="cs"/>
          <w:rtl/>
          <w:lang w:bidi="he-IL"/>
        </w:rPr>
        <w:t xml:space="preserve"> </w:t>
      </w:r>
      <w:r w:rsidR="00792FED" w:rsidRPr="00882F11">
        <w:rPr>
          <w:rFonts w:cs="Guttman Drogolin" w:hint="cs"/>
          <w:rtl/>
          <w:lang w:bidi="he-IL"/>
        </w:rPr>
        <w:t>(</w:t>
      </w:r>
      <w:r w:rsidR="00792FED" w:rsidRPr="00882F11">
        <w:rPr>
          <w:rFonts w:cs="Guttman Drogolin"/>
          <w:rtl/>
          <w:lang w:bidi="he-IL"/>
        </w:rPr>
        <w:t xml:space="preserve">סי' י' ס"ק ט"ז) </w:t>
      </w:r>
      <w:r w:rsidR="00792FED" w:rsidRPr="00882F11">
        <w:rPr>
          <w:rFonts w:cs="Guttman Drogolin" w:hint="cs"/>
          <w:rtl/>
          <w:lang w:bidi="he-IL"/>
        </w:rPr>
        <w:t>כתב ש</w:t>
      </w:r>
      <w:r w:rsidR="00792FED" w:rsidRPr="00882F11">
        <w:rPr>
          <w:rFonts w:cs="Guttman Drogolin"/>
          <w:rtl/>
          <w:lang w:bidi="he-IL"/>
        </w:rPr>
        <w:t>כמעט נפלה הך נעיצה בבירא דלא ידעי' שיעורא האיך תהיה הקרקע קשה</w:t>
      </w:r>
      <w:r w:rsidR="00792FED" w:rsidRPr="00882F11">
        <w:rPr>
          <w:rFonts w:cs="Guttman Drogolin" w:hint="cs"/>
          <w:rtl/>
          <w:lang w:bidi="he-IL"/>
        </w:rPr>
        <w:t>. וכן הוא בס' דבר חריף (פ"ח ה"י והערה מ"ט) משמי' דהגריש"א</w:t>
      </w:r>
      <w:r w:rsidR="00792FED" w:rsidRPr="00882F11">
        <w:rPr>
          <w:rStyle w:val="FootnoteReference"/>
          <w:rFonts w:cs="Guttman Drogolin"/>
          <w:rtl/>
          <w:lang w:bidi="he-IL"/>
        </w:rPr>
        <w:footnoteReference w:id="532"/>
      </w:r>
      <w:r w:rsidR="00792FED" w:rsidRPr="00882F11">
        <w:rPr>
          <w:rFonts w:cs="Guttman Drogolin" w:hint="cs"/>
          <w:rtl/>
          <w:lang w:bidi="he-IL"/>
        </w:rPr>
        <w:t xml:space="preserve">. ולדבריהם צ"ע איך מכשירים סכין שיש עליו שמנונית. ושם בס' דבר חריף כתב שאופן הכשר הסכין הוא ע"י ניקוי היטב והגעלה לאחר מכן. </w:t>
      </w:r>
    </w:p>
    <w:p w:rsidR="00ED4DAD" w:rsidRPr="00882F11" w:rsidRDefault="0041562F" w:rsidP="005030EE">
      <w:pPr>
        <w:tabs>
          <w:tab w:val="right" w:pos="7497"/>
        </w:tabs>
        <w:bidi/>
        <w:jc w:val="both"/>
        <w:rPr>
          <w:rFonts w:cs="Guttman Drogolin"/>
          <w:rtl/>
          <w:lang w:bidi="he-IL"/>
        </w:rPr>
      </w:pPr>
      <w:r w:rsidRPr="00882F11">
        <w:rPr>
          <w:rFonts w:cs="Guttman Drogolin" w:hint="cs"/>
          <w:rtl/>
          <w:lang w:bidi="he-IL"/>
        </w:rPr>
        <w:t>ואם השתמשו בסכין קודם שעשו לה נעיצה (או הגעלה וכנ"ל)</w:t>
      </w:r>
      <w:r w:rsidR="005030EE" w:rsidRPr="00882F11">
        <w:rPr>
          <w:rFonts w:cs="Guttman Drogolin" w:hint="cs"/>
          <w:rtl/>
          <w:lang w:bidi="he-IL"/>
        </w:rPr>
        <w:t xml:space="preserve"> ע' הגהות רע"א לש"ך סי' צ"ו ס"ק ג' דעות בזה. </w:t>
      </w:r>
      <w:r w:rsidR="00ED4DAD" w:rsidRPr="00882F11">
        <w:rPr>
          <w:rFonts w:cs="Guttman Drogolin" w:hint="cs"/>
          <w:rtl/>
          <w:lang w:bidi="he-IL"/>
        </w:rPr>
        <w:t>וע' מש"כ בזה גם לעיל בשיעור מ"ו.</w:t>
      </w:r>
    </w:p>
    <w:p w:rsidR="00ED4DAD" w:rsidRPr="00882F11" w:rsidRDefault="00ED4DAD" w:rsidP="00ED4DAD">
      <w:pPr>
        <w:pStyle w:val="Heading1"/>
        <w:bidi/>
        <w:spacing w:before="0" w:line="360" w:lineRule="auto"/>
        <w:jc w:val="center"/>
        <w:rPr>
          <w:rFonts w:cs="Guttman Drogolin"/>
          <w:color w:val="auto"/>
          <w:sz w:val="24"/>
          <w:szCs w:val="24"/>
          <w:u w:val="single"/>
          <w:rtl/>
          <w:lang w:bidi="he-IL"/>
        </w:rPr>
      </w:pPr>
      <w:bookmarkStart w:id="519" w:name="_Toc496175759"/>
      <w:r w:rsidRPr="00882F11">
        <w:rPr>
          <w:rFonts w:cs="Guttman Drogolin" w:hint="cs"/>
          <w:color w:val="auto"/>
          <w:sz w:val="24"/>
          <w:szCs w:val="24"/>
          <w:u w:val="single"/>
          <w:rtl/>
          <w:lang w:bidi="he-IL"/>
        </w:rPr>
        <w:t>קדרות בפסח הבלועים הרבה חמץ</w:t>
      </w:r>
      <w:bookmarkEnd w:id="519"/>
    </w:p>
    <w:p w:rsidR="000151FA" w:rsidRPr="00882F11" w:rsidRDefault="00BB4151" w:rsidP="0031634F">
      <w:pPr>
        <w:tabs>
          <w:tab w:val="right" w:pos="7497"/>
        </w:tabs>
        <w:bidi/>
        <w:jc w:val="both"/>
        <w:rPr>
          <w:rFonts w:cs="Guttman Drogolin"/>
          <w:rtl/>
          <w:lang w:bidi="he-IL"/>
        </w:rPr>
      </w:pPr>
      <w:r>
        <w:rPr>
          <w:rFonts w:cs="Guttman Drogolin"/>
          <w:rtl/>
          <w:lang w:bidi="he-IL"/>
        </w:rPr>
        <w:fldChar w:fldCharType="begin"/>
      </w:r>
      <w:r>
        <w:instrText xml:space="preserve"> XE "</w:instrText>
      </w:r>
      <w:r w:rsidRPr="00AA7832">
        <w:rPr>
          <w:rFonts w:hint="cs"/>
          <w:rtl/>
          <w:lang w:bidi="he-IL"/>
        </w:rPr>
        <w:instrText>הכשר כלים</w:instrText>
      </w:r>
      <w:r w:rsidRPr="00AA7832">
        <w:rPr>
          <w:rtl/>
        </w:rPr>
        <w:instrText>:</w:instrText>
      </w:r>
      <w:r w:rsidRPr="00AA7832">
        <w:rPr>
          <w:rFonts w:hint="cs"/>
          <w:rtl/>
          <w:lang w:bidi="he-IL"/>
        </w:rPr>
        <w:instrText>כלים הבלועים הרבה חמץ</w:instrText>
      </w:r>
      <w:r>
        <w:instrText xml:space="preserve">" </w:instrText>
      </w:r>
      <w:r>
        <w:rPr>
          <w:rFonts w:cs="Guttman Drogolin"/>
          <w:rtl/>
          <w:lang w:bidi="he-IL"/>
        </w:rPr>
        <w:fldChar w:fldCharType="end"/>
      </w:r>
      <w:r w:rsidR="000151FA" w:rsidRPr="00882F11">
        <w:rPr>
          <w:rFonts w:cs="Guttman Drogolin" w:hint="cs"/>
          <w:rtl/>
          <w:lang w:bidi="he-IL"/>
        </w:rPr>
        <w:t xml:space="preserve">בסוגיית הגמ' שבמס' פסחים דף ל' ע"א מבואר מחלוקת אם יש חיוב שבירה בכלי חרס, דשיטת רב שאסורים בתשמיש ולכן יש לשוברם, ושמואל חלק וסבר שמותרים בתשמיש. והנה בסוגיית הגמ' מבואר דמיירי בכלי שמעיקר הדין הי' מותר בתשמיש בשלא </w:t>
      </w:r>
      <w:r w:rsidR="004B786B" w:rsidRPr="00882F11">
        <w:rPr>
          <w:rFonts w:cs="Guttman Drogolin" w:hint="cs"/>
          <w:rtl/>
          <w:lang w:bidi="he-IL"/>
        </w:rPr>
        <w:t>במינו, ומשו"ה לא חייבם רב בתשמיש שלא במינו אלא גזירה אטו מינו. והבאנו כמה טעמים לזה בראשונים, דהיינו או משום שיכול להטעימו לקפילא, או"ד משום שאין בה אלא משההו של טעם, ולכן במין במינו הרי הוא אוסר וכמ"ד מין במינו לא בטל, אבל שלא במינו אין אסור אלא משום גזירה. ובטעם הדבר שאין בה אלא משהו של טעם נחלקו הראשונים, שי"א שהגעילו קודם, ולכן אין בה אלא משהו, או"ד משום שאין הדרך להשתמש בכלי אלא באופן שאין בה כדי נתינת טעם של חמץ</w:t>
      </w:r>
      <w:r w:rsidR="003A1E6D" w:rsidRPr="00882F11">
        <w:rPr>
          <w:rFonts w:cs="Guttman Drogolin" w:hint="cs"/>
          <w:rtl/>
          <w:lang w:bidi="he-IL"/>
        </w:rPr>
        <w:t xml:space="preserve">. ועפ"ז יל"ע מהו הביאור בזה דקיי"ל כשמואל שמותר להשהות קדירות ולהשתמש בהם לאחר הפסח בין במינו ובין שלא במינו. וכבר הבאנו שרש"י כתב ב' טעמים בהא דקיי"ל כשמואל, חדא משום דקיי"ל דנטל"פ מותר, וכן משום דקיי"ל ר' שמעון ולכן אינו אסור לאחר הפסח אלא משום קנס. וטעם זה שכתב רש"י שהוא משום דקיי"ל נטל"פ מותר, נחלקו הראשונים, שי"א דלא שייך טעם זה משום שיש לגזור אינו בן יומו אטו בן יומו, וי"א </w:t>
      </w:r>
      <w:r w:rsidR="003A1E6D" w:rsidRPr="00882F11">
        <w:rPr>
          <w:rFonts w:cs="Guttman Drogolin" w:hint="cs"/>
          <w:rtl/>
          <w:lang w:bidi="he-IL"/>
        </w:rPr>
        <w:lastRenderedPageBreak/>
        <w:t>דלא שייך גזירה זו כיון דלא שייך חמץ שעבר עליו הפסח בן יומו לאחר הפסח. ומאידך יש להוסיף עוד טעם לומר דקיי"ל כשמואל, והוא דהא קיי"ל דמין במינו מדאורייתא ברובא ומדרבנן בס', דלא קיי"ל כמ"ד דמב"מ אפילו משהו אוסר, ורש"י שלא כתב כן היינו משום דסבר דקיי"ל כמ"ד מב"מ לא בטל. וא"כ הא ניחא בסתם קדירה של הגמ' שאין בה כדי נתינת טעם של חמץ לדעת התוס' והר"ן וכנ"ל, אבל אם יש בה כדי נתינת טעם של חמץ, הרי לשיטת התוס' והר"ן ודאי הי' צריך לאסור לאחר זמן, ולא שייך אינך טעמיים כיון שלא עשה הגעלה וכן לא סמכינן אקפילא. ולכאורה איכא למימר בזה בת</w:t>
      </w:r>
      <w:r w:rsidR="0031634F" w:rsidRPr="00882F11">
        <w:rPr>
          <w:rFonts w:cs="Guttman Drogolin" w:hint="cs"/>
          <w:rtl/>
          <w:lang w:bidi="he-IL"/>
        </w:rPr>
        <w:t>ל</w:t>
      </w:r>
      <w:r w:rsidR="003A1E6D" w:rsidRPr="00882F11">
        <w:rPr>
          <w:rFonts w:cs="Guttman Drogolin" w:hint="cs"/>
          <w:rtl/>
          <w:lang w:bidi="he-IL"/>
        </w:rPr>
        <w:t xml:space="preserve">ת, </w:t>
      </w:r>
      <w:r w:rsidR="0031634F" w:rsidRPr="00882F11">
        <w:rPr>
          <w:rFonts w:cs="Guttman Drogolin" w:hint="cs"/>
          <w:rtl/>
          <w:lang w:bidi="he-IL"/>
        </w:rPr>
        <w:t xml:space="preserve">או דאה"נ ואם יש בה כדי נתינת טעם של חמץ גם שמואלל מודה, </w:t>
      </w:r>
      <w:r w:rsidR="003A1E6D" w:rsidRPr="00882F11">
        <w:rPr>
          <w:rFonts w:cs="Guttman Drogolin" w:hint="cs"/>
          <w:rtl/>
          <w:lang w:bidi="he-IL"/>
        </w:rPr>
        <w:t xml:space="preserve">או משום דקיי"ל שאין לאסור כיון שהוא נטל"פ וכמש"כ רש"י ועוד. או"ד משום שלר' שמעון אין אנו צריכים ס' לאחר הפסח רק רוב.   </w:t>
      </w:r>
    </w:p>
    <w:p w:rsidR="00506CFD" w:rsidRPr="00882F11" w:rsidRDefault="0031634F" w:rsidP="0031634F">
      <w:pPr>
        <w:tabs>
          <w:tab w:val="right" w:pos="7497"/>
        </w:tabs>
        <w:bidi/>
        <w:jc w:val="both"/>
        <w:rPr>
          <w:rFonts w:cs="Guttman Drogolin"/>
          <w:rtl/>
          <w:lang w:bidi="he-IL"/>
        </w:rPr>
      </w:pPr>
      <w:r w:rsidRPr="00882F11">
        <w:rPr>
          <w:rFonts w:cs="Guttman Drogolin" w:hint="cs"/>
          <w:rtl/>
          <w:lang w:bidi="he-IL"/>
        </w:rPr>
        <w:t>והנה ברסי' תנ"א כתב הטור "</w:t>
      </w:r>
      <w:r w:rsidRPr="00882F11">
        <w:rPr>
          <w:rFonts w:cs="Guttman Drogolin"/>
          <w:rtl/>
          <w:lang w:bidi="he-IL"/>
        </w:rPr>
        <w:t>קדירות של חרס שנשתמש בהן חמץ כל השנה אפילו אותן שעושין בהם דייסא ומיני קמחין משפשפן היטב בענין שלא יהא חמץ ניכר בהן ומותר לשהותן לאחר הפסח להשתמש בהן בין במינו בין שלא במינו</w:t>
      </w:r>
      <w:r w:rsidRPr="00882F11">
        <w:rPr>
          <w:rFonts w:cs="Guttman Drogolin" w:hint="cs"/>
          <w:rtl/>
          <w:lang w:bidi="he-IL"/>
        </w:rPr>
        <w:t>". והביא המ"ב ס"ק ה' בשם העו"ש שדקדק מזה שכוונת הטור להתיר אפילו הם בלועים הרבה חמץ. ולכאורה צ"ע שהרי שיטת הטור לעיל בסי' תמ"ז שאפילו לר' שמעון חמץ לאחר הפסח אסור עד ס', וא"כ למה מותר להשהותן עד לאחר הפסח הא יש בבה כדי נתינת טעם. ולכאורה התשובה שהטור סבר דלא גזרינן אינו בן יומו אט ובן יומו כנ"ל. אמנם חשבתי לומר בזה עוד ביאור, שהרי הקשו המפרשים למה דנו בגמ' אם אפשר להחזיק כלי שיש בה בליעות של חמץ אך ורק משום היתר תשמיש שלאחר זמן, הא לכאורה יש חיוב לבערו משום החמץ הבלוע בו ומשום איסורא דבל יראה ובל ימצא. ובשו"ת ר"י מגאש הוכיח מזה דע"כ אינו עובר על הבליעות דלא חשיבי 'מצוי'. וכה,ג מבחאר גם במג"א ס"ק א' בשם ראב"ן ור' ירוחם ומשמעות דברי הר"ן.</w:t>
      </w:r>
      <w:r w:rsidR="00506CFD" w:rsidRPr="00882F11">
        <w:rPr>
          <w:rFonts w:cs="Guttman Drogolin" w:hint="cs"/>
          <w:rtl/>
          <w:lang w:bidi="he-IL"/>
        </w:rPr>
        <w:t xml:space="preserve"> וא"כ לכאורה י"ל טעם אחר </w:t>
      </w:r>
      <w:r w:rsidR="00506CFD" w:rsidRPr="00882F11">
        <w:rPr>
          <w:rFonts w:cs="Guttman Drogolin" w:hint="cs"/>
          <w:rtl/>
          <w:lang w:bidi="he-IL"/>
        </w:rPr>
        <w:lastRenderedPageBreak/>
        <w:t xml:space="preserve">שאין לאסור הבליעות לאחר הפסח, והוא משום שהרי לא אסר ר' שמעון אלא משום קנס כיון שעבר בבל יראה, ובכה"ג הרי אינו עובר ולכן לא נאסרו הבליעות כלל. וא"כ אפילו אם הי' טעם לאסור אינו ב"י אטו ב"י מ"מ הכא אפילו הבני יומן מותרים לגמרי. </w:t>
      </w:r>
    </w:p>
    <w:p w:rsidR="0031634F" w:rsidRPr="00882F11" w:rsidRDefault="00506CFD" w:rsidP="00506CFD">
      <w:pPr>
        <w:tabs>
          <w:tab w:val="right" w:pos="7497"/>
        </w:tabs>
        <w:bidi/>
        <w:jc w:val="both"/>
        <w:rPr>
          <w:rFonts w:cs="Guttman Drogolin"/>
          <w:rtl/>
          <w:lang w:bidi="he-IL"/>
        </w:rPr>
      </w:pPr>
      <w:r w:rsidRPr="00882F11">
        <w:rPr>
          <w:rFonts w:cs="Guttman Drogolin" w:hint="cs"/>
          <w:rtl/>
          <w:lang w:bidi="he-IL"/>
        </w:rPr>
        <w:t xml:space="preserve">אלא שלכאורה דברינו נסתרים מדברי קדשו של רש"י, שהרי רש"י פירש בד"ה אמר רב דא' מן הטעמים דלא קיי"ל כרב היינו משום דקיי"ל כר' שמעון 'דתערובת לאחר זמנו מותר כר' שמעון והאי פחות מתערובת הוא'. וראיתי בחי' ר' שמואל </w:t>
      </w:r>
      <w:r w:rsidR="001D5A9F" w:rsidRPr="00882F11">
        <w:rPr>
          <w:rFonts w:cs="Guttman Drogolin" w:hint="cs"/>
          <w:rtl/>
          <w:lang w:bidi="he-IL"/>
        </w:rPr>
        <w:t xml:space="preserve">(שיעורים על סדר הדף אות קט"ו </w:t>
      </w:r>
      <w:r w:rsidR="0068276F" w:rsidRPr="00882F11">
        <w:rPr>
          <w:rFonts w:cs="Guttman Drogolin" w:hint="cs"/>
          <w:rtl/>
          <w:lang w:bidi="he-IL"/>
        </w:rPr>
        <w:t xml:space="preserve">ד"ה ונראה </w:t>
      </w:r>
      <w:r w:rsidR="001D5A9F" w:rsidRPr="00882F11">
        <w:rPr>
          <w:rFonts w:cs="Guttman Drogolin"/>
          <w:rtl/>
          <w:lang w:bidi="he-IL"/>
        </w:rPr>
        <w:t>–</w:t>
      </w:r>
      <w:r w:rsidR="001D5A9F" w:rsidRPr="00882F11">
        <w:rPr>
          <w:rFonts w:cs="Guttman Drogolin" w:hint="cs"/>
          <w:rtl/>
          <w:lang w:bidi="he-IL"/>
        </w:rPr>
        <w:t xml:space="preserve"> עמ' קמ"ד) </w:t>
      </w:r>
      <w:r w:rsidRPr="00882F11">
        <w:rPr>
          <w:rFonts w:cs="Guttman Drogolin" w:hint="cs"/>
          <w:rtl/>
          <w:lang w:bidi="he-IL"/>
        </w:rPr>
        <w:t xml:space="preserve">שדקדק מדברי רש"י שלעולם אין להתיר משום זה שלא עבר על בל יראה, דא"כ דל מהכא שיעור התערובת, הא אין כאן חפצא דאיסורא כלל. ואין ללומר דרש"י סבר דעובר בבל יראה, דא"כ האיך התיר שמואל להשהותן וכנ"ל. וע"ש בחי' ר' שמואל שהוכיח מדבריו שחמץ אסור לאחר הפסח אפילו אל עבר באיסור בל יראה ובל ימצא. וחשבתי לומר באופן אחר, והוא דראיתי בס' דבר שמואל לסוגיין שנתן עוד טעם לומר שאינו עובר בבל יראה ובל ימצא, והוא משום דהבליעות לא עדיפי מפירורין דממילא מתבטלי. וא"כ איכא למימר שזהו דעת רש"י בטעם שלא התיר כיון שלא עבר בבל יראה,דהא מבואר בירושלמי שאם ביטל ולא ביאר החמץ עדיין אסור בהנאה, וכן הוא בשו"ע סי' תמ"ח סע' ה'. באופן שי"ל שבזה נחלקו רש"י והטור, דרש"י סבר שהטעם שאינו עובר בבל ירה משום שהחמץ בטל, ואילו הטור סבר שהטעם משום שלא חשוב מצוי.   </w:t>
      </w:r>
      <w:r w:rsidR="0031634F" w:rsidRPr="00882F11">
        <w:rPr>
          <w:rFonts w:cs="Guttman Drogolin" w:hint="cs"/>
          <w:rtl/>
          <w:lang w:bidi="he-IL"/>
        </w:rPr>
        <w:t xml:space="preserve">    </w:t>
      </w:r>
    </w:p>
    <w:p w:rsidR="0031634F" w:rsidRPr="00882F11" w:rsidRDefault="0031634F" w:rsidP="0031634F">
      <w:pPr>
        <w:pStyle w:val="Heading1"/>
        <w:bidi/>
        <w:spacing w:before="0" w:line="360" w:lineRule="auto"/>
        <w:jc w:val="center"/>
        <w:rPr>
          <w:rFonts w:cs="Guttman Drogolin"/>
          <w:color w:val="auto"/>
          <w:sz w:val="24"/>
          <w:szCs w:val="24"/>
          <w:u w:val="single"/>
          <w:rtl/>
          <w:lang w:bidi="he-IL"/>
        </w:rPr>
      </w:pPr>
      <w:bookmarkStart w:id="520" w:name="_Toc496175760"/>
      <w:r w:rsidRPr="00882F11">
        <w:rPr>
          <w:rFonts w:cs="Guttman Drogolin" w:hint="cs"/>
          <w:color w:val="auto"/>
          <w:sz w:val="24"/>
          <w:szCs w:val="24"/>
          <w:u w:val="single"/>
          <w:rtl/>
          <w:lang w:bidi="he-IL"/>
        </w:rPr>
        <w:t>הדין להצניע כלי חמץ בפסח</w:t>
      </w:r>
      <w:bookmarkEnd w:id="520"/>
    </w:p>
    <w:p w:rsidR="00926B73" w:rsidRPr="00882F11" w:rsidRDefault="00BB4151" w:rsidP="00647703">
      <w:pPr>
        <w:tabs>
          <w:tab w:val="right" w:pos="7497"/>
        </w:tabs>
        <w:bidi/>
        <w:jc w:val="both"/>
        <w:rPr>
          <w:rFonts w:cs="Guttman Drogolin"/>
          <w:rtl/>
          <w:lang w:bidi="he-IL"/>
        </w:rPr>
      </w:pPr>
      <w:r>
        <w:rPr>
          <w:rFonts w:cs="Guttman Drogolin"/>
          <w:rtl/>
          <w:lang w:bidi="he-IL"/>
        </w:rPr>
        <w:fldChar w:fldCharType="begin"/>
      </w:r>
      <w:r>
        <w:instrText xml:space="preserve"> XE "</w:instrText>
      </w:r>
      <w:r w:rsidRPr="00FC0EC7">
        <w:rPr>
          <w:rFonts w:hint="cs"/>
          <w:rtl/>
          <w:lang w:bidi="he-IL"/>
        </w:rPr>
        <w:instrText>הכשר כלים</w:instrText>
      </w:r>
      <w:r w:rsidRPr="00FC0EC7">
        <w:rPr>
          <w:rtl/>
        </w:rPr>
        <w:instrText>:</w:instrText>
      </w:r>
      <w:r w:rsidRPr="00FC0EC7">
        <w:rPr>
          <w:rFonts w:hint="cs"/>
          <w:rtl/>
          <w:lang w:bidi="he-IL"/>
        </w:rPr>
        <w:instrText>הצנעת כלי פסח</w:instrText>
      </w:r>
      <w:r>
        <w:instrText xml:space="preserve">" </w:instrText>
      </w:r>
      <w:r>
        <w:rPr>
          <w:rFonts w:cs="Guttman Drogolin"/>
          <w:rtl/>
          <w:lang w:bidi="he-IL"/>
        </w:rPr>
        <w:fldChar w:fldCharType="end"/>
      </w:r>
      <w:r w:rsidR="00506CFD" w:rsidRPr="00882F11">
        <w:rPr>
          <w:rFonts w:cs="Guttman Drogolin" w:hint="cs"/>
          <w:rtl/>
          <w:lang w:bidi="he-IL"/>
        </w:rPr>
        <w:t xml:space="preserve">אע"פ שאינו צריך לשבור הכלי חמץ לפני הפסח, מ"מ כתב הרא"ש </w:t>
      </w:r>
      <w:r w:rsidR="00926B73" w:rsidRPr="00882F11">
        <w:rPr>
          <w:rFonts w:cs="Guttman Drogolin" w:hint="cs"/>
          <w:rtl/>
          <w:lang w:bidi="he-IL"/>
        </w:rPr>
        <w:t>(אות ו') "וצריך לשומרן במקום שאין הרגל מצויה שלא יטעו להשתמש בהו בפסח</w:t>
      </w:r>
      <w:r w:rsidR="00647703" w:rsidRPr="00882F11">
        <w:rPr>
          <w:rStyle w:val="FootnoteReference"/>
          <w:rFonts w:cs="Guttman Drogolin"/>
          <w:rtl/>
          <w:lang w:bidi="he-IL"/>
        </w:rPr>
        <w:footnoteReference w:id="533"/>
      </w:r>
      <w:r w:rsidR="00926B73" w:rsidRPr="00882F11">
        <w:rPr>
          <w:rFonts w:cs="Guttman Drogolin" w:hint="cs"/>
          <w:rtl/>
          <w:lang w:bidi="he-IL"/>
        </w:rPr>
        <w:t xml:space="preserve">". וכן הוא בטור ושו"ע בסע' א', והוסיפו שטוב לסוגרם בחדר ולהצניע המפתח. ואע"ג </w:t>
      </w:r>
      <w:r w:rsidR="00926B73" w:rsidRPr="00882F11">
        <w:rPr>
          <w:rFonts w:cs="Guttman Drogolin" w:hint="cs"/>
          <w:rtl/>
          <w:lang w:bidi="he-IL"/>
        </w:rPr>
        <w:lastRenderedPageBreak/>
        <w:t>שבביאור הגר"א ציין לזה מקור, נראה שאפילו דברי הרא"ש אינו חיוב דרבנן גמור, רק שכן עליו לעשות כיון שיכול לבא לידי מכשול. ונפק"מ לכאורה שכל טצדקי שיעשה כדי שלא יבא להשתמש בכלים סגי, ואם יניחם למעלה במקום שאין יד האדם משגת ג"כ שפיר דמי. ולכן לא הבנתי למה הב"ח חרה אפו באלו שמניחים כליהם למעלה, ואע"ג דחזינן שכשגזרו שמא יבאו למחוק גזרו אפילו למעלה בי' קומות, לכאורה היינו אך ורק כשיש גזרה גמורה בש"ס, אבל דבר זה לא מוזכר בש"ס כלל. וכ"ש דכאן רוב הפעמים הו</w:t>
      </w:r>
      <w:r w:rsidR="00647703" w:rsidRPr="00882F11">
        <w:rPr>
          <w:rFonts w:cs="Guttman Drogolin" w:hint="cs"/>
          <w:rtl/>
          <w:lang w:bidi="he-IL"/>
        </w:rPr>
        <w:t>ו אינן בני יומן וכן לא השתמשו ב</w:t>
      </w:r>
      <w:r w:rsidR="00926B73" w:rsidRPr="00882F11">
        <w:rPr>
          <w:rFonts w:cs="Guttman Drogolin" w:hint="cs"/>
          <w:rtl/>
          <w:lang w:bidi="he-IL"/>
        </w:rPr>
        <w:t>הם בכלי ראשון ולכן אין לאסור וכמו שהעיר המג"א. וצ"ע.</w:t>
      </w:r>
    </w:p>
    <w:p w:rsidR="0031634F" w:rsidRPr="00882F11" w:rsidRDefault="00926B73" w:rsidP="004577AF">
      <w:pPr>
        <w:tabs>
          <w:tab w:val="right" w:pos="7497"/>
        </w:tabs>
        <w:bidi/>
        <w:jc w:val="both"/>
        <w:rPr>
          <w:rFonts w:cs="Guttman Drogolin"/>
          <w:rtl/>
          <w:lang w:bidi="he-IL"/>
        </w:rPr>
      </w:pPr>
      <w:r w:rsidRPr="00882F11">
        <w:rPr>
          <w:rFonts w:cs="Guttman Drogolin" w:hint="cs"/>
          <w:rtl/>
          <w:lang w:bidi="he-IL"/>
        </w:rPr>
        <w:t xml:space="preserve">ולענין הא שיש לסוגרם ולהצניע המפתח, נראה שגם לקשור ולהדביקם בתוך ארון ג"כ שפיר דמי, דמאי שנא מנעול של מתכת ממנעול של דבר או חוט. ומכיון שלא מצאנו בקדמונים שיש למכור הבליעות שבכלים </w:t>
      </w:r>
      <w:r w:rsidR="004577AF" w:rsidRPr="00882F11">
        <w:rPr>
          <w:rFonts w:cs="Guttman Drogolin" w:hint="cs"/>
          <w:rtl/>
          <w:lang w:bidi="he-IL"/>
        </w:rPr>
        <w:t>אין ענין לעשות כן, ואדרבה, העושה כן עושה ממכירתו חוכא ואטלולא, שפשוט שאין כוונת הנכרי באמת לקנות הבליעות. ומ"מ מצאנו גדולי עולם שעשו גם את זה, ועכ"פ משום חביבות המצוה ולא מעיקר הדין.</w:t>
      </w:r>
      <w:r w:rsidRPr="00882F11">
        <w:rPr>
          <w:rFonts w:cs="Guttman Drogolin" w:hint="cs"/>
          <w:rtl/>
          <w:lang w:bidi="he-IL"/>
        </w:rPr>
        <w:t xml:space="preserve">    </w:t>
      </w:r>
    </w:p>
    <w:p w:rsidR="00C57E13" w:rsidRPr="00882F11" w:rsidRDefault="00C57E13" w:rsidP="00C57E13">
      <w:pPr>
        <w:tabs>
          <w:tab w:val="right" w:pos="7497"/>
        </w:tabs>
        <w:bidi/>
        <w:jc w:val="both"/>
        <w:rPr>
          <w:rFonts w:cs="Guttman Drogolin"/>
          <w:rtl/>
          <w:lang w:bidi="he-IL"/>
        </w:rPr>
        <w:sectPr w:rsidR="00C57E13" w:rsidRPr="00882F11" w:rsidSect="00280E73">
          <w:type w:val="continuous"/>
          <w:pgSz w:w="11907" w:h="16839" w:code="9"/>
          <w:pgMar w:top="1440" w:right="1440" w:bottom="1440" w:left="1440" w:header="720" w:footer="720" w:gutter="0"/>
          <w:cols w:num="2" w:space="720"/>
          <w:bidi/>
          <w:docGrid w:linePitch="360"/>
        </w:sectPr>
      </w:pPr>
    </w:p>
    <w:p w:rsidR="00C57E13" w:rsidRPr="00882F11" w:rsidRDefault="00C57E13" w:rsidP="00C57E13">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קל"ו</w:t>
      </w:r>
    </w:p>
    <w:p w:rsidR="00280E73" w:rsidRDefault="00280E73" w:rsidP="00C57E13">
      <w:pPr>
        <w:pStyle w:val="Heading1"/>
        <w:bidi/>
        <w:spacing w:before="0" w:line="360" w:lineRule="auto"/>
        <w:jc w:val="center"/>
        <w:rPr>
          <w:rFonts w:cs="Guttman Drogolin"/>
          <w:color w:val="auto"/>
          <w:sz w:val="24"/>
          <w:szCs w:val="24"/>
          <w:u w:val="single"/>
          <w:rtl/>
          <w:lang w:bidi="he-IL"/>
        </w:rPr>
        <w:sectPr w:rsidR="00280E73" w:rsidSect="00280E73">
          <w:headerReference w:type="default" r:id="rId98"/>
          <w:pgSz w:w="11907" w:h="16839" w:code="9"/>
          <w:pgMar w:top="1440" w:right="1440" w:bottom="1440" w:left="1440" w:header="720" w:footer="720" w:gutter="0"/>
          <w:cols w:space="720"/>
          <w:bidi/>
          <w:docGrid w:linePitch="360"/>
        </w:sectPr>
      </w:pPr>
    </w:p>
    <w:p w:rsidR="00C57E13" w:rsidRPr="00882F11" w:rsidRDefault="00C57E13" w:rsidP="00C57E13">
      <w:pPr>
        <w:pStyle w:val="Heading1"/>
        <w:bidi/>
        <w:spacing w:before="0" w:line="360" w:lineRule="auto"/>
        <w:jc w:val="center"/>
        <w:rPr>
          <w:rFonts w:cs="Guttman Drogolin"/>
          <w:color w:val="auto"/>
          <w:sz w:val="24"/>
          <w:szCs w:val="24"/>
          <w:u w:val="single"/>
          <w:rtl/>
          <w:lang w:bidi="he-IL"/>
        </w:rPr>
      </w:pPr>
      <w:bookmarkStart w:id="521" w:name="_Toc496175761"/>
      <w:r w:rsidRPr="00882F11">
        <w:rPr>
          <w:rFonts w:cs="Guttman Drogolin" w:hint="cs"/>
          <w:color w:val="auto"/>
          <w:sz w:val="24"/>
          <w:szCs w:val="24"/>
          <w:u w:val="single"/>
          <w:rtl/>
          <w:lang w:bidi="he-IL"/>
        </w:rPr>
        <w:lastRenderedPageBreak/>
        <w:t>כלי שני ואינו בן יומו</w:t>
      </w:r>
      <w:bookmarkEnd w:id="521"/>
    </w:p>
    <w:p w:rsidR="00C57E13" w:rsidRPr="00882F11" w:rsidRDefault="00BB4151" w:rsidP="0077480A">
      <w:pPr>
        <w:tabs>
          <w:tab w:val="right" w:pos="7497"/>
        </w:tabs>
        <w:bidi/>
        <w:jc w:val="both"/>
        <w:rPr>
          <w:rFonts w:cs="Guttman Drogolin"/>
          <w:rtl/>
          <w:lang w:bidi="he-IL"/>
        </w:rPr>
      </w:pPr>
      <w:r>
        <w:rPr>
          <w:rFonts w:cs="Guttman Drogolin"/>
          <w:rtl/>
          <w:lang w:bidi="he-IL"/>
        </w:rPr>
        <w:fldChar w:fldCharType="begin"/>
      </w:r>
      <w:r>
        <w:instrText xml:space="preserve"> XE "</w:instrText>
      </w:r>
      <w:r w:rsidRPr="00BD44E7">
        <w:rPr>
          <w:rFonts w:hint="cs"/>
          <w:rtl/>
          <w:lang w:bidi="he-IL"/>
        </w:rPr>
        <w:instrText>הכשר כלים</w:instrText>
      </w:r>
      <w:r w:rsidRPr="00BD44E7">
        <w:rPr>
          <w:rtl/>
        </w:rPr>
        <w:instrText>:</w:instrText>
      </w:r>
      <w:r w:rsidRPr="00BD44E7">
        <w:rPr>
          <w:rFonts w:hint="cs"/>
          <w:rtl/>
          <w:lang w:bidi="he-IL"/>
        </w:rPr>
        <w:instrText>כלי שני שאינו בן יומו שבלע חמץ</w:instrText>
      </w:r>
      <w:r>
        <w:instrText xml:space="preserve">" </w:instrText>
      </w:r>
      <w:r>
        <w:rPr>
          <w:rFonts w:cs="Guttman Drogolin"/>
          <w:rtl/>
          <w:lang w:bidi="he-IL"/>
        </w:rPr>
        <w:fldChar w:fldCharType="end"/>
      </w:r>
      <w:r w:rsidR="00EA7FB5" w:rsidRPr="00882F11">
        <w:rPr>
          <w:rFonts w:cs="Guttman Drogolin" w:hint="cs"/>
          <w:rtl/>
          <w:lang w:bidi="he-IL"/>
        </w:rPr>
        <w:t xml:space="preserve">הרמ"א בסע' א' כתב שיש מחמירים להכשיר אפילו כלי שני לפסח. </w:t>
      </w:r>
      <w:r w:rsidR="00266887" w:rsidRPr="00882F11">
        <w:rPr>
          <w:rFonts w:cs="Guttman Drogolin" w:hint="cs"/>
          <w:rtl/>
          <w:lang w:bidi="he-IL"/>
        </w:rPr>
        <w:t xml:space="preserve">והנה </w:t>
      </w:r>
      <w:r w:rsidR="0077480A" w:rsidRPr="00882F11">
        <w:rPr>
          <w:rFonts w:cs="Guttman Drogolin" w:hint="cs"/>
          <w:rtl/>
          <w:lang w:bidi="he-IL"/>
        </w:rPr>
        <w:t>ש</w:t>
      </w:r>
      <w:r w:rsidR="00266887" w:rsidRPr="00882F11">
        <w:rPr>
          <w:rFonts w:cs="Guttman Drogolin" w:hint="cs"/>
          <w:rtl/>
          <w:lang w:bidi="he-IL"/>
        </w:rPr>
        <w:t xml:space="preserve">יטת המחבר ביו"ד סי' ק"ה שיש להחמיר לכתחילה שכלי שני אוסר, ובדיעבד מותר. </w:t>
      </w:r>
      <w:r w:rsidR="0077480A" w:rsidRPr="00882F11">
        <w:rPr>
          <w:rFonts w:cs="Guttman Drogolin" w:hint="cs"/>
          <w:rtl/>
          <w:lang w:bidi="he-IL"/>
        </w:rPr>
        <w:t>והקשה במנח"י (כלל ל"ג ס"ק ג', והביאו רע"א ביו"ד סי' ק"ה שם) מזה על מש"כ המחבר בסע' ה' שיש להכשיר כלי שבלעו בכלי שני ע"י כלי שני, ולכאורה צ"ע דהא בדיעבד אינו צריך הכשר כלל. ותי' דכיון שיש אפשרות להכשיר הכלי הרי זה כלכתחילה, וכתב שמשו"ה בסע' א' בכלי חרס לא כתב המחבר להחמיר בכלי שני, דהא אין הכשר לכלי חרס ולכן הוי כבדיעבד. אמנם עדיין</w:t>
      </w:r>
      <w:r w:rsidR="00EA7FB5" w:rsidRPr="00882F11">
        <w:rPr>
          <w:rFonts w:cs="Guttman Drogolin" w:hint="cs"/>
          <w:rtl/>
          <w:lang w:bidi="he-IL"/>
        </w:rPr>
        <w:t xml:space="preserve"> צ"ע שהרי שיטת הרמ"א ביו"ד סי' ק"ה סע' ג' </w:t>
      </w:r>
      <w:r w:rsidR="007173AC" w:rsidRPr="00882F11">
        <w:rPr>
          <w:rFonts w:cs="Guttman Drogolin" w:hint="cs"/>
          <w:rtl/>
          <w:lang w:bidi="he-IL"/>
        </w:rPr>
        <w:t xml:space="preserve">ג"כ </w:t>
      </w:r>
      <w:r w:rsidR="00266887" w:rsidRPr="00882F11">
        <w:rPr>
          <w:rFonts w:cs="Guttman Drogolin" w:hint="cs"/>
          <w:rtl/>
          <w:lang w:bidi="he-IL"/>
        </w:rPr>
        <w:t>שכלי שני אינו אוסר</w:t>
      </w:r>
      <w:r w:rsidR="007173AC" w:rsidRPr="00882F11">
        <w:rPr>
          <w:rFonts w:cs="Guttman Drogolin" w:hint="cs"/>
          <w:rtl/>
          <w:lang w:bidi="he-IL"/>
        </w:rPr>
        <w:t>, וא"כ למה החמיר כאן בכלי חרס</w:t>
      </w:r>
      <w:r w:rsidR="00266887" w:rsidRPr="00882F11">
        <w:rPr>
          <w:rFonts w:cs="Guttman Drogolin" w:hint="cs"/>
          <w:rtl/>
          <w:lang w:bidi="he-IL"/>
        </w:rPr>
        <w:t xml:space="preserve">. </w:t>
      </w:r>
      <w:r w:rsidR="007173AC" w:rsidRPr="00882F11">
        <w:rPr>
          <w:rFonts w:cs="Guttman Drogolin" w:hint="cs"/>
          <w:rtl/>
          <w:lang w:bidi="he-IL"/>
        </w:rPr>
        <w:t xml:space="preserve">וע' גם סי' תמ"ז סע' ג'. </w:t>
      </w:r>
      <w:r w:rsidR="00266887" w:rsidRPr="00882F11">
        <w:rPr>
          <w:rFonts w:cs="Guttman Drogolin" w:hint="cs"/>
          <w:rtl/>
          <w:lang w:bidi="he-IL"/>
        </w:rPr>
        <w:t>וכתב שם הש"ך בס"ק ה' שהוא ע"כ משום חומרא דחמץ.</w:t>
      </w:r>
    </w:p>
    <w:p w:rsidR="0077480A" w:rsidRPr="00882F11" w:rsidRDefault="0077480A" w:rsidP="007173AC">
      <w:pPr>
        <w:tabs>
          <w:tab w:val="right" w:pos="7497"/>
        </w:tabs>
        <w:bidi/>
        <w:jc w:val="both"/>
        <w:rPr>
          <w:rFonts w:cs="Guttman Drogolin"/>
          <w:rtl/>
          <w:lang w:bidi="he-IL"/>
        </w:rPr>
      </w:pPr>
      <w:r w:rsidRPr="00882F11">
        <w:rPr>
          <w:rFonts w:cs="Guttman Drogolin" w:hint="cs"/>
          <w:rtl/>
          <w:lang w:bidi="he-IL"/>
        </w:rPr>
        <w:t xml:space="preserve">ועד כאן לא מאצנו אלא לענין הכלי שיש להחמיר בה לכתחילה, אבל הי' אפשר לומר שאינו אוסר המאכל. אמנם יעוין במ"ב ס"ק </w:t>
      </w:r>
      <w:r w:rsidR="007173AC" w:rsidRPr="00882F11">
        <w:rPr>
          <w:rFonts w:cs="Guttman Drogolin" w:hint="cs"/>
          <w:rtl/>
          <w:lang w:bidi="he-IL"/>
        </w:rPr>
        <w:t xml:space="preserve">י"א שכתב שכלי שבלע חמץ ע"י כלי שני ושוב בישלו בה בפסח שיש להתיר במקום הפסד מרובה ושמחת יו"ט אם אינו בן יומו. ומשמע שלא במקום הפסד אין להקל בזה. והיא לכאורה חומרא יתירה, דהא עצם זה שמחמירים בכלי שני אינו אלא חומרא דפסח, וכן נטל"פ בפסח לפי רוב ראשונים מותר, רק שהרמ"א בסי' תמ"ז הביא המנהג להחמיר, ומקום שאין מנהג כתב המ"ב שם בס"ק צ"ח שהמיקל לא הפסיד. וא"כ כשהוא בכלי שני הי' לנו להתיר לגמרי. </w:t>
      </w:r>
      <w:r w:rsidR="00837842" w:rsidRPr="00882F11">
        <w:rPr>
          <w:rFonts w:cs="Guttman Drogolin" w:hint="cs"/>
          <w:rtl/>
          <w:lang w:bidi="he-IL"/>
        </w:rPr>
        <w:t xml:space="preserve">וע"ש בשעה"צ ס"ק י' שבאמת דן אם יש להקל אפילו בבן יומו, ונשאר בצ"ע, ולא דן להתיר אפילו שלא במקום הפסד באינו בן יומו. </w:t>
      </w:r>
      <w:r w:rsidR="007173AC" w:rsidRPr="00882F11">
        <w:rPr>
          <w:rFonts w:cs="Guttman Drogolin" w:hint="cs"/>
          <w:rtl/>
          <w:lang w:bidi="he-IL"/>
        </w:rPr>
        <w:t xml:space="preserve">ועוד </w:t>
      </w:r>
      <w:r w:rsidR="007173AC" w:rsidRPr="00882F11">
        <w:rPr>
          <w:rFonts w:cs="Guttman Drogolin" w:hint="cs"/>
          <w:rtl/>
          <w:lang w:bidi="he-IL"/>
        </w:rPr>
        <w:lastRenderedPageBreak/>
        <w:t>צע"ק מש"כ המ"ב "אף בכלי חרס", דכיון שמיירי בהשתמש בכלי שלא הכשירו, מה לי כלי חרס מה לי שאר כלים. וצ"ע.</w:t>
      </w:r>
    </w:p>
    <w:p w:rsidR="00837842" w:rsidRPr="00882F11" w:rsidRDefault="00837842" w:rsidP="00837842">
      <w:pPr>
        <w:tabs>
          <w:tab w:val="right" w:pos="7497"/>
        </w:tabs>
        <w:bidi/>
        <w:jc w:val="both"/>
        <w:rPr>
          <w:rFonts w:cs="Guttman Drogolin"/>
          <w:rtl/>
          <w:lang w:bidi="he-IL"/>
        </w:rPr>
      </w:pPr>
      <w:r w:rsidRPr="00882F11">
        <w:rPr>
          <w:rFonts w:cs="Guttman Drogolin" w:hint="cs"/>
          <w:rtl/>
          <w:lang w:bidi="he-IL"/>
        </w:rPr>
        <w:t xml:space="preserve">וראוי לציין ששם בשעה"צ הקיל לגמרי בכלי שלישי.  </w:t>
      </w:r>
    </w:p>
    <w:p w:rsidR="00C57E13" w:rsidRPr="00882F11" w:rsidRDefault="00C57E13" w:rsidP="00C57E13">
      <w:pPr>
        <w:pStyle w:val="Heading1"/>
        <w:bidi/>
        <w:spacing w:before="0" w:line="360" w:lineRule="auto"/>
        <w:jc w:val="center"/>
        <w:rPr>
          <w:rFonts w:cs="Guttman Drogolin"/>
          <w:color w:val="auto"/>
          <w:sz w:val="24"/>
          <w:szCs w:val="24"/>
          <w:u w:val="single"/>
          <w:rtl/>
          <w:lang w:bidi="he-IL"/>
        </w:rPr>
      </w:pPr>
      <w:bookmarkStart w:id="522" w:name="_Toc496175762"/>
      <w:r w:rsidRPr="00882F11">
        <w:rPr>
          <w:rFonts w:cs="Guttman Drogolin" w:hint="cs"/>
          <w:color w:val="auto"/>
          <w:sz w:val="24"/>
          <w:szCs w:val="24"/>
          <w:u w:val="single"/>
          <w:rtl/>
          <w:lang w:bidi="he-IL"/>
        </w:rPr>
        <w:t>הכשר סכינים לפסח</w:t>
      </w:r>
      <w:bookmarkEnd w:id="522"/>
    </w:p>
    <w:p w:rsidR="00361E0A" w:rsidRPr="00882F11" w:rsidRDefault="00BB4151" w:rsidP="00215CF0">
      <w:pPr>
        <w:tabs>
          <w:tab w:val="right" w:pos="7497"/>
        </w:tabs>
        <w:bidi/>
        <w:jc w:val="both"/>
        <w:rPr>
          <w:rFonts w:cs="Guttman Drogolin"/>
          <w:rtl/>
          <w:lang w:bidi="he-IL"/>
        </w:rPr>
      </w:pPr>
      <w:r>
        <w:rPr>
          <w:rFonts w:cs="Guttman Drogolin"/>
          <w:rtl/>
          <w:lang w:bidi="he-IL"/>
        </w:rPr>
        <w:fldChar w:fldCharType="begin"/>
      </w:r>
      <w:r>
        <w:instrText xml:space="preserve"> XE "</w:instrText>
      </w:r>
      <w:r w:rsidRPr="00E413AA">
        <w:rPr>
          <w:rFonts w:hint="cs"/>
          <w:rtl/>
          <w:lang w:bidi="he-IL"/>
        </w:rPr>
        <w:instrText>הכשר כלים</w:instrText>
      </w:r>
      <w:r w:rsidRPr="00E413AA">
        <w:rPr>
          <w:rtl/>
        </w:rPr>
        <w:instrText>:</w:instrText>
      </w:r>
      <w:r w:rsidRPr="00E413AA">
        <w:rPr>
          <w:rFonts w:hint="cs"/>
          <w:rtl/>
          <w:lang w:bidi="he-IL"/>
        </w:rPr>
        <w:instrText>הכשר סכינים לפסח</w:instrText>
      </w:r>
      <w:r>
        <w:instrText xml:space="preserve">" </w:instrText>
      </w:r>
      <w:r>
        <w:rPr>
          <w:rFonts w:cs="Guttman Drogolin"/>
          <w:rtl/>
          <w:lang w:bidi="he-IL"/>
        </w:rPr>
        <w:fldChar w:fldCharType="end"/>
      </w:r>
      <w:r w:rsidR="00215CF0" w:rsidRPr="00882F11">
        <w:rPr>
          <w:rFonts w:cs="Guttman Drogolin" w:hint="cs"/>
          <w:rtl/>
          <w:lang w:bidi="he-IL"/>
        </w:rPr>
        <w:t xml:space="preserve">מסקנת הגמ' שהכשר סכינים לפסח אינו צריך אלא הגעלה. וזהו אע"ג שלפעמים משתמשים בהם בחמץ באור. והראשונים נחלקו בטעמו של דבר. י"א משום שאין צריך להכשיר אלא לפי רוב תשמישתו, ורוב תשמישתו של סכין הוא ע"י האור. וי"א משום דחמץ שנבלע לפני הפסח הוי היתירא בלע, ור' אשי הרי התיר להכשיר אפילו כלי </w:t>
      </w:r>
      <w:r w:rsidR="0054514F">
        <w:rPr>
          <w:rFonts w:cs="Guttman Drogolin" w:hint="cs"/>
          <w:rtl/>
          <w:lang w:bidi="he-IL"/>
        </w:rPr>
        <w:t>תשמישתו</w:t>
      </w:r>
      <w:r w:rsidR="00215CF0" w:rsidRPr="00882F11">
        <w:rPr>
          <w:rFonts w:cs="Guttman Drogolin" w:hint="cs"/>
          <w:rtl/>
          <w:lang w:bidi="he-IL"/>
        </w:rPr>
        <w:t xml:space="preserve"> ע"י האור אם בלע היתר. ולדינא נראה שיטת השו"ע שעיקר הדין כמ"ד חמץ שמו עליו ולכן הוי כאיסורא בלע ולא שייך דברי ר' אשי לסכין הבלוע חמץ. וכן נראה שעיקר הדין הוא שמכשירים כלי לפי רוב התשמיש, לא מיבעי לשיטת השו"ע שהקיל בזה אפילו לכתחילה, אלא אפילו הרמ"א שהחמיר להכשיר אפילו לפי מיעוט תמשיתו, הנ"מ לכתחילה, אבל בדיעבד סגי בהכי</w:t>
      </w:r>
      <w:r w:rsidR="002971D3" w:rsidRPr="00882F11">
        <w:rPr>
          <w:rFonts w:cs="Guttman Drogolin" w:hint="cs"/>
          <w:rtl/>
          <w:lang w:bidi="he-IL"/>
        </w:rPr>
        <w:t xml:space="preserve"> וכמש"כ בסע' ו' וכן </w:t>
      </w:r>
      <w:r w:rsidR="00361E0A" w:rsidRPr="00882F11">
        <w:rPr>
          <w:rFonts w:cs="Guttman Drogolin" w:hint="cs"/>
          <w:rtl/>
          <w:lang w:bidi="he-IL"/>
        </w:rPr>
        <w:t>בססי' קכ"א וכמו שביאר בביאור הגר"א</w:t>
      </w:r>
      <w:r w:rsidR="00CB5978" w:rsidRPr="00882F11">
        <w:rPr>
          <w:rStyle w:val="FootnoteReference"/>
          <w:rFonts w:cs="Guttman Drogolin"/>
          <w:rtl/>
          <w:lang w:bidi="he-IL"/>
        </w:rPr>
        <w:footnoteReference w:id="534"/>
      </w:r>
      <w:r w:rsidR="00215CF0" w:rsidRPr="00882F11">
        <w:rPr>
          <w:rFonts w:cs="Guttman Drogolin" w:hint="cs"/>
          <w:rtl/>
          <w:lang w:bidi="he-IL"/>
        </w:rPr>
        <w:t>.</w:t>
      </w:r>
    </w:p>
    <w:p w:rsidR="00C57E13" w:rsidRPr="00882F11" w:rsidRDefault="00361E0A" w:rsidP="00446010">
      <w:pPr>
        <w:tabs>
          <w:tab w:val="right" w:pos="7497"/>
        </w:tabs>
        <w:bidi/>
        <w:jc w:val="both"/>
        <w:rPr>
          <w:rFonts w:cs="Guttman Drogolin"/>
          <w:rtl/>
          <w:lang w:bidi="he-IL"/>
        </w:rPr>
      </w:pPr>
      <w:r w:rsidRPr="00882F11">
        <w:rPr>
          <w:rFonts w:cs="Guttman Drogolin" w:hint="cs"/>
          <w:rtl/>
          <w:lang w:bidi="he-IL"/>
        </w:rPr>
        <w:t xml:space="preserve">והנה בסע' ג' כתב השו"ע שאפשר להכשיר סכין ע"י הגעלה, וכתב המג"א בס"ק ו' שלפמש"כ הרמ"א בסע' ו' מחמירים אפילו על מיעוט תשמיש גם כאן יש להחמיר. והעיר רע"א שלכאורה אין כאן מקום להחמיר, דהא גמ' מפורשת היא שדינם בהגעלה. והא דלא חיישינן למיעוט תשמיש, היינו משום שאם חיישינן למיעוט תשמיש ע"כ צריכים לומר </w:t>
      </w:r>
      <w:r w:rsidR="00446010" w:rsidRPr="00882F11">
        <w:rPr>
          <w:rFonts w:cs="Guttman Drogolin" w:hint="cs"/>
          <w:rtl/>
          <w:lang w:bidi="he-IL"/>
        </w:rPr>
        <w:t xml:space="preserve">דחמץ חשוב היתירא בלע, וא"כ אפילו דבר </w:t>
      </w:r>
      <w:r w:rsidR="00446010" w:rsidRPr="00882F11">
        <w:rPr>
          <w:rFonts w:cs="Guttman Drogolin" w:hint="cs"/>
          <w:rtl/>
          <w:lang w:bidi="he-IL"/>
        </w:rPr>
        <w:lastRenderedPageBreak/>
        <w:t>שתשמישתו ע"י האור סגי בהגעלה. וא"כ ממנ"פ סגי בהגעלה. והא דסע' ו', אע"ג שגם שם מיירי בחמץ, מ"מ לא שייך ההיתר של ר' אשי, דהא ר' אשי לא אמר אלא שדבר שתשמישתו באור סגי בהגעלה, ומן הטעם שביארנו מקודם שהמיעוט טעם שלא יצא ע"י הגעלה לא יהא נאסר. אבל בסע' ו' הנידון הוא בדבר שרוב תשמישתו בעירוי, ומיעוט בכלי ראשון ע"ג האש, ולא מצאנו שגם זה מהני כיון דהיתירא בלע. ודברי המג"א צריכים יישוב</w:t>
      </w:r>
      <w:r w:rsidR="00AD3DD3" w:rsidRPr="00882F11">
        <w:rPr>
          <w:rStyle w:val="FootnoteReference"/>
          <w:rFonts w:cs="Guttman Drogolin"/>
          <w:rtl/>
          <w:lang w:bidi="he-IL"/>
        </w:rPr>
        <w:footnoteReference w:id="535"/>
      </w:r>
      <w:r w:rsidR="00CB5978" w:rsidRPr="00882F11">
        <w:rPr>
          <w:rFonts w:cs="Guttman Drogolin" w:hint="cs"/>
          <w:rtl/>
          <w:lang w:bidi="he-IL"/>
        </w:rPr>
        <w:t>.</w:t>
      </w:r>
      <w:r w:rsidRPr="00882F11">
        <w:rPr>
          <w:rFonts w:cs="Guttman Drogolin" w:hint="cs"/>
          <w:rtl/>
          <w:lang w:bidi="he-IL"/>
        </w:rPr>
        <w:t xml:space="preserve"> </w:t>
      </w:r>
      <w:r w:rsidR="00215CF0" w:rsidRPr="00882F11">
        <w:rPr>
          <w:rFonts w:cs="Guttman Drogolin" w:hint="cs"/>
          <w:rtl/>
          <w:lang w:bidi="he-IL"/>
        </w:rPr>
        <w:t xml:space="preserve">   </w:t>
      </w:r>
    </w:p>
    <w:p w:rsidR="00C57E13" w:rsidRPr="00882F11" w:rsidRDefault="00C57E13" w:rsidP="00C56629">
      <w:pPr>
        <w:tabs>
          <w:tab w:val="right" w:pos="7497"/>
        </w:tabs>
        <w:bidi/>
        <w:jc w:val="both"/>
        <w:rPr>
          <w:rFonts w:cs="Guttman Drogolin"/>
          <w:rtl/>
          <w:lang w:bidi="he-IL"/>
        </w:rPr>
      </w:pPr>
      <w:r w:rsidRPr="00882F11">
        <w:rPr>
          <w:rFonts w:cs="Guttman Drogolin" w:hint="cs"/>
          <w:rtl/>
          <w:lang w:bidi="he-IL"/>
        </w:rPr>
        <w:t>וה</w:t>
      </w:r>
      <w:r w:rsidR="00446010" w:rsidRPr="00882F11">
        <w:rPr>
          <w:rFonts w:cs="Guttman Drogolin" w:hint="cs"/>
          <w:rtl/>
          <w:lang w:bidi="he-IL"/>
        </w:rPr>
        <w:t xml:space="preserve">ט"ז והמג"א מביאים שביוצרות לשבת הגדול איתא שאפילו הכי לקנות חדשים הרי זה משובח. והעיר המג"א שלכאורה בגמ' משמע אחרת, דהא במס' פסחים דף ל' ע"ב איתא דרב אשי, אע"ג שהי' אפשר לו לקנות חדשים, הי' מכשיר סכיניו בליבון. ולכאורה מבואר שאין ענין לקנות חדש אפילו למי שאפשר לו. ודחה המג"א </w:t>
      </w:r>
      <w:r w:rsidR="00C56629" w:rsidRPr="00882F11">
        <w:rPr>
          <w:rFonts w:cs="Guttman Drogolin" w:hint="cs"/>
          <w:rtl/>
          <w:lang w:bidi="he-IL"/>
        </w:rPr>
        <w:t>דכשאמר ר' אשי אנא כעין חדתא קאמינא, לא היתה כוונתו לומר מה שהוא עושה לעצמו, אלא כוונתו לומר אנא חדתא קעבידנא, והתכונתי בזה לומר שחדש עדיף טפי, ולכם שאינכם יכולים לעשות חדשים יש לכם לעשות עכ"פ כעין חדתא דהיינו ע"י ליבון (כן נלעוק"ד לפרש את דבריו). וכן לכאורה הבין גם הט"ז שם. וכן הביא המ"ב לדינא שמצוה מן המובחר לקנות חדשים. ולא מצאנו בהדיא שיש לזה הידור אלא בסכינים, אבל בשאר כלים אולי יש להסתפק, שי"ל רק בסכינים שנדבקים בה אוכל דרך דוחקא החמירו לקנות חדשים משום מצוה מן המובחר, אבל בשאר כלים לא. ומ"מ המציאות מעיד שגם בשאר כלים יש בזה מצוה מן המובחר</w:t>
      </w:r>
      <w:r w:rsidR="00EA7FB5" w:rsidRPr="00882F11">
        <w:rPr>
          <w:rFonts w:cs="Guttman Drogolin" w:hint="cs"/>
          <w:rtl/>
          <w:lang w:bidi="he-IL"/>
        </w:rPr>
        <w:t>. וע' ביסוד ושרש העבודה שער ט' פרק ד' הל' הגעלת כלים כה"ג</w:t>
      </w:r>
      <w:r w:rsidR="00EA7FB5" w:rsidRPr="00882F11">
        <w:rPr>
          <w:rStyle w:val="FootnoteReference"/>
          <w:rFonts w:cs="Guttman Drogolin"/>
          <w:rtl/>
          <w:lang w:bidi="he-IL"/>
        </w:rPr>
        <w:footnoteReference w:id="536"/>
      </w:r>
      <w:r w:rsidR="00EA7FB5" w:rsidRPr="00882F11">
        <w:rPr>
          <w:rFonts w:cs="Guttman Drogolin" w:hint="cs"/>
          <w:rtl/>
          <w:lang w:bidi="he-IL"/>
        </w:rPr>
        <w:t>.</w:t>
      </w:r>
      <w:r w:rsidR="00C56629" w:rsidRPr="00882F11">
        <w:rPr>
          <w:rFonts w:cs="Guttman Drogolin" w:hint="cs"/>
          <w:rtl/>
          <w:lang w:bidi="he-IL"/>
        </w:rPr>
        <w:t xml:space="preserve"> </w:t>
      </w:r>
    </w:p>
    <w:p w:rsidR="00C57E13" w:rsidRPr="00882F11" w:rsidRDefault="00FA0DFC" w:rsidP="00FA0DFC">
      <w:pPr>
        <w:pStyle w:val="Heading1"/>
        <w:bidi/>
        <w:spacing w:before="0" w:line="360" w:lineRule="auto"/>
        <w:jc w:val="center"/>
        <w:rPr>
          <w:rFonts w:cs="Guttman Drogolin"/>
          <w:color w:val="auto"/>
          <w:sz w:val="24"/>
          <w:szCs w:val="24"/>
          <w:u w:val="single"/>
          <w:rtl/>
          <w:lang w:bidi="he-IL"/>
        </w:rPr>
      </w:pPr>
      <w:bookmarkStart w:id="523" w:name="_Toc496175763"/>
      <w:r w:rsidRPr="00882F11">
        <w:rPr>
          <w:rFonts w:cs="Guttman Drogolin" w:hint="cs"/>
          <w:color w:val="auto"/>
          <w:sz w:val="24"/>
          <w:szCs w:val="24"/>
          <w:u w:val="single"/>
          <w:rtl/>
          <w:lang w:bidi="he-IL"/>
        </w:rPr>
        <w:t>הערה</w:t>
      </w:r>
      <w:r w:rsidR="00C57E13" w:rsidRPr="00882F11">
        <w:rPr>
          <w:rFonts w:cs="Guttman Drogolin" w:hint="cs"/>
          <w:color w:val="auto"/>
          <w:sz w:val="24"/>
          <w:szCs w:val="24"/>
          <w:u w:val="single"/>
          <w:rtl/>
          <w:lang w:bidi="he-IL"/>
        </w:rPr>
        <w:t xml:space="preserve"> בדינא דרוב תשמישתו</w:t>
      </w:r>
      <w:bookmarkEnd w:id="523"/>
    </w:p>
    <w:p w:rsidR="00C57E13" w:rsidRPr="00882F11" w:rsidRDefault="00BB4151" w:rsidP="00837842">
      <w:pPr>
        <w:tabs>
          <w:tab w:val="right" w:pos="7497"/>
        </w:tabs>
        <w:bidi/>
        <w:jc w:val="both"/>
        <w:rPr>
          <w:rFonts w:cs="Guttman Drogolin"/>
          <w:rtl/>
          <w:lang w:bidi="he-IL"/>
        </w:rPr>
      </w:pPr>
      <w:r>
        <w:rPr>
          <w:rFonts w:cs="Guttman Drogolin"/>
          <w:rtl/>
          <w:lang w:bidi="he-IL"/>
        </w:rPr>
        <w:fldChar w:fldCharType="begin"/>
      </w:r>
      <w:r>
        <w:instrText xml:space="preserve"> XE "</w:instrText>
      </w:r>
      <w:r w:rsidRPr="00DC18C7">
        <w:rPr>
          <w:rFonts w:hint="cs"/>
          <w:rtl/>
          <w:lang w:bidi="he-IL"/>
        </w:rPr>
        <w:instrText>הכשר כלים</w:instrText>
      </w:r>
      <w:r w:rsidRPr="00DC18C7">
        <w:rPr>
          <w:rtl/>
        </w:rPr>
        <w:instrText>:</w:instrText>
      </w:r>
      <w:r w:rsidRPr="00DC18C7">
        <w:rPr>
          <w:rFonts w:hint="cs"/>
          <w:rtl/>
          <w:lang w:bidi="he-IL"/>
        </w:rPr>
        <w:instrText>רוב תשמישתו</w:instrText>
      </w:r>
      <w:r>
        <w:instrText xml:space="preserve">" </w:instrText>
      </w:r>
      <w:r>
        <w:rPr>
          <w:rFonts w:cs="Guttman Drogolin"/>
          <w:rtl/>
          <w:lang w:bidi="he-IL"/>
        </w:rPr>
        <w:fldChar w:fldCharType="end"/>
      </w:r>
      <w:r w:rsidR="00837842" w:rsidRPr="00882F11">
        <w:rPr>
          <w:rFonts w:cs="Guttman Drogolin" w:hint="cs"/>
          <w:rtl/>
          <w:lang w:bidi="he-IL"/>
        </w:rPr>
        <w:t xml:space="preserve">כתבנו להקל אפילו בדיעבד אם הכשיר כלי כרוב תשמישתו. </w:t>
      </w:r>
      <w:r w:rsidR="00C57E13" w:rsidRPr="00882F11">
        <w:rPr>
          <w:rFonts w:cs="Guttman Drogolin" w:hint="cs"/>
          <w:rtl/>
          <w:lang w:bidi="he-IL"/>
        </w:rPr>
        <w:t xml:space="preserve">לכאורה צ"ע </w:t>
      </w:r>
      <w:r w:rsidR="00837842" w:rsidRPr="00882F11">
        <w:rPr>
          <w:rFonts w:cs="Guttman Drogolin" w:hint="cs"/>
          <w:rtl/>
          <w:lang w:bidi="he-IL"/>
        </w:rPr>
        <w:t>דהא קיי"ל להחמיר ב</w:t>
      </w:r>
      <w:r w:rsidR="00C57E13" w:rsidRPr="00882F11">
        <w:rPr>
          <w:rFonts w:cs="Guttman Drogolin" w:hint="cs"/>
          <w:rtl/>
          <w:lang w:bidi="he-IL"/>
        </w:rPr>
        <w:t xml:space="preserve">נטל"פ בפסח </w:t>
      </w:r>
      <w:r w:rsidR="00837842" w:rsidRPr="00882F11">
        <w:rPr>
          <w:rFonts w:cs="Guttman Drogolin" w:hint="cs"/>
          <w:rtl/>
          <w:lang w:bidi="he-IL"/>
        </w:rPr>
        <w:t xml:space="preserve">כיון שלא גרע ממשהו. וא"כ הרי הטעם שמקילים להכשיר כפי רוב </w:t>
      </w:r>
      <w:r w:rsidR="0054514F">
        <w:rPr>
          <w:rFonts w:cs="Guttman Drogolin" w:hint="cs"/>
          <w:rtl/>
          <w:lang w:bidi="he-IL"/>
        </w:rPr>
        <w:t>תשמישתו</w:t>
      </w:r>
      <w:r w:rsidR="00837842" w:rsidRPr="00882F11">
        <w:rPr>
          <w:rFonts w:cs="Guttman Drogolin" w:hint="cs"/>
          <w:rtl/>
          <w:lang w:bidi="he-IL"/>
        </w:rPr>
        <w:t xml:space="preserve"> היינו </w:t>
      </w:r>
      <w:r w:rsidR="00837842" w:rsidRPr="00882F11">
        <w:rPr>
          <w:rFonts w:cs="Guttman Drogolin" w:hint="cs"/>
          <w:rtl/>
          <w:lang w:bidi="he-IL"/>
        </w:rPr>
        <w:lastRenderedPageBreak/>
        <w:t>משום שמעיקר הדין מותר כיון שהוא נטל"פ. וא"כ כאן שאסור לכאורה הי' צריך להיות הדין שחייבים להכשיר אפילו לפי מיעוט תשמישתו. ומצאתי</w:t>
      </w:r>
      <w:r w:rsidR="00C57E13" w:rsidRPr="00882F11">
        <w:rPr>
          <w:rFonts w:cs="Guttman Drogolin" w:hint="cs"/>
          <w:rtl/>
          <w:lang w:bidi="he-IL"/>
        </w:rPr>
        <w:t xml:space="preserve"> </w:t>
      </w:r>
      <w:r w:rsidR="00837842" w:rsidRPr="00882F11">
        <w:rPr>
          <w:rFonts w:cs="Guttman Drogolin" w:hint="cs"/>
          <w:rtl/>
          <w:lang w:bidi="he-IL"/>
        </w:rPr>
        <w:t>ל</w:t>
      </w:r>
      <w:r w:rsidR="00C57E13" w:rsidRPr="00882F11">
        <w:rPr>
          <w:rFonts w:cs="Guttman Drogolin" w:hint="cs"/>
          <w:rtl/>
          <w:lang w:bidi="he-IL"/>
        </w:rPr>
        <w:t>מש"ז סי'</w:t>
      </w:r>
      <w:r w:rsidR="00837842" w:rsidRPr="00882F11">
        <w:rPr>
          <w:rFonts w:cs="Guttman Drogolin" w:hint="cs"/>
          <w:rtl/>
          <w:lang w:bidi="he-IL"/>
        </w:rPr>
        <w:t xml:space="preserve"> תנ"א ס"ק י"א שהעיר מזה. ולכ</w:t>
      </w:r>
      <w:r w:rsidR="00624375" w:rsidRPr="00882F11">
        <w:rPr>
          <w:rFonts w:cs="Guttman Drogolin" w:hint="cs"/>
          <w:rtl/>
          <w:lang w:bidi="he-IL"/>
        </w:rPr>
        <w:t>אורה מה שצריכים לומר הוא שעצם ז</w:t>
      </w:r>
      <w:r w:rsidR="00837842" w:rsidRPr="00882F11">
        <w:rPr>
          <w:rFonts w:cs="Guttman Drogolin" w:hint="cs"/>
          <w:rtl/>
          <w:lang w:bidi="he-IL"/>
        </w:rPr>
        <w:t>ה שמחמירים במשהו בפסח הוא דין דרבנן, והם אמרו והם אמרו, ויוצא שהתירו הבליעות האלו שהם נטל"פ אע"ג</w:t>
      </w:r>
      <w:r w:rsidR="00FA0DFC" w:rsidRPr="00882F11">
        <w:rPr>
          <w:rFonts w:cs="Guttman Drogolin" w:hint="cs"/>
          <w:rtl/>
          <w:lang w:bidi="he-IL"/>
        </w:rPr>
        <w:t xml:space="preserve"> </w:t>
      </w:r>
      <w:r w:rsidR="00837842" w:rsidRPr="00882F11">
        <w:rPr>
          <w:rFonts w:cs="Guttman Drogolin" w:hint="cs"/>
          <w:rtl/>
          <w:lang w:bidi="he-IL"/>
        </w:rPr>
        <w:t>שבעלמא אסירי.</w:t>
      </w:r>
      <w:r w:rsidR="00624375" w:rsidRPr="00882F11">
        <w:rPr>
          <w:rFonts w:cs="Guttman Drogolin" w:hint="cs"/>
          <w:rtl/>
          <w:lang w:bidi="he-IL"/>
        </w:rPr>
        <w:t xml:space="preserve"> שו"ר שכ"כ גם במגי"ס (ענינים או"ח סי' כ').</w:t>
      </w:r>
      <w:r w:rsidR="00837842" w:rsidRPr="00882F11">
        <w:rPr>
          <w:rFonts w:cs="Guttman Drogolin" w:hint="cs"/>
          <w:rtl/>
          <w:lang w:bidi="he-IL"/>
        </w:rPr>
        <w:t xml:space="preserve">  </w:t>
      </w:r>
    </w:p>
    <w:p w:rsidR="00C57E13" w:rsidRPr="00882F11" w:rsidRDefault="00C57E13" w:rsidP="00C57E13">
      <w:pPr>
        <w:tabs>
          <w:tab w:val="right" w:pos="7497"/>
        </w:tabs>
        <w:bidi/>
        <w:jc w:val="both"/>
        <w:rPr>
          <w:rFonts w:cs="Guttman Drogolin"/>
          <w:rtl/>
          <w:lang w:bidi="he-IL"/>
        </w:rPr>
      </w:pPr>
    </w:p>
    <w:p w:rsidR="00C57E13" w:rsidRPr="00882F11" w:rsidRDefault="00C57E13" w:rsidP="00C57E13">
      <w:pPr>
        <w:tabs>
          <w:tab w:val="right" w:pos="7497"/>
        </w:tabs>
        <w:bidi/>
        <w:jc w:val="both"/>
        <w:rPr>
          <w:rFonts w:cs="Guttman Drogolin"/>
          <w:rtl/>
          <w:lang w:bidi="he-IL"/>
        </w:rPr>
      </w:pPr>
    </w:p>
    <w:p w:rsidR="00C57E13" w:rsidRPr="00882F11" w:rsidRDefault="00C57E13" w:rsidP="00C57E13">
      <w:pPr>
        <w:tabs>
          <w:tab w:val="right" w:pos="7497"/>
        </w:tabs>
        <w:bidi/>
        <w:jc w:val="both"/>
        <w:rPr>
          <w:rFonts w:cs="Guttman Drogolin"/>
          <w:rtl/>
          <w:lang w:bidi="he-IL"/>
        </w:rPr>
        <w:sectPr w:rsidR="00C57E13" w:rsidRPr="00882F11" w:rsidSect="00280E73">
          <w:type w:val="continuous"/>
          <w:pgSz w:w="11907" w:h="16839" w:code="9"/>
          <w:pgMar w:top="1440" w:right="1440" w:bottom="1440" w:left="1440" w:header="720" w:footer="720" w:gutter="0"/>
          <w:cols w:num="2" w:space="720"/>
          <w:bidi/>
          <w:docGrid w:linePitch="360"/>
        </w:sectPr>
      </w:pPr>
    </w:p>
    <w:p w:rsidR="00C57E13" w:rsidRPr="00882F11" w:rsidRDefault="00C57E13" w:rsidP="00C57E13">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קל"ז</w:t>
      </w:r>
    </w:p>
    <w:p w:rsidR="00280E73" w:rsidRDefault="00280E73" w:rsidP="00FA0DFC">
      <w:pPr>
        <w:pStyle w:val="Heading1"/>
        <w:bidi/>
        <w:spacing w:before="0" w:line="360" w:lineRule="auto"/>
        <w:jc w:val="center"/>
        <w:rPr>
          <w:rFonts w:cs="Guttman Drogolin"/>
          <w:color w:val="auto"/>
          <w:sz w:val="24"/>
          <w:szCs w:val="24"/>
          <w:u w:val="single"/>
          <w:rtl/>
          <w:lang w:bidi="he-IL"/>
        </w:rPr>
        <w:sectPr w:rsidR="00280E73" w:rsidSect="00280E73">
          <w:pgSz w:w="11907" w:h="16839" w:code="9"/>
          <w:pgMar w:top="1440" w:right="1440" w:bottom="1440" w:left="1440" w:header="720" w:footer="720" w:gutter="0"/>
          <w:cols w:space="720"/>
          <w:bidi/>
          <w:docGrid w:linePitch="360"/>
        </w:sectPr>
      </w:pPr>
    </w:p>
    <w:p w:rsidR="00C57E13" w:rsidRPr="00882F11" w:rsidRDefault="00FA0DFC" w:rsidP="00FA0DFC">
      <w:pPr>
        <w:pStyle w:val="Heading1"/>
        <w:bidi/>
        <w:spacing w:before="0" w:line="360" w:lineRule="auto"/>
        <w:jc w:val="center"/>
        <w:rPr>
          <w:rFonts w:cs="Guttman Drogolin"/>
          <w:color w:val="auto"/>
          <w:sz w:val="24"/>
          <w:szCs w:val="24"/>
          <w:u w:val="single"/>
          <w:rtl/>
          <w:lang w:bidi="he-IL"/>
        </w:rPr>
      </w:pPr>
      <w:bookmarkStart w:id="524" w:name="_Toc496175764"/>
      <w:r w:rsidRPr="00882F11">
        <w:rPr>
          <w:rFonts w:cs="Guttman Drogolin" w:hint="cs"/>
          <w:color w:val="auto"/>
          <w:sz w:val="24"/>
          <w:szCs w:val="24"/>
          <w:u w:val="single"/>
          <w:rtl/>
          <w:lang w:bidi="he-IL"/>
        </w:rPr>
        <w:lastRenderedPageBreak/>
        <w:t>להכשיר כלי מבשר לחלב או להיפך</w:t>
      </w:r>
      <w:bookmarkEnd w:id="524"/>
    </w:p>
    <w:p w:rsidR="00213F74" w:rsidRPr="00882F11" w:rsidRDefault="00BB4151" w:rsidP="00213F74">
      <w:pPr>
        <w:tabs>
          <w:tab w:val="right" w:pos="7497"/>
        </w:tabs>
        <w:bidi/>
        <w:jc w:val="both"/>
        <w:rPr>
          <w:rFonts w:cs="Guttman Drogolin"/>
          <w:rtl/>
          <w:lang w:bidi="he-IL"/>
        </w:rPr>
      </w:pPr>
      <w:r>
        <w:rPr>
          <w:rFonts w:cs="Guttman Drogolin"/>
          <w:rtl/>
          <w:lang w:bidi="he-IL"/>
        </w:rPr>
        <w:fldChar w:fldCharType="begin"/>
      </w:r>
      <w:r>
        <w:instrText xml:space="preserve"> XE "</w:instrText>
      </w:r>
      <w:r w:rsidRPr="0011311A">
        <w:rPr>
          <w:rFonts w:hint="cs"/>
          <w:rtl/>
          <w:lang w:bidi="he-IL"/>
        </w:rPr>
        <w:instrText>הכשר כלים</w:instrText>
      </w:r>
      <w:r w:rsidRPr="0011311A">
        <w:rPr>
          <w:rtl/>
        </w:rPr>
        <w:instrText>:</w:instrText>
      </w:r>
      <w:r w:rsidRPr="0011311A">
        <w:rPr>
          <w:rFonts w:hint="cs"/>
          <w:rtl/>
          <w:lang w:bidi="he-IL"/>
        </w:rPr>
        <w:instrText>להכשיר מבשר לחלב או להיפך</w:instrText>
      </w:r>
      <w:r>
        <w:instrText xml:space="preserve">" </w:instrText>
      </w:r>
      <w:r>
        <w:rPr>
          <w:rFonts w:cs="Guttman Drogolin"/>
          <w:rtl/>
          <w:lang w:bidi="he-IL"/>
        </w:rPr>
        <w:fldChar w:fldCharType="end"/>
      </w:r>
      <w:r w:rsidR="004F52E8" w:rsidRPr="00882F11">
        <w:rPr>
          <w:rFonts w:cs="Guttman Drogolin" w:hint="cs"/>
          <w:rtl/>
          <w:lang w:bidi="he-IL"/>
        </w:rPr>
        <w:t xml:space="preserve">איתא </w:t>
      </w:r>
      <w:r w:rsidR="00FA0DFC" w:rsidRPr="00882F11">
        <w:rPr>
          <w:rFonts w:cs="Guttman Drogolin" w:hint="cs"/>
          <w:rtl/>
          <w:lang w:bidi="he-IL"/>
        </w:rPr>
        <w:t>באו"ח סי' תק"ט סע' ה'</w:t>
      </w:r>
      <w:r w:rsidR="004F52E8" w:rsidRPr="00882F11">
        <w:rPr>
          <w:rFonts w:cs="Guttman Drogolin" w:hint="cs"/>
          <w:rtl/>
          <w:lang w:bidi="he-IL"/>
        </w:rPr>
        <w:t xml:space="preserve"> "</w:t>
      </w:r>
      <w:r w:rsidR="004F52E8" w:rsidRPr="00882F11">
        <w:rPr>
          <w:rFonts w:cs="Guttman Drogolin"/>
          <w:rtl/>
          <w:lang w:bidi="he-IL"/>
        </w:rPr>
        <w:t>מותר ללבן בי"ט כלי ברזל שאפו בו פלאדו"ן של גבינה, ואחר הליבון יאפו בו פשטיד"ה של בשר</w:t>
      </w:r>
      <w:r w:rsidR="004F52E8" w:rsidRPr="00882F11">
        <w:rPr>
          <w:rFonts w:cs="Guttman Drogolin" w:hint="cs"/>
          <w:rtl/>
          <w:lang w:bidi="he-IL"/>
        </w:rPr>
        <w:t xml:space="preserve">". ועיקר כוונת השו"ע לחדש שאין בזה איסור תיקון מנא ביו"ט. אבל המג"א שם בס"ק י"א העיר עוד דחזינן מזה שמותר להכשיר כלי חלב ולעשותו כלי בשר. אמנם הביא שהמנהג הוא שאין עושין כן. והביא בשם </w:t>
      </w:r>
      <w:r w:rsidR="004F52E8" w:rsidRPr="00882F11">
        <w:rPr>
          <w:rFonts w:cs="Guttman Drogolin"/>
          <w:rtl/>
          <w:lang w:bidi="he-IL"/>
        </w:rPr>
        <w:t>הגאון מהור"ר בנימין מפוזנא ששמע ממהר"מ יפה הטעם למנהג</w:t>
      </w:r>
      <w:r w:rsidR="004F52E8" w:rsidRPr="00882F11">
        <w:rPr>
          <w:rFonts w:cs="Guttman Drogolin" w:hint="cs"/>
          <w:rtl/>
          <w:lang w:bidi="he-IL"/>
        </w:rPr>
        <w:t xml:space="preserve">. ויסוד הדבר מבואר במס' חולין דף ח' ע"ב, דאיתא התם </w:t>
      </w:r>
      <w:r w:rsidR="001D398B" w:rsidRPr="00882F11">
        <w:rPr>
          <w:rFonts w:cs="Guttman Drogolin" w:hint="cs"/>
          <w:rtl/>
          <w:lang w:bidi="he-IL"/>
        </w:rPr>
        <w:t>"</w:t>
      </w:r>
      <w:r w:rsidR="001D398B" w:rsidRPr="00882F11">
        <w:rPr>
          <w:rFonts w:cs="Guttman Drogolin"/>
          <w:rtl/>
          <w:lang w:bidi="he-IL"/>
        </w:rPr>
        <w:t>אמר רב הטבח צריך שלשה סכינין אחת ששוחט בה ואחד שמחתך בה בשר ואחד שמחתך בה חלבים וליתקן ליה חדא וליחתוך בה בשר והדר ליחתוך בה חלבים גזירה שמא יחתוך חלבים ואחר כך בשר. השתא נמי מיחלף ליה כיון דאצרכינהו תרי אית ליה היכרא</w:t>
      </w:r>
      <w:r w:rsidR="001D398B" w:rsidRPr="00882F11">
        <w:rPr>
          <w:rFonts w:cs="Guttman Drogolin" w:hint="cs"/>
          <w:rtl/>
          <w:lang w:bidi="he-IL"/>
        </w:rPr>
        <w:t>". והוכיח מזה המג"א שאסור להשתמש באותו סכין בין לחלבים ובין לבשר כשר. וסבר דהה"נ בבשר וחלב אסור להששתמש באותו סכין בין לבשר ובין לחלב. ולכאורה לולא דבריו הי' אפשר לדחות, שגם במס' חולין הי' מותר אם הי' מכשיר בינתיים, ואין כוונת הגמ' לאסור אלא בלי הכשר וע"פ סדר מסוים. ומ"מ ביאר המהר"ם יפה שמשו"</w:t>
      </w:r>
      <w:r w:rsidR="007B7787" w:rsidRPr="00882F11">
        <w:rPr>
          <w:rFonts w:cs="Guttman Drogolin" w:hint="cs"/>
          <w:rtl/>
          <w:lang w:bidi="he-IL"/>
        </w:rPr>
        <w:t>ה נהגו גם</w:t>
      </w:r>
      <w:r w:rsidR="001D398B" w:rsidRPr="00882F11">
        <w:rPr>
          <w:rFonts w:cs="Guttman Drogolin" w:hint="cs"/>
          <w:rtl/>
          <w:lang w:bidi="he-IL"/>
        </w:rPr>
        <w:t xml:space="preserve"> לא להכשיר מא' לשני, שאם יתירו לו לעשות כן יבא להשתמש רק בסכין א' בין לבשר ובין לחלב שהוא אסור מדינא. וכן הביא המ"ב שם בס"ק כ"ה וכאן בס"ק י"ט, וכן עמא דבר. אמנם ראוי לציין </w:t>
      </w:r>
      <w:r w:rsidR="00137841" w:rsidRPr="00882F11">
        <w:rPr>
          <w:rFonts w:cs="Guttman Drogolin" w:hint="cs"/>
          <w:rtl/>
          <w:lang w:bidi="he-IL"/>
        </w:rPr>
        <w:t xml:space="preserve">שבערוה"ש </w:t>
      </w:r>
      <w:r w:rsidR="00213F74" w:rsidRPr="00882F11">
        <w:rPr>
          <w:rFonts w:cs="Guttman Drogolin" w:hint="cs"/>
          <w:rtl/>
          <w:lang w:bidi="he-IL"/>
        </w:rPr>
        <w:t xml:space="preserve">שם בסי' תק"ט </w:t>
      </w:r>
      <w:r w:rsidR="00213F74" w:rsidRPr="00882F11">
        <w:rPr>
          <w:rFonts w:cs="Guttman Drogolin"/>
          <w:rtl/>
          <w:lang w:bidi="he-IL"/>
        </w:rPr>
        <w:t>סעי' י'</w:t>
      </w:r>
      <w:r w:rsidR="00213F74" w:rsidRPr="00882F11">
        <w:rPr>
          <w:rFonts w:cs="Guttman Drogolin" w:hint="cs"/>
          <w:rtl/>
          <w:lang w:bidi="he-IL"/>
        </w:rPr>
        <w:t xml:space="preserve"> (וכן ב</w:t>
      </w:r>
      <w:r w:rsidR="00213F74" w:rsidRPr="00882F11">
        <w:rPr>
          <w:rFonts w:cs="Guttman Drogolin"/>
          <w:rtl/>
          <w:lang w:bidi="he-IL"/>
        </w:rPr>
        <w:t xml:space="preserve">יו"ד סי' פ"ט סעי' י"ז </w:t>
      </w:r>
      <w:r w:rsidR="00213F74" w:rsidRPr="00882F11">
        <w:rPr>
          <w:rFonts w:cs="Guttman Drogolin" w:hint="cs"/>
          <w:rtl/>
          <w:lang w:bidi="he-IL"/>
        </w:rPr>
        <w:t>ו</w:t>
      </w:r>
      <w:r w:rsidR="00213F74" w:rsidRPr="00882F11">
        <w:rPr>
          <w:rFonts w:cs="Guttman Drogolin"/>
          <w:rtl/>
          <w:lang w:bidi="he-IL"/>
        </w:rPr>
        <w:t>סי' קכ"א סעי' י"א</w:t>
      </w:r>
      <w:r w:rsidR="00213F74" w:rsidRPr="00882F11">
        <w:rPr>
          <w:rFonts w:cs="Guttman Drogolin" w:hint="cs"/>
          <w:rtl/>
          <w:lang w:bidi="he-IL"/>
        </w:rPr>
        <w:t>) כתב שאין לחוש למנהג זה</w:t>
      </w:r>
      <w:r w:rsidR="00147B6D" w:rsidRPr="00882F11">
        <w:rPr>
          <w:rFonts w:cs="Guttman Drogolin" w:hint="cs"/>
          <w:rtl/>
          <w:lang w:bidi="he-IL"/>
        </w:rPr>
        <w:t>, שאין לנו לגזור ג</w:t>
      </w:r>
      <w:r w:rsidR="00213F74" w:rsidRPr="00882F11">
        <w:rPr>
          <w:rFonts w:cs="Guttman Drogolin" w:hint="cs"/>
          <w:rtl/>
          <w:lang w:bidi="he-IL"/>
        </w:rPr>
        <w:t>זירות מדעתינו.</w:t>
      </w:r>
    </w:p>
    <w:p w:rsidR="00147B6D" w:rsidRPr="00882F11" w:rsidRDefault="00147B6D" w:rsidP="00A519B9">
      <w:pPr>
        <w:tabs>
          <w:tab w:val="right" w:pos="7497"/>
        </w:tabs>
        <w:bidi/>
        <w:jc w:val="both"/>
        <w:rPr>
          <w:rFonts w:cs="Guttman Drogolin"/>
          <w:rtl/>
          <w:lang w:bidi="he-IL"/>
        </w:rPr>
      </w:pPr>
      <w:r w:rsidRPr="00882F11">
        <w:rPr>
          <w:rFonts w:cs="Guttman Drogolin" w:hint="cs"/>
          <w:rtl/>
          <w:lang w:bidi="he-IL"/>
        </w:rPr>
        <w:t>ויש למנהג זה כמה יוצאי מן הכלל. חדא מה שהביא כאן המ"ב מחת"ס</w:t>
      </w:r>
      <w:r w:rsidR="007B7787" w:rsidRPr="00882F11">
        <w:rPr>
          <w:rFonts w:cs="Guttman Drogolin" w:hint="cs"/>
          <w:rtl/>
          <w:lang w:bidi="he-IL"/>
        </w:rPr>
        <w:t xml:space="preserve"> (וכן הוא בא"א סי' תנ"א ס"ק ל')</w:t>
      </w:r>
      <w:r w:rsidRPr="00882F11">
        <w:rPr>
          <w:rFonts w:cs="Guttman Drogolin" w:hint="cs"/>
          <w:rtl/>
          <w:lang w:bidi="he-IL"/>
        </w:rPr>
        <w:t xml:space="preserve">, שאם מכשיר הכלי מחמץ למצה שוב אפשר להשתמש בה עם המין השני. וטעמו דכל שאינו מתכוין רק להחליף מבשר לחלב אין זה בכלל המנהג. וכן במ"ב שם בסי' תק"ט הביא </w:t>
      </w:r>
      <w:r w:rsidR="00A519B9" w:rsidRPr="00882F11">
        <w:rPr>
          <w:rFonts w:cs="Guttman Drogolin" w:hint="cs"/>
          <w:rtl/>
          <w:lang w:bidi="he-IL"/>
        </w:rPr>
        <w:lastRenderedPageBreak/>
        <w:t>בשם הפמ"ג (א"א תק"ט ס"ק י"א) שהמנהג</w:t>
      </w:r>
      <w:r w:rsidRPr="00882F11">
        <w:rPr>
          <w:rFonts w:cs="Guttman Drogolin" w:hint="cs"/>
          <w:rtl/>
          <w:lang w:bidi="he-IL"/>
        </w:rPr>
        <w:t xml:space="preserve"> להטריף הכלי קודם (בענין שאינו עובר על איסור בישול בשר בחלב, כגון בבשר עוף בחלב, או בשאר מאכלות אסורות), ושוב יהא לו ההיתר הנ"ל.</w:t>
      </w:r>
      <w:r w:rsidR="00A519B9" w:rsidRPr="00882F11">
        <w:rPr>
          <w:rFonts w:cs="Guttman Drogolin" w:hint="cs"/>
          <w:rtl/>
          <w:lang w:bidi="he-IL"/>
        </w:rPr>
        <w:t xml:space="preserve"> וב</w:t>
      </w:r>
      <w:r w:rsidRPr="00882F11">
        <w:rPr>
          <w:rFonts w:cs="Guttman Drogolin" w:hint="cs"/>
          <w:rtl/>
          <w:lang w:bidi="he-IL"/>
        </w:rPr>
        <w:t>א"א סי' תנ"ב ס"ק י"ג כתב שבשעה"ד אפשר להקל ב</w:t>
      </w:r>
      <w:r w:rsidR="00A519B9" w:rsidRPr="00882F11">
        <w:rPr>
          <w:rFonts w:cs="Guttman Drogolin" w:hint="cs"/>
          <w:rtl/>
          <w:lang w:bidi="he-IL"/>
        </w:rPr>
        <w:t xml:space="preserve">עיקר דין </w:t>
      </w:r>
      <w:r w:rsidRPr="00882F11">
        <w:rPr>
          <w:rFonts w:cs="Guttman Drogolin" w:hint="cs"/>
          <w:rtl/>
          <w:lang w:bidi="he-IL"/>
        </w:rPr>
        <w:t>זה.</w:t>
      </w:r>
      <w:r w:rsidR="00A519B9" w:rsidRPr="00882F11">
        <w:rPr>
          <w:rFonts w:cs="Guttman Drogolin" w:hint="cs"/>
          <w:rtl/>
          <w:lang w:bidi="he-IL"/>
        </w:rPr>
        <w:t xml:space="preserve"> ולכאורה צריכים לומר שכוונתו להתיר מעיקר הדין כשאי אפשר להטריף הכלי קודם.</w:t>
      </w:r>
    </w:p>
    <w:p w:rsidR="0012473F" w:rsidRPr="00882F11" w:rsidRDefault="007B7787" w:rsidP="007B7787">
      <w:pPr>
        <w:tabs>
          <w:tab w:val="right" w:pos="7497"/>
        </w:tabs>
        <w:bidi/>
        <w:jc w:val="both"/>
        <w:rPr>
          <w:rFonts w:cs="Guttman Drogolin"/>
          <w:rtl/>
          <w:lang w:bidi="he-IL"/>
        </w:rPr>
      </w:pPr>
      <w:r w:rsidRPr="00882F11">
        <w:rPr>
          <w:rFonts w:cs="Guttman Drogolin" w:hint="cs"/>
          <w:rtl/>
          <w:lang w:bidi="he-IL"/>
        </w:rPr>
        <w:t xml:space="preserve">וכמה אחרונים מקילים אפילו לפי המנהג להכשיר מבשר או חלב לפרווה (ע' א"א מבוטשאטש </w:t>
      </w:r>
      <w:r w:rsidR="0012473F" w:rsidRPr="00882F11">
        <w:rPr>
          <w:rFonts w:cs="Guttman Drogolin" w:hint="cs"/>
          <w:rtl/>
          <w:lang w:bidi="he-IL"/>
        </w:rPr>
        <w:t>סי' תק"ט, ו</w:t>
      </w:r>
      <w:r w:rsidRPr="00882F11">
        <w:rPr>
          <w:rFonts w:cs="Guttman Drogolin" w:hint="cs"/>
          <w:rtl/>
          <w:lang w:bidi="he-IL"/>
        </w:rPr>
        <w:t>מהרש"ם ח"ב סי' רמ"א</w:t>
      </w:r>
      <w:r w:rsidR="0012473F" w:rsidRPr="00882F11">
        <w:rPr>
          <w:rFonts w:cs="Guttman Drogolin" w:hint="cs"/>
          <w:rtl/>
          <w:lang w:bidi="he-IL"/>
        </w:rPr>
        <w:t xml:space="preserve">). וע"ש במהרש"ם הטעם דכיון שאינו אלא מנהג, דיו כמנהג. ואני אוסיף, שהרי עיקר האיסור להשתמש בכלי בשר לבשל בה פרווה, אפילו אם דעתו להניחו לאחר מכן בחלב אינו אוסר בדיעבד, דהא הוי נ"ט בר נ"ט דהיתירא. וכ"ש אם הכלי אינו בן יומו, שאמנם החכמ"א אסר גם בזה, מ"מ בשעה"ד הקיל, וכן יש מדייקים מהגר"א שחלק על החכמ"א. וא"כ גאן שאינו אלא להכשירו לתכלית זה, כ"ש שיש להתיר. ודבר זה נפק"מ טובא לכלי פרווה שהשתמשו בה בטעות לחלק או לבשר, שאין צורך להטריף אותו, ויכול פשוט להכשירו ודיו. </w:t>
      </w:r>
      <w:r w:rsidR="003B14DA" w:rsidRPr="00882F11">
        <w:rPr>
          <w:rFonts w:cs="Guttman Drogolin" w:hint="cs"/>
          <w:rtl/>
          <w:lang w:bidi="he-IL"/>
        </w:rPr>
        <w:t>אמנם מצאתי לחוט</w:t>
      </w:r>
      <w:r w:rsidR="00AF620C" w:rsidRPr="00882F11">
        <w:rPr>
          <w:rFonts w:cs="Guttman Drogolin" w:hint="cs"/>
          <w:rtl/>
          <w:lang w:bidi="he-IL"/>
        </w:rPr>
        <w:t xml:space="preserve"> </w:t>
      </w:r>
      <w:r w:rsidR="003B14DA" w:rsidRPr="00882F11">
        <w:rPr>
          <w:rFonts w:cs="Guttman Drogolin" w:hint="cs"/>
          <w:rtl/>
          <w:lang w:bidi="he-IL"/>
        </w:rPr>
        <w:t>שני (פסח עמ' קי"ט) שהחמיר לומר שגם זה בכל להמנהג, ונראה שחומרא</w:t>
      </w:r>
      <w:r w:rsidR="00AF620C" w:rsidRPr="00882F11">
        <w:rPr>
          <w:rFonts w:cs="Guttman Drogolin" w:hint="cs"/>
          <w:rtl/>
          <w:lang w:bidi="he-IL"/>
        </w:rPr>
        <w:t xml:space="preserve"> </w:t>
      </w:r>
      <w:r w:rsidR="003B14DA" w:rsidRPr="00882F11">
        <w:rPr>
          <w:rFonts w:cs="Guttman Drogolin" w:hint="cs"/>
          <w:rtl/>
          <w:lang w:bidi="he-IL"/>
        </w:rPr>
        <w:t>יתירה הוא וכמש"נ.</w:t>
      </w:r>
    </w:p>
    <w:p w:rsidR="00C810CF" w:rsidRPr="00882F11" w:rsidRDefault="00C810CF" w:rsidP="00C810CF">
      <w:pPr>
        <w:tabs>
          <w:tab w:val="right" w:pos="7497"/>
        </w:tabs>
        <w:bidi/>
        <w:jc w:val="both"/>
        <w:rPr>
          <w:rFonts w:cs="Guttman Drogolin"/>
          <w:rtl/>
          <w:lang w:bidi="he-IL"/>
        </w:rPr>
      </w:pPr>
      <w:r w:rsidRPr="00882F11">
        <w:rPr>
          <w:rFonts w:cs="Guttman Drogolin" w:hint="cs"/>
          <w:rtl/>
          <w:lang w:bidi="he-IL"/>
        </w:rPr>
        <w:t xml:space="preserve">ולענין הכשר תנור מבשר לחלב, לכאורה ג"כ יש להקל, שהרי מדינא לכאורה אינו צריך להכשירו, דהא לענין הקדרה שמניח על הרשת הוי ב' כלים (אם הוא נקי </w:t>
      </w:r>
      <w:r w:rsidRPr="00882F11">
        <w:rPr>
          <w:rFonts w:cs="Guttman Drogolin"/>
          <w:rtl/>
          <w:lang w:bidi="he-IL"/>
        </w:rPr>
        <w:t>–</w:t>
      </w:r>
      <w:r w:rsidRPr="00882F11">
        <w:rPr>
          <w:rFonts w:cs="Guttman Drogolin" w:hint="cs"/>
          <w:rtl/>
          <w:lang w:bidi="he-IL"/>
        </w:rPr>
        <w:t xml:space="preserve"> ויש לדאוג באמת שיהא נקי). ולענין הזיעה הא משמעות הדברים שאין לחשוש שהזיעה עולה לגג התנור ושוב חזר אל התבשיל. ולכן גם להכשיר שפיר דמי. סגי להכשיר ע"י שמחמם התנור לחימום הגבוה ביותר, משום שיש להניח שמאז הוי יס"ב, ואולי גם קש נשרף עליו, וההוי כמו ליבון קל, וסגי לן בהיתירא בלע, וכמו שיתבאר בסמוך. </w:t>
      </w:r>
    </w:p>
    <w:p w:rsidR="003B14DA" w:rsidRPr="00882F11" w:rsidRDefault="003B14DA" w:rsidP="003B14DA">
      <w:pPr>
        <w:pStyle w:val="Heading1"/>
        <w:bidi/>
        <w:spacing w:before="0" w:line="360" w:lineRule="auto"/>
        <w:jc w:val="center"/>
        <w:rPr>
          <w:rFonts w:cs="Guttman Drogolin"/>
          <w:color w:val="auto"/>
          <w:sz w:val="24"/>
          <w:szCs w:val="24"/>
          <w:u w:val="single"/>
          <w:rtl/>
          <w:lang w:bidi="he-IL"/>
        </w:rPr>
      </w:pPr>
      <w:bookmarkStart w:id="525" w:name="_Toc496175765"/>
      <w:r w:rsidRPr="00882F11">
        <w:rPr>
          <w:rFonts w:cs="Guttman Drogolin" w:hint="cs"/>
          <w:color w:val="auto"/>
          <w:sz w:val="24"/>
          <w:szCs w:val="24"/>
          <w:u w:val="single"/>
          <w:rtl/>
          <w:lang w:bidi="he-IL"/>
        </w:rPr>
        <w:lastRenderedPageBreak/>
        <w:t>הכשר החצובה</w:t>
      </w:r>
      <w:bookmarkEnd w:id="525"/>
    </w:p>
    <w:p w:rsidR="00AF620C" w:rsidRPr="00882F11" w:rsidRDefault="00BB4151" w:rsidP="003B14DA">
      <w:pPr>
        <w:tabs>
          <w:tab w:val="right" w:pos="7497"/>
        </w:tabs>
        <w:bidi/>
        <w:jc w:val="both"/>
        <w:rPr>
          <w:rFonts w:cs="Guttman Drogolin"/>
          <w:rtl/>
          <w:lang w:bidi="he-IL"/>
        </w:rPr>
      </w:pPr>
      <w:r>
        <w:rPr>
          <w:rFonts w:cs="Guttman Drogolin"/>
          <w:rtl/>
          <w:lang w:bidi="he-IL"/>
        </w:rPr>
        <w:fldChar w:fldCharType="begin"/>
      </w:r>
      <w:r>
        <w:instrText xml:space="preserve"> XE "</w:instrText>
      </w:r>
      <w:r w:rsidRPr="009C7B17">
        <w:rPr>
          <w:rFonts w:hint="cs"/>
          <w:rtl/>
          <w:lang w:bidi="he-IL"/>
        </w:rPr>
        <w:instrText>הכשר כלים</w:instrText>
      </w:r>
      <w:r w:rsidRPr="009C7B17">
        <w:rPr>
          <w:rtl/>
        </w:rPr>
        <w:instrText>:</w:instrText>
      </w:r>
      <w:r w:rsidRPr="009C7B17">
        <w:rPr>
          <w:rFonts w:hint="cs"/>
          <w:rtl/>
          <w:lang w:bidi="he-IL"/>
        </w:rPr>
        <w:instrText>הכשר החצובה</w:instrText>
      </w:r>
      <w:r>
        <w:instrText xml:space="preserve">" </w:instrText>
      </w:r>
      <w:r>
        <w:rPr>
          <w:rFonts w:cs="Guttman Drogolin"/>
          <w:rtl/>
          <w:lang w:bidi="he-IL"/>
        </w:rPr>
        <w:fldChar w:fldCharType="end"/>
      </w:r>
      <w:r w:rsidR="003B14DA" w:rsidRPr="00882F11">
        <w:rPr>
          <w:rFonts w:cs="Guttman Drogolin" w:hint="cs"/>
          <w:rtl/>
          <w:lang w:bidi="he-IL"/>
        </w:rPr>
        <w:t xml:space="preserve">כתב הרמ"א בססע' ד' בשם מהרי"ל שיש להכשיר את החצובה. ומקור הדבר בשו"ת מהר"י ווייל סי' קצ"ג. וביאר המג"א הטעם משום שלפעמים נשפך עליו. והמ"ב בס"ק </w:t>
      </w:r>
      <w:r w:rsidR="00AF620C" w:rsidRPr="00882F11">
        <w:rPr>
          <w:rFonts w:cs="Guttman Drogolin" w:hint="cs"/>
          <w:rtl/>
          <w:lang w:bidi="he-IL"/>
        </w:rPr>
        <w:t>ל"ד הביאו בשם כמה אחרונים שהעירו שלכאורה עדיין אין מקום להחמיר בזה, דהא בב' קדירות אין בליעה עובר מזה לזה בלי רוטב. וכן יש לומר שהבליעה כבר נשרפה קודם שמשתמש בה. ולכן הסיק שאינו צריך להכשירה אלא בליבון קל, ושבדיעבד אין להחמיר.</w:t>
      </w:r>
    </w:p>
    <w:p w:rsidR="00AF620C" w:rsidRPr="00882F11" w:rsidRDefault="00AF620C" w:rsidP="009604DE">
      <w:pPr>
        <w:tabs>
          <w:tab w:val="right" w:pos="7497"/>
        </w:tabs>
        <w:bidi/>
        <w:jc w:val="both"/>
        <w:rPr>
          <w:rFonts w:cs="Guttman Drogolin"/>
          <w:rtl/>
          <w:lang w:bidi="he-IL"/>
        </w:rPr>
      </w:pPr>
      <w:r w:rsidRPr="00882F11">
        <w:rPr>
          <w:rFonts w:cs="Guttman Drogolin" w:hint="cs"/>
          <w:rtl/>
          <w:lang w:bidi="he-IL"/>
        </w:rPr>
        <w:t xml:space="preserve">ונראה להאריך קצת בענין החצובה. וקודם כל נראה להדגיש שכל הרעש שעשו האחרונים על הכשר החצובה אינו אלא בבליעות הבלועות בחצובה, דהא בהם נאמר הכלל שאין בליעה עובר מכלי לכלי בלי רוטב. אבל דבר פשוט הוא שאם החצובה מלוכלכת </w:t>
      </w:r>
      <w:r w:rsidR="000D274E" w:rsidRPr="00882F11">
        <w:rPr>
          <w:rFonts w:cs="Guttman Drogolin" w:hint="cs"/>
          <w:rtl/>
          <w:lang w:bidi="he-IL"/>
        </w:rPr>
        <w:t>בגבינה או בשר</w:t>
      </w:r>
      <w:r w:rsidR="00AA62B3" w:rsidRPr="00882F11">
        <w:rPr>
          <w:rFonts w:cs="Guttman Drogolin" w:hint="cs"/>
          <w:rtl/>
          <w:lang w:bidi="he-IL"/>
        </w:rPr>
        <w:t xml:space="preserve"> שלא נשרפו עד שנעשו פחם</w:t>
      </w:r>
      <w:r w:rsidR="000D274E" w:rsidRPr="00882F11">
        <w:rPr>
          <w:rFonts w:cs="Guttman Drogolin" w:hint="cs"/>
          <w:rtl/>
          <w:lang w:bidi="he-IL"/>
        </w:rPr>
        <w:t>, והוא נגע בקדירה שלא כנגד האש</w:t>
      </w:r>
      <w:bookmarkStart w:id="526" w:name="_Ref487555778"/>
      <w:r w:rsidR="00932786" w:rsidRPr="00882F11">
        <w:rPr>
          <w:rStyle w:val="FootnoteReference"/>
          <w:rFonts w:cs="Guttman Drogolin"/>
          <w:rtl/>
          <w:lang w:bidi="he-IL"/>
        </w:rPr>
        <w:footnoteReference w:id="537"/>
      </w:r>
      <w:bookmarkEnd w:id="526"/>
      <w:r w:rsidR="000D274E" w:rsidRPr="00882F11">
        <w:rPr>
          <w:rFonts w:cs="Guttman Drogolin" w:hint="cs"/>
          <w:rtl/>
          <w:lang w:bidi="he-IL"/>
        </w:rPr>
        <w:t xml:space="preserve">, אמרינן שהוא נבלע בתוך התבשיל שבקדרה. </w:t>
      </w:r>
      <w:r w:rsidR="00AA62B3" w:rsidRPr="00882F11">
        <w:rPr>
          <w:rFonts w:cs="Guttman Drogolin" w:hint="cs"/>
          <w:rtl/>
          <w:lang w:bidi="he-IL"/>
        </w:rPr>
        <w:t xml:space="preserve">ויש חלקים של החצובות של היום שאינם קרובים כ"כ לאש ויכולים להיות חמים ולא נשרפים. </w:t>
      </w:r>
      <w:r w:rsidR="000D274E" w:rsidRPr="00882F11">
        <w:rPr>
          <w:rFonts w:cs="Guttman Drogolin" w:hint="cs"/>
          <w:rtl/>
          <w:lang w:bidi="he-IL"/>
        </w:rPr>
        <w:t>ולכן דבר פשוט הוא שאפילו אם ישתמש באותה חצובה לבשר ולחלב וכדומה שחייבים לדאוג שאין שמנונית ע"כ החצובה קודם שמניחים עליו קדרה (אא"כ הוא ממין המתבשל עתה).</w:t>
      </w:r>
      <w:r w:rsidRPr="00882F11">
        <w:rPr>
          <w:rFonts w:cs="Guttman Drogolin" w:hint="cs"/>
          <w:rtl/>
          <w:lang w:bidi="he-IL"/>
        </w:rPr>
        <w:t xml:space="preserve"> </w:t>
      </w:r>
      <w:r w:rsidR="00D36CA5" w:rsidRPr="00882F11">
        <w:rPr>
          <w:rFonts w:cs="Guttman Drogolin" w:hint="cs"/>
          <w:rtl/>
          <w:lang w:bidi="he-IL"/>
        </w:rPr>
        <w:t xml:space="preserve">ועוד יעוין ברע"א שהבין דברי הרמ"א שאוסר אפילו בדיעבד, וביאר דהנ"מ כשנגע מאכל בחצובה, אבל מכלי לכלי אין לאסור, והדגיש שמשו"ה בבית עכו"ם </w:t>
      </w:r>
      <w:r w:rsidR="009604DE" w:rsidRPr="00882F11">
        <w:rPr>
          <w:rFonts w:cs="Guttman Drogolin" w:hint="cs"/>
          <w:rtl/>
          <w:lang w:bidi="he-IL"/>
        </w:rPr>
        <w:t>יש להקל</w:t>
      </w:r>
      <w:r w:rsidR="00D36CA5" w:rsidRPr="00882F11">
        <w:rPr>
          <w:rFonts w:cs="Guttman Drogolin" w:hint="cs"/>
          <w:rtl/>
          <w:lang w:bidi="he-IL"/>
        </w:rPr>
        <w:t xml:space="preserve"> לזה.</w:t>
      </w:r>
    </w:p>
    <w:p w:rsidR="009604DE" w:rsidRPr="00882F11" w:rsidRDefault="00AF620C" w:rsidP="009604DE">
      <w:pPr>
        <w:tabs>
          <w:tab w:val="right" w:pos="7497"/>
        </w:tabs>
        <w:bidi/>
        <w:jc w:val="both"/>
        <w:rPr>
          <w:rFonts w:cs="Guttman Drogolin"/>
          <w:rtl/>
          <w:lang w:bidi="he-IL"/>
        </w:rPr>
      </w:pPr>
      <w:r w:rsidRPr="00882F11">
        <w:rPr>
          <w:rFonts w:cs="Guttman Drogolin" w:hint="cs"/>
          <w:rtl/>
          <w:lang w:bidi="he-IL"/>
        </w:rPr>
        <w:t xml:space="preserve">והנה לענין זה שאין בליעה עובר מכלי לכלי בלי רוטב, </w:t>
      </w:r>
      <w:r w:rsidR="00D36CA5" w:rsidRPr="00882F11">
        <w:rPr>
          <w:rFonts w:cs="Guttman Drogolin" w:hint="cs"/>
          <w:rtl/>
          <w:lang w:bidi="he-IL"/>
        </w:rPr>
        <w:t xml:space="preserve">יעוין בשפ"ד </w:t>
      </w:r>
      <w:r w:rsidR="00F216A8" w:rsidRPr="00882F11">
        <w:rPr>
          <w:rFonts w:cs="Guttman Drogolin" w:hint="cs"/>
          <w:rtl/>
          <w:lang w:bidi="he-IL"/>
        </w:rPr>
        <w:t>סי' ק"ה ס"ק כ"ב שהחמיר לכתחילה שלא יגעו ב' כלים חמות זו בזו</w:t>
      </w:r>
      <w:r w:rsidR="009604DE" w:rsidRPr="00882F11">
        <w:rPr>
          <w:rFonts w:cs="Guttman Drogolin" w:hint="cs"/>
          <w:rtl/>
          <w:lang w:bidi="he-IL"/>
        </w:rPr>
        <w:t xml:space="preserve"> אפילו אין בהם תבשיל</w:t>
      </w:r>
      <w:r w:rsidR="009604DE" w:rsidRPr="00882F11">
        <w:rPr>
          <w:rStyle w:val="FootnoteReference"/>
          <w:rFonts w:cs="Guttman Drogolin"/>
          <w:rtl/>
          <w:lang w:bidi="he-IL"/>
        </w:rPr>
        <w:footnoteReference w:id="538"/>
      </w:r>
      <w:r w:rsidR="00F216A8" w:rsidRPr="00882F11">
        <w:rPr>
          <w:rFonts w:cs="Guttman Drogolin" w:hint="cs"/>
          <w:rtl/>
          <w:lang w:bidi="he-IL"/>
        </w:rPr>
        <w:t xml:space="preserve">. אמנם י"ל שאפילו הפמ"ג מודה בשעה"ד כהא דרע"א בבית הנכרי. ועוד נראה לומר דעד כאן לא קאמר הפמ"ג אלא בכלים ידועים להיות בלועים, אבל כאן בבית העכו"ם שאינו אלא חשש בליעה משום הנשפך, יש להקל </w:t>
      </w:r>
      <w:r w:rsidR="00F216A8" w:rsidRPr="00882F11">
        <w:rPr>
          <w:rFonts w:cs="Guttman Drogolin" w:hint="cs"/>
          <w:rtl/>
          <w:lang w:bidi="he-IL"/>
        </w:rPr>
        <w:lastRenderedPageBreak/>
        <w:t>לכתחילה. וכל שכן שאם הכלי אינו בן יומו יש להקל אפילו לכתחילה אפילו אליבא דפמ"ג.</w:t>
      </w:r>
      <w:r w:rsidRPr="00882F11">
        <w:rPr>
          <w:rFonts w:cs="Guttman Drogolin" w:hint="cs"/>
          <w:rtl/>
          <w:lang w:bidi="he-IL"/>
        </w:rPr>
        <w:t xml:space="preserve"> </w:t>
      </w:r>
    </w:p>
    <w:p w:rsidR="00211EAC" w:rsidRPr="00882F11" w:rsidRDefault="00A934AF" w:rsidP="00211EAC">
      <w:pPr>
        <w:tabs>
          <w:tab w:val="right" w:pos="7497"/>
        </w:tabs>
        <w:bidi/>
        <w:jc w:val="both"/>
        <w:rPr>
          <w:rFonts w:cs="Guttman Drogolin"/>
          <w:rtl/>
          <w:lang w:bidi="he-IL"/>
        </w:rPr>
      </w:pPr>
      <w:r w:rsidRPr="00882F11">
        <w:rPr>
          <w:rFonts w:cs="Guttman Drogolin" w:hint="cs"/>
          <w:rtl/>
          <w:lang w:bidi="he-IL"/>
        </w:rPr>
        <w:t>ו</w:t>
      </w:r>
      <w:r w:rsidR="009604DE" w:rsidRPr="00882F11">
        <w:rPr>
          <w:rFonts w:cs="Guttman Drogolin" w:hint="cs"/>
          <w:rtl/>
          <w:lang w:bidi="he-IL"/>
        </w:rPr>
        <w:t>הנה המקו"ח כאן, וכן החכמ"א (</w:t>
      </w:r>
      <w:r w:rsidR="00211EAC" w:rsidRPr="00882F11">
        <w:rPr>
          <w:rFonts w:cs="Guttman Drogolin" w:hint="cs"/>
          <w:rtl/>
          <w:lang w:bidi="he-IL"/>
        </w:rPr>
        <w:t xml:space="preserve">כלל ע"ד סע' ד') שהחמירו גם בחצובה שלא להשתמש בה לבשר ולחלב, דמאי שנא, הא הדין שאין בליעה עובר בלי רוטב שייך בין לחמץ ובין לשאר איסורים בשוה. אמנם המ"ב כתב שכל הענין של חצובה אינו אלא חומרא דפסח, ומשמע דלשאר איסורים אין חובה להחמיר. וע' בשו"ת אג"מ </w:t>
      </w:r>
      <w:r w:rsidR="00E908A8" w:rsidRPr="00882F11">
        <w:rPr>
          <w:rFonts w:cs="Guttman Drogolin" w:hint="cs"/>
          <w:rtl/>
          <w:lang w:bidi="he-IL"/>
        </w:rPr>
        <w:t xml:space="preserve">(יו"ד א' סי' נ"ט) </w:t>
      </w:r>
      <w:r w:rsidR="00271E59" w:rsidRPr="00882F11">
        <w:rPr>
          <w:rFonts w:cs="Guttman Drogolin" w:hint="cs"/>
          <w:rtl/>
          <w:lang w:bidi="he-IL"/>
        </w:rPr>
        <w:t xml:space="preserve">מה שכתב בזה, והסיק שבחצובות שלנו לכאורה גם החכמ"א הי' מיקל כיון שהוא שעה"ד.  </w:t>
      </w:r>
    </w:p>
    <w:p w:rsidR="004D628A" w:rsidRPr="00882F11" w:rsidRDefault="00211EAC" w:rsidP="00211EAC">
      <w:pPr>
        <w:tabs>
          <w:tab w:val="right" w:pos="7497"/>
        </w:tabs>
        <w:bidi/>
        <w:jc w:val="both"/>
        <w:rPr>
          <w:rFonts w:cs="Guttman Drogolin"/>
          <w:rtl/>
          <w:lang w:bidi="he-IL"/>
        </w:rPr>
      </w:pPr>
      <w:r w:rsidRPr="00882F11">
        <w:rPr>
          <w:rFonts w:cs="Guttman Drogolin" w:hint="cs"/>
          <w:rtl/>
          <w:lang w:bidi="he-IL"/>
        </w:rPr>
        <w:t>עוד העירו בענינא דחצובה, שלכאורה יש מקום להחמיר שאולי ישפך מי התבשיל מן הקדרה, ויכנס בין החצובה לקדירה</w:t>
      </w:r>
      <w:r w:rsidR="004D628A" w:rsidRPr="00882F11">
        <w:rPr>
          <w:rFonts w:cs="Guttman Drogolin" w:hint="cs"/>
          <w:rtl/>
          <w:lang w:bidi="he-IL"/>
        </w:rPr>
        <w:t xml:space="preserve">, ובכה"ג הרי יש רוטב בין קדרה לקדרה. והא דחזינן להו לקדמאי שלאחששו לזה, איכא למימר שזהו משום שהחצובה של פעם לא הי' מונח כ"כ קרוב לקרקע, ולכן אם הי' נשפך הי' יורד למטה. אבל בשל היום יש ב' טעמים לחשוש, חדא משום שאם יש בליעות בחצובה הרי הם יבלעו בתוך הקדרה כיון שיש רוטב. אלא שבזה י"ל שאין מספיק רוטב, בפרט לשיטת החוו"ד שמעט משקין לא מהני לרוטב להבליע בין כלי לכלי. ועוד יש מקום לחשוש שאם יהי' הרבה משקין אז אם יש מאכל או בליעות במשטח שעליו מונח החצובה, המשקין יבלעו ויכניסו לתוך הקדרה דרך זיעה. </w:t>
      </w:r>
    </w:p>
    <w:p w:rsidR="004D628A" w:rsidRPr="00882F11" w:rsidRDefault="004D628A" w:rsidP="004D628A">
      <w:pPr>
        <w:tabs>
          <w:tab w:val="right" w:pos="7497"/>
        </w:tabs>
        <w:bidi/>
        <w:jc w:val="both"/>
        <w:rPr>
          <w:rFonts w:cs="Guttman Drogolin"/>
          <w:rtl/>
          <w:lang w:bidi="he-IL"/>
        </w:rPr>
      </w:pPr>
      <w:r w:rsidRPr="00882F11">
        <w:rPr>
          <w:rFonts w:cs="Guttman Drogolin" w:hint="cs"/>
          <w:rtl/>
          <w:lang w:bidi="he-IL"/>
        </w:rPr>
        <w:t>ומ"מ היוצא לדינא שמותר להשתמש באותם חצובות בין לבשר ובין לחלב, אבל צריכים ליזהר שיהיו נקיים ממאכל.</w:t>
      </w:r>
    </w:p>
    <w:p w:rsidR="007B7787" w:rsidRPr="00882F11" w:rsidRDefault="004D628A" w:rsidP="004D628A">
      <w:pPr>
        <w:tabs>
          <w:tab w:val="right" w:pos="7497"/>
        </w:tabs>
        <w:bidi/>
        <w:jc w:val="both"/>
        <w:rPr>
          <w:rFonts w:cs="Guttman Drogolin"/>
          <w:rtl/>
          <w:lang w:bidi="he-IL"/>
        </w:rPr>
      </w:pPr>
      <w:r w:rsidRPr="00882F11">
        <w:rPr>
          <w:rFonts w:cs="Guttman Drogolin" w:hint="cs"/>
          <w:rtl/>
          <w:lang w:bidi="he-IL"/>
        </w:rPr>
        <w:t xml:space="preserve">עוד מבואר במ"ב דכיון שאינו אלא חומרא בעלמא סגי לן בליבון קל. ולכאורה גם זה צ"ע, דממ"נ, אם חוששים לחמץ שנשפך עליו ונבלע, לא מהני לזה אלא ליבון חמור כיון שנבלע ע"י האור, ומאי אהני לן ליבון קל. ועל דרך הפשט י"ל שהרי איכא לשיטת הראב"ד דחמץ מיקרי היתירא בלע. ואמנם לאקיי"ל כוותי', מ"מ כיון שאינו אלא </w:t>
      </w:r>
      <w:r w:rsidRPr="00882F11">
        <w:rPr>
          <w:rFonts w:cs="Guttman Drogolin" w:hint="cs"/>
          <w:rtl/>
          <w:lang w:bidi="he-IL"/>
        </w:rPr>
        <w:lastRenderedPageBreak/>
        <w:t xml:space="preserve">חומרא בעלמא, דיינו להכשיר כשיטת הראב"ד. אמנם נראה שיש בזה עוד מהלך וכמו שיתבאר. </w:t>
      </w:r>
      <w:r w:rsidR="00211EAC" w:rsidRPr="00882F11">
        <w:rPr>
          <w:rFonts w:cs="Guttman Drogolin" w:hint="cs"/>
          <w:rtl/>
          <w:lang w:bidi="he-IL"/>
        </w:rPr>
        <w:t xml:space="preserve"> </w:t>
      </w:r>
      <w:r w:rsidR="003B14DA" w:rsidRPr="00882F11">
        <w:rPr>
          <w:rFonts w:cs="Guttman Drogolin" w:hint="cs"/>
          <w:rtl/>
          <w:lang w:bidi="he-IL"/>
        </w:rPr>
        <w:t xml:space="preserve">  </w:t>
      </w:r>
      <w:r w:rsidR="007B7787" w:rsidRPr="00882F11">
        <w:rPr>
          <w:rFonts w:cs="Guttman Drogolin" w:hint="cs"/>
          <w:rtl/>
          <w:lang w:bidi="he-IL"/>
        </w:rPr>
        <w:t xml:space="preserve"> </w:t>
      </w:r>
    </w:p>
    <w:p w:rsidR="004D628A" w:rsidRPr="00882F11" w:rsidRDefault="004D628A" w:rsidP="004D628A">
      <w:pPr>
        <w:pStyle w:val="Heading1"/>
        <w:bidi/>
        <w:spacing w:before="0" w:line="360" w:lineRule="auto"/>
        <w:jc w:val="center"/>
        <w:rPr>
          <w:rFonts w:cs="Guttman Drogolin"/>
          <w:color w:val="auto"/>
          <w:sz w:val="24"/>
          <w:szCs w:val="24"/>
          <w:u w:val="single"/>
          <w:rtl/>
          <w:lang w:bidi="he-IL"/>
        </w:rPr>
      </w:pPr>
      <w:bookmarkStart w:id="527" w:name="_Toc496175766"/>
      <w:r w:rsidRPr="00882F11">
        <w:rPr>
          <w:rFonts w:cs="Guttman Drogolin" w:hint="cs"/>
          <w:color w:val="auto"/>
          <w:sz w:val="24"/>
          <w:szCs w:val="24"/>
          <w:u w:val="single"/>
          <w:rtl/>
          <w:lang w:bidi="he-IL"/>
        </w:rPr>
        <w:t>בענין ליבון קל</w:t>
      </w:r>
      <w:bookmarkEnd w:id="527"/>
    </w:p>
    <w:p w:rsidR="00520429" w:rsidRPr="00882F11" w:rsidRDefault="00BB4151" w:rsidP="00AF28DA">
      <w:pPr>
        <w:tabs>
          <w:tab w:val="right" w:pos="7497"/>
        </w:tabs>
        <w:bidi/>
        <w:jc w:val="both"/>
        <w:rPr>
          <w:rFonts w:cs="Guttman Drogolin"/>
          <w:rtl/>
          <w:lang w:bidi="he-IL"/>
        </w:rPr>
      </w:pPr>
      <w:r>
        <w:rPr>
          <w:rFonts w:cs="Guttman Drogolin"/>
          <w:rtl/>
          <w:lang w:bidi="he-IL"/>
        </w:rPr>
        <w:fldChar w:fldCharType="begin"/>
      </w:r>
      <w:r>
        <w:instrText xml:space="preserve"> XE "</w:instrText>
      </w:r>
      <w:r w:rsidRPr="00B434E1">
        <w:rPr>
          <w:rFonts w:hint="cs"/>
          <w:rtl/>
          <w:lang w:bidi="he-IL"/>
        </w:rPr>
        <w:instrText>הכשר כלים</w:instrText>
      </w:r>
      <w:r w:rsidRPr="00B434E1">
        <w:rPr>
          <w:rtl/>
        </w:rPr>
        <w:instrText>:</w:instrText>
      </w:r>
      <w:r w:rsidRPr="00B434E1">
        <w:rPr>
          <w:rFonts w:hint="cs"/>
          <w:rtl/>
          <w:lang w:bidi="he-IL"/>
        </w:rPr>
        <w:instrText>ליבון קל</w:instrText>
      </w:r>
      <w:r>
        <w:instrText xml:space="preserve">" </w:instrText>
      </w:r>
      <w:r>
        <w:rPr>
          <w:rFonts w:cs="Guttman Drogolin"/>
          <w:rtl/>
          <w:lang w:bidi="he-IL"/>
        </w:rPr>
        <w:fldChar w:fldCharType="end"/>
      </w:r>
      <w:r w:rsidR="008156DD" w:rsidRPr="00882F11">
        <w:rPr>
          <w:rFonts w:cs="Guttman Drogolin" w:hint="cs"/>
          <w:rtl/>
          <w:lang w:bidi="he-IL"/>
        </w:rPr>
        <w:t>הב"י כאן הביא ב' שיטות שהתייחסו לדין ליבון קל. קודם הביא שיטת ההגהות מיי' (פי"ז מהל' מאכ"א ה"ג אות ה') בשם ר' אביגדור וז"ל "</w:t>
      </w:r>
      <w:r w:rsidR="008156DD" w:rsidRPr="00882F11">
        <w:rPr>
          <w:rFonts w:cs="Guttman Drogolin"/>
          <w:rtl/>
          <w:lang w:bidi="he-IL"/>
        </w:rPr>
        <w:t>דכשמלבנן עד שאם ישים עליו קש יהיו ניצוצות ניתזין ממנו סגי בהכי דאם לא כן אותה טירפ"א בלעז שאופין פשטידא תחתיה ומלבנין אותה כדי לאפות תחתיה פלדו"ן אם היה צריך ללבנה עד שיהיו ניתזין ניצוצות ממנה היתה לגמרי מתקלקלת</w:t>
      </w:r>
      <w:r w:rsidR="008156DD" w:rsidRPr="00882F11">
        <w:rPr>
          <w:rFonts w:cs="Guttman Drogolin" w:hint="cs"/>
          <w:rtl/>
          <w:lang w:bidi="he-IL"/>
        </w:rPr>
        <w:t xml:space="preserve">". </w:t>
      </w:r>
      <w:r w:rsidR="001174A8" w:rsidRPr="00882F11">
        <w:rPr>
          <w:rFonts w:cs="Guttman Drogolin" w:hint="cs"/>
          <w:rtl/>
          <w:lang w:bidi="he-IL"/>
        </w:rPr>
        <w:t>ולאחר מכן הביא שיטת המרדכי (במס' ע"ז אות תת"ס) שכתב "</w:t>
      </w:r>
      <w:r w:rsidR="001174A8" w:rsidRPr="00882F11">
        <w:rPr>
          <w:rFonts w:cs="Guttman Drogolin"/>
          <w:rtl/>
          <w:lang w:bidi="he-IL"/>
        </w:rPr>
        <w:t xml:space="preserve">דכלים </w:t>
      </w:r>
      <w:r w:rsidR="001174A8" w:rsidRPr="00882F11">
        <w:rPr>
          <w:rFonts w:cs="Guttman Drogolin" w:hint="cs"/>
          <w:rtl/>
          <w:lang w:bidi="he-IL"/>
        </w:rPr>
        <w:t>וכו'</w:t>
      </w:r>
      <w:r w:rsidR="001174A8" w:rsidRPr="00882F11">
        <w:rPr>
          <w:rFonts w:cs="Guttman Drogolin"/>
          <w:rtl/>
          <w:lang w:bidi="he-IL"/>
        </w:rPr>
        <w:t xml:space="preserve"> הבלועים מהיתר כגון חלב או בשר אין צריכין ליבון גדול דנשירת קליפה [אלא רק] עד שתהא יד סולדת בו משני עבריה וגם רגילין לבדוק על ידי נתינת קש עליה מבחוץ לראות אם הקש נשרף בהכי סגי דאם כן שליט הליבון מעבר אל עבר אף על פי שלא תסיר קליפתו ומכל מקום די בכך דכיון דהיתרא בלע אם כן די להם בהגעלה ואף על גב דתשמישם על ידי האור כדמשמע בשמעתין והא לא גרע ליבון זה מהגעלה ואותו ליבון מפליט יותר מהגעלה</w:t>
      </w:r>
      <w:r w:rsidR="001174A8" w:rsidRPr="00882F11">
        <w:rPr>
          <w:rFonts w:cs="Guttman Drogolin" w:hint="cs"/>
          <w:rtl/>
          <w:lang w:bidi="he-IL"/>
        </w:rPr>
        <w:t>". ונראה שיש מחלוקת יסודית ביניהם בדין ליבון קל. המרדכי למד שאמנם ליבון קל לא חשוב ליבון המוזכר בגמ' מ"מ יש לו את הכח להכשיר כלים החייבים בהגעלה. ומשו"ה לא התיר להכשיר אלא כלים הבלועים היתר כגון בשר או חלב.</w:t>
      </w:r>
      <w:r w:rsidR="00AF28DA" w:rsidRPr="00882F11">
        <w:rPr>
          <w:rFonts w:cs="Guttman Drogolin" w:hint="cs"/>
          <w:rtl/>
          <w:lang w:bidi="he-IL"/>
        </w:rPr>
        <w:t xml:space="preserve"> אבל לשון הגהות מיי' משמע דליבון כה"ג חשוב ליבן חמור, דמשמע שר"ל שהניצוצות היוצאים ע"י הקש מספיק לניצוצות המוזכר בירו', וכן הביא לזה הוכחה דאל"כ לא שייך הכשר </w:t>
      </w:r>
      <w:r w:rsidR="00AF28DA" w:rsidRPr="00882F11">
        <w:rPr>
          <w:rFonts w:cs="Guttman Drogolin" w:hint="cs"/>
          <w:rtl/>
          <w:lang w:bidi="he-IL"/>
        </w:rPr>
        <w:lastRenderedPageBreak/>
        <w:t>לטירפ"א. וכן ראיתי לפמ"ג בדיני וסדר הגעלה בקצרה שבססי' תנ"ב שכן דקדק (וע"ש שלכאורה א"כ מבואר מדבריו דסבר דבשר או חלב חשיבי שמו עליו כחמץ, וכשיטת הפר"ח בדעת הש"ך בסי' קכ"א ס"ק ח').</w:t>
      </w:r>
      <w:r w:rsidR="00FF0C7B" w:rsidRPr="00882F11">
        <w:rPr>
          <w:rFonts w:cs="Guttman Drogolin" w:hint="cs"/>
          <w:rtl/>
          <w:lang w:bidi="he-IL"/>
        </w:rPr>
        <w:t xml:space="preserve"> ויוצא שלשיטת המרדכי יש כאן הכשר חדש שלא מוזכר בש"ס</w:t>
      </w:r>
      <w:r w:rsidR="00D55934" w:rsidRPr="00882F11">
        <w:rPr>
          <w:rStyle w:val="FootnoteReference"/>
          <w:rFonts w:cs="Guttman Drogolin"/>
          <w:rtl/>
          <w:lang w:bidi="he-IL"/>
        </w:rPr>
        <w:footnoteReference w:id="539"/>
      </w:r>
      <w:r w:rsidR="00FF0C7B" w:rsidRPr="00882F11">
        <w:rPr>
          <w:rFonts w:cs="Guttman Drogolin" w:hint="cs"/>
          <w:rtl/>
          <w:lang w:bidi="he-IL"/>
        </w:rPr>
        <w:t xml:space="preserve">, רק שהוא הכשר מסברא משום דעדיף מהגעלה. ואילו להגהות מיי' זהו ליבון של הש"ס. ונפק"מ גדולה ביניהם בדבר שצריך ליבון ממש, שלמרדכי לא סגי, ואילו להגהות מיי' מהני. וע"ש שפמ"ג שמשו"ה אם יש ספק אם צריך ליבון סגי בליבון קל. </w:t>
      </w:r>
    </w:p>
    <w:p w:rsidR="00C57E13" w:rsidRPr="00882F11" w:rsidRDefault="00F4379C" w:rsidP="009D678C">
      <w:pPr>
        <w:tabs>
          <w:tab w:val="right" w:pos="7497"/>
        </w:tabs>
        <w:bidi/>
        <w:jc w:val="both"/>
        <w:rPr>
          <w:rFonts w:cs="Guttman Drogolin"/>
          <w:rtl/>
        </w:rPr>
      </w:pPr>
      <w:r w:rsidRPr="00882F11">
        <w:rPr>
          <w:rFonts w:cs="Guttman Drogolin" w:hint="cs"/>
          <w:rtl/>
          <w:lang w:bidi="he-IL"/>
        </w:rPr>
        <w:t>ויש להסתפ</w:t>
      </w:r>
      <w:r w:rsidR="00520429" w:rsidRPr="00882F11">
        <w:rPr>
          <w:rFonts w:cs="Guttman Drogolin" w:hint="cs"/>
          <w:rtl/>
          <w:lang w:bidi="he-IL"/>
        </w:rPr>
        <w:t xml:space="preserve">ק טובא בליבון קל זה מה טיבו. שבליבון </w:t>
      </w:r>
      <w:r w:rsidR="009D678C" w:rsidRPr="00882F11">
        <w:rPr>
          <w:rFonts w:cs="Guttman Drogolin" w:hint="cs"/>
          <w:rtl/>
          <w:lang w:bidi="he-IL"/>
        </w:rPr>
        <w:t>חמור</w:t>
      </w:r>
      <w:r w:rsidR="00520429" w:rsidRPr="00882F11">
        <w:rPr>
          <w:rFonts w:cs="Guttman Drogolin" w:hint="cs"/>
          <w:rtl/>
          <w:lang w:bidi="he-IL"/>
        </w:rPr>
        <w:t xml:space="preserve"> ראינו שהרא"ה סבר שהוא שורף הבליעות, ומשמעות משמרת הבית שהוא מפליט. ולדעת הגהות מיי' לכאורה בליבון קל שייך אותו ספק, אבל למרדכי יש להסתפק מהו גדרו.</w:t>
      </w:r>
      <w:r w:rsidRPr="00882F11">
        <w:rPr>
          <w:rFonts w:cs="Guttman Drogolin" w:hint="cs"/>
          <w:rtl/>
          <w:lang w:bidi="he-IL"/>
        </w:rPr>
        <w:t xml:space="preserve"> ואם הוא מפליט הבליעות, להיכן הולכים</w:t>
      </w:r>
      <w:r w:rsidR="009D678C" w:rsidRPr="00882F11">
        <w:rPr>
          <w:rStyle w:val="FootnoteReference"/>
          <w:rFonts w:cs="Guttman Drogolin"/>
          <w:rtl/>
          <w:lang w:bidi="he-IL"/>
        </w:rPr>
        <w:footnoteReference w:id="540"/>
      </w:r>
      <w:r w:rsidRPr="00882F11">
        <w:rPr>
          <w:rFonts w:cs="Guttman Drogolin" w:hint="cs"/>
          <w:rtl/>
          <w:lang w:bidi="he-IL"/>
        </w:rPr>
        <w:t>.</w:t>
      </w:r>
      <w:r w:rsidR="00520429" w:rsidRPr="00882F11">
        <w:rPr>
          <w:rFonts w:cs="Guttman Drogolin" w:hint="cs"/>
          <w:rtl/>
          <w:lang w:bidi="he-IL"/>
        </w:rPr>
        <w:t xml:space="preserve"> וראיתי להגרש"ז גרוסמן (מבית לוי כרך י"ד שנת תשנ"ט עמ' ק"ב </w:t>
      </w:r>
      <w:r w:rsidR="00520429" w:rsidRPr="00882F11">
        <w:rPr>
          <w:rFonts w:cs="Guttman Drogolin"/>
          <w:rtl/>
          <w:lang w:bidi="he-IL"/>
        </w:rPr>
        <w:t>–</w:t>
      </w:r>
      <w:r w:rsidR="00520429" w:rsidRPr="00882F11">
        <w:rPr>
          <w:rFonts w:cs="Guttman Drogolin" w:hint="cs"/>
          <w:rtl/>
          <w:lang w:bidi="he-IL"/>
        </w:rPr>
        <w:t xml:space="preserve"> קי"ח) שהאריך בגדרי ליבון קל, והעלה כמה ספיקות בדינו: 1) האם אפשר לעשות ליבון קל לכלי שהוא בן יומו</w:t>
      </w:r>
      <w:r w:rsidR="004E48B4" w:rsidRPr="00882F11">
        <w:rPr>
          <w:rStyle w:val="FootnoteReference"/>
          <w:rFonts w:cs="Guttman Drogolin"/>
          <w:rtl/>
          <w:lang w:bidi="he-IL"/>
        </w:rPr>
        <w:footnoteReference w:id="541"/>
      </w:r>
      <w:r w:rsidR="00520429" w:rsidRPr="00882F11">
        <w:rPr>
          <w:rFonts w:cs="Guttman Drogolin" w:hint="cs"/>
          <w:rtl/>
          <w:lang w:bidi="he-IL"/>
        </w:rPr>
        <w:t xml:space="preserve">, 2) </w:t>
      </w:r>
      <w:r w:rsidRPr="00882F11">
        <w:rPr>
          <w:rFonts w:cs="Guttman Drogolin" w:hint="cs"/>
          <w:rtl/>
          <w:lang w:bidi="he-IL"/>
        </w:rPr>
        <w:t>האם צריך מדינא לשטוף את הכלי לאחר שמלבנו, דהא אם ליבון קל מפליט הבליעה כמו בהגעלה, יוצא הפליטה על שפת הכלי וצריך לשטוף אותו משפת הכלי</w:t>
      </w:r>
      <w:r w:rsidR="009D678C" w:rsidRPr="00882F11">
        <w:rPr>
          <w:rStyle w:val="FootnoteReference"/>
          <w:rFonts w:cs="Guttman Drogolin"/>
          <w:rtl/>
          <w:lang w:bidi="he-IL"/>
        </w:rPr>
        <w:footnoteReference w:id="542"/>
      </w:r>
      <w:r w:rsidRPr="00882F11">
        <w:rPr>
          <w:rFonts w:cs="Guttman Drogolin" w:hint="cs"/>
          <w:rtl/>
          <w:lang w:bidi="he-IL"/>
        </w:rPr>
        <w:t xml:space="preserve">. 3) האם צריך להסיר החלודה קודם מלבן ליבון קל, שאם פעולתו כמו הגעלה צריך אבל אם כמו ליבון הרי אינו צריך. </w:t>
      </w:r>
      <w:r w:rsidR="00EE75D6" w:rsidRPr="00882F11">
        <w:rPr>
          <w:rFonts w:cs="Guttman Drogolin" w:hint="cs"/>
          <w:rtl/>
          <w:lang w:bidi="he-IL"/>
        </w:rPr>
        <w:t xml:space="preserve">וע"ש עוד שהעיר שלכאורה אם מהני ליבון קל, למה היו צריכים לעשות גדנפא ליורה גדולה, היו יכולים פשוט לחמם אותו בליבון קל (ובלי מים בפנים, שלכאורה אם יש מים בפנים אין זה אפילו ליבון קל). ובעיקר דין ליבון קל ע"ש </w:t>
      </w:r>
      <w:r w:rsidR="00EE75D6" w:rsidRPr="00882F11">
        <w:rPr>
          <w:rFonts w:cs="Guttman Drogolin" w:hint="cs"/>
          <w:rtl/>
          <w:lang w:bidi="he-IL"/>
        </w:rPr>
        <w:lastRenderedPageBreak/>
        <w:t>בעמ' ק"ז (ס"ק ו'</w:t>
      </w:r>
      <w:r w:rsidR="00C67923" w:rsidRPr="00882F11">
        <w:rPr>
          <w:rFonts w:cs="Guttman Drogolin" w:hint="cs"/>
          <w:rtl/>
          <w:lang w:bidi="he-IL"/>
        </w:rPr>
        <w:t>, וכ"כ בס' סידור פסח כהלכתו פ"ה הערה 27</w:t>
      </w:r>
      <w:r w:rsidR="00EE75D6" w:rsidRPr="00882F11">
        <w:rPr>
          <w:rFonts w:cs="Guttman Drogolin" w:hint="cs"/>
          <w:rtl/>
          <w:lang w:bidi="he-IL"/>
        </w:rPr>
        <w:t>) שצידד לומר דלא מהני ליבון קל אא"כ חימם כל צדדי הכלי באש בענין שקש נשרף עליו במקום השני, ולא סגי לן בזה שחימם צד א' והקש דשרף באידך צד. והוא חומרא גדולה ואין זה במשמע.</w:t>
      </w:r>
      <w:r w:rsidR="00520429" w:rsidRPr="00882F11">
        <w:rPr>
          <w:rFonts w:cs="Guttman Drogolin" w:hint="cs"/>
          <w:rtl/>
          <w:lang w:bidi="he-IL"/>
        </w:rPr>
        <w:t xml:space="preserve"> </w:t>
      </w:r>
      <w:r w:rsidR="00C67923" w:rsidRPr="00882F11">
        <w:rPr>
          <w:rFonts w:cs="Guttman Drogolin" w:hint="cs"/>
          <w:rtl/>
          <w:lang w:bidi="he-IL"/>
        </w:rPr>
        <w:t xml:space="preserve">וע"ש עוד באות י"א (עמ' קי"א) שהעלה צד דבעינן אותה מידת חום שבה נבלע הבליעה מעיקרא, אך העיר שאין זה משמעות הפוסקים. </w:t>
      </w:r>
      <w:r w:rsidR="00520429" w:rsidRPr="00882F11">
        <w:rPr>
          <w:rFonts w:cs="Guttman Drogolin" w:hint="cs"/>
          <w:rtl/>
          <w:lang w:bidi="he-IL"/>
        </w:rPr>
        <w:t xml:space="preserve"> </w:t>
      </w:r>
      <w:r w:rsidR="00AF28DA" w:rsidRPr="00882F11">
        <w:rPr>
          <w:rFonts w:cs="Guttman Drogolin" w:hint="cs"/>
          <w:rtl/>
          <w:lang w:bidi="he-IL"/>
        </w:rPr>
        <w:t xml:space="preserve">  </w:t>
      </w:r>
      <w:r w:rsidR="001174A8" w:rsidRPr="00882F11">
        <w:rPr>
          <w:rFonts w:cs="Guttman Drogolin" w:hint="cs"/>
          <w:rtl/>
          <w:lang w:bidi="he-IL"/>
        </w:rPr>
        <w:t xml:space="preserve"> </w:t>
      </w:r>
      <w:r w:rsidR="001174A8" w:rsidRPr="00882F11">
        <w:rPr>
          <w:rFonts w:cs="Guttman Drogolin"/>
          <w:rtl/>
          <w:lang w:bidi="he-IL"/>
        </w:rPr>
        <w:t xml:space="preserve"> </w:t>
      </w:r>
      <w:r w:rsidR="008156DD" w:rsidRPr="00882F11">
        <w:rPr>
          <w:rFonts w:cs="Guttman Drogolin"/>
          <w:rtl/>
          <w:lang w:bidi="he-IL"/>
        </w:rPr>
        <w:t xml:space="preserve"> </w:t>
      </w:r>
      <w:r w:rsidR="001D398B" w:rsidRPr="00882F11">
        <w:rPr>
          <w:rFonts w:cs="Guttman Drogolin" w:hint="cs"/>
          <w:rtl/>
          <w:lang w:bidi="he-IL"/>
        </w:rPr>
        <w:t xml:space="preserve">  </w:t>
      </w:r>
    </w:p>
    <w:p w:rsidR="0057162E" w:rsidRPr="00882F11" w:rsidRDefault="00F4379C" w:rsidP="0057162E">
      <w:pPr>
        <w:tabs>
          <w:tab w:val="right" w:pos="7497"/>
        </w:tabs>
        <w:bidi/>
        <w:jc w:val="both"/>
        <w:rPr>
          <w:rFonts w:cs="Guttman Drogolin"/>
          <w:rtl/>
          <w:lang w:bidi="he-IL"/>
        </w:rPr>
      </w:pPr>
      <w:r w:rsidRPr="00882F11">
        <w:rPr>
          <w:rFonts w:cs="Guttman Drogolin" w:hint="cs"/>
          <w:rtl/>
          <w:lang w:bidi="he-IL"/>
        </w:rPr>
        <w:t xml:space="preserve">ומשמעות לשון המרדכי הנ"ל שאין הכלי צריך להיות אלא חום שהיס"ב, והא דהצריכו קש נשרף עליו מבחוץ אינו אלא לברר שכן הוא. והמג"א בס"ק כ"ז משמע ג"כ שעיקר השיעור הוא יס"ב, והעיר רע"א דלכאורה בעינן קש נשרף עליו. </w:t>
      </w:r>
      <w:r w:rsidR="0057162E" w:rsidRPr="00882F11">
        <w:rPr>
          <w:rFonts w:cs="Guttman Drogolin" w:hint="cs"/>
          <w:rtl/>
          <w:lang w:bidi="he-IL"/>
        </w:rPr>
        <w:t xml:space="preserve">ואילו אדברי הבאר הגולה ס"ק ל' שכתב שהשיעור הוא בקש נשרף עליו העיר </w:t>
      </w:r>
      <w:r w:rsidR="00EE75D6" w:rsidRPr="00882F11">
        <w:rPr>
          <w:rFonts w:cs="Guttman Drogolin" w:hint="cs"/>
          <w:rtl/>
          <w:lang w:bidi="he-IL"/>
        </w:rPr>
        <w:t xml:space="preserve">רע"א </w:t>
      </w:r>
      <w:r w:rsidR="0057162E" w:rsidRPr="00882F11">
        <w:rPr>
          <w:rFonts w:cs="Guttman Drogolin" w:hint="cs"/>
          <w:rtl/>
          <w:lang w:bidi="he-IL"/>
        </w:rPr>
        <w:t>שממג"א הנ"ל ומט"ז ס"ק ח' משמע שיס"ב סגי</w:t>
      </w:r>
      <w:r w:rsidR="00EE75D6" w:rsidRPr="00882F11">
        <w:rPr>
          <w:rStyle w:val="FootnoteReference"/>
          <w:rFonts w:cs="Guttman Drogolin"/>
          <w:rtl/>
          <w:lang w:bidi="he-IL"/>
        </w:rPr>
        <w:footnoteReference w:id="543"/>
      </w:r>
      <w:r w:rsidR="0057162E" w:rsidRPr="00882F11">
        <w:rPr>
          <w:rFonts w:cs="Guttman Drogolin" w:hint="cs"/>
          <w:rtl/>
          <w:lang w:bidi="he-IL"/>
        </w:rPr>
        <w:t>. ובעיקר הדבר י"ל שיסוד ההכשר משום שהיד סולדת בו, אבל הא המרדכי כתב שאין שהדרך לברר את זה הוא ע"י קש נשרף עליו מבחוץ, וא"כ למה כתב שאפשר לברר בידו לבד. ולכאורה יש מקום לומר שדבר זה תלוי במחלוקת ההגהות מיי' ומרדכי הנ"ל, שהמרדכי אינו מחייב אלא שיהא יס"ב וכדמשמע מלשונו וכמש"נ, אבל להגהות מיי' לכאורה</w:t>
      </w:r>
      <w:r w:rsidR="00A02237" w:rsidRPr="00882F11">
        <w:rPr>
          <w:rFonts w:cs="Guttman Drogolin" w:hint="cs"/>
          <w:rtl/>
          <w:lang w:bidi="he-IL"/>
        </w:rPr>
        <w:t xml:space="preserve"> בעינן דוקא קש נשרף עליו מבחוץ, שזהו ניצוצות ניתזין. </w:t>
      </w:r>
      <w:r w:rsidR="0057162E" w:rsidRPr="00882F11">
        <w:rPr>
          <w:rFonts w:cs="Guttman Drogolin" w:hint="cs"/>
          <w:rtl/>
          <w:lang w:bidi="he-IL"/>
        </w:rPr>
        <w:t xml:space="preserve"> </w:t>
      </w:r>
    </w:p>
    <w:p w:rsidR="004B3778" w:rsidRPr="00882F11" w:rsidRDefault="0057162E" w:rsidP="0057162E">
      <w:pPr>
        <w:tabs>
          <w:tab w:val="right" w:pos="7497"/>
        </w:tabs>
        <w:bidi/>
        <w:jc w:val="both"/>
        <w:rPr>
          <w:rFonts w:cs="Guttman Drogolin"/>
          <w:rtl/>
          <w:lang w:bidi="he-IL"/>
        </w:rPr>
      </w:pPr>
      <w:r w:rsidRPr="00882F11">
        <w:rPr>
          <w:rFonts w:cs="Guttman Drogolin" w:hint="cs"/>
          <w:rtl/>
          <w:lang w:bidi="he-IL"/>
        </w:rPr>
        <w:t>ועכ"פ לענין מה שהערנו בחצובה למה סגי לן בליבון קל, לכאורה י"ל דכיון שאינו אלא חומרא, הקילו לומר שגם זה נחשב ליבון וכשיטת ההגות מיי', ועל דרך מש"כ הפמ"ג שבמקום שיש ספק חיוב ליבון דיו בליבון קל.</w:t>
      </w:r>
    </w:p>
    <w:p w:rsidR="00C810CF" w:rsidRPr="00882F11" w:rsidRDefault="00C810CF" w:rsidP="00C810CF">
      <w:pPr>
        <w:pStyle w:val="Heading1"/>
        <w:bidi/>
        <w:spacing w:before="0" w:line="360" w:lineRule="auto"/>
        <w:jc w:val="center"/>
        <w:rPr>
          <w:rFonts w:cs="Guttman Drogolin"/>
          <w:color w:val="auto"/>
          <w:sz w:val="24"/>
          <w:szCs w:val="24"/>
          <w:u w:val="single"/>
          <w:rtl/>
          <w:lang w:bidi="he-IL"/>
        </w:rPr>
      </w:pPr>
      <w:bookmarkStart w:id="528" w:name="_Toc496175767"/>
      <w:r w:rsidRPr="00882F11">
        <w:rPr>
          <w:rFonts w:cs="Guttman Drogolin" w:hint="cs"/>
          <w:color w:val="auto"/>
          <w:sz w:val="24"/>
          <w:szCs w:val="24"/>
          <w:u w:val="single"/>
          <w:rtl/>
          <w:lang w:bidi="he-IL"/>
        </w:rPr>
        <w:t>בענין ליבון חמור</w:t>
      </w:r>
      <w:bookmarkEnd w:id="528"/>
    </w:p>
    <w:p w:rsidR="00C810CF" w:rsidRPr="00882F11" w:rsidRDefault="00BB4151" w:rsidP="00DE687C">
      <w:pPr>
        <w:tabs>
          <w:tab w:val="right" w:pos="7497"/>
        </w:tabs>
        <w:bidi/>
        <w:jc w:val="both"/>
        <w:rPr>
          <w:rFonts w:cs="Guttman Drogolin"/>
          <w:rtl/>
          <w:lang w:bidi="he-IL"/>
        </w:rPr>
      </w:pPr>
      <w:r>
        <w:rPr>
          <w:rFonts w:cs="Guttman Drogolin"/>
          <w:rtl/>
          <w:lang w:bidi="he-IL"/>
        </w:rPr>
        <w:fldChar w:fldCharType="begin"/>
      </w:r>
      <w:r>
        <w:instrText xml:space="preserve"> XE "</w:instrText>
      </w:r>
      <w:r w:rsidRPr="00B30D8B">
        <w:rPr>
          <w:rFonts w:hint="cs"/>
          <w:rtl/>
          <w:lang w:bidi="he-IL"/>
        </w:rPr>
        <w:instrText>הכשר כלים</w:instrText>
      </w:r>
      <w:r w:rsidRPr="00B30D8B">
        <w:rPr>
          <w:rtl/>
        </w:rPr>
        <w:instrText>:</w:instrText>
      </w:r>
      <w:r w:rsidRPr="00B30D8B">
        <w:rPr>
          <w:rFonts w:hint="cs"/>
          <w:rtl/>
          <w:lang w:bidi="he-IL"/>
        </w:rPr>
        <w:instrText>ליבון חמור</w:instrText>
      </w:r>
      <w:r>
        <w:instrText xml:space="preserve">" </w:instrText>
      </w:r>
      <w:r>
        <w:rPr>
          <w:rFonts w:cs="Guttman Drogolin"/>
          <w:rtl/>
          <w:lang w:bidi="he-IL"/>
        </w:rPr>
        <w:fldChar w:fldCharType="end"/>
      </w:r>
      <w:r w:rsidR="00C810CF" w:rsidRPr="00882F11">
        <w:rPr>
          <w:rFonts w:cs="Guttman Drogolin" w:hint="cs"/>
          <w:rtl/>
          <w:lang w:bidi="he-IL"/>
        </w:rPr>
        <w:t xml:space="preserve">ראיתי בשם שו"ת חלק הלוי פ"ד אות י"ח בשם הגר"י קמינצקי שביאר </w:t>
      </w:r>
      <w:r w:rsidR="00DE687C" w:rsidRPr="00882F11">
        <w:rPr>
          <w:rFonts w:cs="Guttman Drogolin" w:hint="cs"/>
          <w:rtl/>
          <w:lang w:bidi="he-IL"/>
        </w:rPr>
        <w:t xml:space="preserve">שתנורי נקיון עצמי </w:t>
      </w:r>
      <w:r w:rsidR="00C810CF" w:rsidRPr="00882F11">
        <w:rPr>
          <w:rFonts w:cs="Guttman Drogolin" w:hint="cs"/>
          <w:rtl/>
          <w:lang w:bidi="he-IL"/>
        </w:rPr>
        <w:t>דאע"ג שאין ניצוצות ניתזין מתנורים שלנו מ"מ יש להם דין ליבון חמור</w:t>
      </w:r>
      <w:r w:rsidR="00DE687C" w:rsidRPr="00882F11">
        <w:rPr>
          <w:rFonts w:cs="Guttman Drogolin" w:hint="cs"/>
          <w:rtl/>
          <w:lang w:bidi="he-IL"/>
        </w:rPr>
        <w:t xml:space="preserve">, והטעם שאין ניצוצות ניתזין הוא משום שהסוג מתכת שממנו עושים הפנים של </w:t>
      </w:r>
      <w:r w:rsidR="00DE687C" w:rsidRPr="00882F11">
        <w:rPr>
          <w:rFonts w:cs="Guttman Drogolin" w:hint="cs"/>
          <w:rtl/>
          <w:lang w:bidi="he-IL"/>
        </w:rPr>
        <w:lastRenderedPageBreak/>
        <w:t>התנור עשוי באופן שאין יוצאין, ורק מברזל היו ניצוצות ניתזין</w:t>
      </w:r>
      <w:r w:rsidR="00C810CF" w:rsidRPr="00882F11">
        <w:rPr>
          <w:rFonts w:cs="Guttman Drogolin" w:hint="cs"/>
          <w:rtl/>
          <w:lang w:bidi="he-IL"/>
        </w:rPr>
        <w:t>.</w:t>
      </w:r>
      <w:r w:rsidR="00DE687C" w:rsidRPr="00882F11">
        <w:rPr>
          <w:rFonts w:cs="Guttman Drogolin" w:hint="cs"/>
          <w:rtl/>
          <w:lang w:bidi="he-IL"/>
        </w:rPr>
        <w:t xml:space="preserve"> וכיון שהוא עשוי לנקות את הפנים, הרי זה כהסרת קליפה ודינו כליבון חמור, דהא ליבון חמור מממש אינו מסיר כ"כ לכלוך כמו ניקיון עצמי. ולכאורה א"כ גם לזכוכית מהני הליבון, ואפילו הוי כמו חרס, דהא גם לחרס מהני ליבון אם לא חיישינ</w:t>
      </w:r>
      <w:r w:rsidR="00CB5830" w:rsidRPr="00882F11">
        <w:rPr>
          <w:rFonts w:cs="Guttman Drogolin" w:hint="cs"/>
          <w:rtl/>
          <w:lang w:bidi="he-IL"/>
        </w:rPr>
        <w:t>ן</w:t>
      </w:r>
      <w:r w:rsidR="00DE687C" w:rsidRPr="00882F11">
        <w:rPr>
          <w:rFonts w:cs="Guttman Drogolin" w:hint="cs"/>
          <w:rtl/>
          <w:lang w:bidi="he-IL"/>
        </w:rPr>
        <w:t xml:space="preserve"> דלמא חייס, וכיון שעשוי לכך לא חיישינן להכי.  </w:t>
      </w:r>
      <w:r w:rsidR="00C810CF" w:rsidRPr="00882F11">
        <w:rPr>
          <w:rFonts w:cs="Guttman Drogolin" w:hint="cs"/>
          <w:rtl/>
          <w:lang w:bidi="he-IL"/>
        </w:rPr>
        <w:t xml:space="preserve"> </w:t>
      </w:r>
    </w:p>
    <w:p w:rsidR="00840BB7" w:rsidRPr="00882F11" w:rsidRDefault="00840BB7" w:rsidP="00840BB7">
      <w:pPr>
        <w:tabs>
          <w:tab w:val="right" w:pos="7497"/>
        </w:tabs>
        <w:bidi/>
        <w:jc w:val="both"/>
        <w:rPr>
          <w:rFonts w:cs="Guttman Drogolin"/>
          <w:rtl/>
          <w:lang w:bidi="he-IL"/>
        </w:rPr>
        <w:sectPr w:rsidR="00840BB7" w:rsidRPr="00882F11" w:rsidSect="00280E73">
          <w:type w:val="continuous"/>
          <w:pgSz w:w="11907" w:h="16839" w:code="9"/>
          <w:pgMar w:top="1440" w:right="1440" w:bottom="1440" w:left="1440" w:header="720" w:footer="720" w:gutter="0"/>
          <w:cols w:num="2" w:space="720"/>
          <w:bidi/>
          <w:docGrid w:linePitch="360"/>
        </w:sectPr>
      </w:pPr>
    </w:p>
    <w:p w:rsidR="00840BB7" w:rsidRPr="00882F11" w:rsidRDefault="00840BB7" w:rsidP="00840BB7">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קל"ח</w:t>
      </w:r>
    </w:p>
    <w:p w:rsidR="00280E73" w:rsidRDefault="00280E73" w:rsidP="00840BB7">
      <w:pPr>
        <w:pStyle w:val="Heading1"/>
        <w:bidi/>
        <w:spacing w:before="0" w:line="360" w:lineRule="auto"/>
        <w:jc w:val="center"/>
        <w:rPr>
          <w:rFonts w:cs="Guttman Drogolin"/>
          <w:color w:val="auto"/>
          <w:sz w:val="24"/>
          <w:szCs w:val="24"/>
          <w:u w:val="single"/>
          <w:rtl/>
          <w:lang w:bidi="he-IL"/>
        </w:rPr>
        <w:sectPr w:rsidR="00280E73" w:rsidSect="00280E73">
          <w:pgSz w:w="11907" w:h="16839" w:code="9"/>
          <w:pgMar w:top="1440" w:right="1440" w:bottom="1440" w:left="1440" w:header="720" w:footer="720" w:gutter="0"/>
          <w:cols w:space="720"/>
          <w:bidi/>
          <w:docGrid w:linePitch="360"/>
        </w:sectPr>
      </w:pPr>
    </w:p>
    <w:p w:rsidR="00840BB7" w:rsidRPr="00882F11" w:rsidRDefault="00840BB7" w:rsidP="00840BB7">
      <w:pPr>
        <w:pStyle w:val="Heading1"/>
        <w:bidi/>
        <w:spacing w:before="0" w:line="360" w:lineRule="auto"/>
        <w:jc w:val="center"/>
        <w:rPr>
          <w:rFonts w:cs="Guttman Drogolin"/>
          <w:color w:val="auto"/>
          <w:sz w:val="24"/>
          <w:szCs w:val="24"/>
          <w:u w:val="single"/>
          <w:rtl/>
          <w:lang w:bidi="he-IL"/>
        </w:rPr>
      </w:pPr>
      <w:bookmarkStart w:id="529" w:name="_Toc496175768"/>
      <w:r w:rsidRPr="00882F11">
        <w:rPr>
          <w:rFonts w:cs="Guttman Drogolin" w:hint="cs"/>
          <w:color w:val="auto"/>
          <w:sz w:val="24"/>
          <w:szCs w:val="24"/>
          <w:u w:val="single"/>
          <w:rtl/>
          <w:lang w:bidi="he-IL"/>
        </w:rPr>
        <w:lastRenderedPageBreak/>
        <w:t>דיני שאר החומרים לענין הכשר כלים</w:t>
      </w:r>
      <w:bookmarkEnd w:id="529"/>
    </w:p>
    <w:p w:rsidR="002935B2" w:rsidRPr="00882F11" w:rsidRDefault="00BB4151" w:rsidP="00367749">
      <w:pPr>
        <w:tabs>
          <w:tab w:val="right" w:pos="7497"/>
        </w:tabs>
        <w:bidi/>
        <w:jc w:val="both"/>
        <w:rPr>
          <w:rFonts w:cs="Guttman Drogolin"/>
          <w:rtl/>
          <w:lang w:bidi="he-IL"/>
        </w:rPr>
      </w:pPr>
      <w:r>
        <w:rPr>
          <w:rFonts w:cs="Guttman Drogolin"/>
          <w:rtl/>
          <w:lang w:bidi="he-IL"/>
        </w:rPr>
        <w:fldChar w:fldCharType="begin"/>
      </w:r>
      <w:r>
        <w:instrText xml:space="preserve"> XE "</w:instrText>
      </w:r>
      <w:r w:rsidRPr="00E513E4">
        <w:rPr>
          <w:rFonts w:hint="cs"/>
          <w:rtl/>
          <w:lang w:bidi="he-IL"/>
        </w:rPr>
        <w:instrText>הכשר כלים</w:instrText>
      </w:r>
      <w:r w:rsidRPr="00E513E4">
        <w:rPr>
          <w:rtl/>
        </w:rPr>
        <w:instrText>:</w:instrText>
      </w:r>
      <w:r w:rsidRPr="00E513E4">
        <w:rPr>
          <w:rFonts w:hint="cs"/>
          <w:rtl/>
          <w:lang w:bidi="he-IL"/>
        </w:rPr>
        <w:instrText>שאר מיני כלים שאין החומר שלהם מוזכר בגמ'</w:instrText>
      </w:r>
      <w:r>
        <w:instrText xml:space="preserve">" </w:instrText>
      </w:r>
      <w:r>
        <w:rPr>
          <w:rFonts w:cs="Guttman Drogolin"/>
          <w:rtl/>
          <w:lang w:bidi="he-IL"/>
        </w:rPr>
        <w:fldChar w:fldCharType="end"/>
      </w:r>
      <w:r w:rsidR="00840BB7" w:rsidRPr="00882F11">
        <w:rPr>
          <w:rFonts w:cs="Guttman Drogolin" w:hint="cs"/>
          <w:rtl/>
          <w:lang w:bidi="he-IL"/>
        </w:rPr>
        <w:t>במתני' שבמס' ע"ז ע"ה ע"ב מבואר דמהני הכשר דהגעלה וליבון, אבל אינו מפורש שם לאיזה חומרים שייך הכשר זה. אמנם במ</w:t>
      </w:r>
      <w:r w:rsidR="00367749" w:rsidRPr="00882F11">
        <w:rPr>
          <w:rFonts w:cs="Guttman Drogolin" w:hint="cs"/>
          <w:rtl/>
          <w:lang w:bidi="he-IL"/>
        </w:rPr>
        <w:t>פ</w:t>
      </w:r>
      <w:r w:rsidR="00840BB7" w:rsidRPr="00882F11">
        <w:rPr>
          <w:rFonts w:cs="Guttman Drogolin" w:hint="cs"/>
          <w:rtl/>
          <w:lang w:bidi="he-IL"/>
        </w:rPr>
        <w:t xml:space="preserve">ורש בפרשה דכלי מדין ש'כל דבר אשר יבא באש תעבירו באש וטהר' ומבואר לכאורה דמהני ליבון עכ"פ לכלי מתכת האמורים בפרשה. </w:t>
      </w:r>
      <w:r w:rsidR="002A2799" w:rsidRPr="00882F11">
        <w:rPr>
          <w:rFonts w:cs="Guttman Drogolin" w:hint="cs"/>
          <w:rtl/>
          <w:lang w:bidi="he-IL"/>
        </w:rPr>
        <w:t>והכי מבואר גם בפסחים ל' ע"ב "התם בתנור של מתכת" ו"פרזלייהו בנורא". וכן מבואר במתני' שם דמהני הגעלה להכשיר כלי, ובפסחים שם מבואר דמהני לכלי מתכת ממה שכתוב "אידי ואידי ברותחין". וכן לכאורה מבואר מברייתא שבדף ע"ה ע"ב 'מגעילן ומטבילן' ו'מלבנן ומטבילן' וע"כ מיירי בכלי מתכת דהא אין חיוב של טבילת כלים אלא במתכת או זכוכית, וקשה לומר דמיירי בשל זכוכית</w:t>
      </w:r>
      <w:r w:rsidR="002935B2" w:rsidRPr="00882F11">
        <w:rPr>
          <w:rFonts w:cs="Guttman Drogolin" w:hint="cs"/>
          <w:rtl/>
          <w:lang w:bidi="he-IL"/>
        </w:rPr>
        <w:t xml:space="preserve"> (אמנם הרמב"ן פי' דטבילן ר"ל מדיחן, וא"כ לדידי' יש לדחות)</w:t>
      </w:r>
      <w:r w:rsidR="002A2799" w:rsidRPr="00882F11">
        <w:rPr>
          <w:rFonts w:cs="Guttman Drogolin" w:hint="cs"/>
          <w:rtl/>
          <w:lang w:bidi="he-IL"/>
        </w:rPr>
        <w:t>.</w:t>
      </w:r>
      <w:r w:rsidR="002935B2" w:rsidRPr="00882F11">
        <w:rPr>
          <w:rFonts w:cs="Guttman Drogolin" w:hint="cs"/>
          <w:rtl/>
          <w:lang w:bidi="he-IL"/>
        </w:rPr>
        <w:t xml:space="preserve"> וכן מבו</w:t>
      </w:r>
      <w:r w:rsidR="001875DB" w:rsidRPr="00882F11">
        <w:rPr>
          <w:rFonts w:cs="Guttman Drogolin" w:hint="cs"/>
          <w:rtl/>
          <w:lang w:bidi="he-IL"/>
        </w:rPr>
        <w:t>א</w:t>
      </w:r>
      <w:r w:rsidR="002935B2" w:rsidRPr="00882F11">
        <w:rPr>
          <w:rFonts w:cs="Guttman Drogolin" w:hint="cs"/>
          <w:rtl/>
          <w:lang w:bidi="he-IL"/>
        </w:rPr>
        <w:t>ר במס' פסחים דלא מהני הגעלה לכלי חרס, ומשום שהתורה העידה על כלי חרס שאינו יוצא מידי דופיו לעולם. ועוד מבואר שם במס' פסחים דמהני הגעלה לכלי עץ, והוא ממש"כ "עץ פרור מגעילו ברותחין ובכלי ראשון". ויל"ע בשארי הדברים מה דינם.</w:t>
      </w:r>
    </w:p>
    <w:p w:rsidR="001875DB" w:rsidRPr="00882F11" w:rsidRDefault="002935B2" w:rsidP="002935B2">
      <w:pPr>
        <w:tabs>
          <w:tab w:val="right" w:pos="7497"/>
        </w:tabs>
        <w:bidi/>
        <w:jc w:val="both"/>
        <w:rPr>
          <w:rFonts w:cs="Guttman Drogolin"/>
          <w:rtl/>
          <w:lang w:bidi="he-IL"/>
        </w:rPr>
      </w:pPr>
      <w:r w:rsidRPr="00882F11">
        <w:rPr>
          <w:rFonts w:cs="Guttman Drogolin" w:hint="cs"/>
          <w:rtl/>
          <w:lang w:bidi="he-IL"/>
        </w:rPr>
        <w:t xml:space="preserve">והנה לענין ליבון, הרי חזינן דמהני אפילו בכלי חרס עד כמה היכא דלא חייס, וכן משו"ה מותר להכשיר תנור של חרס ע"י ליבון, וכן מהני החזרת כבשונות. וא"כ לכאורה אין מקום לומר שיש לך דבר דלא מהני לה ליבון עד כמה דלא חייס. אמנם </w:t>
      </w:r>
      <w:r w:rsidR="001875DB" w:rsidRPr="00882F11">
        <w:rPr>
          <w:rFonts w:cs="Guttman Drogolin" w:hint="cs"/>
          <w:rtl/>
          <w:lang w:bidi="he-IL"/>
        </w:rPr>
        <w:t>לענין הגעלה</w:t>
      </w:r>
      <w:r w:rsidRPr="00882F11">
        <w:rPr>
          <w:rFonts w:cs="Guttman Drogolin" w:hint="cs"/>
          <w:rtl/>
          <w:lang w:bidi="he-IL"/>
        </w:rPr>
        <w:t xml:space="preserve"> יעוין בטור שהביא ג' שיטות בכלי אבן. שיטת </w:t>
      </w:r>
      <w:r w:rsidR="001875DB" w:rsidRPr="00882F11">
        <w:rPr>
          <w:rFonts w:cs="Guttman Drogolin" w:hint="cs"/>
          <w:rtl/>
          <w:lang w:bidi="he-IL"/>
        </w:rPr>
        <w:t xml:space="preserve">הרי"ף והרמב"ם שכלי אבן שוין לכלי מתכת וכלי עץ שהם בולעים ושייך להם הגעלה. ובשם </w:t>
      </w:r>
      <w:r w:rsidR="001875DB" w:rsidRPr="00882F11">
        <w:rPr>
          <w:rFonts w:cs="Guttman Drogolin"/>
          <w:rtl/>
          <w:lang w:bidi="he-IL"/>
        </w:rPr>
        <w:t>ה"ר יצחק מסימפונ"ו</w:t>
      </w:r>
      <w:r w:rsidR="001875DB" w:rsidRPr="00882F11">
        <w:rPr>
          <w:rFonts w:cs="Guttman Drogolin" w:hint="cs"/>
          <w:rtl/>
          <w:lang w:bidi="he-IL"/>
        </w:rPr>
        <w:t xml:space="preserve"> כתב דכלי גללים וכלי אבנים סגי להו בשטיפה, ור"ל שאינם בולעים כלל. ומאידך, הביא שיטת ר' האי שכלי אבן ככלי חרס ולא מהני להו הגעלה. ולא מתבאר בדבריהם </w:t>
      </w:r>
      <w:r w:rsidR="001875DB" w:rsidRPr="00882F11">
        <w:rPr>
          <w:rFonts w:cs="Guttman Drogolin" w:hint="cs"/>
          <w:rtl/>
          <w:lang w:bidi="he-IL"/>
        </w:rPr>
        <w:lastRenderedPageBreak/>
        <w:t>בהדיא מהו טעמם או מקום לזה</w:t>
      </w:r>
      <w:r w:rsidR="0099446A" w:rsidRPr="00882F11">
        <w:rPr>
          <w:rFonts w:cs="Guttman Drogolin" w:hint="cs"/>
          <w:rtl/>
          <w:lang w:bidi="he-IL"/>
        </w:rPr>
        <w:t xml:space="preserve"> (וע' בר"ן וריטב"א במס' פסחים שג"כ הביאו את דבריו)</w:t>
      </w:r>
      <w:r w:rsidR="0099446A" w:rsidRPr="00882F11">
        <w:rPr>
          <w:rStyle w:val="FootnoteReference"/>
          <w:rFonts w:cs="Guttman Drogolin"/>
          <w:rtl/>
          <w:lang w:bidi="he-IL"/>
        </w:rPr>
        <w:footnoteReference w:id="544"/>
      </w:r>
      <w:r w:rsidR="001875DB" w:rsidRPr="00882F11">
        <w:rPr>
          <w:rFonts w:cs="Guttman Drogolin" w:hint="cs"/>
          <w:rtl/>
          <w:lang w:bidi="he-IL"/>
        </w:rPr>
        <w:t>.</w:t>
      </w:r>
    </w:p>
    <w:p w:rsidR="0099446A" w:rsidRPr="00882F11" w:rsidRDefault="001875DB" w:rsidP="00A4263E">
      <w:pPr>
        <w:tabs>
          <w:tab w:val="right" w:pos="7497"/>
        </w:tabs>
        <w:bidi/>
        <w:jc w:val="both"/>
        <w:rPr>
          <w:rFonts w:cs="Guttman Drogolin"/>
          <w:rtl/>
          <w:lang w:bidi="he-IL"/>
        </w:rPr>
      </w:pPr>
      <w:r w:rsidRPr="00882F11">
        <w:rPr>
          <w:rFonts w:cs="Guttman Drogolin" w:hint="cs"/>
          <w:rtl/>
          <w:lang w:bidi="he-IL"/>
        </w:rPr>
        <w:t>והנה לפום ריהטא נראה שיטת הרי"ף וסייעתו דסברי שמשמעות הגמ' דחרס לבד יוצא מן הכלל, אבל שארי הדברים סתמא דמילתא דמהני להו הגעלה, דאין זה דין בכלי עץ או מתכת בלבד, אלא הוא כלל הכלים עד שיודע לך אחרת. ולכן מסתבר דכלי אבן מהני להו הגעלה ככלי מתכת. ואע"ג שהב"י הביא שיטות הסוברות שגם כלי זכוכית יוצא מן הכלל, שי"א שאינו בולע כלל, וי"א שדינו ככלי חרס, נראה</w:t>
      </w:r>
      <w:r w:rsidR="00224C3D" w:rsidRPr="00882F11">
        <w:rPr>
          <w:rFonts w:cs="Guttman Drogolin" w:hint="cs"/>
          <w:rtl/>
          <w:lang w:bidi="he-IL"/>
        </w:rPr>
        <w:t xml:space="preserve"> שאין זה סתירה לכלל זה. שלכאורה אין הכלל הזה אומר אלא ש</w:t>
      </w:r>
      <w:r w:rsidR="00A4263E" w:rsidRPr="00882F11">
        <w:rPr>
          <w:rFonts w:cs="Guttman Drogolin" w:hint="cs"/>
          <w:rtl/>
          <w:lang w:bidi="he-IL"/>
        </w:rPr>
        <w:t>כל ה</w:t>
      </w:r>
      <w:r w:rsidR="00224C3D" w:rsidRPr="00882F11">
        <w:rPr>
          <w:rFonts w:cs="Guttman Drogolin" w:hint="cs"/>
          <w:rtl/>
          <w:lang w:bidi="he-IL"/>
        </w:rPr>
        <w:t>דברים הבולעים מהני להו הגעלה</w:t>
      </w:r>
      <w:r w:rsidR="00A4263E" w:rsidRPr="00882F11">
        <w:rPr>
          <w:rFonts w:cs="Guttman Drogolin" w:hint="cs"/>
          <w:rtl/>
          <w:lang w:bidi="he-IL"/>
        </w:rPr>
        <w:t>, אבל יתכן שיש דברים שאינם בולעים כיון דשיעי ולא בלעי. ואפילו למ"ד דלא מהני הגעלה לכלי זכוכית, היינו משום דסבר דזכוכית הוא מין ממיני החרס, אבל דבר שלא נחשב חרס ודאי מהני לי' הגעלה. ובעצם זהו לכאורה שיטת ר' האי דסבר שלא מהני הגעלה לכלי אבן, דסבר שאבן בכלל חרס הוא. ונראה שיסוד המחלוקת אם אבן כחרס או לא הוא בזה, דמ"ד דאבן כחרס היינו משום שעשויים מאותו חומר, רק שחרס מעובד ולחרס ואבן אינו מעובד, והוא תכונה ממין אבן שבולע ואינו מפליט כולו. ומ"ד שרק חרס לא מהני לי' הגעלה ולא אבן, היינו משום דזה דלא מהני לי' הגעלה הוא דוקא תכונה לאבן שעבר עיבוד ונעשה חרס, אבל אבן גמור לא. אמנם יל"ע מהו הביאור בשיטת</w:t>
      </w:r>
      <w:r w:rsidRPr="00882F11">
        <w:rPr>
          <w:rFonts w:cs="Guttman Drogolin" w:hint="cs"/>
          <w:rtl/>
          <w:lang w:bidi="he-IL"/>
        </w:rPr>
        <w:t xml:space="preserve"> </w:t>
      </w:r>
      <w:r w:rsidR="00A4263E" w:rsidRPr="00882F11">
        <w:rPr>
          <w:rFonts w:cs="Guttman Drogolin"/>
          <w:rtl/>
          <w:lang w:bidi="he-IL"/>
        </w:rPr>
        <w:t>ר יצחק מסימפונ"ו</w:t>
      </w:r>
      <w:r w:rsidR="00A4263E" w:rsidRPr="00882F11">
        <w:rPr>
          <w:rFonts w:cs="Guttman Drogolin" w:hint="cs"/>
          <w:rtl/>
          <w:lang w:bidi="he-IL"/>
        </w:rPr>
        <w:t>, דאי משום דאבן ג"כ שיעי ולא בלעי, בכלי גללים קשה להבין למה הוא כן. וצ"ע.</w:t>
      </w:r>
    </w:p>
    <w:p w:rsidR="0099446A" w:rsidRPr="00882F11" w:rsidRDefault="0099446A" w:rsidP="0099446A">
      <w:pPr>
        <w:tabs>
          <w:tab w:val="right" w:pos="7497"/>
        </w:tabs>
        <w:bidi/>
        <w:jc w:val="both"/>
        <w:rPr>
          <w:rFonts w:cs="Guttman Drogolin"/>
          <w:rtl/>
          <w:lang w:bidi="he-IL"/>
        </w:rPr>
      </w:pPr>
      <w:r w:rsidRPr="00882F11">
        <w:rPr>
          <w:rFonts w:cs="Guttman Drogolin" w:hint="cs"/>
          <w:rtl/>
          <w:lang w:bidi="he-IL"/>
        </w:rPr>
        <w:t>ויעוין בביאור הגר"א (ס"ק ל"ג) ועוד מפרשים שהביאו שהראי' לשיטת ר' יצחק מהתוספתא פ"י הי"ב ממס' זבחים "</w:t>
      </w:r>
      <w:r w:rsidRPr="00882F11">
        <w:rPr>
          <w:rFonts w:cs="Guttman Drogolin"/>
          <w:rtl/>
          <w:lang w:bidi="he-IL"/>
        </w:rPr>
        <w:t>כלי גללים וכלי אבנים וכלי אדמה אין טעונין מריקה ושטיפה אלא הדחה כלי חרס אין טעונין אלא שבירה היכן שוברו בפנים יצא לחוץ נכנס ושוברו בפנים</w:t>
      </w:r>
      <w:r w:rsidRPr="00882F11">
        <w:rPr>
          <w:rFonts w:cs="Guttman Drogolin" w:hint="cs"/>
          <w:rtl/>
          <w:lang w:bidi="he-IL"/>
        </w:rPr>
        <w:t xml:space="preserve">". ואף שיש דוחים שזה שצריכים הדחה היינו הגעלה, כתב הגר"א </w:t>
      </w:r>
      <w:r w:rsidRPr="00882F11">
        <w:rPr>
          <w:rFonts w:cs="Guttman Drogolin" w:hint="cs"/>
          <w:rtl/>
          <w:lang w:bidi="he-IL"/>
        </w:rPr>
        <w:lastRenderedPageBreak/>
        <w:t>שהוא דחוק. ועוד הוכיח שם הגר"א שאין דין חרס ואבן שוין, שבכלל דבריו הביא משו"ת ראב"ן סי' ח' שלמידין איסור מטומאה לענין זה. ולכאורה זה צ"ע רבתי, דמה ענין טומאה אצל הכשר כלים,</w:t>
      </w:r>
      <w:r w:rsidR="00CF101E" w:rsidRPr="00882F11">
        <w:rPr>
          <w:rFonts w:cs="Guttman Drogolin" w:hint="cs"/>
          <w:rtl/>
          <w:lang w:bidi="he-IL"/>
        </w:rPr>
        <w:t xml:space="preserve"> </w:t>
      </w:r>
      <w:r w:rsidRPr="00882F11">
        <w:rPr>
          <w:rFonts w:cs="Guttman Drogolin" w:hint="cs"/>
          <w:rtl/>
          <w:lang w:bidi="he-IL"/>
        </w:rPr>
        <w:t>הא ענינים שונים הם.</w:t>
      </w:r>
      <w:r w:rsidR="00073A2E" w:rsidRPr="00882F11">
        <w:rPr>
          <w:rFonts w:cs="Guttman Drogolin" w:hint="cs"/>
          <w:rtl/>
          <w:lang w:bidi="he-IL"/>
        </w:rPr>
        <w:t xml:space="preserve"> וע"ש שהביא שכן מבואר בע"ז ע"ה ע"א. וכל</w:t>
      </w:r>
      <w:r w:rsidR="00CF101E" w:rsidRPr="00882F11">
        <w:rPr>
          <w:rFonts w:cs="Guttman Drogolin" w:hint="cs"/>
          <w:rtl/>
          <w:lang w:bidi="he-IL"/>
        </w:rPr>
        <w:t xml:space="preserve"> </w:t>
      </w:r>
      <w:r w:rsidR="00073A2E" w:rsidRPr="00882F11">
        <w:rPr>
          <w:rFonts w:cs="Guttman Drogolin" w:hint="cs"/>
          <w:rtl/>
          <w:lang w:bidi="he-IL"/>
        </w:rPr>
        <w:t>הענין עדיין צ"ע.</w:t>
      </w:r>
      <w:r w:rsidRPr="00882F11">
        <w:rPr>
          <w:rFonts w:cs="Guttman Drogolin" w:hint="cs"/>
          <w:rtl/>
          <w:lang w:bidi="he-IL"/>
        </w:rPr>
        <w:t xml:space="preserve"> </w:t>
      </w:r>
    </w:p>
    <w:p w:rsidR="00DC2844" w:rsidRPr="00882F11" w:rsidRDefault="0099446A" w:rsidP="008D79C4">
      <w:pPr>
        <w:tabs>
          <w:tab w:val="right" w:pos="7497"/>
        </w:tabs>
        <w:bidi/>
        <w:jc w:val="both"/>
        <w:rPr>
          <w:rFonts w:cs="Guttman Drogolin"/>
          <w:rtl/>
          <w:lang w:bidi="he-IL"/>
        </w:rPr>
      </w:pPr>
      <w:r w:rsidRPr="00882F11">
        <w:rPr>
          <w:rFonts w:cs="Guttman Drogolin" w:hint="cs"/>
          <w:rtl/>
          <w:lang w:bidi="he-IL"/>
        </w:rPr>
        <w:t>ולענין דינא השו"ע סתם כדעת הרי"ף, וכן המ"ב לא הביא דעה החולקת. אמנם ראוי להדגיש שמשמעות דברי הגר"א דסבר כר' יצחק. ויוצא לשיטת הגר"א דאבן עדיף מזכוכית, שהרי משמעות הגר"א בזכוכית שהעיקר כדעת האוסרים, ואילו כאן נראה שדעתו שלא בולע.</w:t>
      </w:r>
    </w:p>
    <w:p w:rsidR="00662BEB" w:rsidRPr="00882F11" w:rsidRDefault="00DC2844" w:rsidP="00FB1D23">
      <w:pPr>
        <w:tabs>
          <w:tab w:val="right" w:pos="7497"/>
        </w:tabs>
        <w:bidi/>
        <w:jc w:val="both"/>
        <w:rPr>
          <w:rFonts w:cs="Guttman Drogolin"/>
          <w:rtl/>
          <w:lang w:bidi="he-IL"/>
        </w:rPr>
      </w:pPr>
      <w:r w:rsidRPr="00882F11">
        <w:rPr>
          <w:rFonts w:cs="Guttman Drogolin" w:hint="cs"/>
          <w:rtl/>
          <w:lang w:bidi="he-IL"/>
        </w:rPr>
        <w:t>ומכל הלין יש לדון בחומרים שלא דנו בהם הפוסקים כמו פלסטיק</w:t>
      </w:r>
      <w:r w:rsidR="00FB1D23" w:rsidRPr="00882F11">
        <w:rPr>
          <w:rFonts w:cs="Guttman Drogolin" w:hint="cs"/>
          <w:rtl/>
          <w:lang w:bidi="he-IL"/>
        </w:rPr>
        <w:t xml:space="preserve"> וגומי</w:t>
      </w:r>
      <w:r w:rsidR="00FB1D23" w:rsidRPr="00882F11">
        <w:rPr>
          <w:rStyle w:val="FootnoteReference"/>
          <w:rFonts w:cs="Guttman Drogolin"/>
          <w:rtl/>
          <w:lang w:bidi="he-IL"/>
        </w:rPr>
        <w:footnoteReference w:id="545"/>
      </w:r>
      <w:r w:rsidRPr="00882F11">
        <w:rPr>
          <w:rFonts w:cs="Guttman Drogolin" w:hint="cs"/>
          <w:rtl/>
          <w:lang w:bidi="he-IL"/>
        </w:rPr>
        <w:t>. ולפום ריהטא לפי מאי דקיי"ל כרי"ף וסייעתו שכלי אבן וכן שאר החומרים חוץ מחרס (ואולי גם זכוכית שדינו כחרס) מהני להו הגעלה, לכאורה הה"נ פלסטיק, ומטעם הנ"ל, דהא יסוד הדבר הוא שכל החומרים מהני להו הגעלה עד שיוודע לך אחרת. וכן נקט לדינא ב</w:t>
      </w:r>
      <w:r w:rsidR="009243FA" w:rsidRPr="00882F11">
        <w:rPr>
          <w:rFonts w:cs="Guttman Drogolin" w:hint="cs"/>
          <w:rtl/>
          <w:lang w:bidi="he-IL"/>
        </w:rPr>
        <w:t xml:space="preserve">שו"ת חלקת יעקב (יו"ד סי' מ"ה [ח"ב סי' קס"ג במהדו' הישנה] שו"ת </w:t>
      </w:r>
      <w:r w:rsidR="009243FA" w:rsidRPr="00882F11">
        <w:rPr>
          <w:rFonts w:cs="Guttman Drogolin"/>
          <w:rtl/>
          <w:lang w:bidi="he-IL"/>
        </w:rPr>
        <w:t>מנח</w:t>
      </w:r>
      <w:r w:rsidR="009243FA" w:rsidRPr="00882F11">
        <w:rPr>
          <w:rFonts w:cs="Guttman Drogolin" w:hint="cs"/>
          <w:rtl/>
          <w:lang w:bidi="he-IL"/>
        </w:rPr>
        <w:t>"</w:t>
      </w:r>
      <w:r w:rsidR="009243FA" w:rsidRPr="00882F11">
        <w:rPr>
          <w:rFonts w:cs="Guttman Drogolin"/>
          <w:rtl/>
          <w:lang w:bidi="he-IL"/>
        </w:rPr>
        <w:t>י (ח"ג סי' ס"ז</w:t>
      </w:r>
      <w:r w:rsidR="009243FA" w:rsidRPr="00882F11">
        <w:rPr>
          <w:rFonts w:cs="Guttman Drogolin" w:hint="cs"/>
          <w:rtl/>
          <w:lang w:bidi="he-IL"/>
        </w:rPr>
        <w:t xml:space="preserve">) ושו"ת </w:t>
      </w:r>
      <w:r w:rsidR="009243FA" w:rsidRPr="00882F11">
        <w:rPr>
          <w:rFonts w:cs="Guttman Drogolin"/>
          <w:rtl/>
          <w:lang w:bidi="he-IL"/>
        </w:rPr>
        <w:t>חשב האפוד (ח"א סי' קי"ז)</w:t>
      </w:r>
      <w:r w:rsidR="009243FA" w:rsidRPr="00882F11">
        <w:rPr>
          <w:rFonts w:cs="Guttman Drogolin" w:hint="cs"/>
          <w:rtl/>
          <w:lang w:bidi="he-IL"/>
        </w:rPr>
        <w:t>. אמנם בשו"ת אג"מ (או"ח ב' סי' צ"ב) נקט ש</w:t>
      </w:r>
      <w:r w:rsidR="009243FA" w:rsidRPr="00882F11">
        <w:rPr>
          <w:rFonts w:cs="Guttman Drogolin"/>
          <w:rtl/>
          <w:lang w:bidi="he-IL"/>
        </w:rPr>
        <w:t>דבר חדש שלא נמצא בדברי הקדמונים</w:t>
      </w:r>
      <w:r w:rsidR="009243FA" w:rsidRPr="00882F11">
        <w:rPr>
          <w:rFonts w:cs="Guttman Drogolin" w:hint="cs"/>
          <w:rtl/>
          <w:lang w:bidi="he-IL"/>
        </w:rPr>
        <w:t xml:space="preserve"> אין להתיר להכשירו (אמנם יעוין בס' הלכות פסח (אנגלית) ל</w:t>
      </w:r>
      <w:r w:rsidR="009243FA" w:rsidRPr="00882F11">
        <w:rPr>
          <w:rFonts w:cs="Guttman Drogolin"/>
          <w:rtl/>
          <w:lang w:bidi="he-IL"/>
        </w:rPr>
        <w:t xml:space="preserve">הגר"ש איידר זצ"ל פי"ג </w:t>
      </w:r>
      <w:r w:rsidR="009243FA" w:rsidRPr="00882F11">
        <w:rPr>
          <w:rFonts w:cs="Guttman Drogolin" w:hint="cs"/>
          <w:rtl/>
          <w:lang w:bidi="he-IL"/>
        </w:rPr>
        <w:t>הערה ס"ק</w:t>
      </w:r>
      <w:r w:rsidR="009243FA" w:rsidRPr="00882F11">
        <w:rPr>
          <w:rFonts w:cs="Guttman Drogolin"/>
          <w:rtl/>
          <w:lang w:bidi="he-IL"/>
        </w:rPr>
        <w:t xml:space="preserve"> י'</w:t>
      </w:r>
      <w:r w:rsidR="009243FA" w:rsidRPr="00882F11">
        <w:rPr>
          <w:rFonts w:cs="Guttman Drogolin" w:hint="cs"/>
          <w:rtl/>
          <w:lang w:bidi="he-IL"/>
        </w:rPr>
        <w:t xml:space="preserve"> שהתיר הגרמ"פ להכשיר פלסטיק לשאר איסורים רק לא לפסח. וצ"ע).</w:t>
      </w:r>
      <w:r w:rsidR="00FB1D23" w:rsidRPr="00882F11">
        <w:rPr>
          <w:rFonts w:cs="Guttman Drogolin" w:hint="cs"/>
          <w:rtl/>
          <w:lang w:bidi="he-IL"/>
        </w:rPr>
        <w:t xml:space="preserve"> וכן בס' הגעלת כלים (פי"ג הלכה מ"ד וש"א) נקט שאפשר להכשיר גומי ופלסטיק.</w:t>
      </w:r>
      <w:r w:rsidR="009243FA" w:rsidRPr="00882F11">
        <w:rPr>
          <w:rFonts w:cs="Guttman Drogolin" w:hint="cs"/>
          <w:rtl/>
          <w:lang w:bidi="he-IL"/>
        </w:rPr>
        <w:t xml:space="preserve">  </w:t>
      </w:r>
      <w:r w:rsidR="009243FA" w:rsidRPr="00882F11">
        <w:rPr>
          <w:rFonts w:cs="Guttman Drogolin"/>
          <w:rtl/>
          <w:lang w:bidi="he-IL"/>
        </w:rPr>
        <w:t xml:space="preserve">  </w:t>
      </w:r>
      <w:r w:rsidRPr="00882F11">
        <w:rPr>
          <w:rFonts w:cs="Guttman Drogolin" w:hint="cs"/>
          <w:rtl/>
          <w:lang w:bidi="he-IL"/>
        </w:rPr>
        <w:t xml:space="preserve"> </w:t>
      </w:r>
      <w:r w:rsidR="0099446A" w:rsidRPr="00882F11">
        <w:rPr>
          <w:rFonts w:cs="Guttman Drogolin" w:hint="cs"/>
          <w:rtl/>
          <w:lang w:bidi="he-IL"/>
        </w:rPr>
        <w:t xml:space="preserve"> </w:t>
      </w:r>
      <w:r w:rsidR="0099446A" w:rsidRPr="00882F11">
        <w:rPr>
          <w:rFonts w:cs="Guttman Drogolin"/>
          <w:rtl/>
          <w:lang w:bidi="he-IL"/>
        </w:rPr>
        <w:t xml:space="preserve"> </w:t>
      </w:r>
      <w:r w:rsidR="0099446A" w:rsidRPr="00882F11">
        <w:rPr>
          <w:rFonts w:cs="Guttman Drogolin" w:hint="cs"/>
          <w:rtl/>
          <w:lang w:bidi="he-IL"/>
        </w:rPr>
        <w:t xml:space="preserve"> </w:t>
      </w:r>
      <w:r w:rsidR="001875DB" w:rsidRPr="00882F11">
        <w:rPr>
          <w:rFonts w:cs="Guttman Drogolin" w:hint="cs"/>
          <w:rtl/>
          <w:lang w:bidi="he-IL"/>
        </w:rPr>
        <w:t xml:space="preserve"> </w:t>
      </w:r>
    </w:p>
    <w:p w:rsidR="00073A2E" w:rsidRPr="00882F11" w:rsidRDefault="00073A2E" w:rsidP="00073A2E">
      <w:pPr>
        <w:pStyle w:val="Heading1"/>
        <w:bidi/>
        <w:spacing w:before="0" w:line="360" w:lineRule="auto"/>
        <w:jc w:val="center"/>
        <w:rPr>
          <w:rFonts w:cs="Guttman Drogolin"/>
          <w:color w:val="auto"/>
          <w:sz w:val="24"/>
          <w:szCs w:val="24"/>
          <w:u w:val="single"/>
          <w:rtl/>
          <w:lang w:bidi="he-IL"/>
        </w:rPr>
      </w:pPr>
      <w:bookmarkStart w:id="530" w:name="_Toc496175769"/>
      <w:r w:rsidRPr="00882F11">
        <w:rPr>
          <w:rFonts w:cs="Guttman Drogolin" w:hint="cs"/>
          <w:color w:val="auto"/>
          <w:sz w:val="24"/>
          <w:szCs w:val="24"/>
          <w:u w:val="single"/>
          <w:rtl/>
          <w:lang w:bidi="he-IL"/>
        </w:rPr>
        <w:t>הכשר המחבת</w:t>
      </w:r>
      <w:bookmarkEnd w:id="530"/>
    </w:p>
    <w:p w:rsidR="004C002B" w:rsidRPr="00882F11" w:rsidRDefault="00BB4151" w:rsidP="005025A6">
      <w:pPr>
        <w:tabs>
          <w:tab w:val="right" w:pos="7497"/>
        </w:tabs>
        <w:bidi/>
        <w:jc w:val="both"/>
        <w:rPr>
          <w:rFonts w:cs="Guttman Drogolin"/>
          <w:rtl/>
          <w:lang w:bidi="he-IL"/>
        </w:rPr>
      </w:pPr>
      <w:r>
        <w:rPr>
          <w:rFonts w:cs="Guttman Drogolin"/>
          <w:rtl/>
          <w:lang w:bidi="he-IL"/>
        </w:rPr>
        <w:fldChar w:fldCharType="begin"/>
      </w:r>
      <w:r>
        <w:instrText xml:space="preserve"> XE "</w:instrText>
      </w:r>
      <w:r w:rsidRPr="00956706">
        <w:rPr>
          <w:rFonts w:hint="cs"/>
          <w:rtl/>
          <w:lang w:bidi="he-IL"/>
        </w:rPr>
        <w:instrText>הכשר כלים</w:instrText>
      </w:r>
      <w:r w:rsidRPr="00956706">
        <w:rPr>
          <w:rtl/>
        </w:rPr>
        <w:instrText>:</w:instrText>
      </w:r>
      <w:r w:rsidRPr="00956706">
        <w:rPr>
          <w:rFonts w:hint="cs"/>
          <w:rtl/>
          <w:lang w:bidi="he-IL"/>
        </w:rPr>
        <w:instrText>הכשר המחבת</w:instrText>
      </w:r>
      <w:r>
        <w:instrText xml:space="preserve">" </w:instrText>
      </w:r>
      <w:r>
        <w:rPr>
          <w:rFonts w:cs="Guttman Drogolin"/>
          <w:rtl/>
          <w:lang w:bidi="he-IL"/>
        </w:rPr>
        <w:fldChar w:fldCharType="end"/>
      </w:r>
      <w:r w:rsidR="00073A2E" w:rsidRPr="00882F11">
        <w:rPr>
          <w:rFonts w:cs="Guttman Drogolin" w:hint="cs"/>
          <w:rtl/>
          <w:lang w:bidi="he-IL"/>
        </w:rPr>
        <w:t>נחלקו הראשונים בדין מחבת האם נחשב כתשמישתו ע"י האור או ברותחין</w:t>
      </w:r>
      <w:r w:rsidR="00F70637" w:rsidRPr="00882F11">
        <w:rPr>
          <w:rStyle w:val="FootnoteReference"/>
          <w:rFonts w:cs="Guttman Drogolin"/>
          <w:rtl/>
          <w:lang w:bidi="he-IL"/>
        </w:rPr>
        <w:footnoteReference w:id="546"/>
      </w:r>
      <w:r w:rsidR="00073A2E" w:rsidRPr="00882F11">
        <w:rPr>
          <w:rFonts w:cs="Guttman Drogolin" w:hint="cs"/>
          <w:rtl/>
          <w:lang w:bidi="he-IL"/>
        </w:rPr>
        <w:t>. שיטת הרשב"א בתוה"א (ב"ד ש"ד) שדינו כ</w:t>
      </w:r>
      <w:r w:rsidR="005025A6">
        <w:rPr>
          <w:rFonts w:cs="Guttman Drogolin" w:hint="cs"/>
          <w:rtl/>
          <w:lang w:bidi="he-IL"/>
        </w:rPr>
        <w:t>ת</w:t>
      </w:r>
      <w:r w:rsidR="00073A2E" w:rsidRPr="00882F11">
        <w:rPr>
          <w:rFonts w:cs="Guttman Drogolin" w:hint="cs"/>
          <w:rtl/>
          <w:lang w:bidi="he-IL"/>
        </w:rPr>
        <w:t>שמ</w:t>
      </w:r>
      <w:r w:rsidR="005025A6">
        <w:rPr>
          <w:rFonts w:cs="Guttman Drogolin" w:hint="cs"/>
          <w:rtl/>
          <w:lang w:bidi="he-IL"/>
        </w:rPr>
        <w:t>י</w:t>
      </w:r>
      <w:r w:rsidR="00073A2E" w:rsidRPr="00882F11">
        <w:rPr>
          <w:rFonts w:cs="Guttman Drogolin" w:hint="cs"/>
          <w:rtl/>
          <w:lang w:bidi="he-IL"/>
        </w:rPr>
        <w:t>ש</w:t>
      </w:r>
      <w:r w:rsidR="005025A6">
        <w:rPr>
          <w:rFonts w:cs="Guttman Drogolin" w:hint="cs"/>
          <w:rtl/>
          <w:lang w:bidi="he-IL"/>
        </w:rPr>
        <w:t>תו</w:t>
      </w:r>
      <w:r w:rsidR="00073A2E" w:rsidRPr="00882F11">
        <w:rPr>
          <w:rFonts w:cs="Guttman Drogolin" w:hint="cs"/>
          <w:rtl/>
          <w:lang w:bidi="he-IL"/>
        </w:rPr>
        <w:t xml:space="preserve"> ע"י האור. וז"ל שם "</w:t>
      </w:r>
      <w:r w:rsidR="000D3C22" w:rsidRPr="00882F11">
        <w:rPr>
          <w:rFonts w:cs="Guttman Drogolin"/>
          <w:rtl/>
          <w:lang w:bidi="he-IL"/>
        </w:rPr>
        <w:t xml:space="preserve">ולפיכך מסתברא לי שאותה </w:t>
      </w:r>
      <w:r w:rsidR="000D3C22" w:rsidRPr="00882F11">
        <w:rPr>
          <w:rFonts w:cs="Guttman Drogolin"/>
          <w:rtl/>
          <w:lang w:bidi="he-IL"/>
        </w:rPr>
        <w:lastRenderedPageBreak/>
        <w:t>מחבת של מתכת שמטגנין בה בשר ודגים בשמן על גבי האש אין לה הכשר אלא בליבון כאסכלא ולא בהגעלה כיורה אלא שפעמים</w:t>
      </w:r>
      <w:r w:rsidR="00F578E5" w:rsidRPr="00882F11">
        <w:rPr>
          <w:rStyle w:val="FootnoteReference"/>
          <w:rFonts w:cs="Guttman Drogolin"/>
          <w:rtl/>
          <w:lang w:bidi="he-IL"/>
        </w:rPr>
        <w:footnoteReference w:id="547"/>
      </w:r>
      <w:r w:rsidR="000D3C22" w:rsidRPr="00882F11">
        <w:rPr>
          <w:rFonts w:cs="Guttman Drogolin"/>
          <w:rtl/>
          <w:lang w:bidi="he-IL"/>
        </w:rPr>
        <w:t xml:space="preserve"> מטגנין בה בשמן מועט ורוב הפעמים שמן שבה כלה וחוזרין ומוסיפין ופעמים שהשמן אינו מהלך על פני כולה והיא בולעת האיסור ממקום שאין השמן צף עליו והויא לה כתשמישה על ידי האש ולפיכך צריכה ליבון כאסכלא</w:t>
      </w:r>
      <w:r w:rsidR="004A70EC" w:rsidRPr="00882F11">
        <w:rPr>
          <w:rFonts w:cs="Guttman Drogolin" w:hint="cs"/>
          <w:rtl/>
          <w:lang w:bidi="he-IL"/>
        </w:rPr>
        <w:t xml:space="preserve">". ומש"כ </w:t>
      </w:r>
      <w:r w:rsidR="000D3C22" w:rsidRPr="00882F11">
        <w:rPr>
          <w:rFonts w:cs="Guttman Drogolin" w:hint="cs"/>
          <w:rtl/>
          <w:lang w:bidi="he-IL"/>
        </w:rPr>
        <w:t>'</w:t>
      </w:r>
      <w:r w:rsidR="000D3C22" w:rsidRPr="00882F11">
        <w:rPr>
          <w:rFonts w:cs="Guttman Drogolin"/>
          <w:rtl/>
          <w:lang w:bidi="he-IL"/>
        </w:rPr>
        <w:t>שפעמים מטגנין בה בשמן מועט</w:t>
      </w:r>
      <w:r w:rsidR="000D3C22" w:rsidRPr="00882F11">
        <w:rPr>
          <w:rFonts w:cs="Guttman Drogolin" w:hint="cs"/>
          <w:rtl/>
          <w:lang w:bidi="he-IL"/>
        </w:rPr>
        <w:t>'</w:t>
      </w:r>
      <w:r w:rsidR="000D3C22" w:rsidRPr="00882F11">
        <w:rPr>
          <w:rFonts w:cs="Guttman Drogolin"/>
          <w:rtl/>
          <w:lang w:bidi="he-IL"/>
        </w:rPr>
        <w:t xml:space="preserve"> </w:t>
      </w:r>
      <w:r w:rsidR="004A70EC" w:rsidRPr="00882F11">
        <w:rPr>
          <w:rFonts w:cs="Guttman Drogolin" w:hint="cs"/>
          <w:rtl/>
          <w:lang w:bidi="he-IL"/>
        </w:rPr>
        <w:t>יש להסתפק בכוונתו, די"ל ש</w:t>
      </w:r>
      <w:r w:rsidR="000D3C22" w:rsidRPr="00882F11">
        <w:rPr>
          <w:rFonts w:cs="Guttman Drogolin" w:hint="cs"/>
          <w:rtl/>
          <w:lang w:bidi="he-IL"/>
        </w:rPr>
        <w:t xml:space="preserve">אין </w:t>
      </w:r>
      <w:r w:rsidR="004A70EC" w:rsidRPr="00882F11">
        <w:rPr>
          <w:rFonts w:cs="Guttman Drogolin" w:hint="cs"/>
          <w:rtl/>
          <w:lang w:bidi="he-IL"/>
        </w:rPr>
        <w:t xml:space="preserve">כוונתו </w:t>
      </w:r>
      <w:r w:rsidR="000D3C22" w:rsidRPr="00882F11">
        <w:rPr>
          <w:rFonts w:cs="Guttman Drogolin" w:hint="cs"/>
          <w:rtl/>
          <w:lang w:bidi="he-IL"/>
        </w:rPr>
        <w:t xml:space="preserve">אלא לנתינת טעם להמשך דבריו ד'רוב פעמים השמן כלה' </w:t>
      </w:r>
      <w:r w:rsidR="004A70EC" w:rsidRPr="00882F11">
        <w:rPr>
          <w:rFonts w:cs="Guttman Drogolin" w:hint="cs"/>
          <w:rtl/>
          <w:lang w:bidi="he-IL"/>
        </w:rPr>
        <w:t>שכיון שאין כ"</w:t>
      </w:r>
      <w:r w:rsidR="000D3C22" w:rsidRPr="00882F11">
        <w:rPr>
          <w:rFonts w:cs="Guttman Drogolin" w:hint="cs"/>
          <w:rtl/>
          <w:lang w:bidi="he-IL"/>
        </w:rPr>
        <w:t>כ משקה יש חשש שיתיבש.</w:t>
      </w:r>
      <w:r w:rsidR="004A70EC" w:rsidRPr="00882F11">
        <w:rPr>
          <w:rFonts w:cs="Guttman Drogolin" w:hint="cs"/>
          <w:rtl/>
          <w:lang w:bidi="he-IL"/>
        </w:rPr>
        <w:t xml:space="preserve"> אבל עוד י"ל דכיון שאין כ"כ משקה זה עצמו אומר שאינו חשוב ע"י רותחין ומשו"ה דינו בליבון, </w:t>
      </w:r>
      <w:r w:rsidR="004C002B" w:rsidRPr="00882F11">
        <w:rPr>
          <w:rFonts w:cs="Guttman Drogolin" w:hint="cs"/>
          <w:rtl/>
          <w:lang w:bidi="he-IL"/>
        </w:rPr>
        <w:t>ו</w:t>
      </w:r>
      <w:r w:rsidR="004A70EC" w:rsidRPr="00882F11">
        <w:rPr>
          <w:rFonts w:cs="Guttman Drogolin" w:hint="cs"/>
          <w:rtl/>
          <w:lang w:bidi="he-IL"/>
        </w:rPr>
        <w:t>כן לכאורה מבואר בחי' מהר"ם חלאוה למס' פסחים ל' ע"ב לפי שיטה זו.</w:t>
      </w:r>
      <w:r w:rsidR="004C002B" w:rsidRPr="00882F11">
        <w:rPr>
          <w:rFonts w:cs="Guttman Drogolin" w:hint="cs"/>
          <w:rtl/>
          <w:lang w:bidi="he-IL"/>
        </w:rPr>
        <w:t xml:space="preserve"> </w:t>
      </w:r>
    </w:p>
    <w:p w:rsidR="00FB6880" w:rsidRPr="00882F11" w:rsidRDefault="004C002B" w:rsidP="000D3C22">
      <w:pPr>
        <w:tabs>
          <w:tab w:val="right" w:pos="7497"/>
        </w:tabs>
        <w:bidi/>
        <w:jc w:val="both"/>
        <w:rPr>
          <w:rFonts w:cs="Guttman Drogolin"/>
          <w:rtl/>
          <w:lang w:bidi="he-IL"/>
        </w:rPr>
      </w:pPr>
      <w:r w:rsidRPr="00882F11">
        <w:rPr>
          <w:rFonts w:cs="Guttman Drogolin" w:hint="cs"/>
          <w:rtl/>
          <w:lang w:bidi="he-IL"/>
        </w:rPr>
        <w:t>והרא"ש סבר שאין צריך אלא הגעלה, וטעמו בזה "</w:t>
      </w:r>
      <w:r w:rsidR="000D3C22" w:rsidRPr="00882F11">
        <w:rPr>
          <w:rFonts w:cs="Guttman Drogolin"/>
          <w:rtl/>
          <w:lang w:bidi="he-IL"/>
        </w:rPr>
        <w:t xml:space="preserve">ומחבת שמטגנין בה </w:t>
      </w:r>
      <w:r w:rsidR="000D3C22" w:rsidRPr="00882F11">
        <w:rPr>
          <w:rFonts w:cs="Guttman Drogolin" w:hint="cs"/>
          <w:rtl/>
          <w:lang w:bidi="he-IL"/>
        </w:rPr>
        <w:t xml:space="preserve">וכו' </w:t>
      </w:r>
      <w:r w:rsidR="000D3C22" w:rsidRPr="00882F11">
        <w:rPr>
          <w:rFonts w:cs="Guttman Drogolin"/>
          <w:rtl/>
          <w:lang w:bidi="he-IL"/>
        </w:rPr>
        <w:t>וי"א דפעמים שמטגנין בה ונתייבש השמן ונאפה מה שבתוכה בלא שמן וה"ל כמאפה תנור ונבלע בתוכה ע"י האור בלא משקה ולכך צריכה ליבון כמו שפודין ואסכלאות ולא נהירא לי דאם באנו לחוש לזה אם כן כל קדירות של מתכת פעמים מחסרים המרק ומקדיח והתבשיל נשרף ונדבק לדופני הקדירה וצריך ליבון ולא מצינו מי שחשש לזה אלא היינו טעמא דאע"פ שנשרף ונדבק לדופן הקדירה לחלוחית משקה יש בתבשיל אלא שהוא יבש אצל דופני הקדירה ולא מיקרי תשמישו ע"י האור להצריכו ליבון</w:t>
      </w:r>
      <w:r w:rsidR="000D3C22" w:rsidRPr="00882F11">
        <w:rPr>
          <w:rFonts w:cs="Guttman Drogolin" w:hint="cs"/>
          <w:rtl/>
          <w:lang w:bidi="he-IL"/>
        </w:rPr>
        <w:t>".</w:t>
      </w:r>
      <w:r w:rsidRPr="00882F11">
        <w:rPr>
          <w:rFonts w:cs="Guttman Drogolin" w:hint="cs"/>
          <w:rtl/>
          <w:lang w:bidi="he-IL"/>
        </w:rPr>
        <w:t xml:space="preserve"> וצ"ע מהו הביאור בדבריו</w:t>
      </w:r>
      <w:r w:rsidR="000D3C22" w:rsidRPr="00882F11">
        <w:rPr>
          <w:rFonts w:cs="Guttman Drogolin" w:hint="cs"/>
          <w:rtl/>
          <w:lang w:bidi="he-IL"/>
        </w:rPr>
        <w:t xml:space="preserve"> במש"כ שמשקה יש בתבשיל וכו'</w:t>
      </w:r>
      <w:r w:rsidRPr="00882F11">
        <w:rPr>
          <w:rFonts w:cs="Guttman Drogolin" w:hint="cs"/>
          <w:rtl/>
          <w:lang w:bidi="he-IL"/>
        </w:rPr>
        <w:t>. וז"ל החזו"א (סי' קי"ט ס"ק י"</w:t>
      </w:r>
      <w:r w:rsidR="00FB6880" w:rsidRPr="00882F11">
        <w:rPr>
          <w:rFonts w:cs="Guttman Drogolin" w:hint="cs"/>
          <w:rtl/>
          <w:lang w:bidi="he-IL"/>
        </w:rPr>
        <w:t>ט)</w:t>
      </w:r>
      <w:r w:rsidRPr="00882F11">
        <w:rPr>
          <w:rFonts w:cs="Guttman Drogolin" w:hint="cs"/>
          <w:rtl/>
          <w:lang w:bidi="he-IL"/>
        </w:rPr>
        <w:t xml:space="preserve"> בדעת הרא"ש "</w:t>
      </w:r>
      <w:r w:rsidR="00FB6880" w:rsidRPr="00882F11">
        <w:rPr>
          <w:rFonts w:cs="Guttman Drogolin" w:hint="cs"/>
          <w:rtl/>
          <w:lang w:bidi="he-IL"/>
        </w:rPr>
        <w:t xml:space="preserve">כיון דמקום היבש מקושר עם כל הבשר שהוא לח ומבליע לחותו בהיבש בתמידות". ולפי ההסבר שלו יש ליישב ג"כ הערת הרשב"א בזה שלפעמים הוא נוגע במקום שאין שמן, והיינו משום שעכ"פ חלק ממנו מקושר עם ליחות. אבל גם לדבריו לכאורה אינו מובן כל הצורך, שהעירו מבני החבורה שיחיו, דאטו בשר </w:t>
      </w:r>
      <w:r w:rsidR="00FB6880" w:rsidRPr="00882F11">
        <w:rPr>
          <w:rFonts w:cs="Guttman Drogolin" w:hint="cs"/>
          <w:rtl/>
          <w:lang w:bidi="he-IL"/>
        </w:rPr>
        <w:lastRenderedPageBreak/>
        <w:t>שיש בה שומן שצלו אותו על האש חשוב ברותחין ואין דינו בליבון. ואפילו את"ל דשאני ה</w:t>
      </w:r>
      <w:r w:rsidR="000D3C22" w:rsidRPr="00882F11">
        <w:rPr>
          <w:rFonts w:cs="Guttman Drogolin" w:hint="cs"/>
          <w:rtl/>
          <w:lang w:bidi="he-IL"/>
        </w:rPr>
        <w:t>ת</w:t>
      </w:r>
      <w:r w:rsidR="00FB6880" w:rsidRPr="00882F11">
        <w:rPr>
          <w:rFonts w:cs="Guttman Drogolin" w:hint="cs"/>
          <w:rtl/>
          <w:lang w:bidi="he-IL"/>
        </w:rPr>
        <w:t>ם שהוא ליחות פנימי ולא ליחות חיצוני, מ"מ צ"ע אם מי שצלה בשר שנתבשל במים לא יהא דינו בצלי. וצ"ע.</w:t>
      </w:r>
    </w:p>
    <w:p w:rsidR="004C002B" w:rsidRPr="00882F11" w:rsidRDefault="00FB6880" w:rsidP="00F70637">
      <w:pPr>
        <w:tabs>
          <w:tab w:val="right" w:pos="7497"/>
        </w:tabs>
        <w:bidi/>
        <w:jc w:val="both"/>
        <w:rPr>
          <w:rFonts w:cs="Guttman Drogolin"/>
          <w:rtl/>
          <w:lang w:bidi="he-IL"/>
        </w:rPr>
      </w:pPr>
      <w:r w:rsidRPr="00882F11">
        <w:rPr>
          <w:rFonts w:cs="Guttman Drogolin" w:hint="cs"/>
          <w:rtl/>
          <w:lang w:bidi="he-IL"/>
        </w:rPr>
        <w:t xml:space="preserve">ומ"מ לדינא השו"ע הקיל כשעת הרא"ש, ואפילו הרמ"א לא החמיר אלא לכתחילה, ובליבון קל וכשיטתו דמהני ליבון קל היכא שאינו צריך ליבון חמור אלא לחומרא. </w:t>
      </w:r>
      <w:r w:rsidR="0052679C" w:rsidRPr="00882F11">
        <w:rPr>
          <w:rFonts w:cs="Guttman Drogolin" w:hint="cs"/>
          <w:rtl/>
          <w:lang w:bidi="he-IL"/>
        </w:rPr>
        <w:t>ואע"ג שהמ"ב הביא מפר"ח</w:t>
      </w:r>
      <w:r w:rsidR="00F70637" w:rsidRPr="00882F11">
        <w:rPr>
          <w:rFonts w:cs="Guttman Drogolin" w:hint="cs"/>
          <w:rtl/>
          <w:lang w:bidi="he-IL"/>
        </w:rPr>
        <w:t xml:space="preserve"> </w:t>
      </w:r>
      <w:r w:rsidR="0052679C" w:rsidRPr="00882F11">
        <w:rPr>
          <w:rFonts w:cs="Guttman Drogolin" w:hint="cs"/>
          <w:rtl/>
          <w:lang w:bidi="he-IL"/>
        </w:rPr>
        <w:t xml:space="preserve">שחייב בליבון מדינא, נראה שאין כוונתו להכריע שצריך ליבון חמור, רק שלא להקל בהגעלה בלבד. </w:t>
      </w:r>
    </w:p>
    <w:p w:rsidR="001775D9" w:rsidRPr="00882F11" w:rsidRDefault="004C002B" w:rsidP="0052679C">
      <w:pPr>
        <w:tabs>
          <w:tab w:val="right" w:pos="7497"/>
        </w:tabs>
        <w:bidi/>
        <w:jc w:val="both"/>
        <w:rPr>
          <w:rFonts w:cs="Guttman Drogolin"/>
          <w:rtl/>
          <w:lang w:bidi="he-IL"/>
        </w:rPr>
      </w:pPr>
      <w:r w:rsidRPr="00882F11">
        <w:rPr>
          <w:rFonts w:cs="Guttman Drogolin" w:hint="cs"/>
          <w:rtl/>
          <w:lang w:bidi="he-IL"/>
        </w:rPr>
        <w:t xml:space="preserve">והנה המ"ב מביא שיש כמה תבניות אפיי' שלכו"ע דינם בליבון. ואע"ג שיש להם קצת משקה, אין זה מספיק כדי שיחשב ע"י רותחין. ובסוף </w:t>
      </w:r>
      <w:r w:rsidR="0052679C" w:rsidRPr="00882F11">
        <w:rPr>
          <w:rFonts w:cs="Guttman Drogolin" w:hint="cs"/>
          <w:rtl/>
          <w:lang w:bidi="he-IL"/>
        </w:rPr>
        <w:t>הביא ש</w:t>
      </w:r>
      <w:r w:rsidR="0052679C" w:rsidRPr="00882F11">
        <w:rPr>
          <w:rFonts w:cs="Guttman Drogolin"/>
          <w:rtl/>
          <w:lang w:bidi="he-IL"/>
        </w:rPr>
        <w:t>ה</w:t>
      </w:r>
      <w:r w:rsidR="0052679C" w:rsidRPr="00882F11">
        <w:rPr>
          <w:rFonts w:cs="Guttman Drogolin" w:hint="cs"/>
          <w:rtl/>
          <w:lang w:bidi="he-IL"/>
        </w:rPr>
        <w:t>'</w:t>
      </w:r>
      <w:r w:rsidR="0052679C" w:rsidRPr="00882F11">
        <w:rPr>
          <w:rFonts w:cs="Guttman Drogolin"/>
          <w:rtl/>
          <w:lang w:bidi="he-IL"/>
        </w:rPr>
        <w:t>סקאווראדעס</w:t>
      </w:r>
      <w:r w:rsidR="0052679C" w:rsidRPr="00882F11">
        <w:rPr>
          <w:rFonts w:cs="Guttman Drogolin" w:hint="cs"/>
          <w:rtl/>
          <w:lang w:bidi="he-IL"/>
        </w:rPr>
        <w:t>'</w:t>
      </w:r>
      <w:r w:rsidR="0052679C" w:rsidRPr="00882F11">
        <w:rPr>
          <w:rFonts w:cs="Guttman Drogolin"/>
          <w:rtl/>
          <w:lang w:bidi="he-IL"/>
        </w:rPr>
        <w:t xml:space="preserve"> שפעמים מחמין בהן סובין לחולה צריכין ליבון מדינא</w:t>
      </w:r>
      <w:r w:rsidRPr="00882F11">
        <w:rPr>
          <w:rFonts w:cs="Guttman Drogolin" w:hint="cs"/>
          <w:rtl/>
          <w:lang w:bidi="he-IL"/>
        </w:rPr>
        <w:t xml:space="preserve">. ובשעה"צ ס"ק ע"א הביא מהחיי"א </w:t>
      </w:r>
      <w:r w:rsidR="0052679C" w:rsidRPr="00882F11">
        <w:rPr>
          <w:rFonts w:cs="Guttman Drogolin" w:hint="cs"/>
          <w:rtl/>
          <w:lang w:bidi="he-IL"/>
        </w:rPr>
        <w:t>ד</w:t>
      </w:r>
      <w:r w:rsidR="0052679C" w:rsidRPr="00882F11">
        <w:rPr>
          <w:rFonts w:cs="Guttman Drogolin"/>
          <w:rtl/>
          <w:lang w:bidi="he-IL"/>
        </w:rPr>
        <w:t>היינו אליבא דפוסקים שסוברין דאזלינן אף בתר מיעוט תשמישן</w:t>
      </w:r>
      <w:r w:rsidR="0052679C" w:rsidRPr="00882F11">
        <w:rPr>
          <w:rFonts w:cs="Guttman Drogolin" w:hint="cs"/>
          <w:rtl/>
          <w:lang w:bidi="he-IL"/>
        </w:rPr>
        <w:t xml:space="preserve"> (ואע"ג שאפילו הרמ"א מירל בזה בדיעבד, מ"מ כתב המ"ב שחייב מדינא ור"ל שהשימוש הזה מחייב ליבון מדינא).</w:t>
      </w:r>
      <w:r w:rsidR="0052679C" w:rsidRPr="00882F11">
        <w:rPr>
          <w:rFonts w:cs="Guttman Drogolin"/>
          <w:rtl/>
          <w:lang w:bidi="he-IL"/>
        </w:rPr>
        <w:t xml:space="preserve"> </w:t>
      </w:r>
      <w:r w:rsidRPr="00882F11">
        <w:rPr>
          <w:rFonts w:cs="Guttman Drogolin" w:hint="cs"/>
          <w:rtl/>
          <w:lang w:bidi="he-IL"/>
        </w:rPr>
        <w:t>ולכאורה דבריו מרפסין איגרי (ומצאתי למהדו' דרשו שעמדו על עיקר הדבר) דהא כיון שרק מיעוט שתמשיתו ע"י האור, הרי יש לנו ב' טעמים להקל, דהיינו או משום רוב תשמישתו שלא ע"י האור, או משום שחמץ היתירא דינו כהיתירא בלע</w:t>
      </w:r>
      <w:r w:rsidR="004A70EC" w:rsidRPr="00882F11">
        <w:rPr>
          <w:rFonts w:cs="Guttman Drogolin" w:hint="cs"/>
          <w:rtl/>
          <w:lang w:bidi="he-IL"/>
        </w:rPr>
        <w:t xml:space="preserve"> </w:t>
      </w:r>
      <w:r w:rsidRPr="00882F11">
        <w:rPr>
          <w:rFonts w:cs="Guttman Drogolin" w:hint="cs"/>
          <w:rtl/>
          <w:lang w:bidi="he-IL"/>
        </w:rPr>
        <w:t>ומהני הגעלה במקום ליבון כהא דר' אשי בדף ע"ה ע"א. וכבר הבאנו מרע"א שאם ב' הטעמים האלו קיימים ודאי אינו צריך אלא הגעלה, דהא מפורש בגמ' דסכינים בפסח אינם צריכים אלא הגעלה והוא ע"כ מא' מב' הטעמים הנ"ל. וא"כ איזה מקום יש לחשוש ב</w:t>
      </w:r>
      <w:r w:rsidR="00585156" w:rsidRPr="00882F11">
        <w:rPr>
          <w:rFonts w:cs="Guttman Drogolin" w:hint="cs"/>
          <w:rtl/>
          <w:lang w:bidi="he-IL"/>
        </w:rPr>
        <w:t>תבניות אלו יותר מן הסכינים. וה'</w:t>
      </w:r>
      <w:r w:rsidRPr="00882F11">
        <w:rPr>
          <w:rFonts w:cs="Guttman Drogolin" w:hint="cs"/>
          <w:rtl/>
          <w:lang w:bidi="he-IL"/>
        </w:rPr>
        <w:t xml:space="preserve"> יאיר עיני</w:t>
      </w:r>
      <w:bookmarkStart w:id="531" w:name="_Ref488757351"/>
      <w:r w:rsidR="00585156" w:rsidRPr="00882F11">
        <w:rPr>
          <w:rStyle w:val="FootnoteReference"/>
          <w:rFonts w:cs="Guttman Drogolin"/>
          <w:rtl/>
          <w:lang w:bidi="he-IL"/>
        </w:rPr>
        <w:footnoteReference w:id="548"/>
      </w:r>
      <w:bookmarkEnd w:id="531"/>
      <w:r w:rsidRPr="00882F11">
        <w:rPr>
          <w:rFonts w:cs="Guttman Drogolin" w:hint="cs"/>
          <w:rtl/>
          <w:lang w:bidi="he-IL"/>
        </w:rPr>
        <w:t xml:space="preserve">. </w:t>
      </w:r>
      <w:r w:rsidR="0052679C" w:rsidRPr="00882F11">
        <w:rPr>
          <w:rFonts w:cs="Guttman Drogolin" w:hint="cs"/>
          <w:rtl/>
          <w:lang w:bidi="he-IL"/>
        </w:rPr>
        <w:t xml:space="preserve">ואולי י"ל שגם המ"ב מודה שלענין חמץ בפסח סגי לן בהגעלה, ואין כוונתו אלא לומר דכה"ג חשוב </w:t>
      </w:r>
      <w:r w:rsidR="0052679C" w:rsidRPr="00882F11">
        <w:rPr>
          <w:rFonts w:cs="Guttman Drogolin" w:hint="cs"/>
          <w:rtl/>
          <w:lang w:bidi="he-IL"/>
        </w:rPr>
        <w:lastRenderedPageBreak/>
        <w:t xml:space="preserve">שתשמישתו ע"י האור, וכשתשמיש ע"י האור חייב בליבון גם זה חייב ואינו דומה למחבת. </w:t>
      </w:r>
      <w:r w:rsidRPr="00882F11">
        <w:rPr>
          <w:rFonts w:cs="Guttman Drogolin" w:hint="cs"/>
          <w:rtl/>
          <w:lang w:bidi="he-IL"/>
        </w:rPr>
        <w:t xml:space="preserve"> </w:t>
      </w:r>
      <w:r w:rsidR="001875DB" w:rsidRPr="00882F11">
        <w:rPr>
          <w:rFonts w:cs="Guttman Drogolin" w:hint="cs"/>
          <w:rtl/>
          <w:lang w:bidi="he-IL"/>
        </w:rPr>
        <w:t xml:space="preserve"> </w:t>
      </w:r>
      <w:r w:rsidR="002935B2" w:rsidRPr="00882F11">
        <w:rPr>
          <w:rFonts w:cs="Guttman Drogolin" w:hint="cs"/>
          <w:rtl/>
          <w:lang w:bidi="he-IL"/>
        </w:rPr>
        <w:t xml:space="preserve">  </w:t>
      </w:r>
    </w:p>
    <w:p w:rsidR="001775D9" w:rsidRPr="00882F11" w:rsidRDefault="001775D9" w:rsidP="001775D9">
      <w:pPr>
        <w:pStyle w:val="Heading1"/>
        <w:bidi/>
        <w:spacing w:before="0" w:line="360" w:lineRule="auto"/>
        <w:jc w:val="center"/>
        <w:rPr>
          <w:rFonts w:cs="Guttman Drogolin"/>
          <w:color w:val="auto"/>
          <w:sz w:val="24"/>
          <w:szCs w:val="24"/>
          <w:u w:val="single"/>
          <w:rtl/>
          <w:lang w:bidi="he-IL"/>
        </w:rPr>
      </w:pPr>
      <w:bookmarkStart w:id="532" w:name="_Toc496175770"/>
      <w:r w:rsidRPr="00882F11">
        <w:rPr>
          <w:rFonts w:cs="Guttman Drogolin" w:hint="cs"/>
          <w:color w:val="auto"/>
          <w:sz w:val="24"/>
          <w:szCs w:val="24"/>
          <w:u w:val="single"/>
          <w:rtl/>
          <w:lang w:bidi="he-IL"/>
        </w:rPr>
        <w:t>ידות הכלים</w:t>
      </w:r>
      <w:bookmarkEnd w:id="532"/>
    </w:p>
    <w:p w:rsidR="00A85807" w:rsidRPr="00882F11" w:rsidRDefault="00BB4151" w:rsidP="00D17EF6">
      <w:pPr>
        <w:tabs>
          <w:tab w:val="right" w:pos="7497"/>
        </w:tabs>
        <w:bidi/>
        <w:jc w:val="both"/>
        <w:rPr>
          <w:rFonts w:cs="Guttman Drogolin"/>
          <w:rtl/>
          <w:lang w:bidi="he-IL"/>
        </w:rPr>
      </w:pPr>
      <w:r>
        <w:rPr>
          <w:rFonts w:cs="Guttman Drogolin"/>
          <w:rtl/>
          <w:lang w:bidi="he-IL"/>
        </w:rPr>
        <w:fldChar w:fldCharType="begin"/>
      </w:r>
      <w:r>
        <w:instrText xml:space="preserve"> XE "</w:instrText>
      </w:r>
      <w:r w:rsidRPr="002327CA">
        <w:rPr>
          <w:rFonts w:hint="cs"/>
          <w:rtl/>
          <w:lang w:bidi="he-IL"/>
        </w:rPr>
        <w:instrText>הכשר כלים</w:instrText>
      </w:r>
      <w:r w:rsidRPr="002327CA">
        <w:rPr>
          <w:rtl/>
        </w:rPr>
        <w:instrText>:</w:instrText>
      </w:r>
      <w:r w:rsidRPr="002327CA">
        <w:rPr>
          <w:rFonts w:hint="cs"/>
          <w:rtl/>
          <w:lang w:bidi="he-IL"/>
        </w:rPr>
        <w:instrText>ידות הכלים</w:instrText>
      </w:r>
      <w:r>
        <w:instrText xml:space="preserve">" </w:instrText>
      </w:r>
      <w:r>
        <w:rPr>
          <w:rFonts w:cs="Guttman Drogolin"/>
          <w:rtl/>
          <w:lang w:bidi="he-IL"/>
        </w:rPr>
        <w:fldChar w:fldCharType="end"/>
      </w:r>
      <w:r w:rsidR="001775D9" w:rsidRPr="00882F11">
        <w:rPr>
          <w:rFonts w:cs="Guttman Drogolin" w:hint="cs"/>
          <w:rtl/>
          <w:lang w:bidi="he-IL"/>
        </w:rPr>
        <w:t>בסע' י"ב כתב השו"ע שצריכים להכשיר גם ידות הכלים.</w:t>
      </w:r>
      <w:r w:rsidR="00587CAD" w:rsidRPr="00882F11">
        <w:rPr>
          <w:rFonts w:cs="Guttman Drogolin" w:hint="cs"/>
          <w:rtl/>
          <w:lang w:bidi="he-IL"/>
        </w:rPr>
        <w:t xml:space="preserve"> ונחלקו המפרשים בטעמו של דבר. הגר"א והמג"א (ס"ק כ"ה) נקטו שהטעם שצריכים להגעיל ידות הכלים משום שחם מקצתו חם כולו, וכיון שנתחמם ונבלע במקום עיקר הכלי, הבליעה מתפשטת והולכת בכל הכלי. וע"פ זה ביארו גם דברי הרמ"א שכתב "מיהו אם לא הגעילו הידות אין לאסור בדיעבד", שהטעם בזה משום דמעיקר הדין קיי"ל שאין הבליעה מתפשטת בכולו</w:t>
      </w:r>
      <w:r w:rsidR="00D17EF6" w:rsidRPr="00882F11">
        <w:rPr>
          <w:rStyle w:val="FootnoteReference"/>
          <w:rFonts w:cs="Guttman Drogolin"/>
          <w:rtl/>
          <w:lang w:bidi="he-IL"/>
        </w:rPr>
        <w:footnoteReference w:id="549"/>
      </w:r>
      <w:r w:rsidR="00587CAD" w:rsidRPr="00882F11">
        <w:rPr>
          <w:rFonts w:cs="Guttman Drogolin" w:hint="cs"/>
          <w:rtl/>
          <w:lang w:bidi="he-IL"/>
        </w:rPr>
        <w:t>, וכדמבואר ברמ"א ביו"ד סי' קכ"א סע' ו'</w:t>
      </w:r>
      <w:r w:rsidR="00A867AC" w:rsidRPr="00882F11">
        <w:rPr>
          <w:rStyle w:val="FootnoteReference"/>
          <w:rFonts w:cs="Guttman Drogolin"/>
          <w:rtl/>
          <w:lang w:bidi="he-IL"/>
        </w:rPr>
        <w:footnoteReference w:id="550"/>
      </w:r>
      <w:r w:rsidR="00D17EF6" w:rsidRPr="00882F11">
        <w:rPr>
          <w:rFonts w:cs="Guttman Drogolin" w:hint="cs"/>
          <w:rtl/>
          <w:lang w:bidi="he-IL"/>
        </w:rPr>
        <w:t xml:space="preserve"> (לכה"פ כשעשה הגעלה לעיקר הכלי)</w:t>
      </w:r>
      <w:r w:rsidR="00587CAD" w:rsidRPr="00882F11">
        <w:rPr>
          <w:rFonts w:cs="Guttman Drogolin" w:hint="cs"/>
          <w:rtl/>
          <w:lang w:bidi="he-IL"/>
        </w:rPr>
        <w:t>.</w:t>
      </w:r>
      <w:r w:rsidR="00834222" w:rsidRPr="00882F11">
        <w:rPr>
          <w:rFonts w:cs="Guttman Drogolin" w:hint="cs"/>
          <w:rtl/>
          <w:lang w:bidi="he-IL"/>
        </w:rPr>
        <w:t xml:space="preserve"> אלא שידועים דברי המג"א (ס"ק כ"ד) דסבר דהא דאמרינן שאין הכלי אוסר בדיעבד, הנ"מ כשנגע במקצת הכלי שכבר הגעיל, דאז אמרינן שאין הבליעות שביד מתפשטים לתוך </w:t>
      </w:r>
      <w:r w:rsidR="00A85807" w:rsidRPr="00882F11">
        <w:rPr>
          <w:rFonts w:cs="Guttman Drogolin" w:hint="cs"/>
          <w:rtl/>
          <w:lang w:bidi="he-IL"/>
        </w:rPr>
        <w:t xml:space="preserve">הכלי שבתוך התבשיל ומיני' לתבשיל. </w:t>
      </w:r>
      <w:r w:rsidR="00834222" w:rsidRPr="00882F11">
        <w:rPr>
          <w:rFonts w:cs="Guttman Drogolin" w:hint="cs"/>
          <w:rtl/>
          <w:lang w:bidi="he-IL"/>
        </w:rPr>
        <w:t>אבל אם הכניס החלק שלא הגעיל (פי' היד)</w:t>
      </w:r>
      <w:r w:rsidR="00D17EF6" w:rsidRPr="00882F11">
        <w:rPr>
          <w:rFonts w:cs="Guttman Drogolin" w:hint="cs"/>
          <w:rtl/>
          <w:lang w:bidi="he-IL"/>
        </w:rPr>
        <w:t xml:space="preserve"> </w:t>
      </w:r>
      <w:r w:rsidR="00A85807" w:rsidRPr="00882F11">
        <w:rPr>
          <w:rFonts w:cs="Guttman Drogolin" w:hint="cs"/>
          <w:rtl/>
          <w:lang w:bidi="he-IL"/>
        </w:rPr>
        <w:t xml:space="preserve">הרי הוא אוסר. והגר"א ורע"א כאן ועוד מפרשים כתבו שמשמעות הדברים שאין לחלק, ואפילו אם הכניס היד לתוך התבשיל אינו אוסר. </w:t>
      </w:r>
    </w:p>
    <w:p w:rsidR="00A85807" w:rsidRPr="00882F11" w:rsidRDefault="00A85807" w:rsidP="006D44CB">
      <w:pPr>
        <w:tabs>
          <w:tab w:val="right" w:pos="7497"/>
        </w:tabs>
        <w:bidi/>
        <w:jc w:val="both"/>
        <w:rPr>
          <w:rFonts w:cs="Guttman Drogolin"/>
          <w:rtl/>
          <w:lang w:bidi="he-IL"/>
        </w:rPr>
      </w:pPr>
      <w:r w:rsidRPr="00882F11">
        <w:rPr>
          <w:rFonts w:cs="Guttman Drogolin" w:hint="cs"/>
          <w:rtl/>
          <w:lang w:bidi="he-IL"/>
        </w:rPr>
        <w:t>והט"ז כתב דלא יתכן שהטעם שרצה לאסור משום דינא דחם מקצתו חם כולו, דא"כ יוצא סתירה בדברי הטור, דאילו ביו"ד כתב שאין חוששין להתפשטות הבליעות ע"י דינא דחם מקצת חם כולו, והכא החמיר להגעיל את ידות הכלים.</w:t>
      </w:r>
      <w:r w:rsidR="005D414D" w:rsidRPr="00882F11">
        <w:rPr>
          <w:rFonts w:cs="Guttman Drogolin" w:hint="cs"/>
          <w:rtl/>
          <w:lang w:bidi="he-IL"/>
        </w:rPr>
        <w:t xml:space="preserve"> ועוד כתב דלא יתכן שזהו הטעם כיון שסתימת הדברים משמע שהדין להכשיר ידות הכלים שייך גם </w:t>
      </w:r>
      <w:r w:rsidR="00060E2A" w:rsidRPr="00882F11">
        <w:rPr>
          <w:rFonts w:cs="Guttman Drogolin" w:hint="cs"/>
          <w:rtl/>
          <w:lang w:bidi="he-IL"/>
        </w:rPr>
        <w:t>לכלי העשוי משאר חומרים, והדין דחם מקצתו חם כולו משמע בשו"ע יו"ד סי' קכ"א סע' ו' משמע שלא נאמר כל זה אלא בכלי מתכת.</w:t>
      </w:r>
      <w:r w:rsidRPr="00882F11">
        <w:rPr>
          <w:rFonts w:cs="Guttman Drogolin" w:hint="cs"/>
          <w:rtl/>
          <w:lang w:bidi="he-IL"/>
        </w:rPr>
        <w:t xml:space="preserve"> ומשו"ה פי' שהטעם שמגעילים ידות הכלים משום חשש דלמא קיבל היד איזה פעם חמץ</w:t>
      </w:r>
      <w:r w:rsidR="006D44CB" w:rsidRPr="00882F11">
        <w:rPr>
          <w:rStyle w:val="FootnoteReference"/>
          <w:rFonts w:cs="Guttman Drogolin"/>
          <w:rtl/>
          <w:lang w:bidi="he-IL"/>
        </w:rPr>
        <w:footnoteReference w:id="551"/>
      </w:r>
      <w:r w:rsidR="006D44CB" w:rsidRPr="00882F11">
        <w:rPr>
          <w:rFonts w:cs="Guttman Drogolin" w:hint="cs"/>
          <w:rtl/>
          <w:lang w:bidi="he-IL"/>
        </w:rPr>
        <w:t xml:space="preserve"> </w:t>
      </w:r>
      <w:r w:rsidRPr="00882F11">
        <w:rPr>
          <w:rFonts w:cs="Guttman Drogolin" w:hint="cs"/>
          <w:rtl/>
          <w:lang w:bidi="he-IL"/>
        </w:rPr>
        <w:t xml:space="preserve">. ונראה </w:t>
      </w:r>
      <w:r w:rsidRPr="00882F11">
        <w:rPr>
          <w:rFonts w:cs="Guttman Drogolin" w:hint="cs"/>
          <w:rtl/>
          <w:lang w:bidi="he-IL"/>
        </w:rPr>
        <w:lastRenderedPageBreak/>
        <w:t xml:space="preserve">שנקט שמשו"ה אין לאסור בדיעבד אם לא הכשיר היד, ומשום שאין לחשוש שנגע בחמץ מדינא כשלא ידענו אחרת. ויעוין במש"ז שהעיר על דברי הט"ז שלכאורה סותר דברי עצמו בסי' קכ"א, ששם נקט שהעיקר כדעת הרשב"א, וכן שטעם הדבר משום שמתפשט הבליעה בכולו. וכתב דע"כ ביו"ד חזר בו מדבריו כאן. </w:t>
      </w:r>
    </w:p>
    <w:p w:rsidR="005D414D" w:rsidRPr="00882F11" w:rsidRDefault="00A85807" w:rsidP="005D414D">
      <w:pPr>
        <w:tabs>
          <w:tab w:val="right" w:pos="7497"/>
        </w:tabs>
        <w:bidi/>
        <w:jc w:val="both"/>
        <w:rPr>
          <w:rFonts w:cs="Guttman Drogolin"/>
          <w:rtl/>
          <w:lang w:bidi="he-IL"/>
        </w:rPr>
      </w:pPr>
      <w:r w:rsidRPr="00882F11">
        <w:rPr>
          <w:rFonts w:cs="Guttman Drogolin" w:hint="cs"/>
          <w:rtl/>
          <w:lang w:bidi="he-IL"/>
        </w:rPr>
        <w:t xml:space="preserve">ועוד כתב הט"ז דאע"ג דבדיעבד אין לאסור, הנ"מ בידות שאר הכלים, אבל יד הסכין כיון שמפורש בגמ' שיש להכשיר יד הכלי יש לאסור אפילו בדיעבד. </w:t>
      </w:r>
      <w:r w:rsidR="005D414D" w:rsidRPr="00882F11">
        <w:rPr>
          <w:rFonts w:cs="Guttman Drogolin" w:hint="cs"/>
          <w:rtl/>
          <w:lang w:bidi="he-IL"/>
        </w:rPr>
        <w:t>ור"ל שבשארי הכלים כיון שאין לנו מקור בהדיא להכשירם, י"ל שאינו ממעיקר הדין ומשום חששא בעלמא, אבל ביד הסכין כיון שהגמ' סתם וכתב דצריך הכשר, מסתמא היינו מדינא. וכבר ראינו שיש בזה מחלוקת הראשונים. שהר"ן מבאר הטעם שצריך להכשיר היד משום שמשתמש בה בחמין. והרשב"</w:t>
      </w:r>
      <w:r w:rsidR="00060E2A" w:rsidRPr="00882F11">
        <w:rPr>
          <w:rFonts w:cs="Guttman Drogolin" w:hint="cs"/>
          <w:rtl/>
          <w:lang w:bidi="he-IL"/>
        </w:rPr>
        <w:t>א ביאר משום דינא דחם מק</w:t>
      </w:r>
      <w:r w:rsidR="005D414D" w:rsidRPr="00882F11">
        <w:rPr>
          <w:rFonts w:cs="Guttman Drogolin" w:hint="cs"/>
          <w:rtl/>
          <w:lang w:bidi="he-IL"/>
        </w:rPr>
        <w:t xml:space="preserve">צתו חם כולו. ולכאורה כוונת הט"ז על דרך הר"ן, רק שאינו משתמש בה בהדיא ביד, רק שרוב התשמיש נוגע גם בקתע, ולכן גם הוא ריך הכשר. </w:t>
      </w:r>
      <w:r w:rsidR="009A46E0" w:rsidRPr="00882F11">
        <w:rPr>
          <w:rFonts w:cs="Guttman Drogolin" w:hint="cs"/>
          <w:rtl/>
          <w:lang w:bidi="he-IL"/>
        </w:rPr>
        <w:t xml:space="preserve">ובא"ר פי' הטעם משום </w:t>
      </w:r>
      <w:r w:rsidR="009A46E0" w:rsidRPr="00882F11">
        <w:rPr>
          <w:rFonts w:cs="Guttman Drogolin"/>
          <w:rtl/>
          <w:lang w:bidi="he-IL"/>
        </w:rPr>
        <w:t>משתמש בו כל השנה מסתמא נוגע בהן גם בקתא ברמץ</w:t>
      </w:r>
      <w:r w:rsidR="009A46E0" w:rsidRPr="00882F11">
        <w:rPr>
          <w:rStyle w:val="FootnoteReference"/>
          <w:rFonts w:cs="Guttman Drogolin"/>
          <w:rtl/>
          <w:lang w:bidi="he-IL"/>
        </w:rPr>
        <w:footnoteReference w:id="552"/>
      </w:r>
      <w:r w:rsidR="009A46E0" w:rsidRPr="00882F11">
        <w:rPr>
          <w:rFonts w:cs="Guttman Drogolin"/>
          <w:rtl/>
          <w:lang w:bidi="he-IL"/>
        </w:rPr>
        <w:t xml:space="preserve"> והוי כידוע</w:t>
      </w:r>
      <w:r w:rsidR="005D414D" w:rsidRPr="00882F11">
        <w:rPr>
          <w:rFonts w:cs="Guttman Drogolin" w:hint="cs"/>
          <w:rtl/>
          <w:lang w:bidi="he-IL"/>
        </w:rPr>
        <w:t xml:space="preserve">. </w:t>
      </w:r>
    </w:p>
    <w:p w:rsidR="00DB2EDC" w:rsidRPr="00882F11" w:rsidRDefault="005D414D" w:rsidP="005D414D">
      <w:pPr>
        <w:tabs>
          <w:tab w:val="right" w:pos="7497"/>
        </w:tabs>
        <w:bidi/>
        <w:jc w:val="both"/>
        <w:rPr>
          <w:rFonts w:cs="Guttman Drogolin"/>
          <w:rtl/>
          <w:lang w:bidi="he-IL"/>
        </w:rPr>
      </w:pPr>
      <w:r w:rsidRPr="00882F11">
        <w:rPr>
          <w:rFonts w:cs="Guttman Drogolin" w:hint="cs"/>
          <w:rtl/>
          <w:lang w:bidi="he-IL"/>
        </w:rPr>
        <w:t>והרמ"א כתב שתורת ההכשר של ידות הכלים הוא בעירוי. והמג"א והגר"א ביארו לטעמם שהוא משום שכל הטעם שהוא בלע משום התפשטות הבליעות ע"י הכח דחם מקצתו חם כולו. וזה הוי כמו עירוי, ולכן גם מהני עירוי דכבולעו כך פולטו. וראיתי בעו"ש</w:t>
      </w:r>
      <w:r w:rsidR="00060E2A" w:rsidRPr="00882F11">
        <w:rPr>
          <w:rFonts w:cs="Guttman Drogolin" w:hint="cs"/>
          <w:rtl/>
          <w:lang w:bidi="he-IL"/>
        </w:rPr>
        <w:t xml:space="preserve"> סס"ק י"ב שהעיר שלכאורה אם היד נבלע מדינא דחם מקצתו חם כולו, הא</w:t>
      </w:r>
      <w:r w:rsidR="006D44CB" w:rsidRPr="00882F11">
        <w:rPr>
          <w:rFonts w:cs="Guttman Drogolin" w:hint="cs"/>
          <w:rtl/>
          <w:lang w:bidi="he-IL"/>
        </w:rPr>
        <w:t xml:space="preserve">יך אפשר לומר דמהני לה עירוי, דנהי נמי שכח הבליעה הי' ע"י עירוי, מ"מ הא הוי עירוי פנימי יותר מכדי קליפה, וקיי"ל עכ"פ להחמיר שאין עירוי מכשיר או מבשל יותר מכדי קליפה. והוא לכאורה צע"ג ולא ראיתי לשארי הפוסקים שיאירו בזה. </w:t>
      </w:r>
      <w:r w:rsidR="00DB2EDC" w:rsidRPr="00882F11">
        <w:rPr>
          <w:rFonts w:cs="Guttman Drogolin" w:hint="cs"/>
          <w:rtl/>
          <w:lang w:bidi="he-IL"/>
        </w:rPr>
        <w:t xml:space="preserve">ואע"ג שי"ל דשאני הכא שעשה גם הגעלה ממש לעיקר הכלי, א"כ י"ל דסגי לן ביד בעירוי, מ"מ מי גילה רז זה לרמ"א. </w:t>
      </w:r>
      <w:r w:rsidR="006D44CB" w:rsidRPr="00882F11">
        <w:rPr>
          <w:rFonts w:cs="Guttman Drogolin" w:hint="cs"/>
          <w:rtl/>
          <w:lang w:bidi="he-IL"/>
        </w:rPr>
        <w:t xml:space="preserve">גם לפי הטעם המוזכר </w:t>
      </w:r>
      <w:r w:rsidR="006D44CB" w:rsidRPr="00882F11">
        <w:rPr>
          <w:rFonts w:cs="Guttman Drogolin" w:hint="cs"/>
          <w:rtl/>
          <w:lang w:bidi="he-IL"/>
        </w:rPr>
        <w:lastRenderedPageBreak/>
        <w:t>בט"ז שהוא משום חשש נגיעה צ"ע, דהא אם לא נגע אלא כשהוא צונן</w:t>
      </w:r>
      <w:r w:rsidR="00DB2EDC" w:rsidRPr="00882F11">
        <w:rPr>
          <w:rFonts w:cs="Guttman Drogolin" w:hint="cs"/>
          <w:rtl/>
          <w:lang w:bidi="he-IL"/>
        </w:rPr>
        <w:t>, הא סגי לן בהדחה, ואם הי' חם, ב</w:t>
      </w:r>
      <w:r w:rsidR="006D44CB" w:rsidRPr="00882F11">
        <w:rPr>
          <w:rFonts w:cs="Guttman Drogolin" w:hint="cs"/>
          <w:rtl/>
          <w:lang w:bidi="he-IL"/>
        </w:rPr>
        <w:t xml:space="preserve">שלמא אם נבלע ע"י נתיזת ניצוצות וכדומה שפיר, אבל אם ע"י </w:t>
      </w:r>
      <w:r w:rsidR="00DB2EDC" w:rsidRPr="00882F11">
        <w:rPr>
          <w:rFonts w:cs="Guttman Drogolin" w:hint="cs"/>
          <w:rtl/>
          <w:lang w:bidi="he-IL"/>
        </w:rPr>
        <w:t>נגיעת הכלי כשהי' חם מן האש, הא לכאורה צריך הכשר בכלי ראשון מדינא. ואע"ג שי"ל שאינו צריך הכשר כלל כיון דאזלינן בתר רוב תשמיש, מ"מ מאי אהני לן עירוי, הא הי' צריך להיות הדין או דצריך הכשר דכלי ראשון או דלא מהני כלל. וצ"ע בכל זה.</w:t>
      </w:r>
    </w:p>
    <w:p w:rsidR="00B14A29" w:rsidRPr="00882F11" w:rsidRDefault="00DB2EDC" w:rsidP="00DB2EDC">
      <w:pPr>
        <w:tabs>
          <w:tab w:val="right" w:pos="7497"/>
        </w:tabs>
        <w:bidi/>
        <w:jc w:val="both"/>
        <w:rPr>
          <w:rFonts w:cs="Guttman Drogolin"/>
          <w:rtl/>
          <w:lang w:bidi="he-IL"/>
        </w:rPr>
      </w:pPr>
      <w:r w:rsidRPr="00882F11">
        <w:rPr>
          <w:rFonts w:cs="Guttman Drogolin" w:hint="cs"/>
          <w:rtl/>
          <w:lang w:bidi="he-IL"/>
        </w:rPr>
        <w:t>והנה לענין כתב המ"ב הטעם של הט"ז ולכן כל ידות הכלים צריכים הכשר. ועוד יותר צריכים להחמיר בידות הסכינים וכמש"נ. ודבר זה נפק"מ טובא בכמה סכינים שהידות שלהם עשוים מפלסטיק. שהרי שיטת הגרמ"פ שלכתחילה אין להכשיר פלסטיק כיון שהוא חומר שלא דנו בה הקדמנים. ואם היד של סכין צריך הכשר מדינא, הא א</w:t>
      </w:r>
      <w:r w:rsidR="008D79C4" w:rsidRPr="00882F11">
        <w:rPr>
          <w:rFonts w:cs="Guttman Drogolin" w:hint="cs"/>
          <w:rtl/>
          <w:lang w:bidi="he-IL"/>
        </w:rPr>
        <w:t xml:space="preserve">ינו יכול הכשיר יד הסכין אם הוא </w:t>
      </w:r>
      <w:r w:rsidRPr="00882F11">
        <w:rPr>
          <w:rFonts w:cs="Guttman Drogolin" w:hint="cs"/>
          <w:rtl/>
          <w:lang w:bidi="he-IL"/>
        </w:rPr>
        <w:t>של פלסטיק. וכן באמת ראיתי בחוט שני כאן, שאם היד הוא של פלסטיק אין להכשירו לפסח. אמנם כבר הבאנו שיטת המנח"</w:t>
      </w:r>
      <w:r w:rsidR="008D79C4" w:rsidRPr="00882F11">
        <w:rPr>
          <w:rFonts w:cs="Guttman Drogolin" w:hint="cs"/>
          <w:rtl/>
          <w:lang w:bidi="he-IL"/>
        </w:rPr>
        <w:t>י ועוד דמ</w:t>
      </w:r>
      <w:r w:rsidRPr="00882F11">
        <w:rPr>
          <w:rFonts w:cs="Guttman Drogolin" w:hint="cs"/>
          <w:rtl/>
          <w:lang w:bidi="he-IL"/>
        </w:rPr>
        <w:t xml:space="preserve">הני הגעלה לפלסטיק כמו לשארי החומרים, וא"כ לכאורה בשעה"ד אפשר להקל בזה, </w:t>
      </w:r>
      <w:r w:rsidR="008D79C4" w:rsidRPr="00882F11">
        <w:rPr>
          <w:rFonts w:cs="Guttman Drogolin" w:hint="cs"/>
          <w:rtl/>
          <w:lang w:bidi="he-IL"/>
        </w:rPr>
        <w:t>בפרט משום שאין רוב תשמישתו בזה, וכן אינו אלא נטל"פ בפסח</w:t>
      </w:r>
      <w:r w:rsidR="008D79C4" w:rsidRPr="00882F11">
        <w:rPr>
          <w:rStyle w:val="FootnoteReference"/>
          <w:rFonts w:cs="Guttman Drogolin"/>
          <w:rtl/>
          <w:lang w:bidi="he-IL"/>
        </w:rPr>
        <w:footnoteReference w:id="553"/>
      </w:r>
      <w:r w:rsidR="008D79C4" w:rsidRPr="00882F11">
        <w:rPr>
          <w:rFonts w:cs="Guttman Drogolin" w:hint="cs"/>
          <w:rtl/>
          <w:lang w:bidi="he-IL"/>
        </w:rPr>
        <w:t xml:space="preserve">, </w:t>
      </w:r>
      <w:r w:rsidRPr="00882F11">
        <w:rPr>
          <w:rFonts w:cs="Guttman Drogolin" w:hint="cs"/>
          <w:rtl/>
          <w:lang w:bidi="he-IL"/>
        </w:rPr>
        <w:t>אבל בודאי לכתחילה יש להחמיר, בפרט בסכינים שכתב בה הפייט שמ"מ לכתחילה יש לקנות חדשים.</w:t>
      </w:r>
      <w:r w:rsidR="00CB2885" w:rsidRPr="00882F11">
        <w:rPr>
          <w:rFonts w:cs="Guttman Drogolin" w:hint="cs"/>
          <w:rtl/>
          <w:lang w:bidi="he-IL"/>
        </w:rPr>
        <w:t xml:space="preserve"> וכן מ"מ יש לבדוק היטב שאין סדק או חריץ שאפשר לחמץ להכנס בה, דא"כ אין להקל אא"כ מלבן אותו מקום, וכדבסמוך בדינא דטלאי.</w:t>
      </w:r>
    </w:p>
    <w:p w:rsidR="00546EA8" w:rsidRPr="00882F11" w:rsidRDefault="00B14A29" w:rsidP="0090436E">
      <w:pPr>
        <w:tabs>
          <w:tab w:val="right" w:pos="7497"/>
        </w:tabs>
        <w:bidi/>
        <w:jc w:val="both"/>
        <w:rPr>
          <w:rFonts w:cs="Guttman Drogolin"/>
          <w:rtl/>
          <w:lang w:bidi="he-IL"/>
        </w:rPr>
      </w:pPr>
      <w:r w:rsidRPr="00882F11">
        <w:rPr>
          <w:rFonts w:cs="Guttman Drogolin" w:hint="cs"/>
          <w:rtl/>
          <w:lang w:bidi="he-IL"/>
        </w:rPr>
        <w:t>ובהא דכתב הרמ"א שהדין להכשיר הידות אינו אלא לכתחילה אבל בדיעבד אין להחמיר, פי' המ"ב שכן הדין לפי ב' הטעמים, שאם הוא משום דינא דחם מקצתו חם כולו</w:t>
      </w:r>
      <w:r w:rsidR="008D79C4" w:rsidRPr="00882F11">
        <w:rPr>
          <w:rFonts w:cs="Guttman Drogolin" w:hint="cs"/>
          <w:rtl/>
          <w:lang w:bidi="he-IL"/>
        </w:rPr>
        <w:t>, הא מדינא קיי"ל דסגי לן בזה שהכשיר את עיקר הכלי, ומשום דאו לא נבלע ביד, או"ד דמהני לה הכשיר עיקר הכלי, ואי משום חשש נגיעה, אי לא ידע מעיקר הדין לא חיישינן (חוץ מסכין וכנ"ל).</w:t>
      </w:r>
      <w:r w:rsidR="005D414D" w:rsidRPr="00882F11">
        <w:rPr>
          <w:rFonts w:cs="Guttman Drogolin" w:hint="cs"/>
          <w:rtl/>
          <w:lang w:bidi="he-IL"/>
        </w:rPr>
        <w:t xml:space="preserve"> </w:t>
      </w:r>
      <w:r w:rsidR="008D79C4" w:rsidRPr="00882F11">
        <w:rPr>
          <w:rFonts w:cs="Guttman Drogolin" w:hint="cs"/>
          <w:rtl/>
          <w:lang w:bidi="he-IL"/>
        </w:rPr>
        <w:t xml:space="preserve">אמנם נראה שהדבר תלוי, שלכאורה אם היד הוא חתיכה א' ביחד עם </w:t>
      </w:r>
      <w:r w:rsidR="008D79C4" w:rsidRPr="00882F11">
        <w:rPr>
          <w:rFonts w:cs="Guttman Drogolin" w:hint="cs"/>
          <w:rtl/>
          <w:lang w:bidi="he-IL"/>
        </w:rPr>
        <w:lastRenderedPageBreak/>
        <w:t>הכלי, והוא התחמם ביחד עם עיקר הכלי, כבר העיר רע"א שלכאורה כה"ג אין מקום להקל, שזהו הדין מבואר ביו"ד סי' צ"ב סע' ה' (</w:t>
      </w:r>
      <w:r w:rsidR="0090436E" w:rsidRPr="00882F11">
        <w:rPr>
          <w:rFonts w:cs="Guttman Drogolin" w:hint="cs"/>
          <w:rtl/>
          <w:lang w:bidi="he-IL"/>
        </w:rPr>
        <w:t xml:space="preserve">ודלא כביאורו של המג"א בזה </w:t>
      </w:r>
      <w:r w:rsidR="0090436E" w:rsidRPr="00882F11">
        <w:rPr>
          <w:rFonts w:cs="Guttman Drogolin"/>
          <w:rtl/>
          <w:lang w:bidi="he-IL"/>
        </w:rPr>
        <w:t>–</w:t>
      </w:r>
      <w:r w:rsidR="0090436E" w:rsidRPr="00882F11">
        <w:rPr>
          <w:rFonts w:cs="Guttman Drogolin" w:hint="cs"/>
          <w:rtl/>
          <w:lang w:bidi="he-IL"/>
        </w:rPr>
        <w:t xml:space="preserve"> ומ"מ אפילו למג"א יש להחמיר אם הכניס את עצם היד וכנ"ל). </w:t>
      </w:r>
      <w:r w:rsidR="00CB2885" w:rsidRPr="00882F11">
        <w:rPr>
          <w:rFonts w:cs="Guttman Drogolin" w:hint="cs"/>
          <w:rtl/>
          <w:lang w:bidi="he-IL"/>
        </w:rPr>
        <w:t>וכן הוא הרגילות שכגון כף שמגיסים בה את הקדירה, או יד מחבת. ומאידך, אם היד הוא חלק בפני עצמו רק שמתחבר ע"י בורג וכדומה</w:t>
      </w:r>
      <w:r w:rsidR="00CB5978" w:rsidRPr="00882F11">
        <w:rPr>
          <w:rFonts w:cs="Guttman Drogolin" w:hint="cs"/>
          <w:rtl/>
          <w:lang w:bidi="he-IL"/>
        </w:rPr>
        <w:t xml:space="preserve"> לכאורה</w:t>
      </w:r>
      <w:r w:rsidR="00CB2885" w:rsidRPr="00882F11">
        <w:rPr>
          <w:rFonts w:cs="Guttman Drogolin" w:hint="cs"/>
          <w:rtl/>
          <w:lang w:bidi="he-IL"/>
        </w:rPr>
        <w:t xml:space="preserve"> לא שייך הדין דחם מקצתו חם כולו כלל, דהא זה הוי כב' כלים שאין בליעה עוברת מזה לזה (ומלשונו של רע"א נראה שלא פשיטא לי' דבר זה שכלי של חלקים שייך בה הדין שאין בליעה עובר מכלי לכלי בלי רוטב</w:t>
      </w:r>
      <w:r w:rsidR="00633708" w:rsidRPr="00882F11">
        <w:rPr>
          <w:rFonts w:cs="Guttman Drogolin" w:hint="cs"/>
          <w:rtl/>
          <w:lang w:bidi="he-IL"/>
        </w:rPr>
        <w:t>, וע' גם הגהות ר' ברוך פרענקיל)</w:t>
      </w:r>
      <w:r w:rsidR="00CB2885" w:rsidRPr="00882F11">
        <w:rPr>
          <w:rFonts w:cs="Guttman Drogolin" w:hint="cs"/>
          <w:rtl/>
          <w:lang w:bidi="he-IL"/>
        </w:rPr>
        <w:t xml:space="preserve">. </w:t>
      </w:r>
      <w:r w:rsidR="0090436E" w:rsidRPr="00882F11">
        <w:rPr>
          <w:rFonts w:cs="Guttman Drogolin" w:hint="cs"/>
          <w:rtl/>
          <w:lang w:bidi="he-IL"/>
        </w:rPr>
        <w:t xml:space="preserve"> </w:t>
      </w:r>
    </w:p>
    <w:p w:rsidR="00546EA8" w:rsidRPr="00882F11" w:rsidRDefault="00546EA8" w:rsidP="00546EA8">
      <w:pPr>
        <w:tabs>
          <w:tab w:val="right" w:pos="7497"/>
        </w:tabs>
        <w:bidi/>
        <w:jc w:val="both"/>
        <w:rPr>
          <w:rFonts w:cs="Guttman Drogolin"/>
          <w:rtl/>
          <w:lang w:bidi="he-IL"/>
        </w:rPr>
        <w:sectPr w:rsidR="00546EA8" w:rsidRPr="00882F11" w:rsidSect="00280E73">
          <w:type w:val="continuous"/>
          <w:pgSz w:w="11907" w:h="16839" w:code="9"/>
          <w:pgMar w:top="1440" w:right="1440" w:bottom="1440" w:left="1440" w:header="720" w:footer="720" w:gutter="0"/>
          <w:cols w:num="2" w:space="720"/>
          <w:bidi/>
          <w:docGrid w:linePitch="360"/>
        </w:sectPr>
      </w:pPr>
    </w:p>
    <w:p w:rsidR="00546EA8" w:rsidRPr="00882F11" w:rsidRDefault="00546EA8" w:rsidP="00546EA8">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קל"ט</w:t>
      </w:r>
    </w:p>
    <w:p w:rsidR="00280E73" w:rsidRDefault="00280E73" w:rsidP="00546EA8">
      <w:pPr>
        <w:pStyle w:val="Heading1"/>
        <w:bidi/>
        <w:spacing w:before="0" w:line="360" w:lineRule="auto"/>
        <w:jc w:val="center"/>
        <w:rPr>
          <w:rFonts w:cs="Guttman Drogolin"/>
          <w:color w:val="auto"/>
          <w:sz w:val="24"/>
          <w:szCs w:val="24"/>
          <w:u w:val="single"/>
          <w:rtl/>
          <w:lang w:bidi="he-IL"/>
        </w:rPr>
        <w:sectPr w:rsidR="00280E73" w:rsidSect="00280E73">
          <w:pgSz w:w="11907" w:h="16839" w:code="9"/>
          <w:pgMar w:top="1440" w:right="1440" w:bottom="1440" w:left="1440" w:header="720" w:footer="720" w:gutter="0"/>
          <w:cols w:space="720"/>
          <w:bidi/>
          <w:docGrid w:linePitch="360"/>
        </w:sectPr>
      </w:pPr>
    </w:p>
    <w:p w:rsidR="00546EA8" w:rsidRPr="00882F11" w:rsidRDefault="00546EA8" w:rsidP="00546EA8">
      <w:pPr>
        <w:pStyle w:val="Heading1"/>
        <w:bidi/>
        <w:spacing w:before="0" w:line="360" w:lineRule="auto"/>
        <w:jc w:val="center"/>
        <w:rPr>
          <w:rFonts w:cs="Guttman Drogolin"/>
          <w:color w:val="auto"/>
          <w:sz w:val="24"/>
          <w:szCs w:val="24"/>
          <w:u w:val="single"/>
          <w:rtl/>
          <w:lang w:bidi="he-IL"/>
        </w:rPr>
      </w:pPr>
      <w:bookmarkStart w:id="533" w:name="_Toc496175771"/>
      <w:r w:rsidRPr="00882F11">
        <w:rPr>
          <w:rFonts w:cs="Guttman Drogolin" w:hint="cs"/>
          <w:color w:val="auto"/>
          <w:sz w:val="24"/>
          <w:szCs w:val="24"/>
          <w:u w:val="single"/>
          <w:rtl/>
          <w:lang w:bidi="he-IL"/>
        </w:rPr>
        <w:lastRenderedPageBreak/>
        <w:t>כלי שיש בה טלאי</w:t>
      </w:r>
      <w:bookmarkEnd w:id="533"/>
    </w:p>
    <w:p w:rsidR="00535E2C" w:rsidRPr="00882F11" w:rsidRDefault="00BB4151" w:rsidP="00DC2844">
      <w:pPr>
        <w:tabs>
          <w:tab w:val="right" w:pos="7497"/>
        </w:tabs>
        <w:bidi/>
        <w:jc w:val="both"/>
        <w:rPr>
          <w:rFonts w:cs="Guttman Drogolin"/>
          <w:rtl/>
          <w:lang w:bidi="he-IL"/>
        </w:rPr>
      </w:pPr>
      <w:r>
        <w:rPr>
          <w:rFonts w:cs="Guttman Drogolin"/>
          <w:rtl/>
          <w:lang w:bidi="he-IL"/>
        </w:rPr>
        <w:fldChar w:fldCharType="begin"/>
      </w:r>
      <w:r>
        <w:instrText xml:space="preserve"> XE "</w:instrText>
      </w:r>
      <w:r w:rsidRPr="00E8196B">
        <w:rPr>
          <w:rFonts w:hint="cs"/>
          <w:rtl/>
          <w:lang w:bidi="he-IL"/>
        </w:rPr>
        <w:instrText>הכשר כלים</w:instrText>
      </w:r>
      <w:r w:rsidRPr="00E8196B">
        <w:rPr>
          <w:rtl/>
        </w:rPr>
        <w:instrText>:</w:instrText>
      </w:r>
      <w:r w:rsidRPr="00E8196B">
        <w:rPr>
          <w:rFonts w:hint="cs"/>
          <w:rtl/>
          <w:lang w:bidi="he-IL"/>
        </w:rPr>
        <w:instrText>כלי שיש לו תלאי</w:instrText>
      </w:r>
      <w:r>
        <w:instrText xml:space="preserve">" </w:instrText>
      </w:r>
      <w:r>
        <w:rPr>
          <w:rFonts w:cs="Guttman Drogolin"/>
          <w:rtl/>
          <w:lang w:bidi="he-IL"/>
        </w:rPr>
        <w:fldChar w:fldCharType="end"/>
      </w:r>
      <w:r w:rsidR="00BC2546" w:rsidRPr="00882F11">
        <w:rPr>
          <w:rFonts w:cs="Guttman Drogolin" w:hint="cs"/>
          <w:rtl/>
          <w:lang w:bidi="he-IL"/>
        </w:rPr>
        <w:t>בסע' י"ג מבואר הדין בכלי שיש בה טלאי</w:t>
      </w:r>
      <w:r w:rsidR="000B356D" w:rsidRPr="00882F11">
        <w:rPr>
          <w:rFonts w:cs="Guttman Drogolin" w:hint="cs"/>
          <w:rtl/>
          <w:lang w:bidi="he-IL"/>
        </w:rPr>
        <w:t xml:space="preserve"> (פנימי </w:t>
      </w:r>
      <w:r w:rsidR="000B356D" w:rsidRPr="00882F11">
        <w:rPr>
          <w:rFonts w:cs="Guttman Drogolin"/>
          <w:rtl/>
          <w:lang w:bidi="he-IL"/>
        </w:rPr>
        <w:t>–</w:t>
      </w:r>
      <w:r w:rsidR="000B356D" w:rsidRPr="00882F11">
        <w:rPr>
          <w:rFonts w:cs="Guttman Drogolin" w:hint="cs"/>
          <w:rtl/>
          <w:lang w:bidi="he-IL"/>
        </w:rPr>
        <w:t xml:space="preserve"> מ"ב ס"ק ע"ב)</w:t>
      </w:r>
      <w:r w:rsidR="00BC2546" w:rsidRPr="00882F11">
        <w:rPr>
          <w:rFonts w:cs="Guttman Drogolin" w:hint="cs"/>
          <w:rtl/>
          <w:lang w:bidi="he-IL"/>
        </w:rPr>
        <w:t xml:space="preserve">. והטור הביא בשם ר' יואל, אביו של אבי העזרי, </w:t>
      </w:r>
      <w:r w:rsidR="00BC2546" w:rsidRPr="00882F11">
        <w:rPr>
          <w:rFonts w:cs="Guttman Drogolin"/>
          <w:rtl/>
          <w:lang w:bidi="he-IL"/>
        </w:rPr>
        <w:t>שהיה מצוה להגעיל הכלי בשעת תיקונו קודם שישימו הטלאי ושוב היה מצוה ללבן הטלאי ולהדביקו ואף על פי שהיו משתמשין בו אחר כך קודם הפסח היה מגעילו דכבולעו עם הטלאי כך פולטו</w:t>
      </w:r>
      <w:r w:rsidR="00BC2546" w:rsidRPr="00882F11">
        <w:rPr>
          <w:rFonts w:cs="Guttman Drogolin" w:hint="cs"/>
          <w:rtl/>
          <w:lang w:bidi="he-IL"/>
        </w:rPr>
        <w:t>. ולכאורה הביאור בשיטה זו פשוט,</w:t>
      </w:r>
      <w:r w:rsidR="00CF3D1C" w:rsidRPr="00882F11">
        <w:rPr>
          <w:rFonts w:cs="Guttman Drogolin" w:hint="cs"/>
          <w:rtl/>
          <w:lang w:bidi="he-IL"/>
        </w:rPr>
        <w:t xml:space="preserve"> שלא רצה לסמוך על ההגעלה שיעשה לבסוף בלבד, משום דיתכן שהבליעות שנכנסו קודם חיבור הטלאי אינם יוצאים בהגעלה אחרי חיבור הטלאי. אמנם כיון שהכשיר מקודם, הרי כב</w:t>
      </w:r>
      <w:r w:rsidR="00535E2C" w:rsidRPr="00882F11">
        <w:rPr>
          <w:rFonts w:cs="Guttman Drogolin" w:hint="cs"/>
          <w:rtl/>
          <w:lang w:bidi="he-IL"/>
        </w:rPr>
        <w:t>ר</w:t>
      </w:r>
      <w:r w:rsidR="00CF3D1C" w:rsidRPr="00882F11">
        <w:rPr>
          <w:rFonts w:cs="Guttman Drogolin" w:hint="cs"/>
          <w:rtl/>
          <w:lang w:bidi="he-IL"/>
        </w:rPr>
        <w:t xml:space="preserve"> הכשיר לענין הבליעות שנכנסו קודם חיבור הטלאי, והבליעות שנכנסו אחרי חיבור הטלאי יצאו ע"י ההגעלה שלבסוף, כיון שכבולעו כך פולטו. </w:t>
      </w:r>
      <w:r w:rsidR="00584BB2" w:rsidRPr="00882F11">
        <w:rPr>
          <w:rFonts w:cs="Guttman Drogolin" w:hint="cs"/>
          <w:rtl/>
          <w:lang w:bidi="he-IL"/>
        </w:rPr>
        <w:t>וכה"ג הוא טעם כמה פוסקים בזה שצריכים להסיר החלודה קודם הגעלה.</w:t>
      </w:r>
      <w:r w:rsidR="00535E2C" w:rsidRPr="00882F11">
        <w:rPr>
          <w:rFonts w:cs="Guttman Drogolin" w:hint="cs"/>
          <w:rtl/>
          <w:lang w:bidi="he-IL"/>
        </w:rPr>
        <w:t xml:space="preserve"> ובב"י הביא ממרדכי (סי' תקע"ח) שמטעם כבולעו כך פולטו הי' צריך להיות דמהני הגעלה שעושה לבסוף בלבד, אלא שחוששים שאולי בשעת הגעלה יהי' הטלאי מודבק ולבסוף יתרחב ויפלוט. וכוונתו דאע"ג שהגעל</w:t>
      </w:r>
      <w:r w:rsidR="00DC2844" w:rsidRPr="00882F11">
        <w:rPr>
          <w:rFonts w:cs="Guttman Drogolin" w:hint="cs"/>
          <w:rtl/>
          <w:lang w:bidi="he-IL"/>
        </w:rPr>
        <w:t>ה</w:t>
      </w:r>
      <w:r w:rsidR="00535E2C" w:rsidRPr="00882F11">
        <w:rPr>
          <w:rFonts w:cs="Guttman Drogolin" w:hint="cs"/>
          <w:rtl/>
          <w:lang w:bidi="he-IL"/>
        </w:rPr>
        <w:t xml:space="preserve"> שלבסוף לא יהא מספיק להוציא את כל הבליעות, מ"מ מה שהוציא הוציא, ומה שלא הוציא לא יצא בבישול השני, אא"כ יתרפה לאחר מכן ומשו"ה חיישינן. ולכאורה יש להקשות על זה, דהא לא מהני הגעלה לכלי חרס אפילו לבשל בה, ולא אמרינן מה שהוציא הוציא וכו'. וכה"ג כתבו רוב הראשונים בכלי שצריך ליבון והגעילו. ולכאורה צריכים לחלק דשאני הכא שהוא מסוג הבליעה דמהני לה הגעלה, ולכן אם לא הוציא שוב לא יוצא, אבל אם אינו עושה פעולת הכשר דמהני לה, לא סג</w:t>
      </w:r>
      <w:r w:rsidR="00141AC6" w:rsidRPr="00882F11">
        <w:rPr>
          <w:rFonts w:cs="Guttman Drogolin" w:hint="cs"/>
          <w:rtl/>
          <w:lang w:bidi="he-IL"/>
        </w:rPr>
        <w:t>י.</w:t>
      </w:r>
      <w:r w:rsidR="00535E2C" w:rsidRPr="00882F11">
        <w:rPr>
          <w:rFonts w:cs="Guttman Drogolin" w:hint="cs"/>
          <w:rtl/>
          <w:lang w:bidi="he-IL"/>
        </w:rPr>
        <w:t xml:space="preserve"> ועדיין צ"ע.</w:t>
      </w:r>
      <w:r w:rsidR="00633708" w:rsidRPr="00882F11">
        <w:rPr>
          <w:rFonts w:cs="Guttman Drogolin" w:hint="cs"/>
          <w:rtl/>
          <w:lang w:bidi="he-IL"/>
        </w:rPr>
        <w:t xml:space="preserve"> וע' במג"א ס"ק כ"ז שלדברי ר' </w:t>
      </w:r>
      <w:r w:rsidR="00DC2844" w:rsidRPr="00882F11">
        <w:rPr>
          <w:rFonts w:cs="Guttman Drogolin" w:hint="cs"/>
          <w:rtl/>
          <w:lang w:bidi="he-IL"/>
        </w:rPr>
        <w:t>יואל אם לא הכשירו הכלי קודם חיב</w:t>
      </w:r>
      <w:r w:rsidR="00633708" w:rsidRPr="00882F11">
        <w:rPr>
          <w:rFonts w:cs="Guttman Drogolin" w:hint="cs"/>
          <w:rtl/>
          <w:lang w:bidi="he-IL"/>
        </w:rPr>
        <w:t xml:space="preserve">ור </w:t>
      </w:r>
      <w:r w:rsidR="00633708" w:rsidRPr="00882F11">
        <w:rPr>
          <w:rFonts w:cs="Guttman Drogolin" w:hint="cs"/>
          <w:rtl/>
          <w:lang w:bidi="he-IL"/>
        </w:rPr>
        <w:lastRenderedPageBreak/>
        <w:t>הטלאי צריך הכלי ליבון חמור.</w:t>
      </w:r>
      <w:r w:rsidR="000B356D" w:rsidRPr="00882F11">
        <w:rPr>
          <w:rFonts w:cs="Guttman Drogolin" w:hint="cs"/>
          <w:rtl/>
          <w:lang w:bidi="he-IL"/>
        </w:rPr>
        <w:t>והמ"ב (ס"ק ע"ו) הביא הדעות בזה, וכתב להקל שאינו צריך ליבון חמור אם הכלי אינו בן יומו.</w:t>
      </w:r>
      <w:r w:rsidR="00633708" w:rsidRPr="00882F11">
        <w:rPr>
          <w:rFonts w:cs="Guttman Drogolin" w:hint="cs"/>
          <w:rtl/>
          <w:lang w:bidi="he-IL"/>
        </w:rPr>
        <w:t xml:space="preserve"> </w:t>
      </w:r>
    </w:p>
    <w:p w:rsidR="00141AC6" w:rsidRPr="00882F11" w:rsidRDefault="00535E2C" w:rsidP="00535E2C">
      <w:pPr>
        <w:tabs>
          <w:tab w:val="right" w:pos="7497"/>
        </w:tabs>
        <w:bidi/>
        <w:jc w:val="both"/>
        <w:rPr>
          <w:rFonts w:cs="Guttman Drogolin"/>
          <w:rtl/>
          <w:lang w:bidi="he-IL"/>
        </w:rPr>
      </w:pPr>
      <w:r w:rsidRPr="00882F11">
        <w:rPr>
          <w:rFonts w:cs="Guttman Drogolin" w:hint="cs"/>
          <w:rtl/>
          <w:lang w:bidi="he-IL"/>
        </w:rPr>
        <w:t>ושם בב"י האריך להוכיח מכמה ראיות דמהני הגעלה אחרי הנחת הטלאי. ונראה שכוונתו בזה, שהי' אפשר לומר דכיון שיש כאן ב' חלקים, אמנם החלק הפנימי בלע, מ"מ לא מהני לה פעולת ההגעלה שנעשה בעיקר לחלק החי</w:t>
      </w:r>
      <w:r w:rsidR="00141AC6" w:rsidRPr="00882F11">
        <w:rPr>
          <w:rFonts w:cs="Guttman Drogolin" w:hint="cs"/>
          <w:rtl/>
          <w:lang w:bidi="he-IL"/>
        </w:rPr>
        <w:t>צ</w:t>
      </w:r>
      <w:r w:rsidRPr="00882F11">
        <w:rPr>
          <w:rFonts w:cs="Guttman Drogolin" w:hint="cs"/>
          <w:rtl/>
          <w:lang w:bidi="he-IL"/>
        </w:rPr>
        <w:t xml:space="preserve">ון כדי להכשירה. </w:t>
      </w:r>
      <w:r w:rsidR="00141AC6" w:rsidRPr="00882F11">
        <w:rPr>
          <w:rFonts w:cs="Guttman Drogolin" w:hint="cs"/>
          <w:rtl/>
          <w:lang w:bidi="he-IL"/>
        </w:rPr>
        <w:t>וקמ"ל דמהני, דכבולעו כך פולטו. ועוד הביא בשם שו"ת הרשב"א (</w:t>
      </w:r>
      <w:r w:rsidR="00141AC6" w:rsidRPr="00882F11">
        <w:rPr>
          <w:rFonts w:cs="Guttman Drogolin"/>
          <w:rtl/>
          <w:lang w:bidi="he-IL"/>
        </w:rPr>
        <w:t>ח"א סי' שעא, ח"ג סי' רעח</w:t>
      </w:r>
      <w:r w:rsidR="00141AC6" w:rsidRPr="00882F11">
        <w:rPr>
          <w:rFonts w:cs="Guttman Drogolin" w:hint="cs"/>
          <w:rtl/>
          <w:lang w:bidi="he-IL"/>
        </w:rPr>
        <w:t>) טעם אחר להחמיר בטלאי, ומשום שיש חשש שנכנס חמץ בעין מתחת לטלאי, ומשו"ה צריכים ללבן הטלאי כדי לשרוף החמץ שמתחתיו. ולזה ליבון קל סגי</w:t>
      </w:r>
      <w:r w:rsidR="00DC2844" w:rsidRPr="00882F11">
        <w:rPr>
          <w:rStyle w:val="FootnoteReference"/>
          <w:rFonts w:cs="Guttman Drogolin"/>
          <w:rtl/>
          <w:lang w:bidi="he-IL"/>
        </w:rPr>
        <w:footnoteReference w:id="554"/>
      </w:r>
      <w:r w:rsidR="00141AC6" w:rsidRPr="00882F11">
        <w:rPr>
          <w:rFonts w:cs="Guttman Drogolin" w:hint="cs"/>
          <w:rtl/>
          <w:lang w:bidi="he-IL"/>
        </w:rPr>
        <w:t>. וראיתי בט"ז שתמה על שאר המפרשים שלא חששו לזה, ולא ידעתי כ"כ התמיה, דלמה הוא כ"כ פשוט שיש עכ"</w:t>
      </w:r>
      <w:r w:rsidR="000B356D" w:rsidRPr="00882F11">
        <w:rPr>
          <w:rFonts w:cs="Guttman Drogolin" w:hint="cs"/>
          <w:rtl/>
          <w:lang w:bidi="he-IL"/>
        </w:rPr>
        <w:t>פ חששא מדינ</w:t>
      </w:r>
      <w:r w:rsidR="00141AC6" w:rsidRPr="00882F11">
        <w:rPr>
          <w:rFonts w:cs="Guttman Drogolin" w:hint="cs"/>
          <w:rtl/>
          <w:lang w:bidi="he-IL"/>
        </w:rPr>
        <w:t xml:space="preserve">א שנכנס שם חמץ בעין. </w:t>
      </w:r>
    </w:p>
    <w:p w:rsidR="00633708" w:rsidRPr="00882F11" w:rsidRDefault="00141AC6" w:rsidP="000B356D">
      <w:pPr>
        <w:tabs>
          <w:tab w:val="right" w:pos="7497"/>
        </w:tabs>
        <w:bidi/>
        <w:jc w:val="both"/>
        <w:rPr>
          <w:rFonts w:cs="Guttman Drogolin"/>
          <w:rtl/>
          <w:lang w:bidi="he-IL"/>
        </w:rPr>
      </w:pPr>
      <w:r w:rsidRPr="00882F11">
        <w:rPr>
          <w:rFonts w:cs="Guttman Drogolin" w:hint="cs"/>
          <w:rtl/>
          <w:lang w:bidi="he-IL"/>
        </w:rPr>
        <w:t>ובעיקר החשש דטלאי כתב הט"ז שאם הוא מן הסוג שמטפטפין מתכת וכדומה אין צריך להכשיר. אמנם נראה טעמו שם משום שהכלי מ"מ מתכשר ע"י חום המתכת ע"י תיקון כזה.</w:t>
      </w:r>
      <w:r w:rsidR="00633708" w:rsidRPr="00882F11">
        <w:rPr>
          <w:rFonts w:cs="Guttman Drogolin" w:hint="cs"/>
          <w:rtl/>
          <w:lang w:bidi="he-IL"/>
        </w:rPr>
        <w:t xml:space="preserve"> והמג"א שם הוסיף עוד טעם, שע"י הוספת המתכת הוי ככלי חדש, וזהו לכאורה כמו שביארנו לשיטת התוס' במס' ע"ז ל"ג ע"ב</w:t>
      </w:r>
      <w:r w:rsidR="00633708" w:rsidRPr="00882F11">
        <w:rPr>
          <w:rStyle w:val="FootnoteReference"/>
          <w:rFonts w:cs="Guttman Drogolin"/>
          <w:rtl/>
          <w:lang w:bidi="he-IL"/>
        </w:rPr>
        <w:footnoteReference w:id="555"/>
      </w:r>
      <w:r w:rsidR="00633708" w:rsidRPr="00882F11">
        <w:rPr>
          <w:rFonts w:cs="Guttman Drogolin" w:hint="cs"/>
          <w:rtl/>
          <w:lang w:bidi="he-IL"/>
        </w:rPr>
        <w:t>.</w:t>
      </w:r>
      <w:r w:rsidR="000B356D" w:rsidRPr="00882F11">
        <w:rPr>
          <w:rFonts w:cs="Guttman Drogolin" w:hint="cs"/>
          <w:rtl/>
          <w:lang w:bidi="he-IL"/>
        </w:rPr>
        <w:t xml:space="preserve"> אמנם המ"ב בסס"ק ע"ו כתב טעם נוסף, והוא משום שנעשה כלי א', וזהו לכאורה דלא כט"ז והמג"א ולא כמש"כ בדברי התוס' הנ"ל. ויל"ע מהו מקורו לזה. </w:t>
      </w:r>
    </w:p>
    <w:p w:rsidR="00633708" w:rsidRPr="00882F11" w:rsidRDefault="00633708" w:rsidP="00633708">
      <w:pPr>
        <w:pStyle w:val="Heading1"/>
        <w:bidi/>
        <w:spacing w:before="0" w:line="360" w:lineRule="auto"/>
        <w:jc w:val="center"/>
        <w:rPr>
          <w:rFonts w:cs="Guttman Drogolin"/>
          <w:color w:val="auto"/>
          <w:sz w:val="24"/>
          <w:szCs w:val="24"/>
          <w:u w:val="single"/>
          <w:rtl/>
          <w:lang w:bidi="he-IL"/>
        </w:rPr>
      </w:pPr>
      <w:bookmarkStart w:id="534" w:name="_Toc496175772"/>
      <w:r w:rsidRPr="00882F11">
        <w:rPr>
          <w:rFonts w:cs="Guttman Drogolin" w:hint="cs"/>
          <w:color w:val="auto"/>
          <w:sz w:val="24"/>
          <w:szCs w:val="24"/>
          <w:u w:val="single"/>
          <w:rtl/>
          <w:lang w:bidi="he-IL"/>
        </w:rPr>
        <w:t>רושם וציורים בכלי</w:t>
      </w:r>
      <w:bookmarkEnd w:id="534"/>
    </w:p>
    <w:p w:rsidR="00633708" w:rsidRPr="00882F11" w:rsidRDefault="00BB4151" w:rsidP="000B356D">
      <w:pPr>
        <w:tabs>
          <w:tab w:val="right" w:pos="7497"/>
        </w:tabs>
        <w:bidi/>
        <w:jc w:val="both"/>
        <w:rPr>
          <w:rFonts w:cs="Guttman Drogolin"/>
          <w:rtl/>
          <w:lang w:bidi="he-IL"/>
        </w:rPr>
      </w:pPr>
      <w:r>
        <w:rPr>
          <w:rFonts w:cs="Guttman Drogolin"/>
          <w:rtl/>
          <w:lang w:bidi="he-IL"/>
        </w:rPr>
        <w:fldChar w:fldCharType="begin"/>
      </w:r>
      <w:r>
        <w:instrText xml:space="preserve"> XE "</w:instrText>
      </w:r>
      <w:r w:rsidRPr="00042B74">
        <w:rPr>
          <w:rFonts w:hint="cs"/>
          <w:rtl/>
          <w:lang w:bidi="he-IL"/>
        </w:rPr>
        <w:instrText>הכשר כלים</w:instrText>
      </w:r>
      <w:r w:rsidRPr="00042B74">
        <w:rPr>
          <w:rtl/>
        </w:rPr>
        <w:instrText>:</w:instrText>
      </w:r>
      <w:r w:rsidRPr="00042B74">
        <w:rPr>
          <w:rFonts w:hint="cs"/>
          <w:rtl/>
          <w:lang w:bidi="he-IL"/>
        </w:rPr>
        <w:instrText>רושם וציורים בכלים</w:instrText>
      </w:r>
      <w:r>
        <w:instrText xml:space="preserve">" </w:instrText>
      </w:r>
      <w:r>
        <w:rPr>
          <w:rFonts w:cs="Guttman Drogolin"/>
          <w:rtl/>
          <w:lang w:bidi="he-IL"/>
        </w:rPr>
        <w:fldChar w:fldCharType="end"/>
      </w:r>
      <w:r w:rsidR="000B356D" w:rsidRPr="00882F11">
        <w:rPr>
          <w:rFonts w:cs="Guttman Drogolin" w:hint="cs"/>
          <w:rtl/>
          <w:lang w:bidi="he-IL"/>
        </w:rPr>
        <w:t xml:space="preserve">הרמ"א </w:t>
      </w:r>
      <w:r w:rsidR="00633708" w:rsidRPr="00882F11">
        <w:rPr>
          <w:rFonts w:cs="Guttman Drogolin" w:hint="cs"/>
          <w:rtl/>
          <w:lang w:bidi="he-IL"/>
        </w:rPr>
        <w:t xml:space="preserve">בסע' י"ג </w:t>
      </w:r>
      <w:r w:rsidR="000B356D" w:rsidRPr="00882F11">
        <w:rPr>
          <w:rFonts w:cs="Guttman Drogolin" w:hint="cs"/>
          <w:rtl/>
          <w:lang w:bidi="he-IL"/>
        </w:rPr>
        <w:t xml:space="preserve">כתב שאם יש רושם בכלי צריך לנקרם היטב כיון שיש חשש שיש שם חמץ בעין. והמ"ב ס"ק ע"ט כתב שקשה לנקרן טוב ולכן יש </w:t>
      </w:r>
      <w:r w:rsidR="000B356D" w:rsidRPr="00882F11">
        <w:rPr>
          <w:rFonts w:cs="Guttman Drogolin" w:hint="cs"/>
          <w:rtl/>
          <w:lang w:bidi="he-IL"/>
        </w:rPr>
        <w:lastRenderedPageBreak/>
        <w:t xml:space="preserve">ללבן מקום זה ובליבון קל סגי. אמנם נראה פשוט שכגון כוסות של קידוש של היום שיש בהם כמה ציורים הדבר תלוי, שאם אין לציור שום עומק אינו צריך ללבנן, אבל ציור שיש בה עומק דינו כנ"ל. ודבר זה נפק"מ גם לכמה קדרות של היום שהשפה שלהם חלול ויש מקום למאכל להכנס שחייבים ללבן השפה. </w:t>
      </w:r>
      <w:r w:rsidR="00633708" w:rsidRPr="00882F11">
        <w:rPr>
          <w:rFonts w:cs="Guttman Drogolin" w:hint="cs"/>
          <w:rtl/>
          <w:lang w:bidi="he-IL"/>
        </w:rPr>
        <w:t xml:space="preserve"> </w:t>
      </w:r>
    </w:p>
    <w:p w:rsidR="00633708" w:rsidRPr="00280E73" w:rsidRDefault="00633708" w:rsidP="00633708">
      <w:pPr>
        <w:pStyle w:val="Heading1"/>
        <w:bidi/>
        <w:spacing w:before="0" w:line="360" w:lineRule="auto"/>
        <w:jc w:val="center"/>
        <w:rPr>
          <w:rFonts w:cs="Guttman Drogolin"/>
          <w:color w:val="auto"/>
          <w:sz w:val="22"/>
          <w:szCs w:val="22"/>
          <w:u w:val="single"/>
          <w:rtl/>
          <w:lang w:bidi="he-IL"/>
        </w:rPr>
      </w:pPr>
      <w:bookmarkStart w:id="535" w:name="_Toc496175773"/>
      <w:r w:rsidRPr="00280E73">
        <w:rPr>
          <w:rFonts w:cs="Guttman Drogolin" w:hint="cs"/>
          <w:color w:val="auto"/>
          <w:sz w:val="22"/>
          <w:szCs w:val="22"/>
          <w:u w:val="single"/>
          <w:rtl/>
          <w:lang w:bidi="he-IL"/>
        </w:rPr>
        <w:t xml:space="preserve">הכשר כלים ע"י זיעה (אדים </w:t>
      </w:r>
      <w:r w:rsidRPr="00280E73">
        <w:rPr>
          <w:rFonts w:cs="Guttman Drogolin"/>
          <w:color w:val="auto"/>
          <w:sz w:val="22"/>
          <w:szCs w:val="22"/>
          <w:u w:val="single"/>
          <w:rtl/>
          <w:lang w:bidi="he-IL"/>
        </w:rPr>
        <w:t>–</w:t>
      </w:r>
      <w:r w:rsidRPr="00280E73">
        <w:rPr>
          <w:rFonts w:cs="Guttman Drogolin" w:hint="cs"/>
          <w:color w:val="auto"/>
          <w:sz w:val="22"/>
          <w:szCs w:val="22"/>
          <w:u w:val="single"/>
          <w:rtl/>
          <w:lang w:bidi="he-IL"/>
        </w:rPr>
        <w:t xml:space="preserve"> מכשיר קיטור)</w:t>
      </w:r>
      <w:bookmarkEnd w:id="535"/>
    </w:p>
    <w:p w:rsidR="00C714AE" w:rsidRPr="00882F11" w:rsidRDefault="00BB4151" w:rsidP="00C714AE">
      <w:pPr>
        <w:tabs>
          <w:tab w:val="right" w:pos="7497"/>
        </w:tabs>
        <w:bidi/>
        <w:jc w:val="both"/>
        <w:rPr>
          <w:rFonts w:cs="Guttman Drogolin"/>
          <w:rtl/>
          <w:lang w:bidi="he-IL"/>
        </w:rPr>
      </w:pPr>
      <w:r>
        <w:rPr>
          <w:rFonts w:cs="Guttman Drogolin"/>
          <w:rtl/>
          <w:lang w:bidi="he-IL"/>
        </w:rPr>
        <w:fldChar w:fldCharType="begin"/>
      </w:r>
      <w:r>
        <w:instrText xml:space="preserve"> XE "</w:instrText>
      </w:r>
      <w:r w:rsidRPr="003A49CB">
        <w:rPr>
          <w:rFonts w:hint="cs"/>
          <w:rtl/>
          <w:lang w:bidi="he-IL"/>
        </w:rPr>
        <w:instrText>הכשר כלים</w:instrText>
      </w:r>
      <w:r w:rsidRPr="003A49CB">
        <w:rPr>
          <w:rtl/>
        </w:rPr>
        <w:instrText>:</w:instrText>
      </w:r>
      <w:r w:rsidRPr="003A49CB">
        <w:rPr>
          <w:rFonts w:hint="cs"/>
          <w:rtl/>
          <w:lang w:bidi="he-IL"/>
        </w:rPr>
        <w:instrText>ע</w:instrText>
      </w:r>
      <w:r>
        <w:rPr>
          <w:rFonts w:eastAsiaTheme="minorEastAsia"/>
          <w:lang w:bidi="he-IL"/>
        </w:rPr>
        <w:instrText>\</w:instrText>
      </w:r>
      <w:r w:rsidRPr="003A49CB">
        <w:rPr>
          <w:rFonts w:hint="cs"/>
          <w:rtl/>
          <w:lang w:bidi="he-IL"/>
        </w:rPr>
        <w:instrText>"י זיעה (קיטור)</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2F29C9">
        <w:rPr>
          <w:rFonts w:hint="cs"/>
          <w:rtl/>
          <w:lang w:bidi="he-IL"/>
        </w:rPr>
        <w:instrText>זיעה</w:instrText>
      </w:r>
      <w:r w:rsidRPr="002F29C9">
        <w:rPr>
          <w:rtl/>
        </w:rPr>
        <w:instrText>:</w:instrText>
      </w:r>
      <w:r w:rsidRPr="002F29C9">
        <w:rPr>
          <w:rFonts w:hint="cs"/>
          <w:rtl/>
          <w:lang w:bidi="he-IL"/>
        </w:rPr>
        <w:instrText>הכשר כלים על ידו</w:instrText>
      </w:r>
      <w:r>
        <w:instrText xml:space="preserve">" </w:instrText>
      </w:r>
      <w:r>
        <w:rPr>
          <w:rFonts w:cs="Guttman Drogolin"/>
          <w:rtl/>
          <w:lang w:bidi="he-IL"/>
        </w:rPr>
        <w:fldChar w:fldCharType="end"/>
      </w:r>
      <w:r w:rsidR="00633708" w:rsidRPr="00882F11">
        <w:rPr>
          <w:rFonts w:cs="Guttman Drogolin" w:hint="cs"/>
          <w:rtl/>
          <w:lang w:bidi="he-IL"/>
        </w:rPr>
        <w:t>בסע' י</w:t>
      </w:r>
      <w:r w:rsidR="00C714AE" w:rsidRPr="00882F11">
        <w:rPr>
          <w:rFonts w:cs="Guttman Drogolin" w:hint="cs"/>
          <w:rtl/>
          <w:lang w:bidi="he-IL"/>
        </w:rPr>
        <w:t>"ד וט"ו דן השו"ע בהכשר כיסוי, בסע' י"ד דן בכיסוי שעל גבי קדרה שיש בה משקין, וסע' ט"ו דן בכיסוי שעל גבי חררה. והנה בסע' י"ד כתב שצריך הגעלה, ובסע' ט"ו מחייב בליבון. ולכאורה יל"ע בזה, דהא הכיסוי שעל הקדרה נבלע ע"י זיעה (ואע"ג שמחמירים אפילו בכיסוי שאינו בן יומו משום חשש בעין שנדבק, במקרה דליכא חשש כזה דינו כמש"כ כאן בשו"ע). וא"כ לכאורה לא צריכים לזה הגעלה ממש, וסגי לן בהכשר שעל ידי זיעה. וראיתי בס' הגעלת כלים שהביא בשם כמה אחרונים שבאמת דקדקו מזה דלא מהני הכשר ע"י זיעה (אדים) ודחה שאין כוונת השו"ע אלא לומר דבעינן מין ממיני ההגעלה, וגם הגעלה ע"י אדים סגי אם נבלע ע"י אדים. אמנם לגופו של ענין, יש לחשוש שאולי אין האדים המכשירים הולכים לאותו מקום שהלכו האדים שהבליעו בתוכו, וא"כ יתכן שאין זה מספיק. עוד כתבו כמה אחרונים לפקפ</w:t>
      </w:r>
      <w:r w:rsidR="00425EC7" w:rsidRPr="00882F11">
        <w:rPr>
          <w:rFonts w:cs="Guttman Drogolin" w:hint="cs"/>
          <w:rtl/>
          <w:lang w:bidi="he-IL"/>
        </w:rPr>
        <w:t>ק בהכשר ע"י זיעה כיון שאינו מים,</w:t>
      </w:r>
      <w:r w:rsidR="00C714AE" w:rsidRPr="00882F11">
        <w:rPr>
          <w:rFonts w:cs="Guttman Drogolin" w:hint="cs"/>
          <w:rtl/>
          <w:lang w:bidi="he-IL"/>
        </w:rPr>
        <w:t xml:space="preserve"> ולכתחילה אין מכשירים אלא ע"י מים.</w:t>
      </w:r>
    </w:p>
    <w:p w:rsidR="00633708" w:rsidRPr="00882F11" w:rsidRDefault="00C714AE" w:rsidP="00FC5171">
      <w:pPr>
        <w:tabs>
          <w:tab w:val="right" w:pos="7497"/>
        </w:tabs>
        <w:bidi/>
        <w:jc w:val="both"/>
        <w:rPr>
          <w:rFonts w:cs="Guttman Drogolin"/>
          <w:rtl/>
          <w:lang w:bidi="he-IL"/>
        </w:rPr>
      </w:pPr>
      <w:r w:rsidRPr="00882F11">
        <w:rPr>
          <w:rFonts w:cs="Guttman Drogolin" w:hint="cs"/>
          <w:rtl/>
          <w:lang w:bidi="he-IL"/>
        </w:rPr>
        <w:t>וכל הנ"ל הוא בכלי שבלע ע"י זיעה בלבד, אבל כלי שבלע ע"י כלי ראשון, או דבר גוש חם, וכדומה, לכאורה פשיטא דלא מהני הכשר ע"י זיעה, דהא כבולעו כך פולטו בעינן. אמנם יעוין בשו"ת אג"מ (</w:t>
      </w:r>
      <w:r w:rsidR="00896589" w:rsidRPr="00882F11">
        <w:rPr>
          <w:rFonts w:cs="Guttman Drogolin" w:hint="cs"/>
          <w:rtl/>
          <w:lang w:bidi="he-IL"/>
        </w:rPr>
        <w:t>י</w:t>
      </w:r>
      <w:r w:rsidRPr="00882F11">
        <w:rPr>
          <w:rFonts w:cs="Guttman Drogolin" w:hint="cs"/>
          <w:rtl/>
          <w:lang w:bidi="he-IL"/>
        </w:rPr>
        <w:t>ו"</w:t>
      </w:r>
      <w:r w:rsidR="00896589" w:rsidRPr="00882F11">
        <w:rPr>
          <w:rFonts w:cs="Guttman Drogolin" w:hint="cs"/>
          <w:rtl/>
          <w:lang w:bidi="he-IL"/>
        </w:rPr>
        <w:t>ד</w:t>
      </w:r>
      <w:r w:rsidRPr="00882F11">
        <w:rPr>
          <w:rFonts w:cs="Guttman Drogolin" w:hint="cs"/>
          <w:rtl/>
          <w:lang w:bidi="he-IL"/>
        </w:rPr>
        <w:t xml:space="preserve"> א' סי' </w:t>
      </w:r>
      <w:r w:rsidR="00896589" w:rsidRPr="00882F11">
        <w:rPr>
          <w:rFonts w:cs="Guttman Drogolin" w:hint="cs"/>
          <w:rtl/>
          <w:lang w:bidi="he-IL"/>
        </w:rPr>
        <w:t>ס</w:t>
      </w:r>
      <w:r w:rsidRPr="00882F11">
        <w:rPr>
          <w:rFonts w:cs="Guttman Drogolin" w:hint="cs"/>
          <w:rtl/>
          <w:lang w:bidi="he-IL"/>
        </w:rPr>
        <w:t>')</w:t>
      </w:r>
      <w:r w:rsidR="00896589" w:rsidRPr="00882F11">
        <w:rPr>
          <w:rFonts w:cs="Guttman Drogolin" w:hint="cs"/>
          <w:rtl/>
          <w:lang w:bidi="he-IL"/>
        </w:rPr>
        <w:t xml:space="preserve"> </w:t>
      </w:r>
      <w:r w:rsidR="00FC5171" w:rsidRPr="00882F11">
        <w:rPr>
          <w:rFonts w:cs="Guttman Drogolin" w:hint="cs"/>
          <w:rtl/>
          <w:lang w:bidi="he-IL"/>
        </w:rPr>
        <w:t>שכתב דאע"ג שאין לסמוך להכשיר ע"י אדים בלבד, "</w:t>
      </w:r>
      <w:r w:rsidR="00FC5171" w:rsidRPr="00882F11">
        <w:rPr>
          <w:rFonts w:cs="Guttman Drogolin"/>
          <w:rtl/>
          <w:lang w:bidi="he-IL"/>
        </w:rPr>
        <w:t xml:space="preserve">אם ע"י חום הגדול נעשה זיעה גדולה שנתהוו מזה שם מים הרבה מהזיעה פשוט שמועיל להגעלה דהמים הבאים מהזיעה הם כמים ועדיף מיין ושאר משקין שפליגי הרמב"ן והרשב"א שהביא הב"י ס"ס תנ"ב </w:t>
      </w:r>
      <w:r w:rsidR="00FC5171" w:rsidRPr="00882F11">
        <w:rPr>
          <w:rFonts w:cs="Guttman Drogolin"/>
          <w:rtl/>
          <w:lang w:bidi="he-IL"/>
        </w:rPr>
        <w:lastRenderedPageBreak/>
        <w:t>והחמיר הרמ"א שם בסעי' ה' שלא להגעיל לכתחלה דהמים שנעשו מזיעה מסתבר שהוא כמים לענין הגעלה אף לכתחלה אף אלו שאינם כמים לענין הכשר טומאה שתנן ברפ"ב דמכשירין</w:t>
      </w:r>
      <w:r w:rsidR="00FC5171" w:rsidRPr="00882F11">
        <w:rPr>
          <w:rFonts w:cs="Guttman Drogolin" w:hint="cs"/>
          <w:rtl/>
          <w:lang w:bidi="he-IL"/>
        </w:rPr>
        <w:t xml:space="preserve">". והיום יש מכשירים שלכאורה יכולים לעשות על דרך מש"כ הגרמ"פ בתשובה, ולכאורה אפשר להכשר על ידם דבר שאינו צריך אלא הגעלה. </w:t>
      </w:r>
      <w:r w:rsidRPr="00882F11">
        <w:rPr>
          <w:rFonts w:cs="Guttman Drogolin" w:hint="cs"/>
          <w:rtl/>
          <w:lang w:bidi="he-IL"/>
        </w:rPr>
        <w:t xml:space="preserve">   </w:t>
      </w:r>
      <w:r w:rsidR="00141AC6" w:rsidRPr="00882F11">
        <w:rPr>
          <w:rFonts w:cs="Guttman Drogolin" w:hint="cs"/>
          <w:rtl/>
          <w:lang w:bidi="he-IL"/>
        </w:rPr>
        <w:t xml:space="preserve"> </w:t>
      </w:r>
    </w:p>
    <w:p w:rsidR="00633708" w:rsidRPr="00882F11" w:rsidRDefault="00633708" w:rsidP="00633708">
      <w:pPr>
        <w:pStyle w:val="Heading1"/>
        <w:bidi/>
        <w:spacing w:before="0" w:line="360" w:lineRule="auto"/>
        <w:jc w:val="center"/>
        <w:rPr>
          <w:rFonts w:cs="Guttman Drogolin"/>
          <w:color w:val="auto"/>
          <w:sz w:val="24"/>
          <w:szCs w:val="24"/>
          <w:u w:val="single"/>
          <w:rtl/>
          <w:lang w:bidi="he-IL"/>
        </w:rPr>
      </w:pPr>
      <w:bookmarkStart w:id="536" w:name="_Toc496175774"/>
      <w:r w:rsidRPr="00882F11">
        <w:rPr>
          <w:rFonts w:cs="Guttman Drogolin" w:hint="cs"/>
          <w:color w:val="auto"/>
          <w:sz w:val="24"/>
          <w:szCs w:val="24"/>
          <w:u w:val="single"/>
          <w:rtl/>
          <w:lang w:bidi="he-IL"/>
        </w:rPr>
        <w:t>בענין הכיסוי שעל החררה</w:t>
      </w:r>
      <w:bookmarkEnd w:id="536"/>
    </w:p>
    <w:p w:rsidR="006E3EB1" w:rsidRPr="00882F11" w:rsidRDefault="00BB4151" w:rsidP="00252BBA">
      <w:pPr>
        <w:tabs>
          <w:tab w:val="right" w:pos="7497"/>
        </w:tabs>
        <w:bidi/>
        <w:jc w:val="both"/>
        <w:rPr>
          <w:rFonts w:cs="Guttman Drogolin"/>
          <w:rtl/>
          <w:lang w:bidi="he-IL"/>
        </w:rPr>
      </w:pPr>
      <w:r>
        <w:rPr>
          <w:rFonts w:cs="Guttman Drogolin"/>
          <w:rtl/>
          <w:lang w:bidi="he-IL"/>
        </w:rPr>
        <w:fldChar w:fldCharType="begin"/>
      </w:r>
      <w:r>
        <w:instrText xml:space="preserve"> XE "</w:instrText>
      </w:r>
      <w:r w:rsidRPr="007F6963">
        <w:rPr>
          <w:rFonts w:hint="cs"/>
          <w:rtl/>
          <w:lang w:bidi="he-IL"/>
        </w:rPr>
        <w:instrText>הכשר כלים</w:instrText>
      </w:r>
      <w:r w:rsidRPr="007F6963">
        <w:rPr>
          <w:rtl/>
        </w:rPr>
        <w:instrText>:</w:instrText>
      </w:r>
      <w:r w:rsidRPr="007F6963">
        <w:rPr>
          <w:rFonts w:hint="cs"/>
          <w:rtl/>
          <w:lang w:bidi="he-IL"/>
        </w:rPr>
        <w:instrText>כיסוי ע</w:instrText>
      </w:r>
      <w:r>
        <w:rPr>
          <w:rFonts w:eastAsiaTheme="minorEastAsia"/>
          <w:lang w:bidi="he-IL"/>
        </w:rPr>
        <w:instrText>\</w:instrText>
      </w:r>
      <w:r w:rsidRPr="007F6963">
        <w:rPr>
          <w:rFonts w:hint="cs"/>
          <w:rtl/>
          <w:lang w:bidi="he-IL"/>
        </w:rPr>
        <w:instrText>"ג החררה</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95364E">
        <w:rPr>
          <w:rFonts w:hint="cs"/>
          <w:rtl/>
          <w:lang w:bidi="he-IL"/>
        </w:rPr>
        <w:instrText>זיעה</w:instrText>
      </w:r>
      <w:r w:rsidRPr="0095364E">
        <w:rPr>
          <w:rtl/>
        </w:rPr>
        <w:instrText>:</w:instrText>
      </w:r>
      <w:r w:rsidRPr="0095364E">
        <w:rPr>
          <w:rFonts w:hint="cs"/>
          <w:rtl/>
          <w:lang w:bidi="he-IL"/>
        </w:rPr>
        <w:instrText>ממאכל יבש</w:instrText>
      </w:r>
      <w:r>
        <w:instrText xml:space="preserve">" </w:instrText>
      </w:r>
      <w:r>
        <w:rPr>
          <w:rFonts w:cs="Guttman Drogolin"/>
          <w:rtl/>
          <w:lang w:bidi="he-IL"/>
        </w:rPr>
        <w:fldChar w:fldCharType="end"/>
      </w:r>
      <w:r w:rsidR="00FC5171" w:rsidRPr="00882F11">
        <w:rPr>
          <w:rFonts w:cs="Guttman Drogolin" w:hint="cs"/>
          <w:rtl/>
          <w:lang w:bidi="he-IL"/>
        </w:rPr>
        <w:t>השו"ע הצריך ליבון לכיסוי שעל החררה. ובטור מבואר ב' טעמים לזה. א' משום חשש נגיעה לחררה כשהיא ע"ג האש. ועוד משום שהכיסוי מזיעה מן החררה. וקודם כל ראיתי שהגהות ר' ברוך פרענקיל שהעיר שלכאורה אם קיבל טעם ע"י זיעה הי' צריך להספיק הגעלה (או אפילו הכשר ע"י זיעה, ותלוי בהנ"ל)</w:t>
      </w:r>
      <w:r w:rsidR="00E149FD" w:rsidRPr="00882F11">
        <w:rPr>
          <w:rFonts w:cs="Guttman Drogolin" w:hint="cs"/>
          <w:rtl/>
          <w:lang w:bidi="he-IL"/>
        </w:rPr>
        <w:t xml:space="preserve">. ולכאורה נראה לומר דאה"נ ואי משום זיעה בלבד הי' מספיק </w:t>
      </w:r>
      <w:r w:rsidR="00574BFE" w:rsidRPr="00882F11">
        <w:rPr>
          <w:rFonts w:cs="Guttman Drogolin" w:hint="cs"/>
          <w:rtl/>
          <w:lang w:bidi="he-IL"/>
        </w:rPr>
        <w:t xml:space="preserve">הגעלה, אבל חשש נגיעה מחייב ליבון, ולכן השו"ע כתב ליבון משום חשש זה. וכן הטור שהביא את הב' החששות </w:t>
      </w:r>
      <w:r w:rsidR="006E3EB1" w:rsidRPr="00882F11">
        <w:rPr>
          <w:rFonts w:cs="Guttman Drogolin" w:hint="cs"/>
          <w:rtl/>
          <w:lang w:bidi="he-IL"/>
        </w:rPr>
        <w:t xml:space="preserve">וכתב שצריך ליבון, נראה שאין כוונתו לומר </w:t>
      </w:r>
      <w:r w:rsidR="00252BBA" w:rsidRPr="00882F11">
        <w:rPr>
          <w:rFonts w:cs="Guttman Drogolin" w:hint="cs"/>
          <w:rtl/>
          <w:lang w:bidi="he-IL"/>
        </w:rPr>
        <w:t>שכל טעם בפני עצמו</w:t>
      </w:r>
      <w:r w:rsidR="006E3EB1" w:rsidRPr="00882F11">
        <w:rPr>
          <w:rFonts w:cs="Guttman Drogolin" w:hint="cs"/>
          <w:rtl/>
          <w:lang w:bidi="he-IL"/>
        </w:rPr>
        <w:t xml:space="preserve"> לא </w:t>
      </w:r>
      <w:r w:rsidR="00252BBA" w:rsidRPr="00882F11">
        <w:rPr>
          <w:rFonts w:cs="Guttman Drogolin" w:hint="cs"/>
          <w:rtl/>
          <w:lang w:bidi="he-IL"/>
        </w:rPr>
        <w:t>סגי</w:t>
      </w:r>
      <w:r w:rsidR="006E3EB1" w:rsidRPr="00882F11">
        <w:rPr>
          <w:rFonts w:cs="Guttman Drogolin" w:hint="cs"/>
          <w:rtl/>
          <w:lang w:bidi="he-IL"/>
        </w:rPr>
        <w:t xml:space="preserve"> אלא ליבון, אלא שצריך הכשר, ונקט ליבון משום החשש נגיעה, ואה"נ שהחשש זיעה אינו מחייב אלא הגעלה</w:t>
      </w:r>
      <w:r w:rsidR="00252BBA" w:rsidRPr="00882F11">
        <w:rPr>
          <w:rStyle w:val="FootnoteReference"/>
          <w:rFonts w:cs="Guttman Drogolin"/>
          <w:rtl/>
          <w:lang w:bidi="he-IL"/>
        </w:rPr>
        <w:footnoteReference w:id="556"/>
      </w:r>
      <w:r w:rsidR="006E3EB1" w:rsidRPr="00882F11">
        <w:rPr>
          <w:rFonts w:cs="Guttman Drogolin" w:hint="cs"/>
          <w:rtl/>
          <w:lang w:bidi="he-IL"/>
        </w:rPr>
        <w:t>.</w:t>
      </w:r>
    </w:p>
    <w:p w:rsidR="008F62A9" w:rsidRPr="00882F11" w:rsidRDefault="006E3EB1" w:rsidP="00CF101E">
      <w:pPr>
        <w:tabs>
          <w:tab w:val="right" w:pos="7497"/>
        </w:tabs>
        <w:bidi/>
        <w:jc w:val="both"/>
        <w:rPr>
          <w:rFonts w:cs="Guttman Drogolin"/>
          <w:rtl/>
          <w:lang w:bidi="he-IL"/>
        </w:rPr>
      </w:pPr>
      <w:r w:rsidRPr="00882F11">
        <w:rPr>
          <w:rFonts w:cs="Guttman Drogolin" w:hint="cs"/>
          <w:rtl/>
          <w:lang w:bidi="he-IL"/>
        </w:rPr>
        <w:t>ובעיקר הדבר שיש זיעה מן החררה מבואר דלא מביעי דזיעת אוכלין הוי כאוכלין וכמו שדקדק הפמ"ג כאן, אלא שחוששין לזיעה גם מדבר יבש. וכבר העיר מזה במנח"י (כלל לה לו אות כ"א) על התו"ח (וכן הוא גם בדרכ"מ יו"ד סי' ק"ח) שכתב דלא חיישינן לזיעה מדבר יבש, וכתב "</w:t>
      </w:r>
      <w:r w:rsidRPr="00882F11">
        <w:rPr>
          <w:rFonts w:cs="Guttman Drogolin"/>
          <w:rtl/>
          <w:lang w:bidi="he-IL"/>
        </w:rPr>
        <w:t>ואפשר דשאני התם כיון שנשתמש בו כל השנה חיישינן לזיעה קצת אף בלא רוטב משא"כ הכא דלא נשתמש בו רק פעם א' ועי"ל דהתם לענין לבון והגעלה לכתחלה קאמר דיש להחמיר משא"כ בדיעבד ועוד דאף דאינו מזיע כל כך כמו כיסוי קדרה מ"מ מזיעה קצת וחמץ בפסח במשהו</w:t>
      </w:r>
      <w:r w:rsidRPr="00882F11">
        <w:rPr>
          <w:rFonts w:cs="Guttman Drogolin" w:hint="cs"/>
          <w:rtl/>
          <w:lang w:bidi="he-IL"/>
        </w:rPr>
        <w:t>. אמנם ביד יהודה כתב שאינו כ</w:t>
      </w:r>
      <w:r w:rsidR="00CF101E" w:rsidRPr="00882F11">
        <w:rPr>
          <w:rFonts w:cs="Guttman Drogolin" w:hint="cs"/>
          <w:rtl/>
          <w:lang w:bidi="he-IL"/>
        </w:rPr>
        <w:t>יס</w:t>
      </w:r>
      <w:r w:rsidRPr="00882F11">
        <w:rPr>
          <w:rFonts w:cs="Guttman Drogolin" w:hint="cs"/>
          <w:rtl/>
          <w:lang w:bidi="he-IL"/>
        </w:rPr>
        <w:t xml:space="preserve">וי מתקרב </w:t>
      </w:r>
      <w:r w:rsidRPr="00882F11">
        <w:rPr>
          <w:rFonts w:cs="Guttman Drogolin" w:hint="cs"/>
          <w:rtl/>
          <w:lang w:bidi="he-IL"/>
        </w:rPr>
        <w:lastRenderedPageBreak/>
        <w:t xml:space="preserve">למאכל לא חיישינן לזיעה, אבל הכיסוי מתקרבת טובא לחררה ולכן חיישינן לזיעה.  </w:t>
      </w:r>
    </w:p>
    <w:p w:rsidR="008F62A9" w:rsidRPr="00882F11" w:rsidRDefault="008F62A9" w:rsidP="008F62A9">
      <w:pPr>
        <w:tabs>
          <w:tab w:val="right" w:pos="7497"/>
        </w:tabs>
        <w:bidi/>
        <w:jc w:val="both"/>
        <w:rPr>
          <w:rFonts w:cs="Guttman Drogolin"/>
          <w:rtl/>
          <w:lang w:bidi="he-IL"/>
        </w:rPr>
        <w:sectPr w:rsidR="008F62A9" w:rsidRPr="00882F11" w:rsidSect="00280E73">
          <w:type w:val="continuous"/>
          <w:pgSz w:w="11907" w:h="16839" w:code="9"/>
          <w:pgMar w:top="1440" w:right="1440" w:bottom="1440" w:left="1440" w:header="720" w:footer="720" w:gutter="0"/>
          <w:cols w:num="2" w:space="720"/>
          <w:bidi/>
          <w:docGrid w:linePitch="360"/>
        </w:sectPr>
      </w:pPr>
    </w:p>
    <w:p w:rsidR="008F62A9" w:rsidRPr="00882F11" w:rsidRDefault="008F62A9" w:rsidP="008F62A9">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ק"מ</w:t>
      </w:r>
    </w:p>
    <w:p w:rsidR="00280E73" w:rsidRDefault="00280E73" w:rsidP="008F62A9">
      <w:pPr>
        <w:pStyle w:val="Heading1"/>
        <w:bidi/>
        <w:spacing w:before="0" w:line="360" w:lineRule="auto"/>
        <w:jc w:val="center"/>
        <w:rPr>
          <w:rFonts w:cs="Guttman Drogolin"/>
          <w:color w:val="auto"/>
          <w:sz w:val="24"/>
          <w:szCs w:val="24"/>
          <w:u w:val="single"/>
          <w:rtl/>
          <w:lang w:bidi="he-IL"/>
        </w:rPr>
        <w:sectPr w:rsidR="00280E73" w:rsidSect="00280E73">
          <w:pgSz w:w="11907" w:h="16839" w:code="9"/>
          <w:pgMar w:top="1440" w:right="1440" w:bottom="1440" w:left="1440" w:header="720" w:footer="720" w:gutter="0"/>
          <w:cols w:space="720"/>
          <w:bidi/>
          <w:docGrid w:linePitch="360"/>
        </w:sectPr>
      </w:pPr>
    </w:p>
    <w:p w:rsidR="008F62A9" w:rsidRPr="00882F11" w:rsidRDefault="009A75BD" w:rsidP="008F62A9">
      <w:pPr>
        <w:pStyle w:val="Heading1"/>
        <w:bidi/>
        <w:spacing w:before="0" w:line="360" w:lineRule="auto"/>
        <w:jc w:val="center"/>
        <w:rPr>
          <w:rFonts w:cs="Guttman Drogolin"/>
          <w:color w:val="auto"/>
          <w:sz w:val="24"/>
          <w:szCs w:val="24"/>
          <w:u w:val="single"/>
          <w:rtl/>
          <w:lang w:bidi="he-IL"/>
        </w:rPr>
      </w:pPr>
      <w:bookmarkStart w:id="537" w:name="_Toc496175775"/>
      <w:r w:rsidRPr="00882F11">
        <w:rPr>
          <w:rFonts w:cs="Guttman Drogolin" w:hint="cs"/>
          <w:color w:val="auto"/>
          <w:sz w:val="24"/>
          <w:szCs w:val="24"/>
          <w:u w:val="single"/>
          <w:rtl/>
          <w:lang w:bidi="he-IL"/>
        </w:rPr>
        <w:lastRenderedPageBreak/>
        <w:t>דין המדוכה</w:t>
      </w:r>
      <w:bookmarkEnd w:id="537"/>
    </w:p>
    <w:p w:rsidR="005D3402" w:rsidRPr="00882F11" w:rsidRDefault="00BB4151" w:rsidP="00D76F2F">
      <w:pPr>
        <w:tabs>
          <w:tab w:val="right" w:pos="7497"/>
        </w:tabs>
        <w:bidi/>
        <w:jc w:val="both"/>
        <w:rPr>
          <w:rFonts w:cs="Guttman Drogolin"/>
          <w:rtl/>
          <w:lang w:bidi="he-IL"/>
        </w:rPr>
      </w:pPr>
      <w:r>
        <w:rPr>
          <w:rFonts w:cs="Guttman Drogolin"/>
          <w:rtl/>
          <w:lang w:bidi="he-IL"/>
        </w:rPr>
        <w:fldChar w:fldCharType="begin"/>
      </w:r>
      <w:r>
        <w:instrText xml:space="preserve"> XE "</w:instrText>
      </w:r>
      <w:r w:rsidRPr="00D23E0C">
        <w:rPr>
          <w:rFonts w:hint="cs"/>
          <w:rtl/>
          <w:lang w:bidi="he-IL"/>
        </w:rPr>
        <w:instrText>הכשר כלים</w:instrText>
      </w:r>
      <w:r w:rsidRPr="00D23E0C">
        <w:rPr>
          <w:rtl/>
        </w:rPr>
        <w:instrText>:</w:instrText>
      </w:r>
      <w:r w:rsidRPr="00D23E0C">
        <w:rPr>
          <w:rFonts w:hint="cs"/>
          <w:rtl/>
          <w:lang w:bidi="he-IL"/>
        </w:rPr>
        <w:instrText>הכשר מדוכה</w:instrText>
      </w:r>
      <w:r>
        <w:instrText xml:space="preserve">" </w:instrText>
      </w:r>
      <w:r>
        <w:rPr>
          <w:rFonts w:cs="Guttman Drogolin"/>
          <w:rtl/>
          <w:lang w:bidi="he-IL"/>
        </w:rPr>
        <w:fldChar w:fldCharType="end"/>
      </w:r>
      <w:r w:rsidR="00247C37" w:rsidRPr="00882F11">
        <w:rPr>
          <w:rFonts w:cs="Guttman Drogolin" w:hint="cs"/>
          <w:rtl/>
          <w:lang w:bidi="he-IL"/>
        </w:rPr>
        <w:t>בסע' ט"ז</w:t>
      </w:r>
      <w:r w:rsidR="00772BA0" w:rsidRPr="00882F11">
        <w:rPr>
          <w:rFonts w:cs="Guttman Drogolin" w:hint="cs"/>
          <w:rtl/>
          <w:lang w:bidi="he-IL"/>
        </w:rPr>
        <w:t xml:space="preserve"> מבואר הדין</w:t>
      </w:r>
      <w:r w:rsidR="00146FB3" w:rsidRPr="00882F11">
        <w:rPr>
          <w:rFonts w:cs="Guttman Drogolin" w:hint="cs"/>
          <w:rtl/>
          <w:lang w:bidi="he-IL"/>
        </w:rPr>
        <w:t xml:space="preserve"> של מדוכה</w:t>
      </w:r>
      <w:r w:rsidR="00772BA0" w:rsidRPr="00882F11">
        <w:rPr>
          <w:rFonts w:cs="Guttman Drogolin" w:hint="cs"/>
          <w:rtl/>
          <w:lang w:bidi="he-IL"/>
        </w:rPr>
        <w:t>, ו</w:t>
      </w:r>
      <w:r w:rsidR="00146FB3" w:rsidRPr="00882F11">
        <w:rPr>
          <w:rFonts w:cs="Guttman Drogolin" w:hint="cs"/>
          <w:rtl/>
          <w:lang w:bidi="he-IL"/>
        </w:rPr>
        <w:t xml:space="preserve">כדי לעמוד על יסוד הדברים יש להקדים </w:t>
      </w:r>
      <w:r w:rsidR="00772BA0" w:rsidRPr="00882F11">
        <w:rPr>
          <w:rFonts w:cs="Guttman Drogolin" w:hint="cs"/>
          <w:rtl/>
          <w:lang w:bidi="he-IL"/>
        </w:rPr>
        <w:t>סוג</w:t>
      </w:r>
      <w:r w:rsidR="00146FB3" w:rsidRPr="00882F11">
        <w:rPr>
          <w:rFonts w:cs="Guttman Drogolin" w:hint="cs"/>
          <w:rtl/>
          <w:lang w:bidi="he-IL"/>
        </w:rPr>
        <w:t>ית הגמ'</w:t>
      </w:r>
      <w:r w:rsidR="00772BA0" w:rsidRPr="00882F11">
        <w:rPr>
          <w:rFonts w:cs="Guttman Drogolin" w:hint="cs"/>
          <w:rtl/>
          <w:lang w:bidi="he-IL"/>
        </w:rPr>
        <w:t xml:space="preserve"> דמס' פסחים דף ל' ע"ב.</w:t>
      </w:r>
      <w:r w:rsidR="00146FB3" w:rsidRPr="00882F11">
        <w:rPr>
          <w:rFonts w:cs="Guttman Drogolin" w:hint="cs"/>
          <w:rtl/>
          <w:lang w:bidi="he-IL"/>
        </w:rPr>
        <w:t xml:space="preserve"> דשם מבואר גם מיני כלים הבולעים אפילו צונן, כגון בית שעור, ובית חרוסת, והני אגני דמחוזא. </w:t>
      </w:r>
      <w:r w:rsidR="00D76F2F" w:rsidRPr="00882F11">
        <w:rPr>
          <w:rFonts w:cs="Guttman Drogolin" w:hint="cs"/>
          <w:rtl/>
          <w:lang w:bidi="he-IL"/>
        </w:rPr>
        <w:t>וטעמא דכולהו</w:t>
      </w:r>
      <w:r w:rsidR="00146FB3" w:rsidRPr="00882F11">
        <w:rPr>
          <w:rFonts w:cs="Guttman Drogolin" w:hint="cs"/>
          <w:rtl/>
          <w:lang w:bidi="he-IL"/>
        </w:rPr>
        <w:t xml:space="preserve"> מבואר </w:t>
      </w:r>
      <w:r w:rsidR="00D76F2F" w:rsidRPr="00882F11">
        <w:rPr>
          <w:rFonts w:cs="Guttman Drogolin" w:hint="cs"/>
          <w:rtl/>
          <w:lang w:bidi="he-IL"/>
        </w:rPr>
        <w:t>בגנמ' משום שחימוצן קשה. ולכאורה הכוונה שיש באלו חריפות מסוימת שמבליע אפילו בצונן. ומבואר ששאור לבד או עיסה לבד יש לו תכונה זו, עכ"פ אי תדירי בלישה ומשהי בהו חמירא</w:t>
      </w:r>
      <w:r w:rsidR="0040086E" w:rsidRPr="00882F11">
        <w:rPr>
          <w:rFonts w:cs="Guttman Drogolin" w:hint="cs"/>
          <w:rtl/>
          <w:lang w:bidi="he-IL"/>
        </w:rPr>
        <w:t xml:space="preserve"> (ובדף שעורכין עליו נראה מביאור הגר"א שאין זה לא זה ולא זה, ומ"מ המנהג להחמיר בה)</w:t>
      </w:r>
      <w:r w:rsidR="00D76F2F" w:rsidRPr="00882F11">
        <w:rPr>
          <w:rFonts w:cs="Guttman Drogolin" w:hint="cs"/>
          <w:rtl/>
          <w:lang w:bidi="he-IL"/>
        </w:rPr>
        <w:t>. ומ"מ נראה דהנ"מ עיסה מחומ</w:t>
      </w:r>
      <w:r w:rsidR="005D3402" w:rsidRPr="00882F11">
        <w:rPr>
          <w:rFonts w:cs="Guttman Drogolin" w:hint="cs"/>
          <w:rtl/>
          <w:lang w:bidi="he-IL"/>
        </w:rPr>
        <w:t>צ</w:t>
      </w:r>
      <w:r w:rsidR="00D76F2F" w:rsidRPr="00882F11">
        <w:rPr>
          <w:rFonts w:cs="Guttman Drogolin" w:hint="cs"/>
          <w:rtl/>
          <w:lang w:bidi="he-IL"/>
        </w:rPr>
        <w:t>ת, אבל ל</w:t>
      </w:r>
      <w:r w:rsidR="005D3402" w:rsidRPr="00882F11">
        <w:rPr>
          <w:rFonts w:cs="Guttman Drogolin" w:hint="cs"/>
          <w:rtl/>
          <w:lang w:bidi="he-IL"/>
        </w:rPr>
        <w:t xml:space="preserve">חם אפוי ממש לא חשיב חימוצו קשה. ולא מיבעי למאן דסבר שכלי שהשתמשו חמץ בצונן מותר להשתמש בה מצה בחמין, דלידי' אין חמץ נבלע בצונן כלל. אלא אפילו למאן דגריס שמותר להשתמש בה צונן, הא חמין אסור, מ"מ גם לדידי' יש חילוק בין בית שאור לכלי שהשתמש בה חמץ צונן, בזה מותר מצה במונן מיהת, וזה לא התירו אפילו צונן. </w:t>
      </w:r>
    </w:p>
    <w:p w:rsidR="003F322B" w:rsidRPr="00882F11" w:rsidRDefault="005D3402" w:rsidP="003F322B">
      <w:pPr>
        <w:tabs>
          <w:tab w:val="right" w:pos="7497"/>
        </w:tabs>
        <w:bidi/>
        <w:jc w:val="both"/>
        <w:rPr>
          <w:rFonts w:cs="Guttman Drogolin"/>
          <w:rtl/>
          <w:lang w:bidi="he-IL"/>
        </w:rPr>
      </w:pPr>
      <w:r w:rsidRPr="00882F11">
        <w:rPr>
          <w:rFonts w:cs="Guttman Drogolin" w:hint="cs"/>
          <w:rtl/>
          <w:lang w:bidi="he-IL"/>
        </w:rPr>
        <w:t>והביא הרא"ש שנחלקו הראשונים אם מהני לי' הגעלה. ומשמעות דבריו שיסוד מחלוקתם, דמאן דסבר דמהני הגעלה משום שכל שנבלע שלא ע"י האור סגי לי' בהגעלה</w:t>
      </w:r>
      <w:r w:rsidR="003F322B" w:rsidRPr="00882F11">
        <w:rPr>
          <w:rStyle w:val="FootnoteReference"/>
          <w:rFonts w:cs="Guttman Drogolin"/>
          <w:rtl/>
          <w:lang w:bidi="he-IL"/>
        </w:rPr>
        <w:footnoteReference w:id="557"/>
      </w:r>
      <w:r w:rsidR="003F322B" w:rsidRPr="00882F11">
        <w:rPr>
          <w:rFonts w:cs="Guttman Drogolin" w:hint="cs"/>
          <w:rtl/>
          <w:lang w:bidi="he-IL"/>
        </w:rPr>
        <w:t>, ואין טעם שבלע בחריפות בצונן גרע טפי</w:t>
      </w:r>
      <w:r w:rsidRPr="00882F11">
        <w:rPr>
          <w:rFonts w:cs="Guttman Drogolin" w:hint="cs"/>
          <w:rtl/>
          <w:lang w:bidi="he-IL"/>
        </w:rPr>
        <w:t xml:space="preserve">. </w:t>
      </w:r>
      <w:r w:rsidR="003F322B" w:rsidRPr="00882F11">
        <w:rPr>
          <w:rFonts w:cs="Guttman Drogolin" w:hint="cs"/>
          <w:rtl/>
          <w:lang w:bidi="he-IL"/>
        </w:rPr>
        <w:t xml:space="preserve">והחולקים סוברים דחריפות גרע טפי ולא מהני הגעלה. והמחבר סתם להקל כדעת המקילים. והרמ"א החמיר להצריך ליבון קל, וכשיטת רש"י ועוד. </w:t>
      </w:r>
    </w:p>
    <w:p w:rsidR="00C90BE8" w:rsidRPr="00882F11" w:rsidRDefault="003F322B" w:rsidP="00C90BE8">
      <w:pPr>
        <w:tabs>
          <w:tab w:val="right" w:pos="7497"/>
        </w:tabs>
        <w:bidi/>
        <w:jc w:val="both"/>
        <w:rPr>
          <w:rFonts w:cs="Guttman Drogolin"/>
          <w:rtl/>
          <w:lang w:bidi="he-IL"/>
        </w:rPr>
      </w:pPr>
      <w:r w:rsidRPr="00882F11">
        <w:rPr>
          <w:rFonts w:cs="Guttman Drogolin" w:hint="cs"/>
          <w:rtl/>
          <w:lang w:bidi="he-IL"/>
        </w:rPr>
        <w:t>ו</w:t>
      </w:r>
      <w:r w:rsidR="006D5738" w:rsidRPr="00882F11">
        <w:rPr>
          <w:rFonts w:cs="Guttman Drogolin" w:hint="cs"/>
          <w:rtl/>
          <w:lang w:bidi="he-IL"/>
        </w:rPr>
        <w:t>שם ברא"ש מבואר דמדוכה סגי לי' בהגעלה אפילו לרש"י שהחמיר וסבר דלא מהני הגעלה לבית שאור. ומ"מ אעפ"כ כן החמיר בדיעבד גם</w:t>
      </w:r>
      <w:r w:rsidR="00C90BE8" w:rsidRPr="00882F11">
        <w:rPr>
          <w:rFonts w:cs="Guttman Drogolin" w:hint="cs"/>
          <w:rtl/>
          <w:lang w:bidi="he-IL"/>
        </w:rPr>
        <w:t xml:space="preserve"> בריחי</w:t>
      </w:r>
      <w:r w:rsidR="006D5738" w:rsidRPr="00882F11">
        <w:rPr>
          <w:rFonts w:cs="Guttman Drogolin" w:hint="cs"/>
          <w:rtl/>
          <w:lang w:bidi="he-IL"/>
        </w:rPr>
        <w:t xml:space="preserve">ים של פלפלין. וצ"ע מאי שנא הא מהא. וע' בביאור הגר"א שהעיר שמסדר הלכות פסח </w:t>
      </w:r>
      <w:r w:rsidR="00C90BE8" w:rsidRPr="00882F11">
        <w:rPr>
          <w:rFonts w:cs="Guttman Drogolin" w:hint="cs"/>
          <w:rtl/>
          <w:lang w:bidi="he-IL"/>
        </w:rPr>
        <w:lastRenderedPageBreak/>
        <w:t xml:space="preserve">להרא"ש בסוף המס' </w:t>
      </w:r>
      <w:r w:rsidR="006D5738" w:rsidRPr="00882F11">
        <w:rPr>
          <w:rFonts w:cs="Guttman Drogolin" w:hint="cs"/>
          <w:rtl/>
          <w:lang w:bidi="he-IL"/>
        </w:rPr>
        <w:t xml:space="preserve">נראה שחזר בו </w:t>
      </w:r>
      <w:r w:rsidR="00C90BE8" w:rsidRPr="00882F11">
        <w:rPr>
          <w:rFonts w:cs="Guttman Drogolin" w:hint="cs"/>
          <w:rtl/>
          <w:lang w:bidi="he-IL"/>
        </w:rPr>
        <w:t xml:space="preserve">וסבר שלמחמירים </w:t>
      </w:r>
      <w:r w:rsidR="006D5738" w:rsidRPr="00882F11">
        <w:rPr>
          <w:rFonts w:cs="Guttman Drogolin" w:hint="cs"/>
          <w:rtl/>
          <w:lang w:bidi="he-IL"/>
        </w:rPr>
        <w:t xml:space="preserve">גם מדוכה לא מהני </w:t>
      </w:r>
      <w:r w:rsidR="00C90BE8" w:rsidRPr="00882F11">
        <w:rPr>
          <w:rFonts w:cs="Guttman Drogolin" w:hint="cs"/>
          <w:rtl/>
          <w:lang w:bidi="he-IL"/>
        </w:rPr>
        <w:t xml:space="preserve">לי' </w:t>
      </w:r>
      <w:r w:rsidR="006D5738" w:rsidRPr="00882F11">
        <w:rPr>
          <w:rFonts w:cs="Guttman Drogolin" w:hint="cs"/>
          <w:rtl/>
          <w:lang w:bidi="he-IL"/>
        </w:rPr>
        <w:t>הגעלה.</w:t>
      </w:r>
    </w:p>
    <w:p w:rsidR="00077940" w:rsidRPr="00280E73" w:rsidRDefault="00077940" w:rsidP="00077940">
      <w:pPr>
        <w:pStyle w:val="Heading1"/>
        <w:bidi/>
        <w:spacing w:before="0" w:line="360" w:lineRule="auto"/>
        <w:jc w:val="center"/>
        <w:rPr>
          <w:rFonts w:cs="Guttman Drogolin"/>
          <w:color w:val="auto"/>
          <w:sz w:val="18"/>
          <w:szCs w:val="18"/>
          <w:u w:val="single"/>
          <w:rtl/>
          <w:lang w:bidi="he-IL"/>
        </w:rPr>
      </w:pPr>
      <w:bookmarkStart w:id="538" w:name="_Toc496175776"/>
      <w:r w:rsidRPr="00280E73">
        <w:rPr>
          <w:rFonts w:cs="Guttman Drogolin" w:hint="cs"/>
          <w:color w:val="auto"/>
          <w:sz w:val="18"/>
          <w:szCs w:val="18"/>
          <w:u w:val="single"/>
          <w:rtl/>
          <w:lang w:bidi="he-IL"/>
        </w:rPr>
        <w:t>הגעלה ע"י הכנסת אבן רותחת למים חמין שלא ע"ג האש</w:t>
      </w:r>
      <w:bookmarkEnd w:id="538"/>
    </w:p>
    <w:p w:rsidR="008F62A9" w:rsidRPr="00882F11" w:rsidRDefault="00BB4151" w:rsidP="00BB4151">
      <w:pPr>
        <w:tabs>
          <w:tab w:val="right" w:pos="7497"/>
        </w:tabs>
        <w:bidi/>
        <w:jc w:val="both"/>
        <w:rPr>
          <w:rFonts w:cs="Guttman Drogolin"/>
          <w:rtl/>
          <w:lang w:bidi="he-IL"/>
        </w:rPr>
      </w:pPr>
      <w:r>
        <w:rPr>
          <w:rFonts w:cs="Guttman Drogolin"/>
          <w:rtl/>
          <w:lang w:bidi="he-IL"/>
        </w:rPr>
        <w:fldChar w:fldCharType="begin"/>
      </w:r>
      <w:r>
        <w:instrText xml:space="preserve"> XE "</w:instrText>
      </w:r>
      <w:r w:rsidRPr="007A75D0">
        <w:rPr>
          <w:rFonts w:hint="cs"/>
          <w:rtl/>
          <w:lang w:bidi="he-IL"/>
        </w:rPr>
        <w:instrText>הכשר כלים</w:instrText>
      </w:r>
      <w:r w:rsidRPr="007A75D0">
        <w:rPr>
          <w:rtl/>
        </w:rPr>
        <w:instrText>:</w:instrText>
      </w:r>
      <w:r w:rsidRPr="007A75D0">
        <w:rPr>
          <w:rFonts w:hint="cs"/>
          <w:rtl/>
          <w:lang w:bidi="he-IL"/>
        </w:rPr>
        <w:instrText>הכנסת אבן מלובן לתוך מים חמין</w:instrText>
      </w:r>
      <w:r>
        <w:instrText xml:space="preserve">" </w:instrText>
      </w:r>
      <w:r>
        <w:rPr>
          <w:rFonts w:cs="Guttman Drogolin"/>
          <w:rtl/>
          <w:lang w:bidi="he-IL"/>
        </w:rPr>
        <w:fldChar w:fldCharType="end"/>
      </w:r>
      <w:r w:rsidR="00077940" w:rsidRPr="00882F11">
        <w:rPr>
          <w:rFonts w:cs="Guttman Drogolin" w:hint="cs"/>
          <w:rtl/>
          <w:lang w:bidi="he-IL"/>
        </w:rPr>
        <w:t>עוד מבואר שם בסע' ט"ז שאם אינו יכול להכניס המדוכה לתוך יורה רותחת, יכול למלאות אותו במי</w:t>
      </w:r>
      <w:r w:rsidR="00441DA5" w:rsidRPr="00882F11">
        <w:rPr>
          <w:rFonts w:cs="Guttman Drogolin" w:hint="cs"/>
          <w:rtl/>
          <w:lang w:bidi="he-IL"/>
        </w:rPr>
        <w:t>ם</w:t>
      </w:r>
      <w:r w:rsidR="00077940" w:rsidRPr="00882F11">
        <w:rPr>
          <w:rFonts w:cs="Guttman Drogolin" w:hint="cs"/>
          <w:rtl/>
          <w:lang w:bidi="he-IL"/>
        </w:rPr>
        <w:t xml:space="preserve"> חמין ולהכניס בה אבן רותחת וכה"ג הוי הגעלה דכלי ראשון. </w:t>
      </w:r>
      <w:r w:rsidR="00441DA5" w:rsidRPr="00882F11">
        <w:rPr>
          <w:rFonts w:cs="Guttman Drogolin" w:hint="cs"/>
          <w:rtl/>
          <w:lang w:bidi="he-IL"/>
        </w:rPr>
        <w:t xml:space="preserve">ומקור הדבר בב"י בשם הגהות מיי'. ולכאורה הדבר תמוה, דהא בראשונים מבואר שאם אינו עושה גדנפא ליורה גדולה יכול להכניס לתוך יורה דע"ג האש ויעבור המים חמין על גדותיו ותהני כמו גדנפא, אבל משמעות הדברים דרק בכה"ג שהיורה ע"ג האש, אבל אם לא נכנסו המים אלא דרך עירוי, לא מהני הכנסת אבן רותחת לעשותו כלי ראשון, דדאילו הי' כן הול"ל לאשמעינן חידוש עוד יותר גדול. וכה"ג העיר בפר"ח ס"ק ט"ז. </w:t>
      </w:r>
      <w:r w:rsidR="00492803" w:rsidRPr="00882F11">
        <w:rPr>
          <w:rFonts w:cs="Guttman Drogolin" w:hint="cs"/>
          <w:rtl/>
          <w:lang w:bidi="he-IL"/>
        </w:rPr>
        <w:t>והסיק דיתכן שלא הקילו לומר דהוי הגעלה אלא במדוכה שלא בלע ע"י רותחין. והביאו הבה"ל. וצ"ע.</w:t>
      </w:r>
      <w:r w:rsidR="006D5738" w:rsidRPr="00882F11">
        <w:rPr>
          <w:rFonts w:cs="Guttman Drogolin" w:hint="cs"/>
          <w:rtl/>
          <w:lang w:bidi="he-IL"/>
        </w:rPr>
        <w:t xml:space="preserve">  </w:t>
      </w:r>
      <w:r w:rsidR="003F322B" w:rsidRPr="00882F11">
        <w:rPr>
          <w:rFonts w:cs="Guttman Drogolin" w:hint="cs"/>
          <w:rtl/>
          <w:lang w:bidi="he-IL"/>
        </w:rPr>
        <w:t xml:space="preserve"> </w:t>
      </w:r>
      <w:r w:rsidR="00D76F2F" w:rsidRPr="00882F11">
        <w:rPr>
          <w:rFonts w:cs="Guttman Drogolin" w:hint="cs"/>
          <w:rtl/>
          <w:lang w:bidi="he-IL"/>
        </w:rPr>
        <w:t xml:space="preserve"> </w:t>
      </w:r>
      <w:r w:rsidR="00146FB3" w:rsidRPr="00882F11">
        <w:rPr>
          <w:rFonts w:cs="Guttman Drogolin" w:hint="cs"/>
          <w:rtl/>
          <w:lang w:bidi="he-IL"/>
        </w:rPr>
        <w:t xml:space="preserve">  </w:t>
      </w:r>
      <w:r w:rsidR="00772BA0" w:rsidRPr="00882F11">
        <w:rPr>
          <w:rFonts w:cs="Guttman Drogolin" w:hint="cs"/>
          <w:rtl/>
          <w:lang w:bidi="he-IL"/>
        </w:rPr>
        <w:t xml:space="preserve"> </w:t>
      </w:r>
    </w:p>
    <w:p w:rsidR="008F62A9" w:rsidRPr="00882F11" w:rsidRDefault="008F62A9" w:rsidP="002E6B16">
      <w:pPr>
        <w:pStyle w:val="Heading1"/>
        <w:keepNext w:val="0"/>
        <w:keepLines w:val="0"/>
        <w:bidi/>
        <w:spacing w:before="0" w:line="360" w:lineRule="auto"/>
        <w:jc w:val="center"/>
        <w:rPr>
          <w:rFonts w:cs="Guttman Drogolin"/>
          <w:color w:val="auto"/>
          <w:sz w:val="24"/>
          <w:szCs w:val="24"/>
          <w:u w:val="single"/>
          <w:rtl/>
          <w:lang w:bidi="he-IL"/>
        </w:rPr>
      </w:pPr>
      <w:bookmarkStart w:id="539" w:name="_Toc496175777"/>
      <w:r w:rsidRPr="00882F11">
        <w:rPr>
          <w:rFonts w:cs="Guttman Drogolin" w:hint="cs"/>
          <w:color w:val="auto"/>
          <w:sz w:val="24"/>
          <w:szCs w:val="24"/>
          <w:u w:val="single"/>
          <w:rtl/>
          <w:lang w:bidi="he-IL"/>
        </w:rPr>
        <w:t>הכשר מפות</w:t>
      </w:r>
      <w:r w:rsidR="005C6587" w:rsidRPr="00882F11">
        <w:rPr>
          <w:rFonts w:cs="Guttman Drogolin" w:hint="cs"/>
          <w:color w:val="auto"/>
          <w:sz w:val="24"/>
          <w:szCs w:val="24"/>
          <w:u w:val="single"/>
          <w:rtl/>
          <w:lang w:bidi="he-IL"/>
        </w:rPr>
        <w:t xml:space="preserve"> ומגבות</w:t>
      </w:r>
      <w:bookmarkEnd w:id="539"/>
    </w:p>
    <w:p w:rsidR="0079304C" w:rsidRPr="00882F11" w:rsidRDefault="00BB4151" w:rsidP="002E6B16">
      <w:pPr>
        <w:tabs>
          <w:tab w:val="right" w:pos="7497"/>
        </w:tabs>
        <w:bidi/>
        <w:jc w:val="both"/>
        <w:rPr>
          <w:rFonts w:cs="Guttman Drogolin"/>
          <w:rtl/>
          <w:lang w:bidi="he-IL"/>
        </w:rPr>
      </w:pPr>
      <w:r>
        <w:rPr>
          <w:rFonts w:cs="Guttman Drogolin"/>
          <w:rtl/>
          <w:lang w:bidi="he-IL"/>
        </w:rPr>
        <w:fldChar w:fldCharType="begin"/>
      </w:r>
      <w:r>
        <w:instrText xml:space="preserve"> XE "</w:instrText>
      </w:r>
      <w:r w:rsidRPr="00D606C2">
        <w:rPr>
          <w:rFonts w:hint="cs"/>
          <w:rtl/>
          <w:lang w:bidi="he-IL"/>
        </w:rPr>
        <w:instrText>הכשר כלים</w:instrText>
      </w:r>
      <w:r w:rsidRPr="00D606C2">
        <w:rPr>
          <w:rtl/>
        </w:rPr>
        <w:instrText>:</w:instrText>
      </w:r>
      <w:r w:rsidRPr="00D606C2">
        <w:rPr>
          <w:rFonts w:hint="cs"/>
          <w:rtl/>
          <w:lang w:bidi="he-IL"/>
        </w:rPr>
        <w:instrText>הכשר מפות ומגבות</w:instrText>
      </w:r>
      <w:r>
        <w:instrText xml:space="preserve">" </w:instrText>
      </w:r>
      <w:r>
        <w:rPr>
          <w:rFonts w:cs="Guttman Drogolin"/>
          <w:rtl/>
          <w:lang w:bidi="he-IL"/>
        </w:rPr>
        <w:fldChar w:fldCharType="end"/>
      </w:r>
      <w:r w:rsidR="008F62A9" w:rsidRPr="00882F11">
        <w:rPr>
          <w:rFonts w:cs="Guttman Drogolin" w:hint="cs"/>
          <w:rtl/>
          <w:lang w:bidi="he-IL"/>
        </w:rPr>
        <w:t>הרמ"א בסע' י"ח חילק בין מפה לנפה וסל</w:t>
      </w:r>
      <w:r w:rsidR="00772BA0" w:rsidRPr="00882F11">
        <w:rPr>
          <w:rFonts w:cs="Guttman Drogolin" w:hint="cs"/>
          <w:rtl/>
          <w:lang w:bidi="he-IL"/>
        </w:rPr>
        <w:t>,</w:t>
      </w:r>
      <w:r w:rsidR="008F62A9" w:rsidRPr="00882F11">
        <w:rPr>
          <w:rFonts w:cs="Guttman Drogolin" w:hint="cs"/>
          <w:rtl/>
          <w:lang w:bidi="he-IL"/>
        </w:rPr>
        <w:t xml:space="preserve"> וסבר דסגי לי' בכיבוס. והוא תורת הכשר חדש שלא הי' לנו עד עתה</w:t>
      </w:r>
      <w:r w:rsidR="00DA37E4">
        <w:rPr>
          <w:rStyle w:val="FootnoteReference"/>
          <w:rFonts w:cs="Guttman Drogolin"/>
          <w:rtl/>
          <w:lang w:bidi="he-IL"/>
        </w:rPr>
        <w:footnoteReference w:id="558"/>
      </w:r>
      <w:r w:rsidR="008F62A9" w:rsidRPr="00882F11">
        <w:rPr>
          <w:rFonts w:cs="Guttman Drogolin" w:hint="cs"/>
          <w:rtl/>
          <w:lang w:bidi="he-IL"/>
        </w:rPr>
        <w:t>. ומקור הדברים בתוס' במס' ע"ז ע"ה ע"ב וכן שם ברא"ש אות ל"ג. שבגמ' מבואר ד</w:t>
      </w:r>
      <w:r w:rsidR="008F62A9" w:rsidRPr="00882F11">
        <w:rPr>
          <w:rFonts w:cs="Guttman Drogolin"/>
          <w:rtl/>
          <w:lang w:bidi="he-IL"/>
        </w:rPr>
        <w:t>דקולי וחלאתא דארמאי</w:t>
      </w:r>
      <w:r w:rsidR="008F62A9" w:rsidRPr="00882F11">
        <w:rPr>
          <w:rFonts w:cs="Guttman Drogolin" w:hint="cs"/>
          <w:rtl/>
          <w:lang w:bidi="he-IL"/>
        </w:rPr>
        <w:t xml:space="preserve"> העשוים מכיתנא חייבים לישנן. ושם בתוד"ה מישנן הביאו בשם ר"ת דעד כאן לא אמרינן דבעינן יישון אלא בסוגי הכלים המוזכרים</w:t>
      </w:r>
      <w:r w:rsidR="005618D4" w:rsidRPr="00882F11">
        <w:rPr>
          <w:rFonts w:cs="Guttman Drogolin" w:hint="cs"/>
          <w:rtl/>
          <w:lang w:bidi="he-IL"/>
        </w:rPr>
        <w:t xml:space="preserve"> בגמ', אבל המפות אינם צריכים אלא כיבוס. והדגישו שאין לחלק בין יי"נ לשאר איסור רותח שנפל על המפה, ומשום שכולם יש להתיר ע"י כיבוס בכלי שני "כי ודאי ידוע</w:t>
      </w:r>
      <w:r w:rsidR="008F62A9" w:rsidRPr="00882F11">
        <w:rPr>
          <w:rFonts w:cs="Guttman Drogolin" w:hint="cs"/>
          <w:rtl/>
          <w:lang w:bidi="he-IL"/>
        </w:rPr>
        <w:t xml:space="preserve"> </w:t>
      </w:r>
      <w:r w:rsidR="005618D4" w:rsidRPr="00882F11">
        <w:rPr>
          <w:rFonts w:cs="Guttman Drogolin"/>
          <w:rtl/>
          <w:lang w:bidi="he-IL"/>
        </w:rPr>
        <w:t>שע"י כבוס גדול שחובטין כמה וכמה פעמים אי אפשר שלא יצא האיסור</w:t>
      </w:r>
      <w:r w:rsidR="005618D4" w:rsidRPr="00882F11">
        <w:rPr>
          <w:rFonts w:cs="Guttman Drogolin" w:hint="cs"/>
          <w:rtl/>
          <w:lang w:bidi="he-IL"/>
        </w:rPr>
        <w:t xml:space="preserve">". </w:t>
      </w:r>
      <w:r w:rsidR="009A75BD" w:rsidRPr="00882F11">
        <w:rPr>
          <w:rFonts w:cs="Guttman Drogolin" w:hint="cs"/>
          <w:rtl/>
          <w:lang w:bidi="he-IL"/>
        </w:rPr>
        <w:t>הרי שהכ</w:t>
      </w:r>
      <w:r w:rsidR="00EF79E8">
        <w:rPr>
          <w:rFonts w:cs="Guttman Drogolin" w:hint="cs"/>
          <w:rtl/>
          <w:lang w:bidi="he-IL"/>
        </w:rPr>
        <w:t>יבוס לא מוציא אך ורק את ה</w:t>
      </w:r>
      <w:r w:rsidR="009A75BD" w:rsidRPr="00882F11">
        <w:rPr>
          <w:rFonts w:cs="Guttman Drogolin" w:hint="cs"/>
          <w:rtl/>
          <w:lang w:bidi="he-IL"/>
        </w:rPr>
        <w:t xml:space="preserve">בעין אלא גם את הבלוע, דהא כתבו בהדיא שכיבוס מהני אפילו לאיסור רותח. אמנם כתבו התוס' דיתכן שבאיסור נדבק לא אמרינן דמהני </w:t>
      </w:r>
      <w:r w:rsidR="009A75BD" w:rsidRPr="00882F11">
        <w:rPr>
          <w:rFonts w:cs="Guttman Drogolin" w:hint="cs"/>
          <w:rtl/>
          <w:lang w:bidi="he-IL"/>
        </w:rPr>
        <w:lastRenderedPageBreak/>
        <w:t xml:space="preserve">כיבוס. ולכאורה כוונתו דכיון שהוא נדבק ישאר בה איסור בעין שלא ירד ע"י כיבוס. </w:t>
      </w:r>
      <w:r w:rsidR="0079304C" w:rsidRPr="00882F11">
        <w:rPr>
          <w:rFonts w:cs="Guttman Drogolin" w:hint="cs"/>
          <w:rtl/>
          <w:lang w:bidi="he-IL"/>
        </w:rPr>
        <w:t>ויעוין ברא"ש (פ"ה אות ל"ג) שהתקשה בסברא זו של ר"ת, דבשלמא צונן אפשר לסמוך על כיבוס, אבל ברותח מנין לנו להקל. ולכאורה כוונתו לשאול דמסברא אפשר להבין דמהני כיבוס ליין בעין, אבל למה תהני לבליעות. ועל זה תי'</w:t>
      </w:r>
      <w:r w:rsidR="0079304C" w:rsidRPr="00882F11">
        <w:rPr>
          <w:rFonts w:cs="Guttman Drogolin"/>
          <w:rtl/>
          <w:lang w:bidi="he-IL"/>
        </w:rPr>
        <w:t xml:space="preserve"> </w:t>
      </w:r>
      <w:r w:rsidR="0079304C" w:rsidRPr="00882F11">
        <w:rPr>
          <w:rFonts w:cs="Guttman Drogolin" w:hint="cs"/>
          <w:rtl/>
          <w:lang w:bidi="he-IL"/>
        </w:rPr>
        <w:t>דכיון "</w:t>
      </w:r>
      <w:r w:rsidR="0079304C" w:rsidRPr="00882F11">
        <w:rPr>
          <w:rFonts w:cs="Guttman Drogolin"/>
          <w:rtl/>
          <w:lang w:bidi="he-IL"/>
        </w:rPr>
        <w:t xml:space="preserve">שרגילין לכבסן בכמה כבוסין באפר וכבוס בחמין ובצונן </w:t>
      </w:r>
      <w:r w:rsidR="0079304C" w:rsidRPr="00882F11">
        <w:rPr>
          <w:rFonts w:cs="Guttman Drogolin" w:hint="cs"/>
          <w:rtl/>
          <w:lang w:bidi="he-IL"/>
        </w:rPr>
        <w:t>(</w:t>
      </w:r>
      <w:r w:rsidR="0079304C" w:rsidRPr="00882F11">
        <w:rPr>
          <w:rFonts w:cs="Guttman Drogolin"/>
          <w:rtl/>
          <w:lang w:bidi="he-IL"/>
        </w:rPr>
        <w:t>ומביא</w:t>
      </w:r>
      <w:r w:rsidR="0079304C" w:rsidRPr="00882F11">
        <w:rPr>
          <w:rFonts w:cs="Guttman Drogolin" w:hint="cs"/>
          <w:rtl/>
          <w:lang w:bidi="he-IL"/>
        </w:rPr>
        <w:t>) [ומכים]</w:t>
      </w:r>
      <w:r w:rsidR="0079304C" w:rsidRPr="00882F11">
        <w:rPr>
          <w:rFonts w:cs="Guttman Drogolin"/>
          <w:rtl/>
          <w:lang w:bidi="he-IL"/>
        </w:rPr>
        <w:t xml:space="preserve"> עליהן קים להו שמפליטים כל מה שבלעו כאילו הרתיחם בכלי ראשון</w:t>
      </w:r>
      <w:r w:rsidR="0079304C" w:rsidRPr="00882F11">
        <w:rPr>
          <w:rFonts w:cs="Guttman Drogolin" w:hint="cs"/>
          <w:rtl/>
          <w:lang w:bidi="he-IL"/>
        </w:rPr>
        <w:t xml:space="preserve">". </w:t>
      </w:r>
      <w:r w:rsidR="001913E8" w:rsidRPr="00882F11">
        <w:rPr>
          <w:rFonts w:cs="Guttman Drogolin" w:hint="cs"/>
          <w:rtl/>
          <w:lang w:bidi="he-IL"/>
        </w:rPr>
        <w:t>ויש להדגיש שהרא"ש</w:t>
      </w:r>
      <w:r w:rsidR="005C6587" w:rsidRPr="00882F11">
        <w:rPr>
          <w:rFonts w:cs="Guttman Drogolin" w:hint="cs"/>
          <w:rtl/>
          <w:lang w:bidi="he-IL"/>
        </w:rPr>
        <w:t xml:space="preserve"> הוסיף</w:t>
      </w:r>
      <w:r w:rsidR="001913E8" w:rsidRPr="00882F11">
        <w:rPr>
          <w:rFonts w:cs="Guttman Drogolin" w:hint="cs"/>
          <w:rtl/>
          <w:lang w:bidi="he-IL"/>
        </w:rPr>
        <w:t xml:space="preserve"> שמכבסין באפר, ומשמע שגם האפר (אבקת כביסה) מוסיף בהכשר המפה.</w:t>
      </w:r>
    </w:p>
    <w:p w:rsidR="005C6587" w:rsidRPr="00882F11" w:rsidRDefault="005C6587" w:rsidP="00EF79E8">
      <w:pPr>
        <w:tabs>
          <w:tab w:val="right" w:pos="7497"/>
        </w:tabs>
        <w:bidi/>
        <w:jc w:val="both"/>
        <w:rPr>
          <w:rFonts w:cs="Guttman Drogolin"/>
          <w:lang w:bidi="he-IL"/>
        </w:rPr>
      </w:pPr>
      <w:r w:rsidRPr="00882F11">
        <w:rPr>
          <w:rFonts w:cs="Guttman Drogolin" w:hint="cs"/>
          <w:rtl/>
          <w:lang w:bidi="he-IL"/>
        </w:rPr>
        <w:t>ו</w:t>
      </w:r>
      <w:r w:rsidR="004806CC" w:rsidRPr="00882F11">
        <w:rPr>
          <w:rFonts w:cs="Guttman Drogolin" w:hint="cs"/>
          <w:rtl/>
          <w:lang w:bidi="he-IL"/>
        </w:rPr>
        <w:t>ל</w:t>
      </w:r>
      <w:r w:rsidRPr="00882F11">
        <w:rPr>
          <w:rFonts w:cs="Guttman Drogolin" w:hint="cs"/>
          <w:rtl/>
          <w:lang w:bidi="he-IL"/>
        </w:rPr>
        <w:t xml:space="preserve">הגהות אשר"י </w:t>
      </w:r>
      <w:r w:rsidR="004806CC" w:rsidRPr="00882F11">
        <w:rPr>
          <w:rFonts w:cs="Guttman Drogolin" w:hint="cs"/>
          <w:rtl/>
          <w:lang w:bidi="he-IL"/>
        </w:rPr>
        <w:t xml:space="preserve">על אתר </w:t>
      </w:r>
      <w:r w:rsidRPr="00882F11">
        <w:rPr>
          <w:rFonts w:cs="Guttman Drogolin" w:hint="cs"/>
          <w:rtl/>
          <w:lang w:bidi="he-IL"/>
        </w:rPr>
        <w:t>דרכא אחרינא איכא, דממנו משמע דלא בעינן לא רותחין ולא אפר, ומשום שי"ל דכיבוס ב</w:t>
      </w:r>
      <w:r w:rsidR="00EF79E8">
        <w:rPr>
          <w:rFonts w:cs="Guttman Drogolin" w:hint="cs"/>
          <w:rtl/>
          <w:lang w:bidi="he-IL"/>
        </w:rPr>
        <w:t>צונן</w:t>
      </w:r>
      <w:r w:rsidRPr="00882F11">
        <w:rPr>
          <w:rFonts w:cs="Guttman Drogolin" w:hint="cs"/>
          <w:rtl/>
          <w:lang w:bidi="he-IL"/>
        </w:rPr>
        <w:t xml:space="preserve"> מהני כמו כיבוס ב</w:t>
      </w:r>
      <w:r w:rsidR="00EF79E8">
        <w:rPr>
          <w:rFonts w:cs="Guttman Drogolin" w:hint="cs"/>
          <w:rtl/>
          <w:lang w:bidi="he-IL"/>
        </w:rPr>
        <w:t>רותחין</w:t>
      </w:r>
      <w:r w:rsidRPr="00882F11">
        <w:rPr>
          <w:rFonts w:cs="Guttman Drogolin" w:hint="cs"/>
          <w:rtl/>
          <w:lang w:bidi="he-IL"/>
        </w:rPr>
        <w:t xml:space="preserve"> ולכאורה </w:t>
      </w:r>
      <w:r w:rsidR="004806CC" w:rsidRPr="00882F11">
        <w:rPr>
          <w:rFonts w:cs="Guttman Drogolin" w:hint="cs"/>
          <w:rtl/>
          <w:lang w:bidi="he-IL"/>
        </w:rPr>
        <w:t>הביאור בדעתו, שהרי אפילו משקה צונן נבלע במפה,</w:t>
      </w:r>
      <w:r w:rsidRPr="00882F11">
        <w:rPr>
          <w:rFonts w:cs="Guttman Drogolin" w:hint="cs"/>
          <w:rtl/>
          <w:lang w:bidi="he-IL"/>
        </w:rPr>
        <w:t xml:space="preserve"> </w:t>
      </w:r>
      <w:r w:rsidR="004806CC" w:rsidRPr="00882F11">
        <w:rPr>
          <w:rFonts w:cs="Guttman Drogolin" w:hint="cs"/>
          <w:rtl/>
          <w:lang w:bidi="he-IL"/>
        </w:rPr>
        <w:t>וכמו שמעיד החוש, ומ"מ אנחנו רואים שכיבוס מוציא את הכתם הבלוע. וע"כ חזינן שכיבוס יש לו כונה להוציא בלוע, וא"כ מה לי בצונן ומה לי ברותחין. ונראה לכאורה לומר שהרא"ש</w:t>
      </w:r>
      <w:r w:rsidR="005E78FD">
        <w:rPr>
          <w:rFonts w:cs="Guttman Drogolin" w:hint="cs"/>
          <w:rtl/>
          <w:lang w:bidi="he-IL"/>
        </w:rPr>
        <w:t xml:space="preserve"> </w:t>
      </w:r>
      <w:r w:rsidR="004806CC" w:rsidRPr="00882F11">
        <w:rPr>
          <w:rFonts w:cs="Guttman Drogolin" w:hint="cs"/>
          <w:rtl/>
          <w:lang w:bidi="he-IL"/>
        </w:rPr>
        <w:t xml:space="preserve">שחלק כעל זה ולא התיר אלא בסדר הנ"ל, היינו משום דשאני לי' בלוע ברותחין ומבלוע בצונן, א"נ שבלוע בצונן לא נחשה 'בלוע' רק מעורב עם הבד.  </w:t>
      </w:r>
      <w:r w:rsidRPr="00882F11">
        <w:rPr>
          <w:rFonts w:cs="Guttman Drogolin" w:hint="cs"/>
          <w:rtl/>
          <w:lang w:bidi="he-IL"/>
        </w:rPr>
        <w:t xml:space="preserve"> </w:t>
      </w:r>
    </w:p>
    <w:p w:rsidR="004806CC" w:rsidRPr="00882F11" w:rsidRDefault="001913E8" w:rsidP="005E78FD">
      <w:pPr>
        <w:tabs>
          <w:tab w:val="right" w:pos="7497"/>
        </w:tabs>
        <w:bidi/>
        <w:jc w:val="both"/>
        <w:rPr>
          <w:rFonts w:cs="Guttman Drogolin"/>
          <w:rtl/>
          <w:lang w:bidi="he-IL"/>
        </w:rPr>
      </w:pPr>
      <w:r w:rsidRPr="00882F11">
        <w:rPr>
          <w:rFonts w:cs="Guttman Drogolin" w:hint="cs"/>
          <w:rtl/>
          <w:lang w:bidi="he-IL"/>
        </w:rPr>
        <w:t>ו</w:t>
      </w:r>
      <w:r w:rsidR="0079304C" w:rsidRPr="00882F11">
        <w:rPr>
          <w:rFonts w:cs="Guttman Drogolin" w:hint="cs"/>
          <w:rtl/>
          <w:lang w:bidi="he-IL"/>
        </w:rPr>
        <w:t>הרמ"א ביו"ד סי' קל"ח סע' ח'</w:t>
      </w:r>
      <w:r w:rsidRPr="00882F11">
        <w:rPr>
          <w:rFonts w:cs="Guttman Drogolin" w:hint="cs"/>
          <w:rtl/>
          <w:lang w:bidi="he-IL"/>
        </w:rPr>
        <w:t xml:space="preserve"> כתב "</w:t>
      </w:r>
      <w:r w:rsidRPr="00882F11">
        <w:rPr>
          <w:rFonts w:cs="Guttman Drogolin"/>
          <w:rtl/>
          <w:lang w:bidi="he-IL"/>
        </w:rPr>
        <w:t>מפות שלנו שנפל עליהם יינם סגי להו בהדחה אפילו נפל עליהם יין רותח</w:t>
      </w:r>
      <w:r w:rsidRPr="00882F11">
        <w:rPr>
          <w:rFonts w:cs="Guttman Drogolin" w:hint="cs"/>
          <w:rtl/>
          <w:lang w:bidi="he-IL"/>
        </w:rPr>
        <w:t xml:space="preserve">". והש"ך שם בס"ק י' כתב </w:t>
      </w:r>
      <w:r w:rsidR="005C6587" w:rsidRPr="00882F11">
        <w:rPr>
          <w:rFonts w:cs="Guttman Drogolin" w:hint="cs"/>
          <w:rtl/>
          <w:lang w:bidi="he-IL"/>
        </w:rPr>
        <w:t>שמשמעות דבריו דר"ל כיבוס</w:t>
      </w:r>
      <w:r w:rsidR="0039199F" w:rsidRPr="00882F11">
        <w:rPr>
          <w:rStyle w:val="FootnoteReference"/>
          <w:rFonts w:cs="Guttman Drogolin"/>
          <w:rtl/>
          <w:lang w:bidi="he-IL"/>
        </w:rPr>
        <w:footnoteReference w:id="559"/>
      </w:r>
      <w:r w:rsidR="005C6587" w:rsidRPr="00882F11">
        <w:rPr>
          <w:rFonts w:cs="Guttman Drogolin" w:hint="cs"/>
          <w:rtl/>
          <w:lang w:bidi="he-IL"/>
        </w:rPr>
        <w:t xml:space="preserve"> בצונן וכדברי ההגהות אשר"י הנ"ל. </w:t>
      </w:r>
      <w:r w:rsidRPr="00882F11">
        <w:rPr>
          <w:rFonts w:cs="Guttman Drogolin" w:hint="cs"/>
          <w:rtl/>
          <w:lang w:bidi="he-IL"/>
        </w:rPr>
        <w:t xml:space="preserve">שכוונת הרא"ש לבאר למה מהני כיבוס אפילו לאיסור דבוק, ומשו"ה לא הקיל אא"כ יש לו את כל הסדר הנ"ל. והתוס' לא כתבו </w:t>
      </w:r>
      <w:r w:rsidR="004338AB" w:rsidRPr="00882F11">
        <w:rPr>
          <w:rFonts w:cs="Guttman Drogolin" w:hint="cs"/>
          <w:rtl/>
          <w:lang w:bidi="he-IL"/>
        </w:rPr>
        <w:t>אלא חיבוט כמה פ</w:t>
      </w:r>
      <w:r w:rsidRPr="00882F11">
        <w:rPr>
          <w:rFonts w:cs="Guttman Drogolin" w:hint="cs"/>
          <w:rtl/>
          <w:lang w:bidi="he-IL"/>
        </w:rPr>
        <w:t xml:space="preserve">עמים ומשו"ה התקשו באיסור דבוק. ולא ידעתי מנין לו שהרא"ש מתייחס </w:t>
      </w:r>
      <w:r w:rsidRPr="00882F11">
        <w:rPr>
          <w:rFonts w:cs="Guttman Drogolin" w:hint="cs"/>
          <w:rtl/>
          <w:lang w:bidi="he-IL"/>
        </w:rPr>
        <w:lastRenderedPageBreak/>
        <w:t>לאיסור דבוק, שלכאורה אין כוונתו אלא לבאר למה מהני לרותח.</w:t>
      </w:r>
    </w:p>
    <w:p w:rsidR="004D36EB" w:rsidRPr="00882F11" w:rsidRDefault="004D36EB" w:rsidP="002E6B16">
      <w:pPr>
        <w:tabs>
          <w:tab w:val="right" w:pos="7497"/>
        </w:tabs>
        <w:bidi/>
        <w:jc w:val="both"/>
        <w:rPr>
          <w:rFonts w:cs="Guttman Drogolin"/>
          <w:rtl/>
          <w:lang w:bidi="he-IL"/>
        </w:rPr>
      </w:pPr>
      <w:r w:rsidRPr="00882F11">
        <w:rPr>
          <w:rFonts w:cs="Guttman Drogolin" w:hint="cs"/>
          <w:rtl/>
          <w:lang w:bidi="he-IL"/>
        </w:rPr>
        <w:t>וע'</w:t>
      </w:r>
      <w:r w:rsidR="00BB09DC" w:rsidRPr="00882F11">
        <w:rPr>
          <w:rFonts w:cs="Guttman Drogolin" w:hint="cs"/>
          <w:rtl/>
          <w:lang w:bidi="he-IL"/>
        </w:rPr>
        <w:t xml:space="preserve"> ברמ"א שכתב שצריך להתיר התפירות.</w:t>
      </w:r>
      <w:r w:rsidRPr="00882F11">
        <w:rPr>
          <w:rFonts w:cs="Guttman Drogolin" w:hint="cs"/>
          <w:rtl/>
          <w:lang w:bidi="he-IL"/>
        </w:rPr>
        <w:t xml:space="preserve"> אמנם כל הענין של התפירות היינו </w:t>
      </w:r>
      <w:r w:rsidR="00BB09DC" w:rsidRPr="00882F11">
        <w:rPr>
          <w:rFonts w:cs="Guttman Drogolin" w:hint="cs"/>
          <w:rtl/>
          <w:lang w:bidi="he-IL"/>
        </w:rPr>
        <w:t>אם לשין ע"ג המפה, ומשו"ה כתב החק יעקב (</w:t>
      </w:r>
      <w:r w:rsidR="00BB09DC" w:rsidRPr="00882F11">
        <w:rPr>
          <w:rFonts w:cs="Guttman Drogolin"/>
          <w:rtl/>
          <w:lang w:bidi="he-IL"/>
        </w:rPr>
        <w:t>ס"ק נ</w:t>
      </w:r>
      <w:r w:rsidR="00BB09DC" w:rsidRPr="00882F11">
        <w:rPr>
          <w:rFonts w:cs="Guttman Drogolin" w:hint="cs"/>
          <w:rtl/>
          <w:lang w:bidi="he-IL"/>
        </w:rPr>
        <w:t>"</w:t>
      </w:r>
      <w:r w:rsidR="00BB09DC" w:rsidRPr="00882F11">
        <w:rPr>
          <w:rFonts w:cs="Guttman Drogolin"/>
          <w:rtl/>
          <w:lang w:bidi="he-IL"/>
        </w:rPr>
        <w:t>ג</w:t>
      </w:r>
      <w:r w:rsidR="00BB09DC" w:rsidRPr="00882F11">
        <w:rPr>
          <w:rFonts w:cs="Guttman Drogolin" w:hint="cs"/>
          <w:rtl/>
          <w:lang w:bidi="he-IL"/>
        </w:rPr>
        <w:t>)</w:t>
      </w:r>
      <w:r w:rsidR="00BB09DC" w:rsidRPr="00882F11">
        <w:rPr>
          <w:rFonts w:cs="Guttman Drogolin"/>
          <w:rtl/>
          <w:lang w:bidi="he-IL"/>
        </w:rPr>
        <w:t xml:space="preserve"> </w:t>
      </w:r>
      <w:r w:rsidR="00BB09DC" w:rsidRPr="00882F11">
        <w:rPr>
          <w:rFonts w:cs="Guttman Drogolin" w:hint="cs"/>
          <w:rtl/>
          <w:lang w:bidi="he-IL"/>
        </w:rPr>
        <w:t>ש</w:t>
      </w:r>
      <w:r w:rsidR="00BB09DC" w:rsidRPr="00882F11">
        <w:rPr>
          <w:rFonts w:cs="Guttman Drogolin"/>
          <w:rtl/>
          <w:lang w:bidi="he-IL"/>
        </w:rPr>
        <w:t>אין צריך להתיר תפירות האמרא</w:t>
      </w:r>
      <w:r w:rsidR="00BB09DC" w:rsidRPr="00882F11">
        <w:rPr>
          <w:rFonts w:cs="Guttman Drogolin" w:hint="cs"/>
          <w:rtl/>
          <w:lang w:bidi="he-IL"/>
        </w:rPr>
        <w:t xml:space="preserve"> כיון שאין</w:t>
      </w:r>
      <w:r w:rsidR="00BB09DC" w:rsidRPr="00882F11">
        <w:rPr>
          <w:rFonts w:cs="Guttman Drogolin"/>
          <w:rtl/>
          <w:lang w:bidi="he-IL"/>
        </w:rPr>
        <w:t xml:space="preserve"> עושין </w:t>
      </w:r>
      <w:r w:rsidR="00BB09DC" w:rsidRPr="00882F11">
        <w:rPr>
          <w:rFonts w:cs="Guttman Drogolin" w:hint="cs"/>
          <w:rtl/>
          <w:lang w:bidi="he-IL"/>
        </w:rPr>
        <w:t>ה</w:t>
      </w:r>
      <w:r w:rsidR="00BB09DC" w:rsidRPr="00882F11">
        <w:rPr>
          <w:rFonts w:cs="Guttman Drogolin"/>
          <w:rtl/>
          <w:lang w:bidi="he-IL"/>
        </w:rPr>
        <w:t>מצות באותו מקום</w:t>
      </w:r>
      <w:r w:rsidR="00BB09DC" w:rsidRPr="00882F11">
        <w:rPr>
          <w:rFonts w:cs="Guttman Drogolin" w:hint="cs"/>
          <w:rtl/>
          <w:lang w:bidi="he-IL"/>
        </w:rPr>
        <w:t xml:space="preserve">. </w:t>
      </w:r>
      <w:r w:rsidR="00977D7A" w:rsidRPr="00882F11">
        <w:rPr>
          <w:rFonts w:cs="Guttman Drogolin" w:hint="cs"/>
          <w:rtl/>
          <w:lang w:bidi="he-IL"/>
        </w:rPr>
        <w:t xml:space="preserve">ובדע"ת על אתר הביא מבעל הד"ק (הא"א מבוטשאטש) שמפות שלחן שלנו קילי טפי ממפות של השו"ע כיון שאין מניחים אותו על אוכל להדיא, רק שמתפרר עליו פירורי לחם וכדומה, ולכן סגי בכביסה </w:t>
      </w:r>
      <w:r w:rsidR="002A4A94" w:rsidRPr="00882F11">
        <w:rPr>
          <w:rFonts w:cs="Guttman Drogolin" w:hint="cs"/>
          <w:rtl/>
          <w:lang w:bidi="he-IL"/>
        </w:rPr>
        <w:t>בנהר שעושה נקי. ואני אוסיף בזה דברים, דהא המפות שלנו אינם אלא להנחת כלים וכדומה, ולכן עדיפי טפי מחצובות שגם בהם כתבו הפוסקים שהכשרם אינו אלא בגדר חומרא. זאת ועוד שהיום נהוג אצל כמה שמכסים המפה של בד במפה חד פעמי של פלסטיק, ולכן אפילו אם נשפך על חמץ חמץ במשך השני ויש בה בליעות של חמץ, ומ"מ הרי הוא מכסה את השלחן בשעת אכילתו בפסח במפת ניילון חד פעמי. ולכן ודאי שמותר להשתמש במפות ע"י כיבוס, ובפרט כשעושה כן במים חמין במכונת כביסה (שלכאורה הוא כולל כל התהליך המוזכר ברא"ש).</w:t>
      </w:r>
    </w:p>
    <w:p w:rsidR="002A4A94" w:rsidRPr="00882F11" w:rsidRDefault="002A4A94" w:rsidP="002E6B16">
      <w:pPr>
        <w:tabs>
          <w:tab w:val="right" w:pos="7497"/>
        </w:tabs>
        <w:bidi/>
        <w:jc w:val="both"/>
        <w:rPr>
          <w:rFonts w:cs="Guttman Drogolin"/>
          <w:rtl/>
          <w:lang w:bidi="he-IL"/>
        </w:rPr>
      </w:pPr>
      <w:r w:rsidRPr="00882F11">
        <w:rPr>
          <w:rFonts w:cs="Guttman Drogolin" w:hint="cs"/>
          <w:rtl/>
          <w:lang w:bidi="he-IL"/>
        </w:rPr>
        <w:t xml:space="preserve">אמנם בענין המגבות מטבח של היום הדבר יותר חמור. </w:t>
      </w:r>
      <w:r w:rsidR="00247C37" w:rsidRPr="00882F11">
        <w:rPr>
          <w:rFonts w:cs="Guttman Drogolin" w:hint="cs"/>
          <w:rtl/>
          <w:lang w:bidi="he-IL"/>
        </w:rPr>
        <w:t xml:space="preserve">ונדמה לי שאנשים מזלזלים בזה בבתיהם, והוא מן הדברים הצריכים חיזוק. </w:t>
      </w:r>
      <w:r w:rsidRPr="00882F11">
        <w:rPr>
          <w:rFonts w:cs="Guttman Drogolin" w:hint="cs"/>
          <w:rtl/>
          <w:lang w:bidi="he-IL"/>
        </w:rPr>
        <w:t xml:space="preserve">דהנה שזה דבר פשוט כביעתא בכותחא שאם נגב חלב שנשפך ע"י מגבת, וכשעדיין רטובה השתמש במגבת לגעת </w:t>
      </w:r>
      <w:r w:rsidR="00905359" w:rsidRPr="00882F11">
        <w:rPr>
          <w:rFonts w:cs="Guttman Drogolin" w:hint="cs"/>
          <w:rtl/>
          <w:lang w:bidi="he-IL"/>
        </w:rPr>
        <w:t>בקדרה חמה</w:t>
      </w:r>
      <w:r w:rsidRPr="00882F11">
        <w:rPr>
          <w:rFonts w:cs="Guttman Drogolin" w:hint="cs"/>
          <w:rtl/>
          <w:lang w:bidi="he-IL"/>
        </w:rPr>
        <w:t xml:space="preserve"> שיש בה תבשיל של בשר, שדינו כדמבואר ביו"ד סי' צ"ב סע' ה' </w:t>
      </w:r>
      <w:r w:rsidRPr="00882F11">
        <w:rPr>
          <w:rFonts w:cs="Guttman Drogolin"/>
          <w:rtl/>
          <w:lang w:bidi="he-IL"/>
        </w:rPr>
        <w:t>–</w:t>
      </w:r>
      <w:r w:rsidRPr="00882F11">
        <w:rPr>
          <w:rFonts w:cs="Guttman Drogolin" w:hint="cs"/>
          <w:rtl/>
          <w:lang w:bidi="he-IL"/>
        </w:rPr>
        <w:t xml:space="preserve"> ז', דהא נגע </w:t>
      </w:r>
      <w:r w:rsidR="00905359" w:rsidRPr="00882F11">
        <w:rPr>
          <w:rFonts w:cs="Guttman Drogolin" w:hint="cs"/>
          <w:rtl/>
          <w:lang w:bidi="he-IL"/>
        </w:rPr>
        <w:t>חלב ממש בקדרה</w:t>
      </w:r>
      <w:r w:rsidRPr="00882F11">
        <w:rPr>
          <w:rFonts w:cs="Guttman Drogolin" w:hint="cs"/>
          <w:rtl/>
          <w:lang w:bidi="he-IL"/>
        </w:rPr>
        <w:t xml:space="preserve"> בשרי כשעדיין רותח. ולכן דבר פשוט הוא שאם להשתמש שמגבת למין א' </w:t>
      </w:r>
      <w:r w:rsidR="00701CB1" w:rsidRPr="00882F11">
        <w:rPr>
          <w:rFonts w:cs="Guttman Drogolin" w:hint="cs"/>
          <w:rtl/>
          <w:lang w:bidi="he-IL"/>
        </w:rPr>
        <w:t>ולאחר מכן למין השני השני כל זמן</w:t>
      </w:r>
      <w:r w:rsidR="002E6B16" w:rsidRPr="00882F11">
        <w:rPr>
          <w:rFonts w:cs="Guttman Drogolin" w:hint="cs"/>
          <w:rtl/>
          <w:lang w:bidi="he-IL"/>
        </w:rPr>
        <w:t xml:space="preserve"> </w:t>
      </w:r>
      <w:r w:rsidR="00701CB1" w:rsidRPr="00882F11">
        <w:rPr>
          <w:rFonts w:cs="Guttman Drogolin" w:hint="cs"/>
          <w:rtl/>
          <w:lang w:bidi="he-IL"/>
        </w:rPr>
        <w:t>שלא כיבס אותו. אמנם כשהשתמש בה לחלב, ולאחר מכן כיבס אותו</w:t>
      </w:r>
      <w:r w:rsidR="00EC77EF" w:rsidRPr="00882F11">
        <w:rPr>
          <w:rFonts w:cs="Guttman Drogolin" w:hint="cs"/>
          <w:rtl/>
          <w:lang w:bidi="he-IL"/>
        </w:rPr>
        <w:t xml:space="preserve"> במכונת כביסה</w:t>
      </w:r>
      <w:r w:rsidR="00AC4C3C" w:rsidRPr="00882F11">
        <w:rPr>
          <w:rStyle w:val="FootnoteReference"/>
          <w:rFonts w:cs="Guttman Drogolin"/>
          <w:rtl/>
          <w:lang w:bidi="he-IL"/>
        </w:rPr>
        <w:footnoteReference w:id="560"/>
      </w:r>
      <w:r w:rsidR="00EC77EF" w:rsidRPr="00882F11">
        <w:rPr>
          <w:rFonts w:cs="Guttman Drogolin" w:hint="cs"/>
          <w:rtl/>
          <w:lang w:bidi="he-IL"/>
        </w:rPr>
        <w:t xml:space="preserve"> עם אבקת כביסה, </w:t>
      </w:r>
      <w:r w:rsidR="00EC77EF" w:rsidRPr="00882F11">
        <w:rPr>
          <w:rFonts w:cs="Guttman Drogolin" w:hint="cs"/>
          <w:rtl/>
          <w:lang w:bidi="he-IL"/>
        </w:rPr>
        <w:lastRenderedPageBreak/>
        <w:t>לכאורה מותר להשתמש בה למין השני</w:t>
      </w:r>
      <w:r w:rsidR="00EC77EF" w:rsidRPr="00882F11">
        <w:rPr>
          <w:rStyle w:val="FootnoteReference"/>
          <w:rFonts w:cs="Guttman Drogolin"/>
          <w:rtl/>
          <w:lang w:bidi="he-IL"/>
        </w:rPr>
        <w:footnoteReference w:id="561"/>
      </w:r>
      <w:r w:rsidR="00EC77EF" w:rsidRPr="00882F11">
        <w:rPr>
          <w:rFonts w:cs="Guttman Drogolin" w:hint="cs"/>
          <w:rtl/>
          <w:lang w:bidi="he-IL"/>
        </w:rPr>
        <w:t>.</w:t>
      </w:r>
      <w:r w:rsidR="007F31F8" w:rsidRPr="00882F11">
        <w:rPr>
          <w:rFonts w:cs="Guttman Drogolin" w:hint="cs"/>
          <w:rtl/>
          <w:lang w:bidi="he-IL"/>
        </w:rPr>
        <w:t xml:space="preserve"> וכן הוא עיקר הדין גם לפסח.</w:t>
      </w:r>
    </w:p>
    <w:p w:rsidR="00205281" w:rsidRPr="00882F11" w:rsidRDefault="00905359" w:rsidP="00283F20">
      <w:pPr>
        <w:tabs>
          <w:tab w:val="right" w:pos="7497"/>
        </w:tabs>
        <w:bidi/>
        <w:jc w:val="both"/>
        <w:rPr>
          <w:rFonts w:cs="Guttman Drogolin"/>
          <w:rtl/>
          <w:lang w:bidi="he-IL"/>
        </w:rPr>
      </w:pPr>
      <w:r w:rsidRPr="00882F11">
        <w:rPr>
          <w:rFonts w:cs="Guttman Drogolin" w:hint="cs"/>
          <w:rtl/>
          <w:lang w:bidi="he-IL"/>
        </w:rPr>
        <w:t xml:space="preserve">ולענין לקנות חדשים, הנה במ"ב סי' תנ"ג ס"ק ל"ב מבואר שלכתחילה יש לקנות שקים חדשים ולא לכבסם. אמנם נראה שאין זה אלא כמו שקיים שממלאים אותם קמח משום שקשה לכבסם היטב, אבל במפות שלחן ליכא לכתחילה זו. אמנם לענין מגבות של המטבח, לכאורה הוו כמו שקין לענין זה ולכן נראה שיותר טוב לקנות חדשים לפסח. </w:t>
      </w:r>
      <w:r w:rsidR="00283F20" w:rsidRPr="00882F11">
        <w:rPr>
          <w:rFonts w:cs="Guttman Drogolin" w:hint="cs"/>
          <w:rtl/>
          <w:lang w:bidi="he-IL"/>
        </w:rPr>
        <w:t>ו</w:t>
      </w:r>
      <w:r w:rsidR="007F31F8" w:rsidRPr="00882F11">
        <w:rPr>
          <w:rFonts w:cs="Guttman Drogolin" w:hint="cs"/>
          <w:rtl/>
          <w:lang w:bidi="he-IL"/>
        </w:rPr>
        <w:t xml:space="preserve">כן הוא בהלכות פסח (איידר, פט"ז הערה ל"ה) בשם הגרמ"פ. </w:t>
      </w:r>
      <w:r w:rsidR="00205281" w:rsidRPr="00882F11">
        <w:rPr>
          <w:rFonts w:cs="Guttman Drogolin" w:hint="cs"/>
          <w:rtl/>
          <w:lang w:bidi="he-IL"/>
        </w:rPr>
        <w:t>וכן לבשר וחלב, כיון שיש מכשול שיהי' בה בשר או חלב בעין וישתמש בה למין השני, או אפילו שיהי' רק בלוע בה ויגע במקום רטוב בקדה חמה, עדיף שיהי' לו מגבות מיוחדות לבשר ולחלב. וכן מצאתי שכתב בס' הכשרות (פ"א הי"ט) ובס' דרכי הלכה (פ"ג הי"ח).</w:t>
      </w:r>
      <w:r w:rsidR="00AC4C3C" w:rsidRPr="00882F11">
        <w:rPr>
          <w:rFonts w:cs="Guttman Drogolin" w:hint="cs"/>
          <w:rtl/>
          <w:lang w:bidi="he-IL"/>
        </w:rPr>
        <w:t xml:space="preserve"> וע' גם במגי"ס (ענינים ח"א סי' כ"א אות ז') שהאריך בדין מגבות לפסח.</w:t>
      </w:r>
    </w:p>
    <w:p w:rsidR="00A26B94" w:rsidRPr="00882F11" w:rsidRDefault="00205281" w:rsidP="002E6B16">
      <w:pPr>
        <w:tabs>
          <w:tab w:val="right" w:pos="7497"/>
        </w:tabs>
        <w:bidi/>
        <w:jc w:val="both"/>
        <w:rPr>
          <w:rFonts w:cs="Guttman Drogolin"/>
          <w:rtl/>
          <w:lang w:bidi="he-IL"/>
        </w:rPr>
      </w:pPr>
      <w:r w:rsidRPr="00882F11">
        <w:rPr>
          <w:rFonts w:cs="Guttman Drogolin" w:hint="cs"/>
          <w:rtl/>
          <w:lang w:bidi="he-IL"/>
        </w:rPr>
        <w:t xml:space="preserve">וחשבתי להעיר עוד הערה במגבת לפסח. והוא שלכאורה עד כאן לא ראינו דמהני כיבוס </w:t>
      </w:r>
      <w:r w:rsidR="0040576E" w:rsidRPr="00882F11">
        <w:rPr>
          <w:rFonts w:cs="Guttman Drogolin" w:hint="cs"/>
          <w:rtl/>
          <w:lang w:bidi="he-IL"/>
        </w:rPr>
        <w:t xml:space="preserve">(אפילו </w:t>
      </w:r>
      <w:r w:rsidRPr="00882F11">
        <w:rPr>
          <w:rFonts w:cs="Guttman Drogolin" w:hint="cs"/>
          <w:rtl/>
          <w:lang w:bidi="he-IL"/>
        </w:rPr>
        <w:t>באפר וחיבוט כמה פעמים ומים חמין</w:t>
      </w:r>
      <w:r w:rsidR="0040576E" w:rsidRPr="00882F11">
        <w:rPr>
          <w:rFonts w:cs="Guttman Drogolin" w:hint="cs"/>
          <w:rtl/>
          <w:lang w:bidi="he-IL"/>
        </w:rPr>
        <w:t xml:space="preserve">) אלא בדבר שנבלע ע"י רותחין, אבל אם נבלע ע"י האור אולי לא מהני כיבוס, דהא לה לא מהני הגעלה ובעינן ליבון חמור. ואע"ג שלא יצאו הפוסקים להדגיש דבר זה, יתכן שבמפות לא היתתה מילתא דשכיחא כלל שישתמשו בה ע"י האור. אמנם במגבות של מטבח של היום שפיר יש חשש שנגעו בככר לחם חם בתנוך התנור כשהוציא אותו מן התנור וכדומה. ובשלמא אם בלע כה"ג בשר או חלב קיי"ל מעיקר הדין דלא כש"ך בסי' קכ"א ס"ק </w:t>
      </w:r>
      <w:r w:rsidR="0040576E" w:rsidRPr="00882F11">
        <w:rPr>
          <w:rFonts w:cs="Guttman Drogolin" w:hint="cs"/>
          <w:rtl/>
          <w:lang w:bidi="he-IL"/>
        </w:rPr>
        <w:lastRenderedPageBreak/>
        <w:t xml:space="preserve">ח' וחשוב היתירא בבלע ולכן מהני לי' הגעלה, וא"כ לכאורה מהני לי' נמי כיבוס. אבל בחמץ דקיי"ל שמעיקר הדין לית לי' היתירא דהיתירא בלע ומשום שחמץ שמו עליו, י"ל דלא מהני לה כיבוס. ולא מצאתי מי שהעיר בזה. ויתכן שי"ל דכיון שהמקור להכשר של כיבוס משום דחזינן שנעשה נקי על ידו, אין לחלק בין בלע ע"י האור לבלע ע"י רותחין. </w:t>
      </w:r>
      <w:r w:rsidR="00C523D6" w:rsidRPr="00882F11">
        <w:rPr>
          <w:rFonts w:cs="Guttman Drogolin" w:hint="cs"/>
          <w:rtl/>
          <w:lang w:bidi="he-IL"/>
        </w:rPr>
        <w:t xml:space="preserve">וכ"ש שיש לצרף לזה שיטת הראב"ד וסייעתו דסברי דחמץ דינו כהיתירא בלע. </w:t>
      </w:r>
      <w:r w:rsidR="0040576E" w:rsidRPr="00882F11">
        <w:rPr>
          <w:rFonts w:cs="Guttman Drogolin" w:hint="cs"/>
          <w:rtl/>
          <w:lang w:bidi="he-IL"/>
        </w:rPr>
        <w:t>ו</w:t>
      </w:r>
      <w:r w:rsidR="00C523D6" w:rsidRPr="00882F11">
        <w:rPr>
          <w:rFonts w:cs="Guttman Drogolin" w:hint="cs"/>
          <w:rtl/>
          <w:lang w:bidi="he-IL"/>
        </w:rPr>
        <w:t xml:space="preserve">עדיין </w:t>
      </w:r>
      <w:r w:rsidR="0040576E" w:rsidRPr="00882F11">
        <w:rPr>
          <w:rFonts w:cs="Guttman Drogolin" w:hint="cs"/>
          <w:rtl/>
          <w:lang w:bidi="he-IL"/>
        </w:rPr>
        <w:t>צ"ע.</w:t>
      </w:r>
      <w:r w:rsidR="009B7921" w:rsidRPr="00882F11">
        <w:rPr>
          <w:rFonts w:cs="Guttman Drogolin" w:hint="cs"/>
          <w:rtl/>
          <w:lang w:bidi="he-IL"/>
        </w:rPr>
        <w:t xml:space="preserve"> וע' </w:t>
      </w:r>
      <w:r w:rsidR="00292497" w:rsidRPr="00882F11">
        <w:rPr>
          <w:rFonts w:cs="Guttman Drogolin" w:hint="cs"/>
          <w:rtl/>
          <w:lang w:bidi="he-IL"/>
        </w:rPr>
        <w:t>עוד</w:t>
      </w:r>
      <w:r w:rsidR="009B7921" w:rsidRPr="00882F11">
        <w:rPr>
          <w:rFonts w:cs="Guttman Drogolin" w:hint="cs"/>
          <w:rtl/>
          <w:lang w:bidi="he-IL"/>
        </w:rPr>
        <w:t xml:space="preserve"> מש"כ בסמוך.</w:t>
      </w:r>
    </w:p>
    <w:p w:rsidR="00A26B94" w:rsidRPr="00882F11" w:rsidRDefault="00A26B94" w:rsidP="002E6B16">
      <w:pPr>
        <w:pStyle w:val="Heading1"/>
        <w:keepNext w:val="0"/>
        <w:keepLines w:val="0"/>
        <w:bidi/>
        <w:spacing w:before="0" w:line="360" w:lineRule="auto"/>
        <w:jc w:val="center"/>
        <w:rPr>
          <w:rFonts w:cs="Guttman Drogolin"/>
          <w:color w:val="auto"/>
          <w:sz w:val="24"/>
          <w:szCs w:val="24"/>
          <w:u w:val="single"/>
          <w:rtl/>
          <w:lang w:bidi="he-IL"/>
        </w:rPr>
      </w:pPr>
      <w:bookmarkStart w:id="540" w:name="_Toc496175778"/>
      <w:r w:rsidRPr="00882F11">
        <w:rPr>
          <w:rFonts w:cs="Guttman Drogolin" w:hint="cs"/>
          <w:color w:val="auto"/>
          <w:sz w:val="24"/>
          <w:szCs w:val="24"/>
          <w:u w:val="single"/>
          <w:rtl/>
          <w:lang w:bidi="he-IL"/>
        </w:rPr>
        <w:t>דין הרחת</w:t>
      </w:r>
      <w:bookmarkEnd w:id="540"/>
    </w:p>
    <w:p w:rsidR="00A26B94" w:rsidRPr="00882F11" w:rsidRDefault="00BB4151" w:rsidP="002E6B16">
      <w:pPr>
        <w:tabs>
          <w:tab w:val="right" w:pos="7497"/>
        </w:tabs>
        <w:bidi/>
        <w:jc w:val="both"/>
        <w:rPr>
          <w:rFonts w:cs="Guttman Drogolin"/>
          <w:rtl/>
        </w:rPr>
      </w:pPr>
      <w:r>
        <w:rPr>
          <w:rFonts w:cs="Guttman Drogolin"/>
          <w:rtl/>
          <w:lang w:bidi="he-IL"/>
        </w:rPr>
        <w:fldChar w:fldCharType="begin"/>
      </w:r>
      <w:r>
        <w:instrText xml:space="preserve"> XE "</w:instrText>
      </w:r>
      <w:r w:rsidRPr="003F1D7D">
        <w:rPr>
          <w:rFonts w:hint="cs"/>
          <w:rtl/>
          <w:lang w:bidi="he-IL"/>
        </w:rPr>
        <w:instrText>הכשר כלים</w:instrText>
      </w:r>
      <w:r w:rsidRPr="003F1D7D">
        <w:rPr>
          <w:rtl/>
        </w:rPr>
        <w:instrText>:</w:instrText>
      </w:r>
      <w:r w:rsidRPr="003F1D7D">
        <w:rPr>
          <w:rFonts w:hint="cs"/>
          <w:rtl/>
          <w:lang w:bidi="he-IL"/>
        </w:rPr>
        <w:instrText>הכשר הרחת</w:instrText>
      </w:r>
      <w:r>
        <w:instrText xml:space="preserve">" </w:instrText>
      </w:r>
      <w:r>
        <w:rPr>
          <w:rFonts w:cs="Guttman Drogolin"/>
          <w:rtl/>
          <w:lang w:bidi="he-IL"/>
        </w:rPr>
        <w:fldChar w:fldCharType="end"/>
      </w:r>
      <w:r w:rsidR="00292497" w:rsidRPr="00882F11">
        <w:rPr>
          <w:rFonts w:cs="Guttman Drogolin" w:hint="cs"/>
          <w:rtl/>
          <w:lang w:bidi="he-IL"/>
        </w:rPr>
        <w:t>כתב השו"ע בסע' י"ט "</w:t>
      </w:r>
      <w:r w:rsidR="00292497" w:rsidRPr="00882F11">
        <w:rPr>
          <w:rFonts w:cs="Guttman Drogolin"/>
          <w:rtl/>
          <w:lang w:bidi="he-IL"/>
        </w:rPr>
        <w:t>הרחת שקורים פאל"ה יש אומרים שאין מועיל לה הגעלה</w:t>
      </w:r>
      <w:r w:rsidR="00292497" w:rsidRPr="00882F11">
        <w:rPr>
          <w:rFonts w:cs="Guttman Drogolin" w:hint="cs"/>
          <w:rtl/>
          <w:lang w:bidi="he-IL"/>
        </w:rPr>
        <w:t xml:space="preserve"> וכו'". והרחת הוא הכלי שמוציאים ההכרות של לחם וכדומה מן התנור (וכמו שפי' המ"ב בס"ק ק"ט). ולפום ריהטא דבר פשוט שתשמישתו ע"י האור וצריך ליבון. וא"כ צ"ע מאי 'י"א' איכא. וכן ל</w:t>
      </w:r>
      <w:r w:rsidR="000D54A4">
        <w:rPr>
          <w:rFonts w:cs="Guttman Drogolin" w:hint="cs"/>
          <w:rtl/>
          <w:lang w:bidi="he-IL"/>
        </w:rPr>
        <w:t>ש</w:t>
      </w:r>
      <w:r w:rsidR="00292497" w:rsidRPr="00882F11">
        <w:rPr>
          <w:rFonts w:cs="Guttman Drogolin" w:hint="cs"/>
          <w:rtl/>
          <w:lang w:bidi="he-IL"/>
        </w:rPr>
        <w:t>ון הכל בו בב"י "ה</w:t>
      </w:r>
      <w:r w:rsidR="00292497" w:rsidRPr="00882F11">
        <w:rPr>
          <w:rFonts w:cs="Guttman Drogolin"/>
          <w:rtl/>
          <w:lang w:bidi="he-IL"/>
        </w:rPr>
        <w:t>רחת שקורין פל"א נהגו להגעילה או לקנות חדשה ו</w:t>
      </w:r>
      <w:r w:rsidR="00292497" w:rsidRPr="00882F11">
        <w:rPr>
          <w:rFonts w:cs="Guttman Drogolin" w:hint="cs"/>
          <w:rtl/>
          <w:lang w:bidi="he-IL"/>
        </w:rPr>
        <w:t xml:space="preserve">כו'". וצ"ע אמאי מהני הגעלה. ובדעת הכל בו י"ל דסבירא לי' דחמץ מקרי היתירא בלע, אבל השו"ע הרי פסק מעיקר הדין דחמץ מיקרי איסורא בלע, וא"כ למה הביא י"א דמהני הגעלה מה שלא הביא לעיל בעיקר דין דכלים שתשמישתן באור. </w:t>
      </w:r>
      <w:r w:rsidR="00522951" w:rsidRPr="00882F11">
        <w:rPr>
          <w:rFonts w:cs="Guttman Drogolin" w:hint="cs"/>
          <w:rtl/>
          <w:lang w:bidi="he-IL"/>
        </w:rPr>
        <w:t>ויעוין בא"ר (ס"ק ל"ט)</w:t>
      </w:r>
      <w:r w:rsidR="000D54A4">
        <w:rPr>
          <w:rFonts w:cs="Guttman Drogolin" w:hint="cs"/>
          <w:rtl/>
          <w:lang w:bidi="he-IL"/>
        </w:rPr>
        <w:t xml:space="preserve"> </w:t>
      </w:r>
      <w:r w:rsidR="00522951" w:rsidRPr="00882F11">
        <w:rPr>
          <w:rFonts w:cs="Guttman Drogolin" w:hint="cs"/>
          <w:rtl/>
          <w:lang w:bidi="he-IL"/>
        </w:rPr>
        <w:t>שכתב דיתכן דסגי בהגעלה אפילו למ"ד דחמץ שמו עליו, ומשום "</w:t>
      </w:r>
      <w:r w:rsidR="00522951" w:rsidRPr="00882F11">
        <w:rPr>
          <w:rFonts w:cs="Guttman Drogolin"/>
          <w:rtl/>
          <w:lang w:bidi="he-IL"/>
        </w:rPr>
        <w:t>שאינו (שהוא) [שוהה] באור אלא מנענע ומכניס ומוציא</w:t>
      </w:r>
      <w:r w:rsidR="00522951" w:rsidRPr="00882F11">
        <w:rPr>
          <w:rFonts w:cs="Guttman Drogolin" w:hint="cs"/>
          <w:rtl/>
          <w:lang w:bidi="he-IL"/>
        </w:rPr>
        <w:t xml:space="preserve">". וכן ע' במ"ב ס"ק </w:t>
      </w:r>
      <w:r w:rsidR="000D54A4">
        <w:rPr>
          <w:rFonts w:cs="Guttman Drogolin" w:hint="cs"/>
          <w:rtl/>
          <w:lang w:bidi="he-IL"/>
        </w:rPr>
        <w:t>ס"ק ק"י שאם עש</w:t>
      </w:r>
      <w:r w:rsidR="00247C37" w:rsidRPr="00882F11">
        <w:rPr>
          <w:rFonts w:cs="Guttman Drogolin" w:hint="cs"/>
          <w:rtl/>
          <w:lang w:bidi="he-IL"/>
        </w:rPr>
        <w:t>ו הגעלה לרחת ושוב השתמשו בה בפסח אין לאסור בדיעבד.</w:t>
      </w:r>
      <w:r w:rsidR="00522951" w:rsidRPr="00882F11">
        <w:rPr>
          <w:rFonts w:cs="Guttman Drogolin"/>
          <w:rtl/>
          <w:lang w:bidi="he-IL"/>
        </w:rPr>
        <w:t xml:space="preserve"> </w:t>
      </w:r>
      <w:r w:rsidR="00292497" w:rsidRPr="00882F11">
        <w:rPr>
          <w:rFonts w:cs="Guttman Drogolin"/>
          <w:rtl/>
          <w:lang w:bidi="he-IL"/>
        </w:rPr>
        <w:t xml:space="preserve"> </w:t>
      </w:r>
      <w:r w:rsidR="00292497" w:rsidRPr="00882F11">
        <w:rPr>
          <w:rFonts w:cs="Guttman Drogolin" w:hint="cs"/>
          <w:rtl/>
          <w:lang w:bidi="he-IL"/>
        </w:rPr>
        <w:t xml:space="preserve">  </w:t>
      </w:r>
    </w:p>
    <w:p w:rsidR="00C17D21" w:rsidRPr="00882F11" w:rsidRDefault="00A26B94" w:rsidP="002E6B16">
      <w:pPr>
        <w:tabs>
          <w:tab w:val="right" w:pos="7497"/>
        </w:tabs>
        <w:bidi/>
        <w:jc w:val="both"/>
        <w:rPr>
          <w:rFonts w:cs="Guttman Drogolin"/>
          <w:rtl/>
          <w:lang w:bidi="he-IL"/>
        </w:rPr>
      </w:pPr>
      <w:r w:rsidRPr="00882F11">
        <w:rPr>
          <w:rFonts w:cs="Guttman Drogolin" w:hint="cs"/>
          <w:rtl/>
          <w:lang w:bidi="he-IL"/>
        </w:rPr>
        <w:lastRenderedPageBreak/>
        <w:t>ויש בזה נפק"מ גם למש"כ לענין מגבת לפסח</w:t>
      </w:r>
      <w:r w:rsidR="00247C37" w:rsidRPr="00882F11">
        <w:rPr>
          <w:rFonts w:cs="Guttman Drogolin" w:hint="cs"/>
          <w:rtl/>
          <w:lang w:bidi="he-IL"/>
        </w:rPr>
        <w:t>, שהערנו דיתכן שלא מהני לה הגעלה אם בלע ע"י האור. אמנם לפי מה שיסד לן הא"ר לענין הרחת, לכאורה גם במגבת יש להקל בפסח.</w:t>
      </w:r>
      <w:r w:rsidRPr="00882F11">
        <w:rPr>
          <w:rFonts w:cs="Guttman Drogolin" w:hint="cs"/>
          <w:rtl/>
          <w:lang w:bidi="he-IL"/>
        </w:rPr>
        <w:t xml:space="preserve"> </w:t>
      </w:r>
    </w:p>
    <w:p w:rsidR="001A7295" w:rsidRPr="00882F11" w:rsidRDefault="001A7295" w:rsidP="001A7295">
      <w:pPr>
        <w:pStyle w:val="Heading1"/>
        <w:bidi/>
        <w:spacing w:before="0" w:line="360" w:lineRule="auto"/>
        <w:jc w:val="center"/>
        <w:rPr>
          <w:rFonts w:cs="Guttman Drogolin"/>
          <w:color w:val="auto"/>
          <w:sz w:val="24"/>
          <w:szCs w:val="24"/>
          <w:u w:val="single"/>
          <w:rtl/>
          <w:lang w:bidi="he-IL"/>
        </w:rPr>
      </w:pPr>
      <w:bookmarkStart w:id="541" w:name="_Toc496175779"/>
      <w:r w:rsidRPr="00882F11">
        <w:rPr>
          <w:rFonts w:cs="Guttman Drogolin" w:hint="cs"/>
          <w:color w:val="auto"/>
          <w:sz w:val="24"/>
          <w:szCs w:val="24"/>
          <w:u w:val="single"/>
          <w:rtl/>
          <w:lang w:bidi="he-IL"/>
        </w:rPr>
        <w:t>שולחנות</w:t>
      </w:r>
      <w:bookmarkEnd w:id="541"/>
    </w:p>
    <w:p w:rsidR="00DF57A9" w:rsidRPr="00882F11" w:rsidRDefault="00BB4151" w:rsidP="00DF57A9">
      <w:pPr>
        <w:tabs>
          <w:tab w:val="right" w:pos="7497"/>
        </w:tabs>
        <w:bidi/>
        <w:jc w:val="both"/>
        <w:rPr>
          <w:rFonts w:cs="Guttman Drogolin"/>
          <w:rtl/>
          <w:lang w:bidi="he-IL"/>
        </w:rPr>
      </w:pPr>
      <w:r>
        <w:rPr>
          <w:rFonts w:cs="Guttman Drogolin"/>
          <w:rtl/>
          <w:lang w:bidi="he-IL"/>
        </w:rPr>
        <w:fldChar w:fldCharType="begin"/>
      </w:r>
      <w:r>
        <w:instrText xml:space="preserve"> XE "</w:instrText>
      </w:r>
      <w:r w:rsidRPr="008432A0">
        <w:rPr>
          <w:rFonts w:hint="cs"/>
          <w:rtl/>
          <w:lang w:bidi="he-IL"/>
        </w:rPr>
        <w:instrText>הכשר כלים</w:instrText>
      </w:r>
      <w:r w:rsidRPr="008432A0">
        <w:rPr>
          <w:rtl/>
        </w:rPr>
        <w:instrText>:</w:instrText>
      </w:r>
      <w:r w:rsidRPr="008432A0">
        <w:rPr>
          <w:rFonts w:hint="cs"/>
          <w:rtl/>
          <w:lang w:bidi="he-IL"/>
        </w:rPr>
        <w:instrText>הכשר שולחנות</w:instrText>
      </w:r>
      <w:r>
        <w:instrText xml:space="preserve">" </w:instrText>
      </w:r>
      <w:r>
        <w:rPr>
          <w:rFonts w:cs="Guttman Drogolin"/>
          <w:rtl/>
          <w:lang w:bidi="he-IL"/>
        </w:rPr>
        <w:fldChar w:fldCharType="end"/>
      </w:r>
      <w:r w:rsidR="00A033A9" w:rsidRPr="00882F11">
        <w:rPr>
          <w:rFonts w:cs="Guttman Drogolin" w:hint="cs"/>
          <w:rtl/>
          <w:lang w:bidi="he-IL"/>
        </w:rPr>
        <w:t xml:space="preserve">איתא בשולחן ערוך </w:t>
      </w:r>
      <w:r w:rsidR="001A7295" w:rsidRPr="00882F11">
        <w:rPr>
          <w:rFonts w:cs="Guttman Drogolin" w:hint="cs"/>
          <w:rtl/>
          <w:lang w:bidi="he-IL"/>
        </w:rPr>
        <w:t xml:space="preserve">בסע' </w:t>
      </w:r>
      <w:r w:rsidR="00142988" w:rsidRPr="00882F11">
        <w:rPr>
          <w:rFonts w:cs="Guttman Drogolin" w:hint="cs"/>
          <w:rtl/>
          <w:lang w:bidi="he-IL"/>
        </w:rPr>
        <w:t>כ'</w:t>
      </w:r>
      <w:r w:rsidR="001A7295" w:rsidRPr="00882F11">
        <w:rPr>
          <w:rFonts w:cs="Guttman Drogolin" w:hint="cs"/>
          <w:rtl/>
          <w:lang w:bidi="he-IL"/>
        </w:rPr>
        <w:t xml:space="preserve"> </w:t>
      </w:r>
      <w:r w:rsidR="00A033A9" w:rsidRPr="00882F11">
        <w:rPr>
          <w:rFonts w:cs="Guttman Drogolin" w:hint="cs"/>
          <w:rtl/>
          <w:lang w:bidi="he-IL"/>
        </w:rPr>
        <w:t>"</w:t>
      </w:r>
      <w:r w:rsidR="00A033A9" w:rsidRPr="00882F11">
        <w:rPr>
          <w:rFonts w:cs="Guttman Drogolin"/>
          <w:rtl/>
          <w:lang w:bidi="he-IL"/>
        </w:rPr>
        <w:t>השלחנות והתיבות שמצניעים בהם אוכלין כל השנה, רגילים לערות עליהם רותחין לפי שלפעמים נשפך מרק מן הקדירה לתוכן</w:t>
      </w:r>
      <w:r w:rsidR="00A033A9" w:rsidRPr="00882F11">
        <w:rPr>
          <w:rFonts w:cs="Guttman Drogolin" w:hint="cs"/>
          <w:rtl/>
          <w:lang w:bidi="he-IL"/>
        </w:rPr>
        <w:t xml:space="preserve">". </w:t>
      </w:r>
      <w:r>
        <w:rPr>
          <w:rFonts w:cs="Guttman Drogolin"/>
          <w:rtl/>
          <w:lang w:bidi="he-IL"/>
        </w:rPr>
        <w:fldChar w:fldCharType="begin"/>
      </w:r>
      <w:r>
        <w:instrText xml:space="preserve"> XE "</w:instrText>
      </w:r>
      <w:r w:rsidRPr="00A14780">
        <w:rPr>
          <w:rFonts w:hint="cs"/>
          <w:rtl/>
          <w:lang w:bidi="he-IL"/>
        </w:rPr>
        <w:instrText>הכשר כלים</w:instrText>
      </w:r>
      <w:r w:rsidRPr="00A14780">
        <w:rPr>
          <w:rtl/>
        </w:rPr>
        <w:instrText>:</w:instrText>
      </w:r>
      <w:r w:rsidRPr="00A14780">
        <w:rPr>
          <w:rFonts w:hint="cs"/>
          <w:rtl/>
          <w:lang w:bidi="he-IL"/>
        </w:rPr>
        <w:instrText>רוב תשמישתו</w:instrText>
      </w:r>
      <w:r>
        <w:instrText xml:space="preserve">" </w:instrText>
      </w:r>
      <w:r>
        <w:rPr>
          <w:rFonts w:cs="Guttman Drogolin"/>
          <w:rtl/>
          <w:lang w:bidi="he-IL"/>
        </w:rPr>
        <w:fldChar w:fldCharType="end"/>
      </w:r>
      <w:r w:rsidR="005D0C61" w:rsidRPr="00882F11">
        <w:rPr>
          <w:rFonts w:cs="Guttman Drogolin" w:hint="cs"/>
          <w:rtl/>
          <w:lang w:bidi="he-IL"/>
        </w:rPr>
        <w:t xml:space="preserve">ולכאורה דברי השו"ע צריכים עיון דהא שיטת השו"ע בסע' ו' דאזלינן בתר רוב תשמישתו, ולכאורה הכא אין השפיכה נחשב רוב תשמשיתו, ואדרבה אין זה תשמישתו כלל. וכן ראיתי שהעיר </w:t>
      </w:r>
      <w:r w:rsidR="00B8032A" w:rsidRPr="00882F11">
        <w:rPr>
          <w:rFonts w:cs="Guttman Drogolin" w:hint="cs"/>
          <w:rtl/>
          <w:lang w:bidi="he-IL"/>
        </w:rPr>
        <w:t xml:space="preserve">הגרי"מ רובין </w:t>
      </w:r>
      <w:r w:rsidR="005D0C61" w:rsidRPr="00882F11">
        <w:rPr>
          <w:rFonts w:cs="Guttman Drogolin" w:hint="cs"/>
          <w:rtl/>
          <w:lang w:bidi="he-IL"/>
        </w:rPr>
        <w:t xml:space="preserve">ב'מבי דינא </w:t>
      </w:r>
      <w:r w:rsidR="005D0C61" w:rsidRPr="00882F11">
        <w:rPr>
          <w:rFonts w:cs="Guttman Drogolin"/>
          <w:rtl/>
          <w:lang w:bidi="he-IL"/>
        </w:rPr>
        <w:t>–</w:t>
      </w:r>
      <w:r w:rsidR="005D0C61" w:rsidRPr="00882F11">
        <w:rPr>
          <w:rFonts w:cs="Guttman Drogolin" w:hint="cs"/>
          <w:rtl/>
          <w:lang w:bidi="he-IL"/>
        </w:rPr>
        <w:t xml:space="preserve"> עניני חג הפסח עמ' ק"פ</w:t>
      </w:r>
      <w:r w:rsidR="00FB584F" w:rsidRPr="00882F11">
        <w:rPr>
          <w:rFonts w:cs="Guttman Drogolin" w:hint="cs"/>
          <w:rtl/>
          <w:lang w:bidi="he-IL"/>
        </w:rPr>
        <w:t>, ומגי"ס (ענינים או"ח סי' כ')</w:t>
      </w:r>
      <w:r w:rsidR="005D0C61" w:rsidRPr="00882F11">
        <w:rPr>
          <w:rFonts w:cs="Guttman Drogolin" w:hint="cs"/>
          <w:rtl/>
          <w:lang w:bidi="he-IL"/>
        </w:rPr>
        <w:t xml:space="preserve"> ובס' שעשועי אפרים למס' פסחים דף ל'. ובשעשועי אפרים </w:t>
      </w:r>
      <w:r w:rsidR="00B8032A" w:rsidRPr="00882F11">
        <w:rPr>
          <w:rFonts w:cs="Guttman Drogolin" w:hint="cs"/>
          <w:rtl/>
          <w:lang w:bidi="he-IL"/>
        </w:rPr>
        <w:t xml:space="preserve">למו"ר הג"ר אפרים קירשנבוים שליט"א </w:t>
      </w:r>
      <w:r w:rsidR="005D0C61" w:rsidRPr="00882F11">
        <w:rPr>
          <w:rFonts w:cs="Guttman Drogolin" w:hint="cs"/>
          <w:rtl/>
          <w:lang w:bidi="he-IL"/>
        </w:rPr>
        <w:t xml:space="preserve">ציין לדברי החכמת שלמה ליו"ד סי' צ"א סע' ב'. </w:t>
      </w:r>
      <w:r w:rsidR="0069543A" w:rsidRPr="00882F11">
        <w:rPr>
          <w:rFonts w:cs="Guttman Drogolin" w:hint="cs"/>
          <w:rtl/>
          <w:lang w:bidi="he-IL"/>
        </w:rPr>
        <w:t>דשם הבא דברי השפ"ד (ס"ק ג') שכתב "</w:t>
      </w:r>
      <w:r w:rsidR="0069543A" w:rsidRPr="00882F11">
        <w:rPr>
          <w:rFonts w:cs="Guttman Drogolin"/>
          <w:rtl/>
          <w:lang w:bidi="he-IL"/>
        </w:rPr>
        <w:t>אם נפל הנר על כלי עץ נבלע ע"י אור לא סגי</w:t>
      </w:r>
      <w:r w:rsidR="0069543A" w:rsidRPr="00882F11">
        <w:rPr>
          <w:rFonts w:cs="Guttman Drogolin" w:hint="cs"/>
          <w:rtl/>
          <w:lang w:bidi="he-IL"/>
        </w:rPr>
        <w:t xml:space="preserve"> </w:t>
      </w:r>
      <w:r w:rsidR="0069543A" w:rsidRPr="00882F11">
        <w:rPr>
          <w:rFonts w:cs="Guttman Drogolin"/>
          <w:rtl/>
          <w:lang w:bidi="he-IL"/>
        </w:rPr>
        <w:t>בהגעלה</w:t>
      </w:r>
      <w:r w:rsidR="0069543A" w:rsidRPr="00882F11">
        <w:rPr>
          <w:rFonts w:cs="Guttman Drogolin" w:hint="cs"/>
          <w:rtl/>
          <w:lang w:bidi="he-IL"/>
        </w:rPr>
        <w:t>". והביא שם בחכמ"ש שהי' מי שהעיר שלכאורה אזלינן בתר רוב תשמישתו, ולכארה אין רוב תשמישתו ע"י נפילה. ותי' המהרש"ק</w:t>
      </w:r>
      <w:r w:rsidR="00553AA5" w:rsidRPr="00882F11">
        <w:rPr>
          <w:rFonts w:cs="Guttman Drogolin" w:hint="cs"/>
          <w:rtl/>
          <w:lang w:bidi="he-IL"/>
        </w:rPr>
        <w:t xml:space="preserve"> שאין הנידון דומה לראי', דבשלמא דבר שנאסר בלאו הכי, אמרינן דמיגו דמכשיר משום תשמיש זה מכשיר נמי משום תשמיש זה אע"ג שבעצם לא עשה הכשר מספיק לענין תשמיש המיעוט. אבל דבר שלא נאסר כלל אלא ע"י האור שפיר צריך הכשר כפי איך שנבלע, דהא אל"כ אין לא הכשר כלל. וכוונת המחבר לומר דהה"נ בשולחנות, דכיון שאלמלא השפיכות אינו מכשירו כלל,</w:t>
      </w:r>
      <w:r w:rsidR="00DF57A9" w:rsidRPr="00882F11">
        <w:rPr>
          <w:rFonts w:cs="Guttman Drogolin" w:hint="cs"/>
          <w:rtl/>
          <w:lang w:bidi="he-IL"/>
        </w:rPr>
        <w:t xml:space="preserve"> </w:t>
      </w:r>
      <w:r w:rsidR="00553AA5" w:rsidRPr="00882F11">
        <w:rPr>
          <w:rFonts w:cs="Guttman Drogolin" w:hint="cs"/>
          <w:rtl/>
          <w:lang w:bidi="he-IL"/>
        </w:rPr>
        <w:t xml:space="preserve">לא מהני כאן הסברא דרוב תשמישתו. </w:t>
      </w:r>
    </w:p>
    <w:p w:rsidR="00DF57A9" w:rsidRPr="00882F11" w:rsidRDefault="00553AA5" w:rsidP="00B8032A">
      <w:pPr>
        <w:tabs>
          <w:tab w:val="right" w:pos="7497"/>
        </w:tabs>
        <w:bidi/>
        <w:jc w:val="both"/>
        <w:rPr>
          <w:rFonts w:cs="Guttman Drogolin"/>
          <w:rtl/>
          <w:lang w:bidi="he-IL"/>
        </w:rPr>
      </w:pPr>
      <w:r w:rsidRPr="00882F11">
        <w:rPr>
          <w:rFonts w:cs="Guttman Drogolin" w:hint="cs"/>
          <w:rtl/>
          <w:lang w:bidi="he-IL"/>
        </w:rPr>
        <w:t>אמנם לכאורה</w:t>
      </w:r>
      <w:r w:rsidR="00DF57A9" w:rsidRPr="00882F11">
        <w:rPr>
          <w:rFonts w:cs="Guttman Drogolin" w:hint="cs"/>
          <w:rtl/>
          <w:lang w:bidi="he-IL"/>
        </w:rPr>
        <w:t xml:space="preserve"> אין זה מספיק, דהא כבר הוכחנו</w:t>
      </w:r>
      <w:r w:rsidR="00DF57A9" w:rsidRPr="00882F11">
        <w:rPr>
          <w:rStyle w:val="FootnoteReference"/>
          <w:rFonts w:cs="Guttman Drogolin"/>
          <w:rtl/>
          <w:lang w:bidi="he-IL"/>
        </w:rPr>
        <w:footnoteReference w:id="562"/>
      </w:r>
      <w:r w:rsidR="00DF57A9" w:rsidRPr="00882F11">
        <w:rPr>
          <w:rFonts w:cs="Guttman Drogolin" w:hint="cs"/>
          <w:rtl/>
          <w:lang w:bidi="he-IL"/>
        </w:rPr>
        <w:t xml:space="preserve"> כדברי המ"ב שאפילו בדבר שרוב תשמישתו בצונן אזלינן בתר רוב תשמישתו. ואפילו את"ל שגם בדבר שרוב תשמישתו בצונן שייך סברת המהרש"ק, ומשום דגם הכשר דהדחה חשוב הכשר לומר שמיגו דמהני לתשמיש צונן מהני נמי </w:t>
      </w:r>
      <w:r w:rsidR="00DF57A9" w:rsidRPr="00882F11">
        <w:rPr>
          <w:rFonts w:cs="Guttman Drogolin" w:hint="cs"/>
          <w:rtl/>
          <w:lang w:bidi="he-IL"/>
        </w:rPr>
        <w:lastRenderedPageBreak/>
        <w:t>לתשמיש חמין, מ"מ הא גם שולחנות צריכים הדחה כדי להכשירם חוץ ממה שחוששים למה שנשפך. זאת ועוד שנראה שהמ"ב סבר שהכשר מעירוי חשוב כרוב תשמישתו, דהא בס"ק קי"ד הביא</w:t>
      </w:r>
      <w:r w:rsidR="00B8032A" w:rsidRPr="00882F11">
        <w:rPr>
          <w:rFonts w:cs="Guttman Drogolin" w:hint="cs"/>
          <w:rtl/>
          <w:lang w:bidi="he-IL"/>
        </w:rPr>
        <w:t xml:space="preserve"> ממג"א בשם </w:t>
      </w:r>
      <w:r w:rsidR="00DF57A9" w:rsidRPr="00882F11">
        <w:rPr>
          <w:rFonts w:cs="Guttman Drogolin" w:hint="cs"/>
          <w:rtl/>
          <w:lang w:bidi="he-IL"/>
        </w:rPr>
        <w:t>מהרי"ו דלא מהני עירוי לשולחנות כיון דחיישינן גם לדבר גוש שהונח על השולחן שאין לו הקולות של עירוי. והסיק דבדיעבד מותר ע"י עירוי בלבד, וביאר בשעה"צ ס"ק קמ"ד טעמו משום דמדינא צריך לילך אחרי רוב תשמיש - הרי דאע"ג דסבר דמקילין למיזל בתר רוב תשמיש מ"מ לא הקיל בדיעבד אלא ע"י עירוי.</w:t>
      </w:r>
      <w:r w:rsidR="00F578E5" w:rsidRPr="00882F11">
        <w:rPr>
          <w:rFonts w:cs="Guttman Drogolin" w:hint="cs"/>
          <w:rtl/>
          <w:lang w:bidi="he-IL"/>
        </w:rPr>
        <w:t xml:space="preserve"> וכה"ג מבואר גם בביאור הגר"א על אתר.</w:t>
      </w:r>
      <w:r w:rsidR="00DF57A9" w:rsidRPr="00882F11">
        <w:rPr>
          <w:rFonts w:cs="Guttman Drogolin" w:hint="cs"/>
          <w:rtl/>
          <w:lang w:bidi="he-IL"/>
        </w:rPr>
        <w:t xml:space="preserve"> </w:t>
      </w:r>
    </w:p>
    <w:p w:rsidR="00624375" w:rsidRPr="00882F11" w:rsidRDefault="00FB584F" w:rsidP="00624375">
      <w:pPr>
        <w:tabs>
          <w:tab w:val="right" w:pos="7497"/>
        </w:tabs>
        <w:bidi/>
        <w:jc w:val="both"/>
        <w:rPr>
          <w:rFonts w:cs="Guttman Drogolin"/>
          <w:rtl/>
          <w:lang w:bidi="he-IL"/>
        </w:rPr>
      </w:pPr>
      <w:r w:rsidRPr="00882F11">
        <w:rPr>
          <w:rFonts w:cs="Guttman Drogolin" w:hint="cs"/>
          <w:rtl/>
          <w:lang w:bidi="he-IL"/>
        </w:rPr>
        <w:t xml:space="preserve">ובמגי"ס ומבי דינא שם רצו לומר שכל תשמיש שהוא תשמישתו הרגיל חשוב רוב תשמישתו, ורוב לאו דוקא נקט. </w:t>
      </w:r>
      <w:r w:rsidR="00624375" w:rsidRPr="00882F11">
        <w:rPr>
          <w:rFonts w:cs="Guttman Drogolin" w:hint="cs"/>
          <w:rtl/>
          <w:lang w:bidi="he-IL"/>
        </w:rPr>
        <w:t>והוא חומרא יתירה בכל הדין. ו</w:t>
      </w:r>
      <w:r w:rsidRPr="00882F11">
        <w:rPr>
          <w:rFonts w:cs="Guttman Drogolin" w:hint="cs"/>
          <w:rtl/>
          <w:lang w:bidi="he-IL"/>
        </w:rPr>
        <w:t xml:space="preserve">מדוגמות וראיות הראשונים </w:t>
      </w:r>
      <w:r w:rsidR="00624375" w:rsidRPr="00882F11">
        <w:rPr>
          <w:rFonts w:cs="Guttman Drogolin" w:hint="cs"/>
          <w:rtl/>
          <w:lang w:bidi="he-IL"/>
        </w:rPr>
        <w:t xml:space="preserve">נראה </w:t>
      </w:r>
      <w:r w:rsidRPr="00882F11">
        <w:rPr>
          <w:rFonts w:cs="Guttman Drogolin" w:hint="cs"/>
          <w:rtl/>
          <w:lang w:bidi="he-IL"/>
        </w:rPr>
        <w:t xml:space="preserve">שאין זה נכון, דהי' באמת תשמיש </w:t>
      </w:r>
      <w:r w:rsidR="00624375" w:rsidRPr="00882F11">
        <w:rPr>
          <w:rFonts w:cs="Guttman Drogolin" w:hint="cs"/>
          <w:rtl/>
          <w:lang w:bidi="he-IL"/>
        </w:rPr>
        <w:t>קבוע רק לא רוב תשמישתו, כגון הא דכיכר, וכן סכין לנר של חלב או על האור.</w:t>
      </w:r>
    </w:p>
    <w:p w:rsidR="001A7295" w:rsidRPr="00882F11" w:rsidRDefault="00DF57A9" w:rsidP="00624375">
      <w:pPr>
        <w:tabs>
          <w:tab w:val="right" w:pos="7497"/>
        </w:tabs>
        <w:bidi/>
        <w:jc w:val="both"/>
        <w:rPr>
          <w:rFonts w:cs="Guttman Drogolin"/>
          <w:rtl/>
          <w:lang w:bidi="he-IL"/>
        </w:rPr>
      </w:pPr>
      <w:r w:rsidRPr="00882F11">
        <w:rPr>
          <w:rFonts w:cs="Guttman Drogolin" w:hint="cs"/>
          <w:rtl/>
          <w:lang w:bidi="he-IL"/>
        </w:rPr>
        <w:t>ולכן מה שנראה לומר בזה</w:t>
      </w:r>
      <w:r w:rsidR="00283F20" w:rsidRPr="00882F11">
        <w:rPr>
          <w:rStyle w:val="FootnoteReference"/>
          <w:rFonts w:cs="Guttman Drogolin"/>
          <w:rtl/>
          <w:lang w:bidi="he-IL"/>
        </w:rPr>
        <w:footnoteReference w:id="563"/>
      </w:r>
      <w:r w:rsidRPr="00882F11">
        <w:rPr>
          <w:rFonts w:cs="Guttman Drogolin" w:hint="cs"/>
          <w:rtl/>
          <w:lang w:bidi="he-IL"/>
        </w:rPr>
        <w:t>, שבענין של רוב תשמיש אינו להכשיר לפי איך שנבלע ע"פ רוב, רק להכשיר</w:t>
      </w:r>
      <w:r w:rsidR="00F578E5" w:rsidRPr="00882F11">
        <w:rPr>
          <w:rFonts w:cs="Guttman Drogolin" w:hint="cs"/>
          <w:rtl/>
          <w:lang w:bidi="he-IL"/>
        </w:rPr>
        <w:t xml:space="preserve"> הבליעות שנלעו דרך רוב תשמישתו. ולכן בשולחנות, כיון שרוב תשמישתו ע"י אכילה בקערות על השולחן, ובדרך הרגיל כשעושה כן גם נשפך עליו, גם זה הוי בליעה דרך רוב תשמישתו וחייב להכשירו אפילו לדעת המקילין. ולא הקילו אלא במניח ככר חם על השולחן, או הנחת הסכין באור, או מילוי כוסות בחמין, דכולהו הוו תשמיש אחר מתשמישתו הרגיל. ולכן שפיר חייב להכשיר השלחן מן השפיכות מדינא. ובמבי דינא העיר שלכאורה גם במחבת הי' לנו להקל אפילו בכה"ג שנתיבש התבשיל כיון שרוב תשמישתו אינו כן. וע"ש מה שכתב להוכיח מזה כיסוד דבריו</w:t>
      </w:r>
      <w:r w:rsidR="00FB584F" w:rsidRPr="00882F11">
        <w:rPr>
          <w:rFonts w:cs="Guttman Drogolin" w:hint="cs"/>
          <w:rtl/>
          <w:lang w:bidi="he-IL"/>
        </w:rPr>
        <w:t xml:space="preserve">. </w:t>
      </w:r>
      <w:r w:rsidR="00F578E5" w:rsidRPr="00882F11">
        <w:rPr>
          <w:rFonts w:cs="Guttman Drogolin" w:hint="cs"/>
          <w:rtl/>
          <w:lang w:bidi="he-IL"/>
        </w:rPr>
        <w:t>אמנם לדברינו הדברים מיושבים היטב, דהא הוא בליעה דרך התשמיש שהוא רוב תשמישתו, ולכן שפיר צריך ליבון למאן דחייש לייבוש השמן.</w:t>
      </w:r>
    </w:p>
    <w:p w:rsidR="00084BC9" w:rsidRPr="00882F11" w:rsidRDefault="00B8032A" w:rsidP="00084BC9">
      <w:pPr>
        <w:tabs>
          <w:tab w:val="right" w:pos="7497"/>
        </w:tabs>
        <w:bidi/>
        <w:jc w:val="both"/>
        <w:rPr>
          <w:rFonts w:cs="Guttman Drogolin"/>
          <w:rtl/>
          <w:lang w:bidi="he-IL"/>
        </w:rPr>
      </w:pPr>
      <w:r w:rsidRPr="00882F11">
        <w:rPr>
          <w:rFonts w:cs="Guttman Drogolin" w:hint="cs"/>
          <w:rtl/>
          <w:lang w:bidi="he-IL"/>
        </w:rPr>
        <w:lastRenderedPageBreak/>
        <w:t>והנה כמו שהזכרנו המג"א ומ"ב הביאו שיטת מהרי"ו</w:t>
      </w:r>
      <w:r w:rsidR="00585156" w:rsidRPr="00882F11">
        <w:rPr>
          <w:rStyle w:val="FootnoteReference"/>
          <w:rFonts w:cs="Guttman Drogolin"/>
          <w:rtl/>
          <w:lang w:bidi="he-IL"/>
        </w:rPr>
        <w:footnoteReference w:id="564"/>
      </w:r>
      <w:r w:rsidR="005B22C5" w:rsidRPr="00882F11">
        <w:rPr>
          <w:rFonts w:cs="Guttman Drogolin" w:hint="cs"/>
          <w:rtl/>
          <w:lang w:bidi="he-IL"/>
        </w:rPr>
        <w:t xml:space="preserve"> דשולחנות לא סגי להו בעירוי כיון שלפעמים מניח עליו דבר גוש וא"כ צריך הגעלה. ומשו"ה כתב שיכשירנו ע"י זה שישפוך רותחין על אבן מלבון וכה"ג הוי ככלי ראשון. ומ"מ הסיק דבדיעבד ע"י עירוי סגי כיון דבדיעבד אזלינן בתר רוב תשמישתו וכנ"ל. </w:t>
      </w:r>
      <w:r w:rsidR="00084BC9" w:rsidRPr="00882F11">
        <w:rPr>
          <w:rFonts w:cs="Guttman Drogolin" w:hint="cs"/>
          <w:rtl/>
          <w:lang w:bidi="he-IL"/>
        </w:rPr>
        <w:t>ובמגי"ס (ענינים או"ח סי' כ') ראיתי שהעיר שאם לשין על גביו לכאורה דינו כבית שאור, ויתכן שלא מהני לה הגעלה, אבל עכ"פ הגעלה דכלי ראשון מיהת בעי. אמנם נראה דהנ"מ אם רוב תשמישתו לכך אבל אם אין זה רוב תשמישתו אין צריך לחשוש לזה (והוא שם כתב לפי יסודו הנ"ל דלא בעינן רוב). ולדבריו חייבים לומר שלא היו נוהגים לוש על גבי שולחנות של פעם, רק בעריבה.</w:t>
      </w:r>
    </w:p>
    <w:p w:rsidR="00084BC9" w:rsidRPr="00882F11" w:rsidRDefault="005B22C5" w:rsidP="005F5704">
      <w:pPr>
        <w:tabs>
          <w:tab w:val="right" w:pos="7497"/>
        </w:tabs>
        <w:bidi/>
        <w:jc w:val="both"/>
        <w:rPr>
          <w:rFonts w:cs="Guttman Drogolin"/>
          <w:rtl/>
          <w:lang w:bidi="he-IL"/>
        </w:rPr>
      </w:pPr>
      <w:r w:rsidRPr="00882F11">
        <w:rPr>
          <w:rFonts w:cs="Guttman Drogolin" w:hint="cs"/>
          <w:rtl/>
          <w:lang w:bidi="he-IL"/>
        </w:rPr>
        <w:t xml:space="preserve">וכתב המג"א בשם מהרי"ל שאין להסתפק בהכשר השולחנות, אלא יש גם לכסותם </w:t>
      </w:r>
      <w:r w:rsidR="00283F20" w:rsidRPr="00882F11">
        <w:rPr>
          <w:rFonts w:cs="Guttman Drogolin" w:hint="cs"/>
          <w:rtl/>
          <w:lang w:bidi="he-IL"/>
        </w:rPr>
        <w:t>ו</w:t>
      </w:r>
      <w:r w:rsidRPr="00882F11">
        <w:rPr>
          <w:rFonts w:cs="Guttman Drogolin" w:hint="cs"/>
          <w:rtl/>
          <w:lang w:bidi="he-IL"/>
        </w:rPr>
        <w:t xml:space="preserve">כן שיש חשש אולי נדבק בה חמץ בעין. והמ"ב הביאו והסיק בשם הא"ר </w:t>
      </w:r>
      <w:r w:rsidR="00E66FC1" w:rsidRPr="00882F11">
        <w:rPr>
          <w:rFonts w:cs="Guttman Drogolin" w:hint="cs"/>
          <w:rtl/>
          <w:lang w:bidi="he-IL"/>
        </w:rPr>
        <w:t xml:space="preserve">שכן ראוי לנהוג בדברים שקשה לטהרן שלא ישאר בה מאומה בין הדבקים, אבל בשולחנות פשוטים אין להחמיר. ומ"מ חזינן לדעתייהו שאפילו אם ישאר משהו של חמץ לא חיישינן עד כמה שמכסהו, ולא חיישינן דלמא יניח </w:t>
      </w:r>
      <w:r w:rsidR="00585156" w:rsidRPr="00882F11">
        <w:rPr>
          <w:rFonts w:cs="Guttman Drogolin" w:hint="cs"/>
          <w:rtl/>
          <w:lang w:bidi="he-IL"/>
        </w:rPr>
        <w:t>קדרה</w:t>
      </w:r>
      <w:r w:rsidR="00E66FC1" w:rsidRPr="00882F11">
        <w:rPr>
          <w:rFonts w:cs="Guttman Drogolin" w:hint="cs"/>
          <w:rtl/>
          <w:lang w:bidi="he-IL"/>
        </w:rPr>
        <w:t xml:space="preserve"> רותח</w:t>
      </w:r>
      <w:r w:rsidR="00585156" w:rsidRPr="00882F11">
        <w:rPr>
          <w:rFonts w:cs="Guttman Drogolin" w:hint="cs"/>
          <w:rtl/>
          <w:lang w:bidi="he-IL"/>
        </w:rPr>
        <w:t>ת</w:t>
      </w:r>
      <w:r w:rsidR="00E66FC1" w:rsidRPr="00882F11">
        <w:rPr>
          <w:rFonts w:cs="Guttman Drogolin" w:hint="cs"/>
          <w:rtl/>
          <w:lang w:bidi="he-IL"/>
        </w:rPr>
        <w:t xml:space="preserve"> ע</w:t>
      </w:r>
      <w:r w:rsidR="00585156" w:rsidRPr="00882F11">
        <w:rPr>
          <w:rFonts w:cs="Guttman Drogolin" w:hint="cs"/>
          <w:rtl/>
          <w:lang w:bidi="he-IL"/>
        </w:rPr>
        <w:t>ל הכיסוי בזמן שיש רוטב תחת הקדרה ויבלע מן החמץ. ויל"ע בזה.</w:t>
      </w:r>
      <w:r w:rsidR="00084BC9" w:rsidRPr="00882F11">
        <w:rPr>
          <w:rFonts w:cs="Guttman Drogolin" w:hint="cs"/>
          <w:rtl/>
          <w:lang w:bidi="he-IL"/>
        </w:rPr>
        <w:t xml:space="preserve"> ושם במגי"ס רצה להחמיר עוד יותר, שאפילו לבלוע חיישינן, ומשום שיש חשש רטיבות מתחת לכיסוי (שכן הוא דבר הרגיל) וכן מתחת לקדרה, וליד יהודה חשוב כרוטב, ולכאורה חזינן שמקילין אפילו ביותר מזה.</w:t>
      </w:r>
      <w:r w:rsidR="005F5704" w:rsidRPr="00882F11">
        <w:rPr>
          <w:rFonts w:cs="Guttman Drogolin" w:hint="cs"/>
          <w:rtl/>
          <w:lang w:bidi="he-IL"/>
        </w:rPr>
        <w:t xml:space="preserve"> וע' במגי"ס (עניני בב"ח ותערוב</w:t>
      </w:r>
      <w:r w:rsidR="00FA0566">
        <w:rPr>
          <w:rFonts w:cs="Guttman Drogolin" w:hint="cs"/>
          <w:rtl/>
          <w:lang w:bidi="he-IL"/>
        </w:rPr>
        <w:t>ת סי' צ"ב ס"ק ל"ה) שדחה שאין צו</w:t>
      </w:r>
      <w:r w:rsidR="005F5704" w:rsidRPr="00882F11">
        <w:rPr>
          <w:rFonts w:cs="Guttman Drogolin" w:hint="cs"/>
          <w:rtl/>
          <w:lang w:bidi="he-IL"/>
        </w:rPr>
        <w:t xml:space="preserve">רך לחשוש לזה כיון דמבואר ברמ"א סי' צ"ב סע' ז' שכשהניח קדרה חמה ע"ג חלב אינו בולע יותר מכדי קליפה, וכאן הכיסוי עצמו צונן ולכן הכיסוי עצמו אינו בולע </w:t>
      </w:r>
      <w:r w:rsidR="005F5704" w:rsidRPr="00882F11">
        <w:rPr>
          <w:rFonts w:cs="Guttman Drogolin" w:hint="cs"/>
          <w:rtl/>
          <w:lang w:bidi="he-IL"/>
        </w:rPr>
        <w:lastRenderedPageBreak/>
        <w:t xml:space="preserve">מתחתיו. ומשו"ה כתב שאין הצורך להכשיר השיש מתחת לכיסוי אלא לתוספת הידור. </w:t>
      </w:r>
      <w:r w:rsidR="005B4B22" w:rsidRPr="00882F11">
        <w:rPr>
          <w:rFonts w:cs="Guttman Drogolin" w:hint="cs"/>
          <w:rtl/>
          <w:lang w:bidi="he-IL"/>
        </w:rPr>
        <w:t>ולענין כבוש ג"כ אין לחשוש וכמו שהוכיח שם במגי"ס סי' ק"ה אות ט"ו</w:t>
      </w:r>
      <w:r w:rsidR="007D63CE" w:rsidRPr="00882F11">
        <w:rPr>
          <w:rFonts w:cs="Guttman Drogolin" w:hint="cs"/>
          <w:rtl/>
          <w:lang w:bidi="he-IL"/>
        </w:rPr>
        <w:t xml:space="preserve"> (ע' מזה לעיל שיעור צ"ח)</w:t>
      </w:r>
      <w:r w:rsidR="005B4B22" w:rsidRPr="00882F11">
        <w:rPr>
          <w:rFonts w:cs="Guttman Drogolin" w:hint="cs"/>
          <w:rtl/>
          <w:lang w:bidi="he-IL"/>
        </w:rPr>
        <w:t>.</w:t>
      </w:r>
    </w:p>
    <w:p w:rsidR="007D63CE" w:rsidRPr="00882F11" w:rsidRDefault="00084BC9" w:rsidP="006B4B2B">
      <w:pPr>
        <w:tabs>
          <w:tab w:val="right" w:pos="7497"/>
        </w:tabs>
        <w:bidi/>
        <w:jc w:val="both"/>
        <w:rPr>
          <w:rFonts w:cs="Guttman Drogolin"/>
          <w:rtl/>
          <w:lang w:bidi="he-IL"/>
        </w:rPr>
      </w:pPr>
      <w:r w:rsidRPr="00882F11">
        <w:rPr>
          <w:rFonts w:cs="Guttman Drogolin" w:hint="cs"/>
          <w:rtl/>
          <w:lang w:bidi="he-IL"/>
        </w:rPr>
        <w:t>והנה בשיש של היום כיון שעכ"פ צריכים אבן מלובן לכתחילה, ולמגי"ס הנ"ל צריך הגעלה דכלי ראשון מדינא כיון שלשין על גביו, והוא דבר הקשה לעשות. וכן יש סוגי שיש שיש להסתפק בהן אם הוו כלי אבן דמהני להו הגעלה או לא. שבכגון אבן קיסר העיר ב'מבי דינא' הנ"ל דיתכן שאינו בר הכשר</w:t>
      </w:r>
      <w:r w:rsidR="006732BE" w:rsidRPr="00882F11">
        <w:rPr>
          <w:rStyle w:val="FootnoteReference"/>
          <w:rFonts w:cs="Guttman Drogolin"/>
          <w:rtl/>
          <w:lang w:bidi="he-IL"/>
        </w:rPr>
        <w:footnoteReference w:id="565"/>
      </w:r>
      <w:r w:rsidRPr="00882F11">
        <w:rPr>
          <w:rFonts w:cs="Guttman Drogolin" w:hint="cs"/>
          <w:rtl/>
          <w:lang w:bidi="he-IL"/>
        </w:rPr>
        <w:t xml:space="preserve">. וא"כ מה שנשאר לנו זה </w:t>
      </w:r>
      <w:r w:rsidR="005F5704" w:rsidRPr="00882F11">
        <w:rPr>
          <w:rFonts w:cs="Guttman Drogolin" w:hint="cs"/>
          <w:rtl/>
          <w:lang w:bidi="he-IL"/>
        </w:rPr>
        <w:t xml:space="preserve">הוא לכסות השיש. אמנם גם בזה לכאורה יש לחשוש לבליעות שיגיעו מזה שהניח כלי רותח ע"ג השיש וכנ"ל. וכן נראין דברי המג"א ומ"ב שלא להסתפק בכיוסי בלבד ולעשות גם הכשר. </w:t>
      </w:r>
      <w:r w:rsidR="006B4B2B" w:rsidRPr="00882F11">
        <w:rPr>
          <w:rFonts w:cs="Guttman Drogolin" w:hint="cs"/>
          <w:rtl/>
          <w:lang w:bidi="he-IL"/>
        </w:rPr>
        <w:t xml:space="preserve">וראיתי בשו"ת </w:t>
      </w:r>
      <w:r w:rsidR="006B4B2B" w:rsidRPr="00882F11">
        <w:rPr>
          <w:rFonts w:cs="Guttman Drogolin"/>
          <w:rtl/>
          <w:lang w:bidi="he-IL"/>
        </w:rPr>
        <w:t>אז נדברו ח"ז סי' נ"ט</w:t>
      </w:r>
      <w:r w:rsidR="006B4B2B" w:rsidRPr="00882F11">
        <w:rPr>
          <w:rFonts w:cs="Guttman Drogolin" w:hint="cs"/>
          <w:rtl/>
          <w:lang w:bidi="he-IL"/>
        </w:rPr>
        <w:t xml:space="preserve"> שהתן בזה טעם משום שחוששים אולי יתגלה. ובמעדני אשר (או"ה סי' ק"ס) כתב שאולי דוקא בסדין משום שיש לה נקבים.</w:t>
      </w:r>
    </w:p>
    <w:p w:rsidR="00084BC9" w:rsidRPr="00882F11" w:rsidRDefault="007D63CE" w:rsidP="007D63CE">
      <w:pPr>
        <w:tabs>
          <w:tab w:val="right" w:pos="7497"/>
        </w:tabs>
        <w:bidi/>
        <w:jc w:val="both"/>
        <w:rPr>
          <w:rFonts w:cs="Guttman Drogolin"/>
          <w:rtl/>
          <w:lang w:bidi="he-IL"/>
        </w:rPr>
      </w:pPr>
      <w:r w:rsidRPr="00882F11">
        <w:rPr>
          <w:rFonts w:cs="Guttman Drogolin" w:hint="cs"/>
          <w:rtl/>
          <w:lang w:bidi="he-IL"/>
        </w:rPr>
        <w:t>וע' לעיל בשיעור הקודם לענין הכשר ע"י זיעה. וע' עוד לעיל בש</w:t>
      </w:r>
      <w:r w:rsidR="00891850" w:rsidRPr="00882F11">
        <w:rPr>
          <w:rFonts w:cs="Guttman Drogolin" w:hint="cs"/>
          <w:rtl/>
          <w:lang w:bidi="he-IL"/>
        </w:rPr>
        <w:t xml:space="preserve">יעור ק"ו לענין הכשר ע"י קומקום </w:t>
      </w:r>
      <w:r w:rsidRPr="00882F11">
        <w:rPr>
          <w:rFonts w:cs="Guttman Drogolin" w:hint="cs"/>
          <w:rtl/>
          <w:lang w:bidi="he-IL"/>
        </w:rPr>
        <w:t>שהוא עדיין דלוק (פי' -שהוא עדיין רותח אצל האש).</w:t>
      </w:r>
      <w:r w:rsidR="005F5704" w:rsidRPr="00882F11">
        <w:rPr>
          <w:rFonts w:cs="Guttman Drogolin" w:hint="cs"/>
          <w:rtl/>
          <w:lang w:bidi="he-IL"/>
        </w:rPr>
        <w:t xml:space="preserve"> </w:t>
      </w:r>
      <w:r w:rsidRPr="00882F11">
        <w:rPr>
          <w:rFonts w:cs="Guttman Drogolin" w:hint="cs"/>
          <w:rtl/>
          <w:lang w:bidi="he-IL"/>
        </w:rPr>
        <w:t>וכן יש לדון אם להחמיר שיהא השיש אינו בן יומו קודם הכשר, ובפרט שהחשש של בב"ח יכול להיות קיים מיני' ובי' בשיש.</w:t>
      </w:r>
    </w:p>
    <w:p w:rsidR="00AD3DD3" w:rsidRPr="00882F11" w:rsidRDefault="00AD3DD3" w:rsidP="00AD3DD3">
      <w:pPr>
        <w:tabs>
          <w:tab w:val="right" w:pos="7497"/>
        </w:tabs>
        <w:bidi/>
        <w:jc w:val="both"/>
        <w:rPr>
          <w:rFonts w:cs="Guttman Drogolin"/>
          <w:rtl/>
          <w:lang w:bidi="he-IL"/>
        </w:rPr>
        <w:sectPr w:rsidR="00AD3DD3" w:rsidRPr="00882F11" w:rsidSect="00280E73">
          <w:type w:val="continuous"/>
          <w:pgSz w:w="11907" w:h="16839" w:code="9"/>
          <w:pgMar w:top="1440" w:right="1440" w:bottom="1440" w:left="1440" w:header="720" w:footer="720" w:gutter="0"/>
          <w:cols w:num="2" w:space="720"/>
          <w:bidi/>
          <w:docGrid w:linePitch="360"/>
        </w:sectPr>
      </w:pPr>
    </w:p>
    <w:p w:rsidR="00AD3DD3" w:rsidRPr="00882F11" w:rsidRDefault="00AD3DD3" w:rsidP="00AD3DD3">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קמ"א</w:t>
      </w:r>
    </w:p>
    <w:p w:rsidR="00280E73" w:rsidRDefault="00280E73" w:rsidP="00AD3DD3">
      <w:pPr>
        <w:pStyle w:val="Heading1"/>
        <w:bidi/>
        <w:spacing w:before="0" w:line="360" w:lineRule="auto"/>
        <w:jc w:val="center"/>
        <w:rPr>
          <w:rFonts w:cs="Guttman Drogolin"/>
          <w:color w:val="auto"/>
          <w:sz w:val="24"/>
          <w:szCs w:val="24"/>
          <w:u w:val="single"/>
          <w:rtl/>
          <w:lang w:bidi="he-IL"/>
        </w:rPr>
        <w:sectPr w:rsidR="00280E73" w:rsidSect="00280E73">
          <w:pgSz w:w="11907" w:h="16839" w:code="9"/>
          <w:pgMar w:top="1440" w:right="1440" w:bottom="1440" w:left="1440" w:header="720" w:footer="720" w:gutter="0"/>
          <w:cols w:space="720"/>
          <w:bidi/>
          <w:docGrid w:linePitch="360"/>
        </w:sectPr>
      </w:pPr>
    </w:p>
    <w:p w:rsidR="00AD3DD3" w:rsidRPr="00882F11" w:rsidRDefault="00AD3DD3" w:rsidP="00AD3DD3">
      <w:pPr>
        <w:pStyle w:val="Heading1"/>
        <w:bidi/>
        <w:spacing w:before="0" w:line="360" w:lineRule="auto"/>
        <w:jc w:val="center"/>
        <w:rPr>
          <w:rFonts w:cs="Guttman Drogolin"/>
          <w:color w:val="auto"/>
          <w:sz w:val="24"/>
          <w:szCs w:val="24"/>
          <w:u w:val="single"/>
          <w:rtl/>
          <w:lang w:bidi="he-IL"/>
        </w:rPr>
      </w:pPr>
      <w:bookmarkStart w:id="542" w:name="_Toc496175780"/>
      <w:r w:rsidRPr="00882F11">
        <w:rPr>
          <w:rFonts w:cs="Guttman Drogolin" w:hint="cs"/>
          <w:color w:val="auto"/>
          <w:sz w:val="24"/>
          <w:szCs w:val="24"/>
          <w:u w:val="single"/>
          <w:rtl/>
          <w:lang w:bidi="he-IL"/>
        </w:rPr>
        <w:lastRenderedPageBreak/>
        <w:t xml:space="preserve">הכשר כלי חרס ע"י </w:t>
      </w:r>
      <w:r w:rsidR="00DE7C0E" w:rsidRPr="00882F11">
        <w:rPr>
          <w:rFonts w:cs="Guttman Drogolin" w:hint="cs"/>
          <w:color w:val="auto"/>
          <w:sz w:val="24"/>
          <w:szCs w:val="24"/>
          <w:u w:val="single"/>
          <w:rtl/>
          <w:lang w:bidi="he-IL"/>
        </w:rPr>
        <w:t>מילוי ו</w:t>
      </w:r>
      <w:r w:rsidRPr="00882F11">
        <w:rPr>
          <w:rFonts w:cs="Guttman Drogolin" w:hint="cs"/>
          <w:color w:val="auto"/>
          <w:sz w:val="24"/>
          <w:szCs w:val="24"/>
          <w:u w:val="single"/>
          <w:rtl/>
          <w:lang w:bidi="he-IL"/>
        </w:rPr>
        <w:t>עירוי ג' ימים</w:t>
      </w:r>
      <w:bookmarkEnd w:id="542"/>
    </w:p>
    <w:p w:rsidR="00AD3DD3" w:rsidRPr="00882F11" w:rsidRDefault="00BB4151" w:rsidP="00905CF2">
      <w:pPr>
        <w:tabs>
          <w:tab w:val="right" w:pos="7497"/>
        </w:tabs>
        <w:bidi/>
        <w:jc w:val="both"/>
        <w:rPr>
          <w:rFonts w:cs="Guttman Drogolin"/>
          <w:rtl/>
          <w:lang w:bidi="he-IL"/>
        </w:rPr>
      </w:pPr>
      <w:r>
        <w:rPr>
          <w:rFonts w:cs="Guttman Drogolin"/>
          <w:rtl/>
          <w:lang w:bidi="he-IL"/>
        </w:rPr>
        <w:fldChar w:fldCharType="begin"/>
      </w:r>
      <w:r>
        <w:instrText xml:space="preserve"> XE "</w:instrText>
      </w:r>
      <w:r w:rsidRPr="00273598">
        <w:rPr>
          <w:rFonts w:hint="cs"/>
          <w:rtl/>
          <w:lang w:bidi="he-IL"/>
        </w:rPr>
        <w:instrText>הכשר כלים</w:instrText>
      </w:r>
      <w:r w:rsidRPr="00273598">
        <w:rPr>
          <w:rtl/>
        </w:rPr>
        <w:instrText>:</w:instrText>
      </w:r>
      <w:r w:rsidRPr="00273598">
        <w:rPr>
          <w:rFonts w:hint="cs"/>
          <w:rtl/>
          <w:lang w:bidi="he-IL"/>
        </w:rPr>
        <w:instrText>הכשר כלי חרס ע</w:instrText>
      </w:r>
      <w:r>
        <w:rPr>
          <w:rFonts w:eastAsiaTheme="minorEastAsia"/>
          <w:lang w:bidi="he-IL"/>
        </w:rPr>
        <w:instrText>\</w:instrText>
      </w:r>
      <w:r w:rsidRPr="00273598">
        <w:rPr>
          <w:rFonts w:hint="cs"/>
          <w:rtl/>
          <w:lang w:bidi="he-IL"/>
        </w:rPr>
        <w:instrText>"י מילוי ועירוי ג' ימים</w:instrText>
      </w:r>
      <w:r>
        <w:instrText xml:space="preserve">" </w:instrText>
      </w:r>
      <w:r>
        <w:rPr>
          <w:rFonts w:cs="Guttman Drogolin"/>
          <w:rtl/>
          <w:lang w:bidi="he-IL"/>
        </w:rPr>
        <w:fldChar w:fldCharType="end"/>
      </w:r>
      <w:r w:rsidR="004C7A57" w:rsidRPr="00882F11">
        <w:rPr>
          <w:rFonts w:cs="Guttman Drogolin" w:hint="cs"/>
          <w:rtl/>
          <w:lang w:bidi="he-IL"/>
        </w:rPr>
        <w:t xml:space="preserve">הטור הביא בשם רבינו יואל שאפשר להכשיר חביות </w:t>
      </w:r>
      <w:r w:rsidR="00785998" w:rsidRPr="00882F11">
        <w:rPr>
          <w:rFonts w:cs="Guttman Drogolin" w:hint="cs"/>
          <w:rtl/>
          <w:lang w:bidi="he-IL"/>
        </w:rPr>
        <w:t xml:space="preserve">של חרס </w:t>
      </w:r>
      <w:r w:rsidR="004C7A57" w:rsidRPr="00882F11">
        <w:rPr>
          <w:rFonts w:cs="Guttman Drogolin" w:hint="cs"/>
          <w:rtl/>
          <w:lang w:bidi="he-IL"/>
        </w:rPr>
        <w:t>ש</w:t>
      </w:r>
      <w:r w:rsidR="00785998" w:rsidRPr="00882F11">
        <w:rPr>
          <w:rFonts w:cs="Guttman Drogolin" w:hint="cs"/>
          <w:rtl/>
          <w:lang w:bidi="he-IL"/>
        </w:rPr>
        <w:t>נותנים בהם שכר של שעורים ע"י הגעלה, וכן עירוי ג' ימים מהני להם. ויסוד הדבר, דהא דאמרינן שהתורה העידה על כלי חרס שאינו יוצא מידי דופיו לעולם, הנ"מ כשבלע ע"י חמין, אבל בלע ב</w:t>
      </w:r>
      <w:r w:rsidR="000A5CFE" w:rsidRPr="00882F11">
        <w:rPr>
          <w:rFonts w:cs="Guttman Drogolin" w:hint="cs"/>
          <w:rtl/>
          <w:lang w:bidi="he-IL"/>
        </w:rPr>
        <w:t>צ</w:t>
      </w:r>
      <w:r w:rsidR="00785998" w:rsidRPr="00882F11">
        <w:rPr>
          <w:rFonts w:cs="Guttman Drogolin" w:hint="cs"/>
          <w:rtl/>
          <w:lang w:bidi="he-IL"/>
        </w:rPr>
        <w:t>ונן שפיר אפשר להכשיר אותו. וכן לכאורה מבואר במס' ע"ז ל"ג ע"א "</w:t>
      </w:r>
      <w:r w:rsidR="00785998" w:rsidRPr="00882F11">
        <w:rPr>
          <w:rFonts w:cs="Guttman Drogolin"/>
          <w:rtl/>
          <w:lang w:bidi="he-IL"/>
        </w:rPr>
        <w:t>בר עדי טייעא אנס הנהו זיקי מרב יצחק בר יוסף רמא בהו חמרא ואהדרינהו ניהליה, אתא שאיל בי מדרשא א"ל רבי ירמיה כך הורה רבי אמי הלכה למעשה ממלאן מים שלשה ימים ומערן</w:t>
      </w:r>
      <w:r w:rsidR="00785998" w:rsidRPr="00882F11">
        <w:rPr>
          <w:rFonts w:cs="Guttman Drogolin" w:hint="cs"/>
          <w:rtl/>
          <w:lang w:bidi="he-IL"/>
        </w:rPr>
        <w:t>". מכאן שיש הכשר של עירוי ג' ימים. ושם בגמ' "</w:t>
      </w:r>
      <w:r w:rsidR="00785998" w:rsidRPr="00882F11">
        <w:rPr>
          <w:rFonts w:cs="Guttman Drogolin"/>
          <w:rtl/>
          <w:lang w:bidi="he-IL"/>
        </w:rPr>
        <w:t>סבר רב אחא בריה דרבא קמיה דרב אשי למימר הני מילי נודות אבל קנקנים לא, אמר ליה רב אשי לא שנא נודות ולא שנא קנקנים</w:t>
      </w:r>
      <w:r w:rsidR="00785998" w:rsidRPr="00882F11">
        <w:rPr>
          <w:rFonts w:cs="Guttman Drogolin" w:hint="cs"/>
          <w:rtl/>
          <w:lang w:bidi="he-IL"/>
        </w:rPr>
        <w:t xml:space="preserve">" ופירש"י </w:t>
      </w:r>
      <w:r w:rsidR="0043607C" w:rsidRPr="00882F11">
        <w:rPr>
          <w:rFonts w:cs="Guttman Drogolin" w:hint="cs"/>
          <w:rtl/>
          <w:lang w:bidi="he-IL"/>
        </w:rPr>
        <w:t>לשיטת רב אחא בריה דרבא "</w:t>
      </w:r>
      <w:r w:rsidR="00785998" w:rsidRPr="00882F11">
        <w:rPr>
          <w:rFonts w:cs="Guttman Drogolin"/>
          <w:rtl/>
          <w:lang w:bidi="he-IL"/>
        </w:rPr>
        <w:t>אבל קנקנים של חרס הן ובלעי טובא לא סגי להו בהכי</w:t>
      </w:r>
      <w:r w:rsidR="0043607C" w:rsidRPr="00882F11">
        <w:rPr>
          <w:rFonts w:cs="Guttman Drogolin" w:hint="cs"/>
          <w:rtl/>
          <w:lang w:bidi="he-IL"/>
        </w:rPr>
        <w:t>". ומיני' דלר' אשי דקיי"ל כוותי' מהני עירוי ג' ימים גם לכלי חרס.</w:t>
      </w:r>
      <w:r w:rsidR="000A5CFE" w:rsidRPr="00882F11">
        <w:rPr>
          <w:rFonts w:cs="Guttman Drogolin" w:hint="cs"/>
          <w:rtl/>
          <w:lang w:bidi="he-IL"/>
        </w:rPr>
        <w:t xml:space="preserve"> </w:t>
      </w:r>
      <w:r w:rsidR="00905CF2" w:rsidRPr="00882F11">
        <w:rPr>
          <w:rFonts w:cs="Guttman Drogolin" w:hint="cs"/>
          <w:rtl/>
          <w:lang w:bidi="he-IL"/>
        </w:rPr>
        <w:t>וכן מבואר ביו"ד סי' קל"ה סע' ד'. וסבר ר' יואל למימר, דמדמהני מילוי ועירוי, כ"ש דמהני הגעלה, ולכן מהני גם הגעלה לכלי חרס היכא דבלע בצונן. והב"י כאן הביא מירושלמי סוף פרק ב' דמס' פסחים "</w:t>
      </w:r>
      <w:r w:rsidR="00905CF2" w:rsidRPr="00882F11">
        <w:rPr>
          <w:rFonts w:cs="Guttman Drogolin"/>
          <w:rtl/>
          <w:lang w:bidi="he-IL"/>
        </w:rPr>
        <w:t>הני גרבי דכותחא ממלאן שלשה ימים מעת לעת ומערן</w:t>
      </w:r>
      <w:r w:rsidR="00905CF2" w:rsidRPr="00882F11">
        <w:rPr>
          <w:rFonts w:cs="Guttman Drogolin" w:hint="cs"/>
          <w:rtl/>
          <w:lang w:bidi="he-IL"/>
        </w:rPr>
        <w:t>", הרי דמהני מילוי ועירוי גם לכלי חרס שבלעו חמץ בצונן.</w:t>
      </w:r>
      <w:r w:rsidR="003A20EE" w:rsidRPr="00882F11">
        <w:rPr>
          <w:rFonts w:cs="Guttman Drogolin" w:hint="cs"/>
          <w:rtl/>
          <w:lang w:bidi="he-IL"/>
        </w:rPr>
        <w:t xml:space="preserve"> וע"ש בטור שיש חולקים על היתר שהגעלה בכלי חרס שבלעו צונן, ולכאורה היינו משום שמחלקים בין הגעלה למילוי ועירוי, וכן הוא דעת הרמב"ן בחי' למס' ע"ז שם, אבל לעולם מהני לזה מילוי ועירוי וכדמבואר בירושלמי</w:t>
      </w:r>
      <w:r w:rsidR="003A20EE" w:rsidRPr="00882F11">
        <w:rPr>
          <w:rStyle w:val="FootnoteReference"/>
          <w:rFonts w:cs="Guttman Drogolin"/>
          <w:rtl/>
          <w:lang w:bidi="he-IL"/>
        </w:rPr>
        <w:footnoteReference w:id="566"/>
      </w:r>
      <w:r w:rsidR="003A20EE" w:rsidRPr="00882F11">
        <w:rPr>
          <w:rFonts w:cs="Guttman Drogolin" w:hint="cs"/>
          <w:rtl/>
          <w:lang w:bidi="he-IL"/>
        </w:rPr>
        <w:t xml:space="preserve">. </w:t>
      </w:r>
    </w:p>
    <w:p w:rsidR="00FA419D" w:rsidRPr="00882F11" w:rsidRDefault="00FA419D" w:rsidP="00844E6F">
      <w:pPr>
        <w:tabs>
          <w:tab w:val="right" w:pos="7497"/>
        </w:tabs>
        <w:bidi/>
        <w:jc w:val="both"/>
        <w:rPr>
          <w:rFonts w:cs="Guttman Drogolin"/>
          <w:rtl/>
        </w:rPr>
      </w:pPr>
      <w:r w:rsidRPr="00882F11">
        <w:rPr>
          <w:rFonts w:cs="Guttman Drogolin" w:hint="cs"/>
          <w:rtl/>
          <w:lang w:bidi="he-IL"/>
        </w:rPr>
        <w:lastRenderedPageBreak/>
        <w:t xml:space="preserve">ונחלקו הראשונים ביסוד ההכשר של מילוי ועירוי. </w:t>
      </w:r>
      <w:r w:rsidR="000836E4" w:rsidRPr="00882F11">
        <w:rPr>
          <w:rFonts w:cs="Guttman Drogolin" w:hint="cs"/>
          <w:rtl/>
          <w:lang w:bidi="he-IL"/>
        </w:rPr>
        <w:t xml:space="preserve">בחי' הריטב"א שם במס' ע"ז </w:t>
      </w:r>
      <w:r w:rsidR="00A00A54" w:rsidRPr="00882F11">
        <w:rPr>
          <w:rFonts w:cs="Guttman Drogolin" w:hint="cs"/>
          <w:rtl/>
          <w:lang w:bidi="he-IL"/>
        </w:rPr>
        <w:t>ל"ג ע"א ביאר הענין ד</w:t>
      </w:r>
      <w:r w:rsidR="00A00A54" w:rsidRPr="00882F11">
        <w:rPr>
          <w:rFonts w:cs="Guttman Drogolin"/>
          <w:rtl/>
          <w:lang w:bidi="he-IL"/>
        </w:rPr>
        <w:t xml:space="preserve">כשממלאין ומערין אותן מים </w:t>
      </w:r>
      <w:r w:rsidR="00A00A54" w:rsidRPr="00882F11">
        <w:rPr>
          <w:rFonts w:cs="Guttman Drogolin" w:hint="cs"/>
          <w:rtl/>
          <w:lang w:bidi="he-IL"/>
        </w:rPr>
        <w:t>"</w:t>
      </w:r>
      <w:r w:rsidR="00A00A54" w:rsidRPr="00882F11">
        <w:rPr>
          <w:rFonts w:cs="Guttman Drogolin"/>
          <w:rtl/>
          <w:lang w:bidi="he-IL"/>
        </w:rPr>
        <w:t>המים האלו מתוך שהייתן שם מרפין דופני הכלי ונכנסין ונבלעין ומפיגין טעם היין שבהן עד שאין בו תורת יין כלל</w:t>
      </w:r>
      <w:r w:rsidR="00A00A54" w:rsidRPr="00882F11">
        <w:rPr>
          <w:rFonts w:cs="Guttman Drogolin" w:hint="cs"/>
          <w:rtl/>
          <w:lang w:bidi="he-IL"/>
        </w:rPr>
        <w:t>" (אמנם ע"ש שמבואר מדבריו דלא מהני הכשר זה לבליעה ממש, ויין צונן שבכלי באמת אינו מבליע, "</w:t>
      </w:r>
      <w:r w:rsidR="00A00A54" w:rsidRPr="00882F11">
        <w:rPr>
          <w:rFonts w:cs="Guttman Drogolin"/>
          <w:rtl/>
          <w:lang w:bidi="he-IL"/>
        </w:rPr>
        <w:t>אלא איידי דאית ליה לחמרא חריפות גדול קולט הכלי טעמו, כל כלי כפי מה שהוא, וכלי חרס קולט ובולע יותר</w:t>
      </w:r>
      <w:r w:rsidR="00A00A54" w:rsidRPr="00882F11">
        <w:rPr>
          <w:rFonts w:cs="Guttman Drogolin" w:hint="cs"/>
          <w:rtl/>
          <w:lang w:bidi="he-IL"/>
        </w:rPr>
        <w:t xml:space="preserve">". </w:t>
      </w:r>
      <w:r w:rsidR="00844E6F" w:rsidRPr="00882F11">
        <w:rPr>
          <w:rFonts w:cs="Guttman Drogolin" w:hint="cs"/>
          <w:rtl/>
          <w:lang w:bidi="he-IL"/>
        </w:rPr>
        <w:t>אמנם יעוין בשו"ת הרשב"א (ח"א סי' תרל"ג) שכתב "</w:t>
      </w:r>
      <w:r w:rsidR="00844E6F" w:rsidRPr="00882F11">
        <w:rPr>
          <w:rFonts w:cs="Guttman Drogolin"/>
          <w:rtl/>
          <w:lang w:bidi="he-IL"/>
        </w:rPr>
        <w:t>ומה שאמרת שהכשר מלוי ועירוי אינו אלא מחמת שהמים מפיגים ומקלקלים טעמו של יין ולומר דמשום טעם לפגם נגעו בה. אבל אין מפליטין אותו מן הכלי שאין המים הקרים מפליטין אינו מקובל בידינו. אלא מפליטין הן היין שבתוכו מפני שלא נבלע היין אלא בצונן. וחום מועט שהיה בו אינו כל כך מסתרך שלא יוציאוהו המים הקרים. שלא אמרו הגעלה ברותחין אלא במה שנבלע בחום האש ונסתרך בתוך דופני הכלי על ידי האש. ועל כן אנו מתירין קנקנים של גוים מזופפים במילוי ועירוי דמפליט</w:t>
      </w:r>
      <w:r w:rsidR="00844E6F" w:rsidRPr="00882F11">
        <w:rPr>
          <w:rFonts w:cs="Guttman Drogolin" w:hint="cs"/>
          <w:rtl/>
          <w:lang w:bidi="he-IL"/>
        </w:rPr>
        <w:t>" הרי שלכאורה יש לנו מחלוקת בפעולת ההכשר דמילוי ועירוי. וע' בס' פני הבית למס' ע"ז שהביא כמה נפק"מ בחקירה זו.</w:t>
      </w:r>
    </w:p>
    <w:p w:rsidR="00C610D8" w:rsidRPr="00882F11" w:rsidRDefault="002146E0" w:rsidP="00C63BFC">
      <w:pPr>
        <w:tabs>
          <w:tab w:val="right" w:pos="7497"/>
        </w:tabs>
        <w:bidi/>
        <w:jc w:val="both"/>
        <w:rPr>
          <w:rFonts w:cs="Guttman Drogolin"/>
          <w:rtl/>
          <w:lang w:bidi="he-IL"/>
        </w:rPr>
      </w:pPr>
      <w:r w:rsidRPr="00882F11">
        <w:rPr>
          <w:rFonts w:cs="Guttman Drogolin" w:hint="cs"/>
          <w:rtl/>
          <w:lang w:bidi="he-IL"/>
        </w:rPr>
        <w:t>ויש ל</w:t>
      </w:r>
      <w:r w:rsidR="003A20EE" w:rsidRPr="00882F11">
        <w:rPr>
          <w:rFonts w:cs="Guttman Drogolin" w:hint="cs"/>
          <w:rtl/>
          <w:lang w:bidi="he-IL"/>
        </w:rPr>
        <w:t>מ</w:t>
      </w:r>
      <w:r w:rsidRPr="00882F11">
        <w:rPr>
          <w:rFonts w:cs="Guttman Drogolin" w:hint="cs"/>
          <w:rtl/>
          <w:lang w:bidi="he-IL"/>
        </w:rPr>
        <w:t>י</w:t>
      </w:r>
      <w:r w:rsidR="003A20EE" w:rsidRPr="00882F11">
        <w:rPr>
          <w:rFonts w:cs="Guttman Drogolin" w:hint="cs"/>
          <w:rtl/>
          <w:lang w:bidi="he-IL"/>
        </w:rPr>
        <w:t>לוי ועירוי כמה דינים וכדמבואר שם בגמ'</w:t>
      </w:r>
      <w:r w:rsidR="00046FDC" w:rsidRPr="00882F11">
        <w:rPr>
          <w:rFonts w:cs="Guttman Drogolin" w:hint="cs"/>
          <w:rtl/>
          <w:lang w:bidi="he-IL"/>
        </w:rPr>
        <w:t xml:space="preserve"> ובפוסקים</w:t>
      </w:r>
      <w:r w:rsidR="003A20EE" w:rsidRPr="00882F11">
        <w:rPr>
          <w:rFonts w:cs="Guttman Drogolin" w:hint="cs"/>
          <w:rtl/>
          <w:lang w:bidi="he-IL"/>
        </w:rPr>
        <w:t xml:space="preserve">. </w:t>
      </w:r>
      <w:r w:rsidR="00046FDC" w:rsidRPr="00882F11">
        <w:rPr>
          <w:rFonts w:cs="Guttman Drogolin" w:hint="cs"/>
          <w:rtl/>
          <w:lang w:bidi="he-IL"/>
        </w:rPr>
        <w:t xml:space="preserve">חדא מאי דקאמר </w:t>
      </w:r>
      <w:r w:rsidR="00046FDC" w:rsidRPr="00882F11">
        <w:rPr>
          <w:rFonts w:cs="Guttman Drogolin"/>
          <w:rtl/>
          <w:lang w:bidi="he-IL"/>
        </w:rPr>
        <w:t>רבא</w:t>
      </w:r>
      <w:r w:rsidR="00046FDC" w:rsidRPr="00882F11">
        <w:rPr>
          <w:rFonts w:cs="Guttman Drogolin" w:hint="cs"/>
          <w:rtl/>
          <w:lang w:bidi="he-IL"/>
        </w:rPr>
        <w:t xml:space="preserve"> שם בגמ'</w:t>
      </w:r>
      <w:r w:rsidR="00046FDC" w:rsidRPr="00882F11">
        <w:rPr>
          <w:rFonts w:cs="Guttman Drogolin"/>
          <w:rtl/>
          <w:lang w:bidi="he-IL"/>
        </w:rPr>
        <w:t xml:space="preserve"> </w:t>
      </w:r>
      <w:r w:rsidR="00046FDC" w:rsidRPr="00882F11">
        <w:rPr>
          <w:rFonts w:cs="Guttman Drogolin" w:hint="cs"/>
          <w:rtl/>
          <w:lang w:bidi="he-IL"/>
        </w:rPr>
        <w:t>"</w:t>
      </w:r>
      <w:r w:rsidR="00046FDC" w:rsidRPr="00882F11">
        <w:rPr>
          <w:rFonts w:cs="Guttman Drogolin"/>
          <w:rtl/>
          <w:lang w:bidi="he-IL"/>
        </w:rPr>
        <w:t>צריך לערן מעת לעת</w:t>
      </w:r>
      <w:r w:rsidR="00046FDC" w:rsidRPr="00882F11">
        <w:rPr>
          <w:rFonts w:cs="Guttman Drogolin" w:hint="cs"/>
          <w:rtl/>
          <w:lang w:bidi="he-IL"/>
        </w:rPr>
        <w:t>"</w:t>
      </w:r>
      <w:r w:rsidR="002F3C23" w:rsidRPr="00882F11">
        <w:rPr>
          <w:rStyle w:val="FootnoteReference"/>
          <w:rFonts w:cs="Guttman Drogolin"/>
          <w:rtl/>
          <w:lang w:bidi="he-IL"/>
        </w:rPr>
        <w:footnoteReference w:id="567"/>
      </w:r>
      <w:r w:rsidR="00046FDC" w:rsidRPr="00882F11">
        <w:rPr>
          <w:rFonts w:cs="Guttman Drogolin" w:hint="cs"/>
          <w:rtl/>
          <w:lang w:bidi="he-IL"/>
        </w:rPr>
        <w:t xml:space="preserve">. ועוד מבואר </w:t>
      </w:r>
      <w:r w:rsidRPr="00882F11">
        <w:rPr>
          <w:rFonts w:cs="Guttman Drogolin" w:hint="cs"/>
          <w:rtl/>
          <w:lang w:bidi="he-IL"/>
        </w:rPr>
        <w:t xml:space="preserve">בב"י מכמה ראשונים </w:t>
      </w:r>
      <w:r w:rsidR="00046FDC" w:rsidRPr="00882F11">
        <w:rPr>
          <w:rFonts w:cs="Guttman Drogolin" w:hint="cs"/>
          <w:rtl/>
          <w:lang w:bidi="he-IL"/>
        </w:rPr>
        <w:t>שאי א</w:t>
      </w:r>
      <w:r w:rsidRPr="00882F11">
        <w:rPr>
          <w:rFonts w:cs="Guttman Drogolin" w:hint="cs"/>
          <w:rtl/>
          <w:lang w:bidi="he-IL"/>
        </w:rPr>
        <w:t>פשר לעשות כן ע"י יין</w:t>
      </w:r>
      <w:r w:rsidR="00713644" w:rsidRPr="00882F11">
        <w:rPr>
          <w:rStyle w:val="FootnoteReference"/>
          <w:rFonts w:cs="Guttman Drogolin"/>
          <w:rtl/>
          <w:lang w:bidi="he-IL"/>
        </w:rPr>
        <w:footnoteReference w:id="568"/>
      </w:r>
      <w:r w:rsidRPr="00882F11">
        <w:rPr>
          <w:rFonts w:cs="Guttman Drogolin" w:hint="cs"/>
          <w:rtl/>
          <w:lang w:bidi="he-IL"/>
        </w:rPr>
        <w:t xml:space="preserve">. </w:t>
      </w:r>
      <w:r w:rsidR="00C63BFC" w:rsidRPr="00882F11">
        <w:rPr>
          <w:rFonts w:cs="Guttman Drogolin" w:hint="cs"/>
          <w:rtl/>
          <w:lang w:bidi="he-IL"/>
        </w:rPr>
        <w:t>והטור כתב שצריך למלאותו על כל גדותיו</w:t>
      </w:r>
      <w:r w:rsidR="00713644" w:rsidRPr="00882F11">
        <w:rPr>
          <w:rFonts w:cs="Guttman Drogolin" w:hint="cs"/>
          <w:rtl/>
          <w:lang w:bidi="he-IL"/>
        </w:rPr>
        <w:t xml:space="preserve"> (כולל השפה</w:t>
      </w:r>
      <w:r w:rsidR="002F3C23" w:rsidRPr="00882F11">
        <w:rPr>
          <w:rStyle w:val="FootnoteReference"/>
          <w:rFonts w:cs="Guttman Drogolin"/>
          <w:rtl/>
          <w:lang w:bidi="he-IL"/>
        </w:rPr>
        <w:footnoteReference w:id="569"/>
      </w:r>
      <w:r w:rsidR="00713644" w:rsidRPr="00882F11">
        <w:rPr>
          <w:rFonts w:cs="Guttman Drogolin" w:hint="cs"/>
          <w:rtl/>
          <w:lang w:bidi="he-IL"/>
        </w:rPr>
        <w:t xml:space="preserve"> </w:t>
      </w:r>
      <w:r w:rsidR="00713644" w:rsidRPr="00882F11">
        <w:rPr>
          <w:rFonts w:cs="Guttman Drogolin"/>
          <w:rtl/>
          <w:lang w:bidi="he-IL"/>
        </w:rPr>
        <w:t>–</w:t>
      </w:r>
      <w:r w:rsidR="00713644" w:rsidRPr="00882F11">
        <w:rPr>
          <w:rFonts w:cs="Guttman Drogolin" w:hint="cs"/>
          <w:rtl/>
          <w:lang w:bidi="he-IL"/>
        </w:rPr>
        <w:t xml:space="preserve"> ע' ס' הגעלת כלים פי"ג ס"ק מ"ז*)</w:t>
      </w:r>
      <w:r w:rsidR="00C63BFC" w:rsidRPr="00882F11">
        <w:rPr>
          <w:rFonts w:cs="Guttman Drogolin" w:hint="cs"/>
          <w:rtl/>
          <w:lang w:bidi="he-IL"/>
        </w:rPr>
        <w:t xml:space="preserve">. </w:t>
      </w:r>
      <w:r w:rsidRPr="00882F11">
        <w:rPr>
          <w:rFonts w:cs="Guttman Drogolin" w:hint="cs"/>
          <w:rtl/>
          <w:lang w:bidi="he-IL"/>
        </w:rPr>
        <w:lastRenderedPageBreak/>
        <w:t>ובהגהות אשר"י (פ"ב אות כ"ב) מבואר בשם רבינו שמחה שאין צריך ג' ימים רצופין</w:t>
      </w:r>
      <w:r w:rsidR="00334A77" w:rsidRPr="00882F11">
        <w:rPr>
          <w:rStyle w:val="FootnoteReference"/>
          <w:rFonts w:cs="Guttman Drogolin"/>
          <w:rtl/>
          <w:lang w:bidi="he-IL"/>
        </w:rPr>
        <w:footnoteReference w:id="570"/>
      </w:r>
      <w:r w:rsidRPr="00882F11">
        <w:rPr>
          <w:rFonts w:cs="Guttman Drogolin" w:hint="cs"/>
          <w:rtl/>
          <w:lang w:bidi="he-IL"/>
        </w:rPr>
        <w:t xml:space="preserve"> (אבל כל יום צריך מעל"ע רצוף).</w:t>
      </w:r>
      <w:r w:rsidR="00C63BFC" w:rsidRPr="00882F11">
        <w:rPr>
          <w:rFonts w:cs="Guttman Drogolin" w:hint="cs"/>
          <w:rtl/>
          <w:lang w:bidi="he-IL"/>
        </w:rPr>
        <w:t xml:space="preserve"> ואי אפשר רק להשאיר את המים לג' ימים מבלי לערות המים בינתיים, אלא צריך שישהה מעל"ע ולשפוך המים</w:t>
      </w:r>
      <w:r w:rsidR="006732BE" w:rsidRPr="00882F11">
        <w:rPr>
          <w:rStyle w:val="FootnoteReference"/>
          <w:rFonts w:cs="Guttman Drogolin"/>
          <w:rtl/>
          <w:lang w:bidi="he-IL"/>
        </w:rPr>
        <w:footnoteReference w:id="571"/>
      </w:r>
      <w:r w:rsidR="00C63BFC" w:rsidRPr="00882F11">
        <w:rPr>
          <w:rFonts w:cs="Guttman Drogolin" w:hint="cs"/>
          <w:rtl/>
          <w:lang w:bidi="he-IL"/>
        </w:rPr>
        <w:t xml:space="preserve">, ולאחר מכן </w:t>
      </w:r>
      <w:r w:rsidR="002F3C23" w:rsidRPr="00882F11">
        <w:rPr>
          <w:rFonts w:cs="Guttman Drogolin" w:hint="cs"/>
          <w:rtl/>
          <w:lang w:bidi="he-IL"/>
        </w:rPr>
        <w:t>לשוטפן בצונן</w:t>
      </w:r>
      <w:r w:rsidR="002F3C23" w:rsidRPr="00882F11">
        <w:rPr>
          <w:rStyle w:val="FootnoteReference"/>
          <w:rFonts w:cs="Guttman Drogolin"/>
          <w:rtl/>
          <w:lang w:bidi="he-IL"/>
        </w:rPr>
        <w:footnoteReference w:id="572"/>
      </w:r>
      <w:r w:rsidR="002F3C23" w:rsidRPr="00882F11">
        <w:rPr>
          <w:rFonts w:cs="Guttman Drogolin" w:hint="cs"/>
          <w:rtl/>
          <w:lang w:bidi="he-IL"/>
        </w:rPr>
        <w:t>, ו</w:t>
      </w:r>
      <w:r w:rsidR="00C63BFC" w:rsidRPr="00882F11">
        <w:rPr>
          <w:rFonts w:cs="Guttman Drogolin" w:hint="cs"/>
          <w:rtl/>
          <w:lang w:bidi="he-IL"/>
        </w:rPr>
        <w:t xml:space="preserve">למלאות עוד פעם שני ושלישי, ובביאור הגר"א כתב שכן מדויק מלשון "וצריך לערן". וכל זה מובא ביו"ד סי' קל"ה </w:t>
      </w:r>
      <w:r w:rsidR="004072D5" w:rsidRPr="00882F11">
        <w:rPr>
          <w:rFonts w:cs="Guttman Drogolin" w:hint="cs"/>
          <w:rtl/>
          <w:lang w:bidi="he-IL"/>
        </w:rPr>
        <w:t>ס</w:t>
      </w:r>
      <w:r w:rsidR="00C63BFC" w:rsidRPr="00882F11">
        <w:rPr>
          <w:rFonts w:cs="Guttman Drogolin" w:hint="cs"/>
          <w:rtl/>
          <w:lang w:bidi="he-IL"/>
        </w:rPr>
        <w:t>ע' י"ב.</w:t>
      </w:r>
      <w:r w:rsidR="004072D5" w:rsidRPr="00882F11">
        <w:rPr>
          <w:rFonts w:cs="Guttman Drogolin" w:hint="cs"/>
          <w:rtl/>
          <w:lang w:bidi="he-IL"/>
        </w:rPr>
        <w:t xml:space="preserve"> </w:t>
      </w:r>
    </w:p>
    <w:p w:rsidR="00844E6F" w:rsidRPr="00882F11" w:rsidRDefault="00C610D8" w:rsidP="00C175F2">
      <w:pPr>
        <w:tabs>
          <w:tab w:val="right" w:pos="7497"/>
        </w:tabs>
        <w:bidi/>
        <w:jc w:val="both"/>
        <w:rPr>
          <w:rFonts w:cs="Guttman Drogolin"/>
          <w:rtl/>
          <w:lang w:bidi="he-IL"/>
        </w:rPr>
      </w:pPr>
      <w:r w:rsidRPr="00882F11">
        <w:rPr>
          <w:rFonts w:cs="Guttman Drogolin" w:hint="cs"/>
          <w:rtl/>
          <w:lang w:bidi="he-IL"/>
        </w:rPr>
        <w:t>וחזינן מכל הלין שאמנם יש לנו כלל דכבוש כמבושל, מ"מ אין לנו כלל דכבוש כהגעלה, דהא אילו הי' כן לא היינו צריכים מילוי ועירוי ג' פעמים לפי מאי דקיי"ל דאמרינן בכל משקין הנמצאים בכלי למשך עשרים וארבע שעות שהוא כבוש כמבושל.</w:t>
      </w:r>
      <w:r w:rsidR="00844E6F" w:rsidRPr="00882F11">
        <w:rPr>
          <w:rFonts w:cs="Guttman Drogolin" w:hint="cs"/>
          <w:rtl/>
          <w:lang w:bidi="he-IL"/>
        </w:rPr>
        <w:t xml:space="preserve"> </w:t>
      </w:r>
      <w:r w:rsidR="00CE698F" w:rsidRPr="00882F11">
        <w:rPr>
          <w:rFonts w:cs="Guttman Drogolin" w:hint="cs"/>
          <w:rtl/>
          <w:lang w:bidi="he-IL"/>
        </w:rPr>
        <w:t>ויעוין במרדכי (ביצה סי' תרע"ד, מובא בב"י יו"ד סי' ק"ה) שבאמת הוכיח מדין מילוי ועירוי שהשיעור זמן של כבוש הוא ג' ימים מעל"ע</w:t>
      </w:r>
      <w:bookmarkStart w:id="543" w:name="_Ref489025102"/>
      <w:r w:rsidR="00CE698F" w:rsidRPr="00882F11">
        <w:rPr>
          <w:rStyle w:val="FootnoteReference"/>
          <w:rFonts w:cs="Guttman Drogolin"/>
          <w:rtl/>
          <w:lang w:bidi="he-IL"/>
        </w:rPr>
        <w:footnoteReference w:id="573"/>
      </w:r>
      <w:bookmarkEnd w:id="543"/>
      <w:r w:rsidR="00CE698F" w:rsidRPr="00882F11">
        <w:rPr>
          <w:rFonts w:cs="Guttman Drogolin" w:hint="cs"/>
          <w:rtl/>
          <w:lang w:bidi="he-IL"/>
        </w:rPr>
        <w:t>, אמנם שארי הפוסקים הוכיחו ממקומות אחרות שאין זה נכון, וע"כ הטעם הוא כנ"ל.</w:t>
      </w:r>
    </w:p>
    <w:p w:rsidR="00C175F2" w:rsidRPr="00882F11" w:rsidRDefault="00C175F2" w:rsidP="00C175F2">
      <w:pPr>
        <w:tabs>
          <w:tab w:val="right" w:pos="7497"/>
        </w:tabs>
        <w:bidi/>
        <w:jc w:val="both"/>
        <w:rPr>
          <w:rFonts w:cs="Guttman Drogolin"/>
          <w:rtl/>
          <w:lang w:bidi="he-IL"/>
        </w:rPr>
      </w:pPr>
      <w:r w:rsidRPr="00882F11">
        <w:rPr>
          <w:rFonts w:cs="Guttman Drogolin" w:hint="cs"/>
          <w:rtl/>
          <w:lang w:bidi="he-IL"/>
        </w:rPr>
        <w:t>ויעוין בש"ך ביו"ד סי' קל"ה ס"ק ל"ג דמעיקרא ר"ל דלא מהני מילוי ועירוי אלא במקום שלא ידוע שנכבש, אבל כבוש כמבושל ולא מהני לה מילוי ועירוי. ושוב חזר בו מזה מסתימת הפוסקים דמהני אפילו אם הי' כבוש כמבושל</w:t>
      </w:r>
      <w:r w:rsidR="00E23652" w:rsidRPr="00882F11">
        <w:rPr>
          <w:rStyle w:val="FootnoteReference"/>
          <w:rFonts w:cs="Guttman Drogolin"/>
          <w:rtl/>
          <w:lang w:bidi="he-IL"/>
        </w:rPr>
        <w:footnoteReference w:id="574"/>
      </w:r>
      <w:r w:rsidRPr="00882F11">
        <w:rPr>
          <w:rFonts w:cs="Guttman Drogolin" w:hint="cs"/>
          <w:rtl/>
          <w:lang w:bidi="he-IL"/>
        </w:rPr>
        <w:t xml:space="preserve">, אבל רק ביין ומשום דמקליש לה היין, אבל בשאר איסורים לא. אלא שהעיר מכאן דמפורש דמהני בחמץ אפילו אם הי' כבוש מעל"ע. וכתב דע"כ או דשאני הכא שהוא אינו בן יומו, או"ד שאני חמץ דהיתירא בלע. ומכח דברי הש"ך כתב המ"ב בס"ק קי"ז </w:t>
      </w:r>
      <w:r w:rsidRPr="00882F11">
        <w:rPr>
          <w:rFonts w:cs="Guttman Drogolin" w:hint="cs"/>
          <w:rtl/>
          <w:lang w:bidi="he-IL"/>
        </w:rPr>
        <w:lastRenderedPageBreak/>
        <w:t>די"א דלא מהני מילוי ועירוי בבן יומו וכתי' הראשון שלו (ומשמע שאין זה עיקר הדין), ובס"ק קי"ח כתב דלא מהני לשאר איסורים, וזהו לכאורה כתי' השני, ומשמע דסבר שהעיקר כתי' השני.</w:t>
      </w:r>
    </w:p>
    <w:p w:rsidR="0073429C" w:rsidRPr="00882F11" w:rsidRDefault="00844E6F" w:rsidP="00153CF8">
      <w:pPr>
        <w:tabs>
          <w:tab w:val="right" w:pos="7497"/>
        </w:tabs>
        <w:bidi/>
        <w:jc w:val="both"/>
        <w:rPr>
          <w:rFonts w:cs="Guttman Drogolin"/>
          <w:rtl/>
          <w:lang w:bidi="he-IL"/>
        </w:rPr>
      </w:pPr>
      <w:r w:rsidRPr="00882F11">
        <w:rPr>
          <w:rFonts w:cs="Guttman Drogolin" w:hint="cs"/>
          <w:rtl/>
          <w:lang w:bidi="he-IL"/>
        </w:rPr>
        <w:t>ומ"מ לענין מעשה כבר כתב הרי"ף שנוהגים שלא להשתמש בכלי חרס ישנים כלל אע"ג ששייך בהם הכשר. והביאוהו הרא"ש וכן הוא בשו"ע בסע' כ"ב.</w:t>
      </w:r>
      <w:r w:rsidR="00C610D8" w:rsidRPr="00882F11">
        <w:rPr>
          <w:rFonts w:cs="Guttman Drogolin" w:hint="cs"/>
          <w:rtl/>
          <w:lang w:bidi="he-IL"/>
        </w:rPr>
        <w:t xml:space="preserve">  </w:t>
      </w:r>
    </w:p>
    <w:p w:rsidR="0073429C" w:rsidRPr="00280E73" w:rsidRDefault="00153CF8" w:rsidP="00153CF8">
      <w:pPr>
        <w:pStyle w:val="Heading1"/>
        <w:bidi/>
        <w:spacing w:before="0" w:line="360" w:lineRule="auto"/>
        <w:jc w:val="center"/>
        <w:rPr>
          <w:rFonts w:cs="Guttman Drogolin"/>
          <w:color w:val="auto"/>
          <w:sz w:val="22"/>
          <w:szCs w:val="22"/>
          <w:u w:val="single"/>
          <w:rtl/>
          <w:lang w:bidi="he-IL"/>
        </w:rPr>
      </w:pPr>
      <w:bookmarkStart w:id="544" w:name="_Toc496175781"/>
      <w:r w:rsidRPr="00280E73">
        <w:rPr>
          <w:rFonts w:cs="Guttman Drogolin" w:hint="cs"/>
          <w:color w:val="auto"/>
          <w:sz w:val="22"/>
          <w:szCs w:val="22"/>
          <w:u w:val="single"/>
          <w:rtl/>
          <w:lang w:bidi="he-IL"/>
        </w:rPr>
        <w:t>היכי קיי"ל לענין כלי חרס שהשתמש בה בצונן</w:t>
      </w:r>
      <w:bookmarkEnd w:id="544"/>
    </w:p>
    <w:p w:rsidR="008C65AA" w:rsidRPr="00882F11" w:rsidRDefault="00BB4151" w:rsidP="00350BF9">
      <w:pPr>
        <w:tabs>
          <w:tab w:val="right" w:pos="7497"/>
        </w:tabs>
        <w:bidi/>
        <w:jc w:val="both"/>
        <w:rPr>
          <w:rFonts w:cs="Guttman Drogolin"/>
          <w:rtl/>
          <w:lang w:bidi="he-IL"/>
        </w:rPr>
      </w:pPr>
      <w:r>
        <w:rPr>
          <w:rFonts w:cs="Guttman Drogolin"/>
          <w:rtl/>
          <w:lang w:bidi="he-IL"/>
        </w:rPr>
        <w:fldChar w:fldCharType="begin"/>
      </w:r>
      <w:r>
        <w:instrText xml:space="preserve"> XE "</w:instrText>
      </w:r>
      <w:r w:rsidRPr="008326FB">
        <w:rPr>
          <w:rFonts w:hint="cs"/>
          <w:rtl/>
          <w:lang w:bidi="he-IL"/>
        </w:rPr>
        <w:instrText>הכשר כלים</w:instrText>
      </w:r>
      <w:r w:rsidRPr="008326FB">
        <w:rPr>
          <w:rtl/>
        </w:rPr>
        <w:instrText>:</w:instrText>
      </w:r>
      <w:r w:rsidRPr="008326FB">
        <w:rPr>
          <w:rFonts w:hint="cs"/>
          <w:rtl/>
          <w:lang w:bidi="he-IL"/>
        </w:rPr>
        <w:instrText>כלי חרס שהתמשו בה צונן</w:instrText>
      </w:r>
      <w:r>
        <w:instrText xml:space="preserve">" </w:instrText>
      </w:r>
      <w:r>
        <w:rPr>
          <w:rFonts w:cs="Guttman Drogolin"/>
          <w:rtl/>
          <w:lang w:bidi="he-IL"/>
        </w:rPr>
        <w:fldChar w:fldCharType="end"/>
      </w:r>
      <w:r w:rsidR="00153CF8" w:rsidRPr="00882F11">
        <w:rPr>
          <w:rFonts w:cs="Guttman Drogolin" w:hint="cs"/>
          <w:rtl/>
          <w:lang w:bidi="he-IL"/>
        </w:rPr>
        <w:t>ז"ל השו"ע בסע' כ"ב "</w:t>
      </w:r>
      <w:r w:rsidR="00153CF8" w:rsidRPr="00882F11">
        <w:rPr>
          <w:rFonts w:cs="Guttman Drogolin"/>
          <w:rtl/>
          <w:lang w:bidi="he-IL"/>
        </w:rPr>
        <w:t xml:space="preserve">כל הכלים אפילו של חרס שנשתמש בהם חמץ בצונן מותר להשתמש בהם מצה אפילו בחמין חוץ מבית שאור ובית חרוסת שאף ע"פ שלא נשתמש בהם חמץ אלא בצונן אסור להשתמש בהם מצה בחמין, אבל בצונן להניח בהם מצה אפויה מותר אבל אסור ללוש בהם </w:t>
      </w:r>
      <w:r w:rsidR="00153CF8" w:rsidRPr="00882F11">
        <w:rPr>
          <w:rFonts w:cs="Guttman Drogolin" w:hint="cs"/>
          <w:rtl/>
          <w:lang w:bidi="he-IL"/>
        </w:rPr>
        <w:t>וכו'</w:t>
      </w:r>
      <w:r w:rsidR="00153CF8" w:rsidRPr="00882F11">
        <w:rPr>
          <w:rFonts w:cs="Guttman Drogolin"/>
          <w:rtl/>
          <w:lang w:bidi="he-IL"/>
        </w:rPr>
        <w:t xml:space="preserve"> </w:t>
      </w:r>
      <w:r w:rsidR="00350BF9" w:rsidRPr="00882F11">
        <w:rPr>
          <w:rFonts w:cs="Guttman Drogolin"/>
          <w:rtl/>
          <w:lang w:bidi="he-IL"/>
        </w:rPr>
        <w:t xml:space="preserve">אבל לשל חרס לא מהני הגעלה ואפילו </w:t>
      </w:r>
      <w:r w:rsidR="00153CF8" w:rsidRPr="00882F11">
        <w:rPr>
          <w:rFonts w:cs="Guttman Drogolin"/>
          <w:rtl/>
          <w:lang w:bidi="he-IL"/>
        </w:rPr>
        <w:t>לא נשתמש בהם חמץ אלא בצונן לא ישתמש בהם מצה אפילו בצונן</w:t>
      </w:r>
      <w:r w:rsidR="00153CF8" w:rsidRPr="00882F11">
        <w:rPr>
          <w:rFonts w:cs="Guttman Drogolin" w:hint="cs"/>
          <w:rtl/>
          <w:lang w:bidi="he-IL"/>
        </w:rPr>
        <w:t>" והנה לפי גירסת הרי"ף לכאורה יוצא ב' חידושים וכמש"כ הר"ן, חדא דכלי שהשתמש בה חמץ בחמין אסור להשתמש בה מצה בצונן, ועוד כלי שהשתמש בה חמץ בצונן אסור להשתמש בה מצה בחמין. ולכן מתחילת דברי המחבר נראה שלא פסק כגירסת הרי"ף,</w:t>
      </w:r>
      <w:r w:rsidR="00E23652" w:rsidRPr="00882F11">
        <w:rPr>
          <w:rFonts w:cs="Guttman Drogolin" w:hint="cs"/>
          <w:rtl/>
          <w:lang w:bidi="he-IL"/>
        </w:rPr>
        <w:t xml:space="preserve"> </w:t>
      </w:r>
      <w:r w:rsidR="00153CF8" w:rsidRPr="00882F11">
        <w:rPr>
          <w:rFonts w:cs="Guttman Drogolin" w:hint="cs"/>
          <w:rtl/>
          <w:lang w:bidi="he-IL"/>
        </w:rPr>
        <w:t xml:space="preserve">דהא התיר כלי שהשתמש בה חמץ </w:t>
      </w:r>
      <w:r w:rsidR="00E23652" w:rsidRPr="00882F11">
        <w:rPr>
          <w:rFonts w:cs="Guttman Drogolin" w:hint="cs"/>
          <w:rtl/>
          <w:lang w:bidi="he-IL"/>
        </w:rPr>
        <w:t>בצונן להשתמש בה מצה אפילו בחמין</w:t>
      </w:r>
      <w:r w:rsidR="00153CF8" w:rsidRPr="00882F11">
        <w:rPr>
          <w:rFonts w:cs="Guttman Drogolin" w:hint="cs"/>
          <w:rtl/>
          <w:lang w:bidi="he-IL"/>
        </w:rPr>
        <w:t xml:space="preserve">. אמנם סוף דבריו שכתב </w:t>
      </w:r>
      <w:r w:rsidR="00350BF9" w:rsidRPr="00882F11">
        <w:rPr>
          <w:rFonts w:cs="Guttman Drogolin" w:hint="cs"/>
          <w:rtl/>
          <w:lang w:bidi="he-IL"/>
        </w:rPr>
        <w:t>בכלי חרס ש</w:t>
      </w:r>
      <w:r w:rsidR="00153CF8" w:rsidRPr="00882F11">
        <w:rPr>
          <w:rFonts w:cs="Guttman Drogolin" w:hint="cs"/>
          <w:rtl/>
          <w:lang w:bidi="he-IL"/>
        </w:rPr>
        <w:t xml:space="preserve">לא ישתמש בה מצה אפילו בצונן משמע כגירסת הרי"ף, ויוצא שלכאורה דברי השו"ע סותרים זה את זה. </w:t>
      </w:r>
    </w:p>
    <w:p w:rsidR="002F293D" w:rsidRPr="00882F11" w:rsidRDefault="008C65AA" w:rsidP="004A315B">
      <w:pPr>
        <w:tabs>
          <w:tab w:val="right" w:pos="7497"/>
        </w:tabs>
        <w:bidi/>
        <w:jc w:val="both"/>
        <w:rPr>
          <w:rFonts w:cs="Guttman Drogolin"/>
          <w:rtl/>
          <w:lang w:bidi="he-IL"/>
        </w:rPr>
      </w:pPr>
      <w:r w:rsidRPr="00882F11">
        <w:rPr>
          <w:rFonts w:cs="Guttman Drogolin" w:hint="cs"/>
          <w:rtl/>
          <w:lang w:bidi="he-IL"/>
        </w:rPr>
        <w:lastRenderedPageBreak/>
        <w:t>ומשו"ה כתב הפר"ח שאין זה הגירסא הנכונה בשו"ע, ובמקום "לא ישתמש בה אפילו בצונן" שבסוף צ"ל "לא ישתמש בה אלא צונן"</w:t>
      </w:r>
      <w:r w:rsidR="00163FF5" w:rsidRPr="00882F11">
        <w:rPr>
          <w:rFonts w:cs="Guttman Drogolin" w:hint="cs"/>
          <w:rtl/>
          <w:lang w:bidi="he-IL"/>
        </w:rPr>
        <w:t>, והיינו כראשונים דלא גרסי כרי"ף.</w:t>
      </w:r>
      <w:r w:rsidRPr="00882F11">
        <w:rPr>
          <w:rFonts w:cs="Guttman Drogolin" w:hint="cs"/>
          <w:rtl/>
          <w:lang w:bidi="he-IL"/>
        </w:rPr>
        <w:t xml:space="preserve"> </w:t>
      </w:r>
      <w:r w:rsidR="00163FF5" w:rsidRPr="00882F11">
        <w:rPr>
          <w:rFonts w:cs="Guttman Drogolin" w:hint="cs"/>
          <w:rtl/>
          <w:lang w:bidi="he-IL"/>
        </w:rPr>
        <w:t xml:space="preserve">ובביאור הגר"א העיר על גירסא זו דא"כ מהו זה שכתב השו"ע "אבל לשל חרס לא מהני הגעלה ואפילו לא נשתמש בהם חמץ אלא בצונן" דמה זה </w:t>
      </w:r>
      <w:r w:rsidR="00350BF9" w:rsidRPr="00882F11">
        <w:rPr>
          <w:rFonts w:cs="Guttman Drogolin" w:hint="cs"/>
          <w:rtl/>
          <w:lang w:bidi="he-IL"/>
        </w:rPr>
        <w:t xml:space="preserve">שלא משתמש בה אלא צונן </w:t>
      </w:r>
      <w:r w:rsidR="00163FF5" w:rsidRPr="00882F11">
        <w:rPr>
          <w:rFonts w:cs="Guttman Drogolin" w:hint="cs"/>
          <w:rtl/>
          <w:lang w:bidi="he-IL"/>
        </w:rPr>
        <w:t>קשור לזה דלא מהני הגעלה, הא בשאר כלים ג"כ אין היתר אלא להשתמש צונן ולא חמין. ולכן נקט הגר"א כגירסא המקורי, אלא שקשה וכנ"ל</w:t>
      </w:r>
      <w:r w:rsidR="004A315B" w:rsidRPr="00882F11">
        <w:rPr>
          <w:rFonts w:cs="Guttman Drogolin" w:hint="cs"/>
          <w:rtl/>
          <w:lang w:bidi="he-IL"/>
        </w:rPr>
        <w:t xml:space="preserve"> (וע"כ מש"כ מעיקרא בשו"ע "</w:t>
      </w:r>
      <w:r w:rsidR="004A315B" w:rsidRPr="00882F11">
        <w:rPr>
          <w:rFonts w:cs="Guttman Drogolin"/>
          <w:rtl/>
          <w:lang w:bidi="he-IL"/>
        </w:rPr>
        <w:t>אבל בצונן להניח בהם מצה אפויה מותר</w:t>
      </w:r>
      <w:r w:rsidR="004A315B" w:rsidRPr="00882F11">
        <w:rPr>
          <w:rFonts w:cs="Guttman Drogolin" w:hint="cs"/>
          <w:rtl/>
          <w:lang w:bidi="he-IL"/>
        </w:rPr>
        <w:t>" אע"ג שבפתיחה לסע' כתב "אפילו של חרס, וכמש"כ המ"ב בס"ק קל"ב)</w:t>
      </w:r>
      <w:r w:rsidR="00163FF5" w:rsidRPr="00882F11">
        <w:rPr>
          <w:rFonts w:cs="Guttman Drogolin" w:hint="cs"/>
          <w:rtl/>
          <w:lang w:bidi="he-IL"/>
        </w:rPr>
        <w:t xml:space="preserve">. </w:t>
      </w:r>
      <w:r w:rsidR="00E23652" w:rsidRPr="00882F11">
        <w:rPr>
          <w:rFonts w:cs="Guttman Drogolin" w:hint="cs"/>
          <w:rtl/>
          <w:lang w:bidi="he-IL"/>
        </w:rPr>
        <w:t>אמנם יעוין בהרה"מ פ"ה הכ"</w:t>
      </w:r>
      <w:r w:rsidR="004A315B" w:rsidRPr="00882F11">
        <w:rPr>
          <w:rFonts w:cs="Guttman Drogolin" w:hint="cs"/>
          <w:rtl/>
          <w:lang w:bidi="he-IL"/>
        </w:rPr>
        <w:t>א</w:t>
      </w:r>
      <w:r w:rsidR="00E23652" w:rsidRPr="00882F11">
        <w:rPr>
          <w:rFonts w:cs="Guttman Drogolin" w:hint="cs"/>
          <w:rtl/>
          <w:lang w:bidi="he-IL"/>
        </w:rPr>
        <w:t xml:space="preserve"> מהל' חו"מ דנקט שאין מגירסת הרי"ף והרמב"ם</w:t>
      </w:r>
      <w:r w:rsidR="00350BF9" w:rsidRPr="00882F11">
        <w:rPr>
          <w:rFonts w:cs="Guttman Drogolin" w:hint="cs"/>
          <w:rtl/>
          <w:lang w:bidi="he-IL"/>
        </w:rPr>
        <w:t xml:space="preserve"> ראי' ל</w:t>
      </w:r>
      <w:r w:rsidR="00E23652" w:rsidRPr="00882F11">
        <w:rPr>
          <w:rFonts w:cs="Guttman Drogolin" w:hint="cs"/>
          <w:rtl/>
          <w:lang w:bidi="he-IL"/>
        </w:rPr>
        <w:t>ב' דיוקים, דעיקר הגירסא אינו אלא לומר שאם השתמש בכלי חרס בחמין (א"נ בבית שאור וכדומה שדינו כחמין) שאסור אפילו בצונן, אבל השתמש בה בצונן לעולם מותר אפילו בחמין.</w:t>
      </w:r>
      <w:r w:rsidR="00350BF9" w:rsidRPr="00882F11">
        <w:rPr>
          <w:rFonts w:cs="Guttman Drogolin" w:hint="cs"/>
          <w:rtl/>
          <w:lang w:bidi="he-IL"/>
        </w:rPr>
        <w:t xml:space="preserve"> ור"ל דגזירת צונן אטו חמין בכלי חרס אית להו, אבל זה שבולע חמץ בצונן לא סברי.</w:t>
      </w:r>
      <w:r w:rsidR="00163FF5" w:rsidRPr="00882F11">
        <w:rPr>
          <w:rFonts w:cs="Guttman Drogolin" w:hint="cs"/>
          <w:rtl/>
          <w:lang w:bidi="he-IL"/>
        </w:rPr>
        <w:t xml:space="preserve"> </w:t>
      </w:r>
      <w:r w:rsidRPr="00882F11">
        <w:rPr>
          <w:rFonts w:cs="Guttman Drogolin" w:hint="cs"/>
          <w:rtl/>
          <w:lang w:bidi="he-IL"/>
        </w:rPr>
        <w:t xml:space="preserve"> </w:t>
      </w:r>
    </w:p>
    <w:p w:rsidR="00153CF8" w:rsidRPr="00882F11" w:rsidRDefault="00153CF8" w:rsidP="00153CF8">
      <w:pPr>
        <w:pStyle w:val="Heading1"/>
        <w:bidi/>
        <w:spacing w:before="0" w:line="360" w:lineRule="auto"/>
        <w:jc w:val="center"/>
        <w:rPr>
          <w:rFonts w:cs="Guttman Drogolin"/>
          <w:color w:val="auto"/>
          <w:sz w:val="24"/>
          <w:szCs w:val="24"/>
          <w:u w:val="single"/>
          <w:rtl/>
          <w:lang w:bidi="he-IL"/>
        </w:rPr>
      </w:pPr>
      <w:bookmarkStart w:id="545" w:name="_Toc496175782"/>
      <w:r w:rsidRPr="00882F11">
        <w:rPr>
          <w:rFonts w:cs="Guttman Drogolin" w:hint="cs"/>
          <w:color w:val="auto"/>
          <w:sz w:val="24"/>
          <w:szCs w:val="24"/>
          <w:u w:val="single"/>
          <w:rtl/>
          <w:lang w:bidi="he-IL"/>
        </w:rPr>
        <w:t>הכשר התנור לפסח</w:t>
      </w:r>
      <w:bookmarkEnd w:id="545"/>
    </w:p>
    <w:p w:rsidR="00D1232B" w:rsidRPr="00882F11" w:rsidRDefault="00BB4151" w:rsidP="001F315F">
      <w:pPr>
        <w:tabs>
          <w:tab w:val="right" w:pos="7497"/>
        </w:tabs>
        <w:bidi/>
        <w:jc w:val="both"/>
        <w:rPr>
          <w:rFonts w:cs="Guttman Drogolin"/>
          <w:rtl/>
          <w:lang w:bidi="he-IL"/>
        </w:rPr>
      </w:pPr>
      <w:r>
        <w:rPr>
          <w:rFonts w:cs="Guttman Drogolin"/>
          <w:rtl/>
          <w:lang w:bidi="he-IL"/>
        </w:rPr>
        <w:fldChar w:fldCharType="begin"/>
      </w:r>
      <w:r>
        <w:instrText xml:space="preserve"> XE "</w:instrText>
      </w:r>
      <w:r w:rsidRPr="00960172">
        <w:rPr>
          <w:rFonts w:hint="cs"/>
          <w:rtl/>
          <w:lang w:bidi="he-IL"/>
        </w:rPr>
        <w:instrText>הכשר כלים</w:instrText>
      </w:r>
      <w:r w:rsidRPr="00960172">
        <w:rPr>
          <w:rtl/>
        </w:rPr>
        <w:instrText>:</w:instrText>
      </w:r>
      <w:r w:rsidRPr="00960172">
        <w:rPr>
          <w:rFonts w:hint="cs"/>
          <w:rtl/>
          <w:lang w:bidi="he-IL"/>
        </w:rPr>
        <w:instrText>הכשר תנור לפסח</w:instrText>
      </w:r>
      <w:r>
        <w:instrText xml:space="preserve">" </w:instrText>
      </w:r>
      <w:r>
        <w:rPr>
          <w:rFonts w:cs="Guttman Drogolin"/>
          <w:rtl/>
          <w:lang w:bidi="he-IL"/>
        </w:rPr>
        <w:fldChar w:fldCharType="end"/>
      </w:r>
      <w:r w:rsidR="00153CF8" w:rsidRPr="00882F11">
        <w:rPr>
          <w:rFonts w:cs="Guttman Drogolin" w:hint="cs"/>
          <w:rtl/>
          <w:lang w:bidi="he-IL"/>
        </w:rPr>
        <w:t xml:space="preserve">ע' רמ"א בסע' כ"ב </w:t>
      </w:r>
      <w:r w:rsidR="004A315B" w:rsidRPr="00882F11">
        <w:rPr>
          <w:rFonts w:cs="Guttman Drogolin" w:hint="cs"/>
          <w:rtl/>
          <w:lang w:bidi="he-IL"/>
        </w:rPr>
        <w:t>שהוסיף בדיני כלי חרס "</w:t>
      </w:r>
      <w:r w:rsidR="004A315B" w:rsidRPr="00882F11">
        <w:rPr>
          <w:rFonts w:cs="Guttman Drogolin"/>
          <w:rtl/>
          <w:lang w:bidi="he-IL"/>
        </w:rPr>
        <w:t>ותנור של בית החורף דינו ככלי חרס ואסור לשום שום דבר על התנור בפסח</w:t>
      </w:r>
      <w:r w:rsidR="004A315B" w:rsidRPr="00882F11">
        <w:rPr>
          <w:rFonts w:cs="Guttman Drogolin" w:hint="cs"/>
          <w:rtl/>
          <w:lang w:bidi="he-IL"/>
        </w:rPr>
        <w:t xml:space="preserve">". </w:t>
      </w:r>
      <w:r w:rsidR="00F359E0" w:rsidRPr="00882F11">
        <w:rPr>
          <w:rFonts w:cs="Guttman Drogolin" w:hint="cs"/>
          <w:rtl/>
          <w:lang w:bidi="he-IL"/>
        </w:rPr>
        <w:t>והמג"א ושארי הפוסקים דנו גם לענין הקאכלין העשויין בתוך התנורים שרגילין להשים בהן תבשילי חמץ וחתיכת פת. ו</w:t>
      </w:r>
      <w:r w:rsidR="001F315F" w:rsidRPr="00882F11">
        <w:rPr>
          <w:rFonts w:cs="Guttman Drogolin" w:hint="cs"/>
          <w:rtl/>
          <w:lang w:bidi="he-IL"/>
        </w:rPr>
        <w:t>באופן כללי כתב המ"ב (ס"ק קל"ו) שאם לא הכשירו הרי אוסר. אמנם הוסיף ו</w:t>
      </w:r>
      <w:r w:rsidR="00F359E0" w:rsidRPr="00882F11">
        <w:rPr>
          <w:rFonts w:cs="Guttman Drogolin" w:hint="cs"/>
          <w:rtl/>
          <w:lang w:bidi="he-IL"/>
        </w:rPr>
        <w:t>כתב "</w:t>
      </w:r>
      <w:r w:rsidR="00F359E0" w:rsidRPr="00882F11">
        <w:rPr>
          <w:rFonts w:cs="Guttman Drogolin"/>
          <w:rtl/>
          <w:lang w:bidi="he-IL"/>
        </w:rPr>
        <w:t xml:space="preserve">וכשמניח דבר מפסיק כמו ברזל וכה"ג מתחתיו או שהטיח בטיט כעובי אצבע מותר להשתמש הכל מלמעלה </w:t>
      </w:r>
      <w:r w:rsidR="00F359E0" w:rsidRPr="00882F11">
        <w:rPr>
          <w:rFonts w:cs="Guttman Drogolin"/>
          <w:rtl/>
          <w:lang w:bidi="he-IL"/>
        </w:rPr>
        <w:lastRenderedPageBreak/>
        <w:t>וכל אלו הדינים שייך גם בקאכלין העשויין בתנורים מן הצד אלא דשם אין מועיל הפסק ברזל או טיח טיט למטה לבד אלא א"כ הטיח בטיט גם מן הצדדים וגם מלמעלה אכן טיח שלמעלה אינו מעכב בדיעבד. וכשמשים כיסוי על הקדירות שמניח שם מותר לכתחלה אף כשאין שם טיח מלמעלה</w:t>
      </w:r>
      <w:r w:rsidR="00F359E0" w:rsidRPr="00882F11">
        <w:rPr>
          <w:rFonts w:cs="Guttman Drogolin" w:hint="cs"/>
          <w:rtl/>
          <w:lang w:bidi="he-IL"/>
        </w:rPr>
        <w:t>"</w:t>
      </w:r>
      <w:r w:rsidR="001F315F" w:rsidRPr="00882F11">
        <w:rPr>
          <w:rFonts w:cs="Guttman Drogolin" w:hint="cs"/>
          <w:rtl/>
          <w:lang w:bidi="he-IL"/>
        </w:rPr>
        <w:t xml:space="preserve"> (</w:t>
      </w:r>
      <w:r w:rsidR="00D1232B" w:rsidRPr="00882F11">
        <w:rPr>
          <w:rFonts w:cs="Guttman Drogolin" w:hint="cs"/>
          <w:rtl/>
          <w:lang w:bidi="he-IL"/>
        </w:rPr>
        <w:t>ועיקרי הדברים</w:t>
      </w:r>
      <w:r w:rsidR="001F315F" w:rsidRPr="00882F11">
        <w:rPr>
          <w:rFonts w:cs="Guttman Drogolin" w:hint="cs"/>
          <w:rtl/>
          <w:lang w:bidi="he-IL"/>
        </w:rPr>
        <w:t xml:space="preserve"> </w:t>
      </w:r>
      <w:r w:rsidR="00D1232B" w:rsidRPr="00882F11">
        <w:rPr>
          <w:rFonts w:cs="Guttman Drogolin" w:hint="cs"/>
          <w:rtl/>
          <w:lang w:bidi="he-IL"/>
        </w:rPr>
        <w:t xml:space="preserve">מבואר </w:t>
      </w:r>
      <w:r w:rsidR="001F315F" w:rsidRPr="00882F11">
        <w:rPr>
          <w:rFonts w:cs="Guttman Drogolin" w:hint="cs"/>
          <w:rtl/>
          <w:lang w:bidi="he-IL"/>
        </w:rPr>
        <w:t>במג"א ס"ק מ"ד)</w:t>
      </w:r>
      <w:r w:rsidR="00F359E0" w:rsidRPr="00882F11">
        <w:rPr>
          <w:rFonts w:cs="Guttman Drogolin" w:hint="cs"/>
          <w:rtl/>
          <w:lang w:bidi="he-IL"/>
        </w:rPr>
        <w:t xml:space="preserve">. </w:t>
      </w:r>
      <w:r w:rsidR="001F315F" w:rsidRPr="00882F11">
        <w:rPr>
          <w:rFonts w:cs="Guttman Drogolin" w:hint="cs"/>
          <w:rtl/>
          <w:lang w:bidi="he-IL"/>
        </w:rPr>
        <w:t>וביאור דבריו שאם יש הפסק ברזל הא אין הבליעה עובר מכלי לכלי</w:t>
      </w:r>
      <w:r w:rsidR="001F315F" w:rsidRPr="00882F11">
        <w:rPr>
          <w:rStyle w:val="FootnoteReference"/>
          <w:rFonts w:cs="Guttman Drogolin"/>
          <w:rtl/>
          <w:lang w:bidi="he-IL"/>
        </w:rPr>
        <w:footnoteReference w:id="575"/>
      </w:r>
      <w:r w:rsidR="00A01AF6">
        <w:rPr>
          <w:rFonts w:cs="Guttman Drogolin" w:hint="cs"/>
          <w:rtl/>
          <w:lang w:bidi="he-IL"/>
        </w:rPr>
        <w:t>. ואם טח ב</w:t>
      </w:r>
      <w:r w:rsidR="001F315F" w:rsidRPr="00882F11">
        <w:rPr>
          <w:rFonts w:cs="Guttman Drogolin" w:hint="cs"/>
          <w:rtl/>
          <w:lang w:bidi="he-IL"/>
        </w:rPr>
        <w:t>טיט, כנראה סבר שזה לא נחשב ב' כלים כיון שמודבק, אבל מ"מ עובי אצבע מהני כיון שאין הבליעה עובר יותר משיעור אצבע.</w:t>
      </w:r>
      <w:r w:rsidR="00D1232B" w:rsidRPr="00882F11">
        <w:rPr>
          <w:rFonts w:cs="Guttman Drogolin" w:hint="cs"/>
          <w:rtl/>
          <w:lang w:bidi="he-IL"/>
        </w:rPr>
        <w:t xml:space="preserve"> </w:t>
      </w:r>
    </w:p>
    <w:p w:rsidR="00D54FA7" w:rsidRPr="00882F11" w:rsidRDefault="00D1232B" w:rsidP="00AA42AA">
      <w:pPr>
        <w:tabs>
          <w:tab w:val="right" w:pos="7497"/>
        </w:tabs>
        <w:bidi/>
        <w:jc w:val="both"/>
        <w:rPr>
          <w:rFonts w:cs="Guttman Drogolin"/>
          <w:rtl/>
          <w:lang w:bidi="he-IL"/>
        </w:rPr>
      </w:pPr>
      <w:r w:rsidRPr="00882F11">
        <w:rPr>
          <w:rFonts w:cs="Guttman Drogolin" w:hint="cs"/>
          <w:rtl/>
          <w:lang w:bidi="he-IL"/>
        </w:rPr>
        <w:t>והנה זה שאנחנו מתירים בדיעבד כשהניח הקדירה על התנור מבלי להכשירו, היינו משום שבדיעבד אין אוסרים היכא דהו</w:t>
      </w:r>
      <w:r w:rsidR="00A01AF6">
        <w:rPr>
          <w:rFonts w:cs="Guttman Drogolin" w:hint="cs"/>
          <w:rtl/>
          <w:lang w:bidi="he-IL"/>
        </w:rPr>
        <w:t>ו</w:t>
      </w:r>
      <w:r w:rsidRPr="00882F11">
        <w:rPr>
          <w:rFonts w:cs="Guttman Drogolin" w:hint="cs"/>
          <w:rtl/>
          <w:lang w:bidi="he-IL"/>
        </w:rPr>
        <w:t xml:space="preserve"> ב' קדירות, ומשום שאין בליעה עוברת מקדירה לקדירה בלי רוטב. אמנם ע"ש במג"א שהביא מן הב"ח שאם הכניס קדירה עם מאכל לתוך הקאכ</w:t>
      </w:r>
      <w:r w:rsidR="00205274" w:rsidRPr="00882F11">
        <w:rPr>
          <w:rFonts w:cs="Guttman Drogolin" w:hint="cs"/>
          <w:rtl/>
          <w:lang w:bidi="he-IL"/>
        </w:rPr>
        <w:t>ל</w:t>
      </w:r>
      <w:r w:rsidRPr="00882F11">
        <w:rPr>
          <w:rFonts w:cs="Guttman Drogolin" w:hint="cs"/>
          <w:rtl/>
          <w:lang w:bidi="he-IL"/>
        </w:rPr>
        <w:t>י"ן בפסח מבלי להכשירו "פשיטא דאסור". וטעמו לכאורה שהרי עולה זיעה מן המאכל שבתוך הקדרה לכיסוי של הקאכלי</w:t>
      </w:r>
      <w:r w:rsidR="00205274" w:rsidRPr="00882F11">
        <w:rPr>
          <w:rFonts w:cs="Guttman Drogolin" w:hint="cs"/>
          <w:rtl/>
          <w:lang w:bidi="he-IL"/>
        </w:rPr>
        <w:t>"</w:t>
      </w:r>
      <w:r w:rsidRPr="00882F11">
        <w:rPr>
          <w:rFonts w:cs="Guttman Drogolin" w:hint="cs"/>
          <w:rtl/>
          <w:lang w:bidi="he-IL"/>
        </w:rPr>
        <w:t xml:space="preserve">ן, ושוב יורד לתוך התבשיל ואוסרו, וכמו בכיסוי של קדירה. והמג"א שם חלק עליו, וביאר דאע"ג שיש כיסוי </w:t>
      </w:r>
      <w:r w:rsidR="00382759" w:rsidRPr="00882F11">
        <w:rPr>
          <w:rFonts w:cs="Guttman Drogolin" w:hint="cs"/>
          <w:rtl/>
          <w:lang w:bidi="he-IL"/>
        </w:rPr>
        <w:t xml:space="preserve">לקאכלי"ן </w:t>
      </w:r>
      <w:r w:rsidRPr="00882F11">
        <w:rPr>
          <w:rFonts w:cs="Guttman Drogolin" w:hint="cs"/>
          <w:rtl/>
          <w:lang w:bidi="he-IL"/>
        </w:rPr>
        <w:t>מלמעלה</w:t>
      </w:r>
      <w:r w:rsidR="001F315F" w:rsidRPr="00882F11">
        <w:rPr>
          <w:rFonts w:cs="Guttman Drogolin" w:hint="cs"/>
          <w:rtl/>
          <w:lang w:bidi="he-IL"/>
        </w:rPr>
        <w:t xml:space="preserve"> </w:t>
      </w:r>
      <w:r w:rsidRPr="00882F11">
        <w:rPr>
          <w:rFonts w:cs="Guttman Drogolin" w:hint="cs"/>
          <w:rtl/>
          <w:lang w:bidi="he-IL"/>
        </w:rPr>
        <w:t xml:space="preserve">"אין היד סולדת בזיעה למעלה". ותמה רע"א </w:t>
      </w:r>
      <w:r w:rsidR="00BC3EF5" w:rsidRPr="00882F11">
        <w:rPr>
          <w:rFonts w:cs="Guttman Drogolin" w:hint="cs"/>
          <w:rtl/>
          <w:lang w:bidi="he-IL"/>
        </w:rPr>
        <w:t>דנהי נמי שאין הזיעה יס"ב, אבל מ"מ יש שם זיעה והכיסוי עצמה יס"ב, וא"כ יבלע מן החמץ, ותבשילי פסח שוב יבלעו מן הגג. אמנם יעוין בבית מאיר ברסי' תס"א</w:t>
      </w:r>
      <w:r w:rsidR="00001321" w:rsidRPr="00882F11">
        <w:rPr>
          <w:rStyle w:val="FootnoteReference"/>
          <w:rFonts w:cs="Guttman Drogolin"/>
          <w:rtl/>
          <w:lang w:bidi="he-IL"/>
        </w:rPr>
        <w:footnoteReference w:id="576"/>
      </w:r>
      <w:r w:rsidR="00BC3EF5" w:rsidRPr="00882F11">
        <w:rPr>
          <w:rFonts w:cs="Guttman Drogolin" w:hint="cs"/>
          <w:rtl/>
          <w:lang w:bidi="he-IL"/>
        </w:rPr>
        <w:t xml:space="preserve"> שאין לחשוש לזיעה מדבר יבש אא"כ הוא קרוב ממש עד שיש חשש שנוגע בו, שבזה אמרינן שיתכן שיש גם זיעה מדבר יבש, אבל רחוק ממנו לא</w:t>
      </w:r>
      <w:r w:rsidR="00382759" w:rsidRPr="00882F11">
        <w:rPr>
          <w:rStyle w:val="FootnoteReference"/>
          <w:rFonts w:cs="Guttman Drogolin"/>
          <w:rtl/>
          <w:lang w:bidi="he-IL"/>
        </w:rPr>
        <w:footnoteReference w:id="577"/>
      </w:r>
      <w:r w:rsidR="00BC3EF5" w:rsidRPr="00882F11">
        <w:rPr>
          <w:rFonts w:cs="Guttman Drogolin" w:hint="cs"/>
          <w:rtl/>
          <w:lang w:bidi="he-IL"/>
        </w:rPr>
        <w:t>.</w:t>
      </w:r>
      <w:r w:rsidR="00382759" w:rsidRPr="00882F11">
        <w:rPr>
          <w:rFonts w:cs="Guttman Drogolin" w:hint="cs"/>
          <w:rtl/>
          <w:lang w:bidi="he-IL"/>
        </w:rPr>
        <w:t xml:space="preserve"> </w:t>
      </w:r>
      <w:r w:rsidR="00AA42AA" w:rsidRPr="00882F11">
        <w:rPr>
          <w:rFonts w:cs="Guttman Drogolin" w:hint="cs"/>
          <w:rtl/>
          <w:lang w:bidi="he-IL"/>
        </w:rPr>
        <w:t xml:space="preserve">וביד יהודה </w:t>
      </w:r>
      <w:r w:rsidR="00AA42AA" w:rsidRPr="00882F11">
        <w:rPr>
          <w:rFonts w:cs="Guttman Drogolin" w:hint="cs"/>
          <w:rtl/>
          <w:lang w:bidi="he-IL"/>
        </w:rPr>
        <w:lastRenderedPageBreak/>
        <w:t xml:space="preserve">(סי' צ"ב ס"ק נ"ה) כתב עוד יותר מזה, דכל זיעה אם אין הכיסוי כ"כ קרוב שהי' מתחמם מן הזיעה אילו הי' קר (אפילו אם באמת הוא חם) אינו אוסר, ובזה ביאר דברי המג"א הנ"ל. </w:t>
      </w:r>
      <w:r w:rsidR="00382759" w:rsidRPr="00882F11">
        <w:rPr>
          <w:rFonts w:cs="Guttman Drogolin" w:hint="cs"/>
          <w:rtl/>
          <w:lang w:bidi="he-IL"/>
        </w:rPr>
        <w:t>ומסקנת המ"ב שאם לא הניח טיח בגג</w:t>
      </w:r>
      <w:r w:rsidR="00382759" w:rsidRPr="00882F11">
        <w:rPr>
          <w:rStyle w:val="FootnoteReference"/>
          <w:rFonts w:cs="Guttman Drogolin"/>
          <w:rtl/>
          <w:lang w:bidi="he-IL"/>
        </w:rPr>
        <w:footnoteReference w:id="578"/>
      </w:r>
      <w:r w:rsidR="00382759" w:rsidRPr="00882F11">
        <w:rPr>
          <w:rFonts w:cs="Guttman Drogolin" w:hint="cs"/>
          <w:rtl/>
          <w:lang w:bidi="he-IL"/>
        </w:rPr>
        <w:t xml:space="preserve"> שלמעלה "אינו מעכב בדיעבד" וע"ש בשעה"צ ס"ק ק"פ שהוא בצירוף זה שהוא אינו ובן יומו. ויל"ע אם כוונתו לומר שאין הוא אוסר התבשיל בדיעבד, או"ד שכשאינו יכול לשים טיח מל</w:t>
      </w:r>
      <w:r w:rsidR="00A01AF6">
        <w:rPr>
          <w:rFonts w:cs="Guttman Drogolin" w:hint="cs"/>
          <w:rtl/>
          <w:lang w:bidi="he-IL"/>
        </w:rPr>
        <w:t>מ</w:t>
      </w:r>
      <w:r w:rsidR="00382759" w:rsidRPr="00882F11">
        <w:rPr>
          <w:rFonts w:cs="Guttman Drogolin" w:hint="cs"/>
          <w:rtl/>
          <w:lang w:bidi="he-IL"/>
        </w:rPr>
        <w:t xml:space="preserve">עלה אפשר גם להשתמש בתנור. </w:t>
      </w:r>
      <w:r w:rsidR="00AA42AA" w:rsidRPr="00882F11">
        <w:rPr>
          <w:rFonts w:cs="Guttman Drogolin" w:hint="cs"/>
          <w:rtl/>
          <w:lang w:bidi="he-IL"/>
        </w:rPr>
        <w:t>ומ"מ ע' בסי' תס"א ס"ק ג' שהביא ב' דעות אם צריך להכשיר גג הקאכלי"ן לכתחילה.</w:t>
      </w:r>
      <w:r w:rsidR="00BC3EF5" w:rsidRPr="00882F11">
        <w:rPr>
          <w:rFonts w:cs="Guttman Drogolin" w:hint="cs"/>
          <w:rtl/>
          <w:lang w:bidi="he-IL"/>
        </w:rPr>
        <w:t xml:space="preserve"> </w:t>
      </w:r>
    </w:p>
    <w:p w:rsidR="006F3205" w:rsidRPr="00882F11" w:rsidRDefault="00D54FA7" w:rsidP="005945BC">
      <w:pPr>
        <w:tabs>
          <w:tab w:val="right" w:pos="7497"/>
        </w:tabs>
        <w:bidi/>
        <w:jc w:val="both"/>
        <w:rPr>
          <w:rFonts w:cs="Guttman Drogolin"/>
          <w:rtl/>
          <w:lang w:bidi="he-IL"/>
        </w:rPr>
      </w:pPr>
      <w:r w:rsidRPr="00882F11">
        <w:rPr>
          <w:rFonts w:cs="Guttman Drogolin" w:hint="cs"/>
          <w:rtl/>
          <w:lang w:bidi="he-IL"/>
        </w:rPr>
        <w:t>ומדברים אלו נראה שיש לדון גם בתנורים שלנו שלכאורה דומים לקאכלי"ן. וא"כ לכאורה צריכים הכשר הגעלה אע"ג שאין המאכל נוגע באף מקום בתנור (וא"כ כולו הוי כגג הקאכלי"ן או יותר קל ממנו), מ"מ הא איכא זיעה שאוסר. ואע"ג שלפי שיטת היד יהודה הנ"ל אין לאסור בזה, מ"מ נראה דעת הרבה פוסקים להחמיר בזה, וכמו שהביא היד יהודה עצמו שם.</w:t>
      </w:r>
      <w:r w:rsidR="00CB77FA" w:rsidRPr="00882F11">
        <w:rPr>
          <w:rFonts w:cs="Guttman Drogolin" w:hint="cs"/>
          <w:rtl/>
          <w:lang w:bidi="he-IL"/>
        </w:rPr>
        <w:t xml:space="preserve"> וכן דעת הגרמ"פ (</w:t>
      </w:r>
      <w:r w:rsidR="006F3205" w:rsidRPr="00882F11">
        <w:rPr>
          <w:rFonts w:cs="Guttman Drogolin" w:hint="cs"/>
          <w:rtl/>
          <w:lang w:bidi="he-IL"/>
        </w:rPr>
        <w:t>מובא</w:t>
      </w:r>
      <w:r w:rsidR="00CB77FA" w:rsidRPr="00882F11">
        <w:rPr>
          <w:rFonts w:cs="Guttman Drogolin" w:hint="cs"/>
          <w:rtl/>
          <w:lang w:bidi="he-IL"/>
        </w:rPr>
        <w:t xml:space="preserve"> </w:t>
      </w:r>
      <w:r w:rsidR="006F3205" w:rsidRPr="00882F11">
        <w:rPr>
          <w:rFonts w:cs="Guttman Drogolin" w:hint="cs"/>
          <w:rtl/>
          <w:lang w:bidi="he-IL"/>
        </w:rPr>
        <w:t>ב</w:t>
      </w:r>
      <w:r w:rsidR="00CB77FA" w:rsidRPr="00882F11">
        <w:rPr>
          <w:rFonts w:cs="Guttman Drogolin" w:hint="cs"/>
          <w:rtl/>
          <w:lang w:bidi="he-IL"/>
        </w:rPr>
        <w:t>ס' הלכות פסח [איידר]</w:t>
      </w:r>
      <w:r w:rsidR="00BC3EF5" w:rsidRPr="00882F11">
        <w:rPr>
          <w:rFonts w:cs="Guttman Drogolin" w:hint="cs"/>
          <w:rtl/>
          <w:lang w:bidi="he-IL"/>
        </w:rPr>
        <w:t xml:space="preserve"> </w:t>
      </w:r>
      <w:r w:rsidR="00CB77FA" w:rsidRPr="00882F11">
        <w:rPr>
          <w:rFonts w:cs="Guttman Drogolin" w:hint="cs"/>
          <w:rtl/>
          <w:lang w:bidi="he-IL"/>
        </w:rPr>
        <w:t xml:space="preserve">פט"ז </w:t>
      </w:r>
      <w:r w:rsidR="006F3205" w:rsidRPr="00882F11">
        <w:rPr>
          <w:rFonts w:cs="Guttman Drogolin" w:hint="cs"/>
          <w:rtl/>
          <w:lang w:bidi="he-IL"/>
        </w:rPr>
        <w:t>ס"ק קל"ו), שדינם ככלי חרס כיון שמצופין בפנים בפארצלין. וכיון שלהכשיר בליבון גמור לא כ"כ שייך (אא"כ הוא תנור שיש לו ניקוי עצמי), העצה היחידה הוא ע"י כיסוי הפנים בנייר אליומינום (ויש ליזהר כשעושים כן לא לכסות החורים שהם המקומות היוצאים הזיעה ועשן מן התנור), או להכניס תוך נוסף לתנור ולאפות בה. אמנם הביא שם דעת הגר"א קוטלר דכיון שלא בלע אלא ע"י זיעה אינו צריך אלא ליבון קל. וצ"ע דהא ניחא במתכת, אבל אם יש ציפוי של פאצאלין או אמייל לכאורה ליכא למ"ד דמהני ליבון קל</w:t>
      </w:r>
      <w:r w:rsidR="00A44BDC" w:rsidRPr="00882F11">
        <w:rPr>
          <w:rStyle w:val="FootnoteReference"/>
          <w:rFonts w:cs="Guttman Drogolin"/>
          <w:rtl/>
          <w:lang w:bidi="he-IL"/>
        </w:rPr>
        <w:footnoteReference w:id="579"/>
      </w:r>
      <w:r w:rsidR="006F3205" w:rsidRPr="00882F11">
        <w:rPr>
          <w:rFonts w:cs="Guttman Drogolin" w:hint="cs"/>
          <w:rtl/>
          <w:lang w:bidi="he-IL"/>
        </w:rPr>
        <w:t>.</w:t>
      </w:r>
    </w:p>
    <w:p w:rsidR="006F3205" w:rsidRPr="00882F11" w:rsidRDefault="006F3205" w:rsidP="006F3205">
      <w:pPr>
        <w:tabs>
          <w:tab w:val="right" w:pos="7497"/>
        </w:tabs>
        <w:bidi/>
        <w:jc w:val="both"/>
        <w:rPr>
          <w:rFonts w:cs="Guttman Drogolin"/>
          <w:rtl/>
          <w:lang w:bidi="he-IL"/>
        </w:rPr>
        <w:sectPr w:rsidR="006F3205" w:rsidRPr="00882F11" w:rsidSect="00280E73">
          <w:type w:val="continuous"/>
          <w:pgSz w:w="11907" w:h="16839" w:code="9"/>
          <w:pgMar w:top="1440" w:right="1440" w:bottom="1440" w:left="1440" w:header="720" w:footer="720" w:gutter="0"/>
          <w:cols w:num="2" w:space="720"/>
          <w:bidi/>
          <w:docGrid w:linePitch="360"/>
        </w:sectPr>
      </w:pPr>
    </w:p>
    <w:p w:rsidR="00BD7534" w:rsidRPr="00882F11" w:rsidRDefault="00BD7534" w:rsidP="00BD7534">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קמ"ב</w:t>
      </w:r>
    </w:p>
    <w:p w:rsidR="00280E73" w:rsidRDefault="00280E73" w:rsidP="006F3205">
      <w:pPr>
        <w:pStyle w:val="Heading1"/>
        <w:bidi/>
        <w:spacing w:before="0" w:line="360" w:lineRule="auto"/>
        <w:jc w:val="center"/>
        <w:rPr>
          <w:rFonts w:cs="Guttman Drogolin"/>
          <w:color w:val="auto"/>
          <w:sz w:val="24"/>
          <w:szCs w:val="24"/>
          <w:u w:val="single"/>
          <w:rtl/>
          <w:lang w:bidi="he-IL"/>
        </w:rPr>
        <w:sectPr w:rsidR="00280E73" w:rsidSect="00280E73">
          <w:pgSz w:w="11907" w:h="16839" w:code="9"/>
          <w:pgMar w:top="1440" w:right="1440" w:bottom="1440" w:left="1440" w:header="720" w:footer="720" w:gutter="0"/>
          <w:cols w:space="720"/>
          <w:bidi/>
          <w:docGrid w:linePitch="360"/>
        </w:sectPr>
      </w:pPr>
    </w:p>
    <w:p w:rsidR="00BD7534" w:rsidRPr="00882F11" w:rsidRDefault="006F3205" w:rsidP="006F3205">
      <w:pPr>
        <w:pStyle w:val="Heading1"/>
        <w:bidi/>
        <w:spacing w:before="0" w:line="360" w:lineRule="auto"/>
        <w:jc w:val="center"/>
        <w:rPr>
          <w:rFonts w:cs="Guttman Drogolin"/>
          <w:color w:val="auto"/>
          <w:sz w:val="24"/>
          <w:szCs w:val="24"/>
          <w:u w:val="single"/>
          <w:rtl/>
          <w:lang w:bidi="he-IL"/>
        </w:rPr>
      </w:pPr>
      <w:bookmarkStart w:id="546" w:name="_Toc496175783"/>
      <w:r w:rsidRPr="00882F11">
        <w:rPr>
          <w:rFonts w:cs="Guttman Drogolin" w:hint="cs"/>
          <w:color w:val="auto"/>
          <w:sz w:val="24"/>
          <w:szCs w:val="24"/>
          <w:u w:val="single"/>
          <w:rtl/>
          <w:lang w:bidi="he-IL"/>
        </w:rPr>
        <w:lastRenderedPageBreak/>
        <w:t>כלי שתיי'</w:t>
      </w:r>
      <w:r w:rsidR="0060416F" w:rsidRPr="00882F11">
        <w:rPr>
          <w:rFonts w:cs="Guttman Drogolin" w:hint="cs"/>
          <w:color w:val="auto"/>
          <w:sz w:val="24"/>
          <w:szCs w:val="24"/>
          <w:u w:val="single"/>
          <w:rtl/>
          <w:lang w:bidi="he-IL"/>
        </w:rPr>
        <w:t>, וכלי זכוכית</w:t>
      </w:r>
      <w:bookmarkEnd w:id="546"/>
    </w:p>
    <w:p w:rsidR="0060416F" w:rsidRPr="00882F11" w:rsidRDefault="00BB4151" w:rsidP="0060416F">
      <w:pPr>
        <w:tabs>
          <w:tab w:val="right" w:pos="7497"/>
        </w:tabs>
        <w:bidi/>
        <w:jc w:val="both"/>
        <w:rPr>
          <w:rFonts w:cs="Guttman Drogolin"/>
          <w:rtl/>
          <w:lang w:bidi="he-IL"/>
        </w:rPr>
      </w:pPr>
      <w:r>
        <w:rPr>
          <w:rFonts w:cs="Guttman Drogolin"/>
          <w:rtl/>
          <w:lang w:bidi="he-IL"/>
        </w:rPr>
        <w:fldChar w:fldCharType="begin"/>
      </w:r>
      <w:r>
        <w:instrText xml:space="preserve"> XE "</w:instrText>
      </w:r>
      <w:r w:rsidRPr="009B2447">
        <w:rPr>
          <w:rFonts w:hint="cs"/>
          <w:rtl/>
          <w:lang w:bidi="he-IL"/>
        </w:rPr>
        <w:instrText>הכשר כלים</w:instrText>
      </w:r>
      <w:r w:rsidRPr="009B2447">
        <w:rPr>
          <w:rtl/>
        </w:rPr>
        <w:instrText>:</w:instrText>
      </w:r>
      <w:r w:rsidRPr="009B2447">
        <w:rPr>
          <w:rFonts w:hint="cs"/>
          <w:rtl/>
          <w:lang w:bidi="he-IL"/>
        </w:rPr>
        <w:instrText>הכשר כלי שתי'</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EC2AB3">
        <w:rPr>
          <w:rFonts w:hint="cs"/>
          <w:rtl/>
          <w:lang w:bidi="he-IL"/>
        </w:rPr>
        <w:instrText>הכשר כלים</w:instrText>
      </w:r>
      <w:r w:rsidRPr="00EC2AB3">
        <w:rPr>
          <w:rtl/>
        </w:rPr>
        <w:instrText>:</w:instrText>
      </w:r>
      <w:r w:rsidRPr="00EC2AB3">
        <w:rPr>
          <w:rFonts w:hint="cs"/>
          <w:rtl/>
          <w:lang w:bidi="he-IL"/>
        </w:rPr>
        <w:instrText>הכשר כלי זכוכית</w:instrText>
      </w:r>
      <w:r>
        <w:instrText xml:space="preserve">" </w:instrText>
      </w:r>
      <w:r>
        <w:rPr>
          <w:rFonts w:cs="Guttman Drogolin"/>
          <w:rtl/>
          <w:lang w:bidi="he-IL"/>
        </w:rPr>
        <w:fldChar w:fldCharType="end"/>
      </w:r>
      <w:r w:rsidR="00723838" w:rsidRPr="00882F11">
        <w:rPr>
          <w:rFonts w:cs="Guttman Drogolin" w:hint="cs"/>
          <w:rtl/>
          <w:lang w:bidi="he-IL"/>
        </w:rPr>
        <w:t xml:space="preserve">כתוב במחבר </w:t>
      </w:r>
      <w:r w:rsidR="002837C6" w:rsidRPr="00882F11">
        <w:rPr>
          <w:rFonts w:cs="Guttman Drogolin" w:hint="cs"/>
          <w:rtl/>
          <w:lang w:bidi="he-IL"/>
        </w:rPr>
        <w:t>בסע' כ"</w:t>
      </w:r>
      <w:r w:rsidR="00723838" w:rsidRPr="00882F11">
        <w:rPr>
          <w:rFonts w:cs="Guttman Drogolin" w:hint="cs"/>
          <w:rtl/>
          <w:lang w:bidi="he-IL"/>
        </w:rPr>
        <w:t>ה שכל כלי שתיי' מותרים בשטיפה. והוא לכאורה ברייתא מפורשת במס' ע"ז ע"ה ע"ב "</w:t>
      </w:r>
      <w:r w:rsidR="00723838" w:rsidRPr="00882F11">
        <w:rPr>
          <w:rFonts w:cs="Guttman Drogolin"/>
          <w:rtl/>
          <w:lang w:bidi="he-IL"/>
        </w:rPr>
        <w:t xml:space="preserve"> ת"ר הלוקח כלי תשמיש מן העובדי כוכבים</w:t>
      </w:r>
      <w:r w:rsidR="00723838" w:rsidRPr="00882F11">
        <w:rPr>
          <w:rFonts w:cs="Guttman Drogolin" w:hint="cs"/>
          <w:rtl/>
          <w:lang w:bidi="he-IL"/>
        </w:rPr>
        <w:t xml:space="preserve"> </w:t>
      </w:r>
      <w:r w:rsidR="00723838" w:rsidRPr="00882F11">
        <w:rPr>
          <w:rFonts w:cs="Guttman Drogolin"/>
          <w:rtl/>
          <w:lang w:bidi="he-IL"/>
        </w:rPr>
        <w:t>דברים שנשתמש בהן ע"י צונן, כגון כוסות וקתוניות וצלוחיות מדיחן ומטבילן והם טהורין</w:t>
      </w:r>
      <w:r w:rsidR="00723838" w:rsidRPr="00882F11">
        <w:rPr>
          <w:rFonts w:cs="Guttman Drogolin" w:hint="cs"/>
          <w:rtl/>
          <w:lang w:bidi="he-IL"/>
        </w:rPr>
        <w:t>". ולכן לכאורה דברי הרמ"א שם תמוהים ביותר, שכתב "</w:t>
      </w:r>
      <w:r w:rsidR="00723838" w:rsidRPr="00882F11">
        <w:rPr>
          <w:rFonts w:cs="Guttman Drogolin"/>
          <w:rtl/>
          <w:lang w:bidi="he-IL"/>
        </w:rPr>
        <w:t>מיהו יש מחמירים ומצריכים הגעלה, וכן נוהגין</w:t>
      </w:r>
      <w:r w:rsidR="00723838" w:rsidRPr="00882F11">
        <w:rPr>
          <w:rFonts w:cs="Guttman Drogolin" w:hint="cs"/>
          <w:rtl/>
          <w:lang w:bidi="he-IL"/>
        </w:rPr>
        <w:t>".</w:t>
      </w:r>
      <w:r w:rsidR="0060416F" w:rsidRPr="00882F11">
        <w:rPr>
          <w:rFonts w:cs="Guttman Drogolin" w:hint="cs"/>
          <w:rtl/>
          <w:lang w:bidi="he-IL"/>
        </w:rPr>
        <w:t xml:space="preserve"> ומקור הדברים במרדכי בשם ראבי"ה.</w:t>
      </w:r>
      <w:r w:rsidR="00723838" w:rsidRPr="00882F11">
        <w:rPr>
          <w:rFonts w:cs="Guttman Drogolin" w:hint="cs"/>
          <w:rtl/>
          <w:lang w:bidi="he-IL"/>
        </w:rPr>
        <w:t xml:space="preserve"> ובסוגריים ציינו לסע' ו' ששם החמיר הרמ"א להכשיר אפילו לפי מיעוט תשמישתו. וכה"ג הביא גם בביאור הגר"א מקור לדברי הרמ"א. והוא לכאו</w:t>
      </w:r>
      <w:r w:rsidR="00ED70C1" w:rsidRPr="00882F11">
        <w:rPr>
          <w:rFonts w:cs="Guttman Drogolin" w:hint="cs"/>
          <w:rtl/>
          <w:lang w:bidi="he-IL"/>
        </w:rPr>
        <w:t>ר</w:t>
      </w:r>
      <w:r w:rsidR="00723838" w:rsidRPr="00882F11">
        <w:rPr>
          <w:rFonts w:cs="Guttman Drogolin" w:hint="cs"/>
          <w:rtl/>
          <w:lang w:bidi="he-IL"/>
        </w:rPr>
        <w:t xml:space="preserve">ה דבר שמרפסין איגרי, דהא ברייתא מפורשת היא </w:t>
      </w:r>
      <w:r w:rsidR="0060416F" w:rsidRPr="00882F11">
        <w:rPr>
          <w:rFonts w:cs="Guttman Drogolin" w:hint="cs"/>
          <w:rtl/>
          <w:lang w:bidi="he-IL"/>
        </w:rPr>
        <w:t xml:space="preserve">דכוסות סגי לן בשטיפה, ומאי שנא כוסות של זמן הברייתא מכוסות של היום, בפרט דמתני' מיירי בנקנין מן העכו"ם שלאהיו עליהם שום השגחה ולא קפידא, ולכן איזה תשמיש שאינו קבוע שיש היום שמשו"ה לא סגי לן בהדחה לכאורה הה"נ בזמן הברייתא ומ"מ כתוב בהדיא דסגי לן בהדחה. ובאמת הראשונים הוכיחו מברייתא זו כשיטה הסוברת דסגי לן ברוב תשמישתו כיון שיש מיעוט תשמיש ע"י האור ומ"מ סגי לן בהדחה, ולא שמעתי תי' להוכחה זו כדי ליישב שיטת המחמירים, ולומר שהברייתא בידוע שלא השתמשו בה אלא צונן הוא מן הנמנע וכנ"ל. וזה עצמו שמחמירים בלהכשיר כתשמיש שאינו קבוע הי' אפשר ליישב, דאע"ג שאין לנו תי' לקושייתו מ"מ אין אנו מקילים בעיקר הכלל אע"ג שיש לנו עליו קושיא, אבל עצם הדין של כלי שתיי' שכתוב </w:t>
      </w:r>
      <w:r w:rsidR="00ED70C1" w:rsidRPr="00882F11">
        <w:rPr>
          <w:rFonts w:cs="Guttman Drogolin" w:hint="cs"/>
          <w:rtl/>
          <w:lang w:bidi="he-IL"/>
        </w:rPr>
        <w:t>בה בהדי</w:t>
      </w:r>
      <w:r w:rsidR="0060416F" w:rsidRPr="00882F11">
        <w:rPr>
          <w:rFonts w:cs="Guttman Drogolin" w:hint="cs"/>
          <w:rtl/>
          <w:lang w:bidi="he-IL"/>
        </w:rPr>
        <w:t>א להקל איך אפשר להחמיר אחרת. ומה שחשבתי אולי לדחוק בזה, שהמחמירים יסברו שהברייתא מיירי בכאלו כלים שמצד מהותם לא שייך לומר השתמשו בהם בחמין, ובזה שפיר י"ל שמקילין בהם לכו"ע,</w:t>
      </w:r>
      <w:r w:rsidR="009E3AF1" w:rsidRPr="00882F11">
        <w:rPr>
          <w:rFonts w:cs="Guttman Drogolin" w:hint="cs"/>
          <w:rtl/>
          <w:lang w:bidi="he-IL"/>
        </w:rPr>
        <w:t xml:space="preserve"> </w:t>
      </w:r>
      <w:r w:rsidR="0060416F" w:rsidRPr="00882F11">
        <w:rPr>
          <w:rFonts w:cs="Guttman Drogolin" w:hint="cs"/>
          <w:rtl/>
          <w:lang w:bidi="he-IL"/>
        </w:rPr>
        <w:t xml:space="preserve">אבל אלו ששייכים בהם תשמיש שאינו קבוע צריכים להחמיר. </w:t>
      </w:r>
    </w:p>
    <w:p w:rsidR="006F1AEA" w:rsidRPr="00882F11" w:rsidRDefault="006F1AEA" w:rsidP="006F1AEA">
      <w:pPr>
        <w:tabs>
          <w:tab w:val="right" w:pos="7497"/>
        </w:tabs>
        <w:bidi/>
        <w:jc w:val="both"/>
        <w:rPr>
          <w:rFonts w:cs="Guttman Drogolin"/>
          <w:rtl/>
          <w:lang w:bidi="he-IL"/>
        </w:rPr>
      </w:pPr>
      <w:r w:rsidRPr="00882F11">
        <w:rPr>
          <w:rFonts w:cs="Guttman Drogolin" w:hint="cs"/>
          <w:rtl/>
          <w:lang w:bidi="he-IL"/>
        </w:rPr>
        <w:lastRenderedPageBreak/>
        <w:t xml:space="preserve">והמ"ב בס"ק ק"נ כתב לדעת המחמירים דסגי גם במילוי ועירוי. וע"ש בשעה"צ שהמקור לזה שו"ע הגר"ז, וביארהטעם להקל כיון שרוב תשמישתו אינו בחמין וכן אינו ב"י. והדברים מ"מ תמוהים, דהא כל הענין של שיטה זו הוא להחמיר להכשיר כמיעוט תשמישתו, ודתהני מילוי ועירוי לכלי </w:t>
      </w:r>
      <w:r w:rsidR="0054514F">
        <w:rPr>
          <w:rFonts w:cs="Guttman Drogolin" w:hint="cs"/>
          <w:rtl/>
          <w:lang w:bidi="he-IL"/>
        </w:rPr>
        <w:t>תשמישתו</w:t>
      </w:r>
      <w:r w:rsidRPr="00882F11">
        <w:rPr>
          <w:rFonts w:cs="Guttman Drogolin" w:hint="cs"/>
          <w:rtl/>
          <w:lang w:bidi="he-IL"/>
        </w:rPr>
        <w:t xml:space="preserve"> בחמין ליכא למ"ד. וגם לא מהני סברא דאב"י אלא להפחית חומר הדבר, אבל עד כמה שאין כאן הכשר מספיק לא איכפת לן. וכה"ג העיר בחזו"א (או"ח סי' קכ"ב ס"ק ד'). </w:t>
      </w:r>
    </w:p>
    <w:p w:rsidR="002F293D" w:rsidRPr="00882F11" w:rsidRDefault="0060416F" w:rsidP="008C4077">
      <w:pPr>
        <w:tabs>
          <w:tab w:val="right" w:pos="7497"/>
        </w:tabs>
        <w:bidi/>
        <w:jc w:val="both"/>
        <w:rPr>
          <w:rFonts w:cs="Guttman Drogolin"/>
          <w:rtl/>
          <w:lang w:bidi="he-IL"/>
        </w:rPr>
      </w:pPr>
      <w:r w:rsidRPr="00882F11">
        <w:rPr>
          <w:rFonts w:cs="Guttman Drogolin" w:hint="cs"/>
          <w:rtl/>
          <w:lang w:bidi="he-IL"/>
        </w:rPr>
        <w:t>ובסע' כ"ו</w:t>
      </w:r>
      <w:r w:rsidR="0045616D" w:rsidRPr="00882F11">
        <w:rPr>
          <w:rFonts w:cs="Guttman Drogolin" w:hint="cs"/>
          <w:rtl/>
          <w:lang w:bidi="he-IL"/>
        </w:rPr>
        <w:t xml:space="preserve"> ג"כ מבואר מחלוקת בדין כלי זכוכית, דשיטת המחבר כשיטת המקילים שאין זכוכית בולע כלל כיון דשיע, ושיטת הרמ"א כדעת המחמירים לומר שכלי זכוכית ככלי חרס כיון שעשוין מן החול. והי' אולי מקום לומר דהנ"מ כלי זכוכית שתשמישתן ע"י האור, אבל להחמיר כלי שתי' של זכוכית חומרא יתירה הוא, דהא עיקר הדין שזכוכית לא בולע, וכן לכאורה עיקר הדין דאזילנן בתר רוב תשמישתו, בפרט בכלי שתי' שגמ' מפורשת היא וכמש"נ. אלא שב</w:t>
      </w:r>
      <w:r w:rsidR="008C4077" w:rsidRPr="00882F11">
        <w:rPr>
          <w:rFonts w:cs="Guttman Drogolin" w:hint="cs"/>
          <w:rtl/>
          <w:lang w:bidi="he-IL"/>
        </w:rPr>
        <w:t>מרדכי בשם רבינו יחיאל מבוא</w:t>
      </w:r>
      <w:r w:rsidR="0045616D" w:rsidRPr="00882F11">
        <w:rPr>
          <w:rFonts w:cs="Guttman Drogolin" w:hint="cs"/>
          <w:rtl/>
          <w:lang w:bidi="he-IL"/>
        </w:rPr>
        <w:t>ר במפורש שיש להחמיר גם בכלי שתי' של זכוכית, וכן הוא במ"ב ס"ק קנ"</w:t>
      </w:r>
      <w:r w:rsidR="00047A21" w:rsidRPr="00882F11">
        <w:rPr>
          <w:rFonts w:cs="Guttman Drogolin" w:hint="cs"/>
          <w:rtl/>
          <w:lang w:bidi="he-IL"/>
        </w:rPr>
        <w:t>ד</w:t>
      </w:r>
      <w:r w:rsidR="0045616D" w:rsidRPr="00882F11">
        <w:rPr>
          <w:rFonts w:cs="Guttman Drogolin" w:hint="cs"/>
          <w:rtl/>
          <w:lang w:bidi="he-IL"/>
        </w:rPr>
        <w:t>.</w:t>
      </w:r>
      <w:r w:rsidR="002F293D" w:rsidRPr="00882F11">
        <w:rPr>
          <w:rFonts w:cs="Guttman Drogolin" w:hint="cs"/>
          <w:rtl/>
          <w:lang w:bidi="he-IL"/>
        </w:rPr>
        <w:t xml:space="preserve"> </w:t>
      </w:r>
      <w:r w:rsidR="009E3AF1" w:rsidRPr="00882F11">
        <w:rPr>
          <w:rFonts w:cs="Guttman Drogolin" w:hint="cs"/>
          <w:rtl/>
          <w:lang w:bidi="he-IL"/>
        </w:rPr>
        <w:t xml:space="preserve">ומ"מ מובן היטב לפי זה הוראת המ"ב בס"ק קנ"ו בשם החיי"א שאין בנמצא כלי זכוכית ואין לו כוסות או שאר כלים שיכול לנקותם היטב להכשירם ע"י עירוי ג' ימים (והוא עדיף לכאורה מהגעלה כיון שבזה מרויח גם שיטת הריטב"א שאין להגעיל כיון דחייס, אמנם במקום הדחק אפשר גם להגעיל, וכדמבואר בשעה"צ ס"ק קצ"ו). </w:t>
      </w:r>
    </w:p>
    <w:p w:rsidR="00E26EDC" w:rsidRPr="00882F11" w:rsidRDefault="002F293D" w:rsidP="00713F22">
      <w:pPr>
        <w:tabs>
          <w:tab w:val="right" w:pos="7497"/>
        </w:tabs>
        <w:bidi/>
        <w:jc w:val="both"/>
        <w:rPr>
          <w:rFonts w:cs="Guttman Drogolin"/>
          <w:rtl/>
          <w:lang w:bidi="he-IL"/>
        </w:rPr>
      </w:pPr>
      <w:r w:rsidRPr="00882F11">
        <w:rPr>
          <w:rFonts w:cs="Guttman Drogolin" w:hint="cs"/>
          <w:rtl/>
          <w:lang w:bidi="he-IL"/>
        </w:rPr>
        <w:t xml:space="preserve">והנה </w:t>
      </w:r>
      <w:r w:rsidR="00E26EDC" w:rsidRPr="00882F11">
        <w:rPr>
          <w:rFonts w:cs="Guttman Drogolin" w:hint="cs"/>
          <w:rtl/>
          <w:lang w:bidi="he-IL"/>
        </w:rPr>
        <w:t xml:space="preserve">דנו האחרונים אם </w:t>
      </w:r>
      <w:r w:rsidRPr="00882F11">
        <w:rPr>
          <w:rFonts w:cs="Guttman Drogolin" w:hint="cs"/>
          <w:rtl/>
          <w:lang w:bidi="he-IL"/>
        </w:rPr>
        <w:t>אפשר להשתמש בכלי זכוכית</w:t>
      </w:r>
      <w:r w:rsidR="00E26EDC" w:rsidRPr="00882F11">
        <w:rPr>
          <w:rFonts w:cs="Guttman Drogolin" w:hint="cs"/>
          <w:rtl/>
          <w:lang w:bidi="he-IL"/>
        </w:rPr>
        <w:t xml:space="preserve"> שנבלע בהם שאר איסורים, א"נ בב"ח. ומסברא אין לחלק ביניהם, דאי בלעי לבעי אפילו שאר איסורים, ואי לא בלעי ג</w:t>
      </w:r>
      <w:r w:rsidR="006C1E22" w:rsidRPr="00882F11">
        <w:rPr>
          <w:rFonts w:cs="Guttman Drogolin" w:hint="cs"/>
          <w:rtl/>
          <w:lang w:bidi="he-IL"/>
        </w:rPr>
        <w:t>ם</w:t>
      </w:r>
      <w:r w:rsidR="00E26EDC" w:rsidRPr="00882F11">
        <w:rPr>
          <w:rFonts w:cs="Guttman Drogolin" w:hint="cs"/>
          <w:rtl/>
          <w:lang w:bidi="he-IL"/>
        </w:rPr>
        <w:t xml:space="preserve"> חמץ לא בלעי. אמנם בפמ"ג בסוהסי' הביא מכנה"ג </w:t>
      </w:r>
      <w:r w:rsidR="009E3AF1" w:rsidRPr="00882F11">
        <w:rPr>
          <w:rFonts w:cs="Guttman Drogolin" w:hint="cs"/>
          <w:rtl/>
          <w:lang w:bidi="he-IL"/>
        </w:rPr>
        <w:t xml:space="preserve">(יו"ד סי' קכ"א הגהות הטור כ"ה) </w:t>
      </w:r>
      <w:r w:rsidR="00E26EDC" w:rsidRPr="00882F11">
        <w:rPr>
          <w:rFonts w:cs="Guttman Drogolin" w:hint="cs"/>
          <w:rtl/>
          <w:lang w:bidi="he-IL"/>
        </w:rPr>
        <w:t xml:space="preserve">שכתב שחומרת הרמ"א בכלי זכוכית הוא חומרא דפסח ולא של שאר ימות השנה. ולכאורה כוונתו שאמנם אין מקום לחלק </w:t>
      </w:r>
      <w:r w:rsidR="00E26EDC" w:rsidRPr="00882F11">
        <w:rPr>
          <w:rFonts w:cs="Guttman Drogolin" w:hint="cs"/>
          <w:rtl/>
          <w:lang w:bidi="he-IL"/>
        </w:rPr>
        <w:lastRenderedPageBreak/>
        <w:t>ביניהם מסברא, מ"מ שורת הדין דכלי זכוכית לא בלעי, ורק בפסח משום חומרא דפסח נקטו הפוסקים להחמיר כשיטת הסוברים דזכוכית בולע. וכן בהליכות שלמה</w:t>
      </w:r>
      <w:r w:rsidR="009E3AF1" w:rsidRPr="00882F11">
        <w:rPr>
          <w:rFonts w:cs="Guttman Drogolin" w:hint="cs"/>
          <w:rtl/>
          <w:lang w:bidi="he-IL"/>
        </w:rPr>
        <w:t xml:space="preserve"> (פסח פ"ג הערה 76)</w:t>
      </w:r>
      <w:r w:rsidR="00E26EDC" w:rsidRPr="00882F11">
        <w:rPr>
          <w:rFonts w:cs="Guttman Drogolin" w:hint="cs"/>
          <w:rtl/>
          <w:lang w:bidi="he-IL"/>
        </w:rPr>
        <w:t xml:space="preserve"> מבואר שכן נהגו בבית הגרשז"א שהיו משתמשים בשאר ימות השנה בכלי זכוכית בין לבשר ובין לחלב אפילו חם. ויש להעיר על הוראה זו מדברי המ"ב, שהרי לענין הלכות פסח כתב המ"ב שאם השתמש בכלי זכוכית מבלי להכשיר אותו הרי הוא אוסר בדיעבד. ואפילו ב</w:t>
      </w:r>
      <w:r w:rsidR="00713F22">
        <w:rPr>
          <w:rFonts w:cs="Guttman Drogolin" w:hint="cs"/>
          <w:rtl/>
          <w:lang w:bidi="he-IL"/>
        </w:rPr>
        <w:t xml:space="preserve">אינו בן יומו </w:t>
      </w:r>
      <w:r w:rsidR="00E26EDC" w:rsidRPr="00882F11">
        <w:rPr>
          <w:rFonts w:cs="Guttman Drogolin" w:hint="cs"/>
          <w:rtl/>
          <w:lang w:bidi="he-IL"/>
        </w:rPr>
        <w:t>אינו מיקל בדיעבד אלא ב</w:t>
      </w:r>
      <w:r w:rsidR="00713F22">
        <w:rPr>
          <w:rFonts w:cs="Guttman Drogolin" w:hint="cs"/>
          <w:rtl/>
          <w:lang w:bidi="he-IL"/>
        </w:rPr>
        <w:t>מקום הפסד מרובה</w:t>
      </w:r>
      <w:r w:rsidR="00E26EDC" w:rsidRPr="00882F11">
        <w:rPr>
          <w:rFonts w:cs="Guttman Drogolin" w:hint="cs"/>
          <w:rtl/>
          <w:lang w:bidi="he-IL"/>
        </w:rPr>
        <w:t xml:space="preserve">. וא"כ צ"ע למה החמירו עכ"פ לכתחילה בשאר ימות השנה בדבר שבפסח אוסר אפילו בדיעבד. וצ"ע. ומ"מ על אף שיש מקום להקל כהנהגת הגרשז"א, כיון שהיום כלים הם הרבה יותר בזול ממה שהיו פעם, מי שמחמיר שלא להשתמש באותו כלי גם לחלבי וגם לבשרי שימוש של חמין הרי זה משובח. וכן ראיתי בשם הגר"י קמינצקי. ומ"מ הנ"מ בכלים ששותים בהם חמין וכדומה, אבל </w:t>
      </w:r>
      <w:r w:rsidR="006577F2" w:rsidRPr="00882F11">
        <w:rPr>
          <w:rFonts w:cs="Guttman Drogolin" w:hint="cs"/>
          <w:rtl/>
          <w:lang w:bidi="he-IL"/>
        </w:rPr>
        <w:t>ב</w:t>
      </w:r>
      <w:r w:rsidR="00E26EDC" w:rsidRPr="00882F11">
        <w:rPr>
          <w:rFonts w:cs="Guttman Drogolin" w:hint="cs"/>
          <w:rtl/>
          <w:lang w:bidi="he-IL"/>
        </w:rPr>
        <w:t>כלי שתיי' צוננים</w:t>
      </w:r>
      <w:r w:rsidR="006577F2" w:rsidRPr="00882F11">
        <w:rPr>
          <w:rFonts w:cs="Guttman Drogolin" w:hint="cs"/>
          <w:rtl/>
          <w:lang w:bidi="he-IL"/>
        </w:rPr>
        <w:t xml:space="preserve"> שפיר אפשר להשתמש בהם בין לחלב ובין לבשר, ובלבד שידיח בין שימוש לשימוש. ופשוט. </w:t>
      </w:r>
      <w:r w:rsidR="00E26EDC" w:rsidRPr="00882F11">
        <w:rPr>
          <w:rFonts w:cs="Guttman Drogolin" w:hint="cs"/>
          <w:rtl/>
          <w:lang w:bidi="he-IL"/>
        </w:rPr>
        <w:t xml:space="preserve">   </w:t>
      </w:r>
    </w:p>
    <w:p w:rsidR="00E26EDC" w:rsidRPr="00882F11" w:rsidRDefault="009E3AF1" w:rsidP="009E3AF1">
      <w:pPr>
        <w:tabs>
          <w:tab w:val="right" w:pos="7497"/>
        </w:tabs>
        <w:bidi/>
        <w:jc w:val="both"/>
        <w:rPr>
          <w:rFonts w:cs="Guttman Drogolin"/>
          <w:rtl/>
          <w:lang w:bidi="he-IL"/>
        </w:rPr>
      </w:pPr>
      <w:r w:rsidRPr="00882F11">
        <w:rPr>
          <w:rFonts w:cs="Guttman Drogolin" w:hint="cs"/>
          <w:rtl/>
          <w:lang w:bidi="he-IL"/>
        </w:rPr>
        <w:t>וע' ב</w:t>
      </w:r>
      <w:r w:rsidR="00E26EDC" w:rsidRPr="00882F11">
        <w:rPr>
          <w:rFonts w:cs="Guttman Drogolin" w:hint="cs"/>
          <w:rtl/>
          <w:lang w:bidi="he-IL"/>
        </w:rPr>
        <w:t xml:space="preserve">מג"א </w:t>
      </w:r>
      <w:r w:rsidR="008C4077" w:rsidRPr="00882F11">
        <w:rPr>
          <w:rFonts w:cs="Guttman Drogolin" w:hint="cs"/>
          <w:rtl/>
          <w:lang w:bidi="he-IL"/>
        </w:rPr>
        <w:t xml:space="preserve">ס"ק מ"ט </w:t>
      </w:r>
      <w:r w:rsidR="00E26EDC" w:rsidRPr="00882F11">
        <w:rPr>
          <w:rFonts w:cs="Guttman Drogolin" w:hint="cs"/>
          <w:rtl/>
          <w:lang w:bidi="he-IL"/>
        </w:rPr>
        <w:t xml:space="preserve">ומ"ב </w:t>
      </w:r>
      <w:r w:rsidR="006C1E22" w:rsidRPr="00882F11">
        <w:rPr>
          <w:rFonts w:cs="Guttman Drogolin" w:hint="cs"/>
          <w:rtl/>
          <w:lang w:bidi="he-IL"/>
        </w:rPr>
        <w:t xml:space="preserve">ס"ק </w:t>
      </w:r>
      <w:r w:rsidR="008C4077" w:rsidRPr="00882F11">
        <w:rPr>
          <w:rFonts w:cs="Guttman Drogolin" w:hint="cs"/>
          <w:rtl/>
          <w:lang w:bidi="he-IL"/>
        </w:rPr>
        <w:t xml:space="preserve">קנ"ב </w:t>
      </w:r>
      <w:r w:rsidR="00E26EDC" w:rsidRPr="00882F11">
        <w:rPr>
          <w:rFonts w:cs="Guttman Drogolin" w:hint="cs"/>
          <w:rtl/>
          <w:lang w:bidi="he-IL"/>
        </w:rPr>
        <w:t>ש</w:t>
      </w:r>
      <w:r w:rsidRPr="00882F11">
        <w:rPr>
          <w:rFonts w:cs="Guttman Drogolin" w:hint="cs"/>
          <w:rtl/>
          <w:lang w:bidi="he-IL"/>
        </w:rPr>
        <w:t xml:space="preserve">בכלי שהי' רוב שימושו בחמין </w:t>
      </w:r>
      <w:r w:rsidR="00E26EDC" w:rsidRPr="00882F11">
        <w:rPr>
          <w:rFonts w:cs="Guttman Drogolin" w:hint="cs"/>
          <w:rtl/>
          <w:lang w:bidi="he-IL"/>
        </w:rPr>
        <w:t xml:space="preserve">יש להקל בדיעבד </w:t>
      </w:r>
      <w:r w:rsidR="008C4077" w:rsidRPr="00882F11">
        <w:rPr>
          <w:rFonts w:cs="Guttman Drogolin" w:hint="cs"/>
          <w:rtl/>
          <w:lang w:bidi="he-IL"/>
        </w:rPr>
        <w:t xml:space="preserve">רק </w:t>
      </w:r>
      <w:r w:rsidR="00E26EDC" w:rsidRPr="00882F11">
        <w:rPr>
          <w:rFonts w:cs="Guttman Drogolin" w:hint="cs"/>
          <w:rtl/>
          <w:lang w:bidi="he-IL"/>
        </w:rPr>
        <w:t>אם הגע</w:t>
      </w:r>
      <w:r w:rsidR="008C4077" w:rsidRPr="00882F11">
        <w:rPr>
          <w:rFonts w:cs="Guttman Drogolin" w:hint="cs"/>
          <w:rtl/>
          <w:lang w:bidi="he-IL"/>
        </w:rPr>
        <w:t>י</w:t>
      </w:r>
      <w:r w:rsidR="00E26EDC" w:rsidRPr="00882F11">
        <w:rPr>
          <w:rFonts w:cs="Guttman Drogolin" w:hint="cs"/>
          <w:rtl/>
          <w:lang w:bidi="he-IL"/>
        </w:rPr>
        <w:t>ל ולא אם לא הגעיל</w:t>
      </w:r>
      <w:r w:rsidRPr="00882F11">
        <w:rPr>
          <w:rFonts w:cs="Guttman Drogolin" w:hint="cs"/>
          <w:rtl/>
          <w:lang w:bidi="he-IL"/>
        </w:rPr>
        <w:t>.</w:t>
      </w:r>
      <w:r w:rsidR="008C4077" w:rsidRPr="00882F11">
        <w:rPr>
          <w:rFonts w:cs="Guttman Drogolin" w:hint="cs"/>
          <w:rtl/>
          <w:lang w:bidi="he-IL"/>
        </w:rPr>
        <w:t xml:space="preserve"> </w:t>
      </w:r>
      <w:r w:rsidRPr="00882F11">
        <w:rPr>
          <w:rFonts w:cs="Guttman Drogolin" w:hint="cs"/>
          <w:rtl/>
          <w:lang w:bidi="he-IL"/>
        </w:rPr>
        <w:t>ו</w:t>
      </w:r>
      <w:r w:rsidR="008C4077" w:rsidRPr="00882F11">
        <w:rPr>
          <w:rFonts w:cs="Guttman Drogolin" w:hint="cs"/>
          <w:rtl/>
          <w:lang w:bidi="he-IL"/>
        </w:rPr>
        <w:t xml:space="preserve">הדברים מחודשים, </w:t>
      </w:r>
      <w:r w:rsidRPr="00882F11">
        <w:rPr>
          <w:rFonts w:cs="Guttman Drogolin" w:hint="cs"/>
          <w:rtl/>
          <w:lang w:bidi="he-IL"/>
        </w:rPr>
        <w:t xml:space="preserve">דבשלמא בהשתמשו בה בצונן או ע"י כבוש, שפיר אפשר להכשיר בהגעלה, וכנ"ל משו"ע סע' כ"א. אבל בתשמישתו בחמין </w:t>
      </w:r>
      <w:r w:rsidR="008C4077" w:rsidRPr="00882F11">
        <w:rPr>
          <w:rFonts w:cs="Guttman Drogolin" w:hint="cs"/>
          <w:rtl/>
          <w:lang w:bidi="he-IL"/>
        </w:rPr>
        <w:t>הא ב' השיטות המוזכרות בב"י הם או שאין הזכוכית צריכה הכשר, או דלא מהני לה הכשר</w:t>
      </w:r>
      <w:r w:rsidRPr="00882F11">
        <w:rPr>
          <w:rFonts w:cs="Guttman Drogolin" w:hint="cs"/>
          <w:rtl/>
          <w:lang w:bidi="he-IL"/>
        </w:rPr>
        <w:t>, ולא מוזכר כלל השיטה האמצעית</w:t>
      </w:r>
      <w:r w:rsidR="008C4077" w:rsidRPr="00882F11">
        <w:rPr>
          <w:rFonts w:cs="Guttman Drogolin" w:hint="cs"/>
          <w:rtl/>
          <w:lang w:bidi="he-IL"/>
        </w:rPr>
        <w:t xml:space="preserve">. וע' גם בשעה"צ ס"ק קצ"ו. </w:t>
      </w:r>
      <w:r w:rsidR="00E26EDC" w:rsidRPr="00882F11">
        <w:rPr>
          <w:rFonts w:cs="Guttman Drogolin" w:hint="cs"/>
          <w:rtl/>
          <w:lang w:bidi="he-IL"/>
        </w:rPr>
        <w:t xml:space="preserve">וע' מש"כ בזה בשו"ת מנח"י </w:t>
      </w:r>
      <w:r w:rsidR="008C4077" w:rsidRPr="00882F11">
        <w:rPr>
          <w:rFonts w:cs="Guttman Drogolin" w:hint="cs"/>
          <w:rtl/>
          <w:lang w:bidi="he-IL"/>
        </w:rPr>
        <w:t>ח"א סי' פ"ו.</w:t>
      </w:r>
      <w:r w:rsidR="006C1E22" w:rsidRPr="00882F11">
        <w:rPr>
          <w:rFonts w:cs="Guttman Drogolin" w:hint="cs"/>
          <w:rtl/>
          <w:lang w:bidi="he-IL"/>
        </w:rPr>
        <w:t xml:space="preserve"> </w:t>
      </w:r>
    </w:p>
    <w:p w:rsidR="006577F2" w:rsidRPr="00882F11" w:rsidRDefault="00501DE1" w:rsidP="00404F43">
      <w:pPr>
        <w:tabs>
          <w:tab w:val="right" w:pos="7497"/>
        </w:tabs>
        <w:bidi/>
        <w:jc w:val="both"/>
        <w:rPr>
          <w:rFonts w:cs="Guttman Drogolin"/>
          <w:rtl/>
          <w:lang w:bidi="he-IL"/>
        </w:rPr>
      </w:pPr>
      <w:r w:rsidRPr="00882F11">
        <w:rPr>
          <w:rFonts w:cs="Guttman Drogolin" w:hint="cs"/>
          <w:rtl/>
          <w:lang w:bidi="he-IL"/>
        </w:rPr>
        <w:t xml:space="preserve">ולענין </w:t>
      </w:r>
      <w:r w:rsidR="006F1AEA" w:rsidRPr="00882F11">
        <w:rPr>
          <w:rFonts w:cs="Guttman Drogolin" w:hint="cs"/>
          <w:rtl/>
          <w:lang w:bidi="he-IL"/>
        </w:rPr>
        <w:t xml:space="preserve">כלי </w:t>
      </w:r>
      <w:r w:rsidR="000D22B6" w:rsidRPr="00882F11">
        <w:rPr>
          <w:rFonts w:cs="Guttman Drogolin" w:hint="cs"/>
          <w:rtl/>
          <w:lang w:bidi="he-IL"/>
        </w:rPr>
        <w:t>פיירעקס</w:t>
      </w:r>
      <w:r w:rsidR="006F1AEA" w:rsidRPr="00882F11">
        <w:rPr>
          <w:rFonts w:cs="Guttman Drogolin" w:hint="cs"/>
          <w:rtl/>
          <w:lang w:bidi="he-IL"/>
        </w:rPr>
        <w:t xml:space="preserve">, </w:t>
      </w:r>
      <w:r w:rsidR="000D22B6" w:rsidRPr="00882F11">
        <w:rPr>
          <w:rFonts w:cs="Guttman Drogolin" w:hint="cs"/>
          <w:rtl/>
          <w:lang w:bidi="he-IL"/>
        </w:rPr>
        <w:t xml:space="preserve">הנה דרך עשייתן היא שמוציאים את המתכות מהזכוכית ונשאר רק קצת מתכות עדינות ולכן אשר לבשל בה (כל זה כתב בסידור פסח כהלכתו פ"ט הערה 27). וא"כ לכאורה אינו אלא זכוכית ודינו כנ"ל. ומ"מ </w:t>
      </w:r>
      <w:r w:rsidR="006F1AEA" w:rsidRPr="00882F11">
        <w:rPr>
          <w:rFonts w:cs="Guttman Drogolin" w:hint="cs"/>
          <w:rtl/>
          <w:lang w:bidi="he-IL"/>
        </w:rPr>
        <w:t xml:space="preserve">מבואר בכמה מקומות בשמו </w:t>
      </w:r>
      <w:r w:rsidR="00B87402" w:rsidRPr="00882F11">
        <w:rPr>
          <w:rFonts w:cs="Guttman Drogolin" w:hint="cs"/>
          <w:rtl/>
          <w:lang w:bidi="he-IL"/>
        </w:rPr>
        <w:t>של הגר</w:t>
      </w:r>
      <w:r w:rsidR="00404F43" w:rsidRPr="00882F11">
        <w:rPr>
          <w:rFonts w:cs="Guttman Drogolin" w:hint="cs"/>
          <w:rtl/>
          <w:lang w:bidi="he-IL"/>
        </w:rPr>
        <w:t>י</w:t>
      </w:r>
      <w:r w:rsidR="00B87402" w:rsidRPr="00882F11">
        <w:rPr>
          <w:rFonts w:cs="Guttman Drogolin" w:hint="cs"/>
          <w:rtl/>
          <w:lang w:bidi="he-IL"/>
        </w:rPr>
        <w:t xml:space="preserve">ש"א </w:t>
      </w:r>
      <w:r w:rsidR="000D22B6" w:rsidRPr="00882F11">
        <w:rPr>
          <w:rFonts w:cs="Guttman Drogolin" w:hint="cs"/>
          <w:rtl/>
          <w:lang w:bidi="he-IL"/>
        </w:rPr>
        <w:t xml:space="preserve">(סידור פסח כהלכתו שם) </w:t>
      </w:r>
      <w:r w:rsidR="006F1AEA" w:rsidRPr="00882F11">
        <w:rPr>
          <w:rFonts w:cs="Guttman Drogolin" w:hint="cs"/>
          <w:rtl/>
          <w:lang w:bidi="he-IL"/>
        </w:rPr>
        <w:t xml:space="preserve">שגם לשיטת הרמ"א שמחמיר, הנ"מ </w:t>
      </w:r>
      <w:r w:rsidR="006F1AEA" w:rsidRPr="00882F11">
        <w:rPr>
          <w:rFonts w:cs="Guttman Drogolin" w:hint="cs"/>
          <w:rtl/>
          <w:lang w:bidi="he-IL"/>
        </w:rPr>
        <w:lastRenderedPageBreak/>
        <w:t>בכאלו שאין דרך תשמישתם</w:t>
      </w:r>
      <w:r w:rsidR="00B87402" w:rsidRPr="00882F11">
        <w:rPr>
          <w:rFonts w:cs="Guttman Drogolin" w:hint="cs"/>
          <w:rtl/>
          <w:lang w:bidi="he-IL"/>
        </w:rPr>
        <w:t xml:space="preserve"> בחמין, אבל פיירקס העשוים לשימוש באור שפיר אפשר להכשירם. </w:t>
      </w:r>
      <w:r w:rsidR="000D22B6" w:rsidRPr="00882F11">
        <w:rPr>
          <w:rFonts w:cs="Guttman Drogolin" w:hint="cs"/>
          <w:rtl/>
          <w:lang w:bidi="he-IL"/>
        </w:rPr>
        <w:t xml:space="preserve">ולכאורה דבר זה אינו מובן אלא לפי הצד שהמחמירים בכלי זכוכית שצריכים הגעלה, וכן שהגעלה אי אפשר כיון דחייס, אבל לשיטת דהוי ככלי חרס לכאורה עדיין לא סגי. ואפילו המ"ב שכתב שאם הגעילו אינו אוסר בדיעבד, משמע מיני' דהנ"מ בדיעבד, אבל לכתחילה אין לסמוך על הגעלה. </w:t>
      </w:r>
      <w:r w:rsidR="00832C58" w:rsidRPr="00882F11">
        <w:rPr>
          <w:rFonts w:cs="Guttman Drogolin" w:hint="cs"/>
          <w:rtl/>
          <w:lang w:bidi="he-IL"/>
        </w:rPr>
        <w:t>וע' בשו"ת קובץ תשובות ח"ג סי' פ"א אות ב' שכתב להתיר הכשר כלי פיירקס בהגעלה אפילו 'לשיטת הרמ"א' כיון שכלי פיירקס לא היו בימיו ולא שייך על זה מנהג. והנה המגי' שם כתב שה'מנהג' שהתייחס אליו הגריש"א הוא המנהג שלא להכשיר מבשר לחלב. והוא תמוה כיון שמנהג זה לא מוזכר ברמ"א</w:t>
      </w:r>
      <w:r w:rsidR="00832C58" w:rsidRPr="00882F11">
        <w:rPr>
          <w:rStyle w:val="FootnoteReference"/>
          <w:rFonts w:cs="Guttman Drogolin"/>
          <w:rtl/>
          <w:lang w:bidi="he-IL"/>
        </w:rPr>
        <w:footnoteReference w:id="580"/>
      </w:r>
      <w:r w:rsidR="00832C58" w:rsidRPr="00882F11">
        <w:rPr>
          <w:rFonts w:cs="Guttman Drogolin" w:hint="cs"/>
          <w:rtl/>
          <w:lang w:bidi="he-IL"/>
        </w:rPr>
        <w:t>. ולכן לכאורה הכוונה למנהג של הרמ"א שלא להכשיר זכוכית, ובזה יש להקל בפיירקס כיון שלא הי' בימיו. אלא שאם זהו כוונתו, לכאורה בכלל זכוכית היא ולכן הוא בכלל המנהג שלא להכשיר זכוכית, ואינו צריך מנהג נוסף. וצ"ע.</w:t>
      </w:r>
    </w:p>
    <w:p w:rsidR="006577F2" w:rsidRPr="00882F11" w:rsidRDefault="006577F2" w:rsidP="006577F2">
      <w:pPr>
        <w:pStyle w:val="Heading1"/>
        <w:bidi/>
        <w:spacing w:before="0" w:line="360" w:lineRule="auto"/>
        <w:jc w:val="center"/>
        <w:rPr>
          <w:rFonts w:cs="Guttman Drogolin"/>
          <w:color w:val="auto"/>
          <w:sz w:val="24"/>
          <w:szCs w:val="24"/>
          <w:u w:val="single"/>
          <w:rtl/>
          <w:lang w:bidi="he-IL"/>
        </w:rPr>
      </w:pPr>
      <w:bookmarkStart w:id="547" w:name="_Toc496175784"/>
      <w:r w:rsidRPr="00882F11">
        <w:rPr>
          <w:rFonts w:cs="Guttman Drogolin" w:hint="cs"/>
          <w:color w:val="auto"/>
          <w:sz w:val="24"/>
          <w:szCs w:val="24"/>
          <w:u w:val="single"/>
          <w:rtl/>
          <w:lang w:bidi="he-IL"/>
        </w:rPr>
        <w:t>הגעלת כלים חדשים</w:t>
      </w:r>
      <w:bookmarkEnd w:id="547"/>
    </w:p>
    <w:p w:rsidR="000D46B4" w:rsidRPr="00882F11" w:rsidRDefault="00673A6D" w:rsidP="00673A6D">
      <w:pPr>
        <w:tabs>
          <w:tab w:val="right" w:pos="7497"/>
        </w:tabs>
        <w:bidi/>
        <w:jc w:val="both"/>
        <w:rPr>
          <w:rFonts w:cs="Guttman Drogolin"/>
          <w:rtl/>
          <w:lang w:bidi="he-IL"/>
        </w:rPr>
      </w:pPr>
      <w:r>
        <w:rPr>
          <w:rFonts w:cs="Guttman Drogolin"/>
          <w:rtl/>
          <w:lang w:bidi="he-IL"/>
        </w:rPr>
        <w:fldChar w:fldCharType="begin"/>
      </w:r>
      <w:r>
        <w:instrText xml:space="preserve"> XE "</w:instrText>
      </w:r>
      <w:r w:rsidRPr="00F66F41">
        <w:rPr>
          <w:rFonts w:hint="cs"/>
          <w:rtl/>
          <w:lang w:bidi="he-IL"/>
        </w:rPr>
        <w:instrText>הכשר כלים</w:instrText>
      </w:r>
      <w:r w:rsidRPr="00F66F41">
        <w:rPr>
          <w:rtl/>
        </w:rPr>
        <w:instrText>:</w:instrText>
      </w:r>
      <w:r w:rsidRPr="00F66F41">
        <w:rPr>
          <w:rFonts w:hint="cs"/>
          <w:rtl/>
          <w:lang w:bidi="he-IL"/>
        </w:rPr>
        <w:instrText>חדשים</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36696F">
        <w:rPr>
          <w:rFonts w:hint="cs"/>
          <w:rtl/>
          <w:lang w:bidi="he-IL"/>
        </w:rPr>
        <w:instrText>הגעל</w:instrText>
      </w:r>
      <w:r>
        <w:rPr>
          <w:rFonts w:hint="cs"/>
          <w:rtl/>
          <w:lang w:bidi="he-IL"/>
        </w:rPr>
        <w:instrText>ה</w:instrText>
      </w:r>
      <w:r>
        <w:instrText>" \t "</w:instrText>
      </w:r>
      <w:r w:rsidRPr="00D8060F">
        <w:rPr>
          <w:rFonts w:cs="Times New Roman" w:hint="cs"/>
          <w:i/>
          <w:rtl/>
          <w:lang w:bidi="he-IL"/>
        </w:rPr>
        <w:instrText>ע</w:instrText>
      </w:r>
      <w:r w:rsidRPr="00D8060F">
        <w:rPr>
          <w:rFonts w:cstheme="minorHAnsi" w:hint="cs"/>
          <w:i/>
          <w:rtl/>
          <w:lang w:bidi="he-IL"/>
        </w:rPr>
        <w:instrText xml:space="preserve">' </w:instrText>
      </w:r>
      <w:r w:rsidRPr="00D8060F">
        <w:rPr>
          <w:rFonts w:cs="Times New Roman" w:hint="cs"/>
          <w:i/>
          <w:rtl/>
          <w:lang w:bidi="he-IL"/>
        </w:rPr>
        <w:instrText>גם הכשר כלים</w:instrText>
      </w:r>
      <w:r>
        <w:instrText xml:space="preserve">" </w:instrText>
      </w:r>
      <w:r>
        <w:rPr>
          <w:rFonts w:cs="Guttman Drogolin"/>
          <w:rtl/>
          <w:lang w:bidi="he-IL"/>
        </w:rPr>
        <w:fldChar w:fldCharType="end"/>
      </w:r>
      <w:r w:rsidR="00DB6CD9" w:rsidRPr="00882F11">
        <w:rPr>
          <w:rFonts w:cs="Guttman Drogolin" w:hint="cs"/>
          <w:rtl/>
          <w:lang w:bidi="he-IL"/>
        </w:rPr>
        <w:t xml:space="preserve">יש אנשים שמכשירים אפילו את הכלים החדשים שקונים. ומנהג זה התייסד בגלל </w:t>
      </w:r>
      <w:r w:rsidR="000D46B4" w:rsidRPr="00882F11">
        <w:rPr>
          <w:rFonts w:cs="Guttman Drogolin" w:hint="cs"/>
          <w:rtl/>
          <w:lang w:bidi="he-IL"/>
        </w:rPr>
        <w:t xml:space="preserve">שפעם היו מורחים הכלי מתכת בשומן בהמות טמאות ונבילות וכדומה כדי שיהיו מבריקים. והיו עושים כן ע"י זה שהיו מרתיחים הכלים עם החומר עד שיהיו מבריקים. ואפילו אז היו אלו שהיו מקילים כיון שבזמן שנבלע בכלי היו השומנים כבר נותן טעם לפגם, ואין חובה להכשיר כלי כשנבלע בה טעם לפגם. </w:t>
      </w:r>
    </w:p>
    <w:p w:rsidR="006577F2" w:rsidRPr="00882F11" w:rsidRDefault="000D46B4" w:rsidP="000D46B4">
      <w:pPr>
        <w:tabs>
          <w:tab w:val="right" w:pos="7497"/>
        </w:tabs>
        <w:bidi/>
        <w:jc w:val="both"/>
        <w:rPr>
          <w:rFonts w:cs="Guttman Drogolin"/>
          <w:rtl/>
          <w:lang w:bidi="he-IL"/>
        </w:rPr>
      </w:pPr>
      <w:r w:rsidRPr="00882F11">
        <w:rPr>
          <w:rFonts w:cs="Guttman Drogolin" w:hint="cs"/>
          <w:rtl/>
          <w:lang w:bidi="he-IL"/>
        </w:rPr>
        <w:t xml:space="preserve">ומ"מ היום אחרו לי אנשי מקצוע שאין שום ענין להכשיר כלים חדשים, כיון שמפעלים גדולים אינם משתמשים בחומר כזה. וזהו בגלל שהיום יש חומרים סינטטיים </w:t>
      </w:r>
      <w:r w:rsidR="00337F5E" w:rsidRPr="00882F11">
        <w:rPr>
          <w:rFonts w:cs="Guttman Drogolin" w:hint="cs"/>
          <w:rtl/>
          <w:lang w:bidi="he-IL"/>
        </w:rPr>
        <w:t>שהם הרבה יותר זולים. וכן בהרבה ארצות מקפידים</w:t>
      </w:r>
      <w:r w:rsidR="0060416F" w:rsidRPr="00882F11">
        <w:rPr>
          <w:rFonts w:cs="Guttman Drogolin" w:hint="cs"/>
          <w:rtl/>
          <w:lang w:bidi="he-IL"/>
        </w:rPr>
        <w:t xml:space="preserve"> </w:t>
      </w:r>
      <w:r w:rsidR="00337F5E" w:rsidRPr="00882F11">
        <w:rPr>
          <w:rFonts w:cs="Guttman Drogolin" w:hint="cs"/>
          <w:rtl/>
          <w:lang w:bidi="he-IL"/>
        </w:rPr>
        <w:t xml:space="preserve">שלא יהייו בכלים הנכנסים חומרים מן החי משום הבריות. וכן בדקו במעבדה כמה כלים כאלו ואף פעם לא מצאו </w:t>
      </w:r>
      <w:r w:rsidR="00337F5E" w:rsidRPr="00882F11">
        <w:rPr>
          <w:rFonts w:cs="Guttman Drogolin" w:hint="cs"/>
          <w:rtl/>
          <w:lang w:bidi="he-IL"/>
        </w:rPr>
        <w:lastRenderedPageBreak/>
        <w:t>חומר מן החי בתוך הכלים. ולכן שורת הדין הוא</w:t>
      </w:r>
      <w:r w:rsidR="00082C21" w:rsidRPr="00882F11">
        <w:rPr>
          <w:rFonts w:cs="Guttman Drogolin" w:hint="cs"/>
          <w:rtl/>
          <w:lang w:bidi="he-IL"/>
        </w:rPr>
        <w:t xml:space="preserve"> </w:t>
      </w:r>
      <w:r w:rsidR="00337F5E" w:rsidRPr="00882F11">
        <w:rPr>
          <w:rFonts w:cs="Guttman Drogolin" w:hint="cs"/>
          <w:rtl/>
          <w:lang w:bidi="he-IL"/>
        </w:rPr>
        <w:t>שאין צריך להכשירם, ולכאורה אפילו אלו שיש להם מנהג כן הי' זה ע"פ מציאות של פעם, אבל לפי המציאות של היום גם הם יכולים להשתמש בכלים חדשים שנקנו ואין צורך להכשירם.</w:t>
      </w:r>
      <w:r w:rsidR="0060416F" w:rsidRPr="00882F11">
        <w:rPr>
          <w:rFonts w:cs="Guttman Drogolin" w:hint="cs"/>
          <w:rtl/>
          <w:lang w:bidi="he-IL"/>
        </w:rPr>
        <w:t xml:space="preserve"> </w:t>
      </w:r>
    </w:p>
    <w:p w:rsidR="00337F5E" w:rsidRPr="00882F11" w:rsidRDefault="00337F5E" w:rsidP="00337F5E">
      <w:pPr>
        <w:pStyle w:val="Heading1"/>
        <w:bidi/>
        <w:spacing w:before="0" w:line="360" w:lineRule="auto"/>
        <w:jc w:val="center"/>
        <w:rPr>
          <w:rFonts w:cs="Guttman Drogolin"/>
          <w:color w:val="auto"/>
          <w:sz w:val="24"/>
          <w:szCs w:val="24"/>
          <w:u w:val="single"/>
          <w:rtl/>
          <w:lang w:bidi="he-IL"/>
        </w:rPr>
      </w:pPr>
      <w:bookmarkStart w:id="548" w:name="_Toc496175785"/>
      <w:r w:rsidRPr="00882F11">
        <w:rPr>
          <w:rFonts w:cs="Guttman Drogolin" w:hint="cs"/>
          <w:color w:val="auto"/>
          <w:sz w:val="24"/>
          <w:szCs w:val="24"/>
          <w:u w:val="single"/>
          <w:rtl/>
          <w:lang w:bidi="he-IL"/>
        </w:rPr>
        <w:t>הגעלת טבעות הנשים לפסח</w:t>
      </w:r>
      <w:bookmarkEnd w:id="548"/>
    </w:p>
    <w:p w:rsidR="00337F5E" w:rsidRDefault="002C53AB" w:rsidP="00337F5E">
      <w:pPr>
        <w:tabs>
          <w:tab w:val="right" w:pos="7497"/>
        </w:tabs>
        <w:bidi/>
        <w:jc w:val="both"/>
        <w:rPr>
          <w:rFonts w:cs="Guttman Drogolin"/>
          <w:rtl/>
          <w:lang w:bidi="he-IL"/>
        </w:rPr>
      </w:pPr>
      <w:r>
        <w:rPr>
          <w:rFonts w:cs="Guttman Drogolin"/>
          <w:rtl/>
          <w:lang w:bidi="he-IL"/>
        </w:rPr>
        <w:fldChar w:fldCharType="begin"/>
      </w:r>
      <w:r>
        <w:instrText xml:space="preserve"> XE "</w:instrText>
      </w:r>
      <w:r w:rsidRPr="008F0CC7">
        <w:rPr>
          <w:rFonts w:hint="cs"/>
          <w:rtl/>
          <w:lang w:bidi="he-IL"/>
        </w:rPr>
        <w:instrText>הכשר כלים</w:instrText>
      </w:r>
      <w:r w:rsidRPr="008F0CC7">
        <w:rPr>
          <w:rtl/>
        </w:rPr>
        <w:instrText>:</w:instrText>
      </w:r>
      <w:r w:rsidRPr="008F0CC7">
        <w:rPr>
          <w:rFonts w:hint="cs"/>
          <w:rtl/>
          <w:lang w:bidi="he-IL"/>
        </w:rPr>
        <w:instrText>טבעות הידים</w:instrText>
      </w:r>
      <w:r>
        <w:instrText xml:space="preserve">" </w:instrText>
      </w:r>
      <w:r>
        <w:rPr>
          <w:rFonts w:cs="Guttman Drogolin"/>
          <w:rtl/>
          <w:lang w:bidi="he-IL"/>
        </w:rPr>
        <w:fldChar w:fldCharType="end"/>
      </w:r>
      <w:r w:rsidR="00337F5E" w:rsidRPr="00882F11">
        <w:rPr>
          <w:rFonts w:cs="Guttman Drogolin" w:hint="cs"/>
          <w:rtl/>
          <w:lang w:bidi="he-IL"/>
        </w:rPr>
        <w:t xml:space="preserve">מילתא דשכיחא הוא שהנשים לשים עיסה של חמץ עם הטבעות על הידים. ולכאורה א"כ הוו כהנני אוגני דמחוזא וציריכם הגעלה לפסח. וכן זכורני שהגר"ע אוירבך שליט"א כך הורה בדרשת שבת הגדול לפני כ' שנה. אמנם ראיתי בס' הגעלת כלים (פי"ג הלכה ק"ג) שהורה שאין צריך להכשירם, ואע"ג שהביא שם שהמדריך כשרות שי בד"ץ עדה החרדית הורה שיש ליזהר בזה לא ידע טעמם "ואם משום שלפעמים לשים בידים בעת ענידתן י"ל ודוק". ולא ביאר לנו מה באמת יש ליישב. </w:t>
      </w:r>
    </w:p>
    <w:p w:rsidR="005229E6" w:rsidRDefault="005229E6" w:rsidP="005229E6">
      <w:pPr>
        <w:tabs>
          <w:tab w:val="right" w:pos="7497"/>
        </w:tabs>
        <w:bidi/>
        <w:jc w:val="both"/>
        <w:rPr>
          <w:rFonts w:cs="Guttman Drogolin"/>
          <w:rtl/>
          <w:lang w:bidi="he-IL"/>
        </w:rPr>
        <w:sectPr w:rsidR="005229E6" w:rsidSect="00280E73">
          <w:type w:val="continuous"/>
          <w:pgSz w:w="11907" w:h="16839" w:code="9"/>
          <w:pgMar w:top="1440" w:right="1440" w:bottom="1440" w:left="1440" w:header="720" w:footer="720" w:gutter="0"/>
          <w:cols w:num="2" w:space="720"/>
          <w:bidi/>
          <w:docGrid w:linePitch="360"/>
        </w:sectPr>
      </w:pPr>
    </w:p>
    <w:p w:rsidR="00BD7534" w:rsidRPr="00882F11" w:rsidRDefault="00BD7534" w:rsidP="00BD7534">
      <w:pPr>
        <w:keepNext/>
        <w:tabs>
          <w:tab w:val="left" w:pos="3818"/>
          <w:tab w:val="center" w:pos="4680"/>
        </w:tabs>
        <w:bidi/>
        <w:jc w:val="center"/>
        <w:rPr>
          <w:rFonts w:cs="Guttman Drogolin"/>
          <w:b/>
          <w:bCs/>
          <w:sz w:val="24"/>
          <w:szCs w:val="24"/>
          <w:rtl/>
          <w:lang w:bidi="he-IL"/>
        </w:rPr>
      </w:pPr>
      <w:r w:rsidRPr="00882F11">
        <w:rPr>
          <w:rFonts w:cs="Guttman Drogolin" w:hint="cs"/>
          <w:b/>
          <w:bCs/>
          <w:sz w:val="48"/>
          <w:szCs w:val="48"/>
          <w:rtl/>
          <w:lang w:bidi="he-IL"/>
        </w:rPr>
        <w:lastRenderedPageBreak/>
        <w:t>שיעור קמ"ג</w:t>
      </w:r>
    </w:p>
    <w:p w:rsidR="00F05E9F" w:rsidRDefault="00F05E9F" w:rsidP="008F3FC2">
      <w:pPr>
        <w:pStyle w:val="Heading1"/>
        <w:bidi/>
        <w:spacing w:before="0" w:line="360" w:lineRule="auto"/>
        <w:jc w:val="center"/>
        <w:rPr>
          <w:rFonts w:cs="Guttman Drogolin"/>
          <w:color w:val="auto"/>
          <w:sz w:val="24"/>
          <w:szCs w:val="24"/>
          <w:u w:val="single"/>
          <w:rtl/>
          <w:lang w:bidi="he-IL"/>
        </w:rPr>
        <w:sectPr w:rsidR="00F05E9F" w:rsidSect="00F05E9F">
          <w:headerReference w:type="default" r:id="rId99"/>
          <w:pgSz w:w="11907" w:h="16839" w:code="9"/>
          <w:pgMar w:top="1440" w:right="1440" w:bottom="1440" w:left="1440" w:header="720" w:footer="720" w:gutter="0"/>
          <w:cols w:space="720"/>
          <w:bidi/>
          <w:docGrid w:linePitch="360"/>
        </w:sectPr>
      </w:pPr>
    </w:p>
    <w:p w:rsidR="00BD7534" w:rsidRPr="00882F11" w:rsidRDefault="008F3FC2" w:rsidP="008F3FC2">
      <w:pPr>
        <w:pStyle w:val="Heading1"/>
        <w:bidi/>
        <w:spacing w:before="0" w:line="360" w:lineRule="auto"/>
        <w:jc w:val="center"/>
        <w:rPr>
          <w:rFonts w:cs="Guttman Drogolin"/>
          <w:color w:val="auto"/>
          <w:sz w:val="24"/>
          <w:szCs w:val="24"/>
          <w:u w:val="single"/>
          <w:rtl/>
          <w:lang w:bidi="he-IL"/>
        </w:rPr>
      </w:pPr>
      <w:bookmarkStart w:id="549" w:name="_Toc496175786"/>
      <w:r w:rsidRPr="00882F11">
        <w:rPr>
          <w:rFonts w:cs="Guttman Drogolin" w:hint="cs"/>
          <w:color w:val="auto"/>
          <w:sz w:val="24"/>
          <w:szCs w:val="24"/>
          <w:u w:val="single"/>
          <w:rtl/>
          <w:lang w:bidi="he-IL"/>
        </w:rPr>
        <w:lastRenderedPageBreak/>
        <w:t>בדין סתם כלים אינן בני יומן</w:t>
      </w:r>
      <w:bookmarkEnd w:id="549"/>
    </w:p>
    <w:p w:rsidR="003B1B66" w:rsidRPr="00882F11" w:rsidRDefault="00F333B0" w:rsidP="00AA3508">
      <w:pPr>
        <w:tabs>
          <w:tab w:val="right" w:pos="7497"/>
        </w:tabs>
        <w:bidi/>
        <w:jc w:val="both"/>
        <w:rPr>
          <w:rFonts w:cs="Guttman Drogolin"/>
          <w:rtl/>
          <w:lang w:bidi="he-IL"/>
        </w:rPr>
      </w:pPr>
      <w:r>
        <w:rPr>
          <w:rFonts w:cs="Guttman Drogolin"/>
          <w:rtl/>
          <w:lang w:bidi="he-IL"/>
        </w:rPr>
        <w:fldChar w:fldCharType="begin"/>
      </w:r>
      <w:r>
        <w:instrText xml:space="preserve"> XE "</w:instrText>
      </w:r>
      <w:r w:rsidRPr="00231D22">
        <w:rPr>
          <w:rFonts w:hint="cs"/>
          <w:rtl/>
          <w:lang w:bidi="he-IL"/>
        </w:rPr>
        <w:instrText>סתם כלים אינן בני יומן</w:instrText>
      </w:r>
      <w:r w:rsidRPr="00231D22">
        <w:rPr>
          <w:rtl/>
        </w:rPr>
        <w:instrText>:</w:instrText>
      </w:r>
      <w:r w:rsidRPr="00231D22">
        <w:rPr>
          <w:rFonts w:hint="cs"/>
          <w:rtl/>
          <w:lang w:bidi="he-IL"/>
        </w:rPr>
        <w:instrText>הסוגיא</w:instrText>
      </w:r>
      <w:r>
        <w:instrText xml:space="preserve">" </w:instrText>
      </w:r>
      <w:r>
        <w:rPr>
          <w:rFonts w:cs="Guttman Drogolin"/>
          <w:rtl/>
          <w:lang w:bidi="he-IL"/>
        </w:rPr>
        <w:fldChar w:fldCharType="end"/>
      </w:r>
      <w:r w:rsidR="00D30829" w:rsidRPr="00882F11">
        <w:rPr>
          <w:rFonts w:cs="Guttman Drogolin" w:hint="cs"/>
          <w:rtl/>
          <w:lang w:bidi="he-IL"/>
        </w:rPr>
        <w:t xml:space="preserve">כתבו </w:t>
      </w:r>
      <w:r w:rsidR="008F3FC2" w:rsidRPr="00882F11">
        <w:rPr>
          <w:rFonts w:cs="Guttman Drogolin" w:hint="cs"/>
          <w:rtl/>
          <w:lang w:bidi="he-IL"/>
        </w:rPr>
        <w:t xml:space="preserve">התוס' בכמה מקומות </w:t>
      </w:r>
      <w:r w:rsidR="00D30829" w:rsidRPr="00882F11">
        <w:rPr>
          <w:rFonts w:cs="Guttman Drogolin" w:hint="cs"/>
          <w:rtl/>
          <w:lang w:bidi="he-IL"/>
        </w:rPr>
        <w:t>בש"ס (ע"ז ל"ח ע"ב ד"ה אי, חולין ח' ע"ב ד"ה השוחט)</w:t>
      </w:r>
      <w:r w:rsidR="00735332">
        <w:rPr>
          <w:rStyle w:val="FootnoteReference"/>
          <w:rFonts w:cs="Guttman Drogolin"/>
          <w:rtl/>
          <w:lang w:bidi="he-IL"/>
        </w:rPr>
        <w:footnoteReference w:id="581"/>
      </w:r>
      <w:r w:rsidR="00D30829" w:rsidRPr="00882F11">
        <w:rPr>
          <w:rFonts w:cs="Guttman Drogolin" w:hint="cs"/>
          <w:rtl/>
          <w:lang w:bidi="he-IL"/>
        </w:rPr>
        <w:t xml:space="preserve"> שיש לנו כלל דסתם כלים אינן בני יומן. והתוס' (בע"ז שם) הוכיחו את זה מדהתירו שליקא ושמן ועוד מאכלים של עכו"ם ולא חששו לזה שבישלו אותם בכלים בני יומן. וע"כ דהיינו משום דסתמא דמילתא שאינן בני יומן. ותוס' ביארנו הטעם דנקטינן הכי "</w:t>
      </w:r>
      <w:r w:rsidR="00D30829" w:rsidRPr="00882F11">
        <w:rPr>
          <w:rFonts w:cs="Guttman Drogolin"/>
          <w:rtl/>
          <w:lang w:bidi="he-IL"/>
        </w:rPr>
        <w:t>לפי שהוא ספק ספיקא ספק נשתמשו בו היום או אתמול ואפי' נשתמשו בו היום שמא נשתמשו בו דבר שהוא פוגם בעין או דבר שאין נותן טעם</w:t>
      </w:r>
      <w:r w:rsidR="003B1B66" w:rsidRPr="00882F11">
        <w:rPr>
          <w:rFonts w:cs="Guttman Drogolin" w:hint="cs"/>
          <w:rtl/>
          <w:lang w:bidi="he-IL"/>
        </w:rPr>
        <w:t>". וע' גם ברא"ש (פ"ב סי' ל"ה) שהביא כה"ג, והוס</w:t>
      </w:r>
      <w:r w:rsidR="00AA3508" w:rsidRPr="00882F11">
        <w:rPr>
          <w:rFonts w:cs="Guttman Drogolin" w:hint="cs"/>
          <w:rtl/>
          <w:lang w:bidi="he-IL"/>
        </w:rPr>
        <w:t>י</w:t>
      </w:r>
      <w:r w:rsidR="003B1B66" w:rsidRPr="00882F11">
        <w:rPr>
          <w:rFonts w:cs="Guttman Drogolin" w:hint="cs"/>
          <w:rtl/>
          <w:lang w:bidi="he-IL"/>
        </w:rPr>
        <w:t>ף להקשות "</w:t>
      </w:r>
      <w:r w:rsidR="003B1B66" w:rsidRPr="00882F11">
        <w:rPr>
          <w:rFonts w:cs="Guttman Drogolin"/>
          <w:rtl/>
          <w:lang w:bidi="he-IL"/>
        </w:rPr>
        <w:t>וא"ת וליטעמיה קפילא וי"ל כיון דספק ספיקא הוא לא הטריחו חכמים להטעימו לקפילא</w:t>
      </w:r>
      <w:r w:rsidR="003B1B66" w:rsidRPr="00882F11">
        <w:rPr>
          <w:rFonts w:cs="Guttman Drogolin" w:hint="cs"/>
          <w:rtl/>
          <w:lang w:bidi="he-IL"/>
        </w:rPr>
        <w:t>"</w:t>
      </w:r>
      <w:r w:rsidR="00890FA6" w:rsidRPr="00882F11">
        <w:rPr>
          <w:rFonts w:cs="Guttman Drogolin" w:hint="cs"/>
          <w:rtl/>
          <w:lang w:bidi="he-IL"/>
        </w:rPr>
        <w:t xml:space="preserve">. ומכאן הוכיח הגר"א בסי' ק"י ס"ק ל"ח שאין צורך לברר היכא שיש להתיר מפני ספק ספיקא. וע' בחי' מהר"י שפירא שדחה הראי' מן הגמ' (אבל לא מן הרא"ש) שי"ל שאפילו קפילא אינו בירור גמור רק כמו חזקה וא"כ לא מתברר ממש ע"י קפילא, ולא הטריחוהו לברר היכא שאינו מתברר בירור גמור, אבל לעולם כשמתברר בירור גמור איכא למימר שחייב לברר.  </w:t>
      </w:r>
      <w:r w:rsidR="003B1B66" w:rsidRPr="00882F11">
        <w:rPr>
          <w:rFonts w:cs="Guttman Drogolin" w:hint="cs"/>
          <w:rtl/>
          <w:lang w:bidi="he-IL"/>
        </w:rPr>
        <w:t xml:space="preserve"> </w:t>
      </w:r>
    </w:p>
    <w:p w:rsidR="00890FA6" w:rsidRPr="00882F11" w:rsidRDefault="003B1B66" w:rsidP="00AC0054">
      <w:pPr>
        <w:tabs>
          <w:tab w:val="right" w:pos="7497"/>
        </w:tabs>
        <w:bidi/>
        <w:jc w:val="both"/>
        <w:rPr>
          <w:rFonts w:cs="Guttman Drogolin"/>
          <w:rtl/>
          <w:lang w:bidi="he-IL"/>
        </w:rPr>
      </w:pPr>
      <w:r w:rsidRPr="00882F11">
        <w:rPr>
          <w:rFonts w:cs="Guttman Drogolin" w:hint="cs"/>
          <w:rtl/>
          <w:lang w:bidi="he-IL"/>
        </w:rPr>
        <w:t>והנה יש כאן מקום עיון, דהגם שהרא"ש ג"כ כתב שהוא ספק ספיקא וא' מן הספיקות דלמא לא השתמשו בה היום, מ"מ כתב מעיקרא "</w:t>
      </w:r>
      <w:r w:rsidRPr="00882F11">
        <w:rPr>
          <w:rFonts w:cs="Guttman Drogolin"/>
          <w:rtl/>
          <w:lang w:bidi="he-IL"/>
        </w:rPr>
        <w:t>ואף על גב דמסתמא העובד כוכבים משתמשין בכליהם בכל יום</w:t>
      </w:r>
      <w:r w:rsidRPr="00882F11">
        <w:rPr>
          <w:rFonts w:cs="Guttman Drogolin" w:hint="cs"/>
          <w:rtl/>
          <w:lang w:bidi="he-IL"/>
        </w:rPr>
        <w:t>".</w:t>
      </w:r>
      <w:r w:rsidR="00890FA6" w:rsidRPr="00882F11">
        <w:rPr>
          <w:rFonts w:cs="Guttman Drogolin" w:hint="cs"/>
          <w:rtl/>
          <w:lang w:bidi="he-IL"/>
        </w:rPr>
        <w:t xml:space="preserve"> ולכאורה א"כ אין כאן ספק של בן יומו, דמסתמא בן יומו הוא. </w:t>
      </w:r>
      <w:r w:rsidR="003E12DB" w:rsidRPr="00882F11">
        <w:rPr>
          <w:rFonts w:cs="Guttman Drogolin" w:hint="cs"/>
          <w:rtl/>
          <w:lang w:bidi="he-IL"/>
        </w:rPr>
        <w:t xml:space="preserve">וע' גם בב"י בשם הרמב"ן שסכין אע"ג דתדירא תשמישתי' מ"מ אמרינן דסתמו אינו בן יומו. </w:t>
      </w:r>
      <w:r w:rsidR="00AC0054" w:rsidRPr="00882F11">
        <w:rPr>
          <w:rFonts w:cs="Guttman Drogolin" w:hint="cs"/>
          <w:rtl/>
          <w:lang w:bidi="he-IL"/>
        </w:rPr>
        <w:t xml:space="preserve">ונראה לכאורה שזוהי קושיית המאירי על שיטה זו. </w:t>
      </w:r>
      <w:r w:rsidR="007942A8" w:rsidRPr="00882F11">
        <w:rPr>
          <w:rFonts w:cs="Guttman Drogolin" w:hint="cs"/>
          <w:rtl/>
          <w:lang w:bidi="he-IL"/>
        </w:rPr>
        <w:t xml:space="preserve">ולכאורה חזינן </w:t>
      </w:r>
      <w:r w:rsidR="00AC0054" w:rsidRPr="00882F11">
        <w:rPr>
          <w:rFonts w:cs="Guttman Drogolin" w:hint="cs"/>
          <w:rtl/>
          <w:lang w:bidi="he-IL"/>
        </w:rPr>
        <w:t>לדעת המתירין</w:t>
      </w:r>
      <w:r w:rsidR="007942A8" w:rsidRPr="00882F11">
        <w:rPr>
          <w:rFonts w:cs="Guttman Drogolin" w:hint="cs"/>
          <w:rtl/>
          <w:lang w:bidi="he-IL"/>
        </w:rPr>
        <w:t xml:space="preserve"> </w:t>
      </w:r>
      <w:r w:rsidR="00AC0054" w:rsidRPr="00882F11">
        <w:rPr>
          <w:rFonts w:cs="Guttman Drogolin" w:hint="cs"/>
          <w:rtl/>
          <w:lang w:bidi="he-IL"/>
        </w:rPr>
        <w:t>ש</w:t>
      </w:r>
      <w:r w:rsidR="007942A8" w:rsidRPr="00882F11">
        <w:rPr>
          <w:rFonts w:cs="Guttman Drogolin" w:hint="cs"/>
          <w:rtl/>
          <w:lang w:bidi="he-IL"/>
        </w:rPr>
        <w:t xml:space="preserve">גם דבר שנחשב מסתמא מ"מ חזי לאיצטרופי לספק ספיקא. וכה"ג ראינו בחי' רע"א </w:t>
      </w:r>
      <w:r w:rsidR="007942A8" w:rsidRPr="00882F11">
        <w:rPr>
          <w:rFonts w:cs="Guttman Drogolin" w:hint="cs"/>
          <w:rtl/>
          <w:lang w:bidi="he-IL"/>
        </w:rPr>
        <w:lastRenderedPageBreak/>
        <w:t xml:space="preserve">למס' נדה דף י"ד ע"א על רש"י ד"ה </w:t>
      </w:r>
      <w:r w:rsidR="009D6B64" w:rsidRPr="00882F11">
        <w:rPr>
          <w:rFonts w:cs="Guttman Drogolin" w:hint="cs"/>
          <w:rtl/>
          <w:lang w:bidi="he-IL"/>
        </w:rPr>
        <w:t>ולמחר</w:t>
      </w:r>
      <w:r w:rsidR="007942A8" w:rsidRPr="00882F11">
        <w:rPr>
          <w:rFonts w:cs="Guttman Drogolin" w:hint="cs"/>
          <w:rtl/>
          <w:lang w:bidi="he-IL"/>
        </w:rPr>
        <w:t xml:space="preserve">. </w:t>
      </w:r>
      <w:r w:rsidR="00FC0225" w:rsidRPr="00882F11">
        <w:rPr>
          <w:rFonts w:cs="Guttman Drogolin" w:hint="cs"/>
          <w:rtl/>
          <w:lang w:bidi="he-IL"/>
        </w:rPr>
        <w:t>וע' גם בחכמ"א כלל נ"ה סע' ח'.</w:t>
      </w:r>
    </w:p>
    <w:p w:rsidR="00EF5EDD" w:rsidRPr="00882F11" w:rsidRDefault="00EF5EDD" w:rsidP="0030727B">
      <w:pPr>
        <w:tabs>
          <w:tab w:val="right" w:pos="7497"/>
        </w:tabs>
        <w:bidi/>
        <w:jc w:val="both"/>
        <w:rPr>
          <w:rFonts w:cs="Guttman Drogolin"/>
          <w:rtl/>
          <w:lang w:bidi="he-IL"/>
        </w:rPr>
      </w:pPr>
      <w:r w:rsidRPr="00882F11">
        <w:rPr>
          <w:rFonts w:cs="Guttman Drogolin" w:hint="cs"/>
          <w:rtl/>
          <w:lang w:bidi="he-IL"/>
        </w:rPr>
        <w:t xml:space="preserve">ויעוין בפת"ש יו"ד סי' קכ"ב ס"ק ד' מחלוקת כשהדבר ידוע שמשתמשים בהם כל יום אם עדיין בכלל דינא דסתם כלים או לא. ולכאורה משמע מדברי הראשונים הנ"ל דאע"ג דסתמא דמילתא משתמשים בהם כל יום מ"מ הרי זה בכלל ספק עד שידוע לך חרת ומצטרף לספק ספיקא. </w:t>
      </w:r>
      <w:r w:rsidR="0030727B" w:rsidRPr="00882F11">
        <w:rPr>
          <w:rFonts w:cs="Guttman Drogolin" w:hint="cs"/>
          <w:rtl/>
          <w:lang w:bidi="he-IL"/>
        </w:rPr>
        <w:t xml:space="preserve">ומ"מ כן נראה לכאורה הסכמת הפוסקים לאסור בזה </w:t>
      </w:r>
      <w:r w:rsidR="0030727B" w:rsidRPr="00882F11">
        <w:rPr>
          <w:rFonts w:cs="Guttman Drogolin"/>
          <w:rtl/>
          <w:lang w:bidi="he-IL"/>
        </w:rPr>
        <w:t>–</w:t>
      </w:r>
      <w:r w:rsidR="0030727B" w:rsidRPr="00882F11">
        <w:rPr>
          <w:rFonts w:cs="Guttman Drogolin" w:hint="cs"/>
          <w:rtl/>
          <w:lang w:bidi="he-IL"/>
        </w:rPr>
        <w:t xml:space="preserve"> ע' פר"ח או"ח סי' תמ"ז ס"ק ה' וערוה"ש כאן סע' ט"ז. ודבר זה נוגע לכגון קפה במטוס, שסתמא דמילתא הרי הוא בן יומו אם הדיחו אותו בכלים אחרים</w:t>
      </w:r>
      <w:r w:rsidR="0030727B" w:rsidRPr="00882F11">
        <w:rPr>
          <w:rStyle w:val="FootnoteReference"/>
          <w:rFonts w:cs="Guttman Drogolin"/>
          <w:rtl/>
          <w:lang w:bidi="he-IL"/>
        </w:rPr>
        <w:footnoteReference w:id="582"/>
      </w:r>
      <w:r w:rsidR="0030727B" w:rsidRPr="00882F11">
        <w:rPr>
          <w:rFonts w:cs="Guttman Drogolin" w:hint="cs"/>
          <w:rtl/>
          <w:lang w:bidi="he-IL"/>
        </w:rPr>
        <w:t>, וכן בחנות קפה יתכן שבישלו בה קפה שאינו כשר. וראיתי מ'</w:t>
      </w:r>
      <w:r w:rsidR="0030727B" w:rsidRPr="00882F11">
        <w:rPr>
          <w:rFonts w:cs="Guttman Drogolin"/>
          <w:rtl/>
          <w:lang w:bidi="he-IL"/>
        </w:rPr>
        <w:tab/>
        <w:t>דף הכשרות</w:t>
      </w:r>
      <w:r w:rsidR="0030727B" w:rsidRPr="00882F11">
        <w:rPr>
          <w:rFonts w:cs="Guttman Drogolin" w:hint="cs"/>
          <w:rtl/>
          <w:lang w:bidi="he-IL"/>
        </w:rPr>
        <w:t>'</w:t>
      </w:r>
      <w:r w:rsidR="0030727B" w:rsidRPr="00882F11">
        <w:rPr>
          <w:rFonts w:cs="Guttman Drogolin"/>
          <w:rtl/>
          <w:lang w:bidi="he-IL"/>
        </w:rPr>
        <w:t xml:space="preserve"> (ח"כ מספר י' עמ' נ"ג</w:t>
      </w:r>
      <w:r w:rsidR="0030727B" w:rsidRPr="00882F11">
        <w:rPr>
          <w:rFonts w:cs="Guttman Drogolin" w:hint="cs"/>
          <w:rtl/>
          <w:lang w:bidi="he-IL"/>
        </w:rPr>
        <w:t>) בשם הגר"י בלסקי שעדיף לא לשתות מן הצלוחית הגשה</w:t>
      </w:r>
      <w:r w:rsidR="0030727B" w:rsidRPr="00882F11">
        <w:rPr>
          <w:rStyle w:val="FootnoteReference"/>
          <w:rFonts w:cs="Guttman Drogolin"/>
          <w:rtl/>
          <w:lang w:bidi="he-IL"/>
        </w:rPr>
        <w:footnoteReference w:id="583"/>
      </w:r>
      <w:r w:rsidR="0030727B" w:rsidRPr="00882F11">
        <w:rPr>
          <w:rFonts w:cs="Guttman Drogolin" w:hint="cs"/>
          <w:rtl/>
          <w:lang w:bidi="he-IL"/>
        </w:rPr>
        <w:t>, אבל אפשר לקחת מן מקום איחסון של קפה שבחלק האחורית של המטוס שאין מדיחין אותו עם שאר הכלים.</w:t>
      </w:r>
    </w:p>
    <w:p w:rsidR="001A026B" w:rsidRPr="00882F11" w:rsidRDefault="00890FA6" w:rsidP="001A026B">
      <w:pPr>
        <w:tabs>
          <w:tab w:val="right" w:pos="7497"/>
        </w:tabs>
        <w:bidi/>
        <w:jc w:val="both"/>
        <w:rPr>
          <w:rFonts w:cs="Guttman Drogolin"/>
          <w:rtl/>
          <w:lang w:bidi="he-IL"/>
        </w:rPr>
      </w:pPr>
      <w:r w:rsidRPr="00882F11">
        <w:rPr>
          <w:rFonts w:cs="Guttman Drogolin" w:hint="cs"/>
          <w:rtl/>
          <w:lang w:bidi="he-IL"/>
        </w:rPr>
        <w:t>ולכאורה הי' מקום לפקפק על ההיתר של ספק ספיקא, דהא עיקר הספק אינו אלא אם נותן טעם לשבח, וא"כ כולהו חדא ספיקא נינהו, דומיא דמש"כ התוס' במס' כתובות דד"ה ואי דספק אונס ספק רצון ואת"ל רצון הוי ספק פחותה מבת ג' אינו ספק ספיקא משום</w:t>
      </w:r>
      <w:r w:rsidRPr="00882F11">
        <w:rPr>
          <w:rFonts w:cs="Guttman Drogolin"/>
          <w:rtl/>
          <w:lang w:bidi="he-IL"/>
        </w:rPr>
        <w:t xml:space="preserve"> </w:t>
      </w:r>
      <w:r w:rsidRPr="00882F11">
        <w:rPr>
          <w:rFonts w:cs="Guttman Drogolin" w:hint="cs"/>
          <w:rtl/>
          <w:lang w:bidi="he-IL"/>
        </w:rPr>
        <w:t>"</w:t>
      </w:r>
      <w:r w:rsidRPr="00882F11">
        <w:rPr>
          <w:rFonts w:cs="Guttman Drogolin"/>
          <w:rtl/>
          <w:lang w:bidi="he-IL"/>
        </w:rPr>
        <w:t>דשם אונס חד הוא</w:t>
      </w:r>
      <w:r w:rsidRPr="00882F11">
        <w:rPr>
          <w:rFonts w:cs="Guttman Drogolin" w:hint="cs"/>
          <w:rtl/>
          <w:lang w:bidi="he-IL"/>
        </w:rPr>
        <w:t xml:space="preserve">". </w:t>
      </w:r>
      <w:r w:rsidR="009D6B64" w:rsidRPr="00882F11">
        <w:rPr>
          <w:rFonts w:cs="Guttman Drogolin" w:hint="cs"/>
          <w:rtl/>
          <w:lang w:bidi="he-IL"/>
        </w:rPr>
        <w:t>וע' בכללי ספק ספיקא לש"ך כלל י"ב שהוכיח מספק ספיקא דסתם כלים אינן בני יומן דעד כאן לא אמרינן שם חד הוא אלא כששניהם מתירים בשוה, אבל אם ספק א' מתיר יותר מן השני, אמירנן דהוו ב' ספיקי ומצטרפין לספק ספיקא.</w:t>
      </w:r>
    </w:p>
    <w:p w:rsidR="007830D7" w:rsidRPr="00882F11" w:rsidRDefault="001A026B" w:rsidP="007631D5">
      <w:pPr>
        <w:tabs>
          <w:tab w:val="right" w:pos="7497"/>
        </w:tabs>
        <w:bidi/>
        <w:jc w:val="both"/>
        <w:rPr>
          <w:rFonts w:cs="Guttman Drogolin"/>
          <w:rtl/>
          <w:lang w:bidi="he-IL"/>
        </w:rPr>
      </w:pPr>
      <w:r w:rsidRPr="00882F11">
        <w:rPr>
          <w:rFonts w:cs="Guttman Drogolin" w:hint="cs"/>
          <w:rtl/>
          <w:lang w:bidi="he-IL"/>
        </w:rPr>
        <w:t>ובהגהות רע"א ל</w:t>
      </w:r>
      <w:r w:rsidR="007830D7" w:rsidRPr="00882F11">
        <w:rPr>
          <w:rFonts w:cs="Guttman Drogolin" w:hint="cs"/>
          <w:rtl/>
          <w:lang w:bidi="he-IL"/>
        </w:rPr>
        <w:t xml:space="preserve">יו"ד </w:t>
      </w:r>
      <w:r w:rsidRPr="00882F11">
        <w:rPr>
          <w:rFonts w:cs="Guttman Drogolin" w:hint="cs"/>
          <w:rtl/>
          <w:lang w:bidi="he-IL"/>
        </w:rPr>
        <w:t>סי' פ"ז סע' ו' הביא שיש מחלוקת בין הרא"ש לרשב"א בטעם דאמרינן שסתם כלים אינם בני יומן. סברת הרא"ש כנ"ל.</w:t>
      </w:r>
      <w:r w:rsidR="00205274" w:rsidRPr="00882F11">
        <w:rPr>
          <w:rFonts w:cs="Guttman Drogolin" w:hint="cs"/>
          <w:rtl/>
          <w:lang w:bidi="he-IL"/>
        </w:rPr>
        <w:t xml:space="preserve"> וסברת</w:t>
      </w:r>
      <w:r w:rsidR="007631D5" w:rsidRPr="00882F11">
        <w:rPr>
          <w:rFonts w:cs="Guttman Drogolin" w:hint="cs"/>
          <w:rtl/>
          <w:lang w:bidi="he-IL"/>
        </w:rPr>
        <w:t xml:space="preserve"> הרשב"א סי' תצ"ז שיש ספק ספיקא </w:t>
      </w:r>
      <w:r w:rsidR="007631D5" w:rsidRPr="00882F11">
        <w:rPr>
          <w:rFonts w:cs="Guttman Drogolin" w:hint="cs"/>
          <w:rtl/>
          <w:lang w:bidi="he-IL"/>
        </w:rPr>
        <w:lastRenderedPageBreak/>
        <w:t xml:space="preserve">אחרת, והוא </w:t>
      </w:r>
      <w:r w:rsidR="007631D5" w:rsidRPr="00882F11">
        <w:rPr>
          <w:rFonts w:cs="Guttman Drogolin"/>
          <w:rtl/>
          <w:lang w:bidi="he-IL"/>
        </w:rPr>
        <w:t>ספק לא בישל כלל ו</w:t>
      </w:r>
      <w:r w:rsidR="007631D5" w:rsidRPr="00882F11">
        <w:rPr>
          <w:rFonts w:cs="Guttman Drogolin" w:hint="cs"/>
          <w:rtl/>
          <w:lang w:bidi="he-IL"/>
        </w:rPr>
        <w:t xml:space="preserve">את"ל בישל שמא ל בישל בה אלא מים. ובפנים בדברי הרשב"א מבואר דאיכא תלתא ספיקי, שתים הנ"ל, ועוד ספק דלמא בישל בדברים הפוגמים. וע"ש שרצה לומר שיש נפק"מ במחלוקת זה לענין קדרה של נכרי הנמצא ע"ג האש האם מותר לחתות אש מתחת לקדירה או שצריך לחוש אולי עובר אאיסור מבשל בשר בחלב. ולא ירדתי לסוף דעתו למה הוא תלוי בזה וכמו שהערנו בשיעורים לסי' פ"ז. ועוד דלדעתי הקלושה והרטושה הי' נראה להיפך, שעיקר הספק ספיקא של הרשב"א אינו מבואר למה לא הוי ספק א', ולכאורה לא שייך כלל דברי הש"ך הנ"ל לשיטתו. וצ"ע. </w:t>
      </w:r>
    </w:p>
    <w:p w:rsidR="00232D4E" w:rsidRPr="00882F11" w:rsidRDefault="007830D7" w:rsidP="007830D7">
      <w:pPr>
        <w:tabs>
          <w:tab w:val="right" w:pos="7497"/>
        </w:tabs>
        <w:bidi/>
        <w:jc w:val="both"/>
        <w:rPr>
          <w:rFonts w:cs="Guttman Drogolin"/>
          <w:rtl/>
          <w:lang w:bidi="he-IL"/>
        </w:rPr>
      </w:pPr>
      <w:r w:rsidRPr="00882F11">
        <w:rPr>
          <w:rFonts w:cs="Guttman Drogolin" w:hint="cs"/>
          <w:rtl/>
          <w:lang w:bidi="he-IL"/>
        </w:rPr>
        <w:t xml:space="preserve">ובעיקר האי ספק ספיקא יש מקום עיון, חדא שלכאורה יוצא שבאמת אין לנו חזקה דסתם כלים אינן בני יומן, </w:t>
      </w:r>
      <w:r w:rsidR="004A3E81" w:rsidRPr="00882F11">
        <w:rPr>
          <w:rFonts w:cs="Guttman Drogolin" w:hint="cs"/>
          <w:rtl/>
          <w:lang w:bidi="he-IL"/>
        </w:rPr>
        <w:t xml:space="preserve">רק שיש ללומר שאינו אוסר התבשיל כיון שיש ספק ספיקא להיתירא לומר שהוא נטל"פ או שלכה"פ אינו נותן טעם לשבח בטעם האוסר. וא"כ למה אמרו הראשונים שכלל הדברים דאמרינן דסתם כלים אינן בני יומן. ועוד צ"ע לשונם של התוס' הנ"ל, שנראה משמעות לשונו שאין כאן אלא ב' ספיקות, מ"מ כלל בספק השני דבר שהיא באמת ב' ספיקות נפרדות, חדא דאולי הוא דבר הפוגם, וכן אולי אינו נותן טעם כלל. וצ"ע למה לא אמרו ספק זה עצמו. </w:t>
      </w:r>
      <w:r w:rsidRPr="00882F11">
        <w:rPr>
          <w:rFonts w:cs="Guttman Drogolin" w:hint="cs"/>
          <w:rtl/>
          <w:lang w:bidi="he-IL"/>
        </w:rPr>
        <w:t xml:space="preserve"> </w:t>
      </w:r>
      <w:r w:rsidR="007631D5" w:rsidRPr="00882F11">
        <w:rPr>
          <w:rFonts w:cs="Guttman Drogolin" w:hint="cs"/>
          <w:rtl/>
          <w:lang w:bidi="he-IL"/>
        </w:rPr>
        <w:t xml:space="preserve">  </w:t>
      </w:r>
      <w:r w:rsidR="007631D5" w:rsidRPr="00882F11">
        <w:rPr>
          <w:rFonts w:cs="Guttman Drogolin"/>
          <w:rtl/>
          <w:lang w:bidi="he-IL"/>
        </w:rPr>
        <w:t xml:space="preserve"> </w:t>
      </w:r>
      <w:r w:rsidR="00205274" w:rsidRPr="00882F11">
        <w:rPr>
          <w:rFonts w:cs="Guttman Drogolin" w:hint="cs"/>
          <w:rtl/>
          <w:lang w:bidi="he-IL"/>
        </w:rPr>
        <w:t xml:space="preserve"> </w:t>
      </w:r>
    </w:p>
    <w:p w:rsidR="004A3E81" w:rsidRPr="00882F11" w:rsidRDefault="00232D4E" w:rsidP="00E8064F">
      <w:pPr>
        <w:tabs>
          <w:tab w:val="right" w:pos="7497"/>
        </w:tabs>
        <w:bidi/>
        <w:jc w:val="both"/>
        <w:rPr>
          <w:rFonts w:cs="Guttman Drogolin"/>
          <w:rtl/>
          <w:lang w:bidi="he-IL"/>
        </w:rPr>
      </w:pPr>
      <w:r w:rsidRPr="00882F11">
        <w:rPr>
          <w:rFonts w:cs="Guttman Drogolin" w:hint="cs"/>
          <w:rtl/>
          <w:lang w:bidi="he-IL"/>
        </w:rPr>
        <w:t xml:space="preserve">וראיתי בשו"ת רדב"ז </w:t>
      </w:r>
      <w:r w:rsidR="00A82F4A" w:rsidRPr="00882F11">
        <w:rPr>
          <w:rFonts w:cs="Guttman Drogolin" w:hint="cs"/>
          <w:rtl/>
          <w:lang w:bidi="he-IL"/>
        </w:rPr>
        <w:t>(</w:t>
      </w:r>
      <w:r w:rsidR="00A82F4A" w:rsidRPr="00882F11">
        <w:rPr>
          <w:rFonts w:cs="Guttman Drogolin"/>
          <w:rtl/>
          <w:lang w:bidi="he-IL"/>
        </w:rPr>
        <w:t>חלק ו</w:t>
      </w:r>
      <w:r w:rsidR="007631D5" w:rsidRPr="00882F11">
        <w:rPr>
          <w:rFonts w:cs="Guttman Drogolin" w:hint="cs"/>
          <w:rtl/>
          <w:lang w:bidi="he-IL"/>
        </w:rPr>
        <w:t>'</w:t>
      </w:r>
      <w:r w:rsidR="00A82F4A" w:rsidRPr="00882F11">
        <w:rPr>
          <w:rFonts w:cs="Guttman Drogolin"/>
          <w:rtl/>
          <w:lang w:bidi="he-IL"/>
        </w:rPr>
        <w:t xml:space="preserve"> סימן ב</w:t>
      </w:r>
      <w:r w:rsidR="007631D5" w:rsidRPr="00882F11">
        <w:rPr>
          <w:rFonts w:cs="Guttman Drogolin" w:hint="cs"/>
          <w:rtl/>
          <w:lang w:bidi="he-IL"/>
        </w:rPr>
        <w:t>'</w:t>
      </w:r>
      <w:r w:rsidR="00A82F4A" w:rsidRPr="00882F11">
        <w:rPr>
          <w:rFonts w:cs="Guttman Drogolin" w:hint="cs"/>
          <w:rtl/>
          <w:lang w:bidi="he-IL"/>
        </w:rPr>
        <w:t xml:space="preserve"> / </w:t>
      </w:r>
      <w:r w:rsidR="00A82F4A" w:rsidRPr="00882F11">
        <w:rPr>
          <w:rFonts w:cs="Guttman Drogolin"/>
          <w:rtl/>
          <w:lang w:bidi="he-IL"/>
        </w:rPr>
        <w:t>אלפים ר</w:t>
      </w:r>
      <w:r w:rsidR="00A82F4A" w:rsidRPr="00882F11">
        <w:rPr>
          <w:rFonts w:cs="Guttman Drogolin" w:hint="cs"/>
          <w:rtl/>
          <w:lang w:bidi="he-IL"/>
        </w:rPr>
        <w:t>"</w:t>
      </w:r>
      <w:r w:rsidR="00A82F4A" w:rsidRPr="00882F11">
        <w:rPr>
          <w:rFonts w:cs="Guttman Drogolin"/>
          <w:rtl/>
          <w:lang w:bidi="he-IL"/>
        </w:rPr>
        <w:t>ה</w:t>
      </w:r>
      <w:r w:rsidR="00A82F4A" w:rsidRPr="00882F11">
        <w:rPr>
          <w:rFonts w:cs="Guttman Drogolin" w:hint="cs"/>
          <w:rtl/>
          <w:lang w:bidi="he-IL"/>
        </w:rPr>
        <w:t xml:space="preserve">) </w:t>
      </w:r>
      <w:r w:rsidRPr="00882F11">
        <w:rPr>
          <w:rFonts w:cs="Guttman Drogolin" w:hint="cs"/>
          <w:rtl/>
          <w:lang w:bidi="he-IL"/>
        </w:rPr>
        <w:t>שהקשה שא</w:t>
      </w:r>
      <w:r w:rsidR="00273360" w:rsidRPr="00882F11">
        <w:rPr>
          <w:rFonts w:cs="Guttman Drogolin" w:hint="cs"/>
          <w:rtl/>
          <w:lang w:bidi="he-IL"/>
        </w:rPr>
        <w:t>ם</w:t>
      </w:r>
      <w:r w:rsidRPr="00882F11">
        <w:rPr>
          <w:rFonts w:cs="Guttman Drogolin" w:hint="cs"/>
          <w:rtl/>
          <w:lang w:bidi="he-IL"/>
        </w:rPr>
        <w:t xml:space="preserve"> הדין הוא דסתם כלים אינם בני יומן, למה היו צריכים להכשיר כלי מדין לדידן דקיי"ל שלא אסרה תורה אלא כלי בת יומה בלבד, הא סתם כלים שמצאו לא ביו בני יומן ולא היו צריכים הכשר. ותי' משום שאפילו אין בת יומה מ"מ אסור לבטשל בה לכתחילה כיון שמבטל איסו</w:t>
      </w:r>
      <w:r w:rsidR="007631D5" w:rsidRPr="00882F11">
        <w:rPr>
          <w:rFonts w:cs="Guttman Drogolin" w:hint="cs"/>
          <w:rtl/>
          <w:lang w:bidi="he-IL"/>
        </w:rPr>
        <w:t>ר</w:t>
      </w:r>
      <w:r w:rsidRPr="00882F11">
        <w:rPr>
          <w:rFonts w:cs="Guttman Drogolin" w:hint="cs"/>
          <w:rtl/>
          <w:lang w:bidi="he-IL"/>
        </w:rPr>
        <w:t xml:space="preserve"> לכתחילה. </w:t>
      </w:r>
      <w:r w:rsidR="005E52AF" w:rsidRPr="00882F11">
        <w:rPr>
          <w:rFonts w:cs="Guttman Drogolin" w:hint="cs"/>
          <w:rtl/>
          <w:lang w:bidi="he-IL"/>
        </w:rPr>
        <w:t xml:space="preserve">ויש בדבריו תרי תמיהי לעוק"ד. חדא דעיקר קושייתו לא הבנתי, דמה"ת שכל הכלים שמצאו היו סתם כלים, הא שפיר י"ל דלמ"ד נטל"פ מותר, ולדידי' לא אסרה תורה כל </w:t>
      </w:r>
      <w:r w:rsidR="005E52AF" w:rsidRPr="00882F11">
        <w:rPr>
          <w:rFonts w:cs="Guttman Drogolin" w:hint="cs"/>
          <w:rtl/>
          <w:lang w:bidi="he-IL"/>
        </w:rPr>
        <w:lastRenderedPageBreak/>
        <w:t xml:space="preserve">הכלים, רק הכלים שהם בני יומן בלבד, דאה"נ וגם הסתם כלים שמצאו לא היו חייבים בהכשר כלים, והתורה מיירי בכלים שידעו שהיו בני יומן, וכגון שמצאו נבילות </w:t>
      </w:r>
      <w:r w:rsidR="00E8064F" w:rsidRPr="00882F11">
        <w:rPr>
          <w:rFonts w:cs="Guttman Drogolin" w:hint="cs"/>
          <w:rtl/>
          <w:lang w:bidi="he-IL"/>
        </w:rPr>
        <w:t>א</w:t>
      </w:r>
      <w:r w:rsidR="005E52AF" w:rsidRPr="00882F11">
        <w:rPr>
          <w:rFonts w:cs="Guttman Drogolin" w:hint="cs"/>
          <w:rtl/>
          <w:lang w:bidi="he-IL"/>
        </w:rPr>
        <w:t>ו</w:t>
      </w:r>
      <w:r w:rsidR="00E8064F" w:rsidRPr="00882F11">
        <w:rPr>
          <w:rFonts w:cs="Guttman Drogolin" w:hint="cs"/>
          <w:rtl/>
          <w:lang w:bidi="he-IL"/>
        </w:rPr>
        <w:t xml:space="preserve"> </w:t>
      </w:r>
      <w:r w:rsidR="005E52AF" w:rsidRPr="00882F11">
        <w:rPr>
          <w:rFonts w:cs="Guttman Drogolin" w:hint="cs"/>
          <w:rtl/>
          <w:lang w:bidi="he-IL"/>
        </w:rPr>
        <w:t xml:space="preserve">טריפות </w:t>
      </w:r>
      <w:r w:rsidR="00E8064F" w:rsidRPr="00882F11">
        <w:rPr>
          <w:rFonts w:cs="Guttman Drogolin" w:hint="cs"/>
          <w:rtl/>
          <w:lang w:bidi="he-IL"/>
        </w:rPr>
        <w:t>או ב</w:t>
      </w:r>
      <w:r w:rsidR="005E52AF" w:rsidRPr="00882F11">
        <w:rPr>
          <w:rFonts w:cs="Guttman Drogolin" w:hint="cs"/>
          <w:rtl/>
          <w:lang w:bidi="he-IL"/>
        </w:rPr>
        <w:t xml:space="preserve">המות טמאות </w:t>
      </w:r>
      <w:r w:rsidR="00E8064F" w:rsidRPr="00882F11">
        <w:rPr>
          <w:rFonts w:cs="Guttman Drogolin" w:hint="cs"/>
          <w:rtl/>
          <w:lang w:bidi="he-IL"/>
        </w:rPr>
        <w:t xml:space="preserve">או </w:t>
      </w:r>
      <w:r w:rsidR="005E52AF" w:rsidRPr="00882F11">
        <w:rPr>
          <w:rFonts w:cs="Guttman Drogolin" w:hint="cs"/>
          <w:rtl/>
          <w:lang w:bidi="he-IL"/>
        </w:rPr>
        <w:t xml:space="preserve">שקצים ורמשים מתבשלים בהם בשעת מציאתן. ועוד דתירוצם לכאורה מתנגד לגמ' מפורשת במס' פסחים מ"ד ע"ב, דאיתא התם דלמ"ד טכ"ע מדאורייתא ונטל"פ מותר, צריכים לומר שלא אסרה תורה אלא כלים שהם בני יומן בלבד, ולדברי הרדב"ז הא גם כלים שאינן בני יומן חייבים בהכשר מדאורייתא. והוא תכאורה תמיה רבתי. </w:t>
      </w:r>
    </w:p>
    <w:p w:rsidR="00AA3508" w:rsidRPr="00882F11" w:rsidRDefault="004A3E81" w:rsidP="00AA3508">
      <w:pPr>
        <w:tabs>
          <w:tab w:val="right" w:pos="7497"/>
        </w:tabs>
        <w:bidi/>
        <w:jc w:val="both"/>
        <w:rPr>
          <w:rFonts w:cs="Guttman Drogolin"/>
          <w:rtl/>
          <w:lang w:bidi="he-IL"/>
        </w:rPr>
      </w:pPr>
      <w:r w:rsidRPr="00882F11">
        <w:rPr>
          <w:rFonts w:cs="Guttman Drogolin" w:hint="cs"/>
          <w:rtl/>
          <w:lang w:bidi="he-IL"/>
        </w:rPr>
        <w:t xml:space="preserve">ובעיקר כלל זה, הגם שהתוס' והראשונים הביאו כמה ראיות לדבריהם אינה גמ' מפורשת. ובאמת ע' בב"י יו"ד סי' קכ"ב שרצה לומר ששיטת הרמב"ם שאין הדין כן, ולעולם לא אמרינן דסתם כלים אינן בני יומן. וע"ש שהביא שהרשב"א </w:t>
      </w:r>
      <w:r w:rsidR="00F00B37" w:rsidRPr="00882F11">
        <w:rPr>
          <w:rFonts w:cs="Guttman Drogolin" w:hint="cs"/>
          <w:rtl/>
          <w:lang w:bidi="he-IL"/>
        </w:rPr>
        <w:t xml:space="preserve">(שו"ת ח"ג סי' רמ"ו) </w:t>
      </w:r>
      <w:r w:rsidRPr="00882F11">
        <w:rPr>
          <w:rFonts w:cs="Guttman Drogolin" w:hint="cs"/>
          <w:rtl/>
          <w:lang w:bidi="he-IL"/>
        </w:rPr>
        <w:t xml:space="preserve">סבר שגם הרמב"ם מודה לכלל זה, ומה שפלפל בזה הב"י. </w:t>
      </w:r>
      <w:r w:rsidR="00360764" w:rsidRPr="00882F11">
        <w:rPr>
          <w:rFonts w:cs="Guttman Drogolin" w:hint="cs"/>
          <w:rtl/>
          <w:lang w:bidi="he-IL"/>
        </w:rPr>
        <w:t xml:space="preserve">וע' גם הגהות רע"א שרצה לומר שגם רש"י לא סבירא לי' לכללא דסתם כלים אינן בני יומן. </w:t>
      </w:r>
      <w:r w:rsidR="00FC0225" w:rsidRPr="00882F11">
        <w:rPr>
          <w:rFonts w:cs="Guttman Drogolin" w:hint="cs"/>
          <w:rtl/>
          <w:lang w:bidi="he-IL"/>
        </w:rPr>
        <w:t xml:space="preserve">וע' גם בר"ן למס' ע"ז ף י"ג ע"ב בשם הראב"ד. </w:t>
      </w:r>
      <w:r w:rsidRPr="00882F11">
        <w:rPr>
          <w:rFonts w:cs="Guttman Drogolin" w:hint="cs"/>
          <w:rtl/>
          <w:lang w:bidi="he-IL"/>
        </w:rPr>
        <w:t>ומ"מ להלכה קיי"ל כשיטת שאר הראשונים דאמרינן דס</w:t>
      </w:r>
      <w:r w:rsidR="00747435" w:rsidRPr="00882F11">
        <w:rPr>
          <w:rFonts w:cs="Guttman Drogolin" w:hint="cs"/>
          <w:rtl/>
          <w:lang w:bidi="he-IL"/>
        </w:rPr>
        <w:t>ת</w:t>
      </w:r>
      <w:r w:rsidRPr="00882F11">
        <w:rPr>
          <w:rFonts w:cs="Guttman Drogolin" w:hint="cs"/>
          <w:rtl/>
          <w:lang w:bidi="he-IL"/>
        </w:rPr>
        <w:t>ם</w:t>
      </w:r>
      <w:r w:rsidR="00747435" w:rsidRPr="00882F11">
        <w:rPr>
          <w:rFonts w:cs="Guttman Drogolin" w:hint="cs"/>
          <w:rtl/>
          <w:lang w:bidi="he-IL"/>
        </w:rPr>
        <w:t xml:space="preserve"> </w:t>
      </w:r>
      <w:r w:rsidRPr="00882F11">
        <w:rPr>
          <w:rFonts w:cs="Guttman Drogolin" w:hint="cs"/>
          <w:rtl/>
          <w:lang w:bidi="he-IL"/>
        </w:rPr>
        <w:t>כלים אינן בני יומן.</w:t>
      </w:r>
      <w:r w:rsidR="00747435" w:rsidRPr="00882F11">
        <w:rPr>
          <w:rFonts w:cs="Guttman Drogolin" w:hint="cs"/>
          <w:rtl/>
          <w:lang w:bidi="he-IL"/>
        </w:rPr>
        <w:t xml:space="preserve"> ולענין הראיות שהביאו הראשונים לשיטתם דסתם כלים אינן בני יומן, ע' בחי' המאירי שכתב שלעולם לא אמרינן דסתם כלים אינם בני יומן, אבל סתם מוכר מאכלים משתמש או בכלים מיוחדים או שמדקדק להדיח הכלים היטב כיון שרוצה שיקפצו עליו קונים</w:t>
      </w:r>
      <w:r w:rsidR="00090A5C" w:rsidRPr="00882F11">
        <w:rPr>
          <w:rFonts w:cs="Guttman Drogolin" w:hint="cs"/>
          <w:rtl/>
          <w:lang w:bidi="he-IL"/>
        </w:rPr>
        <w:t>, ולכן מסתמא לא הוו בני יומן, אבל בעלמא שפיר חיישינן לבני יומן</w:t>
      </w:r>
      <w:r w:rsidR="00747435" w:rsidRPr="00882F11">
        <w:rPr>
          <w:rFonts w:cs="Guttman Drogolin" w:hint="cs"/>
          <w:rtl/>
          <w:lang w:bidi="he-IL"/>
        </w:rPr>
        <w:t>.</w:t>
      </w:r>
      <w:r w:rsidR="00AC6EDD" w:rsidRPr="00882F11">
        <w:rPr>
          <w:rFonts w:cs="Guttman Drogolin" w:hint="cs"/>
          <w:rtl/>
          <w:lang w:bidi="he-IL"/>
        </w:rPr>
        <w:t xml:space="preserve"> וכה"ג ביאר גם לענין הראי' שהביא הב"י מדף ע"ה ע"ב, דסתם מיירי בכלים שהעכו"ם מוכרים, ומשו"ה סתמא לא הוו בני יומן, אבל בעלמא חיישינן</w:t>
      </w:r>
      <w:r w:rsidR="00AC6EDD" w:rsidRPr="00882F11">
        <w:rPr>
          <w:rStyle w:val="FootnoteReference"/>
          <w:rFonts w:cs="Guttman Drogolin"/>
          <w:rtl/>
          <w:lang w:bidi="he-IL"/>
        </w:rPr>
        <w:footnoteReference w:id="584"/>
      </w:r>
      <w:r w:rsidR="00AC6EDD" w:rsidRPr="00882F11">
        <w:rPr>
          <w:rFonts w:cs="Guttman Drogolin" w:hint="cs"/>
          <w:rtl/>
          <w:lang w:bidi="he-IL"/>
        </w:rPr>
        <w:t>.</w:t>
      </w:r>
      <w:r w:rsidR="00747435" w:rsidRPr="00882F11">
        <w:rPr>
          <w:rFonts w:cs="Guttman Drogolin" w:hint="cs"/>
          <w:rtl/>
          <w:lang w:bidi="he-IL"/>
        </w:rPr>
        <w:t xml:space="preserve"> </w:t>
      </w:r>
    </w:p>
    <w:p w:rsidR="00747435" w:rsidRPr="00882F11" w:rsidRDefault="00AA3508" w:rsidP="00973BBF">
      <w:pPr>
        <w:tabs>
          <w:tab w:val="right" w:pos="7497"/>
        </w:tabs>
        <w:bidi/>
        <w:jc w:val="both"/>
        <w:rPr>
          <w:rFonts w:cs="Guttman Drogolin"/>
          <w:rtl/>
          <w:lang w:bidi="he-IL"/>
        </w:rPr>
      </w:pPr>
      <w:r w:rsidRPr="00882F11">
        <w:rPr>
          <w:rFonts w:cs="Guttman Drogolin" w:hint="cs"/>
          <w:rtl/>
          <w:lang w:bidi="he-IL"/>
        </w:rPr>
        <w:t xml:space="preserve">ויל"ע מהו יסוד המחלוקת ולמה לית להו למחמירים ספק ספיקא הנ"ל. וראיתי בביאורים </w:t>
      </w:r>
      <w:r w:rsidRPr="00882F11">
        <w:rPr>
          <w:rFonts w:cs="Guttman Drogolin" w:hint="cs"/>
          <w:rtl/>
          <w:lang w:bidi="he-IL"/>
        </w:rPr>
        <w:lastRenderedPageBreak/>
        <w:t>לס' חלקת בנימין (סי' קכ"ב סע' ו') שהביא ממהרלב"ח סי' קכ"א דשאני הכא שהספיקות אינם שקולים, ולכן ליכא ספק ספיקא. ולכאורה היינו דלא כנ"ל מרא"ש ועוד שאין ספיקות שקולות ומ"מ הוי ספק ספיקא. ושם הביא מערך שי לבאר טעם החולקים על הרמב"ם משום דספק דדבר הפוגם מצטרף ע</w:t>
      </w:r>
      <w:r w:rsidR="00973BBF" w:rsidRPr="00882F11">
        <w:rPr>
          <w:rFonts w:cs="Guttman Drogolin" w:hint="cs"/>
          <w:rtl/>
          <w:lang w:bidi="he-IL"/>
        </w:rPr>
        <w:t>ם ספק שאינו נ"ט להיות ספק השקול</w:t>
      </w:r>
      <w:r w:rsidRPr="00882F11">
        <w:rPr>
          <w:rFonts w:cs="Guttman Drogolin" w:hint="cs"/>
          <w:rtl/>
          <w:lang w:bidi="he-IL"/>
        </w:rPr>
        <w:t>.</w:t>
      </w:r>
      <w:r w:rsidR="00973BBF" w:rsidRPr="00882F11">
        <w:rPr>
          <w:rFonts w:cs="Guttman Drogolin" w:hint="cs"/>
          <w:rtl/>
          <w:lang w:bidi="he-IL"/>
        </w:rPr>
        <w:t xml:space="preserve"> ואין הספר תחת ידי, אבל נראין הדברים שכדבריו מדויקים מדברי הרא"ש וכשנ"ת לעיל דמשמע דספק נ"ט וספק פוגם הוו ספק א'. אלא שמ"מ משמעות הדברים שאין צריך לזה אלא גם ספק חלש מצטרף לספק ספיקא. </w:t>
      </w:r>
    </w:p>
    <w:p w:rsidR="004A7B6A" w:rsidRPr="00882F11" w:rsidRDefault="004A7B6A" w:rsidP="004A7B6A">
      <w:pPr>
        <w:pStyle w:val="Heading1"/>
        <w:bidi/>
        <w:spacing w:before="0" w:line="360" w:lineRule="auto"/>
        <w:jc w:val="center"/>
        <w:rPr>
          <w:rFonts w:cs="Guttman Drogolin"/>
          <w:color w:val="auto"/>
          <w:sz w:val="24"/>
          <w:szCs w:val="24"/>
          <w:u w:val="single"/>
          <w:rtl/>
          <w:lang w:bidi="he-IL"/>
        </w:rPr>
      </w:pPr>
      <w:bookmarkStart w:id="550" w:name="_Toc496175787"/>
      <w:r w:rsidRPr="00882F11">
        <w:rPr>
          <w:rFonts w:cs="Guttman Drogolin" w:hint="cs"/>
          <w:color w:val="auto"/>
          <w:sz w:val="24"/>
          <w:szCs w:val="24"/>
          <w:u w:val="single"/>
          <w:rtl/>
          <w:lang w:bidi="he-IL"/>
        </w:rPr>
        <w:t>חימם מים בכלי שאינו בן יומו</w:t>
      </w:r>
      <w:bookmarkEnd w:id="550"/>
    </w:p>
    <w:p w:rsidR="00BD7534" w:rsidRPr="00882F11" w:rsidRDefault="002C53AB" w:rsidP="002B0958">
      <w:pPr>
        <w:tabs>
          <w:tab w:val="right" w:pos="7497"/>
        </w:tabs>
        <w:bidi/>
        <w:jc w:val="both"/>
        <w:rPr>
          <w:rFonts w:cs="Guttman Drogolin"/>
          <w:rtl/>
          <w:lang w:bidi="he-IL"/>
        </w:rPr>
      </w:pPr>
      <w:r>
        <w:rPr>
          <w:rFonts w:cs="Guttman Drogolin"/>
          <w:rtl/>
          <w:lang w:bidi="he-IL"/>
        </w:rPr>
        <w:fldChar w:fldCharType="begin"/>
      </w:r>
      <w:r>
        <w:instrText xml:space="preserve"> XE "</w:instrText>
      </w:r>
      <w:r w:rsidRPr="00582B8A">
        <w:rPr>
          <w:rFonts w:hint="cs"/>
          <w:rtl/>
          <w:lang w:bidi="he-IL"/>
        </w:rPr>
        <w:instrText>נותן טעם לפגם</w:instrText>
      </w:r>
      <w:r w:rsidRPr="00582B8A">
        <w:rPr>
          <w:rtl/>
        </w:rPr>
        <w:instrText>:</w:instrText>
      </w:r>
      <w:r w:rsidRPr="00582B8A">
        <w:rPr>
          <w:rFonts w:hint="cs"/>
          <w:rtl/>
          <w:lang w:bidi="he-IL"/>
        </w:rPr>
        <w:instrText>בישל מים בכלי שאינו בן יומו</w:instrText>
      </w:r>
      <w:r>
        <w:instrText xml:space="preserve">" </w:instrText>
      </w:r>
      <w:r>
        <w:rPr>
          <w:rFonts w:cs="Guttman Drogolin"/>
          <w:rtl/>
          <w:lang w:bidi="he-IL"/>
        </w:rPr>
        <w:fldChar w:fldCharType="end"/>
      </w:r>
      <w:r>
        <w:rPr>
          <w:rFonts w:cs="Guttman Drogolin"/>
          <w:rtl/>
          <w:lang w:bidi="he-IL"/>
        </w:rPr>
        <w:fldChar w:fldCharType="begin"/>
      </w:r>
      <w:r>
        <w:instrText xml:space="preserve"> XE "</w:instrText>
      </w:r>
      <w:r w:rsidRPr="0004020F">
        <w:rPr>
          <w:rFonts w:hint="cs"/>
          <w:rtl/>
          <w:lang w:bidi="he-IL"/>
        </w:rPr>
        <w:instrText>כלי שאינו בן יומו</w:instrText>
      </w:r>
      <w:r w:rsidRPr="0004020F">
        <w:rPr>
          <w:rtl/>
        </w:rPr>
        <w:instrText>:</w:instrText>
      </w:r>
      <w:r w:rsidRPr="0004020F">
        <w:rPr>
          <w:rFonts w:hint="cs"/>
          <w:rtl/>
          <w:lang w:bidi="he-IL"/>
        </w:rPr>
        <w:instrText>הדין כשבישל בה מים</w:instrText>
      </w:r>
      <w:r>
        <w:instrText xml:space="preserve">" </w:instrText>
      </w:r>
      <w:r>
        <w:rPr>
          <w:rFonts w:cs="Guttman Drogolin"/>
          <w:rtl/>
          <w:lang w:bidi="he-IL"/>
        </w:rPr>
        <w:fldChar w:fldCharType="end"/>
      </w:r>
      <w:r w:rsidR="004A7B6A" w:rsidRPr="00882F11">
        <w:rPr>
          <w:rFonts w:cs="Guttman Drogolin" w:hint="cs"/>
          <w:rtl/>
          <w:lang w:bidi="he-IL"/>
        </w:rPr>
        <w:t>הרמ"</w:t>
      </w:r>
      <w:r w:rsidR="0030727B" w:rsidRPr="00882F11">
        <w:rPr>
          <w:rFonts w:cs="Guttman Drogolin" w:hint="cs"/>
          <w:rtl/>
          <w:lang w:bidi="he-IL"/>
        </w:rPr>
        <w:t>א בס</w:t>
      </w:r>
      <w:r w:rsidR="004A7B6A" w:rsidRPr="00882F11">
        <w:rPr>
          <w:rFonts w:cs="Guttman Drogolin" w:hint="cs"/>
          <w:rtl/>
          <w:lang w:bidi="he-IL"/>
        </w:rPr>
        <w:t>י</w:t>
      </w:r>
      <w:r w:rsidR="0030727B" w:rsidRPr="00882F11">
        <w:rPr>
          <w:rFonts w:cs="Guttman Drogolin" w:hint="cs"/>
          <w:rtl/>
          <w:lang w:bidi="he-IL"/>
        </w:rPr>
        <w:t>'</w:t>
      </w:r>
      <w:r w:rsidR="004A7B6A" w:rsidRPr="00882F11">
        <w:rPr>
          <w:rFonts w:cs="Guttman Drogolin" w:hint="cs"/>
          <w:rtl/>
          <w:lang w:bidi="he-IL"/>
        </w:rPr>
        <w:t xml:space="preserve"> כ"ב סע' ו' כתב שאם חימם מים בכלי נכרי שאינו בן יומו </w:t>
      </w:r>
      <w:r w:rsidR="00C53D53" w:rsidRPr="00882F11">
        <w:rPr>
          <w:rFonts w:cs="Guttman Drogolin" w:hint="cs"/>
          <w:rtl/>
          <w:lang w:bidi="he-IL"/>
        </w:rPr>
        <w:t xml:space="preserve">ללוש בהן פת </w:t>
      </w:r>
      <w:r w:rsidR="004A7B6A" w:rsidRPr="00882F11">
        <w:rPr>
          <w:rFonts w:cs="Guttman Drogolin" w:hint="cs"/>
          <w:rtl/>
          <w:lang w:bidi="he-IL"/>
        </w:rPr>
        <w:t>שאסור ל</w:t>
      </w:r>
      <w:r w:rsidR="00C53D53" w:rsidRPr="00882F11">
        <w:rPr>
          <w:rFonts w:cs="Guttman Drogolin" w:hint="cs"/>
          <w:rtl/>
          <w:lang w:bidi="he-IL"/>
        </w:rPr>
        <w:t>לוש</w:t>
      </w:r>
      <w:r w:rsidR="004A7B6A" w:rsidRPr="00882F11">
        <w:rPr>
          <w:rFonts w:cs="Guttman Drogolin" w:hint="cs"/>
          <w:rtl/>
          <w:lang w:bidi="he-IL"/>
        </w:rPr>
        <w:t xml:space="preserve"> </w:t>
      </w:r>
      <w:r w:rsidR="00C53D53" w:rsidRPr="00882F11">
        <w:rPr>
          <w:rFonts w:cs="Guttman Drogolin" w:hint="cs"/>
          <w:rtl/>
          <w:lang w:bidi="he-IL"/>
        </w:rPr>
        <w:t>ב</w:t>
      </w:r>
      <w:r w:rsidR="004A7B6A" w:rsidRPr="00882F11">
        <w:rPr>
          <w:rFonts w:cs="Guttman Drogolin" w:hint="cs"/>
          <w:rtl/>
          <w:lang w:bidi="he-IL"/>
        </w:rPr>
        <w:t xml:space="preserve">מים אלו </w:t>
      </w:r>
      <w:r w:rsidR="00C53D53" w:rsidRPr="00882F11">
        <w:rPr>
          <w:rFonts w:cs="Guttman Drogolin" w:hint="cs"/>
          <w:rtl/>
          <w:lang w:bidi="he-IL"/>
        </w:rPr>
        <w:t>כיון דכה"ג הוי לכתחילה. אבל הוחמו לשתיי' שרי. וא"כ יוצא שמש"כ הרמ"א בסי' צ"ה סע' ג' "והמים נוהגים בהן איסור לכתחילה" הנ"מ בדלא הוחמו לשתיי', אבל הוחמו לשתיי' אין נוהגים איסור אפילו לכתחילה. אמנם יעוין בשפ"ד לסי' צ"ד ס"ק י"ט (ומצוין כאן בהגהות רע"א) שהעיר ממה שמשמע שיש סתירות בדין זה, והביא ממנח"י (נ"ט, ב</w:t>
      </w:r>
      <w:r w:rsidR="005B0ADD" w:rsidRPr="00882F11">
        <w:rPr>
          <w:rFonts w:cs="Guttman Drogolin" w:hint="cs"/>
          <w:rtl/>
          <w:lang w:bidi="he-IL"/>
        </w:rPr>
        <w:t>'</w:t>
      </w:r>
      <w:r w:rsidR="00C53D53" w:rsidRPr="00882F11">
        <w:rPr>
          <w:rFonts w:cs="Guttman Drogolin" w:hint="cs"/>
          <w:rtl/>
          <w:lang w:bidi="he-IL"/>
        </w:rPr>
        <w:t>) שאסר מספק, והוא חילק בין כלי נכרי שאינו שכיח ולכן ליכא למיסר</w:t>
      </w:r>
      <w:r w:rsidR="002B0958">
        <w:rPr>
          <w:rFonts w:cs="Guttman Drogolin" w:hint="cs"/>
          <w:rtl/>
          <w:lang w:bidi="he-IL"/>
        </w:rPr>
        <w:t>ך</w:t>
      </w:r>
      <w:r w:rsidR="00C53D53" w:rsidRPr="00882F11">
        <w:rPr>
          <w:rFonts w:cs="Guttman Drogolin" w:hint="cs"/>
          <w:rtl/>
          <w:lang w:bidi="he-IL"/>
        </w:rPr>
        <w:t xml:space="preserve"> לכלי ישראל יש לאסור לכתחילה.  </w:t>
      </w:r>
      <w:r w:rsidR="003B1B66" w:rsidRPr="00882F11">
        <w:rPr>
          <w:rFonts w:cs="Guttman Drogolin" w:hint="cs"/>
          <w:rtl/>
          <w:lang w:bidi="he-IL"/>
        </w:rPr>
        <w:t xml:space="preserve">  </w:t>
      </w:r>
      <w:r w:rsidR="003B1B66" w:rsidRPr="00882F11">
        <w:rPr>
          <w:rFonts w:cs="Guttman Drogolin"/>
          <w:rtl/>
          <w:lang w:bidi="he-IL"/>
        </w:rPr>
        <w:t xml:space="preserve"> </w:t>
      </w:r>
      <w:r w:rsidR="00D30829" w:rsidRPr="00882F11">
        <w:rPr>
          <w:rFonts w:cs="Guttman Drogolin" w:hint="cs"/>
          <w:rtl/>
          <w:lang w:bidi="he-IL"/>
        </w:rPr>
        <w:t xml:space="preserve">  </w:t>
      </w:r>
    </w:p>
    <w:p w:rsidR="00F00B37" w:rsidRPr="00882F11" w:rsidRDefault="00F00B37" w:rsidP="00F05E9F">
      <w:pPr>
        <w:pStyle w:val="Heading1"/>
        <w:bidi/>
        <w:spacing w:before="0" w:line="240" w:lineRule="auto"/>
        <w:jc w:val="center"/>
        <w:rPr>
          <w:rFonts w:cs="Guttman Drogolin"/>
          <w:color w:val="auto"/>
          <w:sz w:val="24"/>
          <w:szCs w:val="24"/>
          <w:u w:val="single"/>
          <w:rtl/>
          <w:lang w:bidi="he-IL"/>
        </w:rPr>
      </w:pPr>
      <w:bookmarkStart w:id="551" w:name="_Toc496175788"/>
      <w:r w:rsidRPr="00882F11">
        <w:rPr>
          <w:rFonts w:cs="Guttman Drogolin" w:hint="cs"/>
          <w:color w:val="auto"/>
          <w:sz w:val="24"/>
          <w:szCs w:val="24"/>
          <w:u w:val="single"/>
          <w:rtl/>
          <w:lang w:bidi="he-IL"/>
        </w:rPr>
        <w:t>אם מותר לומר לנכרי לבשל לו מאכלים בכלים של שאינן בני יומן</w:t>
      </w:r>
      <w:bookmarkEnd w:id="551"/>
    </w:p>
    <w:p w:rsidR="00B8032A" w:rsidRPr="00882F11" w:rsidRDefault="002C53AB" w:rsidP="00FC6E4F">
      <w:pPr>
        <w:tabs>
          <w:tab w:val="right" w:pos="7497"/>
        </w:tabs>
        <w:bidi/>
        <w:jc w:val="both"/>
        <w:rPr>
          <w:rFonts w:cs="Guttman Drogolin"/>
          <w:rtl/>
          <w:lang w:bidi="he-IL"/>
        </w:rPr>
      </w:pPr>
      <w:r>
        <w:rPr>
          <w:rFonts w:cs="Guttman Drogolin"/>
          <w:rtl/>
          <w:lang w:bidi="he-IL"/>
        </w:rPr>
        <w:fldChar w:fldCharType="begin"/>
      </w:r>
      <w:r>
        <w:instrText xml:space="preserve"> XE "</w:instrText>
      </w:r>
      <w:r w:rsidRPr="002946E8">
        <w:rPr>
          <w:rFonts w:hint="cs"/>
          <w:rtl/>
          <w:lang w:bidi="he-IL"/>
        </w:rPr>
        <w:instrText>כלי שאינו בן יומו</w:instrText>
      </w:r>
      <w:r w:rsidRPr="002946E8">
        <w:rPr>
          <w:rtl/>
        </w:rPr>
        <w:instrText>:</w:instrText>
      </w:r>
      <w:r w:rsidRPr="002946E8">
        <w:rPr>
          <w:rFonts w:hint="cs"/>
          <w:rtl/>
          <w:lang w:bidi="he-IL"/>
        </w:rPr>
        <w:instrText>להשתמש בה ע</w:instrText>
      </w:r>
      <w:r>
        <w:rPr>
          <w:rFonts w:eastAsiaTheme="minorEastAsia"/>
          <w:lang w:bidi="he-IL"/>
        </w:rPr>
        <w:instrText>\</w:instrText>
      </w:r>
      <w:r w:rsidRPr="002946E8">
        <w:rPr>
          <w:rFonts w:hint="cs"/>
          <w:rtl/>
          <w:lang w:bidi="he-IL"/>
        </w:rPr>
        <w:instrText>"י נכרי</w:instrText>
      </w:r>
      <w:r>
        <w:instrText xml:space="preserve">" </w:instrText>
      </w:r>
      <w:r>
        <w:rPr>
          <w:rFonts w:cs="Guttman Drogolin"/>
          <w:rtl/>
          <w:lang w:bidi="he-IL"/>
        </w:rPr>
        <w:fldChar w:fldCharType="end"/>
      </w:r>
      <w:r w:rsidR="008A5572">
        <w:rPr>
          <w:rFonts w:cs="Guttman Drogolin"/>
          <w:rtl/>
          <w:lang w:bidi="he-IL"/>
        </w:rPr>
        <w:fldChar w:fldCharType="begin"/>
      </w:r>
      <w:r w:rsidR="008A5572">
        <w:instrText xml:space="preserve"> XE "</w:instrText>
      </w:r>
      <w:r w:rsidR="008A5572" w:rsidRPr="005F085A">
        <w:rPr>
          <w:rFonts w:hint="cs"/>
          <w:rtl/>
          <w:lang w:bidi="he-IL"/>
        </w:rPr>
        <w:instrText>אמירה לנכרי</w:instrText>
      </w:r>
      <w:r w:rsidR="008A5572" w:rsidRPr="005F085A">
        <w:rPr>
          <w:rtl/>
        </w:rPr>
        <w:instrText>:</w:instrText>
      </w:r>
      <w:r w:rsidR="008A5572" w:rsidRPr="005F085A">
        <w:rPr>
          <w:rFonts w:hint="cs"/>
          <w:rtl/>
          <w:lang w:bidi="he-IL"/>
        </w:rPr>
        <w:instrText>לבשל בכלי שאינו בן יומו</w:instrText>
      </w:r>
      <w:r w:rsidR="008A5572">
        <w:instrText xml:space="preserve">" </w:instrText>
      </w:r>
      <w:r w:rsidR="008A5572">
        <w:rPr>
          <w:rFonts w:cs="Guttman Drogolin"/>
          <w:rtl/>
          <w:lang w:bidi="he-IL"/>
        </w:rPr>
        <w:fldChar w:fldCharType="end"/>
      </w:r>
      <w:r w:rsidR="00F00B37" w:rsidRPr="00882F11">
        <w:rPr>
          <w:rFonts w:cs="Guttman Drogolin" w:hint="cs"/>
          <w:rtl/>
          <w:lang w:bidi="he-IL"/>
        </w:rPr>
        <w:t>הטור הביא מהרשב"א שאסור לומר לנכרי שיבשל לו בתוך כליו שאינן בני יומן. וע' בב"י בשם הרשב"א ראיות לזה. ונראה מדבריו, שאין האיסור משום איסור אמירה לנכרי דכה</w:t>
      </w:r>
      <w:r w:rsidR="005B0ADD" w:rsidRPr="00882F11">
        <w:rPr>
          <w:rFonts w:cs="Guttman Drogolin" w:hint="cs"/>
          <w:rtl/>
          <w:lang w:bidi="he-IL"/>
        </w:rPr>
        <w:t>"ת כולה, רק משום דכיון שאומר לו</w:t>
      </w:r>
      <w:r w:rsidR="00F00B37" w:rsidRPr="00882F11">
        <w:rPr>
          <w:rFonts w:cs="Guttman Drogolin" w:hint="cs"/>
          <w:rtl/>
          <w:lang w:bidi="he-IL"/>
        </w:rPr>
        <w:t xml:space="preserve"> הרי זה נחשב בכלל הגזירה שלא להשתמש בו לעצמו. ונראה פשוט שגם לא שייך הגזרה דאמ</w:t>
      </w:r>
      <w:r w:rsidR="005B0ADD" w:rsidRPr="00882F11">
        <w:rPr>
          <w:rFonts w:cs="Guttman Drogolin" w:hint="cs"/>
          <w:rtl/>
          <w:lang w:bidi="he-IL"/>
        </w:rPr>
        <w:t>ירה לנכרי, דהא אינו מצוה לנכרי ל</w:t>
      </w:r>
      <w:r w:rsidR="00F00B37" w:rsidRPr="00882F11">
        <w:rPr>
          <w:rFonts w:cs="Guttman Drogolin" w:hint="cs"/>
          <w:rtl/>
          <w:lang w:bidi="he-IL"/>
        </w:rPr>
        <w:t xml:space="preserve">בשל דוקא בכלי שיש בה בליעות של איסור שאינן בני יומן, ומה שהנכרי עושה כן הוא משום נוחיות עצמו. וכיון שכן כל מה שעושה אינו אלא לעצמו. </w:t>
      </w:r>
      <w:r w:rsidR="00FC6E4F" w:rsidRPr="00882F11">
        <w:rPr>
          <w:rFonts w:cs="Guttman Drogolin" w:hint="cs"/>
          <w:rtl/>
          <w:lang w:bidi="he-IL"/>
        </w:rPr>
        <w:t xml:space="preserve">אמנם יעוין בפת"ש ס"ק ה' בשם ס' לבושי שרד שהסתפק דיתכן שאפילו אם עשה כן מעצמו לצורך ישראל יש לאסור, ולכאורה </w:t>
      </w:r>
      <w:r w:rsidR="00FC6E4F" w:rsidRPr="00882F11">
        <w:rPr>
          <w:rFonts w:cs="Guttman Drogolin" w:hint="cs"/>
          <w:rtl/>
          <w:lang w:bidi="he-IL"/>
        </w:rPr>
        <w:lastRenderedPageBreak/>
        <w:t>משמע שאוסר מדיני אמריה לנכרי. וצ"ע. ו</w:t>
      </w:r>
      <w:r w:rsidR="00F00B37" w:rsidRPr="00882F11">
        <w:rPr>
          <w:rFonts w:cs="Guttman Drogolin" w:hint="cs"/>
          <w:rtl/>
          <w:lang w:bidi="he-IL"/>
        </w:rPr>
        <w:t xml:space="preserve">מ"מ </w:t>
      </w:r>
      <w:r w:rsidR="00FC6E4F" w:rsidRPr="00882F11">
        <w:rPr>
          <w:rFonts w:cs="Guttman Drogolin" w:hint="cs"/>
          <w:rtl/>
          <w:lang w:bidi="he-IL"/>
        </w:rPr>
        <w:t>נראה כוונת הדברים כאן לאסור ד</w:t>
      </w:r>
      <w:r w:rsidR="00F00B37" w:rsidRPr="00882F11">
        <w:rPr>
          <w:rFonts w:cs="Guttman Drogolin" w:hint="cs"/>
          <w:rtl/>
          <w:lang w:bidi="he-IL"/>
        </w:rPr>
        <w:t xml:space="preserve">כיון שאומר לו לעשות כן לכתחילה הרי הוא מכניס הבליעות שאינן בני יומן למאכל שלו לכתחילה ואסור. </w:t>
      </w:r>
    </w:p>
    <w:p w:rsidR="005B5760" w:rsidRDefault="0019009E" w:rsidP="00F05E9F">
      <w:pPr>
        <w:tabs>
          <w:tab w:val="right" w:pos="7497"/>
        </w:tabs>
        <w:bidi/>
        <w:jc w:val="both"/>
        <w:rPr>
          <w:rFonts w:cs="Guttman Drogolin"/>
          <w:rtl/>
          <w:lang w:bidi="he-IL"/>
        </w:rPr>
      </w:pPr>
      <w:r w:rsidRPr="00882F11">
        <w:rPr>
          <w:rFonts w:cs="Guttman Drogolin" w:hint="cs"/>
          <w:rtl/>
          <w:lang w:bidi="he-IL"/>
        </w:rPr>
        <w:t>ו</w:t>
      </w:r>
      <w:r w:rsidR="005B0ADD" w:rsidRPr="00882F11">
        <w:rPr>
          <w:rFonts w:cs="Guttman Drogolin" w:hint="cs"/>
          <w:rtl/>
          <w:lang w:bidi="he-IL"/>
        </w:rPr>
        <w:t xml:space="preserve">ע' </w:t>
      </w:r>
      <w:r w:rsidRPr="00882F11">
        <w:rPr>
          <w:rFonts w:cs="Guttman Drogolin" w:hint="cs"/>
          <w:rtl/>
          <w:lang w:bidi="he-IL"/>
        </w:rPr>
        <w:t>בסי' ק"ח סע' ג'</w:t>
      </w:r>
      <w:r w:rsidR="005B0ADD" w:rsidRPr="00882F11">
        <w:rPr>
          <w:rFonts w:cs="Guttman Drogolin" w:hint="cs"/>
          <w:rtl/>
          <w:lang w:bidi="he-IL"/>
        </w:rPr>
        <w:t xml:space="preserve"> שמ"מ בכה"ג שישמעו לנו העכו"ם מותר להשתמש בפאל"ה שאינו בן יומו שלהם</w:t>
      </w:r>
      <w:r w:rsidR="0084282E" w:rsidRPr="00882F11">
        <w:rPr>
          <w:rFonts w:cs="Guttman Drogolin" w:hint="cs"/>
          <w:rtl/>
          <w:lang w:bidi="he-IL"/>
        </w:rPr>
        <w:t>,</w:t>
      </w:r>
      <w:r w:rsidR="002F16AD" w:rsidRPr="00882F11">
        <w:rPr>
          <w:rFonts w:cs="Guttman Drogolin" w:hint="cs"/>
          <w:rtl/>
          <w:lang w:bidi="he-IL"/>
        </w:rPr>
        <w:t xml:space="preserve"> </w:t>
      </w:r>
      <w:r w:rsidR="00F05E9F">
        <w:rPr>
          <w:rFonts w:cs="Guttman Drogolin" w:hint="cs"/>
          <w:rtl/>
          <w:lang w:bidi="he-IL"/>
        </w:rPr>
        <w:t>דכה"ג לא גזרו</w:t>
      </w:r>
    </w:p>
    <w:p w:rsidR="008E3432" w:rsidRDefault="008E3432" w:rsidP="008E3432">
      <w:pPr>
        <w:tabs>
          <w:tab w:val="right" w:pos="7497"/>
        </w:tabs>
        <w:bidi/>
        <w:jc w:val="both"/>
        <w:rPr>
          <w:rFonts w:cs="Guttman Drogolin"/>
          <w:rtl/>
          <w:lang w:bidi="he-IL"/>
        </w:rPr>
        <w:sectPr w:rsidR="008E3432" w:rsidSect="00F05E9F">
          <w:type w:val="continuous"/>
          <w:pgSz w:w="11907" w:h="16839" w:code="9"/>
          <w:pgMar w:top="1440" w:right="1440" w:bottom="1440" w:left="1440" w:header="720" w:footer="720" w:gutter="0"/>
          <w:cols w:num="2" w:space="720"/>
          <w:bidi/>
          <w:docGrid w:linePitch="360"/>
        </w:sectPr>
      </w:pPr>
    </w:p>
    <w:p w:rsidR="008E3432" w:rsidRPr="008E3432" w:rsidRDefault="008E3432" w:rsidP="008E3432">
      <w:pPr>
        <w:keepNext/>
        <w:tabs>
          <w:tab w:val="left" w:pos="3818"/>
          <w:tab w:val="center" w:pos="4680"/>
        </w:tabs>
        <w:bidi/>
        <w:jc w:val="center"/>
        <w:rPr>
          <w:rFonts w:cs="Guttman Drogolin"/>
          <w:b/>
          <w:bCs/>
          <w:sz w:val="24"/>
          <w:szCs w:val="24"/>
          <w:rtl/>
          <w:lang w:bidi="he-IL"/>
        </w:rPr>
      </w:pPr>
      <w:r w:rsidRPr="008E3432">
        <w:rPr>
          <w:rFonts w:cs="Guttman Drogolin" w:hint="cs"/>
          <w:b/>
          <w:bCs/>
          <w:sz w:val="48"/>
          <w:szCs w:val="48"/>
          <w:rtl/>
          <w:lang w:bidi="he-IL"/>
        </w:rPr>
        <w:lastRenderedPageBreak/>
        <w:t>שיעור קמ"ד</w:t>
      </w:r>
    </w:p>
    <w:p w:rsidR="008E3432" w:rsidRDefault="008E3432" w:rsidP="008E3432">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sectPr w:rsidR="008E3432" w:rsidSect="008E3432">
          <w:headerReference w:type="default" r:id="rId100"/>
          <w:pgSz w:w="11907" w:h="16839" w:code="9"/>
          <w:pgMar w:top="1440" w:right="1440" w:bottom="1440" w:left="1440" w:header="720" w:footer="720" w:gutter="0"/>
          <w:cols w:space="720"/>
          <w:bidi/>
          <w:docGrid w:linePitch="360"/>
        </w:sectPr>
      </w:pPr>
    </w:p>
    <w:p w:rsidR="008E3432" w:rsidRPr="008E3432" w:rsidRDefault="008E3432" w:rsidP="008E3432">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pPr>
      <w:bookmarkStart w:id="552" w:name="_Toc496175789"/>
      <w:r w:rsidRPr="008E3432">
        <w:rPr>
          <w:rFonts w:asciiTheme="majorHAnsi" w:eastAsiaTheme="majorEastAsia" w:hAnsiTheme="majorHAnsi" w:cs="Guttman Drogolin" w:hint="cs"/>
          <w:b/>
          <w:bCs/>
          <w:sz w:val="24"/>
          <w:szCs w:val="24"/>
          <w:u w:val="single"/>
          <w:rtl/>
          <w:lang w:bidi="he-IL"/>
        </w:rPr>
        <w:lastRenderedPageBreak/>
        <w:t>טעם וגדר האיסור של חלב וגבינת עכו"ם</w:t>
      </w:r>
      <w:bookmarkEnd w:id="552"/>
    </w:p>
    <w:p w:rsidR="008E3432" w:rsidRPr="008E3432" w:rsidRDefault="008E3432" w:rsidP="008E3432">
      <w:pPr>
        <w:tabs>
          <w:tab w:val="right" w:pos="7497"/>
        </w:tabs>
        <w:bidi/>
        <w:jc w:val="both"/>
        <w:rPr>
          <w:rFonts w:cs="Guttman Drogolin"/>
          <w:rtl/>
          <w:lang w:bidi="he-IL"/>
        </w:rPr>
      </w:pPr>
      <w:r w:rsidRPr="008E3432">
        <w:rPr>
          <w:rFonts w:cs="Guttman Drogolin"/>
          <w:rtl/>
          <w:lang w:bidi="he-IL"/>
        </w:rPr>
        <w:fldChar w:fldCharType="begin"/>
      </w:r>
      <w:r w:rsidRPr="008E3432">
        <w:rPr>
          <w:rFonts w:cs="Guttman Drogolin"/>
        </w:rPr>
        <w:instrText xml:space="preserve"> XE "</w:instrText>
      </w:r>
      <w:r w:rsidRPr="008E3432">
        <w:rPr>
          <w:rFonts w:cs="Guttman Drogolin" w:hint="cs"/>
          <w:rtl/>
          <w:lang w:bidi="he-IL"/>
        </w:rPr>
        <w:instrText>חלב עכו</w:instrText>
      </w:r>
      <w:r w:rsidRPr="008E3432">
        <w:rPr>
          <w:rFonts w:eastAsiaTheme="minorEastAsia" w:cs="Guttman Drogolin"/>
          <w:lang w:bidi="he-IL"/>
        </w:rPr>
        <w:instrText>\</w:instrText>
      </w:r>
      <w:r w:rsidRPr="008E3432">
        <w:rPr>
          <w:rFonts w:cs="Guttman Drogolin" w:hint="cs"/>
          <w:rtl/>
          <w:lang w:bidi="he-IL"/>
        </w:rPr>
        <w:instrText>"ם</w:instrText>
      </w:r>
      <w:r w:rsidRPr="008E3432">
        <w:rPr>
          <w:rFonts w:cs="Guttman Drogolin"/>
          <w:rtl/>
        </w:rPr>
        <w:instrText>:</w:instrText>
      </w:r>
      <w:r w:rsidRPr="008E3432">
        <w:rPr>
          <w:rFonts w:cs="Guttman Drogolin" w:hint="cs"/>
          <w:rtl/>
          <w:lang w:bidi="he-IL"/>
        </w:rPr>
        <w:instrText>גדר וטעם האיסור</w:instrText>
      </w:r>
      <w:r w:rsidRPr="008E3432">
        <w:rPr>
          <w:rFonts w:cs="Guttman Drogolin"/>
        </w:rPr>
        <w:instrText xml:space="preserve">" </w:instrText>
      </w:r>
      <w:r w:rsidRPr="008E3432">
        <w:rPr>
          <w:rFonts w:cs="Guttman Drogolin"/>
          <w:rtl/>
          <w:lang w:bidi="he-IL"/>
        </w:rPr>
        <w:fldChar w:fldCharType="end"/>
      </w:r>
      <w:r w:rsidRPr="008E3432">
        <w:rPr>
          <w:rFonts w:cs="Guttman Drogolin"/>
          <w:rtl/>
          <w:lang w:bidi="he-IL"/>
        </w:rPr>
        <w:fldChar w:fldCharType="begin"/>
      </w:r>
      <w:r w:rsidRPr="008E3432">
        <w:rPr>
          <w:rFonts w:cs="Guttman Drogolin"/>
        </w:rPr>
        <w:instrText xml:space="preserve"> XE "</w:instrText>
      </w:r>
      <w:r w:rsidRPr="008E3432">
        <w:rPr>
          <w:rFonts w:cs="Guttman Drogolin" w:hint="cs"/>
          <w:rtl/>
          <w:lang w:bidi="he-IL"/>
        </w:rPr>
        <w:instrText>גבינת עכו</w:instrText>
      </w:r>
      <w:r w:rsidRPr="008E3432">
        <w:rPr>
          <w:rFonts w:eastAsiaTheme="minorEastAsia" w:cs="Guttman Drogolin"/>
          <w:lang w:bidi="he-IL"/>
        </w:rPr>
        <w:instrText>\</w:instrText>
      </w:r>
      <w:r w:rsidRPr="008E3432">
        <w:rPr>
          <w:rFonts w:cs="Guttman Drogolin" w:hint="cs"/>
          <w:rtl/>
          <w:lang w:bidi="he-IL"/>
        </w:rPr>
        <w:instrText>"ם</w:instrText>
      </w:r>
      <w:r w:rsidRPr="008E3432">
        <w:rPr>
          <w:rFonts w:cs="Guttman Drogolin"/>
          <w:rtl/>
        </w:rPr>
        <w:instrText>:</w:instrText>
      </w:r>
      <w:r w:rsidRPr="008E3432">
        <w:rPr>
          <w:rFonts w:cs="Guttman Drogolin" w:hint="cs"/>
          <w:rtl/>
          <w:lang w:bidi="he-IL"/>
        </w:rPr>
        <w:instrText>גדר וטעם האיסור</w:instrText>
      </w:r>
      <w:r w:rsidRPr="008E3432">
        <w:rPr>
          <w:rFonts w:cs="Guttman Drogolin"/>
        </w:rPr>
        <w:instrText xml:space="preserve">" </w:instrText>
      </w:r>
      <w:r w:rsidRPr="008E3432">
        <w:rPr>
          <w:rFonts w:cs="Guttman Drogolin"/>
          <w:rtl/>
          <w:lang w:bidi="he-IL"/>
        </w:rPr>
        <w:fldChar w:fldCharType="end"/>
      </w:r>
      <w:r w:rsidRPr="008E3432">
        <w:rPr>
          <w:rFonts w:cs="Guttman Drogolin" w:hint="cs"/>
          <w:rtl/>
          <w:lang w:bidi="he-IL"/>
        </w:rPr>
        <w:t>במס' ע"ז יש ב' משניות המחדשות ב' איסורי</w:t>
      </w:r>
      <w:r w:rsidR="00584198">
        <w:rPr>
          <w:rFonts w:cs="Guttman Drogolin" w:hint="cs"/>
          <w:rtl/>
          <w:lang w:bidi="he-IL"/>
        </w:rPr>
        <w:t>ם</w:t>
      </w:r>
      <w:r w:rsidRPr="008E3432">
        <w:rPr>
          <w:rFonts w:cs="Guttman Drogolin" w:hint="cs"/>
          <w:rtl/>
          <w:lang w:bidi="he-IL"/>
        </w:rPr>
        <w:t xml:space="preserve"> של מאכלי עכו"ם, א' האיסור של חלב עכו"ם, והשני האיסור של גבינת עכו"ם. ועל פניו ב' איסורים שונים הם, אלא שלכאורה צ"ע, למה הי' צורך לאסור גבינת עכו"ם בפני עצמו, תיפו"ל משום שגבינה עשוי מחלב, ולכן הגבינה עצמה יהא אסור משום החלב עכו"ם שבה. וביישוב קושיא זו יש לבאר סוגיית הגמ' בנושא.</w:t>
      </w:r>
    </w:p>
    <w:p w:rsidR="008E3432" w:rsidRPr="008E3432" w:rsidRDefault="008E3432" w:rsidP="00584198">
      <w:pPr>
        <w:tabs>
          <w:tab w:val="right" w:pos="7497"/>
        </w:tabs>
        <w:bidi/>
        <w:jc w:val="both"/>
        <w:rPr>
          <w:rFonts w:cs="Guttman Drogolin"/>
          <w:rtl/>
          <w:lang w:bidi="he-IL"/>
        </w:rPr>
      </w:pPr>
      <w:r w:rsidRPr="008E3432">
        <w:rPr>
          <w:rFonts w:cs="Guttman Drogolin" w:hint="cs"/>
          <w:rtl/>
          <w:lang w:bidi="he-IL"/>
        </w:rPr>
        <w:t>כתוב במתני' שבדף ל"ה ע"ב "</w:t>
      </w:r>
      <w:r w:rsidRPr="008E3432">
        <w:rPr>
          <w:rFonts w:cs="Guttman Drogolin"/>
          <w:rtl/>
          <w:lang w:bidi="he-IL"/>
        </w:rPr>
        <w:t>ואלו דברים של עובדי כוכבים אסורין ואין איסורן איסור הנאה חלב שחלבו עובד כוכבים ואין ישראל רואהו</w:t>
      </w:r>
      <w:r w:rsidRPr="008E3432">
        <w:rPr>
          <w:rFonts w:cs="Guttman Drogolin" w:hint="cs"/>
          <w:rtl/>
          <w:lang w:bidi="he-IL"/>
        </w:rPr>
        <w:t xml:space="preserve"> וכו'". ובגמ' דן מהו הטעם שאסרו חלב עכו"ם, שאינו יכול להיות משום שאולי החליפו בחלב טמא, משום דניכר. אלא שהוא משום חשש עירוב חלב טמא בתוך חלב טהור (וכנראה בכה"ג לא יהא ניכר). ומקשה הגמ' דנוקים לי' לחלב ויעשנו גבינה, דהא חלב טמא לא נהפך להיות גבינה. ולפי הגירסא שלפנינו בגמ' הגמ' מתרצת ב' תירוצים. תירוץ א' דאה"נ ואם עשה ממנו גבינה אין לאסור משום חלב עכו"ם, ומיירי בעשאו לכותח, ואין עצה לעשות גבינה מחלק ממנו, ואם יהפך להיות גבינה יש ראי' שהוא חלב טהור ומותר לשתות את השאר, משום שיש נסיובי דחלבא שנשארים אחרי עשיית הגבינה, ולכן י"ל שלעולם עירב בה חלב טמא, וחלק הגבינה עשוי מחלב ט</w:t>
      </w:r>
      <w:r w:rsidR="00584198">
        <w:rPr>
          <w:rFonts w:cs="Guttman Drogolin" w:hint="cs"/>
          <w:rtl/>
          <w:lang w:bidi="he-IL"/>
        </w:rPr>
        <w:t>ה</w:t>
      </w:r>
      <w:r w:rsidRPr="008E3432">
        <w:rPr>
          <w:rFonts w:cs="Guttman Drogolin" w:hint="cs"/>
          <w:rtl/>
          <w:lang w:bidi="he-IL"/>
        </w:rPr>
        <w:t xml:space="preserve">ור, והחלב טמא שהתערב בה הוא בחלק הנסיובי. ועוד תי' שאפילו גבינה ממש אסור, ומשום שיש חשש של נסיובי חלב בתוך הגומות של הגבינה. ולפי גירסא זו לכאורה יש מחלוקת בין התירוצים אם יש לאסור גבינה ממש מדינא דחלב עכו"ם, שלתי' השני יש לאסור משום חשש נסיובי דחלבא בין הגומות וכנ"ל, ואילו לתי' הראשון אם יש גבינה והוצאת את הנסיובי דחלבא אין לאסור, וכנראה משום שאין לחשוש לנסיובי דחלבא בין הגומות. </w:t>
      </w:r>
    </w:p>
    <w:p w:rsidR="008E3432" w:rsidRPr="008E3432" w:rsidRDefault="008E3432" w:rsidP="005F650B">
      <w:pPr>
        <w:tabs>
          <w:tab w:val="right" w:pos="7497"/>
        </w:tabs>
        <w:bidi/>
        <w:jc w:val="both"/>
        <w:rPr>
          <w:rFonts w:cs="Guttman Drogolin"/>
          <w:rtl/>
          <w:lang w:bidi="he-IL"/>
        </w:rPr>
      </w:pPr>
      <w:r w:rsidRPr="008E3432">
        <w:rPr>
          <w:rFonts w:cs="Guttman Drogolin" w:hint="cs"/>
          <w:rtl/>
          <w:lang w:bidi="he-IL"/>
        </w:rPr>
        <w:lastRenderedPageBreak/>
        <w:t>ובעיקר האי חששא יל"ע, דהא לכאורה אע"ג שחלב היוצא מדבר טמא אסור מדאורייתא, מ"מ לא יהא אלא תערובת מין במינו שאינו אסור אלא מד</w:t>
      </w:r>
      <w:r w:rsidR="005F650B">
        <w:rPr>
          <w:rFonts w:cs="Guttman Drogolin" w:hint="cs"/>
          <w:rtl/>
          <w:lang w:bidi="he-IL"/>
        </w:rPr>
        <w:t>רבנן</w:t>
      </w:r>
      <w:r w:rsidRPr="008E3432">
        <w:rPr>
          <w:rFonts w:cs="Guttman Drogolin" w:hint="cs"/>
          <w:rtl/>
          <w:lang w:bidi="he-IL"/>
        </w:rPr>
        <w:t>, דהא מדאוריי</w:t>
      </w:r>
      <w:r w:rsidR="00424749">
        <w:rPr>
          <w:rFonts w:cs="Guttman Drogolin" w:hint="cs"/>
          <w:rtl/>
          <w:lang w:bidi="he-IL"/>
        </w:rPr>
        <w:t>ת</w:t>
      </w:r>
      <w:r w:rsidRPr="008E3432">
        <w:rPr>
          <w:rFonts w:cs="Guttman Drogolin" w:hint="cs"/>
          <w:rtl/>
          <w:lang w:bidi="he-IL"/>
        </w:rPr>
        <w:t xml:space="preserve">א ברובא בטיל לרוב ראשונים הפוסקים להלכה שמין במינו בטל. ואולי י"ל שגם טעמם שונה ויש בזה משום טכ"ע מדאורייתא, וכן הוי טעמו וממשו שאסור לכו"ע מדאורייתא. וכן יתכן דאה"נ והתערובת אינו אסור אלא מדרבנן, ומ"מ אסרו אפילו סתם חלב עכו"ם כיון שיסוד החשש הוא משום דבר האסור מדאורייתא.  ומצאתי לרשב"א בתוה"א (ב"ג ש"ו) שכתב בשם הראב"ד שלמ"ד שהטעם שאסור גבינת עכו"ם משום שמעמידים אותו בעור קיבת עכו"ם, היינו אע"ג שאין בה כדי נתינת טעם, והטעם משום שבמאכלי עכו"ם לא הלכו חכמים אחרי נתינת טעם. והטעם משום דכיון דשכיח בהו טעמא, גזרו עליו בכל אופן. ולכאורה כוונתו לבאר למה לא הטעימו לקפילא ואם אין בה נתינת טעם יהא הגבינה מותרת. ובזה תי' כיון שע"פ רוב יש נתינת טעם. ומ"מ שם בהמשך דבריו כתב שזהו הטעם שאסור גבינת עכו"ם אליבא דר' חנינא ולא הקילו משום שאין בה כדי נתינת טעם. וכן גם בגזירת חלב עכו"ם. </w:t>
      </w:r>
    </w:p>
    <w:p w:rsidR="008E3432" w:rsidRPr="008E3432" w:rsidRDefault="008E3432" w:rsidP="00584198">
      <w:pPr>
        <w:tabs>
          <w:tab w:val="right" w:pos="7497"/>
        </w:tabs>
        <w:bidi/>
        <w:jc w:val="both"/>
        <w:rPr>
          <w:rFonts w:cs="Guttman Drogolin"/>
          <w:rtl/>
          <w:lang w:bidi="he-IL"/>
        </w:rPr>
      </w:pPr>
      <w:r w:rsidRPr="008E3432">
        <w:rPr>
          <w:rFonts w:cs="Guttman Drogolin"/>
          <w:rtl/>
          <w:lang w:bidi="he-IL"/>
        </w:rPr>
        <w:fldChar w:fldCharType="begin"/>
      </w:r>
      <w:r w:rsidRPr="008E3432">
        <w:rPr>
          <w:rFonts w:cs="Guttman Drogolin"/>
        </w:rPr>
        <w:instrText xml:space="preserve"> XE "</w:instrText>
      </w:r>
      <w:r w:rsidRPr="008E3432">
        <w:rPr>
          <w:rFonts w:cs="Guttman Drogolin" w:hint="cs"/>
          <w:rtl/>
          <w:lang w:bidi="he-IL"/>
        </w:rPr>
        <w:instrText>חלב עכו</w:instrText>
      </w:r>
      <w:r w:rsidRPr="008E3432">
        <w:rPr>
          <w:rFonts w:eastAsiaTheme="minorEastAsia" w:cs="Guttman Drogolin"/>
          <w:lang w:bidi="he-IL"/>
        </w:rPr>
        <w:instrText>\</w:instrText>
      </w:r>
      <w:r w:rsidRPr="008E3432">
        <w:rPr>
          <w:rFonts w:cs="Guttman Drogolin" w:hint="cs"/>
          <w:rtl/>
          <w:lang w:bidi="he-IL"/>
        </w:rPr>
        <w:instrText>"ם</w:instrText>
      </w:r>
      <w:r w:rsidRPr="008E3432">
        <w:rPr>
          <w:rFonts w:cs="Guttman Drogolin"/>
          <w:rtl/>
        </w:rPr>
        <w:instrText>:</w:instrText>
      </w:r>
      <w:r w:rsidRPr="008E3432">
        <w:rPr>
          <w:rFonts w:cs="Guttman Drogolin" w:hint="cs"/>
          <w:rtl/>
          <w:lang w:bidi="he-IL"/>
        </w:rPr>
        <w:instrText>למה אין איסורו אלא מדרבנן</w:instrText>
      </w:r>
      <w:r w:rsidRPr="008E3432">
        <w:rPr>
          <w:rFonts w:cs="Guttman Drogolin"/>
        </w:rPr>
        <w:instrText xml:space="preserve">" </w:instrText>
      </w:r>
      <w:r w:rsidRPr="008E3432">
        <w:rPr>
          <w:rFonts w:cs="Guttman Drogolin"/>
          <w:rtl/>
          <w:lang w:bidi="he-IL"/>
        </w:rPr>
        <w:fldChar w:fldCharType="end"/>
      </w:r>
      <w:r w:rsidRPr="008E3432">
        <w:rPr>
          <w:rFonts w:cs="Guttman Drogolin" w:hint="cs"/>
          <w:rtl/>
          <w:lang w:bidi="he-IL"/>
        </w:rPr>
        <w:t xml:space="preserve">שו"ר בזה דברי הש"ך בסי' קי"ח ס"ק ח' ושם בהגהות רע"א ודגמ"ר, וחזו"א ביו"ד סי' מ"א ס"ק א'. </w:t>
      </w:r>
      <w:r w:rsidR="00584198">
        <w:rPr>
          <w:rFonts w:cs="Guttman Drogolin" w:hint="cs"/>
          <w:rtl/>
          <w:lang w:bidi="he-IL"/>
        </w:rPr>
        <w:t xml:space="preserve">ותמצית הדברים, </w:t>
      </w:r>
      <w:r w:rsidRPr="008E3432">
        <w:rPr>
          <w:rFonts w:cs="Guttman Drogolin" w:hint="cs"/>
          <w:rtl/>
          <w:lang w:bidi="he-IL"/>
        </w:rPr>
        <w:t>שהש"ך הביא הטעם שאינו אסור מעיקר הדין או משום דהוי מין במינו, או כסברת או"ה (כלל מ"ה ד"ז) דס</w:t>
      </w:r>
      <w:r w:rsidR="005F650B">
        <w:rPr>
          <w:rFonts w:cs="Guttman Drogolin" w:hint="cs"/>
          <w:rtl/>
          <w:lang w:bidi="he-IL"/>
        </w:rPr>
        <w:t>ת</w:t>
      </w:r>
      <w:r w:rsidRPr="008E3432">
        <w:rPr>
          <w:rFonts w:cs="Guttman Drogolin" w:hint="cs"/>
          <w:rtl/>
          <w:lang w:bidi="he-IL"/>
        </w:rPr>
        <w:t>ם חלב הרי הוא חלב טהור. ורע"א ה</w:t>
      </w:r>
      <w:r w:rsidR="00584198">
        <w:rPr>
          <w:rFonts w:cs="Guttman Drogolin" w:hint="cs"/>
          <w:rtl/>
          <w:lang w:bidi="he-IL"/>
        </w:rPr>
        <w:t>שיג עליו,</w:t>
      </w:r>
      <w:r w:rsidRPr="008E3432">
        <w:rPr>
          <w:rFonts w:cs="Guttman Drogolin" w:hint="cs"/>
          <w:rtl/>
          <w:lang w:bidi="he-IL"/>
        </w:rPr>
        <w:t xml:space="preserve"> חדא שהגמ' שואלת מהו החילוק בין גבינה לחלב (לס"ד של הגמ' שם) דגבינה צריך רק חותם א' וחלב ב' חותמות, הא רב סבירא לי' דמב"מ לא בטל</w:t>
      </w:r>
      <w:r w:rsidR="00584198">
        <w:rPr>
          <w:rFonts w:cs="Guttman Drogolin" w:hint="cs"/>
          <w:rtl/>
          <w:lang w:bidi="he-IL"/>
        </w:rPr>
        <w:t>,</w:t>
      </w:r>
      <w:r w:rsidRPr="008E3432">
        <w:rPr>
          <w:rFonts w:cs="Guttman Drogolin" w:hint="cs"/>
          <w:rtl/>
          <w:lang w:bidi="he-IL"/>
        </w:rPr>
        <w:t xml:space="preserve"> וא"כ לדידי' חלב דאורייתא וגבינה (שאין בה חשש חלב טמא) אסור מדרבנן. ועוד הקשה דהא טעם חלב טמא וחלב טהור שונים, וא"כ יש לאסור מדין טכ"ע דאורייתא. ולא מבורר מדבריו למה מוכח שיש בה טעם שונה, ואולי מלשון הרשב"א בתוה"א (פ"ג ש"ו) שכתב שלא הלכו בגבינת עכו"ם אחרי </w:t>
      </w:r>
      <w:r w:rsidRPr="008E3432">
        <w:rPr>
          <w:rFonts w:cs="Guttman Drogolin" w:hint="cs"/>
          <w:rtl/>
          <w:lang w:bidi="he-IL"/>
        </w:rPr>
        <w:lastRenderedPageBreak/>
        <w:t>נתינת טעם אפילו למ"ד שטעם האיסור משום תערובת חלב. ומ"מ כתב החזו"א שי"ל שהוא טעם לפגם. א"נ דעד כמה שיהא בה הרגש טעם הרי הוא ניכר והוי כמו איחלופי.</w:t>
      </w:r>
    </w:p>
    <w:p w:rsidR="008E3432" w:rsidRPr="008E3432" w:rsidRDefault="008E3432" w:rsidP="001B3FC8">
      <w:pPr>
        <w:tabs>
          <w:tab w:val="right" w:pos="7497"/>
        </w:tabs>
        <w:bidi/>
        <w:jc w:val="both"/>
        <w:rPr>
          <w:rFonts w:cs="Guttman Drogolin"/>
          <w:rtl/>
          <w:lang w:bidi="he-IL"/>
        </w:rPr>
      </w:pPr>
      <w:r w:rsidRPr="008E3432">
        <w:rPr>
          <w:rFonts w:cs="Guttman Drogolin" w:hint="cs"/>
          <w:rtl/>
          <w:lang w:bidi="he-IL"/>
        </w:rPr>
        <w:t>ובמתני' שבדף כ"ט ע"ב מבואר שאסרו גם גבינת עכו"ם, ושם במתני' שו"ת בטעם האיסור ולא יוצא טעם ברור. ובגמ' שבדף ל"ה ע"א יש כמה דעות בטעם האיסור של גבינת עכו"ם. ודעת ר' חנינא שם בגמ' שהוא "</w:t>
      </w:r>
      <w:r w:rsidRPr="008E3432">
        <w:rPr>
          <w:rFonts w:cs="Guttman Drogolin"/>
          <w:rtl/>
          <w:lang w:bidi="he-IL"/>
        </w:rPr>
        <w:t>לפי שא"א לה בלא צחצוחי חלב</w:t>
      </w:r>
      <w:r w:rsidRPr="008E3432">
        <w:rPr>
          <w:rFonts w:cs="Guttman Drogolin" w:hint="cs"/>
          <w:rtl/>
          <w:lang w:bidi="he-IL"/>
        </w:rPr>
        <w:t xml:space="preserve">". ופירש"י שם </w:t>
      </w:r>
      <w:r w:rsidR="00836F76">
        <w:rPr>
          <w:rFonts w:cs="Guttman Drogolin" w:hint="cs"/>
          <w:rtl/>
          <w:lang w:bidi="he-IL"/>
        </w:rPr>
        <w:t>"</w:t>
      </w:r>
      <w:r w:rsidRPr="008E3432">
        <w:rPr>
          <w:rFonts w:cs="Guttman Drogolin"/>
          <w:rtl/>
          <w:lang w:bidi="he-IL"/>
        </w:rPr>
        <w:t>לפי שא"א לגבינה בלא צחצוחי חלב</w:t>
      </w:r>
      <w:r w:rsidRPr="008E3432">
        <w:rPr>
          <w:rFonts w:cs="Guttman Drogolin" w:hint="cs"/>
          <w:rtl/>
          <w:lang w:bidi="he-IL"/>
        </w:rPr>
        <w:t>.</w:t>
      </w:r>
      <w:r w:rsidRPr="008E3432">
        <w:rPr>
          <w:rFonts w:cs="Guttman Drogolin"/>
          <w:rtl/>
          <w:lang w:bidi="he-IL"/>
        </w:rPr>
        <w:t xml:space="preserve"> בין גומא של גבינה נשאר מן החלב וחלב שחלבו עובד כוכבים ואין ישראל רואהו אסור דלמא עריב ביה חלב טמא וחלב טמא אינו עומד ואם עירב טמא בטהור הטמא נשאר עם נסיובי דחלבא הטהור </w:t>
      </w:r>
      <w:r w:rsidRPr="008E3432">
        <w:rPr>
          <w:rFonts w:cs="Guttman Drogolin" w:hint="cs"/>
          <w:rtl/>
          <w:lang w:bidi="he-IL"/>
        </w:rPr>
        <w:t>וכו'</w:t>
      </w:r>
      <w:r w:rsidRPr="008E3432">
        <w:rPr>
          <w:rFonts w:cs="Guttman Drogolin"/>
          <w:rtl/>
          <w:lang w:bidi="he-IL"/>
        </w:rPr>
        <w:t xml:space="preserve"> ויש לחוש שבגומות נשאר ממנו</w:t>
      </w:r>
      <w:r w:rsidRPr="008E3432">
        <w:rPr>
          <w:rFonts w:cs="Guttman Drogolin" w:hint="cs"/>
          <w:rtl/>
          <w:lang w:bidi="he-IL"/>
        </w:rPr>
        <w:t xml:space="preserve">". ולפום ריהטא כוונת רש"י לומר שהטעם שאסרו גבינת עכו"ם הוא מאותו טעם שאסרו חלב עכו"ם, וכתי' השני בגמ' שבדף ל"ה ע"ב, דאע"ג שעשאו גבינה מ"מ יש חשש נסיובי דחלבא בין הגומות. וכן לכאורה מסתבר, דהא עד כמה  שיש חשש נסיובי בחלבא בגומות וזהו טעם לאסור גבינה העשוי מחלב עכו"ם, למה באמת יצטרך טעם נוסף לאסור גבינת עכו"ם וכנ"ל. וכי תימא דא"כ למה היו צריכים שאר האמוראים לתי' נוספים, הא חלב עכו"ם מתני' </w:t>
      </w:r>
      <w:r w:rsidR="001B3FC8">
        <w:rPr>
          <w:rFonts w:cs="Guttman Drogolin" w:hint="cs"/>
          <w:rtl/>
          <w:lang w:bidi="he-IL"/>
        </w:rPr>
        <w:t xml:space="preserve">היא </w:t>
      </w:r>
      <w:r w:rsidRPr="008E3432">
        <w:rPr>
          <w:rFonts w:cs="Guttman Drogolin" w:hint="cs"/>
          <w:rtl/>
          <w:lang w:bidi="he-IL"/>
        </w:rPr>
        <w:t xml:space="preserve">ואין לנו טעם אחר לאסור בגמ' אלא משום עירוב חלב טמא. התשובה דהא איכא תי' הראשון שאין לאסור גבינה עצמה משום גזירת חל בעכו"ם, דהא ליכא חשש של נסיובי דחלבא וכנ"ל. וכן לכאורה מתבאר מביאור הגר"א סי' קט"ו ס"ק י"ז. אמנם לשון רש"י בדף ל"ה ע"ב בד"ה </w:t>
      </w:r>
      <w:r w:rsidRPr="008E3432">
        <w:rPr>
          <w:rFonts w:cs="Guttman Drogolin"/>
          <w:rtl/>
          <w:lang w:bidi="he-IL"/>
        </w:rPr>
        <w:t xml:space="preserve">ליכא למיקם עלה דמלתא </w:t>
      </w:r>
      <w:r w:rsidRPr="008E3432">
        <w:rPr>
          <w:rFonts w:cs="Guttman Drogolin" w:hint="cs"/>
          <w:rtl/>
          <w:lang w:bidi="he-IL"/>
        </w:rPr>
        <w:t>"</w:t>
      </w:r>
      <w:r w:rsidRPr="008E3432">
        <w:rPr>
          <w:rFonts w:cs="Guttman Drogolin"/>
          <w:rtl/>
          <w:lang w:bidi="he-IL"/>
        </w:rPr>
        <w:t>אבל לגבינה סלקא דעתא השתא דמותר</w:t>
      </w:r>
      <w:r w:rsidRPr="008E3432">
        <w:rPr>
          <w:rFonts w:cs="Guttman Drogolin" w:hint="cs"/>
          <w:rtl/>
          <w:lang w:bidi="he-IL"/>
        </w:rPr>
        <w:t xml:space="preserve">". ומשמע שהתי' השני אינו אלא ס"ד. וע' גם בחי' הרמב"ן שבמקום 'איבעית אימא' גרס 'השתא דאתית להכי', ומשמע שם שזהו ג"כ גירסת רש"י. ולכאורה משמע שאין ב' תירוצים. ובתוס' רי"ד כתב בהדיא דרש"י לא גרס 'השתא דאתית להכי' אלא 'איבעית אימא'. ונראה שמ"מ </w:t>
      </w:r>
      <w:r w:rsidRPr="008E3432">
        <w:rPr>
          <w:rFonts w:cs="Guttman Drogolin" w:hint="cs"/>
          <w:rtl/>
          <w:lang w:bidi="he-IL"/>
        </w:rPr>
        <w:lastRenderedPageBreak/>
        <w:t>יש ס"ד בגמ' ומשו"ה כתבו תירוצים אחרים. ועדיין צע"ק. וע' בתוס' רי"ד שגרס השתא דאתית להכי ופי' שכוונת הגמ' שעכשיו יש לנו טעם חדש לאסור גבינת עכו"ם.</w:t>
      </w:r>
    </w:p>
    <w:p w:rsidR="008E3432" w:rsidRPr="008E3432" w:rsidRDefault="008E3432" w:rsidP="0012310F">
      <w:pPr>
        <w:tabs>
          <w:tab w:val="right" w:pos="7497"/>
        </w:tabs>
        <w:bidi/>
        <w:jc w:val="both"/>
        <w:rPr>
          <w:rFonts w:cs="Guttman Drogolin"/>
          <w:rtl/>
          <w:lang w:bidi="he-IL"/>
        </w:rPr>
      </w:pPr>
      <w:r w:rsidRPr="008E3432">
        <w:rPr>
          <w:rFonts w:cs="Guttman Drogolin" w:hint="cs"/>
          <w:rtl/>
          <w:lang w:bidi="he-IL"/>
        </w:rPr>
        <w:t>ומ"מ התוס' בדף ל"ה ע"א הקשו על זה שפירש"י בהא ד"</w:t>
      </w:r>
      <w:r w:rsidRPr="008E3432">
        <w:rPr>
          <w:rFonts w:cs="Guttman Drogolin"/>
          <w:rtl/>
          <w:lang w:bidi="he-IL"/>
        </w:rPr>
        <w:t>לפי שא"א לה בלא צחצוחי חלב</w:t>
      </w:r>
      <w:r w:rsidRPr="008E3432">
        <w:rPr>
          <w:rFonts w:cs="Guttman Drogolin" w:hint="cs"/>
          <w:rtl/>
          <w:lang w:bidi="he-IL"/>
        </w:rPr>
        <w:t>" שכוונת הגמ' לגמ' שבע"ב</w:t>
      </w:r>
      <w:r w:rsidR="00836F76">
        <w:rPr>
          <w:rFonts w:cs="Guttman Drogolin" w:hint="cs"/>
          <w:rtl/>
          <w:lang w:bidi="he-IL"/>
        </w:rPr>
        <w:t>.</w:t>
      </w:r>
      <w:r w:rsidRPr="008E3432">
        <w:rPr>
          <w:rFonts w:cs="Guttman Drogolin" w:hint="cs"/>
          <w:rtl/>
          <w:lang w:bidi="he-IL"/>
        </w:rPr>
        <w:t xml:space="preserve"> חדא, דהו"ל לגמ' </w:t>
      </w:r>
      <w:r w:rsidR="00836F76">
        <w:rPr>
          <w:rFonts w:cs="Guttman Drogolin" w:hint="cs"/>
          <w:rtl/>
          <w:lang w:bidi="he-IL"/>
        </w:rPr>
        <w:t xml:space="preserve">למימר </w:t>
      </w:r>
      <w:r w:rsidRPr="008E3432">
        <w:rPr>
          <w:rFonts w:cs="Guttman Drogolin" w:hint="cs"/>
          <w:rtl/>
          <w:lang w:bidi="he-IL"/>
        </w:rPr>
        <w:t>'אלא אמר ר' חנינא'. ובזה כתב בחי' הריטב"א דאה"נ ולשיטת רש"י גורסים 'אלא'. אלא שעוד מקשים התוס' דכיון שעושה גבינה עם החלב, איזה שוטה יערב חלב טמא לתוך חלב שעושה בה גבינה</w:t>
      </w:r>
      <w:r w:rsidR="00836F76">
        <w:rPr>
          <w:rFonts w:cs="Guttman Drogolin" w:hint="cs"/>
          <w:rtl/>
          <w:lang w:bidi="he-IL"/>
        </w:rPr>
        <w:t xml:space="preserve"> כיון שאי אפשר לעשות גבינה מחלב טמא</w:t>
      </w:r>
      <w:r w:rsidR="00C54030">
        <w:rPr>
          <w:rStyle w:val="FootnoteReference"/>
          <w:rFonts w:cs="Guttman Drogolin"/>
          <w:rtl/>
          <w:lang w:bidi="he-IL"/>
        </w:rPr>
        <w:footnoteReference w:id="585"/>
      </w:r>
      <w:r w:rsidRPr="008E3432">
        <w:rPr>
          <w:rFonts w:cs="Guttman Drogolin" w:hint="cs"/>
          <w:rtl/>
          <w:lang w:bidi="he-IL"/>
        </w:rPr>
        <w:t xml:space="preserve">. ואע"ג שהגמ' בע"ב כתב בהדיא שאפילו עשו בה גבינה אסור משום חשש חלב בין הגומות, הנ"מ כשחולב לתת החלב לישראל, </w:t>
      </w:r>
      <w:r w:rsidR="000961FD">
        <w:rPr>
          <w:rFonts w:cs="Guttman Drogolin" w:hint="cs"/>
          <w:rtl/>
          <w:lang w:bidi="he-IL"/>
        </w:rPr>
        <w:t xml:space="preserve">דמה איכפת לו לנכרי אם אינו עומד, דמאן לימא לן שיעשה בה גבינה, וכן אולי לא ישים לב לחלק הנסיובי וכדומה. </w:t>
      </w:r>
      <w:r w:rsidRPr="008E3432">
        <w:rPr>
          <w:rFonts w:cs="Guttman Drogolin" w:hint="cs"/>
          <w:rtl/>
          <w:lang w:bidi="he-IL"/>
        </w:rPr>
        <w:t>אבל כשהנכרי עצמו עושה הגבינה ליכא למיחש לחלב טמא כיון שאינו עומד</w:t>
      </w:r>
      <w:r w:rsidR="000961FD">
        <w:rPr>
          <w:rFonts w:cs="Guttman Drogolin" w:hint="cs"/>
          <w:rtl/>
          <w:lang w:bidi="he-IL"/>
        </w:rPr>
        <w:t>, דלמה הי' עושה כן לעצמו</w:t>
      </w:r>
      <w:r w:rsidRPr="008E3432">
        <w:rPr>
          <w:rFonts w:cs="Guttman Drogolin" w:hint="cs"/>
          <w:rtl/>
          <w:lang w:bidi="he-IL"/>
        </w:rPr>
        <w:t>. ומשום קושיות אלו פירשו התוס' שאין כוונת הגמ' לאסור משום חשש תערובת חלב טמא כהא דחלב עכו"ם, רק שהוא</w:t>
      </w:r>
      <w:r w:rsidR="000961FD">
        <w:rPr>
          <w:rFonts w:cs="Guttman Drogolin" w:hint="cs"/>
          <w:rtl/>
          <w:lang w:bidi="he-IL"/>
        </w:rPr>
        <w:t xml:space="preserve"> </w:t>
      </w:r>
      <w:r w:rsidRPr="008E3432">
        <w:rPr>
          <w:rFonts w:cs="Guttman Drogolin" w:hint="cs"/>
          <w:rtl/>
          <w:lang w:bidi="he-IL"/>
        </w:rPr>
        <w:t>המשך של התי' דלעיל מיני'</w:t>
      </w:r>
      <w:r w:rsidR="000961FD">
        <w:rPr>
          <w:rFonts w:cs="Guttman Drogolin" w:hint="cs"/>
          <w:rtl/>
          <w:lang w:bidi="he-IL"/>
        </w:rPr>
        <w:t xml:space="preserve"> שאסרו גבינת עכו"ם משום חשש ארס</w:t>
      </w:r>
      <w:r w:rsidRPr="008E3432">
        <w:rPr>
          <w:rFonts w:cs="Guttman Drogolin" w:hint="cs"/>
          <w:rtl/>
          <w:lang w:bidi="he-IL"/>
        </w:rPr>
        <w:t xml:space="preserve">, ומה שרצתה הגמ' לדחות דא"כ בישן תשתרי, בזה תי' הגמ' דמ"מ יש חשש חלב בין הגומות אפילו בישן, לכן אפילו בישן יש לאסור משום </w:t>
      </w:r>
      <w:r w:rsidR="000961FD">
        <w:rPr>
          <w:rFonts w:cs="Guttman Drogolin" w:hint="cs"/>
          <w:rtl/>
          <w:lang w:bidi="he-IL"/>
        </w:rPr>
        <w:t>חשש ארס</w:t>
      </w:r>
      <w:r w:rsidRPr="008E3432">
        <w:rPr>
          <w:rFonts w:cs="Guttman Drogolin" w:hint="cs"/>
          <w:rtl/>
          <w:lang w:bidi="he-IL"/>
        </w:rPr>
        <w:t>. וע"ש שהביאו ש</w:t>
      </w:r>
      <w:r w:rsidR="000961FD">
        <w:rPr>
          <w:rFonts w:cs="Guttman Drogolin" w:hint="cs"/>
          <w:rtl/>
          <w:lang w:bidi="he-IL"/>
        </w:rPr>
        <w:t>כן מבואר גם מן</w:t>
      </w:r>
      <w:r w:rsidRPr="008E3432">
        <w:rPr>
          <w:rFonts w:cs="Guttman Drogolin" w:hint="cs"/>
          <w:rtl/>
          <w:lang w:bidi="he-IL"/>
        </w:rPr>
        <w:t xml:space="preserve"> הירושלמי ש</w:t>
      </w:r>
      <w:r w:rsidR="000961FD">
        <w:rPr>
          <w:rFonts w:cs="Guttman Drogolin" w:hint="cs"/>
          <w:rtl/>
          <w:lang w:bidi="he-IL"/>
        </w:rPr>
        <w:t>הטעם שאסרו גבינת עכו"ם הוא משום חשש ארס</w:t>
      </w:r>
      <w:r w:rsidRPr="008E3432">
        <w:rPr>
          <w:rFonts w:cs="Guttman Drogolin" w:hint="cs"/>
          <w:rtl/>
          <w:lang w:bidi="he-IL"/>
        </w:rPr>
        <w:t xml:space="preserve">. ושם בתוד"ה משום </w:t>
      </w:r>
      <w:r w:rsidR="0012310F">
        <w:rPr>
          <w:rFonts w:cs="Guttman Drogolin" w:hint="cs"/>
          <w:rtl/>
          <w:lang w:bidi="he-IL"/>
        </w:rPr>
        <w:t>כתבו</w:t>
      </w:r>
      <w:r w:rsidRPr="008E3432">
        <w:rPr>
          <w:rFonts w:cs="Guttman Drogolin" w:hint="cs"/>
          <w:rtl/>
          <w:lang w:bidi="he-IL"/>
        </w:rPr>
        <w:t xml:space="preserve"> שבאמת הי' אפשר לאסור</w:t>
      </w:r>
      <w:r w:rsidR="0012310F">
        <w:rPr>
          <w:rFonts w:cs="Guttman Drogolin" w:hint="cs"/>
          <w:rtl/>
          <w:lang w:bidi="he-IL"/>
        </w:rPr>
        <w:t xml:space="preserve"> גם</w:t>
      </w:r>
      <w:r w:rsidRPr="008E3432">
        <w:rPr>
          <w:rFonts w:cs="Guttman Drogolin" w:hint="cs"/>
          <w:rtl/>
          <w:lang w:bidi="he-IL"/>
        </w:rPr>
        <w:t xml:space="preserve"> חלב עכו"ם משום </w:t>
      </w:r>
      <w:r w:rsidR="0012310F">
        <w:rPr>
          <w:rFonts w:cs="Guttman Drogolin" w:hint="cs"/>
          <w:rtl/>
          <w:lang w:bidi="he-IL"/>
        </w:rPr>
        <w:t>חשש ארס</w:t>
      </w:r>
      <w:r w:rsidRPr="008E3432">
        <w:rPr>
          <w:rFonts w:cs="Guttman Drogolin" w:hint="cs"/>
          <w:rtl/>
          <w:lang w:bidi="he-IL"/>
        </w:rPr>
        <w:t xml:space="preserve">, אבל נקטו טעם אחר </w:t>
      </w:r>
      <w:r w:rsidR="0012310F">
        <w:rPr>
          <w:rFonts w:cs="Guttman Drogolin" w:hint="cs"/>
          <w:rtl/>
          <w:lang w:bidi="he-IL"/>
        </w:rPr>
        <w:t xml:space="preserve">כדי </w:t>
      </w:r>
      <w:r w:rsidRPr="008E3432">
        <w:rPr>
          <w:rFonts w:cs="Guttman Drogolin" w:hint="cs"/>
          <w:rtl/>
          <w:lang w:bidi="he-IL"/>
        </w:rPr>
        <w:t xml:space="preserve">שיהא </w:t>
      </w:r>
      <w:r w:rsidR="0012310F">
        <w:rPr>
          <w:rFonts w:cs="Guttman Drogolin" w:hint="cs"/>
          <w:rtl/>
          <w:lang w:bidi="he-IL"/>
        </w:rPr>
        <w:t>א</w:t>
      </w:r>
      <w:r w:rsidRPr="008E3432">
        <w:rPr>
          <w:rFonts w:cs="Guttman Drogolin" w:hint="cs"/>
          <w:rtl/>
          <w:lang w:bidi="he-IL"/>
        </w:rPr>
        <w:t xml:space="preserve">סור אפילו היכא דליכא למיחש לגילוי. </w:t>
      </w:r>
    </w:p>
    <w:p w:rsidR="008E3432" w:rsidRPr="008E3432" w:rsidRDefault="008E3432" w:rsidP="003B59C7">
      <w:pPr>
        <w:tabs>
          <w:tab w:val="right" w:pos="7497"/>
        </w:tabs>
        <w:bidi/>
        <w:jc w:val="both"/>
        <w:rPr>
          <w:rFonts w:cs="Guttman Drogolin"/>
          <w:rtl/>
          <w:lang w:bidi="he-IL"/>
        </w:rPr>
      </w:pPr>
      <w:r w:rsidRPr="008E3432">
        <w:rPr>
          <w:rFonts w:cs="Guttman Drogolin" w:hint="cs"/>
          <w:rtl/>
          <w:lang w:bidi="he-IL"/>
        </w:rPr>
        <w:t xml:space="preserve">ומ"מ יל"ע מה יתרץ רש"י לקושיות התוס'. והנה בתוס' רי"ד כתב לפי דרכו של רש"י שאפילו בגבינת עכו"ם יש לחשוש לחלב טמא המעורב בה, ומשום דיתכן שעירבו בה חלב טמא כדי למוכרו כחלב, ושוב נמלך לעשות בה גבינה. </w:t>
      </w:r>
      <w:r w:rsidRPr="008E3432">
        <w:rPr>
          <w:rFonts w:cs="Guttman Drogolin" w:hint="cs"/>
          <w:rtl/>
          <w:lang w:bidi="he-IL"/>
        </w:rPr>
        <w:lastRenderedPageBreak/>
        <w:t>והתוס' שלא חששו לזה, ע' תוס' ר' אלחנן ובמרדכי (תתכ"ו) בשם ר"ת דהיינו משום דכיון שאין לו ענין לעשות כן בכוונה, ליכא למיחש למקרה שהי' בו חלב טמא בטעות. ו</w:t>
      </w:r>
      <w:r w:rsidR="00406572">
        <w:rPr>
          <w:rFonts w:cs="Guttman Drogolin" w:hint="cs"/>
          <w:rtl/>
          <w:lang w:bidi="he-IL"/>
        </w:rPr>
        <w:t xml:space="preserve">מסתבר שגם </w:t>
      </w:r>
      <w:r w:rsidRPr="008E3432">
        <w:rPr>
          <w:rFonts w:cs="Guttman Drogolin" w:hint="cs"/>
          <w:rtl/>
          <w:lang w:bidi="he-IL"/>
        </w:rPr>
        <w:t xml:space="preserve">רש"י מודה שאין לחשוש לנמלך מעיקר הדין, דהא מה"ת, רק דסבר שמאחר וגזרו על חלב עכו"ם, כל זמן שיש חשש לחלב טמא, אפילו אם הוא חשש רחוק, יש לגזור. והתוס' כתבו דעד כמה שעיקר החשש אינו קיים, יש להתיר. וע' גם חזו"א יו"ד סי' מ"א ס"ק א' ד"ה ובשביל דיתכן שהחשש משום שאולי הכלי אינו רחוץ, והוא </w:t>
      </w:r>
      <w:r w:rsidR="003B59C7">
        <w:rPr>
          <w:rFonts w:cs="Guttman Drogolin" w:hint="cs"/>
          <w:rtl/>
          <w:lang w:bidi="he-IL"/>
        </w:rPr>
        <w:t>על דרך תירוצו של</w:t>
      </w:r>
      <w:r w:rsidRPr="008E3432">
        <w:rPr>
          <w:rFonts w:cs="Guttman Drogolin" w:hint="cs"/>
          <w:rtl/>
          <w:lang w:bidi="he-IL"/>
        </w:rPr>
        <w:t xml:space="preserve"> התוס' רי"ד.</w:t>
      </w:r>
    </w:p>
    <w:p w:rsidR="008E3432" w:rsidRPr="008E3432" w:rsidRDefault="008E3432" w:rsidP="00E8363B">
      <w:pPr>
        <w:tabs>
          <w:tab w:val="right" w:pos="7497"/>
        </w:tabs>
        <w:bidi/>
        <w:jc w:val="both"/>
        <w:rPr>
          <w:rFonts w:cs="Guttman Drogolin"/>
          <w:rtl/>
          <w:lang w:bidi="he-IL"/>
        </w:rPr>
      </w:pPr>
      <w:r w:rsidRPr="008E3432">
        <w:rPr>
          <w:rFonts w:cs="Guttman Drogolin" w:hint="cs"/>
          <w:rtl/>
          <w:lang w:bidi="he-IL"/>
        </w:rPr>
        <w:t>אמנם יש לזה תשובה מפורסמת של החת"ס (יו"ד סי' ק"ז). והוא דהנה לכאורה יל"ע מהו גדר האיסור של חלב עכו"ם. והנה זה פשוט שלא אסור כל זמן שלא עשה יהוד</w:t>
      </w:r>
      <w:r w:rsidR="00E8363B">
        <w:rPr>
          <w:rFonts w:cs="Guttman Drogolin" w:hint="cs"/>
          <w:rtl/>
          <w:lang w:bidi="he-IL"/>
        </w:rPr>
        <w:t>י</w:t>
      </w:r>
      <w:r w:rsidRPr="008E3432">
        <w:rPr>
          <w:rFonts w:cs="Guttman Drogolin" w:hint="cs"/>
          <w:rtl/>
          <w:lang w:bidi="he-IL"/>
        </w:rPr>
        <w:t xml:space="preserve"> מעשה החליבה, וכדמפורש במתני' שבישראל רואהו סגי. וכן מבואר בברייתא דלקמן דף ל"ט ע"ב שלא צריכים אפילו רואהו, דהא יכול לראותו ג"כ </w:t>
      </w:r>
      <w:r w:rsidR="00E8363B">
        <w:rPr>
          <w:rFonts w:cs="Guttman Drogolin" w:hint="cs"/>
          <w:rtl/>
          <w:lang w:bidi="he-IL"/>
        </w:rPr>
        <w:t>מספיק</w:t>
      </w:r>
      <w:r w:rsidRPr="008E3432">
        <w:rPr>
          <w:rFonts w:cs="Guttman Drogolin" w:hint="cs"/>
          <w:rtl/>
          <w:lang w:bidi="he-IL"/>
        </w:rPr>
        <w:t xml:space="preserve"> ומשום דמירתת ולא יערב בה חלב טמא. וכן מבואר לפי התוס' שלא אסרו גבינת עכו"ם משום דין חלב עכו"ם כיון שאין חשש חלב טמא וכנ"ל. ולכאורה מכל הלין נשמע שעיקר הדין של חלב עכו"ם הוא למיחש לתערובת חלב טמא, ועד כמה שידוע לנו דליכא למיחש הרי זה מותר. באופן שלכאורה יש לומר שאין זה גזירת חכמים, רק הוא חשש מעיקר הדין לחלב טמא. וכן מצאתי בהדיא בשו"ת תשב"ץ ח"ג סי' קמ"ג "</w:t>
      </w:r>
      <w:r w:rsidRPr="008E3432">
        <w:rPr>
          <w:rFonts w:cs="Guttman Drogolin"/>
          <w:rtl/>
          <w:lang w:bidi="he-IL"/>
        </w:rPr>
        <w:t>עוד שאלת חלב שחלבו עכו"ם ואין ישראל רואהו הנאסר מתקנ' חכמים אם יש לו שום היתר</w:t>
      </w:r>
      <w:r w:rsidRPr="008E3432">
        <w:rPr>
          <w:rFonts w:cs="Guttman Drogolin" w:hint="cs"/>
          <w:rtl/>
          <w:lang w:bidi="he-IL"/>
        </w:rPr>
        <w:t xml:space="preserve"> וכו' </w:t>
      </w:r>
      <w:r w:rsidRPr="008E3432">
        <w:rPr>
          <w:rFonts w:cs="Guttman Drogolin"/>
          <w:rtl/>
          <w:lang w:bidi="he-IL"/>
        </w:rPr>
        <w:t>תשובה חלב שחלבו עכו"ם ואין ישראל רואהו אינו מתקנ' חכמים וגדריהם כמו שכתבת אלא ספקא דאורייתא</w:t>
      </w:r>
      <w:r w:rsidRPr="008E3432">
        <w:rPr>
          <w:rFonts w:cs="Guttman Drogolin"/>
          <w:vertAlign w:val="superscript"/>
          <w:rtl/>
          <w:lang w:bidi="he-IL"/>
        </w:rPr>
        <w:footnoteReference w:id="586"/>
      </w:r>
      <w:r w:rsidRPr="008E3432">
        <w:rPr>
          <w:rFonts w:cs="Guttman Drogolin"/>
          <w:rtl/>
          <w:lang w:bidi="he-IL"/>
        </w:rPr>
        <w:t xml:space="preserve"> משום תערוב' חלב טמא</w:t>
      </w:r>
      <w:r w:rsidRPr="008E3432">
        <w:rPr>
          <w:rFonts w:cs="Guttman Drogolin" w:hint="cs"/>
          <w:rtl/>
          <w:lang w:bidi="he-IL"/>
        </w:rPr>
        <w:t>". ונראה שאפילו אם אינו אלא חשש מדרבנן, מ"מ כוונת הדברים משום שמדאו</w:t>
      </w:r>
      <w:r w:rsidR="00E8363B">
        <w:rPr>
          <w:rFonts w:cs="Guttman Drogolin" w:hint="cs"/>
          <w:rtl/>
          <w:lang w:bidi="he-IL"/>
        </w:rPr>
        <w:t>רייתא אין לנו לבדות מ</w:t>
      </w:r>
      <w:r w:rsidRPr="008E3432">
        <w:rPr>
          <w:rFonts w:cs="Guttman Drogolin" w:hint="cs"/>
          <w:rtl/>
          <w:lang w:bidi="he-IL"/>
        </w:rPr>
        <w:t>ל</w:t>
      </w:r>
      <w:r w:rsidR="00E8363B">
        <w:rPr>
          <w:rFonts w:cs="Guttman Drogolin" w:hint="cs"/>
          <w:rtl/>
          <w:lang w:bidi="he-IL"/>
        </w:rPr>
        <w:t>י</w:t>
      </w:r>
      <w:r w:rsidRPr="008E3432">
        <w:rPr>
          <w:rFonts w:cs="Guttman Drogolin" w:hint="cs"/>
          <w:rtl/>
          <w:lang w:bidi="he-IL"/>
        </w:rPr>
        <w:t xml:space="preserve">בנו שיש כאן תערובת של חלב טמא, דמה"ת. דוגמת מה ששותים מים בלי השגחה עליו, אע"ג שיש צד </w:t>
      </w:r>
      <w:r w:rsidRPr="008E3432">
        <w:rPr>
          <w:rFonts w:cs="Guttman Drogolin" w:hint="cs"/>
          <w:rtl/>
          <w:lang w:bidi="he-IL"/>
        </w:rPr>
        <w:lastRenderedPageBreak/>
        <w:t xml:space="preserve">שהוסיפו כמה מיני דברים האסורים או מסוכנים רח"ל, מ"מ אין לנו לבדות דבר זה מליבנו, ולכן מעיקר הדין הרי הוא מותר. וזהו לכאורה כוונת האו"ה </w:t>
      </w:r>
      <w:r w:rsidR="00E8363B">
        <w:rPr>
          <w:rFonts w:cs="Guttman Drogolin" w:hint="cs"/>
          <w:rtl/>
          <w:lang w:bidi="he-IL"/>
        </w:rPr>
        <w:t xml:space="preserve">הנ"ל </w:t>
      </w:r>
      <w:r w:rsidRPr="008E3432">
        <w:rPr>
          <w:rFonts w:cs="Guttman Drogolin" w:hint="cs"/>
          <w:rtl/>
          <w:lang w:bidi="he-IL"/>
        </w:rPr>
        <w:t>המוזכר בש"ך סי' קי"ח. אבל מ"מ מדרבנן הוסיפו לחשוש לחלב טמא אע"ג שאין לנו דררא להסתפק. ומ"מ אם יש לנו הוכחה שאין כאן חלב טמא, קיימו תקנת חז"ל דהא לא אמרו אלא לחשוש במקום שאין הוכחה, אבל כשיש הוכחה הרי זה מותר, שלא תיקנו מעיקרא אלא לחשוש במקום שאין לנו הוכחה.</w:t>
      </w:r>
    </w:p>
    <w:p w:rsidR="008E3432" w:rsidRPr="008E3432" w:rsidRDefault="008E3432" w:rsidP="008E3432">
      <w:pPr>
        <w:tabs>
          <w:tab w:val="right" w:pos="7497"/>
        </w:tabs>
        <w:bidi/>
        <w:jc w:val="both"/>
        <w:rPr>
          <w:rFonts w:cs="Guttman Drogolin"/>
          <w:rtl/>
          <w:lang w:bidi="he-IL"/>
        </w:rPr>
      </w:pPr>
      <w:r w:rsidRPr="008E3432">
        <w:rPr>
          <w:rFonts w:cs="Guttman Drogolin" w:hint="cs"/>
          <w:rtl/>
          <w:lang w:bidi="he-IL"/>
        </w:rPr>
        <w:t>אמנם יש מקורות לומר דאמנם הטעם שאסרו חלב עכו"ם הוא משום חשש של חלב טמא, מ"מ אחרי שתיקנו כן</w:t>
      </w:r>
      <w:r w:rsidR="008D170E">
        <w:rPr>
          <w:rFonts w:cs="Guttman Drogolin" w:hint="cs"/>
          <w:rtl/>
          <w:lang w:bidi="he-IL"/>
        </w:rPr>
        <w:t>,</w:t>
      </w:r>
      <w:r w:rsidRPr="008E3432">
        <w:rPr>
          <w:rFonts w:cs="Guttman Drogolin" w:hint="cs"/>
          <w:rtl/>
          <w:lang w:bidi="he-IL"/>
        </w:rPr>
        <w:t xml:space="preserve"> חלב עכו"ם אסור בעצם מגזירת חכמים. דהנה שם בגמ' שבדף ל"ט ע"ב מסתפק הגמ' מהו כוונת הברייתא במש"כ "</w:t>
      </w:r>
      <w:r w:rsidRPr="008E3432">
        <w:rPr>
          <w:rFonts w:cs="Guttman Drogolin"/>
          <w:rtl/>
          <w:lang w:bidi="he-IL"/>
        </w:rPr>
        <w:t>יושב ישראל בצד עדרו של עובד כוכבים ועובד כוכבים חולב לו ומביא לו, ואינו חושש</w:t>
      </w:r>
      <w:r w:rsidRPr="008E3432">
        <w:rPr>
          <w:rFonts w:cs="Guttman Drogolin" w:hint="cs"/>
          <w:rtl/>
          <w:lang w:bidi="he-IL"/>
        </w:rPr>
        <w:t>" וביאר</w:t>
      </w:r>
      <w:r w:rsidRPr="008E3432">
        <w:rPr>
          <w:rFonts w:cs="Guttman Drogolin"/>
          <w:rtl/>
          <w:lang w:bidi="he-IL"/>
        </w:rPr>
        <w:t xml:space="preserve"> </w:t>
      </w:r>
      <w:r w:rsidRPr="008E3432">
        <w:rPr>
          <w:rFonts w:cs="Guttman Drogolin" w:hint="cs"/>
          <w:rtl/>
          <w:lang w:bidi="he-IL"/>
        </w:rPr>
        <w:t>ד"</w:t>
      </w:r>
      <w:r w:rsidRPr="008E3432">
        <w:rPr>
          <w:rFonts w:cs="Guttman Drogolin"/>
          <w:rtl/>
          <w:lang w:bidi="he-IL"/>
        </w:rPr>
        <w:t>אי דליכא דבר טמא בעדרו, פשיטא</w:t>
      </w:r>
      <w:r w:rsidRPr="008E3432">
        <w:rPr>
          <w:rFonts w:cs="Guttman Drogolin" w:hint="cs"/>
          <w:rtl/>
          <w:lang w:bidi="he-IL"/>
        </w:rPr>
        <w:t>". וע' במרדכי (סי' תתכ"ו) שדקדק שהגמ' לא שאלה "אי דליכא דבר טמא בעדרו 'יושב ישראל בצד עדרו למה לי'. וביאר שהוא משום שאפילו אם ליכא דבר טמא בעדרו</w:t>
      </w:r>
      <w:r w:rsidRPr="008E3432">
        <w:rPr>
          <w:rFonts w:cs="Guttman Drogolin"/>
          <w:rtl/>
          <w:lang w:bidi="he-IL"/>
        </w:rPr>
        <w:t xml:space="preserve"> </w:t>
      </w:r>
      <w:r w:rsidR="008D170E">
        <w:rPr>
          <w:rFonts w:cs="Guttman Drogolin" w:hint="cs"/>
          <w:rtl/>
          <w:lang w:bidi="he-IL"/>
        </w:rPr>
        <w:t>מ"מ יש איסור בחל</w:t>
      </w:r>
      <w:r w:rsidRPr="008E3432">
        <w:rPr>
          <w:rFonts w:cs="Guttman Drogolin" w:hint="cs"/>
          <w:rtl/>
          <w:lang w:bidi="he-IL"/>
        </w:rPr>
        <w:t>ב</w:t>
      </w:r>
      <w:r w:rsidR="008D170E">
        <w:rPr>
          <w:rFonts w:cs="Guttman Drogolin" w:hint="cs"/>
          <w:rtl/>
          <w:lang w:bidi="he-IL"/>
        </w:rPr>
        <w:t xml:space="preserve"> </w:t>
      </w:r>
      <w:r w:rsidRPr="008E3432">
        <w:rPr>
          <w:rFonts w:cs="Guttman Drogolin" w:hint="cs"/>
          <w:rtl/>
          <w:lang w:bidi="he-IL"/>
        </w:rPr>
        <w:t>עכו"ם אא"כ יושב בצידו (אע"פ שאינו יכול לראותו). וכן דקדקו בתוס' על אתר, רק שהם פירשו הטעם משום דאל"כ יש לאסור משום גילוי. והמרדכי כתב טעם אחר, שאם אינו יושב בצד עדרו "</w:t>
      </w:r>
      <w:r w:rsidRPr="008E3432">
        <w:rPr>
          <w:rFonts w:cs="Guttman Drogolin"/>
          <w:rtl/>
          <w:lang w:bidi="he-IL"/>
        </w:rPr>
        <w:t>דאפילו אין דבר טמא בעדרו יש להחמיר להיות הישראל שם בתחלת החליבה פן יערב או ישים העובד כוכבים חלב טמא בכלי קודם שיבא הישראל [*כדי להרכין המדה]</w:t>
      </w:r>
      <w:r w:rsidRPr="008E3432">
        <w:rPr>
          <w:rFonts w:cs="Guttman Drogolin" w:hint="cs"/>
          <w:rtl/>
          <w:lang w:bidi="he-IL"/>
        </w:rPr>
        <w:t>". ולכאורה גם המרד</w:t>
      </w:r>
      <w:r w:rsidR="00513570">
        <w:rPr>
          <w:rFonts w:cs="Guttman Drogolin" w:hint="cs"/>
          <w:rtl/>
          <w:lang w:bidi="he-IL"/>
        </w:rPr>
        <w:t>כ</w:t>
      </w:r>
      <w:r w:rsidRPr="008E3432">
        <w:rPr>
          <w:rFonts w:cs="Guttman Drogolin" w:hint="cs"/>
          <w:rtl/>
          <w:lang w:bidi="he-IL"/>
        </w:rPr>
        <w:t>י כוונתו לומר שעדיין יש חשש כל זמן שאינו יושב בצד עדרו אע"ג דליכא בה דבר טמא. אבל בשערי דורא סי' פ"ב כתב "</w:t>
      </w:r>
      <w:r w:rsidRPr="008E3432">
        <w:rPr>
          <w:rFonts w:cs="Guttman Drogolin"/>
          <w:rtl/>
          <w:lang w:bidi="he-IL"/>
        </w:rPr>
        <w:t>חלב שחלבו גוי ואין הישראל רואהו, אפילו אין בהמה טמאה בדיר אסור, דלא ליפוק חורבא מיניה. ופורץ גדר ישכנו נחש. כך כתב רש"י</w:t>
      </w:r>
      <w:r w:rsidRPr="008E3432">
        <w:rPr>
          <w:rFonts w:cs="Guttman Drogolin" w:hint="cs"/>
          <w:rtl/>
          <w:lang w:bidi="he-IL"/>
        </w:rPr>
        <w:t>"</w:t>
      </w:r>
      <w:r w:rsidRPr="008E3432">
        <w:rPr>
          <w:rFonts w:cs="Guttman Drogolin"/>
          <w:rtl/>
          <w:lang w:bidi="he-IL"/>
        </w:rPr>
        <w:t xml:space="preserve">. </w:t>
      </w:r>
      <w:r w:rsidRPr="008E3432">
        <w:rPr>
          <w:rFonts w:cs="Guttman Drogolin" w:hint="cs"/>
          <w:rtl/>
          <w:lang w:bidi="he-IL"/>
        </w:rPr>
        <w:t xml:space="preserve">ולכאורה משמע שכוונתו לומר שאפילו בכה"ג </w:t>
      </w:r>
      <w:r w:rsidRPr="008E3432">
        <w:rPr>
          <w:rFonts w:cs="Guttman Drogolin" w:hint="cs"/>
          <w:rtl/>
          <w:lang w:bidi="he-IL"/>
        </w:rPr>
        <w:lastRenderedPageBreak/>
        <w:t>דליכא למיחש לחלב טמא מ"מ יש לאסור, ושכן כתב רש"י.</w:t>
      </w:r>
    </w:p>
    <w:p w:rsidR="008E3432" w:rsidRPr="008E3432" w:rsidRDefault="008E3432" w:rsidP="00046DA7">
      <w:pPr>
        <w:tabs>
          <w:tab w:val="right" w:pos="7497"/>
        </w:tabs>
        <w:bidi/>
        <w:jc w:val="both"/>
        <w:rPr>
          <w:rFonts w:cs="Guttman Drogolin"/>
          <w:rtl/>
          <w:lang w:bidi="he-IL"/>
        </w:rPr>
      </w:pPr>
      <w:r w:rsidRPr="008E3432">
        <w:rPr>
          <w:rFonts w:cs="Guttman Drogolin" w:hint="cs"/>
          <w:rtl/>
          <w:lang w:bidi="he-IL"/>
        </w:rPr>
        <w:t>וכתב בשו"ת חת"ס שלא הראה לנו השע"ד מנין לו שכן סבר רש"י, ושאולי כתב כן בתשובת שאלה. אמנם כתב החת"ס שנראה לו שכן יוצא מדברי רש"י הנ"ל במס' ע"ז דף ל"ה ע"</w:t>
      </w:r>
      <w:r w:rsidR="00046DA7">
        <w:rPr>
          <w:rFonts w:cs="Guttman Drogolin" w:hint="cs"/>
          <w:rtl/>
          <w:lang w:bidi="he-IL"/>
        </w:rPr>
        <w:t>א</w:t>
      </w:r>
      <w:r w:rsidRPr="008E3432">
        <w:rPr>
          <w:rFonts w:cs="Guttman Drogolin" w:hint="cs"/>
          <w:rtl/>
          <w:lang w:bidi="he-IL"/>
        </w:rPr>
        <w:t xml:space="preserve">. ור"ל שהיישוב לשיטת רש"י מקושיות התוס' היא שאין החשש משום שחלב טמא, דהא בזה שפיר שייך קושיות התוס', רק שחוששים שיש 'חלב עכו"ם', ומשום שחלב עכו"ם הוא דבר שבמנין והרי הוא אסור אפילו במקום דליכא למיחש לחלב טמא. </w:t>
      </w:r>
    </w:p>
    <w:p w:rsidR="008E3432" w:rsidRPr="008E3432" w:rsidRDefault="008E3432" w:rsidP="00990144">
      <w:pPr>
        <w:tabs>
          <w:tab w:val="right" w:pos="7497"/>
        </w:tabs>
        <w:bidi/>
        <w:jc w:val="both"/>
        <w:rPr>
          <w:rFonts w:cs="Guttman Drogolin"/>
          <w:rtl/>
          <w:lang w:bidi="he-IL"/>
        </w:rPr>
      </w:pPr>
      <w:r w:rsidRPr="008E3432">
        <w:rPr>
          <w:rFonts w:cs="Guttman Drogolin" w:hint="cs"/>
          <w:rtl/>
          <w:lang w:bidi="he-IL"/>
        </w:rPr>
        <w:t xml:space="preserve">ולכאורה לשיטתו עדיין צ"ע, דהא אם גזרו על חלב עכו"ם אע"ג </w:t>
      </w:r>
      <w:r w:rsidR="00211253">
        <w:rPr>
          <w:rFonts w:cs="Guttman Drogolin" w:hint="cs"/>
          <w:rtl/>
          <w:lang w:bidi="he-IL"/>
        </w:rPr>
        <w:t>ד</w:t>
      </w:r>
      <w:r w:rsidRPr="008E3432">
        <w:rPr>
          <w:rFonts w:cs="Guttman Drogolin" w:hint="cs"/>
          <w:rtl/>
          <w:lang w:bidi="he-IL"/>
        </w:rPr>
        <w:t>ליכא למיחש לחלב טמא, מאי שנא רואהו או יושב מבחוץ ויכול לראותו מהא דליכא למיחש משום שרק שוטה יעשה כן. ולכאורה היינו משום שכן גזרו דרק ראי' או מירתת מהני ולא שאר הוכחות. ואיכא למימר שנתנו לזה גדר, שרק בדאיכא הוכחה הקילו ולא משום חסרון חשש. ועדיין צ"ע, שהרי מבואר בגמ' ש</w:t>
      </w:r>
      <w:r w:rsidR="00211253">
        <w:rPr>
          <w:rFonts w:cs="Guttman Drogolin" w:hint="cs"/>
          <w:rtl/>
          <w:lang w:bidi="he-IL"/>
        </w:rPr>
        <w:t xml:space="preserve">אפילו לר' חנינא </w:t>
      </w:r>
      <w:r w:rsidRPr="008E3432">
        <w:rPr>
          <w:rFonts w:cs="Guttman Drogolin" w:hint="cs"/>
          <w:rtl/>
          <w:lang w:bidi="he-IL"/>
        </w:rPr>
        <w:t xml:space="preserve">עצם הגבינה לא נאסר, ולא נאסר אלא משום צחצוחי חלב, ואם האיסור משום שחלב עכו"ם נאסר אפילו כשאין חשש חלב טמא, למה לא אסרו גם עצם הגבינה אע"ג שאין בה חשש חלב טמא. ולכאורה הי' אפשר לומר שגם הוכחה דגבינה </w:t>
      </w:r>
      <w:r w:rsidR="00211253">
        <w:rPr>
          <w:rFonts w:cs="Guttman Drogolin" w:hint="cs"/>
          <w:rtl/>
          <w:lang w:bidi="he-IL"/>
        </w:rPr>
        <w:t>לא</w:t>
      </w:r>
      <w:r w:rsidR="00990144">
        <w:rPr>
          <w:rFonts w:cs="Guttman Drogolin" w:hint="cs"/>
          <w:rtl/>
          <w:lang w:bidi="he-IL"/>
        </w:rPr>
        <w:t xml:space="preserve"> </w:t>
      </w:r>
      <w:r w:rsidRPr="008E3432">
        <w:rPr>
          <w:rFonts w:cs="Guttman Drogolin" w:hint="cs"/>
          <w:rtl/>
          <w:lang w:bidi="he-IL"/>
        </w:rPr>
        <w:t>מהני כמו שאר ההוכחו</w:t>
      </w:r>
      <w:r w:rsidR="00211253">
        <w:rPr>
          <w:rFonts w:cs="Guttman Drogolin" w:hint="cs"/>
          <w:rtl/>
          <w:lang w:bidi="he-IL"/>
        </w:rPr>
        <w:t>ת</w:t>
      </w:r>
      <w:r w:rsidR="00990144">
        <w:rPr>
          <w:rFonts w:cs="Guttman Drogolin" w:hint="cs"/>
          <w:rtl/>
          <w:lang w:bidi="he-IL"/>
        </w:rPr>
        <w:t xml:space="preserve"> הנ"ל</w:t>
      </w:r>
      <w:r w:rsidRPr="008E3432">
        <w:rPr>
          <w:rFonts w:cs="Guttman Drogolin" w:hint="cs"/>
          <w:rtl/>
          <w:lang w:bidi="he-IL"/>
        </w:rPr>
        <w:t xml:space="preserve">. אבל בשו"ת חת"ס כתב דכיון שנשתנה ואין עליו עכשיו שם חלב, שוב אינו בכלל הגזרה של חלב עכו"ם.   </w:t>
      </w:r>
    </w:p>
    <w:p w:rsidR="008E3432" w:rsidRPr="008E3432" w:rsidRDefault="008E3432" w:rsidP="00990144">
      <w:pPr>
        <w:tabs>
          <w:tab w:val="right" w:pos="7497"/>
        </w:tabs>
        <w:bidi/>
        <w:jc w:val="both"/>
        <w:rPr>
          <w:rFonts w:cs="Guttman Drogolin"/>
          <w:rtl/>
          <w:lang w:bidi="he-IL"/>
        </w:rPr>
      </w:pPr>
      <w:r w:rsidRPr="008E3432">
        <w:rPr>
          <w:rFonts w:cs="Guttman Drogolin" w:hint="cs"/>
          <w:rtl/>
          <w:lang w:bidi="he-IL"/>
        </w:rPr>
        <w:t>והחזו"</w:t>
      </w:r>
      <w:r w:rsidR="00990144">
        <w:rPr>
          <w:rFonts w:cs="Guttman Drogolin" w:hint="cs"/>
          <w:rtl/>
          <w:lang w:bidi="he-IL"/>
        </w:rPr>
        <w:t>א (יו"ד סי' מ"א ס"ק ד') העיר על החת"ס שלכאורה דברי רש"י מדוקדקים שלא כדבריו</w:t>
      </w:r>
      <w:r w:rsidRPr="008E3432">
        <w:rPr>
          <w:rFonts w:cs="Guttman Drogolin" w:hint="cs"/>
          <w:rtl/>
          <w:lang w:bidi="he-IL"/>
        </w:rPr>
        <w:t>. שהרי כתב בדף ל"ה ע"א "</w:t>
      </w:r>
      <w:r w:rsidRPr="008E3432">
        <w:rPr>
          <w:rFonts w:cs="Guttman Drogolin"/>
          <w:rtl/>
          <w:lang w:bidi="he-IL"/>
        </w:rPr>
        <w:t xml:space="preserve">בין גומא של גבינה נשאר מן החלב </w:t>
      </w:r>
      <w:r w:rsidRPr="008E3432">
        <w:rPr>
          <w:rFonts w:cs="Guttman Drogolin" w:hint="cs"/>
          <w:rtl/>
          <w:lang w:bidi="he-IL"/>
        </w:rPr>
        <w:t>וכו'</w:t>
      </w:r>
      <w:r w:rsidRPr="008E3432">
        <w:rPr>
          <w:rFonts w:cs="Guttman Drogolin"/>
          <w:rtl/>
          <w:lang w:bidi="he-IL"/>
        </w:rPr>
        <w:t xml:space="preserve"> ויש לחוש שבגומות נשאר ממנו</w:t>
      </w:r>
      <w:r w:rsidRPr="008E3432">
        <w:rPr>
          <w:rFonts w:cs="Guttman Drogolin" w:hint="cs"/>
          <w:rtl/>
          <w:lang w:bidi="he-IL"/>
        </w:rPr>
        <w:t xml:space="preserve">". שאם החשש משום חלב עכו"ם ולא משום חלב טמא, למה הסיק רש"י עוד הפעם ויש לחוש וכו', הא כבר כתב מעיקרא שזהו החשש. ולכן נראה לומר שאין כוונת רש"י אלא לחשש חלב טמא ולא לחשש חלב עכו"ם בלבד. </w:t>
      </w:r>
    </w:p>
    <w:p w:rsidR="008E3432" w:rsidRDefault="008E3432" w:rsidP="008E3432">
      <w:pPr>
        <w:tabs>
          <w:tab w:val="right" w:pos="7497"/>
        </w:tabs>
        <w:bidi/>
        <w:jc w:val="both"/>
        <w:rPr>
          <w:rFonts w:cs="Guttman Drogolin"/>
          <w:rtl/>
          <w:lang w:bidi="he-IL"/>
        </w:rPr>
      </w:pPr>
    </w:p>
    <w:p w:rsidR="00DA5377" w:rsidRDefault="00DA5377" w:rsidP="00DA5377">
      <w:pPr>
        <w:tabs>
          <w:tab w:val="right" w:pos="7497"/>
        </w:tabs>
        <w:bidi/>
        <w:jc w:val="both"/>
        <w:rPr>
          <w:rFonts w:cs="Guttman Drogolin"/>
          <w:rtl/>
          <w:lang w:bidi="he-IL"/>
        </w:rPr>
        <w:sectPr w:rsidR="00DA5377" w:rsidSect="008E3432">
          <w:type w:val="continuous"/>
          <w:pgSz w:w="11907" w:h="16839" w:code="9"/>
          <w:pgMar w:top="1440" w:right="1440" w:bottom="1440" w:left="1440" w:header="720" w:footer="720" w:gutter="0"/>
          <w:cols w:num="2" w:space="720"/>
          <w:bidi/>
          <w:docGrid w:linePitch="360"/>
        </w:sectPr>
      </w:pPr>
    </w:p>
    <w:p w:rsidR="00DA5377" w:rsidRPr="007942C6" w:rsidRDefault="00DA5377" w:rsidP="00DA5377">
      <w:pPr>
        <w:keepNext/>
        <w:tabs>
          <w:tab w:val="left" w:pos="3818"/>
          <w:tab w:val="center" w:pos="4680"/>
        </w:tabs>
        <w:bidi/>
        <w:jc w:val="center"/>
        <w:rPr>
          <w:rFonts w:cs="Guttman Drogolin"/>
          <w:b/>
          <w:bCs/>
          <w:sz w:val="24"/>
          <w:szCs w:val="24"/>
          <w:rtl/>
          <w:lang w:bidi="he-IL"/>
        </w:rPr>
      </w:pPr>
      <w:r w:rsidRPr="007942C6">
        <w:rPr>
          <w:rFonts w:cs="Guttman Drogolin" w:hint="cs"/>
          <w:b/>
          <w:bCs/>
          <w:sz w:val="48"/>
          <w:szCs w:val="48"/>
          <w:rtl/>
          <w:lang w:bidi="he-IL"/>
        </w:rPr>
        <w:lastRenderedPageBreak/>
        <w:t>שיעור קמ"ה</w:t>
      </w:r>
    </w:p>
    <w:p w:rsidR="00DA5377" w:rsidRDefault="00DA5377" w:rsidP="00DA5377">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sectPr w:rsidR="00DA5377" w:rsidSect="00DA5377">
          <w:pgSz w:w="11907" w:h="16839" w:code="9"/>
          <w:pgMar w:top="1440" w:right="1440" w:bottom="1440" w:left="1440" w:header="720" w:footer="720" w:gutter="0"/>
          <w:cols w:space="720"/>
          <w:bidi/>
          <w:docGrid w:linePitch="360"/>
        </w:sectPr>
      </w:pPr>
    </w:p>
    <w:p w:rsidR="00DA5377" w:rsidRPr="007942C6" w:rsidRDefault="00DA5377" w:rsidP="00DA5377">
      <w:pPr>
        <w:keepNext/>
        <w:keepLines/>
        <w:bidi/>
        <w:spacing w:after="0" w:line="360" w:lineRule="auto"/>
        <w:jc w:val="center"/>
        <w:outlineLvl w:val="0"/>
        <w:rPr>
          <w:rFonts w:asciiTheme="majorHAnsi" w:eastAsiaTheme="majorEastAsia" w:hAnsiTheme="majorHAnsi" w:cs="Guttman Drogolin"/>
          <w:b/>
          <w:bCs/>
          <w:u w:val="single"/>
          <w:rtl/>
          <w:lang w:bidi="he-IL"/>
        </w:rPr>
      </w:pPr>
      <w:bookmarkStart w:id="553" w:name="_Toc496175790"/>
      <w:r w:rsidRPr="007942C6">
        <w:rPr>
          <w:rFonts w:asciiTheme="majorHAnsi" w:eastAsiaTheme="majorEastAsia" w:hAnsiTheme="majorHAnsi" w:cs="Guttman Drogolin" w:hint="cs"/>
          <w:b/>
          <w:bCs/>
          <w:u w:val="single"/>
          <w:rtl/>
          <w:lang w:bidi="he-IL"/>
        </w:rPr>
        <w:lastRenderedPageBreak/>
        <w:t>שיטות הראשונים למעשה בדין גבינת עכו"ם</w:t>
      </w:r>
      <w:bookmarkEnd w:id="553"/>
    </w:p>
    <w:p w:rsidR="00DA5377" w:rsidRPr="00DA5377" w:rsidRDefault="00DA5377" w:rsidP="00DA5377">
      <w:pPr>
        <w:tabs>
          <w:tab w:val="right" w:pos="7497"/>
        </w:tabs>
        <w:bidi/>
        <w:jc w:val="both"/>
        <w:rPr>
          <w:rFonts w:cs="Guttman Drogolin"/>
          <w:rtl/>
          <w:lang w:bidi="he-IL"/>
        </w:rPr>
      </w:pPr>
      <w:r w:rsidRPr="00DA5377">
        <w:rPr>
          <w:rFonts w:cs="Guttman Drogolin"/>
          <w:rtl/>
          <w:lang w:bidi="he-IL"/>
        </w:rPr>
        <w:fldChar w:fldCharType="begin"/>
      </w:r>
      <w:r w:rsidRPr="00DA5377">
        <w:rPr>
          <w:rFonts w:cs="Guttman Drogolin"/>
        </w:rPr>
        <w:instrText xml:space="preserve"> XE "</w:instrText>
      </w:r>
      <w:r w:rsidRPr="00DA5377">
        <w:rPr>
          <w:rFonts w:cs="Guttman Drogolin" w:hint="cs"/>
          <w:rtl/>
          <w:lang w:bidi="he-IL"/>
        </w:rPr>
        <w:instrText>גבינת עכו</w:instrText>
      </w:r>
      <w:r w:rsidRPr="00DA5377">
        <w:rPr>
          <w:rFonts w:eastAsiaTheme="minorEastAsia" w:cs="Guttman Drogolin"/>
          <w:lang w:bidi="he-IL"/>
        </w:rPr>
        <w:instrText>\</w:instrText>
      </w:r>
      <w:r w:rsidRPr="00DA5377">
        <w:rPr>
          <w:rFonts w:cs="Guttman Drogolin" w:hint="cs"/>
          <w:rtl/>
          <w:lang w:bidi="he-IL"/>
        </w:rPr>
        <w:instrText>"ם</w:instrText>
      </w:r>
      <w:r w:rsidRPr="00DA5377">
        <w:rPr>
          <w:rFonts w:cs="Guttman Drogolin"/>
          <w:rtl/>
        </w:rPr>
        <w:instrText>:</w:instrText>
      </w:r>
      <w:r w:rsidRPr="00DA5377">
        <w:rPr>
          <w:rFonts w:cs="Guttman Drogolin" w:hint="cs"/>
          <w:rtl/>
          <w:lang w:bidi="he-IL"/>
        </w:rPr>
        <w:instrText>שיטות הראשונים למעשה בדין וטעם גבינת עכו</w:instrText>
      </w:r>
      <w:r w:rsidRPr="00DA5377">
        <w:rPr>
          <w:rFonts w:eastAsiaTheme="minorEastAsia" w:cs="Guttman Drogolin"/>
          <w:lang w:bidi="he-IL"/>
        </w:rPr>
        <w:instrText>\</w:instrText>
      </w:r>
      <w:r w:rsidRPr="00DA5377">
        <w:rPr>
          <w:rFonts w:cs="Guttman Drogolin" w:hint="cs"/>
          <w:rtl/>
          <w:lang w:bidi="he-IL"/>
        </w:rPr>
        <w:instrText>"ם</w:instrText>
      </w:r>
      <w:r w:rsidRPr="00DA5377">
        <w:rPr>
          <w:rFonts w:cs="Guttman Drogolin"/>
        </w:rPr>
        <w:instrText xml:space="preserve">" </w:instrText>
      </w:r>
      <w:r w:rsidRPr="00DA5377">
        <w:rPr>
          <w:rFonts w:cs="Guttman Drogolin"/>
          <w:rtl/>
          <w:lang w:bidi="he-IL"/>
        </w:rPr>
        <w:fldChar w:fldCharType="end"/>
      </w:r>
      <w:r w:rsidRPr="00DA5377">
        <w:rPr>
          <w:rFonts w:cs="Guttman Drogolin" w:hint="cs"/>
          <w:rtl/>
          <w:lang w:bidi="he-IL"/>
        </w:rPr>
        <w:t xml:space="preserve">במס' ע"ז דף ל"ה ע"א עד ע"ב מבואר כמה טעמים לאיסור גבינת עכו"ם: 1) שיטת ריב"ל שהטעם משום ניקור ור"ל חשש ארס, 2) שיטת ר' חנינא שהטעם משום שא"א לה בלי צחצוחי חלב, ונחלקו רש"י ותוס' אם ר"ל שהוא המשך תי' דלעיל שהוא משום ניקור או"ד שהוא משום חשש חלב של איסור, 3) שיטת שמואל שהוא משום חשש שיעמידו הגבינה בעור קיבת נבילה, 4) שיטת ר' מלכיא שהוא משום שמחליקים פני' בשומן חזיר, 5) שיטת ר' נחמן בר יצחק שהוא מפני שמעמידים אותה בשרף ערלה. </w:t>
      </w:r>
    </w:p>
    <w:p w:rsidR="00DA5377" w:rsidRPr="00DA5377" w:rsidRDefault="00DA5377" w:rsidP="00DA5377">
      <w:pPr>
        <w:tabs>
          <w:tab w:val="right" w:pos="7497"/>
        </w:tabs>
        <w:bidi/>
        <w:jc w:val="both"/>
        <w:rPr>
          <w:rFonts w:cs="Guttman Drogolin"/>
          <w:rtl/>
          <w:lang w:bidi="he-IL"/>
        </w:rPr>
      </w:pPr>
      <w:r w:rsidRPr="00DA5377">
        <w:rPr>
          <w:rFonts w:cs="Guttman Drogolin" w:hint="cs"/>
          <w:rtl/>
          <w:lang w:bidi="he-IL"/>
        </w:rPr>
        <w:t xml:space="preserve">והנה בתוס' ד"ה חדא כתבו בשם ר"ת שעכשיו לא מצינו טעם פשוט לאסור גבינת עכו"ם. ומבארים התוס' דקיי"ל שהטעם לאסור הוא כמש"כ ריב"ל שהוא משום ניקור, דהא ר' חנינא הרי הוא המשך של התי' שלו, ולגבי שמואל עשו חשבון דהלכה כריב"ל כיון שנגד שיטת ר' יוחנן הלכה כריב"ל, ושמואל ור' יוחנן הלכה כר' יוחנן, וא"כ כ"ש שנגד שיטת ריב"ל הלכה כריב"ל. והתי' האחרונים הא נשארו בקושיא. וכיון שיסדו שהלכה כריב"ל, הא בזה"ז אין חוששים לגילוי כיון שאין הנחשים מצוים בינינו, ואין זה דבר שבמנין כיון שמעיקרא לא היתה התקנה לאסור מים גלוים רק לאסור מקום שיש חשש ארס הנחש, והיום הרי ליכא חשש וא"כ אין טעם לאסור. וא"כ לכאורה יתן הדין להתיר גבינת עכו"ם. </w:t>
      </w:r>
    </w:p>
    <w:p w:rsidR="00DA5377" w:rsidRPr="00DA5377" w:rsidRDefault="00DA5377" w:rsidP="00DA5377">
      <w:pPr>
        <w:tabs>
          <w:tab w:val="right" w:pos="7497"/>
        </w:tabs>
        <w:bidi/>
        <w:jc w:val="both"/>
        <w:rPr>
          <w:rFonts w:cs="Guttman Drogolin"/>
          <w:rtl/>
          <w:lang w:bidi="he-IL"/>
        </w:rPr>
      </w:pPr>
      <w:r w:rsidRPr="00DA5377">
        <w:rPr>
          <w:rFonts w:cs="Guttman Drogolin" w:hint="cs"/>
          <w:rtl/>
          <w:lang w:bidi="he-IL"/>
        </w:rPr>
        <w:t xml:space="preserve">והתוס' המשיכו להביא שבהרבה מקומות וכן חכמי נרבונא התירו את הגבינות מפני שמעמידים אותם בפרחים. ולכאורה צ"ע מאי </w:t>
      </w:r>
      <w:r w:rsidRPr="00DA5377">
        <w:rPr>
          <w:rFonts w:cs="Guttman Drogolin" w:hint="cs"/>
          <w:rtl/>
          <w:lang w:bidi="he-IL"/>
        </w:rPr>
        <w:lastRenderedPageBreak/>
        <w:t>נפקא מינה לשיטתם בזה שמעמידים בפרחים, הא לתוס' אין חוששים לטעמו של שמואל שהוא אסור משום שמעמידים בעור קיבת נבילה. ואין לומר שאין כוונתם אלא לומר שמעמידין בדבר הכשר לאכילה ואין לאסור כיון שהעמיד בדבר האסור באכילה, וזה דלית לן דשמואל היינו שאין חוששין לזה אפילו כשלא ידענו, דא"כ פשיטא. ולכאורה נראה לומר בזה דאה"נ ולשיטת התוס' אין צורך לזה, רק כוונתם לומר שאפילו למקומות שחוששים לדשמואל (שכן הוא להדיא ברמב"ם) מ"מ יש להתיר כיון שאין הדרך לגבן בעור קיבת נבילה כלל</w:t>
      </w:r>
      <w:r w:rsidRPr="00DA5377">
        <w:rPr>
          <w:rFonts w:cs="Guttman Drogolin"/>
          <w:vertAlign w:val="superscript"/>
          <w:rtl/>
          <w:lang w:bidi="he-IL"/>
        </w:rPr>
        <w:footnoteReference w:id="587"/>
      </w:r>
      <w:r w:rsidRPr="00DA5377">
        <w:rPr>
          <w:rFonts w:cs="Guttman Drogolin" w:hint="cs"/>
          <w:rtl/>
          <w:lang w:bidi="he-IL"/>
        </w:rPr>
        <w:t>.</w:t>
      </w:r>
      <w:r w:rsidR="00A3722C">
        <w:rPr>
          <w:rFonts w:cs="Guttman Drogolin" w:hint="cs"/>
          <w:rtl/>
          <w:lang w:bidi="he-IL"/>
        </w:rPr>
        <w:t xml:space="preserve"> שו"ר שכן ביאר בב"י סי' שט"ו.</w:t>
      </w:r>
    </w:p>
    <w:p w:rsidR="00DA5377" w:rsidRPr="00DA5377" w:rsidRDefault="00DA5377" w:rsidP="00DA5377">
      <w:pPr>
        <w:tabs>
          <w:tab w:val="right" w:pos="7497"/>
        </w:tabs>
        <w:bidi/>
        <w:jc w:val="both"/>
        <w:rPr>
          <w:rFonts w:cs="Guttman Drogolin"/>
          <w:rtl/>
          <w:lang w:bidi="he-IL"/>
        </w:rPr>
      </w:pPr>
      <w:r w:rsidRPr="00DA5377">
        <w:rPr>
          <w:rFonts w:cs="Guttman Drogolin" w:hint="cs"/>
          <w:rtl/>
          <w:lang w:bidi="he-IL"/>
        </w:rPr>
        <w:t>וכל זה הוא לשיטת התוס', אבל הרמב"ן כתב שאע"ג שהטעם לאסור הוא כריב"ל ומשום ניקור, מ"מ בגבינה הוי דבר שבמנין ושונה ממים מגולים, ולכן אע"פ שאין חשש ארס מ"מ יש איסור גבינת עכו"ם</w:t>
      </w:r>
      <w:r w:rsidRPr="00DA5377">
        <w:rPr>
          <w:rFonts w:cs="Guttman Drogolin"/>
          <w:vertAlign w:val="superscript"/>
          <w:rtl/>
          <w:lang w:bidi="he-IL"/>
        </w:rPr>
        <w:footnoteReference w:id="588"/>
      </w:r>
      <w:r w:rsidRPr="00DA5377">
        <w:rPr>
          <w:rFonts w:cs="Guttman Drogolin" w:hint="cs"/>
          <w:rtl/>
          <w:lang w:bidi="he-IL"/>
        </w:rPr>
        <w:t>.</w:t>
      </w:r>
    </w:p>
    <w:p w:rsidR="00DA5377" w:rsidRPr="00DA5377" w:rsidRDefault="00DA5377" w:rsidP="00DA5377">
      <w:pPr>
        <w:tabs>
          <w:tab w:val="right" w:pos="7497"/>
        </w:tabs>
        <w:bidi/>
        <w:jc w:val="both"/>
        <w:rPr>
          <w:rFonts w:cs="Guttman Drogolin"/>
          <w:rtl/>
          <w:lang w:bidi="he-IL"/>
        </w:rPr>
      </w:pPr>
      <w:r w:rsidRPr="00DA5377">
        <w:rPr>
          <w:rFonts w:cs="Guttman Drogolin" w:hint="cs"/>
          <w:rtl/>
          <w:lang w:bidi="he-IL"/>
        </w:rPr>
        <w:t>ובהשגות הראב"ד וכן בתוה"א (ב"ג ש"ו) מבואר שחשש לכל הטעמים. ויתכן לומר שלדידהו אין הכוונה שחוששים לכל הטעמים לחומרא, רק שלא איכפת לן בטעמא, דהא גבינת עכו"ם הוי דבר שבמנין ואסור ולא איכפת לן בטעמו של דבר.</w:t>
      </w:r>
    </w:p>
    <w:p w:rsidR="00DA5377" w:rsidRPr="00DA5377" w:rsidRDefault="00DA5377" w:rsidP="00DA5377">
      <w:pPr>
        <w:tabs>
          <w:tab w:val="right" w:pos="7497"/>
        </w:tabs>
        <w:bidi/>
        <w:jc w:val="both"/>
        <w:rPr>
          <w:rFonts w:cs="Guttman Drogolin"/>
          <w:lang w:bidi="he-IL"/>
        </w:rPr>
      </w:pPr>
      <w:r w:rsidRPr="00DA5377">
        <w:rPr>
          <w:rFonts w:cs="Guttman Drogolin" w:hint="cs"/>
          <w:rtl/>
          <w:lang w:bidi="he-IL"/>
        </w:rPr>
        <w:t>והנה ברמב"ם (פ"ג מהל' מאכ"א הי"ג) כתב שהטעם שאסרו גבינת עכו"ם משום שמעמיד בעור קיבת נבילה וכשיטת שמואל (וכשיטת הר"י מגא"ש שטעם האיסור משום שיש איסור מעמיד במאכלות האסורות). ולכאורה לדידי' תיקשי הוכחת התוס' דקיי"ל כריב"ל נגד שמואל וכנ"ל. וע' בשו"ת מהרי"ט (ח"ב יו"ד סי' ג')</w:t>
      </w:r>
      <w:r w:rsidR="002A2B94">
        <w:rPr>
          <w:rFonts w:cs="Guttman Drogolin" w:hint="cs"/>
          <w:rtl/>
          <w:lang w:bidi="he-IL"/>
        </w:rPr>
        <w:t xml:space="preserve"> שביאר </w:t>
      </w:r>
      <w:r w:rsidRPr="00DA5377">
        <w:rPr>
          <w:rFonts w:cs="Guttman Drogolin" w:hint="cs"/>
          <w:rtl/>
          <w:lang w:bidi="he-IL"/>
        </w:rPr>
        <w:t xml:space="preserve">שהרמב"ם לא סבירא לי' דכיון דר יוחנן וריב"ל </w:t>
      </w:r>
      <w:r w:rsidRPr="00DA5377">
        <w:rPr>
          <w:rFonts w:cs="Guttman Drogolin" w:hint="cs"/>
          <w:rtl/>
          <w:lang w:bidi="he-IL"/>
        </w:rPr>
        <w:lastRenderedPageBreak/>
        <w:t>הלכה כריב"ל ור' יוחנן ושמואל הלכה כשמואל דע"כ ריב"ל ושמואל הלכה כריב"ל</w:t>
      </w:r>
      <w:r w:rsidR="002A2B94">
        <w:rPr>
          <w:rFonts w:cs="Guttman Drogolin" w:hint="cs"/>
          <w:rtl/>
          <w:lang w:bidi="he-IL"/>
        </w:rPr>
        <w:t>, ע"ש טעמו</w:t>
      </w:r>
      <w:r w:rsidR="002A2B94">
        <w:rPr>
          <w:rStyle w:val="FootnoteReference"/>
          <w:rFonts w:cs="Guttman Drogolin"/>
          <w:rtl/>
          <w:lang w:bidi="he-IL"/>
        </w:rPr>
        <w:footnoteReference w:id="589"/>
      </w:r>
      <w:r w:rsidRPr="00DA5377">
        <w:rPr>
          <w:rFonts w:cs="Guttman Drogolin" w:hint="cs"/>
          <w:rtl/>
          <w:lang w:bidi="he-IL"/>
        </w:rPr>
        <w:t>. ומ"מ משמע מסתימת דבריו שזהו הטעם היחיד לאסור גבינות, וכן נראה שהבין הרשב"א (שם).</w:t>
      </w:r>
    </w:p>
    <w:p w:rsidR="00DA5377" w:rsidRPr="00DA5377" w:rsidRDefault="00DA5377" w:rsidP="00DA5377">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pPr>
      <w:bookmarkStart w:id="554" w:name="_Toc496175791"/>
      <w:r w:rsidRPr="00DA5377">
        <w:rPr>
          <w:rFonts w:asciiTheme="majorHAnsi" w:eastAsiaTheme="majorEastAsia" w:hAnsiTheme="majorHAnsi" w:cs="Guttman Drogolin" w:hint="cs"/>
          <w:b/>
          <w:bCs/>
          <w:sz w:val="24"/>
          <w:szCs w:val="24"/>
          <w:u w:val="single"/>
          <w:rtl/>
          <w:lang w:bidi="he-IL"/>
        </w:rPr>
        <w:t>חמאת עכו"ם</w:t>
      </w:r>
      <w:bookmarkEnd w:id="554"/>
    </w:p>
    <w:p w:rsidR="00DA5377" w:rsidRPr="00DA5377" w:rsidRDefault="00DA5377" w:rsidP="00DA5377">
      <w:pPr>
        <w:tabs>
          <w:tab w:val="right" w:pos="7497"/>
        </w:tabs>
        <w:bidi/>
        <w:jc w:val="both"/>
        <w:rPr>
          <w:rFonts w:cs="Guttman Drogolin"/>
          <w:rtl/>
          <w:lang w:bidi="he-IL"/>
        </w:rPr>
      </w:pPr>
      <w:r w:rsidRPr="00DA5377">
        <w:rPr>
          <w:rFonts w:cs="Guttman Drogolin"/>
          <w:rtl/>
          <w:lang w:bidi="he-IL"/>
        </w:rPr>
        <w:fldChar w:fldCharType="begin"/>
      </w:r>
      <w:r w:rsidRPr="00DA5377">
        <w:rPr>
          <w:rFonts w:cs="Guttman Drogolin"/>
        </w:rPr>
        <w:instrText xml:space="preserve"> XE "</w:instrText>
      </w:r>
      <w:r w:rsidRPr="00DA5377">
        <w:rPr>
          <w:rFonts w:cs="Guttman Drogolin" w:hint="cs"/>
          <w:rtl/>
          <w:lang w:bidi="he-IL"/>
        </w:rPr>
        <w:instrText>חמאת עכו</w:instrText>
      </w:r>
      <w:r w:rsidRPr="00DA5377">
        <w:rPr>
          <w:rFonts w:eastAsiaTheme="minorEastAsia" w:cs="Guttman Drogolin"/>
          <w:lang w:bidi="he-IL"/>
        </w:rPr>
        <w:instrText>\</w:instrText>
      </w:r>
      <w:r w:rsidRPr="00DA5377">
        <w:rPr>
          <w:rFonts w:cs="Guttman Drogolin" w:hint="cs"/>
          <w:rtl/>
          <w:lang w:bidi="he-IL"/>
        </w:rPr>
        <w:instrText>"ם</w:instrText>
      </w:r>
      <w:r w:rsidRPr="00DA5377">
        <w:rPr>
          <w:rFonts w:cs="Guttman Drogolin"/>
          <w:rtl/>
        </w:rPr>
        <w:instrText>:</w:instrText>
      </w:r>
      <w:r w:rsidRPr="00DA5377">
        <w:rPr>
          <w:rFonts w:cs="Guttman Drogolin" w:hint="cs"/>
          <w:rtl/>
          <w:lang w:bidi="he-IL"/>
        </w:rPr>
        <w:instrText>דינו וטעמו</w:instrText>
      </w:r>
      <w:r w:rsidRPr="00DA5377">
        <w:rPr>
          <w:rFonts w:cs="Guttman Drogolin"/>
        </w:rPr>
        <w:instrText xml:space="preserve">" </w:instrText>
      </w:r>
      <w:r w:rsidRPr="00DA5377">
        <w:rPr>
          <w:rFonts w:cs="Guttman Drogolin"/>
          <w:rtl/>
          <w:lang w:bidi="he-IL"/>
        </w:rPr>
        <w:fldChar w:fldCharType="end"/>
      </w:r>
      <w:r w:rsidRPr="00DA5377">
        <w:rPr>
          <w:rFonts w:cs="Guttman Drogolin" w:hint="cs"/>
          <w:rtl/>
          <w:lang w:bidi="he-IL"/>
        </w:rPr>
        <w:t>אלא דהנה שהמשך דבריו (בהט"ו) הביא הרמב"ם מחלוקת בין הגאונים אם יש לאסור חמאת עכו"ם או לא. וז"ל "</w:t>
      </w:r>
      <w:r w:rsidRPr="00DA5377">
        <w:rPr>
          <w:rFonts w:cs="Guttman Drogolin"/>
          <w:rtl/>
          <w:lang w:bidi="he-IL"/>
        </w:rPr>
        <w:t>החמאה של עכו"ם מקצת הגאונים התירוה שהרי לא גזרו על החמאה וחלב הטמאה אינו עומד ומקצת הגאונים אסרוה מפני צחצוחי חלב שישאר בה שהרי הקום שבחמאה אינו מעורב עם החמאה כדי שיבטל במיעוטו וכל חלב שלהן חוששין לו שמא עירבו בו חלב בהמה טמאה</w:t>
      </w:r>
      <w:r w:rsidRPr="00DA5377">
        <w:rPr>
          <w:rFonts w:cs="Guttman Drogolin" w:hint="cs"/>
          <w:rtl/>
          <w:lang w:bidi="he-IL"/>
        </w:rPr>
        <w:t>". והנה ביאור דעת המתירים משום שעיקר גזירת גבינת עכו"ם לא גזרו אלא הגבינה ולא על מאכלי חלב המתקשים, ויתכן שהוא משום שלא הי' הדרך להקשות החמאה ע"י עור קיבת נבילה או"ד מטעמים אחרים. ומשמעות דברי הרמב"ם דסברא זו לכו"ע היא, שאפילו המחמירים מודים שאין חמאה בכלל הגזירה של גבינת עכו"ם. אבל</w:t>
      </w:r>
      <w:r w:rsidR="00CF35C1">
        <w:rPr>
          <w:rFonts w:cs="Guttman Drogolin" w:hint="cs"/>
          <w:rtl/>
          <w:lang w:bidi="he-IL"/>
        </w:rPr>
        <w:t xml:space="preserve"> האוסרים אוסרים מטעם אחר, והוא </w:t>
      </w:r>
      <w:r w:rsidRPr="00DA5377">
        <w:rPr>
          <w:rFonts w:cs="Guttman Drogolin" w:hint="cs"/>
          <w:rtl/>
          <w:lang w:bidi="he-IL"/>
        </w:rPr>
        <w:t>דאפילו אחרי שעושה החמאה, נשאר קום המעורב בה, וכיון שניכר הוא אינו בטל. ור"ל שאין האיסור משום החמאה עצמה רק משום שהחלב שלא התערב</w:t>
      </w:r>
      <w:r w:rsidR="00CF35C1">
        <w:rPr>
          <w:rStyle w:val="FootnoteReference"/>
          <w:rFonts w:cs="Guttman Drogolin"/>
          <w:rtl/>
          <w:lang w:bidi="he-IL"/>
        </w:rPr>
        <w:footnoteReference w:id="590"/>
      </w:r>
      <w:r w:rsidRPr="00DA5377">
        <w:rPr>
          <w:rFonts w:cs="Guttman Drogolin" w:hint="cs"/>
          <w:rtl/>
          <w:lang w:bidi="he-IL"/>
        </w:rPr>
        <w:t xml:space="preserve">. ולפום ריהטא הדברים מפליאים, דאיך יתכן שהרמב"ם חשש לחלב ביני אטפי בחמאה שהוא דבר שלא שייך אליו לדידי' גזירת גבינת עכו"ם, ואילו בגבינה עצמה שגזרו עליו לא סבירא לי' טעם זה. וכן באמת משמע מדברי הרמב"ם שדעתו כדעת האוסרים, כיון שלאחר מכן בהט"ז כתב איך להתיר החמאה מן הקום שבה. </w:t>
      </w:r>
    </w:p>
    <w:p w:rsidR="00DA5377" w:rsidRPr="00DA5377" w:rsidRDefault="00DA5377" w:rsidP="005F650B">
      <w:pPr>
        <w:tabs>
          <w:tab w:val="right" w:pos="7497"/>
        </w:tabs>
        <w:bidi/>
        <w:jc w:val="both"/>
        <w:rPr>
          <w:rFonts w:cs="Guttman Drogolin"/>
          <w:rtl/>
          <w:lang w:bidi="he-IL"/>
        </w:rPr>
      </w:pPr>
      <w:r w:rsidRPr="00DA5377">
        <w:rPr>
          <w:rFonts w:cs="Guttman Drogolin" w:hint="cs"/>
          <w:rtl/>
          <w:lang w:bidi="he-IL"/>
        </w:rPr>
        <w:t>והנראה לומר בזה (כן לכאורה משמע ברשב"א) שהרמב"ם מחלק בין גבינה לחמאה. שבגבינה סבירא לי' דאע"ג שיש בה קו</w:t>
      </w:r>
      <w:r w:rsidR="005F650B">
        <w:rPr>
          <w:rFonts w:cs="Guttman Drogolin" w:hint="cs"/>
          <w:rtl/>
          <w:lang w:bidi="he-IL"/>
        </w:rPr>
        <w:t>ם</w:t>
      </w:r>
      <w:r w:rsidRPr="00DA5377">
        <w:rPr>
          <w:rFonts w:cs="Guttman Drogolin" w:hint="cs"/>
          <w:rtl/>
          <w:lang w:bidi="he-IL"/>
        </w:rPr>
        <w:t xml:space="preserve"> הרי הוא מתערב </w:t>
      </w:r>
      <w:r w:rsidRPr="00DA5377">
        <w:rPr>
          <w:rFonts w:cs="Guttman Drogolin" w:hint="cs"/>
          <w:rtl/>
          <w:lang w:bidi="he-IL"/>
        </w:rPr>
        <w:lastRenderedPageBreak/>
        <w:t xml:space="preserve">יפה (אע"ג שאינו מתקשה) והרי הוא בטל ברוב. וזהו הטעם דלא קיי"ל כתירוצו של </w:t>
      </w:r>
      <w:r w:rsidR="005F650B">
        <w:rPr>
          <w:rFonts w:cs="Guttman Drogolin" w:hint="cs"/>
          <w:rtl/>
          <w:lang w:bidi="he-IL"/>
        </w:rPr>
        <w:t>ר' חנינא</w:t>
      </w:r>
      <w:r w:rsidRPr="00DA5377">
        <w:rPr>
          <w:rFonts w:cs="Guttman Drogolin" w:hint="cs"/>
          <w:rtl/>
          <w:lang w:bidi="he-IL"/>
        </w:rPr>
        <w:t xml:space="preserve"> וכן הוא הביאור בתי' הראשון בטעם האיסור של חלב עכו"ם, לא משום שאין אנו חוששים שיהיו חלב ביני אטפי, רק שאפילו הכי הרי הוא בטל. אבל בחמאה סברים הגאונים שהרי הוא ניכר כיון שאינו מתערב יפה, ומשום הכי בחמאה כו"ע מודו שיש לאסור. וכל זה לשיטת המחמירים בחמאה. </w:t>
      </w:r>
    </w:p>
    <w:p w:rsidR="00DA5377" w:rsidRPr="00DA5377" w:rsidRDefault="00DA5377" w:rsidP="00DA5377">
      <w:pPr>
        <w:tabs>
          <w:tab w:val="right" w:pos="7497"/>
        </w:tabs>
        <w:bidi/>
        <w:jc w:val="both"/>
        <w:rPr>
          <w:rFonts w:cs="Guttman Drogolin"/>
          <w:rtl/>
          <w:lang w:bidi="he-IL"/>
        </w:rPr>
      </w:pPr>
      <w:r w:rsidRPr="00DA5377">
        <w:rPr>
          <w:rFonts w:cs="Guttman Drogolin" w:hint="cs"/>
          <w:rtl/>
          <w:lang w:bidi="he-IL"/>
        </w:rPr>
        <w:t xml:space="preserve">ובביאור שיטת הגאונים המקילים, ע' ברשב"א שבהדיא חלק על הרמב"ם וסבר דעד כמה שהיינו מקילים כדיני ביטול במאכלי עכו"ם שפיר היינו מקילים גם בחמאה כיון שאי אפשר להוציא הקום מן החמאה אע"ג שהוא ניכר במקומו. ויוצא מחלוקת אם דבר הניכר שנשאר בתערובת אם דינו להבטל או לא, וכן ביאר הט"ז ביו"ד רסי' ק"ד. </w:t>
      </w:r>
      <w:r w:rsidRPr="00DA5377">
        <w:rPr>
          <w:rFonts w:cs="Guttman Drogolin"/>
          <w:rtl/>
          <w:lang w:bidi="he-IL"/>
        </w:rPr>
        <w:fldChar w:fldCharType="begin"/>
      </w:r>
      <w:r w:rsidRPr="00DA5377">
        <w:rPr>
          <w:rFonts w:cs="Guttman Drogolin"/>
        </w:rPr>
        <w:instrText xml:space="preserve"> XE "</w:instrText>
      </w:r>
      <w:r w:rsidRPr="00DA5377">
        <w:rPr>
          <w:rFonts w:cs="Guttman Drogolin" w:hint="cs"/>
          <w:rtl/>
          <w:lang w:bidi="he-IL"/>
        </w:rPr>
        <w:instrText>טעם כעיקר</w:instrText>
      </w:r>
      <w:r w:rsidRPr="00DA5377">
        <w:rPr>
          <w:rFonts w:cs="Guttman Drogolin"/>
          <w:rtl/>
        </w:rPr>
        <w:instrText>:</w:instrText>
      </w:r>
      <w:r w:rsidRPr="00DA5377">
        <w:rPr>
          <w:rFonts w:cs="Guttman Drogolin" w:hint="cs"/>
          <w:rtl/>
          <w:lang w:bidi="he-IL"/>
        </w:rPr>
        <w:instrText>קושיא אם הטעם שלא בטל הוא משום שניכר</w:instrText>
      </w:r>
      <w:r w:rsidRPr="00DA5377">
        <w:rPr>
          <w:rFonts w:cs="Guttman Drogolin"/>
        </w:rPr>
        <w:instrText xml:space="preserve">" </w:instrText>
      </w:r>
      <w:r w:rsidRPr="00DA5377">
        <w:rPr>
          <w:rFonts w:cs="Guttman Drogolin"/>
          <w:rtl/>
          <w:lang w:bidi="he-IL"/>
        </w:rPr>
        <w:fldChar w:fldCharType="end"/>
      </w:r>
      <w:r w:rsidRPr="00DA5377">
        <w:rPr>
          <w:rFonts w:cs="Guttman Drogolin" w:hint="cs"/>
          <w:rtl/>
          <w:lang w:bidi="he-IL"/>
        </w:rPr>
        <w:t>ויל"ע לשיטת הרשב"א דסבר שהוא בטל אע"פ שהוא ניכר מאי שנא מדינא דטכ"ע ששם סבר הרשב"א שהטעם שהטעמאלא בטיל משום שהוא ניכר. ואכמ"ל בזה. ועכ"פ לכאורה זהו טעמם של הגאונים המקילים וחמאה ואינם חוששים לקום שבה.</w:t>
      </w:r>
    </w:p>
    <w:p w:rsidR="00DA5377" w:rsidRPr="00DA5377" w:rsidRDefault="00DA5377" w:rsidP="00DA5377">
      <w:pPr>
        <w:tabs>
          <w:tab w:val="right" w:pos="7497"/>
        </w:tabs>
        <w:bidi/>
        <w:jc w:val="both"/>
        <w:rPr>
          <w:rFonts w:cs="Guttman Drogolin"/>
          <w:rtl/>
          <w:lang w:bidi="he-IL"/>
        </w:rPr>
      </w:pPr>
      <w:r w:rsidRPr="00DA5377">
        <w:rPr>
          <w:rFonts w:cs="Guttman Drogolin" w:hint="cs"/>
          <w:rtl/>
          <w:lang w:bidi="he-IL"/>
        </w:rPr>
        <w:t xml:space="preserve">והרשב"א אסר את החמאה אבל מטעם אחר. והוא שאמנם יש בקום שבחמאה להיות בטל מן הדין, מ"מ לא הלכו בדינים אלו אחרי נתינת טעם וכמו שהבאנו מכבר מהראב"ד. ולכאורה ר"ל שגזירת גבינת עכו"ם לא היתה מיוחדת לגבינה בלבד, אלא הרי הוא כולל גם חמאה. ויש כאן מקום עיון, שהרי הרשב"א כתב לעיל מיני' שאפילו במקום שאין הדרך להחיק בשומן חזיר וכן אין הדרך להעמיד בעור קיבת נבילה מ"מ גזרו על גבינת עכו"ם. ולכאורה היינו משום דסבר הרשב"א דגבינה הוי דבר שבמנין ולכן אע"פ שבטלה הטעם לא בטלה הגזרה ואיסור גבינת עכו"ם עדיין קיים. וא"כ בהא דחמאה צ"ע, שאם הוא בכלל הגזירה של חז"ל, מה איכפת לן אם יש </w:t>
      </w:r>
      <w:r w:rsidRPr="00DA5377">
        <w:rPr>
          <w:rFonts w:cs="Guttman Drogolin" w:hint="cs"/>
          <w:rtl/>
          <w:lang w:bidi="he-IL"/>
        </w:rPr>
        <w:lastRenderedPageBreak/>
        <w:t>דין לחלב טמא להתבטל או לא, הא הרי הוא בכלל הגזירה ולכן יש לאסור אע"פ שהוא בטל. ואם אינו בכלל הגזירה, מה"ת להחמיר בה, הא גבית עכו"ם אינו אסור אלא מדרבנן, וא"כ עכ" מאיזה טעם שיהי' מעיקר הדין לחשוש לחלב בביני אטפי. וא"כ מה"ת להחמיר בחמאת עכו"ם. וחשבתי בזה ב' דרכים. א', שעיקר הגזירה שהי' דבר שבמנין לא הי' לתת גבינת עכו"ם דין מאכלות אסורות כהלכתא בלי טעמא, רק שאמרו שיש להתנהג בה כאלו יש בה חלב ביני אטפי</w:t>
      </w:r>
      <w:r w:rsidRPr="00DA5377">
        <w:rPr>
          <w:rFonts w:cs="Guttman Drogolin"/>
          <w:vertAlign w:val="superscript"/>
          <w:rtl/>
          <w:lang w:bidi="he-IL"/>
        </w:rPr>
        <w:footnoteReference w:id="591"/>
      </w:r>
      <w:r w:rsidRPr="00DA5377">
        <w:rPr>
          <w:rFonts w:cs="Guttman Drogolin" w:hint="cs"/>
          <w:rtl/>
          <w:lang w:bidi="he-IL"/>
        </w:rPr>
        <w:t>, או"ד שיש בה חלב ביני אטפי. וא"כ, אפילו אחרי שגזרו, אילו ה'י שייך במאכלי עכו"ם דין ביטול הי' לו להתבטל. ולכן הוסיף הרשב"א שאפילו הכי יש לאסור כיון שלא הלכו במאכלי עכו"ם אחרי נתינת טעם. ועוד י"ל שלפי טעמו של שמואל, אין הטעם שאסור גבינת עכו"ם משום דהוי דבר שבמנין, רק לפי הטעמיים האמרים המוזכרים שם. רק הטעם אליבא דשמואל הוא משום שגבינת עכו"ם הרי הוא בכלל הגזרה של חלב עכו"ם, ולא הי' בה צורך לגזירה נוספת. וא"כ שפיר כתב דאילו הי' מתבטל הו"ל להיות מותר וכמש"נ.</w:t>
      </w:r>
    </w:p>
    <w:p w:rsidR="00DA5377" w:rsidRPr="00DA5377" w:rsidRDefault="00DA5377" w:rsidP="00DA5377">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pPr>
      <w:bookmarkStart w:id="555" w:name="_Toc496175792"/>
      <w:r w:rsidRPr="00DA5377">
        <w:rPr>
          <w:rFonts w:asciiTheme="majorHAnsi" w:eastAsiaTheme="majorEastAsia" w:hAnsiTheme="majorHAnsi" w:cs="Guttman Drogolin" w:hint="cs"/>
          <w:b/>
          <w:bCs/>
          <w:sz w:val="24"/>
          <w:szCs w:val="24"/>
          <w:u w:val="single"/>
          <w:rtl/>
          <w:lang w:bidi="he-IL"/>
        </w:rPr>
        <w:t>טיהור חמאת עכו"ם</w:t>
      </w:r>
      <w:bookmarkEnd w:id="555"/>
    </w:p>
    <w:p w:rsidR="00DA5377" w:rsidRPr="00DA5377" w:rsidRDefault="00DA5377" w:rsidP="00A42D7B">
      <w:pPr>
        <w:tabs>
          <w:tab w:val="right" w:pos="7497"/>
        </w:tabs>
        <w:bidi/>
        <w:jc w:val="both"/>
        <w:rPr>
          <w:rFonts w:cs="Guttman Drogolin"/>
          <w:rtl/>
          <w:lang w:bidi="he-IL"/>
        </w:rPr>
      </w:pPr>
      <w:r w:rsidRPr="00DA5377">
        <w:rPr>
          <w:rFonts w:cs="Guttman Drogolin"/>
          <w:rtl/>
          <w:lang w:bidi="he-IL"/>
        </w:rPr>
        <w:fldChar w:fldCharType="begin"/>
      </w:r>
      <w:r w:rsidRPr="00DA5377">
        <w:rPr>
          <w:rFonts w:cs="Guttman Drogolin"/>
        </w:rPr>
        <w:instrText xml:space="preserve"> XE "</w:instrText>
      </w:r>
      <w:r w:rsidRPr="00DA5377">
        <w:rPr>
          <w:rFonts w:cs="Guttman Drogolin" w:hint="cs"/>
          <w:rtl/>
          <w:lang w:bidi="he-IL"/>
        </w:rPr>
        <w:instrText>חמאת עכו</w:instrText>
      </w:r>
      <w:r w:rsidRPr="00DA5377">
        <w:rPr>
          <w:rFonts w:eastAsiaTheme="minorEastAsia" w:cs="Guttman Drogolin"/>
          <w:lang w:bidi="he-IL"/>
        </w:rPr>
        <w:instrText>\</w:instrText>
      </w:r>
      <w:r w:rsidRPr="00DA5377">
        <w:rPr>
          <w:rFonts w:cs="Guttman Drogolin" w:hint="cs"/>
          <w:rtl/>
          <w:lang w:bidi="he-IL"/>
        </w:rPr>
        <w:instrText>"ם</w:instrText>
      </w:r>
      <w:r w:rsidRPr="00DA5377">
        <w:rPr>
          <w:rFonts w:cs="Guttman Drogolin"/>
          <w:rtl/>
        </w:rPr>
        <w:instrText>:</w:instrText>
      </w:r>
      <w:r w:rsidRPr="00DA5377">
        <w:rPr>
          <w:rFonts w:cs="Guttman Drogolin" w:hint="cs"/>
          <w:rtl/>
          <w:lang w:bidi="he-IL"/>
        </w:rPr>
        <w:instrText>טיהורה</w:instrText>
      </w:r>
      <w:r w:rsidRPr="00DA5377">
        <w:rPr>
          <w:rFonts w:cs="Guttman Drogolin"/>
        </w:rPr>
        <w:instrText xml:space="preserve">" </w:instrText>
      </w:r>
      <w:r w:rsidRPr="00DA5377">
        <w:rPr>
          <w:rFonts w:cs="Guttman Drogolin"/>
          <w:rtl/>
          <w:lang w:bidi="he-IL"/>
        </w:rPr>
        <w:fldChar w:fldCharType="end"/>
      </w:r>
      <w:r w:rsidRPr="00DA5377">
        <w:rPr>
          <w:rFonts w:cs="Guttman Drogolin" w:hint="cs"/>
          <w:rtl/>
          <w:lang w:bidi="he-IL"/>
        </w:rPr>
        <w:t>כתב הרמב"ם בפ"ג הט"ז מהלק מאכ"א "</w:t>
      </w:r>
      <w:r w:rsidRPr="00DA5377">
        <w:rPr>
          <w:rFonts w:cs="Guttman Drogolin"/>
          <w:rtl/>
          <w:lang w:bidi="he-IL"/>
        </w:rPr>
        <w:t>יראה לי שאם לקח חמאה מן העכו"ם ובשלה עד שהלכו להן צחצוחי חלב הרי זו מותרת, שאם תאמר נתערבו עמן ונתבשלו כולן בטלו במיעוטם, אבל החמאה שבשלו אותה עכו"ם אסורה משום גיעולי עכו"ם כמו שיתבאר</w:t>
      </w:r>
      <w:r w:rsidRPr="00DA5377">
        <w:rPr>
          <w:rFonts w:cs="Guttman Drogolin" w:hint="cs"/>
          <w:rtl/>
          <w:lang w:bidi="he-IL"/>
        </w:rPr>
        <w:t xml:space="preserve">". וכוונת מתבארת ע"פ הנ"ל, שהרי לא גזרו על חמאת עכו"ם, רק שמ"מ יש לאסור משום הקום, ובזה כתב הרמב"ם שיש עצה להוציא את הקום והכל יהי' מותר (אא"כ בישלו אותו העכו"ם, ומשום כלי העכו"ם, ומשום דסבר הרמב"ם דלא אמרינן דסתם כלים אינן בני יומן, וכמו שהוכיח מבאן הב"י בסי' קכ"ב, ע"ש). וכתב עליו הראב"ד "א"א הכל הבל ורעות רוח שכל האיסורין שנוהגים בגבינה נוהגים בחמאה, ומה שכתב שהלך האיסור ונתמעט ונתבטל, כמה </w:t>
      </w:r>
      <w:r w:rsidRPr="00DA5377">
        <w:rPr>
          <w:rFonts w:cs="Guttman Drogolin" w:hint="cs"/>
          <w:rtl/>
          <w:lang w:bidi="he-IL"/>
        </w:rPr>
        <w:lastRenderedPageBreak/>
        <w:t xml:space="preserve">מכוער הדבר שנקנה מהם חשש איסור משום ביטולו ברוב". </w:t>
      </w:r>
    </w:p>
    <w:p w:rsidR="00DA5377" w:rsidRPr="00DA5377" w:rsidRDefault="00DA5377" w:rsidP="00DA5377">
      <w:pPr>
        <w:tabs>
          <w:tab w:val="right" w:pos="7497"/>
        </w:tabs>
        <w:bidi/>
        <w:jc w:val="both"/>
        <w:rPr>
          <w:rFonts w:cs="Guttman Drogolin"/>
          <w:rtl/>
          <w:lang w:bidi="he-IL"/>
        </w:rPr>
      </w:pPr>
      <w:r w:rsidRPr="00DA5377">
        <w:rPr>
          <w:rFonts w:cs="Guttman Drogolin" w:hint="cs"/>
          <w:rtl/>
          <w:lang w:bidi="he-IL"/>
        </w:rPr>
        <w:t>והנה לכאורה כלול בדברי הראב"ד ב' השגות. א' שזה שכתב הרמב"ם שלא גזרו על החמאה משום גבינת עכו"ם אינו נכון, שלעולם גזרו עליו. ולכאורה רצונו לומר שעיקר גזירת גבינת עכו"ם לא היתה אך ורק על הגבינה, אלא על כל דבר חלב המתקשה. ורצונו לומר שזה שסבר הרמב"ם שאפשר לטהר את החמאה מצחצוחי חלב שבה, היינו רק שיטתו שלא גזרו אלא על הגבינה, אבל אם גזרו על החמאה לא מהני הטיהור, דהא אין אנו אוסרים רק החלב אלא עצם החמאה של עכו"ם אסור.</w:t>
      </w:r>
    </w:p>
    <w:p w:rsidR="00DA5377" w:rsidRPr="00DA5377" w:rsidRDefault="00DA5377" w:rsidP="00DA5377">
      <w:pPr>
        <w:tabs>
          <w:tab w:val="right" w:pos="7497"/>
        </w:tabs>
        <w:bidi/>
        <w:jc w:val="both"/>
        <w:rPr>
          <w:rFonts w:cs="Guttman Drogolin"/>
          <w:rtl/>
          <w:lang w:bidi="he-IL"/>
        </w:rPr>
      </w:pPr>
      <w:r w:rsidRPr="00DA5377">
        <w:rPr>
          <w:rFonts w:cs="Guttman Drogolin" w:hint="cs"/>
          <w:rtl/>
          <w:lang w:bidi="he-IL"/>
        </w:rPr>
        <w:t>והשגה ב' שאפילו נהיבנא לי' לרמב"ם שאין גזירת גבינת עכו"ם חל על החמאה, מ"מ דבר מכוער הוא להתיר אותה ע"י ביטול. והנה הראשונים הביאו בשם הראב"ד שאין אנו מקילים הלכות ביטול במאכלי עכו"ם. ומשמעות לשון הראב"ד אין כ"כ חריף, רק דהוי מכוער. ואולי כוונתו גם בזה דבשלמא לדידי לא הקילו בביטול במאכלי עכו"ם כלל, אבל אפילו לדידך שאתה מיקל בה, מכוער הדבר.</w:t>
      </w:r>
    </w:p>
    <w:p w:rsidR="00DA5377" w:rsidRPr="00DA5377" w:rsidRDefault="00DA5377" w:rsidP="00662B6F">
      <w:pPr>
        <w:tabs>
          <w:tab w:val="right" w:pos="7497"/>
        </w:tabs>
        <w:bidi/>
        <w:jc w:val="both"/>
        <w:rPr>
          <w:rFonts w:cs="Guttman Drogolin"/>
          <w:rtl/>
          <w:lang w:bidi="he-IL"/>
        </w:rPr>
      </w:pPr>
      <w:r w:rsidRPr="00DA5377">
        <w:rPr>
          <w:rFonts w:cs="Guttman Drogolin" w:hint="cs"/>
          <w:rtl/>
          <w:lang w:bidi="he-IL"/>
        </w:rPr>
        <w:t>והרשב"א בתוה"א הקשה עליו מן הגמ' שבדף ל"ה ע"ב. שבתי' השני כתבו שאפילו דקבעי לה לגבינה מ"מ יש לאסור כיון דאיכא גבינה בינני אטפי. וביאר הרשב"א, שכל כוונתו הגמ' לומר אינו אלא לומר שחלב עכו"ם אסור בכל גווני וכסתימת לשון המתני',</w:t>
      </w:r>
      <w:r w:rsidR="00022CD1">
        <w:rPr>
          <w:rFonts w:cs="Guttman Drogolin" w:hint="cs"/>
          <w:rtl/>
          <w:lang w:bidi="he-IL"/>
        </w:rPr>
        <w:t xml:space="preserve"> </w:t>
      </w:r>
      <w:r w:rsidRPr="00DA5377">
        <w:rPr>
          <w:rFonts w:cs="Guttman Drogolin" w:hint="cs"/>
          <w:rtl/>
          <w:lang w:bidi="he-IL"/>
        </w:rPr>
        <w:t xml:space="preserve">ואם כמש"כ הרמב"ם הא יש עצה ע"י בישול. ונראה לומר בשיטת הרמב"ם דעד כאן לא אסרו אלא כשקיבל חלב, שבזה אמרינן כיון שקיבל חלב, חל עליו גזירת חז"ל של חלב עכו"ם ושוב לא יהא ניתר. אבל כשמקבל גבינה, הא מפורש בגמ' בע"א דאלמלא הא דאיכא חלב ביני אטפי לא היינו אוסרים גבינת עכו"ם, ואפילו אחרי שגזרו על החלב. וע"כ משום שלא חל גזירת חכמים אלא על דבר שכשמקבל אותו יש בה חשש חלב טמא. וא"כ בחמאה, כיון </w:t>
      </w:r>
      <w:r w:rsidRPr="00DA5377">
        <w:rPr>
          <w:rFonts w:cs="Guttman Drogolin" w:hint="cs"/>
          <w:rtl/>
          <w:lang w:bidi="he-IL"/>
        </w:rPr>
        <w:lastRenderedPageBreak/>
        <w:t>שלא גזרו עליו ממש, רק יש בה חשש חלב מעורב בה, כיון שמוציא כל הקום, בין החשש חלב טמא שבה ובין שאר החלב שהוא נאסר משום גזירת חלב עכו"ם וכנ"ל, הרי הוא חוזר להיתירו. באופן ש</w:t>
      </w:r>
      <w:r w:rsidR="00662B6F">
        <w:rPr>
          <w:rFonts w:cs="Guttman Drogolin" w:hint="cs"/>
          <w:rtl/>
          <w:lang w:bidi="he-IL"/>
        </w:rPr>
        <w:t>ל</w:t>
      </w:r>
      <w:r w:rsidRPr="00DA5377">
        <w:rPr>
          <w:rFonts w:cs="Guttman Drogolin" w:hint="cs"/>
          <w:rtl/>
          <w:lang w:bidi="he-IL"/>
        </w:rPr>
        <w:t>כאורה צ"ע קושיית הרשב"א, שאם לא מהני בישול, מאי שנא גבינה מחמאה שבישלו. וצ"ע.</w:t>
      </w:r>
    </w:p>
    <w:p w:rsidR="00DA5377" w:rsidRPr="00DA5377" w:rsidRDefault="00DA5377" w:rsidP="00DA5377">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pPr>
      <w:bookmarkStart w:id="556" w:name="_Toc496175793"/>
      <w:r w:rsidRPr="00DA5377">
        <w:rPr>
          <w:rFonts w:asciiTheme="majorHAnsi" w:eastAsiaTheme="majorEastAsia" w:hAnsiTheme="majorHAnsi" w:cs="Guttman Drogolin" w:hint="cs"/>
          <w:b/>
          <w:bCs/>
          <w:sz w:val="24"/>
          <w:szCs w:val="24"/>
          <w:u w:val="single"/>
          <w:rtl/>
          <w:lang w:bidi="he-IL"/>
        </w:rPr>
        <w:t>אי מהני ראיית ישראל לגבינת עכו"ם</w:t>
      </w:r>
      <w:bookmarkEnd w:id="556"/>
    </w:p>
    <w:p w:rsidR="00DA5377" w:rsidRPr="00DA5377" w:rsidRDefault="00DA5377" w:rsidP="00DA5377">
      <w:pPr>
        <w:tabs>
          <w:tab w:val="right" w:pos="7497"/>
        </w:tabs>
        <w:bidi/>
        <w:jc w:val="both"/>
        <w:rPr>
          <w:rFonts w:cs="Guttman Drogolin"/>
          <w:lang w:bidi="he-IL"/>
        </w:rPr>
      </w:pPr>
      <w:r w:rsidRPr="00DA5377">
        <w:rPr>
          <w:rFonts w:cs="Guttman Drogolin"/>
          <w:rtl/>
          <w:lang w:bidi="he-IL"/>
        </w:rPr>
        <w:fldChar w:fldCharType="begin"/>
      </w:r>
      <w:r w:rsidRPr="00DA5377">
        <w:rPr>
          <w:rFonts w:cs="Guttman Drogolin"/>
        </w:rPr>
        <w:instrText xml:space="preserve"> XE "</w:instrText>
      </w:r>
      <w:r w:rsidRPr="00DA5377">
        <w:rPr>
          <w:rFonts w:cs="Guttman Drogolin" w:hint="cs"/>
          <w:rtl/>
          <w:lang w:bidi="he-IL"/>
        </w:rPr>
        <w:instrText>גבינת עכו</w:instrText>
      </w:r>
      <w:r w:rsidRPr="00DA5377">
        <w:rPr>
          <w:rFonts w:eastAsiaTheme="minorEastAsia" w:cs="Guttman Drogolin"/>
          <w:lang w:bidi="he-IL"/>
        </w:rPr>
        <w:instrText>\</w:instrText>
      </w:r>
      <w:r w:rsidRPr="00DA5377">
        <w:rPr>
          <w:rFonts w:cs="Guttman Drogolin" w:hint="cs"/>
          <w:rtl/>
          <w:lang w:bidi="he-IL"/>
        </w:rPr>
        <w:instrText>"ם</w:instrText>
      </w:r>
      <w:r w:rsidRPr="00DA5377">
        <w:rPr>
          <w:rFonts w:cs="Guttman Drogolin"/>
          <w:rtl/>
        </w:rPr>
        <w:instrText>:</w:instrText>
      </w:r>
      <w:r w:rsidRPr="00DA5377">
        <w:rPr>
          <w:rFonts w:cs="Guttman Drogolin" w:hint="cs"/>
          <w:rtl/>
          <w:lang w:bidi="he-IL"/>
        </w:rPr>
        <w:instrText>אי מהני לה ראיית ישראל</w:instrText>
      </w:r>
      <w:r w:rsidRPr="00DA5377">
        <w:rPr>
          <w:rFonts w:cs="Guttman Drogolin"/>
        </w:rPr>
        <w:instrText xml:space="preserve">" </w:instrText>
      </w:r>
      <w:r w:rsidRPr="00DA5377">
        <w:rPr>
          <w:rFonts w:cs="Guttman Drogolin"/>
          <w:rtl/>
          <w:lang w:bidi="he-IL"/>
        </w:rPr>
        <w:fldChar w:fldCharType="end"/>
      </w:r>
      <w:r w:rsidRPr="00DA5377">
        <w:rPr>
          <w:rFonts w:cs="Guttman Drogolin" w:hint="cs"/>
          <w:rtl/>
          <w:lang w:bidi="he-IL"/>
        </w:rPr>
        <w:t xml:space="preserve">הרמב"ם בהי"ד שגבינת עכו"ם אסור אפילו בכה"ג שהעימדו אותו בדברים אחרים והרי הוא ניכר בגבינה. ולכאורה חזינן שהגדר בגבינת עכו"ם אינו שצריך לברר שאין בה עור קיבת נבילה וכדומה. וא"כ יש לברר מהו גדר הגזירה. ולכאורה י"ל שגדר הגזירה דכיון שהי' בבעלות עכו"ם הרי הוא אסור. וכן מבואר שיטת הש"ך בסי' קט"ו ס"ק כ' דלא מהני אפילו ראיית ישראל בגזירת גבינת עכו"ם. אמנם בפיהמ"ש לרמב"ם מפורש דמהני בה ראי'. וא"כ לכאורה הרמב"ם </w:t>
      </w:r>
      <w:r w:rsidRPr="00DA5377">
        <w:rPr>
          <w:rFonts w:cs="Guttman Drogolin" w:hint="cs"/>
          <w:rtl/>
          <w:lang w:bidi="he-IL"/>
        </w:rPr>
        <w:lastRenderedPageBreak/>
        <w:t xml:space="preserve">סותר משנתו, דמאי שנא ראית עכו"ם דמהני מגבינה שניכר בה שלא העמידוהו בעור קיבת נבילה לשיטת הרמב"ם שלא אסרו גבינת עכו"ם אלא מטעם זה. וע' במנח"י (כלל פ"א </w:t>
      </w:r>
      <w:r w:rsidRPr="00DA5377">
        <w:rPr>
          <w:rFonts w:cs="Guttman Drogolin"/>
          <w:rtl/>
          <w:lang w:bidi="he-IL"/>
        </w:rPr>
        <w:t>–</w:t>
      </w:r>
      <w:r w:rsidRPr="00DA5377">
        <w:rPr>
          <w:rFonts w:cs="Guttman Drogolin" w:hint="cs"/>
          <w:rtl/>
          <w:lang w:bidi="he-IL"/>
        </w:rPr>
        <w:t xml:space="preserve"> פ"ג ס"ק ג') כתב שיש לחלק בין ידיעה דראי' לידיעה משום פירסום. ולכאורה ר"ל דאע"ג שניכר שהעמידו אותו בדברים אחרים מ"מ אולי העמידו אותו גם בעור קיבת נבילה, א"נ שאע"פ שנראה שהעמידו אותו בדברים אחרים, אולי טועה הוא בזה. וחשבתי בזה עוד מהלך, והוא שיש לחלק בין קודם עשייה לאחר עשיי'. ור"ל שאם רואה את עצם עשיית הגבינה, לא חל עליו גזירת חכמים כלל. אבל אחרי שכבר חל עליו גזירת חכמים, שוב לא מהני זה שאתה מברר עליו שאין בה דבר האסור, דוגמת מש"כ לעיל לחלק לשיטת הרמב"ם בין טיהור הגבינה לטיהור החלב.</w:t>
      </w:r>
    </w:p>
    <w:p w:rsidR="00DA5377" w:rsidRDefault="00DA5377" w:rsidP="00DA5377">
      <w:pPr>
        <w:tabs>
          <w:tab w:val="right" w:pos="7497"/>
        </w:tabs>
        <w:bidi/>
        <w:jc w:val="both"/>
        <w:rPr>
          <w:rFonts w:cs="Guttman Drogolin"/>
          <w:rtl/>
          <w:lang w:bidi="he-IL"/>
        </w:rPr>
      </w:pPr>
    </w:p>
    <w:p w:rsidR="00022CD1" w:rsidRDefault="00022CD1" w:rsidP="00022CD1">
      <w:pPr>
        <w:tabs>
          <w:tab w:val="right" w:pos="7497"/>
        </w:tabs>
        <w:bidi/>
        <w:jc w:val="both"/>
        <w:rPr>
          <w:rFonts w:cs="Guttman Drogolin"/>
          <w:rtl/>
          <w:lang w:bidi="he-IL"/>
        </w:rPr>
        <w:sectPr w:rsidR="00022CD1" w:rsidSect="00DA5377">
          <w:type w:val="continuous"/>
          <w:pgSz w:w="11907" w:h="16839" w:code="9"/>
          <w:pgMar w:top="1440" w:right="1440" w:bottom="1440" w:left="1440" w:header="720" w:footer="720" w:gutter="0"/>
          <w:cols w:num="2" w:space="720"/>
          <w:bidi/>
          <w:docGrid w:linePitch="360"/>
        </w:sectPr>
      </w:pPr>
    </w:p>
    <w:p w:rsidR="00022CD1" w:rsidRDefault="00022CD1" w:rsidP="00022CD1">
      <w:pPr>
        <w:keepNext/>
        <w:tabs>
          <w:tab w:val="left" w:pos="3818"/>
          <w:tab w:val="center" w:pos="4680"/>
        </w:tabs>
        <w:bidi/>
        <w:jc w:val="center"/>
        <w:rPr>
          <w:rFonts w:cs="Guttman Mantova-Decor"/>
          <w:sz w:val="48"/>
          <w:szCs w:val="48"/>
          <w:rtl/>
          <w:lang w:bidi="he-IL"/>
        </w:rPr>
        <w:sectPr w:rsidR="00022CD1" w:rsidSect="00022CD1">
          <w:type w:val="continuous"/>
          <w:pgSz w:w="11907" w:h="16839" w:code="9"/>
          <w:pgMar w:top="1440" w:right="1440" w:bottom="1440" w:left="1440" w:header="720" w:footer="720" w:gutter="0"/>
          <w:cols w:space="720"/>
          <w:bidi/>
          <w:docGrid w:linePitch="360"/>
        </w:sectPr>
      </w:pPr>
    </w:p>
    <w:p w:rsidR="00022CD1" w:rsidRPr="00022CD1" w:rsidRDefault="00022CD1" w:rsidP="00022CD1">
      <w:pPr>
        <w:keepNext/>
        <w:tabs>
          <w:tab w:val="left" w:pos="3818"/>
          <w:tab w:val="center" w:pos="4680"/>
        </w:tabs>
        <w:bidi/>
        <w:jc w:val="center"/>
        <w:rPr>
          <w:rFonts w:cs="Guttman Drogolin"/>
          <w:b/>
          <w:bCs/>
          <w:sz w:val="24"/>
          <w:szCs w:val="24"/>
          <w:rtl/>
          <w:lang w:bidi="he-IL"/>
        </w:rPr>
      </w:pPr>
      <w:r w:rsidRPr="00022CD1">
        <w:rPr>
          <w:rFonts w:cs="Guttman Drogolin" w:hint="cs"/>
          <w:b/>
          <w:bCs/>
          <w:sz w:val="48"/>
          <w:szCs w:val="48"/>
          <w:rtl/>
          <w:lang w:bidi="he-IL"/>
        </w:rPr>
        <w:lastRenderedPageBreak/>
        <w:t>שיעור קמ"ו</w:t>
      </w:r>
    </w:p>
    <w:p w:rsidR="00022CD1" w:rsidRDefault="00022CD1" w:rsidP="00022CD1">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sectPr w:rsidR="00022CD1" w:rsidSect="00022CD1">
          <w:pgSz w:w="11907" w:h="16839" w:code="9"/>
          <w:pgMar w:top="1440" w:right="1440" w:bottom="1440" w:left="1440" w:header="720" w:footer="720" w:gutter="0"/>
          <w:cols w:space="720"/>
          <w:bidi/>
          <w:docGrid w:linePitch="360"/>
        </w:sectPr>
      </w:pPr>
    </w:p>
    <w:p w:rsidR="00022CD1" w:rsidRPr="00022CD1" w:rsidRDefault="00022CD1" w:rsidP="00022CD1">
      <w:pPr>
        <w:keepNext/>
        <w:keepLines/>
        <w:bidi/>
        <w:spacing w:after="0" w:line="360" w:lineRule="auto"/>
        <w:jc w:val="center"/>
        <w:outlineLvl w:val="0"/>
        <w:rPr>
          <w:rFonts w:asciiTheme="majorHAnsi" w:eastAsiaTheme="majorEastAsia" w:hAnsiTheme="majorHAnsi" w:cs="Guttman Drogolin"/>
          <w:b/>
          <w:bCs/>
          <w:sz w:val="20"/>
          <w:szCs w:val="20"/>
          <w:u w:val="single"/>
          <w:rtl/>
          <w:lang w:bidi="he-IL"/>
        </w:rPr>
      </w:pPr>
      <w:bookmarkStart w:id="557" w:name="_Toc496175794"/>
      <w:r w:rsidRPr="00022CD1">
        <w:rPr>
          <w:rFonts w:asciiTheme="majorHAnsi" w:eastAsiaTheme="majorEastAsia" w:hAnsiTheme="majorHAnsi" w:cs="Guttman Drogolin" w:hint="cs"/>
          <w:b/>
          <w:bCs/>
          <w:sz w:val="20"/>
          <w:szCs w:val="20"/>
          <w:u w:val="single"/>
          <w:rtl/>
          <w:lang w:bidi="he-IL"/>
        </w:rPr>
        <w:lastRenderedPageBreak/>
        <w:t>השגחה על החלב בזמן שאין בהמה טמאה בעדר</w:t>
      </w:r>
      <w:bookmarkEnd w:id="557"/>
    </w:p>
    <w:p w:rsidR="00022CD1" w:rsidRPr="00022CD1" w:rsidRDefault="00022CD1" w:rsidP="00022CD1">
      <w:pPr>
        <w:tabs>
          <w:tab w:val="right" w:pos="7497"/>
        </w:tabs>
        <w:bidi/>
        <w:jc w:val="both"/>
        <w:rPr>
          <w:rFonts w:cs="Guttman Drogolin"/>
          <w:rtl/>
          <w:lang w:bidi="he-IL"/>
        </w:rPr>
      </w:pPr>
      <w:r w:rsidRPr="00022CD1">
        <w:rPr>
          <w:rFonts w:cs="Guttman Drogolin"/>
          <w:rtl/>
          <w:lang w:bidi="he-IL"/>
        </w:rPr>
        <w:fldChar w:fldCharType="begin"/>
      </w:r>
      <w:r w:rsidRPr="00022CD1">
        <w:rPr>
          <w:rFonts w:cs="Guttman Drogolin"/>
        </w:rPr>
        <w:instrText xml:space="preserve"> XE "</w:instrText>
      </w:r>
      <w:r w:rsidRPr="00022CD1">
        <w:rPr>
          <w:rFonts w:cs="Guttman Drogolin" w:hint="cs"/>
          <w:rtl/>
          <w:lang w:bidi="he-IL"/>
        </w:rPr>
        <w:instrText>חלב עכו</w:instrText>
      </w:r>
      <w:r w:rsidRPr="00022CD1">
        <w:rPr>
          <w:rFonts w:eastAsiaTheme="minorEastAsia" w:cs="Guttman Drogolin"/>
          <w:lang w:bidi="he-IL"/>
        </w:rPr>
        <w:instrText>\</w:instrText>
      </w:r>
      <w:r w:rsidRPr="00022CD1">
        <w:rPr>
          <w:rFonts w:cs="Guttman Drogolin" w:hint="cs"/>
          <w:rtl/>
          <w:lang w:bidi="he-IL"/>
        </w:rPr>
        <w:instrText>"ם</w:instrText>
      </w:r>
      <w:r w:rsidRPr="00022CD1">
        <w:rPr>
          <w:rFonts w:cs="Guttman Drogolin"/>
          <w:rtl/>
        </w:rPr>
        <w:instrText>:</w:instrText>
      </w:r>
      <w:r w:rsidRPr="00022CD1">
        <w:rPr>
          <w:rFonts w:cs="Guttman Drogolin" w:hint="cs"/>
          <w:rtl/>
          <w:lang w:bidi="he-IL"/>
        </w:rPr>
        <w:instrText>כשאין בהמה טמאה בעדרו</w:instrText>
      </w:r>
      <w:r w:rsidRPr="00022CD1">
        <w:rPr>
          <w:rFonts w:cs="Guttman Drogolin"/>
        </w:rPr>
        <w:instrText xml:space="preserve">" </w:instrText>
      </w:r>
      <w:r w:rsidRPr="00022CD1">
        <w:rPr>
          <w:rFonts w:cs="Guttman Drogolin"/>
          <w:rtl/>
          <w:lang w:bidi="he-IL"/>
        </w:rPr>
        <w:fldChar w:fldCharType="end"/>
      </w:r>
      <w:r w:rsidRPr="00022CD1">
        <w:rPr>
          <w:rFonts w:cs="Guttman Drogolin" w:hint="cs"/>
          <w:rtl/>
          <w:lang w:bidi="he-IL"/>
        </w:rPr>
        <w:t xml:space="preserve">בדף ל"ט ע"ב הגמ' רוצה לפרש את הברייתא בו כתוב "יושב ישראל בצד עדרו של עובד כוכבים ועובד כוכבים חולב לו ומביא לו ואינו חושש. מסקנת הגמ' דמיירי בכה"ג שיושב ואינו יכול לראותו אבל אילו עמד יכול לראותו, דכיון דמירתת אין כאן משום חלב עכו"ם. אבל בתוך השו"ת בביאור ברייתא זו קאמר בגמ' "אי דליכא בהמה טמאה בעדרו פשיטא [דמהני ישיבה בצד עדרו]. ובמרדכי (רמז תתכ"ו) דקדק שאין כוונת הגמ' לומר שאם אין בהמה טמאה בעדרו שאין צורך בהשגחה כלל, דא"כ הו"ל לגמ' לומר 'אי דליכא בהמה טמאה בעדרו ישיבה בצד עדרו למה לי'. ומבואר דלעול גם בדליכא בהמה טמאה בעדרו אין להתיר אא"כ יושב מבחוץ, רק שזה פשוט דמהני. ונראה שגם התוס' נחתו לדיוק זה, ומבואר מדבריהם שהטעם שצריכים כה"ג יושב מבחוץ משום דאל"כ יהא אסור משום גילוי. אבל המרדכי הביא מכח דיוק זה בשם </w:t>
      </w:r>
      <w:r w:rsidRPr="00022CD1">
        <w:rPr>
          <w:rFonts w:cs="Guttman Drogolin"/>
          <w:rtl/>
          <w:lang w:bidi="he-IL"/>
        </w:rPr>
        <w:t xml:space="preserve">ה"ר פרץ זצק"ל </w:t>
      </w:r>
      <w:r w:rsidRPr="00022CD1">
        <w:rPr>
          <w:rFonts w:cs="Guttman Drogolin" w:hint="cs"/>
          <w:rtl/>
          <w:lang w:bidi="he-IL"/>
        </w:rPr>
        <w:t>ש"י</w:t>
      </w:r>
      <w:r w:rsidRPr="00022CD1">
        <w:rPr>
          <w:rFonts w:cs="Guttman Drogolin"/>
          <w:rtl/>
          <w:lang w:bidi="he-IL"/>
        </w:rPr>
        <w:t>ש להחמיר להיות הישראל שם בתחלת החליבה פן יערב או ישים העובד כוכבים חלב טמא בכלי קודם שיבא הישראל [*כדי להרכין המדה]</w:t>
      </w:r>
      <w:r w:rsidRPr="00022CD1">
        <w:rPr>
          <w:rFonts w:cs="Guttman Drogolin" w:hint="cs"/>
          <w:rtl/>
          <w:lang w:bidi="he-IL"/>
        </w:rPr>
        <w:t>". ולכאורה רצונו לומר שאמנם אין חשש שיחלוב ובהמה טמאה ויערבנו, דהא ליכא בהמה טמאה בעדרו. אבל מ"מ יש חשש שמערב חלב טמא שיביא מבחוץ קודם שיבא הישראל. ולזה מהני יושב מבחוץ, שבזה ישגיח שאינו מביא חלב טמא מבחוץ. אלא שעדיין צ"ע, דבשלמא שע"י זה שומר בהבאת חלב טמא באמצע החליבה, אבל איך מהני דבר זה להשגיח על זה שלא הביא חלב טמא מקודם. וכן המרדכי שם עצמו כתב שמכח דיוק זה ישגיח שלא הי' שם חלב קודם שיבא הישראל, ולכאורה אינו מובן שאם החשש משום קודם שיבא הישראל, מאי אהני לן ישראל יושב מבחוץ הא עדיין יש חשש שיערב חלב טמא קודם שיבא הישראל.</w:t>
      </w:r>
    </w:p>
    <w:p w:rsidR="00022CD1" w:rsidRPr="00022CD1" w:rsidRDefault="00022CD1" w:rsidP="00022CD1">
      <w:pPr>
        <w:tabs>
          <w:tab w:val="right" w:pos="7497"/>
        </w:tabs>
        <w:bidi/>
        <w:jc w:val="both"/>
        <w:rPr>
          <w:rFonts w:cs="Guttman Drogolin"/>
          <w:rtl/>
          <w:lang w:bidi="he-IL"/>
        </w:rPr>
      </w:pPr>
      <w:r w:rsidRPr="00022CD1">
        <w:rPr>
          <w:rFonts w:cs="Guttman Drogolin" w:hint="cs"/>
          <w:rtl/>
          <w:lang w:bidi="he-IL"/>
        </w:rPr>
        <w:t>והנה הרמ"א בסע' א' כתב "</w:t>
      </w:r>
      <w:r w:rsidRPr="00022CD1">
        <w:rPr>
          <w:rFonts w:cs="Guttman Drogolin"/>
          <w:rtl/>
          <w:lang w:bidi="he-IL"/>
        </w:rPr>
        <w:t xml:space="preserve">ולכתחלה צריך להיות הישראל בתחלת החליבה ויראה בכלי שלא יהיה </w:t>
      </w:r>
      <w:r w:rsidRPr="00022CD1">
        <w:rPr>
          <w:rFonts w:cs="Guttman Drogolin"/>
          <w:rtl/>
          <w:lang w:bidi="he-IL"/>
        </w:rPr>
        <w:lastRenderedPageBreak/>
        <w:t>בכלי שחולבין בו דבר טמא ונהגו להחמיר שלא יחלוב בכלי שדרכו של עובד כוכבים לחלוב בו שמא נשארו בו צחצוחי חלב של עובד כוכבים מיהו בדיעבד אין לחוש לכל זה</w:t>
      </w:r>
      <w:r w:rsidRPr="00022CD1">
        <w:rPr>
          <w:rFonts w:cs="Guttman Drogolin" w:hint="cs"/>
          <w:rtl/>
          <w:lang w:bidi="he-IL"/>
        </w:rPr>
        <w:t>". הרי שהשו"ע כתב להחמיר לבדוק את הכלי קודם החליבה, וע' בביור הגר"א שדבר זה נובע ממה שמחייבים אותו לישב מבחוץ אפילו אין דבר טמא בעדרו. אמנם בסוף כתב שבדיעבד אין לחוש לזה, וכתבו הפוסקים שאמנם אין הדבר כן לענין זה שצריך להיות שם מתחילת החליבה, מ"מ לענין ראי' בתוך הכלי כן סבר הרמ"א שאינו מעכב בדיעבד. אלא דיעוין בש"ך ס"ק ח' שחלק וסבר שראי' בכלי מעכב אפילו בדיעבד. ולכאורה מסברא נראין דברי הש"ך אבל מן הסוגיא נראין דברי הרמ"א, שהרי מסברא כיון שצריך יושב מבחוץ משום חשש שלא יביא חלב טמא מחוץ לביתו, לכאורה יש לחשוש נמי שיש לו חלב בביתו מקודם, וא"כ למה לא יצטרך לבדוק הכלי כמו שחייב לישב מבחוץ. ומאידך אילו הי' חיוב לבדוק את הכלי למה לא השמיענו חז"ל דבר זה בהדיא, דמשמע מן הגמ' שביושב מבחוץ ויכול לראותו כשעומד לבד סגי, ואינו צריך לראות בפועל כלל. ובש"ך שם כתב שכן מבואר מעצם הדין שצריך לישב מבחוץ אפילו אין דבר טמא עדרו, ולכאורה עדיין צ"ע, דהא אפילו אם החשש מבואר מזה</w:t>
      </w:r>
      <w:r w:rsidR="00BE3E0D">
        <w:rPr>
          <w:rFonts w:cs="Guttman Drogolin" w:hint="cs"/>
          <w:rtl/>
          <w:lang w:bidi="he-IL"/>
        </w:rPr>
        <w:t>,</w:t>
      </w:r>
      <w:r w:rsidRPr="00022CD1">
        <w:rPr>
          <w:rFonts w:cs="Guttman Drogolin" w:hint="cs"/>
          <w:rtl/>
          <w:lang w:bidi="he-IL"/>
        </w:rPr>
        <w:t xml:space="preserve"> עצם הדין </w:t>
      </w:r>
      <w:r w:rsidR="00BE3E0D">
        <w:rPr>
          <w:rFonts w:cs="Guttman Drogolin" w:hint="cs"/>
          <w:rtl/>
          <w:lang w:bidi="he-IL"/>
        </w:rPr>
        <w:t>ל</w:t>
      </w:r>
      <w:r w:rsidRPr="00022CD1">
        <w:rPr>
          <w:rFonts w:cs="Guttman Drogolin" w:hint="cs"/>
          <w:rtl/>
          <w:lang w:bidi="he-IL"/>
        </w:rPr>
        <w:t>א כתוב ולמה לא כתבוהו. אלא דמ"מ צ"ע למה לא יצטרך לעכוב אחרי זה.</w:t>
      </w:r>
    </w:p>
    <w:p w:rsidR="00022CD1" w:rsidRPr="00022CD1" w:rsidRDefault="00022CD1" w:rsidP="00022CD1">
      <w:pPr>
        <w:tabs>
          <w:tab w:val="right" w:pos="7497"/>
        </w:tabs>
        <w:bidi/>
        <w:jc w:val="both"/>
        <w:rPr>
          <w:rFonts w:cs="Guttman Drogolin"/>
          <w:rtl/>
          <w:lang w:bidi="he-IL"/>
        </w:rPr>
      </w:pPr>
      <w:r w:rsidRPr="00022CD1">
        <w:rPr>
          <w:rFonts w:cs="Guttman Drogolin" w:hint="cs"/>
          <w:rtl/>
          <w:lang w:bidi="he-IL"/>
        </w:rPr>
        <w:t>ולכאורה לשיטת הרמ"א מה שצריכים לומר הוא שלא חששו לאיחלופי אלא בשעת חליבה. ויש גם לתת לזה טעם, והוא שעיקר החשש הוא שיערב הנכרי חלב טמא בכוונה כדי להשלים המדה. ולכן קודם החליבה אין</w:t>
      </w:r>
      <w:r>
        <w:rPr>
          <w:rFonts w:cs="Guttman Drogolin" w:hint="cs"/>
          <w:rtl/>
          <w:lang w:bidi="he-IL"/>
        </w:rPr>
        <w:t xml:space="preserve"> </w:t>
      </w:r>
      <w:r w:rsidRPr="00022CD1">
        <w:rPr>
          <w:rFonts w:cs="Guttman Drogolin" w:hint="cs"/>
          <w:rtl/>
          <w:lang w:bidi="he-IL"/>
        </w:rPr>
        <w:t>מה לחשוש משום שאין לו לדעת שלא יהי' לו מספיק חלב, ואם יהי' לו לא יצטרך חלב טמא כלל. רק בשעת החליבה יש לחו אולי יתחסר לו, ולכן חיישינן שיביא חלב טמא מבחוץ ויערב, ולזה מהני ישיבה מבחוץ, ולעולם אינו צריך לבדוק הכלי מעיקר הדין אע"ג שצריך ישיבה מבחוץ מעיקר הדין.</w:t>
      </w:r>
    </w:p>
    <w:p w:rsidR="00022CD1" w:rsidRPr="00022CD1" w:rsidRDefault="00022CD1" w:rsidP="00022CD1">
      <w:pPr>
        <w:tabs>
          <w:tab w:val="right" w:pos="7497"/>
        </w:tabs>
        <w:bidi/>
        <w:jc w:val="both"/>
        <w:rPr>
          <w:rFonts w:cs="Guttman Drogolin"/>
          <w:rtl/>
          <w:lang w:bidi="he-IL"/>
        </w:rPr>
      </w:pPr>
      <w:r w:rsidRPr="00022CD1">
        <w:rPr>
          <w:rFonts w:cs="Guttman Drogolin"/>
          <w:rtl/>
          <w:lang w:bidi="he-IL"/>
        </w:rPr>
        <w:lastRenderedPageBreak/>
        <w:fldChar w:fldCharType="begin"/>
      </w:r>
      <w:r w:rsidRPr="00022CD1">
        <w:rPr>
          <w:rFonts w:cs="Guttman Drogolin"/>
        </w:rPr>
        <w:instrText xml:space="preserve"> XE "</w:instrText>
      </w:r>
      <w:r w:rsidRPr="00022CD1">
        <w:rPr>
          <w:rFonts w:cs="Guttman Drogolin" w:hint="cs"/>
          <w:rtl/>
          <w:lang w:bidi="he-IL"/>
        </w:rPr>
        <w:instrText>חלב עכו</w:instrText>
      </w:r>
      <w:r w:rsidRPr="00022CD1">
        <w:rPr>
          <w:rFonts w:eastAsiaTheme="minorEastAsia" w:cs="Guttman Drogolin"/>
          <w:lang w:bidi="he-IL"/>
        </w:rPr>
        <w:instrText>\</w:instrText>
      </w:r>
      <w:r w:rsidRPr="00022CD1">
        <w:rPr>
          <w:rFonts w:cs="Guttman Drogolin" w:hint="cs"/>
          <w:rtl/>
          <w:lang w:bidi="he-IL"/>
        </w:rPr>
        <w:instrText>"ם</w:instrText>
      </w:r>
      <w:r w:rsidRPr="00022CD1">
        <w:rPr>
          <w:rFonts w:cs="Guttman Drogolin"/>
          <w:rtl/>
        </w:rPr>
        <w:instrText>:</w:instrText>
      </w:r>
      <w:r w:rsidRPr="00022CD1">
        <w:rPr>
          <w:rFonts w:cs="Guttman Drogolin" w:hint="cs"/>
          <w:rtl/>
          <w:lang w:bidi="he-IL"/>
        </w:rPr>
        <w:instrText>אם גדר הגזירה הוא רק בשעת חליבה</w:instrText>
      </w:r>
      <w:r w:rsidRPr="00022CD1">
        <w:rPr>
          <w:rFonts w:cs="Guttman Drogolin"/>
        </w:rPr>
        <w:instrText xml:space="preserve">" </w:instrText>
      </w:r>
      <w:r w:rsidRPr="00022CD1">
        <w:rPr>
          <w:rFonts w:cs="Guttman Drogolin"/>
          <w:rtl/>
          <w:lang w:bidi="he-IL"/>
        </w:rPr>
        <w:fldChar w:fldCharType="end"/>
      </w:r>
      <w:r w:rsidRPr="00022CD1">
        <w:rPr>
          <w:rFonts w:cs="Guttman Drogolin" w:hint="cs"/>
          <w:rtl/>
          <w:lang w:bidi="he-IL"/>
        </w:rPr>
        <w:t>ואנחנו מוצאים גם במקום אחר שאין חשש איחלופי בחלב טמא אלא בשעת חליבה, שהרי הדרכ"מ בס"ק ג' הביא מאו"ה (מ"ה, ז') ש</w:t>
      </w:r>
      <w:r w:rsidRPr="00022CD1">
        <w:rPr>
          <w:rFonts w:cs="Guttman Drogolin"/>
          <w:rtl/>
          <w:lang w:bidi="he-IL"/>
        </w:rPr>
        <w:t>אם ראה ישראל החליבה והניח ביד הגוי לבד יום או יומים אין לאסור בדיעבד אלא אם כן ידוע דיש לגוי דבר טמא בעדרו</w:t>
      </w:r>
      <w:r w:rsidRPr="00022CD1">
        <w:rPr>
          <w:rFonts w:cs="Guttman Drogolin" w:hint="cs"/>
          <w:rtl/>
          <w:lang w:bidi="he-IL"/>
        </w:rPr>
        <w:t xml:space="preserve">. ולכאורה צ"ע למה חיישינן לאיחלופי גם אחרי החליבה כמו בשעת החליבה. ולכאורה חזינן מזה שחז"ל נתנו גדר לגזירתם, ולא גזרו לחשוש יותר מעל עיקר הדין אלא בשעת חליבה, אבל אחרי שהשגיחו על שעת החליבה, אע"ג שהחלב הי' ביד עכו"ם, לא חיישינן לאיחלופי מחוץ לבית. </w:t>
      </w:r>
    </w:p>
    <w:p w:rsidR="00022CD1" w:rsidRPr="00022CD1" w:rsidRDefault="00022CD1" w:rsidP="00022CD1">
      <w:pPr>
        <w:tabs>
          <w:tab w:val="right" w:pos="7497"/>
        </w:tabs>
        <w:bidi/>
        <w:jc w:val="both"/>
        <w:rPr>
          <w:rFonts w:cs="Guttman Drogolin"/>
          <w:rtl/>
          <w:lang w:bidi="he-IL"/>
        </w:rPr>
      </w:pPr>
      <w:r w:rsidRPr="00022CD1">
        <w:rPr>
          <w:rFonts w:cs="Guttman Drogolin" w:hint="cs"/>
          <w:rtl/>
          <w:lang w:bidi="he-IL"/>
        </w:rPr>
        <w:t>ונראה להדגיש דהנה אם השגיח על מעשה החליבה, והניח החלב בביתו ושוב הלך לו למקום אחר, ולאחר מכן חזר והביא לו העכו"ם חלב, אם אין לו שום סימן או טביעת עין שזהו החלב שהשגיח עליו, שהרי הוא אסור מדין חלב עכו"ם. דרק כשיש לנו הסתברות לומר שזהו החלב שהשגיח עליו י"ל שאחרי שהשגיח על החלב כדין בשעת חליבה שוב לא גזרו בי' משום גזירת חלב עכו"ם במה יקרה לאחר מכן, אבל זה שהשגיח על חלב לא מהני אם לא ידע שזהו החלב שהשגיח עליו. והרי הוא דוגמת עכו"ם שמביא לו חלב ואומר שהוא מחלב שהשגיח עליו יהודי אחר שודאי אינו נאמן לזה</w:t>
      </w:r>
      <w:r w:rsidR="0055696F">
        <w:rPr>
          <w:rStyle w:val="FootnoteReference"/>
          <w:rFonts w:cs="Guttman Drogolin"/>
          <w:rtl/>
          <w:lang w:bidi="he-IL"/>
        </w:rPr>
        <w:footnoteReference w:id="592"/>
      </w:r>
      <w:r w:rsidRPr="00022CD1">
        <w:rPr>
          <w:rFonts w:cs="Guttman Drogolin" w:hint="cs"/>
          <w:rtl/>
          <w:lang w:bidi="he-IL"/>
        </w:rPr>
        <w:t>.</w:t>
      </w:r>
    </w:p>
    <w:p w:rsidR="00022CD1" w:rsidRPr="00022CD1" w:rsidRDefault="00022CD1" w:rsidP="00022CD1">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pPr>
      <w:bookmarkStart w:id="558" w:name="_Toc496175795"/>
      <w:r w:rsidRPr="00022CD1">
        <w:rPr>
          <w:rFonts w:asciiTheme="majorHAnsi" w:eastAsiaTheme="majorEastAsia" w:hAnsiTheme="majorHAnsi" w:cs="Guttman Drogolin" w:hint="cs"/>
          <w:b/>
          <w:bCs/>
          <w:sz w:val="24"/>
          <w:szCs w:val="24"/>
          <w:u w:val="single"/>
          <w:rtl/>
          <w:lang w:bidi="he-IL"/>
        </w:rPr>
        <w:t>חלב שבפיקוח ממשלתי</w:t>
      </w:r>
      <w:bookmarkEnd w:id="558"/>
    </w:p>
    <w:p w:rsidR="00022CD1" w:rsidRPr="00022CD1" w:rsidRDefault="00022CD1" w:rsidP="00022CD1">
      <w:pPr>
        <w:tabs>
          <w:tab w:val="right" w:pos="7497"/>
        </w:tabs>
        <w:bidi/>
        <w:jc w:val="both"/>
        <w:rPr>
          <w:rFonts w:cs="Guttman Drogolin"/>
          <w:rtl/>
          <w:lang w:bidi="he-IL"/>
        </w:rPr>
      </w:pPr>
      <w:r w:rsidRPr="00022CD1">
        <w:rPr>
          <w:rFonts w:cs="Guttman Drogolin"/>
          <w:rtl/>
          <w:lang w:bidi="he-IL"/>
        </w:rPr>
        <w:fldChar w:fldCharType="begin"/>
      </w:r>
      <w:r w:rsidRPr="00022CD1">
        <w:rPr>
          <w:rFonts w:cs="Guttman Drogolin"/>
        </w:rPr>
        <w:instrText xml:space="preserve"> XE "</w:instrText>
      </w:r>
      <w:r w:rsidRPr="00022CD1">
        <w:rPr>
          <w:rFonts w:cs="Guttman Drogolin" w:hint="cs"/>
          <w:rtl/>
          <w:lang w:bidi="he-IL"/>
        </w:rPr>
        <w:instrText>חלב עכו</w:instrText>
      </w:r>
      <w:r w:rsidRPr="00022CD1">
        <w:rPr>
          <w:rFonts w:eastAsiaTheme="minorEastAsia" w:cs="Guttman Drogolin"/>
          <w:lang w:bidi="he-IL"/>
        </w:rPr>
        <w:instrText>\</w:instrText>
      </w:r>
      <w:r w:rsidRPr="00022CD1">
        <w:rPr>
          <w:rFonts w:cs="Guttman Drogolin" w:hint="cs"/>
          <w:rtl/>
          <w:lang w:bidi="he-IL"/>
        </w:rPr>
        <w:instrText>"ם</w:instrText>
      </w:r>
      <w:r w:rsidRPr="00022CD1">
        <w:rPr>
          <w:rFonts w:cs="Guttman Drogolin"/>
          <w:rtl/>
        </w:rPr>
        <w:instrText>:</w:instrText>
      </w:r>
      <w:r w:rsidRPr="00022CD1">
        <w:rPr>
          <w:rFonts w:cs="Guttman Drogolin" w:hint="cs"/>
          <w:rtl/>
          <w:lang w:bidi="he-IL"/>
        </w:rPr>
        <w:instrText>חלב שבפיקוח ממשלתי</w:instrText>
      </w:r>
      <w:r w:rsidRPr="00022CD1">
        <w:rPr>
          <w:rFonts w:cs="Guttman Drogolin"/>
        </w:rPr>
        <w:instrText xml:space="preserve">" </w:instrText>
      </w:r>
      <w:r w:rsidRPr="00022CD1">
        <w:rPr>
          <w:rFonts w:cs="Guttman Drogolin"/>
          <w:rtl/>
          <w:lang w:bidi="he-IL"/>
        </w:rPr>
        <w:fldChar w:fldCharType="end"/>
      </w:r>
      <w:r w:rsidRPr="00022CD1">
        <w:rPr>
          <w:rFonts w:cs="Guttman Drogolin" w:hint="cs"/>
          <w:rtl/>
          <w:lang w:bidi="he-IL"/>
        </w:rPr>
        <w:t xml:space="preserve">באג"מ (יו"ד א' סי' מ"ז </w:t>
      </w:r>
      <w:r w:rsidRPr="00022CD1">
        <w:rPr>
          <w:rFonts w:cs="Guttman Drogolin"/>
          <w:rtl/>
          <w:lang w:bidi="he-IL"/>
        </w:rPr>
        <w:t>–</w:t>
      </w:r>
      <w:r w:rsidRPr="00022CD1">
        <w:rPr>
          <w:rFonts w:cs="Guttman Drogolin" w:hint="cs"/>
          <w:rtl/>
          <w:lang w:bidi="he-IL"/>
        </w:rPr>
        <w:t xml:space="preserve"> מ"ט) שחלב שהוא בפיקוח מטעם הממשלה שלא יהא בו אלא חלב מבהמה טהורה הרי הוא בכלל חלב ישראל ומותר. ונראה לבאר דבריו ע"פ מה שמבואר בגמ' שאפילו אינו רואהו מ"מ מותר היכא דמירתת, ולכן כה"ג נמי מירתת ומותר. תדע שאינו רק מירתת דיושב דמהני, דהא כתבו </w:t>
      </w:r>
      <w:r w:rsidRPr="00022CD1">
        <w:rPr>
          <w:rFonts w:cs="Guttman Drogolin" w:hint="cs"/>
          <w:rtl/>
          <w:lang w:bidi="he-IL"/>
        </w:rPr>
        <w:lastRenderedPageBreak/>
        <w:t>הפוסקים שע"כ גם יוצא ונכנס מהני כיון שגם בזה מירתת. וכה"ג מבואר גם בחזו"א סי' מ"א ס"ק ד'</w:t>
      </w:r>
      <w:r w:rsidR="00E60A7F">
        <w:rPr>
          <w:rStyle w:val="FootnoteReference"/>
          <w:rFonts w:cs="Guttman Drogolin"/>
          <w:rtl/>
          <w:lang w:bidi="he-IL"/>
        </w:rPr>
        <w:footnoteReference w:id="593"/>
      </w:r>
      <w:r w:rsidRPr="00022CD1">
        <w:rPr>
          <w:rFonts w:cs="Guttman Drogolin" w:hint="cs"/>
          <w:rtl/>
          <w:lang w:bidi="he-IL"/>
        </w:rPr>
        <w:t xml:space="preserve"> (אע"ג שיש שהעידו שהחזו"א לא רצה לסמוך על זה למעשה או עכ"פ שלא רצה לסמוך על זה אלא בשעת הצורך</w:t>
      </w:r>
      <w:r w:rsidR="00E60A7F">
        <w:rPr>
          <w:rFonts w:cs="Guttman Drogolin" w:hint="cs"/>
          <w:rtl/>
          <w:lang w:bidi="he-IL"/>
        </w:rPr>
        <w:t>)</w:t>
      </w:r>
      <w:r w:rsidRPr="00022CD1">
        <w:rPr>
          <w:rFonts w:cs="Guttman Drogolin" w:hint="cs"/>
          <w:rtl/>
          <w:lang w:bidi="he-IL"/>
        </w:rPr>
        <w:t>. ויש בדבריהם עכ"פ מידת חידוש שפיקוח ממשלתי יש לה הדרגת מירתת המספיקה כדי שיחשב חלב ישראל, וע"ש באג"מ שהעירו עליו מכמה טעמים לומר דלא מירתת. ואני מוסיף אולי קצת טעם לשבח מדילי. והוא שלכאורה היום יש עוד טעם גדול למירתת, ואינו מצד הפיקוח עצמה, אלא מצד זה שאם מישהו רגיש לא' מן החומרים שאינם אמורים להיות בה, ויחלה משתייתו ח"ו וכדומה, המחלבה צפוי להוצאות רבות בבית משפט של כמה מליוני דולרים, ועורכי דין מתפרנסים בכבוד מזה. וא"כ כ"ש דמירתת להכניס בה דבר שאינו מחלב טהור.</w:t>
      </w:r>
    </w:p>
    <w:p w:rsidR="00022CD1" w:rsidRPr="00022CD1" w:rsidRDefault="00022CD1" w:rsidP="00022CD1">
      <w:pPr>
        <w:tabs>
          <w:tab w:val="right" w:pos="7497"/>
        </w:tabs>
        <w:bidi/>
        <w:jc w:val="both"/>
        <w:rPr>
          <w:rFonts w:cs="Guttman Drogolin"/>
          <w:rtl/>
          <w:lang w:bidi="he-IL"/>
        </w:rPr>
      </w:pPr>
      <w:r w:rsidRPr="00022CD1">
        <w:rPr>
          <w:rFonts w:cs="Guttman Drogolin"/>
          <w:rtl/>
          <w:lang w:bidi="he-IL"/>
        </w:rPr>
        <w:fldChar w:fldCharType="begin"/>
      </w:r>
      <w:r w:rsidRPr="00022CD1">
        <w:rPr>
          <w:rFonts w:cs="Guttman Drogolin"/>
        </w:rPr>
        <w:instrText xml:space="preserve"> XE "</w:instrText>
      </w:r>
      <w:r w:rsidRPr="00022CD1">
        <w:rPr>
          <w:rFonts w:cs="Guttman Drogolin" w:hint="cs"/>
          <w:rtl/>
          <w:lang w:bidi="he-IL"/>
        </w:rPr>
        <w:instrText>חלב עכו</w:instrText>
      </w:r>
      <w:r w:rsidRPr="00022CD1">
        <w:rPr>
          <w:rFonts w:eastAsiaTheme="minorEastAsia" w:cs="Guttman Drogolin"/>
          <w:lang w:bidi="he-IL"/>
        </w:rPr>
        <w:instrText>\</w:instrText>
      </w:r>
      <w:r w:rsidRPr="00022CD1">
        <w:rPr>
          <w:rFonts w:cs="Guttman Drogolin" w:hint="cs"/>
          <w:rtl/>
          <w:lang w:bidi="he-IL"/>
        </w:rPr>
        <w:instrText>"ם</w:instrText>
      </w:r>
      <w:r w:rsidRPr="00022CD1">
        <w:rPr>
          <w:rFonts w:cs="Guttman Drogolin"/>
          <w:rtl/>
        </w:rPr>
        <w:instrText>:</w:instrText>
      </w:r>
      <w:r w:rsidRPr="00022CD1">
        <w:rPr>
          <w:rFonts w:cs="Guttman Drogolin" w:hint="cs"/>
          <w:rtl/>
          <w:lang w:bidi="he-IL"/>
        </w:rPr>
        <w:instrText>השגחה ע</w:instrText>
      </w:r>
      <w:r w:rsidRPr="00022CD1">
        <w:rPr>
          <w:rFonts w:eastAsiaTheme="minorEastAsia" w:cs="Guttman Drogolin"/>
          <w:lang w:bidi="he-IL"/>
        </w:rPr>
        <w:instrText>\</w:instrText>
      </w:r>
      <w:r w:rsidRPr="00022CD1">
        <w:rPr>
          <w:rFonts w:cs="Guttman Drogolin" w:hint="cs"/>
          <w:rtl/>
          <w:lang w:bidi="he-IL"/>
        </w:rPr>
        <w:instrText>"י וידיאו</w:instrText>
      </w:r>
      <w:r w:rsidRPr="00022CD1">
        <w:rPr>
          <w:rFonts w:cs="Guttman Drogolin"/>
        </w:rPr>
        <w:instrText xml:space="preserve">" </w:instrText>
      </w:r>
      <w:r w:rsidRPr="00022CD1">
        <w:rPr>
          <w:rFonts w:cs="Guttman Drogolin"/>
          <w:rtl/>
          <w:lang w:bidi="he-IL"/>
        </w:rPr>
        <w:fldChar w:fldCharType="end"/>
      </w:r>
      <w:r w:rsidRPr="00022CD1">
        <w:rPr>
          <w:rFonts w:cs="Guttman Drogolin" w:hint="cs"/>
          <w:rtl/>
          <w:lang w:bidi="he-IL"/>
        </w:rPr>
        <w:t>ונראה שמטעם זה דכ"ש שיש לסמוך על וידיאו להשגחה להיות חלב ישראל, שגם בזה מירתת עד כמה שיש אנשים שמסתכלים בוידיאו</w:t>
      </w:r>
      <w:r w:rsidRPr="00022CD1">
        <w:rPr>
          <w:rFonts w:cs="Guttman Drogolin"/>
          <w:vertAlign w:val="superscript"/>
          <w:rtl/>
          <w:lang w:bidi="he-IL"/>
        </w:rPr>
        <w:footnoteReference w:id="594"/>
      </w:r>
      <w:r w:rsidRPr="00022CD1">
        <w:rPr>
          <w:rFonts w:cs="Guttman Drogolin" w:hint="cs"/>
          <w:rtl/>
          <w:lang w:bidi="he-IL"/>
        </w:rPr>
        <w:t>.</w:t>
      </w:r>
    </w:p>
    <w:p w:rsidR="00022CD1" w:rsidRPr="00022CD1" w:rsidRDefault="00022CD1" w:rsidP="00022CD1">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pPr>
      <w:bookmarkStart w:id="559" w:name="_Toc496175796"/>
      <w:r w:rsidRPr="00022CD1">
        <w:rPr>
          <w:rFonts w:asciiTheme="majorHAnsi" w:eastAsiaTheme="majorEastAsia" w:hAnsiTheme="majorHAnsi" w:cs="Guttman Drogolin" w:hint="cs"/>
          <w:b/>
          <w:bCs/>
          <w:sz w:val="24"/>
          <w:szCs w:val="24"/>
          <w:u w:val="single"/>
          <w:rtl/>
          <w:lang w:bidi="he-IL"/>
        </w:rPr>
        <w:t>אבקת חלב עכו"ם</w:t>
      </w:r>
      <w:bookmarkEnd w:id="559"/>
    </w:p>
    <w:p w:rsidR="00022CD1" w:rsidRPr="00022CD1" w:rsidRDefault="00022CD1" w:rsidP="00022CD1">
      <w:pPr>
        <w:tabs>
          <w:tab w:val="right" w:pos="7497"/>
        </w:tabs>
        <w:bidi/>
        <w:jc w:val="both"/>
        <w:rPr>
          <w:rFonts w:cs="Guttman Drogolin"/>
          <w:rtl/>
          <w:lang w:bidi="he-IL"/>
        </w:rPr>
      </w:pPr>
      <w:r w:rsidRPr="00022CD1">
        <w:rPr>
          <w:rFonts w:cs="Guttman Drogolin"/>
          <w:rtl/>
          <w:lang w:bidi="he-IL"/>
        </w:rPr>
        <w:fldChar w:fldCharType="begin"/>
      </w:r>
      <w:r w:rsidRPr="00022CD1">
        <w:rPr>
          <w:rFonts w:cs="Guttman Drogolin"/>
        </w:rPr>
        <w:instrText xml:space="preserve"> XE "</w:instrText>
      </w:r>
      <w:r w:rsidRPr="00022CD1">
        <w:rPr>
          <w:rFonts w:cs="Guttman Drogolin" w:hint="cs"/>
          <w:rtl/>
          <w:lang w:bidi="he-IL"/>
        </w:rPr>
        <w:instrText>חלב עכו</w:instrText>
      </w:r>
      <w:r w:rsidRPr="00022CD1">
        <w:rPr>
          <w:rFonts w:eastAsiaTheme="minorEastAsia" w:cs="Guttman Drogolin"/>
          <w:lang w:bidi="he-IL"/>
        </w:rPr>
        <w:instrText>\</w:instrText>
      </w:r>
      <w:r w:rsidRPr="00022CD1">
        <w:rPr>
          <w:rFonts w:cs="Guttman Drogolin" w:hint="cs"/>
          <w:rtl/>
          <w:lang w:bidi="he-IL"/>
        </w:rPr>
        <w:instrText>"ם</w:instrText>
      </w:r>
      <w:r w:rsidRPr="00022CD1">
        <w:rPr>
          <w:rFonts w:cs="Guttman Drogolin"/>
          <w:rtl/>
        </w:rPr>
        <w:instrText>:</w:instrText>
      </w:r>
      <w:r w:rsidRPr="00022CD1">
        <w:rPr>
          <w:rFonts w:cs="Guttman Drogolin" w:hint="cs"/>
          <w:rtl/>
          <w:lang w:bidi="he-IL"/>
        </w:rPr>
        <w:instrText>אבקת חלב</w:instrText>
      </w:r>
      <w:r w:rsidRPr="00022CD1">
        <w:rPr>
          <w:rFonts w:cs="Guttman Drogolin"/>
        </w:rPr>
        <w:instrText xml:space="preserve">" </w:instrText>
      </w:r>
      <w:r w:rsidRPr="00022CD1">
        <w:rPr>
          <w:rFonts w:cs="Guttman Drogolin"/>
          <w:rtl/>
          <w:lang w:bidi="he-IL"/>
        </w:rPr>
        <w:fldChar w:fldCharType="end"/>
      </w:r>
      <w:r w:rsidRPr="00022CD1">
        <w:rPr>
          <w:rFonts w:cs="Guttman Drogolin" w:hint="cs"/>
          <w:rtl/>
          <w:lang w:bidi="he-IL"/>
        </w:rPr>
        <w:t>ידוע שיטת הגרצ"פ פראנק</w:t>
      </w:r>
      <w:r w:rsidR="0081765A">
        <w:rPr>
          <w:rFonts w:cs="Guttman Drogolin" w:hint="cs"/>
          <w:rtl/>
          <w:lang w:bidi="he-IL"/>
        </w:rPr>
        <w:t xml:space="preserve"> (שו"ת הר צבי יו"ד סי' ק"ג וק"ד)</w:t>
      </w:r>
      <w:r w:rsidRPr="00022CD1">
        <w:rPr>
          <w:rFonts w:cs="Guttman Drogolin" w:hint="cs"/>
          <w:rtl/>
          <w:lang w:bidi="he-IL"/>
        </w:rPr>
        <w:t xml:space="preserve"> להקל באבקת חלב עכו"ם. והחזו"א </w:t>
      </w:r>
      <w:r w:rsidR="00DB1A5B">
        <w:rPr>
          <w:rFonts w:cs="Guttman Drogolin" w:hint="cs"/>
          <w:rtl/>
          <w:lang w:bidi="he-IL"/>
        </w:rPr>
        <w:t xml:space="preserve">(סי' מ"א ס"ק ד') </w:t>
      </w:r>
      <w:r w:rsidRPr="00022CD1">
        <w:rPr>
          <w:rFonts w:cs="Guttman Drogolin" w:hint="cs"/>
          <w:rtl/>
          <w:lang w:bidi="he-IL"/>
        </w:rPr>
        <w:t xml:space="preserve">דחה ההיתר כיון שאפשר לייבש גם חלב טמא ולעשותו אבקה. אמנם חשבתי אולי ללמד זכות על זה ע"פ סברת החת"ס. והוא דסבר שלא גזרו אלא על החלב ולא על הגבינה. ומשו"ה אין לאסור הגבינה התקשה מגזירת חלב עכו"ם. וא"כ י"ל שגם אבקת חלב לא חשוב חלב ממש ולכן לא גזרו גם עליו. תדע שהחת"ס עצמו כתב טעם להתיר חלב שנילוש בחלב עכו"ם מטעם זה, ואע"ג שלא רצה לסמוך על זה, מ"מ כאן שעצם החלב נשתנב ולא רק שעירבבו אותו לתוך עיסה, יש להקל יותר. </w:t>
      </w:r>
    </w:p>
    <w:p w:rsidR="00022CD1" w:rsidRPr="00022CD1" w:rsidRDefault="00022CD1" w:rsidP="00022CD1">
      <w:pPr>
        <w:tabs>
          <w:tab w:val="right" w:pos="7497"/>
        </w:tabs>
        <w:bidi/>
        <w:jc w:val="both"/>
        <w:rPr>
          <w:rFonts w:cs="Times New Roman"/>
          <w:rtl/>
        </w:rPr>
        <w:sectPr w:rsidR="00022CD1" w:rsidRPr="00022CD1" w:rsidSect="00022CD1">
          <w:type w:val="continuous"/>
          <w:pgSz w:w="11907" w:h="16839" w:code="9"/>
          <w:pgMar w:top="1440" w:right="1440" w:bottom="1440" w:left="1440" w:header="720" w:footer="720" w:gutter="0"/>
          <w:cols w:num="2" w:space="720"/>
          <w:bidi/>
          <w:docGrid w:linePitch="360"/>
        </w:sectPr>
      </w:pPr>
    </w:p>
    <w:p w:rsidR="00022CD1" w:rsidRDefault="00022CD1" w:rsidP="00022CD1">
      <w:pPr>
        <w:keepNext/>
        <w:tabs>
          <w:tab w:val="left" w:pos="3818"/>
          <w:tab w:val="center" w:pos="4680"/>
        </w:tabs>
        <w:bidi/>
        <w:jc w:val="center"/>
        <w:rPr>
          <w:rFonts w:cs="Guttman Drogolin"/>
          <w:b/>
          <w:bCs/>
          <w:sz w:val="48"/>
          <w:szCs w:val="48"/>
          <w:rtl/>
          <w:lang w:bidi="he-IL"/>
        </w:rPr>
        <w:sectPr w:rsidR="00022CD1" w:rsidSect="00022CD1">
          <w:type w:val="continuous"/>
          <w:pgSz w:w="11907" w:h="16839" w:code="9"/>
          <w:pgMar w:top="1440" w:right="1440" w:bottom="1440" w:left="1440" w:header="720" w:footer="720" w:gutter="0"/>
          <w:cols w:space="720"/>
          <w:bidi/>
          <w:docGrid w:linePitch="360"/>
        </w:sectPr>
      </w:pPr>
    </w:p>
    <w:p w:rsidR="00022CD1" w:rsidRPr="00022CD1" w:rsidRDefault="00022CD1" w:rsidP="00022CD1">
      <w:pPr>
        <w:keepNext/>
        <w:tabs>
          <w:tab w:val="left" w:pos="3818"/>
          <w:tab w:val="center" w:pos="4680"/>
        </w:tabs>
        <w:bidi/>
        <w:jc w:val="center"/>
        <w:rPr>
          <w:rFonts w:cs="Guttman Drogolin"/>
          <w:b/>
          <w:bCs/>
          <w:sz w:val="24"/>
          <w:szCs w:val="24"/>
          <w:rtl/>
          <w:lang w:bidi="he-IL"/>
        </w:rPr>
      </w:pPr>
      <w:r w:rsidRPr="00022CD1">
        <w:rPr>
          <w:rFonts w:cs="Guttman Drogolin" w:hint="cs"/>
          <w:b/>
          <w:bCs/>
          <w:sz w:val="48"/>
          <w:szCs w:val="48"/>
          <w:rtl/>
          <w:lang w:bidi="he-IL"/>
        </w:rPr>
        <w:lastRenderedPageBreak/>
        <w:t>שיעור קמ"ז</w:t>
      </w:r>
    </w:p>
    <w:p w:rsidR="00022CD1" w:rsidRDefault="00022CD1" w:rsidP="00022CD1">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sectPr w:rsidR="00022CD1" w:rsidSect="00022CD1">
          <w:pgSz w:w="11907" w:h="16839" w:code="9"/>
          <w:pgMar w:top="1440" w:right="1440" w:bottom="1440" w:left="1440" w:header="720" w:footer="720" w:gutter="0"/>
          <w:cols w:space="720"/>
          <w:bidi/>
          <w:docGrid w:linePitch="360"/>
        </w:sectPr>
      </w:pPr>
    </w:p>
    <w:p w:rsidR="00022CD1" w:rsidRPr="00022CD1" w:rsidRDefault="00022CD1" w:rsidP="00022CD1">
      <w:pPr>
        <w:keepNext/>
        <w:keepLines/>
        <w:bidi/>
        <w:spacing w:after="0" w:line="360" w:lineRule="auto"/>
        <w:jc w:val="center"/>
        <w:outlineLvl w:val="0"/>
        <w:rPr>
          <w:rFonts w:asciiTheme="majorHAnsi" w:eastAsiaTheme="majorEastAsia" w:hAnsiTheme="majorHAnsi" w:cs="Guttman Drogolin"/>
          <w:b/>
          <w:bCs/>
          <w:sz w:val="20"/>
          <w:szCs w:val="20"/>
          <w:u w:val="single"/>
          <w:rtl/>
          <w:lang w:bidi="he-IL"/>
        </w:rPr>
      </w:pPr>
      <w:bookmarkStart w:id="560" w:name="_Toc496175797"/>
      <w:r w:rsidRPr="00022CD1">
        <w:rPr>
          <w:rFonts w:asciiTheme="majorHAnsi" w:eastAsiaTheme="majorEastAsia" w:hAnsiTheme="majorHAnsi" w:cs="Guttman Drogolin" w:hint="cs"/>
          <w:b/>
          <w:bCs/>
          <w:sz w:val="20"/>
          <w:szCs w:val="20"/>
          <w:u w:val="single"/>
          <w:rtl/>
          <w:lang w:bidi="he-IL"/>
        </w:rPr>
        <w:lastRenderedPageBreak/>
        <w:t>הערה בדעת הגרמ"פ בחלב שיש לו פיקוח ממשלתי</w:t>
      </w:r>
      <w:bookmarkEnd w:id="560"/>
    </w:p>
    <w:p w:rsidR="00022CD1" w:rsidRPr="00022CD1" w:rsidRDefault="00022CD1" w:rsidP="00022CD1">
      <w:pPr>
        <w:tabs>
          <w:tab w:val="right" w:pos="7497"/>
        </w:tabs>
        <w:bidi/>
        <w:jc w:val="both"/>
        <w:rPr>
          <w:rFonts w:cs="Guttman Drogolin"/>
          <w:rtl/>
          <w:lang w:bidi="he-IL"/>
        </w:rPr>
      </w:pPr>
      <w:r w:rsidRPr="00022CD1">
        <w:rPr>
          <w:rFonts w:cs="Guttman Drogolin"/>
          <w:rtl/>
          <w:lang w:bidi="he-IL"/>
        </w:rPr>
        <w:fldChar w:fldCharType="begin"/>
      </w:r>
      <w:r w:rsidRPr="00022CD1">
        <w:rPr>
          <w:rFonts w:cs="Guttman Drogolin"/>
        </w:rPr>
        <w:instrText xml:space="preserve"> XE "</w:instrText>
      </w:r>
      <w:r w:rsidRPr="00022CD1">
        <w:rPr>
          <w:rFonts w:cs="Guttman Drogolin" w:hint="cs"/>
          <w:rtl/>
          <w:lang w:bidi="he-IL"/>
        </w:rPr>
        <w:instrText>חלב עכו</w:instrText>
      </w:r>
      <w:r w:rsidRPr="00022CD1">
        <w:rPr>
          <w:rFonts w:eastAsiaTheme="minorEastAsia" w:cs="Guttman Drogolin"/>
          <w:lang w:bidi="he-IL"/>
        </w:rPr>
        <w:instrText>\</w:instrText>
      </w:r>
      <w:r w:rsidRPr="00022CD1">
        <w:rPr>
          <w:rFonts w:cs="Guttman Drogolin" w:hint="cs"/>
          <w:rtl/>
          <w:lang w:bidi="he-IL"/>
        </w:rPr>
        <w:instrText>"ם</w:instrText>
      </w:r>
      <w:r w:rsidRPr="00022CD1">
        <w:rPr>
          <w:rFonts w:cs="Guttman Drogolin"/>
          <w:rtl/>
        </w:rPr>
        <w:instrText>:</w:instrText>
      </w:r>
      <w:r w:rsidRPr="00022CD1">
        <w:rPr>
          <w:rFonts w:cs="Guttman Drogolin" w:hint="cs"/>
          <w:rtl/>
          <w:lang w:bidi="he-IL"/>
        </w:rPr>
        <w:instrText>חלב שבפיקוח ממשלתי</w:instrText>
      </w:r>
      <w:r w:rsidRPr="00022CD1">
        <w:rPr>
          <w:rFonts w:cs="Guttman Drogolin"/>
        </w:rPr>
        <w:instrText xml:space="preserve">" </w:instrText>
      </w:r>
      <w:r w:rsidRPr="00022CD1">
        <w:rPr>
          <w:rFonts w:cs="Guttman Drogolin"/>
          <w:rtl/>
          <w:lang w:bidi="he-IL"/>
        </w:rPr>
        <w:fldChar w:fldCharType="end"/>
      </w:r>
      <w:r w:rsidRPr="00022CD1">
        <w:rPr>
          <w:rFonts w:cs="Guttman Drogolin" w:hint="cs"/>
          <w:rtl/>
          <w:lang w:bidi="he-IL"/>
        </w:rPr>
        <w:t>בשיעור הקודם הבאנו את שיטת הגרמ"פ ועוד שאם יש פיקוח מן הממשלה יש להקל שזה נחשב כרואהו או כמו יושב מבחוץ ויכול לראותו כיון שמירתת. ורצני להעיר שאפילו לפי שיטתם אין להקל אלא בכה"ג שיש פיקוח מן הממשלה, ופשוט. וחשבתי על כמה דוגמות שיתכן שאנשים המקילים בזה אינם עומדים עליו. חדא שאם סועד אצל חבירו נכרי</w:t>
      </w:r>
      <w:r w:rsidRPr="00022CD1">
        <w:rPr>
          <w:rFonts w:cs="Guttman Drogolin"/>
          <w:vertAlign w:val="superscript"/>
          <w:rtl/>
          <w:lang w:bidi="he-IL"/>
        </w:rPr>
        <w:footnoteReference w:id="595"/>
      </w:r>
      <w:r w:rsidRPr="00022CD1">
        <w:rPr>
          <w:rFonts w:cs="Guttman Drogolin" w:hint="cs"/>
          <w:rtl/>
          <w:lang w:bidi="he-IL"/>
        </w:rPr>
        <w:t>, והנכרי מגיש לפניו חלב לקפה וכדומה, שיש על חלב זה דין חלב עכו"ם ואסור לשתות אותו. וכן במקרה ששותה קפה בא' מן המקומות של הגוים ואינו בהשגחה, לכאורה גם בזה אין שום פיקוח מטעם הממשלה שיהא חלב מבהמה טהורה. ולכן השותה קפה בכגון 'סטארבאקס', אסור לקחת מהם חלב אא"כ רואה בעיניו שמגיע מקרטון שראה את פתיחתו. אבל אם לא ראה את פתיחתו יתכן שחזרו ומילאוהו, וכ"ש אם מביא חלב בתוך צלוחית שאין על זה שום השגחה כלל. אמנם לשיטת הפר"ח שבסמוך אולי יש להקל בזה, וגם זה אינו כ"כ פשוט</w:t>
      </w:r>
      <w:r w:rsidR="00E33CE5">
        <w:rPr>
          <w:rStyle w:val="FootnoteReference"/>
          <w:rFonts w:cs="Guttman Drogolin"/>
          <w:rtl/>
          <w:lang w:bidi="he-IL"/>
        </w:rPr>
        <w:footnoteReference w:id="596"/>
      </w:r>
      <w:r w:rsidRPr="00022CD1">
        <w:rPr>
          <w:rFonts w:cs="Guttman Drogolin" w:hint="cs"/>
          <w:rtl/>
          <w:lang w:bidi="he-IL"/>
        </w:rPr>
        <w:t xml:space="preserve"> היום שמוכרים חלב גמלים.</w:t>
      </w:r>
    </w:p>
    <w:p w:rsidR="00022CD1" w:rsidRPr="00022CD1" w:rsidRDefault="00022CD1" w:rsidP="00022CD1">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pPr>
      <w:bookmarkStart w:id="561" w:name="_Toc496175798"/>
      <w:r w:rsidRPr="00022CD1">
        <w:rPr>
          <w:rFonts w:asciiTheme="majorHAnsi" w:eastAsiaTheme="majorEastAsia" w:hAnsiTheme="majorHAnsi" w:cs="Guttman Drogolin" w:hint="cs"/>
          <w:b/>
          <w:bCs/>
          <w:sz w:val="24"/>
          <w:szCs w:val="24"/>
          <w:u w:val="single"/>
          <w:rtl/>
          <w:lang w:bidi="he-IL"/>
        </w:rPr>
        <w:t>סיכום בגדר הגזירה של חלב עכו"ם להלכה</w:t>
      </w:r>
      <w:bookmarkEnd w:id="561"/>
    </w:p>
    <w:p w:rsidR="00022CD1" w:rsidRPr="00022CD1" w:rsidRDefault="00022CD1" w:rsidP="00022CD1">
      <w:pPr>
        <w:tabs>
          <w:tab w:val="right" w:pos="7497"/>
        </w:tabs>
        <w:bidi/>
        <w:jc w:val="both"/>
        <w:rPr>
          <w:rFonts w:cs="Guttman Drogolin"/>
          <w:rtl/>
          <w:lang w:bidi="he-IL"/>
        </w:rPr>
      </w:pPr>
      <w:r w:rsidRPr="00022CD1">
        <w:rPr>
          <w:rFonts w:cs="Guttman Drogolin"/>
          <w:rtl/>
          <w:lang w:bidi="he-IL"/>
        </w:rPr>
        <w:fldChar w:fldCharType="begin"/>
      </w:r>
      <w:r w:rsidRPr="00022CD1">
        <w:rPr>
          <w:rFonts w:cs="Guttman Drogolin"/>
        </w:rPr>
        <w:instrText xml:space="preserve"> XE "</w:instrText>
      </w:r>
      <w:r w:rsidRPr="00022CD1">
        <w:rPr>
          <w:rFonts w:cs="Guttman Drogolin" w:hint="cs"/>
          <w:rtl/>
          <w:lang w:bidi="he-IL"/>
        </w:rPr>
        <w:instrText>חלב עכו</w:instrText>
      </w:r>
      <w:r w:rsidRPr="00022CD1">
        <w:rPr>
          <w:rFonts w:eastAsiaTheme="minorEastAsia" w:cs="Guttman Drogolin"/>
          <w:lang w:bidi="he-IL"/>
        </w:rPr>
        <w:instrText>\</w:instrText>
      </w:r>
      <w:r w:rsidRPr="00022CD1">
        <w:rPr>
          <w:rFonts w:cs="Guttman Drogolin" w:hint="cs"/>
          <w:rtl/>
          <w:lang w:bidi="he-IL"/>
        </w:rPr>
        <w:instrText>"ם</w:instrText>
      </w:r>
      <w:r w:rsidRPr="00022CD1">
        <w:rPr>
          <w:rFonts w:cs="Guttman Drogolin"/>
          <w:rtl/>
        </w:rPr>
        <w:instrText>:</w:instrText>
      </w:r>
      <w:r w:rsidRPr="00022CD1">
        <w:rPr>
          <w:rFonts w:cs="Guttman Drogolin" w:hint="cs"/>
          <w:rtl/>
          <w:lang w:bidi="he-IL"/>
        </w:rPr>
        <w:instrText>גדר הגזרה</w:instrText>
      </w:r>
      <w:r w:rsidRPr="00022CD1">
        <w:rPr>
          <w:rFonts w:cs="Guttman Drogolin"/>
        </w:rPr>
        <w:instrText xml:space="preserve">" </w:instrText>
      </w:r>
      <w:r w:rsidRPr="00022CD1">
        <w:rPr>
          <w:rFonts w:cs="Guttman Drogolin"/>
          <w:rtl/>
          <w:lang w:bidi="he-IL"/>
        </w:rPr>
        <w:fldChar w:fldCharType="end"/>
      </w:r>
      <w:r w:rsidRPr="00022CD1">
        <w:rPr>
          <w:rFonts w:cs="Guttman Drogolin" w:hint="cs"/>
          <w:rtl/>
          <w:lang w:bidi="he-IL"/>
        </w:rPr>
        <w:t xml:space="preserve">ידועה שיטת הפר"ח שגזירת חז"ל של חלב עכו"ם לא היתה אלא לחשוש לתערובת חלב טמא, ועד כמה שאין חשש לזה החלב מותר. וכן הוא מפורש שיטת הרדב"ז וכמו שהביא שם. וכן לכאורה מבואר לשיטת הרה"מ, דסבר שאפשר לעשות מן החלב חמאה או גבינה, ושוב לבשלו כדי לכלות החלב טמא. הרי דסבר שאין כאן דבר שבמנין לאסור חלב אפילו שאין בו חשש חלב עכו"ם. וכן לכאורה יש לדייק מלשון הרמב"ם, שהרי רק בגבינה כתב שאם עושים אותו מן העשבים הרי </w:t>
      </w:r>
      <w:r w:rsidRPr="00022CD1">
        <w:rPr>
          <w:rFonts w:cs="Guttman Drogolin" w:hint="cs"/>
          <w:rtl/>
          <w:lang w:bidi="he-IL"/>
        </w:rPr>
        <w:lastRenderedPageBreak/>
        <w:t>הוא אסור, ומשמע שבחלב אין לנו גדר זה.</w:t>
      </w:r>
      <w:r w:rsidR="00E8367B">
        <w:rPr>
          <w:rFonts w:cs="Guttman Drogolin" w:hint="cs"/>
          <w:rtl/>
          <w:lang w:bidi="he-IL"/>
        </w:rPr>
        <w:t xml:space="preserve"> וכשיטת הפר"ח נקט החזו"א (סי' מ"א ס"ק ד'). </w:t>
      </w:r>
    </w:p>
    <w:p w:rsidR="00022CD1" w:rsidRPr="00022CD1" w:rsidRDefault="00022CD1" w:rsidP="00022CD1">
      <w:pPr>
        <w:tabs>
          <w:tab w:val="right" w:pos="7497"/>
        </w:tabs>
        <w:bidi/>
        <w:jc w:val="both"/>
        <w:rPr>
          <w:rFonts w:cs="Guttman Drogolin"/>
          <w:rtl/>
          <w:lang w:bidi="he-IL"/>
        </w:rPr>
      </w:pPr>
      <w:r w:rsidRPr="00022CD1">
        <w:rPr>
          <w:rFonts w:cs="Guttman Drogolin" w:hint="cs"/>
          <w:rtl/>
          <w:lang w:bidi="he-IL"/>
        </w:rPr>
        <w:t>אמנם בכס"מ וכן בב"י מבואר אחרת, שאם חלבו עכו"ם לאכילה, שוב לא מהני לעשות ממנו חמאה כיון שכבר נאסר.</w:t>
      </w:r>
      <w:r w:rsidR="006B0A51">
        <w:rPr>
          <w:rFonts w:cs="Guttman Drogolin" w:hint="cs"/>
          <w:rtl/>
          <w:lang w:bidi="he-IL"/>
        </w:rPr>
        <w:t xml:space="preserve"> ומפורש בדבריו שחלב של גוים אסרוהו סתם ובכל ענין.</w:t>
      </w:r>
      <w:r w:rsidRPr="00022CD1">
        <w:rPr>
          <w:rFonts w:cs="Guttman Drogolin" w:hint="cs"/>
          <w:rtl/>
          <w:lang w:bidi="he-IL"/>
        </w:rPr>
        <w:t xml:space="preserve"> וכן הוא שיטת הרמ"א בסוף סע' א'. וכן מבואר עוד יותר מזה מן הרמ"א בסוף סע' ב', שכתב שאמנם אם חלבו עכו"ם כדי לגבן אין בו חשש חלב טמא, מ"מ אסור לשתות החלב, רק מותר לעשות ממנו גבינה. ולכאורה מכל הלין מבואר דלא כפר"ח וחלב הוי דבר שבמנין. אלא דהנה כתב הרמ"א בסע' ב' שאם ראה עשיית הגבינה ולא ראה החליבה שהוא מותר. והקשה הט"ז דהא חלב נאסר אפילו במקום שאין לחשוש לחלב טמא, וא"כ למה הקיל הרמ"א. ומעיקרא חשבתי שדבריו תמוהים, דהא מבואר בגמ' שאין הגבינה שמתקשה אסור משום חלב עכו"ם, וא"כ אין תלונתו על הרמ"א אלא על הגמ'. ומה שהקשה מגבינה לכאורה לא קשה, דגבינה לחוד וחלב לחוד. אלא דשוב חשבתי שיש לחלק בין הגמ' לדברי הרמ"א, שהרי בגמ' הי' אפשר לומר שאם בא לפנינו בתורת גבינה הרי בא לפנינו בלי חשש חלב טמא, ומשו"ה התירונו. משא"כ כשראינו את החלב קודם שנעשה גבינה כהא דרמ"א, סבר הט"ז שיש לאסור. אמנם גם בזה הי' אפשר לחלק בין היכא שהגיע לרשות ישראל בתורת חלב לבין היכא שראינו אותו תורת חלב אצל העכו"ם. אמנם יעוין שם בש"ך שמפורש דאדרבה, אם עשאוהו הישראל גבינה עדיף טפי.</w:t>
      </w:r>
    </w:p>
    <w:p w:rsidR="00022CD1" w:rsidRPr="00022CD1" w:rsidRDefault="00022CD1" w:rsidP="00022CD1">
      <w:pPr>
        <w:tabs>
          <w:tab w:val="right" w:pos="7497"/>
        </w:tabs>
        <w:bidi/>
        <w:jc w:val="both"/>
        <w:rPr>
          <w:rFonts w:cs="Guttman Drogolin"/>
          <w:rtl/>
          <w:lang w:bidi="he-IL"/>
        </w:rPr>
      </w:pPr>
      <w:r w:rsidRPr="00022CD1">
        <w:rPr>
          <w:rFonts w:cs="Guttman Drogolin" w:hint="cs"/>
          <w:rtl/>
          <w:lang w:bidi="he-IL"/>
        </w:rPr>
        <w:t xml:space="preserve">ומ"מ הרי טעמא בעי, שהרי מבואר בגמ' שהחלב שנתקשה להיות גבינה לא נאסר משום חלב </w:t>
      </w:r>
      <w:r w:rsidRPr="00022CD1">
        <w:rPr>
          <w:rFonts w:cs="Guttman Drogolin" w:hint="cs"/>
          <w:rtl/>
          <w:lang w:bidi="he-IL"/>
        </w:rPr>
        <w:lastRenderedPageBreak/>
        <w:t>עכו"ם, דהא אפילו למחמירים דר' חנינא אוסר משום תערובת חלב טמא, מ"מ אינו אוסר את עצם הגבינה מטעם זה, רק החלב ביני אטפי נאסר. ונהי שאסרו את עצם הגבינה משום טעמו של ר' חנינא, מ"מ אין זה גזירת חלב עכו"ם רק גבינת עכו"ם. ולכאורה צ"ע למה לא אסרו את עצם הגבינה כמו שאסרו החלב שחלבו לצורך גבינה או חלב עכו"ם שעשו ממנו גבינה ושוב בישלו וכנ"ל. ולשיטת החת"ס לכאורה מבואר שהדבר שבמנין שבחלב עכו"ם לא נאמר אלא דבר שיש לו שם חלב, אבל גבינה שאין לה שם חלב לא נאסר. אלא שיש להעיר על דבריו דא"כ הי' לנו להתיר גבינה שעשאו אפילו מחלב שנחלב לאכילה ולא לגבינה כיון שלאחר מכן עשאו גבינה ולא גזרו עליו. וא"כ למה צריכים תרתי, גם שיהא עליו שם גבינה וגם שיחלבו אותו לצורך גבינה, דהיכן מאצנו ב' גזירות, חדא חלש של עכו"ם אפילו אין בה חשש חלב טמא ועוד לחשוש לחלב טמא אע"ג שלא גזרו בה גזירה הנ"ל כמו בגבינה.</w:t>
      </w:r>
    </w:p>
    <w:p w:rsidR="00022CD1" w:rsidRPr="00022CD1" w:rsidRDefault="00022CD1" w:rsidP="00022CD1">
      <w:pPr>
        <w:tabs>
          <w:tab w:val="right" w:pos="7497"/>
        </w:tabs>
        <w:bidi/>
        <w:jc w:val="both"/>
        <w:rPr>
          <w:rFonts w:cs="Guttman Drogolin"/>
          <w:rtl/>
          <w:lang w:bidi="he-IL"/>
        </w:rPr>
      </w:pPr>
      <w:r w:rsidRPr="00022CD1">
        <w:rPr>
          <w:rFonts w:cs="Guttman Drogolin" w:hint="cs"/>
          <w:rtl/>
          <w:lang w:bidi="he-IL"/>
        </w:rPr>
        <w:t>ומה שנראה לומר בזה, שחלב שבא לפנינו ויש בה חשש תערובת חלב טמא הרי הוא נשאר באיסורו לעולם ולא מהני זה שאתה מוכיח לאחר מכן שאין בה חלב טמא. ולכן לא מהני לעשות מחלב שחלבו לאכילה חמאה ושוב לבשלו. משא"כ כשידוע שחלבו לגבינה</w:t>
      </w:r>
      <w:r w:rsidRPr="00022CD1">
        <w:rPr>
          <w:rFonts w:cs="Guttman Drogolin"/>
          <w:vertAlign w:val="superscript"/>
          <w:rtl/>
          <w:lang w:bidi="he-IL"/>
        </w:rPr>
        <w:footnoteReference w:id="597"/>
      </w:r>
      <w:r w:rsidRPr="00022CD1">
        <w:rPr>
          <w:rFonts w:cs="Guttman Drogolin" w:hint="cs"/>
          <w:rtl/>
          <w:lang w:bidi="he-IL"/>
        </w:rPr>
        <w:t xml:space="preserve"> שאין בה חשש חלב טמא שעדיין אפשר להתירו. ומ"מ אסור לאכול החלב אע"ג שידוע שחלבו אותו לגבינה, דהא לא התירו את החלב עד שיהא הוכחה שאין בה חלב טמא</w:t>
      </w:r>
      <w:r w:rsidR="00995244">
        <w:rPr>
          <w:rStyle w:val="FootnoteReference"/>
          <w:rFonts w:cs="Guttman Drogolin"/>
          <w:rtl/>
          <w:lang w:bidi="he-IL"/>
        </w:rPr>
        <w:footnoteReference w:id="598"/>
      </w:r>
      <w:r w:rsidRPr="00022CD1">
        <w:rPr>
          <w:rFonts w:cs="Guttman Drogolin" w:hint="cs"/>
          <w:rtl/>
          <w:lang w:bidi="he-IL"/>
        </w:rPr>
        <w:t>. ולכן אם חלבו לגבינה, אע"ג שאין בה חשש חלב טמא, מ"מ גם אין הוכחה שאין בה חלב טמא. רק ע"י זה שרואה או יושב מבחוץ ומירתת י</w:t>
      </w:r>
      <w:r w:rsidR="00310F82">
        <w:rPr>
          <w:rFonts w:cs="Guttman Drogolin" w:hint="cs"/>
          <w:rtl/>
          <w:lang w:bidi="he-IL"/>
        </w:rPr>
        <w:t>ש</w:t>
      </w:r>
      <w:r w:rsidRPr="00022CD1">
        <w:rPr>
          <w:rFonts w:cs="Guttman Drogolin" w:hint="cs"/>
          <w:rtl/>
          <w:lang w:bidi="he-IL"/>
        </w:rPr>
        <w:t xml:space="preserve"> לנו הוכחה. וא"כ באותה מדה י"ל גם כשעשאו גבינה, דכיון שלבסוף עשאו גבינה, יש לנו הוכחה שאין בה חלב טמא ולא רק חסר חשש, ולכן הרי הוא מותר. </w:t>
      </w:r>
    </w:p>
    <w:p w:rsidR="00022CD1" w:rsidRPr="00022CD1" w:rsidRDefault="00022CD1" w:rsidP="00022CD1">
      <w:pPr>
        <w:tabs>
          <w:tab w:val="right" w:pos="7497"/>
        </w:tabs>
        <w:bidi/>
        <w:jc w:val="both"/>
        <w:rPr>
          <w:rFonts w:cs="Guttman Drogolin"/>
          <w:rtl/>
          <w:lang w:bidi="he-IL"/>
        </w:rPr>
      </w:pPr>
      <w:r w:rsidRPr="00022CD1">
        <w:rPr>
          <w:rFonts w:cs="Guttman Drogolin" w:hint="cs"/>
          <w:rtl/>
          <w:lang w:bidi="he-IL"/>
        </w:rPr>
        <w:t xml:space="preserve">ובעיקר שיטת הרמ"א יש להוסיף דהנה סבירא לי' לרמ"א שאם עשאו גבינה במעמד ישראל שמותר </w:t>
      </w:r>
      <w:r w:rsidRPr="00022CD1">
        <w:rPr>
          <w:rFonts w:cs="Guttman Drogolin" w:hint="cs"/>
          <w:rtl/>
          <w:lang w:bidi="he-IL"/>
        </w:rPr>
        <w:lastRenderedPageBreak/>
        <w:t>לאכלו. וע"כ היינו משום דלא חייש לטעמו של ר' חנינא דא"כ עדיין איכא למיחש לנסיובי דחלבא אע"ג שעשאו גבינה. וא"כ לכאורה צ"ע דבריו בסע' ג', ששם דנו בחמאה של עכו"ם, ופסק הרמ"א שאין להתיר אא"כ בישלו. וצ"ע למה צריכים בישול, תיפו"ל משום דלא קיי"ל כר' חנינא. והתשובה לזה כמש"כ לעיל בדעת הרמב"ם, דהא דקיי"ל כר' חנינא היינו לומר שהחלב טמא בטל בגבינה ומשו"ה לא אסרוהו, משא"כ בחמאה שהוא ניכר הי' לנו לאסור בלי בישול. וא"כ יוצא דלא קיי"ל כראב"ד להחמיר ולא לסמוך על ביטול במאכלי עכו"ם.</w:t>
      </w:r>
    </w:p>
    <w:p w:rsidR="00022CD1" w:rsidRPr="00022CD1" w:rsidRDefault="00022CD1" w:rsidP="00022CD1">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pPr>
      <w:bookmarkStart w:id="562" w:name="_Toc496175799"/>
      <w:r w:rsidRPr="00022CD1">
        <w:rPr>
          <w:rFonts w:asciiTheme="majorHAnsi" w:eastAsiaTheme="majorEastAsia" w:hAnsiTheme="majorHAnsi" w:cs="Guttman Drogolin" w:hint="cs"/>
          <w:b/>
          <w:bCs/>
          <w:sz w:val="24"/>
          <w:szCs w:val="24"/>
          <w:u w:val="single"/>
          <w:rtl/>
          <w:lang w:bidi="he-IL"/>
        </w:rPr>
        <w:t>גדר הגזירה של גבינת עכו"ם</w:t>
      </w:r>
      <w:bookmarkEnd w:id="562"/>
    </w:p>
    <w:p w:rsidR="00022CD1" w:rsidRPr="00022CD1" w:rsidRDefault="00022CD1" w:rsidP="00022CD1">
      <w:pPr>
        <w:tabs>
          <w:tab w:val="right" w:pos="7497"/>
        </w:tabs>
        <w:bidi/>
        <w:jc w:val="both"/>
        <w:rPr>
          <w:rFonts w:cs="Guttman Drogolin"/>
          <w:rtl/>
          <w:lang w:bidi="he-IL"/>
        </w:rPr>
      </w:pPr>
      <w:r w:rsidRPr="00022CD1">
        <w:rPr>
          <w:rFonts w:cs="Guttman Drogolin"/>
          <w:rtl/>
          <w:lang w:bidi="he-IL"/>
        </w:rPr>
        <w:fldChar w:fldCharType="begin"/>
      </w:r>
      <w:r w:rsidRPr="00022CD1">
        <w:rPr>
          <w:rFonts w:cs="Guttman Drogolin"/>
        </w:rPr>
        <w:instrText xml:space="preserve"> XE "</w:instrText>
      </w:r>
      <w:r w:rsidRPr="00022CD1">
        <w:rPr>
          <w:rFonts w:cs="Guttman Drogolin" w:hint="cs"/>
          <w:rtl/>
          <w:lang w:bidi="he-IL"/>
        </w:rPr>
        <w:instrText>גבינת עכו</w:instrText>
      </w:r>
      <w:r w:rsidRPr="00022CD1">
        <w:rPr>
          <w:rFonts w:eastAsiaTheme="minorEastAsia" w:cs="Guttman Drogolin"/>
          <w:lang w:bidi="he-IL"/>
        </w:rPr>
        <w:instrText>\</w:instrText>
      </w:r>
      <w:r w:rsidRPr="00022CD1">
        <w:rPr>
          <w:rFonts w:cs="Guttman Drogolin" w:hint="cs"/>
          <w:rtl/>
          <w:lang w:bidi="he-IL"/>
        </w:rPr>
        <w:instrText>"ם</w:instrText>
      </w:r>
      <w:r w:rsidRPr="00022CD1">
        <w:rPr>
          <w:rFonts w:cs="Guttman Drogolin"/>
          <w:rtl/>
        </w:rPr>
        <w:instrText>:</w:instrText>
      </w:r>
      <w:r w:rsidRPr="00022CD1">
        <w:rPr>
          <w:rFonts w:cs="Guttman Drogolin" w:hint="cs"/>
          <w:rtl/>
          <w:lang w:bidi="he-IL"/>
        </w:rPr>
        <w:instrText>גדר הגזרה</w:instrText>
      </w:r>
      <w:r w:rsidRPr="00022CD1">
        <w:rPr>
          <w:rFonts w:cs="Guttman Drogolin"/>
        </w:rPr>
        <w:instrText xml:space="preserve">" </w:instrText>
      </w:r>
      <w:r w:rsidRPr="00022CD1">
        <w:rPr>
          <w:rFonts w:cs="Guttman Drogolin"/>
          <w:rtl/>
          <w:lang w:bidi="he-IL"/>
        </w:rPr>
        <w:fldChar w:fldCharType="end"/>
      </w:r>
      <w:r w:rsidRPr="00022CD1">
        <w:rPr>
          <w:rFonts w:cs="Guttman Drogolin" w:hint="cs"/>
          <w:rtl/>
          <w:lang w:bidi="he-IL"/>
        </w:rPr>
        <w:t>הרמ"א כתב שאם ראה ישראל עשיית הגבינה שיש להתיר הגבינה. וכדבריו מבואר בפירוש המשניות לרמב"ם, וכן דקדק הבית מאיר שהיא שיטת הרשב"א. אמנם הקשה הש"ך ב' קושיות על שיטה זו ומשו"ה חלק עליו (ולא העיר מזה שהוא מפורש בפירוש המשניות לרמב"ם, וכמו שהעיר בפרי תואר). חדא שהרי מתני' סתמא כתיב, ולא מוזכר בה שיש היתר ע"י ראי' כמו שהזכיר לענין חלב עכו"ם. ועוד שהרי הרמב"ם כתב להדיא לענין גבינת עכו"ם שאפילו במקום שעושים גבינה מן העשבים ג"כ אסור, וא"כ מאי שנא מראי' דמהני.</w:t>
      </w:r>
    </w:p>
    <w:p w:rsidR="00022CD1" w:rsidRPr="00022CD1" w:rsidRDefault="00022CD1" w:rsidP="00022CD1">
      <w:pPr>
        <w:tabs>
          <w:tab w:val="right" w:pos="7497"/>
        </w:tabs>
        <w:bidi/>
        <w:jc w:val="both"/>
        <w:rPr>
          <w:rFonts w:cs="Guttman Drogolin"/>
          <w:rtl/>
          <w:lang w:bidi="he-IL"/>
        </w:rPr>
      </w:pPr>
      <w:r w:rsidRPr="00022CD1">
        <w:rPr>
          <w:rFonts w:cs="Guttman Drogolin" w:hint="cs"/>
          <w:rtl/>
          <w:lang w:bidi="he-IL"/>
        </w:rPr>
        <w:t xml:space="preserve">והנה בפרי תואר כתב דהא דכתב הרמ"א דמהני ראיית ישראל, הנ"מ בראי' ממש, אבל יושב אצלו באופן שיכול לראות כשהוא עומד לא מהני. וכתב שמשו"ה לא מוזכר במתני' ההיתר של ראי'. ואיכא למימר שהביאור בדבריו שהביאור הנצרכת לגבינת עכו"ם היא ידיעה ברמה יותר גביהה, ומשום רק ע"י ראי' מהני. אמנם לכאורה אפשר לבאר את דבריו באופן אחר, והוא דלא הרי הגזירה של חלב עכו"ם הרי היא הגזירה של גבינת עכו"ם. שבחלב עכו"ם סגי לו בכל הוכחה המספיקה שאין בה חלב טמא, ולכן יושב מבחוץ מהני, וכן יוצא ונכנס מהני וכמש"כ הנו"כ בשו"ע. </w:t>
      </w:r>
      <w:r w:rsidRPr="00022CD1">
        <w:rPr>
          <w:rFonts w:cs="Guttman Drogolin" w:hint="cs"/>
          <w:rtl/>
          <w:lang w:bidi="he-IL"/>
        </w:rPr>
        <w:lastRenderedPageBreak/>
        <w:t>אבל בגבינת עכו"ם בעינן שיהא הישראל משתתף בעשיית הגבינה, וע"י ראי' לבד סגי. וע"ש בפירוש המשניות לרמב"ם שמפורש בדבריו דלא מהני הפירסום שאין בה עור קיבת נבילה. ובזה מיושב גם ההערה מזה שאין עושים גבינה אלא ע"י עשבים.</w:t>
      </w:r>
    </w:p>
    <w:p w:rsidR="00022CD1" w:rsidRPr="00022CD1" w:rsidRDefault="00022CD1" w:rsidP="00022CD1">
      <w:pPr>
        <w:tabs>
          <w:tab w:val="right" w:pos="7497"/>
        </w:tabs>
        <w:bidi/>
        <w:jc w:val="both"/>
        <w:rPr>
          <w:rFonts w:cs="Guttman Drogolin"/>
          <w:lang w:bidi="he-IL"/>
        </w:rPr>
      </w:pPr>
      <w:r w:rsidRPr="00022CD1">
        <w:rPr>
          <w:rFonts w:cs="Guttman Drogolin" w:hint="cs"/>
          <w:rtl/>
          <w:lang w:bidi="he-IL"/>
        </w:rPr>
        <w:t>ומ"מ שיטת הש"ך הוא דלא מהני ראית עכו"ם. ויל"ע מהו גדר הגזירה לשיטתו. ובדבריו מבואר ב' מהלכים. חדא שגדר הגזירה הוא שיש לאסור כל גבינה העשוי' ע"י עכו"ם. ועוד שגדר הגזירה לאסור גבינה שהיא בבעלות עכו"ם</w:t>
      </w:r>
      <w:r w:rsidRPr="00022CD1">
        <w:rPr>
          <w:rFonts w:cs="Guttman Drogolin"/>
          <w:vertAlign w:val="superscript"/>
          <w:rtl/>
          <w:lang w:bidi="he-IL"/>
        </w:rPr>
        <w:footnoteReference w:id="599"/>
      </w:r>
      <w:r w:rsidRPr="00022CD1">
        <w:rPr>
          <w:rFonts w:cs="Guttman Drogolin" w:hint="cs"/>
          <w:rtl/>
          <w:lang w:bidi="he-IL"/>
        </w:rPr>
        <w:t>. ולכאורה הי' נראה שב' גדרים שונים הם. שלכאורה אם הוא דין שאסור לאכול גבינה שהיתה בבעלות עכו"ם, לכאורה לא מהני זה שעשאו ישראל, דהא מ"מ של עכו"ם הוא, וכמו דלא מהני כה"ג ראיית ישראל הה"נ עשייתו, דמאי שנא. ומאידך, אי בעינן עשיית ישראל, לכאורה לא מהני זה שהיתה בבעלות עכו"ם, שגדר הגזירה היתה לאסור גבינה העשוי ע"י נכרי, וא"כ למה תועיל זה שהוא בבעלות ישראל. אמנם משמעות הש"ך, וכן כנראה נקטו הפוסקים שבאו אחריו, דבחד מינייהו סגי. ולכאורה חזינן מיני' דעד כמה ששם ישראל עליו אינו בכלל גזירת גבינת עכו"ם, וזה יכול להיות בא' מתרי גווני, או משום שהוא בבעלות ישראל, או מום שהישראל עשאו. ועדיין צע</w:t>
      </w:r>
      <w:r>
        <w:rPr>
          <w:rFonts w:cs="Guttman Drogolin" w:hint="cs"/>
          <w:rtl/>
          <w:lang w:bidi="he-IL"/>
        </w:rPr>
        <w:t>"</w:t>
      </w:r>
      <w:r w:rsidRPr="00022CD1">
        <w:rPr>
          <w:rFonts w:cs="Guttman Drogolin" w:hint="cs"/>
          <w:rtl/>
          <w:lang w:bidi="he-IL"/>
        </w:rPr>
        <w:t>ק גדר הדברים.</w:t>
      </w:r>
    </w:p>
    <w:p w:rsidR="00022CD1" w:rsidRPr="00022CD1" w:rsidRDefault="00022CD1" w:rsidP="00022CD1">
      <w:pPr>
        <w:tabs>
          <w:tab w:val="right" w:pos="7497"/>
        </w:tabs>
        <w:bidi/>
        <w:jc w:val="both"/>
        <w:rPr>
          <w:rFonts w:cs="Guttman Drogolin"/>
          <w:rtl/>
          <w:lang w:bidi="he-IL"/>
        </w:rPr>
      </w:pPr>
      <w:r w:rsidRPr="00022CD1">
        <w:rPr>
          <w:rFonts w:cs="Guttman Drogolin" w:hint="cs"/>
          <w:rtl/>
          <w:lang w:bidi="he-IL"/>
        </w:rPr>
        <w:t>ובעיקר דבר זה דסבר הש"ך שאם הוא בבעלות ישראל לא גזרו עליו משום גבינת עכו"ם, ע' בחזו"א סי' מ' ס"ק ג' שכתב שלש"ך אפילו אין ראית ישראל ג"כ מותר, דהא אין זה בכלל גזירתם של גבינת עכו"ם, ועיקר החשש הרי אינו מדינא, דהא אלמלא גזירתם היינו מתירים. והחזו"א כתב שלכן יש להתיר אם הדרך הוא להעמיד הגבינה בפרחים או עשבים, ולכאורה לולא דברי קדשו הו"א עוד יותר מזה, שאפילו בזמן חז"ל שלא היו מעמידים בפרחים ג"כ היינו מתירים כיון שחשש עור קיבת נבילה אינו מעיקר הדין.</w:t>
      </w:r>
    </w:p>
    <w:p w:rsidR="00022CD1" w:rsidRPr="00022CD1" w:rsidRDefault="00022CD1" w:rsidP="00022CD1">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pPr>
      <w:bookmarkStart w:id="563" w:name="_Toc496175800"/>
      <w:r w:rsidRPr="00022CD1">
        <w:rPr>
          <w:rFonts w:asciiTheme="majorHAnsi" w:eastAsiaTheme="majorEastAsia" w:hAnsiTheme="majorHAnsi" w:cs="Guttman Drogolin" w:hint="cs"/>
          <w:b/>
          <w:bCs/>
          <w:sz w:val="24"/>
          <w:szCs w:val="24"/>
          <w:u w:val="single"/>
          <w:rtl/>
          <w:lang w:bidi="he-IL"/>
        </w:rPr>
        <w:lastRenderedPageBreak/>
        <w:t>גבינת קוטג'</w:t>
      </w:r>
      <w:bookmarkEnd w:id="563"/>
    </w:p>
    <w:p w:rsidR="00C16600" w:rsidRDefault="00022CD1" w:rsidP="00C16600">
      <w:pPr>
        <w:tabs>
          <w:tab w:val="right" w:pos="7497"/>
        </w:tabs>
        <w:bidi/>
        <w:jc w:val="both"/>
        <w:rPr>
          <w:rFonts w:cs="Guttman Drogolin"/>
          <w:rtl/>
          <w:lang w:bidi="he-IL"/>
        </w:rPr>
      </w:pPr>
      <w:r w:rsidRPr="00022CD1">
        <w:rPr>
          <w:rFonts w:cs="Guttman Drogolin"/>
          <w:rtl/>
          <w:lang w:bidi="he-IL"/>
        </w:rPr>
        <w:fldChar w:fldCharType="begin"/>
      </w:r>
      <w:r w:rsidRPr="00022CD1">
        <w:rPr>
          <w:rFonts w:cs="Guttman Drogolin"/>
        </w:rPr>
        <w:instrText xml:space="preserve"> XE "</w:instrText>
      </w:r>
      <w:r w:rsidRPr="00022CD1">
        <w:rPr>
          <w:rFonts w:cs="Guttman Drogolin" w:hint="cs"/>
          <w:rtl/>
          <w:lang w:bidi="he-IL"/>
        </w:rPr>
        <w:instrText>גבינת עכו</w:instrText>
      </w:r>
      <w:r w:rsidRPr="00022CD1">
        <w:rPr>
          <w:rFonts w:eastAsiaTheme="minorEastAsia" w:cs="Guttman Drogolin"/>
          <w:lang w:bidi="he-IL"/>
        </w:rPr>
        <w:instrText>\</w:instrText>
      </w:r>
      <w:r w:rsidRPr="00022CD1">
        <w:rPr>
          <w:rFonts w:cs="Guttman Drogolin" w:hint="cs"/>
          <w:rtl/>
          <w:lang w:bidi="he-IL"/>
        </w:rPr>
        <w:instrText>"ם</w:instrText>
      </w:r>
      <w:r w:rsidRPr="00022CD1">
        <w:rPr>
          <w:rFonts w:cs="Guttman Drogolin"/>
          <w:rtl/>
        </w:rPr>
        <w:instrText>:</w:instrText>
      </w:r>
      <w:r w:rsidRPr="00022CD1">
        <w:rPr>
          <w:rFonts w:cs="Guttman Drogolin" w:hint="cs"/>
          <w:rtl/>
          <w:lang w:bidi="he-IL"/>
        </w:rPr>
        <w:instrText>גבינת קוטג'</w:instrText>
      </w:r>
      <w:r w:rsidRPr="00022CD1">
        <w:rPr>
          <w:rFonts w:cs="Guttman Drogolin"/>
        </w:rPr>
        <w:instrText xml:space="preserve">" </w:instrText>
      </w:r>
      <w:r w:rsidRPr="00022CD1">
        <w:rPr>
          <w:rFonts w:cs="Guttman Drogolin"/>
          <w:rtl/>
          <w:lang w:bidi="he-IL"/>
        </w:rPr>
        <w:fldChar w:fldCharType="end"/>
      </w:r>
      <w:r w:rsidRPr="00022CD1">
        <w:rPr>
          <w:rFonts w:cs="Guttman Drogolin" w:hint="cs"/>
          <w:rtl/>
          <w:lang w:bidi="he-IL"/>
        </w:rPr>
        <w:t>באג"מ יו"ד ב' סי' מ"ח דן בגבינת קוטג'. והטעם להקל בו יותר משאר גבינה משום שהקפאתו אינו ע"י דבר חיצוני המגבן אותו רק הוא מתקשה מעצמו מחום וכדומה. וכשלעצמו לכאורה דבר זה מובן היטב, שלכאורה זהו ג"כ הטעם שהקילו בחמאה ושונה מגבינה שמגבנים אותו בעשבים. וכן סמכו על זה בארה"ב מימי קדם ע"פ הוראת הגר"י הענקין. אמנם מה שקשה בזה הוא שבאמת משתמשים ג"כ בקמת חומר המגבן אע"פ שאינו עיקר המגבן. וע"ש באג"מ מש"כ טעם להקל גם בזה. ומ"מ יש לציין שמסקנת הגרמ"פ שם הוא שאין להורות בזה היתר (שזה שונה מהוראתו לענין 'חלב הקאמפניס'). ומ"מ השגחת ה'או יו' מקילה בזה ע"פ הרב הענקין</w:t>
      </w:r>
      <w:r w:rsidRPr="00022CD1">
        <w:rPr>
          <w:rFonts w:cs="Guttman Drogolin"/>
          <w:vertAlign w:val="superscript"/>
          <w:rtl/>
          <w:lang w:bidi="he-IL"/>
        </w:rPr>
        <w:footnoteReference w:id="600"/>
      </w:r>
      <w:r w:rsidR="00C16600">
        <w:rPr>
          <w:rFonts w:cs="Guttman Drogolin" w:hint="cs"/>
          <w:rtl/>
          <w:lang w:bidi="he-IL"/>
        </w:rPr>
        <w:t>.</w:t>
      </w:r>
    </w:p>
    <w:p w:rsidR="00E76577" w:rsidRDefault="00E76577" w:rsidP="00C16600">
      <w:pPr>
        <w:bidi/>
        <w:jc w:val="both"/>
        <w:rPr>
          <w:rFonts w:cs="Guttman Drogolin"/>
          <w:b/>
          <w:bCs/>
          <w:sz w:val="28"/>
          <w:szCs w:val="28"/>
          <w:rtl/>
          <w:lang w:bidi="he-IL"/>
        </w:rPr>
      </w:pPr>
    </w:p>
    <w:p w:rsidR="00C16600" w:rsidRPr="00882F11" w:rsidRDefault="00C16600" w:rsidP="00E76577">
      <w:pPr>
        <w:bidi/>
        <w:jc w:val="both"/>
        <w:rPr>
          <w:rFonts w:cs="Guttman Drogolin"/>
          <w:b/>
          <w:bCs/>
          <w:sz w:val="28"/>
          <w:szCs w:val="28"/>
          <w:rtl/>
          <w:lang w:bidi="he-IL"/>
        </w:rPr>
      </w:pPr>
      <w:r w:rsidRPr="00882F11">
        <w:rPr>
          <w:rFonts w:cs="Guttman Drogolin" w:hint="cs"/>
          <w:b/>
          <w:bCs/>
          <w:sz w:val="28"/>
          <w:szCs w:val="28"/>
          <w:rtl/>
          <w:lang w:bidi="he-IL"/>
        </w:rPr>
        <w:t>מילואים</w:t>
      </w:r>
    </w:p>
    <w:p w:rsidR="00C16600" w:rsidRPr="00882F11" w:rsidRDefault="00C16600" w:rsidP="00C16600">
      <w:pPr>
        <w:keepNext/>
        <w:bidi/>
        <w:jc w:val="both"/>
        <w:rPr>
          <w:rFonts w:cs="Guttman Drogolin"/>
          <w:b/>
          <w:bCs/>
          <w:rtl/>
          <w:lang w:bidi="he-IL"/>
        </w:rPr>
      </w:pPr>
      <w:r>
        <w:rPr>
          <w:rFonts w:cs="Guttman Drogolin" w:hint="cs"/>
          <w:b/>
          <w:bCs/>
          <w:rtl/>
          <w:lang w:bidi="he-IL"/>
        </w:rPr>
        <w:t>שפחות בבית ישראל</w:t>
      </w:r>
      <w:r w:rsidRPr="00882F11">
        <w:rPr>
          <w:rFonts w:cs="Guttman Drogolin" w:hint="cs"/>
          <w:b/>
          <w:bCs/>
          <w:rtl/>
          <w:lang w:bidi="he-IL"/>
        </w:rPr>
        <w:t xml:space="preserve"> </w:t>
      </w:r>
    </w:p>
    <w:p w:rsidR="005434A9" w:rsidRDefault="00BB2B0B" w:rsidP="005434A9">
      <w:pPr>
        <w:tabs>
          <w:tab w:val="right" w:pos="7497"/>
        </w:tabs>
        <w:bidi/>
        <w:jc w:val="both"/>
        <w:rPr>
          <w:rFonts w:cs="Guttman Drogolin"/>
          <w:rtl/>
          <w:lang w:bidi="he-IL"/>
        </w:rPr>
      </w:pPr>
      <w:r>
        <w:rPr>
          <w:rFonts w:cs="Guttman Drogolin"/>
          <w:rtl/>
          <w:lang w:bidi="he-IL"/>
        </w:rPr>
        <w:fldChar w:fldCharType="begin"/>
      </w:r>
      <w:r>
        <w:instrText xml:space="preserve"> XE "</w:instrText>
      </w:r>
      <w:r w:rsidRPr="00B35A73">
        <w:rPr>
          <w:rFonts w:hint="cs"/>
          <w:rtl/>
          <w:lang w:bidi="he-IL"/>
        </w:rPr>
        <w:instrText>חלב עכו</w:instrText>
      </w:r>
      <w:r>
        <w:rPr>
          <w:rFonts w:eastAsiaTheme="minorEastAsia"/>
          <w:lang w:bidi="he-IL"/>
        </w:rPr>
        <w:instrText>\</w:instrText>
      </w:r>
      <w:r w:rsidRPr="00B35A73">
        <w:rPr>
          <w:rFonts w:hint="cs"/>
          <w:rtl/>
          <w:lang w:bidi="he-IL"/>
        </w:rPr>
        <w:instrText>"ם</w:instrText>
      </w:r>
      <w:r w:rsidRPr="00B35A73">
        <w:rPr>
          <w:rtl/>
        </w:rPr>
        <w:instrText>:</w:instrText>
      </w:r>
      <w:r w:rsidRPr="00B35A73">
        <w:rPr>
          <w:rFonts w:hint="cs"/>
          <w:rtl/>
          <w:lang w:bidi="he-IL"/>
        </w:rPr>
        <w:instrText>שפחות בבית ישראל</w:instrText>
      </w:r>
      <w:r>
        <w:instrText xml:space="preserve">" </w:instrText>
      </w:r>
      <w:r>
        <w:rPr>
          <w:rFonts w:cs="Guttman Drogolin"/>
          <w:rtl/>
          <w:lang w:bidi="he-IL"/>
        </w:rPr>
        <w:fldChar w:fldCharType="end"/>
      </w:r>
      <w:r w:rsidR="00C16600">
        <w:rPr>
          <w:rFonts w:cs="Guttman Drogolin" w:hint="cs"/>
          <w:rtl/>
          <w:lang w:bidi="he-IL"/>
        </w:rPr>
        <w:t xml:space="preserve">בדרכ"מ ס"ק א' הביא האו"ה </w:t>
      </w:r>
      <w:r w:rsidR="00C16600" w:rsidRPr="00C16600">
        <w:rPr>
          <w:rFonts w:cs="Guttman Drogolin"/>
          <w:rtl/>
          <w:lang w:bidi="he-IL"/>
        </w:rPr>
        <w:t>(</w:t>
      </w:r>
      <w:r w:rsidR="00C16600">
        <w:rPr>
          <w:rFonts w:cs="Guttman Drogolin" w:hint="cs"/>
          <w:rtl/>
          <w:lang w:bidi="he-IL"/>
        </w:rPr>
        <w:t xml:space="preserve">מ"ה, </w:t>
      </w:r>
      <w:r w:rsidR="00C16600" w:rsidRPr="00C16600">
        <w:rPr>
          <w:rFonts w:cs="Guttman Drogolin"/>
          <w:rtl/>
          <w:lang w:bidi="he-IL"/>
        </w:rPr>
        <w:t>ב</w:t>
      </w:r>
      <w:r w:rsidR="00C16600">
        <w:rPr>
          <w:rFonts w:cs="Guttman Drogolin" w:hint="cs"/>
          <w:rtl/>
          <w:lang w:bidi="he-IL"/>
        </w:rPr>
        <w:t>',</w:t>
      </w:r>
      <w:r w:rsidR="00C16600" w:rsidRPr="00C16600">
        <w:rPr>
          <w:rFonts w:cs="Guttman Drogolin"/>
          <w:rtl/>
          <w:lang w:bidi="he-IL"/>
        </w:rPr>
        <w:t xml:space="preserve"> </w:t>
      </w:r>
      <w:r w:rsidR="00C16600">
        <w:rPr>
          <w:rFonts w:cs="Guttman Drogolin" w:hint="cs"/>
          <w:rtl/>
          <w:lang w:bidi="he-IL"/>
        </w:rPr>
        <w:t>ו'</w:t>
      </w:r>
      <w:r w:rsidR="00C16600" w:rsidRPr="00C16600">
        <w:rPr>
          <w:rFonts w:cs="Guttman Drogolin"/>
          <w:rtl/>
          <w:lang w:bidi="he-IL"/>
        </w:rPr>
        <w:t xml:space="preserve">) </w:t>
      </w:r>
      <w:r w:rsidR="00C16600">
        <w:rPr>
          <w:rFonts w:cs="Guttman Drogolin" w:hint="cs"/>
          <w:rtl/>
          <w:lang w:bidi="he-IL"/>
        </w:rPr>
        <w:t>ש</w:t>
      </w:r>
      <w:r w:rsidR="00C16600" w:rsidRPr="00C16600">
        <w:rPr>
          <w:rFonts w:cs="Guttman Drogolin"/>
          <w:rtl/>
          <w:lang w:bidi="he-IL"/>
        </w:rPr>
        <w:t>מותר אפילו לכתחלה לשלוח שפחתו גויה לחלוב פרתו בביתו אף על פי שאין ישראל רואהו דכל פעם מירתתה עתה יבא</w:t>
      </w:r>
      <w:r w:rsidR="005434A9">
        <w:rPr>
          <w:rFonts w:cs="Guttman Drogolin" w:hint="cs"/>
          <w:rtl/>
          <w:lang w:bidi="he-IL"/>
        </w:rPr>
        <w:t xml:space="preserve">. והביא שכן הוא </w:t>
      </w:r>
      <w:r w:rsidR="005434A9">
        <w:rPr>
          <w:rFonts w:cs="Guttman Drogolin"/>
          <w:rtl/>
          <w:lang w:bidi="he-IL"/>
        </w:rPr>
        <w:t>בתוס</w:t>
      </w:r>
      <w:r w:rsidR="005434A9">
        <w:rPr>
          <w:rFonts w:cs="Guttman Drogolin" w:hint="cs"/>
          <w:rtl/>
          <w:lang w:bidi="he-IL"/>
        </w:rPr>
        <w:t>'</w:t>
      </w:r>
      <w:r w:rsidR="00C16600" w:rsidRPr="00C16600">
        <w:rPr>
          <w:rFonts w:cs="Guttman Drogolin"/>
          <w:rtl/>
          <w:lang w:bidi="he-IL"/>
        </w:rPr>
        <w:t xml:space="preserve"> פרק אין מעמידין </w:t>
      </w:r>
      <w:r w:rsidR="005434A9">
        <w:rPr>
          <w:rFonts w:cs="Guttman Drogolin" w:hint="cs"/>
          <w:rtl/>
          <w:lang w:bidi="he-IL"/>
        </w:rPr>
        <w:t xml:space="preserve">, ולכאורה כוונתו לדבריהם שבדף </w:t>
      </w:r>
      <w:r w:rsidR="00C16600" w:rsidRPr="00C16600">
        <w:rPr>
          <w:rFonts w:cs="Guttman Drogolin"/>
          <w:rtl/>
          <w:lang w:bidi="he-IL"/>
        </w:rPr>
        <w:t>ל</w:t>
      </w:r>
      <w:r w:rsidR="005434A9">
        <w:rPr>
          <w:rFonts w:cs="Guttman Drogolin" w:hint="cs"/>
          <w:rtl/>
          <w:lang w:bidi="he-IL"/>
        </w:rPr>
        <w:t>"</w:t>
      </w:r>
      <w:r w:rsidR="00C16600" w:rsidRPr="00C16600">
        <w:rPr>
          <w:rFonts w:cs="Guttman Drogolin"/>
          <w:rtl/>
          <w:lang w:bidi="he-IL"/>
        </w:rPr>
        <w:t>ט</w:t>
      </w:r>
      <w:r w:rsidR="005434A9">
        <w:rPr>
          <w:rFonts w:cs="Guttman Drogolin" w:hint="cs"/>
          <w:rtl/>
          <w:lang w:bidi="he-IL"/>
        </w:rPr>
        <w:t xml:space="preserve"> ע"ב</w:t>
      </w:r>
      <w:r w:rsidR="00C16600" w:rsidRPr="00C16600">
        <w:rPr>
          <w:rFonts w:cs="Guttman Drogolin"/>
          <w:rtl/>
          <w:lang w:bidi="he-IL"/>
        </w:rPr>
        <w:t xml:space="preserve"> ד"ה תנינא</w:t>
      </w:r>
      <w:r w:rsidR="005434A9">
        <w:rPr>
          <w:rFonts w:cs="Guttman Drogolin" w:hint="cs"/>
          <w:rtl/>
          <w:lang w:bidi="he-IL"/>
        </w:rPr>
        <w:t>, דשם מבואר דרואהו לואו דוקא. ור"ל דכמו שהתם אין צורך בראי' ויכול לראותו סגי, גם הכא יכול לראותו ומשו"ה מהני. ונראה תו שאע"ג שכתבו הפוסקים דמהני נכנס ויוצא, כאן יש המעלה של מירתת אע"ג אינו נכנס ויוצא, כיון שהוא בביתו של ישראל. וע"ש מחלוקת בין ה</w:t>
      </w:r>
      <w:r w:rsidR="00C16600" w:rsidRPr="00C16600">
        <w:rPr>
          <w:rFonts w:cs="Guttman Drogolin"/>
          <w:rtl/>
          <w:lang w:bidi="he-IL"/>
        </w:rPr>
        <w:t xml:space="preserve">שערי דורא (סי' פב) </w:t>
      </w:r>
      <w:r w:rsidR="005434A9">
        <w:rPr>
          <w:rFonts w:cs="Guttman Drogolin" w:hint="cs"/>
          <w:rtl/>
          <w:lang w:bidi="he-IL"/>
        </w:rPr>
        <w:t xml:space="preserve">והגהות שערי דורא (שם ס"ק ב') אם באחורי ביתו ג"כ יש להקל. ובש"ך ס"ק י' מבואר שנוהגים כדעת המקילין. </w:t>
      </w:r>
    </w:p>
    <w:p w:rsidR="00E97AC3" w:rsidRDefault="00E97AC3" w:rsidP="00E97AC3">
      <w:pPr>
        <w:tabs>
          <w:tab w:val="right" w:pos="7497"/>
        </w:tabs>
        <w:bidi/>
        <w:jc w:val="both"/>
        <w:rPr>
          <w:rFonts w:cs="Guttman Drogolin"/>
          <w:rtl/>
          <w:lang w:bidi="he-IL"/>
        </w:rPr>
      </w:pPr>
      <w:r>
        <w:rPr>
          <w:rFonts w:cs="Guttman Drogolin" w:hint="cs"/>
          <w:rtl/>
          <w:lang w:bidi="he-IL"/>
        </w:rPr>
        <w:t xml:space="preserve">ובערוה"ש סע' ח' לכאורה הבין דהא דאמרינן שחלב עכו"ם הוי דבר שבמנין ואסור אפילו אם </w:t>
      </w:r>
      <w:r>
        <w:rPr>
          <w:rFonts w:cs="Guttman Drogolin" w:hint="cs"/>
          <w:rtl/>
          <w:lang w:bidi="he-IL"/>
        </w:rPr>
        <w:lastRenderedPageBreak/>
        <w:t xml:space="preserve">אין אין חשש חלב טמא, הנ"מ כשהוא בבית עכו"ם, אבל בבית ישראל הכל תלוי אם יש חשש חלב טמא, ולכן בדליכא חשש חלב טמא מותר. ור"ל דעכ"פ צריכים שכונת ישראל וכדומה ומשום דאל"כ חיישינן לחלב טמא, אבל ראי' (או יושב מבחוץ) לא בעינן אלא בביתו של ישראל. </w:t>
      </w:r>
    </w:p>
    <w:p w:rsidR="004B6DB0" w:rsidRDefault="004B6DB0" w:rsidP="004B6DB0">
      <w:pPr>
        <w:tabs>
          <w:tab w:val="right" w:pos="7497"/>
        </w:tabs>
        <w:bidi/>
        <w:jc w:val="both"/>
        <w:rPr>
          <w:rFonts w:cs="Guttman Drogolin"/>
          <w:rtl/>
          <w:lang w:bidi="he-IL"/>
        </w:rPr>
      </w:pPr>
      <w:r>
        <w:rPr>
          <w:rFonts w:cs="Guttman Drogolin" w:hint="cs"/>
          <w:rtl/>
          <w:lang w:bidi="he-IL"/>
        </w:rPr>
        <w:t>ולכאורה יש לזה ג"כ שרשים בדברי התו"ח, שהרי הש"ך בס"ק י"א הביא בשם התו"ח שבדיעבד מקילים אפילו אם בית העכו"ם מפסיק</w:t>
      </w:r>
      <w:r w:rsidR="00D67868">
        <w:rPr>
          <w:rFonts w:cs="Guttman Drogolin" w:hint="cs"/>
          <w:rtl/>
          <w:lang w:bidi="he-IL"/>
        </w:rPr>
        <w:t>, וביאר משום שבזה"ז לא שכיח דבר טמא שחולבים אותו. ולכאורה לערוה"ש הדברים מובנים היטב, דכיון שהוא ביתו של ישראל, אין כאן גזרה דדבר שבמנין לאסור אפילו היכא דליכא חשש. ולכן, בביתו של ישראל, כיון שאין חלב טמא שכיח יש להתיר עכ"פ בדיעבד.</w:t>
      </w:r>
    </w:p>
    <w:p w:rsidR="00C16600" w:rsidRDefault="005434A9" w:rsidP="00E97AC3">
      <w:pPr>
        <w:tabs>
          <w:tab w:val="right" w:pos="7497"/>
        </w:tabs>
        <w:bidi/>
        <w:jc w:val="both"/>
        <w:rPr>
          <w:rFonts w:cs="Guttman Drogolin"/>
          <w:lang w:bidi="he-IL"/>
        </w:rPr>
      </w:pPr>
      <w:r>
        <w:rPr>
          <w:rFonts w:cs="Guttman Drogolin" w:hint="cs"/>
          <w:rtl/>
          <w:lang w:bidi="he-IL"/>
        </w:rPr>
        <w:t xml:space="preserve">והנה לכאורה פשוט לפי זה שאין כאן היתר של ביתו של ישראל בעצם, רק שיש חידוש שיש את המעלה של יכול לראותו או יוצא ונכנס אע"פ שאינו יושב ואינו נכנס כיון שהוא בביתו. אבל בזמן שאינו בביתו, לכאורה ליכא למימר שכה"ג חשוב חלב ישראל. וכן ראיתי בשם שו"ת מנח"י </w:t>
      </w:r>
      <w:r w:rsidR="00E33CE5">
        <w:rPr>
          <w:rFonts w:cs="Guttman Drogolin" w:hint="cs"/>
          <w:rtl/>
          <w:lang w:bidi="he-IL"/>
        </w:rPr>
        <w:t xml:space="preserve">ח"א </w:t>
      </w:r>
      <w:r>
        <w:rPr>
          <w:rFonts w:cs="Guttman Drogolin" w:hint="cs"/>
          <w:rtl/>
          <w:lang w:bidi="he-IL"/>
        </w:rPr>
        <w:t>סי' קל"ח</w:t>
      </w:r>
      <w:r w:rsidR="00E33CE5">
        <w:rPr>
          <w:rFonts w:cs="Guttman Drogolin" w:hint="cs"/>
          <w:rtl/>
          <w:lang w:bidi="he-IL"/>
        </w:rPr>
        <w:t>, ע"ש מש"כ בזה</w:t>
      </w:r>
      <w:r>
        <w:rPr>
          <w:rFonts w:cs="Guttman Drogolin" w:hint="cs"/>
          <w:rtl/>
          <w:lang w:bidi="he-IL"/>
        </w:rPr>
        <w:t>.</w:t>
      </w:r>
      <w:r w:rsidR="00CB1BA0">
        <w:rPr>
          <w:rFonts w:cs="Guttman Drogolin" w:hint="cs"/>
          <w:rtl/>
          <w:lang w:bidi="he-IL"/>
        </w:rPr>
        <w:t xml:space="preserve"> </w:t>
      </w:r>
    </w:p>
    <w:p w:rsidR="001D4A54" w:rsidRDefault="001D4A54" w:rsidP="008D3733">
      <w:pPr>
        <w:tabs>
          <w:tab w:val="right" w:pos="7497"/>
        </w:tabs>
        <w:bidi/>
        <w:jc w:val="both"/>
        <w:rPr>
          <w:rFonts w:cs="Guttman Drogolin"/>
          <w:rtl/>
          <w:lang w:bidi="he-IL"/>
        </w:rPr>
      </w:pPr>
      <w:r>
        <w:rPr>
          <w:rFonts w:cs="Guttman Drogolin" w:hint="cs"/>
          <w:rtl/>
          <w:lang w:bidi="he-IL"/>
        </w:rPr>
        <w:t>ובהא דשפחות כת</w:t>
      </w:r>
      <w:r w:rsidR="008D3733">
        <w:rPr>
          <w:rFonts w:cs="Guttman Drogolin" w:hint="cs"/>
          <w:rtl/>
          <w:lang w:bidi="he-IL"/>
        </w:rPr>
        <w:t>ב</w:t>
      </w:r>
      <w:r>
        <w:rPr>
          <w:rFonts w:cs="Guttman Drogolin" w:hint="cs"/>
          <w:rtl/>
          <w:lang w:bidi="he-IL"/>
        </w:rPr>
        <w:t xml:space="preserve"> הרמ"א דסגי בזה ש'הוא בשכונתו'. והסתפקתי בכוונת הדברים. שי"ל שכוונתו לומר שטעם ההיתר משום שהשיראל הוא בביתו של נכרי או עכ"ם בשכונת ביתו, דבזה איכא מירתת. ולפי זה מבואר שאם הישראל אינו בשכונתו לא מהני הא דהוי בבית ישראל. או"ד </w:t>
      </w:r>
      <w:r w:rsidR="001B51EA">
        <w:rPr>
          <w:rFonts w:cs="Guttman Drogolin" w:hint="cs"/>
          <w:rtl/>
          <w:lang w:bidi="he-IL"/>
        </w:rPr>
        <w:t xml:space="preserve">(וכן למד בס' חלקת בנימין ס"ק ל"ב) </w:t>
      </w:r>
      <w:r>
        <w:rPr>
          <w:rFonts w:cs="Guttman Drogolin" w:hint="cs"/>
          <w:rtl/>
          <w:lang w:bidi="he-IL"/>
        </w:rPr>
        <w:t xml:space="preserve">שכוונתו שהשפחה בשכונתו, ור"ל דסגי לן בזה שהשפחה ברפת שהוא בשכונת ישראל הבעלים. והכל עולה לענין א'. </w:t>
      </w:r>
    </w:p>
    <w:p w:rsidR="00A32FFB" w:rsidRDefault="00A32FFB" w:rsidP="00A32FFB">
      <w:pPr>
        <w:tabs>
          <w:tab w:val="right" w:pos="7497"/>
        </w:tabs>
        <w:bidi/>
        <w:jc w:val="both"/>
        <w:rPr>
          <w:rFonts w:cs="Guttman Drogolin"/>
          <w:rtl/>
          <w:lang w:bidi="he-IL"/>
        </w:rPr>
      </w:pPr>
      <w:r>
        <w:rPr>
          <w:rFonts w:cs="Guttman Drogolin" w:hint="cs"/>
          <w:rtl/>
          <w:lang w:bidi="he-IL"/>
        </w:rPr>
        <w:t>וע' בש"ך וט"ז בשם הגהות ש"ד שבהמות של עכו"ם בבית ישראל אין היתר, ובכנה"ג מבואר הטעם דכיון שעכ"פ הבהמו של ישרל ל מירתת. וחידוש דאמרינן כן אפילו שהוא לצורך הישראל בביתו של ישראל.</w:t>
      </w:r>
    </w:p>
    <w:p w:rsidR="00E20983" w:rsidRDefault="00E20983" w:rsidP="00E20983">
      <w:pPr>
        <w:tabs>
          <w:tab w:val="right" w:pos="7497"/>
        </w:tabs>
        <w:bidi/>
        <w:jc w:val="both"/>
        <w:rPr>
          <w:rFonts w:cs="Guttman Drogolin"/>
          <w:rtl/>
          <w:lang w:bidi="he-IL"/>
        </w:rPr>
      </w:pPr>
      <w:r>
        <w:rPr>
          <w:rFonts w:cs="Guttman Drogolin" w:hint="cs"/>
          <w:rtl/>
          <w:lang w:bidi="he-IL"/>
        </w:rPr>
        <w:t xml:space="preserve">ובכל הענין יש להעיר שבבהמות של ישראל ופועלים נכרים למה חוששים לחלב טמא כלל, </w:t>
      </w:r>
      <w:r>
        <w:rPr>
          <w:rFonts w:cs="Guttman Drogolin" w:hint="cs"/>
          <w:rtl/>
          <w:lang w:bidi="he-IL"/>
        </w:rPr>
        <w:lastRenderedPageBreak/>
        <w:t>דהא מה ירויח הנכרי מתערובת חלב טמא. ולכאורה גם מכאן חזינן דלא סגי לן בזה שאין טעם לחשוש שיערב חלב טמא רק צריכים לזה הוכחה, ואין הוכחה מזה שאין לו ריוח מתערובת חלב טמא.</w:t>
      </w:r>
    </w:p>
    <w:p w:rsidR="00DB418A" w:rsidRPr="00882F11" w:rsidRDefault="00DB418A" w:rsidP="00DB418A">
      <w:pPr>
        <w:keepNext/>
        <w:bidi/>
        <w:jc w:val="both"/>
        <w:rPr>
          <w:rFonts w:cs="Guttman Drogolin"/>
          <w:b/>
          <w:bCs/>
          <w:rtl/>
          <w:lang w:bidi="he-IL"/>
        </w:rPr>
      </w:pPr>
      <w:r>
        <w:rPr>
          <w:rFonts w:cs="Guttman Drogolin" w:hint="cs"/>
          <w:b/>
          <w:bCs/>
          <w:rtl/>
          <w:lang w:bidi="he-IL"/>
        </w:rPr>
        <w:t>שיטת המרדכי הדעת ר"ת</w:t>
      </w:r>
      <w:r w:rsidRPr="00882F11">
        <w:rPr>
          <w:rFonts w:cs="Guttman Drogolin" w:hint="cs"/>
          <w:b/>
          <w:bCs/>
          <w:rtl/>
          <w:lang w:bidi="he-IL"/>
        </w:rPr>
        <w:t xml:space="preserve"> </w:t>
      </w:r>
    </w:p>
    <w:p w:rsidR="00105C22" w:rsidRDefault="00DB418A" w:rsidP="00105C22">
      <w:pPr>
        <w:tabs>
          <w:tab w:val="right" w:pos="7497"/>
        </w:tabs>
        <w:bidi/>
        <w:jc w:val="both"/>
        <w:rPr>
          <w:rFonts w:cs="Guttman Drogolin"/>
          <w:rtl/>
          <w:lang w:bidi="he-IL"/>
        </w:rPr>
      </w:pPr>
      <w:r>
        <w:rPr>
          <w:rFonts w:cs="Guttman Drogolin"/>
          <w:rtl/>
          <w:lang w:bidi="he-IL"/>
        </w:rPr>
        <w:fldChar w:fldCharType="begin"/>
      </w:r>
      <w:r>
        <w:instrText xml:space="preserve"> XE "</w:instrText>
      </w:r>
      <w:r w:rsidRPr="00B35A73">
        <w:rPr>
          <w:rFonts w:hint="cs"/>
          <w:rtl/>
          <w:lang w:bidi="he-IL"/>
        </w:rPr>
        <w:instrText>חלב עכו</w:instrText>
      </w:r>
      <w:r>
        <w:rPr>
          <w:rFonts w:eastAsiaTheme="minorEastAsia"/>
          <w:lang w:bidi="he-IL"/>
        </w:rPr>
        <w:instrText>\</w:instrText>
      </w:r>
      <w:r w:rsidRPr="00B35A73">
        <w:rPr>
          <w:rFonts w:hint="cs"/>
          <w:rtl/>
          <w:lang w:bidi="he-IL"/>
        </w:rPr>
        <w:instrText>"ם</w:instrText>
      </w:r>
      <w:r w:rsidRPr="00B35A73">
        <w:rPr>
          <w:rtl/>
        </w:rPr>
        <w:instrText>:</w:instrText>
      </w:r>
      <w:r w:rsidRPr="00B35A73">
        <w:rPr>
          <w:rFonts w:hint="cs"/>
          <w:rtl/>
          <w:lang w:bidi="he-IL"/>
        </w:rPr>
        <w:instrText>ש</w:instrText>
      </w:r>
      <w:r>
        <w:rPr>
          <w:rFonts w:hint="cs"/>
          <w:rtl/>
          <w:lang w:bidi="he-IL"/>
        </w:rPr>
        <w:instrText xml:space="preserve">יטת המרדכי בדעת </w:instrText>
      </w:r>
      <w:r w:rsidRPr="00B35A73">
        <w:rPr>
          <w:rFonts w:hint="cs"/>
          <w:rtl/>
          <w:lang w:bidi="he-IL"/>
        </w:rPr>
        <w:instrText>ר</w:instrText>
      </w:r>
      <w:r>
        <w:rPr>
          <w:rFonts w:eastAsiaTheme="minorEastAsia"/>
          <w:lang w:bidi="he-IL"/>
        </w:rPr>
        <w:instrText>\</w:instrText>
      </w:r>
      <w:r w:rsidRPr="00B35A73">
        <w:rPr>
          <w:rFonts w:hint="cs"/>
          <w:rtl/>
          <w:lang w:bidi="he-IL"/>
        </w:rPr>
        <w:instrText>"</w:instrText>
      </w:r>
      <w:r>
        <w:rPr>
          <w:rFonts w:hint="cs"/>
          <w:rtl/>
          <w:lang w:bidi="he-IL"/>
        </w:rPr>
        <w:instrText>ת</w:instrText>
      </w:r>
      <w:r>
        <w:instrText xml:space="preserve">" </w:instrText>
      </w:r>
      <w:r>
        <w:rPr>
          <w:rFonts w:cs="Guttman Drogolin"/>
          <w:rtl/>
          <w:lang w:bidi="he-IL"/>
        </w:rPr>
        <w:fldChar w:fldCharType="end"/>
      </w:r>
      <w:r>
        <w:rPr>
          <w:rFonts w:cs="Guttman Drogolin" w:hint="cs"/>
          <w:rtl/>
          <w:lang w:bidi="he-IL"/>
        </w:rPr>
        <w:t>המרדכי הביא שר"ת אסר גבינות שנעשו מחלב שחלבו עכו"ם לשתי'. והיינו דאע"ג שמיקל ר"ת כשחלבו לגבינה, מ"מ סבירא לי' דחלב שנאסר משום חלב עכו"ם, כגון שחלבו לשתי', נאסר במנין ואין לו היתר. ופשוט</w:t>
      </w:r>
      <w:r w:rsidR="00105C22">
        <w:rPr>
          <w:rFonts w:cs="Guttman Drogolin" w:hint="cs"/>
          <w:rtl/>
          <w:lang w:bidi="he-IL"/>
        </w:rPr>
        <w:t>.</w:t>
      </w:r>
    </w:p>
    <w:p w:rsidR="00105C22" w:rsidRPr="00882F11" w:rsidRDefault="00105C22" w:rsidP="00105C22">
      <w:pPr>
        <w:keepNext/>
        <w:bidi/>
        <w:jc w:val="both"/>
        <w:rPr>
          <w:rFonts w:cs="Guttman Drogolin"/>
          <w:b/>
          <w:bCs/>
          <w:rtl/>
          <w:lang w:bidi="he-IL"/>
        </w:rPr>
      </w:pPr>
      <w:r>
        <w:rPr>
          <w:rFonts w:cs="Guttman Drogolin" w:hint="cs"/>
          <w:b/>
          <w:bCs/>
          <w:rtl/>
          <w:lang w:bidi="he-IL"/>
        </w:rPr>
        <w:t>דברי ההגהות אשר"י בלא ראה תחילת החליבה</w:t>
      </w:r>
    </w:p>
    <w:p w:rsidR="00105C22" w:rsidRDefault="00105C22" w:rsidP="00A42D7B">
      <w:pPr>
        <w:tabs>
          <w:tab w:val="right" w:pos="7497"/>
        </w:tabs>
        <w:bidi/>
        <w:jc w:val="both"/>
        <w:rPr>
          <w:rFonts w:cs="Guttman Drogolin"/>
          <w:rtl/>
          <w:lang w:bidi="he-IL"/>
        </w:rPr>
      </w:pPr>
      <w:r>
        <w:rPr>
          <w:rFonts w:cs="Guttman Drogolin"/>
          <w:rtl/>
          <w:lang w:bidi="he-IL"/>
        </w:rPr>
        <w:fldChar w:fldCharType="begin"/>
      </w:r>
      <w:r>
        <w:instrText xml:space="preserve"> XE "</w:instrText>
      </w:r>
      <w:r w:rsidRPr="00B35A73">
        <w:rPr>
          <w:rFonts w:hint="cs"/>
          <w:rtl/>
          <w:lang w:bidi="he-IL"/>
        </w:rPr>
        <w:instrText>חלב עכו</w:instrText>
      </w:r>
      <w:r>
        <w:rPr>
          <w:rFonts w:eastAsiaTheme="minorEastAsia"/>
          <w:lang w:bidi="he-IL"/>
        </w:rPr>
        <w:instrText>\</w:instrText>
      </w:r>
      <w:r w:rsidRPr="00B35A73">
        <w:rPr>
          <w:rFonts w:hint="cs"/>
          <w:rtl/>
          <w:lang w:bidi="he-IL"/>
        </w:rPr>
        <w:instrText>"ם</w:instrText>
      </w:r>
      <w:r w:rsidRPr="00B35A73">
        <w:rPr>
          <w:rtl/>
        </w:rPr>
        <w:instrText>:</w:instrText>
      </w:r>
      <w:r>
        <w:rPr>
          <w:rFonts w:hint="cs"/>
          <w:rtl/>
          <w:lang w:bidi="he-IL"/>
        </w:rPr>
        <w:instrText xml:space="preserve">לא ראה תחילת החליבה </w:instrText>
      </w:r>
      <w:r>
        <w:rPr>
          <w:rtl/>
          <w:lang w:bidi="he-IL"/>
        </w:rPr>
        <w:instrText>–</w:instrText>
      </w:r>
      <w:r>
        <w:rPr>
          <w:rFonts w:hint="cs"/>
          <w:rtl/>
          <w:lang w:bidi="he-IL"/>
        </w:rPr>
        <w:instrText xml:space="preserve"> דברי ההגהות אשר</w:instrText>
      </w:r>
      <w:r>
        <w:rPr>
          <w:rFonts w:eastAsiaTheme="minorEastAsia"/>
          <w:lang w:bidi="he-IL"/>
        </w:rPr>
        <w:instrText>\</w:instrText>
      </w:r>
      <w:r w:rsidRPr="00B35A73">
        <w:rPr>
          <w:rFonts w:hint="cs"/>
          <w:rtl/>
          <w:lang w:bidi="he-IL"/>
        </w:rPr>
        <w:instrText>"</w:instrText>
      </w:r>
      <w:r>
        <w:rPr>
          <w:rFonts w:hint="cs"/>
          <w:rtl/>
          <w:lang w:bidi="he-IL"/>
        </w:rPr>
        <w:instrText>י</w:instrText>
      </w:r>
      <w:r>
        <w:instrText xml:space="preserve">" </w:instrText>
      </w:r>
      <w:r>
        <w:rPr>
          <w:rFonts w:cs="Guttman Drogolin"/>
          <w:rtl/>
          <w:lang w:bidi="he-IL"/>
        </w:rPr>
        <w:fldChar w:fldCharType="end"/>
      </w:r>
      <w:r>
        <w:rPr>
          <w:rFonts w:cs="Guttman Drogolin" w:hint="cs"/>
          <w:rtl/>
          <w:lang w:bidi="he-IL"/>
        </w:rPr>
        <w:t>כתב בהגהות אשר"י (פ"ב אות מ') "</w:t>
      </w:r>
      <w:r w:rsidRPr="00105C22">
        <w:rPr>
          <w:rFonts w:cs="Guttman Drogolin"/>
          <w:rtl/>
          <w:lang w:bidi="he-IL"/>
        </w:rPr>
        <w:t>ישראל שהלך לכפר לקנות גבינות ואינם יודעין שדעת ישראל להקפיא כל החלב אפילו לא ראה ישראל החליבה כלל שרו ואפי' אם נפשך לאסור כה"ג היכא שראה הכל לבד התחלת החליבה מותר ופעם אחת אמר עובד כוכבים לישראל ליקח גבינות והיה החלב נחלב כבר והלך ועשהו והתיר ר"ת ואמנם אין התיר כולי האי היכא דליכא הפסד מרובה</w:t>
      </w:r>
      <w:r>
        <w:rPr>
          <w:rFonts w:cs="Guttman Drogolin" w:hint="cs"/>
          <w:rtl/>
          <w:lang w:bidi="he-IL"/>
        </w:rPr>
        <w:t xml:space="preserve">". </w:t>
      </w:r>
    </w:p>
    <w:p w:rsidR="00105C22" w:rsidRDefault="00105C22" w:rsidP="00105C22">
      <w:pPr>
        <w:tabs>
          <w:tab w:val="right" w:pos="7497"/>
        </w:tabs>
        <w:bidi/>
        <w:jc w:val="both"/>
        <w:rPr>
          <w:rFonts w:cs="Guttman Drogolin"/>
          <w:rtl/>
          <w:lang w:bidi="he-IL"/>
        </w:rPr>
      </w:pPr>
      <w:r>
        <w:rPr>
          <w:rFonts w:cs="Guttman Drogolin" w:hint="cs"/>
          <w:rtl/>
          <w:lang w:bidi="he-IL"/>
        </w:rPr>
        <w:t>ולכאורה דבריו אינם מובנים כלל, דהא כיון שאי</w:t>
      </w:r>
      <w:r w:rsidR="005E4AD1">
        <w:rPr>
          <w:rFonts w:cs="Guttman Drogolin" w:hint="cs"/>
          <w:rtl/>
          <w:lang w:bidi="he-IL"/>
        </w:rPr>
        <w:t>ן</w:t>
      </w:r>
      <w:r w:rsidR="00A42D7B">
        <w:rPr>
          <w:rFonts w:cs="Guttman Drogolin" w:hint="cs"/>
          <w:rtl/>
          <w:lang w:bidi="he-IL"/>
        </w:rPr>
        <w:t xml:space="preserve"> </w:t>
      </w:r>
      <w:r>
        <w:rPr>
          <w:rFonts w:cs="Guttman Drogolin" w:hint="cs"/>
          <w:rtl/>
          <w:lang w:bidi="he-IL"/>
        </w:rPr>
        <w:t xml:space="preserve">הנכרי יודע שדעת הישראל להקפיא כל החלב, למה לא יערב בה הנכרי דבר טמא, ואיזה טעם יש להקל בזה. </w:t>
      </w:r>
      <w:r w:rsidR="00C32C7F">
        <w:rPr>
          <w:rFonts w:cs="Guttman Drogolin" w:hint="cs"/>
          <w:rtl/>
          <w:lang w:bidi="he-IL"/>
        </w:rPr>
        <w:t>ומה שהתיר מבלי לראות תחילת החליבה ג"כ לא מובן, דעד כמה שאינו סומך על הסברא הראשונה, מא יאהני לן השגחה אמקצת החליבה.</w:t>
      </w:r>
    </w:p>
    <w:p w:rsidR="00C32C7F" w:rsidRPr="00105C22" w:rsidRDefault="00C32C7F" w:rsidP="00C32C7F">
      <w:pPr>
        <w:tabs>
          <w:tab w:val="right" w:pos="7497"/>
        </w:tabs>
        <w:bidi/>
        <w:jc w:val="both"/>
        <w:rPr>
          <w:rFonts w:cs="Guttman Drogolin"/>
          <w:rtl/>
        </w:rPr>
      </w:pPr>
      <w:r>
        <w:rPr>
          <w:rFonts w:cs="Guttman Drogolin" w:hint="cs"/>
          <w:rtl/>
          <w:lang w:bidi="he-IL"/>
        </w:rPr>
        <w:t xml:space="preserve">ובדרכ"מ כתב שרק כשקנה החלב לפי מנין או משקל הגבינות. וכוונתו לכאורה משום דרק בכה"ג יש את הסברא שאין לך שוטה וכו'. אלא שלכאורה עדיין מיירי שלא ידע בשעת חליבה, וא"כ יתכן לומר שעירב מקודם ומכר לאחר מכן. </w:t>
      </w:r>
    </w:p>
    <w:p w:rsidR="00CF35C1" w:rsidRPr="00882F11" w:rsidRDefault="00CF35C1" w:rsidP="00CF35C1">
      <w:pPr>
        <w:keepNext/>
        <w:bidi/>
        <w:jc w:val="both"/>
        <w:rPr>
          <w:rFonts w:cs="Guttman Drogolin"/>
          <w:b/>
          <w:bCs/>
          <w:rtl/>
          <w:lang w:bidi="he-IL"/>
        </w:rPr>
      </w:pPr>
      <w:r>
        <w:rPr>
          <w:rFonts w:cs="Guttman Drogolin"/>
          <w:b/>
          <w:bCs/>
          <w:rtl/>
          <w:lang w:bidi="he-IL"/>
        </w:rPr>
        <w:fldChar w:fldCharType="begin"/>
      </w:r>
      <w:r>
        <w:instrText xml:space="preserve"> XE "</w:instrText>
      </w:r>
      <w:r w:rsidRPr="00590975">
        <w:rPr>
          <w:rFonts w:hint="cs"/>
          <w:rtl/>
          <w:lang w:bidi="he-IL"/>
        </w:rPr>
        <w:instrText>חלב עכו</w:instrText>
      </w:r>
      <w:r>
        <w:rPr>
          <w:rFonts w:eastAsiaTheme="minorEastAsia"/>
          <w:lang w:bidi="he-IL"/>
        </w:rPr>
        <w:instrText>\</w:instrText>
      </w:r>
      <w:r w:rsidRPr="00590975">
        <w:rPr>
          <w:rFonts w:hint="cs"/>
          <w:rtl/>
          <w:lang w:bidi="he-IL"/>
        </w:rPr>
        <w:instrText>"ם</w:instrText>
      </w:r>
      <w:r w:rsidRPr="00590975">
        <w:rPr>
          <w:rtl/>
        </w:rPr>
        <w:instrText>:</w:instrText>
      </w:r>
      <w:r w:rsidRPr="00590975">
        <w:rPr>
          <w:rFonts w:hint="cs"/>
          <w:rtl/>
          <w:lang w:bidi="he-IL"/>
        </w:rPr>
        <w:instrText>הערות בסימן קט</w:instrText>
      </w:r>
      <w:r>
        <w:rPr>
          <w:rFonts w:eastAsiaTheme="minorEastAsia"/>
          <w:lang w:bidi="he-IL"/>
        </w:rPr>
        <w:instrText>\</w:instrText>
      </w:r>
      <w:r w:rsidRPr="00590975">
        <w:rPr>
          <w:rFonts w:hint="cs"/>
          <w:rtl/>
          <w:lang w:bidi="he-IL"/>
        </w:rPr>
        <w:instrText>"ו</w:instrText>
      </w:r>
      <w:r>
        <w:instrText xml:space="preserve">" </w:instrText>
      </w:r>
      <w:r>
        <w:rPr>
          <w:rFonts w:cs="Guttman Drogolin"/>
          <w:b/>
          <w:bCs/>
          <w:rtl/>
          <w:lang w:bidi="he-IL"/>
        </w:rPr>
        <w:fldChar w:fldCharType="end"/>
      </w:r>
      <w:r>
        <w:rPr>
          <w:rFonts w:cs="Guttman Drogolin"/>
          <w:b/>
          <w:bCs/>
          <w:rtl/>
          <w:lang w:bidi="he-IL"/>
        </w:rPr>
        <w:fldChar w:fldCharType="begin"/>
      </w:r>
      <w:r>
        <w:instrText xml:space="preserve"> XE "</w:instrText>
      </w:r>
      <w:r w:rsidRPr="00917F0B">
        <w:rPr>
          <w:rFonts w:hint="cs"/>
          <w:rtl/>
          <w:lang w:bidi="he-IL"/>
        </w:rPr>
        <w:instrText>גבינת עכו</w:instrText>
      </w:r>
      <w:r>
        <w:rPr>
          <w:rFonts w:eastAsiaTheme="minorEastAsia"/>
          <w:lang w:bidi="he-IL"/>
        </w:rPr>
        <w:instrText>\</w:instrText>
      </w:r>
      <w:r w:rsidRPr="00917F0B">
        <w:rPr>
          <w:rFonts w:hint="cs"/>
          <w:rtl/>
          <w:lang w:bidi="he-IL"/>
        </w:rPr>
        <w:instrText>"ם</w:instrText>
      </w:r>
      <w:r w:rsidRPr="00917F0B">
        <w:rPr>
          <w:rtl/>
        </w:rPr>
        <w:instrText>:</w:instrText>
      </w:r>
      <w:r w:rsidRPr="00917F0B">
        <w:rPr>
          <w:rFonts w:hint="cs"/>
          <w:rtl/>
          <w:lang w:bidi="he-IL"/>
        </w:rPr>
        <w:instrText>הערות בסימן קט</w:instrText>
      </w:r>
      <w:r>
        <w:rPr>
          <w:rFonts w:eastAsiaTheme="minorEastAsia"/>
          <w:lang w:bidi="he-IL"/>
        </w:rPr>
        <w:instrText>\</w:instrText>
      </w:r>
      <w:r w:rsidRPr="00917F0B">
        <w:rPr>
          <w:rFonts w:hint="cs"/>
          <w:rtl/>
          <w:lang w:bidi="he-IL"/>
        </w:rPr>
        <w:instrText>"ו</w:instrText>
      </w:r>
      <w:r>
        <w:instrText xml:space="preserve">" </w:instrText>
      </w:r>
      <w:r>
        <w:rPr>
          <w:rFonts w:cs="Guttman Drogolin"/>
          <w:b/>
          <w:bCs/>
          <w:rtl/>
          <w:lang w:bidi="he-IL"/>
        </w:rPr>
        <w:fldChar w:fldCharType="end"/>
      </w:r>
      <w:r>
        <w:rPr>
          <w:rFonts w:cs="Guttman Drogolin"/>
          <w:b/>
          <w:bCs/>
          <w:rtl/>
          <w:lang w:bidi="he-IL"/>
        </w:rPr>
        <w:fldChar w:fldCharType="begin"/>
      </w:r>
      <w:r>
        <w:instrText xml:space="preserve"> XE "</w:instrText>
      </w:r>
      <w:r w:rsidRPr="00161B81">
        <w:rPr>
          <w:rFonts w:hint="cs"/>
          <w:rtl/>
          <w:lang w:bidi="he-IL"/>
        </w:rPr>
        <w:instrText>חמאת עכו</w:instrText>
      </w:r>
      <w:r>
        <w:rPr>
          <w:rFonts w:eastAsiaTheme="minorEastAsia"/>
          <w:lang w:bidi="he-IL"/>
        </w:rPr>
        <w:instrText>\</w:instrText>
      </w:r>
      <w:r w:rsidRPr="00161B81">
        <w:rPr>
          <w:rFonts w:hint="cs"/>
          <w:rtl/>
          <w:lang w:bidi="he-IL"/>
        </w:rPr>
        <w:instrText>"ם</w:instrText>
      </w:r>
      <w:r w:rsidRPr="00161B81">
        <w:rPr>
          <w:rtl/>
        </w:rPr>
        <w:instrText>:</w:instrText>
      </w:r>
      <w:r w:rsidRPr="00161B81">
        <w:rPr>
          <w:rFonts w:hint="cs"/>
          <w:rtl/>
          <w:lang w:bidi="he-IL"/>
        </w:rPr>
        <w:instrText>הערות בסימן קט</w:instrText>
      </w:r>
      <w:r>
        <w:rPr>
          <w:rFonts w:eastAsiaTheme="minorEastAsia"/>
          <w:lang w:bidi="he-IL"/>
        </w:rPr>
        <w:instrText>\</w:instrText>
      </w:r>
      <w:r w:rsidRPr="00161B81">
        <w:rPr>
          <w:rFonts w:hint="cs"/>
          <w:rtl/>
          <w:lang w:bidi="he-IL"/>
        </w:rPr>
        <w:instrText>"ו</w:instrText>
      </w:r>
      <w:r>
        <w:instrText xml:space="preserve">" </w:instrText>
      </w:r>
      <w:r>
        <w:rPr>
          <w:rFonts w:cs="Guttman Drogolin"/>
          <w:b/>
          <w:bCs/>
          <w:rtl/>
          <w:lang w:bidi="he-IL"/>
        </w:rPr>
        <w:fldChar w:fldCharType="end"/>
      </w:r>
      <w:r>
        <w:rPr>
          <w:rFonts w:cs="Guttman Drogolin" w:hint="cs"/>
          <w:b/>
          <w:bCs/>
          <w:rtl/>
          <w:lang w:bidi="he-IL"/>
        </w:rPr>
        <w:t>הערות בדעת הטוש"ע סימן קט"ו</w:t>
      </w:r>
      <w:r w:rsidRPr="00882F11">
        <w:rPr>
          <w:rFonts w:cs="Guttman Drogolin" w:hint="cs"/>
          <w:b/>
          <w:bCs/>
          <w:rtl/>
          <w:lang w:bidi="he-IL"/>
        </w:rPr>
        <w:t xml:space="preserve"> </w:t>
      </w:r>
    </w:p>
    <w:p w:rsidR="00CF35C1" w:rsidRDefault="00CF35C1" w:rsidP="00CF35C1">
      <w:pPr>
        <w:pStyle w:val="ListParagraph"/>
        <w:numPr>
          <w:ilvl w:val="0"/>
          <w:numId w:val="23"/>
        </w:numPr>
        <w:tabs>
          <w:tab w:val="right" w:pos="7497"/>
        </w:tabs>
        <w:bidi/>
        <w:ind w:left="193" w:hanging="180"/>
        <w:jc w:val="both"/>
        <w:rPr>
          <w:rFonts w:cs="Guttman Drogolin"/>
          <w:lang w:bidi="he-IL"/>
        </w:rPr>
      </w:pPr>
      <w:r w:rsidRPr="00CF35C1">
        <w:rPr>
          <w:rFonts w:cs="Guttman Drogolin" w:hint="cs"/>
          <w:rtl/>
          <w:lang w:bidi="he-IL"/>
        </w:rPr>
        <w:t>הטור</w:t>
      </w:r>
      <w:r>
        <w:rPr>
          <w:rFonts w:cs="Guttman Drogolin" w:hint="cs"/>
          <w:rtl/>
          <w:lang w:bidi="he-IL"/>
        </w:rPr>
        <w:t xml:space="preserve"> הביא שא' מן הטעמים לאסור גבינת עכו"ם משום שישאר חלב בין החורים. ומ"מ הביא שיש אוסרים חמאה משום חלב ביני אטפי., אע"ג שלא גזרו על החמאה וכדחזינן </w:t>
      </w:r>
      <w:r>
        <w:rPr>
          <w:rFonts w:cs="Guttman Drogolin" w:hint="cs"/>
          <w:rtl/>
          <w:lang w:bidi="he-IL"/>
        </w:rPr>
        <w:lastRenderedPageBreak/>
        <w:t xml:space="preserve">מדעת הגאונים המקילים. ומבואר שהטעם דר' חנינא אינו גזירה על הגבינה רק על החשש דביני אטפי, וסבר ר' חנינא שגם חלב שבגבינה לא בטל. ומשום טעם זה לבד לכאורה הי' מהני בישול, אבל סבר הטור שמחמירים כל הטעמים ולכן ליכא היתר. </w:t>
      </w:r>
    </w:p>
    <w:p w:rsidR="00F957AC" w:rsidRDefault="00CF35C1" w:rsidP="00E20983">
      <w:pPr>
        <w:pStyle w:val="ListParagraph"/>
        <w:numPr>
          <w:ilvl w:val="0"/>
          <w:numId w:val="23"/>
        </w:numPr>
        <w:tabs>
          <w:tab w:val="right" w:pos="7497"/>
        </w:tabs>
        <w:bidi/>
        <w:ind w:left="193" w:hanging="180"/>
        <w:jc w:val="both"/>
        <w:rPr>
          <w:rFonts w:cs="Guttman Drogolin"/>
          <w:lang w:bidi="he-IL"/>
        </w:rPr>
      </w:pPr>
      <w:r>
        <w:rPr>
          <w:rFonts w:cs="Guttman Drogolin" w:hint="cs"/>
          <w:rtl/>
          <w:lang w:bidi="he-IL"/>
        </w:rPr>
        <w:t xml:space="preserve"> </w:t>
      </w:r>
      <w:r w:rsidR="007670BB">
        <w:rPr>
          <w:rFonts w:cs="Guttman Drogolin" w:hint="cs"/>
          <w:rtl/>
          <w:lang w:bidi="he-IL"/>
        </w:rPr>
        <w:t>הדרכ"מ כתב בהא דשפחות שאם בית נכרי מפסיק ביניהם לא מהני שפחות בבית ישראל.  ומשמע שאם בית ישראל אחר מפסיק שפיר דמי. ויל"ע מאי שנא זו מזו, דהא לכאורה בכה"ג לא מהני אלא מירתת מבעליו כיון שאינו יושב מבחוץ וכו'. ואם אין מירתת מבעליו כיון שיש ב</w:t>
      </w:r>
      <w:r w:rsidR="00B00AF5">
        <w:rPr>
          <w:rFonts w:cs="Guttman Drogolin" w:hint="cs"/>
          <w:rtl/>
          <w:lang w:bidi="he-IL"/>
        </w:rPr>
        <w:t>ית מפסיק, מאי שנא בית ישראל מב</w:t>
      </w:r>
      <w:r w:rsidR="007670BB">
        <w:rPr>
          <w:rFonts w:cs="Guttman Drogolin" w:hint="cs"/>
          <w:rtl/>
          <w:lang w:bidi="he-IL"/>
        </w:rPr>
        <w:t>יתו של עכו"ם</w:t>
      </w:r>
      <w:r w:rsidR="00B00AF5">
        <w:rPr>
          <w:rFonts w:cs="Guttman Drogolin" w:hint="cs"/>
          <w:rtl/>
          <w:lang w:bidi="he-IL"/>
        </w:rPr>
        <w:t>. ולכאורה צ"ל דמ"מ כיון שהוא ביתו של ישראל אחר בעליו מתקרבים</w:t>
      </w:r>
      <w:r w:rsidR="00E20983">
        <w:rPr>
          <w:rFonts w:cs="Guttman Drogolin" w:hint="cs"/>
          <w:rtl/>
          <w:lang w:bidi="he-IL"/>
        </w:rPr>
        <w:t xml:space="preserve"> </w:t>
      </w:r>
      <w:r w:rsidR="00B00AF5">
        <w:rPr>
          <w:rFonts w:cs="Guttman Drogolin" w:hint="cs"/>
          <w:rtl/>
          <w:lang w:bidi="he-IL"/>
        </w:rPr>
        <w:t xml:space="preserve">לו יותר ומירתת יותר מבעליו. </w:t>
      </w:r>
      <w:r w:rsidR="00792241">
        <w:rPr>
          <w:rFonts w:cs="Guttman Drogolin" w:hint="cs"/>
          <w:rtl/>
          <w:lang w:bidi="he-IL"/>
        </w:rPr>
        <w:t xml:space="preserve">ואולי כוונתו לביתו של נכרי הולב, אבל נכרי אחר שפיר דמי. </w:t>
      </w:r>
      <w:r w:rsidR="00B00AF5">
        <w:rPr>
          <w:rFonts w:cs="Guttman Drogolin" w:hint="cs"/>
          <w:rtl/>
          <w:lang w:bidi="he-IL"/>
        </w:rPr>
        <w:t>וצ"ע</w:t>
      </w:r>
      <w:r w:rsidR="008D3733">
        <w:rPr>
          <w:rFonts w:cs="Guttman Drogolin" w:hint="cs"/>
          <w:rtl/>
          <w:lang w:bidi="he-IL"/>
        </w:rPr>
        <w:t>. וע' בש"ך ס"ק י" בשם דרכ"מ (ול"מ שם) ותו"ח שגם אם ביתו של נכרי מפסיק יש להקל בדיעבד. ומ"מ נראה דהנ"מ כשהישראל כשכונתו, וכמו שביארנו לעיל</w:t>
      </w:r>
      <w:r w:rsidR="00D67868">
        <w:rPr>
          <w:rFonts w:cs="Guttman Drogolin" w:hint="cs"/>
          <w:rtl/>
          <w:lang w:bidi="he-IL"/>
        </w:rPr>
        <w:t xml:space="preserve"> (וע' מש"כ בזה ג"כ לעיל)</w:t>
      </w:r>
      <w:r w:rsidR="008D3733">
        <w:rPr>
          <w:rFonts w:cs="Guttman Drogolin" w:hint="cs"/>
          <w:rtl/>
          <w:lang w:bidi="he-IL"/>
        </w:rPr>
        <w:t>.</w:t>
      </w:r>
    </w:p>
    <w:p w:rsidR="00B00AF5" w:rsidRDefault="00F957AC" w:rsidP="002C218D">
      <w:pPr>
        <w:pStyle w:val="ListParagraph"/>
        <w:numPr>
          <w:ilvl w:val="0"/>
          <w:numId w:val="23"/>
        </w:numPr>
        <w:tabs>
          <w:tab w:val="right" w:pos="7497"/>
        </w:tabs>
        <w:bidi/>
        <w:ind w:left="193" w:hanging="180"/>
        <w:jc w:val="both"/>
        <w:rPr>
          <w:rFonts w:cs="Guttman Drogolin"/>
          <w:lang w:bidi="he-IL"/>
        </w:rPr>
      </w:pPr>
      <w:r>
        <w:rPr>
          <w:rFonts w:cs="Guttman Drogolin" w:hint="cs"/>
          <w:rtl/>
          <w:lang w:bidi="he-IL"/>
        </w:rPr>
        <w:t>ע' מש"כ בב"י לדחות השגת</w:t>
      </w:r>
      <w:r w:rsidR="002C218D">
        <w:rPr>
          <w:rFonts w:cs="Guttman Drogolin" w:hint="cs"/>
          <w:rtl/>
          <w:lang w:bidi="he-IL"/>
        </w:rPr>
        <w:t xml:space="preserve"> </w:t>
      </w:r>
      <w:r>
        <w:rPr>
          <w:rFonts w:cs="Guttman Drogolin" w:hint="cs"/>
          <w:rtl/>
          <w:lang w:bidi="he-IL"/>
        </w:rPr>
        <w:t>הראב"ד על מש"כ הרמב"ם להתיר בישול החמאה כדי להתירו. ויתכן שסבר הראב"ד שגם בזה שמכלה ויש חשש שיכנס לחמאה אע"פ שמתבטל מ"מ הוי מכוער לראב"ד.</w:t>
      </w:r>
      <w:r w:rsidR="002A7EEC">
        <w:rPr>
          <w:rFonts w:cs="Guttman Drogolin" w:hint="cs"/>
          <w:rtl/>
          <w:lang w:bidi="he-IL"/>
        </w:rPr>
        <w:t xml:space="preserve"> </w:t>
      </w:r>
    </w:p>
    <w:p w:rsidR="00F957AC" w:rsidRPr="00D46BC0" w:rsidRDefault="00483F36" w:rsidP="00D46BC0">
      <w:pPr>
        <w:pStyle w:val="ListParagraph"/>
        <w:numPr>
          <w:ilvl w:val="0"/>
          <w:numId w:val="23"/>
        </w:numPr>
        <w:tabs>
          <w:tab w:val="right" w:pos="7497"/>
        </w:tabs>
        <w:bidi/>
        <w:ind w:left="193" w:hanging="180"/>
        <w:jc w:val="both"/>
        <w:rPr>
          <w:rFonts w:cs="Guttman Drogolin"/>
          <w:lang w:bidi="he-IL"/>
        </w:rPr>
      </w:pPr>
      <w:r>
        <w:rPr>
          <w:rFonts w:cs="Guttman Drogolin" w:hint="cs"/>
          <w:rtl/>
          <w:lang w:bidi="he-IL"/>
        </w:rPr>
        <w:t xml:space="preserve">הפסקי תשובה בס"ק ב' הביא מחלוקת אם אפשר לסמוך על קטן האומר שלא עירב הנכרי בה חלב טמא בזמן דליכא מירתת. וכתב שהוא תלוי במחלוקת אם חלב עכו"ם דר שבמנין או לא. ולכאורה </w:t>
      </w:r>
      <w:r w:rsidR="00D46BC0">
        <w:rPr>
          <w:rFonts w:cs="Guttman Drogolin" w:hint="cs"/>
          <w:rtl/>
          <w:lang w:bidi="he-IL"/>
        </w:rPr>
        <w:t xml:space="preserve">כוונתו דכיון שלא הי' ישראל גדול משגיח עליו בשעת חליבה הרי הוא נאסר, וזה שיש לנו בירור לאחר מכן לא מהני כיון שהוא דבר שבמנין. אלא דא"כ </w:t>
      </w:r>
      <w:r>
        <w:rPr>
          <w:rFonts w:cs="Guttman Drogolin" w:hint="cs"/>
          <w:rtl/>
          <w:lang w:bidi="he-IL"/>
        </w:rPr>
        <w:t>צ"ע, דעד כמה שנאמן הקטן לומר שלא עירב בה חלב טמא למה לא יהא מו</w:t>
      </w:r>
      <w:r w:rsidR="00D46BC0">
        <w:rPr>
          <w:rFonts w:cs="Guttman Drogolin" w:hint="cs"/>
          <w:rtl/>
          <w:lang w:bidi="he-IL"/>
        </w:rPr>
        <w:t>ת</w:t>
      </w:r>
      <w:r>
        <w:rPr>
          <w:rFonts w:cs="Guttman Drogolin" w:hint="cs"/>
          <w:rtl/>
          <w:lang w:bidi="he-IL"/>
        </w:rPr>
        <w:t xml:space="preserve">ר אפילו אם חלב עכו"ם הוא דבר שבמנין. </w:t>
      </w:r>
      <w:r w:rsidR="00D46BC0">
        <w:rPr>
          <w:rFonts w:cs="Guttman Drogolin" w:hint="cs"/>
          <w:rtl/>
          <w:lang w:bidi="he-IL"/>
        </w:rPr>
        <w:t>דלכאורה פשוט שאם ישראל רואה נכרי חולב החלב ואין הנכרי יודע שמסתכלים בה, ולכן לא מירתת, דמ"מ הרי הוא מותר.</w:t>
      </w:r>
    </w:p>
    <w:p w:rsidR="00B00AF5" w:rsidRDefault="00B00AF5" w:rsidP="00F957AC">
      <w:pPr>
        <w:tabs>
          <w:tab w:val="right" w:pos="7497"/>
        </w:tabs>
        <w:bidi/>
        <w:jc w:val="both"/>
        <w:rPr>
          <w:rFonts w:cs="Guttman Drogolin"/>
          <w:rtl/>
          <w:lang w:bidi="he-IL"/>
        </w:rPr>
      </w:pPr>
    </w:p>
    <w:p w:rsidR="001E15E7" w:rsidRDefault="001E15E7" w:rsidP="001E15E7">
      <w:pPr>
        <w:tabs>
          <w:tab w:val="right" w:pos="7497"/>
        </w:tabs>
        <w:bidi/>
        <w:jc w:val="both"/>
        <w:rPr>
          <w:rFonts w:cs="Guttman Drogolin"/>
          <w:rtl/>
          <w:lang w:bidi="he-IL"/>
        </w:rPr>
        <w:sectPr w:rsidR="001E15E7" w:rsidSect="00022CD1">
          <w:type w:val="continuous"/>
          <w:pgSz w:w="11907" w:h="16839" w:code="9"/>
          <w:pgMar w:top="1440" w:right="1440" w:bottom="1440" w:left="1440" w:header="720" w:footer="720" w:gutter="0"/>
          <w:cols w:num="2" w:space="720"/>
          <w:bidi/>
          <w:docGrid w:linePitch="360"/>
        </w:sectPr>
      </w:pPr>
    </w:p>
    <w:p w:rsidR="001E15E7" w:rsidRPr="001E15E7" w:rsidRDefault="001E15E7" w:rsidP="001E15E7">
      <w:pPr>
        <w:keepNext/>
        <w:tabs>
          <w:tab w:val="left" w:pos="3818"/>
          <w:tab w:val="center" w:pos="4680"/>
        </w:tabs>
        <w:bidi/>
        <w:jc w:val="center"/>
        <w:rPr>
          <w:rFonts w:cs="Guttman Drogolin"/>
          <w:b/>
          <w:bCs/>
          <w:sz w:val="24"/>
          <w:szCs w:val="24"/>
          <w:rtl/>
          <w:lang w:bidi="he-IL"/>
        </w:rPr>
      </w:pPr>
      <w:r w:rsidRPr="001E15E7">
        <w:rPr>
          <w:rFonts w:cs="Guttman Drogolin" w:hint="cs"/>
          <w:b/>
          <w:bCs/>
          <w:sz w:val="48"/>
          <w:szCs w:val="48"/>
          <w:rtl/>
          <w:lang w:bidi="he-IL"/>
        </w:rPr>
        <w:lastRenderedPageBreak/>
        <w:t>שיעור קמ"ח</w:t>
      </w:r>
    </w:p>
    <w:p w:rsidR="001E15E7" w:rsidRDefault="001E15E7" w:rsidP="001E15E7">
      <w:pPr>
        <w:pStyle w:val="Heading1"/>
        <w:bidi/>
        <w:spacing w:before="0" w:line="360" w:lineRule="auto"/>
        <w:jc w:val="center"/>
        <w:rPr>
          <w:rFonts w:cs="Guttman Drogolin"/>
          <w:color w:val="auto"/>
          <w:sz w:val="24"/>
          <w:szCs w:val="24"/>
          <w:u w:val="single"/>
          <w:rtl/>
          <w:lang w:bidi="he-IL"/>
        </w:rPr>
        <w:sectPr w:rsidR="001E15E7" w:rsidSect="001E15E7">
          <w:headerReference w:type="default" r:id="rId101"/>
          <w:pgSz w:w="11907" w:h="16839" w:code="9"/>
          <w:pgMar w:top="1440" w:right="1440" w:bottom="1440" w:left="1440" w:header="720" w:footer="720" w:gutter="0"/>
          <w:cols w:space="720"/>
          <w:bidi/>
          <w:docGrid w:linePitch="360"/>
        </w:sectPr>
      </w:pPr>
    </w:p>
    <w:p w:rsidR="001E15E7" w:rsidRPr="001E15E7" w:rsidRDefault="001E15E7" w:rsidP="001E15E7">
      <w:pPr>
        <w:pStyle w:val="Heading1"/>
        <w:bidi/>
        <w:spacing w:before="0" w:line="360" w:lineRule="auto"/>
        <w:jc w:val="center"/>
        <w:rPr>
          <w:rFonts w:cs="Guttman Drogolin"/>
          <w:color w:val="auto"/>
          <w:sz w:val="24"/>
          <w:szCs w:val="24"/>
          <w:u w:val="single"/>
          <w:rtl/>
          <w:lang w:bidi="he-IL"/>
        </w:rPr>
      </w:pPr>
      <w:bookmarkStart w:id="564" w:name="_Toc496175801"/>
      <w:r w:rsidRPr="001E15E7">
        <w:rPr>
          <w:rFonts w:cs="Guttman Drogolin" w:hint="cs"/>
          <w:color w:val="auto"/>
          <w:sz w:val="24"/>
          <w:szCs w:val="24"/>
          <w:u w:val="single"/>
          <w:rtl/>
          <w:lang w:bidi="he-IL"/>
        </w:rPr>
        <w:lastRenderedPageBreak/>
        <w:t>הטעם שגזרו על פת עכו"ם</w:t>
      </w:r>
      <w:bookmarkEnd w:id="564"/>
    </w:p>
    <w:p w:rsidR="001E15E7" w:rsidRPr="001E15E7" w:rsidRDefault="001E15E7" w:rsidP="001E15E7">
      <w:pPr>
        <w:tabs>
          <w:tab w:val="right" w:pos="7497"/>
        </w:tabs>
        <w:bidi/>
        <w:jc w:val="both"/>
        <w:rPr>
          <w:rFonts w:cs="Guttman Drogolin"/>
          <w:rtl/>
          <w:lang w:bidi="he-IL"/>
        </w:rPr>
      </w:pPr>
      <w:r w:rsidRPr="001E15E7">
        <w:rPr>
          <w:rFonts w:cs="Guttman Drogolin"/>
          <w:rtl/>
          <w:lang w:bidi="he-IL"/>
        </w:rPr>
        <w:fldChar w:fldCharType="begin"/>
      </w:r>
      <w:r w:rsidRPr="001E15E7">
        <w:rPr>
          <w:rFonts w:cs="Guttman Drogolin"/>
        </w:rPr>
        <w:instrText xml:space="preserve"> XE "</w:instrText>
      </w:r>
      <w:r w:rsidRPr="001E15E7">
        <w:rPr>
          <w:rFonts w:cs="Guttman Drogolin" w:hint="cs"/>
          <w:rtl/>
          <w:lang w:bidi="he-IL"/>
        </w:rPr>
        <w:instrText>פת עכו</w:instrText>
      </w:r>
      <w:r w:rsidRPr="001E15E7">
        <w:rPr>
          <w:rFonts w:eastAsiaTheme="minorEastAsia" w:cs="Guttman Drogolin"/>
          <w:lang w:bidi="he-IL"/>
        </w:rPr>
        <w:instrText>\</w:instrText>
      </w:r>
      <w:r w:rsidRPr="001E15E7">
        <w:rPr>
          <w:rFonts w:cs="Guttman Drogolin" w:hint="cs"/>
          <w:rtl/>
          <w:lang w:bidi="he-IL"/>
        </w:rPr>
        <w:instrText>"ם</w:instrText>
      </w:r>
      <w:r w:rsidRPr="001E15E7">
        <w:rPr>
          <w:rFonts w:cs="Guttman Drogolin"/>
          <w:rtl/>
        </w:rPr>
        <w:instrText>:</w:instrText>
      </w:r>
      <w:r w:rsidRPr="001E15E7">
        <w:rPr>
          <w:rFonts w:cs="Guttman Drogolin" w:hint="cs"/>
          <w:rtl/>
          <w:lang w:bidi="he-IL"/>
        </w:rPr>
        <w:instrText>טעם הגזרה</w:instrText>
      </w:r>
      <w:r w:rsidRPr="001E15E7">
        <w:rPr>
          <w:rFonts w:cs="Guttman Drogolin"/>
        </w:rPr>
        <w:instrText xml:space="preserve">" </w:instrText>
      </w:r>
      <w:r w:rsidRPr="001E15E7">
        <w:rPr>
          <w:rFonts w:cs="Guttman Drogolin"/>
          <w:rtl/>
          <w:lang w:bidi="he-IL"/>
        </w:rPr>
        <w:fldChar w:fldCharType="end"/>
      </w:r>
      <w:r w:rsidRPr="001E15E7">
        <w:rPr>
          <w:rFonts w:cs="Guttman Drogolin" w:hint="cs"/>
          <w:rtl/>
          <w:lang w:bidi="he-IL"/>
        </w:rPr>
        <w:t>בהמשך הגמ' מבואר שגם פת עכו"ם אסור. ומפורש בגמ' כאן פעמיים שהטעם שאסרו פת עכו"ם הוא "משום חתנות". ולפום ריהטא הדבר מתבאר יותר לקמן בדף ל"ו ע"ב "</w:t>
      </w:r>
      <w:r w:rsidRPr="001E15E7">
        <w:rPr>
          <w:rFonts w:cs="Guttman Drogolin"/>
          <w:rtl/>
          <w:lang w:bidi="he-IL"/>
        </w:rPr>
        <w:t xml:space="preserve">דכי אתא רב אחא בר אדא א"ר יצחק גזרו </w:t>
      </w:r>
      <w:r w:rsidRPr="001E15E7">
        <w:rPr>
          <w:rFonts w:cs="Guttman Drogolin" w:hint="cs"/>
          <w:rtl/>
          <w:lang w:bidi="he-IL"/>
        </w:rPr>
        <w:t>וכו'</w:t>
      </w:r>
      <w:r w:rsidRPr="001E15E7">
        <w:rPr>
          <w:rFonts w:cs="Guttman Drogolin"/>
          <w:rtl/>
          <w:lang w:bidi="he-IL"/>
        </w:rPr>
        <w:t xml:space="preserve"> על פיתן ושמנן משום יינן, ועל יינן משום בנותיהן, ועל בנותיהן משום דבר אחר</w:t>
      </w:r>
      <w:r w:rsidRPr="001E15E7">
        <w:rPr>
          <w:rFonts w:cs="Guttman Drogolin" w:hint="cs"/>
          <w:rtl/>
          <w:lang w:bidi="he-IL"/>
        </w:rPr>
        <w:t>". ודבר אחר היינו ע"ז וכדמבואר שם בגמ' וכן פירש"י. וא"כ לכאורה מבואר שעיקר טעם הגזרה משום ע"ז. וא"כ לכאורה צ"ע למה אמרו בגמ' כאן שהאיסור משום חתנות, הא עיקר טעם האיסור אינו אלא משום ע"ז, ואי משום בנותיהם שהיא מביאה לידי חתנות, הא לא גזרו ישירות אטו חנתות גם, רק אטו יינן שמביא לחתנות.</w:t>
      </w:r>
    </w:p>
    <w:p w:rsidR="001E15E7" w:rsidRPr="001E15E7" w:rsidRDefault="001E15E7" w:rsidP="001E15E7">
      <w:pPr>
        <w:tabs>
          <w:tab w:val="right" w:pos="7497"/>
        </w:tabs>
        <w:bidi/>
        <w:jc w:val="both"/>
        <w:rPr>
          <w:rFonts w:cs="Guttman Drogolin"/>
          <w:rtl/>
          <w:lang w:bidi="he-IL"/>
        </w:rPr>
      </w:pPr>
      <w:r w:rsidRPr="001E15E7">
        <w:rPr>
          <w:rFonts w:cs="Guttman Drogolin" w:hint="cs"/>
          <w:rtl/>
          <w:lang w:bidi="he-IL"/>
        </w:rPr>
        <w:t xml:space="preserve">ויעוין בפרי תואר (סי' קי"ב ס"ק ג') שכתב לפרש שלעולם גזירת פת עכו"ם משום חתנות, ומש"כ בגמ' שבדף ל"ו ע"ב "ועל יין משום בנותיהן, ועל בנותיהן משום דבר אחר, ב' דברים חלוקים הם. דהנה בהמשך הגמ' מבואר שגזרו על דבכר אחר משום דבר אחר. ובודאי אין הכוונה שהדבר אחר הראשון אינו עיקר טעם הגזרה רק הדבר אחר השני, רק שגזרו ב' גזרות, חדא על בנותיהם משום דבר אחר, ועוד על דבר אחר משום דבר אחר. ואיכא למימר דהה"נ דהא דגזרו על בנותיהם משום דבר אחר הוא גזירה א', אבל יש עוד גזרה שגזרו על יינם משום בנותיהם, וזהו חתנות. ובזה אמרינן שלא הסתפקו בגזירת יינם וגזרו גם על פת ושמן. וא"כ יוצא שעיקר טעם הגזרה של פת עכו"ם משום בנותיהם ולא משום ע"ז. וכה"ג פי' גם בלח"מ בפי"א ה"ג מהל' מאכ"א. </w:t>
      </w:r>
    </w:p>
    <w:p w:rsidR="001E15E7" w:rsidRPr="001E15E7" w:rsidRDefault="001E15E7" w:rsidP="001E15E7">
      <w:pPr>
        <w:tabs>
          <w:tab w:val="right" w:pos="7497"/>
        </w:tabs>
        <w:bidi/>
        <w:jc w:val="both"/>
        <w:rPr>
          <w:rFonts w:cs="Guttman Drogolin"/>
          <w:rtl/>
          <w:lang w:bidi="he-IL"/>
        </w:rPr>
      </w:pPr>
      <w:r w:rsidRPr="001E15E7">
        <w:rPr>
          <w:rFonts w:cs="Guttman Drogolin" w:hint="cs"/>
          <w:rtl/>
          <w:lang w:bidi="he-IL"/>
        </w:rPr>
        <w:t>וכבר תמהו העולם על פירוש זה מלשון הגמ' דלעיל מיני' שם בדף ל"ו ע"ב "</w:t>
      </w:r>
      <w:r w:rsidRPr="001E15E7">
        <w:rPr>
          <w:rFonts w:cs="Guttman Drogolin"/>
          <w:rtl/>
          <w:lang w:bidi="he-IL"/>
        </w:rPr>
        <w:t>וגניבא משמיה דרב אמר כולן משום עבודת כוכבים גזרו בהן</w:t>
      </w:r>
      <w:r w:rsidRPr="001E15E7">
        <w:rPr>
          <w:rFonts w:cs="Guttman Drogolin" w:hint="cs"/>
          <w:rtl/>
          <w:lang w:bidi="he-IL"/>
        </w:rPr>
        <w:t xml:space="preserve">". וכן בפיהמ"ש לרמב"ם. וא"כ לכאורה הוא מפורש בגמ' שהטעם משום ע"ז, וע"כ היינו משום שהגזרה דמשום בנותיהם היינו אטו ע"ז. אלא </w:t>
      </w:r>
      <w:r w:rsidRPr="001E15E7">
        <w:rPr>
          <w:rFonts w:cs="Guttman Drogolin" w:hint="cs"/>
          <w:rtl/>
          <w:lang w:bidi="he-IL"/>
        </w:rPr>
        <w:lastRenderedPageBreak/>
        <w:t>דהנה בגמ' מבואר דהא דגזרו על בנותיהם משום דבר אחר, היינו על יח</w:t>
      </w:r>
      <w:r>
        <w:rPr>
          <w:rFonts w:cs="Guttman Drogolin" w:hint="cs"/>
          <w:rtl/>
          <w:lang w:bidi="he-IL"/>
        </w:rPr>
        <w:t>ו</w:t>
      </w:r>
      <w:r w:rsidRPr="001E15E7">
        <w:rPr>
          <w:rFonts w:cs="Guttman Drogolin" w:hint="cs"/>
          <w:rtl/>
          <w:lang w:bidi="he-IL"/>
        </w:rPr>
        <w:t>ד עם פנוי', ודוקא זה משום ששארי הדברים אסורים מדאורייתא. ולכאורה הוא מן הנמנע לומר שלא גזרו על יינם אלא משום חשש יחוד עם הפנוי' ולא אטו חתנות ממש. וא"כ ע"כ הפי' בגמ' הוא כנ"ל, שהי' גזרה של יין משום עיקר חתנות עם בניהם, והי' גם גזרה נוספת של יחוד עם פנוי' משום חשש ע"ז. אמנם עדיין צריכם לומר שהכל הי' משום חשש ע"ז, ור"ל שאפילו ביחוד עם פנוי' גזרו משום ע"ז, וכן כל מה שמביא לידי בנותיהם עיקר החשש משום ע"ז. אלא דעדיין צ"ע מהו זה שמבואר בגמ' שהוא משום חתנות כיון שאין זה עיקר הטעם.</w:t>
      </w:r>
    </w:p>
    <w:p w:rsidR="001E15E7" w:rsidRPr="001E15E7" w:rsidRDefault="001E15E7" w:rsidP="001E15E7">
      <w:pPr>
        <w:tabs>
          <w:tab w:val="right" w:pos="7497"/>
        </w:tabs>
        <w:bidi/>
        <w:jc w:val="both"/>
        <w:rPr>
          <w:rFonts w:cs="Guttman Drogolin"/>
          <w:rtl/>
          <w:lang w:bidi="he-IL"/>
        </w:rPr>
      </w:pPr>
      <w:r w:rsidRPr="001E15E7">
        <w:rPr>
          <w:rFonts w:cs="Guttman Drogolin" w:hint="cs"/>
          <w:rtl/>
          <w:lang w:bidi="he-IL"/>
        </w:rPr>
        <w:t>והנראה לומר בזה שיש כאן ב' ענינים. חדא המקרה שחששו עליו, ועוד הטעם שלא רצו מקרה זה. ולכן המקרה שחששו לה הוא שיתחתן יהודי עם נכרית רח"ל. אמנם עיקר הפחד בזה אינם עצם האיסורים להתחתן עם נכרית, שהוא ג"כ דבר חמור, אלא משום שזה שתתחתן עם נכרית ימשוך אותו לעבוד ע"ז. ואחרי שא' מתחתן עם אשה הרי זה קובע את הנהגת חייו וקשה להשמט ממנו. ולכן ברגע שמתחתן עם נכרית חוששים שימשך אחרי ע"ז באופן שיהי' קשה להשמט ממנו. ודוקא משום פחד זה גזרו גזירה אחר גזרה להיות בטוח שלא יתחתן עם נכרית.</w:t>
      </w:r>
    </w:p>
    <w:p w:rsidR="001E15E7" w:rsidRPr="001E15E7" w:rsidRDefault="001E15E7" w:rsidP="001E15E7">
      <w:pPr>
        <w:tabs>
          <w:tab w:val="right" w:pos="7497"/>
        </w:tabs>
        <w:bidi/>
        <w:jc w:val="both"/>
        <w:rPr>
          <w:rFonts w:cs="Guttman Drogolin"/>
          <w:rtl/>
        </w:rPr>
      </w:pPr>
      <w:r w:rsidRPr="001E15E7">
        <w:rPr>
          <w:rFonts w:cs="Guttman Drogolin" w:hint="cs"/>
          <w:rtl/>
          <w:lang w:bidi="he-IL"/>
        </w:rPr>
        <w:t>ומ"מ יש כאן מקצת הערה. שהרי בחי' הרמב"ן הביא מי שאמר שהיום אין לאסור פת עכו"ם כיון שאסור לנכרים לפי דתיהם להתחתן עם נכרית. והרמב"ן חלק ען שיטה זו, וכתב בסוף דבריו "</w:t>
      </w:r>
      <w:r w:rsidRPr="001E15E7">
        <w:rPr>
          <w:rFonts w:cs="Guttman Drogolin"/>
          <w:rtl/>
          <w:lang w:bidi="he-IL"/>
        </w:rPr>
        <w:t xml:space="preserve">וא"ת שהאשה לא תשאנו מפני שהוא אסור לה בתורתן </w:t>
      </w:r>
      <w:r w:rsidRPr="001E15E7">
        <w:rPr>
          <w:rFonts w:cs="Guttman Drogolin" w:hint="cs"/>
          <w:rtl/>
          <w:lang w:bidi="he-IL"/>
        </w:rPr>
        <w:t>וכו'</w:t>
      </w:r>
      <w:r w:rsidRPr="001E15E7">
        <w:rPr>
          <w:rFonts w:cs="Guttman Drogolin"/>
          <w:rtl/>
          <w:lang w:bidi="he-IL"/>
        </w:rPr>
        <w:t xml:space="preserve"> דכ"ש שאסור שמא ישתמד ישראל וישאנה, שכמה פעמים הוציאו בנותיהן בני ישראל מן הכלל בעונות וראיה לדבר דבר פעור</w:t>
      </w:r>
      <w:r w:rsidRPr="001E15E7">
        <w:rPr>
          <w:rFonts w:cs="Guttman Drogolin" w:hint="cs"/>
          <w:rtl/>
          <w:lang w:bidi="he-IL"/>
        </w:rPr>
        <w:t xml:space="preserve">". והנה לפי מש"נ לעיל יוצא שעיקר טעם הגזרה משום ע"ז. וא"כ מש"כ הרמב"ן "דכ"ש שאסור" היינו שבכה"ג יש חשש שישמשך אחרי ע"ז לא רק משום שהיא תדיח אותו אחרי החיתון, אלא שגם עצם תאוות החיתון יגרום לו להשתמד רח"ל. </w:t>
      </w:r>
      <w:r w:rsidRPr="001E15E7">
        <w:rPr>
          <w:rFonts w:cs="Guttman Drogolin" w:hint="cs"/>
          <w:rtl/>
          <w:lang w:bidi="he-IL"/>
        </w:rPr>
        <w:lastRenderedPageBreak/>
        <w:t>אמנם עדיין יש לומר שאין זה עיקר טעם הגזרה, שבעיקר גזרו על מה שאשתו של אדם משפיעה עליו, רק כוונת הרמב"ן לומר דכל שכן שגם בכה"ג תשפיע עליו לאחר החיתון, כיון שאינו בא לידי חיתון אלא בזה שמשתמד.</w:t>
      </w:r>
    </w:p>
    <w:p w:rsidR="001E15E7" w:rsidRPr="00723B16" w:rsidRDefault="001E15E7" w:rsidP="001E15E7">
      <w:pPr>
        <w:pStyle w:val="Heading1"/>
        <w:bidi/>
        <w:spacing w:before="0" w:line="360" w:lineRule="auto"/>
        <w:jc w:val="center"/>
        <w:rPr>
          <w:rFonts w:cs="Guttman Drogolin"/>
          <w:color w:val="auto"/>
          <w:sz w:val="20"/>
          <w:szCs w:val="20"/>
          <w:u w:val="single"/>
          <w:rtl/>
          <w:lang w:bidi="he-IL"/>
        </w:rPr>
      </w:pPr>
      <w:bookmarkStart w:id="565" w:name="_Toc496175802"/>
      <w:r w:rsidRPr="00723B16">
        <w:rPr>
          <w:rFonts w:cs="Guttman Drogolin" w:hint="cs"/>
          <w:color w:val="auto"/>
          <w:sz w:val="20"/>
          <w:szCs w:val="20"/>
          <w:u w:val="single"/>
          <w:rtl/>
          <w:lang w:bidi="he-IL"/>
        </w:rPr>
        <w:t>החילוק שבין גזירת פת עכו"ם לגזירת בישול עכו"ם</w:t>
      </w:r>
      <w:bookmarkEnd w:id="565"/>
    </w:p>
    <w:p w:rsidR="001E15E7" w:rsidRPr="001E15E7" w:rsidRDefault="001E15E7" w:rsidP="001E15E7">
      <w:pPr>
        <w:tabs>
          <w:tab w:val="right" w:pos="7497"/>
        </w:tabs>
        <w:bidi/>
        <w:jc w:val="both"/>
        <w:rPr>
          <w:rFonts w:cs="Guttman Drogolin"/>
          <w:rtl/>
          <w:lang w:bidi="he-IL"/>
        </w:rPr>
      </w:pPr>
      <w:r w:rsidRPr="001E15E7">
        <w:rPr>
          <w:rFonts w:cs="Guttman Drogolin"/>
          <w:rtl/>
          <w:lang w:bidi="he-IL"/>
        </w:rPr>
        <w:fldChar w:fldCharType="begin"/>
      </w:r>
      <w:r w:rsidRPr="001E15E7">
        <w:rPr>
          <w:rFonts w:cs="Guttman Drogolin"/>
        </w:rPr>
        <w:instrText xml:space="preserve"> XE "</w:instrText>
      </w:r>
      <w:r w:rsidRPr="001E15E7">
        <w:rPr>
          <w:rFonts w:cs="Guttman Drogolin" w:hint="cs"/>
          <w:rtl/>
          <w:lang w:bidi="he-IL"/>
        </w:rPr>
        <w:instrText>פת עכו</w:instrText>
      </w:r>
      <w:r w:rsidRPr="001E15E7">
        <w:rPr>
          <w:rFonts w:eastAsiaTheme="minorEastAsia" w:cs="Guttman Drogolin"/>
          <w:lang w:bidi="he-IL"/>
        </w:rPr>
        <w:instrText>\</w:instrText>
      </w:r>
      <w:r w:rsidRPr="001E15E7">
        <w:rPr>
          <w:rFonts w:cs="Guttman Drogolin" w:hint="cs"/>
          <w:rtl/>
          <w:lang w:bidi="he-IL"/>
        </w:rPr>
        <w:instrText>"ם</w:instrText>
      </w:r>
      <w:r w:rsidRPr="001E15E7">
        <w:rPr>
          <w:rFonts w:cs="Guttman Drogolin"/>
          <w:rtl/>
        </w:rPr>
        <w:instrText>:</w:instrText>
      </w:r>
      <w:r w:rsidRPr="001E15E7">
        <w:rPr>
          <w:rFonts w:cs="Guttman Drogolin" w:hint="cs"/>
          <w:rtl/>
          <w:lang w:bidi="he-IL"/>
        </w:rPr>
        <w:instrText>החילוק בינו לבין גזירת בישול עכו</w:instrText>
      </w:r>
      <w:r w:rsidRPr="001E15E7">
        <w:rPr>
          <w:rFonts w:eastAsiaTheme="minorEastAsia" w:cs="Guttman Drogolin"/>
          <w:lang w:bidi="he-IL"/>
        </w:rPr>
        <w:instrText>\</w:instrText>
      </w:r>
      <w:r w:rsidRPr="001E15E7">
        <w:rPr>
          <w:rFonts w:cs="Guttman Drogolin" w:hint="cs"/>
          <w:rtl/>
          <w:lang w:bidi="he-IL"/>
        </w:rPr>
        <w:instrText>"ם</w:instrText>
      </w:r>
      <w:r w:rsidRPr="001E15E7">
        <w:rPr>
          <w:rFonts w:cs="Guttman Drogolin"/>
        </w:rPr>
        <w:instrText xml:space="preserve"> </w:instrText>
      </w:r>
      <w:r w:rsidRPr="001E15E7">
        <w:rPr>
          <w:rFonts w:cs="Guttman Drogolin" w:hint="cs"/>
          <w:rtl/>
          <w:lang w:bidi="he-IL"/>
        </w:rPr>
        <w:instrText>"</w:instrText>
      </w:r>
      <w:r w:rsidRPr="001E15E7">
        <w:rPr>
          <w:rFonts w:cs="Guttman Drogolin"/>
          <w:rtl/>
          <w:lang w:bidi="he-IL"/>
        </w:rPr>
        <w:fldChar w:fldCharType="end"/>
      </w:r>
      <w:r w:rsidRPr="001E15E7">
        <w:rPr>
          <w:rFonts w:cs="Guttman Drogolin"/>
          <w:rtl/>
          <w:lang w:bidi="he-IL"/>
        </w:rPr>
        <w:fldChar w:fldCharType="begin"/>
      </w:r>
      <w:r w:rsidRPr="001E15E7">
        <w:rPr>
          <w:rFonts w:cs="Guttman Drogolin"/>
        </w:rPr>
        <w:instrText xml:space="preserve"> XE "</w:instrText>
      </w:r>
      <w:r w:rsidRPr="001E15E7">
        <w:rPr>
          <w:rFonts w:cs="Guttman Drogolin" w:hint="cs"/>
          <w:rtl/>
          <w:lang w:bidi="he-IL"/>
        </w:rPr>
        <w:instrText>בישול עכו</w:instrText>
      </w:r>
      <w:r w:rsidRPr="001E15E7">
        <w:rPr>
          <w:rFonts w:eastAsiaTheme="minorEastAsia" w:cs="Guttman Drogolin"/>
          <w:lang w:bidi="he-IL"/>
        </w:rPr>
        <w:instrText>\</w:instrText>
      </w:r>
      <w:r w:rsidRPr="001E15E7">
        <w:rPr>
          <w:rFonts w:cs="Guttman Drogolin" w:hint="cs"/>
          <w:rtl/>
          <w:lang w:bidi="he-IL"/>
        </w:rPr>
        <w:instrText>"ם</w:instrText>
      </w:r>
      <w:r w:rsidRPr="001E15E7">
        <w:rPr>
          <w:rFonts w:cs="Guttman Drogolin"/>
          <w:rtl/>
        </w:rPr>
        <w:instrText>:</w:instrText>
      </w:r>
      <w:r w:rsidRPr="001E15E7">
        <w:rPr>
          <w:rFonts w:cs="Guttman Drogolin" w:hint="cs"/>
          <w:rtl/>
          <w:lang w:bidi="he-IL"/>
        </w:rPr>
        <w:instrText>חילוק בינו לבין גזירת פת עכו</w:instrText>
      </w:r>
      <w:r w:rsidRPr="001E15E7">
        <w:rPr>
          <w:rFonts w:eastAsiaTheme="minorEastAsia" w:cs="Guttman Drogolin"/>
          <w:lang w:bidi="he-IL"/>
        </w:rPr>
        <w:instrText>\</w:instrText>
      </w:r>
      <w:r w:rsidRPr="001E15E7">
        <w:rPr>
          <w:rFonts w:cs="Guttman Drogolin" w:hint="cs"/>
          <w:rtl/>
          <w:lang w:bidi="he-IL"/>
        </w:rPr>
        <w:instrText>"ם</w:instrText>
      </w:r>
      <w:r w:rsidRPr="001E15E7">
        <w:rPr>
          <w:rFonts w:cs="Guttman Drogolin"/>
        </w:rPr>
        <w:instrText xml:space="preserve">" </w:instrText>
      </w:r>
      <w:r w:rsidRPr="001E15E7">
        <w:rPr>
          <w:rFonts w:cs="Guttman Drogolin"/>
          <w:rtl/>
          <w:lang w:bidi="he-IL"/>
        </w:rPr>
        <w:fldChar w:fldCharType="end"/>
      </w:r>
      <w:r w:rsidRPr="001E15E7">
        <w:rPr>
          <w:rFonts w:cs="Guttman Drogolin" w:hint="cs"/>
          <w:rtl/>
          <w:lang w:bidi="he-IL"/>
        </w:rPr>
        <w:t xml:space="preserve">הנה בהמשך המתני' מבואר שגזרו גם על השלקות. והוא מה שקוראים 'בישול עכו"ם' ובס"ד של הגמ' רצו לומר שהוא איסור מדאורייתא. אמנם מסקנת הגמ' שהוא מדרבנן, וקרא אסמכתא בעלמא. ומ"מ לא מבואר בהדיא בגמ' מהו טעמו של הגזרה. ויש בזה סתירה בין רש"י במתני' לרש"י בגמ' (וכמו שהעירו כבר בתוס'), דרש"י במתני' פ' שהטעם משום חתנות כמו בפת, ובגמ' פי' </w:t>
      </w:r>
      <w:r w:rsidRPr="001E15E7">
        <w:rPr>
          <w:rFonts w:cs="Guttman Drogolin"/>
          <w:rtl/>
          <w:lang w:bidi="he-IL"/>
        </w:rPr>
        <w:t>שלא יהא ישראל רגיל אצלו במאכל ובמשתה ויאכילנו דבר טמא</w:t>
      </w:r>
      <w:r w:rsidRPr="001E15E7">
        <w:rPr>
          <w:rFonts w:cs="Guttman Drogolin" w:hint="cs"/>
          <w:rtl/>
          <w:lang w:bidi="he-IL"/>
        </w:rPr>
        <w:t>. ולענין הטעם האחרון ע' בערוה"ש סי' קי"ג סע' ב' שביאר שלכו"ע לא אמרו טעם זה בפת משום ש</w:t>
      </w:r>
      <w:r w:rsidRPr="001E15E7">
        <w:rPr>
          <w:rFonts w:cs="Guttman Drogolin"/>
          <w:rtl/>
          <w:lang w:bidi="he-IL"/>
        </w:rPr>
        <w:t xml:space="preserve">בפת לא שייך החשש </w:t>
      </w:r>
      <w:r w:rsidRPr="001E15E7">
        <w:rPr>
          <w:rFonts w:cs="Guttman Drogolin" w:hint="cs"/>
          <w:rtl/>
          <w:lang w:bidi="he-IL"/>
        </w:rPr>
        <w:t>משום ש"</w:t>
      </w:r>
      <w:r w:rsidRPr="001E15E7">
        <w:rPr>
          <w:rFonts w:cs="Guttman Drogolin"/>
          <w:rtl/>
          <w:lang w:bidi="he-IL"/>
        </w:rPr>
        <w:t>בפת נראה להדיא מה שיש בו</w:t>
      </w:r>
      <w:r w:rsidRPr="001E15E7">
        <w:rPr>
          <w:rFonts w:cs="Guttman Drogolin" w:hint="cs"/>
          <w:rtl/>
          <w:lang w:bidi="he-IL"/>
        </w:rPr>
        <w:t>". ומשמע שהבין הביאור בדברי רש"י שיש חששש שיאכילנו דבר טמא בדבר שמבשל. ולכאורה לולא דבריו אין זה משמעות דברי רש"י, רק שאם יהא מותר בבישולם יהא רגיל אצלו במאכל ובמשתה, וזהו המביאו לידי אכילת דבר טמא, ולכאורה גם פת מרגילו להיות רגיל אצלו במאכל ובמשתה. וצע"ק</w:t>
      </w:r>
      <w:r w:rsidR="00BE3E0D">
        <w:rPr>
          <w:rStyle w:val="FootnoteReference"/>
          <w:rFonts w:cs="Guttman Drogolin"/>
          <w:rtl/>
          <w:lang w:bidi="he-IL"/>
        </w:rPr>
        <w:footnoteReference w:id="601"/>
      </w:r>
      <w:r w:rsidRPr="001E15E7">
        <w:rPr>
          <w:rFonts w:cs="Guttman Drogolin" w:hint="cs"/>
          <w:rtl/>
          <w:lang w:bidi="he-IL"/>
        </w:rPr>
        <w:t>.</w:t>
      </w:r>
    </w:p>
    <w:p w:rsidR="001E15E7" w:rsidRPr="001E15E7" w:rsidRDefault="001E15E7" w:rsidP="001E15E7">
      <w:pPr>
        <w:tabs>
          <w:tab w:val="right" w:pos="7497"/>
        </w:tabs>
        <w:bidi/>
        <w:jc w:val="both"/>
        <w:rPr>
          <w:rFonts w:cs="Guttman Drogolin"/>
          <w:rtl/>
          <w:lang w:bidi="he-IL"/>
        </w:rPr>
      </w:pPr>
      <w:r w:rsidRPr="001E15E7">
        <w:rPr>
          <w:rFonts w:cs="Guttman Drogolin" w:hint="cs"/>
          <w:rtl/>
          <w:lang w:bidi="he-IL"/>
        </w:rPr>
        <w:t>ומ"מ הקשו הראשונים שלפי מה שביאר רש"י ועוד כמה ראשונים שגם הטעם שהטעם בבישול עכו"ם ג"כ משום חתנות, למה מנו כל א' בפני עצמו, הא כולה חדא גזירה היא. והתוס' בדף ל"ז ע"ב כתבו בשם ר"ת שמתחילה גזרו על השלקות ולא על הפת כיון שלא שייך חתנות בפת כ"כ</w:t>
      </w:r>
      <w:r w:rsidRPr="001E15E7">
        <w:rPr>
          <w:rStyle w:val="FootnoteReference"/>
          <w:rFonts w:cs="Guttman Drogolin"/>
          <w:rtl/>
          <w:lang w:bidi="he-IL"/>
        </w:rPr>
        <w:footnoteReference w:id="602"/>
      </w:r>
      <w:r w:rsidRPr="001E15E7">
        <w:rPr>
          <w:rFonts w:cs="Guttman Drogolin" w:hint="cs"/>
          <w:rtl/>
          <w:lang w:bidi="he-IL"/>
        </w:rPr>
        <w:t xml:space="preserve">. וסברו שכן מבואר ממאי דס"ד שגזירת שלקות מדאו', דע"כ גזירה קדומה היא. ושוב החמירו וגזרו גם על הפת. ונראה לכאורה הטעם שאין חתנות בפת כ"כ כמו בתבשיל משום שאין כ"כ שמחה באכילת הפת כמו בתבשילים. אלא שעדיין </w:t>
      </w:r>
      <w:r w:rsidRPr="001E15E7">
        <w:rPr>
          <w:rFonts w:cs="Guttman Drogolin" w:hint="cs"/>
          <w:rtl/>
          <w:lang w:bidi="he-IL"/>
        </w:rPr>
        <w:lastRenderedPageBreak/>
        <w:t>קשה דאע"ג שיש טעם לגזור על תבשיל אפילו כשלא גזרו על פת, מ"מ צ"ע למה אין אפיית הפת נכלל בגזירתם של בישול עכו"ם, דהא כשגזרו על התבשיל לא חילקו בין תבשילים המרבים שמחה לתבשילים שאינם מרבים שמחה. ומבואר בתוס' שם ובראשונים בשיטת ר"ת שאין אפיי' בכלל תבשיל, ולכן אילו אסרו התבשיל לא הי' הפת נאסר, ולכן היו צריכים לגזרה נוספת של פת עכו"ם. וע"ש שמשו"ה בעינן גם דבר מאפה בעירוב תבשילים כדי להתיר את האפיי'. ויוצא לשיטתו שסדר התני' אינו לפי סדר הגזירות, דהא גזרו על השלקות קודם שגזרו על הפת.</w:t>
      </w:r>
    </w:p>
    <w:p w:rsidR="001E15E7" w:rsidRPr="001E15E7" w:rsidRDefault="001E15E7" w:rsidP="001E15E7">
      <w:pPr>
        <w:tabs>
          <w:tab w:val="right" w:pos="7497"/>
        </w:tabs>
        <w:bidi/>
        <w:jc w:val="both"/>
        <w:rPr>
          <w:rFonts w:cs="Guttman Drogolin"/>
          <w:rtl/>
          <w:lang w:bidi="he-IL"/>
        </w:rPr>
      </w:pPr>
      <w:r w:rsidRPr="001E15E7">
        <w:rPr>
          <w:rFonts w:cs="Guttman Drogolin" w:hint="cs"/>
          <w:rtl/>
          <w:lang w:bidi="he-IL"/>
        </w:rPr>
        <w:t xml:space="preserve">והרמב"ן חלק עליו, שלעולם אפיי' בכלל ביששול היא, ואלמלא גזרו קודם על הבישול הי' פת בכלל. אבל סדר הדבריים הי' להיפך, שקודם גזרו על הפת והשמן, וכסדר המשנה, ושוב גזרו על התבשיל. והטעם שגזרו קודם על הפת ביאר הרמב"ן משום שפת מידי דשכיח הוא ויין מידי דשכיח, ולכן יש לגזור הא אטו הא. ושוב גזרו גם על התבשיל, וע"ש איך שמדחה הראי' מס"ד של הגמ' דשלקות מדאורייתא. וע' גם בריטב"א שהביא מרבינו להסכים עם הרמב"ן גדר הדברים שאפיי' בכלל בישול, ומ"מ אפשר לומר שגזרו על הפת קודם ולא על התבשיל, ומשום שהוציאו פת מן הכלל כיון שהוא חיי נפשו של אדם. </w:t>
      </w:r>
    </w:p>
    <w:p w:rsidR="001E15E7" w:rsidRPr="001E15E7" w:rsidRDefault="001E15E7" w:rsidP="001E15E7">
      <w:pPr>
        <w:tabs>
          <w:tab w:val="right" w:pos="7497"/>
        </w:tabs>
        <w:bidi/>
        <w:jc w:val="both"/>
        <w:rPr>
          <w:rFonts w:cs="Guttman Drogolin"/>
          <w:rtl/>
          <w:lang w:bidi="he-IL"/>
        </w:rPr>
      </w:pPr>
      <w:r w:rsidRPr="001E15E7">
        <w:rPr>
          <w:rFonts w:cs="Guttman Drogolin" w:hint="cs"/>
          <w:rtl/>
          <w:lang w:bidi="he-IL"/>
        </w:rPr>
        <w:t>ולכאורה יוצא בין לשיטת ר"ת ובין לשיטת הרמב"ן שגדר האיסר של פת עכו"ם הוא כמו בפת עכו"ם, שכמו שאסרו מאכל שהתבשל ע"י עכו"ם, הה"נ שגזרו על עיסה שנאפה ע"י עכו"ם. אלא שראיתי נפק"מ ביניהם. שלשיטת ר"ת אם יהי' לנו דבר מאפה שאינו נחשב פת הרי היע מותרת,דהא אינו בכלל הגזרה של פת עכו"ם כיון שאינו פתף וכן אינו אסור משום איסור בישול עכו"ם כיון שאפיי' אינו בכלל בישול. משא"כ לשיטת הרמב"ן שאחרי שגזרו על הבישול גם אפיי' בכלל, ולכן אע"ג שאינו בכלל פת מ"מ הרי הוא נאסר משום בישול עכו"ם.</w:t>
      </w:r>
    </w:p>
    <w:p w:rsidR="001E15E7" w:rsidRPr="001E15E7" w:rsidRDefault="001E15E7" w:rsidP="001E15E7">
      <w:pPr>
        <w:tabs>
          <w:tab w:val="right" w:pos="7497"/>
        </w:tabs>
        <w:bidi/>
        <w:jc w:val="both"/>
        <w:rPr>
          <w:rFonts w:cs="Guttman Drogolin"/>
          <w:rtl/>
          <w:lang w:bidi="he-IL"/>
        </w:rPr>
      </w:pPr>
      <w:r w:rsidRPr="001E15E7">
        <w:rPr>
          <w:rFonts w:cs="Guttman Drogolin" w:hint="cs"/>
          <w:rtl/>
          <w:lang w:bidi="he-IL"/>
        </w:rPr>
        <w:lastRenderedPageBreak/>
        <w:t>ומ"מ לכל השטות הנ"ל יוצא שאין לאסור פת אלא מטעם א'. אמנם בר"ן מבואר (וכן משמע לכאורה בתוה"א לכאורה אלא שיעוין בב"י מש"כ לדחות) שיש כאן ב' טעמים לאסור הפת, א' משום גזירת בישול עכו"ם, ומשום שמעשה אפייתו ג"כ בכלל הגזירה דבישול עכו"ם. ועוד יש לאסור משום גזירת פת עכו"ם, שאם עכו"ם לש וערך עיסה של עצמו הרי הוא אסור אפילו אם הישאל יאפנו לאחר מכן. ונפק"מ למה שמבואר לקמן בדף ל"ח ע"ב שאם ישראל עשה א' ממעשי האפיי' הרי זה מתיר הפת, דהיינו או הצתת האש, או חילוי' או הנחת בתוך התנור (אפייתו). דלפי ר"ת והרמב"ן יוצא שאם עשה כן לעיסת עכו"ם הרי זה מתירו, ולא איכפת לן מי עשה מעשה הלישה והעריכה, אבל כתב הר"ן שלשיטתו לא מהני אף א' מהם, שאלו אינם אלא לענין הגזירה של בישול עכו"ם, אבל עדיין פת עכו"ם היא ואסורה.</w:t>
      </w:r>
    </w:p>
    <w:p w:rsidR="001E15E7" w:rsidRPr="001E15E7" w:rsidRDefault="001E15E7" w:rsidP="001E15E7">
      <w:pPr>
        <w:pStyle w:val="Heading1"/>
        <w:bidi/>
        <w:spacing w:before="0" w:line="360" w:lineRule="auto"/>
        <w:jc w:val="center"/>
        <w:rPr>
          <w:rFonts w:cs="Guttman Drogolin"/>
          <w:color w:val="auto"/>
          <w:sz w:val="24"/>
          <w:szCs w:val="24"/>
          <w:u w:val="single"/>
          <w:rtl/>
          <w:lang w:bidi="he-IL"/>
        </w:rPr>
      </w:pPr>
      <w:bookmarkStart w:id="566" w:name="_Toc496175803"/>
      <w:r w:rsidRPr="001E15E7">
        <w:rPr>
          <w:rFonts w:cs="Guttman Drogolin" w:hint="cs"/>
          <w:color w:val="auto"/>
          <w:sz w:val="24"/>
          <w:szCs w:val="24"/>
          <w:u w:val="single"/>
          <w:rtl/>
          <w:lang w:bidi="he-IL"/>
        </w:rPr>
        <w:t>האם התירו האיסור של פת עכו"ם</w:t>
      </w:r>
      <w:bookmarkEnd w:id="566"/>
    </w:p>
    <w:p w:rsidR="001E15E7" w:rsidRPr="001E15E7" w:rsidRDefault="001E15E7" w:rsidP="001E15E7">
      <w:pPr>
        <w:tabs>
          <w:tab w:val="right" w:pos="7497"/>
        </w:tabs>
        <w:bidi/>
        <w:jc w:val="both"/>
        <w:rPr>
          <w:rFonts w:cs="Guttman Drogolin"/>
          <w:rtl/>
          <w:lang w:bidi="he-IL"/>
        </w:rPr>
      </w:pPr>
      <w:r w:rsidRPr="001E15E7">
        <w:rPr>
          <w:rFonts w:cs="Guttman Drogolin"/>
          <w:rtl/>
          <w:lang w:bidi="he-IL"/>
        </w:rPr>
        <w:fldChar w:fldCharType="begin"/>
      </w:r>
      <w:r w:rsidRPr="001E15E7">
        <w:rPr>
          <w:rFonts w:cs="Guttman Drogolin"/>
        </w:rPr>
        <w:instrText xml:space="preserve"> XE "</w:instrText>
      </w:r>
      <w:r w:rsidRPr="001E15E7">
        <w:rPr>
          <w:rFonts w:cs="Guttman Drogolin" w:hint="cs"/>
          <w:rtl/>
          <w:lang w:bidi="he-IL"/>
        </w:rPr>
        <w:instrText>פת עכו</w:instrText>
      </w:r>
      <w:r w:rsidRPr="001E15E7">
        <w:rPr>
          <w:rFonts w:eastAsiaTheme="minorEastAsia" w:cs="Guttman Drogolin"/>
          <w:lang w:bidi="he-IL"/>
        </w:rPr>
        <w:instrText>\</w:instrText>
      </w:r>
      <w:r w:rsidRPr="001E15E7">
        <w:rPr>
          <w:rFonts w:cs="Guttman Drogolin" w:hint="cs"/>
          <w:rtl/>
          <w:lang w:bidi="he-IL"/>
        </w:rPr>
        <w:instrText>"ם</w:instrText>
      </w:r>
      <w:r w:rsidRPr="001E15E7">
        <w:rPr>
          <w:rFonts w:cs="Guttman Drogolin"/>
          <w:rtl/>
        </w:rPr>
        <w:instrText>:</w:instrText>
      </w:r>
      <w:r w:rsidRPr="001E15E7">
        <w:rPr>
          <w:rFonts w:cs="Guttman Drogolin" w:hint="cs"/>
          <w:rtl/>
          <w:lang w:bidi="he-IL"/>
        </w:rPr>
        <w:instrText>האם התירוה</w:instrText>
      </w:r>
      <w:r w:rsidRPr="001E15E7">
        <w:rPr>
          <w:rFonts w:cs="Guttman Drogolin"/>
        </w:rPr>
        <w:instrText xml:space="preserve"> </w:instrText>
      </w:r>
      <w:r w:rsidRPr="001E15E7">
        <w:rPr>
          <w:rFonts w:cs="Guttman Drogolin" w:hint="cs"/>
          <w:rtl/>
          <w:lang w:bidi="he-IL"/>
        </w:rPr>
        <w:instrText>"</w:instrText>
      </w:r>
      <w:r w:rsidRPr="001E15E7">
        <w:rPr>
          <w:rFonts w:cs="Guttman Drogolin"/>
          <w:rtl/>
          <w:lang w:bidi="he-IL"/>
        </w:rPr>
        <w:fldChar w:fldCharType="end"/>
      </w:r>
      <w:r w:rsidRPr="001E15E7">
        <w:rPr>
          <w:rFonts w:cs="Guttman Drogolin" w:hint="cs"/>
          <w:rtl/>
          <w:lang w:bidi="he-IL"/>
        </w:rPr>
        <w:t>כתוב בגמ' בשם ר' יוחנן שפת לא הותרה בב"ד. ומדייקת הגמ' מדבריו דע"כ איכא מאן דשרי. ואומרת הגמ' דאה"נ והכוונה לרבי. ויש ב' לשונות בזה, בראשון קאמר שאל רבי מפני אסרו הפת, וביארו שלא היתה הכוונה להתיר לגמרי רק להתירו בשדה. ועל זה אמרו בגמ' דקסבורים העם התיר רבי את הפת, ואין זה נכון שלא התיק את הפת. ובל"ב שאל רבי אם יש נחתום, וטעו העם וסברו שרצה להתיר ע"י פלטר ישראל, ודחו בגמ' שלא היתה כוונתו אלא לבקש פלטר ישראל. ושוב מביא הגמ' ר' חלבו דסבר שלמ"ד פלטר ישראל הנ"מ בדליכא פלטר ישראל, ור' יוחנן דסבר שאפילו למ"ד פלטר ישראל הנ"מ בשדה אבל לא בעיר. וע' בר"ן ועוד ראשונים אם ר' יוחנן חולק על ר' חלבו או מוסיף עליו, וכן אפילו אם נחלקו אם יש להקל כתרוייהו במידי דרבנן.</w:t>
      </w:r>
    </w:p>
    <w:p w:rsidR="001E15E7" w:rsidRPr="001E15E7" w:rsidRDefault="001E15E7" w:rsidP="001E15E7">
      <w:pPr>
        <w:tabs>
          <w:tab w:val="right" w:pos="7497"/>
        </w:tabs>
        <w:bidi/>
        <w:jc w:val="both"/>
        <w:rPr>
          <w:rFonts w:cs="Guttman Drogolin"/>
          <w:rtl/>
          <w:lang w:bidi="he-IL"/>
        </w:rPr>
      </w:pPr>
      <w:r w:rsidRPr="001E15E7">
        <w:rPr>
          <w:rFonts w:cs="Guttman Drogolin" w:hint="cs"/>
          <w:rtl/>
          <w:lang w:bidi="he-IL"/>
        </w:rPr>
        <w:t xml:space="preserve">והנה לפום ריהטא לכאורה משמע שלמסקנת הגמ' הדרנו לדברי ר' יוחנן שלמעשה לא התירו את הפת כלל, וכל השו"ת אינו אלא לפי מאי דטעו </w:t>
      </w:r>
      <w:r w:rsidRPr="001E15E7">
        <w:rPr>
          <w:rFonts w:cs="Guttman Drogolin" w:hint="cs"/>
          <w:rtl/>
          <w:lang w:bidi="he-IL"/>
        </w:rPr>
        <w:lastRenderedPageBreak/>
        <w:t xml:space="preserve">העולם בדברי רבי. אמנם בר"ן מבואר שלא מסתבר לומר שנחלקו ר' יוחנן ור' חלבו אליבא דמאי דטעו העם, ולכן י"ל דר' יוסף הוא דקאמר דטעו העם, אבל י"א שלא טעו, וכיון דשו"ת אליבי' כותייהו קיי"ל. (ונראה להוסיף עוד שלכאורה כן משמע מלשון "מ"ד" </w:t>
      </w:r>
      <w:r w:rsidRPr="001E15E7">
        <w:rPr>
          <w:rFonts w:cs="Guttman Drogolin"/>
          <w:rtl/>
          <w:lang w:bidi="he-IL"/>
        </w:rPr>
        <w:t>–</w:t>
      </w:r>
      <w:r w:rsidRPr="001E15E7">
        <w:rPr>
          <w:rFonts w:cs="Guttman Drogolin" w:hint="cs"/>
          <w:rtl/>
          <w:lang w:bidi="he-IL"/>
        </w:rPr>
        <w:t xml:space="preserve"> דמשמע שיש מ"ד כזו). ויש בדבריו לכאורה קצת דוחק, דהא ר' יוחנן איהו הוא דקאמר בהדיא שלא התירו את הפת, ולכן למה מסתבר לומר דכיון שבא לפרש אידך מ"ד קיי"ל דלא כמו כשכתב ר' יוחנן מקודם. ואולי י"ל דאה"נ ור' יוחנן עצמו לא סבר הכי, אבל כיון שהגמ' הביא דעתו בפי' המ"ד שהתיר ע"י פלטר נכרי, קיי"ל כוותי'.</w:t>
      </w:r>
    </w:p>
    <w:p w:rsidR="00666DDE" w:rsidRDefault="001E15E7" w:rsidP="001E15E7">
      <w:pPr>
        <w:tabs>
          <w:tab w:val="right" w:pos="7497"/>
        </w:tabs>
        <w:bidi/>
        <w:jc w:val="both"/>
        <w:rPr>
          <w:rFonts w:cs="Guttman Drogolin"/>
          <w:rtl/>
          <w:lang w:bidi="he-IL"/>
        </w:rPr>
      </w:pPr>
      <w:r w:rsidRPr="001E15E7">
        <w:rPr>
          <w:rFonts w:cs="Guttman Drogolin"/>
          <w:rtl/>
          <w:lang w:bidi="he-IL"/>
        </w:rPr>
        <w:fldChar w:fldCharType="begin"/>
      </w:r>
      <w:r w:rsidRPr="001E15E7">
        <w:rPr>
          <w:rFonts w:cs="Guttman Drogolin"/>
        </w:rPr>
        <w:instrText xml:space="preserve"> XE "</w:instrText>
      </w:r>
      <w:r w:rsidRPr="001E15E7">
        <w:rPr>
          <w:rFonts w:cs="Guttman Drogolin" w:hint="cs"/>
          <w:rtl/>
          <w:lang w:bidi="he-IL"/>
        </w:rPr>
        <w:instrText>פת עכו</w:instrText>
      </w:r>
      <w:r w:rsidRPr="001E15E7">
        <w:rPr>
          <w:rFonts w:eastAsiaTheme="minorEastAsia" w:cs="Guttman Drogolin"/>
          <w:lang w:bidi="he-IL"/>
        </w:rPr>
        <w:instrText>\</w:instrText>
      </w:r>
      <w:r w:rsidRPr="001E15E7">
        <w:rPr>
          <w:rFonts w:cs="Guttman Drogolin" w:hint="cs"/>
          <w:rtl/>
          <w:lang w:bidi="he-IL"/>
        </w:rPr>
        <w:instrText>"ם</w:instrText>
      </w:r>
      <w:r w:rsidRPr="001E15E7">
        <w:rPr>
          <w:rFonts w:cs="Guttman Drogolin"/>
          <w:rtl/>
        </w:rPr>
        <w:instrText>:</w:instrText>
      </w:r>
      <w:r w:rsidRPr="001E15E7">
        <w:rPr>
          <w:rFonts w:cs="Guttman Drogolin" w:hint="cs"/>
          <w:rtl/>
          <w:lang w:bidi="he-IL"/>
        </w:rPr>
        <w:instrText>ההיתר של פת פלטר</w:instrText>
      </w:r>
      <w:r w:rsidRPr="001E15E7">
        <w:rPr>
          <w:rFonts w:cs="Guttman Drogolin"/>
        </w:rPr>
        <w:instrText xml:space="preserve">" </w:instrText>
      </w:r>
      <w:r w:rsidRPr="001E15E7">
        <w:rPr>
          <w:rFonts w:cs="Guttman Drogolin"/>
          <w:rtl/>
          <w:lang w:bidi="he-IL"/>
        </w:rPr>
        <w:fldChar w:fldCharType="end"/>
      </w:r>
      <w:r w:rsidRPr="001E15E7">
        <w:rPr>
          <w:rFonts w:cs="Guttman Drogolin"/>
          <w:rtl/>
          <w:lang w:bidi="he-IL"/>
        </w:rPr>
        <w:fldChar w:fldCharType="begin"/>
      </w:r>
      <w:r w:rsidRPr="001E15E7">
        <w:rPr>
          <w:rFonts w:cs="Guttman Drogolin"/>
        </w:rPr>
        <w:instrText xml:space="preserve"> XE "</w:instrText>
      </w:r>
      <w:r w:rsidRPr="001E15E7">
        <w:rPr>
          <w:rFonts w:cs="Guttman Drogolin" w:hint="cs"/>
          <w:rtl/>
          <w:lang w:bidi="he-IL"/>
        </w:rPr>
        <w:instrText>פת עכו</w:instrText>
      </w:r>
      <w:r w:rsidRPr="001E15E7">
        <w:rPr>
          <w:rFonts w:eastAsiaTheme="minorEastAsia" w:cs="Guttman Drogolin"/>
          <w:lang w:bidi="he-IL"/>
        </w:rPr>
        <w:instrText>\</w:instrText>
      </w:r>
      <w:r w:rsidRPr="001E15E7">
        <w:rPr>
          <w:rFonts w:cs="Guttman Drogolin" w:hint="cs"/>
          <w:rtl/>
          <w:lang w:bidi="he-IL"/>
        </w:rPr>
        <w:instrText>"ם</w:instrText>
      </w:r>
      <w:r w:rsidRPr="001E15E7">
        <w:rPr>
          <w:rFonts w:cs="Guttman Drogolin"/>
          <w:rtl/>
        </w:rPr>
        <w:instrText>:</w:instrText>
      </w:r>
      <w:r w:rsidRPr="001E15E7">
        <w:rPr>
          <w:rFonts w:cs="Guttman Drogolin" w:hint="cs"/>
          <w:rtl/>
          <w:lang w:bidi="he-IL"/>
        </w:rPr>
        <w:instrText>ההיתר של פת פלטר - אי אזלינן בתר שעת אפי' או שעת מכירה</w:instrText>
      </w:r>
      <w:r w:rsidRPr="001E15E7">
        <w:rPr>
          <w:rFonts w:cs="Guttman Drogolin"/>
        </w:rPr>
        <w:instrText xml:space="preserve">" </w:instrText>
      </w:r>
      <w:r w:rsidRPr="001E15E7">
        <w:rPr>
          <w:rFonts w:cs="Guttman Drogolin"/>
          <w:rtl/>
          <w:lang w:bidi="he-IL"/>
        </w:rPr>
        <w:fldChar w:fldCharType="end"/>
      </w:r>
      <w:r w:rsidRPr="001E15E7">
        <w:rPr>
          <w:rFonts w:cs="Guttman Drogolin" w:hint="cs"/>
          <w:rtl/>
          <w:lang w:bidi="he-IL"/>
        </w:rPr>
        <w:t>והרשב"א הדגיש שלא התירו אלא ע"י פלטר. וכן משמע בירו'. ובטעם הדבר מבואר בבד"ה שם שאין כ"כ קירוב עם הפלטר</w:t>
      </w:r>
      <w:r w:rsidRPr="001E15E7">
        <w:rPr>
          <w:rStyle w:val="FootnoteReference"/>
          <w:rFonts w:cs="Guttman Drogolin"/>
          <w:rtl/>
          <w:lang w:bidi="he-IL"/>
        </w:rPr>
        <w:footnoteReference w:id="603"/>
      </w:r>
      <w:r w:rsidRPr="001E15E7">
        <w:rPr>
          <w:rFonts w:cs="Guttman Drogolin" w:hint="cs"/>
          <w:rtl/>
          <w:lang w:bidi="he-IL"/>
        </w:rPr>
        <w:t xml:space="preserve">. ודנו הראשונים מה יהא הדין בפלטר המוכר לחמו של בעת הבית, וכן בעל הבית שמוכר לחמו של פלטר. ודעת הרשב"א ועוד כמה ראשונים להקל דאזלינן בתר שעת האפיי'. ולכאורה כן מסתבר לפי כל השיטות הנ"ל, שלרמב"ן ור"ת הרי נאסר האפיי'' ע"י עכו"ם, וכאן הרי אפאו הפלטר והתירו פת פלתר. וכן אליבא דר"ל עד כמה שהלישה ועריכה היתה ע"י הפלטר. אמנם ברא"ה מבבואר דאזינן בתר שעת המכירה, ולכן פת בעה"ב ביד פלטר מותר, וכן פת פלתר ביד בעה"ב אסור. ומבואר הטעם בדבריו, שלעולם אילו היתה פת ישראל ביד עכו"ם בעה"ב ודאי מותר לקנותו, דהא פת ישראל היא ולא אסרו לקנותו. אבל גם פת פלטר הוי בכלל פת עכו"ם, וההיתר של פלטר אינו משום שאפייתו הוא כאפיית ישראל, רק שהקילו לקנות אפילו פת עכו"ם מן הפלטר כיון שאין כ"כ קירוב הדעת. וגדר היתר זה היתה בקניי'. ולכן הכל תלוי בקנייתו, ובין קונה פת שאפאו פלטר עצמו, ובין שקנאו מעכו"ם בעה"ב הכל מותר. והראשונים האחרים ע"כ חולקים על זה וסוברים שפת פלטר כפתישראל הוא, ולכן כמו שאין איסור בפת ישראל אפילו כשקנאו מן הפלטר, הה"נ בפת </w:t>
      </w:r>
      <w:r w:rsidRPr="001E15E7">
        <w:rPr>
          <w:rFonts w:cs="Guttman Drogolin" w:hint="cs"/>
          <w:rtl/>
          <w:lang w:bidi="he-IL"/>
        </w:rPr>
        <w:lastRenderedPageBreak/>
        <w:t>פלטר. וע"ש במשמרת הבית מש"כ להקשות על הרא"ה, ומה שכ' בחי' הריטב"א בזה.</w:t>
      </w:r>
      <w:r>
        <w:rPr>
          <w:rFonts w:cs="Guttman Drogolin" w:hint="cs"/>
          <w:rtl/>
          <w:lang w:bidi="he-IL"/>
        </w:rPr>
        <w:t xml:space="preserve"> </w:t>
      </w:r>
    </w:p>
    <w:p w:rsidR="00666DDE" w:rsidRDefault="00666DDE" w:rsidP="00666DDE">
      <w:pPr>
        <w:tabs>
          <w:tab w:val="right" w:pos="7497"/>
        </w:tabs>
        <w:bidi/>
        <w:jc w:val="both"/>
        <w:rPr>
          <w:rFonts w:cs="Guttman Drogolin"/>
          <w:rtl/>
          <w:lang w:bidi="he-IL"/>
        </w:rPr>
        <w:sectPr w:rsidR="00666DDE" w:rsidSect="001E15E7">
          <w:type w:val="continuous"/>
          <w:pgSz w:w="11907" w:h="16839" w:code="9"/>
          <w:pgMar w:top="1440" w:right="1440" w:bottom="1440" w:left="1440" w:header="720" w:footer="720" w:gutter="0"/>
          <w:cols w:num="2" w:space="720"/>
          <w:bidi/>
          <w:docGrid w:linePitch="360"/>
        </w:sectPr>
      </w:pPr>
    </w:p>
    <w:p w:rsidR="00666DDE" w:rsidRPr="00666DDE" w:rsidRDefault="001E15E7" w:rsidP="00666DDE">
      <w:pPr>
        <w:keepNext/>
        <w:tabs>
          <w:tab w:val="left" w:pos="3818"/>
          <w:tab w:val="center" w:pos="4680"/>
        </w:tabs>
        <w:bidi/>
        <w:jc w:val="center"/>
        <w:rPr>
          <w:rFonts w:cs="Guttman Drogolin"/>
          <w:b/>
          <w:bCs/>
          <w:sz w:val="24"/>
          <w:szCs w:val="24"/>
          <w:rtl/>
          <w:lang w:bidi="he-IL"/>
        </w:rPr>
      </w:pPr>
      <w:r w:rsidRPr="00666DDE">
        <w:rPr>
          <w:rFonts w:cs="Guttman Drogolin" w:hint="cs"/>
          <w:b/>
          <w:bCs/>
          <w:rtl/>
          <w:lang w:bidi="he-IL"/>
        </w:rPr>
        <w:lastRenderedPageBreak/>
        <w:t xml:space="preserve"> </w:t>
      </w:r>
      <w:r w:rsidR="00666DDE" w:rsidRPr="00666DDE">
        <w:rPr>
          <w:rFonts w:cs="Guttman Drogolin" w:hint="cs"/>
          <w:b/>
          <w:bCs/>
          <w:sz w:val="48"/>
          <w:szCs w:val="48"/>
          <w:rtl/>
          <w:lang w:bidi="he-IL"/>
        </w:rPr>
        <w:t>שיעור קמ"ט</w:t>
      </w:r>
    </w:p>
    <w:p w:rsidR="00666DDE" w:rsidRDefault="00666DDE" w:rsidP="00666DDE">
      <w:pPr>
        <w:pStyle w:val="Heading1"/>
        <w:bidi/>
        <w:spacing w:before="0" w:line="360" w:lineRule="auto"/>
        <w:jc w:val="center"/>
        <w:rPr>
          <w:rFonts w:cs="Guttman Drogolin"/>
          <w:color w:val="auto"/>
          <w:sz w:val="24"/>
          <w:szCs w:val="24"/>
          <w:u w:val="single"/>
          <w:rtl/>
          <w:lang w:bidi="he-IL"/>
        </w:rPr>
        <w:sectPr w:rsidR="00666DDE" w:rsidSect="00666DDE">
          <w:headerReference w:type="default" r:id="rId102"/>
          <w:pgSz w:w="11907" w:h="16839" w:code="9"/>
          <w:pgMar w:top="1440" w:right="1440" w:bottom="1440" w:left="1440" w:header="720" w:footer="720" w:gutter="0"/>
          <w:cols w:space="720"/>
          <w:bidi/>
          <w:docGrid w:linePitch="360"/>
        </w:sectPr>
      </w:pPr>
    </w:p>
    <w:p w:rsidR="00666DDE" w:rsidRPr="00666DDE" w:rsidRDefault="00666DDE" w:rsidP="00666DDE">
      <w:pPr>
        <w:pStyle w:val="Heading1"/>
        <w:bidi/>
        <w:spacing w:before="0" w:line="360" w:lineRule="auto"/>
        <w:jc w:val="center"/>
        <w:rPr>
          <w:rFonts w:cs="Guttman Drogolin"/>
          <w:color w:val="auto"/>
          <w:sz w:val="24"/>
          <w:szCs w:val="24"/>
          <w:u w:val="single"/>
          <w:rtl/>
          <w:lang w:bidi="he-IL"/>
        </w:rPr>
      </w:pPr>
      <w:bookmarkStart w:id="567" w:name="_Toc496175804"/>
      <w:r w:rsidRPr="00666DDE">
        <w:rPr>
          <w:rFonts w:cs="Guttman Drogolin" w:hint="cs"/>
          <w:color w:val="auto"/>
          <w:sz w:val="24"/>
          <w:szCs w:val="24"/>
          <w:u w:val="single"/>
          <w:rtl/>
          <w:lang w:bidi="he-IL"/>
        </w:rPr>
        <w:lastRenderedPageBreak/>
        <w:t>אי בעינן נשתנה מברייתו ע"י האור</w:t>
      </w:r>
      <w:bookmarkEnd w:id="567"/>
    </w:p>
    <w:p w:rsidR="00666DDE" w:rsidRPr="00666DDE" w:rsidRDefault="00666DDE" w:rsidP="00666DDE">
      <w:pPr>
        <w:tabs>
          <w:tab w:val="right" w:pos="7497"/>
        </w:tabs>
        <w:bidi/>
        <w:jc w:val="both"/>
        <w:rPr>
          <w:rFonts w:cs="Guttman Drogolin"/>
          <w:rtl/>
          <w:lang w:bidi="he-IL"/>
        </w:rPr>
      </w:pPr>
      <w:r w:rsidRPr="00666DDE">
        <w:rPr>
          <w:rFonts w:cs="Guttman Drogolin"/>
          <w:rtl/>
          <w:lang w:bidi="he-IL"/>
        </w:rPr>
        <w:fldChar w:fldCharType="begin"/>
      </w:r>
      <w:r w:rsidRPr="00666DDE">
        <w:rPr>
          <w:rFonts w:cs="Guttman Drogolin"/>
        </w:rPr>
        <w:instrText xml:space="preserve"> XE "</w:instrText>
      </w:r>
      <w:r w:rsidRPr="00666DDE">
        <w:rPr>
          <w:rFonts w:cs="Guttman Drogolin" w:hint="cs"/>
          <w:rtl/>
          <w:lang w:bidi="he-IL"/>
        </w:rPr>
        <w:instrText>בישול עכו</w:instrText>
      </w:r>
      <w:r w:rsidRPr="00666DDE">
        <w:rPr>
          <w:rFonts w:eastAsiaTheme="minorEastAsia" w:cs="Guttman Drogolin"/>
          <w:lang w:bidi="he-IL"/>
        </w:rPr>
        <w:instrText>\</w:instrText>
      </w:r>
      <w:r w:rsidRPr="00666DDE">
        <w:rPr>
          <w:rFonts w:cs="Guttman Drogolin" w:hint="cs"/>
          <w:rtl/>
          <w:lang w:bidi="he-IL"/>
        </w:rPr>
        <w:instrText>"ם</w:instrText>
      </w:r>
      <w:r w:rsidRPr="00666DDE">
        <w:rPr>
          <w:rFonts w:cs="Guttman Drogolin"/>
          <w:rtl/>
        </w:rPr>
        <w:instrText>:</w:instrText>
      </w:r>
      <w:r w:rsidRPr="00666DDE">
        <w:rPr>
          <w:rFonts w:cs="Guttman Drogolin" w:hint="cs"/>
          <w:rtl/>
          <w:lang w:bidi="he-IL"/>
        </w:rPr>
        <w:instrText>בלא נשתנה מברייתו ע</w:instrText>
      </w:r>
      <w:r w:rsidRPr="00666DDE">
        <w:rPr>
          <w:rFonts w:eastAsiaTheme="minorEastAsia" w:cs="Guttman Drogolin"/>
          <w:lang w:bidi="he-IL"/>
        </w:rPr>
        <w:instrText>\</w:instrText>
      </w:r>
      <w:r w:rsidRPr="00666DDE">
        <w:rPr>
          <w:rFonts w:cs="Guttman Drogolin" w:hint="cs"/>
          <w:rtl/>
          <w:lang w:bidi="he-IL"/>
        </w:rPr>
        <w:instrText>"י האור</w:instrText>
      </w:r>
      <w:r w:rsidRPr="00666DDE">
        <w:rPr>
          <w:rFonts w:cs="Guttman Drogolin"/>
        </w:rPr>
        <w:instrText xml:space="preserve">" </w:instrText>
      </w:r>
      <w:r w:rsidRPr="00666DDE">
        <w:rPr>
          <w:rFonts w:cs="Guttman Drogolin"/>
          <w:rtl/>
          <w:lang w:bidi="he-IL"/>
        </w:rPr>
        <w:fldChar w:fldCharType="end"/>
      </w:r>
      <w:r w:rsidRPr="00666DDE">
        <w:rPr>
          <w:rFonts w:cs="Guttman Drogolin"/>
          <w:rtl/>
          <w:lang w:bidi="he-IL"/>
        </w:rPr>
        <w:fldChar w:fldCharType="begin"/>
      </w:r>
      <w:r w:rsidRPr="00666DDE">
        <w:rPr>
          <w:rFonts w:cs="Guttman Drogolin"/>
        </w:rPr>
        <w:instrText xml:space="preserve"> XE "</w:instrText>
      </w:r>
      <w:r w:rsidRPr="00666DDE">
        <w:rPr>
          <w:rFonts w:cs="Guttman Drogolin" w:hint="cs"/>
          <w:rtl/>
          <w:lang w:bidi="he-IL"/>
        </w:rPr>
        <w:instrText>בישול עכו</w:instrText>
      </w:r>
      <w:r w:rsidRPr="00666DDE">
        <w:rPr>
          <w:rFonts w:eastAsiaTheme="minorEastAsia" w:cs="Guttman Drogolin"/>
          <w:lang w:bidi="he-IL"/>
        </w:rPr>
        <w:instrText>\</w:instrText>
      </w:r>
      <w:r w:rsidRPr="00666DDE">
        <w:rPr>
          <w:rFonts w:cs="Guttman Drogolin" w:hint="cs"/>
          <w:rtl/>
          <w:lang w:bidi="he-IL"/>
        </w:rPr>
        <w:instrText>"ם</w:instrText>
      </w:r>
      <w:r w:rsidRPr="00666DDE">
        <w:rPr>
          <w:rFonts w:cs="Guttman Drogolin"/>
          <w:rtl/>
        </w:rPr>
        <w:instrText>:</w:instrText>
      </w:r>
      <w:r w:rsidRPr="00666DDE">
        <w:rPr>
          <w:rFonts w:cs="Guttman Drogolin" w:hint="cs"/>
          <w:rtl/>
          <w:lang w:bidi="he-IL"/>
        </w:rPr>
        <w:instrText>חיטין ועשאן קליות</w:instrText>
      </w:r>
      <w:r w:rsidRPr="00666DDE">
        <w:rPr>
          <w:rFonts w:cs="Guttman Drogolin"/>
        </w:rPr>
        <w:instrText xml:space="preserve">" </w:instrText>
      </w:r>
      <w:r w:rsidRPr="00666DDE">
        <w:rPr>
          <w:rFonts w:cs="Guttman Drogolin"/>
          <w:rtl/>
          <w:lang w:bidi="he-IL"/>
        </w:rPr>
        <w:fldChar w:fldCharType="end"/>
      </w:r>
      <w:r w:rsidRPr="00666DDE">
        <w:rPr>
          <w:rFonts w:cs="Guttman Drogolin" w:hint="cs"/>
          <w:rtl/>
          <w:lang w:bidi="he-IL"/>
        </w:rPr>
        <w:t>מעיקרא ס"ד לגמ' שבישול עכו"ם אסור מדאורייתא, ולמדו את זה מן הפסוק "</w:t>
      </w:r>
      <w:r w:rsidRPr="00666DDE">
        <w:rPr>
          <w:rFonts w:cs="Guttman Drogolin"/>
          <w:rtl/>
          <w:lang w:bidi="he-IL"/>
        </w:rPr>
        <w:t>אוכל בכסף תשבירני ואכלתי ומים בכסף תתן לי ושתיתי</w:t>
      </w:r>
      <w:r w:rsidRPr="00666DDE">
        <w:rPr>
          <w:rFonts w:cs="Guttman Drogolin" w:hint="cs"/>
          <w:rtl/>
          <w:lang w:bidi="he-IL"/>
        </w:rPr>
        <w:t>", ובסוף מבואר דס"ד ללמוד '</w:t>
      </w:r>
      <w:r w:rsidRPr="00666DDE">
        <w:rPr>
          <w:rFonts w:cs="Guttman Drogolin"/>
          <w:rtl/>
          <w:lang w:bidi="he-IL"/>
        </w:rPr>
        <w:t>כמים - מה מים שלא נשתנו מברייתן ע"י האור, אף אוכל שלא נשתנה מברייתו ע"י האור</w:t>
      </w:r>
      <w:r w:rsidRPr="00666DDE">
        <w:rPr>
          <w:rFonts w:cs="Guttman Drogolin" w:hint="cs"/>
          <w:rtl/>
          <w:lang w:bidi="he-IL"/>
        </w:rPr>
        <w:t>'</w:t>
      </w:r>
      <w:r w:rsidRPr="00666DDE">
        <w:rPr>
          <w:rFonts w:cs="Guttman Drogolin"/>
          <w:rtl/>
          <w:lang w:bidi="he-IL"/>
        </w:rPr>
        <w:t>.</w:t>
      </w:r>
      <w:r w:rsidRPr="00666DDE">
        <w:rPr>
          <w:rFonts w:cs="Guttman Drogolin" w:hint="cs"/>
          <w:rtl/>
          <w:lang w:bidi="he-IL"/>
        </w:rPr>
        <w:t xml:space="preserve"> אמנם הגמ' שואלת על זה ד'</w:t>
      </w:r>
      <w:r w:rsidRPr="00666DDE">
        <w:rPr>
          <w:rFonts w:cs="Guttman Drogolin"/>
          <w:rtl/>
          <w:lang w:bidi="he-IL"/>
        </w:rPr>
        <w:t>מידי אור כתיב</w:t>
      </w:r>
      <w:r w:rsidRPr="00666DDE">
        <w:rPr>
          <w:rFonts w:cs="Guttman Drogolin" w:hint="cs"/>
          <w:rtl/>
          <w:lang w:bidi="he-IL"/>
        </w:rPr>
        <w:t xml:space="preserve">', ומכח קושיא זו חוזרת הגמ' ואומרת שאינו אלא מדרבנן וקרא אסמכתא בעלמא. ויל"ע אם גדר זה של בישול עכו"ם נשאר גם למסקנא או לא, ור"ל האם הגדר של בישול עכו"ם בזה שמשנה דבר מתחילת ברייתו ע"י האור, או שיש לזה גדר אחר. ויעוין בר"ן שכתב דכיון דאסמכוהו אקרא לכאורה גדר האיסור הוא כאסמכתא דידי', והיינו דבר שנשתנה מברייתו ע"י האור (וכנראה כוונתו דאע"ג שאין רמז בפסוק שהוא שינוי ע"י האור, אין זה אלא טעם לומר שאין זה לימוד גמור, אבל אסמכתא הוי). והוסיף שלמד כן מדברי רש"י בדף ל"ח ע"ב, ששם ביאר רש"י הטעם שאין בחמין ולא בקליות משום בישול לעכו"ם כיון שלא נשתנה מברייתו ע"י האור. </w:t>
      </w:r>
    </w:p>
    <w:p w:rsidR="00666DDE" w:rsidRPr="00666DDE" w:rsidRDefault="00666DDE" w:rsidP="00666DDE">
      <w:pPr>
        <w:tabs>
          <w:tab w:val="right" w:pos="7497"/>
        </w:tabs>
        <w:bidi/>
        <w:jc w:val="both"/>
        <w:rPr>
          <w:rFonts w:cs="Guttman Drogolin"/>
          <w:rtl/>
          <w:lang w:bidi="he-IL"/>
        </w:rPr>
      </w:pPr>
      <w:r w:rsidRPr="00666DDE">
        <w:rPr>
          <w:rFonts w:cs="Guttman Drogolin" w:hint="cs"/>
          <w:rtl/>
          <w:lang w:bidi="he-IL"/>
        </w:rPr>
        <w:t>ובהגהות אשר"י (פ"ב סי' כ"ח) ג"כ כתב שכן הדין, אבל מטעם אחר. שהביא שם דברי רש"י בגמ' שהטעם לאסור בישול עכו"ם כדי שלא יהא רגיל אצלו כמאכל ובמשתה, וכן הביא כה"ג גם מרשב"ם. וכתב "</w:t>
      </w:r>
      <w:r w:rsidRPr="00666DDE">
        <w:rPr>
          <w:rFonts w:cs="Guttman Drogolin"/>
          <w:rtl/>
          <w:lang w:bidi="he-IL"/>
        </w:rPr>
        <w:t xml:space="preserve">הילכך דבר המשתנה מברייתו ע"י האור בין מבושלין במים בין צלויין באור אסורין משום בישולי עובד כוכבים אבל במידי </w:t>
      </w:r>
      <w:r w:rsidRPr="00666DDE">
        <w:rPr>
          <w:rFonts w:cs="Guttman Drogolin" w:hint="cs"/>
          <w:rtl/>
          <w:lang w:bidi="he-IL"/>
        </w:rPr>
        <w:t>(</w:t>
      </w:r>
      <w:r w:rsidRPr="00666DDE">
        <w:rPr>
          <w:rFonts w:cs="Guttman Drogolin"/>
          <w:rtl/>
          <w:lang w:bidi="he-IL"/>
        </w:rPr>
        <w:t>דלא בשיל שלא</w:t>
      </w:r>
      <w:r w:rsidRPr="00666DDE">
        <w:rPr>
          <w:rFonts w:cs="Guttman Drogolin" w:hint="cs"/>
          <w:rtl/>
          <w:lang w:bidi="he-IL"/>
        </w:rPr>
        <w:t>) [דלא בשיל ולא]</w:t>
      </w:r>
      <w:r w:rsidRPr="00666DDE">
        <w:rPr>
          <w:rFonts w:cs="Guttman Drogolin"/>
          <w:rtl/>
          <w:lang w:bidi="he-IL"/>
        </w:rPr>
        <w:t xml:space="preserve"> נשתנה מברייתו אין לחוש לדבר טמא שהיתה ניכר</w:t>
      </w:r>
      <w:r w:rsidRPr="00666DDE">
        <w:rPr>
          <w:rFonts w:cs="Guttman Drogolin" w:hint="cs"/>
          <w:rtl/>
          <w:lang w:bidi="he-IL"/>
        </w:rPr>
        <w:t xml:space="preserve">". וכוונתו דהא דבעינן נשתנה מברייתו היינו משום שרק בזה אפשר לנכרי להטעות את הישראל לאכול דבר טמא, אבל דברים שלא נשתנו יהא ניכר אם הוא דבר המותר באכילה או לא. והנה בשיעור הקודם ביארנו שאין שיטת רש"י שטעם האיסור משום שיטעה את השיראל לאכילנו הדבר טמא בתוך הדבר המבושל, רק שהוא מניעה מהיות רגיל אצלו במאכל ובמשתה. וא"כ לכאורה </w:t>
      </w:r>
      <w:r w:rsidRPr="00666DDE">
        <w:rPr>
          <w:rFonts w:cs="Guttman Drogolin" w:hint="cs"/>
          <w:rtl/>
          <w:lang w:bidi="he-IL"/>
        </w:rPr>
        <w:lastRenderedPageBreak/>
        <w:t>אין מקום לדברי ההגהות אשר"י, דהא עדיין יהא רגיל אצלו. אמנם י"ל דתרתי בעינן, חדא שיהא רגיל אצלו, ועוד אפילו יהא רגיל אצלו איך יאכינו דבר טמא מבלי להגיד לו, וע"כ בזה שלא יהא ניכר. ועוד י"ל שדברי ההגהות אשר"י מוסבים על דברי הרשב"ם, שלפמש"כ ההגהות אשר"י בשם הרשב"ם לא מוזכר שלא יהא רגיל אצלו, וכן ההגהות אשר"י לא כתב 'וכן כתב הרשב"ם', ויתכן שהוא משום דפליגי, וטעמו של הרשב"ם משום שיאכילנו דרך הדבר המבושל ולא משום שלא יהא רגיל אצלו. ועכ"פ חזינן לדעתי' דהגהות אשר"י שגדר הדין של נשתנה ע"י האור היינו שאינו נראה כמות שהי', ולכן איכא למיחש שאין הישראל מכיר במאכל הטמא, אבל נראה שכמות שהי' אע"ג שנצלה ונעשה ראוי לאכילה, מ"מ אינו בכלל גזירת בישול עכו"ם. ויל"ע אם זהו הגדר גם לשיטת הר"ן הנ"ל.</w:t>
      </w:r>
    </w:p>
    <w:p w:rsidR="00666DDE" w:rsidRPr="00666DDE" w:rsidRDefault="00666DDE" w:rsidP="00666DDE">
      <w:pPr>
        <w:tabs>
          <w:tab w:val="right" w:pos="7497"/>
        </w:tabs>
        <w:bidi/>
        <w:jc w:val="both"/>
        <w:rPr>
          <w:rFonts w:cs="Guttman Drogolin"/>
          <w:rtl/>
          <w:lang w:bidi="he-IL"/>
        </w:rPr>
      </w:pPr>
      <w:r w:rsidRPr="00666DDE">
        <w:rPr>
          <w:rFonts w:cs="Guttman Drogolin" w:hint="cs"/>
          <w:rtl/>
          <w:lang w:bidi="he-IL"/>
        </w:rPr>
        <w:t xml:space="preserve">ולפי דבריהם יוצא לכאורה שלמים יש ב' טעמים להקל, חדא משום שלא נשתנה מברייתו ע"י האור, ועוד דנאכל כמו שהוא חי. וע' באגלי טל (מלאכת אופה ס"ק י"ט או"ק י"א) דלא ניחא לי' בזה, ולכן כתב שבמים לא מהני הסברא דנאכל כמות שהוא חי, דסברא זו לא מהני אא"כ התורת בישול שבו משום שהקשה גוף רך או הרפה גוף קשה ע"י האור, אבל מים חייבים עליו בשבת משום בישול משום חימומו ולא משום שינוי שבו, דהיינו התורת בישול שלו. וא"כ אי משום שנאכל כמות שהוא חי, הי' מים עדיין נאסר משום בישולי עכו"ם. ולכן כתב הגמ' שעיקר גזירת בישול עכו"ם לא היתה על בישול ד'חימום' רק בבישול שנשתנה מתחילת ברייתו ע"י האור, ומים הרי לא נשתנה. </w:t>
      </w:r>
    </w:p>
    <w:p w:rsidR="00666DDE" w:rsidRPr="00666DDE" w:rsidRDefault="00666DDE" w:rsidP="00666DDE">
      <w:pPr>
        <w:tabs>
          <w:tab w:val="right" w:pos="7497"/>
        </w:tabs>
        <w:bidi/>
        <w:jc w:val="both"/>
        <w:rPr>
          <w:rFonts w:cs="Guttman Drogolin"/>
          <w:rtl/>
          <w:lang w:bidi="he-IL"/>
        </w:rPr>
      </w:pPr>
      <w:r w:rsidRPr="00666DDE">
        <w:rPr>
          <w:rFonts w:cs="Guttman Drogolin" w:hint="cs"/>
          <w:rtl/>
          <w:lang w:bidi="he-IL"/>
        </w:rPr>
        <w:t>וכל זה הוא לשיטת רש"י והר"ן, אבל הרשב"א בתוה"א נראה שלמד האי דינא דנשתנה מברייתו ע"י האור באופן אחר. דז"ל בב"ג ש"ז "</w:t>
      </w:r>
      <w:r w:rsidRPr="00666DDE">
        <w:rPr>
          <w:rFonts w:cs="Guttman Drogolin"/>
          <w:rtl/>
          <w:lang w:bidi="he-IL"/>
        </w:rPr>
        <w:t>כלומר לא אסרו אלא מה שנשתנה על ידי האור מהכשר אכילתו כדבר שלא היה ראוי מעיקרא לאכילה והוכשר לאכילה על ידי האור</w:t>
      </w:r>
      <w:r w:rsidRPr="00666DDE">
        <w:rPr>
          <w:rFonts w:cs="Guttman Drogolin" w:hint="cs"/>
          <w:rtl/>
          <w:lang w:bidi="he-IL"/>
        </w:rPr>
        <w:t xml:space="preserve">". הרי שהבין שנשתנה מברייתו היינו שהוכשר לאכילה, והיא </w:t>
      </w:r>
      <w:r w:rsidRPr="00666DDE">
        <w:rPr>
          <w:rFonts w:cs="Guttman Drogolin" w:hint="cs"/>
          <w:rtl/>
          <w:lang w:bidi="he-IL"/>
        </w:rPr>
        <w:lastRenderedPageBreak/>
        <w:t>היא דינא דנאכל כמות שהוא חי. ויוצא א"כ דחיטי חשיבי נאכל כמות שהוא חי. ולשיטת הר"ן חזינן שאינו כן, שאינו נאכל כמות שהוא חי אבל לא נשתנה מתחילת ברייתו. ויל"ע מהו יסוד המחלוקת.</w:t>
      </w:r>
    </w:p>
    <w:p w:rsidR="00666DDE" w:rsidRPr="00666DDE" w:rsidRDefault="00666DDE" w:rsidP="00666DDE">
      <w:pPr>
        <w:tabs>
          <w:tab w:val="right" w:pos="7497"/>
        </w:tabs>
        <w:bidi/>
        <w:jc w:val="both"/>
        <w:rPr>
          <w:rFonts w:cs="Guttman Drogolin"/>
          <w:rtl/>
          <w:lang w:bidi="he-IL"/>
        </w:rPr>
      </w:pPr>
      <w:r w:rsidRPr="00666DDE">
        <w:rPr>
          <w:rFonts w:cs="Guttman Drogolin" w:hint="cs"/>
          <w:rtl/>
          <w:lang w:bidi="he-IL"/>
        </w:rPr>
        <w:t>וברמב"ם (פי"ז הי"ד מהל' מאכ"א) מבואר שחיטין ונעשו קליות מותרים "</w:t>
      </w:r>
      <w:r w:rsidRPr="00666DDE">
        <w:rPr>
          <w:rFonts w:cs="Guttman Drogolin"/>
          <w:rtl/>
          <w:lang w:bidi="he-IL"/>
        </w:rPr>
        <w:t>שאין אדם מזמן חבירו על הקליות</w:t>
      </w:r>
      <w:r w:rsidRPr="00666DDE">
        <w:rPr>
          <w:rFonts w:cs="Guttman Drogolin" w:hint="cs"/>
          <w:rtl/>
          <w:lang w:bidi="he-IL"/>
        </w:rPr>
        <w:t>", ולכאורה כוונתו שקליות אינם עולים על שולחן מלכים. ויל"ע גם בזה מהו יסוד המחלוקת אם קליות חשיבי כנאכלים על שולחן מלכים או לא. ויתכן שהוא תלוי בדין פרפרת דלהלן.</w:t>
      </w:r>
    </w:p>
    <w:p w:rsidR="00666DDE" w:rsidRPr="00666DDE" w:rsidRDefault="00666DDE" w:rsidP="00666DDE">
      <w:pPr>
        <w:pStyle w:val="Heading1"/>
        <w:bidi/>
        <w:spacing w:before="0" w:line="360" w:lineRule="auto"/>
        <w:jc w:val="center"/>
        <w:rPr>
          <w:rFonts w:cs="Guttman Drogolin"/>
          <w:color w:val="auto"/>
          <w:sz w:val="24"/>
          <w:szCs w:val="24"/>
          <w:u w:val="single"/>
          <w:rtl/>
          <w:lang w:bidi="he-IL"/>
        </w:rPr>
      </w:pPr>
      <w:bookmarkStart w:id="568" w:name="_Toc496175805"/>
      <w:r w:rsidRPr="00666DDE">
        <w:rPr>
          <w:rFonts w:cs="Guttman Drogolin" w:hint="cs"/>
          <w:color w:val="auto"/>
          <w:sz w:val="24"/>
          <w:szCs w:val="24"/>
          <w:u w:val="single"/>
          <w:rtl/>
          <w:lang w:bidi="he-IL"/>
        </w:rPr>
        <w:t>אם יש במליחה משום בישול עכו"ם</w:t>
      </w:r>
      <w:bookmarkEnd w:id="568"/>
    </w:p>
    <w:p w:rsidR="00666DDE" w:rsidRPr="00666DDE" w:rsidRDefault="00666DDE" w:rsidP="00666DDE">
      <w:pPr>
        <w:tabs>
          <w:tab w:val="right" w:pos="7497"/>
        </w:tabs>
        <w:bidi/>
        <w:jc w:val="both"/>
        <w:rPr>
          <w:rFonts w:cs="Guttman Drogolin"/>
          <w:rtl/>
          <w:lang w:bidi="he-IL"/>
        </w:rPr>
      </w:pPr>
      <w:r w:rsidRPr="00666DDE">
        <w:rPr>
          <w:rFonts w:cs="Guttman Drogolin"/>
          <w:rtl/>
          <w:lang w:bidi="he-IL"/>
        </w:rPr>
        <w:fldChar w:fldCharType="begin"/>
      </w:r>
      <w:r w:rsidRPr="00666DDE">
        <w:rPr>
          <w:rFonts w:cs="Guttman Drogolin"/>
        </w:rPr>
        <w:instrText xml:space="preserve"> XE "</w:instrText>
      </w:r>
      <w:r w:rsidRPr="00666DDE">
        <w:rPr>
          <w:rFonts w:cs="Guttman Drogolin" w:hint="cs"/>
          <w:rtl/>
          <w:lang w:bidi="he-IL"/>
        </w:rPr>
        <w:instrText>בישול עכו</w:instrText>
      </w:r>
      <w:r w:rsidRPr="00666DDE">
        <w:rPr>
          <w:rFonts w:eastAsiaTheme="minorEastAsia" w:cs="Guttman Drogolin"/>
          <w:lang w:bidi="he-IL"/>
        </w:rPr>
        <w:instrText>\</w:instrText>
      </w:r>
      <w:r w:rsidRPr="00666DDE">
        <w:rPr>
          <w:rFonts w:cs="Guttman Drogolin" w:hint="cs"/>
          <w:rtl/>
          <w:lang w:bidi="he-IL"/>
        </w:rPr>
        <w:instrText>"ם</w:instrText>
      </w:r>
      <w:r w:rsidRPr="00666DDE">
        <w:rPr>
          <w:rFonts w:cs="Guttman Drogolin"/>
          <w:rtl/>
        </w:rPr>
        <w:instrText>:</w:instrText>
      </w:r>
      <w:r w:rsidRPr="00666DDE">
        <w:rPr>
          <w:rFonts w:cs="Guttman Drogolin" w:hint="cs"/>
          <w:rtl/>
          <w:lang w:bidi="he-IL"/>
        </w:rPr>
        <w:instrText>מליחה</w:instrText>
      </w:r>
      <w:r w:rsidRPr="00666DDE">
        <w:rPr>
          <w:rFonts w:cs="Guttman Drogolin"/>
        </w:rPr>
        <w:instrText xml:space="preserve">" </w:instrText>
      </w:r>
      <w:r w:rsidRPr="00666DDE">
        <w:rPr>
          <w:rFonts w:cs="Guttman Drogolin"/>
          <w:rtl/>
          <w:lang w:bidi="he-IL"/>
        </w:rPr>
        <w:fldChar w:fldCharType="end"/>
      </w:r>
      <w:r w:rsidRPr="00666DDE">
        <w:rPr>
          <w:rFonts w:cs="Guttman Drogolin"/>
          <w:rtl/>
          <w:lang w:bidi="he-IL"/>
        </w:rPr>
        <w:fldChar w:fldCharType="begin"/>
      </w:r>
      <w:r w:rsidRPr="00666DDE">
        <w:rPr>
          <w:rFonts w:cs="Guttman Drogolin"/>
        </w:rPr>
        <w:instrText xml:space="preserve"> XE "</w:instrText>
      </w:r>
      <w:r w:rsidRPr="00666DDE">
        <w:rPr>
          <w:rFonts w:cs="Guttman Drogolin" w:hint="cs"/>
          <w:rtl/>
          <w:lang w:bidi="he-IL"/>
        </w:rPr>
        <w:instrText>בישול עכו</w:instrText>
      </w:r>
      <w:r w:rsidRPr="00666DDE">
        <w:rPr>
          <w:rFonts w:eastAsiaTheme="minorEastAsia" w:cs="Guttman Drogolin"/>
          <w:lang w:bidi="he-IL"/>
        </w:rPr>
        <w:instrText>\</w:instrText>
      </w:r>
      <w:r w:rsidRPr="00666DDE">
        <w:rPr>
          <w:rFonts w:cs="Guttman Drogolin" w:hint="cs"/>
          <w:rtl/>
          <w:lang w:bidi="he-IL"/>
        </w:rPr>
        <w:instrText>"ם</w:instrText>
      </w:r>
      <w:r w:rsidRPr="00666DDE">
        <w:rPr>
          <w:rFonts w:cs="Guttman Drogolin"/>
          <w:rtl/>
        </w:rPr>
        <w:instrText>:</w:instrText>
      </w:r>
      <w:r w:rsidRPr="00666DDE">
        <w:rPr>
          <w:rFonts w:cs="Guttman Drogolin" w:hint="cs"/>
          <w:rtl/>
          <w:lang w:bidi="he-IL"/>
        </w:rPr>
        <w:instrText>נאכל כמות שהוא חי</w:instrText>
      </w:r>
      <w:r w:rsidR="00813217">
        <w:rPr>
          <w:rFonts w:cs="Guttman Drogolin" w:hint="cs"/>
          <w:rtl/>
          <w:lang w:bidi="he-IL"/>
        </w:rPr>
        <w:instrText xml:space="preserve"> -</w:instrText>
      </w:r>
      <w:r w:rsidRPr="00666DDE">
        <w:rPr>
          <w:rFonts w:cs="Guttman Drogolin" w:hint="cs"/>
          <w:rtl/>
          <w:lang w:bidi="he-IL"/>
        </w:rPr>
        <w:instrText xml:space="preserve"> ע</w:instrText>
      </w:r>
      <w:r w:rsidRPr="00666DDE">
        <w:rPr>
          <w:rFonts w:eastAsiaTheme="minorEastAsia" w:cs="Guttman Drogolin"/>
          <w:lang w:bidi="he-IL"/>
        </w:rPr>
        <w:instrText>\</w:instrText>
      </w:r>
      <w:r w:rsidRPr="00666DDE">
        <w:rPr>
          <w:rFonts w:cs="Guttman Drogolin" w:hint="cs"/>
          <w:rtl/>
          <w:lang w:bidi="he-IL"/>
        </w:rPr>
        <w:instrText>"י הדחק</w:instrText>
      </w:r>
      <w:r w:rsidRPr="00666DDE">
        <w:rPr>
          <w:rFonts w:cs="Guttman Drogolin"/>
        </w:rPr>
        <w:instrText xml:space="preserve">" </w:instrText>
      </w:r>
      <w:r w:rsidRPr="00666DDE">
        <w:rPr>
          <w:rFonts w:cs="Guttman Drogolin"/>
          <w:rtl/>
          <w:lang w:bidi="he-IL"/>
        </w:rPr>
        <w:fldChar w:fldCharType="end"/>
      </w:r>
      <w:r w:rsidRPr="00666DDE">
        <w:rPr>
          <w:rFonts w:cs="Guttman Drogolin" w:hint="cs"/>
          <w:rtl/>
          <w:lang w:bidi="he-IL"/>
        </w:rPr>
        <w:t>בדף ל"ח ע"ב יש מחלוקת בין ר' יוחנן לבר קפרא אם יש בדגים מלוחים משום בישול עכו"ם, ושיטת ר' יוחנן שאסור. ורש"י פי' שנחלקו אם גזירת בישול עכו"ם כוללת שם מליחת עכו"ם או לא. ומשו"ה נתקשו התוס' בע"א בהא דמבואר שם דדגים קטנים מלוחים אין בהם משוום בישולי עכו"ם. ותי' שהגמ' בע"א מיירי במליחת ישראל, ולכן אפילו לר' יוחנן אין לאסור משום המליחה, רק שדנו שאולי יש לאסור משום הבישול שעושה לאחר מכן אע"ג שכבר מלוחים, ובזה אמרו כיון שהוא כבר מלוח ונאכל אין בו משום בישולי עכו"ם.</w:t>
      </w:r>
    </w:p>
    <w:p w:rsidR="00666DDE" w:rsidRPr="00666DDE" w:rsidRDefault="00666DDE" w:rsidP="00666DDE">
      <w:pPr>
        <w:tabs>
          <w:tab w:val="right" w:pos="7497"/>
        </w:tabs>
        <w:bidi/>
        <w:jc w:val="both"/>
        <w:rPr>
          <w:rFonts w:cs="Guttman Drogolin"/>
          <w:rtl/>
          <w:lang w:bidi="he-IL"/>
        </w:rPr>
      </w:pPr>
      <w:r w:rsidRPr="00666DDE">
        <w:rPr>
          <w:rFonts w:cs="Guttman Drogolin" w:hint="cs"/>
          <w:rtl/>
          <w:lang w:bidi="he-IL"/>
        </w:rPr>
        <w:t>והרשב"א בתוה"א חלק עליו, שאין מקום לאסור מליחת עכו"ם. וא' מראיותיו הוא מגמ' הנ"ל דבעינן נשתנה ע"י האור, ומליחה אינה אור. ולכאורה התוס' יסברו לשיטת ר' יוחנן דאור לאו דוקא, וכל דבר המבשל בכלל. ועוד העיר הרשב"א דהרי גם כבוש כמבושל, מ"מ מפורש במתני' שבדף ל"ט ע"ב שאין איסור בישול עכו"ם כבשים. ולכן נקט שאין כוונת ר' יוחנן בע"ב לאסור משום מליחת העכו"ם. רק הכוונה לאסור משום שבישלו העכו"ם לאחר מכן.,כיון שאפילו ע"י מליחתו אינו נאכל להדיא, ולכן לא חשוב נאכל כמות שהו חי. ור"ל שנאכל חי ע"י הדחק לא נחשב כנאכל כמות שהוא חי' ולכן יש בו משום בישולי נכרים. וע' בחי' הרמב"ן שלפי פי' זה ר' יוחנן הואדלא כגמ' דע"א שמתיר דגים קטנים מלוחים.</w:t>
      </w:r>
    </w:p>
    <w:p w:rsidR="00666DDE" w:rsidRPr="00666DDE" w:rsidRDefault="00666DDE" w:rsidP="00666DDE">
      <w:pPr>
        <w:tabs>
          <w:tab w:val="right" w:pos="7497"/>
        </w:tabs>
        <w:bidi/>
        <w:jc w:val="both"/>
        <w:rPr>
          <w:rFonts w:cs="Guttman Drogolin"/>
          <w:rtl/>
          <w:lang w:bidi="he-IL"/>
        </w:rPr>
      </w:pPr>
      <w:r w:rsidRPr="00666DDE">
        <w:rPr>
          <w:rFonts w:cs="Guttman Drogolin" w:hint="cs"/>
          <w:rtl/>
          <w:lang w:bidi="he-IL"/>
        </w:rPr>
        <w:lastRenderedPageBreak/>
        <w:t xml:space="preserve">ונראה להדגיש, שאפילו אם נאכל חי רק ע"י הדחק לא נחשב נאכל כמות שהוא חי, מ"מ אמרינן בגמ' שאם הוא מבושל ע"י ישראל כמאכל בן דרוסאי מותר לנכרי לגמור את השאר. ולכאורה צ"ע דהא כמאכל בן דרוסאי לכאורה ג"כ אינו נאכל אלא ע"י הדחק, דהא אינו אלא שליש או חצי מבושל. והתשובה לזה שמבושל כמאב"ד ע"י ישראל אינו משום שבזה נעשית נאכל כמות שהוא חי, רק שע"י זה יש חלק של בישולו ע"י ישראל ולכן הרי הוא מותר אע"ג שלאחר מכן עדיין אינו נאכל אלא ע"י הדחק. ונפק"מ בזה אם נתבשל כמאכל בו דרוסאי ע:י נכרי שלא בכוונה, שבזה יהי' אסור אם הנכרי יגמור הבישול ע"י ישראל. </w:t>
      </w:r>
    </w:p>
    <w:p w:rsidR="00666DDE" w:rsidRPr="00310F82" w:rsidRDefault="00666DDE" w:rsidP="00666DDE">
      <w:pPr>
        <w:pStyle w:val="Heading1"/>
        <w:bidi/>
        <w:spacing w:before="0" w:line="360" w:lineRule="auto"/>
        <w:jc w:val="center"/>
        <w:rPr>
          <w:rFonts w:cs="Guttman Drogolin"/>
          <w:color w:val="auto"/>
          <w:sz w:val="18"/>
          <w:szCs w:val="18"/>
          <w:u w:val="single"/>
          <w:rtl/>
          <w:lang w:bidi="he-IL"/>
        </w:rPr>
      </w:pPr>
      <w:bookmarkStart w:id="569" w:name="_Toc496175806"/>
      <w:r w:rsidRPr="00310F82">
        <w:rPr>
          <w:rFonts w:cs="Guttman Drogolin" w:hint="cs"/>
          <w:color w:val="auto"/>
          <w:sz w:val="18"/>
          <w:szCs w:val="18"/>
          <w:u w:val="single"/>
          <w:rtl/>
          <w:lang w:bidi="he-IL"/>
        </w:rPr>
        <w:t>תערובת שהעיקר נאכל כמות שהוא חי, ואם הרוב פת</w:t>
      </w:r>
      <w:bookmarkEnd w:id="569"/>
    </w:p>
    <w:p w:rsidR="00666DDE" w:rsidRPr="00666DDE" w:rsidRDefault="00666DDE" w:rsidP="00662B6F">
      <w:pPr>
        <w:tabs>
          <w:tab w:val="right" w:pos="7497"/>
        </w:tabs>
        <w:bidi/>
        <w:jc w:val="both"/>
        <w:rPr>
          <w:rFonts w:cs="Guttman Drogolin"/>
          <w:rtl/>
          <w:lang w:bidi="he-IL"/>
        </w:rPr>
      </w:pPr>
      <w:r w:rsidRPr="00666DDE">
        <w:rPr>
          <w:rFonts w:cs="Guttman Drogolin"/>
          <w:rtl/>
          <w:lang w:bidi="he-IL"/>
        </w:rPr>
        <w:fldChar w:fldCharType="begin"/>
      </w:r>
      <w:r w:rsidRPr="00666DDE">
        <w:rPr>
          <w:rFonts w:cs="Guttman Drogolin"/>
        </w:rPr>
        <w:instrText xml:space="preserve"> XE "</w:instrText>
      </w:r>
      <w:r w:rsidRPr="00666DDE">
        <w:rPr>
          <w:rFonts w:cs="Guttman Drogolin" w:hint="cs"/>
          <w:rtl/>
          <w:lang w:bidi="he-IL"/>
        </w:rPr>
        <w:instrText>בישול עכו</w:instrText>
      </w:r>
      <w:r w:rsidRPr="00666DDE">
        <w:rPr>
          <w:rFonts w:eastAsiaTheme="minorEastAsia" w:cs="Guttman Drogolin"/>
          <w:lang w:bidi="he-IL"/>
        </w:rPr>
        <w:instrText>\</w:instrText>
      </w:r>
      <w:r w:rsidRPr="00666DDE">
        <w:rPr>
          <w:rFonts w:cs="Guttman Drogolin" w:hint="cs"/>
          <w:rtl/>
          <w:lang w:bidi="he-IL"/>
        </w:rPr>
        <w:instrText>"ם</w:instrText>
      </w:r>
      <w:r w:rsidRPr="00666DDE">
        <w:rPr>
          <w:rFonts w:cs="Guttman Drogolin"/>
          <w:rtl/>
        </w:rPr>
        <w:instrText>:</w:instrText>
      </w:r>
      <w:r w:rsidRPr="00666DDE">
        <w:rPr>
          <w:rFonts w:cs="Guttman Drogolin" w:hint="cs"/>
          <w:rtl/>
          <w:lang w:bidi="he-IL"/>
        </w:rPr>
        <w:instrText>נאכל כמות שהוא חי</w:instrText>
      </w:r>
      <w:r w:rsidR="00813217">
        <w:rPr>
          <w:rFonts w:cs="Guttman Drogolin" w:hint="cs"/>
          <w:rtl/>
          <w:lang w:bidi="he-IL"/>
        </w:rPr>
        <w:instrText xml:space="preserve"> </w:instrText>
      </w:r>
      <w:r w:rsidR="00813217">
        <w:rPr>
          <w:rFonts w:cs="Guttman Drogolin"/>
          <w:rtl/>
          <w:lang w:bidi="he-IL"/>
        </w:rPr>
        <w:instrText>–</w:instrText>
      </w:r>
      <w:r w:rsidR="00813217">
        <w:rPr>
          <w:rFonts w:cs="Guttman Drogolin" w:hint="cs"/>
          <w:rtl/>
          <w:lang w:bidi="he-IL"/>
        </w:rPr>
        <w:instrText xml:space="preserve"> אי אזלינן </w:instrText>
      </w:r>
      <w:r w:rsidRPr="00666DDE">
        <w:rPr>
          <w:rFonts w:cs="Guttman Drogolin"/>
        </w:rPr>
        <w:instrText>"</w:instrText>
      </w:r>
      <w:r w:rsidR="00813217">
        <w:rPr>
          <w:rFonts w:cs="Guttman Drogolin" w:hint="cs"/>
          <w:rtl/>
          <w:lang w:bidi="he-IL"/>
        </w:rPr>
        <w:instrText>בתר עיקר התערובת</w:instrText>
      </w:r>
      <w:r w:rsidRPr="00666DDE">
        <w:rPr>
          <w:rFonts w:cs="Guttman Drogolin"/>
        </w:rPr>
        <w:instrText xml:space="preserve"> </w:instrText>
      </w:r>
      <w:r w:rsidRPr="00666DDE">
        <w:rPr>
          <w:rFonts w:cs="Guttman Drogolin"/>
          <w:rtl/>
          <w:lang w:bidi="he-IL"/>
        </w:rPr>
        <w:fldChar w:fldCharType="end"/>
      </w:r>
      <w:r w:rsidRPr="00666DDE">
        <w:rPr>
          <w:rFonts w:cs="Guttman Drogolin"/>
          <w:rtl/>
          <w:lang w:bidi="he-IL"/>
        </w:rPr>
        <w:fldChar w:fldCharType="begin"/>
      </w:r>
      <w:r w:rsidRPr="00666DDE">
        <w:rPr>
          <w:rFonts w:cs="Guttman Drogolin"/>
        </w:rPr>
        <w:instrText xml:space="preserve"> XE "</w:instrText>
      </w:r>
      <w:r w:rsidRPr="00666DDE">
        <w:rPr>
          <w:rFonts w:cs="Guttman Drogolin" w:hint="cs"/>
          <w:rtl/>
          <w:lang w:bidi="he-IL"/>
        </w:rPr>
        <w:instrText>פת עכו</w:instrText>
      </w:r>
      <w:r w:rsidRPr="00666DDE">
        <w:rPr>
          <w:rFonts w:eastAsiaTheme="minorEastAsia" w:cs="Guttman Drogolin"/>
          <w:lang w:bidi="he-IL"/>
        </w:rPr>
        <w:instrText>\</w:instrText>
      </w:r>
      <w:r w:rsidRPr="00666DDE">
        <w:rPr>
          <w:rFonts w:cs="Guttman Drogolin" w:hint="cs"/>
          <w:rtl/>
          <w:lang w:bidi="he-IL"/>
        </w:rPr>
        <w:instrText>"ם</w:instrText>
      </w:r>
      <w:r w:rsidRPr="00666DDE">
        <w:rPr>
          <w:rFonts w:cs="Guttman Drogolin"/>
          <w:rtl/>
        </w:rPr>
        <w:instrText>:</w:instrText>
      </w:r>
      <w:r w:rsidRPr="00666DDE">
        <w:rPr>
          <w:rFonts w:cs="Guttman Drogolin" w:hint="cs"/>
          <w:rtl/>
          <w:lang w:bidi="he-IL"/>
        </w:rPr>
        <w:instrText>שיש בה חלקים שיש בהם משום בישולי עכו</w:instrText>
      </w:r>
      <w:r w:rsidRPr="00666DDE">
        <w:rPr>
          <w:rFonts w:eastAsiaTheme="minorEastAsia" w:cs="Guttman Drogolin"/>
          <w:lang w:bidi="he-IL"/>
        </w:rPr>
        <w:instrText>\</w:instrText>
      </w:r>
      <w:r w:rsidRPr="00666DDE">
        <w:rPr>
          <w:rFonts w:cs="Guttman Drogolin" w:hint="cs"/>
          <w:rtl/>
          <w:lang w:bidi="he-IL"/>
        </w:rPr>
        <w:instrText>"ם</w:instrText>
      </w:r>
      <w:r w:rsidRPr="00666DDE">
        <w:rPr>
          <w:rFonts w:cs="Guttman Drogolin"/>
        </w:rPr>
        <w:instrText xml:space="preserve">" </w:instrText>
      </w:r>
      <w:r w:rsidRPr="00666DDE">
        <w:rPr>
          <w:rFonts w:cs="Guttman Drogolin"/>
          <w:rtl/>
          <w:lang w:bidi="he-IL"/>
        </w:rPr>
        <w:fldChar w:fldCharType="end"/>
      </w:r>
      <w:r w:rsidRPr="00666DDE">
        <w:rPr>
          <w:rFonts w:cs="Guttman Drogolin" w:hint="cs"/>
          <w:rtl/>
          <w:lang w:bidi="he-IL"/>
        </w:rPr>
        <w:t>מבואר בגמ' שאם עיקר המאכל נאכל כמות שהוא חי אין בו משום בישולי עכו"ם אע"ג שיש בה גם דברים שאינם נאכלים חיים, דהא אילו הי' הרסנא עיקר הי' הדין דכסא דהרסנא אין בו משום בישולי עכו"ם. והתוס' כתבו ע"פ זה דהה"נ פת שיש בה ביצה, כיון שהעיקר הוא פת, ומקילים בפת עכו"ם בזה"ז, גם בביצה אין בה משום בישולי עכו"ם. ויש בדבריהם מידת חידוש. דלכאורה לולא דבריהם הו"א שהטעם דאזלינן בתר עיקר המאכל משום שדנין על המאלל כולו אם נאכל או אינו נאכל, וכיון שעיקרו נאכל אין בו משום בישולי עכו"ם. וא"כ בפת, אע"ג ש</w:t>
      </w:r>
      <w:r w:rsidR="00662B6F">
        <w:rPr>
          <w:rFonts w:cs="Guttman Drogolin" w:hint="cs"/>
          <w:rtl/>
          <w:lang w:bidi="he-IL"/>
        </w:rPr>
        <w:t>ל</w:t>
      </w:r>
      <w:r w:rsidRPr="00666DDE">
        <w:rPr>
          <w:rFonts w:cs="Guttman Drogolin" w:hint="cs"/>
          <w:rtl/>
          <w:lang w:bidi="he-IL"/>
        </w:rPr>
        <w:t>א גזרו על פת עכו"ם, אבל מ"מ כולו אין נאכל כמות שהוא חי, וא</w:t>
      </w:r>
      <w:r w:rsidR="00662B6F">
        <w:rPr>
          <w:rFonts w:cs="Guttman Drogolin" w:hint="cs"/>
          <w:rtl/>
          <w:lang w:bidi="he-IL"/>
        </w:rPr>
        <w:t>"</w:t>
      </w:r>
      <w:r w:rsidRPr="00666DDE">
        <w:rPr>
          <w:rFonts w:cs="Guttman Drogolin" w:hint="cs"/>
          <w:rtl/>
          <w:lang w:bidi="he-IL"/>
        </w:rPr>
        <w:t>כ למה לא אמרינן שהחלק שאינו פת נאסר משום פת עכו"ם. ונראה פשוט שאין הדברים נכונים, דהא תערובת של מאכל הנאכל כמות שהוא חי ודבר שאינו נאכל כמות שהוא חי לכאורה בכללותו אינו נאכל כמות שהוא חי, דהא מחמת החלב שאינו נאכל לא אוכלים אפילו חלק ממנו. ומ"מ אזליננן בתר העיקר. ולכן חזינן שדין הוא בבישול עכו"ם שאין נאסר אא"כ עיקרו נאכל כמות שהוא חי.</w:t>
      </w:r>
    </w:p>
    <w:p w:rsidR="00666DDE" w:rsidRPr="00310F82" w:rsidRDefault="00666DDE" w:rsidP="00666DDE">
      <w:pPr>
        <w:pStyle w:val="Heading1"/>
        <w:bidi/>
        <w:spacing w:before="0" w:line="360" w:lineRule="auto"/>
        <w:jc w:val="center"/>
        <w:rPr>
          <w:rFonts w:cs="Guttman Drogolin"/>
          <w:color w:val="auto"/>
          <w:sz w:val="18"/>
          <w:szCs w:val="18"/>
          <w:u w:val="single"/>
          <w:rtl/>
          <w:lang w:bidi="he-IL"/>
        </w:rPr>
      </w:pPr>
      <w:bookmarkStart w:id="570" w:name="_Toc496175807"/>
      <w:r w:rsidRPr="00310F82">
        <w:rPr>
          <w:rFonts w:cs="Guttman Drogolin" w:hint="cs"/>
          <w:color w:val="auto"/>
          <w:sz w:val="18"/>
          <w:szCs w:val="18"/>
          <w:u w:val="single"/>
          <w:rtl/>
          <w:lang w:bidi="he-IL"/>
        </w:rPr>
        <w:t>מאכל שאינו עולה על שולחן מלכים ללפת בו את הפת</w:t>
      </w:r>
      <w:bookmarkEnd w:id="570"/>
    </w:p>
    <w:p w:rsidR="00666DDE" w:rsidRPr="00666DDE" w:rsidRDefault="00666DDE" w:rsidP="00813217">
      <w:pPr>
        <w:tabs>
          <w:tab w:val="right" w:pos="7497"/>
        </w:tabs>
        <w:bidi/>
        <w:jc w:val="both"/>
        <w:rPr>
          <w:rFonts w:cs="Guttman Drogolin"/>
          <w:rtl/>
          <w:lang w:bidi="he-IL"/>
        </w:rPr>
      </w:pPr>
      <w:r w:rsidRPr="00666DDE">
        <w:rPr>
          <w:rFonts w:cs="Guttman Drogolin"/>
          <w:rtl/>
          <w:lang w:bidi="he-IL"/>
        </w:rPr>
        <w:fldChar w:fldCharType="begin"/>
      </w:r>
      <w:r w:rsidRPr="00666DDE">
        <w:rPr>
          <w:rFonts w:cs="Guttman Drogolin"/>
        </w:rPr>
        <w:instrText xml:space="preserve"> XE "</w:instrText>
      </w:r>
      <w:r w:rsidRPr="00666DDE">
        <w:rPr>
          <w:rFonts w:cs="Guttman Drogolin" w:hint="cs"/>
          <w:rtl/>
          <w:lang w:bidi="he-IL"/>
        </w:rPr>
        <w:instrText>בישול עכו</w:instrText>
      </w:r>
      <w:r w:rsidRPr="00666DDE">
        <w:rPr>
          <w:rFonts w:eastAsiaTheme="minorEastAsia" w:cs="Guttman Drogolin"/>
          <w:lang w:bidi="he-IL"/>
        </w:rPr>
        <w:instrText>\</w:instrText>
      </w:r>
      <w:r w:rsidRPr="00666DDE">
        <w:rPr>
          <w:rFonts w:cs="Guttman Drogolin" w:hint="cs"/>
          <w:rtl/>
          <w:lang w:bidi="he-IL"/>
        </w:rPr>
        <w:instrText>"ם</w:instrText>
      </w:r>
      <w:r w:rsidRPr="00666DDE">
        <w:rPr>
          <w:rFonts w:cs="Guttman Drogolin"/>
          <w:rtl/>
        </w:rPr>
        <w:instrText>:</w:instrText>
      </w:r>
      <w:r w:rsidRPr="00666DDE">
        <w:rPr>
          <w:rFonts w:cs="Guttman Drogolin" w:hint="cs"/>
          <w:rtl/>
          <w:lang w:bidi="he-IL"/>
        </w:rPr>
        <w:instrText xml:space="preserve">עולה על שולחן מלכים </w:instrText>
      </w:r>
      <w:r w:rsidR="00813217">
        <w:rPr>
          <w:rFonts w:cs="Guttman Drogolin" w:hint="cs"/>
          <w:rtl/>
          <w:lang w:bidi="he-IL"/>
        </w:rPr>
        <w:instrText xml:space="preserve">- </w:instrText>
      </w:r>
      <w:r w:rsidRPr="00666DDE">
        <w:rPr>
          <w:rFonts w:cs="Guttman Drogolin" w:hint="cs"/>
          <w:rtl/>
          <w:lang w:bidi="he-IL"/>
        </w:rPr>
        <w:instrText>ללפת בו את הפת</w:instrText>
      </w:r>
      <w:r w:rsidRPr="00666DDE">
        <w:rPr>
          <w:rFonts w:cs="Guttman Drogolin"/>
        </w:rPr>
        <w:instrText xml:space="preserve"> </w:instrText>
      </w:r>
      <w:r w:rsidRPr="00666DDE">
        <w:rPr>
          <w:rFonts w:cs="Guttman Drogolin"/>
          <w:rtl/>
          <w:lang w:bidi="he-IL"/>
        </w:rPr>
        <w:fldChar w:fldCharType="end"/>
      </w:r>
      <w:r w:rsidRPr="00666DDE">
        <w:rPr>
          <w:rFonts w:cs="Guttman Drogolin" w:hint="cs"/>
          <w:rtl/>
          <w:lang w:bidi="he-IL"/>
        </w:rPr>
        <w:t xml:space="preserve">איתא בגמ' בשם רב שמאכל שאינו עולה על שולחן מלכים ללפת בו את הפת אין בו משום בישולי עכו"ם. ודבר זה מבואר לפי ב' הטעמים </w:t>
      </w:r>
      <w:r w:rsidRPr="00666DDE">
        <w:rPr>
          <w:rFonts w:cs="Guttman Drogolin" w:hint="cs"/>
          <w:rtl/>
          <w:lang w:bidi="he-IL"/>
        </w:rPr>
        <w:lastRenderedPageBreak/>
        <w:t>המוזכרים לאיסור בישול עכו"ם. אם הוא משום לתנות הא אם אינו אוכל על שולחן מלכים אינו חוב ואינו בו כ"כ משום חתנות. וכן לפי הטעם שלא יכאלנו דבר טמא י"ל דכיון שהוא אינו חשוב לא הי' מתכבד הישראל לאכול אצלו משום מאכל זה ולכן לא הי' לורך לגזור עליו.</w:t>
      </w:r>
    </w:p>
    <w:p w:rsidR="00666DDE" w:rsidRPr="00666DDE" w:rsidRDefault="00666DDE" w:rsidP="00666DDE">
      <w:pPr>
        <w:tabs>
          <w:tab w:val="right" w:pos="7497"/>
        </w:tabs>
        <w:bidi/>
        <w:jc w:val="both"/>
        <w:rPr>
          <w:rFonts w:cs="Guttman Drogolin"/>
          <w:rtl/>
          <w:lang w:bidi="he-IL"/>
        </w:rPr>
      </w:pPr>
      <w:r w:rsidRPr="00666DDE">
        <w:rPr>
          <w:rFonts w:cs="Guttman Drogolin" w:hint="cs"/>
          <w:rtl/>
          <w:lang w:bidi="he-IL"/>
        </w:rPr>
        <w:t xml:space="preserve">ולשון הגמ' דבעינן תבשיל שבא ללפת את הפת. ומשמע שדבר שאינו מלפת את הפת אע"ג שאינו עולה על שולחן מלכים מ"מ אין בו משום בישול עכו"ם. אמנם יעיון ברמב"ם (פי"ז הי"ח) דסבר שפרפרת יש בו משום בישולי עכו"ם. ומהל' י"ט מבואר שיצא לו לרמב"ם דבר זה מחגבים, ומשום דסבר דנאכים כמו פרפרת. ולכאורה צ"ע הא בעינן דבר שמלפת את הפת. </w:t>
      </w:r>
    </w:p>
    <w:p w:rsidR="00666DDE" w:rsidRPr="00666DDE" w:rsidRDefault="00666DDE" w:rsidP="00400C0B">
      <w:pPr>
        <w:tabs>
          <w:tab w:val="right" w:pos="7497"/>
        </w:tabs>
        <w:bidi/>
        <w:jc w:val="both"/>
        <w:rPr>
          <w:rFonts w:cs="Guttman Drogolin"/>
          <w:rtl/>
          <w:lang w:bidi="he-IL"/>
        </w:rPr>
      </w:pPr>
      <w:r w:rsidRPr="00666DDE">
        <w:rPr>
          <w:rFonts w:cs="Guttman Drogolin" w:hint="cs"/>
          <w:rtl/>
          <w:lang w:bidi="he-IL"/>
        </w:rPr>
        <w:t>והפר"ח (קי"ג ס"ק ג') כתב שאין כוונת הרמב"ם בפרפרת לדבר שאין מלפתים בו את הפת, דהא דבר שאינו מלפתין את הפת אין בה בישולי נכרים. רק הרמב"ם למד דפרפרת הוא דבר שמלפתים בו את פת. ולדבריו מובן מש"כ הרמב"ם הטעם בקליות שהוא משום שאין א' מזמן את חבירו משום קליות, ולכאורה כוונתו לדין נאכל על שולחן מלכים, ומ"מ ק</w:t>
      </w:r>
      <w:r w:rsidR="00400C0B">
        <w:rPr>
          <w:rFonts w:cs="Guttman Drogolin" w:hint="cs"/>
          <w:rtl/>
          <w:lang w:bidi="he-IL"/>
        </w:rPr>
        <w:t>ל</w:t>
      </w:r>
      <w:r w:rsidRPr="00666DDE">
        <w:rPr>
          <w:rFonts w:cs="Guttman Drogolin" w:hint="cs"/>
          <w:rtl/>
          <w:lang w:bidi="he-IL"/>
        </w:rPr>
        <w:t>יות אינם בכלל.</w:t>
      </w:r>
    </w:p>
    <w:p w:rsidR="00666DDE" w:rsidRPr="00666DDE" w:rsidRDefault="00666DDE" w:rsidP="00666DDE">
      <w:pPr>
        <w:tabs>
          <w:tab w:val="right" w:pos="7497"/>
        </w:tabs>
        <w:bidi/>
        <w:jc w:val="both"/>
        <w:rPr>
          <w:rFonts w:cs="Guttman Drogolin"/>
          <w:rtl/>
          <w:lang w:bidi="he-IL"/>
        </w:rPr>
      </w:pPr>
      <w:r w:rsidRPr="00666DDE">
        <w:rPr>
          <w:rFonts w:cs="Guttman Drogolin" w:hint="cs"/>
          <w:rtl/>
          <w:lang w:bidi="he-IL"/>
        </w:rPr>
        <w:t>אלא דהנה התוס' כתבו דמדלא הביאו הנפק"מ ב</w:t>
      </w:r>
      <w:r w:rsidR="00400C0B">
        <w:rPr>
          <w:rFonts w:cs="Guttman Drogolin" w:hint="cs"/>
          <w:rtl/>
          <w:lang w:bidi="he-IL"/>
        </w:rPr>
        <w:t>י</w:t>
      </w:r>
      <w:r w:rsidRPr="00666DDE">
        <w:rPr>
          <w:rFonts w:cs="Guttman Drogolin" w:hint="cs"/>
          <w:rtl/>
          <w:lang w:bidi="he-IL"/>
        </w:rPr>
        <w:t>ן המ"ד דבעינן שאינו נאכל כמות שהוא חי למ"ד דבעינן עולה על שולחן מלכים ללפת בו את הפת אלא דגים קטנים אדרי ודייסא, חזינן דלכו"ע בעינן שלא תהא נאכל במות שהוא חי, רק נחלקו אם בעינן גם עולה על שולחן מלכים. אמנם יעוין שם ברשב"א בתוה"א שכתב שדייסא היא נפק"מ הפוכה, שנאכל כמות שהוא חי אע"ג שעולה על שולחן מלכים (ויל"ע מהו יסוד המחלוקת אם דייסא נאכל כמות שהוא חי או לא). אמנם הקשה הרשב"א דהא דייסא אין מלפתין בו את הפת</w:t>
      </w:r>
      <w:r w:rsidRPr="00666DDE">
        <w:rPr>
          <w:rFonts w:cs="Guttman Drogolin"/>
          <w:rtl/>
        </w:rPr>
        <w:t xml:space="preserve"> </w:t>
      </w:r>
      <w:r w:rsidRPr="00666DDE">
        <w:rPr>
          <w:rFonts w:cs="Guttman Drogolin" w:hint="cs"/>
          <w:rtl/>
          <w:lang w:bidi="he-IL"/>
        </w:rPr>
        <w:t>וכדמבאר במס' ביצה דף</w:t>
      </w:r>
      <w:r w:rsidRPr="00666DDE">
        <w:rPr>
          <w:rFonts w:cs="Guttman Drogolin"/>
          <w:rtl/>
          <w:lang w:bidi="he-IL"/>
        </w:rPr>
        <w:t xml:space="preserve"> ט</w:t>
      </w:r>
      <w:r w:rsidRPr="00666DDE">
        <w:rPr>
          <w:rFonts w:cs="Guttman Drogolin" w:hint="cs"/>
          <w:rtl/>
          <w:lang w:bidi="he-IL"/>
        </w:rPr>
        <w:t>"</w:t>
      </w:r>
      <w:r w:rsidRPr="00666DDE">
        <w:rPr>
          <w:rFonts w:cs="Guttman Drogolin"/>
          <w:rtl/>
          <w:lang w:bidi="he-IL"/>
        </w:rPr>
        <w:t xml:space="preserve">ז </w:t>
      </w:r>
      <w:r w:rsidRPr="00666DDE">
        <w:rPr>
          <w:rFonts w:cs="Guttman Drogolin" w:hint="cs"/>
          <w:rtl/>
          <w:lang w:bidi="he-IL"/>
        </w:rPr>
        <w:t>ע"</w:t>
      </w:r>
      <w:r w:rsidRPr="00666DDE">
        <w:rPr>
          <w:rFonts w:cs="Guttman Drogolin"/>
          <w:rtl/>
          <w:lang w:bidi="he-IL"/>
        </w:rPr>
        <w:t xml:space="preserve">א </w:t>
      </w:r>
      <w:r w:rsidRPr="00666DDE">
        <w:rPr>
          <w:rFonts w:cs="Guttman Drogolin" w:hint="cs"/>
          <w:rtl/>
          <w:lang w:bidi="he-IL"/>
        </w:rPr>
        <w:t>"</w:t>
      </w:r>
      <w:r w:rsidRPr="00666DDE">
        <w:rPr>
          <w:rFonts w:cs="Guttman Drogolin"/>
          <w:rtl/>
          <w:lang w:bidi="he-IL"/>
        </w:rPr>
        <w:t>הני בבלאי טפשאי דאכלי נהמא בנהמא</w:t>
      </w:r>
      <w:r w:rsidRPr="00666DDE">
        <w:rPr>
          <w:rFonts w:cs="Guttman Drogolin" w:hint="cs"/>
          <w:rtl/>
          <w:lang w:bidi="he-IL"/>
        </w:rPr>
        <w:t xml:space="preserve">", וא"כ אפילו אילו לא הי' נאכל כמות שהוא חי הי' צריך להיות הדין שהוא מותר. וכתב הרשב"א שלא אמרו ללפת בו </w:t>
      </w:r>
      <w:r w:rsidRPr="00666DDE">
        <w:rPr>
          <w:rFonts w:cs="Guttman Drogolin" w:hint="cs"/>
          <w:rtl/>
          <w:lang w:bidi="he-IL"/>
        </w:rPr>
        <w:lastRenderedPageBreak/>
        <w:t>את הפת אלא במיני לפן שאין להם חשיבות אלא במלפתין את הפת, אבל מאכל שנאכל בפני עצמו ודאי יש בו משום בישולי עכו"ם עד כמה שעולה על שולחן מלכים. ואע"ג שהריטב"א הקשה על דא"כ קשה לא הביאו דייסא על הכלל דעולה על שולחן מלכים ללפת בו את הפת, כתב המאירי שכ"ש הוא. ומ"מ אם</w:t>
      </w:r>
      <w:r w:rsidR="00A42D7B">
        <w:rPr>
          <w:rFonts w:cs="Guttman Drogolin" w:hint="cs"/>
          <w:rtl/>
          <w:lang w:bidi="he-IL"/>
        </w:rPr>
        <w:t xml:space="preserve"> </w:t>
      </w:r>
      <w:r w:rsidRPr="00666DDE">
        <w:rPr>
          <w:rFonts w:cs="Guttman Drogolin" w:hint="cs"/>
          <w:rtl/>
          <w:lang w:bidi="he-IL"/>
        </w:rPr>
        <w:t>סבר כן הרמב"ם גם זה יכול להיות הסבר למה פרפרת יש בה משום בישולי עכו"ם</w:t>
      </w:r>
      <w:r w:rsidR="00400C0B">
        <w:rPr>
          <w:rStyle w:val="FootnoteReference"/>
          <w:rFonts w:cs="Guttman Drogolin"/>
          <w:rtl/>
          <w:lang w:bidi="he-IL"/>
        </w:rPr>
        <w:footnoteReference w:id="604"/>
      </w:r>
      <w:r w:rsidRPr="00666DDE">
        <w:rPr>
          <w:rFonts w:cs="Guttman Drogolin" w:hint="cs"/>
          <w:rtl/>
          <w:lang w:bidi="he-IL"/>
        </w:rPr>
        <w:t>.</w:t>
      </w:r>
    </w:p>
    <w:p w:rsidR="00666DDE" w:rsidRPr="00666DDE" w:rsidRDefault="00666DDE" w:rsidP="00666DDE">
      <w:pPr>
        <w:pStyle w:val="Heading1"/>
        <w:bidi/>
        <w:spacing w:before="0" w:line="360" w:lineRule="auto"/>
        <w:jc w:val="center"/>
        <w:rPr>
          <w:rFonts w:cs="Guttman Drogolin"/>
          <w:color w:val="auto"/>
          <w:sz w:val="24"/>
          <w:szCs w:val="24"/>
          <w:u w:val="single"/>
          <w:rtl/>
          <w:lang w:bidi="he-IL"/>
        </w:rPr>
      </w:pPr>
      <w:bookmarkStart w:id="571" w:name="_Toc496175808"/>
      <w:r w:rsidRPr="00666DDE">
        <w:rPr>
          <w:rFonts w:cs="Guttman Drogolin" w:hint="cs"/>
          <w:color w:val="auto"/>
          <w:sz w:val="24"/>
          <w:szCs w:val="24"/>
          <w:u w:val="single"/>
          <w:rtl/>
          <w:lang w:bidi="he-IL"/>
        </w:rPr>
        <w:t>בישל העכו"ם שלא בכוונת בישול</w:t>
      </w:r>
      <w:bookmarkEnd w:id="571"/>
    </w:p>
    <w:p w:rsidR="00666DDE" w:rsidRPr="00666DDE" w:rsidRDefault="00666DDE" w:rsidP="00666DDE">
      <w:pPr>
        <w:tabs>
          <w:tab w:val="right" w:pos="7497"/>
        </w:tabs>
        <w:bidi/>
        <w:jc w:val="both"/>
        <w:rPr>
          <w:rFonts w:cs="Guttman Drogolin"/>
          <w:rtl/>
          <w:lang w:bidi="he-IL"/>
        </w:rPr>
      </w:pPr>
      <w:r w:rsidRPr="00666DDE">
        <w:rPr>
          <w:rFonts w:cs="Guttman Drogolin"/>
          <w:rtl/>
          <w:lang w:bidi="he-IL"/>
        </w:rPr>
        <w:fldChar w:fldCharType="begin"/>
      </w:r>
      <w:r w:rsidRPr="00666DDE">
        <w:rPr>
          <w:rFonts w:cs="Guttman Drogolin"/>
        </w:rPr>
        <w:instrText xml:space="preserve"> XE "</w:instrText>
      </w:r>
      <w:r w:rsidRPr="00666DDE">
        <w:rPr>
          <w:rFonts w:cs="Guttman Drogolin" w:hint="cs"/>
          <w:rtl/>
          <w:lang w:bidi="he-IL"/>
        </w:rPr>
        <w:instrText>בישול עכו</w:instrText>
      </w:r>
      <w:r w:rsidRPr="00666DDE">
        <w:rPr>
          <w:rFonts w:eastAsiaTheme="minorEastAsia" w:cs="Guttman Drogolin"/>
          <w:lang w:bidi="he-IL"/>
        </w:rPr>
        <w:instrText>\</w:instrText>
      </w:r>
      <w:r w:rsidRPr="00666DDE">
        <w:rPr>
          <w:rFonts w:cs="Guttman Drogolin" w:hint="cs"/>
          <w:rtl/>
          <w:lang w:bidi="he-IL"/>
        </w:rPr>
        <w:instrText>"ם</w:instrText>
      </w:r>
      <w:r w:rsidRPr="00666DDE">
        <w:rPr>
          <w:rFonts w:cs="Guttman Drogolin"/>
          <w:rtl/>
        </w:rPr>
        <w:instrText>:</w:instrText>
      </w:r>
      <w:r w:rsidRPr="00666DDE">
        <w:rPr>
          <w:rFonts w:cs="Guttman Drogolin" w:hint="cs"/>
          <w:rtl/>
          <w:lang w:bidi="he-IL"/>
        </w:rPr>
        <w:instrText>שלא בכוונה</w:instrText>
      </w:r>
      <w:r w:rsidRPr="00666DDE">
        <w:rPr>
          <w:rFonts w:cs="Guttman Drogolin"/>
        </w:rPr>
        <w:instrText xml:space="preserve"> </w:instrText>
      </w:r>
      <w:r w:rsidRPr="00666DDE">
        <w:rPr>
          <w:rFonts w:cs="Guttman Drogolin"/>
          <w:rtl/>
          <w:lang w:bidi="he-IL"/>
        </w:rPr>
        <w:fldChar w:fldCharType="end"/>
      </w:r>
      <w:r w:rsidR="00172A16">
        <w:rPr>
          <w:rFonts w:cs="Guttman Drogolin"/>
          <w:rtl/>
          <w:lang w:bidi="he-IL"/>
        </w:rPr>
        <w:fldChar w:fldCharType="begin"/>
      </w:r>
      <w:r w:rsidR="00172A16">
        <w:instrText xml:space="preserve"> XE "</w:instrText>
      </w:r>
      <w:r w:rsidR="00172A16" w:rsidRPr="00BE6656">
        <w:rPr>
          <w:rFonts w:hint="cs"/>
          <w:rtl/>
          <w:lang w:bidi="he-IL"/>
        </w:rPr>
        <w:instrText>דבר שאינו מתכוין</w:instrText>
      </w:r>
      <w:r w:rsidR="00172A16" w:rsidRPr="00BE6656">
        <w:rPr>
          <w:rtl/>
        </w:rPr>
        <w:instrText>:</w:instrText>
      </w:r>
      <w:r w:rsidR="00172A16" w:rsidRPr="00BE6656">
        <w:rPr>
          <w:rFonts w:hint="cs"/>
          <w:rtl/>
          <w:lang w:bidi="he-IL"/>
        </w:rPr>
        <w:instrText>בבישול עכו</w:instrText>
      </w:r>
      <w:r w:rsidR="00172A16">
        <w:rPr>
          <w:rFonts w:eastAsiaTheme="minorEastAsia"/>
          <w:lang w:bidi="he-IL"/>
        </w:rPr>
        <w:instrText>\</w:instrText>
      </w:r>
      <w:r w:rsidR="00172A16" w:rsidRPr="00BE6656">
        <w:rPr>
          <w:rFonts w:hint="cs"/>
          <w:rtl/>
          <w:lang w:bidi="he-IL"/>
        </w:rPr>
        <w:instrText>"ם</w:instrText>
      </w:r>
      <w:r w:rsidR="00172A16">
        <w:instrText xml:space="preserve">" </w:instrText>
      </w:r>
      <w:r w:rsidR="00172A16">
        <w:rPr>
          <w:rFonts w:cs="Guttman Drogolin"/>
          <w:rtl/>
          <w:lang w:bidi="he-IL"/>
        </w:rPr>
        <w:fldChar w:fldCharType="end"/>
      </w:r>
      <w:r w:rsidRPr="00666DDE">
        <w:rPr>
          <w:rFonts w:cs="Guttman Drogolin" w:hint="cs"/>
          <w:rtl/>
          <w:lang w:bidi="he-IL"/>
        </w:rPr>
        <w:t>מבואר בגמ' שאם בישל העכו"ם שלא בכוונה אין בה בישולי עכו"ם. ועוד מבואר דעד כמה שמכוין לבישול, אע"ג שאינו מכוין לבשל מאכל זה, מ"מ כיון שבישלו ע"י זה הרי זה אסור משום בישול עכו"ם. כן מבואר ממה דס"ד לאסור משום דלשרורי מנא קמכוין. לכאורה הביאור בזה משום שגדר הגזירת בישול עכו"ם אינו בה שיש תוצאה של בישול, רק שיש מעשה בישול מצד העכו"ם, ולכן אם אינו מכוין לבשל כלל אין כאן מעשה בישול ולא נאסר. אבל אם מכוין למעשה בישל, כיון שמעשה בישול זה בישל את המאכל הרי זה אסור.</w:t>
      </w:r>
    </w:p>
    <w:p w:rsidR="008E68F7" w:rsidRPr="00666DDE" w:rsidRDefault="00666DDE" w:rsidP="004765AA">
      <w:pPr>
        <w:tabs>
          <w:tab w:val="right" w:pos="7497"/>
        </w:tabs>
        <w:bidi/>
        <w:jc w:val="both"/>
        <w:rPr>
          <w:rFonts w:cs="Guttman Drogolin"/>
          <w:rtl/>
          <w:lang w:bidi="he-IL"/>
        </w:rPr>
      </w:pPr>
      <w:r w:rsidRPr="00666DDE">
        <w:rPr>
          <w:rFonts w:cs="Guttman Drogolin"/>
          <w:rtl/>
          <w:lang w:bidi="he-IL"/>
        </w:rPr>
        <w:fldChar w:fldCharType="begin"/>
      </w:r>
      <w:r w:rsidRPr="00666DDE">
        <w:rPr>
          <w:rFonts w:cs="Guttman Drogolin"/>
        </w:rPr>
        <w:instrText xml:space="preserve"> XE "</w:instrText>
      </w:r>
      <w:r w:rsidRPr="00666DDE">
        <w:rPr>
          <w:rFonts w:cs="Guttman Drogolin" w:hint="cs"/>
          <w:rtl/>
          <w:lang w:bidi="he-IL"/>
        </w:rPr>
        <w:instrText>דבר שאינו מתכוין</w:instrText>
      </w:r>
      <w:r w:rsidRPr="00666DDE">
        <w:rPr>
          <w:rFonts w:cs="Guttman Drogolin"/>
          <w:rtl/>
        </w:rPr>
        <w:instrText>:</w:instrText>
      </w:r>
      <w:r w:rsidRPr="00666DDE">
        <w:rPr>
          <w:rFonts w:cs="Guttman Drogolin" w:hint="cs"/>
          <w:rtl/>
          <w:lang w:bidi="he-IL"/>
        </w:rPr>
        <w:instrText>כשמכוין לב' דברים והעיקר לחד מינייהו</w:instrText>
      </w:r>
      <w:r w:rsidRPr="00666DDE">
        <w:rPr>
          <w:rFonts w:cs="Guttman Drogolin"/>
        </w:rPr>
        <w:instrText xml:space="preserve">" </w:instrText>
      </w:r>
      <w:r w:rsidRPr="00666DDE">
        <w:rPr>
          <w:rFonts w:cs="Guttman Drogolin"/>
          <w:rtl/>
          <w:lang w:bidi="he-IL"/>
        </w:rPr>
        <w:fldChar w:fldCharType="end"/>
      </w:r>
      <w:r w:rsidRPr="00666DDE">
        <w:rPr>
          <w:rFonts w:cs="Guttman Drogolin" w:hint="cs"/>
          <w:rtl/>
          <w:lang w:bidi="he-IL"/>
        </w:rPr>
        <w:t>ויש כאן חידוש בדין כוונה. שהרי בהאי מעשה דסיכתא כתב הרא"ש (אות ל"א) "</w:t>
      </w:r>
      <w:r w:rsidRPr="00666DDE">
        <w:rPr>
          <w:rFonts w:cs="Guttman Drogolin"/>
          <w:rtl/>
          <w:lang w:bidi="he-IL"/>
        </w:rPr>
        <w:t>אלא הכי קאמר לבסוף בתר דשדי עובד כוכבים סיכתא לאתונא קודם (שהעביר) האש ליבש הסיכתא דכיון דקבר בה ישראל לעין העובד כוכבים אף על גב דלא כיון לבסוף לבשל הסיכתא חיישינן שמא כיון לבשל הקרא כיון דידיע בה</w:t>
      </w:r>
      <w:r w:rsidRPr="00666DDE">
        <w:rPr>
          <w:rFonts w:cs="Guttman Drogolin" w:hint="cs"/>
          <w:rtl/>
          <w:lang w:bidi="he-IL"/>
        </w:rPr>
        <w:t xml:space="preserve">". ולכאורה כוונתו לומר דאע"ג שעיקר כוונתו לסיכתא, מ"מ אילו הי' מכוין גם לקרא הי' אסור. </w:t>
      </w:r>
      <w:r w:rsidR="008A5572">
        <w:rPr>
          <w:rFonts w:cs="Guttman Drogolin"/>
          <w:rtl/>
          <w:lang w:bidi="he-IL"/>
        </w:rPr>
        <w:fldChar w:fldCharType="begin"/>
      </w:r>
      <w:r w:rsidR="008A5572">
        <w:instrText xml:space="preserve"> XE "</w:instrText>
      </w:r>
      <w:r w:rsidR="008A5572" w:rsidRPr="002E3F53">
        <w:rPr>
          <w:rFonts w:hint="cs"/>
          <w:rtl/>
          <w:lang w:bidi="he-IL"/>
        </w:rPr>
        <w:instrText>אמירה לנכרי</w:instrText>
      </w:r>
      <w:r w:rsidR="008A5572" w:rsidRPr="002E3F53">
        <w:rPr>
          <w:rtl/>
        </w:rPr>
        <w:instrText>:</w:instrText>
      </w:r>
      <w:r w:rsidR="008A5572" w:rsidRPr="002E3F53">
        <w:rPr>
          <w:rFonts w:hint="cs"/>
          <w:rtl/>
          <w:lang w:bidi="he-IL"/>
        </w:rPr>
        <w:instrText>פסיק רישא על ידו</w:instrText>
      </w:r>
      <w:r w:rsidR="008A5572">
        <w:instrText xml:space="preserve">" </w:instrText>
      </w:r>
      <w:r w:rsidR="008A5572">
        <w:rPr>
          <w:rFonts w:cs="Guttman Drogolin"/>
          <w:rtl/>
          <w:lang w:bidi="he-IL"/>
        </w:rPr>
        <w:fldChar w:fldCharType="end"/>
      </w:r>
      <w:r w:rsidRPr="00666DDE">
        <w:rPr>
          <w:rFonts w:cs="Guttman Drogolin" w:hint="cs"/>
          <w:rtl/>
          <w:lang w:bidi="he-IL"/>
        </w:rPr>
        <w:t>ויעוין בתרוה"ד (סי' ס"ו) שכתב להתיר אמירה לנכרי כשעיקר כוונת השפחה לדבר המותר. ומיני' חזינן דפסיק רישא ע"י נכרי מותר, אבל הו"א שכוונה קלושה אסורה, ובזה כוונת הת</w:t>
      </w:r>
      <w:r w:rsidR="007F6742">
        <w:rPr>
          <w:rFonts w:cs="Guttman Drogolin" w:hint="cs"/>
          <w:rtl/>
          <w:lang w:bidi="he-IL"/>
        </w:rPr>
        <w:t>ר</w:t>
      </w:r>
      <w:r w:rsidRPr="00666DDE">
        <w:rPr>
          <w:rFonts w:cs="Guttman Drogolin" w:hint="cs"/>
          <w:rtl/>
          <w:lang w:bidi="he-IL"/>
        </w:rPr>
        <w:t xml:space="preserve">וה"ד לומר שכוונה קלושה לא שמה כוונה רק כפס"ר. אמנם מכאן חזינן שאפילו כוונה קלושה שמה כוונה, דהא פס"ר מותר </w:t>
      </w:r>
      <w:r w:rsidRPr="00666DDE">
        <w:rPr>
          <w:rFonts w:cs="Guttman Drogolin" w:hint="cs"/>
          <w:rtl/>
          <w:lang w:bidi="he-IL"/>
        </w:rPr>
        <w:lastRenderedPageBreak/>
        <w:t>בבישול עכו"ם עד כמה שאינו מכוין, מ"מ כוונה קלושה אילו כיון ממש הי' אסור. וע"כ כוונת התרוה"ד ג"כ לומר שגם זה שמקילים בכוונה קלושה הוא קולא מסוימת של אמירה לנכרי</w:t>
      </w:r>
      <w:r w:rsidR="008E68F7">
        <w:rPr>
          <w:rStyle w:val="FootnoteReference"/>
          <w:rFonts w:cs="Guttman Drogolin"/>
          <w:rtl/>
          <w:lang w:bidi="he-IL"/>
        </w:rPr>
        <w:footnoteReference w:id="605"/>
      </w:r>
      <w:r w:rsidRPr="00666DDE">
        <w:rPr>
          <w:rFonts w:cs="Guttman Drogolin" w:hint="cs"/>
          <w:rtl/>
          <w:lang w:bidi="he-IL"/>
        </w:rPr>
        <w:t>.</w:t>
      </w:r>
    </w:p>
    <w:p w:rsidR="00D80599" w:rsidRDefault="00D80599" w:rsidP="00666DDE">
      <w:pPr>
        <w:tabs>
          <w:tab w:val="right" w:pos="7497"/>
        </w:tabs>
        <w:bidi/>
        <w:jc w:val="both"/>
        <w:rPr>
          <w:rFonts w:cs="Times New Roman"/>
          <w:rtl/>
        </w:rPr>
        <w:sectPr w:rsidR="00D80599" w:rsidSect="00666DDE">
          <w:type w:val="continuous"/>
          <w:pgSz w:w="11907" w:h="16839" w:code="9"/>
          <w:pgMar w:top="1440" w:right="1440" w:bottom="1440" w:left="1440" w:header="720" w:footer="720" w:gutter="0"/>
          <w:cols w:num="2" w:space="720"/>
          <w:bidi/>
          <w:docGrid w:linePitch="360"/>
        </w:sectPr>
      </w:pPr>
    </w:p>
    <w:p w:rsidR="00D80599" w:rsidRPr="00D80599" w:rsidRDefault="00D80599" w:rsidP="00D80599">
      <w:pPr>
        <w:keepNext/>
        <w:tabs>
          <w:tab w:val="left" w:pos="3818"/>
          <w:tab w:val="center" w:pos="4680"/>
        </w:tabs>
        <w:bidi/>
        <w:jc w:val="center"/>
        <w:rPr>
          <w:rFonts w:cs="Guttman Drogolin"/>
          <w:b/>
          <w:bCs/>
          <w:sz w:val="24"/>
          <w:szCs w:val="24"/>
          <w:rtl/>
          <w:lang w:bidi="he-IL"/>
        </w:rPr>
      </w:pPr>
      <w:r w:rsidRPr="00D80599">
        <w:rPr>
          <w:rFonts w:cs="Guttman Drogolin" w:hint="cs"/>
          <w:b/>
          <w:bCs/>
          <w:sz w:val="48"/>
          <w:szCs w:val="48"/>
          <w:rtl/>
          <w:lang w:bidi="he-IL"/>
        </w:rPr>
        <w:lastRenderedPageBreak/>
        <w:t>שיעור ק"נ</w:t>
      </w:r>
    </w:p>
    <w:p w:rsidR="00D80599" w:rsidRDefault="00D80599" w:rsidP="00D80599">
      <w:pPr>
        <w:pStyle w:val="Heading1"/>
        <w:bidi/>
        <w:spacing w:before="0" w:line="360" w:lineRule="auto"/>
        <w:jc w:val="center"/>
        <w:rPr>
          <w:rFonts w:cs="Guttman Drogolin"/>
          <w:color w:val="auto"/>
          <w:sz w:val="24"/>
          <w:szCs w:val="24"/>
          <w:u w:val="single"/>
          <w:rtl/>
          <w:lang w:bidi="he-IL"/>
        </w:rPr>
        <w:sectPr w:rsidR="00D80599" w:rsidSect="00D80599">
          <w:pgSz w:w="11907" w:h="16839" w:code="9"/>
          <w:pgMar w:top="1440" w:right="1440" w:bottom="1440" w:left="1440" w:header="720" w:footer="720" w:gutter="0"/>
          <w:cols w:space="720"/>
          <w:bidi/>
          <w:docGrid w:linePitch="360"/>
        </w:sectPr>
      </w:pPr>
    </w:p>
    <w:p w:rsidR="00D80599" w:rsidRPr="00310F82" w:rsidRDefault="00D80599" w:rsidP="00310F82">
      <w:pPr>
        <w:pStyle w:val="Heading1"/>
        <w:bidi/>
        <w:spacing w:before="0" w:line="240" w:lineRule="auto"/>
        <w:jc w:val="center"/>
        <w:rPr>
          <w:rFonts w:cs="Guttman Drogolin"/>
          <w:color w:val="auto"/>
          <w:sz w:val="24"/>
          <w:szCs w:val="24"/>
          <w:u w:val="single"/>
          <w:rtl/>
          <w:lang w:bidi="he-IL"/>
        </w:rPr>
      </w:pPr>
      <w:bookmarkStart w:id="572" w:name="_Toc496175809"/>
      <w:r w:rsidRPr="00310F82">
        <w:rPr>
          <w:rFonts w:cs="Guttman Drogolin" w:hint="cs"/>
          <w:color w:val="auto"/>
          <w:sz w:val="24"/>
          <w:szCs w:val="24"/>
          <w:u w:val="single"/>
          <w:rtl/>
          <w:lang w:bidi="he-IL"/>
        </w:rPr>
        <w:lastRenderedPageBreak/>
        <w:t>עיונים בדין נאכל כמות שהוא חי ובדין עולה על שולחן מלכים</w:t>
      </w:r>
      <w:bookmarkEnd w:id="572"/>
    </w:p>
    <w:p w:rsidR="00D80599" w:rsidRPr="00D80599" w:rsidRDefault="00D80599" w:rsidP="00D80599">
      <w:pPr>
        <w:tabs>
          <w:tab w:val="right" w:pos="7497"/>
        </w:tabs>
        <w:bidi/>
        <w:jc w:val="both"/>
        <w:rPr>
          <w:rFonts w:cs="Guttman Drogolin"/>
          <w:rtl/>
          <w:lang w:bidi="he-IL"/>
        </w:rPr>
      </w:pPr>
      <w:r w:rsidRPr="00D80599">
        <w:rPr>
          <w:rFonts w:cs="Guttman Drogolin"/>
          <w:rtl/>
          <w:lang w:bidi="he-IL"/>
        </w:rPr>
        <w:fldChar w:fldCharType="begin"/>
      </w:r>
      <w:r w:rsidRPr="00D80599">
        <w:rPr>
          <w:rFonts w:cs="Guttman Drogolin"/>
        </w:rPr>
        <w:instrText xml:space="preserve"> XE "</w:instrText>
      </w:r>
      <w:r w:rsidRPr="00D80599">
        <w:rPr>
          <w:rFonts w:cs="Guttman Drogolin" w:hint="cs"/>
          <w:rtl/>
          <w:lang w:bidi="he-IL"/>
        </w:rPr>
        <w:instrText>בישול עכו</w:instrText>
      </w:r>
      <w:r w:rsidRPr="00D80599">
        <w:rPr>
          <w:rFonts w:eastAsiaTheme="minorEastAsia" w:cs="Guttman Drogolin"/>
          <w:lang w:bidi="he-IL"/>
        </w:rPr>
        <w:instrText>\</w:instrText>
      </w:r>
      <w:r w:rsidRPr="00D80599">
        <w:rPr>
          <w:rFonts w:cs="Guttman Drogolin" w:hint="cs"/>
          <w:rtl/>
          <w:lang w:bidi="he-IL"/>
        </w:rPr>
        <w:instrText>"ם</w:instrText>
      </w:r>
      <w:r w:rsidRPr="00D80599">
        <w:rPr>
          <w:rFonts w:cs="Guttman Drogolin"/>
          <w:rtl/>
        </w:rPr>
        <w:instrText>:</w:instrText>
      </w:r>
      <w:r w:rsidRPr="00D80599">
        <w:rPr>
          <w:rFonts w:cs="Guttman Drogolin" w:hint="cs"/>
          <w:rtl/>
          <w:lang w:bidi="he-IL"/>
        </w:rPr>
        <w:instrText>נאכל כמות שהוא חי - לא פלוג</w:instrText>
      </w:r>
      <w:r w:rsidRPr="00D80599">
        <w:rPr>
          <w:rFonts w:cs="Guttman Drogolin"/>
        </w:rPr>
        <w:instrText xml:space="preserve">" </w:instrText>
      </w:r>
      <w:r w:rsidRPr="00D80599">
        <w:rPr>
          <w:rFonts w:cs="Guttman Drogolin"/>
          <w:rtl/>
          <w:lang w:bidi="he-IL"/>
        </w:rPr>
        <w:fldChar w:fldCharType="end"/>
      </w:r>
      <w:r w:rsidRPr="00D80599">
        <w:rPr>
          <w:rFonts w:cs="Guttman Drogolin" w:hint="cs"/>
          <w:rtl/>
          <w:lang w:bidi="he-IL"/>
        </w:rPr>
        <w:t>איתא בגמ' שבדף ל"ח ע"ב "בעו מיניה מרבי אסי הני אהיני (פירש"י תמרים) שליקי דארמאי מאי". ומבארת הגמ' שאם היו כבר מתוקים ודאי אין בהם משום בישולי נכרים כיון שנאכלים כמות שהן חיין. וכן אם הם מרים ודאי שיש בהם משום בישול דהא אינם נאכלים חיים ועולים על שולחן מלכים. והאיבעיא בכה"ג שנאכלים אבל רק ע"י הדחק. ומ"מ לכאורה יל"ע בזה, שהרי חזינן דתמרים נאכלים כמות שהן חיים כשמתוקים, וא"כ נימא דתמיד חשיבי נאכלים כמות שהן חיים כיון שכשהם מתוקים נאכלים. ויעוין בגליון מהרש"א ברסי' קי"ג שכתב שאם התמרים מרים משום שעדיין לא נתבשלו, אה"נ שאין בהם משום בישולי נכרים כיון שבזמן שנתבשלו נאכלים כמות שהן חיים. לא אמרו שתמרים המרים אסורים אלא כשהוא מין תמר שהוא מר עד שיתבשל.</w:t>
      </w:r>
    </w:p>
    <w:p w:rsidR="00D80599" w:rsidRPr="00D80599" w:rsidRDefault="00D80599" w:rsidP="00D80599">
      <w:pPr>
        <w:tabs>
          <w:tab w:val="right" w:pos="7497"/>
        </w:tabs>
        <w:bidi/>
        <w:jc w:val="both"/>
        <w:rPr>
          <w:rFonts w:cs="Guttman Drogolin"/>
          <w:rtl/>
        </w:rPr>
      </w:pPr>
      <w:r w:rsidRPr="00D80599">
        <w:rPr>
          <w:rFonts w:cs="Guttman Drogolin"/>
          <w:rtl/>
          <w:lang w:bidi="he-IL"/>
        </w:rPr>
        <w:fldChar w:fldCharType="begin"/>
      </w:r>
      <w:r w:rsidRPr="00D80599">
        <w:rPr>
          <w:rFonts w:cs="Guttman Drogolin"/>
        </w:rPr>
        <w:instrText xml:space="preserve"> XE "</w:instrText>
      </w:r>
      <w:r w:rsidRPr="00D80599">
        <w:rPr>
          <w:rFonts w:cs="Guttman Drogolin" w:hint="cs"/>
          <w:rtl/>
          <w:lang w:bidi="he-IL"/>
        </w:rPr>
        <w:instrText>בישול עכו</w:instrText>
      </w:r>
      <w:r w:rsidRPr="00D80599">
        <w:rPr>
          <w:rFonts w:eastAsiaTheme="minorEastAsia" w:cs="Guttman Drogolin"/>
          <w:lang w:bidi="he-IL"/>
        </w:rPr>
        <w:instrText>\</w:instrText>
      </w:r>
      <w:r w:rsidRPr="00D80599">
        <w:rPr>
          <w:rFonts w:cs="Guttman Drogolin" w:hint="cs"/>
          <w:rtl/>
          <w:lang w:bidi="he-IL"/>
        </w:rPr>
        <w:instrText>"ם</w:instrText>
      </w:r>
      <w:r w:rsidRPr="00D80599">
        <w:rPr>
          <w:rFonts w:cs="Guttman Drogolin"/>
          <w:rtl/>
        </w:rPr>
        <w:instrText>:</w:instrText>
      </w:r>
      <w:r w:rsidRPr="00D80599">
        <w:rPr>
          <w:rFonts w:cs="Guttman Drogolin" w:hint="cs"/>
          <w:rtl/>
          <w:lang w:bidi="he-IL"/>
        </w:rPr>
        <w:instrText>עולה על שולחן מלכים - לא פלוג</w:instrText>
      </w:r>
      <w:r w:rsidRPr="00D80599">
        <w:rPr>
          <w:rFonts w:cs="Guttman Drogolin"/>
        </w:rPr>
        <w:instrText xml:space="preserve">" </w:instrText>
      </w:r>
      <w:r w:rsidRPr="00D80599">
        <w:rPr>
          <w:rFonts w:cs="Guttman Drogolin"/>
          <w:rtl/>
          <w:lang w:bidi="he-IL"/>
        </w:rPr>
        <w:fldChar w:fldCharType="end"/>
      </w:r>
      <w:r w:rsidRPr="00D80599">
        <w:rPr>
          <w:rFonts w:cs="Guttman Drogolin" w:hint="cs"/>
          <w:rtl/>
          <w:lang w:bidi="he-IL"/>
        </w:rPr>
        <w:t>וכה"ג יל"ע בדין עולה על שלחן מלכים, שהרי חזינן דדגים קטנים אינם עולים על שלחן מלכים, ומ"מ דגים גדולים אסורים כיון שעולים על שולחן מלכים. הרי דלא אמרנן לא פלוג בדגים. אלא דהנה יעוין בש"ך בסי' קי"ג ס"ק ב' שהביא בשם האו"ה "</w:t>
      </w:r>
      <w:r w:rsidRPr="00D80599">
        <w:rPr>
          <w:rFonts w:cs="Guttman Drogolin"/>
          <w:rtl/>
          <w:lang w:bidi="he-IL"/>
        </w:rPr>
        <w:t>קרביים וקורקבן ובני מעיים אף על גב דאמרינן לעיל אוכליהון לאו בר אינש ולא הוי חה"ל מ"מ אסורים משום בישולי עובדי כוכבים</w:t>
      </w:r>
      <w:r w:rsidRPr="00D80599">
        <w:rPr>
          <w:rFonts w:cs="Guttman Drogolin" w:hint="cs"/>
          <w:rtl/>
          <w:lang w:bidi="he-IL"/>
        </w:rPr>
        <w:t>". וכתב על זה הפר"ח שם (ס"ק ב') "</w:t>
      </w:r>
      <w:r w:rsidRPr="00D80599">
        <w:rPr>
          <w:rFonts w:cs="Guttman Drogolin"/>
          <w:rtl/>
          <w:lang w:bidi="he-IL"/>
        </w:rPr>
        <w:t>וכן בדין דאלא מעתה בשר כחוש שאינו עולה על שלחן מלכים דכוותיה הכי נמי דשרי, אלא ודאי לא פלוג רבנן וכל מין בשר אסרו</w:t>
      </w:r>
      <w:r w:rsidRPr="00D80599">
        <w:rPr>
          <w:rFonts w:cs="Guttman Drogolin" w:hint="cs"/>
          <w:rtl/>
          <w:lang w:bidi="he-IL"/>
        </w:rPr>
        <w:t>". ויוצא שבדין עולה על שולחן מלכים אמרינן לא פלוג, ואם יש לך דבר שעולה על שולחן מלכים, אע"ג שיש סוגים שאינם עולים על שולחן מלכים, הרי זה אסור כיון שלא פלוג רבנן. וכה"ג מבואר גם בערוה"ש (סע' י'). ובחו"ב (עבודה זרה סי' י"א ס"ק ז') הוכיח דאמרינן לא פלוג מהא ד</w:t>
      </w:r>
      <w:r w:rsidRPr="00D80599">
        <w:rPr>
          <w:rFonts w:cs="Guttman Drogolin"/>
          <w:rtl/>
          <w:lang w:bidi="he-IL"/>
        </w:rPr>
        <w:t>האי עובד כוכבים דחריך רישא שרי למיכל מיניה אפילו מריש אוניה</w:t>
      </w:r>
      <w:r w:rsidRPr="00D80599">
        <w:rPr>
          <w:rFonts w:cs="Guttman Drogolin" w:hint="cs"/>
          <w:rtl/>
          <w:lang w:bidi="he-IL"/>
        </w:rPr>
        <w:t xml:space="preserve"> רק משום שאינו מכוין לבישול, הא אילו הי' מכוין לבישול הי' אסור </w:t>
      </w:r>
      <w:r w:rsidRPr="00D80599">
        <w:rPr>
          <w:rFonts w:cs="Guttman Drogolin" w:hint="cs"/>
          <w:rtl/>
          <w:lang w:bidi="he-IL"/>
        </w:rPr>
        <w:lastRenderedPageBreak/>
        <w:t>אע"ג שאין ראש האוזן עולה על שולחן מלכים. וע"כ דאמרינן לא פלוג.</w:t>
      </w:r>
    </w:p>
    <w:p w:rsidR="00D80599" w:rsidRPr="00D80599" w:rsidRDefault="00D80599" w:rsidP="00D80599">
      <w:pPr>
        <w:tabs>
          <w:tab w:val="right" w:pos="7497"/>
        </w:tabs>
        <w:bidi/>
        <w:jc w:val="both"/>
        <w:rPr>
          <w:rFonts w:cs="Guttman Drogolin"/>
          <w:rtl/>
          <w:lang w:bidi="he-IL"/>
        </w:rPr>
      </w:pPr>
      <w:r w:rsidRPr="00D80599">
        <w:rPr>
          <w:rFonts w:cs="Guttman Drogolin" w:hint="cs"/>
          <w:rtl/>
          <w:lang w:bidi="he-IL"/>
        </w:rPr>
        <w:t>אלא שהדברים לכאורה מרפסין איגרי. דמאי שנא מדגים קטנים וגדולים דלא אמרינן בהו 'לא פלוג'. וראיתי בס' באר חיים דר"ל שדגים קטנים וגדולים חשובים כב' מינים ולכן לא שייך בהו לא פלוג. ודבר זה לכאורה דחוק טובא. חדא שהרי במלאכת בורר מפורש בתורה"ד סי' נ"ז שדגים קטנים חשובים כמין א' ולא שייך בהו מלאכת בורר. ועוד למה יחשב דג קטן וגדול כב' מינים וקורקבן ובני מעיים כמין א' עם עיקר הבשר.ובאמת ז"ל האו"ה שם (סי' מ"ג אות ב') "</w:t>
      </w:r>
      <w:r w:rsidRPr="00D80599">
        <w:rPr>
          <w:rFonts w:cs="Guttman Drogolin"/>
          <w:rtl/>
          <w:lang w:bidi="he-IL"/>
        </w:rPr>
        <w:t>פי' הרמב"ם פ' ט"ז דא"מ אפילו שאינו עיקר הסעודה כגון מיני קיטניות וקרבי דגים ודגים וחגבים וכן כל כיוצא בהן מ"מ עולה משום פרפרת ודרך אדם להזמין חבירו עליו וה"ה בני מעיים של בהמה וכה"ג אף על פי שאין הדבר ראוי ליתן לפני אורחים נכבדים ואפי' כמהין ופטריות דהם עולין משום פרפרות</w:t>
      </w:r>
      <w:r w:rsidRPr="00D80599">
        <w:rPr>
          <w:rFonts w:cs="Guttman Drogolin" w:hint="cs"/>
          <w:rtl/>
          <w:lang w:bidi="he-IL"/>
        </w:rPr>
        <w:t>". וראיתי בס' בישול ישראל (סי' מ') שרצה לומר שאין כוונת האו"ה אסור בני מעיים כלל משום לא פלוג רק משום דהוי פרפרת. אלא שגם בזה יש ב' תשובות בדבר. חדא שהרי מ"מ כתב עליהם "</w:t>
      </w:r>
      <w:r w:rsidRPr="00D80599">
        <w:rPr>
          <w:rFonts w:cs="Guttman Drogolin"/>
          <w:rtl/>
          <w:lang w:bidi="he-IL"/>
        </w:rPr>
        <w:t>אף על פי שאין הדבר ראוי ליתן לפני אורחים נכבדים</w:t>
      </w:r>
      <w:r w:rsidRPr="00D80599">
        <w:rPr>
          <w:rFonts w:cs="Guttman Drogolin" w:hint="cs"/>
          <w:rtl/>
          <w:lang w:bidi="he-IL"/>
        </w:rPr>
        <w:t xml:space="preserve">". ועוד דכיון שהאוכלן לאו בר איניש הוא, אפילו אם אין כוונת האו"ה לאוסרם משום לא פלוג, מ"מ מהו באמת הטעם לאוסרם כיון שאינם עולים על שולחן מלכים אא"כ אמרינן לא פלוג. </w:t>
      </w:r>
    </w:p>
    <w:p w:rsidR="00D80599" w:rsidRPr="00D80599" w:rsidRDefault="00D80599" w:rsidP="00D80599">
      <w:pPr>
        <w:tabs>
          <w:tab w:val="right" w:pos="7497"/>
        </w:tabs>
        <w:bidi/>
        <w:jc w:val="both"/>
        <w:rPr>
          <w:rFonts w:cs="Guttman Drogolin"/>
          <w:rtl/>
          <w:lang w:bidi="he-IL"/>
        </w:rPr>
      </w:pPr>
      <w:r w:rsidRPr="00D80599">
        <w:rPr>
          <w:rFonts w:cs="Guttman Drogolin" w:hint="cs"/>
          <w:rtl/>
          <w:lang w:bidi="he-IL"/>
        </w:rPr>
        <w:t xml:space="preserve">ושם בס' בישול ישראל (סי' מ"ה ס"ק ד') הביא כמה מהלכים בזה. חדא די"ל דקרביים ובני מעיים אינם עולים על שולחן מלכים לאוכלם בפני עצמן, אבל ללפת בהם את הפת שפיר עיילי (וא"כ הא דלאו בר איניש היינו לאכלו בפני עצמו). ובשם הגרפ"א פאלק הביא לפרש שלעולם עולה על שולחן מלכים, אבל מ"מ השויות שלו פחות משאר חלקי הבשר, ולאו בר איניש היינו מי שמשמלם שויות של בשר גמור.וכל הענין עדיין צ"ע. </w:t>
      </w:r>
    </w:p>
    <w:p w:rsidR="00D80599" w:rsidRPr="00D80599" w:rsidRDefault="00D80599" w:rsidP="00D80599">
      <w:pPr>
        <w:tabs>
          <w:tab w:val="right" w:pos="7497"/>
        </w:tabs>
        <w:bidi/>
        <w:jc w:val="both"/>
        <w:rPr>
          <w:rFonts w:cs="Guttman Drogolin"/>
          <w:rtl/>
          <w:lang w:bidi="he-IL"/>
        </w:rPr>
      </w:pPr>
      <w:r w:rsidRPr="00D80599">
        <w:rPr>
          <w:rFonts w:cs="Guttman Drogolin"/>
          <w:rtl/>
          <w:lang w:bidi="he-IL"/>
        </w:rPr>
        <w:lastRenderedPageBreak/>
        <w:fldChar w:fldCharType="begin"/>
      </w:r>
      <w:r w:rsidRPr="00D80599">
        <w:rPr>
          <w:rFonts w:cs="Guttman Drogolin"/>
        </w:rPr>
        <w:instrText xml:space="preserve"> XE "</w:instrText>
      </w:r>
      <w:r w:rsidRPr="00D80599">
        <w:rPr>
          <w:rFonts w:cs="Guttman Drogolin" w:hint="cs"/>
          <w:rtl/>
          <w:lang w:bidi="he-IL"/>
        </w:rPr>
        <w:instrText>בישול עכו</w:instrText>
      </w:r>
      <w:r w:rsidRPr="00D80599">
        <w:rPr>
          <w:rFonts w:eastAsiaTheme="minorEastAsia" w:cs="Guttman Drogolin"/>
          <w:lang w:bidi="he-IL"/>
        </w:rPr>
        <w:instrText>\</w:instrText>
      </w:r>
      <w:r w:rsidRPr="00D80599">
        <w:rPr>
          <w:rFonts w:cs="Guttman Drogolin" w:hint="cs"/>
          <w:rtl/>
          <w:lang w:bidi="he-IL"/>
        </w:rPr>
        <w:instrText>"ם</w:instrText>
      </w:r>
      <w:r w:rsidRPr="00D80599">
        <w:rPr>
          <w:rFonts w:cs="Guttman Drogolin"/>
          <w:rtl/>
        </w:rPr>
        <w:instrText>:</w:instrText>
      </w:r>
      <w:r w:rsidRPr="00D80599">
        <w:rPr>
          <w:rFonts w:cs="Guttman Drogolin" w:hint="cs"/>
          <w:rtl/>
          <w:lang w:bidi="he-IL"/>
        </w:rPr>
        <w:instrText>עולה על שולחן מלכים - כשיש ב' אופנים להכינו</w:instrText>
      </w:r>
      <w:r w:rsidRPr="00D80599">
        <w:rPr>
          <w:rFonts w:cs="Guttman Drogolin"/>
        </w:rPr>
        <w:instrText xml:space="preserve">" </w:instrText>
      </w:r>
      <w:r w:rsidRPr="00D80599">
        <w:rPr>
          <w:rFonts w:cs="Guttman Drogolin"/>
          <w:rtl/>
          <w:lang w:bidi="he-IL"/>
        </w:rPr>
        <w:fldChar w:fldCharType="end"/>
      </w:r>
      <w:r w:rsidRPr="00D80599">
        <w:rPr>
          <w:rFonts w:cs="Guttman Drogolin" w:hint="cs"/>
          <w:rtl/>
          <w:lang w:bidi="he-IL"/>
        </w:rPr>
        <w:t xml:space="preserve">והנה בהא שהקשו התוס' על המבואר בגמ' שדגים מלוחים אין בהם בישולי עכו"ם, שמשמע שעולים על שולחן מלכים, ואילו לעיל יני' מבואר שדגים קטניפ אינם </w:t>
      </w:r>
      <w:r w:rsidRPr="00D80599">
        <w:rPr>
          <w:rFonts w:cs="Guttman Drogolin"/>
          <w:rtl/>
          <w:lang w:bidi="he-IL"/>
        </w:rPr>
        <w:fldChar w:fldCharType="begin"/>
      </w:r>
      <w:r w:rsidRPr="00D80599">
        <w:rPr>
          <w:rFonts w:cs="Guttman Drogolin"/>
        </w:rPr>
        <w:instrText xml:space="preserve"> XE "</w:instrText>
      </w:r>
      <w:r w:rsidRPr="00D80599">
        <w:rPr>
          <w:rFonts w:cs="Guttman Drogolin" w:hint="cs"/>
          <w:rtl/>
          <w:lang w:bidi="he-IL"/>
        </w:rPr>
        <w:instrText>בישול עכו</w:instrText>
      </w:r>
      <w:r w:rsidRPr="00D80599">
        <w:rPr>
          <w:rFonts w:eastAsiaTheme="minorEastAsia" w:cs="Guttman Drogolin"/>
          <w:lang w:bidi="he-IL"/>
        </w:rPr>
        <w:instrText>\</w:instrText>
      </w:r>
      <w:r w:rsidRPr="00D80599">
        <w:rPr>
          <w:rFonts w:cs="Guttman Drogolin" w:hint="cs"/>
          <w:rtl/>
          <w:lang w:bidi="he-IL"/>
        </w:rPr>
        <w:instrText>"ם</w:instrText>
      </w:r>
      <w:r w:rsidRPr="00D80599">
        <w:rPr>
          <w:rFonts w:cs="Guttman Drogolin"/>
          <w:rtl/>
        </w:rPr>
        <w:instrText>:</w:instrText>
      </w:r>
      <w:r w:rsidRPr="00D80599">
        <w:rPr>
          <w:rFonts w:cs="Guttman Drogolin" w:hint="cs"/>
          <w:rtl/>
          <w:lang w:bidi="he-IL"/>
        </w:rPr>
        <w:instrText>נאכל כמות שהוא חי - כיון שעתיד להוסיף בו דבר אחר</w:instrText>
      </w:r>
      <w:r w:rsidRPr="00D80599">
        <w:rPr>
          <w:rFonts w:cs="Guttman Drogolin"/>
        </w:rPr>
        <w:instrText xml:space="preserve">" </w:instrText>
      </w:r>
      <w:r w:rsidRPr="00D80599">
        <w:rPr>
          <w:rFonts w:cs="Guttman Drogolin"/>
          <w:rtl/>
          <w:lang w:bidi="he-IL"/>
        </w:rPr>
        <w:fldChar w:fldCharType="end"/>
      </w:r>
      <w:r w:rsidRPr="00D80599">
        <w:rPr>
          <w:rFonts w:cs="Guttman Drogolin" w:hint="cs"/>
          <w:rtl/>
          <w:lang w:bidi="he-IL"/>
        </w:rPr>
        <w:t>עולים על שולחן מלכים, מבואר בב"י טעם אחר. והוא שאמנם מלוחים עולים על שולחן מלכים אפילו קטנים, אבל המבושלים אינם עולים על שולחן מלכים. וחזינן עכ"פ שאם יש לך דבר שע"פ תיקונו נחשב עולה על שולחן מלכים, לא אמרינן שהוא חשוב עולה על שולחן מלכים אפילו בכה"ג שתיקנו אותו באופן שאינו עולה. ומבואר מזה עוד דבר, והוא דהא דדגים מלוחים חשובים כנאכלים חיים ואין בבהם משום בישול עכו"ם, הנ"מ אחרי שמלחן, אבל זה עצמו שיכול למלחן ויהיו מוכנים לאכילה אפילו בלי בישול אינו עושה אותם כנאכלים חיים, דאל"כ מה איכפת לן בזה שדגים קנטים אינם עולים על שולחן מלכים, תיפו"ל משום שהי' אפשר למלחן ויהיו ראוין. אמנם יש עדיין מקום לחלק, שאם הוא דבר שע"י תיקון יהא מוכן לאכילה, הרי הוא חשוב כבר מעכשיו נאכל כמות שהוא חי, אבל הנ"מ כשעתיד לעשות תיקון זה למאכל, שבזה אמרינן אין הבישול עושהו ראוי לאכילה, דהא בתיקונו הסופית אפילו לא בישלו אותו הי' מוכן לאכילה. משא"כ בדגים מיירי בכה"ג יבשלנו ולא ימלחנו, שבזה ודאי לא נחשב כנאכל כמות שהוא חי.</w:t>
      </w:r>
    </w:p>
    <w:p w:rsidR="00D80599" w:rsidRPr="00D80599" w:rsidRDefault="00D80599" w:rsidP="00D80599">
      <w:pPr>
        <w:tabs>
          <w:tab w:val="right" w:pos="7497"/>
        </w:tabs>
        <w:bidi/>
        <w:jc w:val="both"/>
        <w:rPr>
          <w:rFonts w:cs="Guttman Drogolin"/>
          <w:rtl/>
          <w:lang w:bidi="he-IL"/>
        </w:rPr>
      </w:pPr>
      <w:r w:rsidRPr="00D80599">
        <w:rPr>
          <w:rFonts w:cs="Guttman Drogolin"/>
          <w:rtl/>
          <w:lang w:bidi="he-IL"/>
        </w:rPr>
        <w:fldChar w:fldCharType="begin"/>
      </w:r>
      <w:r w:rsidRPr="00D80599">
        <w:rPr>
          <w:rFonts w:cs="Guttman Drogolin"/>
        </w:rPr>
        <w:instrText xml:space="preserve"> XE "</w:instrText>
      </w:r>
      <w:r w:rsidRPr="00D80599">
        <w:rPr>
          <w:rFonts w:cs="Guttman Drogolin" w:hint="cs"/>
          <w:rtl/>
          <w:lang w:bidi="he-IL"/>
        </w:rPr>
        <w:instrText>בישול עכו</w:instrText>
      </w:r>
      <w:r w:rsidRPr="00D80599">
        <w:rPr>
          <w:rFonts w:eastAsiaTheme="minorEastAsia" w:cs="Guttman Drogolin"/>
          <w:lang w:bidi="he-IL"/>
        </w:rPr>
        <w:instrText>\</w:instrText>
      </w:r>
      <w:r w:rsidRPr="00D80599">
        <w:rPr>
          <w:rFonts w:cs="Guttman Drogolin" w:hint="cs"/>
          <w:rtl/>
          <w:lang w:bidi="he-IL"/>
        </w:rPr>
        <w:instrText>"ם</w:instrText>
      </w:r>
      <w:r w:rsidRPr="00D80599">
        <w:rPr>
          <w:rFonts w:cs="Guttman Drogolin"/>
          <w:rtl/>
        </w:rPr>
        <w:instrText>:</w:instrText>
      </w:r>
      <w:r w:rsidRPr="00D80599">
        <w:rPr>
          <w:rFonts w:cs="Guttman Drogolin" w:hint="cs"/>
          <w:rtl/>
          <w:lang w:bidi="he-IL"/>
        </w:rPr>
        <w:instrText>בתבלינים</w:instrText>
      </w:r>
      <w:r w:rsidRPr="00D80599">
        <w:rPr>
          <w:rFonts w:cs="Guttman Drogolin"/>
        </w:rPr>
        <w:instrText xml:space="preserve">" </w:instrText>
      </w:r>
      <w:r w:rsidRPr="00D80599">
        <w:rPr>
          <w:rFonts w:cs="Guttman Drogolin"/>
          <w:rtl/>
          <w:lang w:bidi="he-IL"/>
        </w:rPr>
        <w:fldChar w:fldCharType="end"/>
      </w:r>
      <w:r w:rsidRPr="00D80599">
        <w:rPr>
          <w:rFonts w:cs="Guttman Drogolin" w:hint="cs"/>
          <w:rtl/>
          <w:lang w:bidi="he-IL"/>
        </w:rPr>
        <w:t xml:space="preserve">ויעוין במג"א (סי' ר"ג ס"ק ד') שהביא מחלוקת אם יש בתבלינים משום בישול עכו"ם. וביאר המג"א טעמם של המקילים משום שראוים לאכילה ע"י תוספת דברים אחרים. וע"ש שכתב שדגים מלוחים ג"כ אינם ראוים לאכילה בפני עצמם רק ביחד עם פת ומשו"ה חשובים ראוים לאכילה, וע"כ כיון שראוים לאכילה ע"י תוספת דבר אחר חשיבי נאכלים. ולכאורה זהו כצד המקיל הנ"ל. אמנם נראה שיש מקום לחלק, והוא שהוספת תבלינים אינו הופך את התבלינים למאכל, דמעיקרא אינו נאכל והשתא נאכל, רק כל תורתם הם לתת טעם לדברים אחרים, וכיון שראוים לתת </w:t>
      </w:r>
      <w:r w:rsidRPr="00D80599">
        <w:rPr>
          <w:rFonts w:cs="Guttman Drogolin" w:hint="cs"/>
          <w:rtl/>
          <w:lang w:bidi="he-IL"/>
        </w:rPr>
        <w:lastRenderedPageBreak/>
        <w:t>טעם לדברים אחרים גם בלי בישול אין בהם בישולי נכרים. משא"כ בכגון דג, הדג מיועד להיות נאכל, וכיון שעדיין אינו ראוי, אע"ג שיכול לעשותו ראוי, לא חשוב נאכל כמות שהוא חי. וכן לענין זה שאוכלים את הדם ביחד עם הפת, אין זה בגלל שמשניים את הדג מלוח למתוקן יותר ע"י הפת, רק זהו סדר אכילתו עם פת. אבל דבר מאכל שצריך תיקון לעצמו כדי שיהא נאכל עדיין חשוב אינו נאכל כמות שהוא חי.</w:t>
      </w:r>
    </w:p>
    <w:p w:rsidR="00D80599" w:rsidRPr="00D80599" w:rsidRDefault="00D80599" w:rsidP="00D80599">
      <w:pPr>
        <w:pStyle w:val="Heading1"/>
        <w:bidi/>
        <w:spacing w:before="0" w:line="360" w:lineRule="auto"/>
        <w:jc w:val="center"/>
        <w:rPr>
          <w:rFonts w:cs="Guttman Drogolin"/>
          <w:color w:val="auto"/>
          <w:sz w:val="24"/>
          <w:szCs w:val="24"/>
          <w:u w:val="single"/>
          <w:rtl/>
          <w:lang w:bidi="he-IL"/>
        </w:rPr>
      </w:pPr>
      <w:bookmarkStart w:id="573" w:name="_Toc496175810"/>
      <w:r w:rsidRPr="00D80599">
        <w:rPr>
          <w:rFonts w:cs="Guttman Drogolin" w:hint="cs"/>
          <w:color w:val="auto"/>
          <w:sz w:val="24"/>
          <w:szCs w:val="24"/>
          <w:u w:val="single"/>
          <w:rtl/>
          <w:lang w:bidi="he-IL"/>
        </w:rPr>
        <w:t>אם בישול עכו"ם אוסר בטעמו</w:t>
      </w:r>
      <w:bookmarkEnd w:id="573"/>
    </w:p>
    <w:p w:rsidR="00D80599" w:rsidRPr="00D80599" w:rsidRDefault="00D80599" w:rsidP="00D80599">
      <w:pPr>
        <w:tabs>
          <w:tab w:val="right" w:pos="7497"/>
        </w:tabs>
        <w:bidi/>
        <w:jc w:val="both"/>
        <w:rPr>
          <w:rFonts w:cs="Guttman Drogolin"/>
          <w:rtl/>
          <w:lang w:bidi="he-IL"/>
        </w:rPr>
      </w:pPr>
      <w:r w:rsidRPr="00D80599">
        <w:rPr>
          <w:rFonts w:cs="Guttman Drogolin"/>
          <w:rtl/>
          <w:lang w:bidi="he-IL"/>
        </w:rPr>
        <w:fldChar w:fldCharType="begin"/>
      </w:r>
      <w:r w:rsidRPr="00D80599">
        <w:rPr>
          <w:rFonts w:cs="Guttman Drogolin"/>
        </w:rPr>
        <w:instrText xml:space="preserve"> XE "</w:instrText>
      </w:r>
      <w:r w:rsidRPr="00D80599">
        <w:rPr>
          <w:rFonts w:cs="Guttman Drogolin" w:hint="cs"/>
          <w:rtl/>
          <w:lang w:bidi="he-IL"/>
        </w:rPr>
        <w:instrText>בישול עכו</w:instrText>
      </w:r>
      <w:r w:rsidRPr="00D80599">
        <w:rPr>
          <w:rFonts w:eastAsiaTheme="minorEastAsia" w:cs="Guttman Drogolin"/>
          <w:lang w:bidi="he-IL"/>
        </w:rPr>
        <w:instrText>\</w:instrText>
      </w:r>
      <w:r w:rsidRPr="00D80599">
        <w:rPr>
          <w:rFonts w:cs="Guttman Drogolin" w:hint="cs"/>
          <w:rtl/>
          <w:lang w:bidi="he-IL"/>
        </w:rPr>
        <w:instrText>"ם</w:instrText>
      </w:r>
      <w:r w:rsidRPr="00D80599">
        <w:rPr>
          <w:rFonts w:cs="Guttman Drogolin"/>
          <w:rtl/>
        </w:rPr>
        <w:instrText>:</w:instrText>
      </w:r>
      <w:r w:rsidRPr="00D80599">
        <w:rPr>
          <w:rFonts w:cs="Guttman Drogolin" w:hint="cs"/>
          <w:rtl/>
          <w:lang w:bidi="he-IL"/>
        </w:rPr>
        <w:instrText>אם אוסר בטעמו</w:instrText>
      </w:r>
      <w:r w:rsidRPr="00D80599">
        <w:rPr>
          <w:rFonts w:cs="Guttman Drogolin"/>
        </w:rPr>
        <w:instrText xml:space="preserve">" </w:instrText>
      </w:r>
      <w:r w:rsidRPr="00D80599">
        <w:rPr>
          <w:rFonts w:cs="Guttman Drogolin"/>
          <w:rtl/>
          <w:lang w:bidi="he-IL"/>
        </w:rPr>
        <w:fldChar w:fldCharType="end"/>
      </w:r>
      <w:r w:rsidRPr="00D80599">
        <w:rPr>
          <w:rFonts w:cs="Guttman Drogolin"/>
          <w:rtl/>
          <w:lang w:bidi="he-IL"/>
        </w:rPr>
        <w:fldChar w:fldCharType="begin"/>
      </w:r>
      <w:r w:rsidRPr="00D80599">
        <w:rPr>
          <w:rFonts w:cs="Guttman Drogolin"/>
        </w:rPr>
        <w:instrText xml:space="preserve"> XE "</w:instrText>
      </w:r>
      <w:r w:rsidRPr="00D80599">
        <w:rPr>
          <w:rFonts w:cs="Guttman Drogolin" w:hint="cs"/>
          <w:rtl/>
          <w:lang w:bidi="he-IL"/>
        </w:rPr>
        <w:instrText>פת עכו</w:instrText>
      </w:r>
      <w:r w:rsidRPr="00D80599">
        <w:rPr>
          <w:rFonts w:eastAsiaTheme="minorEastAsia" w:cs="Guttman Drogolin"/>
          <w:lang w:bidi="he-IL"/>
        </w:rPr>
        <w:instrText>\</w:instrText>
      </w:r>
      <w:r w:rsidRPr="00D80599">
        <w:rPr>
          <w:rFonts w:cs="Guttman Drogolin" w:hint="cs"/>
          <w:rtl/>
          <w:lang w:bidi="he-IL"/>
        </w:rPr>
        <w:instrText>"ם</w:instrText>
      </w:r>
      <w:r w:rsidRPr="00D80599">
        <w:rPr>
          <w:rFonts w:cs="Guttman Drogolin"/>
          <w:rtl/>
        </w:rPr>
        <w:instrText>:</w:instrText>
      </w:r>
      <w:r w:rsidRPr="00D80599">
        <w:rPr>
          <w:rFonts w:cs="Guttman Drogolin" w:hint="cs"/>
          <w:rtl/>
          <w:lang w:bidi="he-IL"/>
        </w:rPr>
        <w:instrText>כשאפו פת ונבלע בה שומן</w:instrText>
      </w:r>
      <w:r w:rsidRPr="00D80599">
        <w:rPr>
          <w:rFonts w:cs="Guttman Drogolin"/>
        </w:rPr>
        <w:instrText xml:space="preserve">" </w:instrText>
      </w:r>
      <w:r w:rsidRPr="00D80599">
        <w:rPr>
          <w:rFonts w:cs="Guttman Drogolin"/>
          <w:rtl/>
          <w:lang w:bidi="he-IL"/>
        </w:rPr>
        <w:fldChar w:fldCharType="end"/>
      </w:r>
      <w:r w:rsidRPr="00D80599">
        <w:rPr>
          <w:rFonts w:cs="Guttman Drogolin" w:hint="cs"/>
          <w:rtl/>
          <w:lang w:bidi="he-IL"/>
        </w:rPr>
        <w:t>שיטת הרשב"א שאם מאכל התבשל ע"י עכו"ם ונאסר משום בישול עכו"ם הרי הוא אוסר בטעמו כמו שאר מאכלות אסורות האסורים מדרבנן. והרא"ה חולק, שהרי בישול עכו"ם נאסר משום חתנות, וליכא חתנות ע"י טעם בלבד. וכה"ג כתב הרא"ש בדין חולים שהתירו להם בישול עכו"ם בשבת (שאז אסור ע"י ישראל), שגדר דברים הוא שאין זה בכלל האיסור של בישול עכו"ם ולא רק היתר, ולכן כיון שנתבשל בשבת לצורך נכרי, הרי הוא מותר גם במוצאי שבת (והרשב"א במשמרת הבית חולק). וכשיטת הרא"ה כן נקט גם הרא"ש.</w:t>
      </w:r>
    </w:p>
    <w:p w:rsidR="00D80599" w:rsidRPr="00D80599" w:rsidRDefault="00D80599" w:rsidP="00D80599">
      <w:pPr>
        <w:tabs>
          <w:tab w:val="right" w:pos="7497"/>
        </w:tabs>
        <w:bidi/>
        <w:jc w:val="both"/>
        <w:rPr>
          <w:rFonts w:cs="Guttman Drogolin"/>
          <w:rtl/>
          <w:lang w:bidi="he-IL"/>
        </w:rPr>
      </w:pPr>
      <w:r w:rsidRPr="00D80599">
        <w:rPr>
          <w:rFonts w:cs="Guttman Drogolin" w:hint="cs"/>
          <w:rtl/>
          <w:lang w:bidi="he-IL"/>
        </w:rPr>
        <w:t>והנה הדין הוא שאם אפה פאנד"ה ונבלע שומן בפת אין להתירו מדין פת עכו"ם כיון כיון שהוא אסור משום השומן הנאסר מדין בישול עכו"ם. ודין זה מובא בשו"ע סי' קי"ג סע' ג'. ומקשים העולם על השו"ע, שהרי שם בסע' ט"ז הביא שיטת הרא"ש שאין הבליעות של בישול עכו"ם אוסרים כשיטת "י"א", וא"כ למה סתם לאסור בהא דפאנד"ה. וע' בתוה"א שבאמת הוכיח מס' התרומות שאסר בזה שאסרו כל בישול עכו"ם גם משום טעמו. והאמת יורה דרכו שבתוס' הרא"ש בסו"פ שני כבר העיר בזה, וכתב "ואע"פ שבעל התרומות כתב דפנדא של גוים של דגים</w:t>
      </w:r>
      <w:r w:rsidRPr="00D80599">
        <w:rPr>
          <w:rStyle w:val="FootnoteReference"/>
          <w:rFonts w:cs="Guttman Drogolin"/>
          <w:rtl/>
          <w:lang w:bidi="he-IL"/>
        </w:rPr>
        <w:footnoteReference w:id="606"/>
      </w:r>
      <w:r w:rsidRPr="00D80599">
        <w:rPr>
          <w:rFonts w:cs="Guttman Drogolin" w:hint="cs"/>
          <w:rtl/>
          <w:lang w:bidi="he-IL"/>
        </w:rPr>
        <w:t xml:space="preserve"> שאף הלחם אסור מפני שומן הדגים שאני התם שתבשיל אחד הוא ונתבשל ביחד וידוע ממשות הדגים בפת". ולכאורה כוונתו לב' חילוקים שונים. </w:t>
      </w:r>
      <w:r w:rsidRPr="00D80599">
        <w:rPr>
          <w:rFonts w:cs="Guttman Drogolin" w:hint="cs"/>
          <w:rtl/>
          <w:lang w:bidi="he-IL"/>
        </w:rPr>
        <w:lastRenderedPageBreak/>
        <w:t>חדא שלא הקילו בטעם אלא בכה"ג שאין כוונתו להשביח את התבשיל, רק הוא דרך מקרה, כיון דכה"ג אין בה משום חתנות, אבל כשהוא חלק עיקרי של התבשיל שפיר אוסר. ועוד דכיון שמממשות הדג ניכר בפת, אין זב אך ורק טעם ולכן אוסר משום בישול עכו"ם אפילו לשיטת הרא"ש. וע' מש"כ ביישוב דברי השו"ע גם בפר"ח (ס"ק ט"ז), ובפר"ת (ס"ק ה' וי"ט), ובמטה יהונתן על אתר.</w:t>
      </w:r>
    </w:p>
    <w:p w:rsidR="00D80599" w:rsidRPr="00D80599" w:rsidRDefault="00D80599" w:rsidP="00D80599">
      <w:pPr>
        <w:tabs>
          <w:tab w:val="right" w:pos="7497"/>
        </w:tabs>
        <w:bidi/>
        <w:jc w:val="both"/>
        <w:rPr>
          <w:rFonts w:cs="Guttman Drogolin"/>
          <w:rtl/>
          <w:lang w:bidi="he-IL"/>
        </w:rPr>
      </w:pPr>
      <w:r w:rsidRPr="00D80599">
        <w:rPr>
          <w:rFonts w:cs="Guttman Drogolin"/>
          <w:rtl/>
          <w:lang w:bidi="he-IL"/>
        </w:rPr>
        <w:fldChar w:fldCharType="begin"/>
      </w:r>
      <w:r w:rsidRPr="00D80599">
        <w:rPr>
          <w:rFonts w:cs="Guttman Drogolin"/>
        </w:rPr>
        <w:instrText xml:space="preserve"> XE "</w:instrText>
      </w:r>
      <w:r w:rsidRPr="00D80599">
        <w:rPr>
          <w:rFonts w:cs="Guttman Drogolin" w:hint="cs"/>
          <w:rtl/>
          <w:lang w:bidi="he-IL"/>
        </w:rPr>
        <w:instrText>בישול עכו</w:instrText>
      </w:r>
      <w:r w:rsidRPr="00D80599">
        <w:rPr>
          <w:rFonts w:eastAsiaTheme="minorEastAsia" w:cs="Guttman Drogolin"/>
          <w:lang w:bidi="he-IL"/>
        </w:rPr>
        <w:instrText>\</w:instrText>
      </w:r>
      <w:r w:rsidRPr="00D80599">
        <w:rPr>
          <w:rFonts w:cs="Guttman Drogolin" w:hint="cs"/>
          <w:rtl/>
          <w:lang w:bidi="he-IL"/>
        </w:rPr>
        <w:instrText>"ם</w:instrText>
      </w:r>
      <w:r w:rsidRPr="00D80599">
        <w:rPr>
          <w:rFonts w:cs="Guttman Drogolin"/>
          <w:rtl/>
        </w:rPr>
        <w:instrText>:</w:instrText>
      </w:r>
      <w:r w:rsidRPr="00D80599">
        <w:rPr>
          <w:rFonts w:cs="Guttman Drogolin" w:hint="cs"/>
          <w:rtl/>
          <w:lang w:bidi="he-IL"/>
        </w:rPr>
        <w:instrText>אם בטל ברוב (במין במינו)</w:instrText>
      </w:r>
      <w:r w:rsidRPr="00D80599">
        <w:rPr>
          <w:rFonts w:cs="Guttman Drogolin"/>
        </w:rPr>
        <w:instrText xml:space="preserve">" </w:instrText>
      </w:r>
      <w:r w:rsidRPr="00D80599">
        <w:rPr>
          <w:rFonts w:cs="Guttman Drogolin"/>
          <w:rtl/>
          <w:lang w:bidi="he-IL"/>
        </w:rPr>
        <w:fldChar w:fldCharType="end"/>
      </w:r>
      <w:r w:rsidRPr="00D80599">
        <w:rPr>
          <w:rFonts w:cs="Guttman Drogolin"/>
          <w:rtl/>
          <w:lang w:bidi="he-IL"/>
        </w:rPr>
        <w:fldChar w:fldCharType="begin"/>
      </w:r>
      <w:r w:rsidRPr="00D80599">
        <w:rPr>
          <w:rFonts w:cs="Guttman Drogolin"/>
        </w:rPr>
        <w:instrText xml:space="preserve"> XE "</w:instrText>
      </w:r>
      <w:r w:rsidRPr="00D80599">
        <w:rPr>
          <w:rFonts w:cs="Guttman Drogolin" w:hint="cs"/>
          <w:rtl/>
          <w:lang w:bidi="he-IL"/>
        </w:rPr>
        <w:instrText>פת עכו</w:instrText>
      </w:r>
      <w:r w:rsidRPr="00D80599">
        <w:rPr>
          <w:rFonts w:eastAsiaTheme="minorEastAsia" w:cs="Guttman Drogolin"/>
          <w:lang w:bidi="he-IL"/>
        </w:rPr>
        <w:instrText>\</w:instrText>
      </w:r>
      <w:r w:rsidRPr="00D80599">
        <w:rPr>
          <w:rFonts w:cs="Guttman Drogolin" w:hint="cs"/>
          <w:rtl/>
          <w:lang w:bidi="he-IL"/>
        </w:rPr>
        <w:instrText>"ם</w:instrText>
      </w:r>
      <w:r w:rsidRPr="00D80599">
        <w:rPr>
          <w:rFonts w:cs="Guttman Drogolin"/>
          <w:rtl/>
        </w:rPr>
        <w:instrText>:</w:instrText>
      </w:r>
      <w:r w:rsidRPr="00D80599">
        <w:rPr>
          <w:rFonts w:cs="Guttman Drogolin" w:hint="cs"/>
          <w:rtl/>
          <w:lang w:bidi="he-IL"/>
        </w:rPr>
        <w:instrText>אם בטל ברוב (במין במינו)</w:instrText>
      </w:r>
      <w:r w:rsidRPr="00D80599">
        <w:rPr>
          <w:rFonts w:cs="Guttman Drogolin"/>
        </w:rPr>
        <w:instrText xml:space="preserve">" </w:instrText>
      </w:r>
      <w:r w:rsidRPr="00D80599">
        <w:rPr>
          <w:rFonts w:cs="Guttman Drogolin"/>
          <w:rtl/>
          <w:lang w:bidi="he-IL"/>
        </w:rPr>
        <w:fldChar w:fldCharType="end"/>
      </w:r>
      <w:r w:rsidRPr="00D80599">
        <w:rPr>
          <w:rFonts w:cs="Guttman Drogolin" w:hint="cs"/>
          <w:rtl/>
          <w:lang w:bidi="he-IL"/>
        </w:rPr>
        <w:t>ועוד דנו הפוסקים אם בישול ופת עכו"ם בטלים ברוב או בששים. וע' בס' מנחת כהן (ח"א פ"א) שביאר שאפילו לשיטת הרשב"א שבישול עכו"ם אוסר בטעמו, איכא למימר שמ"מ בטילין ברוב, די"ל שהטעם שאוסר בטעמו משום שיש בה משום טכ"ע מדאורייתא, אבל במין במינו שאין בה משום טכ"ע, אולי בטל ברוב</w:t>
      </w:r>
      <w:r w:rsidRPr="00D80599">
        <w:rPr>
          <w:rStyle w:val="FootnoteReference"/>
          <w:rFonts w:cs="Guttman Drogolin"/>
          <w:rtl/>
          <w:lang w:bidi="he-IL"/>
        </w:rPr>
        <w:footnoteReference w:id="607"/>
      </w:r>
      <w:r w:rsidRPr="00D80599">
        <w:rPr>
          <w:rFonts w:cs="Guttman Drogolin" w:hint="cs"/>
          <w:rtl/>
          <w:lang w:bidi="he-IL"/>
        </w:rPr>
        <w:t>. וע"ש במנח"כ שהוכיח שאמנם נחלקו הרשב"א והרמב"ן אם בישול עכו"ם בטל ברוב, מ"מ בפת עכו"ם כו"ע מודו, דאלו הם דברי התוס' בדף ל"ה ע"ב שהתירו מי שנזהר מת עכו"ם לאכול עם מי שינו נזהר ולא חשש לבליעות, וכן סתפ בשו"ע בסי' קי"ב סע' ט"ו להקל אע"פ שעיקר השיטה בסי' קי"ג הוא לאסור בישול עכו"ם בטעמו.</w:t>
      </w:r>
    </w:p>
    <w:p w:rsidR="00D80599" w:rsidRPr="00310F82" w:rsidRDefault="00D80599" w:rsidP="00310F82">
      <w:pPr>
        <w:pStyle w:val="Heading1"/>
        <w:bidi/>
        <w:spacing w:before="0" w:line="240" w:lineRule="auto"/>
        <w:jc w:val="center"/>
        <w:rPr>
          <w:rFonts w:cs="Guttman Drogolin"/>
          <w:color w:val="auto"/>
          <w:sz w:val="24"/>
          <w:szCs w:val="24"/>
          <w:u w:val="single"/>
          <w:rtl/>
          <w:lang w:bidi="he-IL"/>
        </w:rPr>
      </w:pPr>
      <w:bookmarkStart w:id="574" w:name="_Toc496175811"/>
      <w:r w:rsidRPr="00310F82">
        <w:rPr>
          <w:rFonts w:cs="Guttman Drogolin" w:hint="cs"/>
          <w:color w:val="auto"/>
          <w:sz w:val="24"/>
          <w:szCs w:val="24"/>
          <w:u w:val="single"/>
          <w:rtl/>
          <w:lang w:bidi="he-IL"/>
        </w:rPr>
        <w:t>למה היום אין פת פלטר נאסר משום בישול עכו"ם (ובדין פת של ישראל)</w:t>
      </w:r>
      <w:bookmarkEnd w:id="574"/>
    </w:p>
    <w:p w:rsidR="00D80599" w:rsidRPr="00D80599" w:rsidRDefault="00D80599" w:rsidP="00D80599">
      <w:pPr>
        <w:tabs>
          <w:tab w:val="right" w:pos="7497"/>
        </w:tabs>
        <w:bidi/>
        <w:jc w:val="both"/>
        <w:rPr>
          <w:rFonts w:cs="Guttman Drogolin"/>
          <w:rtl/>
          <w:lang w:bidi="he-IL"/>
        </w:rPr>
      </w:pPr>
      <w:r w:rsidRPr="00D80599">
        <w:rPr>
          <w:rFonts w:cs="Guttman Drogolin"/>
          <w:rtl/>
          <w:lang w:bidi="he-IL"/>
        </w:rPr>
        <w:fldChar w:fldCharType="begin"/>
      </w:r>
      <w:r w:rsidRPr="00D80599">
        <w:rPr>
          <w:rFonts w:cs="Guttman Drogolin"/>
        </w:rPr>
        <w:instrText xml:space="preserve"> XE "</w:instrText>
      </w:r>
      <w:r w:rsidRPr="00D80599">
        <w:rPr>
          <w:rFonts w:cs="Guttman Drogolin" w:hint="cs"/>
          <w:rtl/>
          <w:lang w:bidi="he-IL"/>
        </w:rPr>
        <w:instrText>פת עכו</w:instrText>
      </w:r>
      <w:r w:rsidRPr="00D80599">
        <w:rPr>
          <w:rFonts w:eastAsiaTheme="minorEastAsia" w:cs="Guttman Drogolin"/>
          <w:lang w:bidi="he-IL"/>
        </w:rPr>
        <w:instrText>\</w:instrText>
      </w:r>
      <w:r w:rsidRPr="00D80599">
        <w:rPr>
          <w:rFonts w:cs="Guttman Drogolin" w:hint="cs"/>
          <w:rtl/>
          <w:lang w:bidi="he-IL"/>
        </w:rPr>
        <w:instrText>"ם</w:instrText>
      </w:r>
      <w:r w:rsidRPr="00D80599">
        <w:rPr>
          <w:rFonts w:cs="Guttman Drogolin"/>
          <w:rtl/>
        </w:rPr>
        <w:instrText>:</w:instrText>
      </w:r>
      <w:r w:rsidRPr="00D80599">
        <w:rPr>
          <w:rFonts w:cs="Guttman Drogolin" w:hint="cs"/>
          <w:rtl/>
          <w:lang w:bidi="he-IL"/>
        </w:rPr>
        <w:instrText>למה אין בפת פלטר של היום משום בישול עכו</w:instrText>
      </w:r>
      <w:r w:rsidRPr="00D80599">
        <w:rPr>
          <w:rFonts w:eastAsiaTheme="minorEastAsia" w:cs="Guttman Drogolin"/>
          <w:lang w:bidi="he-IL"/>
        </w:rPr>
        <w:instrText>\</w:instrText>
      </w:r>
      <w:r w:rsidRPr="00D80599">
        <w:rPr>
          <w:rFonts w:cs="Guttman Drogolin" w:hint="cs"/>
          <w:rtl/>
          <w:lang w:bidi="he-IL"/>
        </w:rPr>
        <w:instrText>"ם</w:instrText>
      </w:r>
      <w:r w:rsidRPr="00D80599">
        <w:rPr>
          <w:rFonts w:cs="Guttman Drogolin"/>
        </w:rPr>
        <w:instrText xml:space="preserve">" </w:instrText>
      </w:r>
      <w:r w:rsidRPr="00D80599">
        <w:rPr>
          <w:rFonts w:cs="Guttman Drogolin"/>
          <w:rtl/>
          <w:lang w:bidi="he-IL"/>
        </w:rPr>
        <w:fldChar w:fldCharType="end"/>
      </w:r>
      <w:r w:rsidRPr="00D80599">
        <w:rPr>
          <w:rFonts w:cs="Guttman Drogolin" w:hint="cs"/>
          <w:rtl/>
          <w:lang w:bidi="he-IL"/>
        </w:rPr>
        <w:t xml:space="preserve">. לפי כמה ראשונים הקילו היום שמותר לאכול פת של פלטר נכרי, ושאין בזה עכ"פ היום משום גזירת פת עכו"ם. ויל"ע למה אינו נאסר משום בישול עכו"ם. והנה לעיל בשיעור קמ"ח הבאנו מחלוקת הראשונים בחילוק שבין גזירת פת עכו"ם לגזירת בישול עכו"ם, ולכאורה התי' לקושייתנו תלוי בדעתם. שלשיטת ר"ת הדבר פשוט, דבישול לחוד ואפיי' לחוד, ולעולם לא היתה פת בכלל גזירת בישול עכו"ם. אמנם שאר הראשונים נקטו שאפיי' הוי ג"כ בכלל גזירת בישול עכו"ם, וא"כ נהי נמי שגזרו על הבישול אחרי שגזרו על הפת, ולכן אין שאלה למה היו צריכים גזרה נוספת של </w:t>
      </w:r>
      <w:r w:rsidRPr="00D80599">
        <w:rPr>
          <w:rFonts w:cs="Guttman Drogolin" w:hint="cs"/>
          <w:rtl/>
          <w:lang w:bidi="he-IL"/>
        </w:rPr>
        <w:lastRenderedPageBreak/>
        <w:t xml:space="preserve">פת עכו"ם, אבל בוף כל סוף הרי גזרו על בישול עכו"ם. אלא שגם בזה יש ליישב לפמש"כ הריטב"א בשם ר' יונה, שלעולם הי' אפשר לומר שגזירת בישול קדמה לגזירת פת, וכן אפיי' בכלל בישול הוא, אבל מ"מ הי' פת צריך להיות מותר משום שהיו מוציאים את הפת מכלל גזירתם </w:t>
      </w:r>
      <w:r w:rsidRPr="00D80599">
        <w:rPr>
          <w:rFonts w:cs="Guttman Drogolin"/>
          <w:rtl/>
          <w:lang w:bidi="he-IL"/>
        </w:rPr>
        <w:t>מפני חיי נפש</w:t>
      </w:r>
      <w:r w:rsidRPr="00D80599">
        <w:rPr>
          <w:rFonts w:cs="Guttman Drogolin" w:hint="cs"/>
          <w:rtl/>
          <w:lang w:bidi="he-IL"/>
        </w:rPr>
        <w:t>. וא"כ היום שאמרו היום שפת פלטר אינו בכלל גזירתם, חזר בדין כבתחילה שהוציאו אותו מן הכלל ואינו בכלל גזירת בישול עכו"ם. אבל יל"ע לשיטת הרמב"ן דסבר שאילו גזרו על השלקות הי' הפת נאסר ממילא, למה היום אין פת עכו"ם נאסר משום בישול עכו"ם אע"ג שהקילו בגזירת פת עכו"ם. ואולי יש לדחוק שאפילו הרמב"ן מודה דכיון שכבר גזרו על הפת קודם שגזרו על השלקות, כשגזרו על השלקות לא גזרו גם על הפת, דהא לא הי' צורך לגזור עליו כיון שהי' כבר אסור. כן כשחזרו והתירו את הפת לא הי' בזה גם משום בישול עכו"ם. ועוד י"ל שאע"ג שבתחילת גזירתם לא היו מקילים בפת עכו"ם משום חיי נפש עד כמה שהי' בה משום בישול, כשביטלו את הגזרה לענין פתת ביטלו אותו בין מגזירת פת עכו"ם ובין מגזירת בישול עכו"ם.</w:t>
      </w:r>
    </w:p>
    <w:p w:rsidR="00172A16" w:rsidRDefault="00D80599" w:rsidP="00D80599">
      <w:pPr>
        <w:tabs>
          <w:tab w:val="right" w:pos="7497"/>
        </w:tabs>
        <w:bidi/>
        <w:jc w:val="both"/>
        <w:rPr>
          <w:rFonts w:cs="Guttman Drogolin"/>
          <w:rtl/>
          <w:lang w:bidi="he-IL"/>
        </w:rPr>
      </w:pPr>
      <w:r w:rsidRPr="00D80599">
        <w:rPr>
          <w:rFonts w:cs="Guttman Drogolin" w:hint="cs"/>
          <w:rtl/>
          <w:lang w:bidi="he-IL"/>
        </w:rPr>
        <w:t xml:space="preserve">ובסוף הסי' הביא הב"י ממהר"ם לאסור פת של ישראל שאפאו עכו"ם, וכן הביא לדינא בש"ך סי' קי"ב ס"ק ז'. ובכמה אחרונים לכאורה מתבאר שהאיסור הוא משום בישול עכו"ם. ודבר זה יתבאר באורך בשיעור הבא. </w:t>
      </w:r>
    </w:p>
    <w:p w:rsidR="00C53875" w:rsidRDefault="00C53875" w:rsidP="00C53875">
      <w:pPr>
        <w:tabs>
          <w:tab w:val="right" w:pos="7497"/>
        </w:tabs>
        <w:bidi/>
        <w:jc w:val="both"/>
        <w:rPr>
          <w:rFonts w:cs="Guttman Drogolin"/>
          <w:b/>
          <w:bCs/>
          <w:sz w:val="28"/>
          <w:szCs w:val="28"/>
          <w:rtl/>
          <w:lang w:bidi="he-IL"/>
        </w:rPr>
      </w:pPr>
      <w:r>
        <w:rPr>
          <w:rFonts w:cs="Guttman Drogolin" w:hint="cs"/>
          <w:b/>
          <w:bCs/>
          <w:sz w:val="28"/>
          <w:szCs w:val="28"/>
          <w:rtl/>
          <w:lang w:bidi="he-IL"/>
        </w:rPr>
        <w:t>מילואים</w:t>
      </w:r>
    </w:p>
    <w:p w:rsidR="00C53875" w:rsidRDefault="00D154D1" w:rsidP="00C53875">
      <w:pPr>
        <w:tabs>
          <w:tab w:val="right" w:pos="7497"/>
        </w:tabs>
        <w:bidi/>
        <w:jc w:val="both"/>
        <w:rPr>
          <w:rFonts w:cs="Guttman Drogolin"/>
          <w:b/>
          <w:bCs/>
          <w:sz w:val="28"/>
          <w:szCs w:val="28"/>
          <w:rtl/>
          <w:lang w:bidi="he-IL"/>
        </w:rPr>
      </w:pPr>
      <w:r>
        <w:rPr>
          <w:rFonts w:cs="Guttman Drogolin"/>
          <w:b/>
          <w:bCs/>
          <w:sz w:val="28"/>
          <w:szCs w:val="28"/>
          <w:rtl/>
          <w:lang w:bidi="he-IL"/>
        </w:rPr>
        <w:fldChar w:fldCharType="begin"/>
      </w:r>
      <w:r>
        <w:instrText xml:space="preserve"> XE "</w:instrText>
      </w:r>
      <w:r w:rsidRPr="00344CF1">
        <w:rPr>
          <w:rFonts w:hint="cs"/>
          <w:rtl/>
          <w:lang w:bidi="he-IL"/>
        </w:rPr>
        <w:instrText>בישול עכו</w:instrText>
      </w:r>
      <w:r>
        <w:rPr>
          <w:rFonts w:eastAsiaTheme="minorEastAsia"/>
          <w:lang w:bidi="he-IL"/>
        </w:rPr>
        <w:instrText>\</w:instrText>
      </w:r>
      <w:r w:rsidRPr="00344CF1">
        <w:rPr>
          <w:rFonts w:hint="cs"/>
          <w:rtl/>
          <w:lang w:bidi="he-IL"/>
        </w:rPr>
        <w:instrText>"ם</w:instrText>
      </w:r>
      <w:r w:rsidRPr="00344CF1">
        <w:rPr>
          <w:rtl/>
        </w:rPr>
        <w:instrText>:</w:instrText>
      </w:r>
      <w:r w:rsidRPr="00344CF1">
        <w:rPr>
          <w:rFonts w:hint="cs"/>
          <w:rtl/>
          <w:lang w:bidi="he-IL"/>
        </w:rPr>
        <w:instrText>הערות בדינה</w:instrText>
      </w:r>
      <w:r>
        <w:instrText xml:space="preserve">" </w:instrText>
      </w:r>
      <w:r>
        <w:rPr>
          <w:rFonts w:cs="Guttman Drogolin"/>
          <w:b/>
          <w:bCs/>
          <w:sz w:val="28"/>
          <w:szCs w:val="28"/>
          <w:rtl/>
          <w:lang w:bidi="he-IL"/>
        </w:rPr>
        <w:fldChar w:fldCharType="end"/>
      </w:r>
      <w:r w:rsidR="00C53875">
        <w:rPr>
          <w:rFonts w:cs="Guttman Drogolin" w:hint="cs"/>
          <w:b/>
          <w:bCs/>
          <w:sz w:val="28"/>
          <w:szCs w:val="28"/>
          <w:rtl/>
          <w:lang w:bidi="he-IL"/>
        </w:rPr>
        <w:t>הערות קצרות בהלכות בישול עכו"ם</w:t>
      </w:r>
    </w:p>
    <w:p w:rsidR="00C53875" w:rsidRDefault="00C53875" w:rsidP="00C53875">
      <w:pPr>
        <w:pStyle w:val="ListParagraph"/>
        <w:numPr>
          <w:ilvl w:val="0"/>
          <w:numId w:val="24"/>
        </w:numPr>
        <w:tabs>
          <w:tab w:val="right" w:pos="7497"/>
        </w:tabs>
        <w:bidi/>
        <w:ind w:left="463" w:hanging="450"/>
        <w:jc w:val="both"/>
        <w:rPr>
          <w:rFonts w:cs="Guttman Drogolin"/>
          <w:lang w:bidi="he-IL"/>
        </w:rPr>
      </w:pPr>
      <w:r w:rsidRPr="00C53875">
        <w:rPr>
          <w:rFonts w:cs="Guttman Drogolin" w:hint="cs"/>
          <w:rtl/>
          <w:lang w:bidi="he-IL"/>
        </w:rPr>
        <w:t>הראש</w:t>
      </w:r>
      <w:r>
        <w:rPr>
          <w:rFonts w:cs="Guttman Drogolin" w:hint="cs"/>
          <w:rtl/>
          <w:lang w:bidi="he-IL"/>
        </w:rPr>
        <w:t xml:space="preserve">ונים נחלקו אם בישול ישראל כמאב"ד הוא דין לקולא או מעיקר הדין, ונפק"מ בבישלו עכו"ם כמאב"ד ושוב גמרו ישראל. ויל"ע אם יש מכאן ראי' מה הדין בבבישול בשבת אחרי שהגיע המאכל לשיעור כמאב"ד. </w:t>
      </w:r>
    </w:p>
    <w:p w:rsidR="002B79D8" w:rsidRDefault="00C53875" w:rsidP="00D3590F">
      <w:pPr>
        <w:pStyle w:val="ListParagraph"/>
        <w:numPr>
          <w:ilvl w:val="0"/>
          <w:numId w:val="24"/>
        </w:numPr>
        <w:tabs>
          <w:tab w:val="right" w:pos="7497"/>
        </w:tabs>
        <w:bidi/>
        <w:ind w:left="463" w:hanging="450"/>
        <w:jc w:val="both"/>
        <w:rPr>
          <w:rFonts w:cs="Guttman Drogolin"/>
          <w:lang w:bidi="he-IL"/>
        </w:rPr>
      </w:pPr>
      <w:r>
        <w:rPr>
          <w:rFonts w:cs="Guttman Drogolin" w:hint="cs"/>
          <w:rtl/>
          <w:lang w:bidi="he-IL"/>
        </w:rPr>
        <w:lastRenderedPageBreak/>
        <w:t>יל"ע אם בכה"ג דמהני מקצת בישול ע"י ישראל אם מהני גם מקצת בישול ע"י קוף (ונפק"מ גם לבישול בגרמא ולא כח ראשון וכדומה). ופשוט שאם התבשל כולו ע"י קוף הרי הוא מותר.</w:t>
      </w:r>
      <w:r w:rsidR="00D3590F" w:rsidRPr="00D3590F">
        <w:rPr>
          <w:rFonts w:cs="Guttman Drogolin" w:hint="cs"/>
          <w:rtl/>
          <w:lang w:bidi="he-IL"/>
        </w:rPr>
        <w:t xml:space="preserve"> </w:t>
      </w:r>
    </w:p>
    <w:p w:rsidR="00C53875" w:rsidRDefault="002B79D8" w:rsidP="002B79D8">
      <w:pPr>
        <w:pStyle w:val="ListParagraph"/>
        <w:tabs>
          <w:tab w:val="right" w:pos="7497"/>
        </w:tabs>
        <w:bidi/>
        <w:ind w:left="463"/>
        <w:jc w:val="both"/>
        <w:rPr>
          <w:rFonts w:cs="Guttman Drogolin"/>
          <w:lang w:bidi="he-IL"/>
        </w:rPr>
      </w:pPr>
      <w:r>
        <w:rPr>
          <w:rFonts w:cs="Guttman Drogolin" w:hint="cs"/>
          <w:rtl/>
          <w:lang w:bidi="he-IL"/>
        </w:rPr>
        <w:t>ונראה ש</w:t>
      </w:r>
      <w:r w:rsidR="00D3590F">
        <w:rPr>
          <w:rFonts w:cs="Guttman Drogolin" w:hint="cs"/>
          <w:rtl/>
          <w:lang w:bidi="he-IL"/>
        </w:rPr>
        <w:t xml:space="preserve">מעצם דברי הב"י </w:t>
      </w:r>
      <w:r>
        <w:rPr>
          <w:rFonts w:cs="Guttman Drogolin" w:hint="cs"/>
          <w:rtl/>
          <w:lang w:bidi="he-IL"/>
        </w:rPr>
        <w:t xml:space="preserve">בההא </w:t>
      </w:r>
      <w:r w:rsidR="00D3590F">
        <w:rPr>
          <w:rFonts w:cs="Guttman Drogolin" w:hint="cs"/>
          <w:rtl/>
          <w:lang w:bidi="he-IL"/>
        </w:rPr>
        <w:t xml:space="preserve">דניפוח הוי מעשה מבואר דאילו הי' חשוב רוח רוח </w:t>
      </w:r>
      <w:r>
        <w:rPr>
          <w:rFonts w:cs="Guttman Drogolin" w:hint="cs"/>
          <w:rtl/>
          <w:lang w:bidi="he-IL"/>
        </w:rPr>
        <w:t>מצ</w:t>
      </w:r>
      <w:r w:rsidR="00D3590F">
        <w:rPr>
          <w:rFonts w:cs="Guttman Drogolin" w:hint="cs"/>
          <w:rtl/>
          <w:lang w:bidi="he-IL"/>
        </w:rPr>
        <w:t>וי' בעלמא לא הוה מהני אע"ג שגם נכרי לא עשה כן. וחזינן דאה"נ אם עשאו כולו קוף לא נאסר אבל אם עשה הנכרי חלק בעינן מעשה שישראל כדי שלא תיאסר.</w:t>
      </w:r>
    </w:p>
    <w:p w:rsidR="00C53875" w:rsidRDefault="00C53875" w:rsidP="00C53875">
      <w:pPr>
        <w:pStyle w:val="ListParagraph"/>
        <w:numPr>
          <w:ilvl w:val="0"/>
          <w:numId w:val="24"/>
        </w:numPr>
        <w:tabs>
          <w:tab w:val="right" w:pos="7497"/>
        </w:tabs>
        <w:bidi/>
        <w:ind w:left="463" w:hanging="450"/>
        <w:jc w:val="both"/>
        <w:rPr>
          <w:rFonts w:cs="Guttman Drogolin"/>
          <w:lang w:bidi="he-IL"/>
        </w:rPr>
      </w:pPr>
      <w:r>
        <w:rPr>
          <w:rFonts w:cs="Guttman Drogolin" w:hint="cs"/>
          <w:rtl/>
          <w:lang w:bidi="he-IL"/>
        </w:rPr>
        <w:t>מהא דגחלים עוממות מבואר דזה שהניח במקום שיתבשל לבסוף לא מהני.</w:t>
      </w:r>
    </w:p>
    <w:p w:rsidR="00D154D1" w:rsidRDefault="00D154D1" w:rsidP="00D154D1">
      <w:pPr>
        <w:pStyle w:val="ListParagraph"/>
        <w:numPr>
          <w:ilvl w:val="0"/>
          <w:numId w:val="24"/>
        </w:numPr>
        <w:tabs>
          <w:tab w:val="right" w:pos="7497"/>
        </w:tabs>
        <w:bidi/>
        <w:ind w:left="463" w:hanging="450"/>
        <w:jc w:val="both"/>
        <w:rPr>
          <w:rFonts w:cs="Guttman Drogolin"/>
          <w:lang w:bidi="he-IL"/>
        </w:rPr>
      </w:pPr>
      <w:r>
        <w:rPr>
          <w:rFonts w:cs="Guttman Drogolin" w:hint="cs"/>
          <w:rtl/>
          <w:lang w:bidi="he-IL"/>
        </w:rPr>
        <w:t>ראוי לציין שדנו האחרונים אם ההיתר של מעושן הוא אפילו במעושן חם או רק בצונן. והמושכל ראשון שאם הוא מעושן חם מאי שנא משאר תולדות האור. וע' מזה בס' בישול ישראל סי' ח'.</w:t>
      </w:r>
    </w:p>
    <w:p w:rsidR="004E3F52" w:rsidRDefault="00D154D1" w:rsidP="00D154D1">
      <w:pPr>
        <w:pStyle w:val="ListParagraph"/>
        <w:numPr>
          <w:ilvl w:val="0"/>
          <w:numId w:val="24"/>
        </w:numPr>
        <w:tabs>
          <w:tab w:val="right" w:pos="7497"/>
        </w:tabs>
        <w:bidi/>
        <w:ind w:left="463" w:hanging="450"/>
        <w:jc w:val="both"/>
        <w:rPr>
          <w:rFonts w:cs="Guttman Drogolin"/>
          <w:lang w:bidi="he-IL"/>
        </w:rPr>
      </w:pPr>
      <w:r>
        <w:rPr>
          <w:rFonts w:cs="Guttman Drogolin" w:hint="cs"/>
          <w:rtl/>
          <w:lang w:bidi="he-IL"/>
        </w:rPr>
        <w:t>בכסא דהרסנא דנו מהו העיקר, האם הרסנא עיק או קימחא, ואילו הוה הרסנא עיקר הי' מותר. ולכאורה צ"ע שהא בזמן שהתערב הרי פשוט שעדיין לא היתה התערובת נאכל, דא"כ כסא דהרסנא נאכל כמות שהוא חי. וא"כ לכאורה מבואר חידוש שאם היתה נאכל כמות שהוא חי ושוב עירב אותו ועשאו אינו נאכל שמ"מ מותר מדין נאכל כמות שהוא חי. ומאידך מיני' ובי' מבואר שמאכל שהי' נאכל חי כמו חיטה (לשיטת הרשב"א שזהו הטעם בקליות)</w:t>
      </w:r>
      <w:r w:rsidR="00874907">
        <w:rPr>
          <w:rFonts w:cs="Guttman Drogolin" w:hint="cs"/>
          <w:rtl/>
          <w:lang w:bidi="he-IL"/>
        </w:rPr>
        <w:t xml:space="preserve"> ושוב נהפך לאינו נאכל כמו קמח, דינו כאינו נאכל חי, דהא כאן כיון שקימחא עיקר הרי הוא אסור. ולכאורה ביאור הענין שאם הוא בעצם נאכל לעצמו רק התערובת פוגמו עדייין נחשב ננאכל חי, אבל אם הוא מחמת שינוי בצורתו פנים חדשות באו לכאן ואינו נאכל כמות שהוא חי.</w:t>
      </w:r>
    </w:p>
    <w:p w:rsidR="004E3F52" w:rsidRDefault="004E3F52" w:rsidP="004E3F52">
      <w:pPr>
        <w:pStyle w:val="ListParagraph"/>
        <w:numPr>
          <w:ilvl w:val="0"/>
          <w:numId w:val="24"/>
        </w:numPr>
        <w:tabs>
          <w:tab w:val="right" w:pos="7497"/>
        </w:tabs>
        <w:bidi/>
        <w:ind w:left="463" w:hanging="450"/>
        <w:jc w:val="both"/>
        <w:rPr>
          <w:rFonts w:cs="Guttman Drogolin"/>
          <w:lang w:bidi="he-IL"/>
        </w:rPr>
      </w:pPr>
      <w:r>
        <w:rPr>
          <w:rFonts w:cs="Guttman Drogolin" w:hint="cs"/>
          <w:rtl/>
          <w:lang w:bidi="he-IL"/>
        </w:rPr>
        <w:t xml:space="preserve">הא דבעינן אין עולה על שולחן מלכים, אע"ג שהדיוט הוא שמזמין את חבירו, היינו משום שגם הדיוט אינו רגיל להזמין אלא בדבר שעולה על שולחן מלכים, אבל לעצמו עולה </w:t>
      </w:r>
      <w:r>
        <w:rPr>
          <w:rFonts w:cs="Guttman Drogolin" w:hint="cs"/>
          <w:rtl/>
          <w:lang w:bidi="he-IL"/>
        </w:rPr>
        <w:lastRenderedPageBreak/>
        <w:t>גם דברים אחרים, אבל אצל מלכים לעולם אינו עולה אפילו שלא לאורחים.</w:t>
      </w:r>
    </w:p>
    <w:p w:rsidR="004E3F52" w:rsidRDefault="004E3F52" w:rsidP="004E3F52">
      <w:pPr>
        <w:pStyle w:val="ListParagraph"/>
        <w:numPr>
          <w:ilvl w:val="0"/>
          <w:numId w:val="24"/>
        </w:numPr>
        <w:tabs>
          <w:tab w:val="right" w:pos="7497"/>
        </w:tabs>
        <w:bidi/>
        <w:ind w:left="463" w:hanging="450"/>
        <w:jc w:val="both"/>
        <w:rPr>
          <w:rFonts w:cs="Guttman Drogolin"/>
          <w:lang w:bidi="he-IL"/>
        </w:rPr>
      </w:pPr>
      <w:r>
        <w:rPr>
          <w:rFonts w:cs="Guttman Drogolin" w:hint="cs"/>
          <w:rtl/>
          <w:lang w:bidi="he-IL"/>
        </w:rPr>
        <w:t>בבישול עכו"ם מבואר דקרובי בישול לל"ב. ויל"ע מה הדין לענין בישול בשבת.</w:t>
      </w:r>
    </w:p>
    <w:p w:rsidR="004E3F52" w:rsidRDefault="004E3F52" w:rsidP="004E3F52">
      <w:pPr>
        <w:pStyle w:val="ListParagraph"/>
        <w:numPr>
          <w:ilvl w:val="0"/>
          <w:numId w:val="24"/>
        </w:numPr>
        <w:tabs>
          <w:tab w:val="right" w:pos="7497"/>
        </w:tabs>
        <w:bidi/>
        <w:ind w:left="463" w:hanging="450"/>
        <w:jc w:val="both"/>
        <w:rPr>
          <w:rFonts w:cs="Guttman Drogolin"/>
          <w:lang w:bidi="he-IL"/>
        </w:rPr>
      </w:pPr>
      <w:r>
        <w:rPr>
          <w:rFonts w:cs="Guttman Drogolin" w:hint="cs"/>
          <w:rtl/>
          <w:lang w:bidi="he-IL"/>
        </w:rPr>
        <w:t>צ"ע מהו הטעם שמחשיב הרשב"א חיטה כנאכל חי כיון ש'כוסס את החיטב' כתיב, וא"כ מאי שנא מדגים גדולים מלוחים. וצ"ע.</w:t>
      </w:r>
      <w:r w:rsidR="00573C1F">
        <w:rPr>
          <w:rFonts w:cs="Guttman Drogolin" w:hint="cs"/>
          <w:rtl/>
          <w:lang w:bidi="he-IL"/>
        </w:rPr>
        <w:t xml:space="preserve"> שו"ר בשדה חמד (אס"ד מע' בישול א"י אות ט')  שהעיר כעין זה. וע' בס' שלחן מלכים עמ' רל"ב </w:t>
      </w:r>
      <w:r w:rsidR="00573C1F">
        <w:rPr>
          <w:rFonts w:cs="Guttman Drogolin"/>
          <w:rtl/>
          <w:lang w:bidi="he-IL"/>
        </w:rPr>
        <w:t>–</w:t>
      </w:r>
      <w:r w:rsidR="00573C1F">
        <w:rPr>
          <w:rFonts w:cs="Guttman Drogolin" w:hint="cs"/>
          <w:rtl/>
          <w:lang w:bidi="he-IL"/>
        </w:rPr>
        <w:t xml:space="preserve"> רל"ו.</w:t>
      </w:r>
    </w:p>
    <w:p w:rsidR="002B79D8" w:rsidRPr="002B79D8" w:rsidRDefault="004E3F52" w:rsidP="002B79D8">
      <w:pPr>
        <w:pStyle w:val="ListParagraph"/>
        <w:numPr>
          <w:ilvl w:val="0"/>
          <w:numId w:val="24"/>
        </w:numPr>
        <w:tabs>
          <w:tab w:val="right" w:pos="7497"/>
        </w:tabs>
        <w:bidi/>
        <w:ind w:left="463" w:hanging="450"/>
        <w:jc w:val="both"/>
        <w:rPr>
          <w:rFonts w:cs="Guttman Drogolin"/>
          <w:lang w:bidi="he-IL"/>
        </w:rPr>
      </w:pPr>
      <w:r>
        <w:rPr>
          <w:rFonts w:cs="Guttman Drogolin" w:hint="cs"/>
          <w:rtl/>
          <w:lang w:bidi="he-IL"/>
        </w:rPr>
        <w:t>צ"ע למה אהיני אסירי כיון שאין מלפתין בהם את הפת. וראיתי בציונים לס' חלקת בנימין שהביא מכאן ראי' דלא כפר"ח שפרפרת הוי רק כשמלפתין בו את הפת, ולא ידעתי איך זה מתיישב אפילו לחולקים על הפר"ח. וצ"ע.</w:t>
      </w:r>
      <w:r w:rsidR="00874907">
        <w:rPr>
          <w:rFonts w:cs="Guttman Drogolin" w:hint="cs"/>
          <w:rtl/>
          <w:lang w:bidi="he-IL"/>
        </w:rPr>
        <w:t xml:space="preserve"> </w:t>
      </w:r>
    </w:p>
    <w:p w:rsidR="00D3590F" w:rsidRDefault="00D3590F" w:rsidP="00400C0B">
      <w:pPr>
        <w:pStyle w:val="ListParagraph"/>
        <w:numPr>
          <w:ilvl w:val="0"/>
          <w:numId w:val="24"/>
        </w:numPr>
        <w:tabs>
          <w:tab w:val="right" w:pos="7497"/>
        </w:tabs>
        <w:bidi/>
        <w:ind w:left="463" w:hanging="450"/>
        <w:jc w:val="both"/>
        <w:rPr>
          <w:rFonts w:cs="Guttman Drogolin"/>
          <w:lang w:bidi="he-IL"/>
        </w:rPr>
      </w:pPr>
      <w:r>
        <w:rPr>
          <w:rFonts w:cs="Guttman Drogolin" w:hint="cs"/>
          <w:rtl/>
          <w:lang w:bidi="he-IL"/>
        </w:rPr>
        <w:t>ע' ש"ך ברסי' קי"ג שדן אי בעינן נשתנה מברייתו ע"י האור. ונראה מסקנת דבריו שאמנם הי' מקום גדול לומר שהדין הוא להקל, משמעות הפוסקים להחמיר בזה, ושממילא כן יש להורות.</w:t>
      </w:r>
    </w:p>
    <w:p w:rsidR="00D3590F" w:rsidRDefault="00D3590F" w:rsidP="00D3590F">
      <w:pPr>
        <w:pStyle w:val="ListParagraph"/>
        <w:numPr>
          <w:ilvl w:val="0"/>
          <w:numId w:val="24"/>
        </w:numPr>
        <w:tabs>
          <w:tab w:val="right" w:pos="7497"/>
        </w:tabs>
        <w:bidi/>
        <w:ind w:left="463" w:hanging="450"/>
        <w:jc w:val="both"/>
        <w:rPr>
          <w:rFonts w:cs="Guttman Drogolin"/>
          <w:lang w:bidi="he-IL"/>
        </w:rPr>
      </w:pPr>
      <w:r>
        <w:rPr>
          <w:rFonts w:cs="Guttman Drogolin" w:hint="cs"/>
          <w:rtl/>
          <w:lang w:bidi="he-IL"/>
        </w:rPr>
        <w:t>בקושיית הט"ז ס"ק ב' לכאורה י"ל דנפק"מ בשל עכו"ם אבל עצם הדין שייך בתרוייהו.</w:t>
      </w:r>
    </w:p>
    <w:p w:rsidR="00D3590F" w:rsidRDefault="00D3590F" w:rsidP="00D3590F">
      <w:pPr>
        <w:pStyle w:val="ListParagraph"/>
        <w:numPr>
          <w:ilvl w:val="0"/>
          <w:numId w:val="24"/>
        </w:numPr>
        <w:tabs>
          <w:tab w:val="right" w:pos="7497"/>
        </w:tabs>
        <w:bidi/>
        <w:ind w:left="463" w:hanging="450"/>
        <w:jc w:val="both"/>
        <w:rPr>
          <w:rFonts w:cs="Guttman Drogolin"/>
          <w:lang w:bidi="he-IL"/>
        </w:rPr>
      </w:pPr>
      <w:r>
        <w:rPr>
          <w:rFonts w:cs="Guttman Drogolin" w:hint="cs"/>
          <w:rtl/>
          <w:lang w:bidi="he-IL"/>
        </w:rPr>
        <w:t>בט"ז ס"ק ה' לכאורה כוונה לחוד (שבזה עוזר לישראל חבירו) ומעשה לחוד, דאיזה ענין יש לו לעשות כן.</w:t>
      </w:r>
    </w:p>
    <w:p w:rsidR="002B79D8" w:rsidRDefault="002B79D8" w:rsidP="002B79D8">
      <w:pPr>
        <w:pStyle w:val="ListParagraph"/>
        <w:numPr>
          <w:ilvl w:val="0"/>
          <w:numId w:val="24"/>
        </w:numPr>
        <w:tabs>
          <w:tab w:val="right" w:pos="7497"/>
        </w:tabs>
        <w:bidi/>
        <w:ind w:left="463" w:hanging="450"/>
        <w:jc w:val="both"/>
        <w:rPr>
          <w:rFonts w:cs="Guttman Drogolin"/>
          <w:lang w:bidi="he-IL"/>
        </w:rPr>
      </w:pPr>
      <w:r>
        <w:rPr>
          <w:rFonts w:cs="Guttman Drogolin" w:hint="cs"/>
          <w:rtl/>
          <w:lang w:bidi="he-IL"/>
        </w:rPr>
        <w:t>לדברי הש"ך בס"ק י"ב צ"ע סתימת לשון הרמא בסע' ח'.</w:t>
      </w:r>
    </w:p>
    <w:p w:rsidR="002B79D8" w:rsidRDefault="002B79D8" w:rsidP="002B79D8">
      <w:pPr>
        <w:pStyle w:val="ListParagraph"/>
        <w:numPr>
          <w:ilvl w:val="0"/>
          <w:numId w:val="24"/>
        </w:numPr>
        <w:tabs>
          <w:tab w:val="right" w:pos="7497"/>
        </w:tabs>
        <w:bidi/>
        <w:ind w:left="463" w:hanging="450"/>
        <w:jc w:val="both"/>
        <w:rPr>
          <w:rFonts w:cs="Guttman Drogolin"/>
          <w:lang w:bidi="he-IL"/>
        </w:rPr>
      </w:pPr>
      <w:r>
        <w:rPr>
          <w:rFonts w:cs="Guttman Drogolin" w:hint="cs"/>
          <w:rtl/>
          <w:lang w:bidi="he-IL"/>
        </w:rPr>
        <w:t>ע' פת"ש ס"ק ג' שמבואר דאיכא למ"ד שלקחו ישראל והחזירו עכו"ם מותר. וצ"ע מהו הטעם להתיר בזה. ומהערת התפאל"מ שם משמע שמ"מ אם הי' כמאב"ד ע"י ישראל מותר, ובזה הרי יש מחלוקת.</w:t>
      </w:r>
    </w:p>
    <w:p w:rsidR="001171C7" w:rsidRPr="001171C7" w:rsidRDefault="002B79D8" w:rsidP="001171C7">
      <w:pPr>
        <w:pStyle w:val="ListParagraph"/>
        <w:numPr>
          <w:ilvl w:val="0"/>
          <w:numId w:val="24"/>
        </w:numPr>
        <w:tabs>
          <w:tab w:val="right" w:pos="7497"/>
        </w:tabs>
        <w:bidi/>
        <w:ind w:left="463" w:hanging="450"/>
        <w:jc w:val="both"/>
        <w:rPr>
          <w:rFonts w:cs="Guttman Drogolin"/>
          <w:lang w:bidi="he-IL"/>
        </w:rPr>
      </w:pPr>
      <w:r>
        <w:rPr>
          <w:rFonts w:cs="Guttman Drogolin" w:hint="cs"/>
          <w:rtl/>
          <w:lang w:bidi="he-IL"/>
        </w:rPr>
        <w:t>ע' ביאור הגר"א בהא דבשר מלוח אינו נאכל כלל דהא הרי הוא מותר בטלטול כיון שנאכל ע"י הדחק.</w:t>
      </w:r>
    </w:p>
    <w:p w:rsidR="00D154D1" w:rsidRPr="00C53875" w:rsidRDefault="00D154D1" w:rsidP="00D3590F">
      <w:pPr>
        <w:pStyle w:val="ListParagraph"/>
        <w:tabs>
          <w:tab w:val="right" w:pos="7497"/>
        </w:tabs>
        <w:bidi/>
        <w:ind w:left="463"/>
        <w:jc w:val="both"/>
        <w:rPr>
          <w:rFonts w:cs="Guttman Drogolin"/>
          <w:rtl/>
          <w:lang w:bidi="he-IL"/>
        </w:rPr>
      </w:pPr>
    </w:p>
    <w:p w:rsidR="00C53875" w:rsidRDefault="00C53875" w:rsidP="00C53875">
      <w:pPr>
        <w:tabs>
          <w:tab w:val="right" w:pos="7497"/>
        </w:tabs>
        <w:bidi/>
        <w:jc w:val="both"/>
        <w:rPr>
          <w:rFonts w:cs="Guttman Drogolin"/>
          <w:rtl/>
          <w:lang w:bidi="he-IL"/>
        </w:rPr>
      </w:pPr>
    </w:p>
    <w:p w:rsidR="00E47E74" w:rsidRDefault="00E47E74" w:rsidP="00172A16">
      <w:pPr>
        <w:tabs>
          <w:tab w:val="right" w:pos="7497"/>
        </w:tabs>
        <w:bidi/>
        <w:jc w:val="both"/>
        <w:rPr>
          <w:rFonts w:cs="Guttman Drogolin"/>
          <w:rtl/>
          <w:lang w:bidi="he-IL"/>
        </w:rPr>
      </w:pPr>
    </w:p>
    <w:p w:rsidR="00E47E74" w:rsidRDefault="00E47E74" w:rsidP="00E47E74">
      <w:pPr>
        <w:tabs>
          <w:tab w:val="right" w:pos="7497"/>
        </w:tabs>
        <w:bidi/>
        <w:jc w:val="both"/>
        <w:rPr>
          <w:rFonts w:cs="Guttman Drogolin"/>
          <w:rtl/>
          <w:lang w:bidi="he-IL"/>
        </w:rPr>
        <w:sectPr w:rsidR="00E47E74" w:rsidSect="00D80599">
          <w:type w:val="continuous"/>
          <w:pgSz w:w="11907" w:h="16839" w:code="9"/>
          <w:pgMar w:top="1440" w:right="1440" w:bottom="1440" w:left="1440" w:header="720" w:footer="720" w:gutter="0"/>
          <w:cols w:num="2" w:space="720"/>
          <w:bidi/>
          <w:docGrid w:linePitch="360"/>
        </w:sectPr>
      </w:pPr>
    </w:p>
    <w:p w:rsidR="00E47E74" w:rsidRPr="00E47E74" w:rsidRDefault="00D80599" w:rsidP="00E47E74">
      <w:pPr>
        <w:keepNext/>
        <w:tabs>
          <w:tab w:val="left" w:pos="3818"/>
          <w:tab w:val="center" w:pos="4680"/>
        </w:tabs>
        <w:bidi/>
        <w:jc w:val="center"/>
        <w:rPr>
          <w:rFonts w:cs="Guttman Drogolin"/>
          <w:b/>
          <w:bCs/>
          <w:sz w:val="24"/>
          <w:szCs w:val="24"/>
          <w:rtl/>
          <w:lang w:bidi="he-IL"/>
        </w:rPr>
      </w:pPr>
      <w:r w:rsidRPr="00E47E74">
        <w:rPr>
          <w:rFonts w:cs="Guttman Drogolin" w:hint="cs"/>
          <w:b/>
          <w:bCs/>
          <w:rtl/>
          <w:lang w:bidi="he-IL"/>
        </w:rPr>
        <w:lastRenderedPageBreak/>
        <w:t xml:space="preserve"> </w:t>
      </w:r>
      <w:r w:rsidR="00E47E74" w:rsidRPr="00E47E74">
        <w:rPr>
          <w:rFonts w:cs="Guttman Drogolin" w:hint="cs"/>
          <w:b/>
          <w:bCs/>
          <w:sz w:val="48"/>
          <w:szCs w:val="48"/>
          <w:rtl/>
          <w:lang w:bidi="he-IL"/>
        </w:rPr>
        <w:t>שיעור קנ"א</w:t>
      </w:r>
    </w:p>
    <w:p w:rsidR="00E47E74" w:rsidRDefault="00E47E74" w:rsidP="00E47E74">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sectPr w:rsidR="00E47E74" w:rsidSect="00E47E74">
          <w:headerReference w:type="default" r:id="rId103"/>
          <w:pgSz w:w="11907" w:h="16839" w:code="9"/>
          <w:pgMar w:top="1440" w:right="1440" w:bottom="1440" w:left="1440" w:header="720" w:footer="720" w:gutter="0"/>
          <w:cols w:space="720"/>
          <w:bidi/>
          <w:docGrid w:linePitch="360"/>
        </w:sectPr>
      </w:pPr>
    </w:p>
    <w:p w:rsidR="00E47E74" w:rsidRPr="00E47E74" w:rsidRDefault="00E47E74" w:rsidP="00E47E74">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pPr>
      <w:bookmarkStart w:id="575" w:name="_Toc496175812"/>
      <w:r w:rsidRPr="00E47E74">
        <w:rPr>
          <w:rFonts w:asciiTheme="majorHAnsi" w:eastAsiaTheme="majorEastAsia" w:hAnsiTheme="majorHAnsi" w:cs="Guttman Drogolin" w:hint="cs"/>
          <w:b/>
          <w:bCs/>
          <w:sz w:val="24"/>
          <w:szCs w:val="24"/>
          <w:u w:val="single"/>
          <w:rtl/>
          <w:lang w:bidi="he-IL"/>
        </w:rPr>
        <w:lastRenderedPageBreak/>
        <w:t>עיסת ישראל שנאפה ע"י עכו"ם</w:t>
      </w:r>
      <w:bookmarkEnd w:id="575"/>
    </w:p>
    <w:p w:rsidR="00E47E74" w:rsidRPr="00E47E74" w:rsidRDefault="00E47E74" w:rsidP="00E47E74">
      <w:pPr>
        <w:tabs>
          <w:tab w:val="right" w:pos="7497"/>
        </w:tabs>
        <w:bidi/>
        <w:jc w:val="both"/>
        <w:rPr>
          <w:rFonts w:cs="Guttman Drogolin"/>
          <w:rtl/>
          <w:lang w:bidi="he-IL"/>
        </w:rPr>
      </w:pPr>
      <w:r w:rsidRPr="00E47E74">
        <w:rPr>
          <w:rFonts w:cs="Guttman Drogolin"/>
          <w:rtl/>
          <w:lang w:bidi="he-IL"/>
        </w:rPr>
        <w:fldChar w:fldCharType="begin"/>
      </w:r>
      <w:r w:rsidRPr="00E47E74">
        <w:rPr>
          <w:rFonts w:cs="Guttman Drogolin"/>
        </w:rPr>
        <w:instrText xml:space="preserve"> XE "</w:instrText>
      </w:r>
      <w:r w:rsidRPr="00E47E74">
        <w:rPr>
          <w:rFonts w:cs="Guttman Drogolin" w:hint="cs"/>
          <w:rtl/>
          <w:lang w:bidi="he-IL"/>
        </w:rPr>
        <w:instrText>פת עכו</w:instrText>
      </w:r>
      <w:r w:rsidRPr="00E47E74">
        <w:rPr>
          <w:rFonts w:eastAsiaTheme="minorEastAsia" w:cs="Guttman Drogolin"/>
          <w:lang w:bidi="he-IL"/>
        </w:rPr>
        <w:instrText>\</w:instrText>
      </w:r>
      <w:r w:rsidRPr="00E47E74">
        <w:rPr>
          <w:rFonts w:cs="Guttman Drogolin" w:hint="cs"/>
          <w:rtl/>
          <w:lang w:bidi="he-IL"/>
        </w:rPr>
        <w:instrText>"ם</w:instrText>
      </w:r>
      <w:r w:rsidRPr="00E47E74">
        <w:rPr>
          <w:rFonts w:cs="Guttman Drogolin"/>
          <w:rtl/>
        </w:rPr>
        <w:instrText>:</w:instrText>
      </w:r>
      <w:r w:rsidRPr="00E47E74">
        <w:rPr>
          <w:rFonts w:cs="Guttman Drogolin" w:hint="cs"/>
          <w:rtl/>
          <w:lang w:bidi="he-IL"/>
        </w:rPr>
        <w:instrText>בעיסה של ישראל</w:instrText>
      </w:r>
      <w:r w:rsidRPr="00E47E74">
        <w:rPr>
          <w:rFonts w:cs="Guttman Drogolin"/>
        </w:rPr>
        <w:instrText xml:space="preserve">" </w:instrText>
      </w:r>
      <w:r w:rsidRPr="00E47E74">
        <w:rPr>
          <w:rFonts w:cs="Guttman Drogolin"/>
          <w:rtl/>
          <w:lang w:bidi="he-IL"/>
        </w:rPr>
        <w:fldChar w:fldCharType="end"/>
      </w:r>
      <w:r w:rsidRPr="00E47E74">
        <w:rPr>
          <w:rFonts w:cs="Guttman Drogolin" w:hint="cs"/>
          <w:rtl/>
          <w:lang w:bidi="he-IL"/>
        </w:rPr>
        <w:t>בטור ברסי' קי"ב מבואר דסבר כשיטת הר"ן דפת ב' גזירות נאמרו בה, א' לאסור עיסה שנערכה ונילושה ע"י נכרי, וזהו גזירת פת עכו"ם. ועוד אסרו עיסה שנאפתה ע"י עכו"ם אפילו בכה"ג שהיתה העיסה של ישראל, וזהו משום גזירת בישול עכו"ם. וע' בב"י שהסיק לדינא דלא כשיטת הר"ן ולעולם לא אסרו עיסה רק בגלל שנערכה ונילושה ע"י עכו"ם, ואין איסור פת אלא משום אפייתה ביד עכו"ם, וזהו גזירת פת עכו"ם. והטעם שפסק כן משום שלדעתו זהו שיטת הרמב"ם והרשב"א. ואע"ג שהדרכ"מ התקשה בהוראה זו כיון שהטור והר"ן בתראי, וכן שהרשב"א בתוה"א משמע כר"ן (רק שבשו"ת הרשב"א מבואר להיתר וכמו שהביא הב"י), מ"מ נראה שמסקנת דבריולהקל בזה והש"ך ברסי' קי"ב כתב שמסתימת המחבר והרמ"א מאיסור עיסה שנערכה ונילושה ע"י עכו"ם, חזינן דלא קיי"ל כטור והר"ן.</w:t>
      </w:r>
    </w:p>
    <w:p w:rsidR="00E47E74" w:rsidRPr="00E47E74" w:rsidRDefault="00E47E74" w:rsidP="00E47E74">
      <w:pPr>
        <w:tabs>
          <w:tab w:val="right" w:pos="7497"/>
        </w:tabs>
        <w:bidi/>
        <w:jc w:val="both"/>
        <w:rPr>
          <w:rFonts w:cs="Guttman Drogolin"/>
          <w:rtl/>
          <w:lang w:bidi="he-IL"/>
        </w:rPr>
      </w:pPr>
      <w:r w:rsidRPr="00E47E74">
        <w:rPr>
          <w:rFonts w:cs="Guttman Drogolin" w:hint="cs"/>
          <w:rtl/>
          <w:lang w:bidi="he-IL"/>
        </w:rPr>
        <w:t>והנה כתב הטור בהמשך דבריו "</w:t>
      </w:r>
      <w:r w:rsidRPr="00E47E74">
        <w:rPr>
          <w:rFonts w:cs="Guttman Drogolin"/>
          <w:rtl/>
          <w:lang w:bidi="he-IL"/>
        </w:rPr>
        <w:t>ואין להתיר אפי' במקום שנהגו אלא בפת של עו"ג ואותו אין לו היתר ע"י חיתוי שיחת' ישראל בגחלים כי אין איסורו משום בישול אלא משום הפת עצמו אבל פת של ישראל שאפאו עו"ג הוא בכלל איסור שלקות ובאותו לא נהגו היתר בשום מקום ועלה קאמר ג' מלאכות בפת היסק התנור וחתיית הגחלים והאפייה</w:t>
      </w:r>
      <w:r w:rsidRPr="00E47E74">
        <w:rPr>
          <w:rFonts w:cs="Guttman Drogolin" w:hint="cs"/>
          <w:rtl/>
          <w:lang w:bidi="he-IL"/>
        </w:rPr>
        <w:t xml:space="preserve"> וכו'". ונראה הביאור בכוונתו, וכ"כ הפי' מהרש"ל לטור, דהנה לכאורה לשיטת הר"ן יש שאלה, דאיך הקילו לאכול פת מפלטר עכו"ם, דנהי נמי שהקילו בגזירת פת עכו"ם וכמש"כ הראשונים, מ"מ הא אין זה מתיר אלא עיזה שנילושה ונערכה ע"י עכו"ם, שעל זה נאמר גזירת פת עכו" וכנ"ל, אבל עדיין יש לאסור הפת שקונים מן הפלטר משום גזירת בישול עכו"ם</w:t>
      </w:r>
      <w:r w:rsidRPr="00E47E74">
        <w:rPr>
          <w:rFonts w:cs="Guttman Drogolin"/>
          <w:vertAlign w:val="superscript"/>
          <w:rtl/>
          <w:lang w:bidi="he-IL"/>
        </w:rPr>
        <w:footnoteReference w:id="608"/>
      </w:r>
      <w:r w:rsidRPr="00E47E74">
        <w:rPr>
          <w:rFonts w:cs="Guttman Drogolin" w:hint="cs"/>
          <w:rtl/>
          <w:lang w:bidi="he-IL"/>
        </w:rPr>
        <w:t xml:space="preserve">. דמן הנמנע הוא לומר שלשיטת הר"ן באמת לא </w:t>
      </w:r>
      <w:r w:rsidRPr="00E47E74">
        <w:rPr>
          <w:rFonts w:cs="Guttman Drogolin" w:hint="cs"/>
          <w:rtl/>
          <w:lang w:bidi="he-IL"/>
        </w:rPr>
        <w:lastRenderedPageBreak/>
        <w:t xml:space="preserve">הקילו אלא לקנות עיסה מן הנכרי ולא פת אא"כ עשה א' מג' המלאכות, שכפשוטו הקילו לקנות ככר אוי מן הפלטר, ואיך התירו דבר זה וכנ"ל. לזה קאמר הטור, שדוקא בפת עכו"ם יש להתיר כיון שלא נאסר לגבי' גזירת בישול, דהא לא הי' צורך לאוסרו משום בישול כיון שאסור ועומד משום גזירת פת עכו"ם. ולכן אחרי שעקרו גזירת חז"ל והתירו פת עכו"ם, שוב אין בה גם משום בישול עכו"ם כיון שלא נאמר לגבי'. משא"כ בפת של ישראל, שבזה שפיר נאמר גזירת בישול עכו"ם לשיטת הר"ן וסייעתו, וכיון שכן אין להתירו אפילו אחרי הקילו בגזירתם, דהא לא הקילו אלא בגזירת פת עכו"ם ולא בגזירת בישול עכו"ם. </w:t>
      </w:r>
    </w:p>
    <w:p w:rsidR="00E47E74" w:rsidRPr="00E47E74" w:rsidRDefault="00E47E74" w:rsidP="00E47E74">
      <w:pPr>
        <w:tabs>
          <w:tab w:val="right" w:pos="7497"/>
        </w:tabs>
        <w:bidi/>
        <w:jc w:val="both"/>
        <w:rPr>
          <w:rFonts w:cs="Guttman Drogolin"/>
          <w:rtl/>
          <w:lang w:bidi="he-IL"/>
        </w:rPr>
      </w:pPr>
      <w:r w:rsidRPr="00E47E74">
        <w:rPr>
          <w:rFonts w:cs="Guttman Drogolin" w:hint="cs"/>
          <w:rtl/>
          <w:lang w:bidi="he-IL"/>
        </w:rPr>
        <w:t>ויעוין בב"י שהדגיש שכל דברי הטור אינם אלא לשיטתו שפסק כר"ן, אבל לדידן שגם פת לא נאסר אלא משום מעשה אפייתו הרי גם פת עכו"ם לא נאסר אלא משום אפיית העכו"ם. ולכאורה נראה הביאור בכוונתו, שאין לאסור פת של ישראל שנאפה ע"י עכו"ם, דהא ע"כ כיון שהקילו באפיית העכו"ם בפת עצמו, דהא זה היתה גזירת פת עכו"ם, הה"נ בעיסה של ישראל, דמאי שנא. ולכאורה א"כ יוצא למעשה שיטת הב"י שאין לחלק בין עיסה של ישראל לעיסה של נכרי לענין ההיתר של פת פלטר לדידן דלא קיי"ל כר"ן והטור.</w:t>
      </w:r>
    </w:p>
    <w:p w:rsidR="00E47E74" w:rsidRPr="00E47E74" w:rsidRDefault="00E47E74" w:rsidP="00E47E74">
      <w:pPr>
        <w:tabs>
          <w:tab w:val="right" w:pos="7497"/>
        </w:tabs>
        <w:bidi/>
        <w:jc w:val="both"/>
        <w:rPr>
          <w:rFonts w:cs="Guttman Drogolin"/>
          <w:rtl/>
          <w:lang w:bidi="he-IL"/>
        </w:rPr>
      </w:pPr>
      <w:r w:rsidRPr="00E47E74">
        <w:rPr>
          <w:rFonts w:cs="Guttman Drogolin" w:hint="cs"/>
          <w:rtl/>
          <w:lang w:bidi="he-IL"/>
        </w:rPr>
        <w:t>ובסוף הסימן הביא הב"י מהמרדכי בשם מהר"ם "</w:t>
      </w:r>
      <w:r w:rsidRPr="00E47E74">
        <w:rPr>
          <w:rFonts w:cs="Guttman Drogolin"/>
          <w:rtl/>
          <w:lang w:bidi="he-IL"/>
        </w:rPr>
        <w:t>דהא דהתירו פת של גוים הני מילי של גוים אבל של ישראל ואפאה גוי ולא חיתה ישראל בגחלת אסור ואפילו לזבוני לגוים דילמא אתא לזבוני לישראל</w:t>
      </w:r>
      <w:r w:rsidRPr="00E47E74">
        <w:rPr>
          <w:rFonts w:cs="Guttman Drogolin" w:hint="cs"/>
          <w:rtl/>
          <w:lang w:bidi="he-IL"/>
        </w:rPr>
        <w:t xml:space="preserve">". וע"פ הנ"ל לכאורה גם דעת המהר"ם כשיטת הר"ן והטור, ומשו"ה חילק בין עיסה של ישראל לעיסה של עכו"ם. אמנם יש כאן הערה, דלמה לא הביאו לעיל על דברי הטור עצמם, וכן לא העיר הב"י כאן כלל שהוא דלא כהלכה כיון </w:t>
      </w:r>
      <w:r w:rsidRPr="00E47E74">
        <w:rPr>
          <w:rFonts w:cs="Guttman Drogolin" w:hint="cs"/>
          <w:rtl/>
          <w:lang w:bidi="he-IL"/>
        </w:rPr>
        <w:lastRenderedPageBreak/>
        <w:t>דקיי"ל כרשב"א ורמב"ם. וכן לכאורה קשה מש"כ בשו"ע בסע' י"א "</w:t>
      </w:r>
      <w:r w:rsidRPr="00E47E74">
        <w:rPr>
          <w:rFonts w:cs="Guttman Drogolin"/>
          <w:rtl/>
          <w:lang w:bidi="he-IL"/>
        </w:rPr>
        <w:t>פת של ישראל שאפאה עובד כוכבים בלא חיתוי דישראל ובלא קיסם, אסור.  (ואסור) לזבוני לעובד כוכבים, דילמא אתי לזבוני לישראל. ואם פיתת הלחם לשנים, מותר לזבוני לעובד כוכבים</w:t>
      </w:r>
      <w:r w:rsidRPr="00E47E74">
        <w:rPr>
          <w:rFonts w:cs="Guttman Drogolin" w:hint="cs"/>
          <w:rtl/>
          <w:lang w:bidi="he-IL"/>
        </w:rPr>
        <w:t xml:space="preserve">". ולכאורה צ"ע, דהא שיטת המחבר להקל דלא כטור והר"ן, וא"כ למה כתב שפת של ישראל ואפאה גוי אסור, הא לדידן יש להתיר כמו פת עכו"ם וכמש"נ. ונראה שאין כאן כל קושיא, שאין כוונת המחבר אלא לאופן שאין בה היתר של פת פלטר, וכגון שהוא של בעלי בתים, שבכה"ג אסור בעיסת עכו"ם וכן בעיסה של ישראל. ועיקר כוונת השו"ע אינו לומר דפת של ישראל חמיר טפי מהא דשל ישראל, רק לחדש שבמקרה שיש לישראל פת של עכו"ם אסור לזבוני לעכו"ם. וכן בביאור הגר"א על אתר לא הביא מקורות אלא לחידוש דין זה והתעלם מהא דהוי עיסת ישראל. </w:t>
      </w:r>
    </w:p>
    <w:p w:rsidR="00E47E74" w:rsidRPr="00E47E74" w:rsidRDefault="00E47E74" w:rsidP="00E47E74">
      <w:pPr>
        <w:tabs>
          <w:tab w:val="right" w:pos="7497"/>
        </w:tabs>
        <w:bidi/>
        <w:jc w:val="both"/>
        <w:rPr>
          <w:rFonts w:cs="Guttman Drogolin"/>
          <w:rtl/>
          <w:lang w:bidi="he-IL"/>
        </w:rPr>
      </w:pPr>
      <w:r w:rsidRPr="00E47E74">
        <w:rPr>
          <w:rFonts w:cs="Guttman Drogolin" w:hint="cs"/>
          <w:rtl/>
          <w:lang w:bidi="he-IL"/>
        </w:rPr>
        <w:t>אלא דהנה שם בסע' י"א כתב הט"ז "</w:t>
      </w:r>
      <w:r w:rsidRPr="00E47E74">
        <w:rPr>
          <w:rFonts w:cs="Guttman Drogolin"/>
          <w:rtl/>
          <w:lang w:bidi="he-IL"/>
        </w:rPr>
        <w:t>פת של ישראל כו' בזה יש לו דין שלקות הנזכר בסימן קי"ג כ"פ הטור</w:t>
      </w:r>
      <w:r w:rsidRPr="00E47E74">
        <w:rPr>
          <w:rFonts w:cs="Guttman Drogolin" w:hint="cs"/>
          <w:rtl/>
          <w:lang w:bidi="he-IL"/>
        </w:rPr>
        <w:t>". הרי שכתב שדברי השו"ע הם כשיטת הטור שעיסת ישראל חמיר טפי מעיסת ישראל לאחר שהקילו בגזירת פת עכו"ם. והוא לכאורה דבר פלא, דהא לא קיי"ל כטור בזה וכמש"נ, ולכן אין טעם לאסור עיסת ישראל משום בישול יותר ממשום פת עכו"ם, וכן לכאורה הדין הי' צריך להיות מותר. וכן אין ראי' מדברי השו"ע כמו שביארנו, שי"ל דלא מיירי בפת פלטר רק בפת בעה"ב וכנ"ל. וע' גם בש"ך בס"ק ז' שעל מש"כ השו"ע "</w:t>
      </w:r>
      <w:r w:rsidRPr="00E47E74">
        <w:rPr>
          <w:rFonts w:cs="Guttman Drogolin"/>
          <w:rtl/>
          <w:lang w:bidi="he-IL"/>
        </w:rPr>
        <w:t>יש מקומות שמקילין בדבר ולוקחים פת מנחתום העובד כוכבים</w:t>
      </w:r>
      <w:r w:rsidRPr="00E47E74">
        <w:rPr>
          <w:rFonts w:cs="Guttman Drogolin" w:hint="cs"/>
          <w:rtl/>
          <w:lang w:bidi="he-IL"/>
        </w:rPr>
        <w:t xml:space="preserve"> וכו'" כתב "</w:t>
      </w:r>
      <w:r w:rsidRPr="00E47E74">
        <w:rPr>
          <w:rFonts w:cs="Guttman Drogolin"/>
          <w:rtl/>
          <w:lang w:bidi="he-IL"/>
        </w:rPr>
        <w:t>דוקא פת עובד כוכבים אבל פת ישראל שאפאו עובד כוכבים כתב הטור שלא נהגו בשום מקום להתיר שהרי הוא כבישולי עובד כוכבים</w:t>
      </w:r>
      <w:r w:rsidRPr="00E47E74">
        <w:rPr>
          <w:rFonts w:cs="Guttman Drogolin" w:hint="cs"/>
          <w:rtl/>
          <w:lang w:bidi="he-IL"/>
        </w:rPr>
        <w:t xml:space="preserve">". ומשמע שמפרש לשיטת השו"ע שיש להחמיר בעיסת ישראל שאם אפאו עכו"ם יש בה משום בישולי עכו"ם ואין בה ההיתר של פת עכו"ם. וכתב כן הוא בטור. וקשה כנ"ל. והש"ך ציין דברי המהר"ם </w:t>
      </w:r>
      <w:r w:rsidRPr="00E47E74">
        <w:rPr>
          <w:rFonts w:cs="Guttman Drogolin" w:hint="cs"/>
          <w:rtl/>
          <w:lang w:bidi="he-IL"/>
        </w:rPr>
        <w:lastRenderedPageBreak/>
        <w:t>כמקור לדבריו (ומשמע שסבר שדברי מהר"ם הם כדברי הטור, וכן מסתבר כמש"כ לעיל, אלא שהב"י לא העיר כן). אלא שמ"מ קשה שמשמע שפסק כטור ואיהו עצמו כתב בתחילת הסימן דלא קיי"ל כטור בזה. וכן ראיתי שהעיר בהגהות חת"ס כאן ס"ק א', (וכן בערוה"ש בסוף הסימן בדברים קצרים).</w:t>
      </w:r>
    </w:p>
    <w:p w:rsidR="00E47E74" w:rsidRPr="00E47E74" w:rsidRDefault="00E47E74" w:rsidP="00E47E74">
      <w:pPr>
        <w:tabs>
          <w:tab w:val="right" w:pos="7497"/>
        </w:tabs>
        <w:bidi/>
        <w:jc w:val="both"/>
        <w:rPr>
          <w:rFonts w:cs="Guttman Drogolin"/>
          <w:rtl/>
          <w:lang w:bidi="he-IL"/>
        </w:rPr>
      </w:pPr>
      <w:r w:rsidRPr="00E47E74">
        <w:rPr>
          <w:rFonts w:cs="Guttman Drogolin" w:hint="cs"/>
          <w:rtl/>
          <w:lang w:bidi="he-IL"/>
        </w:rPr>
        <w:t>ודברי הט"ז (ולכאורה גם הש"ך) מתבארים במקצת במש"ז על אתר, שכתב שלא הקילו בפת פלטר אלא בשל עכו"ם, אבל בשל ישראל, כיון דלא שכיח לגבי' אפיית עכו"ם ואין בה משום חיי נפש, לעולם לא הקילו לגבה. אמנם אם כנים הדברים (ואין זה משמע מדברי הטור כלל, והביאו הט"ז והש"ך את הטור כמקור לשיטתם), עדיין אינו מבואר למה היו צריכים לאסור אותו משום בישול עכו"ם ולא משום פת עכו"ם, דהא לא עקרו גזירת פת עכו"ם בעיסת ישראל. ולכאורה מה שצריכים לומר, שסוברים הש"ך והט"ז שאמנם הקילו בגזירת עכו"ם בכל פת שבעולם, מ"מ הי' צורך להקל גם בגזירת בישול עכו"ם, שגם בישול עכו"ם שייך בלחם לרוב הראשונים. ובזה אמרו שמשום הצורך של חיי נפש הקילו בגזירת בישול עכו"ם לענין פת של עכו"ם מיהת, אבל לענין פת של ישראל שלא הי' בה צורך להקל, היא נשארת באיסורו, ולכן אסור משום בישול עכו"ם. והדברים עדיין צ"ע.</w:t>
      </w:r>
    </w:p>
    <w:p w:rsidR="00E47E74" w:rsidRPr="00E47E74" w:rsidRDefault="00E47E74" w:rsidP="00E47E74">
      <w:pPr>
        <w:tabs>
          <w:tab w:val="right" w:pos="7497"/>
        </w:tabs>
        <w:bidi/>
        <w:jc w:val="both"/>
        <w:rPr>
          <w:rFonts w:cs="Guttman Drogolin"/>
          <w:rtl/>
          <w:lang w:bidi="he-IL"/>
        </w:rPr>
      </w:pPr>
      <w:r w:rsidRPr="00E47E74">
        <w:rPr>
          <w:rFonts w:cs="Guttman Drogolin"/>
          <w:rtl/>
          <w:lang w:bidi="he-IL"/>
        </w:rPr>
        <w:fldChar w:fldCharType="begin"/>
      </w:r>
      <w:r w:rsidRPr="00E47E74">
        <w:rPr>
          <w:rFonts w:cs="Guttman Drogolin"/>
        </w:rPr>
        <w:instrText xml:space="preserve"> XE "</w:instrText>
      </w:r>
      <w:r w:rsidRPr="00E47E74">
        <w:rPr>
          <w:rFonts w:cs="Guttman Drogolin" w:hint="cs"/>
          <w:rtl/>
          <w:lang w:bidi="he-IL"/>
        </w:rPr>
        <w:instrText>פת עכו</w:instrText>
      </w:r>
      <w:r w:rsidRPr="00E47E74">
        <w:rPr>
          <w:rFonts w:eastAsiaTheme="minorEastAsia" w:cs="Guttman Drogolin"/>
          <w:lang w:bidi="he-IL"/>
        </w:rPr>
        <w:instrText>\</w:instrText>
      </w:r>
      <w:r w:rsidRPr="00E47E74">
        <w:rPr>
          <w:rFonts w:cs="Guttman Drogolin" w:hint="cs"/>
          <w:rtl/>
          <w:lang w:bidi="he-IL"/>
        </w:rPr>
        <w:instrText>"ם</w:instrText>
      </w:r>
      <w:r w:rsidRPr="00E47E74">
        <w:rPr>
          <w:rFonts w:cs="Guttman Drogolin"/>
          <w:rtl/>
        </w:rPr>
        <w:instrText>:</w:instrText>
      </w:r>
      <w:r w:rsidRPr="00E47E74">
        <w:rPr>
          <w:rFonts w:cs="Guttman Drogolin" w:hint="cs"/>
          <w:rtl/>
          <w:lang w:bidi="he-IL"/>
        </w:rPr>
        <w:instrText>פת פלטר - אם הוא מותר רק במקום שיש חיי שעה</w:instrText>
      </w:r>
      <w:r w:rsidRPr="00E47E74">
        <w:rPr>
          <w:rFonts w:cs="Guttman Drogolin"/>
        </w:rPr>
        <w:instrText xml:space="preserve">" </w:instrText>
      </w:r>
      <w:r w:rsidRPr="00E47E74">
        <w:rPr>
          <w:rFonts w:cs="Guttman Drogolin"/>
          <w:rtl/>
          <w:lang w:bidi="he-IL"/>
        </w:rPr>
        <w:fldChar w:fldCharType="end"/>
      </w:r>
      <w:r w:rsidRPr="00E47E74">
        <w:rPr>
          <w:rFonts w:cs="Guttman Drogolin" w:hint="cs"/>
          <w:rtl/>
          <w:lang w:bidi="he-IL"/>
        </w:rPr>
        <w:t xml:space="preserve">והנה באג"מ (יו"ד א' סי' מ"ה) דן במאפייה של ישראל אם מותר לאפות בה ע"י עכו"ם לדידן דקיי"ל להתיר בפת פלטר. שלכאורה לפי דברי הש"ך והט"ז (וכן מבואר גם בחכמ"א </w:t>
      </w:r>
      <w:r w:rsidRPr="00E47E74">
        <w:rPr>
          <w:rFonts w:cs="Guttman Drogolin"/>
          <w:rtl/>
          <w:lang w:bidi="he-IL"/>
        </w:rPr>
        <w:t>כלל ס"ה סעי' ו'</w:t>
      </w:r>
      <w:r w:rsidRPr="00E47E74">
        <w:rPr>
          <w:rFonts w:cs="Guttman Drogolin" w:hint="cs"/>
          <w:rtl/>
          <w:lang w:bidi="he-IL"/>
        </w:rPr>
        <w:t>) אין בה היתר כלל. וכתב הגרמ"פ דכיון שטעמם שההיתר בפת פלטר משום הדוחק וחיי נפש</w:t>
      </w:r>
      <w:r w:rsidRPr="00E47E74">
        <w:rPr>
          <w:rFonts w:cs="Guttman Drogolin"/>
          <w:vertAlign w:val="superscript"/>
          <w:rtl/>
          <w:lang w:bidi="he-IL"/>
        </w:rPr>
        <w:footnoteReference w:id="609"/>
      </w:r>
      <w:r w:rsidRPr="00E47E74">
        <w:rPr>
          <w:rFonts w:cs="Guttman Drogolin" w:hint="cs"/>
          <w:rtl/>
          <w:lang w:bidi="he-IL"/>
        </w:rPr>
        <w:t xml:space="preserve"> שלא שייך בישראל, י"ל דהנ"מ כשאינו נצרך לפועלים, אבל כשנצרך לפועלים כבר איכא דוחק ולכן חזר הדין שגם בעיסת ישראל הקילו ע"י </w:t>
      </w:r>
      <w:r w:rsidRPr="00E47E74">
        <w:rPr>
          <w:rFonts w:cs="Guttman Drogolin" w:hint="cs"/>
          <w:rtl/>
          <w:lang w:bidi="he-IL"/>
        </w:rPr>
        <w:lastRenderedPageBreak/>
        <w:t>פועלי עכו"ם. ולכאורה רצונו לומר</w:t>
      </w:r>
      <w:r w:rsidRPr="00E47E74">
        <w:rPr>
          <w:rFonts w:cs="Guttman Drogolin"/>
          <w:vertAlign w:val="superscript"/>
          <w:rtl/>
          <w:lang w:bidi="he-IL"/>
        </w:rPr>
        <w:footnoteReference w:id="610"/>
      </w:r>
      <w:r w:rsidRPr="00E47E74">
        <w:rPr>
          <w:rFonts w:cs="Guttman Drogolin" w:hint="cs"/>
          <w:rtl/>
          <w:lang w:bidi="he-IL"/>
        </w:rPr>
        <w:t xml:space="preserve"> שההיתר של פת פלטר לא נאמר במיוחד בעיסת עכו"ם ולא בפת של ישראל, רק נאמר היכא שיש דוחק ומשום חיי שעה, ולכן בשל ישראל בדאיכא חיי שעה שוה לשל עכו"ם. </w:t>
      </w:r>
    </w:p>
    <w:p w:rsidR="00E47E74" w:rsidRPr="00E47E74" w:rsidRDefault="00E47E74" w:rsidP="00E47E74">
      <w:pPr>
        <w:tabs>
          <w:tab w:val="right" w:pos="7497"/>
        </w:tabs>
        <w:bidi/>
        <w:jc w:val="both"/>
        <w:rPr>
          <w:rFonts w:cs="Guttman Drogolin"/>
          <w:rtl/>
          <w:lang w:bidi="he-IL"/>
        </w:rPr>
      </w:pPr>
      <w:r w:rsidRPr="00E47E74">
        <w:rPr>
          <w:rFonts w:cs="Guttman Drogolin" w:hint="cs"/>
          <w:rtl/>
          <w:lang w:bidi="he-IL"/>
        </w:rPr>
        <w:t xml:space="preserve">וראיתי בס' חלקת בנימין (ביאורים לסע' ב') שדחה את דברי האג"מ בקש (ולעוק"ד לא ירד לעיקר טעמו של הגרמ"פ). והציע אולי טעם אחר להקל בזה, והוא משום שפועלים אלו הם כשפחות בבית ישראל שמותר בבישול עכו"ם וא"כ הה"נ בפת עכו"ם. אלא שהיתר זה לאו מילתא דפשיטא היא כלל. חדא שי"א שההיתר של שפחות לא האמר אלא בשפחות ממש הקנוים לישראל ולכן חשיב מעשה ישראל, ולא בפועלי עכו"ם. וכן אין סומכים על זה בדיעבד ובצירוף הסברא שבבית ישראל לא גזרו (ויש לסתפק אם מפעל של עכו"ם חשוב בית ישראל, שלכאורה ההיתר הוא רק במקום המגורים שלו). ומ"מ לענין דינא אולי יש לצרף גם סברת האג"מ, וגם מה שהקשינו בעיקר דין זה, וכן שאולי יש להקל משום ההיתר של שפחות. וצ"ע לדינא. </w:t>
      </w:r>
    </w:p>
    <w:p w:rsidR="00E47E74" w:rsidRPr="00E47E74" w:rsidRDefault="00E47E74" w:rsidP="00E47E74">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pPr>
      <w:bookmarkStart w:id="576" w:name="_Toc496175813"/>
      <w:r w:rsidRPr="00E47E74">
        <w:rPr>
          <w:rFonts w:asciiTheme="majorHAnsi" w:eastAsiaTheme="majorEastAsia" w:hAnsiTheme="majorHAnsi" w:cs="Guttman Drogolin" w:hint="cs"/>
          <w:b/>
          <w:bCs/>
          <w:sz w:val="24"/>
          <w:szCs w:val="24"/>
          <w:u w:val="single"/>
          <w:rtl/>
          <w:lang w:bidi="he-IL"/>
        </w:rPr>
        <w:t>פת של מומר ישראל</w:t>
      </w:r>
      <w:bookmarkEnd w:id="576"/>
    </w:p>
    <w:p w:rsidR="00E47E74" w:rsidRPr="00E47E74" w:rsidRDefault="00E47E74" w:rsidP="00E47E74">
      <w:pPr>
        <w:tabs>
          <w:tab w:val="right" w:pos="7497"/>
        </w:tabs>
        <w:bidi/>
        <w:jc w:val="both"/>
        <w:rPr>
          <w:rFonts w:cs="Guttman Drogolin"/>
          <w:rtl/>
          <w:lang w:bidi="he-IL"/>
        </w:rPr>
      </w:pPr>
      <w:r w:rsidRPr="00E47E74">
        <w:rPr>
          <w:rFonts w:cs="Guttman Drogolin"/>
          <w:rtl/>
          <w:lang w:bidi="he-IL"/>
        </w:rPr>
        <w:fldChar w:fldCharType="begin"/>
      </w:r>
      <w:r w:rsidRPr="00E47E74">
        <w:rPr>
          <w:rFonts w:cs="Guttman Drogolin"/>
        </w:rPr>
        <w:instrText xml:space="preserve"> XE "</w:instrText>
      </w:r>
      <w:r w:rsidRPr="00E47E74">
        <w:rPr>
          <w:rFonts w:cs="Guttman Drogolin" w:hint="cs"/>
          <w:rtl/>
          <w:lang w:bidi="he-IL"/>
        </w:rPr>
        <w:instrText>פת עכו</w:instrText>
      </w:r>
      <w:r w:rsidRPr="00E47E74">
        <w:rPr>
          <w:rFonts w:eastAsiaTheme="minorEastAsia" w:cs="Guttman Drogolin"/>
          <w:lang w:bidi="he-IL"/>
        </w:rPr>
        <w:instrText>\</w:instrText>
      </w:r>
      <w:r w:rsidRPr="00E47E74">
        <w:rPr>
          <w:rFonts w:cs="Guttman Drogolin" w:hint="cs"/>
          <w:rtl/>
          <w:lang w:bidi="he-IL"/>
        </w:rPr>
        <w:instrText>"ם</w:instrText>
      </w:r>
      <w:r w:rsidRPr="00E47E74">
        <w:rPr>
          <w:rFonts w:cs="Guttman Drogolin"/>
          <w:rtl/>
        </w:rPr>
        <w:instrText>:</w:instrText>
      </w:r>
      <w:r w:rsidRPr="00E47E74">
        <w:rPr>
          <w:rFonts w:cs="Guttman Drogolin" w:hint="cs"/>
          <w:rtl/>
          <w:lang w:bidi="he-IL"/>
        </w:rPr>
        <w:instrText>פת של מומר ישראל</w:instrText>
      </w:r>
      <w:r w:rsidRPr="00E47E74">
        <w:rPr>
          <w:rFonts w:cs="Guttman Drogolin"/>
        </w:rPr>
        <w:instrText xml:space="preserve">" </w:instrText>
      </w:r>
      <w:r w:rsidRPr="00E47E74">
        <w:rPr>
          <w:rFonts w:cs="Guttman Drogolin"/>
          <w:rtl/>
          <w:lang w:bidi="he-IL"/>
        </w:rPr>
        <w:fldChar w:fldCharType="end"/>
      </w:r>
      <w:r w:rsidRPr="00E47E74">
        <w:rPr>
          <w:rFonts w:cs="Guttman Drogolin" w:hint="cs"/>
          <w:rtl/>
          <w:lang w:bidi="he-IL"/>
        </w:rPr>
        <w:t>הפת"ש בתחילת הסימן הביא מתפא"ל שהכריע שלא גזרו אלא על פת של עכו"ם ממש, אבל פת של מומר לא גזרו עליו, וכתב הטעם "</w:t>
      </w:r>
      <w:r w:rsidRPr="00E47E74">
        <w:rPr>
          <w:rFonts w:cs="Guttman Drogolin"/>
          <w:rtl/>
          <w:lang w:bidi="he-IL"/>
        </w:rPr>
        <w:t>דפת של מומר שרי דמשום חתנות ליכא דאע"פ שחטא ישראל הוא ומותר לישא בתו</w:t>
      </w:r>
      <w:r w:rsidRPr="00E47E74">
        <w:rPr>
          <w:rFonts w:cs="Guttman Drogolin" w:hint="cs"/>
          <w:rtl/>
          <w:lang w:bidi="he-IL"/>
        </w:rPr>
        <w:t xml:space="preserve">". וע' גם באג"מ הנ"ל שכתב שטעם המחמירים בזה תמוה. ויש להעיר על זה דהא אם הוא מחלל שבת בפרהסיא או עובד ע"ז הא דינא כעכו"ם לכמה דיני תורה, וכבר הביאו כמה אחרונים את דברי הר"ן במס' </w:t>
      </w:r>
      <w:r w:rsidRPr="00E47E74">
        <w:rPr>
          <w:rFonts w:cs="Guttman Drogolin" w:hint="cs"/>
          <w:rtl/>
          <w:lang w:bidi="he-IL"/>
        </w:rPr>
        <w:lastRenderedPageBreak/>
        <w:t xml:space="preserve">חולין דף ד' שעכ"פ לענין סתם יינם (שהוא גם משום בנותיהם) החמירו גם בישראל עובד ע"ז. וכיון שדינו של הישראל כעכו"ם, מסתמא גם בתו הלכה בדרכיו, ולכן גם בה דינה כעכו"ם. ואע"ג שאעפ"כ אין איסור גמור להתחתן עם מומרת לע"ז, מ"מ הא עיקר טעם הגזרה של פת עכו"ם אינו משום שמביא לידי איסור חיתון בבנותיהם, רק משום שמביא לידי ע"ז, וגם בנד"ד יביא לידי ע"ז. ואע"ג שאין לנו מעצמינו לאסור פת ישראל שמביא לידי ע"ז, מ"מ כיון שדינו ודינה כעכו"ם, וכן טעם הגזרה שייך, לכאורה יש מקום לומר שגם פתן אסור. </w:t>
      </w:r>
    </w:p>
    <w:p w:rsidR="00E47E74" w:rsidRPr="00E47E74" w:rsidRDefault="00E47E74" w:rsidP="00E47E74">
      <w:pPr>
        <w:keepNext/>
        <w:keepLines/>
        <w:bidi/>
        <w:spacing w:after="0" w:line="360" w:lineRule="auto"/>
        <w:jc w:val="center"/>
        <w:outlineLvl w:val="0"/>
        <w:rPr>
          <w:rFonts w:asciiTheme="majorHAnsi" w:eastAsiaTheme="majorEastAsia" w:hAnsiTheme="majorHAnsi" w:cs="Guttman Drogolin"/>
          <w:b/>
          <w:bCs/>
          <w:sz w:val="24"/>
          <w:szCs w:val="24"/>
          <w:u w:val="single"/>
          <w:rtl/>
          <w:lang w:bidi="he-IL"/>
        </w:rPr>
      </w:pPr>
      <w:bookmarkStart w:id="577" w:name="_Toc496175814"/>
      <w:r w:rsidRPr="00E47E74">
        <w:rPr>
          <w:rFonts w:asciiTheme="majorHAnsi" w:eastAsiaTheme="majorEastAsia" w:hAnsiTheme="majorHAnsi" w:cs="Guttman Drogolin" w:hint="cs"/>
          <w:b/>
          <w:bCs/>
          <w:sz w:val="24"/>
          <w:szCs w:val="24"/>
          <w:u w:val="single"/>
          <w:rtl/>
          <w:lang w:bidi="he-IL"/>
        </w:rPr>
        <w:t>סוגי מאפים שונים אי הוו בכלל פת עכו"ם</w:t>
      </w:r>
      <w:bookmarkEnd w:id="577"/>
    </w:p>
    <w:p w:rsidR="00E47E74" w:rsidRDefault="00E47E74" w:rsidP="00A07447">
      <w:pPr>
        <w:tabs>
          <w:tab w:val="right" w:pos="7497"/>
        </w:tabs>
        <w:bidi/>
        <w:jc w:val="both"/>
        <w:rPr>
          <w:rFonts w:cs="Guttman Drogolin"/>
          <w:rtl/>
          <w:lang w:bidi="he-IL"/>
        </w:rPr>
      </w:pPr>
      <w:r w:rsidRPr="00E47E74">
        <w:rPr>
          <w:rFonts w:cs="Guttman Drogolin"/>
          <w:rtl/>
          <w:lang w:bidi="he-IL"/>
        </w:rPr>
        <w:fldChar w:fldCharType="begin"/>
      </w:r>
      <w:r w:rsidRPr="00E47E74">
        <w:rPr>
          <w:rFonts w:cs="Guttman Drogolin"/>
        </w:rPr>
        <w:instrText xml:space="preserve"> XE "</w:instrText>
      </w:r>
      <w:r w:rsidRPr="00E47E74">
        <w:rPr>
          <w:rFonts w:cs="Guttman Drogolin" w:hint="cs"/>
          <w:rtl/>
          <w:lang w:bidi="he-IL"/>
        </w:rPr>
        <w:instrText>פת עכו</w:instrText>
      </w:r>
      <w:r w:rsidRPr="00E47E74">
        <w:rPr>
          <w:rFonts w:eastAsiaTheme="minorEastAsia" w:cs="Guttman Drogolin"/>
          <w:lang w:bidi="he-IL"/>
        </w:rPr>
        <w:instrText>\</w:instrText>
      </w:r>
      <w:r w:rsidRPr="00E47E74">
        <w:rPr>
          <w:rFonts w:cs="Guttman Drogolin" w:hint="cs"/>
          <w:rtl/>
          <w:lang w:bidi="he-IL"/>
        </w:rPr>
        <w:instrText>"ם</w:instrText>
      </w:r>
      <w:r w:rsidRPr="00E47E74">
        <w:rPr>
          <w:rFonts w:cs="Guttman Drogolin"/>
          <w:rtl/>
        </w:rPr>
        <w:instrText>:</w:instrText>
      </w:r>
      <w:r w:rsidRPr="00E47E74">
        <w:rPr>
          <w:rFonts w:cs="Guttman Drogolin"/>
          <w:rtl/>
          <w:lang w:bidi="he-IL"/>
        </w:rPr>
        <w:instrText xml:space="preserve"> סוגי מאפים שונים</w:instrText>
      </w:r>
      <w:r w:rsidRPr="00E47E74">
        <w:rPr>
          <w:rFonts w:cs="Guttman Drogolin"/>
        </w:rPr>
        <w:instrText xml:space="preserve">" </w:instrText>
      </w:r>
      <w:r w:rsidRPr="00E47E74">
        <w:rPr>
          <w:rFonts w:cs="Guttman Drogolin"/>
          <w:rtl/>
          <w:lang w:bidi="he-IL"/>
        </w:rPr>
        <w:fldChar w:fldCharType="end"/>
      </w:r>
      <w:r w:rsidRPr="00E47E74">
        <w:rPr>
          <w:rFonts w:cs="Guttman Drogolin" w:hint="cs"/>
          <w:rtl/>
          <w:lang w:bidi="he-IL"/>
        </w:rPr>
        <w:t>כתבו התוס' במס' ביצה דף ט"ז ע"ב סוד"ה קמ"ל "</w:t>
      </w:r>
      <w:r w:rsidRPr="00E47E74">
        <w:rPr>
          <w:rFonts w:cs="Guttman Drogolin"/>
          <w:rtl/>
          <w:lang w:bidi="he-IL"/>
        </w:rPr>
        <w:t>ואותן ניליי"ש מדלא מברכין עלייהו ברכת המוציא יש בהן משום ב"נ</w:t>
      </w:r>
      <w:r w:rsidRPr="00E47E74">
        <w:rPr>
          <w:rFonts w:cs="Guttman Drogolin" w:hint="cs"/>
          <w:rtl/>
          <w:lang w:bidi="he-IL"/>
        </w:rPr>
        <w:t xml:space="preserve"> </w:t>
      </w:r>
      <w:r w:rsidRPr="00E47E74">
        <w:rPr>
          <w:rFonts w:cs="Guttman Drogolin"/>
          <w:rtl/>
          <w:lang w:bidi="he-IL"/>
        </w:rPr>
        <w:t>בישולי נכרים</w:t>
      </w:r>
      <w:r w:rsidRPr="00E47E74">
        <w:rPr>
          <w:rFonts w:cs="Guttman Drogolin" w:hint="cs"/>
          <w:rtl/>
          <w:lang w:bidi="he-IL"/>
        </w:rPr>
        <w:t xml:space="preserve"> </w:t>
      </w:r>
      <w:r w:rsidRPr="00E47E74">
        <w:rPr>
          <w:rFonts w:cs="Guttman Drogolin"/>
          <w:rtl/>
          <w:lang w:bidi="he-IL"/>
        </w:rPr>
        <w:t>ומיהו אומר הר"ר יחיאל דאין בהם משום ב"נ</w:t>
      </w:r>
      <w:r w:rsidRPr="00E47E74">
        <w:rPr>
          <w:rFonts w:cs="Guttman Drogolin" w:hint="cs"/>
          <w:rtl/>
          <w:lang w:bidi="he-IL"/>
        </w:rPr>
        <w:t xml:space="preserve"> </w:t>
      </w:r>
      <w:r w:rsidRPr="00E47E74">
        <w:rPr>
          <w:rFonts w:cs="Guttman Drogolin"/>
          <w:rtl/>
          <w:lang w:bidi="he-IL"/>
        </w:rPr>
        <w:t>בישולי נכרים</w:t>
      </w:r>
      <w:r w:rsidRPr="00E47E74">
        <w:rPr>
          <w:rFonts w:cs="Guttman Drogolin" w:hint="cs"/>
          <w:rtl/>
          <w:lang w:bidi="he-IL"/>
        </w:rPr>
        <w:t xml:space="preserve"> </w:t>
      </w:r>
      <w:r w:rsidRPr="00E47E74">
        <w:rPr>
          <w:rFonts w:cs="Guttman Drogolin"/>
          <w:rtl/>
          <w:lang w:bidi="he-IL"/>
        </w:rPr>
        <w:t>כיון דדרך אפיית פת עביד להו ועוד דאי קבע סעודתיה עלייהו מברך ברכת המוציא אלמא פת נינהו</w:t>
      </w:r>
      <w:r w:rsidRPr="00E47E74">
        <w:rPr>
          <w:rFonts w:cs="Guttman Drogolin" w:hint="cs"/>
          <w:rtl/>
          <w:lang w:bidi="he-IL"/>
        </w:rPr>
        <w:t>". הרי שהתוס' כתבו ב' טעמים להחשיב הנילייש כפת ושייך לדיני פת עכו"ם</w:t>
      </w:r>
      <w:r w:rsidRPr="00E47E74">
        <w:rPr>
          <w:rFonts w:cs="Guttman Drogolin"/>
          <w:vertAlign w:val="superscript"/>
          <w:rtl/>
          <w:lang w:bidi="he-IL"/>
        </w:rPr>
        <w:footnoteReference w:id="611"/>
      </w:r>
      <w:r w:rsidRPr="00E47E74">
        <w:rPr>
          <w:rFonts w:cs="Guttman Drogolin" w:hint="cs"/>
          <w:rtl/>
          <w:lang w:bidi="he-IL"/>
        </w:rPr>
        <w:t>, חדא דדרך אפיית פת עביד להו, ועוד שאם קבע סעודתי' עלייהו מברך עליו ברכת המוציא. וכן ע' ברמ"א סי' קי"ב סע' ו' שגם עוגה בכלל גזירת פת עכו"ם. והביא שם הט"ז משום שאם קובע עליו מברכין עליו המוציא. וע' בש"ך שהוסיף שצריך להיות שבלילתה עבה ויש בה תואר לחם. ולכן לכאורה עוגת טורט יהא בכלל דיני בישול עכו"ם ולא בכלל פת עכו"ם. וכן סופגניות העשוים כדי לטגנן ג"כ מעיקר הדין בכלל בישול עכו"ם</w:t>
      </w:r>
      <w:r w:rsidRPr="00E47E74">
        <w:rPr>
          <w:rFonts w:cs="Guttman Drogolin"/>
          <w:vertAlign w:val="superscript"/>
          <w:rtl/>
          <w:lang w:bidi="he-IL"/>
        </w:rPr>
        <w:footnoteReference w:id="612"/>
      </w:r>
      <w:r w:rsidRPr="00E47E74">
        <w:rPr>
          <w:rFonts w:cs="Guttman Drogolin" w:hint="cs"/>
          <w:rtl/>
          <w:lang w:bidi="he-IL"/>
        </w:rPr>
        <w:t xml:space="preserve">.  </w:t>
      </w:r>
    </w:p>
    <w:p w:rsidR="001E15E7" w:rsidRPr="00D80599" w:rsidRDefault="00D80599" w:rsidP="00E47E74">
      <w:pPr>
        <w:tabs>
          <w:tab w:val="right" w:pos="7497"/>
        </w:tabs>
        <w:bidi/>
        <w:jc w:val="both"/>
        <w:rPr>
          <w:rFonts w:cs="Guttman Drogolin"/>
          <w:rtl/>
        </w:rPr>
      </w:pPr>
      <w:r w:rsidRPr="00D80599">
        <w:rPr>
          <w:rFonts w:cs="Guttman Drogolin" w:hint="cs"/>
          <w:rtl/>
          <w:lang w:bidi="he-IL"/>
        </w:rPr>
        <w:t xml:space="preserve"> </w:t>
      </w:r>
    </w:p>
    <w:p w:rsidR="001E15E7" w:rsidRPr="00F957AC" w:rsidRDefault="001E15E7" w:rsidP="001E15E7">
      <w:pPr>
        <w:tabs>
          <w:tab w:val="right" w:pos="7497"/>
        </w:tabs>
        <w:bidi/>
        <w:jc w:val="both"/>
        <w:rPr>
          <w:rFonts w:cs="Guttman Drogolin"/>
          <w:lang w:bidi="he-IL"/>
        </w:rPr>
        <w:sectPr w:rsidR="001E15E7" w:rsidRPr="00F957AC" w:rsidSect="00E47E74">
          <w:type w:val="continuous"/>
          <w:pgSz w:w="11907" w:h="16839" w:code="9"/>
          <w:pgMar w:top="1440" w:right="1440" w:bottom="1440" w:left="1440" w:header="720" w:footer="720" w:gutter="0"/>
          <w:cols w:num="2" w:space="720"/>
          <w:bidi/>
          <w:docGrid w:linePitch="360"/>
        </w:sectPr>
      </w:pPr>
    </w:p>
    <w:p w:rsidR="00C157C8" w:rsidRPr="00C157C8" w:rsidRDefault="00A25C17" w:rsidP="00F20314">
      <w:pPr>
        <w:tabs>
          <w:tab w:val="right" w:pos="7497"/>
        </w:tabs>
        <w:bidi/>
        <w:spacing w:line="240" w:lineRule="auto"/>
        <w:jc w:val="both"/>
        <w:rPr>
          <w:rFonts w:cs="Guttman Drogolin"/>
          <w:noProof/>
          <w:sz w:val="20"/>
          <w:szCs w:val="20"/>
          <w:rtl/>
          <w:lang w:bidi="he-IL"/>
        </w:rPr>
        <w:sectPr w:rsidR="00C157C8" w:rsidRPr="00C157C8" w:rsidSect="00C157C8">
          <w:headerReference w:type="default" r:id="rId104"/>
          <w:type w:val="continuous"/>
          <w:pgSz w:w="11907" w:h="16839" w:code="9"/>
          <w:pgMar w:top="1440" w:right="1440" w:bottom="1440" w:left="1440" w:header="720" w:footer="720" w:gutter="0"/>
          <w:cols w:space="720"/>
          <w:bidi/>
          <w:docGrid w:linePitch="360"/>
        </w:sectPr>
      </w:pPr>
      <w:r w:rsidRPr="00CB6BCB">
        <w:rPr>
          <w:rFonts w:cs="Guttman Drogolin"/>
          <w:sz w:val="20"/>
          <w:szCs w:val="20"/>
          <w:rtl/>
          <w:lang w:bidi="he-IL"/>
        </w:rPr>
        <w:lastRenderedPageBreak/>
        <w:fldChar w:fldCharType="begin"/>
      </w:r>
      <w:r w:rsidRPr="00CB6BCB">
        <w:rPr>
          <w:rFonts w:cs="Guttman Drogolin"/>
          <w:sz w:val="20"/>
          <w:szCs w:val="20"/>
          <w:rtl/>
          <w:lang w:bidi="he-IL"/>
        </w:rPr>
        <w:instrText xml:space="preserve"> </w:instrText>
      </w:r>
      <w:r w:rsidRPr="00CB6BCB">
        <w:rPr>
          <w:rFonts w:cs="Guttman Drogolin"/>
          <w:sz w:val="20"/>
          <w:szCs w:val="20"/>
          <w:lang w:bidi="he-IL"/>
        </w:rPr>
        <w:instrText xml:space="preserve">INDEX </w:instrText>
      </w:r>
      <w:r w:rsidRPr="00CB6BCB">
        <w:rPr>
          <w:rFonts w:cs="Guttman Drogolin"/>
          <w:sz w:val="20"/>
          <w:szCs w:val="20"/>
          <w:rtl/>
          <w:lang w:bidi="he-IL"/>
        </w:rPr>
        <w:instrText>\</w:instrText>
      </w:r>
      <w:r w:rsidRPr="00CB6BCB">
        <w:rPr>
          <w:rFonts w:cs="Guttman Drogolin"/>
          <w:sz w:val="20"/>
          <w:szCs w:val="20"/>
          <w:lang w:bidi="he-IL"/>
        </w:rPr>
        <w:instrText>e "</w:instrText>
      </w:r>
      <w:r w:rsidRPr="00CB6BCB">
        <w:rPr>
          <w:rFonts w:cs="Guttman Drogolin"/>
          <w:sz w:val="20"/>
          <w:szCs w:val="20"/>
          <w:lang w:bidi="he-IL"/>
        </w:rPr>
        <w:tab/>
        <w:instrText>" \c "2" \z "1033"</w:instrText>
      </w:r>
      <w:r w:rsidRPr="00CB6BCB">
        <w:rPr>
          <w:rFonts w:cs="Guttman Drogolin"/>
          <w:sz w:val="20"/>
          <w:szCs w:val="20"/>
          <w:rtl/>
          <w:lang w:bidi="he-IL"/>
        </w:rPr>
        <w:instrText xml:space="preserve"> </w:instrText>
      </w:r>
      <w:r w:rsidRPr="00CB6BCB">
        <w:rPr>
          <w:rFonts w:cs="Guttman Drogolin"/>
          <w:sz w:val="20"/>
          <w:szCs w:val="20"/>
          <w:rtl/>
          <w:lang w:bidi="he-IL"/>
        </w:rPr>
        <w:fldChar w:fldCharType="separate"/>
      </w:r>
    </w:p>
    <w:p w:rsidR="00C157C8" w:rsidRPr="00C157C8" w:rsidRDefault="00C157C8">
      <w:pPr>
        <w:pStyle w:val="Index1"/>
        <w:rPr>
          <w:rtl/>
        </w:rPr>
      </w:pPr>
      <w:r w:rsidRPr="00C157C8">
        <w:rPr>
          <w:rtl/>
          <w:lang w:bidi="he-IL"/>
        </w:rPr>
        <w:lastRenderedPageBreak/>
        <w:t>אין בליעה עובר מכלי לכלי בלי רוטב</w:t>
      </w:r>
    </w:p>
    <w:p w:rsidR="00C157C8" w:rsidRPr="00C157C8" w:rsidRDefault="00C157C8">
      <w:pPr>
        <w:pStyle w:val="Index2"/>
        <w:rPr>
          <w:rtl/>
        </w:rPr>
      </w:pPr>
      <w:r w:rsidRPr="00C157C8">
        <w:rPr>
          <w:rtl/>
          <w:lang w:bidi="he-IL"/>
        </w:rPr>
        <w:t>מה הדין מכלי לאוכל</w:t>
      </w:r>
      <w:r w:rsidRPr="00C157C8">
        <w:rPr>
          <w:rtl/>
        </w:rPr>
        <w:tab/>
        <w:t>93</w:t>
      </w:r>
    </w:p>
    <w:p w:rsidR="00C157C8" w:rsidRPr="00C157C8" w:rsidRDefault="00C157C8">
      <w:pPr>
        <w:pStyle w:val="Index1"/>
        <w:rPr>
          <w:rtl/>
        </w:rPr>
      </w:pPr>
      <w:r w:rsidRPr="00C157C8">
        <w:rPr>
          <w:rtl/>
          <w:lang w:bidi="he-IL"/>
        </w:rPr>
        <w:t>אין בליעה עוברת מחתיכה לחתיכה בלי רוטב</w:t>
      </w:r>
    </w:p>
    <w:p w:rsidR="00C157C8" w:rsidRPr="00C157C8" w:rsidRDefault="00C157C8">
      <w:pPr>
        <w:pStyle w:val="Index2"/>
        <w:rPr>
          <w:rtl/>
        </w:rPr>
      </w:pPr>
      <w:r w:rsidRPr="00C157C8">
        <w:rPr>
          <w:rtl/>
          <w:lang w:bidi="he-IL"/>
        </w:rPr>
        <w:t>בבליעה שמינה</w:t>
      </w:r>
      <w:r w:rsidRPr="00C157C8">
        <w:rPr>
          <w:rtl/>
        </w:rPr>
        <w:tab/>
        <w:t>422</w:t>
      </w:r>
    </w:p>
    <w:p w:rsidR="00C157C8" w:rsidRPr="00C157C8" w:rsidRDefault="00C157C8">
      <w:pPr>
        <w:pStyle w:val="Index2"/>
        <w:rPr>
          <w:rtl/>
        </w:rPr>
      </w:pPr>
      <w:r w:rsidRPr="00C157C8">
        <w:rPr>
          <w:rtl/>
          <w:lang w:bidi="he-IL"/>
        </w:rPr>
        <w:t>דינו</w:t>
      </w:r>
      <w:r w:rsidRPr="00C157C8">
        <w:rPr>
          <w:rtl/>
        </w:rPr>
        <w:tab/>
        <w:t>409</w:t>
      </w:r>
    </w:p>
    <w:p w:rsidR="00C157C8" w:rsidRPr="00C157C8" w:rsidRDefault="00C157C8">
      <w:pPr>
        <w:pStyle w:val="Index2"/>
        <w:rPr>
          <w:rtl/>
        </w:rPr>
      </w:pPr>
      <w:r w:rsidRPr="00C157C8">
        <w:rPr>
          <w:rtl/>
          <w:lang w:bidi="he-IL"/>
        </w:rPr>
        <w:t>הדין בכלי לאוכל או להיפך</w:t>
      </w:r>
      <w:r w:rsidRPr="00C157C8">
        <w:rPr>
          <w:rtl/>
        </w:rPr>
        <w:tab/>
        <w:t>410</w:t>
      </w:r>
    </w:p>
    <w:p w:rsidR="00C157C8" w:rsidRPr="00C157C8" w:rsidRDefault="00C157C8">
      <w:pPr>
        <w:pStyle w:val="Index2"/>
        <w:rPr>
          <w:rtl/>
        </w:rPr>
      </w:pPr>
      <w:r w:rsidRPr="00C157C8">
        <w:rPr>
          <w:rtl/>
          <w:lang w:bidi="he-IL"/>
        </w:rPr>
        <w:t>כמות הרוטב</w:t>
      </w:r>
      <w:r w:rsidRPr="00C157C8">
        <w:rPr>
          <w:rtl/>
        </w:rPr>
        <w:tab/>
        <w:t>409</w:t>
      </w:r>
    </w:p>
    <w:p w:rsidR="00C157C8" w:rsidRPr="00C157C8" w:rsidRDefault="00C157C8">
      <w:pPr>
        <w:pStyle w:val="Index2"/>
        <w:rPr>
          <w:rtl/>
        </w:rPr>
      </w:pPr>
      <w:r w:rsidRPr="00C157C8">
        <w:rPr>
          <w:rtl/>
          <w:lang w:bidi="he-IL"/>
        </w:rPr>
        <w:t>מחלוקת הראשונים בזה</w:t>
      </w:r>
      <w:r w:rsidRPr="00C157C8">
        <w:rPr>
          <w:rtl/>
        </w:rPr>
        <w:tab/>
        <w:t>95</w:t>
      </w:r>
    </w:p>
    <w:p w:rsidR="00C157C8" w:rsidRPr="00C157C8" w:rsidRDefault="00C157C8">
      <w:pPr>
        <w:pStyle w:val="Index2"/>
        <w:rPr>
          <w:rtl/>
        </w:rPr>
      </w:pPr>
      <w:r w:rsidRPr="00C157C8">
        <w:rPr>
          <w:rtl/>
          <w:lang w:bidi="he-IL"/>
        </w:rPr>
        <w:t>מחלוקת מהר</w:t>
      </w:r>
      <w:r w:rsidRPr="00C157C8">
        <w:rPr>
          <w:rtl/>
        </w:rPr>
        <w:t>"</w:t>
      </w:r>
      <w:r w:rsidRPr="00C157C8">
        <w:rPr>
          <w:rtl/>
          <w:lang w:bidi="he-IL"/>
        </w:rPr>
        <w:t>ם ור</w:t>
      </w:r>
      <w:r w:rsidRPr="00C157C8">
        <w:rPr>
          <w:rtl/>
        </w:rPr>
        <w:t xml:space="preserve">' </w:t>
      </w:r>
      <w:r w:rsidRPr="00C157C8">
        <w:rPr>
          <w:rtl/>
          <w:lang w:bidi="he-IL"/>
        </w:rPr>
        <w:t>נתנאל</w:t>
      </w:r>
      <w:r w:rsidRPr="00C157C8">
        <w:rPr>
          <w:rtl/>
        </w:rPr>
        <w:tab/>
        <w:t>424</w:t>
      </w:r>
    </w:p>
    <w:p w:rsidR="00C157C8" w:rsidRPr="00C157C8" w:rsidRDefault="00C157C8">
      <w:pPr>
        <w:pStyle w:val="Index1"/>
        <w:rPr>
          <w:rtl/>
        </w:rPr>
      </w:pPr>
      <w:r w:rsidRPr="00C157C8">
        <w:rPr>
          <w:rtl/>
          <w:lang w:bidi="he-IL"/>
        </w:rPr>
        <w:t>אין בליעה עוברת מכלי לכלי בלי רוטב</w:t>
      </w:r>
    </w:p>
    <w:p w:rsidR="00C157C8" w:rsidRPr="00C157C8" w:rsidRDefault="00C157C8">
      <w:pPr>
        <w:pStyle w:val="Index2"/>
        <w:rPr>
          <w:rtl/>
        </w:rPr>
      </w:pPr>
      <w:r w:rsidRPr="00C157C8">
        <w:rPr>
          <w:rtl/>
          <w:lang w:bidi="he-IL"/>
        </w:rPr>
        <w:t>מה הדין בכלי לאוכל או להיפך</w:t>
      </w:r>
      <w:r w:rsidRPr="00C157C8">
        <w:rPr>
          <w:rtl/>
        </w:rPr>
        <w:tab/>
        <w:t>410</w:t>
      </w:r>
    </w:p>
    <w:p w:rsidR="00C157C8" w:rsidRPr="00C157C8" w:rsidRDefault="00C157C8">
      <w:pPr>
        <w:pStyle w:val="Index1"/>
        <w:rPr>
          <w:rtl/>
        </w:rPr>
      </w:pPr>
      <w:r w:rsidRPr="00C157C8">
        <w:rPr>
          <w:rtl/>
          <w:lang w:bidi="he-IL"/>
        </w:rPr>
        <w:t>אין מבטלין איסור לכתחילה</w:t>
      </w:r>
    </w:p>
    <w:p w:rsidR="00C157C8" w:rsidRPr="00C157C8" w:rsidRDefault="00C157C8">
      <w:pPr>
        <w:pStyle w:val="Index2"/>
        <w:rPr>
          <w:rtl/>
        </w:rPr>
      </w:pPr>
      <w:r w:rsidRPr="00C157C8">
        <w:rPr>
          <w:rtl/>
          <w:lang w:bidi="he-IL"/>
        </w:rPr>
        <w:t>אם הוא דין מדאוריייתא</w:t>
      </w:r>
      <w:r w:rsidRPr="00C157C8">
        <w:rPr>
          <w:rtl/>
        </w:rPr>
        <w:tab/>
        <w:t>32</w:t>
      </w:r>
    </w:p>
    <w:p w:rsidR="00C157C8" w:rsidRPr="00C157C8" w:rsidRDefault="00C157C8">
      <w:pPr>
        <w:pStyle w:val="Index2"/>
        <w:rPr>
          <w:rtl/>
        </w:rPr>
      </w:pPr>
      <w:r w:rsidRPr="00C157C8">
        <w:rPr>
          <w:rtl/>
          <w:lang w:bidi="he-IL"/>
        </w:rPr>
        <w:t>אם הוא מדאורייתא</w:t>
      </w:r>
      <w:r w:rsidRPr="00C157C8">
        <w:rPr>
          <w:rtl/>
        </w:rPr>
        <w:tab/>
        <w:t>317</w:t>
      </w:r>
    </w:p>
    <w:p w:rsidR="00C157C8" w:rsidRPr="00C157C8" w:rsidRDefault="00C157C8">
      <w:pPr>
        <w:pStyle w:val="Index2"/>
        <w:rPr>
          <w:rtl/>
        </w:rPr>
      </w:pPr>
      <w:r w:rsidRPr="00C157C8">
        <w:rPr>
          <w:rtl/>
          <w:lang w:bidi="he-IL"/>
        </w:rPr>
        <w:t xml:space="preserve">אם הוא מדאורייתא </w:t>
      </w:r>
      <w:r w:rsidRPr="00C157C8">
        <w:rPr>
          <w:rtl/>
        </w:rPr>
        <w:t xml:space="preserve">- </w:t>
      </w:r>
      <w:r w:rsidRPr="00C157C8">
        <w:rPr>
          <w:rtl/>
          <w:lang w:bidi="he-IL"/>
        </w:rPr>
        <w:t>מקור</w:t>
      </w:r>
      <w:r w:rsidRPr="00C157C8">
        <w:rPr>
          <w:rtl/>
        </w:rPr>
        <w:tab/>
        <w:t>16</w:t>
      </w:r>
    </w:p>
    <w:p w:rsidR="00C157C8" w:rsidRPr="00C157C8" w:rsidRDefault="00C157C8">
      <w:pPr>
        <w:pStyle w:val="Index2"/>
        <w:rPr>
          <w:rtl/>
        </w:rPr>
      </w:pPr>
      <w:r w:rsidRPr="00C157C8">
        <w:rPr>
          <w:rtl/>
          <w:lang w:bidi="he-IL"/>
        </w:rPr>
        <w:t>באיסור דרבנן</w:t>
      </w:r>
      <w:r w:rsidRPr="00C157C8">
        <w:rPr>
          <w:rtl/>
        </w:rPr>
        <w:tab/>
        <w:t>319</w:t>
      </w:r>
    </w:p>
    <w:p w:rsidR="00C157C8" w:rsidRPr="00C157C8" w:rsidRDefault="00C157C8">
      <w:pPr>
        <w:pStyle w:val="Index2"/>
        <w:rPr>
          <w:rtl/>
        </w:rPr>
      </w:pPr>
      <w:r w:rsidRPr="00C157C8">
        <w:rPr>
          <w:rtl/>
          <w:lang w:bidi="he-IL"/>
        </w:rPr>
        <w:t>באיסור מדרבנן</w:t>
      </w:r>
      <w:r w:rsidRPr="00C157C8">
        <w:rPr>
          <w:rtl/>
        </w:rPr>
        <w:tab/>
        <w:t>325</w:t>
      </w:r>
    </w:p>
    <w:p w:rsidR="00C157C8" w:rsidRPr="00C157C8" w:rsidRDefault="00C157C8">
      <w:pPr>
        <w:pStyle w:val="Index2"/>
        <w:rPr>
          <w:rtl/>
        </w:rPr>
      </w:pPr>
      <w:r w:rsidRPr="00C157C8">
        <w:rPr>
          <w:rtl/>
          <w:lang w:bidi="he-IL"/>
        </w:rPr>
        <w:t>באיסורי הנאה</w:t>
      </w:r>
      <w:r w:rsidRPr="00C157C8">
        <w:rPr>
          <w:rtl/>
        </w:rPr>
        <w:tab/>
        <w:t>325</w:t>
      </w:r>
    </w:p>
    <w:p w:rsidR="00C157C8" w:rsidRPr="00C157C8" w:rsidRDefault="00C157C8">
      <w:pPr>
        <w:pStyle w:val="Index2"/>
        <w:rPr>
          <w:rtl/>
        </w:rPr>
      </w:pPr>
      <w:r w:rsidRPr="00C157C8">
        <w:rPr>
          <w:rtl/>
          <w:lang w:bidi="he-IL"/>
        </w:rPr>
        <w:t>בבשר בחלב</w:t>
      </w:r>
      <w:r w:rsidRPr="00C157C8">
        <w:rPr>
          <w:rtl/>
        </w:rPr>
        <w:tab/>
        <w:t>325</w:t>
      </w:r>
    </w:p>
    <w:p w:rsidR="00C157C8" w:rsidRPr="00C157C8" w:rsidRDefault="00C157C8">
      <w:pPr>
        <w:pStyle w:val="Index2"/>
        <w:rPr>
          <w:rtl/>
        </w:rPr>
      </w:pPr>
      <w:r w:rsidRPr="00C157C8">
        <w:rPr>
          <w:rtl/>
          <w:lang w:bidi="he-IL"/>
        </w:rPr>
        <w:t xml:space="preserve">בשוגג </w:t>
      </w:r>
      <w:r w:rsidRPr="00C157C8">
        <w:rPr>
          <w:rtl/>
        </w:rPr>
        <w:t xml:space="preserve">– </w:t>
      </w:r>
      <w:r w:rsidRPr="00C157C8">
        <w:rPr>
          <w:rtl/>
          <w:lang w:bidi="he-IL"/>
        </w:rPr>
        <w:t>חשבתי שמותר</w:t>
      </w:r>
      <w:r w:rsidRPr="00C157C8">
        <w:rPr>
          <w:rtl/>
        </w:rPr>
        <w:tab/>
        <w:t>324</w:t>
      </w:r>
    </w:p>
    <w:p w:rsidR="00C157C8" w:rsidRPr="00C157C8" w:rsidRDefault="00C157C8">
      <w:pPr>
        <w:pStyle w:val="Index2"/>
        <w:rPr>
          <w:rtl/>
        </w:rPr>
      </w:pPr>
      <w:r w:rsidRPr="00C157C8">
        <w:rPr>
          <w:rtl/>
          <w:lang w:bidi="he-IL"/>
        </w:rPr>
        <w:t>גדר הדין</w:t>
      </w:r>
      <w:r w:rsidRPr="00C157C8">
        <w:rPr>
          <w:rtl/>
        </w:rPr>
        <w:tab/>
        <w:t>317</w:t>
      </w:r>
    </w:p>
    <w:p w:rsidR="00C157C8" w:rsidRPr="00C157C8" w:rsidRDefault="00C157C8">
      <w:pPr>
        <w:pStyle w:val="Index2"/>
        <w:rPr>
          <w:rtl/>
        </w:rPr>
      </w:pPr>
      <w:r w:rsidRPr="00C157C8">
        <w:rPr>
          <w:rtl/>
          <w:lang w:bidi="he-IL"/>
        </w:rPr>
        <w:t>המקור</w:t>
      </w:r>
      <w:r w:rsidRPr="00C157C8">
        <w:rPr>
          <w:rtl/>
        </w:rPr>
        <w:t xml:space="preserve">, </w:t>
      </w:r>
      <w:r w:rsidRPr="00C157C8">
        <w:rPr>
          <w:rtl/>
          <w:lang w:bidi="he-IL"/>
        </w:rPr>
        <w:t>אם הוא דין מדאוריייתא</w:t>
      </w:r>
      <w:r w:rsidRPr="00C157C8">
        <w:rPr>
          <w:rtl/>
        </w:rPr>
        <w:tab/>
        <w:t>33</w:t>
      </w:r>
    </w:p>
    <w:p w:rsidR="00C157C8" w:rsidRPr="00C157C8" w:rsidRDefault="00C157C8">
      <w:pPr>
        <w:pStyle w:val="Index2"/>
        <w:rPr>
          <w:rtl/>
        </w:rPr>
      </w:pPr>
      <w:r w:rsidRPr="00C157C8">
        <w:rPr>
          <w:rtl/>
          <w:lang w:bidi="he-IL"/>
        </w:rPr>
        <w:t>הערה במערב סכך פסול לתוך סכך כשר</w:t>
      </w:r>
      <w:r w:rsidRPr="00C157C8">
        <w:rPr>
          <w:rtl/>
        </w:rPr>
        <w:tab/>
        <w:t>327</w:t>
      </w:r>
    </w:p>
    <w:p w:rsidR="00C157C8" w:rsidRPr="00C157C8" w:rsidRDefault="00C157C8">
      <w:pPr>
        <w:pStyle w:val="Index2"/>
        <w:rPr>
          <w:rtl/>
        </w:rPr>
      </w:pPr>
      <w:r w:rsidRPr="00C157C8">
        <w:rPr>
          <w:rtl/>
          <w:lang w:bidi="he-IL"/>
        </w:rPr>
        <w:t>כשאין כוונתו לבטל</w:t>
      </w:r>
      <w:r w:rsidRPr="00C157C8">
        <w:rPr>
          <w:rtl/>
        </w:rPr>
        <w:tab/>
        <w:t>321</w:t>
      </w:r>
    </w:p>
    <w:p w:rsidR="00C157C8" w:rsidRPr="00C157C8" w:rsidRDefault="00C157C8">
      <w:pPr>
        <w:pStyle w:val="Index2"/>
        <w:rPr>
          <w:rtl/>
        </w:rPr>
      </w:pPr>
      <w:r w:rsidRPr="00C157C8">
        <w:rPr>
          <w:rtl/>
          <w:lang w:bidi="he-IL"/>
        </w:rPr>
        <w:t xml:space="preserve">כשאין ככונתו לבטל </w:t>
      </w:r>
      <w:r w:rsidRPr="00C157C8">
        <w:rPr>
          <w:rtl/>
        </w:rPr>
        <w:t xml:space="preserve">- </w:t>
      </w:r>
      <w:r w:rsidRPr="00C157C8">
        <w:rPr>
          <w:rtl/>
          <w:lang w:bidi="he-IL"/>
        </w:rPr>
        <w:t>נידונים</w:t>
      </w:r>
      <w:r w:rsidRPr="00C157C8">
        <w:rPr>
          <w:rtl/>
        </w:rPr>
        <w:tab/>
        <w:t>323</w:t>
      </w:r>
    </w:p>
    <w:p w:rsidR="00C157C8" w:rsidRPr="00C157C8" w:rsidRDefault="00C157C8">
      <w:pPr>
        <w:pStyle w:val="Index2"/>
        <w:rPr>
          <w:rtl/>
        </w:rPr>
      </w:pPr>
      <w:r w:rsidRPr="00C157C8">
        <w:rPr>
          <w:rtl/>
          <w:lang w:bidi="he-IL"/>
        </w:rPr>
        <w:t>ע</w:t>
      </w:r>
      <w:r w:rsidRPr="00C157C8">
        <w:rPr>
          <w:rtl/>
        </w:rPr>
        <w:t>"</w:t>
      </w:r>
      <w:r w:rsidRPr="00C157C8">
        <w:rPr>
          <w:rtl/>
          <w:lang w:bidi="he-IL"/>
        </w:rPr>
        <w:t>י נכרי</w:t>
      </w:r>
      <w:r w:rsidRPr="00C157C8">
        <w:rPr>
          <w:rtl/>
        </w:rPr>
        <w:tab/>
        <w:t>321</w:t>
      </w:r>
    </w:p>
    <w:p w:rsidR="00C157C8" w:rsidRPr="00C157C8" w:rsidRDefault="00C157C8">
      <w:pPr>
        <w:pStyle w:val="Index2"/>
        <w:rPr>
          <w:rtl/>
        </w:rPr>
      </w:pPr>
      <w:r w:rsidRPr="00C157C8">
        <w:rPr>
          <w:rtl/>
          <w:lang w:bidi="he-IL"/>
        </w:rPr>
        <w:t>קנס למי שהתבטל בעבורו</w:t>
      </w:r>
      <w:r w:rsidRPr="00C157C8">
        <w:rPr>
          <w:rtl/>
        </w:rPr>
        <w:tab/>
        <w:t>325</w:t>
      </w:r>
    </w:p>
    <w:p w:rsidR="00C157C8" w:rsidRPr="00C157C8" w:rsidRDefault="00C157C8">
      <w:pPr>
        <w:pStyle w:val="Index1"/>
        <w:rPr>
          <w:rtl/>
        </w:rPr>
      </w:pPr>
      <w:r w:rsidRPr="00C157C8">
        <w:rPr>
          <w:rtl/>
          <w:lang w:bidi="he-IL"/>
        </w:rPr>
        <w:t>איסור דבוק</w:t>
      </w:r>
      <w:r w:rsidRPr="00C157C8">
        <w:rPr>
          <w:rtl/>
        </w:rPr>
        <w:tab/>
      </w:r>
      <w:r w:rsidRPr="00C157C8">
        <w:rPr>
          <w:i/>
          <w:rtl/>
          <w:lang w:bidi="he-IL"/>
        </w:rPr>
        <w:t>ע</w:t>
      </w:r>
      <w:r w:rsidRPr="00C157C8">
        <w:rPr>
          <w:i/>
          <w:rtl/>
        </w:rPr>
        <w:t xml:space="preserve">' </w:t>
      </w:r>
      <w:r w:rsidRPr="00C157C8">
        <w:rPr>
          <w:i/>
          <w:rtl/>
          <w:lang w:bidi="he-IL"/>
        </w:rPr>
        <w:t>חענ</w:t>
      </w:r>
      <w:r w:rsidRPr="00C157C8">
        <w:rPr>
          <w:i/>
          <w:rtl/>
        </w:rPr>
        <w:t>"</w:t>
      </w:r>
      <w:r w:rsidRPr="00C157C8">
        <w:rPr>
          <w:i/>
          <w:rtl/>
          <w:lang w:bidi="he-IL"/>
        </w:rPr>
        <w:t>ן</w:t>
      </w:r>
      <w:r w:rsidRPr="00C157C8">
        <w:rPr>
          <w:i/>
          <w:rtl/>
        </w:rPr>
        <w:t xml:space="preserve">: </w:t>
      </w:r>
      <w:r w:rsidRPr="00C157C8">
        <w:rPr>
          <w:i/>
          <w:rtl/>
          <w:lang w:bidi="he-IL"/>
        </w:rPr>
        <w:t>באיסור דבוק</w:t>
      </w:r>
    </w:p>
    <w:p w:rsidR="00C157C8" w:rsidRPr="00C157C8" w:rsidRDefault="00C157C8">
      <w:pPr>
        <w:pStyle w:val="Index1"/>
        <w:rPr>
          <w:rtl/>
        </w:rPr>
      </w:pPr>
      <w:r w:rsidRPr="00C157C8">
        <w:rPr>
          <w:rtl/>
          <w:lang w:bidi="he-IL"/>
        </w:rPr>
        <w:t>איסור הנאה</w:t>
      </w:r>
    </w:p>
    <w:p w:rsidR="00C157C8" w:rsidRPr="00C157C8" w:rsidRDefault="00C157C8">
      <w:pPr>
        <w:pStyle w:val="Index2"/>
        <w:rPr>
          <w:rtl/>
        </w:rPr>
      </w:pPr>
      <w:r w:rsidRPr="00C157C8">
        <w:rPr>
          <w:rtl/>
          <w:lang w:bidi="he-IL"/>
        </w:rPr>
        <w:t>טעם כעיקר</w:t>
      </w:r>
      <w:r w:rsidRPr="00C157C8">
        <w:rPr>
          <w:rtl/>
        </w:rPr>
        <w:tab/>
        <w:t>115</w:t>
      </w:r>
    </w:p>
    <w:p w:rsidR="00C157C8" w:rsidRPr="00C157C8" w:rsidRDefault="00C157C8">
      <w:pPr>
        <w:pStyle w:val="Index2"/>
        <w:rPr>
          <w:rtl/>
        </w:rPr>
      </w:pPr>
      <w:r w:rsidRPr="00C157C8">
        <w:rPr>
          <w:rtl/>
          <w:lang w:bidi="he-IL"/>
        </w:rPr>
        <w:t>לענין הסוגיא דריחא מילתא</w:t>
      </w:r>
      <w:r w:rsidRPr="00C157C8">
        <w:rPr>
          <w:rtl/>
        </w:rPr>
        <w:tab/>
        <w:t>124</w:t>
      </w:r>
    </w:p>
    <w:p w:rsidR="00C157C8" w:rsidRPr="00C157C8" w:rsidRDefault="00C157C8">
      <w:pPr>
        <w:pStyle w:val="Index1"/>
        <w:rPr>
          <w:rtl/>
        </w:rPr>
      </w:pPr>
      <w:r w:rsidRPr="00C157C8">
        <w:rPr>
          <w:rtl/>
          <w:lang w:bidi="he-IL"/>
        </w:rPr>
        <w:t>איסורים מבטלים זה את זה</w:t>
      </w:r>
    </w:p>
    <w:p w:rsidR="00C157C8" w:rsidRPr="00C157C8" w:rsidRDefault="00C157C8">
      <w:pPr>
        <w:pStyle w:val="Index2"/>
        <w:rPr>
          <w:rtl/>
        </w:rPr>
      </w:pPr>
      <w:r w:rsidRPr="00C157C8">
        <w:rPr>
          <w:rtl/>
          <w:lang w:bidi="he-IL"/>
        </w:rPr>
        <w:t>הסוגיא</w:t>
      </w:r>
      <w:r w:rsidRPr="00C157C8">
        <w:rPr>
          <w:rtl/>
        </w:rPr>
        <w:tab/>
        <w:t>313</w:t>
      </w:r>
    </w:p>
    <w:p w:rsidR="00C157C8" w:rsidRPr="00C157C8" w:rsidRDefault="00C157C8">
      <w:pPr>
        <w:pStyle w:val="Index1"/>
        <w:rPr>
          <w:rtl/>
        </w:rPr>
      </w:pPr>
      <w:r w:rsidRPr="00C157C8">
        <w:rPr>
          <w:rtl/>
          <w:lang w:bidi="he-IL"/>
        </w:rPr>
        <w:t>אם יש בגידין בנותן טעם</w:t>
      </w:r>
    </w:p>
    <w:p w:rsidR="00C157C8" w:rsidRPr="00C157C8" w:rsidRDefault="00C157C8">
      <w:pPr>
        <w:pStyle w:val="Index2"/>
        <w:rPr>
          <w:rtl/>
        </w:rPr>
      </w:pPr>
      <w:r w:rsidRPr="00C157C8">
        <w:rPr>
          <w:rtl/>
          <w:lang w:bidi="he-IL"/>
        </w:rPr>
        <w:t>ביור המחלוקת</w:t>
      </w:r>
      <w:r w:rsidRPr="00C157C8">
        <w:rPr>
          <w:rtl/>
        </w:rPr>
        <w:tab/>
        <w:t>50</w:t>
      </w:r>
    </w:p>
    <w:p w:rsidR="00C157C8" w:rsidRPr="00C157C8" w:rsidRDefault="00C157C8">
      <w:pPr>
        <w:pStyle w:val="Index1"/>
        <w:rPr>
          <w:rtl/>
        </w:rPr>
      </w:pPr>
      <w:r w:rsidRPr="00C157C8">
        <w:rPr>
          <w:rtl/>
          <w:lang w:bidi="he-IL"/>
        </w:rPr>
        <w:t>אמירה לנכרי</w:t>
      </w:r>
    </w:p>
    <w:p w:rsidR="00C157C8" w:rsidRPr="00C157C8" w:rsidRDefault="00C157C8">
      <w:pPr>
        <w:pStyle w:val="Index2"/>
        <w:rPr>
          <w:rtl/>
        </w:rPr>
      </w:pPr>
      <w:r w:rsidRPr="00C157C8">
        <w:rPr>
          <w:rtl/>
          <w:lang w:bidi="he-IL"/>
        </w:rPr>
        <w:t>בטעימת קפילא</w:t>
      </w:r>
      <w:r w:rsidRPr="00C157C8">
        <w:rPr>
          <w:rtl/>
        </w:rPr>
        <w:tab/>
        <w:t>302</w:t>
      </w:r>
    </w:p>
    <w:p w:rsidR="00C157C8" w:rsidRPr="00C157C8" w:rsidRDefault="00C157C8">
      <w:pPr>
        <w:pStyle w:val="Index2"/>
        <w:rPr>
          <w:rtl/>
        </w:rPr>
      </w:pPr>
      <w:r w:rsidRPr="00C157C8">
        <w:rPr>
          <w:rtl/>
          <w:lang w:bidi="he-IL"/>
        </w:rPr>
        <w:t>לבטל איסור לכתחילה</w:t>
      </w:r>
      <w:r w:rsidRPr="00C157C8">
        <w:rPr>
          <w:rtl/>
        </w:rPr>
        <w:tab/>
        <w:t>321</w:t>
      </w:r>
    </w:p>
    <w:p w:rsidR="00C157C8" w:rsidRPr="00C157C8" w:rsidRDefault="00C157C8">
      <w:pPr>
        <w:pStyle w:val="Index2"/>
        <w:rPr>
          <w:rtl/>
        </w:rPr>
      </w:pPr>
      <w:r w:rsidRPr="00C157C8">
        <w:rPr>
          <w:rtl/>
          <w:lang w:bidi="he-IL"/>
        </w:rPr>
        <w:t>לבשל בכלי שאינו בן יומו</w:t>
      </w:r>
      <w:r w:rsidRPr="00C157C8">
        <w:rPr>
          <w:rtl/>
        </w:rPr>
        <w:tab/>
        <w:t>534</w:t>
      </w:r>
    </w:p>
    <w:p w:rsidR="00C157C8" w:rsidRPr="00C157C8" w:rsidRDefault="00C157C8">
      <w:pPr>
        <w:pStyle w:val="Index2"/>
        <w:rPr>
          <w:rtl/>
        </w:rPr>
      </w:pPr>
      <w:r w:rsidRPr="00C157C8">
        <w:rPr>
          <w:rtl/>
          <w:lang w:bidi="he-IL"/>
        </w:rPr>
        <w:t>פסיק רישא על ידו</w:t>
      </w:r>
      <w:r w:rsidRPr="00C157C8">
        <w:rPr>
          <w:rtl/>
        </w:rPr>
        <w:tab/>
        <w:t>556</w:t>
      </w:r>
    </w:p>
    <w:p w:rsidR="00C157C8" w:rsidRPr="00C157C8" w:rsidRDefault="00C157C8">
      <w:pPr>
        <w:pStyle w:val="Index1"/>
        <w:rPr>
          <w:rtl/>
        </w:rPr>
      </w:pPr>
      <w:r w:rsidRPr="00C157C8">
        <w:rPr>
          <w:rtl/>
          <w:lang w:bidi="he-IL"/>
        </w:rPr>
        <w:t>אפשר לסוחטו</w:t>
      </w:r>
    </w:p>
    <w:p w:rsidR="00C157C8" w:rsidRPr="00C157C8" w:rsidRDefault="00C157C8">
      <w:pPr>
        <w:pStyle w:val="Index2"/>
        <w:rPr>
          <w:rtl/>
        </w:rPr>
      </w:pPr>
      <w:r w:rsidRPr="00C157C8">
        <w:rPr>
          <w:rtl/>
          <w:lang w:bidi="he-IL"/>
        </w:rPr>
        <w:t>אם אפשר להכשיר חתיכה שנאסרה</w:t>
      </w:r>
      <w:r w:rsidRPr="00C157C8">
        <w:rPr>
          <w:rtl/>
        </w:rPr>
        <w:tab/>
        <w:t>225</w:t>
      </w:r>
    </w:p>
    <w:p w:rsidR="00C157C8" w:rsidRPr="00C157C8" w:rsidRDefault="00C157C8">
      <w:pPr>
        <w:pStyle w:val="Index2"/>
        <w:rPr>
          <w:rtl/>
        </w:rPr>
      </w:pPr>
      <w:r w:rsidRPr="00C157C8">
        <w:rPr>
          <w:rtl/>
          <w:lang w:bidi="he-IL"/>
        </w:rPr>
        <w:t>אם אפשר להתיר אוכל הבלוע איסור</w:t>
      </w:r>
      <w:r w:rsidRPr="00C157C8">
        <w:rPr>
          <w:rtl/>
        </w:rPr>
        <w:tab/>
        <w:t>257</w:t>
      </w:r>
    </w:p>
    <w:p w:rsidR="00C157C8" w:rsidRPr="00C157C8" w:rsidRDefault="00C157C8">
      <w:pPr>
        <w:pStyle w:val="Index2"/>
        <w:rPr>
          <w:rtl/>
        </w:rPr>
      </w:pPr>
      <w:r w:rsidRPr="00C157C8">
        <w:rPr>
          <w:rtl/>
          <w:lang w:bidi="he-IL"/>
        </w:rPr>
        <w:t>אם אפשר לסחוט אוכל הבלוע היתר</w:t>
      </w:r>
      <w:r w:rsidRPr="00C157C8">
        <w:rPr>
          <w:rtl/>
        </w:rPr>
        <w:tab/>
        <w:t>258</w:t>
      </w:r>
    </w:p>
    <w:p w:rsidR="00C157C8" w:rsidRPr="00C157C8" w:rsidRDefault="00C157C8">
      <w:pPr>
        <w:pStyle w:val="Index2"/>
        <w:rPr>
          <w:rtl/>
        </w:rPr>
      </w:pPr>
      <w:r w:rsidRPr="00C157C8">
        <w:rPr>
          <w:rtl/>
          <w:lang w:bidi="he-IL"/>
        </w:rPr>
        <w:t>ביאור המחלוקת</w:t>
      </w:r>
      <w:r w:rsidRPr="00C157C8">
        <w:rPr>
          <w:rtl/>
        </w:rPr>
        <w:tab/>
        <w:t>88</w:t>
      </w:r>
    </w:p>
    <w:p w:rsidR="00C157C8" w:rsidRPr="00C157C8" w:rsidRDefault="00C157C8">
      <w:pPr>
        <w:pStyle w:val="Index2"/>
        <w:rPr>
          <w:rtl/>
        </w:rPr>
      </w:pPr>
      <w:r w:rsidRPr="00C157C8">
        <w:rPr>
          <w:rtl/>
          <w:lang w:bidi="he-IL"/>
        </w:rPr>
        <w:t>ביאור מחלוקת ר</w:t>
      </w:r>
      <w:r w:rsidRPr="00C157C8">
        <w:rPr>
          <w:rtl/>
        </w:rPr>
        <w:t xml:space="preserve">' </w:t>
      </w:r>
      <w:r w:rsidRPr="00C157C8">
        <w:rPr>
          <w:rtl/>
          <w:lang w:bidi="he-IL"/>
        </w:rPr>
        <w:t>יהודה וחכמים</w:t>
      </w:r>
      <w:r w:rsidRPr="00C157C8">
        <w:rPr>
          <w:rtl/>
        </w:rPr>
        <w:tab/>
        <w:t>93</w:t>
      </w:r>
    </w:p>
    <w:p w:rsidR="00C157C8" w:rsidRPr="00C157C8" w:rsidRDefault="00C157C8">
      <w:pPr>
        <w:pStyle w:val="Index2"/>
        <w:rPr>
          <w:rtl/>
        </w:rPr>
      </w:pPr>
      <w:r w:rsidRPr="00C157C8">
        <w:rPr>
          <w:rtl/>
          <w:lang w:bidi="he-IL"/>
        </w:rPr>
        <w:t>כמה נקודות בסוגיא</w:t>
      </w:r>
      <w:r w:rsidRPr="00C157C8">
        <w:rPr>
          <w:rtl/>
        </w:rPr>
        <w:tab/>
        <w:t>86</w:t>
      </w:r>
    </w:p>
    <w:p w:rsidR="00C157C8" w:rsidRPr="00C157C8" w:rsidRDefault="00C157C8">
      <w:pPr>
        <w:pStyle w:val="Index1"/>
        <w:rPr>
          <w:rtl/>
        </w:rPr>
      </w:pPr>
      <w:r w:rsidRPr="00C157C8">
        <w:rPr>
          <w:rtl/>
          <w:lang w:bidi="he-IL"/>
        </w:rPr>
        <w:lastRenderedPageBreak/>
        <w:t>ב</w:t>
      </w:r>
      <w:r w:rsidRPr="00C157C8">
        <w:rPr>
          <w:rtl/>
        </w:rPr>
        <w:t xml:space="preserve">' </w:t>
      </w:r>
      <w:r w:rsidRPr="00C157C8">
        <w:rPr>
          <w:rtl/>
          <w:lang w:bidi="he-IL"/>
        </w:rPr>
        <w:t>כתובים הבאים כא</w:t>
      </w:r>
      <w:r w:rsidRPr="00C157C8">
        <w:rPr>
          <w:rtl/>
        </w:rPr>
        <w:t>'</w:t>
      </w:r>
    </w:p>
    <w:p w:rsidR="00C157C8" w:rsidRPr="00C157C8" w:rsidRDefault="00C157C8">
      <w:pPr>
        <w:pStyle w:val="Index2"/>
        <w:rPr>
          <w:rtl/>
        </w:rPr>
      </w:pPr>
      <w:r w:rsidRPr="00C157C8">
        <w:rPr>
          <w:rtl/>
          <w:lang w:bidi="he-IL"/>
        </w:rPr>
        <w:t>אם מלמדים</w:t>
      </w:r>
      <w:r w:rsidRPr="00C157C8">
        <w:rPr>
          <w:rtl/>
        </w:rPr>
        <w:t xml:space="preserve">, </w:t>
      </w:r>
      <w:r w:rsidRPr="00C157C8">
        <w:rPr>
          <w:rtl/>
          <w:lang w:bidi="he-IL"/>
        </w:rPr>
        <w:t>והטעם</w:t>
      </w:r>
      <w:r w:rsidRPr="00C157C8">
        <w:rPr>
          <w:rtl/>
        </w:rPr>
        <w:tab/>
        <w:t>19</w:t>
      </w:r>
    </w:p>
    <w:p w:rsidR="00C157C8" w:rsidRPr="00C157C8" w:rsidRDefault="00C157C8">
      <w:pPr>
        <w:pStyle w:val="Index1"/>
        <w:rPr>
          <w:rtl/>
        </w:rPr>
      </w:pPr>
      <w:r w:rsidRPr="00C157C8">
        <w:rPr>
          <w:rtl/>
          <w:lang w:bidi="he-IL"/>
        </w:rPr>
        <w:t>ביטול ברוב</w:t>
      </w:r>
      <w:r w:rsidRPr="00C157C8">
        <w:rPr>
          <w:rtl/>
        </w:rPr>
        <w:tab/>
      </w:r>
      <w:r w:rsidRPr="00C157C8">
        <w:rPr>
          <w:i/>
          <w:rtl/>
          <w:lang w:bidi="he-IL"/>
        </w:rPr>
        <w:t>ע</w:t>
      </w:r>
      <w:r w:rsidRPr="00C157C8">
        <w:rPr>
          <w:i/>
          <w:rtl/>
        </w:rPr>
        <w:t xml:space="preserve">' </w:t>
      </w:r>
      <w:r w:rsidRPr="00C157C8">
        <w:rPr>
          <w:i/>
          <w:rtl/>
          <w:lang w:bidi="he-IL"/>
        </w:rPr>
        <w:t>גם ביטול יבש ביבש</w:t>
      </w:r>
    </w:p>
    <w:p w:rsidR="00C157C8" w:rsidRPr="00C157C8" w:rsidRDefault="00C157C8">
      <w:pPr>
        <w:pStyle w:val="Index2"/>
        <w:rPr>
          <w:rtl/>
        </w:rPr>
      </w:pPr>
      <w:r w:rsidRPr="00C157C8">
        <w:rPr>
          <w:rtl/>
          <w:lang w:bidi="he-IL"/>
        </w:rPr>
        <w:t>אם איסורים מבטלים זה את זה</w:t>
      </w:r>
      <w:r w:rsidRPr="00C157C8">
        <w:rPr>
          <w:rtl/>
        </w:rPr>
        <w:tab/>
        <w:t>313</w:t>
      </w:r>
    </w:p>
    <w:p w:rsidR="00C157C8" w:rsidRPr="00C157C8" w:rsidRDefault="00C157C8">
      <w:pPr>
        <w:pStyle w:val="Index2"/>
        <w:rPr>
          <w:rtl/>
        </w:rPr>
      </w:pPr>
      <w:r w:rsidRPr="00C157C8">
        <w:rPr>
          <w:rtl/>
          <w:lang w:bidi="he-IL"/>
        </w:rPr>
        <w:t>אם יש חיוב לצנן</w:t>
      </w:r>
      <w:r w:rsidRPr="00C157C8">
        <w:rPr>
          <w:rtl/>
        </w:rPr>
        <w:tab/>
        <w:t>310</w:t>
      </w:r>
    </w:p>
    <w:p w:rsidR="00C157C8" w:rsidRPr="00C157C8" w:rsidRDefault="00C157C8">
      <w:pPr>
        <w:pStyle w:val="Index2"/>
        <w:rPr>
          <w:rtl/>
        </w:rPr>
      </w:pPr>
      <w:r w:rsidRPr="00C157C8">
        <w:rPr>
          <w:rtl/>
          <w:lang w:bidi="he-IL"/>
        </w:rPr>
        <w:t>ב</w:t>
      </w:r>
      <w:r w:rsidRPr="00C157C8">
        <w:rPr>
          <w:rtl/>
        </w:rPr>
        <w:t xml:space="preserve">' </w:t>
      </w:r>
      <w:r w:rsidRPr="00C157C8">
        <w:rPr>
          <w:rtl/>
          <w:lang w:bidi="he-IL"/>
        </w:rPr>
        <w:t>עניני רוב</w:t>
      </w:r>
      <w:r w:rsidRPr="00C157C8">
        <w:rPr>
          <w:rtl/>
        </w:rPr>
        <w:tab/>
        <w:t>51</w:t>
      </w:r>
    </w:p>
    <w:p w:rsidR="00C157C8" w:rsidRPr="00C157C8" w:rsidRDefault="00C157C8">
      <w:pPr>
        <w:pStyle w:val="Index2"/>
        <w:rPr>
          <w:rtl/>
        </w:rPr>
      </w:pPr>
      <w:r w:rsidRPr="00C157C8">
        <w:rPr>
          <w:rtl/>
          <w:lang w:bidi="he-IL"/>
        </w:rPr>
        <w:t>בבשר בחלב</w:t>
      </w:r>
      <w:r w:rsidRPr="00C157C8">
        <w:rPr>
          <w:rtl/>
        </w:rPr>
        <w:tab/>
        <w:t>115</w:t>
      </w:r>
    </w:p>
    <w:p w:rsidR="00C157C8" w:rsidRPr="00C157C8" w:rsidRDefault="00C157C8">
      <w:pPr>
        <w:pStyle w:val="Index2"/>
        <w:rPr>
          <w:rtl/>
        </w:rPr>
      </w:pPr>
      <w:r w:rsidRPr="00C157C8">
        <w:rPr>
          <w:rtl/>
          <w:lang w:bidi="he-IL"/>
        </w:rPr>
        <w:t>בחתיכות דקות בתוך רוטב שאי אפשר למצוא אותם</w:t>
      </w:r>
      <w:r w:rsidRPr="00C157C8">
        <w:rPr>
          <w:rtl/>
        </w:rPr>
        <w:tab/>
        <w:t>367</w:t>
      </w:r>
    </w:p>
    <w:p w:rsidR="00C157C8" w:rsidRPr="00C157C8" w:rsidRDefault="00C157C8">
      <w:pPr>
        <w:pStyle w:val="Index2"/>
        <w:rPr>
          <w:rtl/>
        </w:rPr>
      </w:pPr>
      <w:r w:rsidRPr="00C157C8">
        <w:rPr>
          <w:rtl/>
          <w:lang w:bidi="he-IL"/>
        </w:rPr>
        <w:t>בחתיכות דקות שקשה לבררם</w:t>
      </w:r>
      <w:r w:rsidRPr="00C157C8">
        <w:rPr>
          <w:rtl/>
        </w:rPr>
        <w:tab/>
        <w:t>146</w:t>
      </w:r>
    </w:p>
    <w:p w:rsidR="00C157C8" w:rsidRPr="00C157C8" w:rsidRDefault="00C157C8">
      <w:pPr>
        <w:pStyle w:val="Index2"/>
        <w:rPr>
          <w:rtl/>
        </w:rPr>
      </w:pPr>
      <w:r w:rsidRPr="00C157C8">
        <w:rPr>
          <w:rtl/>
          <w:lang w:bidi="he-IL"/>
        </w:rPr>
        <w:t>בשני דברים המייצרים איסור ביחד</w:t>
      </w:r>
      <w:r w:rsidRPr="00C157C8">
        <w:rPr>
          <w:rtl/>
        </w:rPr>
        <w:tab/>
        <w:t>115</w:t>
      </w:r>
    </w:p>
    <w:p w:rsidR="00C157C8" w:rsidRPr="00C157C8" w:rsidRDefault="00C157C8">
      <w:pPr>
        <w:pStyle w:val="Index2"/>
        <w:rPr>
          <w:rtl/>
        </w:rPr>
      </w:pPr>
      <w:r w:rsidRPr="00C157C8">
        <w:rPr>
          <w:rtl/>
          <w:lang w:bidi="he-IL"/>
        </w:rPr>
        <w:t>בשעטנז</w:t>
      </w:r>
      <w:r w:rsidRPr="00C157C8">
        <w:rPr>
          <w:rtl/>
        </w:rPr>
        <w:tab/>
        <w:t>115</w:t>
      </w:r>
    </w:p>
    <w:p w:rsidR="00C157C8" w:rsidRPr="00C157C8" w:rsidRDefault="00C157C8">
      <w:pPr>
        <w:pStyle w:val="Index2"/>
        <w:rPr>
          <w:rtl/>
        </w:rPr>
      </w:pPr>
      <w:r w:rsidRPr="00C157C8">
        <w:rPr>
          <w:rtl/>
          <w:lang w:bidi="he-IL"/>
        </w:rPr>
        <w:t>הוכר האיסור</w:t>
      </w:r>
      <w:r w:rsidRPr="00C157C8">
        <w:rPr>
          <w:rtl/>
        </w:rPr>
        <w:tab/>
        <w:t>309</w:t>
      </w:r>
    </w:p>
    <w:p w:rsidR="00C157C8" w:rsidRPr="00C157C8" w:rsidRDefault="00C157C8">
      <w:pPr>
        <w:pStyle w:val="Index2"/>
        <w:rPr>
          <w:rtl/>
        </w:rPr>
      </w:pPr>
      <w:r w:rsidRPr="00C157C8">
        <w:rPr>
          <w:rtl/>
          <w:lang w:bidi="he-IL"/>
        </w:rPr>
        <w:t>החילוק בין בבב</w:t>
      </w:r>
      <w:r w:rsidRPr="00C157C8">
        <w:rPr>
          <w:rtl/>
        </w:rPr>
        <w:t>"</w:t>
      </w:r>
      <w:r w:rsidRPr="00C157C8">
        <w:rPr>
          <w:rtl/>
          <w:lang w:bidi="he-IL"/>
        </w:rPr>
        <w:t>ח לשעטנז בדינה</w:t>
      </w:r>
      <w:r w:rsidRPr="00C157C8">
        <w:rPr>
          <w:rtl/>
        </w:rPr>
        <w:tab/>
        <w:t>116</w:t>
      </w:r>
    </w:p>
    <w:p w:rsidR="00C157C8" w:rsidRPr="00C157C8" w:rsidRDefault="00C157C8">
      <w:pPr>
        <w:pStyle w:val="Index2"/>
        <w:rPr>
          <w:rtl/>
        </w:rPr>
      </w:pPr>
      <w:r w:rsidRPr="00C157C8">
        <w:rPr>
          <w:rtl/>
          <w:lang w:bidi="he-IL"/>
        </w:rPr>
        <w:t>היתר בהיתר</w:t>
      </w:r>
      <w:r w:rsidRPr="00C157C8">
        <w:rPr>
          <w:rtl/>
        </w:rPr>
        <w:tab/>
        <w:t>115</w:t>
      </w:r>
    </w:p>
    <w:p w:rsidR="00C157C8" w:rsidRPr="00C157C8" w:rsidRDefault="00C157C8">
      <w:pPr>
        <w:pStyle w:val="Index2"/>
        <w:rPr>
          <w:rtl/>
        </w:rPr>
      </w:pPr>
      <w:r w:rsidRPr="00C157C8">
        <w:rPr>
          <w:rtl/>
          <w:lang w:bidi="he-IL"/>
        </w:rPr>
        <w:t>המקור מן התורה</w:t>
      </w:r>
      <w:r w:rsidRPr="00C157C8">
        <w:rPr>
          <w:rtl/>
        </w:rPr>
        <w:tab/>
        <w:t>51</w:t>
      </w:r>
    </w:p>
    <w:p w:rsidR="00C157C8" w:rsidRPr="00C157C8" w:rsidRDefault="00C157C8">
      <w:pPr>
        <w:pStyle w:val="Index2"/>
        <w:rPr>
          <w:rtl/>
        </w:rPr>
      </w:pPr>
      <w:r w:rsidRPr="00C157C8">
        <w:rPr>
          <w:rtl/>
          <w:lang w:bidi="he-IL"/>
        </w:rPr>
        <w:t>עכבר שהתפרק בתוך תבשיל</w:t>
      </w:r>
      <w:r w:rsidRPr="00C157C8">
        <w:rPr>
          <w:rtl/>
        </w:rPr>
        <w:tab/>
        <w:t>367</w:t>
      </w:r>
    </w:p>
    <w:p w:rsidR="00C157C8" w:rsidRPr="00C157C8" w:rsidRDefault="00C157C8">
      <w:pPr>
        <w:pStyle w:val="Index1"/>
        <w:rPr>
          <w:rtl/>
        </w:rPr>
      </w:pPr>
      <w:r w:rsidRPr="00C157C8">
        <w:rPr>
          <w:rtl/>
          <w:lang w:bidi="he-IL"/>
        </w:rPr>
        <w:t>ביטול בששים</w:t>
      </w:r>
    </w:p>
    <w:p w:rsidR="00C157C8" w:rsidRPr="00C157C8" w:rsidRDefault="00C157C8">
      <w:pPr>
        <w:pStyle w:val="Index2"/>
        <w:rPr>
          <w:rtl/>
        </w:rPr>
      </w:pPr>
      <w:r w:rsidRPr="00C157C8">
        <w:rPr>
          <w:rtl/>
          <w:lang w:bidi="he-IL"/>
        </w:rPr>
        <w:t>אי אזלינן בתר שיעור האיסור וההיתר שלפנינו</w:t>
      </w:r>
      <w:r w:rsidRPr="00C157C8">
        <w:rPr>
          <w:rtl/>
        </w:rPr>
        <w:tab/>
        <w:t>24</w:t>
      </w:r>
    </w:p>
    <w:p w:rsidR="00C157C8" w:rsidRPr="00C157C8" w:rsidRDefault="00C157C8">
      <w:pPr>
        <w:pStyle w:val="Index2"/>
        <w:rPr>
          <w:rtl/>
        </w:rPr>
      </w:pPr>
      <w:r w:rsidRPr="00C157C8">
        <w:rPr>
          <w:rtl/>
          <w:lang w:bidi="he-IL"/>
        </w:rPr>
        <w:t>בביצה</w:t>
      </w:r>
      <w:r w:rsidRPr="00C157C8">
        <w:rPr>
          <w:rtl/>
        </w:rPr>
        <w:tab/>
        <w:t>23</w:t>
      </w:r>
    </w:p>
    <w:p w:rsidR="00C157C8" w:rsidRPr="00C157C8" w:rsidRDefault="00C157C8">
      <w:pPr>
        <w:pStyle w:val="Index2"/>
        <w:rPr>
          <w:rtl/>
        </w:rPr>
      </w:pPr>
      <w:r w:rsidRPr="00C157C8">
        <w:rPr>
          <w:rtl/>
          <w:lang w:bidi="he-IL"/>
        </w:rPr>
        <w:t>בביצה</w:t>
      </w:r>
      <w:r w:rsidRPr="00C157C8">
        <w:rPr>
          <w:rtl/>
        </w:rPr>
        <w:tab/>
        <w:t>28</w:t>
      </w:r>
    </w:p>
    <w:p w:rsidR="00C157C8" w:rsidRPr="00C157C8" w:rsidRDefault="00C157C8">
      <w:pPr>
        <w:pStyle w:val="Index2"/>
        <w:rPr>
          <w:rtl/>
        </w:rPr>
      </w:pPr>
      <w:r w:rsidRPr="00C157C8">
        <w:rPr>
          <w:rtl/>
          <w:lang w:bidi="he-IL"/>
        </w:rPr>
        <w:t>צירוף הבלוע בקדרה לשיעור ששים</w:t>
      </w:r>
      <w:r w:rsidRPr="00C157C8">
        <w:rPr>
          <w:rtl/>
        </w:rPr>
        <w:tab/>
        <w:t>24</w:t>
      </w:r>
    </w:p>
    <w:p w:rsidR="00C157C8" w:rsidRPr="00C157C8" w:rsidRDefault="00C157C8">
      <w:pPr>
        <w:pStyle w:val="Index2"/>
        <w:rPr>
          <w:rtl/>
        </w:rPr>
      </w:pPr>
      <w:r w:rsidRPr="00C157C8">
        <w:rPr>
          <w:rtl/>
          <w:lang w:bidi="he-IL"/>
        </w:rPr>
        <w:t>שיעור ששים מקרא או מסברא</w:t>
      </w:r>
      <w:r w:rsidRPr="00C157C8">
        <w:rPr>
          <w:rtl/>
        </w:rPr>
        <w:tab/>
        <w:t>29</w:t>
      </w:r>
    </w:p>
    <w:p w:rsidR="00C157C8" w:rsidRPr="00C157C8" w:rsidRDefault="00C157C8">
      <w:pPr>
        <w:pStyle w:val="Index1"/>
        <w:rPr>
          <w:rtl/>
        </w:rPr>
      </w:pPr>
      <w:r w:rsidRPr="00C157C8">
        <w:rPr>
          <w:rtl/>
          <w:lang w:bidi="he-IL"/>
        </w:rPr>
        <w:t>ביטול יבש ביבש</w:t>
      </w:r>
      <w:r w:rsidRPr="00C157C8">
        <w:rPr>
          <w:rtl/>
        </w:rPr>
        <w:tab/>
      </w:r>
      <w:r w:rsidRPr="00C157C8">
        <w:rPr>
          <w:i/>
          <w:rtl/>
          <w:lang w:bidi="he-IL"/>
        </w:rPr>
        <w:t>ע</w:t>
      </w:r>
      <w:r w:rsidRPr="00C157C8">
        <w:rPr>
          <w:i/>
          <w:rtl/>
        </w:rPr>
        <w:t xml:space="preserve">' </w:t>
      </w:r>
      <w:r w:rsidRPr="00C157C8">
        <w:rPr>
          <w:i/>
          <w:rtl/>
          <w:lang w:bidi="he-IL"/>
        </w:rPr>
        <w:t>גם ביטול ברוב</w:t>
      </w:r>
    </w:p>
    <w:p w:rsidR="00C157C8" w:rsidRPr="00C157C8" w:rsidRDefault="00C157C8">
      <w:pPr>
        <w:pStyle w:val="Index2"/>
        <w:rPr>
          <w:rtl/>
        </w:rPr>
      </w:pPr>
      <w:r w:rsidRPr="00C157C8">
        <w:rPr>
          <w:rtl/>
          <w:lang w:bidi="he-IL"/>
        </w:rPr>
        <w:t>אם קמח הוי לח בלח או יבש ביבש</w:t>
      </w:r>
      <w:r w:rsidRPr="00C157C8">
        <w:rPr>
          <w:rtl/>
        </w:rPr>
        <w:tab/>
        <w:t>19, 57</w:t>
      </w:r>
    </w:p>
    <w:p w:rsidR="00C157C8" w:rsidRPr="00C157C8" w:rsidRDefault="00C157C8">
      <w:pPr>
        <w:pStyle w:val="Index2"/>
        <w:rPr>
          <w:rtl/>
        </w:rPr>
      </w:pPr>
      <w:r w:rsidRPr="00C157C8">
        <w:rPr>
          <w:rtl/>
          <w:lang w:bidi="he-IL"/>
        </w:rPr>
        <w:t>ביטל ושוב נתבשל</w:t>
      </w:r>
      <w:r w:rsidRPr="00C157C8">
        <w:rPr>
          <w:rtl/>
        </w:rPr>
        <w:tab/>
        <w:t>54</w:t>
      </w:r>
    </w:p>
    <w:p w:rsidR="00C157C8" w:rsidRPr="00C157C8" w:rsidRDefault="00C157C8">
      <w:pPr>
        <w:pStyle w:val="Index2"/>
        <w:rPr>
          <w:rtl/>
        </w:rPr>
      </w:pPr>
      <w:r w:rsidRPr="00C157C8">
        <w:rPr>
          <w:rtl/>
          <w:lang w:bidi="he-IL"/>
        </w:rPr>
        <w:t>בכדי קליפה של מאכל שלא ידוע מקומו</w:t>
      </w:r>
      <w:r w:rsidRPr="00C157C8">
        <w:rPr>
          <w:rtl/>
        </w:rPr>
        <w:tab/>
        <w:t>407</w:t>
      </w:r>
    </w:p>
    <w:p w:rsidR="00C157C8" w:rsidRPr="00C157C8" w:rsidRDefault="00C157C8">
      <w:pPr>
        <w:pStyle w:val="Index2"/>
        <w:rPr>
          <w:rtl/>
        </w:rPr>
      </w:pPr>
      <w:r w:rsidRPr="00C157C8">
        <w:rPr>
          <w:rtl/>
          <w:lang w:bidi="he-IL"/>
        </w:rPr>
        <w:t>גדר הדין</w:t>
      </w:r>
      <w:r w:rsidRPr="00C157C8">
        <w:rPr>
          <w:rtl/>
        </w:rPr>
        <w:tab/>
        <w:t>52</w:t>
      </w:r>
    </w:p>
    <w:p w:rsidR="00C157C8" w:rsidRPr="00C157C8" w:rsidRDefault="00C157C8">
      <w:pPr>
        <w:pStyle w:val="Index2"/>
        <w:rPr>
          <w:rtl/>
        </w:rPr>
      </w:pPr>
      <w:r w:rsidRPr="00C157C8">
        <w:rPr>
          <w:rtl/>
          <w:lang w:bidi="he-IL"/>
        </w:rPr>
        <w:t>היכא שאין האיסור ניכר אלא בעיון היטב</w:t>
      </w:r>
      <w:r w:rsidRPr="00C157C8">
        <w:rPr>
          <w:rtl/>
        </w:rPr>
        <w:tab/>
        <w:t>62</w:t>
      </w:r>
    </w:p>
    <w:p w:rsidR="00C157C8" w:rsidRPr="00C157C8" w:rsidRDefault="00C157C8">
      <w:pPr>
        <w:pStyle w:val="Index2"/>
        <w:rPr>
          <w:rtl/>
        </w:rPr>
      </w:pPr>
      <w:r w:rsidRPr="00C157C8">
        <w:rPr>
          <w:rtl/>
          <w:lang w:bidi="he-IL"/>
        </w:rPr>
        <w:t>השיעור במין במינו</w:t>
      </w:r>
      <w:r w:rsidRPr="00C157C8">
        <w:rPr>
          <w:rtl/>
        </w:rPr>
        <w:t xml:space="preserve">, </w:t>
      </w:r>
      <w:r w:rsidRPr="00C157C8">
        <w:rPr>
          <w:rtl/>
          <w:lang w:bidi="he-IL"/>
        </w:rPr>
        <w:t>ובמין בשאינו מינו</w:t>
      </w:r>
      <w:r w:rsidRPr="00C157C8">
        <w:rPr>
          <w:rtl/>
        </w:rPr>
        <w:tab/>
        <w:t>56</w:t>
      </w:r>
    </w:p>
    <w:p w:rsidR="00C157C8" w:rsidRPr="00C157C8" w:rsidRDefault="00C157C8">
      <w:pPr>
        <w:pStyle w:val="Index2"/>
        <w:rPr>
          <w:rtl/>
        </w:rPr>
      </w:pPr>
      <w:r w:rsidRPr="00C157C8">
        <w:rPr>
          <w:rtl/>
          <w:lang w:bidi="he-IL"/>
        </w:rPr>
        <w:t>סוגיית הגמרא</w:t>
      </w:r>
      <w:r w:rsidRPr="00C157C8">
        <w:rPr>
          <w:rtl/>
        </w:rPr>
        <w:tab/>
        <w:t>51</w:t>
      </w:r>
    </w:p>
    <w:p w:rsidR="00C157C8" w:rsidRPr="00C157C8" w:rsidRDefault="00C157C8">
      <w:pPr>
        <w:pStyle w:val="Index2"/>
        <w:rPr>
          <w:rtl/>
        </w:rPr>
      </w:pPr>
      <w:r w:rsidRPr="00C157C8">
        <w:rPr>
          <w:rtl/>
          <w:lang w:bidi="he-IL"/>
        </w:rPr>
        <w:t>שיטת הרא</w:t>
      </w:r>
      <w:r w:rsidRPr="00C157C8">
        <w:rPr>
          <w:rtl/>
        </w:rPr>
        <w:t>"</w:t>
      </w:r>
      <w:r w:rsidRPr="00C157C8">
        <w:rPr>
          <w:rtl/>
          <w:lang w:bidi="he-IL"/>
        </w:rPr>
        <w:t>ש</w:t>
      </w:r>
      <w:r w:rsidRPr="00C157C8">
        <w:rPr>
          <w:rtl/>
        </w:rPr>
        <w:tab/>
        <w:t>52</w:t>
      </w:r>
    </w:p>
    <w:p w:rsidR="00C157C8" w:rsidRPr="00C157C8" w:rsidRDefault="00C157C8">
      <w:pPr>
        <w:pStyle w:val="Index2"/>
        <w:rPr>
          <w:rtl/>
        </w:rPr>
      </w:pPr>
      <w:r w:rsidRPr="00C157C8">
        <w:rPr>
          <w:rtl/>
          <w:lang w:bidi="he-IL"/>
        </w:rPr>
        <w:t>שיטת הרשב</w:t>
      </w:r>
      <w:r w:rsidRPr="00C157C8">
        <w:rPr>
          <w:rtl/>
        </w:rPr>
        <w:t>"</w:t>
      </w:r>
      <w:r w:rsidRPr="00C157C8">
        <w:rPr>
          <w:rtl/>
          <w:lang w:bidi="he-IL"/>
        </w:rPr>
        <w:t>א</w:t>
      </w:r>
      <w:r w:rsidRPr="00C157C8">
        <w:rPr>
          <w:rtl/>
        </w:rPr>
        <w:tab/>
        <w:t>57</w:t>
      </w:r>
    </w:p>
    <w:p w:rsidR="00C157C8" w:rsidRPr="00C157C8" w:rsidRDefault="00C157C8">
      <w:pPr>
        <w:pStyle w:val="Index2"/>
        <w:rPr>
          <w:rtl/>
        </w:rPr>
      </w:pPr>
      <w:r w:rsidRPr="00C157C8">
        <w:rPr>
          <w:rtl/>
          <w:lang w:bidi="he-IL"/>
        </w:rPr>
        <w:t>שיטת התוס</w:t>
      </w:r>
      <w:r w:rsidRPr="00C157C8">
        <w:rPr>
          <w:rtl/>
        </w:rPr>
        <w:t xml:space="preserve">' </w:t>
      </w:r>
      <w:r w:rsidRPr="00C157C8">
        <w:rPr>
          <w:rtl/>
          <w:lang w:bidi="he-IL"/>
        </w:rPr>
        <w:t>רי</w:t>
      </w:r>
      <w:r w:rsidRPr="00C157C8">
        <w:rPr>
          <w:rtl/>
        </w:rPr>
        <w:t>"</w:t>
      </w:r>
      <w:r w:rsidRPr="00C157C8">
        <w:rPr>
          <w:rtl/>
          <w:lang w:bidi="he-IL"/>
        </w:rPr>
        <w:t>ד</w:t>
      </w:r>
      <w:r w:rsidRPr="00C157C8">
        <w:rPr>
          <w:rtl/>
        </w:rPr>
        <w:tab/>
        <w:t>52</w:t>
      </w:r>
    </w:p>
    <w:p w:rsidR="00C157C8" w:rsidRPr="00C157C8" w:rsidRDefault="00C157C8">
      <w:pPr>
        <w:pStyle w:val="Index1"/>
        <w:rPr>
          <w:rtl/>
        </w:rPr>
      </w:pPr>
      <w:r w:rsidRPr="00C157C8">
        <w:rPr>
          <w:rtl/>
          <w:lang w:bidi="he-IL"/>
        </w:rPr>
        <w:t>ביטל בששים</w:t>
      </w:r>
    </w:p>
    <w:p w:rsidR="00C157C8" w:rsidRPr="00C157C8" w:rsidRDefault="00C157C8">
      <w:pPr>
        <w:pStyle w:val="Index2"/>
        <w:rPr>
          <w:rtl/>
        </w:rPr>
      </w:pPr>
      <w:r w:rsidRPr="00C157C8">
        <w:rPr>
          <w:rtl/>
          <w:lang w:bidi="he-IL"/>
        </w:rPr>
        <w:t xml:space="preserve">או מאה </w:t>
      </w:r>
      <w:r w:rsidRPr="00C157C8">
        <w:rPr>
          <w:rtl/>
        </w:rPr>
        <w:t xml:space="preserve">- </w:t>
      </w:r>
      <w:r w:rsidRPr="00C157C8">
        <w:rPr>
          <w:rtl/>
          <w:lang w:bidi="he-IL"/>
        </w:rPr>
        <w:t>ביאור המחלוקת</w:t>
      </w:r>
      <w:r w:rsidRPr="00C157C8">
        <w:rPr>
          <w:rtl/>
        </w:rPr>
        <w:tab/>
        <w:t>29</w:t>
      </w:r>
    </w:p>
    <w:p w:rsidR="00C157C8" w:rsidRPr="00C157C8" w:rsidRDefault="00C157C8">
      <w:pPr>
        <w:pStyle w:val="Index1"/>
        <w:rPr>
          <w:rtl/>
        </w:rPr>
      </w:pPr>
      <w:r w:rsidRPr="00C157C8">
        <w:rPr>
          <w:rtl/>
          <w:lang w:bidi="he-IL"/>
        </w:rPr>
        <w:t>ביצה</w:t>
      </w:r>
    </w:p>
    <w:p w:rsidR="00C157C8" w:rsidRPr="00C157C8" w:rsidRDefault="00C157C8">
      <w:pPr>
        <w:pStyle w:val="Index2"/>
        <w:rPr>
          <w:rtl/>
        </w:rPr>
      </w:pPr>
      <w:r w:rsidRPr="00C157C8">
        <w:rPr>
          <w:rtl/>
          <w:lang w:bidi="he-IL"/>
        </w:rPr>
        <w:t>אם צריך ששים</w:t>
      </w:r>
      <w:r w:rsidRPr="00C157C8">
        <w:rPr>
          <w:rtl/>
        </w:rPr>
        <w:tab/>
        <w:t>23</w:t>
      </w:r>
    </w:p>
    <w:p w:rsidR="00C157C8" w:rsidRPr="00C157C8" w:rsidRDefault="00C157C8">
      <w:pPr>
        <w:pStyle w:val="Index2"/>
        <w:rPr>
          <w:rtl/>
        </w:rPr>
      </w:pPr>
      <w:r w:rsidRPr="00C157C8">
        <w:rPr>
          <w:rtl/>
          <w:lang w:bidi="he-IL"/>
        </w:rPr>
        <w:t>למה צריך שיעור ס</w:t>
      </w:r>
      <w:r w:rsidRPr="00C157C8">
        <w:rPr>
          <w:rtl/>
        </w:rPr>
        <w:t>"</w:t>
      </w:r>
      <w:r w:rsidRPr="00C157C8">
        <w:rPr>
          <w:rtl/>
          <w:lang w:bidi="he-IL"/>
        </w:rPr>
        <w:t>א</w:t>
      </w:r>
      <w:r w:rsidRPr="00C157C8">
        <w:rPr>
          <w:rtl/>
        </w:rPr>
        <w:tab/>
        <w:t>28</w:t>
      </w:r>
    </w:p>
    <w:p w:rsidR="00C157C8" w:rsidRPr="00C157C8" w:rsidRDefault="00C157C8">
      <w:pPr>
        <w:pStyle w:val="Index1"/>
        <w:rPr>
          <w:rtl/>
        </w:rPr>
      </w:pPr>
      <w:r w:rsidRPr="00C157C8">
        <w:rPr>
          <w:rtl/>
          <w:lang w:bidi="he-IL"/>
        </w:rPr>
        <w:t>בישול</w:t>
      </w:r>
    </w:p>
    <w:p w:rsidR="00C157C8" w:rsidRPr="00C157C8" w:rsidRDefault="00C157C8">
      <w:pPr>
        <w:pStyle w:val="Index2"/>
        <w:rPr>
          <w:rtl/>
        </w:rPr>
      </w:pPr>
      <w:r w:rsidRPr="00C157C8">
        <w:rPr>
          <w:rtl/>
          <w:lang w:bidi="he-IL"/>
        </w:rPr>
        <w:t>מה הדין בחתיכה שמקצתה בתוך הרוטב</w:t>
      </w:r>
      <w:r w:rsidRPr="00C157C8">
        <w:rPr>
          <w:rtl/>
        </w:rPr>
        <w:tab/>
        <w:t>95, 102, 213</w:t>
      </w:r>
    </w:p>
    <w:p w:rsidR="00C157C8" w:rsidRPr="00C157C8" w:rsidRDefault="00C157C8">
      <w:pPr>
        <w:pStyle w:val="Index1"/>
        <w:rPr>
          <w:rtl/>
        </w:rPr>
      </w:pPr>
      <w:r w:rsidRPr="00C157C8">
        <w:rPr>
          <w:rtl/>
          <w:lang w:bidi="he-IL"/>
        </w:rPr>
        <w:t>בישול עכו</w:t>
      </w:r>
      <w:r w:rsidRPr="00C157C8">
        <w:rPr>
          <w:rtl/>
        </w:rPr>
        <w:t>"</w:t>
      </w:r>
      <w:r w:rsidRPr="00C157C8">
        <w:rPr>
          <w:rtl/>
          <w:lang w:bidi="he-IL"/>
        </w:rPr>
        <w:t>ם</w:t>
      </w:r>
    </w:p>
    <w:p w:rsidR="00C157C8" w:rsidRPr="00C157C8" w:rsidRDefault="00C157C8">
      <w:pPr>
        <w:pStyle w:val="Index2"/>
        <w:rPr>
          <w:rtl/>
        </w:rPr>
      </w:pPr>
      <w:r w:rsidRPr="00C157C8">
        <w:rPr>
          <w:rtl/>
          <w:lang w:bidi="he-IL"/>
        </w:rPr>
        <w:t>אם אוסר בטעמו</w:t>
      </w:r>
      <w:r w:rsidRPr="00C157C8">
        <w:rPr>
          <w:rtl/>
        </w:rPr>
        <w:tab/>
        <w:t>559</w:t>
      </w:r>
    </w:p>
    <w:p w:rsidR="00C157C8" w:rsidRPr="00C157C8" w:rsidRDefault="00C157C8">
      <w:pPr>
        <w:pStyle w:val="Index2"/>
        <w:rPr>
          <w:rtl/>
        </w:rPr>
      </w:pPr>
      <w:r w:rsidRPr="00C157C8">
        <w:rPr>
          <w:rtl/>
          <w:lang w:bidi="he-IL"/>
        </w:rPr>
        <w:t xml:space="preserve">אם בטל ברוב </w:t>
      </w:r>
      <w:r w:rsidRPr="00C157C8">
        <w:rPr>
          <w:rtl/>
        </w:rPr>
        <w:t>(</w:t>
      </w:r>
      <w:r w:rsidRPr="00C157C8">
        <w:rPr>
          <w:rtl/>
          <w:lang w:bidi="he-IL"/>
        </w:rPr>
        <w:t>במין במינו</w:t>
      </w:r>
      <w:r w:rsidRPr="00C157C8">
        <w:rPr>
          <w:rtl/>
        </w:rPr>
        <w:t>)</w:t>
      </w:r>
      <w:r w:rsidRPr="00C157C8">
        <w:rPr>
          <w:rtl/>
        </w:rPr>
        <w:tab/>
        <w:t>560</w:t>
      </w:r>
    </w:p>
    <w:p w:rsidR="00C157C8" w:rsidRPr="00C157C8" w:rsidRDefault="00C157C8">
      <w:pPr>
        <w:pStyle w:val="Index2"/>
        <w:rPr>
          <w:rtl/>
        </w:rPr>
      </w:pPr>
      <w:r w:rsidRPr="00C157C8">
        <w:rPr>
          <w:rtl/>
          <w:lang w:bidi="he-IL"/>
        </w:rPr>
        <w:t>בלא נשתנה מברייתו ע</w:t>
      </w:r>
      <w:r w:rsidRPr="00C157C8">
        <w:rPr>
          <w:rtl/>
        </w:rPr>
        <w:t>"</w:t>
      </w:r>
      <w:r w:rsidRPr="00C157C8">
        <w:rPr>
          <w:rtl/>
          <w:lang w:bidi="he-IL"/>
        </w:rPr>
        <w:t>י האור</w:t>
      </w:r>
      <w:r w:rsidRPr="00C157C8">
        <w:rPr>
          <w:rtl/>
        </w:rPr>
        <w:tab/>
        <w:t>554</w:t>
      </w:r>
    </w:p>
    <w:p w:rsidR="00C157C8" w:rsidRPr="00C157C8" w:rsidRDefault="00C157C8">
      <w:pPr>
        <w:pStyle w:val="Index2"/>
        <w:rPr>
          <w:rtl/>
        </w:rPr>
      </w:pPr>
      <w:r w:rsidRPr="00C157C8">
        <w:rPr>
          <w:rtl/>
          <w:lang w:bidi="he-IL"/>
        </w:rPr>
        <w:t>בתבלינים</w:t>
      </w:r>
      <w:r w:rsidRPr="00C157C8">
        <w:rPr>
          <w:rtl/>
        </w:rPr>
        <w:tab/>
        <w:t>559</w:t>
      </w:r>
    </w:p>
    <w:p w:rsidR="00C157C8" w:rsidRPr="00C157C8" w:rsidRDefault="00C157C8">
      <w:pPr>
        <w:pStyle w:val="Index2"/>
        <w:rPr>
          <w:rtl/>
        </w:rPr>
      </w:pPr>
      <w:r w:rsidRPr="00C157C8">
        <w:rPr>
          <w:rtl/>
          <w:lang w:bidi="he-IL"/>
        </w:rPr>
        <w:t>הערות בדינה</w:t>
      </w:r>
      <w:r w:rsidRPr="00C157C8">
        <w:rPr>
          <w:rtl/>
        </w:rPr>
        <w:tab/>
        <w:t>560</w:t>
      </w:r>
    </w:p>
    <w:p w:rsidR="00C157C8" w:rsidRPr="00C157C8" w:rsidRDefault="00C157C8">
      <w:pPr>
        <w:pStyle w:val="Index2"/>
        <w:rPr>
          <w:rtl/>
        </w:rPr>
      </w:pPr>
      <w:r w:rsidRPr="00C157C8">
        <w:rPr>
          <w:rtl/>
          <w:lang w:bidi="he-IL"/>
        </w:rPr>
        <w:t>חיטין ועשאן קליות</w:t>
      </w:r>
      <w:r w:rsidRPr="00C157C8">
        <w:rPr>
          <w:rtl/>
        </w:rPr>
        <w:tab/>
        <w:t>554</w:t>
      </w:r>
    </w:p>
    <w:p w:rsidR="00C157C8" w:rsidRPr="00C157C8" w:rsidRDefault="00C157C8">
      <w:pPr>
        <w:pStyle w:val="Index2"/>
        <w:rPr>
          <w:rtl/>
        </w:rPr>
      </w:pPr>
      <w:r w:rsidRPr="00C157C8">
        <w:rPr>
          <w:rtl/>
          <w:lang w:bidi="he-IL"/>
        </w:rPr>
        <w:lastRenderedPageBreak/>
        <w:t>חילוק בינו לבין גזירת פת עכו</w:t>
      </w:r>
      <w:r w:rsidRPr="00C157C8">
        <w:rPr>
          <w:rtl/>
        </w:rPr>
        <w:t>"</w:t>
      </w:r>
      <w:r w:rsidRPr="00C157C8">
        <w:rPr>
          <w:rtl/>
          <w:lang w:bidi="he-IL"/>
        </w:rPr>
        <w:t>ם</w:t>
      </w:r>
      <w:r w:rsidRPr="00C157C8">
        <w:rPr>
          <w:rtl/>
        </w:rPr>
        <w:tab/>
        <w:t>551</w:t>
      </w:r>
    </w:p>
    <w:p w:rsidR="00C157C8" w:rsidRPr="00C157C8" w:rsidRDefault="00C157C8">
      <w:pPr>
        <w:pStyle w:val="Index2"/>
        <w:rPr>
          <w:rtl/>
        </w:rPr>
      </w:pPr>
      <w:r w:rsidRPr="00C157C8">
        <w:rPr>
          <w:rtl/>
          <w:lang w:bidi="he-IL"/>
        </w:rPr>
        <w:t>מליחה</w:t>
      </w:r>
      <w:r w:rsidRPr="00C157C8">
        <w:rPr>
          <w:rtl/>
        </w:rPr>
        <w:tab/>
        <w:t>555</w:t>
      </w:r>
    </w:p>
    <w:p w:rsidR="00C157C8" w:rsidRPr="00C157C8" w:rsidRDefault="00C157C8">
      <w:pPr>
        <w:pStyle w:val="Index2"/>
        <w:rPr>
          <w:rtl/>
        </w:rPr>
      </w:pPr>
      <w:r w:rsidRPr="00C157C8">
        <w:rPr>
          <w:rtl/>
          <w:lang w:bidi="he-IL"/>
        </w:rPr>
        <w:t xml:space="preserve">נאכל כמות שהוא חי </w:t>
      </w:r>
      <w:r w:rsidRPr="00C157C8">
        <w:rPr>
          <w:rtl/>
        </w:rPr>
        <w:t xml:space="preserve">– </w:t>
      </w:r>
      <w:r w:rsidRPr="00C157C8">
        <w:rPr>
          <w:rtl/>
          <w:lang w:bidi="he-IL"/>
        </w:rPr>
        <w:t>אי אזלינן</w:t>
      </w:r>
      <w:r w:rsidRPr="00C157C8">
        <w:rPr>
          <w:rtl/>
        </w:rPr>
        <w:tab/>
        <w:t>555</w:t>
      </w:r>
    </w:p>
    <w:p w:rsidR="00C157C8" w:rsidRPr="00C157C8" w:rsidRDefault="00C157C8">
      <w:pPr>
        <w:pStyle w:val="Index2"/>
        <w:rPr>
          <w:rtl/>
        </w:rPr>
      </w:pPr>
      <w:r w:rsidRPr="00C157C8">
        <w:rPr>
          <w:rtl/>
          <w:lang w:bidi="he-IL"/>
        </w:rPr>
        <w:t xml:space="preserve">נאכל כמות שהוא חי </w:t>
      </w:r>
      <w:r w:rsidRPr="00C157C8">
        <w:rPr>
          <w:rtl/>
        </w:rPr>
        <w:t xml:space="preserve">- </w:t>
      </w:r>
      <w:r w:rsidRPr="00C157C8">
        <w:rPr>
          <w:rtl/>
          <w:lang w:bidi="he-IL"/>
        </w:rPr>
        <w:t>כיון שעתיד להוסיף בו דבר אחר</w:t>
      </w:r>
      <w:r w:rsidRPr="00C157C8">
        <w:rPr>
          <w:rtl/>
        </w:rPr>
        <w:tab/>
        <w:t>559</w:t>
      </w:r>
    </w:p>
    <w:p w:rsidR="00C157C8" w:rsidRPr="00C157C8" w:rsidRDefault="00C157C8">
      <w:pPr>
        <w:pStyle w:val="Index2"/>
        <w:rPr>
          <w:rtl/>
        </w:rPr>
      </w:pPr>
      <w:r w:rsidRPr="00C157C8">
        <w:rPr>
          <w:rtl/>
          <w:lang w:bidi="he-IL"/>
        </w:rPr>
        <w:t xml:space="preserve">נאכל כמות שהוא חי </w:t>
      </w:r>
      <w:r w:rsidRPr="00C157C8">
        <w:rPr>
          <w:rtl/>
        </w:rPr>
        <w:t xml:space="preserve">- </w:t>
      </w:r>
      <w:r w:rsidRPr="00C157C8">
        <w:rPr>
          <w:rtl/>
          <w:lang w:bidi="he-IL"/>
        </w:rPr>
        <w:t>לא פלוג</w:t>
      </w:r>
      <w:r w:rsidRPr="00C157C8">
        <w:rPr>
          <w:rtl/>
        </w:rPr>
        <w:tab/>
        <w:t>558</w:t>
      </w:r>
    </w:p>
    <w:p w:rsidR="00C157C8" w:rsidRPr="00C157C8" w:rsidRDefault="00C157C8">
      <w:pPr>
        <w:pStyle w:val="Index2"/>
        <w:rPr>
          <w:rtl/>
        </w:rPr>
      </w:pPr>
      <w:r w:rsidRPr="00C157C8">
        <w:rPr>
          <w:rtl/>
          <w:lang w:bidi="he-IL"/>
        </w:rPr>
        <w:t xml:space="preserve">נאכל כמות שהוא חי </w:t>
      </w:r>
      <w:r w:rsidRPr="00C157C8">
        <w:rPr>
          <w:rtl/>
        </w:rPr>
        <w:t xml:space="preserve">- </w:t>
      </w:r>
      <w:r w:rsidRPr="00C157C8">
        <w:rPr>
          <w:rtl/>
          <w:lang w:bidi="he-IL"/>
        </w:rPr>
        <w:t>ע</w:t>
      </w:r>
      <w:r w:rsidRPr="00C157C8">
        <w:rPr>
          <w:rtl/>
        </w:rPr>
        <w:t>"</w:t>
      </w:r>
      <w:r w:rsidRPr="00C157C8">
        <w:rPr>
          <w:rtl/>
          <w:lang w:bidi="he-IL"/>
        </w:rPr>
        <w:t>י הדחק</w:t>
      </w:r>
      <w:r w:rsidRPr="00C157C8">
        <w:rPr>
          <w:rtl/>
        </w:rPr>
        <w:tab/>
        <w:t>555</w:t>
      </w:r>
    </w:p>
    <w:p w:rsidR="00C157C8" w:rsidRPr="00C157C8" w:rsidRDefault="00C157C8">
      <w:pPr>
        <w:pStyle w:val="Index2"/>
        <w:rPr>
          <w:rtl/>
        </w:rPr>
      </w:pPr>
      <w:r w:rsidRPr="00C157C8">
        <w:rPr>
          <w:rtl/>
          <w:lang w:bidi="he-IL"/>
        </w:rPr>
        <w:t xml:space="preserve">עולה על שולחן מלכים </w:t>
      </w:r>
      <w:r w:rsidRPr="00C157C8">
        <w:rPr>
          <w:rtl/>
        </w:rPr>
        <w:t xml:space="preserve">- </w:t>
      </w:r>
      <w:r w:rsidRPr="00C157C8">
        <w:rPr>
          <w:rtl/>
          <w:lang w:bidi="he-IL"/>
        </w:rPr>
        <w:t>כשיש ב</w:t>
      </w:r>
      <w:r w:rsidRPr="00C157C8">
        <w:rPr>
          <w:rtl/>
        </w:rPr>
        <w:t xml:space="preserve">' </w:t>
      </w:r>
      <w:r w:rsidRPr="00C157C8">
        <w:rPr>
          <w:rtl/>
          <w:lang w:bidi="he-IL"/>
        </w:rPr>
        <w:t>אופנים להכינו</w:t>
      </w:r>
      <w:r w:rsidRPr="00C157C8">
        <w:rPr>
          <w:rtl/>
        </w:rPr>
        <w:tab/>
        <w:t>559</w:t>
      </w:r>
    </w:p>
    <w:p w:rsidR="00C157C8" w:rsidRPr="00C157C8" w:rsidRDefault="00C157C8">
      <w:pPr>
        <w:pStyle w:val="Index2"/>
        <w:rPr>
          <w:rtl/>
        </w:rPr>
      </w:pPr>
      <w:r w:rsidRPr="00C157C8">
        <w:rPr>
          <w:rtl/>
          <w:lang w:bidi="he-IL"/>
        </w:rPr>
        <w:t xml:space="preserve">עולה על שולחן מלכים </w:t>
      </w:r>
      <w:r w:rsidRPr="00C157C8">
        <w:rPr>
          <w:rtl/>
        </w:rPr>
        <w:t xml:space="preserve">- </w:t>
      </w:r>
      <w:r w:rsidRPr="00C157C8">
        <w:rPr>
          <w:rtl/>
          <w:lang w:bidi="he-IL"/>
        </w:rPr>
        <w:t>לא פלוג</w:t>
      </w:r>
      <w:r w:rsidRPr="00C157C8">
        <w:rPr>
          <w:rtl/>
        </w:rPr>
        <w:tab/>
        <w:t>558</w:t>
      </w:r>
    </w:p>
    <w:p w:rsidR="00C157C8" w:rsidRPr="00C157C8" w:rsidRDefault="00C157C8">
      <w:pPr>
        <w:pStyle w:val="Index2"/>
        <w:rPr>
          <w:rtl/>
        </w:rPr>
      </w:pPr>
      <w:r w:rsidRPr="00C157C8">
        <w:rPr>
          <w:rtl/>
          <w:lang w:bidi="he-IL"/>
        </w:rPr>
        <w:t xml:space="preserve">עולה על שולחן מלכים </w:t>
      </w:r>
      <w:r w:rsidRPr="00C157C8">
        <w:rPr>
          <w:rtl/>
        </w:rPr>
        <w:t xml:space="preserve">- </w:t>
      </w:r>
      <w:r w:rsidRPr="00C157C8">
        <w:rPr>
          <w:rtl/>
          <w:lang w:bidi="he-IL"/>
        </w:rPr>
        <w:t>ללפת בו את הפת</w:t>
      </w:r>
      <w:r w:rsidRPr="00C157C8">
        <w:rPr>
          <w:rtl/>
        </w:rPr>
        <w:tab/>
        <w:t>555</w:t>
      </w:r>
    </w:p>
    <w:p w:rsidR="00C157C8" w:rsidRPr="00C157C8" w:rsidRDefault="00C157C8">
      <w:pPr>
        <w:pStyle w:val="Index2"/>
        <w:rPr>
          <w:rtl/>
        </w:rPr>
      </w:pPr>
      <w:r w:rsidRPr="00C157C8">
        <w:rPr>
          <w:rtl/>
          <w:lang w:bidi="he-IL"/>
        </w:rPr>
        <w:t>שלא בכוונה</w:t>
      </w:r>
      <w:r w:rsidRPr="00C157C8">
        <w:rPr>
          <w:rtl/>
        </w:rPr>
        <w:tab/>
        <w:t>556</w:t>
      </w:r>
    </w:p>
    <w:p w:rsidR="00C157C8" w:rsidRPr="00C157C8" w:rsidRDefault="00C157C8" w:rsidP="00681DE6">
      <w:pPr>
        <w:pStyle w:val="Index1"/>
        <w:rPr>
          <w:rtl/>
        </w:rPr>
      </w:pPr>
      <w:r w:rsidRPr="00C157C8">
        <w:rPr>
          <w:rtl/>
          <w:lang w:bidi="he-IL"/>
        </w:rPr>
        <w:t>בן יומו</w:t>
      </w:r>
      <w:r w:rsidRPr="00C157C8">
        <w:rPr>
          <w:rtl/>
        </w:rPr>
        <w:tab/>
      </w:r>
      <w:r w:rsidRPr="00C157C8">
        <w:rPr>
          <w:i/>
          <w:rtl/>
          <w:lang w:bidi="he-IL"/>
        </w:rPr>
        <w:t>ע</w:t>
      </w:r>
      <w:r w:rsidRPr="00C157C8">
        <w:rPr>
          <w:i/>
          <w:rtl/>
        </w:rPr>
        <w:t xml:space="preserve">' </w:t>
      </w:r>
      <w:r w:rsidRPr="00C157C8">
        <w:rPr>
          <w:i/>
          <w:rtl/>
          <w:lang w:bidi="he-IL"/>
        </w:rPr>
        <w:t>נותן טעם לפגם</w:t>
      </w:r>
      <w:r w:rsidR="00681DE6" w:rsidRPr="00681DE6">
        <w:rPr>
          <w:rtl/>
          <w:lang w:bidi="he-IL"/>
        </w:rPr>
        <w:t xml:space="preserve"> </w:t>
      </w:r>
      <w:r w:rsidR="00681DE6">
        <w:rPr>
          <w:rFonts w:hint="cs"/>
          <w:rtl/>
          <w:lang w:bidi="he-IL"/>
        </w:rPr>
        <w:t>ו</w:t>
      </w:r>
      <w:r w:rsidR="00681DE6" w:rsidRPr="00C157C8">
        <w:rPr>
          <w:rtl/>
          <w:lang w:bidi="he-IL"/>
        </w:rPr>
        <w:t>כלי שאינו בן יומו</w:t>
      </w:r>
    </w:p>
    <w:p w:rsidR="00C157C8" w:rsidRPr="00C157C8" w:rsidRDefault="00C157C8">
      <w:pPr>
        <w:pStyle w:val="Index1"/>
        <w:rPr>
          <w:rtl/>
        </w:rPr>
      </w:pPr>
      <w:r w:rsidRPr="00C157C8">
        <w:rPr>
          <w:rtl/>
          <w:lang w:bidi="he-IL"/>
        </w:rPr>
        <w:t>ברי</w:t>
      </w:r>
      <w:r w:rsidRPr="00C157C8">
        <w:rPr>
          <w:rtl/>
        </w:rPr>
        <w:t>'</w:t>
      </w:r>
    </w:p>
    <w:p w:rsidR="00C157C8" w:rsidRPr="00C157C8" w:rsidRDefault="00C157C8">
      <w:pPr>
        <w:pStyle w:val="Index2"/>
        <w:rPr>
          <w:rtl/>
        </w:rPr>
      </w:pPr>
      <w:r w:rsidRPr="00C157C8">
        <w:rPr>
          <w:rtl/>
          <w:lang w:bidi="he-IL"/>
        </w:rPr>
        <w:t>אם ביצה הוי ברי</w:t>
      </w:r>
      <w:r w:rsidRPr="00C157C8">
        <w:rPr>
          <w:rtl/>
        </w:rPr>
        <w:t>'</w:t>
      </w:r>
      <w:r w:rsidRPr="00C157C8">
        <w:rPr>
          <w:rtl/>
        </w:rPr>
        <w:tab/>
        <w:t>64</w:t>
      </w:r>
    </w:p>
    <w:p w:rsidR="00C157C8" w:rsidRPr="00C157C8" w:rsidRDefault="00C157C8">
      <w:pPr>
        <w:pStyle w:val="Index2"/>
        <w:rPr>
          <w:rtl/>
        </w:rPr>
      </w:pPr>
      <w:r w:rsidRPr="00C157C8">
        <w:rPr>
          <w:rtl/>
          <w:lang w:bidi="he-IL"/>
        </w:rPr>
        <w:t>באיסור דרבנן</w:t>
      </w:r>
      <w:r w:rsidRPr="00C157C8">
        <w:rPr>
          <w:rtl/>
        </w:rPr>
        <w:tab/>
        <w:t>333</w:t>
      </w:r>
    </w:p>
    <w:p w:rsidR="00C157C8" w:rsidRPr="00C157C8" w:rsidRDefault="00C157C8">
      <w:pPr>
        <w:pStyle w:val="Index2"/>
        <w:rPr>
          <w:rtl/>
        </w:rPr>
      </w:pPr>
      <w:r w:rsidRPr="00C157C8">
        <w:rPr>
          <w:rtl/>
          <w:lang w:bidi="he-IL"/>
        </w:rPr>
        <w:t>ביטולה בשיעור תשע מאות ששים</w:t>
      </w:r>
      <w:r w:rsidRPr="00C157C8">
        <w:rPr>
          <w:rtl/>
        </w:rPr>
        <w:tab/>
        <w:t>64</w:t>
      </w:r>
    </w:p>
    <w:p w:rsidR="00C157C8" w:rsidRPr="00C157C8" w:rsidRDefault="00C157C8">
      <w:pPr>
        <w:pStyle w:val="Index2"/>
        <w:rPr>
          <w:rtl/>
        </w:rPr>
      </w:pPr>
      <w:r w:rsidRPr="00C157C8">
        <w:rPr>
          <w:rtl/>
          <w:lang w:bidi="he-IL"/>
        </w:rPr>
        <w:t>ביטולה לשיטת ר</w:t>
      </w:r>
      <w:r w:rsidRPr="00C157C8">
        <w:rPr>
          <w:rtl/>
        </w:rPr>
        <w:t xml:space="preserve">' </w:t>
      </w:r>
      <w:r w:rsidRPr="00C157C8">
        <w:rPr>
          <w:rtl/>
          <w:lang w:bidi="he-IL"/>
        </w:rPr>
        <w:t>שמעון</w:t>
      </w:r>
      <w:r w:rsidRPr="00C157C8">
        <w:rPr>
          <w:rtl/>
        </w:rPr>
        <w:tab/>
        <w:t>65</w:t>
      </w:r>
    </w:p>
    <w:p w:rsidR="00C157C8" w:rsidRPr="00C157C8" w:rsidRDefault="00C157C8">
      <w:pPr>
        <w:pStyle w:val="Index2"/>
        <w:rPr>
          <w:rtl/>
        </w:rPr>
      </w:pPr>
      <w:r w:rsidRPr="00C157C8">
        <w:rPr>
          <w:rtl/>
          <w:lang w:bidi="he-IL"/>
        </w:rPr>
        <w:t>ביצת עוף טמא</w:t>
      </w:r>
      <w:r w:rsidRPr="00C157C8">
        <w:rPr>
          <w:rtl/>
        </w:rPr>
        <w:tab/>
        <w:t>333</w:t>
      </w:r>
    </w:p>
    <w:p w:rsidR="00C157C8" w:rsidRPr="00C157C8" w:rsidRDefault="00C157C8">
      <w:pPr>
        <w:pStyle w:val="Index2"/>
        <w:rPr>
          <w:rtl/>
        </w:rPr>
      </w:pPr>
      <w:r w:rsidRPr="00C157C8">
        <w:rPr>
          <w:rtl/>
          <w:lang w:bidi="he-IL"/>
        </w:rPr>
        <w:t>גיד שנימוח</w:t>
      </w:r>
      <w:r w:rsidRPr="00C157C8">
        <w:rPr>
          <w:rtl/>
        </w:rPr>
        <w:tab/>
        <w:t>333</w:t>
      </w:r>
    </w:p>
    <w:p w:rsidR="00C157C8" w:rsidRPr="00C157C8" w:rsidRDefault="00C157C8">
      <w:pPr>
        <w:pStyle w:val="Index2"/>
        <w:rPr>
          <w:rtl/>
        </w:rPr>
      </w:pPr>
      <w:r w:rsidRPr="00C157C8">
        <w:rPr>
          <w:rtl/>
          <w:lang w:bidi="he-IL"/>
        </w:rPr>
        <w:t>הדין בכינה</w:t>
      </w:r>
      <w:r w:rsidRPr="00C157C8">
        <w:rPr>
          <w:rtl/>
        </w:rPr>
        <w:tab/>
        <w:t>333</w:t>
      </w:r>
    </w:p>
    <w:p w:rsidR="00C157C8" w:rsidRPr="00C157C8" w:rsidRDefault="00C157C8">
      <w:pPr>
        <w:pStyle w:val="Index2"/>
        <w:rPr>
          <w:rtl/>
        </w:rPr>
      </w:pPr>
      <w:r w:rsidRPr="00C157C8">
        <w:rPr>
          <w:rtl/>
          <w:lang w:bidi="he-IL"/>
        </w:rPr>
        <w:t>השיטות להלכה</w:t>
      </w:r>
      <w:r w:rsidRPr="00C157C8">
        <w:rPr>
          <w:rtl/>
        </w:rPr>
        <w:tab/>
        <w:t>332</w:t>
      </w:r>
    </w:p>
    <w:p w:rsidR="00C157C8" w:rsidRPr="00C157C8" w:rsidRDefault="00C157C8">
      <w:pPr>
        <w:pStyle w:val="Index2"/>
        <w:rPr>
          <w:rtl/>
        </w:rPr>
      </w:pPr>
      <w:r w:rsidRPr="00C157C8">
        <w:rPr>
          <w:rtl/>
          <w:lang w:bidi="he-IL"/>
        </w:rPr>
        <w:t>נפקא מינה בין השיטות בדינה</w:t>
      </w:r>
      <w:r w:rsidRPr="00C157C8">
        <w:rPr>
          <w:rtl/>
        </w:rPr>
        <w:tab/>
        <w:t>332</w:t>
      </w:r>
    </w:p>
    <w:p w:rsidR="00C157C8" w:rsidRPr="00C157C8" w:rsidRDefault="00C157C8">
      <w:pPr>
        <w:pStyle w:val="Index2"/>
        <w:rPr>
          <w:rtl/>
        </w:rPr>
      </w:pPr>
      <w:r w:rsidRPr="00C157C8">
        <w:rPr>
          <w:rtl/>
          <w:lang w:bidi="he-IL"/>
        </w:rPr>
        <w:t>סוגיית הגמרא</w:t>
      </w:r>
      <w:r w:rsidRPr="00C157C8">
        <w:rPr>
          <w:rtl/>
        </w:rPr>
        <w:tab/>
        <w:t>60</w:t>
      </w:r>
    </w:p>
    <w:p w:rsidR="00C157C8" w:rsidRPr="00C157C8" w:rsidRDefault="00C157C8">
      <w:pPr>
        <w:pStyle w:val="Index1"/>
        <w:rPr>
          <w:rtl/>
        </w:rPr>
      </w:pPr>
      <w:r w:rsidRPr="00C157C8">
        <w:rPr>
          <w:rtl/>
          <w:lang w:bidi="he-IL"/>
        </w:rPr>
        <w:t>ברכות הנהנין</w:t>
      </w:r>
    </w:p>
    <w:p w:rsidR="00C157C8" w:rsidRPr="00C157C8" w:rsidRDefault="00C157C8">
      <w:pPr>
        <w:pStyle w:val="Index2"/>
        <w:rPr>
          <w:rtl/>
        </w:rPr>
      </w:pPr>
      <w:r w:rsidRPr="00C157C8">
        <w:rPr>
          <w:rtl/>
          <w:lang w:bidi="he-IL"/>
        </w:rPr>
        <w:t>אכל במהירות יותר מן הרגיל אם חייב לברך</w:t>
      </w:r>
      <w:r w:rsidRPr="00C157C8">
        <w:rPr>
          <w:rtl/>
        </w:rPr>
        <w:tab/>
        <w:t>20</w:t>
      </w:r>
    </w:p>
    <w:p w:rsidR="00C157C8" w:rsidRPr="00C157C8" w:rsidRDefault="00C157C8">
      <w:pPr>
        <w:pStyle w:val="Index2"/>
        <w:rPr>
          <w:rtl/>
        </w:rPr>
      </w:pPr>
      <w:r w:rsidRPr="00C157C8">
        <w:rPr>
          <w:rtl/>
          <w:lang w:bidi="he-IL"/>
        </w:rPr>
        <w:t>שיעור זמן השתי</w:t>
      </w:r>
      <w:r w:rsidRPr="00C157C8">
        <w:rPr>
          <w:rtl/>
        </w:rPr>
        <w:t xml:space="preserve">' </w:t>
      </w:r>
      <w:r w:rsidRPr="00C157C8">
        <w:rPr>
          <w:rtl/>
          <w:lang w:bidi="he-IL"/>
        </w:rPr>
        <w:t>בשתי</w:t>
      </w:r>
      <w:r w:rsidRPr="00C157C8">
        <w:rPr>
          <w:rtl/>
        </w:rPr>
        <w:t xml:space="preserve">' </w:t>
      </w:r>
      <w:r w:rsidRPr="00C157C8">
        <w:rPr>
          <w:rtl/>
          <w:lang w:bidi="he-IL"/>
        </w:rPr>
        <w:t>חמה</w:t>
      </w:r>
      <w:r w:rsidRPr="00C157C8">
        <w:rPr>
          <w:rtl/>
        </w:rPr>
        <w:tab/>
        <w:t>20</w:t>
      </w:r>
    </w:p>
    <w:p w:rsidR="00C157C8" w:rsidRPr="00C157C8" w:rsidRDefault="00C157C8">
      <w:pPr>
        <w:pStyle w:val="Index1"/>
        <w:rPr>
          <w:rtl/>
        </w:rPr>
      </w:pPr>
      <w:r w:rsidRPr="00C157C8">
        <w:rPr>
          <w:rtl/>
          <w:lang w:bidi="he-IL"/>
        </w:rPr>
        <w:t>בשר בחלב</w:t>
      </w:r>
    </w:p>
    <w:p w:rsidR="00C157C8" w:rsidRPr="00C157C8" w:rsidRDefault="00C157C8">
      <w:pPr>
        <w:pStyle w:val="Index2"/>
        <w:rPr>
          <w:rtl/>
        </w:rPr>
      </w:pPr>
      <w:r w:rsidRPr="00C157C8">
        <w:rPr>
          <w:rtl/>
          <w:lang w:bidi="he-IL"/>
        </w:rPr>
        <w:t>אכילה מאותה ככר לחם לבשר ולחלב</w:t>
      </w:r>
      <w:r w:rsidRPr="00C157C8">
        <w:rPr>
          <w:rtl/>
        </w:rPr>
        <w:tab/>
        <w:t>182</w:t>
      </w:r>
    </w:p>
    <w:p w:rsidR="00C157C8" w:rsidRPr="00C157C8" w:rsidRDefault="00C157C8">
      <w:pPr>
        <w:pStyle w:val="Index2"/>
        <w:rPr>
          <w:rtl/>
        </w:rPr>
      </w:pPr>
      <w:r w:rsidRPr="00C157C8">
        <w:rPr>
          <w:rtl/>
          <w:lang w:bidi="he-IL"/>
        </w:rPr>
        <w:t>אם יש בה דין ביטול ברוב</w:t>
      </w:r>
      <w:r w:rsidRPr="00C157C8">
        <w:rPr>
          <w:rtl/>
        </w:rPr>
        <w:tab/>
        <w:t>115</w:t>
      </w:r>
    </w:p>
    <w:p w:rsidR="00C157C8" w:rsidRPr="00C157C8" w:rsidRDefault="00C157C8">
      <w:pPr>
        <w:pStyle w:val="Index2"/>
        <w:rPr>
          <w:rtl/>
        </w:rPr>
      </w:pPr>
      <w:r w:rsidRPr="00C157C8">
        <w:rPr>
          <w:rtl/>
          <w:lang w:bidi="he-IL"/>
        </w:rPr>
        <w:t>אם יש שיעור לחיוב</w:t>
      </w:r>
      <w:r w:rsidRPr="00C157C8">
        <w:rPr>
          <w:rtl/>
        </w:rPr>
        <w:tab/>
        <w:t>92</w:t>
      </w:r>
    </w:p>
    <w:p w:rsidR="00C157C8" w:rsidRPr="00C157C8" w:rsidRDefault="00C157C8">
      <w:pPr>
        <w:pStyle w:val="Index2"/>
        <w:rPr>
          <w:rtl/>
        </w:rPr>
      </w:pPr>
      <w:r w:rsidRPr="00C157C8">
        <w:rPr>
          <w:rtl/>
          <w:lang w:bidi="he-IL"/>
        </w:rPr>
        <w:t>אם צריך לדין ביטול ברוב</w:t>
      </w:r>
      <w:r w:rsidRPr="00C157C8">
        <w:rPr>
          <w:rtl/>
        </w:rPr>
        <w:tab/>
        <w:t>15</w:t>
      </w:r>
    </w:p>
    <w:p w:rsidR="00C157C8" w:rsidRPr="00C157C8" w:rsidRDefault="00C157C8">
      <w:pPr>
        <w:pStyle w:val="Index2"/>
        <w:rPr>
          <w:rtl/>
        </w:rPr>
      </w:pPr>
      <w:r w:rsidRPr="00C157C8">
        <w:rPr>
          <w:rtl/>
          <w:lang w:bidi="he-IL"/>
        </w:rPr>
        <w:t>באיזה סוג בשר נאסר</w:t>
      </w:r>
      <w:r w:rsidRPr="00C157C8">
        <w:rPr>
          <w:rtl/>
        </w:rPr>
        <w:tab/>
        <w:t>159</w:t>
      </w:r>
    </w:p>
    <w:p w:rsidR="00C157C8" w:rsidRPr="00C157C8" w:rsidRDefault="00C157C8">
      <w:pPr>
        <w:pStyle w:val="Index2"/>
        <w:rPr>
          <w:rtl/>
        </w:rPr>
      </w:pPr>
      <w:r w:rsidRPr="00C157C8">
        <w:rPr>
          <w:rtl/>
          <w:lang w:bidi="he-IL"/>
        </w:rPr>
        <w:t>בבשר נבילה</w:t>
      </w:r>
      <w:r w:rsidRPr="00C157C8">
        <w:rPr>
          <w:rtl/>
        </w:rPr>
        <w:tab/>
        <w:t>208</w:t>
      </w:r>
    </w:p>
    <w:p w:rsidR="00C157C8" w:rsidRPr="00C157C8" w:rsidRDefault="00C157C8">
      <w:pPr>
        <w:pStyle w:val="Index2"/>
        <w:rPr>
          <w:rtl/>
        </w:rPr>
      </w:pPr>
      <w:r w:rsidRPr="00C157C8">
        <w:rPr>
          <w:rtl/>
          <w:lang w:bidi="he-IL"/>
        </w:rPr>
        <w:t>בעור שנתייבש ונעשה כעץ</w:t>
      </w:r>
      <w:r w:rsidRPr="00C157C8">
        <w:rPr>
          <w:rtl/>
        </w:rPr>
        <w:tab/>
        <w:t>205</w:t>
      </w:r>
    </w:p>
    <w:p w:rsidR="00C157C8" w:rsidRPr="00C157C8" w:rsidRDefault="00C157C8">
      <w:pPr>
        <w:pStyle w:val="Index2"/>
        <w:rPr>
          <w:rtl/>
        </w:rPr>
      </w:pPr>
      <w:r w:rsidRPr="00C157C8">
        <w:rPr>
          <w:rtl/>
          <w:lang w:bidi="he-IL"/>
        </w:rPr>
        <w:t>בעצמות</w:t>
      </w:r>
      <w:r w:rsidRPr="00C157C8">
        <w:rPr>
          <w:rtl/>
        </w:rPr>
        <w:tab/>
        <w:t>202</w:t>
      </w:r>
    </w:p>
    <w:p w:rsidR="00C157C8" w:rsidRPr="00C157C8" w:rsidRDefault="00C157C8">
      <w:pPr>
        <w:pStyle w:val="Index2"/>
        <w:rPr>
          <w:rtl/>
        </w:rPr>
      </w:pPr>
      <w:r w:rsidRPr="00C157C8">
        <w:rPr>
          <w:rtl/>
          <w:lang w:bidi="he-IL"/>
        </w:rPr>
        <w:t>דין החלב שבתוך הקיבה</w:t>
      </w:r>
      <w:r w:rsidRPr="00C157C8">
        <w:rPr>
          <w:rtl/>
        </w:rPr>
        <w:tab/>
        <w:t>187</w:t>
      </w:r>
    </w:p>
    <w:p w:rsidR="00C157C8" w:rsidRPr="00C157C8" w:rsidRDefault="00C157C8">
      <w:pPr>
        <w:pStyle w:val="Index2"/>
        <w:rPr>
          <w:rtl/>
        </w:rPr>
      </w:pPr>
      <w:r w:rsidRPr="00C157C8">
        <w:rPr>
          <w:rtl/>
          <w:lang w:bidi="he-IL"/>
        </w:rPr>
        <w:t>החילוק בינה לשעטנז בדין ביטול ברוב</w:t>
      </w:r>
      <w:r w:rsidRPr="00C157C8">
        <w:rPr>
          <w:rtl/>
        </w:rPr>
        <w:tab/>
        <w:t>116</w:t>
      </w:r>
    </w:p>
    <w:p w:rsidR="00C157C8" w:rsidRPr="00C157C8" w:rsidRDefault="00C157C8">
      <w:pPr>
        <w:pStyle w:val="Index2"/>
        <w:rPr>
          <w:rtl/>
        </w:rPr>
      </w:pPr>
      <w:r w:rsidRPr="00C157C8">
        <w:rPr>
          <w:rtl/>
          <w:lang w:bidi="he-IL"/>
        </w:rPr>
        <w:t>הנקודה הנפלאה של הרמב</w:t>
      </w:r>
      <w:r w:rsidRPr="00C157C8">
        <w:rPr>
          <w:rtl/>
        </w:rPr>
        <w:t>"</w:t>
      </w:r>
      <w:r w:rsidRPr="00C157C8">
        <w:rPr>
          <w:rtl/>
          <w:lang w:bidi="he-IL"/>
        </w:rPr>
        <w:t>ם</w:t>
      </w:r>
      <w:r w:rsidRPr="00C157C8">
        <w:rPr>
          <w:rtl/>
        </w:rPr>
        <w:tab/>
        <w:t>83, 208</w:t>
      </w:r>
    </w:p>
    <w:p w:rsidR="00C157C8" w:rsidRPr="00C157C8" w:rsidRDefault="00C157C8">
      <w:pPr>
        <w:pStyle w:val="Index2"/>
        <w:rPr>
          <w:rtl/>
        </w:rPr>
      </w:pPr>
      <w:r w:rsidRPr="00C157C8">
        <w:rPr>
          <w:rtl/>
          <w:lang w:bidi="he-IL"/>
        </w:rPr>
        <w:t>השתמשות באותו סכין לבשר ולחלב</w:t>
      </w:r>
      <w:r w:rsidRPr="00C157C8">
        <w:rPr>
          <w:rtl/>
        </w:rPr>
        <w:tab/>
        <w:t>186</w:t>
      </w:r>
    </w:p>
    <w:p w:rsidR="00C157C8" w:rsidRPr="00C157C8" w:rsidRDefault="00C157C8">
      <w:pPr>
        <w:pStyle w:val="Index2"/>
        <w:rPr>
          <w:rtl/>
        </w:rPr>
      </w:pPr>
      <w:r w:rsidRPr="00C157C8">
        <w:rPr>
          <w:rtl/>
          <w:lang w:bidi="he-IL"/>
        </w:rPr>
        <w:t>מעושן</w:t>
      </w:r>
      <w:r w:rsidRPr="00C157C8">
        <w:rPr>
          <w:rtl/>
        </w:rPr>
        <w:tab/>
        <w:t>198</w:t>
      </w:r>
    </w:p>
    <w:p w:rsidR="00C157C8" w:rsidRPr="00C157C8" w:rsidRDefault="00C157C8">
      <w:pPr>
        <w:pStyle w:val="Index2"/>
        <w:rPr>
          <w:rtl/>
        </w:rPr>
      </w:pPr>
      <w:r w:rsidRPr="00C157C8">
        <w:rPr>
          <w:rtl/>
          <w:lang w:bidi="he-IL"/>
        </w:rPr>
        <w:t>עירוב מים שהדיחו בהם כלי בשר עם מים של כלי חלב</w:t>
      </w:r>
      <w:r w:rsidRPr="00C157C8">
        <w:rPr>
          <w:rtl/>
        </w:rPr>
        <w:tab/>
        <w:t>201</w:t>
      </w:r>
    </w:p>
    <w:p w:rsidR="00C157C8" w:rsidRPr="00C157C8" w:rsidRDefault="00C157C8">
      <w:pPr>
        <w:pStyle w:val="Index1"/>
        <w:rPr>
          <w:rtl/>
        </w:rPr>
      </w:pPr>
      <w:r w:rsidRPr="00C157C8">
        <w:rPr>
          <w:rtl/>
          <w:lang w:bidi="he-IL"/>
        </w:rPr>
        <w:t xml:space="preserve">בשר בחלב </w:t>
      </w:r>
      <w:r w:rsidRPr="00C157C8">
        <w:rPr>
          <w:rtl/>
        </w:rPr>
        <w:t xml:space="preserve">- </w:t>
      </w:r>
      <w:r w:rsidRPr="00C157C8">
        <w:rPr>
          <w:rtl/>
          <w:lang w:bidi="he-IL"/>
        </w:rPr>
        <w:t>איסור בישול</w:t>
      </w:r>
    </w:p>
    <w:p w:rsidR="00C157C8" w:rsidRPr="00C157C8" w:rsidRDefault="00C157C8">
      <w:pPr>
        <w:pStyle w:val="Index2"/>
        <w:rPr>
          <w:rtl/>
        </w:rPr>
      </w:pPr>
      <w:r w:rsidRPr="00C157C8">
        <w:rPr>
          <w:rtl/>
          <w:lang w:bidi="he-IL"/>
        </w:rPr>
        <w:t>בבליעות</w:t>
      </w:r>
      <w:r w:rsidRPr="00C157C8">
        <w:rPr>
          <w:rtl/>
        </w:rPr>
        <w:tab/>
        <w:t>200</w:t>
      </w:r>
    </w:p>
    <w:p w:rsidR="00C157C8" w:rsidRPr="00C157C8" w:rsidRDefault="00C157C8">
      <w:pPr>
        <w:pStyle w:val="Index2"/>
        <w:rPr>
          <w:rtl/>
        </w:rPr>
      </w:pPr>
      <w:r w:rsidRPr="00C157C8">
        <w:rPr>
          <w:rtl/>
          <w:lang w:bidi="he-IL"/>
        </w:rPr>
        <w:t>בבשר או חלב טמא</w:t>
      </w:r>
      <w:r w:rsidRPr="00C157C8">
        <w:rPr>
          <w:rtl/>
        </w:rPr>
        <w:tab/>
        <w:t>192</w:t>
      </w:r>
    </w:p>
    <w:p w:rsidR="00C157C8" w:rsidRPr="00C157C8" w:rsidRDefault="00C157C8">
      <w:pPr>
        <w:pStyle w:val="Index2"/>
        <w:rPr>
          <w:rtl/>
        </w:rPr>
      </w:pPr>
      <w:r w:rsidRPr="00C157C8">
        <w:rPr>
          <w:rtl/>
          <w:lang w:bidi="he-IL"/>
        </w:rPr>
        <w:t>בישול אחר בישול</w:t>
      </w:r>
      <w:r w:rsidRPr="00C157C8">
        <w:rPr>
          <w:rtl/>
        </w:rPr>
        <w:tab/>
        <w:t>200</w:t>
      </w:r>
    </w:p>
    <w:p w:rsidR="00C157C8" w:rsidRPr="00C157C8" w:rsidRDefault="00C157C8">
      <w:pPr>
        <w:pStyle w:val="Index2"/>
        <w:rPr>
          <w:rtl/>
        </w:rPr>
      </w:pPr>
      <w:r w:rsidRPr="00C157C8">
        <w:rPr>
          <w:rtl/>
          <w:lang w:bidi="he-IL"/>
        </w:rPr>
        <w:t>בישול אחר כבוש</w:t>
      </w:r>
      <w:r w:rsidRPr="00C157C8">
        <w:rPr>
          <w:rtl/>
        </w:rPr>
        <w:tab/>
        <w:t>191</w:t>
      </w:r>
    </w:p>
    <w:p w:rsidR="00C157C8" w:rsidRPr="00C157C8" w:rsidRDefault="00C157C8">
      <w:pPr>
        <w:pStyle w:val="Index2"/>
        <w:rPr>
          <w:rtl/>
        </w:rPr>
      </w:pPr>
      <w:r w:rsidRPr="00C157C8">
        <w:rPr>
          <w:rtl/>
          <w:lang w:bidi="he-IL"/>
        </w:rPr>
        <w:t>בניעור הקדרה שנפל בה טיפת חלב</w:t>
      </w:r>
      <w:r w:rsidRPr="00C157C8">
        <w:rPr>
          <w:rtl/>
        </w:rPr>
        <w:tab/>
        <w:t>219</w:t>
      </w:r>
    </w:p>
    <w:p w:rsidR="00C157C8" w:rsidRPr="00C157C8" w:rsidRDefault="00C157C8">
      <w:pPr>
        <w:pStyle w:val="Index2"/>
        <w:rPr>
          <w:rtl/>
        </w:rPr>
      </w:pPr>
      <w:r w:rsidRPr="00C157C8">
        <w:rPr>
          <w:rtl/>
          <w:lang w:bidi="he-IL"/>
        </w:rPr>
        <w:t>דברי הרמ</w:t>
      </w:r>
      <w:r w:rsidRPr="00C157C8">
        <w:rPr>
          <w:rtl/>
        </w:rPr>
        <w:t>"</w:t>
      </w:r>
      <w:r w:rsidRPr="00C157C8">
        <w:rPr>
          <w:rtl/>
          <w:lang w:bidi="he-IL"/>
        </w:rPr>
        <w:t>א בחיתוי תחת לקדירה</w:t>
      </w:r>
      <w:r w:rsidRPr="00C157C8">
        <w:rPr>
          <w:rtl/>
        </w:rPr>
        <w:tab/>
        <w:t>199</w:t>
      </w:r>
    </w:p>
    <w:p w:rsidR="00C157C8" w:rsidRPr="00C157C8" w:rsidRDefault="00C157C8">
      <w:pPr>
        <w:pStyle w:val="Index2"/>
        <w:rPr>
          <w:rtl/>
        </w:rPr>
      </w:pPr>
      <w:r w:rsidRPr="00C157C8">
        <w:rPr>
          <w:rtl/>
          <w:lang w:bidi="he-IL"/>
        </w:rPr>
        <w:lastRenderedPageBreak/>
        <w:t>דברי רע</w:t>
      </w:r>
      <w:r w:rsidRPr="00C157C8">
        <w:rPr>
          <w:rtl/>
        </w:rPr>
        <w:t>"</w:t>
      </w:r>
      <w:r w:rsidRPr="00C157C8">
        <w:rPr>
          <w:rtl/>
          <w:lang w:bidi="he-IL"/>
        </w:rPr>
        <w:t>א בחיתוי מתחת לקדירה</w:t>
      </w:r>
      <w:r w:rsidRPr="00C157C8">
        <w:rPr>
          <w:rtl/>
        </w:rPr>
        <w:tab/>
        <w:t>203</w:t>
      </w:r>
    </w:p>
    <w:p w:rsidR="00C157C8" w:rsidRPr="00C157C8" w:rsidRDefault="00C157C8">
      <w:pPr>
        <w:pStyle w:val="Index2"/>
        <w:rPr>
          <w:rtl/>
        </w:rPr>
      </w:pPr>
      <w:r w:rsidRPr="00C157C8">
        <w:rPr>
          <w:rtl/>
          <w:lang w:bidi="he-IL"/>
        </w:rPr>
        <w:t>חם בחם</w:t>
      </w:r>
      <w:r w:rsidRPr="00C157C8">
        <w:rPr>
          <w:rtl/>
        </w:rPr>
        <w:tab/>
        <w:t>192</w:t>
      </w:r>
    </w:p>
    <w:p w:rsidR="00C157C8" w:rsidRPr="00C157C8" w:rsidRDefault="00C157C8">
      <w:pPr>
        <w:pStyle w:val="Index2"/>
        <w:rPr>
          <w:rtl/>
        </w:rPr>
      </w:pPr>
      <w:r w:rsidRPr="00C157C8">
        <w:rPr>
          <w:rtl/>
          <w:lang w:bidi="he-IL"/>
        </w:rPr>
        <w:t>כמה דוגמות שאין חייבים עליהם</w:t>
      </w:r>
      <w:r w:rsidRPr="00C157C8">
        <w:rPr>
          <w:rtl/>
        </w:rPr>
        <w:tab/>
        <w:t>199</w:t>
      </w:r>
    </w:p>
    <w:p w:rsidR="00C157C8" w:rsidRPr="00C157C8" w:rsidRDefault="00C157C8">
      <w:pPr>
        <w:pStyle w:val="Index2"/>
        <w:rPr>
          <w:rtl/>
        </w:rPr>
      </w:pPr>
      <w:r w:rsidRPr="00C157C8">
        <w:rPr>
          <w:rtl/>
          <w:lang w:bidi="he-IL"/>
        </w:rPr>
        <w:t>לאיבוד</w:t>
      </w:r>
      <w:r w:rsidRPr="00C157C8">
        <w:rPr>
          <w:rtl/>
        </w:rPr>
        <w:tab/>
        <w:t>190</w:t>
      </w:r>
    </w:p>
    <w:p w:rsidR="00C157C8" w:rsidRPr="00C157C8" w:rsidRDefault="00C157C8">
      <w:pPr>
        <w:pStyle w:val="Index2"/>
        <w:rPr>
          <w:rtl/>
        </w:rPr>
      </w:pPr>
      <w:r w:rsidRPr="00C157C8">
        <w:rPr>
          <w:rtl/>
          <w:lang w:bidi="he-IL"/>
        </w:rPr>
        <w:t>שיעור האיסור</w:t>
      </w:r>
      <w:r w:rsidRPr="00C157C8">
        <w:rPr>
          <w:rtl/>
        </w:rPr>
        <w:tab/>
        <w:t>93</w:t>
      </w:r>
    </w:p>
    <w:p w:rsidR="00C157C8" w:rsidRPr="00C157C8" w:rsidRDefault="00C157C8">
      <w:pPr>
        <w:pStyle w:val="Index1"/>
        <w:rPr>
          <w:rtl/>
        </w:rPr>
      </w:pPr>
      <w:r w:rsidRPr="00C157C8">
        <w:rPr>
          <w:rtl/>
          <w:lang w:bidi="he-IL"/>
        </w:rPr>
        <w:t xml:space="preserve">בשר בחלב </w:t>
      </w:r>
      <w:r w:rsidRPr="00C157C8">
        <w:rPr>
          <w:rtl/>
        </w:rPr>
        <w:t xml:space="preserve">- </w:t>
      </w:r>
      <w:r w:rsidRPr="00C157C8">
        <w:rPr>
          <w:rtl/>
          <w:lang w:bidi="he-IL"/>
        </w:rPr>
        <w:t>איסור הנאה</w:t>
      </w:r>
    </w:p>
    <w:p w:rsidR="00C157C8" w:rsidRPr="00C157C8" w:rsidRDefault="00C157C8">
      <w:pPr>
        <w:pStyle w:val="Index2"/>
        <w:rPr>
          <w:rtl/>
        </w:rPr>
      </w:pPr>
      <w:r w:rsidRPr="00C157C8">
        <w:rPr>
          <w:rtl/>
          <w:lang w:bidi="he-IL"/>
        </w:rPr>
        <w:t>כלי שעושים בו מים חפיפת הראש</w:t>
      </w:r>
      <w:r w:rsidRPr="00C157C8">
        <w:rPr>
          <w:rtl/>
        </w:rPr>
        <w:tab/>
        <w:t>202</w:t>
      </w:r>
    </w:p>
    <w:p w:rsidR="00C157C8" w:rsidRPr="00C157C8" w:rsidRDefault="00C157C8">
      <w:pPr>
        <w:pStyle w:val="Index2"/>
        <w:rPr>
          <w:rtl/>
        </w:rPr>
      </w:pPr>
      <w:r w:rsidRPr="00C157C8">
        <w:rPr>
          <w:rtl/>
          <w:lang w:bidi="he-IL"/>
        </w:rPr>
        <w:t>מן הקדרה שבישלו בה</w:t>
      </w:r>
      <w:r w:rsidRPr="00C157C8">
        <w:rPr>
          <w:rtl/>
        </w:rPr>
        <w:tab/>
        <w:t>252</w:t>
      </w:r>
    </w:p>
    <w:p w:rsidR="00C157C8" w:rsidRPr="00C157C8" w:rsidRDefault="00C157C8">
      <w:pPr>
        <w:pStyle w:val="Index1"/>
        <w:rPr>
          <w:rtl/>
        </w:rPr>
      </w:pPr>
      <w:r w:rsidRPr="00C157C8">
        <w:rPr>
          <w:rtl/>
          <w:lang w:bidi="he-IL"/>
        </w:rPr>
        <w:t xml:space="preserve">בשר בחלב </w:t>
      </w:r>
      <w:r w:rsidRPr="00C157C8">
        <w:rPr>
          <w:rtl/>
        </w:rPr>
        <w:t xml:space="preserve">- </w:t>
      </w:r>
      <w:r w:rsidRPr="00C157C8">
        <w:rPr>
          <w:rtl/>
          <w:lang w:bidi="he-IL"/>
        </w:rPr>
        <w:t>איסור העלאה על שולחן א</w:t>
      </w:r>
      <w:r w:rsidRPr="00C157C8">
        <w:rPr>
          <w:rtl/>
        </w:rPr>
        <w:t>'</w:t>
      </w:r>
    </w:p>
    <w:p w:rsidR="00C157C8" w:rsidRPr="00C157C8" w:rsidRDefault="00C157C8">
      <w:pPr>
        <w:pStyle w:val="Index2"/>
        <w:rPr>
          <w:rtl/>
        </w:rPr>
      </w:pPr>
      <w:r w:rsidRPr="00C157C8">
        <w:rPr>
          <w:rtl/>
          <w:lang w:bidi="he-IL"/>
        </w:rPr>
        <w:t>אכילת מין א</w:t>
      </w:r>
      <w:r w:rsidRPr="00C157C8">
        <w:rPr>
          <w:rtl/>
        </w:rPr>
        <w:t xml:space="preserve">' </w:t>
      </w:r>
      <w:r w:rsidRPr="00C157C8">
        <w:rPr>
          <w:rtl/>
          <w:lang w:bidi="he-IL"/>
        </w:rPr>
        <w:t>באותה מפה שאכלו עליו המין השני</w:t>
      </w:r>
      <w:r w:rsidRPr="00C157C8">
        <w:rPr>
          <w:rtl/>
        </w:rPr>
        <w:tab/>
      </w:r>
      <w:r w:rsidRPr="00C157C8">
        <w:rPr>
          <w:i/>
          <w:rtl/>
          <w:lang w:bidi="he-IL"/>
        </w:rPr>
        <w:t>ע</w:t>
      </w:r>
      <w:r w:rsidRPr="00C157C8">
        <w:rPr>
          <w:i/>
          <w:rtl/>
        </w:rPr>
        <w:t xml:space="preserve">' </w:t>
      </w:r>
      <w:r w:rsidRPr="00C157C8">
        <w:rPr>
          <w:i/>
          <w:rtl/>
          <w:lang w:bidi="he-IL"/>
        </w:rPr>
        <w:t xml:space="preserve">בשר בחלב </w:t>
      </w:r>
      <w:r w:rsidRPr="00C157C8">
        <w:rPr>
          <w:i/>
          <w:rtl/>
        </w:rPr>
        <w:t xml:space="preserve">- </w:t>
      </w:r>
      <w:r w:rsidRPr="00C157C8">
        <w:rPr>
          <w:i/>
          <w:rtl/>
          <w:lang w:bidi="he-IL"/>
        </w:rPr>
        <w:t>איסור העלאה על שולחן א</w:t>
      </w:r>
      <w:r w:rsidRPr="00C157C8">
        <w:rPr>
          <w:i/>
          <w:rtl/>
        </w:rPr>
        <w:t>'</w:t>
      </w:r>
    </w:p>
    <w:p w:rsidR="00C157C8" w:rsidRPr="00C157C8" w:rsidRDefault="00C157C8">
      <w:pPr>
        <w:pStyle w:val="Index2"/>
        <w:rPr>
          <w:rtl/>
        </w:rPr>
      </w:pPr>
      <w:r w:rsidRPr="00C157C8">
        <w:rPr>
          <w:rtl/>
          <w:lang w:bidi="he-IL"/>
        </w:rPr>
        <w:t>בב</w:t>
      </w:r>
      <w:r w:rsidRPr="00C157C8">
        <w:rPr>
          <w:rtl/>
        </w:rPr>
        <w:t xml:space="preserve">' </w:t>
      </w:r>
      <w:r w:rsidRPr="00C157C8">
        <w:rPr>
          <w:rtl/>
          <w:lang w:bidi="he-IL"/>
        </w:rPr>
        <w:t>מפות</w:t>
      </w:r>
      <w:r w:rsidRPr="00C157C8">
        <w:rPr>
          <w:rtl/>
        </w:rPr>
        <w:tab/>
        <w:t>171</w:t>
      </w:r>
    </w:p>
    <w:p w:rsidR="00C157C8" w:rsidRPr="00C157C8" w:rsidRDefault="00C157C8">
      <w:pPr>
        <w:pStyle w:val="Index2"/>
        <w:rPr>
          <w:rtl/>
        </w:rPr>
      </w:pPr>
      <w:r w:rsidRPr="00C157C8">
        <w:rPr>
          <w:rtl/>
          <w:lang w:bidi="he-IL"/>
        </w:rPr>
        <w:t>ביאור הדין במכירין זא</w:t>
      </w:r>
      <w:r w:rsidRPr="00C157C8">
        <w:rPr>
          <w:rtl/>
        </w:rPr>
        <w:t>"</w:t>
      </w:r>
      <w:r w:rsidRPr="00C157C8">
        <w:rPr>
          <w:rtl/>
          <w:lang w:bidi="he-IL"/>
        </w:rPr>
        <w:t>ז</w:t>
      </w:r>
      <w:r w:rsidRPr="00C157C8">
        <w:rPr>
          <w:rtl/>
        </w:rPr>
        <w:tab/>
        <w:t>168</w:t>
      </w:r>
    </w:p>
    <w:p w:rsidR="00C157C8" w:rsidRPr="00C157C8" w:rsidRDefault="00C157C8">
      <w:pPr>
        <w:pStyle w:val="Index2"/>
        <w:rPr>
          <w:rtl/>
        </w:rPr>
      </w:pPr>
      <w:r w:rsidRPr="00C157C8">
        <w:rPr>
          <w:rtl/>
          <w:lang w:bidi="he-IL"/>
        </w:rPr>
        <w:t>בשולחן שסודר עליו</w:t>
      </w:r>
      <w:r w:rsidRPr="00C157C8">
        <w:rPr>
          <w:rtl/>
        </w:rPr>
        <w:tab/>
        <w:t>172</w:t>
      </w:r>
    </w:p>
    <w:p w:rsidR="00C157C8" w:rsidRPr="00C157C8" w:rsidRDefault="00C157C8">
      <w:pPr>
        <w:pStyle w:val="Index2"/>
        <w:rPr>
          <w:rtl/>
        </w:rPr>
      </w:pPr>
      <w:r w:rsidRPr="00C157C8">
        <w:rPr>
          <w:rtl/>
          <w:lang w:bidi="he-IL"/>
        </w:rPr>
        <w:t>הערות בסוגיא</w:t>
      </w:r>
      <w:r w:rsidRPr="00C157C8">
        <w:rPr>
          <w:rtl/>
        </w:rPr>
        <w:tab/>
        <w:t>162</w:t>
      </w:r>
    </w:p>
    <w:p w:rsidR="00C157C8" w:rsidRPr="00C157C8" w:rsidRDefault="00C157C8">
      <w:pPr>
        <w:pStyle w:val="Index2"/>
        <w:rPr>
          <w:rtl/>
        </w:rPr>
      </w:pPr>
      <w:r w:rsidRPr="00C157C8">
        <w:rPr>
          <w:rtl/>
          <w:lang w:bidi="he-IL"/>
        </w:rPr>
        <w:t>השייכות לדין צורר אדם בשר וגבינה במטפחת א</w:t>
      </w:r>
      <w:r w:rsidRPr="00C157C8">
        <w:rPr>
          <w:rtl/>
        </w:rPr>
        <w:t>'</w:t>
      </w:r>
      <w:r w:rsidRPr="00C157C8">
        <w:rPr>
          <w:rtl/>
        </w:rPr>
        <w:tab/>
        <w:t>168</w:t>
      </w:r>
    </w:p>
    <w:p w:rsidR="00C157C8" w:rsidRPr="00C157C8" w:rsidRDefault="00C157C8">
      <w:pPr>
        <w:pStyle w:val="Index2"/>
        <w:rPr>
          <w:rtl/>
        </w:rPr>
      </w:pPr>
      <w:r w:rsidRPr="00C157C8">
        <w:rPr>
          <w:rtl/>
          <w:lang w:bidi="he-IL"/>
        </w:rPr>
        <w:t>כשאינו אוכל עכשיו אבל יושב ליד השולחן</w:t>
      </w:r>
      <w:r w:rsidRPr="00C157C8">
        <w:rPr>
          <w:rtl/>
        </w:rPr>
        <w:tab/>
        <w:t>171</w:t>
      </w:r>
    </w:p>
    <w:p w:rsidR="00C157C8" w:rsidRPr="00C157C8" w:rsidRDefault="00C157C8">
      <w:pPr>
        <w:pStyle w:val="Index2"/>
        <w:rPr>
          <w:rtl/>
        </w:rPr>
      </w:pPr>
      <w:r w:rsidRPr="00C157C8">
        <w:rPr>
          <w:rtl/>
          <w:lang w:bidi="he-IL"/>
        </w:rPr>
        <w:t>כשיש היכר</w:t>
      </w:r>
      <w:r w:rsidRPr="00C157C8">
        <w:rPr>
          <w:rtl/>
        </w:rPr>
        <w:tab/>
        <w:t>169</w:t>
      </w:r>
    </w:p>
    <w:p w:rsidR="00C157C8" w:rsidRPr="00C157C8" w:rsidRDefault="00C157C8">
      <w:pPr>
        <w:pStyle w:val="Index2"/>
        <w:rPr>
          <w:rtl/>
        </w:rPr>
      </w:pPr>
      <w:r w:rsidRPr="00C157C8">
        <w:rPr>
          <w:rtl/>
          <w:lang w:bidi="he-IL"/>
        </w:rPr>
        <w:t>כשרחוקים זה מזה</w:t>
      </w:r>
      <w:r w:rsidRPr="00C157C8">
        <w:rPr>
          <w:rtl/>
        </w:rPr>
        <w:tab/>
        <w:t>172</w:t>
      </w:r>
    </w:p>
    <w:p w:rsidR="00C157C8" w:rsidRPr="00C157C8" w:rsidRDefault="00C157C8">
      <w:pPr>
        <w:pStyle w:val="Index2"/>
        <w:rPr>
          <w:rtl/>
        </w:rPr>
      </w:pPr>
      <w:r w:rsidRPr="00C157C8">
        <w:rPr>
          <w:rtl/>
          <w:lang w:bidi="he-IL"/>
        </w:rPr>
        <w:t>סוגיית הגמ</w:t>
      </w:r>
      <w:r w:rsidRPr="00C157C8">
        <w:rPr>
          <w:rtl/>
        </w:rPr>
        <w:t>'</w:t>
      </w:r>
      <w:r w:rsidRPr="00C157C8">
        <w:rPr>
          <w:rtl/>
        </w:rPr>
        <w:tab/>
        <w:t>160</w:t>
      </w:r>
    </w:p>
    <w:p w:rsidR="00C157C8" w:rsidRPr="00C157C8" w:rsidRDefault="00C157C8">
      <w:pPr>
        <w:pStyle w:val="Index1"/>
        <w:rPr>
          <w:rtl/>
        </w:rPr>
      </w:pPr>
      <w:r w:rsidRPr="00C157C8">
        <w:rPr>
          <w:rtl/>
          <w:lang w:bidi="he-IL"/>
        </w:rPr>
        <w:t xml:space="preserve">בשר בחלב </w:t>
      </w:r>
      <w:r w:rsidRPr="00C157C8">
        <w:rPr>
          <w:rtl/>
        </w:rPr>
        <w:t xml:space="preserve">- </w:t>
      </w:r>
      <w:r w:rsidRPr="00C157C8">
        <w:rPr>
          <w:rtl/>
          <w:lang w:bidi="he-IL"/>
        </w:rPr>
        <w:t>איסור להאכילו לבהמה</w:t>
      </w:r>
    </w:p>
    <w:p w:rsidR="00C157C8" w:rsidRPr="00C157C8" w:rsidRDefault="00C157C8">
      <w:pPr>
        <w:pStyle w:val="Index2"/>
        <w:rPr>
          <w:rtl/>
        </w:rPr>
      </w:pPr>
      <w:r w:rsidRPr="00C157C8">
        <w:rPr>
          <w:rtl/>
          <w:lang w:bidi="he-IL"/>
        </w:rPr>
        <w:t>אם יש</w:t>
      </w:r>
      <w:r w:rsidRPr="00C157C8">
        <w:rPr>
          <w:rtl/>
        </w:rPr>
        <w:tab/>
        <w:t>253</w:t>
      </w:r>
    </w:p>
    <w:p w:rsidR="00C157C8" w:rsidRPr="00C157C8" w:rsidRDefault="00C157C8">
      <w:pPr>
        <w:pStyle w:val="Index1"/>
        <w:rPr>
          <w:rtl/>
        </w:rPr>
      </w:pPr>
      <w:r w:rsidRPr="00C157C8">
        <w:rPr>
          <w:rtl/>
          <w:lang w:bidi="he-IL"/>
        </w:rPr>
        <w:t xml:space="preserve">בשר בחלב </w:t>
      </w:r>
      <w:r w:rsidRPr="00C157C8">
        <w:rPr>
          <w:rtl/>
        </w:rPr>
        <w:t xml:space="preserve">- </w:t>
      </w:r>
      <w:r w:rsidRPr="00C157C8">
        <w:rPr>
          <w:rtl/>
          <w:lang w:bidi="he-IL"/>
        </w:rPr>
        <w:t>אכילה על מפות שונות</w:t>
      </w:r>
      <w:r w:rsidRPr="00C157C8">
        <w:rPr>
          <w:rtl/>
        </w:rPr>
        <w:tab/>
      </w:r>
      <w:r w:rsidRPr="00C157C8">
        <w:rPr>
          <w:i/>
          <w:rtl/>
          <w:lang w:bidi="he-IL"/>
        </w:rPr>
        <w:t>ע</w:t>
      </w:r>
      <w:r w:rsidRPr="00C157C8">
        <w:rPr>
          <w:i/>
          <w:rtl/>
        </w:rPr>
        <w:t xml:space="preserve">' </w:t>
      </w:r>
      <w:r w:rsidRPr="00C157C8">
        <w:rPr>
          <w:i/>
          <w:rtl/>
          <w:lang w:bidi="he-IL"/>
        </w:rPr>
        <w:t xml:space="preserve">בשר בחלב </w:t>
      </w:r>
      <w:r w:rsidRPr="00C157C8">
        <w:rPr>
          <w:i/>
          <w:rtl/>
        </w:rPr>
        <w:t>-</w:t>
      </w:r>
      <w:r w:rsidRPr="00C157C8">
        <w:rPr>
          <w:i/>
          <w:rtl/>
          <w:lang w:bidi="he-IL"/>
        </w:rPr>
        <w:t xml:space="preserve"> איסור העלאה על שולחן א</w:t>
      </w:r>
      <w:r w:rsidRPr="00C157C8">
        <w:rPr>
          <w:i/>
          <w:rtl/>
        </w:rPr>
        <w:t>'</w:t>
      </w:r>
    </w:p>
    <w:p w:rsidR="00C157C8" w:rsidRPr="00C157C8" w:rsidRDefault="00C157C8">
      <w:pPr>
        <w:pStyle w:val="Index1"/>
        <w:rPr>
          <w:rtl/>
        </w:rPr>
      </w:pPr>
      <w:r w:rsidRPr="00C157C8">
        <w:rPr>
          <w:rtl/>
          <w:lang w:bidi="he-IL"/>
        </w:rPr>
        <w:t xml:space="preserve">בשר בחלב </w:t>
      </w:r>
      <w:r w:rsidRPr="00C157C8">
        <w:rPr>
          <w:rtl/>
        </w:rPr>
        <w:t xml:space="preserve">- </w:t>
      </w:r>
      <w:r w:rsidRPr="00C157C8">
        <w:rPr>
          <w:rtl/>
          <w:lang w:bidi="he-IL"/>
        </w:rPr>
        <w:t>חיוב המתנה</w:t>
      </w:r>
    </w:p>
    <w:p w:rsidR="00C157C8" w:rsidRPr="00C157C8" w:rsidRDefault="00C157C8">
      <w:pPr>
        <w:pStyle w:val="Index2"/>
        <w:rPr>
          <w:rtl/>
        </w:rPr>
      </w:pPr>
      <w:r w:rsidRPr="00C157C8">
        <w:rPr>
          <w:rtl/>
          <w:lang w:bidi="he-IL"/>
        </w:rPr>
        <w:t>אחרי אכילת שומן</w:t>
      </w:r>
      <w:r w:rsidRPr="00C157C8">
        <w:rPr>
          <w:rtl/>
        </w:rPr>
        <w:tab/>
        <w:t>166</w:t>
      </w:r>
    </w:p>
    <w:p w:rsidR="00C157C8" w:rsidRPr="00C157C8" w:rsidRDefault="00C157C8">
      <w:pPr>
        <w:pStyle w:val="Index2"/>
        <w:rPr>
          <w:rtl/>
        </w:rPr>
      </w:pPr>
      <w:r w:rsidRPr="00C157C8">
        <w:rPr>
          <w:rtl/>
          <w:lang w:bidi="he-IL"/>
        </w:rPr>
        <w:t>אחרי גבינה רכה בסעודה אחת</w:t>
      </w:r>
      <w:r w:rsidRPr="00C157C8">
        <w:rPr>
          <w:rtl/>
        </w:rPr>
        <w:tab/>
        <w:t>184</w:t>
      </w:r>
    </w:p>
    <w:p w:rsidR="00C157C8" w:rsidRPr="00C157C8" w:rsidRDefault="00C157C8">
      <w:pPr>
        <w:pStyle w:val="Index2"/>
        <w:rPr>
          <w:rtl/>
        </w:rPr>
      </w:pPr>
      <w:r w:rsidRPr="00C157C8">
        <w:rPr>
          <w:rtl/>
          <w:lang w:bidi="he-IL"/>
        </w:rPr>
        <w:t>אחרי תבשיל של בשר</w:t>
      </w:r>
      <w:r w:rsidRPr="00C157C8">
        <w:rPr>
          <w:rtl/>
        </w:rPr>
        <w:tab/>
        <w:t>166</w:t>
      </w:r>
    </w:p>
    <w:p w:rsidR="00C157C8" w:rsidRPr="00C157C8" w:rsidRDefault="00C157C8">
      <w:pPr>
        <w:pStyle w:val="Index2"/>
        <w:rPr>
          <w:rtl/>
        </w:rPr>
      </w:pPr>
      <w:r w:rsidRPr="00C157C8">
        <w:rPr>
          <w:rtl/>
          <w:lang w:bidi="he-IL"/>
        </w:rPr>
        <w:t>אכילת גבינה אחרי ביצה שדינה כבשר עוף</w:t>
      </w:r>
      <w:r w:rsidRPr="00C157C8">
        <w:rPr>
          <w:rtl/>
        </w:rPr>
        <w:tab/>
        <w:t>198</w:t>
      </w:r>
    </w:p>
    <w:p w:rsidR="00C157C8" w:rsidRPr="00C157C8" w:rsidRDefault="00C157C8">
      <w:pPr>
        <w:pStyle w:val="Index2"/>
        <w:rPr>
          <w:rtl/>
        </w:rPr>
      </w:pPr>
      <w:r w:rsidRPr="00C157C8">
        <w:rPr>
          <w:rtl/>
          <w:lang w:bidi="he-IL"/>
        </w:rPr>
        <w:t>ביאור השיעור דשש שעות</w:t>
      </w:r>
      <w:r w:rsidRPr="00C157C8">
        <w:rPr>
          <w:rtl/>
        </w:rPr>
        <w:tab/>
        <w:t>175</w:t>
      </w:r>
    </w:p>
    <w:p w:rsidR="00C157C8" w:rsidRPr="00C157C8" w:rsidRDefault="00C157C8">
      <w:pPr>
        <w:pStyle w:val="Index2"/>
        <w:rPr>
          <w:rtl/>
        </w:rPr>
      </w:pPr>
      <w:r w:rsidRPr="00C157C8">
        <w:rPr>
          <w:rtl/>
          <w:lang w:bidi="he-IL"/>
        </w:rPr>
        <w:t>במוצא בשר עוף בין שיניו</w:t>
      </w:r>
      <w:r w:rsidRPr="00C157C8">
        <w:rPr>
          <w:rtl/>
        </w:rPr>
        <w:tab/>
        <w:t>184</w:t>
      </w:r>
    </w:p>
    <w:p w:rsidR="00C157C8" w:rsidRPr="00C157C8" w:rsidRDefault="00C157C8">
      <w:pPr>
        <w:pStyle w:val="Index2"/>
        <w:rPr>
          <w:rtl/>
        </w:rPr>
      </w:pPr>
      <w:r w:rsidRPr="00C157C8">
        <w:rPr>
          <w:rtl/>
          <w:lang w:bidi="he-IL"/>
        </w:rPr>
        <w:t>בספק ו</w:t>
      </w:r>
      <w:r w:rsidRPr="00C157C8">
        <w:rPr>
          <w:rtl/>
        </w:rPr>
        <w:t xml:space="preserve">' </w:t>
      </w:r>
      <w:r w:rsidRPr="00C157C8">
        <w:rPr>
          <w:rtl/>
          <w:lang w:bidi="he-IL"/>
        </w:rPr>
        <w:t>שעות</w:t>
      </w:r>
      <w:r w:rsidRPr="00C157C8">
        <w:rPr>
          <w:rtl/>
        </w:rPr>
        <w:tab/>
        <w:t>356</w:t>
      </w:r>
    </w:p>
    <w:p w:rsidR="00C157C8" w:rsidRPr="00C157C8" w:rsidRDefault="00C157C8">
      <w:pPr>
        <w:pStyle w:val="Index2"/>
        <w:rPr>
          <w:rtl/>
        </w:rPr>
      </w:pPr>
      <w:r w:rsidRPr="00C157C8">
        <w:rPr>
          <w:rtl/>
          <w:lang w:bidi="he-IL"/>
        </w:rPr>
        <w:t>בתבשיל שהתבשל בקדרה בשרית</w:t>
      </w:r>
      <w:r w:rsidRPr="00C157C8">
        <w:rPr>
          <w:rtl/>
        </w:rPr>
        <w:tab/>
        <w:t>180</w:t>
      </w:r>
    </w:p>
    <w:p w:rsidR="00C157C8" w:rsidRPr="00C157C8" w:rsidRDefault="00C157C8">
      <w:pPr>
        <w:pStyle w:val="Index2"/>
        <w:rPr>
          <w:rtl/>
        </w:rPr>
      </w:pPr>
      <w:r w:rsidRPr="00C157C8">
        <w:rPr>
          <w:rtl/>
          <w:lang w:bidi="he-IL"/>
        </w:rPr>
        <w:t>בתבשיל של בשר</w:t>
      </w:r>
      <w:r w:rsidRPr="00C157C8">
        <w:rPr>
          <w:rtl/>
        </w:rPr>
        <w:tab/>
        <w:t>179</w:t>
      </w:r>
    </w:p>
    <w:p w:rsidR="00C157C8" w:rsidRPr="00C157C8" w:rsidRDefault="00C157C8">
      <w:pPr>
        <w:pStyle w:val="Index2"/>
        <w:rPr>
          <w:rtl/>
        </w:rPr>
      </w:pPr>
      <w:r w:rsidRPr="00C157C8">
        <w:rPr>
          <w:rtl/>
          <w:lang w:bidi="he-IL"/>
        </w:rPr>
        <w:t>השיטות בקצרה</w:t>
      </w:r>
      <w:r w:rsidRPr="00C157C8">
        <w:rPr>
          <w:rtl/>
        </w:rPr>
        <w:tab/>
        <w:t>174</w:t>
      </w:r>
    </w:p>
    <w:p w:rsidR="00C157C8" w:rsidRPr="00C157C8" w:rsidRDefault="00C157C8">
      <w:pPr>
        <w:pStyle w:val="Index2"/>
        <w:rPr>
          <w:rtl/>
        </w:rPr>
      </w:pPr>
      <w:r w:rsidRPr="00C157C8">
        <w:rPr>
          <w:rtl/>
          <w:lang w:bidi="he-IL"/>
        </w:rPr>
        <w:t>טעם האיסור</w:t>
      </w:r>
      <w:r w:rsidRPr="00C157C8">
        <w:rPr>
          <w:rtl/>
        </w:rPr>
        <w:tab/>
        <w:t>164</w:t>
      </w:r>
    </w:p>
    <w:p w:rsidR="00C157C8" w:rsidRPr="00C157C8" w:rsidRDefault="00C157C8">
      <w:pPr>
        <w:pStyle w:val="Index2"/>
        <w:rPr>
          <w:rtl/>
        </w:rPr>
      </w:pPr>
      <w:r w:rsidRPr="00C157C8">
        <w:rPr>
          <w:rtl/>
          <w:lang w:bidi="he-IL"/>
        </w:rPr>
        <w:t>כשכבר בירך על המין השני אבל עדיין לא טעם ממנו</w:t>
      </w:r>
      <w:r w:rsidRPr="00C157C8">
        <w:rPr>
          <w:rtl/>
        </w:rPr>
        <w:tab/>
        <w:t>182</w:t>
      </w:r>
    </w:p>
    <w:p w:rsidR="00C157C8" w:rsidRPr="00C157C8" w:rsidRDefault="00C157C8">
      <w:pPr>
        <w:pStyle w:val="Index2"/>
        <w:rPr>
          <w:rtl/>
        </w:rPr>
      </w:pPr>
      <w:r w:rsidRPr="00C157C8">
        <w:rPr>
          <w:rtl/>
          <w:lang w:bidi="he-IL"/>
        </w:rPr>
        <w:t>כשמצא בשר בין השיניים</w:t>
      </w:r>
      <w:r w:rsidRPr="00C157C8">
        <w:rPr>
          <w:rtl/>
        </w:rPr>
        <w:tab/>
        <w:t>177</w:t>
      </w:r>
    </w:p>
    <w:p w:rsidR="00C157C8" w:rsidRPr="00C157C8" w:rsidRDefault="00C157C8">
      <w:pPr>
        <w:pStyle w:val="Index2"/>
        <w:rPr>
          <w:rtl/>
        </w:rPr>
      </w:pPr>
      <w:r w:rsidRPr="00C157C8">
        <w:rPr>
          <w:rtl/>
          <w:lang w:bidi="he-IL"/>
        </w:rPr>
        <w:t>מגבינה לבשר</w:t>
      </w:r>
      <w:r w:rsidRPr="00C157C8">
        <w:rPr>
          <w:rtl/>
        </w:rPr>
        <w:tab/>
        <w:t>177, 184</w:t>
      </w:r>
    </w:p>
    <w:p w:rsidR="00C157C8" w:rsidRPr="00C157C8" w:rsidRDefault="00C157C8">
      <w:pPr>
        <w:pStyle w:val="Index2"/>
        <w:rPr>
          <w:rtl/>
        </w:rPr>
      </w:pPr>
      <w:r w:rsidRPr="00C157C8">
        <w:rPr>
          <w:rtl/>
          <w:lang w:bidi="he-IL"/>
        </w:rPr>
        <w:t>מה נחשב בכלל תבשיל</w:t>
      </w:r>
      <w:r w:rsidRPr="00C157C8">
        <w:rPr>
          <w:rtl/>
        </w:rPr>
        <w:tab/>
        <w:t>181</w:t>
      </w:r>
    </w:p>
    <w:p w:rsidR="00C157C8" w:rsidRPr="00C157C8" w:rsidRDefault="00C157C8">
      <w:pPr>
        <w:pStyle w:val="Index2"/>
        <w:rPr>
          <w:rtl/>
        </w:rPr>
      </w:pPr>
      <w:r w:rsidRPr="00C157C8">
        <w:rPr>
          <w:rtl/>
          <w:lang w:bidi="he-IL"/>
        </w:rPr>
        <w:t>נט</w:t>
      </w:r>
      <w:r w:rsidRPr="00C157C8">
        <w:rPr>
          <w:rtl/>
        </w:rPr>
        <w:t>"</w:t>
      </w:r>
      <w:r w:rsidRPr="00C157C8">
        <w:rPr>
          <w:rtl/>
          <w:lang w:bidi="he-IL"/>
        </w:rPr>
        <w:t>י לשמש</w:t>
      </w:r>
      <w:r w:rsidRPr="00C157C8">
        <w:rPr>
          <w:rtl/>
        </w:rPr>
        <w:tab/>
        <w:t>183</w:t>
      </w:r>
    </w:p>
    <w:p w:rsidR="00C157C8" w:rsidRPr="00C157C8" w:rsidRDefault="00C157C8">
      <w:pPr>
        <w:pStyle w:val="Index2"/>
        <w:rPr>
          <w:rtl/>
        </w:rPr>
      </w:pPr>
      <w:r w:rsidRPr="00C157C8">
        <w:rPr>
          <w:rtl/>
          <w:lang w:bidi="he-IL"/>
        </w:rPr>
        <w:t>סוגיית הגמ</w:t>
      </w:r>
      <w:r w:rsidRPr="00C157C8">
        <w:rPr>
          <w:rtl/>
        </w:rPr>
        <w:t>'</w:t>
      </w:r>
      <w:r w:rsidRPr="00C157C8">
        <w:rPr>
          <w:rtl/>
        </w:rPr>
        <w:tab/>
        <w:t>164</w:t>
      </w:r>
    </w:p>
    <w:p w:rsidR="00C157C8" w:rsidRPr="00C157C8" w:rsidRDefault="00C157C8">
      <w:pPr>
        <w:pStyle w:val="Index2"/>
        <w:rPr>
          <w:rtl/>
        </w:rPr>
      </w:pPr>
      <w:r w:rsidRPr="00C157C8">
        <w:rPr>
          <w:rtl/>
          <w:lang w:bidi="he-IL"/>
        </w:rPr>
        <w:t>סילוק השולחן</w:t>
      </w:r>
      <w:r w:rsidRPr="00C157C8">
        <w:rPr>
          <w:rtl/>
        </w:rPr>
        <w:tab/>
        <w:t>183</w:t>
      </w:r>
    </w:p>
    <w:p w:rsidR="00C157C8" w:rsidRPr="00C157C8" w:rsidRDefault="00C157C8">
      <w:pPr>
        <w:pStyle w:val="Index2"/>
        <w:rPr>
          <w:rtl/>
        </w:rPr>
      </w:pPr>
      <w:r w:rsidRPr="00C157C8">
        <w:rPr>
          <w:rtl/>
          <w:lang w:bidi="he-IL"/>
        </w:rPr>
        <w:t>ספיקות בקינוח והדחה</w:t>
      </w:r>
      <w:r w:rsidRPr="00C157C8">
        <w:rPr>
          <w:rtl/>
        </w:rPr>
        <w:tab/>
        <w:t>183</w:t>
      </w:r>
    </w:p>
    <w:p w:rsidR="00C157C8" w:rsidRPr="00C157C8" w:rsidRDefault="00C157C8">
      <w:pPr>
        <w:pStyle w:val="Index2"/>
        <w:rPr>
          <w:rtl/>
        </w:rPr>
      </w:pPr>
      <w:r w:rsidRPr="00C157C8">
        <w:rPr>
          <w:rtl/>
          <w:lang w:bidi="he-IL"/>
        </w:rPr>
        <w:t>קינוח והדחה</w:t>
      </w:r>
      <w:r w:rsidRPr="00C157C8">
        <w:rPr>
          <w:rtl/>
        </w:rPr>
        <w:tab/>
        <w:t>181</w:t>
      </w:r>
    </w:p>
    <w:p w:rsidR="00C157C8" w:rsidRPr="00C157C8" w:rsidRDefault="00C157C8">
      <w:pPr>
        <w:pStyle w:val="Index2"/>
        <w:rPr>
          <w:rtl/>
        </w:rPr>
      </w:pPr>
      <w:r w:rsidRPr="00C157C8">
        <w:rPr>
          <w:rtl/>
          <w:lang w:bidi="he-IL"/>
        </w:rPr>
        <w:t>שיטת הטור בדעת רש</w:t>
      </w:r>
      <w:r w:rsidRPr="00C157C8">
        <w:rPr>
          <w:rtl/>
        </w:rPr>
        <w:t>"</w:t>
      </w:r>
      <w:r w:rsidRPr="00C157C8">
        <w:rPr>
          <w:rtl/>
          <w:lang w:bidi="he-IL"/>
        </w:rPr>
        <w:t>י</w:t>
      </w:r>
      <w:r w:rsidRPr="00C157C8">
        <w:rPr>
          <w:rtl/>
        </w:rPr>
        <w:tab/>
        <w:t>166</w:t>
      </w:r>
    </w:p>
    <w:p w:rsidR="00C157C8" w:rsidRPr="00C157C8" w:rsidRDefault="00C157C8">
      <w:pPr>
        <w:pStyle w:val="Index2"/>
        <w:rPr>
          <w:rtl/>
        </w:rPr>
      </w:pPr>
      <w:r w:rsidRPr="00C157C8">
        <w:rPr>
          <w:rtl/>
          <w:lang w:bidi="he-IL"/>
        </w:rPr>
        <w:t>שיטת הרשב</w:t>
      </w:r>
      <w:r w:rsidRPr="00C157C8">
        <w:rPr>
          <w:rtl/>
        </w:rPr>
        <w:t>"</w:t>
      </w:r>
      <w:r w:rsidRPr="00C157C8">
        <w:rPr>
          <w:rtl/>
          <w:lang w:bidi="he-IL"/>
        </w:rPr>
        <w:t>ם</w:t>
      </w:r>
      <w:r w:rsidRPr="00C157C8">
        <w:rPr>
          <w:rtl/>
        </w:rPr>
        <w:tab/>
        <w:t>165</w:t>
      </w:r>
    </w:p>
    <w:p w:rsidR="00C157C8" w:rsidRPr="00C157C8" w:rsidRDefault="00C157C8">
      <w:pPr>
        <w:pStyle w:val="Index2"/>
        <w:rPr>
          <w:rtl/>
        </w:rPr>
      </w:pPr>
      <w:r w:rsidRPr="00C157C8">
        <w:rPr>
          <w:rtl/>
          <w:lang w:bidi="he-IL"/>
        </w:rPr>
        <w:t>שיטת ר</w:t>
      </w:r>
      <w:r w:rsidRPr="00C157C8">
        <w:rPr>
          <w:rtl/>
        </w:rPr>
        <w:t>"</w:t>
      </w:r>
      <w:r w:rsidRPr="00C157C8">
        <w:rPr>
          <w:rtl/>
          <w:lang w:bidi="he-IL"/>
        </w:rPr>
        <w:t>ת ובה</w:t>
      </w:r>
      <w:r w:rsidRPr="00C157C8">
        <w:rPr>
          <w:rtl/>
        </w:rPr>
        <w:t>"</w:t>
      </w:r>
      <w:r w:rsidRPr="00C157C8">
        <w:rPr>
          <w:rtl/>
          <w:lang w:bidi="he-IL"/>
        </w:rPr>
        <w:t>ג</w:t>
      </w:r>
      <w:r w:rsidRPr="00C157C8">
        <w:rPr>
          <w:rtl/>
        </w:rPr>
        <w:tab/>
        <w:t>164</w:t>
      </w:r>
    </w:p>
    <w:p w:rsidR="00C157C8" w:rsidRPr="00C157C8" w:rsidRDefault="00C157C8">
      <w:pPr>
        <w:pStyle w:val="Index2"/>
        <w:rPr>
          <w:rtl/>
        </w:rPr>
      </w:pPr>
      <w:r w:rsidRPr="00C157C8">
        <w:rPr>
          <w:rtl/>
          <w:lang w:bidi="he-IL"/>
        </w:rPr>
        <w:lastRenderedPageBreak/>
        <w:t>תוס</w:t>
      </w:r>
      <w:r w:rsidRPr="00C157C8">
        <w:rPr>
          <w:rtl/>
        </w:rPr>
        <w:t xml:space="preserve">' - </w:t>
      </w:r>
      <w:r w:rsidRPr="00C157C8">
        <w:rPr>
          <w:rtl/>
          <w:lang w:bidi="he-IL"/>
        </w:rPr>
        <w:t xml:space="preserve">הדעה הראשונה </w:t>
      </w:r>
      <w:r w:rsidRPr="00C157C8">
        <w:rPr>
          <w:rtl/>
        </w:rPr>
        <w:t>(</w:t>
      </w:r>
      <w:r w:rsidRPr="00C157C8">
        <w:rPr>
          <w:rtl/>
          <w:lang w:bidi="he-IL"/>
        </w:rPr>
        <w:t>ורש</w:t>
      </w:r>
      <w:r w:rsidRPr="00C157C8">
        <w:rPr>
          <w:rtl/>
        </w:rPr>
        <w:t>"</w:t>
      </w:r>
      <w:r w:rsidRPr="00C157C8">
        <w:rPr>
          <w:rtl/>
          <w:lang w:bidi="he-IL"/>
        </w:rPr>
        <w:t>י</w:t>
      </w:r>
      <w:r w:rsidRPr="00C157C8">
        <w:rPr>
          <w:rtl/>
        </w:rPr>
        <w:t>)</w:t>
      </w:r>
      <w:r w:rsidRPr="00C157C8">
        <w:rPr>
          <w:rtl/>
        </w:rPr>
        <w:tab/>
        <w:t>164</w:t>
      </w:r>
    </w:p>
    <w:p w:rsidR="00C157C8" w:rsidRPr="00C157C8" w:rsidRDefault="00C157C8">
      <w:pPr>
        <w:pStyle w:val="Index1"/>
        <w:rPr>
          <w:rtl/>
        </w:rPr>
      </w:pPr>
      <w:r w:rsidRPr="00C157C8">
        <w:rPr>
          <w:rtl/>
          <w:lang w:bidi="he-IL"/>
        </w:rPr>
        <w:t xml:space="preserve">בשר בחלב </w:t>
      </w:r>
      <w:r w:rsidRPr="00C157C8">
        <w:rPr>
          <w:rtl/>
        </w:rPr>
        <w:t xml:space="preserve">- </w:t>
      </w:r>
      <w:r w:rsidRPr="00C157C8">
        <w:rPr>
          <w:rtl/>
          <w:lang w:bidi="he-IL"/>
        </w:rPr>
        <w:t>קינוח והדחה</w:t>
      </w:r>
      <w:r w:rsidRPr="00C157C8">
        <w:rPr>
          <w:rtl/>
        </w:rPr>
        <w:tab/>
      </w:r>
      <w:r w:rsidRPr="00C157C8">
        <w:rPr>
          <w:i/>
          <w:rtl/>
          <w:lang w:bidi="he-IL"/>
        </w:rPr>
        <w:t>ע</w:t>
      </w:r>
      <w:r w:rsidRPr="00C157C8">
        <w:rPr>
          <w:i/>
          <w:rtl/>
        </w:rPr>
        <w:t xml:space="preserve">' </w:t>
      </w:r>
      <w:r w:rsidRPr="00C157C8">
        <w:rPr>
          <w:i/>
          <w:rtl/>
          <w:lang w:bidi="he-IL"/>
        </w:rPr>
        <w:t xml:space="preserve">בשר בחלב </w:t>
      </w:r>
      <w:r w:rsidRPr="00C157C8">
        <w:rPr>
          <w:i/>
          <w:rtl/>
        </w:rPr>
        <w:t xml:space="preserve">- </w:t>
      </w:r>
      <w:r w:rsidRPr="00C157C8">
        <w:rPr>
          <w:i/>
          <w:rtl/>
          <w:lang w:bidi="he-IL"/>
        </w:rPr>
        <w:t>חיוב המתנה</w:t>
      </w:r>
    </w:p>
    <w:p w:rsidR="00C157C8" w:rsidRPr="00C157C8" w:rsidRDefault="00C157C8">
      <w:pPr>
        <w:pStyle w:val="Index1"/>
        <w:rPr>
          <w:rtl/>
        </w:rPr>
      </w:pPr>
      <w:r w:rsidRPr="00C157C8">
        <w:rPr>
          <w:rtl/>
          <w:lang w:bidi="he-IL"/>
        </w:rPr>
        <w:t>בשר ודגים</w:t>
      </w:r>
    </w:p>
    <w:p w:rsidR="00C157C8" w:rsidRPr="00C157C8" w:rsidRDefault="00C157C8">
      <w:pPr>
        <w:pStyle w:val="Index2"/>
        <w:rPr>
          <w:rtl/>
        </w:rPr>
      </w:pPr>
      <w:r w:rsidRPr="00C157C8">
        <w:rPr>
          <w:rtl/>
          <w:lang w:bidi="he-IL"/>
        </w:rPr>
        <w:t>בבליעות בכלי</w:t>
      </w:r>
      <w:r w:rsidRPr="00C157C8">
        <w:rPr>
          <w:rtl/>
        </w:rPr>
        <w:tab/>
        <w:t>269</w:t>
      </w:r>
    </w:p>
    <w:p w:rsidR="00C157C8" w:rsidRPr="00C157C8" w:rsidRDefault="00C157C8">
      <w:pPr>
        <w:pStyle w:val="Index1"/>
        <w:rPr>
          <w:rtl/>
        </w:rPr>
      </w:pPr>
      <w:r w:rsidRPr="00C157C8">
        <w:rPr>
          <w:rtl/>
          <w:lang w:bidi="he-IL"/>
        </w:rPr>
        <w:t>גבינת עכו</w:t>
      </w:r>
      <w:r w:rsidRPr="00C157C8">
        <w:rPr>
          <w:rtl/>
        </w:rPr>
        <w:t>"</w:t>
      </w:r>
      <w:r w:rsidRPr="00C157C8">
        <w:rPr>
          <w:rtl/>
          <w:lang w:bidi="he-IL"/>
        </w:rPr>
        <w:t>ם</w:t>
      </w:r>
    </w:p>
    <w:p w:rsidR="00C157C8" w:rsidRPr="00C157C8" w:rsidRDefault="00C157C8">
      <w:pPr>
        <w:pStyle w:val="Index2"/>
        <w:rPr>
          <w:rtl/>
        </w:rPr>
      </w:pPr>
      <w:r w:rsidRPr="00C157C8">
        <w:rPr>
          <w:rtl/>
          <w:lang w:bidi="he-IL"/>
        </w:rPr>
        <w:t>אי מהני לה ראיית ישראל</w:t>
      </w:r>
      <w:r w:rsidRPr="00C157C8">
        <w:rPr>
          <w:rtl/>
        </w:rPr>
        <w:tab/>
        <w:t>542</w:t>
      </w:r>
    </w:p>
    <w:p w:rsidR="00C157C8" w:rsidRPr="00C157C8" w:rsidRDefault="00C157C8">
      <w:pPr>
        <w:pStyle w:val="Index2"/>
        <w:rPr>
          <w:rtl/>
        </w:rPr>
      </w:pPr>
      <w:r w:rsidRPr="00C157C8">
        <w:rPr>
          <w:rtl/>
          <w:lang w:bidi="he-IL"/>
        </w:rPr>
        <w:t>גבינת קוטג</w:t>
      </w:r>
      <w:r w:rsidRPr="00C157C8">
        <w:rPr>
          <w:rtl/>
        </w:rPr>
        <w:t>'</w:t>
      </w:r>
      <w:r w:rsidRPr="00C157C8">
        <w:rPr>
          <w:rtl/>
        </w:rPr>
        <w:tab/>
        <w:t>547</w:t>
      </w:r>
    </w:p>
    <w:p w:rsidR="00C157C8" w:rsidRPr="00C157C8" w:rsidRDefault="00C157C8">
      <w:pPr>
        <w:pStyle w:val="Index2"/>
        <w:rPr>
          <w:rtl/>
        </w:rPr>
      </w:pPr>
      <w:r w:rsidRPr="00C157C8">
        <w:rPr>
          <w:rtl/>
          <w:lang w:bidi="he-IL"/>
        </w:rPr>
        <w:t>גדר הגזרה</w:t>
      </w:r>
      <w:r w:rsidRPr="00C157C8">
        <w:rPr>
          <w:rtl/>
        </w:rPr>
        <w:tab/>
        <w:t>546</w:t>
      </w:r>
    </w:p>
    <w:p w:rsidR="00C157C8" w:rsidRPr="00C157C8" w:rsidRDefault="00C157C8">
      <w:pPr>
        <w:pStyle w:val="Index2"/>
        <w:rPr>
          <w:rtl/>
        </w:rPr>
      </w:pPr>
      <w:r w:rsidRPr="00C157C8">
        <w:rPr>
          <w:rtl/>
          <w:lang w:bidi="he-IL"/>
        </w:rPr>
        <w:t>גדר וטעם האיסור</w:t>
      </w:r>
      <w:r w:rsidRPr="00C157C8">
        <w:rPr>
          <w:rtl/>
        </w:rPr>
        <w:tab/>
        <w:t>535</w:t>
      </w:r>
    </w:p>
    <w:p w:rsidR="00C157C8" w:rsidRPr="00C157C8" w:rsidRDefault="00C157C8">
      <w:pPr>
        <w:pStyle w:val="Index2"/>
        <w:rPr>
          <w:rtl/>
        </w:rPr>
      </w:pPr>
      <w:r w:rsidRPr="00C157C8">
        <w:rPr>
          <w:rtl/>
          <w:lang w:bidi="he-IL"/>
        </w:rPr>
        <w:t>הערות בסימן קט</w:t>
      </w:r>
      <w:r w:rsidRPr="00C157C8">
        <w:rPr>
          <w:rtl/>
        </w:rPr>
        <w:t>"</w:t>
      </w:r>
      <w:r w:rsidRPr="00C157C8">
        <w:rPr>
          <w:rtl/>
          <w:lang w:bidi="he-IL"/>
        </w:rPr>
        <w:t>ו</w:t>
      </w:r>
      <w:r w:rsidRPr="00C157C8">
        <w:rPr>
          <w:rtl/>
        </w:rPr>
        <w:tab/>
        <w:t>548</w:t>
      </w:r>
    </w:p>
    <w:p w:rsidR="00C157C8" w:rsidRPr="00C157C8" w:rsidRDefault="00C157C8">
      <w:pPr>
        <w:pStyle w:val="Index2"/>
        <w:rPr>
          <w:rtl/>
        </w:rPr>
      </w:pPr>
      <w:r w:rsidRPr="00C157C8">
        <w:rPr>
          <w:rtl/>
          <w:lang w:bidi="he-IL"/>
        </w:rPr>
        <w:t>שיטות הראשונים למעשה בדין וטעם גבינת עכו</w:t>
      </w:r>
      <w:r w:rsidRPr="00C157C8">
        <w:rPr>
          <w:rtl/>
        </w:rPr>
        <w:t>"</w:t>
      </w:r>
      <w:r w:rsidRPr="00C157C8">
        <w:rPr>
          <w:rtl/>
          <w:lang w:bidi="he-IL"/>
        </w:rPr>
        <w:t>ם</w:t>
      </w:r>
      <w:r w:rsidRPr="00C157C8">
        <w:rPr>
          <w:rtl/>
        </w:rPr>
        <w:tab/>
        <w:t>539</w:t>
      </w:r>
    </w:p>
    <w:p w:rsidR="00C157C8" w:rsidRPr="00C157C8" w:rsidRDefault="00C157C8">
      <w:pPr>
        <w:pStyle w:val="Index1"/>
        <w:rPr>
          <w:rtl/>
        </w:rPr>
      </w:pPr>
      <w:r w:rsidRPr="00C157C8">
        <w:rPr>
          <w:rtl/>
          <w:lang w:bidi="he-IL"/>
        </w:rPr>
        <w:t>דבר גוש</w:t>
      </w:r>
      <w:r w:rsidRPr="00C157C8">
        <w:rPr>
          <w:rtl/>
        </w:rPr>
        <w:tab/>
      </w:r>
      <w:r w:rsidRPr="00C157C8">
        <w:rPr>
          <w:rtl/>
          <w:lang w:bidi="he-IL"/>
        </w:rPr>
        <w:t>ע</w:t>
      </w:r>
      <w:r w:rsidRPr="00C157C8">
        <w:rPr>
          <w:rtl/>
        </w:rPr>
        <w:t xml:space="preserve">' </w:t>
      </w:r>
      <w:r w:rsidRPr="00C157C8">
        <w:rPr>
          <w:rtl/>
          <w:lang w:bidi="he-IL"/>
        </w:rPr>
        <w:t>כלי שני</w:t>
      </w:r>
    </w:p>
    <w:p w:rsidR="00C157C8" w:rsidRPr="00C157C8" w:rsidRDefault="00C157C8">
      <w:pPr>
        <w:pStyle w:val="Index1"/>
        <w:rPr>
          <w:rtl/>
        </w:rPr>
      </w:pPr>
      <w:r w:rsidRPr="00C157C8">
        <w:rPr>
          <w:rtl/>
          <w:lang w:bidi="he-IL"/>
        </w:rPr>
        <w:t>דבר חריף</w:t>
      </w:r>
    </w:p>
    <w:p w:rsidR="00C157C8" w:rsidRPr="00C157C8" w:rsidRDefault="00C157C8">
      <w:pPr>
        <w:pStyle w:val="Index2"/>
        <w:rPr>
          <w:rtl/>
        </w:rPr>
      </w:pPr>
      <w:r w:rsidRPr="00C157C8">
        <w:rPr>
          <w:rtl/>
          <w:lang w:bidi="he-IL"/>
        </w:rPr>
        <w:t>אי מהני בה טעימה</w:t>
      </w:r>
      <w:r w:rsidRPr="00C157C8">
        <w:rPr>
          <w:rtl/>
        </w:rPr>
        <w:tab/>
        <w:t>281</w:t>
      </w:r>
    </w:p>
    <w:p w:rsidR="00C157C8" w:rsidRPr="00C157C8" w:rsidRDefault="00C157C8">
      <w:pPr>
        <w:pStyle w:val="Index2"/>
        <w:rPr>
          <w:rtl/>
        </w:rPr>
      </w:pPr>
      <w:r w:rsidRPr="00C157C8">
        <w:rPr>
          <w:rtl/>
          <w:lang w:bidi="he-IL"/>
        </w:rPr>
        <w:t>אי מחליא לשבח</w:t>
      </w:r>
      <w:r w:rsidRPr="00C157C8">
        <w:rPr>
          <w:rtl/>
        </w:rPr>
        <w:tab/>
        <w:t>155, 282</w:t>
      </w:r>
    </w:p>
    <w:p w:rsidR="00C157C8" w:rsidRPr="00C157C8" w:rsidRDefault="00C157C8">
      <w:pPr>
        <w:pStyle w:val="Index2"/>
        <w:rPr>
          <w:rtl/>
        </w:rPr>
      </w:pPr>
      <w:r w:rsidRPr="00C157C8">
        <w:rPr>
          <w:rtl/>
          <w:lang w:bidi="he-IL"/>
        </w:rPr>
        <w:t>אם יש בה היתר של נ</w:t>
      </w:r>
      <w:r w:rsidRPr="00C157C8">
        <w:rPr>
          <w:rtl/>
        </w:rPr>
        <w:t>"</w:t>
      </w:r>
      <w:r w:rsidRPr="00C157C8">
        <w:rPr>
          <w:rtl/>
          <w:lang w:bidi="he-IL"/>
        </w:rPr>
        <w:t>ט בר נ</w:t>
      </w:r>
      <w:r w:rsidRPr="00C157C8">
        <w:rPr>
          <w:rtl/>
        </w:rPr>
        <w:t>"</w:t>
      </w:r>
      <w:r w:rsidRPr="00C157C8">
        <w:rPr>
          <w:rtl/>
          <w:lang w:bidi="he-IL"/>
        </w:rPr>
        <w:t xml:space="preserve">ט </w:t>
      </w:r>
      <w:r w:rsidRPr="00C157C8">
        <w:rPr>
          <w:rtl/>
        </w:rPr>
        <w:t xml:space="preserve">- </w:t>
      </w:r>
      <w:r w:rsidRPr="00C157C8">
        <w:rPr>
          <w:rtl/>
          <w:lang w:bidi="he-IL"/>
        </w:rPr>
        <w:t>שיטת הרמ</w:t>
      </w:r>
      <w:r w:rsidRPr="00C157C8">
        <w:rPr>
          <w:rtl/>
        </w:rPr>
        <w:t>"</w:t>
      </w:r>
      <w:r w:rsidRPr="00C157C8">
        <w:rPr>
          <w:rtl/>
          <w:lang w:bidi="he-IL"/>
        </w:rPr>
        <w:t>א</w:t>
      </w:r>
      <w:r w:rsidRPr="00C157C8">
        <w:rPr>
          <w:rtl/>
        </w:rPr>
        <w:tab/>
        <w:t>272</w:t>
      </w:r>
    </w:p>
    <w:p w:rsidR="00C157C8" w:rsidRPr="00C157C8" w:rsidRDefault="00C157C8">
      <w:pPr>
        <w:pStyle w:val="Index2"/>
        <w:rPr>
          <w:rtl/>
        </w:rPr>
      </w:pPr>
      <w:r w:rsidRPr="00C157C8">
        <w:rPr>
          <w:rtl/>
          <w:lang w:bidi="he-IL"/>
        </w:rPr>
        <w:t>בנ</w:t>
      </w:r>
      <w:r w:rsidRPr="00C157C8">
        <w:rPr>
          <w:rtl/>
        </w:rPr>
        <w:t>"</w:t>
      </w:r>
      <w:r w:rsidRPr="00C157C8">
        <w:rPr>
          <w:rtl/>
          <w:lang w:bidi="he-IL"/>
        </w:rPr>
        <w:t>ט בר נ</w:t>
      </w:r>
      <w:r w:rsidRPr="00C157C8">
        <w:rPr>
          <w:rtl/>
        </w:rPr>
        <w:t>"</w:t>
      </w:r>
      <w:r w:rsidRPr="00C157C8">
        <w:rPr>
          <w:rtl/>
          <w:lang w:bidi="he-IL"/>
        </w:rPr>
        <w:t>ט</w:t>
      </w:r>
      <w:r w:rsidRPr="00C157C8">
        <w:rPr>
          <w:rtl/>
        </w:rPr>
        <w:tab/>
        <w:t>287</w:t>
      </w:r>
    </w:p>
    <w:p w:rsidR="00C157C8" w:rsidRPr="00C157C8" w:rsidRDefault="00C157C8">
      <w:pPr>
        <w:pStyle w:val="Index2"/>
        <w:rPr>
          <w:rtl/>
        </w:rPr>
      </w:pPr>
      <w:r w:rsidRPr="00C157C8">
        <w:rPr>
          <w:rtl/>
          <w:lang w:bidi="he-IL"/>
        </w:rPr>
        <w:t>בתוך תבשיל שאינו חריף</w:t>
      </w:r>
      <w:r w:rsidRPr="00C157C8">
        <w:rPr>
          <w:rtl/>
        </w:rPr>
        <w:tab/>
        <w:t>361</w:t>
      </w:r>
    </w:p>
    <w:p w:rsidR="00C157C8" w:rsidRPr="00C157C8" w:rsidRDefault="00C157C8">
      <w:pPr>
        <w:pStyle w:val="Index2"/>
        <w:rPr>
          <w:rtl/>
        </w:rPr>
      </w:pPr>
      <w:r w:rsidRPr="00C157C8">
        <w:rPr>
          <w:rtl/>
          <w:lang w:bidi="he-IL"/>
        </w:rPr>
        <w:t>דוחקא דסכינא</w:t>
      </w:r>
      <w:r w:rsidRPr="00C157C8">
        <w:rPr>
          <w:rtl/>
        </w:rPr>
        <w:tab/>
        <w:t>155</w:t>
      </w:r>
    </w:p>
    <w:p w:rsidR="00C157C8" w:rsidRPr="00C157C8" w:rsidRDefault="00C157C8">
      <w:pPr>
        <w:pStyle w:val="Index2"/>
        <w:rPr>
          <w:rtl/>
        </w:rPr>
      </w:pPr>
      <w:r w:rsidRPr="00C157C8">
        <w:rPr>
          <w:rtl/>
          <w:lang w:bidi="he-IL"/>
        </w:rPr>
        <w:t>דין לימוני</w:t>
      </w:r>
      <w:r w:rsidRPr="00C157C8">
        <w:rPr>
          <w:rtl/>
        </w:rPr>
        <w:t>"</w:t>
      </w:r>
      <w:r w:rsidRPr="00C157C8">
        <w:rPr>
          <w:rtl/>
          <w:lang w:bidi="he-IL"/>
        </w:rPr>
        <w:t>ש</w:t>
      </w:r>
      <w:r w:rsidRPr="00C157C8">
        <w:rPr>
          <w:rtl/>
        </w:rPr>
        <w:tab/>
        <w:t>291</w:t>
      </w:r>
    </w:p>
    <w:p w:rsidR="00C157C8" w:rsidRPr="00C157C8" w:rsidRDefault="00C157C8">
      <w:pPr>
        <w:pStyle w:val="Index2"/>
        <w:rPr>
          <w:rtl/>
        </w:rPr>
      </w:pPr>
      <w:r w:rsidRPr="00C157C8">
        <w:rPr>
          <w:rtl/>
          <w:lang w:bidi="he-IL"/>
        </w:rPr>
        <w:t>האם מחמירים בה את כל החומרות</w:t>
      </w:r>
      <w:r w:rsidRPr="00C157C8">
        <w:rPr>
          <w:rtl/>
        </w:rPr>
        <w:tab/>
        <w:t>286</w:t>
      </w:r>
    </w:p>
    <w:p w:rsidR="00C157C8" w:rsidRPr="00C157C8" w:rsidRDefault="00C157C8">
      <w:pPr>
        <w:pStyle w:val="Index2"/>
        <w:rPr>
          <w:rtl/>
        </w:rPr>
      </w:pPr>
      <w:r w:rsidRPr="00C157C8">
        <w:rPr>
          <w:rtl/>
          <w:lang w:bidi="he-IL"/>
        </w:rPr>
        <w:t>החומרות שנאמרו בה לדינא</w:t>
      </w:r>
      <w:r w:rsidRPr="00C157C8">
        <w:rPr>
          <w:rtl/>
        </w:rPr>
        <w:tab/>
        <w:t>283</w:t>
      </w:r>
    </w:p>
    <w:p w:rsidR="00C157C8" w:rsidRPr="00C157C8" w:rsidRDefault="00C157C8">
      <w:pPr>
        <w:pStyle w:val="Index2"/>
        <w:rPr>
          <w:rtl/>
        </w:rPr>
      </w:pPr>
      <w:r w:rsidRPr="00C157C8">
        <w:rPr>
          <w:rtl/>
          <w:lang w:bidi="he-IL"/>
        </w:rPr>
        <w:t>חתכן בסכין של איסור ושוב בישלו בתבשיל שיש ס</w:t>
      </w:r>
      <w:r w:rsidRPr="00C157C8">
        <w:rPr>
          <w:rtl/>
        </w:rPr>
        <w:t xml:space="preserve">' </w:t>
      </w:r>
      <w:r w:rsidRPr="00C157C8">
        <w:rPr>
          <w:rtl/>
          <w:lang w:bidi="he-IL"/>
        </w:rPr>
        <w:t>כנגדו</w:t>
      </w:r>
      <w:r w:rsidRPr="00C157C8">
        <w:rPr>
          <w:rtl/>
        </w:rPr>
        <w:tab/>
        <w:t>290</w:t>
      </w:r>
    </w:p>
    <w:p w:rsidR="00C157C8" w:rsidRPr="00C157C8" w:rsidRDefault="00C157C8">
      <w:pPr>
        <w:pStyle w:val="Index2"/>
        <w:rPr>
          <w:rtl/>
        </w:rPr>
      </w:pPr>
      <w:r w:rsidRPr="00C157C8">
        <w:rPr>
          <w:rtl/>
          <w:lang w:bidi="he-IL"/>
        </w:rPr>
        <w:t>כשרובו דבר חריף</w:t>
      </w:r>
      <w:r w:rsidRPr="00C157C8">
        <w:rPr>
          <w:rtl/>
        </w:rPr>
        <w:tab/>
        <w:t>273</w:t>
      </w:r>
    </w:p>
    <w:p w:rsidR="00C157C8" w:rsidRPr="00C157C8" w:rsidRDefault="00C157C8">
      <w:pPr>
        <w:pStyle w:val="Index2"/>
        <w:rPr>
          <w:rtl/>
        </w:rPr>
      </w:pPr>
      <w:r w:rsidRPr="00C157C8">
        <w:rPr>
          <w:rtl/>
          <w:lang w:bidi="he-IL"/>
        </w:rPr>
        <w:t>מהו</w:t>
      </w:r>
      <w:r w:rsidRPr="00C157C8">
        <w:rPr>
          <w:rtl/>
        </w:rPr>
        <w:tab/>
        <w:t>283, 290</w:t>
      </w:r>
    </w:p>
    <w:p w:rsidR="00C157C8" w:rsidRPr="00C157C8" w:rsidRDefault="00C157C8">
      <w:pPr>
        <w:pStyle w:val="Index2"/>
        <w:rPr>
          <w:rtl/>
        </w:rPr>
      </w:pPr>
      <w:r w:rsidRPr="00C157C8">
        <w:rPr>
          <w:rtl/>
          <w:lang w:bidi="he-IL"/>
        </w:rPr>
        <w:t>עם דוחקא דסכינא</w:t>
      </w:r>
      <w:r w:rsidRPr="00C157C8">
        <w:rPr>
          <w:rtl/>
        </w:rPr>
        <w:tab/>
        <w:t>280</w:t>
      </w:r>
    </w:p>
    <w:p w:rsidR="00C157C8" w:rsidRPr="00C157C8" w:rsidRDefault="00C157C8">
      <w:pPr>
        <w:pStyle w:val="Index2"/>
        <w:rPr>
          <w:rtl/>
        </w:rPr>
      </w:pPr>
      <w:r w:rsidRPr="00C157C8">
        <w:rPr>
          <w:rtl/>
          <w:lang w:bidi="he-IL"/>
        </w:rPr>
        <w:t xml:space="preserve">עם דוחקא דסכינא </w:t>
      </w:r>
      <w:r w:rsidRPr="00C157C8">
        <w:rPr>
          <w:rtl/>
        </w:rPr>
        <w:t xml:space="preserve">- </w:t>
      </w:r>
      <w:r w:rsidRPr="00C157C8">
        <w:rPr>
          <w:rtl/>
          <w:lang w:bidi="he-IL"/>
        </w:rPr>
        <w:t>עד כמה בולע</w:t>
      </w:r>
      <w:r w:rsidRPr="00C157C8">
        <w:rPr>
          <w:rtl/>
        </w:rPr>
        <w:tab/>
        <w:t>280</w:t>
      </w:r>
    </w:p>
    <w:p w:rsidR="00C157C8" w:rsidRPr="00C157C8" w:rsidRDefault="00C157C8">
      <w:pPr>
        <w:pStyle w:val="Index1"/>
        <w:rPr>
          <w:rtl/>
        </w:rPr>
      </w:pPr>
      <w:r w:rsidRPr="00C157C8">
        <w:rPr>
          <w:rtl/>
          <w:lang w:bidi="he-IL"/>
        </w:rPr>
        <w:t>דבר שאינו מתכוין</w:t>
      </w:r>
    </w:p>
    <w:p w:rsidR="00C157C8" w:rsidRPr="00C157C8" w:rsidRDefault="00C157C8">
      <w:pPr>
        <w:pStyle w:val="Index2"/>
        <w:rPr>
          <w:rtl/>
        </w:rPr>
      </w:pPr>
      <w:r w:rsidRPr="00C157C8">
        <w:rPr>
          <w:rtl/>
          <w:lang w:bidi="he-IL"/>
        </w:rPr>
        <w:t>בבישול עכו</w:t>
      </w:r>
      <w:r w:rsidRPr="00C157C8">
        <w:rPr>
          <w:rtl/>
        </w:rPr>
        <w:t>"</w:t>
      </w:r>
      <w:r w:rsidRPr="00C157C8">
        <w:rPr>
          <w:rtl/>
          <w:lang w:bidi="he-IL"/>
        </w:rPr>
        <w:t>ם</w:t>
      </w:r>
      <w:r w:rsidRPr="00C157C8">
        <w:rPr>
          <w:rtl/>
        </w:rPr>
        <w:tab/>
        <w:t>556</w:t>
      </w:r>
    </w:p>
    <w:p w:rsidR="00C157C8" w:rsidRPr="00C157C8" w:rsidRDefault="00C157C8">
      <w:pPr>
        <w:pStyle w:val="Index2"/>
        <w:rPr>
          <w:rtl/>
        </w:rPr>
      </w:pPr>
      <w:r w:rsidRPr="00C157C8">
        <w:rPr>
          <w:rtl/>
          <w:lang w:bidi="he-IL"/>
        </w:rPr>
        <w:t>כשמכוין לב</w:t>
      </w:r>
      <w:r w:rsidRPr="00C157C8">
        <w:rPr>
          <w:rtl/>
        </w:rPr>
        <w:t xml:space="preserve">' </w:t>
      </w:r>
      <w:r w:rsidRPr="00C157C8">
        <w:rPr>
          <w:rtl/>
          <w:lang w:bidi="he-IL"/>
        </w:rPr>
        <w:t>דברים והעיקר לחד מינייהו</w:t>
      </w:r>
      <w:r w:rsidRPr="00C157C8">
        <w:rPr>
          <w:rtl/>
        </w:rPr>
        <w:tab/>
        <w:t>556</w:t>
      </w:r>
    </w:p>
    <w:p w:rsidR="00C157C8" w:rsidRPr="00C157C8" w:rsidRDefault="00C157C8">
      <w:pPr>
        <w:pStyle w:val="Index2"/>
        <w:rPr>
          <w:rtl/>
        </w:rPr>
      </w:pPr>
      <w:r w:rsidRPr="00C157C8">
        <w:rPr>
          <w:rtl/>
          <w:lang w:bidi="he-IL"/>
        </w:rPr>
        <w:t>פסיק רישא באיסורי הנאה</w:t>
      </w:r>
      <w:r w:rsidRPr="00C157C8">
        <w:rPr>
          <w:rtl/>
        </w:rPr>
        <w:tab/>
        <w:t>124</w:t>
      </w:r>
    </w:p>
    <w:p w:rsidR="00C157C8" w:rsidRPr="00C157C8" w:rsidRDefault="00C157C8">
      <w:pPr>
        <w:pStyle w:val="Index2"/>
        <w:rPr>
          <w:rtl/>
        </w:rPr>
      </w:pPr>
      <w:r w:rsidRPr="00C157C8">
        <w:rPr>
          <w:rtl/>
          <w:lang w:bidi="he-IL"/>
        </w:rPr>
        <w:t>פסיק רישא לשעבר</w:t>
      </w:r>
      <w:r w:rsidRPr="00C157C8">
        <w:rPr>
          <w:rtl/>
        </w:rPr>
        <w:tab/>
        <w:t>201</w:t>
      </w:r>
    </w:p>
    <w:p w:rsidR="00C157C8" w:rsidRPr="00C157C8" w:rsidRDefault="00C157C8">
      <w:pPr>
        <w:pStyle w:val="Index1"/>
        <w:rPr>
          <w:rtl/>
        </w:rPr>
      </w:pPr>
      <w:r w:rsidRPr="00C157C8">
        <w:rPr>
          <w:rtl/>
          <w:lang w:bidi="he-IL"/>
        </w:rPr>
        <w:t>דבר שיש לו מתירין</w:t>
      </w:r>
    </w:p>
    <w:p w:rsidR="00C157C8" w:rsidRPr="00C157C8" w:rsidRDefault="00C157C8">
      <w:pPr>
        <w:pStyle w:val="Index2"/>
        <w:rPr>
          <w:rtl/>
        </w:rPr>
      </w:pPr>
      <w:r w:rsidRPr="00C157C8">
        <w:rPr>
          <w:rtl/>
          <w:lang w:bidi="he-IL"/>
        </w:rPr>
        <w:t>אם חמץ חשוב דשיל</w:t>
      </w:r>
      <w:r w:rsidRPr="00C157C8">
        <w:rPr>
          <w:rtl/>
        </w:rPr>
        <w:t>"</w:t>
      </w:r>
      <w:r w:rsidRPr="00C157C8">
        <w:rPr>
          <w:rtl/>
          <w:lang w:bidi="he-IL"/>
        </w:rPr>
        <w:t>מ</w:t>
      </w:r>
      <w:r w:rsidRPr="00C157C8">
        <w:rPr>
          <w:rtl/>
        </w:rPr>
        <w:tab/>
        <w:t>344</w:t>
      </w:r>
    </w:p>
    <w:p w:rsidR="00C157C8" w:rsidRPr="00C157C8" w:rsidRDefault="00C157C8">
      <w:pPr>
        <w:pStyle w:val="Index2"/>
        <w:rPr>
          <w:rtl/>
        </w:rPr>
      </w:pPr>
      <w:r w:rsidRPr="00C157C8">
        <w:rPr>
          <w:rtl/>
          <w:lang w:bidi="he-IL"/>
        </w:rPr>
        <w:t>בביצת ספק טריפה</w:t>
      </w:r>
      <w:r w:rsidRPr="00C157C8">
        <w:rPr>
          <w:rtl/>
        </w:rPr>
        <w:tab/>
        <w:t>349</w:t>
      </w:r>
    </w:p>
    <w:p w:rsidR="00C157C8" w:rsidRPr="00C157C8" w:rsidRDefault="00C157C8">
      <w:pPr>
        <w:pStyle w:val="Index2"/>
        <w:rPr>
          <w:rtl/>
        </w:rPr>
      </w:pPr>
      <w:r w:rsidRPr="00C157C8">
        <w:rPr>
          <w:rtl/>
          <w:lang w:bidi="he-IL"/>
        </w:rPr>
        <w:t>בכלים הבלועים איסור</w:t>
      </w:r>
      <w:r w:rsidRPr="00C157C8">
        <w:rPr>
          <w:rtl/>
        </w:rPr>
        <w:tab/>
        <w:t>349</w:t>
      </w:r>
    </w:p>
    <w:p w:rsidR="00C157C8" w:rsidRPr="00C157C8" w:rsidRDefault="00C157C8">
      <w:pPr>
        <w:pStyle w:val="Index2"/>
        <w:rPr>
          <w:rtl/>
        </w:rPr>
      </w:pPr>
      <w:r w:rsidRPr="00C157C8">
        <w:rPr>
          <w:rtl/>
          <w:lang w:bidi="he-IL"/>
        </w:rPr>
        <w:t>בשאר דיני תורה</w:t>
      </w:r>
      <w:r w:rsidRPr="00C157C8">
        <w:rPr>
          <w:rtl/>
        </w:rPr>
        <w:tab/>
        <w:t>348</w:t>
      </w:r>
    </w:p>
    <w:p w:rsidR="00C157C8" w:rsidRPr="00C157C8" w:rsidRDefault="00C157C8">
      <w:pPr>
        <w:pStyle w:val="Index2"/>
        <w:rPr>
          <w:rtl/>
        </w:rPr>
      </w:pPr>
      <w:r w:rsidRPr="00C157C8">
        <w:rPr>
          <w:rtl/>
          <w:lang w:bidi="he-IL"/>
        </w:rPr>
        <w:t>בשפך מאכל לא מבושל לתוך תבשיל בשבת</w:t>
      </w:r>
      <w:r w:rsidRPr="00C157C8">
        <w:rPr>
          <w:rtl/>
        </w:rPr>
        <w:tab/>
        <w:t>356</w:t>
      </w:r>
    </w:p>
    <w:p w:rsidR="00C157C8" w:rsidRPr="00C157C8" w:rsidRDefault="00C157C8">
      <w:pPr>
        <w:pStyle w:val="Index2"/>
        <w:rPr>
          <w:rtl/>
        </w:rPr>
      </w:pPr>
      <w:r w:rsidRPr="00C157C8">
        <w:rPr>
          <w:rtl/>
          <w:lang w:bidi="he-IL"/>
        </w:rPr>
        <w:t>המתנת ו</w:t>
      </w:r>
      <w:r w:rsidRPr="00C157C8">
        <w:rPr>
          <w:rtl/>
        </w:rPr>
        <w:t xml:space="preserve">' </w:t>
      </w:r>
      <w:r w:rsidRPr="00C157C8">
        <w:rPr>
          <w:rtl/>
          <w:lang w:bidi="he-IL"/>
        </w:rPr>
        <w:t>שעות בין בשר לחלב</w:t>
      </w:r>
      <w:r w:rsidRPr="00C157C8">
        <w:rPr>
          <w:rtl/>
        </w:rPr>
        <w:tab/>
        <w:t>356</w:t>
      </w:r>
    </w:p>
    <w:p w:rsidR="00C157C8" w:rsidRPr="00C157C8" w:rsidRDefault="00C157C8">
      <w:pPr>
        <w:pStyle w:val="Index2"/>
        <w:rPr>
          <w:rtl/>
        </w:rPr>
      </w:pPr>
      <w:r w:rsidRPr="00C157C8">
        <w:rPr>
          <w:rtl/>
          <w:lang w:bidi="he-IL"/>
        </w:rPr>
        <w:t>חידושו של הצל</w:t>
      </w:r>
      <w:r w:rsidRPr="00C157C8">
        <w:rPr>
          <w:rtl/>
        </w:rPr>
        <w:t>"</w:t>
      </w:r>
      <w:r w:rsidRPr="00C157C8">
        <w:rPr>
          <w:rtl/>
          <w:lang w:bidi="he-IL"/>
        </w:rPr>
        <w:t>ח</w:t>
      </w:r>
      <w:r w:rsidRPr="00C157C8">
        <w:rPr>
          <w:rtl/>
        </w:rPr>
        <w:tab/>
        <w:t>346</w:t>
      </w:r>
    </w:p>
    <w:p w:rsidR="00C157C8" w:rsidRPr="00C157C8" w:rsidRDefault="00C157C8">
      <w:pPr>
        <w:pStyle w:val="Index2"/>
        <w:rPr>
          <w:rtl/>
        </w:rPr>
      </w:pPr>
      <w:r w:rsidRPr="00C157C8">
        <w:rPr>
          <w:rtl/>
          <w:lang w:bidi="he-IL"/>
        </w:rPr>
        <w:t>טעם חומרתה</w:t>
      </w:r>
      <w:r w:rsidRPr="00C157C8">
        <w:rPr>
          <w:rtl/>
        </w:rPr>
        <w:tab/>
        <w:t>340</w:t>
      </w:r>
    </w:p>
    <w:p w:rsidR="00C157C8" w:rsidRPr="00C157C8" w:rsidRDefault="00C157C8">
      <w:pPr>
        <w:pStyle w:val="Index2"/>
        <w:rPr>
          <w:rtl/>
        </w:rPr>
      </w:pPr>
      <w:r w:rsidRPr="00C157C8">
        <w:rPr>
          <w:rtl/>
          <w:lang w:bidi="he-IL"/>
        </w:rPr>
        <w:t>כשאינו אלא טעם איסור</w:t>
      </w:r>
      <w:r w:rsidRPr="00C157C8">
        <w:rPr>
          <w:rtl/>
        </w:rPr>
        <w:tab/>
        <w:t>352</w:t>
      </w:r>
    </w:p>
    <w:p w:rsidR="00C157C8" w:rsidRPr="00C157C8" w:rsidRDefault="00C157C8">
      <w:pPr>
        <w:pStyle w:val="Index2"/>
        <w:rPr>
          <w:rtl/>
        </w:rPr>
      </w:pPr>
      <w:r w:rsidRPr="00C157C8">
        <w:rPr>
          <w:rtl/>
          <w:lang w:bidi="he-IL"/>
        </w:rPr>
        <w:t>כשאינו אסור מחמת עצמו</w:t>
      </w:r>
      <w:r w:rsidRPr="00C157C8">
        <w:rPr>
          <w:rtl/>
        </w:rPr>
        <w:tab/>
        <w:t>353</w:t>
      </w:r>
    </w:p>
    <w:p w:rsidR="00C157C8" w:rsidRPr="00C157C8" w:rsidRDefault="00C157C8">
      <w:pPr>
        <w:pStyle w:val="Index2"/>
        <w:rPr>
          <w:rtl/>
        </w:rPr>
      </w:pPr>
      <w:r w:rsidRPr="00C157C8">
        <w:rPr>
          <w:rtl/>
          <w:lang w:bidi="he-IL"/>
        </w:rPr>
        <w:t>כשחוזר לאיסורו</w:t>
      </w:r>
      <w:r w:rsidRPr="00C157C8">
        <w:rPr>
          <w:rtl/>
        </w:rPr>
        <w:tab/>
        <w:t>346</w:t>
      </w:r>
    </w:p>
    <w:p w:rsidR="00C157C8" w:rsidRPr="00C157C8" w:rsidRDefault="00C157C8">
      <w:pPr>
        <w:pStyle w:val="Index2"/>
        <w:rPr>
          <w:rtl/>
        </w:rPr>
      </w:pPr>
      <w:r w:rsidRPr="00C157C8">
        <w:rPr>
          <w:rtl/>
          <w:lang w:bidi="he-IL"/>
        </w:rPr>
        <w:t>כשנולד האיסור בתערובת</w:t>
      </w:r>
      <w:r w:rsidRPr="00C157C8">
        <w:rPr>
          <w:rtl/>
        </w:rPr>
        <w:tab/>
        <w:t>354</w:t>
      </w:r>
    </w:p>
    <w:p w:rsidR="00C157C8" w:rsidRPr="00C157C8" w:rsidRDefault="00C157C8">
      <w:pPr>
        <w:pStyle w:val="Index2"/>
        <w:rPr>
          <w:rtl/>
        </w:rPr>
      </w:pPr>
      <w:r w:rsidRPr="00C157C8">
        <w:rPr>
          <w:rtl/>
          <w:lang w:bidi="he-IL"/>
        </w:rPr>
        <w:t>כשעושה חזותא</w:t>
      </w:r>
      <w:r w:rsidRPr="00C157C8">
        <w:rPr>
          <w:rtl/>
        </w:rPr>
        <w:tab/>
        <w:t>348</w:t>
      </w:r>
    </w:p>
    <w:p w:rsidR="00C157C8" w:rsidRPr="00C157C8" w:rsidRDefault="00C157C8">
      <w:pPr>
        <w:pStyle w:val="Index2"/>
        <w:rPr>
          <w:rtl/>
        </w:rPr>
      </w:pPr>
      <w:r w:rsidRPr="00C157C8">
        <w:rPr>
          <w:rtl/>
          <w:lang w:bidi="he-IL"/>
        </w:rPr>
        <w:lastRenderedPageBreak/>
        <w:t>כשעתיד להתקלקל</w:t>
      </w:r>
      <w:r w:rsidRPr="00C157C8">
        <w:rPr>
          <w:rtl/>
        </w:rPr>
        <w:tab/>
        <w:t>345</w:t>
      </w:r>
    </w:p>
    <w:p w:rsidR="00C157C8" w:rsidRPr="00C157C8" w:rsidRDefault="00C157C8">
      <w:pPr>
        <w:pStyle w:val="Index2"/>
        <w:rPr>
          <w:rtl/>
        </w:rPr>
      </w:pPr>
      <w:r w:rsidRPr="00C157C8">
        <w:rPr>
          <w:rtl/>
          <w:lang w:bidi="he-IL"/>
        </w:rPr>
        <w:t>לא</w:t>
      </w:r>
      <w:r w:rsidRPr="00C157C8">
        <w:rPr>
          <w:rtl/>
        </w:rPr>
        <w:t xml:space="preserve">' </w:t>
      </w:r>
      <w:r w:rsidRPr="00C157C8">
        <w:rPr>
          <w:rtl/>
          <w:lang w:bidi="he-IL"/>
        </w:rPr>
        <w:t>משני האיסורים שעלי</w:t>
      </w:r>
      <w:r w:rsidRPr="00C157C8">
        <w:rPr>
          <w:rtl/>
        </w:rPr>
        <w:t>'</w:t>
      </w:r>
      <w:r w:rsidRPr="00C157C8">
        <w:rPr>
          <w:rtl/>
        </w:rPr>
        <w:tab/>
        <w:t>344</w:t>
      </w:r>
    </w:p>
    <w:p w:rsidR="00C157C8" w:rsidRPr="00C157C8" w:rsidRDefault="00C157C8">
      <w:pPr>
        <w:pStyle w:val="Index2"/>
        <w:rPr>
          <w:rtl/>
        </w:rPr>
      </w:pPr>
      <w:r w:rsidRPr="00C157C8">
        <w:rPr>
          <w:rtl/>
          <w:lang w:bidi="he-IL"/>
        </w:rPr>
        <w:t>ע</w:t>
      </w:r>
      <w:r w:rsidRPr="00C157C8">
        <w:rPr>
          <w:rtl/>
        </w:rPr>
        <w:t>"</w:t>
      </w:r>
      <w:r w:rsidRPr="00C157C8">
        <w:rPr>
          <w:rtl/>
          <w:lang w:bidi="he-IL"/>
        </w:rPr>
        <w:t>י אחר</w:t>
      </w:r>
      <w:r w:rsidRPr="00C157C8">
        <w:rPr>
          <w:rtl/>
        </w:rPr>
        <w:tab/>
        <w:t>344</w:t>
      </w:r>
    </w:p>
    <w:p w:rsidR="00C157C8" w:rsidRPr="00C157C8" w:rsidRDefault="00C157C8">
      <w:pPr>
        <w:pStyle w:val="Index2"/>
        <w:rPr>
          <w:rtl/>
        </w:rPr>
      </w:pPr>
      <w:r w:rsidRPr="00C157C8">
        <w:rPr>
          <w:rtl/>
          <w:lang w:bidi="he-IL"/>
        </w:rPr>
        <w:t>ע</w:t>
      </w:r>
      <w:r w:rsidRPr="00C157C8">
        <w:rPr>
          <w:rtl/>
        </w:rPr>
        <w:t>"</w:t>
      </w:r>
      <w:r w:rsidRPr="00C157C8">
        <w:rPr>
          <w:rtl/>
          <w:lang w:bidi="he-IL"/>
        </w:rPr>
        <w:t>י מעשה</w:t>
      </w:r>
      <w:r w:rsidRPr="00C157C8">
        <w:rPr>
          <w:rtl/>
        </w:rPr>
        <w:tab/>
        <w:t>342</w:t>
      </w:r>
    </w:p>
    <w:p w:rsidR="00C157C8" w:rsidRPr="00C157C8" w:rsidRDefault="00C157C8">
      <w:pPr>
        <w:pStyle w:val="Index2"/>
        <w:rPr>
          <w:rtl/>
        </w:rPr>
      </w:pPr>
      <w:r w:rsidRPr="00C157C8">
        <w:rPr>
          <w:rtl/>
          <w:lang w:bidi="he-IL"/>
        </w:rPr>
        <w:t>עשיית מלאכה בבין השמשות של מוצאי יו</w:t>
      </w:r>
      <w:r w:rsidRPr="00C157C8">
        <w:rPr>
          <w:rtl/>
        </w:rPr>
        <w:t>"</w:t>
      </w:r>
      <w:r w:rsidRPr="00C157C8">
        <w:rPr>
          <w:rtl/>
          <w:lang w:bidi="he-IL"/>
        </w:rPr>
        <w:t>ט</w:t>
      </w:r>
      <w:r w:rsidRPr="00C157C8">
        <w:rPr>
          <w:rtl/>
        </w:rPr>
        <w:tab/>
        <w:t>356</w:t>
      </w:r>
    </w:p>
    <w:p w:rsidR="00C157C8" w:rsidRPr="00C157C8" w:rsidRDefault="00C157C8">
      <w:pPr>
        <w:pStyle w:val="Index2"/>
        <w:rPr>
          <w:rtl/>
        </w:rPr>
      </w:pPr>
      <w:r w:rsidRPr="00C157C8">
        <w:rPr>
          <w:rtl/>
          <w:lang w:bidi="he-IL"/>
        </w:rPr>
        <w:t>שחוזר לאיסורו</w:t>
      </w:r>
      <w:r w:rsidRPr="00C157C8">
        <w:rPr>
          <w:rtl/>
        </w:rPr>
        <w:tab/>
        <w:t>354</w:t>
      </w:r>
    </w:p>
    <w:p w:rsidR="00C157C8" w:rsidRPr="00C157C8" w:rsidRDefault="00C157C8">
      <w:pPr>
        <w:pStyle w:val="Index1"/>
        <w:rPr>
          <w:rtl/>
        </w:rPr>
      </w:pPr>
      <w:r w:rsidRPr="00C157C8">
        <w:rPr>
          <w:rtl/>
          <w:lang w:bidi="he-IL"/>
        </w:rPr>
        <w:t>דבר שיש לן מתירין</w:t>
      </w:r>
    </w:p>
    <w:p w:rsidR="00C157C8" w:rsidRPr="00C157C8" w:rsidRDefault="00C157C8">
      <w:pPr>
        <w:pStyle w:val="Index2"/>
        <w:rPr>
          <w:rtl/>
        </w:rPr>
      </w:pPr>
      <w:r w:rsidRPr="00C157C8">
        <w:rPr>
          <w:rtl/>
          <w:lang w:bidi="he-IL"/>
        </w:rPr>
        <w:t>שיטת הר</w:t>
      </w:r>
      <w:r w:rsidRPr="00C157C8">
        <w:rPr>
          <w:rtl/>
        </w:rPr>
        <w:t>"</w:t>
      </w:r>
      <w:r w:rsidRPr="00C157C8">
        <w:rPr>
          <w:rtl/>
          <w:lang w:bidi="he-IL"/>
        </w:rPr>
        <w:t>ן</w:t>
      </w:r>
      <w:r w:rsidRPr="00C157C8">
        <w:rPr>
          <w:rtl/>
        </w:rPr>
        <w:tab/>
        <w:t>127</w:t>
      </w:r>
    </w:p>
    <w:p w:rsidR="00C157C8" w:rsidRPr="00C157C8" w:rsidRDefault="00C157C8">
      <w:pPr>
        <w:pStyle w:val="Index1"/>
        <w:rPr>
          <w:rtl/>
        </w:rPr>
      </w:pPr>
      <w:r w:rsidRPr="00C157C8">
        <w:rPr>
          <w:rtl/>
          <w:lang w:bidi="he-IL"/>
        </w:rPr>
        <w:t>דברים המאוסים</w:t>
      </w:r>
      <w:r w:rsidRPr="00C157C8">
        <w:rPr>
          <w:rtl/>
        </w:rPr>
        <w:tab/>
      </w:r>
      <w:r w:rsidRPr="00C157C8">
        <w:rPr>
          <w:i/>
          <w:rtl/>
          <w:lang w:bidi="he-IL"/>
        </w:rPr>
        <w:t>ע</w:t>
      </w:r>
      <w:r w:rsidRPr="00C157C8">
        <w:rPr>
          <w:i/>
          <w:rtl/>
        </w:rPr>
        <w:t xml:space="preserve">' </w:t>
      </w:r>
      <w:r w:rsidRPr="00C157C8">
        <w:rPr>
          <w:i/>
          <w:rtl/>
          <w:lang w:bidi="he-IL"/>
        </w:rPr>
        <w:t>נותן טעם לפגם</w:t>
      </w:r>
    </w:p>
    <w:p w:rsidR="00C157C8" w:rsidRPr="00C157C8" w:rsidRDefault="00C157C8">
      <w:pPr>
        <w:pStyle w:val="Index1"/>
        <w:rPr>
          <w:rtl/>
        </w:rPr>
      </w:pPr>
      <w:r w:rsidRPr="00C157C8">
        <w:rPr>
          <w:rtl/>
          <w:lang w:bidi="he-IL"/>
        </w:rPr>
        <w:t>דג טמא</w:t>
      </w:r>
    </w:p>
    <w:p w:rsidR="00C157C8" w:rsidRPr="00C157C8" w:rsidRDefault="00C157C8">
      <w:pPr>
        <w:pStyle w:val="Index2"/>
        <w:rPr>
          <w:rtl/>
        </w:rPr>
      </w:pPr>
      <w:r w:rsidRPr="00C157C8">
        <w:rPr>
          <w:rtl/>
          <w:lang w:bidi="he-IL"/>
        </w:rPr>
        <w:t xml:space="preserve">שבתערובת דגים אחרים </w:t>
      </w:r>
      <w:r w:rsidRPr="00C157C8">
        <w:rPr>
          <w:rtl/>
        </w:rPr>
        <w:t xml:space="preserve">- </w:t>
      </w:r>
      <w:r w:rsidRPr="00C157C8">
        <w:rPr>
          <w:rtl/>
          <w:lang w:bidi="he-IL"/>
        </w:rPr>
        <w:t>יו</w:t>
      </w:r>
      <w:r w:rsidRPr="00C157C8">
        <w:rPr>
          <w:rtl/>
        </w:rPr>
        <w:t>"</w:t>
      </w:r>
      <w:r w:rsidRPr="00C157C8">
        <w:rPr>
          <w:rtl/>
          <w:lang w:bidi="he-IL"/>
        </w:rPr>
        <w:t>ד סי</w:t>
      </w:r>
      <w:r w:rsidRPr="00C157C8">
        <w:rPr>
          <w:rtl/>
        </w:rPr>
        <w:t xml:space="preserve">' </w:t>
      </w:r>
      <w:r w:rsidRPr="00C157C8">
        <w:rPr>
          <w:rtl/>
          <w:lang w:bidi="he-IL"/>
        </w:rPr>
        <w:t>ק</w:t>
      </w:r>
      <w:r w:rsidRPr="00C157C8">
        <w:rPr>
          <w:rtl/>
        </w:rPr>
        <w:t>"</w:t>
      </w:r>
      <w:r w:rsidRPr="00C157C8">
        <w:rPr>
          <w:rtl/>
          <w:lang w:bidi="he-IL"/>
        </w:rPr>
        <w:t>ז</w:t>
      </w:r>
      <w:r w:rsidRPr="00C157C8">
        <w:rPr>
          <w:rtl/>
        </w:rPr>
        <w:tab/>
        <w:t>370</w:t>
      </w:r>
    </w:p>
    <w:p w:rsidR="00C157C8" w:rsidRPr="00C157C8" w:rsidRDefault="00C157C8">
      <w:pPr>
        <w:pStyle w:val="Index1"/>
        <w:rPr>
          <w:rtl/>
        </w:rPr>
      </w:pPr>
      <w:r w:rsidRPr="00C157C8">
        <w:rPr>
          <w:rtl/>
          <w:lang w:bidi="he-IL"/>
        </w:rPr>
        <w:t>דוחקא דסכינא</w:t>
      </w:r>
    </w:p>
    <w:p w:rsidR="00C157C8" w:rsidRPr="00C157C8" w:rsidRDefault="00C157C8">
      <w:pPr>
        <w:pStyle w:val="Index2"/>
        <w:rPr>
          <w:rtl/>
        </w:rPr>
      </w:pPr>
      <w:r w:rsidRPr="00C157C8">
        <w:rPr>
          <w:rtl/>
          <w:lang w:bidi="he-IL"/>
        </w:rPr>
        <w:t>בדבר חריף</w:t>
      </w:r>
      <w:r w:rsidRPr="00C157C8">
        <w:rPr>
          <w:rtl/>
        </w:rPr>
        <w:tab/>
        <w:t>280</w:t>
      </w:r>
    </w:p>
    <w:p w:rsidR="00C157C8" w:rsidRPr="00C157C8" w:rsidRDefault="00C157C8">
      <w:pPr>
        <w:pStyle w:val="Index2"/>
        <w:rPr>
          <w:rtl/>
        </w:rPr>
      </w:pPr>
      <w:r w:rsidRPr="00C157C8">
        <w:rPr>
          <w:rtl/>
          <w:lang w:bidi="he-IL"/>
        </w:rPr>
        <w:t>בדבר רותח</w:t>
      </w:r>
      <w:r w:rsidRPr="00C157C8">
        <w:rPr>
          <w:rtl/>
        </w:rPr>
        <w:tab/>
        <w:t>263</w:t>
      </w:r>
    </w:p>
    <w:p w:rsidR="00C157C8" w:rsidRPr="00C157C8" w:rsidRDefault="00C157C8">
      <w:pPr>
        <w:pStyle w:val="Index2"/>
        <w:rPr>
          <w:rtl/>
        </w:rPr>
      </w:pPr>
      <w:r w:rsidRPr="00C157C8">
        <w:rPr>
          <w:rtl/>
          <w:lang w:bidi="he-IL"/>
        </w:rPr>
        <w:t>מהו בכלל דוחקא</w:t>
      </w:r>
      <w:r w:rsidRPr="00C157C8">
        <w:rPr>
          <w:rtl/>
        </w:rPr>
        <w:tab/>
        <w:t>285</w:t>
      </w:r>
    </w:p>
    <w:p w:rsidR="00C157C8" w:rsidRPr="00C157C8" w:rsidRDefault="00C157C8">
      <w:pPr>
        <w:pStyle w:val="Index1"/>
        <w:rPr>
          <w:rtl/>
        </w:rPr>
      </w:pPr>
      <w:r w:rsidRPr="00C157C8">
        <w:rPr>
          <w:rtl/>
          <w:lang w:bidi="he-IL"/>
        </w:rPr>
        <w:t>הגעלה</w:t>
      </w:r>
      <w:r w:rsidRPr="00C157C8">
        <w:rPr>
          <w:rtl/>
        </w:rPr>
        <w:tab/>
      </w:r>
      <w:r w:rsidRPr="00C157C8">
        <w:rPr>
          <w:i/>
          <w:rtl/>
          <w:lang w:bidi="he-IL"/>
        </w:rPr>
        <w:t>ע</w:t>
      </w:r>
      <w:r w:rsidRPr="00C157C8">
        <w:rPr>
          <w:i/>
          <w:rtl/>
        </w:rPr>
        <w:t xml:space="preserve">' </w:t>
      </w:r>
      <w:r w:rsidRPr="00C157C8">
        <w:rPr>
          <w:i/>
          <w:rtl/>
          <w:lang w:bidi="he-IL"/>
        </w:rPr>
        <w:t>גם הכשר כלים</w:t>
      </w:r>
    </w:p>
    <w:p w:rsidR="00C157C8" w:rsidRPr="00C157C8" w:rsidRDefault="00C157C8">
      <w:pPr>
        <w:pStyle w:val="Index2"/>
        <w:rPr>
          <w:rtl/>
        </w:rPr>
      </w:pPr>
      <w:r w:rsidRPr="00C157C8">
        <w:rPr>
          <w:rtl/>
          <w:lang w:bidi="he-IL"/>
        </w:rPr>
        <w:t>העלאת רתיחות</w:t>
      </w:r>
      <w:r w:rsidRPr="00C157C8">
        <w:rPr>
          <w:rtl/>
        </w:rPr>
        <w:tab/>
        <w:t>483</w:t>
      </w:r>
    </w:p>
    <w:p w:rsidR="00C157C8" w:rsidRPr="00C157C8" w:rsidRDefault="00C157C8">
      <w:pPr>
        <w:pStyle w:val="Index1"/>
        <w:rPr>
          <w:rtl/>
        </w:rPr>
      </w:pPr>
      <w:r w:rsidRPr="00C157C8">
        <w:rPr>
          <w:rtl/>
          <w:lang w:bidi="he-IL"/>
        </w:rPr>
        <w:t>הגעלת כלים</w:t>
      </w:r>
    </w:p>
    <w:p w:rsidR="00C157C8" w:rsidRPr="00C157C8" w:rsidRDefault="00C157C8">
      <w:pPr>
        <w:pStyle w:val="Index2"/>
        <w:rPr>
          <w:rtl/>
        </w:rPr>
      </w:pPr>
      <w:r w:rsidRPr="00C157C8">
        <w:rPr>
          <w:rtl/>
          <w:lang w:bidi="he-IL"/>
        </w:rPr>
        <w:t xml:space="preserve">בישול ירקות </w:t>
      </w:r>
      <w:r w:rsidRPr="00C157C8">
        <w:rPr>
          <w:rtl/>
        </w:rPr>
        <w:t xml:space="preserve">- </w:t>
      </w:r>
      <w:r w:rsidRPr="00C157C8">
        <w:rPr>
          <w:rtl/>
          <w:lang w:bidi="he-IL"/>
        </w:rPr>
        <w:t>אם מכשיר הכלי</w:t>
      </w:r>
      <w:r w:rsidRPr="00C157C8">
        <w:rPr>
          <w:rtl/>
        </w:rPr>
        <w:tab/>
        <w:t>243, 245</w:t>
      </w:r>
    </w:p>
    <w:p w:rsidR="00C157C8" w:rsidRPr="00C157C8" w:rsidRDefault="00C157C8">
      <w:pPr>
        <w:pStyle w:val="Index1"/>
        <w:rPr>
          <w:rtl/>
        </w:rPr>
      </w:pPr>
      <w:r w:rsidRPr="00C157C8">
        <w:rPr>
          <w:rtl/>
          <w:lang w:bidi="he-IL"/>
        </w:rPr>
        <w:t>הדחה</w:t>
      </w:r>
    </w:p>
    <w:p w:rsidR="00C157C8" w:rsidRPr="00C157C8" w:rsidRDefault="00C157C8">
      <w:pPr>
        <w:pStyle w:val="Index2"/>
        <w:rPr>
          <w:rtl/>
        </w:rPr>
      </w:pPr>
      <w:r w:rsidRPr="00C157C8">
        <w:rPr>
          <w:rtl/>
          <w:lang w:bidi="he-IL"/>
        </w:rPr>
        <w:t>איזה נגיעה מחייבת</w:t>
      </w:r>
      <w:r w:rsidRPr="00C157C8">
        <w:rPr>
          <w:rtl/>
        </w:rPr>
        <w:tab/>
        <w:t>384</w:t>
      </w:r>
    </w:p>
    <w:p w:rsidR="00C157C8" w:rsidRPr="00C157C8" w:rsidRDefault="00C157C8">
      <w:pPr>
        <w:pStyle w:val="Index2"/>
        <w:rPr>
          <w:rtl/>
        </w:rPr>
      </w:pPr>
      <w:r w:rsidRPr="00C157C8">
        <w:rPr>
          <w:rtl/>
          <w:lang w:bidi="he-IL"/>
        </w:rPr>
        <w:t>כשנגעו מאכלים זו בזו</w:t>
      </w:r>
      <w:r w:rsidRPr="00C157C8">
        <w:rPr>
          <w:rtl/>
        </w:rPr>
        <w:tab/>
        <w:t>383</w:t>
      </w:r>
    </w:p>
    <w:p w:rsidR="00C157C8" w:rsidRPr="00C157C8" w:rsidRDefault="00C157C8">
      <w:pPr>
        <w:pStyle w:val="Index1"/>
        <w:rPr>
          <w:rtl/>
        </w:rPr>
      </w:pPr>
      <w:r w:rsidRPr="00C157C8">
        <w:rPr>
          <w:rtl/>
          <w:lang w:bidi="he-IL"/>
        </w:rPr>
        <w:t>היתר מצטרף לאיסור</w:t>
      </w:r>
    </w:p>
    <w:p w:rsidR="00C157C8" w:rsidRPr="00C157C8" w:rsidRDefault="00C157C8">
      <w:pPr>
        <w:pStyle w:val="Index2"/>
        <w:rPr>
          <w:rtl/>
        </w:rPr>
      </w:pPr>
      <w:r w:rsidRPr="00C157C8">
        <w:rPr>
          <w:rtl/>
          <w:lang w:bidi="he-IL"/>
        </w:rPr>
        <w:t>אם הוא דין יותר פשוט מדין טכ</w:t>
      </w:r>
      <w:r w:rsidRPr="00C157C8">
        <w:rPr>
          <w:rtl/>
        </w:rPr>
        <w:t>"</w:t>
      </w:r>
      <w:r w:rsidRPr="00C157C8">
        <w:rPr>
          <w:rtl/>
          <w:lang w:bidi="he-IL"/>
        </w:rPr>
        <w:t>ע</w:t>
      </w:r>
      <w:r w:rsidRPr="00C157C8">
        <w:rPr>
          <w:rtl/>
        </w:rPr>
        <w:tab/>
        <w:t>14, 17</w:t>
      </w:r>
    </w:p>
    <w:p w:rsidR="00C157C8" w:rsidRPr="00C157C8" w:rsidRDefault="00C157C8">
      <w:pPr>
        <w:pStyle w:val="Index2"/>
        <w:rPr>
          <w:rtl/>
        </w:rPr>
      </w:pPr>
      <w:r w:rsidRPr="00C157C8">
        <w:rPr>
          <w:rtl/>
          <w:lang w:bidi="he-IL"/>
        </w:rPr>
        <w:t>אם יש כח בדינו למנוע ביטול</w:t>
      </w:r>
      <w:r w:rsidRPr="00C157C8">
        <w:rPr>
          <w:rtl/>
        </w:rPr>
        <w:tab/>
        <w:t>6</w:t>
      </w:r>
    </w:p>
    <w:p w:rsidR="00C157C8" w:rsidRPr="00C157C8" w:rsidRDefault="00C157C8">
      <w:pPr>
        <w:pStyle w:val="Index2"/>
        <w:rPr>
          <w:rtl/>
        </w:rPr>
      </w:pPr>
      <w:r w:rsidRPr="00C157C8">
        <w:rPr>
          <w:rtl/>
          <w:lang w:bidi="he-IL"/>
        </w:rPr>
        <w:t>הכרח לרש</w:t>
      </w:r>
      <w:r w:rsidRPr="00C157C8">
        <w:rPr>
          <w:rtl/>
        </w:rPr>
        <w:t>"</w:t>
      </w:r>
      <w:r w:rsidRPr="00C157C8">
        <w:rPr>
          <w:rtl/>
          <w:lang w:bidi="he-IL"/>
        </w:rPr>
        <w:t>י דהוי אפילו שלא ע</w:t>
      </w:r>
      <w:r w:rsidRPr="00C157C8">
        <w:rPr>
          <w:rtl/>
        </w:rPr>
        <w:t>"</w:t>
      </w:r>
      <w:r w:rsidRPr="00C157C8">
        <w:rPr>
          <w:rtl/>
          <w:lang w:bidi="he-IL"/>
        </w:rPr>
        <w:t>י תערובת</w:t>
      </w:r>
      <w:r w:rsidRPr="00C157C8">
        <w:rPr>
          <w:rtl/>
        </w:rPr>
        <w:tab/>
        <w:t>14</w:t>
      </w:r>
    </w:p>
    <w:p w:rsidR="00C157C8" w:rsidRPr="00C157C8" w:rsidRDefault="00C157C8">
      <w:pPr>
        <w:pStyle w:val="Index2"/>
        <w:rPr>
          <w:rtl/>
        </w:rPr>
      </w:pPr>
      <w:r w:rsidRPr="00C157C8">
        <w:rPr>
          <w:rtl/>
          <w:lang w:bidi="he-IL"/>
        </w:rPr>
        <w:t>הכרח לשיטת רש</w:t>
      </w:r>
      <w:r w:rsidRPr="00C157C8">
        <w:rPr>
          <w:rtl/>
        </w:rPr>
        <w:t>"</w:t>
      </w:r>
      <w:r w:rsidRPr="00C157C8">
        <w:rPr>
          <w:rtl/>
          <w:lang w:bidi="he-IL"/>
        </w:rPr>
        <w:t>י דהוי אפילו שלא ע</w:t>
      </w:r>
      <w:r w:rsidRPr="00C157C8">
        <w:rPr>
          <w:rtl/>
        </w:rPr>
        <w:t>"</w:t>
      </w:r>
      <w:r w:rsidRPr="00C157C8">
        <w:rPr>
          <w:rtl/>
          <w:lang w:bidi="he-IL"/>
        </w:rPr>
        <w:t>י תערובת</w:t>
      </w:r>
      <w:r w:rsidRPr="00C157C8">
        <w:rPr>
          <w:rtl/>
        </w:rPr>
        <w:tab/>
        <w:t>3</w:t>
      </w:r>
    </w:p>
    <w:p w:rsidR="00C157C8" w:rsidRPr="00C157C8" w:rsidRDefault="00C157C8">
      <w:pPr>
        <w:pStyle w:val="Index2"/>
        <w:rPr>
          <w:rtl/>
        </w:rPr>
      </w:pPr>
      <w:r w:rsidRPr="00C157C8">
        <w:rPr>
          <w:rtl/>
          <w:lang w:bidi="he-IL"/>
        </w:rPr>
        <w:t>הקדמה</w:t>
      </w:r>
      <w:r w:rsidRPr="00C157C8">
        <w:rPr>
          <w:rtl/>
        </w:rPr>
        <w:tab/>
        <w:t>2</w:t>
      </w:r>
    </w:p>
    <w:p w:rsidR="00C157C8" w:rsidRPr="00C157C8" w:rsidRDefault="00C157C8">
      <w:pPr>
        <w:pStyle w:val="Index2"/>
        <w:rPr>
          <w:rtl/>
        </w:rPr>
      </w:pPr>
      <w:r w:rsidRPr="00C157C8">
        <w:rPr>
          <w:rtl/>
          <w:lang w:bidi="he-IL"/>
        </w:rPr>
        <w:t>כשיש רוב היתר</w:t>
      </w:r>
      <w:r w:rsidRPr="00C157C8">
        <w:rPr>
          <w:rtl/>
        </w:rPr>
        <w:tab/>
        <w:t>9</w:t>
      </w:r>
    </w:p>
    <w:p w:rsidR="00C157C8" w:rsidRPr="00C157C8" w:rsidRDefault="00C157C8">
      <w:pPr>
        <w:pStyle w:val="Index2"/>
        <w:rPr>
          <w:rtl/>
        </w:rPr>
      </w:pPr>
      <w:r w:rsidRPr="00C157C8">
        <w:rPr>
          <w:rtl/>
          <w:lang w:bidi="he-IL"/>
        </w:rPr>
        <w:t>למה בעינן לי</w:t>
      </w:r>
      <w:r w:rsidRPr="00C157C8">
        <w:rPr>
          <w:rtl/>
        </w:rPr>
        <w:t xml:space="preserve">' </w:t>
      </w:r>
      <w:r w:rsidRPr="00C157C8">
        <w:rPr>
          <w:rtl/>
          <w:lang w:bidi="he-IL"/>
        </w:rPr>
        <w:t>אם טעם כעיקר מדאורייתא</w:t>
      </w:r>
      <w:r w:rsidRPr="00C157C8">
        <w:rPr>
          <w:rtl/>
        </w:rPr>
        <w:tab/>
        <w:t>8</w:t>
      </w:r>
    </w:p>
    <w:p w:rsidR="00C157C8" w:rsidRPr="00C157C8" w:rsidRDefault="00C157C8">
      <w:pPr>
        <w:pStyle w:val="Index2"/>
        <w:rPr>
          <w:rtl/>
        </w:rPr>
      </w:pPr>
      <w:r w:rsidRPr="00C157C8">
        <w:rPr>
          <w:rtl/>
          <w:lang w:bidi="he-IL"/>
        </w:rPr>
        <w:t>מהו החידוש שבו אם טעם כעיקר מדאורייתא</w:t>
      </w:r>
      <w:r w:rsidRPr="00C157C8">
        <w:rPr>
          <w:rtl/>
        </w:rPr>
        <w:tab/>
        <w:t>17</w:t>
      </w:r>
    </w:p>
    <w:p w:rsidR="00C157C8" w:rsidRPr="00C157C8" w:rsidRDefault="00C157C8">
      <w:pPr>
        <w:pStyle w:val="Index2"/>
        <w:rPr>
          <w:rtl/>
        </w:rPr>
      </w:pPr>
      <w:r w:rsidRPr="00C157C8">
        <w:rPr>
          <w:rtl/>
          <w:lang w:bidi="he-IL"/>
        </w:rPr>
        <w:t>מחלוקת רש</w:t>
      </w:r>
      <w:r w:rsidRPr="00C157C8">
        <w:rPr>
          <w:rtl/>
        </w:rPr>
        <w:t>"</w:t>
      </w:r>
      <w:r w:rsidRPr="00C157C8">
        <w:rPr>
          <w:rtl/>
          <w:lang w:bidi="he-IL"/>
        </w:rPr>
        <w:t>י ותוספות בדינו</w:t>
      </w:r>
      <w:r w:rsidRPr="00C157C8">
        <w:rPr>
          <w:rtl/>
        </w:rPr>
        <w:tab/>
        <w:t>2, 4</w:t>
      </w:r>
    </w:p>
    <w:p w:rsidR="00C157C8" w:rsidRPr="00C157C8" w:rsidRDefault="00C157C8">
      <w:pPr>
        <w:pStyle w:val="Index1"/>
        <w:rPr>
          <w:rtl/>
        </w:rPr>
      </w:pPr>
      <w:r w:rsidRPr="00C157C8">
        <w:rPr>
          <w:rtl/>
          <w:lang w:bidi="he-IL"/>
        </w:rPr>
        <w:t>הכניס כף פעמיים</w:t>
      </w:r>
    </w:p>
    <w:p w:rsidR="00C157C8" w:rsidRPr="00C157C8" w:rsidRDefault="00C157C8">
      <w:pPr>
        <w:pStyle w:val="Index2"/>
        <w:rPr>
          <w:rtl/>
        </w:rPr>
      </w:pPr>
      <w:r w:rsidRPr="00C157C8">
        <w:rPr>
          <w:rtl/>
          <w:lang w:bidi="he-IL"/>
        </w:rPr>
        <w:t>אם צריכים פעמיים ששים</w:t>
      </w:r>
      <w:r w:rsidRPr="00C157C8">
        <w:rPr>
          <w:rtl/>
        </w:rPr>
        <w:tab/>
        <w:t>248</w:t>
      </w:r>
    </w:p>
    <w:p w:rsidR="00C157C8" w:rsidRPr="00C157C8" w:rsidRDefault="00C157C8">
      <w:pPr>
        <w:pStyle w:val="Index2"/>
        <w:rPr>
          <w:rtl/>
        </w:rPr>
      </w:pPr>
      <w:r w:rsidRPr="00C157C8">
        <w:rPr>
          <w:rtl/>
          <w:lang w:bidi="he-IL"/>
        </w:rPr>
        <w:t>דברי הש</w:t>
      </w:r>
      <w:r w:rsidRPr="00C157C8">
        <w:rPr>
          <w:rtl/>
        </w:rPr>
        <w:t>"</w:t>
      </w:r>
      <w:r w:rsidRPr="00C157C8">
        <w:rPr>
          <w:rtl/>
          <w:lang w:bidi="he-IL"/>
        </w:rPr>
        <w:t>ך בסי</w:t>
      </w:r>
      <w:r w:rsidRPr="00C157C8">
        <w:rPr>
          <w:rtl/>
        </w:rPr>
        <w:t xml:space="preserve">' </w:t>
      </w:r>
      <w:r w:rsidRPr="00C157C8">
        <w:rPr>
          <w:rtl/>
          <w:lang w:bidi="he-IL"/>
        </w:rPr>
        <w:t>צ</w:t>
      </w:r>
      <w:r w:rsidRPr="00C157C8">
        <w:rPr>
          <w:rtl/>
        </w:rPr>
        <w:t>"</w:t>
      </w:r>
      <w:r w:rsidRPr="00C157C8">
        <w:rPr>
          <w:rtl/>
          <w:lang w:bidi="he-IL"/>
        </w:rPr>
        <w:t>ד ס</w:t>
      </w:r>
      <w:r w:rsidRPr="00C157C8">
        <w:rPr>
          <w:rtl/>
        </w:rPr>
        <w:t>"</w:t>
      </w:r>
      <w:r w:rsidRPr="00C157C8">
        <w:rPr>
          <w:rtl/>
          <w:lang w:bidi="he-IL"/>
        </w:rPr>
        <w:t>ק ד</w:t>
      </w:r>
      <w:r w:rsidRPr="00C157C8">
        <w:rPr>
          <w:rtl/>
        </w:rPr>
        <w:t>'</w:t>
      </w:r>
      <w:r w:rsidRPr="00C157C8">
        <w:rPr>
          <w:rtl/>
        </w:rPr>
        <w:tab/>
        <w:t>249</w:t>
      </w:r>
    </w:p>
    <w:p w:rsidR="00C157C8" w:rsidRPr="00C157C8" w:rsidRDefault="00C157C8">
      <w:pPr>
        <w:pStyle w:val="Index2"/>
        <w:rPr>
          <w:rtl/>
        </w:rPr>
      </w:pPr>
      <w:r w:rsidRPr="00C157C8">
        <w:rPr>
          <w:rtl/>
          <w:lang w:bidi="he-IL"/>
        </w:rPr>
        <w:t>האם פוסקים כטעמו של תרוה</w:t>
      </w:r>
      <w:r w:rsidRPr="00C157C8">
        <w:rPr>
          <w:rtl/>
        </w:rPr>
        <w:t>"</w:t>
      </w:r>
      <w:r w:rsidRPr="00C157C8">
        <w:rPr>
          <w:rtl/>
          <w:lang w:bidi="he-IL"/>
        </w:rPr>
        <w:t>ד להקל בזה</w:t>
      </w:r>
      <w:r w:rsidRPr="00C157C8">
        <w:rPr>
          <w:rtl/>
        </w:rPr>
        <w:tab/>
        <w:t>250</w:t>
      </w:r>
    </w:p>
    <w:p w:rsidR="00C157C8" w:rsidRPr="00C157C8" w:rsidRDefault="00C157C8">
      <w:pPr>
        <w:pStyle w:val="Index2"/>
        <w:rPr>
          <w:rtl/>
        </w:rPr>
      </w:pPr>
      <w:r w:rsidRPr="00C157C8">
        <w:rPr>
          <w:rtl/>
          <w:lang w:bidi="he-IL"/>
        </w:rPr>
        <w:t>טעם  שהקיל הרמ</w:t>
      </w:r>
      <w:r w:rsidRPr="00C157C8">
        <w:rPr>
          <w:rtl/>
        </w:rPr>
        <w:t>"</w:t>
      </w:r>
      <w:r w:rsidRPr="00C157C8">
        <w:rPr>
          <w:rtl/>
          <w:lang w:bidi="he-IL"/>
        </w:rPr>
        <w:t>א בדינו</w:t>
      </w:r>
      <w:r w:rsidRPr="00C157C8">
        <w:rPr>
          <w:rtl/>
        </w:rPr>
        <w:tab/>
        <w:t>250</w:t>
      </w:r>
    </w:p>
    <w:p w:rsidR="00C157C8" w:rsidRPr="00C157C8" w:rsidRDefault="00C157C8">
      <w:pPr>
        <w:pStyle w:val="Index1"/>
        <w:rPr>
          <w:rtl/>
        </w:rPr>
      </w:pPr>
      <w:r w:rsidRPr="00C157C8">
        <w:rPr>
          <w:rtl/>
          <w:lang w:bidi="he-IL"/>
        </w:rPr>
        <w:t>הכשר כלים</w:t>
      </w:r>
    </w:p>
    <w:p w:rsidR="00C157C8" w:rsidRPr="00C157C8" w:rsidRDefault="00C157C8">
      <w:pPr>
        <w:pStyle w:val="Index2"/>
        <w:rPr>
          <w:rtl/>
        </w:rPr>
      </w:pPr>
      <w:r w:rsidRPr="00C157C8">
        <w:rPr>
          <w:rtl/>
          <w:lang w:bidi="he-IL"/>
        </w:rPr>
        <w:t>אי חמץ הוי היתירא בלע</w:t>
      </w:r>
      <w:r w:rsidRPr="00C157C8">
        <w:rPr>
          <w:rtl/>
        </w:rPr>
        <w:tab/>
        <w:t>481</w:t>
      </w:r>
    </w:p>
    <w:p w:rsidR="00C157C8" w:rsidRPr="00C157C8" w:rsidRDefault="00C157C8">
      <w:pPr>
        <w:pStyle w:val="Index2"/>
        <w:rPr>
          <w:rtl/>
        </w:rPr>
      </w:pPr>
      <w:r w:rsidRPr="00C157C8">
        <w:rPr>
          <w:rtl/>
          <w:lang w:bidi="he-IL"/>
        </w:rPr>
        <w:t>אי חמץ הוי היתירא בלע שעה חמישית</w:t>
      </w:r>
      <w:r w:rsidRPr="00C157C8">
        <w:rPr>
          <w:rtl/>
        </w:rPr>
        <w:tab/>
        <w:t>486</w:t>
      </w:r>
    </w:p>
    <w:p w:rsidR="00C157C8" w:rsidRPr="00C157C8" w:rsidRDefault="00C157C8">
      <w:pPr>
        <w:pStyle w:val="Index2"/>
        <w:rPr>
          <w:rtl/>
        </w:rPr>
      </w:pPr>
      <w:r w:rsidRPr="00C157C8">
        <w:rPr>
          <w:rtl/>
          <w:lang w:bidi="he-IL"/>
        </w:rPr>
        <w:t>אם חיובה הוי מקור לדין טכ</w:t>
      </w:r>
      <w:r w:rsidRPr="00C157C8">
        <w:rPr>
          <w:rtl/>
        </w:rPr>
        <w:t>"</w:t>
      </w:r>
      <w:r w:rsidRPr="00C157C8">
        <w:rPr>
          <w:rtl/>
          <w:lang w:bidi="he-IL"/>
        </w:rPr>
        <w:t>ע</w:t>
      </w:r>
      <w:r w:rsidRPr="00C157C8">
        <w:rPr>
          <w:rtl/>
        </w:rPr>
        <w:tab/>
        <w:t>16</w:t>
      </w:r>
    </w:p>
    <w:p w:rsidR="00C157C8" w:rsidRPr="00C157C8" w:rsidRDefault="00C157C8">
      <w:pPr>
        <w:pStyle w:val="Index2"/>
        <w:rPr>
          <w:rtl/>
        </w:rPr>
      </w:pPr>
      <w:r w:rsidRPr="00C157C8">
        <w:rPr>
          <w:rtl/>
          <w:lang w:bidi="he-IL"/>
        </w:rPr>
        <w:t>אם כלי בשר וחל דינם כבלוע חמץ</w:t>
      </w:r>
      <w:r w:rsidRPr="00C157C8">
        <w:rPr>
          <w:rtl/>
        </w:rPr>
        <w:tab/>
        <w:t>495</w:t>
      </w:r>
    </w:p>
    <w:p w:rsidR="00C157C8" w:rsidRPr="00C157C8" w:rsidRDefault="00C157C8">
      <w:pPr>
        <w:pStyle w:val="Index2"/>
        <w:rPr>
          <w:rtl/>
        </w:rPr>
      </w:pPr>
      <w:r w:rsidRPr="00C157C8">
        <w:rPr>
          <w:rtl/>
          <w:lang w:bidi="he-IL"/>
        </w:rPr>
        <w:t>באיזה משקין אפשר להגעיל</w:t>
      </w:r>
      <w:r w:rsidRPr="00C157C8">
        <w:rPr>
          <w:rtl/>
        </w:rPr>
        <w:tab/>
        <w:t>491</w:t>
      </w:r>
    </w:p>
    <w:p w:rsidR="00C157C8" w:rsidRPr="00C157C8" w:rsidRDefault="00C157C8">
      <w:pPr>
        <w:pStyle w:val="Index2"/>
        <w:rPr>
          <w:rtl/>
        </w:rPr>
      </w:pPr>
      <w:r w:rsidRPr="00C157C8">
        <w:rPr>
          <w:rtl/>
          <w:lang w:bidi="he-IL"/>
        </w:rPr>
        <w:t>בהא שהבליעות חוזרים ונכנסים</w:t>
      </w:r>
      <w:r w:rsidRPr="00C157C8">
        <w:rPr>
          <w:rtl/>
        </w:rPr>
        <w:tab/>
        <w:t>481</w:t>
      </w:r>
    </w:p>
    <w:p w:rsidR="00C157C8" w:rsidRPr="00C157C8" w:rsidRDefault="00C157C8">
      <w:pPr>
        <w:pStyle w:val="Index2"/>
        <w:rPr>
          <w:rtl/>
        </w:rPr>
      </w:pPr>
      <w:r w:rsidRPr="00C157C8">
        <w:rPr>
          <w:rtl/>
          <w:lang w:bidi="he-IL"/>
        </w:rPr>
        <w:t xml:space="preserve">בישול ירקות </w:t>
      </w:r>
      <w:r w:rsidRPr="00C157C8">
        <w:rPr>
          <w:rtl/>
        </w:rPr>
        <w:t xml:space="preserve">- </w:t>
      </w:r>
      <w:r w:rsidRPr="00C157C8">
        <w:rPr>
          <w:rtl/>
          <w:lang w:bidi="he-IL"/>
        </w:rPr>
        <w:t>אם מכשיר הכלי</w:t>
      </w:r>
      <w:r w:rsidRPr="00C157C8">
        <w:rPr>
          <w:rtl/>
        </w:rPr>
        <w:tab/>
        <w:t>243, 245</w:t>
      </w:r>
    </w:p>
    <w:p w:rsidR="00C157C8" w:rsidRPr="00C157C8" w:rsidRDefault="00C157C8">
      <w:pPr>
        <w:pStyle w:val="Index2"/>
        <w:rPr>
          <w:rtl/>
        </w:rPr>
      </w:pPr>
      <w:r w:rsidRPr="00C157C8">
        <w:rPr>
          <w:rtl/>
          <w:lang w:bidi="he-IL"/>
        </w:rPr>
        <w:t xml:space="preserve">בישל חלב בקדירה בשרית </w:t>
      </w:r>
      <w:r w:rsidRPr="00C157C8">
        <w:rPr>
          <w:rtl/>
        </w:rPr>
        <w:t xml:space="preserve">- </w:t>
      </w:r>
      <w:r w:rsidRPr="00C157C8">
        <w:rPr>
          <w:rtl/>
          <w:lang w:bidi="he-IL"/>
        </w:rPr>
        <w:t>האם בה מכשיר אותו</w:t>
      </w:r>
      <w:r w:rsidRPr="00C157C8">
        <w:rPr>
          <w:rtl/>
        </w:rPr>
        <w:tab/>
        <w:t>262</w:t>
      </w:r>
    </w:p>
    <w:p w:rsidR="00C157C8" w:rsidRPr="00C157C8" w:rsidRDefault="00C157C8">
      <w:pPr>
        <w:pStyle w:val="Index2"/>
        <w:rPr>
          <w:rtl/>
        </w:rPr>
      </w:pPr>
      <w:r w:rsidRPr="00C157C8">
        <w:rPr>
          <w:rtl/>
          <w:lang w:bidi="he-IL"/>
        </w:rPr>
        <w:t xml:space="preserve">בישל חלב בקדירה בשרית </w:t>
      </w:r>
      <w:r w:rsidRPr="00C157C8">
        <w:rPr>
          <w:rtl/>
        </w:rPr>
        <w:t xml:space="preserve">- </w:t>
      </w:r>
      <w:r w:rsidRPr="00C157C8">
        <w:rPr>
          <w:rtl/>
          <w:lang w:bidi="he-IL"/>
        </w:rPr>
        <w:t>האם זה מכשיר אותו</w:t>
      </w:r>
      <w:r w:rsidRPr="00C157C8">
        <w:rPr>
          <w:rtl/>
        </w:rPr>
        <w:tab/>
        <w:t>243</w:t>
      </w:r>
    </w:p>
    <w:p w:rsidR="00C157C8" w:rsidRPr="00C157C8" w:rsidRDefault="00C157C8">
      <w:pPr>
        <w:pStyle w:val="Index2"/>
        <w:rPr>
          <w:rtl/>
        </w:rPr>
      </w:pPr>
      <w:r w:rsidRPr="00C157C8">
        <w:rPr>
          <w:rtl/>
          <w:lang w:bidi="he-IL"/>
        </w:rPr>
        <w:t xml:space="preserve">בכלים בני יומן </w:t>
      </w:r>
      <w:r w:rsidRPr="00C157C8">
        <w:rPr>
          <w:rtl/>
        </w:rPr>
        <w:t xml:space="preserve">- </w:t>
      </w:r>
      <w:r w:rsidRPr="00C157C8">
        <w:rPr>
          <w:rtl/>
          <w:lang w:bidi="he-IL"/>
        </w:rPr>
        <w:t>כשיש במים חומר הפוגם</w:t>
      </w:r>
      <w:r w:rsidRPr="00C157C8">
        <w:rPr>
          <w:rtl/>
        </w:rPr>
        <w:tab/>
        <w:t>277</w:t>
      </w:r>
    </w:p>
    <w:p w:rsidR="00C157C8" w:rsidRPr="00C157C8" w:rsidRDefault="00C157C8">
      <w:pPr>
        <w:pStyle w:val="Index2"/>
        <w:rPr>
          <w:rtl/>
        </w:rPr>
      </w:pPr>
      <w:r w:rsidRPr="00C157C8">
        <w:rPr>
          <w:rtl/>
          <w:lang w:bidi="he-IL"/>
        </w:rPr>
        <w:lastRenderedPageBreak/>
        <w:t>גרירה</w:t>
      </w:r>
      <w:r w:rsidRPr="00C157C8">
        <w:rPr>
          <w:rtl/>
        </w:rPr>
        <w:tab/>
        <w:t>241</w:t>
      </w:r>
    </w:p>
    <w:p w:rsidR="00C157C8" w:rsidRPr="00C157C8" w:rsidRDefault="00C157C8">
      <w:pPr>
        <w:pStyle w:val="Index2"/>
        <w:rPr>
          <w:rtl/>
        </w:rPr>
      </w:pPr>
      <w:r w:rsidRPr="00C157C8">
        <w:rPr>
          <w:rtl/>
          <w:lang w:bidi="he-IL"/>
        </w:rPr>
        <w:t>הגעיל כלי הטעון ליבון</w:t>
      </w:r>
      <w:r w:rsidRPr="00C157C8">
        <w:rPr>
          <w:rtl/>
        </w:rPr>
        <w:tab/>
        <w:t>497</w:t>
      </w:r>
    </w:p>
    <w:p w:rsidR="00C157C8" w:rsidRPr="00C157C8" w:rsidRDefault="00C157C8">
      <w:pPr>
        <w:pStyle w:val="Index2"/>
        <w:rPr>
          <w:rtl/>
        </w:rPr>
      </w:pPr>
      <w:r w:rsidRPr="00C157C8">
        <w:rPr>
          <w:rtl/>
          <w:lang w:bidi="he-IL"/>
        </w:rPr>
        <w:t>הגעלה בחמי טברי</w:t>
      </w:r>
      <w:r w:rsidRPr="00C157C8">
        <w:rPr>
          <w:rtl/>
        </w:rPr>
        <w:t>'</w:t>
      </w:r>
      <w:r w:rsidRPr="00C157C8">
        <w:rPr>
          <w:rtl/>
        </w:rPr>
        <w:tab/>
        <w:t>490</w:t>
      </w:r>
    </w:p>
    <w:p w:rsidR="00C157C8" w:rsidRPr="00C157C8" w:rsidRDefault="00C157C8">
      <w:pPr>
        <w:pStyle w:val="Index2"/>
        <w:rPr>
          <w:rtl/>
        </w:rPr>
      </w:pPr>
      <w:r w:rsidRPr="00C157C8">
        <w:rPr>
          <w:rtl/>
          <w:lang w:bidi="he-IL"/>
        </w:rPr>
        <w:t>הגעלה ג</w:t>
      </w:r>
      <w:r w:rsidRPr="00C157C8">
        <w:rPr>
          <w:rtl/>
        </w:rPr>
        <w:t xml:space="preserve">' </w:t>
      </w:r>
      <w:r w:rsidRPr="00C157C8">
        <w:rPr>
          <w:rtl/>
          <w:lang w:bidi="he-IL"/>
        </w:rPr>
        <w:t>פעמים בכלי חרס</w:t>
      </w:r>
      <w:r w:rsidRPr="00C157C8">
        <w:rPr>
          <w:rtl/>
        </w:rPr>
        <w:tab/>
        <w:t>501</w:t>
      </w:r>
    </w:p>
    <w:p w:rsidR="00C157C8" w:rsidRPr="00C157C8" w:rsidRDefault="00C157C8">
      <w:pPr>
        <w:pStyle w:val="Index2"/>
        <w:rPr>
          <w:rtl/>
        </w:rPr>
      </w:pPr>
      <w:r w:rsidRPr="00C157C8">
        <w:rPr>
          <w:rtl/>
          <w:lang w:bidi="he-IL"/>
        </w:rPr>
        <w:t>הדין להכשיר דוקא כלי שאינו בן יומו</w:t>
      </w:r>
      <w:r w:rsidRPr="00C157C8">
        <w:rPr>
          <w:rtl/>
        </w:rPr>
        <w:tab/>
        <w:t>493</w:t>
      </w:r>
    </w:p>
    <w:p w:rsidR="00C157C8" w:rsidRPr="00C157C8" w:rsidRDefault="00C157C8">
      <w:pPr>
        <w:pStyle w:val="Index2"/>
        <w:rPr>
          <w:rtl/>
        </w:rPr>
      </w:pPr>
      <w:r w:rsidRPr="00C157C8">
        <w:rPr>
          <w:rtl/>
          <w:lang w:bidi="he-IL"/>
        </w:rPr>
        <w:t>הכנסת אבן מלובן לתוך מים חמין</w:t>
      </w:r>
      <w:r w:rsidRPr="00C157C8">
        <w:rPr>
          <w:rtl/>
        </w:rPr>
        <w:tab/>
        <w:t>520</w:t>
      </w:r>
    </w:p>
    <w:p w:rsidR="00C157C8" w:rsidRPr="00C157C8" w:rsidRDefault="00C157C8">
      <w:pPr>
        <w:pStyle w:val="Index2"/>
        <w:rPr>
          <w:rtl/>
        </w:rPr>
      </w:pPr>
      <w:r w:rsidRPr="00C157C8">
        <w:rPr>
          <w:rtl/>
          <w:lang w:bidi="he-IL"/>
        </w:rPr>
        <w:t>הכשר החצובה</w:t>
      </w:r>
      <w:r w:rsidRPr="00C157C8">
        <w:rPr>
          <w:rtl/>
        </w:rPr>
        <w:tab/>
        <w:t>509</w:t>
      </w:r>
    </w:p>
    <w:p w:rsidR="00C157C8" w:rsidRPr="00C157C8" w:rsidRDefault="00C157C8">
      <w:pPr>
        <w:pStyle w:val="Index2"/>
        <w:rPr>
          <w:rtl/>
        </w:rPr>
      </w:pPr>
      <w:r w:rsidRPr="00C157C8">
        <w:rPr>
          <w:rtl/>
          <w:lang w:bidi="he-IL"/>
        </w:rPr>
        <w:t>הכשר היורה שמגעילים בה</w:t>
      </w:r>
      <w:r w:rsidRPr="00C157C8">
        <w:rPr>
          <w:rtl/>
        </w:rPr>
        <w:tab/>
        <w:t>480, 487</w:t>
      </w:r>
    </w:p>
    <w:p w:rsidR="00C157C8" w:rsidRPr="00C157C8" w:rsidRDefault="00C157C8">
      <w:pPr>
        <w:pStyle w:val="Index2"/>
        <w:rPr>
          <w:rtl/>
        </w:rPr>
      </w:pPr>
      <w:r w:rsidRPr="00C157C8">
        <w:rPr>
          <w:rtl/>
          <w:lang w:bidi="he-IL"/>
        </w:rPr>
        <w:t>הכשר המחבת</w:t>
      </w:r>
      <w:r w:rsidRPr="00C157C8">
        <w:rPr>
          <w:rtl/>
        </w:rPr>
        <w:tab/>
        <w:t>493, 513</w:t>
      </w:r>
    </w:p>
    <w:p w:rsidR="00C157C8" w:rsidRPr="00C157C8" w:rsidRDefault="00C157C8">
      <w:pPr>
        <w:pStyle w:val="Index2"/>
        <w:rPr>
          <w:rtl/>
        </w:rPr>
      </w:pPr>
      <w:r w:rsidRPr="00C157C8">
        <w:rPr>
          <w:rtl/>
          <w:lang w:bidi="he-IL"/>
        </w:rPr>
        <w:t>הכשר הסכין</w:t>
      </w:r>
      <w:r w:rsidRPr="00C157C8">
        <w:rPr>
          <w:rtl/>
        </w:rPr>
        <w:tab/>
        <w:t>465, 502</w:t>
      </w:r>
    </w:p>
    <w:p w:rsidR="00C157C8" w:rsidRPr="00C157C8" w:rsidRDefault="00C157C8">
      <w:pPr>
        <w:pStyle w:val="Index2"/>
        <w:rPr>
          <w:rtl/>
        </w:rPr>
      </w:pPr>
      <w:r w:rsidRPr="00C157C8">
        <w:rPr>
          <w:rtl/>
          <w:lang w:bidi="he-IL"/>
        </w:rPr>
        <w:t>הכשר הרחת</w:t>
      </w:r>
      <w:r w:rsidRPr="00C157C8">
        <w:rPr>
          <w:rtl/>
        </w:rPr>
        <w:tab/>
        <w:t>522</w:t>
      </w:r>
    </w:p>
    <w:p w:rsidR="00C157C8" w:rsidRPr="00C157C8" w:rsidRDefault="00C157C8">
      <w:pPr>
        <w:pStyle w:val="Index2"/>
        <w:rPr>
          <w:rtl/>
        </w:rPr>
      </w:pPr>
      <w:r w:rsidRPr="00C157C8">
        <w:rPr>
          <w:rtl/>
          <w:lang w:bidi="he-IL"/>
        </w:rPr>
        <w:t>הכשר יורה גדולה</w:t>
      </w:r>
      <w:r w:rsidRPr="00C157C8">
        <w:rPr>
          <w:rtl/>
        </w:rPr>
        <w:tab/>
        <w:t>472</w:t>
      </w:r>
    </w:p>
    <w:p w:rsidR="00C157C8" w:rsidRPr="00C157C8" w:rsidRDefault="00C157C8">
      <w:pPr>
        <w:pStyle w:val="Index2"/>
        <w:rPr>
          <w:rtl/>
        </w:rPr>
      </w:pPr>
      <w:r w:rsidRPr="00C157C8">
        <w:rPr>
          <w:rtl/>
          <w:lang w:bidi="he-IL"/>
        </w:rPr>
        <w:t>הכשר כלי זכוכית</w:t>
      </w:r>
      <w:r w:rsidRPr="00C157C8">
        <w:rPr>
          <w:rtl/>
        </w:rPr>
        <w:tab/>
        <w:t>529</w:t>
      </w:r>
    </w:p>
    <w:p w:rsidR="00C157C8" w:rsidRPr="00C157C8" w:rsidRDefault="00C157C8">
      <w:pPr>
        <w:pStyle w:val="Index2"/>
        <w:rPr>
          <w:rtl/>
        </w:rPr>
      </w:pPr>
      <w:r w:rsidRPr="00C157C8">
        <w:rPr>
          <w:rtl/>
          <w:lang w:bidi="he-IL"/>
        </w:rPr>
        <w:t>הכשר כלי חלבי או בשרי שתמשיתו ע</w:t>
      </w:r>
      <w:r w:rsidRPr="00C157C8">
        <w:rPr>
          <w:rtl/>
        </w:rPr>
        <w:t>"</w:t>
      </w:r>
      <w:r w:rsidRPr="00C157C8">
        <w:rPr>
          <w:rtl/>
          <w:lang w:bidi="he-IL"/>
        </w:rPr>
        <w:t>י האור</w:t>
      </w:r>
      <w:r w:rsidRPr="00C157C8">
        <w:rPr>
          <w:rtl/>
        </w:rPr>
        <w:tab/>
        <w:t>493</w:t>
      </w:r>
    </w:p>
    <w:p w:rsidR="00C157C8" w:rsidRPr="00C157C8" w:rsidRDefault="00C157C8">
      <w:pPr>
        <w:pStyle w:val="Index2"/>
        <w:rPr>
          <w:rtl/>
        </w:rPr>
      </w:pPr>
      <w:r w:rsidRPr="00C157C8">
        <w:rPr>
          <w:rtl/>
          <w:lang w:bidi="he-IL"/>
        </w:rPr>
        <w:t>הכשר כלי חרס ע</w:t>
      </w:r>
      <w:r w:rsidRPr="00C157C8">
        <w:rPr>
          <w:rtl/>
        </w:rPr>
        <w:t>"</w:t>
      </w:r>
      <w:r w:rsidRPr="00C157C8">
        <w:rPr>
          <w:rtl/>
          <w:lang w:bidi="he-IL"/>
        </w:rPr>
        <w:t>י מילוי ועירוי ג</w:t>
      </w:r>
      <w:r w:rsidRPr="00C157C8">
        <w:rPr>
          <w:rtl/>
        </w:rPr>
        <w:t xml:space="preserve">' </w:t>
      </w:r>
      <w:r w:rsidRPr="00C157C8">
        <w:rPr>
          <w:rtl/>
          <w:lang w:bidi="he-IL"/>
        </w:rPr>
        <w:t>ימים</w:t>
      </w:r>
      <w:r w:rsidRPr="00C157C8">
        <w:rPr>
          <w:rtl/>
        </w:rPr>
        <w:tab/>
        <w:t>525</w:t>
      </w:r>
    </w:p>
    <w:p w:rsidR="00C157C8" w:rsidRPr="00C157C8" w:rsidRDefault="00C157C8">
      <w:pPr>
        <w:pStyle w:val="Index2"/>
        <w:rPr>
          <w:rtl/>
        </w:rPr>
      </w:pPr>
      <w:r w:rsidRPr="00C157C8">
        <w:rPr>
          <w:rtl/>
          <w:lang w:bidi="he-IL"/>
        </w:rPr>
        <w:t>הכשר כלי שתי</w:t>
      </w:r>
      <w:r w:rsidRPr="00C157C8">
        <w:rPr>
          <w:rtl/>
        </w:rPr>
        <w:t>'</w:t>
      </w:r>
      <w:r w:rsidRPr="00C157C8">
        <w:rPr>
          <w:rtl/>
        </w:rPr>
        <w:tab/>
        <w:t>529</w:t>
      </w:r>
    </w:p>
    <w:p w:rsidR="00C157C8" w:rsidRPr="00C157C8" w:rsidRDefault="00C157C8">
      <w:pPr>
        <w:pStyle w:val="Index2"/>
        <w:rPr>
          <w:rtl/>
        </w:rPr>
      </w:pPr>
      <w:r w:rsidRPr="00C157C8">
        <w:rPr>
          <w:rtl/>
          <w:lang w:bidi="he-IL"/>
        </w:rPr>
        <w:t>הכשר מדוכה</w:t>
      </w:r>
      <w:r w:rsidRPr="00C157C8">
        <w:rPr>
          <w:rtl/>
        </w:rPr>
        <w:tab/>
        <w:t>520</w:t>
      </w:r>
    </w:p>
    <w:p w:rsidR="00C157C8" w:rsidRPr="00C157C8" w:rsidRDefault="00C157C8">
      <w:pPr>
        <w:pStyle w:val="Index2"/>
        <w:rPr>
          <w:rtl/>
        </w:rPr>
      </w:pPr>
      <w:r w:rsidRPr="00C157C8">
        <w:rPr>
          <w:rtl/>
          <w:lang w:bidi="he-IL"/>
        </w:rPr>
        <w:t>הכשר מפות ומגבות</w:t>
      </w:r>
      <w:r w:rsidRPr="00C157C8">
        <w:rPr>
          <w:rtl/>
        </w:rPr>
        <w:tab/>
        <w:t>520</w:t>
      </w:r>
    </w:p>
    <w:p w:rsidR="00C157C8" w:rsidRPr="00C157C8" w:rsidRDefault="00C157C8">
      <w:pPr>
        <w:pStyle w:val="Index2"/>
        <w:rPr>
          <w:rtl/>
        </w:rPr>
      </w:pPr>
      <w:r w:rsidRPr="00C157C8">
        <w:rPr>
          <w:rtl/>
          <w:lang w:bidi="he-IL"/>
        </w:rPr>
        <w:t>הכשר מקצת הכלי</w:t>
      </w:r>
      <w:r w:rsidRPr="00C157C8">
        <w:rPr>
          <w:rtl/>
        </w:rPr>
        <w:tab/>
        <w:t>499</w:t>
      </w:r>
    </w:p>
    <w:p w:rsidR="00C157C8" w:rsidRPr="00C157C8" w:rsidRDefault="00C157C8">
      <w:pPr>
        <w:pStyle w:val="Index2"/>
        <w:rPr>
          <w:rtl/>
        </w:rPr>
      </w:pPr>
      <w:r w:rsidRPr="00C157C8">
        <w:rPr>
          <w:rtl/>
          <w:lang w:bidi="he-IL"/>
        </w:rPr>
        <w:t>הכשר סכינים לפסח</w:t>
      </w:r>
      <w:r w:rsidRPr="00C157C8">
        <w:rPr>
          <w:rtl/>
        </w:rPr>
        <w:tab/>
        <w:t>506</w:t>
      </w:r>
    </w:p>
    <w:p w:rsidR="00C157C8" w:rsidRPr="00C157C8" w:rsidRDefault="00C157C8">
      <w:pPr>
        <w:pStyle w:val="Index2"/>
        <w:rPr>
          <w:rtl/>
        </w:rPr>
      </w:pPr>
      <w:r w:rsidRPr="00C157C8">
        <w:rPr>
          <w:rtl/>
          <w:lang w:bidi="he-IL"/>
        </w:rPr>
        <w:t>הכשר שולחנות</w:t>
      </w:r>
      <w:r w:rsidRPr="00C157C8">
        <w:rPr>
          <w:rtl/>
        </w:rPr>
        <w:tab/>
        <w:t>523</w:t>
      </w:r>
    </w:p>
    <w:p w:rsidR="00C157C8" w:rsidRPr="00C157C8" w:rsidRDefault="00C157C8">
      <w:pPr>
        <w:pStyle w:val="Index2"/>
        <w:rPr>
          <w:rtl/>
        </w:rPr>
      </w:pPr>
      <w:r w:rsidRPr="00C157C8">
        <w:rPr>
          <w:rtl/>
          <w:lang w:bidi="he-IL"/>
        </w:rPr>
        <w:t>הכשר שפוד ואסכלא</w:t>
      </w:r>
      <w:r w:rsidRPr="00C157C8">
        <w:rPr>
          <w:rtl/>
        </w:rPr>
        <w:tab/>
        <w:t>468</w:t>
      </w:r>
    </w:p>
    <w:p w:rsidR="00C157C8" w:rsidRPr="00C157C8" w:rsidRDefault="00C157C8">
      <w:pPr>
        <w:pStyle w:val="Index2"/>
        <w:rPr>
          <w:rtl/>
        </w:rPr>
      </w:pPr>
      <w:r w:rsidRPr="00C157C8">
        <w:rPr>
          <w:rtl/>
          <w:lang w:bidi="he-IL"/>
        </w:rPr>
        <w:t>הכשר תנור לפסח</w:t>
      </w:r>
      <w:r w:rsidRPr="00C157C8">
        <w:rPr>
          <w:rtl/>
        </w:rPr>
        <w:tab/>
        <w:t>527</w:t>
      </w:r>
    </w:p>
    <w:p w:rsidR="00C157C8" w:rsidRPr="00C157C8" w:rsidRDefault="00C157C8">
      <w:pPr>
        <w:pStyle w:val="Index2"/>
        <w:rPr>
          <w:rtl/>
        </w:rPr>
      </w:pPr>
      <w:r w:rsidRPr="00C157C8">
        <w:rPr>
          <w:rtl/>
          <w:lang w:bidi="he-IL"/>
        </w:rPr>
        <w:t>הצנעת כלי פסח</w:t>
      </w:r>
      <w:r w:rsidRPr="00C157C8">
        <w:rPr>
          <w:rtl/>
        </w:rPr>
        <w:tab/>
        <w:t>504</w:t>
      </w:r>
    </w:p>
    <w:p w:rsidR="00C157C8" w:rsidRPr="00C157C8" w:rsidRDefault="00C157C8">
      <w:pPr>
        <w:pStyle w:val="Index2"/>
        <w:rPr>
          <w:rtl/>
        </w:rPr>
      </w:pPr>
      <w:r w:rsidRPr="00C157C8">
        <w:rPr>
          <w:rtl/>
          <w:lang w:bidi="he-IL"/>
        </w:rPr>
        <w:t>השתמשות באותו סכין לבשר ולחלב</w:t>
      </w:r>
      <w:r w:rsidRPr="00C157C8">
        <w:rPr>
          <w:rtl/>
        </w:rPr>
        <w:tab/>
        <w:t>186</w:t>
      </w:r>
    </w:p>
    <w:p w:rsidR="00C157C8" w:rsidRPr="00C157C8" w:rsidRDefault="00C157C8">
      <w:pPr>
        <w:pStyle w:val="Index2"/>
        <w:rPr>
          <w:rtl/>
        </w:rPr>
      </w:pPr>
      <w:r w:rsidRPr="00C157C8">
        <w:rPr>
          <w:rtl/>
          <w:lang w:bidi="he-IL"/>
        </w:rPr>
        <w:t>התורה העידה על כלי חרס שאין יוצא מידי דופיו לעולם</w:t>
      </w:r>
      <w:r w:rsidRPr="00C157C8">
        <w:rPr>
          <w:rtl/>
        </w:rPr>
        <w:tab/>
        <w:t>478</w:t>
      </w:r>
    </w:p>
    <w:p w:rsidR="00C157C8" w:rsidRPr="00C157C8" w:rsidRDefault="00C157C8">
      <w:pPr>
        <w:pStyle w:val="Index2"/>
        <w:rPr>
          <w:rtl/>
        </w:rPr>
      </w:pPr>
      <w:r w:rsidRPr="00C157C8">
        <w:rPr>
          <w:rtl/>
          <w:lang w:bidi="he-IL"/>
        </w:rPr>
        <w:t>התערב כלי הטעון הכשר בשאר כלים</w:t>
      </w:r>
      <w:r w:rsidRPr="00C157C8">
        <w:rPr>
          <w:rtl/>
        </w:rPr>
        <w:tab/>
        <w:t>349</w:t>
      </w:r>
    </w:p>
    <w:p w:rsidR="00C157C8" w:rsidRPr="00C157C8" w:rsidRDefault="00C157C8">
      <w:pPr>
        <w:pStyle w:val="Index2"/>
        <w:rPr>
          <w:rtl/>
        </w:rPr>
      </w:pPr>
      <w:r w:rsidRPr="00C157C8">
        <w:rPr>
          <w:rtl/>
          <w:lang w:bidi="he-IL"/>
        </w:rPr>
        <w:t>חדשים</w:t>
      </w:r>
      <w:r w:rsidRPr="00C157C8">
        <w:rPr>
          <w:rtl/>
        </w:rPr>
        <w:tab/>
        <w:t>530</w:t>
      </w:r>
    </w:p>
    <w:p w:rsidR="00C157C8" w:rsidRPr="00C157C8" w:rsidRDefault="00C157C8">
      <w:pPr>
        <w:pStyle w:val="Index2"/>
        <w:rPr>
          <w:rtl/>
        </w:rPr>
      </w:pPr>
      <w:r w:rsidRPr="00C157C8">
        <w:rPr>
          <w:rtl/>
          <w:lang w:bidi="he-IL"/>
        </w:rPr>
        <w:t>חוזר וניעור בהגעלת כלים</w:t>
      </w:r>
      <w:r w:rsidRPr="00C157C8">
        <w:rPr>
          <w:rtl/>
        </w:rPr>
        <w:tab/>
        <w:t>488</w:t>
      </w:r>
    </w:p>
    <w:p w:rsidR="00C157C8" w:rsidRPr="00C157C8" w:rsidRDefault="00C157C8">
      <w:pPr>
        <w:pStyle w:val="Index2"/>
        <w:rPr>
          <w:rtl/>
        </w:rPr>
      </w:pPr>
      <w:r w:rsidRPr="00C157C8">
        <w:rPr>
          <w:rtl/>
          <w:lang w:bidi="he-IL"/>
        </w:rPr>
        <w:t>טבעות הידים</w:t>
      </w:r>
      <w:r w:rsidRPr="00C157C8">
        <w:rPr>
          <w:rtl/>
        </w:rPr>
        <w:tab/>
        <w:t>531</w:t>
      </w:r>
    </w:p>
    <w:p w:rsidR="00C157C8" w:rsidRPr="00C157C8" w:rsidRDefault="00C157C8">
      <w:pPr>
        <w:pStyle w:val="Index2"/>
        <w:rPr>
          <w:rtl/>
        </w:rPr>
      </w:pPr>
      <w:r w:rsidRPr="00C157C8">
        <w:rPr>
          <w:rtl/>
          <w:lang w:bidi="he-IL"/>
        </w:rPr>
        <w:t>ידות הכלים</w:t>
      </w:r>
      <w:r w:rsidRPr="00C157C8">
        <w:rPr>
          <w:rtl/>
        </w:rPr>
        <w:tab/>
        <w:t>514</w:t>
      </w:r>
    </w:p>
    <w:p w:rsidR="00C157C8" w:rsidRPr="00C157C8" w:rsidRDefault="00C157C8">
      <w:pPr>
        <w:pStyle w:val="Index2"/>
        <w:rPr>
          <w:rtl/>
        </w:rPr>
      </w:pPr>
      <w:r w:rsidRPr="00C157C8">
        <w:rPr>
          <w:rtl/>
          <w:lang w:bidi="he-IL"/>
        </w:rPr>
        <w:t>כיסוי ע</w:t>
      </w:r>
      <w:r w:rsidRPr="00C157C8">
        <w:rPr>
          <w:rtl/>
        </w:rPr>
        <w:t>"</w:t>
      </w:r>
      <w:r w:rsidRPr="00C157C8">
        <w:rPr>
          <w:rtl/>
          <w:lang w:bidi="he-IL"/>
        </w:rPr>
        <w:t>ג החררה</w:t>
      </w:r>
      <w:r w:rsidRPr="00C157C8">
        <w:rPr>
          <w:rtl/>
        </w:rPr>
        <w:tab/>
        <w:t>518</w:t>
      </w:r>
    </w:p>
    <w:p w:rsidR="00C157C8" w:rsidRPr="00C157C8" w:rsidRDefault="00C157C8">
      <w:pPr>
        <w:pStyle w:val="Index2"/>
        <w:rPr>
          <w:rtl/>
        </w:rPr>
      </w:pPr>
      <w:r w:rsidRPr="00C157C8">
        <w:rPr>
          <w:rtl/>
          <w:lang w:bidi="he-IL"/>
        </w:rPr>
        <w:t>כל יום נעשה גיעול לחבירו</w:t>
      </w:r>
      <w:r w:rsidRPr="00C157C8">
        <w:rPr>
          <w:rtl/>
        </w:rPr>
        <w:tab/>
        <w:t>468</w:t>
      </w:r>
    </w:p>
    <w:p w:rsidR="00C157C8" w:rsidRPr="00C157C8" w:rsidRDefault="00C157C8">
      <w:pPr>
        <w:pStyle w:val="Index2"/>
        <w:rPr>
          <w:rtl/>
        </w:rPr>
      </w:pPr>
      <w:r w:rsidRPr="00C157C8">
        <w:rPr>
          <w:rtl/>
          <w:lang w:bidi="he-IL"/>
        </w:rPr>
        <w:t>כלי חרס שהתמשו בה צונן</w:t>
      </w:r>
      <w:r w:rsidRPr="00C157C8">
        <w:rPr>
          <w:rtl/>
        </w:rPr>
        <w:tab/>
        <w:t>526</w:t>
      </w:r>
    </w:p>
    <w:p w:rsidR="00C157C8" w:rsidRPr="00C157C8" w:rsidRDefault="00C157C8">
      <w:pPr>
        <w:pStyle w:val="Index2"/>
        <w:rPr>
          <w:rtl/>
        </w:rPr>
      </w:pPr>
      <w:r w:rsidRPr="00C157C8">
        <w:rPr>
          <w:rtl/>
          <w:lang w:bidi="he-IL"/>
        </w:rPr>
        <w:t>כלי קוניא</w:t>
      </w:r>
      <w:r w:rsidRPr="00C157C8">
        <w:rPr>
          <w:rtl/>
        </w:rPr>
        <w:tab/>
        <w:t>484</w:t>
      </w:r>
    </w:p>
    <w:p w:rsidR="00C157C8" w:rsidRPr="00C157C8" w:rsidRDefault="00C157C8">
      <w:pPr>
        <w:pStyle w:val="Index2"/>
        <w:rPr>
          <w:rtl/>
        </w:rPr>
      </w:pPr>
      <w:r w:rsidRPr="00C157C8">
        <w:rPr>
          <w:rtl/>
          <w:lang w:bidi="he-IL"/>
        </w:rPr>
        <w:t>כלי שבלע ואחר מעל</w:t>
      </w:r>
      <w:r w:rsidRPr="00C157C8">
        <w:rPr>
          <w:rtl/>
        </w:rPr>
        <w:t>"</w:t>
      </w:r>
      <w:r w:rsidRPr="00C157C8">
        <w:rPr>
          <w:rtl/>
          <w:lang w:bidi="he-IL"/>
        </w:rPr>
        <w:t xml:space="preserve">ע בלע חלב </w:t>
      </w:r>
      <w:r w:rsidRPr="00C157C8">
        <w:rPr>
          <w:rtl/>
        </w:rPr>
        <w:t xml:space="preserve">- </w:t>
      </w:r>
      <w:r w:rsidRPr="00C157C8">
        <w:rPr>
          <w:rtl/>
          <w:lang w:bidi="he-IL"/>
        </w:rPr>
        <w:t xml:space="preserve">מה דינו </w:t>
      </w:r>
      <w:r w:rsidRPr="00C157C8">
        <w:rPr>
          <w:rtl/>
        </w:rPr>
        <w:t>(</w:t>
      </w:r>
      <w:r w:rsidRPr="00C157C8">
        <w:rPr>
          <w:rtl/>
          <w:lang w:bidi="he-IL"/>
        </w:rPr>
        <w:t>ובירקות</w:t>
      </w:r>
      <w:r w:rsidRPr="00C157C8">
        <w:rPr>
          <w:rtl/>
        </w:rPr>
        <w:t>)</w:t>
      </w:r>
      <w:r w:rsidRPr="00C157C8">
        <w:rPr>
          <w:rtl/>
        </w:rPr>
        <w:tab/>
        <w:t>242</w:t>
      </w:r>
    </w:p>
    <w:p w:rsidR="00C157C8" w:rsidRPr="00C157C8" w:rsidRDefault="00C157C8">
      <w:pPr>
        <w:pStyle w:val="Index2"/>
        <w:rPr>
          <w:rtl/>
        </w:rPr>
      </w:pPr>
      <w:r w:rsidRPr="00C157C8">
        <w:rPr>
          <w:rtl/>
          <w:lang w:bidi="he-IL"/>
        </w:rPr>
        <w:t>כלי שיש לו תלאי</w:t>
      </w:r>
      <w:r w:rsidRPr="00C157C8">
        <w:rPr>
          <w:rtl/>
        </w:rPr>
        <w:tab/>
        <w:t>517</w:t>
      </w:r>
    </w:p>
    <w:p w:rsidR="00C157C8" w:rsidRPr="00C157C8" w:rsidRDefault="00C157C8">
      <w:pPr>
        <w:pStyle w:val="Index2"/>
        <w:rPr>
          <w:rtl/>
        </w:rPr>
      </w:pPr>
      <w:r w:rsidRPr="00C157C8">
        <w:rPr>
          <w:rtl/>
          <w:lang w:bidi="he-IL"/>
        </w:rPr>
        <w:t>כלי שני שאינו בן יומו שבלע חמץ</w:t>
      </w:r>
      <w:r w:rsidRPr="00C157C8">
        <w:rPr>
          <w:rtl/>
        </w:rPr>
        <w:tab/>
        <w:t>506</w:t>
      </w:r>
    </w:p>
    <w:p w:rsidR="00C157C8" w:rsidRPr="00C157C8" w:rsidRDefault="00C157C8">
      <w:pPr>
        <w:pStyle w:val="Index2"/>
        <w:rPr>
          <w:rtl/>
        </w:rPr>
      </w:pPr>
      <w:r w:rsidRPr="00C157C8">
        <w:rPr>
          <w:rtl/>
          <w:lang w:bidi="he-IL"/>
        </w:rPr>
        <w:t xml:space="preserve">כלי </w:t>
      </w:r>
      <w:r w:rsidR="0054514F">
        <w:rPr>
          <w:rtl/>
          <w:lang w:bidi="he-IL"/>
        </w:rPr>
        <w:t>תשמישתו</w:t>
      </w:r>
      <w:r w:rsidRPr="00C157C8">
        <w:rPr>
          <w:rtl/>
          <w:lang w:bidi="he-IL"/>
        </w:rPr>
        <w:t xml:space="preserve"> בשפע</w:t>
      </w:r>
      <w:r w:rsidRPr="00C157C8">
        <w:rPr>
          <w:rtl/>
        </w:rPr>
        <w:tab/>
        <w:t>329</w:t>
      </w:r>
    </w:p>
    <w:p w:rsidR="00C157C8" w:rsidRPr="00C157C8" w:rsidRDefault="00C157C8">
      <w:pPr>
        <w:pStyle w:val="Index2"/>
        <w:rPr>
          <w:rtl/>
        </w:rPr>
      </w:pPr>
      <w:r w:rsidRPr="00C157C8">
        <w:rPr>
          <w:rtl/>
          <w:lang w:bidi="he-IL"/>
        </w:rPr>
        <w:t>כלים הבלועים הרבה חמץ</w:t>
      </w:r>
      <w:r w:rsidRPr="00C157C8">
        <w:rPr>
          <w:rtl/>
        </w:rPr>
        <w:tab/>
        <w:t>503</w:t>
      </w:r>
    </w:p>
    <w:p w:rsidR="00C157C8" w:rsidRPr="00C157C8" w:rsidRDefault="00C157C8">
      <w:pPr>
        <w:pStyle w:val="Index2"/>
        <w:rPr>
          <w:rtl/>
        </w:rPr>
      </w:pPr>
      <w:r w:rsidRPr="00C157C8">
        <w:rPr>
          <w:rtl/>
          <w:lang w:bidi="he-IL"/>
        </w:rPr>
        <w:t>כשנטף חלב על הכלי</w:t>
      </w:r>
      <w:r w:rsidRPr="00C157C8">
        <w:rPr>
          <w:rtl/>
        </w:rPr>
        <w:tab/>
        <w:t>241</w:t>
      </w:r>
    </w:p>
    <w:p w:rsidR="00C157C8" w:rsidRPr="00C157C8" w:rsidRDefault="00C157C8">
      <w:pPr>
        <w:pStyle w:val="Index2"/>
        <w:rPr>
          <w:rtl/>
        </w:rPr>
      </w:pPr>
      <w:r w:rsidRPr="00C157C8">
        <w:rPr>
          <w:rtl/>
          <w:lang w:bidi="he-IL"/>
        </w:rPr>
        <w:t>להכשיר מבשר לחלב או להיפך</w:t>
      </w:r>
      <w:r w:rsidRPr="00C157C8">
        <w:rPr>
          <w:rtl/>
        </w:rPr>
        <w:tab/>
        <w:t>508</w:t>
      </w:r>
    </w:p>
    <w:p w:rsidR="00C157C8" w:rsidRPr="00C157C8" w:rsidRDefault="00C157C8">
      <w:pPr>
        <w:pStyle w:val="Index2"/>
        <w:rPr>
          <w:rtl/>
        </w:rPr>
      </w:pPr>
      <w:r w:rsidRPr="00C157C8">
        <w:rPr>
          <w:rtl/>
          <w:lang w:bidi="he-IL"/>
        </w:rPr>
        <w:t>להשתמש צונן בכלי הטעון הכשר</w:t>
      </w:r>
      <w:r w:rsidRPr="00C157C8">
        <w:rPr>
          <w:rtl/>
        </w:rPr>
        <w:tab/>
        <w:t>498</w:t>
      </w:r>
    </w:p>
    <w:p w:rsidR="00C157C8" w:rsidRPr="00C157C8" w:rsidRDefault="00C157C8">
      <w:pPr>
        <w:pStyle w:val="Index2"/>
        <w:rPr>
          <w:rtl/>
        </w:rPr>
      </w:pPr>
      <w:r w:rsidRPr="00C157C8">
        <w:rPr>
          <w:rtl/>
          <w:lang w:bidi="he-IL"/>
        </w:rPr>
        <w:t>ליבון חמור</w:t>
      </w:r>
      <w:r w:rsidRPr="00C157C8">
        <w:rPr>
          <w:rtl/>
        </w:rPr>
        <w:tab/>
        <w:t>511</w:t>
      </w:r>
    </w:p>
    <w:p w:rsidR="00C157C8" w:rsidRPr="00C157C8" w:rsidRDefault="00C157C8">
      <w:pPr>
        <w:pStyle w:val="Index2"/>
        <w:rPr>
          <w:rtl/>
        </w:rPr>
      </w:pPr>
      <w:r w:rsidRPr="00C157C8">
        <w:rPr>
          <w:rtl/>
          <w:lang w:bidi="he-IL"/>
        </w:rPr>
        <w:t>ליבון קל</w:t>
      </w:r>
      <w:r w:rsidRPr="00C157C8">
        <w:rPr>
          <w:rtl/>
        </w:rPr>
        <w:tab/>
        <w:t>510</w:t>
      </w:r>
    </w:p>
    <w:p w:rsidR="00C157C8" w:rsidRPr="00C157C8" w:rsidRDefault="00C157C8">
      <w:pPr>
        <w:pStyle w:val="Index2"/>
        <w:rPr>
          <w:rtl/>
        </w:rPr>
      </w:pPr>
      <w:r w:rsidRPr="00C157C8">
        <w:rPr>
          <w:rtl/>
          <w:lang w:bidi="he-IL"/>
        </w:rPr>
        <w:t>מה נחשב תשמישתו ע</w:t>
      </w:r>
      <w:r w:rsidRPr="00C157C8">
        <w:rPr>
          <w:rtl/>
        </w:rPr>
        <w:t>"</w:t>
      </w:r>
      <w:r w:rsidRPr="00C157C8">
        <w:rPr>
          <w:rtl/>
          <w:lang w:bidi="he-IL"/>
        </w:rPr>
        <w:t>י האור</w:t>
      </w:r>
      <w:r w:rsidRPr="00C157C8">
        <w:rPr>
          <w:rtl/>
        </w:rPr>
        <w:tab/>
        <w:t>493</w:t>
      </w:r>
    </w:p>
    <w:p w:rsidR="00C157C8" w:rsidRPr="00C157C8" w:rsidRDefault="00C157C8">
      <w:pPr>
        <w:pStyle w:val="Index2"/>
        <w:rPr>
          <w:rtl/>
        </w:rPr>
      </w:pPr>
      <w:r w:rsidRPr="00C157C8">
        <w:rPr>
          <w:rtl/>
          <w:lang w:bidi="he-IL"/>
        </w:rPr>
        <w:t>מצא כלי של מין א</w:t>
      </w:r>
      <w:r w:rsidRPr="00C157C8">
        <w:rPr>
          <w:rtl/>
        </w:rPr>
        <w:t>'</w:t>
      </w:r>
      <w:r w:rsidRPr="00C157C8">
        <w:rPr>
          <w:rtl/>
          <w:lang w:bidi="he-IL"/>
        </w:rPr>
        <w:t xml:space="preserve"> בתוך כלים של המין השני</w:t>
      </w:r>
      <w:r w:rsidRPr="00C157C8">
        <w:rPr>
          <w:rtl/>
        </w:rPr>
        <w:tab/>
        <w:t>278</w:t>
      </w:r>
    </w:p>
    <w:p w:rsidR="00C157C8" w:rsidRPr="00C157C8" w:rsidRDefault="00C157C8">
      <w:pPr>
        <w:pStyle w:val="Index2"/>
        <w:rPr>
          <w:rtl/>
        </w:rPr>
      </w:pPr>
      <w:r w:rsidRPr="00C157C8">
        <w:rPr>
          <w:rtl/>
          <w:lang w:bidi="he-IL"/>
        </w:rPr>
        <w:t>נגיעת כלי בכלי בשעת הגעלה</w:t>
      </w:r>
      <w:r w:rsidRPr="00C157C8">
        <w:rPr>
          <w:rtl/>
        </w:rPr>
        <w:tab/>
        <w:t>490</w:t>
      </w:r>
    </w:p>
    <w:p w:rsidR="00C157C8" w:rsidRPr="00C157C8" w:rsidRDefault="00C157C8">
      <w:pPr>
        <w:pStyle w:val="Index2"/>
        <w:rPr>
          <w:rtl/>
        </w:rPr>
      </w:pPr>
      <w:r w:rsidRPr="00C157C8">
        <w:rPr>
          <w:rtl/>
          <w:lang w:bidi="he-IL"/>
        </w:rPr>
        <w:lastRenderedPageBreak/>
        <w:t>סוגיית הגמרא דמסכת פסחים דף ל</w:t>
      </w:r>
      <w:r w:rsidRPr="00C157C8">
        <w:rPr>
          <w:rtl/>
        </w:rPr>
        <w:t>'</w:t>
      </w:r>
      <w:r w:rsidRPr="00C157C8">
        <w:rPr>
          <w:rtl/>
        </w:rPr>
        <w:tab/>
        <w:t>473</w:t>
      </w:r>
    </w:p>
    <w:p w:rsidR="00C157C8" w:rsidRPr="00C157C8" w:rsidRDefault="00C157C8">
      <w:pPr>
        <w:pStyle w:val="Index2"/>
        <w:rPr>
          <w:rtl/>
        </w:rPr>
      </w:pPr>
      <w:r w:rsidRPr="00C157C8">
        <w:rPr>
          <w:rtl/>
          <w:lang w:bidi="he-IL"/>
        </w:rPr>
        <w:t>ע</w:t>
      </w:r>
      <w:r w:rsidRPr="00C157C8">
        <w:rPr>
          <w:rtl/>
        </w:rPr>
        <w:t>"</w:t>
      </w:r>
      <w:r w:rsidRPr="00C157C8">
        <w:rPr>
          <w:rtl/>
          <w:lang w:bidi="he-IL"/>
        </w:rPr>
        <w:t xml:space="preserve">י זיעה </w:t>
      </w:r>
      <w:r w:rsidRPr="00C157C8">
        <w:rPr>
          <w:rtl/>
        </w:rPr>
        <w:t>(</w:t>
      </w:r>
      <w:r w:rsidRPr="00C157C8">
        <w:rPr>
          <w:rtl/>
          <w:lang w:bidi="he-IL"/>
        </w:rPr>
        <w:t>קיטור</w:t>
      </w:r>
      <w:r w:rsidRPr="00C157C8">
        <w:rPr>
          <w:rtl/>
        </w:rPr>
        <w:t>)</w:t>
      </w:r>
      <w:r w:rsidRPr="00C157C8">
        <w:rPr>
          <w:rtl/>
        </w:rPr>
        <w:tab/>
        <w:t>518</w:t>
      </w:r>
    </w:p>
    <w:p w:rsidR="00C157C8" w:rsidRPr="00C157C8" w:rsidRDefault="00C157C8">
      <w:pPr>
        <w:pStyle w:val="Index2"/>
        <w:rPr>
          <w:rtl/>
        </w:rPr>
      </w:pPr>
      <w:r w:rsidRPr="00C157C8">
        <w:rPr>
          <w:rtl/>
          <w:lang w:bidi="he-IL"/>
        </w:rPr>
        <w:t>רוב תשמישתו</w:t>
      </w:r>
      <w:r w:rsidRPr="00C157C8">
        <w:rPr>
          <w:rtl/>
        </w:rPr>
        <w:tab/>
        <w:t>507, 523</w:t>
      </w:r>
    </w:p>
    <w:p w:rsidR="00C157C8" w:rsidRPr="00C157C8" w:rsidRDefault="00C157C8">
      <w:pPr>
        <w:pStyle w:val="Index2"/>
        <w:rPr>
          <w:rtl/>
        </w:rPr>
      </w:pPr>
      <w:r w:rsidRPr="00C157C8">
        <w:rPr>
          <w:rtl/>
          <w:lang w:bidi="he-IL"/>
        </w:rPr>
        <w:t>רושם וציורים בכלים</w:t>
      </w:r>
      <w:r w:rsidRPr="00C157C8">
        <w:rPr>
          <w:rtl/>
        </w:rPr>
        <w:tab/>
        <w:t>517</w:t>
      </w:r>
    </w:p>
    <w:p w:rsidR="00C157C8" w:rsidRPr="00C157C8" w:rsidRDefault="00C157C8">
      <w:pPr>
        <w:pStyle w:val="Index2"/>
        <w:rPr>
          <w:rtl/>
        </w:rPr>
      </w:pPr>
      <w:r w:rsidRPr="00C157C8">
        <w:rPr>
          <w:rtl/>
          <w:lang w:bidi="he-IL"/>
        </w:rPr>
        <w:t>שאינם בני יומן</w:t>
      </w:r>
      <w:r w:rsidRPr="00C157C8">
        <w:rPr>
          <w:rtl/>
        </w:rPr>
        <w:tab/>
        <w:t>489</w:t>
      </w:r>
    </w:p>
    <w:p w:rsidR="00C157C8" w:rsidRPr="00C157C8" w:rsidRDefault="00C157C8">
      <w:pPr>
        <w:pStyle w:val="Index2"/>
        <w:rPr>
          <w:rtl/>
        </w:rPr>
      </w:pPr>
      <w:r w:rsidRPr="00C157C8">
        <w:rPr>
          <w:rtl/>
          <w:lang w:bidi="he-IL"/>
        </w:rPr>
        <w:t>שאר מיני כלים שאין החומר שלהם מוזכר בגמ</w:t>
      </w:r>
      <w:r w:rsidRPr="00C157C8">
        <w:rPr>
          <w:rtl/>
        </w:rPr>
        <w:t>'</w:t>
      </w:r>
      <w:r w:rsidRPr="00C157C8">
        <w:rPr>
          <w:rtl/>
        </w:rPr>
        <w:tab/>
        <w:t>512</w:t>
      </w:r>
    </w:p>
    <w:p w:rsidR="00C157C8" w:rsidRPr="00C157C8" w:rsidRDefault="00C157C8">
      <w:pPr>
        <w:pStyle w:val="Index2"/>
        <w:rPr>
          <w:rtl/>
        </w:rPr>
      </w:pPr>
      <w:r w:rsidRPr="00C157C8">
        <w:rPr>
          <w:rtl/>
          <w:lang w:bidi="he-IL"/>
        </w:rPr>
        <w:t>שיטת רב שקדרות בפסח ישברו</w:t>
      </w:r>
      <w:r w:rsidRPr="00C157C8">
        <w:rPr>
          <w:rtl/>
        </w:rPr>
        <w:tab/>
        <w:t>473</w:t>
      </w:r>
    </w:p>
    <w:p w:rsidR="00C157C8" w:rsidRPr="00C157C8" w:rsidRDefault="00C157C8">
      <w:pPr>
        <w:pStyle w:val="Index2"/>
        <w:rPr>
          <w:rtl/>
        </w:rPr>
      </w:pPr>
      <w:r w:rsidRPr="00C157C8">
        <w:rPr>
          <w:rtl/>
          <w:lang w:bidi="he-IL"/>
        </w:rPr>
        <w:t>תהליך הגעלה לכתחילה</w:t>
      </w:r>
      <w:r w:rsidRPr="00C157C8">
        <w:rPr>
          <w:rtl/>
        </w:rPr>
        <w:tab/>
        <w:t>487</w:t>
      </w:r>
    </w:p>
    <w:p w:rsidR="00C157C8" w:rsidRPr="00C157C8" w:rsidRDefault="00C157C8">
      <w:pPr>
        <w:pStyle w:val="Index1"/>
        <w:rPr>
          <w:rtl/>
        </w:rPr>
      </w:pPr>
      <w:r w:rsidRPr="00C157C8">
        <w:rPr>
          <w:rtl/>
          <w:lang w:bidi="he-IL"/>
        </w:rPr>
        <w:t xml:space="preserve">הכשר כלים </w:t>
      </w:r>
      <w:r w:rsidRPr="00C157C8">
        <w:rPr>
          <w:rtl/>
        </w:rPr>
        <w:t xml:space="preserve">- </w:t>
      </w:r>
      <w:r w:rsidRPr="00C157C8">
        <w:rPr>
          <w:rtl/>
          <w:lang w:bidi="he-IL"/>
        </w:rPr>
        <w:t>רוב תשמישתו</w:t>
      </w:r>
    </w:p>
    <w:p w:rsidR="00C157C8" w:rsidRPr="00C157C8" w:rsidRDefault="00C157C8">
      <w:pPr>
        <w:pStyle w:val="Index2"/>
        <w:rPr>
          <w:rtl/>
        </w:rPr>
      </w:pPr>
      <w:r w:rsidRPr="00C157C8">
        <w:rPr>
          <w:rtl/>
          <w:lang w:bidi="he-IL"/>
        </w:rPr>
        <w:t>דברי הבית מאיר בזה</w:t>
      </w:r>
      <w:r w:rsidRPr="00C157C8">
        <w:rPr>
          <w:rtl/>
        </w:rPr>
        <w:tab/>
        <w:t>287</w:t>
      </w:r>
    </w:p>
    <w:p w:rsidR="00C157C8" w:rsidRPr="00C157C8" w:rsidRDefault="00C157C8">
      <w:pPr>
        <w:pStyle w:val="Index1"/>
        <w:rPr>
          <w:rtl/>
        </w:rPr>
      </w:pPr>
      <w:r w:rsidRPr="00C157C8">
        <w:rPr>
          <w:rtl/>
          <w:lang w:bidi="he-IL"/>
        </w:rPr>
        <w:t>המתנה בין בשר לחלב</w:t>
      </w:r>
      <w:r w:rsidRPr="00C157C8">
        <w:rPr>
          <w:rtl/>
        </w:rPr>
        <w:tab/>
      </w:r>
      <w:r w:rsidRPr="00C157C8">
        <w:rPr>
          <w:rtl/>
          <w:lang w:bidi="he-IL"/>
        </w:rPr>
        <w:t>ע</w:t>
      </w:r>
      <w:r w:rsidRPr="00C157C8">
        <w:rPr>
          <w:rtl/>
        </w:rPr>
        <w:t xml:space="preserve">' </w:t>
      </w:r>
      <w:r w:rsidRPr="00C157C8">
        <w:rPr>
          <w:rtl/>
          <w:lang w:bidi="he-IL"/>
        </w:rPr>
        <w:t xml:space="preserve">בשר בחלב </w:t>
      </w:r>
      <w:r w:rsidRPr="00C157C8">
        <w:rPr>
          <w:rtl/>
        </w:rPr>
        <w:t xml:space="preserve">- </w:t>
      </w:r>
      <w:r w:rsidRPr="00C157C8">
        <w:rPr>
          <w:rtl/>
          <w:lang w:bidi="he-IL"/>
        </w:rPr>
        <w:t>חיוב המתנה</w:t>
      </w:r>
    </w:p>
    <w:p w:rsidR="00C157C8" w:rsidRPr="00C157C8" w:rsidRDefault="00C157C8">
      <w:pPr>
        <w:pStyle w:val="Index1"/>
        <w:rPr>
          <w:rtl/>
        </w:rPr>
      </w:pPr>
      <w:r w:rsidRPr="00C157C8">
        <w:rPr>
          <w:rtl/>
          <w:lang w:bidi="he-IL"/>
        </w:rPr>
        <w:t>העברת טעם</w:t>
      </w:r>
      <w:r w:rsidRPr="00C157C8">
        <w:rPr>
          <w:rtl/>
        </w:rPr>
        <w:tab/>
      </w:r>
      <w:r w:rsidRPr="00C157C8">
        <w:rPr>
          <w:rtl/>
          <w:lang w:bidi="he-IL"/>
        </w:rPr>
        <w:t>ע</w:t>
      </w:r>
      <w:r w:rsidRPr="00C157C8">
        <w:rPr>
          <w:rtl/>
        </w:rPr>
        <w:t xml:space="preserve">' </w:t>
      </w:r>
      <w:r w:rsidRPr="00C157C8">
        <w:rPr>
          <w:rtl/>
          <w:lang w:bidi="he-IL"/>
        </w:rPr>
        <w:t>צלי</w:t>
      </w:r>
    </w:p>
    <w:p w:rsidR="00C157C8" w:rsidRPr="00C157C8" w:rsidRDefault="00C157C8">
      <w:pPr>
        <w:pStyle w:val="Index2"/>
        <w:rPr>
          <w:rtl/>
        </w:rPr>
      </w:pPr>
      <w:r w:rsidRPr="00C157C8">
        <w:rPr>
          <w:rtl/>
          <w:lang w:bidi="he-IL"/>
        </w:rPr>
        <w:t>בכלי</w:t>
      </w:r>
      <w:r w:rsidRPr="00C157C8">
        <w:rPr>
          <w:rtl/>
        </w:rPr>
        <w:tab/>
        <w:t>412</w:t>
      </w:r>
    </w:p>
    <w:p w:rsidR="00C157C8" w:rsidRPr="00C157C8" w:rsidRDefault="00C157C8">
      <w:pPr>
        <w:pStyle w:val="Index2"/>
        <w:rPr>
          <w:rtl/>
        </w:rPr>
      </w:pPr>
      <w:r w:rsidRPr="00C157C8">
        <w:rPr>
          <w:rtl/>
          <w:lang w:bidi="he-IL"/>
        </w:rPr>
        <w:t>בכלי שלישי</w:t>
      </w:r>
      <w:r w:rsidRPr="00C157C8">
        <w:rPr>
          <w:rtl/>
        </w:rPr>
        <w:tab/>
        <w:t>394</w:t>
      </w:r>
    </w:p>
    <w:p w:rsidR="00C157C8" w:rsidRPr="00C157C8" w:rsidRDefault="00C157C8">
      <w:pPr>
        <w:pStyle w:val="Index2"/>
        <w:rPr>
          <w:rtl/>
        </w:rPr>
      </w:pPr>
      <w:r w:rsidRPr="00C157C8">
        <w:rPr>
          <w:rtl/>
          <w:lang w:bidi="he-IL"/>
        </w:rPr>
        <w:t>דבר גוש בכלי שני</w:t>
      </w:r>
      <w:r w:rsidRPr="00C157C8">
        <w:rPr>
          <w:rtl/>
        </w:rPr>
        <w:tab/>
        <w:t>398</w:t>
      </w:r>
    </w:p>
    <w:p w:rsidR="00C157C8" w:rsidRPr="00C157C8" w:rsidRDefault="00C157C8">
      <w:pPr>
        <w:pStyle w:val="Index2"/>
        <w:rPr>
          <w:rtl/>
        </w:rPr>
      </w:pPr>
      <w:r w:rsidRPr="00C157C8">
        <w:rPr>
          <w:rtl/>
          <w:lang w:bidi="he-IL"/>
        </w:rPr>
        <w:t>דבר גוש בכלי שני עם דוחקא דסכינא</w:t>
      </w:r>
      <w:r w:rsidRPr="00C157C8">
        <w:rPr>
          <w:rtl/>
        </w:rPr>
        <w:tab/>
        <w:t>403</w:t>
      </w:r>
    </w:p>
    <w:p w:rsidR="00C157C8" w:rsidRPr="00C157C8" w:rsidRDefault="00C157C8">
      <w:pPr>
        <w:pStyle w:val="Index2"/>
        <w:rPr>
          <w:rtl/>
        </w:rPr>
      </w:pPr>
      <w:r w:rsidRPr="00C157C8">
        <w:rPr>
          <w:rtl/>
          <w:lang w:bidi="he-IL"/>
        </w:rPr>
        <w:t>חם בצד צונן</w:t>
      </w:r>
      <w:r w:rsidRPr="00C157C8">
        <w:rPr>
          <w:rtl/>
        </w:rPr>
        <w:tab/>
        <w:t>400</w:t>
      </w:r>
    </w:p>
    <w:p w:rsidR="00C157C8" w:rsidRPr="00C157C8" w:rsidRDefault="00C157C8">
      <w:pPr>
        <w:pStyle w:val="Index2"/>
        <w:rPr>
          <w:rtl/>
        </w:rPr>
      </w:pPr>
      <w:r w:rsidRPr="00C157C8">
        <w:rPr>
          <w:rtl/>
          <w:lang w:bidi="he-IL"/>
        </w:rPr>
        <w:t xml:space="preserve">יד סולדת בו </w:t>
      </w:r>
      <w:r w:rsidRPr="00C157C8">
        <w:rPr>
          <w:rtl/>
        </w:rPr>
        <w:t xml:space="preserve">- </w:t>
      </w:r>
      <w:r w:rsidRPr="00C157C8">
        <w:rPr>
          <w:rtl/>
          <w:lang w:bidi="he-IL"/>
        </w:rPr>
        <w:t>מהו השיעור</w:t>
      </w:r>
      <w:r w:rsidRPr="00C157C8">
        <w:rPr>
          <w:rtl/>
        </w:rPr>
        <w:tab/>
        <w:t>399</w:t>
      </w:r>
    </w:p>
    <w:p w:rsidR="00C157C8" w:rsidRPr="00C157C8" w:rsidRDefault="00C157C8">
      <w:pPr>
        <w:pStyle w:val="Index2"/>
        <w:rPr>
          <w:rtl/>
        </w:rPr>
      </w:pPr>
      <w:r w:rsidRPr="00C157C8">
        <w:rPr>
          <w:rtl/>
          <w:lang w:bidi="he-IL"/>
        </w:rPr>
        <w:t>כלי שני</w:t>
      </w:r>
      <w:r w:rsidRPr="00C157C8">
        <w:rPr>
          <w:rtl/>
        </w:rPr>
        <w:tab/>
        <w:t>397</w:t>
      </w:r>
    </w:p>
    <w:p w:rsidR="00C157C8" w:rsidRPr="00C157C8" w:rsidRDefault="00C157C8">
      <w:pPr>
        <w:pStyle w:val="Index2"/>
        <w:rPr>
          <w:rtl/>
        </w:rPr>
      </w:pPr>
      <w:r w:rsidRPr="00C157C8">
        <w:rPr>
          <w:rtl/>
          <w:lang w:bidi="he-IL"/>
        </w:rPr>
        <w:t>כללי פעפוע במאכל כחוש ושמן לפי המנהג</w:t>
      </w:r>
      <w:r w:rsidRPr="00C157C8">
        <w:rPr>
          <w:rtl/>
        </w:rPr>
        <w:tab/>
        <w:t>425</w:t>
      </w:r>
    </w:p>
    <w:p w:rsidR="00C157C8" w:rsidRPr="00C157C8" w:rsidRDefault="00C157C8">
      <w:pPr>
        <w:pStyle w:val="Index2"/>
        <w:rPr>
          <w:rtl/>
        </w:rPr>
      </w:pPr>
      <w:r w:rsidRPr="00C157C8">
        <w:rPr>
          <w:rtl/>
          <w:lang w:bidi="he-IL"/>
        </w:rPr>
        <w:t>כף המונח בכלי שני</w:t>
      </w:r>
      <w:r w:rsidRPr="00C157C8">
        <w:rPr>
          <w:rtl/>
        </w:rPr>
        <w:tab/>
        <w:t>401</w:t>
      </w:r>
    </w:p>
    <w:p w:rsidR="00C157C8" w:rsidRPr="00C157C8" w:rsidRDefault="00C157C8">
      <w:pPr>
        <w:pStyle w:val="Index2"/>
        <w:rPr>
          <w:rtl/>
        </w:rPr>
      </w:pPr>
      <w:r w:rsidRPr="00C157C8">
        <w:rPr>
          <w:rtl/>
          <w:lang w:bidi="he-IL"/>
        </w:rPr>
        <w:t>מחתיכה לחתיכה בלי רוטב</w:t>
      </w:r>
      <w:r w:rsidRPr="00C157C8">
        <w:rPr>
          <w:rtl/>
        </w:rPr>
        <w:tab/>
        <w:t>95</w:t>
      </w:r>
    </w:p>
    <w:p w:rsidR="00C157C8" w:rsidRPr="00C157C8" w:rsidRDefault="00C157C8">
      <w:pPr>
        <w:pStyle w:val="Index2"/>
        <w:rPr>
          <w:rtl/>
        </w:rPr>
      </w:pPr>
      <w:r w:rsidRPr="00C157C8">
        <w:rPr>
          <w:rtl/>
          <w:lang w:bidi="he-IL"/>
        </w:rPr>
        <w:t>ע</w:t>
      </w:r>
      <w:r w:rsidRPr="00C157C8">
        <w:rPr>
          <w:rtl/>
        </w:rPr>
        <w:t>"</w:t>
      </w:r>
      <w:r w:rsidRPr="00C157C8">
        <w:rPr>
          <w:rtl/>
          <w:lang w:bidi="he-IL"/>
        </w:rPr>
        <w:t xml:space="preserve">י חום </w:t>
      </w:r>
      <w:r w:rsidRPr="00C157C8">
        <w:rPr>
          <w:rtl/>
        </w:rPr>
        <w:t xml:space="preserve">- </w:t>
      </w:r>
      <w:r w:rsidRPr="00C157C8">
        <w:rPr>
          <w:rtl/>
          <w:lang w:bidi="he-IL"/>
        </w:rPr>
        <w:t>אי בעי שיהוי מעט</w:t>
      </w:r>
      <w:r w:rsidRPr="00C157C8">
        <w:rPr>
          <w:rtl/>
        </w:rPr>
        <w:tab/>
        <w:t>403</w:t>
      </w:r>
    </w:p>
    <w:p w:rsidR="00C157C8" w:rsidRPr="00C157C8" w:rsidRDefault="00C157C8">
      <w:pPr>
        <w:pStyle w:val="Index2"/>
        <w:rPr>
          <w:rtl/>
        </w:rPr>
      </w:pPr>
      <w:r w:rsidRPr="00C157C8">
        <w:rPr>
          <w:rtl/>
          <w:lang w:bidi="he-IL"/>
        </w:rPr>
        <w:t>ע</w:t>
      </w:r>
      <w:r w:rsidRPr="00C157C8">
        <w:rPr>
          <w:rtl/>
        </w:rPr>
        <w:t>"</w:t>
      </w:r>
      <w:r w:rsidRPr="00C157C8">
        <w:rPr>
          <w:rtl/>
          <w:lang w:bidi="he-IL"/>
        </w:rPr>
        <w:t xml:space="preserve">י חום </w:t>
      </w:r>
      <w:r w:rsidRPr="00C157C8">
        <w:rPr>
          <w:rtl/>
        </w:rPr>
        <w:t xml:space="preserve">- </w:t>
      </w:r>
      <w:r w:rsidRPr="00C157C8">
        <w:rPr>
          <w:rtl/>
          <w:lang w:bidi="he-IL"/>
        </w:rPr>
        <w:t>חילוק בינו לדין בישול בשבת</w:t>
      </w:r>
      <w:r w:rsidRPr="00C157C8">
        <w:rPr>
          <w:rtl/>
        </w:rPr>
        <w:tab/>
        <w:t>391, 394</w:t>
      </w:r>
    </w:p>
    <w:p w:rsidR="00C157C8" w:rsidRPr="00C157C8" w:rsidRDefault="00C157C8">
      <w:pPr>
        <w:pStyle w:val="Index2"/>
        <w:rPr>
          <w:rtl/>
        </w:rPr>
      </w:pPr>
      <w:r w:rsidRPr="00C157C8">
        <w:rPr>
          <w:rtl/>
          <w:lang w:bidi="he-IL"/>
        </w:rPr>
        <w:t>פיטום בדבר שמן</w:t>
      </w:r>
      <w:r w:rsidRPr="00C157C8">
        <w:rPr>
          <w:rtl/>
        </w:rPr>
        <w:tab/>
        <w:t>408</w:t>
      </w:r>
    </w:p>
    <w:p w:rsidR="00C157C8" w:rsidRPr="00C157C8" w:rsidRDefault="00C157C8">
      <w:pPr>
        <w:pStyle w:val="Index2"/>
        <w:rPr>
          <w:rtl/>
        </w:rPr>
      </w:pPr>
      <w:r w:rsidRPr="00C157C8">
        <w:rPr>
          <w:rtl/>
          <w:lang w:bidi="he-IL"/>
        </w:rPr>
        <w:t>צלי שנפל לכותח הנאכל מחמת מלחו</w:t>
      </w:r>
      <w:r w:rsidRPr="00C157C8">
        <w:rPr>
          <w:rtl/>
        </w:rPr>
        <w:tab/>
        <w:t>419</w:t>
      </w:r>
    </w:p>
    <w:p w:rsidR="00C157C8" w:rsidRPr="00C157C8" w:rsidRDefault="00C157C8">
      <w:pPr>
        <w:pStyle w:val="Index1"/>
        <w:rPr>
          <w:rtl/>
        </w:rPr>
      </w:pPr>
      <w:r w:rsidRPr="00C157C8">
        <w:rPr>
          <w:rtl/>
          <w:lang w:bidi="he-IL"/>
        </w:rPr>
        <w:t>זיעה</w:t>
      </w:r>
    </w:p>
    <w:p w:rsidR="00C157C8" w:rsidRPr="00C157C8" w:rsidRDefault="00C157C8">
      <w:pPr>
        <w:pStyle w:val="Index2"/>
        <w:rPr>
          <w:rtl/>
        </w:rPr>
      </w:pPr>
      <w:r w:rsidRPr="00C157C8">
        <w:rPr>
          <w:rtl/>
          <w:lang w:bidi="he-IL"/>
        </w:rPr>
        <w:t>אם הא דזיעה מכשרת ודין ריחא מילתא תלויין זה בזה</w:t>
      </w:r>
      <w:r w:rsidRPr="00C157C8">
        <w:rPr>
          <w:rtl/>
        </w:rPr>
        <w:tab/>
        <w:t>128</w:t>
      </w:r>
    </w:p>
    <w:p w:rsidR="00C157C8" w:rsidRPr="00C157C8" w:rsidRDefault="00C157C8">
      <w:pPr>
        <w:pStyle w:val="Index2"/>
        <w:rPr>
          <w:rtl/>
        </w:rPr>
      </w:pPr>
      <w:r w:rsidRPr="00C157C8">
        <w:rPr>
          <w:rtl/>
          <w:lang w:bidi="he-IL"/>
        </w:rPr>
        <w:t>ב</w:t>
      </w:r>
      <w:r w:rsidRPr="00C157C8">
        <w:rPr>
          <w:rtl/>
        </w:rPr>
        <w:t xml:space="preserve">' </w:t>
      </w:r>
      <w:r w:rsidRPr="00C157C8">
        <w:rPr>
          <w:rtl/>
          <w:lang w:bidi="he-IL"/>
        </w:rPr>
        <w:t>קדרות זו ע</w:t>
      </w:r>
      <w:r w:rsidRPr="00C157C8">
        <w:rPr>
          <w:rtl/>
        </w:rPr>
        <w:t>"</w:t>
      </w:r>
      <w:r w:rsidRPr="00C157C8">
        <w:rPr>
          <w:rtl/>
          <w:lang w:bidi="he-IL"/>
        </w:rPr>
        <w:t>ג זו אם העליון אוסרת התחתון</w:t>
      </w:r>
      <w:r w:rsidRPr="00C157C8">
        <w:rPr>
          <w:rtl/>
        </w:rPr>
        <w:tab/>
        <w:t>241</w:t>
      </w:r>
    </w:p>
    <w:p w:rsidR="00C157C8" w:rsidRPr="00C157C8" w:rsidRDefault="00C157C8">
      <w:pPr>
        <w:pStyle w:val="Index2"/>
        <w:rPr>
          <w:rtl/>
        </w:rPr>
      </w:pPr>
      <w:r w:rsidRPr="00C157C8">
        <w:rPr>
          <w:rtl/>
          <w:lang w:bidi="he-IL"/>
        </w:rPr>
        <w:t>באוכלין</w:t>
      </w:r>
      <w:r w:rsidRPr="00C157C8">
        <w:rPr>
          <w:rtl/>
        </w:rPr>
        <w:tab/>
        <w:t>131</w:t>
      </w:r>
    </w:p>
    <w:p w:rsidR="00C157C8" w:rsidRPr="00C157C8" w:rsidRDefault="00C157C8">
      <w:pPr>
        <w:pStyle w:val="Index2"/>
        <w:rPr>
          <w:rtl/>
        </w:rPr>
      </w:pPr>
      <w:r w:rsidRPr="00C157C8">
        <w:rPr>
          <w:rtl/>
          <w:lang w:bidi="he-IL"/>
        </w:rPr>
        <w:t>ביאורים בשו</w:t>
      </w:r>
      <w:r w:rsidRPr="00C157C8">
        <w:rPr>
          <w:rtl/>
        </w:rPr>
        <w:t>"</w:t>
      </w:r>
      <w:r w:rsidRPr="00C157C8">
        <w:rPr>
          <w:rtl/>
          <w:lang w:bidi="he-IL"/>
        </w:rPr>
        <w:t>ת הרא</w:t>
      </w:r>
      <w:r w:rsidRPr="00C157C8">
        <w:rPr>
          <w:rtl/>
        </w:rPr>
        <w:t>"</w:t>
      </w:r>
      <w:r w:rsidRPr="00C157C8">
        <w:rPr>
          <w:rtl/>
          <w:lang w:bidi="he-IL"/>
        </w:rPr>
        <w:t>ש</w:t>
      </w:r>
      <w:r w:rsidRPr="00C157C8">
        <w:rPr>
          <w:rtl/>
        </w:rPr>
        <w:tab/>
        <w:t>130</w:t>
      </w:r>
    </w:p>
    <w:p w:rsidR="00C157C8" w:rsidRPr="00C157C8" w:rsidRDefault="00C157C8">
      <w:pPr>
        <w:pStyle w:val="Index2"/>
        <w:rPr>
          <w:rtl/>
        </w:rPr>
      </w:pPr>
      <w:r w:rsidRPr="00C157C8">
        <w:rPr>
          <w:rtl/>
          <w:lang w:bidi="he-IL"/>
        </w:rPr>
        <w:t>דוגמות מעשיות</w:t>
      </w:r>
      <w:r w:rsidRPr="00C157C8">
        <w:rPr>
          <w:rtl/>
        </w:rPr>
        <w:tab/>
        <w:t>131</w:t>
      </w:r>
    </w:p>
    <w:p w:rsidR="00C157C8" w:rsidRPr="00C157C8" w:rsidRDefault="00C157C8">
      <w:pPr>
        <w:pStyle w:val="Index2"/>
        <w:rPr>
          <w:rtl/>
        </w:rPr>
      </w:pPr>
      <w:r w:rsidRPr="00C157C8">
        <w:rPr>
          <w:rtl/>
          <w:lang w:bidi="he-IL"/>
        </w:rPr>
        <w:t>ההולכת לצדדין</w:t>
      </w:r>
      <w:r w:rsidRPr="00C157C8">
        <w:rPr>
          <w:rtl/>
        </w:rPr>
        <w:tab/>
        <w:t>240</w:t>
      </w:r>
    </w:p>
    <w:p w:rsidR="00C157C8" w:rsidRPr="00C157C8" w:rsidRDefault="00C157C8">
      <w:pPr>
        <w:pStyle w:val="Index2"/>
        <w:rPr>
          <w:rtl/>
        </w:rPr>
      </w:pPr>
      <w:r w:rsidRPr="00C157C8">
        <w:rPr>
          <w:rtl/>
          <w:lang w:bidi="he-IL"/>
        </w:rPr>
        <w:t>הכשר כלים על ידו</w:t>
      </w:r>
      <w:r w:rsidRPr="00C157C8">
        <w:rPr>
          <w:rtl/>
        </w:rPr>
        <w:tab/>
        <w:t>518</w:t>
      </w:r>
    </w:p>
    <w:p w:rsidR="00C157C8" w:rsidRPr="00C157C8" w:rsidRDefault="00C157C8">
      <w:pPr>
        <w:pStyle w:val="Index2"/>
        <w:rPr>
          <w:rtl/>
        </w:rPr>
      </w:pPr>
      <w:r w:rsidRPr="00C157C8">
        <w:rPr>
          <w:rtl/>
          <w:lang w:bidi="he-IL"/>
        </w:rPr>
        <w:t>הסוגיא</w:t>
      </w:r>
      <w:r w:rsidRPr="00C157C8">
        <w:rPr>
          <w:rtl/>
        </w:rPr>
        <w:tab/>
        <w:t>128</w:t>
      </w:r>
    </w:p>
    <w:p w:rsidR="00C157C8" w:rsidRPr="00C157C8" w:rsidRDefault="00C157C8">
      <w:pPr>
        <w:pStyle w:val="Index2"/>
        <w:rPr>
          <w:rtl/>
        </w:rPr>
      </w:pPr>
      <w:r w:rsidRPr="00C157C8">
        <w:rPr>
          <w:rtl/>
          <w:lang w:bidi="he-IL"/>
        </w:rPr>
        <w:t>ממאכל יבש</w:t>
      </w:r>
      <w:r w:rsidRPr="00C157C8">
        <w:rPr>
          <w:rtl/>
        </w:rPr>
        <w:tab/>
        <w:t>518</w:t>
      </w:r>
    </w:p>
    <w:p w:rsidR="00C157C8" w:rsidRPr="00C157C8" w:rsidRDefault="00C157C8">
      <w:pPr>
        <w:pStyle w:val="Index2"/>
        <w:rPr>
          <w:rtl/>
        </w:rPr>
      </w:pPr>
      <w:r w:rsidRPr="00C157C8">
        <w:rPr>
          <w:rtl/>
          <w:lang w:bidi="he-IL"/>
        </w:rPr>
        <w:t>צוננת</w:t>
      </w:r>
      <w:r w:rsidRPr="00C157C8">
        <w:rPr>
          <w:rtl/>
        </w:rPr>
        <w:tab/>
        <w:t>240</w:t>
      </w:r>
    </w:p>
    <w:p w:rsidR="00C157C8" w:rsidRPr="00C157C8" w:rsidRDefault="00C157C8">
      <w:pPr>
        <w:pStyle w:val="Index1"/>
        <w:rPr>
          <w:rtl/>
        </w:rPr>
      </w:pPr>
      <w:r w:rsidRPr="00C157C8">
        <w:rPr>
          <w:rtl/>
          <w:lang w:bidi="he-IL"/>
        </w:rPr>
        <w:t>חוזר וניעור</w:t>
      </w:r>
    </w:p>
    <w:p w:rsidR="00C157C8" w:rsidRPr="00C157C8" w:rsidRDefault="00C157C8">
      <w:pPr>
        <w:pStyle w:val="Index2"/>
        <w:rPr>
          <w:rtl/>
        </w:rPr>
      </w:pPr>
      <w:r w:rsidRPr="00C157C8">
        <w:rPr>
          <w:rtl/>
          <w:lang w:bidi="he-IL"/>
        </w:rPr>
        <w:t>בהגעלת כלים</w:t>
      </w:r>
      <w:r w:rsidRPr="00C157C8">
        <w:rPr>
          <w:rtl/>
        </w:rPr>
        <w:tab/>
        <w:t>488</w:t>
      </w:r>
    </w:p>
    <w:p w:rsidR="00C157C8" w:rsidRPr="00C157C8" w:rsidRDefault="00C157C8">
      <w:pPr>
        <w:pStyle w:val="Index2"/>
        <w:rPr>
          <w:rtl/>
        </w:rPr>
      </w:pPr>
      <w:r w:rsidRPr="00C157C8">
        <w:rPr>
          <w:rtl/>
          <w:lang w:bidi="he-IL"/>
        </w:rPr>
        <w:t>ביבש ביבש מין במינו</w:t>
      </w:r>
      <w:r w:rsidRPr="00C157C8">
        <w:rPr>
          <w:rtl/>
        </w:rPr>
        <w:tab/>
        <w:t>329</w:t>
      </w:r>
    </w:p>
    <w:p w:rsidR="00C157C8" w:rsidRPr="00C157C8" w:rsidRDefault="00C157C8">
      <w:pPr>
        <w:pStyle w:val="Index2"/>
        <w:rPr>
          <w:rtl/>
        </w:rPr>
      </w:pPr>
      <w:r w:rsidRPr="00C157C8">
        <w:rPr>
          <w:rtl/>
          <w:lang w:bidi="he-IL"/>
        </w:rPr>
        <w:t>הסוגיא</w:t>
      </w:r>
      <w:r w:rsidRPr="00C157C8">
        <w:rPr>
          <w:rtl/>
        </w:rPr>
        <w:tab/>
        <w:t>327</w:t>
      </w:r>
    </w:p>
    <w:p w:rsidR="00C157C8" w:rsidRPr="00C157C8" w:rsidRDefault="00C157C8">
      <w:pPr>
        <w:pStyle w:val="Index1"/>
        <w:rPr>
          <w:rtl/>
        </w:rPr>
      </w:pPr>
      <w:r w:rsidRPr="00C157C8">
        <w:rPr>
          <w:rtl/>
          <w:lang w:bidi="he-IL"/>
        </w:rPr>
        <w:t>חום</w:t>
      </w:r>
      <w:r w:rsidRPr="00C157C8">
        <w:rPr>
          <w:rtl/>
        </w:rPr>
        <w:tab/>
      </w:r>
      <w:r w:rsidRPr="00C157C8">
        <w:rPr>
          <w:rtl/>
          <w:lang w:bidi="he-IL"/>
        </w:rPr>
        <w:t>ע</w:t>
      </w:r>
      <w:r w:rsidRPr="00C157C8">
        <w:rPr>
          <w:rtl/>
        </w:rPr>
        <w:t xml:space="preserve">' </w:t>
      </w:r>
      <w:r w:rsidRPr="00C157C8">
        <w:rPr>
          <w:rtl/>
          <w:lang w:bidi="he-IL"/>
        </w:rPr>
        <w:t>העברת טעם</w:t>
      </w:r>
    </w:p>
    <w:p w:rsidR="00C157C8" w:rsidRPr="00C157C8" w:rsidRDefault="00C157C8">
      <w:pPr>
        <w:pStyle w:val="Index1"/>
        <w:rPr>
          <w:rtl/>
        </w:rPr>
      </w:pPr>
      <w:r w:rsidRPr="00C157C8">
        <w:rPr>
          <w:rtl/>
          <w:lang w:bidi="he-IL"/>
        </w:rPr>
        <w:t>חזותא</w:t>
      </w:r>
    </w:p>
    <w:p w:rsidR="00C157C8" w:rsidRPr="00C157C8" w:rsidRDefault="00C157C8">
      <w:pPr>
        <w:pStyle w:val="Index2"/>
        <w:rPr>
          <w:rtl/>
        </w:rPr>
      </w:pPr>
      <w:r w:rsidRPr="00C157C8">
        <w:rPr>
          <w:rtl/>
          <w:lang w:bidi="he-IL"/>
        </w:rPr>
        <w:t>הסוגיא</w:t>
      </w:r>
      <w:r w:rsidRPr="00C157C8">
        <w:rPr>
          <w:rtl/>
        </w:rPr>
        <w:tab/>
        <w:t>348</w:t>
      </w:r>
    </w:p>
    <w:p w:rsidR="00C157C8" w:rsidRPr="00C157C8" w:rsidRDefault="00C157C8">
      <w:pPr>
        <w:pStyle w:val="Index1"/>
        <w:rPr>
          <w:rtl/>
        </w:rPr>
      </w:pPr>
      <w:r w:rsidRPr="00C157C8">
        <w:rPr>
          <w:rtl/>
          <w:lang w:bidi="he-IL"/>
        </w:rPr>
        <w:lastRenderedPageBreak/>
        <w:t>חלב</w:t>
      </w:r>
      <w:r w:rsidRPr="00C157C8">
        <w:rPr>
          <w:rtl/>
        </w:rPr>
        <w:tab/>
      </w:r>
      <w:r w:rsidRPr="00C157C8">
        <w:rPr>
          <w:i/>
          <w:rtl/>
          <w:lang w:bidi="he-IL"/>
        </w:rPr>
        <w:t>ע</w:t>
      </w:r>
      <w:r w:rsidRPr="00C157C8">
        <w:rPr>
          <w:i/>
          <w:rtl/>
        </w:rPr>
        <w:t xml:space="preserve">' </w:t>
      </w:r>
      <w:r w:rsidRPr="00C157C8">
        <w:rPr>
          <w:i/>
          <w:rtl/>
          <w:lang w:bidi="he-IL"/>
        </w:rPr>
        <w:t>בשר בחלב</w:t>
      </w:r>
    </w:p>
    <w:p w:rsidR="00C157C8" w:rsidRPr="00C157C8" w:rsidRDefault="00C157C8">
      <w:pPr>
        <w:pStyle w:val="Index1"/>
        <w:rPr>
          <w:rtl/>
        </w:rPr>
      </w:pPr>
      <w:r w:rsidRPr="00C157C8">
        <w:rPr>
          <w:rtl/>
          <w:lang w:bidi="he-IL"/>
        </w:rPr>
        <w:t>חלב הקיבה</w:t>
      </w:r>
    </w:p>
    <w:p w:rsidR="00C157C8" w:rsidRPr="00C157C8" w:rsidRDefault="00C157C8">
      <w:pPr>
        <w:pStyle w:val="Index2"/>
        <w:rPr>
          <w:rtl/>
        </w:rPr>
      </w:pPr>
      <w:r w:rsidRPr="00C157C8">
        <w:rPr>
          <w:rtl/>
          <w:lang w:bidi="he-IL"/>
        </w:rPr>
        <w:t>שיטות הראשונים</w:t>
      </w:r>
      <w:r w:rsidRPr="00C157C8">
        <w:rPr>
          <w:rtl/>
        </w:rPr>
        <w:tab/>
        <w:t>203</w:t>
      </w:r>
    </w:p>
    <w:p w:rsidR="00C157C8" w:rsidRPr="00C157C8" w:rsidRDefault="00C157C8">
      <w:pPr>
        <w:pStyle w:val="Index2"/>
        <w:rPr>
          <w:rtl/>
        </w:rPr>
      </w:pPr>
      <w:r w:rsidRPr="00C157C8">
        <w:rPr>
          <w:rtl/>
          <w:lang w:bidi="he-IL"/>
        </w:rPr>
        <w:t>שנמלח בעורו</w:t>
      </w:r>
      <w:r w:rsidRPr="00C157C8">
        <w:rPr>
          <w:rtl/>
        </w:rPr>
        <w:tab/>
        <w:t>204</w:t>
      </w:r>
    </w:p>
    <w:p w:rsidR="00C157C8" w:rsidRPr="00C157C8" w:rsidRDefault="00C157C8">
      <w:pPr>
        <w:pStyle w:val="Index1"/>
        <w:rPr>
          <w:rtl/>
        </w:rPr>
      </w:pPr>
      <w:r w:rsidRPr="00C157C8">
        <w:rPr>
          <w:rtl/>
          <w:lang w:bidi="he-IL"/>
        </w:rPr>
        <w:t>חלב נבילה</w:t>
      </w:r>
    </w:p>
    <w:p w:rsidR="00C157C8" w:rsidRPr="00C157C8" w:rsidRDefault="00C157C8">
      <w:pPr>
        <w:pStyle w:val="Index2"/>
        <w:rPr>
          <w:rtl/>
        </w:rPr>
      </w:pPr>
      <w:r w:rsidRPr="00C157C8">
        <w:rPr>
          <w:rtl/>
          <w:lang w:bidi="he-IL"/>
        </w:rPr>
        <w:t>אי מהני טעימת קפילא בשאר איסורים</w:t>
      </w:r>
      <w:r w:rsidRPr="00C157C8">
        <w:rPr>
          <w:rtl/>
        </w:rPr>
        <w:tab/>
        <w:t>91</w:t>
      </w:r>
    </w:p>
    <w:p w:rsidR="00C157C8" w:rsidRPr="00C157C8" w:rsidRDefault="00C157C8">
      <w:pPr>
        <w:pStyle w:val="Index2"/>
        <w:rPr>
          <w:rtl/>
        </w:rPr>
      </w:pPr>
      <w:r w:rsidRPr="00C157C8">
        <w:rPr>
          <w:rtl/>
          <w:lang w:bidi="he-IL"/>
        </w:rPr>
        <w:t>אי מהני לה טעימת קפילא</w:t>
      </w:r>
      <w:r w:rsidRPr="00C157C8">
        <w:rPr>
          <w:rtl/>
        </w:rPr>
        <w:tab/>
        <w:t>91</w:t>
      </w:r>
    </w:p>
    <w:p w:rsidR="00C157C8" w:rsidRPr="00C157C8" w:rsidRDefault="00C157C8">
      <w:pPr>
        <w:pStyle w:val="Index2"/>
        <w:rPr>
          <w:rtl/>
        </w:rPr>
      </w:pPr>
      <w:r w:rsidRPr="00C157C8">
        <w:rPr>
          <w:rtl/>
          <w:lang w:bidi="he-IL"/>
        </w:rPr>
        <w:t>ביאור הסוגיא</w:t>
      </w:r>
      <w:r w:rsidRPr="00C157C8">
        <w:rPr>
          <w:rtl/>
        </w:rPr>
        <w:tab/>
        <w:t>84</w:t>
      </w:r>
    </w:p>
    <w:p w:rsidR="00C157C8" w:rsidRPr="00C157C8" w:rsidRDefault="00C157C8">
      <w:pPr>
        <w:pStyle w:val="Index2"/>
        <w:rPr>
          <w:rtl/>
        </w:rPr>
      </w:pPr>
      <w:r w:rsidRPr="00C157C8">
        <w:rPr>
          <w:rtl/>
          <w:lang w:bidi="he-IL"/>
        </w:rPr>
        <w:t>בשאר איסורים</w:t>
      </w:r>
      <w:r w:rsidRPr="00C157C8">
        <w:rPr>
          <w:rtl/>
        </w:rPr>
        <w:tab/>
        <w:t>87, 106</w:t>
      </w:r>
    </w:p>
    <w:p w:rsidR="00C157C8" w:rsidRPr="00C157C8" w:rsidRDefault="00C157C8">
      <w:pPr>
        <w:pStyle w:val="Index2"/>
        <w:rPr>
          <w:rtl/>
        </w:rPr>
      </w:pPr>
      <w:r w:rsidRPr="00C157C8">
        <w:rPr>
          <w:rtl/>
          <w:lang w:bidi="he-IL"/>
        </w:rPr>
        <w:t>מאי נפק</w:t>
      </w:r>
      <w:r w:rsidRPr="00C157C8">
        <w:rPr>
          <w:rtl/>
        </w:rPr>
        <w:t>"</w:t>
      </w:r>
      <w:r w:rsidRPr="00C157C8">
        <w:rPr>
          <w:rtl/>
          <w:lang w:bidi="he-IL"/>
        </w:rPr>
        <w:t>מ בדינה</w:t>
      </w:r>
      <w:r w:rsidRPr="00C157C8">
        <w:rPr>
          <w:rtl/>
        </w:rPr>
        <w:tab/>
        <w:t>211</w:t>
      </w:r>
    </w:p>
    <w:p w:rsidR="00C157C8" w:rsidRPr="00C157C8" w:rsidRDefault="00C157C8">
      <w:pPr>
        <w:pStyle w:val="Index1"/>
        <w:rPr>
          <w:rtl/>
        </w:rPr>
      </w:pPr>
      <w:r w:rsidRPr="00C157C8">
        <w:rPr>
          <w:rtl/>
          <w:lang w:bidi="he-IL"/>
        </w:rPr>
        <w:t>חלב עכו</w:t>
      </w:r>
      <w:r w:rsidRPr="00C157C8">
        <w:rPr>
          <w:rtl/>
        </w:rPr>
        <w:t>"</w:t>
      </w:r>
      <w:r w:rsidRPr="00C157C8">
        <w:rPr>
          <w:rtl/>
          <w:lang w:bidi="he-IL"/>
        </w:rPr>
        <w:t>ם</w:t>
      </w:r>
    </w:p>
    <w:p w:rsidR="00C157C8" w:rsidRPr="00C157C8" w:rsidRDefault="00C157C8">
      <w:pPr>
        <w:pStyle w:val="Index2"/>
        <w:rPr>
          <w:rtl/>
        </w:rPr>
      </w:pPr>
      <w:r w:rsidRPr="00C157C8">
        <w:rPr>
          <w:rtl/>
          <w:lang w:bidi="he-IL"/>
        </w:rPr>
        <w:t>אבקת חלב</w:t>
      </w:r>
      <w:r w:rsidRPr="00C157C8">
        <w:rPr>
          <w:rtl/>
        </w:rPr>
        <w:tab/>
        <w:t>544</w:t>
      </w:r>
    </w:p>
    <w:p w:rsidR="00C157C8" w:rsidRPr="00C157C8" w:rsidRDefault="00C157C8">
      <w:pPr>
        <w:pStyle w:val="Index2"/>
        <w:rPr>
          <w:rtl/>
        </w:rPr>
      </w:pPr>
      <w:r w:rsidRPr="00C157C8">
        <w:rPr>
          <w:rtl/>
          <w:lang w:bidi="he-IL"/>
        </w:rPr>
        <w:t>אם גדר הגזירה הוא רק בשעת חליבה</w:t>
      </w:r>
      <w:r w:rsidRPr="00C157C8">
        <w:rPr>
          <w:rtl/>
        </w:rPr>
        <w:tab/>
        <w:t>544</w:t>
      </w:r>
    </w:p>
    <w:p w:rsidR="00C157C8" w:rsidRPr="00C157C8" w:rsidRDefault="00C157C8">
      <w:pPr>
        <w:pStyle w:val="Index2"/>
        <w:rPr>
          <w:rtl/>
        </w:rPr>
      </w:pPr>
      <w:r w:rsidRPr="00C157C8">
        <w:rPr>
          <w:rtl/>
          <w:lang w:bidi="he-IL"/>
        </w:rPr>
        <w:t>גדר הגזרה</w:t>
      </w:r>
      <w:r w:rsidRPr="00C157C8">
        <w:rPr>
          <w:rtl/>
        </w:rPr>
        <w:tab/>
        <w:t>545</w:t>
      </w:r>
    </w:p>
    <w:p w:rsidR="00C157C8" w:rsidRPr="00C157C8" w:rsidRDefault="00C157C8">
      <w:pPr>
        <w:pStyle w:val="Index2"/>
        <w:rPr>
          <w:rtl/>
        </w:rPr>
      </w:pPr>
      <w:r w:rsidRPr="00C157C8">
        <w:rPr>
          <w:rtl/>
          <w:lang w:bidi="he-IL"/>
        </w:rPr>
        <w:t>גדר וטעם האיסור</w:t>
      </w:r>
      <w:r w:rsidRPr="00C157C8">
        <w:rPr>
          <w:rtl/>
        </w:rPr>
        <w:tab/>
        <w:t>535</w:t>
      </w:r>
    </w:p>
    <w:p w:rsidR="00C157C8" w:rsidRPr="00C157C8" w:rsidRDefault="00C157C8">
      <w:pPr>
        <w:pStyle w:val="Index2"/>
        <w:rPr>
          <w:rtl/>
        </w:rPr>
      </w:pPr>
      <w:r w:rsidRPr="00C157C8">
        <w:rPr>
          <w:rtl/>
          <w:lang w:bidi="he-IL"/>
        </w:rPr>
        <w:t>הערות בסימן קט</w:t>
      </w:r>
      <w:r w:rsidRPr="00C157C8">
        <w:rPr>
          <w:rtl/>
        </w:rPr>
        <w:t>"</w:t>
      </w:r>
      <w:r w:rsidRPr="00C157C8">
        <w:rPr>
          <w:rtl/>
          <w:lang w:bidi="he-IL"/>
        </w:rPr>
        <w:t>ו</w:t>
      </w:r>
      <w:r w:rsidRPr="00C157C8">
        <w:rPr>
          <w:rtl/>
        </w:rPr>
        <w:tab/>
        <w:t>548</w:t>
      </w:r>
    </w:p>
    <w:p w:rsidR="00C157C8" w:rsidRPr="00C157C8" w:rsidRDefault="00C157C8">
      <w:pPr>
        <w:pStyle w:val="Index2"/>
        <w:rPr>
          <w:rtl/>
        </w:rPr>
      </w:pPr>
      <w:r w:rsidRPr="00C157C8">
        <w:rPr>
          <w:rtl/>
          <w:lang w:bidi="he-IL"/>
        </w:rPr>
        <w:t>השגחה ע</w:t>
      </w:r>
      <w:r w:rsidRPr="00C157C8">
        <w:rPr>
          <w:rtl/>
        </w:rPr>
        <w:t>"</w:t>
      </w:r>
      <w:r w:rsidRPr="00C157C8">
        <w:rPr>
          <w:rtl/>
          <w:lang w:bidi="he-IL"/>
        </w:rPr>
        <w:t>י וידיאו</w:t>
      </w:r>
      <w:r w:rsidRPr="00C157C8">
        <w:rPr>
          <w:rtl/>
        </w:rPr>
        <w:tab/>
        <w:t>544</w:t>
      </w:r>
    </w:p>
    <w:p w:rsidR="00C157C8" w:rsidRPr="00C157C8" w:rsidRDefault="00C157C8">
      <w:pPr>
        <w:pStyle w:val="Index2"/>
        <w:rPr>
          <w:rtl/>
        </w:rPr>
      </w:pPr>
      <w:r w:rsidRPr="00C157C8">
        <w:rPr>
          <w:rtl/>
          <w:lang w:bidi="he-IL"/>
        </w:rPr>
        <w:t>חלב שבפיקוח ממשלתי</w:t>
      </w:r>
      <w:r w:rsidRPr="00C157C8">
        <w:rPr>
          <w:rtl/>
        </w:rPr>
        <w:tab/>
        <w:t>544, 545</w:t>
      </w:r>
    </w:p>
    <w:p w:rsidR="00C157C8" w:rsidRPr="00C157C8" w:rsidRDefault="00C157C8">
      <w:pPr>
        <w:pStyle w:val="Index2"/>
        <w:rPr>
          <w:rtl/>
        </w:rPr>
      </w:pPr>
      <w:r w:rsidRPr="00C157C8">
        <w:rPr>
          <w:rtl/>
          <w:lang w:bidi="he-IL"/>
        </w:rPr>
        <w:t>כשאין בהמה טמאה בעדרו</w:t>
      </w:r>
      <w:r w:rsidRPr="00C157C8">
        <w:rPr>
          <w:rtl/>
        </w:rPr>
        <w:tab/>
        <w:t>543</w:t>
      </w:r>
    </w:p>
    <w:p w:rsidR="00C157C8" w:rsidRPr="00C157C8" w:rsidRDefault="00C157C8">
      <w:pPr>
        <w:pStyle w:val="Index2"/>
        <w:rPr>
          <w:rtl/>
        </w:rPr>
      </w:pPr>
      <w:r w:rsidRPr="00C157C8">
        <w:rPr>
          <w:rtl/>
          <w:lang w:bidi="he-IL"/>
        </w:rPr>
        <w:t xml:space="preserve">לא ראה תחילת החליבה </w:t>
      </w:r>
      <w:r w:rsidRPr="00C157C8">
        <w:rPr>
          <w:rtl/>
        </w:rPr>
        <w:t xml:space="preserve">– </w:t>
      </w:r>
      <w:r w:rsidRPr="00C157C8">
        <w:rPr>
          <w:rtl/>
          <w:lang w:bidi="he-IL"/>
        </w:rPr>
        <w:t>דברי ההגהות אשר</w:t>
      </w:r>
      <w:r w:rsidRPr="00C157C8">
        <w:rPr>
          <w:rtl/>
        </w:rPr>
        <w:t>"</w:t>
      </w:r>
      <w:r w:rsidRPr="00C157C8">
        <w:rPr>
          <w:rtl/>
          <w:lang w:bidi="he-IL"/>
        </w:rPr>
        <w:t>י</w:t>
      </w:r>
      <w:r w:rsidRPr="00C157C8">
        <w:rPr>
          <w:rtl/>
        </w:rPr>
        <w:tab/>
        <w:t>548</w:t>
      </w:r>
    </w:p>
    <w:p w:rsidR="00C157C8" w:rsidRPr="00C157C8" w:rsidRDefault="00C157C8">
      <w:pPr>
        <w:pStyle w:val="Index2"/>
        <w:rPr>
          <w:rtl/>
        </w:rPr>
      </w:pPr>
      <w:r w:rsidRPr="00C157C8">
        <w:rPr>
          <w:rtl/>
          <w:lang w:bidi="he-IL"/>
        </w:rPr>
        <w:t>למה אין איסורו אלא מדרבנן</w:t>
      </w:r>
      <w:r w:rsidRPr="00C157C8">
        <w:rPr>
          <w:rtl/>
        </w:rPr>
        <w:tab/>
        <w:t>535</w:t>
      </w:r>
    </w:p>
    <w:p w:rsidR="00C157C8" w:rsidRPr="00C157C8" w:rsidRDefault="00C157C8">
      <w:pPr>
        <w:pStyle w:val="Index2"/>
        <w:rPr>
          <w:rtl/>
        </w:rPr>
      </w:pPr>
      <w:r w:rsidRPr="00C157C8">
        <w:rPr>
          <w:rtl/>
          <w:lang w:bidi="he-IL"/>
        </w:rPr>
        <w:t>שיטת המרדכי בדעת ר</w:t>
      </w:r>
      <w:r w:rsidRPr="00C157C8">
        <w:rPr>
          <w:rtl/>
        </w:rPr>
        <w:t>"</w:t>
      </w:r>
      <w:r w:rsidRPr="00C157C8">
        <w:rPr>
          <w:rtl/>
          <w:lang w:bidi="he-IL"/>
        </w:rPr>
        <w:t>ת</w:t>
      </w:r>
      <w:r w:rsidRPr="00C157C8">
        <w:rPr>
          <w:rtl/>
        </w:rPr>
        <w:tab/>
        <w:t>548</w:t>
      </w:r>
    </w:p>
    <w:p w:rsidR="00C157C8" w:rsidRPr="00C157C8" w:rsidRDefault="00C157C8">
      <w:pPr>
        <w:pStyle w:val="Index2"/>
        <w:rPr>
          <w:rtl/>
        </w:rPr>
      </w:pPr>
      <w:r w:rsidRPr="00C157C8">
        <w:rPr>
          <w:rtl/>
          <w:lang w:bidi="he-IL"/>
        </w:rPr>
        <w:t>שפחות בבית ישראל</w:t>
      </w:r>
      <w:r w:rsidRPr="00C157C8">
        <w:rPr>
          <w:rtl/>
        </w:rPr>
        <w:tab/>
        <w:t>547</w:t>
      </w:r>
    </w:p>
    <w:p w:rsidR="00C157C8" w:rsidRPr="00C157C8" w:rsidRDefault="00C157C8">
      <w:pPr>
        <w:pStyle w:val="Index1"/>
        <w:rPr>
          <w:rtl/>
        </w:rPr>
      </w:pPr>
      <w:r w:rsidRPr="00C157C8">
        <w:rPr>
          <w:rtl/>
          <w:lang w:bidi="he-IL"/>
        </w:rPr>
        <w:t>חם לתוך צונן</w:t>
      </w:r>
    </w:p>
    <w:p w:rsidR="00C157C8" w:rsidRPr="00C157C8" w:rsidRDefault="00C157C8">
      <w:pPr>
        <w:pStyle w:val="Index2"/>
        <w:rPr>
          <w:rtl/>
        </w:rPr>
      </w:pPr>
      <w:r w:rsidRPr="00C157C8">
        <w:rPr>
          <w:rtl/>
          <w:lang w:bidi="he-IL"/>
        </w:rPr>
        <w:t>השיעור כדי קליפה למ</w:t>
      </w:r>
      <w:r w:rsidRPr="00C157C8">
        <w:rPr>
          <w:rtl/>
        </w:rPr>
        <w:t>"</w:t>
      </w:r>
      <w:r w:rsidRPr="00C157C8">
        <w:rPr>
          <w:rtl/>
          <w:lang w:bidi="he-IL"/>
        </w:rPr>
        <w:t>ד תתאה גבר</w:t>
      </w:r>
      <w:r w:rsidRPr="00C157C8">
        <w:rPr>
          <w:rtl/>
        </w:rPr>
        <w:tab/>
        <w:t>391</w:t>
      </w:r>
    </w:p>
    <w:p w:rsidR="00C157C8" w:rsidRPr="00C157C8" w:rsidRDefault="00C157C8">
      <w:pPr>
        <w:pStyle w:val="Index1"/>
        <w:rPr>
          <w:rtl/>
        </w:rPr>
      </w:pPr>
      <w:r w:rsidRPr="00C157C8">
        <w:rPr>
          <w:rtl/>
          <w:lang w:bidi="he-IL"/>
        </w:rPr>
        <w:t>חם מקצתו חם כולו</w:t>
      </w:r>
    </w:p>
    <w:p w:rsidR="00C157C8" w:rsidRPr="00C157C8" w:rsidRDefault="00C157C8">
      <w:pPr>
        <w:pStyle w:val="Index2"/>
        <w:rPr>
          <w:rtl/>
        </w:rPr>
      </w:pPr>
      <w:r w:rsidRPr="00C157C8">
        <w:rPr>
          <w:rtl/>
          <w:lang w:bidi="he-IL"/>
        </w:rPr>
        <w:t>לענין הכשר כלים</w:t>
      </w:r>
      <w:r w:rsidRPr="00C157C8">
        <w:rPr>
          <w:rtl/>
        </w:rPr>
        <w:tab/>
        <w:t>499</w:t>
      </w:r>
    </w:p>
    <w:p w:rsidR="00C157C8" w:rsidRPr="00C157C8" w:rsidRDefault="00C157C8">
      <w:pPr>
        <w:pStyle w:val="Index2"/>
        <w:rPr>
          <w:rtl/>
        </w:rPr>
      </w:pPr>
      <w:r w:rsidRPr="00C157C8">
        <w:rPr>
          <w:rtl/>
          <w:lang w:bidi="he-IL"/>
        </w:rPr>
        <w:t>סוגיית הגמ</w:t>
      </w:r>
      <w:r w:rsidRPr="00C157C8">
        <w:rPr>
          <w:rtl/>
        </w:rPr>
        <w:t>'</w:t>
      </w:r>
      <w:r w:rsidRPr="00C157C8">
        <w:rPr>
          <w:rtl/>
        </w:rPr>
        <w:tab/>
        <w:t>247</w:t>
      </w:r>
    </w:p>
    <w:p w:rsidR="00C157C8" w:rsidRPr="00C157C8" w:rsidRDefault="00C157C8">
      <w:pPr>
        <w:pStyle w:val="Index1"/>
        <w:rPr>
          <w:rtl/>
        </w:rPr>
      </w:pPr>
      <w:r w:rsidRPr="00C157C8">
        <w:rPr>
          <w:rtl/>
          <w:lang w:bidi="he-IL"/>
        </w:rPr>
        <w:t>חמאת עכו</w:t>
      </w:r>
      <w:r w:rsidRPr="00C157C8">
        <w:rPr>
          <w:rtl/>
        </w:rPr>
        <w:t>"</w:t>
      </w:r>
      <w:r w:rsidRPr="00C157C8">
        <w:rPr>
          <w:rtl/>
          <w:lang w:bidi="he-IL"/>
        </w:rPr>
        <w:t>ם</w:t>
      </w:r>
    </w:p>
    <w:p w:rsidR="00C157C8" w:rsidRPr="00C157C8" w:rsidRDefault="00C157C8">
      <w:pPr>
        <w:pStyle w:val="Index2"/>
        <w:rPr>
          <w:rtl/>
        </w:rPr>
      </w:pPr>
      <w:r w:rsidRPr="00C157C8">
        <w:rPr>
          <w:rtl/>
          <w:lang w:bidi="he-IL"/>
        </w:rPr>
        <w:t>דינו וטעמו</w:t>
      </w:r>
      <w:r w:rsidRPr="00C157C8">
        <w:rPr>
          <w:rtl/>
        </w:rPr>
        <w:tab/>
        <w:t>540</w:t>
      </w:r>
    </w:p>
    <w:p w:rsidR="00C157C8" w:rsidRPr="00C157C8" w:rsidRDefault="00C157C8">
      <w:pPr>
        <w:pStyle w:val="Index2"/>
        <w:rPr>
          <w:rtl/>
        </w:rPr>
      </w:pPr>
      <w:r w:rsidRPr="00C157C8">
        <w:rPr>
          <w:rtl/>
          <w:lang w:bidi="he-IL"/>
        </w:rPr>
        <w:t>הערות בסימן קט</w:t>
      </w:r>
      <w:r w:rsidRPr="00C157C8">
        <w:rPr>
          <w:rtl/>
        </w:rPr>
        <w:t>"</w:t>
      </w:r>
      <w:r w:rsidRPr="00C157C8">
        <w:rPr>
          <w:rtl/>
          <w:lang w:bidi="he-IL"/>
        </w:rPr>
        <w:t>ו</w:t>
      </w:r>
      <w:r w:rsidRPr="00C157C8">
        <w:rPr>
          <w:rtl/>
        </w:rPr>
        <w:tab/>
        <w:t>548</w:t>
      </w:r>
    </w:p>
    <w:p w:rsidR="00C157C8" w:rsidRPr="00C157C8" w:rsidRDefault="00C157C8">
      <w:pPr>
        <w:pStyle w:val="Index2"/>
        <w:rPr>
          <w:rtl/>
        </w:rPr>
      </w:pPr>
      <w:r w:rsidRPr="00C157C8">
        <w:rPr>
          <w:rtl/>
          <w:lang w:bidi="he-IL"/>
        </w:rPr>
        <w:t>טיהורה</w:t>
      </w:r>
      <w:r w:rsidRPr="00C157C8">
        <w:rPr>
          <w:rtl/>
        </w:rPr>
        <w:tab/>
        <w:t>541</w:t>
      </w:r>
    </w:p>
    <w:p w:rsidR="00C157C8" w:rsidRPr="00C157C8" w:rsidRDefault="00C157C8">
      <w:pPr>
        <w:pStyle w:val="Index1"/>
        <w:rPr>
          <w:rtl/>
        </w:rPr>
      </w:pPr>
      <w:r w:rsidRPr="00C157C8">
        <w:rPr>
          <w:rtl/>
          <w:lang w:bidi="he-IL"/>
        </w:rPr>
        <w:t>חמץ בפסח</w:t>
      </w:r>
      <w:r w:rsidRPr="00C157C8">
        <w:rPr>
          <w:rtl/>
        </w:rPr>
        <w:tab/>
      </w:r>
      <w:r w:rsidRPr="00C157C8">
        <w:rPr>
          <w:i/>
          <w:rtl/>
          <w:lang w:bidi="he-IL"/>
        </w:rPr>
        <w:t>ע</w:t>
      </w:r>
      <w:r w:rsidRPr="00C157C8">
        <w:rPr>
          <w:i/>
          <w:rtl/>
        </w:rPr>
        <w:t xml:space="preserve">' </w:t>
      </w:r>
      <w:r w:rsidRPr="00C157C8">
        <w:rPr>
          <w:i/>
          <w:rtl/>
          <w:lang w:bidi="he-IL"/>
        </w:rPr>
        <w:t>תערובת חמץ</w:t>
      </w:r>
    </w:p>
    <w:p w:rsidR="00C157C8" w:rsidRPr="00C157C8" w:rsidRDefault="00C157C8">
      <w:pPr>
        <w:pStyle w:val="Index2"/>
        <w:rPr>
          <w:rtl/>
        </w:rPr>
      </w:pPr>
      <w:r w:rsidRPr="00C157C8">
        <w:rPr>
          <w:rtl/>
          <w:lang w:bidi="he-IL"/>
        </w:rPr>
        <w:t>אי הוי היתירא בלע</w:t>
      </w:r>
      <w:r w:rsidRPr="00C157C8">
        <w:rPr>
          <w:rtl/>
        </w:rPr>
        <w:tab/>
        <w:t>481</w:t>
      </w:r>
    </w:p>
    <w:p w:rsidR="00C157C8" w:rsidRPr="00C157C8" w:rsidRDefault="00C157C8">
      <w:pPr>
        <w:pStyle w:val="Index2"/>
        <w:rPr>
          <w:rtl/>
        </w:rPr>
      </w:pPr>
      <w:r w:rsidRPr="00C157C8">
        <w:rPr>
          <w:rtl/>
          <w:lang w:bidi="he-IL"/>
        </w:rPr>
        <w:t>אי הוי היתירא בלע שעה חמישית</w:t>
      </w:r>
      <w:r w:rsidRPr="00C157C8">
        <w:rPr>
          <w:rtl/>
        </w:rPr>
        <w:tab/>
        <w:t>486</w:t>
      </w:r>
    </w:p>
    <w:p w:rsidR="00C157C8" w:rsidRPr="00C157C8" w:rsidRDefault="00C157C8">
      <w:pPr>
        <w:pStyle w:val="Index2"/>
        <w:rPr>
          <w:rtl/>
        </w:rPr>
      </w:pPr>
      <w:r w:rsidRPr="00C157C8">
        <w:rPr>
          <w:rtl/>
          <w:lang w:bidi="he-IL"/>
        </w:rPr>
        <w:t>חמץ שעבר עליו הפסח</w:t>
      </w:r>
      <w:r w:rsidRPr="00C157C8">
        <w:rPr>
          <w:rtl/>
        </w:rPr>
        <w:tab/>
        <w:t>436</w:t>
      </w:r>
    </w:p>
    <w:p w:rsidR="00C157C8" w:rsidRPr="00C157C8" w:rsidRDefault="00C157C8">
      <w:pPr>
        <w:pStyle w:val="Index1"/>
        <w:rPr>
          <w:rtl/>
        </w:rPr>
      </w:pPr>
      <w:r w:rsidRPr="00C157C8">
        <w:rPr>
          <w:rtl/>
          <w:lang w:bidi="he-IL"/>
        </w:rPr>
        <w:t>חמץ פסח</w:t>
      </w:r>
    </w:p>
    <w:p w:rsidR="00C157C8" w:rsidRPr="00C157C8" w:rsidRDefault="00C157C8">
      <w:pPr>
        <w:pStyle w:val="Index2"/>
        <w:rPr>
          <w:rtl/>
        </w:rPr>
      </w:pPr>
      <w:r w:rsidRPr="00C157C8">
        <w:rPr>
          <w:rtl/>
          <w:lang w:bidi="he-IL"/>
        </w:rPr>
        <w:t>שיטת רב דקדרות בפסח ישברו</w:t>
      </w:r>
      <w:r w:rsidRPr="00C157C8">
        <w:rPr>
          <w:rtl/>
        </w:rPr>
        <w:tab/>
        <w:t>473</w:t>
      </w:r>
    </w:p>
    <w:p w:rsidR="00C157C8" w:rsidRPr="00C157C8" w:rsidRDefault="00C157C8">
      <w:pPr>
        <w:pStyle w:val="Index1"/>
        <w:rPr>
          <w:rtl/>
        </w:rPr>
      </w:pPr>
      <w:r w:rsidRPr="00C157C8">
        <w:rPr>
          <w:rtl/>
          <w:lang w:bidi="he-IL"/>
        </w:rPr>
        <w:t>חענ</w:t>
      </w:r>
      <w:r w:rsidRPr="00C157C8">
        <w:rPr>
          <w:rtl/>
        </w:rPr>
        <w:t>"</w:t>
      </w:r>
      <w:r w:rsidRPr="00C157C8">
        <w:rPr>
          <w:rtl/>
          <w:lang w:bidi="he-IL"/>
        </w:rPr>
        <w:t>ן</w:t>
      </w:r>
    </w:p>
    <w:p w:rsidR="00C157C8" w:rsidRPr="00C157C8" w:rsidRDefault="00C157C8">
      <w:pPr>
        <w:pStyle w:val="Index2"/>
        <w:rPr>
          <w:rtl/>
        </w:rPr>
      </w:pPr>
      <w:r w:rsidRPr="00C157C8">
        <w:rPr>
          <w:rtl/>
          <w:lang w:bidi="he-IL"/>
        </w:rPr>
        <w:t xml:space="preserve">אין הנאסר אוסר יותר מן האוסר </w:t>
      </w:r>
      <w:r w:rsidRPr="00C157C8">
        <w:rPr>
          <w:rtl/>
        </w:rPr>
        <w:t xml:space="preserve">- </w:t>
      </w:r>
      <w:r w:rsidRPr="00C157C8">
        <w:rPr>
          <w:rtl/>
          <w:lang w:bidi="he-IL"/>
        </w:rPr>
        <w:t>בתבלין שבלעו דם</w:t>
      </w:r>
      <w:r w:rsidRPr="00C157C8">
        <w:rPr>
          <w:rtl/>
        </w:rPr>
        <w:tab/>
        <w:t>85</w:t>
      </w:r>
    </w:p>
    <w:p w:rsidR="00C157C8" w:rsidRPr="00C157C8" w:rsidRDefault="00C157C8">
      <w:pPr>
        <w:pStyle w:val="Index2"/>
        <w:rPr>
          <w:rtl/>
        </w:rPr>
      </w:pPr>
      <w:r w:rsidRPr="00C157C8">
        <w:rPr>
          <w:rtl/>
          <w:lang w:bidi="he-IL"/>
        </w:rPr>
        <w:t>אם הנאסר אוסר בבב</w:t>
      </w:r>
      <w:r w:rsidRPr="00C157C8">
        <w:rPr>
          <w:rtl/>
        </w:rPr>
        <w:t>"</w:t>
      </w:r>
      <w:r w:rsidRPr="00C157C8">
        <w:rPr>
          <w:rtl/>
          <w:lang w:bidi="he-IL"/>
        </w:rPr>
        <w:t>ח</w:t>
      </w:r>
      <w:r w:rsidRPr="00C157C8">
        <w:rPr>
          <w:rtl/>
        </w:rPr>
        <w:tab/>
        <w:t>410</w:t>
      </w:r>
    </w:p>
    <w:p w:rsidR="00C157C8" w:rsidRPr="00C157C8" w:rsidRDefault="00C157C8">
      <w:pPr>
        <w:pStyle w:val="Index2"/>
        <w:rPr>
          <w:rtl/>
        </w:rPr>
      </w:pPr>
      <w:r w:rsidRPr="00C157C8">
        <w:rPr>
          <w:rtl/>
          <w:lang w:bidi="he-IL"/>
        </w:rPr>
        <w:t>באיסור דבוק</w:t>
      </w:r>
      <w:r w:rsidRPr="00C157C8">
        <w:rPr>
          <w:rtl/>
        </w:rPr>
        <w:tab/>
        <w:t>103</w:t>
      </w:r>
    </w:p>
    <w:p w:rsidR="00C157C8" w:rsidRPr="00C157C8" w:rsidRDefault="00C157C8">
      <w:pPr>
        <w:pStyle w:val="Index2"/>
        <w:rPr>
          <w:rtl/>
        </w:rPr>
      </w:pPr>
      <w:r w:rsidRPr="00C157C8">
        <w:rPr>
          <w:rtl/>
          <w:lang w:bidi="he-IL"/>
        </w:rPr>
        <w:t>באיסור משהו</w:t>
      </w:r>
      <w:r w:rsidRPr="00C157C8">
        <w:rPr>
          <w:rtl/>
        </w:rPr>
        <w:tab/>
        <w:t>224, 228, 229</w:t>
      </w:r>
    </w:p>
    <w:p w:rsidR="00C157C8" w:rsidRPr="00C157C8" w:rsidRDefault="00C157C8">
      <w:pPr>
        <w:pStyle w:val="Index2"/>
        <w:rPr>
          <w:rtl/>
        </w:rPr>
      </w:pPr>
      <w:r w:rsidRPr="00C157C8">
        <w:rPr>
          <w:rtl/>
          <w:lang w:bidi="he-IL"/>
        </w:rPr>
        <w:t>בבלוע בבשר בחלב אליבא דר</w:t>
      </w:r>
      <w:r w:rsidRPr="00C157C8">
        <w:rPr>
          <w:rtl/>
        </w:rPr>
        <w:t xml:space="preserve">' </w:t>
      </w:r>
      <w:r w:rsidRPr="00C157C8">
        <w:rPr>
          <w:rtl/>
          <w:lang w:bidi="he-IL"/>
        </w:rPr>
        <w:t>אפרים</w:t>
      </w:r>
      <w:r w:rsidRPr="00C157C8">
        <w:rPr>
          <w:rtl/>
        </w:rPr>
        <w:tab/>
        <w:t>361</w:t>
      </w:r>
    </w:p>
    <w:p w:rsidR="00C157C8" w:rsidRPr="00C157C8" w:rsidRDefault="00C157C8">
      <w:pPr>
        <w:pStyle w:val="Index2"/>
        <w:rPr>
          <w:rtl/>
        </w:rPr>
      </w:pPr>
      <w:r w:rsidRPr="00C157C8">
        <w:rPr>
          <w:rtl/>
          <w:lang w:bidi="he-IL"/>
        </w:rPr>
        <w:t>בבלוע בכלי</w:t>
      </w:r>
      <w:r w:rsidRPr="00C157C8">
        <w:rPr>
          <w:rtl/>
        </w:rPr>
        <w:tab/>
        <w:t>106</w:t>
      </w:r>
    </w:p>
    <w:p w:rsidR="00C157C8" w:rsidRPr="00C157C8" w:rsidRDefault="00C157C8">
      <w:pPr>
        <w:pStyle w:val="Index2"/>
        <w:rPr>
          <w:rtl/>
        </w:rPr>
      </w:pPr>
      <w:r w:rsidRPr="00C157C8">
        <w:rPr>
          <w:rtl/>
          <w:lang w:bidi="he-IL"/>
        </w:rPr>
        <w:t>בדברים האוסרים ביותר מששים</w:t>
      </w:r>
      <w:r w:rsidRPr="00C157C8">
        <w:rPr>
          <w:rtl/>
        </w:rPr>
        <w:tab/>
        <w:t>228</w:t>
      </w:r>
    </w:p>
    <w:p w:rsidR="00C157C8" w:rsidRPr="00C157C8" w:rsidRDefault="00C157C8">
      <w:pPr>
        <w:pStyle w:val="Index2"/>
        <w:rPr>
          <w:rtl/>
        </w:rPr>
      </w:pPr>
      <w:r w:rsidRPr="00C157C8">
        <w:rPr>
          <w:rtl/>
          <w:lang w:bidi="he-IL"/>
        </w:rPr>
        <w:t>בלח בלח</w:t>
      </w:r>
      <w:r w:rsidRPr="00C157C8">
        <w:rPr>
          <w:rtl/>
        </w:rPr>
        <w:tab/>
        <w:t>221</w:t>
      </w:r>
    </w:p>
    <w:p w:rsidR="00C157C8" w:rsidRPr="00C157C8" w:rsidRDefault="00C157C8">
      <w:pPr>
        <w:pStyle w:val="Index2"/>
        <w:rPr>
          <w:rtl/>
        </w:rPr>
      </w:pPr>
      <w:r w:rsidRPr="00C157C8">
        <w:rPr>
          <w:rtl/>
          <w:lang w:bidi="he-IL"/>
        </w:rPr>
        <w:lastRenderedPageBreak/>
        <w:t>בסופו להתפשט</w:t>
      </w:r>
      <w:r w:rsidRPr="00C157C8">
        <w:rPr>
          <w:rtl/>
        </w:rPr>
        <w:tab/>
        <w:t>80</w:t>
      </w:r>
    </w:p>
    <w:p w:rsidR="00C157C8" w:rsidRPr="00C157C8" w:rsidRDefault="00C157C8">
      <w:pPr>
        <w:pStyle w:val="Index2"/>
        <w:rPr>
          <w:rtl/>
        </w:rPr>
      </w:pPr>
      <w:r w:rsidRPr="00C157C8">
        <w:rPr>
          <w:rtl/>
          <w:lang w:bidi="he-IL"/>
        </w:rPr>
        <w:t>בעור הקיבה</w:t>
      </w:r>
      <w:r w:rsidRPr="00C157C8">
        <w:rPr>
          <w:rtl/>
        </w:rPr>
        <w:tab/>
        <w:t>207</w:t>
      </w:r>
    </w:p>
    <w:p w:rsidR="00C157C8" w:rsidRPr="00C157C8" w:rsidRDefault="00C157C8">
      <w:pPr>
        <w:pStyle w:val="Index2"/>
        <w:rPr>
          <w:rtl/>
        </w:rPr>
      </w:pPr>
      <w:r w:rsidRPr="00C157C8">
        <w:rPr>
          <w:rtl/>
          <w:lang w:bidi="he-IL"/>
        </w:rPr>
        <w:t>בשאר איסורים</w:t>
      </w:r>
      <w:r w:rsidRPr="00C157C8">
        <w:rPr>
          <w:rtl/>
        </w:rPr>
        <w:tab/>
        <w:t>229</w:t>
      </w:r>
    </w:p>
    <w:p w:rsidR="00C157C8" w:rsidRPr="00C157C8" w:rsidRDefault="00C157C8">
      <w:pPr>
        <w:pStyle w:val="Index2"/>
        <w:rPr>
          <w:rtl/>
        </w:rPr>
      </w:pPr>
      <w:r w:rsidRPr="00C157C8">
        <w:rPr>
          <w:rtl/>
          <w:lang w:bidi="he-IL"/>
        </w:rPr>
        <w:t xml:space="preserve">בשאר איסורים </w:t>
      </w:r>
      <w:r w:rsidRPr="00C157C8">
        <w:rPr>
          <w:rtl/>
        </w:rPr>
        <w:t xml:space="preserve">- </w:t>
      </w:r>
      <w:r w:rsidRPr="00C157C8">
        <w:rPr>
          <w:rtl/>
          <w:lang w:bidi="he-IL"/>
        </w:rPr>
        <w:t>להלכה</w:t>
      </w:r>
      <w:r w:rsidRPr="00C157C8">
        <w:rPr>
          <w:rtl/>
        </w:rPr>
        <w:tab/>
        <w:t>220</w:t>
      </w:r>
    </w:p>
    <w:p w:rsidR="00C157C8" w:rsidRPr="00C157C8" w:rsidRDefault="00C157C8">
      <w:pPr>
        <w:pStyle w:val="Index2"/>
        <w:rPr>
          <w:rtl/>
        </w:rPr>
      </w:pPr>
      <w:r w:rsidRPr="00C157C8">
        <w:rPr>
          <w:rtl/>
          <w:lang w:bidi="he-IL"/>
        </w:rPr>
        <w:t>בתבלין שבלעו דם</w:t>
      </w:r>
      <w:r w:rsidRPr="00C157C8">
        <w:rPr>
          <w:rtl/>
        </w:rPr>
        <w:tab/>
        <w:t>426</w:t>
      </w:r>
    </w:p>
    <w:p w:rsidR="00C157C8" w:rsidRPr="00C157C8" w:rsidRDefault="00C157C8">
      <w:pPr>
        <w:pStyle w:val="Index2"/>
        <w:rPr>
          <w:rtl/>
        </w:rPr>
      </w:pPr>
      <w:r w:rsidRPr="00C157C8">
        <w:rPr>
          <w:rtl/>
          <w:lang w:bidi="he-IL"/>
        </w:rPr>
        <w:t>המחלוקת שבין רבב</w:t>
      </w:r>
      <w:r w:rsidRPr="00C157C8">
        <w:rPr>
          <w:rtl/>
        </w:rPr>
        <w:t>"</w:t>
      </w:r>
      <w:r w:rsidRPr="00C157C8">
        <w:rPr>
          <w:rtl/>
          <w:lang w:bidi="he-IL"/>
        </w:rPr>
        <w:t>ח ורב</w:t>
      </w:r>
      <w:r w:rsidRPr="00C157C8">
        <w:rPr>
          <w:rtl/>
        </w:rPr>
        <w:tab/>
        <w:t>73</w:t>
      </w:r>
    </w:p>
    <w:p w:rsidR="00C157C8" w:rsidRPr="00C157C8" w:rsidRDefault="00C157C8">
      <w:pPr>
        <w:pStyle w:val="Index2"/>
        <w:rPr>
          <w:rtl/>
        </w:rPr>
      </w:pPr>
      <w:r w:rsidRPr="00C157C8">
        <w:rPr>
          <w:rtl/>
          <w:lang w:bidi="he-IL"/>
        </w:rPr>
        <w:t>כשאינו ידוע על איזה חתיכה נפל</w:t>
      </w:r>
      <w:r w:rsidRPr="00C157C8">
        <w:rPr>
          <w:rtl/>
        </w:rPr>
        <w:tab/>
        <w:t>221</w:t>
      </w:r>
    </w:p>
    <w:p w:rsidR="00C157C8" w:rsidRPr="00C157C8" w:rsidRDefault="00C157C8">
      <w:pPr>
        <w:pStyle w:val="Index2"/>
        <w:rPr>
          <w:rtl/>
        </w:rPr>
      </w:pPr>
      <w:r w:rsidRPr="00C157C8">
        <w:rPr>
          <w:rtl/>
          <w:lang w:bidi="he-IL"/>
        </w:rPr>
        <w:t>למה יש אומרים שאין חענ</w:t>
      </w:r>
      <w:r w:rsidRPr="00C157C8">
        <w:rPr>
          <w:rtl/>
        </w:rPr>
        <w:t>"</w:t>
      </w:r>
      <w:r w:rsidRPr="00C157C8">
        <w:rPr>
          <w:rtl/>
          <w:lang w:bidi="he-IL"/>
        </w:rPr>
        <w:t>ן אלא בבב</w:t>
      </w:r>
      <w:r w:rsidRPr="00C157C8">
        <w:rPr>
          <w:rtl/>
        </w:rPr>
        <w:t>"</w:t>
      </w:r>
      <w:r w:rsidRPr="00C157C8">
        <w:rPr>
          <w:rtl/>
          <w:lang w:bidi="he-IL"/>
        </w:rPr>
        <w:t>ח</w:t>
      </w:r>
      <w:r w:rsidRPr="00C157C8">
        <w:rPr>
          <w:rtl/>
        </w:rPr>
        <w:tab/>
        <w:t>69</w:t>
      </w:r>
    </w:p>
    <w:p w:rsidR="00C157C8" w:rsidRPr="00C157C8" w:rsidRDefault="00C157C8">
      <w:pPr>
        <w:pStyle w:val="Index2"/>
        <w:rPr>
          <w:rtl/>
        </w:rPr>
      </w:pPr>
      <w:r w:rsidRPr="00C157C8">
        <w:rPr>
          <w:rtl/>
          <w:lang w:bidi="he-IL"/>
        </w:rPr>
        <w:t>ניעור מתחילה ועד סוף</w:t>
      </w:r>
      <w:r w:rsidRPr="00C157C8">
        <w:rPr>
          <w:rtl/>
        </w:rPr>
        <w:tab/>
        <w:t>217</w:t>
      </w:r>
    </w:p>
    <w:p w:rsidR="00C157C8" w:rsidRPr="00C157C8" w:rsidRDefault="00C157C8">
      <w:pPr>
        <w:pStyle w:val="Index2"/>
        <w:rPr>
          <w:rtl/>
        </w:rPr>
      </w:pPr>
      <w:r w:rsidRPr="00C157C8">
        <w:rPr>
          <w:rtl/>
          <w:lang w:bidi="he-IL"/>
        </w:rPr>
        <w:t xml:space="preserve">סופו להתפשט </w:t>
      </w:r>
      <w:r w:rsidRPr="00C157C8">
        <w:rPr>
          <w:rtl/>
        </w:rPr>
        <w:t xml:space="preserve">- </w:t>
      </w:r>
      <w:r w:rsidRPr="00C157C8">
        <w:rPr>
          <w:rtl/>
          <w:lang w:bidi="he-IL"/>
        </w:rPr>
        <w:t>גדר הדין בניער מתחילה</w:t>
      </w:r>
      <w:r w:rsidRPr="00C157C8">
        <w:rPr>
          <w:rtl/>
        </w:rPr>
        <w:tab/>
        <w:t>93</w:t>
      </w:r>
    </w:p>
    <w:p w:rsidR="00C157C8" w:rsidRPr="00C157C8" w:rsidRDefault="00C157C8">
      <w:pPr>
        <w:pStyle w:val="Index2"/>
        <w:rPr>
          <w:rtl/>
        </w:rPr>
      </w:pPr>
      <w:r w:rsidRPr="00C157C8">
        <w:rPr>
          <w:rtl/>
          <w:lang w:bidi="he-IL"/>
        </w:rPr>
        <w:t>שיטת הר</w:t>
      </w:r>
      <w:r w:rsidRPr="00C157C8">
        <w:rPr>
          <w:rtl/>
        </w:rPr>
        <w:t>"</w:t>
      </w:r>
      <w:r w:rsidRPr="00C157C8">
        <w:rPr>
          <w:rtl/>
          <w:lang w:bidi="he-IL"/>
        </w:rPr>
        <w:t>ן בסוגיא</w:t>
      </w:r>
      <w:r w:rsidRPr="00C157C8">
        <w:rPr>
          <w:rtl/>
        </w:rPr>
        <w:tab/>
        <w:t>95</w:t>
      </w:r>
    </w:p>
    <w:p w:rsidR="00C157C8" w:rsidRPr="00C157C8" w:rsidRDefault="00C157C8">
      <w:pPr>
        <w:pStyle w:val="Index2"/>
        <w:rPr>
          <w:rtl/>
        </w:rPr>
      </w:pPr>
      <w:r w:rsidRPr="00C157C8">
        <w:rPr>
          <w:rtl/>
          <w:lang w:bidi="he-IL"/>
        </w:rPr>
        <w:t>שיטת הר</w:t>
      </w:r>
      <w:r w:rsidRPr="00C157C8">
        <w:rPr>
          <w:rtl/>
        </w:rPr>
        <w:t>"</w:t>
      </w:r>
      <w:r w:rsidRPr="00C157C8">
        <w:rPr>
          <w:rtl/>
          <w:lang w:bidi="he-IL"/>
        </w:rPr>
        <w:t xml:space="preserve">ן בסוגיא </w:t>
      </w:r>
      <w:r w:rsidRPr="00C157C8">
        <w:rPr>
          <w:rtl/>
        </w:rPr>
        <w:t xml:space="preserve">- </w:t>
      </w:r>
      <w:r w:rsidRPr="00C157C8">
        <w:rPr>
          <w:rtl/>
          <w:lang w:bidi="he-IL"/>
        </w:rPr>
        <w:t>הערות רע</w:t>
      </w:r>
      <w:r w:rsidRPr="00C157C8">
        <w:rPr>
          <w:rtl/>
        </w:rPr>
        <w:t>"</w:t>
      </w:r>
      <w:r w:rsidRPr="00C157C8">
        <w:rPr>
          <w:rtl/>
          <w:lang w:bidi="he-IL"/>
        </w:rPr>
        <w:t>א</w:t>
      </w:r>
      <w:r w:rsidRPr="00C157C8">
        <w:rPr>
          <w:rtl/>
        </w:rPr>
        <w:tab/>
        <w:t>98</w:t>
      </w:r>
    </w:p>
    <w:p w:rsidR="00C157C8" w:rsidRPr="00C157C8" w:rsidRDefault="00C157C8">
      <w:pPr>
        <w:pStyle w:val="Index2"/>
        <w:rPr>
          <w:rtl/>
        </w:rPr>
      </w:pPr>
      <w:r w:rsidRPr="00C157C8">
        <w:rPr>
          <w:rtl/>
          <w:lang w:bidi="he-IL"/>
        </w:rPr>
        <w:t>שיטת הראב</w:t>
      </w:r>
      <w:r w:rsidRPr="00C157C8">
        <w:rPr>
          <w:rtl/>
        </w:rPr>
        <w:t>"</w:t>
      </w:r>
      <w:r w:rsidRPr="00C157C8">
        <w:rPr>
          <w:rtl/>
          <w:lang w:bidi="he-IL"/>
        </w:rPr>
        <w:t>ד</w:t>
      </w:r>
      <w:r w:rsidRPr="00C157C8">
        <w:rPr>
          <w:rtl/>
        </w:rPr>
        <w:t xml:space="preserve">, </w:t>
      </w:r>
      <w:r w:rsidRPr="00C157C8">
        <w:rPr>
          <w:rtl/>
          <w:lang w:bidi="he-IL"/>
        </w:rPr>
        <w:t>ובדברי הגר</w:t>
      </w:r>
      <w:r w:rsidRPr="00C157C8">
        <w:rPr>
          <w:rtl/>
        </w:rPr>
        <w:t>"</w:t>
      </w:r>
      <w:r w:rsidRPr="00C157C8">
        <w:rPr>
          <w:rtl/>
          <w:lang w:bidi="he-IL"/>
        </w:rPr>
        <w:t>ח</w:t>
      </w:r>
      <w:r w:rsidRPr="00C157C8">
        <w:rPr>
          <w:rtl/>
        </w:rPr>
        <w:tab/>
        <w:t>222</w:t>
      </w:r>
    </w:p>
    <w:p w:rsidR="00C157C8" w:rsidRPr="00C157C8" w:rsidRDefault="00C157C8">
      <w:pPr>
        <w:pStyle w:val="Index2"/>
        <w:rPr>
          <w:rtl/>
        </w:rPr>
      </w:pPr>
      <w:r w:rsidRPr="00C157C8">
        <w:rPr>
          <w:rtl/>
          <w:lang w:bidi="he-IL"/>
        </w:rPr>
        <w:t>שיטת ר</w:t>
      </w:r>
      <w:r w:rsidRPr="00C157C8">
        <w:rPr>
          <w:rtl/>
        </w:rPr>
        <w:t>"</w:t>
      </w:r>
      <w:r w:rsidRPr="00C157C8">
        <w:rPr>
          <w:rtl/>
          <w:lang w:bidi="he-IL"/>
        </w:rPr>
        <w:t>ת</w:t>
      </w:r>
      <w:r w:rsidRPr="00C157C8">
        <w:rPr>
          <w:rtl/>
        </w:rPr>
        <w:tab/>
        <w:t>73, 76</w:t>
      </w:r>
    </w:p>
    <w:p w:rsidR="00C157C8" w:rsidRPr="00C157C8" w:rsidRDefault="00C157C8">
      <w:pPr>
        <w:pStyle w:val="Index1"/>
        <w:rPr>
          <w:rtl/>
        </w:rPr>
      </w:pPr>
      <w:r w:rsidRPr="00C157C8">
        <w:rPr>
          <w:rtl/>
          <w:lang w:bidi="he-IL"/>
        </w:rPr>
        <w:t>חענ</w:t>
      </w:r>
      <w:r w:rsidRPr="00C157C8">
        <w:rPr>
          <w:rtl/>
        </w:rPr>
        <w:t>"</w:t>
      </w:r>
      <w:r w:rsidRPr="00C157C8">
        <w:rPr>
          <w:rtl/>
          <w:lang w:bidi="he-IL"/>
        </w:rPr>
        <w:t>ן בשאר איסורים</w:t>
      </w:r>
    </w:p>
    <w:p w:rsidR="00C157C8" w:rsidRPr="00C157C8" w:rsidRDefault="00C157C8">
      <w:pPr>
        <w:pStyle w:val="Index2"/>
        <w:rPr>
          <w:rtl/>
        </w:rPr>
      </w:pPr>
      <w:r w:rsidRPr="00C157C8">
        <w:rPr>
          <w:rtl/>
          <w:lang w:bidi="he-IL"/>
        </w:rPr>
        <w:t>אי אמרינן לי</w:t>
      </w:r>
      <w:r w:rsidRPr="00C157C8">
        <w:rPr>
          <w:rtl/>
        </w:rPr>
        <w:t xml:space="preserve">' </w:t>
      </w:r>
      <w:r w:rsidRPr="00C157C8">
        <w:rPr>
          <w:rtl/>
          <w:lang w:bidi="he-IL"/>
        </w:rPr>
        <w:t>למה מהני טעימת קפילא</w:t>
      </w:r>
      <w:r w:rsidRPr="00C157C8">
        <w:rPr>
          <w:rtl/>
        </w:rPr>
        <w:tab/>
        <w:t>91</w:t>
      </w:r>
    </w:p>
    <w:p w:rsidR="00C157C8" w:rsidRPr="00C157C8" w:rsidRDefault="00C157C8">
      <w:pPr>
        <w:pStyle w:val="Index2"/>
        <w:rPr>
          <w:rtl/>
        </w:rPr>
      </w:pPr>
      <w:r w:rsidRPr="00C157C8">
        <w:rPr>
          <w:rtl/>
          <w:lang w:bidi="he-IL"/>
        </w:rPr>
        <w:t>אי אמרינן שהנאסר אוסר בקום שאין האיסור יכול להתפשט</w:t>
      </w:r>
      <w:r w:rsidRPr="00C157C8">
        <w:rPr>
          <w:rtl/>
        </w:rPr>
        <w:tab/>
        <w:t>95</w:t>
      </w:r>
    </w:p>
    <w:p w:rsidR="00C157C8" w:rsidRPr="00C157C8" w:rsidRDefault="00C157C8">
      <w:pPr>
        <w:pStyle w:val="Index2"/>
        <w:rPr>
          <w:rtl/>
        </w:rPr>
      </w:pPr>
      <w:r w:rsidRPr="00C157C8">
        <w:rPr>
          <w:rtl/>
          <w:lang w:bidi="he-IL"/>
        </w:rPr>
        <w:t>אי הוי מדאורייתא</w:t>
      </w:r>
      <w:r w:rsidRPr="00C157C8">
        <w:rPr>
          <w:rtl/>
        </w:rPr>
        <w:tab/>
        <w:t>69</w:t>
      </w:r>
    </w:p>
    <w:p w:rsidR="00C157C8" w:rsidRPr="00C157C8" w:rsidRDefault="00C157C8">
      <w:pPr>
        <w:pStyle w:val="Index2"/>
        <w:rPr>
          <w:rtl/>
        </w:rPr>
      </w:pPr>
      <w:r w:rsidRPr="00C157C8">
        <w:rPr>
          <w:rtl/>
          <w:lang w:bidi="he-IL"/>
        </w:rPr>
        <w:t>אם הוא מדאורייתא</w:t>
      </w:r>
      <w:r w:rsidRPr="00C157C8">
        <w:rPr>
          <w:rtl/>
        </w:rPr>
        <w:tab/>
        <w:t>77</w:t>
      </w:r>
    </w:p>
    <w:p w:rsidR="00C157C8" w:rsidRPr="00C157C8" w:rsidRDefault="00C157C8">
      <w:pPr>
        <w:pStyle w:val="Index2"/>
        <w:rPr>
          <w:rtl/>
        </w:rPr>
      </w:pPr>
      <w:r w:rsidRPr="00C157C8">
        <w:rPr>
          <w:rtl/>
          <w:lang w:bidi="he-IL"/>
        </w:rPr>
        <w:t>אם חשוב חתיכה הראוי</w:t>
      </w:r>
      <w:r w:rsidRPr="00C157C8">
        <w:rPr>
          <w:rtl/>
        </w:rPr>
        <w:t xml:space="preserve">' </w:t>
      </w:r>
      <w:r w:rsidRPr="00C157C8">
        <w:rPr>
          <w:rtl/>
          <w:lang w:bidi="he-IL"/>
        </w:rPr>
        <w:t>להתכבד</w:t>
      </w:r>
      <w:r w:rsidRPr="00C157C8">
        <w:rPr>
          <w:rtl/>
        </w:rPr>
        <w:tab/>
        <w:t>335</w:t>
      </w:r>
    </w:p>
    <w:p w:rsidR="00C157C8" w:rsidRPr="00C157C8" w:rsidRDefault="00C157C8">
      <w:pPr>
        <w:pStyle w:val="Index2"/>
        <w:rPr>
          <w:rtl/>
        </w:rPr>
      </w:pPr>
      <w:r w:rsidRPr="00C157C8">
        <w:rPr>
          <w:rtl/>
          <w:lang w:bidi="he-IL"/>
        </w:rPr>
        <w:t>בתבלין שבלעו דם</w:t>
      </w:r>
      <w:r w:rsidRPr="00C157C8">
        <w:rPr>
          <w:rtl/>
        </w:rPr>
        <w:tab/>
        <w:t>85</w:t>
      </w:r>
    </w:p>
    <w:p w:rsidR="00C157C8" w:rsidRPr="00C157C8" w:rsidRDefault="00C157C8">
      <w:pPr>
        <w:pStyle w:val="Index2"/>
        <w:rPr>
          <w:rtl/>
        </w:rPr>
      </w:pPr>
      <w:r w:rsidRPr="00C157C8">
        <w:rPr>
          <w:rtl/>
          <w:lang w:bidi="he-IL"/>
        </w:rPr>
        <w:t>גדר הדין</w:t>
      </w:r>
      <w:r w:rsidRPr="00C157C8">
        <w:rPr>
          <w:rtl/>
        </w:rPr>
        <w:tab/>
        <w:t>94</w:t>
      </w:r>
    </w:p>
    <w:p w:rsidR="00C157C8" w:rsidRPr="00C157C8" w:rsidRDefault="00C157C8">
      <w:pPr>
        <w:pStyle w:val="Index2"/>
        <w:rPr>
          <w:rtl/>
        </w:rPr>
      </w:pPr>
      <w:r w:rsidRPr="00C157C8">
        <w:rPr>
          <w:rtl/>
          <w:lang w:bidi="he-IL"/>
        </w:rPr>
        <w:t>מהו שם האיסור של החתיכה</w:t>
      </w:r>
      <w:r w:rsidRPr="00C157C8">
        <w:rPr>
          <w:rtl/>
        </w:rPr>
        <w:tab/>
        <w:t>102</w:t>
      </w:r>
    </w:p>
    <w:p w:rsidR="00C157C8" w:rsidRPr="00C157C8" w:rsidRDefault="00C157C8">
      <w:pPr>
        <w:pStyle w:val="Index2"/>
        <w:rPr>
          <w:rtl/>
        </w:rPr>
      </w:pPr>
      <w:r w:rsidRPr="00C157C8">
        <w:rPr>
          <w:rtl/>
          <w:lang w:bidi="he-IL"/>
        </w:rPr>
        <w:t>שיטת רבינו אפרים</w:t>
      </w:r>
      <w:r w:rsidRPr="00C157C8">
        <w:rPr>
          <w:rtl/>
        </w:rPr>
        <w:tab/>
        <w:t>78, 80</w:t>
      </w:r>
    </w:p>
    <w:p w:rsidR="00C157C8" w:rsidRPr="00C157C8" w:rsidRDefault="00C157C8">
      <w:pPr>
        <w:pStyle w:val="Index1"/>
        <w:rPr>
          <w:rtl/>
        </w:rPr>
      </w:pPr>
      <w:r w:rsidRPr="00C157C8">
        <w:rPr>
          <w:rtl/>
          <w:lang w:bidi="he-IL"/>
        </w:rPr>
        <w:t>חצי שיעור</w:t>
      </w:r>
    </w:p>
    <w:p w:rsidR="00C157C8" w:rsidRPr="00C157C8" w:rsidRDefault="00C157C8">
      <w:pPr>
        <w:pStyle w:val="Index2"/>
        <w:rPr>
          <w:rtl/>
        </w:rPr>
      </w:pPr>
      <w:r w:rsidRPr="00C157C8">
        <w:rPr>
          <w:rtl/>
          <w:lang w:bidi="he-IL"/>
        </w:rPr>
        <w:t>ביאור המחלוקת אם יש איסור חצי שיעור בבשר בחלב</w:t>
      </w:r>
      <w:r w:rsidRPr="00C157C8">
        <w:rPr>
          <w:rtl/>
        </w:rPr>
        <w:tab/>
        <w:t>92</w:t>
      </w:r>
    </w:p>
    <w:p w:rsidR="00C157C8" w:rsidRPr="00C157C8" w:rsidRDefault="00C157C8">
      <w:pPr>
        <w:pStyle w:val="Index2"/>
        <w:rPr>
          <w:rtl/>
        </w:rPr>
      </w:pPr>
      <w:r w:rsidRPr="00C157C8">
        <w:rPr>
          <w:rtl/>
          <w:lang w:bidi="he-IL"/>
        </w:rPr>
        <w:t>הקדמה</w:t>
      </w:r>
      <w:r w:rsidRPr="00C157C8">
        <w:rPr>
          <w:rtl/>
        </w:rPr>
        <w:tab/>
        <w:t>1</w:t>
      </w:r>
    </w:p>
    <w:p w:rsidR="00C157C8" w:rsidRPr="00C157C8" w:rsidRDefault="00C157C8">
      <w:pPr>
        <w:pStyle w:val="Index2"/>
        <w:rPr>
          <w:rtl/>
        </w:rPr>
      </w:pPr>
      <w:r w:rsidRPr="00C157C8">
        <w:rPr>
          <w:rtl/>
          <w:lang w:bidi="he-IL"/>
        </w:rPr>
        <w:t>ע</w:t>
      </w:r>
      <w:r w:rsidRPr="00C157C8">
        <w:rPr>
          <w:rtl/>
        </w:rPr>
        <w:t>"</w:t>
      </w:r>
      <w:r w:rsidRPr="00C157C8">
        <w:rPr>
          <w:rtl/>
          <w:lang w:bidi="he-IL"/>
        </w:rPr>
        <w:t>י תערובת</w:t>
      </w:r>
      <w:r w:rsidRPr="00C157C8">
        <w:rPr>
          <w:rtl/>
        </w:rPr>
        <w:tab/>
        <w:t>10</w:t>
      </w:r>
    </w:p>
    <w:p w:rsidR="00C157C8" w:rsidRPr="00C157C8" w:rsidRDefault="00C157C8">
      <w:pPr>
        <w:pStyle w:val="Index2"/>
        <w:rPr>
          <w:rtl/>
        </w:rPr>
      </w:pPr>
      <w:r w:rsidRPr="00C157C8">
        <w:rPr>
          <w:rtl/>
          <w:lang w:bidi="he-IL"/>
        </w:rPr>
        <w:t>ע</w:t>
      </w:r>
      <w:r w:rsidRPr="00C157C8">
        <w:rPr>
          <w:rtl/>
        </w:rPr>
        <w:t>"</w:t>
      </w:r>
      <w:r w:rsidRPr="00C157C8">
        <w:rPr>
          <w:rtl/>
          <w:lang w:bidi="he-IL"/>
        </w:rPr>
        <w:t xml:space="preserve">י תערובת </w:t>
      </w:r>
      <w:r w:rsidRPr="00C157C8">
        <w:rPr>
          <w:rtl/>
        </w:rPr>
        <w:t xml:space="preserve">- </w:t>
      </w:r>
      <w:r w:rsidRPr="00C157C8">
        <w:rPr>
          <w:rtl/>
          <w:lang w:bidi="he-IL"/>
        </w:rPr>
        <w:t>דברי הר</w:t>
      </w:r>
      <w:r w:rsidRPr="00C157C8">
        <w:rPr>
          <w:rtl/>
        </w:rPr>
        <w:t>"</w:t>
      </w:r>
      <w:r w:rsidRPr="00C157C8">
        <w:rPr>
          <w:rtl/>
          <w:lang w:bidi="he-IL"/>
        </w:rPr>
        <w:t>ש בנידון</w:t>
      </w:r>
      <w:r w:rsidRPr="00C157C8">
        <w:rPr>
          <w:rtl/>
        </w:rPr>
        <w:tab/>
        <w:t>26</w:t>
      </w:r>
    </w:p>
    <w:p w:rsidR="00C157C8" w:rsidRPr="00C157C8" w:rsidRDefault="00C157C8">
      <w:pPr>
        <w:pStyle w:val="Index1"/>
        <w:rPr>
          <w:rtl/>
        </w:rPr>
      </w:pPr>
      <w:r w:rsidRPr="00C157C8">
        <w:rPr>
          <w:rtl/>
          <w:lang w:bidi="he-IL"/>
        </w:rPr>
        <w:t>חתיכה הראוי</w:t>
      </w:r>
      <w:r w:rsidRPr="00C157C8">
        <w:rPr>
          <w:rtl/>
        </w:rPr>
        <w:t xml:space="preserve">' </w:t>
      </w:r>
      <w:r w:rsidRPr="00C157C8">
        <w:rPr>
          <w:rtl/>
          <w:lang w:bidi="he-IL"/>
        </w:rPr>
        <w:t>להתכבד</w:t>
      </w:r>
    </w:p>
    <w:p w:rsidR="00C157C8" w:rsidRPr="00C157C8" w:rsidRDefault="00C157C8">
      <w:pPr>
        <w:pStyle w:val="Index2"/>
        <w:rPr>
          <w:rtl/>
        </w:rPr>
      </w:pPr>
      <w:r w:rsidRPr="00C157C8">
        <w:rPr>
          <w:rtl/>
          <w:lang w:bidi="he-IL"/>
        </w:rPr>
        <w:t>אם שייך לדין דבר שבמנין</w:t>
      </w:r>
      <w:r w:rsidRPr="00C157C8">
        <w:rPr>
          <w:rtl/>
        </w:rPr>
        <w:tab/>
        <w:t>66</w:t>
      </w:r>
    </w:p>
    <w:p w:rsidR="00C157C8" w:rsidRPr="00C157C8" w:rsidRDefault="00C157C8">
      <w:pPr>
        <w:pStyle w:val="Index2"/>
        <w:rPr>
          <w:rtl/>
        </w:rPr>
      </w:pPr>
      <w:r w:rsidRPr="00C157C8">
        <w:rPr>
          <w:rtl/>
          <w:lang w:bidi="he-IL"/>
        </w:rPr>
        <w:t>אע</w:t>
      </w:r>
      <w:r w:rsidRPr="00C157C8">
        <w:rPr>
          <w:rtl/>
        </w:rPr>
        <w:t>"</w:t>
      </w:r>
      <w:r w:rsidRPr="00C157C8">
        <w:rPr>
          <w:rtl/>
          <w:lang w:bidi="he-IL"/>
        </w:rPr>
        <w:t>פ שאין מכבדים בדבר האסור באכילה</w:t>
      </w:r>
      <w:r w:rsidRPr="00C157C8">
        <w:rPr>
          <w:rtl/>
        </w:rPr>
        <w:tab/>
        <w:t>66</w:t>
      </w:r>
    </w:p>
    <w:p w:rsidR="00C157C8" w:rsidRPr="00C157C8" w:rsidRDefault="00C157C8">
      <w:pPr>
        <w:pStyle w:val="Index2"/>
        <w:rPr>
          <w:rtl/>
        </w:rPr>
      </w:pPr>
      <w:r w:rsidRPr="00C157C8">
        <w:rPr>
          <w:rtl/>
          <w:lang w:bidi="he-IL"/>
        </w:rPr>
        <w:t>בחתיכה שנאסרה ונע</w:t>
      </w:r>
      <w:r w:rsidRPr="00C157C8">
        <w:rPr>
          <w:rtl/>
        </w:rPr>
        <w:t>"</w:t>
      </w:r>
      <w:r w:rsidRPr="00C157C8">
        <w:rPr>
          <w:rtl/>
          <w:lang w:bidi="he-IL"/>
        </w:rPr>
        <w:t>נ</w:t>
      </w:r>
      <w:r w:rsidRPr="00C157C8">
        <w:rPr>
          <w:rtl/>
        </w:rPr>
        <w:tab/>
        <w:t>69</w:t>
      </w:r>
    </w:p>
    <w:p w:rsidR="00C157C8" w:rsidRPr="00C157C8" w:rsidRDefault="00C157C8">
      <w:pPr>
        <w:pStyle w:val="Index2"/>
        <w:rPr>
          <w:rtl/>
        </w:rPr>
      </w:pPr>
      <w:r w:rsidRPr="00C157C8">
        <w:rPr>
          <w:rtl/>
          <w:lang w:bidi="he-IL"/>
        </w:rPr>
        <w:t>בחתיכה שנאסרה מדין חענ</w:t>
      </w:r>
      <w:r w:rsidRPr="00C157C8">
        <w:rPr>
          <w:rtl/>
        </w:rPr>
        <w:t>"</w:t>
      </w:r>
      <w:r w:rsidRPr="00C157C8">
        <w:rPr>
          <w:rtl/>
          <w:lang w:bidi="he-IL"/>
        </w:rPr>
        <w:t>ן</w:t>
      </w:r>
      <w:r w:rsidRPr="00C157C8">
        <w:rPr>
          <w:rtl/>
        </w:rPr>
        <w:tab/>
        <w:t>335</w:t>
      </w:r>
    </w:p>
    <w:p w:rsidR="00C157C8" w:rsidRPr="00C157C8" w:rsidRDefault="00C157C8">
      <w:pPr>
        <w:pStyle w:val="Index2"/>
        <w:rPr>
          <w:rtl/>
        </w:rPr>
      </w:pPr>
      <w:r w:rsidRPr="00C157C8">
        <w:rPr>
          <w:rtl/>
          <w:lang w:bidi="he-IL"/>
        </w:rPr>
        <w:t>בתרי דרבנן</w:t>
      </w:r>
      <w:r w:rsidRPr="00C157C8">
        <w:rPr>
          <w:rtl/>
        </w:rPr>
        <w:tab/>
        <w:t>336</w:t>
      </w:r>
    </w:p>
    <w:p w:rsidR="00C157C8" w:rsidRPr="00C157C8" w:rsidRDefault="00C157C8">
      <w:pPr>
        <w:pStyle w:val="Index2"/>
        <w:rPr>
          <w:rtl/>
        </w:rPr>
      </w:pPr>
      <w:r w:rsidRPr="00C157C8">
        <w:rPr>
          <w:rtl/>
          <w:lang w:bidi="he-IL"/>
        </w:rPr>
        <w:t>גדר דינה</w:t>
      </w:r>
      <w:r w:rsidRPr="00C157C8">
        <w:rPr>
          <w:rtl/>
        </w:rPr>
        <w:tab/>
        <w:t>338</w:t>
      </w:r>
    </w:p>
    <w:p w:rsidR="00C157C8" w:rsidRPr="00C157C8" w:rsidRDefault="00C157C8">
      <w:pPr>
        <w:pStyle w:val="Index2"/>
        <w:rPr>
          <w:rtl/>
        </w:rPr>
      </w:pPr>
      <w:r w:rsidRPr="00C157C8">
        <w:rPr>
          <w:rtl/>
          <w:lang w:bidi="he-IL"/>
        </w:rPr>
        <w:t>גדר חומרתה</w:t>
      </w:r>
      <w:r w:rsidRPr="00C157C8">
        <w:rPr>
          <w:rtl/>
        </w:rPr>
        <w:tab/>
        <w:t>335</w:t>
      </w:r>
    </w:p>
    <w:p w:rsidR="00C157C8" w:rsidRPr="00C157C8" w:rsidRDefault="00C157C8">
      <w:pPr>
        <w:pStyle w:val="Index2"/>
        <w:rPr>
          <w:rtl/>
        </w:rPr>
      </w:pPr>
      <w:r w:rsidRPr="00C157C8">
        <w:rPr>
          <w:rtl/>
          <w:lang w:bidi="he-IL"/>
        </w:rPr>
        <w:t>החתיכות קטנות</w:t>
      </w:r>
      <w:r w:rsidRPr="00C157C8">
        <w:rPr>
          <w:rtl/>
        </w:rPr>
        <w:tab/>
        <w:t>338</w:t>
      </w:r>
    </w:p>
    <w:p w:rsidR="00C157C8" w:rsidRPr="00C157C8" w:rsidRDefault="00C157C8">
      <w:pPr>
        <w:pStyle w:val="Index2"/>
        <w:rPr>
          <w:rtl/>
        </w:rPr>
      </w:pPr>
      <w:r w:rsidRPr="00C157C8">
        <w:rPr>
          <w:rtl/>
          <w:lang w:bidi="he-IL"/>
        </w:rPr>
        <w:t>לפני מקצת אורחים</w:t>
      </w:r>
      <w:r w:rsidRPr="00C157C8">
        <w:rPr>
          <w:rtl/>
        </w:rPr>
        <w:tab/>
        <w:t>68</w:t>
      </w:r>
    </w:p>
    <w:p w:rsidR="00C157C8" w:rsidRPr="00C157C8" w:rsidRDefault="00C157C8">
      <w:pPr>
        <w:pStyle w:val="Index2"/>
        <w:rPr>
          <w:rtl/>
        </w:rPr>
      </w:pPr>
      <w:r w:rsidRPr="00C157C8">
        <w:rPr>
          <w:rtl/>
          <w:lang w:bidi="he-IL"/>
        </w:rPr>
        <w:t>שחסר תיקון</w:t>
      </w:r>
      <w:r w:rsidRPr="00C157C8">
        <w:rPr>
          <w:rtl/>
        </w:rPr>
        <w:tab/>
        <w:t>68</w:t>
      </w:r>
    </w:p>
    <w:p w:rsidR="00C157C8" w:rsidRPr="00C157C8" w:rsidRDefault="00C157C8">
      <w:pPr>
        <w:pStyle w:val="Index1"/>
        <w:rPr>
          <w:rtl/>
        </w:rPr>
      </w:pPr>
      <w:r w:rsidRPr="00C157C8">
        <w:rPr>
          <w:rtl/>
          <w:lang w:bidi="he-IL"/>
        </w:rPr>
        <w:t>חתיכה עצמה נעשית נבילה</w:t>
      </w:r>
      <w:r w:rsidRPr="00C157C8">
        <w:rPr>
          <w:rtl/>
        </w:rPr>
        <w:tab/>
      </w:r>
      <w:r w:rsidRPr="00C157C8">
        <w:rPr>
          <w:i/>
          <w:rtl/>
          <w:lang w:bidi="he-IL"/>
        </w:rPr>
        <w:t>ע</w:t>
      </w:r>
      <w:r w:rsidRPr="00C157C8">
        <w:rPr>
          <w:i/>
          <w:rtl/>
        </w:rPr>
        <w:t xml:space="preserve">' </w:t>
      </w:r>
      <w:r w:rsidRPr="00C157C8">
        <w:rPr>
          <w:i/>
          <w:rtl/>
          <w:lang w:bidi="he-IL"/>
        </w:rPr>
        <w:t>חענ</w:t>
      </w:r>
      <w:r w:rsidRPr="00C157C8">
        <w:rPr>
          <w:i/>
          <w:rtl/>
        </w:rPr>
        <w:t>"</w:t>
      </w:r>
      <w:r w:rsidRPr="00C157C8">
        <w:rPr>
          <w:i/>
          <w:rtl/>
          <w:lang w:bidi="he-IL"/>
        </w:rPr>
        <w:t>ן</w:t>
      </w:r>
    </w:p>
    <w:p w:rsidR="00C157C8" w:rsidRPr="00C157C8" w:rsidRDefault="00C157C8">
      <w:pPr>
        <w:pStyle w:val="Index1"/>
        <w:rPr>
          <w:rtl/>
        </w:rPr>
      </w:pPr>
      <w:r w:rsidRPr="00C157C8">
        <w:rPr>
          <w:rtl/>
          <w:lang w:bidi="he-IL"/>
        </w:rPr>
        <w:t>טבילת כלים</w:t>
      </w:r>
    </w:p>
    <w:p w:rsidR="00C157C8" w:rsidRPr="00C157C8" w:rsidRDefault="00C157C8">
      <w:pPr>
        <w:pStyle w:val="Index2"/>
        <w:rPr>
          <w:rtl/>
        </w:rPr>
      </w:pPr>
      <w:r w:rsidRPr="00C157C8">
        <w:rPr>
          <w:rtl/>
          <w:lang w:bidi="he-IL"/>
        </w:rPr>
        <w:t>אומן קונה בשבח כלי</w:t>
      </w:r>
      <w:r w:rsidRPr="00C157C8">
        <w:rPr>
          <w:rtl/>
        </w:rPr>
        <w:tab/>
        <w:t>463</w:t>
      </w:r>
    </w:p>
    <w:p w:rsidR="00C157C8" w:rsidRPr="00C157C8" w:rsidRDefault="00C157C8">
      <w:pPr>
        <w:pStyle w:val="Index2"/>
        <w:rPr>
          <w:rtl/>
        </w:rPr>
      </w:pPr>
      <w:r w:rsidRPr="00C157C8">
        <w:rPr>
          <w:rtl/>
          <w:lang w:bidi="he-IL"/>
        </w:rPr>
        <w:t>אופן אחיזת הכלי בשעת טבילה</w:t>
      </w:r>
      <w:r w:rsidRPr="00C157C8">
        <w:rPr>
          <w:rtl/>
        </w:rPr>
        <w:tab/>
        <w:t>444</w:t>
      </w:r>
    </w:p>
    <w:p w:rsidR="00C157C8" w:rsidRPr="00C157C8" w:rsidRDefault="00C157C8">
      <w:pPr>
        <w:pStyle w:val="Index2"/>
        <w:rPr>
          <w:rtl/>
        </w:rPr>
      </w:pPr>
      <w:r w:rsidRPr="00C157C8">
        <w:rPr>
          <w:rtl/>
          <w:lang w:bidi="he-IL"/>
        </w:rPr>
        <w:t>אם האיסור להשתמש לפני טבילה מדאורייתא</w:t>
      </w:r>
      <w:r w:rsidRPr="00C157C8">
        <w:rPr>
          <w:rtl/>
        </w:rPr>
        <w:tab/>
        <w:t>440</w:t>
      </w:r>
    </w:p>
    <w:p w:rsidR="00C157C8" w:rsidRPr="00C157C8" w:rsidRDefault="00C157C8">
      <w:pPr>
        <w:pStyle w:val="Index2"/>
        <w:rPr>
          <w:rtl/>
        </w:rPr>
      </w:pPr>
      <w:r w:rsidRPr="00C157C8">
        <w:rPr>
          <w:rtl/>
          <w:lang w:bidi="he-IL"/>
        </w:rPr>
        <w:t>אם הוא חיוב או הכשר</w:t>
      </w:r>
      <w:r w:rsidRPr="00C157C8">
        <w:rPr>
          <w:rtl/>
        </w:rPr>
        <w:tab/>
        <w:t>439</w:t>
      </w:r>
    </w:p>
    <w:p w:rsidR="00C157C8" w:rsidRPr="00C157C8" w:rsidRDefault="00C157C8">
      <w:pPr>
        <w:pStyle w:val="Index2"/>
        <w:rPr>
          <w:rtl/>
        </w:rPr>
      </w:pPr>
      <w:r w:rsidRPr="00C157C8">
        <w:rPr>
          <w:rtl/>
          <w:lang w:bidi="he-IL"/>
        </w:rPr>
        <w:t>אם החיוב של כלי זכוכית מדרבנן</w:t>
      </w:r>
      <w:r w:rsidRPr="00C157C8">
        <w:rPr>
          <w:rtl/>
        </w:rPr>
        <w:tab/>
        <w:t>442</w:t>
      </w:r>
    </w:p>
    <w:p w:rsidR="00C157C8" w:rsidRPr="00C157C8" w:rsidRDefault="00C157C8">
      <w:pPr>
        <w:pStyle w:val="Index2"/>
        <w:rPr>
          <w:rtl/>
        </w:rPr>
      </w:pPr>
      <w:r w:rsidRPr="00C157C8">
        <w:rPr>
          <w:rtl/>
          <w:lang w:bidi="he-IL"/>
        </w:rPr>
        <w:lastRenderedPageBreak/>
        <w:t>אם חיובה מדאורייתא</w:t>
      </w:r>
      <w:r w:rsidRPr="00C157C8">
        <w:rPr>
          <w:rtl/>
        </w:rPr>
        <w:tab/>
        <w:t>438</w:t>
      </w:r>
    </w:p>
    <w:p w:rsidR="00C157C8" w:rsidRPr="00C157C8" w:rsidRDefault="00C157C8">
      <w:pPr>
        <w:pStyle w:val="Index2"/>
        <w:rPr>
          <w:rtl/>
        </w:rPr>
      </w:pPr>
      <w:r w:rsidRPr="00C157C8">
        <w:rPr>
          <w:rtl/>
          <w:lang w:bidi="he-IL"/>
        </w:rPr>
        <w:t>אם צריך להכשיר הכלי מבליעות איסור לפני טבילה</w:t>
      </w:r>
      <w:r w:rsidRPr="00C157C8">
        <w:rPr>
          <w:rtl/>
        </w:rPr>
        <w:tab/>
        <w:t>441, 447</w:t>
      </w:r>
    </w:p>
    <w:p w:rsidR="00C157C8" w:rsidRPr="00C157C8" w:rsidRDefault="00C157C8">
      <w:pPr>
        <w:pStyle w:val="Index2"/>
        <w:rPr>
          <w:rtl/>
        </w:rPr>
      </w:pPr>
      <w:r w:rsidRPr="00C157C8">
        <w:rPr>
          <w:rtl/>
          <w:lang w:bidi="he-IL"/>
        </w:rPr>
        <w:t xml:space="preserve">אם צריך להכשיר הכלי מבליעות איסור לפני טבילה </w:t>
      </w:r>
      <w:r w:rsidRPr="00C157C8">
        <w:rPr>
          <w:rtl/>
        </w:rPr>
        <w:t xml:space="preserve">– </w:t>
      </w:r>
      <w:r w:rsidRPr="00C157C8">
        <w:rPr>
          <w:rtl/>
          <w:lang w:bidi="he-IL"/>
        </w:rPr>
        <w:t>בבליעות שאינן בני יומן</w:t>
      </w:r>
      <w:r w:rsidRPr="00C157C8">
        <w:rPr>
          <w:rtl/>
        </w:rPr>
        <w:tab/>
        <w:t>447</w:t>
      </w:r>
    </w:p>
    <w:p w:rsidR="00C157C8" w:rsidRPr="00C157C8" w:rsidRDefault="00C157C8">
      <w:pPr>
        <w:pStyle w:val="Index2"/>
        <w:rPr>
          <w:rtl/>
        </w:rPr>
      </w:pPr>
      <w:r w:rsidRPr="00C157C8">
        <w:rPr>
          <w:rtl/>
          <w:lang w:bidi="he-IL"/>
        </w:rPr>
        <w:t>בקבוקי יין הנמצאים בצרכניה השייכת לנכרי</w:t>
      </w:r>
      <w:r w:rsidRPr="00C157C8">
        <w:rPr>
          <w:rtl/>
        </w:rPr>
        <w:tab/>
        <w:t>456</w:t>
      </w:r>
    </w:p>
    <w:p w:rsidR="00C157C8" w:rsidRPr="00C157C8" w:rsidRDefault="00C157C8">
      <w:pPr>
        <w:pStyle w:val="Index2"/>
        <w:rPr>
          <w:rtl/>
        </w:rPr>
      </w:pPr>
      <w:r w:rsidRPr="00C157C8">
        <w:rPr>
          <w:rtl/>
          <w:lang w:bidi="he-IL"/>
        </w:rPr>
        <w:t>גדר החיוב</w:t>
      </w:r>
      <w:r w:rsidRPr="00C157C8">
        <w:rPr>
          <w:rtl/>
        </w:rPr>
        <w:tab/>
        <w:t>438, 440</w:t>
      </w:r>
    </w:p>
    <w:p w:rsidR="00C157C8" w:rsidRPr="00C157C8" w:rsidRDefault="00C157C8">
      <w:pPr>
        <w:pStyle w:val="Index2"/>
        <w:rPr>
          <w:rtl/>
        </w:rPr>
      </w:pPr>
      <w:r w:rsidRPr="00C157C8">
        <w:rPr>
          <w:rtl/>
          <w:lang w:bidi="he-IL"/>
        </w:rPr>
        <w:t>גדר החיוב בכלי מתכת ובכלי זכוכית</w:t>
      </w:r>
      <w:r w:rsidRPr="00C157C8">
        <w:rPr>
          <w:rtl/>
        </w:rPr>
        <w:tab/>
        <w:t>442</w:t>
      </w:r>
    </w:p>
    <w:p w:rsidR="00C157C8" w:rsidRPr="00C157C8" w:rsidRDefault="00C157C8">
      <w:pPr>
        <w:pStyle w:val="Index2"/>
        <w:rPr>
          <w:rtl/>
        </w:rPr>
      </w:pPr>
      <w:r w:rsidRPr="00C157C8">
        <w:rPr>
          <w:rtl/>
          <w:lang w:bidi="he-IL"/>
        </w:rPr>
        <w:t>גדרי כלי סעודה</w:t>
      </w:r>
      <w:r w:rsidRPr="00C157C8">
        <w:rPr>
          <w:rtl/>
        </w:rPr>
        <w:tab/>
        <w:t>448</w:t>
      </w:r>
    </w:p>
    <w:p w:rsidR="00C157C8" w:rsidRPr="00C157C8" w:rsidRDefault="00C157C8">
      <w:pPr>
        <w:pStyle w:val="Index2"/>
        <w:rPr>
          <w:rtl/>
        </w:rPr>
      </w:pPr>
      <w:r w:rsidRPr="00C157C8">
        <w:rPr>
          <w:rtl/>
          <w:lang w:bidi="he-IL"/>
        </w:rPr>
        <w:t>האם כל סוגי מתכת חייבים</w:t>
      </w:r>
      <w:r w:rsidRPr="00C157C8">
        <w:rPr>
          <w:rtl/>
        </w:rPr>
        <w:tab/>
        <w:t>442</w:t>
      </w:r>
    </w:p>
    <w:p w:rsidR="00C157C8" w:rsidRPr="00C157C8" w:rsidRDefault="00C157C8">
      <w:pPr>
        <w:pStyle w:val="Index2"/>
        <w:rPr>
          <w:rtl/>
        </w:rPr>
      </w:pPr>
      <w:r w:rsidRPr="00C157C8">
        <w:rPr>
          <w:rtl/>
          <w:lang w:bidi="he-IL"/>
        </w:rPr>
        <w:t>חומרים שיש להם התכונה של כלי זכוכית</w:t>
      </w:r>
      <w:r w:rsidRPr="00C157C8">
        <w:rPr>
          <w:rtl/>
        </w:rPr>
        <w:tab/>
        <w:t>443</w:t>
      </w:r>
    </w:p>
    <w:p w:rsidR="00C157C8" w:rsidRPr="00C157C8" w:rsidRDefault="00C157C8">
      <w:pPr>
        <w:pStyle w:val="Index2"/>
        <w:rPr>
          <w:rtl/>
        </w:rPr>
      </w:pPr>
      <w:r w:rsidRPr="00C157C8">
        <w:rPr>
          <w:rtl/>
          <w:lang w:bidi="he-IL"/>
        </w:rPr>
        <w:t>חצובה</w:t>
      </w:r>
      <w:r w:rsidRPr="00C157C8">
        <w:rPr>
          <w:rtl/>
        </w:rPr>
        <w:tab/>
        <w:t>448</w:t>
      </w:r>
    </w:p>
    <w:p w:rsidR="00C157C8" w:rsidRPr="00C157C8" w:rsidRDefault="00C157C8">
      <w:pPr>
        <w:pStyle w:val="Index2"/>
        <w:rPr>
          <w:rtl/>
        </w:rPr>
      </w:pPr>
      <w:r w:rsidRPr="00C157C8">
        <w:rPr>
          <w:rtl/>
          <w:lang w:bidi="he-IL"/>
        </w:rPr>
        <w:t>טרמוס</w:t>
      </w:r>
      <w:r w:rsidRPr="00C157C8">
        <w:rPr>
          <w:rtl/>
        </w:rPr>
        <w:tab/>
        <w:t>458</w:t>
      </w:r>
    </w:p>
    <w:p w:rsidR="00C157C8" w:rsidRPr="00C157C8" w:rsidRDefault="00C157C8">
      <w:pPr>
        <w:pStyle w:val="Index2"/>
        <w:rPr>
          <w:rtl/>
        </w:rPr>
      </w:pPr>
      <w:r w:rsidRPr="00C157C8">
        <w:rPr>
          <w:rtl/>
          <w:lang w:bidi="he-IL"/>
        </w:rPr>
        <w:t>כלי איחסון</w:t>
      </w:r>
      <w:r w:rsidRPr="00C157C8">
        <w:rPr>
          <w:rtl/>
        </w:rPr>
        <w:tab/>
        <w:t>449</w:t>
      </w:r>
    </w:p>
    <w:p w:rsidR="00C157C8" w:rsidRPr="00C157C8" w:rsidRDefault="00C157C8">
      <w:pPr>
        <w:pStyle w:val="Index2"/>
        <w:rPr>
          <w:rtl/>
        </w:rPr>
      </w:pPr>
      <w:r w:rsidRPr="00C157C8">
        <w:rPr>
          <w:rtl/>
          <w:lang w:bidi="he-IL"/>
        </w:rPr>
        <w:t>כלי אליומינום</w:t>
      </w:r>
      <w:r w:rsidRPr="00C157C8">
        <w:rPr>
          <w:rtl/>
        </w:rPr>
        <w:tab/>
        <w:t>443</w:t>
      </w:r>
    </w:p>
    <w:p w:rsidR="00C157C8" w:rsidRPr="00C157C8" w:rsidRDefault="00C157C8">
      <w:pPr>
        <w:pStyle w:val="Index2"/>
        <w:rPr>
          <w:rtl/>
        </w:rPr>
      </w:pPr>
      <w:r w:rsidRPr="00C157C8">
        <w:rPr>
          <w:rtl/>
          <w:lang w:bidi="he-IL"/>
        </w:rPr>
        <w:t xml:space="preserve">כלי זכוכית שקונים בה </w:t>
      </w:r>
      <w:r w:rsidRPr="00C157C8">
        <w:rPr>
          <w:rtl/>
        </w:rPr>
        <w:t>'</w:t>
      </w:r>
      <w:r w:rsidRPr="00C157C8">
        <w:rPr>
          <w:rtl/>
          <w:lang w:bidi="he-IL"/>
        </w:rPr>
        <w:t>קוקה קולה</w:t>
      </w:r>
      <w:r w:rsidRPr="00C157C8">
        <w:rPr>
          <w:rtl/>
        </w:rPr>
        <w:t>'</w:t>
      </w:r>
      <w:r w:rsidRPr="00C157C8">
        <w:rPr>
          <w:rtl/>
        </w:rPr>
        <w:tab/>
        <w:t>455</w:t>
      </w:r>
    </w:p>
    <w:p w:rsidR="00C157C8" w:rsidRPr="00C157C8" w:rsidRDefault="00C157C8">
      <w:pPr>
        <w:pStyle w:val="Index2"/>
        <w:rPr>
          <w:rtl/>
        </w:rPr>
      </w:pPr>
      <w:r w:rsidRPr="00C157C8">
        <w:rPr>
          <w:rtl/>
          <w:lang w:bidi="he-IL"/>
        </w:rPr>
        <w:t xml:space="preserve">כלי זכוכית שקונים בה קפה </w:t>
      </w:r>
      <w:r w:rsidRPr="00C157C8">
        <w:rPr>
          <w:rtl/>
        </w:rPr>
        <w:t>'</w:t>
      </w:r>
      <w:r w:rsidRPr="00C157C8">
        <w:rPr>
          <w:rtl/>
          <w:lang w:bidi="he-IL"/>
        </w:rPr>
        <w:t>טייסטרס טשויס</w:t>
      </w:r>
      <w:r w:rsidRPr="00C157C8">
        <w:rPr>
          <w:rtl/>
        </w:rPr>
        <w:t>'</w:t>
      </w:r>
      <w:r w:rsidRPr="00C157C8">
        <w:rPr>
          <w:rtl/>
        </w:rPr>
        <w:tab/>
        <w:t>455</w:t>
      </w:r>
    </w:p>
    <w:p w:rsidR="00C157C8" w:rsidRPr="00C157C8" w:rsidRDefault="00C157C8">
      <w:pPr>
        <w:pStyle w:val="Index2"/>
        <w:rPr>
          <w:rtl/>
        </w:rPr>
      </w:pPr>
      <w:r w:rsidRPr="00C157C8">
        <w:rPr>
          <w:rtl/>
          <w:lang w:bidi="he-IL"/>
        </w:rPr>
        <w:t>כלי חד פעמי</w:t>
      </w:r>
      <w:r w:rsidRPr="00C157C8">
        <w:rPr>
          <w:rtl/>
        </w:rPr>
        <w:tab/>
        <w:t>444</w:t>
      </w:r>
    </w:p>
    <w:p w:rsidR="00C157C8" w:rsidRPr="00C157C8" w:rsidRDefault="00C157C8">
      <w:pPr>
        <w:pStyle w:val="Index2"/>
        <w:rPr>
          <w:rtl/>
        </w:rPr>
      </w:pPr>
      <w:r w:rsidRPr="00C157C8">
        <w:rPr>
          <w:rtl/>
          <w:lang w:bidi="he-IL"/>
        </w:rPr>
        <w:t>כלי חרס המצופה מתכת</w:t>
      </w:r>
      <w:r w:rsidRPr="00C157C8">
        <w:rPr>
          <w:rtl/>
        </w:rPr>
        <w:tab/>
        <w:t>441, 451</w:t>
      </w:r>
    </w:p>
    <w:p w:rsidR="00C157C8" w:rsidRPr="00C157C8" w:rsidRDefault="00C157C8">
      <w:pPr>
        <w:pStyle w:val="Index2"/>
        <w:rPr>
          <w:rtl/>
        </w:rPr>
      </w:pPr>
      <w:r w:rsidRPr="00C157C8">
        <w:rPr>
          <w:rtl/>
          <w:lang w:bidi="he-IL"/>
        </w:rPr>
        <w:t xml:space="preserve">כלי חרס המצופה מתכת </w:t>
      </w:r>
      <w:r w:rsidRPr="00C157C8">
        <w:rPr>
          <w:rtl/>
        </w:rPr>
        <w:t xml:space="preserve">- </w:t>
      </w:r>
      <w:r w:rsidRPr="00C157C8">
        <w:rPr>
          <w:rtl/>
          <w:lang w:bidi="he-IL"/>
        </w:rPr>
        <w:t>אם חיובם מדאורייתא</w:t>
      </w:r>
      <w:r w:rsidRPr="00C157C8">
        <w:rPr>
          <w:rtl/>
        </w:rPr>
        <w:tab/>
        <w:t>451</w:t>
      </w:r>
    </w:p>
    <w:p w:rsidR="00C157C8" w:rsidRPr="00C157C8" w:rsidRDefault="00C157C8">
      <w:pPr>
        <w:pStyle w:val="Index2"/>
        <w:rPr>
          <w:rtl/>
        </w:rPr>
      </w:pPr>
      <w:r w:rsidRPr="00C157C8">
        <w:rPr>
          <w:rtl/>
          <w:lang w:bidi="he-IL"/>
        </w:rPr>
        <w:t xml:space="preserve">כלי חרס המצופה מתכת </w:t>
      </w:r>
      <w:r w:rsidRPr="00C157C8">
        <w:rPr>
          <w:rtl/>
        </w:rPr>
        <w:t xml:space="preserve">- </w:t>
      </w:r>
      <w:r w:rsidRPr="00C157C8">
        <w:rPr>
          <w:rtl/>
          <w:lang w:bidi="he-IL"/>
        </w:rPr>
        <w:t>הערה בזה</w:t>
      </w:r>
      <w:r w:rsidRPr="00C157C8">
        <w:rPr>
          <w:rtl/>
        </w:rPr>
        <w:tab/>
        <w:t>448</w:t>
      </w:r>
    </w:p>
    <w:p w:rsidR="00C157C8" w:rsidRPr="00C157C8" w:rsidRDefault="00C157C8">
      <w:pPr>
        <w:pStyle w:val="Index2"/>
        <w:rPr>
          <w:rtl/>
        </w:rPr>
      </w:pPr>
      <w:r w:rsidRPr="00C157C8">
        <w:rPr>
          <w:rtl/>
          <w:lang w:bidi="he-IL"/>
        </w:rPr>
        <w:t>כלי סחורה</w:t>
      </w:r>
      <w:r w:rsidRPr="00C157C8">
        <w:rPr>
          <w:rtl/>
        </w:rPr>
        <w:tab/>
        <w:t>453</w:t>
      </w:r>
    </w:p>
    <w:p w:rsidR="00C157C8" w:rsidRPr="00C157C8" w:rsidRDefault="00C157C8">
      <w:pPr>
        <w:pStyle w:val="Index2"/>
        <w:rPr>
          <w:rtl/>
        </w:rPr>
      </w:pPr>
      <w:r w:rsidRPr="00C157C8">
        <w:rPr>
          <w:rtl/>
          <w:lang w:bidi="he-IL"/>
        </w:rPr>
        <w:t>כלי פלסטיק</w:t>
      </w:r>
      <w:r w:rsidRPr="00C157C8">
        <w:rPr>
          <w:rtl/>
        </w:rPr>
        <w:tab/>
        <w:t>443</w:t>
      </w:r>
    </w:p>
    <w:p w:rsidR="00C157C8" w:rsidRPr="00C157C8" w:rsidRDefault="00C157C8">
      <w:pPr>
        <w:pStyle w:val="Index2"/>
        <w:rPr>
          <w:rtl/>
        </w:rPr>
      </w:pPr>
      <w:r w:rsidRPr="00C157C8">
        <w:rPr>
          <w:rtl/>
          <w:lang w:bidi="he-IL"/>
        </w:rPr>
        <w:t>כלי שאינם כלי סעודה ומשתמש עראי לסעודה</w:t>
      </w:r>
      <w:r w:rsidRPr="00C157C8">
        <w:rPr>
          <w:rtl/>
        </w:rPr>
        <w:tab/>
        <w:t>452</w:t>
      </w:r>
    </w:p>
    <w:p w:rsidR="00C157C8" w:rsidRPr="00C157C8" w:rsidRDefault="00C157C8">
      <w:pPr>
        <w:pStyle w:val="Index2"/>
        <w:rPr>
          <w:rtl/>
        </w:rPr>
      </w:pPr>
      <w:r w:rsidRPr="00C157C8">
        <w:rPr>
          <w:rtl/>
          <w:lang w:bidi="he-IL"/>
        </w:rPr>
        <w:t>כלי של קטן</w:t>
      </w:r>
      <w:r w:rsidRPr="00C157C8">
        <w:rPr>
          <w:rtl/>
        </w:rPr>
        <w:tab/>
        <w:t>459, 462</w:t>
      </w:r>
    </w:p>
    <w:p w:rsidR="00C157C8" w:rsidRPr="00C157C8" w:rsidRDefault="00C157C8">
      <w:pPr>
        <w:pStyle w:val="Index2"/>
        <w:rPr>
          <w:rtl/>
        </w:rPr>
      </w:pPr>
      <w:r w:rsidRPr="00C157C8">
        <w:rPr>
          <w:rtl/>
          <w:lang w:bidi="he-IL"/>
        </w:rPr>
        <w:t>מכונת קפה</w:t>
      </w:r>
      <w:r w:rsidRPr="00C157C8">
        <w:rPr>
          <w:rtl/>
        </w:rPr>
        <w:tab/>
        <w:t>458</w:t>
      </w:r>
    </w:p>
    <w:p w:rsidR="00C157C8" w:rsidRPr="00C157C8" w:rsidRDefault="00C157C8">
      <w:pPr>
        <w:pStyle w:val="Index2"/>
        <w:rPr>
          <w:rtl/>
        </w:rPr>
      </w:pPr>
      <w:r w:rsidRPr="00C157C8">
        <w:rPr>
          <w:rtl/>
          <w:lang w:bidi="he-IL"/>
        </w:rPr>
        <w:t>מכסה של כלי</w:t>
      </w:r>
      <w:r w:rsidRPr="00C157C8">
        <w:rPr>
          <w:rtl/>
        </w:rPr>
        <w:tab/>
        <w:t>449</w:t>
      </w:r>
    </w:p>
    <w:p w:rsidR="00C157C8" w:rsidRPr="00C157C8" w:rsidRDefault="00C157C8">
      <w:pPr>
        <w:pStyle w:val="Index2"/>
        <w:rPr>
          <w:rtl/>
        </w:rPr>
      </w:pPr>
      <w:r w:rsidRPr="00C157C8">
        <w:rPr>
          <w:rtl/>
          <w:lang w:bidi="he-IL"/>
        </w:rPr>
        <w:t>מכשיר חשמלי לפריסת לחם</w:t>
      </w:r>
      <w:r w:rsidRPr="00C157C8">
        <w:rPr>
          <w:rtl/>
        </w:rPr>
        <w:tab/>
        <w:t>458</w:t>
      </w:r>
    </w:p>
    <w:p w:rsidR="00C157C8" w:rsidRPr="00C157C8" w:rsidRDefault="00C157C8">
      <w:pPr>
        <w:pStyle w:val="Index2"/>
        <w:rPr>
          <w:rtl/>
        </w:rPr>
      </w:pPr>
      <w:r w:rsidRPr="00C157C8">
        <w:rPr>
          <w:rtl/>
          <w:lang w:bidi="he-IL"/>
        </w:rPr>
        <w:t>מצנם</w:t>
      </w:r>
      <w:r w:rsidRPr="00C157C8">
        <w:rPr>
          <w:rtl/>
        </w:rPr>
        <w:tab/>
        <w:t>458</w:t>
      </w:r>
    </w:p>
    <w:p w:rsidR="00C157C8" w:rsidRPr="00C157C8" w:rsidRDefault="00C157C8">
      <w:pPr>
        <w:pStyle w:val="Index2"/>
        <w:rPr>
          <w:rtl/>
        </w:rPr>
      </w:pPr>
      <w:r w:rsidRPr="00C157C8">
        <w:rPr>
          <w:rtl/>
          <w:lang w:bidi="he-IL"/>
        </w:rPr>
        <w:t>מקורות לאיסור תשמיש לפני טבילה</w:t>
      </w:r>
      <w:r w:rsidRPr="00C157C8">
        <w:rPr>
          <w:rtl/>
        </w:rPr>
        <w:tab/>
        <w:t>439</w:t>
      </w:r>
    </w:p>
    <w:p w:rsidR="00C157C8" w:rsidRPr="00C157C8" w:rsidRDefault="00C157C8">
      <w:pPr>
        <w:pStyle w:val="Index2"/>
        <w:rPr>
          <w:rtl/>
        </w:rPr>
      </w:pPr>
      <w:r w:rsidRPr="00C157C8">
        <w:rPr>
          <w:rtl/>
          <w:lang w:bidi="he-IL"/>
        </w:rPr>
        <w:t>משכנתא</w:t>
      </w:r>
      <w:r w:rsidRPr="00C157C8">
        <w:rPr>
          <w:rtl/>
        </w:rPr>
        <w:tab/>
        <w:t>463</w:t>
      </w:r>
    </w:p>
    <w:p w:rsidR="00C157C8" w:rsidRPr="00C157C8" w:rsidRDefault="00C157C8">
      <w:pPr>
        <w:pStyle w:val="Index2"/>
        <w:rPr>
          <w:rtl/>
        </w:rPr>
      </w:pPr>
      <w:r w:rsidRPr="00C157C8">
        <w:rPr>
          <w:rtl/>
          <w:lang w:bidi="he-IL"/>
        </w:rPr>
        <w:t>סכין לחתוך בה קלפים</w:t>
      </w:r>
      <w:r w:rsidRPr="00C157C8">
        <w:rPr>
          <w:rtl/>
        </w:rPr>
        <w:tab/>
        <w:t>454</w:t>
      </w:r>
    </w:p>
    <w:p w:rsidR="00C157C8" w:rsidRPr="00C157C8" w:rsidRDefault="00C157C8">
      <w:pPr>
        <w:pStyle w:val="Index2"/>
        <w:rPr>
          <w:rtl/>
        </w:rPr>
      </w:pPr>
      <w:r w:rsidRPr="00C157C8">
        <w:rPr>
          <w:rtl/>
          <w:lang w:bidi="he-IL"/>
        </w:rPr>
        <w:t>עצות להפטר ממנה</w:t>
      </w:r>
      <w:r w:rsidRPr="00C157C8">
        <w:rPr>
          <w:rtl/>
        </w:rPr>
        <w:tab/>
        <w:t>459</w:t>
      </w:r>
    </w:p>
    <w:p w:rsidR="00C157C8" w:rsidRPr="00C157C8" w:rsidRDefault="00C157C8">
      <w:pPr>
        <w:pStyle w:val="Index2"/>
        <w:rPr>
          <w:rtl/>
        </w:rPr>
      </w:pPr>
      <w:r w:rsidRPr="00C157C8">
        <w:rPr>
          <w:rtl/>
          <w:lang w:bidi="he-IL"/>
        </w:rPr>
        <w:t xml:space="preserve">פח </w:t>
      </w:r>
      <w:r w:rsidRPr="00C157C8">
        <w:rPr>
          <w:rtl/>
        </w:rPr>
        <w:t>(</w:t>
      </w:r>
      <w:r w:rsidRPr="00C157C8">
        <w:rPr>
          <w:rtl/>
          <w:lang w:bidi="he-IL"/>
        </w:rPr>
        <w:t>בלעך</w:t>
      </w:r>
      <w:r w:rsidRPr="00C157C8">
        <w:rPr>
          <w:rtl/>
        </w:rPr>
        <w:t>)</w:t>
      </w:r>
      <w:r w:rsidRPr="00C157C8">
        <w:rPr>
          <w:rtl/>
        </w:rPr>
        <w:tab/>
        <w:t>457</w:t>
      </w:r>
    </w:p>
    <w:p w:rsidR="00C157C8" w:rsidRPr="00C157C8" w:rsidRDefault="00C157C8">
      <w:pPr>
        <w:pStyle w:val="Index2"/>
        <w:rPr>
          <w:rtl/>
        </w:rPr>
      </w:pPr>
      <w:r w:rsidRPr="00C157C8">
        <w:rPr>
          <w:rtl/>
          <w:lang w:bidi="he-IL"/>
        </w:rPr>
        <w:t>פחיות של קוקה קולה</w:t>
      </w:r>
      <w:r w:rsidRPr="00C157C8">
        <w:rPr>
          <w:rtl/>
        </w:rPr>
        <w:tab/>
        <w:t>457</w:t>
      </w:r>
    </w:p>
    <w:p w:rsidR="00C157C8" w:rsidRPr="00C157C8" w:rsidRDefault="00C157C8">
      <w:pPr>
        <w:pStyle w:val="Index2"/>
        <w:rPr>
          <w:rtl/>
        </w:rPr>
      </w:pPr>
      <w:r w:rsidRPr="00C157C8">
        <w:rPr>
          <w:rtl/>
          <w:lang w:bidi="he-IL"/>
        </w:rPr>
        <w:t>קביעת כלי ככלי סעודה ע</w:t>
      </w:r>
      <w:r w:rsidRPr="00C157C8">
        <w:rPr>
          <w:rtl/>
        </w:rPr>
        <w:t>"</w:t>
      </w:r>
      <w:r w:rsidRPr="00C157C8">
        <w:rPr>
          <w:rtl/>
          <w:lang w:bidi="he-IL"/>
        </w:rPr>
        <w:t>י קטן</w:t>
      </w:r>
      <w:r w:rsidRPr="00C157C8">
        <w:rPr>
          <w:rtl/>
        </w:rPr>
        <w:tab/>
        <w:t>460</w:t>
      </w:r>
    </w:p>
    <w:p w:rsidR="00C157C8" w:rsidRPr="00C157C8" w:rsidRDefault="00C157C8">
      <w:pPr>
        <w:pStyle w:val="Index2"/>
        <w:rPr>
          <w:rtl/>
        </w:rPr>
      </w:pPr>
      <w:r w:rsidRPr="00C157C8">
        <w:rPr>
          <w:rtl/>
          <w:lang w:bidi="he-IL"/>
        </w:rPr>
        <w:t>קומביין</w:t>
      </w:r>
      <w:r w:rsidRPr="00C157C8">
        <w:rPr>
          <w:rtl/>
        </w:rPr>
        <w:tab/>
        <w:t>459</w:t>
      </w:r>
    </w:p>
    <w:p w:rsidR="00C157C8" w:rsidRPr="00C157C8" w:rsidRDefault="00C157C8">
      <w:pPr>
        <w:pStyle w:val="Index2"/>
        <w:rPr>
          <w:rtl/>
        </w:rPr>
      </w:pPr>
      <w:r w:rsidRPr="00C157C8">
        <w:rPr>
          <w:rtl/>
          <w:lang w:bidi="he-IL"/>
        </w:rPr>
        <w:t>קומקום חשמלי</w:t>
      </w:r>
      <w:r w:rsidRPr="00C157C8">
        <w:rPr>
          <w:rtl/>
        </w:rPr>
        <w:tab/>
        <w:t>458</w:t>
      </w:r>
    </w:p>
    <w:p w:rsidR="00C157C8" w:rsidRPr="00C157C8" w:rsidRDefault="00C157C8">
      <w:pPr>
        <w:pStyle w:val="Index2"/>
        <w:rPr>
          <w:rtl/>
        </w:rPr>
      </w:pPr>
      <w:r w:rsidRPr="00C157C8">
        <w:rPr>
          <w:rtl/>
          <w:lang w:bidi="he-IL"/>
        </w:rPr>
        <w:t>שותפות ישראל עם עכו</w:t>
      </w:r>
      <w:r w:rsidRPr="00C157C8">
        <w:rPr>
          <w:rtl/>
        </w:rPr>
        <w:t>"</w:t>
      </w:r>
      <w:r w:rsidRPr="00C157C8">
        <w:rPr>
          <w:rtl/>
          <w:lang w:bidi="he-IL"/>
        </w:rPr>
        <w:t>ם</w:t>
      </w:r>
      <w:r w:rsidRPr="00C157C8">
        <w:rPr>
          <w:rtl/>
        </w:rPr>
        <w:tab/>
        <w:t>461</w:t>
      </w:r>
    </w:p>
    <w:p w:rsidR="00C157C8" w:rsidRPr="00C157C8" w:rsidRDefault="00C157C8">
      <w:pPr>
        <w:pStyle w:val="Index2"/>
        <w:rPr>
          <w:rtl/>
        </w:rPr>
      </w:pPr>
      <w:r w:rsidRPr="00C157C8">
        <w:rPr>
          <w:rtl/>
          <w:lang w:bidi="he-IL"/>
        </w:rPr>
        <w:t>שלחן</w:t>
      </w:r>
      <w:r w:rsidRPr="00C157C8">
        <w:rPr>
          <w:rtl/>
        </w:rPr>
        <w:tab/>
        <w:t>457</w:t>
      </w:r>
    </w:p>
    <w:p w:rsidR="00C157C8" w:rsidRPr="00C157C8" w:rsidRDefault="00C157C8">
      <w:pPr>
        <w:pStyle w:val="Index2"/>
        <w:rPr>
          <w:rtl/>
        </w:rPr>
      </w:pPr>
      <w:r w:rsidRPr="00C157C8">
        <w:rPr>
          <w:rtl/>
          <w:lang w:bidi="he-IL"/>
        </w:rPr>
        <w:t>תנור ומיקרוגל</w:t>
      </w:r>
      <w:r w:rsidRPr="00C157C8">
        <w:rPr>
          <w:rtl/>
        </w:rPr>
        <w:tab/>
        <w:t>449</w:t>
      </w:r>
    </w:p>
    <w:p w:rsidR="00C157C8" w:rsidRPr="00C157C8" w:rsidRDefault="00C157C8">
      <w:pPr>
        <w:pStyle w:val="Index1"/>
        <w:rPr>
          <w:rtl/>
        </w:rPr>
      </w:pPr>
      <w:r w:rsidRPr="00C157C8">
        <w:rPr>
          <w:rtl/>
          <w:lang w:bidi="he-IL"/>
        </w:rPr>
        <w:t>טיפת חלב שנפלה ע הקדרה</w:t>
      </w:r>
    </w:p>
    <w:p w:rsidR="00C157C8" w:rsidRPr="00C157C8" w:rsidRDefault="00C157C8">
      <w:pPr>
        <w:pStyle w:val="Index2"/>
        <w:rPr>
          <w:rtl/>
        </w:rPr>
      </w:pPr>
      <w:r w:rsidRPr="00C157C8">
        <w:rPr>
          <w:rtl/>
          <w:lang w:bidi="he-IL"/>
        </w:rPr>
        <w:t>צירוף כל הקדרה לבטל הטיפה</w:t>
      </w:r>
      <w:r w:rsidRPr="00C157C8">
        <w:rPr>
          <w:rtl/>
        </w:rPr>
        <w:tab/>
        <w:t>234</w:t>
      </w:r>
    </w:p>
    <w:p w:rsidR="00C157C8" w:rsidRPr="00C157C8" w:rsidRDefault="00C157C8">
      <w:pPr>
        <w:pStyle w:val="Index1"/>
        <w:rPr>
          <w:rtl/>
        </w:rPr>
      </w:pPr>
      <w:r w:rsidRPr="00C157C8">
        <w:rPr>
          <w:rtl/>
          <w:lang w:bidi="he-IL"/>
        </w:rPr>
        <w:t>טיפת חלב שנפלה על החתיכה</w:t>
      </w:r>
    </w:p>
    <w:p w:rsidR="00C157C8" w:rsidRPr="00C157C8" w:rsidRDefault="00C157C8">
      <w:pPr>
        <w:pStyle w:val="Index2"/>
        <w:rPr>
          <w:rtl/>
        </w:rPr>
      </w:pPr>
      <w:r w:rsidRPr="00C157C8">
        <w:rPr>
          <w:rtl/>
          <w:lang w:bidi="he-IL"/>
        </w:rPr>
        <w:t>למה מתפשט בכל החתיכה ולא מחתיכה לחתיכה</w:t>
      </w:r>
      <w:r w:rsidRPr="00C157C8">
        <w:rPr>
          <w:rtl/>
        </w:rPr>
        <w:tab/>
        <w:t>80</w:t>
      </w:r>
    </w:p>
    <w:p w:rsidR="00C157C8" w:rsidRPr="00C157C8" w:rsidRDefault="00C157C8">
      <w:pPr>
        <w:pStyle w:val="Index1"/>
        <w:rPr>
          <w:rtl/>
        </w:rPr>
      </w:pPr>
      <w:r w:rsidRPr="00C157C8">
        <w:rPr>
          <w:rtl/>
          <w:lang w:bidi="he-IL"/>
        </w:rPr>
        <w:t>טיפת חלב שנפלה על הקדרה</w:t>
      </w:r>
    </w:p>
    <w:p w:rsidR="00C157C8" w:rsidRPr="00C157C8" w:rsidRDefault="00C157C8">
      <w:pPr>
        <w:pStyle w:val="Index2"/>
        <w:rPr>
          <w:rtl/>
        </w:rPr>
      </w:pPr>
      <w:r w:rsidRPr="00C157C8">
        <w:rPr>
          <w:rtl/>
          <w:lang w:bidi="he-IL"/>
        </w:rPr>
        <w:t>באיזה ענין מותר לנער את הקדרה</w:t>
      </w:r>
      <w:r w:rsidRPr="00C157C8">
        <w:rPr>
          <w:rtl/>
        </w:rPr>
        <w:tab/>
        <w:t>237</w:t>
      </w:r>
    </w:p>
    <w:p w:rsidR="00C157C8" w:rsidRPr="00C157C8" w:rsidRDefault="00C157C8">
      <w:pPr>
        <w:pStyle w:val="Index2"/>
        <w:rPr>
          <w:rtl/>
        </w:rPr>
      </w:pPr>
      <w:r w:rsidRPr="00C157C8">
        <w:rPr>
          <w:rtl/>
          <w:lang w:bidi="he-IL"/>
        </w:rPr>
        <w:t>הקדמה לסוגיא</w:t>
      </w:r>
      <w:r w:rsidRPr="00C157C8">
        <w:rPr>
          <w:rtl/>
        </w:rPr>
        <w:tab/>
        <w:t>230</w:t>
      </w:r>
    </w:p>
    <w:p w:rsidR="00C157C8" w:rsidRPr="00C157C8" w:rsidRDefault="00C157C8">
      <w:pPr>
        <w:pStyle w:val="Index2"/>
        <w:rPr>
          <w:rtl/>
        </w:rPr>
      </w:pPr>
      <w:r w:rsidRPr="00C157C8">
        <w:rPr>
          <w:rtl/>
          <w:lang w:bidi="he-IL"/>
        </w:rPr>
        <w:t>טעם להחמיר בה יותר מחתיכה</w:t>
      </w:r>
      <w:r w:rsidRPr="00C157C8">
        <w:rPr>
          <w:rtl/>
        </w:rPr>
        <w:tab/>
        <w:t>232</w:t>
      </w:r>
    </w:p>
    <w:p w:rsidR="00C157C8" w:rsidRPr="00C157C8" w:rsidRDefault="00C157C8">
      <w:pPr>
        <w:pStyle w:val="Index2"/>
        <w:rPr>
          <w:rtl/>
        </w:rPr>
      </w:pPr>
      <w:r w:rsidRPr="00C157C8">
        <w:rPr>
          <w:rtl/>
          <w:lang w:bidi="he-IL"/>
        </w:rPr>
        <w:lastRenderedPageBreak/>
        <w:t>כשנפל הטיפה ע</w:t>
      </w:r>
      <w:r w:rsidRPr="00C157C8">
        <w:rPr>
          <w:rtl/>
        </w:rPr>
        <w:t>"</w:t>
      </w:r>
      <w:r w:rsidRPr="00C157C8">
        <w:rPr>
          <w:rtl/>
          <w:lang w:bidi="he-IL"/>
        </w:rPr>
        <w:t>ג כיסוי הקדרה</w:t>
      </w:r>
      <w:r w:rsidRPr="00C157C8">
        <w:rPr>
          <w:rtl/>
        </w:rPr>
        <w:tab/>
        <w:t>238</w:t>
      </w:r>
    </w:p>
    <w:p w:rsidR="00C157C8" w:rsidRPr="00C157C8" w:rsidRDefault="00C157C8">
      <w:pPr>
        <w:pStyle w:val="Index2"/>
        <w:rPr>
          <w:rtl/>
        </w:rPr>
      </w:pPr>
      <w:r w:rsidRPr="00C157C8">
        <w:rPr>
          <w:rtl/>
          <w:lang w:bidi="he-IL"/>
        </w:rPr>
        <w:t>כשנפל כנגד הריקן בקדרה מכוסה</w:t>
      </w:r>
      <w:r w:rsidRPr="00C157C8">
        <w:rPr>
          <w:rtl/>
        </w:rPr>
        <w:tab/>
        <w:t>240</w:t>
      </w:r>
    </w:p>
    <w:p w:rsidR="00C157C8" w:rsidRPr="00C157C8" w:rsidRDefault="00C157C8">
      <w:pPr>
        <w:pStyle w:val="Index2"/>
        <w:rPr>
          <w:rtl/>
        </w:rPr>
      </w:pPr>
      <w:r w:rsidRPr="00C157C8">
        <w:rPr>
          <w:rtl/>
          <w:lang w:bidi="he-IL"/>
        </w:rPr>
        <w:t xml:space="preserve">נפל כנגד הרוטב </w:t>
      </w:r>
      <w:r w:rsidRPr="00C157C8">
        <w:rPr>
          <w:rtl/>
        </w:rPr>
        <w:t xml:space="preserve">- </w:t>
      </w:r>
      <w:r w:rsidRPr="00C157C8">
        <w:rPr>
          <w:rtl/>
          <w:lang w:bidi="he-IL"/>
        </w:rPr>
        <w:t>דינו של הכלי</w:t>
      </w:r>
      <w:r w:rsidRPr="00C157C8">
        <w:rPr>
          <w:rtl/>
        </w:rPr>
        <w:tab/>
        <w:t>236</w:t>
      </w:r>
    </w:p>
    <w:p w:rsidR="00C157C8" w:rsidRPr="00C157C8" w:rsidRDefault="00C157C8">
      <w:pPr>
        <w:pStyle w:val="Index2"/>
        <w:rPr>
          <w:rtl/>
        </w:rPr>
      </w:pPr>
      <w:r w:rsidRPr="00C157C8">
        <w:rPr>
          <w:rtl/>
          <w:lang w:bidi="he-IL"/>
        </w:rPr>
        <w:t>שיטת המהר</w:t>
      </w:r>
      <w:r w:rsidRPr="00C157C8">
        <w:rPr>
          <w:rtl/>
        </w:rPr>
        <w:t>"</w:t>
      </w:r>
      <w:r w:rsidRPr="00C157C8">
        <w:rPr>
          <w:rtl/>
          <w:lang w:bidi="he-IL"/>
        </w:rPr>
        <w:t>ם רוטנברג</w:t>
      </w:r>
      <w:r w:rsidRPr="00C157C8">
        <w:rPr>
          <w:rtl/>
        </w:rPr>
        <w:tab/>
        <w:t>233</w:t>
      </w:r>
    </w:p>
    <w:p w:rsidR="00C157C8" w:rsidRPr="00C157C8" w:rsidRDefault="00C157C8">
      <w:pPr>
        <w:pStyle w:val="Index2"/>
        <w:rPr>
          <w:rtl/>
        </w:rPr>
      </w:pPr>
      <w:r w:rsidRPr="00C157C8">
        <w:rPr>
          <w:rtl/>
          <w:lang w:bidi="he-IL"/>
        </w:rPr>
        <w:t>שיטת המחבר</w:t>
      </w:r>
      <w:r w:rsidRPr="00C157C8">
        <w:rPr>
          <w:rtl/>
        </w:rPr>
        <w:tab/>
        <w:t>238</w:t>
      </w:r>
    </w:p>
    <w:p w:rsidR="00C157C8" w:rsidRPr="00C157C8" w:rsidRDefault="00C157C8">
      <w:pPr>
        <w:pStyle w:val="Index2"/>
        <w:rPr>
          <w:rtl/>
        </w:rPr>
      </w:pPr>
      <w:r w:rsidRPr="00C157C8">
        <w:rPr>
          <w:rtl/>
          <w:lang w:bidi="he-IL"/>
        </w:rPr>
        <w:t>שיטת הסמ</w:t>
      </w:r>
      <w:r w:rsidRPr="00C157C8">
        <w:rPr>
          <w:rtl/>
        </w:rPr>
        <w:t>"</w:t>
      </w:r>
      <w:r w:rsidRPr="00C157C8">
        <w:rPr>
          <w:rtl/>
          <w:lang w:bidi="he-IL"/>
        </w:rPr>
        <w:t>ג</w:t>
      </w:r>
      <w:r w:rsidRPr="00C157C8">
        <w:rPr>
          <w:rtl/>
        </w:rPr>
        <w:tab/>
        <w:t>232</w:t>
      </w:r>
    </w:p>
    <w:p w:rsidR="00C157C8" w:rsidRPr="00C157C8" w:rsidRDefault="00C157C8">
      <w:pPr>
        <w:pStyle w:val="Index2"/>
        <w:rPr>
          <w:rtl/>
        </w:rPr>
      </w:pPr>
      <w:r w:rsidRPr="00C157C8">
        <w:rPr>
          <w:rtl/>
          <w:lang w:bidi="he-IL"/>
        </w:rPr>
        <w:t>שיטת הסמ</w:t>
      </w:r>
      <w:r w:rsidRPr="00C157C8">
        <w:rPr>
          <w:rtl/>
        </w:rPr>
        <w:t>"</w:t>
      </w:r>
      <w:r w:rsidRPr="00C157C8">
        <w:rPr>
          <w:rtl/>
          <w:lang w:bidi="he-IL"/>
        </w:rPr>
        <w:t>ק</w:t>
      </w:r>
      <w:r w:rsidRPr="00C157C8">
        <w:rPr>
          <w:rtl/>
        </w:rPr>
        <w:tab/>
        <w:t>236</w:t>
      </w:r>
    </w:p>
    <w:p w:rsidR="00C157C8" w:rsidRPr="00C157C8" w:rsidRDefault="00C157C8">
      <w:pPr>
        <w:pStyle w:val="Index2"/>
        <w:rPr>
          <w:rtl/>
        </w:rPr>
      </w:pPr>
      <w:r w:rsidRPr="00C157C8">
        <w:rPr>
          <w:rtl/>
          <w:lang w:bidi="he-IL"/>
        </w:rPr>
        <w:t>שיטת תהסמ</w:t>
      </w:r>
      <w:r w:rsidRPr="00C157C8">
        <w:rPr>
          <w:rtl/>
        </w:rPr>
        <w:t>"</w:t>
      </w:r>
      <w:r w:rsidRPr="00C157C8">
        <w:rPr>
          <w:rtl/>
          <w:lang w:bidi="he-IL"/>
        </w:rPr>
        <w:t>ק</w:t>
      </w:r>
      <w:r w:rsidRPr="00C157C8">
        <w:rPr>
          <w:rtl/>
        </w:rPr>
        <w:tab/>
        <w:t>234</w:t>
      </w:r>
    </w:p>
    <w:p w:rsidR="00C157C8" w:rsidRPr="00C157C8" w:rsidRDefault="00C157C8">
      <w:pPr>
        <w:pStyle w:val="Index1"/>
        <w:rPr>
          <w:rtl/>
        </w:rPr>
      </w:pPr>
      <w:r w:rsidRPr="00C157C8">
        <w:rPr>
          <w:rtl/>
          <w:lang w:bidi="he-IL"/>
        </w:rPr>
        <w:t>טעימת ישראל</w:t>
      </w:r>
    </w:p>
    <w:p w:rsidR="00C157C8" w:rsidRPr="00C157C8" w:rsidRDefault="00C157C8">
      <w:pPr>
        <w:pStyle w:val="Index2"/>
        <w:rPr>
          <w:rtl/>
        </w:rPr>
      </w:pPr>
      <w:r w:rsidRPr="00C157C8">
        <w:rPr>
          <w:rtl/>
          <w:lang w:bidi="he-IL"/>
        </w:rPr>
        <w:t>האם מותר</w:t>
      </w:r>
      <w:r w:rsidRPr="00C157C8">
        <w:rPr>
          <w:rtl/>
        </w:rPr>
        <w:tab/>
        <w:t>303</w:t>
      </w:r>
    </w:p>
    <w:p w:rsidR="00C157C8" w:rsidRPr="00C157C8" w:rsidRDefault="00C157C8">
      <w:pPr>
        <w:pStyle w:val="Index1"/>
        <w:rPr>
          <w:rtl/>
        </w:rPr>
      </w:pPr>
      <w:r w:rsidRPr="00C157C8">
        <w:rPr>
          <w:rtl/>
          <w:lang w:bidi="he-IL"/>
        </w:rPr>
        <w:t>טעם כעיקר</w:t>
      </w:r>
    </w:p>
    <w:p w:rsidR="00C157C8" w:rsidRPr="00C157C8" w:rsidRDefault="00C157C8">
      <w:pPr>
        <w:pStyle w:val="Index2"/>
        <w:rPr>
          <w:rtl/>
        </w:rPr>
      </w:pPr>
      <w:r w:rsidRPr="00C157C8">
        <w:rPr>
          <w:rtl/>
          <w:lang w:bidi="he-IL"/>
        </w:rPr>
        <w:t>אי אזלינן בתר שמא או טעמא</w:t>
      </w:r>
      <w:r w:rsidRPr="00C157C8">
        <w:rPr>
          <w:rtl/>
        </w:rPr>
        <w:tab/>
        <w:t>44</w:t>
      </w:r>
    </w:p>
    <w:p w:rsidR="00C157C8" w:rsidRPr="00C157C8" w:rsidRDefault="00C157C8">
      <w:pPr>
        <w:pStyle w:val="Index2"/>
        <w:rPr>
          <w:rtl/>
        </w:rPr>
      </w:pPr>
      <w:r w:rsidRPr="00C157C8">
        <w:rPr>
          <w:rtl/>
          <w:lang w:bidi="he-IL"/>
        </w:rPr>
        <w:t>אי דרבנן מהו הביאור בחיוב של הכשר כלים מדאו</w:t>
      </w:r>
      <w:r w:rsidRPr="00C157C8">
        <w:rPr>
          <w:rtl/>
        </w:rPr>
        <w:t>'</w:t>
      </w:r>
      <w:r w:rsidRPr="00C157C8">
        <w:rPr>
          <w:rtl/>
        </w:rPr>
        <w:tab/>
        <w:t>16</w:t>
      </w:r>
    </w:p>
    <w:p w:rsidR="00C157C8" w:rsidRPr="00C157C8" w:rsidRDefault="00C157C8">
      <w:pPr>
        <w:pStyle w:val="Index2"/>
        <w:rPr>
          <w:rtl/>
        </w:rPr>
      </w:pPr>
      <w:r w:rsidRPr="00C157C8">
        <w:rPr>
          <w:rtl/>
          <w:lang w:bidi="he-IL"/>
        </w:rPr>
        <w:t>אם איסורים מבטלים זה את זה</w:t>
      </w:r>
      <w:r w:rsidRPr="00C157C8">
        <w:rPr>
          <w:rtl/>
        </w:rPr>
        <w:tab/>
        <w:t>313</w:t>
      </w:r>
    </w:p>
    <w:p w:rsidR="00C157C8" w:rsidRPr="00C157C8" w:rsidRDefault="00C157C8">
      <w:pPr>
        <w:pStyle w:val="Index2"/>
        <w:rPr>
          <w:rtl/>
        </w:rPr>
      </w:pPr>
      <w:r w:rsidRPr="00C157C8">
        <w:rPr>
          <w:rtl/>
          <w:lang w:bidi="he-IL"/>
        </w:rPr>
        <w:t>אם הוא דין יותר פשוט מדין המל</w:t>
      </w:r>
      <w:r w:rsidRPr="00C157C8">
        <w:rPr>
          <w:rtl/>
        </w:rPr>
        <w:t>"</w:t>
      </w:r>
      <w:r w:rsidRPr="00C157C8">
        <w:rPr>
          <w:rtl/>
          <w:lang w:bidi="he-IL"/>
        </w:rPr>
        <w:t>א</w:t>
      </w:r>
      <w:r w:rsidRPr="00C157C8">
        <w:rPr>
          <w:rtl/>
        </w:rPr>
        <w:tab/>
        <w:t>14, 17</w:t>
      </w:r>
    </w:p>
    <w:p w:rsidR="00C157C8" w:rsidRPr="00C157C8" w:rsidRDefault="00C157C8">
      <w:pPr>
        <w:pStyle w:val="Index2"/>
        <w:rPr>
          <w:rtl/>
        </w:rPr>
      </w:pPr>
      <w:r w:rsidRPr="00C157C8">
        <w:rPr>
          <w:rtl/>
          <w:lang w:bidi="he-IL"/>
        </w:rPr>
        <w:t>באיסורי הנאה</w:t>
      </w:r>
      <w:r w:rsidRPr="00C157C8">
        <w:rPr>
          <w:rtl/>
        </w:rPr>
        <w:tab/>
        <w:t>115</w:t>
      </w:r>
    </w:p>
    <w:p w:rsidR="00C157C8" w:rsidRPr="00C157C8" w:rsidRDefault="00C157C8">
      <w:pPr>
        <w:pStyle w:val="Index2"/>
        <w:rPr>
          <w:rtl/>
        </w:rPr>
      </w:pPr>
      <w:r w:rsidRPr="00C157C8">
        <w:rPr>
          <w:rtl/>
          <w:lang w:bidi="he-IL"/>
        </w:rPr>
        <w:t>בדין אם יש בגידין בניתן טעם</w:t>
      </w:r>
      <w:r w:rsidRPr="00C157C8">
        <w:rPr>
          <w:rtl/>
        </w:rPr>
        <w:tab/>
        <w:t>50</w:t>
      </w:r>
    </w:p>
    <w:p w:rsidR="00C157C8" w:rsidRPr="00C157C8" w:rsidRDefault="00C157C8">
      <w:pPr>
        <w:pStyle w:val="Index2"/>
        <w:rPr>
          <w:rtl/>
        </w:rPr>
      </w:pPr>
      <w:r w:rsidRPr="00C157C8">
        <w:rPr>
          <w:rtl/>
          <w:lang w:bidi="he-IL"/>
        </w:rPr>
        <w:t xml:space="preserve">ביאור הענין של </w:t>
      </w:r>
      <w:r w:rsidRPr="00C157C8">
        <w:rPr>
          <w:rtl/>
        </w:rPr>
        <w:t>'</w:t>
      </w:r>
      <w:r w:rsidRPr="00C157C8">
        <w:rPr>
          <w:rtl/>
          <w:lang w:bidi="he-IL"/>
        </w:rPr>
        <w:t>היכר טעם</w:t>
      </w:r>
      <w:r w:rsidRPr="00C157C8">
        <w:rPr>
          <w:rtl/>
        </w:rPr>
        <w:t>'</w:t>
      </w:r>
      <w:r w:rsidRPr="00C157C8">
        <w:rPr>
          <w:rtl/>
        </w:rPr>
        <w:tab/>
        <w:t>44</w:t>
      </w:r>
    </w:p>
    <w:p w:rsidR="00C157C8" w:rsidRPr="00C157C8" w:rsidRDefault="00C157C8">
      <w:pPr>
        <w:pStyle w:val="Index2"/>
        <w:rPr>
          <w:rtl/>
        </w:rPr>
      </w:pPr>
      <w:r w:rsidRPr="00C157C8">
        <w:rPr>
          <w:rtl/>
          <w:lang w:bidi="he-IL"/>
        </w:rPr>
        <w:t>ביאור השיטה שלא לומדים טכ</w:t>
      </w:r>
      <w:r w:rsidRPr="00C157C8">
        <w:rPr>
          <w:rtl/>
        </w:rPr>
        <w:t>"</w:t>
      </w:r>
      <w:r w:rsidRPr="00C157C8">
        <w:rPr>
          <w:rtl/>
          <w:lang w:bidi="he-IL"/>
        </w:rPr>
        <w:t>ע מגיעולי נכרים</w:t>
      </w:r>
      <w:r w:rsidRPr="00C157C8">
        <w:rPr>
          <w:rtl/>
        </w:rPr>
        <w:tab/>
        <w:t>138</w:t>
      </w:r>
    </w:p>
    <w:p w:rsidR="00C157C8" w:rsidRPr="00C157C8" w:rsidRDefault="00C157C8">
      <w:pPr>
        <w:pStyle w:val="Index2"/>
        <w:rPr>
          <w:rtl/>
        </w:rPr>
      </w:pPr>
      <w:r w:rsidRPr="00C157C8">
        <w:rPr>
          <w:rtl/>
          <w:lang w:bidi="he-IL"/>
        </w:rPr>
        <w:t>במילתא דעבידא לטעמא</w:t>
      </w:r>
      <w:r w:rsidRPr="00C157C8">
        <w:rPr>
          <w:rtl/>
        </w:rPr>
        <w:tab/>
        <w:t>312</w:t>
      </w:r>
    </w:p>
    <w:p w:rsidR="00C157C8" w:rsidRPr="00C157C8" w:rsidRDefault="00C157C8">
      <w:pPr>
        <w:pStyle w:val="Index2"/>
        <w:rPr>
          <w:rtl/>
        </w:rPr>
      </w:pPr>
      <w:r w:rsidRPr="00C157C8">
        <w:rPr>
          <w:rtl/>
          <w:lang w:bidi="he-IL"/>
        </w:rPr>
        <w:t>במין במינו</w:t>
      </w:r>
      <w:r w:rsidRPr="00C157C8">
        <w:rPr>
          <w:rtl/>
        </w:rPr>
        <w:tab/>
        <w:t>30</w:t>
      </w:r>
    </w:p>
    <w:p w:rsidR="00C157C8" w:rsidRPr="00C157C8" w:rsidRDefault="00C157C8">
      <w:pPr>
        <w:pStyle w:val="Index2"/>
        <w:rPr>
          <w:rtl/>
        </w:rPr>
      </w:pPr>
      <w:r w:rsidRPr="00C157C8">
        <w:rPr>
          <w:rtl/>
          <w:lang w:bidi="he-IL"/>
        </w:rPr>
        <w:t>בתערובת תבלין בתבלין</w:t>
      </w:r>
      <w:r w:rsidRPr="00C157C8">
        <w:rPr>
          <w:rtl/>
        </w:rPr>
        <w:tab/>
        <w:t>312</w:t>
      </w:r>
    </w:p>
    <w:p w:rsidR="00C157C8" w:rsidRPr="00C157C8" w:rsidRDefault="00C157C8">
      <w:pPr>
        <w:pStyle w:val="Index2"/>
        <w:rPr>
          <w:rtl/>
        </w:rPr>
      </w:pPr>
      <w:r w:rsidRPr="00C157C8">
        <w:rPr>
          <w:rtl/>
          <w:lang w:bidi="he-IL"/>
        </w:rPr>
        <w:t>בתר שמא או בתר טעמא</w:t>
      </w:r>
      <w:r w:rsidRPr="00C157C8">
        <w:rPr>
          <w:rtl/>
        </w:rPr>
        <w:tab/>
        <w:t>303</w:t>
      </w:r>
    </w:p>
    <w:p w:rsidR="00C157C8" w:rsidRPr="00C157C8" w:rsidRDefault="00C157C8">
      <w:pPr>
        <w:pStyle w:val="Index2"/>
        <w:rPr>
          <w:rtl/>
        </w:rPr>
      </w:pPr>
      <w:r w:rsidRPr="00C157C8">
        <w:rPr>
          <w:rtl/>
          <w:lang w:bidi="he-IL"/>
        </w:rPr>
        <w:t>גדרי טעמו ולא ממשו</w:t>
      </w:r>
      <w:r w:rsidRPr="00C157C8">
        <w:rPr>
          <w:rtl/>
        </w:rPr>
        <w:tab/>
        <w:t>36</w:t>
      </w:r>
    </w:p>
    <w:p w:rsidR="00C157C8" w:rsidRPr="00C157C8" w:rsidRDefault="00C157C8">
      <w:pPr>
        <w:pStyle w:val="Index2"/>
        <w:rPr>
          <w:rtl/>
        </w:rPr>
      </w:pPr>
      <w:r w:rsidRPr="00C157C8">
        <w:rPr>
          <w:rtl/>
          <w:lang w:bidi="he-IL"/>
        </w:rPr>
        <w:t>הלימוד דצירן ורוטבן</w:t>
      </w:r>
      <w:r w:rsidRPr="00C157C8">
        <w:rPr>
          <w:rtl/>
        </w:rPr>
        <w:tab/>
        <w:t>416</w:t>
      </w:r>
    </w:p>
    <w:p w:rsidR="00C157C8" w:rsidRPr="00C157C8" w:rsidRDefault="00C157C8">
      <w:pPr>
        <w:pStyle w:val="Index2"/>
        <w:rPr>
          <w:rtl/>
        </w:rPr>
      </w:pPr>
      <w:r w:rsidRPr="00C157C8">
        <w:rPr>
          <w:rtl/>
          <w:lang w:bidi="he-IL"/>
        </w:rPr>
        <w:t>הלכה למעשה</w:t>
      </w:r>
      <w:r w:rsidRPr="00C157C8">
        <w:rPr>
          <w:rtl/>
        </w:rPr>
        <w:tab/>
        <w:t>45</w:t>
      </w:r>
    </w:p>
    <w:p w:rsidR="00C157C8" w:rsidRPr="00C157C8" w:rsidRDefault="00C157C8">
      <w:pPr>
        <w:pStyle w:val="Index2"/>
        <w:rPr>
          <w:rtl/>
        </w:rPr>
      </w:pPr>
      <w:r w:rsidRPr="00C157C8">
        <w:rPr>
          <w:rtl/>
          <w:lang w:bidi="he-IL"/>
        </w:rPr>
        <w:t>הקדמה</w:t>
      </w:r>
      <w:r w:rsidRPr="00C157C8">
        <w:rPr>
          <w:rtl/>
        </w:rPr>
        <w:tab/>
        <w:t>1</w:t>
      </w:r>
    </w:p>
    <w:p w:rsidR="00C157C8" w:rsidRPr="00C157C8" w:rsidRDefault="00C157C8">
      <w:pPr>
        <w:pStyle w:val="Index2"/>
        <w:rPr>
          <w:rtl/>
        </w:rPr>
      </w:pPr>
      <w:r w:rsidRPr="00C157C8">
        <w:rPr>
          <w:rtl/>
          <w:lang w:bidi="he-IL"/>
        </w:rPr>
        <w:t xml:space="preserve">הקדמה של המחלוקת אי אמרינן </w:t>
      </w:r>
      <w:r w:rsidRPr="00C157C8">
        <w:rPr>
          <w:rtl/>
        </w:rPr>
        <w:t>'</w:t>
      </w:r>
      <w:r w:rsidRPr="00C157C8">
        <w:rPr>
          <w:rtl/>
          <w:lang w:bidi="he-IL"/>
        </w:rPr>
        <w:t>נהפך</w:t>
      </w:r>
      <w:r w:rsidRPr="00C157C8">
        <w:rPr>
          <w:rtl/>
        </w:rPr>
        <w:t>'</w:t>
      </w:r>
      <w:r w:rsidRPr="00C157C8">
        <w:rPr>
          <w:rtl/>
        </w:rPr>
        <w:tab/>
        <w:t>1, 17</w:t>
      </w:r>
    </w:p>
    <w:p w:rsidR="00C157C8" w:rsidRPr="00C157C8" w:rsidRDefault="00C157C8">
      <w:pPr>
        <w:pStyle w:val="Index2"/>
        <w:rPr>
          <w:rtl/>
        </w:rPr>
      </w:pPr>
      <w:r w:rsidRPr="00C157C8">
        <w:rPr>
          <w:rtl/>
          <w:lang w:bidi="he-IL"/>
        </w:rPr>
        <w:t>הראי</w:t>
      </w:r>
      <w:r w:rsidRPr="00C157C8">
        <w:rPr>
          <w:rtl/>
        </w:rPr>
        <w:t xml:space="preserve">' </w:t>
      </w:r>
      <w:r w:rsidRPr="00C157C8">
        <w:rPr>
          <w:rtl/>
          <w:lang w:bidi="he-IL"/>
        </w:rPr>
        <w:t xml:space="preserve">מבשר בחלב </w:t>
      </w:r>
      <w:r w:rsidRPr="00C157C8">
        <w:rPr>
          <w:rtl/>
        </w:rPr>
        <w:t xml:space="preserve">- </w:t>
      </w:r>
      <w:r w:rsidRPr="00C157C8">
        <w:rPr>
          <w:rtl/>
          <w:lang w:bidi="he-IL"/>
        </w:rPr>
        <w:t>מחלוקת אביי ורבא</w:t>
      </w:r>
      <w:r w:rsidRPr="00C157C8">
        <w:rPr>
          <w:rtl/>
        </w:rPr>
        <w:tab/>
        <w:t>83</w:t>
      </w:r>
    </w:p>
    <w:p w:rsidR="00C157C8" w:rsidRPr="00C157C8" w:rsidRDefault="00C157C8">
      <w:pPr>
        <w:pStyle w:val="Index2"/>
        <w:rPr>
          <w:rtl/>
        </w:rPr>
      </w:pPr>
      <w:r w:rsidRPr="00C157C8">
        <w:rPr>
          <w:rtl/>
          <w:lang w:bidi="he-IL"/>
        </w:rPr>
        <w:t>למה לא תלוי בדין חצי שיעור</w:t>
      </w:r>
      <w:r w:rsidRPr="00C157C8">
        <w:rPr>
          <w:rtl/>
        </w:rPr>
        <w:tab/>
        <w:t>1</w:t>
      </w:r>
    </w:p>
    <w:p w:rsidR="00C157C8" w:rsidRPr="00C157C8" w:rsidRDefault="00C157C8">
      <w:pPr>
        <w:pStyle w:val="Index2"/>
        <w:rPr>
          <w:rtl/>
        </w:rPr>
      </w:pPr>
      <w:r w:rsidRPr="00C157C8">
        <w:rPr>
          <w:rtl/>
          <w:lang w:bidi="he-IL"/>
        </w:rPr>
        <w:t>מהו גדר החידוש שבה</w:t>
      </w:r>
      <w:r w:rsidRPr="00C157C8">
        <w:rPr>
          <w:rtl/>
        </w:rPr>
        <w:tab/>
        <w:t>34</w:t>
      </w:r>
    </w:p>
    <w:p w:rsidR="00C157C8" w:rsidRPr="00C157C8" w:rsidRDefault="00C157C8">
      <w:pPr>
        <w:pStyle w:val="Index2"/>
        <w:rPr>
          <w:rtl/>
        </w:rPr>
      </w:pPr>
      <w:r w:rsidRPr="00C157C8">
        <w:rPr>
          <w:rtl/>
          <w:lang w:bidi="he-IL"/>
        </w:rPr>
        <w:t>מראה מקומות בסוגיות הש</w:t>
      </w:r>
      <w:r w:rsidRPr="00C157C8">
        <w:rPr>
          <w:rtl/>
        </w:rPr>
        <w:t>"</w:t>
      </w:r>
      <w:r w:rsidRPr="00C157C8">
        <w:rPr>
          <w:rtl/>
          <w:lang w:bidi="he-IL"/>
        </w:rPr>
        <w:t>ס אי הוי מדאו</w:t>
      </w:r>
      <w:r w:rsidRPr="00C157C8">
        <w:rPr>
          <w:rtl/>
        </w:rPr>
        <w:t>'</w:t>
      </w:r>
      <w:r w:rsidRPr="00C157C8">
        <w:rPr>
          <w:rtl/>
        </w:rPr>
        <w:tab/>
        <w:t>36</w:t>
      </w:r>
    </w:p>
    <w:p w:rsidR="00C157C8" w:rsidRPr="00C157C8" w:rsidRDefault="00C157C8">
      <w:pPr>
        <w:pStyle w:val="Index2"/>
        <w:rPr>
          <w:rtl/>
        </w:rPr>
      </w:pPr>
      <w:r w:rsidRPr="00C157C8">
        <w:rPr>
          <w:rtl/>
          <w:lang w:bidi="he-IL"/>
        </w:rPr>
        <w:t>קושיא אם הטעם שלא בטל הוא משום שניכר</w:t>
      </w:r>
      <w:r w:rsidRPr="00C157C8">
        <w:rPr>
          <w:rtl/>
        </w:rPr>
        <w:tab/>
        <w:t>540</w:t>
      </w:r>
    </w:p>
    <w:p w:rsidR="00C157C8" w:rsidRPr="00C157C8" w:rsidRDefault="00C157C8">
      <w:pPr>
        <w:pStyle w:val="Index2"/>
        <w:rPr>
          <w:rtl/>
        </w:rPr>
      </w:pPr>
      <w:r w:rsidRPr="00C157C8">
        <w:rPr>
          <w:rtl/>
          <w:lang w:bidi="he-IL"/>
        </w:rPr>
        <w:t>קיוהא</w:t>
      </w:r>
      <w:r w:rsidRPr="00C157C8">
        <w:rPr>
          <w:rtl/>
        </w:rPr>
        <w:tab/>
        <w:t>19</w:t>
      </w:r>
    </w:p>
    <w:p w:rsidR="00C157C8" w:rsidRPr="00C157C8" w:rsidRDefault="00C157C8">
      <w:pPr>
        <w:pStyle w:val="Index2"/>
        <w:rPr>
          <w:rtl/>
        </w:rPr>
      </w:pPr>
      <w:r w:rsidRPr="00C157C8">
        <w:rPr>
          <w:rtl/>
          <w:lang w:bidi="he-IL"/>
        </w:rPr>
        <w:t>שיטות הראשונים</w:t>
      </w:r>
      <w:r w:rsidRPr="00C157C8">
        <w:rPr>
          <w:rtl/>
        </w:rPr>
        <w:tab/>
        <w:t>36</w:t>
      </w:r>
    </w:p>
    <w:p w:rsidR="00C157C8" w:rsidRPr="00C157C8" w:rsidRDefault="00C157C8">
      <w:pPr>
        <w:pStyle w:val="Index2"/>
        <w:rPr>
          <w:rtl/>
        </w:rPr>
      </w:pPr>
      <w:r w:rsidRPr="00C157C8">
        <w:rPr>
          <w:rtl/>
          <w:lang w:bidi="he-IL"/>
        </w:rPr>
        <w:t>שיטת ר</w:t>
      </w:r>
      <w:r w:rsidRPr="00C157C8">
        <w:rPr>
          <w:rtl/>
        </w:rPr>
        <w:t xml:space="preserve">' </w:t>
      </w:r>
      <w:r w:rsidRPr="00C157C8">
        <w:rPr>
          <w:rtl/>
          <w:lang w:bidi="he-IL"/>
        </w:rPr>
        <w:t xml:space="preserve">חיים כהן </w:t>
      </w:r>
      <w:r w:rsidRPr="00C157C8">
        <w:rPr>
          <w:rtl/>
        </w:rPr>
        <w:t xml:space="preserve">- </w:t>
      </w:r>
      <w:r w:rsidRPr="00C157C8">
        <w:rPr>
          <w:rtl/>
          <w:lang w:bidi="he-IL"/>
        </w:rPr>
        <w:t>ביאורו</w:t>
      </w:r>
      <w:r w:rsidRPr="00C157C8">
        <w:rPr>
          <w:rtl/>
        </w:rPr>
        <w:tab/>
        <w:t>25</w:t>
      </w:r>
    </w:p>
    <w:p w:rsidR="00C157C8" w:rsidRPr="00C157C8" w:rsidRDefault="00C157C8">
      <w:pPr>
        <w:pStyle w:val="Index2"/>
        <w:rPr>
          <w:rtl/>
        </w:rPr>
      </w:pPr>
      <w:r w:rsidRPr="00C157C8">
        <w:rPr>
          <w:rtl/>
          <w:lang w:bidi="he-IL"/>
        </w:rPr>
        <w:t>תערובת של טעם שיוצר טעם חדש</w:t>
      </w:r>
      <w:r w:rsidRPr="00C157C8">
        <w:rPr>
          <w:rtl/>
        </w:rPr>
        <w:tab/>
        <w:t>19</w:t>
      </w:r>
    </w:p>
    <w:p w:rsidR="00C157C8" w:rsidRPr="00C157C8" w:rsidRDefault="00C157C8">
      <w:pPr>
        <w:pStyle w:val="Index1"/>
        <w:rPr>
          <w:rtl/>
        </w:rPr>
      </w:pPr>
      <w:r w:rsidRPr="00C157C8">
        <w:rPr>
          <w:rtl/>
          <w:lang w:bidi="he-IL"/>
        </w:rPr>
        <w:t>כבוש</w:t>
      </w:r>
    </w:p>
    <w:p w:rsidR="00C157C8" w:rsidRPr="00C157C8" w:rsidRDefault="00C157C8">
      <w:pPr>
        <w:pStyle w:val="Index2"/>
        <w:rPr>
          <w:rtl/>
        </w:rPr>
      </w:pPr>
      <w:r w:rsidRPr="00C157C8">
        <w:rPr>
          <w:rtl/>
          <w:lang w:bidi="he-IL"/>
        </w:rPr>
        <w:t>אם אוסר בזמן מעל</w:t>
      </w:r>
      <w:r w:rsidRPr="00C157C8">
        <w:rPr>
          <w:rtl/>
        </w:rPr>
        <w:t>"</w:t>
      </w:r>
      <w:r w:rsidRPr="00C157C8">
        <w:rPr>
          <w:rtl/>
          <w:lang w:bidi="he-IL"/>
        </w:rPr>
        <w:t>ע</w:t>
      </w:r>
      <w:r w:rsidRPr="00C157C8">
        <w:rPr>
          <w:rtl/>
        </w:rPr>
        <w:tab/>
        <w:t>15</w:t>
      </w:r>
    </w:p>
    <w:p w:rsidR="00C157C8" w:rsidRPr="00C157C8" w:rsidRDefault="00C157C8">
      <w:pPr>
        <w:pStyle w:val="Index2"/>
        <w:rPr>
          <w:rtl/>
        </w:rPr>
      </w:pPr>
      <w:r w:rsidRPr="00C157C8">
        <w:rPr>
          <w:rtl/>
          <w:lang w:bidi="he-IL"/>
        </w:rPr>
        <w:t>אם עושה טעם כעיקר מדאורייתא בשאר איסורים</w:t>
      </w:r>
      <w:r w:rsidRPr="00C157C8">
        <w:rPr>
          <w:rtl/>
        </w:rPr>
        <w:tab/>
        <w:t>15</w:t>
      </w:r>
    </w:p>
    <w:p w:rsidR="00C157C8" w:rsidRPr="00C157C8" w:rsidRDefault="00C157C8">
      <w:pPr>
        <w:pStyle w:val="Index2"/>
        <w:rPr>
          <w:rtl/>
        </w:rPr>
      </w:pPr>
      <w:r w:rsidRPr="00C157C8">
        <w:rPr>
          <w:rtl/>
          <w:lang w:bidi="he-IL"/>
        </w:rPr>
        <w:t>בבשר בחלב</w:t>
      </w:r>
      <w:r w:rsidRPr="00C157C8">
        <w:rPr>
          <w:rtl/>
        </w:rPr>
        <w:tab/>
        <w:t>15</w:t>
      </w:r>
    </w:p>
    <w:p w:rsidR="00C157C8" w:rsidRPr="00C157C8" w:rsidRDefault="00C157C8">
      <w:pPr>
        <w:pStyle w:val="Index2"/>
        <w:rPr>
          <w:rtl/>
        </w:rPr>
      </w:pPr>
      <w:r w:rsidRPr="00C157C8">
        <w:rPr>
          <w:rtl/>
          <w:lang w:bidi="he-IL"/>
        </w:rPr>
        <w:t>בכלים</w:t>
      </w:r>
      <w:r w:rsidRPr="00C157C8">
        <w:rPr>
          <w:rtl/>
        </w:rPr>
        <w:tab/>
        <w:t>382</w:t>
      </w:r>
    </w:p>
    <w:p w:rsidR="00C157C8" w:rsidRPr="00C157C8" w:rsidRDefault="00C157C8">
      <w:pPr>
        <w:pStyle w:val="Index2"/>
        <w:rPr>
          <w:rtl/>
        </w:rPr>
      </w:pPr>
      <w:r w:rsidRPr="00C157C8">
        <w:rPr>
          <w:rtl/>
          <w:lang w:bidi="he-IL"/>
        </w:rPr>
        <w:t>גדרי כבוש</w:t>
      </w:r>
      <w:r w:rsidRPr="00C157C8">
        <w:rPr>
          <w:rtl/>
        </w:rPr>
        <w:tab/>
        <w:t>380</w:t>
      </w:r>
    </w:p>
    <w:p w:rsidR="00C157C8" w:rsidRPr="00C157C8" w:rsidRDefault="00C157C8">
      <w:pPr>
        <w:pStyle w:val="Index2"/>
        <w:rPr>
          <w:rtl/>
        </w:rPr>
      </w:pPr>
      <w:r w:rsidRPr="00C157C8">
        <w:rPr>
          <w:rtl/>
          <w:lang w:bidi="he-IL"/>
        </w:rPr>
        <w:t>סוגיית הגמרא</w:t>
      </w:r>
      <w:r w:rsidRPr="00C157C8">
        <w:rPr>
          <w:rtl/>
        </w:rPr>
        <w:tab/>
        <w:t>380</w:t>
      </w:r>
    </w:p>
    <w:p w:rsidR="00C157C8" w:rsidRPr="00C157C8" w:rsidRDefault="00C157C8">
      <w:pPr>
        <w:pStyle w:val="Index2"/>
        <w:rPr>
          <w:rtl/>
        </w:rPr>
      </w:pPr>
      <w:r w:rsidRPr="00C157C8">
        <w:rPr>
          <w:rtl/>
          <w:lang w:bidi="he-IL"/>
        </w:rPr>
        <w:t>ספק כבוש</w:t>
      </w:r>
      <w:r w:rsidRPr="00C157C8">
        <w:rPr>
          <w:rtl/>
        </w:rPr>
        <w:tab/>
        <w:t>382</w:t>
      </w:r>
    </w:p>
    <w:p w:rsidR="00C157C8" w:rsidRPr="00C157C8" w:rsidRDefault="00C157C8">
      <w:pPr>
        <w:pStyle w:val="Index1"/>
        <w:rPr>
          <w:rtl/>
        </w:rPr>
      </w:pPr>
      <w:r w:rsidRPr="00C157C8">
        <w:rPr>
          <w:rtl/>
          <w:lang w:bidi="he-IL"/>
        </w:rPr>
        <w:t>כזית בכדי אכילת פרס</w:t>
      </w:r>
    </w:p>
    <w:p w:rsidR="00C157C8" w:rsidRPr="00C157C8" w:rsidRDefault="00C157C8">
      <w:pPr>
        <w:pStyle w:val="Index2"/>
        <w:rPr>
          <w:rtl/>
        </w:rPr>
      </w:pPr>
      <w:r w:rsidRPr="00C157C8">
        <w:rPr>
          <w:rtl/>
          <w:lang w:bidi="he-IL"/>
        </w:rPr>
        <w:t>בתערובת</w:t>
      </w:r>
      <w:r w:rsidRPr="00C157C8">
        <w:rPr>
          <w:rtl/>
        </w:rPr>
        <w:tab/>
        <w:t>9</w:t>
      </w:r>
    </w:p>
    <w:p w:rsidR="00C157C8" w:rsidRPr="00C157C8" w:rsidRDefault="00C157C8">
      <w:pPr>
        <w:pStyle w:val="Index1"/>
        <w:rPr>
          <w:rtl/>
        </w:rPr>
      </w:pPr>
      <w:r w:rsidRPr="00C157C8">
        <w:rPr>
          <w:rtl/>
          <w:lang w:bidi="he-IL"/>
        </w:rPr>
        <w:t>כחל</w:t>
      </w:r>
    </w:p>
    <w:p w:rsidR="00C157C8" w:rsidRPr="00C157C8" w:rsidRDefault="00C157C8">
      <w:pPr>
        <w:pStyle w:val="Index2"/>
        <w:rPr>
          <w:rtl/>
        </w:rPr>
      </w:pPr>
      <w:r w:rsidRPr="00C157C8">
        <w:rPr>
          <w:rtl/>
          <w:lang w:bidi="he-IL"/>
        </w:rPr>
        <w:t>צירופו לשיעור ששים</w:t>
      </w:r>
      <w:r w:rsidRPr="00C157C8">
        <w:rPr>
          <w:rtl/>
        </w:rPr>
        <w:tab/>
        <w:t>113</w:t>
      </w:r>
    </w:p>
    <w:p w:rsidR="00C157C8" w:rsidRPr="00C157C8" w:rsidRDefault="00C157C8">
      <w:pPr>
        <w:pStyle w:val="Index1"/>
        <w:rPr>
          <w:rtl/>
        </w:rPr>
      </w:pPr>
      <w:r w:rsidRPr="00C157C8">
        <w:rPr>
          <w:rtl/>
          <w:lang w:bidi="he-IL"/>
        </w:rPr>
        <w:lastRenderedPageBreak/>
        <w:t>כיסוי הקדרה</w:t>
      </w:r>
    </w:p>
    <w:p w:rsidR="00C157C8" w:rsidRPr="00C157C8" w:rsidRDefault="00C157C8">
      <w:pPr>
        <w:pStyle w:val="Index2"/>
        <w:rPr>
          <w:rtl/>
        </w:rPr>
      </w:pPr>
      <w:r w:rsidRPr="00C157C8">
        <w:rPr>
          <w:rtl/>
          <w:lang w:bidi="he-IL"/>
        </w:rPr>
        <w:t>אם אוסר</w:t>
      </w:r>
      <w:r w:rsidRPr="00C157C8">
        <w:rPr>
          <w:rtl/>
        </w:rPr>
        <w:tab/>
        <w:t>244</w:t>
      </w:r>
    </w:p>
    <w:p w:rsidR="00C157C8" w:rsidRPr="00C157C8" w:rsidRDefault="00C157C8">
      <w:pPr>
        <w:pStyle w:val="Index1"/>
        <w:rPr>
          <w:rtl/>
        </w:rPr>
      </w:pPr>
      <w:r w:rsidRPr="00C157C8">
        <w:rPr>
          <w:rtl/>
          <w:lang w:bidi="he-IL"/>
        </w:rPr>
        <w:t>כיסוי קדרה</w:t>
      </w:r>
    </w:p>
    <w:p w:rsidR="00C157C8" w:rsidRPr="00C157C8" w:rsidRDefault="00C157C8">
      <w:pPr>
        <w:pStyle w:val="Index2"/>
        <w:rPr>
          <w:rtl/>
        </w:rPr>
      </w:pPr>
      <w:r w:rsidRPr="00C157C8">
        <w:rPr>
          <w:rtl/>
          <w:lang w:bidi="he-IL"/>
        </w:rPr>
        <w:t xml:space="preserve">אם אוסר </w:t>
      </w:r>
      <w:r w:rsidRPr="00C157C8">
        <w:rPr>
          <w:rtl/>
        </w:rPr>
        <w:t xml:space="preserve">- </w:t>
      </w:r>
      <w:r w:rsidRPr="00C157C8">
        <w:rPr>
          <w:rtl/>
          <w:lang w:bidi="he-IL"/>
        </w:rPr>
        <w:t>באינו בן יומו</w:t>
      </w:r>
      <w:r w:rsidRPr="00C157C8">
        <w:rPr>
          <w:rtl/>
        </w:rPr>
        <w:tab/>
        <w:t>245</w:t>
      </w:r>
    </w:p>
    <w:p w:rsidR="00C157C8" w:rsidRPr="00C157C8" w:rsidRDefault="00C157C8">
      <w:pPr>
        <w:pStyle w:val="Index1"/>
        <w:rPr>
          <w:rtl/>
        </w:rPr>
      </w:pPr>
      <w:r w:rsidRPr="00C157C8">
        <w:rPr>
          <w:rtl/>
          <w:lang w:bidi="he-IL"/>
        </w:rPr>
        <w:t>כלי מדין</w:t>
      </w:r>
    </w:p>
    <w:p w:rsidR="00C157C8" w:rsidRPr="00C157C8" w:rsidRDefault="00C157C8">
      <w:pPr>
        <w:pStyle w:val="Index2"/>
        <w:rPr>
          <w:rtl/>
        </w:rPr>
      </w:pPr>
      <w:r w:rsidRPr="00C157C8">
        <w:rPr>
          <w:rtl/>
          <w:lang w:bidi="he-IL"/>
        </w:rPr>
        <w:t>הערות בפרשת הגעלת כלי מדין</w:t>
      </w:r>
      <w:r w:rsidRPr="00C157C8">
        <w:rPr>
          <w:rtl/>
        </w:rPr>
        <w:tab/>
        <w:t>203</w:t>
      </w:r>
    </w:p>
    <w:p w:rsidR="00C157C8" w:rsidRPr="00C157C8" w:rsidRDefault="00C157C8">
      <w:pPr>
        <w:pStyle w:val="Index2"/>
        <w:rPr>
          <w:rtl/>
        </w:rPr>
      </w:pPr>
      <w:r w:rsidRPr="00C157C8">
        <w:rPr>
          <w:rtl/>
          <w:lang w:bidi="he-IL"/>
        </w:rPr>
        <w:t>ראיית התוס</w:t>
      </w:r>
      <w:r w:rsidRPr="00C157C8">
        <w:rPr>
          <w:rtl/>
        </w:rPr>
        <w:t xml:space="preserve">' </w:t>
      </w:r>
      <w:r w:rsidRPr="00C157C8">
        <w:rPr>
          <w:rtl/>
          <w:lang w:bidi="he-IL"/>
        </w:rPr>
        <w:t>ממנו בדין חענ</w:t>
      </w:r>
      <w:r w:rsidRPr="00C157C8">
        <w:rPr>
          <w:rtl/>
        </w:rPr>
        <w:t>"</w:t>
      </w:r>
      <w:r w:rsidRPr="00C157C8">
        <w:rPr>
          <w:rtl/>
          <w:lang w:bidi="he-IL"/>
        </w:rPr>
        <w:t>ן בשאר איסורים</w:t>
      </w:r>
      <w:r w:rsidRPr="00C157C8">
        <w:rPr>
          <w:rtl/>
        </w:rPr>
        <w:tab/>
        <w:t>77</w:t>
      </w:r>
    </w:p>
    <w:p w:rsidR="00C157C8" w:rsidRPr="00C157C8" w:rsidRDefault="00C157C8">
      <w:pPr>
        <w:pStyle w:val="Index1"/>
        <w:rPr>
          <w:rtl/>
        </w:rPr>
      </w:pPr>
      <w:r w:rsidRPr="00C157C8">
        <w:rPr>
          <w:rtl/>
          <w:lang w:bidi="he-IL"/>
        </w:rPr>
        <w:t>כלי ראשון</w:t>
      </w:r>
    </w:p>
    <w:p w:rsidR="00C157C8" w:rsidRPr="00C157C8" w:rsidRDefault="00C157C8">
      <w:pPr>
        <w:pStyle w:val="Index2"/>
        <w:rPr>
          <w:rtl/>
        </w:rPr>
      </w:pPr>
      <w:r w:rsidRPr="00C157C8">
        <w:rPr>
          <w:rtl/>
          <w:lang w:bidi="he-IL"/>
        </w:rPr>
        <w:t>דין הכף</w:t>
      </w:r>
      <w:r w:rsidRPr="00C157C8">
        <w:rPr>
          <w:rtl/>
        </w:rPr>
        <w:tab/>
        <w:t>242</w:t>
      </w:r>
    </w:p>
    <w:p w:rsidR="00C157C8" w:rsidRPr="00C157C8" w:rsidRDefault="00C157C8">
      <w:pPr>
        <w:pStyle w:val="Index1"/>
        <w:rPr>
          <w:rtl/>
        </w:rPr>
      </w:pPr>
      <w:r w:rsidRPr="00C157C8">
        <w:rPr>
          <w:rtl/>
          <w:lang w:bidi="he-IL"/>
        </w:rPr>
        <w:t>כלי שאינו בן יומו</w:t>
      </w:r>
    </w:p>
    <w:p w:rsidR="00C157C8" w:rsidRPr="00C157C8" w:rsidRDefault="00C157C8">
      <w:pPr>
        <w:pStyle w:val="Index2"/>
        <w:rPr>
          <w:rtl/>
        </w:rPr>
      </w:pPr>
      <w:r w:rsidRPr="00C157C8">
        <w:rPr>
          <w:rtl/>
          <w:lang w:bidi="he-IL"/>
        </w:rPr>
        <w:t>הדין כשבישל בה מים</w:t>
      </w:r>
      <w:r w:rsidRPr="00C157C8">
        <w:rPr>
          <w:rtl/>
        </w:rPr>
        <w:tab/>
        <w:t>534</w:t>
      </w:r>
    </w:p>
    <w:p w:rsidR="00C157C8" w:rsidRPr="00C157C8" w:rsidRDefault="00C157C8">
      <w:pPr>
        <w:pStyle w:val="Index2"/>
        <w:rPr>
          <w:rtl/>
        </w:rPr>
      </w:pPr>
      <w:r w:rsidRPr="00C157C8">
        <w:rPr>
          <w:rtl/>
          <w:lang w:bidi="he-IL"/>
        </w:rPr>
        <w:t>כשאי אפשר בענין אחר</w:t>
      </w:r>
      <w:r w:rsidRPr="00C157C8">
        <w:rPr>
          <w:rtl/>
        </w:rPr>
        <w:tab/>
        <w:t>377</w:t>
      </w:r>
    </w:p>
    <w:p w:rsidR="00C157C8" w:rsidRPr="00C157C8" w:rsidRDefault="00C157C8">
      <w:pPr>
        <w:pStyle w:val="Index2"/>
        <w:rPr>
          <w:rtl/>
        </w:rPr>
      </w:pPr>
      <w:r w:rsidRPr="00C157C8">
        <w:rPr>
          <w:rtl/>
          <w:lang w:bidi="he-IL"/>
        </w:rPr>
        <w:t>כשבישל מים באמצע</w:t>
      </w:r>
      <w:r w:rsidRPr="00C157C8">
        <w:rPr>
          <w:rtl/>
        </w:rPr>
        <w:tab/>
        <w:t>140, 362, 364</w:t>
      </w:r>
    </w:p>
    <w:p w:rsidR="00C157C8" w:rsidRPr="00C157C8" w:rsidRDefault="00C157C8">
      <w:pPr>
        <w:pStyle w:val="Index2"/>
        <w:rPr>
          <w:rtl/>
        </w:rPr>
      </w:pPr>
      <w:r w:rsidRPr="00C157C8">
        <w:rPr>
          <w:rtl/>
          <w:lang w:bidi="he-IL"/>
        </w:rPr>
        <w:t>להשתמש בה ע</w:t>
      </w:r>
      <w:r w:rsidRPr="00C157C8">
        <w:rPr>
          <w:rtl/>
        </w:rPr>
        <w:t>"</w:t>
      </w:r>
      <w:r w:rsidRPr="00C157C8">
        <w:rPr>
          <w:rtl/>
          <w:lang w:bidi="he-IL"/>
        </w:rPr>
        <w:t>י נכרי</w:t>
      </w:r>
      <w:r w:rsidRPr="00C157C8">
        <w:rPr>
          <w:rtl/>
        </w:rPr>
        <w:tab/>
        <w:t>534</w:t>
      </w:r>
    </w:p>
    <w:p w:rsidR="00C157C8" w:rsidRPr="00C157C8" w:rsidRDefault="00C157C8">
      <w:pPr>
        <w:pStyle w:val="Index2"/>
        <w:rPr>
          <w:rtl/>
        </w:rPr>
      </w:pPr>
      <w:r w:rsidRPr="00C157C8">
        <w:rPr>
          <w:rtl/>
          <w:lang w:bidi="he-IL"/>
        </w:rPr>
        <w:t xml:space="preserve">לכתחילה </w:t>
      </w:r>
      <w:r w:rsidRPr="00C157C8">
        <w:rPr>
          <w:rtl/>
        </w:rPr>
        <w:t xml:space="preserve">- </w:t>
      </w:r>
      <w:r w:rsidRPr="00C157C8">
        <w:rPr>
          <w:rtl/>
          <w:lang w:bidi="he-IL"/>
        </w:rPr>
        <w:t>בנ</w:t>
      </w:r>
      <w:r w:rsidRPr="00C157C8">
        <w:rPr>
          <w:rtl/>
        </w:rPr>
        <w:t>"</w:t>
      </w:r>
      <w:r w:rsidRPr="00C157C8">
        <w:rPr>
          <w:rtl/>
          <w:lang w:bidi="he-IL"/>
        </w:rPr>
        <w:t>ט בר נ</w:t>
      </w:r>
      <w:r w:rsidRPr="00C157C8">
        <w:rPr>
          <w:rtl/>
        </w:rPr>
        <w:t>"</w:t>
      </w:r>
      <w:r w:rsidRPr="00C157C8">
        <w:rPr>
          <w:rtl/>
          <w:lang w:bidi="he-IL"/>
        </w:rPr>
        <w:t>ט דהיתירא</w:t>
      </w:r>
      <w:r w:rsidRPr="00C157C8">
        <w:rPr>
          <w:rtl/>
        </w:rPr>
        <w:tab/>
        <w:t>269</w:t>
      </w:r>
    </w:p>
    <w:p w:rsidR="00C157C8" w:rsidRPr="00C157C8" w:rsidRDefault="00C157C8">
      <w:pPr>
        <w:pStyle w:val="Index2"/>
        <w:rPr>
          <w:rtl/>
        </w:rPr>
      </w:pPr>
      <w:r w:rsidRPr="00C157C8">
        <w:rPr>
          <w:rtl/>
          <w:lang w:bidi="he-IL"/>
        </w:rPr>
        <w:t>מהו הזמן של בן יומו</w:t>
      </w:r>
      <w:r w:rsidRPr="00C157C8">
        <w:rPr>
          <w:rtl/>
        </w:rPr>
        <w:tab/>
        <w:t>139, 360</w:t>
      </w:r>
    </w:p>
    <w:p w:rsidR="00C157C8" w:rsidRPr="00C157C8" w:rsidRDefault="00C157C8">
      <w:pPr>
        <w:pStyle w:val="Index1"/>
        <w:rPr>
          <w:rtl/>
        </w:rPr>
      </w:pPr>
      <w:r w:rsidRPr="00C157C8">
        <w:rPr>
          <w:rtl/>
          <w:lang w:bidi="he-IL"/>
        </w:rPr>
        <w:t>כלי שני</w:t>
      </w:r>
    </w:p>
    <w:p w:rsidR="00C157C8" w:rsidRPr="00C157C8" w:rsidRDefault="00C157C8">
      <w:pPr>
        <w:pStyle w:val="Index2"/>
        <w:rPr>
          <w:rtl/>
        </w:rPr>
      </w:pPr>
      <w:r w:rsidRPr="00C157C8">
        <w:rPr>
          <w:rtl/>
          <w:lang w:bidi="he-IL"/>
        </w:rPr>
        <w:t>דבר גוש</w:t>
      </w:r>
      <w:r w:rsidRPr="00C157C8">
        <w:rPr>
          <w:rtl/>
        </w:rPr>
        <w:tab/>
        <w:t>162</w:t>
      </w:r>
    </w:p>
    <w:p w:rsidR="00C157C8" w:rsidRPr="00C157C8" w:rsidRDefault="00C157C8">
      <w:pPr>
        <w:pStyle w:val="Index2"/>
        <w:rPr>
          <w:rtl/>
        </w:rPr>
      </w:pPr>
      <w:r w:rsidRPr="00C157C8">
        <w:rPr>
          <w:rtl/>
          <w:lang w:bidi="he-IL"/>
        </w:rPr>
        <w:t>עם דוחקא דסכינא</w:t>
      </w:r>
      <w:r w:rsidRPr="00C157C8">
        <w:rPr>
          <w:rtl/>
        </w:rPr>
        <w:tab/>
        <w:t>263</w:t>
      </w:r>
    </w:p>
    <w:p w:rsidR="00C157C8" w:rsidRPr="00C157C8" w:rsidRDefault="00C157C8">
      <w:pPr>
        <w:pStyle w:val="Index1"/>
        <w:rPr>
          <w:rtl/>
        </w:rPr>
      </w:pPr>
      <w:r w:rsidRPr="00C157C8">
        <w:rPr>
          <w:rtl/>
          <w:lang w:bidi="he-IL"/>
        </w:rPr>
        <w:t>לחם חלבי או בשרי</w:t>
      </w:r>
    </w:p>
    <w:p w:rsidR="00C157C8" w:rsidRPr="00C157C8" w:rsidRDefault="00C157C8">
      <w:pPr>
        <w:pStyle w:val="Index2"/>
        <w:rPr>
          <w:rtl/>
        </w:rPr>
      </w:pPr>
      <w:r w:rsidRPr="00C157C8">
        <w:rPr>
          <w:rtl/>
          <w:lang w:bidi="he-IL"/>
        </w:rPr>
        <w:t>באיזה מאכלים גזרו</w:t>
      </w:r>
      <w:r w:rsidRPr="00C157C8">
        <w:rPr>
          <w:rtl/>
        </w:rPr>
        <w:tab/>
        <w:t>294</w:t>
      </w:r>
    </w:p>
    <w:p w:rsidR="00C157C8" w:rsidRPr="00C157C8" w:rsidRDefault="00C157C8">
      <w:pPr>
        <w:pStyle w:val="Index2"/>
        <w:rPr>
          <w:rtl/>
        </w:rPr>
      </w:pPr>
      <w:r w:rsidRPr="00C157C8">
        <w:rPr>
          <w:rtl/>
          <w:lang w:bidi="he-IL"/>
        </w:rPr>
        <w:t>באיזה סוגי לחם גזרו</w:t>
      </w:r>
      <w:r w:rsidRPr="00C157C8">
        <w:rPr>
          <w:rtl/>
        </w:rPr>
        <w:tab/>
        <w:t>295</w:t>
      </w:r>
    </w:p>
    <w:p w:rsidR="00C157C8" w:rsidRPr="00C157C8" w:rsidRDefault="00C157C8">
      <w:pPr>
        <w:pStyle w:val="Index2"/>
        <w:rPr>
          <w:rtl/>
        </w:rPr>
      </w:pPr>
      <w:r w:rsidRPr="00C157C8">
        <w:rPr>
          <w:rtl/>
          <w:lang w:bidi="he-IL"/>
        </w:rPr>
        <w:t>בורקס של גבינה</w:t>
      </w:r>
      <w:r w:rsidRPr="00C157C8">
        <w:rPr>
          <w:rtl/>
        </w:rPr>
        <w:tab/>
        <w:t>297</w:t>
      </w:r>
    </w:p>
    <w:p w:rsidR="00C157C8" w:rsidRPr="00C157C8" w:rsidRDefault="00C157C8">
      <w:pPr>
        <w:pStyle w:val="Index2"/>
        <w:rPr>
          <w:rtl/>
        </w:rPr>
      </w:pPr>
      <w:r w:rsidRPr="00C157C8">
        <w:rPr>
          <w:rtl/>
          <w:lang w:bidi="he-IL"/>
        </w:rPr>
        <w:t xml:space="preserve">דברים המתירים </w:t>
      </w:r>
      <w:r w:rsidRPr="00C157C8">
        <w:rPr>
          <w:rtl/>
        </w:rPr>
        <w:t xml:space="preserve">- </w:t>
      </w:r>
      <w:r w:rsidRPr="00C157C8">
        <w:rPr>
          <w:rtl/>
          <w:lang w:bidi="he-IL"/>
        </w:rPr>
        <w:t>כעין תורא</w:t>
      </w:r>
      <w:r w:rsidRPr="00C157C8">
        <w:rPr>
          <w:rtl/>
        </w:rPr>
        <w:tab/>
        <w:t>293, 296</w:t>
      </w:r>
    </w:p>
    <w:p w:rsidR="00C157C8" w:rsidRPr="00C157C8" w:rsidRDefault="00C157C8">
      <w:pPr>
        <w:pStyle w:val="Index2"/>
        <w:rPr>
          <w:rtl/>
        </w:rPr>
      </w:pPr>
      <w:r w:rsidRPr="00C157C8">
        <w:rPr>
          <w:rtl/>
          <w:lang w:bidi="he-IL"/>
        </w:rPr>
        <w:t>חלות של שבת</w:t>
      </w:r>
      <w:r w:rsidRPr="00C157C8">
        <w:rPr>
          <w:rtl/>
        </w:rPr>
        <w:tab/>
        <w:t>297</w:t>
      </w:r>
    </w:p>
    <w:p w:rsidR="00C157C8" w:rsidRPr="00C157C8" w:rsidRDefault="00C157C8">
      <w:pPr>
        <w:pStyle w:val="Index2"/>
        <w:rPr>
          <w:rtl/>
        </w:rPr>
      </w:pPr>
      <w:r w:rsidRPr="00C157C8">
        <w:rPr>
          <w:rtl/>
          <w:lang w:bidi="he-IL"/>
        </w:rPr>
        <w:t>נ</w:t>
      </w:r>
      <w:r w:rsidRPr="00C157C8">
        <w:rPr>
          <w:rtl/>
        </w:rPr>
        <w:t>"</w:t>
      </w:r>
      <w:r w:rsidRPr="00C157C8">
        <w:rPr>
          <w:rtl/>
          <w:lang w:bidi="he-IL"/>
        </w:rPr>
        <w:t>ט בר נ</w:t>
      </w:r>
      <w:r w:rsidRPr="00C157C8">
        <w:rPr>
          <w:rtl/>
        </w:rPr>
        <w:t>"</w:t>
      </w:r>
      <w:r w:rsidRPr="00C157C8">
        <w:rPr>
          <w:rtl/>
          <w:lang w:bidi="he-IL"/>
        </w:rPr>
        <w:t>ט לכתחילה</w:t>
      </w:r>
      <w:r w:rsidRPr="00C157C8">
        <w:rPr>
          <w:rtl/>
        </w:rPr>
        <w:tab/>
        <w:t>296</w:t>
      </w:r>
    </w:p>
    <w:p w:rsidR="00C157C8" w:rsidRPr="00C157C8" w:rsidRDefault="00C157C8">
      <w:pPr>
        <w:pStyle w:val="Index2"/>
        <w:rPr>
          <w:rtl/>
        </w:rPr>
      </w:pPr>
      <w:r w:rsidRPr="00C157C8">
        <w:rPr>
          <w:rtl/>
          <w:lang w:bidi="he-IL"/>
        </w:rPr>
        <w:t>סוגיית הגמ</w:t>
      </w:r>
      <w:r w:rsidRPr="00C157C8">
        <w:rPr>
          <w:rtl/>
        </w:rPr>
        <w:t>'</w:t>
      </w:r>
      <w:r w:rsidRPr="00C157C8">
        <w:rPr>
          <w:rtl/>
        </w:rPr>
        <w:tab/>
        <w:t>293</w:t>
      </w:r>
    </w:p>
    <w:p w:rsidR="00C157C8" w:rsidRPr="00C157C8" w:rsidRDefault="00C157C8">
      <w:pPr>
        <w:pStyle w:val="Index2"/>
        <w:rPr>
          <w:rtl/>
        </w:rPr>
      </w:pPr>
      <w:r w:rsidRPr="00C157C8">
        <w:rPr>
          <w:rtl/>
          <w:lang w:bidi="he-IL"/>
        </w:rPr>
        <w:t>סופגניות חלביות</w:t>
      </w:r>
      <w:r w:rsidRPr="00C157C8">
        <w:rPr>
          <w:rtl/>
        </w:rPr>
        <w:tab/>
        <w:t>297</w:t>
      </w:r>
    </w:p>
    <w:p w:rsidR="00C157C8" w:rsidRPr="00C157C8" w:rsidRDefault="00C157C8">
      <w:pPr>
        <w:pStyle w:val="Index2"/>
        <w:rPr>
          <w:rtl/>
        </w:rPr>
      </w:pPr>
      <w:r w:rsidRPr="00C157C8">
        <w:rPr>
          <w:rtl/>
          <w:lang w:bidi="he-IL"/>
        </w:rPr>
        <w:t>עוגה שנעשה בשרי</w:t>
      </w:r>
      <w:r w:rsidRPr="00C157C8">
        <w:rPr>
          <w:rtl/>
        </w:rPr>
        <w:tab/>
        <w:t>297</w:t>
      </w:r>
    </w:p>
    <w:p w:rsidR="00C157C8" w:rsidRPr="00C157C8" w:rsidRDefault="00C157C8">
      <w:pPr>
        <w:pStyle w:val="Index2"/>
        <w:rPr>
          <w:rtl/>
        </w:rPr>
      </w:pPr>
      <w:r w:rsidRPr="00C157C8">
        <w:rPr>
          <w:rtl/>
          <w:lang w:bidi="he-IL"/>
        </w:rPr>
        <w:t>עוגת גבינה</w:t>
      </w:r>
      <w:r w:rsidRPr="00C157C8">
        <w:rPr>
          <w:rtl/>
        </w:rPr>
        <w:tab/>
        <w:t>297</w:t>
      </w:r>
    </w:p>
    <w:p w:rsidR="00C157C8" w:rsidRPr="00C157C8" w:rsidRDefault="00C157C8">
      <w:pPr>
        <w:pStyle w:val="Index2"/>
        <w:rPr>
          <w:rtl/>
        </w:rPr>
      </w:pPr>
      <w:r w:rsidRPr="00C157C8">
        <w:rPr>
          <w:rtl/>
          <w:lang w:bidi="he-IL"/>
        </w:rPr>
        <w:t>עיסה חלבית שאופים אותו כבייגלה</w:t>
      </w:r>
      <w:r w:rsidRPr="00C157C8">
        <w:rPr>
          <w:rtl/>
        </w:rPr>
        <w:tab/>
        <w:t>297</w:t>
      </w:r>
    </w:p>
    <w:p w:rsidR="00C157C8" w:rsidRPr="00C157C8" w:rsidRDefault="00C157C8">
      <w:pPr>
        <w:pStyle w:val="Index1"/>
        <w:rPr>
          <w:rtl/>
        </w:rPr>
      </w:pPr>
      <w:r w:rsidRPr="00C157C8">
        <w:rPr>
          <w:rtl/>
          <w:lang w:bidi="he-IL"/>
        </w:rPr>
        <w:t>מחמץ</w:t>
      </w:r>
    </w:p>
    <w:p w:rsidR="00C157C8" w:rsidRPr="00C157C8" w:rsidRDefault="00C157C8">
      <w:pPr>
        <w:pStyle w:val="Index2"/>
        <w:rPr>
          <w:rtl/>
        </w:rPr>
      </w:pPr>
      <w:r w:rsidRPr="00C157C8">
        <w:rPr>
          <w:rtl/>
          <w:lang w:bidi="he-IL"/>
        </w:rPr>
        <w:t>גדר הדין</w:t>
      </w:r>
      <w:r w:rsidRPr="00C157C8">
        <w:rPr>
          <w:rtl/>
        </w:rPr>
        <w:tab/>
        <w:t>48</w:t>
      </w:r>
    </w:p>
    <w:p w:rsidR="00C157C8" w:rsidRPr="00C157C8" w:rsidRDefault="00C157C8">
      <w:pPr>
        <w:pStyle w:val="Index1"/>
        <w:rPr>
          <w:rtl/>
        </w:rPr>
      </w:pPr>
      <w:r w:rsidRPr="00C157C8">
        <w:rPr>
          <w:rtl/>
          <w:lang w:bidi="he-IL"/>
        </w:rPr>
        <w:t>מים</w:t>
      </w:r>
    </w:p>
    <w:p w:rsidR="00C157C8" w:rsidRPr="00C157C8" w:rsidRDefault="00C157C8">
      <w:pPr>
        <w:pStyle w:val="Index2"/>
        <w:rPr>
          <w:rtl/>
        </w:rPr>
      </w:pPr>
      <w:r w:rsidRPr="00C157C8">
        <w:rPr>
          <w:rtl/>
          <w:lang w:bidi="he-IL"/>
        </w:rPr>
        <w:t>שיש בה בליעות שהם לפגם</w:t>
      </w:r>
      <w:r w:rsidRPr="00C157C8">
        <w:rPr>
          <w:rtl/>
        </w:rPr>
        <w:tab/>
        <w:t>274, 275</w:t>
      </w:r>
    </w:p>
    <w:p w:rsidR="00C157C8" w:rsidRPr="00C157C8" w:rsidRDefault="00C157C8">
      <w:pPr>
        <w:pStyle w:val="Index1"/>
        <w:rPr>
          <w:rtl/>
        </w:rPr>
      </w:pPr>
      <w:r w:rsidRPr="00C157C8">
        <w:rPr>
          <w:rtl/>
          <w:lang w:bidi="he-IL"/>
        </w:rPr>
        <w:t>מין במינו</w:t>
      </w:r>
    </w:p>
    <w:p w:rsidR="00C157C8" w:rsidRPr="00C157C8" w:rsidRDefault="00C157C8">
      <w:pPr>
        <w:pStyle w:val="Index2"/>
        <w:rPr>
          <w:rtl/>
        </w:rPr>
      </w:pPr>
      <w:r w:rsidRPr="00C157C8">
        <w:rPr>
          <w:rtl/>
          <w:lang w:bidi="he-IL"/>
        </w:rPr>
        <w:t>באיסור דרבנן</w:t>
      </w:r>
      <w:r w:rsidRPr="00C157C8">
        <w:rPr>
          <w:rtl/>
        </w:rPr>
        <w:tab/>
        <w:t>50</w:t>
      </w:r>
    </w:p>
    <w:p w:rsidR="00C157C8" w:rsidRPr="00C157C8" w:rsidRDefault="00C157C8">
      <w:pPr>
        <w:pStyle w:val="Index2"/>
        <w:rPr>
          <w:rtl/>
        </w:rPr>
      </w:pPr>
      <w:r w:rsidRPr="00C157C8">
        <w:rPr>
          <w:rtl/>
          <w:lang w:bidi="he-IL"/>
        </w:rPr>
        <w:t>טעם השיעור ששים</w:t>
      </w:r>
      <w:r w:rsidRPr="00C157C8">
        <w:rPr>
          <w:rtl/>
        </w:rPr>
        <w:tab/>
        <w:t>56</w:t>
      </w:r>
    </w:p>
    <w:p w:rsidR="00C157C8" w:rsidRPr="00C157C8" w:rsidRDefault="00C157C8">
      <w:pPr>
        <w:pStyle w:val="Index1"/>
        <w:rPr>
          <w:rtl/>
        </w:rPr>
      </w:pPr>
      <w:r w:rsidRPr="00C157C8">
        <w:rPr>
          <w:rtl/>
          <w:lang w:bidi="he-IL"/>
        </w:rPr>
        <w:t>מליח</w:t>
      </w:r>
    </w:p>
    <w:p w:rsidR="00C157C8" w:rsidRPr="00C157C8" w:rsidRDefault="00C157C8">
      <w:pPr>
        <w:pStyle w:val="Index2"/>
        <w:rPr>
          <w:rtl/>
        </w:rPr>
      </w:pPr>
      <w:r w:rsidRPr="00C157C8">
        <w:rPr>
          <w:rtl/>
          <w:lang w:bidi="he-IL"/>
        </w:rPr>
        <w:t>אי אמרינן בה תתאה ועילאה גבר</w:t>
      </w:r>
      <w:r w:rsidRPr="00C157C8">
        <w:rPr>
          <w:rtl/>
        </w:rPr>
        <w:tab/>
        <w:t>417</w:t>
      </w:r>
    </w:p>
    <w:p w:rsidR="00C157C8" w:rsidRPr="00C157C8" w:rsidRDefault="00C157C8">
      <w:pPr>
        <w:pStyle w:val="Index2"/>
        <w:rPr>
          <w:rtl/>
        </w:rPr>
      </w:pPr>
      <w:r w:rsidRPr="00C157C8">
        <w:rPr>
          <w:rtl/>
          <w:lang w:bidi="he-IL"/>
        </w:rPr>
        <w:t>אי בעינן אינו נאכל מחמת מלחו</w:t>
      </w:r>
      <w:r w:rsidRPr="00C157C8">
        <w:rPr>
          <w:rtl/>
        </w:rPr>
        <w:tab/>
        <w:t>412, 415</w:t>
      </w:r>
    </w:p>
    <w:p w:rsidR="00C157C8" w:rsidRPr="00C157C8" w:rsidRDefault="00C157C8">
      <w:pPr>
        <w:pStyle w:val="Index2"/>
        <w:rPr>
          <w:rtl/>
        </w:rPr>
      </w:pPr>
      <w:r w:rsidRPr="00C157C8">
        <w:rPr>
          <w:rtl/>
          <w:lang w:bidi="he-IL"/>
        </w:rPr>
        <w:t xml:space="preserve">אינו נאכל מחמת מלחו </w:t>
      </w:r>
      <w:r w:rsidRPr="00C157C8">
        <w:rPr>
          <w:rtl/>
        </w:rPr>
        <w:t xml:space="preserve">- </w:t>
      </w:r>
      <w:r w:rsidRPr="00C157C8">
        <w:rPr>
          <w:rtl/>
          <w:lang w:bidi="he-IL"/>
        </w:rPr>
        <w:t>שיטת הרמ</w:t>
      </w:r>
      <w:r w:rsidRPr="00C157C8">
        <w:rPr>
          <w:rtl/>
        </w:rPr>
        <w:t>"</w:t>
      </w:r>
      <w:r w:rsidRPr="00C157C8">
        <w:rPr>
          <w:rtl/>
          <w:lang w:bidi="he-IL"/>
        </w:rPr>
        <w:t>א</w:t>
      </w:r>
      <w:r w:rsidRPr="00C157C8">
        <w:rPr>
          <w:rtl/>
        </w:rPr>
        <w:tab/>
        <w:t>418</w:t>
      </w:r>
    </w:p>
    <w:p w:rsidR="00C157C8" w:rsidRPr="00C157C8" w:rsidRDefault="00C157C8">
      <w:pPr>
        <w:pStyle w:val="Index2"/>
        <w:rPr>
          <w:rtl/>
        </w:rPr>
      </w:pPr>
      <w:r w:rsidRPr="00C157C8">
        <w:rPr>
          <w:rtl/>
          <w:lang w:bidi="he-IL"/>
        </w:rPr>
        <w:t>באיזה זמן נעשה כרותח</w:t>
      </w:r>
      <w:r w:rsidRPr="00C157C8">
        <w:rPr>
          <w:rtl/>
        </w:rPr>
        <w:tab/>
        <w:t>415, 418</w:t>
      </w:r>
    </w:p>
    <w:p w:rsidR="00C157C8" w:rsidRPr="00C157C8" w:rsidRDefault="00C157C8">
      <w:pPr>
        <w:pStyle w:val="Index2"/>
        <w:rPr>
          <w:rtl/>
        </w:rPr>
      </w:pPr>
      <w:r w:rsidRPr="00C157C8">
        <w:rPr>
          <w:rtl/>
          <w:lang w:bidi="he-IL"/>
        </w:rPr>
        <w:t>בדין תתאה ועילאה למעשה</w:t>
      </w:r>
      <w:r w:rsidRPr="00C157C8">
        <w:rPr>
          <w:rtl/>
        </w:rPr>
        <w:tab/>
        <w:t>425</w:t>
      </w:r>
    </w:p>
    <w:p w:rsidR="00C157C8" w:rsidRPr="00C157C8" w:rsidRDefault="00C157C8">
      <w:pPr>
        <w:pStyle w:val="Index2"/>
        <w:rPr>
          <w:rtl/>
        </w:rPr>
      </w:pPr>
      <w:r w:rsidRPr="00C157C8">
        <w:rPr>
          <w:rtl/>
          <w:lang w:bidi="he-IL"/>
        </w:rPr>
        <w:t>בכלים</w:t>
      </w:r>
      <w:r w:rsidRPr="00C157C8">
        <w:rPr>
          <w:rtl/>
        </w:rPr>
        <w:tab/>
        <w:t>426</w:t>
      </w:r>
    </w:p>
    <w:p w:rsidR="00C157C8" w:rsidRPr="00C157C8" w:rsidRDefault="00C157C8">
      <w:pPr>
        <w:pStyle w:val="Index2"/>
        <w:rPr>
          <w:rtl/>
        </w:rPr>
      </w:pPr>
      <w:r w:rsidRPr="00C157C8">
        <w:rPr>
          <w:rtl/>
          <w:lang w:bidi="he-IL"/>
        </w:rPr>
        <w:t>בר גוזלא דנפל לכדא דכמכא</w:t>
      </w:r>
      <w:r w:rsidRPr="00C157C8">
        <w:rPr>
          <w:rtl/>
        </w:rPr>
        <w:tab/>
        <w:t>413</w:t>
      </w:r>
    </w:p>
    <w:p w:rsidR="00C157C8" w:rsidRPr="00C157C8" w:rsidRDefault="00C157C8">
      <w:pPr>
        <w:pStyle w:val="Index2"/>
        <w:rPr>
          <w:rtl/>
        </w:rPr>
      </w:pPr>
      <w:r w:rsidRPr="00C157C8">
        <w:rPr>
          <w:rtl/>
          <w:lang w:bidi="he-IL"/>
        </w:rPr>
        <w:t>בשר טריפה ובשר שחוטה שנמלחו יחד</w:t>
      </w:r>
      <w:r w:rsidRPr="00C157C8">
        <w:rPr>
          <w:rtl/>
        </w:rPr>
        <w:tab/>
        <w:t>417</w:t>
      </w:r>
    </w:p>
    <w:p w:rsidR="00C157C8" w:rsidRPr="00C157C8" w:rsidRDefault="00C157C8">
      <w:pPr>
        <w:pStyle w:val="Index2"/>
        <w:rPr>
          <w:rtl/>
        </w:rPr>
      </w:pPr>
      <w:r w:rsidRPr="00C157C8">
        <w:rPr>
          <w:rtl/>
          <w:lang w:bidi="he-IL"/>
        </w:rPr>
        <w:lastRenderedPageBreak/>
        <w:t>יבש</w:t>
      </w:r>
      <w:r w:rsidRPr="00C157C8">
        <w:rPr>
          <w:rtl/>
        </w:rPr>
        <w:t xml:space="preserve">, </w:t>
      </w:r>
      <w:r w:rsidRPr="00C157C8">
        <w:rPr>
          <w:rtl/>
          <w:lang w:bidi="he-IL"/>
        </w:rPr>
        <w:t>יבש גמור</w:t>
      </w:r>
      <w:r w:rsidRPr="00C157C8">
        <w:rPr>
          <w:rtl/>
        </w:rPr>
        <w:t xml:space="preserve">, </w:t>
      </w:r>
      <w:r w:rsidRPr="00C157C8">
        <w:rPr>
          <w:rtl/>
          <w:lang w:bidi="he-IL"/>
        </w:rPr>
        <w:t>וצלול</w:t>
      </w:r>
      <w:r w:rsidRPr="00C157C8">
        <w:rPr>
          <w:rtl/>
        </w:rPr>
        <w:tab/>
        <w:t>419</w:t>
      </w:r>
    </w:p>
    <w:p w:rsidR="00C157C8" w:rsidRPr="00C157C8" w:rsidRDefault="00C157C8">
      <w:pPr>
        <w:pStyle w:val="Index2"/>
        <w:rPr>
          <w:rtl/>
        </w:rPr>
      </w:pPr>
      <w:r w:rsidRPr="00C157C8">
        <w:rPr>
          <w:rtl/>
          <w:lang w:bidi="he-IL"/>
        </w:rPr>
        <w:t>מחלוקת מהר</w:t>
      </w:r>
      <w:r w:rsidRPr="00C157C8">
        <w:rPr>
          <w:rtl/>
        </w:rPr>
        <w:t>"</w:t>
      </w:r>
      <w:r w:rsidRPr="00C157C8">
        <w:rPr>
          <w:rtl/>
          <w:lang w:bidi="he-IL"/>
        </w:rPr>
        <w:t>ם ור</w:t>
      </w:r>
      <w:r w:rsidRPr="00C157C8">
        <w:rPr>
          <w:rtl/>
        </w:rPr>
        <w:t xml:space="preserve">' </w:t>
      </w:r>
      <w:r w:rsidRPr="00C157C8">
        <w:rPr>
          <w:rtl/>
          <w:lang w:bidi="he-IL"/>
        </w:rPr>
        <w:t>נתנאל</w:t>
      </w:r>
      <w:r w:rsidRPr="00C157C8">
        <w:rPr>
          <w:rtl/>
        </w:rPr>
        <w:tab/>
        <w:t>424</w:t>
      </w:r>
    </w:p>
    <w:p w:rsidR="00C157C8" w:rsidRPr="00C157C8" w:rsidRDefault="00C157C8">
      <w:pPr>
        <w:pStyle w:val="Index2"/>
        <w:rPr>
          <w:rtl/>
        </w:rPr>
      </w:pPr>
      <w:r w:rsidRPr="00C157C8">
        <w:rPr>
          <w:rtl/>
          <w:lang w:bidi="he-IL"/>
        </w:rPr>
        <w:t>עד כמה מתפשט הטעם על ידו</w:t>
      </w:r>
      <w:r w:rsidRPr="00C157C8">
        <w:rPr>
          <w:rtl/>
        </w:rPr>
        <w:tab/>
        <w:t>421</w:t>
      </w:r>
    </w:p>
    <w:p w:rsidR="00C157C8" w:rsidRPr="00C157C8" w:rsidRDefault="00C157C8">
      <w:pPr>
        <w:pStyle w:val="Index2"/>
        <w:rPr>
          <w:rtl/>
        </w:rPr>
      </w:pPr>
      <w:r w:rsidRPr="00C157C8">
        <w:rPr>
          <w:rtl/>
          <w:lang w:bidi="he-IL"/>
        </w:rPr>
        <w:t>שיטת הרמ</w:t>
      </w:r>
      <w:r w:rsidRPr="00C157C8">
        <w:rPr>
          <w:rtl/>
        </w:rPr>
        <w:t>"</w:t>
      </w:r>
      <w:r w:rsidRPr="00C157C8">
        <w:rPr>
          <w:rtl/>
          <w:lang w:bidi="he-IL"/>
        </w:rPr>
        <w:t>א כשנמלחו כמה חתיכות יחד</w:t>
      </w:r>
      <w:r w:rsidRPr="00C157C8">
        <w:rPr>
          <w:rtl/>
        </w:rPr>
        <w:tab/>
        <w:t>423</w:t>
      </w:r>
    </w:p>
    <w:p w:rsidR="00C157C8" w:rsidRPr="00C157C8" w:rsidRDefault="00C157C8">
      <w:pPr>
        <w:pStyle w:val="Index1"/>
        <w:rPr>
          <w:rtl/>
        </w:rPr>
      </w:pPr>
      <w:r w:rsidRPr="00C157C8">
        <w:rPr>
          <w:rtl/>
          <w:lang w:bidi="he-IL"/>
        </w:rPr>
        <w:t>מעמיד</w:t>
      </w:r>
    </w:p>
    <w:p w:rsidR="00C157C8" w:rsidRPr="00C157C8" w:rsidRDefault="00C157C8">
      <w:pPr>
        <w:pStyle w:val="Index2"/>
        <w:rPr>
          <w:rtl/>
        </w:rPr>
      </w:pPr>
      <w:r w:rsidRPr="00C157C8">
        <w:rPr>
          <w:rtl/>
          <w:lang w:bidi="he-IL"/>
        </w:rPr>
        <w:t>השואה למחמץ</w:t>
      </w:r>
      <w:r w:rsidRPr="00C157C8">
        <w:rPr>
          <w:rtl/>
        </w:rPr>
        <w:tab/>
        <w:t>49</w:t>
      </w:r>
    </w:p>
    <w:p w:rsidR="00C157C8" w:rsidRPr="00C157C8" w:rsidRDefault="00C157C8">
      <w:pPr>
        <w:pStyle w:val="Index2"/>
        <w:rPr>
          <w:rtl/>
        </w:rPr>
      </w:pPr>
      <w:r w:rsidRPr="00C157C8">
        <w:rPr>
          <w:rtl/>
          <w:lang w:bidi="he-IL"/>
        </w:rPr>
        <w:t>השיטות בקצרה</w:t>
      </w:r>
      <w:r w:rsidRPr="00C157C8">
        <w:rPr>
          <w:rtl/>
        </w:rPr>
        <w:tab/>
        <w:t>204</w:t>
      </w:r>
    </w:p>
    <w:p w:rsidR="00C157C8" w:rsidRPr="00C157C8" w:rsidRDefault="00C157C8">
      <w:pPr>
        <w:pStyle w:val="Index2"/>
        <w:rPr>
          <w:rtl/>
        </w:rPr>
      </w:pPr>
      <w:r w:rsidRPr="00C157C8">
        <w:rPr>
          <w:rtl/>
          <w:lang w:bidi="he-IL"/>
        </w:rPr>
        <w:t>חקירה בדינו</w:t>
      </w:r>
      <w:r w:rsidRPr="00C157C8">
        <w:rPr>
          <w:rtl/>
        </w:rPr>
        <w:tab/>
        <w:t>207</w:t>
      </w:r>
    </w:p>
    <w:p w:rsidR="00C157C8" w:rsidRPr="00C157C8" w:rsidRDefault="00C157C8">
      <w:pPr>
        <w:pStyle w:val="Index2"/>
        <w:rPr>
          <w:rtl/>
        </w:rPr>
      </w:pPr>
      <w:r w:rsidRPr="00C157C8">
        <w:rPr>
          <w:rtl/>
          <w:lang w:bidi="he-IL"/>
        </w:rPr>
        <w:t>סוגיית הגמ</w:t>
      </w:r>
      <w:r w:rsidRPr="00C157C8">
        <w:rPr>
          <w:rtl/>
        </w:rPr>
        <w:t>'</w:t>
      </w:r>
      <w:r w:rsidRPr="00C157C8">
        <w:rPr>
          <w:rtl/>
        </w:rPr>
        <w:tab/>
        <w:t>188</w:t>
      </w:r>
    </w:p>
    <w:p w:rsidR="00C157C8" w:rsidRPr="00C157C8" w:rsidRDefault="00C157C8">
      <w:pPr>
        <w:pStyle w:val="Index2"/>
        <w:rPr>
          <w:rtl/>
        </w:rPr>
      </w:pPr>
      <w:r w:rsidRPr="00C157C8">
        <w:rPr>
          <w:rtl/>
          <w:lang w:bidi="he-IL"/>
        </w:rPr>
        <w:t>ענזימים</w:t>
      </w:r>
      <w:r w:rsidRPr="00C157C8">
        <w:rPr>
          <w:rtl/>
        </w:rPr>
        <w:tab/>
        <w:t>207</w:t>
      </w:r>
    </w:p>
    <w:p w:rsidR="00C157C8" w:rsidRPr="00C157C8" w:rsidRDefault="00C157C8">
      <w:pPr>
        <w:pStyle w:val="Index1"/>
        <w:rPr>
          <w:rtl/>
        </w:rPr>
      </w:pPr>
      <w:r w:rsidRPr="00C157C8">
        <w:rPr>
          <w:rtl/>
          <w:lang w:bidi="he-IL"/>
        </w:rPr>
        <w:t>מראית העין</w:t>
      </w:r>
    </w:p>
    <w:p w:rsidR="00C157C8" w:rsidRPr="00C157C8" w:rsidRDefault="00C157C8">
      <w:pPr>
        <w:pStyle w:val="Index2"/>
        <w:rPr>
          <w:rtl/>
        </w:rPr>
      </w:pPr>
      <w:r w:rsidRPr="00C157C8">
        <w:rPr>
          <w:rtl/>
          <w:lang w:bidi="he-IL"/>
        </w:rPr>
        <w:t>אי מהני היכר</w:t>
      </w:r>
      <w:r w:rsidRPr="00C157C8">
        <w:rPr>
          <w:rtl/>
        </w:rPr>
        <w:tab/>
        <w:t>196</w:t>
      </w:r>
    </w:p>
    <w:p w:rsidR="00C157C8" w:rsidRPr="00C157C8" w:rsidRDefault="00C157C8">
      <w:pPr>
        <w:pStyle w:val="Index2"/>
        <w:rPr>
          <w:rtl/>
        </w:rPr>
      </w:pPr>
      <w:r w:rsidRPr="00C157C8">
        <w:rPr>
          <w:rtl/>
          <w:lang w:bidi="he-IL"/>
        </w:rPr>
        <w:t>באיסורים מדרבנן</w:t>
      </w:r>
      <w:r w:rsidRPr="00C157C8">
        <w:rPr>
          <w:rtl/>
        </w:rPr>
        <w:tab/>
        <w:t>195</w:t>
      </w:r>
    </w:p>
    <w:p w:rsidR="00C157C8" w:rsidRPr="00C157C8" w:rsidRDefault="00C157C8">
      <w:pPr>
        <w:pStyle w:val="Index2"/>
        <w:rPr>
          <w:rtl/>
        </w:rPr>
      </w:pPr>
      <w:r w:rsidRPr="00C157C8">
        <w:rPr>
          <w:rtl/>
          <w:lang w:bidi="he-IL"/>
        </w:rPr>
        <w:t>סוגיית הגמ</w:t>
      </w:r>
      <w:r w:rsidRPr="00C157C8">
        <w:rPr>
          <w:rtl/>
        </w:rPr>
        <w:t>'</w:t>
      </w:r>
      <w:r w:rsidRPr="00C157C8">
        <w:rPr>
          <w:rtl/>
        </w:rPr>
        <w:tab/>
        <w:t>194</w:t>
      </w:r>
    </w:p>
    <w:p w:rsidR="00C157C8" w:rsidRPr="00C157C8" w:rsidRDefault="00C157C8">
      <w:pPr>
        <w:pStyle w:val="Index2"/>
        <w:rPr>
          <w:rtl/>
        </w:rPr>
      </w:pPr>
      <w:r w:rsidRPr="00C157C8">
        <w:rPr>
          <w:rtl/>
          <w:lang w:bidi="he-IL"/>
        </w:rPr>
        <w:t>תחליפי חלב ובשר של היום</w:t>
      </w:r>
      <w:r w:rsidRPr="00C157C8">
        <w:rPr>
          <w:rtl/>
        </w:rPr>
        <w:tab/>
        <w:t>197</w:t>
      </w:r>
    </w:p>
    <w:p w:rsidR="00C157C8" w:rsidRPr="00C157C8" w:rsidRDefault="00C157C8">
      <w:pPr>
        <w:pStyle w:val="Index1"/>
        <w:rPr>
          <w:rtl/>
        </w:rPr>
      </w:pPr>
      <w:r w:rsidRPr="00C157C8">
        <w:rPr>
          <w:rtl/>
          <w:lang w:bidi="he-IL"/>
        </w:rPr>
        <w:t>נ</w:t>
      </w:r>
      <w:r w:rsidRPr="00C157C8">
        <w:rPr>
          <w:rtl/>
        </w:rPr>
        <w:t>"</w:t>
      </w:r>
      <w:r w:rsidRPr="00C157C8">
        <w:rPr>
          <w:rtl/>
          <w:lang w:bidi="he-IL"/>
        </w:rPr>
        <w:t>ט בר נ</w:t>
      </w:r>
      <w:r w:rsidRPr="00C157C8">
        <w:rPr>
          <w:rtl/>
        </w:rPr>
        <w:t>"</w:t>
      </w:r>
      <w:r w:rsidRPr="00C157C8">
        <w:rPr>
          <w:rtl/>
          <w:lang w:bidi="he-IL"/>
        </w:rPr>
        <w:t>ט</w:t>
      </w:r>
    </w:p>
    <w:p w:rsidR="00C157C8" w:rsidRPr="00C157C8" w:rsidRDefault="00C157C8">
      <w:pPr>
        <w:pStyle w:val="Index2"/>
        <w:rPr>
          <w:rtl/>
        </w:rPr>
      </w:pPr>
      <w:r w:rsidRPr="00C157C8">
        <w:rPr>
          <w:rtl/>
          <w:lang w:bidi="he-IL"/>
        </w:rPr>
        <w:t>אי בעינן שיהא טעם הראשון בכלי</w:t>
      </w:r>
      <w:r w:rsidRPr="00C157C8">
        <w:rPr>
          <w:rtl/>
        </w:rPr>
        <w:tab/>
        <w:t>153</w:t>
      </w:r>
    </w:p>
    <w:p w:rsidR="00C157C8" w:rsidRPr="00C157C8" w:rsidRDefault="00C157C8">
      <w:pPr>
        <w:pStyle w:val="Index2"/>
        <w:rPr>
          <w:rtl/>
        </w:rPr>
      </w:pPr>
      <w:r w:rsidRPr="00C157C8">
        <w:rPr>
          <w:rtl/>
          <w:lang w:bidi="he-IL"/>
        </w:rPr>
        <w:t>באיסורא</w:t>
      </w:r>
      <w:r w:rsidRPr="00C157C8">
        <w:rPr>
          <w:rtl/>
        </w:rPr>
        <w:tab/>
        <w:t>153, 265</w:t>
      </w:r>
    </w:p>
    <w:p w:rsidR="00C157C8" w:rsidRPr="00C157C8" w:rsidRDefault="00C157C8">
      <w:pPr>
        <w:pStyle w:val="Index2"/>
        <w:rPr>
          <w:rtl/>
        </w:rPr>
      </w:pPr>
      <w:r w:rsidRPr="00C157C8">
        <w:rPr>
          <w:rtl/>
          <w:lang w:bidi="he-IL"/>
        </w:rPr>
        <w:t xml:space="preserve">בדבר חריף </w:t>
      </w:r>
      <w:r w:rsidRPr="00C157C8">
        <w:rPr>
          <w:rtl/>
        </w:rPr>
        <w:t xml:space="preserve">- </w:t>
      </w:r>
      <w:r w:rsidRPr="00C157C8">
        <w:rPr>
          <w:rtl/>
          <w:lang w:bidi="he-IL"/>
        </w:rPr>
        <w:t>שיטת הרמ</w:t>
      </w:r>
      <w:r w:rsidRPr="00C157C8">
        <w:rPr>
          <w:rtl/>
        </w:rPr>
        <w:t>"</w:t>
      </w:r>
      <w:r w:rsidRPr="00C157C8">
        <w:rPr>
          <w:rtl/>
          <w:lang w:bidi="he-IL"/>
        </w:rPr>
        <w:t>א</w:t>
      </w:r>
      <w:r w:rsidRPr="00C157C8">
        <w:rPr>
          <w:rtl/>
        </w:rPr>
        <w:tab/>
        <w:t>272</w:t>
      </w:r>
    </w:p>
    <w:p w:rsidR="00C157C8" w:rsidRPr="00C157C8" w:rsidRDefault="00C157C8">
      <w:pPr>
        <w:pStyle w:val="Index2"/>
        <w:rPr>
          <w:rtl/>
        </w:rPr>
      </w:pPr>
      <w:r w:rsidRPr="00C157C8">
        <w:rPr>
          <w:rtl/>
          <w:lang w:bidi="he-IL"/>
        </w:rPr>
        <w:t>בכח אחד</w:t>
      </w:r>
      <w:r w:rsidRPr="00C157C8">
        <w:rPr>
          <w:rtl/>
        </w:rPr>
        <w:tab/>
        <w:t>266</w:t>
      </w:r>
    </w:p>
    <w:p w:rsidR="00C157C8" w:rsidRPr="00C157C8" w:rsidRDefault="00C157C8">
      <w:pPr>
        <w:pStyle w:val="Index2"/>
        <w:rPr>
          <w:rtl/>
        </w:rPr>
      </w:pPr>
      <w:r w:rsidRPr="00C157C8">
        <w:rPr>
          <w:rtl/>
          <w:lang w:bidi="he-IL"/>
        </w:rPr>
        <w:t>במין במינו</w:t>
      </w:r>
      <w:r w:rsidRPr="00C157C8">
        <w:rPr>
          <w:rtl/>
        </w:rPr>
        <w:tab/>
        <w:t>153</w:t>
      </w:r>
    </w:p>
    <w:p w:rsidR="00C157C8" w:rsidRPr="00C157C8" w:rsidRDefault="00C157C8">
      <w:pPr>
        <w:pStyle w:val="Index2"/>
        <w:rPr>
          <w:rtl/>
        </w:rPr>
      </w:pPr>
      <w:r w:rsidRPr="00C157C8">
        <w:rPr>
          <w:rtl/>
          <w:lang w:bidi="he-IL"/>
        </w:rPr>
        <w:t xml:space="preserve">בנתבשלו </w:t>
      </w:r>
      <w:r w:rsidRPr="00C157C8">
        <w:rPr>
          <w:rtl/>
        </w:rPr>
        <w:t xml:space="preserve">- </w:t>
      </w:r>
      <w:r w:rsidRPr="00C157C8">
        <w:rPr>
          <w:rtl/>
          <w:lang w:bidi="he-IL"/>
        </w:rPr>
        <w:t>ביאור סימן צ</w:t>
      </w:r>
      <w:r w:rsidRPr="00C157C8">
        <w:rPr>
          <w:rtl/>
        </w:rPr>
        <w:t>"</w:t>
      </w:r>
      <w:r w:rsidRPr="00C157C8">
        <w:rPr>
          <w:rtl/>
          <w:lang w:bidi="he-IL"/>
        </w:rPr>
        <w:t>ד סעיף ט</w:t>
      </w:r>
      <w:r w:rsidRPr="00C157C8">
        <w:rPr>
          <w:rtl/>
        </w:rPr>
        <w:t>'</w:t>
      </w:r>
      <w:r w:rsidRPr="00C157C8">
        <w:rPr>
          <w:rtl/>
        </w:rPr>
        <w:tab/>
        <w:t>264</w:t>
      </w:r>
    </w:p>
    <w:p w:rsidR="00C157C8" w:rsidRPr="00C157C8" w:rsidRDefault="00C157C8">
      <w:pPr>
        <w:pStyle w:val="Index2"/>
        <w:rPr>
          <w:rtl/>
        </w:rPr>
      </w:pPr>
      <w:r w:rsidRPr="00C157C8">
        <w:rPr>
          <w:rtl/>
          <w:lang w:bidi="he-IL"/>
        </w:rPr>
        <w:t>בנתבשלו או נצלו</w:t>
      </w:r>
      <w:r w:rsidRPr="00C157C8">
        <w:rPr>
          <w:rtl/>
        </w:rPr>
        <w:tab/>
        <w:t>267</w:t>
      </w:r>
    </w:p>
    <w:p w:rsidR="00C157C8" w:rsidRPr="00C157C8" w:rsidRDefault="00C157C8">
      <w:pPr>
        <w:pStyle w:val="Index2"/>
        <w:rPr>
          <w:rtl/>
        </w:rPr>
      </w:pPr>
      <w:r w:rsidRPr="00C157C8">
        <w:rPr>
          <w:rtl/>
          <w:lang w:bidi="he-IL"/>
        </w:rPr>
        <w:t xml:space="preserve">בנתבשלו או נצלו </w:t>
      </w:r>
      <w:r w:rsidRPr="00C157C8">
        <w:rPr>
          <w:rtl/>
        </w:rPr>
        <w:t xml:space="preserve">- </w:t>
      </w:r>
      <w:r w:rsidRPr="00C157C8">
        <w:rPr>
          <w:rtl/>
          <w:lang w:bidi="he-IL"/>
        </w:rPr>
        <w:t>הדין למעשה</w:t>
      </w:r>
      <w:r w:rsidRPr="00C157C8">
        <w:rPr>
          <w:rtl/>
        </w:rPr>
        <w:tab/>
        <w:t>268</w:t>
      </w:r>
    </w:p>
    <w:p w:rsidR="00C157C8" w:rsidRPr="00C157C8" w:rsidRDefault="00C157C8">
      <w:pPr>
        <w:pStyle w:val="Index2"/>
        <w:rPr>
          <w:rtl/>
        </w:rPr>
      </w:pPr>
      <w:r w:rsidRPr="00C157C8">
        <w:rPr>
          <w:rtl/>
          <w:lang w:bidi="he-IL"/>
        </w:rPr>
        <w:t xml:space="preserve">בנתבשלו או נצלו </w:t>
      </w:r>
      <w:r w:rsidRPr="00C157C8">
        <w:rPr>
          <w:rtl/>
        </w:rPr>
        <w:t xml:space="preserve">- </w:t>
      </w:r>
      <w:r w:rsidRPr="00C157C8">
        <w:rPr>
          <w:rtl/>
          <w:lang w:bidi="he-IL"/>
        </w:rPr>
        <w:t>להניחה בכלי של המין השני</w:t>
      </w:r>
      <w:r w:rsidRPr="00C157C8">
        <w:rPr>
          <w:rtl/>
        </w:rPr>
        <w:tab/>
        <w:t>271</w:t>
      </w:r>
    </w:p>
    <w:p w:rsidR="00C157C8" w:rsidRPr="00C157C8" w:rsidRDefault="00C157C8">
      <w:pPr>
        <w:pStyle w:val="Index2"/>
        <w:rPr>
          <w:rtl/>
        </w:rPr>
      </w:pPr>
      <w:r w:rsidRPr="00C157C8">
        <w:rPr>
          <w:rtl/>
          <w:lang w:bidi="he-IL"/>
        </w:rPr>
        <w:t>הדחת קערות</w:t>
      </w:r>
      <w:r w:rsidRPr="00C157C8">
        <w:rPr>
          <w:rtl/>
        </w:rPr>
        <w:tab/>
        <w:t>151</w:t>
      </w:r>
    </w:p>
    <w:p w:rsidR="00C157C8" w:rsidRPr="00C157C8" w:rsidRDefault="00C157C8">
      <w:pPr>
        <w:pStyle w:val="Index2"/>
        <w:rPr>
          <w:rtl/>
        </w:rPr>
      </w:pPr>
      <w:r w:rsidRPr="00C157C8">
        <w:rPr>
          <w:rtl/>
          <w:lang w:bidi="he-IL"/>
        </w:rPr>
        <w:t xml:space="preserve">הדחת קערות </w:t>
      </w:r>
      <w:r w:rsidRPr="00C157C8">
        <w:rPr>
          <w:rtl/>
        </w:rPr>
        <w:t xml:space="preserve">- </w:t>
      </w:r>
      <w:r w:rsidRPr="00C157C8">
        <w:rPr>
          <w:rtl/>
          <w:lang w:bidi="he-IL"/>
        </w:rPr>
        <w:t>דעת המחבר והרמ</w:t>
      </w:r>
      <w:r w:rsidRPr="00C157C8">
        <w:rPr>
          <w:rtl/>
        </w:rPr>
        <w:t>"</w:t>
      </w:r>
      <w:r w:rsidRPr="00C157C8">
        <w:rPr>
          <w:rtl/>
          <w:lang w:bidi="he-IL"/>
        </w:rPr>
        <w:t>א</w:t>
      </w:r>
      <w:r w:rsidRPr="00C157C8">
        <w:rPr>
          <w:rtl/>
        </w:rPr>
        <w:tab/>
        <w:t>275</w:t>
      </w:r>
    </w:p>
    <w:p w:rsidR="00C157C8" w:rsidRPr="00C157C8" w:rsidRDefault="00C157C8">
      <w:pPr>
        <w:pStyle w:val="Index2"/>
        <w:rPr>
          <w:rtl/>
        </w:rPr>
      </w:pPr>
      <w:r w:rsidRPr="00C157C8">
        <w:rPr>
          <w:rtl/>
          <w:lang w:bidi="he-IL"/>
        </w:rPr>
        <w:t xml:space="preserve">הדחת קערות </w:t>
      </w:r>
      <w:r w:rsidRPr="00C157C8">
        <w:rPr>
          <w:rtl/>
        </w:rPr>
        <w:t xml:space="preserve">- </w:t>
      </w:r>
      <w:r w:rsidRPr="00C157C8">
        <w:rPr>
          <w:rtl/>
          <w:lang w:bidi="he-IL"/>
        </w:rPr>
        <w:t>וא</w:t>
      </w:r>
      <w:r w:rsidRPr="00C157C8">
        <w:rPr>
          <w:rtl/>
        </w:rPr>
        <w:t xml:space="preserve">' </w:t>
      </w:r>
      <w:r w:rsidRPr="00C157C8">
        <w:rPr>
          <w:rtl/>
          <w:lang w:bidi="he-IL"/>
        </w:rPr>
        <w:t>מן הקערות אינו בן יומו</w:t>
      </w:r>
      <w:r w:rsidRPr="00C157C8">
        <w:rPr>
          <w:rtl/>
        </w:rPr>
        <w:tab/>
        <w:t>254, 276</w:t>
      </w:r>
    </w:p>
    <w:p w:rsidR="00C157C8" w:rsidRPr="00C157C8" w:rsidRDefault="00C157C8">
      <w:pPr>
        <w:pStyle w:val="Index2"/>
        <w:rPr>
          <w:rtl/>
        </w:rPr>
      </w:pPr>
      <w:r w:rsidRPr="00C157C8">
        <w:rPr>
          <w:rtl/>
          <w:lang w:bidi="he-IL"/>
        </w:rPr>
        <w:t xml:space="preserve">הדחת קערות </w:t>
      </w:r>
      <w:r w:rsidRPr="00C157C8">
        <w:rPr>
          <w:rtl/>
        </w:rPr>
        <w:t xml:space="preserve">- </w:t>
      </w:r>
      <w:r w:rsidRPr="00C157C8">
        <w:rPr>
          <w:rtl/>
          <w:lang w:bidi="he-IL"/>
        </w:rPr>
        <w:t>שיטת המחבר</w:t>
      </w:r>
      <w:r w:rsidRPr="00C157C8">
        <w:rPr>
          <w:rtl/>
        </w:rPr>
        <w:tab/>
        <w:t>273</w:t>
      </w:r>
    </w:p>
    <w:p w:rsidR="00C157C8" w:rsidRPr="00C157C8" w:rsidRDefault="00C157C8">
      <w:pPr>
        <w:pStyle w:val="Index2"/>
        <w:rPr>
          <w:rtl/>
        </w:rPr>
      </w:pPr>
      <w:r w:rsidRPr="00C157C8">
        <w:rPr>
          <w:rtl/>
          <w:lang w:bidi="he-IL"/>
        </w:rPr>
        <w:t>החילוק שבין דגים שעלו בקערה לצנון שחתכו בסכין</w:t>
      </w:r>
      <w:r w:rsidRPr="00C157C8">
        <w:rPr>
          <w:rtl/>
        </w:rPr>
        <w:tab/>
        <w:t>149</w:t>
      </w:r>
    </w:p>
    <w:p w:rsidR="00C157C8" w:rsidRPr="00C157C8" w:rsidRDefault="00C157C8">
      <w:pPr>
        <w:pStyle w:val="Index2"/>
        <w:rPr>
          <w:rtl/>
        </w:rPr>
      </w:pPr>
      <w:r w:rsidRPr="00C157C8">
        <w:rPr>
          <w:rtl/>
          <w:lang w:bidi="he-IL"/>
        </w:rPr>
        <w:t>הכניס כף חלבי לקדרה של ירקות ולאחר מכן כף בשרי</w:t>
      </w:r>
      <w:r w:rsidRPr="00C157C8">
        <w:rPr>
          <w:rtl/>
        </w:rPr>
        <w:tab/>
        <w:t>254</w:t>
      </w:r>
    </w:p>
    <w:p w:rsidR="00C157C8" w:rsidRPr="00C157C8" w:rsidRDefault="00C157C8">
      <w:pPr>
        <w:pStyle w:val="Index2"/>
        <w:rPr>
          <w:rtl/>
        </w:rPr>
      </w:pPr>
      <w:r w:rsidRPr="00C157C8">
        <w:rPr>
          <w:rtl/>
          <w:lang w:bidi="he-IL"/>
        </w:rPr>
        <w:t>הערה מדברי רש</w:t>
      </w:r>
      <w:r w:rsidRPr="00C157C8">
        <w:rPr>
          <w:rtl/>
        </w:rPr>
        <w:t>"</w:t>
      </w:r>
      <w:r w:rsidRPr="00C157C8">
        <w:rPr>
          <w:rtl/>
          <w:lang w:bidi="he-IL"/>
        </w:rPr>
        <w:t>י בחולין דף קט</w:t>
      </w:r>
      <w:r w:rsidRPr="00C157C8">
        <w:rPr>
          <w:rtl/>
        </w:rPr>
        <w:t>"</w:t>
      </w:r>
      <w:r w:rsidRPr="00C157C8">
        <w:rPr>
          <w:rtl/>
          <w:lang w:bidi="he-IL"/>
        </w:rPr>
        <w:t>ז</w:t>
      </w:r>
      <w:r w:rsidRPr="00C157C8">
        <w:rPr>
          <w:rtl/>
        </w:rPr>
        <w:tab/>
        <w:t>188</w:t>
      </w:r>
    </w:p>
    <w:p w:rsidR="00C157C8" w:rsidRPr="00C157C8" w:rsidRDefault="00C157C8">
      <w:pPr>
        <w:pStyle w:val="Index2"/>
        <w:rPr>
          <w:rtl/>
        </w:rPr>
      </w:pPr>
      <w:r w:rsidRPr="00C157C8">
        <w:rPr>
          <w:rtl/>
          <w:lang w:bidi="he-IL"/>
        </w:rPr>
        <w:t>לכתחילה</w:t>
      </w:r>
      <w:r w:rsidRPr="00C157C8">
        <w:rPr>
          <w:rtl/>
        </w:rPr>
        <w:tab/>
        <w:t>268</w:t>
      </w:r>
    </w:p>
    <w:p w:rsidR="00C157C8" w:rsidRPr="00C157C8" w:rsidRDefault="00C157C8">
      <w:pPr>
        <w:pStyle w:val="Index2"/>
        <w:rPr>
          <w:rtl/>
        </w:rPr>
      </w:pPr>
      <w:r w:rsidRPr="00C157C8">
        <w:rPr>
          <w:rtl/>
          <w:lang w:bidi="he-IL"/>
        </w:rPr>
        <w:t xml:space="preserve">לכתחילה </w:t>
      </w:r>
      <w:r w:rsidRPr="00C157C8">
        <w:rPr>
          <w:rtl/>
        </w:rPr>
        <w:t xml:space="preserve">- </w:t>
      </w:r>
      <w:r w:rsidRPr="00C157C8">
        <w:rPr>
          <w:rtl/>
          <w:lang w:bidi="he-IL"/>
        </w:rPr>
        <w:t>בכלי שאינו בן יומו</w:t>
      </w:r>
      <w:r w:rsidRPr="00C157C8">
        <w:rPr>
          <w:rtl/>
        </w:rPr>
        <w:tab/>
        <w:t>269</w:t>
      </w:r>
    </w:p>
    <w:p w:rsidR="00C157C8" w:rsidRPr="00C157C8" w:rsidRDefault="00C157C8">
      <w:pPr>
        <w:pStyle w:val="Index2"/>
        <w:rPr>
          <w:rtl/>
        </w:rPr>
      </w:pPr>
      <w:r w:rsidRPr="00C157C8">
        <w:rPr>
          <w:rtl/>
          <w:lang w:bidi="he-IL"/>
        </w:rPr>
        <w:t>מה נחשב נ</w:t>
      </w:r>
      <w:r w:rsidRPr="00C157C8">
        <w:rPr>
          <w:rtl/>
        </w:rPr>
        <w:t>"</w:t>
      </w:r>
      <w:r w:rsidRPr="00C157C8">
        <w:rPr>
          <w:rtl/>
          <w:lang w:bidi="he-IL"/>
        </w:rPr>
        <w:t>ט בר נ</w:t>
      </w:r>
      <w:r w:rsidRPr="00C157C8">
        <w:rPr>
          <w:rtl/>
        </w:rPr>
        <w:t>"</w:t>
      </w:r>
      <w:r w:rsidRPr="00C157C8">
        <w:rPr>
          <w:rtl/>
          <w:lang w:bidi="he-IL"/>
        </w:rPr>
        <w:t>ט</w:t>
      </w:r>
      <w:r w:rsidRPr="00C157C8">
        <w:rPr>
          <w:rtl/>
        </w:rPr>
        <w:tab/>
        <w:t>147</w:t>
      </w:r>
    </w:p>
    <w:p w:rsidR="00C157C8" w:rsidRPr="00C157C8" w:rsidRDefault="00C157C8">
      <w:pPr>
        <w:pStyle w:val="Index2"/>
        <w:rPr>
          <w:rtl/>
        </w:rPr>
      </w:pPr>
      <w:r w:rsidRPr="00C157C8">
        <w:rPr>
          <w:rtl/>
          <w:lang w:bidi="he-IL"/>
        </w:rPr>
        <w:t>נטל</w:t>
      </w:r>
      <w:r w:rsidRPr="00C157C8">
        <w:rPr>
          <w:rtl/>
        </w:rPr>
        <w:t>"</w:t>
      </w:r>
      <w:r w:rsidRPr="00C157C8">
        <w:rPr>
          <w:rtl/>
          <w:lang w:bidi="he-IL"/>
        </w:rPr>
        <w:t>פ במאכל א</w:t>
      </w:r>
      <w:r w:rsidRPr="00C157C8">
        <w:rPr>
          <w:rtl/>
        </w:rPr>
        <w:t xml:space="preserve">' </w:t>
      </w:r>
      <w:r w:rsidRPr="00C157C8">
        <w:rPr>
          <w:rtl/>
          <w:lang w:bidi="he-IL"/>
        </w:rPr>
        <w:t>ושוב נכנס למאכל שבה אינו לפגם</w:t>
      </w:r>
      <w:r w:rsidRPr="00C157C8">
        <w:rPr>
          <w:rtl/>
        </w:rPr>
        <w:tab/>
        <w:t>358</w:t>
      </w:r>
    </w:p>
    <w:p w:rsidR="00C157C8" w:rsidRPr="00C157C8" w:rsidRDefault="00C157C8">
      <w:pPr>
        <w:pStyle w:val="Index2"/>
        <w:rPr>
          <w:rtl/>
        </w:rPr>
      </w:pPr>
      <w:r w:rsidRPr="00C157C8">
        <w:rPr>
          <w:rtl/>
          <w:lang w:bidi="he-IL"/>
        </w:rPr>
        <w:t>נקודות שדנו בה</w:t>
      </w:r>
      <w:r w:rsidRPr="00C157C8">
        <w:rPr>
          <w:rtl/>
        </w:rPr>
        <w:tab/>
        <w:t>265</w:t>
      </w:r>
    </w:p>
    <w:p w:rsidR="00C157C8" w:rsidRPr="00C157C8" w:rsidRDefault="00C157C8">
      <w:pPr>
        <w:pStyle w:val="Index2"/>
        <w:rPr>
          <w:rtl/>
        </w:rPr>
      </w:pPr>
      <w:r w:rsidRPr="00C157C8">
        <w:rPr>
          <w:rtl/>
          <w:lang w:bidi="he-IL"/>
        </w:rPr>
        <w:t>סוגיית הגמ</w:t>
      </w:r>
      <w:r w:rsidRPr="00C157C8">
        <w:rPr>
          <w:rtl/>
        </w:rPr>
        <w:t>'</w:t>
      </w:r>
      <w:r w:rsidRPr="00C157C8">
        <w:rPr>
          <w:rtl/>
        </w:rPr>
        <w:tab/>
        <w:t>147</w:t>
      </w:r>
    </w:p>
    <w:p w:rsidR="00C157C8" w:rsidRPr="00C157C8" w:rsidRDefault="00C157C8">
      <w:pPr>
        <w:pStyle w:val="Index1"/>
        <w:rPr>
          <w:rtl/>
        </w:rPr>
      </w:pPr>
      <w:r w:rsidRPr="00C157C8">
        <w:rPr>
          <w:rtl/>
          <w:lang w:bidi="he-IL"/>
        </w:rPr>
        <w:t>נבילה שאינה ראוי</w:t>
      </w:r>
      <w:r w:rsidRPr="00C157C8">
        <w:rPr>
          <w:rtl/>
        </w:rPr>
        <w:t xml:space="preserve">' </w:t>
      </w:r>
      <w:r w:rsidRPr="00C157C8">
        <w:rPr>
          <w:rtl/>
          <w:lang w:bidi="he-IL"/>
        </w:rPr>
        <w:t>לגר</w:t>
      </w:r>
      <w:r w:rsidRPr="00C157C8">
        <w:rPr>
          <w:rtl/>
        </w:rPr>
        <w:tab/>
      </w:r>
      <w:r w:rsidRPr="00C157C8">
        <w:rPr>
          <w:i/>
          <w:rtl/>
          <w:lang w:bidi="he-IL"/>
        </w:rPr>
        <w:t>ע</w:t>
      </w:r>
      <w:r w:rsidRPr="00C157C8">
        <w:rPr>
          <w:i/>
          <w:rtl/>
        </w:rPr>
        <w:t xml:space="preserve">' </w:t>
      </w:r>
      <w:r w:rsidRPr="00C157C8">
        <w:rPr>
          <w:i/>
          <w:rtl/>
          <w:lang w:bidi="he-IL"/>
        </w:rPr>
        <w:t>נותן טעם לפגם</w:t>
      </w:r>
    </w:p>
    <w:p w:rsidR="00C157C8" w:rsidRPr="00C157C8" w:rsidRDefault="00C157C8">
      <w:pPr>
        <w:pStyle w:val="Index1"/>
        <w:rPr>
          <w:rtl/>
        </w:rPr>
      </w:pPr>
      <w:r w:rsidRPr="00C157C8">
        <w:rPr>
          <w:rtl/>
          <w:lang w:bidi="he-IL"/>
        </w:rPr>
        <w:t>נגיעת אוכל באוכל</w:t>
      </w:r>
    </w:p>
    <w:p w:rsidR="00C157C8" w:rsidRPr="00C157C8" w:rsidRDefault="00C157C8">
      <w:pPr>
        <w:pStyle w:val="Index2"/>
        <w:rPr>
          <w:rtl/>
        </w:rPr>
      </w:pPr>
      <w:r w:rsidRPr="00C157C8">
        <w:rPr>
          <w:rtl/>
          <w:lang w:bidi="he-IL"/>
        </w:rPr>
        <w:t>ככר שחתך עליו בשר</w:t>
      </w:r>
      <w:r w:rsidRPr="00C157C8">
        <w:rPr>
          <w:rtl/>
        </w:rPr>
        <w:tab/>
        <w:t>416</w:t>
      </w:r>
    </w:p>
    <w:p w:rsidR="00C157C8" w:rsidRPr="00C157C8" w:rsidRDefault="00C157C8">
      <w:pPr>
        <w:pStyle w:val="Index2"/>
        <w:rPr>
          <w:rtl/>
        </w:rPr>
      </w:pPr>
      <w:r w:rsidRPr="00C157C8">
        <w:rPr>
          <w:rtl/>
          <w:lang w:bidi="he-IL"/>
        </w:rPr>
        <w:t>צלי שנפל לכותח הנאכל מחמת מלחו</w:t>
      </w:r>
      <w:r w:rsidRPr="00C157C8">
        <w:rPr>
          <w:rtl/>
        </w:rPr>
        <w:tab/>
        <w:t>419</w:t>
      </w:r>
    </w:p>
    <w:p w:rsidR="00C157C8" w:rsidRPr="00C157C8" w:rsidRDefault="00C157C8">
      <w:pPr>
        <w:pStyle w:val="Index1"/>
        <w:rPr>
          <w:rtl/>
        </w:rPr>
      </w:pPr>
      <w:r w:rsidRPr="00C157C8">
        <w:rPr>
          <w:rtl/>
          <w:lang w:bidi="he-IL"/>
        </w:rPr>
        <w:t>נגיעת אוכל האוכל</w:t>
      </w:r>
    </w:p>
    <w:p w:rsidR="00C157C8" w:rsidRPr="00C157C8" w:rsidRDefault="00C157C8">
      <w:pPr>
        <w:pStyle w:val="Index2"/>
        <w:rPr>
          <w:rtl/>
        </w:rPr>
      </w:pPr>
      <w:r w:rsidRPr="00C157C8">
        <w:rPr>
          <w:rtl/>
          <w:lang w:bidi="he-IL"/>
        </w:rPr>
        <w:t>כשיש פילי</w:t>
      </w:r>
      <w:r w:rsidRPr="00C157C8">
        <w:rPr>
          <w:rtl/>
        </w:rPr>
        <w:tab/>
        <w:t>421</w:t>
      </w:r>
    </w:p>
    <w:p w:rsidR="00C157C8" w:rsidRPr="00C157C8" w:rsidRDefault="00C157C8">
      <w:pPr>
        <w:pStyle w:val="Index1"/>
        <w:rPr>
          <w:rtl/>
        </w:rPr>
      </w:pPr>
      <w:r w:rsidRPr="00C157C8">
        <w:rPr>
          <w:rtl/>
          <w:lang w:bidi="he-IL"/>
        </w:rPr>
        <w:t>נגעו מאכלים זו בזו</w:t>
      </w:r>
    </w:p>
    <w:p w:rsidR="00C157C8" w:rsidRPr="00C157C8" w:rsidRDefault="00C157C8">
      <w:pPr>
        <w:pStyle w:val="Index2"/>
        <w:rPr>
          <w:rtl/>
        </w:rPr>
      </w:pPr>
      <w:r w:rsidRPr="00C157C8">
        <w:rPr>
          <w:rtl/>
          <w:lang w:bidi="he-IL"/>
        </w:rPr>
        <w:t>חיוב הדחה</w:t>
      </w:r>
      <w:r w:rsidRPr="00C157C8">
        <w:rPr>
          <w:rtl/>
        </w:rPr>
        <w:tab/>
        <w:t>383</w:t>
      </w:r>
    </w:p>
    <w:p w:rsidR="00C157C8" w:rsidRPr="00C157C8" w:rsidRDefault="00C157C8">
      <w:pPr>
        <w:pStyle w:val="Index1"/>
        <w:rPr>
          <w:rtl/>
        </w:rPr>
      </w:pPr>
      <w:r w:rsidRPr="00C157C8">
        <w:rPr>
          <w:rtl/>
          <w:lang w:bidi="he-IL"/>
        </w:rPr>
        <w:lastRenderedPageBreak/>
        <w:t>נותן טעם בר נותן טעם</w:t>
      </w:r>
      <w:r w:rsidRPr="00C157C8">
        <w:rPr>
          <w:rtl/>
        </w:rPr>
        <w:tab/>
      </w:r>
      <w:r w:rsidRPr="00C157C8">
        <w:rPr>
          <w:i/>
          <w:rtl/>
          <w:lang w:bidi="he-IL"/>
        </w:rPr>
        <w:t>ע</w:t>
      </w:r>
      <w:r w:rsidRPr="00C157C8">
        <w:rPr>
          <w:i/>
          <w:rtl/>
        </w:rPr>
        <w:t xml:space="preserve">' </w:t>
      </w:r>
      <w:r w:rsidRPr="00C157C8">
        <w:rPr>
          <w:i/>
          <w:rtl/>
          <w:lang w:bidi="he-IL"/>
        </w:rPr>
        <w:t>נ</w:t>
      </w:r>
      <w:r w:rsidRPr="00C157C8">
        <w:rPr>
          <w:i/>
          <w:rtl/>
        </w:rPr>
        <w:t>'</w:t>
      </w:r>
      <w:r w:rsidRPr="00C157C8">
        <w:rPr>
          <w:i/>
          <w:rtl/>
          <w:lang w:bidi="he-IL"/>
        </w:rPr>
        <w:t>ט בר נ</w:t>
      </w:r>
      <w:r w:rsidRPr="00C157C8">
        <w:rPr>
          <w:i/>
          <w:rtl/>
        </w:rPr>
        <w:t>'</w:t>
      </w:r>
      <w:r w:rsidRPr="00C157C8">
        <w:rPr>
          <w:i/>
          <w:rtl/>
          <w:lang w:bidi="he-IL"/>
        </w:rPr>
        <w:t>ט</w:t>
      </w:r>
    </w:p>
    <w:p w:rsidR="00C157C8" w:rsidRPr="00C157C8" w:rsidRDefault="00C157C8">
      <w:pPr>
        <w:pStyle w:val="Index1"/>
        <w:rPr>
          <w:rtl/>
        </w:rPr>
      </w:pPr>
      <w:r w:rsidRPr="00C157C8">
        <w:rPr>
          <w:rtl/>
          <w:lang w:bidi="he-IL"/>
        </w:rPr>
        <w:t>נותן טעם לפגם</w:t>
      </w:r>
      <w:r w:rsidRPr="00C157C8">
        <w:rPr>
          <w:rtl/>
        </w:rPr>
        <w:tab/>
      </w:r>
      <w:r w:rsidRPr="00C157C8">
        <w:rPr>
          <w:i/>
          <w:rtl/>
          <w:lang w:bidi="he-IL"/>
        </w:rPr>
        <w:t>ע</w:t>
      </w:r>
      <w:r w:rsidRPr="00C157C8">
        <w:rPr>
          <w:i/>
          <w:rtl/>
        </w:rPr>
        <w:t xml:space="preserve">' </w:t>
      </w:r>
      <w:r w:rsidRPr="00C157C8">
        <w:rPr>
          <w:i/>
          <w:rtl/>
          <w:lang w:bidi="he-IL"/>
        </w:rPr>
        <w:t>גם כלי שאינו בן יומו</w:t>
      </w:r>
    </w:p>
    <w:p w:rsidR="00C157C8" w:rsidRPr="00C157C8" w:rsidRDefault="00C157C8">
      <w:pPr>
        <w:pStyle w:val="Index2"/>
        <w:rPr>
          <w:rtl/>
        </w:rPr>
      </w:pPr>
      <w:r w:rsidRPr="00C157C8">
        <w:rPr>
          <w:rtl/>
          <w:lang w:bidi="he-IL"/>
        </w:rPr>
        <w:t>אימרטוטי אימרטט</w:t>
      </w:r>
      <w:r w:rsidRPr="00C157C8">
        <w:rPr>
          <w:rtl/>
        </w:rPr>
        <w:tab/>
        <w:t>146</w:t>
      </w:r>
    </w:p>
    <w:p w:rsidR="00C157C8" w:rsidRPr="00C157C8" w:rsidRDefault="00C157C8">
      <w:pPr>
        <w:pStyle w:val="Index2"/>
        <w:rPr>
          <w:rtl/>
        </w:rPr>
      </w:pPr>
      <w:r w:rsidRPr="00C157C8">
        <w:rPr>
          <w:rtl/>
          <w:lang w:bidi="he-IL"/>
        </w:rPr>
        <w:t>אינו פגום מעצמו ופוגם תבשיל ושוב נכנס לתוך כלי</w:t>
      </w:r>
      <w:r w:rsidRPr="00C157C8">
        <w:rPr>
          <w:rtl/>
        </w:rPr>
        <w:tab/>
        <w:t>358</w:t>
      </w:r>
    </w:p>
    <w:p w:rsidR="00C157C8" w:rsidRPr="00C157C8" w:rsidRDefault="00C157C8">
      <w:pPr>
        <w:pStyle w:val="Index2"/>
        <w:rPr>
          <w:rtl/>
        </w:rPr>
      </w:pPr>
      <w:r w:rsidRPr="00C157C8">
        <w:rPr>
          <w:rtl/>
          <w:lang w:bidi="he-IL"/>
        </w:rPr>
        <w:t>בבשר בחלב</w:t>
      </w:r>
      <w:r w:rsidRPr="00C157C8">
        <w:rPr>
          <w:rtl/>
        </w:rPr>
        <w:tab/>
        <w:t>136</w:t>
      </w:r>
    </w:p>
    <w:p w:rsidR="00C157C8" w:rsidRPr="00C157C8" w:rsidRDefault="00C157C8">
      <w:pPr>
        <w:pStyle w:val="Index2"/>
        <w:rPr>
          <w:rtl/>
        </w:rPr>
      </w:pPr>
      <w:r w:rsidRPr="00C157C8">
        <w:rPr>
          <w:rtl/>
          <w:lang w:bidi="he-IL"/>
        </w:rPr>
        <w:t>בדברים האוסרים במשהו</w:t>
      </w:r>
      <w:r w:rsidRPr="00C157C8">
        <w:rPr>
          <w:rtl/>
        </w:rPr>
        <w:tab/>
        <w:t>118</w:t>
      </w:r>
    </w:p>
    <w:p w:rsidR="00C157C8" w:rsidRPr="00C157C8" w:rsidRDefault="00C157C8">
      <w:pPr>
        <w:pStyle w:val="Index2"/>
        <w:rPr>
          <w:rtl/>
        </w:rPr>
      </w:pPr>
      <w:r w:rsidRPr="00C157C8">
        <w:rPr>
          <w:rtl/>
          <w:lang w:bidi="he-IL"/>
        </w:rPr>
        <w:t>ביאור הסוגיא דההוא עכברא</w:t>
      </w:r>
      <w:r w:rsidRPr="00C157C8">
        <w:rPr>
          <w:rtl/>
        </w:rPr>
        <w:tab/>
        <w:t>144</w:t>
      </w:r>
    </w:p>
    <w:p w:rsidR="00C157C8" w:rsidRPr="00C157C8" w:rsidRDefault="00C157C8">
      <w:pPr>
        <w:pStyle w:val="Index2"/>
        <w:rPr>
          <w:rtl/>
        </w:rPr>
      </w:pPr>
      <w:r w:rsidRPr="00C157C8">
        <w:rPr>
          <w:rtl/>
          <w:lang w:bidi="he-IL"/>
        </w:rPr>
        <w:t>בישל מים בכלי שאינו בן יומו</w:t>
      </w:r>
      <w:r w:rsidRPr="00C157C8">
        <w:rPr>
          <w:rtl/>
        </w:rPr>
        <w:tab/>
        <w:t>140, 259, 262, 534</w:t>
      </w:r>
    </w:p>
    <w:p w:rsidR="00C157C8" w:rsidRPr="00C157C8" w:rsidRDefault="00C157C8">
      <w:pPr>
        <w:pStyle w:val="Index2"/>
        <w:rPr>
          <w:rtl/>
        </w:rPr>
      </w:pPr>
      <w:r w:rsidRPr="00C157C8">
        <w:rPr>
          <w:rtl/>
          <w:lang w:bidi="he-IL"/>
        </w:rPr>
        <w:t>במאכל שנכנס בה ראשון ולא במאכל השני</w:t>
      </w:r>
      <w:r w:rsidRPr="00C157C8">
        <w:rPr>
          <w:rtl/>
        </w:rPr>
        <w:tab/>
        <w:t>358</w:t>
      </w:r>
    </w:p>
    <w:p w:rsidR="00C157C8" w:rsidRPr="00C157C8" w:rsidRDefault="00C157C8">
      <w:pPr>
        <w:pStyle w:val="Index2"/>
        <w:rPr>
          <w:rtl/>
        </w:rPr>
      </w:pPr>
      <w:r w:rsidRPr="00C157C8">
        <w:rPr>
          <w:rtl/>
          <w:lang w:bidi="he-IL"/>
        </w:rPr>
        <w:t>במאכלים הפגומים מתחילת ברייתן</w:t>
      </w:r>
      <w:r w:rsidRPr="00C157C8">
        <w:rPr>
          <w:rtl/>
        </w:rPr>
        <w:tab/>
        <w:t>365</w:t>
      </w:r>
    </w:p>
    <w:p w:rsidR="00C157C8" w:rsidRPr="00C157C8" w:rsidRDefault="00C157C8">
      <w:pPr>
        <w:pStyle w:val="Index2"/>
        <w:rPr>
          <w:rtl/>
        </w:rPr>
      </w:pPr>
      <w:r w:rsidRPr="00C157C8">
        <w:rPr>
          <w:rtl/>
          <w:lang w:bidi="he-IL"/>
        </w:rPr>
        <w:t>ברי</w:t>
      </w:r>
      <w:r w:rsidRPr="00C157C8">
        <w:rPr>
          <w:rtl/>
        </w:rPr>
        <w:t xml:space="preserve">' </w:t>
      </w:r>
      <w:r w:rsidRPr="00C157C8">
        <w:rPr>
          <w:rtl/>
          <w:lang w:bidi="he-IL"/>
        </w:rPr>
        <w:t>פגומה</w:t>
      </w:r>
      <w:r w:rsidRPr="00C157C8">
        <w:rPr>
          <w:rtl/>
        </w:rPr>
        <w:tab/>
        <w:t>357</w:t>
      </w:r>
    </w:p>
    <w:p w:rsidR="00C157C8" w:rsidRPr="00C157C8" w:rsidRDefault="00C157C8">
      <w:pPr>
        <w:pStyle w:val="Index2"/>
        <w:rPr>
          <w:rtl/>
        </w:rPr>
      </w:pPr>
      <w:r w:rsidRPr="00C157C8">
        <w:rPr>
          <w:rtl/>
          <w:lang w:bidi="he-IL"/>
        </w:rPr>
        <w:t>בתערובת חמץ</w:t>
      </w:r>
      <w:r w:rsidRPr="00C157C8">
        <w:rPr>
          <w:rtl/>
        </w:rPr>
        <w:tab/>
        <w:t>435</w:t>
      </w:r>
    </w:p>
    <w:p w:rsidR="00C157C8" w:rsidRPr="00C157C8" w:rsidRDefault="00C157C8">
      <w:pPr>
        <w:pStyle w:val="Index2"/>
        <w:rPr>
          <w:rtl/>
        </w:rPr>
      </w:pPr>
      <w:r w:rsidRPr="00C157C8">
        <w:rPr>
          <w:rtl/>
          <w:lang w:bidi="he-IL"/>
        </w:rPr>
        <w:t>גדר של טעם לפגם</w:t>
      </w:r>
      <w:r w:rsidRPr="00C157C8">
        <w:rPr>
          <w:rtl/>
        </w:rPr>
        <w:tab/>
        <w:t>360</w:t>
      </w:r>
    </w:p>
    <w:p w:rsidR="00C157C8" w:rsidRPr="00C157C8" w:rsidRDefault="00C157C8">
      <w:pPr>
        <w:pStyle w:val="Index2"/>
        <w:rPr>
          <w:rtl/>
        </w:rPr>
      </w:pPr>
      <w:r w:rsidRPr="00C157C8">
        <w:rPr>
          <w:rtl/>
          <w:lang w:bidi="he-IL"/>
        </w:rPr>
        <w:t>דברים המאוסים</w:t>
      </w:r>
      <w:r w:rsidRPr="00C157C8">
        <w:rPr>
          <w:rtl/>
        </w:rPr>
        <w:tab/>
        <w:t>368</w:t>
      </w:r>
    </w:p>
    <w:p w:rsidR="00C157C8" w:rsidRPr="00C157C8" w:rsidRDefault="00C157C8">
      <w:pPr>
        <w:pStyle w:val="Index2"/>
        <w:rPr>
          <w:rtl/>
        </w:rPr>
      </w:pPr>
      <w:r w:rsidRPr="00C157C8">
        <w:rPr>
          <w:rtl/>
          <w:lang w:bidi="he-IL"/>
        </w:rPr>
        <w:t xml:space="preserve">דברים המאוסים </w:t>
      </w:r>
      <w:r w:rsidRPr="00C157C8">
        <w:rPr>
          <w:rtl/>
        </w:rPr>
        <w:t xml:space="preserve">- </w:t>
      </w:r>
      <w:r w:rsidRPr="00C157C8">
        <w:rPr>
          <w:rtl/>
          <w:lang w:bidi="he-IL"/>
        </w:rPr>
        <w:t>השייך לשיטת הר</w:t>
      </w:r>
      <w:r w:rsidRPr="00C157C8">
        <w:rPr>
          <w:rtl/>
        </w:rPr>
        <w:t>"</w:t>
      </w:r>
      <w:r w:rsidRPr="00C157C8">
        <w:rPr>
          <w:rtl/>
          <w:lang w:bidi="he-IL"/>
        </w:rPr>
        <w:t>ן בהיתירא דנטל</w:t>
      </w:r>
      <w:r w:rsidRPr="00C157C8">
        <w:rPr>
          <w:rtl/>
        </w:rPr>
        <w:t>"</w:t>
      </w:r>
      <w:r w:rsidRPr="00C157C8">
        <w:rPr>
          <w:rtl/>
          <w:lang w:bidi="he-IL"/>
        </w:rPr>
        <w:t>פ</w:t>
      </w:r>
      <w:r w:rsidRPr="00C157C8">
        <w:rPr>
          <w:rtl/>
        </w:rPr>
        <w:tab/>
        <w:t>368</w:t>
      </w:r>
    </w:p>
    <w:p w:rsidR="00C157C8" w:rsidRPr="00C157C8" w:rsidRDefault="00C157C8">
      <w:pPr>
        <w:pStyle w:val="Index2"/>
        <w:rPr>
          <w:rtl/>
        </w:rPr>
      </w:pPr>
      <w:r w:rsidRPr="00C157C8">
        <w:rPr>
          <w:rtl/>
          <w:lang w:bidi="he-IL"/>
        </w:rPr>
        <w:t>דברים המאוסים בשאר משקים</w:t>
      </w:r>
      <w:r w:rsidRPr="00C157C8">
        <w:rPr>
          <w:rtl/>
        </w:rPr>
        <w:tab/>
        <w:t>367</w:t>
      </w:r>
    </w:p>
    <w:p w:rsidR="00C157C8" w:rsidRPr="00C157C8" w:rsidRDefault="00C157C8">
      <w:pPr>
        <w:pStyle w:val="Index2"/>
        <w:rPr>
          <w:rtl/>
        </w:rPr>
      </w:pPr>
      <w:r w:rsidRPr="00C157C8">
        <w:rPr>
          <w:rtl/>
          <w:lang w:bidi="he-IL"/>
        </w:rPr>
        <w:t>דין מים שיש בהם בליעות שטעמם לפגם</w:t>
      </w:r>
      <w:r w:rsidRPr="00C157C8">
        <w:rPr>
          <w:rtl/>
        </w:rPr>
        <w:tab/>
        <w:t>274, 275</w:t>
      </w:r>
    </w:p>
    <w:p w:rsidR="00C157C8" w:rsidRPr="00C157C8" w:rsidRDefault="00C157C8">
      <w:pPr>
        <w:pStyle w:val="Index2"/>
        <w:rPr>
          <w:rtl/>
        </w:rPr>
      </w:pPr>
      <w:r w:rsidRPr="00C157C8">
        <w:rPr>
          <w:rtl/>
          <w:lang w:bidi="he-IL"/>
        </w:rPr>
        <w:t>הקדמה</w:t>
      </w:r>
      <w:r w:rsidRPr="00C157C8">
        <w:rPr>
          <w:rtl/>
        </w:rPr>
        <w:tab/>
        <w:t>357</w:t>
      </w:r>
    </w:p>
    <w:p w:rsidR="00C157C8" w:rsidRPr="00C157C8" w:rsidRDefault="00C157C8">
      <w:pPr>
        <w:pStyle w:val="Index2"/>
        <w:rPr>
          <w:rtl/>
        </w:rPr>
      </w:pPr>
      <w:r w:rsidRPr="00C157C8">
        <w:rPr>
          <w:rtl/>
          <w:lang w:bidi="he-IL"/>
        </w:rPr>
        <w:t>השביח ולבסוף פגם</w:t>
      </w:r>
      <w:r w:rsidRPr="00C157C8">
        <w:rPr>
          <w:rtl/>
        </w:rPr>
        <w:tab/>
        <w:t>132, 144, 360</w:t>
      </w:r>
    </w:p>
    <w:p w:rsidR="00C157C8" w:rsidRPr="00C157C8" w:rsidRDefault="00C157C8">
      <w:pPr>
        <w:pStyle w:val="Index2"/>
        <w:rPr>
          <w:rtl/>
        </w:rPr>
      </w:pPr>
      <w:r w:rsidRPr="00C157C8">
        <w:rPr>
          <w:rtl/>
          <w:lang w:bidi="he-IL"/>
        </w:rPr>
        <w:t>זבוב במרק</w:t>
      </w:r>
      <w:r w:rsidRPr="00C157C8">
        <w:rPr>
          <w:rtl/>
        </w:rPr>
        <w:tab/>
        <w:t>372</w:t>
      </w:r>
    </w:p>
    <w:p w:rsidR="00C157C8" w:rsidRPr="00C157C8" w:rsidRDefault="00C157C8">
      <w:pPr>
        <w:pStyle w:val="Index2"/>
        <w:rPr>
          <w:rtl/>
        </w:rPr>
      </w:pPr>
      <w:r w:rsidRPr="00C157C8">
        <w:rPr>
          <w:rtl/>
          <w:lang w:bidi="he-IL"/>
        </w:rPr>
        <w:t>חידוש בשיטת הר</w:t>
      </w:r>
      <w:r w:rsidRPr="00C157C8">
        <w:rPr>
          <w:rtl/>
        </w:rPr>
        <w:t>"</w:t>
      </w:r>
      <w:r w:rsidRPr="00C157C8">
        <w:rPr>
          <w:rtl/>
          <w:lang w:bidi="he-IL"/>
        </w:rPr>
        <w:t>ן</w:t>
      </w:r>
      <w:r w:rsidRPr="00C157C8">
        <w:rPr>
          <w:rtl/>
        </w:rPr>
        <w:tab/>
        <w:t>142</w:t>
      </w:r>
    </w:p>
    <w:p w:rsidR="00C157C8" w:rsidRPr="00C157C8" w:rsidRDefault="00C157C8">
      <w:pPr>
        <w:pStyle w:val="Index2"/>
        <w:rPr>
          <w:rtl/>
        </w:rPr>
      </w:pPr>
      <w:r w:rsidRPr="00C157C8">
        <w:rPr>
          <w:rtl/>
          <w:lang w:bidi="he-IL"/>
        </w:rPr>
        <w:t>כשאינו לא שבח ולא לפגם</w:t>
      </w:r>
      <w:r w:rsidRPr="00C157C8">
        <w:rPr>
          <w:rtl/>
        </w:rPr>
        <w:tab/>
        <w:t>358</w:t>
      </w:r>
    </w:p>
    <w:p w:rsidR="00C157C8" w:rsidRPr="00C157C8" w:rsidRDefault="00C157C8">
      <w:pPr>
        <w:pStyle w:val="Index2"/>
        <w:rPr>
          <w:rtl/>
        </w:rPr>
      </w:pPr>
      <w:r w:rsidRPr="00C157C8">
        <w:rPr>
          <w:rtl/>
          <w:lang w:bidi="he-IL"/>
        </w:rPr>
        <w:t>כשיש אפר במים</w:t>
      </w:r>
      <w:r w:rsidRPr="00C157C8">
        <w:rPr>
          <w:rtl/>
        </w:rPr>
        <w:tab/>
        <w:t>277</w:t>
      </w:r>
    </w:p>
    <w:p w:rsidR="00C157C8" w:rsidRPr="00C157C8" w:rsidRDefault="00C157C8">
      <w:pPr>
        <w:pStyle w:val="Index2"/>
        <w:rPr>
          <w:rtl/>
        </w:rPr>
      </w:pPr>
      <w:r w:rsidRPr="00C157C8">
        <w:rPr>
          <w:rtl/>
          <w:lang w:bidi="he-IL"/>
        </w:rPr>
        <w:t>מחלוקת רשב</w:t>
      </w:r>
      <w:r w:rsidRPr="00C157C8">
        <w:rPr>
          <w:rtl/>
        </w:rPr>
        <w:t>"</w:t>
      </w:r>
      <w:r w:rsidRPr="00C157C8">
        <w:rPr>
          <w:rtl/>
          <w:lang w:bidi="he-IL"/>
        </w:rPr>
        <w:t>א ור</w:t>
      </w:r>
      <w:r w:rsidRPr="00C157C8">
        <w:rPr>
          <w:rtl/>
        </w:rPr>
        <w:t>"</w:t>
      </w:r>
      <w:r w:rsidRPr="00C157C8">
        <w:rPr>
          <w:rtl/>
          <w:lang w:bidi="he-IL"/>
        </w:rPr>
        <w:t>ן בטעם ההיתר</w:t>
      </w:r>
      <w:r w:rsidRPr="00C157C8">
        <w:rPr>
          <w:rtl/>
        </w:rPr>
        <w:tab/>
        <w:t>118, 135</w:t>
      </w:r>
    </w:p>
    <w:p w:rsidR="00C157C8" w:rsidRPr="00C157C8" w:rsidRDefault="00C157C8">
      <w:pPr>
        <w:pStyle w:val="Index2"/>
        <w:rPr>
          <w:rtl/>
        </w:rPr>
      </w:pPr>
      <w:r w:rsidRPr="00C157C8">
        <w:rPr>
          <w:rtl/>
          <w:lang w:bidi="he-IL"/>
        </w:rPr>
        <w:t>נבילה שאינה ראוי</w:t>
      </w:r>
      <w:r w:rsidRPr="00C157C8">
        <w:rPr>
          <w:rtl/>
        </w:rPr>
        <w:t xml:space="preserve">' </w:t>
      </w:r>
      <w:r w:rsidRPr="00C157C8">
        <w:rPr>
          <w:rtl/>
          <w:lang w:bidi="he-IL"/>
        </w:rPr>
        <w:t xml:space="preserve">לגר </w:t>
      </w:r>
      <w:r w:rsidRPr="00C157C8">
        <w:rPr>
          <w:rtl/>
        </w:rPr>
        <w:t xml:space="preserve">- </w:t>
      </w:r>
      <w:r w:rsidRPr="00C157C8">
        <w:rPr>
          <w:rtl/>
          <w:lang w:bidi="he-IL"/>
        </w:rPr>
        <w:t>אם מותר גם מדרבנן</w:t>
      </w:r>
      <w:r w:rsidRPr="00C157C8">
        <w:rPr>
          <w:rtl/>
        </w:rPr>
        <w:tab/>
        <w:t>364</w:t>
      </w:r>
    </w:p>
    <w:p w:rsidR="00C157C8" w:rsidRPr="00C157C8" w:rsidRDefault="00C157C8">
      <w:pPr>
        <w:pStyle w:val="Index2"/>
        <w:rPr>
          <w:rtl/>
        </w:rPr>
      </w:pPr>
      <w:r w:rsidRPr="00C157C8">
        <w:rPr>
          <w:rtl/>
          <w:lang w:bidi="he-IL"/>
        </w:rPr>
        <w:t>סוגיית הגמ</w:t>
      </w:r>
      <w:r w:rsidRPr="00C157C8">
        <w:rPr>
          <w:rtl/>
        </w:rPr>
        <w:t>'</w:t>
      </w:r>
      <w:r w:rsidRPr="00C157C8">
        <w:rPr>
          <w:rtl/>
        </w:rPr>
        <w:tab/>
        <w:t>134</w:t>
      </w:r>
    </w:p>
    <w:p w:rsidR="00C157C8" w:rsidRPr="00C157C8" w:rsidRDefault="00C157C8">
      <w:pPr>
        <w:pStyle w:val="Index2"/>
        <w:rPr>
          <w:rtl/>
        </w:rPr>
      </w:pPr>
      <w:r w:rsidRPr="00C157C8">
        <w:rPr>
          <w:rtl/>
          <w:lang w:bidi="he-IL"/>
        </w:rPr>
        <w:t>פגם ולבסוף השביח</w:t>
      </w:r>
      <w:r w:rsidRPr="00C157C8">
        <w:rPr>
          <w:rtl/>
        </w:rPr>
        <w:tab/>
        <w:t>360</w:t>
      </w:r>
    </w:p>
    <w:p w:rsidR="00C157C8" w:rsidRPr="00C157C8" w:rsidRDefault="00C157C8">
      <w:pPr>
        <w:pStyle w:val="Index2"/>
        <w:rPr>
          <w:rtl/>
        </w:rPr>
      </w:pPr>
      <w:r w:rsidRPr="00C157C8">
        <w:rPr>
          <w:rtl/>
          <w:lang w:bidi="he-IL"/>
        </w:rPr>
        <w:t>שיטת הרא</w:t>
      </w:r>
      <w:r w:rsidRPr="00C157C8">
        <w:rPr>
          <w:rtl/>
        </w:rPr>
        <w:t>"</w:t>
      </w:r>
      <w:r w:rsidRPr="00C157C8">
        <w:rPr>
          <w:rtl/>
          <w:lang w:bidi="he-IL"/>
        </w:rPr>
        <w:t>ה</w:t>
      </w:r>
      <w:r w:rsidRPr="00C157C8">
        <w:rPr>
          <w:rtl/>
        </w:rPr>
        <w:tab/>
        <w:t>134, 142</w:t>
      </w:r>
    </w:p>
    <w:p w:rsidR="00C157C8" w:rsidRPr="00C157C8" w:rsidRDefault="00C157C8">
      <w:pPr>
        <w:pStyle w:val="Index1"/>
        <w:rPr>
          <w:rtl/>
        </w:rPr>
      </w:pPr>
      <w:r w:rsidRPr="00C157C8">
        <w:rPr>
          <w:rtl/>
          <w:lang w:bidi="he-IL"/>
        </w:rPr>
        <w:t>נטל</w:t>
      </w:r>
      <w:r w:rsidRPr="00C157C8">
        <w:rPr>
          <w:rtl/>
        </w:rPr>
        <w:t>'</w:t>
      </w:r>
      <w:r w:rsidRPr="00C157C8">
        <w:rPr>
          <w:rtl/>
          <w:lang w:bidi="he-IL"/>
        </w:rPr>
        <w:t>פ</w:t>
      </w:r>
      <w:r w:rsidRPr="00C157C8">
        <w:rPr>
          <w:rtl/>
        </w:rPr>
        <w:tab/>
      </w:r>
      <w:r w:rsidRPr="00C157C8">
        <w:rPr>
          <w:i/>
          <w:rtl/>
          <w:lang w:bidi="he-IL"/>
        </w:rPr>
        <w:t>ע</w:t>
      </w:r>
      <w:r w:rsidRPr="00C157C8">
        <w:rPr>
          <w:i/>
          <w:rtl/>
        </w:rPr>
        <w:t xml:space="preserve">' </w:t>
      </w:r>
      <w:r w:rsidRPr="00C157C8">
        <w:rPr>
          <w:i/>
          <w:rtl/>
          <w:lang w:bidi="he-IL"/>
        </w:rPr>
        <w:t>נותן טעם לפגם</w:t>
      </w:r>
    </w:p>
    <w:p w:rsidR="00C157C8" w:rsidRPr="00C157C8" w:rsidRDefault="00C157C8">
      <w:pPr>
        <w:pStyle w:val="Index1"/>
        <w:rPr>
          <w:rtl/>
        </w:rPr>
      </w:pPr>
      <w:r w:rsidRPr="00C157C8">
        <w:rPr>
          <w:rtl/>
          <w:lang w:bidi="he-IL"/>
        </w:rPr>
        <w:t>סוכה</w:t>
      </w:r>
    </w:p>
    <w:p w:rsidR="00C157C8" w:rsidRPr="00C157C8" w:rsidRDefault="00C157C8">
      <w:pPr>
        <w:pStyle w:val="Index2"/>
        <w:rPr>
          <w:rtl/>
        </w:rPr>
      </w:pPr>
      <w:r w:rsidRPr="00C157C8">
        <w:rPr>
          <w:rtl/>
          <w:lang w:bidi="he-IL"/>
        </w:rPr>
        <w:t>ביטול סכך פסול הניכר בסכך כשר</w:t>
      </w:r>
      <w:r w:rsidRPr="00C157C8">
        <w:rPr>
          <w:rtl/>
        </w:rPr>
        <w:tab/>
        <w:t>309</w:t>
      </w:r>
    </w:p>
    <w:p w:rsidR="00C157C8" w:rsidRPr="00C157C8" w:rsidRDefault="00C157C8">
      <w:pPr>
        <w:pStyle w:val="Index2"/>
        <w:rPr>
          <w:rtl/>
        </w:rPr>
      </w:pPr>
      <w:r w:rsidRPr="00C157C8">
        <w:rPr>
          <w:rtl/>
          <w:lang w:bidi="he-IL"/>
        </w:rPr>
        <w:t>ביטול סכך פסול לכתחילה</w:t>
      </w:r>
      <w:r w:rsidRPr="00C157C8">
        <w:rPr>
          <w:rtl/>
        </w:rPr>
        <w:tab/>
        <w:t>327, 330</w:t>
      </w:r>
    </w:p>
    <w:p w:rsidR="00C157C8" w:rsidRPr="00C157C8" w:rsidRDefault="00C157C8">
      <w:pPr>
        <w:pStyle w:val="Index2"/>
        <w:rPr>
          <w:rtl/>
        </w:rPr>
      </w:pPr>
      <w:r w:rsidRPr="00C157C8">
        <w:rPr>
          <w:rtl/>
          <w:lang w:bidi="he-IL"/>
        </w:rPr>
        <w:t>כבוש כמבושל באתרוג</w:t>
      </w:r>
      <w:r w:rsidRPr="00C157C8">
        <w:rPr>
          <w:rtl/>
        </w:rPr>
        <w:tab/>
        <w:t>109</w:t>
      </w:r>
    </w:p>
    <w:p w:rsidR="00C157C8" w:rsidRPr="00C157C8" w:rsidRDefault="00C157C8">
      <w:pPr>
        <w:pStyle w:val="Index2"/>
        <w:rPr>
          <w:rtl/>
        </w:rPr>
      </w:pPr>
      <w:r w:rsidRPr="00C157C8">
        <w:rPr>
          <w:rtl/>
          <w:lang w:bidi="he-IL"/>
        </w:rPr>
        <w:t>מחצלת שעשאו למוכרו</w:t>
      </w:r>
      <w:r w:rsidRPr="00C157C8">
        <w:rPr>
          <w:rtl/>
        </w:rPr>
        <w:tab/>
        <w:t>454</w:t>
      </w:r>
    </w:p>
    <w:p w:rsidR="00C157C8" w:rsidRPr="00C157C8" w:rsidRDefault="00C157C8">
      <w:pPr>
        <w:pStyle w:val="Index1"/>
        <w:rPr>
          <w:rtl/>
        </w:rPr>
      </w:pPr>
      <w:r w:rsidRPr="00C157C8">
        <w:rPr>
          <w:rtl/>
          <w:lang w:bidi="he-IL"/>
        </w:rPr>
        <w:t>סופו להתפשט</w:t>
      </w:r>
      <w:r w:rsidRPr="00C157C8">
        <w:rPr>
          <w:rtl/>
        </w:rPr>
        <w:tab/>
      </w:r>
      <w:r w:rsidRPr="00C157C8">
        <w:rPr>
          <w:i/>
          <w:rtl/>
          <w:lang w:bidi="he-IL"/>
        </w:rPr>
        <w:t>ע</w:t>
      </w:r>
      <w:r w:rsidRPr="00C157C8">
        <w:rPr>
          <w:i/>
          <w:rtl/>
        </w:rPr>
        <w:t xml:space="preserve">' </w:t>
      </w:r>
      <w:r w:rsidRPr="00C157C8">
        <w:rPr>
          <w:i/>
          <w:rtl/>
          <w:lang w:bidi="he-IL"/>
        </w:rPr>
        <w:t>חענ</w:t>
      </w:r>
      <w:r w:rsidRPr="00C157C8">
        <w:rPr>
          <w:i/>
          <w:rtl/>
        </w:rPr>
        <w:t>"</w:t>
      </w:r>
      <w:r w:rsidRPr="00C157C8">
        <w:rPr>
          <w:i/>
          <w:rtl/>
          <w:lang w:bidi="he-IL"/>
        </w:rPr>
        <w:t>ן</w:t>
      </w:r>
    </w:p>
    <w:p w:rsidR="00C157C8" w:rsidRPr="00C157C8" w:rsidRDefault="00C157C8">
      <w:pPr>
        <w:pStyle w:val="Index1"/>
        <w:rPr>
          <w:rtl/>
        </w:rPr>
      </w:pPr>
      <w:r w:rsidRPr="00C157C8">
        <w:rPr>
          <w:rtl/>
          <w:lang w:bidi="he-IL"/>
        </w:rPr>
        <w:t>סלק</w:t>
      </w:r>
    </w:p>
    <w:p w:rsidR="00C157C8" w:rsidRPr="00C157C8" w:rsidRDefault="00C157C8">
      <w:pPr>
        <w:pStyle w:val="Index2"/>
        <w:rPr>
          <w:rtl/>
        </w:rPr>
      </w:pPr>
      <w:r w:rsidRPr="00C157C8">
        <w:rPr>
          <w:rtl/>
          <w:lang w:bidi="he-IL"/>
        </w:rPr>
        <w:t>ביאור מחלוקת אביי ורבא</w:t>
      </w:r>
      <w:r w:rsidRPr="00C157C8">
        <w:rPr>
          <w:rtl/>
        </w:rPr>
        <w:tab/>
        <w:t>71</w:t>
      </w:r>
    </w:p>
    <w:p w:rsidR="00C157C8" w:rsidRPr="00C157C8" w:rsidRDefault="00C157C8">
      <w:pPr>
        <w:pStyle w:val="Index2"/>
        <w:rPr>
          <w:rtl/>
        </w:rPr>
      </w:pPr>
      <w:r w:rsidRPr="00C157C8">
        <w:rPr>
          <w:rtl/>
          <w:lang w:bidi="he-IL"/>
        </w:rPr>
        <w:t>דינו של הרשב</w:t>
      </w:r>
      <w:r w:rsidRPr="00C157C8">
        <w:rPr>
          <w:rtl/>
        </w:rPr>
        <w:t>"</w:t>
      </w:r>
      <w:r w:rsidRPr="00C157C8">
        <w:rPr>
          <w:rtl/>
          <w:lang w:bidi="he-IL"/>
        </w:rPr>
        <w:t>א בתערובת מין במינו ושאינו מינו</w:t>
      </w:r>
      <w:r w:rsidRPr="00C157C8">
        <w:rPr>
          <w:rtl/>
        </w:rPr>
        <w:tab/>
        <w:t>305</w:t>
      </w:r>
    </w:p>
    <w:p w:rsidR="00C157C8" w:rsidRPr="00C157C8" w:rsidRDefault="00C157C8">
      <w:pPr>
        <w:pStyle w:val="Index2"/>
        <w:rPr>
          <w:rtl/>
        </w:rPr>
      </w:pPr>
      <w:r w:rsidRPr="00C157C8">
        <w:rPr>
          <w:rtl/>
          <w:lang w:bidi="he-IL"/>
        </w:rPr>
        <w:t>סוגיית הגמ</w:t>
      </w:r>
      <w:r w:rsidRPr="00C157C8">
        <w:rPr>
          <w:rtl/>
        </w:rPr>
        <w:t>'</w:t>
      </w:r>
      <w:r w:rsidRPr="00C157C8">
        <w:rPr>
          <w:rtl/>
        </w:rPr>
        <w:tab/>
        <w:t>70</w:t>
      </w:r>
    </w:p>
    <w:p w:rsidR="00C157C8" w:rsidRPr="00C157C8" w:rsidRDefault="00C157C8">
      <w:pPr>
        <w:pStyle w:val="Index1"/>
        <w:rPr>
          <w:rtl/>
        </w:rPr>
      </w:pPr>
      <w:r w:rsidRPr="00C157C8">
        <w:rPr>
          <w:rtl/>
          <w:lang w:bidi="he-IL"/>
        </w:rPr>
        <w:t>ספק חסרון ידיעה</w:t>
      </w:r>
    </w:p>
    <w:p w:rsidR="00C157C8" w:rsidRPr="00C157C8" w:rsidRDefault="00C157C8">
      <w:pPr>
        <w:pStyle w:val="Index2"/>
        <w:rPr>
          <w:rtl/>
        </w:rPr>
      </w:pPr>
      <w:r w:rsidRPr="00C157C8">
        <w:rPr>
          <w:rtl/>
          <w:lang w:bidi="he-IL"/>
        </w:rPr>
        <w:t>בספק אם יש נתינת טעם</w:t>
      </w:r>
      <w:r w:rsidRPr="00C157C8">
        <w:rPr>
          <w:rtl/>
        </w:rPr>
        <w:tab/>
        <w:t>42</w:t>
      </w:r>
    </w:p>
    <w:p w:rsidR="00C157C8" w:rsidRPr="00C157C8" w:rsidRDefault="00C157C8">
      <w:pPr>
        <w:pStyle w:val="Index2"/>
        <w:rPr>
          <w:rtl/>
        </w:rPr>
      </w:pPr>
      <w:r w:rsidRPr="00C157C8">
        <w:rPr>
          <w:rtl/>
          <w:lang w:bidi="he-IL"/>
        </w:rPr>
        <w:t>הסוגיא</w:t>
      </w:r>
      <w:r w:rsidRPr="00C157C8">
        <w:rPr>
          <w:rtl/>
        </w:rPr>
        <w:tab/>
        <w:t>306</w:t>
      </w:r>
    </w:p>
    <w:p w:rsidR="00C157C8" w:rsidRPr="00C157C8" w:rsidRDefault="00C157C8">
      <w:pPr>
        <w:pStyle w:val="Index1"/>
        <w:rPr>
          <w:rtl/>
        </w:rPr>
      </w:pPr>
      <w:r w:rsidRPr="00C157C8">
        <w:rPr>
          <w:rtl/>
          <w:lang w:bidi="he-IL"/>
        </w:rPr>
        <w:t>סתם כלים אינן בני יומן</w:t>
      </w:r>
    </w:p>
    <w:p w:rsidR="00C157C8" w:rsidRPr="00C157C8" w:rsidRDefault="00C157C8">
      <w:pPr>
        <w:pStyle w:val="Index2"/>
        <w:rPr>
          <w:rtl/>
        </w:rPr>
      </w:pPr>
      <w:r w:rsidRPr="00C157C8">
        <w:rPr>
          <w:rtl/>
          <w:lang w:bidi="he-IL"/>
        </w:rPr>
        <w:t>הסוגיא</w:t>
      </w:r>
      <w:r w:rsidRPr="00C157C8">
        <w:rPr>
          <w:rtl/>
        </w:rPr>
        <w:tab/>
        <w:t>532</w:t>
      </w:r>
    </w:p>
    <w:p w:rsidR="00C157C8" w:rsidRPr="00C157C8" w:rsidRDefault="00C157C8">
      <w:pPr>
        <w:pStyle w:val="Index1"/>
        <w:rPr>
          <w:rtl/>
        </w:rPr>
      </w:pPr>
      <w:r w:rsidRPr="00C157C8">
        <w:rPr>
          <w:rtl/>
          <w:lang w:bidi="he-IL"/>
        </w:rPr>
        <w:t>עור</w:t>
      </w:r>
    </w:p>
    <w:p w:rsidR="00C157C8" w:rsidRPr="00C157C8" w:rsidRDefault="00C157C8">
      <w:pPr>
        <w:pStyle w:val="Index2"/>
        <w:rPr>
          <w:rtl/>
        </w:rPr>
      </w:pPr>
      <w:r w:rsidRPr="00C157C8">
        <w:rPr>
          <w:rtl/>
          <w:lang w:bidi="he-IL"/>
        </w:rPr>
        <w:t>שנתייבש ונעשה כעץ</w:t>
      </w:r>
      <w:r w:rsidRPr="00C157C8">
        <w:rPr>
          <w:rtl/>
        </w:rPr>
        <w:tab/>
        <w:t>205</w:t>
      </w:r>
    </w:p>
    <w:p w:rsidR="00C157C8" w:rsidRPr="00C157C8" w:rsidRDefault="00C157C8">
      <w:pPr>
        <w:pStyle w:val="Index1"/>
        <w:rPr>
          <w:rtl/>
        </w:rPr>
      </w:pPr>
      <w:r w:rsidRPr="00C157C8">
        <w:rPr>
          <w:rtl/>
          <w:lang w:bidi="he-IL"/>
        </w:rPr>
        <w:lastRenderedPageBreak/>
        <w:t>עור הקיבה</w:t>
      </w:r>
    </w:p>
    <w:p w:rsidR="00C157C8" w:rsidRPr="00C157C8" w:rsidRDefault="00C157C8">
      <w:pPr>
        <w:pStyle w:val="Index2"/>
        <w:rPr>
          <w:rtl/>
        </w:rPr>
      </w:pPr>
      <w:r w:rsidRPr="00C157C8">
        <w:rPr>
          <w:rtl/>
          <w:lang w:bidi="he-IL"/>
        </w:rPr>
        <w:t>חענ</w:t>
      </w:r>
      <w:r w:rsidRPr="00C157C8">
        <w:rPr>
          <w:rtl/>
        </w:rPr>
        <w:t>"</w:t>
      </w:r>
      <w:r w:rsidRPr="00C157C8">
        <w:rPr>
          <w:rtl/>
          <w:lang w:bidi="he-IL"/>
        </w:rPr>
        <w:t>ן</w:t>
      </w:r>
      <w:r w:rsidRPr="00C157C8">
        <w:rPr>
          <w:rtl/>
        </w:rPr>
        <w:tab/>
        <w:t>207</w:t>
      </w:r>
    </w:p>
    <w:p w:rsidR="00C157C8" w:rsidRPr="00C157C8" w:rsidRDefault="00C157C8">
      <w:pPr>
        <w:pStyle w:val="Index1"/>
        <w:rPr>
          <w:rtl/>
        </w:rPr>
      </w:pPr>
      <w:r w:rsidRPr="00C157C8">
        <w:rPr>
          <w:rtl/>
          <w:lang w:bidi="he-IL"/>
        </w:rPr>
        <w:t>עירוי</w:t>
      </w:r>
    </w:p>
    <w:p w:rsidR="00C157C8" w:rsidRPr="00C157C8" w:rsidRDefault="00C157C8">
      <w:pPr>
        <w:pStyle w:val="Index2"/>
        <w:rPr>
          <w:rtl/>
        </w:rPr>
      </w:pPr>
      <w:r w:rsidRPr="00C157C8">
        <w:rPr>
          <w:rtl/>
          <w:lang w:bidi="he-IL"/>
        </w:rPr>
        <w:t>הסוגיא במס</w:t>
      </w:r>
      <w:r w:rsidRPr="00C157C8">
        <w:rPr>
          <w:rtl/>
        </w:rPr>
        <w:t xml:space="preserve">' </w:t>
      </w:r>
      <w:r w:rsidRPr="00C157C8">
        <w:rPr>
          <w:rtl/>
          <w:lang w:bidi="he-IL"/>
        </w:rPr>
        <w:t>שבת דף מ</w:t>
      </w:r>
      <w:r w:rsidRPr="00C157C8">
        <w:rPr>
          <w:rtl/>
        </w:rPr>
        <w:t>"</w:t>
      </w:r>
      <w:r w:rsidRPr="00C157C8">
        <w:rPr>
          <w:rtl/>
          <w:lang w:bidi="he-IL"/>
        </w:rPr>
        <w:t>ב</w:t>
      </w:r>
      <w:r w:rsidRPr="00C157C8">
        <w:rPr>
          <w:rtl/>
        </w:rPr>
        <w:tab/>
        <w:t>395</w:t>
      </w:r>
    </w:p>
    <w:p w:rsidR="00C157C8" w:rsidRPr="00C157C8" w:rsidRDefault="00C157C8">
      <w:pPr>
        <w:pStyle w:val="Index2"/>
        <w:rPr>
          <w:rtl/>
        </w:rPr>
      </w:pPr>
      <w:r w:rsidRPr="00C157C8">
        <w:rPr>
          <w:rtl/>
          <w:lang w:bidi="he-IL"/>
        </w:rPr>
        <w:t>לתוך נר של חלב</w:t>
      </w:r>
      <w:r w:rsidRPr="00C157C8">
        <w:rPr>
          <w:rtl/>
        </w:rPr>
        <w:tab/>
        <w:t>401</w:t>
      </w:r>
    </w:p>
    <w:p w:rsidR="00C157C8" w:rsidRPr="00C157C8" w:rsidRDefault="00C157C8">
      <w:pPr>
        <w:pStyle w:val="Index2"/>
        <w:rPr>
          <w:rtl/>
        </w:rPr>
      </w:pPr>
      <w:r w:rsidRPr="00C157C8">
        <w:rPr>
          <w:rtl/>
          <w:lang w:bidi="he-IL"/>
        </w:rPr>
        <w:t>מקדירה שע</w:t>
      </w:r>
      <w:r w:rsidRPr="00C157C8">
        <w:rPr>
          <w:rtl/>
        </w:rPr>
        <w:t>"</w:t>
      </w:r>
      <w:r w:rsidRPr="00C157C8">
        <w:rPr>
          <w:rtl/>
          <w:lang w:bidi="he-IL"/>
        </w:rPr>
        <w:t>ג האש</w:t>
      </w:r>
      <w:r w:rsidRPr="00C157C8">
        <w:rPr>
          <w:rtl/>
        </w:rPr>
        <w:tab/>
        <w:t>406</w:t>
      </w:r>
    </w:p>
    <w:p w:rsidR="00C157C8" w:rsidRPr="00C157C8" w:rsidRDefault="00C157C8">
      <w:pPr>
        <w:pStyle w:val="Index2"/>
        <w:rPr>
          <w:rtl/>
        </w:rPr>
      </w:pPr>
      <w:r w:rsidRPr="00C157C8">
        <w:rPr>
          <w:rtl/>
          <w:lang w:bidi="he-IL"/>
        </w:rPr>
        <w:t>מקדרה שעל גבי האש</w:t>
      </w:r>
      <w:r w:rsidRPr="00C157C8">
        <w:rPr>
          <w:rtl/>
        </w:rPr>
        <w:tab/>
        <w:t>402</w:t>
      </w:r>
    </w:p>
    <w:p w:rsidR="00C157C8" w:rsidRPr="00C157C8" w:rsidRDefault="00C157C8">
      <w:pPr>
        <w:pStyle w:val="Index2"/>
        <w:rPr>
          <w:rtl/>
        </w:rPr>
      </w:pPr>
      <w:r w:rsidRPr="00C157C8">
        <w:rPr>
          <w:rtl/>
          <w:lang w:bidi="he-IL"/>
        </w:rPr>
        <w:t>סתירה ברמ</w:t>
      </w:r>
      <w:r w:rsidRPr="00C157C8">
        <w:rPr>
          <w:rtl/>
        </w:rPr>
        <w:t>"</w:t>
      </w:r>
      <w:r w:rsidRPr="00C157C8">
        <w:rPr>
          <w:rtl/>
          <w:lang w:bidi="he-IL"/>
        </w:rPr>
        <w:t>א בנזחל מן הקדירה</w:t>
      </w:r>
      <w:r w:rsidRPr="00C157C8">
        <w:rPr>
          <w:rtl/>
        </w:rPr>
        <w:tab/>
        <w:t>406</w:t>
      </w:r>
    </w:p>
    <w:p w:rsidR="00C157C8" w:rsidRPr="00C157C8" w:rsidRDefault="00C157C8">
      <w:pPr>
        <w:pStyle w:val="Index2"/>
        <w:rPr>
          <w:rtl/>
        </w:rPr>
      </w:pPr>
      <w:r w:rsidRPr="00C157C8">
        <w:rPr>
          <w:rtl/>
          <w:lang w:bidi="he-IL"/>
        </w:rPr>
        <w:t>על גבי כלים של בשר וחלב</w:t>
      </w:r>
      <w:r w:rsidRPr="00C157C8">
        <w:rPr>
          <w:rtl/>
        </w:rPr>
        <w:tab/>
        <w:t>277</w:t>
      </w:r>
    </w:p>
    <w:p w:rsidR="00C157C8" w:rsidRPr="00C157C8" w:rsidRDefault="00C157C8">
      <w:pPr>
        <w:pStyle w:val="Index2"/>
        <w:rPr>
          <w:rtl/>
        </w:rPr>
      </w:pPr>
      <w:r w:rsidRPr="00C157C8">
        <w:rPr>
          <w:rtl/>
          <w:lang w:bidi="he-IL"/>
        </w:rPr>
        <w:t>שיטות הראשונים</w:t>
      </w:r>
      <w:r w:rsidRPr="00C157C8">
        <w:rPr>
          <w:rtl/>
        </w:rPr>
        <w:tab/>
        <w:t>391</w:t>
      </w:r>
    </w:p>
    <w:p w:rsidR="00C157C8" w:rsidRPr="00C157C8" w:rsidRDefault="00C157C8">
      <w:pPr>
        <w:pStyle w:val="Index2"/>
        <w:rPr>
          <w:rtl/>
        </w:rPr>
      </w:pPr>
      <w:r w:rsidRPr="00C157C8">
        <w:rPr>
          <w:rtl/>
          <w:lang w:bidi="he-IL"/>
        </w:rPr>
        <w:t>שיטת הרשב</w:t>
      </w:r>
      <w:r w:rsidRPr="00C157C8">
        <w:rPr>
          <w:rtl/>
        </w:rPr>
        <w:t>"</w:t>
      </w:r>
      <w:r w:rsidRPr="00C157C8">
        <w:rPr>
          <w:rtl/>
          <w:lang w:bidi="he-IL"/>
        </w:rPr>
        <w:t>ם</w:t>
      </w:r>
      <w:r w:rsidRPr="00C157C8">
        <w:rPr>
          <w:rtl/>
        </w:rPr>
        <w:tab/>
        <w:t>394, 397</w:t>
      </w:r>
    </w:p>
    <w:p w:rsidR="00C157C8" w:rsidRPr="00C157C8" w:rsidRDefault="00C157C8">
      <w:pPr>
        <w:pStyle w:val="Index2"/>
        <w:rPr>
          <w:rtl/>
        </w:rPr>
      </w:pPr>
      <w:r w:rsidRPr="00C157C8">
        <w:rPr>
          <w:rtl/>
          <w:lang w:bidi="he-IL"/>
        </w:rPr>
        <w:t>שיטת ר</w:t>
      </w:r>
      <w:r w:rsidRPr="00C157C8">
        <w:rPr>
          <w:rtl/>
        </w:rPr>
        <w:t>"</w:t>
      </w:r>
      <w:r w:rsidRPr="00C157C8">
        <w:rPr>
          <w:rtl/>
          <w:lang w:bidi="he-IL"/>
        </w:rPr>
        <w:t>ת</w:t>
      </w:r>
      <w:r w:rsidRPr="00C157C8">
        <w:rPr>
          <w:rtl/>
        </w:rPr>
        <w:tab/>
        <w:t>404</w:t>
      </w:r>
    </w:p>
    <w:p w:rsidR="00C157C8" w:rsidRPr="00C157C8" w:rsidRDefault="00C157C8">
      <w:pPr>
        <w:pStyle w:val="Index1"/>
        <w:rPr>
          <w:rtl/>
        </w:rPr>
      </w:pPr>
      <w:r w:rsidRPr="00C157C8">
        <w:rPr>
          <w:rtl/>
          <w:lang w:bidi="he-IL"/>
        </w:rPr>
        <w:t>עצמות</w:t>
      </w:r>
    </w:p>
    <w:p w:rsidR="00C157C8" w:rsidRPr="00C157C8" w:rsidRDefault="00C157C8">
      <w:pPr>
        <w:pStyle w:val="Index2"/>
        <w:rPr>
          <w:rtl/>
        </w:rPr>
      </w:pPr>
      <w:r w:rsidRPr="00C157C8">
        <w:rPr>
          <w:rtl/>
          <w:lang w:bidi="he-IL"/>
        </w:rPr>
        <w:t>אם משערין בהו</w:t>
      </w:r>
      <w:r w:rsidRPr="00C157C8">
        <w:rPr>
          <w:rtl/>
        </w:rPr>
        <w:tab/>
        <w:t>112, 315</w:t>
      </w:r>
    </w:p>
    <w:p w:rsidR="00C157C8" w:rsidRPr="00C157C8" w:rsidRDefault="00C157C8">
      <w:pPr>
        <w:pStyle w:val="Index2"/>
        <w:rPr>
          <w:rtl/>
        </w:rPr>
      </w:pPr>
      <w:r w:rsidRPr="00C157C8">
        <w:rPr>
          <w:rtl/>
          <w:lang w:bidi="he-IL"/>
        </w:rPr>
        <w:t>שהתבשלו עם איסור או עם היתר</w:t>
      </w:r>
      <w:r w:rsidRPr="00C157C8">
        <w:rPr>
          <w:rtl/>
        </w:rPr>
        <w:tab/>
        <w:t>315</w:t>
      </w:r>
    </w:p>
    <w:p w:rsidR="00C157C8" w:rsidRPr="00C157C8" w:rsidRDefault="00C157C8">
      <w:pPr>
        <w:pStyle w:val="Index1"/>
        <w:rPr>
          <w:rtl/>
        </w:rPr>
      </w:pPr>
      <w:r w:rsidRPr="00C157C8">
        <w:rPr>
          <w:rtl/>
          <w:lang w:bidi="he-IL"/>
        </w:rPr>
        <w:t>פיטום</w:t>
      </w:r>
    </w:p>
    <w:p w:rsidR="00C157C8" w:rsidRPr="00C157C8" w:rsidRDefault="00C157C8">
      <w:pPr>
        <w:pStyle w:val="Index2"/>
        <w:rPr>
          <w:rtl/>
        </w:rPr>
      </w:pPr>
      <w:r w:rsidRPr="00C157C8">
        <w:rPr>
          <w:rtl/>
          <w:lang w:bidi="he-IL"/>
        </w:rPr>
        <w:t>דינו בהעברת טעם</w:t>
      </w:r>
      <w:r w:rsidRPr="00C157C8">
        <w:rPr>
          <w:rtl/>
        </w:rPr>
        <w:tab/>
        <w:t>408</w:t>
      </w:r>
    </w:p>
    <w:p w:rsidR="00C157C8" w:rsidRPr="00C157C8" w:rsidRDefault="00C157C8">
      <w:pPr>
        <w:pStyle w:val="Index1"/>
        <w:rPr>
          <w:rtl/>
        </w:rPr>
      </w:pPr>
      <w:r w:rsidRPr="00C157C8">
        <w:rPr>
          <w:rtl/>
          <w:lang w:bidi="he-IL"/>
        </w:rPr>
        <w:t>פילי</w:t>
      </w:r>
    </w:p>
    <w:p w:rsidR="00C157C8" w:rsidRPr="00C157C8" w:rsidRDefault="00C157C8">
      <w:pPr>
        <w:pStyle w:val="Index2"/>
        <w:rPr>
          <w:rtl/>
        </w:rPr>
      </w:pPr>
      <w:r w:rsidRPr="00C157C8">
        <w:rPr>
          <w:rtl/>
          <w:lang w:bidi="he-IL"/>
        </w:rPr>
        <w:t>מה הם</w:t>
      </w:r>
      <w:r w:rsidRPr="00C157C8">
        <w:rPr>
          <w:rtl/>
        </w:rPr>
        <w:tab/>
        <w:t>421</w:t>
      </w:r>
    </w:p>
    <w:p w:rsidR="00C157C8" w:rsidRPr="00C157C8" w:rsidRDefault="00C157C8">
      <w:pPr>
        <w:pStyle w:val="Index1"/>
        <w:rPr>
          <w:rtl/>
        </w:rPr>
      </w:pPr>
      <w:r w:rsidRPr="00C157C8">
        <w:rPr>
          <w:rtl/>
          <w:lang w:bidi="he-IL"/>
        </w:rPr>
        <w:t>פסיק רישא</w:t>
      </w:r>
      <w:r w:rsidRPr="00C157C8">
        <w:rPr>
          <w:rtl/>
        </w:rPr>
        <w:tab/>
      </w:r>
      <w:r w:rsidRPr="00C157C8">
        <w:rPr>
          <w:i/>
          <w:rtl/>
          <w:lang w:bidi="he-IL"/>
        </w:rPr>
        <w:t>ע</w:t>
      </w:r>
      <w:r w:rsidRPr="00C157C8">
        <w:rPr>
          <w:i/>
          <w:rtl/>
        </w:rPr>
        <w:t xml:space="preserve">' </w:t>
      </w:r>
      <w:r w:rsidRPr="00C157C8">
        <w:rPr>
          <w:i/>
          <w:rtl/>
          <w:lang w:bidi="he-IL"/>
        </w:rPr>
        <w:t>דבר שאינו מתכוין</w:t>
      </w:r>
    </w:p>
    <w:p w:rsidR="00C157C8" w:rsidRPr="00C157C8" w:rsidRDefault="00C157C8">
      <w:pPr>
        <w:pStyle w:val="Index1"/>
        <w:rPr>
          <w:rtl/>
        </w:rPr>
      </w:pPr>
      <w:r w:rsidRPr="00C157C8">
        <w:rPr>
          <w:rtl/>
          <w:lang w:bidi="he-IL"/>
        </w:rPr>
        <w:t>פרווה</w:t>
      </w:r>
    </w:p>
    <w:p w:rsidR="00C157C8" w:rsidRPr="00C157C8" w:rsidRDefault="00C157C8">
      <w:pPr>
        <w:pStyle w:val="Index2"/>
        <w:rPr>
          <w:rtl/>
        </w:rPr>
      </w:pPr>
      <w:r w:rsidRPr="00C157C8">
        <w:rPr>
          <w:rtl/>
          <w:lang w:bidi="he-IL"/>
        </w:rPr>
        <w:t>בקדרה שנבלע בה מחלב ולאחר מעל</w:t>
      </w:r>
      <w:r w:rsidRPr="00C157C8">
        <w:rPr>
          <w:rtl/>
        </w:rPr>
        <w:t>"</w:t>
      </w:r>
      <w:r w:rsidRPr="00C157C8">
        <w:rPr>
          <w:rtl/>
          <w:lang w:bidi="he-IL"/>
        </w:rPr>
        <w:t>ע גם מבשר</w:t>
      </w:r>
      <w:r w:rsidRPr="00C157C8">
        <w:rPr>
          <w:rtl/>
        </w:rPr>
        <w:tab/>
        <w:t>242</w:t>
      </w:r>
    </w:p>
    <w:p w:rsidR="00C157C8" w:rsidRPr="00C157C8" w:rsidRDefault="00C157C8">
      <w:pPr>
        <w:pStyle w:val="Index1"/>
        <w:rPr>
          <w:rtl/>
        </w:rPr>
      </w:pPr>
      <w:r w:rsidRPr="00C157C8">
        <w:rPr>
          <w:rtl/>
          <w:lang w:bidi="he-IL"/>
        </w:rPr>
        <w:t>פת חלבי או בשרי</w:t>
      </w:r>
      <w:r w:rsidRPr="00C157C8">
        <w:rPr>
          <w:rtl/>
        </w:rPr>
        <w:tab/>
      </w:r>
      <w:r w:rsidRPr="00C157C8">
        <w:rPr>
          <w:i/>
          <w:rtl/>
          <w:lang w:bidi="he-IL"/>
        </w:rPr>
        <w:t>ע</w:t>
      </w:r>
      <w:r w:rsidRPr="00C157C8">
        <w:rPr>
          <w:i/>
          <w:rtl/>
        </w:rPr>
        <w:t xml:space="preserve">' </w:t>
      </w:r>
      <w:r w:rsidRPr="00C157C8">
        <w:rPr>
          <w:i/>
          <w:rtl/>
          <w:lang w:bidi="he-IL"/>
        </w:rPr>
        <w:t>לחם חלבי או בשרי</w:t>
      </w:r>
    </w:p>
    <w:p w:rsidR="00C157C8" w:rsidRPr="00C157C8" w:rsidRDefault="00C157C8">
      <w:pPr>
        <w:pStyle w:val="Index1"/>
        <w:rPr>
          <w:rtl/>
        </w:rPr>
      </w:pPr>
      <w:r w:rsidRPr="00C157C8">
        <w:rPr>
          <w:rtl/>
          <w:lang w:bidi="he-IL"/>
        </w:rPr>
        <w:t>פת עכו</w:t>
      </w:r>
      <w:r w:rsidRPr="00C157C8">
        <w:rPr>
          <w:rtl/>
        </w:rPr>
        <w:t>"</w:t>
      </w:r>
      <w:r w:rsidRPr="00C157C8">
        <w:rPr>
          <w:rtl/>
          <w:lang w:bidi="he-IL"/>
        </w:rPr>
        <w:t>ם</w:t>
      </w:r>
    </w:p>
    <w:p w:rsidR="00C157C8" w:rsidRPr="00C157C8" w:rsidRDefault="00C157C8">
      <w:pPr>
        <w:pStyle w:val="Index2"/>
        <w:rPr>
          <w:rtl/>
        </w:rPr>
      </w:pPr>
      <w:r w:rsidRPr="00C157C8">
        <w:rPr>
          <w:rtl/>
          <w:lang w:bidi="he-IL"/>
        </w:rPr>
        <w:t xml:space="preserve">אם בטל ברוב </w:t>
      </w:r>
      <w:r w:rsidRPr="00C157C8">
        <w:rPr>
          <w:rtl/>
        </w:rPr>
        <w:t>(</w:t>
      </w:r>
      <w:r w:rsidRPr="00C157C8">
        <w:rPr>
          <w:rtl/>
          <w:lang w:bidi="he-IL"/>
        </w:rPr>
        <w:t>במין במינו</w:t>
      </w:r>
      <w:r w:rsidRPr="00C157C8">
        <w:rPr>
          <w:rtl/>
        </w:rPr>
        <w:t>)</w:t>
      </w:r>
      <w:r w:rsidRPr="00C157C8">
        <w:rPr>
          <w:rtl/>
        </w:rPr>
        <w:tab/>
        <w:t>560</w:t>
      </w:r>
    </w:p>
    <w:p w:rsidR="00C157C8" w:rsidRPr="00C157C8" w:rsidRDefault="00C157C8">
      <w:pPr>
        <w:pStyle w:val="Index2"/>
        <w:rPr>
          <w:rtl/>
        </w:rPr>
      </w:pPr>
      <w:r w:rsidRPr="00C157C8">
        <w:rPr>
          <w:rtl/>
          <w:lang w:bidi="he-IL"/>
        </w:rPr>
        <w:t>בעיסה של ישראל</w:t>
      </w:r>
      <w:r w:rsidRPr="00C157C8">
        <w:rPr>
          <w:rtl/>
        </w:rPr>
        <w:tab/>
        <w:t>562</w:t>
      </w:r>
    </w:p>
    <w:p w:rsidR="00C157C8" w:rsidRPr="00C157C8" w:rsidRDefault="00C157C8">
      <w:pPr>
        <w:pStyle w:val="Index2"/>
        <w:rPr>
          <w:rtl/>
        </w:rPr>
      </w:pPr>
      <w:r w:rsidRPr="00C157C8">
        <w:rPr>
          <w:rtl/>
          <w:lang w:bidi="he-IL"/>
        </w:rPr>
        <w:t>האם התירוה</w:t>
      </w:r>
      <w:r w:rsidRPr="00C157C8">
        <w:rPr>
          <w:rtl/>
        </w:rPr>
        <w:tab/>
        <w:t>552</w:t>
      </w:r>
    </w:p>
    <w:p w:rsidR="00C157C8" w:rsidRPr="00C157C8" w:rsidRDefault="00C157C8">
      <w:pPr>
        <w:pStyle w:val="Index2"/>
        <w:rPr>
          <w:rtl/>
        </w:rPr>
      </w:pPr>
      <w:r w:rsidRPr="00C157C8">
        <w:rPr>
          <w:rtl/>
          <w:lang w:bidi="he-IL"/>
        </w:rPr>
        <w:t>ההיתר של פת פלטר</w:t>
      </w:r>
      <w:r w:rsidRPr="00C157C8">
        <w:rPr>
          <w:rtl/>
        </w:rPr>
        <w:tab/>
        <w:t>552</w:t>
      </w:r>
    </w:p>
    <w:p w:rsidR="00C157C8" w:rsidRPr="00C157C8" w:rsidRDefault="00C157C8">
      <w:pPr>
        <w:pStyle w:val="Index2"/>
        <w:rPr>
          <w:rtl/>
        </w:rPr>
      </w:pPr>
      <w:r w:rsidRPr="00C157C8">
        <w:rPr>
          <w:rtl/>
          <w:lang w:bidi="he-IL"/>
        </w:rPr>
        <w:t xml:space="preserve">ההיתר של פת פלטר </w:t>
      </w:r>
      <w:r w:rsidRPr="00C157C8">
        <w:rPr>
          <w:rtl/>
        </w:rPr>
        <w:t xml:space="preserve">- </w:t>
      </w:r>
      <w:r w:rsidRPr="00C157C8">
        <w:rPr>
          <w:rtl/>
          <w:lang w:bidi="he-IL"/>
        </w:rPr>
        <w:t>אי אזלינן בתר שעת אפי</w:t>
      </w:r>
      <w:r w:rsidRPr="00C157C8">
        <w:rPr>
          <w:rtl/>
        </w:rPr>
        <w:t xml:space="preserve">' </w:t>
      </w:r>
      <w:r w:rsidRPr="00C157C8">
        <w:rPr>
          <w:rtl/>
          <w:lang w:bidi="he-IL"/>
        </w:rPr>
        <w:t>או שעת מכירה</w:t>
      </w:r>
      <w:r w:rsidRPr="00C157C8">
        <w:rPr>
          <w:rtl/>
        </w:rPr>
        <w:tab/>
        <w:t>552</w:t>
      </w:r>
    </w:p>
    <w:p w:rsidR="00C157C8" w:rsidRPr="00C157C8" w:rsidRDefault="00C157C8">
      <w:pPr>
        <w:pStyle w:val="Index2"/>
        <w:rPr>
          <w:rtl/>
        </w:rPr>
      </w:pPr>
      <w:r w:rsidRPr="00C157C8">
        <w:rPr>
          <w:rtl/>
          <w:lang w:bidi="he-IL"/>
        </w:rPr>
        <w:t>החילוק בינו לבין גזירת בישול עכו</w:t>
      </w:r>
      <w:r w:rsidRPr="00C157C8">
        <w:rPr>
          <w:rtl/>
        </w:rPr>
        <w:t>"</w:t>
      </w:r>
      <w:r w:rsidRPr="00C157C8">
        <w:rPr>
          <w:rtl/>
          <w:lang w:bidi="he-IL"/>
        </w:rPr>
        <w:t>ם</w:t>
      </w:r>
      <w:r w:rsidRPr="00C157C8">
        <w:rPr>
          <w:rtl/>
        </w:rPr>
        <w:tab/>
        <w:t>551</w:t>
      </w:r>
    </w:p>
    <w:p w:rsidR="00C157C8" w:rsidRPr="00C157C8" w:rsidRDefault="00C157C8">
      <w:pPr>
        <w:pStyle w:val="Index2"/>
        <w:rPr>
          <w:rtl/>
        </w:rPr>
      </w:pPr>
      <w:r w:rsidRPr="00C157C8">
        <w:rPr>
          <w:rtl/>
          <w:lang w:bidi="he-IL"/>
        </w:rPr>
        <w:t>טעם הגזרה</w:t>
      </w:r>
      <w:r w:rsidRPr="00C157C8">
        <w:rPr>
          <w:rtl/>
        </w:rPr>
        <w:tab/>
        <w:t>550</w:t>
      </w:r>
    </w:p>
    <w:p w:rsidR="00C157C8" w:rsidRPr="00C157C8" w:rsidRDefault="00C157C8">
      <w:pPr>
        <w:pStyle w:val="Index2"/>
        <w:rPr>
          <w:rtl/>
        </w:rPr>
      </w:pPr>
      <w:r w:rsidRPr="00C157C8">
        <w:rPr>
          <w:rtl/>
          <w:lang w:bidi="he-IL"/>
        </w:rPr>
        <w:t>כשאפו פת ונבלע בה שומן</w:t>
      </w:r>
      <w:r w:rsidRPr="00C157C8">
        <w:rPr>
          <w:rtl/>
        </w:rPr>
        <w:tab/>
        <w:t>559</w:t>
      </w:r>
    </w:p>
    <w:p w:rsidR="00C157C8" w:rsidRPr="00C157C8" w:rsidRDefault="00C157C8">
      <w:pPr>
        <w:pStyle w:val="Index2"/>
        <w:rPr>
          <w:rtl/>
        </w:rPr>
      </w:pPr>
      <w:r w:rsidRPr="00C157C8">
        <w:rPr>
          <w:rtl/>
          <w:lang w:bidi="he-IL"/>
        </w:rPr>
        <w:t>למה אין בפת פלטר של היום משום בישול עכו</w:t>
      </w:r>
      <w:r w:rsidRPr="00C157C8">
        <w:rPr>
          <w:rtl/>
        </w:rPr>
        <w:t>"</w:t>
      </w:r>
      <w:r w:rsidRPr="00C157C8">
        <w:rPr>
          <w:rtl/>
          <w:lang w:bidi="he-IL"/>
        </w:rPr>
        <w:t>ם</w:t>
      </w:r>
      <w:r w:rsidRPr="00C157C8">
        <w:rPr>
          <w:rtl/>
        </w:rPr>
        <w:tab/>
        <w:t>560</w:t>
      </w:r>
    </w:p>
    <w:p w:rsidR="00C157C8" w:rsidRPr="00C157C8" w:rsidRDefault="00C157C8">
      <w:pPr>
        <w:pStyle w:val="Index2"/>
        <w:rPr>
          <w:rtl/>
        </w:rPr>
      </w:pPr>
      <w:r w:rsidRPr="00C157C8">
        <w:rPr>
          <w:rtl/>
          <w:lang w:bidi="he-IL"/>
        </w:rPr>
        <w:t>סוגי מאפים שונים</w:t>
      </w:r>
      <w:r w:rsidRPr="00C157C8">
        <w:rPr>
          <w:rtl/>
        </w:rPr>
        <w:tab/>
        <w:t>564</w:t>
      </w:r>
    </w:p>
    <w:p w:rsidR="00C157C8" w:rsidRPr="00C157C8" w:rsidRDefault="00C157C8">
      <w:pPr>
        <w:pStyle w:val="Index2"/>
        <w:rPr>
          <w:rtl/>
        </w:rPr>
      </w:pPr>
      <w:r w:rsidRPr="00C157C8">
        <w:rPr>
          <w:rtl/>
          <w:lang w:bidi="he-IL"/>
        </w:rPr>
        <w:t xml:space="preserve">פת פלטר </w:t>
      </w:r>
      <w:r w:rsidRPr="00C157C8">
        <w:rPr>
          <w:rtl/>
        </w:rPr>
        <w:t xml:space="preserve">- </w:t>
      </w:r>
      <w:r w:rsidRPr="00C157C8">
        <w:rPr>
          <w:rtl/>
          <w:lang w:bidi="he-IL"/>
        </w:rPr>
        <w:t>אם הוא מותר רק במקום שיש חיי שעה</w:t>
      </w:r>
      <w:r w:rsidRPr="00C157C8">
        <w:rPr>
          <w:rtl/>
        </w:rPr>
        <w:tab/>
        <w:t>563</w:t>
      </w:r>
    </w:p>
    <w:p w:rsidR="00C157C8" w:rsidRPr="00C157C8" w:rsidRDefault="00C157C8">
      <w:pPr>
        <w:pStyle w:val="Index2"/>
        <w:rPr>
          <w:rtl/>
        </w:rPr>
      </w:pPr>
      <w:r w:rsidRPr="00C157C8">
        <w:rPr>
          <w:rtl/>
          <w:lang w:bidi="he-IL"/>
        </w:rPr>
        <w:t>פת של מומר ישראל</w:t>
      </w:r>
      <w:r w:rsidRPr="00C157C8">
        <w:rPr>
          <w:rtl/>
        </w:rPr>
        <w:tab/>
        <w:t>564</w:t>
      </w:r>
    </w:p>
    <w:p w:rsidR="00C157C8" w:rsidRPr="00C157C8" w:rsidRDefault="00C157C8">
      <w:pPr>
        <w:pStyle w:val="Index2"/>
        <w:rPr>
          <w:rtl/>
        </w:rPr>
      </w:pPr>
      <w:r w:rsidRPr="00C157C8">
        <w:rPr>
          <w:rtl/>
          <w:lang w:bidi="he-IL"/>
        </w:rPr>
        <w:t>שיש בה חלקים שיש בהם משום בישולי עכו</w:t>
      </w:r>
      <w:r w:rsidRPr="00C157C8">
        <w:rPr>
          <w:rtl/>
        </w:rPr>
        <w:t>"</w:t>
      </w:r>
      <w:r w:rsidRPr="00C157C8">
        <w:rPr>
          <w:rtl/>
          <w:lang w:bidi="he-IL"/>
        </w:rPr>
        <w:t>ם</w:t>
      </w:r>
      <w:r w:rsidRPr="00C157C8">
        <w:rPr>
          <w:rtl/>
        </w:rPr>
        <w:tab/>
        <w:t>555</w:t>
      </w:r>
    </w:p>
    <w:p w:rsidR="00C157C8" w:rsidRPr="00C157C8" w:rsidRDefault="00C157C8">
      <w:pPr>
        <w:pStyle w:val="Index1"/>
        <w:rPr>
          <w:rtl/>
        </w:rPr>
      </w:pPr>
      <w:r w:rsidRPr="00C157C8">
        <w:rPr>
          <w:rtl/>
          <w:lang w:bidi="he-IL"/>
        </w:rPr>
        <w:t>צינון</w:t>
      </w:r>
    </w:p>
    <w:p w:rsidR="00C157C8" w:rsidRPr="00C157C8" w:rsidRDefault="00C157C8">
      <w:pPr>
        <w:pStyle w:val="Index2"/>
        <w:rPr>
          <w:rtl/>
        </w:rPr>
      </w:pPr>
      <w:r w:rsidRPr="00C157C8">
        <w:rPr>
          <w:rtl/>
          <w:lang w:bidi="he-IL"/>
        </w:rPr>
        <w:t>בדליכא ששים</w:t>
      </w:r>
      <w:r w:rsidRPr="00C157C8">
        <w:rPr>
          <w:rtl/>
        </w:rPr>
        <w:tab/>
        <w:t>310</w:t>
      </w:r>
    </w:p>
    <w:p w:rsidR="00C157C8" w:rsidRPr="00C157C8" w:rsidRDefault="00C157C8">
      <w:pPr>
        <w:pStyle w:val="Index2"/>
        <w:rPr>
          <w:rtl/>
        </w:rPr>
      </w:pPr>
      <w:r w:rsidRPr="00C157C8">
        <w:rPr>
          <w:rtl/>
          <w:lang w:bidi="he-IL"/>
        </w:rPr>
        <w:t>גדרי החיוב</w:t>
      </w:r>
      <w:r w:rsidRPr="00C157C8">
        <w:rPr>
          <w:rtl/>
        </w:rPr>
        <w:tab/>
        <w:t>310</w:t>
      </w:r>
    </w:p>
    <w:p w:rsidR="00C157C8" w:rsidRPr="00C157C8" w:rsidRDefault="00C157C8">
      <w:pPr>
        <w:pStyle w:val="Index1"/>
        <w:rPr>
          <w:rtl/>
        </w:rPr>
      </w:pPr>
      <w:r w:rsidRPr="00C157C8">
        <w:rPr>
          <w:rtl/>
          <w:lang w:bidi="he-IL"/>
        </w:rPr>
        <w:t>צלי</w:t>
      </w:r>
    </w:p>
    <w:p w:rsidR="00C157C8" w:rsidRPr="00C157C8" w:rsidRDefault="00C157C8">
      <w:pPr>
        <w:pStyle w:val="Index2"/>
        <w:rPr>
          <w:rtl/>
        </w:rPr>
      </w:pPr>
      <w:r w:rsidRPr="00C157C8">
        <w:rPr>
          <w:rtl/>
          <w:lang w:bidi="he-IL"/>
        </w:rPr>
        <w:t>דבר שמן שנפל על מקום שאינו ידוע</w:t>
      </w:r>
      <w:r w:rsidRPr="00C157C8">
        <w:rPr>
          <w:rtl/>
        </w:rPr>
        <w:tab/>
        <w:t>407</w:t>
      </w:r>
    </w:p>
    <w:p w:rsidR="00C157C8" w:rsidRPr="00C157C8" w:rsidRDefault="00C157C8">
      <w:pPr>
        <w:pStyle w:val="Index2"/>
        <w:rPr>
          <w:rtl/>
        </w:rPr>
      </w:pPr>
      <w:r w:rsidRPr="00C157C8">
        <w:rPr>
          <w:rtl/>
          <w:lang w:bidi="he-IL"/>
        </w:rPr>
        <w:t>העברת בליעה שמינה מחתיכה לחתיכה</w:t>
      </w:r>
      <w:r w:rsidRPr="00C157C8">
        <w:rPr>
          <w:rtl/>
        </w:rPr>
        <w:tab/>
        <w:t>422</w:t>
      </w:r>
    </w:p>
    <w:p w:rsidR="00C157C8" w:rsidRPr="00C157C8" w:rsidRDefault="00C157C8">
      <w:pPr>
        <w:pStyle w:val="Index2"/>
        <w:rPr>
          <w:rtl/>
        </w:rPr>
      </w:pPr>
      <w:r w:rsidRPr="00C157C8">
        <w:rPr>
          <w:rtl/>
          <w:lang w:bidi="he-IL"/>
        </w:rPr>
        <w:t xml:space="preserve">חתיכה שמקצתה בתוך הרוטב </w:t>
      </w:r>
      <w:r w:rsidRPr="00C157C8">
        <w:rPr>
          <w:rtl/>
        </w:rPr>
        <w:t xml:space="preserve">- </w:t>
      </w:r>
      <w:r w:rsidRPr="00C157C8">
        <w:rPr>
          <w:rtl/>
          <w:lang w:bidi="he-IL"/>
        </w:rPr>
        <w:t>עיונים לשיטת רש</w:t>
      </w:r>
      <w:r w:rsidRPr="00C157C8">
        <w:rPr>
          <w:rtl/>
        </w:rPr>
        <w:t>"</w:t>
      </w:r>
      <w:r w:rsidRPr="00C157C8">
        <w:rPr>
          <w:rtl/>
          <w:lang w:bidi="he-IL"/>
        </w:rPr>
        <w:t>י</w:t>
      </w:r>
      <w:r w:rsidRPr="00C157C8">
        <w:rPr>
          <w:rtl/>
        </w:rPr>
        <w:tab/>
        <w:t>213</w:t>
      </w:r>
    </w:p>
    <w:p w:rsidR="00C157C8" w:rsidRPr="00C157C8" w:rsidRDefault="00C157C8">
      <w:pPr>
        <w:pStyle w:val="Index2"/>
        <w:rPr>
          <w:rtl/>
        </w:rPr>
      </w:pPr>
      <w:r w:rsidRPr="00C157C8">
        <w:rPr>
          <w:rtl/>
          <w:lang w:bidi="he-IL"/>
        </w:rPr>
        <w:t xml:space="preserve">חתיכה שמקצתה בתוך הרוטב </w:t>
      </w:r>
      <w:r w:rsidRPr="00C157C8">
        <w:rPr>
          <w:rtl/>
        </w:rPr>
        <w:t xml:space="preserve">- </w:t>
      </w:r>
      <w:r w:rsidRPr="00C157C8">
        <w:rPr>
          <w:rtl/>
          <w:lang w:bidi="he-IL"/>
        </w:rPr>
        <w:t>שיטת המחבר</w:t>
      </w:r>
      <w:r w:rsidRPr="00C157C8">
        <w:rPr>
          <w:rtl/>
        </w:rPr>
        <w:tab/>
        <w:t>216</w:t>
      </w:r>
    </w:p>
    <w:p w:rsidR="00C157C8" w:rsidRPr="00C157C8" w:rsidRDefault="00C157C8">
      <w:pPr>
        <w:pStyle w:val="Index2"/>
        <w:rPr>
          <w:rtl/>
        </w:rPr>
      </w:pPr>
      <w:r w:rsidRPr="00C157C8">
        <w:rPr>
          <w:rtl/>
          <w:lang w:bidi="he-IL"/>
        </w:rPr>
        <w:t xml:space="preserve">חתיכה שמקצתה בתוך הרוטב </w:t>
      </w:r>
      <w:r w:rsidRPr="00C157C8">
        <w:rPr>
          <w:rtl/>
        </w:rPr>
        <w:t xml:space="preserve">- </w:t>
      </w:r>
      <w:r w:rsidRPr="00C157C8">
        <w:rPr>
          <w:rtl/>
          <w:lang w:bidi="he-IL"/>
        </w:rPr>
        <w:t>שיטת הרמ</w:t>
      </w:r>
      <w:r w:rsidRPr="00C157C8">
        <w:rPr>
          <w:rtl/>
        </w:rPr>
        <w:t>"</w:t>
      </w:r>
      <w:r w:rsidRPr="00C157C8">
        <w:rPr>
          <w:rtl/>
          <w:lang w:bidi="he-IL"/>
        </w:rPr>
        <w:t>א</w:t>
      </w:r>
      <w:r w:rsidRPr="00C157C8">
        <w:rPr>
          <w:rtl/>
        </w:rPr>
        <w:tab/>
        <w:t>217</w:t>
      </w:r>
    </w:p>
    <w:p w:rsidR="00C157C8" w:rsidRPr="00C157C8" w:rsidRDefault="00C157C8">
      <w:pPr>
        <w:pStyle w:val="Index2"/>
        <w:rPr>
          <w:rtl/>
        </w:rPr>
      </w:pPr>
      <w:r w:rsidRPr="00C157C8">
        <w:rPr>
          <w:rtl/>
          <w:lang w:bidi="he-IL"/>
        </w:rPr>
        <w:lastRenderedPageBreak/>
        <w:t xml:space="preserve">חתיכה שמקתה בתוך הרוטב </w:t>
      </w:r>
      <w:r w:rsidRPr="00C157C8">
        <w:rPr>
          <w:rtl/>
        </w:rPr>
        <w:t xml:space="preserve">- </w:t>
      </w:r>
      <w:r w:rsidRPr="00C157C8">
        <w:rPr>
          <w:rtl/>
          <w:lang w:bidi="he-IL"/>
        </w:rPr>
        <w:t>ההלכה</w:t>
      </w:r>
      <w:r w:rsidRPr="00C157C8">
        <w:rPr>
          <w:rtl/>
        </w:rPr>
        <w:tab/>
        <w:t>220</w:t>
      </w:r>
    </w:p>
    <w:p w:rsidR="00C157C8" w:rsidRPr="00C157C8" w:rsidRDefault="00C157C8">
      <w:pPr>
        <w:pStyle w:val="Index2"/>
        <w:rPr>
          <w:rtl/>
        </w:rPr>
      </w:pPr>
      <w:r w:rsidRPr="00C157C8">
        <w:rPr>
          <w:rtl/>
          <w:lang w:bidi="he-IL"/>
        </w:rPr>
        <w:t>כללי הדין</w:t>
      </w:r>
      <w:r w:rsidRPr="00C157C8">
        <w:rPr>
          <w:rtl/>
        </w:rPr>
        <w:tab/>
        <w:t>406</w:t>
      </w:r>
    </w:p>
    <w:p w:rsidR="00C157C8" w:rsidRPr="00C157C8" w:rsidRDefault="00C157C8">
      <w:pPr>
        <w:pStyle w:val="Index2"/>
        <w:rPr>
          <w:rtl/>
        </w:rPr>
      </w:pPr>
      <w:r w:rsidRPr="00C157C8">
        <w:rPr>
          <w:rtl/>
          <w:lang w:bidi="he-IL"/>
        </w:rPr>
        <w:t>כללי פעפוע במאכל כחוש ושמן לפי המנהג</w:t>
      </w:r>
      <w:r w:rsidRPr="00C157C8">
        <w:rPr>
          <w:rtl/>
        </w:rPr>
        <w:tab/>
        <w:t>425</w:t>
      </w:r>
    </w:p>
    <w:p w:rsidR="00C157C8" w:rsidRPr="00C157C8" w:rsidRDefault="00C157C8">
      <w:pPr>
        <w:pStyle w:val="Index2"/>
        <w:rPr>
          <w:rtl/>
        </w:rPr>
      </w:pPr>
      <w:r w:rsidRPr="00C157C8">
        <w:rPr>
          <w:rtl/>
          <w:lang w:bidi="he-IL"/>
        </w:rPr>
        <w:t>מה הדין בחתיכה שמקצתה בתוך הרוטב</w:t>
      </w:r>
      <w:r w:rsidRPr="00C157C8">
        <w:rPr>
          <w:rtl/>
        </w:rPr>
        <w:tab/>
        <w:t>95, 102, 213</w:t>
      </w:r>
    </w:p>
    <w:p w:rsidR="00C157C8" w:rsidRPr="00C157C8" w:rsidRDefault="00C157C8">
      <w:pPr>
        <w:pStyle w:val="Index2"/>
        <w:rPr>
          <w:rtl/>
        </w:rPr>
      </w:pPr>
      <w:r w:rsidRPr="00C157C8">
        <w:rPr>
          <w:rtl/>
          <w:lang w:bidi="he-IL"/>
        </w:rPr>
        <w:t>עד איזה עומק אוסר</w:t>
      </w:r>
      <w:r w:rsidRPr="00C157C8">
        <w:rPr>
          <w:rtl/>
        </w:rPr>
        <w:tab/>
        <w:t>103, 105</w:t>
      </w:r>
    </w:p>
    <w:p w:rsidR="00C157C8" w:rsidRPr="00C157C8" w:rsidRDefault="00C157C8">
      <w:pPr>
        <w:pStyle w:val="Index2"/>
        <w:rPr>
          <w:rtl/>
        </w:rPr>
      </w:pPr>
      <w:r w:rsidRPr="00C157C8">
        <w:rPr>
          <w:rtl/>
          <w:lang w:bidi="he-IL"/>
        </w:rPr>
        <w:t>עד כמה כלי מפליט לתוך מאכל</w:t>
      </w:r>
      <w:r w:rsidRPr="00C157C8">
        <w:rPr>
          <w:rtl/>
        </w:rPr>
        <w:tab/>
        <w:t>264</w:t>
      </w:r>
    </w:p>
    <w:p w:rsidR="00C157C8" w:rsidRPr="00C157C8" w:rsidRDefault="00C157C8">
      <w:pPr>
        <w:pStyle w:val="Index2"/>
        <w:rPr>
          <w:rtl/>
        </w:rPr>
      </w:pPr>
      <w:r w:rsidRPr="00C157C8">
        <w:rPr>
          <w:rtl/>
          <w:lang w:bidi="he-IL"/>
        </w:rPr>
        <w:t>עד כמה מתפשט טעם על ידו</w:t>
      </w:r>
      <w:r w:rsidRPr="00C157C8">
        <w:rPr>
          <w:rtl/>
        </w:rPr>
        <w:tab/>
        <w:t>386</w:t>
      </w:r>
    </w:p>
    <w:p w:rsidR="00C157C8" w:rsidRPr="00C157C8" w:rsidRDefault="00C157C8">
      <w:pPr>
        <w:pStyle w:val="Index1"/>
        <w:rPr>
          <w:rtl/>
        </w:rPr>
      </w:pPr>
      <w:r w:rsidRPr="00C157C8">
        <w:rPr>
          <w:rtl/>
          <w:lang w:bidi="he-IL"/>
        </w:rPr>
        <w:t>קינוח והדחה</w:t>
      </w:r>
      <w:r w:rsidRPr="00C157C8">
        <w:rPr>
          <w:rtl/>
        </w:rPr>
        <w:tab/>
      </w:r>
      <w:r w:rsidRPr="00C157C8">
        <w:rPr>
          <w:i/>
          <w:rtl/>
          <w:lang w:bidi="he-IL"/>
        </w:rPr>
        <w:t>ע</w:t>
      </w:r>
      <w:r w:rsidRPr="00C157C8">
        <w:rPr>
          <w:i/>
          <w:rtl/>
        </w:rPr>
        <w:t xml:space="preserve">' </w:t>
      </w:r>
      <w:r w:rsidRPr="00C157C8">
        <w:rPr>
          <w:i/>
          <w:rtl/>
          <w:lang w:bidi="he-IL"/>
        </w:rPr>
        <w:t xml:space="preserve">בשר בחלב </w:t>
      </w:r>
      <w:r w:rsidRPr="00C157C8">
        <w:rPr>
          <w:i/>
          <w:rtl/>
        </w:rPr>
        <w:t xml:space="preserve">- </w:t>
      </w:r>
      <w:r w:rsidRPr="00C157C8">
        <w:rPr>
          <w:i/>
          <w:rtl/>
          <w:lang w:bidi="he-IL"/>
        </w:rPr>
        <w:t>חיוב המתנה</w:t>
      </w:r>
    </w:p>
    <w:p w:rsidR="00C157C8" w:rsidRPr="00C157C8" w:rsidRDefault="00C157C8">
      <w:pPr>
        <w:pStyle w:val="Index1"/>
        <w:rPr>
          <w:rtl/>
        </w:rPr>
      </w:pPr>
      <w:r w:rsidRPr="00C157C8">
        <w:rPr>
          <w:rtl/>
          <w:lang w:bidi="he-IL"/>
        </w:rPr>
        <w:t>קפילא</w:t>
      </w:r>
    </w:p>
    <w:p w:rsidR="00C157C8" w:rsidRPr="00C157C8" w:rsidRDefault="00C157C8">
      <w:pPr>
        <w:pStyle w:val="Index2"/>
        <w:rPr>
          <w:rtl/>
        </w:rPr>
      </w:pPr>
      <w:r w:rsidRPr="00C157C8">
        <w:rPr>
          <w:rtl/>
          <w:lang w:bidi="he-IL"/>
        </w:rPr>
        <w:t>אי הוי דין לקולא או לחומרא</w:t>
      </w:r>
      <w:r w:rsidRPr="00C157C8">
        <w:rPr>
          <w:rtl/>
        </w:rPr>
        <w:tab/>
        <w:t>107</w:t>
      </w:r>
    </w:p>
    <w:p w:rsidR="00C157C8" w:rsidRPr="00C157C8" w:rsidRDefault="00C157C8">
      <w:pPr>
        <w:pStyle w:val="Index2"/>
        <w:rPr>
          <w:rtl/>
        </w:rPr>
      </w:pPr>
      <w:r w:rsidRPr="00C157C8">
        <w:rPr>
          <w:rtl/>
          <w:lang w:bidi="he-IL"/>
        </w:rPr>
        <w:t>אי מהני טעימתו למ</w:t>
      </w:r>
      <w:r w:rsidRPr="00C157C8">
        <w:rPr>
          <w:rtl/>
        </w:rPr>
        <w:t>"</w:t>
      </w:r>
      <w:r w:rsidRPr="00C157C8">
        <w:rPr>
          <w:rtl/>
          <w:lang w:bidi="he-IL"/>
        </w:rPr>
        <w:t>ד חענ</w:t>
      </w:r>
      <w:r w:rsidRPr="00C157C8">
        <w:rPr>
          <w:rtl/>
        </w:rPr>
        <w:t>"</w:t>
      </w:r>
      <w:r w:rsidRPr="00C157C8">
        <w:rPr>
          <w:rtl/>
          <w:lang w:bidi="he-IL"/>
        </w:rPr>
        <w:t>ן בשאר איסורים</w:t>
      </w:r>
      <w:r w:rsidRPr="00C157C8">
        <w:rPr>
          <w:rtl/>
        </w:rPr>
        <w:tab/>
        <w:t>91</w:t>
      </w:r>
    </w:p>
    <w:p w:rsidR="00C157C8" w:rsidRPr="00C157C8" w:rsidRDefault="00C157C8">
      <w:pPr>
        <w:pStyle w:val="Index2"/>
        <w:rPr>
          <w:rtl/>
        </w:rPr>
      </w:pPr>
      <w:r w:rsidRPr="00C157C8">
        <w:rPr>
          <w:rtl/>
          <w:lang w:bidi="he-IL"/>
        </w:rPr>
        <w:t>אי מהני כשיש בה חלב נבילה</w:t>
      </w:r>
      <w:r w:rsidRPr="00C157C8">
        <w:rPr>
          <w:rtl/>
        </w:rPr>
        <w:tab/>
        <w:t>91</w:t>
      </w:r>
    </w:p>
    <w:p w:rsidR="00C157C8" w:rsidRPr="00C157C8" w:rsidRDefault="00C157C8">
      <w:pPr>
        <w:pStyle w:val="Index2"/>
        <w:rPr>
          <w:rtl/>
        </w:rPr>
      </w:pPr>
      <w:r w:rsidRPr="00C157C8">
        <w:rPr>
          <w:rtl/>
          <w:lang w:bidi="he-IL"/>
        </w:rPr>
        <w:t>ב</w:t>
      </w:r>
      <w:r w:rsidRPr="00C157C8">
        <w:rPr>
          <w:rtl/>
        </w:rPr>
        <w:t xml:space="preserve">' </w:t>
      </w:r>
      <w:r w:rsidRPr="00C157C8">
        <w:rPr>
          <w:rtl/>
          <w:lang w:bidi="he-IL"/>
        </w:rPr>
        <w:t>הערות בדינו</w:t>
      </w:r>
      <w:r w:rsidRPr="00C157C8">
        <w:rPr>
          <w:rtl/>
        </w:rPr>
        <w:tab/>
        <w:t>302</w:t>
      </w:r>
    </w:p>
    <w:p w:rsidR="00C157C8" w:rsidRPr="00C157C8" w:rsidRDefault="00C157C8">
      <w:pPr>
        <w:pStyle w:val="Index2"/>
        <w:rPr>
          <w:rtl/>
        </w:rPr>
      </w:pPr>
      <w:r w:rsidRPr="00C157C8">
        <w:rPr>
          <w:rtl/>
          <w:lang w:bidi="he-IL"/>
        </w:rPr>
        <w:t>הדין למעשה</w:t>
      </w:r>
      <w:r w:rsidRPr="00C157C8">
        <w:rPr>
          <w:rtl/>
        </w:rPr>
        <w:tab/>
        <w:t>300</w:t>
      </w:r>
    </w:p>
    <w:p w:rsidR="00C157C8" w:rsidRPr="00C157C8" w:rsidRDefault="00C157C8">
      <w:pPr>
        <w:pStyle w:val="Index2"/>
        <w:rPr>
          <w:rtl/>
        </w:rPr>
      </w:pPr>
      <w:r w:rsidRPr="00C157C8">
        <w:rPr>
          <w:rtl/>
          <w:lang w:bidi="he-IL"/>
        </w:rPr>
        <w:t>הסוגיא דטעימת קפילא</w:t>
      </w:r>
      <w:r w:rsidRPr="00C157C8">
        <w:rPr>
          <w:rtl/>
        </w:rPr>
        <w:tab/>
        <w:t>106</w:t>
      </w:r>
    </w:p>
    <w:p w:rsidR="00C157C8" w:rsidRPr="00C157C8" w:rsidRDefault="00C157C8">
      <w:pPr>
        <w:pStyle w:val="Index2"/>
        <w:rPr>
          <w:rtl/>
        </w:rPr>
      </w:pPr>
      <w:r w:rsidRPr="00C157C8">
        <w:rPr>
          <w:rtl/>
          <w:lang w:bidi="he-IL"/>
        </w:rPr>
        <w:t>טעם שנאמן</w:t>
      </w:r>
      <w:r w:rsidRPr="00C157C8">
        <w:rPr>
          <w:rtl/>
        </w:rPr>
        <w:tab/>
        <w:t>299</w:t>
      </w:r>
    </w:p>
    <w:p w:rsidR="00C157C8" w:rsidRPr="00C157C8" w:rsidRDefault="00C157C8">
      <w:pPr>
        <w:pStyle w:val="Index1"/>
        <w:rPr>
          <w:rtl/>
        </w:rPr>
      </w:pPr>
      <w:r w:rsidRPr="00C157C8">
        <w:rPr>
          <w:rtl/>
          <w:lang w:bidi="he-IL"/>
        </w:rPr>
        <w:t>רוטב נבילה</w:t>
      </w:r>
      <w:r w:rsidRPr="00C157C8">
        <w:rPr>
          <w:rtl/>
        </w:rPr>
        <w:tab/>
      </w:r>
      <w:r w:rsidRPr="00C157C8">
        <w:rPr>
          <w:i/>
          <w:rtl/>
          <w:lang w:bidi="he-IL"/>
        </w:rPr>
        <w:t>ע</w:t>
      </w:r>
      <w:r w:rsidRPr="00C157C8">
        <w:rPr>
          <w:i/>
          <w:rtl/>
        </w:rPr>
        <w:t xml:space="preserve">' </w:t>
      </w:r>
      <w:r w:rsidRPr="00C157C8">
        <w:rPr>
          <w:i/>
          <w:rtl/>
          <w:lang w:bidi="he-IL"/>
        </w:rPr>
        <w:t>חלב נבילה</w:t>
      </w:r>
    </w:p>
    <w:p w:rsidR="00C157C8" w:rsidRPr="00C157C8" w:rsidRDefault="00C157C8">
      <w:pPr>
        <w:pStyle w:val="Index1"/>
        <w:rPr>
          <w:rtl/>
        </w:rPr>
      </w:pPr>
      <w:r w:rsidRPr="00C157C8">
        <w:rPr>
          <w:rtl/>
          <w:lang w:bidi="he-IL"/>
        </w:rPr>
        <w:t>ריחא מילתא</w:t>
      </w:r>
    </w:p>
    <w:p w:rsidR="00C157C8" w:rsidRPr="00C157C8" w:rsidRDefault="00C157C8">
      <w:pPr>
        <w:pStyle w:val="Index2"/>
        <w:rPr>
          <w:rtl/>
        </w:rPr>
      </w:pPr>
      <w:r w:rsidRPr="00C157C8">
        <w:rPr>
          <w:rtl/>
          <w:lang w:bidi="he-IL"/>
        </w:rPr>
        <w:t>אם הא דזיעה מכשרת ודין ריחא מילתא תלויין זה בזה</w:t>
      </w:r>
      <w:r w:rsidRPr="00C157C8">
        <w:rPr>
          <w:rtl/>
        </w:rPr>
        <w:tab/>
        <w:t>128</w:t>
      </w:r>
    </w:p>
    <w:p w:rsidR="00C157C8" w:rsidRPr="00C157C8" w:rsidRDefault="00C157C8">
      <w:pPr>
        <w:pStyle w:val="Index2"/>
        <w:rPr>
          <w:rtl/>
        </w:rPr>
      </w:pPr>
      <w:r w:rsidRPr="00C157C8">
        <w:rPr>
          <w:rtl/>
          <w:lang w:bidi="he-IL"/>
        </w:rPr>
        <w:t>בדאיכא ששים</w:t>
      </w:r>
      <w:r w:rsidRPr="00C157C8">
        <w:rPr>
          <w:rtl/>
        </w:rPr>
        <w:tab/>
        <w:t>377</w:t>
      </w:r>
    </w:p>
    <w:p w:rsidR="00C157C8" w:rsidRPr="00C157C8" w:rsidRDefault="00C157C8">
      <w:pPr>
        <w:pStyle w:val="Index2"/>
        <w:rPr>
          <w:rtl/>
        </w:rPr>
      </w:pPr>
      <w:r w:rsidRPr="00C157C8">
        <w:rPr>
          <w:rtl/>
          <w:lang w:bidi="he-IL"/>
        </w:rPr>
        <w:t>במאכלים כחושים</w:t>
      </w:r>
      <w:r w:rsidRPr="00C157C8">
        <w:rPr>
          <w:rtl/>
        </w:rPr>
        <w:tab/>
        <w:t>376</w:t>
      </w:r>
    </w:p>
    <w:p w:rsidR="00C157C8" w:rsidRPr="00C157C8" w:rsidRDefault="00C157C8">
      <w:pPr>
        <w:pStyle w:val="Index2"/>
        <w:rPr>
          <w:rtl/>
        </w:rPr>
      </w:pPr>
      <w:r w:rsidRPr="00C157C8">
        <w:rPr>
          <w:rtl/>
          <w:lang w:bidi="he-IL"/>
        </w:rPr>
        <w:t>בפשטידא</w:t>
      </w:r>
      <w:r w:rsidRPr="00C157C8">
        <w:rPr>
          <w:rtl/>
        </w:rPr>
        <w:tab/>
        <w:t>377</w:t>
      </w:r>
    </w:p>
    <w:p w:rsidR="00C157C8" w:rsidRPr="00C157C8" w:rsidRDefault="00C157C8">
      <w:pPr>
        <w:pStyle w:val="Index2"/>
        <w:rPr>
          <w:rtl/>
        </w:rPr>
      </w:pPr>
      <w:r w:rsidRPr="00C157C8">
        <w:rPr>
          <w:rtl/>
          <w:lang w:bidi="he-IL"/>
        </w:rPr>
        <w:t>ליאסר משום נהנה</w:t>
      </w:r>
      <w:r w:rsidRPr="00C157C8">
        <w:rPr>
          <w:rtl/>
        </w:rPr>
        <w:tab/>
        <w:t>124</w:t>
      </w:r>
    </w:p>
    <w:p w:rsidR="00C157C8" w:rsidRPr="00C157C8" w:rsidRDefault="00C157C8">
      <w:pPr>
        <w:pStyle w:val="Index2"/>
        <w:rPr>
          <w:rtl/>
        </w:rPr>
      </w:pPr>
      <w:r w:rsidRPr="00C157C8">
        <w:rPr>
          <w:rtl/>
          <w:lang w:bidi="he-IL"/>
        </w:rPr>
        <w:t>למה לא חששו לזיעה</w:t>
      </w:r>
      <w:r w:rsidRPr="00C157C8">
        <w:rPr>
          <w:rtl/>
        </w:rPr>
        <w:tab/>
        <w:t>378</w:t>
      </w:r>
    </w:p>
    <w:p w:rsidR="00C157C8" w:rsidRPr="00C157C8" w:rsidRDefault="00C157C8">
      <w:pPr>
        <w:pStyle w:val="Index2"/>
        <w:rPr>
          <w:rtl/>
        </w:rPr>
      </w:pPr>
      <w:r w:rsidRPr="00C157C8">
        <w:rPr>
          <w:rtl/>
          <w:lang w:bidi="he-IL"/>
        </w:rPr>
        <w:t xml:space="preserve">מחיצה מפסקת בין המאכלים </w:t>
      </w:r>
      <w:r w:rsidRPr="00C157C8">
        <w:rPr>
          <w:rtl/>
        </w:rPr>
        <w:t>(</w:t>
      </w:r>
      <w:r w:rsidRPr="00C157C8">
        <w:rPr>
          <w:rtl/>
          <w:lang w:bidi="he-IL"/>
        </w:rPr>
        <w:t>כעין ב</w:t>
      </w:r>
      <w:r w:rsidRPr="00C157C8">
        <w:rPr>
          <w:rtl/>
        </w:rPr>
        <w:t xml:space="preserve">' </w:t>
      </w:r>
      <w:r w:rsidRPr="00C157C8">
        <w:rPr>
          <w:rtl/>
          <w:lang w:bidi="he-IL"/>
        </w:rPr>
        <w:t>קדירות</w:t>
      </w:r>
      <w:r w:rsidRPr="00C157C8">
        <w:rPr>
          <w:rtl/>
        </w:rPr>
        <w:t>)</w:t>
      </w:r>
      <w:r w:rsidRPr="00C157C8">
        <w:rPr>
          <w:rtl/>
        </w:rPr>
        <w:tab/>
        <w:t>375</w:t>
      </w:r>
    </w:p>
    <w:p w:rsidR="00C157C8" w:rsidRPr="00C157C8" w:rsidRDefault="00C157C8">
      <w:pPr>
        <w:pStyle w:val="Index2"/>
        <w:rPr>
          <w:rtl/>
        </w:rPr>
      </w:pPr>
      <w:r w:rsidRPr="00C157C8">
        <w:rPr>
          <w:rtl/>
          <w:lang w:bidi="he-IL"/>
        </w:rPr>
        <w:t>סוגיית הגמרא</w:t>
      </w:r>
      <w:r w:rsidRPr="00C157C8">
        <w:rPr>
          <w:rtl/>
        </w:rPr>
        <w:tab/>
        <w:t>121, 373</w:t>
      </w:r>
    </w:p>
    <w:p w:rsidR="00C157C8" w:rsidRPr="00C157C8" w:rsidRDefault="00C157C8">
      <w:pPr>
        <w:pStyle w:val="Index2"/>
        <w:rPr>
          <w:rtl/>
        </w:rPr>
      </w:pPr>
      <w:r w:rsidRPr="00C157C8">
        <w:rPr>
          <w:rtl/>
          <w:lang w:bidi="he-IL"/>
        </w:rPr>
        <w:t>שיטת הרי</w:t>
      </w:r>
      <w:r w:rsidRPr="00C157C8">
        <w:rPr>
          <w:rtl/>
        </w:rPr>
        <w:t>"</w:t>
      </w:r>
      <w:r w:rsidRPr="00C157C8">
        <w:rPr>
          <w:rtl/>
          <w:lang w:bidi="he-IL"/>
        </w:rPr>
        <w:t>ף בסוגיא</w:t>
      </w:r>
      <w:r w:rsidRPr="00C157C8">
        <w:rPr>
          <w:rtl/>
        </w:rPr>
        <w:tab/>
        <w:t>125</w:t>
      </w:r>
    </w:p>
    <w:p w:rsidR="00C157C8" w:rsidRPr="00C157C8" w:rsidRDefault="00C157C8">
      <w:pPr>
        <w:pStyle w:val="Index2"/>
        <w:rPr>
          <w:rtl/>
        </w:rPr>
      </w:pPr>
      <w:r w:rsidRPr="00C157C8">
        <w:rPr>
          <w:rtl/>
          <w:lang w:bidi="he-IL"/>
        </w:rPr>
        <w:t>תנור גדול</w:t>
      </w:r>
      <w:r w:rsidRPr="00C157C8">
        <w:rPr>
          <w:rtl/>
        </w:rPr>
        <w:t xml:space="preserve">, </w:t>
      </w:r>
      <w:r w:rsidRPr="00C157C8">
        <w:rPr>
          <w:rtl/>
          <w:lang w:bidi="he-IL"/>
        </w:rPr>
        <w:t>ותנור סתום</w:t>
      </w:r>
      <w:r w:rsidRPr="00C157C8">
        <w:rPr>
          <w:rtl/>
        </w:rPr>
        <w:tab/>
        <w:t>374</w:t>
      </w:r>
    </w:p>
    <w:p w:rsidR="00C157C8" w:rsidRPr="00C157C8" w:rsidRDefault="00C157C8">
      <w:pPr>
        <w:pStyle w:val="Index1"/>
        <w:rPr>
          <w:rtl/>
        </w:rPr>
      </w:pPr>
      <w:r w:rsidRPr="00C157C8">
        <w:rPr>
          <w:rtl/>
          <w:lang w:bidi="he-IL"/>
        </w:rPr>
        <w:t>שאני אומר וכו</w:t>
      </w:r>
      <w:r w:rsidRPr="00C157C8">
        <w:rPr>
          <w:rtl/>
        </w:rPr>
        <w:t>'</w:t>
      </w:r>
    </w:p>
    <w:p w:rsidR="00C157C8" w:rsidRPr="00C157C8" w:rsidRDefault="00C157C8">
      <w:pPr>
        <w:pStyle w:val="Index2"/>
        <w:rPr>
          <w:rtl/>
        </w:rPr>
      </w:pPr>
      <w:r w:rsidRPr="00C157C8">
        <w:rPr>
          <w:rtl/>
          <w:lang w:bidi="he-IL"/>
        </w:rPr>
        <w:t>אי אמרינן לי</w:t>
      </w:r>
      <w:r w:rsidRPr="00C157C8">
        <w:rPr>
          <w:rtl/>
        </w:rPr>
        <w:t xml:space="preserve">' </w:t>
      </w:r>
      <w:r w:rsidRPr="00C157C8">
        <w:rPr>
          <w:rtl/>
          <w:lang w:bidi="he-IL"/>
        </w:rPr>
        <w:t>אפילו באיסור דאורייתא</w:t>
      </w:r>
      <w:r w:rsidRPr="00C157C8">
        <w:rPr>
          <w:rtl/>
        </w:rPr>
        <w:tab/>
        <w:t>10</w:t>
      </w:r>
    </w:p>
    <w:p w:rsidR="00C157C8" w:rsidRPr="00C157C8" w:rsidRDefault="00C157C8">
      <w:pPr>
        <w:pStyle w:val="Index1"/>
        <w:rPr>
          <w:rtl/>
        </w:rPr>
      </w:pPr>
      <w:r w:rsidRPr="00C157C8">
        <w:rPr>
          <w:rtl/>
          <w:lang w:bidi="he-IL"/>
        </w:rPr>
        <w:t>שיעור ששים</w:t>
      </w:r>
    </w:p>
    <w:p w:rsidR="00C157C8" w:rsidRPr="00C157C8" w:rsidRDefault="00C157C8">
      <w:pPr>
        <w:pStyle w:val="Index2"/>
        <w:rPr>
          <w:rtl/>
        </w:rPr>
      </w:pPr>
      <w:r w:rsidRPr="00C157C8">
        <w:rPr>
          <w:rtl/>
          <w:lang w:bidi="he-IL"/>
        </w:rPr>
        <w:t>אם איסורים מבטלים זה את זה</w:t>
      </w:r>
      <w:r w:rsidRPr="00C157C8">
        <w:rPr>
          <w:rtl/>
        </w:rPr>
        <w:tab/>
        <w:t>313</w:t>
      </w:r>
    </w:p>
    <w:p w:rsidR="00C157C8" w:rsidRPr="00C157C8" w:rsidRDefault="00C157C8">
      <w:pPr>
        <w:pStyle w:val="Index2"/>
        <w:rPr>
          <w:rtl/>
        </w:rPr>
      </w:pPr>
      <w:r w:rsidRPr="00C157C8">
        <w:rPr>
          <w:rtl/>
          <w:lang w:bidi="he-IL"/>
        </w:rPr>
        <w:t>אם החפצא דאיסורא עצמה עולה למנין ס</w:t>
      </w:r>
      <w:r w:rsidRPr="00C157C8">
        <w:rPr>
          <w:rtl/>
        </w:rPr>
        <w:t>'</w:t>
      </w:r>
      <w:r w:rsidRPr="00C157C8">
        <w:rPr>
          <w:rtl/>
        </w:rPr>
        <w:tab/>
        <w:t>316</w:t>
      </w:r>
    </w:p>
    <w:p w:rsidR="00C157C8" w:rsidRPr="00C157C8" w:rsidRDefault="00C157C8">
      <w:pPr>
        <w:pStyle w:val="Index2"/>
        <w:rPr>
          <w:rtl/>
        </w:rPr>
      </w:pPr>
      <w:r w:rsidRPr="00C157C8">
        <w:rPr>
          <w:rtl/>
          <w:lang w:bidi="he-IL"/>
        </w:rPr>
        <w:t>אם השיעור ששים כולל העצמות</w:t>
      </w:r>
      <w:r w:rsidRPr="00C157C8">
        <w:rPr>
          <w:rtl/>
        </w:rPr>
        <w:tab/>
        <w:t>112</w:t>
      </w:r>
    </w:p>
    <w:p w:rsidR="00C157C8" w:rsidRPr="00C157C8" w:rsidRDefault="00C157C8">
      <w:pPr>
        <w:pStyle w:val="Index2"/>
        <w:rPr>
          <w:rtl/>
        </w:rPr>
      </w:pPr>
      <w:r w:rsidRPr="00C157C8">
        <w:rPr>
          <w:rtl/>
          <w:lang w:bidi="he-IL"/>
        </w:rPr>
        <w:t>אם מספיק בהכניס כף פעמיים</w:t>
      </w:r>
      <w:r w:rsidRPr="00C157C8">
        <w:rPr>
          <w:rtl/>
        </w:rPr>
        <w:tab/>
        <w:t>248</w:t>
      </w:r>
    </w:p>
    <w:p w:rsidR="00C157C8" w:rsidRPr="00C157C8" w:rsidRDefault="00C157C8">
      <w:pPr>
        <w:pStyle w:val="Index2"/>
        <w:rPr>
          <w:rtl/>
        </w:rPr>
      </w:pPr>
      <w:r w:rsidRPr="00C157C8">
        <w:rPr>
          <w:rtl/>
          <w:lang w:bidi="he-IL"/>
        </w:rPr>
        <w:t>אם משערין במאי דבלע הקדירה</w:t>
      </w:r>
      <w:r w:rsidRPr="00C157C8">
        <w:rPr>
          <w:rtl/>
        </w:rPr>
        <w:tab/>
        <w:t>316</w:t>
      </w:r>
    </w:p>
    <w:p w:rsidR="00C157C8" w:rsidRPr="00C157C8" w:rsidRDefault="00C157C8">
      <w:pPr>
        <w:pStyle w:val="Index2"/>
        <w:rPr>
          <w:rtl/>
        </w:rPr>
      </w:pPr>
      <w:r w:rsidRPr="00C157C8">
        <w:rPr>
          <w:rtl/>
          <w:lang w:bidi="he-IL"/>
        </w:rPr>
        <w:t>אם משערין בעצמות</w:t>
      </w:r>
      <w:r w:rsidRPr="00C157C8">
        <w:rPr>
          <w:rtl/>
        </w:rPr>
        <w:tab/>
        <w:t>315</w:t>
      </w:r>
    </w:p>
    <w:p w:rsidR="00C157C8" w:rsidRPr="00C157C8" w:rsidRDefault="00C157C8">
      <w:pPr>
        <w:pStyle w:val="Index2"/>
        <w:rPr>
          <w:rtl/>
        </w:rPr>
      </w:pPr>
      <w:r w:rsidRPr="00C157C8">
        <w:rPr>
          <w:rtl/>
          <w:lang w:bidi="he-IL"/>
        </w:rPr>
        <w:lastRenderedPageBreak/>
        <w:t>אם משערין בקדרה</w:t>
      </w:r>
      <w:r w:rsidRPr="00C157C8">
        <w:rPr>
          <w:rtl/>
        </w:rPr>
        <w:tab/>
        <w:t>315</w:t>
      </w:r>
    </w:p>
    <w:p w:rsidR="00C157C8" w:rsidRPr="00C157C8" w:rsidRDefault="00C157C8">
      <w:pPr>
        <w:pStyle w:val="Index2"/>
        <w:rPr>
          <w:rtl/>
        </w:rPr>
      </w:pPr>
      <w:r w:rsidRPr="00C157C8">
        <w:rPr>
          <w:rtl/>
          <w:lang w:bidi="he-IL"/>
        </w:rPr>
        <w:t>אם משערין בקדרה עצמה או במאי דבלע</w:t>
      </w:r>
      <w:r w:rsidRPr="00C157C8">
        <w:rPr>
          <w:rtl/>
        </w:rPr>
        <w:tab/>
        <w:t>110</w:t>
      </w:r>
    </w:p>
    <w:p w:rsidR="00C157C8" w:rsidRPr="00C157C8" w:rsidRDefault="00C157C8">
      <w:pPr>
        <w:pStyle w:val="Index2"/>
        <w:rPr>
          <w:rtl/>
        </w:rPr>
      </w:pPr>
      <w:r w:rsidRPr="00C157C8">
        <w:rPr>
          <w:rtl/>
          <w:lang w:bidi="he-IL"/>
        </w:rPr>
        <w:t>בכחל</w:t>
      </w:r>
      <w:r w:rsidRPr="00C157C8">
        <w:rPr>
          <w:rtl/>
        </w:rPr>
        <w:tab/>
        <w:t>113</w:t>
      </w:r>
    </w:p>
    <w:p w:rsidR="00C157C8" w:rsidRPr="00C157C8" w:rsidRDefault="00C157C8">
      <w:pPr>
        <w:pStyle w:val="Index2"/>
        <w:rPr>
          <w:rtl/>
        </w:rPr>
      </w:pPr>
      <w:r w:rsidRPr="00C157C8">
        <w:rPr>
          <w:rtl/>
          <w:lang w:bidi="he-IL"/>
        </w:rPr>
        <w:t>במילתא דעבידא לטעמא</w:t>
      </w:r>
      <w:r w:rsidRPr="00C157C8">
        <w:rPr>
          <w:rtl/>
        </w:rPr>
        <w:tab/>
        <w:t>312</w:t>
      </w:r>
    </w:p>
    <w:p w:rsidR="00C157C8" w:rsidRPr="00C157C8" w:rsidRDefault="00C157C8">
      <w:pPr>
        <w:pStyle w:val="Index2"/>
        <w:rPr>
          <w:rtl/>
        </w:rPr>
      </w:pPr>
      <w:r w:rsidRPr="00C157C8">
        <w:rPr>
          <w:rtl/>
          <w:lang w:bidi="he-IL"/>
        </w:rPr>
        <w:t>במין במינו</w:t>
      </w:r>
      <w:r w:rsidRPr="00C157C8">
        <w:rPr>
          <w:rtl/>
        </w:rPr>
        <w:t xml:space="preserve">, </w:t>
      </w:r>
      <w:r w:rsidRPr="00C157C8">
        <w:rPr>
          <w:rtl/>
          <w:lang w:bidi="he-IL"/>
        </w:rPr>
        <w:t>הטעם</w:t>
      </w:r>
      <w:r w:rsidRPr="00C157C8">
        <w:rPr>
          <w:rtl/>
        </w:rPr>
        <w:tab/>
        <w:t>56</w:t>
      </w:r>
    </w:p>
    <w:p w:rsidR="00C157C8" w:rsidRPr="00C157C8" w:rsidRDefault="00C157C8">
      <w:pPr>
        <w:pStyle w:val="Index2"/>
        <w:rPr>
          <w:rtl/>
        </w:rPr>
      </w:pPr>
      <w:r w:rsidRPr="00C157C8">
        <w:rPr>
          <w:rtl/>
          <w:lang w:bidi="he-IL"/>
        </w:rPr>
        <w:t>בנפל אותה חתיכה פעמיים לתוך אותה קדרה</w:t>
      </w:r>
      <w:r w:rsidRPr="00C157C8">
        <w:rPr>
          <w:rtl/>
        </w:rPr>
        <w:tab/>
        <w:t>311</w:t>
      </w:r>
    </w:p>
    <w:p w:rsidR="00C157C8" w:rsidRPr="00C157C8" w:rsidRDefault="00C157C8">
      <w:pPr>
        <w:pStyle w:val="Index2"/>
        <w:rPr>
          <w:rtl/>
        </w:rPr>
      </w:pPr>
      <w:r w:rsidRPr="00C157C8">
        <w:rPr>
          <w:rtl/>
          <w:lang w:bidi="he-IL"/>
        </w:rPr>
        <w:t>בתערובת תבלין בתבלין</w:t>
      </w:r>
      <w:r w:rsidRPr="00C157C8">
        <w:rPr>
          <w:rtl/>
        </w:rPr>
        <w:tab/>
        <w:t>312</w:t>
      </w:r>
    </w:p>
    <w:p w:rsidR="00C157C8" w:rsidRPr="00C157C8" w:rsidRDefault="00C157C8">
      <w:pPr>
        <w:pStyle w:val="Index2"/>
        <w:rPr>
          <w:rtl/>
        </w:rPr>
      </w:pPr>
      <w:r w:rsidRPr="00C157C8">
        <w:rPr>
          <w:rtl/>
          <w:lang w:bidi="he-IL"/>
        </w:rPr>
        <w:t>השיעור דכבצל בלפת</w:t>
      </w:r>
      <w:r w:rsidRPr="00C157C8">
        <w:rPr>
          <w:rtl/>
        </w:rPr>
        <w:tab/>
        <w:t>101</w:t>
      </w:r>
    </w:p>
    <w:p w:rsidR="00C157C8" w:rsidRPr="00C157C8" w:rsidRDefault="00C157C8">
      <w:pPr>
        <w:pStyle w:val="Index2"/>
        <w:rPr>
          <w:rtl/>
        </w:rPr>
      </w:pPr>
      <w:r w:rsidRPr="00C157C8">
        <w:rPr>
          <w:rtl/>
          <w:lang w:bidi="he-IL"/>
        </w:rPr>
        <w:t>השערתו בכל הכלי</w:t>
      </w:r>
      <w:r w:rsidRPr="00C157C8">
        <w:rPr>
          <w:rtl/>
        </w:rPr>
        <w:tab/>
        <w:t>308</w:t>
      </w:r>
    </w:p>
    <w:p w:rsidR="00C157C8" w:rsidRPr="00C157C8" w:rsidRDefault="00C157C8">
      <w:pPr>
        <w:pStyle w:val="Index2"/>
        <w:rPr>
          <w:rtl/>
        </w:rPr>
      </w:pPr>
      <w:r w:rsidRPr="00C157C8">
        <w:rPr>
          <w:rtl/>
          <w:lang w:bidi="he-IL"/>
        </w:rPr>
        <w:t>השערתו במאי דנפיק מיני</w:t>
      </w:r>
      <w:r w:rsidRPr="00C157C8">
        <w:rPr>
          <w:rtl/>
        </w:rPr>
        <w:t>'</w:t>
      </w:r>
      <w:r w:rsidRPr="00C157C8">
        <w:rPr>
          <w:rtl/>
        </w:rPr>
        <w:tab/>
        <w:t>113, 308</w:t>
      </w:r>
    </w:p>
    <w:p w:rsidR="00C157C8" w:rsidRPr="00C157C8" w:rsidRDefault="00C157C8">
      <w:pPr>
        <w:pStyle w:val="Index2"/>
        <w:rPr>
          <w:rtl/>
        </w:rPr>
      </w:pPr>
      <w:r w:rsidRPr="00C157C8">
        <w:rPr>
          <w:rtl/>
          <w:lang w:bidi="he-IL"/>
        </w:rPr>
        <w:t>כששופך תבשיל שיש בה דג טמא לתוך כלי אחר</w:t>
      </w:r>
      <w:r w:rsidRPr="00C157C8">
        <w:rPr>
          <w:rtl/>
        </w:rPr>
        <w:tab/>
        <w:t>370</w:t>
      </w:r>
    </w:p>
    <w:p w:rsidR="00C157C8" w:rsidRPr="00C157C8" w:rsidRDefault="00C157C8">
      <w:pPr>
        <w:pStyle w:val="Index1"/>
        <w:rPr>
          <w:rtl/>
        </w:rPr>
      </w:pPr>
      <w:r w:rsidRPr="00C157C8">
        <w:rPr>
          <w:rtl/>
          <w:lang w:bidi="he-IL"/>
        </w:rPr>
        <w:t>שעטנז</w:t>
      </w:r>
    </w:p>
    <w:p w:rsidR="00C157C8" w:rsidRPr="00C157C8" w:rsidRDefault="00C157C8">
      <w:pPr>
        <w:pStyle w:val="Index2"/>
        <w:rPr>
          <w:rtl/>
        </w:rPr>
      </w:pPr>
      <w:r w:rsidRPr="00C157C8">
        <w:rPr>
          <w:rtl/>
          <w:lang w:bidi="he-IL"/>
        </w:rPr>
        <w:t>אם יש בה דין ביטול ברוב</w:t>
      </w:r>
      <w:r w:rsidRPr="00C157C8">
        <w:rPr>
          <w:rtl/>
        </w:rPr>
        <w:tab/>
        <w:t>115</w:t>
      </w:r>
    </w:p>
    <w:p w:rsidR="00C157C8" w:rsidRPr="00C157C8" w:rsidRDefault="00C157C8">
      <w:pPr>
        <w:pStyle w:val="Index2"/>
        <w:rPr>
          <w:rtl/>
        </w:rPr>
      </w:pPr>
      <w:r w:rsidRPr="00C157C8">
        <w:rPr>
          <w:rtl/>
          <w:lang w:bidi="he-IL"/>
        </w:rPr>
        <w:t>החילוק בינה לבשר בחלב בדין ביטול ברוב</w:t>
      </w:r>
      <w:r w:rsidRPr="00C157C8">
        <w:rPr>
          <w:rtl/>
        </w:rPr>
        <w:tab/>
        <w:t>116</w:t>
      </w:r>
    </w:p>
    <w:p w:rsidR="00C157C8" w:rsidRPr="00C157C8" w:rsidRDefault="00C157C8">
      <w:pPr>
        <w:pStyle w:val="Index1"/>
        <w:rPr>
          <w:rtl/>
        </w:rPr>
      </w:pPr>
      <w:r w:rsidRPr="00C157C8">
        <w:rPr>
          <w:rtl/>
          <w:lang w:bidi="he-IL"/>
        </w:rPr>
        <w:t>תולעים</w:t>
      </w:r>
    </w:p>
    <w:p w:rsidR="00C157C8" w:rsidRPr="00C157C8" w:rsidRDefault="00C157C8">
      <w:pPr>
        <w:pStyle w:val="Index2"/>
        <w:rPr>
          <w:rtl/>
        </w:rPr>
      </w:pPr>
      <w:r w:rsidRPr="00C157C8">
        <w:rPr>
          <w:rtl/>
          <w:lang w:bidi="he-IL"/>
        </w:rPr>
        <w:t>ביטולם</w:t>
      </w:r>
      <w:r w:rsidRPr="00C157C8">
        <w:rPr>
          <w:rtl/>
        </w:rPr>
        <w:tab/>
        <w:t>332</w:t>
      </w:r>
    </w:p>
    <w:p w:rsidR="00C157C8" w:rsidRPr="00C157C8" w:rsidRDefault="00C157C8">
      <w:pPr>
        <w:pStyle w:val="Index2"/>
        <w:rPr>
          <w:rtl/>
        </w:rPr>
      </w:pPr>
      <w:r w:rsidRPr="00C157C8">
        <w:rPr>
          <w:rtl/>
          <w:lang w:bidi="he-IL"/>
        </w:rPr>
        <w:t>כשמצאו שלשה</w:t>
      </w:r>
      <w:r w:rsidRPr="00C157C8">
        <w:rPr>
          <w:rtl/>
        </w:rPr>
        <w:tab/>
        <w:t>334</w:t>
      </w:r>
    </w:p>
    <w:p w:rsidR="00C157C8" w:rsidRPr="00C157C8" w:rsidRDefault="00C157C8">
      <w:pPr>
        <w:pStyle w:val="Index1"/>
        <w:rPr>
          <w:rtl/>
        </w:rPr>
      </w:pPr>
      <w:r w:rsidRPr="00C157C8">
        <w:rPr>
          <w:rtl/>
          <w:lang w:bidi="he-IL"/>
        </w:rPr>
        <w:t>תערובת חמץ</w:t>
      </w:r>
    </w:p>
    <w:p w:rsidR="00C157C8" w:rsidRPr="00C157C8" w:rsidRDefault="00C157C8">
      <w:pPr>
        <w:pStyle w:val="Index2"/>
        <w:rPr>
          <w:rtl/>
        </w:rPr>
      </w:pPr>
      <w:r w:rsidRPr="00C157C8">
        <w:rPr>
          <w:rtl/>
          <w:lang w:bidi="he-IL"/>
        </w:rPr>
        <w:t>ביטול יבש ביבש</w:t>
      </w:r>
      <w:r w:rsidRPr="00C157C8">
        <w:rPr>
          <w:rtl/>
        </w:rPr>
        <w:tab/>
        <w:t>430, 435</w:t>
      </w:r>
    </w:p>
    <w:p w:rsidR="00C157C8" w:rsidRPr="00C157C8" w:rsidRDefault="00C157C8">
      <w:pPr>
        <w:pStyle w:val="Index2"/>
        <w:rPr>
          <w:rtl/>
        </w:rPr>
      </w:pPr>
      <w:r w:rsidRPr="00C157C8">
        <w:rPr>
          <w:rtl/>
          <w:lang w:bidi="he-IL"/>
        </w:rPr>
        <w:t>הדין למעשה</w:t>
      </w:r>
      <w:r w:rsidRPr="00C157C8">
        <w:rPr>
          <w:rtl/>
        </w:rPr>
        <w:tab/>
        <w:t>432</w:t>
      </w:r>
    </w:p>
    <w:p w:rsidR="00C157C8" w:rsidRPr="00C157C8" w:rsidRDefault="00C157C8">
      <w:pPr>
        <w:pStyle w:val="Index2"/>
        <w:rPr>
          <w:rtl/>
        </w:rPr>
      </w:pPr>
      <w:r w:rsidRPr="00C157C8">
        <w:rPr>
          <w:rtl/>
          <w:lang w:bidi="he-IL"/>
        </w:rPr>
        <w:t>חוזר וניעור</w:t>
      </w:r>
      <w:r w:rsidRPr="00C157C8">
        <w:rPr>
          <w:rtl/>
        </w:rPr>
        <w:tab/>
        <w:t>431</w:t>
      </w:r>
    </w:p>
    <w:p w:rsidR="00C157C8" w:rsidRPr="00C157C8" w:rsidRDefault="00C157C8">
      <w:pPr>
        <w:pStyle w:val="Index2"/>
        <w:rPr>
          <w:rtl/>
        </w:rPr>
      </w:pPr>
      <w:r w:rsidRPr="00C157C8">
        <w:rPr>
          <w:rtl/>
          <w:lang w:bidi="he-IL"/>
        </w:rPr>
        <w:t>מו</w:t>
      </w:r>
      <w:r w:rsidRPr="00C157C8">
        <w:rPr>
          <w:rtl/>
        </w:rPr>
        <w:t xml:space="preserve">' </w:t>
      </w:r>
      <w:r w:rsidRPr="00C157C8">
        <w:rPr>
          <w:rtl/>
          <w:lang w:bidi="he-IL"/>
        </w:rPr>
        <w:t>שעות עד הערב</w:t>
      </w:r>
      <w:r w:rsidRPr="00C157C8">
        <w:rPr>
          <w:rtl/>
        </w:rPr>
        <w:tab/>
        <w:t>430</w:t>
      </w:r>
    </w:p>
    <w:p w:rsidR="00C157C8" w:rsidRPr="00C157C8" w:rsidRDefault="00C157C8">
      <w:pPr>
        <w:pStyle w:val="Index2"/>
        <w:rPr>
          <w:rtl/>
        </w:rPr>
      </w:pPr>
      <w:r w:rsidRPr="00C157C8">
        <w:rPr>
          <w:rtl/>
          <w:lang w:bidi="he-IL"/>
        </w:rPr>
        <w:t>נטל</w:t>
      </w:r>
      <w:r w:rsidRPr="00C157C8">
        <w:rPr>
          <w:rtl/>
        </w:rPr>
        <w:t>"</w:t>
      </w:r>
      <w:r w:rsidRPr="00C157C8">
        <w:rPr>
          <w:rtl/>
          <w:lang w:bidi="he-IL"/>
        </w:rPr>
        <w:t>פ</w:t>
      </w:r>
      <w:r w:rsidRPr="00C157C8">
        <w:rPr>
          <w:rtl/>
        </w:rPr>
        <w:tab/>
        <w:t>435</w:t>
      </w:r>
    </w:p>
    <w:p w:rsidR="00C157C8" w:rsidRPr="00C157C8" w:rsidRDefault="00C157C8">
      <w:pPr>
        <w:pStyle w:val="Index2"/>
        <w:rPr>
          <w:rtl/>
        </w:rPr>
      </w:pPr>
      <w:r w:rsidRPr="00C157C8">
        <w:rPr>
          <w:rtl/>
          <w:lang w:bidi="he-IL"/>
        </w:rPr>
        <w:t>סוגיית הגמרא</w:t>
      </w:r>
      <w:r w:rsidRPr="00C157C8">
        <w:rPr>
          <w:rtl/>
        </w:rPr>
        <w:tab/>
        <w:t>427</w:t>
      </w:r>
    </w:p>
    <w:p w:rsidR="00C157C8" w:rsidRPr="00C157C8" w:rsidRDefault="00C157C8">
      <w:pPr>
        <w:pStyle w:val="Index1"/>
        <w:rPr>
          <w:rtl/>
        </w:rPr>
      </w:pPr>
      <w:r w:rsidRPr="00C157C8">
        <w:rPr>
          <w:rtl/>
          <w:lang w:bidi="he-IL"/>
        </w:rPr>
        <w:t xml:space="preserve">תערובת מין במינו </w:t>
      </w:r>
      <w:r w:rsidRPr="00C157C8">
        <w:rPr>
          <w:rtl/>
        </w:rPr>
        <w:t>(</w:t>
      </w:r>
      <w:r w:rsidRPr="00C157C8">
        <w:rPr>
          <w:rtl/>
          <w:lang w:bidi="he-IL"/>
        </w:rPr>
        <w:t>פי</w:t>
      </w:r>
      <w:r w:rsidRPr="00C157C8">
        <w:rPr>
          <w:rtl/>
        </w:rPr>
        <w:t xml:space="preserve">' </w:t>
      </w:r>
      <w:r w:rsidRPr="00C157C8">
        <w:rPr>
          <w:rtl/>
          <w:lang w:bidi="he-IL"/>
        </w:rPr>
        <w:t>בדליכא טכ</w:t>
      </w:r>
      <w:r w:rsidRPr="00C157C8">
        <w:rPr>
          <w:rtl/>
        </w:rPr>
        <w:t>"</w:t>
      </w:r>
      <w:r w:rsidRPr="00C157C8">
        <w:rPr>
          <w:rtl/>
          <w:lang w:bidi="he-IL"/>
        </w:rPr>
        <w:t>ע</w:t>
      </w:r>
      <w:r w:rsidRPr="00C157C8">
        <w:rPr>
          <w:rtl/>
        </w:rPr>
        <w:t>)</w:t>
      </w:r>
    </w:p>
    <w:p w:rsidR="00C157C8" w:rsidRPr="00C157C8" w:rsidRDefault="00C157C8">
      <w:pPr>
        <w:pStyle w:val="Index2"/>
        <w:rPr>
          <w:rtl/>
        </w:rPr>
      </w:pPr>
      <w:r w:rsidRPr="00C157C8">
        <w:rPr>
          <w:rtl/>
          <w:lang w:bidi="he-IL"/>
        </w:rPr>
        <w:t>אי אזלינן בתר שמא או טעמא</w:t>
      </w:r>
      <w:r w:rsidRPr="00C157C8">
        <w:rPr>
          <w:rtl/>
        </w:rPr>
        <w:tab/>
        <w:t>44</w:t>
      </w:r>
    </w:p>
    <w:p w:rsidR="00C157C8" w:rsidRPr="00C157C8" w:rsidRDefault="00C157C8">
      <w:pPr>
        <w:pStyle w:val="Index2"/>
        <w:rPr>
          <w:rtl/>
        </w:rPr>
      </w:pPr>
      <w:r w:rsidRPr="00C157C8">
        <w:rPr>
          <w:rtl/>
          <w:lang w:bidi="he-IL"/>
        </w:rPr>
        <w:t>אם צריך לדין ביטול ברוב</w:t>
      </w:r>
      <w:r w:rsidRPr="00C157C8">
        <w:rPr>
          <w:rtl/>
        </w:rPr>
        <w:tab/>
        <w:t>28</w:t>
      </w:r>
    </w:p>
    <w:p w:rsidR="00C157C8" w:rsidRPr="00C157C8" w:rsidRDefault="00C157C8">
      <w:pPr>
        <w:pStyle w:val="Index2"/>
        <w:rPr>
          <w:rtl/>
        </w:rPr>
      </w:pPr>
      <w:r w:rsidRPr="00C157C8">
        <w:rPr>
          <w:rtl/>
          <w:lang w:bidi="he-IL"/>
        </w:rPr>
        <w:t xml:space="preserve">חלב </w:t>
      </w:r>
      <w:r w:rsidRPr="00C157C8">
        <w:rPr>
          <w:rtl/>
        </w:rPr>
        <w:t>(</w:t>
      </w:r>
      <w:r w:rsidRPr="00C157C8">
        <w:rPr>
          <w:rtl/>
          <w:lang w:bidi="he-IL"/>
        </w:rPr>
        <w:t>בציר</w:t>
      </w:r>
      <w:r w:rsidRPr="00C157C8">
        <w:rPr>
          <w:rtl/>
        </w:rPr>
        <w:t>"</w:t>
      </w:r>
      <w:r w:rsidRPr="00C157C8">
        <w:rPr>
          <w:rtl/>
          <w:lang w:bidi="he-IL"/>
        </w:rPr>
        <w:t>ה</w:t>
      </w:r>
      <w:r w:rsidRPr="00C157C8">
        <w:rPr>
          <w:rtl/>
        </w:rPr>
        <w:t xml:space="preserve">) </w:t>
      </w:r>
      <w:r w:rsidRPr="00C157C8">
        <w:rPr>
          <w:rtl/>
          <w:lang w:bidi="he-IL"/>
        </w:rPr>
        <w:t>בבשר</w:t>
      </w:r>
      <w:r w:rsidRPr="00C157C8">
        <w:rPr>
          <w:rtl/>
        </w:rPr>
        <w:tab/>
        <w:t>301</w:t>
      </w:r>
    </w:p>
    <w:p w:rsidR="00C157C8" w:rsidRPr="00C157C8" w:rsidRDefault="00C157C8">
      <w:pPr>
        <w:pStyle w:val="Index2"/>
        <w:rPr>
          <w:rtl/>
        </w:rPr>
      </w:pPr>
      <w:r w:rsidRPr="00C157C8">
        <w:rPr>
          <w:rtl/>
          <w:lang w:bidi="he-IL"/>
        </w:rPr>
        <w:t>תבלין בתבלין</w:t>
      </w:r>
      <w:r w:rsidRPr="00C157C8">
        <w:rPr>
          <w:rtl/>
        </w:rPr>
        <w:tab/>
        <w:t>312</w:t>
      </w:r>
    </w:p>
    <w:p w:rsidR="00C157C8" w:rsidRPr="00C157C8" w:rsidRDefault="00C157C8">
      <w:pPr>
        <w:pStyle w:val="Index1"/>
        <w:rPr>
          <w:rtl/>
        </w:rPr>
      </w:pPr>
      <w:r w:rsidRPr="00C157C8">
        <w:rPr>
          <w:rtl/>
          <w:lang w:bidi="he-IL"/>
        </w:rPr>
        <w:t xml:space="preserve">תתאה גבר </w:t>
      </w:r>
      <w:r w:rsidRPr="00C157C8">
        <w:rPr>
          <w:rtl/>
        </w:rPr>
        <w:t xml:space="preserve">/ </w:t>
      </w:r>
      <w:r w:rsidRPr="00C157C8">
        <w:rPr>
          <w:rtl/>
          <w:lang w:bidi="he-IL"/>
        </w:rPr>
        <w:t>עילאה גבר</w:t>
      </w:r>
    </w:p>
    <w:p w:rsidR="00C157C8" w:rsidRPr="00C157C8" w:rsidRDefault="00C157C8">
      <w:pPr>
        <w:pStyle w:val="Index2"/>
        <w:rPr>
          <w:rtl/>
        </w:rPr>
      </w:pPr>
      <w:r w:rsidRPr="00C157C8">
        <w:rPr>
          <w:rtl/>
          <w:lang w:bidi="he-IL"/>
        </w:rPr>
        <w:t>איך קובעים מהו עילאה ותתאה</w:t>
      </w:r>
      <w:r w:rsidRPr="00C157C8">
        <w:rPr>
          <w:rtl/>
        </w:rPr>
        <w:tab/>
        <w:t>413</w:t>
      </w:r>
    </w:p>
    <w:p w:rsidR="00C157C8" w:rsidRPr="00C157C8" w:rsidRDefault="00C157C8">
      <w:pPr>
        <w:pStyle w:val="Index2"/>
        <w:rPr>
          <w:rtl/>
        </w:rPr>
      </w:pPr>
      <w:r w:rsidRPr="00C157C8">
        <w:rPr>
          <w:rtl/>
          <w:lang w:bidi="he-IL"/>
        </w:rPr>
        <w:t>איך קובעים תתאה ועילאה</w:t>
      </w:r>
      <w:r w:rsidRPr="00C157C8">
        <w:rPr>
          <w:rtl/>
        </w:rPr>
        <w:tab/>
        <w:t>390</w:t>
      </w:r>
    </w:p>
    <w:p w:rsidR="00C157C8" w:rsidRPr="00C157C8" w:rsidRDefault="00C157C8">
      <w:pPr>
        <w:pStyle w:val="Index2"/>
        <w:rPr>
          <w:rtl/>
        </w:rPr>
      </w:pPr>
      <w:r w:rsidRPr="00C157C8">
        <w:rPr>
          <w:rtl/>
          <w:lang w:bidi="he-IL"/>
        </w:rPr>
        <w:t>ביאור המחלוקת</w:t>
      </w:r>
      <w:r w:rsidRPr="00C157C8">
        <w:rPr>
          <w:rtl/>
        </w:rPr>
        <w:tab/>
        <w:t>388</w:t>
      </w:r>
    </w:p>
    <w:p w:rsidR="00C157C8" w:rsidRPr="00C157C8" w:rsidRDefault="00C157C8">
      <w:pPr>
        <w:pStyle w:val="Index2"/>
        <w:rPr>
          <w:rtl/>
        </w:rPr>
      </w:pPr>
      <w:r w:rsidRPr="00C157C8">
        <w:rPr>
          <w:rtl/>
          <w:lang w:bidi="he-IL"/>
        </w:rPr>
        <w:t>במליח</w:t>
      </w:r>
      <w:r w:rsidRPr="00C157C8">
        <w:rPr>
          <w:rtl/>
        </w:rPr>
        <w:tab/>
        <w:t>417</w:t>
      </w:r>
    </w:p>
    <w:p w:rsidR="00C157C8" w:rsidRPr="00C157C8" w:rsidRDefault="00C157C8">
      <w:pPr>
        <w:pStyle w:val="Index2"/>
        <w:rPr>
          <w:rtl/>
        </w:rPr>
      </w:pPr>
      <w:r w:rsidRPr="00C157C8">
        <w:rPr>
          <w:rtl/>
          <w:lang w:bidi="he-IL"/>
        </w:rPr>
        <w:t>הדין למעשה במליח</w:t>
      </w:r>
      <w:r w:rsidRPr="00C157C8">
        <w:rPr>
          <w:rtl/>
        </w:rPr>
        <w:tab/>
        <w:t>425</w:t>
      </w:r>
    </w:p>
    <w:p w:rsidR="00C157C8" w:rsidRPr="00C157C8" w:rsidRDefault="00C157C8">
      <w:pPr>
        <w:pStyle w:val="Index2"/>
        <w:rPr>
          <w:rtl/>
        </w:rPr>
      </w:pPr>
      <w:r w:rsidRPr="00C157C8">
        <w:rPr>
          <w:rtl/>
          <w:lang w:bidi="he-IL"/>
        </w:rPr>
        <w:t>כדי קליפה בחם לתוך צונן למ</w:t>
      </w:r>
      <w:r w:rsidRPr="00C157C8">
        <w:rPr>
          <w:rtl/>
        </w:rPr>
        <w:t>"</w:t>
      </w:r>
      <w:r w:rsidRPr="00C157C8">
        <w:rPr>
          <w:rtl/>
          <w:lang w:bidi="he-IL"/>
        </w:rPr>
        <w:t>ד תתאה גבר</w:t>
      </w:r>
      <w:r w:rsidRPr="00C157C8">
        <w:rPr>
          <w:rtl/>
        </w:rPr>
        <w:tab/>
        <w:t>391</w:t>
      </w:r>
    </w:p>
    <w:p w:rsidR="00C157C8" w:rsidRPr="00C157C8" w:rsidRDefault="00C157C8">
      <w:pPr>
        <w:pStyle w:val="Index2"/>
        <w:rPr>
          <w:rtl/>
        </w:rPr>
      </w:pPr>
      <w:r w:rsidRPr="00C157C8">
        <w:rPr>
          <w:rtl/>
          <w:lang w:bidi="he-IL"/>
        </w:rPr>
        <w:t>נקודות הסוגיית הגמרא</w:t>
      </w:r>
      <w:r w:rsidRPr="00C157C8">
        <w:rPr>
          <w:rtl/>
        </w:rPr>
        <w:tab/>
        <w:t>390</w:t>
      </w:r>
    </w:p>
    <w:p w:rsidR="00C157C8" w:rsidRDefault="00C157C8" w:rsidP="00F20314">
      <w:pPr>
        <w:tabs>
          <w:tab w:val="right" w:pos="7497"/>
        </w:tabs>
        <w:bidi/>
        <w:spacing w:line="240" w:lineRule="auto"/>
        <w:jc w:val="both"/>
        <w:rPr>
          <w:rFonts w:cs="Guttman Drogolin"/>
          <w:noProof/>
          <w:sz w:val="20"/>
          <w:szCs w:val="20"/>
          <w:rtl/>
          <w:lang w:bidi="he-IL"/>
        </w:rPr>
        <w:sectPr w:rsidR="00C157C8" w:rsidSect="00C157C8">
          <w:type w:val="continuous"/>
          <w:pgSz w:w="11907" w:h="16839" w:code="9"/>
          <w:pgMar w:top="1440" w:right="1440" w:bottom="1440" w:left="1440" w:header="720" w:footer="720" w:gutter="0"/>
          <w:cols w:num="2" w:space="720"/>
          <w:bidi/>
          <w:docGrid w:linePitch="360"/>
        </w:sectPr>
      </w:pPr>
    </w:p>
    <w:p w:rsidR="00BC2E9D" w:rsidRDefault="00A25C17" w:rsidP="00F20314">
      <w:pPr>
        <w:tabs>
          <w:tab w:val="right" w:pos="7497"/>
        </w:tabs>
        <w:bidi/>
        <w:spacing w:line="240" w:lineRule="auto"/>
        <w:jc w:val="both"/>
        <w:rPr>
          <w:rFonts w:cs="Guttman Drogolin"/>
          <w:sz w:val="20"/>
          <w:szCs w:val="20"/>
          <w:rtl/>
          <w:lang w:bidi="he-IL"/>
        </w:rPr>
        <w:sectPr w:rsidR="00BC2E9D" w:rsidSect="00C157C8">
          <w:type w:val="continuous"/>
          <w:pgSz w:w="11907" w:h="16839" w:code="9"/>
          <w:pgMar w:top="1440" w:right="1440" w:bottom="1440" w:left="1440" w:header="720" w:footer="720" w:gutter="0"/>
          <w:cols w:space="720"/>
          <w:bidi/>
          <w:docGrid w:linePitch="360"/>
        </w:sectPr>
      </w:pPr>
      <w:r w:rsidRPr="00CB6BCB">
        <w:rPr>
          <w:rFonts w:cs="Guttman Drogolin"/>
          <w:sz w:val="20"/>
          <w:szCs w:val="20"/>
          <w:rtl/>
          <w:lang w:bidi="he-IL"/>
        </w:rPr>
        <w:lastRenderedPageBreak/>
        <w:fldChar w:fldCharType="end"/>
      </w:r>
    </w:p>
    <w:p w:rsidR="00BC2E9D" w:rsidRDefault="00BC2E9D" w:rsidP="00F20314">
      <w:pPr>
        <w:tabs>
          <w:tab w:val="right" w:pos="7497"/>
        </w:tabs>
        <w:bidi/>
        <w:spacing w:line="240" w:lineRule="auto"/>
        <w:jc w:val="both"/>
        <w:rPr>
          <w:rFonts w:cs="Guttman Drogolin"/>
          <w:sz w:val="20"/>
          <w:szCs w:val="20"/>
          <w:rtl/>
          <w:lang w:bidi="he-IL"/>
        </w:rPr>
        <w:sectPr w:rsidR="00BC2E9D" w:rsidSect="00BC2E9D">
          <w:type w:val="continuous"/>
          <w:pgSz w:w="11907" w:h="16839" w:code="9"/>
          <w:pgMar w:top="1440" w:right="1440" w:bottom="1440" w:left="1440" w:header="720" w:footer="720" w:gutter="0"/>
          <w:cols w:space="720"/>
          <w:bidi/>
          <w:docGrid w:linePitch="360"/>
        </w:sectPr>
      </w:pPr>
    </w:p>
    <w:p w:rsidR="005D4C89" w:rsidRDefault="005D4C89" w:rsidP="00F20314">
      <w:pPr>
        <w:tabs>
          <w:tab w:val="right" w:pos="7497"/>
        </w:tabs>
        <w:bidi/>
        <w:spacing w:line="240" w:lineRule="auto"/>
        <w:jc w:val="both"/>
        <w:rPr>
          <w:rFonts w:cs="Guttman Drogolin"/>
          <w:sz w:val="20"/>
          <w:szCs w:val="20"/>
          <w:rtl/>
          <w:lang w:bidi="he-IL"/>
        </w:rPr>
        <w:sectPr w:rsidR="005D4C89" w:rsidSect="00BC2E9D">
          <w:headerReference w:type="default" r:id="rId105"/>
          <w:footerReference w:type="default" r:id="rId106"/>
          <w:pgSz w:w="11907" w:h="16839" w:code="9"/>
          <w:pgMar w:top="1440" w:right="1440" w:bottom="1440" w:left="1440" w:header="720" w:footer="720" w:gutter="0"/>
          <w:cols w:space="720"/>
          <w:bidi/>
          <w:docGrid w:linePitch="360"/>
        </w:sectPr>
      </w:pPr>
    </w:p>
    <w:p w:rsidR="00442EF9" w:rsidRDefault="00442EF9" w:rsidP="00F20314">
      <w:pPr>
        <w:tabs>
          <w:tab w:val="right" w:pos="7497"/>
        </w:tabs>
        <w:bidi/>
        <w:spacing w:line="240" w:lineRule="auto"/>
        <w:jc w:val="both"/>
        <w:rPr>
          <w:rFonts w:cs="Guttman Drogolin"/>
          <w:sz w:val="20"/>
          <w:szCs w:val="20"/>
          <w:rtl/>
          <w:lang w:bidi="he-IL"/>
        </w:rPr>
      </w:pPr>
    </w:p>
    <w:p w:rsidR="00442EF9" w:rsidRDefault="00442EF9" w:rsidP="00442EF9">
      <w:pPr>
        <w:tabs>
          <w:tab w:val="right" w:pos="7497"/>
        </w:tabs>
        <w:bidi/>
        <w:spacing w:line="240" w:lineRule="auto"/>
        <w:jc w:val="both"/>
        <w:rPr>
          <w:rFonts w:cs="Guttman Drogolin"/>
          <w:sz w:val="20"/>
          <w:szCs w:val="20"/>
          <w:rtl/>
          <w:lang w:bidi="he-IL"/>
        </w:rPr>
      </w:pPr>
    </w:p>
    <w:p w:rsidR="00442EF9" w:rsidRDefault="00442EF9" w:rsidP="00442EF9">
      <w:pPr>
        <w:tabs>
          <w:tab w:val="right" w:pos="7497"/>
        </w:tabs>
        <w:bidi/>
        <w:spacing w:line="240" w:lineRule="auto"/>
        <w:jc w:val="both"/>
        <w:rPr>
          <w:rFonts w:cs="Guttman Drogolin"/>
          <w:sz w:val="20"/>
          <w:szCs w:val="20"/>
          <w:rtl/>
          <w:lang w:bidi="he-IL"/>
        </w:rPr>
      </w:pPr>
    </w:p>
    <w:p w:rsidR="00442EF9" w:rsidRDefault="00442EF9" w:rsidP="00442EF9">
      <w:pPr>
        <w:tabs>
          <w:tab w:val="right" w:pos="7497"/>
        </w:tabs>
        <w:bidi/>
        <w:spacing w:line="240" w:lineRule="auto"/>
        <w:jc w:val="both"/>
        <w:rPr>
          <w:rFonts w:cs="Guttman Drogolin"/>
          <w:sz w:val="20"/>
          <w:szCs w:val="20"/>
          <w:rtl/>
          <w:lang w:bidi="he-IL"/>
        </w:rPr>
      </w:pPr>
    </w:p>
    <w:p w:rsidR="00442EF9" w:rsidRPr="00442EF9" w:rsidRDefault="00442EF9" w:rsidP="00442EF9">
      <w:pPr>
        <w:tabs>
          <w:tab w:val="right" w:pos="7497"/>
        </w:tabs>
        <w:bidi/>
        <w:spacing w:after="0" w:line="240" w:lineRule="auto"/>
        <w:jc w:val="center"/>
        <w:rPr>
          <w:rFonts w:cs="Guttman Drogolin"/>
          <w:sz w:val="56"/>
          <w:szCs w:val="56"/>
          <w:rtl/>
          <w:lang w:bidi="he-IL"/>
        </w:rPr>
      </w:pPr>
    </w:p>
    <w:p w:rsidR="00442EF9" w:rsidRPr="00442EF9" w:rsidRDefault="00442EF9" w:rsidP="00442EF9">
      <w:pPr>
        <w:tabs>
          <w:tab w:val="right" w:pos="7497"/>
        </w:tabs>
        <w:bidi/>
        <w:spacing w:after="0" w:line="240" w:lineRule="auto"/>
        <w:jc w:val="center"/>
        <w:rPr>
          <w:rFonts w:cs="Guttman Drogolin"/>
          <w:sz w:val="160"/>
          <w:szCs w:val="160"/>
          <w:rtl/>
          <w:lang w:bidi="he-IL"/>
        </w:rPr>
      </w:pPr>
      <w:r w:rsidRPr="00442EF9">
        <w:rPr>
          <w:rFonts w:cs="Guttman Drogolin" w:hint="cs"/>
          <w:sz w:val="160"/>
          <w:szCs w:val="160"/>
          <w:rtl/>
          <w:lang w:bidi="he-IL"/>
        </w:rPr>
        <w:t>קונטרס</w:t>
      </w:r>
    </w:p>
    <w:p w:rsidR="00442EF9" w:rsidRDefault="00442EF9" w:rsidP="00442EF9">
      <w:pPr>
        <w:tabs>
          <w:tab w:val="right" w:pos="7497"/>
        </w:tabs>
        <w:bidi/>
        <w:spacing w:line="240" w:lineRule="auto"/>
        <w:jc w:val="center"/>
        <w:rPr>
          <w:rFonts w:cs="Guttman Drogolin"/>
          <w:sz w:val="160"/>
          <w:szCs w:val="160"/>
          <w:rtl/>
          <w:lang w:bidi="he-IL"/>
        </w:rPr>
      </w:pPr>
      <w:r w:rsidRPr="00442EF9">
        <w:rPr>
          <w:rFonts w:cs="Guttman Drogolin" w:hint="cs"/>
          <w:sz w:val="160"/>
          <w:szCs w:val="160"/>
          <w:rtl/>
          <w:lang w:bidi="he-IL"/>
        </w:rPr>
        <w:t>דברי טעם</w:t>
      </w:r>
    </w:p>
    <w:p w:rsidR="002102D8" w:rsidRDefault="002102D8" w:rsidP="002102D8">
      <w:pPr>
        <w:tabs>
          <w:tab w:val="right" w:pos="7497"/>
        </w:tabs>
        <w:bidi/>
        <w:spacing w:line="240" w:lineRule="auto"/>
        <w:jc w:val="center"/>
        <w:rPr>
          <w:rFonts w:cs="Guttman Drogolin"/>
          <w:sz w:val="160"/>
          <w:szCs w:val="160"/>
          <w:rtl/>
          <w:lang w:bidi="he-IL"/>
        </w:rPr>
      </w:pPr>
    </w:p>
    <w:p w:rsidR="002102D8" w:rsidRDefault="002102D8" w:rsidP="002102D8">
      <w:pPr>
        <w:tabs>
          <w:tab w:val="right" w:pos="7497"/>
        </w:tabs>
        <w:bidi/>
        <w:spacing w:line="240" w:lineRule="auto"/>
        <w:jc w:val="center"/>
        <w:rPr>
          <w:rFonts w:cs="Guttman Drogolin"/>
          <w:rtl/>
          <w:lang w:bidi="he-IL"/>
        </w:rPr>
        <w:sectPr w:rsidR="002102D8" w:rsidSect="00BC2E9D">
          <w:pgSz w:w="11907" w:h="16839" w:code="9"/>
          <w:pgMar w:top="1440" w:right="1440" w:bottom="1440" w:left="1440" w:header="720" w:footer="720" w:gutter="0"/>
          <w:cols w:space="720"/>
          <w:bidi/>
          <w:docGrid w:linePitch="360"/>
        </w:sectPr>
      </w:pPr>
    </w:p>
    <w:p w:rsidR="002102D8" w:rsidRDefault="002102D8" w:rsidP="002102D8">
      <w:pPr>
        <w:tabs>
          <w:tab w:val="right" w:pos="7497"/>
        </w:tabs>
        <w:bidi/>
        <w:spacing w:line="240" w:lineRule="auto"/>
        <w:ind w:left="2277" w:right="2610"/>
        <w:jc w:val="both"/>
        <w:rPr>
          <w:rFonts w:cs="Guttman Drogolin"/>
          <w:rtl/>
          <w:lang w:bidi="he-IL"/>
        </w:rPr>
      </w:pPr>
    </w:p>
    <w:p w:rsidR="002102D8" w:rsidRDefault="002102D8" w:rsidP="002102D8">
      <w:pPr>
        <w:tabs>
          <w:tab w:val="right" w:pos="7497"/>
        </w:tabs>
        <w:bidi/>
        <w:spacing w:line="240" w:lineRule="auto"/>
        <w:ind w:left="2277" w:right="2610"/>
        <w:jc w:val="both"/>
        <w:rPr>
          <w:rFonts w:cs="Guttman Drogolin"/>
          <w:rtl/>
          <w:lang w:bidi="he-IL"/>
        </w:rPr>
      </w:pPr>
    </w:p>
    <w:p w:rsidR="002102D8" w:rsidRDefault="002102D8" w:rsidP="002102D8">
      <w:pPr>
        <w:tabs>
          <w:tab w:val="right" w:pos="7497"/>
        </w:tabs>
        <w:bidi/>
        <w:spacing w:line="240" w:lineRule="auto"/>
        <w:ind w:left="2277" w:right="2610"/>
        <w:jc w:val="both"/>
        <w:rPr>
          <w:rFonts w:cs="Guttman Drogolin"/>
          <w:rtl/>
          <w:lang w:bidi="he-IL"/>
        </w:rPr>
      </w:pPr>
    </w:p>
    <w:p w:rsidR="002102D8" w:rsidRDefault="002102D8" w:rsidP="002102D8">
      <w:pPr>
        <w:tabs>
          <w:tab w:val="right" w:pos="7497"/>
        </w:tabs>
        <w:bidi/>
        <w:spacing w:line="240" w:lineRule="auto"/>
        <w:ind w:left="2277" w:right="2610"/>
        <w:jc w:val="both"/>
        <w:rPr>
          <w:rFonts w:cs="Guttman Drogolin"/>
          <w:rtl/>
          <w:lang w:bidi="he-IL"/>
        </w:rPr>
      </w:pPr>
      <w:r>
        <w:rPr>
          <w:rFonts w:cs="Guttman Drogolin" w:hint="cs"/>
          <w:rtl/>
          <w:lang w:bidi="he-IL"/>
        </w:rPr>
        <w:t xml:space="preserve">אחרי שגמרתי הלימוד של הסוגיות של נ"ט בר נ"ט ודבר חריף, התחלתי מחדש לכתוב ולסדר את הענינים. וקראתי לקונ' דברי טעם. והוא רובו ככולו גמור, ולכן חשבתי שהוא דבר טוב להוסיף אותו לסוף הספר. </w:t>
      </w:r>
    </w:p>
    <w:p w:rsidR="002102D8" w:rsidRDefault="002102D8" w:rsidP="002102D8">
      <w:pPr>
        <w:tabs>
          <w:tab w:val="right" w:pos="9027"/>
        </w:tabs>
        <w:bidi/>
        <w:spacing w:line="240" w:lineRule="auto"/>
        <w:ind w:left="27"/>
        <w:jc w:val="both"/>
        <w:rPr>
          <w:rFonts w:cs="Guttman Drogolin"/>
          <w:rtl/>
          <w:lang w:bidi="he-IL"/>
        </w:rPr>
      </w:pPr>
    </w:p>
    <w:p w:rsidR="002102D8" w:rsidRPr="002102D8" w:rsidRDefault="002102D8" w:rsidP="002102D8">
      <w:pPr>
        <w:tabs>
          <w:tab w:val="right" w:pos="7497"/>
          <w:tab w:val="right" w:pos="9027"/>
        </w:tabs>
        <w:bidi/>
        <w:spacing w:line="240" w:lineRule="auto"/>
        <w:ind w:left="117" w:firstLine="2160"/>
        <w:jc w:val="both"/>
        <w:rPr>
          <w:rFonts w:cs="Guttman Drogolin"/>
          <w:rtl/>
          <w:lang w:bidi="he-IL"/>
        </w:rPr>
        <w:sectPr w:rsidR="002102D8" w:rsidRPr="002102D8" w:rsidSect="00BC2E9D">
          <w:pgSz w:w="11907" w:h="16839" w:code="9"/>
          <w:pgMar w:top="1440" w:right="1440" w:bottom="1440" w:left="1440" w:header="720" w:footer="720" w:gutter="0"/>
          <w:cols w:space="720"/>
          <w:bidi/>
          <w:docGrid w:linePitch="360"/>
        </w:sectPr>
      </w:pPr>
    </w:p>
    <w:p w:rsidR="00BC2E9D" w:rsidRPr="00E66C2E" w:rsidRDefault="00BC2E9D" w:rsidP="00E66C2E">
      <w:pPr>
        <w:tabs>
          <w:tab w:val="center" w:pos="4513"/>
        </w:tabs>
        <w:bidi/>
        <w:rPr>
          <w:rFonts w:cs="Guttman Drogolin"/>
          <w:sz w:val="20"/>
          <w:szCs w:val="20"/>
          <w:rtl/>
          <w:lang w:bidi="he-IL"/>
        </w:rPr>
        <w:sectPr w:rsidR="00BC2E9D" w:rsidRPr="00E66C2E" w:rsidSect="00442EF9">
          <w:headerReference w:type="default" r:id="rId107"/>
          <w:footerReference w:type="default" r:id="rId108"/>
          <w:pgSz w:w="11907" w:h="16839" w:code="9"/>
          <w:pgMar w:top="1440" w:right="1440" w:bottom="1440" w:left="1440" w:header="720" w:footer="720" w:gutter="0"/>
          <w:pgNumType w:start="1"/>
          <w:cols w:space="720"/>
          <w:bidi/>
          <w:docGrid w:linePitch="360"/>
        </w:sectPr>
      </w:pPr>
    </w:p>
    <w:p w:rsidR="00BC2E9D" w:rsidRPr="00BC2E9D" w:rsidRDefault="00BC2E9D" w:rsidP="00E66C2E">
      <w:pPr>
        <w:keepNext/>
        <w:pBdr>
          <w:bottom w:val="single" w:sz="4" w:space="1" w:color="auto"/>
        </w:pBdr>
        <w:bidi/>
        <w:spacing w:after="1000" w:line="240" w:lineRule="auto"/>
        <w:jc w:val="center"/>
        <w:outlineLvl w:val="0"/>
        <w:rPr>
          <w:rFonts w:ascii="Times New Roman" w:eastAsia="Times New Roman" w:hAnsi="Times New Roman" w:cs="Guttman Mantova-Decor"/>
          <w:bCs/>
          <w:i/>
          <w:sz w:val="6"/>
          <w:szCs w:val="32"/>
          <w:lang w:bidi="he-IL"/>
        </w:rPr>
      </w:pPr>
      <w:r w:rsidRPr="00BC2E9D">
        <w:rPr>
          <w:rFonts w:ascii="Times New Roman" w:eastAsia="Times New Roman" w:hAnsi="Times New Roman" w:cs="Guttman Mantova-Decor" w:hint="cs"/>
          <w:bCs/>
          <w:i/>
          <w:sz w:val="12"/>
          <w:szCs w:val="44"/>
          <w:rtl/>
          <w:lang w:bidi="he-IL"/>
        </w:rPr>
        <w:lastRenderedPageBreak/>
        <w:t>נ"ט בר נ"ט</w:t>
      </w:r>
    </w:p>
    <w:p w:rsidR="00BC2E9D" w:rsidRPr="00BC2E9D" w:rsidRDefault="00BC2E9D" w:rsidP="00BC2E9D">
      <w:pPr>
        <w:keepNext/>
        <w:tabs>
          <w:tab w:val="left" w:pos="0"/>
        </w:tabs>
        <w:bidi/>
        <w:spacing w:before="240" w:after="240" w:line="240" w:lineRule="auto"/>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bCs/>
          <w:snapToGrid w:val="0"/>
          <w:sz w:val="24"/>
          <w:szCs w:val="36"/>
          <w:rtl/>
          <w:lang w:bidi="he-IL"/>
        </w:rPr>
        <w:t>יסוד ההיתר של נ"ט בר נ"ט</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איתא בגמ' שב</w:t>
      </w:r>
      <w:r w:rsidRPr="00BC2E9D">
        <w:rPr>
          <w:rFonts w:ascii="Times New Roman" w:eastAsia="Times New Roman" w:hAnsi="Times New Roman" w:cs="Narkisim" w:hint="cs"/>
          <w:w w:val="115"/>
          <w:sz w:val="20"/>
          <w:szCs w:val="24"/>
          <w:rtl/>
          <w:lang w:bidi="he-IL"/>
        </w:rPr>
        <w:t xml:space="preserve">מס' חולין </w:t>
      </w:r>
      <w:r w:rsidRPr="00BC2E9D">
        <w:rPr>
          <w:rFonts w:ascii="Times New Roman" w:eastAsia="Times New Roman" w:hAnsi="Times New Roman" w:cs="Narkisim"/>
          <w:w w:val="115"/>
          <w:sz w:val="20"/>
          <w:szCs w:val="24"/>
          <w:rtl/>
          <w:lang w:bidi="he-IL"/>
        </w:rPr>
        <w:t xml:space="preserve">דף קי"א ע"ב "איתמר דגים שעלו בקערה רב אמר אסור לאכלן בכותח ושמואל אמר מותר לאכלן בכותח רב אמר אסור נותן טעם הוא ושמואל אמר מותר נותן טעם בר נ"ט הוא". ור"ל דרב </w:t>
      </w:r>
      <w:r w:rsidRPr="00BC2E9D">
        <w:rPr>
          <w:rFonts w:ascii="Times New Roman" w:eastAsia="Times New Roman" w:hAnsi="Times New Roman" w:cs="Narkisim" w:hint="cs"/>
          <w:w w:val="115"/>
          <w:sz w:val="20"/>
          <w:szCs w:val="24"/>
          <w:rtl/>
          <w:lang w:bidi="he-IL"/>
        </w:rPr>
        <w:t xml:space="preserve">סבר דכיון שיש לנו יסוד של טעם כעיקר, לא שנא אם הטעם בא ישירות מן המאכל, ולא שנא אם בא מן הדבר שקיבל טעם מן המאכל. </w:t>
      </w:r>
      <w:r w:rsidRPr="00BC2E9D">
        <w:rPr>
          <w:rFonts w:ascii="Times New Roman" w:eastAsia="Times New Roman" w:hAnsi="Times New Roman" w:cs="Narkisim"/>
          <w:w w:val="115"/>
          <w:sz w:val="20"/>
          <w:szCs w:val="24"/>
          <w:rtl/>
          <w:lang w:bidi="he-IL"/>
        </w:rPr>
        <w:t>אבל שמואל סבר שיש חילוק בין נ"ט בר נ"ט לטעם גמור.</w:t>
      </w:r>
      <w:r w:rsidRPr="00BC2E9D">
        <w:rPr>
          <w:rFonts w:ascii="Times New Roman" w:eastAsia="Times New Roman" w:hAnsi="Times New Roman" w:cs="Narkisim" w:hint="cs"/>
          <w:w w:val="115"/>
          <w:sz w:val="20"/>
          <w:szCs w:val="24"/>
          <w:rtl/>
          <w:lang w:bidi="he-IL"/>
        </w:rPr>
        <w:t xml:space="preserve"> ושם בהמשך הגמ' מבואר</w:t>
      </w:r>
      <w:r w:rsidRPr="00BC2E9D">
        <w:rPr>
          <w:rFonts w:ascii="Times New Roman" w:eastAsia="Times New Roman" w:hAnsi="Times New Roman" w:cs="Narkisim"/>
          <w:w w:val="115"/>
          <w:sz w:val="20"/>
          <w:szCs w:val="24"/>
          <w:rtl/>
          <w:lang w:bidi="he-IL"/>
        </w:rPr>
        <w:t xml:space="preserve"> </w:t>
      </w:r>
      <w:r w:rsidRPr="00BC2E9D">
        <w:rPr>
          <w:rFonts w:ascii="Times New Roman" w:eastAsia="Times New Roman" w:hAnsi="Times New Roman" w:cs="Narkisim" w:hint="cs"/>
          <w:w w:val="115"/>
          <w:sz w:val="20"/>
          <w:szCs w:val="24"/>
          <w:rtl/>
          <w:lang w:bidi="he-IL"/>
        </w:rPr>
        <w:t xml:space="preserve">דהלכתא כשמואל.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 xml:space="preserve">ולכאורה צ"ע מהו </w:t>
      </w:r>
      <w:r w:rsidRPr="00BC2E9D">
        <w:rPr>
          <w:rFonts w:ascii="Times New Roman" w:eastAsia="Times New Roman" w:hAnsi="Times New Roman" w:cs="Narkisim" w:hint="cs"/>
          <w:w w:val="115"/>
          <w:sz w:val="20"/>
          <w:szCs w:val="24"/>
          <w:rtl/>
          <w:lang w:bidi="he-IL"/>
        </w:rPr>
        <w:t xml:space="preserve">באמת </w:t>
      </w:r>
      <w:r w:rsidRPr="00BC2E9D">
        <w:rPr>
          <w:rFonts w:ascii="Times New Roman" w:eastAsia="Times New Roman" w:hAnsi="Times New Roman" w:cs="Narkisim"/>
          <w:w w:val="115"/>
          <w:sz w:val="20"/>
          <w:szCs w:val="24"/>
          <w:rtl/>
          <w:lang w:bidi="he-IL"/>
        </w:rPr>
        <w:t>הטעם לחלק ביניהם. והיש"ש (סי' ס"א) כתב שטעם ההיתר משום שכיון שעבר הטעם ממקום למקום מסתמ</w:t>
      </w:r>
      <w:r w:rsidRPr="00BC2E9D">
        <w:rPr>
          <w:rFonts w:ascii="Times New Roman" w:eastAsia="Times New Roman" w:hAnsi="Times New Roman" w:cs="Narkisim" w:hint="cs"/>
          <w:w w:val="115"/>
          <w:sz w:val="20"/>
          <w:szCs w:val="24"/>
          <w:rtl/>
          <w:lang w:bidi="he-IL"/>
        </w:rPr>
        <w:t>א</w:t>
      </w:r>
      <w:r w:rsidRPr="00BC2E9D">
        <w:rPr>
          <w:rFonts w:ascii="Times New Roman" w:eastAsia="Times New Roman" w:hAnsi="Times New Roman" w:cs="Narkisim"/>
          <w:w w:val="115"/>
          <w:sz w:val="20"/>
          <w:szCs w:val="24"/>
          <w:rtl/>
          <w:lang w:bidi="he-IL"/>
        </w:rPr>
        <w:t xml:space="preserve"> אמרינן שכבר הוקלש כל כך עד שלא ירגיש טעמו כשאוכלו. ולכאורה כן משמע מהמשך דברי הגמ', שהרי בהמשך הגמ' מבואר דרב לאו בפירוש איתמר אלא מכללא איתמר והוא ממה שאמר רב "יהיב טעמא כולי האי". ומשמע שטעמו של רב משום שטועם את </w:t>
      </w:r>
      <w:r w:rsidRPr="00BC2E9D">
        <w:rPr>
          <w:rFonts w:ascii="Times New Roman" w:eastAsia="Times New Roman" w:hAnsi="Times New Roman" w:cs="Narkisim" w:hint="cs"/>
          <w:w w:val="115"/>
          <w:sz w:val="20"/>
          <w:szCs w:val="24"/>
          <w:rtl/>
          <w:lang w:bidi="he-IL"/>
        </w:rPr>
        <w:t>טעם של התבשיל</w:t>
      </w:r>
      <w:r w:rsidRPr="00BC2E9D">
        <w:rPr>
          <w:rFonts w:ascii="Times New Roman" w:eastAsia="Times New Roman" w:hAnsi="Times New Roman" w:cs="Narkisim"/>
          <w:w w:val="115"/>
          <w:sz w:val="20"/>
          <w:szCs w:val="24"/>
          <w:rtl/>
          <w:lang w:bidi="he-IL"/>
        </w:rPr>
        <w:t>, ומיני' לכאורה שלשמואל הטעם משום שאינו טועם כולי האי.</w:t>
      </w:r>
      <w:r w:rsidRPr="00BC2E9D">
        <w:rPr>
          <w:rFonts w:ascii="Times New Roman" w:eastAsia="Times New Roman" w:hAnsi="Times New Roman" w:cs="Narkisim" w:hint="cs"/>
          <w:w w:val="115"/>
          <w:sz w:val="20"/>
          <w:szCs w:val="24"/>
          <w:rtl/>
          <w:lang w:bidi="he-IL"/>
        </w:rPr>
        <w:t xml:space="preserve"> ויוצא לשיטת היש"ש שאם באמת מרגיש הטעם נפל יסוד ההיתר של נ"ט בר נ"ט.</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והנה בדוגמא של הגמ' מיירי בבלע היתר (ר"ל בשר) והשאלה אם מותר לאכלו בחלב. ואינו מפורש בגמ' אם ההיתר של נ"ט בר נ"ט שייך גם באיסור או לא. ולפי דעתו של היש"ש לכאורה אין מקום לחלק, דכיון שיסוד ההיתר משום דליכא הסתברות שנשאר נתינת טעם, מאי שנא היתר מאיסור. אמנם בכמה</w:t>
      </w:r>
      <w:r w:rsidRPr="00BC2E9D">
        <w:rPr>
          <w:rFonts w:ascii="Times New Roman" w:eastAsia="Times New Roman" w:hAnsi="Times New Roman" w:cs="Narkisim"/>
          <w:w w:val="115"/>
          <w:sz w:val="20"/>
          <w:szCs w:val="24"/>
          <w:rtl/>
          <w:lang w:bidi="he-IL"/>
        </w:rPr>
        <w:t xml:space="preserve"> ראשונים</w:t>
      </w:r>
      <w:r w:rsidRPr="00BC2E9D">
        <w:rPr>
          <w:rFonts w:ascii="Times New Roman" w:eastAsia="Times New Roman" w:hAnsi="Times New Roman" w:cs="Narkisim" w:hint="cs"/>
          <w:w w:val="115"/>
          <w:sz w:val="20"/>
          <w:szCs w:val="24"/>
          <w:rtl/>
          <w:lang w:bidi="he-IL"/>
        </w:rPr>
        <w:t xml:space="preserve"> מבואר</w:t>
      </w:r>
      <w:r w:rsidRPr="00BC2E9D">
        <w:rPr>
          <w:rFonts w:ascii="Times New Roman" w:eastAsia="Times New Roman" w:hAnsi="Times New Roman" w:cs="Narkisim"/>
          <w:w w:val="115"/>
          <w:sz w:val="20"/>
          <w:szCs w:val="24"/>
          <w:rtl/>
          <w:lang w:bidi="he-IL"/>
        </w:rPr>
        <w:t xml:space="preserve"> שכל ההיתר של נ"ט בר נ"ט אליבא דשמואל הוא בטעם היתר ההולך ממקום למקום, אבל בטעם של איסור לעולם לא אמרינן ההיתר של נ"ט בר נ"ט.</w:t>
      </w:r>
      <w:r w:rsidRPr="00BC2E9D">
        <w:rPr>
          <w:rFonts w:ascii="Times New Roman" w:eastAsia="Times New Roman" w:hAnsi="Times New Roman" w:cs="Narkisim" w:hint="cs"/>
          <w:w w:val="115"/>
          <w:sz w:val="20"/>
          <w:szCs w:val="24"/>
          <w:rtl/>
          <w:lang w:bidi="he-IL"/>
        </w:rPr>
        <w:t xml:space="preserve"> ונחלקו בטעם החילוק שבין נ"ט בר נ"ט</w:t>
      </w:r>
      <w:r w:rsidRPr="00BC2E9D">
        <w:rPr>
          <w:rFonts w:ascii="Times New Roman" w:eastAsia="Times New Roman" w:hAnsi="Times New Roman" w:cs="Narkisim"/>
          <w:w w:val="115"/>
          <w:sz w:val="20"/>
          <w:szCs w:val="24"/>
          <w:rtl/>
          <w:lang w:bidi="he-IL"/>
        </w:rPr>
        <w:t xml:space="preserve"> </w:t>
      </w:r>
      <w:r w:rsidRPr="00BC2E9D">
        <w:rPr>
          <w:rFonts w:ascii="Times New Roman" w:eastAsia="Times New Roman" w:hAnsi="Times New Roman" w:cs="Narkisim" w:hint="cs"/>
          <w:w w:val="115"/>
          <w:sz w:val="20"/>
          <w:szCs w:val="24"/>
          <w:rtl/>
          <w:lang w:bidi="he-IL"/>
        </w:rPr>
        <w:t xml:space="preserve">דהיתירא לנ"ט בר נ"ט דאיסורא. בהגהות סמ"ק (סי' רי"ג אות ו') מבואר שמצד הדין של נ"ט בר נ"ט באמת אין טעם לחלק בין איסורא היתירא. רק שבאיסורא יש טעם צדדי להחמיר, והוא משום דמיד שנכנס הטעם לתבשיל אחר, התבשיל נעשה חפצא דאיסורא, וכשיטות הראשונים הסוברים שבכל האיסורים אמרינן דכיון שנתן טעם בחתיכה, החתיכה עצמה נעשית נבילה. אבל </w:t>
      </w:r>
      <w:r w:rsidRPr="00BC2E9D">
        <w:rPr>
          <w:rFonts w:ascii="Times New Roman" w:eastAsia="Times New Roman" w:hAnsi="Times New Roman" w:cs="Narkisim" w:hint="cs"/>
          <w:w w:val="115"/>
          <w:sz w:val="20"/>
          <w:szCs w:val="24"/>
          <w:rtl/>
          <w:lang w:bidi="he-IL"/>
        </w:rPr>
        <w:lastRenderedPageBreak/>
        <w:t>בהיתירא לכו"ע לא אמרינן דכולו נע"נ (וכ"כ בהדיא התוס' עבודה זרה ע"ו ע"א ד"ה בת יומא) ולכן שפיר שייך הההיתר של נ"ט בר נ"ט. (ומבואר דאע"ג שהטעם הראשון עצמה אית בה היתירא דנ"ט בר נ"ט וכבר נחלש ואינו אוסר, מ"מ כיון דאמרינן חענ"ן, הנאסר עדיין אוסר כיון שהנאסר עדיין לא נחלש). וכן לכאורה מבואר מדברי רש"י במס' חולין דף קט"ז ע"ב ד"ה הרי זו אסורה.</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אמנם מכמה ראשונים מבואר לחלק בין נ"ט בר נ"ט דהיתירא לנ"ט בר נ"ט דאיסורא אפילו אם לא אומרים חענ"ן, וכגון לשיטת רבינו אפרים שלא אומרים חענ"ן אלא בבשר בחלב. וכן העיר הש"ך בסי' צ"ד ס"ק כ"ב ששיטת הטור לחלק ביניהם אע"ג דסבירא לי' כרבינו אפרים. וכן העיר שם כה"ג בשיטת הרא"ש. וא"כ עדיין צ"ע מהו הטעם לחלק בין נ"ט בר נ"ט דהיתירא לנ"ט בר נ"ט דאיסורא. וכתב בזה הר"ן שם במס' חולין (מ"א ע"א מדפי הרי"ף) "</w:t>
      </w:r>
      <w:r w:rsidRPr="00BC2E9D">
        <w:rPr>
          <w:rFonts w:ascii="Times New Roman" w:eastAsia="Times New Roman" w:hAnsi="Times New Roman" w:cs="Narkisim"/>
          <w:w w:val="115"/>
          <w:sz w:val="20"/>
          <w:szCs w:val="24"/>
          <w:rtl/>
          <w:lang w:bidi="he-IL"/>
        </w:rPr>
        <w:t>והוי יודע דלא שרינן נ"ט בר נ"ט אלא בשל היתר כבשר בחלב דכיון דטעם שני אכתי היתרא הוא כיון דאקליש כולי האי לא חשיב למיסר אבל במידי דאיסורא כל היכא דאיכא טעמא כלל אוסר עד סוף כל העולם</w:t>
      </w:r>
      <w:r w:rsidRPr="00BC2E9D">
        <w:rPr>
          <w:rFonts w:ascii="Times New Roman" w:eastAsia="Times New Roman" w:hAnsi="Times New Roman" w:cs="Narkisim" w:hint="cs"/>
          <w:w w:val="115"/>
          <w:sz w:val="20"/>
          <w:szCs w:val="24"/>
          <w:rtl/>
          <w:lang w:bidi="he-IL"/>
        </w:rPr>
        <w:t xml:space="preserve">". ור"ל שאמנם טעמא איכא גם בנותן טעם בר נותן טעם, מ"מ טעם קלוש כזה אין בכוחו לאסור דבר שהי' מותר מקודם. ולכן בנ"ט בר נ"ט דהיתירא שעדיין צריך לעשות חלות איסור הרי זה מותר. אבל בטעם איסור, כיון שהחלות איסור כבר חל שוב לא מהני הא דהוי נ"ט בר נ"ט. וכן ביאר בשו"ת הרשב"א (ח"א סי' תקט"ז). וכן משמע ברשב"א בתורת הבית (הקצר ב"ד ש"ד, דף ל"ז ע"ב </w:t>
      </w:r>
      <w:r w:rsidRPr="00BC2E9D">
        <w:rPr>
          <w:rFonts w:ascii="Times New Roman" w:eastAsia="Times New Roman" w:hAnsi="Times New Roman" w:cs="Narkisim"/>
          <w:w w:val="115"/>
          <w:sz w:val="20"/>
          <w:szCs w:val="24"/>
          <w:rtl/>
          <w:lang w:bidi="he-IL"/>
        </w:rPr>
        <w:t>–</w:t>
      </w:r>
      <w:r w:rsidRPr="00BC2E9D">
        <w:rPr>
          <w:rFonts w:ascii="Times New Roman" w:eastAsia="Times New Roman" w:hAnsi="Times New Roman" w:cs="Narkisim" w:hint="cs"/>
          <w:w w:val="115"/>
          <w:sz w:val="20"/>
          <w:szCs w:val="24"/>
          <w:rtl/>
          <w:lang w:bidi="he-IL"/>
        </w:rPr>
        <w:t xml:space="preserve"> הביאו הב"י סי' צ"ג). וע' </w:t>
      </w:r>
      <w:r w:rsidRPr="00BC2E9D">
        <w:rPr>
          <w:rFonts w:ascii="Times New Roman" w:eastAsia="Times New Roman" w:hAnsi="Times New Roman" w:cs="Narkisim"/>
          <w:w w:val="115"/>
          <w:sz w:val="20"/>
          <w:szCs w:val="24"/>
          <w:rtl/>
          <w:lang w:bidi="he-IL"/>
        </w:rPr>
        <w:t xml:space="preserve">בספר גינת ורדים (לבעל הפמ"ג) </w:t>
      </w:r>
      <w:r w:rsidRPr="00BC2E9D">
        <w:rPr>
          <w:rFonts w:ascii="Times New Roman" w:eastAsia="Times New Roman" w:hAnsi="Times New Roman" w:cs="Narkisim" w:hint="cs"/>
          <w:w w:val="115"/>
          <w:sz w:val="20"/>
          <w:szCs w:val="24"/>
          <w:rtl/>
          <w:lang w:bidi="he-IL"/>
        </w:rPr>
        <w:t>ד</w:t>
      </w:r>
      <w:r w:rsidRPr="00BC2E9D">
        <w:rPr>
          <w:rFonts w:ascii="Times New Roman" w:eastAsia="Times New Roman" w:hAnsi="Times New Roman" w:cs="Narkisim"/>
          <w:w w:val="115"/>
          <w:sz w:val="20"/>
          <w:szCs w:val="24"/>
          <w:rtl/>
          <w:lang w:bidi="he-IL"/>
        </w:rPr>
        <w:t xml:space="preserve">ר"ל דע"כ אין החילוק אלא בדרבנן אבל מדאורייתא שניהם מותרים. </w:t>
      </w:r>
      <w:r w:rsidRPr="00BC2E9D">
        <w:rPr>
          <w:rFonts w:ascii="Times New Roman" w:eastAsia="Times New Roman" w:hAnsi="Times New Roman" w:cs="Narkisim" w:hint="cs"/>
          <w:w w:val="115"/>
          <w:sz w:val="20"/>
          <w:szCs w:val="24"/>
          <w:rtl/>
          <w:lang w:bidi="he-IL"/>
        </w:rPr>
        <w:t>אבל</w:t>
      </w:r>
      <w:r w:rsidRPr="00BC2E9D">
        <w:rPr>
          <w:rFonts w:ascii="Times New Roman" w:eastAsia="Times New Roman" w:hAnsi="Times New Roman" w:cs="Narkisim"/>
          <w:w w:val="115"/>
          <w:sz w:val="20"/>
          <w:szCs w:val="24"/>
          <w:rtl/>
          <w:lang w:bidi="he-IL"/>
        </w:rPr>
        <w:t xml:space="preserve"> הפמ"ג עצמו (מש"ז סי' צ"ה ס"ק א') </w:t>
      </w:r>
      <w:r w:rsidRPr="00BC2E9D">
        <w:rPr>
          <w:rFonts w:ascii="Times New Roman" w:eastAsia="Times New Roman" w:hAnsi="Times New Roman" w:cs="Narkisim" w:hint="cs"/>
          <w:w w:val="115"/>
          <w:sz w:val="20"/>
          <w:szCs w:val="24"/>
          <w:rtl/>
          <w:lang w:bidi="he-IL"/>
        </w:rPr>
        <w:t xml:space="preserve">דקדק </w:t>
      </w:r>
      <w:r w:rsidRPr="00BC2E9D">
        <w:rPr>
          <w:rFonts w:ascii="Times New Roman" w:eastAsia="Times New Roman" w:hAnsi="Times New Roman" w:cs="Narkisim"/>
          <w:w w:val="115"/>
          <w:sz w:val="20"/>
          <w:szCs w:val="24"/>
          <w:rtl/>
          <w:lang w:bidi="he-IL"/>
        </w:rPr>
        <w:t xml:space="preserve">מלשון שו"ת הרשב"א (סי' קט"ז) שהחילוק הוא </w:t>
      </w:r>
      <w:r w:rsidRPr="00BC2E9D">
        <w:rPr>
          <w:rFonts w:ascii="Times New Roman" w:eastAsia="Times New Roman" w:hAnsi="Times New Roman" w:cs="Narkisim" w:hint="cs"/>
          <w:w w:val="115"/>
          <w:sz w:val="20"/>
          <w:szCs w:val="24"/>
          <w:rtl/>
          <w:lang w:bidi="he-IL"/>
        </w:rPr>
        <w:t>מ</w:t>
      </w:r>
      <w:r w:rsidRPr="00BC2E9D">
        <w:rPr>
          <w:rFonts w:ascii="Times New Roman" w:eastAsia="Times New Roman" w:hAnsi="Times New Roman" w:cs="Narkisim"/>
          <w:w w:val="115"/>
          <w:sz w:val="20"/>
          <w:szCs w:val="24"/>
          <w:rtl/>
          <w:lang w:bidi="he-IL"/>
        </w:rPr>
        <w:t>דאורייתא</w:t>
      </w:r>
      <w:r w:rsidRPr="00BC2E9D">
        <w:rPr>
          <w:rFonts w:ascii="Times New Roman" w:eastAsia="Times New Roman" w:hAnsi="Times New Roman" w:cs="Narkisim" w:hint="cs"/>
          <w:w w:val="115"/>
          <w:sz w:val="20"/>
          <w:szCs w:val="24"/>
          <w:rtl/>
          <w:lang w:bidi="he-IL"/>
        </w:rPr>
        <w:t xml:space="preserve">. </w:t>
      </w:r>
    </w:p>
    <w:p w:rsidR="00BC2E9D" w:rsidRPr="00BC2E9D" w:rsidRDefault="00BC2E9D" w:rsidP="00BC2E9D">
      <w:pPr>
        <w:keepNext/>
        <w:tabs>
          <w:tab w:val="left" w:pos="0"/>
        </w:tabs>
        <w:bidi/>
        <w:spacing w:before="240" w:after="240" w:line="240" w:lineRule="auto"/>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bCs/>
          <w:snapToGrid w:val="0"/>
          <w:sz w:val="24"/>
          <w:szCs w:val="36"/>
          <w:rtl/>
          <w:lang w:bidi="he-IL"/>
        </w:rPr>
        <w:t>נ"ט בר נ"ט</w:t>
      </w:r>
      <w:r w:rsidRPr="00BC2E9D">
        <w:rPr>
          <w:rFonts w:ascii="MS Sans Serif" w:eastAsia="Times New Roman" w:hAnsi="MS Sans Serif" w:cs="Narkisim" w:hint="cs"/>
          <w:bCs/>
          <w:snapToGrid w:val="0"/>
          <w:sz w:val="24"/>
          <w:szCs w:val="36"/>
          <w:rtl/>
          <w:lang w:bidi="he-IL"/>
        </w:rPr>
        <w:t xml:space="preserve"> בבטעם שהוא חפצא דאיסורא רק באופן המותר</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הנה לעיל כתבנו שההיתר של נ"ט בר נ"ט שייך רק בבליעות של היתר ולא בבליעות של איסור. אמנם יל"ע בכגון חמץ מלפני פסח האם יהי' בה ההיתר של נ"ט בר נ"ט היכא דעבר בכמה מקומות קודם זמן האיסור. ומכמה ראשונים מבואר שיש לו היתירא דנ"ט בר נ"ט, דהא קודם הפסח החמץ מותר, ולכן כיון שנחלש טעם האיסור מקודם לפסח אינו נאסר בפסח. אמנם שיטת הרמב"ן (חי' למס' חולין דף ח' ע"א) היא ד'חמץ שמו עליו', ור"ל שאין אנו צריכים לעשות חלות חדש, דהא הוא כבר חמץ, ולכן לא שייך הדין של נ"ט בר נ"ט. וברמב"ן באמת כתב את הדברים בדין הכשר כלים שהוא קל יותר היכא דהיתירא בלע, אבל </w:t>
      </w:r>
      <w:r w:rsidRPr="00BC2E9D">
        <w:rPr>
          <w:rFonts w:ascii="Times New Roman" w:eastAsia="Times New Roman" w:hAnsi="Times New Roman" w:cs="Narkisim" w:hint="cs"/>
          <w:w w:val="115"/>
          <w:sz w:val="20"/>
          <w:szCs w:val="24"/>
          <w:rtl/>
          <w:lang w:bidi="he-IL"/>
        </w:rPr>
        <w:lastRenderedPageBreak/>
        <w:t>הר"ן כתב סברא זו גם לגבי הדינים של נ"ט בר נ"ט. ולהלכה יש לנו סתירה בשו"ע, דהא בדינא דהכשר כלים מבואר באו"ח סי' תנ"א שעיקר הדין כסברת הרמב"ן דחמץ מיקרי איסורא בלע כיון ד'שמו עליו'. ואילו בסי' תנ"ב בדינא דהכשר כלים סתם השו"ע שאפשר להגעיל קודם שעה ה' אפילו אין ס' נגד הטעם חמץ כיון שיש כאן היתר של נ"ט בר נ"ט. הרי דסתם כמ"ד דחמץ מיקרי היתירא בלע. וכתב בזה החזו"א .... אמנם למעשה הבה"ל שם ברסי תנ"ב הביא מביאור הגר"א....</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והנה הרמ"א ביו"ד סי' ק"ג סע' ב' כתב .... ולכאורה נידון זה תלוי בדין הנ"ל, דלמ"ד חמץ מיקרי היתירא בלע הא שפיר מובנים דברי הרמ"א, אבל למ"ד דשמו עליו לכאורה גם כאן שמו עליו. אמנם יעוין בהגהות רע"א לאו"ח סי' תנ"ב מג"א ס"ק ו' שכתב לחלק, דבשלמא חמץ אמרינן בה דשמו עליו כיון שיש בתבשיל או במים טעם חמץ ולכן שמו על הטעם, אבל בהא דהרמ"א, כיון שהוא לעת עתה נטל"פ, הרי הוא בטל, ולכן אין עליו אפילו שם חלב או דם, דהא גם שם זה בטל ע"י הרוב היתר כיון שהוא נטל"פ. וכיון שכן התקשה בדברי המג"א שם בשם הרשב"א......ויוצא לדבריו לכאורה דבר חידוש, שגם השם חלב או דם אינו חוזר לאחר שחוזר וניעור, דאל"כ מה איכפת לן זה שלא הי' עליו שם חלב ודם במן שלא נתן טעם...... ויעוין בחזו"א יו"ד ..... וע"ש בפת"ש.</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ובהאי ענינא ע' ברע"א שהביא מפמ"ג דלא מהני זה דהוי נ"ט בר נ"ט אלא אם הי' עליו שם היתר כל זמן שהי' נ"ט חדש, אבל אפילו אם עבר לכמה מקומות וכן לבסוף הי' להיתירא, ליתי' להיתירא דנ"ט בר נ"ט. ולכאורה דבר זה צריך ביאור, דהא סוף כל סוף נחלש הטעם, וכן הוא עכשיו אסור, ולכן למה יחול עליו שם איסור  לאחר מכן.  </w:t>
      </w:r>
    </w:p>
    <w:p w:rsidR="00BC2E9D" w:rsidRPr="00BC2E9D" w:rsidRDefault="00BC2E9D" w:rsidP="00BC2E9D">
      <w:pPr>
        <w:keepNext/>
        <w:tabs>
          <w:tab w:val="left" w:pos="0"/>
        </w:tabs>
        <w:bidi/>
        <w:spacing w:before="240" w:after="240" w:line="240" w:lineRule="auto"/>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bCs/>
          <w:snapToGrid w:val="0"/>
          <w:sz w:val="24"/>
          <w:szCs w:val="36"/>
          <w:rtl/>
          <w:lang w:bidi="he-IL"/>
        </w:rPr>
        <w:t>נ"ט בר נ"ט</w:t>
      </w:r>
      <w:r w:rsidRPr="00BC2E9D">
        <w:rPr>
          <w:rFonts w:ascii="MS Sans Serif" w:eastAsia="Times New Roman" w:hAnsi="MS Sans Serif" w:cs="Narkisim" w:hint="cs"/>
          <w:bCs/>
          <w:snapToGrid w:val="0"/>
          <w:sz w:val="24"/>
          <w:szCs w:val="36"/>
          <w:rtl/>
          <w:lang w:bidi="he-IL"/>
        </w:rPr>
        <w:t xml:space="preserve"> מהו</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lang w:bidi="he-IL"/>
        </w:rPr>
      </w:pPr>
      <w:r w:rsidRPr="00BC2E9D">
        <w:rPr>
          <w:rFonts w:ascii="Times New Roman" w:eastAsia="Times New Roman" w:hAnsi="Times New Roman" w:cs="Narkisim"/>
          <w:w w:val="115"/>
          <w:sz w:val="20"/>
          <w:szCs w:val="24"/>
          <w:rtl/>
          <w:lang w:bidi="he-IL"/>
        </w:rPr>
        <w:t xml:space="preserve">לפום ריהטא לשון נ"ט בר נ"ט משמע שאמנם הטעם הראשון אסור (דזהו עיקר דינא דטכ"ע) אבל טעם השני מותר. ולכן הי' צריך להיות הדין שאם בישל בשר בקדרה הרי יש בקדרה טעם ראשון של בשר, ואם בישל </w:t>
      </w:r>
      <w:r w:rsidRPr="00BC2E9D">
        <w:rPr>
          <w:rFonts w:ascii="Times New Roman" w:eastAsia="Times New Roman" w:hAnsi="Times New Roman" w:cs="Narkisim" w:hint="cs"/>
          <w:w w:val="115"/>
          <w:sz w:val="20"/>
          <w:szCs w:val="24"/>
          <w:rtl/>
          <w:lang w:bidi="he-IL"/>
        </w:rPr>
        <w:t>בה חלב</w:t>
      </w:r>
      <w:r w:rsidRPr="00BC2E9D">
        <w:rPr>
          <w:rFonts w:ascii="Times New Roman" w:eastAsia="Times New Roman" w:hAnsi="Times New Roman" w:cs="Narkisim"/>
          <w:w w:val="115"/>
          <w:sz w:val="20"/>
          <w:szCs w:val="24"/>
          <w:rtl/>
          <w:lang w:bidi="he-IL"/>
        </w:rPr>
        <w:t xml:space="preserve"> לאחר מכן באותה קדרה </w:t>
      </w:r>
      <w:r w:rsidRPr="00BC2E9D">
        <w:rPr>
          <w:rFonts w:ascii="Times New Roman" w:eastAsia="Times New Roman" w:hAnsi="Times New Roman" w:cs="Narkisim" w:hint="cs"/>
          <w:w w:val="115"/>
          <w:sz w:val="20"/>
          <w:szCs w:val="24"/>
          <w:rtl/>
          <w:lang w:bidi="he-IL"/>
        </w:rPr>
        <w:t xml:space="preserve">אין החלב נאסר כיון שאחרי שנכנס לחלב הרי הוא טעם שני. וטעם שני מותר שזהו נ"ט בר נ"ט. </w:t>
      </w:r>
      <w:r w:rsidRPr="00BC2E9D">
        <w:rPr>
          <w:rFonts w:ascii="Times New Roman" w:eastAsia="Times New Roman" w:hAnsi="Times New Roman" w:cs="Narkisim"/>
          <w:w w:val="115"/>
          <w:sz w:val="20"/>
          <w:szCs w:val="24"/>
          <w:rtl/>
          <w:lang w:bidi="he-IL"/>
        </w:rPr>
        <w:t>הרי זה טעם שני ומותר. אלא דא"כ יש כמה קושיות, חדא ש</w:t>
      </w:r>
      <w:r w:rsidRPr="00BC2E9D">
        <w:rPr>
          <w:rFonts w:ascii="Times New Roman" w:eastAsia="Times New Roman" w:hAnsi="Times New Roman" w:cs="Narkisim" w:hint="cs"/>
          <w:w w:val="115"/>
          <w:sz w:val="20"/>
          <w:szCs w:val="24"/>
          <w:rtl/>
          <w:lang w:bidi="he-IL"/>
        </w:rPr>
        <w:t xml:space="preserve">מן </w:t>
      </w:r>
      <w:r w:rsidRPr="00BC2E9D">
        <w:rPr>
          <w:rFonts w:ascii="Times New Roman" w:eastAsia="Times New Roman" w:hAnsi="Times New Roman" w:cs="Narkisim"/>
          <w:w w:val="115"/>
          <w:sz w:val="20"/>
          <w:szCs w:val="24"/>
          <w:rtl/>
          <w:lang w:bidi="he-IL"/>
        </w:rPr>
        <w:t xml:space="preserve">הדוגמא של הגמ' </w:t>
      </w:r>
      <w:r w:rsidRPr="00BC2E9D">
        <w:rPr>
          <w:rFonts w:ascii="Times New Roman" w:eastAsia="Times New Roman" w:hAnsi="Times New Roman" w:cs="Narkisim" w:hint="cs"/>
          <w:w w:val="115"/>
          <w:sz w:val="20"/>
          <w:szCs w:val="24"/>
          <w:rtl/>
          <w:lang w:bidi="he-IL"/>
        </w:rPr>
        <w:t xml:space="preserve">עצמה </w:t>
      </w:r>
      <w:r w:rsidRPr="00BC2E9D">
        <w:rPr>
          <w:rFonts w:ascii="Times New Roman" w:eastAsia="Times New Roman" w:hAnsi="Times New Roman" w:cs="Narkisim"/>
          <w:w w:val="115"/>
          <w:sz w:val="20"/>
          <w:szCs w:val="24"/>
          <w:rtl/>
          <w:lang w:bidi="he-IL"/>
        </w:rPr>
        <w:t>שנחלקו בה רב ושמואל נראה דכה"ג אסור, דהא לא נחלקו אלא בדגים שעלו בקערה (פי' קערה שעלה בה בשר רותח</w:t>
      </w:r>
      <w:r w:rsidRPr="00BC2E9D">
        <w:rPr>
          <w:rFonts w:ascii="Times New Roman" w:eastAsia="Times New Roman" w:hAnsi="Times New Roman" w:cs="Narkisim" w:hint="cs"/>
          <w:w w:val="115"/>
          <w:sz w:val="20"/>
          <w:szCs w:val="24"/>
          <w:rtl/>
          <w:lang w:bidi="he-IL"/>
        </w:rPr>
        <w:t xml:space="preserve"> מקודם</w:t>
      </w:r>
      <w:r w:rsidRPr="00BC2E9D">
        <w:rPr>
          <w:rFonts w:ascii="Times New Roman" w:eastAsia="Times New Roman" w:hAnsi="Times New Roman" w:cs="Narkisim"/>
          <w:w w:val="115"/>
          <w:sz w:val="20"/>
          <w:szCs w:val="24"/>
          <w:rtl/>
          <w:lang w:bidi="he-IL"/>
        </w:rPr>
        <w:t xml:space="preserve">) אם מותר לאכלן בכותח (פי' מאכל חלבי) או לא. ומדויק מזה דאילו כותח </w:t>
      </w:r>
      <w:r w:rsidRPr="00BC2E9D">
        <w:rPr>
          <w:rFonts w:ascii="Times New Roman" w:eastAsia="Times New Roman" w:hAnsi="Times New Roman" w:cs="Narkisim"/>
          <w:w w:val="115"/>
          <w:sz w:val="20"/>
          <w:szCs w:val="24"/>
          <w:rtl/>
          <w:lang w:bidi="he-IL"/>
        </w:rPr>
        <w:lastRenderedPageBreak/>
        <w:t xml:space="preserve">עצמו באותה קערה הי' אסור. וכן </w:t>
      </w:r>
      <w:r w:rsidRPr="00BC2E9D">
        <w:rPr>
          <w:rFonts w:ascii="Times New Roman" w:eastAsia="Times New Roman" w:hAnsi="Times New Roman" w:cs="Narkisim" w:hint="cs"/>
          <w:w w:val="115"/>
          <w:sz w:val="20"/>
          <w:szCs w:val="24"/>
          <w:rtl/>
          <w:lang w:bidi="he-IL"/>
        </w:rPr>
        <w:t xml:space="preserve">לכאורה </w:t>
      </w:r>
      <w:r w:rsidRPr="00BC2E9D">
        <w:rPr>
          <w:rFonts w:ascii="Times New Roman" w:eastAsia="Times New Roman" w:hAnsi="Times New Roman" w:cs="Narkisim"/>
          <w:w w:val="115"/>
          <w:sz w:val="20"/>
          <w:szCs w:val="24"/>
          <w:rtl/>
          <w:lang w:bidi="he-IL"/>
        </w:rPr>
        <w:t xml:space="preserve">דברים מפורשים </w:t>
      </w:r>
      <w:r w:rsidRPr="00BC2E9D">
        <w:rPr>
          <w:rFonts w:ascii="Times New Roman" w:eastAsia="Times New Roman" w:hAnsi="Times New Roman" w:cs="Narkisim" w:hint="cs"/>
          <w:w w:val="115"/>
          <w:sz w:val="20"/>
          <w:szCs w:val="24"/>
          <w:rtl/>
          <w:lang w:bidi="he-IL"/>
        </w:rPr>
        <w:t xml:space="preserve">הם </w:t>
      </w:r>
      <w:r w:rsidRPr="00BC2E9D">
        <w:rPr>
          <w:rFonts w:ascii="Times New Roman" w:eastAsia="Times New Roman" w:hAnsi="Times New Roman" w:cs="Narkisim"/>
          <w:w w:val="115"/>
          <w:sz w:val="20"/>
          <w:szCs w:val="24"/>
          <w:rtl/>
          <w:lang w:bidi="he-IL"/>
        </w:rPr>
        <w:t>לעיל בדף צ"ז ע"א בברייתא שכתוב בה "קדרה שבשל בה בשר לא יבשל בה חלב ואם בשל בנותן טעם", ולפי הנ"ל הי' צריך להיות מותר אפילו אם יכול לטעום אותו</w:t>
      </w:r>
      <w:r w:rsidRPr="00BC2E9D">
        <w:rPr>
          <w:rFonts w:ascii="Times New Roman" w:eastAsia="Times New Roman" w:hAnsi="Times New Roman" w:cs="Narkisim" w:hint="cs"/>
          <w:w w:val="115"/>
          <w:sz w:val="20"/>
          <w:szCs w:val="24"/>
          <w:rtl/>
          <w:lang w:bidi="he-IL"/>
        </w:rPr>
        <w:t xml:space="preserve"> (וכנ"ל דלא כיש"ש)</w:t>
      </w:r>
      <w:r w:rsidRPr="00BC2E9D">
        <w:rPr>
          <w:rFonts w:ascii="Times New Roman" w:eastAsia="Times New Roman" w:hAnsi="Times New Roman" w:cs="Narkisim"/>
          <w:w w:val="115"/>
          <w:sz w:val="20"/>
          <w:szCs w:val="24"/>
          <w:rtl/>
          <w:lang w:bidi="he-IL"/>
        </w:rPr>
        <w:t xml:space="preserve">. ועוד קשה </w:t>
      </w:r>
      <w:r w:rsidRPr="00BC2E9D">
        <w:rPr>
          <w:rFonts w:ascii="Times New Roman" w:eastAsia="Times New Roman" w:hAnsi="Times New Roman" w:cs="Narkisim" w:hint="cs"/>
          <w:w w:val="115"/>
          <w:sz w:val="20"/>
          <w:szCs w:val="24"/>
          <w:rtl/>
          <w:lang w:bidi="he-IL"/>
        </w:rPr>
        <w:t xml:space="preserve">מן </w:t>
      </w:r>
      <w:r w:rsidRPr="00BC2E9D">
        <w:rPr>
          <w:rFonts w:ascii="Times New Roman" w:eastAsia="Times New Roman" w:hAnsi="Times New Roman" w:cs="Narkisim"/>
          <w:w w:val="115"/>
          <w:sz w:val="20"/>
          <w:szCs w:val="24"/>
          <w:rtl/>
          <w:lang w:bidi="he-IL"/>
        </w:rPr>
        <w:t>הגמ' שבמס' פסחים דף ע"ו ע"ב שאמרו</w:t>
      </w:r>
      <w:r w:rsidRPr="00BC2E9D">
        <w:rPr>
          <w:rFonts w:ascii="Times New Roman" w:eastAsia="Times New Roman" w:hAnsi="Times New Roman" w:cs="Narkisim" w:hint="cs"/>
          <w:w w:val="115"/>
          <w:sz w:val="20"/>
          <w:szCs w:val="24"/>
          <w:rtl/>
          <w:lang w:bidi="he-IL"/>
        </w:rPr>
        <w:t xml:space="preserve"> שם</w:t>
      </w:r>
      <w:r w:rsidRPr="00BC2E9D">
        <w:rPr>
          <w:rFonts w:ascii="Times New Roman" w:eastAsia="Times New Roman" w:hAnsi="Times New Roman" w:cs="Narkisim"/>
          <w:w w:val="115"/>
          <w:sz w:val="20"/>
          <w:szCs w:val="24"/>
          <w:rtl/>
          <w:lang w:bidi="he-IL"/>
        </w:rPr>
        <w:t xml:space="preserve"> שדג שנצלה באותה תנור עם בשר אסור לכתחילה עם חלב, וצ"ע דהא עד שיגיע לחלב טעם שני הוא. והוכיח הרמב"ן ועוד </w:t>
      </w:r>
      <w:r w:rsidRPr="00BC2E9D">
        <w:rPr>
          <w:rFonts w:ascii="Times New Roman" w:eastAsia="Times New Roman" w:hAnsi="Times New Roman" w:cs="Narkisim" w:hint="cs"/>
          <w:w w:val="115"/>
          <w:sz w:val="20"/>
          <w:szCs w:val="24"/>
          <w:rtl/>
          <w:lang w:bidi="he-IL"/>
        </w:rPr>
        <w:t xml:space="preserve">מכל זה </w:t>
      </w:r>
      <w:r w:rsidRPr="00BC2E9D">
        <w:rPr>
          <w:rFonts w:ascii="Times New Roman" w:eastAsia="Times New Roman" w:hAnsi="Times New Roman" w:cs="Narkisim"/>
          <w:w w:val="115"/>
          <w:sz w:val="20"/>
          <w:szCs w:val="24"/>
          <w:rtl/>
          <w:lang w:bidi="he-IL"/>
        </w:rPr>
        <w:t>דע"כ ההיתר של נ"ט בר נ"ט צריך עוד נתינת טעם שלישי כדי להיות מותר. ו</w:t>
      </w:r>
      <w:r w:rsidRPr="00BC2E9D">
        <w:rPr>
          <w:rFonts w:ascii="Times New Roman" w:eastAsia="Times New Roman" w:hAnsi="Times New Roman" w:cs="Narkisim" w:hint="cs"/>
          <w:w w:val="115"/>
          <w:sz w:val="20"/>
          <w:szCs w:val="24"/>
          <w:rtl/>
          <w:lang w:bidi="he-IL"/>
        </w:rPr>
        <w:t>לדבריו ע"כ אין הכוונה ב'נ"ט בר נ"ט' לומר</w:t>
      </w:r>
      <w:r w:rsidRPr="00BC2E9D">
        <w:rPr>
          <w:rFonts w:ascii="Times New Roman" w:eastAsia="Times New Roman" w:hAnsi="Times New Roman" w:cs="Narkisim"/>
          <w:w w:val="115"/>
          <w:sz w:val="20"/>
          <w:szCs w:val="24"/>
          <w:rtl/>
          <w:lang w:bidi="he-IL"/>
        </w:rPr>
        <w:t xml:space="preserve"> ש</w:t>
      </w:r>
      <w:r w:rsidRPr="00BC2E9D">
        <w:rPr>
          <w:rFonts w:ascii="Times New Roman" w:eastAsia="Times New Roman" w:hAnsi="Times New Roman" w:cs="Narkisim" w:hint="cs"/>
          <w:w w:val="115"/>
          <w:sz w:val="20"/>
          <w:szCs w:val="24"/>
          <w:rtl/>
          <w:lang w:bidi="he-IL"/>
        </w:rPr>
        <w:t xml:space="preserve">אין </w:t>
      </w:r>
      <w:r w:rsidRPr="00BC2E9D">
        <w:rPr>
          <w:rFonts w:ascii="Times New Roman" w:eastAsia="Times New Roman" w:hAnsi="Times New Roman" w:cs="Narkisim"/>
          <w:w w:val="115"/>
          <w:sz w:val="20"/>
          <w:szCs w:val="24"/>
          <w:rtl/>
          <w:lang w:bidi="he-IL"/>
        </w:rPr>
        <w:t>הנ"ט בר נ"ט אסורה</w:t>
      </w:r>
      <w:r w:rsidRPr="00BC2E9D">
        <w:rPr>
          <w:rFonts w:ascii="Times New Roman" w:eastAsia="Times New Roman" w:hAnsi="Times New Roman" w:cs="Narkisim" w:hint="cs"/>
          <w:w w:val="115"/>
          <w:sz w:val="20"/>
          <w:szCs w:val="24"/>
          <w:rtl/>
          <w:lang w:bidi="he-IL"/>
        </w:rPr>
        <w:t xml:space="preserve"> בעצמה</w:t>
      </w:r>
      <w:r w:rsidRPr="00BC2E9D">
        <w:rPr>
          <w:rFonts w:ascii="Times New Roman" w:eastAsia="Times New Roman" w:hAnsi="Times New Roman" w:cs="Narkisim"/>
          <w:w w:val="115"/>
          <w:sz w:val="20"/>
          <w:szCs w:val="24"/>
          <w:rtl/>
          <w:lang w:bidi="he-IL"/>
        </w:rPr>
        <w:t>,</w:t>
      </w:r>
      <w:r w:rsidRPr="00BC2E9D">
        <w:rPr>
          <w:rFonts w:ascii="Times New Roman" w:eastAsia="Times New Roman" w:hAnsi="Times New Roman" w:cs="Narkisim" w:hint="cs"/>
          <w:w w:val="115"/>
          <w:sz w:val="20"/>
          <w:szCs w:val="24"/>
          <w:rtl/>
          <w:lang w:bidi="he-IL"/>
        </w:rPr>
        <w:t xml:space="preserve"> דהא ב'נ"ט בר נ"ט' ליכאאלא ב' נ"ט ובעינן טעם שלישי, </w:t>
      </w:r>
      <w:r w:rsidRPr="00BC2E9D">
        <w:rPr>
          <w:rFonts w:ascii="Times New Roman" w:eastAsia="Times New Roman" w:hAnsi="Times New Roman" w:cs="Narkisim"/>
          <w:w w:val="115"/>
          <w:sz w:val="20"/>
          <w:szCs w:val="24"/>
          <w:rtl/>
          <w:lang w:bidi="he-IL"/>
        </w:rPr>
        <w:t>רק שהנ"ט בר נ"ט אינה אוסרת</w:t>
      </w:r>
      <w:r w:rsidRPr="00BC2E9D">
        <w:rPr>
          <w:rFonts w:ascii="Times New Roman" w:eastAsia="Times New Roman" w:hAnsi="Times New Roman" w:cs="Narkisim" w:hint="cs"/>
          <w:w w:val="115"/>
          <w:sz w:val="20"/>
          <w:szCs w:val="24"/>
          <w:rtl/>
          <w:lang w:bidi="he-IL"/>
        </w:rPr>
        <w:t xml:space="preserve"> דבר אחר</w:t>
      </w:r>
      <w:r w:rsidRPr="00BC2E9D">
        <w:rPr>
          <w:rFonts w:ascii="Times New Roman" w:eastAsia="Times New Roman" w:hAnsi="Times New Roman" w:cs="Narkisim"/>
          <w:w w:val="115"/>
          <w:sz w:val="20"/>
          <w:szCs w:val="24"/>
          <w:rtl/>
          <w:lang w:bidi="he-IL"/>
        </w:rPr>
        <w:t>. ודבר זה מ</w:t>
      </w:r>
      <w:r w:rsidRPr="00BC2E9D">
        <w:rPr>
          <w:rFonts w:ascii="Times New Roman" w:eastAsia="Times New Roman" w:hAnsi="Times New Roman" w:cs="Narkisim" w:hint="cs"/>
          <w:w w:val="115"/>
          <w:sz w:val="20"/>
          <w:szCs w:val="24"/>
          <w:rtl/>
          <w:lang w:bidi="he-IL"/>
        </w:rPr>
        <w:t>תא</w:t>
      </w:r>
      <w:r w:rsidRPr="00BC2E9D">
        <w:rPr>
          <w:rFonts w:ascii="Times New Roman" w:eastAsia="Times New Roman" w:hAnsi="Times New Roman" w:cs="Narkisim"/>
          <w:w w:val="115"/>
          <w:sz w:val="20"/>
          <w:szCs w:val="24"/>
          <w:rtl/>
          <w:lang w:bidi="he-IL"/>
        </w:rPr>
        <w:t xml:space="preserve">ים </w:t>
      </w:r>
      <w:r w:rsidRPr="00BC2E9D">
        <w:rPr>
          <w:rFonts w:ascii="Times New Roman" w:eastAsia="Times New Roman" w:hAnsi="Times New Roman" w:cs="Narkisim" w:hint="cs"/>
          <w:w w:val="115"/>
          <w:sz w:val="20"/>
          <w:szCs w:val="24"/>
          <w:rtl/>
          <w:lang w:bidi="he-IL"/>
        </w:rPr>
        <w:t>ע</w:t>
      </w:r>
      <w:r w:rsidRPr="00BC2E9D">
        <w:rPr>
          <w:rFonts w:ascii="Times New Roman" w:eastAsia="Times New Roman" w:hAnsi="Times New Roman" w:cs="Narkisim"/>
          <w:w w:val="115"/>
          <w:sz w:val="20"/>
          <w:szCs w:val="24"/>
          <w:rtl/>
          <w:lang w:bidi="he-IL"/>
        </w:rPr>
        <w:t xml:space="preserve">ם היסוד </w:t>
      </w:r>
      <w:r w:rsidRPr="00BC2E9D">
        <w:rPr>
          <w:rFonts w:ascii="Times New Roman" w:eastAsia="Times New Roman" w:hAnsi="Times New Roman" w:cs="Narkisim" w:hint="cs"/>
          <w:w w:val="115"/>
          <w:sz w:val="20"/>
          <w:szCs w:val="24"/>
          <w:rtl/>
          <w:lang w:bidi="he-IL"/>
        </w:rPr>
        <w:t xml:space="preserve">הנ"ל </w:t>
      </w:r>
      <w:r w:rsidRPr="00BC2E9D">
        <w:rPr>
          <w:rFonts w:ascii="Times New Roman" w:eastAsia="Times New Roman" w:hAnsi="Times New Roman" w:cs="Narkisim"/>
          <w:w w:val="115"/>
          <w:sz w:val="20"/>
          <w:szCs w:val="24"/>
          <w:rtl/>
          <w:lang w:bidi="he-IL"/>
        </w:rPr>
        <w:t>של כמה ראש</w:t>
      </w:r>
      <w:r w:rsidRPr="00BC2E9D">
        <w:rPr>
          <w:rFonts w:ascii="Times New Roman" w:eastAsia="Times New Roman" w:hAnsi="Times New Roman" w:cs="Narkisim" w:hint="cs"/>
          <w:w w:val="115"/>
          <w:sz w:val="20"/>
          <w:szCs w:val="24"/>
          <w:rtl/>
          <w:lang w:bidi="he-IL"/>
        </w:rPr>
        <w:t>ו</w:t>
      </w:r>
      <w:r w:rsidRPr="00BC2E9D">
        <w:rPr>
          <w:rFonts w:ascii="Times New Roman" w:eastAsia="Times New Roman" w:hAnsi="Times New Roman" w:cs="Narkisim"/>
          <w:w w:val="115"/>
          <w:sz w:val="20"/>
          <w:szCs w:val="24"/>
          <w:rtl/>
          <w:lang w:bidi="he-IL"/>
        </w:rPr>
        <w:t>נים שאין ההיתר של נ"ט בר נ"ט קיים אלא בהיתירא, שהענין של נ"ט בר נ"ט היא שאינה אוסרת.</w:t>
      </w:r>
      <w:r w:rsidRPr="00BC2E9D">
        <w:rPr>
          <w:rFonts w:ascii="Times New Roman" w:eastAsia="Times New Roman" w:hAnsi="Times New Roman" w:cs="Narkisim" w:hint="cs"/>
          <w:w w:val="115"/>
          <w:sz w:val="20"/>
          <w:szCs w:val="24"/>
          <w:rtl/>
          <w:lang w:bidi="he-IL"/>
        </w:rPr>
        <w:t xml:space="preserve"> (אמנם ע"ש ברמב"ן שהביא שיטה שבאמת סוברת כביאור ראשון הנ"ל, וע"ש מש"כ ביישוב דבריהם. ומ"מ כתב הרמב"ן על דבריהם שאין פירושם נכון).</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אלא דלכאורה קשה, שאם באמת צריכים עוד טעם שלישי כדי שיהא מותר מדין נ"ט ב"ר נ"ט, נהי נמי שאין כח בטעם הבשר שבדג לאסור החלב, אבל למה החלב אינה יכולה לאסור את הבשר, הא הטעם חלב שב</w:t>
      </w:r>
      <w:r w:rsidRPr="00BC2E9D">
        <w:rPr>
          <w:rFonts w:ascii="Times New Roman" w:eastAsia="Times New Roman" w:hAnsi="Times New Roman" w:cs="Narkisim" w:hint="cs"/>
          <w:w w:val="115"/>
          <w:sz w:val="20"/>
          <w:szCs w:val="24"/>
          <w:rtl/>
          <w:lang w:bidi="he-IL"/>
        </w:rPr>
        <w:t>דג</w:t>
      </w:r>
      <w:r w:rsidRPr="00BC2E9D">
        <w:rPr>
          <w:rFonts w:ascii="Times New Roman" w:eastAsia="Times New Roman" w:hAnsi="Times New Roman" w:cs="Narkisim"/>
          <w:w w:val="115"/>
          <w:sz w:val="20"/>
          <w:szCs w:val="24"/>
          <w:rtl/>
          <w:lang w:bidi="he-IL"/>
        </w:rPr>
        <w:t xml:space="preserve"> לא יהי' טעם שלישי לכשיכנס לתוך הטעם בשר שבדג. ובשו"ת רע"א סי' ר"ז כתב דע"כ סבר הרמב"ן שאי אפשר לעשות חפצא של בשר בחלב אא"כ גם הבשר אוסרת את החלב וגם החלב אוס</w:t>
      </w:r>
      <w:r w:rsidRPr="00BC2E9D">
        <w:rPr>
          <w:rFonts w:ascii="Times New Roman" w:eastAsia="Times New Roman" w:hAnsi="Times New Roman" w:cs="Narkisim" w:hint="cs"/>
          <w:w w:val="115"/>
          <w:sz w:val="20"/>
          <w:szCs w:val="24"/>
          <w:rtl/>
          <w:lang w:bidi="he-IL"/>
        </w:rPr>
        <w:t>ר</w:t>
      </w:r>
      <w:r w:rsidRPr="00BC2E9D">
        <w:rPr>
          <w:rFonts w:ascii="Times New Roman" w:eastAsia="Times New Roman" w:hAnsi="Times New Roman" w:cs="Narkisim"/>
          <w:w w:val="115"/>
          <w:sz w:val="20"/>
          <w:szCs w:val="24"/>
          <w:rtl/>
          <w:lang w:bidi="he-IL"/>
        </w:rPr>
        <w:t xml:space="preserve">ת את הבשר. </w:t>
      </w:r>
      <w:r w:rsidRPr="00BC2E9D">
        <w:rPr>
          <w:rFonts w:ascii="Times New Roman" w:eastAsia="Times New Roman" w:hAnsi="Times New Roman" w:cs="Narkisim" w:hint="cs"/>
          <w:w w:val="115"/>
          <w:sz w:val="20"/>
          <w:szCs w:val="24"/>
          <w:rtl/>
          <w:lang w:bidi="he-IL"/>
        </w:rPr>
        <w:t>(</w:t>
      </w:r>
      <w:r w:rsidRPr="00BC2E9D">
        <w:rPr>
          <w:rFonts w:ascii="Times New Roman" w:eastAsia="Times New Roman" w:hAnsi="Times New Roman" w:cs="Narkisim"/>
          <w:w w:val="115"/>
          <w:sz w:val="20"/>
          <w:szCs w:val="24"/>
          <w:rtl/>
          <w:lang w:bidi="he-IL"/>
        </w:rPr>
        <w:t xml:space="preserve">ונראה להדגיש, דאע"ג שהי' הו"א בגמ' שבדף ק"ח ע"א דבשר אסרה תורה ולא חלב, ובודאי לפי הו"א זה אין הבשר צריך לאסור את החלב דהא לא נאסר, מ"מ </w:t>
      </w:r>
      <w:r w:rsidRPr="00BC2E9D">
        <w:rPr>
          <w:rFonts w:ascii="Times New Roman" w:eastAsia="Times New Roman" w:hAnsi="Times New Roman" w:cs="Narkisim" w:hint="cs"/>
          <w:w w:val="115"/>
          <w:sz w:val="20"/>
          <w:szCs w:val="24"/>
          <w:rtl/>
          <w:lang w:bidi="he-IL"/>
        </w:rPr>
        <w:t xml:space="preserve">ע"כ </w:t>
      </w:r>
      <w:r w:rsidRPr="00BC2E9D">
        <w:rPr>
          <w:rFonts w:ascii="Times New Roman" w:eastAsia="Times New Roman" w:hAnsi="Times New Roman" w:cs="Narkisim"/>
          <w:w w:val="115"/>
          <w:sz w:val="20"/>
          <w:szCs w:val="24"/>
          <w:rtl/>
          <w:lang w:bidi="he-IL"/>
        </w:rPr>
        <w:t>סבר הרמב"ן אליבא דרע"א שכל זה הוא להו"</w:t>
      </w:r>
      <w:r w:rsidRPr="00BC2E9D">
        <w:rPr>
          <w:rFonts w:ascii="Times New Roman" w:eastAsia="Times New Roman" w:hAnsi="Times New Roman" w:cs="Narkisim" w:hint="cs"/>
          <w:w w:val="115"/>
          <w:sz w:val="20"/>
          <w:szCs w:val="24"/>
          <w:rtl/>
          <w:lang w:bidi="he-IL"/>
        </w:rPr>
        <w:t>א</w:t>
      </w:r>
      <w:r w:rsidRPr="00BC2E9D">
        <w:rPr>
          <w:rFonts w:ascii="Times New Roman" w:eastAsia="Times New Roman" w:hAnsi="Times New Roman" w:cs="Narkisim"/>
          <w:w w:val="115"/>
          <w:sz w:val="20"/>
          <w:szCs w:val="24"/>
          <w:rtl/>
          <w:lang w:bidi="he-IL"/>
        </w:rPr>
        <w:t xml:space="preserve"> של הגמ', אבל למסקנא ששניהם נאסרים דבר זה הוא לעיכובא שיהיו שניהם נאסרים</w:t>
      </w:r>
      <w:r w:rsidRPr="00BC2E9D">
        <w:rPr>
          <w:rFonts w:ascii="Times New Roman" w:eastAsia="Times New Roman" w:hAnsi="Times New Roman" w:cs="Narkisim" w:hint="cs"/>
          <w:w w:val="115"/>
          <w:sz w:val="20"/>
          <w:szCs w:val="24"/>
          <w:rtl/>
          <w:lang w:bidi="he-IL"/>
        </w:rPr>
        <w:t>)</w:t>
      </w:r>
      <w:r w:rsidRPr="00BC2E9D">
        <w:rPr>
          <w:rFonts w:ascii="Times New Roman" w:eastAsia="Times New Roman" w:hAnsi="Times New Roman" w:cs="Narkisim"/>
          <w:w w:val="115"/>
          <w:sz w:val="20"/>
          <w:szCs w:val="24"/>
          <w:rtl/>
          <w:lang w:bidi="he-IL"/>
        </w:rPr>
        <w:t xml:space="preserve">.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 xml:space="preserve">ושם בשו"ת רע"א דקדק מדברי התוס' בסוגיין דלא סברי כרמב"ן, דהא הוכיחו כשיטה הסוברת שאין מחמירים בנתבשלו יותר מעלו </w:t>
      </w:r>
      <w:r w:rsidRPr="00BC2E9D">
        <w:rPr>
          <w:rFonts w:ascii="Times New Roman" w:eastAsia="Times New Roman" w:hAnsi="Times New Roman" w:cs="Narkisim" w:hint="cs"/>
          <w:w w:val="115"/>
          <w:sz w:val="20"/>
          <w:szCs w:val="24"/>
          <w:rtl/>
          <w:lang w:bidi="he-IL"/>
        </w:rPr>
        <w:t xml:space="preserve">(ע' בסמוך שביארנו החילוק ביניהם) </w:t>
      </w:r>
      <w:r w:rsidRPr="00BC2E9D">
        <w:rPr>
          <w:rFonts w:ascii="Times New Roman" w:eastAsia="Times New Roman" w:hAnsi="Times New Roman" w:cs="Narkisim"/>
          <w:w w:val="115"/>
          <w:sz w:val="20"/>
          <w:szCs w:val="24"/>
          <w:rtl/>
          <w:lang w:bidi="he-IL"/>
        </w:rPr>
        <w:t xml:space="preserve">מזה שהתירו לבשל שלמים כל יום </w:t>
      </w:r>
      <w:r w:rsidRPr="00BC2E9D">
        <w:rPr>
          <w:rFonts w:ascii="Times New Roman" w:eastAsia="Times New Roman" w:hAnsi="Times New Roman" w:cs="Narkisim" w:hint="cs"/>
          <w:w w:val="115"/>
          <w:sz w:val="20"/>
          <w:szCs w:val="24"/>
          <w:rtl/>
          <w:lang w:bidi="he-IL"/>
        </w:rPr>
        <w:t>ב</w:t>
      </w:r>
      <w:r w:rsidRPr="00BC2E9D">
        <w:rPr>
          <w:rFonts w:ascii="Times New Roman" w:eastAsia="Times New Roman" w:hAnsi="Times New Roman" w:cs="Narkisim"/>
          <w:w w:val="115"/>
          <w:sz w:val="20"/>
          <w:szCs w:val="24"/>
          <w:rtl/>
          <w:lang w:bidi="he-IL"/>
        </w:rPr>
        <w:t>אותו כלי</w:t>
      </w:r>
      <w:r w:rsidRPr="00BC2E9D">
        <w:rPr>
          <w:rFonts w:ascii="Times New Roman" w:eastAsia="Times New Roman" w:hAnsi="Times New Roman" w:cs="Narkisim" w:hint="cs"/>
          <w:w w:val="115"/>
          <w:sz w:val="20"/>
          <w:szCs w:val="24"/>
          <w:rtl/>
          <w:lang w:bidi="he-IL"/>
        </w:rPr>
        <w:t>,</w:t>
      </w:r>
      <w:r w:rsidRPr="00BC2E9D">
        <w:rPr>
          <w:rFonts w:ascii="Times New Roman" w:eastAsia="Times New Roman" w:hAnsi="Times New Roman" w:cs="Narkisim"/>
          <w:w w:val="115"/>
          <w:sz w:val="20"/>
          <w:szCs w:val="24"/>
          <w:rtl/>
          <w:lang w:bidi="he-IL"/>
        </w:rPr>
        <w:t xml:space="preserve"> ולא אמרינן שהשלמים של יום א' </w:t>
      </w:r>
      <w:r w:rsidRPr="00BC2E9D">
        <w:rPr>
          <w:rFonts w:ascii="Times New Roman" w:eastAsia="Times New Roman" w:hAnsi="Times New Roman" w:cs="Narkisim" w:hint="cs"/>
          <w:w w:val="115"/>
          <w:sz w:val="20"/>
          <w:szCs w:val="24"/>
          <w:rtl/>
          <w:lang w:bidi="he-IL"/>
        </w:rPr>
        <w:t>יתן טעם בקרבן של מחר, ויאסר הקרבן של מחר משום נותר</w:t>
      </w:r>
      <w:r w:rsidRPr="00BC2E9D">
        <w:rPr>
          <w:rFonts w:ascii="Times New Roman" w:eastAsia="Times New Roman" w:hAnsi="Times New Roman" w:cs="Narkisim"/>
          <w:w w:val="115"/>
          <w:sz w:val="20"/>
          <w:szCs w:val="24"/>
          <w:rtl/>
          <w:lang w:bidi="he-IL"/>
        </w:rPr>
        <w:t xml:space="preserve"> </w:t>
      </w:r>
      <w:r w:rsidRPr="00BC2E9D">
        <w:rPr>
          <w:rFonts w:ascii="Times New Roman" w:eastAsia="Times New Roman" w:hAnsi="Times New Roman" w:cs="Narkisim" w:hint="cs"/>
          <w:w w:val="115"/>
          <w:sz w:val="20"/>
          <w:szCs w:val="24"/>
          <w:rtl/>
          <w:lang w:bidi="he-IL"/>
        </w:rPr>
        <w:t>מכח הבליעות של אתמול יותר מדי מוקדם.</w:t>
      </w:r>
      <w:r w:rsidRPr="00BC2E9D">
        <w:rPr>
          <w:rFonts w:ascii="Times New Roman" w:eastAsia="Times New Roman" w:hAnsi="Times New Roman" w:cs="Narkisim"/>
          <w:w w:val="115"/>
          <w:sz w:val="20"/>
          <w:szCs w:val="24"/>
          <w:rtl/>
          <w:lang w:bidi="he-IL"/>
        </w:rPr>
        <w:t xml:space="preserve"> והטעם </w:t>
      </w:r>
      <w:r w:rsidRPr="00BC2E9D">
        <w:rPr>
          <w:rFonts w:ascii="Times New Roman" w:eastAsia="Times New Roman" w:hAnsi="Times New Roman" w:cs="Narkisim" w:hint="cs"/>
          <w:w w:val="115"/>
          <w:sz w:val="20"/>
          <w:szCs w:val="24"/>
          <w:rtl/>
          <w:lang w:bidi="he-IL"/>
        </w:rPr>
        <w:t xml:space="preserve">בזה מבואר בגמ' </w:t>
      </w:r>
      <w:r w:rsidRPr="00BC2E9D">
        <w:rPr>
          <w:rFonts w:ascii="Times New Roman" w:eastAsia="Times New Roman" w:hAnsi="Times New Roman" w:cs="Narkisim"/>
          <w:w w:val="115"/>
          <w:sz w:val="20"/>
          <w:szCs w:val="24"/>
          <w:rtl/>
          <w:lang w:bidi="he-IL"/>
        </w:rPr>
        <w:t>משום דכל יום נעשה גיעול לחבירו</w:t>
      </w:r>
      <w:r w:rsidRPr="00BC2E9D">
        <w:rPr>
          <w:rFonts w:ascii="Times New Roman" w:eastAsia="Times New Roman" w:hAnsi="Times New Roman" w:cs="Narkisim" w:hint="cs"/>
          <w:w w:val="115"/>
          <w:sz w:val="20"/>
          <w:szCs w:val="24"/>
          <w:rtl/>
          <w:lang w:bidi="he-IL"/>
        </w:rPr>
        <w:t xml:space="preserve"> (פי' </w:t>
      </w:r>
      <w:r w:rsidRPr="00BC2E9D">
        <w:rPr>
          <w:rFonts w:ascii="Times New Roman" w:eastAsia="Times New Roman" w:hAnsi="Times New Roman" w:cs="Narkisim"/>
          <w:w w:val="115"/>
          <w:sz w:val="20"/>
          <w:szCs w:val="24"/>
          <w:rtl/>
          <w:lang w:bidi="he-IL"/>
        </w:rPr>
        <w:t>–</w:t>
      </w:r>
      <w:r w:rsidRPr="00BC2E9D">
        <w:rPr>
          <w:rFonts w:ascii="Times New Roman" w:eastAsia="Times New Roman" w:hAnsi="Times New Roman" w:cs="Narkisim" w:hint="cs"/>
          <w:w w:val="115"/>
          <w:sz w:val="20"/>
          <w:szCs w:val="24"/>
          <w:rtl/>
          <w:lang w:bidi="he-IL"/>
        </w:rPr>
        <w:t xml:space="preserve"> כשמבשל מחר הרי זה חשוב כהגעלה לכלי מן הבליעות של שלמים שהיו בה אתמול).</w:t>
      </w:r>
      <w:r w:rsidRPr="00BC2E9D">
        <w:rPr>
          <w:rFonts w:ascii="Times New Roman" w:eastAsia="Times New Roman" w:hAnsi="Times New Roman" w:cs="Narkisim"/>
          <w:w w:val="115"/>
          <w:sz w:val="20"/>
          <w:szCs w:val="24"/>
          <w:rtl/>
          <w:lang w:bidi="he-IL"/>
        </w:rPr>
        <w:t xml:space="preserve"> </w:t>
      </w:r>
      <w:r w:rsidRPr="00BC2E9D">
        <w:rPr>
          <w:rFonts w:ascii="Times New Roman" w:eastAsia="Times New Roman" w:hAnsi="Times New Roman" w:cs="Narkisim" w:hint="cs"/>
          <w:w w:val="115"/>
          <w:sz w:val="20"/>
          <w:szCs w:val="24"/>
          <w:rtl/>
          <w:lang w:bidi="he-IL"/>
        </w:rPr>
        <w:t xml:space="preserve">ומזה הוכיחו התוס' שבנתבשלו ג"כ איכא היתירא דנ"ט בר נ"ט, דאל"כ מה איכפת לן שכל יום נעשה גיעול לחבירו, הא ע"י ההגעלה אין הבליעות אלא יוצאות מן הכלי לקרבן השני. ובשלמא אם גם </w:t>
      </w:r>
      <w:r w:rsidRPr="00BC2E9D">
        <w:rPr>
          <w:rFonts w:ascii="Times New Roman" w:eastAsia="Times New Roman" w:hAnsi="Times New Roman" w:cs="Narkisim" w:hint="cs"/>
          <w:w w:val="115"/>
          <w:sz w:val="20"/>
          <w:szCs w:val="24"/>
          <w:rtl/>
          <w:lang w:bidi="he-IL"/>
        </w:rPr>
        <w:lastRenderedPageBreak/>
        <w:t xml:space="preserve">בנתבשלו איתי' להיתירא דנ"ט בר נ"ט ניחא, שאע"פ שנכנסות לקרבן החדש הא אינם נאסרות כיון דהוו כבר נ"ט בר נ"ט קודם זמן חלות האיסור. אבל אם נתבשלו שאני מאיזה טעם יהא מורת וכנ"ל. ולכן הוכיחו התוס' דע"כ נתבשלו כעלו דמי. (וע"ש איך שדחו ראי' זו).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ולכאורה קשה על דבריהם, שאפילו את"ל שגם בנתבשלו אמרינן לי' להיתירא דנ"ט בר נ"ט, מ"מ הא אין כאן ג' נ"ט, שהרי הבליעות עברו מן הקרבן הראשון לכלי, ומן הכלי לקרבן השני </w:t>
      </w:r>
      <w:r w:rsidRPr="00BC2E9D">
        <w:rPr>
          <w:rFonts w:ascii="Times New Roman" w:eastAsia="Times New Roman" w:hAnsi="Times New Roman" w:cs="Narkisim"/>
          <w:w w:val="115"/>
          <w:sz w:val="20"/>
          <w:szCs w:val="24"/>
          <w:rtl/>
          <w:lang w:bidi="he-IL"/>
        </w:rPr>
        <w:t xml:space="preserve">(דאין לומר דהוי נ"ט בר </w:t>
      </w:r>
      <w:r w:rsidRPr="00BC2E9D">
        <w:rPr>
          <w:rFonts w:ascii="Times New Roman" w:eastAsia="Times New Roman" w:hAnsi="Times New Roman" w:cs="Narkisim" w:hint="cs"/>
          <w:w w:val="115"/>
          <w:sz w:val="20"/>
          <w:szCs w:val="24"/>
          <w:rtl/>
          <w:lang w:bidi="he-IL"/>
        </w:rPr>
        <w:t xml:space="preserve">נ"ט </w:t>
      </w:r>
      <w:r w:rsidRPr="00BC2E9D">
        <w:rPr>
          <w:rFonts w:ascii="Times New Roman" w:eastAsia="Times New Roman" w:hAnsi="Times New Roman" w:cs="Narkisim"/>
          <w:w w:val="115"/>
          <w:sz w:val="20"/>
          <w:szCs w:val="24"/>
          <w:rtl/>
          <w:lang w:bidi="he-IL"/>
        </w:rPr>
        <w:t>כיון שנכנס למים קודם דהא למחמירים בנתבשלו אמרינן שהוא נכנס ישירות לתבשיל שבכלי שלא ע"י המים</w:t>
      </w:r>
      <w:r w:rsidRPr="00BC2E9D">
        <w:rPr>
          <w:rFonts w:ascii="Times New Roman" w:eastAsia="Times New Roman" w:hAnsi="Times New Roman" w:cs="Narkisim" w:hint="cs"/>
          <w:w w:val="115"/>
          <w:sz w:val="20"/>
          <w:szCs w:val="24"/>
          <w:rtl/>
          <w:lang w:bidi="he-IL"/>
        </w:rPr>
        <w:t>, וכן התוס' עצמם כתבו שם שאין להתחשב בזה שנכנס למים קודם</w:t>
      </w:r>
      <w:r w:rsidRPr="00BC2E9D">
        <w:rPr>
          <w:rFonts w:ascii="Times New Roman" w:eastAsia="Times New Roman" w:hAnsi="Times New Roman" w:cs="Narkisim"/>
          <w:w w:val="115"/>
          <w:sz w:val="20"/>
          <w:szCs w:val="24"/>
          <w:rtl/>
          <w:lang w:bidi="he-IL"/>
        </w:rPr>
        <w:t xml:space="preserve">) </w:t>
      </w:r>
      <w:r w:rsidRPr="00BC2E9D">
        <w:rPr>
          <w:rFonts w:ascii="Times New Roman" w:eastAsia="Times New Roman" w:hAnsi="Times New Roman" w:cs="Narkisim" w:hint="cs"/>
          <w:w w:val="115"/>
          <w:sz w:val="20"/>
          <w:szCs w:val="24"/>
          <w:rtl/>
          <w:lang w:bidi="he-IL"/>
        </w:rPr>
        <w:t>וא"כ לפי ביאורו של הרמב"ן עדיין ליתי' להיתירא דנ"ט בר נ"ט. לכן הוכיח רע"א דע"כ התוס' חולקים על הרמב"ן וס</w:t>
      </w:r>
      <w:r w:rsidRPr="00BC2E9D">
        <w:rPr>
          <w:rFonts w:ascii="Times New Roman" w:eastAsia="Times New Roman" w:hAnsi="Times New Roman" w:cs="Narkisim"/>
          <w:w w:val="115"/>
          <w:sz w:val="20"/>
          <w:szCs w:val="24"/>
          <w:rtl/>
          <w:lang w:bidi="he-IL"/>
        </w:rPr>
        <w:t xml:space="preserve">וברים </w:t>
      </w:r>
      <w:r w:rsidRPr="00BC2E9D">
        <w:rPr>
          <w:rFonts w:ascii="Times New Roman" w:eastAsia="Times New Roman" w:hAnsi="Times New Roman" w:cs="Narkisim" w:hint="cs"/>
          <w:w w:val="115"/>
          <w:sz w:val="20"/>
          <w:szCs w:val="24"/>
          <w:rtl/>
          <w:lang w:bidi="he-IL"/>
        </w:rPr>
        <w:t>שגם</w:t>
      </w:r>
      <w:r w:rsidRPr="00BC2E9D">
        <w:rPr>
          <w:rFonts w:ascii="Times New Roman" w:eastAsia="Times New Roman" w:hAnsi="Times New Roman" w:cs="Narkisim"/>
          <w:w w:val="115"/>
          <w:sz w:val="20"/>
          <w:szCs w:val="24"/>
          <w:rtl/>
          <w:lang w:bidi="he-IL"/>
        </w:rPr>
        <w:t xml:space="preserve"> טעם שני </w:t>
      </w:r>
      <w:r w:rsidRPr="00BC2E9D">
        <w:rPr>
          <w:rFonts w:ascii="Times New Roman" w:eastAsia="Times New Roman" w:hAnsi="Times New Roman" w:cs="Narkisim" w:hint="cs"/>
          <w:w w:val="115"/>
          <w:sz w:val="20"/>
          <w:szCs w:val="24"/>
          <w:rtl/>
          <w:lang w:bidi="he-IL"/>
        </w:rPr>
        <w:t>מותר</w:t>
      </w:r>
      <w:r w:rsidRPr="00BC2E9D">
        <w:rPr>
          <w:rFonts w:ascii="Times New Roman" w:eastAsia="Times New Roman" w:hAnsi="Times New Roman" w:cs="Narkisim"/>
          <w:w w:val="115"/>
          <w:sz w:val="20"/>
          <w:szCs w:val="24"/>
          <w:rtl/>
          <w:lang w:bidi="he-IL"/>
        </w:rPr>
        <w:t xml:space="preserve">. </w:t>
      </w:r>
      <w:r w:rsidRPr="00BC2E9D">
        <w:rPr>
          <w:rFonts w:ascii="Times New Roman" w:eastAsia="Times New Roman" w:hAnsi="Times New Roman" w:cs="Narkisim" w:hint="cs"/>
          <w:w w:val="115"/>
          <w:sz w:val="20"/>
          <w:szCs w:val="24"/>
          <w:rtl/>
          <w:lang w:bidi="he-IL"/>
        </w:rPr>
        <w:t xml:space="preserve">אמנם אין כוונת התוס' לומר שקדירה שבישל בה בשר ושוב עלה בה חלב יהא מותר. רק הם סוברים דכיון שהי' טעם שני קודם שחל האיסור הרי זה מותר, ובזה חלוק מן הגמ' דקדירה שבישל בה בשר לא יבשל בה חלב, דהתם מיד בזמן שהתחיל להיות טעם שני נאסר. וכל זה לכאורה מונח בדבריהם במס' זבחים </w:t>
      </w:r>
      <w:r w:rsidRPr="00BC2E9D">
        <w:rPr>
          <w:rFonts w:ascii="Times New Roman" w:eastAsia="Times New Roman" w:hAnsi="Times New Roman" w:cs="Narkisim"/>
          <w:w w:val="115"/>
          <w:sz w:val="20"/>
          <w:szCs w:val="24"/>
          <w:rtl/>
          <w:lang w:bidi="he-IL"/>
        </w:rPr>
        <w:t xml:space="preserve">דף צ"ו ע"א ד"ה ואם </w:t>
      </w:r>
      <w:r w:rsidRPr="00BC2E9D">
        <w:rPr>
          <w:rFonts w:ascii="Times New Roman" w:eastAsia="Times New Roman" w:hAnsi="Times New Roman" w:cs="Narkisim" w:hint="cs"/>
          <w:w w:val="115"/>
          <w:sz w:val="20"/>
          <w:szCs w:val="24"/>
          <w:rtl/>
          <w:lang w:bidi="he-IL"/>
        </w:rPr>
        <w:t xml:space="preserve">שביארו </w:t>
      </w:r>
      <w:r w:rsidRPr="00BC2E9D">
        <w:rPr>
          <w:rFonts w:ascii="Times New Roman" w:eastAsia="Times New Roman" w:hAnsi="Times New Roman" w:cs="Narkisim"/>
          <w:w w:val="115"/>
          <w:sz w:val="20"/>
          <w:szCs w:val="24"/>
          <w:rtl/>
          <w:lang w:bidi="he-IL"/>
        </w:rPr>
        <w:t>שאין להביא ראי' שנתבשלו הרי הוא חמיר מעלו מברייתא שב</w:t>
      </w:r>
      <w:r w:rsidRPr="00BC2E9D">
        <w:rPr>
          <w:rFonts w:ascii="Times New Roman" w:eastAsia="Times New Roman" w:hAnsi="Times New Roman" w:cs="Narkisim" w:hint="cs"/>
          <w:w w:val="115"/>
          <w:sz w:val="20"/>
          <w:szCs w:val="24"/>
          <w:rtl/>
          <w:lang w:bidi="he-IL"/>
        </w:rPr>
        <w:t xml:space="preserve">מס' חולין </w:t>
      </w:r>
      <w:r w:rsidRPr="00BC2E9D">
        <w:rPr>
          <w:rFonts w:ascii="Times New Roman" w:eastAsia="Times New Roman" w:hAnsi="Times New Roman" w:cs="Narkisim"/>
          <w:w w:val="115"/>
          <w:sz w:val="20"/>
          <w:szCs w:val="24"/>
          <w:rtl/>
          <w:lang w:bidi="he-IL"/>
        </w:rPr>
        <w:t>דף צ"ז ע"א "דהתם לאו נותן טעם בר נותן טעם הוא שהטעם שני באיסור אבל כאן הטעם שני בהיתר וקודם שיבא לידי איסור נתבטל הטעם בדגים לפי שהוא שני"</w:t>
      </w:r>
      <w:r w:rsidRPr="00BC2E9D">
        <w:rPr>
          <w:rFonts w:ascii="Times New Roman" w:eastAsia="Times New Roman" w:hAnsi="Times New Roman" w:cs="Narkisim" w:hint="cs"/>
          <w:w w:val="115"/>
          <w:sz w:val="20"/>
          <w:szCs w:val="24"/>
          <w:rtl/>
          <w:lang w:bidi="he-IL"/>
        </w:rPr>
        <w:t>. ויוצא לשיטתם שההיתר של נ"ט בר נ"ט הוא שאינו נאסר, ולא רק שאינו אוסר. ועוד הדגיש רע"א שם שלשיטתם אין הכרח לומר שאין הבשר או החלב נאסרים אא"כ אוסרים זה את זה.</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ו</w:t>
      </w:r>
      <w:r w:rsidRPr="00BC2E9D">
        <w:rPr>
          <w:rFonts w:ascii="Times New Roman" w:eastAsia="Times New Roman" w:hAnsi="Times New Roman" w:cs="Narkisim" w:hint="cs"/>
          <w:w w:val="115"/>
          <w:sz w:val="20"/>
          <w:szCs w:val="24"/>
          <w:rtl/>
          <w:lang w:bidi="he-IL"/>
        </w:rPr>
        <w:t>ראיתי באחרונים (ע' בביאורים לס' בדה"ש יו"ד סי' צ"ה סע' א', מגילת ספר יו"ד סי' צ"ה אות ב', שחיטת חולין עמ' קנ"ח) ש</w:t>
      </w:r>
      <w:r w:rsidRPr="00BC2E9D">
        <w:rPr>
          <w:rFonts w:ascii="Times New Roman" w:eastAsia="Times New Roman" w:hAnsi="Times New Roman" w:cs="Narkisim"/>
          <w:w w:val="115"/>
          <w:sz w:val="20"/>
          <w:szCs w:val="24"/>
          <w:rtl/>
          <w:lang w:bidi="he-IL"/>
        </w:rPr>
        <w:t>ביאר</w:t>
      </w:r>
      <w:r w:rsidRPr="00BC2E9D">
        <w:rPr>
          <w:rFonts w:ascii="Times New Roman" w:eastAsia="Times New Roman" w:hAnsi="Times New Roman" w:cs="Narkisim" w:hint="cs"/>
          <w:w w:val="115"/>
          <w:sz w:val="20"/>
          <w:szCs w:val="24"/>
          <w:rtl/>
          <w:lang w:bidi="he-IL"/>
        </w:rPr>
        <w:t>ו</w:t>
      </w:r>
      <w:r w:rsidRPr="00BC2E9D">
        <w:rPr>
          <w:rFonts w:ascii="Times New Roman" w:eastAsia="Times New Roman" w:hAnsi="Times New Roman" w:cs="Narkisim"/>
          <w:w w:val="115"/>
          <w:sz w:val="20"/>
          <w:szCs w:val="24"/>
          <w:rtl/>
          <w:lang w:bidi="he-IL"/>
        </w:rPr>
        <w:t xml:space="preserve"> </w:t>
      </w:r>
      <w:r w:rsidRPr="00BC2E9D">
        <w:rPr>
          <w:rFonts w:ascii="Times New Roman" w:eastAsia="Times New Roman" w:hAnsi="Times New Roman" w:cs="Narkisim" w:hint="cs"/>
          <w:w w:val="115"/>
          <w:sz w:val="20"/>
          <w:szCs w:val="24"/>
          <w:rtl/>
          <w:lang w:bidi="he-IL"/>
        </w:rPr>
        <w:t>יסוד מחלוקתם במה ש</w:t>
      </w:r>
      <w:r w:rsidRPr="00BC2E9D">
        <w:rPr>
          <w:rFonts w:ascii="Times New Roman" w:eastAsia="Times New Roman" w:hAnsi="Times New Roman" w:cs="Narkisim"/>
          <w:w w:val="115"/>
          <w:sz w:val="20"/>
          <w:szCs w:val="24"/>
          <w:rtl/>
          <w:lang w:bidi="he-IL"/>
        </w:rPr>
        <w:t xml:space="preserve">יש להסתפק מהו זה שמקליש טעם האיסור, זה שיוצא ממקום הראשון, או זה שנכנס למקום השני. ואם נימא שהוא זה שנכנס למקום השני, דברי התוס' מובנים היטב, שהטעם שאסור כשבישל חלב בקדרה שבישל בה בשר משום שעדיין לא נקלש הטעם קודם שהתערב הבשר בתוך החלב, ולכן יש בכחו לאסור. משא"כ בהא דשלמים, כיון שכבר נכנס טעם השלמים בהיתר קודם שבא לידי נותר הרי הוא נקלש ושוב לא יחול עליו איסור אפילו בטעם שני. וכ"כ גם ביד יהודה (סי' צ"ד ס"ק י"ט ד"ה והטעם) שזהו היסוד של שיטת התוס' </w:t>
      </w:r>
      <w:r w:rsidRPr="00BC2E9D">
        <w:rPr>
          <w:rFonts w:ascii="Times New Roman" w:eastAsia="Times New Roman" w:hAnsi="Times New Roman" w:cs="Narkisim" w:hint="cs"/>
          <w:w w:val="115"/>
          <w:sz w:val="20"/>
          <w:szCs w:val="24"/>
          <w:rtl/>
          <w:lang w:bidi="he-IL"/>
        </w:rPr>
        <w:t>(וע"ש ב</w:t>
      </w:r>
      <w:r w:rsidRPr="00BC2E9D">
        <w:rPr>
          <w:rFonts w:ascii="Times New Roman" w:eastAsia="Times New Roman" w:hAnsi="Times New Roman" w:cs="Narkisim"/>
          <w:w w:val="115"/>
          <w:sz w:val="20"/>
          <w:szCs w:val="24"/>
          <w:rtl/>
          <w:lang w:bidi="he-IL"/>
        </w:rPr>
        <w:t>שחיטת חולין</w:t>
      </w:r>
      <w:r w:rsidRPr="00BC2E9D">
        <w:rPr>
          <w:rFonts w:ascii="Times New Roman" w:eastAsia="Times New Roman" w:hAnsi="Times New Roman" w:cs="Narkisim" w:hint="cs"/>
          <w:w w:val="115"/>
          <w:sz w:val="20"/>
          <w:szCs w:val="24"/>
          <w:rtl/>
          <w:lang w:bidi="he-IL"/>
        </w:rPr>
        <w:t xml:space="preserve"> מש"כ להעיר בביאור זה</w:t>
      </w:r>
      <w:r w:rsidRPr="00BC2E9D">
        <w:rPr>
          <w:rFonts w:ascii="Times New Roman" w:eastAsia="Times New Roman" w:hAnsi="Times New Roman" w:cs="Narkisim"/>
          <w:w w:val="115"/>
          <w:sz w:val="20"/>
          <w:szCs w:val="24"/>
          <w:rtl/>
          <w:lang w:bidi="he-IL"/>
        </w:rPr>
        <w:t>)</w:t>
      </w:r>
      <w:r w:rsidRPr="00BC2E9D">
        <w:rPr>
          <w:rFonts w:ascii="Times New Roman" w:eastAsia="Times New Roman" w:hAnsi="Times New Roman" w:cs="Narkisim" w:hint="cs"/>
          <w:w w:val="115"/>
          <w:sz w:val="20"/>
          <w:szCs w:val="24"/>
          <w:rtl/>
          <w:lang w:bidi="he-IL"/>
        </w:rPr>
        <w:t xml:space="preserve">. והרמב"ן סבר שהקלישות נעשה כבר כשיצא מן המאכל הראשון, </w:t>
      </w:r>
      <w:r w:rsidRPr="00BC2E9D">
        <w:rPr>
          <w:rFonts w:ascii="Times New Roman" w:eastAsia="Times New Roman" w:hAnsi="Times New Roman" w:cs="Narkisim" w:hint="cs"/>
          <w:w w:val="115"/>
          <w:sz w:val="20"/>
          <w:szCs w:val="24"/>
          <w:rtl/>
          <w:lang w:bidi="he-IL"/>
        </w:rPr>
        <w:lastRenderedPageBreak/>
        <w:t>וא"כ לדידי' אם טעם שני בהיתר מותר, אין לחלק בין אם נכנס במקום החדש בהיתר או לא, ולכן כיון שמבואר שקדירה שבישל בה בשר לא יבשל בה חלב, ע"כ טעם שני יכול להיות נאסר, ולכן ע"כ אין הדין בנ"ט בר נ"ט אלא זה שאינו אוסר דבר אחר, שבזה כבר יש יציאה שלישית.</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והוכיחו האחרונים דקיי"ל כשיטת התוס'. לענין זה שטעם שני בהיתר אינו נאסר, ע"ש בשו"ת רע"א שכתב שכן מבואר ממג"א סי' תמ"ז ס"ק כ"ד. שכתב שם המג"א</w:t>
      </w:r>
      <w:r w:rsidRPr="00BC2E9D">
        <w:rPr>
          <w:rFonts w:ascii="Times New Roman" w:eastAsia="Times New Roman" w:hAnsi="Times New Roman" w:cs="Narkisim"/>
          <w:w w:val="115"/>
          <w:sz w:val="20"/>
          <w:szCs w:val="24"/>
          <w:rtl/>
          <w:lang w:bidi="he-IL"/>
        </w:rPr>
        <w:t xml:space="preserve"> </w:t>
      </w:r>
      <w:r w:rsidRPr="00BC2E9D">
        <w:rPr>
          <w:rFonts w:ascii="Times New Roman" w:eastAsia="Times New Roman" w:hAnsi="Times New Roman" w:cs="Narkisim" w:hint="cs"/>
          <w:w w:val="115"/>
          <w:sz w:val="20"/>
          <w:szCs w:val="24"/>
          <w:rtl/>
          <w:lang w:bidi="he-IL"/>
        </w:rPr>
        <w:t>שאם בישל בקדירות של חמץ קודם פסח שאינו נאסר בפסח כיון שהיתה נ"ט בר נ"ט, אע"ג דהתם לא היו אלא ב' נ"ט בהיתר. וכן החולקים לא חלקו אלא משום דחמץ חשוב איסורא בלע. וכן לענין זה שמבואר משיטת הרמב"ן דליתי' לאיסור בבב"ח אא"כ נאסרים תרוייהו הוכיח החזו"א (יו"ד סי' ט"ז ס"ק ה') דלא קיי"ל כוותי', דהא בהכניס כף חלבי פעמיים לתוך תבשיל בשרי פסק המחבר שצריכים ב' פעמים ששים (וכן הרמ"א שחלק עליו שם הוא מטעם אחר), והוא משום שמקודם יצא הטעם חלב שבכף כף חוץ מקצת יותר מא' מששים, ולאחר מכן נכנס לכף טעם בשר שהוא נאסר משאריות החלב שבו. וא"כ יש סה"כ פעמיים איסור, חלב כשיעור הכף ובשר כשיעור הכף. ובססי' צ"ח מבואר שטעם חלב של היתר אינו מצטרף עם טעם בשר של איסור, וכן להיפך. וא"כ ע"כ צ"ל שהטעם חלב שיצא מעיקרא נאסר ואז יצא לתבשיל. ולכאורה צ"ע דנהי נמי שהטעם בשר נכנס לכף ואסר החלב, דהא החלב הבלוע בכלי הוא בפני עצמו, מ"מ הטעם בשר שאסר אותו אינו מנותק משאר הבשר שבקדירה ולכן אינו נאסר, ואם כסברת הרמב"ן הא כיון שהטעם בשר לא נאסר הה"נ שהטעם חלב לא נאסר, דבעינן לאסור תרוייהו. וע"כ כנ"ל דקיי"ל כששיטת התוס' שלשיטתם אין הכרח ליסוד זה וכנ"ל (אמנם בשו"ת רע"א סי' פ"ג פי' דברי הש"ך סי' צ"ד ס"ק ד' דסבר כרמב"ן, וע' מה שתמה בזה החזו"א שם ע"פ הנ"ל, ולשיטת החזו"א צ"ע קושיית רע"א דהתם, ואכמ"ל).</w:t>
      </w:r>
    </w:p>
    <w:p w:rsidR="00BC2E9D" w:rsidRPr="00BC2E9D" w:rsidRDefault="00BC2E9D" w:rsidP="00BC2E9D">
      <w:pPr>
        <w:keepNext/>
        <w:tabs>
          <w:tab w:val="left" w:pos="0"/>
        </w:tabs>
        <w:bidi/>
        <w:spacing w:before="240" w:after="240" w:line="240" w:lineRule="auto"/>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hint="cs"/>
          <w:bCs/>
          <w:snapToGrid w:val="0"/>
          <w:sz w:val="24"/>
          <w:szCs w:val="36"/>
          <w:rtl/>
          <w:lang w:bidi="he-IL"/>
        </w:rPr>
        <w:t>אופן ההקלשה של נ"ט בר נ"ט, ודינא דהדחת קערות</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הנה בדוגמא של הגמ' של דגים שעלו בקערה שמותר לאוכלן בכותח מבואר שאין איסור בדגים אע"ג שנכנס בהם גם טעם שני של בשר (מן הקערה) וגם טעם של חלב (מן הכותח). ומשו"ה סבר הרמב"ן שדבר פשוט הוא שאם ידיחו קערות של בשר בקדרה של חלב שאין לאסור הכלים, דהא הקערות של בשר הוו כ'קערה', והקדרה חולבת הוי 'כותח' (ועדיף מיני') והמים הוו כ'דגים'. ומשו"ה תמה על ס' התרומה שאסר בזה. וכמובן שהני מילי </w:t>
      </w:r>
      <w:r w:rsidRPr="00BC2E9D">
        <w:rPr>
          <w:rFonts w:ascii="Times New Roman" w:eastAsia="Times New Roman" w:hAnsi="Times New Roman" w:cs="Narkisim" w:hint="cs"/>
          <w:w w:val="115"/>
          <w:sz w:val="20"/>
          <w:szCs w:val="24"/>
          <w:rtl/>
          <w:lang w:bidi="he-IL"/>
        </w:rPr>
        <w:lastRenderedPageBreak/>
        <w:t xml:space="preserve">שקערות שאין עליהם שמנונית, דהא אם יש שמנונית של בשר ושל חלב הרי הם אוסרים א' את השני אא"כ יש ששים כנגדם.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והנה בתוס' ג"כ אסרו כדעת ס' התרומה. והביאו לזה ב' טעמים. חדא שהרי חוששים שיגעו הקערות זה בזה, ובכה"ג ליכא למימר שהוו המים כדגים, שהרי אין הטעם עובר דרך המים רק ישירות מכלי א' אל הכלי השני. והרמב"ן לא התייחס לחשש זה. ואיכא למימר דאה"נ שבכה"ג אסור, ואין כוונת הרמב"ן אלא לומר שאם ידעינן שלא נגעו אין לאסור. אבל לכאורה קשה לומר כן כיון שבאמת כן הוא הדרך בהדחת קערות שיגעו זה בזה. ועוד י"ל דכיון שמיירי בכלים הא קיי"ל שאין בליעה עובר מכלי לכלי בלי רוטב, ולכן י"ל שאפילו אם נוגעים זב"ז  אין לאסור, דהא ע"כ צריך לעבור דרך המים, דאל"כ לא יכנס לתוך הכלי השני. ולכן ע"כ יש להתיר משום שהדגים הוו כמים וכנ"ל. ומיני' שבאמת דבר זה קשה לשיטת התוס', דכיון שאינו עובר מכלי לכלי בלי רוטב, האיך אפשר להחמיר משום חשש נגיעה (וכן הקשה בראש יוסף על דבריהם, ובמש"ז סי' צ"ה ס"ק ט' (בסוגריים) נראה שרצה ליישב בזה שיכול לבלוע אפילו שלא באמצעות המים משום הבל וחום הקדירה, אבל א"כ תירוצו אינו מובן דהא תמיד יש הבל וחום). וע"כ צריכים לומר לשיטתם דאע"ג שצריכים למים, מ"מ אחרי שיש מים הרי זה חשוב כאילו עובר ישר מכלי לכלי.</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והתוס' נתנו עוד טעם לאסור והוא משום שהטעמים מתערבים במים ואוסרים א' לשני. וטעם זה קשה וכמו שהקשה הרמב"ן דמאי שנא מדגים שעלו בקערה. וז"ל הר"ן ביישוב דעת התוס' וסה"ת "</w:t>
      </w:r>
      <w:r w:rsidRPr="00BC2E9D">
        <w:rPr>
          <w:rFonts w:ascii="Times New Roman" w:eastAsia="Times New Roman" w:hAnsi="Times New Roman" w:cs="Narkisim"/>
          <w:w w:val="115"/>
          <w:sz w:val="20"/>
          <w:szCs w:val="24"/>
          <w:rtl/>
          <w:lang w:bidi="he-IL"/>
        </w:rPr>
        <w:t xml:space="preserve">ותמיהני עליהם שאני רואה דברי בעל התרומה ז"ל נכונים וברורים ולא דמי כלל לדגים שעלו בקערה דהתם הכותח לא קבל טעם כלל מטעם ראשון דהיינו הקערה אלא מן הדגים דהוו טעם שני אבל כאן טעם החלב הנפלט לתוך המים מקבל טעם מטעם הבשר ראשון שבקערות דמאן לימא לן שלא יתערבו פליטת הבשר ופליטת החלב בעצמן שלא באמצעות המים הילכך לא הוי נ"ט בר נ"ט אלא נותן טעם ראשון הוא שנותן טעם בחלב הילכך לא דמי כלל </w:t>
      </w:r>
      <w:r w:rsidRPr="00BC2E9D">
        <w:rPr>
          <w:rFonts w:ascii="Times New Roman" w:eastAsia="Times New Roman" w:hAnsi="Times New Roman" w:cs="Narkisim"/>
          <w:b/>
          <w:bCs/>
          <w:w w:val="115"/>
          <w:sz w:val="20"/>
          <w:szCs w:val="24"/>
          <w:rtl/>
          <w:lang w:bidi="he-IL"/>
        </w:rPr>
        <w:t>ועוד</w:t>
      </w:r>
      <w:r w:rsidRPr="00BC2E9D">
        <w:rPr>
          <w:rFonts w:ascii="Times New Roman" w:eastAsia="Times New Roman" w:hAnsi="Times New Roman" w:cs="Narkisim"/>
          <w:w w:val="115"/>
          <w:sz w:val="20"/>
          <w:szCs w:val="24"/>
          <w:rtl/>
          <w:lang w:bidi="he-IL"/>
        </w:rPr>
        <w:t xml:space="preserve"> דמאי דשרינן נ"ט בר נ"ט לאו משום דסברינן שאין הטעם הראשון מתפשט והולך עד השלישי דא"כ אפילו בשאר איסורין נימא הכי למאן דלית ליה חתיכה עצמה נעשית נבלה ואנן לא שרינן אלא בבשר בחלב וכיוצא בו דהוו שני נותני טעמים של היתר הילכך דוקא כשטעם שני עמד בהיתר בלא תערובת חלב אבל כאן שטעם שני לא עמד בפני עצמו כלל אלא תכף שבא לעולם נתערב בטעמו של חלב מסתברא ודאי דאסור וכדברי הרב בעל התרומה ז"ל</w:t>
      </w:r>
      <w:r w:rsidRPr="00BC2E9D">
        <w:rPr>
          <w:rFonts w:ascii="Times New Roman" w:eastAsia="Times New Roman" w:hAnsi="Times New Roman" w:cs="Narkisim" w:hint="cs"/>
          <w:w w:val="115"/>
          <w:sz w:val="20"/>
          <w:szCs w:val="24"/>
          <w:rtl/>
          <w:lang w:bidi="he-IL"/>
        </w:rPr>
        <w:t>". ודברין צריכים ביאור.</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lastRenderedPageBreak/>
        <w:t>והנה בטעמו הראשון נראה שכוונתו לומר שיש לחלק בין דבר גוש לדבר לח, שבדבר לח י"ל שהטעמים מתערבים שלא באמצעות המים כיון שיש אפשרות לטעם עצמו להיות מחלחל דרך המים עד הטעם של המין השני. משא"כ בדבר גוש שצריך להבלע קודם ורק לאחר מכן אוסר דבר אחר ולכן יש נ"ט נוסף. שו"ר בשם שו"ת חת"ס</w:t>
      </w:r>
      <w:r w:rsidRPr="00BC2E9D">
        <w:rPr>
          <w:rFonts w:ascii="Times New Roman" w:eastAsia="Times New Roman" w:hAnsi="Times New Roman" w:cs="Narkisim"/>
          <w:w w:val="115"/>
          <w:sz w:val="20"/>
          <w:szCs w:val="24"/>
          <w:rtl/>
          <w:lang w:bidi="he-IL"/>
        </w:rPr>
        <w:t xml:space="preserve"> יו"ד תשו' ע"א-ב</w:t>
      </w:r>
      <w:r w:rsidRPr="00BC2E9D">
        <w:rPr>
          <w:rFonts w:ascii="Times New Roman" w:eastAsia="Times New Roman" w:hAnsi="Times New Roman" w:cs="Narkisim" w:hint="cs"/>
          <w:w w:val="115"/>
          <w:sz w:val="20"/>
          <w:szCs w:val="24"/>
          <w:rtl/>
          <w:lang w:bidi="he-IL"/>
        </w:rPr>
        <w:t>. וע' עוד ביד יהודה סי'  צ"ד ס"ק י"ט ד"ה והנה מש"כ בטעם (עמ' קצ"ב במהדו' החדשה).</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ובטעמו השני לכאורה צ"ע, שלכאורה כוונתו לומר שאפילו את"ל שהטעם שעובר דרך המים חשוב עוד נ"ט, מ"מ יש לאסור כיון שיש טעם שני באיסור. ודבר זה אינו אומר אלא דרשני, דהא אם המים חשובים עוד נ"ט הרי יש טעם שני בהיתר, שהרי נכנס למים קודם שנכנס לטעם השני, וא"כ למה יאסר. וכן עדיין צ"ע דמאי שנא מדגים וכנ"ל. ונראה הביאור בכוונתו, שטעם שני שהיתר אינה תלוי' שבכמה מקומות עבר, רק אם נח בהיתר במקום השני. ולכן בדגים שעלו בקערה, כיון שנחו בדגים בהיתר שוב לא יאסר. אבל בהדחת קערות, כיון שהטעם שיצאו בן הקערות והקדרה לא נחו עד שפגעו א' את השני, הרי זה בכלל טעם שני באיסור ואסור. וזהו לכאורה כדעת החוו"ד שהבאנו בסמוך שבכח א' לא אמרינן ההיתר של נ"ט בר נ"ט. ואע"ג שהבאנו להוכיח דע"כ גם החוו"ד מודה להכשר כלי פסח קודם שעה חמישית משום שיש ג' נ"ט, לכאורה א"כ חזינן שבכח א' אמרינן ההיתר של נ"ט בר נ"ט, לכאורה י"ל דאע"ג דמהני ג' נ"ט בנתבשלו, מ"מ אין זה אלא כשנחו בהיתר, אבל אם נאסר קודם לא. כנלעוק"ד בכוונת דבריו. וע' עוד ביד יהודה שם.</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והנה סברת הרמב"ן מהני להתיר אליבא למאן דמחלק בין נצלו לעלו, אבל למ"ד נצלו עדיף מעלו, לכאורה יש לאסור, דהא אין כאן נ"ט בר נ"ט דדגים דעלו בקערה, דהא דוקא עלו התירו אבל דגים שנתבשלו אסור. אמנם הרא"ש כתב להתיר בהדחת קערות אע"ג דהוי כנתבשלו. ווז"ל בטעם ההיתר "</w:t>
      </w:r>
      <w:r w:rsidRPr="00BC2E9D">
        <w:rPr>
          <w:rFonts w:ascii="Times New Roman" w:eastAsia="Times New Roman" w:hAnsi="Times New Roman" w:cs="Narkisim"/>
          <w:w w:val="115"/>
          <w:sz w:val="20"/>
          <w:szCs w:val="24"/>
          <w:rtl/>
          <w:lang w:bidi="he-IL"/>
        </w:rPr>
        <w:t>ולי נראה דאף לריב"ן הכל מותר דלא אסר נתבשלו אלא לאכלן בכותח שטעם שני של הבשר נ"ט לתוך ממשות של חלב. אבל הכא שטעם שני של הבשר שבתוך המים אין נ"ט לתוך ממשות החלב אלא מתערב עם טעם שני של החלב שבתוך המים נראה שהמים מותרים והכל מותר</w:t>
      </w:r>
      <w:r w:rsidRPr="00BC2E9D">
        <w:rPr>
          <w:rFonts w:ascii="Times New Roman" w:eastAsia="Times New Roman" w:hAnsi="Times New Roman" w:cs="Narkisim" w:hint="cs"/>
          <w:w w:val="115"/>
          <w:sz w:val="20"/>
          <w:szCs w:val="24"/>
          <w:rtl/>
          <w:lang w:bidi="he-IL"/>
        </w:rPr>
        <w:t xml:space="preserve">". ודבריו צריכים ביאור, דמאי שנא בין מתערב עם חלב עצמו לבין מערב עם טעם חלב עד כמה שאין כאן היתירא דנ"ט בר נ"ט. וראיתי בס' נתיבי התערובת (עמ' קע"ט </w:t>
      </w:r>
      <w:r w:rsidRPr="00BC2E9D">
        <w:rPr>
          <w:rFonts w:ascii="Times New Roman" w:eastAsia="Times New Roman" w:hAnsi="Times New Roman" w:cs="Narkisim"/>
          <w:w w:val="115"/>
          <w:sz w:val="20"/>
          <w:szCs w:val="24"/>
          <w:rtl/>
          <w:lang w:bidi="he-IL"/>
        </w:rPr>
        <w:t>–</w:t>
      </w:r>
      <w:r w:rsidRPr="00BC2E9D">
        <w:rPr>
          <w:rFonts w:ascii="Times New Roman" w:eastAsia="Times New Roman" w:hAnsi="Times New Roman" w:cs="Narkisim" w:hint="cs"/>
          <w:w w:val="115"/>
          <w:sz w:val="20"/>
          <w:szCs w:val="24"/>
          <w:rtl/>
          <w:lang w:bidi="he-IL"/>
        </w:rPr>
        <w:t xml:space="preserve"> ק"פ) שרצה לומר שהוא מבוסס על דברי רע"א דסבר שאפילו לריב"ן שהחמיר היכא דנתבשלו אין זה אלא לענין זה שעדיין יכול לאסור דבר אחר, אבל אפילו חדידי' אין בכח להטעים ולאסור דבר אחר. אבלהוא עצמו העיר על </w:t>
      </w:r>
      <w:r w:rsidRPr="00BC2E9D">
        <w:rPr>
          <w:rFonts w:ascii="Times New Roman" w:eastAsia="Times New Roman" w:hAnsi="Times New Roman" w:cs="Narkisim" w:hint="cs"/>
          <w:w w:val="115"/>
          <w:sz w:val="20"/>
          <w:szCs w:val="24"/>
          <w:rtl/>
          <w:lang w:bidi="he-IL"/>
        </w:rPr>
        <w:lastRenderedPageBreak/>
        <w:t xml:space="preserve">זה דאפילו א"כ מ"מ הי' הטעם בשר צריך להיות נאסר מיד כשנוגע בקדירה מן הטעם שעדין לא נכנס למים. וע' עוד מש"כ בזה ביד יהודה סי' צ"ד ס"ק י"ט ד"ה והרא"ש (עמ' קצ"ב במהדו' החדשה).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ולענין מעשה השו"ע בסי' צ"ה סע' ג' כתב להקל בהדחת קערות, אבל הרמ"א החמיר. ולענין טעמו של הרמ"א להחמיר בזה, הט"ז בסי' צ"ד סע' ה' דקדק מן הרמ"א דע"כ אינו משום חשש נגיעה, דהא הקיל הרמ"א כשיש ס', ומה מהני ס' אם נגע בקדירה. וע"כ שהטעם שחוששים להחמיר אינו משום חשש נגיעה רק משום שהמים נאסרים ע"י עירבוב הטעמים. אמנם מהש"ך שם ס"ק ח' נראה שחשש להחמיר בזה, וע"ש בשפ"ד איך יתפרשו דברי הרמ"א לפי דעת הש"ך (ורע"א שם נשאר בצ"ע בזה). ומ"מ אע"ג דלא חיישינן לנגיעה בכלים, חיישינן לי' באוכלין, שהרי קיי"ל להחמיר לכתחילה בנ"ט בר נ"ט אפילו נתבשלו, והטעם להחמיר בנתבשלו אע"ג דאיכא ג' נ"ט משום חשש נגיעה. ע' שפ"ד סי' צ"ד ס"ק ט"ו ד"ה ולדינא מזה. וע' עוד </w:t>
      </w:r>
      <w:r w:rsidRPr="00BC2E9D">
        <w:rPr>
          <w:rFonts w:ascii="Times New Roman" w:eastAsia="Times New Roman" w:hAnsi="Times New Roman" w:cs="Narkisim"/>
          <w:w w:val="115"/>
          <w:sz w:val="20"/>
          <w:szCs w:val="24"/>
          <w:rtl/>
          <w:lang w:bidi="he-IL"/>
        </w:rPr>
        <w:t>בביאורים לבדה"ש עמ' רצ"א ד"ה בצלייה</w:t>
      </w:r>
      <w:r w:rsidRPr="00BC2E9D">
        <w:rPr>
          <w:rFonts w:ascii="Times New Roman" w:eastAsia="Times New Roman" w:hAnsi="Times New Roman" w:cs="Narkisim" w:hint="cs"/>
          <w:w w:val="115"/>
          <w:sz w:val="20"/>
          <w:szCs w:val="24"/>
          <w:rtl/>
          <w:lang w:bidi="he-IL"/>
        </w:rPr>
        <w:t xml:space="preserve"> מש"כ בזה.   </w:t>
      </w:r>
      <w:r w:rsidRPr="00BC2E9D">
        <w:rPr>
          <w:rFonts w:ascii="Times New Roman" w:eastAsia="Times New Roman" w:hAnsi="Times New Roman" w:cs="Narkisim"/>
          <w:w w:val="115"/>
          <w:sz w:val="20"/>
          <w:szCs w:val="24"/>
          <w:rtl/>
          <w:lang w:bidi="he-IL"/>
        </w:rPr>
        <w:t xml:space="preserve"> </w:t>
      </w:r>
    </w:p>
    <w:p w:rsidR="00BC2E9D" w:rsidRPr="00BC2E9D" w:rsidRDefault="00BC2E9D" w:rsidP="00BC2E9D">
      <w:pPr>
        <w:keepNext/>
        <w:tabs>
          <w:tab w:val="left" w:pos="0"/>
        </w:tabs>
        <w:bidi/>
        <w:spacing w:before="240" w:after="240" w:line="240" w:lineRule="auto"/>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hint="cs"/>
          <w:bCs/>
          <w:snapToGrid w:val="0"/>
          <w:sz w:val="24"/>
          <w:szCs w:val="36"/>
          <w:rtl/>
          <w:lang w:bidi="he-IL"/>
        </w:rPr>
        <w:t>הכניס ב' כלים של ב' מינים א' אחרי השני (סי' צ"ד סע' ה')</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כתב הב"י בסי' צ"ד "</w:t>
      </w:r>
      <w:r w:rsidRPr="00BC2E9D">
        <w:rPr>
          <w:rFonts w:ascii="Times New Roman" w:eastAsia="Times New Roman" w:hAnsi="Times New Roman" w:cs="Narkisim"/>
          <w:w w:val="115"/>
          <w:sz w:val="20"/>
          <w:szCs w:val="24"/>
          <w:rtl/>
          <w:lang w:bidi="he-IL"/>
        </w:rPr>
        <w:t>אם בשלו מים בקדרה חדשה ותחבו בה כף חולבת ואח"כ חזרו ובשלו בה מים פעם אחרת ותחבו בה כף של בשר ושתי הכפות היו בני יומן ובשום אחד מן הפעמים לא היה במים ששים כתב סמ"ק סימן רי"ג (בהגהות דיני ביטול אות א) שאסור להשתמש בקדרה לא בשר ולא חלב אבל שאר דברים מותר לבשל בה מאחר שהיתה חדשה שלא בשלו בה חלב מעולם</w:t>
      </w:r>
      <w:r w:rsidRPr="00BC2E9D">
        <w:rPr>
          <w:rFonts w:ascii="Times New Roman" w:eastAsia="Times New Roman" w:hAnsi="Times New Roman" w:cs="Narkisim" w:hint="cs"/>
          <w:w w:val="115"/>
          <w:sz w:val="20"/>
          <w:szCs w:val="24"/>
          <w:rtl/>
          <w:lang w:bidi="he-IL"/>
        </w:rPr>
        <w:t xml:space="preserve">". וע"ש בדרכ"מ שתמה על הוראה זו, דהא אין כאן אלא נ"ט בר נ"ט, מן הכף למים, ומן המים לקדירה והכל מותר. ותי' דאע"ג שההגהות סמ"ק עצמו סבר להקל בנתבשלו, מ"מ לענין הכלי החמיר לכתחילה כשיטות המחמירות היכא דנתבשלו.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וכהוראה זו העתיק גם המחבר בשו"ע שם סע' ה', והאריך הש"ך (ס"ק ט"ו) לדחות את דבריו, בפרט לשיטת המחבר עצמו שהקיל בנ"ט בר נ"ט היכא דנתבשלו, וכן בהדחת קערות. והוסיף שאפילו לשיטת הרמ"א הי' לנו להקל בנד"ד כיון שכאן הוי ג' נ"ט, וכן הוי ב' כלים. ומ"מ בדבר א' הודה הש"ך להוראה זו, והוא דבכה"ג שהכניסו בה כף של חלב ולאחר מכן כף של בשר שאין להשתמש בה חלב. והטעם משום שכיון שיש בה יותר מטעם הבשר מטעם החלב כיון שהוא אחרון, יש לנו לקבוע תשמישתו במה שיש לו יותר טעם עיקרי. ולט"ז יש ב' ישובים בדברי המחבר. חדא בדף אחרון, ששם מבאר הט"ז שאמנם יש </w:t>
      </w:r>
      <w:r w:rsidRPr="00BC2E9D">
        <w:rPr>
          <w:rFonts w:ascii="Times New Roman" w:eastAsia="Times New Roman" w:hAnsi="Times New Roman" w:cs="Narkisim" w:hint="cs"/>
          <w:w w:val="115"/>
          <w:sz w:val="20"/>
          <w:szCs w:val="24"/>
          <w:rtl/>
          <w:lang w:bidi="he-IL"/>
        </w:rPr>
        <w:lastRenderedPageBreak/>
        <w:t>להתיר משום נ"ט בר נ"ט, מ"מ שיטת המחבר להחמיר שאין היתר של נ"ט בר נ"ט לכתחילה כלל, אפילו אם כבר עלו ה'דגים' ב'קערה' (ע' מזה לקמן). ולכן אע"ג שבין הטעם בשר ובין הטעם חלב הוו נ"ט בר נ"ט, להכניס בה מן המין השני הרי זה בכלל נ"ט בר נ"ט לכתחילה ואסור. וע"ש שכתב שאפילו לדידן דלית לן כה"ג, ודגים שכבר עלו בקערה מותר לתת אותן בכותח לכתחילה, מ"מ קיי"ל כשיטת הרמ"א להחמיר בנתבשלו לכתחילה (ולא מתבאר בדברי הט"ז למה יש לנו להחמיר אפילו לרמ"א כיון שיש ג' נ"ט וב' כלים. וצ"ע.</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והט"ז בהגהות שו"ע מבסס ביאורו בדברי המחבר ע"פ מש"כ ברמ"א, ולכן כדי לעמוד על דבריו יש להקדים ולבאר את עצם דברי הרמ"א. כתב הרמ"א "</w:t>
      </w:r>
      <w:r w:rsidRPr="00BC2E9D">
        <w:rPr>
          <w:rFonts w:ascii="Times New Roman" w:eastAsia="Times New Roman" w:hAnsi="Times New Roman" w:cs="Narkisim"/>
          <w:w w:val="115"/>
          <w:sz w:val="20"/>
          <w:szCs w:val="24"/>
          <w:rtl/>
          <w:lang w:bidi="he-IL"/>
        </w:rPr>
        <w:t>קדירה שבשלו בה ירקות או מים ותחבו בה כף בן יומו, והקדירה אינה בת יומא, או להפך, או שיש במאכל ששים, הכל שרי. ונוהגין להחמיר לאכול המאכל כמין הכלי שהוא בן יומו, ולאסור הכלי שאינו בן יומו (ארוך כלל ל"ז), ואינו אלא חומרא בעלמא, כי מדינא הכל שרי</w:t>
      </w:r>
      <w:r w:rsidRPr="00BC2E9D">
        <w:rPr>
          <w:rFonts w:ascii="Times New Roman" w:eastAsia="Times New Roman" w:hAnsi="Times New Roman" w:cs="Narkisim" w:hint="cs"/>
          <w:w w:val="115"/>
          <w:sz w:val="20"/>
          <w:szCs w:val="24"/>
          <w:rtl/>
          <w:lang w:bidi="he-IL"/>
        </w:rPr>
        <w:t>". והש"ך שם בס"ק י"ח הגי' בדבריו וכתב דר"ל "</w:t>
      </w:r>
      <w:r w:rsidRPr="00BC2E9D">
        <w:rPr>
          <w:rFonts w:ascii="Times New Roman" w:eastAsia="Times New Roman" w:hAnsi="Times New Roman" w:cs="Narkisim" w:hint="cs"/>
          <w:w w:val="115"/>
          <w:sz w:val="20"/>
          <w:szCs w:val="24"/>
          <w:u w:val="single"/>
          <w:rtl/>
          <w:lang w:bidi="he-IL"/>
        </w:rPr>
        <w:t>ב</w:t>
      </w:r>
      <w:r w:rsidRPr="00BC2E9D">
        <w:rPr>
          <w:rFonts w:ascii="Times New Roman" w:eastAsia="Times New Roman" w:hAnsi="Times New Roman" w:cs="Narkisim" w:hint="cs"/>
          <w:w w:val="115"/>
          <w:sz w:val="20"/>
          <w:szCs w:val="24"/>
          <w:rtl/>
          <w:lang w:bidi="he-IL"/>
        </w:rPr>
        <w:t xml:space="preserve">מין" הכלי שהוא בן יומו, דאילו לאכלו כמין הכלי שהוא בן יומו, זהו דינא דנתבשלו שהרמ"א עצמו כתב להחמיר כדבריהם לכתחילה, וא"כ איך כתב שהוא רק מנהג להחמיר ולא מדינא. ולכן ביאר שהמנהג להחמיר היתה שלא לאכלו בתוך כלי שהוא מן המין השני, ומשום דמדינא אין איסור בזה וכמו שביאר הרא"ש, והביאו הרמ"א שם בסע' ב'. באופן שע"פ ההג"ה זו הקשה הש"ך שלכאורה יש סתירה בדברי הרמ"א, שהרי כאן כתב לאסור ע"פ המנהג, ואילו בסי' צ"ה סע' ב' לא כתב להחמיר. ועוד הקשה שבסע' ג' שם בהא דהדחת קערות הקיל כשא' מהם אינו ב"י. ולענין הקושיא מסע' ב' תי' או שאין זה מנהג המקובל בכל מקום רק שיש מקומות שכן נהגו, א"נ שאני היכא שהכניס כלי בקדרה שאינה בת יומא שיש להחמיר טפי (ע"פ מנהג) לאסור במאכל במין האינו בן יומו אטו הדחת קערות שהן בני יומן שאסור לרמ"א, משא"כ במאכל דליכא למיטעי ולכן התירו בדיעבד. ולענין הדחת קערות שהקילו כשא' אינו בן יומו ביאר הש"ך דשאני הכא שהוא דרך בישול (פי' כדי לאכול ולא כדי להדיח </w:t>
      </w:r>
      <w:r w:rsidRPr="00BC2E9D">
        <w:rPr>
          <w:rFonts w:ascii="Times New Roman" w:eastAsia="Times New Roman" w:hAnsi="Times New Roman" w:cs="Narkisim"/>
          <w:w w:val="115"/>
          <w:sz w:val="20"/>
          <w:szCs w:val="24"/>
          <w:rtl/>
          <w:lang w:bidi="he-IL"/>
        </w:rPr>
        <w:t>–</w:t>
      </w:r>
      <w:r w:rsidRPr="00BC2E9D">
        <w:rPr>
          <w:rFonts w:ascii="Times New Roman" w:eastAsia="Times New Roman" w:hAnsi="Times New Roman" w:cs="Narkisim" w:hint="cs"/>
          <w:w w:val="115"/>
          <w:sz w:val="20"/>
          <w:szCs w:val="24"/>
          <w:rtl/>
          <w:lang w:bidi="he-IL"/>
        </w:rPr>
        <w:t xml:space="preserve"> ע' שפ"ד) יש להחמיר טפי.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וכל זה לענין המאכל שהכניסו בה הכלי, אבל בכלי שאינו בן יומו הקשה הש"ך שלכאורה לשיטת המחבר עצמו בסע' זה הי' צריך להיות אסור (אע"ג שהש"ך האריך לחלוק עליו וכנ"ל). ותי' דשאני הא דתחילת הסעיף שלא הי' לכלים תשמיש קבוע עדיין, לפיכך יש להחמיר, אבל כאן דמיירי שהיו להם תשמיש קבוע, אין לנו לאסור.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lastRenderedPageBreak/>
        <w:t xml:space="preserve">כל הנ"ל הוא לפי המהלך של הש"ך בדעת הרמ"א, אבל הט"ז (ס"ק ו') מבאר הטעם בחומרא זו דכיון שהמאכל שמערה מן הכלי שהוא בן יומו אסור עם המין השני, הרי זה נראה כתרתי דסתרי להתיר הכלי שמערה לתוכו (או ממנו). וכתב הט"ז שזהו טעמו של השו"ע בהכניס כף של מין א' ולאחר הימים של המין השני.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ויוצא לדינא אליבא דרמ"א לפי פירושו של הש"ך שאם עשה כמש"כ המחבר והכניס כף בן יומו ממין א' ואח"כ הרתיח עוד מים והכניס כף מן המין השני שהקדרה אסורה בין עם בשר ובין עם חלב (שכן משמע מדבריו בס"ק כ"א שהרמ"א הסכים לדברי המחבר לענין לכתחילה, וכן באמת משמע מלשון הרמ"א עצמו אע"ג שבדרכ"מ התקשה בזה). ואם הכניס כלי בן יומו לתוך מים חמין שבכלי שאב"י (או להיפך) הכלי שאינו ב"י מותר מעיקר הדין כיון שכבר הי' לו תשמיש קבוע. וכל זה מדינא אבל יש מנהג להחמיר בכלי שאב"י ולסרו עם שני המינים. ולענין המאכל בכלי (כשהי' א' מן הכלי אב"י) חייבים להחמיר לכתחילה שלא לאכול המאכל אלא כמין הכלי שהוא בן יומו, דהא מחמירים בנ"ט בר נ"ט היכא דנתבשלו לכתחילה, אבל מדינא מותר לשפכו למין הכלי השני. אמנם החמירו לשפכו דוקא למין הכלי שהוא בן יומו כיון שהי' דרך בישול (ולא דרך הדחת כלים) וכן שנאסר דרך כלי אחר (ולא ממאכל). וגם חומרא זו יתכן שאינו בכל המקומות. ואע"ג שהש"ך עצמו לית לי' כדברי המחבר, היינו מדינא, אבל יתכן שמשום מנהג שאינו מעיקר הדין מודה לרמ"א (אבל לכאורה דבריו שבסס"ק כ"א משמע דלית לי' להחמיר כמנהג הרמ"א לאסור הכלי שאינו בן יומו).  </w:t>
      </w:r>
    </w:p>
    <w:p w:rsidR="00BC2E9D" w:rsidRPr="00BC2E9D" w:rsidRDefault="00BC2E9D" w:rsidP="00543527">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ולכאורה הי' נידון זה נפק"מ גדולה למעשה, אבל מצאתי ביד יהודה (הקצר ס"ק כ"ה) שכ</w:t>
      </w:r>
      <w:r w:rsidR="00543527">
        <w:rPr>
          <w:rFonts w:ascii="Times New Roman" w:eastAsia="Times New Roman" w:hAnsi="Times New Roman" w:cs="Narkisim" w:hint="cs"/>
          <w:w w:val="115"/>
          <w:sz w:val="20"/>
          <w:szCs w:val="24"/>
          <w:rtl/>
          <w:lang w:bidi="he-IL"/>
        </w:rPr>
        <w:t>ל</w:t>
      </w:r>
      <w:r w:rsidRPr="00BC2E9D">
        <w:rPr>
          <w:rFonts w:ascii="Times New Roman" w:eastAsia="Times New Roman" w:hAnsi="Times New Roman" w:cs="Narkisim" w:hint="cs"/>
          <w:w w:val="115"/>
          <w:sz w:val="20"/>
          <w:szCs w:val="24"/>
          <w:rtl/>
          <w:lang w:bidi="he-IL"/>
        </w:rPr>
        <w:t xml:space="preserve"> המנהג אינו אלא בכלי שהוא בן יומו, אבל באינו בן יומו (פי' מן המין שהי' מקודם בן יומו) שאינו אסור אלא אטו בן יומו, אין להחמיר בדבר שלא נאסר אלא מכח מנהג. וכן מסתבר, דא"כ הול"ל להדגיש בהדיא שבכלי חרס אין לו תקנה ע"פ מנהג, וכן לא הדגישו באף מקום שצריך להכשיר הכלים. והנטיי' היא להקל בנידון זה שכל ענינו אינו מעיקר הדין.</w:t>
      </w:r>
    </w:p>
    <w:p w:rsidR="00BC2E9D" w:rsidRPr="00BC2E9D" w:rsidRDefault="00BC2E9D" w:rsidP="00BC2E9D">
      <w:pPr>
        <w:keepNext/>
        <w:tabs>
          <w:tab w:val="left" w:pos="0"/>
        </w:tabs>
        <w:bidi/>
        <w:spacing w:before="240" w:after="240" w:line="240" w:lineRule="auto"/>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hint="cs"/>
          <w:bCs/>
          <w:snapToGrid w:val="0"/>
          <w:sz w:val="24"/>
          <w:szCs w:val="36"/>
          <w:rtl/>
          <w:lang w:bidi="he-IL"/>
        </w:rPr>
        <w:t>אי דינא דנ"ט בר נ"ט נאמר באוכל או בכלי</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בדוגמא המוזכר בגמ' של ההיתר של נ"ט בר נ"ט, שהוא 'דגים' שעלו ב'קערה', ההקלשה נעשתה ע"י זה שנכנס קודם לכלי ולאחר מכן לתוך מאכל. ודנו האחרונים אם הנהו </w:t>
      </w:r>
      <w:r w:rsidRPr="00BC2E9D">
        <w:rPr>
          <w:rFonts w:ascii="Times New Roman" w:eastAsia="Times New Roman" w:hAnsi="Times New Roman" w:cs="Narkisim" w:hint="cs"/>
          <w:w w:val="115"/>
          <w:sz w:val="20"/>
          <w:szCs w:val="24"/>
          <w:rtl/>
          <w:lang w:bidi="he-IL"/>
        </w:rPr>
        <w:lastRenderedPageBreak/>
        <w:t>בדוקא נקט או לא. וזה פשוט שאם היו ב' כלים שמותר יותר, וכמו שכתבו הראשונים שאפילו למאן דמחמיר בנתבשלו מודה היכא שיש ב' כלים. אבל השאלה באופנים אחרים.</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 xml:space="preserve">במש"ז </w:t>
      </w:r>
      <w:r w:rsidRPr="00BC2E9D">
        <w:rPr>
          <w:rFonts w:ascii="Times New Roman" w:eastAsia="Times New Roman" w:hAnsi="Times New Roman" w:cs="Narkisim" w:hint="cs"/>
          <w:w w:val="115"/>
          <w:sz w:val="20"/>
          <w:szCs w:val="24"/>
          <w:rtl/>
          <w:lang w:bidi="he-IL"/>
        </w:rPr>
        <w:t xml:space="preserve">סי' צ"ה </w:t>
      </w:r>
      <w:r w:rsidRPr="00BC2E9D">
        <w:rPr>
          <w:rFonts w:ascii="Times New Roman" w:eastAsia="Times New Roman" w:hAnsi="Times New Roman" w:cs="Narkisim"/>
          <w:w w:val="115"/>
          <w:sz w:val="20"/>
          <w:szCs w:val="24"/>
          <w:rtl/>
          <w:lang w:bidi="he-IL"/>
        </w:rPr>
        <w:t xml:space="preserve">ס"ק א' הביא מס' התרומה סי' ס"א שכתב "אין לאפות עוגה בצד פשטיד"א דאין להתיר מטעם נ"ט בר נ"ט דשמא זהו בכלי אבל באוכל הכל אחד הוא" </w:t>
      </w:r>
      <w:r w:rsidRPr="00BC2E9D">
        <w:rPr>
          <w:rFonts w:ascii="Times New Roman" w:eastAsia="Times New Roman" w:hAnsi="Times New Roman" w:cs="Narkisim" w:hint="cs"/>
          <w:w w:val="115"/>
          <w:sz w:val="20"/>
          <w:szCs w:val="24"/>
          <w:rtl/>
          <w:lang w:bidi="he-IL"/>
        </w:rPr>
        <w:t>והוסיף שב</w:t>
      </w:r>
      <w:r w:rsidRPr="00BC2E9D">
        <w:rPr>
          <w:rFonts w:ascii="Times New Roman" w:eastAsia="Times New Roman" w:hAnsi="Times New Roman" w:cs="Narkisim"/>
          <w:w w:val="115"/>
          <w:sz w:val="20"/>
          <w:szCs w:val="24"/>
          <w:rtl/>
          <w:lang w:bidi="he-IL"/>
        </w:rPr>
        <w:t xml:space="preserve">שערי דורא סי' ס' הביא דברי סה"ת </w:t>
      </w:r>
      <w:r w:rsidRPr="00BC2E9D">
        <w:rPr>
          <w:rFonts w:ascii="Times New Roman" w:eastAsia="Times New Roman" w:hAnsi="Times New Roman" w:cs="Narkisim" w:hint="cs"/>
          <w:w w:val="115"/>
          <w:sz w:val="20"/>
          <w:szCs w:val="24"/>
          <w:rtl/>
          <w:lang w:bidi="he-IL"/>
        </w:rPr>
        <w:t>ו</w:t>
      </w:r>
      <w:r w:rsidRPr="00BC2E9D">
        <w:rPr>
          <w:rFonts w:ascii="Times New Roman" w:eastAsia="Times New Roman" w:hAnsi="Times New Roman" w:cs="Narkisim"/>
          <w:w w:val="115"/>
          <w:sz w:val="20"/>
          <w:szCs w:val="24"/>
          <w:rtl/>
          <w:lang w:bidi="he-IL"/>
        </w:rPr>
        <w:t xml:space="preserve">השמיט </w:t>
      </w:r>
      <w:r w:rsidRPr="00BC2E9D">
        <w:rPr>
          <w:rFonts w:ascii="Times New Roman" w:eastAsia="Times New Roman" w:hAnsi="Times New Roman" w:cs="Narkisim" w:hint="cs"/>
          <w:w w:val="115"/>
          <w:sz w:val="20"/>
          <w:szCs w:val="24"/>
          <w:rtl/>
          <w:lang w:bidi="he-IL"/>
        </w:rPr>
        <w:t>ה</w:t>
      </w:r>
      <w:r w:rsidRPr="00BC2E9D">
        <w:rPr>
          <w:rFonts w:ascii="Times New Roman" w:eastAsia="Times New Roman" w:hAnsi="Times New Roman" w:cs="Narkisim"/>
          <w:w w:val="115"/>
          <w:sz w:val="20"/>
          <w:szCs w:val="24"/>
          <w:rtl/>
          <w:lang w:bidi="he-IL"/>
        </w:rPr>
        <w:t>מ</w:t>
      </w:r>
      <w:r w:rsidRPr="00BC2E9D">
        <w:rPr>
          <w:rFonts w:ascii="Times New Roman" w:eastAsia="Times New Roman" w:hAnsi="Times New Roman" w:cs="Narkisim" w:hint="cs"/>
          <w:w w:val="115"/>
          <w:sz w:val="20"/>
          <w:szCs w:val="24"/>
          <w:rtl/>
          <w:lang w:bidi="he-IL"/>
        </w:rPr>
        <w:t>י</w:t>
      </w:r>
      <w:r w:rsidRPr="00BC2E9D">
        <w:rPr>
          <w:rFonts w:ascii="Times New Roman" w:eastAsia="Times New Roman" w:hAnsi="Times New Roman" w:cs="Narkisim"/>
          <w:w w:val="115"/>
          <w:sz w:val="20"/>
          <w:szCs w:val="24"/>
          <w:rtl/>
          <w:lang w:bidi="he-IL"/>
        </w:rPr>
        <w:t>ל</w:t>
      </w:r>
      <w:r w:rsidRPr="00BC2E9D">
        <w:rPr>
          <w:rFonts w:ascii="Times New Roman" w:eastAsia="Times New Roman" w:hAnsi="Times New Roman" w:cs="Narkisim" w:hint="cs"/>
          <w:w w:val="115"/>
          <w:sz w:val="20"/>
          <w:szCs w:val="24"/>
          <w:rtl/>
          <w:lang w:bidi="he-IL"/>
        </w:rPr>
        <w:t>ה</w:t>
      </w:r>
      <w:r w:rsidRPr="00BC2E9D">
        <w:rPr>
          <w:rFonts w:ascii="Times New Roman" w:eastAsia="Times New Roman" w:hAnsi="Times New Roman" w:cs="Narkisim"/>
          <w:w w:val="115"/>
          <w:sz w:val="20"/>
          <w:szCs w:val="24"/>
          <w:rtl/>
          <w:lang w:bidi="he-IL"/>
        </w:rPr>
        <w:t xml:space="preserve"> "שמא". הרי</w:t>
      </w:r>
      <w:r w:rsidRPr="00BC2E9D">
        <w:rPr>
          <w:rFonts w:ascii="Times New Roman" w:eastAsia="Times New Roman" w:hAnsi="Times New Roman" w:cs="Narkisim" w:hint="cs"/>
          <w:w w:val="115"/>
          <w:sz w:val="20"/>
          <w:szCs w:val="24"/>
          <w:rtl/>
          <w:lang w:bidi="he-IL"/>
        </w:rPr>
        <w:t xml:space="preserve"> דסבר</w:t>
      </w:r>
      <w:r w:rsidRPr="00BC2E9D">
        <w:rPr>
          <w:rFonts w:ascii="Times New Roman" w:eastAsia="Times New Roman" w:hAnsi="Times New Roman" w:cs="Narkisim"/>
          <w:w w:val="115"/>
          <w:sz w:val="20"/>
          <w:szCs w:val="24"/>
          <w:rtl/>
          <w:lang w:bidi="he-IL"/>
        </w:rPr>
        <w:t xml:space="preserve"> שאין נ"ט בר נ"ט אא"כ חד מינייהו בכלי. ושם במש"ז מבואר שלפי צד זה אפילו אלף נ"ט וכולם באוכלין עדיין בטעמו עומד ונאסר. ודבר זה צריך פירוש, דהרי חזינן ד</w:t>
      </w:r>
      <w:r w:rsidRPr="00BC2E9D">
        <w:rPr>
          <w:rFonts w:ascii="Times New Roman" w:eastAsia="Times New Roman" w:hAnsi="Times New Roman" w:cs="Narkisim" w:hint="cs"/>
          <w:w w:val="115"/>
          <w:sz w:val="20"/>
          <w:szCs w:val="24"/>
          <w:rtl/>
          <w:lang w:bidi="he-IL"/>
        </w:rPr>
        <w:t xml:space="preserve">אוכל הוי </w:t>
      </w:r>
      <w:r w:rsidRPr="00BC2E9D">
        <w:rPr>
          <w:rFonts w:ascii="Times New Roman" w:eastAsia="Times New Roman" w:hAnsi="Times New Roman" w:cs="Narkisim"/>
          <w:w w:val="115"/>
          <w:sz w:val="20"/>
          <w:szCs w:val="24"/>
          <w:rtl/>
          <w:lang w:bidi="he-IL"/>
        </w:rPr>
        <w:t xml:space="preserve">עכ"פ אחד מן נותני הטעם </w:t>
      </w:r>
      <w:r w:rsidRPr="00BC2E9D">
        <w:rPr>
          <w:rFonts w:ascii="Times New Roman" w:eastAsia="Times New Roman" w:hAnsi="Times New Roman" w:cs="Narkisim" w:hint="cs"/>
          <w:w w:val="115"/>
          <w:sz w:val="20"/>
          <w:szCs w:val="24"/>
          <w:rtl/>
          <w:lang w:bidi="he-IL"/>
        </w:rPr>
        <w:t>ה</w:t>
      </w:r>
      <w:r w:rsidRPr="00BC2E9D">
        <w:rPr>
          <w:rFonts w:ascii="Times New Roman" w:eastAsia="Times New Roman" w:hAnsi="Times New Roman" w:cs="Narkisim"/>
          <w:w w:val="115"/>
          <w:sz w:val="20"/>
          <w:szCs w:val="24"/>
          <w:rtl/>
          <w:lang w:bidi="he-IL"/>
        </w:rPr>
        <w:t>מועילים להחליש הטעם היתר כדי שלא יהא נאסר, וא"כ למה פשיטא לי' שאפילו אלף נ"ט באוכלין לא מהני.</w:t>
      </w:r>
      <w:r w:rsidRPr="00BC2E9D">
        <w:rPr>
          <w:rFonts w:ascii="Times New Roman" w:eastAsia="Times New Roman" w:hAnsi="Times New Roman" w:cs="Narkisim" w:hint="cs"/>
          <w:w w:val="115"/>
          <w:sz w:val="20"/>
          <w:szCs w:val="24"/>
          <w:rtl/>
          <w:lang w:bidi="he-IL"/>
        </w:rPr>
        <w:t xml:space="preserve"> ואין לומר שכל הפעולה ע"י הכלי, שהכניסה אליו מקליש פעם א', והיציאה ממנו מקליש פעם שני, דהא אפילו לשיטת התוס' בעינן שיכנס למאכל בהיתר, וע"כ היינו משום שלא נגמר ההקלשה עד אז, וע"כ היינו משום דמהני הכניסה לאוכל להקליש, וא"כ קשה כנ"ל.</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 xml:space="preserve">ולכאורה התשובה משום </w:t>
      </w:r>
      <w:r w:rsidRPr="00BC2E9D">
        <w:rPr>
          <w:rFonts w:ascii="Times New Roman" w:eastAsia="Times New Roman" w:hAnsi="Times New Roman" w:cs="Narkisim" w:hint="cs"/>
          <w:w w:val="115"/>
          <w:sz w:val="20"/>
          <w:szCs w:val="24"/>
          <w:rtl/>
          <w:lang w:bidi="he-IL"/>
        </w:rPr>
        <w:t xml:space="preserve">דסבר שבהיתירא דנ"ט בר נ"ט </w:t>
      </w:r>
      <w:r w:rsidRPr="00BC2E9D">
        <w:rPr>
          <w:rFonts w:ascii="Times New Roman" w:eastAsia="Times New Roman" w:hAnsi="Times New Roman" w:cs="Narkisim"/>
          <w:w w:val="115"/>
          <w:sz w:val="20"/>
          <w:szCs w:val="24"/>
          <w:rtl/>
          <w:lang w:bidi="he-IL"/>
        </w:rPr>
        <w:t xml:space="preserve">עיקר החלשת הטעם ע"י כלי, והחלשה שע"י אוכלין אינו אלא חזי לאיצטרופי. אלא שגם בזה </w:t>
      </w:r>
      <w:r w:rsidRPr="00BC2E9D">
        <w:rPr>
          <w:rFonts w:ascii="Times New Roman" w:eastAsia="Times New Roman" w:hAnsi="Times New Roman" w:cs="Narkisim" w:hint="cs"/>
          <w:w w:val="115"/>
          <w:sz w:val="20"/>
          <w:szCs w:val="24"/>
          <w:rtl/>
          <w:lang w:bidi="he-IL"/>
        </w:rPr>
        <w:t xml:space="preserve">לכאורה </w:t>
      </w:r>
      <w:r w:rsidRPr="00BC2E9D">
        <w:rPr>
          <w:rFonts w:ascii="Times New Roman" w:eastAsia="Times New Roman" w:hAnsi="Times New Roman" w:cs="Narkisim"/>
          <w:w w:val="115"/>
          <w:sz w:val="20"/>
          <w:szCs w:val="24"/>
          <w:rtl/>
          <w:lang w:bidi="he-IL"/>
        </w:rPr>
        <w:t xml:space="preserve">יש ב' מהלכים, שהרי במש"ז שם כתב שלפי דבריו אם יהי' הטעם באוכל ורק לאחר מכן בכלי לא יהי' ההיתר של נ"ט בר נ"ט. ולכאורה צ"ע למה פשיטא לי' שהדין כן, הא הכא איכא טעם א' שנכנס בכלי, רק שהיפך הסדר. ונראה הברור בכוונתו שהכח של אוכלין להחליש טעם אינו אלא להוסיף על החלשת כלי, אבל אין לו כח להחליש טעם בעצמו כלל. ומשו"ה פשיטא לי' שבאוכלין אפילו אלף נ"ט לא מהני, דאע"ג דמהני אחר כלי, מ"מ היינו מטעם הנ"ל, שיש לאוכלין כח להחליש טעם שנחלש ע"י כלי, אבל בפני עצמו אינו עושה כלום. וכן אם הי' באוכלין תחילה לא מהני דהא עדיין לא הי' בכלי.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כל זה הוא שיטת המש"ז עצמו, אבל ה</w:t>
      </w:r>
      <w:r w:rsidRPr="00BC2E9D">
        <w:rPr>
          <w:rFonts w:ascii="Times New Roman" w:eastAsia="Times New Roman" w:hAnsi="Times New Roman" w:cs="Narkisim"/>
          <w:w w:val="115"/>
          <w:sz w:val="20"/>
          <w:szCs w:val="24"/>
          <w:rtl/>
          <w:lang w:bidi="he-IL"/>
        </w:rPr>
        <w:t xml:space="preserve">יד יהודה </w:t>
      </w:r>
      <w:r w:rsidRPr="00BC2E9D">
        <w:rPr>
          <w:rFonts w:ascii="Times New Roman" w:eastAsia="Times New Roman" w:hAnsi="Times New Roman" w:cs="Narkisim" w:hint="cs"/>
          <w:w w:val="115"/>
          <w:sz w:val="20"/>
          <w:szCs w:val="24"/>
          <w:rtl/>
          <w:lang w:bidi="he-IL"/>
        </w:rPr>
        <w:t>(סי' צ"ד סס"ק י"ט ד"ה אך מ"ש) וכן החוו"ד ס"ק ד' (מובא בפת"ש ס"ק ב')</w:t>
      </w:r>
      <w:r w:rsidRPr="00BC2E9D">
        <w:rPr>
          <w:rFonts w:ascii="Times New Roman" w:eastAsia="Times New Roman" w:hAnsi="Times New Roman" w:cs="Narkisim"/>
          <w:w w:val="115"/>
          <w:sz w:val="20"/>
          <w:szCs w:val="24"/>
          <w:rtl/>
          <w:lang w:bidi="he-IL"/>
        </w:rPr>
        <w:t xml:space="preserve"> </w:t>
      </w:r>
      <w:r w:rsidRPr="00BC2E9D">
        <w:rPr>
          <w:rFonts w:ascii="Times New Roman" w:eastAsia="Times New Roman" w:hAnsi="Times New Roman" w:cs="Narkisim" w:hint="cs"/>
          <w:w w:val="115"/>
          <w:sz w:val="20"/>
          <w:szCs w:val="24"/>
          <w:rtl/>
          <w:lang w:bidi="he-IL"/>
        </w:rPr>
        <w:t>חלקו עליו ו</w:t>
      </w:r>
      <w:r w:rsidRPr="00BC2E9D">
        <w:rPr>
          <w:rFonts w:ascii="Times New Roman" w:eastAsia="Times New Roman" w:hAnsi="Times New Roman" w:cs="Narkisim"/>
          <w:w w:val="115"/>
          <w:sz w:val="20"/>
          <w:szCs w:val="24"/>
          <w:rtl/>
          <w:lang w:bidi="he-IL"/>
        </w:rPr>
        <w:t>סבר</w:t>
      </w:r>
      <w:r w:rsidRPr="00BC2E9D">
        <w:rPr>
          <w:rFonts w:ascii="Times New Roman" w:eastAsia="Times New Roman" w:hAnsi="Times New Roman" w:cs="Narkisim" w:hint="cs"/>
          <w:w w:val="115"/>
          <w:sz w:val="20"/>
          <w:szCs w:val="24"/>
          <w:rtl/>
          <w:lang w:bidi="he-IL"/>
        </w:rPr>
        <w:t>ו</w:t>
      </w:r>
      <w:r w:rsidRPr="00BC2E9D">
        <w:rPr>
          <w:rFonts w:ascii="Times New Roman" w:eastAsia="Times New Roman" w:hAnsi="Times New Roman" w:cs="Narkisim"/>
          <w:w w:val="115"/>
          <w:sz w:val="20"/>
          <w:szCs w:val="24"/>
          <w:rtl/>
          <w:lang w:bidi="he-IL"/>
        </w:rPr>
        <w:t xml:space="preserve"> דנהי דבעינן החלשת כלי, מ"מ יכול להיות </w:t>
      </w:r>
      <w:r w:rsidRPr="00BC2E9D">
        <w:rPr>
          <w:rFonts w:ascii="Times New Roman" w:eastAsia="Times New Roman" w:hAnsi="Times New Roman" w:cs="Narkisim" w:hint="cs"/>
          <w:w w:val="115"/>
          <w:sz w:val="20"/>
          <w:szCs w:val="24"/>
          <w:rtl/>
          <w:lang w:bidi="he-IL"/>
        </w:rPr>
        <w:t>שנכנס לאוכל קודם</w:t>
      </w:r>
      <w:r w:rsidRPr="00BC2E9D">
        <w:rPr>
          <w:rFonts w:ascii="Times New Roman" w:eastAsia="Times New Roman" w:hAnsi="Times New Roman" w:cs="Narkisim"/>
          <w:w w:val="115"/>
          <w:sz w:val="20"/>
          <w:szCs w:val="24"/>
          <w:rtl/>
          <w:lang w:bidi="he-IL"/>
        </w:rPr>
        <w:t xml:space="preserve"> </w:t>
      </w:r>
      <w:r w:rsidRPr="00BC2E9D">
        <w:rPr>
          <w:rFonts w:ascii="Times New Roman" w:eastAsia="Times New Roman" w:hAnsi="Times New Roman" w:cs="Narkisim" w:hint="cs"/>
          <w:w w:val="115"/>
          <w:sz w:val="20"/>
          <w:szCs w:val="24"/>
          <w:rtl/>
          <w:lang w:bidi="he-IL"/>
        </w:rPr>
        <w:t>ד</w:t>
      </w:r>
      <w:r w:rsidRPr="00BC2E9D">
        <w:rPr>
          <w:rFonts w:ascii="Times New Roman" w:eastAsia="Times New Roman" w:hAnsi="Times New Roman" w:cs="Narkisim"/>
          <w:w w:val="115"/>
          <w:sz w:val="20"/>
          <w:szCs w:val="24"/>
          <w:rtl/>
          <w:lang w:bidi="he-IL"/>
        </w:rPr>
        <w:t xml:space="preserve">לא איכפת לן איזה סדר הוא. וע"ש </w:t>
      </w:r>
      <w:r w:rsidRPr="00BC2E9D">
        <w:rPr>
          <w:rFonts w:ascii="Times New Roman" w:eastAsia="Times New Roman" w:hAnsi="Times New Roman" w:cs="Narkisim" w:hint="cs"/>
          <w:w w:val="115"/>
          <w:sz w:val="20"/>
          <w:szCs w:val="24"/>
          <w:rtl/>
          <w:lang w:bidi="he-IL"/>
        </w:rPr>
        <w:t xml:space="preserve">ביד יהודה </w:t>
      </w:r>
      <w:r w:rsidRPr="00BC2E9D">
        <w:rPr>
          <w:rFonts w:ascii="Times New Roman" w:eastAsia="Times New Roman" w:hAnsi="Times New Roman" w:cs="Narkisim"/>
          <w:w w:val="115"/>
          <w:sz w:val="20"/>
          <w:szCs w:val="24"/>
          <w:rtl/>
          <w:lang w:bidi="he-IL"/>
        </w:rPr>
        <w:t xml:space="preserve">שהוכיח כדבריו מדברי הרמב"ן בסוגיא דנ"ט בר נ"ט דאהא דרב עבדו ליה שיפא בצעא (תרופה בצלחת) ולאחר שבישלו באותה צלחת תבשיל אחר (שהוא דוגמת הדגים שעלו בקערה ביחס לתרופה) טעם הדבר מר בתבשיל. ומעיקרא רצו להוכיח מזה ששיטת רב שיש איסור בנ"ט בר נ"ט (ולא קיי"ל כוותי', וכן מ"מ הגמ' דוחה שאין מזה ראי' שזהו שיטת רב כיון שהתרופה </w:t>
      </w:r>
      <w:r w:rsidRPr="00BC2E9D">
        <w:rPr>
          <w:rFonts w:ascii="Times New Roman" w:eastAsia="Times New Roman" w:hAnsi="Times New Roman" w:cs="Narkisim"/>
          <w:w w:val="115"/>
          <w:sz w:val="20"/>
          <w:szCs w:val="24"/>
          <w:rtl/>
          <w:lang w:bidi="he-IL"/>
        </w:rPr>
        <w:lastRenderedPageBreak/>
        <w:t xml:space="preserve">נפיש מרירי'), והקשה הרמב"ן דהא אינו אלא טעם שני (וכשיטתו דטעם ב' אינו מותר, רק שאינו אוסר). ופי' שלא הי' מאכל שהי' בצלחת מר בעצמו, רק שבלע ממאכל מר. הרי לך טעם ראשון במאכל וטעם שני בכלי ומ"מ הי' בה משום נ"ט בר נ"ט. וראיתי במגי"ס </w:t>
      </w:r>
      <w:r w:rsidRPr="00BC2E9D">
        <w:rPr>
          <w:rFonts w:ascii="Times New Roman" w:eastAsia="Times New Roman" w:hAnsi="Times New Roman" w:cs="Narkisim" w:hint="cs"/>
          <w:w w:val="115"/>
          <w:sz w:val="20"/>
          <w:szCs w:val="24"/>
          <w:rtl/>
          <w:lang w:bidi="he-IL"/>
        </w:rPr>
        <w:t xml:space="preserve">(סי' צ"ה אות ה') </w:t>
      </w:r>
      <w:r w:rsidRPr="00BC2E9D">
        <w:rPr>
          <w:rFonts w:ascii="Times New Roman" w:eastAsia="Times New Roman" w:hAnsi="Times New Roman" w:cs="Narkisim"/>
          <w:w w:val="115"/>
          <w:sz w:val="20"/>
          <w:szCs w:val="24"/>
          <w:rtl/>
          <w:lang w:bidi="he-IL"/>
        </w:rPr>
        <w:t>בשם הגו"ר דכתב דאה"נ ולרמב"ן אין ה</w:t>
      </w:r>
      <w:r w:rsidRPr="00BC2E9D">
        <w:rPr>
          <w:rFonts w:ascii="Times New Roman" w:eastAsia="Times New Roman" w:hAnsi="Times New Roman" w:cs="Narkisim" w:hint="cs"/>
          <w:w w:val="115"/>
          <w:sz w:val="20"/>
          <w:szCs w:val="24"/>
          <w:rtl/>
          <w:lang w:bidi="he-IL"/>
        </w:rPr>
        <w:t>ד</w:t>
      </w:r>
      <w:r w:rsidRPr="00BC2E9D">
        <w:rPr>
          <w:rFonts w:ascii="Times New Roman" w:eastAsia="Times New Roman" w:hAnsi="Times New Roman" w:cs="Narkisim"/>
          <w:w w:val="115"/>
          <w:sz w:val="20"/>
          <w:szCs w:val="24"/>
          <w:rtl/>
          <w:lang w:bidi="he-IL"/>
        </w:rPr>
        <w:t xml:space="preserve">ין כן אבל הרבה חולקים על הרמב"ן וסוברים שטעם שני בהיתר ג"כ מותר </w:t>
      </w:r>
      <w:r w:rsidRPr="00BC2E9D">
        <w:rPr>
          <w:rFonts w:ascii="Times New Roman" w:eastAsia="Times New Roman" w:hAnsi="Times New Roman" w:cs="Narkisim" w:hint="cs"/>
          <w:w w:val="115"/>
          <w:sz w:val="20"/>
          <w:szCs w:val="24"/>
          <w:rtl/>
          <w:lang w:bidi="he-IL"/>
        </w:rPr>
        <w:t xml:space="preserve">(דהיינו שיטת התוס', וכתבנו לעיל להוכיח שהלכה כדבריהם) </w:t>
      </w:r>
      <w:r w:rsidRPr="00BC2E9D">
        <w:rPr>
          <w:rFonts w:ascii="Times New Roman" w:eastAsia="Times New Roman" w:hAnsi="Times New Roman" w:cs="Narkisim"/>
          <w:w w:val="115"/>
          <w:sz w:val="20"/>
          <w:szCs w:val="24"/>
          <w:rtl/>
          <w:lang w:bidi="he-IL"/>
        </w:rPr>
        <w:t>וא"כ אין צריכים לאוקימתא של הרמב"ן. ומ"מ לכאורה ראי' טובה הי</w:t>
      </w:r>
      <w:r w:rsidRPr="00BC2E9D">
        <w:rPr>
          <w:rFonts w:ascii="Times New Roman" w:eastAsia="Times New Roman" w:hAnsi="Times New Roman" w:cs="Narkisim" w:hint="cs"/>
          <w:w w:val="115"/>
          <w:sz w:val="20"/>
          <w:szCs w:val="24"/>
          <w:rtl/>
          <w:lang w:bidi="he-IL"/>
        </w:rPr>
        <w:t>א</w:t>
      </w:r>
      <w:r w:rsidRPr="00BC2E9D">
        <w:rPr>
          <w:rFonts w:ascii="Times New Roman" w:eastAsia="Times New Roman" w:hAnsi="Times New Roman" w:cs="Narkisim"/>
          <w:w w:val="115"/>
          <w:sz w:val="20"/>
          <w:szCs w:val="24"/>
          <w:rtl/>
          <w:lang w:bidi="he-IL"/>
        </w:rPr>
        <w:t xml:space="preserve"> זו, דנהי שאין צריכים לאוקימתא, אבל זה לבד שיש טעם ראשון באוכל לא נראה מן הרמב"ן שהי' חידוש, וגם לתוס' וסייעתו י"ל שהוא מותר. ומ"מ הביאור לשיטת היד יהודה היא דאע"ג שע"י אוכל לבד לא אומרים ההיתר של נ"ט בר נ"ט, מ"מ אם יש עיקר ההחלשה, גם השאר מצטרפין אליו, לא שנא לפ</w:t>
      </w:r>
      <w:r w:rsidRPr="00BC2E9D">
        <w:rPr>
          <w:rFonts w:ascii="Times New Roman" w:eastAsia="Times New Roman" w:hAnsi="Times New Roman" w:cs="Narkisim" w:hint="cs"/>
          <w:w w:val="115"/>
          <w:sz w:val="20"/>
          <w:szCs w:val="24"/>
          <w:rtl/>
          <w:lang w:bidi="he-IL"/>
        </w:rPr>
        <w:t>נ</w:t>
      </w:r>
      <w:r w:rsidRPr="00BC2E9D">
        <w:rPr>
          <w:rFonts w:ascii="Times New Roman" w:eastAsia="Times New Roman" w:hAnsi="Times New Roman" w:cs="Narkisim"/>
          <w:w w:val="115"/>
          <w:sz w:val="20"/>
          <w:szCs w:val="24"/>
          <w:rtl/>
          <w:lang w:bidi="he-IL"/>
        </w:rPr>
        <w:t xml:space="preserve">י ולא שנא אחרי. ולכאורה חזינן לדעתי' שיש כח גם לאוכלין להחליש, רק כחו פחות, ואיכא למימר לדידי' שאלפי נ"ט באוכלין הי' ג"כ מותר. ויל"ע בזה.      </w:t>
      </w:r>
      <w:r w:rsidRPr="00BC2E9D">
        <w:rPr>
          <w:rFonts w:ascii="Times New Roman" w:eastAsia="Times New Roman" w:hAnsi="Times New Roman" w:cs="Narkisim" w:hint="cs"/>
          <w:w w:val="115"/>
          <w:sz w:val="20"/>
          <w:szCs w:val="24"/>
          <w:rtl/>
          <w:lang w:bidi="he-IL"/>
        </w:rPr>
        <w:t xml:space="preserve">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 xml:space="preserve">ובעיקר הנידון אם אומרים נ"ט בר נ"ט באוכלין, ע' בפת"ש שהביא שו"ת פני ארי' (ברסלוי)  סי' מ"ח ומ"ט שחלק על </w:t>
      </w:r>
      <w:r w:rsidRPr="00BC2E9D">
        <w:rPr>
          <w:rFonts w:ascii="Times New Roman" w:eastAsia="Times New Roman" w:hAnsi="Times New Roman" w:cs="Narkisim" w:hint="cs"/>
          <w:w w:val="115"/>
          <w:sz w:val="20"/>
          <w:szCs w:val="24"/>
          <w:rtl/>
          <w:lang w:bidi="he-IL"/>
        </w:rPr>
        <w:t xml:space="preserve">כל יסוד </w:t>
      </w:r>
      <w:r w:rsidRPr="00BC2E9D">
        <w:rPr>
          <w:rFonts w:ascii="Times New Roman" w:eastAsia="Times New Roman" w:hAnsi="Times New Roman" w:cs="Narkisim"/>
          <w:w w:val="115"/>
          <w:sz w:val="20"/>
          <w:szCs w:val="24"/>
          <w:rtl/>
          <w:lang w:bidi="he-IL"/>
        </w:rPr>
        <w:t xml:space="preserve">זה וסבר דכ"ש שיש נ"ט בר נ"ט באוכלין (וע"ש שדברי השע"ד תמוהים וע"כ יש שם ט"ס). וע"כ לדידי' הגמ' </w:t>
      </w:r>
      <w:r w:rsidRPr="00BC2E9D">
        <w:rPr>
          <w:rFonts w:ascii="Times New Roman" w:eastAsia="Times New Roman" w:hAnsi="Times New Roman" w:cs="Narkisim" w:hint="cs"/>
          <w:w w:val="115"/>
          <w:sz w:val="20"/>
          <w:szCs w:val="24"/>
          <w:rtl/>
          <w:lang w:bidi="he-IL"/>
        </w:rPr>
        <w:t xml:space="preserve"> לרבותא נקט, שאפילו בכלי נאמר ההיתר של נ"ט בר נ"ט (ואולי הא דלא נקטו בכלים משום ש</w:t>
      </w:r>
      <w:r w:rsidRPr="00BC2E9D">
        <w:rPr>
          <w:rFonts w:ascii="Times New Roman" w:eastAsia="Times New Roman" w:hAnsi="Times New Roman" w:cs="Narkisim"/>
          <w:w w:val="115"/>
          <w:sz w:val="20"/>
          <w:szCs w:val="24"/>
          <w:rtl/>
          <w:lang w:bidi="he-IL"/>
        </w:rPr>
        <w:t>דיבר בהוה</w:t>
      </w:r>
      <w:r w:rsidRPr="00BC2E9D">
        <w:rPr>
          <w:rFonts w:ascii="Times New Roman" w:eastAsia="Times New Roman" w:hAnsi="Times New Roman" w:cs="Narkisim" w:hint="cs"/>
          <w:w w:val="115"/>
          <w:sz w:val="20"/>
          <w:szCs w:val="24"/>
          <w:rtl/>
          <w:lang w:bidi="he-IL"/>
        </w:rPr>
        <w:t>)</w:t>
      </w:r>
      <w:r w:rsidRPr="00BC2E9D">
        <w:rPr>
          <w:rFonts w:ascii="Times New Roman" w:eastAsia="Times New Roman" w:hAnsi="Times New Roman" w:cs="Narkisim"/>
          <w:w w:val="115"/>
          <w:sz w:val="20"/>
          <w:szCs w:val="24"/>
          <w:rtl/>
          <w:lang w:bidi="he-IL"/>
        </w:rPr>
        <w:t>. ומ"מ חזינן כאן סברות הפוכות, שלמש"ז יש סברא דכלי עדיף מאוכלין, ולפני ארי' אוכלין עדי</w:t>
      </w:r>
      <w:r w:rsidRPr="00BC2E9D">
        <w:rPr>
          <w:rFonts w:ascii="Times New Roman" w:eastAsia="Times New Roman" w:hAnsi="Times New Roman" w:cs="Narkisim" w:hint="cs"/>
          <w:w w:val="115"/>
          <w:sz w:val="20"/>
          <w:szCs w:val="24"/>
          <w:rtl/>
          <w:lang w:bidi="he-IL"/>
        </w:rPr>
        <w:t>פי</w:t>
      </w:r>
      <w:r w:rsidRPr="00BC2E9D">
        <w:rPr>
          <w:rFonts w:ascii="Times New Roman" w:eastAsia="Times New Roman" w:hAnsi="Times New Roman" w:cs="Narkisim"/>
          <w:w w:val="115"/>
          <w:sz w:val="20"/>
          <w:szCs w:val="24"/>
          <w:rtl/>
          <w:lang w:bidi="he-IL"/>
        </w:rPr>
        <w:t xml:space="preserve"> מכלי, וצ"ע בביאור המחלוקת. ונראה הפשוט בזה שהמש"ז סבר דכמו שרואים שיש לכלי לעשות טעם הבלוע בו לפגם (אחרי מעל"ע, וכן יש צד </w:t>
      </w:r>
      <w:r w:rsidRPr="00BC2E9D">
        <w:rPr>
          <w:rFonts w:ascii="Times New Roman" w:eastAsia="Times New Roman" w:hAnsi="Times New Roman" w:cs="Narkisim" w:hint="cs"/>
          <w:w w:val="115"/>
          <w:sz w:val="20"/>
          <w:szCs w:val="24"/>
          <w:rtl/>
          <w:lang w:bidi="he-IL"/>
        </w:rPr>
        <w:t xml:space="preserve">בגמ' </w:t>
      </w:r>
      <w:r w:rsidRPr="00BC2E9D">
        <w:rPr>
          <w:rFonts w:ascii="Times New Roman" w:eastAsia="Times New Roman" w:hAnsi="Times New Roman" w:cs="Narkisim"/>
          <w:w w:val="115"/>
          <w:sz w:val="20"/>
          <w:szCs w:val="24"/>
          <w:rtl/>
          <w:lang w:bidi="he-IL"/>
        </w:rPr>
        <w:t>שאפילו בב"י נפגם פורתא) הה"נ שיש בכחו להחליש טעם, אבל אוכלין שהטעם הבלוע שב</w:t>
      </w:r>
      <w:r w:rsidRPr="00BC2E9D">
        <w:rPr>
          <w:rFonts w:ascii="Times New Roman" w:eastAsia="Times New Roman" w:hAnsi="Times New Roman" w:cs="Narkisim" w:hint="cs"/>
          <w:w w:val="115"/>
          <w:sz w:val="20"/>
          <w:szCs w:val="24"/>
          <w:rtl/>
          <w:lang w:bidi="he-IL"/>
        </w:rPr>
        <w:t>הם</w:t>
      </w:r>
      <w:r w:rsidRPr="00BC2E9D">
        <w:rPr>
          <w:rFonts w:ascii="Times New Roman" w:eastAsia="Times New Roman" w:hAnsi="Times New Roman" w:cs="Narkisim"/>
          <w:w w:val="115"/>
          <w:sz w:val="20"/>
          <w:szCs w:val="24"/>
          <w:rtl/>
          <w:lang w:bidi="he-IL"/>
        </w:rPr>
        <w:t xml:space="preserve"> אף פעם לא נפגם גם החלשה אינו עושה. והפני ארי' סבר שפגם לחוד וה</w:t>
      </w:r>
      <w:r w:rsidRPr="00BC2E9D">
        <w:rPr>
          <w:rFonts w:ascii="Times New Roman" w:eastAsia="Times New Roman" w:hAnsi="Times New Roman" w:cs="Narkisim" w:hint="cs"/>
          <w:w w:val="115"/>
          <w:sz w:val="20"/>
          <w:szCs w:val="24"/>
          <w:rtl/>
          <w:lang w:bidi="he-IL"/>
        </w:rPr>
        <w:t>קל</w:t>
      </w:r>
      <w:r w:rsidRPr="00BC2E9D">
        <w:rPr>
          <w:rFonts w:ascii="Times New Roman" w:eastAsia="Times New Roman" w:hAnsi="Times New Roman" w:cs="Narkisim"/>
          <w:w w:val="115"/>
          <w:sz w:val="20"/>
          <w:szCs w:val="24"/>
          <w:rtl/>
          <w:lang w:bidi="he-IL"/>
        </w:rPr>
        <w:t>שה לחוד</w:t>
      </w:r>
      <w:r w:rsidRPr="00BC2E9D">
        <w:rPr>
          <w:rFonts w:ascii="Times New Roman" w:eastAsia="Times New Roman" w:hAnsi="Times New Roman" w:cs="Narkisim" w:hint="cs"/>
          <w:w w:val="115"/>
          <w:sz w:val="20"/>
          <w:szCs w:val="24"/>
          <w:rtl/>
          <w:lang w:bidi="he-IL"/>
        </w:rPr>
        <w:t>.</w:t>
      </w:r>
      <w:r w:rsidRPr="00BC2E9D">
        <w:rPr>
          <w:rFonts w:ascii="Times New Roman" w:eastAsia="Times New Roman" w:hAnsi="Times New Roman" w:cs="Narkisim"/>
          <w:w w:val="115"/>
          <w:sz w:val="20"/>
          <w:szCs w:val="24"/>
          <w:rtl/>
          <w:lang w:bidi="he-IL"/>
        </w:rPr>
        <w:t xml:space="preserve"> ו</w:t>
      </w:r>
      <w:r w:rsidRPr="00BC2E9D">
        <w:rPr>
          <w:rFonts w:ascii="Times New Roman" w:eastAsia="Times New Roman" w:hAnsi="Times New Roman" w:cs="Narkisim" w:hint="cs"/>
          <w:w w:val="115"/>
          <w:sz w:val="20"/>
          <w:szCs w:val="24"/>
          <w:rtl/>
          <w:lang w:bidi="he-IL"/>
        </w:rPr>
        <w:t>מאידך סבר הפני ארי' ד</w:t>
      </w:r>
      <w:r w:rsidRPr="00BC2E9D">
        <w:rPr>
          <w:rFonts w:ascii="Times New Roman" w:eastAsia="Times New Roman" w:hAnsi="Times New Roman" w:cs="Narkisim"/>
          <w:w w:val="115"/>
          <w:sz w:val="20"/>
          <w:szCs w:val="24"/>
          <w:rtl/>
          <w:lang w:bidi="he-IL"/>
        </w:rPr>
        <w:t>אוכלין עדי</w:t>
      </w:r>
      <w:r w:rsidRPr="00BC2E9D">
        <w:rPr>
          <w:rFonts w:ascii="Times New Roman" w:eastAsia="Times New Roman" w:hAnsi="Times New Roman" w:cs="Narkisim" w:hint="cs"/>
          <w:w w:val="115"/>
          <w:sz w:val="20"/>
          <w:szCs w:val="24"/>
          <w:rtl/>
          <w:lang w:bidi="he-IL"/>
        </w:rPr>
        <w:t>פי</w:t>
      </w:r>
      <w:r w:rsidRPr="00BC2E9D">
        <w:rPr>
          <w:rFonts w:ascii="Times New Roman" w:eastAsia="Times New Roman" w:hAnsi="Times New Roman" w:cs="Narkisim"/>
          <w:w w:val="115"/>
          <w:sz w:val="20"/>
          <w:szCs w:val="24"/>
          <w:rtl/>
          <w:lang w:bidi="he-IL"/>
        </w:rPr>
        <w:t>, שהרי קיי"ל שאין טעם עובר מחתיכה לחתיכה בלי רוטב, ואילו מכלי לאוכלין עובר בלי רוטב וכמש"כ הש"ך בסי' ק"ה ס"ק כ"ב ומשום שאין לו פליטה מעצמו. וא"כ הה"נ הכא הי' לנו להקל יותר מאוכל לאוכל יותר מכלי לאוכל (כן הוא להדיא שם ב</w:t>
      </w:r>
      <w:r w:rsidRPr="00BC2E9D">
        <w:rPr>
          <w:rFonts w:ascii="Times New Roman" w:eastAsia="Times New Roman" w:hAnsi="Times New Roman" w:cs="Narkisim" w:hint="cs"/>
          <w:w w:val="115"/>
          <w:sz w:val="20"/>
          <w:szCs w:val="24"/>
          <w:rtl/>
          <w:lang w:bidi="he-IL"/>
        </w:rPr>
        <w:t>פ</w:t>
      </w:r>
      <w:r w:rsidRPr="00BC2E9D">
        <w:rPr>
          <w:rFonts w:ascii="Times New Roman" w:eastAsia="Times New Roman" w:hAnsi="Times New Roman" w:cs="Narkisim"/>
          <w:w w:val="115"/>
          <w:sz w:val="20"/>
          <w:szCs w:val="24"/>
          <w:rtl/>
          <w:lang w:bidi="he-IL"/>
        </w:rPr>
        <w:t>ני ארי' סי' מ"ח). וכוונתו בזה דנהי שלמעשה חזינן שגם מכלי לאוכל יש נ"ט בר נ"ט, אבל א"כ כ"ש שהדין נכון בב' אוכלין. וע"כ המש"ז סבר בזה דאע"ג שמכלי לאוכל עובר בלי רוטב, מ"מ א</w:t>
      </w:r>
      <w:r w:rsidRPr="00BC2E9D">
        <w:rPr>
          <w:rFonts w:ascii="Times New Roman" w:eastAsia="Times New Roman" w:hAnsi="Times New Roman" w:cs="Narkisim" w:hint="cs"/>
          <w:w w:val="115"/>
          <w:sz w:val="20"/>
          <w:szCs w:val="24"/>
          <w:rtl/>
          <w:lang w:bidi="he-IL"/>
        </w:rPr>
        <w:t>ח</w:t>
      </w:r>
      <w:r w:rsidRPr="00BC2E9D">
        <w:rPr>
          <w:rFonts w:ascii="Times New Roman" w:eastAsia="Times New Roman" w:hAnsi="Times New Roman" w:cs="Narkisim"/>
          <w:w w:val="115"/>
          <w:sz w:val="20"/>
          <w:szCs w:val="24"/>
          <w:rtl/>
          <w:lang w:bidi="he-IL"/>
        </w:rPr>
        <w:t xml:space="preserve">רי שהוא עובר נחלש, משא"כ באוכלין </w:t>
      </w:r>
      <w:r w:rsidRPr="00BC2E9D">
        <w:rPr>
          <w:rFonts w:ascii="Times New Roman" w:eastAsia="Times New Roman" w:hAnsi="Times New Roman" w:cs="Narkisim" w:hint="cs"/>
          <w:w w:val="115"/>
          <w:sz w:val="20"/>
          <w:szCs w:val="24"/>
          <w:rtl/>
          <w:lang w:bidi="he-IL"/>
        </w:rPr>
        <w:t>ד</w:t>
      </w:r>
      <w:r w:rsidRPr="00BC2E9D">
        <w:rPr>
          <w:rFonts w:ascii="Times New Roman" w:eastAsia="Times New Roman" w:hAnsi="Times New Roman" w:cs="Narkisim"/>
          <w:w w:val="115"/>
          <w:sz w:val="20"/>
          <w:szCs w:val="24"/>
          <w:rtl/>
          <w:lang w:bidi="he-IL"/>
        </w:rPr>
        <w:t xml:space="preserve">אע"ג שאינו עובר בלי רוטב, </w:t>
      </w:r>
      <w:r w:rsidRPr="00BC2E9D">
        <w:rPr>
          <w:rFonts w:ascii="Times New Roman" w:eastAsia="Times New Roman" w:hAnsi="Times New Roman" w:cs="Narkisim" w:hint="cs"/>
          <w:w w:val="115"/>
          <w:sz w:val="20"/>
          <w:szCs w:val="24"/>
          <w:rtl/>
          <w:lang w:bidi="he-IL"/>
        </w:rPr>
        <w:t xml:space="preserve">מ"מ </w:t>
      </w:r>
      <w:r w:rsidRPr="00BC2E9D">
        <w:rPr>
          <w:rFonts w:ascii="Times New Roman" w:eastAsia="Times New Roman" w:hAnsi="Times New Roman" w:cs="Narkisim"/>
          <w:w w:val="115"/>
          <w:sz w:val="20"/>
          <w:szCs w:val="24"/>
          <w:rtl/>
          <w:lang w:bidi="he-IL"/>
        </w:rPr>
        <w:t>אחרי שהוא עובר לא נחלש כלל.</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lastRenderedPageBreak/>
        <w:t xml:space="preserve">והנה לעיל ביארנו מחלוקת אם ההקלשה היא ע"י זה שיצא ממקום שהי' מקודם, או ע"י זה שנכנס למקום חדש. אמנם איכא למימר דהנ"מ בכניסה לתוך המאכל, אבל יתכן שההקלשה של הכלי גם לשיטת התוס' הוי משום היציאה מן הכלי ולא משום הכניסה אליו. וע' שפ"ד סי' צ"ו ס"ק ב' שכתב שאם חתך דבר חריף בסכין בשרי, לא איכפת לן כמה פעמים שעובר מן המאכל החריף למאכלים אפילו אינם חריפים, והוא לשיטתו הנ"ל שמאוכל לאוכל ליתי' להיתירא דנ"ט בר נ"ט. אבל יש כאן גם חידוש, דהא מעיקרא נבלע בכלי, ולמה יגרעו המאכלים שלאחר הדבר חריף מדגים, ואע"ג שבמאכל שאחרי הדבר חריף י"ל שאין לו תוספת הקלשה כיון שנכנס בה מן הדבר החריף, אבל המאכל שאחרי זה למה יגרע. וע"כ דסבר שההקלשה של כלי פועלת ע"י היציאה ממנו, וכיון שדבר חריף הוא ששאב ממנו, אין כאן ההקלשה של כלי כלל. וע"ש בהגהות רע"א מכת"י שתמה על הפמ"ג, ולכאורה היינו משום דסבר שההקלשה נעשתה ע"י הכניסה לכלי, ולכן לא תהני הדבר חריף להסיר ההקלשה זו, ועכ"פ המאכל שבלע מן המאכל שבלע מן הדבר חריף יש לו ההיתר של נ"ט בר נ"ט.     </w:t>
      </w:r>
    </w:p>
    <w:p w:rsidR="00BC2E9D" w:rsidRPr="00BC2E9D" w:rsidRDefault="00BC2E9D" w:rsidP="00BC2E9D">
      <w:pPr>
        <w:keepNext/>
        <w:tabs>
          <w:tab w:val="left" w:pos="0"/>
        </w:tabs>
        <w:bidi/>
        <w:spacing w:before="240" w:after="240" w:line="240" w:lineRule="auto"/>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hint="cs"/>
          <w:bCs/>
          <w:snapToGrid w:val="0"/>
          <w:sz w:val="24"/>
          <w:szCs w:val="36"/>
          <w:rtl/>
          <w:lang w:bidi="he-IL"/>
        </w:rPr>
        <w:t>נ"ט בר נ"ט בנצלו ובנתבשלו</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בדוגמא של הגמ' בהיתירא דנ"ט בר נ"ט נקטו 'דגים שעלו בקערה מותר לאוכלן בכותח'. ולשון עלו אין במשמעותו אלא שעלו לקערה ולא שנתבשלו בתוכה. והפירוש של 'עלו' היינו שלא היו גם הקערה וגם הדגים חמים, רק א' מהם, או הדגים או הקערה. ואע"ג שלא היו שניהם חמים, ואיכא למ"ד תתאה גבר (ע' ביאור ענין תתאה גבר לקמן בענין העברת טעם) מ"מ מבואר בפסחים ע"ו ע"א דאע"ג שתתאה גבר אי אפשר שלא נבלע בה פורתא.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ודנו הראשונים אם לשון עלו דוקא או לאו דוקא, שמביאים התוס' ועוד ראשונים שהריב"ן הביא בשם רש"י שלא הקילו בנ"ט בר נ"ט אלא בעלו, אבל בנתבשלו לא אמרינם שהוקלש הטעם. אבל הרמב"ן ועוד ראשונים אחריים אינם מחלקים בזה וסוברים שאפילו אם עבר הטעם מן הכלי לדגים ע"י זה שנתבשלו ביחד, מ"מ הוקלש טעמו ושייך בה היתירא דנ"ט בר נ"ט. וע"ש בתוס' שתלו נידון זה במבואר בגמ' בחתך צנון אסור לאכלו בכותח, דאם מיירי בסכין מקונח, ע"כ ליתי' להיתירא דנ"ט בר נ"ט בדבר חריף וה"ה בנצלו. אבל אם מיירי בסכין שאינו מקונח י"ל דבמקונח שריא אע"ג דהוי דבר חריף, ומיני' נמי לנצלו. וע"ש ברמב"ן דאם מיירי במקונח קשה למה בקישות ואבטיח שאינם דברים חריפים צריכים גרירה. ואכמ"ל בישוב דבריהם.</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lastRenderedPageBreak/>
        <w:t>והנה קיי"ל שהבליעות בכלים שאינן בני יומן נותנים טעם לפגם ואינם אוסרים. ובתוס' במס' עבודה זרה (ע"ו ע"א ד"ה בת יומא) דנו מה יהא הדין אם בישלו בתוך כלי, ותוך הזמן קודם שנעשו אינן בני יומן בישלו בה מים. האם אומרים שכיון שאינו בת יומא מן הבישול הראשון הרי זה לפגם ומותר, או"ד כיון שבישלו בה מים בינתיים אין מונים אלא מזמן בישול המים. וכתבו לחלק בין בליעות של היתר לבליעות של איסור, וא' מן הטעמים משום שבאיסור לא שייך ההיתר של נ"ט בר נ"ט, אבל בהיתר, כיון שיצא הטעם מן הכלי למים, ושוב נכנס לכלי, הרי זה בכלל נ"ט בר נ"ט דהיתירא ומותר. והוסיפו התוס' לבאר "</w:t>
      </w:r>
      <w:r w:rsidRPr="00BC2E9D">
        <w:rPr>
          <w:rFonts w:ascii="Times New Roman" w:eastAsia="Times New Roman" w:hAnsi="Times New Roman" w:cs="Narkisim"/>
          <w:w w:val="115"/>
          <w:sz w:val="20"/>
          <w:szCs w:val="24"/>
          <w:rtl/>
          <w:lang w:bidi="he-IL"/>
        </w:rPr>
        <w:t>דאפי' לפי המפרש גבי דגים שעלו בקערה אבל נתבשלו לא הכא איכא ג' נותני טעם של היתר הראשון שנבלע בכלי וממנו למים ומן המים חזר ונבלע בכלי</w:t>
      </w:r>
      <w:r w:rsidRPr="00BC2E9D">
        <w:rPr>
          <w:rFonts w:ascii="Times New Roman" w:eastAsia="Times New Roman" w:hAnsi="Times New Roman" w:cs="Narkisim" w:hint="cs"/>
          <w:w w:val="115"/>
          <w:sz w:val="20"/>
          <w:szCs w:val="24"/>
          <w:rtl/>
          <w:lang w:bidi="he-IL"/>
        </w:rPr>
        <w:t>". ומבואר לשיטתם דהא דבנתבשלו ליכא היתר של נ"ט בר נ"ט, אין זה משום שלא נקלש הטעם כלל, רק שלא נקלש מספיק, אבל אם כבר נקלש ג' פעמים שפיר הוי נ"ט בר נ"ט לכו"ע, שכה"ג גם אם נתבשלו נקלש ע"ד כדי כך דשוב אינו יכול לאסור.</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ומשום כלל זה כתב הרא"ש (פ"ח סי' כ"ט) לחלק בין נתבשלו לנצלו. והיינו משום דבשלמא בנצלו י"ל שעבר הטעם יפה ולא נקלש, ומשו"ה לא שייך לגבי' היתירא דנ"ט בר נ"ט. אבל נתבשלו, כיון שהוא נתבשל במים, הרי יש ג' נ"ט בהיתר, מן המאכל כלי, מן הכלי למים, ומן המים למאכל השני. וכיון שכן הרי זה מותר וכמש"נ. ובסימן ל' הביא מס' התרומה דסבר הכי, אלא שגמגם בדבר כיון שהמאכל נוגע בכלי, וא"כ יחסר הנ"ט של המים. ומ"מ הסיק ס' התרומה להקל, וטעמו "</w:t>
      </w:r>
      <w:r w:rsidRPr="00BC2E9D">
        <w:rPr>
          <w:rFonts w:ascii="Times New Roman" w:eastAsia="Times New Roman" w:hAnsi="Times New Roman" w:cs="Narkisim"/>
          <w:w w:val="115"/>
          <w:sz w:val="20"/>
          <w:szCs w:val="24"/>
          <w:rtl/>
          <w:lang w:bidi="he-IL"/>
        </w:rPr>
        <w:t>דכיון דאיכא מים בכלי רוב הטעם מתפשט במים. וגם הירק אינו בולע מדופני הקדירה אלא ע"י רתיחת המים</w:t>
      </w:r>
      <w:r w:rsidRPr="00BC2E9D">
        <w:rPr>
          <w:rFonts w:ascii="Times New Roman" w:eastAsia="Times New Roman" w:hAnsi="Times New Roman" w:cs="Narkisim" w:hint="cs"/>
          <w:w w:val="115"/>
          <w:sz w:val="20"/>
          <w:szCs w:val="24"/>
          <w:rtl/>
          <w:lang w:bidi="he-IL"/>
        </w:rPr>
        <w:t xml:space="preserve">" (וצ"ע הביאור בסברא בתרא, שאם ר"ל שאין הבליעות נכנסות לכלי מן המאכל בלי רוטב, הא אין זה נכון, שרק מכלי לכלי או מאוכל לאוכל או כלי, אבל מכלי לאוכל נבלע גם בלי זה, וכן מבואר ברמ"א בסי' ק"ה סע' ז' </w:t>
      </w:r>
      <w:r w:rsidRPr="00BC2E9D">
        <w:rPr>
          <w:rFonts w:ascii="Times New Roman" w:eastAsia="Times New Roman" w:hAnsi="Times New Roman" w:cs="Narkisim"/>
          <w:w w:val="115"/>
          <w:sz w:val="20"/>
          <w:szCs w:val="24"/>
          <w:rtl/>
          <w:lang w:bidi="he-IL"/>
        </w:rPr>
        <w:t>–</w:t>
      </w:r>
      <w:r w:rsidRPr="00BC2E9D">
        <w:rPr>
          <w:rFonts w:ascii="Times New Roman" w:eastAsia="Times New Roman" w:hAnsi="Times New Roman" w:cs="Narkisim" w:hint="cs"/>
          <w:w w:val="115"/>
          <w:sz w:val="20"/>
          <w:szCs w:val="24"/>
          <w:rtl/>
          <w:lang w:bidi="he-IL"/>
        </w:rPr>
        <w:t xml:space="preserve"> ע"ש בש"ך ס"ק כ"ב). והסכים הרא"ש לדעתו.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ומ"מ שיטת התוס' להחמיר גם בנתבשלו במים. וכיון שהתוס' עצמם סוברים שבג' נ"ט כו"ע מודו, ע"כ הטעם להחמיר הבזה משום חשש נגיעה וכנ"ל מס' התרומה. וכן פירש המהרש"א שם במס' חולין בדעתם.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עוד כתבו התוס' והרא"ש ועוד ראשונים שאפשר להגעיל כלי חמץ קודם שעה חמישית בערב פסח אע"פ שאין ס' במים כנגד הכלי. והיינו משום שלשיטתם חמץ מיקרי היתירא בלע (כיון שקודם לפסח עדיין היתר הוא), ולכן יוצא הטעם מן בכלי למים ומן המים </w:t>
      </w:r>
      <w:r w:rsidRPr="00BC2E9D">
        <w:rPr>
          <w:rFonts w:ascii="Times New Roman" w:eastAsia="Times New Roman" w:hAnsi="Times New Roman" w:cs="Narkisim" w:hint="cs"/>
          <w:w w:val="115"/>
          <w:sz w:val="20"/>
          <w:szCs w:val="24"/>
          <w:rtl/>
          <w:lang w:bidi="he-IL"/>
        </w:rPr>
        <w:lastRenderedPageBreak/>
        <w:t>ששוב לכלי והכל היתר. והדגיש הרא"ש (ע"ז פ"ה סי' ל"ו ופסחים פ"ב סי' ז') שגם זה הוא אפילו למ"ד שבנצלו לא נאמר ההיתר של נ"ט בר נ"ט. והטעם משום שנכנס הטעם לתוך ב' כלים.</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ולענין דינא המחבר בשו"ע הקיל לגמרי בנתבשלו שמותר לאוכלן בכותח. והרמ"א החמיר לכתחילה, אבל אסר בדיעבד. ושונה דין לכתחילה זו ממה דקיי"ל בעלמא שאין עושין נ"ט בר נ"ט לכתחילה. שבעלמא אין איסור לכתחילה אלא להניח הדגים בקערה לכתחילה כדי לאוכלן בכותח, אבל אם כבר עלו הדגים בקערה מותר להניחם בכותח. אבל בזה, כיון שחוששין לשיטה הסוברת שאין כאן נ"ט בר נ"ט, אנחנו אוסרים לכתחילה הדגים אפילו כבר נתבשלו בקערה להניחם בכותח, ולא הקילו אלא אם הניחם כבר בכותח בדיעבד.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וכל זה בנתבשלו, אבל בנצלו דליכא נ"ט נוסף של המים כתב הש"ך ס"ק ד' בשם רש"ל להחמיר אפילו בדיעבד. ומ"מ </w:t>
      </w:r>
      <w:r w:rsidRPr="00BC2E9D">
        <w:rPr>
          <w:rFonts w:ascii="Times New Roman" w:eastAsia="Times New Roman" w:hAnsi="Times New Roman" w:cs="Narkisim"/>
          <w:w w:val="115"/>
          <w:sz w:val="20"/>
          <w:szCs w:val="24"/>
          <w:rtl/>
          <w:lang w:bidi="he-IL"/>
        </w:rPr>
        <w:t>בס' בדי השולחן (סס"ק כ"ה) העיר שאמנם יש שאחזו כדעת רש"ל (החוו"ד והבית לחם יהודה) מ"מ הרבה גדולי אחרונים דעתם להקל בדיעבד אפילו נצלו (פר"ח מנ"י וחכמ"א)</w:t>
      </w:r>
      <w:r w:rsidRPr="00BC2E9D">
        <w:rPr>
          <w:rFonts w:ascii="Times New Roman" w:eastAsia="Times New Roman" w:hAnsi="Times New Roman" w:cs="Narkisim" w:hint="cs"/>
          <w:w w:val="115"/>
          <w:sz w:val="20"/>
          <w:szCs w:val="24"/>
          <w:rtl/>
          <w:lang w:bidi="he-IL"/>
        </w:rPr>
        <w:t>,</w:t>
      </w:r>
      <w:r w:rsidRPr="00BC2E9D">
        <w:rPr>
          <w:rFonts w:ascii="Times New Roman" w:eastAsia="Times New Roman" w:hAnsi="Times New Roman" w:cs="Narkisim"/>
          <w:w w:val="115"/>
          <w:sz w:val="20"/>
          <w:szCs w:val="24"/>
          <w:rtl/>
          <w:lang w:bidi="he-IL"/>
        </w:rPr>
        <w:t xml:space="preserve"> ולכן הסיק שעיקר הדין להקל גם ב</w:t>
      </w:r>
      <w:r w:rsidRPr="00BC2E9D">
        <w:rPr>
          <w:rFonts w:ascii="Times New Roman" w:eastAsia="Times New Roman" w:hAnsi="Times New Roman" w:cs="Narkisim" w:hint="cs"/>
          <w:w w:val="115"/>
          <w:sz w:val="20"/>
          <w:szCs w:val="24"/>
          <w:rtl/>
          <w:lang w:bidi="he-IL"/>
        </w:rPr>
        <w:t>ניצלו</w:t>
      </w:r>
      <w:r w:rsidRPr="00BC2E9D">
        <w:rPr>
          <w:rFonts w:ascii="Times New Roman" w:eastAsia="Times New Roman" w:hAnsi="Times New Roman" w:cs="Narkisim"/>
          <w:w w:val="115"/>
          <w:sz w:val="20"/>
          <w:szCs w:val="24"/>
          <w:rtl/>
          <w:lang w:bidi="he-IL"/>
        </w:rPr>
        <w:t xml:space="preserve"> בדיעבד, אבל המחמיר תע"ב</w:t>
      </w:r>
      <w:r w:rsidRPr="00BC2E9D">
        <w:rPr>
          <w:rFonts w:ascii="Times New Roman" w:eastAsia="Times New Roman" w:hAnsi="Times New Roman" w:cs="Narkisim" w:hint="cs"/>
          <w:w w:val="115"/>
          <w:sz w:val="20"/>
          <w:szCs w:val="24"/>
          <w:rtl/>
          <w:lang w:bidi="he-IL"/>
        </w:rPr>
        <w:t>.</w:t>
      </w:r>
    </w:p>
    <w:p w:rsidR="00E66C2E" w:rsidRPr="00E66C2E" w:rsidRDefault="00BC2E9D" w:rsidP="00E66C2E">
      <w:pPr>
        <w:bidi/>
        <w:spacing w:before="120" w:after="120" w:line="360" w:lineRule="auto"/>
        <w:ind w:firstLine="720"/>
        <w:jc w:val="both"/>
        <w:rPr>
          <w:rFonts w:ascii="Times New Roman" w:eastAsia="Times New Roman" w:hAnsi="Times New Roman" w:cs="Narkisim"/>
          <w:w w:val="115"/>
          <w:sz w:val="20"/>
          <w:szCs w:val="24"/>
          <w:rtl/>
        </w:rPr>
      </w:pPr>
      <w:r w:rsidRPr="00BC2E9D">
        <w:rPr>
          <w:rFonts w:ascii="Times New Roman" w:eastAsia="Times New Roman" w:hAnsi="Times New Roman" w:cs="Narkisim" w:hint="cs"/>
          <w:w w:val="115"/>
          <w:sz w:val="20"/>
          <w:szCs w:val="24"/>
          <w:rtl/>
          <w:lang w:bidi="he-IL"/>
        </w:rPr>
        <w:t>והרמ"א הקיל אפילו לכתחילה בנתבשלו להניח בכלים של המין השני.</w:t>
      </w:r>
      <w:r w:rsidR="00E66C2E" w:rsidRPr="00E66C2E">
        <w:rPr>
          <w:rtl/>
          <w:lang w:bidi="he-IL"/>
        </w:rPr>
        <w:t xml:space="preserve"> </w:t>
      </w:r>
      <w:r w:rsidR="00E66C2E">
        <w:rPr>
          <w:rFonts w:ascii="Times New Roman" w:eastAsia="Times New Roman" w:hAnsi="Times New Roman" w:cs="Narkisim" w:hint="cs"/>
          <w:w w:val="115"/>
          <w:sz w:val="20"/>
          <w:szCs w:val="24"/>
          <w:rtl/>
          <w:lang w:bidi="he-IL"/>
        </w:rPr>
        <w:t xml:space="preserve">ובטעם הדבר ע' מש"כ </w:t>
      </w:r>
      <w:r w:rsidR="00E66C2E" w:rsidRPr="00E66C2E">
        <w:rPr>
          <w:rFonts w:ascii="Times New Roman" w:eastAsia="Times New Roman" w:hAnsi="Times New Roman" w:cs="Narkisim"/>
          <w:w w:val="115"/>
          <w:sz w:val="20"/>
          <w:szCs w:val="24"/>
          <w:rtl/>
          <w:lang w:bidi="he-IL"/>
        </w:rPr>
        <w:t>הט"ז בס"ק ה'</w:t>
      </w:r>
      <w:r w:rsidR="00E66C2E">
        <w:rPr>
          <w:rFonts w:ascii="Times New Roman" w:eastAsia="Times New Roman" w:hAnsi="Times New Roman" w:cs="Narkisim" w:hint="cs"/>
          <w:w w:val="115"/>
          <w:sz w:val="20"/>
          <w:szCs w:val="24"/>
          <w:rtl/>
          <w:lang w:bidi="he-IL"/>
        </w:rPr>
        <w:t xml:space="preserve">, אבל שם </w:t>
      </w:r>
      <w:r w:rsidR="00E66C2E" w:rsidRPr="00E66C2E">
        <w:rPr>
          <w:rFonts w:ascii="Times New Roman" w:eastAsia="Times New Roman" w:hAnsi="Times New Roman" w:cs="Narkisim"/>
          <w:w w:val="115"/>
          <w:sz w:val="20"/>
          <w:szCs w:val="24"/>
          <w:rtl/>
          <w:lang w:bidi="he-IL"/>
        </w:rPr>
        <w:t xml:space="preserve">במש"ז העיר שלכאורה </w:t>
      </w:r>
      <w:r w:rsidR="00E66C2E">
        <w:rPr>
          <w:rFonts w:ascii="Times New Roman" w:eastAsia="Times New Roman" w:hAnsi="Times New Roman" w:cs="Narkisim" w:hint="cs"/>
          <w:w w:val="115"/>
          <w:sz w:val="20"/>
          <w:szCs w:val="24"/>
          <w:rtl/>
          <w:lang w:bidi="he-IL"/>
        </w:rPr>
        <w:t>הטעם</w:t>
      </w:r>
      <w:r w:rsidR="00E66C2E" w:rsidRPr="00E66C2E">
        <w:rPr>
          <w:rFonts w:ascii="Times New Roman" w:eastAsia="Times New Roman" w:hAnsi="Times New Roman" w:cs="Narkisim"/>
          <w:w w:val="115"/>
          <w:sz w:val="20"/>
          <w:szCs w:val="24"/>
          <w:rtl/>
          <w:lang w:bidi="he-IL"/>
        </w:rPr>
        <w:t xml:space="preserve"> מפורש ברא"ש, ש</w:t>
      </w:r>
      <w:r w:rsidR="00E66C2E">
        <w:rPr>
          <w:rFonts w:ascii="Times New Roman" w:eastAsia="Times New Roman" w:hAnsi="Times New Roman" w:cs="Narkisim" w:hint="cs"/>
          <w:w w:val="115"/>
          <w:sz w:val="20"/>
          <w:szCs w:val="24"/>
          <w:rtl/>
          <w:lang w:bidi="he-IL"/>
        </w:rPr>
        <w:t>כתב</w:t>
      </w:r>
      <w:r w:rsidR="00E66C2E" w:rsidRPr="00E66C2E">
        <w:rPr>
          <w:rFonts w:ascii="Times New Roman" w:eastAsia="Times New Roman" w:hAnsi="Times New Roman" w:cs="Narkisim"/>
          <w:w w:val="115"/>
          <w:sz w:val="20"/>
          <w:szCs w:val="24"/>
          <w:rtl/>
          <w:lang w:bidi="he-IL"/>
        </w:rPr>
        <w:t xml:space="preserve"> </w:t>
      </w:r>
      <w:r w:rsidR="00E66C2E">
        <w:rPr>
          <w:rFonts w:ascii="Times New Roman" w:eastAsia="Times New Roman" w:hAnsi="Times New Roman" w:cs="Narkisim" w:hint="cs"/>
          <w:w w:val="115"/>
          <w:sz w:val="20"/>
          <w:szCs w:val="24"/>
          <w:rtl/>
          <w:lang w:bidi="he-IL"/>
        </w:rPr>
        <w:t>"</w:t>
      </w:r>
      <w:r w:rsidR="00E66C2E" w:rsidRPr="00E66C2E">
        <w:rPr>
          <w:rFonts w:ascii="Times New Roman" w:eastAsia="Times New Roman" w:hAnsi="Times New Roman" w:cs="Narkisim"/>
          <w:w w:val="115"/>
          <w:sz w:val="20"/>
          <w:szCs w:val="24"/>
          <w:rtl/>
          <w:lang w:bidi="he-IL"/>
        </w:rPr>
        <w:t xml:space="preserve">ולי נראה דאף לריב"ן הכל מותר דלא אסר נתבשלו אלא לאכלן בכותח שטעם שני של הבשר נ"ט לתוך ממשות של חלב אבל הכא שטעם שני של הבשר שבתוך המים אין נ"ט לתוך ממשות החלב אלא מתערב עם טעם שני של החלב שבתוך המים נראה שהמים מותרים והכל מותר". ודבריו סתומים, דכיון שמחמיר בנתבשלו הרי המים שבישלו בתוך הכלי אין להם ההיתר של נ"ט בר נ"ט ואוסרים חלב, וא"כ למה לא יאסרו גם טעם חלב. וראיתי במגי"ס (כאן אות א') שהוכיח מכח קושיא זו דע"כ הדין להחמיר בנתבשלו אינו אלא דין </w:t>
      </w:r>
      <w:r w:rsidR="00E66C2E">
        <w:rPr>
          <w:rFonts w:ascii="Times New Roman" w:eastAsia="Times New Roman" w:hAnsi="Times New Roman" w:cs="Narkisim" w:hint="cs"/>
          <w:w w:val="115"/>
          <w:sz w:val="20"/>
          <w:szCs w:val="24"/>
          <w:rtl/>
          <w:lang w:bidi="he-IL"/>
        </w:rPr>
        <w:t>מ</w:t>
      </w:r>
      <w:r w:rsidR="00E66C2E" w:rsidRPr="00E66C2E">
        <w:rPr>
          <w:rFonts w:ascii="Times New Roman" w:eastAsia="Times New Roman" w:hAnsi="Times New Roman" w:cs="Narkisim"/>
          <w:w w:val="115"/>
          <w:sz w:val="20"/>
          <w:szCs w:val="24"/>
          <w:rtl/>
          <w:lang w:bidi="he-IL"/>
        </w:rPr>
        <w:t>דרבנן ולא רצו להחמיר אלא בחלב ממש</w:t>
      </w:r>
      <w:r w:rsidR="00E66C2E" w:rsidRPr="00E66C2E">
        <w:rPr>
          <w:rFonts w:ascii="Times New Roman" w:eastAsia="Times New Roman" w:hAnsi="Times New Roman" w:cs="Narkisim"/>
          <w:w w:val="115"/>
          <w:sz w:val="20"/>
          <w:szCs w:val="24"/>
          <w:lang w:bidi="he-IL"/>
        </w:rPr>
        <w:t xml:space="preserve">. </w:t>
      </w:r>
    </w:p>
    <w:p w:rsidR="00E66C2E" w:rsidRPr="00E66C2E" w:rsidRDefault="00E66C2E" w:rsidP="00E66C2E">
      <w:pPr>
        <w:bidi/>
        <w:spacing w:before="120" w:after="120" w:line="360" w:lineRule="auto"/>
        <w:ind w:firstLine="720"/>
        <w:jc w:val="both"/>
        <w:rPr>
          <w:rFonts w:ascii="Times New Roman" w:eastAsia="Times New Roman" w:hAnsi="Times New Roman" w:cs="Narkisim"/>
          <w:w w:val="115"/>
          <w:sz w:val="20"/>
          <w:szCs w:val="24"/>
          <w:rtl/>
        </w:rPr>
      </w:pPr>
      <w:r w:rsidRPr="00E66C2E">
        <w:rPr>
          <w:rFonts w:ascii="Times New Roman" w:eastAsia="Times New Roman" w:hAnsi="Times New Roman" w:cs="Narkisim"/>
          <w:w w:val="115"/>
          <w:sz w:val="20"/>
          <w:szCs w:val="24"/>
          <w:rtl/>
          <w:lang w:bidi="he-IL"/>
        </w:rPr>
        <w:t>והנה הרמ"א בסע' ג' החמיר דלא כרא"ש ואסר הדחת קערות אפילו בדיעבד. וא"כ לכאורה עדיין צ"ע למה הקיל כאן הרמ"א, ואיך אפשר לומר שהוא מטעם הרא"ש. ויעוין בש"ך ס"ק ה' שביאר בשם הר"ן שהטעם שמחמירים בהדחת קערות משום סברא ד'מאן לימא לן שלא יתערבו פליטת הב</w:t>
      </w:r>
      <w:r w:rsidR="002102D8">
        <w:rPr>
          <w:rFonts w:ascii="Times New Roman" w:eastAsia="Times New Roman" w:hAnsi="Times New Roman" w:cs="Narkisim"/>
          <w:w w:val="115"/>
          <w:sz w:val="20"/>
          <w:szCs w:val="24"/>
          <w:rtl/>
          <w:lang w:bidi="he-IL"/>
        </w:rPr>
        <w:t>שר ופליטת החלב בעצמם שלא באמצעי</w:t>
      </w:r>
      <w:r w:rsidRPr="00E66C2E">
        <w:rPr>
          <w:rFonts w:ascii="Times New Roman" w:eastAsia="Times New Roman" w:hAnsi="Times New Roman" w:cs="Narkisim"/>
          <w:w w:val="115"/>
          <w:sz w:val="20"/>
          <w:szCs w:val="24"/>
          <w:rtl/>
          <w:lang w:bidi="he-IL"/>
        </w:rPr>
        <w:t xml:space="preserve"> המים'. ועוד סברא בשם הר"ן משום דהיתירא דנ"ט בר נ"ט היינו כשהטעם שני עמד בהיתר בלא תערובת חלב </w:t>
      </w:r>
      <w:r w:rsidRPr="00E66C2E">
        <w:rPr>
          <w:rFonts w:ascii="Times New Roman" w:eastAsia="Times New Roman" w:hAnsi="Times New Roman" w:cs="Narkisim"/>
          <w:w w:val="115"/>
          <w:sz w:val="20"/>
          <w:szCs w:val="24"/>
          <w:rtl/>
          <w:lang w:bidi="he-IL"/>
        </w:rPr>
        <w:lastRenderedPageBreak/>
        <w:t xml:space="preserve">משא"כ בהדחת קערות שהטעם שני לא עמד בפני עצמו כלל אלא תכף שבא לעולם נתערב בטעמו של חלב. והנהו טעמי לא שייכים אלא כשהתבשלו שניהם ביחד, אבל נתבשלו ואח"כ הכניסם לכלי אחר יש להתיר. ומ"מ עדיין י"ל דקיימא לן כסברת הרא"ש, ור"ל שהרא"ש ודאי לית לי' כסברות של הר"ן לאסור, אבל עדיין הי' קשה לרא"ש דתיפו"ל משום דהוי כנצלו. ובזה ביאר לן הרא"ש שאין כאן טעם לאסור משום נצלו כיון שאינו </w:t>
      </w:r>
      <w:r w:rsidR="002102D8">
        <w:rPr>
          <w:rFonts w:ascii="Times New Roman" w:eastAsia="Times New Roman" w:hAnsi="Times New Roman" w:cs="Narkisim" w:hint="cs"/>
          <w:w w:val="115"/>
          <w:sz w:val="20"/>
          <w:szCs w:val="24"/>
          <w:rtl/>
          <w:lang w:bidi="he-IL"/>
        </w:rPr>
        <w:t xml:space="preserve">אלא </w:t>
      </w:r>
      <w:r w:rsidRPr="00E66C2E">
        <w:rPr>
          <w:rFonts w:ascii="Times New Roman" w:eastAsia="Times New Roman" w:hAnsi="Times New Roman" w:cs="Narkisim"/>
          <w:w w:val="115"/>
          <w:sz w:val="20"/>
          <w:szCs w:val="24"/>
          <w:rtl/>
          <w:lang w:bidi="he-IL"/>
        </w:rPr>
        <w:t>טעם חלב המעורב ולא חלב ממש. וא"כ י"ל דנהי שבהדחת קערות ממש קיי"ל לאסור משום הטעמים שכתב הר"ן, אבל עדיין קיי"ל להקל כסברת הרא"ש שאין לאסור כה"ג משום החומרא דנצלו. ולכן יש בזה נפק"מ בכה"ג שודאי לא נפגשו הטעמים מיד, דאע"ג שיש בה משום ניצלו אין אנו אוסרים</w:t>
      </w:r>
      <w:r w:rsidRPr="00E66C2E">
        <w:rPr>
          <w:rFonts w:ascii="Times New Roman" w:eastAsia="Times New Roman" w:hAnsi="Times New Roman" w:cs="Narkisim"/>
          <w:w w:val="115"/>
          <w:sz w:val="20"/>
          <w:szCs w:val="24"/>
          <w:lang w:bidi="he-IL"/>
        </w:rPr>
        <w:t>.</w:t>
      </w:r>
    </w:p>
    <w:p w:rsidR="00E66C2E" w:rsidRPr="00E66C2E" w:rsidRDefault="00E66C2E" w:rsidP="00E66C2E">
      <w:pPr>
        <w:bidi/>
        <w:spacing w:before="120" w:after="120" w:line="360" w:lineRule="auto"/>
        <w:ind w:firstLine="720"/>
        <w:jc w:val="both"/>
        <w:rPr>
          <w:rFonts w:ascii="Times New Roman" w:eastAsia="Times New Roman" w:hAnsi="Times New Roman" w:cs="Narkisim"/>
          <w:w w:val="115"/>
          <w:sz w:val="20"/>
          <w:szCs w:val="24"/>
          <w:rtl/>
        </w:rPr>
      </w:pPr>
      <w:r w:rsidRPr="00E66C2E">
        <w:rPr>
          <w:rFonts w:ascii="Times New Roman" w:eastAsia="Times New Roman" w:hAnsi="Times New Roman" w:cs="Narkisim"/>
          <w:w w:val="115"/>
          <w:sz w:val="20"/>
          <w:szCs w:val="24"/>
          <w:rtl/>
          <w:lang w:bidi="he-IL"/>
        </w:rPr>
        <w:t>ונחלקו האחרונים אם יש להתיר לתוך הכלי של המין השני אפילו אם הוא דרך עירוי. הרמ"א בסע' ג' אסר בזה, ומשו"ה כתב הש"ך שם דע"כ כוונת הרמ"א כאן להתיר שלא בדרך עירוי. אמנם הקשה הש"ך שלכאורה לא שייך הנהו טעמי של הר"ן גם דרך עירוי, וכוונתו דודאי נח במים קודם שנכנס לתבשיל ולכן אין לאסור משום הדחת קערות. ומשו"ה נקט לדינא דלא כרמ"א והקיל גם דרך עירוי. אמנם הט"ז בס"ק י"ג סבר שדרך עירוי הוי כנתבשלו ביחד. אלא שדברי הט"ז לכאורה עדיין אינם מובנים, דנהי נמי שעירוי מבשל מ"מ יש טעם שני בהיתר קודם לעירוי, וא"כ למה לא יהא מותר. ונראה שהפלתי (ס"ק י') הבין בדעת הט"ז שאין כוונתו לומר שיש לאסור כה"ג מעיקר הדין, רק שהוא חומרא שלא מעיקר הדין משום דמיחזי כהדחת קערות (וכן ראיתי שביאר הענין בבדה"ש ס"ק ע"א, ודקדק כן מחכמ"א כלל מ"ח ד' י"ג). וע' בשפ"ד ס"ק ה' להקל במקום הדחק, וכ"כ בחכמ"א (שם)</w:t>
      </w:r>
      <w:r w:rsidRPr="00E66C2E">
        <w:rPr>
          <w:rFonts w:ascii="Times New Roman" w:eastAsia="Times New Roman" w:hAnsi="Times New Roman" w:cs="Narkisim"/>
          <w:w w:val="115"/>
          <w:sz w:val="20"/>
          <w:szCs w:val="24"/>
        </w:rPr>
        <w:t xml:space="preserve">.       </w:t>
      </w:r>
    </w:p>
    <w:p w:rsidR="00BC2E9D" w:rsidRPr="00BC2E9D" w:rsidRDefault="00BC2E9D" w:rsidP="00BC2E9D">
      <w:pPr>
        <w:keepNext/>
        <w:tabs>
          <w:tab w:val="left" w:pos="0"/>
        </w:tabs>
        <w:bidi/>
        <w:spacing w:before="240" w:after="240" w:line="240" w:lineRule="auto"/>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hint="cs"/>
          <w:bCs/>
          <w:snapToGrid w:val="0"/>
          <w:sz w:val="24"/>
          <w:szCs w:val="36"/>
          <w:rtl/>
          <w:lang w:bidi="he-IL"/>
        </w:rPr>
        <w:t>נ"ט בר נ"ט בכח אחד (בשעת בישול)</w:t>
      </w:r>
    </w:p>
    <w:p w:rsidR="00BC2E9D" w:rsidRPr="00BC2E9D" w:rsidRDefault="00BC2E9D" w:rsidP="00BC2E9D">
      <w:pPr>
        <w:bidi/>
        <w:spacing w:before="120" w:after="120" w:line="360" w:lineRule="auto"/>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ה</w:t>
      </w:r>
      <w:r w:rsidRPr="00BC2E9D">
        <w:rPr>
          <w:rFonts w:ascii="Times New Roman" w:eastAsia="Times New Roman" w:hAnsi="Times New Roman" w:cs="Narkisim"/>
          <w:w w:val="115"/>
          <w:sz w:val="20"/>
          <w:szCs w:val="24"/>
          <w:rtl/>
          <w:lang w:bidi="he-IL"/>
        </w:rPr>
        <w:t xml:space="preserve">פת"ש </w:t>
      </w:r>
      <w:r w:rsidRPr="00BC2E9D">
        <w:rPr>
          <w:rFonts w:ascii="Times New Roman" w:eastAsia="Times New Roman" w:hAnsi="Times New Roman" w:cs="Narkisim" w:hint="cs"/>
          <w:w w:val="115"/>
          <w:sz w:val="20"/>
          <w:szCs w:val="24"/>
          <w:rtl/>
          <w:lang w:bidi="he-IL"/>
        </w:rPr>
        <w:t xml:space="preserve">ברסי' צ"ה </w:t>
      </w:r>
      <w:r w:rsidRPr="00BC2E9D">
        <w:rPr>
          <w:rFonts w:ascii="Times New Roman" w:eastAsia="Times New Roman" w:hAnsi="Times New Roman" w:cs="Narkisim"/>
          <w:w w:val="115"/>
          <w:sz w:val="20"/>
          <w:szCs w:val="24"/>
          <w:rtl/>
          <w:lang w:bidi="he-IL"/>
        </w:rPr>
        <w:t>הביא מחלוקת החוו"ד (ס"ק א') והבית אפרים (סי' ל"ז) אי אמרינן לי' להיתירא דנ"ט בר נ"ט אפילו כשכל ההעברות של טעם הי</w:t>
      </w:r>
      <w:r w:rsidRPr="00BC2E9D">
        <w:rPr>
          <w:rFonts w:ascii="Times New Roman" w:eastAsia="Times New Roman" w:hAnsi="Times New Roman" w:cs="Narkisim" w:hint="cs"/>
          <w:w w:val="115"/>
          <w:sz w:val="20"/>
          <w:szCs w:val="24"/>
          <w:rtl/>
          <w:lang w:bidi="he-IL"/>
        </w:rPr>
        <w:t>ו</w:t>
      </w:r>
      <w:r w:rsidRPr="00BC2E9D">
        <w:rPr>
          <w:rFonts w:ascii="Times New Roman" w:eastAsia="Times New Roman" w:hAnsi="Times New Roman" w:cs="Narkisim"/>
          <w:w w:val="115"/>
          <w:sz w:val="20"/>
          <w:szCs w:val="24"/>
          <w:rtl/>
          <w:lang w:bidi="he-IL"/>
        </w:rPr>
        <w:t xml:space="preserve"> בבת א', שהחוו"ד החמיר והבית אפרים הקיל. החוו"ד הוכיח דע"כ בבת א' שאני מדברי הט"ז סי' צ"ב ס"ק כ"ד. </w:t>
      </w:r>
      <w:r w:rsidRPr="00BC2E9D">
        <w:rPr>
          <w:rFonts w:ascii="Times New Roman" w:eastAsia="Times New Roman" w:hAnsi="Times New Roman" w:cs="Narkisim" w:hint="cs"/>
          <w:w w:val="115"/>
          <w:sz w:val="20"/>
          <w:szCs w:val="24"/>
          <w:rtl/>
          <w:lang w:bidi="he-IL"/>
        </w:rPr>
        <w:t>ד</w:t>
      </w:r>
      <w:r w:rsidRPr="00BC2E9D">
        <w:rPr>
          <w:rFonts w:ascii="Times New Roman" w:eastAsia="Times New Roman" w:hAnsi="Times New Roman" w:cs="Narkisim"/>
          <w:w w:val="115"/>
          <w:sz w:val="20"/>
          <w:szCs w:val="24"/>
          <w:rtl/>
          <w:lang w:bidi="he-IL"/>
        </w:rPr>
        <w:t xml:space="preserve">שם כתב הט"ז בשם או"ה שאם נפל טיפת חלב על הקדירה </w:t>
      </w:r>
      <w:r w:rsidRPr="00BC2E9D">
        <w:rPr>
          <w:rFonts w:ascii="Times New Roman" w:eastAsia="Times New Roman" w:hAnsi="Times New Roman" w:cs="Narkisim" w:hint="cs"/>
          <w:w w:val="115"/>
          <w:sz w:val="20"/>
          <w:szCs w:val="24"/>
          <w:rtl/>
          <w:lang w:bidi="he-IL"/>
        </w:rPr>
        <w:t>שיש בה</w:t>
      </w:r>
      <w:r w:rsidRPr="00BC2E9D">
        <w:rPr>
          <w:rFonts w:ascii="Times New Roman" w:eastAsia="Times New Roman" w:hAnsi="Times New Roman" w:cs="Narkisim"/>
          <w:w w:val="115"/>
          <w:sz w:val="20"/>
          <w:szCs w:val="24"/>
          <w:rtl/>
          <w:lang w:bidi="he-IL"/>
        </w:rPr>
        <w:t xml:space="preserve"> מים אצל האש ובתוך מעת לעת בשלו בה בשר אפילו לא היה ס' במים נגד הטיפה </w:t>
      </w:r>
      <w:r w:rsidRPr="00BC2E9D">
        <w:rPr>
          <w:rFonts w:ascii="Times New Roman" w:eastAsia="Times New Roman" w:hAnsi="Times New Roman" w:cs="Narkisim" w:hint="cs"/>
          <w:w w:val="115"/>
          <w:sz w:val="20"/>
          <w:szCs w:val="24"/>
          <w:rtl/>
          <w:lang w:bidi="he-IL"/>
        </w:rPr>
        <w:t xml:space="preserve">הבשר </w:t>
      </w:r>
      <w:r w:rsidRPr="00BC2E9D">
        <w:rPr>
          <w:rFonts w:ascii="Times New Roman" w:eastAsia="Times New Roman" w:hAnsi="Times New Roman" w:cs="Narkisim"/>
          <w:w w:val="115"/>
          <w:sz w:val="20"/>
          <w:szCs w:val="24"/>
          <w:rtl/>
          <w:lang w:bidi="he-IL"/>
        </w:rPr>
        <w:t xml:space="preserve">מותר. והטעם משום שאפילו אם עוברת לפנים תחלה מ"מ אין בקדרה מן החלב אלא לפי שיעור </w:t>
      </w:r>
      <w:r w:rsidRPr="00BC2E9D">
        <w:rPr>
          <w:rFonts w:ascii="Times New Roman" w:eastAsia="Times New Roman" w:hAnsi="Times New Roman" w:cs="Narkisim" w:hint="cs"/>
          <w:w w:val="115"/>
          <w:sz w:val="20"/>
          <w:szCs w:val="24"/>
          <w:rtl/>
          <w:lang w:bidi="he-IL"/>
        </w:rPr>
        <w:t>ביחס</w:t>
      </w:r>
      <w:r w:rsidRPr="00BC2E9D">
        <w:rPr>
          <w:rFonts w:ascii="Times New Roman" w:eastAsia="Times New Roman" w:hAnsi="Times New Roman" w:cs="Narkisim"/>
          <w:w w:val="115"/>
          <w:sz w:val="20"/>
          <w:szCs w:val="24"/>
          <w:rtl/>
          <w:lang w:bidi="he-IL"/>
        </w:rPr>
        <w:t xml:space="preserve"> </w:t>
      </w:r>
      <w:r w:rsidRPr="00BC2E9D">
        <w:rPr>
          <w:rFonts w:ascii="Times New Roman" w:eastAsia="Times New Roman" w:hAnsi="Times New Roman" w:cs="Narkisim" w:hint="cs"/>
          <w:w w:val="115"/>
          <w:sz w:val="20"/>
          <w:szCs w:val="24"/>
          <w:rtl/>
          <w:lang w:bidi="he-IL"/>
        </w:rPr>
        <w:t>ל</w:t>
      </w:r>
      <w:r w:rsidRPr="00BC2E9D">
        <w:rPr>
          <w:rFonts w:ascii="Times New Roman" w:eastAsia="Times New Roman" w:hAnsi="Times New Roman" w:cs="Narkisim"/>
          <w:w w:val="115"/>
          <w:sz w:val="20"/>
          <w:szCs w:val="24"/>
          <w:rtl/>
          <w:lang w:bidi="he-IL"/>
        </w:rPr>
        <w:t>מים</w:t>
      </w:r>
      <w:r w:rsidRPr="00BC2E9D">
        <w:rPr>
          <w:rFonts w:ascii="Times New Roman" w:eastAsia="Times New Roman" w:hAnsi="Times New Roman" w:cs="Narkisim" w:hint="cs"/>
          <w:w w:val="115"/>
          <w:sz w:val="20"/>
          <w:szCs w:val="24"/>
          <w:rtl/>
          <w:lang w:bidi="he-IL"/>
        </w:rPr>
        <w:t>,</w:t>
      </w:r>
      <w:r w:rsidRPr="00BC2E9D">
        <w:rPr>
          <w:rFonts w:ascii="Times New Roman" w:eastAsia="Times New Roman" w:hAnsi="Times New Roman" w:cs="Narkisim"/>
          <w:w w:val="115"/>
          <w:sz w:val="20"/>
          <w:szCs w:val="24"/>
          <w:rtl/>
          <w:lang w:bidi="he-IL"/>
        </w:rPr>
        <w:t xml:space="preserve"> ונגד הדבר המועט ההוא מסת</w:t>
      </w:r>
      <w:r w:rsidRPr="00BC2E9D">
        <w:rPr>
          <w:rFonts w:ascii="Times New Roman" w:eastAsia="Times New Roman" w:hAnsi="Times New Roman" w:cs="Narkisim" w:hint="cs"/>
          <w:w w:val="115"/>
          <w:sz w:val="20"/>
          <w:szCs w:val="24"/>
          <w:rtl/>
          <w:lang w:bidi="he-IL"/>
        </w:rPr>
        <w:t>בר</w:t>
      </w:r>
      <w:r w:rsidRPr="00BC2E9D">
        <w:rPr>
          <w:rFonts w:ascii="Times New Roman" w:eastAsia="Times New Roman" w:hAnsi="Times New Roman" w:cs="Narkisim"/>
          <w:w w:val="115"/>
          <w:sz w:val="20"/>
          <w:szCs w:val="24"/>
          <w:rtl/>
          <w:lang w:bidi="he-IL"/>
        </w:rPr>
        <w:t xml:space="preserve">א </w:t>
      </w:r>
      <w:r w:rsidRPr="00BC2E9D">
        <w:rPr>
          <w:rFonts w:ascii="Times New Roman" w:eastAsia="Times New Roman" w:hAnsi="Times New Roman" w:cs="Narkisim" w:hint="cs"/>
          <w:w w:val="115"/>
          <w:sz w:val="20"/>
          <w:szCs w:val="24"/>
          <w:rtl/>
          <w:lang w:bidi="he-IL"/>
        </w:rPr>
        <w:t>ש</w:t>
      </w:r>
      <w:r w:rsidRPr="00BC2E9D">
        <w:rPr>
          <w:rFonts w:ascii="Times New Roman" w:eastAsia="Times New Roman" w:hAnsi="Times New Roman" w:cs="Narkisim"/>
          <w:w w:val="115"/>
          <w:sz w:val="20"/>
          <w:szCs w:val="24"/>
          <w:rtl/>
          <w:lang w:bidi="he-IL"/>
        </w:rPr>
        <w:t xml:space="preserve">יש ס' בבשר. והקשה החוו"ד שלכאורה צ"ע, שמשמע מן הט"ז שאם באמת </w:t>
      </w:r>
      <w:r w:rsidRPr="00BC2E9D">
        <w:rPr>
          <w:rFonts w:ascii="Times New Roman" w:eastAsia="Times New Roman" w:hAnsi="Times New Roman" w:cs="Narkisim"/>
          <w:w w:val="115"/>
          <w:sz w:val="20"/>
          <w:szCs w:val="24"/>
          <w:rtl/>
          <w:lang w:bidi="he-IL"/>
        </w:rPr>
        <w:lastRenderedPageBreak/>
        <w:t>ליכא ס' כנגד הטעם חלב שחזר ונכנס הרי הוא אסור. וצ"ע אמאי הא נעשה נ"ט בר נ"ט, מן הטיפה לקדרה, ומשם למים, ומשם חזרה לקדרה. וע"כ דהתם שאני כיון שהכל בכח א'.</w:t>
      </w:r>
    </w:p>
    <w:p w:rsidR="00BC2E9D" w:rsidRPr="00BC2E9D" w:rsidRDefault="00BC2E9D" w:rsidP="00BC2E9D">
      <w:pPr>
        <w:bidi/>
        <w:spacing w:before="120" w:after="120" w:line="360" w:lineRule="auto"/>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ובבית אפרים שם הוכיח לאידך גיסא מהסה"ת ושע"ד שדנו בעוגה לצד פשטידא משום נ"ט בר נ"ט באוכלין, ומשמע דאילו היינו מקילים בנ"ט בר נ"ט באוכלין הי' מותר, אע"ג שהכל בכח א'. ודחה הראי' מן האו"ה, ומשום שאו"ה חד טעמא נקט, ומשום שהוא פשוט יותר כיון שיש המחמירים בנתבשלו אפילו אם יש ג' נ"ט.</w:t>
      </w:r>
    </w:p>
    <w:p w:rsidR="00BC2E9D" w:rsidRPr="00BC2E9D" w:rsidRDefault="00BC2E9D" w:rsidP="00BC2E9D">
      <w:pPr>
        <w:bidi/>
        <w:spacing w:before="120" w:after="120" w:line="360" w:lineRule="auto"/>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והבית אפרים הוכיח עוד כשיטתו מדברי הראשונים בניד</w:t>
      </w:r>
      <w:r w:rsidRPr="00BC2E9D">
        <w:rPr>
          <w:rFonts w:ascii="Times New Roman" w:eastAsia="Times New Roman" w:hAnsi="Times New Roman" w:cs="Narkisim" w:hint="cs"/>
          <w:w w:val="115"/>
          <w:sz w:val="20"/>
          <w:szCs w:val="24"/>
          <w:rtl/>
          <w:lang w:bidi="he-IL"/>
        </w:rPr>
        <w:t>ו</w:t>
      </w:r>
      <w:r w:rsidRPr="00BC2E9D">
        <w:rPr>
          <w:rFonts w:ascii="Times New Roman" w:eastAsia="Times New Roman" w:hAnsi="Times New Roman" w:cs="Narkisim"/>
          <w:w w:val="115"/>
          <w:sz w:val="20"/>
          <w:szCs w:val="24"/>
          <w:rtl/>
          <w:lang w:bidi="he-IL"/>
        </w:rPr>
        <w:t>ן של סה"ת, שבבישלו היתר בתוך כלי ותוך מעל"ע בישלו מים יש להתיר משום דהוי נ"ט בר נ"ט, מן הכלי למים ושוב מן המים לכלי. וצ"ע דהרי מן הכלי למים ומן המים לכלי הכל הוי בבת אחת. וכן בהכשר כלים לפסח שכתבו התוס' וכמה ראשונים שמותר להגעיל אפילו בני יומן לפני פסח כיון דהוי נ"ט בר נ"ט דהיתירא (וכשיטתם דחמץ הוי היתירא בלע). וצ"ע דהא מן הכלי למים ושוב לכלי הכל הוי בבת א'. וע"כ כשיטת הבית אפרים דלא איכפת לן אם זה הי' בב' כוחות או בכח א'.</w:t>
      </w:r>
    </w:p>
    <w:p w:rsidR="00BC2E9D" w:rsidRPr="00BC2E9D" w:rsidRDefault="00BC2E9D" w:rsidP="00BC2E9D">
      <w:pPr>
        <w:bidi/>
        <w:spacing w:before="120" w:after="120" w:line="360" w:lineRule="auto"/>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ולכאורה לשיטת החוו"ד יש לומר דעד כאן לא מחמרינן אלא כשכל הי' בכח א', אבל אם הי' בב' כוחות, אע"ג שיותר מנ"ט אחת היתה בכח א', ונ"ט א</w:t>
      </w:r>
      <w:r w:rsidRPr="00BC2E9D">
        <w:rPr>
          <w:rFonts w:ascii="Times New Roman" w:eastAsia="Times New Roman" w:hAnsi="Times New Roman" w:cs="Narkisim" w:hint="cs"/>
          <w:w w:val="115"/>
          <w:sz w:val="20"/>
          <w:szCs w:val="24"/>
          <w:rtl/>
          <w:lang w:bidi="he-IL"/>
        </w:rPr>
        <w:t>ח</w:t>
      </w:r>
      <w:r w:rsidRPr="00BC2E9D">
        <w:rPr>
          <w:rFonts w:ascii="Times New Roman" w:eastAsia="Times New Roman" w:hAnsi="Times New Roman" w:cs="Narkisim"/>
          <w:w w:val="115"/>
          <w:sz w:val="20"/>
          <w:szCs w:val="24"/>
          <w:rtl/>
          <w:lang w:bidi="he-IL"/>
        </w:rPr>
        <w:t>ר בכח שני, גם החוו"ד מודה להיתר. ונראה שהבית אפרים לא סבר כן משום שהבין שטעמו של החוו"ד שכל הענין של נ"ט בר נ"ט אינו משום שעבר למספר מקומות חדשות, רק משום שהיו מספר מסוים של העברות, ולכן גם ב' טעמים שנעשו בבת אחת חשיבי רק כנ"ט א'. וראיתי במגי"ס אות ז' שכתב לדחות ראיות הנ"ל באופן אחר קצת, והוא שגם החוו"ד אינו מחמיר אלא בנ"ט ראשון, אבל אם הראשון הי' בכח אחר בנפרד, שאר הנ"ט חזו לאי</w:t>
      </w:r>
      <w:r w:rsidRPr="00BC2E9D">
        <w:rPr>
          <w:rFonts w:ascii="Times New Roman" w:eastAsia="Times New Roman" w:hAnsi="Times New Roman" w:cs="Narkisim" w:hint="cs"/>
          <w:w w:val="115"/>
          <w:sz w:val="20"/>
          <w:szCs w:val="24"/>
          <w:rtl/>
          <w:lang w:bidi="he-IL"/>
        </w:rPr>
        <w:t>צ</w:t>
      </w:r>
      <w:r w:rsidRPr="00BC2E9D">
        <w:rPr>
          <w:rFonts w:ascii="Times New Roman" w:eastAsia="Times New Roman" w:hAnsi="Times New Roman" w:cs="Narkisim"/>
          <w:w w:val="115"/>
          <w:sz w:val="20"/>
          <w:szCs w:val="24"/>
          <w:rtl/>
          <w:lang w:bidi="he-IL"/>
        </w:rPr>
        <w:t>טרופי (וזהו סברא הדומ</w:t>
      </w:r>
      <w:r w:rsidRPr="00BC2E9D">
        <w:rPr>
          <w:rFonts w:ascii="Times New Roman" w:eastAsia="Times New Roman" w:hAnsi="Times New Roman" w:cs="Narkisim" w:hint="cs"/>
          <w:w w:val="115"/>
          <w:sz w:val="20"/>
          <w:szCs w:val="24"/>
          <w:rtl/>
          <w:lang w:bidi="he-IL"/>
        </w:rPr>
        <w:t>ה</w:t>
      </w:r>
      <w:r w:rsidRPr="00BC2E9D">
        <w:rPr>
          <w:rFonts w:ascii="Times New Roman" w:eastAsia="Times New Roman" w:hAnsi="Times New Roman" w:cs="Narkisim"/>
          <w:w w:val="115"/>
          <w:sz w:val="20"/>
          <w:szCs w:val="24"/>
          <w:rtl/>
          <w:lang w:bidi="he-IL"/>
        </w:rPr>
        <w:t xml:space="preserve"> למש"כ לעיל בדעת המש"ז בנ"ט בר נ"ט כאוכלין, שאם כבר חל עיקר ההחלשה יש כח לדברים אחרים להשפיע גם).</w:t>
      </w:r>
    </w:p>
    <w:p w:rsidR="00BC2E9D" w:rsidRPr="00BC2E9D" w:rsidRDefault="00BC2E9D" w:rsidP="00BC2E9D">
      <w:pPr>
        <w:keepNext/>
        <w:tabs>
          <w:tab w:val="left" w:pos="0"/>
        </w:tabs>
        <w:bidi/>
        <w:spacing w:before="240" w:after="240" w:line="240" w:lineRule="auto"/>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hint="cs"/>
          <w:bCs/>
          <w:snapToGrid w:val="0"/>
          <w:sz w:val="24"/>
          <w:szCs w:val="36"/>
          <w:rtl/>
          <w:lang w:bidi="he-IL"/>
        </w:rPr>
        <w:t>נ"ט בר נ"ט בדבר חריף</w:t>
      </w:r>
    </w:p>
    <w:p w:rsidR="00BC2E9D" w:rsidRPr="00BC2E9D" w:rsidRDefault="00BC2E9D" w:rsidP="00BC2E9D">
      <w:pPr>
        <w:bidi/>
        <w:spacing w:before="120" w:after="120" w:line="360" w:lineRule="auto"/>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ע' מש"כ בזה בפרק העוסקת בעניני דבר חריף</w:t>
      </w:r>
    </w:p>
    <w:p w:rsidR="00BC2E9D" w:rsidRPr="00BC2E9D" w:rsidRDefault="00BC2E9D" w:rsidP="00BC2E9D">
      <w:pPr>
        <w:keepNext/>
        <w:tabs>
          <w:tab w:val="left" w:pos="0"/>
        </w:tabs>
        <w:bidi/>
        <w:spacing w:before="240" w:after="240" w:line="240" w:lineRule="auto"/>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hint="cs"/>
          <w:bCs/>
          <w:snapToGrid w:val="0"/>
          <w:sz w:val="24"/>
          <w:szCs w:val="36"/>
          <w:rtl/>
          <w:lang w:bidi="he-IL"/>
        </w:rPr>
        <w:t>נ"ט בר נ"ט לכתחילה</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והנה הדוגמא שנקטו בגמ' בהיתירא דנ"ט בר נ"ט הוא 'דגים שעלו בקערה מותר לאוכלן בכותח". ולכאורה לשון מותר משמע שמותר להכניס הדגים האלו לתוך כותח </w:t>
      </w:r>
      <w:r w:rsidRPr="00BC2E9D">
        <w:rPr>
          <w:rFonts w:ascii="Times New Roman" w:eastAsia="Times New Roman" w:hAnsi="Times New Roman" w:cs="Narkisim" w:hint="cs"/>
          <w:w w:val="115"/>
          <w:sz w:val="20"/>
          <w:szCs w:val="24"/>
          <w:rtl/>
          <w:lang w:bidi="he-IL"/>
        </w:rPr>
        <w:lastRenderedPageBreak/>
        <w:t>לכתחילה. וכן משמע מלשון הגמ' שם "</w:t>
      </w:r>
      <w:r w:rsidRPr="00BC2E9D">
        <w:rPr>
          <w:rFonts w:ascii="Times New Roman" w:eastAsia="Times New Roman" w:hAnsi="Times New Roman" w:cs="Narkisim"/>
          <w:w w:val="115"/>
          <w:sz w:val="20"/>
          <w:szCs w:val="24"/>
          <w:rtl/>
          <w:lang w:bidi="he-IL"/>
        </w:rPr>
        <w:t>אייתו לקמיה דגים שעלו בקערה וקא אכיל בכותח</w:t>
      </w:r>
      <w:r w:rsidRPr="00BC2E9D">
        <w:rPr>
          <w:rFonts w:ascii="Times New Roman" w:eastAsia="Times New Roman" w:hAnsi="Times New Roman" w:cs="Narkisim" w:hint="cs"/>
          <w:w w:val="115"/>
          <w:sz w:val="20"/>
          <w:szCs w:val="24"/>
          <w:rtl/>
          <w:lang w:bidi="he-IL"/>
        </w:rPr>
        <w:t xml:space="preserve">". וכן הביא הב"י בסי' צ"ה בשם ס' התרומה (במפתחות לסי' ס"א) בהדיא. ומ"מ הב"י הביא </w:t>
      </w:r>
      <w:r w:rsidRPr="00BC2E9D">
        <w:rPr>
          <w:rFonts w:ascii="Times New Roman" w:eastAsia="Times New Roman" w:hAnsi="Times New Roman" w:cs="Narkisim"/>
          <w:w w:val="115"/>
          <w:sz w:val="20"/>
          <w:szCs w:val="24"/>
          <w:rtl/>
          <w:lang w:bidi="he-IL"/>
        </w:rPr>
        <w:t>שיטת סמ"ק והגהות מיי' דאע"ג שנ"ט בר נ"ט דהיתירא מותר הנ"מ בדיעבד, אבל לכתחילה אסור</w:t>
      </w:r>
      <w:r w:rsidRPr="00BC2E9D">
        <w:rPr>
          <w:rFonts w:ascii="Times New Roman" w:eastAsia="Times New Roman" w:hAnsi="Times New Roman" w:cs="Narkisim" w:hint="cs"/>
          <w:w w:val="115"/>
          <w:sz w:val="20"/>
          <w:szCs w:val="24"/>
          <w:rtl/>
          <w:lang w:bidi="he-IL"/>
        </w:rPr>
        <w:t xml:space="preserve"> (וכתב</w:t>
      </w:r>
      <w:r w:rsidRPr="00BC2E9D">
        <w:rPr>
          <w:rFonts w:ascii="Times New Roman" w:eastAsia="Times New Roman" w:hAnsi="Times New Roman" w:cs="Narkisim"/>
          <w:w w:val="115"/>
          <w:sz w:val="20"/>
          <w:szCs w:val="24"/>
          <w:rtl/>
          <w:lang w:bidi="he-IL"/>
        </w:rPr>
        <w:t xml:space="preserve"> במש"ז ס"ק ד' </w:t>
      </w:r>
      <w:r w:rsidRPr="00BC2E9D">
        <w:rPr>
          <w:rFonts w:ascii="Times New Roman" w:eastAsia="Times New Roman" w:hAnsi="Times New Roman" w:cs="Narkisim" w:hint="cs"/>
          <w:w w:val="115"/>
          <w:sz w:val="20"/>
          <w:szCs w:val="24"/>
          <w:rtl/>
          <w:lang w:bidi="he-IL"/>
        </w:rPr>
        <w:t>הטעם משום</w:t>
      </w:r>
      <w:r w:rsidRPr="00BC2E9D">
        <w:rPr>
          <w:rFonts w:ascii="Times New Roman" w:eastAsia="Times New Roman" w:hAnsi="Times New Roman" w:cs="Narkisim"/>
          <w:w w:val="115"/>
          <w:sz w:val="20"/>
          <w:szCs w:val="24"/>
          <w:rtl/>
          <w:lang w:bidi="he-IL"/>
        </w:rPr>
        <w:t xml:space="preserve"> דהוי כעין ביטול איסור לכתחילה</w:t>
      </w:r>
      <w:r w:rsidRPr="00BC2E9D">
        <w:rPr>
          <w:rFonts w:ascii="Times New Roman" w:eastAsia="Times New Roman" w:hAnsi="Times New Roman" w:cs="Narkisim" w:hint="cs"/>
          <w:w w:val="115"/>
          <w:sz w:val="20"/>
          <w:szCs w:val="24"/>
          <w:rtl/>
          <w:lang w:bidi="he-IL"/>
        </w:rPr>
        <w:t>)</w:t>
      </w:r>
      <w:r w:rsidRPr="00BC2E9D">
        <w:rPr>
          <w:rFonts w:ascii="Times New Roman" w:eastAsia="Times New Roman" w:hAnsi="Times New Roman" w:cs="Narkisim"/>
          <w:w w:val="115"/>
          <w:sz w:val="20"/>
          <w:szCs w:val="24"/>
          <w:rtl/>
          <w:lang w:bidi="he-IL"/>
        </w:rPr>
        <w:t>.</w:t>
      </w:r>
      <w:r w:rsidRPr="00BC2E9D">
        <w:rPr>
          <w:rFonts w:ascii="Times New Roman" w:eastAsia="Times New Roman" w:hAnsi="Times New Roman" w:cs="Narkisim" w:hint="cs"/>
          <w:w w:val="115"/>
          <w:sz w:val="20"/>
          <w:szCs w:val="24"/>
          <w:rtl/>
          <w:lang w:bidi="he-IL"/>
        </w:rPr>
        <w:t xml:space="preserve"> ואע"ג שהב"י כתב שחלקו על הדין הנ"ל, רובם ככולם של הבאים אחריו נקטו שיש לחלק ביניהם, שאמנם אסור להעלות אוכל על כלי של מין א' ע"מ לאכלו עם המין השני, אע"ג ששייך בה של נ"ט בר נ"ט, מ"מ אם כבר נבלע בה מן המין הראשון שוב מותר להכניסו למאכל של המין השני. וכל זה בעלו, אבל בנתבשלו ע' מש"כ לעיל בענין נ"ט בר נ"ט בנצלו ונתבשלו. </w:t>
      </w:r>
      <w:r w:rsidRPr="00BC2E9D">
        <w:rPr>
          <w:rFonts w:ascii="Times New Roman" w:eastAsia="Times New Roman" w:hAnsi="Times New Roman" w:cs="Narkisim"/>
          <w:w w:val="115"/>
          <w:sz w:val="20"/>
          <w:szCs w:val="24"/>
          <w:rtl/>
          <w:lang w:bidi="he-IL"/>
        </w:rPr>
        <w:t xml:space="preserve"> </w:t>
      </w:r>
      <w:r w:rsidRPr="00BC2E9D">
        <w:rPr>
          <w:rFonts w:ascii="Times New Roman" w:eastAsia="Times New Roman" w:hAnsi="Times New Roman" w:cs="Narkisim" w:hint="cs"/>
          <w:w w:val="115"/>
          <w:sz w:val="20"/>
          <w:szCs w:val="24"/>
          <w:rtl/>
          <w:lang w:bidi="he-IL"/>
        </w:rPr>
        <w:t xml:space="preserve">    </w:t>
      </w:r>
    </w:p>
    <w:p w:rsidR="00BC2E9D" w:rsidRPr="00BC2E9D" w:rsidRDefault="00BC2E9D" w:rsidP="00BC2E9D">
      <w:pPr>
        <w:keepNext/>
        <w:tabs>
          <w:tab w:val="left" w:pos="0"/>
        </w:tabs>
        <w:bidi/>
        <w:spacing w:before="240" w:after="240" w:line="240" w:lineRule="auto"/>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hint="cs"/>
          <w:bCs/>
          <w:snapToGrid w:val="0"/>
          <w:sz w:val="24"/>
          <w:szCs w:val="36"/>
          <w:rtl/>
          <w:lang w:bidi="he-IL"/>
        </w:rPr>
        <w:t>נ"ט בר נ"ט לכתחילה באינו בן יומו</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והנה לכאורה עד כאן לא החמירו בנ"ט בר נ"ט לכתחילה אלא כשהוא בן יומו, אבל באינו בן יומו שלא אסרוהו אלא אטו בן יומו לכאורה הי' צריך להיות מותר לכתחילה, דהא בכה"ג אפילו בן יומו מותר כיון דהוי נ"ט בר נ"ט, ואע"ג שלכתחילה אסור לגרום נ"ט בר נ"ט, הא הכא אינו גורם כיון שהוא נטל"פ. ולכן הי' מותר לחמם ירקות בכלי חלבי שאינו ב"י אע"ג שרוצה לאחר מכן לאכול אותם עם בשר. אמנם כתוב ברמ"א בסי' צ"ה סע' ב' "וכן אם היה הכלי שנתבשלו או נצלו בו לפגם שלא היה בן יומו נוהגין היתר לכתחילה לאכלו עם המין השני". ומשמע שרק בדיעבד שכבר נתבשל בכלי זה, אבל לכתחילה לא התירו לו לעשות כן. וכן הם דברים מפורשים בחכמ"א </w:t>
      </w:r>
      <w:r w:rsidRPr="00BC2E9D">
        <w:rPr>
          <w:rFonts w:ascii="Times New Roman" w:eastAsia="Times New Roman" w:hAnsi="Times New Roman" w:cs="Narkisim"/>
          <w:w w:val="115"/>
          <w:sz w:val="20"/>
          <w:szCs w:val="24"/>
          <w:rtl/>
          <w:lang w:bidi="he-IL"/>
        </w:rPr>
        <w:t>כלל מ"ח ד"ב</w:t>
      </w:r>
      <w:r w:rsidRPr="00BC2E9D">
        <w:rPr>
          <w:rFonts w:ascii="Times New Roman" w:eastAsia="Times New Roman" w:hAnsi="Times New Roman" w:cs="Narkisim" w:hint="cs"/>
          <w:w w:val="115"/>
          <w:sz w:val="20"/>
          <w:szCs w:val="24"/>
          <w:rtl/>
          <w:lang w:bidi="he-IL"/>
        </w:rPr>
        <w:t xml:space="preserve">, אלא שהקיל בשעה"ד כיון דהוי כדיעבד. (ובבדי השולחן נקט דכוונת הגר"א בס"ק י' לחלוק על החכמ"א, ובמגי"ס דחה הראי').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והי' אפשר לומר דעד כאן לא החמירו לכתחילה בנ"ט בר נ"ט היכא שאינו בן יומו אלא כשנתבשלו, דהא לדידן דקיי"ל להחמיר לכתחילה דהיכא שנתבשלו לית בי' היתירא דנ"ט בר נ"ט יוצא שלכתחילה יש להחמיר שאינו מבשל בכלי שאילו הי' בן יומו הי' מותר מדין נ"ט בר נ"ט. אבל להעלות בכלי שאינו בן יומו לכו"ע מותר, דהא בכה"ג לכו"ע נאמר הדין בנ"ט בר נ"ט ולכן שפיר י"ל כסברא הנ"ל שאין להחמיר לכתחילה כיון שאפילו בן יומו בדיעבד שרי. אבל לשון החכמ"א משמע שיש להחמיר לכתחילה בכל נ"ט בר נ"ט אפילו אינו ב"י. וצ"ע. </w:t>
      </w:r>
    </w:p>
    <w:p w:rsidR="00E66C2E" w:rsidRDefault="00E66C2E" w:rsidP="00BC2E9D">
      <w:pPr>
        <w:bidi/>
        <w:spacing w:before="120" w:after="120" w:line="360" w:lineRule="auto"/>
        <w:ind w:firstLine="720"/>
        <w:jc w:val="both"/>
        <w:rPr>
          <w:rFonts w:ascii="Times New Roman" w:eastAsia="Times New Roman" w:hAnsi="Times New Roman" w:cs="Narkisim"/>
          <w:w w:val="115"/>
          <w:sz w:val="20"/>
          <w:szCs w:val="24"/>
          <w:rtl/>
          <w:lang w:bidi="he-IL"/>
        </w:rPr>
        <w:sectPr w:rsidR="00E66C2E" w:rsidSect="00E66C2E">
          <w:footnotePr>
            <w:numFmt w:val="hebrew1"/>
          </w:footnotePr>
          <w:type w:val="continuous"/>
          <w:pgSz w:w="11907" w:h="16839" w:code="9"/>
          <w:pgMar w:top="1440" w:right="1800" w:bottom="1440" w:left="1800" w:header="720" w:footer="720" w:gutter="0"/>
          <w:cols w:space="720"/>
          <w:bidi/>
        </w:sectPr>
      </w:pP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sectPr w:rsidR="00BC2E9D" w:rsidRPr="00BC2E9D" w:rsidSect="00E66C2E">
          <w:footnotePr>
            <w:numFmt w:val="hebrew1"/>
          </w:footnotePr>
          <w:pgSz w:w="11907" w:h="16839" w:code="9"/>
          <w:pgMar w:top="1440" w:right="1800" w:bottom="1440" w:left="1800" w:header="720" w:footer="720" w:gutter="0"/>
          <w:cols w:space="720"/>
          <w:bidi/>
        </w:sectPr>
      </w:pPr>
    </w:p>
    <w:p w:rsidR="00BC2E9D" w:rsidRPr="00BC2E9D" w:rsidRDefault="00BC2E9D" w:rsidP="00E66C2E">
      <w:pPr>
        <w:keepNext/>
        <w:pBdr>
          <w:bottom w:val="single" w:sz="4" w:space="1" w:color="auto"/>
        </w:pBdr>
        <w:bidi/>
        <w:spacing w:after="1000" w:line="240" w:lineRule="auto"/>
        <w:jc w:val="center"/>
        <w:outlineLvl w:val="0"/>
        <w:rPr>
          <w:rFonts w:ascii="Times New Roman" w:eastAsia="Times New Roman" w:hAnsi="Times New Roman" w:cs="Guttman Mantova-Decor"/>
          <w:bCs/>
          <w:i/>
          <w:sz w:val="6"/>
          <w:szCs w:val="32"/>
          <w:rtl/>
          <w:lang w:bidi="he-IL"/>
        </w:rPr>
      </w:pPr>
      <w:r w:rsidRPr="00BC2E9D">
        <w:rPr>
          <w:rFonts w:ascii="Times New Roman" w:eastAsia="Times New Roman" w:hAnsi="Times New Roman" w:cs="Guttman Mantova-Decor" w:hint="cs"/>
          <w:bCs/>
          <w:i/>
          <w:sz w:val="14"/>
          <w:szCs w:val="48"/>
          <w:rtl/>
          <w:lang w:bidi="he-IL"/>
        </w:rPr>
        <w:lastRenderedPageBreak/>
        <w:t>דבר חריף</w:t>
      </w:r>
    </w:p>
    <w:p w:rsidR="00BC2E9D" w:rsidRPr="00BC2E9D" w:rsidRDefault="00BC2E9D" w:rsidP="00E66C2E">
      <w:pPr>
        <w:keepNext/>
        <w:tabs>
          <w:tab w:val="left" w:pos="0"/>
        </w:tabs>
        <w:bidi/>
        <w:spacing w:after="240" w:line="240" w:lineRule="auto"/>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hint="cs"/>
          <w:bCs/>
          <w:snapToGrid w:val="0"/>
          <w:sz w:val="24"/>
          <w:szCs w:val="36"/>
          <w:rtl/>
          <w:lang w:bidi="he-IL"/>
        </w:rPr>
        <w:t>החילוקים שנאמרו בין מאכל חריף לשאר מאכלים</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בב' מקומות בש"ס אנחנו מוצאים שהגמ' מחמירה יותר בדיני איסור והיתר ביחס למאכל שהוא דבר חריף יותר משאר מאכלים. א' מהם במס' חולין דף קי"ב ע"א, ששם אמרו "</w:t>
      </w:r>
      <w:r w:rsidRPr="00BC2E9D">
        <w:rPr>
          <w:rFonts w:ascii="Times New Roman" w:eastAsia="Times New Roman" w:hAnsi="Times New Roman" w:cs="Narkisim"/>
          <w:w w:val="115"/>
          <w:sz w:val="20"/>
          <w:szCs w:val="24"/>
          <w:rtl/>
          <w:lang w:bidi="he-IL"/>
        </w:rPr>
        <w:t>הלכתא דגים שעלו בקערה מותר לאוכלן בכותח, צנון שחתכו בסכין שחתך בה בשר אסור לאוכלו בכותח, וה"מ צנון</w:t>
      </w:r>
      <w:r w:rsidRPr="00BC2E9D">
        <w:rPr>
          <w:rFonts w:ascii="Times New Roman" w:eastAsia="Times New Roman" w:hAnsi="Times New Roman" w:cs="Narkisim" w:hint="cs"/>
          <w:w w:val="115"/>
          <w:sz w:val="20"/>
          <w:szCs w:val="24"/>
          <w:rtl/>
          <w:lang w:bidi="he-IL"/>
        </w:rPr>
        <w:t xml:space="preserve"> </w:t>
      </w:r>
      <w:r w:rsidRPr="00BC2E9D">
        <w:rPr>
          <w:rFonts w:ascii="Times New Roman" w:eastAsia="Times New Roman" w:hAnsi="Times New Roman" w:cs="Narkisim"/>
          <w:w w:val="115"/>
          <w:sz w:val="20"/>
          <w:szCs w:val="24"/>
          <w:rtl/>
          <w:lang w:bidi="he-IL"/>
        </w:rPr>
        <w:t>דאגב חורפיה בלע, אבל קישות גריר לבי פסקיה ואכיל</w:t>
      </w:r>
      <w:r w:rsidRPr="00BC2E9D">
        <w:rPr>
          <w:rFonts w:ascii="Times New Roman" w:eastAsia="Times New Roman" w:hAnsi="Times New Roman" w:cs="Narkisim" w:hint="cs"/>
          <w:w w:val="115"/>
          <w:sz w:val="20"/>
          <w:szCs w:val="24"/>
          <w:rtl/>
          <w:lang w:bidi="he-IL"/>
        </w:rPr>
        <w:t xml:space="preserve">". הרי שהגמ' מחלקת בין קישות לצנון, שכשחותך קישות עם סכין אין הטעם של הסכין נבלע בתוך הקישות, אבל בצנון אגב חורפי' הרי זה בולע. והנה שם בפירש"י יש ב' פירושים אם מיירי בסכין שאינו מקונח או"ד אפילו אינו מקונח. ור"ל שאם מיירי במקונח, אין לנו ראי' שיש לדבר חריף חומרא לבלוע אלא ממאכל (ואפילו אם כן יש חומרא דדבר חריף מאינו חריף, שהרי באינו חריף אינו בולע ע"י דוחקא בלבד, ומשו"ה בקישות אינו צריך אלא גרירה או"ד אפי' את"ל שגם קישות בולע ע"י דוחקא (משום דתרוייהו מיירי ברותחין א"נ שגם צונן בולע ע"י דוחקא </w:t>
      </w:r>
      <w:r w:rsidRPr="00BC2E9D">
        <w:rPr>
          <w:rFonts w:ascii="Times New Roman" w:eastAsia="Times New Roman" w:hAnsi="Times New Roman" w:cs="Narkisim"/>
          <w:w w:val="115"/>
          <w:sz w:val="20"/>
          <w:szCs w:val="24"/>
          <w:rtl/>
          <w:lang w:bidi="he-IL"/>
        </w:rPr>
        <w:t>–</w:t>
      </w:r>
      <w:r w:rsidRPr="00BC2E9D">
        <w:rPr>
          <w:rFonts w:ascii="Times New Roman" w:eastAsia="Times New Roman" w:hAnsi="Times New Roman" w:cs="Narkisim" w:hint="cs"/>
          <w:w w:val="115"/>
          <w:sz w:val="20"/>
          <w:szCs w:val="24"/>
          <w:rtl/>
          <w:lang w:bidi="he-IL"/>
        </w:rPr>
        <w:t xml:space="preserve"> ע' מזה ברמב"ן) אבל צנון בולע יותר מכדי קליפה </w:t>
      </w:r>
      <w:r w:rsidRPr="00BC2E9D">
        <w:rPr>
          <w:rFonts w:ascii="Times New Roman" w:eastAsia="Times New Roman" w:hAnsi="Times New Roman" w:cs="Narkisim"/>
          <w:w w:val="115"/>
          <w:sz w:val="20"/>
          <w:szCs w:val="24"/>
          <w:rtl/>
          <w:lang w:bidi="he-IL"/>
        </w:rPr>
        <w:t>–</w:t>
      </w:r>
      <w:r w:rsidRPr="00BC2E9D">
        <w:rPr>
          <w:rFonts w:ascii="Times New Roman" w:eastAsia="Times New Roman" w:hAnsi="Times New Roman" w:cs="Narkisim" w:hint="cs"/>
          <w:w w:val="115"/>
          <w:sz w:val="20"/>
          <w:szCs w:val="24"/>
          <w:rtl/>
          <w:lang w:bidi="he-IL"/>
        </w:rPr>
        <w:t xml:space="preserve"> ע' בהמשך), אבל לבלוע מן הבליעות הבלועות בסכין לא שמענו. רק אם מיירי בסכין מקונח יש לנו ראי' משם שהרי הוא בולע גם מכלי. (וכמו שדבר חריף בולע הה"נ שמבליע, וע' מזה בקונ' שבסוף ס' דבר חריף סי' א' באריכות).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והמקום השני הוא במס' ע"ז. דאיתא במתני' שבמס' ע"ז דף ל"ה ע"ב "</w:t>
      </w:r>
      <w:r w:rsidRPr="00BC2E9D">
        <w:rPr>
          <w:rFonts w:ascii="Times New Roman" w:eastAsia="Times New Roman" w:hAnsi="Times New Roman" w:cs="Narkisim"/>
          <w:w w:val="115"/>
          <w:sz w:val="20"/>
          <w:szCs w:val="24"/>
          <w:rtl/>
          <w:lang w:bidi="he-IL"/>
        </w:rPr>
        <w:t>ואלו דברים של עובדי כוכבים אסורין ואין איסורן איסור הנאה</w:t>
      </w:r>
      <w:r w:rsidRPr="00BC2E9D">
        <w:rPr>
          <w:rFonts w:ascii="Times New Roman" w:eastAsia="Times New Roman" w:hAnsi="Times New Roman" w:cs="Narkisim" w:hint="cs"/>
          <w:w w:val="115"/>
          <w:sz w:val="20"/>
          <w:szCs w:val="24"/>
          <w:rtl/>
          <w:lang w:bidi="he-IL"/>
        </w:rPr>
        <w:t xml:space="preserve"> וכו'</w:t>
      </w:r>
      <w:r w:rsidRPr="00BC2E9D">
        <w:rPr>
          <w:rFonts w:ascii="Times New Roman" w:eastAsia="Times New Roman" w:hAnsi="Times New Roman" w:cs="Narkisim"/>
          <w:w w:val="115"/>
          <w:sz w:val="20"/>
          <w:szCs w:val="24"/>
          <w:rtl/>
          <w:lang w:bidi="he-IL"/>
        </w:rPr>
        <w:t xml:space="preserve"> וקורט של חלתית</w:t>
      </w:r>
      <w:r w:rsidRPr="00BC2E9D">
        <w:rPr>
          <w:rFonts w:ascii="Times New Roman" w:eastAsia="Times New Roman" w:hAnsi="Times New Roman" w:cs="Narkisim" w:hint="cs"/>
          <w:w w:val="115"/>
          <w:sz w:val="20"/>
          <w:szCs w:val="24"/>
          <w:rtl/>
          <w:lang w:bidi="he-IL"/>
        </w:rPr>
        <w:t>". וביארו בגמ' (ל"ט ע"א) "</w:t>
      </w:r>
      <w:r w:rsidRPr="00BC2E9D">
        <w:rPr>
          <w:rFonts w:ascii="Times New Roman" w:eastAsia="Times New Roman" w:hAnsi="Times New Roman" w:cs="Narkisim"/>
          <w:w w:val="115"/>
          <w:sz w:val="20"/>
          <w:szCs w:val="24"/>
          <w:rtl/>
          <w:lang w:bidi="he-IL"/>
        </w:rPr>
        <w:t>והקורט של חילתית מ"ט משום דמפסקי ליה בסכינא אף על גב דאמר מר נותן טעם לפגם מותר אגב חורפיה דחילתיתא מחליא ליה שמנוניתא והוה ליה כנותן טעם לשבח ואסור</w:t>
      </w:r>
      <w:r w:rsidRPr="00BC2E9D">
        <w:rPr>
          <w:rFonts w:ascii="Times New Roman" w:eastAsia="Times New Roman" w:hAnsi="Times New Roman" w:cs="Narkisim" w:hint="cs"/>
          <w:w w:val="115"/>
          <w:sz w:val="20"/>
          <w:szCs w:val="24"/>
          <w:rtl/>
          <w:lang w:bidi="he-IL"/>
        </w:rPr>
        <w:t xml:space="preserve">". הרי דחזינן שיש לדבר חריף תכונה להפוך בליעה שהיא נטל"פ להיות נותן טעם לשבח. ולכאורה מגמ' זו יש גם ראי' שמאכל בולע מן הבליעות הבלועות בסכין ולא רק משמנונית, דלכאורה רק הבליעות הוו לפגם, דלא שמענו ששמנונית הוי לפגם, א"כ ע"כ מיירי בסכין מקונח. וכן הוכיח בביאור הגר"א סי' צ"ו ס"ק ה'. ושם בחי' הריטב"א ביאר דמיירי בסכין שאינו מקונח, וביאר דחז"ל ידעו שהשמנונית נותן טעם לשבח, וא"כ לדידי' </w:t>
      </w:r>
      <w:r w:rsidRPr="00BC2E9D">
        <w:rPr>
          <w:rFonts w:ascii="Times New Roman" w:eastAsia="Times New Roman" w:hAnsi="Times New Roman" w:cs="Narkisim" w:hint="cs"/>
          <w:w w:val="115"/>
          <w:sz w:val="20"/>
          <w:szCs w:val="24"/>
          <w:rtl/>
          <w:lang w:bidi="he-IL"/>
        </w:rPr>
        <w:lastRenderedPageBreak/>
        <w:t xml:space="preserve">אין ראי' גם משם, אבל ראוי לציין שמשמעות דבריו שגם הוא מודה לדינא שהדבר חריף בולע מן הבלוע בסכין ולא רק משמנונית.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וע' בהמשך שיש חילוק בין דבר חריף לשאר מאכלים לענין ריחא, וכן לענין זה שנגע במאכלים.</w:t>
      </w:r>
    </w:p>
    <w:p w:rsidR="00BC2E9D" w:rsidRPr="00BC2E9D" w:rsidRDefault="00BC2E9D" w:rsidP="00BC2E9D">
      <w:pPr>
        <w:keepNext/>
        <w:tabs>
          <w:tab w:val="left" w:pos="0"/>
        </w:tabs>
        <w:bidi/>
        <w:spacing w:before="240" w:after="240" w:line="240" w:lineRule="auto"/>
        <w:jc w:val="both"/>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hint="cs"/>
          <w:bCs/>
          <w:snapToGrid w:val="0"/>
          <w:sz w:val="24"/>
          <w:szCs w:val="36"/>
          <w:rtl/>
          <w:lang w:bidi="he-IL"/>
        </w:rPr>
        <w:t>אופנים שונים של דוחקא דסכינא</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 xml:space="preserve">מן הגמ' חזינן שכשחותך מאכל </w:t>
      </w:r>
      <w:r w:rsidRPr="00BC2E9D">
        <w:rPr>
          <w:rFonts w:ascii="Times New Roman" w:eastAsia="Times New Roman" w:hAnsi="Times New Roman" w:cs="Narkisim" w:hint="cs"/>
          <w:w w:val="115"/>
          <w:sz w:val="20"/>
          <w:szCs w:val="24"/>
          <w:rtl/>
          <w:lang w:bidi="he-IL"/>
        </w:rPr>
        <w:t>ב</w:t>
      </w:r>
      <w:r w:rsidRPr="00BC2E9D">
        <w:rPr>
          <w:rFonts w:ascii="Times New Roman" w:eastAsia="Times New Roman" w:hAnsi="Times New Roman" w:cs="Narkisim"/>
          <w:w w:val="115"/>
          <w:sz w:val="20"/>
          <w:szCs w:val="24"/>
          <w:rtl/>
          <w:lang w:bidi="he-IL"/>
        </w:rPr>
        <w:t xml:space="preserve">סכין יש לזה דין של 'דוחקא דסכינא' שיכול לבלוע מדבר חריף אפילו בצונן. ובשו"ע </w:t>
      </w:r>
      <w:r w:rsidRPr="00BC2E9D">
        <w:rPr>
          <w:rFonts w:ascii="Times New Roman" w:eastAsia="Times New Roman" w:hAnsi="Times New Roman" w:cs="Narkisim" w:hint="cs"/>
          <w:w w:val="115"/>
          <w:sz w:val="20"/>
          <w:szCs w:val="24"/>
          <w:rtl/>
          <w:lang w:bidi="he-IL"/>
        </w:rPr>
        <w:t xml:space="preserve">סי' צ"ו </w:t>
      </w:r>
      <w:r w:rsidRPr="00BC2E9D">
        <w:rPr>
          <w:rFonts w:ascii="Times New Roman" w:eastAsia="Times New Roman" w:hAnsi="Times New Roman" w:cs="Narkisim"/>
          <w:w w:val="115"/>
          <w:sz w:val="20"/>
          <w:szCs w:val="24"/>
          <w:rtl/>
          <w:lang w:bidi="he-IL"/>
        </w:rPr>
        <w:t xml:space="preserve">סע' ג' חזינן עוד סוג של דוחקא, והוא דיכת תבלין במדוכה של בשר (ומקור הדבר בב"י בשם ס' התרומה). וחזינן שהענין של דבר חריף הוא בזה ששובר דברים ע"י לחץ, וע"י לחץ כזו מכלים או ע"ג כלים אמרינן שהדבר חריף בולע מן הכלים אע"ג דצונן הוא.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וע"פ זה יש לדון במי שחתך דבר חריף ע"ג משטח שבלוע בה איסור, האם הדבר חריף בולע גם מן המשטח התחתון ע"י דוחקא דסכינא</w:t>
      </w:r>
      <w:r w:rsidRPr="00BC2E9D">
        <w:rPr>
          <w:rFonts w:ascii="Times New Roman" w:eastAsia="Times New Roman" w:hAnsi="Times New Roman" w:cs="Narkisim" w:hint="cs"/>
          <w:w w:val="115"/>
          <w:sz w:val="20"/>
          <w:szCs w:val="24"/>
          <w:rtl/>
          <w:lang w:bidi="he-IL"/>
        </w:rPr>
        <w:t xml:space="preserve"> או לא (וכן נפק"מ בחתך דבר חריף בסכין פרווה ע"ג משטח בשרי או חלבי אם יהי' הסכין בשרי או חלבי ע"י זה לפי שיטת המג"א דכה"ג ליתי' להיתירא דנ"ט בר נ"ט)</w:t>
      </w:r>
      <w:r w:rsidRPr="00BC2E9D">
        <w:rPr>
          <w:rFonts w:ascii="Times New Roman" w:eastAsia="Times New Roman" w:hAnsi="Times New Roman" w:cs="Narkisim"/>
          <w:w w:val="115"/>
          <w:sz w:val="20"/>
          <w:szCs w:val="24"/>
          <w:rtl/>
          <w:lang w:bidi="he-IL"/>
        </w:rPr>
        <w:t xml:space="preserve">. ולפום ריהטא למה לא נימא הכי, דמאי שנא מהא דמדוכה. </w:t>
      </w:r>
      <w:r w:rsidRPr="00BC2E9D">
        <w:rPr>
          <w:rFonts w:ascii="Times New Roman" w:eastAsia="Times New Roman" w:hAnsi="Times New Roman" w:cs="Narkisim" w:hint="cs"/>
          <w:w w:val="115"/>
          <w:sz w:val="20"/>
          <w:szCs w:val="24"/>
          <w:rtl/>
          <w:lang w:bidi="he-IL"/>
        </w:rPr>
        <w:t>ו</w:t>
      </w:r>
      <w:r w:rsidRPr="00BC2E9D">
        <w:rPr>
          <w:rFonts w:ascii="Times New Roman" w:eastAsia="Times New Roman" w:hAnsi="Times New Roman" w:cs="Narkisim"/>
          <w:w w:val="115"/>
          <w:sz w:val="20"/>
          <w:szCs w:val="24"/>
          <w:rtl/>
          <w:lang w:bidi="he-IL"/>
        </w:rPr>
        <w:t>כן באמת מפורסם משמי' דחכמ"א כלל נ"ו ד"ב שכה"ג בולע. וכ"כ גם בשו"ת טוטו"ד (ח"ג סי' רט"ו).</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ונראה לדייק מדברי החכמ"א עוד יותר מזה, שהרי ז"ל שם "ונראה לי דאם חתך עליו הערינג ואוגרקעס</w:t>
      </w:r>
      <w:r w:rsidRPr="00BC2E9D">
        <w:rPr>
          <w:rFonts w:ascii="Times New Roman" w:eastAsia="Times New Roman" w:hAnsi="Times New Roman" w:cs="Narkisim" w:hint="cs"/>
          <w:w w:val="115"/>
          <w:sz w:val="20"/>
          <w:szCs w:val="24"/>
          <w:rtl/>
          <w:lang w:bidi="he-IL"/>
        </w:rPr>
        <w:t xml:space="preserve"> [פי' </w:t>
      </w:r>
      <w:r w:rsidRPr="00BC2E9D">
        <w:rPr>
          <w:rFonts w:ascii="Times New Roman" w:eastAsia="Times New Roman" w:hAnsi="Times New Roman" w:cs="Narkisim"/>
          <w:w w:val="115"/>
          <w:sz w:val="20"/>
          <w:szCs w:val="24"/>
          <w:rtl/>
          <w:lang w:bidi="he-IL"/>
        </w:rPr>
        <w:t>–</w:t>
      </w:r>
      <w:r w:rsidRPr="00BC2E9D">
        <w:rPr>
          <w:rFonts w:ascii="Times New Roman" w:eastAsia="Times New Roman" w:hAnsi="Times New Roman" w:cs="Narkisim" w:hint="cs"/>
          <w:w w:val="115"/>
          <w:sz w:val="20"/>
          <w:szCs w:val="24"/>
          <w:rtl/>
          <w:lang w:bidi="he-IL"/>
        </w:rPr>
        <w:t xml:space="preserve"> מלפפונים]</w:t>
      </w:r>
      <w:r w:rsidRPr="00BC2E9D">
        <w:rPr>
          <w:rFonts w:ascii="Times New Roman" w:eastAsia="Times New Roman" w:hAnsi="Times New Roman" w:cs="Narkisim"/>
          <w:w w:val="115"/>
          <w:sz w:val="20"/>
          <w:szCs w:val="24"/>
          <w:rtl/>
          <w:lang w:bidi="he-IL"/>
        </w:rPr>
        <w:t xml:space="preserve"> חמוצים אפילו דיעבד אסור דדוחקא דסכינא וחורפא דמליח מפליט מן הכלי על כל פנים במקום החתך ואף ששמעתי שמקילין בזה שאומרים דזה לא הוי דוחקא לא נראה לי כלל (שהרי בחולין (ח' ע"ב) גבי סכין ששחט בו אמרינן גם כן אגב דוחקא עיין שם ואף שאינו אלא חתך)". ולכאורה צ"ע, דאיזה ראי' יש מסכין ששחט בה לנידו"ד, הא בבשחיטה לא חתך ע"ג דבר אחר, וכן אין הנידון שם אלא לענין אם עוברים בליעות בין בית השחיטה לסכין, משא"כ בנידו"ד שהוא ספק אם בולע מן הכלי דהתחתון כשחתך על גביו. והנראה פשוט בזה שזה הי' פשוט לו לחכמ"א שדבר חריף בולע מן הכלי התחתון אם חתך על גביו ע"י דוחקא, דמאי שנא באמת מהא דמדוכה. רק שה'שמעתי שמקילין' סוברים דעד כאן לא אמרינן שנחשב כדוחקא ע"י חיתוך אלא כשחותך ע"י כח עליון לתחתון דומיא דדיכה, אבל אם חותך ע"י זה שמוליך </w:t>
      </w:r>
      <w:r w:rsidRPr="00BC2E9D">
        <w:rPr>
          <w:rFonts w:ascii="Times New Roman" w:eastAsia="Times New Roman" w:hAnsi="Times New Roman" w:cs="Narkisim" w:hint="cs"/>
          <w:w w:val="115"/>
          <w:sz w:val="20"/>
          <w:szCs w:val="24"/>
          <w:rtl/>
          <w:lang w:bidi="he-IL"/>
        </w:rPr>
        <w:t xml:space="preserve">ומביא </w:t>
      </w:r>
      <w:r w:rsidRPr="00BC2E9D">
        <w:rPr>
          <w:rFonts w:ascii="Times New Roman" w:eastAsia="Times New Roman" w:hAnsi="Times New Roman" w:cs="Narkisim"/>
          <w:w w:val="115"/>
          <w:sz w:val="20"/>
          <w:szCs w:val="24"/>
          <w:rtl/>
          <w:lang w:bidi="he-IL"/>
        </w:rPr>
        <w:t xml:space="preserve">הסכין (פי' באותו צורה </w:t>
      </w:r>
      <w:r w:rsidRPr="00BC2E9D">
        <w:rPr>
          <w:rFonts w:ascii="Times New Roman" w:eastAsia="Times New Roman" w:hAnsi="Times New Roman" w:cs="Narkisim"/>
          <w:w w:val="115"/>
          <w:sz w:val="20"/>
          <w:szCs w:val="24"/>
          <w:rtl/>
          <w:lang w:bidi="he-IL"/>
        </w:rPr>
        <w:lastRenderedPageBreak/>
        <w:t xml:space="preserve">שחותכים את הלחם) אין זה נחשב דוחקא, כיון שחסר בלחץ הנדרשת כדי לבלוע, דהא אינו עושה לחץ גמור מלמעלה למטה. בזה סבר החכמ"א שאין הדין נכון, דהא שחיטה היא ע"כ </w:t>
      </w:r>
      <w:r w:rsidRPr="00BC2E9D">
        <w:rPr>
          <w:rFonts w:ascii="Times New Roman" w:eastAsia="Times New Roman" w:hAnsi="Times New Roman" w:cs="Narkisim" w:hint="cs"/>
          <w:w w:val="115"/>
          <w:sz w:val="20"/>
          <w:szCs w:val="24"/>
          <w:rtl/>
          <w:lang w:bidi="he-IL"/>
        </w:rPr>
        <w:t>בדרך מוליך ומביא</w:t>
      </w:r>
      <w:r w:rsidRPr="00BC2E9D">
        <w:rPr>
          <w:rFonts w:ascii="Times New Roman" w:eastAsia="Times New Roman" w:hAnsi="Times New Roman" w:cs="Narkisim"/>
          <w:w w:val="115"/>
          <w:sz w:val="20"/>
          <w:szCs w:val="24"/>
          <w:rtl/>
          <w:lang w:bidi="he-IL"/>
        </w:rPr>
        <w:t>, דהא דרוסה ה</w:t>
      </w:r>
      <w:r w:rsidRPr="00BC2E9D">
        <w:rPr>
          <w:rFonts w:ascii="Times New Roman" w:eastAsia="Times New Roman" w:hAnsi="Times New Roman" w:cs="Narkisim" w:hint="cs"/>
          <w:w w:val="115"/>
          <w:sz w:val="20"/>
          <w:szCs w:val="24"/>
          <w:rtl/>
          <w:lang w:bidi="he-IL"/>
        </w:rPr>
        <w:t>י</w:t>
      </w:r>
      <w:r w:rsidRPr="00BC2E9D">
        <w:rPr>
          <w:rFonts w:ascii="Times New Roman" w:eastAsia="Times New Roman" w:hAnsi="Times New Roman" w:cs="Narkisim"/>
          <w:w w:val="115"/>
          <w:sz w:val="20"/>
          <w:szCs w:val="24"/>
          <w:rtl/>
          <w:lang w:bidi="he-IL"/>
        </w:rPr>
        <w:t xml:space="preserve">א א' ה' ההלכתות הפוסלות בשחיטה, מ"מ אמירנן שיש בה בליעה ע"י דוחקא דסכינא, וכדמבואר שם בהדיא בגמ'.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 xml:space="preserve">ומ"מ יש מן הפוסקים שמקילים בעיקר דבר זה שאמרנו שהוא בולע מן הכלי התחתון כשחותך על גביו (כן מבואר בשו"ת ספר יהושע פסקים וכתבים סי' קכ"ב). וטעמם שיש לחלק בין </w:t>
      </w:r>
      <w:r w:rsidRPr="00BC2E9D">
        <w:rPr>
          <w:rFonts w:ascii="Times New Roman" w:eastAsia="Times New Roman" w:hAnsi="Times New Roman" w:cs="Narkisim" w:hint="cs"/>
          <w:w w:val="115"/>
          <w:sz w:val="20"/>
          <w:szCs w:val="24"/>
          <w:rtl/>
          <w:lang w:bidi="he-IL"/>
        </w:rPr>
        <w:t>מ</w:t>
      </w:r>
      <w:r w:rsidRPr="00BC2E9D">
        <w:rPr>
          <w:rFonts w:ascii="Times New Roman" w:eastAsia="Times New Roman" w:hAnsi="Times New Roman" w:cs="Narkisim"/>
          <w:w w:val="115"/>
          <w:sz w:val="20"/>
          <w:szCs w:val="24"/>
          <w:rtl/>
          <w:lang w:bidi="he-IL"/>
        </w:rPr>
        <w:t xml:space="preserve">דוכה לחיתוך ע"ג משטח. שכשדוכין ע"ג המדוכה, הלחץ בין כלי עליון לכלי תחתון היא הגורמת לשבירת התבלינין, משא"כ בחתיכה שאין השבירה נגרמת ע"י הלחץ בין כלי התחתון לכלי העליון, רק משום חידודי' דסכינא, </w:t>
      </w:r>
      <w:r w:rsidRPr="00BC2E9D">
        <w:rPr>
          <w:rFonts w:ascii="Times New Roman" w:eastAsia="Times New Roman" w:hAnsi="Times New Roman" w:cs="Narkisim" w:hint="cs"/>
          <w:w w:val="115"/>
          <w:sz w:val="20"/>
          <w:szCs w:val="24"/>
          <w:rtl/>
          <w:lang w:bidi="he-IL"/>
        </w:rPr>
        <w:t>שבזה</w:t>
      </w:r>
      <w:r w:rsidRPr="00BC2E9D">
        <w:rPr>
          <w:rFonts w:ascii="Times New Roman" w:eastAsia="Times New Roman" w:hAnsi="Times New Roman" w:cs="Narkisim"/>
          <w:w w:val="115"/>
          <w:sz w:val="20"/>
          <w:szCs w:val="24"/>
          <w:rtl/>
          <w:lang w:bidi="he-IL"/>
        </w:rPr>
        <w:t xml:space="preserve"> י"ל שחסר בלחץ כדי שיהי דין 'דוחקא דסכינא' בלחץ שיש בין כלי התחתון לדבר חריף שעל גביו. </w:t>
      </w:r>
      <w:r w:rsidRPr="00BC2E9D">
        <w:rPr>
          <w:rFonts w:ascii="Times New Roman" w:eastAsia="Times New Roman" w:hAnsi="Times New Roman" w:cs="Narkisim" w:hint="cs"/>
          <w:w w:val="115"/>
          <w:sz w:val="20"/>
          <w:szCs w:val="24"/>
          <w:rtl/>
          <w:lang w:bidi="he-IL"/>
        </w:rPr>
        <w:t>ולא מיבעי היכא</w:t>
      </w:r>
      <w:r w:rsidRPr="00BC2E9D">
        <w:rPr>
          <w:rFonts w:ascii="Times New Roman" w:eastAsia="Times New Roman" w:hAnsi="Times New Roman" w:cs="Narkisim"/>
          <w:w w:val="115"/>
          <w:sz w:val="20"/>
          <w:szCs w:val="24"/>
          <w:rtl/>
          <w:lang w:bidi="he-IL"/>
        </w:rPr>
        <w:t xml:space="preserve"> כשחותכין ע"י </w:t>
      </w:r>
      <w:r w:rsidRPr="00BC2E9D">
        <w:rPr>
          <w:rFonts w:ascii="Times New Roman" w:eastAsia="Times New Roman" w:hAnsi="Times New Roman" w:cs="Narkisim" w:hint="cs"/>
          <w:w w:val="115"/>
          <w:sz w:val="20"/>
          <w:szCs w:val="24"/>
          <w:rtl/>
          <w:lang w:bidi="he-IL"/>
        </w:rPr>
        <w:t>זה שמוליך ומביא</w:t>
      </w:r>
      <w:r w:rsidRPr="00BC2E9D">
        <w:rPr>
          <w:rFonts w:ascii="Times New Roman" w:eastAsia="Times New Roman" w:hAnsi="Times New Roman" w:cs="Narkisim"/>
          <w:w w:val="115"/>
          <w:sz w:val="20"/>
          <w:szCs w:val="24"/>
          <w:rtl/>
          <w:lang w:bidi="he-IL"/>
        </w:rPr>
        <w:t xml:space="preserve"> הסכין, א</w:t>
      </w:r>
      <w:r w:rsidRPr="00BC2E9D">
        <w:rPr>
          <w:rFonts w:ascii="Times New Roman" w:eastAsia="Times New Roman" w:hAnsi="Times New Roman" w:cs="Narkisim" w:hint="cs"/>
          <w:w w:val="115"/>
          <w:sz w:val="20"/>
          <w:szCs w:val="24"/>
          <w:rtl/>
          <w:lang w:bidi="he-IL"/>
        </w:rPr>
        <w:t>לא</w:t>
      </w:r>
      <w:r w:rsidRPr="00BC2E9D">
        <w:rPr>
          <w:rFonts w:ascii="Times New Roman" w:eastAsia="Times New Roman" w:hAnsi="Times New Roman" w:cs="Narkisim"/>
          <w:w w:val="115"/>
          <w:sz w:val="20"/>
          <w:szCs w:val="24"/>
          <w:rtl/>
          <w:lang w:bidi="he-IL"/>
        </w:rPr>
        <w:t xml:space="preserve"> גם כשחותך ע"י כח עליון ג"כ אפשר להבין חילוק זה, דהא אין הלחץ שובר ע"י זה שהמאכל נשברת מהלחץ שבין הכלים, רק ביחד עם החידוד של הסכין, ולכן י"ל שחסר במידת הלחץ </w:t>
      </w:r>
      <w:r w:rsidRPr="00BC2E9D">
        <w:rPr>
          <w:rFonts w:ascii="Times New Roman" w:eastAsia="Times New Roman" w:hAnsi="Times New Roman" w:cs="Narkisim" w:hint="cs"/>
          <w:w w:val="115"/>
          <w:sz w:val="20"/>
          <w:szCs w:val="24"/>
          <w:rtl/>
          <w:lang w:bidi="he-IL"/>
        </w:rPr>
        <w:t>ש</w:t>
      </w:r>
      <w:r w:rsidRPr="00BC2E9D">
        <w:rPr>
          <w:rFonts w:ascii="Times New Roman" w:eastAsia="Times New Roman" w:hAnsi="Times New Roman" w:cs="Narkisim"/>
          <w:w w:val="115"/>
          <w:sz w:val="20"/>
          <w:szCs w:val="24"/>
          <w:rtl/>
          <w:lang w:bidi="he-IL"/>
        </w:rPr>
        <w:t xml:space="preserve">מן הכלי התחתון </w:t>
      </w:r>
      <w:r w:rsidRPr="00BC2E9D">
        <w:rPr>
          <w:rFonts w:ascii="Times New Roman" w:eastAsia="Times New Roman" w:hAnsi="Times New Roman" w:cs="Narkisim" w:hint="cs"/>
          <w:w w:val="115"/>
          <w:sz w:val="20"/>
          <w:szCs w:val="24"/>
          <w:rtl/>
          <w:lang w:bidi="he-IL"/>
        </w:rPr>
        <w:t xml:space="preserve">ואינה יכולה </w:t>
      </w:r>
      <w:r w:rsidRPr="00BC2E9D">
        <w:rPr>
          <w:rFonts w:ascii="Times New Roman" w:eastAsia="Times New Roman" w:hAnsi="Times New Roman" w:cs="Narkisim"/>
          <w:w w:val="115"/>
          <w:sz w:val="20"/>
          <w:szCs w:val="24"/>
          <w:rtl/>
          <w:lang w:bidi="he-IL"/>
        </w:rPr>
        <w:t>לבלוע</w:t>
      </w:r>
      <w:r w:rsidRPr="00BC2E9D">
        <w:rPr>
          <w:rFonts w:ascii="Times New Roman" w:eastAsia="Times New Roman" w:hAnsi="Times New Roman" w:cs="Narkisim" w:hint="cs"/>
          <w:w w:val="115"/>
          <w:sz w:val="20"/>
          <w:szCs w:val="24"/>
          <w:rtl/>
          <w:lang w:bidi="he-IL"/>
        </w:rPr>
        <w:t xml:space="preserve"> ע"י זה</w:t>
      </w:r>
      <w:r w:rsidRPr="00BC2E9D">
        <w:rPr>
          <w:rFonts w:ascii="Times New Roman" w:eastAsia="Times New Roman" w:hAnsi="Times New Roman" w:cs="Narkisim"/>
          <w:w w:val="115"/>
          <w:sz w:val="20"/>
          <w:szCs w:val="24"/>
          <w:rtl/>
          <w:lang w:bidi="he-IL"/>
        </w:rPr>
        <w:t xml:space="preserve">.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והנה בס' דבר חריף (פ"א הערה נ"ז) הביא ששמע ממרן הגריש"א זצ"ל להחמיר כחכמ"א לכתחילה, אבל להקל בדיעבד. ומשו"ה יש ליזהר כ</w:t>
      </w:r>
      <w:r w:rsidRPr="00BC2E9D">
        <w:rPr>
          <w:rFonts w:ascii="Times New Roman" w:eastAsia="Times New Roman" w:hAnsi="Times New Roman" w:cs="Narkisim" w:hint="cs"/>
          <w:w w:val="115"/>
          <w:sz w:val="20"/>
          <w:szCs w:val="24"/>
          <w:rtl/>
          <w:lang w:bidi="he-IL"/>
        </w:rPr>
        <w:t>ש</w:t>
      </w:r>
      <w:r w:rsidRPr="00BC2E9D">
        <w:rPr>
          <w:rFonts w:ascii="Times New Roman" w:eastAsia="Times New Roman" w:hAnsi="Times New Roman" w:cs="Narkisim"/>
          <w:w w:val="115"/>
          <w:sz w:val="20"/>
          <w:szCs w:val="24"/>
          <w:rtl/>
          <w:lang w:bidi="he-IL"/>
        </w:rPr>
        <w:t>חותכים דברים חריפים לעשות כן ע"ג משטח שהוא ממין המאכל שרוצה לאכול בה הדברים החריפים, וכן בסכין שהוא ממין זה. ובודאי במשטח וסכין פרווה עדיף טפי והוא הנהגה טובה מצד א', אבל מצד שני דבר זה הרבה פעמים מביא לידי מכשול, כשנעשה א' מן הכלים בשרי או חלבי, ולא עמד על זה עד שעירבבו הדברים החריפים למאכלים אחרים מן המין השני. ועכ"פ במשטח הנהגה טובה היא או לייחד קרש לחתיכת דברים שהם פרווה</w:t>
      </w:r>
      <w:r w:rsidRPr="00BC2E9D">
        <w:rPr>
          <w:rFonts w:ascii="Times New Roman" w:eastAsia="Times New Roman" w:hAnsi="Times New Roman" w:cs="Narkisim" w:hint="cs"/>
          <w:w w:val="115"/>
          <w:sz w:val="20"/>
          <w:szCs w:val="24"/>
          <w:rtl/>
          <w:lang w:bidi="he-IL"/>
        </w:rPr>
        <w:t xml:space="preserve"> (עם סכין פרווה)</w:t>
      </w:r>
      <w:r w:rsidRPr="00BC2E9D">
        <w:rPr>
          <w:rFonts w:ascii="Times New Roman" w:eastAsia="Times New Roman" w:hAnsi="Times New Roman" w:cs="Narkisim"/>
          <w:w w:val="115"/>
          <w:sz w:val="20"/>
          <w:szCs w:val="24"/>
          <w:rtl/>
          <w:lang w:bidi="he-IL"/>
        </w:rPr>
        <w:t xml:space="preserve">, או לחתוך תמיד ע"ג כלי חד פעמי, אבל </w:t>
      </w:r>
      <w:r w:rsidRPr="00BC2E9D">
        <w:rPr>
          <w:rFonts w:ascii="Times New Roman" w:eastAsia="Times New Roman" w:hAnsi="Times New Roman" w:cs="Narkisim" w:hint="cs"/>
          <w:w w:val="115"/>
          <w:sz w:val="20"/>
          <w:szCs w:val="24"/>
          <w:rtl/>
          <w:lang w:bidi="he-IL"/>
        </w:rPr>
        <w:t xml:space="preserve">אין </w:t>
      </w:r>
      <w:r w:rsidRPr="00BC2E9D">
        <w:rPr>
          <w:rFonts w:ascii="Times New Roman" w:eastAsia="Times New Roman" w:hAnsi="Times New Roman" w:cs="Narkisim"/>
          <w:w w:val="115"/>
          <w:sz w:val="20"/>
          <w:szCs w:val="24"/>
          <w:rtl/>
          <w:lang w:bidi="he-IL"/>
        </w:rPr>
        <w:t xml:space="preserve">לחתוך ישירות ע"ג השיש, כיון שהרבה פעמים נשפך עליו מן המין שיחדו לו, וכן </w:t>
      </w:r>
      <w:r w:rsidRPr="00BC2E9D">
        <w:rPr>
          <w:rFonts w:ascii="Times New Roman" w:eastAsia="Times New Roman" w:hAnsi="Times New Roman" w:cs="Narkisim" w:hint="cs"/>
          <w:w w:val="115"/>
          <w:sz w:val="20"/>
          <w:szCs w:val="24"/>
          <w:rtl/>
          <w:lang w:bidi="he-IL"/>
        </w:rPr>
        <w:t xml:space="preserve">מן </w:t>
      </w:r>
      <w:r w:rsidRPr="00BC2E9D">
        <w:rPr>
          <w:rFonts w:ascii="Times New Roman" w:eastAsia="Times New Roman" w:hAnsi="Times New Roman" w:cs="Narkisim"/>
          <w:w w:val="115"/>
          <w:sz w:val="20"/>
          <w:szCs w:val="24"/>
          <w:rtl/>
          <w:lang w:bidi="he-IL"/>
        </w:rPr>
        <w:t xml:space="preserve">המין השני בטעות, ואע"ג שעכשיו אינו בן יומו, מ"מ קיי"ל דדבר </w:t>
      </w:r>
      <w:r w:rsidRPr="00BC2E9D">
        <w:rPr>
          <w:rFonts w:ascii="Times New Roman" w:eastAsia="Times New Roman" w:hAnsi="Times New Roman" w:cs="Narkisim" w:hint="cs"/>
          <w:w w:val="115"/>
          <w:sz w:val="20"/>
          <w:szCs w:val="24"/>
          <w:rtl/>
          <w:lang w:bidi="he-IL"/>
        </w:rPr>
        <w:t xml:space="preserve">חריף </w:t>
      </w:r>
      <w:r w:rsidRPr="00BC2E9D">
        <w:rPr>
          <w:rFonts w:ascii="Times New Roman" w:eastAsia="Times New Roman" w:hAnsi="Times New Roman" w:cs="Narkisim"/>
          <w:w w:val="115"/>
          <w:sz w:val="20"/>
          <w:szCs w:val="24"/>
          <w:rtl/>
          <w:lang w:bidi="he-IL"/>
        </w:rPr>
        <w:t xml:space="preserve">מחליא לשבח.   </w:t>
      </w:r>
    </w:p>
    <w:p w:rsidR="00BC2E9D" w:rsidRPr="00BC2E9D" w:rsidRDefault="00BC2E9D" w:rsidP="00BC2E9D">
      <w:pPr>
        <w:keepNext/>
        <w:tabs>
          <w:tab w:val="left" w:pos="0"/>
        </w:tabs>
        <w:bidi/>
        <w:spacing w:before="240" w:after="240" w:line="240" w:lineRule="auto"/>
        <w:jc w:val="both"/>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hint="cs"/>
          <w:bCs/>
          <w:snapToGrid w:val="0"/>
          <w:sz w:val="24"/>
          <w:szCs w:val="36"/>
          <w:rtl/>
          <w:lang w:bidi="he-IL"/>
        </w:rPr>
        <w:t>עד איזה עומק נכנסו הבליעות בדבר חריף</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לשון הגמ' בדף קי"א ע"ב ....</w:t>
      </w:r>
    </w:p>
    <w:p w:rsidR="00BC2E9D" w:rsidRPr="00BC2E9D" w:rsidRDefault="00BC2E9D" w:rsidP="00BC2E9D">
      <w:pPr>
        <w:keepNext/>
        <w:tabs>
          <w:tab w:val="left" w:pos="0"/>
        </w:tabs>
        <w:bidi/>
        <w:spacing w:before="240" w:after="240" w:line="240" w:lineRule="auto"/>
        <w:jc w:val="both"/>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hint="cs"/>
          <w:bCs/>
          <w:snapToGrid w:val="0"/>
          <w:sz w:val="24"/>
          <w:szCs w:val="36"/>
          <w:rtl/>
          <w:lang w:bidi="he-IL"/>
        </w:rPr>
        <w:lastRenderedPageBreak/>
        <w:t>מה נחשב דבר חריף</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בהדיא מצאנו בגמ' שהבאנו לעיל דצנון וחילתית יש להם חומרא של דבר חריף (עכ"פ לענין זה דבלע ע"י דוחקא דסכינא). ויל"ע אם יש מאכלים אחרים שיש להם דין דבר חריף. ו</w:t>
      </w:r>
      <w:r w:rsidRPr="00BC2E9D">
        <w:rPr>
          <w:rFonts w:ascii="Times New Roman" w:eastAsia="Times New Roman" w:hAnsi="Times New Roman" w:cs="Narkisim"/>
          <w:w w:val="115"/>
          <w:sz w:val="20"/>
          <w:szCs w:val="24"/>
          <w:rtl/>
          <w:lang w:bidi="he-IL"/>
        </w:rPr>
        <w:t>הב"י הביא סמ"ק בשם רבינו יחיאל שאין לנו אלא מה שמנו חכמים</w:t>
      </w:r>
      <w:r w:rsidRPr="00BC2E9D">
        <w:rPr>
          <w:rFonts w:ascii="Times New Roman" w:eastAsia="Times New Roman" w:hAnsi="Times New Roman" w:cs="Narkisim" w:hint="cs"/>
          <w:w w:val="115"/>
          <w:sz w:val="20"/>
          <w:szCs w:val="24"/>
          <w:rtl/>
          <w:lang w:bidi="he-IL"/>
        </w:rPr>
        <w:t>,</w:t>
      </w:r>
      <w:r w:rsidRPr="00BC2E9D">
        <w:rPr>
          <w:rFonts w:ascii="Times New Roman" w:eastAsia="Times New Roman" w:hAnsi="Times New Roman" w:cs="Narkisim"/>
          <w:w w:val="115"/>
          <w:sz w:val="20"/>
          <w:szCs w:val="24"/>
          <w:rtl/>
          <w:lang w:bidi="he-IL"/>
        </w:rPr>
        <w:t xml:space="preserve"> צנון </w:t>
      </w:r>
      <w:r w:rsidRPr="00BC2E9D">
        <w:rPr>
          <w:rFonts w:ascii="Times New Roman" w:eastAsia="Times New Roman" w:hAnsi="Times New Roman" w:cs="Narkisim" w:hint="cs"/>
          <w:w w:val="115"/>
          <w:sz w:val="20"/>
          <w:szCs w:val="24"/>
          <w:rtl/>
          <w:lang w:bidi="he-IL"/>
        </w:rPr>
        <w:t>וחילתית אין ושאר מינים ל</w:t>
      </w:r>
      <w:r w:rsidRPr="00BC2E9D">
        <w:rPr>
          <w:rFonts w:ascii="Times New Roman" w:eastAsia="Times New Roman" w:hAnsi="Times New Roman" w:cs="Narkisim"/>
          <w:w w:val="115"/>
          <w:sz w:val="20"/>
          <w:szCs w:val="24"/>
          <w:rtl/>
          <w:lang w:bidi="he-IL"/>
        </w:rPr>
        <w:t xml:space="preserve">א. </w:t>
      </w:r>
      <w:r w:rsidRPr="00BC2E9D">
        <w:rPr>
          <w:rFonts w:ascii="Times New Roman" w:eastAsia="Times New Roman" w:hAnsi="Times New Roman" w:cs="Narkisim" w:hint="cs"/>
          <w:w w:val="115"/>
          <w:sz w:val="20"/>
          <w:szCs w:val="24"/>
          <w:rtl/>
          <w:lang w:bidi="he-IL"/>
        </w:rPr>
        <w:t>והיינו דאע"ג</w:t>
      </w:r>
      <w:r w:rsidRPr="00BC2E9D">
        <w:rPr>
          <w:rFonts w:ascii="Times New Roman" w:eastAsia="Times New Roman" w:hAnsi="Times New Roman" w:cs="Narkisim"/>
          <w:w w:val="115"/>
          <w:sz w:val="20"/>
          <w:szCs w:val="24"/>
          <w:rtl/>
          <w:lang w:bidi="he-IL"/>
        </w:rPr>
        <w:t xml:space="preserve"> </w:t>
      </w:r>
      <w:r w:rsidRPr="00BC2E9D">
        <w:rPr>
          <w:rFonts w:ascii="Times New Roman" w:eastAsia="Times New Roman" w:hAnsi="Times New Roman" w:cs="Narkisim" w:hint="cs"/>
          <w:w w:val="115"/>
          <w:sz w:val="20"/>
          <w:szCs w:val="24"/>
          <w:rtl/>
          <w:lang w:bidi="he-IL"/>
        </w:rPr>
        <w:t>ש</w:t>
      </w:r>
      <w:r w:rsidRPr="00BC2E9D">
        <w:rPr>
          <w:rFonts w:ascii="Times New Roman" w:eastAsia="Times New Roman" w:hAnsi="Times New Roman" w:cs="Narkisim"/>
          <w:w w:val="115"/>
          <w:sz w:val="20"/>
          <w:szCs w:val="24"/>
          <w:rtl/>
          <w:lang w:bidi="he-IL"/>
        </w:rPr>
        <w:t xml:space="preserve">יש </w:t>
      </w:r>
      <w:r w:rsidRPr="00BC2E9D">
        <w:rPr>
          <w:rFonts w:ascii="Times New Roman" w:eastAsia="Times New Roman" w:hAnsi="Times New Roman" w:cs="Narkisim" w:hint="cs"/>
          <w:w w:val="115"/>
          <w:sz w:val="20"/>
          <w:szCs w:val="24"/>
          <w:rtl/>
          <w:lang w:bidi="he-IL"/>
        </w:rPr>
        <w:t>מינים ה</w:t>
      </w:r>
      <w:r w:rsidRPr="00BC2E9D">
        <w:rPr>
          <w:rFonts w:ascii="Times New Roman" w:eastAsia="Times New Roman" w:hAnsi="Times New Roman" w:cs="Narkisim"/>
          <w:w w:val="115"/>
          <w:sz w:val="20"/>
          <w:szCs w:val="24"/>
          <w:rtl/>
          <w:lang w:bidi="he-IL"/>
        </w:rPr>
        <w:t xml:space="preserve">חריפים מאלו המבוארים בגמ' </w:t>
      </w:r>
      <w:r w:rsidRPr="00BC2E9D">
        <w:rPr>
          <w:rFonts w:ascii="Times New Roman" w:eastAsia="Times New Roman" w:hAnsi="Times New Roman" w:cs="Narkisim" w:hint="cs"/>
          <w:w w:val="115"/>
          <w:sz w:val="20"/>
          <w:szCs w:val="24"/>
          <w:rtl/>
          <w:lang w:bidi="he-IL"/>
        </w:rPr>
        <w:t xml:space="preserve">(כגון חריי"ן) </w:t>
      </w:r>
      <w:r w:rsidRPr="00BC2E9D">
        <w:rPr>
          <w:rFonts w:ascii="Times New Roman" w:eastAsia="Times New Roman" w:hAnsi="Times New Roman" w:cs="Narkisim"/>
          <w:w w:val="115"/>
          <w:sz w:val="20"/>
          <w:szCs w:val="24"/>
          <w:rtl/>
          <w:lang w:bidi="he-IL"/>
        </w:rPr>
        <w:t xml:space="preserve">מ"מ לא </w:t>
      </w:r>
      <w:r w:rsidRPr="00BC2E9D">
        <w:rPr>
          <w:rFonts w:ascii="Times New Roman" w:eastAsia="Times New Roman" w:hAnsi="Times New Roman" w:cs="Narkisim" w:hint="cs"/>
          <w:w w:val="115"/>
          <w:sz w:val="20"/>
          <w:szCs w:val="24"/>
          <w:rtl/>
          <w:lang w:bidi="he-IL"/>
        </w:rPr>
        <w:t xml:space="preserve">בכל המאכלים אמרינן דמהני להו חריפותם כדי שיבלעו ע"י דוחקא או דמחליא לשבח, ואין לומר שהתכונה שלהם כך מסתמא. </w:t>
      </w:r>
      <w:r w:rsidRPr="00BC2E9D">
        <w:rPr>
          <w:rFonts w:ascii="Times New Roman" w:eastAsia="Times New Roman" w:hAnsi="Times New Roman" w:cs="Narkisim"/>
          <w:w w:val="115"/>
          <w:sz w:val="20"/>
          <w:szCs w:val="24"/>
          <w:rtl/>
          <w:lang w:bidi="he-IL"/>
        </w:rPr>
        <w:t>ושיטת רוב ראשונים ש</w:t>
      </w:r>
      <w:r w:rsidRPr="00BC2E9D">
        <w:rPr>
          <w:rFonts w:ascii="Times New Roman" w:eastAsia="Times New Roman" w:hAnsi="Times New Roman" w:cs="Narkisim" w:hint="cs"/>
          <w:w w:val="115"/>
          <w:sz w:val="20"/>
          <w:szCs w:val="24"/>
          <w:rtl/>
          <w:lang w:bidi="he-IL"/>
        </w:rPr>
        <w:t>לא לחלק בין אלו המוזכרים לשאר מאכלים חריפים</w:t>
      </w:r>
      <w:r w:rsidRPr="00BC2E9D">
        <w:rPr>
          <w:rFonts w:ascii="Times New Roman" w:eastAsia="Times New Roman" w:hAnsi="Times New Roman" w:cs="Narkisim"/>
          <w:w w:val="115"/>
          <w:sz w:val="20"/>
          <w:szCs w:val="24"/>
          <w:rtl/>
          <w:lang w:bidi="he-IL"/>
        </w:rPr>
        <w:t xml:space="preserve">. </w:t>
      </w:r>
      <w:r w:rsidRPr="00BC2E9D">
        <w:rPr>
          <w:rFonts w:ascii="Times New Roman" w:eastAsia="Times New Roman" w:hAnsi="Times New Roman" w:cs="Narkisim" w:hint="cs"/>
          <w:w w:val="115"/>
          <w:sz w:val="20"/>
          <w:szCs w:val="24"/>
          <w:rtl/>
          <w:lang w:bidi="he-IL"/>
        </w:rPr>
        <w:t>ולכן אע"ג שלכאורה עיקר הדין דלא כשיטת ר' יחיאל, מ"מ</w:t>
      </w:r>
      <w:r w:rsidRPr="00BC2E9D">
        <w:rPr>
          <w:rFonts w:ascii="Times New Roman" w:eastAsia="Times New Roman" w:hAnsi="Times New Roman" w:cs="Narkisim"/>
          <w:w w:val="115"/>
          <w:sz w:val="20"/>
          <w:szCs w:val="24"/>
          <w:rtl/>
          <w:lang w:bidi="he-IL"/>
        </w:rPr>
        <w:t xml:space="preserve"> אנחנו מוצאים בין הפוסקים שלפעמים צירפו שיטתו להקל ביחד עם שיטות אחרות.</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ולשיטות החולקים על ר' יחיאל צ"ע לדעת איך לקבוע אם מאכל מסוים הוא דבר חריף. וכדי לעמוד על זה קודם צריכים לבאר איך קובעים אם מאכל מסוים חשוב דבר חריף או לא. ובשו"ע סי' צ"ו סע' ב' יש רשימה של כמה מאכלים חריפים כגון </w:t>
      </w:r>
      <w:r w:rsidRPr="00BC2E9D">
        <w:rPr>
          <w:rFonts w:ascii="Times New Roman" w:eastAsia="Times New Roman" w:hAnsi="Times New Roman" w:cs="Narkisim"/>
          <w:w w:val="115"/>
          <w:sz w:val="20"/>
          <w:szCs w:val="24"/>
          <w:rtl/>
          <w:lang w:bidi="he-IL"/>
        </w:rPr>
        <w:t xml:space="preserve">שומין ובצלים וכרישין ותמכא </w:t>
      </w:r>
      <w:r w:rsidRPr="00BC2E9D">
        <w:rPr>
          <w:rFonts w:ascii="Times New Roman" w:eastAsia="Times New Roman" w:hAnsi="Times New Roman" w:cs="Narkisim" w:hint="cs"/>
          <w:w w:val="115"/>
          <w:sz w:val="20"/>
          <w:szCs w:val="24"/>
          <w:rtl/>
          <w:lang w:bidi="he-IL"/>
        </w:rPr>
        <w:t>(</w:t>
      </w:r>
      <w:r w:rsidRPr="00BC2E9D">
        <w:rPr>
          <w:rFonts w:ascii="Times New Roman" w:eastAsia="Times New Roman" w:hAnsi="Times New Roman" w:cs="Narkisim"/>
          <w:w w:val="115"/>
          <w:sz w:val="20"/>
          <w:szCs w:val="24"/>
          <w:rtl/>
          <w:lang w:bidi="he-IL"/>
        </w:rPr>
        <w:t>שקורין קרי"ן) ופירות חמוצים ודגים מלוחים</w:t>
      </w:r>
      <w:r w:rsidRPr="00BC2E9D">
        <w:rPr>
          <w:rFonts w:ascii="Times New Roman" w:eastAsia="Times New Roman" w:hAnsi="Times New Roman" w:cs="Narkisim" w:hint="cs"/>
          <w:w w:val="115"/>
          <w:sz w:val="20"/>
          <w:szCs w:val="24"/>
          <w:rtl/>
          <w:lang w:bidi="he-IL"/>
        </w:rPr>
        <w:t xml:space="preserve">. ומ"מ לא מבואר מהו כלל הדברים. ובבית הלל רסי' צ"ה כתב (הביאו גם המש"ז סי' צ"ו ס"ק ט') </w:t>
      </w:r>
      <w:r w:rsidRPr="00BC2E9D">
        <w:rPr>
          <w:rFonts w:ascii="Times New Roman" w:eastAsia="Times New Roman" w:hAnsi="Times New Roman" w:cs="Narkisim"/>
          <w:w w:val="115"/>
          <w:sz w:val="20"/>
          <w:szCs w:val="24"/>
          <w:rtl/>
          <w:lang w:bidi="he-IL"/>
        </w:rPr>
        <w:t>"ונראה [שאין למאכל דין של דבר חריף לכל דיניו] דוקא אם הוא דבר חריף שאי אפשר לאוכלו בלא בישול רק דבר מועט או ע"י דבר אחר וכו".</w:t>
      </w:r>
      <w:r w:rsidRPr="00BC2E9D">
        <w:rPr>
          <w:rFonts w:ascii="Times New Roman" w:eastAsia="Times New Roman" w:hAnsi="Times New Roman" w:cs="Narkisim" w:hint="cs"/>
          <w:w w:val="115"/>
          <w:sz w:val="20"/>
          <w:szCs w:val="24"/>
          <w:rtl/>
          <w:lang w:bidi="he-IL"/>
        </w:rPr>
        <w:t xml:space="preserve"> הרי שיש לנו כלל לענין מה נקרא דבר חריף.</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(ובעיקר הדבר שצנון נחשב דבר חריף, אנחנו מוצאים בס' מקור ברוך (ח"ג פט"ז עמ' תקפ"ג) משמו של הגר"ח מוואלאזין שיש לחלק בין מיני הצנון, ורק הצנון השחור חריף ולא צנון הלבן. ובאמת הצנון השכיח בזמנינו שיש לו קליפה אדומה לא נראה כ"כ חריף. וע' גם בערוה"ש (סע' י"ג) שסמך על זה במידה מסוימת. אמנם בדרכ"ת כאן ס"ק א' כתב דצ"ע אם אפשר לסמוך על זה למעשה אפילו במקום הפס"מ).</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והנה בכלל הרשימה הנ"ל מוזכר גם פירות חמוצים. אבל </w:t>
      </w:r>
      <w:r w:rsidRPr="00BC2E9D">
        <w:rPr>
          <w:rFonts w:ascii="Times New Roman" w:eastAsia="Times New Roman" w:hAnsi="Times New Roman" w:cs="Narkisim"/>
          <w:w w:val="115"/>
          <w:sz w:val="20"/>
          <w:szCs w:val="24"/>
          <w:rtl/>
          <w:lang w:bidi="he-IL"/>
        </w:rPr>
        <w:t>הט"ז בס"ק ט' הביא מאו"ה (כלל ל"ח דין י"ד) שאין לתפוחים חמוצים דין דבר חריף. ומ"מ מבואר שיש לו דין חמוץ קצת. ולכן כתב הט"ז שם להחמיר גם בהם אא"כ הוא מקום הפסד</w:t>
      </w:r>
      <w:r w:rsidRPr="00BC2E9D">
        <w:rPr>
          <w:rFonts w:ascii="Times New Roman" w:eastAsia="Times New Roman" w:hAnsi="Times New Roman" w:cs="Narkisim" w:hint="cs"/>
          <w:w w:val="115"/>
          <w:sz w:val="20"/>
          <w:szCs w:val="24"/>
          <w:rtl/>
          <w:lang w:bidi="he-IL"/>
        </w:rPr>
        <w:t xml:space="preserve">. ויוצא שיש ג' דרגות, דבר שאינו חריף כלל, חריף קצת, וחריף לגמרי. ולפי"ז יל"ע איך קובעים מהו חריף קצת ומהו חריף גמור. </w:t>
      </w:r>
      <w:r w:rsidRPr="00BC2E9D">
        <w:rPr>
          <w:rFonts w:ascii="Times New Roman" w:eastAsia="Times New Roman" w:hAnsi="Times New Roman" w:cs="Narkisim"/>
          <w:w w:val="115"/>
          <w:sz w:val="20"/>
          <w:szCs w:val="24"/>
          <w:rtl/>
          <w:lang w:bidi="he-IL"/>
        </w:rPr>
        <w:t>וראיתי במגי"ס (סי' צ"ו אות י"ג) שכתב שאם יכול לאכול מהם הרבה אין לו דין דבר חריף כלל. ונראה דהבין כן בדעת הפמ"ג, אבל לכאורה הפמ"ג רצה לומר דכה"ג חשיב חמוץ קצת. וצ"ע.</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lastRenderedPageBreak/>
        <w:t>ויל"ע מה יהא דינו של תערובת שיש בה גם מן הדברים החריפים וגם ממאכלים אחרים, האם דינו כדבר חריף או לא. והנה כתב הרמ"א בסי' צ"ה סע' ב' "</w:t>
      </w:r>
      <w:r w:rsidRPr="00BC2E9D">
        <w:rPr>
          <w:rFonts w:ascii="Times New Roman" w:eastAsia="Times New Roman" w:hAnsi="Times New Roman" w:cs="Narkisim"/>
          <w:w w:val="115"/>
          <w:sz w:val="20"/>
          <w:szCs w:val="24"/>
          <w:rtl/>
          <w:lang w:bidi="he-IL"/>
        </w:rPr>
        <w:t>ומכל מקום לא מקרי מאכל דבר חריף משום מעט תבלין שבו, רק אם כולו הוא דבר חריף. ורובו ככולו</w:t>
      </w:r>
      <w:r w:rsidRPr="00BC2E9D">
        <w:rPr>
          <w:rFonts w:ascii="Times New Roman" w:eastAsia="Times New Roman" w:hAnsi="Times New Roman" w:cs="Narkisim" w:hint="cs"/>
          <w:w w:val="115"/>
          <w:sz w:val="20"/>
          <w:szCs w:val="24"/>
          <w:rtl/>
          <w:lang w:bidi="he-IL"/>
        </w:rPr>
        <w:t>". והפירוש הפשוט בדבריו שאם יש תערובת של מאכלים חריפים ואינם חריפים אזלינן בתר רובא. אמנם הוא מן הנמנע לומר בכגון מאכל שרובו פלפל שחור ומיעוטו מאכלים אחרים שלא חשוב דבר חריף, שהמציאות מעיד שהוא חריף כ"כ עד שלא ניתן לאכילה כלל. וע' בט"ז סי' ק"ג ס"ק ט' שכתב שמספיק שהוא "</w:t>
      </w:r>
      <w:r w:rsidRPr="00BC2E9D">
        <w:rPr>
          <w:rFonts w:ascii="Times New Roman" w:eastAsia="Times New Roman" w:hAnsi="Times New Roman" w:cs="Narkisim"/>
          <w:w w:val="115"/>
          <w:sz w:val="20"/>
          <w:szCs w:val="24"/>
          <w:rtl/>
          <w:lang w:bidi="he-IL"/>
        </w:rPr>
        <w:t>חלק גדול שהוא נרגש הרבה בקדרה</w:t>
      </w:r>
      <w:r w:rsidRPr="00BC2E9D">
        <w:rPr>
          <w:rFonts w:ascii="Times New Roman" w:eastAsia="Times New Roman" w:hAnsi="Times New Roman" w:cs="Narkisim" w:hint="cs"/>
          <w:w w:val="115"/>
          <w:sz w:val="20"/>
          <w:szCs w:val="24"/>
          <w:rtl/>
          <w:lang w:bidi="he-IL"/>
        </w:rPr>
        <w:t>". וכוונת הדברים שאם נתנו דברים חריפים כגון תבלין לתוך תבשיל להטעימו אבל לא עד כדי כך שנהפך להיות חריף אין מתחשבים בדברים החריפים שבבתוך התבשיל. אבל אם הדברים החריפים באמת הפכו את כל התבשיל להיות חריף דינו כדבר חריף.</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ולכאורה הי' נראה שכל דברי הרמ"א אינם אלא בכגון תבלינים שהתערבו בתבשיל ושוב אינם בעין, אבל אם יש חתיכות שהן בעין, כגון מרק שיש בה חתיכות של בצלים, לא אמרינן שמשום רוב המרק אין לבצלים דבר חריף, דכיון שהם בעין נידונים בפני עמצם. אמנם בס' דבר חריף (פ"ג הערה י"ח) ראיתי שהעיר שמן החוו"ד סי' צ"ה ס"ק ה' נראה שאין הדין כן, דהא כתב שם שמסתימת לשון הרמ"א משמע שאין צריך להסיר התבלינים מן התבשיל. הרי דמשמע שהם בפני עצמם ולכן איין צריך להסירם. ואולי יש לדחוק שכוונתו דרך צינון וכדומה. וצ"ע.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עוד נקודה אחת ראוי להדגיש שאפילו דבר שהי' חריף יכול ליהפך להיות אינו חריף. ומשו"ה סוברים כמה פוסקים (ע' פת"ש סי' צ"ו ס"ק ד') שבצלים המטוגנים או מבושלים כבר בטל חריפו שלהם. ולכן אם דר"מ ניצלו בצלים חיים בקדירה שיש בה טעם בשר שאינו ב"י, אמרינן שעכשיו יש בבצלים טעם בשר לשבח. אבל אם בישלו אותם לאחר מכן בקדרה של חלב שאינו ב"י, לא אמרינן שהבצלים נאסרים מטעם החלב, שהרי אחרי שנצלו כבר בטל חריפותן ושוב אין להם כח לחלות הבליעות של חלב לשבח (ומ"מ יש לדון בקדרה כיון שיתכן שנכנסו בה בליעות של בשר שהם לשבח, ואכמ"ל בזה). והנ"מ בצלים אבל לא כל המאכלים, שיש שנשארים בחריפות שלהם אפילו לאחר בישול (כגון פלפל שחור).. </w:t>
      </w:r>
    </w:p>
    <w:p w:rsidR="00BC2E9D" w:rsidRPr="00BC2E9D" w:rsidRDefault="00BC2E9D" w:rsidP="00BC2E9D">
      <w:pPr>
        <w:keepNext/>
        <w:tabs>
          <w:tab w:val="left" w:pos="0"/>
        </w:tabs>
        <w:bidi/>
        <w:spacing w:before="240" w:after="240" w:line="240" w:lineRule="auto"/>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hint="cs"/>
          <w:bCs/>
          <w:snapToGrid w:val="0"/>
          <w:sz w:val="24"/>
          <w:szCs w:val="36"/>
          <w:rtl/>
          <w:lang w:bidi="he-IL"/>
        </w:rPr>
        <w:t>בליעות שאינן בני יומן בדבר חריף</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הבאנו לעיל שבגמ' דמס' ע"ז מבואר שיש לדבר חריף תכונה להפוך דבר הנותן טעם לפגם להיות נותן טעם לשבח. ובגדר הדברים נחלקו גדולי האחרונים (כן נקט בשו"ת משכנ"י </w:t>
      </w:r>
      <w:r w:rsidRPr="00BC2E9D">
        <w:rPr>
          <w:rFonts w:ascii="Times New Roman" w:eastAsia="Times New Roman" w:hAnsi="Times New Roman" w:cs="Narkisim" w:hint="cs"/>
          <w:w w:val="115"/>
          <w:sz w:val="20"/>
          <w:szCs w:val="24"/>
          <w:rtl/>
          <w:lang w:bidi="he-IL"/>
        </w:rPr>
        <w:lastRenderedPageBreak/>
        <w:t xml:space="preserve">סי' ל"ג וחזו"א). כמה אחרונים נקטו שאין הבליעה עצמה נהפכת להיות לשבח, רק דכיון שהמאכל חריף הוא, כל דבר שתתן לתוכו הרי זה מפיג חריפותו ומשו"ה הוי לשבח. אמנם החוו"ד בסי' ק"ג ס"ק ט' דחה פירוש כזה, משום דא"כ אם יעבור הבליעה למקום אחר מן הדבר חריף, יצא דשם שוב הוי לפגם ולא יאסור (ואין לומר חענ"ן כיון שיש מקורות דאמרינן שהרי הוא לשבח במקום אחר אפילו בהיתירא). משו"ה נקט שהפירוש בזה שנעשה לשבח היינו שהדבר חריף משפיע על הבליעה עצמה להיות נהפכת לנותן טעם לשבח.  </w:t>
      </w:r>
    </w:p>
    <w:p w:rsidR="00BC2E9D" w:rsidRPr="00BC2E9D" w:rsidRDefault="00BC2E9D" w:rsidP="00BC2E9D">
      <w:pPr>
        <w:keepNext/>
        <w:tabs>
          <w:tab w:val="left" w:pos="0"/>
        </w:tabs>
        <w:bidi/>
        <w:spacing w:before="240" w:after="240" w:line="240" w:lineRule="auto"/>
        <w:jc w:val="both"/>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hint="cs"/>
          <w:bCs/>
          <w:snapToGrid w:val="0"/>
          <w:sz w:val="24"/>
          <w:szCs w:val="36"/>
          <w:rtl/>
          <w:lang w:bidi="he-IL"/>
        </w:rPr>
        <w:t>האם התכונה להפוך נטל"פ לנ"ט לשבח נאמר בכל דבר חריף</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הבאנו לעיל שבגמ' דמס' ע"ז מבואר שיש לדבר חריף תכונה להפוך דבר הנותן טעם לפגם להיות נותן טעם לשבח. אמנם מפורש בגמ' לא מצאנו אלא חילתית. וסבר מהר"ם (הביאו הרא"ש במס' ע"ז פ"ב סי' ל"ח והטור סי' צ"ו) שבאמת מדנקט דוקא חילתית שחריף ביותר ולא מידי אחרינא ש"מ שחומרא זו לא נאמר אלא בחילתית, אבל בשאר דבר חריף (אפילו יש לו דין דבר חריף למילי אחריני) לא אמרינן דמחליא לי' לשבח. ובביאור הגר"א (סי' צ"ו ס"ק ב') הביא לזה עוד הוכחה מגמ' דמס' ברכות ל"ו ע"ב "</w:t>
      </w:r>
      <w:r w:rsidRPr="00BC2E9D">
        <w:rPr>
          <w:rFonts w:ascii="Times New Roman" w:eastAsia="Times New Roman" w:hAnsi="Times New Roman" w:cs="Narkisim"/>
          <w:w w:val="115"/>
          <w:sz w:val="20"/>
          <w:szCs w:val="24"/>
          <w:rtl/>
          <w:lang w:bidi="he-IL"/>
        </w:rPr>
        <w:t>אמר רבא האי המלתא דאתיא מבי הנדואי שריא</w:t>
      </w:r>
      <w:r w:rsidRPr="00BC2E9D">
        <w:rPr>
          <w:rFonts w:ascii="Times New Roman" w:eastAsia="Times New Roman" w:hAnsi="Times New Roman" w:cs="Narkisim" w:hint="cs"/>
          <w:w w:val="115"/>
          <w:sz w:val="20"/>
          <w:szCs w:val="24"/>
          <w:rtl/>
          <w:lang w:bidi="he-IL"/>
        </w:rPr>
        <w:t>" ופירש"י שם "</w:t>
      </w:r>
      <w:r w:rsidRPr="00BC2E9D">
        <w:rPr>
          <w:rFonts w:ascii="Times New Roman" w:eastAsia="Times New Roman" w:hAnsi="Times New Roman" w:cs="Narkisim"/>
          <w:w w:val="115"/>
          <w:sz w:val="20"/>
          <w:szCs w:val="24"/>
          <w:rtl/>
          <w:lang w:bidi="he-IL"/>
        </w:rPr>
        <w:t>שריא</w:t>
      </w:r>
      <w:r w:rsidRPr="00BC2E9D">
        <w:rPr>
          <w:rFonts w:ascii="Times New Roman" w:eastAsia="Times New Roman" w:hAnsi="Times New Roman" w:cs="Narkisim" w:hint="cs"/>
          <w:w w:val="115"/>
          <w:sz w:val="20"/>
          <w:szCs w:val="24"/>
          <w:rtl/>
          <w:lang w:bidi="he-IL"/>
        </w:rPr>
        <w:t>.</w:t>
      </w:r>
      <w:r w:rsidRPr="00BC2E9D">
        <w:rPr>
          <w:rFonts w:ascii="Times New Roman" w:eastAsia="Times New Roman" w:hAnsi="Times New Roman" w:cs="Narkisim"/>
          <w:w w:val="115"/>
          <w:sz w:val="20"/>
          <w:szCs w:val="24"/>
          <w:rtl/>
          <w:lang w:bidi="he-IL"/>
        </w:rPr>
        <w:t xml:space="preserve"> אין בה לא משום בשול נכרים ולא משום געול נכרים</w:t>
      </w:r>
      <w:r w:rsidRPr="00BC2E9D">
        <w:rPr>
          <w:rFonts w:ascii="Times New Roman" w:eastAsia="Times New Roman" w:hAnsi="Times New Roman" w:cs="Narkisim" w:hint="cs"/>
          <w:w w:val="115"/>
          <w:sz w:val="20"/>
          <w:szCs w:val="24"/>
          <w:rtl/>
          <w:lang w:bidi="he-IL"/>
        </w:rPr>
        <w:t>". והראשונים מעידים דהמלתא דבר חריף הוא, וא"כ צ"ע שאפילו אם הכלים אינן בני יומן הי' צריך להיות אסור. ולדעת מהר"ם ניחא כיון שלא נאמר אלא בחילתית. אמנם שיטת ספר התרומה שחומרא זו נאמר בכל דבר חריף, וחילתית לאו דוקא נקט. ואי מהא דהומלתא, ע' במרדכי שם במס' ברכות (רמז קט"ז) שכתב שטעם ההיתר משום דנתלשת בידים א"נ שיש להם כלים המיוחדים (וע' ביאור הגר"א סי' צ"ה ס"ק י"ד שכנראה הי' לו גירסא אחרת במרדכי ופי' בענין אחר). ולכאורה עוד יש לדחות ע"פ שיטת ר' יחיאל שלא נאמר חומרא דדבר חריף אלא בדברים המפורשים בהדיא בגמ' (וצ"ע שלא תי' כן הגר"א).</w:t>
      </w:r>
    </w:p>
    <w:p w:rsidR="00BC2E9D" w:rsidRPr="00BC2E9D" w:rsidRDefault="00BC2E9D" w:rsidP="00BC2E9D">
      <w:pPr>
        <w:keepNext/>
        <w:tabs>
          <w:tab w:val="left" w:pos="0"/>
        </w:tabs>
        <w:bidi/>
        <w:spacing w:before="240" w:after="240" w:line="240" w:lineRule="auto"/>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hint="cs"/>
          <w:bCs/>
          <w:snapToGrid w:val="0"/>
          <w:sz w:val="24"/>
          <w:szCs w:val="36"/>
          <w:rtl/>
          <w:lang w:bidi="he-IL"/>
        </w:rPr>
        <w:t>נ"ט בר נ"ט בדבר חריף</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הנה בגמ' שבמס' חולין הנ"ל איתא שיש חילוק בין דגים שעלו בקערה לצנון שחתכו בסכין, שזה מותר וזה אסור. ולכאורה צ"ע, דנהי נמי דמבואר שם דאגב חורפי' בלע בצנון אפילו בצונן ע"י דוחקא דסכינא, אבל מ"מ למה לא יהא לצנון דינא דנ"ט בר נ"ט כמו בדגים שעלו בקערה. ובפירש"י שם יש ב' פירושים. או משום שבסכין יש שמנונית על פניו, ולכן בצנון אינו נ"ט בר נ"ט, דהא הצנון קיבל טעם מן המאכל, משא"כ בדגים שלא קיבלו טעם </w:t>
      </w:r>
      <w:r w:rsidRPr="00BC2E9D">
        <w:rPr>
          <w:rFonts w:ascii="Times New Roman" w:eastAsia="Times New Roman" w:hAnsi="Times New Roman" w:cs="Narkisim" w:hint="cs"/>
          <w:w w:val="115"/>
          <w:sz w:val="20"/>
          <w:szCs w:val="24"/>
          <w:rtl/>
          <w:lang w:bidi="he-IL"/>
        </w:rPr>
        <w:lastRenderedPageBreak/>
        <w:t xml:space="preserve">אלא מן הכלי. אבל יש פירוש אחר דלעולם מיירי בסכין מקונח, אלא שיש חילוק בין דבר חריף לדגים, והוא משום דדבר חריף בלע טפי מדגים שעלו בקערה, ולכן לא נקלש הטעם כשנבלע בדבר חריף, משא"כ בדגים שעלו בקערה שאינם בולעים כ"כ בחוזק כמו בדבר חריף, ולכן נקלש.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והנה שם בתוס' דנו אם נאמר הדין של נ"ט בר נ"ט היכא דנתבשלו (ע' במש"כ בזה בענין נ"ט בר נ"ט), ותלו נידון זה בפירוש דברי הגמ' הנ"ל בצנון, שאם מיירי בסכין מקונח ע"כ חזינן שאם יש כח לבלוע טפי לא אמרינן שנקלש, אבל אם מיירי דוקא בסכין שיש עליו שמנונית היינו משום שנבלע אגב חורפי' דינו כעלו בקערה, וכמו שבזה נאמר הקולא של נ"ט בר נ"ט הה"נ בזה. ולכן גם בנתבשלו י"ל שדינו כעלו.</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ובדינא דנ"ט בר נ"ט היכא דנתבשלו, נתבאר שלשיטת המחבר בשו"ע (רסי' צ"ה) לא מחלקינן. ואפילו הרמ"א לא החמיר בזה אלא לכתחילה, אבל בדיעבד גם הוא הקיל. וע"פ הנ"ל לכאורה הי' צריך להיות הדין שגם בדבר חריף יהא מותר עכ"פ בדיעבד לשיטת הרמ"א. אמנם בסי' צ"ה סע' ב' כתב הרמ"א שבדבר חריף שבלע מן הכלי ושוב נתבשל בחלב הרי זה אסור אפילו בדיעבד. והקשו כמה אחרונים (ע' פר"ח רסי' צ"ו, ושו"ת מקום שמואל סי' פ"ט והביאו הפת"ש בסי' צ"ה ס"ק ד') שלכאורה זהו דלא כמשמעות התוס' ועוד ראשונים שהדין של נ"ט בר נ"ט בדבר חריף, והדין של נ"ט בר נ"ט היכא דנתבשלו תלויים זה בזה. ומ"מ חזינן לדעתי' של הרמ"א דלית לי' תלי' זו וסבר שאפילו אם מקילים בנצלו מ"מ בדבר חריף הדין הוא להחמיר אפילו בדיעבד. אמנם לפעמים מצרפים השיטה הסוברת שאין חומרא בנ"ט בר נ"ט בדבר חריף, ויתבאר בהמשך.</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והנה לפי השיטה הסוברת דליתי' להיתירא דנ"ט בר נ"ט היכא דנתבשלו, ביארנו שאין זה בכל אופן, שהרי כתבו התוס' והרא"ש שאם יש ג' נ"ט או ב' כלים הדין הוא להקל. ויל"ע מה הם פרטי הדיניים בדין נ"ט בר נ"ט בדבר חריף. והנה המג"א </w:t>
      </w:r>
      <w:r w:rsidRPr="00BC2E9D">
        <w:rPr>
          <w:rFonts w:ascii="Times New Roman" w:eastAsia="Times New Roman" w:hAnsi="Times New Roman" w:cs="Narkisim"/>
          <w:w w:val="115"/>
          <w:sz w:val="20"/>
          <w:szCs w:val="24"/>
          <w:rtl/>
          <w:lang w:bidi="he-IL"/>
        </w:rPr>
        <w:t xml:space="preserve">באו"ח סי' תנ"א ס"ק ל"א </w:t>
      </w:r>
      <w:r w:rsidRPr="00BC2E9D">
        <w:rPr>
          <w:rFonts w:ascii="Times New Roman" w:eastAsia="Times New Roman" w:hAnsi="Times New Roman" w:cs="Narkisim" w:hint="cs"/>
          <w:w w:val="115"/>
          <w:sz w:val="20"/>
          <w:szCs w:val="24"/>
          <w:rtl/>
          <w:lang w:bidi="he-IL"/>
        </w:rPr>
        <w:t xml:space="preserve">כתב </w:t>
      </w:r>
      <w:r w:rsidRPr="00BC2E9D">
        <w:rPr>
          <w:rFonts w:ascii="Times New Roman" w:eastAsia="Times New Roman" w:hAnsi="Times New Roman" w:cs="Narkisim"/>
          <w:w w:val="115"/>
          <w:sz w:val="20"/>
          <w:szCs w:val="24"/>
          <w:rtl/>
          <w:lang w:bidi="he-IL"/>
        </w:rPr>
        <w:t xml:space="preserve">"ומה"ט עושים שלא כדין שלפעמים חותכין זנגביל בסכין של בשר ודכין אותו במדוכה ונמצא המדוכה בלוע מבשר ואחר כך דכין בתוכו בשמים ואוכלין בחלב לכן יש ליזהר שלא לחתוך הזנגביל רק בסכין חדש". וכוונתו </w:t>
      </w:r>
      <w:r w:rsidRPr="00BC2E9D">
        <w:rPr>
          <w:rFonts w:ascii="Times New Roman" w:eastAsia="Times New Roman" w:hAnsi="Times New Roman" w:cs="Narkisim" w:hint="cs"/>
          <w:w w:val="115"/>
          <w:sz w:val="20"/>
          <w:szCs w:val="24"/>
          <w:rtl/>
          <w:lang w:bidi="he-IL"/>
        </w:rPr>
        <w:t>ש</w:t>
      </w:r>
      <w:r w:rsidRPr="00BC2E9D">
        <w:rPr>
          <w:rFonts w:ascii="Times New Roman" w:eastAsia="Times New Roman" w:hAnsi="Times New Roman" w:cs="Narkisim"/>
          <w:w w:val="115"/>
          <w:sz w:val="20"/>
          <w:szCs w:val="24"/>
          <w:rtl/>
          <w:lang w:bidi="he-IL"/>
        </w:rPr>
        <w:t xml:space="preserve">לפי מאי דמחמרינן דליתי' להיתירא דנ"ט בר נ"ט בדבר חריף, </w:t>
      </w:r>
      <w:r w:rsidRPr="00BC2E9D">
        <w:rPr>
          <w:rFonts w:ascii="Times New Roman" w:eastAsia="Times New Roman" w:hAnsi="Times New Roman" w:cs="Narkisim" w:hint="cs"/>
          <w:w w:val="115"/>
          <w:sz w:val="20"/>
          <w:szCs w:val="24"/>
          <w:rtl/>
          <w:lang w:bidi="he-IL"/>
        </w:rPr>
        <w:t>לא איכפת לן מה שיש כאן נ"ט בר נ"ט</w:t>
      </w:r>
      <w:r w:rsidRPr="00BC2E9D">
        <w:rPr>
          <w:rFonts w:ascii="Times New Roman" w:eastAsia="Times New Roman" w:hAnsi="Times New Roman" w:cs="Narkisim"/>
          <w:w w:val="115"/>
          <w:sz w:val="20"/>
          <w:szCs w:val="24"/>
          <w:rtl/>
          <w:lang w:bidi="he-IL"/>
        </w:rPr>
        <w:t xml:space="preserve"> אע"ג שלכאורה יש כאן כמה וכמה נ"ט, דהא מן הבשר לסכין, ומן הסכין לזנגביל, ומן הזנגביל למדוכה, ומן המדוכה לבשמים, ומן הבשמים לחלב, מ"מ הא ליתי' לדינא דנ"ט בר נ"ט בדבר חריף.</w:t>
      </w:r>
      <w:r w:rsidRPr="00BC2E9D">
        <w:rPr>
          <w:rFonts w:ascii="Times New Roman" w:eastAsia="Times New Roman" w:hAnsi="Times New Roman" w:cs="Narkisim" w:hint="cs"/>
          <w:w w:val="115"/>
          <w:sz w:val="20"/>
          <w:szCs w:val="24"/>
          <w:rtl/>
          <w:lang w:bidi="he-IL"/>
        </w:rPr>
        <w:t xml:space="preserve"> ונראה דסבר </w:t>
      </w:r>
      <w:r w:rsidRPr="00BC2E9D">
        <w:rPr>
          <w:rFonts w:ascii="Times New Roman" w:eastAsia="Times New Roman" w:hAnsi="Times New Roman" w:cs="Narkisim" w:hint="cs"/>
          <w:w w:val="115"/>
          <w:sz w:val="20"/>
          <w:szCs w:val="24"/>
          <w:rtl/>
          <w:lang w:bidi="he-IL"/>
        </w:rPr>
        <w:lastRenderedPageBreak/>
        <w:t>דאע"ג שאפילו היכא שנתבשלו מקילינן כשיש ג' נ"ט, מ"מ דבר חריף חמיר טפי ואין בה קולא זו.</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(ולשיטת המג"א נחלקו האחרונים מה יהא הדין אם יחתוך דבר חריף בסכין של בשר, ושוב יחתך בה מאכל אחר שאינו חריף, ולאחר מכן יבשל המאכל החדש עם עוד מאכל אחר שאינו חריף יהא בה דין נ"ט בר נ"ט. שלכאורה י"ל דאע"ג שהדבר חריף העביר את כל הטעם מן הסכין לתוך המאכל הראשון שאינו חריף, מ"מ לא יהא אלא הסכין הראשון, ואם עלו בה מאכלים אחרים (או בישלו למ"ד) יהי' ממש דגים שעלו בקערה שמותר לאוכלן בכותח. אמנם לפמש"נ באופן ההקלשה של נ"ט בר נ"ט שי"א שההקלשה אינה אלא ע"י שיצא מן הכלי ולא ע"י זה שנכנס לכלי, י"ל דכיון שכולו יוצא מן הכלי ע"י הדבר החריף, אין כאן אפילו הקלשה הראשונה. והשפ"ד סי' צ"ו ס"ק ב' נקט להחמיר, רע"א בגלוין (מכת"י) תמה עליו כיון דעכ"פ יש ההקלשה של הסכין, והיינו דסבר כסברא הראשונה. וע' עוד מש"כ בס' מגילת ספר סי' צ"ו אות י').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ובאבן העוזר המובא בגליון השו"ע כאן (והמחצית השקל על המג"א הנ"ל מכנה</w:t>
      </w:r>
      <w:r w:rsidRPr="00BC2E9D">
        <w:rPr>
          <w:rFonts w:ascii="Times New Roman" w:eastAsia="Times New Roman" w:hAnsi="Times New Roman" w:cs="Narkisim" w:hint="cs"/>
          <w:w w:val="115"/>
          <w:sz w:val="20"/>
          <w:szCs w:val="24"/>
          <w:rtl/>
          <w:lang w:bidi="he-IL"/>
        </w:rPr>
        <w:t xml:space="preserve"> אותו א</w:t>
      </w:r>
      <w:r w:rsidRPr="00BC2E9D">
        <w:rPr>
          <w:rFonts w:ascii="Times New Roman" w:eastAsia="Times New Roman" w:hAnsi="Times New Roman" w:cs="Narkisim"/>
          <w:w w:val="115"/>
          <w:sz w:val="20"/>
          <w:szCs w:val="24"/>
          <w:rtl/>
          <w:lang w:bidi="he-IL"/>
        </w:rPr>
        <w:t xml:space="preserve">בן העוזר המובא בבאר היטב) חלק על המג"א, וסבר דהחומרא שבדבר חריף ליתי' להיתירא דנ"ט בר נ"ט, אין זה אלא לענין מה שיש לדבר חריף כח לבלוע את כל הטעם מן הכלי, ולכן אינו נחשב כתוספת נ"ט בזה שעבר מן הכלי לדבר חריף, אבל אין לדבר חריף תכונה גם להבליע כל הטעם שבלע באופן שלא נשאר בה שום טעם והכל עבר לכלי השני. ולכן אם חתך צנון בסכין שיש בה טעם ושוב חתך הדבר חריף במידי אחרינא, אמרינן שעכ"פ הי' כאן נ"ט נוספת מזה שעבר מן הדבר חריף לכלי השני.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 xml:space="preserve">וע"ש במחצית השקל שהעיר שלכאורה פלוגתת המג"א ואבן העוזר היא היא פלוגתת הש"ך בסי' קכ"ב ס"ק ב' ובנו שם בנקוה"כ. דז"ל הש"ך שם "ובד"מ ובת"ח כלל ס"א דין י"ב כתב בשם או"ה דאם בשלו דבר חריף בקדירה של בשר שאינו ב"י ואח"כ בשלו בו חלב (אחר) [תוך] מע"ל המאכל מותר ולא אמרינן החריפות שבקדירה עושה שמפליט עכשיו לשבח ע"כ וה"ה אם בישל דבר חריף בקדירה של איסור שאינו ב"י ואח"כ שהה מע"ל משנתבשל בו הדבר חריף מותר וכן אם בישל דבר חריף בקדרה של בשר ב"י אם בישלו בו אחר (כך) מע"ל שנתבשל בו הבשר אף על פי שאינו מעת לעת משנתבשל בו הדבר חריף והיה בן יומו כשנתבשל בו הדבר חריף מותר אבל אם נתבשל בו תחלה דבר איסור אפילו נתבשל בו אח"כ דבר שאינו חריף אם הוא ב"י מונין אחר כך מעת לעת מתבשיל השני </w:t>
      </w:r>
      <w:r w:rsidRPr="00BC2E9D">
        <w:rPr>
          <w:rFonts w:ascii="Times New Roman" w:eastAsia="Times New Roman" w:hAnsi="Times New Roman" w:cs="Narkisim"/>
          <w:w w:val="115"/>
          <w:sz w:val="20"/>
          <w:szCs w:val="24"/>
          <w:rtl/>
          <w:lang w:bidi="he-IL"/>
        </w:rPr>
        <w:lastRenderedPageBreak/>
        <w:t xml:space="preserve">כדלעיל סימן צ"ד ס"ק כ"ב". </w:t>
      </w:r>
      <w:r w:rsidRPr="00BC2E9D">
        <w:rPr>
          <w:rFonts w:ascii="Times New Roman" w:eastAsia="Times New Roman" w:hAnsi="Times New Roman" w:cs="Narkisim" w:hint="cs"/>
          <w:w w:val="115"/>
          <w:sz w:val="20"/>
          <w:szCs w:val="24"/>
          <w:rtl/>
          <w:lang w:bidi="he-IL"/>
        </w:rPr>
        <w:t>הרי שכתב שאם בישל דבר חריף בקדרה של בשר אין הקדרה אוסרת חלב אם בישלו אותו תוך מעל"ע מן הדבר החריף. ולכאורה צ"ע, שהרי הדבר חריף בלע טעם בשעה שבישל אותו, ושוב הבליע טעם זה לקדרה, ולמה לא תהא טעם זה אוסר תוך מעל"ע משעת בישול הדבר החריף. וע"כ חזינן כשיטת אבן העוזר, דכה"ג אין לאסור כיון דהוי נ"ט בר נ"ט.</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וב</w:t>
      </w:r>
      <w:r w:rsidRPr="00BC2E9D">
        <w:rPr>
          <w:rFonts w:ascii="Times New Roman" w:eastAsia="Times New Roman" w:hAnsi="Times New Roman" w:cs="Narkisim"/>
          <w:w w:val="115"/>
          <w:sz w:val="20"/>
          <w:szCs w:val="24"/>
          <w:rtl/>
          <w:lang w:bidi="he-IL"/>
        </w:rPr>
        <w:t xml:space="preserve">נקוה"כ שם </w:t>
      </w:r>
      <w:r w:rsidRPr="00BC2E9D">
        <w:rPr>
          <w:rFonts w:ascii="Times New Roman" w:eastAsia="Times New Roman" w:hAnsi="Times New Roman" w:cs="Narkisim" w:hint="cs"/>
          <w:w w:val="115"/>
          <w:sz w:val="20"/>
          <w:szCs w:val="24"/>
          <w:rtl/>
          <w:lang w:bidi="he-IL"/>
        </w:rPr>
        <w:t xml:space="preserve">כתב על זה </w:t>
      </w:r>
      <w:r w:rsidRPr="00BC2E9D">
        <w:rPr>
          <w:rFonts w:ascii="Times New Roman" w:eastAsia="Times New Roman" w:hAnsi="Times New Roman" w:cs="Narkisim"/>
          <w:w w:val="115"/>
          <w:sz w:val="20"/>
          <w:szCs w:val="24"/>
          <w:rtl/>
          <w:lang w:bidi="he-IL"/>
        </w:rPr>
        <w:t>"גם במה שכתב הגאון אמ"ו ז"ל וכן אם בישל דבר חריף בקדרה של בשר בת יומה אם בישלו אחר כך מעת לעת משנתבשל בו הבשר וכו' מותר ומביא ראיה מסימן צ"ד ס"ק כ"ב ואני חוכך בדין זה דשאני התם שלא בישלו דבר חריף מה שאין כן הכא דבישול שני הוי דבר חריף ומשוי למה שבתוך דופני הכלי כאילו נתבשל השתא.</w:t>
      </w:r>
      <w:r w:rsidRPr="00BC2E9D">
        <w:rPr>
          <w:rFonts w:ascii="Times New Roman" w:eastAsia="Times New Roman" w:hAnsi="Times New Roman" w:cs="Narkisim" w:hint="cs"/>
          <w:w w:val="115"/>
          <w:sz w:val="20"/>
          <w:szCs w:val="24"/>
          <w:rtl/>
          <w:lang w:bidi="he-IL"/>
        </w:rPr>
        <w:t xml:space="preserve">" הרי שלכאורה אית לי' כדעת המג"א שליכא היתירא דנ"ט בר נ"ט בדבר חריף כלל, בין במה שבולע ובין במה שמבליע. </w:t>
      </w:r>
      <w:r w:rsidRPr="00BC2E9D">
        <w:rPr>
          <w:rFonts w:ascii="Times New Roman" w:eastAsia="Times New Roman" w:hAnsi="Times New Roman" w:cs="Narkisim"/>
          <w:w w:val="115"/>
          <w:sz w:val="20"/>
          <w:szCs w:val="24"/>
          <w:rtl/>
          <w:lang w:bidi="he-IL"/>
        </w:rPr>
        <w:t xml:space="preserve">וע"ש </w:t>
      </w:r>
      <w:r w:rsidRPr="00BC2E9D">
        <w:rPr>
          <w:rFonts w:ascii="Times New Roman" w:eastAsia="Times New Roman" w:hAnsi="Times New Roman" w:cs="Narkisim" w:hint="cs"/>
          <w:w w:val="115"/>
          <w:sz w:val="20"/>
          <w:szCs w:val="24"/>
          <w:rtl/>
          <w:lang w:bidi="he-IL"/>
        </w:rPr>
        <w:t xml:space="preserve">במחצית השקל </w:t>
      </w:r>
      <w:r w:rsidRPr="00BC2E9D">
        <w:rPr>
          <w:rFonts w:ascii="Times New Roman" w:eastAsia="Times New Roman" w:hAnsi="Times New Roman" w:cs="Narkisim"/>
          <w:w w:val="115"/>
          <w:sz w:val="20"/>
          <w:szCs w:val="24"/>
          <w:rtl/>
          <w:lang w:bidi="he-IL"/>
        </w:rPr>
        <w:t>ש</w:t>
      </w:r>
      <w:r w:rsidRPr="00BC2E9D">
        <w:rPr>
          <w:rFonts w:ascii="Times New Roman" w:eastAsia="Times New Roman" w:hAnsi="Times New Roman" w:cs="Narkisim" w:hint="cs"/>
          <w:w w:val="115"/>
          <w:sz w:val="20"/>
          <w:szCs w:val="24"/>
          <w:rtl/>
          <w:lang w:bidi="he-IL"/>
        </w:rPr>
        <w:t xml:space="preserve">נטה לדעת </w:t>
      </w:r>
      <w:r w:rsidRPr="00BC2E9D">
        <w:rPr>
          <w:rFonts w:ascii="Times New Roman" w:eastAsia="Times New Roman" w:hAnsi="Times New Roman" w:cs="Narkisim"/>
          <w:w w:val="115"/>
          <w:sz w:val="20"/>
          <w:szCs w:val="24"/>
          <w:rtl/>
          <w:lang w:bidi="he-IL"/>
        </w:rPr>
        <w:t xml:space="preserve">המג"א </w:t>
      </w:r>
      <w:r w:rsidRPr="00BC2E9D">
        <w:rPr>
          <w:rFonts w:ascii="Times New Roman" w:eastAsia="Times New Roman" w:hAnsi="Times New Roman" w:cs="Narkisim" w:hint="cs"/>
          <w:w w:val="115"/>
          <w:sz w:val="20"/>
          <w:szCs w:val="24"/>
          <w:rtl/>
          <w:lang w:bidi="he-IL"/>
        </w:rPr>
        <w:t xml:space="preserve">כיון </w:t>
      </w:r>
      <w:r w:rsidRPr="00BC2E9D">
        <w:rPr>
          <w:rFonts w:ascii="Times New Roman" w:eastAsia="Times New Roman" w:hAnsi="Times New Roman" w:cs="Narkisim"/>
          <w:w w:val="115"/>
          <w:sz w:val="20"/>
          <w:szCs w:val="24"/>
          <w:rtl/>
          <w:lang w:bidi="he-IL"/>
        </w:rPr>
        <w:t>שאנחנו מוצאים בכגו</w:t>
      </w:r>
      <w:r w:rsidRPr="00BC2E9D">
        <w:rPr>
          <w:rFonts w:ascii="Times New Roman" w:eastAsia="Times New Roman" w:hAnsi="Times New Roman" w:cs="Narkisim" w:hint="cs"/>
          <w:w w:val="115"/>
          <w:sz w:val="20"/>
          <w:szCs w:val="24"/>
          <w:rtl/>
          <w:lang w:bidi="he-IL"/>
        </w:rPr>
        <w:t>ן</w:t>
      </w:r>
      <w:r w:rsidRPr="00BC2E9D">
        <w:rPr>
          <w:rFonts w:ascii="Times New Roman" w:eastAsia="Times New Roman" w:hAnsi="Times New Roman" w:cs="Narkisim"/>
          <w:w w:val="115"/>
          <w:sz w:val="20"/>
          <w:szCs w:val="24"/>
          <w:rtl/>
          <w:lang w:bidi="he-IL"/>
        </w:rPr>
        <w:t xml:space="preserve"> מליחה בכלים שיותר קשה לבלוע מכלי להבליע בכלי, ולכן כיון דחזינן שהכלי בולע כל הטעם מן הדבר חריף כ"ש שמבליע בה. ובס' דבר חריף העיר שאין זה כלל בכל מקום.</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עוד העיר כאן החוו"ד בס"ק ו' שיש עוד טעם להקל בדברי המג"א, והוא שאמנם הכלי בולע מן המאכל ע"י דוחקא סכינא, אבל אינו מבליע אא"כ הוי דבר שמן א"נ שיש רוטב, אבל אין כלי בולע מאוכל בלי רוטב. והוא כדחזינן בעלמא בצלי דאע"ג שמאכל בולע מכלי בלי רוטב</w:t>
      </w:r>
      <w:r w:rsidRPr="00BC2E9D">
        <w:rPr>
          <w:rFonts w:ascii="Times New Roman" w:eastAsia="Times New Roman" w:hAnsi="Times New Roman" w:cs="Narkisim" w:hint="cs"/>
          <w:w w:val="115"/>
          <w:sz w:val="20"/>
          <w:szCs w:val="24"/>
          <w:rtl/>
          <w:lang w:bidi="he-IL"/>
        </w:rPr>
        <w:t xml:space="preserve"> כשצולין אותו</w:t>
      </w:r>
      <w:r w:rsidRPr="00BC2E9D">
        <w:rPr>
          <w:rFonts w:ascii="Times New Roman" w:eastAsia="Times New Roman" w:hAnsi="Times New Roman" w:cs="Narkisim"/>
          <w:w w:val="115"/>
          <w:sz w:val="20"/>
          <w:szCs w:val="24"/>
          <w:rtl/>
          <w:lang w:bidi="he-IL"/>
        </w:rPr>
        <w:t xml:space="preserve">, אין כלי בולע ממאכל בלי רוטב. </w:t>
      </w:r>
      <w:r w:rsidRPr="00BC2E9D">
        <w:rPr>
          <w:rFonts w:ascii="Times New Roman" w:eastAsia="Times New Roman" w:hAnsi="Times New Roman" w:cs="Narkisim" w:hint="cs"/>
          <w:w w:val="115"/>
          <w:sz w:val="20"/>
          <w:szCs w:val="24"/>
          <w:rtl/>
          <w:lang w:bidi="he-IL"/>
        </w:rPr>
        <w:t>ולכאורה לשיטת המג"א צריכים לומר או דמיירי בדבר שמן (וכן צידד שם בחוו"ד) או"ד שבדבר חריף לא צריכים רוטב אפילו להעביר טעם מאוכל לכלי, וע' במש"ז סי' תמ"ז ס"ק י"ג שבאמת הסתפק אם</w:t>
      </w:r>
      <w:r w:rsidRPr="00BC2E9D">
        <w:rPr>
          <w:rFonts w:ascii="Times New Roman" w:eastAsia="Times New Roman" w:hAnsi="Times New Roman" w:cs="Narkisim"/>
          <w:w w:val="115"/>
          <w:sz w:val="20"/>
          <w:szCs w:val="24"/>
          <w:rtl/>
          <w:lang w:bidi="he-IL"/>
        </w:rPr>
        <w:t xml:space="preserve"> </w:t>
      </w:r>
      <w:r w:rsidRPr="00BC2E9D">
        <w:rPr>
          <w:rFonts w:ascii="Times New Roman" w:eastAsia="Times New Roman" w:hAnsi="Times New Roman" w:cs="Narkisim" w:hint="cs"/>
          <w:w w:val="115"/>
          <w:sz w:val="20"/>
          <w:szCs w:val="24"/>
          <w:rtl/>
          <w:lang w:bidi="he-IL"/>
        </w:rPr>
        <w:t xml:space="preserve">צריכים רוטב כדי להעביד מאוכל לכלי, ולא העיר מדברי המג"א הנ"ל. ובס' דבר חריף (ביאורים סי' א') העיר שמדברי הטור באו"ח סי' תנ"א משמע שיש לדבר חריף תכונה גם להבליע מן הבלוע באוכל לתוך כלי </w:t>
      </w:r>
      <w:r w:rsidRPr="00BC2E9D">
        <w:rPr>
          <w:rFonts w:ascii="Times New Roman" w:eastAsia="Times New Roman" w:hAnsi="Times New Roman" w:cs="Narkisim"/>
          <w:w w:val="115"/>
          <w:sz w:val="20"/>
          <w:szCs w:val="24"/>
          <w:rtl/>
          <w:lang w:bidi="he-IL"/>
        </w:rPr>
        <w:t>–</w:t>
      </w:r>
      <w:r w:rsidRPr="00BC2E9D">
        <w:rPr>
          <w:rFonts w:ascii="Times New Roman" w:eastAsia="Times New Roman" w:hAnsi="Times New Roman" w:cs="Narkisim" w:hint="cs"/>
          <w:w w:val="115"/>
          <w:sz w:val="20"/>
          <w:szCs w:val="24"/>
          <w:rtl/>
          <w:lang w:bidi="he-IL"/>
        </w:rPr>
        <w:t xml:space="preserve"> ע' חזו"א סי' קי"ט ס"ק ט"ו.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והנה כל הנ"ל מיירי בחתך דבר חריף בסכין בן יומו. אבל יל"ע מה הדין באינו ב"י וכפי מאי דקיי"ל שדבר חריף מחליא לי' לשבח. ועל פניו עד כמה שמחמירים כדעת המג"א בחומרא דנ"ט בר נ"ט בדבר חריף, וכן כדעת סה"ת לענין הא דמחליא לי' לשבח, הי' צריך להיות שאין חילוק בין ב"י לאינו בן יומו. אבל הרי הש"ך שם הביא מאו"ה "</w:t>
      </w:r>
      <w:r w:rsidRPr="00BC2E9D">
        <w:rPr>
          <w:rFonts w:ascii="Times New Roman" w:eastAsia="Times New Roman" w:hAnsi="Times New Roman" w:cs="Narkisim"/>
          <w:w w:val="115"/>
          <w:sz w:val="20"/>
          <w:szCs w:val="24"/>
          <w:rtl/>
          <w:lang w:bidi="he-IL"/>
        </w:rPr>
        <w:t xml:space="preserve">דאם בשלו דבר חריף בקדירה של בשר שאינו ב"י ואח"כ בשלו בו חלב (אחר) [תוך] מע"ל המאכל מותר </w:t>
      </w:r>
      <w:r w:rsidRPr="00BC2E9D">
        <w:rPr>
          <w:rFonts w:ascii="Times New Roman" w:eastAsia="Times New Roman" w:hAnsi="Times New Roman" w:cs="Narkisim"/>
          <w:w w:val="115"/>
          <w:sz w:val="20"/>
          <w:szCs w:val="24"/>
          <w:rtl/>
          <w:lang w:bidi="he-IL"/>
        </w:rPr>
        <w:lastRenderedPageBreak/>
        <w:t>ולא אמרינן החריפות שבקדירה עושה שמפליט עכשיו לשבח</w:t>
      </w:r>
      <w:r w:rsidRPr="00BC2E9D">
        <w:rPr>
          <w:rFonts w:ascii="Times New Roman" w:eastAsia="Times New Roman" w:hAnsi="Times New Roman" w:cs="Narkisim" w:hint="cs"/>
          <w:w w:val="115"/>
          <w:sz w:val="20"/>
          <w:szCs w:val="24"/>
          <w:rtl/>
          <w:lang w:bidi="he-IL"/>
        </w:rPr>
        <w:t>" ושם בנקוה"כ כשחלק על הש"ך לומר דליכא קולא דנ"ט בר נ"ט בדבר חריף ועל דרכו של המג"א הוסיף שכן מדוקדק באו"ה</w:t>
      </w:r>
      <w:r w:rsidRPr="00BC2E9D">
        <w:rPr>
          <w:rFonts w:ascii="Times New Roman" w:eastAsia="Times New Roman" w:hAnsi="Times New Roman" w:cs="Narkisim"/>
          <w:w w:val="115"/>
          <w:sz w:val="20"/>
          <w:szCs w:val="24"/>
          <w:rtl/>
          <w:lang w:bidi="he-IL"/>
        </w:rPr>
        <w:t xml:space="preserve"> </w:t>
      </w:r>
      <w:r w:rsidRPr="00BC2E9D">
        <w:rPr>
          <w:rFonts w:ascii="Times New Roman" w:eastAsia="Times New Roman" w:hAnsi="Times New Roman" w:cs="Narkisim" w:hint="cs"/>
          <w:w w:val="115"/>
          <w:sz w:val="20"/>
          <w:szCs w:val="24"/>
          <w:rtl/>
          <w:lang w:bidi="he-IL"/>
        </w:rPr>
        <w:t>הנ"ל "</w:t>
      </w:r>
      <w:r w:rsidRPr="00BC2E9D">
        <w:rPr>
          <w:rFonts w:ascii="Times New Roman" w:eastAsia="Times New Roman" w:hAnsi="Times New Roman" w:cs="Narkisim"/>
          <w:w w:val="115"/>
          <w:sz w:val="20"/>
          <w:szCs w:val="24"/>
          <w:rtl/>
          <w:lang w:bidi="he-IL"/>
        </w:rPr>
        <w:t>דלמה ליה למימר בקדרה של בשר שאינה בת יומא הוה ליה למימר רבותא אפילו בת יומא אלא ודאי כמו שכתבתי"</w:t>
      </w:r>
      <w:r w:rsidRPr="00BC2E9D">
        <w:rPr>
          <w:rFonts w:ascii="Times New Roman" w:eastAsia="Times New Roman" w:hAnsi="Times New Roman" w:cs="Narkisim" w:hint="cs"/>
          <w:w w:val="115"/>
          <w:sz w:val="20"/>
          <w:szCs w:val="24"/>
          <w:rtl/>
          <w:lang w:bidi="he-IL"/>
        </w:rPr>
        <w:t xml:space="preserve"> וביאר הטעם שאם הוא בן יומו הרי הוא כאילו נתבשל השתא, משא"כ באינו ב"י</w:t>
      </w:r>
      <w:r w:rsidRPr="00BC2E9D">
        <w:rPr>
          <w:rFonts w:ascii="Times New Roman" w:eastAsia="Times New Roman" w:hAnsi="Times New Roman" w:cs="Narkisim"/>
          <w:w w:val="115"/>
          <w:sz w:val="20"/>
          <w:szCs w:val="24"/>
          <w:rtl/>
          <w:lang w:bidi="he-IL"/>
        </w:rPr>
        <w:t>.</w:t>
      </w:r>
      <w:r w:rsidRPr="00BC2E9D">
        <w:rPr>
          <w:rFonts w:ascii="Times New Roman" w:eastAsia="Times New Roman" w:hAnsi="Times New Roman" w:cs="Narkisim" w:hint="cs"/>
          <w:w w:val="115"/>
          <w:sz w:val="20"/>
          <w:szCs w:val="24"/>
          <w:rtl/>
          <w:lang w:bidi="he-IL"/>
        </w:rPr>
        <w:t xml:space="preserve"> ועכ"פ לדבריו לכאורה חזינן שאפילו לדעת המחמירים כמג"א, הנ"מ בבן יומו, אבל אינו בן יומו לכו"ע מותר. </w:t>
      </w:r>
      <w:r w:rsidRPr="00BC2E9D">
        <w:rPr>
          <w:rFonts w:ascii="Times New Roman" w:eastAsia="Times New Roman" w:hAnsi="Times New Roman" w:cs="Narkisim"/>
          <w:w w:val="115"/>
          <w:sz w:val="20"/>
          <w:szCs w:val="24"/>
          <w:rtl/>
          <w:lang w:bidi="he-IL"/>
        </w:rPr>
        <w:t xml:space="preserve">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w w:val="115"/>
          <w:sz w:val="20"/>
          <w:szCs w:val="24"/>
          <w:rtl/>
          <w:lang w:bidi="he-IL"/>
        </w:rPr>
        <w:t xml:space="preserve">ולענין דינא, המ"ב בס"ק צ"א סתם כדעת המג"א. ומ"מ נראה פשוט שאפילו אם מחמירים </w:t>
      </w:r>
      <w:r w:rsidRPr="00BC2E9D">
        <w:rPr>
          <w:rFonts w:ascii="Times New Roman" w:eastAsia="Times New Roman" w:hAnsi="Times New Roman" w:cs="Narkisim" w:hint="cs"/>
          <w:w w:val="115"/>
          <w:sz w:val="20"/>
          <w:szCs w:val="24"/>
          <w:rtl/>
          <w:lang w:bidi="he-IL"/>
        </w:rPr>
        <w:t>כש</w:t>
      </w:r>
      <w:r w:rsidRPr="00BC2E9D">
        <w:rPr>
          <w:rFonts w:ascii="Times New Roman" w:eastAsia="Times New Roman" w:hAnsi="Times New Roman" w:cs="Narkisim"/>
          <w:w w:val="115"/>
          <w:sz w:val="20"/>
          <w:szCs w:val="24"/>
          <w:rtl/>
          <w:lang w:bidi="he-IL"/>
        </w:rPr>
        <w:t>יטת המג"א, הנ"מ בבן יומו, אבל באינו בן יומו לא. והוא מא' מב' טעמים, חדא שהרי הנקוה"כ שהוא כשיטת המג"א סבר שלא נאמר עצם הדין אלא בבן יומו, אבל באינו בן יומו שאינו חשוב כ'מבושל השתא' לא אמרינן הכי. וכן מדויק באו"ה וכמש"כ שם הנקוה"כ. ואפילו את"ל שהמג"א סבר שאפילו באינו בן יומו נאמר דין זה, מ"מ במקום שיש ג' חומרות שהבית מאיר הקיל בה לגמרי, אפילו אם נחמיר דלא כבית מאיר אין טעם להחמיר גם את חומרת המג"א.</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אלא שיל"ע אם יש להקל בכה"ג דלא שייך הטעם של האבן העוזר דהוי נ"ט בר נ"ט, אבל שייך הטעם של החוו"ד שאין בליעה עובר ממאכל לכלי בלי רוטב. וכגון אם חתכו דבר חריף בסכין חלבי, ושוב חתכו בסכין בשרי. שבזה הרי נאסרו הבליעות זה מזה בתוך הדבר חריף, אבל אם אין רוטב אינם עוברים לתוך הסכין השני כדי לאסרו. והנה ברוב המקרים יש חשש שיש שמנונית בתוך הסכין, שהרי בדר"כ חתך בה כמה פעמיים במשך הזמן ומסתמא פעם א' הי' בשר שמן וכדומה, ואע"ג שהי' לפני יותר ממעל"ע, מ"מ הרי דבר חריף מחליא לשבח, ואין סברא לומר דזה דהוי פגום עושהו גם שאינו מפעפע. וא"כ הא הש"ך הרי הסתפק (בסי' ק"ה ס"ק כ"ג) שאולי מכלי לאוכל מפעפע, וכן כתב החוו"ד הנ"ל ליישב דברי המג"א דסבר דמיירי בדבר שמן שמפעפע. וכ"ש כאן שיש לחשוש שאולי עובר אפילו טעם כחוש וכמש"נ. ומ"מ ע' בחוו"ד סי' ק"ה ס"ק ט"ו שהסיק שבלוע שמן אינו עובר לתוך כלי, אפילו אם הוא מאוכל לכלי, וא"כ גם כאן לא יעבור מן הדבר חריף לתוך הסכין השני (ומש"כ לפרש דברי המג"א דמיירי בבלוע שמן לכאורה אין כוונתו אלא ליישב את דבריו, אבל לפי באמת פוסק שאינו עובר). וכן מצאתי בס' דבר חריף (פ"ד סע' ג') שאמנם החמיר בזה לכתחילה, אבל בדיעבד</w:t>
      </w:r>
      <w:r w:rsidRPr="00BC2E9D">
        <w:rPr>
          <w:rFonts w:ascii="Times New Roman" w:eastAsia="Times New Roman" w:hAnsi="Times New Roman" w:cs="Narkisim"/>
          <w:w w:val="115"/>
          <w:sz w:val="20"/>
          <w:szCs w:val="24"/>
          <w:rtl/>
          <w:lang w:bidi="he-IL"/>
        </w:rPr>
        <w:t xml:space="preserve"> </w:t>
      </w:r>
      <w:r w:rsidRPr="00BC2E9D">
        <w:rPr>
          <w:rFonts w:ascii="Times New Roman" w:eastAsia="Times New Roman" w:hAnsi="Times New Roman" w:cs="Narkisim" w:hint="cs"/>
          <w:w w:val="115"/>
          <w:sz w:val="20"/>
          <w:szCs w:val="24"/>
          <w:rtl/>
          <w:lang w:bidi="he-IL"/>
        </w:rPr>
        <w:t xml:space="preserve">הקיל, וציין לדברי היד יהודה סי' צ"ו ס"ק ט'.   </w:t>
      </w:r>
      <w:r w:rsidRPr="00BC2E9D">
        <w:rPr>
          <w:rFonts w:ascii="Times New Roman" w:eastAsia="Times New Roman" w:hAnsi="Times New Roman" w:cs="Narkisim"/>
          <w:w w:val="115"/>
          <w:sz w:val="20"/>
          <w:szCs w:val="24"/>
          <w:rtl/>
          <w:lang w:bidi="he-IL"/>
        </w:rPr>
        <w:t xml:space="preserve"> </w:t>
      </w:r>
    </w:p>
    <w:p w:rsidR="00BC2E9D" w:rsidRPr="00BC2E9D" w:rsidRDefault="00BC2E9D" w:rsidP="00BC2E9D">
      <w:pPr>
        <w:keepNext/>
        <w:tabs>
          <w:tab w:val="left" w:pos="0"/>
        </w:tabs>
        <w:bidi/>
        <w:spacing w:before="240" w:after="240" w:line="240" w:lineRule="auto"/>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hint="cs"/>
          <w:bCs/>
          <w:snapToGrid w:val="0"/>
          <w:sz w:val="24"/>
          <w:szCs w:val="36"/>
          <w:rtl/>
          <w:lang w:bidi="he-IL"/>
        </w:rPr>
        <w:lastRenderedPageBreak/>
        <w:t>האם קיי"ל להחמיר ככל השיטות המחמירות בדבר חריף</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הבאנו לעיל כמה מחלוקות בדין דבר חריף, ובעיקר יש ג': 1) אם דבר חריף מחליר לשבח (חוץ מחילתית), 2) אם הקולא של נ"ט בר נ"ט נאמר בדבר חריף, 3) האם יש למאכלים חריפים שאינם מוזכרים בגמ' חומרת דבר חריף. ויל"ע אם קיי"ל להחמיר כולהו ביחד או לא.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והנה כתב המחבר בשו"ע סי' צ"ו סע' ג' "</w:t>
      </w:r>
      <w:r w:rsidRPr="00BC2E9D">
        <w:rPr>
          <w:rFonts w:ascii="Times New Roman" w:eastAsia="Times New Roman" w:hAnsi="Times New Roman" w:cs="Narkisim"/>
          <w:w w:val="115"/>
          <w:sz w:val="20"/>
          <w:szCs w:val="24"/>
          <w:rtl/>
          <w:lang w:bidi="he-IL"/>
        </w:rPr>
        <w:t>תבלין שנדוכו במדוכה של בשר בן יומו אסור לאכלם בחלב</w:t>
      </w:r>
      <w:r w:rsidRPr="00BC2E9D">
        <w:rPr>
          <w:rFonts w:ascii="Times New Roman" w:eastAsia="Times New Roman" w:hAnsi="Times New Roman" w:cs="Narkisim" w:hint="cs"/>
          <w:w w:val="115"/>
          <w:sz w:val="20"/>
          <w:szCs w:val="24"/>
          <w:rtl/>
          <w:lang w:bidi="he-IL"/>
        </w:rPr>
        <w:t>"</w:t>
      </w:r>
      <w:r w:rsidRPr="00BC2E9D">
        <w:rPr>
          <w:rFonts w:ascii="Times New Roman" w:eastAsia="Times New Roman" w:hAnsi="Times New Roman" w:cs="Narkisim"/>
          <w:w w:val="115"/>
          <w:sz w:val="20"/>
          <w:szCs w:val="24"/>
          <w:rtl/>
          <w:lang w:bidi="he-IL"/>
        </w:rPr>
        <w:t>.</w:t>
      </w:r>
      <w:r w:rsidRPr="00BC2E9D">
        <w:rPr>
          <w:rFonts w:ascii="Times New Roman" w:eastAsia="Times New Roman" w:hAnsi="Times New Roman" w:cs="Narkisim" w:hint="cs"/>
          <w:w w:val="115"/>
          <w:sz w:val="20"/>
          <w:szCs w:val="24"/>
          <w:rtl/>
          <w:lang w:bidi="he-IL"/>
        </w:rPr>
        <w:t xml:space="preserve"> הרי שהמחבר הדגיש דוקא שהוא בן יומו אסור, דמשמע שאינו בן יומו מותר. וע"ש בט"ז שהעיר מסי' ק"ג סע' ו' ששם סתם המחבר לאסור באינו בן יומו. ובהגהות רע"א הביא מן האחרונים שתי' דשאני התם בסי' ק"ג דמיירי באיסורא בלע, ולכן לא שייך ההיתר של נ"ט בר נ"ט אבל בסי' צ"ו דמיירי בהיתירא הקיל. ואע"ג שמחמירים בנ"ט בר נ"ט בדבר חריף, וכן מחמירים לומר שכל הדברים החריפים מחליא לשבח, מ"מ לא מחמרינן תרוייהו. והוסיף שדוקא כאן סתם להקל, ולא לעיל מיני' בסע' א', משום שבסע' א' מיירי בדברים המוזכרים בהדיא בגמ' שיש להם החומרא דדבר חריף, משא"כ כאן בסע' ג' דמיירי בתבלין, כיון שאפשר לצרף גם שיטת ר' יחיאל דליכא חומרת דבר חריף אלא בדברים המפורשים בגמ', סתם להקל לגמרי. והכלל היוצא שלשיטת המחבר כשיש ג' צדדים להקל, דהיינו דמיירי באינו בן יומו, והוי נ"ט בר נ"ט דהיתירא, וכן אינו מן הדברים המוזכרים בהדיא בש"ס להחמיר, הדין הוא להקל.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וכל זה הוא לשיטת המחבר, אבל הוסיף שם הרמ"א "</w:t>
      </w:r>
      <w:r w:rsidRPr="00BC2E9D">
        <w:rPr>
          <w:rFonts w:ascii="Times New Roman" w:eastAsia="Times New Roman" w:hAnsi="Times New Roman" w:cs="Narkisim"/>
          <w:w w:val="115"/>
          <w:sz w:val="20"/>
          <w:szCs w:val="24"/>
          <w:rtl/>
          <w:lang w:bidi="he-IL"/>
        </w:rPr>
        <w:t>וי"א אפילו אינו בן יומו</w:t>
      </w:r>
      <w:r w:rsidRPr="00BC2E9D">
        <w:rPr>
          <w:rFonts w:ascii="Times New Roman" w:eastAsia="Times New Roman" w:hAnsi="Times New Roman" w:cs="Narkisim" w:hint="cs"/>
          <w:w w:val="115"/>
          <w:sz w:val="20"/>
          <w:szCs w:val="24"/>
          <w:rtl/>
          <w:lang w:bidi="he-IL"/>
        </w:rPr>
        <w:t>". וכיון שהוסיף שיטה זו משמע דסבירא לי' כוותי'. וא"כ יוצא שיטת הרמ"א להחמיר אפילו במקום שיש ג' הצדדים הנ"ל להתיר. אמנם מפורסמים דברי הבית מאיר על אתר שכתב דעד כאן לא החמיר הרמ"א אלא לכתחילה שאין לערב הדבר חריף במין השני לכתחילה, אבל אם כבר התערב מסתבר שגם הרמ"א לא החמיר בדיעבד. ולדבריו יוצא שגם לרמ"א יש לצרף שלושת השיטות עכ"פ בדיעבד.</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ומקשים העולם (ע' כגון שו"ת מהרש"ם ח"א סי' ע' וכן בדע"ת רסי' צ"ו) על הבית מאיר מדברי הרמ"א בסי' צ"ה סע' ב' שכתב שם "</w:t>
      </w:r>
      <w:r w:rsidRPr="00BC2E9D">
        <w:rPr>
          <w:rFonts w:ascii="Times New Roman" w:eastAsia="Times New Roman" w:hAnsi="Times New Roman" w:cs="Narkisim"/>
          <w:w w:val="115"/>
          <w:sz w:val="20"/>
          <w:szCs w:val="24"/>
          <w:rtl/>
          <w:lang w:bidi="he-IL"/>
        </w:rPr>
        <w:t>אם היה דבר חריף, כגון שבשלו דברים חריפים בכלי של בשר, אפילו אינו בן יומו, או שדכו תבלין במדוך של בשר, אם אכלו בחלב, אוסר אפילו בדיעבד</w:t>
      </w:r>
      <w:r w:rsidRPr="00BC2E9D">
        <w:rPr>
          <w:rFonts w:ascii="Times New Roman" w:eastAsia="Times New Roman" w:hAnsi="Times New Roman" w:cs="Narkisim" w:hint="cs"/>
          <w:w w:val="115"/>
          <w:sz w:val="20"/>
          <w:szCs w:val="24"/>
          <w:rtl/>
          <w:lang w:bidi="he-IL"/>
        </w:rPr>
        <w:t xml:space="preserve">" הרי שאסר אפילו בדיעבד גם בתבלין וגם באינו בן יומו. ולכאורה הי' </w:t>
      </w:r>
      <w:r w:rsidRPr="00BC2E9D">
        <w:rPr>
          <w:rFonts w:ascii="Times New Roman" w:eastAsia="Times New Roman" w:hAnsi="Times New Roman" w:cs="Narkisim" w:hint="cs"/>
          <w:w w:val="115"/>
          <w:sz w:val="20"/>
          <w:szCs w:val="24"/>
          <w:rtl/>
          <w:lang w:bidi="he-IL"/>
        </w:rPr>
        <w:lastRenderedPageBreak/>
        <w:t xml:space="preserve">אפשר לדחות דהתם לא אסר בדיעבד באינו ב"י אלא בדברים הידועים להיות דברים חריפים, אבל בתבלין לא כתב הרמ"א אפילו אינו בן יומו, ויתכן שזהו בדוקא וכדברי הבית מאיר הנ"ל. אלא שמדברי הש"ך שם ס"ק ז' מבואר שהדין אינו בן יומו קאי גם אתבלין. וע' בשו"ת דברי יציב (שם סי' כ"ג) שכתב לחלק בין דחו לנתבשלו, והוא חידוש אבל אינו נסתר מן הש"ך.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ולענין דינא יש הרבה פוסקים שסומכים בדיעבד על בית מאיר, בפרט בזה שהוא עכ"פ שיטת המחבר וכמש"נ, וכן נראין דברי הט"ז בס"ק ח'. וכ"כ בשו"ת דברי יציב (שם) , ויש המחמירים, וכן נראה מדברי חכמ</w:t>
      </w:r>
      <w:r w:rsidRPr="00BC2E9D">
        <w:rPr>
          <w:rFonts w:ascii="Times New Roman" w:eastAsia="Times New Roman" w:hAnsi="Times New Roman" w:cs="Narkisim"/>
          <w:w w:val="115"/>
          <w:sz w:val="20"/>
          <w:szCs w:val="24"/>
          <w:rtl/>
          <w:lang w:bidi="he-IL"/>
        </w:rPr>
        <w:t>"א (כלל נ"ה סע' ב')</w:t>
      </w:r>
      <w:r w:rsidRPr="00BC2E9D">
        <w:rPr>
          <w:rFonts w:ascii="Times New Roman" w:eastAsia="Times New Roman" w:hAnsi="Times New Roman" w:cs="Narkisim" w:hint="cs"/>
          <w:w w:val="115"/>
          <w:sz w:val="20"/>
          <w:szCs w:val="24"/>
          <w:rtl/>
          <w:lang w:bidi="he-IL"/>
        </w:rPr>
        <w:t xml:space="preserve">. מ"מ נראה פשוט שאפילו למחמירים אם יש עוד סניף נוסף להקל דודאי יש להקל. (ולענין צירוף שיטת האבן העוזר ע' מש"כ בזה בענין נ"ט בר נ"ט בדבר חריף).  </w:t>
      </w:r>
    </w:p>
    <w:p w:rsidR="00BC2E9D" w:rsidRPr="00BC2E9D" w:rsidRDefault="00BC2E9D" w:rsidP="00BC2E9D">
      <w:pPr>
        <w:keepNext/>
        <w:tabs>
          <w:tab w:val="left" w:pos="0"/>
        </w:tabs>
        <w:bidi/>
        <w:spacing w:before="240" w:after="240" w:line="240" w:lineRule="auto"/>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hint="cs"/>
          <w:bCs/>
          <w:snapToGrid w:val="0"/>
          <w:sz w:val="24"/>
          <w:szCs w:val="36"/>
          <w:rtl/>
          <w:lang w:bidi="he-IL"/>
        </w:rPr>
        <w:t>הקולא של המהרי"ל דיסקין</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כתוב בשו"ת מהרי</w:t>
      </w:r>
      <w:r w:rsidR="000A37AE">
        <w:rPr>
          <w:rFonts w:ascii="Times New Roman" w:eastAsia="Times New Roman" w:hAnsi="Times New Roman" w:cs="Narkisim" w:hint="cs"/>
          <w:w w:val="115"/>
          <w:sz w:val="20"/>
          <w:szCs w:val="24"/>
          <w:rtl/>
          <w:lang w:bidi="he-IL"/>
        </w:rPr>
        <w:t>"</w:t>
      </w:r>
      <w:r w:rsidRPr="00BC2E9D">
        <w:rPr>
          <w:rFonts w:ascii="Times New Roman" w:eastAsia="Times New Roman" w:hAnsi="Times New Roman" w:cs="Narkisim" w:hint="cs"/>
          <w:w w:val="115"/>
          <w:sz w:val="20"/>
          <w:szCs w:val="24"/>
          <w:rtl/>
          <w:lang w:bidi="he-IL"/>
        </w:rPr>
        <w:t>ל דיסקין סי' י"ד "</w:t>
      </w:r>
      <w:r w:rsidRPr="00BC2E9D">
        <w:rPr>
          <w:rFonts w:ascii="Times New Roman" w:eastAsia="Times New Roman" w:hAnsi="Times New Roman" w:cs="Narkisim"/>
          <w:w w:val="115"/>
          <w:sz w:val="20"/>
          <w:szCs w:val="24"/>
          <w:rtl/>
          <w:lang w:bidi="he-IL"/>
        </w:rPr>
        <w:t>הוריתי להתיר בבצלים שנחתכו בסכין חולב ונתנו בקדירה של בשר. חדא, דדילמא בצלים אינו חריף, ואף דנימא דחריף הוא, אכתי לא עדיף מכלים שהודחו ביחד דהוי פלוגתא דרבוותא [דהבצל לא הוציא יותר ממה שיש בסכין], ואף שלא הי' ס' נגד הבצלים או סכין, התרתי</w:t>
      </w:r>
      <w:r w:rsidRPr="00BC2E9D">
        <w:rPr>
          <w:rFonts w:ascii="Times New Roman" w:eastAsia="Times New Roman" w:hAnsi="Times New Roman" w:cs="Narkisim" w:hint="cs"/>
          <w:w w:val="115"/>
          <w:sz w:val="20"/>
          <w:szCs w:val="24"/>
          <w:rtl/>
          <w:lang w:bidi="he-IL"/>
        </w:rPr>
        <w:t xml:space="preserve">". ולכאורה יש להוסיף בדבריו דחוץ מן הספק אם בצלים מיקרי חריף (שרוב ראשונים לית להו כר' יחיאל), י"ל שרק חילתית מחליא לשבח (ובזה יתכן שהנידון של המהריל"ד היתה בסכין בן יומו), וכן י"ל שאין חומרא מיוחדת של נ"ט בר נ"ט בדבר חריף. וכיון שרצה להתיר משום הדחת קערות ע"כ מיירי בכה"ג שהניחו בקדרה שיש בה מים (בלי בשר). וכוונתו דאע"ג שהרמ"א הרי החמיר בין בהדחת קערות ובין בבצל לומר שהוא דבר חריף, אין לנו להחמיר את שני החומרות ביחד. ואע"ג שאין לנו מקור לצירוף זה, דבריו מסתברים, בפרט בכה"ג דהוו אינן בני יומן. ובודאי אין דבריו אמורים לפי שיטת הפמ"ג (סי' צ"ו שפ"ד ס"ק ב') שהחמיר אפילו אלף טעמים, שלשיטתו הבצל גרע מהסכין, וכמו שביארנו דסבר שההחלשה דנ"ט בר נ"ט נעשית בזמן היציאה מן הכלי, וכאן כיון שדבר חריף שאב את הטעם ליכא הקלשה כלל. אבל דבריו כדעת רע"א ואבן העוזר ועוד כמה אחרונים שהקילו בזה. וכן מצאתי לחדרי דעה רסי' צ"ו שהקיל בזה. אבל ביד יהודה סי' צ"ה ס"ק ט"ז שנשאר בצ"ע אם יש להקל כולי האי.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lastRenderedPageBreak/>
        <w:t>ועוד ראיתי שהעיר בזה מדברי רע"א בהגהות לסי' צ"ד סע' ו', שכתב שם רע"א על מה שהתיר השו"ע כשבישלו בצלים שיש בהם טעם בשר בקדירה חולבת ויש ס' כנגד הטעם בשר דהנ"מ "</w:t>
      </w:r>
      <w:r w:rsidRPr="00BC2E9D">
        <w:rPr>
          <w:rFonts w:ascii="Times New Roman" w:eastAsia="Times New Roman" w:hAnsi="Times New Roman" w:cs="Narkisim"/>
          <w:w w:val="115"/>
          <w:sz w:val="20"/>
          <w:szCs w:val="24"/>
          <w:rtl/>
          <w:lang w:bidi="he-IL"/>
        </w:rPr>
        <w:t xml:space="preserve">בקדידה של חלב </w:t>
      </w:r>
      <w:r w:rsidRPr="00BC2E9D">
        <w:rPr>
          <w:rFonts w:ascii="Times New Roman" w:eastAsia="Times New Roman" w:hAnsi="Times New Roman" w:cs="Narkisim" w:hint="cs"/>
          <w:w w:val="115"/>
          <w:sz w:val="20"/>
          <w:szCs w:val="24"/>
          <w:rtl/>
          <w:lang w:bidi="he-IL"/>
        </w:rPr>
        <w:t xml:space="preserve">[פי' שיש בה טעם חלב] </w:t>
      </w:r>
      <w:r w:rsidRPr="00BC2E9D">
        <w:rPr>
          <w:rFonts w:ascii="Times New Roman" w:eastAsia="Times New Roman" w:hAnsi="Times New Roman" w:cs="Narkisim"/>
          <w:w w:val="115"/>
          <w:sz w:val="20"/>
          <w:szCs w:val="24"/>
          <w:rtl/>
          <w:lang w:bidi="he-IL"/>
        </w:rPr>
        <w:t xml:space="preserve">אבל אין חלב בקדירה אלא דבר אחר ובזה הוא דמהני ס' נגד הבשר וגם הבצלים עצמן מותר </w:t>
      </w:r>
      <w:r w:rsidRPr="00BC2E9D">
        <w:rPr>
          <w:rFonts w:ascii="Times New Roman" w:eastAsia="Times New Roman" w:hAnsi="Times New Roman" w:cs="Narkisim" w:hint="cs"/>
          <w:w w:val="115"/>
          <w:sz w:val="20"/>
          <w:szCs w:val="24"/>
          <w:rtl/>
          <w:lang w:bidi="he-IL"/>
        </w:rPr>
        <w:t xml:space="preserve">וכו' ואם </w:t>
      </w:r>
      <w:r w:rsidRPr="00BC2E9D">
        <w:rPr>
          <w:rFonts w:ascii="Times New Roman" w:eastAsia="Times New Roman" w:hAnsi="Times New Roman" w:cs="Narkisim"/>
          <w:w w:val="115"/>
          <w:sz w:val="20"/>
          <w:szCs w:val="24"/>
          <w:rtl/>
          <w:lang w:bidi="he-IL"/>
        </w:rPr>
        <w:t>ליכא ס' נגד הבשר הוא דאסור אף לשיטת המחבר (סי' צ"ה ס"ג) דהכא אסור דמבצלים למים לא מיקרי נ"ט בר נ"ט כיון דלא היה בלוע בכלי לא נקלש</w:t>
      </w:r>
      <w:r w:rsidRPr="00BC2E9D">
        <w:rPr>
          <w:rFonts w:ascii="Times New Roman" w:eastAsia="Times New Roman" w:hAnsi="Times New Roman" w:cs="Narkisim" w:hint="cs"/>
          <w:w w:val="115"/>
          <w:sz w:val="20"/>
          <w:szCs w:val="24"/>
          <w:rtl/>
          <w:lang w:bidi="he-IL"/>
        </w:rPr>
        <w:t>". אמנם נראה פשוט שיש לחלק ביניהם, שרע"א דיבר בהדיא בכה"ג שלא הי' בלוע בכלי. ולכן ע"כ מיירי השו"ע לפי רע"א בבצלים שבישלם עם בשר ממש, ומשו"ה לא הוקלש</w:t>
      </w:r>
      <w:r w:rsidRPr="00BC2E9D">
        <w:rPr>
          <w:rFonts w:ascii="Times New Roman" w:eastAsia="Times New Roman" w:hAnsi="Times New Roman" w:cs="Narkisim"/>
          <w:w w:val="115"/>
          <w:sz w:val="20"/>
          <w:szCs w:val="24"/>
          <w:rtl/>
          <w:lang w:bidi="he-IL"/>
        </w:rPr>
        <w:t xml:space="preserve"> </w:t>
      </w:r>
      <w:r w:rsidRPr="00BC2E9D">
        <w:rPr>
          <w:rFonts w:ascii="Times New Roman" w:eastAsia="Times New Roman" w:hAnsi="Times New Roman" w:cs="Narkisim" w:hint="cs"/>
          <w:w w:val="115"/>
          <w:sz w:val="20"/>
          <w:szCs w:val="24"/>
          <w:rtl/>
          <w:lang w:bidi="he-IL"/>
        </w:rPr>
        <w:t xml:space="preserve">הטעם בשר. אבל אם חתכן מעיקרא בסכין י"ל שגם רע"א מודה (וכל זה שליטת רע"א עצמו שההקלשה של הסכין עדיין קיים ודדלא כפמ"ג וכמו שביארנו).    </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ויש שרוצים להקל ע"פ הוראת המהריל"ד בחתכו בצלים בסכין של מין א' ושוב טיגנם בקדרה של המין השני עם מעט שמן. ויל"ע כמה שמן צריכים כדי להתיר. שהרי אע"ג שהחמיר ס' התרומה בנצלו, הקיל בנתבשלו. וכתב </w:t>
      </w:r>
      <w:r w:rsidRPr="00BC2E9D">
        <w:rPr>
          <w:rFonts w:ascii="Times New Roman" w:eastAsia="Times New Roman" w:hAnsi="Times New Roman" w:cs="Narkisim"/>
          <w:w w:val="115"/>
          <w:sz w:val="20"/>
          <w:szCs w:val="24"/>
          <w:rtl/>
          <w:lang w:bidi="he-IL"/>
        </w:rPr>
        <w:t xml:space="preserve">הרא"ש (פ"ח סי' כ"ט) </w:t>
      </w:r>
      <w:r w:rsidRPr="00BC2E9D">
        <w:rPr>
          <w:rFonts w:ascii="Times New Roman" w:eastAsia="Times New Roman" w:hAnsi="Times New Roman" w:cs="Narkisim" w:hint="cs"/>
          <w:w w:val="115"/>
          <w:sz w:val="20"/>
          <w:szCs w:val="24"/>
          <w:rtl/>
          <w:lang w:bidi="he-IL"/>
        </w:rPr>
        <w:t>הטעם</w:t>
      </w:r>
      <w:r w:rsidRPr="00BC2E9D">
        <w:rPr>
          <w:rFonts w:ascii="Times New Roman" w:eastAsia="Times New Roman" w:hAnsi="Times New Roman" w:cs="Narkisim"/>
          <w:w w:val="115"/>
          <w:sz w:val="20"/>
          <w:szCs w:val="24"/>
          <w:rtl/>
          <w:lang w:bidi="he-IL"/>
        </w:rPr>
        <w:t xml:space="preserve"> "דכיון דאיכא מים בכלי רוב הטעם מתפשט במים. וגם הירק אינו בולע מדופני הקדירה אלא ע"י רתיחת המים</w:t>
      </w:r>
      <w:r w:rsidRPr="00BC2E9D">
        <w:rPr>
          <w:rFonts w:ascii="Times New Roman" w:eastAsia="Times New Roman" w:hAnsi="Times New Roman" w:cs="Narkisim" w:hint="cs"/>
          <w:w w:val="115"/>
          <w:sz w:val="20"/>
          <w:szCs w:val="24"/>
          <w:rtl/>
          <w:lang w:bidi="he-IL"/>
        </w:rPr>
        <w:t xml:space="preserve">" ואולי המקילים בהדחת קערות לא הקילו אלא כשיש לומר רוב הטעם מתפשט במים, וא"כ באמת צ"ע לדעת השיעור בדבר.    </w:t>
      </w:r>
    </w:p>
    <w:p w:rsidR="00BC2E9D" w:rsidRPr="00BC2E9D" w:rsidRDefault="00BC2E9D" w:rsidP="00BC2E9D">
      <w:pPr>
        <w:keepNext/>
        <w:tabs>
          <w:tab w:val="left" w:pos="0"/>
        </w:tabs>
        <w:bidi/>
        <w:spacing w:before="240" w:after="240" w:line="240" w:lineRule="auto"/>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hint="cs"/>
          <w:bCs/>
          <w:snapToGrid w:val="0"/>
          <w:sz w:val="24"/>
          <w:szCs w:val="36"/>
          <w:rtl/>
          <w:lang w:bidi="he-IL"/>
        </w:rPr>
        <w:t>ריחא בדבר חריף</w:t>
      </w:r>
    </w:p>
    <w:p w:rsidR="00BC2E9D" w:rsidRPr="00BC2E9D" w:rsidRDefault="00BC2E9D" w:rsidP="00BC2E9D">
      <w:pPr>
        <w:bidi/>
        <w:spacing w:before="120" w:after="120" w:line="360" w:lineRule="auto"/>
        <w:ind w:firstLine="720"/>
        <w:jc w:val="both"/>
        <w:rPr>
          <w:rFonts w:ascii="Times New Roman" w:eastAsia="Times New Roman" w:hAnsi="Times New Roman" w:cs="Narkisim"/>
          <w:w w:val="115"/>
          <w:sz w:val="20"/>
          <w:szCs w:val="24"/>
          <w:lang w:bidi="he-IL"/>
        </w:rPr>
      </w:pPr>
      <w:r w:rsidRPr="00BC2E9D">
        <w:rPr>
          <w:rFonts w:ascii="Times New Roman" w:eastAsia="Times New Roman" w:hAnsi="Times New Roman" w:cs="Narkisim" w:hint="cs"/>
          <w:w w:val="115"/>
          <w:sz w:val="20"/>
          <w:szCs w:val="24"/>
          <w:rtl/>
          <w:lang w:bidi="he-IL"/>
        </w:rPr>
        <w:t>ביו"ד סימן ק"ח קיי"ל כרוב הראשונים שפסקו כלוי במס' פסחים דף ע"ו ע"ב דסבר ריחא לאו מילתא היא ואינו אוסר בדיעבד. אמנם השו"ע בסע' ד' איתא "</w:t>
      </w:r>
      <w:r w:rsidRPr="00BC2E9D">
        <w:rPr>
          <w:rFonts w:ascii="Times New Roman" w:eastAsia="Times New Roman" w:hAnsi="Times New Roman" w:cs="Narkisim"/>
          <w:w w:val="115"/>
          <w:sz w:val="20"/>
          <w:szCs w:val="24"/>
          <w:rtl/>
          <w:lang w:bidi="he-IL"/>
        </w:rPr>
        <w:t>פת חמה שמונח על גבי חבית פתוחה של יין נסך אסורה</w:t>
      </w:r>
      <w:r w:rsidRPr="00BC2E9D">
        <w:rPr>
          <w:rFonts w:ascii="Times New Roman" w:eastAsia="Times New Roman" w:hAnsi="Times New Roman" w:cs="Narkisim" w:hint="cs"/>
          <w:w w:val="115"/>
          <w:sz w:val="20"/>
          <w:szCs w:val="24"/>
          <w:rtl/>
          <w:lang w:bidi="he-IL"/>
        </w:rPr>
        <w:t xml:space="preserve">" והוא כשיטת ריש לקיש בגמ' דמס' ע"ז ס"ז ע"א. והרי"ף והרמב"ם למדו שדברי ר"ל הם דלא כהלכתא כיון דהא קיי"ל דריחא לאו מילתא היא כלל. אבל השו"ע סבר כמו שמבואר שם בתוס', שאפילו לוי דסבר בעלמא ריחא לאו מילתא היא, מ"מ בפת חמה וחבית פתוחה מודה. וכיון שכן כתב המרדכי (מובא בדרכ"מ) דהה"נ שדבר חריף נאסר ע"י ריחא, דכיון שהוא חריף שואב האיסור אצלו. וכן אם האיסור דבר חריף אוסר אפילו מאכל שאינו חריף ע"י הריח של עצמו. וכן הוא ברמ"א בסי' ק"ח סע' א' לדינא.     </w:t>
      </w:r>
    </w:p>
    <w:p w:rsidR="00BC2E9D" w:rsidRPr="00BC2E9D" w:rsidRDefault="00BC2E9D" w:rsidP="00BC2E9D">
      <w:pPr>
        <w:keepNext/>
        <w:tabs>
          <w:tab w:val="left" w:pos="0"/>
        </w:tabs>
        <w:bidi/>
        <w:spacing w:before="240" w:after="240" w:line="240" w:lineRule="auto"/>
        <w:outlineLvl w:val="2"/>
        <w:rPr>
          <w:rFonts w:ascii="MS Sans Serif" w:eastAsia="Times New Roman" w:hAnsi="MS Sans Serif" w:cs="Narkisim"/>
          <w:bCs/>
          <w:snapToGrid w:val="0"/>
          <w:sz w:val="24"/>
          <w:szCs w:val="36"/>
          <w:rtl/>
          <w:lang w:bidi="he-IL"/>
        </w:rPr>
      </w:pPr>
      <w:r w:rsidRPr="00BC2E9D">
        <w:rPr>
          <w:rFonts w:ascii="MS Sans Serif" w:eastAsia="Times New Roman" w:hAnsi="MS Sans Serif" w:cs="Narkisim" w:hint="cs"/>
          <w:bCs/>
          <w:snapToGrid w:val="0"/>
          <w:sz w:val="24"/>
          <w:szCs w:val="36"/>
          <w:rtl/>
          <w:lang w:bidi="he-IL"/>
        </w:rPr>
        <w:lastRenderedPageBreak/>
        <w:t>דבר חריף שנגע במאכל או בכלי</w:t>
      </w:r>
    </w:p>
    <w:p w:rsidR="00BC2E9D" w:rsidRDefault="00BC2E9D" w:rsidP="00BC2E9D">
      <w:pPr>
        <w:bidi/>
        <w:spacing w:before="120" w:after="120" w:line="360" w:lineRule="auto"/>
        <w:ind w:firstLine="720"/>
        <w:jc w:val="both"/>
        <w:rPr>
          <w:rFonts w:ascii="Times New Roman" w:eastAsia="Times New Roman" w:hAnsi="Times New Roman" w:cs="Narkisim"/>
          <w:w w:val="115"/>
          <w:sz w:val="20"/>
          <w:szCs w:val="24"/>
          <w:rtl/>
          <w:lang w:bidi="he-IL"/>
        </w:rPr>
      </w:pPr>
      <w:r w:rsidRPr="00BC2E9D">
        <w:rPr>
          <w:rFonts w:ascii="Times New Roman" w:eastAsia="Times New Roman" w:hAnsi="Times New Roman" w:cs="Narkisim" w:hint="cs"/>
          <w:w w:val="115"/>
          <w:sz w:val="20"/>
          <w:szCs w:val="24"/>
          <w:rtl/>
          <w:lang w:bidi="he-IL"/>
        </w:rPr>
        <w:t xml:space="preserve">בגמ' שבדף ק"ז ע"ב מבואר שבשר וגבינה שנגעו זה בזה חייבים להדיחם. והרמ"א בסי' צ"א סע' ב' וכן הב"ח (מובא שם בש"ך ס"ק א') נקטו שאין בזה זהיררות אא"כ א' מהם לחין, אבל ב' דברים יבשים לל"ב. אמנם העירו האחרונים (ע"ש בפת"ש) דהנ"מ דברים יבשים שאינם חריפים, אבל חריפים צריכים הדחה אפילו יבשים ... והנה הרמ"א כתב דהה"נ שאם נגע בכלי  .... ופי' הט"ז .... ויעוין בש"ך ... </w:t>
      </w:r>
    </w:p>
    <w:p w:rsidR="0003312C" w:rsidRDefault="0003312C" w:rsidP="0003312C">
      <w:pPr>
        <w:bidi/>
        <w:spacing w:before="120" w:after="120" w:line="360" w:lineRule="auto"/>
        <w:ind w:firstLine="720"/>
        <w:jc w:val="both"/>
        <w:rPr>
          <w:rFonts w:ascii="Times New Roman" w:eastAsia="Times New Roman" w:hAnsi="Times New Roman" w:cs="Narkisim"/>
          <w:w w:val="115"/>
          <w:sz w:val="20"/>
          <w:szCs w:val="24"/>
          <w:rtl/>
          <w:lang w:bidi="he-IL"/>
        </w:rPr>
        <w:sectPr w:rsidR="0003312C" w:rsidSect="00E66C2E">
          <w:type w:val="continuous"/>
          <w:pgSz w:w="11907" w:h="16839" w:code="9"/>
          <w:pgMar w:top="1440" w:right="1800" w:bottom="1440" w:left="1800" w:header="720" w:footer="720" w:gutter="0"/>
          <w:cols w:space="720"/>
          <w:bidi/>
          <w:docGrid w:linePitch="360"/>
        </w:sectPr>
      </w:pPr>
    </w:p>
    <w:p w:rsidR="0003312C" w:rsidRPr="0003312C" w:rsidRDefault="0003312C" w:rsidP="0003312C">
      <w:pPr>
        <w:bidi/>
        <w:ind w:right="4320"/>
        <w:jc w:val="both"/>
        <w:rPr>
          <w:rFonts w:cs="Guttman Drogolin"/>
          <w:b/>
          <w:bCs/>
          <w:sz w:val="20"/>
          <w:szCs w:val="20"/>
          <w:rtl/>
          <w:lang w:bidi="he-IL"/>
        </w:rPr>
      </w:pPr>
      <w:r>
        <w:rPr>
          <w:rFonts w:cs="Guttman Drogolin" w:hint="cs"/>
          <w:b/>
          <w:bCs/>
          <w:sz w:val="20"/>
          <w:szCs w:val="20"/>
          <w:rtl/>
          <w:lang w:bidi="he-IL"/>
        </w:rPr>
        <w:lastRenderedPageBreak/>
        <w:t xml:space="preserve">בחוה"מ פסח שנת תשע"ח התבקשתי למסור שיעור בא' מבתי כנסיות כאן באר"י. ולאחר מכן כתבתי את הדברים למען יעמדו לי ימים רבים. ורוב הדברים מתבארים בשיעורים הנ"ל, אבל מכיון שהם מפוזרים ומפורדים, ויש גם קצת נקודות חדשות. חשבתי להדפיס את הדברים כאן. </w:t>
      </w:r>
    </w:p>
    <w:p w:rsidR="0003312C" w:rsidRPr="0003312C" w:rsidRDefault="0003312C" w:rsidP="0003312C">
      <w:pPr>
        <w:bidi/>
        <w:jc w:val="center"/>
        <w:rPr>
          <w:rFonts w:cs="Guttman Drogolin"/>
          <w:b/>
          <w:bCs/>
          <w:sz w:val="28"/>
          <w:szCs w:val="28"/>
          <w:rtl/>
          <w:lang w:bidi="he-IL"/>
        </w:rPr>
      </w:pPr>
      <w:r w:rsidRPr="0003312C">
        <w:rPr>
          <w:rFonts w:cs="Guttman Drogolin" w:hint="cs"/>
          <w:b/>
          <w:bCs/>
          <w:sz w:val="28"/>
          <w:szCs w:val="28"/>
          <w:rtl/>
          <w:lang w:bidi="he-IL"/>
        </w:rPr>
        <w:t>חיבור בענין הכשר כלים כפי רוב תשמישתם</w:t>
      </w:r>
    </w:p>
    <w:p w:rsidR="0003312C" w:rsidRDefault="0003312C" w:rsidP="0003312C">
      <w:pPr>
        <w:bidi/>
        <w:jc w:val="both"/>
        <w:rPr>
          <w:rFonts w:cs="Guttman Drogolin"/>
          <w:rtl/>
          <w:lang w:bidi="he-IL"/>
        </w:rPr>
      </w:pPr>
      <w:r w:rsidRPr="00C7608B">
        <w:rPr>
          <w:rFonts w:cs="Guttman Drogolin" w:hint="cs"/>
          <w:b/>
          <w:bCs/>
          <w:rtl/>
          <w:lang w:bidi="he-IL"/>
        </w:rPr>
        <w:t>מעשה</w:t>
      </w:r>
      <w:r>
        <w:rPr>
          <w:rFonts w:cs="Guttman Drogolin" w:hint="cs"/>
          <w:rtl/>
          <w:lang w:bidi="he-IL"/>
        </w:rPr>
        <w:t xml:space="preserve"> שהי' במי שהי' עומד להכשיר השיש שלו לשימוש בחג הפסח, וניקה ושפשף הכל והכינו כדי להכשירו, ושוב כיסה אותה בשעה שלש בצהריים שיהי' בלי שימוש מעל"ע וכמו שמפורש בשו"ע סי' תנ"ב סע' ב' שהמנהג שאין מכשירים שום כלי שהוא בן יומו. וכן החמיר עוד יותר בבה"ל ברסי' תנ"ב דיתכן שאם הוא בן יומו אינו מכשירו כלל, דהא חמץ שמו עליו ואין כאן היתירא דנ"ט בר נ"ט. ומיד אחרי שעה שלש ביום המחרת עירה רותחין ע"ג השיש כדי להכשירו, ורק לאחר מכן נזכר שהי' צריך להמתין עוד שעה, כיון שאתמול בלילה עברו לשעון קיץ, ולכן עדיין לא עברו מעל"ע משעת הכיסוי. ושאלתו בפיו אם צריך להמתין עוד מעל"ע ולהכשירו פעם שני.</w:t>
      </w:r>
    </w:p>
    <w:p w:rsidR="0003312C" w:rsidRDefault="0003312C" w:rsidP="0003312C">
      <w:pPr>
        <w:bidi/>
        <w:jc w:val="both"/>
        <w:rPr>
          <w:rFonts w:cs="Guttman Drogolin"/>
          <w:rtl/>
          <w:lang w:bidi="he-IL"/>
        </w:rPr>
      </w:pPr>
      <w:r w:rsidRPr="00C7608B">
        <w:rPr>
          <w:rFonts w:cs="Guttman Drogolin" w:hint="cs"/>
          <w:b/>
          <w:bCs/>
          <w:rtl/>
          <w:lang w:bidi="he-IL"/>
        </w:rPr>
        <w:t>וכדי</w:t>
      </w:r>
      <w:r>
        <w:rPr>
          <w:rFonts w:cs="Guttman Drogolin" w:hint="cs"/>
          <w:rtl/>
          <w:lang w:bidi="he-IL"/>
        </w:rPr>
        <w:t xml:space="preserve"> לעמוד על עיקר הדין בהכשר השיש, יש להקדים ביאור הדין שמכשירים כלים ע"י הגעלה, וכן זה שמוזכר בשו"ע שמכשירים את השולחנות. </w:t>
      </w:r>
    </w:p>
    <w:p w:rsidR="0003312C" w:rsidRDefault="0003312C" w:rsidP="0003312C">
      <w:pPr>
        <w:bidi/>
        <w:jc w:val="both"/>
        <w:rPr>
          <w:rFonts w:cs="Guttman Drogolin"/>
          <w:rtl/>
          <w:lang w:bidi="he-IL"/>
        </w:rPr>
      </w:pPr>
      <w:r w:rsidRPr="00C7608B">
        <w:rPr>
          <w:rFonts w:cs="Guttman Drogolin" w:hint="cs"/>
          <w:b/>
          <w:bCs/>
          <w:rtl/>
          <w:lang w:bidi="he-IL"/>
        </w:rPr>
        <w:t>והנה</w:t>
      </w:r>
      <w:r>
        <w:rPr>
          <w:rFonts w:cs="Guttman Drogolin" w:hint="cs"/>
          <w:rtl/>
          <w:lang w:bidi="he-IL"/>
        </w:rPr>
        <w:t xml:space="preserve"> למדנו מפרשת כלי מדין שאפילו כלי שהשתמשו בה למאכלות האסורות אפשר להכשירו ולהתירו לשימוש למאכלות המותרות. ומבואר בחז"ל שאפשר להכשיר כלי על ע"י ליבון או הגעלה, ולפי מה שפסק החזו"א (סי' קי"ט ס"ק י"ט) הכלל בזה הוא שדבר שנבלע ע"י האש בלי מים צריך ליבון, ואילו דבר שתשמישתו בדברים לחים אינו צריך אלא הגעלה. ולכאורה לא מצאנו בהדיא בתורה שבכתב שאפשר להכשיר ע"י הגעלה, אמנם תוס' בכמה מקומות (ע' חולין ק' ע"ב) נקטו שהוא מפורש בתורה שאפשר להכשיר ע"י הגעלה, ואפילו אם לא הי' הדבר מפורש מ"מ כך קים להו לחז"ל שהגעלה מכשיר את הכלי. וביאור הענין, שבזמן שהשתמשו בכלי במאכלות האסורות במים וכדומה, טעם של המאכלים האלו נכנסו לתוך דפני הכלי, באופן שאם מבשל בה מאכלים המותרים מבלי להכשירו קודם, הטעם שהי' בלוע בכלי יצא שוב לתוך המאכל החדש ויאסרנה מדין טכ"ע. אמנם הגעלה מוציא את הבליעות האסורות מדפני הכלי ומכשירו, ולכן אם מגעילו ושוב משתמש בו אין המאכל החדש נאסר.</w:t>
      </w:r>
    </w:p>
    <w:p w:rsidR="0003312C" w:rsidRDefault="0003312C" w:rsidP="0003312C">
      <w:pPr>
        <w:bidi/>
        <w:jc w:val="both"/>
        <w:rPr>
          <w:rFonts w:cs="Guttman Drogolin"/>
          <w:rtl/>
          <w:lang w:bidi="he-IL"/>
        </w:rPr>
      </w:pPr>
      <w:r w:rsidRPr="00C7608B">
        <w:rPr>
          <w:rFonts w:cs="Guttman Drogolin" w:hint="cs"/>
          <w:b/>
          <w:bCs/>
          <w:rtl/>
          <w:lang w:bidi="he-IL"/>
        </w:rPr>
        <w:t>ומדאורייתא</w:t>
      </w:r>
      <w:r>
        <w:rPr>
          <w:rFonts w:cs="Guttman Drogolin" w:hint="cs"/>
          <w:rtl/>
          <w:lang w:bidi="he-IL"/>
        </w:rPr>
        <w:t xml:space="preserve"> אין צורך להגעיל הכלי קודם שמשתמש בו אלא כשהכלי בן יומו, ור"ל שהבליעות נכנסו לכלי בתוך היום הקודם, אבל באינו בן יומו קיי"ל שנותן טעם לפגם מותר, ולכן אפילו אם יבשל בה קודם הכשר הכלי לא יאסר הכלי את המאכל. ומ"מ מבואר בסוף מס' ע"ז (ע"ו ע"א) שגזרו להכשיר גם כלי שאינו בן יומו, גזרה אטו כלי בן יומו. </w:t>
      </w:r>
    </w:p>
    <w:p w:rsidR="0003312C" w:rsidRPr="00F0425F" w:rsidRDefault="0003312C" w:rsidP="0003312C">
      <w:pPr>
        <w:bidi/>
        <w:jc w:val="both"/>
        <w:rPr>
          <w:rFonts w:cs="Cambria"/>
          <w:rtl/>
          <w:lang w:bidi="he-IL"/>
        </w:rPr>
      </w:pPr>
      <w:r w:rsidRPr="00C7608B">
        <w:rPr>
          <w:rFonts w:cs="Guttman Drogolin" w:hint="cs"/>
          <w:b/>
          <w:bCs/>
          <w:rtl/>
          <w:lang w:bidi="he-IL"/>
        </w:rPr>
        <w:t>ומבואר</w:t>
      </w:r>
      <w:r>
        <w:rPr>
          <w:rFonts w:cs="Guttman Drogolin" w:hint="cs"/>
          <w:rtl/>
          <w:lang w:bidi="he-IL"/>
        </w:rPr>
        <w:t xml:space="preserve"> בכמה ראשונים שכשמכשירים את הכלי, אין צורך להכשירו אלא כפי רוב תשמישתו. ולכן אם רוב תשמישתו של הכלי בבישול עם משקים, אע"פ שיתכן שהשתמשו בה עראי פעם א' אפילו בחום יבש בלי משקין, מ"מ אינו צריך להכשיר הכלי אלא כפי רוב תשמישתו, ולכן אפשר להכשירו ע"י הגעלה ודיו. כן דקדקו הראשונים מן המבואר במס' ע"ז (ע"ה ע"ב) "</w:t>
      </w:r>
      <w:r w:rsidRPr="00883991">
        <w:rPr>
          <w:rFonts w:cs="Guttman Drogolin"/>
          <w:rtl/>
          <w:lang w:bidi="he-IL"/>
        </w:rPr>
        <w:t>דברים שנשתמש בהן ע"י צונן, כגון כוסות וקתוניות וצלוחיות מדיחן ומטבילן והם טהורין</w:t>
      </w:r>
      <w:r>
        <w:rPr>
          <w:rFonts w:cs="Guttman Drogolin" w:hint="cs"/>
          <w:rtl/>
          <w:lang w:bidi="he-IL"/>
        </w:rPr>
        <w:t>". והקשו הראשונים, (ע' ר"ן במס' פסחים לדף ל' ע"ב, וביאור הגר"א לסי' תנ"א סע' ו', ועוד) ד</w:t>
      </w:r>
      <w:r w:rsidRPr="00583E93">
        <w:rPr>
          <w:rFonts w:cs="Guttman Drogolin"/>
          <w:rtl/>
          <w:lang w:bidi="he-IL"/>
        </w:rPr>
        <w:t>א"א שלעתים רחוקות לא ישתמש בהן בחמין</w:t>
      </w:r>
      <w:r>
        <w:rPr>
          <w:rFonts w:cs="Guttman Drogolin" w:hint="cs"/>
          <w:rtl/>
          <w:lang w:bidi="he-IL"/>
        </w:rPr>
        <w:t xml:space="preserve">. וע"כ כנ"ל דאזלינן בתר רוב תשמישתן. וכן כתבו הראשונים יסוד זה ליישב סתירה בגמ', </w:t>
      </w:r>
      <w:r>
        <w:rPr>
          <w:rFonts w:cs="Guttman Drogolin" w:hint="cs"/>
          <w:rtl/>
          <w:lang w:bidi="he-IL"/>
        </w:rPr>
        <w:lastRenderedPageBreak/>
        <w:t>שבמקום א' מבואר שסכינים צריכים ליבון, ובמקו"א כתוב שצריכים הגעלה, וביארו שתלוי באיזה סכין, שבא' מהם דרכו בתשמיש ע"י האור, ובשני אין תשמישתו הקבוע ע"י האור, רק באקראי, ולכן אינו צריך אלא הגעלה. וכדברי שיטה זו פסק השו"ע בסי' תנ"א סע' ו'.</w:t>
      </w:r>
    </w:p>
    <w:p w:rsidR="0003312C" w:rsidRDefault="0003312C" w:rsidP="0003312C">
      <w:pPr>
        <w:bidi/>
        <w:jc w:val="both"/>
        <w:rPr>
          <w:rFonts w:cs="Guttman Drogolin"/>
          <w:rtl/>
          <w:lang w:bidi="he-IL"/>
        </w:rPr>
      </w:pPr>
      <w:r w:rsidRPr="00C7608B">
        <w:rPr>
          <w:rFonts w:cs="Guttman Drogolin" w:hint="cs"/>
          <w:b/>
          <w:bCs/>
          <w:rtl/>
          <w:lang w:bidi="he-IL"/>
        </w:rPr>
        <w:t>ולכאורה</w:t>
      </w:r>
      <w:r>
        <w:rPr>
          <w:rFonts w:cs="Guttman Drogolin" w:hint="cs"/>
          <w:rtl/>
          <w:lang w:bidi="he-IL"/>
        </w:rPr>
        <w:t xml:space="preserve"> הדברים טעונים ביאור רב. דהא עיקר הטעם שצריכים להכשיר הכלי היינו משום שאם אינו מכשירו, הבליעות שנבלעו בו יחזרו לתוך התבשיל החדש שמבשל בו. וא"כ מאי אהני לן זה שע"פ רוב אינו משתמש בה ע"י האור, הא סוף כל סוף השתמש בה פעם א' ע"י האור ונבלעו בה בליעות של איסור, ולא יצאו כל הבליעות ע"י הגעלה דהא לא מהני הגעלה לדבר שבלע ע"י האור. ולכן איך אפשר לומר כלל דאזלינן בתר רוב תשמישתו. </w:t>
      </w:r>
    </w:p>
    <w:p w:rsidR="0003312C" w:rsidRDefault="0003312C" w:rsidP="00EC357D">
      <w:pPr>
        <w:bidi/>
        <w:jc w:val="both"/>
        <w:rPr>
          <w:rFonts w:cs="Guttman Drogolin"/>
          <w:rtl/>
          <w:lang w:bidi="he-IL"/>
        </w:rPr>
      </w:pPr>
      <w:r w:rsidRPr="00C7608B">
        <w:rPr>
          <w:rFonts w:cs="Guttman Drogolin" w:hint="cs"/>
          <w:b/>
          <w:bCs/>
          <w:rtl/>
          <w:lang w:bidi="he-IL"/>
        </w:rPr>
        <w:t>ובאמת</w:t>
      </w:r>
      <w:r>
        <w:rPr>
          <w:rFonts w:cs="Guttman Drogolin" w:hint="cs"/>
          <w:rtl/>
          <w:lang w:bidi="he-IL"/>
        </w:rPr>
        <w:t xml:space="preserve"> הרמ"א שם בסע' ו' החמיר להכשיר כלי אפילו ע"פ מיעוט תשמישתו. וכלפי הראי' של הראשונים בהא דכוסות שמדיחן ומותר, חייבים לומר דמיירי דוקא בכה"ג דידעינן שלא השתמשו בה בתשמיש אחר אפילו במיעוטו. </w:t>
      </w:r>
      <w:r w:rsidR="00EC357D">
        <w:rPr>
          <w:rFonts w:cs="Guttman Drogolin" w:hint="cs"/>
          <w:rtl/>
          <w:lang w:bidi="he-IL"/>
        </w:rPr>
        <w:t xml:space="preserve">וכמובן זהו דוחק גדול כיון דמיירי בכלים הנקנין מן העכו"ם, ומי השגיח על כלים אלו כדי שנדע שלא הי' לזה תשמיש של המיעוט. </w:t>
      </w:r>
      <w:r>
        <w:rPr>
          <w:rFonts w:cs="Guttman Drogolin" w:hint="cs"/>
          <w:rtl/>
          <w:lang w:bidi="he-IL"/>
        </w:rPr>
        <w:t>ומ"מ שיטת המחבר עדיין צריך פירוש וכנ"ל.</w:t>
      </w:r>
    </w:p>
    <w:p w:rsidR="0003312C" w:rsidRDefault="0003312C" w:rsidP="0003312C">
      <w:pPr>
        <w:bidi/>
        <w:jc w:val="both"/>
        <w:rPr>
          <w:rFonts w:cs="Guttman Drogolin"/>
          <w:rtl/>
          <w:lang w:bidi="he-IL"/>
        </w:rPr>
      </w:pPr>
      <w:r w:rsidRPr="00C7608B">
        <w:rPr>
          <w:rFonts w:cs="Guttman Drogolin" w:hint="cs"/>
          <w:b/>
          <w:bCs/>
          <w:rtl/>
          <w:lang w:bidi="he-IL"/>
        </w:rPr>
        <w:t>והי'</w:t>
      </w:r>
      <w:r>
        <w:rPr>
          <w:rFonts w:cs="Guttman Drogolin" w:hint="cs"/>
          <w:rtl/>
          <w:lang w:bidi="he-IL"/>
        </w:rPr>
        <w:t xml:space="preserve"> אולי עולה על הדעת לומר, שהטעם דאזלינן בתר רוב תשמישתו היינו משום שאפילו נבלע בה פעם א' ע"י האור, מ"מ הרי הגעילו וכן אינו משתמש בה באופן הרגיל ע"י האור, ולכן ליכא למיחש שיצאו הבליעות שנבלעו ע"י האור דהא לא ישתמש בה ע"י האור, ולכן ליכא למיחש לבליעות שנבלעו דרך בישול דהא הגעילו ויצאו בליעות אלו. אמנם הדבר לא ניתן ליאמר, דהא כתבו הראשונים בסוגיא שבדף ל' ע"ב שאם מגעיל כלי הצריך ליבון, אי אפשר להשתמש בה אפילו ע"י מים רותחים, ודימו דבר זה למה שמצאנו שאין הבליעות יוצאים מכלי חרס לעולם, ולא אמרינן שההגעלה שנעשה בה מועיל עכ"פ לבליעות שיצאו ע"י רותחין.</w:t>
      </w:r>
    </w:p>
    <w:p w:rsidR="0003312C" w:rsidRPr="00583E93" w:rsidRDefault="0003312C" w:rsidP="0003312C">
      <w:pPr>
        <w:bidi/>
        <w:jc w:val="both"/>
        <w:rPr>
          <w:rFonts w:cs="Guttman Drogolin"/>
          <w:rtl/>
        </w:rPr>
      </w:pPr>
      <w:r w:rsidRPr="00C7608B">
        <w:rPr>
          <w:rFonts w:cs="Guttman Drogolin" w:hint="cs"/>
          <w:b/>
          <w:bCs/>
          <w:rtl/>
          <w:lang w:bidi="he-IL"/>
        </w:rPr>
        <w:t>ומכח</w:t>
      </w:r>
      <w:r>
        <w:rPr>
          <w:rFonts w:cs="Guttman Drogolin" w:hint="cs"/>
          <w:rtl/>
          <w:lang w:bidi="he-IL"/>
        </w:rPr>
        <w:t xml:space="preserve"> קושיות אלו כתב בשו"ת רמ"ע מפאנו (סי' צ"ו), וכן מבואר גם בשו"ת הרשב"א (סי' שע"ב), שהדין שמכשירים כלי לפי רוב תשמישתו לא נאמר אלא כלפי הגזרה מדרבנן של אינו בן יומו אטו בן יומו. ולכן כיון שמעיקר הדין אין הבליעות אוסרות, לא החמירו עליו להכשיר הכלי אלא כפי רוב תשמישתו. וע' במ"ב סי' תנ"א ס"ק מ"ו שמשו"ה כתב שאם הכשיר הכלי כפי רוב תשמישתו כשהוא עדיין בן יומו ושוב השתמש בכלי, הרי הוא אוסר המאכל, דהא מעיקר הדין אין טעם לחלק בין אינו בן יומו לבן יומו. </w:t>
      </w:r>
    </w:p>
    <w:p w:rsidR="0003312C" w:rsidRDefault="0003312C" w:rsidP="0003312C">
      <w:pPr>
        <w:bidi/>
        <w:jc w:val="both"/>
        <w:rPr>
          <w:rFonts w:cs="Guttman Drogolin"/>
          <w:rtl/>
          <w:lang w:bidi="he-IL"/>
        </w:rPr>
      </w:pPr>
      <w:r w:rsidRPr="00C7608B">
        <w:rPr>
          <w:rFonts w:cs="Guttman Drogolin" w:hint="cs"/>
          <w:b/>
          <w:bCs/>
          <w:rtl/>
          <w:lang w:bidi="he-IL"/>
        </w:rPr>
        <w:t>ויש</w:t>
      </w:r>
      <w:r>
        <w:rPr>
          <w:rFonts w:cs="Guttman Drogolin" w:hint="cs"/>
          <w:rtl/>
          <w:lang w:bidi="he-IL"/>
        </w:rPr>
        <w:t xml:space="preserve"> כמה קושיות על יסוד זה. חדא שהרי יש מקרים שבליעות שעברו עליהם מעל"ע אוסרות מעיקר הדין. חדא דקיי"ל ביו"ד סי' צ"ו שמאכל חריף 'מחליא לי' לשבח', ולכן אם בישל דבר חריף בכלי ששאינו בן יומו הרי הוא חוזר להיות נותן טעם לשבח ואוסר. וא"כ כיון שלא הוציא כל הבליעות, אע"ג שאינן בני יומן, מ"מ כשיבשל בה דבר חריף הרי הוא יאסר מעיקר הדין. ובחזו"א (שם) באמת כתב דאה"נ ולא מהני ההכשר של רוב תשמישתו היכא שבישל בה דבר חריף. וכל הרואה ישתומם, דאיך אפשר לומר שחז"ל הקילו להכשיר ע"פ רוב תשמישתו באופן שאם יבשל בה דבר חריף הרי הוא יאסר, והרי בישול דבר חריף כמו שומים ובצלים שכיח טובא. וכן באמת מצאתי לבית מאיר שם בסי' צ"ו דנקט כלאחר יד דאזלינן בתר רוב תשמישתו אפילו בדבר חריף, אלא דמ"מ טעמא בעי וכנ"ל.</w:t>
      </w:r>
    </w:p>
    <w:p w:rsidR="0003312C" w:rsidRDefault="0003312C" w:rsidP="0003312C">
      <w:pPr>
        <w:bidi/>
        <w:jc w:val="both"/>
        <w:rPr>
          <w:rFonts w:cs="Guttman Drogolin"/>
          <w:rtl/>
          <w:lang w:bidi="he-IL"/>
        </w:rPr>
      </w:pPr>
      <w:r w:rsidRPr="00C7608B">
        <w:rPr>
          <w:rFonts w:cs="Guttman Drogolin" w:hint="cs"/>
          <w:b/>
          <w:bCs/>
          <w:rtl/>
          <w:lang w:bidi="he-IL"/>
        </w:rPr>
        <w:t>ועוד</w:t>
      </w:r>
      <w:r>
        <w:rPr>
          <w:rFonts w:cs="Guttman Drogolin" w:hint="cs"/>
          <w:rtl/>
          <w:lang w:bidi="he-IL"/>
        </w:rPr>
        <w:t xml:space="preserve"> צ"ע, דאע"ג שהרמ"א החמיר להכשיר כלי אפילו לפי מיעוט תשמישתו, מ"מ כתב המ"ב שאין זה אלא לכתחילה, אבל בדיעבד סמכינן על הכשר כפי רוב תשמישתו (והוא מן הרמ"א שבסוף סי' קכ"א). וכן מבואר בכמה מקומות במ"ב לסמוך בצירופים א"נ בשעה"ד על שיטת המחבר. ולכאורה </w:t>
      </w:r>
      <w:r>
        <w:rPr>
          <w:rFonts w:cs="Guttman Drogolin" w:hint="cs"/>
          <w:rtl/>
          <w:lang w:bidi="he-IL"/>
        </w:rPr>
        <w:lastRenderedPageBreak/>
        <w:t xml:space="preserve">צ"ע, דהרי הרמ"א בסי' תמ"ז סע' י' החמיר שנטל"פ בפסח אוסר, וכשיטות הסוברות דאע"ג שנטל"פ מותר, היינו משום דמסתמא בטל ברוב, אבל דבר האוסר במשהו לא שייך לגבי' נטל"פ כיון דמשהו מיהא איכא. וא"כ לכאורה צ"ע, שלשיטה זו מאי אהני לן הכשר כלי לפי רוב תשמישתו אפילו בשארי המאכלים שאינם חריפים, הא משהו של נטל"פ איכא ע"י שהשתמש בה באור וכנ"ל, וא"כ הוא יאסר אותו בתשמיש הבא.   </w:t>
      </w:r>
    </w:p>
    <w:p w:rsidR="0003312C" w:rsidRDefault="0003312C" w:rsidP="0003312C">
      <w:pPr>
        <w:bidi/>
        <w:jc w:val="both"/>
        <w:rPr>
          <w:rFonts w:cs="Guttman Drogolin"/>
          <w:rtl/>
          <w:lang w:bidi="he-IL"/>
        </w:rPr>
      </w:pPr>
      <w:r w:rsidRPr="00C7608B">
        <w:rPr>
          <w:rFonts w:cs="Guttman Drogolin" w:hint="cs"/>
          <w:b/>
          <w:bCs/>
          <w:rtl/>
          <w:lang w:bidi="he-IL"/>
        </w:rPr>
        <w:t>ובעצם</w:t>
      </w:r>
      <w:r>
        <w:rPr>
          <w:rFonts w:cs="Guttman Drogolin" w:hint="cs"/>
          <w:rtl/>
          <w:lang w:bidi="he-IL"/>
        </w:rPr>
        <w:t xml:space="preserve">, כל היסוד הנ"ל של הרמ"ע והרשב"א צ"ע, שהרי הארכנו במקו"א לחקור מהו כל יסוד התקנה שמכשירים כלי שאינו בן יומו אטו בן יומו, האם הוא רק דין בכלי שחייבוהו להכשירו אע"ג שאין בה בליעות האוסרות. או"ד שגזרו מדרבנן על הבליעות שנותנים טעם לפגם עצמם לומר שהם אסורים מדרבנן עכ"פ לכתחילה (אבל גם אחריה גזרה לא גזרו בהם שיאסרו בדיעבד) וממילא חייבים להכשירו. והבאנו מתוס' במס' פסחים ל' ע"א (ד"ה לשהינהו) ועוד שגזרו על הבליעות ליאסר מדרבנן. וא"כ מה הועיל לנו הא דהקילו להכשיר כפי רוב תשמישתו כיון שעדיין יש בה בליעות החייבים בהכשר מדרבנן.   </w:t>
      </w:r>
      <w:r w:rsidRPr="00CF5611">
        <w:rPr>
          <w:rFonts w:cs="Guttman Drogolin"/>
          <w:rtl/>
          <w:lang w:bidi="he-IL"/>
        </w:rPr>
        <w:t xml:space="preserve">     </w:t>
      </w:r>
    </w:p>
    <w:p w:rsidR="0003312C" w:rsidRPr="00CF5611" w:rsidRDefault="0003312C" w:rsidP="0003312C">
      <w:pPr>
        <w:bidi/>
        <w:jc w:val="both"/>
        <w:rPr>
          <w:rFonts w:cs="Guttman Drogolin"/>
          <w:rtl/>
          <w:lang w:bidi="he-IL"/>
        </w:rPr>
      </w:pPr>
      <w:r w:rsidRPr="00C7608B">
        <w:rPr>
          <w:rFonts w:cs="Guttman Drogolin" w:hint="cs"/>
          <w:b/>
          <w:bCs/>
          <w:rtl/>
          <w:lang w:bidi="he-IL"/>
        </w:rPr>
        <w:t>מה</w:t>
      </w:r>
      <w:r>
        <w:rPr>
          <w:rFonts w:cs="Guttman Drogolin" w:hint="cs"/>
          <w:rtl/>
          <w:lang w:bidi="he-IL"/>
        </w:rPr>
        <w:t xml:space="preserve"> שלכאורה חייבים לומר בכל הנ"ל הוא דכיון שכל הדינים הנ"ל הם מדרבנן, גם בדינים אלו אמרינן דהם אמרו והם אמרו. ור"ל שלא רצו להחמיר שיצטרך להכשיר הכלי כפי מיעוט תשמישתו, ולכן אמרו בכל האיסורים שהבליעות שנשארו אינן אוסרים אפילו לענין לכתחילה, וכן לא גזרו בבליעות אלו מדרבנן בפסח שיאסרו במשהו.     </w:t>
      </w:r>
      <w:r w:rsidRPr="00CF5611">
        <w:rPr>
          <w:rFonts w:cs="Guttman Drogolin" w:hint="cs"/>
          <w:rtl/>
          <w:lang w:bidi="he-IL"/>
        </w:rPr>
        <w:t xml:space="preserve"> </w:t>
      </w:r>
    </w:p>
    <w:p w:rsidR="0003312C" w:rsidRDefault="0003312C" w:rsidP="0003312C">
      <w:pPr>
        <w:bidi/>
        <w:jc w:val="both"/>
        <w:rPr>
          <w:rFonts w:cs="Guttman Drogolin"/>
          <w:rtl/>
          <w:lang w:bidi="he-IL"/>
        </w:rPr>
      </w:pPr>
      <w:r w:rsidRPr="00C7608B">
        <w:rPr>
          <w:rFonts w:cs="Guttman Drogolin" w:hint="cs"/>
          <w:b/>
          <w:bCs/>
          <w:rtl/>
          <w:lang w:bidi="he-IL"/>
        </w:rPr>
        <w:t>וכן</w:t>
      </w:r>
      <w:r>
        <w:rPr>
          <w:rFonts w:cs="Guttman Drogolin" w:hint="cs"/>
          <w:rtl/>
          <w:lang w:bidi="he-IL"/>
        </w:rPr>
        <w:t xml:space="preserve"> לענין</w:t>
      </w:r>
      <w:r w:rsidRPr="00CF5611">
        <w:rPr>
          <w:rFonts w:cs="Guttman Drogolin" w:hint="cs"/>
          <w:rtl/>
          <w:lang w:bidi="he-IL"/>
        </w:rPr>
        <w:t xml:space="preserve"> </w:t>
      </w:r>
      <w:r>
        <w:rPr>
          <w:rFonts w:cs="Guttman Drogolin" w:hint="cs"/>
          <w:rtl/>
          <w:lang w:bidi="he-IL"/>
        </w:rPr>
        <w:t xml:space="preserve">הא דדבר חריף מחליא לי' לשבח, צריכים לומר שאין זה אלא מדרבנן והם אמרו והם אמרו. ויעוין בפת"ש ביו"ד סי' צ"ה ס"ק ד' שדן בזה אם הא דמחליא לי' לשבח הוא מדרבנן או מדאורייתא, ונראה שדעתו שם להסיק כדעת השיבת ציון דהוא מדאורייתא, דהא כשטועם אותו הרי הוא נותן טעם לשבח, וא"כ הרי ממילא הוא אוסר מדין טכ"ע דאורייתא. אלא שראיתי במגי"ס שהוכיח דע"כ צריכים לומר שאין זה אלא דין דרבנן, והביא כמה דוגמאות של טעם הנרגש ומ"מ אינו אסור מדין טכ"ע. תדע, שהרי לא החמירו להכשיר כלי אינו בן יומו אלא אטו בן יומו וכדמפורש בגמ' שבמס' ע"ז ע"ו ע"א. ולכאורה צ"ע, דהא צריכים להכשיר הכלי מעיקר הדין משום שיבא להשתמש בה בדבר חריף ומחליא לי' לשבח, וא"כ למה בעינן לי' לטעמא דגזרה אינו בן יומו. </w:t>
      </w:r>
    </w:p>
    <w:p w:rsidR="0003312C" w:rsidRPr="00CF5611" w:rsidRDefault="0003312C" w:rsidP="0003312C">
      <w:pPr>
        <w:bidi/>
        <w:jc w:val="both"/>
        <w:rPr>
          <w:rFonts w:cs="Guttman Drogolin"/>
          <w:rtl/>
          <w:lang w:bidi="he-IL"/>
        </w:rPr>
      </w:pPr>
      <w:r w:rsidRPr="00C7608B">
        <w:rPr>
          <w:rFonts w:cs="Guttman Drogolin" w:hint="cs"/>
          <w:b/>
          <w:bCs/>
          <w:rtl/>
          <w:lang w:bidi="he-IL"/>
        </w:rPr>
        <w:t>ובאמת</w:t>
      </w:r>
      <w:r w:rsidRPr="00882F11">
        <w:rPr>
          <w:rFonts w:cs="Guttman Drogolin" w:hint="cs"/>
          <w:rtl/>
          <w:lang w:bidi="he-IL"/>
        </w:rPr>
        <w:t xml:space="preserve"> בשו"ת הרשב"א המיוחסות לרמב"ן סי' קנ"א </w:t>
      </w:r>
      <w:r>
        <w:rPr>
          <w:rFonts w:cs="Guttman Drogolin" w:hint="cs"/>
          <w:rtl/>
          <w:lang w:bidi="he-IL"/>
        </w:rPr>
        <w:t>(</w:t>
      </w:r>
      <w:r>
        <w:rPr>
          <w:rFonts w:cs="Guttman Drogolin"/>
          <w:rtl/>
          <w:lang w:bidi="he-IL"/>
        </w:rPr>
        <w:t>וכן בח"א סי' תצ"ז</w:t>
      </w:r>
      <w:r>
        <w:rPr>
          <w:rFonts w:cs="Guttman Drogolin" w:hint="cs"/>
          <w:rtl/>
          <w:lang w:bidi="he-IL"/>
        </w:rPr>
        <w:t>)</w:t>
      </w:r>
      <w:r w:rsidRPr="003360D9">
        <w:rPr>
          <w:rFonts w:cs="Guttman Drogolin"/>
          <w:rtl/>
          <w:lang w:bidi="he-IL"/>
        </w:rPr>
        <w:t xml:space="preserve"> </w:t>
      </w:r>
      <w:r w:rsidRPr="00882F11">
        <w:rPr>
          <w:rFonts w:cs="Guttman Drogolin" w:hint="cs"/>
          <w:rtl/>
          <w:lang w:bidi="he-IL"/>
        </w:rPr>
        <w:t xml:space="preserve">התייחס לקושיא </w:t>
      </w:r>
      <w:r>
        <w:rPr>
          <w:rFonts w:cs="Guttman Drogolin" w:hint="cs"/>
          <w:rtl/>
          <w:lang w:bidi="he-IL"/>
        </w:rPr>
        <w:t>זו דכלי שאינו יומו</w:t>
      </w:r>
      <w:r w:rsidRPr="00882F11">
        <w:rPr>
          <w:rFonts w:cs="Guttman Drogolin" w:hint="cs"/>
          <w:rtl/>
          <w:lang w:bidi="he-IL"/>
        </w:rPr>
        <w:t xml:space="preserve">, ומכח קושיא זו כתב דע"כ לא התכוין הגמ' להחמיר </w:t>
      </w:r>
      <w:r>
        <w:rPr>
          <w:rFonts w:cs="Guttman Drogolin" w:hint="cs"/>
          <w:rtl/>
          <w:lang w:bidi="he-IL"/>
        </w:rPr>
        <w:t xml:space="preserve">דדבר חריף מחליא לי' לשבח </w:t>
      </w:r>
      <w:r w:rsidRPr="00882F11">
        <w:rPr>
          <w:rFonts w:cs="Guttman Drogolin" w:hint="cs"/>
          <w:rtl/>
          <w:lang w:bidi="he-IL"/>
        </w:rPr>
        <w:t>אלא בחילתית, אבל בשאר דברים החריפים לא מחליא לשבח. והיינו דאה"נ היו צריכים הכשר לכלי מדין בשביל חילתית, אבל לא הי' מסתבר שכל הגזה"כ של כלי מדין בשביל חילתית בלבד, ובשאר דברים החריפים ליכא למימר הכי. אבל לשאר הראשונים וכן להל</w:t>
      </w:r>
      <w:r>
        <w:rPr>
          <w:rFonts w:cs="Guttman Drogolin" w:hint="cs"/>
          <w:rtl/>
          <w:lang w:bidi="he-IL"/>
        </w:rPr>
        <w:t>כה</w:t>
      </w:r>
      <w:r w:rsidRPr="00882F11">
        <w:rPr>
          <w:rFonts w:cs="Guttman Drogolin" w:hint="cs"/>
          <w:rtl/>
          <w:lang w:bidi="he-IL"/>
        </w:rPr>
        <w:t xml:space="preserve"> בשו"ע ש</w:t>
      </w:r>
      <w:r>
        <w:rPr>
          <w:rFonts w:cs="Guttman Drogolin" w:hint="cs"/>
          <w:rtl/>
          <w:lang w:bidi="he-IL"/>
        </w:rPr>
        <w:t xml:space="preserve">סוברים שכל דבר חירף מחליא לי' לשבח </w:t>
      </w:r>
      <w:r w:rsidRPr="00882F11">
        <w:rPr>
          <w:rFonts w:cs="Guttman Drogolin" w:hint="cs"/>
          <w:rtl/>
          <w:lang w:bidi="he-IL"/>
        </w:rPr>
        <w:t xml:space="preserve"> מא"ל</w:t>
      </w:r>
      <w:r>
        <w:rPr>
          <w:rFonts w:cs="Guttman Drogolin" w:hint="cs"/>
          <w:rtl/>
          <w:lang w:bidi="he-IL"/>
        </w:rPr>
        <w:t>. וע"כ כנ"ל, דהא דמחליא לי' לשבח אינו אלא דין מדרבנן, והם אמרו והם אמרו.</w:t>
      </w:r>
      <w:r w:rsidRPr="00CF5611">
        <w:rPr>
          <w:rFonts w:cs="Guttman Drogolin" w:hint="cs"/>
          <w:rtl/>
          <w:lang w:bidi="he-IL"/>
        </w:rPr>
        <w:t xml:space="preserve"> </w:t>
      </w:r>
    </w:p>
    <w:p w:rsidR="0003312C" w:rsidRDefault="0003312C" w:rsidP="0003312C">
      <w:pPr>
        <w:bidi/>
        <w:jc w:val="both"/>
        <w:rPr>
          <w:rFonts w:cs="Guttman Drogolin"/>
          <w:rtl/>
          <w:lang w:bidi="he-IL"/>
        </w:rPr>
      </w:pPr>
      <w:r w:rsidRPr="00C7608B">
        <w:rPr>
          <w:rFonts w:cs="Guttman Drogolin" w:hint="cs"/>
          <w:b/>
          <w:bCs/>
          <w:rtl/>
          <w:lang w:bidi="he-IL"/>
        </w:rPr>
        <w:t>אלא</w:t>
      </w:r>
      <w:r>
        <w:rPr>
          <w:rFonts w:cs="Guttman Drogolin" w:hint="cs"/>
          <w:rtl/>
          <w:lang w:bidi="he-IL"/>
        </w:rPr>
        <w:t xml:space="preserve"> שלכאורה הדברים עדיין אינן מתיישבין. דהנה ז"ל בשולי הלקט סי' ר"ז "</w:t>
      </w:r>
      <w:r w:rsidRPr="00A2063D">
        <w:rPr>
          <w:rFonts w:cs="Guttman Drogolin"/>
          <w:rtl/>
          <w:lang w:bidi="he-IL"/>
        </w:rPr>
        <w:t>וכתב רבינו שלמה זצ"ל הסכינים מגעילן ברותחין בכלי ראשון שפעמים שתוחבין בהן דבר מיורה רותחת שעל האור ואינם בכלל כל דבר אשר (יעבור) [יבא] באש תעבירו באש ואף על פי שתוחבין בהן דבר [חם] ונותנין כנגד האור לצלותו מפני שאין זה דרך תשמישו ולא דבר הכתוב אלא בשפוד ובאסכלה שכל תשמישן</w:t>
      </w:r>
      <w:r>
        <w:rPr>
          <w:rFonts w:cs="Guttman Drogolin"/>
          <w:rtl/>
          <w:lang w:bidi="he-IL"/>
        </w:rPr>
        <w:t xml:space="preserve"> באור וטהרתן [באור] עד שמתלבנין</w:t>
      </w:r>
      <w:r>
        <w:rPr>
          <w:rFonts w:cs="Guttman Drogolin" w:hint="cs"/>
          <w:rtl/>
          <w:lang w:bidi="he-IL"/>
        </w:rPr>
        <w:t xml:space="preserve">". ולכאורה ברור מללו דהא דאזלינן בתר רוב תשמישתו הוא אפילו מדאורייתא. וא"כ הדרה קושיא לדוכתה, איך מהני רוב תשמישתו מדאורייתא כיון שעדין יד בה בליעות של איסור וכמש"נ. </w:t>
      </w:r>
    </w:p>
    <w:p w:rsidR="0003312C" w:rsidRDefault="0003312C" w:rsidP="0003312C">
      <w:pPr>
        <w:bidi/>
        <w:jc w:val="both"/>
        <w:rPr>
          <w:rFonts w:cs="Guttman Drogolin"/>
          <w:rtl/>
          <w:lang w:bidi="he-IL"/>
        </w:rPr>
      </w:pPr>
      <w:r w:rsidRPr="00C7608B">
        <w:rPr>
          <w:rFonts w:cs="Guttman Drogolin" w:hint="cs"/>
          <w:b/>
          <w:bCs/>
          <w:rtl/>
          <w:lang w:bidi="he-IL"/>
        </w:rPr>
        <w:lastRenderedPageBreak/>
        <w:t>וראיתי</w:t>
      </w:r>
      <w:r>
        <w:rPr>
          <w:rFonts w:cs="Guttman Drogolin" w:hint="cs"/>
          <w:rtl/>
          <w:lang w:bidi="he-IL"/>
        </w:rPr>
        <w:t xml:space="preserve"> במילואים להגהות צפחת שמן (להגר"ש גלרמן שליט"א) למקו"ח סי' תנ"א</w:t>
      </w:r>
      <w:r w:rsidR="000E4EB2">
        <w:rPr>
          <w:rFonts w:cs="Guttman Drogolin" w:hint="cs"/>
          <w:rtl/>
          <w:lang w:bidi="he-IL"/>
        </w:rPr>
        <w:t xml:space="preserve"> שג"כ העיר מזה</w:t>
      </w:r>
      <w:r>
        <w:rPr>
          <w:rFonts w:cs="Guttman Drogolin" w:hint="cs"/>
          <w:rtl/>
          <w:lang w:bidi="he-IL"/>
        </w:rPr>
        <w:t xml:space="preserve">, ושם כתב לתרץ דרש"י לשיטתו סבר דקיי"ל דטכ"ע אינו אלא מדרבנן, ולכן איכא למימר שהם אמרו והם אמרו. ולשיטה זו הגזה"כ של הכשר כלים הוא למקרים מסוימים (ע' </w:t>
      </w:r>
      <w:r w:rsidRPr="00331988">
        <w:rPr>
          <w:rFonts w:cs="Guttman Drogolin"/>
          <w:rtl/>
          <w:lang w:bidi="he-IL"/>
        </w:rPr>
        <w:t xml:space="preserve">חי' ר' דוד </w:t>
      </w:r>
      <w:r>
        <w:rPr>
          <w:rFonts w:cs="Guttman Drogolin" w:hint="cs"/>
          <w:rtl/>
          <w:lang w:bidi="he-IL"/>
        </w:rPr>
        <w:t>למס' פסחים מ"ד ע"ב</w:t>
      </w:r>
      <w:r w:rsidRPr="00331988">
        <w:rPr>
          <w:rFonts w:cs="Guttman Drogolin"/>
          <w:rtl/>
          <w:lang w:bidi="he-IL"/>
        </w:rPr>
        <w:t xml:space="preserve">, והרא"ה בבדק הבית ב"ד ש"א </w:t>
      </w:r>
      <w:r>
        <w:rPr>
          <w:rFonts w:cs="Guttman Drogolin" w:hint="cs"/>
          <w:rtl/>
          <w:lang w:bidi="he-IL"/>
        </w:rPr>
        <w:t>[</w:t>
      </w:r>
      <w:r w:rsidRPr="00331988">
        <w:rPr>
          <w:rFonts w:cs="Guttman Drogolin"/>
          <w:rtl/>
          <w:lang w:bidi="he-IL"/>
        </w:rPr>
        <w:t>עמ' צ"ט בהוצאת מה"ק</w:t>
      </w:r>
      <w:r>
        <w:rPr>
          <w:rFonts w:cs="Guttman Drogolin" w:hint="cs"/>
          <w:rtl/>
          <w:lang w:bidi="he-IL"/>
        </w:rPr>
        <w:t>] בשם הרמב"ן), ובזה מהני רוב תשמישתו מדאורייתא. וכל הדבר עדיין טעון ביאור</w:t>
      </w:r>
      <w:r>
        <w:rPr>
          <w:rStyle w:val="FootnoteReference"/>
          <w:rFonts w:cs="Guttman Drogolin"/>
          <w:rtl/>
          <w:lang w:bidi="he-IL"/>
        </w:rPr>
        <w:footnoteReference w:id="613"/>
      </w:r>
      <w:r>
        <w:rPr>
          <w:rFonts w:hint="cs"/>
          <w:rtl/>
          <w:lang w:bidi="he-IL"/>
        </w:rPr>
        <w:t>.</w:t>
      </w:r>
      <w:r>
        <w:rPr>
          <w:rFonts w:cs="Guttman Drogolin" w:hint="cs"/>
          <w:rtl/>
          <w:lang w:bidi="he-IL"/>
        </w:rPr>
        <w:t xml:space="preserve"> </w:t>
      </w:r>
    </w:p>
    <w:p w:rsidR="0003312C" w:rsidRDefault="0003312C" w:rsidP="0003312C">
      <w:pPr>
        <w:bidi/>
        <w:jc w:val="both"/>
        <w:rPr>
          <w:rFonts w:cs="Guttman Drogolin"/>
          <w:rtl/>
          <w:lang w:bidi="he-IL"/>
        </w:rPr>
      </w:pPr>
      <w:r w:rsidRPr="00C7608B">
        <w:rPr>
          <w:rFonts w:cs="Guttman Drogolin" w:hint="cs"/>
          <w:b/>
          <w:bCs/>
          <w:rtl/>
          <w:lang w:bidi="he-IL"/>
        </w:rPr>
        <w:t>אלא</w:t>
      </w:r>
      <w:r>
        <w:rPr>
          <w:rFonts w:cs="Guttman Drogolin" w:hint="cs"/>
          <w:rtl/>
          <w:lang w:bidi="he-IL"/>
        </w:rPr>
        <w:t xml:space="preserve"> שלכאורה עדייין לא יצאנו ידי חובת ביאור. שהרי</w:t>
      </w:r>
      <w:r w:rsidRPr="000765DB">
        <w:rPr>
          <w:rFonts w:cs="Guttman Drogolin"/>
          <w:rtl/>
          <w:lang w:bidi="he-IL"/>
        </w:rPr>
        <w:t xml:space="preserve"> השו"ע ב</w:t>
      </w:r>
      <w:r>
        <w:rPr>
          <w:rFonts w:cs="Guttman Drogolin" w:hint="cs"/>
          <w:rtl/>
          <w:lang w:bidi="he-IL"/>
        </w:rPr>
        <w:t xml:space="preserve">יו"ד </w:t>
      </w:r>
      <w:r w:rsidRPr="000765DB">
        <w:rPr>
          <w:rFonts w:cs="Guttman Drogolin"/>
          <w:rtl/>
          <w:lang w:bidi="he-IL"/>
        </w:rPr>
        <w:t xml:space="preserve">ססי' קכ"א </w:t>
      </w:r>
      <w:r>
        <w:rPr>
          <w:rFonts w:cs="Guttman Drogolin" w:hint="cs"/>
          <w:rtl/>
          <w:lang w:bidi="he-IL"/>
        </w:rPr>
        <w:t xml:space="preserve">כתב </w:t>
      </w:r>
      <w:r w:rsidRPr="000765DB">
        <w:rPr>
          <w:rFonts w:cs="Guttman Drogolin"/>
          <w:rtl/>
          <w:lang w:bidi="he-IL"/>
        </w:rPr>
        <w:t>שלסכין של איסור שאין בה גומות מהני הכשר דנעיצה להשתמש בה צונן (עראי וכ</w:t>
      </w:r>
      <w:r>
        <w:rPr>
          <w:rFonts w:cs="Guttman Drogolin" w:hint="cs"/>
          <w:rtl/>
          <w:lang w:bidi="he-IL"/>
        </w:rPr>
        <w:t xml:space="preserve">מש"כ לעיל מיני' שם </w:t>
      </w:r>
      <w:r w:rsidRPr="000765DB">
        <w:rPr>
          <w:rFonts w:cs="Guttman Drogolin"/>
          <w:rtl/>
          <w:lang w:bidi="he-IL"/>
        </w:rPr>
        <w:t>בסע' ה') ואפילו צונן חריף, ומהני לה ליבון או השחזה להשתמש בה אפילו חמין. והרמ"א כתב דנוהגין לכתחילה להחמיר בהשחזה דלא מהני אלא לצונן. ומ"מ סבר דבדיעבד מהני השחזה או הגעלה (כשאין גומות), והטעם שהרי רוב תשמישתו של סכין ברותחין ולא ע"י האור, ובדיעבד קיי"ל דאזלינן בתר רוב תשמישתו, והרמ"א כתב בהדיא דהיינו אפילו אם הכלי בן יומו (וכן פשוט דאל"כ הוי נטל"פ ולעולם אינו אוסר).</w:t>
      </w:r>
    </w:p>
    <w:p w:rsidR="0003312C" w:rsidRDefault="0003312C" w:rsidP="0003312C">
      <w:pPr>
        <w:bidi/>
        <w:jc w:val="both"/>
        <w:rPr>
          <w:rFonts w:cs="Guttman Drogolin"/>
          <w:rtl/>
          <w:lang w:bidi="he-IL"/>
        </w:rPr>
      </w:pPr>
      <w:r w:rsidRPr="00C7608B">
        <w:rPr>
          <w:rFonts w:cs="Guttman Drogolin" w:hint="cs"/>
          <w:b/>
          <w:bCs/>
          <w:rtl/>
          <w:lang w:bidi="he-IL"/>
        </w:rPr>
        <w:t>הרי</w:t>
      </w:r>
      <w:r>
        <w:rPr>
          <w:rFonts w:cs="Guttman Drogolin" w:hint="cs"/>
          <w:rtl/>
          <w:lang w:bidi="he-IL"/>
        </w:rPr>
        <w:t xml:space="preserve"> שחוזר וניעור קושייתנו עוד הפעם</w:t>
      </w:r>
      <w:r w:rsidRPr="000765DB">
        <w:rPr>
          <w:rFonts w:cs="Guttman Drogolin"/>
          <w:rtl/>
          <w:lang w:bidi="he-IL"/>
        </w:rPr>
        <w:t xml:space="preserve">, דמאי אהני לן שרוב תשמישתו ברותחין, הא זה לא מהני אלא לכלי </w:t>
      </w:r>
      <w:r>
        <w:rPr>
          <w:rFonts w:cs="Guttman Drogolin"/>
          <w:rtl/>
          <w:lang w:bidi="he-IL"/>
        </w:rPr>
        <w:t>שאינו בן יומו וכמו שביארנו לעיל</w:t>
      </w:r>
      <w:r w:rsidRPr="000765DB">
        <w:rPr>
          <w:rFonts w:cs="Guttman Drogolin"/>
          <w:rtl/>
          <w:lang w:bidi="he-IL"/>
        </w:rPr>
        <w:t>, וא"כ למה מהני הגעלה בדיעבד משום דרוב שתמשיתו שלא ע"י האור, הא אם תשמישתו ע"י האור והוא בן יומו הי' צריך לאסור המאכל, ומה איכפת לן מה שהי' קודם לכן. וכ"כ המ"ב בסי' תנ"א ס"ק מ"ו. וראיתי בביאורים לס' חלקת בנימין שהתייחס לזה, וכתב לפרש כוונת הרמ"א לכה"ג דלא ידוע אם הוא בן יומו, ומשום דסתם כלים אינם בני יומן, והוא דוחק גדול.</w:t>
      </w:r>
    </w:p>
    <w:p w:rsidR="0003312C" w:rsidRDefault="0003312C" w:rsidP="000E4EB2">
      <w:pPr>
        <w:bidi/>
        <w:jc w:val="both"/>
        <w:rPr>
          <w:rFonts w:cs="Guttman Drogolin"/>
          <w:rtl/>
          <w:lang w:bidi="he-IL"/>
        </w:rPr>
      </w:pPr>
      <w:r w:rsidRPr="00C7608B">
        <w:rPr>
          <w:rFonts w:cs="Guttman Drogolin"/>
          <w:b/>
          <w:bCs/>
          <w:rtl/>
          <w:lang w:bidi="he-IL"/>
        </w:rPr>
        <w:t>וחשבתי</w:t>
      </w:r>
      <w:r w:rsidRPr="000765DB">
        <w:rPr>
          <w:rFonts w:cs="Guttman Drogolin"/>
          <w:rtl/>
          <w:lang w:bidi="he-IL"/>
        </w:rPr>
        <w:t xml:space="preserve"> אולי לחדש ולומר מהלך חדש בדין רוב תשמישתו, והוא שאם נבלעו בליעות בתוך כלי ע"י בישולים רבים, כל בישול ובישול מכניס מקצת ומוציא מקצת, וכן פועל הבישול השני להחליש הבליעות שמן הבישול הראשון וכמש"נ לעיל. וא"כ יש מקום לומר שאם הי' רק מעשה צליי' א' בכלי של מאכל של איסור, הא ודאי צריכים ליבון. אבל אם עשו בה הרבה בישולים, ורובם ברותחין ורק מיעוט ע"י האור, י"ל שאותם בליעות שנשארו בדרך צלי אינם אלא בליעת חלשות ומעטות, ולכן אין לבליעות אלו כח לאסור עכ"פ אחרי שעשו הגעלה. ואם כנים הדברים שפיר אפשר לומר כן אפילו בבליעות בני יומן. </w:t>
      </w:r>
      <w:r>
        <w:rPr>
          <w:rFonts w:cs="Guttman Drogolin" w:hint="cs"/>
          <w:rtl/>
          <w:lang w:bidi="he-IL"/>
        </w:rPr>
        <w:t>אלא דא"כ תיקשי הא דמקור הדין דאזלינן בתר רוב תשמישתו הוא מדבר שת</w:t>
      </w:r>
      <w:r w:rsidR="00120EFA">
        <w:rPr>
          <w:rFonts w:cs="Guttman Drogolin" w:hint="cs"/>
          <w:rtl/>
          <w:lang w:bidi="he-IL"/>
        </w:rPr>
        <w:t>ש</w:t>
      </w:r>
      <w:r>
        <w:rPr>
          <w:rFonts w:cs="Guttman Drogolin" w:hint="cs"/>
          <w:rtl/>
          <w:lang w:bidi="he-IL"/>
        </w:rPr>
        <w:t>מ</w:t>
      </w:r>
      <w:r w:rsidR="000E4EB2">
        <w:rPr>
          <w:rFonts w:cs="Guttman Drogolin" w:hint="cs"/>
          <w:rtl/>
          <w:lang w:bidi="he-IL"/>
        </w:rPr>
        <w:t>י</w:t>
      </w:r>
      <w:r>
        <w:rPr>
          <w:rFonts w:cs="Guttman Drogolin" w:hint="cs"/>
          <w:rtl/>
          <w:lang w:bidi="he-IL"/>
        </w:rPr>
        <w:t xml:space="preserve">שתו בצונן, ובכה"ג ליכא בליעות כלל ע"י רוב תשמישתו, רק ע"י זה שנכנסו בליעות </w:t>
      </w:r>
      <w:r>
        <w:rPr>
          <w:rFonts w:cs="Guttman Drogolin" w:hint="cs"/>
          <w:rtl/>
          <w:lang w:bidi="he-IL"/>
        </w:rPr>
        <w:lastRenderedPageBreak/>
        <w:t>פעם א' באופן עראית. וכ"כ גם במ"ב סי' תנ"א ס"ק מ"ה בהדיא דמהני דינא דרוב תשמישתו אפילו אם רוב תשמישתו בצונן ומיעוטו בחמין. וא"כ לא שייך ביאור הנ"ל. ולכן הענין עדיין טעון ביאור.</w:t>
      </w:r>
    </w:p>
    <w:p w:rsidR="0003312C" w:rsidRDefault="0003312C" w:rsidP="0003312C">
      <w:pPr>
        <w:tabs>
          <w:tab w:val="right" w:pos="7497"/>
        </w:tabs>
        <w:bidi/>
        <w:jc w:val="both"/>
        <w:rPr>
          <w:rFonts w:cs="Guttman Drogolin"/>
          <w:rtl/>
          <w:lang w:bidi="he-IL"/>
        </w:rPr>
      </w:pPr>
      <w:r w:rsidRPr="0086601F">
        <w:rPr>
          <w:rFonts w:cs="Guttman Drogolin" w:hint="cs"/>
          <w:b/>
          <w:bCs/>
          <w:rtl/>
          <w:lang w:bidi="he-IL"/>
        </w:rPr>
        <w:t>והנה</w:t>
      </w:r>
      <w:r>
        <w:rPr>
          <w:rFonts w:cs="Guttman Drogolin" w:hint="cs"/>
          <w:rtl/>
          <w:lang w:bidi="he-IL"/>
        </w:rPr>
        <w:t xml:space="preserve"> כמש"כ לעיל המחבר בשו"ע סתם כדעת הראשונים המקילים להכשיר כלי לפי רוב תשמישתו. והקשו אחרוני זמנינו כמה קושיות על זה. (</w:t>
      </w:r>
      <w:r w:rsidRPr="00882F11">
        <w:rPr>
          <w:rFonts w:cs="Guttman Drogolin" w:hint="cs"/>
          <w:rtl/>
          <w:lang w:bidi="he-IL"/>
        </w:rPr>
        <w:t>כן ראיתי שהעיר</w:t>
      </w:r>
      <w:r>
        <w:rPr>
          <w:rFonts w:cs="Guttman Drogolin" w:hint="cs"/>
          <w:rtl/>
          <w:lang w:bidi="he-IL"/>
        </w:rPr>
        <w:t>ו</w:t>
      </w:r>
      <w:r w:rsidRPr="00882F11">
        <w:rPr>
          <w:rFonts w:cs="Guttman Drogolin" w:hint="cs"/>
          <w:rtl/>
          <w:lang w:bidi="he-IL"/>
        </w:rPr>
        <w:t xml:space="preserve"> הגרי"מ רובין ב'מבי דינא </w:t>
      </w:r>
      <w:r w:rsidRPr="00882F11">
        <w:rPr>
          <w:rFonts w:cs="Guttman Drogolin"/>
          <w:rtl/>
          <w:lang w:bidi="he-IL"/>
        </w:rPr>
        <w:t>–</w:t>
      </w:r>
      <w:r w:rsidRPr="00882F11">
        <w:rPr>
          <w:rFonts w:cs="Guttman Drogolin" w:hint="cs"/>
          <w:rtl/>
          <w:lang w:bidi="he-IL"/>
        </w:rPr>
        <w:t xml:space="preserve"> עניני חג הפסח עמ' </w:t>
      </w:r>
      <w:r>
        <w:rPr>
          <w:rFonts w:cs="Guttman Drogolin" w:hint="cs"/>
          <w:rtl/>
          <w:lang w:bidi="he-IL"/>
        </w:rPr>
        <w:t>ק"פ, ומגי"ס ענינים או"ח סי' כ',</w:t>
      </w:r>
      <w:r w:rsidRPr="00882F11">
        <w:rPr>
          <w:rFonts w:cs="Guttman Drogolin" w:hint="cs"/>
          <w:rtl/>
          <w:lang w:bidi="he-IL"/>
        </w:rPr>
        <w:t xml:space="preserve"> ובס' שעשועי אפרים למס' פסחים דף ל'</w:t>
      </w:r>
      <w:r>
        <w:rPr>
          <w:rFonts w:cs="Guttman Drogolin" w:hint="cs"/>
          <w:rtl/>
          <w:lang w:bidi="he-IL"/>
        </w:rPr>
        <w:t xml:space="preserve">, ובס' </w:t>
      </w:r>
      <w:r w:rsidRPr="00251564">
        <w:rPr>
          <w:rFonts w:cs="Guttman Drogolin"/>
          <w:rtl/>
          <w:lang w:bidi="he-IL"/>
        </w:rPr>
        <w:t>מעדני אשר או"ה סי' קס"ג אות ב'</w:t>
      </w:r>
      <w:r>
        <w:rPr>
          <w:rFonts w:cs="Guttman Drogolin" w:hint="cs"/>
          <w:rtl/>
          <w:lang w:bidi="he-IL"/>
        </w:rPr>
        <w:t>)</w:t>
      </w:r>
      <w:r w:rsidRPr="00882F11">
        <w:rPr>
          <w:rFonts w:cs="Guttman Drogolin" w:hint="cs"/>
          <w:rtl/>
          <w:lang w:bidi="he-IL"/>
        </w:rPr>
        <w:t xml:space="preserve">. </w:t>
      </w:r>
    </w:p>
    <w:p w:rsidR="0003312C" w:rsidRDefault="0003312C" w:rsidP="0003312C">
      <w:pPr>
        <w:tabs>
          <w:tab w:val="right" w:pos="7497"/>
        </w:tabs>
        <w:bidi/>
        <w:jc w:val="both"/>
        <w:rPr>
          <w:rFonts w:cs="Guttman Drogolin"/>
          <w:rtl/>
          <w:lang w:bidi="he-IL"/>
        </w:rPr>
      </w:pPr>
      <w:r w:rsidRPr="00C7608B">
        <w:rPr>
          <w:rFonts w:cs="Guttman Drogolin" w:hint="cs"/>
          <w:b/>
          <w:bCs/>
          <w:rtl/>
          <w:lang w:bidi="he-IL"/>
        </w:rPr>
        <w:t>חדא</w:t>
      </w:r>
      <w:r>
        <w:rPr>
          <w:rFonts w:cs="Guttman Drogolin" w:hint="cs"/>
          <w:rtl/>
          <w:lang w:bidi="he-IL"/>
        </w:rPr>
        <w:t xml:space="preserve">, מן הדין המבואר </w:t>
      </w:r>
      <w:r>
        <w:rPr>
          <w:rFonts w:cs="Guttman Drogolin"/>
          <w:rtl/>
          <w:lang w:bidi="he-IL"/>
        </w:rPr>
        <w:fldChar w:fldCharType="begin"/>
      </w:r>
      <w:r>
        <w:instrText xml:space="preserve"> XE "</w:instrText>
      </w:r>
      <w:r w:rsidRPr="008432A0">
        <w:rPr>
          <w:rFonts w:hint="cs"/>
          <w:rtl/>
          <w:lang w:bidi="he-IL"/>
        </w:rPr>
        <w:instrText>הכשר כלים</w:instrText>
      </w:r>
      <w:r w:rsidRPr="008432A0">
        <w:rPr>
          <w:rtl/>
        </w:rPr>
        <w:instrText>:</w:instrText>
      </w:r>
      <w:r w:rsidRPr="008432A0">
        <w:rPr>
          <w:rFonts w:hint="cs"/>
          <w:rtl/>
          <w:lang w:bidi="he-IL"/>
        </w:rPr>
        <w:instrText>הכשר שולחנות</w:instrText>
      </w:r>
      <w:r>
        <w:instrText xml:space="preserve">" </w:instrText>
      </w:r>
      <w:r>
        <w:rPr>
          <w:rFonts w:cs="Guttman Drogolin"/>
          <w:rtl/>
          <w:lang w:bidi="he-IL"/>
        </w:rPr>
        <w:fldChar w:fldCharType="end"/>
      </w:r>
      <w:r>
        <w:rPr>
          <w:rFonts w:cs="Guttman Drogolin" w:hint="cs"/>
          <w:rtl/>
          <w:lang w:bidi="he-IL"/>
        </w:rPr>
        <w:t>ב</w:t>
      </w:r>
      <w:r w:rsidRPr="00882F11">
        <w:rPr>
          <w:rFonts w:cs="Guttman Drogolin" w:hint="cs"/>
          <w:rtl/>
          <w:lang w:bidi="he-IL"/>
        </w:rPr>
        <w:t>שולחן ערוך בסע' כ' "</w:t>
      </w:r>
      <w:r w:rsidRPr="00882F11">
        <w:rPr>
          <w:rFonts w:cs="Guttman Drogolin"/>
          <w:rtl/>
          <w:lang w:bidi="he-IL"/>
        </w:rPr>
        <w:t>השלחנות והתיבות שמצניעים בהם אוכלין כל השנה, רגילים לערות עליהם רותחין לפי שלפעמים נשפך מרק מן הקדירה לתוכן</w:t>
      </w:r>
      <w:r w:rsidRPr="00882F11">
        <w:rPr>
          <w:rFonts w:cs="Guttman Drogolin" w:hint="cs"/>
          <w:rtl/>
          <w:lang w:bidi="he-IL"/>
        </w:rPr>
        <w:t xml:space="preserve">". </w:t>
      </w:r>
      <w:r>
        <w:rPr>
          <w:rFonts w:cs="Guttman Drogolin"/>
          <w:rtl/>
          <w:lang w:bidi="he-IL"/>
        </w:rPr>
        <w:fldChar w:fldCharType="begin"/>
      </w:r>
      <w:r>
        <w:instrText xml:space="preserve"> XE "</w:instrText>
      </w:r>
      <w:r w:rsidRPr="00A14780">
        <w:rPr>
          <w:rFonts w:hint="cs"/>
          <w:rtl/>
          <w:lang w:bidi="he-IL"/>
        </w:rPr>
        <w:instrText>הכשר כלים</w:instrText>
      </w:r>
      <w:r w:rsidRPr="00A14780">
        <w:rPr>
          <w:rtl/>
        </w:rPr>
        <w:instrText>:</w:instrText>
      </w:r>
      <w:r w:rsidRPr="00A14780">
        <w:rPr>
          <w:rFonts w:hint="cs"/>
          <w:rtl/>
          <w:lang w:bidi="he-IL"/>
        </w:rPr>
        <w:instrText>רוב תשמישתו</w:instrText>
      </w:r>
      <w:r>
        <w:instrText xml:space="preserve">" </w:instrText>
      </w:r>
      <w:r>
        <w:rPr>
          <w:rFonts w:cs="Guttman Drogolin"/>
          <w:rtl/>
          <w:lang w:bidi="he-IL"/>
        </w:rPr>
        <w:fldChar w:fldCharType="end"/>
      </w:r>
      <w:r w:rsidRPr="00882F11">
        <w:rPr>
          <w:rFonts w:cs="Guttman Drogolin" w:hint="cs"/>
          <w:rtl/>
          <w:lang w:bidi="he-IL"/>
        </w:rPr>
        <w:t xml:space="preserve">ולכאורה דברי השו"ע צריכים עיון דהא לכאורה הכא אין השפיכה נחשב רוב תשמשיתו, ואדרבה אין זה תשמישתו כלל. </w:t>
      </w:r>
      <w:r>
        <w:rPr>
          <w:rFonts w:cs="Guttman Drogolin" w:hint="cs"/>
          <w:rtl/>
          <w:lang w:bidi="he-IL"/>
        </w:rPr>
        <w:t xml:space="preserve">וא"כ לכאורה פסקי השו"ע סותרים זה את זה. </w:t>
      </w:r>
    </w:p>
    <w:p w:rsidR="0003312C" w:rsidRDefault="0003312C" w:rsidP="0003312C">
      <w:pPr>
        <w:tabs>
          <w:tab w:val="right" w:pos="7497"/>
        </w:tabs>
        <w:bidi/>
        <w:jc w:val="both"/>
        <w:rPr>
          <w:rFonts w:cs="Guttman Drogolin"/>
          <w:rtl/>
          <w:lang w:bidi="he-IL"/>
        </w:rPr>
      </w:pPr>
      <w:r w:rsidRPr="00C7608B">
        <w:rPr>
          <w:rFonts w:cs="Guttman Drogolin" w:hint="cs"/>
          <w:b/>
          <w:bCs/>
          <w:rtl/>
          <w:lang w:bidi="he-IL"/>
        </w:rPr>
        <w:t>ועוד</w:t>
      </w:r>
      <w:r>
        <w:rPr>
          <w:rFonts w:cs="Guttman Drogolin" w:hint="cs"/>
          <w:rtl/>
          <w:lang w:bidi="he-IL"/>
        </w:rPr>
        <w:t xml:space="preserve"> מקשים מדברי השו"ע בסע' י"א בהכשר מחבת. שאמנם שם פסק השו"ע להקל שאינו צריך אלא הגעלה, מ"מ במקור הדברים מבואר שהי' סברא לחייב ליבון משום שלפעמים מתייבש התבשיל וא"כ הוי בליעה ע"י האור בלי משקין, וכן הוא באמת שיטת הרשב"א, וחשש לו הרמ"א על אתר. ומ"מ כתב הרא"ש להקל ולהכשירו בהגעלה, וטעמו "</w:t>
      </w:r>
      <w:r w:rsidRPr="00882F11">
        <w:rPr>
          <w:rFonts w:cs="Guttman Drogolin"/>
          <w:rtl/>
          <w:lang w:bidi="he-IL"/>
        </w:rPr>
        <w:t>ולא נהירא לי דאם באנו לחוש לזה אם כן כל קדירות של מתכת פעמים מחסרים המרק ומקדיח והתבשיל נשרף ונדבק לדופני הקדירה וצריך ליבון ולא מצינו מי שחשש לזה אלא היינו טעמא דאע"פ שנשרף ונדבק לדופן הקדירה לחלוחית משקה יש בתבשיל אלא שהוא יבש אצל דופני הקדירה ולא מיקרי תשמישו ע"י האור להצריכו ליבון</w:t>
      </w:r>
      <w:r>
        <w:rPr>
          <w:rFonts w:cs="Guttman Drogolin" w:hint="cs"/>
          <w:rtl/>
          <w:lang w:bidi="he-IL"/>
        </w:rPr>
        <w:t>". ולכאורה צ"ע, דתיפו"ל משום רוב תשמישתו.</w:t>
      </w:r>
    </w:p>
    <w:p w:rsidR="0003312C" w:rsidRPr="00882F11" w:rsidRDefault="0003312C" w:rsidP="0003312C">
      <w:pPr>
        <w:tabs>
          <w:tab w:val="right" w:pos="7497"/>
        </w:tabs>
        <w:bidi/>
        <w:jc w:val="both"/>
        <w:rPr>
          <w:rFonts w:cs="Guttman Drogolin"/>
          <w:rtl/>
          <w:lang w:bidi="he-IL"/>
        </w:rPr>
      </w:pPr>
      <w:r w:rsidRPr="00C7608B">
        <w:rPr>
          <w:rFonts w:cs="Guttman Drogolin" w:hint="cs"/>
          <w:b/>
          <w:bCs/>
          <w:rtl/>
          <w:lang w:bidi="he-IL"/>
        </w:rPr>
        <w:t>ובשעשועי</w:t>
      </w:r>
      <w:r w:rsidRPr="00882F11">
        <w:rPr>
          <w:rFonts w:cs="Guttman Drogolin" w:hint="cs"/>
          <w:rtl/>
          <w:lang w:bidi="he-IL"/>
        </w:rPr>
        <w:t xml:space="preserve"> אפרים למו"ר הג"ר אפרים קירשנבוים שליט"א ציין לדברי החכמת שלמה ליו"ד סי' צ"א סע' ב'. דשם הב</w:t>
      </w:r>
      <w:r>
        <w:rPr>
          <w:rFonts w:cs="Guttman Drogolin" w:hint="cs"/>
          <w:rtl/>
          <w:lang w:bidi="he-IL"/>
        </w:rPr>
        <w:t>י</w:t>
      </w:r>
      <w:r w:rsidRPr="00882F11">
        <w:rPr>
          <w:rFonts w:cs="Guttman Drogolin" w:hint="cs"/>
          <w:rtl/>
          <w:lang w:bidi="he-IL"/>
        </w:rPr>
        <w:t>א דברי השפ"ד (</w:t>
      </w:r>
      <w:r>
        <w:rPr>
          <w:rFonts w:cs="Guttman Drogolin" w:hint="cs"/>
          <w:rtl/>
          <w:lang w:bidi="he-IL"/>
        </w:rPr>
        <w:t xml:space="preserve">שם </w:t>
      </w:r>
      <w:r w:rsidRPr="00882F11">
        <w:rPr>
          <w:rFonts w:cs="Guttman Drogolin" w:hint="cs"/>
          <w:rtl/>
          <w:lang w:bidi="he-IL"/>
        </w:rPr>
        <w:t>ס"ק ג') שכתב "</w:t>
      </w:r>
      <w:r w:rsidRPr="00882F11">
        <w:rPr>
          <w:rFonts w:cs="Guttman Drogolin"/>
          <w:rtl/>
          <w:lang w:bidi="he-IL"/>
        </w:rPr>
        <w:t>אם נפל הנר על כלי עץ נבלע ע"י אור לא סגי</w:t>
      </w:r>
      <w:r w:rsidRPr="00882F11">
        <w:rPr>
          <w:rFonts w:cs="Guttman Drogolin" w:hint="cs"/>
          <w:rtl/>
          <w:lang w:bidi="he-IL"/>
        </w:rPr>
        <w:t xml:space="preserve"> </w:t>
      </w:r>
      <w:r w:rsidRPr="00882F11">
        <w:rPr>
          <w:rFonts w:cs="Guttman Drogolin"/>
          <w:rtl/>
          <w:lang w:bidi="he-IL"/>
        </w:rPr>
        <w:t>בהגעלה</w:t>
      </w:r>
      <w:r w:rsidRPr="00882F11">
        <w:rPr>
          <w:rFonts w:cs="Guttman Drogolin" w:hint="cs"/>
          <w:rtl/>
          <w:lang w:bidi="he-IL"/>
        </w:rPr>
        <w:t>". והביא שם בחכמ"ש שהי' מי שהעיר שלכאורה אזלינן בתר רוב תשמישתו, ולכא</w:t>
      </w:r>
      <w:r>
        <w:rPr>
          <w:rFonts w:cs="Guttman Drogolin" w:hint="cs"/>
          <w:rtl/>
          <w:lang w:bidi="he-IL"/>
        </w:rPr>
        <w:t>ו</w:t>
      </w:r>
      <w:r w:rsidRPr="00882F11">
        <w:rPr>
          <w:rFonts w:cs="Guttman Drogolin" w:hint="cs"/>
          <w:rtl/>
          <w:lang w:bidi="he-IL"/>
        </w:rPr>
        <w:t>רה אין רוב תשמישתו ע"י נפילה. ותי' המהרש"ק שאין הנידון דומה לראי', דבשלמא דבר שנאסר בלאו הכי, אמרינן דמיגו דמכשיר משום תשמיש זה</w:t>
      </w:r>
      <w:r>
        <w:rPr>
          <w:rFonts w:cs="Guttman Drogolin" w:hint="cs"/>
          <w:rtl/>
          <w:lang w:bidi="he-IL"/>
        </w:rPr>
        <w:t>,</w:t>
      </w:r>
      <w:r w:rsidRPr="00882F11">
        <w:rPr>
          <w:rFonts w:cs="Guttman Drogolin" w:hint="cs"/>
          <w:rtl/>
          <w:lang w:bidi="he-IL"/>
        </w:rPr>
        <w:t xml:space="preserve"> מכשיר נמי משום תשמיש זה</w:t>
      </w:r>
      <w:r>
        <w:rPr>
          <w:rFonts w:cs="Guttman Drogolin" w:hint="cs"/>
          <w:rtl/>
          <w:lang w:bidi="he-IL"/>
        </w:rPr>
        <w:t>,</w:t>
      </w:r>
      <w:r w:rsidRPr="00882F11">
        <w:rPr>
          <w:rFonts w:cs="Guttman Drogolin" w:hint="cs"/>
          <w:rtl/>
          <w:lang w:bidi="he-IL"/>
        </w:rPr>
        <w:t xml:space="preserve"> אע"ג שבעצם לא עשה הכשר מספיק לענין תשמיש המיעוט. אבל דבר שלא נאסר כלל אלא ע"י האור שפיר צריך הכשר כפי איך שנבלע, דהא אל"כ אין ל</w:t>
      </w:r>
      <w:r>
        <w:rPr>
          <w:rFonts w:cs="Guttman Drogolin" w:hint="cs"/>
          <w:rtl/>
          <w:lang w:bidi="he-IL"/>
        </w:rPr>
        <w:t>ו הכשר כלל. וכוונת הגרא"ק</w:t>
      </w:r>
      <w:r w:rsidRPr="00882F11">
        <w:rPr>
          <w:rFonts w:cs="Guttman Drogolin" w:hint="cs"/>
          <w:rtl/>
          <w:lang w:bidi="he-IL"/>
        </w:rPr>
        <w:t xml:space="preserve"> </w:t>
      </w:r>
      <w:r>
        <w:rPr>
          <w:rFonts w:cs="Guttman Drogolin" w:hint="cs"/>
          <w:rtl/>
          <w:lang w:bidi="he-IL"/>
        </w:rPr>
        <w:t xml:space="preserve">שליט"א </w:t>
      </w:r>
      <w:r w:rsidRPr="00882F11">
        <w:rPr>
          <w:rFonts w:cs="Guttman Drogolin" w:hint="cs"/>
          <w:rtl/>
          <w:lang w:bidi="he-IL"/>
        </w:rPr>
        <w:t xml:space="preserve">לומר דהה"נ בשולחנות, דכיון שאלמלא השפיכות אינו מכשירו כלל, לא מהני כאן הסברא דרוב תשמישתו. </w:t>
      </w:r>
    </w:p>
    <w:p w:rsidR="0003312C" w:rsidRPr="00882F11" w:rsidRDefault="0003312C" w:rsidP="0003312C">
      <w:pPr>
        <w:tabs>
          <w:tab w:val="right" w:pos="7497"/>
        </w:tabs>
        <w:bidi/>
        <w:jc w:val="both"/>
        <w:rPr>
          <w:rFonts w:cs="Guttman Drogolin"/>
          <w:rtl/>
          <w:lang w:bidi="he-IL"/>
        </w:rPr>
      </w:pPr>
      <w:r w:rsidRPr="00C7608B">
        <w:rPr>
          <w:rFonts w:cs="Guttman Drogolin" w:hint="cs"/>
          <w:b/>
          <w:bCs/>
          <w:rtl/>
          <w:lang w:bidi="he-IL"/>
        </w:rPr>
        <w:t>אמנם</w:t>
      </w:r>
      <w:r w:rsidRPr="00882F11">
        <w:rPr>
          <w:rFonts w:cs="Guttman Drogolin" w:hint="cs"/>
          <w:rtl/>
          <w:lang w:bidi="he-IL"/>
        </w:rPr>
        <w:t xml:space="preserve"> לכאורה אין זה מספיק, דהא כבר </w:t>
      </w:r>
      <w:r>
        <w:rPr>
          <w:rFonts w:cs="Guttman Drogolin" w:hint="cs"/>
          <w:rtl/>
          <w:lang w:bidi="he-IL"/>
        </w:rPr>
        <w:t>ביארנו</w:t>
      </w:r>
      <w:r w:rsidRPr="00882F11">
        <w:rPr>
          <w:rFonts w:cs="Guttman Drogolin" w:hint="cs"/>
          <w:rtl/>
          <w:lang w:bidi="he-IL"/>
        </w:rPr>
        <w:t xml:space="preserve"> שאפילו בדבר שרוב תשמישתו בצונן אזלינן בתר רוב תשמישתו. ואפילו את"ל שגם בדבר שרוב תשמישתו בצונן שייך סברת המהרש"ק, ומשום דגם הכשר דהדחה חשוב הכשר לומר שמיגו דמהני לתשמיש צונן מהני נמי לתשמיש חמין, מ"מ הא גם שולחנות צריכים הדחה כדי להכשירם חוץ ממה שחוששים למה שנשפך. זאת ועוד שנראה שהמ"ב סבר שהכשר מעירוי חשוב כרוב תשמישתו, דהא בס"ק קי"ד הביא ממג"א בשם מהרי"ו דלא מהני עירוי לשולחנות כיון דחיישינן גם לדבר גוש שהונח על השולחן שאין לו הקולות של עירוי. והסיק דבדיעבד מותר ע"י עירוי בלבד, וביאר בשעה"צ ס"ק קמ"ד טעמו משום דמדינא צריך לילך אחרי רוב תשמיש - הרי דאע"ג דסבר דמקילין למיזל בתר רוב תשמיש מ"מ לא הקיל בדיעבד אלא ע"י עירוי. וכה"ג מבואר גם בביאור הגר"א על אתר. </w:t>
      </w:r>
    </w:p>
    <w:p w:rsidR="0003312C" w:rsidRPr="00882F11" w:rsidRDefault="0003312C" w:rsidP="0003312C">
      <w:pPr>
        <w:tabs>
          <w:tab w:val="right" w:pos="7497"/>
        </w:tabs>
        <w:bidi/>
        <w:jc w:val="both"/>
        <w:rPr>
          <w:rFonts w:cs="Guttman Drogolin"/>
          <w:rtl/>
          <w:lang w:bidi="he-IL"/>
        </w:rPr>
      </w:pPr>
      <w:r w:rsidRPr="00C7608B">
        <w:rPr>
          <w:rFonts w:cs="Guttman Drogolin" w:hint="cs"/>
          <w:b/>
          <w:bCs/>
          <w:rtl/>
          <w:lang w:bidi="he-IL"/>
        </w:rPr>
        <w:t>ובמגי"ס</w:t>
      </w:r>
      <w:r w:rsidRPr="00882F11">
        <w:rPr>
          <w:rFonts w:cs="Guttman Drogolin" w:hint="cs"/>
          <w:rtl/>
          <w:lang w:bidi="he-IL"/>
        </w:rPr>
        <w:t xml:space="preserve"> ומבי דינא שם רצו לומר שכל תשמיש שהוא תשמישתו הרגיל חשוב רוב תשמישתו, ורוב לאו דוקא נקט. והוא חומרא יתירה בכל הדין. ומדוגמות וראיות הראשונים נראה שאין זה נכון, </w:t>
      </w:r>
      <w:r w:rsidRPr="00882F11">
        <w:rPr>
          <w:rFonts w:cs="Guttman Drogolin" w:hint="cs"/>
          <w:rtl/>
          <w:lang w:bidi="he-IL"/>
        </w:rPr>
        <w:lastRenderedPageBreak/>
        <w:t>דהי' באמת תשמיש קבוע רק לא רוב תשמישתו, כגון הא דכיכר, וכן סכין לנר של חלב או על האור.</w:t>
      </w:r>
    </w:p>
    <w:p w:rsidR="0003312C" w:rsidRDefault="0003312C" w:rsidP="0003312C">
      <w:pPr>
        <w:tabs>
          <w:tab w:val="right" w:pos="7497"/>
        </w:tabs>
        <w:bidi/>
        <w:jc w:val="both"/>
        <w:rPr>
          <w:rFonts w:cs="Guttman Drogolin"/>
          <w:rtl/>
          <w:lang w:bidi="he-IL"/>
        </w:rPr>
      </w:pPr>
      <w:r w:rsidRPr="00B37BFA">
        <w:rPr>
          <w:rFonts w:cs="Guttman Drogolin" w:hint="cs"/>
          <w:b/>
          <w:bCs/>
          <w:rtl/>
          <w:lang w:bidi="he-IL"/>
        </w:rPr>
        <w:t>ולכן</w:t>
      </w:r>
      <w:r w:rsidRPr="00882F11">
        <w:rPr>
          <w:rFonts w:cs="Guttman Drogolin" w:hint="cs"/>
          <w:rtl/>
          <w:lang w:bidi="he-IL"/>
        </w:rPr>
        <w:t xml:space="preserve"> מה שנראה לומר בזה</w:t>
      </w:r>
      <w:r>
        <w:rPr>
          <w:rFonts w:cs="Guttman Drogolin" w:hint="cs"/>
          <w:rtl/>
          <w:lang w:bidi="he-IL"/>
        </w:rPr>
        <w:t xml:space="preserve"> (וראיתי שכ"כ במגי"ס, וכן הוכיח מן המחבר שכן הוא וכמו שיתבאר)</w:t>
      </w:r>
      <w:r w:rsidRPr="00882F11">
        <w:rPr>
          <w:rFonts w:cs="Guttman Drogolin" w:hint="cs"/>
          <w:rtl/>
          <w:lang w:bidi="he-IL"/>
        </w:rPr>
        <w:t>, ש</w:t>
      </w:r>
      <w:r>
        <w:rPr>
          <w:rFonts w:cs="Guttman Drogolin" w:hint="cs"/>
          <w:rtl/>
          <w:lang w:bidi="he-IL"/>
        </w:rPr>
        <w:t>ה</w:t>
      </w:r>
      <w:r w:rsidRPr="00882F11">
        <w:rPr>
          <w:rFonts w:cs="Guttman Drogolin" w:hint="cs"/>
          <w:rtl/>
          <w:lang w:bidi="he-IL"/>
        </w:rPr>
        <w:t>ענין של רוב תשמיש אינו להכשיר לפי איך שנבלע ע"פ רוב, רק להכשיר הבליעות שנ</w:t>
      </w:r>
      <w:r>
        <w:rPr>
          <w:rFonts w:cs="Guttman Drogolin" w:hint="cs"/>
          <w:rtl/>
          <w:lang w:bidi="he-IL"/>
        </w:rPr>
        <w:t>ב</w:t>
      </w:r>
      <w:r w:rsidRPr="00882F11">
        <w:rPr>
          <w:rFonts w:cs="Guttman Drogolin" w:hint="cs"/>
          <w:rtl/>
          <w:lang w:bidi="he-IL"/>
        </w:rPr>
        <w:t>לעו דרך רוב תשמישתו. ולכן בשולחנות, כיון שרוב תשמישתו ע"י אכילה בקערות על השולחן, ו</w:t>
      </w:r>
      <w:r>
        <w:rPr>
          <w:rFonts w:cs="Guttman Drogolin" w:hint="cs"/>
          <w:rtl/>
          <w:lang w:bidi="he-IL"/>
        </w:rPr>
        <w:t>בדרך הרגיל כשעושה כן גם נשפך על השולחן</w:t>
      </w:r>
      <w:r w:rsidRPr="00882F11">
        <w:rPr>
          <w:rFonts w:cs="Guttman Drogolin" w:hint="cs"/>
          <w:rtl/>
          <w:lang w:bidi="he-IL"/>
        </w:rPr>
        <w:t xml:space="preserve">, גם זה הוי בליעה דרך רוב תשמישתו וחייב להכשירו אפילו לדעת המקילין. ולא הקילו אלא במניח ככר חם על השולחן, או הנחת הסכין באור, או מילוי כוסות בחמין, דכולהו הוו תשמיש אחר מתשמישתו הרגיל. ולכן שפיר חייב להכשיר השלחן מן השפיכות מדינא. </w:t>
      </w:r>
    </w:p>
    <w:p w:rsidR="0003312C" w:rsidRPr="00882F11" w:rsidRDefault="0003312C" w:rsidP="0003312C">
      <w:pPr>
        <w:tabs>
          <w:tab w:val="right" w:pos="7497"/>
        </w:tabs>
        <w:bidi/>
        <w:jc w:val="both"/>
        <w:rPr>
          <w:rFonts w:cs="Guttman Drogolin"/>
          <w:rtl/>
          <w:lang w:bidi="he-IL"/>
        </w:rPr>
      </w:pPr>
      <w:r w:rsidRPr="00B37BFA">
        <w:rPr>
          <w:rFonts w:cs="Guttman Drogolin" w:hint="cs"/>
          <w:b/>
          <w:bCs/>
          <w:rtl/>
          <w:lang w:bidi="he-IL"/>
        </w:rPr>
        <w:t>וכן</w:t>
      </w:r>
      <w:r>
        <w:rPr>
          <w:rFonts w:cs="Guttman Drogolin" w:hint="cs"/>
          <w:rtl/>
          <w:lang w:bidi="he-IL"/>
        </w:rPr>
        <w:t xml:space="preserve"> לפי זה גם דברי הראשונים בהא דמחבת </w:t>
      </w:r>
      <w:r w:rsidRPr="00882F11">
        <w:rPr>
          <w:rFonts w:cs="Guttman Drogolin" w:hint="cs"/>
          <w:rtl/>
          <w:lang w:bidi="he-IL"/>
        </w:rPr>
        <w:t>מיושבים היטב, דהא הוא בליעה דרך התשמיש שהוא רוב תשמישתו, ולכן שפיר צריך ליבון למאן דחייש לייבוש השמן.</w:t>
      </w:r>
    </w:p>
    <w:p w:rsidR="0003312C" w:rsidRPr="00882F11" w:rsidRDefault="0003312C" w:rsidP="0003312C">
      <w:pPr>
        <w:tabs>
          <w:tab w:val="right" w:pos="7497"/>
        </w:tabs>
        <w:bidi/>
        <w:jc w:val="both"/>
        <w:rPr>
          <w:rFonts w:cs="Guttman Drogolin"/>
          <w:rtl/>
          <w:lang w:bidi="he-IL"/>
        </w:rPr>
      </w:pPr>
      <w:r w:rsidRPr="00B37BFA">
        <w:rPr>
          <w:rFonts w:cs="Guttman Drogolin" w:hint="cs"/>
          <w:b/>
          <w:bCs/>
          <w:rtl/>
          <w:lang w:bidi="he-IL"/>
        </w:rPr>
        <w:t>והנה</w:t>
      </w:r>
      <w:r w:rsidRPr="00882F11">
        <w:rPr>
          <w:rFonts w:cs="Guttman Drogolin" w:hint="cs"/>
          <w:rtl/>
          <w:lang w:bidi="he-IL"/>
        </w:rPr>
        <w:t xml:space="preserve"> כמו שהזכרנו המג"א ומ"ב הביאו שיטת מהרי"ו דשולחנות לא סגי להו בעירוי כיון שלפעמים מניח עליו דבר גוש וא"כ צריך הגעלה. ומשו"ה כתב שיכשירנו ע"י זה שישפוך רותחין על אבן מלבון וכה"ג הוי ככלי ראשון. ומ"מ הסיק דבדיעבד ע"י עירוי סגי כיון דבדיעבד אזלינן בתר רוב תשמישתו וכנ"ל. ובמגי"ס (ענינים או"ח סי' כ') ראיתי שהעיר שאם לשין על גביו לכאורה דינו כבית שאור, </w:t>
      </w:r>
      <w:r>
        <w:rPr>
          <w:rFonts w:cs="Guttman Drogolin" w:hint="cs"/>
          <w:rtl/>
          <w:lang w:bidi="he-IL"/>
        </w:rPr>
        <w:t xml:space="preserve">וא"כ לכאורה בעי </w:t>
      </w:r>
      <w:r w:rsidRPr="00882F11">
        <w:rPr>
          <w:rFonts w:cs="Guttman Drogolin" w:hint="cs"/>
          <w:rtl/>
          <w:lang w:bidi="he-IL"/>
        </w:rPr>
        <w:t>הגעלה דכלי ראשון</w:t>
      </w:r>
      <w:r>
        <w:rPr>
          <w:rFonts w:cs="Guttman Drogolin" w:hint="cs"/>
          <w:rtl/>
          <w:lang w:bidi="he-IL"/>
        </w:rPr>
        <w:t xml:space="preserve"> מדינא (וי"א</w:t>
      </w:r>
      <w:r w:rsidRPr="00882F11">
        <w:rPr>
          <w:rFonts w:cs="Guttman Drogolin" w:hint="cs"/>
          <w:rtl/>
          <w:lang w:bidi="he-IL"/>
        </w:rPr>
        <w:t xml:space="preserve"> ש</w:t>
      </w:r>
      <w:r>
        <w:rPr>
          <w:rFonts w:cs="Guttman Drogolin" w:hint="cs"/>
          <w:rtl/>
          <w:lang w:bidi="he-IL"/>
        </w:rPr>
        <w:t xml:space="preserve">אפילו </w:t>
      </w:r>
      <w:r w:rsidRPr="00882F11">
        <w:rPr>
          <w:rFonts w:cs="Guttman Drogolin" w:hint="cs"/>
          <w:rtl/>
          <w:lang w:bidi="he-IL"/>
        </w:rPr>
        <w:t>הגעלה לא מהני לה</w:t>
      </w:r>
      <w:r>
        <w:rPr>
          <w:rFonts w:cs="Guttman Drogolin" w:hint="cs"/>
          <w:rtl/>
          <w:lang w:bidi="he-IL"/>
        </w:rPr>
        <w:t>)</w:t>
      </w:r>
      <w:r w:rsidRPr="00882F11">
        <w:rPr>
          <w:rFonts w:cs="Guttman Drogolin" w:hint="cs"/>
          <w:rtl/>
          <w:lang w:bidi="he-IL"/>
        </w:rPr>
        <w:t>. אמנם נראה דהנ"מ אם רוב תשמישתו לכך אבל אם אין זה רוב תשמישתו אין צריך לחשוש לזה (</w:t>
      </w:r>
      <w:r>
        <w:rPr>
          <w:rFonts w:cs="Guttman Drogolin" w:hint="cs"/>
          <w:rtl/>
          <w:lang w:bidi="he-IL"/>
        </w:rPr>
        <w:t>ויתכן דתשמישתו הקבוע סגי וכנ"ל, וכן העיר שם במגי"ס</w:t>
      </w:r>
      <w:r w:rsidRPr="00882F11">
        <w:rPr>
          <w:rFonts w:cs="Guttman Drogolin" w:hint="cs"/>
          <w:rtl/>
          <w:lang w:bidi="he-IL"/>
        </w:rPr>
        <w:t xml:space="preserve">). ולדבריו חייבים לומר שלא היו נוהגים </w:t>
      </w:r>
      <w:r>
        <w:rPr>
          <w:rFonts w:cs="Guttman Drogolin" w:hint="cs"/>
          <w:rtl/>
          <w:lang w:bidi="he-IL"/>
        </w:rPr>
        <w:t>ל</w:t>
      </w:r>
      <w:r w:rsidRPr="00882F11">
        <w:rPr>
          <w:rFonts w:cs="Guttman Drogolin" w:hint="cs"/>
          <w:rtl/>
          <w:lang w:bidi="he-IL"/>
        </w:rPr>
        <w:t>לוש על גבי שולחנות של פעם, רק בעריבה.</w:t>
      </w:r>
      <w:r>
        <w:rPr>
          <w:rFonts w:cs="Guttman Drogolin" w:hint="cs"/>
          <w:rtl/>
          <w:lang w:bidi="he-IL"/>
        </w:rPr>
        <w:t xml:space="preserve"> ומ"מ א"כ בנד"ד של הכשר השיש (שהוא 'שולחן' שסודרין עליו), לכאורה גם בדיעבד אי אפשר אא"כ מכשיר ע"י אבן מלובן.</w:t>
      </w:r>
    </w:p>
    <w:p w:rsidR="0003312C" w:rsidRDefault="0003312C" w:rsidP="0003312C">
      <w:pPr>
        <w:tabs>
          <w:tab w:val="right" w:pos="7497"/>
        </w:tabs>
        <w:bidi/>
        <w:jc w:val="both"/>
        <w:rPr>
          <w:rFonts w:cs="Guttman Drogolin"/>
          <w:rtl/>
          <w:lang w:bidi="he-IL"/>
        </w:rPr>
      </w:pPr>
      <w:r w:rsidRPr="00B37BFA">
        <w:rPr>
          <w:rFonts w:cs="Guttman Drogolin" w:hint="cs"/>
          <w:b/>
          <w:bCs/>
          <w:rtl/>
          <w:lang w:bidi="he-IL"/>
        </w:rPr>
        <w:t>וכתב</w:t>
      </w:r>
      <w:r w:rsidRPr="00882F11">
        <w:rPr>
          <w:rFonts w:cs="Guttman Drogolin" w:hint="cs"/>
          <w:rtl/>
          <w:lang w:bidi="he-IL"/>
        </w:rPr>
        <w:t xml:space="preserve"> המג"א בשם מהרי"ל </w:t>
      </w:r>
      <w:r>
        <w:rPr>
          <w:rFonts w:cs="Guttman Drogolin" w:hint="cs"/>
          <w:rtl/>
          <w:lang w:bidi="he-IL"/>
        </w:rPr>
        <w:t xml:space="preserve">שמ"מ </w:t>
      </w:r>
      <w:r w:rsidRPr="00882F11">
        <w:rPr>
          <w:rFonts w:cs="Guttman Drogolin" w:hint="cs"/>
          <w:rtl/>
          <w:lang w:bidi="he-IL"/>
        </w:rPr>
        <w:t>אין להסתפק בהכשר השולחנות, אלא יש גם לכסותם</w:t>
      </w:r>
      <w:r>
        <w:rPr>
          <w:rFonts w:cs="Guttman Drogolin" w:hint="cs"/>
          <w:rtl/>
          <w:lang w:bidi="he-IL"/>
        </w:rPr>
        <w:t>,</w:t>
      </w:r>
      <w:r w:rsidRPr="00882F11">
        <w:rPr>
          <w:rFonts w:cs="Guttman Drogolin" w:hint="cs"/>
          <w:rtl/>
          <w:lang w:bidi="he-IL"/>
        </w:rPr>
        <w:t xml:space="preserve"> שיש חשש אולי נדבק בה חמץ בעין. והמ"ב הביאו והסיק בשם הא"ר שכן ראוי לנהוג בדברים שקשה לטהרן שלא ישאר בה מאומה בין הדבקים, אבל בשולחנות פשוטים אין להחמיר. </w:t>
      </w:r>
      <w:r>
        <w:rPr>
          <w:rFonts w:cs="Guttman Drogolin" w:hint="cs"/>
          <w:rtl/>
          <w:lang w:bidi="he-IL"/>
        </w:rPr>
        <w:t>וכן נוהגים רוב כלל ישראל לכסות את השיש לימי הפסח ולא מסתפקים בהכשרו. אלא שיל"ע אם עדיין יש להכשיר השיש קודם שמכסים אותו. ובאמת משמעות</w:t>
      </w:r>
      <w:r w:rsidRPr="00882F11">
        <w:rPr>
          <w:rFonts w:cs="Guttman Drogolin" w:hint="cs"/>
          <w:rtl/>
          <w:lang w:bidi="he-IL"/>
        </w:rPr>
        <w:t xml:space="preserve"> דברי המג"א ומ"ב </w:t>
      </w:r>
      <w:r>
        <w:rPr>
          <w:rFonts w:cs="Guttman Drogolin" w:hint="cs"/>
          <w:rtl/>
          <w:lang w:bidi="he-IL"/>
        </w:rPr>
        <w:t xml:space="preserve">הוא </w:t>
      </w:r>
      <w:r w:rsidRPr="00882F11">
        <w:rPr>
          <w:rFonts w:cs="Guttman Drogolin" w:hint="cs"/>
          <w:rtl/>
          <w:lang w:bidi="he-IL"/>
        </w:rPr>
        <w:t>שלא להסתפק בכיס</w:t>
      </w:r>
      <w:r>
        <w:rPr>
          <w:rFonts w:cs="Guttman Drogolin" w:hint="cs"/>
          <w:rtl/>
          <w:lang w:bidi="he-IL"/>
        </w:rPr>
        <w:t>ו</w:t>
      </w:r>
      <w:r w:rsidRPr="00882F11">
        <w:rPr>
          <w:rFonts w:cs="Guttman Drogolin" w:hint="cs"/>
          <w:rtl/>
          <w:lang w:bidi="he-IL"/>
        </w:rPr>
        <w:t>י בלבד ולעשות גם הכשר.</w:t>
      </w:r>
      <w:r>
        <w:rPr>
          <w:rFonts w:cs="Guttman Drogolin" w:hint="cs"/>
          <w:rtl/>
          <w:lang w:bidi="he-IL"/>
        </w:rPr>
        <w:t xml:space="preserve"> ויל"ע למה.</w:t>
      </w:r>
    </w:p>
    <w:p w:rsidR="0003312C" w:rsidRDefault="0003312C" w:rsidP="0003312C">
      <w:pPr>
        <w:tabs>
          <w:tab w:val="right" w:pos="7497"/>
        </w:tabs>
        <w:bidi/>
        <w:jc w:val="both"/>
        <w:rPr>
          <w:rFonts w:cs="Guttman Drogolin"/>
          <w:rtl/>
          <w:lang w:bidi="he-IL"/>
        </w:rPr>
      </w:pPr>
      <w:r w:rsidRPr="00B37BFA">
        <w:rPr>
          <w:rFonts w:cs="Guttman Drogolin" w:hint="cs"/>
          <w:b/>
          <w:bCs/>
          <w:rtl/>
          <w:lang w:bidi="he-IL"/>
        </w:rPr>
        <w:t>ואומרים</w:t>
      </w:r>
      <w:r>
        <w:rPr>
          <w:rFonts w:cs="Guttman Drogolin" w:hint="cs"/>
          <w:rtl/>
          <w:lang w:bidi="he-IL"/>
        </w:rPr>
        <w:t xml:space="preserve"> העולם כמה טעמים לחשוש לבליעות שבשיש אפילו אם מכסה אותו. חדא שהרי תמיד נכנס מים בין הכיסוי לשיש. ולכן יש החוששים לבליעות שבשיש מתרי טעמי. חדא שהרי יש לנו כלל דכבוש כמבושל. ולכן אחרי מעל"ע, הבליעות עולים מן השיש למים, ושוב מן המים לכיסוי ומיני' לקדירת חמין או מאכל חם המונח עליו. ועוד חוששין שבעצם זה שמניח קדירה חמה על השיש יתחממו השיש והמים ויכנסו הבליעות לקדרה אם יש מים מתחת לקדירה על השיש (וליד יהודה כמות מים כזה מספיק להבליע וליהוי כב' כלים שאין בליעה עוברת מזה לזה). וכל הדברים האלו הם חומרות של פסח, דהא בעלמא אינו אוסר בדיעבד, אבל בפסח הרי כבר הבאנו שמחמירים על נטל"פ אפילו בדיעבד. </w:t>
      </w:r>
    </w:p>
    <w:p w:rsidR="0003312C" w:rsidRDefault="0003312C" w:rsidP="0003312C">
      <w:pPr>
        <w:tabs>
          <w:tab w:val="right" w:pos="7497"/>
        </w:tabs>
        <w:bidi/>
        <w:jc w:val="both"/>
        <w:rPr>
          <w:rFonts w:cs="Guttman Drogolin"/>
          <w:rtl/>
          <w:lang w:bidi="he-IL"/>
        </w:rPr>
      </w:pPr>
      <w:r w:rsidRPr="00B37BFA">
        <w:rPr>
          <w:rFonts w:cs="Guttman Drogolin" w:hint="cs"/>
          <w:b/>
          <w:bCs/>
          <w:rtl/>
          <w:lang w:bidi="he-IL"/>
        </w:rPr>
        <w:t>אלא</w:t>
      </w:r>
      <w:r>
        <w:rPr>
          <w:rFonts w:cs="Guttman Drogolin" w:hint="cs"/>
          <w:rtl/>
          <w:lang w:bidi="he-IL"/>
        </w:rPr>
        <w:t xml:space="preserve"> שלכאורה מבואר מדברי המג"א הנ"ל שאין חוששין לזה. שהרי כתב שאם יש פירורים דמהני כיסוי, ולכאורה למה מהני ולא חיישינן להנ"ל. </w:t>
      </w:r>
      <w:r w:rsidRPr="00852CE7">
        <w:rPr>
          <w:rFonts w:cs="Guttman Drogolin"/>
          <w:rtl/>
          <w:lang w:bidi="he-IL"/>
        </w:rPr>
        <w:t xml:space="preserve">וע' במגי"ס (עניני בב"ח ותערובת סי' צ"ב ס"ק ל"ה) שדחה שאין צורך לחשוש </w:t>
      </w:r>
      <w:r>
        <w:rPr>
          <w:rFonts w:cs="Guttman Drogolin" w:hint="cs"/>
          <w:rtl/>
          <w:lang w:bidi="he-IL"/>
        </w:rPr>
        <w:t>לבליעות משום הנחת קדירת חמין על המכסה של השיש</w:t>
      </w:r>
      <w:r w:rsidRPr="00852CE7">
        <w:rPr>
          <w:rFonts w:cs="Guttman Drogolin"/>
          <w:rtl/>
          <w:lang w:bidi="he-IL"/>
        </w:rPr>
        <w:t xml:space="preserve"> כיון דמבואר ברמ"א </w:t>
      </w:r>
      <w:r>
        <w:rPr>
          <w:rFonts w:cs="Guttman Drogolin" w:hint="cs"/>
          <w:rtl/>
          <w:lang w:bidi="he-IL"/>
        </w:rPr>
        <w:t xml:space="preserve">ביו"ד </w:t>
      </w:r>
      <w:r w:rsidRPr="00852CE7">
        <w:rPr>
          <w:rFonts w:cs="Guttman Drogolin"/>
          <w:rtl/>
          <w:lang w:bidi="he-IL"/>
        </w:rPr>
        <w:t xml:space="preserve">סי' צ"ב סע' ז' שכשהניח קדרה חמה ע"ג חלב אינו בולע יותר מכדי קליפה, וכאן </w:t>
      </w:r>
      <w:r w:rsidRPr="00852CE7">
        <w:rPr>
          <w:rFonts w:cs="Guttman Drogolin"/>
          <w:rtl/>
          <w:lang w:bidi="he-IL"/>
        </w:rPr>
        <w:lastRenderedPageBreak/>
        <w:t>הכיסוי עצמו צונן ולכן הכיסוי עצמו אינו בולע מתחתיו.</w:t>
      </w:r>
      <w:r>
        <w:rPr>
          <w:rFonts w:cs="Guttman Drogolin" w:hint="cs"/>
          <w:rtl/>
          <w:lang w:bidi="he-IL"/>
        </w:rPr>
        <w:t xml:space="preserve"> ולענין הבליעות של כבוש ג"כ קיי"ל שאינם עולים למעלה ממה ששקוע במשקין, ולכן אינם עולים למעלה ואינם אוסרים (ע' מזה גם במגי"ס </w:t>
      </w:r>
      <w:r w:rsidRPr="00852CE7">
        <w:rPr>
          <w:rFonts w:cs="Guttman Drogolin"/>
          <w:rtl/>
          <w:lang w:bidi="he-IL"/>
        </w:rPr>
        <w:t>סי' ק"ה אות ט"ו</w:t>
      </w:r>
      <w:r>
        <w:rPr>
          <w:rFonts w:cs="Guttman Drogolin" w:hint="cs"/>
          <w:rtl/>
          <w:lang w:bidi="he-IL"/>
        </w:rPr>
        <w:t xml:space="preserve">). וא"כ בדרב קושיא לדוכתה, צ"ע למה משמע מן המג"א ומ"ב שלא להסתפק בכיסוי בלבד, ולהכשיר ג"כ. וראיתי </w:t>
      </w:r>
      <w:r w:rsidRPr="00882F11">
        <w:rPr>
          <w:rFonts w:cs="Guttman Drogolin" w:hint="cs"/>
          <w:rtl/>
          <w:lang w:bidi="he-IL"/>
        </w:rPr>
        <w:t xml:space="preserve">בשו"ת </w:t>
      </w:r>
      <w:r w:rsidRPr="00882F11">
        <w:rPr>
          <w:rFonts w:cs="Guttman Drogolin"/>
          <w:rtl/>
          <w:lang w:bidi="he-IL"/>
        </w:rPr>
        <w:t>אז נדברו ח"ז סי' נ"ט</w:t>
      </w:r>
      <w:r>
        <w:rPr>
          <w:rFonts w:cs="Guttman Drogolin" w:hint="cs"/>
          <w:rtl/>
          <w:lang w:bidi="he-IL"/>
        </w:rPr>
        <w:t xml:space="preserve"> שנ</w:t>
      </w:r>
      <w:r w:rsidRPr="00882F11">
        <w:rPr>
          <w:rFonts w:cs="Guttman Drogolin" w:hint="cs"/>
          <w:rtl/>
          <w:lang w:bidi="he-IL"/>
        </w:rPr>
        <w:t>תן בזה טעם משום שחוששים אולי יתגלה. ובמעדני אשר (או"ה סי' ק"ס) כתב שאולי דוקא בסדין משום שיש לה נקבים.</w:t>
      </w:r>
    </w:p>
    <w:p w:rsidR="0003312C" w:rsidRPr="00882F11" w:rsidRDefault="0003312C" w:rsidP="0003312C">
      <w:pPr>
        <w:tabs>
          <w:tab w:val="right" w:pos="7497"/>
        </w:tabs>
        <w:bidi/>
        <w:jc w:val="both"/>
        <w:rPr>
          <w:rFonts w:cs="Guttman Drogolin"/>
          <w:rtl/>
          <w:lang w:bidi="he-IL"/>
        </w:rPr>
      </w:pPr>
      <w:r w:rsidRPr="00B37BFA">
        <w:rPr>
          <w:rFonts w:cs="Guttman Drogolin"/>
          <w:b/>
          <w:bCs/>
          <w:rtl/>
          <w:lang w:bidi="he-IL"/>
        </w:rPr>
        <w:t>ומ</w:t>
      </w:r>
      <w:r w:rsidRPr="00B37BFA">
        <w:rPr>
          <w:rFonts w:cs="Guttman Drogolin" w:hint="cs"/>
          <w:b/>
          <w:bCs/>
          <w:rtl/>
          <w:lang w:bidi="he-IL"/>
        </w:rPr>
        <w:t>"מ</w:t>
      </w:r>
      <w:r>
        <w:rPr>
          <w:rFonts w:cs="Guttman Drogolin" w:hint="cs"/>
          <w:rtl/>
          <w:lang w:bidi="he-IL"/>
        </w:rPr>
        <w:t xml:space="preserve"> היוצא מכל הנ"ל </w:t>
      </w:r>
      <w:r w:rsidRPr="00852CE7">
        <w:rPr>
          <w:rFonts w:cs="Guttman Drogolin"/>
          <w:rtl/>
          <w:lang w:bidi="he-IL"/>
        </w:rPr>
        <w:t>שאין הצורך להכשיר השיש מתחת לכיסוי אלא לתוספת הידור</w:t>
      </w:r>
      <w:r>
        <w:rPr>
          <w:rFonts w:cs="Guttman Drogolin" w:hint="cs"/>
          <w:rtl/>
          <w:lang w:bidi="he-IL"/>
        </w:rPr>
        <w:t xml:space="preserve"> (וכן הסיק שם במגי"ס)</w:t>
      </w:r>
      <w:r w:rsidRPr="00852CE7">
        <w:rPr>
          <w:rFonts w:cs="Guttman Drogolin"/>
          <w:rtl/>
          <w:lang w:bidi="he-IL"/>
        </w:rPr>
        <w:t xml:space="preserve">. </w:t>
      </w:r>
    </w:p>
    <w:p w:rsidR="0003312C" w:rsidRDefault="0003312C" w:rsidP="0003312C">
      <w:pPr>
        <w:bidi/>
        <w:jc w:val="both"/>
        <w:rPr>
          <w:rFonts w:cs="Guttman Drogolin"/>
          <w:rtl/>
          <w:lang w:bidi="he-IL"/>
        </w:rPr>
      </w:pPr>
      <w:r w:rsidRPr="00B37BFA">
        <w:rPr>
          <w:rFonts w:cs="Guttman Drogolin" w:hint="cs"/>
          <w:b/>
          <w:bCs/>
          <w:rtl/>
          <w:lang w:bidi="he-IL"/>
        </w:rPr>
        <w:t>והנה</w:t>
      </w:r>
      <w:r>
        <w:rPr>
          <w:rFonts w:cs="Guttman Drogolin" w:hint="cs"/>
          <w:rtl/>
          <w:lang w:bidi="he-IL"/>
        </w:rPr>
        <w:t xml:space="preserve"> בנידון של תחילת דברינו, יש הרבה טעמים לומר שאין צורך לחזור ולהמתין כדי להכשיר את השיש. דחוץ ממה שביארנו שהכשרו אינו אלא לחומרא בעלמא עד כמה שמכסין אותו. יש להוסיף דשיטת השו"ע (ורמ"א לא חלק) שלענין הכשר כלים חמץ מיקרי היתירא בלע ולכן לא איכפת לן זה שהי' בן יומו (ודברי השו"ע בסי' תנ"ב סע' ב' אינם אלא לענין לכתחילה). ועוד שהרי שיטת הרבה ראשונים שאינו צריך מעל"ע כדי שיהא נטל"פ, ולינת לילה סגי, וסמכינן על שיטה זו בצירוף שיטות אחרות וכדמבואר ביו"ד סי' ק"ג סע' ז</w:t>
      </w:r>
      <w:r w:rsidR="009205BD">
        <w:rPr>
          <w:rFonts w:cs="Guttman Drogolin" w:hint="cs"/>
          <w:rtl/>
          <w:lang w:bidi="he-IL"/>
        </w:rPr>
        <w:t>'. זאת ועוד שיש אומרים שאין צורך</w:t>
      </w:r>
      <w:r>
        <w:rPr>
          <w:rFonts w:cs="Guttman Drogolin" w:hint="cs"/>
          <w:rtl/>
          <w:lang w:bidi="he-IL"/>
        </w:rPr>
        <w:t xml:space="preserve"> לחזור ולהמתין מזמן בליעת המים רק מזמן בליעת טעם של איסור, ושם בשו"ע הרי הקיל כשיטה זו בצירוף שיטה דלינת לילה הוי נטל"פ. ותו שאפילו למחמירים שמונים מעל"ע מעת בישול המים, הא י"א שהטעם משום שאמרינן חענ"ן במים (ע' ש"ך סי' צ"ד ס"ק כ"ב), וא"כ אפילו לרמב"ן ועוד דסברי דחמץ שמו עליו, מ"מ לא אמרינן בה חענ"ן קודם זמנו, וכדמבואר במג"א סי' תמ"ז </w:t>
      </w:r>
      <w:r w:rsidRPr="0058408C">
        <w:rPr>
          <w:rFonts w:cs="Guttman Drogolin"/>
          <w:rtl/>
          <w:lang w:bidi="he-IL"/>
        </w:rPr>
        <w:t>ס"ק ל"ח</w:t>
      </w:r>
      <w:r>
        <w:rPr>
          <w:rFonts w:cs="Guttman Drogolin" w:hint="cs"/>
          <w:rtl/>
          <w:lang w:bidi="he-IL"/>
        </w:rPr>
        <w:t>. וא"כ מי שמחמיר בזה אינו אלא מן המתמיהים.</w:t>
      </w:r>
      <w:r w:rsidRPr="0058408C">
        <w:rPr>
          <w:rFonts w:cs="Guttman Drogolin" w:hint="cs"/>
          <w:rtl/>
          <w:lang w:bidi="he-IL"/>
        </w:rPr>
        <w:t xml:space="preserve"> </w:t>
      </w:r>
      <w:r>
        <w:rPr>
          <w:rFonts w:cs="Guttman Drogolin" w:hint="cs"/>
          <w:rtl/>
          <w:lang w:bidi="he-IL"/>
        </w:rPr>
        <w:t xml:space="preserve"> </w:t>
      </w:r>
    </w:p>
    <w:p w:rsidR="0003312C" w:rsidRPr="00BC2E9D" w:rsidRDefault="0003312C" w:rsidP="0003312C">
      <w:pPr>
        <w:bidi/>
        <w:spacing w:before="120" w:after="120" w:line="360" w:lineRule="auto"/>
        <w:ind w:firstLine="720"/>
        <w:jc w:val="both"/>
        <w:rPr>
          <w:rFonts w:ascii="Times New Roman" w:eastAsia="Times New Roman" w:hAnsi="Times New Roman" w:cs="Narkisim"/>
          <w:w w:val="115"/>
          <w:sz w:val="20"/>
          <w:szCs w:val="24"/>
          <w:rtl/>
          <w:lang w:bidi="he-IL"/>
        </w:rPr>
      </w:pPr>
    </w:p>
    <w:p w:rsidR="00840BB7" w:rsidRPr="00CB6BCB" w:rsidRDefault="00840BB7" w:rsidP="00F20314">
      <w:pPr>
        <w:tabs>
          <w:tab w:val="right" w:pos="7497"/>
        </w:tabs>
        <w:bidi/>
        <w:spacing w:line="240" w:lineRule="auto"/>
        <w:jc w:val="both"/>
        <w:rPr>
          <w:rFonts w:cs="Guttman Drogolin"/>
          <w:sz w:val="20"/>
          <w:szCs w:val="20"/>
          <w:rtl/>
          <w:lang w:bidi="he-IL"/>
        </w:rPr>
      </w:pPr>
    </w:p>
    <w:sectPr w:rsidR="00840BB7" w:rsidRPr="00CB6BCB" w:rsidSect="0003312C">
      <w:headerReference w:type="default" r:id="rId109"/>
      <w:footerReference w:type="default" r:id="rId110"/>
      <w:pgSz w:w="11907" w:h="16839" w:code="9"/>
      <w:pgMar w:top="1440" w:right="1800" w:bottom="1440" w:left="1800" w:header="720" w:footer="720" w:gutter="0"/>
      <w:pgNumType w:start="1"/>
      <w:cols w:space="720"/>
      <w:bidi/>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599B" w:rsidRDefault="00AA599B" w:rsidP="00887015">
      <w:pPr>
        <w:spacing w:after="0" w:line="240" w:lineRule="auto"/>
      </w:pPr>
      <w:r>
        <w:separator/>
      </w:r>
    </w:p>
  </w:endnote>
  <w:endnote w:type="continuationSeparator" w:id="0">
    <w:p w:rsidR="00AA599B" w:rsidRDefault="00AA599B" w:rsidP="00887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uttman Rashi">
    <w:panose1 w:val="02010401010101010101"/>
    <w:charset w:val="B1"/>
    <w:family w:val="auto"/>
    <w:pitch w:val="variable"/>
    <w:sig w:usb0="00000801" w:usb1="4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uttman Mantova">
    <w:panose1 w:val="02010401010101010101"/>
    <w:charset w:val="B1"/>
    <w:family w:val="auto"/>
    <w:pitch w:val="variable"/>
    <w:sig w:usb0="00000801" w:usb1="40000000" w:usb2="00000000" w:usb3="00000000" w:csb0="00000020" w:csb1="00000000"/>
  </w:font>
  <w:font w:name="Guttman Drogolin">
    <w:panose1 w:val="02010401010101010101"/>
    <w:charset w:val="B1"/>
    <w:family w:val="auto"/>
    <w:pitch w:val="variable"/>
    <w:sig w:usb0="00000801" w:usb1="40000000" w:usb2="00000000" w:usb3="00000000" w:csb0="00000020" w:csb1="00000000"/>
  </w:font>
  <w:font w:name="Guttman Adii-Light">
    <w:panose1 w:val="02010401010101010101"/>
    <w:charset w:val="B1"/>
    <w:family w:val="auto"/>
    <w:pitch w:val="variable"/>
    <w:sig w:usb0="00000801" w:usb1="40000000" w:usb2="00000000" w:usb3="00000000" w:csb0="00000020" w:csb1="00000000"/>
  </w:font>
  <w:font w:name="Guttman Adii">
    <w:panose1 w:val="02010401010101010101"/>
    <w:charset w:val="B1"/>
    <w:family w:val="auto"/>
    <w:pitch w:val="variable"/>
    <w:sig w:usb0="00000801" w:usb1="40000000" w:usb2="00000000" w:usb3="00000000" w:csb0="00000020" w:csb1="00000000"/>
  </w:font>
  <w:font w:name="Guttman Mantova-Decor">
    <w:panose1 w:val="02010401010101010101"/>
    <w:charset w:val="B1"/>
    <w:family w:val="auto"/>
    <w:pitch w:val="variable"/>
    <w:sig w:usb0="00000801" w:usb1="40000000" w:usb2="00000000" w:usb3="00000000" w:csb0="00000020" w:csb1="00000000"/>
  </w:font>
  <w:font w:name="Aharoni">
    <w:altName w:val="Segoe UI Semibold"/>
    <w:panose1 w:val="02010803020104030203"/>
    <w:charset w:val="B1"/>
    <w:family w:val="auto"/>
    <w:pitch w:val="variable"/>
    <w:sig w:usb0="00000801" w:usb1="00000000" w:usb2="00000000" w:usb3="00000000" w:csb0="00000020" w:csb1="00000000"/>
  </w:font>
  <w:font w:name="MS Sans Serif">
    <w:altName w:val="Arial"/>
    <w:panose1 w:val="00000000000000000000"/>
    <w:charset w:val="00"/>
    <w:family w:val="swiss"/>
    <w:notTrueType/>
    <w:pitch w:val="variable"/>
    <w:sig w:usb0="00000003" w:usb1="00000000" w:usb2="00000000" w:usb3="00000000" w:csb0="00000001" w:csb1="00000000"/>
  </w:font>
  <w:font w:name="Narkisim">
    <w:altName w:val="Malgun Gothic Semilight"/>
    <w:panose1 w:val="020E0502050101010101"/>
    <w:charset w:val="B1"/>
    <w:family w:val="auto"/>
    <w:pitch w:val="variable"/>
    <w:sig w:usb0="00000800" w:usb1="00000000" w:usb2="00000000" w:usb3="00000000" w:csb0="0000002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Default="007978F4" w:rsidP="00B34D99">
    <w:pPr>
      <w:pStyle w:val="Footer"/>
    </w:pPr>
  </w:p>
  <w:p w:rsidR="007978F4" w:rsidRDefault="007978F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5468983"/>
      <w:docPartObj>
        <w:docPartGallery w:val="Page Numbers (Bottom of Page)"/>
        <w:docPartUnique/>
      </w:docPartObj>
    </w:sdtPr>
    <w:sdtEndPr>
      <w:rPr>
        <w:noProof/>
      </w:rPr>
    </w:sdtEndPr>
    <w:sdtContent>
      <w:p w:rsidR="007978F4" w:rsidRDefault="007978F4">
        <w:pPr>
          <w:pStyle w:val="Footer"/>
          <w:jc w:val="center"/>
        </w:pPr>
        <w:r>
          <w:fldChar w:fldCharType="begin"/>
        </w:r>
        <w:r>
          <w:instrText xml:space="preserve"> PAGE   \* MERGEFORMAT </w:instrText>
        </w:r>
        <w:r>
          <w:fldChar w:fldCharType="separate"/>
        </w:r>
        <w:r w:rsidR="00297CD2">
          <w:rPr>
            <w:rFonts w:hint="eastAsia"/>
            <w:noProof/>
            <w:rtl/>
            <w:lang w:bidi="he-IL"/>
          </w:rPr>
          <w:t>כ</w:t>
        </w:r>
        <w:r>
          <w:rPr>
            <w:noProof/>
          </w:rPr>
          <w:fldChar w:fldCharType="end"/>
        </w:r>
      </w:p>
    </w:sdtContent>
  </w:sdt>
  <w:p w:rsidR="007978F4" w:rsidRDefault="007978F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437349"/>
      <w:docPartObj>
        <w:docPartGallery w:val="Page Numbers (Bottom of Page)"/>
        <w:docPartUnique/>
      </w:docPartObj>
    </w:sdtPr>
    <w:sdtEndPr>
      <w:rPr>
        <w:noProof/>
      </w:rPr>
    </w:sdtEndPr>
    <w:sdtContent>
      <w:p w:rsidR="007978F4" w:rsidRDefault="007978F4">
        <w:pPr>
          <w:pStyle w:val="Footer"/>
          <w:jc w:val="center"/>
        </w:pPr>
        <w:r>
          <w:fldChar w:fldCharType="begin"/>
        </w:r>
        <w:r>
          <w:instrText xml:space="preserve"> PAGE   \* MERGEFORMAT </w:instrText>
        </w:r>
        <w:r>
          <w:fldChar w:fldCharType="separate"/>
        </w:r>
        <w:r w:rsidR="00297CD2">
          <w:rPr>
            <w:noProof/>
          </w:rPr>
          <w:t>442</w:t>
        </w:r>
        <w:r>
          <w:rPr>
            <w:noProof/>
          </w:rPr>
          <w:fldChar w:fldCharType="end"/>
        </w:r>
      </w:p>
    </w:sdtContent>
  </w:sdt>
  <w:p w:rsidR="007978F4" w:rsidRDefault="007978F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Default="007978F4">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4030714"/>
      <w:docPartObj>
        <w:docPartGallery w:val="Page Numbers (Bottom of Page)"/>
        <w:docPartUnique/>
      </w:docPartObj>
    </w:sdtPr>
    <w:sdtEndPr>
      <w:rPr>
        <w:noProof/>
      </w:rPr>
    </w:sdtEndPr>
    <w:sdtContent>
      <w:p w:rsidR="007978F4" w:rsidRDefault="007978F4">
        <w:pPr>
          <w:pStyle w:val="Footer"/>
          <w:jc w:val="center"/>
        </w:pPr>
        <w:r>
          <w:fldChar w:fldCharType="begin"/>
        </w:r>
        <w:r>
          <w:instrText xml:space="preserve"> PAGE   \* MERGEFORMAT </w:instrText>
        </w:r>
        <w:r>
          <w:fldChar w:fldCharType="separate"/>
        </w:r>
        <w:r w:rsidR="00297CD2">
          <w:rPr>
            <w:noProof/>
          </w:rPr>
          <w:t>4</w:t>
        </w:r>
        <w:r>
          <w:rPr>
            <w:noProof/>
          </w:rPr>
          <w:fldChar w:fldCharType="end"/>
        </w:r>
      </w:p>
    </w:sdtContent>
  </w:sdt>
  <w:p w:rsidR="007978F4" w:rsidRDefault="007978F4">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0886488"/>
      <w:docPartObj>
        <w:docPartGallery w:val="Page Numbers (Bottom of Page)"/>
        <w:docPartUnique/>
      </w:docPartObj>
    </w:sdtPr>
    <w:sdtEndPr>
      <w:rPr>
        <w:noProof/>
      </w:rPr>
    </w:sdtEndPr>
    <w:sdtContent>
      <w:p w:rsidR="007978F4" w:rsidRDefault="007978F4">
        <w:pPr>
          <w:pStyle w:val="Footer"/>
          <w:jc w:val="center"/>
        </w:pPr>
        <w:r>
          <w:fldChar w:fldCharType="begin"/>
        </w:r>
        <w:r>
          <w:instrText xml:space="preserve"> PAGE   \* MERGEFORMAT </w:instrText>
        </w:r>
        <w:r>
          <w:fldChar w:fldCharType="separate"/>
        </w:r>
        <w:r w:rsidR="00297CD2">
          <w:rPr>
            <w:noProof/>
          </w:rPr>
          <w:t>1</w:t>
        </w:r>
        <w:r>
          <w:rPr>
            <w:noProof/>
          </w:rPr>
          <w:fldChar w:fldCharType="end"/>
        </w:r>
      </w:p>
    </w:sdtContent>
  </w:sdt>
  <w:p w:rsidR="007978F4" w:rsidRDefault="007978F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599B" w:rsidRDefault="00AA599B" w:rsidP="00887015">
      <w:pPr>
        <w:spacing w:after="0" w:line="240" w:lineRule="auto"/>
      </w:pPr>
      <w:r>
        <w:separator/>
      </w:r>
    </w:p>
  </w:footnote>
  <w:footnote w:type="continuationSeparator" w:id="0">
    <w:p w:rsidR="00AA599B" w:rsidRDefault="00AA599B" w:rsidP="00887015">
      <w:pPr>
        <w:spacing w:after="0" w:line="240" w:lineRule="auto"/>
      </w:pPr>
      <w:r>
        <w:continuationSeparator/>
      </w:r>
    </w:p>
  </w:footnote>
  <w:footnote w:id="1">
    <w:p w:rsidR="007978F4" w:rsidRPr="00400C0B" w:rsidRDefault="007978F4" w:rsidP="00685CA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והעירו</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סעד</w:t>
      </w:r>
      <w:r w:rsidRPr="00400C0B">
        <w:rPr>
          <w:rFonts w:cs="Guttman Rashi"/>
          <w:rtl/>
          <w:lang w:bidi="he-IL"/>
        </w:rPr>
        <w:t xml:space="preserve"> </w:t>
      </w:r>
      <w:r w:rsidRPr="00400C0B">
        <w:rPr>
          <w:rFonts w:cs="Guttman Rashi" w:hint="eastAsia"/>
          <w:rtl/>
          <w:lang w:bidi="he-IL"/>
        </w:rPr>
        <w:t>לצד</w:t>
      </w:r>
      <w:r w:rsidRPr="00400C0B">
        <w:rPr>
          <w:rFonts w:cs="Guttman Rashi"/>
          <w:rtl/>
          <w:lang w:bidi="he-IL"/>
        </w:rPr>
        <w:t xml:space="preserve"> </w:t>
      </w:r>
      <w:r w:rsidRPr="00400C0B">
        <w:rPr>
          <w:rFonts w:cs="Guttman Rashi" w:hint="eastAsia"/>
          <w:rtl/>
          <w:lang w:bidi="he-IL"/>
        </w:rPr>
        <w:t>הזה</w:t>
      </w:r>
      <w:r w:rsidRPr="00400C0B">
        <w:rPr>
          <w:rFonts w:cs="Guttman Rashi"/>
          <w:rtl/>
          <w:lang w:bidi="he-IL"/>
        </w:rPr>
        <w:t xml:space="preserve"> </w:t>
      </w:r>
      <w:r w:rsidRPr="00400C0B">
        <w:rPr>
          <w:rFonts w:cs="Guttman Rashi" w:hint="eastAsia"/>
          <w:rtl/>
          <w:lang w:bidi="he-IL"/>
        </w:rPr>
        <w:t>מדברי</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בפ</w:t>
      </w:r>
      <w:r w:rsidRPr="00400C0B">
        <w:rPr>
          <w:rFonts w:cs="Guttman Rashi"/>
          <w:rtl/>
          <w:lang w:bidi="he-IL"/>
        </w:rPr>
        <w:t xml:space="preserve">' </w:t>
      </w:r>
      <w:r w:rsidRPr="00400C0B">
        <w:rPr>
          <w:rFonts w:cs="Guttman Rashi" w:hint="eastAsia"/>
          <w:rtl/>
          <w:lang w:bidi="he-IL"/>
        </w:rPr>
        <w:t>ערבי</w:t>
      </w:r>
      <w:r w:rsidRPr="00400C0B">
        <w:rPr>
          <w:rFonts w:cs="Guttman Rashi"/>
          <w:rtl/>
          <w:lang w:bidi="he-IL"/>
        </w:rPr>
        <w:t xml:space="preserve"> </w:t>
      </w:r>
      <w:r w:rsidRPr="00400C0B">
        <w:rPr>
          <w:rFonts w:cs="Guttman Rashi" w:hint="eastAsia"/>
          <w:rtl/>
          <w:lang w:bidi="he-IL"/>
        </w:rPr>
        <w:t>פסחים</w:t>
      </w:r>
      <w:r w:rsidRPr="00400C0B">
        <w:rPr>
          <w:rFonts w:cs="Guttman Rashi"/>
          <w:rtl/>
          <w:lang w:bidi="he-IL"/>
        </w:rPr>
        <w:t xml:space="preserve"> </w:t>
      </w:r>
      <w:r>
        <w:rPr>
          <w:rFonts w:cs="Guttman Rashi" w:hint="cs"/>
          <w:rtl/>
          <w:lang w:bidi="he-IL"/>
        </w:rPr>
        <w:t xml:space="preserve">אות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שהטעם</w:t>
      </w:r>
      <w:r w:rsidRPr="00400C0B">
        <w:rPr>
          <w:rFonts w:cs="Guttman Rashi"/>
          <w:rtl/>
          <w:lang w:bidi="he-IL"/>
        </w:rPr>
        <w:t xml:space="preserve"> </w:t>
      </w:r>
      <w:r w:rsidRPr="00400C0B">
        <w:rPr>
          <w:rFonts w:cs="Guttman Rashi" w:hint="eastAsia"/>
          <w:rtl/>
          <w:lang w:bidi="he-IL"/>
        </w:rPr>
        <w:t>שצריך</w:t>
      </w:r>
      <w:r w:rsidRPr="00400C0B">
        <w:rPr>
          <w:rFonts w:cs="Guttman Rashi"/>
          <w:rtl/>
          <w:lang w:bidi="he-IL"/>
        </w:rPr>
        <w:t xml:space="preserve"> </w:t>
      </w:r>
      <w:r w:rsidRPr="00400C0B">
        <w:rPr>
          <w:rFonts w:cs="Guttman Rashi" w:hint="eastAsia"/>
          <w:rtl/>
          <w:lang w:bidi="he-IL"/>
        </w:rPr>
        <w:t>לכאול</w:t>
      </w:r>
      <w:r w:rsidRPr="00400C0B">
        <w:rPr>
          <w:rFonts w:cs="Guttman Rashi"/>
          <w:rtl/>
          <w:lang w:bidi="he-IL"/>
        </w:rPr>
        <w:t xml:space="preserve"> </w:t>
      </w:r>
      <w:r w:rsidRPr="00400C0B">
        <w:rPr>
          <w:rFonts w:cs="Guttman Rashi" w:hint="eastAsia"/>
          <w:rtl/>
          <w:lang w:bidi="he-IL"/>
        </w:rPr>
        <w:t>כזית</w:t>
      </w:r>
      <w:r w:rsidRPr="00400C0B">
        <w:rPr>
          <w:rFonts w:cs="Guttman Rashi"/>
          <w:rtl/>
          <w:lang w:bidi="he-IL"/>
        </w:rPr>
        <w:t xml:space="preserve"> </w:t>
      </w:r>
      <w:r w:rsidRPr="00400C0B">
        <w:rPr>
          <w:rFonts w:cs="Guttman Rashi" w:hint="eastAsia"/>
          <w:rtl/>
          <w:lang w:bidi="he-IL"/>
        </w:rPr>
        <w:t>מרור</w:t>
      </w:r>
      <w:r w:rsidRPr="00400C0B">
        <w:rPr>
          <w:rFonts w:cs="Guttman Rashi"/>
          <w:rtl/>
          <w:lang w:bidi="he-IL"/>
        </w:rPr>
        <w:t xml:space="preserve"> </w:t>
      </w:r>
      <w:r w:rsidRPr="00400C0B">
        <w:rPr>
          <w:rFonts w:cs="Guttman Rashi" w:hint="eastAsia"/>
          <w:rtl/>
          <w:lang w:bidi="he-IL"/>
        </w:rPr>
        <w:t>בכדי</w:t>
      </w:r>
      <w:r w:rsidRPr="00400C0B">
        <w:rPr>
          <w:rFonts w:cs="Guttman Rashi"/>
          <w:rtl/>
          <w:lang w:bidi="he-IL"/>
        </w:rPr>
        <w:t xml:space="preserve"> </w:t>
      </w:r>
      <w:r w:rsidRPr="00400C0B">
        <w:rPr>
          <w:rFonts w:cs="Guttman Rashi" w:hint="eastAsia"/>
          <w:rtl/>
          <w:lang w:bidi="he-IL"/>
        </w:rPr>
        <w:t>אכילת</w:t>
      </w:r>
      <w:r w:rsidRPr="00400C0B">
        <w:rPr>
          <w:rFonts w:cs="Guttman Rashi"/>
          <w:rtl/>
          <w:lang w:bidi="he-IL"/>
        </w:rPr>
        <w:t xml:space="preserve"> </w:t>
      </w:r>
      <w:r w:rsidRPr="00400C0B">
        <w:rPr>
          <w:rFonts w:cs="Guttman Rashi" w:hint="eastAsia"/>
          <w:rtl/>
          <w:lang w:bidi="he-IL"/>
        </w:rPr>
        <w:t>פרס</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שמברכין</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אכילת</w:t>
      </w:r>
      <w:r w:rsidRPr="00400C0B">
        <w:rPr>
          <w:rFonts w:cs="Guttman Rashi"/>
          <w:rtl/>
          <w:lang w:bidi="he-IL"/>
        </w:rPr>
        <w:t xml:space="preserve"> </w:t>
      </w:r>
      <w:r w:rsidRPr="00400C0B">
        <w:rPr>
          <w:rFonts w:cs="Guttman Rashi" w:hint="eastAsia"/>
          <w:rtl/>
          <w:lang w:bidi="he-IL"/>
        </w:rPr>
        <w:t>מרור</w:t>
      </w:r>
      <w:r w:rsidRPr="00400C0B">
        <w:rPr>
          <w:rFonts w:cs="Guttman Rashi"/>
          <w:rtl/>
          <w:lang w:bidi="he-IL"/>
        </w:rPr>
        <w:t xml:space="preserve"> "</w:t>
      </w:r>
      <w:r w:rsidRPr="00400C0B">
        <w:rPr>
          <w:rFonts w:cs="Guttman Rashi" w:hint="eastAsia"/>
          <w:rtl/>
          <w:lang w:bidi="he-IL"/>
        </w:rPr>
        <w:t>דאין</w:t>
      </w:r>
      <w:r w:rsidRPr="00400C0B">
        <w:rPr>
          <w:rFonts w:cs="Guttman Rashi"/>
          <w:rtl/>
          <w:lang w:bidi="he-IL"/>
        </w:rPr>
        <w:t xml:space="preserve"> </w:t>
      </w:r>
      <w:r w:rsidRPr="00400C0B">
        <w:rPr>
          <w:rFonts w:cs="Guttman Rashi" w:hint="eastAsia"/>
          <w:rtl/>
          <w:lang w:bidi="he-IL"/>
        </w:rPr>
        <w:t>אכילה</w:t>
      </w:r>
      <w:r w:rsidRPr="00400C0B">
        <w:rPr>
          <w:rFonts w:cs="Guttman Rashi"/>
          <w:rtl/>
          <w:lang w:bidi="he-IL"/>
        </w:rPr>
        <w:t xml:space="preserve"> </w:t>
      </w:r>
      <w:r w:rsidRPr="00400C0B">
        <w:rPr>
          <w:rFonts w:cs="Guttman Rashi" w:hint="eastAsia"/>
          <w:rtl/>
          <w:lang w:bidi="he-IL"/>
        </w:rPr>
        <w:t>בפחות</w:t>
      </w:r>
      <w:r w:rsidRPr="00400C0B">
        <w:rPr>
          <w:rFonts w:cs="Guttman Rashi"/>
          <w:rtl/>
          <w:lang w:bidi="he-IL"/>
        </w:rPr>
        <w:t xml:space="preserve"> </w:t>
      </w:r>
      <w:r w:rsidRPr="00400C0B">
        <w:rPr>
          <w:rFonts w:cs="Guttman Rashi" w:hint="eastAsia"/>
          <w:rtl/>
          <w:lang w:bidi="he-IL"/>
        </w:rPr>
        <w:t>מכזית</w:t>
      </w:r>
      <w:r w:rsidRPr="00400C0B">
        <w:rPr>
          <w:rFonts w:cs="Guttman Rashi"/>
          <w:rtl/>
          <w:lang w:bidi="he-IL"/>
        </w:rPr>
        <w:t xml:space="preserve">". </w:t>
      </w:r>
      <w:r>
        <w:rPr>
          <w:rFonts w:cs="Guttman Rashi" w:hint="cs"/>
          <w:rtl/>
          <w:lang w:bidi="he-IL"/>
        </w:rPr>
        <w:t>אמנם נראה לדחות, ש</w:t>
      </w:r>
      <w:r w:rsidRPr="00400C0B">
        <w:rPr>
          <w:rFonts w:cs="Guttman Rashi" w:hint="eastAsia"/>
          <w:rtl/>
          <w:lang w:bidi="he-IL"/>
        </w:rPr>
        <w:t>יתכן</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שכוונתו</w:t>
      </w:r>
      <w:r w:rsidRPr="00400C0B">
        <w:rPr>
          <w:rFonts w:cs="Guttman Rashi"/>
          <w:rtl/>
          <w:lang w:bidi="he-IL"/>
        </w:rPr>
        <w:t xml:space="preserve"> </w:t>
      </w:r>
      <w:r w:rsidRPr="00400C0B">
        <w:rPr>
          <w:rFonts w:cs="Guttman Rashi" w:hint="eastAsia"/>
          <w:rtl/>
          <w:lang w:bidi="he-IL"/>
        </w:rPr>
        <w:t>שאינה</w:t>
      </w:r>
      <w:r w:rsidRPr="00400C0B">
        <w:rPr>
          <w:rFonts w:cs="Guttman Rashi"/>
          <w:rtl/>
          <w:lang w:bidi="he-IL"/>
        </w:rPr>
        <w:t xml:space="preserve"> </w:t>
      </w:r>
      <w:r w:rsidRPr="00400C0B">
        <w:rPr>
          <w:rFonts w:cs="Guttman Rashi" w:hint="eastAsia"/>
          <w:rtl/>
          <w:lang w:bidi="he-IL"/>
        </w:rPr>
        <w:t>אכילה</w:t>
      </w:r>
      <w:r w:rsidRPr="00400C0B">
        <w:rPr>
          <w:rFonts w:cs="Guttman Rashi"/>
          <w:rtl/>
          <w:lang w:bidi="he-IL"/>
        </w:rPr>
        <w:t xml:space="preserve"> </w:t>
      </w:r>
      <w:r w:rsidRPr="00400C0B">
        <w:rPr>
          <w:rFonts w:cs="Guttman Rashi" w:hint="eastAsia"/>
          <w:rtl/>
          <w:lang w:bidi="he-IL"/>
        </w:rPr>
        <w:t>מספיק</w:t>
      </w:r>
      <w:r w:rsidRPr="00400C0B">
        <w:rPr>
          <w:rFonts w:cs="Guttman Rashi"/>
          <w:rtl/>
          <w:lang w:bidi="he-IL"/>
        </w:rPr>
        <w:t xml:space="preserve"> </w:t>
      </w:r>
      <w:r w:rsidRPr="00400C0B">
        <w:rPr>
          <w:rFonts w:cs="Guttman Rashi" w:hint="eastAsia"/>
          <w:rtl/>
          <w:lang w:bidi="he-IL"/>
        </w:rPr>
        <w:t>חשובה</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שחסר</w:t>
      </w:r>
      <w:r w:rsidRPr="00400C0B">
        <w:rPr>
          <w:rFonts w:cs="Guttman Rashi"/>
          <w:rtl/>
          <w:lang w:bidi="he-IL"/>
        </w:rPr>
        <w:t xml:space="preserve"> </w:t>
      </w:r>
      <w:r w:rsidRPr="00400C0B">
        <w:rPr>
          <w:rFonts w:cs="Guttman Rashi" w:hint="eastAsia"/>
          <w:rtl/>
          <w:lang w:bidi="he-IL"/>
        </w:rPr>
        <w:t>השיעור</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חולין</w:t>
      </w:r>
      <w:r w:rsidRPr="00400C0B">
        <w:rPr>
          <w:rFonts w:cs="Guttman Rashi"/>
          <w:rtl/>
          <w:lang w:bidi="he-IL"/>
        </w:rPr>
        <w:t xml:space="preserve"> </w:t>
      </w:r>
      <w:r w:rsidRPr="00400C0B">
        <w:rPr>
          <w:rFonts w:cs="Guttman Rashi" w:hint="eastAsia"/>
          <w:rtl/>
          <w:lang w:bidi="he-IL"/>
        </w:rPr>
        <w:t>דף</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שמבואר</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חייב</w:t>
      </w:r>
      <w:r w:rsidRPr="00400C0B">
        <w:rPr>
          <w:rFonts w:cs="Guttman Rashi"/>
          <w:rtl/>
          <w:lang w:bidi="he-IL"/>
        </w:rPr>
        <w:t xml:space="preserve"> </w:t>
      </w:r>
      <w:r>
        <w:rPr>
          <w:rFonts w:cs="Guttman Rashi" w:hint="cs"/>
          <w:rtl/>
          <w:lang w:bidi="he-IL"/>
        </w:rPr>
        <w:t>משום</w:t>
      </w:r>
      <w:r w:rsidRPr="00400C0B">
        <w:rPr>
          <w:rFonts w:cs="Guttman Rashi"/>
          <w:rtl/>
          <w:lang w:bidi="he-IL"/>
        </w:rPr>
        <w:t xml:space="preserve"> </w:t>
      </w:r>
      <w:r w:rsidRPr="00400C0B">
        <w:rPr>
          <w:rFonts w:cs="Guttman Rashi" w:hint="eastAsia"/>
          <w:rtl/>
          <w:lang w:bidi="he-IL"/>
        </w:rPr>
        <w:t>אבר</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החי</w:t>
      </w:r>
      <w:r w:rsidRPr="00400C0B">
        <w:rPr>
          <w:rFonts w:cs="Guttman Rashi"/>
          <w:rtl/>
          <w:lang w:bidi="he-IL"/>
        </w:rPr>
        <w:t xml:space="preserve"> </w:t>
      </w:r>
      <w:r w:rsidRPr="00400C0B">
        <w:rPr>
          <w:rFonts w:cs="Guttman Rashi" w:hint="eastAsia"/>
          <w:rtl/>
          <w:lang w:bidi="he-IL"/>
        </w:rPr>
        <w:t>אא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בו</w:t>
      </w:r>
      <w:r w:rsidRPr="00400C0B">
        <w:rPr>
          <w:rFonts w:cs="Guttman Rashi"/>
          <w:rtl/>
          <w:lang w:bidi="he-IL"/>
        </w:rPr>
        <w:t xml:space="preserve"> </w:t>
      </w:r>
      <w:r w:rsidRPr="00400C0B">
        <w:rPr>
          <w:rFonts w:cs="Guttman Rashi" w:hint="eastAsia"/>
          <w:rtl/>
          <w:lang w:bidi="he-IL"/>
        </w:rPr>
        <w:t>כזי</w:t>
      </w:r>
      <w:r>
        <w:rPr>
          <w:rFonts w:cs="Guttman Rashi" w:hint="cs"/>
          <w:rtl/>
          <w:lang w:bidi="he-IL"/>
        </w:rPr>
        <w:t>ת</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דאכילה</w:t>
      </w:r>
      <w:r w:rsidRPr="00400C0B">
        <w:rPr>
          <w:rFonts w:cs="Guttman Rashi"/>
          <w:rtl/>
          <w:lang w:bidi="he-IL"/>
        </w:rPr>
        <w:t xml:space="preserve"> </w:t>
      </w:r>
      <w:r w:rsidRPr="00400C0B">
        <w:rPr>
          <w:rFonts w:cs="Guttman Rashi" w:hint="eastAsia"/>
          <w:rtl/>
          <w:lang w:bidi="he-IL"/>
        </w:rPr>
        <w:t>כתיבא</w:t>
      </w:r>
      <w:r w:rsidRPr="00400C0B">
        <w:rPr>
          <w:rFonts w:cs="Guttman Rashi"/>
          <w:rtl/>
          <w:lang w:bidi="he-IL"/>
        </w:rPr>
        <w:t xml:space="preserve"> </w:t>
      </w:r>
      <w:r w:rsidRPr="00400C0B">
        <w:rPr>
          <w:rFonts w:cs="Guttman Rashi" w:hint="eastAsia"/>
          <w:rtl/>
          <w:lang w:bidi="he-IL"/>
        </w:rPr>
        <w:t>בי</w:t>
      </w:r>
      <w:r w:rsidRPr="00400C0B">
        <w:rPr>
          <w:rFonts w:cs="Guttman Rashi"/>
          <w:rtl/>
          <w:lang w:bidi="he-IL"/>
        </w:rPr>
        <w:t>'.</w:t>
      </w:r>
    </w:p>
  </w:footnote>
  <w:footnote w:id="2">
    <w:p w:rsidR="007978F4" w:rsidRPr="00400C0B" w:rsidRDefault="007978F4" w:rsidP="00A96BDF">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בחי</w:t>
      </w:r>
      <w:r w:rsidRPr="00400C0B">
        <w:rPr>
          <w:rFonts w:cs="Guttman Rashi"/>
          <w:rtl/>
          <w:lang w:bidi="he-IL"/>
        </w:rPr>
        <w:t xml:space="preserve">' </w:t>
      </w:r>
      <w:r w:rsidRPr="00400C0B">
        <w:rPr>
          <w:rFonts w:cs="Guttman Rashi" w:hint="eastAsia"/>
          <w:rtl/>
          <w:lang w:bidi="he-IL"/>
        </w:rPr>
        <w:t>רבינו</w:t>
      </w:r>
      <w:r w:rsidRPr="00400C0B">
        <w:rPr>
          <w:rFonts w:cs="Guttman Rashi"/>
          <w:rtl/>
          <w:lang w:bidi="he-IL"/>
        </w:rPr>
        <w:t xml:space="preserve"> </w:t>
      </w:r>
      <w:r w:rsidRPr="00400C0B">
        <w:rPr>
          <w:rFonts w:cs="Guttman Rashi" w:hint="eastAsia"/>
          <w:rtl/>
          <w:lang w:bidi="he-IL"/>
        </w:rPr>
        <w:t>חיים</w:t>
      </w:r>
      <w:r w:rsidRPr="00400C0B">
        <w:rPr>
          <w:rFonts w:cs="Guttman Rashi"/>
          <w:rtl/>
          <w:lang w:bidi="he-IL"/>
        </w:rPr>
        <w:t xml:space="preserve"> </w:t>
      </w:r>
      <w:r w:rsidRPr="00400C0B">
        <w:rPr>
          <w:rFonts w:cs="Guttman Rashi" w:hint="eastAsia"/>
          <w:rtl/>
          <w:lang w:bidi="he-IL"/>
        </w:rPr>
        <w:t>הלוי</w:t>
      </w:r>
      <w:r w:rsidRPr="00400C0B">
        <w:rPr>
          <w:rFonts w:cs="Guttman Rashi"/>
          <w:rtl/>
          <w:lang w:bidi="he-IL"/>
        </w:rPr>
        <w:t xml:space="preserve"> </w:t>
      </w:r>
      <w:r w:rsidRPr="00400C0B">
        <w:rPr>
          <w:rFonts w:cs="Guttman Rashi" w:hint="eastAsia"/>
          <w:rtl/>
          <w:lang w:bidi="he-IL"/>
        </w:rPr>
        <w:t>פט</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מהל</w:t>
      </w:r>
      <w:r w:rsidRPr="00400C0B">
        <w:rPr>
          <w:rFonts w:cs="Guttman Rashi"/>
          <w:rtl/>
          <w:lang w:bidi="he-IL"/>
        </w:rPr>
        <w:t xml:space="preserve">' </w:t>
      </w:r>
      <w:r w:rsidRPr="00400C0B">
        <w:rPr>
          <w:rFonts w:cs="Guttman Rashi" w:hint="eastAsia"/>
          <w:rtl/>
          <w:lang w:bidi="he-IL"/>
        </w:rPr>
        <w:t>מאכ</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ולפ</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והלשון</w:t>
      </w:r>
      <w:r w:rsidRPr="00400C0B">
        <w:rPr>
          <w:rFonts w:cs="Guttman Rashi"/>
          <w:rtl/>
          <w:lang w:bidi="he-IL"/>
        </w:rPr>
        <w:t xml:space="preserve"> </w:t>
      </w:r>
      <w:r w:rsidRPr="00400C0B">
        <w:rPr>
          <w:rFonts w:cs="Guttman Rashi" w:hint="eastAsia"/>
          <w:rtl/>
          <w:lang w:bidi="he-IL"/>
        </w:rPr>
        <w:t>מובא</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w:t>
      </w:r>
    </w:p>
  </w:footnote>
  <w:footnote w:id="3">
    <w:p w:rsidR="007978F4" w:rsidRPr="00497137" w:rsidRDefault="007978F4" w:rsidP="00497137">
      <w:pPr>
        <w:pStyle w:val="FootnoteText"/>
        <w:bidi/>
        <w:jc w:val="both"/>
        <w:rPr>
          <w:rFonts w:cs="Guttman Rashi"/>
          <w:rtl/>
          <w:lang w:bidi="he-IL"/>
        </w:rPr>
      </w:pPr>
      <w:r w:rsidRPr="00497137">
        <w:rPr>
          <w:rStyle w:val="FootnoteReference"/>
          <w:rFonts w:cs="Guttman Rashi"/>
        </w:rPr>
        <w:footnoteRef/>
      </w:r>
      <w:r w:rsidRPr="00497137">
        <w:rPr>
          <w:rFonts w:cs="Guttman Rashi"/>
        </w:rPr>
        <w:t xml:space="preserve"> </w:t>
      </w:r>
      <w:r w:rsidRPr="00497137">
        <w:rPr>
          <w:rFonts w:cs="Guttman Rashi" w:hint="cs"/>
          <w:rtl/>
          <w:lang w:bidi="he-IL"/>
        </w:rPr>
        <w:t>ע' מש"כ בזה לקמן שיעור ה'</w:t>
      </w:r>
    </w:p>
  </w:footnote>
  <w:footnote w:id="4">
    <w:p w:rsidR="007978F4" w:rsidRPr="00400C0B" w:rsidRDefault="007978F4" w:rsidP="00A96BDF">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בהקטרה</w:t>
      </w:r>
      <w:r w:rsidRPr="00400C0B">
        <w:rPr>
          <w:rFonts w:cs="Guttman Rashi"/>
          <w:rtl/>
          <w:lang w:bidi="he-IL"/>
        </w:rPr>
        <w:t xml:space="preserve"> </w:t>
      </w:r>
      <w:r w:rsidRPr="00400C0B">
        <w:rPr>
          <w:rFonts w:cs="Guttman Rashi" w:hint="eastAsia"/>
          <w:rtl/>
          <w:lang w:bidi="he-IL"/>
        </w:rPr>
        <w:t>דאמרינן</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המל</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אכילת</w:t>
      </w:r>
      <w:r w:rsidRPr="00400C0B">
        <w:rPr>
          <w:rFonts w:cs="Guttman Rashi"/>
          <w:rtl/>
          <w:lang w:bidi="he-IL"/>
        </w:rPr>
        <w:t xml:space="preserve"> </w:t>
      </w:r>
      <w:r w:rsidRPr="00400C0B">
        <w:rPr>
          <w:rFonts w:cs="Guttman Rashi" w:hint="eastAsia"/>
          <w:rtl/>
          <w:lang w:bidi="he-IL"/>
        </w:rPr>
        <w:t>מזבח</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כזית</w:t>
      </w:r>
      <w:r w:rsidRPr="00400C0B">
        <w:rPr>
          <w:rFonts w:cs="Guttman Rashi"/>
          <w:rtl/>
          <w:lang w:bidi="he-IL"/>
        </w:rPr>
        <w:t>.</w:t>
      </w:r>
    </w:p>
  </w:footnote>
  <w:footnote w:id="5">
    <w:p w:rsidR="007978F4" w:rsidRPr="000F4A70" w:rsidRDefault="007978F4" w:rsidP="000F4A70">
      <w:pPr>
        <w:pStyle w:val="FootnoteText"/>
        <w:bidi/>
        <w:jc w:val="both"/>
        <w:rPr>
          <w:rFonts w:cs="Guttman Rashi"/>
          <w:rtl/>
          <w:lang w:bidi="he-IL"/>
        </w:rPr>
      </w:pPr>
      <w:r w:rsidRPr="000F4A70">
        <w:rPr>
          <w:rStyle w:val="FootnoteReference"/>
          <w:rFonts w:cs="Guttman Rashi"/>
        </w:rPr>
        <w:footnoteRef/>
      </w:r>
      <w:r w:rsidRPr="000F4A70">
        <w:rPr>
          <w:rFonts w:cs="Guttman Rashi"/>
        </w:rPr>
        <w:t xml:space="preserve"> </w:t>
      </w:r>
      <w:r w:rsidRPr="000F4A70">
        <w:rPr>
          <w:rFonts w:cs="Guttman Rashi" w:hint="cs"/>
          <w:rtl/>
          <w:lang w:bidi="he-IL"/>
        </w:rPr>
        <w:t>ע' לקמן שיעור ג' מש"כ אולי לדחות</w:t>
      </w:r>
    </w:p>
  </w:footnote>
  <w:footnote w:id="6">
    <w:p w:rsidR="007978F4" w:rsidRPr="00400C0B" w:rsidRDefault="007978F4" w:rsidP="00A96BDF">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במהר</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חלאוה</w:t>
      </w:r>
      <w:r w:rsidRPr="00400C0B">
        <w:rPr>
          <w:rFonts w:cs="Guttman Rashi"/>
          <w:rtl/>
          <w:lang w:bidi="he-IL"/>
        </w:rPr>
        <w:t xml:space="preserve"> </w:t>
      </w:r>
      <w:r w:rsidRPr="00400C0B">
        <w:rPr>
          <w:rFonts w:cs="Guttman Rashi" w:hint="eastAsia"/>
          <w:rtl/>
          <w:lang w:bidi="he-IL"/>
        </w:rPr>
        <w:t>בתחילת</w:t>
      </w:r>
      <w:r w:rsidRPr="00400C0B">
        <w:rPr>
          <w:rFonts w:cs="Guttman Rashi"/>
          <w:rtl/>
          <w:lang w:bidi="he-IL"/>
        </w:rPr>
        <w:t xml:space="preserve"> </w:t>
      </w:r>
      <w:r w:rsidRPr="00400C0B">
        <w:rPr>
          <w:rFonts w:cs="Guttman Rashi" w:hint="eastAsia"/>
          <w:rtl/>
          <w:lang w:bidi="he-IL"/>
        </w:rPr>
        <w:t>הסוגיא</w:t>
      </w:r>
      <w:r w:rsidRPr="00400C0B">
        <w:rPr>
          <w:rFonts w:cs="Guttman Rashi"/>
          <w:rtl/>
          <w:lang w:bidi="he-IL"/>
        </w:rPr>
        <w:t xml:space="preserve"> </w:t>
      </w:r>
      <w:r w:rsidRPr="00400C0B">
        <w:rPr>
          <w:rFonts w:cs="Guttman Rashi" w:hint="eastAsia"/>
          <w:rtl/>
          <w:lang w:bidi="he-IL"/>
        </w:rPr>
        <w:t>שנראה</w:t>
      </w:r>
      <w:r w:rsidRPr="00400C0B">
        <w:rPr>
          <w:rFonts w:cs="Guttman Rashi"/>
          <w:rtl/>
          <w:lang w:bidi="he-IL"/>
        </w:rPr>
        <w:t xml:space="preserve"> </w:t>
      </w:r>
      <w:r w:rsidRPr="00400C0B">
        <w:rPr>
          <w:rFonts w:cs="Guttman Rashi" w:hint="eastAsia"/>
          <w:rtl/>
          <w:lang w:bidi="he-IL"/>
        </w:rPr>
        <w:t>מלשונו</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כביאור</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w:t>
      </w:r>
    </w:p>
  </w:footnote>
  <w:footnote w:id="7">
    <w:p w:rsidR="007978F4" w:rsidRPr="00400C0B" w:rsidRDefault="007978F4" w:rsidP="00A42D7B">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וחשבתי</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סעד</w:t>
      </w:r>
      <w:r w:rsidRPr="00400C0B">
        <w:rPr>
          <w:rFonts w:cs="Guttman Rashi"/>
          <w:rtl/>
          <w:lang w:bidi="he-IL"/>
        </w:rPr>
        <w:t xml:space="preserve"> </w:t>
      </w:r>
      <w:r w:rsidRPr="00400C0B">
        <w:rPr>
          <w:rFonts w:cs="Guttman Rashi" w:hint="eastAsia"/>
          <w:rtl/>
          <w:lang w:bidi="he-IL"/>
        </w:rPr>
        <w:t>גדול</w:t>
      </w:r>
      <w:r w:rsidRPr="00400C0B">
        <w:rPr>
          <w:rFonts w:cs="Guttman Rashi"/>
          <w:rtl/>
          <w:lang w:bidi="he-IL"/>
        </w:rPr>
        <w:t xml:space="preserve"> </w:t>
      </w:r>
      <w:r w:rsidRPr="00400C0B">
        <w:rPr>
          <w:rFonts w:cs="Guttman Rashi" w:hint="eastAsia"/>
          <w:rtl/>
          <w:lang w:bidi="he-IL"/>
        </w:rPr>
        <w:t>למהלך</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בסוגיין</w:t>
      </w:r>
      <w:r w:rsidRPr="00400C0B">
        <w:rPr>
          <w:rFonts w:cs="Guttman Rashi"/>
          <w:rtl/>
          <w:lang w:bidi="he-IL"/>
        </w:rPr>
        <w:t xml:space="preserve"> </w:t>
      </w:r>
      <w:r w:rsidRPr="00400C0B">
        <w:rPr>
          <w:rFonts w:cs="Guttman Rashi" w:hint="eastAsia"/>
          <w:rtl/>
          <w:lang w:bidi="he-IL"/>
        </w:rPr>
        <w:t>שהריבוי</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עירובו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חמץ</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דר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דהיתר</w:t>
      </w:r>
      <w:r w:rsidRPr="00400C0B">
        <w:rPr>
          <w:rFonts w:cs="Guttman Rashi"/>
          <w:rtl/>
          <w:lang w:bidi="he-IL"/>
        </w:rPr>
        <w:t xml:space="preserve"> </w:t>
      </w:r>
      <w:r w:rsidRPr="00400C0B">
        <w:rPr>
          <w:rFonts w:cs="Guttman Rashi" w:hint="eastAsia"/>
          <w:rtl/>
          <w:lang w:bidi="he-IL"/>
        </w:rPr>
        <w:t>מצטרף</w:t>
      </w:r>
      <w:r w:rsidRPr="00400C0B">
        <w:rPr>
          <w:rFonts w:cs="Guttman Rashi"/>
          <w:rtl/>
          <w:lang w:bidi="he-IL"/>
        </w:rPr>
        <w:t xml:space="preserve"> </w:t>
      </w:r>
      <w:r w:rsidRPr="00400C0B">
        <w:rPr>
          <w:rFonts w:cs="Guttman Rashi" w:hint="eastAsia"/>
          <w:rtl/>
          <w:lang w:bidi="he-IL"/>
        </w:rPr>
        <w:t>לאיסור</w:t>
      </w:r>
      <w:r w:rsidRPr="00400C0B">
        <w:rPr>
          <w:rFonts w:cs="Guttman Rashi"/>
          <w:rtl/>
          <w:lang w:bidi="he-IL"/>
        </w:rPr>
        <w:t xml:space="preserve">, </w:t>
      </w:r>
      <w:r w:rsidRPr="00400C0B">
        <w:rPr>
          <w:rFonts w:cs="Guttman Rashi" w:hint="eastAsia"/>
          <w:rtl/>
          <w:lang w:bidi="he-IL"/>
        </w:rPr>
        <w:t>ומבואר</w:t>
      </w:r>
      <w:r w:rsidRPr="00400C0B">
        <w:rPr>
          <w:rFonts w:cs="Guttman Rashi"/>
          <w:rtl/>
          <w:lang w:bidi="he-IL"/>
        </w:rPr>
        <w:t xml:space="preserve"> </w:t>
      </w:r>
      <w:r w:rsidRPr="00400C0B">
        <w:rPr>
          <w:rFonts w:cs="Guttman Rashi" w:hint="eastAsia"/>
          <w:rtl/>
          <w:lang w:bidi="he-IL"/>
        </w:rPr>
        <w:t>בדף</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שאפשר</w:t>
      </w:r>
      <w:r w:rsidRPr="00400C0B">
        <w:rPr>
          <w:rFonts w:cs="Guttman Rashi"/>
          <w:rtl/>
          <w:lang w:bidi="he-IL"/>
        </w:rPr>
        <w:t xml:space="preserve"> </w:t>
      </w:r>
      <w:r w:rsidRPr="00400C0B">
        <w:rPr>
          <w:rFonts w:cs="Guttman Rashi" w:hint="eastAsia"/>
          <w:rtl/>
          <w:lang w:bidi="he-IL"/>
        </w:rPr>
        <w:t>לעשות</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Pr>
          <w:rFonts w:cs="Guttman Rashi" w:hint="cs"/>
          <w:rtl/>
          <w:lang w:bidi="he-IL"/>
        </w:rPr>
        <w:t>מ</w:t>
      </w:r>
      <w:r w:rsidRPr="00400C0B">
        <w:rPr>
          <w:rFonts w:cs="Guttman Rashi" w:hint="eastAsia"/>
          <w:rtl/>
          <w:lang w:bidi="he-IL"/>
        </w:rPr>
        <w:t>עירובו</w:t>
      </w:r>
      <w:r w:rsidRPr="00400C0B">
        <w:rPr>
          <w:rFonts w:cs="Guttman Rashi"/>
          <w:rtl/>
          <w:lang w:bidi="he-IL"/>
        </w:rPr>
        <w:t xml:space="preserve"> </w:t>
      </w:r>
      <w:r w:rsidRPr="00400C0B">
        <w:rPr>
          <w:rFonts w:cs="Guttman Rashi" w:hint="eastAsia"/>
          <w:rtl/>
          <w:lang w:bidi="he-IL"/>
        </w:rPr>
        <w:t>לחמץ</w:t>
      </w:r>
      <w:r w:rsidRPr="00400C0B">
        <w:rPr>
          <w:rFonts w:cs="Guttman Rashi"/>
          <w:rtl/>
          <w:lang w:bidi="he-IL"/>
        </w:rPr>
        <w:t xml:space="preserve"> </w:t>
      </w:r>
      <w:r w:rsidRPr="00400C0B">
        <w:rPr>
          <w:rFonts w:cs="Guttman Rashi" w:hint="eastAsia"/>
          <w:rtl/>
          <w:lang w:bidi="he-IL"/>
        </w:rPr>
        <w:t>נוקשה</w:t>
      </w:r>
      <w:r w:rsidRPr="00400C0B">
        <w:rPr>
          <w:rFonts w:cs="Guttman Rashi"/>
          <w:rtl/>
          <w:lang w:bidi="he-IL"/>
        </w:rPr>
        <w:t xml:space="preserve">, </w:t>
      </w:r>
      <w:r>
        <w:rPr>
          <w:rFonts w:cs="Guttman Rashi" w:hint="cs"/>
          <w:rtl/>
          <w:lang w:bidi="he-IL"/>
        </w:rPr>
        <w:t>(</w:t>
      </w:r>
      <w:r w:rsidRPr="00400C0B">
        <w:rPr>
          <w:rFonts w:cs="Guttman Rashi" w:hint="eastAsia"/>
          <w:rtl/>
          <w:lang w:bidi="he-IL"/>
        </w:rPr>
        <w:t>ואפילו</w:t>
      </w:r>
      <w:r w:rsidRPr="00400C0B">
        <w:rPr>
          <w:rFonts w:cs="Guttman Rashi"/>
          <w:rtl/>
          <w:lang w:bidi="he-IL"/>
        </w:rPr>
        <w:t xml:space="preserve"> </w:t>
      </w:r>
      <w:r w:rsidRPr="00400C0B">
        <w:rPr>
          <w:rFonts w:cs="Guttman Rashi" w:hint="eastAsia"/>
          <w:rtl/>
          <w:lang w:bidi="he-IL"/>
        </w:rPr>
        <w:t>למי</w:t>
      </w:r>
      <w:r w:rsidRPr="00400C0B">
        <w:rPr>
          <w:rFonts w:cs="Guttman Rashi"/>
          <w:rtl/>
          <w:lang w:bidi="he-IL"/>
        </w:rPr>
        <w:t xml:space="preserve"> </w:t>
      </w:r>
      <w:r w:rsidRPr="00400C0B">
        <w:rPr>
          <w:rFonts w:cs="Guttman Rashi" w:hint="eastAsia"/>
          <w:rtl/>
          <w:lang w:bidi="he-IL"/>
        </w:rPr>
        <w:t>שסובר</w:t>
      </w:r>
      <w:r w:rsidRPr="00400C0B">
        <w:rPr>
          <w:rFonts w:cs="Guttman Rashi"/>
          <w:rtl/>
          <w:lang w:bidi="he-IL"/>
        </w:rPr>
        <w:t xml:space="preserve"> </w:t>
      </w:r>
      <w:r w:rsidRPr="00400C0B">
        <w:rPr>
          <w:rFonts w:cs="Guttman Rashi" w:hint="eastAsia"/>
          <w:rtl/>
          <w:lang w:bidi="he-IL"/>
        </w:rPr>
        <w:t>ההיפך</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דנוקשה</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מחודש</w:t>
      </w:r>
      <w:r w:rsidRPr="00400C0B">
        <w:rPr>
          <w:rFonts w:cs="Guttman Rashi"/>
          <w:rtl/>
          <w:lang w:bidi="he-IL"/>
        </w:rPr>
        <w:t xml:space="preserve"> </w:t>
      </w:r>
      <w:r w:rsidRPr="00400C0B">
        <w:rPr>
          <w:rFonts w:cs="Guttman Rashi" w:hint="eastAsia"/>
          <w:rtl/>
          <w:lang w:bidi="he-IL"/>
        </w:rPr>
        <w:t>מעירובו</w:t>
      </w:r>
      <w:r>
        <w:rPr>
          <w:rFonts w:cs="Guttman Rashi" w:hint="cs"/>
          <w:rtl/>
          <w:lang w:bidi="he-IL"/>
        </w:rPr>
        <w:t>)</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דבשלמא</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הריבוי</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עירובו</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בחפצא</w:t>
      </w:r>
      <w:r w:rsidRPr="00400C0B">
        <w:rPr>
          <w:rFonts w:cs="Guttman Rashi"/>
          <w:rtl/>
          <w:lang w:bidi="he-IL"/>
        </w:rPr>
        <w:t xml:space="preserve">, </w:t>
      </w:r>
      <w:r w:rsidRPr="00400C0B">
        <w:rPr>
          <w:rFonts w:cs="Guttman Rashi" w:hint="eastAsia"/>
          <w:rtl/>
          <w:lang w:bidi="he-IL"/>
        </w:rPr>
        <w:t>שפיר</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לעשות</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מא</w:t>
      </w:r>
      <w:r w:rsidRPr="00400C0B">
        <w:rPr>
          <w:rFonts w:cs="Guttman Rashi"/>
          <w:rtl/>
          <w:lang w:bidi="he-IL"/>
        </w:rPr>
        <w:t xml:space="preserve">' </w:t>
      </w:r>
      <w:r w:rsidRPr="00400C0B">
        <w:rPr>
          <w:rFonts w:cs="Guttman Rashi" w:hint="eastAsia"/>
          <w:rtl/>
          <w:lang w:bidi="he-IL"/>
        </w:rPr>
        <w:t>לשני</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במעשה</w:t>
      </w:r>
      <w:r w:rsidRPr="00400C0B">
        <w:rPr>
          <w:rFonts w:cs="Guttman Rashi"/>
          <w:rtl/>
          <w:lang w:bidi="he-IL"/>
        </w:rPr>
        <w:t xml:space="preserve"> </w:t>
      </w:r>
      <w:r w:rsidRPr="00400C0B">
        <w:rPr>
          <w:rFonts w:cs="Guttman Rashi" w:hint="eastAsia"/>
          <w:rtl/>
          <w:lang w:bidi="he-IL"/>
        </w:rPr>
        <w:t>אכילה</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ענין</w:t>
      </w:r>
      <w:r w:rsidRPr="00400C0B">
        <w:rPr>
          <w:rFonts w:cs="Guttman Rashi"/>
          <w:rtl/>
          <w:lang w:bidi="he-IL"/>
        </w:rPr>
        <w:t xml:space="preserve"> </w:t>
      </w:r>
      <w:r w:rsidRPr="00400C0B">
        <w:rPr>
          <w:rFonts w:cs="Guttman Rashi" w:hint="eastAsia"/>
          <w:rtl/>
          <w:lang w:bidi="he-IL"/>
        </w:rPr>
        <w:t>חמץ</w:t>
      </w:r>
      <w:r w:rsidRPr="00400C0B">
        <w:rPr>
          <w:rFonts w:cs="Guttman Rashi"/>
          <w:rtl/>
          <w:lang w:bidi="he-IL"/>
        </w:rPr>
        <w:t xml:space="preserve"> </w:t>
      </w:r>
      <w:r w:rsidRPr="00400C0B">
        <w:rPr>
          <w:rFonts w:cs="Guttman Rashi" w:hint="eastAsia"/>
          <w:rtl/>
          <w:lang w:bidi="he-IL"/>
        </w:rPr>
        <w:t>נוקשה</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חסרון</w:t>
      </w:r>
      <w:r w:rsidRPr="00400C0B">
        <w:rPr>
          <w:rFonts w:cs="Guttman Rashi"/>
          <w:rtl/>
          <w:lang w:bidi="he-IL"/>
        </w:rPr>
        <w:t xml:space="preserve"> </w:t>
      </w:r>
      <w:r w:rsidRPr="00400C0B">
        <w:rPr>
          <w:rFonts w:cs="Guttman Rashi" w:hint="eastAsia"/>
          <w:rtl/>
          <w:lang w:bidi="he-IL"/>
        </w:rPr>
        <w:t>בחפצא</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החמץ</w:t>
      </w:r>
      <w:r w:rsidRPr="00400C0B">
        <w:rPr>
          <w:rFonts w:cs="Guttman Rashi"/>
          <w:rtl/>
          <w:lang w:bidi="he-IL"/>
        </w:rPr>
        <w:t xml:space="preserve"> </w:t>
      </w:r>
      <w:r w:rsidRPr="00400C0B">
        <w:rPr>
          <w:rFonts w:cs="Guttman Rashi" w:hint="eastAsia"/>
          <w:rtl/>
          <w:lang w:bidi="he-IL"/>
        </w:rPr>
        <w:t>להמל</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במעשה</w:t>
      </w:r>
      <w:r w:rsidRPr="00400C0B">
        <w:rPr>
          <w:rFonts w:cs="Guttman Rashi"/>
          <w:rtl/>
          <w:lang w:bidi="he-IL"/>
        </w:rPr>
        <w:t xml:space="preserve"> </w:t>
      </w:r>
      <w:r w:rsidRPr="00400C0B">
        <w:rPr>
          <w:rFonts w:cs="Guttman Rashi" w:hint="eastAsia"/>
          <w:rtl/>
          <w:lang w:bidi="he-IL"/>
        </w:rPr>
        <w:t>אכילה</w:t>
      </w:r>
      <w:r w:rsidRPr="00400C0B">
        <w:rPr>
          <w:rFonts w:cs="Guttman Rashi"/>
          <w:rtl/>
          <w:lang w:bidi="he-IL"/>
        </w:rPr>
        <w:t>.</w:t>
      </w:r>
    </w:p>
    <w:p w:rsidR="007978F4" w:rsidRPr="00400C0B" w:rsidRDefault="007978F4" w:rsidP="000F4A70">
      <w:pPr>
        <w:pStyle w:val="FootnoteText"/>
        <w:bidi/>
        <w:jc w:val="both"/>
        <w:rPr>
          <w:rFonts w:cs="Guttman Rashi"/>
          <w:rtl/>
          <w:lang w:bidi="he-IL"/>
        </w:rPr>
      </w:pP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ליישב</w:t>
      </w:r>
      <w:r w:rsidRPr="00400C0B">
        <w:rPr>
          <w:rFonts w:cs="Guttman Rashi"/>
          <w:rtl/>
          <w:lang w:bidi="he-IL"/>
        </w:rPr>
        <w:t xml:space="preserve"> </w:t>
      </w:r>
      <w:r w:rsidRPr="00400C0B">
        <w:rPr>
          <w:rFonts w:cs="Guttman Rashi" w:hint="eastAsia"/>
          <w:rtl/>
          <w:lang w:bidi="he-IL"/>
        </w:rPr>
        <w:t>דהנה</w:t>
      </w:r>
      <w:r w:rsidRPr="00400C0B">
        <w:rPr>
          <w:rFonts w:cs="Guttman Rashi"/>
          <w:rtl/>
          <w:lang w:bidi="he-IL"/>
        </w:rPr>
        <w:t xml:space="preserve"> </w:t>
      </w:r>
      <w:r w:rsidRPr="00400C0B">
        <w:rPr>
          <w:rFonts w:cs="Guttman Rashi" w:hint="eastAsia"/>
          <w:rtl/>
          <w:lang w:bidi="he-IL"/>
        </w:rPr>
        <w:t>בריש</w:t>
      </w:r>
      <w:r w:rsidRPr="00400C0B">
        <w:rPr>
          <w:rFonts w:cs="Guttman Rashi"/>
          <w:rtl/>
          <w:lang w:bidi="he-IL"/>
        </w:rPr>
        <w:t xml:space="preserve"> </w:t>
      </w:r>
      <w:r w:rsidRPr="00400C0B">
        <w:rPr>
          <w:rFonts w:cs="Guttman Rashi" w:hint="eastAsia"/>
          <w:rtl/>
          <w:lang w:bidi="he-IL"/>
        </w:rPr>
        <w:t>פרק</w:t>
      </w:r>
      <w:r w:rsidRPr="00400C0B">
        <w:rPr>
          <w:rFonts w:cs="Guttman Rashi"/>
          <w:rtl/>
          <w:lang w:bidi="he-IL"/>
        </w:rPr>
        <w:t xml:space="preserve"> </w:t>
      </w:r>
      <w:r w:rsidRPr="00400C0B">
        <w:rPr>
          <w:rFonts w:cs="Guttman Rashi" w:hint="eastAsia"/>
          <w:rtl/>
          <w:lang w:bidi="he-IL"/>
        </w:rPr>
        <w:t>אלו</w:t>
      </w:r>
      <w:r w:rsidRPr="00400C0B">
        <w:rPr>
          <w:rFonts w:cs="Guttman Rashi"/>
          <w:rtl/>
          <w:lang w:bidi="he-IL"/>
        </w:rPr>
        <w:t xml:space="preserve"> </w:t>
      </w:r>
      <w:r w:rsidRPr="00400C0B">
        <w:rPr>
          <w:rFonts w:cs="Guttman Rashi" w:hint="eastAsia"/>
          <w:rtl/>
          <w:lang w:bidi="he-IL"/>
        </w:rPr>
        <w:t>עוברים</w:t>
      </w:r>
      <w:r w:rsidRPr="00400C0B">
        <w:rPr>
          <w:rFonts w:cs="Guttman Rashi"/>
          <w:rtl/>
          <w:lang w:bidi="he-IL"/>
        </w:rPr>
        <w:t xml:space="preserve"> </w:t>
      </w:r>
      <w:r w:rsidRPr="00400C0B">
        <w:rPr>
          <w:rFonts w:cs="Guttman Rashi" w:hint="eastAsia"/>
          <w:rtl/>
          <w:lang w:bidi="he-IL"/>
        </w:rPr>
        <w:t>פירש</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שהכוונה</w:t>
      </w:r>
      <w:r w:rsidRPr="00400C0B">
        <w:rPr>
          <w:rFonts w:cs="Guttman Rashi"/>
          <w:rtl/>
          <w:lang w:bidi="he-IL"/>
        </w:rPr>
        <w:t xml:space="preserve"> </w:t>
      </w:r>
      <w:r w:rsidRPr="00400C0B">
        <w:rPr>
          <w:rFonts w:cs="Guttman Rashi" w:hint="eastAsia"/>
          <w:rtl/>
          <w:lang w:bidi="he-IL"/>
        </w:rPr>
        <w:t>שעוברים</w:t>
      </w:r>
      <w:r w:rsidRPr="00400C0B">
        <w:rPr>
          <w:rFonts w:cs="Guttman Rashi"/>
          <w:rtl/>
          <w:lang w:bidi="he-IL"/>
        </w:rPr>
        <w:t xml:space="preserve"> </w:t>
      </w:r>
      <w:r w:rsidRPr="00400C0B">
        <w:rPr>
          <w:rFonts w:cs="Guttman Rashi" w:hint="eastAsia"/>
          <w:rtl/>
          <w:lang w:bidi="he-IL"/>
        </w:rPr>
        <w:t>בבל</w:t>
      </w:r>
      <w:r w:rsidRPr="00400C0B">
        <w:rPr>
          <w:rFonts w:cs="Guttman Rashi"/>
          <w:rtl/>
          <w:lang w:bidi="he-IL"/>
        </w:rPr>
        <w:t xml:space="preserve"> </w:t>
      </w:r>
      <w:r w:rsidRPr="00400C0B">
        <w:rPr>
          <w:rFonts w:cs="Guttman Rashi" w:hint="eastAsia"/>
          <w:rtl/>
          <w:lang w:bidi="he-IL"/>
        </w:rPr>
        <w:t>יראה</w:t>
      </w:r>
      <w:r w:rsidRPr="00400C0B">
        <w:rPr>
          <w:rFonts w:cs="Guttman Rashi"/>
          <w:rtl/>
          <w:lang w:bidi="he-IL"/>
        </w:rPr>
        <w:t xml:space="preserve">. </w:t>
      </w:r>
      <w:r w:rsidRPr="00400C0B">
        <w:rPr>
          <w:rFonts w:cs="Guttman Rashi" w:hint="eastAsia"/>
          <w:rtl/>
          <w:lang w:bidi="he-IL"/>
        </w:rPr>
        <w:t>והקשו</w:t>
      </w:r>
      <w:r w:rsidRPr="00400C0B">
        <w:rPr>
          <w:rFonts w:cs="Guttman Rashi"/>
          <w:rtl/>
          <w:lang w:bidi="he-IL"/>
        </w:rPr>
        <w:t xml:space="preserve"> </w:t>
      </w:r>
      <w:r w:rsidRPr="00400C0B">
        <w:rPr>
          <w:rFonts w:cs="Guttman Rashi" w:hint="eastAsia"/>
          <w:rtl/>
          <w:lang w:bidi="he-IL"/>
        </w:rPr>
        <w:t>הראשונים</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חמץ</w:t>
      </w:r>
      <w:r w:rsidRPr="00400C0B">
        <w:rPr>
          <w:rFonts w:cs="Guttman Rashi"/>
          <w:rtl/>
          <w:lang w:bidi="he-IL"/>
        </w:rPr>
        <w:t xml:space="preserve"> </w:t>
      </w:r>
      <w:r w:rsidRPr="00400C0B">
        <w:rPr>
          <w:rFonts w:cs="Guttman Rashi" w:hint="eastAsia"/>
          <w:rtl/>
          <w:lang w:bidi="he-IL"/>
        </w:rPr>
        <w:t>גמור</w:t>
      </w:r>
      <w:r w:rsidRPr="00400C0B">
        <w:rPr>
          <w:rFonts w:cs="Guttman Rashi"/>
          <w:rtl/>
          <w:lang w:bidi="he-IL"/>
        </w:rPr>
        <w:t xml:space="preserve"> </w:t>
      </w:r>
      <w:r w:rsidRPr="00400C0B">
        <w:rPr>
          <w:rFonts w:cs="Guttman Rashi" w:hint="eastAsia"/>
          <w:rtl/>
          <w:lang w:bidi="he-IL"/>
        </w:rPr>
        <w:t>ואינו</w:t>
      </w:r>
      <w:r w:rsidRPr="00400C0B">
        <w:rPr>
          <w:rFonts w:cs="Guttman Rashi"/>
          <w:rtl/>
          <w:lang w:bidi="he-IL"/>
        </w:rPr>
        <w:t xml:space="preserve"> </w:t>
      </w:r>
      <w:r w:rsidRPr="00400C0B">
        <w:rPr>
          <w:rFonts w:cs="Guttman Rashi" w:hint="eastAsia"/>
          <w:rtl/>
          <w:lang w:bidi="he-IL"/>
        </w:rPr>
        <w:t>עובר</w:t>
      </w:r>
      <w:r w:rsidRPr="00400C0B">
        <w:rPr>
          <w:rFonts w:cs="Guttman Rashi"/>
          <w:rtl/>
          <w:lang w:bidi="he-IL"/>
        </w:rPr>
        <w:t xml:space="preserve"> </w:t>
      </w:r>
      <w:r w:rsidRPr="00400C0B">
        <w:rPr>
          <w:rFonts w:cs="Guttman Rashi" w:hint="eastAsia"/>
          <w:rtl/>
          <w:lang w:bidi="he-IL"/>
        </w:rPr>
        <w:t>באכילתו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ריבוי</w:t>
      </w:r>
      <w:r w:rsidRPr="00400C0B">
        <w:rPr>
          <w:rFonts w:cs="Guttman Rashi"/>
          <w:rtl/>
          <w:lang w:bidi="he-IL"/>
        </w:rPr>
        <w:t xml:space="preserve"> </w:t>
      </w:r>
      <w:r w:rsidRPr="00400C0B">
        <w:rPr>
          <w:rFonts w:cs="Guttman Rashi" w:hint="eastAsia"/>
          <w:rtl/>
          <w:lang w:bidi="he-IL"/>
        </w:rPr>
        <w:t>הקרא</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יעבור</w:t>
      </w:r>
      <w:r w:rsidRPr="00400C0B">
        <w:rPr>
          <w:rFonts w:cs="Guttman Rashi"/>
          <w:rtl/>
          <w:lang w:bidi="he-IL"/>
        </w:rPr>
        <w:t xml:space="preserve"> </w:t>
      </w:r>
      <w:r w:rsidRPr="00400C0B">
        <w:rPr>
          <w:rFonts w:cs="Guttman Rashi" w:hint="eastAsia"/>
          <w:rtl/>
          <w:lang w:bidi="he-IL"/>
        </w:rPr>
        <w:t>אחמץ</w:t>
      </w:r>
      <w:r w:rsidRPr="00400C0B">
        <w:rPr>
          <w:rFonts w:cs="Guttman Rashi"/>
          <w:rtl/>
          <w:lang w:bidi="he-IL"/>
        </w:rPr>
        <w:t xml:space="preserve"> </w:t>
      </w:r>
      <w:r w:rsidRPr="00400C0B">
        <w:rPr>
          <w:rFonts w:cs="Guttman Rashi" w:hint="eastAsia"/>
          <w:rtl/>
          <w:lang w:bidi="he-IL"/>
        </w:rPr>
        <w:t>נוקשה</w:t>
      </w:r>
      <w:r w:rsidRPr="00400C0B">
        <w:rPr>
          <w:rFonts w:cs="Guttman Rashi"/>
          <w:rtl/>
          <w:lang w:bidi="he-IL"/>
        </w:rPr>
        <w:t xml:space="preserve"> </w:t>
      </w:r>
      <w:r w:rsidRPr="00400C0B">
        <w:rPr>
          <w:rFonts w:cs="Guttman Rashi" w:hint="eastAsia"/>
          <w:rtl/>
          <w:lang w:bidi="he-IL"/>
        </w:rPr>
        <w:t>בבל</w:t>
      </w:r>
      <w:r w:rsidRPr="00400C0B">
        <w:rPr>
          <w:rFonts w:cs="Guttman Rashi"/>
          <w:rtl/>
          <w:lang w:bidi="he-IL"/>
        </w:rPr>
        <w:t xml:space="preserve"> </w:t>
      </w:r>
      <w:r w:rsidRPr="00400C0B">
        <w:rPr>
          <w:rFonts w:cs="Guttman Rashi" w:hint="eastAsia"/>
          <w:rtl/>
          <w:lang w:bidi="he-IL"/>
        </w:rPr>
        <w:t>יראה</w:t>
      </w:r>
      <w:r w:rsidRPr="00400C0B">
        <w:rPr>
          <w:rFonts w:cs="Guttman Rashi"/>
          <w:rtl/>
          <w:lang w:bidi="he-IL"/>
        </w:rPr>
        <w:t xml:space="preserve">. </w:t>
      </w:r>
      <w:r w:rsidRPr="00400C0B">
        <w:rPr>
          <w:rFonts w:cs="Guttman Rashi" w:hint="eastAsia"/>
          <w:rtl/>
          <w:lang w:bidi="he-IL"/>
        </w:rPr>
        <w:t>ובקה</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למס</w:t>
      </w:r>
      <w:r w:rsidRPr="00400C0B">
        <w:rPr>
          <w:rFonts w:cs="Guttman Rashi"/>
          <w:rtl/>
          <w:lang w:bidi="he-IL"/>
        </w:rPr>
        <w:t xml:space="preserve">' </w:t>
      </w:r>
      <w:r w:rsidRPr="00400C0B">
        <w:rPr>
          <w:rFonts w:cs="Guttman Rashi" w:hint="eastAsia"/>
          <w:rtl/>
          <w:lang w:bidi="he-IL"/>
        </w:rPr>
        <w:t>פסחים</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הביא</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האחרונים</w:t>
      </w:r>
      <w:r w:rsidRPr="00400C0B">
        <w:rPr>
          <w:rFonts w:cs="Guttman Rashi"/>
          <w:rtl/>
          <w:lang w:bidi="he-IL"/>
        </w:rPr>
        <w:t xml:space="preserve">' </w:t>
      </w:r>
      <w:r w:rsidRPr="00400C0B">
        <w:rPr>
          <w:rFonts w:cs="Guttman Rashi" w:hint="eastAsia"/>
          <w:rtl/>
          <w:lang w:bidi="he-IL"/>
        </w:rPr>
        <w:t>שתירצו</w:t>
      </w:r>
      <w:r w:rsidRPr="00400C0B">
        <w:rPr>
          <w:rFonts w:cs="Guttman Rashi"/>
          <w:rtl/>
          <w:lang w:bidi="he-IL"/>
        </w:rPr>
        <w:t xml:space="preserve"> </w:t>
      </w:r>
      <w:r w:rsidRPr="00400C0B">
        <w:rPr>
          <w:rFonts w:cs="Guttman Rashi" w:hint="eastAsia"/>
          <w:rtl/>
          <w:lang w:bidi="he-IL"/>
        </w:rPr>
        <w:t>שלעולם</w:t>
      </w:r>
      <w:r w:rsidRPr="00400C0B">
        <w:rPr>
          <w:rFonts w:cs="Guttman Rashi"/>
          <w:rtl/>
          <w:lang w:bidi="he-IL"/>
        </w:rPr>
        <w:t xml:space="preserve"> </w:t>
      </w:r>
      <w:r w:rsidRPr="00400C0B">
        <w:rPr>
          <w:rFonts w:cs="Guttman Rashi" w:hint="eastAsia"/>
          <w:rtl/>
          <w:lang w:bidi="he-IL"/>
        </w:rPr>
        <w:t>החמץ</w:t>
      </w:r>
      <w:r w:rsidRPr="00400C0B">
        <w:rPr>
          <w:rFonts w:cs="Guttman Rashi"/>
          <w:rtl/>
          <w:lang w:bidi="he-IL"/>
        </w:rPr>
        <w:t xml:space="preserve"> </w:t>
      </w:r>
      <w:r w:rsidRPr="00400C0B">
        <w:rPr>
          <w:rFonts w:cs="Guttman Rashi" w:hint="eastAsia"/>
          <w:rtl/>
          <w:lang w:bidi="he-IL"/>
        </w:rPr>
        <w:t>נוקשה</w:t>
      </w:r>
      <w:r w:rsidRPr="00400C0B">
        <w:rPr>
          <w:rFonts w:cs="Guttman Rashi"/>
          <w:rtl/>
          <w:lang w:bidi="he-IL"/>
        </w:rPr>
        <w:t xml:space="preserve"> </w:t>
      </w:r>
      <w:r w:rsidRPr="00400C0B">
        <w:rPr>
          <w:rFonts w:cs="Guttman Rashi" w:hint="eastAsia"/>
          <w:rtl/>
          <w:lang w:bidi="he-IL"/>
        </w:rPr>
        <w:t>דמתני</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חמץ</w:t>
      </w:r>
      <w:r w:rsidRPr="00400C0B">
        <w:rPr>
          <w:rFonts w:cs="Guttman Rashi"/>
          <w:rtl/>
          <w:lang w:bidi="he-IL"/>
        </w:rPr>
        <w:t xml:space="preserve"> </w:t>
      </w:r>
      <w:r w:rsidRPr="00400C0B">
        <w:rPr>
          <w:rFonts w:cs="Guttman Rashi" w:hint="eastAsia"/>
          <w:rtl/>
          <w:lang w:bidi="he-IL"/>
        </w:rPr>
        <w:t>גמור</w:t>
      </w:r>
      <w:r w:rsidRPr="00400C0B">
        <w:rPr>
          <w:rFonts w:cs="Guttman Rashi"/>
          <w:rtl/>
          <w:lang w:bidi="he-IL"/>
        </w:rPr>
        <w:t xml:space="preserve">, </w:t>
      </w:r>
      <w:r w:rsidRPr="00400C0B">
        <w:rPr>
          <w:rFonts w:cs="Guttman Rashi" w:hint="eastAsia"/>
          <w:rtl/>
          <w:lang w:bidi="he-IL"/>
        </w:rPr>
        <w:t>ומה</w:t>
      </w:r>
      <w:r w:rsidRPr="00400C0B">
        <w:rPr>
          <w:rFonts w:cs="Guttman Rashi"/>
          <w:rtl/>
          <w:lang w:bidi="he-IL"/>
        </w:rPr>
        <w:t xml:space="preserve"> </w:t>
      </w:r>
      <w:r w:rsidRPr="00400C0B">
        <w:rPr>
          <w:rFonts w:cs="Guttman Rashi" w:hint="eastAsia"/>
          <w:rtl/>
          <w:lang w:bidi="he-IL"/>
        </w:rPr>
        <w:t>שפטור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אכילתן</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מטעם</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ראוי</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לאכילה</w:t>
      </w:r>
      <w:r w:rsidRPr="00400C0B">
        <w:rPr>
          <w:rFonts w:cs="Guttman Rashi"/>
          <w:rtl/>
          <w:lang w:bidi="he-IL"/>
        </w:rPr>
        <w:t xml:space="preserve"> </w:t>
      </w:r>
      <w:r w:rsidRPr="00400C0B">
        <w:rPr>
          <w:rFonts w:cs="Guttman Rashi" w:hint="eastAsia"/>
          <w:rtl/>
          <w:lang w:bidi="he-IL"/>
        </w:rPr>
        <w:t>מחשב</w:t>
      </w:r>
      <w:r w:rsidRPr="00400C0B">
        <w:rPr>
          <w:rFonts w:cs="Guttman Rashi"/>
          <w:rtl/>
          <w:lang w:bidi="he-IL"/>
        </w:rPr>
        <w:t xml:space="preserve"> </w:t>
      </w:r>
      <w:r w:rsidRPr="00400C0B">
        <w:rPr>
          <w:rFonts w:cs="Guttman Rashi" w:hint="eastAsia"/>
          <w:rtl/>
          <w:lang w:bidi="he-IL"/>
        </w:rPr>
        <w:t>אכילה</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כדרך</w:t>
      </w:r>
      <w:r w:rsidRPr="00400C0B">
        <w:rPr>
          <w:rFonts w:cs="Guttman Rashi"/>
          <w:rtl/>
          <w:lang w:bidi="he-IL"/>
        </w:rPr>
        <w:t xml:space="preserve"> </w:t>
      </w:r>
      <w:r w:rsidRPr="00400C0B">
        <w:rPr>
          <w:rFonts w:cs="Guttman Rashi" w:hint="eastAsia"/>
          <w:rtl/>
          <w:lang w:bidi="he-IL"/>
        </w:rPr>
        <w:t>הנאתן</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שגוף</w:t>
      </w:r>
      <w:r w:rsidRPr="00400C0B">
        <w:rPr>
          <w:rFonts w:cs="Guttman Rashi"/>
          <w:rtl/>
          <w:lang w:bidi="he-IL"/>
        </w:rPr>
        <w:t xml:space="preserve"> </w:t>
      </w:r>
      <w:r w:rsidRPr="00400C0B">
        <w:rPr>
          <w:rFonts w:cs="Guttman Rashi" w:hint="eastAsia"/>
          <w:rtl/>
          <w:lang w:bidi="he-IL"/>
        </w:rPr>
        <w:t>החמץ</w:t>
      </w:r>
      <w:r w:rsidRPr="00400C0B">
        <w:rPr>
          <w:rFonts w:cs="Guttman Rashi"/>
          <w:rtl/>
          <w:lang w:bidi="he-IL"/>
        </w:rPr>
        <w:t xml:space="preserve"> </w:t>
      </w:r>
      <w:r w:rsidRPr="00400C0B">
        <w:rPr>
          <w:rFonts w:cs="Guttman Rashi" w:hint="eastAsia"/>
          <w:rtl/>
          <w:lang w:bidi="he-IL"/>
        </w:rPr>
        <w:t>חמ</w:t>
      </w:r>
      <w:r>
        <w:rPr>
          <w:rFonts w:cs="Guttman Rashi" w:hint="cs"/>
          <w:rtl/>
          <w:lang w:bidi="he-IL"/>
        </w:rPr>
        <w:t>ץ</w:t>
      </w:r>
      <w:r w:rsidRPr="00400C0B">
        <w:rPr>
          <w:rFonts w:cs="Guttman Rashi"/>
          <w:rtl/>
          <w:lang w:bidi="he-IL"/>
        </w:rPr>
        <w:t xml:space="preserve"> </w:t>
      </w:r>
      <w:r w:rsidRPr="00400C0B">
        <w:rPr>
          <w:rFonts w:cs="Guttman Rashi" w:hint="eastAsia"/>
          <w:rtl/>
          <w:lang w:bidi="he-IL"/>
        </w:rPr>
        <w:t>גמור</w:t>
      </w:r>
      <w:r w:rsidRPr="00400C0B">
        <w:rPr>
          <w:rFonts w:cs="Guttman Rashi"/>
          <w:rtl/>
          <w:lang w:bidi="he-IL"/>
        </w:rPr>
        <w:t xml:space="preserve"> </w:t>
      </w:r>
      <w:r w:rsidRPr="00400C0B">
        <w:rPr>
          <w:rFonts w:cs="Guttman Rashi" w:hint="eastAsia"/>
          <w:rtl/>
          <w:lang w:bidi="he-IL"/>
        </w:rPr>
        <w:t>שפיר</w:t>
      </w:r>
      <w:r w:rsidRPr="00400C0B">
        <w:rPr>
          <w:rFonts w:cs="Guttman Rashi"/>
          <w:rtl/>
          <w:lang w:bidi="he-IL"/>
        </w:rPr>
        <w:t xml:space="preserve"> </w:t>
      </w:r>
      <w:r w:rsidRPr="00400C0B">
        <w:rPr>
          <w:rFonts w:cs="Guttman Rashi" w:hint="eastAsia"/>
          <w:rtl/>
          <w:lang w:bidi="he-IL"/>
        </w:rPr>
        <w:t>עובר</w:t>
      </w:r>
      <w:r w:rsidRPr="00400C0B">
        <w:rPr>
          <w:rFonts w:cs="Guttman Rashi"/>
          <w:rtl/>
          <w:lang w:bidi="he-IL"/>
        </w:rPr>
        <w:t xml:space="preserve"> </w:t>
      </w:r>
      <w:r w:rsidRPr="00400C0B">
        <w:rPr>
          <w:rFonts w:cs="Guttman Rashi" w:hint="eastAsia"/>
          <w:rtl/>
          <w:lang w:bidi="he-IL"/>
        </w:rPr>
        <w:t>בבל</w:t>
      </w:r>
      <w:r w:rsidRPr="00400C0B">
        <w:rPr>
          <w:rFonts w:cs="Guttman Rashi"/>
          <w:rtl/>
          <w:lang w:bidi="he-IL"/>
        </w:rPr>
        <w:t xml:space="preserve"> </w:t>
      </w:r>
      <w:r w:rsidRPr="00400C0B">
        <w:rPr>
          <w:rFonts w:cs="Guttman Rashi" w:hint="eastAsia"/>
          <w:rtl/>
          <w:lang w:bidi="he-IL"/>
        </w:rPr>
        <w:t>יראה</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כנים</w:t>
      </w:r>
      <w:r w:rsidRPr="00400C0B">
        <w:rPr>
          <w:rFonts w:cs="Guttman Rashi"/>
          <w:rtl/>
          <w:lang w:bidi="he-IL"/>
        </w:rPr>
        <w:t xml:space="preserve"> </w:t>
      </w:r>
      <w:r w:rsidRPr="00400C0B">
        <w:rPr>
          <w:rFonts w:cs="Guttman Rashi" w:hint="eastAsia"/>
          <w:rtl/>
          <w:lang w:bidi="he-IL"/>
        </w:rPr>
        <w:t>הדברים</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שפיר</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חמץ</w:t>
      </w:r>
      <w:r w:rsidRPr="00400C0B">
        <w:rPr>
          <w:rFonts w:cs="Guttman Rashi"/>
          <w:rtl/>
          <w:lang w:bidi="he-IL"/>
        </w:rPr>
        <w:t xml:space="preserve"> </w:t>
      </w:r>
      <w:r w:rsidRPr="00400C0B">
        <w:rPr>
          <w:rFonts w:cs="Guttman Rashi" w:hint="eastAsia"/>
          <w:rtl/>
          <w:lang w:bidi="he-IL"/>
        </w:rPr>
        <w:t>נוקשה</w:t>
      </w:r>
      <w:r w:rsidRPr="00400C0B">
        <w:rPr>
          <w:rFonts w:cs="Guttman Rashi"/>
          <w:rtl/>
          <w:lang w:bidi="he-IL"/>
        </w:rPr>
        <w:t xml:space="preserve"> </w:t>
      </w:r>
      <w:r w:rsidRPr="00400C0B">
        <w:rPr>
          <w:rFonts w:cs="Guttman Rashi" w:hint="eastAsia"/>
          <w:rtl/>
          <w:lang w:bidi="he-IL"/>
        </w:rPr>
        <w:t>וגם</w:t>
      </w:r>
      <w:r w:rsidRPr="00400C0B">
        <w:rPr>
          <w:rFonts w:cs="Guttman Rashi"/>
          <w:rtl/>
          <w:lang w:bidi="he-IL"/>
        </w:rPr>
        <w:t xml:space="preserve"> </w:t>
      </w:r>
      <w:r w:rsidRPr="00400C0B">
        <w:rPr>
          <w:rFonts w:cs="Guttman Rashi" w:hint="eastAsia"/>
          <w:rtl/>
          <w:lang w:bidi="he-IL"/>
        </w:rPr>
        <w:t>חמץ</w:t>
      </w:r>
      <w:r w:rsidRPr="00400C0B">
        <w:rPr>
          <w:rFonts w:cs="Guttman Rashi"/>
          <w:rtl/>
          <w:lang w:bidi="he-IL"/>
        </w:rPr>
        <w:t xml:space="preserve"> </w:t>
      </w:r>
      <w:r w:rsidRPr="00400C0B">
        <w:rPr>
          <w:rFonts w:cs="Guttman Rashi" w:hint="eastAsia"/>
          <w:rtl/>
          <w:lang w:bidi="he-IL"/>
        </w:rPr>
        <w:t>דגן</w:t>
      </w:r>
      <w:r w:rsidRPr="00400C0B">
        <w:rPr>
          <w:rFonts w:cs="Guttman Rashi"/>
          <w:rtl/>
          <w:lang w:bidi="he-IL"/>
        </w:rPr>
        <w:t xml:space="preserve"> </w:t>
      </w:r>
      <w:r w:rsidRPr="00400C0B">
        <w:rPr>
          <w:rFonts w:cs="Guttman Rashi" w:hint="eastAsia"/>
          <w:rtl/>
          <w:lang w:bidi="he-IL"/>
        </w:rPr>
        <w:t>גמור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תערובת</w:t>
      </w:r>
      <w:r w:rsidRPr="00400C0B">
        <w:rPr>
          <w:rFonts w:cs="Guttman Rashi"/>
          <w:rtl/>
          <w:lang w:bidi="he-IL"/>
        </w:rPr>
        <w:t xml:space="preserve"> </w:t>
      </w:r>
      <w:r w:rsidRPr="00400C0B">
        <w:rPr>
          <w:rFonts w:cs="Guttman Rashi" w:hint="eastAsia"/>
          <w:rtl/>
          <w:lang w:bidi="he-IL"/>
        </w:rPr>
        <w:t>הוו</w:t>
      </w:r>
      <w:r w:rsidRPr="00400C0B">
        <w:rPr>
          <w:rFonts w:cs="Guttman Rashi"/>
          <w:rtl/>
          <w:lang w:bidi="he-IL"/>
        </w:rPr>
        <w:t xml:space="preserve"> </w:t>
      </w:r>
      <w:r w:rsidRPr="00400C0B">
        <w:rPr>
          <w:rFonts w:cs="Guttman Rashi" w:hint="eastAsia"/>
          <w:rtl/>
          <w:lang w:bidi="he-IL"/>
        </w:rPr>
        <w:t>חידושים</w:t>
      </w:r>
      <w:r w:rsidRPr="00400C0B">
        <w:rPr>
          <w:rFonts w:cs="Guttman Rashi"/>
          <w:rtl/>
          <w:lang w:bidi="he-IL"/>
        </w:rPr>
        <w:t xml:space="preserve"> </w:t>
      </w:r>
      <w:r w:rsidRPr="00400C0B">
        <w:rPr>
          <w:rFonts w:cs="Guttman Rashi" w:hint="eastAsia"/>
          <w:rtl/>
          <w:lang w:bidi="he-IL"/>
        </w:rPr>
        <w:t>שחייבים</w:t>
      </w:r>
      <w:r w:rsidRPr="00400C0B">
        <w:rPr>
          <w:rFonts w:cs="Guttman Rashi"/>
          <w:rtl/>
          <w:lang w:bidi="he-IL"/>
        </w:rPr>
        <w:t xml:space="preserve"> </w:t>
      </w:r>
      <w:r w:rsidRPr="00400C0B">
        <w:rPr>
          <w:rFonts w:cs="Guttman Rashi" w:hint="eastAsia"/>
          <w:rtl/>
          <w:lang w:bidi="he-IL"/>
        </w:rPr>
        <w:t>אמעשה</w:t>
      </w:r>
      <w:r w:rsidRPr="00400C0B">
        <w:rPr>
          <w:rFonts w:cs="Guttman Rashi"/>
          <w:rtl/>
          <w:lang w:bidi="he-IL"/>
        </w:rPr>
        <w:t xml:space="preserve"> </w:t>
      </w:r>
      <w:r w:rsidRPr="00400C0B">
        <w:rPr>
          <w:rFonts w:cs="Guttman Rashi" w:hint="eastAsia"/>
          <w:rtl/>
          <w:lang w:bidi="he-IL"/>
        </w:rPr>
        <w:t>אכילה</w:t>
      </w:r>
      <w:r w:rsidRPr="00400C0B">
        <w:rPr>
          <w:rFonts w:cs="Guttman Rashi"/>
          <w:rtl/>
          <w:lang w:bidi="he-IL"/>
        </w:rPr>
        <w:t xml:space="preserve"> </w:t>
      </w:r>
      <w:r w:rsidRPr="00400C0B">
        <w:rPr>
          <w:rFonts w:cs="Guttman Rashi" w:hint="eastAsia"/>
          <w:rtl/>
          <w:lang w:bidi="he-IL"/>
        </w:rPr>
        <w:t>דידהו</w:t>
      </w:r>
      <w:r w:rsidRPr="00400C0B">
        <w:rPr>
          <w:rFonts w:cs="Guttman Rashi"/>
          <w:rtl/>
          <w:lang w:bidi="he-IL"/>
        </w:rPr>
        <w:t xml:space="preserve">, </w:t>
      </w:r>
      <w:r w:rsidRPr="00400C0B">
        <w:rPr>
          <w:rFonts w:cs="Guttman Rashi" w:hint="eastAsia"/>
          <w:rtl/>
          <w:lang w:bidi="he-IL"/>
        </w:rPr>
        <w:t>ואדרבה</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שפי</w:t>
      </w:r>
      <w:r w:rsidRPr="00400C0B">
        <w:rPr>
          <w:rFonts w:cs="Guttman Rashi"/>
          <w:rtl/>
          <w:lang w:bidi="he-IL"/>
        </w:rPr>
        <w:t xml:space="preserve">' </w:t>
      </w:r>
      <w:r w:rsidRPr="00400C0B">
        <w:rPr>
          <w:rFonts w:cs="Guttman Rashi" w:hint="eastAsia"/>
          <w:rtl/>
          <w:lang w:bidi="he-IL"/>
        </w:rPr>
        <w:t>עוברים</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בל</w:t>
      </w:r>
      <w:r w:rsidRPr="00400C0B">
        <w:rPr>
          <w:rFonts w:cs="Guttman Rashi"/>
          <w:rtl/>
          <w:lang w:bidi="he-IL"/>
        </w:rPr>
        <w:t xml:space="preserve"> </w:t>
      </w:r>
      <w:r w:rsidRPr="00400C0B">
        <w:rPr>
          <w:rFonts w:cs="Guttman Rashi" w:hint="eastAsia"/>
          <w:rtl/>
          <w:lang w:bidi="he-IL"/>
        </w:rPr>
        <w:t>יראה</w:t>
      </w:r>
      <w:r w:rsidRPr="00400C0B">
        <w:rPr>
          <w:rFonts w:cs="Guttman Rashi"/>
          <w:rtl/>
          <w:lang w:bidi="he-IL"/>
        </w:rPr>
        <w:t xml:space="preserve"> </w:t>
      </w:r>
      <w:r w:rsidRPr="00400C0B">
        <w:rPr>
          <w:rFonts w:cs="Guttman Rashi" w:hint="eastAsia"/>
          <w:rtl/>
          <w:lang w:bidi="he-IL"/>
        </w:rPr>
        <w:t>ה</w:t>
      </w:r>
      <w:r>
        <w:rPr>
          <w:rFonts w:cs="Guttman Rashi" w:hint="cs"/>
          <w:rtl/>
          <w:lang w:bidi="he-IL"/>
        </w:rPr>
        <w:t>ו</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לשיטתו</w:t>
      </w:r>
      <w:r w:rsidRPr="00400C0B">
        <w:rPr>
          <w:rFonts w:cs="Guttman Rashi"/>
          <w:rtl/>
          <w:lang w:bidi="he-IL"/>
        </w:rPr>
        <w:t xml:space="preserve"> </w:t>
      </w:r>
      <w:r w:rsidRPr="00400C0B">
        <w:rPr>
          <w:rFonts w:cs="Guttman Rashi" w:hint="eastAsia"/>
          <w:rtl/>
          <w:lang w:bidi="he-IL"/>
        </w:rPr>
        <w:t>בדין</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מצטרף</w:t>
      </w:r>
      <w:r w:rsidRPr="00400C0B">
        <w:rPr>
          <w:rFonts w:cs="Guttman Rashi"/>
          <w:rtl/>
          <w:lang w:bidi="he-IL"/>
        </w:rPr>
        <w:t xml:space="preserve"> </w:t>
      </w:r>
      <w:r w:rsidRPr="00400C0B">
        <w:rPr>
          <w:rFonts w:cs="Guttman Rashi" w:hint="eastAsia"/>
          <w:rtl/>
          <w:lang w:bidi="he-IL"/>
        </w:rPr>
        <w:t>לאיסור</w:t>
      </w:r>
      <w:r w:rsidRPr="00400C0B">
        <w:rPr>
          <w:rFonts w:cs="Guttman Rashi"/>
          <w:rtl/>
          <w:lang w:bidi="he-IL"/>
        </w:rPr>
        <w:t xml:space="preserve">.   </w:t>
      </w:r>
    </w:p>
  </w:footnote>
  <w:footnote w:id="8">
    <w:p w:rsidR="007978F4" w:rsidRPr="00400C0B" w:rsidRDefault="007978F4" w:rsidP="003431F3">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שלשיטת</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בדעת</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זעירי</w:t>
      </w:r>
      <w:r w:rsidRPr="00400C0B">
        <w:rPr>
          <w:rFonts w:cs="Guttman Rashi"/>
          <w:rtl/>
          <w:lang w:bidi="he-IL"/>
        </w:rPr>
        <w:t xml:space="preserve"> </w:t>
      </w:r>
      <w:r w:rsidRPr="00400C0B">
        <w:rPr>
          <w:rFonts w:cs="Guttman Rashi" w:hint="eastAsia"/>
          <w:rtl/>
          <w:lang w:bidi="he-IL"/>
        </w:rPr>
        <w:t>למד</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דרכו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אביי</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קומץ</w:t>
      </w:r>
      <w:r w:rsidRPr="00400C0B">
        <w:rPr>
          <w:rFonts w:cs="Guttman Rashi"/>
          <w:rtl/>
          <w:lang w:bidi="he-IL"/>
        </w:rPr>
        <w:t xml:space="preserve"> </w:t>
      </w:r>
      <w:r w:rsidRPr="00400C0B">
        <w:rPr>
          <w:rFonts w:cs="Guttman Rashi" w:hint="eastAsia"/>
          <w:rtl/>
          <w:lang w:bidi="he-IL"/>
        </w:rPr>
        <w:t>פחות</w:t>
      </w:r>
      <w:r w:rsidRPr="00400C0B">
        <w:rPr>
          <w:rFonts w:cs="Guttman Rashi"/>
          <w:rtl/>
          <w:lang w:bidi="he-IL"/>
        </w:rPr>
        <w:t xml:space="preserve"> </w:t>
      </w:r>
      <w:r w:rsidRPr="00400C0B">
        <w:rPr>
          <w:rFonts w:cs="Guttman Rashi" w:hint="eastAsia"/>
          <w:rtl/>
          <w:lang w:bidi="he-IL"/>
        </w:rPr>
        <w:t>מב</w:t>
      </w:r>
      <w:r w:rsidRPr="00400C0B">
        <w:rPr>
          <w:rFonts w:cs="Guttman Rashi"/>
          <w:rtl/>
          <w:lang w:bidi="he-IL"/>
        </w:rPr>
        <w:t xml:space="preserve">' </w:t>
      </w:r>
      <w:r w:rsidRPr="00400C0B">
        <w:rPr>
          <w:rFonts w:cs="Guttman Rashi" w:hint="eastAsia"/>
          <w:rtl/>
          <w:lang w:bidi="he-IL"/>
        </w:rPr>
        <w:t>זיתים</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הריבוי</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מקצתו</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לרבות</w:t>
      </w:r>
      <w:r w:rsidRPr="00400C0B">
        <w:rPr>
          <w:rFonts w:cs="Guttman Rashi"/>
          <w:rtl/>
          <w:lang w:bidi="he-IL"/>
        </w:rPr>
        <w:t xml:space="preserve"> </w:t>
      </w:r>
      <w:r>
        <w:rPr>
          <w:rFonts w:cs="Guttman Rashi" w:hint="cs"/>
          <w:rtl/>
          <w:lang w:bidi="he-IL"/>
        </w:rPr>
        <w:t>פ</w:t>
      </w:r>
      <w:r w:rsidRPr="00400C0B">
        <w:rPr>
          <w:rFonts w:cs="Guttman Rashi" w:hint="eastAsia"/>
          <w:rtl/>
          <w:lang w:bidi="he-IL"/>
        </w:rPr>
        <w:t>חות</w:t>
      </w:r>
      <w:r w:rsidRPr="00400C0B">
        <w:rPr>
          <w:rFonts w:cs="Guttman Rashi"/>
          <w:rtl/>
          <w:lang w:bidi="he-IL"/>
        </w:rPr>
        <w:t xml:space="preserve"> </w:t>
      </w:r>
      <w:r w:rsidRPr="00400C0B">
        <w:rPr>
          <w:rFonts w:cs="Guttman Rashi" w:hint="eastAsia"/>
          <w:rtl/>
          <w:lang w:bidi="he-IL"/>
        </w:rPr>
        <w:t>מכזית</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שחלוק</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אביי</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שאביי</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שלומדים</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לחייב</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אפחות</w:t>
      </w:r>
      <w:r w:rsidRPr="00400C0B">
        <w:rPr>
          <w:rFonts w:cs="Guttman Rashi"/>
          <w:rtl/>
          <w:lang w:bidi="he-IL"/>
        </w:rPr>
        <w:t xml:space="preserve"> </w:t>
      </w:r>
      <w:r w:rsidRPr="00400C0B">
        <w:rPr>
          <w:rFonts w:cs="Guttman Rashi" w:hint="eastAsia"/>
          <w:rtl/>
          <w:lang w:bidi="he-IL"/>
        </w:rPr>
        <w:t>מכזית</w:t>
      </w:r>
      <w:r w:rsidRPr="00400C0B">
        <w:rPr>
          <w:rFonts w:cs="Guttman Rashi"/>
          <w:rtl/>
          <w:lang w:bidi="he-IL"/>
        </w:rPr>
        <w:t xml:space="preserve">, </w:t>
      </w:r>
      <w:r w:rsidRPr="00400C0B">
        <w:rPr>
          <w:rFonts w:cs="Guttman Rashi" w:hint="eastAsia"/>
          <w:rtl/>
          <w:lang w:bidi="he-IL"/>
        </w:rPr>
        <w:t>וזעירי</w:t>
      </w:r>
      <w:r w:rsidRPr="00400C0B">
        <w:rPr>
          <w:rFonts w:cs="Guttman Rashi"/>
          <w:rtl/>
          <w:lang w:bidi="he-IL"/>
        </w:rPr>
        <w:t xml:space="preserve"> </w:t>
      </w:r>
      <w:r w:rsidRPr="00400C0B">
        <w:rPr>
          <w:rFonts w:cs="Guttman Rashi" w:hint="eastAsia"/>
          <w:rtl/>
          <w:lang w:bidi="he-IL"/>
        </w:rPr>
        <w:t>למד</w:t>
      </w:r>
      <w:r w:rsidRPr="00400C0B">
        <w:rPr>
          <w:rFonts w:cs="Guttman Rashi"/>
          <w:rtl/>
          <w:lang w:bidi="he-IL"/>
        </w:rPr>
        <w:t xml:space="preserve"> </w:t>
      </w:r>
      <w:r w:rsidRPr="00400C0B">
        <w:rPr>
          <w:rFonts w:cs="Guttman Rashi" w:hint="eastAsia"/>
          <w:rtl/>
          <w:lang w:bidi="he-IL"/>
        </w:rPr>
        <w:t>דאע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חייב</w:t>
      </w:r>
      <w:r w:rsidRPr="00400C0B">
        <w:rPr>
          <w:rFonts w:cs="Guttman Rashi"/>
          <w:rtl/>
          <w:lang w:bidi="he-IL"/>
        </w:rPr>
        <w:t xml:space="preserve"> </w:t>
      </w:r>
      <w:r w:rsidRPr="00400C0B">
        <w:rPr>
          <w:rFonts w:cs="Guttman Rashi" w:hint="eastAsia"/>
          <w:rtl/>
          <w:lang w:bidi="he-IL"/>
        </w:rPr>
        <w:t>אפחות</w:t>
      </w:r>
      <w:r w:rsidRPr="00400C0B">
        <w:rPr>
          <w:rFonts w:cs="Guttman Rashi"/>
          <w:rtl/>
          <w:lang w:bidi="he-IL"/>
        </w:rPr>
        <w:t xml:space="preserve"> </w:t>
      </w:r>
      <w:r w:rsidRPr="00400C0B">
        <w:rPr>
          <w:rFonts w:cs="Guttman Rashi" w:hint="eastAsia"/>
          <w:rtl/>
          <w:lang w:bidi="he-IL"/>
        </w:rPr>
        <w:t>מכזית</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יכול</w:t>
      </w:r>
      <w:r w:rsidRPr="00400C0B">
        <w:rPr>
          <w:rFonts w:cs="Guttman Rashi"/>
          <w:rtl/>
          <w:lang w:bidi="he-IL"/>
        </w:rPr>
        <w:t xml:space="preserve"> </w:t>
      </w:r>
      <w:r w:rsidRPr="00400C0B">
        <w:rPr>
          <w:rFonts w:cs="Guttman Rashi" w:hint="eastAsia"/>
          <w:rtl/>
          <w:lang w:bidi="he-IL"/>
        </w:rPr>
        <w:t>להשלים</w:t>
      </w:r>
      <w:r w:rsidRPr="00400C0B">
        <w:rPr>
          <w:rFonts w:cs="Guttman Rashi"/>
          <w:rtl/>
          <w:lang w:bidi="he-IL"/>
        </w:rPr>
        <w:t xml:space="preserve"> </w:t>
      </w:r>
      <w:r w:rsidRPr="00400C0B">
        <w:rPr>
          <w:rFonts w:cs="Guttman Rashi" w:hint="eastAsia"/>
          <w:rtl/>
          <w:lang w:bidi="he-IL"/>
        </w:rPr>
        <w:t>השיעור</w:t>
      </w:r>
      <w:r w:rsidRPr="00400C0B">
        <w:rPr>
          <w:rFonts w:cs="Guttman Rashi"/>
          <w:rtl/>
          <w:lang w:bidi="he-IL"/>
        </w:rPr>
        <w:t xml:space="preserve"> </w:t>
      </w:r>
      <w:r w:rsidRPr="00400C0B">
        <w:rPr>
          <w:rFonts w:cs="Guttman Rashi" w:hint="eastAsia"/>
          <w:rtl/>
          <w:lang w:bidi="he-IL"/>
        </w:rPr>
        <w:t>כזית</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מהרש</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שהדגיש</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רבא</w:t>
      </w:r>
      <w:r w:rsidRPr="00400C0B">
        <w:rPr>
          <w:rFonts w:cs="Guttman Rashi"/>
          <w:rtl/>
          <w:lang w:bidi="he-IL"/>
        </w:rPr>
        <w:t xml:space="preserve"> </w:t>
      </w:r>
      <w:r w:rsidRPr="00400C0B">
        <w:rPr>
          <w:rFonts w:cs="Guttman Rashi" w:hint="eastAsia"/>
          <w:rtl/>
          <w:lang w:bidi="he-IL"/>
        </w:rPr>
        <w:t>והריבוי</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כזית</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צירוף</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היכי</w:t>
      </w:r>
      <w:r w:rsidRPr="00400C0B">
        <w:rPr>
          <w:rFonts w:cs="Guttman Rashi"/>
          <w:rtl/>
          <w:lang w:bidi="he-IL"/>
        </w:rPr>
        <w:t xml:space="preserve"> </w:t>
      </w:r>
      <w:r w:rsidRPr="00400C0B">
        <w:rPr>
          <w:rFonts w:cs="Guttman Rashi" w:hint="eastAsia"/>
          <w:rtl/>
          <w:lang w:bidi="he-IL"/>
        </w:rPr>
        <w:t>נילף</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חידושים</w:t>
      </w:r>
      <w:r w:rsidRPr="00400C0B">
        <w:rPr>
          <w:rFonts w:cs="Guttman Rashi"/>
          <w:rtl/>
          <w:lang w:bidi="he-IL"/>
        </w:rPr>
        <w:t xml:space="preserve"> </w:t>
      </w:r>
      <w:r w:rsidRPr="00400C0B">
        <w:rPr>
          <w:rFonts w:cs="Guttman Rashi" w:hint="eastAsia"/>
          <w:rtl/>
          <w:lang w:bidi="he-IL"/>
        </w:rPr>
        <w:t>בבת</w:t>
      </w:r>
      <w:r w:rsidRPr="00400C0B">
        <w:rPr>
          <w:rFonts w:cs="Guttman Rashi"/>
          <w:rtl/>
          <w:lang w:bidi="he-IL"/>
        </w:rPr>
        <w:t xml:space="preserve"> </w:t>
      </w:r>
      <w:r w:rsidRPr="00400C0B">
        <w:rPr>
          <w:rFonts w:cs="Guttman Rashi" w:hint="eastAsia"/>
          <w:rtl/>
          <w:lang w:bidi="he-IL"/>
        </w:rPr>
        <w:t>אחת</w:t>
      </w:r>
      <w:r w:rsidRPr="00400C0B">
        <w:rPr>
          <w:rFonts w:cs="Guttman Rashi"/>
          <w:rtl/>
          <w:lang w:bidi="he-IL"/>
        </w:rPr>
        <w:t xml:space="preserve">, </w:t>
      </w:r>
      <w:r w:rsidRPr="00400C0B">
        <w:rPr>
          <w:rFonts w:cs="Guttman Rashi" w:hint="eastAsia"/>
          <w:rtl/>
          <w:lang w:bidi="he-IL"/>
        </w:rPr>
        <w:t>חדא</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קומץ</w:t>
      </w:r>
      <w:r w:rsidRPr="00400C0B">
        <w:rPr>
          <w:rFonts w:cs="Guttman Rashi"/>
          <w:rtl/>
          <w:lang w:bidi="he-IL"/>
        </w:rPr>
        <w:t xml:space="preserve"> </w:t>
      </w:r>
      <w:r w:rsidRPr="00400C0B">
        <w:rPr>
          <w:rFonts w:cs="Guttman Rashi" w:hint="eastAsia"/>
          <w:rtl/>
          <w:lang w:bidi="he-IL"/>
        </w:rPr>
        <w:t>שלם</w:t>
      </w:r>
      <w:r w:rsidRPr="00400C0B">
        <w:rPr>
          <w:rFonts w:cs="Guttman Rashi"/>
          <w:rtl/>
          <w:lang w:bidi="he-IL"/>
        </w:rPr>
        <w:t xml:space="preserve"> </w:t>
      </w:r>
      <w:r w:rsidRPr="00400C0B">
        <w:rPr>
          <w:rFonts w:cs="Guttman Rashi" w:hint="eastAsia"/>
          <w:rtl/>
          <w:lang w:bidi="he-IL"/>
        </w:rPr>
        <w:t>ועוד</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הכזית</w:t>
      </w:r>
      <w:r w:rsidRPr="00400C0B">
        <w:rPr>
          <w:rFonts w:cs="Guttman Rashi"/>
          <w:rtl/>
          <w:lang w:bidi="he-IL"/>
        </w:rPr>
        <w:t xml:space="preserve"> </w:t>
      </w:r>
      <w:r w:rsidRPr="00400C0B">
        <w:rPr>
          <w:rFonts w:cs="Guttman Rashi" w:hint="eastAsia"/>
          <w:rtl/>
          <w:lang w:bidi="he-IL"/>
        </w:rPr>
        <w:t>שצריכים</w:t>
      </w:r>
      <w:r w:rsidRPr="00400C0B">
        <w:rPr>
          <w:rFonts w:cs="Guttman Rashi"/>
          <w:rtl/>
          <w:lang w:bidi="he-IL"/>
        </w:rPr>
        <w:t xml:space="preserve"> </w:t>
      </w:r>
      <w:r w:rsidRPr="00400C0B">
        <w:rPr>
          <w:rFonts w:cs="Guttman Rashi" w:hint="eastAsia"/>
          <w:rtl/>
          <w:lang w:bidi="he-IL"/>
        </w:rPr>
        <w:t>יכול</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צירוף</w:t>
      </w:r>
      <w:r w:rsidRPr="00400C0B">
        <w:rPr>
          <w:rFonts w:cs="Guttman Rashi"/>
          <w:rtl/>
          <w:lang w:bidi="he-IL"/>
        </w:rPr>
        <w:t xml:space="preserve">.  </w:t>
      </w:r>
    </w:p>
  </w:footnote>
  <w:footnote w:id="9">
    <w:p w:rsidR="007978F4" w:rsidRPr="00400C0B" w:rsidRDefault="007978F4" w:rsidP="008E68F7">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בקושייתם</w:t>
      </w:r>
      <w:r w:rsidRPr="00400C0B">
        <w:rPr>
          <w:rFonts w:cs="Guttman Rashi"/>
          <w:rtl/>
          <w:lang w:bidi="he-IL"/>
        </w:rPr>
        <w:t xml:space="preserve">, </w:t>
      </w:r>
      <w:r w:rsidRPr="00400C0B">
        <w:rPr>
          <w:rFonts w:cs="Guttman Rashi" w:hint="eastAsia"/>
          <w:rtl/>
          <w:lang w:bidi="he-IL"/>
        </w:rPr>
        <w:t>דא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מאי</w:t>
      </w:r>
      <w:r w:rsidRPr="00400C0B">
        <w:rPr>
          <w:rFonts w:cs="Guttman Rashi"/>
          <w:rtl/>
          <w:lang w:bidi="he-IL"/>
        </w:rPr>
        <w:t xml:space="preserve"> </w:t>
      </w:r>
      <w:r w:rsidRPr="00400C0B">
        <w:rPr>
          <w:rFonts w:cs="Guttman Rashi" w:hint="eastAsia"/>
          <w:rtl/>
          <w:lang w:bidi="he-IL"/>
        </w:rPr>
        <w:t>קא</w:t>
      </w:r>
      <w:r w:rsidRPr="00400C0B">
        <w:rPr>
          <w:rFonts w:cs="Guttman Rashi"/>
          <w:rtl/>
          <w:lang w:bidi="he-IL"/>
        </w:rPr>
        <w:t xml:space="preserve"> </w:t>
      </w:r>
      <w:r w:rsidRPr="00400C0B">
        <w:rPr>
          <w:rFonts w:cs="Guttman Rashi" w:hint="eastAsia"/>
          <w:rtl/>
          <w:lang w:bidi="he-IL"/>
        </w:rPr>
        <w:t>קשיא</w:t>
      </w:r>
      <w:r w:rsidRPr="00400C0B">
        <w:rPr>
          <w:rFonts w:cs="Guttman Rashi"/>
          <w:rtl/>
          <w:lang w:bidi="he-IL"/>
        </w:rPr>
        <w:t xml:space="preserve"> </w:t>
      </w:r>
      <w:r w:rsidRPr="00400C0B">
        <w:rPr>
          <w:rFonts w:cs="Guttman Rashi" w:hint="eastAsia"/>
          <w:rtl/>
          <w:lang w:bidi="he-IL"/>
        </w:rPr>
        <w:t>להו</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דרבנן</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הבינו</w:t>
      </w:r>
      <w:r w:rsidRPr="00400C0B">
        <w:rPr>
          <w:rFonts w:cs="Guttman Rashi"/>
          <w:rtl/>
          <w:lang w:bidi="he-IL"/>
        </w:rPr>
        <w:t xml:space="preserve"> </w:t>
      </w:r>
      <w:r w:rsidRPr="00400C0B">
        <w:rPr>
          <w:rFonts w:cs="Guttman Rashi" w:hint="eastAsia"/>
          <w:rtl/>
          <w:lang w:bidi="he-IL"/>
        </w:rPr>
        <w:t>שהלימוד</w:t>
      </w:r>
      <w:r w:rsidRPr="00400C0B">
        <w:rPr>
          <w:rFonts w:cs="Guttman Rashi"/>
          <w:rtl/>
          <w:lang w:bidi="he-IL"/>
        </w:rPr>
        <w:t xml:space="preserve"> </w:t>
      </w:r>
      <w:r w:rsidRPr="00400C0B">
        <w:rPr>
          <w:rFonts w:cs="Guttman Rashi" w:hint="eastAsia"/>
          <w:rtl/>
          <w:lang w:bidi="he-IL"/>
        </w:rPr>
        <w:t>הראשון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עירובו</w:t>
      </w:r>
      <w:r w:rsidRPr="00400C0B">
        <w:rPr>
          <w:rFonts w:cs="Guttman Rashi"/>
          <w:rtl/>
          <w:lang w:bidi="he-IL"/>
        </w:rPr>
        <w:t xml:space="preserve">. </w:t>
      </w:r>
      <w:r w:rsidRPr="00400C0B">
        <w:rPr>
          <w:rFonts w:cs="Guttman Rashi" w:hint="eastAsia"/>
          <w:rtl/>
          <w:lang w:bidi="he-IL"/>
        </w:rPr>
        <w:t>ופשוט</w:t>
      </w:r>
      <w:r w:rsidRPr="00400C0B">
        <w:rPr>
          <w:rFonts w:cs="Guttman Rashi"/>
          <w:rtl/>
          <w:lang w:bidi="he-IL"/>
        </w:rPr>
        <w:t>.</w:t>
      </w:r>
    </w:p>
  </w:footnote>
  <w:footnote w:id="10">
    <w:p w:rsidR="007978F4" w:rsidRPr="00400C0B" w:rsidRDefault="007978F4" w:rsidP="004765AA">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וביישוב</w:t>
      </w:r>
      <w:r w:rsidRPr="00400C0B">
        <w:rPr>
          <w:rFonts w:cs="Guttman Rashi"/>
          <w:rtl/>
          <w:lang w:bidi="he-IL"/>
        </w:rPr>
        <w:t xml:space="preserve"> </w:t>
      </w:r>
      <w:r w:rsidRPr="00400C0B">
        <w:rPr>
          <w:rFonts w:cs="Guttman Rashi" w:hint="eastAsia"/>
          <w:rtl/>
          <w:lang w:bidi="he-IL"/>
        </w:rPr>
        <w:t>הקושיא</w:t>
      </w:r>
      <w:r w:rsidRPr="00400C0B">
        <w:rPr>
          <w:rFonts w:cs="Guttman Rashi"/>
          <w:rtl/>
          <w:lang w:bidi="he-IL"/>
        </w:rPr>
        <w:t xml:space="preserve"> </w:t>
      </w:r>
      <w:r w:rsidRPr="00400C0B">
        <w:rPr>
          <w:rFonts w:cs="Guttman Rashi" w:hint="eastAsia"/>
          <w:rtl/>
          <w:lang w:bidi="he-IL"/>
        </w:rPr>
        <w:t>הרביעית</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p>
  </w:footnote>
  <w:footnote w:id="11">
    <w:p w:rsidR="007978F4" w:rsidRPr="00400C0B" w:rsidRDefault="007978F4" w:rsidP="004765AA">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וצריכים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דימוע</w:t>
      </w:r>
      <w:r w:rsidRPr="00400C0B">
        <w:rPr>
          <w:rFonts w:cs="Guttman Rashi"/>
          <w:rtl/>
          <w:lang w:bidi="he-IL"/>
        </w:rPr>
        <w:t xml:space="preserve"> </w:t>
      </w:r>
      <w:r w:rsidRPr="00400C0B">
        <w:rPr>
          <w:rFonts w:cs="Guttman Rashi" w:hint="eastAsia"/>
          <w:rtl/>
          <w:lang w:bidi="he-IL"/>
        </w:rPr>
        <w:t>עכ</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מדרבנן</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החמירו</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תרומה</w:t>
      </w:r>
      <w:r w:rsidRPr="00400C0B">
        <w:rPr>
          <w:rFonts w:cs="Guttman Rashi"/>
          <w:rtl/>
          <w:lang w:bidi="he-IL"/>
        </w:rPr>
        <w:t xml:space="preserve">. </w:t>
      </w:r>
    </w:p>
  </w:footnote>
  <w:footnote w:id="12">
    <w:p w:rsidR="007978F4" w:rsidRPr="00400C0B" w:rsidRDefault="007978F4" w:rsidP="00A0542F">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ושם</w:t>
      </w:r>
      <w:r w:rsidRPr="00400C0B">
        <w:rPr>
          <w:rFonts w:cs="Guttman Rashi"/>
          <w:rtl/>
          <w:lang w:bidi="he-IL"/>
        </w:rPr>
        <w:t xml:space="preserve"> </w:t>
      </w:r>
      <w:r w:rsidRPr="00400C0B">
        <w:rPr>
          <w:rFonts w:cs="Guttman Rashi" w:hint="eastAsia"/>
          <w:rtl/>
          <w:lang w:bidi="he-IL"/>
        </w:rPr>
        <w:t>בשיעורי</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שמואל</w:t>
      </w:r>
      <w:r w:rsidRPr="00400C0B">
        <w:rPr>
          <w:rFonts w:cs="Guttman Rashi"/>
          <w:rtl/>
          <w:lang w:bidi="he-IL"/>
        </w:rPr>
        <w:t xml:space="preserve"> (</w:t>
      </w:r>
      <w:r w:rsidRPr="00400C0B">
        <w:rPr>
          <w:rFonts w:cs="Guttman Rashi" w:hint="eastAsia"/>
          <w:rtl/>
          <w:lang w:bidi="he-IL"/>
        </w:rPr>
        <w:t>שבהמשך</w:t>
      </w:r>
      <w:r w:rsidRPr="00400C0B">
        <w:rPr>
          <w:rFonts w:cs="Guttman Rashi"/>
          <w:rtl/>
          <w:lang w:bidi="he-IL"/>
        </w:rPr>
        <w:t xml:space="preserve">) </w:t>
      </w:r>
      <w:r w:rsidRPr="00400C0B">
        <w:rPr>
          <w:rFonts w:cs="Guttman Rashi" w:hint="eastAsia"/>
          <w:rtl/>
          <w:lang w:bidi="he-IL"/>
        </w:rPr>
        <w:t>הקשה</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פי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הגירסא</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בקושיא</w:t>
      </w:r>
      <w:r w:rsidRPr="00400C0B">
        <w:rPr>
          <w:rFonts w:cs="Guttman Rashi"/>
          <w:rtl/>
          <w:lang w:bidi="he-IL"/>
        </w:rPr>
        <w:t xml:space="preserve"> </w:t>
      </w:r>
      <w:r>
        <w:rPr>
          <w:rFonts w:cs="Guttman Rashi" w:hint="eastAsia"/>
          <w:rtl/>
          <w:lang w:bidi="he-IL"/>
        </w:rPr>
        <w:t>מ</w:t>
      </w:r>
      <w:r w:rsidRPr="00400C0B">
        <w:rPr>
          <w:rFonts w:cs="Guttman Rashi" w:hint="eastAsia"/>
          <w:rtl/>
          <w:lang w:bidi="he-IL"/>
        </w:rPr>
        <w:t>כ</w:t>
      </w:r>
      <w:r>
        <w:rPr>
          <w:rFonts w:cs="Guttman Rashi" w:hint="cs"/>
          <w:rtl/>
          <w:lang w:bidi="he-IL"/>
        </w:rPr>
        <w:t>ו</w:t>
      </w:r>
      <w:r w:rsidRPr="00400C0B">
        <w:rPr>
          <w:rFonts w:cs="Guttman Rashi" w:hint="eastAsia"/>
          <w:rtl/>
          <w:lang w:bidi="he-IL"/>
        </w:rPr>
        <w:t>תח</w:t>
      </w:r>
      <w:r w:rsidRPr="00400C0B">
        <w:rPr>
          <w:rFonts w:cs="Guttman Rashi"/>
          <w:rtl/>
          <w:lang w:bidi="he-IL"/>
        </w:rPr>
        <w:t xml:space="preserve"> </w:t>
      </w:r>
      <w:r w:rsidRPr="00400C0B">
        <w:rPr>
          <w:rFonts w:cs="Guttman Rashi" w:hint="eastAsia"/>
          <w:rtl/>
          <w:lang w:bidi="he-IL"/>
        </w:rPr>
        <w:t>הבבלי</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מאי</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מצטרף</w:t>
      </w:r>
      <w:r w:rsidRPr="00400C0B">
        <w:rPr>
          <w:rFonts w:cs="Guttman Rashi"/>
          <w:rtl/>
          <w:lang w:bidi="he-IL"/>
        </w:rPr>
        <w:t xml:space="preserve"> </w:t>
      </w:r>
      <w:r w:rsidRPr="00400C0B">
        <w:rPr>
          <w:rFonts w:cs="Guttman Rashi" w:hint="eastAsia"/>
          <w:rtl/>
          <w:lang w:bidi="he-IL"/>
        </w:rPr>
        <w:t>לאיסור</w:t>
      </w:r>
      <w:r w:rsidRPr="00400C0B">
        <w:rPr>
          <w:rFonts w:cs="Guttman Rashi"/>
          <w:rtl/>
          <w:lang w:bidi="he-IL"/>
        </w:rPr>
        <w:t xml:space="preserve"> </w:t>
      </w:r>
      <w:r w:rsidRPr="00400C0B">
        <w:rPr>
          <w:rFonts w:cs="Guttman Rashi" w:hint="eastAsia"/>
          <w:rtl/>
          <w:lang w:bidi="he-IL"/>
        </w:rPr>
        <w:t>וכו</w:t>
      </w:r>
      <w:r w:rsidRPr="00400C0B">
        <w:rPr>
          <w:rFonts w:cs="Guttman Rashi"/>
          <w:rtl/>
          <w:lang w:bidi="he-IL"/>
        </w:rPr>
        <w:t xml:space="preserve">'". </w:t>
      </w:r>
      <w:r w:rsidRPr="00400C0B">
        <w:rPr>
          <w:rFonts w:cs="Guttman Rashi" w:hint="eastAsia"/>
          <w:rtl/>
          <w:lang w:bidi="he-IL"/>
        </w:rPr>
        <w:t>והקשה</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לרש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שדימוע</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בחמץ</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ולמה</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ובקונ</w:t>
      </w:r>
      <w:r w:rsidRPr="00400C0B">
        <w:rPr>
          <w:rFonts w:cs="Guttman Rashi"/>
          <w:rtl/>
          <w:lang w:bidi="he-IL"/>
        </w:rPr>
        <w:t xml:space="preserve">' </w:t>
      </w:r>
      <w:r w:rsidRPr="00400C0B">
        <w:rPr>
          <w:rFonts w:cs="Guttman Rashi" w:hint="eastAsia"/>
          <w:rtl/>
          <w:lang w:bidi="he-IL"/>
        </w:rPr>
        <w:t>נתיבי</w:t>
      </w:r>
      <w:r w:rsidRPr="00400C0B">
        <w:rPr>
          <w:rFonts w:cs="Guttman Rashi"/>
          <w:rtl/>
          <w:lang w:bidi="he-IL"/>
        </w:rPr>
        <w:t xml:space="preserve"> </w:t>
      </w:r>
      <w:r w:rsidRPr="00400C0B">
        <w:rPr>
          <w:rFonts w:cs="Guttman Rashi" w:hint="eastAsia"/>
          <w:rtl/>
          <w:lang w:bidi="he-IL"/>
        </w:rPr>
        <w:t>התערובת</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74) </w:t>
      </w:r>
      <w:r w:rsidRPr="00400C0B">
        <w:rPr>
          <w:rFonts w:cs="Guttman Rashi" w:hint="eastAsia"/>
          <w:rtl/>
          <w:lang w:bidi="he-IL"/>
        </w:rPr>
        <w:t>ראיתי</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דע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בטעמו</w:t>
      </w:r>
      <w:r w:rsidRPr="00400C0B">
        <w:rPr>
          <w:rFonts w:cs="Guttman Rashi"/>
          <w:rtl/>
          <w:lang w:bidi="he-IL"/>
        </w:rPr>
        <w:t xml:space="preserve"> </w:t>
      </w:r>
      <w:r w:rsidRPr="00400C0B">
        <w:rPr>
          <w:rFonts w:cs="Guttman Rashi" w:hint="eastAsia"/>
          <w:rtl/>
          <w:lang w:bidi="he-IL"/>
        </w:rPr>
        <w:t>וממשו</w:t>
      </w:r>
      <w:r w:rsidRPr="00400C0B">
        <w:rPr>
          <w:rFonts w:cs="Guttman Rashi"/>
          <w:rtl/>
          <w:lang w:bidi="he-IL"/>
        </w:rPr>
        <w:t xml:space="preserve"> </w:t>
      </w:r>
      <w:r w:rsidRPr="00400C0B">
        <w:rPr>
          <w:rFonts w:cs="Guttman Rashi" w:hint="eastAsia"/>
          <w:rtl/>
          <w:lang w:bidi="he-IL"/>
        </w:rPr>
        <w:t>ואפילו</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הס</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p>
    <w:p w:rsidR="007978F4" w:rsidRPr="00400C0B" w:rsidRDefault="007978F4" w:rsidP="00A0542F">
      <w:pPr>
        <w:pStyle w:val="FootnoteText"/>
        <w:bidi/>
        <w:jc w:val="both"/>
        <w:rPr>
          <w:rFonts w:cs="Guttman Rashi"/>
          <w:rtl/>
          <w:lang w:bidi="he-IL"/>
        </w:rPr>
      </w:pPr>
      <w:r w:rsidRPr="00400C0B">
        <w:rPr>
          <w:rFonts w:cs="Guttman Rashi" w:hint="eastAsia"/>
          <w:rtl/>
          <w:lang w:bidi="he-IL"/>
        </w:rPr>
        <w:t>ועוד</w:t>
      </w:r>
      <w:r w:rsidRPr="00400C0B">
        <w:rPr>
          <w:rFonts w:cs="Guttman Rashi"/>
          <w:rtl/>
          <w:lang w:bidi="he-IL"/>
        </w:rPr>
        <w:t xml:space="preserve"> </w:t>
      </w:r>
      <w:r w:rsidRPr="00400C0B">
        <w:rPr>
          <w:rFonts w:cs="Guttman Rashi" w:hint="eastAsia"/>
          <w:rtl/>
          <w:lang w:bidi="he-IL"/>
        </w:rPr>
        <w:t>הקשוני</w:t>
      </w:r>
      <w:r w:rsidRPr="00400C0B">
        <w:rPr>
          <w:rFonts w:cs="Guttman Rashi"/>
          <w:rtl/>
          <w:lang w:bidi="he-IL"/>
        </w:rPr>
        <w:t xml:space="preserve"> </w:t>
      </w:r>
      <w:r w:rsidRPr="00400C0B">
        <w:rPr>
          <w:rFonts w:cs="Guttman Rashi" w:hint="eastAsia"/>
          <w:rtl/>
          <w:lang w:bidi="he-IL"/>
        </w:rPr>
        <w:t>מבני</w:t>
      </w:r>
      <w:r w:rsidRPr="00400C0B">
        <w:rPr>
          <w:rFonts w:cs="Guttman Rashi"/>
          <w:rtl/>
          <w:lang w:bidi="he-IL"/>
        </w:rPr>
        <w:t xml:space="preserve"> </w:t>
      </w:r>
      <w:r w:rsidRPr="00400C0B">
        <w:rPr>
          <w:rFonts w:cs="Guttman Rashi" w:hint="eastAsia"/>
          <w:rtl/>
          <w:lang w:bidi="he-IL"/>
        </w:rPr>
        <w:t>החבורה</w:t>
      </w:r>
      <w:r w:rsidRPr="00400C0B">
        <w:rPr>
          <w:rFonts w:cs="Guttman Rashi"/>
          <w:rtl/>
          <w:lang w:bidi="he-IL"/>
        </w:rPr>
        <w:t xml:space="preserve"> </w:t>
      </w:r>
      <w:r w:rsidRPr="00400C0B">
        <w:rPr>
          <w:rFonts w:cs="Guttman Rashi" w:hint="eastAsia"/>
          <w:rtl/>
          <w:lang w:bidi="he-IL"/>
        </w:rPr>
        <w:t>שליט</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דמהו</w:t>
      </w:r>
      <w:r w:rsidRPr="00400C0B">
        <w:rPr>
          <w:rFonts w:cs="Guttman Rashi"/>
          <w:rtl/>
          <w:lang w:bidi="he-IL"/>
        </w:rPr>
        <w:t xml:space="preserve"> </w:t>
      </w:r>
      <w:r w:rsidRPr="00400C0B">
        <w:rPr>
          <w:rFonts w:cs="Guttman Rashi" w:hint="eastAsia"/>
          <w:rtl/>
          <w:lang w:bidi="he-IL"/>
        </w:rPr>
        <w:t>קושיית</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מב</w:t>
      </w:r>
      <w:r w:rsidRPr="00400C0B">
        <w:rPr>
          <w:rFonts w:cs="Guttman Rashi"/>
          <w:rtl/>
          <w:lang w:bidi="he-IL"/>
        </w:rPr>
        <w:t xml:space="preserve">' </w:t>
      </w:r>
      <w:r w:rsidRPr="00400C0B">
        <w:rPr>
          <w:rFonts w:cs="Guttman Rashi" w:hint="eastAsia"/>
          <w:rtl/>
          <w:lang w:bidi="he-IL"/>
        </w:rPr>
        <w:t>קופות</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Pr>
          <w:rFonts w:cs="Guttman Rashi" w:hint="cs"/>
          <w:rtl/>
          <w:lang w:bidi="he-IL"/>
        </w:rPr>
        <w:t>ד</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כזית</w:t>
      </w:r>
      <w:r w:rsidRPr="00400C0B">
        <w:rPr>
          <w:rFonts w:cs="Guttman Rashi"/>
          <w:rtl/>
          <w:lang w:bidi="he-IL"/>
        </w:rPr>
        <w:t xml:space="preserve"> </w:t>
      </w:r>
      <w:r w:rsidRPr="00400C0B">
        <w:rPr>
          <w:rFonts w:cs="Guttman Rashi" w:hint="eastAsia"/>
          <w:rtl/>
          <w:lang w:bidi="he-IL"/>
        </w:rPr>
        <w:t>בכדי</w:t>
      </w:r>
      <w:r w:rsidRPr="00400C0B">
        <w:rPr>
          <w:rFonts w:cs="Guttman Rashi"/>
          <w:rtl/>
          <w:lang w:bidi="he-IL"/>
        </w:rPr>
        <w:t xml:space="preserve"> </w:t>
      </w:r>
      <w:r w:rsidRPr="00400C0B">
        <w:rPr>
          <w:rFonts w:cs="Guttman Rashi" w:hint="eastAsia"/>
          <w:rtl/>
          <w:lang w:bidi="he-IL"/>
        </w:rPr>
        <w:t>אכילת</w:t>
      </w:r>
      <w:r w:rsidRPr="00400C0B">
        <w:rPr>
          <w:rFonts w:cs="Guttman Rashi"/>
          <w:rtl/>
          <w:lang w:bidi="he-IL"/>
        </w:rPr>
        <w:t xml:space="preserve"> </w:t>
      </w:r>
      <w:r w:rsidRPr="00400C0B">
        <w:rPr>
          <w:rFonts w:cs="Guttman Rashi" w:hint="eastAsia"/>
          <w:rtl/>
          <w:lang w:bidi="he-IL"/>
        </w:rPr>
        <w:t>פרס</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כזית</w:t>
      </w:r>
      <w:r w:rsidRPr="00400C0B">
        <w:rPr>
          <w:rFonts w:cs="Guttman Rashi"/>
          <w:rtl/>
          <w:lang w:bidi="he-IL"/>
        </w:rPr>
        <w:t xml:space="preserve"> </w:t>
      </w:r>
      <w:r w:rsidRPr="00400C0B">
        <w:rPr>
          <w:rFonts w:cs="Guttman Rashi" w:hint="eastAsia"/>
          <w:rtl/>
          <w:lang w:bidi="he-IL"/>
        </w:rPr>
        <w:t>בכדי</w:t>
      </w:r>
      <w:r w:rsidRPr="00400C0B">
        <w:rPr>
          <w:rFonts w:cs="Guttman Rashi"/>
          <w:rtl/>
          <w:lang w:bidi="he-IL"/>
        </w:rPr>
        <w:t xml:space="preserve"> </w:t>
      </w:r>
      <w:r w:rsidRPr="00400C0B">
        <w:rPr>
          <w:rFonts w:cs="Guttman Rashi" w:hint="eastAsia"/>
          <w:rtl/>
          <w:lang w:bidi="he-IL"/>
        </w:rPr>
        <w:t>אכילת</w:t>
      </w:r>
      <w:r w:rsidRPr="00400C0B">
        <w:rPr>
          <w:rFonts w:cs="Guttman Rashi"/>
          <w:rtl/>
          <w:lang w:bidi="he-IL"/>
        </w:rPr>
        <w:t xml:space="preserve"> </w:t>
      </w:r>
      <w:r w:rsidRPr="00400C0B">
        <w:rPr>
          <w:rFonts w:cs="Guttman Rashi" w:hint="eastAsia"/>
          <w:rtl/>
          <w:lang w:bidi="he-IL"/>
        </w:rPr>
        <w:t>פרס</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תיפו</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שדימוע</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הבא</w:t>
      </w:r>
      <w:r w:rsidRPr="00400C0B">
        <w:rPr>
          <w:rFonts w:cs="Guttman Rashi"/>
          <w:rtl/>
          <w:lang w:bidi="he-IL"/>
        </w:rPr>
        <w:t xml:space="preserve">. </w:t>
      </w:r>
    </w:p>
  </w:footnote>
  <w:footnote w:id="13">
    <w:p w:rsidR="007978F4" w:rsidRPr="00400C0B" w:rsidRDefault="007978F4" w:rsidP="00A0542F">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w:t>
      </w:r>
      <w:r>
        <w:rPr>
          <w:rFonts w:cs="Guttman Rashi" w:hint="cs"/>
          <w:rtl/>
          <w:lang w:bidi="he-IL"/>
        </w:rPr>
        <w:t>תא</w:t>
      </w:r>
      <w:r w:rsidRPr="00400C0B">
        <w:rPr>
          <w:rFonts w:cs="Guttman Rashi" w:hint="eastAsia"/>
          <w:rtl/>
          <w:lang w:bidi="he-IL"/>
        </w:rPr>
        <w:t>ים</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מאי</w:t>
      </w:r>
      <w:r w:rsidRPr="00400C0B">
        <w:rPr>
          <w:rFonts w:cs="Guttman Rashi"/>
          <w:rtl/>
          <w:lang w:bidi="he-IL"/>
        </w:rPr>
        <w:t xml:space="preserve"> </w:t>
      </w:r>
      <w:r w:rsidRPr="00400C0B">
        <w:rPr>
          <w:rFonts w:cs="Guttman Rashi" w:hint="eastAsia"/>
          <w:rtl/>
          <w:lang w:bidi="he-IL"/>
        </w:rPr>
        <w:t>דנקט</w:t>
      </w:r>
      <w:r w:rsidRPr="00400C0B">
        <w:rPr>
          <w:rFonts w:cs="Guttman Rashi"/>
          <w:rtl/>
          <w:lang w:bidi="he-IL"/>
        </w:rPr>
        <w:t xml:space="preserve"> </w:t>
      </w:r>
      <w:r w:rsidRPr="00400C0B">
        <w:rPr>
          <w:rFonts w:cs="Guttman Rashi" w:hint="eastAsia"/>
          <w:rtl/>
          <w:lang w:bidi="he-IL"/>
        </w:rPr>
        <w:t>בנחל</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דסוגיין</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בטעמו</w:t>
      </w:r>
      <w:r w:rsidRPr="00400C0B">
        <w:rPr>
          <w:rFonts w:cs="Guttman Rashi"/>
          <w:rtl/>
          <w:lang w:bidi="he-IL"/>
        </w:rPr>
        <w:t xml:space="preserve"> </w:t>
      </w:r>
      <w:r w:rsidRPr="00400C0B">
        <w:rPr>
          <w:rFonts w:cs="Guttman Rashi" w:hint="eastAsia"/>
          <w:rtl/>
          <w:lang w:bidi="he-IL"/>
        </w:rPr>
        <w:t>וממשו</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דס</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דטכ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טעמו</w:t>
      </w:r>
      <w:r w:rsidRPr="00400C0B">
        <w:rPr>
          <w:rFonts w:cs="Guttman Rashi"/>
          <w:rtl/>
          <w:lang w:bidi="he-IL"/>
        </w:rPr>
        <w:t xml:space="preserve"> </w:t>
      </w:r>
      <w:r w:rsidRPr="00400C0B">
        <w:rPr>
          <w:rFonts w:cs="Guttman Rashi" w:hint="eastAsia"/>
          <w:rtl/>
          <w:lang w:bidi="he-IL"/>
        </w:rPr>
        <w:t>וממשו</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מסברא</w:t>
      </w:r>
      <w:r w:rsidRPr="00400C0B">
        <w:rPr>
          <w:rFonts w:cs="Guttman Rashi"/>
          <w:rtl/>
          <w:lang w:bidi="he-IL"/>
        </w:rPr>
        <w:t>.</w:t>
      </w:r>
    </w:p>
  </w:footnote>
  <w:footnote w:id="14">
    <w:p w:rsidR="007978F4" w:rsidRPr="0037451B" w:rsidRDefault="007978F4" w:rsidP="0037451B">
      <w:pPr>
        <w:pStyle w:val="FootnoteText"/>
        <w:bidi/>
        <w:jc w:val="both"/>
        <w:rPr>
          <w:rFonts w:cs="Guttman Rashi"/>
          <w:rtl/>
          <w:lang w:bidi="he-IL"/>
        </w:rPr>
      </w:pPr>
      <w:r>
        <w:rPr>
          <w:rStyle w:val="FootnoteReference"/>
        </w:rPr>
        <w:footnoteRef/>
      </w:r>
      <w:r>
        <w:t xml:space="preserve"> </w:t>
      </w:r>
      <w:r>
        <w:rPr>
          <w:rFonts w:cs="Guttman Rashi" w:hint="cs"/>
          <w:rtl/>
          <w:lang w:bidi="he-IL"/>
        </w:rPr>
        <w:t xml:space="preserve">וגם הדחיי' דאיכא כזית בכא"פ הוא דמשו"ה לא הוי בטל. וע' מש"כ לקמן הערה </w:t>
      </w:r>
      <w:r>
        <w:rPr>
          <w:rFonts w:cs="Guttman Rashi"/>
          <w:rtl/>
          <w:lang w:bidi="he-IL"/>
        </w:rPr>
        <w:fldChar w:fldCharType="begin"/>
      </w:r>
      <w:r>
        <w:rPr>
          <w:rFonts w:cs="Guttman Rashi"/>
          <w:rtl/>
          <w:lang w:bidi="he-IL"/>
        </w:rPr>
        <w:instrText xml:space="preserve"> </w:instrText>
      </w:r>
      <w:r>
        <w:rPr>
          <w:rFonts w:cs="Guttman Rashi" w:hint="cs"/>
          <w:lang w:bidi="he-IL"/>
        </w:rPr>
        <w:instrText xml:space="preserve">NOTEREF </w:instrText>
      </w:r>
      <w:r>
        <w:rPr>
          <w:rFonts w:cs="Guttman Rashi" w:hint="cs"/>
          <w:rtl/>
          <w:lang w:bidi="he-IL"/>
        </w:rPr>
        <w:instrText>_</w:instrText>
      </w:r>
      <w:r>
        <w:rPr>
          <w:rFonts w:cs="Guttman Rashi" w:hint="cs"/>
          <w:lang w:bidi="he-IL"/>
        </w:rPr>
        <w:instrText>Ref500856390 \h</w:instrText>
      </w:r>
      <w:r>
        <w:rPr>
          <w:rFonts w:cs="Guttman Rashi"/>
          <w:rtl/>
          <w:lang w:bidi="he-IL"/>
        </w:rPr>
        <w:instrText xml:space="preserve"> </w:instrText>
      </w:r>
      <w:r>
        <w:rPr>
          <w:rFonts w:cs="Guttman Rashi"/>
          <w:rtl/>
          <w:lang w:bidi="he-IL"/>
        </w:rPr>
      </w:r>
      <w:r>
        <w:rPr>
          <w:rFonts w:cs="Guttman Rashi"/>
          <w:rtl/>
          <w:lang w:bidi="he-IL"/>
        </w:rPr>
        <w:fldChar w:fldCharType="separate"/>
      </w:r>
      <w:r>
        <w:rPr>
          <w:rFonts w:cs="Guttman Rashi"/>
          <w:rtl/>
          <w:lang w:bidi="he-IL"/>
        </w:rPr>
        <w:t>23</w:t>
      </w:r>
      <w:r>
        <w:rPr>
          <w:rFonts w:cs="Guttman Rashi"/>
          <w:rtl/>
          <w:lang w:bidi="he-IL"/>
        </w:rPr>
        <w:fldChar w:fldCharType="end"/>
      </w:r>
      <w:r>
        <w:rPr>
          <w:rFonts w:cs="Guttman Rashi" w:hint="cs"/>
          <w:rtl/>
          <w:lang w:bidi="he-IL"/>
        </w:rPr>
        <w:t>.</w:t>
      </w:r>
    </w:p>
  </w:footnote>
  <w:footnote w:id="1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לשון</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בטבו</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כשמביא</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דימוע</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u w:val="single"/>
          <w:rtl/>
          <w:lang w:bidi="he-IL"/>
        </w:rPr>
        <w:t>הואיל</w:t>
      </w:r>
      <w:r w:rsidRPr="00400C0B">
        <w:rPr>
          <w:rFonts w:cs="Guttman Rashi"/>
          <w:rtl/>
          <w:lang w:bidi="he-IL"/>
        </w:rPr>
        <w:t xml:space="preserve"> </w:t>
      </w:r>
      <w:r w:rsidRPr="00400C0B">
        <w:rPr>
          <w:rFonts w:cs="Guttman Rashi" w:hint="eastAsia"/>
          <w:rtl/>
          <w:lang w:bidi="he-IL"/>
        </w:rPr>
        <w:t>וזר</w:t>
      </w:r>
      <w:r w:rsidRPr="00400C0B">
        <w:rPr>
          <w:rFonts w:cs="Guttman Rashi"/>
          <w:rtl/>
          <w:lang w:bidi="he-IL"/>
        </w:rPr>
        <w:t xml:space="preserve"> </w:t>
      </w:r>
      <w:r w:rsidRPr="00400C0B">
        <w:rPr>
          <w:rFonts w:cs="Guttman Rashi" w:hint="eastAsia"/>
          <w:rtl/>
          <w:lang w:bidi="he-IL"/>
        </w:rPr>
        <w:t>לוקה</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בכזית</w:t>
      </w:r>
      <w:r w:rsidRPr="00400C0B">
        <w:rPr>
          <w:rFonts w:cs="Guttman Rashi"/>
          <w:rtl/>
          <w:lang w:bidi="he-IL"/>
        </w:rPr>
        <w:t xml:space="preserve">".  </w:t>
      </w:r>
    </w:p>
  </w:footnote>
  <w:footnote w:id="1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וראיתי</w:t>
      </w:r>
      <w:r w:rsidRPr="00400C0B">
        <w:rPr>
          <w:rFonts w:cs="Guttman Rashi"/>
          <w:rtl/>
          <w:lang w:bidi="he-IL"/>
        </w:rPr>
        <w:t xml:space="preserve"> </w:t>
      </w:r>
      <w:r w:rsidRPr="00400C0B">
        <w:rPr>
          <w:rFonts w:cs="Guttman Rashi" w:hint="eastAsia"/>
          <w:rtl/>
          <w:lang w:bidi="he-IL"/>
        </w:rPr>
        <w:t>בחי</w:t>
      </w:r>
      <w:r w:rsidRPr="00400C0B">
        <w:rPr>
          <w:rFonts w:cs="Guttman Rashi"/>
          <w:rtl/>
          <w:lang w:bidi="he-IL"/>
        </w:rPr>
        <w:t xml:space="preserve">' </w:t>
      </w:r>
      <w:r w:rsidRPr="00400C0B">
        <w:rPr>
          <w:rFonts w:cs="Guttman Rashi" w:hint="eastAsia"/>
          <w:rtl/>
          <w:lang w:bidi="he-IL"/>
        </w:rPr>
        <w:t>הגרי</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למס</w:t>
      </w:r>
      <w:r w:rsidRPr="00400C0B">
        <w:rPr>
          <w:rFonts w:cs="Guttman Rashi"/>
          <w:rtl/>
          <w:lang w:bidi="he-IL"/>
        </w:rPr>
        <w:t xml:space="preserve">' </w:t>
      </w:r>
      <w:r w:rsidRPr="00400C0B">
        <w:rPr>
          <w:rFonts w:cs="Guttman Rashi" w:hint="eastAsia"/>
          <w:rtl/>
          <w:lang w:bidi="he-IL"/>
        </w:rPr>
        <w:t>נזיר</w:t>
      </w:r>
      <w:r w:rsidRPr="00400C0B">
        <w:rPr>
          <w:rFonts w:cs="Guttman Rashi"/>
          <w:rtl/>
          <w:lang w:bidi="he-IL"/>
        </w:rPr>
        <w:t xml:space="preserve"> </w:t>
      </w:r>
      <w:r w:rsidRPr="00400C0B">
        <w:rPr>
          <w:rFonts w:cs="Guttman Rashi" w:hint="eastAsia"/>
          <w:rtl/>
          <w:lang w:bidi="he-IL"/>
        </w:rPr>
        <w:t>ביאור</w:t>
      </w:r>
      <w:r w:rsidRPr="00400C0B">
        <w:rPr>
          <w:rFonts w:cs="Guttman Rashi"/>
          <w:rtl/>
          <w:lang w:bidi="he-IL"/>
        </w:rPr>
        <w:t xml:space="preserve"> </w:t>
      </w:r>
      <w:r w:rsidRPr="00400C0B">
        <w:rPr>
          <w:rFonts w:cs="Guttman Rashi" w:hint="eastAsia"/>
          <w:rtl/>
          <w:lang w:bidi="he-IL"/>
        </w:rPr>
        <w:t>נוסף</w:t>
      </w:r>
      <w:r w:rsidRPr="00400C0B">
        <w:rPr>
          <w:rFonts w:cs="Guttman Rashi"/>
          <w:rtl/>
          <w:lang w:bidi="he-IL"/>
        </w:rPr>
        <w:t xml:space="preserve"> </w:t>
      </w:r>
      <w:r w:rsidRPr="00400C0B">
        <w:rPr>
          <w:rFonts w:cs="Guttman Rashi" w:hint="eastAsia"/>
          <w:rtl/>
          <w:lang w:bidi="he-IL"/>
        </w:rPr>
        <w:t>בדברי</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דרך</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דהגרש</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יסוד</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ח</w:t>
      </w:r>
      <w:r>
        <w:rPr>
          <w:rFonts w:cs="Guttman Rashi" w:hint="cs"/>
          <w:rtl/>
          <w:lang w:bidi="he-IL"/>
        </w:rPr>
        <w:t xml:space="preserve"> (פט"ו מהל' מאכ"א ד"ה ולפ"ז, ומובא לקמן בשיעור ה')</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בדבר</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אכילה</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לגמ</w:t>
      </w:r>
      <w:r w:rsidRPr="00400C0B">
        <w:rPr>
          <w:rFonts w:cs="Guttman Rashi"/>
          <w:rtl/>
          <w:lang w:bidi="he-IL"/>
        </w:rPr>
        <w:t xml:space="preserve">' </w:t>
      </w:r>
      <w:r w:rsidRPr="00400C0B">
        <w:rPr>
          <w:rFonts w:cs="Guttman Rashi" w:hint="eastAsia"/>
          <w:rtl/>
          <w:lang w:bidi="he-IL"/>
        </w:rPr>
        <w:t>דליכא</w:t>
      </w:r>
      <w:r w:rsidRPr="00400C0B">
        <w:rPr>
          <w:rFonts w:cs="Guttman Rashi"/>
          <w:rtl/>
          <w:lang w:bidi="he-IL"/>
        </w:rPr>
        <w:t xml:space="preserve"> </w:t>
      </w:r>
      <w:r w:rsidRPr="00400C0B">
        <w:rPr>
          <w:rFonts w:cs="Guttman Rashi" w:hint="eastAsia"/>
          <w:rtl/>
          <w:lang w:bidi="he-IL"/>
        </w:rPr>
        <w:t>כזית</w:t>
      </w:r>
      <w:r w:rsidRPr="00400C0B">
        <w:rPr>
          <w:rFonts w:cs="Guttman Rashi"/>
          <w:rtl/>
          <w:lang w:bidi="he-IL"/>
        </w:rPr>
        <w:t xml:space="preserve"> </w:t>
      </w:r>
      <w:r w:rsidRPr="00400C0B">
        <w:rPr>
          <w:rFonts w:cs="Guttman Rashi" w:hint="eastAsia"/>
          <w:rtl/>
          <w:lang w:bidi="he-IL"/>
        </w:rPr>
        <w:t>בכא</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הלכה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יתבטל</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דליכא</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כזית</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כשאין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אכילה</w:t>
      </w:r>
      <w:r w:rsidRPr="00400C0B">
        <w:rPr>
          <w:rFonts w:cs="Guttman Rashi"/>
          <w:rtl/>
          <w:lang w:bidi="he-IL"/>
        </w:rPr>
        <w:t xml:space="preserve"> </w:t>
      </w:r>
      <w:r w:rsidRPr="00400C0B">
        <w:rPr>
          <w:rFonts w:cs="Guttman Rashi" w:hint="eastAsia"/>
          <w:rtl/>
          <w:lang w:bidi="he-IL"/>
        </w:rPr>
        <w:t>וכנ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ומשו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לגמ</w:t>
      </w:r>
      <w:r w:rsidRPr="00400C0B">
        <w:rPr>
          <w:rFonts w:cs="Guttman Rashi"/>
          <w:rtl/>
          <w:lang w:bidi="he-IL"/>
        </w:rPr>
        <w:t xml:space="preserve">' </w:t>
      </w:r>
      <w:r w:rsidRPr="00400C0B">
        <w:rPr>
          <w:rFonts w:cs="Guttman Rashi" w:hint="eastAsia"/>
          <w:rtl/>
          <w:lang w:bidi="he-IL"/>
        </w:rPr>
        <w:t>דע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המל</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המל</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אכילה</w:t>
      </w:r>
      <w:r w:rsidRPr="00400C0B">
        <w:rPr>
          <w:rFonts w:cs="Guttman Rashi"/>
          <w:rtl/>
          <w:lang w:bidi="he-IL"/>
        </w:rPr>
        <w:t xml:space="preserve"> </w:t>
      </w:r>
      <w:r w:rsidRPr="00400C0B">
        <w:rPr>
          <w:rFonts w:cs="Guttman Rashi" w:hint="eastAsia"/>
          <w:rtl/>
          <w:lang w:bidi="he-IL"/>
        </w:rPr>
        <w:t>וממילא</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ודחה</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שלעולם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מצטרף</w:t>
      </w:r>
      <w:r w:rsidRPr="00400C0B">
        <w:rPr>
          <w:rFonts w:cs="Guttman Rashi"/>
          <w:rtl/>
          <w:lang w:bidi="he-IL"/>
        </w:rPr>
        <w:t xml:space="preserve"> </w:t>
      </w:r>
      <w:r w:rsidRPr="00400C0B">
        <w:rPr>
          <w:rFonts w:cs="Guttman Rashi" w:hint="eastAsia"/>
          <w:rtl/>
          <w:lang w:bidi="he-IL"/>
        </w:rPr>
        <w:t>לאיסור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דינא</w:t>
      </w:r>
      <w:r w:rsidRPr="00400C0B">
        <w:rPr>
          <w:rFonts w:cs="Guttman Rashi"/>
          <w:rtl/>
          <w:lang w:bidi="he-IL"/>
        </w:rPr>
        <w:t xml:space="preserve"> </w:t>
      </w:r>
      <w:r w:rsidRPr="00400C0B">
        <w:rPr>
          <w:rFonts w:cs="Guttman Rashi" w:hint="eastAsia"/>
          <w:rtl/>
          <w:lang w:bidi="he-IL"/>
        </w:rPr>
        <w:t>דטכ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ומשום</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כזית</w:t>
      </w:r>
      <w:r w:rsidRPr="00400C0B">
        <w:rPr>
          <w:rFonts w:cs="Guttman Rashi"/>
          <w:rtl/>
          <w:lang w:bidi="he-IL"/>
        </w:rPr>
        <w:t xml:space="preserve"> </w:t>
      </w:r>
      <w:r w:rsidRPr="00400C0B">
        <w:rPr>
          <w:rFonts w:cs="Guttman Rashi" w:hint="eastAsia"/>
          <w:rtl/>
          <w:lang w:bidi="he-IL"/>
        </w:rPr>
        <w:t>בכא</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ולאחר</w:t>
      </w:r>
      <w:r w:rsidRPr="00400C0B">
        <w:rPr>
          <w:rFonts w:cs="Guttman Rashi"/>
          <w:rtl/>
          <w:lang w:bidi="he-IL"/>
        </w:rPr>
        <w:t xml:space="preserve"> </w:t>
      </w:r>
      <w:r w:rsidRPr="00400C0B">
        <w:rPr>
          <w:rFonts w:cs="Guttman Rashi" w:hint="eastAsia"/>
          <w:rtl/>
          <w:lang w:bidi="he-IL"/>
        </w:rPr>
        <w:t>מכן</w:t>
      </w:r>
      <w:r w:rsidRPr="00400C0B">
        <w:rPr>
          <w:rFonts w:cs="Guttman Rashi"/>
          <w:rtl/>
          <w:lang w:bidi="he-IL"/>
        </w:rPr>
        <w:t xml:space="preserve"> </w:t>
      </w:r>
      <w:r w:rsidRPr="00400C0B">
        <w:rPr>
          <w:rFonts w:cs="Guttman Rashi" w:hint="eastAsia"/>
          <w:rtl/>
          <w:lang w:bidi="he-IL"/>
        </w:rPr>
        <w:t>שואלת</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כזית</w:t>
      </w:r>
      <w:r w:rsidRPr="00400C0B">
        <w:rPr>
          <w:rFonts w:cs="Guttman Rashi"/>
          <w:rtl/>
          <w:lang w:bidi="he-IL"/>
        </w:rPr>
        <w:t xml:space="preserve"> </w:t>
      </w:r>
      <w:r w:rsidRPr="00400C0B">
        <w:rPr>
          <w:rFonts w:cs="Guttman Rashi" w:hint="eastAsia"/>
          <w:rtl/>
          <w:lang w:bidi="he-IL"/>
        </w:rPr>
        <w:t>בכא</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עיקר</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דכזית</w:t>
      </w:r>
      <w:r w:rsidRPr="00400C0B">
        <w:rPr>
          <w:rFonts w:cs="Guttman Rashi"/>
          <w:rtl/>
          <w:lang w:bidi="he-IL"/>
        </w:rPr>
        <w:t xml:space="preserve"> </w:t>
      </w:r>
      <w:r w:rsidRPr="00400C0B">
        <w:rPr>
          <w:rFonts w:cs="Guttman Rashi" w:hint="eastAsia"/>
          <w:rtl/>
          <w:lang w:bidi="he-IL"/>
        </w:rPr>
        <w:t>בכא</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עיקר</w:t>
      </w:r>
      <w:r w:rsidRPr="00400C0B">
        <w:rPr>
          <w:rFonts w:cs="Guttman Rashi"/>
          <w:rtl/>
          <w:lang w:bidi="he-IL"/>
        </w:rPr>
        <w:t xml:space="preserve"> </w:t>
      </w:r>
      <w:r w:rsidRPr="00400C0B">
        <w:rPr>
          <w:rFonts w:cs="Guttman Rashi" w:hint="eastAsia"/>
          <w:rtl/>
          <w:lang w:bidi="he-IL"/>
        </w:rPr>
        <w:t>הכוונה</w:t>
      </w:r>
      <w:r w:rsidRPr="00400C0B">
        <w:rPr>
          <w:rFonts w:cs="Guttman Rashi"/>
          <w:rtl/>
          <w:lang w:bidi="he-IL"/>
        </w:rPr>
        <w:t xml:space="preserve"> </w:t>
      </w:r>
      <w:r w:rsidRPr="00400C0B">
        <w:rPr>
          <w:rFonts w:cs="Guttman Rashi" w:hint="eastAsia"/>
          <w:rtl/>
          <w:lang w:bidi="he-IL"/>
        </w:rPr>
        <w:t>לטכ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מחלוקת</w:t>
      </w:r>
      <w:r w:rsidRPr="00400C0B">
        <w:rPr>
          <w:rFonts w:cs="Guttman Rashi"/>
          <w:rtl/>
          <w:lang w:bidi="he-IL"/>
        </w:rPr>
        <w:t xml:space="preserve"> </w:t>
      </w:r>
      <w:r w:rsidRPr="00400C0B">
        <w:rPr>
          <w:rFonts w:cs="Guttman Rashi" w:hint="eastAsia"/>
          <w:rtl/>
          <w:lang w:bidi="he-IL"/>
        </w:rPr>
        <w:t>בכותח</w:t>
      </w:r>
      <w:r w:rsidRPr="00400C0B">
        <w:rPr>
          <w:rFonts w:cs="Guttman Rashi"/>
          <w:rtl/>
          <w:lang w:bidi="he-IL"/>
        </w:rPr>
        <w:t xml:space="preserve"> </w:t>
      </w:r>
      <w:r w:rsidRPr="00400C0B">
        <w:rPr>
          <w:rFonts w:cs="Guttman Rashi" w:hint="eastAsia"/>
          <w:rtl/>
          <w:lang w:bidi="he-IL"/>
        </w:rPr>
        <w:t>הבבלי</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דא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הלשון</w:t>
      </w:r>
      <w:r w:rsidRPr="00400C0B">
        <w:rPr>
          <w:rFonts w:cs="Guttman Rashi"/>
          <w:rtl/>
          <w:lang w:bidi="he-IL"/>
        </w:rPr>
        <w:t xml:space="preserve"> </w:t>
      </w:r>
      <w:r w:rsidRPr="00400C0B">
        <w:rPr>
          <w:rFonts w:cs="Guttman Rashi" w:hint="eastAsia"/>
          <w:rtl/>
          <w:lang w:bidi="he-IL"/>
        </w:rPr>
        <w:t>דחוק</w:t>
      </w:r>
      <w:r w:rsidRPr="00400C0B">
        <w:rPr>
          <w:rFonts w:cs="Guttman Rashi"/>
          <w:rtl/>
          <w:lang w:bidi="he-IL"/>
        </w:rPr>
        <w:t xml:space="preserve"> </w:t>
      </w:r>
      <w:r w:rsidRPr="00400C0B">
        <w:rPr>
          <w:rFonts w:cs="Guttman Rashi" w:hint="eastAsia"/>
          <w:rtl/>
          <w:lang w:bidi="he-IL"/>
        </w:rPr>
        <w:t>דמהו</w:t>
      </w:r>
      <w:r w:rsidRPr="00400C0B">
        <w:rPr>
          <w:rFonts w:cs="Guttman Rashi"/>
          <w:rtl/>
          <w:lang w:bidi="he-IL"/>
        </w:rPr>
        <w:t xml:space="preserve"> </w:t>
      </w:r>
      <w:r w:rsidRPr="00400C0B">
        <w:rPr>
          <w:rFonts w:cs="Guttman Rashi" w:hint="eastAsia"/>
          <w:rtl/>
          <w:lang w:bidi="he-IL"/>
        </w:rPr>
        <w:t>כבא</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עיקר</w:t>
      </w:r>
      <w:r w:rsidRPr="00400C0B">
        <w:rPr>
          <w:rFonts w:cs="Guttman Rashi"/>
          <w:rtl/>
          <w:lang w:bidi="he-IL"/>
        </w:rPr>
        <w:t xml:space="preserve"> </w:t>
      </w:r>
      <w:r w:rsidRPr="00400C0B">
        <w:rPr>
          <w:rFonts w:cs="Guttman Rashi" w:hint="eastAsia"/>
          <w:rtl/>
          <w:lang w:bidi="he-IL"/>
        </w:rPr>
        <w:t>השאלה</w:t>
      </w:r>
      <w:r w:rsidRPr="00400C0B">
        <w:rPr>
          <w:rFonts w:cs="Guttman Rashi"/>
          <w:rtl/>
          <w:lang w:bidi="he-IL"/>
        </w:rPr>
        <w:t xml:space="preserve"> </w:t>
      </w:r>
      <w:r w:rsidRPr="00400C0B">
        <w:rPr>
          <w:rFonts w:cs="Guttman Rashi" w:hint="eastAsia"/>
          <w:rtl/>
          <w:lang w:bidi="he-IL"/>
        </w:rPr>
        <w:t>בטכ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לטכ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בבכא</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תמוה</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דכבא</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אכילה</w:t>
      </w:r>
      <w:r w:rsidRPr="00400C0B">
        <w:rPr>
          <w:rFonts w:cs="Guttman Rashi"/>
          <w:rtl/>
          <w:lang w:bidi="he-IL"/>
        </w:rPr>
        <w:t xml:space="preserve"> </w:t>
      </w:r>
      <w:r w:rsidRPr="00400C0B">
        <w:rPr>
          <w:rFonts w:cs="Guttman Rashi" w:hint="eastAsia"/>
          <w:rtl/>
          <w:lang w:bidi="he-IL"/>
        </w:rPr>
        <w:t>וטכ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בל</w:t>
      </w:r>
      <w:r w:rsidRPr="00400C0B">
        <w:rPr>
          <w:rFonts w:cs="Guttman Rashi"/>
          <w:rtl/>
          <w:lang w:bidi="he-IL"/>
        </w:rPr>
        <w:t xml:space="preserve"> </w:t>
      </w:r>
      <w:r w:rsidRPr="00400C0B">
        <w:rPr>
          <w:rFonts w:cs="Guttman Rashi" w:hint="eastAsia"/>
          <w:rtl/>
          <w:lang w:bidi="he-IL"/>
        </w:rPr>
        <w:t>יראה</w:t>
      </w:r>
      <w:r w:rsidRPr="00400C0B">
        <w:rPr>
          <w:rFonts w:cs="Guttman Rashi"/>
          <w:rtl/>
          <w:lang w:bidi="he-IL"/>
        </w:rPr>
        <w:t xml:space="preserve"> </w:t>
      </w:r>
      <w:r w:rsidRPr="00400C0B">
        <w:rPr>
          <w:rFonts w:cs="Guttman Rashi" w:hint="eastAsia"/>
          <w:rtl/>
          <w:lang w:bidi="he-IL"/>
        </w:rPr>
        <w:t>בטכ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p>
  </w:footnote>
  <w:footnote w:id="1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ברור</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ומש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דלענין</w:t>
      </w:r>
      <w:r w:rsidRPr="00400C0B">
        <w:rPr>
          <w:rFonts w:cs="Guttman Rashi"/>
          <w:rtl/>
          <w:lang w:bidi="he-IL"/>
        </w:rPr>
        <w:t xml:space="preserve"> </w:t>
      </w:r>
      <w:r w:rsidRPr="00400C0B">
        <w:rPr>
          <w:rFonts w:cs="Guttman Rashi" w:hint="eastAsia"/>
          <w:rtl/>
          <w:lang w:bidi="he-IL"/>
        </w:rPr>
        <w:t>מלקות</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ההיתר</w:t>
      </w:r>
      <w:r w:rsidRPr="00400C0B">
        <w:rPr>
          <w:rFonts w:cs="Guttman Rashi"/>
          <w:rtl/>
          <w:lang w:bidi="he-IL"/>
        </w:rPr>
        <w:t xml:space="preserve"> </w:t>
      </w:r>
      <w:r w:rsidRPr="00400C0B">
        <w:rPr>
          <w:rFonts w:cs="Guttman Rashi" w:hint="eastAsia"/>
          <w:rtl/>
          <w:lang w:bidi="he-IL"/>
        </w:rPr>
        <w:t>מצטרף</w:t>
      </w:r>
      <w:r w:rsidRPr="00400C0B">
        <w:rPr>
          <w:rFonts w:cs="Guttman Rashi"/>
          <w:rtl/>
          <w:lang w:bidi="he-IL"/>
        </w:rPr>
        <w:t xml:space="preserve"> </w:t>
      </w:r>
      <w:r w:rsidRPr="00400C0B">
        <w:rPr>
          <w:rFonts w:cs="Guttman Rashi" w:hint="eastAsia"/>
          <w:rtl/>
          <w:lang w:bidi="he-IL"/>
        </w:rPr>
        <w:t>לאיסור</w:t>
      </w:r>
      <w:r w:rsidRPr="00400C0B">
        <w:rPr>
          <w:rFonts w:cs="Guttman Rashi"/>
          <w:rtl/>
          <w:lang w:bidi="he-IL"/>
        </w:rPr>
        <w:t xml:space="preserve"> </w:t>
      </w:r>
      <w:r w:rsidRPr="00400C0B">
        <w:rPr>
          <w:rFonts w:cs="Guttman Rashi" w:hint="eastAsia"/>
          <w:rtl/>
          <w:lang w:bidi="he-IL"/>
        </w:rPr>
        <w:t>ללקות</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לשיטה</w:t>
      </w:r>
      <w:r w:rsidRPr="00400C0B">
        <w:rPr>
          <w:rFonts w:cs="Guttman Rashi"/>
          <w:rtl/>
          <w:lang w:bidi="he-IL"/>
        </w:rPr>
        <w:t xml:space="preserve"> </w:t>
      </w:r>
      <w:r w:rsidRPr="00400C0B">
        <w:rPr>
          <w:rFonts w:cs="Guttman Rashi" w:hint="eastAsia"/>
          <w:rtl/>
          <w:lang w:bidi="he-IL"/>
        </w:rPr>
        <w:t>הסוברת</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מצטרך</w:t>
      </w:r>
      <w:r w:rsidRPr="00400C0B">
        <w:rPr>
          <w:rFonts w:cs="Guttman Rashi"/>
          <w:rtl/>
          <w:lang w:bidi="he-IL"/>
        </w:rPr>
        <w:t xml:space="preserve"> </w:t>
      </w:r>
      <w:r w:rsidRPr="00400C0B">
        <w:rPr>
          <w:rFonts w:cs="Guttman Rashi" w:hint="eastAsia"/>
          <w:rtl/>
          <w:lang w:bidi="he-IL"/>
        </w:rPr>
        <w:t>לאיסור</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קושייתו</w:t>
      </w:r>
      <w:r w:rsidRPr="00400C0B">
        <w:rPr>
          <w:rFonts w:cs="Guttman Rashi"/>
          <w:rtl/>
          <w:lang w:bidi="he-IL"/>
        </w:rPr>
        <w:t xml:space="preserve"> </w:t>
      </w:r>
      <w:r w:rsidRPr="00400C0B">
        <w:rPr>
          <w:rFonts w:cs="Guttman Rashi" w:hint="eastAsia"/>
          <w:rtl/>
          <w:lang w:bidi="he-IL"/>
        </w:rPr>
        <w:t>היתה</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מצטרף</w:t>
      </w:r>
      <w:r w:rsidRPr="00400C0B">
        <w:rPr>
          <w:rFonts w:cs="Guttman Rashi"/>
          <w:rtl/>
          <w:lang w:bidi="he-IL"/>
        </w:rPr>
        <w:t xml:space="preserve"> </w:t>
      </w:r>
      <w:r w:rsidRPr="00400C0B">
        <w:rPr>
          <w:rFonts w:cs="Guttman Rashi" w:hint="eastAsia"/>
          <w:rtl/>
          <w:lang w:bidi="he-IL"/>
        </w:rPr>
        <w:t>לאיסור</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כזית</w:t>
      </w:r>
      <w:r w:rsidRPr="00400C0B">
        <w:rPr>
          <w:rFonts w:cs="Guttman Rashi"/>
          <w:rtl/>
          <w:lang w:bidi="he-IL"/>
        </w:rPr>
        <w:t xml:space="preserve"> </w:t>
      </w:r>
      <w:r w:rsidRPr="00400C0B">
        <w:rPr>
          <w:rFonts w:cs="Guttman Rashi" w:hint="eastAsia"/>
          <w:rtl/>
          <w:lang w:bidi="he-IL"/>
        </w:rPr>
        <w:t>בכדי</w:t>
      </w:r>
      <w:r w:rsidRPr="00400C0B">
        <w:rPr>
          <w:rFonts w:cs="Guttman Rashi"/>
          <w:rtl/>
          <w:lang w:bidi="he-IL"/>
        </w:rPr>
        <w:t xml:space="preserve"> </w:t>
      </w:r>
      <w:r w:rsidRPr="00400C0B">
        <w:rPr>
          <w:rFonts w:cs="Guttman Rashi" w:hint="eastAsia"/>
          <w:rtl/>
          <w:lang w:bidi="he-IL"/>
        </w:rPr>
        <w:t>אכילת</w:t>
      </w:r>
      <w:r w:rsidRPr="00400C0B">
        <w:rPr>
          <w:rFonts w:cs="Guttman Rashi"/>
          <w:rtl/>
          <w:lang w:bidi="he-IL"/>
        </w:rPr>
        <w:t xml:space="preserve"> </w:t>
      </w:r>
      <w:r w:rsidRPr="00400C0B">
        <w:rPr>
          <w:rFonts w:cs="Guttman Rashi" w:hint="eastAsia"/>
          <w:rtl/>
          <w:lang w:bidi="he-IL"/>
        </w:rPr>
        <w:t>פרס</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שהיתר</w:t>
      </w:r>
      <w:r w:rsidRPr="00400C0B">
        <w:rPr>
          <w:rFonts w:cs="Guttman Rashi"/>
          <w:rtl/>
          <w:lang w:bidi="he-IL"/>
        </w:rPr>
        <w:t xml:space="preserve"> </w:t>
      </w:r>
      <w:r w:rsidRPr="00400C0B">
        <w:rPr>
          <w:rFonts w:cs="Guttman Rashi" w:hint="eastAsia"/>
          <w:rtl/>
          <w:lang w:bidi="he-IL"/>
        </w:rPr>
        <w:t>מצטרף</w:t>
      </w:r>
      <w:r w:rsidRPr="00400C0B">
        <w:rPr>
          <w:rFonts w:cs="Guttman Rashi"/>
          <w:rtl/>
          <w:lang w:bidi="he-IL"/>
        </w:rPr>
        <w:t xml:space="preserve"> </w:t>
      </w:r>
      <w:r w:rsidRPr="00400C0B">
        <w:rPr>
          <w:rFonts w:cs="Guttman Rashi" w:hint="eastAsia"/>
          <w:rtl/>
          <w:lang w:bidi="he-IL"/>
        </w:rPr>
        <w:t>אליו</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להתחייב</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אדם</w:t>
      </w:r>
      <w:r w:rsidRPr="00400C0B">
        <w:rPr>
          <w:rFonts w:cs="Guttman Rashi"/>
          <w:rtl/>
          <w:lang w:bidi="he-IL"/>
        </w:rPr>
        <w:t xml:space="preserve"> </w:t>
      </w:r>
      <w:r w:rsidRPr="00400C0B">
        <w:rPr>
          <w:rFonts w:cs="Guttman Rashi" w:hint="eastAsia"/>
          <w:rtl/>
          <w:lang w:bidi="he-IL"/>
        </w:rPr>
        <w:t>אוכלו</w:t>
      </w:r>
      <w:r w:rsidRPr="00400C0B">
        <w:rPr>
          <w:rFonts w:cs="Guttman Rashi"/>
          <w:rtl/>
          <w:lang w:bidi="he-IL"/>
        </w:rPr>
        <w:t xml:space="preserve"> </w:t>
      </w:r>
      <w:r w:rsidRPr="00400C0B">
        <w:rPr>
          <w:rFonts w:cs="Guttman Rashi" w:hint="eastAsia"/>
          <w:rtl/>
          <w:lang w:bidi="he-IL"/>
        </w:rPr>
        <w:t>לבדו</w:t>
      </w:r>
      <w:r w:rsidRPr="00400C0B">
        <w:rPr>
          <w:rFonts w:cs="Guttman Rashi"/>
          <w:rtl/>
          <w:lang w:bidi="he-IL"/>
        </w:rPr>
        <w:t>.</w:t>
      </w:r>
    </w:p>
  </w:footnote>
  <w:footnote w:id="1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הקשה</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נזיר</w:t>
      </w:r>
      <w:r w:rsidRPr="00400C0B">
        <w:rPr>
          <w:rFonts w:cs="Guttman Rashi"/>
          <w:rtl/>
          <w:lang w:bidi="he-IL"/>
        </w:rPr>
        <w:t xml:space="preserve"> </w:t>
      </w:r>
      <w:r w:rsidRPr="00400C0B">
        <w:rPr>
          <w:rFonts w:cs="Guttman Rashi" w:hint="eastAsia"/>
          <w:rtl/>
          <w:lang w:bidi="he-IL"/>
        </w:rPr>
        <w:t>דף</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וכזית</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רשב</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ששם</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שהתוס</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דחו</w:t>
      </w:r>
      <w:r w:rsidRPr="00400C0B">
        <w:rPr>
          <w:rFonts w:cs="Guttman Rashi"/>
          <w:rtl/>
          <w:lang w:bidi="he-IL"/>
        </w:rPr>
        <w:t xml:space="preserve"> </w:t>
      </w:r>
      <w:r w:rsidRPr="00400C0B">
        <w:rPr>
          <w:rFonts w:cs="Guttman Rashi" w:hint="eastAsia"/>
          <w:rtl/>
          <w:lang w:bidi="he-IL"/>
        </w:rPr>
        <w:t>פירש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מאי</w:t>
      </w:r>
      <w:r w:rsidRPr="00400C0B">
        <w:rPr>
          <w:rFonts w:cs="Guttman Rashi"/>
          <w:rtl/>
          <w:lang w:bidi="he-IL"/>
        </w:rPr>
        <w:t xml:space="preserve"> </w:t>
      </w:r>
      <w:r w:rsidRPr="00400C0B">
        <w:rPr>
          <w:rFonts w:cs="Guttman Rashi" w:hint="eastAsia"/>
          <w:rtl/>
          <w:lang w:bidi="he-IL"/>
        </w:rPr>
        <w:t>קא</w:t>
      </w:r>
      <w:r w:rsidRPr="00400C0B">
        <w:rPr>
          <w:rFonts w:cs="Guttman Rashi"/>
          <w:rtl/>
          <w:lang w:bidi="he-IL"/>
        </w:rPr>
        <w:t xml:space="preserve"> </w:t>
      </w:r>
      <w:r w:rsidRPr="00400C0B">
        <w:rPr>
          <w:rFonts w:cs="Guttman Rashi" w:hint="eastAsia"/>
          <w:rtl/>
          <w:lang w:bidi="he-IL"/>
        </w:rPr>
        <w:t>קשיא</w:t>
      </w:r>
      <w:r w:rsidRPr="00400C0B">
        <w:rPr>
          <w:rFonts w:cs="Guttman Rashi"/>
          <w:rtl/>
          <w:lang w:bidi="he-IL"/>
        </w:rPr>
        <w:t xml:space="preserve"> </w:t>
      </w:r>
      <w:r w:rsidRPr="00400C0B">
        <w:rPr>
          <w:rFonts w:cs="Guttman Rashi" w:hint="eastAsia"/>
          <w:rtl/>
          <w:lang w:bidi="he-IL"/>
        </w:rPr>
        <w:t>להו</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לדחוק</w:t>
      </w:r>
      <w:r w:rsidRPr="00400C0B">
        <w:rPr>
          <w:rFonts w:cs="Guttman Rashi"/>
          <w:rtl/>
          <w:lang w:bidi="he-IL"/>
        </w:rPr>
        <w:t xml:space="preserve"> </w:t>
      </w:r>
      <w:r w:rsidRPr="00400C0B">
        <w:rPr>
          <w:rFonts w:cs="Guttman Rashi" w:hint="eastAsia"/>
          <w:rtl/>
          <w:lang w:bidi="he-IL"/>
        </w:rPr>
        <w:t>שמ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להקשות</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דרש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hint="eastAsia"/>
          <w:rtl/>
          <w:lang w:bidi="he-IL"/>
        </w:rPr>
        <w:t>הבאה</w:t>
      </w:r>
      <w:r w:rsidRPr="00400C0B">
        <w:rPr>
          <w:rFonts w:cs="Guttman Rashi"/>
          <w:rtl/>
          <w:lang w:bidi="he-IL"/>
        </w:rPr>
        <w:t>.</w:t>
      </w:r>
    </w:p>
  </w:footnote>
  <w:footnote w:id="19">
    <w:p w:rsidR="007978F4" w:rsidRPr="00400C0B" w:rsidRDefault="007978F4" w:rsidP="00E6301E">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וקושיית</w:t>
      </w:r>
      <w:r>
        <w:rPr>
          <w:rFonts w:cs="Guttman Rashi" w:hint="cs"/>
          <w:rtl/>
          <w:lang w:bidi="he-IL"/>
        </w:rPr>
        <w:t xml:space="preserve"> התוס'</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נזיר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כקושיא</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Pr>
          <w:rFonts w:cs="Guttman Rashi" w:hint="cs"/>
          <w:rtl/>
          <w:lang w:bidi="he-IL"/>
        </w:rPr>
        <w:t xml:space="preserve">הנ"ל, </w:t>
      </w:r>
      <w:r w:rsidRPr="00400C0B">
        <w:rPr>
          <w:rFonts w:cs="Guttman Rashi" w:hint="eastAsia"/>
          <w:rtl/>
          <w:lang w:bidi="he-IL"/>
        </w:rPr>
        <w:t>דאל</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מתרצי</w:t>
      </w:r>
      <w:r w:rsidRPr="00400C0B">
        <w:rPr>
          <w:rFonts w:cs="Guttman Rashi"/>
          <w:rtl/>
          <w:lang w:bidi="he-IL"/>
        </w:rPr>
        <w:t xml:space="preserve"> </w:t>
      </w:r>
      <w:r w:rsidRPr="00400C0B">
        <w:rPr>
          <w:rFonts w:cs="Guttman Rashi" w:hint="eastAsia"/>
          <w:rtl/>
          <w:lang w:bidi="he-IL"/>
        </w:rPr>
        <w:t>מידי</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דא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דבריהם</w:t>
      </w:r>
      <w:r w:rsidRPr="00400C0B">
        <w:rPr>
          <w:rFonts w:cs="Guttman Rashi"/>
          <w:rtl/>
          <w:lang w:bidi="he-IL"/>
        </w:rPr>
        <w:t xml:space="preserve"> </w:t>
      </w:r>
      <w:r w:rsidRPr="00400C0B">
        <w:rPr>
          <w:rFonts w:cs="Guttman Rashi" w:hint="eastAsia"/>
          <w:rtl/>
          <w:lang w:bidi="he-IL"/>
        </w:rPr>
        <w:t>קשים</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כתבנו</w:t>
      </w:r>
      <w:r w:rsidRPr="00400C0B">
        <w:rPr>
          <w:rFonts w:cs="Guttman Rashi"/>
          <w:rtl/>
          <w:lang w:bidi="he-IL"/>
        </w:rPr>
        <w:t xml:space="preserve"> </w:t>
      </w:r>
      <w:r w:rsidRPr="00400C0B">
        <w:rPr>
          <w:rFonts w:cs="Guttman Rashi" w:hint="eastAsia"/>
          <w:rtl/>
          <w:lang w:bidi="he-IL"/>
        </w:rPr>
        <w:t>בהערה</w:t>
      </w:r>
      <w:r w:rsidRPr="00400C0B">
        <w:rPr>
          <w:rFonts w:cs="Guttman Rashi"/>
          <w:rtl/>
          <w:lang w:bidi="he-IL"/>
        </w:rPr>
        <w:t xml:space="preserve"> </w:t>
      </w:r>
      <w:r w:rsidRPr="00400C0B">
        <w:rPr>
          <w:rFonts w:cs="Guttman Rashi" w:hint="eastAsia"/>
          <w:rtl/>
          <w:lang w:bidi="he-IL"/>
        </w:rPr>
        <w:t>הקודמת</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קושייתם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דמיירי</w:t>
      </w:r>
      <w:r w:rsidRPr="00400C0B">
        <w:rPr>
          <w:rFonts w:cs="Guttman Rashi"/>
          <w:rtl/>
          <w:lang w:bidi="he-IL"/>
        </w:rPr>
        <w:t xml:space="preserve"> </w:t>
      </w:r>
      <w:r w:rsidRPr="00400C0B">
        <w:rPr>
          <w:rFonts w:cs="Guttman Rashi" w:hint="eastAsia"/>
          <w:rtl/>
          <w:lang w:bidi="he-IL"/>
        </w:rPr>
        <w:t>במעורב</w:t>
      </w:r>
      <w:r w:rsidRPr="00400C0B">
        <w:rPr>
          <w:rFonts w:cs="Guttman Rashi"/>
          <w:rtl/>
          <w:lang w:bidi="he-IL"/>
        </w:rPr>
        <w:t xml:space="preserve">, </w:t>
      </w:r>
      <w:r w:rsidRPr="00400C0B">
        <w:rPr>
          <w:rFonts w:cs="Guttman Rashi" w:hint="eastAsia"/>
          <w:rtl/>
          <w:lang w:bidi="he-IL"/>
        </w:rPr>
        <w:t>ולשיטתו</w:t>
      </w:r>
      <w:r w:rsidRPr="00400C0B">
        <w:rPr>
          <w:rFonts w:cs="Guttman Rashi"/>
          <w:rtl/>
          <w:lang w:bidi="he-IL"/>
        </w:rPr>
        <w:t xml:space="preserve"> </w:t>
      </w:r>
      <w:r w:rsidRPr="00400C0B">
        <w:rPr>
          <w:rFonts w:cs="Guttman Rashi" w:hint="eastAsia"/>
          <w:rtl/>
          <w:lang w:bidi="he-IL"/>
        </w:rPr>
        <w:t>שליבטל</w:t>
      </w:r>
      <w:r w:rsidRPr="00400C0B">
        <w:rPr>
          <w:rFonts w:cs="Guttman Rashi"/>
          <w:rtl/>
          <w:lang w:bidi="he-IL"/>
        </w:rPr>
        <w:t xml:space="preserve"> </w:t>
      </w:r>
      <w:r w:rsidRPr="00400C0B">
        <w:rPr>
          <w:rFonts w:cs="Guttman Rashi" w:hint="eastAsia"/>
          <w:rtl/>
          <w:lang w:bidi="he-IL"/>
        </w:rPr>
        <w:t>ברובא</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מדין</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רבים</w:t>
      </w:r>
      <w:r w:rsidRPr="00400C0B">
        <w:rPr>
          <w:rFonts w:cs="Guttman Rashi"/>
          <w:rtl/>
          <w:lang w:bidi="he-IL"/>
        </w:rPr>
        <w:t xml:space="preserve"> </w:t>
      </w:r>
      <w:r w:rsidRPr="00400C0B">
        <w:rPr>
          <w:rFonts w:cs="Guttman Rashi" w:hint="eastAsia"/>
          <w:rtl/>
          <w:lang w:bidi="he-IL"/>
        </w:rPr>
        <w:t>להטות</w:t>
      </w:r>
      <w:r>
        <w:rPr>
          <w:rFonts w:cs="Guttman Rashi" w:hint="cs"/>
          <w:rtl/>
          <w:lang w:bidi="he-IL"/>
        </w:rPr>
        <w:t>.</w:t>
      </w:r>
      <w:r w:rsidRPr="00400C0B">
        <w:rPr>
          <w:rFonts w:cs="Guttman Rashi"/>
          <w:rtl/>
          <w:lang w:bidi="he-IL"/>
        </w:rPr>
        <w:t xml:space="preserve"> </w:t>
      </w:r>
      <w:r w:rsidRPr="00400C0B">
        <w:rPr>
          <w:rFonts w:cs="Guttman Rashi" w:hint="eastAsia"/>
          <w:rtl/>
          <w:lang w:bidi="he-IL"/>
        </w:rPr>
        <w:t>ו</w:t>
      </w:r>
      <w:r>
        <w:rPr>
          <w:rFonts w:cs="Guttman Rashi" w:hint="cs"/>
          <w:rtl/>
          <w:lang w:bidi="he-IL"/>
        </w:rPr>
        <w:t>כיון שכן לכאורה צ"ע,</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Pr>
          <w:rFonts w:cs="Guttman Rashi" w:hint="cs"/>
          <w:rtl/>
          <w:lang w:bidi="he-IL"/>
        </w:rPr>
        <w:t>ד</w:t>
      </w:r>
      <w:r w:rsidRPr="00400C0B">
        <w:rPr>
          <w:rFonts w:cs="Guttman Rashi" w:hint="eastAsia"/>
          <w:rtl/>
          <w:lang w:bidi="he-IL"/>
        </w:rPr>
        <w:t>איכא</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Pr>
          <w:rFonts w:cs="Guttman Rashi" w:hint="cs"/>
          <w:rtl/>
          <w:lang w:bidi="he-IL"/>
        </w:rPr>
        <w:t>ו</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Pr>
          <w:rFonts w:cs="Guttman Rashi" w:hint="cs"/>
          <w:rtl/>
          <w:lang w:bidi="he-IL"/>
        </w:rPr>
        <w:t>(</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שצריכים</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טעם</w:t>
      </w:r>
      <w:r>
        <w:rPr>
          <w:rFonts w:cs="Guttman Rashi" w:hint="cs"/>
          <w:rtl/>
          <w:lang w:bidi="he-IL"/>
        </w:rPr>
        <w:t>)</w:t>
      </w:r>
      <w:r w:rsidRPr="00400C0B">
        <w:rPr>
          <w:rFonts w:cs="Guttman Rashi"/>
          <w:rtl/>
          <w:lang w:bidi="he-IL"/>
        </w:rPr>
        <w:t xml:space="preserve"> </w:t>
      </w:r>
      <w:r w:rsidRPr="00400C0B">
        <w:rPr>
          <w:rFonts w:cs="Guttman Rashi" w:hint="eastAsia"/>
          <w:rtl/>
          <w:lang w:bidi="he-IL"/>
        </w:rPr>
        <w:t>מהו</w:t>
      </w:r>
      <w:r w:rsidRPr="00400C0B">
        <w:rPr>
          <w:rFonts w:cs="Guttman Rashi"/>
          <w:rtl/>
          <w:lang w:bidi="he-IL"/>
        </w:rPr>
        <w:t xml:space="preserve"> </w:t>
      </w:r>
      <w:r w:rsidRPr="00400C0B">
        <w:rPr>
          <w:rFonts w:cs="Guttman Rashi" w:hint="eastAsia"/>
          <w:rtl/>
          <w:lang w:bidi="he-IL"/>
        </w:rPr>
        <w:t>הקושיא</w:t>
      </w:r>
      <w:r w:rsidRPr="00400C0B">
        <w:rPr>
          <w:rFonts w:cs="Guttman Rashi"/>
          <w:rtl/>
          <w:lang w:bidi="he-IL"/>
        </w:rPr>
        <w:t xml:space="preserve"> </w:t>
      </w:r>
      <w:r w:rsidRPr="00400C0B">
        <w:rPr>
          <w:rFonts w:cs="Guttman Rashi" w:hint="eastAsia"/>
          <w:rtl/>
          <w:lang w:bidi="he-IL"/>
        </w:rPr>
        <w:t>דליבטל</w:t>
      </w:r>
      <w:r w:rsidRPr="00400C0B">
        <w:rPr>
          <w:rFonts w:cs="Guttman Rashi"/>
          <w:rtl/>
          <w:lang w:bidi="he-IL"/>
        </w:rPr>
        <w:t xml:space="preserve"> </w:t>
      </w:r>
      <w:r w:rsidRPr="00400C0B">
        <w:rPr>
          <w:rFonts w:cs="Guttman Rashi" w:hint="eastAsia"/>
          <w:rtl/>
          <w:lang w:bidi="he-IL"/>
        </w:rPr>
        <w:t>ברובא</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שלעולם</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לתוס</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דאע</w:t>
      </w:r>
      <w:r w:rsidRPr="00400C0B">
        <w:rPr>
          <w:rFonts w:cs="Guttman Rashi"/>
          <w:rtl/>
          <w:lang w:bidi="he-IL"/>
        </w:rPr>
        <w:t>"</w:t>
      </w:r>
      <w:r w:rsidRPr="00400C0B">
        <w:rPr>
          <w:rFonts w:cs="Guttman Rashi" w:hint="eastAsia"/>
          <w:rtl/>
          <w:lang w:bidi="he-IL"/>
        </w:rPr>
        <w:t>ג</w:t>
      </w:r>
      <w:r w:rsidRPr="00400C0B">
        <w:rPr>
          <w:rFonts w:cs="Guttman Rashi"/>
          <w:lang w:bidi="he-IL"/>
        </w:rPr>
        <w:t xml:space="preserve"> </w:t>
      </w:r>
      <w:r w:rsidRPr="00400C0B">
        <w:rPr>
          <w:rFonts w:cs="Guttman Rashi" w:hint="eastAsia"/>
          <w:rtl/>
          <w:lang w:bidi="he-IL"/>
        </w:rPr>
        <w:t>שהשום</w:t>
      </w:r>
      <w:r w:rsidRPr="00400C0B">
        <w:rPr>
          <w:rFonts w:cs="Guttman Rashi"/>
          <w:rtl/>
          <w:lang w:bidi="he-IL"/>
        </w:rPr>
        <w:t xml:space="preserve"> </w:t>
      </w:r>
      <w:r w:rsidRPr="00400C0B">
        <w:rPr>
          <w:rFonts w:cs="Guttman Rashi" w:hint="eastAsia"/>
          <w:rtl/>
          <w:lang w:bidi="he-IL"/>
        </w:rPr>
        <w:t>בעין</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המקפה</w:t>
      </w:r>
      <w:r w:rsidRPr="00400C0B">
        <w:rPr>
          <w:rFonts w:cs="Guttman Rashi"/>
          <w:rtl/>
          <w:lang w:bidi="he-IL"/>
        </w:rPr>
        <w:t xml:space="preserve"> </w:t>
      </w:r>
      <w:r w:rsidRPr="00400C0B">
        <w:rPr>
          <w:rFonts w:cs="Guttman Rashi" w:hint="eastAsia"/>
          <w:rtl/>
          <w:lang w:bidi="he-IL"/>
        </w:rPr>
        <w:t>היתה</w:t>
      </w:r>
      <w:r w:rsidRPr="00400C0B">
        <w:rPr>
          <w:rFonts w:cs="Guttman Rashi"/>
          <w:rtl/>
          <w:lang w:bidi="he-IL"/>
        </w:rPr>
        <w:t xml:space="preserve"> </w:t>
      </w:r>
      <w:r w:rsidRPr="00400C0B">
        <w:rPr>
          <w:rFonts w:cs="Guttman Rashi" w:hint="eastAsia"/>
          <w:rtl/>
          <w:lang w:bidi="he-IL"/>
        </w:rPr>
        <w:t>מבושלת</w:t>
      </w:r>
      <w:r w:rsidRPr="00400C0B">
        <w:rPr>
          <w:rFonts w:cs="Guttman Rashi"/>
          <w:rtl/>
          <w:lang w:bidi="he-IL"/>
        </w:rPr>
        <w:t xml:space="preserve"> </w:t>
      </w:r>
      <w:r w:rsidRPr="00400C0B">
        <w:rPr>
          <w:rFonts w:cs="Guttman Rashi" w:hint="eastAsia"/>
          <w:rtl/>
          <w:lang w:bidi="he-IL"/>
        </w:rPr>
        <w:t>ביחד</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נכנס</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השום</w:t>
      </w:r>
      <w:r w:rsidRPr="00400C0B">
        <w:rPr>
          <w:rFonts w:cs="Guttman Rashi"/>
          <w:rtl/>
          <w:lang w:bidi="he-IL"/>
        </w:rPr>
        <w:t xml:space="preserve"> </w:t>
      </w:r>
      <w:r w:rsidRPr="00400C0B">
        <w:rPr>
          <w:rFonts w:cs="Guttman Rashi" w:hint="eastAsia"/>
          <w:rtl/>
          <w:lang w:bidi="he-IL"/>
        </w:rPr>
        <w:t>לתוך</w:t>
      </w:r>
      <w:r w:rsidRPr="00400C0B">
        <w:rPr>
          <w:rFonts w:cs="Guttman Rashi"/>
          <w:rtl/>
          <w:lang w:bidi="he-IL"/>
        </w:rPr>
        <w:t xml:space="preserve"> </w:t>
      </w:r>
      <w:r w:rsidRPr="00400C0B">
        <w:rPr>
          <w:rFonts w:cs="Guttman Rashi" w:hint="eastAsia"/>
          <w:rtl/>
          <w:lang w:bidi="he-IL"/>
        </w:rPr>
        <w:t>המקפה</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שפיר</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לדון</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דתוס</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דטכ</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2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כחידושו</w:t>
      </w:r>
      <w:r w:rsidRPr="00400C0B">
        <w:rPr>
          <w:rFonts w:cs="Guttman Rashi"/>
          <w:rtl/>
          <w:lang w:bidi="he-IL"/>
        </w:rPr>
        <w:t xml:space="preserve"> </w:t>
      </w:r>
      <w:r w:rsidRPr="00400C0B">
        <w:rPr>
          <w:rFonts w:cs="Guttman Rashi" w:hint="eastAsia"/>
          <w:rtl/>
          <w:lang w:bidi="he-IL"/>
        </w:rPr>
        <w:t>הראשון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דרש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די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שנהפך</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חפצא</w:t>
      </w:r>
      <w:r w:rsidRPr="00400C0B">
        <w:rPr>
          <w:rFonts w:cs="Guttman Rashi"/>
          <w:rtl/>
          <w:lang w:bidi="he-IL"/>
        </w:rPr>
        <w:t xml:space="preserve"> </w:t>
      </w:r>
      <w:r w:rsidRPr="00400C0B">
        <w:rPr>
          <w:rFonts w:cs="Guttman Rashi" w:hint="eastAsia"/>
          <w:rtl/>
          <w:lang w:bidi="he-IL"/>
        </w:rPr>
        <w:t>דאיסורא</w:t>
      </w:r>
      <w:r w:rsidRPr="00400C0B">
        <w:rPr>
          <w:rFonts w:cs="Guttman Rashi"/>
          <w:rtl/>
          <w:lang w:bidi="he-IL"/>
        </w:rPr>
        <w:t xml:space="preserve"> </w:t>
      </w:r>
      <w:r w:rsidRPr="00400C0B">
        <w:rPr>
          <w:rFonts w:cs="Guttman Rashi" w:hint="eastAsia"/>
          <w:rtl/>
          <w:lang w:bidi="he-IL"/>
        </w:rPr>
        <w:t>ולמה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יקבל</w:t>
      </w:r>
      <w:r w:rsidRPr="00400C0B">
        <w:rPr>
          <w:rFonts w:cs="Guttman Rashi"/>
          <w:rtl/>
          <w:lang w:bidi="he-IL"/>
        </w:rPr>
        <w:t xml:space="preserve"> </w:t>
      </w:r>
      <w:r w:rsidRPr="00400C0B">
        <w:rPr>
          <w:rFonts w:cs="Guttman Rashi" w:hint="eastAsia"/>
          <w:rtl/>
          <w:lang w:bidi="he-IL"/>
        </w:rPr>
        <w:t>טומאה</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חפצא</w:t>
      </w:r>
      <w:r w:rsidRPr="00400C0B">
        <w:rPr>
          <w:rFonts w:cs="Guttman Rashi"/>
          <w:rtl/>
          <w:lang w:bidi="he-IL"/>
        </w:rPr>
        <w:t xml:space="preserve"> </w:t>
      </w:r>
      <w:r w:rsidRPr="00400C0B">
        <w:rPr>
          <w:rFonts w:cs="Guttman Rashi" w:hint="eastAsia"/>
          <w:rtl/>
          <w:lang w:bidi="he-IL"/>
        </w:rPr>
        <w:t>דאיסורא</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אכילה</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21">
    <w:p w:rsidR="007978F4" w:rsidRPr="00400C0B" w:rsidRDefault="007978F4" w:rsidP="00E6301E">
      <w:pPr>
        <w:pStyle w:val="FootnoteText"/>
        <w:bidi/>
        <w:jc w:val="both"/>
        <w:rPr>
          <w:rFonts w:cs="Guttman Rashi"/>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להעיר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סתימת</w:t>
      </w:r>
      <w:r w:rsidRPr="00400C0B">
        <w:rPr>
          <w:rFonts w:cs="Guttman Rashi"/>
          <w:rtl/>
          <w:lang w:bidi="he-IL"/>
        </w:rPr>
        <w:t xml:space="preserve"> </w:t>
      </w:r>
      <w:r w:rsidRPr="00400C0B">
        <w:rPr>
          <w:rFonts w:cs="Guttman Rashi" w:hint="eastAsia"/>
          <w:rtl/>
          <w:lang w:bidi="he-IL"/>
        </w:rPr>
        <w:t>לשון</w:t>
      </w:r>
      <w:r w:rsidRPr="00400C0B">
        <w:rPr>
          <w:rFonts w:cs="Guttman Rashi"/>
          <w:rtl/>
          <w:lang w:bidi="he-IL"/>
        </w:rPr>
        <w:t xml:space="preserve"> </w:t>
      </w:r>
      <w:r w:rsidRPr="00400C0B">
        <w:rPr>
          <w:rFonts w:cs="Guttman Rashi" w:hint="eastAsia"/>
          <w:rtl/>
          <w:lang w:bidi="he-IL"/>
        </w:rPr>
        <w:t>פירוש</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נזיר</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שאלה</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עיקר</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כזית</w:t>
      </w:r>
      <w:r w:rsidRPr="00400C0B">
        <w:rPr>
          <w:rFonts w:cs="Guttman Rashi"/>
          <w:rtl/>
          <w:lang w:bidi="he-IL"/>
        </w:rPr>
        <w:t xml:space="preserve"> </w:t>
      </w:r>
      <w:r w:rsidRPr="00400C0B">
        <w:rPr>
          <w:rFonts w:cs="Guttman Rashi" w:hint="eastAsia"/>
          <w:rtl/>
          <w:lang w:bidi="he-IL"/>
        </w:rPr>
        <w:t>בכא</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בתוס</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פירש</w:t>
      </w:r>
      <w:r w:rsidRPr="00400C0B">
        <w:rPr>
          <w:rFonts w:cs="Guttman Rashi"/>
          <w:rtl/>
          <w:lang w:bidi="he-IL"/>
        </w:rPr>
        <w:t xml:space="preserve"> </w:t>
      </w:r>
      <w:r w:rsidRPr="00400C0B">
        <w:rPr>
          <w:rFonts w:cs="Guttman Rashi" w:hint="eastAsia"/>
          <w:rtl/>
          <w:lang w:bidi="he-IL"/>
        </w:rPr>
        <w:t>שהשאלה</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אכזית</w:t>
      </w:r>
      <w:r w:rsidRPr="00400C0B">
        <w:rPr>
          <w:rFonts w:cs="Guttman Rashi"/>
          <w:rtl/>
          <w:lang w:bidi="he-IL"/>
        </w:rPr>
        <w:t xml:space="preserve"> </w:t>
      </w:r>
      <w:r w:rsidRPr="00400C0B">
        <w:rPr>
          <w:rFonts w:cs="Guttman Rashi" w:hint="eastAsia"/>
          <w:rtl/>
          <w:lang w:bidi="he-IL"/>
        </w:rPr>
        <w:t>בכא</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בתערובת</w:t>
      </w:r>
      <w:r w:rsidRPr="00400C0B">
        <w:rPr>
          <w:rFonts w:cs="Guttman Rashi"/>
          <w:rtl/>
          <w:lang w:bidi="he-IL"/>
        </w:rPr>
        <w:t>.</w:t>
      </w:r>
      <w:r>
        <w:rPr>
          <w:rFonts w:cs="Guttman Rashi" w:hint="cs"/>
          <w:rtl/>
          <w:lang w:bidi="he-IL"/>
        </w:rPr>
        <w:t xml:space="preserve"> וע' מש"כ בזה עוד בסוף שיעור ד' בדברים שנתחדשו בחזרה.</w:t>
      </w:r>
    </w:p>
  </w:footnote>
  <w:footnote w:id="2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שהערנו</w:t>
      </w:r>
      <w:r w:rsidRPr="00400C0B">
        <w:rPr>
          <w:rFonts w:cs="Guttman Rashi"/>
          <w:rtl/>
          <w:lang w:bidi="he-IL"/>
        </w:rPr>
        <w:t xml:space="preserve"> </w:t>
      </w:r>
      <w:r w:rsidRPr="00400C0B">
        <w:rPr>
          <w:rFonts w:cs="Guttman Rashi" w:hint="eastAsia"/>
          <w:rtl/>
          <w:lang w:bidi="he-IL"/>
        </w:rPr>
        <w:t>דיתכן</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נכון</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שהארכנו</w:t>
      </w:r>
      <w:r w:rsidRPr="00400C0B">
        <w:rPr>
          <w:rFonts w:cs="Guttman Rashi"/>
          <w:rtl/>
          <w:lang w:bidi="he-IL"/>
        </w:rPr>
        <w:t xml:space="preserve"> </w:t>
      </w:r>
      <w:r w:rsidRPr="00400C0B">
        <w:rPr>
          <w:rFonts w:cs="Guttman Rashi" w:hint="eastAsia"/>
          <w:rtl/>
          <w:lang w:bidi="he-IL"/>
        </w:rPr>
        <w:t>בביאור</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w:t>
      </w:r>
      <w:r w:rsidRPr="00400C0B">
        <w:rPr>
          <w:rFonts w:cs="Guttman Rashi" w:hint="eastAsia"/>
          <w:rtl/>
          <w:lang w:bidi="he-IL"/>
        </w:rPr>
        <w:t>ד</w:t>
      </w:r>
      <w:r w:rsidRPr="00400C0B">
        <w:rPr>
          <w:rFonts w:cs="Guttman Rashi"/>
          <w:rtl/>
          <w:lang w:bidi="he-IL"/>
        </w:rPr>
        <w:t>.</w:t>
      </w:r>
    </w:p>
  </w:footnote>
  <w:footnote w:id="23">
    <w:p w:rsidR="007978F4" w:rsidRPr="0037451B" w:rsidRDefault="007978F4" w:rsidP="0037451B">
      <w:pPr>
        <w:pStyle w:val="FootnoteText"/>
        <w:bidi/>
        <w:jc w:val="both"/>
        <w:rPr>
          <w:rFonts w:cs="Guttman Rashi"/>
          <w:rtl/>
          <w:lang w:bidi="he-IL"/>
        </w:rPr>
      </w:pPr>
      <w:r>
        <w:rPr>
          <w:rStyle w:val="FootnoteReference"/>
        </w:rPr>
        <w:footnoteRef/>
      </w:r>
      <w:r>
        <w:t xml:space="preserve"> </w:t>
      </w:r>
      <w:r>
        <w:rPr>
          <w:rFonts w:cs="Guttman Rashi" w:hint="cs"/>
          <w:rtl/>
          <w:lang w:bidi="he-IL"/>
        </w:rPr>
        <w:t>ולכאורה כן הוא גם ביאור דברי הגמ' לעיל לפי פירוש הגר"ש שהבאנו בתחילת השיעור.</w:t>
      </w:r>
    </w:p>
  </w:footnote>
  <w:footnote w:id="24">
    <w:p w:rsidR="007978F4" w:rsidRPr="00400C0B" w:rsidRDefault="007978F4" w:rsidP="001727E9">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שנחלקו</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דר</w:t>
      </w:r>
      <w:r w:rsidRPr="00400C0B">
        <w:rPr>
          <w:rFonts w:cs="Guttman Rashi"/>
          <w:rtl/>
          <w:lang w:bidi="he-IL"/>
        </w:rPr>
        <w:t xml:space="preserve">' </w:t>
      </w:r>
      <w:r w:rsidRPr="00400C0B">
        <w:rPr>
          <w:rFonts w:cs="Guttman Rashi" w:hint="eastAsia"/>
          <w:rtl/>
          <w:lang w:bidi="he-IL"/>
        </w:rPr>
        <w:t>יוחנן</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בתוס</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כר</w:t>
      </w:r>
      <w:r w:rsidRPr="00400C0B">
        <w:rPr>
          <w:rFonts w:cs="Guttman Rashi"/>
          <w:rtl/>
          <w:lang w:bidi="he-IL"/>
        </w:rPr>
        <w:t xml:space="preserve">' </w:t>
      </w:r>
      <w:r w:rsidRPr="00400C0B">
        <w:rPr>
          <w:rFonts w:cs="Guttman Rashi" w:hint="eastAsia"/>
          <w:rtl/>
          <w:lang w:bidi="he-IL"/>
        </w:rPr>
        <w:t>יוחנן</w:t>
      </w:r>
      <w:r w:rsidRPr="00400C0B">
        <w:rPr>
          <w:rFonts w:cs="Guttman Rashi"/>
          <w:rtl/>
          <w:lang w:bidi="he-IL"/>
        </w:rPr>
        <w:t xml:space="preserve"> </w:t>
      </w:r>
      <w:r w:rsidRPr="00400C0B">
        <w:rPr>
          <w:rFonts w:cs="Guttman Rashi" w:hint="eastAsia"/>
          <w:rtl/>
          <w:lang w:bidi="he-IL"/>
        </w:rPr>
        <w:t>בכל</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הוכחה</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הבנתי</w:t>
      </w:r>
      <w:r w:rsidRPr="00400C0B">
        <w:rPr>
          <w:rFonts w:cs="Guttman Rashi"/>
          <w:rtl/>
          <w:lang w:bidi="he-IL"/>
        </w:rPr>
        <w:t xml:space="preserve"> </w:t>
      </w:r>
      <w:r w:rsidRPr="00400C0B">
        <w:rPr>
          <w:rFonts w:cs="Guttman Rashi" w:hint="eastAsia"/>
          <w:rtl/>
          <w:lang w:bidi="he-IL"/>
        </w:rPr>
        <w:t>תי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דהרי</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קיימינן</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דמי</w:t>
      </w:r>
      <w:r w:rsidRPr="00400C0B">
        <w:rPr>
          <w:rFonts w:cs="Guttman Rashi"/>
          <w:rtl/>
          <w:lang w:bidi="he-IL"/>
        </w:rPr>
        <w:t xml:space="preserve"> </w:t>
      </w:r>
      <w:r w:rsidRPr="00400C0B">
        <w:rPr>
          <w:rFonts w:cs="Guttman Rashi" w:hint="eastAsia"/>
          <w:rtl/>
          <w:lang w:bidi="he-IL"/>
        </w:rPr>
        <w:t>שסובר</w:t>
      </w:r>
      <w:r w:rsidRPr="00400C0B">
        <w:rPr>
          <w:rFonts w:cs="Guttman Rashi"/>
          <w:rtl/>
          <w:lang w:bidi="he-IL"/>
        </w:rPr>
        <w:t xml:space="preserve"> </w:t>
      </w:r>
      <w:r w:rsidRPr="00400C0B">
        <w:rPr>
          <w:rFonts w:cs="Guttman Rashi" w:hint="eastAsia"/>
          <w:rtl/>
          <w:lang w:bidi="he-IL"/>
        </w:rPr>
        <w:t>כר</w:t>
      </w:r>
      <w:r w:rsidRPr="00400C0B">
        <w:rPr>
          <w:rFonts w:cs="Guttman Rashi"/>
          <w:rtl/>
          <w:lang w:bidi="he-IL"/>
        </w:rPr>
        <w:t xml:space="preserve">' </w:t>
      </w:r>
      <w:r w:rsidRPr="00400C0B">
        <w:rPr>
          <w:rFonts w:cs="Guttman Rashi" w:hint="eastAsia"/>
          <w:rtl/>
          <w:lang w:bidi="he-IL"/>
        </w:rPr>
        <w:t>יוחנן</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בשיטת</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יוחנן</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איך</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לפלפל</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דר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שאמנם</w:t>
      </w:r>
      <w:r w:rsidRPr="00400C0B">
        <w:rPr>
          <w:rFonts w:cs="Guttman Rashi"/>
          <w:rtl/>
          <w:lang w:bidi="he-IL"/>
        </w:rPr>
        <w:t xml:space="preserve"> </w:t>
      </w:r>
      <w:r w:rsidRPr="00400C0B">
        <w:rPr>
          <w:rFonts w:cs="Guttman Rashi" w:hint="eastAsia"/>
          <w:rtl/>
          <w:lang w:bidi="he-IL"/>
        </w:rPr>
        <w:t>היו</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לתירוצים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כזית</w:t>
      </w:r>
      <w:r w:rsidRPr="00400C0B">
        <w:rPr>
          <w:rFonts w:cs="Guttman Rashi"/>
          <w:rtl/>
          <w:lang w:bidi="he-IL"/>
        </w:rPr>
        <w:t xml:space="preserve"> </w:t>
      </w:r>
      <w:r w:rsidRPr="00400C0B">
        <w:rPr>
          <w:rFonts w:cs="Guttman Rashi" w:hint="eastAsia"/>
          <w:rtl/>
          <w:lang w:bidi="he-IL"/>
        </w:rPr>
        <w:t>בכדי</w:t>
      </w:r>
      <w:r w:rsidRPr="00400C0B">
        <w:rPr>
          <w:rFonts w:cs="Guttman Rashi"/>
          <w:rtl/>
          <w:lang w:bidi="he-IL"/>
        </w:rPr>
        <w:t xml:space="preserve"> </w:t>
      </w:r>
      <w:r w:rsidRPr="00400C0B">
        <w:rPr>
          <w:rFonts w:cs="Guttman Rashi" w:hint="eastAsia"/>
          <w:rtl/>
          <w:lang w:bidi="he-IL"/>
        </w:rPr>
        <w:t>אכילת</w:t>
      </w:r>
      <w:r w:rsidRPr="00400C0B">
        <w:rPr>
          <w:rFonts w:cs="Guttman Rashi"/>
          <w:rtl/>
          <w:lang w:bidi="he-IL"/>
        </w:rPr>
        <w:t xml:space="preserve"> </w:t>
      </w:r>
      <w:r w:rsidRPr="00400C0B">
        <w:rPr>
          <w:rFonts w:cs="Guttman Rashi" w:hint="eastAsia"/>
          <w:rtl/>
          <w:lang w:bidi="he-IL"/>
        </w:rPr>
        <w:t>פרס</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שחצי</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התורה</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רצתה</w:t>
      </w:r>
      <w:r w:rsidRPr="00400C0B">
        <w:rPr>
          <w:rFonts w:cs="Guttman Rashi"/>
          <w:rtl/>
          <w:lang w:bidi="he-IL"/>
        </w:rPr>
        <w:t xml:space="preserve"> </w:t>
      </w:r>
      <w:r w:rsidRPr="00400C0B">
        <w:rPr>
          <w:rFonts w:cs="Guttman Rashi" w:hint="eastAsia"/>
          <w:rtl/>
          <w:lang w:bidi="he-IL"/>
        </w:rPr>
        <w:t>להדגיש</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יהי</w:t>
      </w:r>
      <w:r w:rsidRPr="00400C0B">
        <w:rPr>
          <w:rFonts w:cs="Guttman Rashi"/>
          <w:rtl/>
          <w:lang w:bidi="he-IL"/>
        </w:rPr>
        <w:t xml:space="preserve">' </w:t>
      </w:r>
      <w:r w:rsidRPr="00400C0B">
        <w:rPr>
          <w:rFonts w:cs="Guttman Rashi" w:hint="eastAsia"/>
          <w:rtl/>
          <w:lang w:bidi="he-IL"/>
        </w:rPr>
        <w:t>מי</w:t>
      </w:r>
      <w:r>
        <w:rPr>
          <w:rFonts w:cs="Guttman Rashi" w:hint="cs"/>
          <w:rtl/>
          <w:lang w:bidi="he-IL"/>
        </w:rPr>
        <w:t xml:space="preserve"> </w:t>
      </w:r>
      <w:r w:rsidRPr="00400C0B">
        <w:rPr>
          <w:rFonts w:cs="Guttman Rashi" w:hint="eastAsia"/>
          <w:rtl/>
          <w:lang w:bidi="he-IL"/>
        </w:rPr>
        <w:t>שסובר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יוחנן</w:t>
      </w:r>
      <w:r w:rsidRPr="00400C0B">
        <w:rPr>
          <w:rFonts w:cs="Guttman Rashi"/>
          <w:rtl/>
          <w:lang w:bidi="he-IL"/>
        </w:rPr>
        <w:t xml:space="preserve"> </w:t>
      </w:r>
      <w:r w:rsidRPr="00400C0B">
        <w:rPr>
          <w:rFonts w:cs="Guttman Rashi" w:hint="eastAsia"/>
          <w:rtl/>
          <w:lang w:bidi="he-IL"/>
        </w:rPr>
        <w:t>בלימוד</w:t>
      </w:r>
      <w:r w:rsidRPr="00400C0B">
        <w:rPr>
          <w:rFonts w:cs="Guttman Rashi"/>
          <w:rtl/>
          <w:lang w:bidi="he-IL"/>
        </w:rPr>
        <w:t xml:space="preserve"> </w:t>
      </w:r>
      <w:r w:rsidRPr="00400C0B">
        <w:rPr>
          <w:rFonts w:cs="Guttman Rashi" w:hint="eastAsia"/>
          <w:rtl/>
          <w:lang w:bidi="he-IL"/>
        </w:rPr>
        <w:t>ממשרת</w:t>
      </w:r>
      <w:r w:rsidRPr="00400C0B">
        <w:rPr>
          <w:rFonts w:cs="Guttman Rashi"/>
          <w:rtl/>
          <w:lang w:bidi="he-IL"/>
        </w:rPr>
        <w:t xml:space="preserve"> </w:t>
      </w:r>
      <w:r w:rsidRPr="00400C0B">
        <w:rPr>
          <w:rFonts w:cs="Guttman Rashi" w:hint="eastAsia"/>
          <w:rtl/>
          <w:lang w:bidi="he-IL"/>
        </w:rPr>
        <w:t>וחלק</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בדין</w:t>
      </w:r>
      <w:r w:rsidRPr="00400C0B">
        <w:rPr>
          <w:rFonts w:cs="Guttman Rashi"/>
          <w:rtl/>
          <w:lang w:bidi="he-IL"/>
        </w:rPr>
        <w:t xml:space="preserve"> </w:t>
      </w:r>
      <w:r w:rsidRPr="00400C0B">
        <w:rPr>
          <w:rFonts w:cs="Guttman Rashi" w:hint="eastAsia"/>
          <w:rtl/>
          <w:lang w:bidi="he-IL"/>
        </w:rPr>
        <w:t>חצי</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התורה</w:t>
      </w:r>
      <w:r>
        <w:rPr>
          <w:rFonts w:cs="Guttman Rashi" w:hint="cs"/>
          <w:rtl/>
          <w:lang w:bidi="he-IL"/>
        </w:rPr>
        <w:t>,</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שאלה</w:t>
      </w:r>
      <w:r w:rsidRPr="00400C0B">
        <w:rPr>
          <w:rFonts w:cs="Guttman Rashi"/>
          <w:rtl/>
          <w:lang w:bidi="he-IL"/>
        </w:rPr>
        <w:t xml:space="preserve">. </w:t>
      </w:r>
    </w:p>
  </w:footnote>
  <w:footnote w:id="25">
    <w:p w:rsidR="007978F4" w:rsidRPr="00400C0B" w:rsidRDefault="007978F4" w:rsidP="001727E9">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ושמעתי</w:t>
      </w:r>
      <w:r w:rsidRPr="00400C0B">
        <w:rPr>
          <w:rFonts w:cs="Guttman Rashi"/>
          <w:rtl/>
          <w:lang w:bidi="he-IL"/>
        </w:rPr>
        <w:t xml:space="preserve"> </w:t>
      </w:r>
      <w:r w:rsidRPr="00400C0B">
        <w:rPr>
          <w:rFonts w:cs="Guttman Rashi" w:hint="eastAsia"/>
          <w:rtl/>
          <w:lang w:bidi="he-IL"/>
        </w:rPr>
        <w:t>מעשה</w:t>
      </w:r>
      <w:r w:rsidRPr="00400C0B">
        <w:rPr>
          <w:rFonts w:cs="Guttman Rashi"/>
          <w:rtl/>
          <w:lang w:bidi="he-IL"/>
        </w:rPr>
        <w:t xml:space="preserve">, </w:t>
      </w:r>
      <w:r w:rsidRPr="00400C0B">
        <w:rPr>
          <w:rFonts w:cs="Guttman Rashi" w:hint="eastAsia"/>
          <w:rtl/>
          <w:lang w:bidi="he-IL"/>
        </w:rPr>
        <w:t>דהנה</w:t>
      </w:r>
      <w:r w:rsidRPr="00400C0B">
        <w:rPr>
          <w:rFonts w:cs="Guttman Rashi"/>
          <w:rtl/>
          <w:lang w:bidi="he-IL"/>
        </w:rPr>
        <w:t xml:space="preserve"> </w:t>
      </w:r>
      <w:r w:rsidRPr="00400C0B">
        <w:rPr>
          <w:rFonts w:cs="Guttman Rashi" w:hint="eastAsia"/>
          <w:rtl/>
          <w:lang w:bidi="he-IL"/>
        </w:rPr>
        <w:t>הירושלמי</w:t>
      </w:r>
      <w:r w:rsidRPr="00400C0B">
        <w:rPr>
          <w:rFonts w:cs="Guttman Rashi"/>
          <w:rtl/>
          <w:lang w:bidi="he-IL"/>
        </w:rPr>
        <w:t xml:space="preserve"> </w:t>
      </w:r>
      <w:r w:rsidRPr="00400C0B">
        <w:rPr>
          <w:rFonts w:cs="Guttman Rashi" w:hint="eastAsia"/>
          <w:rtl/>
          <w:lang w:bidi="he-IL"/>
        </w:rPr>
        <w:t>רצה</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שהיו</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 xml:space="preserve"> </w:t>
      </w:r>
      <w:r w:rsidRPr="00400C0B">
        <w:rPr>
          <w:rFonts w:cs="Guttman Rashi" w:hint="eastAsia"/>
          <w:rtl/>
          <w:lang w:bidi="he-IL"/>
        </w:rPr>
        <w:t>יכולים</w:t>
      </w:r>
      <w:r w:rsidRPr="00400C0B">
        <w:rPr>
          <w:rFonts w:cs="Guttman Rashi"/>
          <w:rtl/>
          <w:lang w:bidi="he-IL"/>
        </w:rPr>
        <w:t xml:space="preserve"> </w:t>
      </w:r>
      <w:r w:rsidRPr="00400C0B">
        <w:rPr>
          <w:rFonts w:cs="Guttman Rashi" w:hint="eastAsia"/>
          <w:rtl/>
          <w:lang w:bidi="he-IL"/>
        </w:rPr>
        <w:t>לאכול</w:t>
      </w:r>
      <w:r w:rsidRPr="00400C0B">
        <w:rPr>
          <w:rFonts w:cs="Guttman Rashi"/>
          <w:rtl/>
          <w:lang w:bidi="he-IL"/>
        </w:rPr>
        <w:t xml:space="preserve"> </w:t>
      </w:r>
      <w:r w:rsidRPr="00400C0B">
        <w:rPr>
          <w:rFonts w:cs="Guttman Rashi" w:hint="eastAsia"/>
          <w:rtl/>
          <w:lang w:bidi="he-IL"/>
        </w:rPr>
        <w:t>מצה</w:t>
      </w:r>
      <w:r w:rsidRPr="00400C0B">
        <w:rPr>
          <w:rFonts w:cs="Guttman Rashi"/>
          <w:rtl/>
          <w:lang w:bidi="he-IL"/>
        </w:rPr>
        <w:t xml:space="preserve"> </w:t>
      </w:r>
      <w:r w:rsidRPr="00400C0B">
        <w:rPr>
          <w:rFonts w:cs="Guttman Rashi" w:hint="eastAsia"/>
          <w:rtl/>
          <w:lang w:bidi="he-IL"/>
        </w:rPr>
        <w:t>בביאתם</w:t>
      </w:r>
      <w:r w:rsidRPr="00400C0B">
        <w:rPr>
          <w:rFonts w:cs="Guttman Rashi"/>
          <w:rtl/>
          <w:lang w:bidi="he-IL"/>
        </w:rPr>
        <w:t xml:space="preserve"> </w:t>
      </w:r>
      <w:r w:rsidRPr="00400C0B">
        <w:rPr>
          <w:rFonts w:cs="Guttman Rashi" w:hint="eastAsia"/>
          <w:rtl/>
          <w:lang w:bidi="he-IL"/>
        </w:rPr>
        <w:t>לארץ</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שהכל</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חדש</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שהמצוה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מצה</w:t>
      </w:r>
      <w:r w:rsidRPr="00400C0B">
        <w:rPr>
          <w:rFonts w:cs="Guttman Rashi"/>
          <w:rtl/>
          <w:lang w:bidi="he-IL"/>
        </w:rPr>
        <w:t xml:space="preserve"> </w:t>
      </w:r>
      <w:r w:rsidRPr="00400C0B">
        <w:rPr>
          <w:rFonts w:cs="Guttman Rashi" w:hint="eastAsia"/>
          <w:rtl/>
          <w:lang w:bidi="he-IL"/>
        </w:rPr>
        <w:t>דוחה</w:t>
      </w:r>
      <w:r w:rsidRPr="00400C0B">
        <w:rPr>
          <w:rFonts w:cs="Guttman Rashi"/>
          <w:rtl/>
          <w:lang w:bidi="he-IL"/>
        </w:rPr>
        <w:t xml:space="preserve"> </w:t>
      </w:r>
      <w:r w:rsidRPr="00400C0B">
        <w:rPr>
          <w:rFonts w:cs="Guttman Rashi" w:hint="eastAsia"/>
          <w:rtl/>
          <w:lang w:bidi="he-IL"/>
        </w:rPr>
        <w:t>הל</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חדש</w:t>
      </w:r>
      <w:r w:rsidRPr="00400C0B">
        <w:rPr>
          <w:rFonts w:cs="Guttman Rashi"/>
          <w:rtl/>
          <w:lang w:bidi="he-IL"/>
        </w:rPr>
        <w:t xml:space="preserve">. </w:t>
      </w:r>
      <w:r w:rsidRPr="00400C0B">
        <w:rPr>
          <w:rFonts w:cs="Guttman Rashi" w:hint="eastAsia"/>
          <w:rtl/>
          <w:lang w:bidi="he-IL"/>
        </w:rPr>
        <w:t>ומקשים</w:t>
      </w:r>
      <w:r w:rsidRPr="00400C0B">
        <w:rPr>
          <w:rFonts w:cs="Guttman Rashi"/>
          <w:rtl/>
          <w:lang w:bidi="he-IL"/>
        </w:rPr>
        <w:t xml:space="preserve"> </w:t>
      </w:r>
      <w:r w:rsidRPr="00400C0B">
        <w:rPr>
          <w:rFonts w:cs="Guttman Rashi" w:hint="eastAsia"/>
          <w:rtl/>
          <w:lang w:bidi="he-IL"/>
        </w:rPr>
        <w:t>האחרונים</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בחצי</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הראשון</w:t>
      </w:r>
      <w:r w:rsidRPr="00400C0B">
        <w:rPr>
          <w:rFonts w:cs="Guttman Rashi"/>
          <w:rtl/>
          <w:lang w:bidi="he-IL"/>
        </w:rPr>
        <w:t xml:space="preserve"> </w:t>
      </w:r>
      <w:r w:rsidRPr="00400C0B">
        <w:rPr>
          <w:rFonts w:cs="Guttman Rashi" w:hint="eastAsia"/>
          <w:rtl/>
          <w:lang w:bidi="he-IL"/>
        </w:rPr>
        <w:t>עובר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ועדיין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קיים</w:t>
      </w:r>
      <w:r w:rsidRPr="00400C0B">
        <w:rPr>
          <w:rFonts w:cs="Guttman Rashi"/>
          <w:rtl/>
          <w:lang w:bidi="he-IL"/>
        </w:rPr>
        <w:t xml:space="preserve"> </w:t>
      </w:r>
      <w:r w:rsidRPr="00400C0B">
        <w:rPr>
          <w:rFonts w:cs="Guttman Rashi" w:hint="eastAsia"/>
          <w:rtl/>
          <w:lang w:bidi="he-IL"/>
        </w:rPr>
        <w:t>המצוה</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עדול</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Pr>
          <w:rFonts w:cs="Guttman Rashi" w:hint="cs"/>
          <w:rtl/>
          <w:lang w:bidi="he-IL"/>
        </w:rPr>
        <w:t>וא'</w:t>
      </w:r>
      <w:r w:rsidRPr="00400C0B">
        <w:rPr>
          <w:rFonts w:cs="Guttman Rashi"/>
          <w:rtl/>
          <w:lang w:bidi="he-IL"/>
        </w:rPr>
        <w:t xml:space="preserve"> </w:t>
      </w:r>
      <w:r w:rsidRPr="00400C0B">
        <w:rPr>
          <w:rFonts w:cs="Guttman Rashi" w:hint="eastAsia"/>
          <w:rtl/>
          <w:lang w:bidi="he-IL"/>
        </w:rPr>
        <w:t>ניגש</w:t>
      </w:r>
      <w:r w:rsidRPr="00400C0B">
        <w:rPr>
          <w:rFonts w:cs="Guttman Rashi"/>
          <w:rtl/>
          <w:lang w:bidi="he-IL"/>
        </w:rPr>
        <w:t xml:space="preserve"> </w:t>
      </w:r>
      <w:r w:rsidRPr="00400C0B">
        <w:rPr>
          <w:rFonts w:cs="Guttman Rashi" w:hint="eastAsia"/>
          <w:rtl/>
          <w:lang w:bidi="he-IL"/>
        </w:rPr>
        <w:t>להגאון</w:t>
      </w:r>
      <w:r w:rsidRPr="00400C0B">
        <w:rPr>
          <w:rFonts w:cs="Guttman Rashi"/>
          <w:rtl/>
          <w:lang w:bidi="he-IL"/>
        </w:rPr>
        <w:t xml:space="preserve"> </w:t>
      </w:r>
      <w:r w:rsidRPr="00400C0B">
        <w:rPr>
          <w:rFonts w:cs="Guttman Rashi" w:hint="eastAsia"/>
          <w:rtl/>
          <w:lang w:bidi="he-IL"/>
        </w:rPr>
        <w:t>מרוגוטשוב</w:t>
      </w:r>
      <w:r w:rsidRPr="00400C0B">
        <w:rPr>
          <w:rFonts w:cs="Guttman Rashi"/>
          <w:rtl/>
          <w:lang w:bidi="he-IL"/>
        </w:rPr>
        <w:t xml:space="preserve"> </w:t>
      </w:r>
      <w:r w:rsidRPr="00400C0B">
        <w:rPr>
          <w:rFonts w:cs="Guttman Rashi" w:hint="eastAsia"/>
          <w:rtl/>
          <w:lang w:bidi="he-IL"/>
        </w:rPr>
        <w:t>ורצה</w:t>
      </w:r>
      <w:r w:rsidRPr="00400C0B">
        <w:rPr>
          <w:rFonts w:cs="Guttman Rashi"/>
          <w:rtl/>
          <w:lang w:bidi="he-IL"/>
        </w:rPr>
        <w:t xml:space="preserve"> </w:t>
      </w:r>
      <w:r w:rsidRPr="00400C0B">
        <w:rPr>
          <w:rFonts w:cs="Guttman Rashi" w:hint="eastAsia"/>
          <w:rtl/>
          <w:lang w:bidi="he-IL"/>
        </w:rPr>
        <w:t>ל</w:t>
      </w:r>
      <w:r>
        <w:rPr>
          <w:rFonts w:cs="Guttman Rashi" w:hint="cs"/>
          <w:rtl/>
          <w:lang w:bidi="he-IL"/>
        </w:rPr>
        <w:t>יישב</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חצי</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דחזי</w:t>
      </w:r>
      <w:r w:rsidRPr="00400C0B">
        <w:rPr>
          <w:rFonts w:cs="Guttman Rashi"/>
          <w:rtl/>
          <w:lang w:bidi="he-IL"/>
        </w:rPr>
        <w:t xml:space="preserve"> </w:t>
      </w:r>
      <w:r w:rsidRPr="00400C0B">
        <w:rPr>
          <w:rFonts w:cs="Guttman Rashi" w:hint="eastAsia"/>
          <w:rtl/>
          <w:lang w:bidi="he-IL"/>
        </w:rPr>
        <w:t>לאיצטרופי</w:t>
      </w:r>
      <w:r w:rsidRPr="00400C0B">
        <w:rPr>
          <w:rFonts w:cs="Guttman Rashi"/>
          <w:rtl/>
          <w:lang w:bidi="he-IL"/>
        </w:rPr>
        <w:t xml:space="preserve">, </w:t>
      </w:r>
      <w:r w:rsidRPr="00400C0B">
        <w:rPr>
          <w:rFonts w:cs="Guttman Rashi" w:hint="eastAsia"/>
          <w:rtl/>
          <w:lang w:bidi="he-IL"/>
        </w:rPr>
        <w:t>והכא</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שמצרף</w:t>
      </w:r>
      <w:r w:rsidRPr="00400C0B">
        <w:rPr>
          <w:rFonts w:cs="Guttman Rashi"/>
          <w:rtl/>
          <w:lang w:bidi="he-IL"/>
        </w:rPr>
        <w:t xml:space="preserve"> </w:t>
      </w:r>
      <w:r w:rsidRPr="00400C0B">
        <w:rPr>
          <w:rFonts w:cs="Guttman Rashi" w:hint="eastAsia"/>
          <w:rtl/>
          <w:lang w:bidi="he-IL"/>
        </w:rPr>
        <w:t>מקיים</w:t>
      </w:r>
      <w:r w:rsidRPr="00400C0B">
        <w:rPr>
          <w:rFonts w:cs="Guttman Rashi"/>
          <w:rtl/>
          <w:lang w:bidi="he-IL"/>
        </w:rPr>
        <w:t xml:space="preserve"> </w:t>
      </w:r>
      <w:r w:rsidRPr="00400C0B">
        <w:rPr>
          <w:rFonts w:cs="Guttman Rashi" w:hint="eastAsia"/>
          <w:rtl/>
          <w:lang w:bidi="he-IL"/>
        </w:rPr>
        <w:t>המצוה</w:t>
      </w:r>
      <w:r w:rsidRPr="00400C0B">
        <w:rPr>
          <w:rFonts w:cs="Guttman Rashi"/>
          <w:rtl/>
          <w:lang w:bidi="he-IL"/>
        </w:rPr>
        <w:t xml:space="preserve">. </w:t>
      </w:r>
      <w:r w:rsidRPr="00400C0B">
        <w:rPr>
          <w:rFonts w:cs="Guttman Rashi" w:hint="eastAsia"/>
          <w:rtl/>
          <w:lang w:bidi="he-IL"/>
        </w:rPr>
        <w:t>והשיב</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הרוגוטשובער</w:t>
      </w:r>
      <w:r w:rsidRPr="00400C0B">
        <w:rPr>
          <w:rFonts w:cs="Guttman Rashi"/>
          <w:rtl/>
          <w:lang w:bidi="he-IL"/>
        </w:rPr>
        <w:t xml:space="preserve"> "</w:t>
      </w:r>
      <w:r w:rsidRPr="00400C0B">
        <w:rPr>
          <w:rFonts w:cs="Guttman Rashi" w:hint="eastAsia"/>
          <w:rtl/>
          <w:lang w:bidi="he-IL"/>
        </w:rPr>
        <w:t>שטוסים</w:t>
      </w:r>
      <w:r w:rsidRPr="00400C0B">
        <w:rPr>
          <w:rFonts w:cs="Guttman Rashi"/>
          <w:rtl/>
          <w:lang w:bidi="he-IL"/>
        </w:rPr>
        <w:t xml:space="preserve">- </w:t>
      </w:r>
      <w:r w:rsidRPr="00400C0B">
        <w:rPr>
          <w:rFonts w:cs="Guttman Rashi" w:hint="eastAsia"/>
          <w:rtl/>
          <w:lang w:bidi="he-IL"/>
        </w:rPr>
        <w:t>מיט</w:t>
      </w:r>
      <w:r w:rsidRPr="00400C0B">
        <w:rPr>
          <w:rFonts w:cs="Guttman Rashi"/>
          <w:rtl/>
          <w:lang w:bidi="he-IL"/>
        </w:rPr>
        <w:t xml:space="preserve"> </w:t>
      </w:r>
      <w:r w:rsidRPr="00400C0B">
        <w:rPr>
          <w:rFonts w:cs="Guttman Rashi" w:hint="eastAsia"/>
          <w:rtl/>
          <w:lang w:bidi="he-IL"/>
        </w:rPr>
        <w:t>לוקשען</w:t>
      </w:r>
      <w:r w:rsidRPr="00400C0B">
        <w:rPr>
          <w:rFonts w:cs="Guttman Rashi"/>
          <w:rtl/>
          <w:lang w:bidi="he-IL"/>
        </w:rPr>
        <w:t xml:space="preserve">". </w:t>
      </w:r>
      <w:r w:rsidRPr="00400C0B">
        <w:rPr>
          <w:rFonts w:cs="Guttman Rashi" w:hint="eastAsia"/>
          <w:rtl/>
          <w:lang w:bidi="he-IL"/>
        </w:rPr>
        <w:t>והכוונה</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חזי</w:t>
      </w:r>
      <w:r w:rsidRPr="00400C0B">
        <w:rPr>
          <w:rFonts w:cs="Guttman Rashi"/>
          <w:rtl/>
          <w:lang w:bidi="he-IL"/>
        </w:rPr>
        <w:t xml:space="preserve"> </w:t>
      </w:r>
      <w:r w:rsidRPr="00400C0B">
        <w:rPr>
          <w:rFonts w:cs="Guttman Rashi" w:hint="eastAsia"/>
          <w:rtl/>
          <w:lang w:bidi="he-IL"/>
        </w:rPr>
        <w:t>לאיצטרופי</w:t>
      </w:r>
      <w:r w:rsidRPr="00400C0B">
        <w:rPr>
          <w:rFonts w:cs="Guttman Rashi"/>
          <w:rtl/>
          <w:lang w:bidi="he-IL"/>
        </w:rPr>
        <w:t xml:space="preserve"> </w:t>
      </w:r>
      <w:r w:rsidRPr="00400C0B">
        <w:rPr>
          <w:rFonts w:cs="Guttman Rashi" w:hint="eastAsia"/>
          <w:rtl/>
          <w:lang w:bidi="he-IL"/>
        </w:rPr>
        <w:t>באיטריות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חדש</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מקיים</w:t>
      </w:r>
      <w:r w:rsidRPr="00400C0B">
        <w:rPr>
          <w:rFonts w:cs="Guttman Rashi"/>
          <w:rtl/>
          <w:lang w:bidi="he-IL"/>
        </w:rPr>
        <w:t xml:space="preserve"> </w:t>
      </w:r>
      <w:r w:rsidRPr="00400C0B">
        <w:rPr>
          <w:rFonts w:cs="Guttman Rashi" w:hint="eastAsia"/>
          <w:rtl/>
          <w:lang w:bidi="he-IL"/>
        </w:rPr>
        <w:t>בהם</w:t>
      </w:r>
      <w:r w:rsidRPr="00400C0B">
        <w:rPr>
          <w:rFonts w:cs="Guttman Rashi"/>
          <w:rtl/>
          <w:lang w:bidi="he-IL"/>
        </w:rPr>
        <w:t xml:space="preserve"> </w:t>
      </w:r>
      <w:r w:rsidRPr="00400C0B">
        <w:rPr>
          <w:rFonts w:cs="Guttman Rashi" w:hint="eastAsia"/>
          <w:rtl/>
          <w:lang w:bidi="he-IL"/>
        </w:rPr>
        <w:t>מצות</w:t>
      </w:r>
      <w:r w:rsidRPr="00400C0B">
        <w:rPr>
          <w:rFonts w:cs="Guttman Rashi"/>
          <w:rtl/>
          <w:lang w:bidi="he-IL"/>
        </w:rPr>
        <w:t xml:space="preserve"> </w:t>
      </w:r>
      <w:r w:rsidRPr="00400C0B">
        <w:rPr>
          <w:rFonts w:cs="Guttman Rashi" w:hint="eastAsia"/>
          <w:rtl/>
          <w:lang w:bidi="he-IL"/>
        </w:rPr>
        <w:t>מצה</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היסוד</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w:t>
      </w:r>
    </w:p>
    <w:p w:rsidR="007978F4" w:rsidRPr="00400C0B" w:rsidRDefault="007978F4" w:rsidP="001727E9">
      <w:pPr>
        <w:pStyle w:val="FootnoteText"/>
        <w:bidi/>
        <w:jc w:val="both"/>
        <w:rPr>
          <w:rFonts w:cs="Guttman Rashi"/>
          <w:rtl/>
          <w:lang w:bidi="he-IL"/>
        </w:rPr>
      </w:pP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בשאג</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ססי</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בחזו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יו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ועוד</w:t>
      </w:r>
      <w:r w:rsidRPr="00400C0B">
        <w:rPr>
          <w:rFonts w:cs="Guttman Rashi"/>
          <w:rtl/>
          <w:lang w:bidi="he-IL"/>
        </w:rPr>
        <w:t xml:space="preserve"> </w:t>
      </w:r>
      <w:r w:rsidRPr="00400C0B">
        <w:rPr>
          <w:rFonts w:cs="Guttman Rashi" w:hint="eastAsia"/>
          <w:rtl/>
          <w:lang w:bidi="he-IL"/>
        </w:rPr>
        <w:t>אחרונים</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מגי</w:t>
      </w:r>
      <w:r w:rsidRPr="00400C0B">
        <w:rPr>
          <w:rFonts w:cs="Guttman Rashi"/>
          <w:rtl/>
          <w:lang w:bidi="he-IL"/>
        </w:rPr>
        <w:t xml:space="preserve">' </w:t>
      </w:r>
      <w:r w:rsidRPr="00400C0B">
        <w:rPr>
          <w:rFonts w:cs="Guttman Rashi" w:hint="eastAsia"/>
          <w:rtl/>
          <w:lang w:bidi="he-IL"/>
        </w:rPr>
        <w:t>לתוס</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34)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תי</w:t>
      </w:r>
      <w:r w:rsidRPr="00400C0B">
        <w:rPr>
          <w:rFonts w:cs="Guttman Rashi"/>
          <w:rtl/>
          <w:lang w:bidi="he-IL"/>
        </w:rPr>
        <w:t xml:space="preserve">', </w:t>
      </w:r>
      <w:r w:rsidRPr="00400C0B">
        <w:rPr>
          <w:rFonts w:cs="Guttman Rashi" w:hint="eastAsia"/>
          <w:rtl/>
          <w:lang w:bidi="he-IL"/>
        </w:rPr>
        <w:t>ויל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להשיב</w:t>
      </w:r>
      <w:r w:rsidRPr="00400C0B">
        <w:rPr>
          <w:rFonts w:cs="Guttman Rashi"/>
          <w:rtl/>
          <w:lang w:bidi="he-IL"/>
        </w:rPr>
        <w:t xml:space="preserve"> </w:t>
      </w:r>
      <w:r w:rsidRPr="00400C0B">
        <w:rPr>
          <w:rFonts w:cs="Guttman Rashi" w:hint="eastAsia"/>
          <w:rtl/>
          <w:lang w:bidi="he-IL"/>
        </w:rPr>
        <w:t>נגד</w:t>
      </w:r>
      <w:r w:rsidRPr="00400C0B">
        <w:rPr>
          <w:rFonts w:cs="Guttman Rashi"/>
          <w:rtl/>
          <w:lang w:bidi="he-IL"/>
        </w:rPr>
        <w:t xml:space="preserve"> </w:t>
      </w:r>
      <w:r w:rsidRPr="00400C0B">
        <w:rPr>
          <w:rFonts w:cs="Guttman Rashi" w:hint="eastAsia"/>
          <w:rtl/>
          <w:lang w:bidi="he-IL"/>
        </w:rPr>
        <w:t>טענה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הם</w:t>
      </w:r>
      <w:r w:rsidRPr="00400C0B">
        <w:rPr>
          <w:rFonts w:cs="Guttman Rashi"/>
          <w:rtl/>
          <w:lang w:bidi="he-IL"/>
        </w:rPr>
        <w:t xml:space="preserve"> </w:t>
      </w:r>
      <w:r w:rsidRPr="00400C0B">
        <w:rPr>
          <w:rFonts w:cs="Guttman Rashi" w:hint="eastAsia"/>
          <w:rtl/>
          <w:lang w:bidi="he-IL"/>
        </w:rPr>
        <w:t>לומדים</w:t>
      </w:r>
      <w:r w:rsidRPr="00400C0B">
        <w:rPr>
          <w:rFonts w:cs="Guttman Rashi"/>
          <w:rtl/>
          <w:lang w:bidi="he-IL"/>
        </w:rPr>
        <w:t xml:space="preserve"> </w:t>
      </w:r>
      <w:r w:rsidRPr="00400C0B">
        <w:rPr>
          <w:rFonts w:cs="Guttman Rashi" w:hint="eastAsia"/>
          <w:rtl/>
          <w:lang w:bidi="he-IL"/>
        </w:rPr>
        <w:t>שהדין</w:t>
      </w:r>
      <w:r w:rsidRPr="00400C0B">
        <w:rPr>
          <w:rFonts w:cs="Guttman Rashi"/>
          <w:rtl/>
          <w:lang w:bidi="he-IL"/>
        </w:rPr>
        <w:t xml:space="preserve"> </w:t>
      </w:r>
      <w:r w:rsidRPr="00400C0B">
        <w:rPr>
          <w:rFonts w:cs="Guttman Rashi" w:hint="eastAsia"/>
          <w:rtl/>
          <w:lang w:bidi="he-IL"/>
        </w:rPr>
        <w:t>חזי</w:t>
      </w:r>
      <w:r w:rsidRPr="00400C0B">
        <w:rPr>
          <w:rFonts w:cs="Guttman Rashi"/>
          <w:rtl/>
          <w:lang w:bidi="he-IL"/>
        </w:rPr>
        <w:t xml:space="preserve"> </w:t>
      </w:r>
      <w:r w:rsidRPr="00400C0B">
        <w:rPr>
          <w:rFonts w:cs="Guttman Rashi" w:hint="eastAsia"/>
          <w:rtl/>
          <w:lang w:bidi="he-IL"/>
        </w:rPr>
        <w:t>לאיצטרופי</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האופצי</w:t>
      </w:r>
      <w:r w:rsidRPr="00400C0B">
        <w:rPr>
          <w:rFonts w:cs="Guttman Rashi"/>
          <w:rtl/>
          <w:lang w:bidi="he-IL"/>
        </w:rPr>
        <w:t xml:space="preserve">' </w:t>
      </w:r>
      <w:r w:rsidRPr="00400C0B">
        <w:rPr>
          <w:rFonts w:cs="Guttman Rashi" w:hint="eastAsia"/>
          <w:rtl/>
          <w:lang w:bidi="he-IL"/>
        </w:rPr>
        <w:t>בפועל</w:t>
      </w:r>
      <w:r w:rsidRPr="00400C0B">
        <w:rPr>
          <w:rFonts w:cs="Guttman Rashi"/>
          <w:rtl/>
          <w:lang w:bidi="he-IL"/>
        </w:rPr>
        <w:t xml:space="preserve"> </w:t>
      </w:r>
      <w:r w:rsidRPr="00400C0B">
        <w:rPr>
          <w:rFonts w:cs="Guttman Rashi" w:hint="eastAsia"/>
          <w:rtl/>
          <w:lang w:bidi="he-IL"/>
        </w:rPr>
        <w:t>לבא</w:t>
      </w:r>
      <w:r w:rsidRPr="00400C0B">
        <w:rPr>
          <w:rFonts w:cs="Guttman Rashi"/>
          <w:rtl/>
          <w:lang w:bidi="he-IL"/>
        </w:rPr>
        <w:t xml:space="preserve"> </w:t>
      </w:r>
      <w:r w:rsidRPr="00400C0B">
        <w:rPr>
          <w:rFonts w:cs="Guttman Rashi" w:hint="eastAsia"/>
          <w:rtl/>
          <w:lang w:bidi="he-IL"/>
        </w:rPr>
        <w:t>לידי</w:t>
      </w:r>
      <w:r w:rsidRPr="00400C0B">
        <w:rPr>
          <w:rFonts w:cs="Guttman Rashi"/>
          <w:rtl/>
          <w:lang w:bidi="he-IL"/>
        </w:rPr>
        <w:t xml:space="preserve"> </w:t>
      </w:r>
      <w:r w:rsidRPr="00400C0B">
        <w:rPr>
          <w:rFonts w:cs="Guttman Rashi" w:hint="eastAsia"/>
          <w:rtl/>
          <w:lang w:bidi="he-IL"/>
        </w:rPr>
        <w:t>חיוב</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החצי</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שכבר</w:t>
      </w:r>
      <w:r w:rsidRPr="00400C0B">
        <w:rPr>
          <w:rFonts w:cs="Guttman Rashi"/>
          <w:rtl/>
          <w:lang w:bidi="he-IL"/>
        </w:rPr>
        <w:t xml:space="preserve"> </w:t>
      </w:r>
      <w:r w:rsidRPr="00400C0B">
        <w:rPr>
          <w:rFonts w:cs="Guttman Rashi" w:hint="eastAsia"/>
          <w:rtl/>
          <w:lang w:bidi="he-IL"/>
        </w:rPr>
        <w:t>אכל</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סימן</w:t>
      </w:r>
      <w:r w:rsidRPr="00400C0B">
        <w:rPr>
          <w:rFonts w:cs="Guttman Rashi"/>
          <w:rtl/>
          <w:lang w:bidi="he-IL"/>
        </w:rPr>
        <w:t xml:space="preserve"> </w:t>
      </w:r>
      <w:r w:rsidRPr="00400C0B">
        <w:rPr>
          <w:rFonts w:cs="Guttman Rashi" w:hint="eastAsia"/>
          <w:rtl/>
          <w:lang w:bidi="he-IL"/>
        </w:rPr>
        <w:t>לחומר</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שעשה</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שאכל</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שראוי</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ידו</w:t>
      </w:r>
      <w:r w:rsidRPr="00400C0B">
        <w:rPr>
          <w:rFonts w:cs="Guttman Rashi"/>
          <w:rtl/>
          <w:lang w:bidi="he-IL"/>
        </w:rPr>
        <w:t xml:space="preserve"> </w:t>
      </w:r>
      <w:r w:rsidRPr="00400C0B">
        <w:rPr>
          <w:rFonts w:cs="Guttman Rashi" w:hint="eastAsia"/>
          <w:rtl/>
          <w:lang w:bidi="he-IL"/>
        </w:rPr>
        <w:t>לבא</w:t>
      </w:r>
      <w:r w:rsidRPr="00400C0B">
        <w:rPr>
          <w:rFonts w:cs="Guttman Rashi"/>
          <w:rtl/>
          <w:lang w:bidi="he-IL"/>
        </w:rPr>
        <w:t xml:space="preserve"> </w:t>
      </w:r>
      <w:r w:rsidRPr="00400C0B">
        <w:rPr>
          <w:rFonts w:cs="Guttman Rashi" w:hint="eastAsia"/>
          <w:rtl/>
          <w:lang w:bidi="he-IL"/>
        </w:rPr>
        <w:t>לידי</w:t>
      </w:r>
      <w:r w:rsidRPr="00400C0B">
        <w:rPr>
          <w:rFonts w:cs="Guttman Rashi"/>
          <w:rtl/>
          <w:lang w:bidi="he-IL"/>
        </w:rPr>
        <w:t xml:space="preserve"> </w:t>
      </w:r>
      <w:r w:rsidRPr="00400C0B">
        <w:rPr>
          <w:rFonts w:cs="Guttman Rashi" w:hint="eastAsia"/>
          <w:rtl/>
          <w:lang w:bidi="he-IL"/>
        </w:rPr>
        <w:t>חיוב</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ירבה</w:t>
      </w:r>
      <w:r w:rsidRPr="00400C0B">
        <w:rPr>
          <w:rFonts w:cs="Guttman Rashi"/>
          <w:rtl/>
          <w:lang w:bidi="he-IL"/>
        </w:rPr>
        <w:t xml:space="preserve"> </w:t>
      </w:r>
      <w:r w:rsidRPr="00400C0B">
        <w:rPr>
          <w:rFonts w:cs="Guttman Rashi" w:hint="eastAsia"/>
          <w:rtl/>
          <w:lang w:bidi="he-IL"/>
        </w:rPr>
        <w:t>בשיעורו</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עובר</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הוסיף</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Pr>
          <w:rFonts w:cs="Guttman Rashi" w:hint="cs"/>
          <w:rtl/>
          <w:lang w:bidi="he-IL"/>
        </w:rPr>
        <w:t xml:space="preserve">של הדבר שכבר </w:t>
      </w:r>
      <w:r w:rsidRPr="00400C0B">
        <w:rPr>
          <w:rFonts w:cs="Guttman Rashi" w:hint="eastAsia"/>
          <w:rtl/>
          <w:lang w:bidi="he-IL"/>
        </w:rPr>
        <w:t>אכל</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בא</w:t>
      </w:r>
      <w:r w:rsidRPr="00400C0B">
        <w:rPr>
          <w:rFonts w:cs="Guttman Rashi"/>
          <w:rtl/>
          <w:lang w:bidi="he-IL"/>
        </w:rPr>
        <w:t xml:space="preserve"> </w:t>
      </w:r>
      <w:r w:rsidRPr="00400C0B">
        <w:rPr>
          <w:rFonts w:cs="Guttman Rashi" w:hint="eastAsia"/>
          <w:rtl/>
          <w:lang w:bidi="he-IL"/>
        </w:rPr>
        <w:t>לידי</w:t>
      </w:r>
      <w:r w:rsidRPr="00400C0B">
        <w:rPr>
          <w:rFonts w:cs="Guttman Rashi"/>
          <w:rtl/>
          <w:lang w:bidi="he-IL"/>
        </w:rPr>
        <w:t xml:space="preserve"> </w:t>
      </w:r>
      <w:r w:rsidRPr="00400C0B">
        <w:rPr>
          <w:rFonts w:cs="Guttman Rashi" w:hint="eastAsia"/>
          <w:rtl/>
          <w:lang w:bidi="he-IL"/>
        </w:rPr>
        <w:t>חיוב</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עבירה</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w:t>
      </w:r>
    </w:p>
  </w:footnote>
  <w:footnote w:id="2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הבא</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מהלך</w:t>
      </w:r>
      <w:r w:rsidRPr="00400C0B">
        <w:rPr>
          <w:rFonts w:cs="Guttman Rashi"/>
          <w:rtl/>
          <w:lang w:bidi="he-IL"/>
        </w:rPr>
        <w:t xml:space="preserve"> </w:t>
      </w:r>
      <w:r w:rsidRPr="00400C0B">
        <w:rPr>
          <w:rFonts w:cs="Guttman Rashi" w:hint="eastAsia"/>
          <w:rtl/>
          <w:lang w:bidi="he-IL"/>
        </w:rPr>
        <w:t>מהנחל</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p>
  </w:footnote>
  <w:footnote w:id="27">
    <w:p w:rsidR="007978F4" w:rsidRPr="00400C0B" w:rsidRDefault="007978F4" w:rsidP="001727E9">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בפרט</w:t>
      </w:r>
      <w:r w:rsidRPr="00400C0B">
        <w:rPr>
          <w:rFonts w:cs="Guttman Rashi"/>
          <w:rtl/>
          <w:lang w:bidi="he-IL"/>
        </w:rPr>
        <w:t xml:space="preserve"> </w:t>
      </w:r>
      <w:r w:rsidRPr="00400C0B">
        <w:rPr>
          <w:rFonts w:cs="Guttman Rashi" w:hint="eastAsia"/>
          <w:rtl/>
          <w:lang w:bidi="he-IL"/>
        </w:rPr>
        <w:t>לפש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במשנת</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אהרן</w:t>
      </w:r>
      <w:r w:rsidRPr="00400C0B">
        <w:rPr>
          <w:rFonts w:cs="Guttman Rashi"/>
          <w:rtl/>
          <w:lang w:bidi="he-IL"/>
        </w:rPr>
        <w:t xml:space="preserve"> </w:t>
      </w:r>
      <w:r w:rsidRPr="00400C0B">
        <w:rPr>
          <w:rFonts w:cs="Guttman Rashi" w:hint="eastAsia"/>
          <w:rtl/>
          <w:lang w:bidi="he-IL"/>
        </w:rPr>
        <w:t>למס</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החידוש</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דימוע</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ברי</w:t>
      </w:r>
      <w:r w:rsidRPr="00400C0B">
        <w:rPr>
          <w:rFonts w:cs="Guttman Rashi"/>
          <w:rtl/>
          <w:lang w:bidi="he-IL"/>
        </w:rPr>
        <w:t xml:space="preserve">' </w:t>
      </w:r>
      <w:r w:rsidRPr="00400C0B">
        <w:rPr>
          <w:rFonts w:cs="Guttman Rashi" w:hint="eastAsia"/>
          <w:rtl/>
          <w:lang w:bidi="he-IL"/>
        </w:rPr>
        <w:t>חדשה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מדומע</w:t>
      </w:r>
      <w:r w:rsidRPr="00400C0B">
        <w:rPr>
          <w:rFonts w:cs="Guttman Rashi"/>
          <w:rtl/>
          <w:lang w:bidi="he-IL"/>
        </w:rPr>
        <w:t xml:space="preserve"> </w:t>
      </w:r>
      <w:r w:rsidRPr="00400C0B">
        <w:rPr>
          <w:rFonts w:cs="Guttman Rashi" w:hint="eastAsia"/>
          <w:rtl/>
          <w:lang w:bidi="he-IL"/>
        </w:rPr>
        <w:t>שפיר</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עון</w:t>
      </w:r>
      <w:r w:rsidRPr="00400C0B">
        <w:rPr>
          <w:rFonts w:cs="Guttman Rashi"/>
          <w:rtl/>
          <w:lang w:bidi="he-IL"/>
        </w:rPr>
        <w:t xml:space="preserve"> </w:t>
      </w:r>
      <w:r w:rsidRPr="00400C0B">
        <w:rPr>
          <w:rFonts w:cs="Guttman Rashi" w:hint="eastAsia"/>
          <w:rtl/>
          <w:lang w:bidi="he-IL"/>
        </w:rPr>
        <w:t>מיתה</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תרומה</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מדומע</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ואכמ</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p>
  </w:footnote>
  <w:footnote w:id="2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שכן</w:t>
      </w:r>
      <w:r w:rsidRPr="00400C0B">
        <w:rPr>
          <w:rFonts w:cs="Guttman Rashi"/>
          <w:rtl/>
          <w:lang w:bidi="he-IL"/>
        </w:rPr>
        <w:t xml:space="preserve"> </w:t>
      </w:r>
      <w:r w:rsidRPr="00400C0B">
        <w:rPr>
          <w:rFonts w:cs="Guttman Rashi" w:hint="eastAsia"/>
          <w:rtl/>
          <w:lang w:bidi="he-IL"/>
        </w:rPr>
        <w:t>העיר</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בשפ</w:t>
      </w:r>
      <w:r w:rsidRPr="00400C0B">
        <w:rPr>
          <w:rFonts w:cs="Guttman Rashi"/>
          <w:rtl/>
          <w:lang w:bidi="he-IL"/>
        </w:rPr>
        <w:t>"</w:t>
      </w:r>
      <w:r w:rsidRPr="00400C0B">
        <w:rPr>
          <w:rFonts w:cs="Guttman Rashi" w:hint="eastAsia"/>
          <w:rtl/>
          <w:lang w:bidi="he-IL"/>
        </w:rPr>
        <w:t>א</w:t>
      </w:r>
      <w:r w:rsidRPr="00400C0B">
        <w:rPr>
          <w:rFonts w:cs="Guttman Rashi"/>
          <w:rtl/>
          <w:lang w:bidi="he-IL"/>
        </w:rPr>
        <w:t>.</w:t>
      </w:r>
    </w:p>
  </w:footnote>
  <w:footnote w:id="29">
    <w:p w:rsidR="007978F4" w:rsidRPr="0019464E" w:rsidRDefault="007978F4" w:rsidP="0019464E">
      <w:pPr>
        <w:pStyle w:val="FootnoteText"/>
        <w:bidi/>
        <w:jc w:val="both"/>
        <w:rPr>
          <w:rFonts w:cs="Guttman Rashi"/>
          <w:rtl/>
          <w:lang w:bidi="he-IL"/>
        </w:rPr>
      </w:pPr>
      <w:r w:rsidRPr="0019464E">
        <w:rPr>
          <w:rStyle w:val="FootnoteReference"/>
          <w:rFonts w:cs="Guttman Rashi"/>
        </w:rPr>
        <w:footnoteRef/>
      </w:r>
      <w:r w:rsidRPr="0019464E">
        <w:rPr>
          <w:rFonts w:cs="Guttman Rashi"/>
        </w:rPr>
        <w:t xml:space="preserve"> </w:t>
      </w:r>
      <w:r w:rsidRPr="0019464E">
        <w:rPr>
          <w:rFonts w:cs="Guttman Rashi" w:hint="cs"/>
          <w:rtl/>
          <w:lang w:bidi="he-IL"/>
        </w:rPr>
        <w:t xml:space="preserve">ע' מש"כ כבזה עוד לקמן הערה </w:t>
      </w:r>
      <w:r w:rsidRPr="0019464E">
        <w:rPr>
          <w:rFonts w:cs="Guttman Rashi"/>
          <w:rtl/>
          <w:lang w:bidi="he-IL"/>
        </w:rPr>
        <w:fldChar w:fldCharType="begin"/>
      </w:r>
      <w:r w:rsidRPr="0019464E">
        <w:rPr>
          <w:rFonts w:cs="Guttman Rashi"/>
          <w:rtl/>
          <w:lang w:bidi="he-IL"/>
        </w:rPr>
        <w:instrText xml:space="preserve"> </w:instrText>
      </w:r>
      <w:r w:rsidRPr="0019464E">
        <w:rPr>
          <w:rFonts w:cs="Guttman Rashi" w:hint="cs"/>
          <w:lang w:bidi="he-IL"/>
        </w:rPr>
        <w:instrText xml:space="preserve">NOTEREF </w:instrText>
      </w:r>
      <w:r w:rsidRPr="0019464E">
        <w:rPr>
          <w:rFonts w:cs="Guttman Rashi" w:hint="cs"/>
          <w:rtl/>
          <w:lang w:bidi="he-IL"/>
        </w:rPr>
        <w:instrText>_</w:instrText>
      </w:r>
      <w:r w:rsidRPr="0019464E">
        <w:rPr>
          <w:rFonts w:cs="Guttman Rashi" w:hint="cs"/>
          <w:lang w:bidi="he-IL"/>
        </w:rPr>
        <w:instrText>Ref497030998 \h</w:instrText>
      </w:r>
      <w:r w:rsidRPr="0019464E">
        <w:rPr>
          <w:rFonts w:cs="Guttman Rashi"/>
          <w:rtl/>
          <w:lang w:bidi="he-IL"/>
        </w:rPr>
        <w:instrText xml:space="preserve"> </w:instrText>
      </w:r>
      <w:r>
        <w:rPr>
          <w:rFonts w:cs="Guttman Rashi"/>
          <w:rtl/>
          <w:lang w:bidi="he-IL"/>
        </w:rPr>
        <w:instrText xml:space="preserve"> \* </w:instrText>
      </w:r>
      <w:r>
        <w:rPr>
          <w:rFonts w:cs="Guttman Rashi"/>
          <w:lang w:bidi="he-IL"/>
        </w:rPr>
        <w:instrText xml:space="preserve">MERGEFORMAT </w:instrText>
      </w:r>
      <w:r w:rsidRPr="0019464E">
        <w:rPr>
          <w:rFonts w:cs="Guttman Rashi"/>
          <w:rtl/>
          <w:lang w:bidi="he-IL"/>
        </w:rPr>
      </w:r>
      <w:r w:rsidRPr="0019464E">
        <w:rPr>
          <w:rFonts w:cs="Guttman Rashi"/>
          <w:rtl/>
          <w:lang w:bidi="he-IL"/>
        </w:rPr>
        <w:fldChar w:fldCharType="separate"/>
      </w:r>
      <w:r>
        <w:rPr>
          <w:rFonts w:cs="Guttman Rashi"/>
          <w:rtl/>
          <w:lang w:bidi="he-IL"/>
        </w:rPr>
        <w:t>36</w:t>
      </w:r>
      <w:r w:rsidRPr="0019464E">
        <w:rPr>
          <w:rFonts w:cs="Guttman Rashi"/>
          <w:rtl/>
          <w:lang w:bidi="he-IL"/>
        </w:rPr>
        <w:fldChar w:fldCharType="end"/>
      </w:r>
      <w:r w:rsidRPr="0019464E">
        <w:rPr>
          <w:rFonts w:cs="Guttman Rashi" w:hint="cs"/>
          <w:rtl/>
          <w:lang w:bidi="he-IL"/>
        </w:rPr>
        <w:t>.</w:t>
      </w:r>
    </w:p>
  </w:footnote>
  <w:footnote w:id="30">
    <w:p w:rsidR="007978F4" w:rsidRPr="00400C0B" w:rsidRDefault="007978F4" w:rsidP="0019464E">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עיון</w:t>
      </w:r>
      <w:r w:rsidRPr="00400C0B">
        <w:rPr>
          <w:rFonts w:cs="Guttman Rashi"/>
          <w:rtl/>
          <w:lang w:bidi="he-IL"/>
        </w:rPr>
        <w:t xml:space="preserve">, </w:t>
      </w:r>
      <w:r w:rsidRPr="00400C0B">
        <w:rPr>
          <w:rFonts w:cs="Guttman Rashi" w:hint="eastAsia"/>
          <w:rtl/>
          <w:lang w:bidi="he-IL"/>
        </w:rPr>
        <w:t>דמהו</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חידוש</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מצאנו</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איסורים</w:t>
      </w:r>
      <w:r w:rsidRPr="00400C0B">
        <w:rPr>
          <w:rFonts w:cs="Guttman Rashi"/>
          <w:rtl/>
          <w:lang w:bidi="he-IL"/>
        </w:rPr>
        <w:t xml:space="preserve"> </w:t>
      </w:r>
      <w:r w:rsidRPr="00400C0B">
        <w:rPr>
          <w:rFonts w:cs="Guttman Rashi" w:hint="eastAsia"/>
          <w:rtl/>
          <w:lang w:bidi="he-IL"/>
        </w:rPr>
        <w:t>בהא</w:t>
      </w:r>
      <w:r w:rsidRPr="00400C0B">
        <w:rPr>
          <w:rFonts w:cs="Guttman Rashi"/>
          <w:rtl/>
          <w:lang w:bidi="he-IL"/>
        </w:rPr>
        <w:t xml:space="preserve"> </w:t>
      </w:r>
      <w:r w:rsidRPr="00400C0B">
        <w:rPr>
          <w:rFonts w:cs="Guttman Rashi" w:hint="eastAsia"/>
          <w:rtl/>
          <w:lang w:bidi="he-IL"/>
        </w:rPr>
        <w:t>דתרו</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כולי</w:t>
      </w:r>
      <w:r w:rsidRPr="00400C0B">
        <w:rPr>
          <w:rFonts w:cs="Guttman Rashi"/>
          <w:rtl/>
          <w:lang w:bidi="he-IL"/>
        </w:rPr>
        <w:t xml:space="preserve"> </w:t>
      </w:r>
      <w:r w:rsidRPr="00400C0B">
        <w:rPr>
          <w:rFonts w:cs="Guttman Rashi" w:hint="eastAsia"/>
          <w:rtl/>
          <w:lang w:bidi="he-IL"/>
        </w:rPr>
        <w:t>יומא</w:t>
      </w:r>
      <w:r w:rsidRPr="00400C0B">
        <w:rPr>
          <w:rFonts w:cs="Guttman Rashi"/>
          <w:rtl/>
          <w:lang w:bidi="he-IL"/>
        </w:rPr>
        <w:t xml:space="preserve"> </w:t>
      </w:r>
      <w:r w:rsidRPr="00400C0B">
        <w:rPr>
          <w:rFonts w:cs="Guttman Rashi" w:hint="eastAsia"/>
          <w:rtl/>
          <w:lang w:bidi="he-IL"/>
        </w:rPr>
        <w:t>בחלבא</w:t>
      </w:r>
      <w:r w:rsidRPr="00400C0B">
        <w:rPr>
          <w:rFonts w:cs="Guttman Rashi"/>
          <w:rtl/>
          <w:lang w:bidi="he-IL"/>
        </w:rPr>
        <w:t xml:space="preserve"> </w:t>
      </w:r>
      <w:r w:rsidRPr="00400C0B">
        <w:rPr>
          <w:rFonts w:cs="Guttman Rashi" w:hint="eastAsia"/>
          <w:rtl/>
          <w:lang w:bidi="he-IL"/>
        </w:rPr>
        <w:t>וכו</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סברא</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רוצים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ואי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ללמוד</w:t>
      </w:r>
      <w:r w:rsidRPr="00400C0B">
        <w:rPr>
          <w:rFonts w:cs="Guttman Rashi"/>
          <w:rtl/>
          <w:lang w:bidi="he-IL"/>
        </w:rPr>
        <w:t xml:space="preserve"> </w:t>
      </w:r>
      <w:r w:rsidRPr="00400C0B">
        <w:rPr>
          <w:rFonts w:cs="Guttman Rashi" w:hint="eastAsia"/>
          <w:rtl/>
          <w:lang w:bidi="he-IL"/>
        </w:rPr>
        <w:t>מבבב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איזה</w:t>
      </w:r>
      <w:r w:rsidRPr="00400C0B">
        <w:rPr>
          <w:rFonts w:cs="Guttman Rashi"/>
          <w:rtl/>
          <w:lang w:bidi="he-IL"/>
        </w:rPr>
        <w:t xml:space="preserve"> </w:t>
      </w:r>
      <w:r w:rsidRPr="00400C0B">
        <w:rPr>
          <w:rFonts w:cs="Guttman Rashi" w:hint="eastAsia"/>
          <w:rtl/>
          <w:lang w:bidi="he-IL"/>
        </w:rPr>
        <w:t>חידוש</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מצאנו</w:t>
      </w:r>
      <w:r w:rsidRPr="00400C0B">
        <w:rPr>
          <w:rFonts w:cs="Guttman Rashi"/>
          <w:rtl/>
          <w:lang w:bidi="he-IL"/>
        </w:rPr>
        <w:t xml:space="preserve"> </w:t>
      </w:r>
      <w:r w:rsidRPr="00400C0B">
        <w:rPr>
          <w:rFonts w:cs="Guttman Rashi" w:hint="eastAsia"/>
          <w:rtl/>
          <w:lang w:bidi="he-IL"/>
        </w:rPr>
        <w:t>בעלמא</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בעלמא</w:t>
      </w:r>
      <w:r w:rsidRPr="00400C0B">
        <w:rPr>
          <w:rFonts w:cs="Guttman Rashi"/>
          <w:rtl/>
          <w:lang w:bidi="he-IL"/>
        </w:rPr>
        <w:t xml:space="preserve"> </w:t>
      </w:r>
      <w:r w:rsidRPr="00400C0B">
        <w:rPr>
          <w:rFonts w:cs="Guttman Rashi" w:hint="eastAsia"/>
          <w:rtl/>
          <w:lang w:bidi="he-IL"/>
        </w:rPr>
        <w:t>אילו</w:t>
      </w:r>
      <w:r w:rsidRPr="00400C0B">
        <w:rPr>
          <w:rFonts w:cs="Guttman Rashi"/>
          <w:rtl/>
          <w:lang w:bidi="he-IL"/>
        </w:rPr>
        <w:t xml:space="preserve"> </w:t>
      </w:r>
      <w:r w:rsidRPr="00400C0B">
        <w:rPr>
          <w:rFonts w:cs="Guttman Rashi" w:hint="eastAsia"/>
          <w:rtl/>
          <w:lang w:bidi="he-IL"/>
        </w:rPr>
        <w:t>תרו</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כולי</w:t>
      </w:r>
      <w:r w:rsidRPr="00400C0B">
        <w:rPr>
          <w:rFonts w:cs="Guttman Rashi"/>
          <w:rtl/>
          <w:lang w:bidi="he-IL"/>
        </w:rPr>
        <w:t xml:space="preserve"> </w:t>
      </w:r>
      <w:r w:rsidRPr="00400C0B">
        <w:rPr>
          <w:rFonts w:cs="Guttman Rashi" w:hint="eastAsia"/>
          <w:rtl/>
          <w:lang w:bidi="he-IL"/>
        </w:rPr>
        <w:t>יומא</w:t>
      </w:r>
      <w:r w:rsidRPr="00400C0B">
        <w:rPr>
          <w:rFonts w:cs="Guttman Rashi"/>
          <w:rtl/>
          <w:lang w:bidi="he-IL"/>
        </w:rPr>
        <w:t xml:space="preserve"> </w:t>
      </w:r>
      <w:r w:rsidRPr="00400C0B">
        <w:rPr>
          <w:rFonts w:cs="Guttman Rashi" w:hint="eastAsia"/>
          <w:rtl/>
          <w:lang w:bidi="he-IL"/>
        </w:rPr>
        <w:t>בחלבא</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שכוונת</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דאילו</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לומדים</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אוסרים</w:t>
      </w:r>
      <w:r w:rsidRPr="00400C0B">
        <w:rPr>
          <w:rFonts w:cs="Guttman Rashi"/>
          <w:rtl/>
          <w:lang w:bidi="he-IL"/>
        </w:rPr>
        <w:t xml:space="preserve"> </w:t>
      </w:r>
      <w:r w:rsidRPr="00400C0B">
        <w:rPr>
          <w:rFonts w:cs="Guttman Rashi" w:hint="eastAsia"/>
          <w:rtl/>
          <w:lang w:bidi="he-IL"/>
        </w:rPr>
        <w:t>כבוש</w:t>
      </w:r>
      <w:r w:rsidRPr="00400C0B">
        <w:rPr>
          <w:rFonts w:cs="Guttman Rashi"/>
          <w:rtl/>
          <w:lang w:bidi="he-IL"/>
        </w:rPr>
        <w:t xml:space="preserve"> </w:t>
      </w:r>
      <w:r w:rsidRPr="00400C0B">
        <w:rPr>
          <w:rFonts w:cs="Guttman Rashi" w:hint="eastAsia"/>
          <w:rtl/>
          <w:lang w:bidi="he-IL"/>
        </w:rPr>
        <w:t>כולי</w:t>
      </w:r>
      <w:r w:rsidRPr="00400C0B">
        <w:rPr>
          <w:rFonts w:cs="Guttman Rashi"/>
          <w:rtl/>
          <w:lang w:bidi="he-IL"/>
        </w:rPr>
        <w:t xml:space="preserve"> </w:t>
      </w:r>
      <w:r w:rsidRPr="00400C0B">
        <w:rPr>
          <w:rFonts w:cs="Guttman Rashi" w:hint="eastAsia"/>
          <w:rtl/>
          <w:lang w:bidi="he-IL"/>
        </w:rPr>
        <w:t>יומא</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בבב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דחי</w:t>
      </w:r>
      <w:r>
        <w:rPr>
          <w:rFonts w:cs="Guttman Rashi" w:hint="cs"/>
          <w:rtl/>
          <w:lang w:bidi="he-IL"/>
        </w:rPr>
        <w:t>ד</w:t>
      </w:r>
      <w:r w:rsidRPr="00400C0B">
        <w:rPr>
          <w:rFonts w:cs="Guttman Rashi" w:hint="eastAsia"/>
          <w:rtl/>
          <w:lang w:bidi="he-IL"/>
        </w:rPr>
        <w:t>וש</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w:t>
      </w:r>
    </w:p>
  </w:footnote>
  <w:footnote w:id="31">
    <w:p w:rsidR="007978F4" w:rsidRPr="00400C0B" w:rsidRDefault="007978F4" w:rsidP="0019464E">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ומהא</w:t>
      </w:r>
      <w:r w:rsidRPr="00400C0B">
        <w:rPr>
          <w:rFonts w:cs="Guttman Rashi"/>
          <w:rtl/>
          <w:lang w:bidi="he-IL"/>
        </w:rPr>
        <w:t xml:space="preserve"> </w:t>
      </w:r>
      <w:r w:rsidRPr="00400C0B">
        <w:rPr>
          <w:rFonts w:cs="Guttman Rashi" w:hint="eastAsia"/>
          <w:rtl/>
          <w:lang w:bidi="he-IL"/>
        </w:rPr>
        <w:t>דשרה</w:t>
      </w:r>
      <w:r w:rsidRPr="00400C0B">
        <w:rPr>
          <w:rFonts w:cs="Guttman Rashi"/>
          <w:rtl/>
          <w:lang w:bidi="he-IL"/>
        </w:rPr>
        <w:t xml:space="preserve"> </w:t>
      </w:r>
      <w:r w:rsidRPr="00400C0B">
        <w:rPr>
          <w:rFonts w:cs="Guttman Rashi" w:hint="eastAsia"/>
          <w:rtl/>
          <w:lang w:bidi="he-IL"/>
        </w:rPr>
        <w:t>ענבים</w:t>
      </w:r>
      <w:r w:rsidRPr="00400C0B">
        <w:rPr>
          <w:rFonts w:cs="Guttman Rashi"/>
          <w:rtl/>
          <w:lang w:bidi="he-IL"/>
        </w:rPr>
        <w:t xml:space="preserve"> </w:t>
      </w:r>
      <w:r>
        <w:rPr>
          <w:rFonts w:cs="Guttman Rashi" w:hint="eastAsia"/>
          <w:rtl/>
          <w:lang w:bidi="he-IL"/>
        </w:rPr>
        <w:t>ב</w:t>
      </w:r>
      <w:r>
        <w:rPr>
          <w:rFonts w:cs="Guttman Rashi" w:hint="cs"/>
          <w:rtl/>
          <w:lang w:bidi="he-IL"/>
        </w:rPr>
        <w:t>מים</w:t>
      </w:r>
      <w:r w:rsidRPr="00400C0B">
        <w:rPr>
          <w:rFonts w:cs="Guttman Rashi"/>
          <w:rtl/>
          <w:lang w:bidi="he-IL"/>
        </w:rPr>
        <w:t xml:space="preserve"> </w:t>
      </w:r>
      <w:r w:rsidRPr="00400C0B">
        <w:rPr>
          <w:rFonts w:cs="Guttman Rashi" w:hint="eastAsia"/>
          <w:rtl/>
          <w:lang w:bidi="he-IL"/>
        </w:rPr>
        <w:t>אולי</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 xml:space="preserve"> </w:t>
      </w:r>
      <w:r w:rsidRPr="00400C0B">
        <w:rPr>
          <w:rFonts w:cs="Guttman Rashi" w:hint="eastAsia"/>
          <w:rtl/>
          <w:lang w:bidi="he-IL"/>
        </w:rPr>
        <w:t>דמיירי</w:t>
      </w:r>
      <w:r w:rsidRPr="00400C0B">
        <w:rPr>
          <w:rFonts w:cs="Guttman Rashi"/>
          <w:rtl/>
          <w:lang w:bidi="he-IL"/>
        </w:rPr>
        <w:t xml:space="preserve"> </w:t>
      </w:r>
      <w:r w:rsidRPr="00400C0B">
        <w:rPr>
          <w:rFonts w:cs="Guttman Rashi" w:hint="eastAsia"/>
          <w:rtl/>
          <w:lang w:bidi="he-IL"/>
        </w:rPr>
        <w:t>שהטעם</w:t>
      </w:r>
      <w:r w:rsidRPr="00400C0B">
        <w:rPr>
          <w:rFonts w:cs="Guttman Rashi"/>
          <w:rtl/>
          <w:lang w:bidi="he-IL"/>
        </w:rPr>
        <w:t xml:space="preserve"> </w:t>
      </w:r>
      <w:r w:rsidRPr="00400C0B">
        <w:rPr>
          <w:rFonts w:cs="Guttman Rashi" w:hint="eastAsia"/>
          <w:rtl/>
          <w:lang w:bidi="he-IL"/>
        </w:rPr>
        <w:t>שבענבים</w:t>
      </w:r>
      <w:r w:rsidRPr="00400C0B">
        <w:rPr>
          <w:rFonts w:cs="Guttman Rashi"/>
          <w:rtl/>
          <w:lang w:bidi="he-IL"/>
        </w:rPr>
        <w:t xml:space="preserve"> </w:t>
      </w:r>
      <w:r w:rsidRPr="00400C0B">
        <w:rPr>
          <w:rFonts w:cs="Guttman Rashi" w:hint="eastAsia"/>
          <w:rtl/>
          <w:lang w:bidi="he-IL"/>
        </w:rPr>
        <w:t>טפטף</w:t>
      </w:r>
      <w:r w:rsidRPr="00400C0B">
        <w:rPr>
          <w:rFonts w:cs="Guttman Rashi"/>
          <w:rtl/>
          <w:lang w:bidi="he-IL"/>
        </w:rPr>
        <w:t xml:space="preserve"> </w:t>
      </w:r>
      <w:r w:rsidRPr="00400C0B">
        <w:rPr>
          <w:rFonts w:cs="Guttman Rashi" w:hint="eastAsia"/>
          <w:rtl/>
          <w:lang w:bidi="he-IL"/>
        </w:rPr>
        <w:t>לתוך</w:t>
      </w:r>
      <w:r w:rsidRPr="00400C0B">
        <w:rPr>
          <w:rFonts w:cs="Guttman Rashi"/>
          <w:rtl/>
          <w:lang w:bidi="he-IL"/>
        </w:rPr>
        <w:t xml:space="preserve"> </w:t>
      </w:r>
      <w:r w:rsidRPr="00400C0B">
        <w:rPr>
          <w:rFonts w:cs="Guttman Rashi" w:hint="eastAsia"/>
          <w:rtl/>
          <w:lang w:bidi="he-IL"/>
        </w:rPr>
        <w:t>המים</w:t>
      </w:r>
      <w:r w:rsidRPr="00400C0B">
        <w:rPr>
          <w:rFonts w:cs="Guttman Rashi"/>
          <w:rtl/>
          <w:lang w:bidi="he-IL"/>
        </w:rPr>
        <w:t xml:space="preserve">, </w:t>
      </w:r>
      <w:r w:rsidRPr="00400C0B">
        <w:rPr>
          <w:rFonts w:cs="Guttman Rashi" w:hint="eastAsia"/>
          <w:rtl/>
          <w:lang w:bidi="he-IL"/>
        </w:rPr>
        <w:t>ולאו</w:t>
      </w:r>
      <w:r w:rsidRPr="00400C0B">
        <w:rPr>
          <w:rFonts w:cs="Guttman Rashi"/>
          <w:rtl/>
          <w:lang w:bidi="he-IL"/>
        </w:rPr>
        <w:t xml:space="preserve"> </w:t>
      </w:r>
      <w:r w:rsidRPr="00400C0B">
        <w:rPr>
          <w:rFonts w:cs="Guttman Rashi" w:hint="eastAsia"/>
          <w:rtl/>
          <w:lang w:bidi="he-IL"/>
        </w:rPr>
        <w:t>מדינא</w:t>
      </w:r>
      <w:r w:rsidRPr="00400C0B">
        <w:rPr>
          <w:rFonts w:cs="Guttman Rashi"/>
          <w:rtl/>
          <w:lang w:bidi="he-IL"/>
        </w:rPr>
        <w:t xml:space="preserve"> </w:t>
      </w:r>
      <w:r w:rsidRPr="00400C0B">
        <w:rPr>
          <w:rFonts w:cs="Guttman Rashi" w:hint="eastAsia"/>
          <w:rtl/>
          <w:lang w:bidi="he-IL"/>
        </w:rPr>
        <w:t>דכבוש</w:t>
      </w:r>
      <w:r w:rsidRPr="00400C0B">
        <w:rPr>
          <w:rFonts w:cs="Guttman Rashi"/>
          <w:rtl/>
          <w:lang w:bidi="he-IL"/>
        </w:rPr>
        <w:t xml:space="preserve"> </w:t>
      </w:r>
      <w:r w:rsidRPr="00400C0B">
        <w:rPr>
          <w:rFonts w:cs="Guttman Rashi" w:hint="eastAsia"/>
          <w:rtl/>
          <w:lang w:bidi="he-IL"/>
        </w:rPr>
        <w:t>כמבושל</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p>
  </w:footnote>
  <w:footnote w:id="3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בשעור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ו</w:t>
      </w:r>
    </w:p>
  </w:footnote>
  <w:footnote w:id="33">
    <w:p w:rsidR="007978F4" w:rsidRPr="00921589" w:rsidRDefault="007978F4" w:rsidP="00921589">
      <w:pPr>
        <w:pStyle w:val="FootnoteText"/>
        <w:bidi/>
        <w:jc w:val="both"/>
        <w:rPr>
          <w:rFonts w:cs="Guttman Rashi"/>
          <w:rtl/>
          <w:lang w:bidi="he-IL"/>
        </w:rPr>
      </w:pPr>
      <w:r>
        <w:rPr>
          <w:rStyle w:val="FootnoteReference"/>
        </w:rPr>
        <w:footnoteRef/>
      </w:r>
      <w:r>
        <w:t xml:space="preserve"> </w:t>
      </w:r>
      <w:r>
        <w:rPr>
          <w:rFonts w:cs="Guttman Rashi" w:hint="cs"/>
          <w:rtl/>
          <w:lang w:bidi="he-IL"/>
        </w:rPr>
        <w:t>ע' עוד מזה לקמן שיעור ז'.</w:t>
      </w:r>
    </w:p>
  </w:footnote>
  <w:footnote w:id="3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להקשות</w:t>
      </w:r>
      <w:r w:rsidRPr="00400C0B">
        <w:rPr>
          <w:rFonts w:cs="Guttman Rashi"/>
          <w:rtl/>
          <w:lang w:bidi="he-IL"/>
        </w:rPr>
        <w:t xml:space="preserve"> </w:t>
      </w:r>
      <w:r w:rsidRPr="00400C0B">
        <w:rPr>
          <w:rFonts w:cs="Guttman Rashi" w:hint="eastAsia"/>
          <w:rtl/>
          <w:lang w:bidi="he-IL"/>
        </w:rPr>
        <w:t>דהו</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לשאול</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בחטאת</w:t>
      </w:r>
      <w:r w:rsidRPr="00400C0B">
        <w:rPr>
          <w:rFonts w:cs="Guttman Rashi"/>
          <w:rtl/>
          <w:lang w:bidi="he-IL"/>
        </w:rPr>
        <w:t xml:space="preserve"> </w:t>
      </w:r>
      <w:r w:rsidRPr="00400C0B">
        <w:rPr>
          <w:rFonts w:cs="Guttman Rashi" w:hint="eastAsia"/>
          <w:rtl/>
          <w:lang w:bidi="he-IL"/>
        </w:rPr>
        <w:t>גופא</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מצטרף</w:t>
      </w:r>
      <w:r w:rsidRPr="00400C0B">
        <w:rPr>
          <w:rFonts w:cs="Guttman Rashi"/>
          <w:rtl/>
          <w:lang w:bidi="he-IL"/>
        </w:rPr>
        <w:t xml:space="preserve"> </w:t>
      </w:r>
      <w:r w:rsidRPr="00400C0B">
        <w:rPr>
          <w:rFonts w:cs="Guttman Rashi" w:hint="eastAsia"/>
          <w:rtl/>
          <w:lang w:bidi="he-IL"/>
        </w:rPr>
        <w:t>לאיסור</w:t>
      </w:r>
      <w:r w:rsidRPr="00400C0B">
        <w:rPr>
          <w:rFonts w:cs="Guttman Rashi"/>
          <w:rtl/>
          <w:lang w:bidi="he-IL"/>
        </w:rPr>
        <w:t xml:space="preserve">, </w:t>
      </w:r>
      <w:r w:rsidRPr="00400C0B">
        <w:rPr>
          <w:rFonts w:cs="Guttman Rashi" w:hint="eastAsia"/>
          <w:rtl/>
          <w:lang w:bidi="he-IL"/>
        </w:rPr>
        <w:t>ואמרנו</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הב</w:t>
      </w:r>
      <w:r w:rsidRPr="00400C0B">
        <w:rPr>
          <w:rFonts w:cs="Guttman Rashi"/>
          <w:rtl/>
          <w:lang w:bidi="he-IL"/>
        </w:rPr>
        <w:t xml:space="preserve">' </w:t>
      </w:r>
      <w:r w:rsidRPr="00400C0B">
        <w:rPr>
          <w:rFonts w:cs="Guttman Rashi" w:hint="eastAsia"/>
          <w:rtl/>
          <w:lang w:bidi="he-IL"/>
        </w:rPr>
        <w:t>כתובים</w:t>
      </w:r>
      <w:r w:rsidRPr="00400C0B">
        <w:rPr>
          <w:rFonts w:cs="Guttman Rashi"/>
          <w:rtl/>
          <w:lang w:bidi="he-IL"/>
        </w:rPr>
        <w:t xml:space="preserve"> </w:t>
      </w:r>
      <w:r w:rsidRPr="00400C0B">
        <w:rPr>
          <w:rFonts w:cs="Guttman Rashi" w:hint="eastAsia"/>
          <w:rtl/>
          <w:lang w:bidi="he-IL"/>
        </w:rPr>
        <w:t>הבאים</w:t>
      </w:r>
      <w:r w:rsidRPr="00400C0B">
        <w:rPr>
          <w:rFonts w:cs="Guttman Rashi"/>
          <w:rtl/>
          <w:lang w:bidi="he-IL"/>
        </w:rPr>
        <w:t xml:space="preserve"> </w:t>
      </w:r>
      <w:r w:rsidRPr="00400C0B">
        <w:rPr>
          <w:rFonts w:cs="Guttman Rashi" w:hint="eastAsia"/>
          <w:rtl/>
          <w:lang w:bidi="he-IL"/>
        </w:rPr>
        <w:t>כא</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מלמדין</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ליתא</w:t>
      </w:r>
      <w:r w:rsidRPr="00400C0B">
        <w:rPr>
          <w:rFonts w:cs="Guttman Rashi"/>
          <w:rtl/>
          <w:lang w:bidi="he-IL"/>
        </w:rPr>
        <w:t xml:space="preserve">, </w:t>
      </w:r>
      <w:r w:rsidRPr="00400C0B">
        <w:rPr>
          <w:rFonts w:cs="Guttman Rashi" w:hint="eastAsia"/>
          <w:rtl/>
          <w:lang w:bidi="he-IL"/>
        </w:rPr>
        <w:t>שאמנם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דינים</w:t>
      </w:r>
      <w:r w:rsidRPr="00400C0B">
        <w:rPr>
          <w:rFonts w:cs="Guttman Rashi"/>
          <w:rtl/>
          <w:lang w:bidi="he-IL"/>
        </w:rPr>
        <w:t xml:space="preserve"> </w:t>
      </w:r>
      <w:r w:rsidRPr="00400C0B">
        <w:rPr>
          <w:rFonts w:cs="Guttman Rashi" w:hint="eastAsia"/>
          <w:rtl/>
          <w:lang w:bidi="he-IL"/>
        </w:rPr>
        <w:t>לב</w:t>
      </w:r>
      <w:r w:rsidRPr="00400C0B">
        <w:rPr>
          <w:rFonts w:cs="Guttman Rashi"/>
          <w:rtl/>
          <w:lang w:bidi="he-IL"/>
        </w:rPr>
        <w:t xml:space="preserve">' </w:t>
      </w:r>
      <w:r w:rsidRPr="00400C0B">
        <w:rPr>
          <w:rFonts w:cs="Guttman Rashi" w:hint="eastAsia"/>
          <w:rtl/>
          <w:lang w:bidi="he-IL"/>
        </w:rPr>
        <w:t>סוגי</w:t>
      </w:r>
      <w:r w:rsidRPr="00400C0B">
        <w:rPr>
          <w:rFonts w:cs="Guttman Rashi"/>
          <w:rtl/>
          <w:lang w:bidi="he-IL"/>
        </w:rPr>
        <w:t xml:space="preserve"> </w:t>
      </w:r>
      <w:r w:rsidRPr="00400C0B">
        <w:rPr>
          <w:rFonts w:cs="Guttman Rashi" w:hint="eastAsia"/>
          <w:rtl/>
          <w:lang w:bidi="he-IL"/>
        </w:rPr>
        <w:t>הקרבנות</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מצרפים</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קרבנות</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להם</w:t>
      </w:r>
      <w:r w:rsidRPr="00400C0B">
        <w:rPr>
          <w:rFonts w:cs="Guttman Rashi"/>
          <w:rtl/>
          <w:lang w:bidi="he-IL"/>
        </w:rPr>
        <w:t xml:space="preserve"> </w:t>
      </w:r>
      <w:r w:rsidRPr="00400C0B">
        <w:rPr>
          <w:rFonts w:cs="Guttman Rashi" w:hint="eastAsia"/>
          <w:rtl/>
          <w:lang w:bidi="he-IL"/>
        </w:rPr>
        <w:t>אותם</w:t>
      </w:r>
      <w:r w:rsidRPr="00400C0B">
        <w:rPr>
          <w:rFonts w:cs="Guttman Rashi"/>
          <w:rtl/>
          <w:lang w:bidi="he-IL"/>
        </w:rPr>
        <w:t xml:space="preserve"> </w:t>
      </w:r>
      <w:r w:rsidRPr="00400C0B">
        <w:rPr>
          <w:rFonts w:cs="Guttman Rashi" w:hint="eastAsia"/>
          <w:rtl/>
          <w:lang w:bidi="he-IL"/>
        </w:rPr>
        <w:t>דינים</w:t>
      </w:r>
      <w:r w:rsidRPr="00400C0B">
        <w:rPr>
          <w:rFonts w:cs="Guttman Rashi"/>
          <w:rtl/>
          <w:lang w:bidi="he-IL"/>
        </w:rPr>
        <w:t xml:space="preserve">, </w:t>
      </w:r>
      <w:r w:rsidRPr="00400C0B">
        <w:rPr>
          <w:rFonts w:cs="Guttman Rashi" w:hint="eastAsia"/>
          <w:rtl/>
          <w:lang w:bidi="he-IL"/>
        </w:rPr>
        <w:t>משא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בדין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הברייתא</w:t>
      </w:r>
      <w:r w:rsidRPr="00400C0B">
        <w:rPr>
          <w:rFonts w:cs="Guttman Rashi"/>
          <w:rtl/>
          <w:lang w:bidi="he-IL"/>
        </w:rPr>
        <w:t xml:space="preserve">. </w:t>
      </w:r>
    </w:p>
  </w:footnote>
  <w:footnote w:id="35">
    <w:p w:rsidR="007978F4" w:rsidRPr="00400C0B" w:rsidRDefault="007978F4" w:rsidP="00B80448">
      <w:pPr>
        <w:pStyle w:val="FootnoteText"/>
        <w:bidi/>
        <w:jc w:val="both"/>
        <w:rPr>
          <w:rFonts w:cs="Guttman Rashi"/>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וראיתי</w:t>
      </w:r>
      <w:r w:rsidRPr="00400C0B">
        <w:rPr>
          <w:rFonts w:cs="Guttman Rashi"/>
          <w:rtl/>
          <w:lang w:bidi="he-IL"/>
        </w:rPr>
        <w:t xml:space="preserve"> </w:t>
      </w:r>
      <w:r w:rsidRPr="00400C0B">
        <w:rPr>
          <w:rFonts w:cs="Guttman Rashi" w:hint="eastAsia"/>
          <w:rtl/>
          <w:lang w:bidi="he-IL"/>
        </w:rPr>
        <w:t>בתמים</w:t>
      </w:r>
      <w:r w:rsidRPr="00400C0B">
        <w:rPr>
          <w:rFonts w:cs="Guttman Rashi"/>
          <w:rtl/>
          <w:lang w:bidi="he-IL"/>
        </w:rPr>
        <w:t xml:space="preserve"> </w:t>
      </w:r>
      <w:r w:rsidRPr="00400C0B">
        <w:rPr>
          <w:rFonts w:cs="Guttman Rashi" w:hint="eastAsia"/>
          <w:rtl/>
          <w:lang w:bidi="he-IL"/>
        </w:rPr>
        <w:t>דעים</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שהראב</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הוכיח</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נהפך</w:t>
      </w:r>
      <w:r w:rsidRPr="00400C0B">
        <w:rPr>
          <w:rFonts w:cs="Guttman Rashi"/>
          <w:rtl/>
          <w:lang w:bidi="he-IL"/>
        </w:rPr>
        <w:t xml:space="preserve"> </w:t>
      </w:r>
      <w:r w:rsidRPr="00400C0B">
        <w:rPr>
          <w:rFonts w:cs="Guttman Rashi" w:hint="eastAsia"/>
          <w:rtl/>
          <w:lang w:bidi="he-IL"/>
        </w:rPr>
        <w:t>מגמ</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דכותח</w:t>
      </w:r>
      <w:r w:rsidRPr="00400C0B">
        <w:rPr>
          <w:rFonts w:cs="Guttman Rashi"/>
          <w:rtl/>
          <w:lang w:bidi="he-IL"/>
        </w:rPr>
        <w:t xml:space="preserve"> </w:t>
      </w:r>
      <w:r w:rsidRPr="00400C0B">
        <w:rPr>
          <w:rFonts w:cs="Guttman Rashi" w:hint="eastAsia"/>
          <w:rtl/>
          <w:lang w:bidi="he-IL"/>
        </w:rPr>
        <w:t>הבבלי</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כזית</w:t>
      </w:r>
      <w:r w:rsidRPr="00400C0B">
        <w:rPr>
          <w:rFonts w:cs="Guttman Rashi"/>
          <w:rtl/>
          <w:lang w:bidi="he-IL"/>
        </w:rPr>
        <w:t xml:space="preserve"> </w:t>
      </w:r>
      <w:r w:rsidRPr="00400C0B">
        <w:rPr>
          <w:rFonts w:cs="Guttman Rashi" w:hint="eastAsia"/>
          <w:rtl/>
          <w:lang w:bidi="he-IL"/>
        </w:rPr>
        <w:t>בכא</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ומשו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לוקה</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דטכ</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36">
    <w:p w:rsidR="007978F4" w:rsidRPr="00400C0B" w:rsidRDefault="007978F4" w:rsidP="00DF48A6">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הסיק</w:t>
      </w:r>
      <w:r w:rsidRPr="00400C0B">
        <w:rPr>
          <w:rFonts w:cs="Guttman Rashi"/>
          <w:rtl/>
          <w:lang w:bidi="he-IL"/>
        </w:rPr>
        <w:t xml:space="preserve"> </w:t>
      </w:r>
      <w:r w:rsidRPr="00400C0B">
        <w:rPr>
          <w:rFonts w:cs="Guttman Rashi" w:hint="eastAsia"/>
          <w:rtl/>
          <w:lang w:bidi="he-IL"/>
        </w:rPr>
        <w:t>המהרש</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שלפי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שאלו</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כעיקר</w:t>
      </w:r>
      <w:r w:rsidRPr="00400C0B">
        <w:rPr>
          <w:rFonts w:cs="Guttman Rashi"/>
          <w:rtl/>
          <w:lang w:bidi="he-IL"/>
        </w:rPr>
        <w:t xml:space="preserve"> </w:t>
      </w:r>
      <w:r w:rsidRPr="00400C0B">
        <w:rPr>
          <w:rFonts w:cs="Guttman Rashi" w:hint="eastAsia"/>
          <w:rtl/>
          <w:lang w:bidi="he-IL"/>
        </w:rPr>
        <w:t>מנ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לימא</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דטעם</w:t>
      </w:r>
      <w:r w:rsidRPr="00400C0B">
        <w:rPr>
          <w:rFonts w:cs="Guttman Rashi"/>
          <w:rtl/>
          <w:lang w:bidi="he-IL"/>
        </w:rPr>
        <w:t xml:space="preserve"> </w:t>
      </w:r>
      <w:r w:rsidRPr="00400C0B">
        <w:rPr>
          <w:rFonts w:cs="Guttman Rashi" w:hint="eastAsia"/>
          <w:rtl/>
          <w:lang w:bidi="he-IL"/>
        </w:rPr>
        <w:t>כעיקר</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שסוברים</w:t>
      </w:r>
      <w:r w:rsidRPr="00400C0B">
        <w:rPr>
          <w:rFonts w:cs="Guttman Rashi"/>
          <w:rtl/>
          <w:lang w:bidi="he-IL"/>
        </w:rPr>
        <w:t xml:space="preserve"> </w:t>
      </w:r>
      <w:r w:rsidRPr="00400C0B">
        <w:rPr>
          <w:rFonts w:cs="Guttman Rashi" w:hint="eastAsia"/>
          <w:rtl/>
          <w:lang w:bidi="he-IL"/>
        </w:rPr>
        <w:t>רבנן</w:t>
      </w:r>
      <w:r w:rsidRPr="00400C0B">
        <w:rPr>
          <w:rFonts w:cs="Guttman Rashi"/>
          <w:rtl/>
          <w:lang w:bidi="he-IL"/>
        </w:rPr>
        <w:t xml:space="preserve"> </w:t>
      </w:r>
      <w:r w:rsidRPr="00400C0B">
        <w:rPr>
          <w:rFonts w:cs="Guttman Rashi" w:hint="eastAsia"/>
          <w:rtl/>
          <w:lang w:bidi="he-IL"/>
        </w:rPr>
        <w:t>דכותח</w:t>
      </w:r>
      <w:r w:rsidRPr="00400C0B">
        <w:rPr>
          <w:rFonts w:cs="Guttman Rashi"/>
          <w:rtl/>
          <w:lang w:bidi="he-IL"/>
        </w:rPr>
        <w:t xml:space="preserve"> </w:t>
      </w:r>
      <w:r w:rsidRPr="00400C0B">
        <w:rPr>
          <w:rFonts w:cs="Guttman Rashi" w:hint="eastAsia"/>
          <w:rtl/>
          <w:lang w:bidi="he-IL"/>
        </w:rPr>
        <w:t>הבבלי</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בנחל</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שתי</w:t>
      </w:r>
      <w:r w:rsidRPr="00400C0B">
        <w:rPr>
          <w:rFonts w:cs="Guttman Rashi"/>
          <w:rtl/>
          <w:lang w:bidi="he-IL"/>
        </w:rPr>
        <w:t xml:space="preserve">' </w:t>
      </w:r>
      <w:r>
        <w:rPr>
          <w:rFonts w:cs="Guttman Rashi" w:hint="cs"/>
          <w:rtl/>
          <w:lang w:bidi="he-IL"/>
        </w:rPr>
        <w:t xml:space="preserve">שהטעם שהגמ' שאלה טכ"ע מנ"ל, אין זה משום שהוא סברא פשוטה יותר, רק משום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דע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אית</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כעיקר</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דאל</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בשרה</w:t>
      </w:r>
      <w:r w:rsidRPr="00400C0B">
        <w:rPr>
          <w:rFonts w:cs="Guttman Rashi"/>
          <w:rtl/>
          <w:lang w:bidi="he-IL"/>
        </w:rPr>
        <w:t xml:space="preserve"> </w:t>
      </w:r>
      <w:r w:rsidRPr="00400C0B">
        <w:rPr>
          <w:rFonts w:cs="Guttman Rashi" w:hint="eastAsia"/>
          <w:rtl/>
          <w:lang w:bidi="he-IL"/>
        </w:rPr>
        <w:t>פתו</w:t>
      </w:r>
      <w:r w:rsidRPr="00400C0B">
        <w:rPr>
          <w:rFonts w:cs="Guttman Rashi"/>
          <w:rtl/>
          <w:lang w:bidi="he-IL"/>
        </w:rPr>
        <w:t xml:space="preserve"> </w:t>
      </w:r>
      <w:r w:rsidRPr="00400C0B">
        <w:rPr>
          <w:rFonts w:cs="Guttman Rashi" w:hint="eastAsia"/>
          <w:rtl/>
          <w:lang w:bidi="he-IL"/>
        </w:rPr>
        <w:t>ביין</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רוב</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במקום</w:t>
      </w:r>
      <w:r w:rsidRPr="00400C0B">
        <w:rPr>
          <w:rFonts w:cs="Guttman Rashi"/>
          <w:rtl/>
          <w:lang w:bidi="he-IL"/>
        </w:rPr>
        <w:t xml:space="preserve"> </w:t>
      </w:r>
      <w:r w:rsidRPr="00400C0B">
        <w:rPr>
          <w:rFonts w:cs="Guttman Rashi" w:hint="eastAsia"/>
          <w:rtl/>
          <w:lang w:bidi="he-IL"/>
        </w:rPr>
        <w:t>שבלע</w:t>
      </w:r>
      <w:r w:rsidRPr="00400C0B">
        <w:rPr>
          <w:rFonts w:cs="Guttman Rashi"/>
          <w:rtl/>
          <w:lang w:bidi="he-IL"/>
        </w:rPr>
        <w:t xml:space="preserve"> </w:t>
      </w:r>
      <w:r w:rsidRPr="00400C0B">
        <w:rPr>
          <w:rFonts w:cs="Guttman Rashi" w:hint="eastAsia"/>
          <w:rtl/>
          <w:lang w:bidi="he-IL"/>
        </w:rPr>
        <w:t>היין</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לכה</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לחם</w:t>
      </w:r>
      <w:r w:rsidRPr="00400C0B">
        <w:rPr>
          <w:rFonts w:cs="Guttman Rashi"/>
          <w:rtl/>
          <w:lang w:bidi="he-IL"/>
        </w:rPr>
        <w:t xml:space="preserve"> </w:t>
      </w:r>
      <w:r w:rsidRPr="00400C0B">
        <w:rPr>
          <w:rFonts w:cs="Guttman Rashi" w:hint="eastAsia"/>
          <w:rtl/>
          <w:lang w:bidi="he-IL"/>
        </w:rPr>
        <w:t>כשיעור</w:t>
      </w:r>
      <w:r w:rsidRPr="00400C0B">
        <w:rPr>
          <w:rFonts w:cs="Guttman Rashi"/>
          <w:rtl/>
          <w:lang w:bidi="he-IL"/>
        </w:rPr>
        <w:t xml:space="preserve"> </w:t>
      </w:r>
      <w:r w:rsidRPr="00400C0B">
        <w:rPr>
          <w:rFonts w:cs="Guttman Rashi" w:hint="eastAsia"/>
          <w:rtl/>
          <w:lang w:bidi="he-IL"/>
        </w:rPr>
        <w:t>יין</w:t>
      </w:r>
      <w:r w:rsidRPr="00400C0B">
        <w:rPr>
          <w:rFonts w:cs="Guttman Rashi"/>
          <w:rtl/>
          <w:lang w:bidi="he-IL"/>
        </w:rPr>
        <w:t xml:space="preserve">, </w:t>
      </w:r>
      <w:r w:rsidRPr="00400C0B">
        <w:rPr>
          <w:rFonts w:cs="Guttman Rashi" w:hint="eastAsia"/>
          <w:rtl/>
          <w:lang w:bidi="he-IL"/>
        </w:rPr>
        <w:t>והרי</w:t>
      </w:r>
      <w:r w:rsidRPr="00400C0B">
        <w:rPr>
          <w:rFonts w:cs="Guttman Rashi"/>
          <w:rtl/>
          <w:lang w:bidi="he-IL"/>
        </w:rPr>
        <w:t xml:space="preserve"> </w:t>
      </w:r>
      <w:r w:rsidRPr="00400C0B">
        <w:rPr>
          <w:rFonts w:cs="Guttman Rashi" w:hint="eastAsia"/>
          <w:rtl/>
          <w:lang w:bidi="he-IL"/>
        </w:rPr>
        <w:t>בחלק</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בלע</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פת</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יין</w:t>
      </w:r>
      <w:r w:rsidRPr="00400C0B">
        <w:rPr>
          <w:rFonts w:cs="Guttman Rashi"/>
          <w:rtl/>
          <w:lang w:bidi="he-IL"/>
        </w:rPr>
        <w:t xml:space="preserve">, </w:t>
      </w:r>
      <w:r w:rsidRPr="00400C0B">
        <w:rPr>
          <w:rFonts w:cs="Guttman Rashi" w:hint="eastAsia"/>
          <w:rtl/>
          <w:lang w:bidi="he-IL"/>
        </w:rPr>
        <w:t>והרי</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נזיר</w:t>
      </w:r>
      <w:r w:rsidRPr="00400C0B">
        <w:rPr>
          <w:rFonts w:cs="Guttman Rashi"/>
          <w:rtl/>
          <w:lang w:bidi="he-IL"/>
        </w:rPr>
        <w:t xml:space="preserve"> </w:t>
      </w:r>
      <w:r w:rsidRPr="00400C0B">
        <w:rPr>
          <w:rFonts w:cs="Guttman Rashi" w:hint="eastAsia"/>
          <w:rtl/>
          <w:lang w:bidi="he-IL"/>
        </w:rPr>
        <w:t>אמרו</w:t>
      </w:r>
      <w:r w:rsidRPr="00400C0B">
        <w:rPr>
          <w:rFonts w:cs="Guttman Rashi"/>
          <w:rtl/>
          <w:lang w:bidi="he-IL"/>
        </w:rPr>
        <w:t xml:space="preserve"> </w:t>
      </w:r>
      <w:r w:rsidRPr="00400C0B">
        <w:rPr>
          <w:rFonts w:cs="Guttman Rashi" w:hint="eastAsia"/>
          <w:rtl/>
          <w:lang w:bidi="he-IL"/>
        </w:rPr>
        <w:t>שכשרבה</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כעיקר</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דר</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דהיתר</w:t>
      </w:r>
      <w:r w:rsidRPr="00400C0B">
        <w:rPr>
          <w:rFonts w:cs="Guttman Rashi"/>
          <w:rtl/>
          <w:lang w:bidi="he-IL"/>
        </w:rPr>
        <w:t xml:space="preserve"> </w:t>
      </w:r>
      <w:r w:rsidRPr="00400C0B">
        <w:rPr>
          <w:rFonts w:cs="Guttman Rashi" w:hint="eastAsia"/>
          <w:rtl/>
          <w:lang w:bidi="he-IL"/>
        </w:rPr>
        <w:t>מצטרף</w:t>
      </w:r>
      <w:r w:rsidRPr="00400C0B">
        <w:rPr>
          <w:rFonts w:cs="Guttman Rashi"/>
          <w:rtl/>
          <w:lang w:bidi="he-IL"/>
        </w:rPr>
        <w:t xml:space="preserve"> </w:t>
      </w:r>
      <w:r w:rsidRPr="00400C0B">
        <w:rPr>
          <w:rFonts w:cs="Guttman Rashi" w:hint="eastAsia"/>
          <w:rtl/>
          <w:lang w:bidi="he-IL"/>
        </w:rPr>
        <w:t>לאיסור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כעיקר</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ונהפך</w:t>
      </w:r>
      <w:r w:rsidRPr="00400C0B">
        <w:rPr>
          <w:rFonts w:cs="Guttman Rashi"/>
          <w:rtl/>
          <w:lang w:bidi="he-IL"/>
        </w:rPr>
        <w:t xml:space="preserve"> </w:t>
      </w:r>
      <w:r w:rsidRPr="00400C0B">
        <w:rPr>
          <w:rFonts w:cs="Guttman Rashi" w:hint="eastAsia"/>
          <w:rtl/>
          <w:lang w:bidi="he-IL"/>
        </w:rPr>
        <w:t>ההיתר</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p>
  </w:footnote>
  <w:footnote w:id="3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w:t>
      </w:r>
    </w:p>
  </w:footnote>
  <w:footnote w:id="3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NOTEREF</w:instrText>
      </w:r>
      <w:r w:rsidRPr="00400C0B">
        <w:rPr>
          <w:rFonts w:cs="Guttman Rashi"/>
          <w:rtl/>
          <w:lang w:bidi="he-IL"/>
        </w:rPr>
        <w:instrText xml:space="preserve"> _</w:instrText>
      </w:r>
      <w:r w:rsidRPr="00400C0B">
        <w:rPr>
          <w:rFonts w:cs="Guttman Rashi"/>
          <w:lang w:bidi="he-IL"/>
        </w:rPr>
        <w:instrText>Ref434917041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50</w:t>
      </w:r>
      <w:r w:rsidRPr="00400C0B">
        <w:rPr>
          <w:rFonts w:cs="Guttman Rashi"/>
          <w:rtl/>
          <w:lang w:bidi="he-IL"/>
        </w:rPr>
        <w:fldChar w:fldCharType="end"/>
      </w:r>
      <w:r w:rsidRPr="00400C0B">
        <w:rPr>
          <w:rFonts w:cs="Guttman Rashi"/>
          <w:rtl/>
          <w:lang w:bidi="he-IL"/>
        </w:rPr>
        <w:t>.</w:t>
      </w:r>
    </w:p>
  </w:footnote>
  <w:footnote w:id="3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תוס</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נזיר</w:t>
      </w:r>
      <w:r w:rsidRPr="00400C0B">
        <w:rPr>
          <w:rFonts w:cs="Guttman Rashi"/>
          <w:rtl/>
          <w:lang w:bidi="he-IL"/>
        </w:rPr>
        <w:t xml:space="preserve"> </w:t>
      </w:r>
      <w:r w:rsidRPr="00400C0B">
        <w:rPr>
          <w:rFonts w:cs="Guttman Rashi" w:hint="eastAsia"/>
          <w:rtl/>
          <w:lang w:bidi="he-IL"/>
        </w:rPr>
        <w:t>שזהו</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לפירש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הם</w:t>
      </w:r>
      <w:r w:rsidRPr="00400C0B">
        <w:rPr>
          <w:rFonts w:cs="Guttman Rashi"/>
          <w:rtl/>
          <w:lang w:bidi="he-IL"/>
        </w:rPr>
        <w:t xml:space="preserve"> </w:t>
      </w:r>
      <w:r w:rsidRPr="00400C0B">
        <w:rPr>
          <w:rFonts w:cs="Guttman Rashi" w:hint="eastAsia"/>
          <w:rtl/>
          <w:lang w:bidi="he-IL"/>
        </w:rPr>
        <w:t>סוברים</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מישטר</w:t>
      </w:r>
      <w:r w:rsidRPr="00400C0B">
        <w:rPr>
          <w:rFonts w:cs="Guttman Rashi"/>
          <w:rtl/>
          <w:lang w:bidi="he-IL"/>
        </w:rPr>
        <w:t xml:space="preserve"> </w:t>
      </w:r>
      <w:r w:rsidRPr="00400C0B">
        <w:rPr>
          <w:rFonts w:cs="Guttman Rashi" w:hint="eastAsia"/>
          <w:rtl/>
          <w:lang w:bidi="he-IL"/>
        </w:rPr>
        <w:t>שטר</w:t>
      </w:r>
      <w:r w:rsidRPr="00400C0B">
        <w:rPr>
          <w:rFonts w:cs="Guttman Rashi"/>
          <w:rtl/>
          <w:lang w:bidi="he-IL"/>
        </w:rPr>
        <w:t xml:space="preserve"> </w:t>
      </w:r>
      <w:r w:rsidRPr="00400C0B">
        <w:rPr>
          <w:rFonts w:cs="Guttman Rashi" w:hint="eastAsia"/>
          <w:rtl/>
          <w:lang w:bidi="he-IL"/>
        </w:rPr>
        <w:t>בי</w:t>
      </w:r>
      <w:r w:rsidRPr="00400C0B">
        <w:rPr>
          <w:rFonts w:cs="Guttman Rashi"/>
          <w:rtl/>
          <w:lang w:bidi="he-IL"/>
        </w:rPr>
        <w:t xml:space="preserve"> </w:t>
      </w:r>
      <w:r w:rsidRPr="00400C0B">
        <w:rPr>
          <w:rFonts w:cs="Guttman Rashi" w:hint="eastAsia"/>
          <w:rtl/>
          <w:lang w:bidi="he-IL"/>
        </w:rPr>
        <w:t>חייב</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בהכי</w:t>
      </w:r>
      <w:r w:rsidRPr="00400C0B">
        <w:rPr>
          <w:rFonts w:cs="Guttman Rashi"/>
          <w:rtl/>
          <w:lang w:bidi="he-IL"/>
        </w:rPr>
        <w:t>.</w:t>
      </w:r>
    </w:p>
  </w:footnote>
  <w:footnote w:id="40">
    <w:p w:rsidR="007978F4" w:rsidRPr="00501A02" w:rsidRDefault="007978F4" w:rsidP="00501A02">
      <w:pPr>
        <w:pStyle w:val="FootnoteText"/>
        <w:bidi/>
        <w:jc w:val="both"/>
        <w:rPr>
          <w:rFonts w:cs="Guttman Rashi"/>
          <w:rtl/>
          <w:lang w:bidi="he-IL"/>
        </w:rPr>
      </w:pPr>
      <w:r>
        <w:rPr>
          <w:rStyle w:val="FootnoteReference"/>
        </w:rPr>
        <w:footnoteRef/>
      </w:r>
      <w:r>
        <w:t xml:space="preserve"> </w:t>
      </w:r>
      <w:r>
        <w:rPr>
          <w:rFonts w:cs="Guttman Rashi" w:hint="cs"/>
          <w:rtl/>
          <w:lang w:bidi="he-IL"/>
        </w:rPr>
        <w:t xml:space="preserve">וא"כ לכאורה צ"ע דהא הטעם של התבשיל נכנס לביצה ונאסר מהחלבון וחלמון, וממילא נעשית נבילה למ"ד חענ"ן בשאר איסורים, וכדאמרינן לקמן דף ק"ח ע"א ב'חלב נבילה'. ולאחר מכן שוב יוצא מן הביצה ויש לו כח לאסור בבשים כנגדו מדין תערובת מין במינו. ולכאורה צריכים לשער ס' כנגד כל הביצה, דהא מי ידעינן כמה נפיק מיני', וכדלעיל צ"ז ע"ב. וא"כ נהי נמי שאין טעם הביצה עצמה אוסרת, אבל למה לא יהא התבשיל שנע"נ אוסרת כשיעור הביצה. ולכאורה מה שצריכים לומר דכיון שאיןן הביצה נ"ט, גם התבשיל אין לו כח לאסור, דהא אין הנאסר אוסר יותר מן האוסרו </w:t>
      </w:r>
      <w:r>
        <w:rPr>
          <w:rFonts w:cs="Guttman Rashi"/>
          <w:rtl/>
          <w:lang w:bidi="he-IL"/>
        </w:rPr>
        <w:t>–</w:t>
      </w:r>
      <w:r>
        <w:rPr>
          <w:rFonts w:cs="Guttman Rashi" w:hint="cs"/>
          <w:rtl/>
          <w:lang w:bidi="he-IL"/>
        </w:rPr>
        <w:t xml:space="preserve"> ע' מש"כ לקמן בשיעור כ"ב מזה. ולמבואר שם בדעת רע"א עדיין צ"ע. עוד יל"ע לדעת הר"ן דסבר דאמרינן שהנאסר אוסר מצד עצמותו אפילו בשאר איסורים מא"ל. ולכאורה צריכים לומר דסבר כרמב"ן הנ"ל.</w:t>
      </w:r>
    </w:p>
  </w:footnote>
  <w:footnote w:id="41">
    <w:p w:rsidR="007978F4" w:rsidRPr="00677067" w:rsidRDefault="007978F4" w:rsidP="00677067">
      <w:pPr>
        <w:pStyle w:val="FootnoteText"/>
        <w:bidi/>
        <w:jc w:val="both"/>
        <w:rPr>
          <w:rFonts w:cs="Guttman Rashi"/>
          <w:rtl/>
          <w:lang w:bidi="he-IL"/>
        </w:rPr>
      </w:pPr>
      <w:r>
        <w:rPr>
          <w:rStyle w:val="FootnoteReference"/>
        </w:rPr>
        <w:footnoteRef/>
      </w:r>
      <w:r>
        <w:t xml:space="preserve"> </w:t>
      </w:r>
      <w:r>
        <w:rPr>
          <w:rFonts w:cs="Guttman Rashi" w:hint="cs"/>
          <w:rtl/>
          <w:lang w:bidi="he-IL"/>
        </w:rPr>
        <w:t>ואציין מעשה שהי' באשה שהכניסה ביצים חיים לתוך הטשולנ"ט בעיצומו של יום השבת רח"ל ונתבשלו, ודנו אם אפשר להתיר את שאר הטשולנ"ט. ופשוט דכיון דקיי"ל דהוי כי מיא דביעי בעלמא הוא' ע"כ הוא מותר, לא איכפת לן מהו הטעם (ואע"ג דהוי דשיל"מ הא הכא מב"מ הוא ומותר לכו"ע).</w:t>
      </w:r>
    </w:p>
  </w:footnote>
  <w:footnote w:id="4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סברא</w:t>
      </w:r>
      <w:r w:rsidRPr="00400C0B">
        <w:rPr>
          <w:rFonts w:cs="Guttman Rashi"/>
          <w:rtl/>
          <w:lang w:bidi="he-IL"/>
        </w:rPr>
        <w:t xml:space="preserve"> </w:t>
      </w:r>
      <w:r w:rsidRPr="00400C0B">
        <w:rPr>
          <w:rFonts w:cs="Guttman Rashi" w:hint="eastAsia"/>
          <w:rtl/>
          <w:lang w:bidi="he-IL"/>
        </w:rPr>
        <w:t>כזאת</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מתוס</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בדין</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מצטרף</w:t>
      </w:r>
      <w:r w:rsidRPr="00400C0B">
        <w:rPr>
          <w:rFonts w:cs="Guttman Rashi"/>
          <w:rtl/>
          <w:lang w:bidi="he-IL"/>
        </w:rPr>
        <w:t xml:space="preserve"> </w:t>
      </w:r>
      <w:r w:rsidRPr="00400C0B">
        <w:rPr>
          <w:rFonts w:cs="Guttman Rashi" w:hint="eastAsia"/>
          <w:rtl/>
          <w:lang w:bidi="he-IL"/>
        </w:rPr>
        <w:t>לאיסור</w:t>
      </w:r>
      <w:r w:rsidRPr="00400C0B">
        <w:rPr>
          <w:rFonts w:cs="Guttman Rashi"/>
          <w:rtl/>
          <w:lang w:bidi="he-IL"/>
        </w:rPr>
        <w:t>.</w:t>
      </w:r>
    </w:p>
  </w:footnote>
  <w:footnote w:id="4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ובאמת</w:t>
      </w:r>
      <w:r w:rsidRPr="00400C0B">
        <w:rPr>
          <w:rFonts w:cs="Guttman Rashi"/>
          <w:rtl/>
          <w:lang w:bidi="he-IL"/>
        </w:rPr>
        <w:t xml:space="preserve"> </w:t>
      </w:r>
      <w:r w:rsidRPr="00400C0B">
        <w:rPr>
          <w:rFonts w:cs="Guttman Rashi" w:hint="eastAsia"/>
          <w:rtl/>
          <w:lang w:bidi="he-IL"/>
        </w:rPr>
        <w:t>לולא</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נלעוק</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שסברא</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מחודשת</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דמה</w:t>
      </w:r>
      <w:r w:rsidRPr="00400C0B">
        <w:rPr>
          <w:rFonts w:cs="Guttman Rashi"/>
          <w:rtl/>
          <w:lang w:bidi="he-IL"/>
        </w:rPr>
        <w:t xml:space="preserve"> </w:t>
      </w:r>
      <w:r w:rsidRPr="00400C0B">
        <w:rPr>
          <w:rFonts w:cs="Guttman Rashi" w:hint="eastAsia"/>
          <w:rtl/>
          <w:lang w:bidi="he-IL"/>
        </w:rPr>
        <w:t>איכפת</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שאנחנו</w:t>
      </w:r>
      <w:r w:rsidRPr="00400C0B">
        <w:rPr>
          <w:rFonts w:cs="Guttman Rashi"/>
          <w:rtl/>
          <w:lang w:bidi="he-IL"/>
        </w:rPr>
        <w:t xml:space="preserve"> </w:t>
      </w:r>
      <w:r w:rsidRPr="00400C0B">
        <w:rPr>
          <w:rFonts w:cs="Guttman Rashi" w:hint="eastAsia"/>
          <w:rtl/>
          <w:lang w:bidi="he-IL"/>
        </w:rPr>
        <w:t>רוצים</w:t>
      </w:r>
      <w:r w:rsidRPr="00400C0B">
        <w:rPr>
          <w:rFonts w:cs="Guttman Rashi"/>
          <w:rtl/>
          <w:lang w:bidi="he-IL"/>
        </w:rPr>
        <w:t xml:space="preserve"> </w:t>
      </w:r>
      <w:r w:rsidRPr="00400C0B">
        <w:rPr>
          <w:rFonts w:cs="Guttman Rashi" w:hint="eastAsia"/>
          <w:rtl/>
          <w:lang w:bidi="he-IL"/>
        </w:rPr>
        <w:t>לבטלו</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זית</w:t>
      </w:r>
      <w:r w:rsidRPr="00400C0B">
        <w:rPr>
          <w:rFonts w:cs="Guttman Rashi"/>
          <w:rtl/>
          <w:lang w:bidi="he-IL"/>
        </w:rPr>
        <w:t xml:space="preserve"> </w:t>
      </w:r>
      <w:r w:rsidRPr="00400C0B">
        <w:rPr>
          <w:rFonts w:cs="Guttman Rashi" w:hint="eastAsia"/>
          <w:rtl/>
          <w:lang w:bidi="he-IL"/>
        </w:rPr>
        <w:t>שלם</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חצי</w:t>
      </w:r>
      <w:r w:rsidRPr="00400C0B">
        <w:rPr>
          <w:rFonts w:cs="Guttman Rashi"/>
          <w:rtl/>
          <w:lang w:bidi="he-IL"/>
        </w:rPr>
        <w:t xml:space="preserve"> </w:t>
      </w:r>
      <w:r w:rsidRPr="00400C0B">
        <w:rPr>
          <w:rFonts w:cs="Guttman Rashi" w:hint="eastAsia"/>
          <w:rtl/>
          <w:lang w:bidi="he-IL"/>
        </w:rPr>
        <w:t>זית</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עכשיו</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תערובת</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זית</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שהתערובת</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וצע</w:t>
      </w:r>
      <w:r w:rsidRPr="00400C0B">
        <w:rPr>
          <w:rFonts w:cs="Guttman Rashi"/>
          <w:rtl/>
          <w:lang w:bidi="he-IL"/>
        </w:rPr>
        <w:t>"</w:t>
      </w:r>
      <w:r w:rsidRPr="00400C0B">
        <w:rPr>
          <w:rFonts w:cs="Guttman Rashi" w:hint="eastAsia"/>
          <w:rtl/>
          <w:lang w:bidi="he-IL"/>
        </w:rPr>
        <w:t>ק</w:t>
      </w:r>
      <w:r w:rsidRPr="00400C0B">
        <w:rPr>
          <w:rFonts w:cs="Guttman Rashi"/>
          <w:rtl/>
          <w:lang w:bidi="he-IL"/>
        </w:rPr>
        <w:t>.</w:t>
      </w:r>
    </w:p>
  </w:footnote>
  <w:footnote w:id="4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שבזה</w:t>
      </w:r>
      <w:r w:rsidRPr="00400C0B">
        <w:rPr>
          <w:rFonts w:cs="Guttman Rashi"/>
          <w:rtl/>
          <w:lang w:bidi="he-IL"/>
        </w:rPr>
        <w:t xml:space="preserve"> </w:t>
      </w:r>
      <w:r w:rsidRPr="00400C0B">
        <w:rPr>
          <w:rFonts w:cs="Guttman Rashi" w:hint="eastAsia"/>
          <w:rtl/>
          <w:lang w:bidi="he-IL"/>
        </w:rPr>
        <w:t>מתורץ</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אמרו</w:t>
      </w:r>
      <w:r w:rsidRPr="00400C0B">
        <w:rPr>
          <w:rFonts w:cs="Guttman Rashi"/>
          <w:rtl/>
          <w:lang w:bidi="he-IL"/>
        </w:rPr>
        <w:t xml:space="preserve"> </w:t>
      </w:r>
      <w:r w:rsidRPr="00400C0B">
        <w:rPr>
          <w:rFonts w:cs="Guttman Rashi" w:hint="eastAsia"/>
          <w:rtl/>
          <w:lang w:bidi="he-IL"/>
        </w:rPr>
        <w:t>זהו</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הבא</w:t>
      </w:r>
      <w:r w:rsidRPr="00400C0B">
        <w:rPr>
          <w:rFonts w:cs="Guttman Rashi"/>
          <w:rtl/>
          <w:lang w:bidi="he-IL"/>
        </w:rPr>
        <w:t xml:space="preserve"> </w:t>
      </w:r>
      <w:r w:rsidRPr="00400C0B">
        <w:rPr>
          <w:rFonts w:cs="Guttman Rashi" w:hint="eastAsia"/>
          <w:rtl/>
          <w:lang w:bidi="he-IL"/>
        </w:rPr>
        <w:t>מכלל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בדינא</w:t>
      </w:r>
      <w:r w:rsidRPr="00400C0B">
        <w:rPr>
          <w:rFonts w:cs="Guttman Rashi"/>
          <w:rtl/>
          <w:lang w:bidi="he-IL"/>
        </w:rPr>
        <w:t xml:space="preserve"> </w:t>
      </w:r>
      <w:r w:rsidRPr="00400C0B">
        <w:rPr>
          <w:rFonts w:cs="Guttman Rashi" w:hint="eastAsia"/>
          <w:rtl/>
          <w:lang w:bidi="he-IL"/>
        </w:rPr>
        <w:t>דאין</w:t>
      </w:r>
      <w:r w:rsidRPr="00400C0B">
        <w:rPr>
          <w:rFonts w:cs="Guttman Rashi"/>
          <w:rtl/>
          <w:lang w:bidi="he-IL"/>
        </w:rPr>
        <w:t xml:space="preserve"> </w:t>
      </w:r>
      <w:r w:rsidRPr="00400C0B">
        <w:rPr>
          <w:rFonts w:cs="Guttman Rashi" w:hint="eastAsia"/>
          <w:rtl/>
          <w:lang w:bidi="he-IL"/>
        </w:rPr>
        <w:t>מבטלין</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הבנתי</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מוכח</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דזהו</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הבא</w:t>
      </w:r>
      <w:r w:rsidRPr="00400C0B">
        <w:rPr>
          <w:rFonts w:cs="Guttman Rashi"/>
          <w:rtl/>
          <w:lang w:bidi="he-IL"/>
        </w:rPr>
        <w:t xml:space="preserve"> </w:t>
      </w:r>
      <w:r w:rsidRPr="00400C0B">
        <w:rPr>
          <w:rFonts w:cs="Guttman Rashi" w:hint="eastAsia"/>
          <w:rtl/>
          <w:lang w:bidi="he-IL"/>
        </w:rPr>
        <w:t>בכלל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מוכח</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p>
  </w:footnote>
  <w:footnote w:id="45">
    <w:p w:rsidR="007978F4" w:rsidRPr="001D5D2C" w:rsidRDefault="007978F4" w:rsidP="001D5D2C">
      <w:pPr>
        <w:pStyle w:val="FootnoteText"/>
        <w:bidi/>
        <w:jc w:val="both"/>
        <w:rPr>
          <w:rFonts w:cs="Guttman Rashi"/>
          <w:rtl/>
          <w:lang w:bidi="he-IL"/>
        </w:rPr>
      </w:pPr>
      <w:r>
        <w:rPr>
          <w:rStyle w:val="FootnoteReference"/>
        </w:rPr>
        <w:footnoteRef/>
      </w:r>
      <w:r>
        <w:t xml:space="preserve"> </w:t>
      </w:r>
      <w:r>
        <w:rPr>
          <w:rFonts w:cs="Guttman Rashi" w:hint="cs"/>
          <w:rtl/>
          <w:lang w:bidi="he-IL"/>
        </w:rPr>
        <w:t>ע' מש"כ בזה לעיל סוף שיעור ג'.</w:t>
      </w:r>
    </w:p>
  </w:footnote>
  <w:footnote w:id="4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שהביא</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האו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שחלק</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האו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שהתורה</w:t>
      </w:r>
      <w:r w:rsidRPr="00400C0B">
        <w:rPr>
          <w:rFonts w:cs="Guttman Rashi"/>
          <w:rtl/>
          <w:lang w:bidi="he-IL"/>
        </w:rPr>
        <w:t xml:space="preserve"> </w:t>
      </w:r>
      <w:r w:rsidRPr="00400C0B">
        <w:rPr>
          <w:rFonts w:cs="Guttman Rashi" w:hint="eastAsia"/>
          <w:rtl/>
          <w:lang w:bidi="he-IL"/>
        </w:rPr>
        <w:t>אף</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אמרה</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ענין</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לאכלו</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שמעיקר</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w:t>
      </w:r>
    </w:p>
  </w:footnote>
  <w:footnote w:id="47">
    <w:p w:rsidR="007978F4" w:rsidRPr="00982D5D" w:rsidRDefault="007978F4" w:rsidP="00982D5D">
      <w:pPr>
        <w:pStyle w:val="FootnoteText"/>
        <w:bidi/>
        <w:jc w:val="both"/>
        <w:rPr>
          <w:rFonts w:cs="Guttman Rashi"/>
          <w:rtl/>
          <w:lang w:bidi="he-IL"/>
        </w:rPr>
      </w:pPr>
      <w:r>
        <w:rPr>
          <w:rStyle w:val="FootnoteReference"/>
        </w:rPr>
        <w:footnoteRef/>
      </w:r>
      <w:r>
        <w:t xml:space="preserve"> </w:t>
      </w:r>
      <w:r>
        <w:rPr>
          <w:rFonts w:cs="Guttman Rashi" w:hint="cs"/>
          <w:rtl/>
          <w:lang w:bidi="he-IL"/>
        </w:rPr>
        <w:t xml:space="preserve">שוב חשבתי אולי סברא בזה, דכמו שחל על המאכל של איסור דין שלא לאכלו, הה"נ שחל עליו דין מדרבנן שלא לבטלו כיון שע"י זה יאכלנו. אבל כל זה לא שייך אלא קודם שמבטלו, ומשום שלא חלו איסורים הנ"ל אלא על חפצא דאיסורא, אבל אחרי שכבר ביטלו ואין עליו שם איסור, אין ענין שלא לאכלו כלל (אם לא משום קנס).  </w:t>
      </w:r>
    </w:p>
  </w:footnote>
  <w:footnote w:id="48">
    <w:p w:rsidR="007978F4" w:rsidRPr="001D5D2C" w:rsidRDefault="007978F4" w:rsidP="001D5D2C">
      <w:pPr>
        <w:pStyle w:val="FootnoteText"/>
        <w:bidi/>
        <w:jc w:val="both"/>
        <w:rPr>
          <w:rFonts w:cs="Guttman Rashi"/>
          <w:rtl/>
          <w:lang w:bidi="he-IL"/>
        </w:rPr>
      </w:pPr>
      <w:r>
        <w:rPr>
          <w:rStyle w:val="FootnoteReference"/>
        </w:rPr>
        <w:footnoteRef/>
      </w:r>
      <w:r>
        <w:t xml:space="preserve"> </w:t>
      </w:r>
      <w:r>
        <w:rPr>
          <w:rFonts w:cs="Guttman Rashi" w:hint="cs"/>
          <w:rtl/>
          <w:lang w:bidi="he-IL"/>
        </w:rPr>
        <w:t>ע' לקמן סוף שיעור פ"א בגדר הדין שאין מבטלין איסור לכתחילה, ושייך לכאן.</w:t>
      </w:r>
    </w:p>
  </w:footnote>
  <w:footnote w:id="49">
    <w:p w:rsidR="007978F4" w:rsidRPr="00400C0B" w:rsidRDefault="007978F4" w:rsidP="007C4E71">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הדברים</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דאיך</w:t>
      </w:r>
      <w:r w:rsidRPr="00400C0B">
        <w:rPr>
          <w:rFonts w:cs="Guttman Rashi"/>
          <w:rtl/>
          <w:lang w:bidi="he-IL"/>
        </w:rPr>
        <w:t xml:space="preserve"> </w:t>
      </w:r>
      <w:r w:rsidRPr="00400C0B">
        <w:rPr>
          <w:rFonts w:cs="Guttman Rashi" w:hint="eastAsia"/>
          <w:rtl/>
          <w:lang w:bidi="he-IL"/>
        </w:rPr>
        <w:t>יתכן</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מחלוקת</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שומן</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נותנים</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בבשר</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הדבר</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תלוי</w:t>
      </w:r>
      <w:r w:rsidRPr="00400C0B">
        <w:rPr>
          <w:rFonts w:cs="Guttman Rashi"/>
          <w:rtl/>
          <w:lang w:bidi="he-IL"/>
        </w:rPr>
        <w:t xml:space="preserve"> </w:t>
      </w:r>
      <w:r w:rsidRPr="00400C0B">
        <w:rPr>
          <w:rFonts w:cs="Guttman Rashi" w:hint="eastAsia"/>
          <w:rtl/>
          <w:lang w:bidi="he-IL"/>
        </w:rPr>
        <w:t>במציאות</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טועם</w:t>
      </w:r>
      <w:r w:rsidRPr="00400C0B">
        <w:rPr>
          <w:rFonts w:cs="Guttman Rashi"/>
          <w:rtl/>
          <w:lang w:bidi="he-IL"/>
        </w:rPr>
        <w:t xml:space="preserve"> </w:t>
      </w:r>
      <w:r w:rsidRPr="00400C0B">
        <w:rPr>
          <w:rFonts w:cs="Guttman Rashi" w:hint="eastAsia"/>
          <w:rtl/>
          <w:lang w:bidi="he-IL"/>
        </w:rPr>
        <w:t>השומן</w:t>
      </w:r>
      <w:r w:rsidRPr="00400C0B">
        <w:rPr>
          <w:rFonts w:cs="Guttman Rashi"/>
          <w:rtl/>
          <w:lang w:bidi="he-IL"/>
        </w:rPr>
        <w:t xml:space="preserve"> </w:t>
      </w:r>
      <w:r w:rsidRPr="00400C0B">
        <w:rPr>
          <w:rFonts w:cs="Guttman Rashi" w:hint="eastAsia"/>
          <w:rtl/>
          <w:lang w:bidi="he-IL"/>
        </w:rPr>
        <w:t>בבשר</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וכמדומני</w:t>
      </w:r>
      <w:r w:rsidRPr="00400C0B">
        <w:rPr>
          <w:rFonts w:cs="Guttman Rashi"/>
          <w:rtl/>
          <w:lang w:bidi="he-IL"/>
        </w:rPr>
        <w:t xml:space="preserve"> </w:t>
      </w:r>
      <w:r w:rsidRPr="00400C0B">
        <w:rPr>
          <w:rFonts w:cs="Guttman Rashi" w:hint="eastAsia"/>
          <w:rtl/>
          <w:lang w:bidi="he-IL"/>
        </w:rPr>
        <w:t>שראיתי</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מגילת</w:t>
      </w:r>
      <w:r w:rsidRPr="00400C0B">
        <w:rPr>
          <w:rFonts w:cs="Guttman Rashi"/>
          <w:rtl/>
          <w:lang w:bidi="he-IL"/>
        </w:rPr>
        <w:t xml:space="preserve"> </w:t>
      </w:r>
      <w:r w:rsidRPr="00400C0B">
        <w:rPr>
          <w:rFonts w:cs="Guttman Rashi" w:hint="eastAsia"/>
          <w:rtl/>
          <w:lang w:bidi="he-IL"/>
        </w:rPr>
        <w:t>ספר</w:t>
      </w:r>
      <w:r w:rsidRPr="00400C0B">
        <w:rPr>
          <w:rFonts w:cs="Guttman Rashi"/>
          <w:rtl/>
          <w:lang w:bidi="he-IL"/>
        </w:rPr>
        <w:t xml:space="preserve"> </w:t>
      </w:r>
      <w:r w:rsidRPr="00400C0B">
        <w:rPr>
          <w:rFonts w:cs="Guttman Rashi" w:hint="eastAsia"/>
          <w:rtl/>
          <w:lang w:bidi="he-IL"/>
        </w:rPr>
        <w:t>בדיני</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ותערובת</w:t>
      </w:r>
      <w:r w:rsidRPr="00400C0B">
        <w:rPr>
          <w:rFonts w:cs="Guttman Rashi"/>
          <w:rtl/>
          <w:lang w:bidi="he-IL"/>
        </w:rPr>
        <w:t xml:space="preserve"> </w:t>
      </w:r>
      <w:r w:rsidRPr="00400C0B">
        <w:rPr>
          <w:rFonts w:cs="Guttman Rashi" w:hint="eastAsia"/>
          <w:rtl/>
          <w:lang w:bidi="he-IL"/>
        </w:rPr>
        <w:t>לסי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שפי</w:t>
      </w:r>
      <w:r w:rsidRPr="00400C0B">
        <w:rPr>
          <w:rFonts w:cs="Guttman Rashi"/>
          <w:rtl/>
          <w:lang w:bidi="he-IL"/>
        </w:rPr>
        <w:t xml:space="preserve">' </w:t>
      </w:r>
      <w:r w:rsidRPr="00400C0B">
        <w:rPr>
          <w:rFonts w:cs="Guttman Rashi" w:hint="eastAsia"/>
          <w:rtl/>
          <w:lang w:bidi="he-IL"/>
        </w:rPr>
        <w:t>דע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הרגש</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ההרגש</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הרגש</w:t>
      </w:r>
      <w:r w:rsidRPr="00400C0B">
        <w:rPr>
          <w:rFonts w:cs="Guttman Rashi"/>
          <w:rtl/>
          <w:lang w:bidi="he-IL"/>
        </w:rPr>
        <w:t xml:space="preserve"> </w:t>
      </w:r>
      <w:r>
        <w:rPr>
          <w:rFonts w:cs="Guttman Rashi" w:hint="cs"/>
          <w:rtl/>
          <w:lang w:bidi="he-IL"/>
        </w:rPr>
        <w:t>חלש</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כעיקר</w:t>
      </w:r>
      <w:r w:rsidRPr="00400C0B">
        <w:rPr>
          <w:rFonts w:cs="Guttman Rashi"/>
          <w:rtl/>
          <w:lang w:bidi="he-IL"/>
        </w:rPr>
        <w:t xml:space="preserve">. </w:t>
      </w:r>
      <w:r w:rsidRPr="00400C0B">
        <w:rPr>
          <w:rFonts w:cs="Guttman Rashi" w:hint="eastAsia"/>
          <w:rtl/>
          <w:lang w:bidi="he-IL"/>
        </w:rPr>
        <w:t>ובזה</w:t>
      </w:r>
      <w:r w:rsidRPr="00400C0B">
        <w:rPr>
          <w:rFonts w:cs="Guttman Rashi"/>
          <w:rtl/>
          <w:lang w:bidi="he-IL"/>
        </w:rPr>
        <w:t xml:space="preserve"> </w:t>
      </w:r>
      <w:r w:rsidRPr="00400C0B">
        <w:rPr>
          <w:rFonts w:cs="Guttman Rashi" w:hint="eastAsia"/>
          <w:rtl/>
          <w:lang w:bidi="he-IL"/>
        </w:rPr>
        <w:t>נחלקו</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שומן</w:t>
      </w:r>
      <w:r w:rsidRPr="00400C0B">
        <w:rPr>
          <w:rFonts w:cs="Guttman Rashi"/>
          <w:rtl/>
          <w:lang w:bidi="he-IL"/>
        </w:rPr>
        <w:t xml:space="preserve"> </w:t>
      </w:r>
      <w:r w:rsidRPr="00400C0B">
        <w:rPr>
          <w:rFonts w:cs="Guttman Rashi" w:hint="eastAsia"/>
          <w:rtl/>
          <w:lang w:bidi="he-IL"/>
        </w:rPr>
        <w:t>מספיק</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p>
  </w:footnote>
  <w:footnote w:id="5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להדגיש</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לשון</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שהמקור</w:t>
      </w:r>
      <w:r w:rsidRPr="00400C0B">
        <w:rPr>
          <w:rFonts w:cs="Guttman Rashi"/>
          <w:rtl/>
          <w:lang w:bidi="he-IL"/>
        </w:rPr>
        <w:t xml:space="preserve"> </w:t>
      </w:r>
      <w:r w:rsidRPr="00400C0B">
        <w:rPr>
          <w:rFonts w:cs="Guttman Rashi" w:hint="eastAsia"/>
          <w:rtl/>
          <w:lang w:bidi="he-IL"/>
        </w:rPr>
        <w:t>לקושייתם</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שסתימת</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שבמס</w:t>
      </w:r>
      <w:r w:rsidRPr="00400C0B">
        <w:rPr>
          <w:rFonts w:cs="Guttman Rashi"/>
          <w:rtl/>
          <w:lang w:bidi="he-IL"/>
        </w:rPr>
        <w:t xml:space="preserve">' </w:t>
      </w:r>
      <w:r w:rsidRPr="00400C0B">
        <w:rPr>
          <w:rFonts w:cs="Guttman Rashi" w:hint="eastAsia"/>
          <w:rtl/>
          <w:lang w:bidi="he-IL"/>
        </w:rPr>
        <w:t>פסחים</w:t>
      </w:r>
      <w:r w:rsidRPr="00400C0B">
        <w:rPr>
          <w:rFonts w:cs="Guttman Rashi"/>
          <w:rtl/>
          <w:lang w:bidi="he-IL"/>
        </w:rPr>
        <w:t xml:space="preserve"> </w:t>
      </w:r>
      <w:r w:rsidRPr="00400C0B">
        <w:rPr>
          <w:rFonts w:cs="Guttman Rashi" w:hint="eastAsia"/>
          <w:rtl/>
          <w:lang w:bidi="he-IL"/>
        </w:rPr>
        <w:t>למד</w:t>
      </w:r>
      <w:r w:rsidRPr="00400C0B">
        <w:rPr>
          <w:rFonts w:cs="Guttman Rashi"/>
          <w:rtl/>
          <w:lang w:bidi="he-IL"/>
        </w:rPr>
        <w:t xml:space="preserve"> </w:t>
      </w:r>
      <w:r w:rsidRPr="00400C0B">
        <w:rPr>
          <w:rFonts w:cs="Guttman Rashi" w:hint="eastAsia"/>
          <w:rtl/>
          <w:lang w:bidi="he-IL"/>
        </w:rPr>
        <w:t>מחטאת</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מצטרף</w:t>
      </w:r>
      <w:r w:rsidRPr="00400C0B">
        <w:rPr>
          <w:rFonts w:cs="Guttman Rashi"/>
          <w:rtl/>
          <w:lang w:bidi="he-IL"/>
        </w:rPr>
        <w:t xml:space="preserve"> </w:t>
      </w:r>
      <w:r w:rsidRPr="00400C0B">
        <w:rPr>
          <w:rFonts w:cs="Guttman Rashi" w:hint="eastAsia"/>
          <w:rtl/>
          <w:lang w:bidi="he-IL"/>
        </w:rPr>
        <w:t>לאיסור</w:t>
      </w:r>
      <w:r w:rsidRPr="00400C0B">
        <w:rPr>
          <w:rFonts w:cs="Guttman Rashi"/>
          <w:rtl/>
          <w:lang w:bidi="he-IL"/>
        </w:rPr>
        <w:t xml:space="preserve"> </w:t>
      </w:r>
      <w:r w:rsidRPr="00400C0B">
        <w:rPr>
          <w:rFonts w:cs="Guttman Rashi" w:hint="eastAsia"/>
          <w:rtl/>
          <w:lang w:bidi="he-IL"/>
        </w:rPr>
        <w:t>ודלא</w:t>
      </w:r>
      <w:r w:rsidRPr="00400C0B">
        <w:rPr>
          <w:rFonts w:cs="Guttman Rashi"/>
          <w:rtl/>
          <w:lang w:bidi="he-IL"/>
        </w:rPr>
        <w:t xml:space="preserve"> </w:t>
      </w:r>
      <w:r w:rsidRPr="00400C0B">
        <w:rPr>
          <w:rFonts w:cs="Guttman Rashi" w:hint="eastAsia"/>
          <w:rtl/>
          <w:lang w:bidi="he-IL"/>
        </w:rPr>
        <w:t>כסתימת</w:t>
      </w:r>
      <w:r w:rsidRPr="00400C0B">
        <w:rPr>
          <w:rFonts w:cs="Guttman Rashi"/>
          <w:rtl/>
          <w:lang w:bidi="he-IL"/>
        </w:rPr>
        <w:t xml:space="preserve"> </w:t>
      </w:r>
      <w:r w:rsidRPr="00400C0B">
        <w:rPr>
          <w:rFonts w:cs="Guttman Rashi" w:hint="eastAsia"/>
          <w:rtl/>
          <w:lang w:bidi="he-IL"/>
        </w:rPr>
        <w:t>סוגיא</w:t>
      </w:r>
      <w:r w:rsidRPr="00400C0B">
        <w:rPr>
          <w:rFonts w:cs="Guttman Rashi"/>
          <w:rtl/>
          <w:lang w:bidi="he-IL"/>
        </w:rPr>
        <w:t xml:space="preserve"> </w:t>
      </w:r>
      <w:r w:rsidRPr="00400C0B">
        <w:rPr>
          <w:rFonts w:cs="Guttman Rashi" w:hint="eastAsia"/>
          <w:rtl/>
          <w:lang w:bidi="he-IL"/>
        </w:rPr>
        <w:t>דידן</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הקושיא</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הרבה</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שלפי</w:t>
      </w:r>
      <w:r w:rsidRPr="00400C0B">
        <w:rPr>
          <w:rFonts w:cs="Guttman Rashi"/>
          <w:rtl/>
          <w:lang w:bidi="he-IL"/>
        </w:rPr>
        <w:t xml:space="preserve"> </w:t>
      </w:r>
      <w:r w:rsidRPr="00400C0B">
        <w:rPr>
          <w:rFonts w:cs="Guttman Rashi" w:hint="eastAsia"/>
          <w:rtl/>
          <w:lang w:bidi="he-IL"/>
        </w:rPr>
        <w:t>הסברא</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מס</w:t>
      </w:r>
      <w:r w:rsidRPr="00400C0B">
        <w:rPr>
          <w:rFonts w:cs="Guttman Rashi"/>
          <w:rtl/>
          <w:lang w:bidi="he-IL"/>
        </w:rPr>
        <w:t xml:space="preserve">' </w:t>
      </w:r>
      <w:r w:rsidRPr="00400C0B">
        <w:rPr>
          <w:rFonts w:cs="Guttman Rashi" w:hint="eastAsia"/>
          <w:rtl/>
          <w:lang w:bidi="he-IL"/>
        </w:rPr>
        <w:t>פסחים</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הוו</w:t>
      </w:r>
      <w:r w:rsidRPr="00400C0B">
        <w:rPr>
          <w:rFonts w:cs="Guttman Rashi"/>
          <w:rtl/>
          <w:lang w:bidi="he-IL"/>
        </w:rPr>
        <w:t xml:space="preserve"> </w:t>
      </w:r>
      <w:r w:rsidRPr="00400C0B">
        <w:rPr>
          <w:rFonts w:cs="Guttman Rashi" w:hint="eastAsia"/>
          <w:rtl/>
          <w:lang w:bidi="he-IL"/>
        </w:rPr>
        <w:t>משרת</w:t>
      </w:r>
      <w:r w:rsidRPr="00400C0B">
        <w:rPr>
          <w:rFonts w:cs="Guttman Rashi"/>
          <w:rtl/>
          <w:lang w:bidi="he-IL"/>
        </w:rPr>
        <w:t xml:space="preserve"> </w:t>
      </w:r>
      <w:r w:rsidRPr="00400C0B">
        <w:rPr>
          <w:rFonts w:cs="Guttman Rashi" w:hint="eastAsia"/>
          <w:rtl/>
          <w:lang w:bidi="he-IL"/>
        </w:rPr>
        <w:t>וחטאת</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כתובים</w:t>
      </w:r>
      <w:r w:rsidRPr="00400C0B">
        <w:rPr>
          <w:rFonts w:cs="Guttman Rashi"/>
          <w:rtl/>
          <w:lang w:bidi="he-IL"/>
        </w:rPr>
        <w:t xml:space="preserve"> </w:t>
      </w:r>
      <w:r w:rsidRPr="00400C0B">
        <w:rPr>
          <w:rFonts w:cs="Guttman Rashi" w:hint="eastAsia"/>
          <w:rtl/>
          <w:lang w:bidi="he-IL"/>
        </w:rPr>
        <w:t>הבאים</w:t>
      </w:r>
      <w:r w:rsidRPr="00400C0B">
        <w:rPr>
          <w:rFonts w:cs="Guttman Rashi"/>
          <w:rtl/>
          <w:lang w:bidi="he-IL"/>
        </w:rPr>
        <w:t xml:space="preserve"> </w:t>
      </w:r>
      <w:r w:rsidRPr="00400C0B">
        <w:rPr>
          <w:rFonts w:cs="Guttman Rashi" w:hint="eastAsia"/>
          <w:rtl/>
          <w:lang w:bidi="he-IL"/>
        </w:rPr>
        <w:t>כא</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מלמדים</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איך</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כעיקר</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חטאת</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לטעם</w:t>
      </w:r>
      <w:r w:rsidRPr="00400C0B">
        <w:rPr>
          <w:rFonts w:cs="Guttman Rashi"/>
          <w:rtl/>
          <w:lang w:bidi="he-IL"/>
        </w:rPr>
        <w:t xml:space="preserve"> </w:t>
      </w:r>
      <w:r w:rsidRPr="00400C0B">
        <w:rPr>
          <w:rFonts w:cs="Guttman Rashi" w:hint="eastAsia"/>
          <w:rtl/>
          <w:lang w:bidi="he-IL"/>
        </w:rPr>
        <w:t>כעיקר</w:t>
      </w:r>
      <w:r w:rsidRPr="00400C0B">
        <w:rPr>
          <w:rFonts w:cs="Guttman Rashi"/>
          <w:rtl/>
          <w:lang w:bidi="he-IL"/>
        </w:rPr>
        <w:t xml:space="preserve">, </w:t>
      </w:r>
      <w:r w:rsidRPr="00400C0B">
        <w:rPr>
          <w:rFonts w:cs="Guttman Rashi" w:hint="eastAsia"/>
          <w:rtl/>
          <w:lang w:bidi="he-IL"/>
        </w:rPr>
        <w:t>שמחטאת</w:t>
      </w:r>
      <w:r w:rsidRPr="00400C0B">
        <w:rPr>
          <w:rFonts w:cs="Guttman Rashi"/>
          <w:rtl/>
          <w:lang w:bidi="he-IL"/>
        </w:rPr>
        <w:t xml:space="preserve"> </w:t>
      </w:r>
      <w:r w:rsidRPr="00400C0B">
        <w:rPr>
          <w:rFonts w:cs="Guttman Rashi" w:hint="eastAsia"/>
          <w:rtl/>
          <w:lang w:bidi="he-IL"/>
        </w:rPr>
        <w:t>לבד</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ללמוד</w:t>
      </w:r>
      <w:r w:rsidRPr="00400C0B">
        <w:rPr>
          <w:rFonts w:cs="Guttman Rashi"/>
          <w:rtl/>
          <w:lang w:bidi="he-IL"/>
        </w:rPr>
        <w:t xml:space="preserve"> </w:t>
      </w:r>
      <w:r w:rsidRPr="00400C0B">
        <w:rPr>
          <w:rFonts w:cs="Guttman Rashi" w:hint="eastAsia"/>
          <w:rtl/>
          <w:lang w:bidi="he-IL"/>
        </w:rPr>
        <w:t>דחולין</w:t>
      </w:r>
      <w:r w:rsidRPr="00400C0B">
        <w:rPr>
          <w:rFonts w:cs="Guttman Rashi"/>
          <w:rtl/>
          <w:lang w:bidi="he-IL"/>
        </w:rPr>
        <w:t xml:space="preserve"> </w:t>
      </w:r>
      <w:r w:rsidRPr="00400C0B">
        <w:rPr>
          <w:rFonts w:cs="Guttman Rashi" w:hint="eastAsia"/>
          <w:rtl/>
          <w:lang w:bidi="he-IL"/>
        </w:rPr>
        <w:t>מקדשים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גמרינן</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משרת</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לטעם</w:t>
      </w:r>
      <w:r w:rsidRPr="00400C0B">
        <w:rPr>
          <w:rFonts w:cs="Guttman Rashi"/>
          <w:rtl/>
          <w:lang w:bidi="he-IL"/>
        </w:rPr>
        <w:t xml:space="preserve"> </w:t>
      </w:r>
      <w:r w:rsidRPr="00400C0B">
        <w:rPr>
          <w:rFonts w:cs="Guttman Rashi" w:hint="eastAsia"/>
          <w:rtl/>
          <w:lang w:bidi="he-IL"/>
        </w:rPr>
        <w:t>כעיקר</w:t>
      </w:r>
      <w:r w:rsidRPr="00400C0B">
        <w:rPr>
          <w:rFonts w:cs="Guttman Rashi"/>
          <w:rtl/>
          <w:lang w:bidi="he-IL"/>
        </w:rPr>
        <w:t xml:space="preserve"> (</w:t>
      </w:r>
      <w:r w:rsidRPr="00400C0B">
        <w:rPr>
          <w:rFonts w:cs="Guttman Rashi" w:hint="eastAsia"/>
          <w:rtl/>
          <w:lang w:bidi="he-IL"/>
        </w:rPr>
        <w:t>וכמש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הוו</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כתובים</w:t>
      </w:r>
      <w:r w:rsidRPr="00400C0B">
        <w:rPr>
          <w:rFonts w:cs="Guttman Rashi"/>
          <w:rtl/>
          <w:lang w:bidi="he-IL"/>
        </w:rPr>
        <w:t xml:space="preserve"> </w:t>
      </w:r>
      <w:r w:rsidRPr="00400C0B">
        <w:rPr>
          <w:rFonts w:cs="Guttman Rashi" w:hint="eastAsia"/>
          <w:rtl/>
          <w:lang w:bidi="he-IL"/>
        </w:rPr>
        <w:t>הבאים</w:t>
      </w:r>
      <w:r w:rsidRPr="00400C0B">
        <w:rPr>
          <w:rFonts w:cs="Guttman Rashi"/>
          <w:rtl/>
          <w:lang w:bidi="he-IL"/>
        </w:rPr>
        <w:t xml:space="preserve"> </w:t>
      </w:r>
      <w:r w:rsidRPr="00400C0B">
        <w:rPr>
          <w:rFonts w:cs="Guttman Rashi" w:hint="eastAsia"/>
          <w:rtl/>
          <w:lang w:bidi="he-IL"/>
        </w:rPr>
        <w:t>כא</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מלמדים</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להיתר</w:t>
      </w:r>
      <w:r w:rsidRPr="00400C0B">
        <w:rPr>
          <w:rFonts w:cs="Guttman Rashi"/>
          <w:rtl/>
          <w:lang w:bidi="he-IL"/>
        </w:rPr>
        <w:t xml:space="preserve"> </w:t>
      </w:r>
      <w:r w:rsidRPr="00400C0B">
        <w:rPr>
          <w:rFonts w:cs="Guttman Rashi" w:hint="eastAsia"/>
          <w:rtl/>
          <w:lang w:bidi="he-IL"/>
        </w:rPr>
        <w:t>מצטרף</w:t>
      </w:r>
      <w:r w:rsidRPr="00400C0B">
        <w:rPr>
          <w:rFonts w:cs="Guttman Rashi"/>
          <w:rtl/>
          <w:lang w:bidi="he-IL"/>
        </w:rPr>
        <w:t xml:space="preserve"> </w:t>
      </w:r>
      <w:r w:rsidRPr="00400C0B">
        <w:rPr>
          <w:rFonts w:cs="Guttman Rashi" w:hint="eastAsia"/>
          <w:rtl/>
          <w:lang w:bidi="he-IL"/>
        </w:rPr>
        <w:t>לאיסור</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שהגמ</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כגמ</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נזיר</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ממשרת</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ללמוד</w:t>
      </w:r>
      <w:r w:rsidRPr="00400C0B">
        <w:rPr>
          <w:rFonts w:cs="Guttman Rashi"/>
          <w:rtl/>
          <w:lang w:bidi="he-IL"/>
        </w:rPr>
        <w:t xml:space="preserve"> </w:t>
      </w:r>
      <w:r w:rsidRPr="00400C0B">
        <w:rPr>
          <w:rFonts w:cs="Guttman Rashi" w:hint="eastAsia"/>
          <w:rtl/>
          <w:lang w:bidi="he-IL"/>
        </w:rPr>
        <w:t>לכל</w:t>
      </w:r>
      <w:r w:rsidRPr="00400C0B">
        <w:rPr>
          <w:rFonts w:cs="Guttman Rashi"/>
          <w:rtl/>
          <w:lang w:bidi="he-IL"/>
        </w:rPr>
        <w:t xml:space="preserve"> </w:t>
      </w:r>
      <w:r w:rsidRPr="00400C0B">
        <w:rPr>
          <w:rFonts w:cs="Guttman Rashi" w:hint="eastAsia"/>
          <w:rtl/>
          <w:lang w:bidi="he-IL"/>
        </w:rPr>
        <w:t>התורה</w:t>
      </w:r>
      <w:r w:rsidRPr="00400C0B">
        <w:rPr>
          <w:rFonts w:cs="Guttman Rashi"/>
          <w:rtl/>
          <w:lang w:bidi="he-IL"/>
        </w:rPr>
        <w:t xml:space="preserve"> </w:t>
      </w:r>
      <w:r w:rsidRPr="00400C0B">
        <w:rPr>
          <w:rFonts w:cs="Guttman Rashi" w:hint="eastAsia"/>
          <w:rtl/>
          <w:lang w:bidi="he-IL"/>
        </w:rPr>
        <w:t>כולה</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הוו</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כתובים</w:t>
      </w:r>
      <w:r w:rsidRPr="00400C0B">
        <w:rPr>
          <w:rFonts w:cs="Guttman Rashi"/>
          <w:rtl/>
          <w:lang w:bidi="he-IL"/>
        </w:rPr>
        <w:t xml:space="preserve"> </w:t>
      </w:r>
      <w:r w:rsidRPr="00400C0B">
        <w:rPr>
          <w:rFonts w:cs="Guttman Rashi" w:hint="eastAsia"/>
          <w:rtl/>
          <w:lang w:bidi="he-IL"/>
        </w:rPr>
        <w:t>הבאים</w:t>
      </w:r>
      <w:r w:rsidRPr="00400C0B">
        <w:rPr>
          <w:rFonts w:cs="Guttman Rashi"/>
          <w:rtl/>
          <w:lang w:bidi="he-IL"/>
        </w:rPr>
        <w:t xml:space="preserve"> </w:t>
      </w:r>
      <w:r w:rsidRPr="00400C0B">
        <w:rPr>
          <w:rFonts w:cs="Guttman Rashi" w:hint="eastAsia"/>
          <w:rtl/>
          <w:lang w:bidi="he-IL"/>
        </w:rPr>
        <w:t>כא</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מלמדים</w:t>
      </w:r>
      <w:r w:rsidRPr="00400C0B">
        <w:rPr>
          <w:rFonts w:cs="Guttman Rashi"/>
          <w:rtl/>
          <w:lang w:bidi="he-IL"/>
        </w:rPr>
        <w:t xml:space="preserve">. </w:t>
      </w:r>
      <w:r w:rsidRPr="00400C0B">
        <w:rPr>
          <w:rFonts w:cs="Guttman Rashi" w:hint="eastAsia"/>
          <w:rtl/>
          <w:lang w:bidi="he-IL"/>
        </w:rPr>
        <w:t>ויתכן</w:t>
      </w:r>
      <w:r w:rsidRPr="00400C0B">
        <w:rPr>
          <w:rFonts w:cs="Guttman Rashi"/>
          <w:rtl/>
          <w:lang w:bidi="he-IL"/>
        </w:rPr>
        <w:t xml:space="preserve"> </w:t>
      </w:r>
      <w:r w:rsidRPr="00400C0B">
        <w:rPr>
          <w:rFonts w:cs="Guttman Rashi" w:hint="eastAsia"/>
          <w:rtl/>
          <w:lang w:bidi="he-IL"/>
        </w:rPr>
        <w:t>שכל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היתה</w:t>
      </w:r>
      <w:r w:rsidRPr="00400C0B">
        <w:rPr>
          <w:rFonts w:cs="Guttman Rashi"/>
          <w:rtl/>
          <w:lang w:bidi="he-IL"/>
        </w:rPr>
        <w:t xml:space="preserve"> </w:t>
      </w:r>
      <w:r w:rsidRPr="00400C0B">
        <w:rPr>
          <w:rFonts w:cs="Guttman Rashi" w:hint="eastAsia"/>
          <w:rtl/>
          <w:lang w:bidi="he-IL"/>
        </w:rPr>
        <w:t>בכלל</w:t>
      </w:r>
      <w:r w:rsidRPr="00400C0B">
        <w:rPr>
          <w:rFonts w:cs="Guttman Rashi"/>
          <w:rtl/>
          <w:lang w:bidi="he-IL"/>
        </w:rPr>
        <w:t xml:space="preserve"> </w:t>
      </w:r>
      <w:r w:rsidRPr="00400C0B">
        <w:rPr>
          <w:rFonts w:cs="Guttman Rashi" w:hint="eastAsia"/>
          <w:rtl/>
          <w:lang w:bidi="he-IL"/>
        </w:rPr>
        <w:t>הכוונה</w:t>
      </w:r>
      <w:r w:rsidRPr="00400C0B">
        <w:rPr>
          <w:rFonts w:cs="Guttman Rashi"/>
          <w:rtl/>
          <w:lang w:bidi="he-IL"/>
        </w:rPr>
        <w:t xml:space="preserve"> </w:t>
      </w:r>
      <w:r w:rsidRPr="00400C0B">
        <w:rPr>
          <w:rFonts w:cs="Guttman Rashi" w:hint="eastAsia"/>
          <w:rtl/>
          <w:lang w:bidi="he-IL"/>
        </w:rPr>
        <w:t>בקושייתם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מסתימת</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דהתם</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מטעמי</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שלעולם</w:t>
      </w:r>
      <w:r w:rsidRPr="00400C0B">
        <w:rPr>
          <w:rFonts w:cs="Guttman Rashi"/>
          <w:rtl/>
          <w:lang w:bidi="he-IL"/>
        </w:rPr>
        <w:t xml:space="preserve"> </w:t>
      </w:r>
      <w:r w:rsidRPr="00400C0B">
        <w:rPr>
          <w:rFonts w:cs="Guttman Rashi" w:hint="eastAsia"/>
          <w:rtl/>
          <w:lang w:bidi="he-IL"/>
        </w:rPr>
        <w:t>מכח</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דב</w:t>
      </w:r>
      <w:r w:rsidRPr="00400C0B">
        <w:rPr>
          <w:rFonts w:cs="Guttman Rashi"/>
          <w:rtl/>
          <w:lang w:bidi="he-IL"/>
        </w:rPr>
        <w:t xml:space="preserve">' </w:t>
      </w:r>
      <w:r w:rsidRPr="00400C0B">
        <w:rPr>
          <w:rFonts w:cs="Guttman Rashi" w:hint="eastAsia"/>
          <w:rtl/>
          <w:lang w:bidi="he-IL"/>
        </w:rPr>
        <w:t>כתובים</w:t>
      </w:r>
      <w:r w:rsidRPr="00400C0B">
        <w:rPr>
          <w:rFonts w:cs="Guttman Rashi"/>
          <w:rtl/>
          <w:lang w:bidi="he-IL"/>
        </w:rPr>
        <w:t xml:space="preserve"> </w:t>
      </w:r>
      <w:r w:rsidRPr="00400C0B">
        <w:rPr>
          <w:rFonts w:cs="Guttman Rashi" w:hint="eastAsia"/>
          <w:rtl/>
          <w:lang w:bidi="he-IL"/>
        </w:rPr>
        <w:t>הבאים</w:t>
      </w:r>
      <w:r w:rsidRPr="00400C0B">
        <w:rPr>
          <w:rFonts w:cs="Guttman Rashi"/>
          <w:rtl/>
          <w:lang w:bidi="he-IL"/>
        </w:rPr>
        <w:t xml:space="preserve"> </w:t>
      </w:r>
      <w:r w:rsidRPr="00400C0B">
        <w:rPr>
          <w:rFonts w:cs="Guttman Rashi" w:hint="eastAsia"/>
          <w:rtl/>
          <w:lang w:bidi="he-IL"/>
        </w:rPr>
        <w:t>כא</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דאיכא</w:t>
      </w:r>
      <w:r w:rsidRPr="00400C0B">
        <w:rPr>
          <w:rFonts w:cs="Guttman Rashi"/>
          <w:rtl/>
          <w:lang w:bidi="he-IL"/>
        </w:rPr>
        <w:t xml:space="preserve"> </w:t>
      </w:r>
      <w:r w:rsidRPr="00400C0B">
        <w:rPr>
          <w:rFonts w:cs="Guttman Rashi" w:hint="eastAsia"/>
          <w:rtl/>
          <w:lang w:bidi="he-IL"/>
        </w:rPr>
        <w:t>למימר</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סוגיא</w:t>
      </w:r>
      <w:r w:rsidRPr="00400C0B">
        <w:rPr>
          <w:rFonts w:cs="Guttman Rashi"/>
          <w:rtl/>
          <w:lang w:bidi="he-IL"/>
        </w:rPr>
        <w:t xml:space="preserve"> </w:t>
      </w:r>
      <w:r w:rsidRPr="00400C0B">
        <w:rPr>
          <w:rFonts w:cs="Guttman Rashi" w:hint="eastAsia"/>
          <w:rtl/>
          <w:lang w:bidi="he-IL"/>
        </w:rPr>
        <w:t>דידן</w:t>
      </w:r>
      <w:r w:rsidRPr="00400C0B">
        <w:rPr>
          <w:rFonts w:cs="Guttman Rashi"/>
          <w:rtl/>
          <w:lang w:bidi="he-IL"/>
        </w:rPr>
        <w:t xml:space="preserve"> </w:t>
      </w:r>
      <w:r w:rsidRPr="00400C0B">
        <w:rPr>
          <w:rFonts w:cs="Guttman Rashi" w:hint="eastAsia"/>
          <w:rtl/>
          <w:lang w:bidi="he-IL"/>
        </w:rPr>
        <w:t>דב</w:t>
      </w:r>
      <w:r w:rsidRPr="00400C0B">
        <w:rPr>
          <w:rFonts w:cs="Guttman Rashi"/>
          <w:rtl/>
          <w:lang w:bidi="he-IL"/>
        </w:rPr>
        <w:t xml:space="preserve">' </w:t>
      </w:r>
      <w:r w:rsidRPr="00400C0B">
        <w:rPr>
          <w:rFonts w:cs="Guttman Rashi" w:hint="eastAsia"/>
          <w:rtl/>
          <w:lang w:bidi="he-IL"/>
        </w:rPr>
        <w:t>כתובים</w:t>
      </w:r>
      <w:r w:rsidRPr="00400C0B">
        <w:rPr>
          <w:rFonts w:cs="Guttman Rashi"/>
          <w:rtl/>
          <w:lang w:bidi="he-IL"/>
        </w:rPr>
        <w:t xml:space="preserve"> </w:t>
      </w:r>
      <w:r w:rsidRPr="00400C0B">
        <w:rPr>
          <w:rFonts w:cs="Guttman Rashi" w:hint="eastAsia"/>
          <w:rtl/>
          <w:lang w:bidi="he-IL"/>
        </w:rPr>
        <w:t>מלמדים</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נגד</w:t>
      </w:r>
      <w:r w:rsidRPr="00400C0B">
        <w:rPr>
          <w:rFonts w:cs="Guttman Rashi"/>
          <w:rtl/>
          <w:lang w:bidi="he-IL"/>
        </w:rPr>
        <w:t xml:space="preserve"> </w:t>
      </w:r>
      <w:r w:rsidRPr="00400C0B">
        <w:rPr>
          <w:rFonts w:cs="Guttman Rashi" w:hint="eastAsia"/>
          <w:rtl/>
          <w:lang w:bidi="he-IL"/>
        </w:rPr>
        <w:t>סתימת</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שהתם</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שהקשו</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p>
  </w:footnote>
  <w:footnote w:id="51">
    <w:p w:rsidR="007978F4" w:rsidRPr="007C7B11" w:rsidRDefault="007978F4" w:rsidP="007C7B11">
      <w:pPr>
        <w:pStyle w:val="FootnoteText"/>
        <w:bidi/>
        <w:jc w:val="both"/>
        <w:rPr>
          <w:rFonts w:cs="Guttman Rashi"/>
          <w:rtl/>
          <w:lang w:bidi="he-IL"/>
        </w:rPr>
      </w:pPr>
      <w:r>
        <w:rPr>
          <w:rStyle w:val="FootnoteReference"/>
        </w:rPr>
        <w:footnoteRef/>
      </w:r>
      <w:r>
        <w:t xml:space="preserve"> </w:t>
      </w:r>
      <w:r>
        <w:rPr>
          <w:rFonts w:cs="Guttman Rashi" w:hint="cs"/>
          <w:rtl/>
          <w:lang w:bidi="he-IL"/>
        </w:rPr>
        <w:t>לעיל שיעור ב'</w:t>
      </w:r>
    </w:p>
  </w:footnote>
  <w:footnote w:id="52">
    <w:p w:rsidR="007978F4" w:rsidRPr="00400C0B" w:rsidRDefault="007978F4" w:rsidP="00B80448">
      <w:pPr>
        <w:pStyle w:val="FootnoteText"/>
        <w:bidi/>
        <w:jc w:val="both"/>
        <w:rPr>
          <w:rFonts w:cs="Guttman Rashi"/>
          <w:lang w:bidi="he-IL"/>
        </w:rPr>
      </w:pPr>
      <w:r w:rsidRPr="00400C0B">
        <w:rPr>
          <w:rFonts w:cs="Guttman Rashi"/>
          <w:lang w:bidi="he-IL"/>
        </w:rPr>
        <w:t>gluten</w:t>
      </w:r>
      <w:r w:rsidRPr="00400C0B">
        <w:rPr>
          <w:rStyle w:val="FootnoteReference"/>
          <w:rFonts w:cs="Guttman Rashi"/>
        </w:rPr>
        <w:footnoteRef/>
      </w:r>
    </w:p>
  </w:footnote>
  <w:footnote w:id="5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שמה</w:t>
      </w:r>
      <w:r w:rsidRPr="00400C0B">
        <w:rPr>
          <w:rFonts w:cs="Guttman Rashi"/>
          <w:rtl/>
          <w:lang w:bidi="he-IL"/>
        </w:rPr>
        <w:t xml:space="preserve"> </w:t>
      </w:r>
      <w:r w:rsidRPr="00400C0B">
        <w:rPr>
          <w:rFonts w:cs="Guttman Rashi" w:hint="eastAsia"/>
          <w:rtl/>
          <w:lang w:bidi="he-IL"/>
        </w:rPr>
        <w:t>שהקשה</w:t>
      </w:r>
      <w:r w:rsidRPr="00400C0B">
        <w:rPr>
          <w:rFonts w:cs="Guttman Rashi"/>
          <w:rtl/>
          <w:lang w:bidi="he-IL"/>
        </w:rPr>
        <w:t xml:space="preserve"> </w:t>
      </w:r>
      <w:r w:rsidRPr="00400C0B">
        <w:rPr>
          <w:rFonts w:cs="Guttman Rashi" w:hint="eastAsia"/>
          <w:rtl/>
          <w:lang w:bidi="he-IL"/>
        </w:rPr>
        <w:t>אביי</w:t>
      </w:r>
      <w:r w:rsidRPr="00400C0B">
        <w:rPr>
          <w:rFonts w:cs="Guttman Rashi"/>
          <w:rtl/>
          <w:lang w:bidi="he-IL"/>
        </w:rPr>
        <w:t xml:space="preserve"> </w:t>
      </w:r>
      <w:r w:rsidRPr="00400C0B">
        <w:rPr>
          <w:rFonts w:cs="Guttman Rashi" w:hint="eastAsia"/>
          <w:rtl/>
          <w:lang w:bidi="he-IL"/>
        </w:rPr>
        <w:t>מתחילת</w:t>
      </w:r>
      <w:r w:rsidRPr="00400C0B">
        <w:rPr>
          <w:rFonts w:cs="Guttman Rashi"/>
          <w:rtl/>
          <w:lang w:bidi="he-IL"/>
        </w:rPr>
        <w:t xml:space="preserve"> </w:t>
      </w:r>
      <w:r w:rsidRPr="00400C0B">
        <w:rPr>
          <w:rFonts w:cs="Guttman Rashi" w:hint="eastAsia"/>
          <w:rtl/>
          <w:lang w:bidi="he-IL"/>
        </w:rPr>
        <w:t>הסוגיא</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בגלל</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ידע</w:t>
      </w:r>
      <w:r w:rsidRPr="00400C0B">
        <w:rPr>
          <w:rFonts w:cs="Guttman Rashi"/>
          <w:rtl/>
          <w:lang w:bidi="he-IL"/>
        </w:rPr>
        <w:t xml:space="preserve"> </w:t>
      </w:r>
      <w:r w:rsidRPr="00400C0B">
        <w:rPr>
          <w:rFonts w:cs="Guttman Rashi" w:hint="eastAsia"/>
          <w:rtl/>
          <w:lang w:bidi="he-IL"/>
        </w:rPr>
        <w:t>מטעם</w:t>
      </w:r>
      <w:r w:rsidRPr="00400C0B">
        <w:rPr>
          <w:rFonts w:cs="Guttman Rashi"/>
          <w:rtl/>
          <w:lang w:bidi="he-IL"/>
        </w:rPr>
        <w:t xml:space="preserve"> </w:t>
      </w:r>
      <w:r w:rsidRPr="00400C0B">
        <w:rPr>
          <w:rFonts w:cs="Guttman Rashi" w:hint="eastAsia"/>
          <w:rtl/>
          <w:lang w:bidi="he-IL"/>
        </w:rPr>
        <w:t>כעיקר</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הנחה</w:t>
      </w:r>
      <w:r w:rsidRPr="00400C0B">
        <w:rPr>
          <w:rFonts w:cs="Guttman Rashi"/>
          <w:rtl/>
          <w:lang w:bidi="he-IL"/>
        </w:rPr>
        <w:t xml:space="preserve"> </w:t>
      </w:r>
      <w:r w:rsidRPr="00400C0B">
        <w:rPr>
          <w:rFonts w:cs="Guttman Rashi" w:hint="eastAsia"/>
          <w:rtl/>
          <w:lang w:bidi="he-IL"/>
        </w:rPr>
        <w:t>פשוטה</w:t>
      </w:r>
      <w:r w:rsidRPr="00400C0B">
        <w:rPr>
          <w:rFonts w:cs="Guttman Rashi"/>
          <w:rtl/>
          <w:lang w:bidi="he-IL"/>
        </w:rPr>
        <w:t xml:space="preserve"> </w:t>
      </w:r>
      <w:r w:rsidRPr="00400C0B">
        <w:rPr>
          <w:rFonts w:cs="Guttman Rashi" w:hint="eastAsia"/>
          <w:rtl/>
          <w:lang w:bidi="he-IL"/>
        </w:rPr>
        <w:t>אצלו</w:t>
      </w:r>
      <w:r w:rsidRPr="00400C0B">
        <w:rPr>
          <w:rFonts w:cs="Guttman Rashi"/>
          <w:rtl/>
          <w:lang w:bidi="he-IL"/>
        </w:rPr>
        <w:t xml:space="preserve"> </w:t>
      </w:r>
      <w:r w:rsidRPr="00400C0B">
        <w:rPr>
          <w:rFonts w:cs="Guttman Rashi" w:hint="eastAsia"/>
          <w:rtl/>
          <w:lang w:bidi="he-IL"/>
        </w:rPr>
        <w:t>שטעם</w:t>
      </w:r>
      <w:r w:rsidRPr="00400C0B">
        <w:rPr>
          <w:rFonts w:cs="Guttman Rashi"/>
          <w:rtl/>
          <w:lang w:bidi="he-IL"/>
        </w:rPr>
        <w:t xml:space="preserve"> </w:t>
      </w:r>
      <w:r w:rsidRPr="00400C0B">
        <w:rPr>
          <w:rFonts w:cs="Guttman Rashi" w:hint="eastAsia"/>
          <w:rtl/>
          <w:lang w:bidi="he-IL"/>
        </w:rPr>
        <w:t>כעיקר</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דהגמ</w:t>
      </w:r>
      <w:r w:rsidRPr="00400C0B">
        <w:rPr>
          <w:rFonts w:cs="Guttman Rashi"/>
          <w:rtl/>
          <w:lang w:bidi="he-IL"/>
        </w:rPr>
        <w:t xml:space="preserve">' </w:t>
      </w:r>
      <w:r w:rsidRPr="00400C0B">
        <w:rPr>
          <w:rFonts w:cs="Guttman Rashi" w:hint="eastAsia"/>
          <w:rtl/>
          <w:lang w:bidi="he-IL"/>
        </w:rPr>
        <w:t>הקשה</w:t>
      </w:r>
      <w:r w:rsidRPr="00400C0B">
        <w:rPr>
          <w:rFonts w:cs="Guttman Rashi"/>
          <w:rtl/>
          <w:lang w:bidi="he-IL"/>
        </w:rPr>
        <w:t xml:space="preserve"> </w:t>
      </w:r>
      <w:r w:rsidRPr="00400C0B">
        <w:rPr>
          <w:rFonts w:cs="Guttman Rashi" w:hint="eastAsia"/>
          <w:rtl/>
          <w:lang w:bidi="he-IL"/>
        </w:rPr>
        <w:t>אדאביי</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הוה</w:t>
      </w:r>
      <w:r w:rsidRPr="00400C0B">
        <w:rPr>
          <w:rFonts w:cs="Guttman Rashi"/>
          <w:rtl/>
          <w:lang w:bidi="he-IL"/>
        </w:rPr>
        <w:t xml:space="preserve"> </w:t>
      </w:r>
      <w:r w:rsidRPr="00400C0B">
        <w:rPr>
          <w:rFonts w:cs="Guttman Rashi" w:hint="eastAsia"/>
          <w:rtl/>
          <w:lang w:bidi="he-IL"/>
        </w:rPr>
        <w:t>קשיא</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בהא</w:t>
      </w:r>
      <w:r w:rsidRPr="00400C0B">
        <w:rPr>
          <w:rFonts w:cs="Guttman Rashi"/>
          <w:rtl/>
          <w:lang w:bidi="he-IL"/>
        </w:rPr>
        <w:t xml:space="preserve"> </w:t>
      </w:r>
      <w:r w:rsidRPr="00400C0B">
        <w:rPr>
          <w:rFonts w:cs="Guttman Rashi" w:hint="eastAsia"/>
          <w:rtl/>
          <w:lang w:bidi="he-IL"/>
        </w:rPr>
        <w:t>דלמידין</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מצטרף</w:t>
      </w:r>
      <w:r w:rsidRPr="00400C0B">
        <w:rPr>
          <w:rFonts w:cs="Guttman Rashi"/>
          <w:rtl/>
          <w:lang w:bidi="he-IL"/>
        </w:rPr>
        <w:t xml:space="preserve"> </w:t>
      </w:r>
      <w:r w:rsidRPr="00400C0B">
        <w:rPr>
          <w:rFonts w:cs="Guttman Rashi" w:hint="eastAsia"/>
          <w:rtl/>
          <w:lang w:bidi="he-IL"/>
        </w:rPr>
        <w:t>לאיסור</w:t>
      </w:r>
      <w:r w:rsidRPr="00400C0B">
        <w:rPr>
          <w:rFonts w:cs="Guttman Rashi"/>
          <w:rtl/>
          <w:lang w:bidi="he-IL"/>
        </w:rPr>
        <w:t xml:space="preserve"> </w:t>
      </w:r>
      <w:r w:rsidRPr="00400C0B">
        <w:rPr>
          <w:rFonts w:cs="Guttman Rashi" w:hint="eastAsia"/>
          <w:rtl/>
          <w:lang w:bidi="he-IL"/>
        </w:rPr>
        <w:t>ממשרת</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לימוד</w:t>
      </w:r>
      <w:r w:rsidRPr="00400C0B">
        <w:rPr>
          <w:rFonts w:cs="Guttman Rashi"/>
          <w:rtl/>
          <w:lang w:bidi="he-IL"/>
        </w:rPr>
        <w:t xml:space="preserve"> </w:t>
      </w:r>
      <w:r w:rsidRPr="00400C0B">
        <w:rPr>
          <w:rFonts w:cs="Guttman Rashi" w:hint="eastAsia"/>
          <w:rtl/>
          <w:lang w:bidi="he-IL"/>
        </w:rPr>
        <w:t>לכה</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כולה</w:t>
      </w:r>
      <w:r w:rsidRPr="00400C0B">
        <w:rPr>
          <w:rFonts w:cs="Guttman Rashi"/>
          <w:rtl/>
          <w:lang w:bidi="he-IL"/>
        </w:rPr>
        <w:t xml:space="preserve">, </w:t>
      </w:r>
      <w:r w:rsidRPr="00400C0B">
        <w:rPr>
          <w:rFonts w:cs="Guttman Rashi" w:hint="eastAsia"/>
          <w:rtl/>
          <w:lang w:bidi="he-IL"/>
        </w:rPr>
        <w:t>והרי</w:t>
      </w:r>
      <w:r w:rsidRPr="00400C0B">
        <w:rPr>
          <w:rFonts w:cs="Guttman Rashi"/>
          <w:rtl/>
          <w:lang w:bidi="he-IL"/>
        </w:rPr>
        <w:t xml:space="preserve"> </w:t>
      </w:r>
      <w:r w:rsidRPr="00400C0B">
        <w:rPr>
          <w:rFonts w:cs="Guttman Rashi" w:hint="eastAsia"/>
          <w:rtl/>
          <w:lang w:bidi="he-IL"/>
        </w:rPr>
        <w:t>אביי</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דטעם</w:t>
      </w:r>
      <w:r w:rsidRPr="00400C0B">
        <w:rPr>
          <w:rFonts w:cs="Guttman Rashi"/>
          <w:rtl/>
          <w:lang w:bidi="he-IL"/>
        </w:rPr>
        <w:t xml:space="preserve"> </w:t>
      </w:r>
      <w:r w:rsidRPr="00400C0B">
        <w:rPr>
          <w:rFonts w:cs="Guttman Rashi" w:hint="eastAsia"/>
          <w:rtl/>
          <w:lang w:bidi="he-IL"/>
        </w:rPr>
        <w:t>כעיקר</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ולעולם</w:t>
      </w:r>
      <w:r w:rsidRPr="00400C0B">
        <w:rPr>
          <w:rFonts w:cs="Guttman Rashi"/>
          <w:rtl/>
          <w:lang w:bidi="he-IL"/>
        </w:rPr>
        <w:t xml:space="preserve"> </w:t>
      </w:r>
      <w:r w:rsidRPr="00400C0B">
        <w:rPr>
          <w:rFonts w:cs="Guttman Rashi" w:hint="eastAsia"/>
          <w:rtl/>
          <w:lang w:bidi="he-IL"/>
        </w:rPr>
        <w:t>אר</w:t>
      </w:r>
      <w:r w:rsidRPr="00400C0B">
        <w:rPr>
          <w:rFonts w:cs="Guttman Rashi"/>
          <w:rtl/>
          <w:lang w:bidi="he-IL"/>
        </w:rPr>
        <w:t xml:space="preserve">' </w:t>
      </w:r>
      <w:r w:rsidRPr="00400C0B">
        <w:rPr>
          <w:rFonts w:cs="Guttman Rashi" w:hint="eastAsia"/>
          <w:rtl/>
          <w:lang w:bidi="he-IL"/>
        </w:rPr>
        <w:t>יוחנן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קשיא</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p>
  </w:footnote>
  <w:footnote w:id="5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הבא</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מהגר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קוטלר</w:t>
      </w:r>
    </w:p>
  </w:footnote>
  <w:footnote w:id="5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שוב</w:t>
      </w:r>
      <w:r w:rsidRPr="00400C0B">
        <w:rPr>
          <w:rFonts w:cs="Guttman Rashi"/>
          <w:rtl/>
          <w:lang w:bidi="he-IL"/>
        </w:rPr>
        <w:t xml:space="preserve"> </w:t>
      </w:r>
      <w:r w:rsidRPr="00400C0B">
        <w:rPr>
          <w:rFonts w:cs="Guttman Rashi" w:hint="eastAsia"/>
          <w:rtl/>
          <w:lang w:bidi="he-IL"/>
        </w:rPr>
        <w:t>חשבתי</w:t>
      </w:r>
      <w:r w:rsidRPr="00400C0B">
        <w:rPr>
          <w:rFonts w:cs="Guttman Rashi"/>
          <w:rtl/>
          <w:lang w:bidi="he-IL"/>
        </w:rPr>
        <w:t xml:space="preserve"> </w:t>
      </w:r>
      <w:r w:rsidRPr="00400C0B">
        <w:rPr>
          <w:rFonts w:cs="Guttman Rashi" w:hint="eastAsia"/>
          <w:rtl/>
          <w:lang w:bidi="he-IL"/>
        </w:rPr>
        <w:t>שדבר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מוכח</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ביאר</w:t>
      </w:r>
      <w:r w:rsidRPr="00400C0B">
        <w:rPr>
          <w:rFonts w:cs="Guttman Rashi"/>
          <w:rtl/>
          <w:lang w:bidi="he-IL"/>
        </w:rPr>
        <w:t xml:space="preserve"> </w:t>
      </w:r>
      <w:r w:rsidRPr="00400C0B">
        <w:rPr>
          <w:rFonts w:cs="Guttman Rashi" w:hint="eastAsia"/>
          <w:rtl/>
          <w:lang w:bidi="he-IL"/>
        </w:rPr>
        <w:t>בסוף</w:t>
      </w:r>
      <w:r w:rsidRPr="00400C0B">
        <w:rPr>
          <w:rFonts w:cs="Guttman Rashi"/>
          <w:rtl/>
          <w:lang w:bidi="he-IL"/>
        </w:rPr>
        <w:t xml:space="preserve"> </w:t>
      </w:r>
      <w:r w:rsidRPr="00400C0B">
        <w:rPr>
          <w:rFonts w:cs="Guttman Rashi" w:hint="eastAsia"/>
          <w:rtl/>
          <w:lang w:bidi="he-IL"/>
        </w:rPr>
        <w:t>דף</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בעינן</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רבים</w:t>
      </w:r>
      <w:r w:rsidRPr="00400C0B">
        <w:rPr>
          <w:rFonts w:cs="Guttman Rashi"/>
          <w:rtl/>
          <w:lang w:bidi="he-IL"/>
        </w:rPr>
        <w:t xml:space="preserve"> </w:t>
      </w:r>
      <w:r w:rsidRPr="00400C0B">
        <w:rPr>
          <w:rFonts w:cs="Guttman Rashi" w:hint="eastAsia"/>
          <w:rtl/>
          <w:lang w:bidi="he-IL"/>
        </w:rPr>
        <w:t>להטות</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להתיר</w:t>
      </w:r>
      <w:r w:rsidRPr="00400C0B">
        <w:rPr>
          <w:rFonts w:cs="Guttman Rashi"/>
          <w:rtl/>
          <w:lang w:bidi="he-IL"/>
        </w:rPr>
        <w:t xml:space="preserve">. </w:t>
      </w:r>
      <w:r w:rsidRPr="00400C0B">
        <w:rPr>
          <w:rFonts w:cs="Guttman Rashi" w:hint="eastAsia"/>
          <w:rtl/>
          <w:lang w:bidi="he-IL"/>
        </w:rPr>
        <w:t>והיינו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שטעם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חפצא</w:t>
      </w:r>
      <w:r w:rsidRPr="00400C0B">
        <w:rPr>
          <w:rFonts w:cs="Guttman Rashi"/>
          <w:rtl/>
          <w:lang w:bidi="he-IL"/>
        </w:rPr>
        <w:t xml:space="preserve"> </w:t>
      </w:r>
      <w:r w:rsidRPr="00400C0B">
        <w:rPr>
          <w:rFonts w:cs="Guttman Rashi" w:hint="eastAsia"/>
          <w:rtl/>
          <w:lang w:bidi="he-IL"/>
        </w:rPr>
        <w:t>דאיסורא</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אלמלא</w:t>
      </w:r>
      <w:r w:rsidRPr="00400C0B">
        <w:rPr>
          <w:rFonts w:cs="Guttman Rashi"/>
          <w:rtl/>
          <w:lang w:bidi="he-IL"/>
        </w:rPr>
        <w:t xml:space="preserve"> </w:t>
      </w:r>
      <w:r w:rsidRPr="00400C0B">
        <w:rPr>
          <w:rFonts w:cs="Guttman Rashi" w:hint="eastAsia"/>
          <w:rtl/>
          <w:lang w:bidi="he-IL"/>
        </w:rPr>
        <w:t>הגזה</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דטכ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סבירא</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שזה</w:t>
      </w:r>
      <w:r w:rsidRPr="00400C0B">
        <w:rPr>
          <w:rFonts w:cs="Guttman Rashi"/>
          <w:rtl/>
          <w:lang w:bidi="he-IL"/>
        </w:rPr>
        <w:t xml:space="preserve"> </w:t>
      </w:r>
      <w:r w:rsidRPr="00400C0B">
        <w:rPr>
          <w:rFonts w:cs="Guttman Rashi" w:hint="eastAsia"/>
          <w:rtl/>
          <w:lang w:bidi="he-IL"/>
        </w:rPr>
        <w:t>לבד</w:t>
      </w:r>
      <w:r w:rsidRPr="00400C0B">
        <w:rPr>
          <w:rFonts w:cs="Guttman Rashi"/>
          <w:rtl/>
          <w:lang w:bidi="he-IL"/>
        </w:rPr>
        <w:t xml:space="preserve"> </w:t>
      </w:r>
      <w:r w:rsidRPr="00400C0B">
        <w:rPr>
          <w:rFonts w:cs="Guttman Rashi" w:hint="eastAsia"/>
          <w:rtl/>
          <w:lang w:bidi="he-IL"/>
        </w:rPr>
        <w:t>שמרגיש</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סיבה</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דאע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שמרגיש</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ובטל</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דמאי</w:t>
      </w:r>
      <w:r w:rsidRPr="00400C0B">
        <w:rPr>
          <w:rFonts w:cs="Guttman Rashi"/>
          <w:rtl/>
          <w:lang w:bidi="he-IL"/>
        </w:rPr>
        <w:t xml:space="preserve"> </w:t>
      </w:r>
      <w:r w:rsidRPr="00400C0B">
        <w:rPr>
          <w:rFonts w:cs="Guttman Rashi" w:hint="eastAsia"/>
          <w:rtl/>
          <w:lang w:bidi="he-IL"/>
        </w:rPr>
        <w:t>אהני</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sidRPr="00400C0B">
        <w:rPr>
          <w:rFonts w:cs="Guttman Rashi" w:hint="eastAsia"/>
          <w:rtl/>
          <w:lang w:bidi="he-IL"/>
        </w:rPr>
        <w:t>דנתחדש</w:t>
      </w:r>
      <w:r w:rsidRPr="00400C0B">
        <w:rPr>
          <w:rFonts w:cs="Guttman Rashi"/>
          <w:rtl/>
          <w:lang w:bidi="he-IL"/>
        </w:rPr>
        <w:t xml:space="preserve"> </w:t>
      </w:r>
      <w:r w:rsidRPr="00400C0B">
        <w:rPr>
          <w:rFonts w:cs="Guttman Rashi" w:hint="eastAsia"/>
          <w:rtl/>
          <w:lang w:bidi="he-IL"/>
        </w:rPr>
        <w:t>גזה</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דטכ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מבזה</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שאחרי</w:t>
      </w:r>
      <w:r w:rsidRPr="00400C0B">
        <w:rPr>
          <w:rFonts w:cs="Guttman Rashi"/>
          <w:rtl/>
          <w:lang w:bidi="he-IL"/>
        </w:rPr>
        <w:t xml:space="preserve"> </w:t>
      </w:r>
      <w:r w:rsidRPr="00400C0B">
        <w:rPr>
          <w:rFonts w:cs="Guttman Rashi" w:hint="eastAsia"/>
          <w:rtl/>
          <w:lang w:bidi="he-IL"/>
        </w:rPr>
        <w:t>להטות</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שהי</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אלמלא</w:t>
      </w:r>
      <w:r w:rsidRPr="00400C0B">
        <w:rPr>
          <w:rFonts w:cs="Guttman Rashi"/>
          <w:rtl/>
          <w:lang w:bidi="he-IL"/>
        </w:rPr>
        <w:t xml:space="preserve"> </w:t>
      </w:r>
      <w:r w:rsidRPr="00400C0B">
        <w:rPr>
          <w:rFonts w:cs="Guttman Rashi" w:hint="eastAsia"/>
          <w:rtl/>
          <w:lang w:bidi="he-IL"/>
        </w:rPr>
        <w:t>הגזה</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השרתים</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שזהו</w:t>
      </w:r>
      <w:r w:rsidRPr="00400C0B">
        <w:rPr>
          <w:rFonts w:cs="Guttman Rashi"/>
          <w:rtl/>
          <w:lang w:bidi="he-IL"/>
        </w:rPr>
        <w:t xml:space="preserve"> </w:t>
      </w:r>
      <w:r w:rsidRPr="00400C0B">
        <w:rPr>
          <w:rFonts w:cs="Guttman Rashi" w:hint="eastAsia"/>
          <w:rtl/>
          <w:lang w:bidi="he-IL"/>
        </w:rPr>
        <w:t>גופא</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שנתחדש</w:t>
      </w:r>
      <w:r w:rsidRPr="00400C0B">
        <w:rPr>
          <w:rFonts w:cs="Guttman Rashi"/>
          <w:rtl/>
          <w:lang w:bidi="he-IL"/>
        </w:rPr>
        <w:t xml:space="preserve"> </w:t>
      </w:r>
      <w:r w:rsidRPr="00400C0B">
        <w:rPr>
          <w:rFonts w:cs="Guttman Rashi" w:hint="eastAsia"/>
          <w:rtl/>
          <w:lang w:bidi="he-IL"/>
        </w:rPr>
        <w:t>בגזה</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דטכ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שהטעם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שהטעם</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p>
  </w:footnote>
  <w:footnote w:id="5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שביארנו</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בשיטת</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p>
  </w:footnote>
  <w:footnote w:id="5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מנחת</w:t>
      </w:r>
      <w:r w:rsidRPr="00400C0B">
        <w:rPr>
          <w:rFonts w:cs="Guttman Rashi"/>
          <w:rtl/>
          <w:lang w:bidi="he-IL"/>
        </w:rPr>
        <w:t xml:space="preserve"> </w:t>
      </w:r>
      <w:r w:rsidRPr="00400C0B">
        <w:rPr>
          <w:rFonts w:cs="Guttman Rashi" w:hint="eastAsia"/>
          <w:rtl/>
          <w:lang w:bidi="he-IL"/>
        </w:rPr>
        <w:t>ברוך</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שהאריך</w:t>
      </w:r>
      <w:r w:rsidRPr="00400C0B">
        <w:rPr>
          <w:rFonts w:cs="Guttman Rashi"/>
          <w:rtl/>
          <w:lang w:bidi="he-IL"/>
        </w:rPr>
        <w:t xml:space="preserve"> </w:t>
      </w:r>
      <w:r w:rsidRPr="00400C0B">
        <w:rPr>
          <w:rFonts w:cs="Guttman Rashi" w:hint="eastAsia"/>
          <w:rtl/>
          <w:lang w:bidi="he-IL"/>
        </w:rPr>
        <w:t>להוכיח</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יתכן</w:t>
      </w:r>
      <w:r w:rsidRPr="00400C0B">
        <w:rPr>
          <w:rFonts w:cs="Guttman Rashi"/>
          <w:rtl/>
          <w:lang w:bidi="he-IL"/>
        </w:rPr>
        <w:t xml:space="preserve"> </w:t>
      </w:r>
      <w:r w:rsidRPr="00400C0B">
        <w:rPr>
          <w:rFonts w:cs="Guttman Rashi" w:hint="eastAsia"/>
          <w:rtl/>
          <w:lang w:bidi="he-IL"/>
        </w:rPr>
        <w:t>שע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בלבד</w:t>
      </w:r>
      <w:r w:rsidRPr="00400C0B">
        <w:rPr>
          <w:rFonts w:cs="Guttman Rashi"/>
          <w:rtl/>
          <w:lang w:bidi="he-IL"/>
        </w:rPr>
        <w:t xml:space="preserve"> </w:t>
      </w:r>
      <w:r w:rsidRPr="00400C0B">
        <w:rPr>
          <w:rFonts w:cs="Guttman Rashi" w:hint="eastAsia"/>
          <w:rtl/>
          <w:lang w:bidi="he-IL"/>
        </w:rPr>
        <w:t>יהפך</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לחם</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לחם</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מצות</w:t>
      </w:r>
      <w:r w:rsidRPr="00400C0B">
        <w:rPr>
          <w:rFonts w:cs="Guttman Rashi"/>
          <w:rtl/>
          <w:lang w:bidi="he-IL"/>
        </w:rPr>
        <w:t xml:space="preserve"> </w:t>
      </w:r>
      <w:r w:rsidRPr="00400C0B">
        <w:rPr>
          <w:rFonts w:cs="Guttman Rashi" w:hint="eastAsia"/>
          <w:rtl/>
          <w:lang w:bidi="he-IL"/>
        </w:rPr>
        <w:t>מצה</w:t>
      </w:r>
      <w:r w:rsidRPr="00400C0B">
        <w:rPr>
          <w:rFonts w:cs="Guttman Rashi"/>
          <w:rtl/>
          <w:lang w:bidi="he-IL"/>
        </w:rPr>
        <w:t xml:space="preserve"> </w:t>
      </w:r>
      <w:r w:rsidRPr="00400C0B">
        <w:rPr>
          <w:rFonts w:cs="Guttman Rashi" w:hint="eastAsia"/>
          <w:rtl/>
          <w:lang w:bidi="he-IL"/>
        </w:rPr>
        <w:t>וחיוב</w:t>
      </w:r>
      <w:r w:rsidRPr="00400C0B">
        <w:rPr>
          <w:rFonts w:cs="Guttman Rashi"/>
          <w:rtl/>
          <w:lang w:bidi="he-IL"/>
        </w:rPr>
        <w:t xml:space="preserve"> </w:t>
      </w:r>
      <w:r w:rsidRPr="00400C0B">
        <w:rPr>
          <w:rFonts w:cs="Guttman Rashi" w:hint="eastAsia"/>
          <w:rtl/>
          <w:lang w:bidi="he-IL"/>
        </w:rPr>
        <w:t>חלה</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באריכות</w:t>
      </w:r>
      <w:r w:rsidRPr="00400C0B">
        <w:rPr>
          <w:rFonts w:cs="Guttman Rashi"/>
          <w:rtl/>
          <w:lang w:bidi="he-IL"/>
        </w:rPr>
        <w:t>.</w:t>
      </w:r>
    </w:p>
  </w:footnote>
  <w:footnote w:id="5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המשך</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אמר</w:t>
      </w:r>
      <w:r w:rsidRPr="00400C0B">
        <w:rPr>
          <w:rFonts w:cs="Guttman Rashi"/>
          <w:rtl/>
          <w:lang w:bidi="he-IL"/>
        </w:rPr>
        <w:t xml:space="preserve"> </w:t>
      </w:r>
      <w:r w:rsidRPr="00400C0B">
        <w:rPr>
          <w:rFonts w:cs="Guttman Rashi" w:hint="eastAsia"/>
          <w:rtl/>
          <w:lang w:bidi="he-IL"/>
        </w:rPr>
        <w:t>ליה</w:t>
      </w:r>
      <w:r w:rsidRPr="00400C0B">
        <w:rPr>
          <w:rFonts w:cs="Guttman Rashi"/>
          <w:rtl/>
          <w:lang w:bidi="he-IL"/>
        </w:rPr>
        <w:t xml:space="preserve"> </w:t>
      </w:r>
      <w:r w:rsidRPr="00400C0B">
        <w:rPr>
          <w:rFonts w:cs="Guttman Rashi" w:hint="eastAsia"/>
          <w:rtl/>
          <w:lang w:bidi="he-IL"/>
        </w:rPr>
        <w:t>אדכרתן</w:t>
      </w:r>
      <w:r w:rsidRPr="00400C0B">
        <w:rPr>
          <w:rFonts w:cs="Guttman Rashi"/>
          <w:rtl/>
          <w:lang w:bidi="he-IL"/>
        </w:rPr>
        <w:t xml:space="preserve"> </w:t>
      </w:r>
      <w:r w:rsidRPr="00400C0B">
        <w:rPr>
          <w:rFonts w:cs="Guttman Rashi" w:hint="eastAsia"/>
          <w:rtl/>
          <w:lang w:bidi="he-IL"/>
        </w:rPr>
        <w:t>מילתא</w:t>
      </w:r>
      <w:r w:rsidRPr="00400C0B">
        <w:rPr>
          <w:rFonts w:cs="Guttman Rashi"/>
          <w:rtl/>
          <w:lang w:bidi="he-IL"/>
        </w:rPr>
        <w:t xml:space="preserve"> </w:t>
      </w:r>
      <w:r w:rsidRPr="00400C0B">
        <w:rPr>
          <w:rFonts w:cs="Guttman Rashi" w:hint="eastAsia"/>
          <w:rtl/>
          <w:lang w:bidi="he-IL"/>
        </w:rPr>
        <w:t>דאמר</w:t>
      </w:r>
      <w:r w:rsidRPr="00400C0B">
        <w:rPr>
          <w:rFonts w:cs="Guttman Rashi"/>
          <w:rtl/>
          <w:lang w:bidi="he-IL"/>
        </w:rPr>
        <w:t xml:space="preserve"> </w:t>
      </w:r>
      <w:r w:rsidRPr="00400C0B">
        <w:rPr>
          <w:rFonts w:cs="Guttman Rashi" w:hint="eastAsia"/>
          <w:rtl/>
          <w:lang w:bidi="he-IL"/>
        </w:rPr>
        <w:t>רבי</w:t>
      </w:r>
      <w:r w:rsidRPr="00400C0B">
        <w:rPr>
          <w:rFonts w:cs="Guttman Rashi"/>
          <w:rtl/>
          <w:lang w:bidi="he-IL"/>
        </w:rPr>
        <w:t xml:space="preserve"> </w:t>
      </w:r>
      <w:r w:rsidRPr="00400C0B">
        <w:rPr>
          <w:rFonts w:cs="Guttman Rashi" w:hint="eastAsia"/>
          <w:rtl/>
          <w:lang w:bidi="he-IL"/>
        </w:rPr>
        <w:t>יוסי</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חנינא</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השיעורין</w:t>
      </w:r>
      <w:r w:rsidRPr="00400C0B">
        <w:rPr>
          <w:rFonts w:cs="Guttman Rashi"/>
          <w:rtl/>
          <w:lang w:bidi="he-IL"/>
        </w:rPr>
        <w:t xml:space="preserve"> </w:t>
      </w:r>
      <w:r w:rsidRPr="00400C0B">
        <w:rPr>
          <w:rFonts w:cs="Guttman Rashi" w:hint="eastAsia"/>
          <w:rtl/>
          <w:lang w:bidi="he-IL"/>
        </w:rPr>
        <w:t>שוין</w:t>
      </w:r>
      <w:r w:rsidRPr="00400C0B">
        <w:rPr>
          <w:rFonts w:cs="Guttman Rashi"/>
          <w:rtl/>
          <w:lang w:bidi="he-IL"/>
        </w:rPr>
        <w:t xml:space="preserve"> </w:t>
      </w:r>
      <w:r w:rsidRPr="00400C0B">
        <w:rPr>
          <w:rFonts w:cs="Guttman Rashi" w:hint="eastAsia"/>
          <w:rtl/>
          <w:lang w:bidi="he-IL"/>
        </w:rPr>
        <w:t>וכו</w:t>
      </w:r>
      <w:r w:rsidRPr="00400C0B">
        <w:rPr>
          <w:rFonts w:cs="Guttman Rashi"/>
          <w:rtl/>
          <w:lang w:bidi="he-IL"/>
        </w:rPr>
        <w:t xml:space="preserve">'". </w:t>
      </w:r>
      <w:r w:rsidRPr="00400C0B">
        <w:rPr>
          <w:rFonts w:cs="Guttman Rashi" w:hint="eastAsia"/>
          <w:rtl/>
          <w:lang w:bidi="he-IL"/>
        </w:rPr>
        <w:t>שלשיטת</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המשך</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היטב</w:t>
      </w:r>
      <w:r w:rsidRPr="00400C0B">
        <w:rPr>
          <w:rFonts w:cs="Guttman Rashi"/>
          <w:rtl/>
          <w:lang w:bidi="he-IL"/>
        </w:rPr>
        <w:t xml:space="preserve">, </w:t>
      </w:r>
      <w:r w:rsidRPr="00400C0B">
        <w:rPr>
          <w:rFonts w:cs="Guttman Rashi" w:hint="eastAsia"/>
          <w:rtl/>
          <w:lang w:bidi="he-IL"/>
        </w:rPr>
        <w:t>שבזה</w:t>
      </w:r>
      <w:r w:rsidRPr="00400C0B">
        <w:rPr>
          <w:rFonts w:cs="Guttman Rashi"/>
          <w:rtl/>
          <w:lang w:bidi="he-IL"/>
        </w:rPr>
        <w:t xml:space="preserve"> </w:t>
      </w:r>
      <w:r w:rsidRPr="00400C0B">
        <w:rPr>
          <w:rFonts w:cs="Guttman Rashi" w:hint="eastAsia"/>
          <w:rtl/>
          <w:lang w:bidi="he-IL"/>
        </w:rPr>
        <w:t>דשאני</w:t>
      </w:r>
      <w:r w:rsidRPr="00400C0B">
        <w:rPr>
          <w:rFonts w:cs="Guttman Rashi"/>
          <w:rtl/>
          <w:lang w:bidi="he-IL"/>
        </w:rPr>
        <w:t xml:space="preserve"> </w:t>
      </w:r>
      <w:r w:rsidRPr="00400C0B">
        <w:rPr>
          <w:rFonts w:cs="Guttman Rashi" w:hint="eastAsia"/>
          <w:rtl/>
          <w:lang w:bidi="he-IL"/>
        </w:rPr>
        <w:t>שאור</w:t>
      </w:r>
      <w:r w:rsidRPr="00400C0B">
        <w:rPr>
          <w:rFonts w:cs="Guttman Rashi"/>
          <w:rtl/>
          <w:lang w:bidi="he-IL"/>
        </w:rPr>
        <w:t xml:space="preserve"> </w:t>
      </w:r>
      <w:r w:rsidRPr="00400C0B">
        <w:rPr>
          <w:rFonts w:cs="Guttman Rashi" w:hint="eastAsia"/>
          <w:rtl/>
          <w:lang w:bidi="he-IL"/>
        </w:rPr>
        <w:t>שחימוצו</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חידש</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דברים</w:t>
      </w:r>
      <w:r w:rsidRPr="00400C0B">
        <w:rPr>
          <w:rFonts w:cs="Guttman Rashi"/>
          <w:rtl/>
          <w:lang w:bidi="he-IL"/>
        </w:rPr>
        <w:t xml:space="preserve"> </w:t>
      </w:r>
      <w:r w:rsidRPr="00400C0B">
        <w:rPr>
          <w:rFonts w:cs="Guttman Rashi" w:hint="eastAsia"/>
          <w:rtl/>
          <w:lang w:bidi="he-IL"/>
        </w:rPr>
        <w:t>הנותנים</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ביותר</w:t>
      </w:r>
      <w:r w:rsidRPr="00400C0B">
        <w:rPr>
          <w:rFonts w:cs="Guttman Rashi"/>
          <w:rtl/>
          <w:lang w:bidi="he-IL"/>
        </w:rPr>
        <w:t xml:space="preserve"> </w:t>
      </w:r>
      <w:r w:rsidRPr="00400C0B">
        <w:rPr>
          <w:rFonts w:cs="Guttman Rashi" w:hint="eastAsia"/>
          <w:rtl/>
          <w:lang w:bidi="he-IL"/>
        </w:rPr>
        <w:t>מס</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ממשיך</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בנושא</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כאלו</w:t>
      </w:r>
      <w:r w:rsidRPr="00400C0B">
        <w:rPr>
          <w:rFonts w:cs="Guttman Rashi"/>
          <w:rtl/>
          <w:lang w:bidi="he-IL"/>
        </w:rPr>
        <w:t xml:space="preserve"> </w:t>
      </w:r>
      <w:r w:rsidRPr="00400C0B">
        <w:rPr>
          <w:rFonts w:cs="Guttman Rashi" w:hint="eastAsia"/>
          <w:rtl/>
          <w:lang w:bidi="he-IL"/>
        </w:rPr>
        <w:t>דברים</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פירושו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המנח</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חייבים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שהמשך</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רצו</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חדש</w:t>
      </w:r>
      <w:r w:rsidRPr="00400C0B">
        <w:rPr>
          <w:rFonts w:cs="Guttman Rashi"/>
          <w:rtl/>
          <w:lang w:bidi="he-IL"/>
        </w:rPr>
        <w:t xml:space="preserve"> </w:t>
      </w:r>
      <w:r w:rsidRPr="00400C0B">
        <w:rPr>
          <w:rFonts w:cs="Guttman Rashi" w:hint="eastAsia"/>
          <w:rtl/>
          <w:lang w:bidi="he-IL"/>
        </w:rPr>
        <w:t>שיתכן</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ביותר</w:t>
      </w:r>
      <w:r w:rsidRPr="00400C0B">
        <w:rPr>
          <w:rFonts w:cs="Guttman Rashi"/>
          <w:rtl/>
          <w:lang w:bidi="he-IL"/>
        </w:rPr>
        <w:t xml:space="preserve"> </w:t>
      </w:r>
      <w:r w:rsidRPr="00400C0B">
        <w:rPr>
          <w:rFonts w:cs="Guttman Rashi" w:hint="eastAsia"/>
          <w:rtl/>
          <w:lang w:bidi="he-IL"/>
        </w:rPr>
        <w:t>מס</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המשך</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הקודם</w:t>
      </w:r>
      <w:r w:rsidRPr="00400C0B">
        <w:rPr>
          <w:rFonts w:cs="Guttman Rashi"/>
          <w:rtl/>
          <w:lang w:bidi="he-IL"/>
        </w:rPr>
        <w:t xml:space="preserve">. </w:t>
      </w:r>
      <w:r w:rsidRPr="00400C0B">
        <w:rPr>
          <w:rFonts w:cs="Guttman Rashi" w:hint="eastAsia"/>
          <w:rtl/>
          <w:lang w:bidi="he-IL"/>
        </w:rPr>
        <w:t>ועדיין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5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בדעת</w:t>
      </w:r>
      <w:r w:rsidRPr="00400C0B">
        <w:rPr>
          <w:rFonts w:cs="Guttman Rashi"/>
          <w:rtl/>
          <w:lang w:bidi="he-IL"/>
        </w:rPr>
        <w:t xml:space="preserve"> </w:t>
      </w:r>
      <w:r w:rsidRPr="00400C0B">
        <w:rPr>
          <w:rFonts w:cs="Guttman Rashi" w:hint="eastAsia"/>
          <w:rtl/>
          <w:lang w:bidi="he-IL"/>
        </w:rPr>
        <w:t>המג</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במפורש</w:t>
      </w:r>
      <w:r w:rsidRPr="00400C0B">
        <w:rPr>
          <w:rFonts w:cs="Guttman Rashi"/>
          <w:rtl/>
          <w:lang w:bidi="he-IL"/>
        </w:rPr>
        <w:t xml:space="preserve"> </w:t>
      </w:r>
      <w:r w:rsidRPr="00400C0B">
        <w:rPr>
          <w:rFonts w:cs="Guttman Rashi" w:hint="eastAsia"/>
          <w:rtl/>
          <w:lang w:bidi="he-IL"/>
        </w:rPr>
        <w:t>שהטעם</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דחשיב</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בעיניה</w:t>
      </w:r>
      <w:r w:rsidRPr="00400C0B">
        <w:rPr>
          <w:rFonts w:cs="Guttman Rashi"/>
          <w:rtl/>
          <w:lang w:bidi="he-IL"/>
        </w:rPr>
        <w:t>'.</w:t>
      </w:r>
    </w:p>
  </w:footnote>
  <w:footnote w:id="6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ליתא</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וזהו</w:t>
      </w:r>
      <w:r w:rsidRPr="00400C0B">
        <w:rPr>
          <w:rFonts w:cs="Guttman Rashi"/>
          <w:rtl/>
          <w:lang w:bidi="he-IL"/>
        </w:rPr>
        <w:t xml:space="preserve"> </w:t>
      </w:r>
      <w:r w:rsidRPr="00400C0B">
        <w:rPr>
          <w:rFonts w:cs="Guttman Rashi" w:hint="eastAsia"/>
          <w:rtl/>
          <w:lang w:bidi="he-IL"/>
        </w:rPr>
        <w:t>גופו</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היסוד</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והר</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מגאש</w:t>
      </w:r>
      <w:r w:rsidRPr="00400C0B">
        <w:rPr>
          <w:rFonts w:cs="Guttman Rashi"/>
          <w:rtl/>
          <w:lang w:bidi="he-IL"/>
        </w:rPr>
        <w:t xml:space="preserve"> </w:t>
      </w:r>
      <w:r w:rsidRPr="00400C0B">
        <w:rPr>
          <w:rFonts w:cs="Guttman Rashi" w:hint="eastAsia"/>
          <w:rtl/>
          <w:lang w:bidi="he-IL"/>
        </w:rPr>
        <w:t>דאע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בט</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ואע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כלפי</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שאוסר</w:t>
      </w:r>
      <w:r w:rsidRPr="00400C0B">
        <w:rPr>
          <w:rFonts w:cs="Guttman Rashi"/>
          <w:rtl/>
          <w:lang w:bidi="he-IL"/>
        </w:rPr>
        <w:t xml:space="preserve"> </w:t>
      </w:r>
      <w:r w:rsidRPr="00400C0B">
        <w:rPr>
          <w:rFonts w:cs="Guttman Rashi" w:hint="eastAsia"/>
          <w:rtl/>
          <w:lang w:bidi="he-IL"/>
        </w:rPr>
        <w:t>בבב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בעינן</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חיך</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דחוק</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שמשון</w:t>
      </w:r>
      <w:r w:rsidRPr="00400C0B">
        <w:rPr>
          <w:rFonts w:cs="Guttman Rashi"/>
          <w:rtl/>
          <w:lang w:bidi="he-IL"/>
        </w:rPr>
        <w:t xml:space="preserve"> </w:t>
      </w:r>
      <w:r w:rsidRPr="00400C0B">
        <w:rPr>
          <w:rFonts w:cs="Guttman Rashi" w:hint="eastAsia"/>
          <w:rtl/>
          <w:lang w:bidi="he-IL"/>
        </w:rPr>
        <w:t>אולי</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ונ</w:t>
      </w:r>
      <w:r w:rsidRPr="00400C0B">
        <w:rPr>
          <w:rFonts w:cs="Guttman Rashi"/>
          <w:rtl/>
          <w:lang w:bidi="he-IL"/>
        </w:rPr>
        <w:t>'</w:t>
      </w:r>
    </w:p>
  </w:footnote>
  <w:footnote w:id="61">
    <w:p w:rsidR="007978F4" w:rsidRPr="00400C0B" w:rsidRDefault="007978F4" w:rsidP="00B80448">
      <w:pPr>
        <w:pStyle w:val="FootnoteText"/>
        <w:bidi/>
        <w:jc w:val="both"/>
        <w:rPr>
          <w:rFonts w:cs="Guttman Rashi"/>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בדין</w:t>
      </w:r>
      <w:r w:rsidRPr="00400C0B">
        <w:rPr>
          <w:rFonts w:cs="Guttman Rashi"/>
          <w:rtl/>
          <w:lang w:bidi="he-IL"/>
        </w:rPr>
        <w:t xml:space="preserve"> </w:t>
      </w:r>
      <w:r w:rsidRPr="00400C0B">
        <w:rPr>
          <w:rFonts w:cs="Guttman Rashi" w:hint="eastAsia"/>
          <w:rtl/>
          <w:lang w:bidi="he-IL"/>
        </w:rPr>
        <w:t>נימוח</w:t>
      </w:r>
      <w:r w:rsidRPr="00400C0B">
        <w:rPr>
          <w:rFonts w:cs="Guttman Rashi"/>
          <w:rtl/>
          <w:lang w:bidi="he-IL"/>
        </w:rPr>
        <w:t xml:space="preserve"> </w:t>
      </w:r>
      <w:r w:rsidRPr="00400C0B">
        <w:rPr>
          <w:rFonts w:cs="Guttman Rashi" w:hint="eastAsia"/>
          <w:rtl/>
          <w:lang w:bidi="he-IL"/>
        </w:rPr>
        <w:t>הגיד</w:t>
      </w:r>
    </w:p>
  </w:footnote>
  <w:footnote w:id="6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לתורת</w:t>
      </w:r>
      <w:r w:rsidRPr="00400C0B">
        <w:rPr>
          <w:rFonts w:cs="Guttman Rashi"/>
          <w:rtl/>
          <w:lang w:bidi="he-IL"/>
        </w:rPr>
        <w:t xml:space="preserve"> </w:t>
      </w:r>
      <w:r w:rsidRPr="00400C0B">
        <w:rPr>
          <w:rFonts w:cs="Guttman Rashi" w:hint="eastAsia"/>
          <w:rtl/>
          <w:lang w:bidi="he-IL"/>
        </w:rPr>
        <w:t>זרעים</w:t>
      </w:r>
      <w:r w:rsidRPr="00400C0B">
        <w:rPr>
          <w:rFonts w:cs="Guttman Rashi"/>
          <w:rtl/>
          <w:lang w:bidi="he-IL"/>
        </w:rPr>
        <w:t xml:space="preserve"> (</w:t>
      </w:r>
      <w:r w:rsidRPr="00400C0B">
        <w:rPr>
          <w:rFonts w:cs="Guttman Rashi" w:hint="eastAsia"/>
          <w:rtl/>
          <w:lang w:bidi="he-IL"/>
        </w:rPr>
        <w:t>תרומות</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שביאר</w:t>
      </w:r>
      <w:r w:rsidRPr="00400C0B">
        <w:rPr>
          <w:rFonts w:cs="Guttman Rashi"/>
          <w:rtl/>
          <w:lang w:bidi="he-IL"/>
        </w:rPr>
        <w:t xml:space="preserve"> </w:t>
      </w:r>
      <w:r w:rsidRPr="00400C0B">
        <w:rPr>
          <w:rFonts w:cs="Guttman Rashi" w:hint="eastAsia"/>
          <w:rtl/>
          <w:lang w:bidi="he-IL"/>
        </w:rPr>
        <w:t>שי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שאמנם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הביטול</w:t>
      </w:r>
      <w:r w:rsidRPr="00400C0B">
        <w:rPr>
          <w:rFonts w:cs="Guttman Rashi"/>
          <w:rtl/>
          <w:lang w:bidi="he-IL"/>
        </w:rPr>
        <w:t xml:space="preserve"> </w:t>
      </w:r>
      <w:r w:rsidRPr="00400C0B">
        <w:rPr>
          <w:rFonts w:cs="Guttman Rashi" w:hint="eastAsia"/>
          <w:rtl/>
          <w:lang w:bidi="he-IL"/>
        </w:rPr>
        <w:t>עיקר</w:t>
      </w:r>
      <w:r w:rsidRPr="00400C0B">
        <w:rPr>
          <w:rFonts w:cs="Guttman Rashi"/>
          <w:rtl/>
          <w:lang w:bidi="he-IL"/>
        </w:rPr>
        <w:t xml:space="preserve"> </w:t>
      </w:r>
      <w:r w:rsidRPr="00400C0B">
        <w:rPr>
          <w:rFonts w:cs="Guttman Rashi" w:hint="eastAsia"/>
          <w:rtl/>
          <w:lang w:bidi="he-IL"/>
        </w:rPr>
        <w:t>המתיר</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התערובת</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שבכל</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דפריש</w:t>
      </w:r>
      <w:r w:rsidRPr="00400C0B">
        <w:rPr>
          <w:rFonts w:cs="Guttman Rashi"/>
          <w:rtl/>
          <w:lang w:bidi="he-IL"/>
        </w:rPr>
        <w:t xml:space="preserve"> </w:t>
      </w:r>
      <w:r w:rsidRPr="00400C0B">
        <w:rPr>
          <w:rFonts w:cs="Guttman Rashi" w:hint="eastAsia"/>
          <w:rtl/>
          <w:lang w:bidi="he-IL"/>
        </w:rPr>
        <w:t>נאמר</w:t>
      </w:r>
      <w:r w:rsidRPr="00400C0B">
        <w:rPr>
          <w:rFonts w:cs="Guttman Rashi"/>
          <w:rtl/>
          <w:lang w:bidi="he-IL"/>
        </w:rPr>
        <w:t xml:space="preserve"> </w:t>
      </w:r>
      <w:r w:rsidRPr="00400C0B">
        <w:rPr>
          <w:rFonts w:cs="Guttman Rashi" w:hint="eastAsia"/>
          <w:rtl/>
          <w:lang w:bidi="he-IL"/>
        </w:rPr>
        <w:t>ההלכה</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קבוע</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כמחצה</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מחצה</w:t>
      </w:r>
      <w:r w:rsidRPr="00400C0B">
        <w:rPr>
          <w:rFonts w:cs="Guttman Rashi"/>
          <w:rtl/>
          <w:lang w:bidi="he-IL"/>
        </w:rPr>
        <w:t xml:space="preserve"> </w:t>
      </w:r>
      <w:r w:rsidRPr="00400C0B">
        <w:rPr>
          <w:rFonts w:cs="Guttman Rashi" w:hint="eastAsia"/>
          <w:rtl/>
          <w:lang w:bidi="he-IL"/>
        </w:rPr>
        <w:t>דמי</w:t>
      </w:r>
      <w:r w:rsidRPr="00400C0B">
        <w:rPr>
          <w:rFonts w:cs="Guttman Rashi"/>
          <w:rtl/>
          <w:lang w:bidi="he-IL"/>
        </w:rPr>
        <w:t xml:space="preserve"> </w:t>
      </w:r>
      <w:r w:rsidRPr="00400C0B">
        <w:rPr>
          <w:rFonts w:cs="Guttman Rashi" w:hint="eastAsia"/>
          <w:rtl/>
          <w:lang w:bidi="he-IL"/>
        </w:rPr>
        <w:t>וליתי</w:t>
      </w:r>
      <w:r w:rsidRPr="00400C0B">
        <w:rPr>
          <w:rFonts w:cs="Guttman Rashi"/>
          <w:rtl/>
          <w:lang w:bidi="he-IL"/>
        </w:rPr>
        <w:t xml:space="preserve">' </w:t>
      </w:r>
      <w:r w:rsidRPr="00400C0B">
        <w:rPr>
          <w:rFonts w:cs="Guttman Rashi" w:hint="eastAsia"/>
          <w:rtl/>
          <w:lang w:bidi="he-IL"/>
        </w:rPr>
        <w:t>להיתירא</w:t>
      </w:r>
      <w:r w:rsidRPr="00400C0B">
        <w:rPr>
          <w:rFonts w:cs="Guttman Rashi"/>
          <w:rtl/>
          <w:lang w:bidi="he-IL"/>
        </w:rPr>
        <w:t xml:space="preserve"> </w:t>
      </w:r>
      <w:r w:rsidRPr="00400C0B">
        <w:rPr>
          <w:rFonts w:cs="Guttman Rashi" w:hint="eastAsia"/>
          <w:rtl/>
          <w:lang w:bidi="he-IL"/>
        </w:rPr>
        <w:t>דרוב</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בעצם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להיתר</w:t>
      </w:r>
      <w:r w:rsidRPr="00400C0B">
        <w:rPr>
          <w:rFonts w:cs="Guttman Rashi"/>
          <w:rtl/>
          <w:lang w:bidi="he-IL"/>
        </w:rPr>
        <w:t xml:space="preserve"> </w:t>
      </w:r>
      <w:r w:rsidRPr="00400C0B">
        <w:rPr>
          <w:rFonts w:cs="Guttman Rashi" w:hint="eastAsia"/>
          <w:rtl/>
          <w:lang w:bidi="he-IL"/>
        </w:rPr>
        <w:t>תערובת</w:t>
      </w:r>
      <w:r w:rsidRPr="00400C0B">
        <w:rPr>
          <w:rFonts w:cs="Guttman Rashi"/>
          <w:rtl/>
          <w:lang w:bidi="he-IL"/>
        </w:rPr>
        <w:t xml:space="preserve"> </w:t>
      </w:r>
      <w:r w:rsidRPr="00400C0B">
        <w:rPr>
          <w:rFonts w:cs="Guttman Rashi" w:hint="eastAsia"/>
          <w:rtl/>
          <w:lang w:bidi="he-IL"/>
        </w:rPr>
        <w:t>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מדין</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דפרי</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קבוע</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קבוע</w:t>
      </w:r>
      <w:r w:rsidRPr="00400C0B">
        <w:rPr>
          <w:rFonts w:cs="Guttman Rashi"/>
          <w:rtl/>
          <w:lang w:bidi="he-IL"/>
        </w:rPr>
        <w:t xml:space="preserve">. </w:t>
      </w:r>
      <w:r w:rsidRPr="00400C0B">
        <w:rPr>
          <w:rFonts w:cs="Guttman Rashi" w:hint="eastAsia"/>
          <w:rtl/>
          <w:lang w:bidi="he-IL"/>
        </w:rPr>
        <w:t>וממילא</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קבוע</w:t>
      </w:r>
      <w:r w:rsidRPr="00400C0B">
        <w:rPr>
          <w:rFonts w:cs="Guttman Rashi"/>
          <w:rtl/>
          <w:lang w:bidi="he-IL"/>
        </w:rPr>
        <w:t xml:space="preserve"> </w:t>
      </w:r>
      <w:r w:rsidRPr="00400C0B">
        <w:rPr>
          <w:rFonts w:cs="Guttman Rashi" w:hint="eastAsia"/>
          <w:rtl/>
          <w:lang w:bidi="he-IL"/>
        </w:rPr>
        <w:t>שוב</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להתיר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דינא</w:t>
      </w:r>
      <w:r w:rsidRPr="00400C0B">
        <w:rPr>
          <w:rFonts w:cs="Guttman Rashi"/>
          <w:rtl/>
          <w:lang w:bidi="he-IL"/>
        </w:rPr>
        <w:t xml:space="preserve"> </w:t>
      </w:r>
      <w:r w:rsidRPr="00400C0B">
        <w:rPr>
          <w:rFonts w:cs="Guttman Rashi" w:hint="eastAsia"/>
          <w:rtl/>
          <w:lang w:bidi="he-IL"/>
        </w:rPr>
        <w:t>דכל</w:t>
      </w:r>
      <w:r w:rsidRPr="00400C0B">
        <w:rPr>
          <w:rFonts w:cs="Guttman Rashi"/>
          <w:rtl/>
          <w:lang w:bidi="he-IL"/>
        </w:rPr>
        <w:t xml:space="preserve"> </w:t>
      </w:r>
      <w:r w:rsidRPr="00400C0B">
        <w:rPr>
          <w:rFonts w:cs="Guttman Rashi" w:hint="eastAsia"/>
          <w:rtl/>
          <w:lang w:bidi="he-IL"/>
        </w:rPr>
        <w:t>שפריש</w:t>
      </w:r>
      <w:r w:rsidRPr="00400C0B">
        <w:rPr>
          <w:rFonts w:cs="Guttman Rashi"/>
          <w:rtl/>
          <w:lang w:bidi="he-IL"/>
        </w:rPr>
        <w:t xml:space="preserve"> </w:t>
      </w:r>
      <w:r w:rsidRPr="00400C0B">
        <w:rPr>
          <w:rFonts w:cs="Guttman Rashi" w:hint="eastAsia"/>
          <w:rtl/>
          <w:lang w:bidi="he-IL"/>
        </w:rPr>
        <w:t>מרובא</w:t>
      </w:r>
      <w:r w:rsidRPr="00400C0B">
        <w:rPr>
          <w:rFonts w:cs="Guttman Rashi"/>
          <w:rtl/>
          <w:lang w:bidi="he-IL"/>
        </w:rPr>
        <w:t xml:space="preserve"> </w:t>
      </w:r>
      <w:r w:rsidRPr="00400C0B">
        <w:rPr>
          <w:rFonts w:cs="Guttman Rashi" w:hint="eastAsia"/>
          <w:rtl/>
          <w:lang w:bidi="he-IL"/>
        </w:rPr>
        <w:t>פריש</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שכן</w:t>
      </w:r>
      <w:r w:rsidRPr="00400C0B">
        <w:rPr>
          <w:rFonts w:cs="Guttman Rashi"/>
          <w:rtl/>
          <w:lang w:bidi="he-IL"/>
        </w:rPr>
        <w:t xml:space="preserve"> </w:t>
      </w:r>
      <w:r w:rsidRPr="00400C0B">
        <w:rPr>
          <w:rFonts w:cs="Guttman Rashi" w:hint="eastAsia"/>
          <w:rtl/>
          <w:lang w:bidi="he-IL"/>
        </w:rPr>
        <w:t>שמע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כיסוד</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ממו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הגאב</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דבריסק</w:t>
      </w:r>
      <w:r w:rsidRPr="00400C0B">
        <w:rPr>
          <w:rFonts w:cs="Guttman Rashi"/>
          <w:rtl/>
          <w:lang w:bidi="he-IL"/>
        </w:rPr>
        <w:t xml:space="preserve">. </w:t>
      </w:r>
      <w:r w:rsidRPr="00400C0B">
        <w:rPr>
          <w:rFonts w:cs="Guttman Rashi" w:hint="eastAsia"/>
          <w:rtl/>
          <w:lang w:bidi="he-IL"/>
        </w:rPr>
        <w:t>ולדבריו</w:t>
      </w:r>
      <w:r w:rsidRPr="00400C0B">
        <w:rPr>
          <w:rFonts w:cs="Guttman Rashi"/>
          <w:rtl/>
          <w:lang w:bidi="he-IL"/>
        </w:rPr>
        <w:t xml:space="preserve"> </w:t>
      </w:r>
      <w:r w:rsidRPr="00400C0B">
        <w:rPr>
          <w:rFonts w:cs="Guttman Rashi" w:hint="eastAsia"/>
          <w:rtl/>
          <w:lang w:bidi="he-IL"/>
        </w:rPr>
        <w:t>יוצא</w:t>
      </w:r>
      <w:r w:rsidRPr="00400C0B">
        <w:rPr>
          <w:rFonts w:cs="Guttman Rashi"/>
          <w:rtl/>
          <w:lang w:bidi="he-IL"/>
        </w:rPr>
        <w:t xml:space="preserve"> </w:t>
      </w:r>
      <w:r w:rsidRPr="00400C0B">
        <w:rPr>
          <w:rFonts w:cs="Guttman Rashi" w:hint="eastAsia"/>
          <w:rtl/>
          <w:lang w:bidi="he-IL"/>
        </w:rPr>
        <w:t>דמה</w:t>
      </w:r>
      <w:r w:rsidRPr="00400C0B">
        <w:rPr>
          <w:rFonts w:cs="Guttman Rashi"/>
          <w:rtl/>
          <w:lang w:bidi="he-IL"/>
        </w:rPr>
        <w:t xml:space="preserve"> </w:t>
      </w:r>
      <w:r w:rsidRPr="00400C0B">
        <w:rPr>
          <w:rFonts w:cs="Guttman Rashi" w:hint="eastAsia"/>
          <w:rtl/>
          <w:lang w:bidi="he-IL"/>
        </w:rPr>
        <w:t>שדוחה</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ברי</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חתיכה</w:t>
      </w:r>
      <w:r w:rsidRPr="00400C0B">
        <w:rPr>
          <w:rFonts w:cs="Guttman Rashi"/>
          <w:rtl/>
          <w:lang w:bidi="he-IL"/>
        </w:rPr>
        <w:t xml:space="preserve"> </w:t>
      </w:r>
      <w:r w:rsidRPr="00400C0B">
        <w:rPr>
          <w:rFonts w:cs="Guttman Rashi" w:hint="eastAsia"/>
          <w:rtl/>
          <w:lang w:bidi="he-IL"/>
        </w:rPr>
        <w:t>הראוי</w:t>
      </w:r>
      <w:r w:rsidRPr="00400C0B">
        <w:rPr>
          <w:rFonts w:cs="Guttman Rashi"/>
          <w:rtl/>
          <w:lang w:bidi="he-IL"/>
        </w:rPr>
        <w:t xml:space="preserve">' </w:t>
      </w:r>
      <w:r w:rsidRPr="00400C0B">
        <w:rPr>
          <w:rFonts w:cs="Guttman Rashi" w:hint="eastAsia"/>
          <w:rtl/>
          <w:lang w:bidi="he-IL"/>
        </w:rPr>
        <w:t>להתכבד</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הדברים</w:t>
      </w:r>
      <w:r w:rsidRPr="00400C0B">
        <w:rPr>
          <w:rFonts w:cs="Guttman Rashi"/>
          <w:rtl/>
          <w:lang w:bidi="he-IL"/>
        </w:rPr>
        <w:t xml:space="preserve"> </w:t>
      </w:r>
      <w:r w:rsidRPr="00400C0B">
        <w:rPr>
          <w:rFonts w:cs="Guttman Rashi" w:hint="eastAsia"/>
          <w:rtl/>
          <w:lang w:bidi="he-IL"/>
        </w:rPr>
        <w:t>דמשו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חזר</w:t>
      </w:r>
      <w:r w:rsidRPr="00400C0B">
        <w:rPr>
          <w:rFonts w:cs="Guttman Rashi"/>
          <w:rtl/>
          <w:lang w:bidi="he-IL"/>
        </w:rPr>
        <w:t xml:space="preserve"> </w:t>
      </w:r>
      <w:r w:rsidRPr="00400C0B">
        <w:rPr>
          <w:rFonts w:cs="Guttman Rashi" w:hint="eastAsia"/>
          <w:rtl/>
          <w:lang w:bidi="he-IL"/>
        </w:rPr>
        <w:t>דינו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קבוע</w:t>
      </w:r>
      <w:r w:rsidRPr="00400C0B">
        <w:rPr>
          <w:rFonts w:cs="Guttman Rashi"/>
          <w:rtl/>
          <w:lang w:bidi="he-IL"/>
        </w:rPr>
        <w:t xml:space="preserve"> </w:t>
      </w:r>
      <w:r w:rsidRPr="00400C0B">
        <w:rPr>
          <w:rFonts w:cs="Guttman Rashi" w:hint="eastAsia"/>
          <w:rtl/>
          <w:lang w:bidi="he-IL"/>
        </w:rPr>
        <w:t>ושוב</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לדון</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דפריש</w:t>
      </w:r>
      <w:r w:rsidRPr="00400C0B">
        <w:rPr>
          <w:rFonts w:cs="Guttman Rashi"/>
          <w:rtl/>
          <w:lang w:bidi="he-IL"/>
        </w:rPr>
        <w:t>.</w:t>
      </w:r>
    </w:p>
    <w:p w:rsidR="007978F4" w:rsidRPr="00400C0B" w:rsidRDefault="007978F4" w:rsidP="00B80448">
      <w:pPr>
        <w:pStyle w:val="FootnoteText"/>
        <w:bidi/>
        <w:jc w:val="both"/>
        <w:rPr>
          <w:rFonts w:cs="Guttman Rashi"/>
          <w:rtl/>
          <w:lang w:bidi="he-IL"/>
        </w:rPr>
      </w:pP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להוסיף</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ביאור</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להתיר</w:t>
      </w:r>
      <w:r w:rsidRPr="00400C0B">
        <w:rPr>
          <w:rFonts w:cs="Guttman Rashi"/>
          <w:rtl/>
          <w:lang w:bidi="he-IL"/>
        </w:rPr>
        <w:t xml:space="preserve"> </w:t>
      </w:r>
      <w:r w:rsidRPr="00400C0B">
        <w:rPr>
          <w:rFonts w:cs="Guttman Rashi" w:hint="eastAsia"/>
          <w:rtl/>
          <w:lang w:bidi="he-IL"/>
        </w:rPr>
        <w:t>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מדין</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ברוב</w:t>
      </w:r>
      <w:r w:rsidRPr="00400C0B">
        <w:rPr>
          <w:rFonts w:cs="Guttman Rashi"/>
          <w:rtl/>
          <w:lang w:bidi="he-IL"/>
        </w:rPr>
        <w:t xml:space="preserve"> </w:t>
      </w:r>
      <w:r w:rsidRPr="00400C0B">
        <w:rPr>
          <w:rFonts w:cs="Guttman Rashi" w:hint="eastAsia"/>
          <w:rtl/>
          <w:lang w:bidi="he-IL"/>
        </w:rPr>
        <w:t>לאכול</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שלשתן</w:t>
      </w:r>
      <w:r w:rsidRPr="00400C0B">
        <w:rPr>
          <w:rFonts w:cs="Guttman Rashi"/>
          <w:rtl/>
          <w:lang w:bidi="he-IL"/>
        </w:rPr>
        <w:t xml:space="preserve"> </w:t>
      </w:r>
      <w:r w:rsidRPr="00400C0B">
        <w:rPr>
          <w:rFonts w:cs="Guttman Rashi" w:hint="eastAsia"/>
          <w:rtl/>
          <w:lang w:bidi="he-IL"/>
        </w:rPr>
        <w:t>בבת</w:t>
      </w:r>
      <w:r w:rsidRPr="00400C0B">
        <w:rPr>
          <w:rFonts w:cs="Guttman Rashi"/>
          <w:rtl/>
          <w:lang w:bidi="he-IL"/>
        </w:rPr>
        <w:t xml:space="preserve"> </w:t>
      </w:r>
      <w:r w:rsidRPr="00400C0B">
        <w:rPr>
          <w:rFonts w:cs="Guttman Rashi" w:hint="eastAsia"/>
          <w:rtl/>
          <w:lang w:bidi="he-IL"/>
        </w:rPr>
        <w:t>אחת</w:t>
      </w:r>
      <w:r w:rsidRPr="00400C0B">
        <w:rPr>
          <w:rFonts w:cs="Guttman Rashi"/>
          <w:rtl/>
          <w:lang w:bidi="he-IL"/>
        </w:rPr>
        <w:t xml:space="preserve">, </w:t>
      </w:r>
      <w:r w:rsidRPr="00400C0B">
        <w:rPr>
          <w:rFonts w:cs="Guttman Rashi" w:hint="eastAsia"/>
          <w:rtl/>
          <w:lang w:bidi="he-IL"/>
        </w:rPr>
        <w:t>ומאי</w:t>
      </w:r>
      <w:r w:rsidRPr="00400C0B">
        <w:rPr>
          <w:rFonts w:cs="Guttman Rashi"/>
          <w:rtl/>
          <w:lang w:bidi="he-IL"/>
        </w:rPr>
        <w:t xml:space="preserve"> </w:t>
      </w:r>
      <w:r w:rsidRPr="00400C0B">
        <w:rPr>
          <w:rFonts w:cs="Guttman Rashi" w:hint="eastAsia"/>
          <w:rtl/>
          <w:lang w:bidi="he-IL"/>
        </w:rPr>
        <w:t>שנא</w:t>
      </w:r>
      <w:r w:rsidRPr="00400C0B">
        <w:rPr>
          <w:rFonts w:cs="Guttman Rashi"/>
          <w:rtl/>
          <w:lang w:bidi="he-IL"/>
        </w:rPr>
        <w:t xml:space="preserve"> </w:t>
      </w:r>
      <w:r w:rsidRPr="00400C0B">
        <w:rPr>
          <w:rFonts w:cs="Guttman Rashi" w:hint="eastAsia"/>
          <w:rtl/>
          <w:lang w:bidi="he-IL"/>
        </w:rPr>
        <w:t>מביטול</w:t>
      </w:r>
      <w:r w:rsidRPr="00400C0B">
        <w:rPr>
          <w:rFonts w:cs="Guttman Rashi"/>
          <w:rtl/>
          <w:lang w:bidi="he-IL"/>
        </w:rPr>
        <w:t xml:space="preserve"> </w:t>
      </w:r>
      <w:r w:rsidRPr="00400C0B">
        <w:rPr>
          <w:rFonts w:cs="Guttman Rashi" w:hint="eastAsia"/>
          <w:rtl/>
          <w:lang w:bidi="he-IL"/>
        </w:rPr>
        <w:t>לח</w:t>
      </w:r>
      <w:r w:rsidRPr="00400C0B">
        <w:rPr>
          <w:rFonts w:cs="Guttman Rashi"/>
          <w:rtl/>
          <w:lang w:bidi="he-IL"/>
        </w:rPr>
        <w:t xml:space="preserve"> </w:t>
      </w:r>
      <w:r w:rsidRPr="00400C0B">
        <w:rPr>
          <w:rFonts w:cs="Guttman Rashi" w:hint="eastAsia"/>
          <w:rtl/>
          <w:lang w:bidi="he-IL"/>
        </w:rPr>
        <w:t>בלח</w:t>
      </w:r>
      <w:r w:rsidRPr="00400C0B">
        <w:rPr>
          <w:rFonts w:cs="Guttman Rashi"/>
          <w:rtl/>
          <w:lang w:bidi="he-IL"/>
        </w:rPr>
        <w:t xml:space="preserve">, </w:t>
      </w:r>
      <w:r w:rsidRPr="00400C0B">
        <w:rPr>
          <w:rFonts w:cs="Guttman Rashi" w:hint="eastAsia"/>
          <w:rtl/>
          <w:lang w:bidi="he-IL"/>
        </w:rPr>
        <w:t>דאטו</w:t>
      </w:r>
      <w:r w:rsidRPr="00400C0B">
        <w:rPr>
          <w:rFonts w:cs="Guttman Rashi"/>
          <w:rtl/>
          <w:lang w:bidi="he-IL"/>
        </w:rPr>
        <w:t xml:space="preserve"> </w:t>
      </w:r>
      <w:r w:rsidRPr="00400C0B">
        <w:rPr>
          <w:rFonts w:cs="Guttman Rashi" w:hint="eastAsia"/>
          <w:rtl/>
          <w:lang w:bidi="he-IL"/>
        </w:rPr>
        <w:t>איכא</w:t>
      </w:r>
      <w:r w:rsidRPr="00400C0B">
        <w:rPr>
          <w:rFonts w:cs="Guttman Rashi"/>
          <w:rtl/>
          <w:lang w:bidi="he-IL"/>
        </w:rPr>
        <w:t xml:space="preserve"> </w:t>
      </w:r>
      <w:r w:rsidRPr="00400C0B">
        <w:rPr>
          <w:rFonts w:cs="Guttman Rashi" w:hint="eastAsia"/>
          <w:rtl/>
          <w:lang w:bidi="he-IL"/>
        </w:rPr>
        <w:t>גזה</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מיוחדת</w:t>
      </w:r>
      <w:r w:rsidRPr="00400C0B">
        <w:rPr>
          <w:rFonts w:cs="Guttman Rashi"/>
          <w:rtl/>
          <w:lang w:bidi="he-IL"/>
        </w:rPr>
        <w:t xml:space="preserve"> </w:t>
      </w:r>
      <w:r w:rsidRPr="00400C0B">
        <w:rPr>
          <w:rFonts w:cs="Guttman Rashi" w:hint="eastAsia"/>
          <w:rtl/>
          <w:lang w:bidi="he-IL"/>
        </w:rPr>
        <w:t>ללח</w:t>
      </w:r>
      <w:r w:rsidRPr="00400C0B">
        <w:rPr>
          <w:rFonts w:cs="Guttman Rashi"/>
          <w:rtl/>
          <w:lang w:bidi="he-IL"/>
        </w:rPr>
        <w:t xml:space="preserve"> </w:t>
      </w:r>
      <w:r w:rsidRPr="00400C0B">
        <w:rPr>
          <w:rFonts w:cs="Guttman Rashi" w:hint="eastAsia"/>
          <w:rtl/>
          <w:lang w:bidi="he-IL"/>
        </w:rPr>
        <w:t>בלח</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הביאור</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שהדין</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רבים</w:t>
      </w:r>
      <w:r w:rsidRPr="00400C0B">
        <w:rPr>
          <w:rFonts w:cs="Guttman Rashi"/>
          <w:rtl/>
          <w:lang w:bidi="he-IL"/>
        </w:rPr>
        <w:t xml:space="preserve"> </w:t>
      </w:r>
      <w:r w:rsidRPr="00400C0B">
        <w:rPr>
          <w:rFonts w:cs="Guttman Rashi" w:hint="eastAsia"/>
          <w:rtl/>
          <w:lang w:bidi="he-IL"/>
        </w:rPr>
        <w:t>להטות</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מתיר</w:t>
      </w:r>
      <w:r w:rsidRPr="00400C0B">
        <w:rPr>
          <w:rFonts w:cs="Guttman Rashi"/>
          <w:rtl/>
          <w:lang w:bidi="he-IL"/>
        </w:rPr>
        <w:t xml:space="preserve"> </w:t>
      </w:r>
      <w:r w:rsidRPr="00400C0B">
        <w:rPr>
          <w:rFonts w:cs="Guttman Rashi" w:hint="eastAsia"/>
          <w:rtl/>
          <w:lang w:bidi="he-IL"/>
        </w:rPr>
        <w:t>אא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להפריד</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ההיתר</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בלח</w:t>
      </w:r>
      <w:r w:rsidRPr="00400C0B">
        <w:rPr>
          <w:rFonts w:cs="Guttman Rashi"/>
          <w:rtl/>
          <w:lang w:bidi="he-IL"/>
        </w:rPr>
        <w:t xml:space="preserve"> </w:t>
      </w:r>
      <w:r w:rsidRPr="00400C0B">
        <w:rPr>
          <w:rFonts w:cs="Guttman Rashi" w:hint="eastAsia"/>
          <w:rtl/>
          <w:lang w:bidi="he-IL"/>
        </w:rPr>
        <w:t>בלח</w:t>
      </w:r>
      <w:r w:rsidRPr="00400C0B">
        <w:rPr>
          <w:rFonts w:cs="Guttman Rashi"/>
          <w:rtl/>
          <w:lang w:bidi="he-IL"/>
        </w:rPr>
        <w:t xml:space="preserve"> </w:t>
      </w:r>
      <w:r w:rsidRPr="00400C0B">
        <w:rPr>
          <w:rFonts w:cs="Guttman Rashi" w:hint="eastAsia"/>
          <w:rtl/>
          <w:lang w:bidi="he-IL"/>
        </w:rPr>
        <w:t>שאי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להפריד</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לאכול</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כולם</w:t>
      </w:r>
      <w:r w:rsidRPr="00400C0B">
        <w:rPr>
          <w:rFonts w:cs="Guttman Rashi"/>
          <w:rtl/>
          <w:lang w:bidi="he-IL"/>
        </w:rPr>
        <w:t xml:space="preserve"> </w:t>
      </w:r>
      <w:r w:rsidRPr="00400C0B">
        <w:rPr>
          <w:rFonts w:cs="Guttman Rashi" w:hint="eastAsia"/>
          <w:rtl/>
          <w:lang w:bidi="he-IL"/>
        </w:rPr>
        <w:t>בבת</w:t>
      </w:r>
      <w:r w:rsidRPr="00400C0B">
        <w:rPr>
          <w:rFonts w:cs="Guttman Rashi"/>
          <w:rtl/>
          <w:lang w:bidi="he-IL"/>
        </w:rPr>
        <w:t xml:space="preserve"> </w:t>
      </w:r>
      <w:r w:rsidRPr="00400C0B">
        <w:rPr>
          <w:rFonts w:cs="Guttman Rashi" w:hint="eastAsia"/>
          <w:rtl/>
          <w:lang w:bidi="he-IL"/>
        </w:rPr>
        <w:t>אחת</w:t>
      </w:r>
      <w:r w:rsidRPr="00400C0B">
        <w:rPr>
          <w:rFonts w:cs="Guttman Rashi"/>
          <w:rtl/>
          <w:lang w:bidi="he-IL"/>
        </w:rPr>
        <w:t xml:space="preserve"> </w:t>
      </w:r>
      <w:r w:rsidRPr="00400C0B">
        <w:rPr>
          <w:rFonts w:cs="Guttman Rashi" w:hint="eastAsia"/>
          <w:rtl/>
          <w:lang w:bidi="he-IL"/>
        </w:rPr>
        <w:t>מדין</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רבים</w:t>
      </w:r>
      <w:r w:rsidRPr="00400C0B">
        <w:rPr>
          <w:rFonts w:cs="Guttman Rashi"/>
          <w:rtl/>
          <w:lang w:bidi="he-IL"/>
        </w:rPr>
        <w:t xml:space="preserve"> </w:t>
      </w:r>
      <w:r w:rsidRPr="00400C0B">
        <w:rPr>
          <w:rFonts w:cs="Guttman Rashi" w:hint="eastAsia"/>
          <w:rtl/>
          <w:lang w:bidi="he-IL"/>
        </w:rPr>
        <w:t>להטות</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הדבר</w:t>
      </w:r>
      <w:r w:rsidRPr="00400C0B">
        <w:rPr>
          <w:rFonts w:cs="Guttman Rashi"/>
          <w:rtl/>
          <w:lang w:bidi="he-IL"/>
        </w:rPr>
        <w:t xml:space="preserve"> </w:t>
      </w:r>
      <w:r w:rsidRPr="00400C0B">
        <w:rPr>
          <w:rFonts w:cs="Guttman Rashi" w:hint="eastAsia"/>
          <w:rtl/>
          <w:lang w:bidi="he-IL"/>
        </w:rPr>
        <w:t>תלוי</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דיינינן</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כקבוע</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שוב</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דינו</w:t>
      </w:r>
      <w:r w:rsidRPr="00400C0B">
        <w:rPr>
          <w:rFonts w:cs="Guttman Rashi"/>
          <w:rtl/>
          <w:lang w:bidi="he-IL"/>
        </w:rPr>
        <w:t xml:space="preserve"> </w:t>
      </w:r>
      <w:r w:rsidRPr="00400C0B">
        <w:rPr>
          <w:rFonts w:cs="Guttman Rashi" w:hint="eastAsia"/>
          <w:rtl/>
          <w:lang w:bidi="he-IL"/>
        </w:rPr>
        <w:t>כלח</w:t>
      </w:r>
      <w:r w:rsidRPr="00400C0B">
        <w:rPr>
          <w:rFonts w:cs="Guttman Rashi"/>
          <w:rtl/>
          <w:lang w:bidi="he-IL"/>
        </w:rPr>
        <w:t xml:space="preserve"> </w:t>
      </w:r>
      <w:r w:rsidRPr="00400C0B">
        <w:rPr>
          <w:rFonts w:cs="Guttman Rashi" w:hint="eastAsia"/>
          <w:rtl/>
          <w:lang w:bidi="he-IL"/>
        </w:rPr>
        <w:t>בכלח</w:t>
      </w:r>
      <w:r w:rsidRPr="00400C0B">
        <w:rPr>
          <w:rFonts w:cs="Guttman Rashi"/>
          <w:rtl/>
          <w:lang w:bidi="he-IL"/>
        </w:rPr>
        <w:t xml:space="preserve"> </w:t>
      </w:r>
      <w:r w:rsidRPr="00400C0B">
        <w:rPr>
          <w:rFonts w:cs="Guttman Rashi" w:hint="eastAsia"/>
          <w:rtl/>
          <w:lang w:bidi="he-IL"/>
        </w:rPr>
        <w:t>ויהא</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מדין</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רבים</w:t>
      </w:r>
      <w:r w:rsidRPr="00400C0B">
        <w:rPr>
          <w:rFonts w:cs="Guttman Rashi"/>
          <w:rtl/>
          <w:lang w:bidi="he-IL"/>
        </w:rPr>
        <w:t xml:space="preserve"> </w:t>
      </w:r>
      <w:r w:rsidRPr="00400C0B">
        <w:rPr>
          <w:rFonts w:cs="Guttman Rashi" w:hint="eastAsia"/>
          <w:rtl/>
          <w:lang w:bidi="he-IL"/>
        </w:rPr>
        <w:t>להטות</w:t>
      </w:r>
      <w:r w:rsidRPr="00400C0B">
        <w:rPr>
          <w:rFonts w:cs="Guttman Rashi"/>
          <w:rtl/>
          <w:lang w:bidi="he-IL"/>
        </w:rPr>
        <w:t xml:space="preserve"> </w:t>
      </w:r>
      <w:r w:rsidRPr="00400C0B">
        <w:rPr>
          <w:rFonts w:cs="Guttman Rashi" w:hint="eastAsia"/>
          <w:rtl/>
          <w:lang w:bidi="he-IL"/>
        </w:rPr>
        <w:t>לאכול</w:t>
      </w:r>
      <w:r w:rsidRPr="00400C0B">
        <w:rPr>
          <w:rFonts w:cs="Guttman Rashi"/>
          <w:rtl/>
          <w:lang w:bidi="he-IL"/>
        </w:rPr>
        <w:t xml:space="preserve"> </w:t>
      </w:r>
      <w:r w:rsidRPr="00400C0B">
        <w:rPr>
          <w:rFonts w:cs="Guttman Rashi" w:hint="eastAsia"/>
          <w:rtl/>
          <w:lang w:bidi="he-IL"/>
        </w:rPr>
        <w:t>הכל</w:t>
      </w:r>
      <w:r w:rsidRPr="00400C0B">
        <w:rPr>
          <w:rFonts w:cs="Guttman Rashi"/>
          <w:rtl/>
          <w:lang w:bidi="he-IL"/>
        </w:rPr>
        <w:t xml:space="preserve"> </w:t>
      </w:r>
      <w:r w:rsidRPr="00400C0B">
        <w:rPr>
          <w:rFonts w:cs="Guttman Rashi" w:hint="eastAsia"/>
          <w:rtl/>
          <w:lang w:bidi="he-IL"/>
        </w:rPr>
        <w:t>בת</w:t>
      </w:r>
      <w:r w:rsidRPr="00400C0B">
        <w:rPr>
          <w:rFonts w:cs="Guttman Rashi"/>
          <w:rtl/>
          <w:lang w:bidi="he-IL"/>
        </w:rPr>
        <w:t xml:space="preserve"> </w:t>
      </w:r>
      <w:r w:rsidRPr="00400C0B">
        <w:rPr>
          <w:rFonts w:cs="Guttman Rashi" w:hint="eastAsia"/>
          <w:rtl/>
          <w:lang w:bidi="he-IL"/>
        </w:rPr>
        <w:t>אחת</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שהביטול</w:t>
      </w:r>
      <w:r w:rsidRPr="00400C0B">
        <w:rPr>
          <w:rFonts w:cs="Guttman Rashi"/>
          <w:rtl/>
          <w:lang w:bidi="he-IL"/>
        </w:rPr>
        <w:t xml:space="preserve"> </w:t>
      </w:r>
      <w:r w:rsidRPr="00400C0B">
        <w:rPr>
          <w:rFonts w:cs="Guttman Rashi" w:hint="eastAsia"/>
          <w:rtl/>
          <w:lang w:bidi="he-IL"/>
        </w:rPr>
        <w:t>יכול</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דליכא</w:t>
      </w:r>
      <w:r w:rsidRPr="00400C0B">
        <w:rPr>
          <w:rFonts w:cs="Guttman Rashi"/>
          <w:rtl/>
          <w:lang w:bidi="he-IL"/>
        </w:rPr>
        <w:t xml:space="preserve"> </w:t>
      </w:r>
      <w:r w:rsidRPr="00400C0B">
        <w:rPr>
          <w:rFonts w:cs="Guttman Rashi" w:hint="eastAsia"/>
          <w:rtl/>
          <w:lang w:bidi="he-IL"/>
        </w:rPr>
        <w:t>קבוע</w:t>
      </w:r>
      <w:r w:rsidRPr="00400C0B">
        <w:rPr>
          <w:rFonts w:cs="Guttman Rashi"/>
          <w:rtl/>
          <w:lang w:bidi="he-IL"/>
        </w:rPr>
        <w:t xml:space="preserve">, </w:t>
      </w:r>
      <w:r w:rsidRPr="00400C0B">
        <w:rPr>
          <w:rFonts w:cs="Guttman Rashi" w:hint="eastAsia"/>
          <w:rtl/>
          <w:lang w:bidi="he-IL"/>
        </w:rPr>
        <w:t>ושוב</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לדון</w:t>
      </w:r>
      <w:r w:rsidRPr="00400C0B">
        <w:rPr>
          <w:rFonts w:cs="Guttman Rashi"/>
          <w:rtl/>
          <w:lang w:bidi="he-IL"/>
        </w:rPr>
        <w:t xml:space="preserve"> </w:t>
      </w:r>
      <w:r w:rsidRPr="00400C0B">
        <w:rPr>
          <w:rFonts w:cs="Guttman Rashi" w:hint="eastAsia"/>
          <w:rtl/>
          <w:lang w:bidi="he-IL"/>
        </w:rPr>
        <w:t>בו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דפריש</w:t>
      </w:r>
      <w:r w:rsidRPr="00400C0B">
        <w:rPr>
          <w:rFonts w:cs="Guttman Rashi"/>
          <w:rtl/>
          <w:lang w:bidi="he-IL"/>
        </w:rPr>
        <w:t xml:space="preserve"> </w:t>
      </w:r>
      <w:r w:rsidRPr="00400C0B">
        <w:rPr>
          <w:rFonts w:cs="Guttman Rashi" w:hint="eastAsia"/>
          <w:rtl/>
          <w:lang w:bidi="he-IL"/>
        </w:rPr>
        <w:t>מרובא</w:t>
      </w:r>
      <w:r w:rsidRPr="00400C0B">
        <w:rPr>
          <w:rFonts w:cs="Guttman Rashi"/>
          <w:rtl/>
          <w:lang w:bidi="he-IL"/>
        </w:rPr>
        <w:t xml:space="preserve"> </w:t>
      </w:r>
      <w:r w:rsidRPr="00400C0B">
        <w:rPr>
          <w:rFonts w:cs="Guttman Rashi" w:hint="eastAsia"/>
          <w:rtl/>
          <w:lang w:bidi="he-IL"/>
        </w:rPr>
        <w:t>פריש</w:t>
      </w:r>
      <w:r w:rsidRPr="00400C0B">
        <w:rPr>
          <w:rFonts w:cs="Guttman Rashi"/>
          <w:rtl/>
          <w:lang w:bidi="he-IL"/>
        </w:rPr>
        <w:t xml:space="preserve">, </w:t>
      </w:r>
      <w:r w:rsidRPr="00400C0B">
        <w:rPr>
          <w:rFonts w:cs="Guttman Rashi" w:hint="eastAsia"/>
          <w:rtl/>
          <w:lang w:bidi="he-IL"/>
        </w:rPr>
        <w:t>שוב</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לאכול</w:t>
      </w:r>
      <w:r w:rsidRPr="00400C0B">
        <w:rPr>
          <w:rFonts w:cs="Guttman Rashi"/>
          <w:rtl/>
          <w:lang w:bidi="he-IL"/>
        </w:rPr>
        <w:t xml:space="preserve"> </w:t>
      </w:r>
      <w:r w:rsidRPr="00400C0B">
        <w:rPr>
          <w:rFonts w:cs="Guttman Rashi" w:hint="eastAsia"/>
          <w:rtl/>
          <w:lang w:bidi="he-IL"/>
        </w:rPr>
        <w:t>כולם</w:t>
      </w:r>
      <w:r w:rsidRPr="00400C0B">
        <w:rPr>
          <w:rFonts w:cs="Guttman Rashi"/>
          <w:rtl/>
          <w:lang w:bidi="he-IL"/>
        </w:rPr>
        <w:t xml:space="preserve"> </w:t>
      </w:r>
      <w:r w:rsidRPr="00400C0B">
        <w:rPr>
          <w:rFonts w:cs="Guttman Rashi" w:hint="eastAsia"/>
          <w:rtl/>
          <w:lang w:bidi="he-IL"/>
        </w:rPr>
        <w:t>בבת</w:t>
      </w:r>
      <w:r w:rsidRPr="00400C0B">
        <w:rPr>
          <w:rFonts w:cs="Guttman Rashi"/>
          <w:rtl/>
          <w:lang w:bidi="he-IL"/>
        </w:rPr>
        <w:t xml:space="preserve"> </w:t>
      </w:r>
      <w:r w:rsidRPr="00400C0B">
        <w:rPr>
          <w:rFonts w:cs="Guttman Rashi" w:hint="eastAsia"/>
          <w:rtl/>
          <w:lang w:bidi="he-IL"/>
        </w:rPr>
        <w:t>אחת</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יכול</w:t>
      </w:r>
      <w:r w:rsidRPr="00400C0B">
        <w:rPr>
          <w:rFonts w:cs="Guttman Rashi"/>
          <w:rtl/>
          <w:lang w:bidi="he-IL"/>
        </w:rPr>
        <w:t xml:space="preserve"> </w:t>
      </w:r>
      <w:r w:rsidRPr="00400C0B">
        <w:rPr>
          <w:rFonts w:cs="Guttman Rashi" w:hint="eastAsia"/>
          <w:rtl/>
          <w:lang w:bidi="he-IL"/>
        </w:rPr>
        <w:t>לקחת</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בפני</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ולדון</w:t>
      </w:r>
      <w:r w:rsidRPr="00400C0B">
        <w:rPr>
          <w:rFonts w:cs="Guttman Rashi"/>
          <w:rtl/>
          <w:lang w:bidi="he-IL"/>
        </w:rPr>
        <w:t xml:space="preserve"> </w:t>
      </w:r>
      <w:r w:rsidRPr="00400C0B">
        <w:rPr>
          <w:rFonts w:cs="Guttman Rashi" w:hint="eastAsia"/>
          <w:rtl/>
          <w:lang w:bidi="he-IL"/>
        </w:rPr>
        <w:t>שהיא</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המותרת</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סמוך</w:t>
      </w:r>
      <w:r w:rsidRPr="00400C0B">
        <w:rPr>
          <w:rFonts w:cs="Guttman Rashi"/>
          <w:rtl/>
          <w:lang w:bidi="he-IL"/>
        </w:rPr>
        <w:t xml:space="preserve"> </w:t>
      </w:r>
      <w:r w:rsidRPr="00400C0B">
        <w:rPr>
          <w:rFonts w:cs="Guttman Rashi" w:hint="eastAsia"/>
          <w:rtl/>
          <w:lang w:bidi="he-IL"/>
        </w:rPr>
        <w:t>יעל</w:t>
      </w:r>
      <w:r w:rsidRPr="00400C0B">
        <w:rPr>
          <w:rFonts w:cs="Guttman Rashi"/>
          <w:rtl/>
          <w:lang w:bidi="he-IL"/>
        </w:rPr>
        <w:t xml:space="preserve"> </w:t>
      </w:r>
      <w:r w:rsidRPr="00400C0B">
        <w:rPr>
          <w:rFonts w:cs="Guttman Rashi" w:hint="eastAsia"/>
          <w:rtl/>
          <w:lang w:bidi="he-IL"/>
        </w:rPr>
        <w:t>הביטול</w:t>
      </w:r>
      <w:r w:rsidRPr="00400C0B">
        <w:rPr>
          <w:rFonts w:cs="Guttman Rashi"/>
          <w:rtl/>
          <w:lang w:bidi="he-IL"/>
        </w:rPr>
        <w:t xml:space="preserve">.     </w:t>
      </w:r>
    </w:p>
  </w:footnote>
  <w:footnote w:id="6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NOTEREF</w:instrText>
      </w:r>
      <w:r w:rsidRPr="00400C0B">
        <w:rPr>
          <w:rFonts w:cs="Guttman Rashi"/>
          <w:rtl/>
          <w:lang w:bidi="he-IL"/>
        </w:rPr>
        <w:instrText xml:space="preserve"> _</w:instrText>
      </w:r>
      <w:r w:rsidRPr="00400C0B">
        <w:rPr>
          <w:rFonts w:cs="Guttman Rashi"/>
          <w:lang w:bidi="he-IL"/>
        </w:rPr>
        <w:instrText>Ref443995581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143</w:t>
      </w:r>
      <w:r w:rsidRPr="00400C0B">
        <w:rPr>
          <w:rFonts w:cs="Guttman Rashi"/>
          <w:rtl/>
          <w:lang w:bidi="he-IL"/>
        </w:rPr>
        <w:fldChar w:fldCharType="end"/>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שכתבנו</w:t>
      </w:r>
      <w:r w:rsidRPr="00400C0B">
        <w:rPr>
          <w:rFonts w:cs="Guttman Rashi"/>
          <w:rtl/>
          <w:lang w:bidi="he-IL"/>
        </w:rPr>
        <w:t xml:space="preserve"> </w:t>
      </w:r>
      <w:r w:rsidRPr="00400C0B">
        <w:rPr>
          <w:rFonts w:cs="Guttman Rashi" w:hint="eastAsia"/>
          <w:rtl/>
          <w:lang w:bidi="he-IL"/>
        </w:rPr>
        <w:t>בביאור</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מקינון</w:t>
      </w:r>
      <w:r w:rsidRPr="00400C0B">
        <w:rPr>
          <w:rFonts w:cs="Guttman Rashi"/>
          <w:rtl/>
          <w:lang w:bidi="he-IL"/>
        </w:rPr>
        <w:t xml:space="preserve"> </w:t>
      </w:r>
      <w:r w:rsidRPr="00400C0B">
        <w:rPr>
          <w:rFonts w:cs="Guttman Rashi" w:hint="eastAsia"/>
          <w:rtl/>
          <w:lang w:bidi="he-IL"/>
        </w:rPr>
        <w:t>בתוס</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דף</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w:t>
      </w:r>
    </w:p>
  </w:footnote>
  <w:footnote w:id="6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והנה</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בחתיכות</w:t>
      </w:r>
      <w:r w:rsidRPr="00400C0B">
        <w:rPr>
          <w:rFonts w:cs="Guttman Rashi"/>
          <w:rtl/>
          <w:lang w:bidi="he-IL"/>
        </w:rPr>
        <w:t xml:space="preserve"> </w:t>
      </w:r>
      <w:r w:rsidRPr="00400C0B">
        <w:rPr>
          <w:rFonts w:cs="Guttman Rashi" w:hint="eastAsia"/>
          <w:rtl/>
          <w:lang w:bidi="he-IL"/>
        </w:rPr>
        <w:t>נפרדות</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בבלול</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דחה</w:t>
      </w:r>
      <w:r w:rsidRPr="00400C0B">
        <w:rPr>
          <w:rFonts w:cs="Guttman Rashi"/>
          <w:rtl/>
          <w:lang w:bidi="he-IL"/>
        </w:rPr>
        <w:t xml:space="preserve"> </w:t>
      </w:r>
      <w:r w:rsidRPr="00400C0B">
        <w:rPr>
          <w:rFonts w:cs="Guttman Rashi" w:hint="eastAsia"/>
          <w:rtl/>
          <w:lang w:bidi="he-IL"/>
        </w:rPr>
        <w:t>פירוש</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דר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אב</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דלכאורה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השיעור</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בששים</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כזית</w:t>
      </w:r>
      <w:r w:rsidRPr="00400C0B">
        <w:rPr>
          <w:rFonts w:cs="Guttman Rashi"/>
          <w:rtl/>
          <w:lang w:bidi="he-IL"/>
        </w:rPr>
        <w:t xml:space="preserve"> </w:t>
      </w:r>
      <w:r w:rsidRPr="00400C0B">
        <w:rPr>
          <w:rFonts w:cs="Guttman Rashi" w:hint="eastAsia"/>
          <w:rtl/>
          <w:lang w:bidi="he-IL"/>
        </w:rPr>
        <w:t>בכדי</w:t>
      </w:r>
      <w:r w:rsidRPr="00400C0B">
        <w:rPr>
          <w:rFonts w:cs="Guttman Rashi"/>
          <w:rtl/>
          <w:lang w:bidi="he-IL"/>
        </w:rPr>
        <w:t xml:space="preserve"> </w:t>
      </w:r>
      <w:r w:rsidRPr="00400C0B">
        <w:rPr>
          <w:rFonts w:cs="Guttman Rashi" w:hint="eastAsia"/>
          <w:rtl/>
          <w:lang w:bidi="he-IL"/>
        </w:rPr>
        <w:t>אכילת</w:t>
      </w:r>
      <w:r w:rsidRPr="00400C0B">
        <w:rPr>
          <w:rFonts w:cs="Guttman Rashi"/>
          <w:rtl/>
          <w:lang w:bidi="he-IL"/>
        </w:rPr>
        <w:t xml:space="preserve"> </w:t>
      </w:r>
      <w:r w:rsidRPr="00400C0B">
        <w:rPr>
          <w:rFonts w:cs="Guttman Rashi" w:hint="eastAsia"/>
          <w:rtl/>
          <w:lang w:bidi="he-IL"/>
        </w:rPr>
        <w:t>פרס</w:t>
      </w:r>
      <w:r w:rsidRPr="00400C0B">
        <w:rPr>
          <w:rFonts w:cs="Guttman Rashi"/>
          <w:rtl/>
          <w:lang w:bidi="he-IL"/>
        </w:rPr>
        <w:t xml:space="preserve">, </w:t>
      </w:r>
      <w:r w:rsidRPr="00400C0B">
        <w:rPr>
          <w:rFonts w:cs="Guttman Rashi" w:hint="eastAsia"/>
          <w:rtl/>
          <w:lang w:bidi="he-IL"/>
        </w:rPr>
        <w:t>ושיעור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בבלול</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חזינן</w:t>
      </w:r>
      <w:r w:rsidRPr="00400C0B">
        <w:rPr>
          <w:rFonts w:cs="Guttman Rashi"/>
          <w:rtl/>
          <w:lang w:bidi="he-IL"/>
        </w:rPr>
        <w:t xml:space="preserve"> </w:t>
      </w:r>
      <w:r w:rsidRPr="00400C0B">
        <w:rPr>
          <w:rFonts w:cs="Guttman Rashi" w:hint="eastAsia"/>
          <w:rtl/>
          <w:lang w:bidi="he-IL"/>
        </w:rPr>
        <w:t>לדעתי</w:t>
      </w:r>
      <w:r w:rsidRPr="00400C0B">
        <w:rPr>
          <w:rFonts w:cs="Guttman Rashi"/>
          <w:rtl/>
          <w:lang w:bidi="he-IL"/>
        </w:rPr>
        <w:t xml:space="preserve">' </w:t>
      </w:r>
      <w:r w:rsidRPr="00400C0B">
        <w:rPr>
          <w:rFonts w:cs="Guttman Rashi" w:hint="eastAsia"/>
          <w:rtl/>
          <w:lang w:bidi="he-IL"/>
        </w:rPr>
        <w:t>דרשב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חידוש</w:t>
      </w:r>
      <w:r w:rsidRPr="00400C0B">
        <w:rPr>
          <w:rFonts w:cs="Guttman Rashi"/>
          <w:rtl/>
          <w:lang w:bidi="he-IL"/>
        </w:rPr>
        <w:t xml:space="preserve"> </w:t>
      </w:r>
      <w:r w:rsidRPr="00400C0B">
        <w:rPr>
          <w:rFonts w:cs="Guttman Rashi" w:hint="eastAsia"/>
          <w:rtl/>
          <w:lang w:bidi="he-IL"/>
        </w:rPr>
        <w:t>גדול</w:t>
      </w:r>
      <w:r w:rsidRPr="00400C0B">
        <w:rPr>
          <w:rFonts w:cs="Guttman Rashi"/>
          <w:rtl/>
          <w:lang w:bidi="he-IL"/>
        </w:rPr>
        <w:t xml:space="preserve">, </w:t>
      </w:r>
      <w:r w:rsidRPr="00400C0B">
        <w:rPr>
          <w:rFonts w:cs="Guttman Rashi" w:hint="eastAsia"/>
          <w:rtl/>
          <w:lang w:bidi="he-IL"/>
        </w:rPr>
        <w:t>שביטול</w:t>
      </w:r>
      <w:r w:rsidRPr="00400C0B">
        <w:rPr>
          <w:rFonts w:cs="Guttman Rashi"/>
          <w:rtl/>
          <w:lang w:bidi="he-IL"/>
        </w:rPr>
        <w:t xml:space="preserve"> </w:t>
      </w:r>
      <w:r w:rsidRPr="00400C0B">
        <w:rPr>
          <w:rFonts w:cs="Guttman Rashi" w:hint="eastAsia"/>
          <w:rtl/>
          <w:lang w:bidi="he-IL"/>
        </w:rPr>
        <w:t>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בבלול</w:t>
      </w:r>
      <w:r w:rsidRPr="00400C0B">
        <w:rPr>
          <w:rFonts w:cs="Guttman Rashi"/>
          <w:rtl/>
          <w:lang w:bidi="he-IL"/>
        </w:rPr>
        <w:t xml:space="preserve">, </w:t>
      </w:r>
      <w:r w:rsidRPr="00400C0B">
        <w:rPr>
          <w:rFonts w:cs="Guttman Rashi" w:hint="eastAsia"/>
          <w:rtl/>
          <w:lang w:bidi="he-IL"/>
        </w:rPr>
        <w:t>ובלבד</w:t>
      </w:r>
      <w:r w:rsidRPr="00400C0B">
        <w:rPr>
          <w:rFonts w:cs="Guttman Rashi"/>
          <w:rtl/>
          <w:lang w:bidi="he-IL"/>
        </w:rPr>
        <w:t xml:space="preserve"> </w:t>
      </w:r>
      <w:r w:rsidRPr="00400C0B">
        <w:rPr>
          <w:rFonts w:cs="Guttman Rashi" w:hint="eastAsia"/>
          <w:rtl/>
          <w:lang w:bidi="he-IL"/>
        </w:rPr>
        <w:t>שיהא</w:t>
      </w:r>
      <w:r w:rsidRPr="00400C0B">
        <w:rPr>
          <w:rFonts w:cs="Guttman Rashi"/>
          <w:rtl/>
          <w:lang w:bidi="he-IL"/>
        </w:rPr>
        <w:t xml:space="preserve"> </w:t>
      </w:r>
      <w:r w:rsidRPr="00400C0B">
        <w:rPr>
          <w:rFonts w:cs="Guttman Rashi" w:hint="eastAsia"/>
          <w:rtl/>
          <w:lang w:bidi="he-IL"/>
        </w:rPr>
        <w:t>טעמו</w:t>
      </w:r>
      <w:r w:rsidRPr="00400C0B">
        <w:rPr>
          <w:rFonts w:cs="Guttman Rashi"/>
          <w:rtl/>
          <w:lang w:bidi="he-IL"/>
        </w:rPr>
        <w:t xml:space="preserve"> </w:t>
      </w:r>
      <w:r w:rsidRPr="00400C0B">
        <w:rPr>
          <w:rFonts w:cs="Guttman Rashi" w:hint="eastAsia"/>
          <w:rtl/>
          <w:lang w:bidi="he-IL"/>
        </w:rPr>
        <w:t>וממשו</w:t>
      </w:r>
      <w:r w:rsidRPr="00400C0B">
        <w:rPr>
          <w:rFonts w:cs="Guttman Rashi"/>
          <w:rtl/>
          <w:lang w:bidi="he-IL"/>
        </w:rPr>
        <w:t xml:space="preserve">. </w:t>
      </w:r>
      <w:r w:rsidRPr="00400C0B">
        <w:rPr>
          <w:rFonts w:cs="Guttman Rashi" w:hint="eastAsia"/>
          <w:rtl/>
          <w:lang w:bidi="he-IL"/>
        </w:rPr>
        <w:t>וביאור</w:t>
      </w:r>
      <w:r w:rsidRPr="00400C0B">
        <w:rPr>
          <w:rFonts w:cs="Guttman Rashi"/>
          <w:rtl/>
          <w:lang w:bidi="he-IL"/>
        </w:rPr>
        <w:t xml:space="preserve"> </w:t>
      </w:r>
      <w:r w:rsidRPr="00400C0B">
        <w:rPr>
          <w:rFonts w:cs="Guttman Rashi" w:hint="eastAsia"/>
          <w:rtl/>
          <w:lang w:bidi="he-IL"/>
        </w:rPr>
        <w:t>הדבר</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הדעה</w:t>
      </w:r>
      <w:r w:rsidRPr="00400C0B">
        <w:rPr>
          <w:rFonts w:cs="Guttman Rashi"/>
          <w:rtl/>
          <w:lang w:bidi="he-IL"/>
        </w:rPr>
        <w:t xml:space="preserve"> </w:t>
      </w:r>
      <w:r w:rsidRPr="00400C0B">
        <w:rPr>
          <w:rFonts w:cs="Guttman Rashi" w:hint="eastAsia"/>
          <w:rtl/>
          <w:lang w:bidi="he-IL"/>
        </w:rPr>
        <w:t>שיתבאר</w:t>
      </w:r>
      <w:r w:rsidRPr="00400C0B">
        <w:rPr>
          <w:rFonts w:cs="Guttman Rashi"/>
          <w:rtl/>
          <w:lang w:bidi="he-IL"/>
        </w:rPr>
        <w:t xml:space="preserve"> </w:t>
      </w:r>
      <w:r w:rsidRPr="00400C0B">
        <w:rPr>
          <w:rFonts w:cs="Guttman Rashi" w:hint="eastAsia"/>
          <w:rtl/>
          <w:lang w:bidi="he-IL"/>
        </w:rPr>
        <w:t>בהמשך</w:t>
      </w:r>
      <w:r w:rsidRPr="00400C0B">
        <w:rPr>
          <w:rFonts w:cs="Guttman Rashi"/>
          <w:rtl/>
          <w:lang w:bidi="he-IL"/>
        </w:rPr>
        <w:t xml:space="preserve"> </w:t>
      </w:r>
      <w:r w:rsidRPr="00400C0B">
        <w:rPr>
          <w:rFonts w:cs="Guttman Rashi" w:hint="eastAsia"/>
          <w:rtl/>
          <w:lang w:bidi="he-IL"/>
        </w:rPr>
        <w:t>ששיטת</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כמש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שביטול</w:t>
      </w:r>
      <w:r w:rsidRPr="00400C0B">
        <w:rPr>
          <w:rFonts w:cs="Guttman Rashi"/>
          <w:rtl/>
          <w:lang w:bidi="he-IL"/>
        </w:rPr>
        <w:t xml:space="preserve"> </w:t>
      </w:r>
      <w:r w:rsidRPr="00400C0B">
        <w:rPr>
          <w:rFonts w:cs="Guttman Rashi" w:hint="eastAsia"/>
          <w:rtl/>
          <w:lang w:bidi="he-IL"/>
        </w:rPr>
        <w:t>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ולח</w:t>
      </w:r>
      <w:r w:rsidRPr="00400C0B">
        <w:rPr>
          <w:rFonts w:cs="Guttman Rashi"/>
          <w:rtl/>
          <w:lang w:bidi="he-IL"/>
        </w:rPr>
        <w:t xml:space="preserve"> </w:t>
      </w:r>
      <w:r w:rsidRPr="00400C0B">
        <w:rPr>
          <w:rFonts w:cs="Guttman Rashi" w:hint="eastAsia"/>
          <w:rtl/>
          <w:lang w:bidi="he-IL"/>
        </w:rPr>
        <w:t>בלח</w:t>
      </w:r>
      <w:r w:rsidRPr="00400C0B">
        <w:rPr>
          <w:rFonts w:cs="Guttman Rashi"/>
          <w:rtl/>
          <w:lang w:bidi="he-IL"/>
        </w:rPr>
        <w:t xml:space="preserve"> </w:t>
      </w:r>
      <w:r w:rsidRPr="00400C0B">
        <w:rPr>
          <w:rFonts w:cs="Guttman Rashi" w:hint="eastAsia"/>
          <w:rtl/>
          <w:lang w:bidi="he-IL"/>
        </w:rPr>
        <w:t>שוין</w:t>
      </w:r>
      <w:r w:rsidRPr="00400C0B">
        <w:rPr>
          <w:rFonts w:cs="Guttman Rashi"/>
          <w:rtl/>
          <w:lang w:bidi="he-IL"/>
        </w:rPr>
        <w:t xml:space="preserve">, </w:t>
      </w:r>
      <w:r w:rsidRPr="00400C0B">
        <w:rPr>
          <w:rFonts w:cs="Guttman Rashi" w:hint="eastAsia"/>
          <w:rtl/>
          <w:lang w:bidi="he-IL"/>
        </w:rPr>
        <w:t>וכיון</w:t>
      </w:r>
      <w:r w:rsidRPr="00400C0B">
        <w:rPr>
          <w:rFonts w:cs="Guttman Rashi"/>
          <w:rtl/>
          <w:lang w:bidi="he-IL"/>
        </w:rPr>
        <w:t xml:space="preserve"> </w:t>
      </w:r>
      <w:r w:rsidRPr="00400C0B">
        <w:rPr>
          <w:rFonts w:cs="Guttman Rashi" w:hint="eastAsia"/>
          <w:rtl/>
          <w:lang w:bidi="he-IL"/>
        </w:rPr>
        <w:t>דליכא</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מא</w:t>
      </w:r>
      <w:r w:rsidRPr="00400C0B">
        <w:rPr>
          <w:rFonts w:cs="Guttman Rashi"/>
          <w:rtl/>
          <w:lang w:bidi="he-IL"/>
        </w:rPr>
        <w:t xml:space="preserve">' </w:t>
      </w:r>
      <w:r w:rsidRPr="00400C0B">
        <w:rPr>
          <w:rFonts w:cs="Guttman Rashi" w:hint="eastAsia"/>
          <w:rtl/>
          <w:lang w:bidi="he-IL"/>
        </w:rPr>
        <w:t>שנכנס</w:t>
      </w:r>
      <w:r w:rsidRPr="00400C0B">
        <w:rPr>
          <w:rFonts w:cs="Guttman Rashi"/>
          <w:rtl/>
          <w:lang w:bidi="he-IL"/>
        </w:rPr>
        <w:t xml:space="preserve"> </w:t>
      </w:r>
      <w:r w:rsidRPr="00400C0B">
        <w:rPr>
          <w:rFonts w:cs="Guttman Rashi" w:hint="eastAsia"/>
          <w:rtl/>
          <w:lang w:bidi="he-IL"/>
        </w:rPr>
        <w:t>לשני</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ועדיין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מימרא</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רבה</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הכוונה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לגמ</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זבחים</w:t>
      </w:r>
      <w:r w:rsidRPr="00400C0B">
        <w:rPr>
          <w:rFonts w:cs="Guttman Rashi"/>
          <w:rtl/>
          <w:lang w:bidi="he-IL"/>
        </w:rPr>
        <w:t xml:space="preserve">. </w:t>
      </w:r>
      <w:r w:rsidRPr="00400C0B">
        <w:rPr>
          <w:rFonts w:cs="Guttman Rashi" w:hint="eastAsia"/>
          <w:rtl/>
          <w:lang w:bidi="he-IL"/>
        </w:rPr>
        <w:t>דחוץ</w:t>
      </w:r>
      <w:r w:rsidRPr="00400C0B">
        <w:rPr>
          <w:rFonts w:cs="Guttman Rashi"/>
          <w:rtl/>
          <w:lang w:bidi="he-IL"/>
        </w:rPr>
        <w:t xml:space="preserve"> </w:t>
      </w:r>
      <w:r w:rsidRPr="00400C0B">
        <w:rPr>
          <w:rFonts w:cs="Guttman Rashi" w:hint="eastAsia"/>
          <w:rtl/>
          <w:lang w:bidi="he-IL"/>
        </w:rPr>
        <w:t>ממה</w:t>
      </w:r>
      <w:r w:rsidRPr="00400C0B">
        <w:rPr>
          <w:rFonts w:cs="Guttman Rashi"/>
          <w:rtl/>
          <w:lang w:bidi="he-IL"/>
        </w:rPr>
        <w:t xml:space="preserve"> </w:t>
      </w:r>
      <w:r w:rsidRPr="00400C0B">
        <w:rPr>
          <w:rFonts w:cs="Guttman Rashi" w:hint="eastAsia"/>
          <w:rtl/>
          <w:lang w:bidi="he-IL"/>
        </w:rPr>
        <w:t>ששם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רבא</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רבה</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הלשון</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בטעמא</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נכון</w:t>
      </w:r>
      <w:r w:rsidRPr="00400C0B">
        <w:rPr>
          <w:rFonts w:cs="Guttman Rashi"/>
          <w:rtl/>
          <w:lang w:bidi="he-IL"/>
        </w:rPr>
        <w:t xml:space="preserve"> </w:t>
      </w:r>
      <w:r w:rsidRPr="00400C0B">
        <w:rPr>
          <w:rFonts w:cs="Guttman Rashi" w:hint="eastAsia"/>
          <w:rtl/>
          <w:lang w:bidi="he-IL"/>
        </w:rPr>
        <w:t>כשמדברים</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 </w:t>
      </w:r>
      <w:r w:rsidRPr="00400C0B">
        <w:rPr>
          <w:rFonts w:cs="Guttman Rashi" w:hint="eastAsia"/>
          <w:rtl/>
          <w:lang w:bidi="he-IL"/>
        </w:rPr>
        <w:t>דאיך</w:t>
      </w:r>
      <w:r w:rsidRPr="00400C0B">
        <w:rPr>
          <w:rFonts w:cs="Guttman Rashi"/>
          <w:rtl/>
          <w:lang w:bidi="he-IL"/>
        </w:rPr>
        <w:t xml:space="preserve"> </w:t>
      </w:r>
      <w:r w:rsidRPr="00400C0B">
        <w:rPr>
          <w:rFonts w:cs="Guttman Rashi" w:hint="eastAsia"/>
          <w:rtl/>
          <w:lang w:bidi="he-IL"/>
        </w:rPr>
        <w:t>יוכל</w:t>
      </w:r>
      <w:r w:rsidRPr="00400C0B">
        <w:rPr>
          <w:rFonts w:cs="Guttman Rashi"/>
          <w:rtl/>
          <w:lang w:bidi="he-IL"/>
        </w:rPr>
        <w:t xml:space="preserve"> </w:t>
      </w:r>
      <w:r w:rsidRPr="00400C0B">
        <w:rPr>
          <w:rFonts w:cs="Guttman Rashi" w:hint="eastAsia"/>
          <w:rtl/>
          <w:lang w:bidi="he-IL"/>
        </w:rPr>
        <w:t>להטעימו</w:t>
      </w:r>
      <w:r w:rsidRPr="00400C0B">
        <w:rPr>
          <w:rFonts w:cs="Guttman Rashi"/>
          <w:rtl/>
          <w:lang w:bidi="he-IL"/>
        </w:rPr>
        <w:t xml:space="preserve"> </w:t>
      </w:r>
      <w:r w:rsidRPr="00400C0B">
        <w:rPr>
          <w:rFonts w:cs="Guttman Rashi" w:hint="eastAsia"/>
          <w:rtl/>
          <w:lang w:bidi="he-IL"/>
        </w:rPr>
        <w:t>לקפילא</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שיבשלם</w:t>
      </w:r>
      <w:r w:rsidRPr="00400C0B">
        <w:rPr>
          <w:rFonts w:cs="Guttman Rashi"/>
          <w:rtl/>
          <w:lang w:bidi="he-IL"/>
        </w:rPr>
        <w:t xml:space="preserve"> </w:t>
      </w:r>
      <w:r w:rsidRPr="00400C0B">
        <w:rPr>
          <w:rFonts w:cs="Guttman Rashi" w:hint="eastAsia"/>
          <w:rtl/>
          <w:lang w:bidi="he-IL"/>
        </w:rPr>
        <w:t>ביחד</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ובחוו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שאיסור</w:t>
      </w:r>
      <w:r w:rsidRPr="00400C0B">
        <w:rPr>
          <w:rFonts w:cs="Guttman Rashi"/>
          <w:rtl/>
          <w:lang w:bidi="he-IL"/>
        </w:rPr>
        <w:t xml:space="preserve"> </w:t>
      </w:r>
      <w:r w:rsidRPr="00400C0B">
        <w:rPr>
          <w:rFonts w:cs="Guttman Rashi" w:hint="eastAsia"/>
          <w:rtl/>
          <w:lang w:bidi="he-IL"/>
        </w:rPr>
        <w:t>הבלול</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שבטל</w:t>
      </w:r>
      <w:r w:rsidRPr="00400C0B">
        <w:rPr>
          <w:rFonts w:cs="Guttman Rashi"/>
          <w:rtl/>
          <w:lang w:bidi="he-IL"/>
        </w:rPr>
        <w:t xml:space="preserve"> </w:t>
      </w:r>
      <w:r w:rsidRPr="00400C0B">
        <w:rPr>
          <w:rFonts w:cs="Guttman Rashi" w:hint="eastAsia"/>
          <w:rtl/>
          <w:lang w:bidi="he-IL"/>
        </w:rPr>
        <w:t>ברוב</w:t>
      </w:r>
      <w:r w:rsidRPr="00400C0B">
        <w:rPr>
          <w:rFonts w:cs="Guttman Rashi"/>
          <w:rtl/>
          <w:lang w:bidi="he-IL"/>
        </w:rPr>
        <w:t>.</w:t>
      </w:r>
    </w:p>
  </w:footnote>
  <w:footnote w:id="6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קו</w:t>
      </w:r>
    </w:p>
  </w:footnote>
  <w:footnote w:id="6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מדברי</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שלמ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דינו</w:t>
      </w:r>
      <w:r w:rsidRPr="00400C0B">
        <w:rPr>
          <w:rFonts w:cs="Guttman Rashi"/>
          <w:rtl/>
          <w:lang w:bidi="he-IL"/>
        </w:rPr>
        <w:t xml:space="preserve">, </w:t>
      </w:r>
      <w:r w:rsidRPr="00400C0B">
        <w:rPr>
          <w:rFonts w:cs="Guttman Rashi" w:hint="eastAsia"/>
          <w:rtl/>
          <w:lang w:bidi="he-IL"/>
        </w:rPr>
        <w:t>בששים</w:t>
      </w:r>
      <w:r w:rsidRPr="00400C0B">
        <w:rPr>
          <w:rFonts w:cs="Guttman Rashi"/>
          <w:rtl/>
          <w:lang w:bidi="he-IL"/>
        </w:rPr>
        <w:t xml:space="preserve"> </w:t>
      </w:r>
      <w:r w:rsidRPr="00400C0B">
        <w:rPr>
          <w:rFonts w:cs="Guttman Rashi" w:hint="eastAsia"/>
          <w:rtl/>
          <w:lang w:bidi="he-IL"/>
        </w:rPr>
        <w:t>המימרא</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רבא</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בדינים</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מדרבנן</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ומיני</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שמין</w:t>
      </w:r>
      <w:r w:rsidRPr="00400C0B">
        <w:rPr>
          <w:rFonts w:cs="Guttman Rashi"/>
          <w:rtl/>
          <w:lang w:bidi="he-IL"/>
        </w:rPr>
        <w:t xml:space="preserve"> </w:t>
      </w:r>
      <w:r w:rsidRPr="00400C0B">
        <w:rPr>
          <w:rFonts w:cs="Guttman Rashi" w:hint="eastAsia"/>
          <w:rtl/>
          <w:lang w:bidi="he-IL"/>
        </w:rPr>
        <w:t>בשאינו</w:t>
      </w:r>
      <w:r w:rsidRPr="00400C0B">
        <w:rPr>
          <w:rFonts w:cs="Guttman Rashi"/>
          <w:rtl/>
          <w:lang w:bidi="he-IL"/>
        </w:rPr>
        <w:t xml:space="preserve"> </w:t>
      </w:r>
      <w:r w:rsidRPr="00400C0B">
        <w:rPr>
          <w:rFonts w:cs="Guttman Rashi" w:hint="eastAsia"/>
          <w:rtl/>
          <w:lang w:bidi="he-IL"/>
        </w:rPr>
        <w:t>מינו</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יהי</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הדבר</w:t>
      </w:r>
      <w:r w:rsidRPr="00400C0B">
        <w:rPr>
          <w:rFonts w:cs="Guttman Rashi"/>
          <w:rtl/>
          <w:lang w:bidi="he-IL"/>
        </w:rPr>
        <w:t xml:space="preserve"> </w:t>
      </w:r>
      <w:r w:rsidRPr="00400C0B">
        <w:rPr>
          <w:rFonts w:cs="Guttman Rashi" w:hint="eastAsia"/>
          <w:rtl/>
          <w:lang w:bidi="he-IL"/>
        </w:rPr>
        <w:t>מוכרח</w:t>
      </w:r>
      <w:r w:rsidRPr="00400C0B">
        <w:rPr>
          <w:rFonts w:cs="Guttman Rashi"/>
          <w:rtl/>
          <w:lang w:bidi="he-IL"/>
        </w:rPr>
        <w:t xml:space="preserve"> </w:t>
      </w:r>
      <w:r w:rsidRPr="00400C0B">
        <w:rPr>
          <w:rFonts w:cs="Guttman Rashi" w:hint="eastAsia"/>
          <w:rtl/>
          <w:lang w:bidi="he-IL"/>
        </w:rPr>
        <w:t>שהטעם</w:t>
      </w:r>
      <w:r w:rsidRPr="00400C0B">
        <w:rPr>
          <w:rFonts w:cs="Guttman Rashi"/>
          <w:rtl/>
          <w:lang w:bidi="he-IL"/>
        </w:rPr>
        <w:t xml:space="preserve"> </w:t>
      </w:r>
      <w:r w:rsidRPr="00400C0B">
        <w:rPr>
          <w:rFonts w:cs="Guttman Rashi" w:hint="eastAsia"/>
          <w:rtl/>
          <w:lang w:bidi="he-IL"/>
        </w:rPr>
        <w:t>שאסרו</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שבמין</w:t>
      </w:r>
      <w:r w:rsidRPr="00400C0B">
        <w:rPr>
          <w:rFonts w:cs="Guttman Rashi"/>
          <w:rtl/>
          <w:lang w:bidi="he-IL"/>
        </w:rPr>
        <w:t xml:space="preserve"> </w:t>
      </w:r>
      <w:r w:rsidRPr="00400C0B">
        <w:rPr>
          <w:rFonts w:cs="Guttman Rashi" w:hint="eastAsia"/>
          <w:rtl/>
          <w:lang w:bidi="he-IL"/>
        </w:rPr>
        <w:t>בשאינו</w:t>
      </w:r>
      <w:r w:rsidRPr="00400C0B">
        <w:rPr>
          <w:rFonts w:cs="Guttman Rashi"/>
          <w:rtl/>
          <w:lang w:bidi="he-IL"/>
        </w:rPr>
        <w:t xml:space="preserve"> </w:t>
      </w:r>
      <w:r w:rsidRPr="00400C0B">
        <w:rPr>
          <w:rFonts w:cs="Guttman Rashi" w:hint="eastAsia"/>
          <w:rtl/>
          <w:lang w:bidi="he-IL"/>
        </w:rPr>
        <w:t>מינו</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דינו</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דקדק</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לשיטתו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שהקשה</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שכוונת</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אב</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דמיירי</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בלח</w:t>
      </w:r>
      <w:r w:rsidRPr="00400C0B">
        <w:rPr>
          <w:rFonts w:cs="Guttman Rashi"/>
          <w:rtl/>
          <w:lang w:bidi="he-IL"/>
        </w:rPr>
        <w:t xml:space="preserve"> </w:t>
      </w:r>
      <w:r w:rsidRPr="00400C0B">
        <w:rPr>
          <w:rFonts w:cs="Guttman Rashi" w:hint="eastAsia"/>
          <w:rtl/>
          <w:lang w:bidi="he-IL"/>
        </w:rPr>
        <w:t>בלח</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סתימת</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שפי</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שפירש</w:t>
      </w:r>
      <w:r w:rsidRPr="00400C0B">
        <w:rPr>
          <w:rFonts w:cs="Guttman Rashi"/>
          <w:rtl/>
          <w:lang w:bidi="he-IL"/>
        </w:rPr>
        <w:t xml:space="preserve"> </w:t>
      </w:r>
      <w:r w:rsidRPr="00400C0B">
        <w:rPr>
          <w:rFonts w:cs="Guttman Rashi" w:hint="eastAsia"/>
          <w:rtl/>
          <w:lang w:bidi="he-IL"/>
        </w:rPr>
        <w:t>לעצמו</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אב</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הדברים</w:t>
      </w:r>
      <w:r w:rsidRPr="00400C0B">
        <w:rPr>
          <w:rFonts w:cs="Guttman Rashi"/>
          <w:rtl/>
          <w:lang w:bidi="he-IL"/>
        </w:rPr>
        <w:t xml:space="preserve"> </w:t>
      </w:r>
      <w:r w:rsidRPr="00400C0B">
        <w:rPr>
          <w:rFonts w:cs="Guttman Rashi" w:hint="eastAsia"/>
          <w:rtl/>
          <w:lang w:bidi="he-IL"/>
        </w:rPr>
        <w:t>אמרוים</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לדין</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ועוד</w:t>
      </w:r>
      <w:r w:rsidRPr="00400C0B">
        <w:rPr>
          <w:rFonts w:cs="Guttman Rashi"/>
          <w:rtl/>
          <w:lang w:bidi="he-IL"/>
        </w:rPr>
        <w:t xml:space="preserve"> </w:t>
      </w:r>
      <w:r w:rsidRPr="00400C0B">
        <w:rPr>
          <w:rFonts w:cs="Guttman Rashi" w:hint="eastAsia"/>
          <w:rtl/>
          <w:lang w:bidi="he-IL"/>
        </w:rPr>
        <w:t>דא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מהו</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תמיהת</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אהא</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דנהי</w:t>
      </w:r>
      <w:r w:rsidRPr="00400C0B">
        <w:rPr>
          <w:rFonts w:cs="Guttman Rashi"/>
          <w:rtl/>
          <w:lang w:bidi="he-IL"/>
        </w:rPr>
        <w:t xml:space="preserve"> </w:t>
      </w:r>
      <w:r w:rsidRPr="00400C0B">
        <w:rPr>
          <w:rFonts w:cs="Guttman Rashi" w:hint="eastAsia"/>
          <w:rtl/>
          <w:lang w:bidi="he-IL"/>
        </w:rPr>
        <w:t>נמי</w:t>
      </w:r>
      <w:r w:rsidRPr="00400C0B">
        <w:rPr>
          <w:rFonts w:cs="Guttman Rashi"/>
          <w:rtl/>
          <w:lang w:bidi="he-IL"/>
        </w:rPr>
        <w:t xml:space="preserve"> </w:t>
      </w:r>
      <w:r w:rsidRPr="00400C0B">
        <w:rPr>
          <w:rFonts w:cs="Guttman Rashi" w:hint="eastAsia"/>
          <w:rtl/>
          <w:lang w:bidi="he-IL"/>
        </w:rPr>
        <w:t>שהאריך</w:t>
      </w:r>
      <w:r w:rsidRPr="00400C0B">
        <w:rPr>
          <w:rFonts w:cs="Guttman Rashi"/>
          <w:rtl/>
          <w:lang w:bidi="he-IL"/>
        </w:rPr>
        <w:t xml:space="preserve"> </w:t>
      </w:r>
      <w:r w:rsidRPr="00400C0B">
        <w:rPr>
          <w:rFonts w:cs="Guttman Rashi" w:hint="eastAsia"/>
          <w:rtl/>
          <w:lang w:bidi="he-IL"/>
        </w:rPr>
        <w:t>ליישב</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דטעם</w:t>
      </w:r>
      <w:r w:rsidRPr="00400C0B">
        <w:rPr>
          <w:rFonts w:cs="Guttman Rashi"/>
          <w:rtl/>
          <w:lang w:bidi="he-IL"/>
        </w:rPr>
        <w:t xml:space="preserve"> </w:t>
      </w:r>
      <w:r w:rsidRPr="00400C0B">
        <w:rPr>
          <w:rFonts w:cs="Guttman Rashi" w:hint="eastAsia"/>
          <w:rtl/>
          <w:lang w:bidi="he-IL"/>
        </w:rPr>
        <w:t>כעיקר</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תימה</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שסבר</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אב</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כר</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וסייעתו</w:t>
      </w:r>
      <w:r w:rsidRPr="00400C0B">
        <w:rPr>
          <w:rFonts w:cs="Guttman Rashi"/>
          <w:rtl/>
          <w:lang w:bidi="he-IL"/>
        </w:rPr>
        <w:t xml:space="preserve"> </w:t>
      </w:r>
      <w:r w:rsidRPr="00400C0B">
        <w:rPr>
          <w:rFonts w:cs="Guttman Rashi" w:hint="eastAsia"/>
          <w:rtl/>
          <w:lang w:bidi="he-IL"/>
        </w:rPr>
        <w:t>הסוברים</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לדחוק</w:t>
      </w:r>
      <w:r w:rsidRPr="00400C0B">
        <w:rPr>
          <w:rFonts w:cs="Guttman Rashi"/>
          <w:rtl/>
          <w:lang w:bidi="he-IL"/>
        </w:rPr>
        <w:t xml:space="preserve"> </w:t>
      </w:r>
      <w:r w:rsidRPr="00400C0B">
        <w:rPr>
          <w:rFonts w:cs="Guttman Rashi" w:hint="eastAsia"/>
          <w:rtl/>
          <w:lang w:bidi="he-IL"/>
        </w:rPr>
        <w:t>שהחלק</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בששין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בטעם</w:t>
      </w:r>
      <w:r w:rsidRPr="00400C0B">
        <w:rPr>
          <w:rFonts w:cs="Guttman Rashi"/>
          <w:rtl/>
          <w:lang w:bidi="he-IL"/>
        </w:rPr>
        <w:t xml:space="preserve">, </w:t>
      </w:r>
      <w:r w:rsidRPr="00400C0B">
        <w:rPr>
          <w:rFonts w:cs="Guttman Rashi" w:hint="eastAsia"/>
          <w:rtl/>
          <w:lang w:bidi="he-IL"/>
        </w:rPr>
        <w:t>ועולם</w:t>
      </w:r>
      <w:r w:rsidRPr="00400C0B">
        <w:rPr>
          <w:rFonts w:cs="Guttman Rashi"/>
          <w:rtl/>
          <w:lang w:bidi="he-IL"/>
        </w:rPr>
        <w:t xml:space="preserve"> </w:t>
      </w:r>
      <w:r w:rsidRPr="00400C0B">
        <w:rPr>
          <w:rFonts w:cs="Guttman Rashi" w:hint="eastAsia"/>
          <w:rtl/>
          <w:lang w:bidi="he-IL"/>
        </w:rPr>
        <w:t>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p>
    <w:p w:rsidR="007978F4" w:rsidRPr="00400C0B" w:rsidRDefault="007978F4" w:rsidP="00B80448">
      <w:pPr>
        <w:pStyle w:val="FootnoteText"/>
        <w:bidi/>
        <w:jc w:val="both"/>
        <w:rPr>
          <w:rFonts w:cs="Guttman Rashi"/>
          <w:rtl/>
          <w:lang w:bidi="he-IL"/>
        </w:rPr>
      </w:pP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מפורש</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בשאינו</w:t>
      </w:r>
      <w:r w:rsidRPr="00400C0B">
        <w:rPr>
          <w:rFonts w:cs="Guttman Rashi"/>
          <w:rtl/>
          <w:lang w:bidi="he-IL"/>
        </w:rPr>
        <w:t xml:space="preserve"> </w:t>
      </w:r>
      <w:r w:rsidRPr="00400C0B">
        <w:rPr>
          <w:rFonts w:cs="Guttman Rashi" w:hint="eastAsia"/>
          <w:rtl/>
          <w:lang w:bidi="he-IL"/>
        </w:rPr>
        <w:t>מינו</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ופלא</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החלקת</w:t>
      </w:r>
      <w:r w:rsidRPr="00400C0B">
        <w:rPr>
          <w:rFonts w:cs="Guttman Rashi"/>
          <w:rtl/>
          <w:lang w:bidi="he-IL"/>
        </w:rPr>
        <w:t xml:space="preserve"> </w:t>
      </w:r>
      <w:r w:rsidRPr="00400C0B">
        <w:rPr>
          <w:rFonts w:cs="Guttman Rashi" w:hint="eastAsia"/>
          <w:rtl/>
          <w:lang w:bidi="he-IL"/>
        </w:rPr>
        <w:t>יואב</w:t>
      </w:r>
      <w:r w:rsidRPr="00400C0B">
        <w:rPr>
          <w:rFonts w:cs="Guttman Rashi"/>
          <w:rtl/>
          <w:lang w:bidi="he-IL"/>
        </w:rPr>
        <w:t xml:space="preserve"> (</w:t>
      </w:r>
      <w:r w:rsidRPr="00400C0B">
        <w:rPr>
          <w:rFonts w:cs="Guttman Rashi" w:hint="eastAsia"/>
          <w:rtl/>
          <w:lang w:bidi="he-IL"/>
        </w:rPr>
        <w:t>תנינא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ומצוין</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בהערות</w:t>
      </w:r>
      <w:r w:rsidRPr="00400C0B">
        <w:rPr>
          <w:rFonts w:cs="Guttman Rashi"/>
          <w:rtl/>
          <w:lang w:bidi="he-IL"/>
        </w:rPr>
        <w:t xml:space="preserve"> </w:t>
      </w:r>
      <w:r w:rsidRPr="00400C0B">
        <w:rPr>
          <w:rFonts w:cs="Guttman Rashi" w:hint="eastAsia"/>
          <w:rtl/>
          <w:lang w:bidi="he-IL"/>
        </w:rPr>
        <w:t>לרשב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339) </w:t>
      </w:r>
      <w:r w:rsidRPr="00400C0B">
        <w:rPr>
          <w:rFonts w:cs="Guttman Rashi" w:hint="eastAsia"/>
          <w:rtl/>
          <w:lang w:bidi="he-IL"/>
        </w:rPr>
        <w:t>דנקט</w:t>
      </w:r>
      <w:r w:rsidRPr="00400C0B">
        <w:rPr>
          <w:rFonts w:cs="Guttman Rashi"/>
          <w:rtl/>
          <w:lang w:bidi="he-IL"/>
        </w:rPr>
        <w:t xml:space="preserve"> </w:t>
      </w:r>
      <w:r w:rsidRPr="00400C0B">
        <w:rPr>
          <w:rFonts w:cs="Guttman Rashi" w:hint="eastAsia"/>
          <w:rtl/>
          <w:lang w:bidi="he-IL"/>
        </w:rPr>
        <w:t>שלדעת</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ראיתי</w:t>
      </w:r>
      <w:r w:rsidRPr="00400C0B">
        <w:rPr>
          <w:rFonts w:cs="Guttman Rashi"/>
          <w:rtl/>
          <w:lang w:bidi="he-IL"/>
        </w:rPr>
        <w:t xml:space="preserve"> </w:t>
      </w:r>
      <w:r w:rsidRPr="00400C0B">
        <w:rPr>
          <w:rFonts w:cs="Guttman Rashi" w:hint="eastAsia"/>
          <w:rtl/>
          <w:lang w:bidi="he-IL"/>
        </w:rPr>
        <w:t>שהדגיש</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ביאורי</w:t>
      </w:r>
      <w:r w:rsidRPr="00400C0B">
        <w:rPr>
          <w:rFonts w:cs="Guttman Rashi"/>
          <w:rtl/>
          <w:lang w:bidi="he-IL"/>
        </w:rPr>
        <w:t xml:space="preserve"> </w:t>
      </w:r>
      <w:r w:rsidRPr="00400C0B">
        <w:rPr>
          <w:rFonts w:cs="Guttman Rashi" w:hint="eastAsia"/>
          <w:rtl/>
          <w:lang w:bidi="he-IL"/>
        </w:rPr>
        <w:t>סוגיות</w:t>
      </w:r>
      <w:r w:rsidRPr="00400C0B">
        <w:rPr>
          <w:rFonts w:cs="Guttman Rashi"/>
          <w:rtl/>
          <w:lang w:bidi="he-IL"/>
        </w:rPr>
        <w:t xml:space="preserve">. </w:t>
      </w:r>
    </w:p>
  </w:footnote>
  <w:footnote w:id="6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הקודם</w:t>
      </w:r>
      <w:r w:rsidRPr="00400C0B">
        <w:rPr>
          <w:rFonts w:cs="Guttman Rashi"/>
          <w:rtl/>
          <w:lang w:bidi="he-IL"/>
        </w:rPr>
        <w:t xml:space="preserve"> </w:t>
      </w:r>
      <w:r w:rsidRPr="00400C0B">
        <w:rPr>
          <w:rFonts w:cs="Guttman Rashi" w:hint="eastAsia"/>
          <w:rtl/>
          <w:lang w:bidi="he-IL"/>
        </w:rPr>
        <w:t>שהארכנו</w:t>
      </w:r>
      <w:r w:rsidRPr="00400C0B">
        <w:rPr>
          <w:rFonts w:cs="Guttman Rashi"/>
          <w:rtl/>
          <w:lang w:bidi="he-IL"/>
        </w:rPr>
        <w:t xml:space="preserve"> </w:t>
      </w:r>
      <w:r w:rsidRPr="00400C0B">
        <w:rPr>
          <w:rFonts w:cs="Guttman Rashi" w:hint="eastAsia"/>
          <w:rtl/>
          <w:lang w:bidi="he-IL"/>
        </w:rPr>
        <w:t>בביאור</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סובר</w:t>
      </w:r>
      <w:r w:rsidRPr="00400C0B">
        <w:rPr>
          <w:rFonts w:cs="Guttman Rashi"/>
          <w:rtl/>
          <w:lang w:bidi="he-IL"/>
        </w:rPr>
        <w:t xml:space="preserve"> </w:t>
      </w:r>
      <w:r w:rsidRPr="00400C0B">
        <w:rPr>
          <w:rFonts w:cs="Guttman Rashi" w:hint="eastAsia"/>
          <w:rtl/>
          <w:lang w:bidi="he-IL"/>
        </w:rPr>
        <w:t>שביטול</w:t>
      </w:r>
      <w:r w:rsidRPr="00400C0B">
        <w:rPr>
          <w:rFonts w:cs="Guttman Rashi"/>
          <w:rtl/>
          <w:lang w:bidi="he-IL"/>
        </w:rPr>
        <w:t xml:space="preserve"> </w:t>
      </w:r>
      <w:r w:rsidRPr="00400C0B">
        <w:rPr>
          <w:rFonts w:cs="Guttman Rashi" w:hint="eastAsia"/>
          <w:rtl/>
          <w:lang w:bidi="he-IL"/>
        </w:rPr>
        <w:t>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דאזלינן</w:t>
      </w:r>
      <w:r w:rsidRPr="00400C0B">
        <w:rPr>
          <w:rFonts w:cs="Guttman Rashi"/>
          <w:rtl/>
          <w:lang w:bidi="he-IL"/>
        </w:rPr>
        <w:t xml:space="preserve"> </w:t>
      </w:r>
      <w:r w:rsidRPr="00400C0B">
        <w:rPr>
          <w:rFonts w:cs="Guttman Rashi" w:hint="eastAsia"/>
          <w:rtl/>
          <w:lang w:bidi="he-IL"/>
        </w:rPr>
        <w:t>בתר</w:t>
      </w:r>
      <w:r w:rsidRPr="00400C0B">
        <w:rPr>
          <w:rFonts w:cs="Guttman Rashi"/>
          <w:rtl/>
          <w:lang w:bidi="he-IL"/>
        </w:rPr>
        <w:t xml:space="preserve"> </w:t>
      </w:r>
      <w:r w:rsidRPr="00400C0B">
        <w:rPr>
          <w:rFonts w:cs="Guttman Rashi" w:hint="eastAsia"/>
          <w:rtl/>
          <w:lang w:bidi="he-IL"/>
        </w:rPr>
        <w:t>רובא</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לדידי</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בהערה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Ref436509317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62</w:t>
      </w:r>
      <w:r w:rsidRPr="00400C0B">
        <w:rPr>
          <w:rFonts w:cs="Guttman Rashi"/>
          <w:rtl/>
          <w:lang w:bidi="he-IL"/>
        </w:rPr>
        <w:fldChar w:fldCharType="end"/>
      </w:r>
      <w:r w:rsidRPr="00400C0B">
        <w:rPr>
          <w:rFonts w:cs="Guttman Rashi"/>
          <w:rtl/>
          <w:lang w:bidi="he-IL"/>
        </w:rPr>
        <w:t>.</w:t>
      </w:r>
    </w:p>
  </w:footnote>
  <w:footnote w:id="6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איני</w:t>
      </w:r>
      <w:r w:rsidRPr="00400C0B">
        <w:rPr>
          <w:rFonts w:cs="Guttman Rashi"/>
          <w:rtl/>
          <w:lang w:bidi="he-IL"/>
        </w:rPr>
        <w:t xml:space="preserve"> </w:t>
      </w:r>
      <w:r w:rsidRPr="00400C0B">
        <w:rPr>
          <w:rFonts w:cs="Guttman Rashi" w:hint="eastAsia"/>
          <w:rtl/>
          <w:lang w:bidi="he-IL"/>
        </w:rPr>
        <w:t>יודע</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להם</w:t>
      </w:r>
      <w:r w:rsidRPr="00400C0B">
        <w:rPr>
          <w:rFonts w:cs="Guttman Rashi"/>
          <w:rtl/>
          <w:lang w:bidi="he-IL"/>
        </w:rPr>
        <w:t xml:space="preserve"> </w:t>
      </w:r>
      <w:r w:rsidRPr="00400C0B">
        <w:rPr>
          <w:rFonts w:cs="Guttman Rashi" w:hint="eastAsia"/>
          <w:rtl/>
          <w:lang w:bidi="he-IL"/>
        </w:rPr>
        <w:t>שחייבין</w:t>
      </w:r>
      <w:r w:rsidRPr="00400C0B">
        <w:rPr>
          <w:rFonts w:cs="Guttman Rashi"/>
          <w:rtl/>
          <w:lang w:bidi="he-IL"/>
        </w:rPr>
        <w:t xml:space="preserve"> </w:t>
      </w:r>
      <w:r w:rsidRPr="00400C0B">
        <w:rPr>
          <w:rFonts w:cs="Guttman Rashi" w:hint="eastAsia"/>
          <w:rtl/>
          <w:lang w:bidi="he-IL"/>
        </w:rPr>
        <w:t>אנמלה</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כזית</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שבועות</w:t>
      </w:r>
      <w:r w:rsidRPr="00400C0B">
        <w:rPr>
          <w:rFonts w:cs="Guttman Rashi"/>
          <w:rtl/>
          <w:lang w:bidi="he-IL"/>
        </w:rPr>
        <w:t xml:space="preserve"> </w:t>
      </w:r>
      <w:r w:rsidRPr="00400C0B">
        <w:rPr>
          <w:rFonts w:cs="Guttman Rashi" w:hint="eastAsia"/>
          <w:rtl/>
          <w:lang w:bidi="he-IL"/>
        </w:rPr>
        <w:t>דף</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הראה</w:t>
      </w:r>
      <w:r w:rsidRPr="00400C0B">
        <w:rPr>
          <w:rFonts w:cs="Guttman Rashi"/>
          <w:rtl/>
          <w:lang w:bidi="he-IL"/>
        </w:rPr>
        <w:t xml:space="preserve"> </w:t>
      </w:r>
      <w:r w:rsidRPr="00400C0B">
        <w:rPr>
          <w:rFonts w:cs="Guttman Rashi" w:hint="eastAsia"/>
          <w:rtl/>
          <w:lang w:bidi="he-IL"/>
        </w:rPr>
        <w:t>מקור</w:t>
      </w:r>
      <w:r w:rsidRPr="00400C0B">
        <w:rPr>
          <w:rFonts w:cs="Guttman Rashi"/>
          <w:rtl/>
          <w:lang w:bidi="he-IL"/>
        </w:rPr>
        <w:t xml:space="preserve"> </w:t>
      </w:r>
      <w:r w:rsidRPr="00400C0B">
        <w:rPr>
          <w:rFonts w:cs="Guttman Rashi" w:hint="eastAsia"/>
          <w:rtl/>
          <w:lang w:bidi="he-IL"/>
        </w:rPr>
        <w:t>שחייבין</w:t>
      </w:r>
      <w:r w:rsidRPr="00400C0B">
        <w:rPr>
          <w:rFonts w:cs="Guttman Rashi"/>
          <w:rtl/>
          <w:lang w:bidi="he-IL"/>
        </w:rPr>
        <w:t xml:space="preserve"> </w:t>
      </w:r>
      <w:r w:rsidRPr="00400C0B">
        <w:rPr>
          <w:rFonts w:cs="Guttman Rashi" w:hint="eastAsia"/>
          <w:rtl/>
          <w:lang w:bidi="he-IL"/>
        </w:rPr>
        <w:t>אנמלה</w:t>
      </w:r>
      <w:r w:rsidRPr="00400C0B">
        <w:rPr>
          <w:rFonts w:cs="Guttman Rashi"/>
          <w:rtl/>
          <w:lang w:bidi="he-IL"/>
        </w:rPr>
        <w:t xml:space="preserve"> </w:t>
      </w:r>
      <w:r w:rsidRPr="00400C0B">
        <w:rPr>
          <w:rFonts w:cs="Guttman Rashi" w:hint="eastAsia"/>
          <w:rtl/>
          <w:lang w:bidi="he-IL"/>
        </w:rPr>
        <w:t>בכל</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ממתני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6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מצריכים</w:t>
      </w:r>
      <w:r w:rsidRPr="00400C0B">
        <w:rPr>
          <w:rFonts w:cs="Guttman Rashi"/>
          <w:rtl/>
          <w:lang w:bidi="he-IL"/>
        </w:rPr>
        <w:t xml:space="preserve"> </w:t>
      </w:r>
      <w:r w:rsidRPr="00400C0B">
        <w:rPr>
          <w:rFonts w:cs="Guttman Rashi" w:hint="eastAsia"/>
          <w:rtl/>
          <w:lang w:bidi="he-IL"/>
        </w:rPr>
        <w:t>שיהא</w:t>
      </w:r>
      <w:r w:rsidRPr="00400C0B">
        <w:rPr>
          <w:rFonts w:cs="Guttman Rashi"/>
          <w:rtl/>
          <w:lang w:bidi="he-IL"/>
        </w:rPr>
        <w:t xml:space="preserve"> </w:t>
      </w:r>
      <w:r w:rsidRPr="00400C0B">
        <w:rPr>
          <w:rFonts w:cs="Guttman Rashi" w:hint="eastAsia"/>
          <w:rtl/>
          <w:lang w:bidi="he-IL"/>
        </w:rPr>
        <w:t>שלם</w:t>
      </w:r>
      <w:r w:rsidRPr="00400C0B">
        <w:rPr>
          <w:rFonts w:cs="Guttman Rashi"/>
          <w:rtl/>
          <w:lang w:bidi="he-IL"/>
        </w:rPr>
        <w:t xml:space="preserve"> </w:t>
      </w:r>
      <w:r w:rsidRPr="00400C0B">
        <w:rPr>
          <w:rFonts w:cs="Guttman Rashi" w:hint="eastAsia"/>
          <w:rtl/>
          <w:lang w:bidi="he-IL"/>
        </w:rPr>
        <w:t>וכדמבואר</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מכות</w:t>
      </w:r>
      <w:r w:rsidRPr="00400C0B">
        <w:rPr>
          <w:rFonts w:cs="Guttman Rashi"/>
          <w:rtl/>
          <w:lang w:bidi="he-IL"/>
        </w:rPr>
        <w:t xml:space="preserve"> </w:t>
      </w:r>
      <w:r w:rsidRPr="00400C0B">
        <w:rPr>
          <w:rFonts w:cs="Guttman Rashi" w:hint="eastAsia"/>
          <w:rtl/>
          <w:lang w:bidi="he-IL"/>
        </w:rPr>
        <w:t>דף</w:t>
      </w:r>
      <w:r w:rsidRPr="00400C0B">
        <w:rPr>
          <w:rFonts w:cs="Guttman Rashi"/>
          <w:rtl/>
          <w:lang w:bidi="he-IL"/>
        </w:rPr>
        <w:t xml:space="preserve"> </w:t>
      </w:r>
      <w:r w:rsidRPr="00400C0B">
        <w:rPr>
          <w:rFonts w:cs="Guttman Rashi" w:hint="eastAsia"/>
          <w:rtl/>
          <w:lang w:bidi="he-IL"/>
        </w:rPr>
        <w:t>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זהו</w:t>
      </w:r>
      <w:r w:rsidRPr="00400C0B">
        <w:rPr>
          <w:rFonts w:cs="Guttman Rashi"/>
          <w:rtl/>
          <w:lang w:bidi="he-IL"/>
        </w:rPr>
        <w:t xml:space="preserve"> </w:t>
      </w:r>
      <w:r w:rsidRPr="00400C0B">
        <w:rPr>
          <w:rFonts w:cs="Guttman Rashi" w:hint="eastAsia"/>
          <w:rtl/>
          <w:lang w:bidi="he-IL"/>
        </w:rPr>
        <w:t>בכלל</w:t>
      </w:r>
      <w:r w:rsidRPr="00400C0B">
        <w:rPr>
          <w:rFonts w:cs="Guttman Rashi"/>
          <w:rtl/>
          <w:lang w:bidi="he-IL"/>
        </w:rPr>
        <w:t xml:space="preserve"> </w:t>
      </w:r>
      <w:r w:rsidRPr="00400C0B">
        <w:rPr>
          <w:rFonts w:cs="Guttman Rashi" w:hint="eastAsia"/>
          <w:rtl/>
          <w:lang w:bidi="he-IL"/>
        </w:rPr>
        <w:t>שצריכים</w:t>
      </w:r>
      <w:r w:rsidRPr="00400C0B">
        <w:rPr>
          <w:rFonts w:cs="Guttman Rashi"/>
          <w:rtl/>
          <w:lang w:bidi="he-IL"/>
        </w:rPr>
        <w:t xml:space="preserve"> </w:t>
      </w:r>
      <w:r w:rsidRPr="00400C0B">
        <w:rPr>
          <w:rFonts w:cs="Guttman Rashi" w:hint="eastAsia"/>
          <w:rtl/>
          <w:lang w:bidi="he-IL"/>
        </w:rPr>
        <w:t>החפץ</w:t>
      </w:r>
      <w:r w:rsidRPr="00400C0B">
        <w:rPr>
          <w:rFonts w:cs="Guttman Rashi"/>
          <w:rtl/>
          <w:lang w:bidi="he-IL"/>
        </w:rPr>
        <w:t xml:space="preserve"> </w:t>
      </w:r>
      <w:r w:rsidRPr="00400C0B">
        <w:rPr>
          <w:rFonts w:cs="Guttman Rashi" w:hint="eastAsia"/>
          <w:rtl/>
          <w:lang w:bidi="he-IL"/>
        </w:rPr>
        <w:t>שאסרה</w:t>
      </w:r>
      <w:r w:rsidRPr="00400C0B">
        <w:rPr>
          <w:rFonts w:cs="Guttman Rashi"/>
          <w:rtl/>
          <w:lang w:bidi="he-IL"/>
        </w:rPr>
        <w:t xml:space="preserve"> </w:t>
      </w:r>
      <w:r w:rsidRPr="00400C0B">
        <w:rPr>
          <w:rFonts w:cs="Guttman Rashi" w:hint="eastAsia"/>
          <w:rtl/>
          <w:lang w:bidi="he-IL"/>
        </w:rPr>
        <w:t>תורה</w:t>
      </w:r>
      <w:r w:rsidRPr="00400C0B">
        <w:rPr>
          <w:rFonts w:cs="Guttman Rashi"/>
          <w:rtl/>
          <w:lang w:bidi="he-IL"/>
        </w:rPr>
        <w:t xml:space="preserve">, </w:t>
      </w:r>
      <w:r w:rsidRPr="00400C0B">
        <w:rPr>
          <w:rFonts w:cs="Guttman Rashi" w:hint="eastAsia"/>
          <w:rtl/>
          <w:lang w:bidi="he-IL"/>
        </w:rPr>
        <w:t>ור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דכל</w:t>
      </w:r>
      <w:r w:rsidRPr="00400C0B">
        <w:rPr>
          <w:rFonts w:cs="Guttman Rashi"/>
          <w:rtl/>
          <w:lang w:bidi="he-IL"/>
        </w:rPr>
        <w:t xml:space="preserve"> </w:t>
      </w:r>
      <w:r w:rsidRPr="00400C0B">
        <w:rPr>
          <w:rFonts w:cs="Guttman Rashi" w:hint="eastAsia"/>
          <w:rtl/>
          <w:lang w:bidi="he-IL"/>
        </w:rPr>
        <w:t>זמן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שלם</w:t>
      </w:r>
      <w:r w:rsidRPr="00400C0B">
        <w:rPr>
          <w:rFonts w:cs="Guttman Rashi"/>
          <w:rtl/>
          <w:lang w:bidi="he-IL"/>
        </w:rPr>
        <w:t xml:space="preserve"> </w:t>
      </w:r>
      <w:r w:rsidRPr="00400C0B">
        <w:rPr>
          <w:rFonts w:cs="Guttman Rashi" w:hint="eastAsia"/>
          <w:rtl/>
          <w:lang w:bidi="he-IL"/>
        </w:rPr>
        <w:t>זהו</w:t>
      </w:r>
      <w:r w:rsidRPr="00400C0B">
        <w:rPr>
          <w:rFonts w:cs="Guttman Rashi"/>
          <w:rtl/>
          <w:lang w:bidi="he-IL"/>
        </w:rPr>
        <w:t xml:space="preserve"> </w:t>
      </w:r>
      <w:r w:rsidRPr="00400C0B">
        <w:rPr>
          <w:rFonts w:cs="Guttman Rashi" w:hint="eastAsia"/>
          <w:rtl/>
          <w:lang w:bidi="he-IL"/>
        </w:rPr>
        <w:t>החפץ</w:t>
      </w:r>
      <w:r w:rsidRPr="00400C0B">
        <w:rPr>
          <w:rFonts w:cs="Guttman Rashi"/>
          <w:rtl/>
          <w:lang w:bidi="he-IL"/>
        </w:rPr>
        <w:t xml:space="preserve"> </w:t>
      </w:r>
      <w:r w:rsidRPr="00400C0B">
        <w:rPr>
          <w:rFonts w:cs="Guttman Rashi" w:hint="eastAsia"/>
          <w:rtl/>
          <w:lang w:bidi="he-IL"/>
        </w:rPr>
        <w:t>שאסרה</w:t>
      </w:r>
      <w:r w:rsidRPr="00400C0B">
        <w:rPr>
          <w:rFonts w:cs="Guttman Rashi"/>
          <w:rtl/>
          <w:lang w:bidi="he-IL"/>
        </w:rPr>
        <w:t xml:space="preserve"> </w:t>
      </w:r>
      <w:r w:rsidRPr="00400C0B">
        <w:rPr>
          <w:rFonts w:cs="Guttman Rashi" w:hint="eastAsia"/>
          <w:rtl/>
          <w:lang w:bidi="he-IL"/>
        </w:rPr>
        <w:t>תורה</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מחולק</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צירוף</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החלקים</w:t>
      </w:r>
      <w:r w:rsidRPr="00400C0B">
        <w:rPr>
          <w:rFonts w:cs="Guttman Rashi"/>
          <w:rtl/>
          <w:lang w:bidi="he-IL"/>
        </w:rPr>
        <w:t xml:space="preserve"> </w:t>
      </w:r>
      <w:r w:rsidRPr="00400C0B">
        <w:rPr>
          <w:rFonts w:cs="Guttman Rashi" w:hint="eastAsia"/>
          <w:rtl/>
          <w:lang w:bidi="he-IL"/>
        </w:rPr>
        <w:t>יאכל</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החפץ</w:t>
      </w:r>
      <w:r w:rsidRPr="00400C0B">
        <w:rPr>
          <w:rFonts w:cs="Guttman Rashi"/>
          <w:rtl/>
          <w:lang w:bidi="he-IL"/>
        </w:rPr>
        <w:t xml:space="preserve"> </w:t>
      </w:r>
      <w:r w:rsidRPr="00400C0B">
        <w:rPr>
          <w:rFonts w:cs="Guttman Rashi" w:hint="eastAsia"/>
          <w:rtl/>
          <w:lang w:bidi="he-IL"/>
        </w:rPr>
        <w:t>שאסרה</w:t>
      </w:r>
      <w:r w:rsidRPr="00400C0B">
        <w:rPr>
          <w:rFonts w:cs="Guttman Rashi"/>
          <w:rtl/>
          <w:lang w:bidi="he-IL"/>
        </w:rPr>
        <w:t xml:space="preserve"> </w:t>
      </w:r>
      <w:r w:rsidRPr="00400C0B">
        <w:rPr>
          <w:rFonts w:cs="Guttman Rashi" w:hint="eastAsia"/>
          <w:rtl/>
          <w:lang w:bidi="he-IL"/>
        </w:rPr>
        <w:t>תורה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חפץ</w:t>
      </w:r>
      <w:r w:rsidRPr="00400C0B">
        <w:rPr>
          <w:rFonts w:cs="Guttman Rashi"/>
          <w:rtl/>
          <w:lang w:bidi="he-IL"/>
        </w:rPr>
        <w:t xml:space="preserve"> </w:t>
      </w:r>
      <w:r w:rsidRPr="00400C0B">
        <w:rPr>
          <w:rFonts w:cs="Guttman Rashi" w:hint="eastAsia"/>
          <w:rtl/>
          <w:lang w:bidi="he-IL"/>
        </w:rPr>
        <w:t>יחיד</w:t>
      </w:r>
      <w:r w:rsidRPr="00400C0B">
        <w:rPr>
          <w:rFonts w:cs="Guttman Rashi"/>
          <w:rtl/>
          <w:lang w:bidi="he-IL"/>
        </w:rPr>
        <w:t xml:space="preserve"> </w:t>
      </w:r>
      <w:r w:rsidRPr="00400C0B">
        <w:rPr>
          <w:rFonts w:cs="Guttman Rashi" w:hint="eastAsia"/>
          <w:rtl/>
          <w:lang w:bidi="he-IL"/>
        </w:rPr>
        <w:t>שאסרה</w:t>
      </w:r>
      <w:r w:rsidRPr="00400C0B">
        <w:rPr>
          <w:rFonts w:cs="Guttman Rashi"/>
          <w:rtl/>
          <w:lang w:bidi="he-IL"/>
        </w:rPr>
        <w:t xml:space="preserve"> </w:t>
      </w:r>
      <w:r w:rsidRPr="00400C0B">
        <w:rPr>
          <w:rFonts w:cs="Guttman Rashi" w:hint="eastAsia"/>
          <w:rtl/>
          <w:lang w:bidi="he-IL"/>
        </w:rPr>
        <w:t>תורה</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ברי</w:t>
      </w:r>
      <w:r w:rsidRPr="00400C0B">
        <w:rPr>
          <w:rFonts w:cs="Guttman Rashi"/>
          <w:rtl/>
          <w:lang w:bidi="he-IL"/>
        </w:rPr>
        <w:t xml:space="preserve">'. </w:t>
      </w:r>
    </w:p>
  </w:footnote>
  <w:footnote w:id="7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NOTEREF</w:instrText>
      </w:r>
      <w:r w:rsidRPr="00400C0B">
        <w:rPr>
          <w:rFonts w:cs="Guttman Rashi"/>
          <w:rtl/>
          <w:lang w:bidi="he-IL"/>
        </w:rPr>
        <w:instrText xml:space="preserve"> _</w:instrText>
      </w:r>
      <w:r w:rsidRPr="00400C0B">
        <w:rPr>
          <w:rFonts w:cs="Guttman Rashi"/>
          <w:lang w:bidi="he-IL"/>
        </w:rPr>
        <w:instrText>Ref443995581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143</w:t>
      </w:r>
      <w:r w:rsidRPr="00400C0B">
        <w:rPr>
          <w:rFonts w:cs="Guttman Rashi"/>
          <w:rtl/>
          <w:lang w:bidi="he-IL"/>
        </w:rPr>
        <w:fldChar w:fldCharType="end"/>
      </w:r>
      <w:r w:rsidRPr="00400C0B">
        <w:rPr>
          <w:rFonts w:cs="Guttman Rashi"/>
          <w:rtl/>
          <w:lang w:bidi="he-IL"/>
        </w:rPr>
        <w:t>.</w:t>
      </w:r>
    </w:p>
  </w:footnote>
  <w:footnote w:id="7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בקובץ</w:t>
      </w:r>
      <w:r w:rsidRPr="00400C0B">
        <w:rPr>
          <w:rFonts w:cs="Guttman Rashi"/>
          <w:rtl/>
          <w:lang w:bidi="he-IL"/>
        </w:rPr>
        <w:t xml:space="preserve"> </w:t>
      </w:r>
      <w:r w:rsidRPr="00400C0B">
        <w:rPr>
          <w:rFonts w:cs="Guttman Rashi" w:hint="eastAsia"/>
          <w:rtl/>
          <w:lang w:bidi="he-IL"/>
        </w:rPr>
        <w:t>הערות</w:t>
      </w:r>
      <w:r w:rsidRPr="00400C0B">
        <w:rPr>
          <w:rFonts w:cs="Guttman Rashi"/>
          <w:rtl/>
          <w:lang w:bidi="he-IL"/>
        </w:rPr>
        <w:t xml:space="preserve"> </w:t>
      </w:r>
      <w:r w:rsidRPr="00400C0B">
        <w:rPr>
          <w:rFonts w:cs="Guttman Rashi" w:hint="eastAsia"/>
          <w:rtl/>
          <w:lang w:bidi="he-IL"/>
        </w:rPr>
        <w:t>ומראי</w:t>
      </w:r>
      <w:r w:rsidRPr="00400C0B">
        <w:rPr>
          <w:rFonts w:cs="Guttman Rashi"/>
          <w:rtl/>
          <w:lang w:bidi="he-IL"/>
        </w:rPr>
        <w:t xml:space="preserve"> </w:t>
      </w:r>
      <w:r w:rsidRPr="00400C0B">
        <w:rPr>
          <w:rFonts w:cs="Guttman Rashi" w:hint="eastAsia"/>
          <w:rtl/>
          <w:lang w:bidi="he-IL"/>
        </w:rPr>
        <w:t>מקומות</w:t>
      </w:r>
      <w:r w:rsidRPr="00400C0B">
        <w:rPr>
          <w:rFonts w:cs="Guttman Rashi"/>
          <w:rtl/>
          <w:lang w:bidi="he-IL"/>
        </w:rPr>
        <w:t xml:space="preserve"> (</w:t>
      </w:r>
      <w:r w:rsidRPr="00400C0B">
        <w:rPr>
          <w:rFonts w:cs="Guttman Rashi" w:hint="eastAsia"/>
          <w:rtl/>
          <w:lang w:bidi="he-IL"/>
        </w:rPr>
        <w:t>מכולל</w:t>
      </w:r>
      <w:r w:rsidRPr="00400C0B">
        <w:rPr>
          <w:rFonts w:cs="Guttman Rashi"/>
          <w:rtl/>
          <w:lang w:bidi="he-IL"/>
        </w:rPr>
        <w:t xml:space="preserve"> </w:t>
      </w:r>
      <w:r w:rsidRPr="00400C0B">
        <w:rPr>
          <w:rFonts w:cs="Guttman Rashi" w:hint="eastAsia"/>
          <w:rtl/>
          <w:lang w:bidi="he-IL"/>
        </w:rPr>
        <w:t>חזו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פרק</w:t>
      </w:r>
      <w:r w:rsidRPr="00400C0B">
        <w:rPr>
          <w:rFonts w:cs="Guttman Rashi"/>
          <w:rtl/>
          <w:lang w:bidi="he-IL"/>
        </w:rPr>
        <w:t xml:space="preserve"> </w:t>
      </w:r>
      <w:r w:rsidRPr="00400C0B">
        <w:rPr>
          <w:rFonts w:cs="Guttman Rashi" w:hint="eastAsia"/>
          <w:rtl/>
          <w:lang w:bidi="he-IL"/>
        </w:rPr>
        <w:t>גיד</w:t>
      </w:r>
      <w:r w:rsidRPr="00400C0B">
        <w:rPr>
          <w:rFonts w:cs="Guttman Rashi"/>
          <w:rtl/>
          <w:lang w:bidi="he-IL"/>
        </w:rPr>
        <w:t xml:space="preserve"> </w:t>
      </w:r>
      <w:r w:rsidRPr="00400C0B">
        <w:rPr>
          <w:rFonts w:cs="Guttman Rashi" w:hint="eastAsia"/>
          <w:rtl/>
          <w:lang w:bidi="he-IL"/>
        </w:rPr>
        <w:t>הנשה</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שדן</w:t>
      </w:r>
      <w:r w:rsidRPr="00400C0B">
        <w:rPr>
          <w:rFonts w:cs="Guttman Rashi"/>
          <w:rtl/>
          <w:lang w:bidi="he-IL"/>
        </w:rPr>
        <w:t xml:space="preserve"> </w:t>
      </w:r>
      <w:r w:rsidRPr="00400C0B">
        <w:rPr>
          <w:rFonts w:cs="Guttman Rashi" w:hint="eastAsia"/>
          <w:rtl/>
          <w:lang w:bidi="he-IL"/>
        </w:rPr>
        <w:t>שבהשואת</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ברי</w:t>
      </w:r>
      <w:r w:rsidRPr="00400C0B">
        <w:rPr>
          <w:rFonts w:cs="Guttman Rashi"/>
          <w:rtl/>
          <w:lang w:bidi="he-IL"/>
        </w:rPr>
        <w:t xml:space="preserve">' </w:t>
      </w:r>
      <w:r w:rsidRPr="00400C0B">
        <w:rPr>
          <w:rFonts w:cs="Guttman Rashi" w:hint="eastAsia"/>
          <w:rtl/>
          <w:lang w:bidi="he-IL"/>
        </w:rPr>
        <w:t>לברכת</w:t>
      </w:r>
      <w:r w:rsidRPr="00400C0B">
        <w:rPr>
          <w:rFonts w:cs="Guttman Rashi"/>
          <w:rtl/>
          <w:lang w:bidi="he-IL"/>
        </w:rPr>
        <w:t xml:space="preserve"> </w:t>
      </w:r>
      <w:r w:rsidRPr="00400C0B">
        <w:rPr>
          <w:rFonts w:cs="Guttman Rashi" w:hint="eastAsia"/>
          <w:rtl/>
          <w:lang w:bidi="he-IL"/>
        </w:rPr>
        <w:t>הנהנין</w:t>
      </w:r>
      <w:r w:rsidRPr="00400C0B">
        <w:rPr>
          <w:rFonts w:cs="Guttman Rashi"/>
          <w:rtl/>
          <w:lang w:bidi="he-IL"/>
        </w:rPr>
        <w:t xml:space="preserve"> </w:t>
      </w:r>
      <w:r w:rsidRPr="00400C0B">
        <w:rPr>
          <w:rFonts w:cs="Guttman Rashi" w:hint="eastAsia"/>
          <w:rtl/>
          <w:lang w:bidi="he-IL"/>
        </w:rPr>
        <w:t>ומלקות</w:t>
      </w:r>
      <w:r w:rsidRPr="00400C0B">
        <w:rPr>
          <w:rFonts w:cs="Guttman Rashi"/>
          <w:rtl/>
          <w:lang w:bidi="he-IL"/>
        </w:rPr>
        <w:t xml:space="preserve"> </w:t>
      </w:r>
      <w:r w:rsidRPr="00400C0B">
        <w:rPr>
          <w:rFonts w:cs="Guttman Rashi" w:hint="eastAsia"/>
          <w:rtl/>
          <w:lang w:bidi="he-IL"/>
        </w:rPr>
        <w:t>וביטול</w:t>
      </w:r>
      <w:r w:rsidRPr="00400C0B">
        <w:rPr>
          <w:rFonts w:cs="Guttman Rashi"/>
          <w:rtl/>
          <w:lang w:bidi="he-IL"/>
        </w:rPr>
        <w:t xml:space="preserve"> (</w:t>
      </w:r>
      <w:r w:rsidRPr="00400C0B">
        <w:rPr>
          <w:rFonts w:cs="Guttman Rashi" w:hint="eastAsia"/>
          <w:rtl/>
          <w:lang w:bidi="he-IL"/>
        </w:rPr>
        <w:t>והוסיף</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שמשוה</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יד</w:t>
      </w:r>
      <w:r w:rsidRPr="00400C0B">
        <w:rPr>
          <w:rFonts w:cs="Guttman Rashi"/>
          <w:rtl/>
          <w:lang w:bidi="he-IL"/>
        </w:rPr>
        <w:t xml:space="preserve"> </w:t>
      </w:r>
      <w:r w:rsidRPr="00400C0B">
        <w:rPr>
          <w:rFonts w:cs="Guttman Rashi" w:hint="eastAsia"/>
          <w:rtl/>
          <w:lang w:bidi="he-IL"/>
        </w:rPr>
        <w:t>ושומר</w:t>
      </w:r>
      <w:r w:rsidRPr="00400C0B">
        <w:rPr>
          <w:rFonts w:cs="Guttman Rashi"/>
          <w:rtl/>
          <w:lang w:bidi="he-IL"/>
        </w:rPr>
        <w:t xml:space="preserve"> </w:t>
      </w:r>
      <w:r w:rsidRPr="00400C0B">
        <w:rPr>
          <w:rFonts w:cs="Guttman Rashi" w:hint="eastAsia"/>
          <w:rtl/>
          <w:lang w:bidi="he-IL"/>
        </w:rPr>
        <w:t>לטומאה</w:t>
      </w:r>
      <w:r w:rsidRPr="00400C0B">
        <w:rPr>
          <w:rFonts w:cs="Guttman Rashi"/>
          <w:rtl/>
          <w:lang w:bidi="he-IL"/>
        </w:rPr>
        <w:t xml:space="preserve"> –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קי</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שהוכיח</w:t>
      </w:r>
      <w:r w:rsidRPr="00400C0B">
        <w:rPr>
          <w:rFonts w:cs="Guttman Rashi"/>
          <w:rtl/>
          <w:lang w:bidi="he-IL"/>
        </w:rPr>
        <w:t xml:space="preserve"> </w:t>
      </w:r>
      <w:r w:rsidRPr="00400C0B">
        <w:rPr>
          <w:rFonts w:cs="Guttman Rashi" w:hint="eastAsia"/>
          <w:rtl/>
          <w:lang w:bidi="he-IL"/>
        </w:rPr>
        <w:t>מדיני</w:t>
      </w:r>
      <w:r w:rsidRPr="00400C0B">
        <w:rPr>
          <w:rFonts w:cs="Guttman Rashi"/>
          <w:rtl/>
          <w:lang w:bidi="he-IL"/>
        </w:rPr>
        <w:t xml:space="preserve"> </w:t>
      </w:r>
      <w:r w:rsidRPr="00400C0B">
        <w:rPr>
          <w:rFonts w:cs="Guttman Rashi" w:hint="eastAsia"/>
          <w:rtl/>
          <w:lang w:bidi="he-IL"/>
        </w:rPr>
        <w:t>ברי</w:t>
      </w:r>
      <w:r w:rsidRPr="00400C0B">
        <w:rPr>
          <w:rFonts w:cs="Guttman Rashi"/>
          <w:rtl/>
          <w:lang w:bidi="he-IL"/>
        </w:rPr>
        <w:t xml:space="preserve">' </w:t>
      </w:r>
      <w:r w:rsidRPr="00400C0B">
        <w:rPr>
          <w:rFonts w:cs="Guttman Rashi" w:hint="eastAsia"/>
          <w:rtl/>
          <w:lang w:bidi="he-IL"/>
        </w:rPr>
        <w:t>לגבי</w:t>
      </w:r>
      <w:r w:rsidRPr="00400C0B">
        <w:rPr>
          <w:rFonts w:cs="Guttman Rashi"/>
          <w:rtl/>
          <w:lang w:bidi="he-IL"/>
        </w:rPr>
        <w:t xml:space="preserve"> </w:t>
      </w:r>
      <w:r w:rsidRPr="00400C0B">
        <w:rPr>
          <w:rFonts w:cs="Guttman Rashi" w:hint="eastAsia"/>
          <w:rtl/>
          <w:lang w:bidi="he-IL"/>
        </w:rPr>
        <w:t>ברכת</w:t>
      </w:r>
      <w:r w:rsidRPr="00400C0B">
        <w:rPr>
          <w:rFonts w:cs="Guttman Rashi"/>
          <w:rtl/>
          <w:lang w:bidi="he-IL"/>
        </w:rPr>
        <w:t xml:space="preserve"> </w:t>
      </w:r>
      <w:r w:rsidRPr="00400C0B">
        <w:rPr>
          <w:rFonts w:cs="Guttman Rashi" w:hint="eastAsia"/>
          <w:rtl/>
          <w:lang w:bidi="he-IL"/>
        </w:rPr>
        <w:t>הנהנין</w:t>
      </w:r>
      <w:r w:rsidRPr="00400C0B">
        <w:rPr>
          <w:rFonts w:cs="Guttman Rashi"/>
          <w:rtl/>
          <w:lang w:bidi="he-IL"/>
        </w:rPr>
        <w:t xml:space="preserve"> </w:t>
      </w:r>
      <w:r w:rsidRPr="00400C0B">
        <w:rPr>
          <w:rFonts w:cs="Guttman Rashi" w:hint="eastAsia"/>
          <w:rtl/>
          <w:lang w:bidi="he-IL"/>
        </w:rPr>
        <w:t>לדיני</w:t>
      </w:r>
      <w:r w:rsidRPr="00400C0B">
        <w:rPr>
          <w:rFonts w:cs="Guttman Rashi"/>
          <w:rtl/>
          <w:lang w:bidi="he-IL"/>
        </w:rPr>
        <w:t xml:space="preserve"> </w:t>
      </w:r>
      <w:r w:rsidRPr="00400C0B">
        <w:rPr>
          <w:rFonts w:cs="Guttman Rashi" w:hint="eastAsia"/>
          <w:rtl/>
          <w:lang w:bidi="he-IL"/>
        </w:rPr>
        <w:t>ברי</w:t>
      </w:r>
      <w:r w:rsidRPr="00400C0B">
        <w:rPr>
          <w:rFonts w:cs="Guttman Rashi"/>
          <w:rtl/>
          <w:lang w:bidi="he-IL"/>
        </w:rPr>
        <w:t xml:space="preserve">' </w:t>
      </w:r>
      <w:r w:rsidRPr="00400C0B">
        <w:rPr>
          <w:rFonts w:cs="Guttman Rashi" w:hint="eastAsia"/>
          <w:rtl/>
          <w:lang w:bidi="he-IL"/>
        </w:rPr>
        <w:t>בהלכות</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לבאר</w:t>
      </w:r>
      <w:r w:rsidRPr="00400C0B">
        <w:rPr>
          <w:rFonts w:cs="Guttman Rashi"/>
          <w:rtl/>
          <w:lang w:bidi="he-IL"/>
        </w:rPr>
        <w:t xml:space="preserve"> </w:t>
      </w:r>
      <w:r w:rsidRPr="00400C0B">
        <w:rPr>
          <w:rFonts w:cs="Guttman Rashi" w:hint="eastAsia"/>
          <w:rtl/>
          <w:lang w:bidi="he-IL"/>
        </w:rPr>
        <w:t>דאע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שי</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ברי</w:t>
      </w:r>
      <w:r w:rsidRPr="00400C0B">
        <w:rPr>
          <w:rFonts w:cs="Guttman Rashi"/>
          <w:rtl/>
          <w:lang w:bidi="he-IL"/>
        </w:rPr>
        <w:t xml:space="preserve">' </w:t>
      </w:r>
      <w:r w:rsidRPr="00400C0B">
        <w:rPr>
          <w:rFonts w:cs="Guttman Rashi" w:hint="eastAsia"/>
          <w:rtl/>
          <w:lang w:bidi="he-IL"/>
        </w:rPr>
        <w:t>בברכת</w:t>
      </w:r>
      <w:r w:rsidRPr="00400C0B">
        <w:rPr>
          <w:rFonts w:cs="Guttman Rashi"/>
          <w:rtl/>
          <w:lang w:bidi="he-IL"/>
        </w:rPr>
        <w:t xml:space="preserve"> </w:t>
      </w:r>
      <w:r w:rsidRPr="00400C0B">
        <w:rPr>
          <w:rFonts w:cs="Guttman Rashi" w:hint="eastAsia"/>
          <w:rtl/>
          <w:lang w:bidi="he-IL"/>
        </w:rPr>
        <w:t>הנהנין</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שהבבלי</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דתלוי</w:t>
      </w:r>
      <w:r w:rsidRPr="00400C0B">
        <w:rPr>
          <w:rFonts w:cs="Guttman Rashi"/>
          <w:rtl/>
          <w:lang w:bidi="he-IL"/>
        </w:rPr>
        <w:t xml:space="preserve"> </w:t>
      </w:r>
      <w:r w:rsidRPr="00400C0B">
        <w:rPr>
          <w:rFonts w:cs="Guttman Rashi" w:hint="eastAsia"/>
          <w:rtl/>
          <w:lang w:bidi="he-IL"/>
        </w:rPr>
        <w:t>בהנאה</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במה</w:t>
      </w:r>
      <w:r w:rsidRPr="00400C0B">
        <w:rPr>
          <w:rFonts w:cs="Guttman Rashi"/>
          <w:rtl/>
          <w:lang w:bidi="he-IL"/>
        </w:rPr>
        <w:t xml:space="preserve"> </w:t>
      </w:r>
      <w:r w:rsidRPr="00400C0B">
        <w:rPr>
          <w:rFonts w:cs="Guttman Rashi" w:hint="eastAsia"/>
          <w:rtl/>
          <w:lang w:bidi="he-IL"/>
        </w:rPr>
        <w:t>שאכל</w:t>
      </w:r>
      <w:r w:rsidRPr="00400C0B">
        <w:rPr>
          <w:rFonts w:cs="Guttman Rashi"/>
          <w:rtl/>
          <w:lang w:bidi="he-IL"/>
        </w:rPr>
        <w:t xml:space="preserve"> </w:t>
      </w:r>
      <w:r w:rsidRPr="00400C0B">
        <w:rPr>
          <w:rFonts w:cs="Guttman Rashi" w:hint="eastAsia"/>
          <w:rtl/>
          <w:lang w:bidi="he-IL"/>
        </w:rPr>
        <w:t>חפץ</w:t>
      </w:r>
      <w:r w:rsidRPr="00400C0B">
        <w:rPr>
          <w:rFonts w:cs="Guttman Rashi"/>
          <w:rtl/>
          <w:lang w:bidi="he-IL"/>
        </w:rPr>
        <w:t xml:space="preserve"> </w:t>
      </w:r>
      <w:r w:rsidRPr="00400C0B">
        <w:rPr>
          <w:rFonts w:cs="Guttman Rashi" w:hint="eastAsia"/>
          <w:rtl/>
          <w:lang w:bidi="he-IL"/>
        </w:rPr>
        <w:t>מסוים</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לירו</w:t>
      </w:r>
      <w:r w:rsidRPr="00400C0B">
        <w:rPr>
          <w:rFonts w:cs="Guttman Rashi"/>
          <w:rtl/>
          <w:lang w:bidi="he-IL"/>
        </w:rPr>
        <w:t xml:space="preserve">' </w:t>
      </w:r>
      <w:r w:rsidRPr="00400C0B">
        <w:rPr>
          <w:rFonts w:cs="Guttman Rashi" w:hint="eastAsia"/>
          <w:rtl/>
          <w:lang w:bidi="he-IL"/>
        </w:rPr>
        <w:t>שסבר</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בברכת</w:t>
      </w:r>
      <w:r w:rsidRPr="00400C0B">
        <w:rPr>
          <w:rFonts w:cs="Guttman Rashi"/>
          <w:rtl/>
          <w:lang w:bidi="he-IL"/>
        </w:rPr>
        <w:t xml:space="preserve"> </w:t>
      </w:r>
      <w:r w:rsidRPr="00400C0B">
        <w:rPr>
          <w:rFonts w:cs="Guttman Rashi" w:hint="eastAsia"/>
          <w:rtl/>
          <w:lang w:bidi="he-IL"/>
        </w:rPr>
        <w:t>הנהנין</w:t>
      </w:r>
      <w:r w:rsidRPr="00400C0B">
        <w:rPr>
          <w:rFonts w:cs="Guttman Rashi"/>
          <w:rtl/>
          <w:lang w:bidi="he-IL"/>
        </w:rPr>
        <w:t xml:space="preserve"> </w:t>
      </w:r>
      <w:r w:rsidRPr="00400C0B">
        <w:rPr>
          <w:rFonts w:cs="Guttman Rashi" w:hint="eastAsia"/>
          <w:rtl/>
          <w:lang w:bidi="he-IL"/>
        </w:rPr>
        <w:t>דינם</w:t>
      </w:r>
      <w:r w:rsidRPr="00400C0B">
        <w:rPr>
          <w:rFonts w:cs="Guttman Rashi"/>
          <w:rtl/>
          <w:lang w:bidi="he-IL"/>
        </w:rPr>
        <w:t xml:space="preserve"> </w:t>
      </w:r>
      <w:r w:rsidRPr="00400C0B">
        <w:rPr>
          <w:rFonts w:cs="Guttman Rashi" w:hint="eastAsia"/>
          <w:rtl/>
          <w:lang w:bidi="he-IL"/>
        </w:rPr>
        <w:t>שוין</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פרטי</w:t>
      </w:r>
      <w:r w:rsidRPr="00400C0B">
        <w:rPr>
          <w:rFonts w:cs="Guttman Rashi"/>
          <w:rtl/>
          <w:lang w:bidi="he-IL"/>
        </w:rPr>
        <w:t xml:space="preserve"> </w:t>
      </w:r>
      <w:r w:rsidRPr="00400C0B">
        <w:rPr>
          <w:rFonts w:cs="Guttman Rashi" w:hint="eastAsia"/>
          <w:rtl/>
          <w:lang w:bidi="he-IL"/>
        </w:rPr>
        <w:t>דיניהם</w:t>
      </w:r>
      <w:r w:rsidRPr="00400C0B">
        <w:rPr>
          <w:rFonts w:cs="Guttman Rashi"/>
          <w:rtl/>
          <w:lang w:bidi="he-IL"/>
        </w:rPr>
        <w:t xml:space="preserve"> </w:t>
      </w:r>
      <w:r w:rsidRPr="00400C0B">
        <w:rPr>
          <w:rFonts w:cs="Guttman Rashi" w:hint="eastAsia"/>
          <w:rtl/>
          <w:lang w:bidi="he-IL"/>
        </w:rPr>
        <w:t>שוין</w:t>
      </w:r>
      <w:r w:rsidRPr="00400C0B">
        <w:rPr>
          <w:rFonts w:cs="Guttman Rashi"/>
          <w:rtl/>
          <w:lang w:bidi="he-IL"/>
        </w:rPr>
        <w:t xml:space="preserve">.   </w:t>
      </w:r>
    </w:p>
  </w:footnote>
  <w:footnote w:id="7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להעיר</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שבסוף</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שאע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שחלק</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הרב</w:t>
      </w:r>
      <w:r w:rsidRPr="00400C0B">
        <w:rPr>
          <w:rFonts w:cs="Guttman Rashi"/>
          <w:rtl/>
          <w:lang w:bidi="he-IL"/>
        </w:rPr>
        <w:t xml:space="preserve"> </w:t>
      </w:r>
      <w:r w:rsidRPr="00400C0B">
        <w:rPr>
          <w:rFonts w:cs="Guttman Rashi" w:hint="eastAsia"/>
          <w:rtl/>
          <w:lang w:bidi="he-IL"/>
        </w:rPr>
        <w:t>אב</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ברי</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לבאר</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שהצריכו</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בביצה</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רבינו</w:t>
      </w:r>
      <w:r w:rsidRPr="00400C0B">
        <w:rPr>
          <w:rFonts w:cs="Guttman Rashi"/>
          <w:rtl/>
          <w:lang w:bidi="he-IL"/>
        </w:rPr>
        <w:t xml:space="preserve"> </w:t>
      </w:r>
      <w:r w:rsidRPr="00400C0B">
        <w:rPr>
          <w:rFonts w:cs="Guttman Rashi" w:hint="eastAsia"/>
          <w:rtl/>
          <w:lang w:bidi="he-IL"/>
        </w:rPr>
        <w:t>הגדול</w:t>
      </w:r>
      <w:r w:rsidRPr="00400C0B">
        <w:rPr>
          <w:rFonts w:cs="Guttman Rashi"/>
          <w:rtl/>
          <w:lang w:bidi="he-IL"/>
        </w:rPr>
        <w:t xml:space="preserve"> </w:t>
      </w:r>
      <w:r w:rsidRPr="00400C0B">
        <w:rPr>
          <w:rFonts w:cs="Guttman Rashi" w:hint="eastAsia"/>
          <w:rtl/>
          <w:lang w:bidi="he-IL"/>
        </w:rPr>
        <w:t>ז</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להרב</w:t>
      </w:r>
      <w:r w:rsidRPr="00400C0B">
        <w:rPr>
          <w:rFonts w:cs="Guttman Rashi"/>
          <w:rtl/>
          <w:lang w:bidi="he-IL"/>
        </w:rPr>
        <w:t xml:space="preserve"> </w:t>
      </w:r>
      <w:r w:rsidRPr="00400C0B">
        <w:rPr>
          <w:rFonts w:cs="Guttman Rashi" w:hint="eastAsia"/>
          <w:rtl/>
          <w:lang w:bidi="he-IL"/>
        </w:rPr>
        <w:t>אב</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נודה</w:t>
      </w:r>
      <w:r w:rsidRPr="00400C0B">
        <w:rPr>
          <w:rFonts w:cs="Guttman Rashi"/>
          <w:rtl/>
          <w:lang w:bidi="he-IL"/>
        </w:rPr>
        <w:t xml:space="preserve"> </w:t>
      </w:r>
      <w:r w:rsidRPr="00400C0B">
        <w:rPr>
          <w:rFonts w:cs="Guttman Rashi" w:hint="eastAsia"/>
          <w:rtl/>
          <w:lang w:bidi="he-IL"/>
        </w:rPr>
        <w:t>שמפני</w:t>
      </w:r>
      <w:r w:rsidRPr="00400C0B">
        <w:rPr>
          <w:rFonts w:cs="Guttman Rashi"/>
          <w:rtl/>
          <w:lang w:bidi="he-IL"/>
        </w:rPr>
        <w:t xml:space="preserve"> </w:t>
      </w:r>
      <w:r w:rsidRPr="00400C0B">
        <w:rPr>
          <w:rFonts w:cs="Guttman Rashi" w:hint="eastAsia"/>
          <w:rtl/>
          <w:lang w:bidi="he-IL"/>
        </w:rPr>
        <w:t>חשיבותה</w:t>
      </w:r>
      <w:r w:rsidRPr="00400C0B">
        <w:rPr>
          <w:rFonts w:cs="Guttman Rashi"/>
          <w:rtl/>
          <w:lang w:bidi="he-IL"/>
        </w:rPr>
        <w:t xml:space="preserve"> </w:t>
      </w:r>
      <w:r w:rsidRPr="00400C0B">
        <w:rPr>
          <w:rFonts w:cs="Guttman Rashi" w:hint="eastAsia"/>
          <w:rtl/>
          <w:lang w:bidi="he-IL"/>
        </w:rPr>
        <w:t>עשו</w:t>
      </w:r>
      <w:r w:rsidRPr="00400C0B">
        <w:rPr>
          <w:rFonts w:cs="Guttman Rashi"/>
          <w:rtl/>
          <w:lang w:bidi="he-IL"/>
        </w:rPr>
        <w:t xml:space="preserve"> </w:t>
      </w:r>
      <w:r w:rsidRPr="00400C0B">
        <w:rPr>
          <w:rFonts w:cs="Guttman Rashi" w:hint="eastAsia"/>
          <w:rtl/>
          <w:lang w:bidi="he-IL"/>
        </w:rPr>
        <w:t>לה</w:t>
      </w:r>
      <w:r w:rsidRPr="00400C0B">
        <w:rPr>
          <w:rFonts w:cs="Guttman Rashi"/>
          <w:rtl/>
          <w:lang w:bidi="he-IL"/>
        </w:rPr>
        <w:t xml:space="preserve"> </w:t>
      </w:r>
      <w:r w:rsidRPr="00400C0B">
        <w:rPr>
          <w:rFonts w:cs="Guttman Rashi" w:hint="eastAsia"/>
          <w:rtl/>
          <w:lang w:bidi="he-IL"/>
        </w:rPr>
        <w:t>היכר</w:t>
      </w:r>
      <w:r w:rsidRPr="00400C0B">
        <w:rPr>
          <w:rFonts w:cs="Guttman Rashi"/>
          <w:rtl/>
          <w:lang w:bidi="he-IL"/>
        </w:rPr>
        <w:t xml:space="preserve">, </w:t>
      </w:r>
      <w:r w:rsidRPr="00400C0B">
        <w:rPr>
          <w:rFonts w:cs="Guttman Rashi" w:hint="eastAsia"/>
          <w:rtl/>
          <w:lang w:bidi="he-IL"/>
        </w:rPr>
        <w:t>אף</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פי</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עשו</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בגיד</w:t>
      </w:r>
      <w:r w:rsidRPr="00400C0B">
        <w:rPr>
          <w:rFonts w:cs="Guttman Rashi"/>
          <w:rtl/>
          <w:lang w:bidi="he-IL"/>
        </w:rPr>
        <w:t xml:space="preserve"> </w:t>
      </w:r>
      <w:r w:rsidRPr="00400C0B">
        <w:rPr>
          <w:rFonts w:cs="Guttman Rashi" w:hint="eastAsia"/>
          <w:rtl/>
          <w:lang w:bidi="he-IL"/>
        </w:rPr>
        <w:t>שהיא</w:t>
      </w:r>
      <w:r w:rsidRPr="00400C0B">
        <w:rPr>
          <w:rFonts w:cs="Guttman Rashi"/>
          <w:rtl/>
          <w:lang w:bidi="he-IL"/>
        </w:rPr>
        <w:t xml:space="preserve"> </w:t>
      </w:r>
      <w:r w:rsidRPr="00400C0B">
        <w:rPr>
          <w:rFonts w:cs="Guttman Rashi" w:hint="eastAsia"/>
          <w:rtl/>
          <w:lang w:bidi="he-IL"/>
        </w:rPr>
        <w:t>ברייה</w:t>
      </w:r>
      <w:r w:rsidRPr="00400C0B">
        <w:rPr>
          <w:rFonts w:cs="Guttman Rashi"/>
          <w:rtl/>
          <w:lang w:bidi="he-IL"/>
        </w:rPr>
        <w:t xml:space="preserve">, </w:t>
      </w:r>
      <w:r w:rsidRPr="00400C0B">
        <w:rPr>
          <w:rFonts w:cs="Guttman Rashi" w:hint="eastAsia"/>
          <w:rtl/>
          <w:lang w:bidi="he-IL"/>
        </w:rPr>
        <w:t>והוסיפו</w:t>
      </w:r>
      <w:r w:rsidRPr="00400C0B">
        <w:rPr>
          <w:rFonts w:cs="Guttman Rashi"/>
          <w:rtl/>
          <w:lang w:bidi="he-IL"/>
        </w:rPr>
        <w:t xml:space="preserve"> </w:t>
      </w:r>
      <w:r w:rsidRPr="00400C0B">
        <w:rPr>
          <w:rFonts w:cs="Guttman Rashi" w:hint="eastAsia"/>
          <w:rtl/>
          <w:lang w:bidi="he-IL"/>
        </w:rPr>
        <w:t>אחת</w:t>
      </w:r>
      <w:r w:rsidRPr="00400C0B">
        <w:rPr>
          <w:rFonts w:cs="Guttman Rashi"/>
          <w:rtl/>
          <w:lang w:bidi="he-IL"/>
        </w:rPr>
        <w:t xml:space="preserve"> </w:t>
      </w:r>
      <w:r w:rsidRPr="00400C0B">
        <w:rPr>
          <w:rFonts w:cs="Guttman Rashi" w:hint="eastAsia"/>
          <w:rtl/>
          <w:lang w:bidi="he-IL"/>
        </w:rPr>
        <w:t>בשיעורא</w:t>
      </w:r>
      <w:r w:rsidRPr="00400C0B">
        <w:rPr>
          <w:rFonts w:cs="Guttman Rashi"/>
          <w:rtl/>
          <w:lang w:bidi="he-IL"/>
        </w:rPr>
        <w:t xml:space="preserve"> </w:t>
      </w:r>
      <w:r w:rsidRPr="00400C0B">
        <w:rPr>
          <w:rFonts w:cs="Guttman Rashi" w:hint="eastAsia"/>
          <w:rtl/>
          <w:lang w:bidi="he-IL"/>
        </w:rPr>
        <w:t>לרוטב</w:t>
      </w:r>
      <w:r w:rsidRPr="00400C0B">
        <w:rPr>
          <w:rFonts w:cs="Guttman Rashi"/>
          <w:rtl/>
          <w:lang w:bidi="he-IL"/>
        </w:rPr>
        <w:t xml:space="preserve">". </w:t>
      </w:r>
      <w:r w:rsidRPr="00400C0B">
        <w:rPr>
          <w:rFonts w:cs="Guttman Rashi" w:hint="eastAsia"/>
          <w:rtl/>
          <w:lang w:bidi="he-IL"/>
        </w:rPr>
        <w:t>ומלשון</w:t>
      </w:r>
      <w:r w:rsidRPr="00400C0B">
        <w:rPr>
          <w:rFonts w:cs="Guttman Rashi"/>
          <w:rtl/>
          <w:lang w:bidi="he-IL"/>
        </w:rPr>
        <w:t xml:space="preserve"> </w:t>
      </w:r>
      <w:r w:rsidRPr="00400C0B">
        <w:rPr>
          <w:rFonts w:cs="Guttman Rashi" w:hint="eastAsia"/>
          <w:rtl/>
          <w:lang w:bidi="he-IL"/>
        </w:rPr>
        <w:t>נודה</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שהרמב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מודה</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שחלק</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עיקר</w:t>
      </w:r>
      <w:r w:rsidRPr="00400C0B">
        <w:rPr>
          <w:rFonts w:cs="Guttman Rashi"/>
          <w:rtl/>
          <w:lang w:bidi="he-IL"/>
        </w:rPr>
        <w:t xml:space="preserve"> </w:t>
      </w:r>
      <w:r w:rsidRPr="00400C0B">
        <w:rPr>
          <w:rFonts w:cs="Guttman Rashi" w:hint="eastAsia"/>
          <w:rtl/>
          <w:lang w:bidi="he-IL"/>
        </w:rPr>
        <w:t>השיטה</w:t>
      </w:r>
      <w:r w:rsidRPr="00400C0B">
        <w:rPr>
          <w:rFonts w:cs="Guttman Rashi"/>
          <w:rtl/>
          <w:lang w:bidi="he-IL"/>
        </w:rPr>
        <w:t xml:space="preserve"> </w:t>
      </w:r>
      <w:r w:rsidRPr="00400C0B">
        <w:rPr>
          <w:rFonts w:cs="Guttman Rashi" w:hint="eastAsia"/>
          <w:rtl/>
          <w:lang w:bidi="he-IL"/>
        </w:rPr>
        <w:t>דביצה</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ברי</w:t>
      </w:r>
      <w:r w:rsidRPr="00400C0B">
        <w:rPr>
          <w:rFonts w:cs="Guttman Rashi"/>
          <w:rtl/>
          <w:lang w:bidi="he-IL"/>
        </w:rPr>
        <w:t xml:space="preserve">'. </w:t>
      </w:r>
      <w:r w:rsidRPr="00400C0B">
        <w:rPr>
          <w:rFonts w:cs="Guttman Rashi" w:hint="eastAsia"/>
          <w:rtl/>
          <w:lang w:bidi="he-IL"/>
        </w:rPr>
        <w:t>והיינו</w:t>
      </w:r>
      <w:r w:rsidRPr="00400C0B">
        <w:rPr>
          <w:rFonts w:cs="Guttman Rashi"/>
          <w:rtl/>
          <w:lang w:bidi="he-IL"/>
        </w:rPr>
        <w:t xml:space="preserve"> </w:t>
      </w:r>
      <w:r w:rsidRPr="00400C0B">
        <w:rPr>
          <w:rFonts w:cs="Guttman Rashi" w:hint="eastAsia"/>
          <w:rtl/>
          <w:lang w:bidi="he-IL"/>
        </w:rPr>
        <w:t>שאמנם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ברי</w:t>
      </w:r>
      <w:r w:rsidRPr="00400C0B">
        <w:rPr>
          <w:rFonts w:cs="Guttman Rashi"/>
          <w:rtl/>
          <w:lang w:bidi="he-IL"/>
        </w:rPr>
        <w:t xml:space="preserve">' </w:t>
      </w:r>
      <w:r w:rsidRPr="00400C0B">
        <w:rPr>
          <w:rFonts w:cs="Guttman Rashi" w:hint="eastAsia"/>
          <w:rtl/>
          <w:lang w:bidi="he-IL"/>
        </w:rPr>
        <w:t>להתחייב</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בפחות</w:t>
      </w:r>
      <w:r w:rsidRPr="00400C0B">
        <w:rPr>
          <w:rFonts w:cs="Guttman Rashi"/>
          <w:rtl/>
          <w:lang w:bidi="he-IL"/>
        </w:rPr>
        <w:t xml:space="preserve"> </w:t>
      </w:r>
      <w:r w:rsidRPr="00400C0B">
        <w:rPr>
          <w:rFonts w:cs="Guttman Rashi" w:hint="eastAsia"/>
          <w:rtl/>
          <w:lang w:bidi="he-IL"/>
        </w:rPr>
        <w:t>מכזית</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למנוע</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חשיבות</w:t>
      </w:r>
      <w:r w:rsidRPr="00400C0B">
        <w:rPr>
          <w:rFonts w:cs="Guttman Rashi"/>
          <w:rtl/>
          <w:lang w:bidi="he-IL"/>
        </w:rPr>
        <w:t xml:space="preserve">' </w:t>
      </w:r>
      <w:r w:rsidRPr="00400C0B">
        <w:rPr>
          <w:rFonts w:cs="Guttman Rashi" w:hint="eastAsia"/>
          <w:rtl/>
          <w:lang w:bidi="he-IL"/>
        </w:rPr>
        <w:t>ברי</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וזה</w:t>
      </w:r>
      <w:r w:rsidRPr="00400C0B">
        <w:rPr>
          <w:rFonts w:cs="Guttman Rashi"/>
          <w:rtl/>
          <w:lang w:bidi="he-IL"/>
        </w:rPr>
        <w:t xml:space="preserve"> </w:t>
      </w:r>
      <w:r w:rsidRPr="00400C0B">
        <w:rPr>
          <w:rFonts w:cs="Guttman Rashi" w:hint="eastAsia"/>
          <w:rtl/>
          <w:lang w:bidi="he-IL"/>
        </w:rPr>
        <w:t>מצדיק</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גדול</w:t>
      </w:r>
      <w:r w:rsidRPr="00400C0B">
        <w:rPr>
          <w:rFonts w:cs="Guttman Rashi"/>
          <w:rtl/>
          <w:lang w:bidi="he-IL"/>
        </w:rPr>
        <w:t xml:space="preserve">. </w:t>
      </w:r>
    </w:p>
  </w:footnote>
  <w:footnote w:id="7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ג</w:t>
      </w:r>
    </w:p>
  </w:footnote>
  <w:footnote w:id="7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מספיק</w:t>
      </w:r>
      <w:r w:rsidRPr="00400C0B">
        <w:rPr>
          <w:rFonts w:cs="Guttman Rashi"/>
          <w:rtl/>
          <w:lang w:bidi="he-IL"/>
        </w:rPr>
        <w:t xml:space="preserve"> </w:t>
      </w:r>
      <w:r w:rsidRPr="00400C0B">
        <w:rPr>
          <w:rFonts w:cs="Guttman Rashi" w:hint="eastAsia"/>
          <w:rtl/>
          <w:lang w:bidi="he-IL"/>
        </w:rPr>
        <w:t>וצריך</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שזה</w:t>
      </w:r>
      <w:r w:rsidRPr="00400C0B">
        <w:rPr>
          <w:rFonts w:cs="Guttman Rashi"/>
          <w:rtl/>
          <w:lang w:bidi="he-IL"/>
        </w:rPr>
        <w:t xml:space="preserve"> </w:t>
      </w:r>
      <w:r w:rsidRPr="00400C0B">
        <w:rPr>
          <w:rFonts w:cs="Guttman Rashi" w:hint="eastAsia"/>
          <w:rtl/>
          <w:lang w:bidi="he-IL"/>
        </w:rPr>
        <w:t>לבד</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שגורם</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החתיכות</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החתיכות</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אסורות</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מטעם</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 xml:space="preserve">' </w:t>
      </w:r>
      <w:r w:rsidRPr="00400C0B">
        <w:rPr>
          <w:rFonts w:cs="Guttman Rashi" w:hint="eastAsia"/>
          <w:rtl/>
          <w:lang w:bidi="he-IL"/>
        </w:rPr>
        <w:t>אפרים</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בנקוה</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שחולק</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ז</w:t>
      </w:r>
      <w:r w:rsidRPr="00400C0B">
        <w:rPr>
          <w:rFonts w:cs="Guttman Rashi"/>
          <w:rtl/>
          <w:lang w:bidi="he-IL"/>
        </w:rPr>
        <w:t>.</w:t>
      </w:r>
    </w:p>
  </w:footnote>
  <w:footnote w:id="7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התרומה</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ולדברי</w:t>
      </w:r>
      <w:r w:rsidRPr="00400C0B">
        <w:rPr>
          <w:rFonts w:cs="Guttman Rashi"/>
          <w:rtl/>
          <w:lang w:bidi="he-IL"/>
        </w:rPr>
        <w:t xml:space="preserve"> </w:t>
      </w:r>
      <w:r w:rsidRPr="00400C0B">
        <w:rPr>
          <w:rFonts w:cs="Guttman Rashi" w:hint="eastAsia"/>
          <w:rtl/>
          <w:lang w:bidi="he-IL"/>
        </w:rPr>
        <w:t>הרב</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אפרים</w:t>
      </w:r>
      <w:r w:rsidRPr="00400C0B">
        <w:rPr>
          <w:rFonts w:cs="Guttman Rashi"/>
          <w:rtl/>
          <w:lang w:bidi="he-IL"/>
        </w:rPr>
        <w:t xml:space="preserve"> </w:t>
      </w:r>
      <w:r w:rsidRPr="00400C0B">
        <w:rPr>
          <w:rFonts w:cs="Guttman Rashi" w:hint="eastAsia"/>
          <w:rtl/>
          <w:lang w:bidi="he-IL"/>
        </w:rPr>
        <w:t>אתי</w:t>
      </w:r>
      <w:r w:rsidRPr="00400C0B">
        <w:rPr>
          <w:rFonts w:cs="Guttman Rashi"/>
          <w:rtl/>
          <w:lang w:bidi="he-IL"/>
        </w:rPr>
        <w:t xml:space="preserve"> </w:t>
      </w:r>
      <w:r w:rsidRPr="00400C0B">
        <w:rPr>
          <w:rFonts w:cs="Guttman Rashi" w:hint="eastAsia"/>
          <w:rtl/>
          <w:lang w:bidi="he-IL"/>
        </w:rPr>
        <w:t>שפיר</w:t>
      </w:r>
      <w:r w:rsidRPr="00400C0B">
        <w:rPr>
          <w:rFonts w:cs="Guttman Rashi"/>
          <w:rtl/>
          <w:lang w:bidi="he-IL"/>
        </w:rPr>
        <w:t xml:space="preserve"> </w:t>
      </w:r>
      <w:r w:rsidRPr="00400C0B">
        <w:rPr>
          <w:rFonts w:cs="Guttman Rashi" w:hint="eastAsia"/>
          <w:rtl/>
          <w:lang w:bidi="he-IL"/>
        </w:rPr>
        <w:t>תקנת</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מדין</w:t>
      </w:r>
      <w:r w:rsidRPr="00400C0B">
        <w:rPr>
          <w:rFonts w:cs="Guttman Rashi"/>
          <w:rtl/>
          <w:lang w:bidi="he-IL"/>
        </w:rPr>
        <w:t xml:space="preserve"> </w:t>
      </w:r>
      <w:r w:rsidRPr="00400C0B">
        <w:rPr>
          <w:rFonts w:cs="Guttman Rashi" w:hint="eastAsia"/>
          <w:rtl/>
          <w:lang w:bidi="he-IL"/>
        </w:rPr>
        <w:t>וכו</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כי</w:t>
      </w:r>
      <w:r w:rsidRPr="00400C0B">
        <w:rPr>
          <w:rFonts w:cs="Guttman Rashi"/>
          <w:rtl/>
          <w:lang w:bidi="he-IL"/>
        </w:rPr>
        <w:t xml:space="preserve"> </w:t>
      </w:r>
      <w:r w:rsidRPr="00400C0B">
        <w:rPr>
          <w:rFonts w:cs="Guttman Rashi" w:hint="eastAsia"/>
          <w:rtl/>
          <w:lang w:bidi="he-IL"/>
        </w:rPr>
        <w:t>הגעילו</w:t>
      </w:r>
      <w:r w:rsidRPr="00400C0B">
        <w:rPr>
          <w:rFonts w:cs="Guttman Rashi"/>
          <w:rtl/>
          <w:lang w:bidi="he-IL"/>
        </w:rPr>
        <w:t xml:space="preserve">' </w:t>
      </w:r>
      <w:r w:rsidRPr="00400C0B">
        <w:rPr>
          <w:rFonts w:cs="Guttman Rashi" w:hint="eastAsia"/>
          <w:rtl/>
          <w:lang w:bidi="he-IL"/>
        </w:rPr>
        <w:t>נעשו</w:t>
      </w:r>
      <w:r w:rsidRPr="00400C0B">
        <w:rPr>
          <w:rFonts w:cs="Guttman Rashi"/>
          <w:rtl/>
          <w:lang w:bidi="he-IL"/>
        </w:rPr>
        <w:t xml:space="preserve"> </w:t>
      </w:r>
      <w:r w:rsidRPr="00400C0B">
        <w:rPr>
          <w:rFonts w:cs="Guttman Rashi" w:hint="eastAsia"/>
          <w:rtl/>
          <w:lang w:bidi="he-IL"/>
        </w:rPr>
        <w:t>המים</w:t>
      </w:r>
      <w:r w:rsidRPr="00400C0B">
        <w:rPr>
          <w:rFonts w:cs="Guttman Rashi"/>
          <w:rtl/>
          <w:lang w:bidi="he-IL"/>
        </w:rPr>
        <w:t xml:space="preserve"> </w:t>
      </w:r>
      <w:r w:rsidRPr="00400C0B">
        <w:rPr>
          <w:rFonts w:cs="Guttman Rashi" w:hint="eastAsia"/>
          <w:rtl/>
          <w:lang w:bidi="he-IL"/>
        </w:rPr>
        <w:t>כולן</w:t>
      </w:r>
      <w:r w:rsidRPr="00400C0B">
        <w:rPr>
          <w:rFonts w:cs="Guttman Rashi"/>
          <w:rtl/>
          <w:lang w:bidi="he-IL"/>
        </w:rPr>
        <w:t xml:space="preserve"> </w:t>
      </w:r>
      <w:r w:rsidRPr="00400C0B">
        <w:rPr>
          <w:rFonts w:cs="Guttman Rashi" w:hint="eastAsia"/>
          <w:rtl/>
          <w:lang w:bidi="he-IL"/>
        </w:rPr>
        <w:t>נבלות</w:t>
      </w:r>
      <w:r w:rsidRPr="00400C0B">
        <w:rPr>
          <w:rFonts w:cs="Guttman Rashi"/>
          <w:rtl/>
          <w:lang w:bidi="he-IL"/>
        </w:rPr>
        <w:t xml:space="preserve"> </w:t>
      </w:r>
      <w:r w:rsidRPr="00400C0B">
        <w:rPr>
          <w:rFonts w:cs="Guttman Rashi" w:hint="eastAsia"/>
          <w:rtl/>
          <w:lang w:bidi="he-IL"/>
        </w:rPr>
        <w:t>וחוזרין</w:t>
      </w:r>
      <w:r w:rsidRPr="00400C0B">
        <w:rPr>
          <w:rFonts w:cs="Guttman Rashi"/>
          <w:rtl/>
          <w:lang w:bidi="he-IL"/>
        </w:rPr>
        <w:t xml:space="preserve"> </w:t>
      </w:r>
      <w:r w:rsidRPr="00400C0B">
        <w:rPr>
          <w:rFonts w:cs="Guttman Rashi" w:hint="eastAsia"/>
          <w:rtl/>
          <w:lang w:bidi="he-IL"/>
        </w:rPr>
        <w:t>ונבלעים</w:t>
      </w:r>
      <w:r w:rsidRPr="00400C0B">
        <w:rPr>
          <w:rFonts w:cs="Guttman Rashi"/>
          <w:rtl/>
          <w:lang w:bidi="he-IL"/>
        </w:rPr>
        <w:t xml:space="preserve"> </w:t>
      </w:r>
      <w:r w:rsidRPr="00400C0B">
        <w:rPr>
          <w:rFonts w:cs="Guttman Rashi" w:hint="eastAsia"/>
          <w:rtl/>
          <w:lang w:bidi="he-IL"/>
        </w:rPr>
        <w:t>וכו</w:t>
      </w:r>
      <w:r w:rsidRPr="00400C0B">
        <w:rPr>
          <w:rFonts w:cs="Guttman Rashi"/>
          <w:rtl/>
          <w:lang w:bidi="he-IL"/>
        </w:rPr>
        <w:t xml:space="preserve">' </w:t>
      </w:r>
      <w:r w:rsidRPr="00400C0B">
        <w:rPr>
          <w:rFonts w:cs="Guttman Rashi" w:hint="eastAsia"/>
          <w:rtl/>
          <w:lang w:bidi="he-IL"/>
        </w:rPr>
        <w:t>ולדבריו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רבינו</w:t>
      </w:r>
      <w:r w:rsidRPr="00400C0B">
        <w:rPr>
          <w:rFonts w:cs="Guttman Rashi"/>
          <w:rtl/>
          <w:lang w:bidi="he-IL"/>
        </w:rPr>
        <w:t xml:space="preserve"> </w:t>
      </w:r>
      <w:r w:rsidRPr="00400C0B">
        <w:rPr>
          <w:rFonts w:cs="Guttman Rashi" w:hint="eastAsia"/>
          <w:rtl/>
          <w:lang w:bidi="he-IL"/>
        </w:rPr>
        <w:t>אפרים</w:t>
      </w:r>
      <w:r w:rsidRPr="00400C0B">
        <w:rPr>
          <w:rFonts w:cs="Guttman Rashi"/>
          <w:rtl/>
          <w:lang w:bidi="he-IL"/>
        </w:rPr>
        <w:t xml:space="preserve">] </w:t>
      </w:r>
      <w:r w:rsidRPr="00400C0B">
        <w:rPr>
          <w:rFonts w:cs="Guttman Rashi" w:hint="eastAsia"/>
          <w:rtl/>
          <w:lang w:bidi="he-IL"/>
        </w:rPr>
        <w:t>אף</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פי</w:t>
      </w:r>
      <w:r w:rsidRPr="00400C0B">
        <w:rPr>
          <w:rFonts w:cs="Guttman Rashi"/>
          <w:rtl/>
          <w:lang w:bidi="he-IL"/>
        </w:rPr>
        <w:t xml:space="preserve"> </w:t>
      </w:r>
      <w:r w:rsidRPr="00400C0B">
        <w:rPr>
          <w:rFonts w:cs="Guttman Rashi" w:hint="eastAsia"/>
          <w:rtl/>
          <w:lang w:bidi="he-IL"/>
        </w:rPr>
        <w:t>שהמים</w:t>
      </w:r>
      <w:r w:rsidRPr="00400C0B">
        <w:rPr>
          <w:rFonts w:cs="Guttman Rashi"/>
          <w:rtl/>
          <w:lang w:bidi="he-IL"/>
        </w:rPr>
        <w:t xml:space="preserve"> </w:t>
      </w:r>
      <w:r w:rsidRPr="00400C0B">
        <w:rPr>
          <w:rFonts w:cs="Guttman Rashi" w:hint="eastAsia"/>
          <w:rtl/>
          <w:lang w:bidi="he-IL"/>
        </w:rPr>
        <w:t>נאסרים</w:t>
      </w:r>
      <w:r w:rsidRPr="00400C0B">
        <w:rPr>
          <w:rFonts w:cs="Guttman Rashi"/>
          <w:rtl/>
          <w:lang w:bidi="he-IL"/>
        </w:rPr>
        <w:t xml:space="preserve"> </w:t>
      </w:r>
      <w:r w:rsidRPr="00400C0B">
        <w:rPr>
          <w:rFonts w:cs="Guttman Rashi" w:hint="eastAsia"/>
          <w:rtl/>
          <w:lang w:bidi="he-IL"/>
        </w:rPr>
        <w:t>וכו</w:t>
      </w:r>
      <w:r w:rsidRPr="00400C0B">
        <w:rPr>
          <w:rFonts w:cs="Guttman Rashi"/>
          <w:rtl/>
          <w:lang w:bidi="he-IL"/>
        </w:rPr>
        <w:t xml:space="preserve">' </w:t>
      </w:r>
      <w:r w:rsidRPr="00400C0B">
        <w:rPr>
          <w:rFonts w:cs="Guttman Rashi" w:hint="eastAsia"/>
          <w:rtl/>
          <w:lang w:bidi="he-IL"/>
        </w:rPr>
        <w:t>מיהו</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חתיכה</w:t>
      </w:r>
      <w:r w:rsidRPr="00400C0B">
        <w:rPr>
          <w:rFonts w:cs="Guttman Rashi"/>
          <w:rtl/>
          <w:lang w:bidi="he-IL"/>
        </w:rPr>
        <w:t xml:space="preserve"> </w:t>
      </w:r>
      <w:r w:rsidRPr="00400C0B">
        <w:rPr>
          <w:rFonts w:cs="Guttman Rashi" w:hint="eastAsia"/>
          <w:rtl/>
          <w:lang w:bidi="he-IL"/>
        </w:rPr>
        <w:t>עצמה</w:t>
      </w:r>
      <w:r w:rsidRPr="00400C0B">
        <w:rPr>
          <w:rFonts w:cs="Guttman Rashi"/>
          <w:rtl/>
          <w:lang w:bidi="he-IL"/>
        </w:rPr>
        <w:t xml:space="preserve"> </w:t>
      </w:r>
      <w:r w:rsidRPr="00400C0B">
        <w:rPr>
          <w:rFonts w:cs="Guttman Rashi" w:hint="eastAsia"/>
          <w:rtl/>
          <w:lang w:bidi="he-IL"/>
        </w:rPr>
        <w:t>נעשית</w:t>
      </w:r>
      <w:r w:rsidRPr="00400C0B">
        <w:rPr>
          <w:rFonts w:cs="Guttman Rashi"/>
          <w:rtl/>
          <w:lang w:bidi="he-IL"/>
        </w:rPr>
        <w:t xml:space="preserve"> </w:t>
      </w:r>
      <w:r w:rsidRPr="00400C0B">
        <w:rPr>
          <w:rFonts w:cs="Guttman Rashi" w:hint="eastAsia"/>
          <w:rtl/>
          <w:lang w:bidi="he-IL"/>
        </w:rPr>
        <w:t>נבלה</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מדרבנן</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איסורין</w:t>
      </w:r>
      <w:r w:rsidRPr="00400C0B">
        <w:rPr>
          <w:rFonts w:cs="Guttman Rashi"/>
          <w:rtl/>
          <w:lang w:bidi="he-IL"/>
        </w:rPr>
        <w:t xml:space="preserve"> </w:t>
      </w:r>
      <w:r w:rsidRPr="00400C0B">
        <w:rPr>
          <w:rFonts w:cs="Guttman Rashi" w:hint="eastAsia"/>
          <w:rtl/>
          <w:lang w:bidi="he-IL"/>
        </w:rPr>
        <w:t>אתי</w:t>
      </w:r>
      <w:r w:rsidRPr="00400C0B">
        <w:rPr>
          <w:rFonts w:cs="Guttman Rashi"/>
          <w:rtl/>
          <w:lang w:bidi="he-IL"/>
        </w:rPr>
        <w:t xml:space="preserve"> </w:t>
      </w:r>
      <w:r w:rsidRPr="00400C0B">
        <w:rPr>
          <w:rFonts w:cs="Guttman Rashi" w:hint="eastAsia"/>
          <w:rtl/>
          <w:lang w:bidi="he-IL"/>
        </w:rPr>
        <w:t>שפיר</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מדויק</w:t>
      </w:r>
      <w:r w:rsidRPr="00400C0B">
        <w:rPr>
          <w:rFonts w:cs="Guttman Rashi"/>
          <w:rtl/>
          <w:lang w:bidi="he-IL"/>
        </w:rPr>
        <w:t xml:space="preserve"> </w:t>
      </w:r>
      <w:r w:rsidRPr="00400C0B">
        <w:rPr>
          <w:rFonts w:cs="Guttman Rashi" w:hint="eastAsia"/>
          <w:rtl/>
          <w:lang w:bidi="he-IL"/>
        </w:rPr>
        <w:t>היטב</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התרומה</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משם</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איסורים</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w:t>
      </w:r>
    </w:p>
  </w:footnote>
  <w:footnote w:id="7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w:t>
      </w:r>
    </w:p>
  </w:footnote>
  <w:footnote w:id="7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והנה</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הוכיח</w:t>
      </w:r>
      <w:r w:rsidRPr="00400C0B">
        <w:rPr>
          <w:rFonts w:cs="Guttman Rashi"/>
          <w:rtl/>
          <w:lang w:bidi="he-IL"/>
        </w:rPr>
        <w:t xml:space="preserve"> </w:t>
      </w:r>
      <w:r w:rsidRPr="00400C0B">
        <w:rPr>
          <w:rFonts w:cs="Guttman Rashi" w:hint="eastAsia"/>
          <w:rtl/>
          <w:lang w:bidi="he-IL"/>
        </w:rPr>
        <w:t>מעצם</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סלק</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דכתב</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בדף</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שכשאומרים</w:t>
      </w:r>
      <w:r w:rsidRPr="00400C0B">
        <w:rPr>
          <w:rFonts w:cs="Guttman Rashi"/>
          <w:rtl/>
          <w:lang w:bidi="he-IL"/>
        </w:rPr>
        <w:t xml:space="preserve"> </w:t>
      </w:r>
      <w:r w:rsidRPr="00400C0B">
        <w:rPr>
          <w:rFonts w:cs="Guttman Rashi" w:hint="eastAsia"/>
          <w:rtl/>
          <w:lang w:bidi="he-IL"/>
        </w:rPr>
        <w:t>סלק</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המינו</w:t>
      </w:r>
      <w:r w:rsidRPr="00400C0B">
        <w:rPr>
          <w:rFonts w:cs="Guttman Rashi"/>
          <w:rtl/>
          <w:lang w:bidi="he-IL"/>
        </w:rPr>
        <w:t xml:space="preserve"> </w:t>
      </w:r>
      <w:r w:rsidRPr="00400C0B">
        <w:rPr>
          <w:rFonts w:cs="Guttman Rashi" w:hint="eastAsia"/>
          <w:rtl/>
          <w:lang w:bidi="he-IL"/>
        </w:rPr>
        <w:t>לבטל</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שלו</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האינו</w:t>
      </w:r>
      <w:r w:rsidRPr="00400C0B">
        <w:rPr>
          <w:rFonts w:cs="Guttman Rashi"/>
          <w:rtl/>
          <w:lang w:bidi="he-IL"/>
        </w:rPr>
        <w:t xml:space="preserve"> </w:t>
      </w:r>
      <w:r w:rsidRPr="00400C0B">
        <w:rPr>
          <w:rFonts w:cs="Guttman Rashi" w:hint="eastAsia"/>
          <w:rtl/>
          <w:lang w:bidi="he-IL"/>
        </w:rPr>
        <w:t>מינו</w:t>
      </w:r>
      <w:r w:rsidRPr="00400C0B">
        <w:rPr>
          <w:rFonts w:cs="Guttman Rashi"/>
          <w:rtl/>
          <w:lang w:bidi="he-IL"/>
        </w:rPr>
        <w:t xml:space="preserve">. </w:t>
      </w:r>
      <w:r w:rsidRPr="00400C0B">
        <w:rPr>
          <w:rFonts w:cs="Guttman Rashi" w:hint="eastAsia"/>
          <w:rtl/>
          <w:lang w:bidi="he-IL"/>
        </w:rPr>
        <w:t>ומשמע</w:t>
      </w:r>
      <w:r w:rsidRPr="00400C0B">
        <w:rPr>
          <w:rFonts w:cs="Guttman Rashi"/>
          <w:rtl/>
          <w:lang w:bidi="he-IL"/>
        </w:rPr>
        <w:t xml:space="preserve"> </w:t>
      </w:r>
      <w:r w:rsidRPr="00400C0B">
        <w:rPr>
          <w:rFonts w:cs="Guttman Rashi" w:hint="eastAsia"/>
          <w:rtl/>
          <w:lang w:bidi="he-IL"/>
        </w:rPr>
        <w:t>שהי</w:t>
      </w:r>
      <w:r w:rsidRPr="00400C0B">
        <w:rPr>
          <w:rFonts w:cs="Guttman Rashi"/>
          <w:rtl/>
          <w:lang w:bidi="he-IL"/>
        </w:rPr>
        <w:t xml:space="preserve">' </w:t>
      </w:r>
      <w:r w:rsidRPr="00400C0B">
        <w:rPr>
          <w:rFonts w:cs="Guttman Rashi" w:hint="eastAsia"/>
          <w:rtl/>
          <w:lang w:bidi="he-IL"/>
        </w:rPr>
        <w:t>צד</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דלעולם</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סלק</w:t>
      </w:r>
      <w:r w:rsidRPr="00400C0B">
        <w:rPr>
          <w:rFonts w:cs="Guttman Rashi"/>
          <w:rtl/>
          <w:lang w:bidi="he-IL"/>
        </w:rPr>
        <w:t xml:space="preserve"> </w:t>
      </w:r>
      <w:r w:rsidRPr="00400C0B">
        <w:rPr>
          <w:rFonts w:cs="Guttman Rashi" w:hint="eastAsia"/>
          <w:rtl/>
          <w:lang w:bidi="he-IL"/>
        </w:rPr>
        <w:t>והחתיכות</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מועילים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והיינו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דסלק</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יצטרך</w:t>
      </w:r>
      <w:r w:rsidRPr="00400C0B">
        <w:rPr>
          <w:rFonts w:cs="Guttman Rashi"/>
          <w:rtl/>
          <w:lang w:bidi="he-IL"/>
        </w:rPr>
        <w:t xml:space="preserve"> </w:t>
      </w:r>
      <w:r w:rsidRPr="00400C0B">
        <w:rPr>
          <w:rFonts w:cs="Guttman Rashi" w:hint="eastAsia"/>
          <w:rtl/>
          <w:lang w:bidi="he-IL"/>
        </w:rPr>
        <w:t>לבטל</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החתיכות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שאומרים</w:t>
      </w:r>
      <w:r w:rsidRPr="00400C0B">
        <w:rPr>
          <w:rFonts w:cs="Guttman Rashi"/>
          <w:rtl/>
          <w:lang w:bidi="he-IL"/>
        </w:rPr>
        <w:t xml:space="preserve"> </w:t>
      </w:r>
      <w:r w:rsidRPr="00400C0B">
        <w:rPr>
          <w:rFonts w:cs="Guttman Rashi" w:hint="eastAsia"/>
          <w:rtl/>
          <w:lang w:bidi="he-IL"/>
        </w:rPr>
        <w:t>סלק</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אנו</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לבטל</w:t>
      </w:r>
      <w:r w:rsidRPr="00400C0B">
        <w:rPr>
          <w:rFonts w:cs="Guttman Rashi"/>
          <w:rtl/>
          <w:lang w:bidi="he-IL"/>
        </w:rPr>
        <w:t xml:space="preserve"> </w:t>
      </w:r>
      <w:r w:rsidRPr="00400C0B">
        <w:rPr>
          <w:rFonts w:cs="Guttman Rashi" w:hint="eastAsia"/>
          <w:rtl/>
          <w:lang w:bidi="he-IL"/>
        </w:rPr>
        <w:t>החתיכות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שהחתיכות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מעכשיו</w:t>
      </w:r>
      <w:r w:rsidRPr="00400C0B">
        <w:rPr>
          <w:rFonts w:cs="Guttman Rashi"/>
          <w:rtl/>
          <w:lang w:bidi="he-IL"/>
        </w:rPr>
        <w:t xml:space="preserve"> </w:t>
      </w:r>
      <w:r w:rsidRPr="00400C0B">
        <w:rPr>
          <w:rFonts w:cs="Guttman Rashi" w:hint="eastAsia"/>
          <w:rtl/>
          <w:lang w:bidi="he-IL"/>
        </w:rPr>
        <w:t>מועילים</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לבטל</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p>
  </w:footnote>
  <w:footnote w:id="7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קושיא</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ביאור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w:t>
      </w:r>
    </w:p>
  </w:footnote>
  <w:footnote w:id="7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המגי</w:t>
      </w:r>
      <w:r w:rsidRPr="00400C0B">
        <w:rPr>
          <w:rFonts w:cs="Guttman Rashi"/>
          <w:rtl/>
          <w:lang w:bidi="he-IL"/>
        </w:rPr>
        <w:t>"</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כעין</w:t>
      </w:r>
      <w:r w:rsidRPr="00400C0B">
        <w:rPr>
          <w:rFonts w:cs="Guttman Rashi"/>
          <w:rtl/>
          <w:lang w:bidi="he-IL"/>
        </w:rPr>
        <w:t xml:space="preserve"> </w:t>
      </w:r>
      <w:r w:rsidRPr="00400C0B">
        <w:rPr>
          <w:rFonts w:cs="Guttman Rashi" w:hint="eastAsia"/>
          <w:rtl/>
          <w:lang w:bidi="he-IL"/>
        </w:rPr>
        <w:t>דברינו</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שהוסיף</w:t>
      </w:r>
      <w:r w:rsidRPr="00400C0B">
        <w:rPr>
          <w:rFonts w:cs="Guttman Rashi"/>
          <w:rtl/>
          <w:lang w:bidi="he-IL"/>
        </w:rPr>
        <w:t xml:space="preserve"> </w:t>
      </w:r>
      <w:r w:rsidRPr="00400C0B">
        <w:rPr>
          <w:rFonts w:cs="Guttman Rashi" w:hint="eastAsia"/>
          <w:rtl/>
          <w:lang w:bidi="he-IL"/>
        </w:rPr>
        <w:t>לבאר</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שהטעם</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בבב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שמהות</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תערובת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הבשר</w:t>
      </w:r>
      <w:r w:rsidRPr="00400C0B">
        <w:rPr>
          <w:rFonts w:cs="Guttman Rashi"/>
          <w:rtl/>
          <w:lang w:bidi="he-IL"/>
        </w:rPr>
        <w:t xml:space="preserve"> </w:t>
      </w:r>
      <w:r w:rsidRPr="00400C0B">
        <w:rPr>
          <w:rFonts w:cs="Guttman Rashi" w:hint="eastAsia"/>
          <w:rtl/>
          <w:lang w:bidi="he-IL"/>
        </w:rPr>
        <w:t>והחלב</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שא</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חבירו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והא</w:t>
      </w:r>
      <w:r w:rsidRPr="00400C0B">
        <w:rPr>
          <w:rFonts w:cs="Guttman Rashi"/>
          <w:rtl/>
          <w:lang w:bidi="he-IL"/>
        </w:rPr>
        <w:t xml:space="preserve"> </w:t>
      </w:r>
      <w:r w:rsidRPr="00400C0B">
        <w:rPr>
          <w:rFonts w:cs="Guttman Rashi" w:hint="eastAsia"/>
          <w:rtl/>
          <w:lang w:bidi="he-IL"/>
        </w:rPr>
        <w:t>דבעינן</w:t>
      </w:r>
      <w:r w:rsidRPr="00400C0B">
        <w:rPr>
          <w:rFonts w:cs="Guttman Rashi"/>
          <w:rtl/>
          <w:lang w:bidi="he-IL"/>
        </w:rPr>
        <w:t xml:space="preserve"> </w:t>
      </w:r>
      <w:r w:rsidRPr="00400C0B">
        <w:rPr>
          <w:rFonts w:cs="Guttman Rashi" w:hint="eastAsia"/>
          <w:rtl/>
          <w:lang w:bidi="he-IL"/>
        </w:rPr>
        <w:t>נתינת</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להחיל</w:t>
      </w:r>
      <w:r w:rsidRPr="00400C0B">
        <w:rPr>
          <w:rFonts w:cs="Guttman Rashi"/>
          <w:rtl/>
          <w:lang w:bidi="he-IL"/>
        </w:rPr>
        <w:t xml:space="preserve"> </w:t>
      </w:r>
      <w:r w:rsidRPr="00400C0B">
        <w:rPr>
          <w:rFonts w:cs="Guttman Rashi" w:hint="eastAsia"/>
          <w:rtl/>
          <w:lang w:bidi="he-IL"/>
        </w:rPr>
        <w:t>החלות</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התערובת</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שנתן</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חלות</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התערובת</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משהו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הבשר</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להיפך</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חפצא</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שיתבטל</w:t>
      </w:r>
      <w:r w:rsidRPr="00400C0B">
        <w:rPr>
          <w:rFonts w:cs="Guttman Rashi"/>
          <w:rtl/>
          <w:lang w:bidi="he-IL"/>
        </w:rPr>
        <w:t xml:space="preserve"> </w:t>
      </w:r>
      <w:r w:rsidRPr="00400C0B">
        <w:rPr>
          <w:rFonts w:cs="Guttman Rashi" w:hint="eastAsia"/>
          <w:rtl/>
          <w:lang w:bidi="he-IL"/>
        </w:rPr>
        <w:t>החלב</w:t>
      </w:r>
      <w:r w:rsidRPr="00400C0B">
        <w:rPr>
          <w:rFonts w:cs="Guttman Rashi"/>
          <w:rtl/>
          <w:lang w:bidi="he-IL"/>
        </w:rPr>
        <w:t xml:space="preserve"> </w:t>
      </w:r>
      <w:r w:rsidRPr="00400C0B">
        <w:rPr>
          <w:rFonts w:cs="Guttman Rashi" w:hint="eastAsia"/>
          <w:rtl/>
          <w:lang w:bidi="he-IL"/>
        </w:rPr>
        <w:t>לאחר</w:t>
      </w:r>
      <w:r w:rsidRPr="00400C0B">
        <w:rPr>
          <w:rFonts w:cs="Guttman Rashi"/>
          <w:rtl/>
          <w:lang w:bidi="he-IL"/>
        </w:rPr>
        <w:t xml:space="preserve"> </w:t>
      </w:r>
      <w:r w:rsidRPr="00400C0B">
        <w:rPr>
          <w:rFonts w:cs="Guttman Rashi" w:hint="eastAsia"/>
          <w:rtl/>
          <w:lang w:bidi="he-IL"/>
        </w:rPr>
        <w:t>מכן</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שעכשיו</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כשיסוד</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תערובת</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וכמש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דף</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חידושי</w:t>
      </w:r>
      <w:r w:rsidRPr="00400C0B">
        <w:rPr>
          <w:rFonts w:cs="Guttman Rashi"/>
          <w:rtl/>
          <w:lang w:bidi="he-IL"/>
        </w:rPr>
        <w:t xml:space="preserve"> </w:t>
      </w:r>
      <w:r w:rsidRPr="00400C0B">
        <w:rPr>
          <w:rFonts w:cs="Guttman Rashi" w:hint="eastAsia"/>
          <w:rtl/>
          <w:lang w:bidi="he-IL"/>
        </w:rPr>
        <w:t>רבינו</w:t>
      </w:r>
      <w:r w:rsidRPr="00400C0B">
        <w:rPr>
          <w:rFonts w:cs="Guttman Rashi"/>
          <w:rtl/>
          <w:lang w:bidi="he-IL"/>
        </w:rPr>
        <w:t xml:space="preserve"> </w:t>
      </w:r>
      <w:r w:rsidRPr="00400C0B">
        <w:rPr>
          <w:rFonts w:cs="Guttman Rashi" w:hint="eastAsia"/>
          <w:rtl/>
          <w:lang w:bidi="he-IL"/>
        </w:rPr>
        <w:t>חיים</w:t>
      </w:r>
      <w:r w:rsidRPr="00400C0B">
        <w:rPr>
          <w:rFonts w:cs="Guttman Rashi"/>
          <w:rtl/>
          <w:lang w:bidi="he-IL"/>
        </w:rPr>
        <w:t xml:space="preserve"> </w:t>
      </w:r>
      <w:r w:rsidRPr="00400C0B">
        <w:rPr>
          <w:rFonts w:cs="Guttman Rashi" w:hint="eastAsia"/>
          <w:rtl/>
          <w:lang w:bidi="he-IL"/>
        </w:rPr>
        <w:t>הלוי</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מהלכות</w:t>
      </w:r>
      <w:r w:rsidRPr="00400C0B">
        <w:rPr>
          <w:rFonts w:cs="Guttman Rashi"/>
          <w:rtl/>
          <w:lang w:bidi="he-IL"/>
        </w:rPr>
        <w:t xml:space="preserve"> </w:t>
      </w:r>
      <w:r w:rsidRPr="00400C0B">
        <w:rPr>
          <w:rFonts w:cs="Guttman Rashi" w:hint="eastAsia"/>
          <w:rtl/>
          <w:lang w:bidi="he-IL"/>
        </w:rPr>
        <w:t>מאכלות</w:t>
      </w:r>
      <w:r w:rsidRPr="00400C0B">
        <w:rPr>
          <w:rFonts w:cs="Guttman Rashi"/>
          <w:rtl/>
          <w:lang w:bidi="he-IL"/>
        </w:rPr>
        <w:t xml:space="preserve"> </w:t>
      </w:r>
      <w:r w:rsidRPr="00400C0B">
        <w:rPr>
          <w:rFonts w:cs="Guttman Rashi" w:hint="eastAsia"/>
          <w:rtl/>
          <w:lang w:bidi="he-IL"/>
        </w:rPr>
        <w:t>אסורות</w:t>
      </w:r>
      <w:r w:rsidRPr="00400C0B">
        <w:rPr>
          <w:rFonts w:cs="Guttman Rashi"/>
          <w:rtl/>
          <w:lang w:bidi="he-IL"/>
        </w:rPr>
        <w:t xml:space="preserve">. </w:t>
      </w:r>
    </w:p>
  </w:footnote>
  <w:footnote w:id="8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וראיתי</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שחיטת</w:t>
      </w:r>
      <w:r w:rsidRPr="00400C0B">
        <w:rPr>
          <w:rFonts w:cs="Guttman Rashi"/>
          <w:rtl/>
          <w:lang w:bidi="he-IL"/>
        </w:rPr>
        <w:t xml:space="preserve"> </w:t>
      </w:r>
      <w:r w:rsidRPr="00400C0B">
        <w:rPr>
          <w:rFonts w:cs="Guttman Rashi" w:hint="eastAsia"/>
          <w:rtl/>
          <w:lang w:bidi="he-IL"/>
        </w:rPr>
        <w:t>חולין</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יד</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שהביא</w:t>
      </w:r>
      <w:r w:rsidRPr="00400C0B">
        <w:rPr>
          <w:rFonts w:cs="Guttman Rashi"/>
          <w:rtl/>
          <w:lang w:bidi="he-IL"/>
        </w:rPr>
        <w:t xml:space="preserve"> </w:t>
      </w:r>
      <w:r w:rsidRPr="00400C0B">
        <w:rPr>
          <w:rFonts w:cs="Guttman Rashi" w:hint="eastAsia"/>
          <w:rtl/>
          <w:lang w:bidi="he-IL"/>
        </w:rPr>
        <w:t>מאו</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שענינו</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משהו</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להחשיב</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ולעשותה</w:t>
      </w:r>
      <w:r w:rsidRPr="00400C0B">
        <w:rPr>
          <w:rFonts w:cs="Guttman Rashi"/>
          <w:rtl/>
          <w:lang w:bidi="he-IL"/>
        </w:rPr>
        <w:t xml:space="preserve"> </w:t>
      </w:r>
      <w:r w:rsidRPr="00400C0B">
        <w:rPr>
          <w:rFonts w:cs="Guttman Rashi" w:hint="eastAsia"/>
          <w:rtl/>
          <w:lang w:bidi="he-IL"/>
        </w:rPr>
        <w:t>נבילה</w:t>
      </w:r>
      <w:r w:rsidRPr="00400C0B">
        <w:rPr>
          <w:rFonts w:cs="Guttman Rashi"/>
          <w:rtl/>
          <w:lang w:bidi="he-IL"/>
        </w:rPr>
        <w:t xml:space="preserve">. </w:t>
      </w:r>
    </w:p>
  </w:footnote>
  <w:footnote w:id="8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לרבא</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דנקט</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דאל</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יודעים</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איכפת</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שהכל</w:t>
      </w:r>
      <w:r w:rsidRPr="00400C0B">
        <w:rPr>
          <w:rFonts w:cs="Guttman Rashi"/>
          <w:rtl/>
          <w:lang w:bidi="he-IL"/>
        </w:rPr>
        <w:t xml:space="preserve"> </w:t>
      </w:r>
      <w:r w:rsidRPr="00400C0B">
        <w:rPr>
          <w:rFonts w:cs="Guttman Rashi" w:hint="eastAsia"/>
          <w:rtl/>
          <w:lang w:bidi="he-IL"/>
        </w:rPr>
        <w:t>תלוי</w:t>
      </w:r>
      <w:r w:rsidRPr="00400C0B">
        <w:rPr>
          <w:rFonts w:cs="Guttman Rashi"/>
          <w:rtl/>
          <w:lang w:bidi="he-IL"/>
        </w:rPr>
        <w:t xml:space="preserve"> </w:t>
      </w:r>
      <w:r w:rsidRPr="00400C0B">
        <w:rPr>
          <w:rFonts w:cs="Guttman Rashi" w:hint="eastAsia"/>
          <w:rtl/>
          <w:lang w:bidi="he-IL"/>
        </w:rPr>
        <w:t>בגודל</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החתיכת</w:t>
      </w:r>
      <w:r w:rsidRPr="00400C0B">
        <w:rPr>
          <w:rFonts w:cs="Guttman Rashi"/>
          <w:rtl/>
          <w:lang w:bidi="he-IL"/>
        </w:rPr>
        <w:t xml:space="preserve"> </w:t>
      </w:r>
      <w:r w:rsidRPr="00400C0B">
        <w:rPr>
          <w:rFonts w:cs="Guttman Rashi" w:hint="eastAsia"/>
          <w:rtl/>
          <w:lang w:bidi="he-IL"/>
        </w:rPr>
        <w:t>נבילה</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רצו</w:t>
      </w:r>
      <w:r w:rsidRPr="00400C0B">
        <w:rPr>
          <w:rFonts w:cs="Guttman Rashi"/>
          <w:rtl/>
          <w:lang w:bidi="he-IL"/>
        </w:rPr>
        <w:t xml:space="preserve"> </w:t>
      </w:r>
      <w:r w:rsidRPr="00400C0B">
        <w:rPr>
          <w:rFonts w:cs="Guttman Rashi" w:hint="eastAsia"/>
          <w:rtl/>
          <w:lang w:bidi="he-IL"/>
        </w:rPr>
        <w:t>לדחוק</w:t>
      </w:r>
      <w:r w:rsidRPr="00400C0B">
        <w:rPr>
          <w:rFonts w:cs="Guttman Rashi"/>
          <w:rtl/>
          <w:lang w:bidi="he-IL"/>
        </w:rPr>
        <w:t xml:space="preserve"> </w:t>
      </w:r>
      <w:r w:rsidRPr="00400C0B">
        <w:rPr>
          <w:rFonts w:cs="Guttman Rashi" w:hint="eastAsia"/>
          <w:rtl/>
          <w:lang w:bidi="he-IL"/>
        </w:rPr>
        <w:t>שהחתיכת</w:t>
      </w:r>
      <w:r w:rsidRPr="00400C0B">
        <w:rPr>
          <w:rFonts w:cs="Guttman Rashi"/>
          <w:rtl/>
          <w:lang w:bidi="he-IL"/>
        </w:rPr>
        <w:t xml:space="preserve"> </w:t>
      </w:r>
      <w:r w:rsidRPr="00400C0B">
        <w:rPr>
          <w:rFonts w:cs="Guttman Rashi" w:hint="eastAsia"/>
          <w:rtl/>
          <w:lang w:bidi="he-IL"/>
        </w:rPr>
        <w:t>נבילה</w:t>
      </w:r>
      <w:r w:rsidRPr="00400C0B">
        <w:rPr>
          <w:rFonts w:cs="Guttman Rashi"/>
          <w:rtl/>
          <w:lang w:bidi="he-IL"/>
        </w:rPr>
        <w:t xml:space="preserve"> </w:t>
      </w:r>
      <w:r w:rsidRPr="00400C0B">
        <w:rPr>
          <w:rFonts w:cs="Guttman Rashi" w:hint="eastAsia"/>
          <w:rtl/>
          <w:lang w:bidi="he-IL"/>
        </w:rPr>
        <w:t>הצטמק</w:t>
      </w:r>
      <w:r w:rsidRPr="00400C0B">
        <w:rPr>
          <w:rFonts w:cs="Guttman Rashi"/>
          <w:rtl/>
          <w:lang w:bidi="he-IL"/>
        </w:rPr>
        <w:t xml:space="preserve">, </w:t>
      </w:r>
      <w:r w:rsidRPr="00400C0B">
        <w:rPr>
          <w:rFonts w:cs="Guttman Rashi" w:hint="eastAsia"/>
          <w:rtl/>
          <w:lang w:bidi="he-IL"/>
        </w:rPr>
        <w:t>ועל</w:t>
      </w:r>
      <w:r w:rsidRPr="00400C0B">
        <w:rPr>
          <w:rFonts w:cs="Guttman Rashi"/>
          <w:rtl/>
          <w:lang w:bidi="he-IL"/>
        </w:rPr>
        <w:t xml:space="preserve"> </w:t>
      </w:r>
      <w:r w:rsidRPr="00400C0B">
        <w:rPr>
          <w:rFonts w:cs="Guttman Rashi" w:hint="eastAsia"/>
          <w:rtl/>
          <w:lang w:bidi="he-IL"/>
        </w:rPr>
        <w:t>דרך</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שהקשו</w:t>
      </w:r>
      <w:r w:rsidRPr="00400C0B">
        <w:rPr>
          <w:rFonts w:cs="Guttman Rashi"/>
          <w:rtl/>
          <w:lang w:bidi="he-IL"/>
        </w:rPr>
        <w:t xml:space="preserve"> </w:t>
      </w:r>
      <w:r w:rsidRPr="00400C0B">
        <w:rPr>
          <w:rFonts w:cs="Guttman Rashi" w:hint="eastAsia"/>
          <w:rtl/>
          <w:lang w:bidi="he-IL"/>
        </w:rPr>
        <w:t>מעיקרא</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אפרים</w:t>
      </w:r>
      <w:r w:rsidRPr="00400C0B">
        <w:rPr>
          <w:rFonts w:cs="Guttman Rashi"/>
          <w:rtl/>
          <w:lang w:bidi="he-IL"/>
        </w:rPr>
        <w:t>.</w:t>
      </w:r>
    </w:p>
  </w:footnote>
  <w:footnote w:id="8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שהערנו</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Ref487792239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516</w:t>
      </w:r>
      <w:r w:rsidRPr="00400C0B">
        <w:rPr>
          <w:rFonts w:cs="Guttman Rashi"/>
          <w:rtl/>
          <w:lang w:bidi="he-IL"/>
        </w:rPr>
        <w:fldChar w:fldCharType="end"/>
      </w:r>
      <w:r w:rsidRPr="00400C0B">
        <w:rPr>
          <w:rFonts w:cs="Guttman Rashi"/>
          <w:rtl/>
          <w:lang w:bidi="he-IL"/>
        </w:rPr>
        <w:t>.</w:t>
      </w:r>
    </w:p>
  </w:footnote>
  <w:footnote w:id="8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שהוכיח</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מדברי</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שלמ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איסורים</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בישעור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ונ</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להעיר</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מהוכחת</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מהגעלת</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מדין</w:t>
      </w:r>
      <w:r w:rsidRPr="00400C0B">
        <w:rPr>
          <w:rFonts w:cs="Guttman Rashi"/>
          <w:rtl/>
          <w:lang w:bidi="he-IL"/>
        </w:rPr>
        <w:t xml:space="preserve">. </w:t>
      </w:r>
    </w:p>
  </w:footnote>
  <w:footnote w:id="8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בסוף</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שהבאנו</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מקור</w:t>
      </w:r>
      <w:r w:rsidRPr="00400C0B">
        <w:rPr>
          <w:rFonts w:cs="Guttman Rashi"/>
          <w:rtl/>
          <w:lang w:bidi="he-IL"/>
        </w:rPr>
        <w:t xml:space="preserve"> </w:t>
      </w:r>
      <w:r w:rsidRPr="00400C0B">
        <w:rPr>
          <w:rFonts w:cs="Guttman Rashi" w:hint="eastAsia"/>
          <w:rtl/>
          <w:lang w:bidi="he-IL"/>
        </w:rPr>
        <w:t>לסברא</w:t>
      </w:r>
      <w:r w:rsidRPr="00400C0B">
        <w:rPr>
          <w:rFonts w:cs="Guttman Rashi"/>
          <w:rtl/>
          <w:lang w:bidi="he-IL"/>
        </w:rPr>
        <w:t xml:space="preserve"> </w:t>
      </w:r>
      <w:r w:rsidRPr="00400C0B">
        <w:rPr>
          <w:rFonts w:cs="Guttman Rashi" w:hint="eastAsia"/>
          <w:rtl/>
          <w:lang w:bidi="he-IL"/>
        </w:rPr>
        <w:t>כזאת</w:t>
      </w:r>
      <w:r w:rsidRPr="00400C0B">
        <w:rPr>
          <w:rFonts w:cs="Guttman Rashi"/>
          <w:rtl/>
          <w:lang w:bidi="he-IL"/>
        </w:rPr>
        <w:t xml:space="preserve"> </w:t>
      </w:r>
      <w:r w:rsidRPr="00400C0B">
        <w:rPr>
          <w:rFonts w:cs="Guttman Rashi" w:hint="eastAsia"/>
          <w:rtl/>
          <w:lang w:bidi="he-IL"/>
        </w:rPr>
        <w:t>בדעת</w:t>
      </w:r>
      <w:r w:rsidRPr="00400C0B">
        <w:rPr>
          <w:rFonts w:cs="Guttman Rashi"/>
          <w:rtl/>
          <w:lang w:bidi="he-IL"/>
        </w:rPr>
        <w:t xml:space="preserve"> </w:t>
      </w:r>
      <w:r w:rsidRPr="00400C0B">
        <w:rPr>
          <w:rFonts w:cs="Guttman Rashi" w:hint="eastAsia"/>
          <w:rtl/>
          <w:lang w:bidi="he-IL"/>
        </w:rPr>
        <w:t>רבינו</w:t>
      </w:r>
      <w:r w:rsidRPr="00400C0B">
        <w:rPr>
          <w:rFonts w:cs="Guttman Rashi"/>
          <w:rtl/>
          <w:lang w:bidi="he-IL"/>
        </w:rPr>
        <w:t xml:space="preserve"> </w:t>
      </w:r>
      <w:r w:rsidRPr="00400C0B">
        <w:rPr>
          <w:rFonts w:cs="Guttman Rashi" w:hint="eastAsia"/>
          <w:rtl/>
          <w:lang w:bidi="he-IL"/>
        </w:rPr>
        <w:t>אפרים</w:t>
      </w:r>
      <w:r w:rsidRPr="00400C0B">
        <w:rPr>
          <w:rFonts w:cs="Guttman Rashi"/>
          <w:rtl/>
          <w:lang w:bidi="he-IL"/>
        </w:rPr>
        <w:t>.</w:t>
      </w:r>
    </w:p>
  </w:footnote>
  <w:footnote w:id="8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ולשון</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ממ</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ברור</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שמתפשט</w:t>
      </w:r>
      <w:r w:rsidRPr="00400C0B">
        <w:rPr>
          <w:rFonts w:cs="Guttman Rashi"/>
          <w:rtl/>
          <w:lang w:bidi="he-IL"/>
        </w:rPr>
        <w:t xml:space="preserve">, </w:t>
      </w:r>
      <w:r w:rsidRPr="00400C0B">
        <w:rPr>
          <w:rFonts w:cs="Guttman Rashi" w:hint="eastAsia"/>
          <w:rtl/>
          <w:lang w:bidi="he-IL"/>
        </w:rPr>
        <w:t>שהר</w:t>
      </w:r>
      <w:r w:rsidRPr="00400C0B">
        <w:rPr>
          <w:rFonts w:cs="Guttman Rashi"/>
          <w:rtl/>
          <w:lang w:bidi="he-IL"/>
        </w:rPr>
        <w:t xml:space="preserve"> </w:t>
      </w:r>
      <w:r w:rsidRPr="00400C0B">
        <w:rPr>
          <w:rFonts w:cs="Guttman Rashi" w:hint="eastAsia"/>
          <w:rtl/>
          <w:lang w:bidi="he-IL"/>
        </w:rPr>
        <w:t>רצו</w:t>
      </w:r>
      <w:r w:rsidRPr="00400C0B">
        <w:rPr>
          <w:rFonts w:cs="Guttman Rashi"/>
          <w:rtl/>
          <w:lang w:bidi="he-IL"/>
        </w:rPr>
        <w:t xml:space="preserve"> </w:t>
      </w:r>
      <w:r w:rsidRPr="00400C0B">
        <w:rPr>
          <w:rFonts w:cs="Guttman Rashi" w:hint="eastAsia"/>
          <w:rtl/>
          <w:lang w:bidi="he-IL"/>
        </w:rPr>
        <w:t>להתיר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שאר</w:t>
      </w:r>
      <w:r w:rsidRPr="00400C0B">
        <w:rPr>
          <w:rFonts w:cs="Guttman Rashi"/>
          <w:rtl/>
          <w:lang w:bidi="he-IL"/>
        </w:rPr>
        <w:t xml:space="preserve"> </w:t>
      </w:r>
      <w:r w:rsidRPr="00400C0B">
        <w:rPr>
          <w:rFonts w:cs="Guttman Rashi" w:hint="eastAsia"/>
          <w:rtl/>
          <w:lang w:bidi="he-IL"/>
        </w:rPr>
        <w:t>החתיכות</w:t>
      </w:r>
      <w:r w:rsidRPr="00400C0B">
        <w:rPr>
          <w:rFonts w:cs="Guttman Rashi"/>
          <w:rtl/>
          <w:lang w:bidi="he-IL"/>
        </w:rPr>
        <w:t>.</w:t>
      </w:r>
    </w:p>
  </w:footnote>
  <w:footnote w:id="8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דיעוין</w:t>
      </w:r>
      <w:r w:rsidRPr="00400C0B">
        <w:rPr>
          <w:rFonts w:cs="Guttman Rashi"/>
          <w:rtl/>
          <w:lang w:bidi="he-IL"/>
        </w:rPr>
        <w:t xml:space="preserve"> </w:t>
      </w:r>
      <w:r w:rsidRPr="00400C0B">
        <w:rPr>
          <w:rFonts w:cs="Guttman Rashi" w:hint="eastAsia"/>
          <w:rtl/>
          <w:lang w:bidi="he-IL"/>
        </w:rPr>
        <w:t>בספר</w:t>
      </w:r>
      <w:r w:rsidRPr="00400C0B">
        <w:rPr>
          <w:rFonts w:cs="Guttman Rashi"/>
          <w:rtl/>
          <w:lang w:bidi="he-IL"/>
        </w:rPr>
        <w:t xml:space="preserve"> </w:t>
      </w:r>
      <w:r w:rsidRPr="00400C0B">
        <w:rPr>
          <w:rFonts w:cs="Guttman Rashi" w:hint="eastAsia"/>
          <w:rtl/>
          <w:lang w:bidi="he-IL"/>
        </w:rPr>
        <w:t>היראים</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דף</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בהדיא</w:t>
      </w:r>
      <w:r w:rsidRPr="00400C0B">
        <w:rPr>
          <w:rFonts w:cs="Guttman Rashi"/>
          <w:rtl/>
          <w:lang w:bidi="he-IL"/>
        </w:rPr>
        <w:t xml:space="preserve"> </w:t>
      </w:r>
      <w:r w:rsidRPr="00400C0B">
        <w:rPr>
          <w:rFonts w:cs="Guttman Rashi" w:hint="eastAsia"/>
          <w:rtl/>
          <w:lang w:bidi="he-IL"/>
        </w:rPr>
        <w:t>שהטעם</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אומרים</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שדין</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מדרבנן</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שנקרא</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יבאו</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לשער</w:t>
      </w:r>
      <w:r w:rsidRPr="00400C0B">
        <w:rPr>
          <w:rFonts w:cs="Guttman Rashi"/>
          <w:rtl/>
          <w:lang w:bidi="he-IL"/>
        </w:rPr>
        <w:t xml:space="preserve"> </w:t>
      </w:r>
      <w:r w:rsidRPr="00400C0B">
        <w:rPr>
          <w:rFonts w:cs="Guttman Rashi" w:hint="eastAsia"/>
          <w:rtl/>
          <w:lang w:bidi="he-IL"/>
        </w:rPr>
        <w:t>בכולו</w:t>
      </w:r>
      <w:r w:rsidRPr="00400C0B">
        <w:rPr>
          <w:rFonts w:cs="Guttman Rashi"/>
          <w:rtl/>
          <w:lang w:bidi="he-IL"/>
        </w:rPr>
        <w:t xml:space="preserve"> </w:t>
      </w:r>
      <w:r w:rsidRPr="00400C0B">
        <w:rPr>
          <w:rFonts w:cs="Guttman Rashi" w:hint="eastAsia"/>
          <w:rtl/>
          <w:lang w:bidi="he-IL"/>
        </w:rPr>
        <w:t>יבאו</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בחתיכת</w:t>
      </w:r>
      <w:r w:rsidRPr="00400C0B">
        <w:rPr>
          <w:rFonts w:cs="Guttman Rashi"/>
          <w:rtl/>
          <w:lang w:bidi="he-IL"/>
        </w:rPr>
        <w:t xml:space="preserve"> </w:t>
      </w:r>
      <w:r w:rsidRPr="00400C0B">
        <w:rPr>
          <w:rFonts w:cs="Guttman Rashi" w:hint="eastAsia"/>
          <w:rtl/>
          <w:lang w:bidi="he-IL"/>
        </w:rPr>
        <w:t>נבילה</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יבאו</w:t>
      </w:r>
      <w:r w:rsidRPr="00400C0B">
        <w:rPr>
          <w:rFonts w:cs="Guttman Rashi"/>
          <w:rtl/>
          <w:lang w:bidi="he-IL"/>
        </w:rPr>
        <w:t xml:space="preserve"> </w:t>
      </w:r>
      <w:r w:rsidRPr="00400C0B">
        <w:rPr>
          <w:rFonts w:cs="Guttman Rashi" w:hint="eastAsia"/>
          <w:rtl/>
          <w:lang w:bidi="he-IL"/>
        </w:rPr>
        <w:t>לאחלופי</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שכתבו</w:t>
      </w:r>
      <w:r w:rsidRPr="00400C0B">
        <w:rPr>
          <w:rFonts w:cs="Guttman Rashi"/>
          <w:rtl/>
          <w:lang w:bidi="he-IL"/>
        </w:rPr>
        <w:t xml:space="preserve"> </w:t>
      </w:r>
      <w:r w:rsidRPr="00400C0B">
        <w:rPr>
          <w:rFonts w:cs="Guttman Rashi" w:hint="eastAsia"/>
          <w:rtl/>
          <w:lang w:bidi="he-IL"/>
        </w:rPr>
        <w:t>לבאר</w:t>
      </w:r>
      <w:r w:rsidRPr="00400C0B">
        <w:rPr>
          <w:rFonts w:cs="Guttman Rashi"/>
          <w:rtl/>
          <w:lang w:bidi="he-IL"/>
        </w:rPr>
        <w:t xml:space="preserve"> </w:t>
      </w:r>
      <w:r w:rsidRPr="00400C0B">
        <w:rPr>
          <w:rFonts w:cs="Guttman Rashi" w:hint="eastAsia"/>
          <w:rtl/>
          <w:lang w:bidi="he-IL"/>
        </w:rPr>
        <w:t>המתני</w:t>
      </w:r>
      <w:r w:rsidRPr="00400C0B">
        <w:rPr>
          <w:rFonts w:cs="Guttman Rashi"/>
          <w:rtl/>
          <w:lang w:bidi="he-IL"/>
        </w:rPr>
        <w:t xml:space="preserve">' </w:t>
      </w:r>
      <w:r w:rsidRPr="00400C0B">
        <w:rPr>
          <w:rFonts w:cs="Guttman Rashi" w:hint="eastAsia"/>
          <w:rtl/>
          <w:lang w:bidi="he-IL"/>
        </w:rPr>
        <w:t>דטיפת</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צע</w:t>
      </w:r>
      <w:r w:rsidRPr="00400C0B">
        <w:rPr>
          <w:rFonts w:cs="Guttman Rashi"/>
          <w:rtl/>
          <w:lang w:bidi="he-IL"/>
        </w:rPr>
        <w:t>"</w:t>
      </w:r>
      <w:r w:rsidRPr="00400C0B">
        <w:rPr>
          <w:rFonts w:cs="Guttman Rashi" w:hint="eastAsia"/>
          <w:rtl/>
          <w:lang w:bidi="he-IL"/>
        </w:rPr>
        <w:t>ג</w:t>
      </w:r>
      <w:r w:rsidRPr="00400C0B">
        <w:rPr>
          <w:rFonts w:cs="Guttman Rashi"/>
          <w:rtl/>
          <w:lang w:bidi="he-IL"/>
        </w:rPr>
        <w:t>.</w:t>
      </w:r>
    </w:p>
  </w:footnote>
  <w:footnote w:id="8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במגילת</w:t>
      </w:r>
      <w:r w:rsidRPr="00400C0B">
        <w:rPr>
          <w:rFonts w:cs="Guttman Rashi"/>
          <w:rtl/>
          <w:lang w:bidi="he-IL"/>
        </w:rPr>
        <w:t xml:space="preserve"> </w:t>
      </w:r>
      <w:r w:rsidRPr="00400C0B">
        <w:rPr>
          <w:rFonts w:cs="Guttman Rashi" w:hint="eastAsia"/>
          <w:rtl/>
          <w:lang w:bidi="he-IL"/>
        </w:rPr>
        <w:t>ספר</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להעיר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w:t>
      </w:r>
    </w:p>
  </w:footnote>
  <w:footnote w:id="8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שהארכנו</w:t>
      </w:r>
      <w:r w:rsidRPr="00400C0B">
        <w:rPr>
          <w:rFonts w:cs="Guttman Rashi"/>
          <w:rtl/>
          <w:lang w:bidi="he-IL"/>
        </w:rPr>
        <w:t xml:space="preserve"> </w:t>
      </w:r>
      <w:r w:rsidRPr="00400C0B">
        <w:rPr>
          <w:rFonts w:cs="Guttman Rashi" w:hint="eastAsia"/>
          <w:rtl/>
          <w:lang w:bidi="he-IL"/>
        </w:rPr>
        <w:t>בביאור</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ם</w:t>
      </w:r>
      <w:r w:rsidRPr="00400C0B">
        <w:rPr>
          <w:rFonts w:cs="Guttman Rashi"/>
          <w:rtl/>
          <w:lang w:bidi="he-IL"/>
        </w:rPr>
        <w:t>.</w:t>
      </w:r>
    </w:p>
  </w:footnote>
  <w:footnote w:id="8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p>
  </w:footnote>
  <w:footnote w:id="9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במגילת</w:t>
      </w:r>
      <w:r w:rsidRPr="00400C0B">
        <w:rPr>
          <w:rFonts w:cs="Guttman Rashi"/>
          <w:rtl/>
          <w:lang w:bidi="he-IL"/>
        </w:rPr>
        <w:t xml:space="preserve"> </w:t>
      </w:r>
      <w:r w:rsidRPr="00400C0B">
        <w:rPr>
          <w:rFonts w:cs="Guttman Rashi" w:hint="eastAsia"/>
          <w:rtl/>
          <w:lang w:bidi="he-IL"/>
        </w:rPr>
        <w:t>ספר</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נפק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בענין</w:t>
      </w:r>
      <w:r w:rsidRPr="00400C0B">
        <w:rPr>
          <w:rFonts w:cs="Guttman Rashi"/>
          <w:rtl/>
          <w:lang w:bidi="he-IL"/>
        </w:rPr>
        <w:t xml:space="preserve"> </w:t>
      </w:r>
      <w:r w:rsidRPr="00400C0B">
        <w:rPr>
          <w:rFonts w:cs="Guttman Rashi" w:hint="eastAsia"/>
          <w:rtl/>
          <w:lang w:bidi="he-IL"/>
        </w:rPr>
        <w:t>טעימת</w:t>
      </w:r>
      <w:r w:rsidRPr="00400C0B">
        <w:rPr>
          <w:rFonts w:cs="Guttman Rashi"/>
          <w:rtl/>
          <w:lang w:bidi="he-IL"/>
        </w:rPr>
        <w:t xml:space="preserve"> </w:t>
      </w:r>
      <w:r w:rsidRPr="00400C0B">
        <w:rPr>
          <w:rFonts w:cs="Guttman Rashi" w:hint="eastAsia"/>
          <w:rtl/>
          <w:lang w:bidi="he-IL"/>
        </w:rPr>
        <w:t>קפילא</w:t>
      </w:r>
      <w:r w:rsidRPr="00400C0B">
        <w:rPr>
          <w:rFonts w:cs="Guttman Rashi"/>
          <w:rtl/>
          <w:lang w:bidi="he-IL"/>
        </w:rPr>
        <w:t xml:space="preserve">, </w:t>
      </w:r>
      <w:r w:rsidRPr="00400C0B">
        <w:rPr>
          <w:rFonts w:cs="Guttman Rashi" w:hint="eastAsia"/>
          <w:rtl/>
          <w:lang w:bidi="he-IL"/>
        </w:rPr>
        <w:t>ודבר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יתבאר</w:t>
      </w:r>
      <w:r w:rsidRPr="00400C0B">
        <w:rPr>
          <w:rFonts w:cs="Guttman Rashi"/>
          <w:rtl/>
          <w:lang w:bidi="he-IL"/>
        </w:rPr>
        <w:t xml:space="preserve"> </w:t>
      </w:r>
      <w:r w:rsidRPr="00400C0B">
        <w:rPr>
          <w:rFonts w:cs="Guttman Rashi" w:hint="eastAsia"/>
          <w:rtl/>
          <w:lang w:bidi="he-IL"/>
        </w:rPr>
        <w:t>בסמוך</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בנד</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בהרחבה</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ב</w:t>
      </w:r>
      <w:r w:rsidRPr="00400C0B">
        <w:rPr>
          <w:rFonts w:cs="Guttman Rashi"/>
          <w:rtl/>
          <w:lang w:bidi="he-IL"/>
        </w:rPr>
        <w:t>.</w:t>
      </w:r>
    </w:p>
  </w:footnote>
  <w:footnote w:id="9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ז</w:t>
      </w:r>
    </w:p>
  </w:footnote>
  <w:footnote w:id="9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שאמנם</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כתבו</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כללים</w:t>
      </w:r>
      <w:r w:rsidRPr="00400C0B">
        <w:rPr>
          <w:rFonts w:cs="Guttman Rashi"/>
          <w:rtl/>
          <w:lang w:bidi="he-IL"/>
        </w:rPr>
        <w:t xml:space="preserve"> </w:t>
      </w:r>
      <w:r w:rsidRPr="00400C0B">
        <w:rPr>
          <w:rFonts w:cs="Guttman Rashi" w:hint="eastAsia"/>
          <w:rtl/>
          <w:lang w:bidi="he-IL"/>
        </w:rPr>
        <w:t>שונים</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לתבלין</w:t>
      </w:r>
      <w:r w:rsidRPr="00400C0B">
        <w:rPr>
          <w:rFonts w:cs="Guttman Rashi"/>
          <w:rtl/>
          <w:lang w:bidi="he-IL"/>
        </w:rPr>
        <w:t xml:space="preserve"> </w:t>
      </w:r>
      <w:r w:rsidRPr="00400C0B">
        <w:rPr>
          <w:rFonts w:cs="Guttman Rashi" w:hint="eastAsia"/>
          <w:rtl/>
          <w:lang w:bidi="he-IL"/>
        </w:rPr>
        <w:t>כח</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באלף</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אנו</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שכתבו</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שהכל</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דינו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p>
  </w:footnote>
  <w:footnote w:id="9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הב</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ובסוף</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ב</w:t>
      </w:r>
      <w:r w:rsidRPr="00400C0B">
        <w:rPr>
          <w:rFonts w:cs="Guttman Rashi"/>
          <w:rtl/>
          <w:lang w:bidi="he-IL"/>
        </w:rPr>
        <w:t>).</w:t>
      </w:r>
    </w:p>
  </w:footnote>
  <w:footnote w:id="9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שמה</w:t>
      </w:r>
      <w:r w:rsidRPr="00400C0B">
        <w:rPr>
          <w:rFonts w:cs="Guttman Rashi"/>
          <w:rtl/>
          <w:lang w:bidi="he-IL"/>
        </w:rPr>
        <w:t xml:space="preserve"> </w:t>
      </w:r>
      <w:r w:rsidRPr="00400C0B">
        <w:rPr>
          <w:rFonts w:cs="Guttman Rashi" w:hint="eastAsia"/>
          <w:rtl/>
          <w:lang w:bidi="he-IL"/>
        </w:rPr>
        <w:t>שהדגישו</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ותוס</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לעשות</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מבטלין</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דאל</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סתם</w:t>
      </w:r>
      <w:r w:rsidRPr="00400C0B">
        <w:rPr>
          <w:rFonts w:cs="Guttman Rashi"/>
          <w:rtl/>
          <w:lang w:bidi="he-IL"/>
        </w:rPr>
        <w:t xml:space="preserve"> </w:t>
      </w:r>
      <w:r w:rsidRPr="00400C0B">
        <w:rPr>
          <w:rFonts w:cs="Guttman Rashi" w:hint="eastAsia"/>
          <w:rtl/>
          <w:lang w:bidi="he-IL"/>
        </w:rPr>
        <w:t>המתני</w:t>
      </w:r>
      <w:r w:rsidRPr="00400C0B">
        <w:rPr>
          <w:rFonts w:cs="Guttman Rashi"/>
          <w:rtl/>
          <w:lang w:bidi="he-IL"/>
        </w:rPr>
        <w:t xml:space="preserve">' </w:t>
      </w:r>
      <w:r w:rsidRPr="00400C0B">
        <w:rPr>
          <w:rFonts w:cs="Guttman Rashi" w:hint="eastAsia"/>
          <w:rtl/>
          <w:lang w:bidi="he-IL"/>
        </w:rPr>
        <w:t>וכתב</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בחתיכה</w:t>
      </w:r>
      <w:r w:rsidRPr="00400C0B">
        <w:rPr>
          <w:rFonts w:cs="Guttman Rashi"/>
          <w:rtl/>
          <w:lang w:bidi="he-IL"/>
        </w:rPr>
        <w:t xml:space="preserve"> </w:t>
      </w:r>
      <w:r w:rsidRPr="00400C0B">
        <w:rPr>
          <w:rFonts w:cs="Guttman Rashi" w:hint="eastAsia"/>
          <w:rtl/>
          <w:lang w:bidi="he-IL"/>
        </w:rPr>
        <w:t>שהחתיכה</w:t>
      </w:r>
      <w:r w:rsidRPr="00400C0B">
        <w:rPr>
          <w:rFonts w:cs="Guttman Rashi"/>
          <w:rtl/>
          <w:lang w:bidi="he-IL"/>
        </w:rPr>
        <w:t xml:space="preserve"> </w:t>
      </w:r>
      <w:r w:rsidRPr="00400C0B">
        <w:rPr>
          <w:rFonts w:cs="Guttman Rashi" w:hint="eastAsia"/>
          <w:rtl/>
          <w:lang w:bidi="he-IL"/>
        </w:rPr>
        <w:t>אסורה</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תמיד</w:t>
      </w:r>
      <w:r w:rsidRPr="00400C0B">
        <w:rPr>
          <w:rFonts w:cs="Guttman Rashi"/>
          <w:rtl/>
          <w:lang w:bidi="he-IL"/>
        </w:rPr>
        <w:t xml:space="preserve"> </w:t>
      </w:r>
      <w:r w:rsidRPr="00400C0B">
        <w:rPr>
          <w:rFonts w:cs="Guttman Rashi" w:hint="eastAsia"/>
          <w:rtl/>
          <w:lang w:bidi="he-IL"/>
        </w:rPr>
        <w:t>אופן</w:t>
      </w:r>
      <w:r w:rsidRPr="00400C0B">
        <w:rPr>
          <w:rFonts w:cs="Guttman Rashi"/>
          <w:rtl/>
          <w:lang w:bidi="he-IL"/>
        </w:rPr>
        <w:t xml:space="preserve"> </w:t>
      </w:r>
      <w:r w:rsidRPr="00400C0B">
        <w:rPr>
          <w:rFonts w:cs="Guttman Rashi" w:hint="eastAsia"/>
          <w:rtl/>
          <w:lang w:bidi="he-IL"/>
        </w:rPr>
        <w:t>להכשיר</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שיבשלנה</w:t>
      </w:r>
      <w:r w:rsidRPr="00400C0B">
        <w:rPr>
          <w:rFonts w:cs="Guttman Rashi"/>
          <w:rtl/>
          <w:lang w:bidi="he-IL"/>
        </w:rPr>
        <w:t xml:space="preserve"> </w:t>
      </w:r>
      <w:r w:rsidRPr="00400C0B">
        <w:rPr>
          <w:rFonts w:cs="Guttman Rashi" w:hint="eastAsia"/>
          <w:rtl/>
          <w:lang w:bidi="he-IL"/>
        </w:rPr>
        <w:t>בקדרה</w:t>
      </w:r>
      <w:r w:rsidRPr="00400C0B">
        <w:rPr>
          <w:rFonts w:cs="Guttman Rashi"/>
          <w:rtl/>
          <w:lang w:bidi="he-IL"/>
        </w:rPr>
        <w:t xml:space="preserve"> </w:t>
      </w:r>
      <w:r w:rsidRPr="00400C0B">
        <w:rPr>
          <w:rFonts w:cs="Guttman Rashi" w:hint="eastAsia"/>
          <w:rtl/>
          <w:lang w:bidi="he-IL"/>
        </w:rPr>
        <w:t>אחרת</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הראשון</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ביארו</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עצה</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להתיר</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לעת</w:t>
      </w:r>
      <w:r w:rsidRPr="00400C0B">
        <w:rPr>
          <w:rFonts w:cs="Guttman Rashi"/>
          <w:rtl/>
          <w:lang w:bidi="he-IL"/>
        </w:rPr>
        <w:t xml:space="preserve"> </w:t>
      </w:r>
      <w:r w:rsidRPr="00400C0B">
        <w:rPr>
          <w:rFonts w:cs="Guttman Rashi" w:hint="eastAsia"/>
          <w:rtl/>
          <w:lang w:bidi="he-IL"/>
        </w:rPr>
        <w:t>עתה</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גמור</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עצה</w:t>
      </w:r>
      <w:r w:rsidRPr="00400C0B">
        <w:rPr>
          <w:rFonts w:cs="Guttman Rashi"/>
          <w:rtl/>
          <w:lang w:bidi="he-IL"/>
        </w:rPr>
        <w:t xml:space="preserve"> </w:t>
      </w:r>
      <w:r w:rsidRPr="00400C0B">
        <w:rPr>
          <w:rFonts w:cs="Guttman Rashi" w:hint="eastAsia"/>
          <w:rtl/>
          <w:lang w:bidi="he-IL"/>
        </w:rPr>
        <w:t>להכשיר</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להדגיש</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כוונתם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שהטעם</w:t>
      </w:r>
      <w:r w:rsidRPr="00400C0B">
        <w:rPr>
          <w:rFonts w:cs="Guttman Rashi"/>
          <w:rtl/>
          <w:lang w:bidi="he-IL"/>
        </w:rPr>
        <w:t xml:space="preserve"> </w:t>
      </w:r>
      <w:r w:rsidRPr="00400C0B">
        <w:rPr>
          <w:rFonts w:cs="Guttman Rashi" w:hint="eastAsia"/>
          <w:rtl/>
          <w:lang w:bidi="he-IL"/>
        </w:rPr>
        <w:t>שאסור</w:t>
      </w:r>
      <w:r w:rsidRPr="00400C0B">
        <w:rPr>
          <w:rFonts w:cs="Guttman Rashi"/>
          <w:rtl/>
          <w:lang w:bidi="he-IL"/>
        </w:rPr>
        <w:t xml:space="preserve"> </w:t>
      </w:r>
      <w:r w:rsidRPr="00400C0B">
        <w:rPr>
          <w:rFonts w:cs="Guttman Rashi" w:hint="eastAsia"/>
          <w:rtl/>
          <w:lang w:bidi="he-IL"/>
        </w:rPr>
        <w:t>לבשלו</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להוציא</w:t>
      </w:r>
      <w:r w:rsidRPr="00400C0B">
        <w:rPr>
          <w:rFonts w:cs="Guttman Rashi"/>
          <w:rtl/>
          <w:lang w:bidi="he-IL"/>
        </w:rPr>
        <w:t xml:space="preserve"> </w:t>
      </w:r>
      <w:r w:rsidRPr="00400C0B">
        <w:rPr>
          <w:rFonts w:cs="Guttman Rashi" w:hint="eastAsia"/>
          <w:rtl/>
          <w:lang w:bidi="he-IL"/>
        </w:rPr>
        <w:t>הבליעות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שבזה</w:t>
      </w:r>
      <w:r w:rsidRPr="00400C0B">
        <w:rPr>
          <w:rFonts w:cs="Guttman Rashi"/>
          <w:rtl/>
          <w:lang w:bidi="he-IL"/>
        </w:rPr>
        <w:t xml:space="preserve"> </w:t>
      </w:r>
      <w:r w:rsidRPr="00400C0B">
        <w:rPr>
          <w:rFonts w:cs="Guttman Rashi" w:hint="eastAsia"/>
          <w:rtl/>
          <w:lang w:bidi="he-IL"/>
        </w:rPr>
        <w:t>שמוציא</w:t>
      </w:r>
      <w:r w:rsidRPr="00400C0B">
        <w:rPr>
          <w:rFonts w:cs="Guttman Rashi"/>
          <w:rtl/>
          <w:lang w:bidi="he-IL"/>
        </w:rPr>
        <w:t xml:space="preserve"> </w:t>
      </w:r>
      <w:r w:rsidRPr="00400C0B">
        <w:rPr>
          <w:rFonts w:cs="Guttman Rashi" w:hint="eastAsia"/>
          <w:rtl/>
          <w:lang w:bidi="he-IL"/>
        </w:rPr>
        <w:t>הבליעות</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מבטלם</w:t>
      </w:r>
      <w:r w:rsidRPr="00400C0B">
        <w:rPr>
          <w:rFonts w:cs="Guttman Rashi"/>
          <w:rtl/>
          <w:lang w:bidi="he-IL"/>
        </w:rPr>
        <w:t xml:space="preserve"> </w:t>
      </w:r>
      <w:r w:rsidRPr="00400C0B">
        <w:rPr>
          <w:rFonts w:cs="Guttman Rashi" w:hint="eastAsia"/>
          <w:rtl/>
          <w:lang w:bidi="he-IL"/>
        </w:rPr>
        <w:t>במי</w:t>
      </w:r>
      <w:r w:rsidRPr="00400C0B">
        <w:rPr>
          <w:rFonts w:cs="Guttman Rashi"/>
          <w:rtl/>
          <w:lang w:bidi="he-IL"/>
        </w:rPr>
        <w:t xml:space="preserve"> </w:t>
      </w:r>
      <w:r w:rsidRPr="00400C0B">
        <w:rPr>
          <w:rFonts w:cs="Guttman Rashi" w:hint="eastAsia"/>
          <w:rtl/>
          <w:lang w:bidi="he-IL"/>
        </w:rPr>
        <w:t>ההגעלה</w:t>
      </w:r>
      <w:r w:rsidRPr="00400C0B">
        <w:rPr>
          <w:rFonts w:cs="Guttman Rashi"/>
          <w:rtl/>
          <w:lang w:bidi="he-IL"/>
        </w:rPr>
        <w:t xml:space="preserve">, </w:t>
      </w:r>
      <w:r w:rsidRPr="00400C0B">
        <w:rPr>
          <w:rFonts w:cs="Guttman Rashi" w:hint="eastAsia"/>
          <w:rtl/>
          <w:lang w:bidi="he-IL"/>
        </w:rPr>
        <w:t>דא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תיקשי</w:t>
      </w:r>
      <w:r w:rsidRPr="00400C0B">
        <w:rPr>
          <w:rFonts w:cs="Guttman Rashi"/>
          <w:rtl/>
          <w:lang w:bidi="he-IL"/>
        </w:rPr>
        <w:t xml:space="preserve"> </w:t>
      </w:r>
      <w:r w:rsidRPr="00400C0B">
        <w:rPr>
          <w:rFonts w:cs="Guttman Rashi" w:hint="eastAsia"/>
          <w:rtl/>
          <w:lang w:bidi="he-IL"/>
        </w:rPr>
        <w:t>להו</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מבטל</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במי</w:t>
      </w:r>
      <w:r w:rsidRPr="00400C0B">
        <w:rPr>
          <w:rFonts w:cs="Guttman Rashi"/>
          <w:rtl/>
          <w:lang w:bidi="he-IL"/>
        </w:rPr>
        <w:t xml:space="preserve"> </w:t>
      </w:r>
      <w:r w:rsidRPr="00400C0B">
        <w:rPr>
          <w:rFonts w:cs="Guttman Rashi" w:hint="eastAsia"/>
          <w:rtl/>
          <w:lang w:bidi="he-IL"/>
        </w:rPr>
        <w:t>ההגעלה</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כוונתם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להוציא</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הבליעות</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שאפשר</w:t>
      </w:r>
      <w:r w:rsidRPr="00400C0B">
        <w:rPr>
          <w:rFonts w:cs="Guttman Rashi"/>
          <w:rtl/>
          <w:lang w:bidi="he-IL"/>
        </w:rPr>
        <w:t xml:space="preserve"> </w:t>
      </w:r>
      <w:r w:rsidRPr="00400C0B">
        <w:rPr>
          <w:rFonts w:cs="Guttman Rashi" w:hint="eastAsia"/>
          <w:rtl/>
          <w:lang w:bidi="he-IL"/>
        </w:rPr>
        <w:t>להוציא</w:t>
      </w:r>
      <w:r w:rsidRPr="00400C0B">
        <w:rPr>
          <w:rFonts w:cs="Guttman Rashi"/>
          <w:rtl/>
          <w:lang w:bidi="he-IL"/>
        </w:rPr>
        <w:t xml:space="preserve"> </w:t>
      </w:r>
      <w:r w:rsidRPr="00400C0B">
        <w:rPr>
          <w:rFonts w:cs="Guttman Rashi" w:hint="eastAsia"/>
          <w:rtl/>
          <w:lang w:bidi="he-IL"/>
        </w:rPr>
        <w:t>מספיק</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נותן</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וכיון</w:t>
      </w:r>
      <w:r w:rsidRPr="00400C0B">
        <w:rPr>
          <w:rFonts w:cs="Guttman Rashi"/>
          <w:rtl/>
          <w:lang w:bidi="he-IL"/>
        </w:rPr>
        <w:t xml:space="preserve"> </w:t>
      </w:r>
      <w:r w:rsidRPr="00400C0B">
        <w:rPr>
          <w:rFonts w:cs="Guttman Rashi" w:hint="eastAsia"/>
          <w:rtl/>
          <w:lang w:bidi="he-IL"/>
        </w:rPr>
        <w:t>שכן</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נשאר</w:t>
      </w:r>
      <w:r w:rsidRPr="00400C0B">
        <w:rPr>
          <w:rFonts w:cs="Guttman Rashi"/>
          <w:rtl/>
          <w:lang w:bidi="he-IL"/>
        </w:rPr>
        <w:t xml:space="preserve"> </w:t>
      </w:r>
      <w:r w:rsidRPr="00400C0B">
        <w:rPr>
          <w:rFonts w:cs="Guttman Rashi" w:hint="eastAsia"/>
          <w:rtl/>
          <w:lang w:bidi="he-IL"/>
        </w:rPr>
        <w:t>בחתיכה</w:t>
      </w:r>
      <w:r w:rsidRPr="00400C0B">
        <w:rPr>
          <w:rFonts w:cs="Guttman Rashi"/>
          <w:rtl/>
          <w:lang w:bidi="he-IL"/>
        </w:rPr>
        <w:t xml:space="preserve"> </w:t>
      </w:r>
      <w:r w:rsidRPr="00400C0B">
        <w:rPr>
          <w:rFonts w:cs="Guttman Rashi" w:hint="eastAsia"/>
          <w:rtl/>
          <w:lang w:bidi="he-IL"/>
        </w:rPr>
        <w:t>בליעות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המבוטלים</w:t>
      </w:r>
      <w:r w:rsidRPr="00400C0B">
        <w:rPr>
          <w:rFonts w:cs="Guttman Rashi"/>
          <w:rtl/>
          <w:lang w:bidi="he-IL"/>
        </w:rPr>
        <w:t xml:space="preserve"> </w:t>
      </w:r>
      <w:r w:rsidRPr="00400C0B">
        <w:rPr>
          <w:rFonts w:cs="Guttman Rashi" w:hint="eastAsia"/>
          <w:rtl/>
          <w:lang w:bidi="he-IL"/>
        </w:rPr>
        <w:t>ויוצא</w:t>
      </w:r>
      <w:r w:rsidRPr="00400C0B">
        <w:rPr>
          <w:rFonts w:cs="Guttman Rashi"/>
          <w:rtl/>
          <w:lang w:bidi="he-IL"/>
        </w:rPr>
        <w:t xml:space="preserve"> </w:t>
      </w:r>
      <w:r w:rsidRPr="00400C0B">
        <w:rPr>
          <w:rFonts w:cs="Guttman Rashi" w:hint="eastAsia"/>
          <w:rtl/>
          <w:lang w:bidi="he-IL"/>
        </w:rPr>
        <w:t>שביטל</w:t>
      </w:r>
      <w:r w:rsidRPr="00400C0B">
        <w:rPr>
          <w:rFonts w:cs="Guttman Rashi"/>
          <w:rtl/>
          <w:lang w:bidi="he-IL"/>
        </w:rPr>
        <w:t xml:space="preserve"> </w:t>
      </w:r>
      <w:r w:rsidRPr="00400C0B">
        <w:rPr>
          <w:rFonts w:cs="Guttman Rashi" w:hint="eastAsia"/>
          <w:rtl/>
          <w:lang w:bidi="he-IL"/>
        </w:rPr>
        <w:t>בליעות</w:t>
      </w:r>
      <w:r w:rsidRPr="00400C0B">
        <w:rPr>
          <w:rFonts w:cs="Guttman Rashi"/>
          <w:rtl/>
          <w:lang w:bidi="he-IL"/>
        </w:rPr>
        <w:t xml:space="preserve"> </w:t>
      </w:r>
      <w:r w:rsidRPr="00400C0B">
        <w:rPr>
          <w:rFonts w:cs="Guttman Rashi" w:hint="eastAsia"/>
          <w:rtl/>
          <w:lang w:bidi="he-IL"/>
        </w:rPr>
        <w:t>אלו</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יצא</w:t>
      </w:r>
      <w:r w:rsidRPr="00400C0B">
        <w:rPr>
          <w:rFonts w:cs="Guttman Rashi"/>
          <w:rtl/>
          <w:lang w:bidi="he-IL"/>
        </w:rPr>
        <w:t xml:space="preserve"> </w:t>
      </w:r>
      <w:r w:rsidRPr="00400C0B">
        <w:rPr>
          <w:rFonts w:cs="Guttman Rashi" w:hint="eastAsia"/>
          <w:rtl/>
          <w:lang w:bidi="he-IL"/>
        </w:rPr>
        <w:t>חידוש</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בלע</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דרבנן</w:t>
      </w:r>
      <w:r w:rsidRPr="00400C0B">
        <w:rPr>
          <w:rFonts w:cs="Guttman Rashi"/>
          <w:rtl/>
          <w:lang w:bidi="he-IL"/>
        </w:rPr>
        <w:t xml:space="preserve"> </w:t>
      </w:r>
      <w:r w:rsidRPr="00400C0B">
        <w:rPr>
          <w:rFonts w:cs="Guttman Rashi" w:hint="eastAsia"/>
          <w:rtl/>
          <w:lang w:bidi="he-IL"/>
        </w:rPr>
        <w:t>שבזה</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שמותא</w:t>
      </w:r>
      <w:r w:rsidRPr="00400C0B">
        <w:rPr>
          <w:rFonts w:cs="Guttman Rashi"/>
          <w:rtl/>
          <w:lang w:bidi="he-IL"/>
        </w:rPr>
        <w:t xml:space="preserve"> </w:t>
      </w:r>
      <w:r w:rsidRPr="00400C0B">
        <w:rPr>
          <w:rFonts w:cs="Guttman Rashi" w:hint="eastAsia"/>
          <w:rtl/>
          <w:lang w:bidi="he-IL"/>
        </w:rPr>
        <w:t>לבטל</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שכבר</w:t>
      </w:r>
      <w:r w:rsidRPr="00400C0B">
        <w:rPr>
          <w:rFonts w:cs="Guttman Rashi"/>
          <w:rtl/>
          <w:lang w:bidi="he-IL"/>
        </w:rPr>
        <w:t xml:space="preserve"> </w:t>
      </w:r>
      <w:r w:rsidRPr="00400C0B">
        <w:rPr>
          <w:rFonts w:cs="Guttman Rashi" w:hint="eastAsia"/>
          <w:rtl/>
          <w:lang w:bidi="he-IL"/>
        </w:rPr>
        <w:t>מעורב</w:t>
      </w:r>
      <w:r w:rsidRPr="00400C0B">
        <w:rPr>
          <w:rFonts w:cs="Guttman Rashi"/>
          <w:rtl/>
          <w:lang w:bidi="he-IL"/>
        </w:rPr>
        <w:t xml:space="preserve"> </w:t>
      </w:r>
      <w:r w:rsidRPr="00400C0B">
        <w:rPr>
          <w:rFonts w:cs="Guttman Rashi" w:hint="eastAsia"/>
          <w:rtl/>
          <w:lang w:bidi="he-IL"/>
        </w:rPr>
        <w:t>דהה</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באוכלין</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להכשיר</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ויל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היד</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p>
  </w:footnote>
  <w:footnote w:id="9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למדו</w:t>
      </w:r>
      <w:r w:rsidRPr="00400C0B">
        <w:rPr>
          <w:rFonts w:cs="Guttman Rashi"/>
          <w:rtl/>
          <w:lang w:bidi="he-IL"/>
        </w:rPr>
        <w:t xml:space="preserve"> </w:t>
      </w:r>
      <w:r w:rsidRPr="00400C0B">
        <w:rPr>
          <w:rFonts w:cs="Guttman Rashi" w:hint="eastAsia"/>
          <w:rtl/>
          <w:lang w:bidi="he-IL"/>
        </w:rPr>
        <w:t>הב</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והש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בסי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ו</w:t>
      </w:r>
    </w:p>
  </w:footnote>
  <w:footnote w:id="9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ולפי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ביאור</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שדבר</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לסוחטו</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חתיכה</w:t>
      </w:r>
      <w:r w:rsidRPr="00400C0B">
        <w:rPr>
          <w:rFonts w:cs="Guttman Rashi"/>
          <w:rtl/>
          <w:lang w:bidi="he-IL"/>
        </w:rPr>
        <w:t xml:space="preserve"> </w:t>
      </w:r>
      <w:r w:rsidRPr="00400C0B">
        <w:rPr>
          <w:rFonts w:cs="Guttman Rashi" w:hint="eastAsia"/>
          <w:rtl/>
          <w:lang w:bidi="he-IL"/>
        </w:rPr>
        <w:t>עצמה</w:t>
      </w:r>
      <w:r w:rsidRPr="00400C0B">
        <w:rPr>
          <w:rFonts w:cs="Guttman Rashi"/>
          <w:rtl/>
          <w:lang w:bidi="he-IL"/>
        </w:rPr>
        <w:t xml:space="preserve"> </w:t>
      </w:r>
      <w:r w:rsidRPr="00400C0B">
        <w:rPr>
          <w:rFonts w:cs="Guttman Rashi" w:hint="eastAsia"/>
          <w:rtl/>
          <w:lang w:bidi="he-IL"/>
        </w:rPr>
        <w:t>נע</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שבאיסורא</w:t>
      </w:r>
      <w:r w:rsidRPr="00400C0B">
        <w:rPr>
          <w:rFonts w:cs="Guttman Rashi"/>
          <w:rtl/>
          <w:lang w:bidi="he-IL"/>
        </w:rPr>
        <w:t xml:space="preserve"> </w:t>
      </w:r>
      <w:r w:rsidRPr="00400C0B">
        <w:rPr>
          <w:rFonts w:cs="Guttman Rashi" w:hint="eastAsia"/>
          <w:rtl/>
          <w:lang w:bidi="he-IL"/>
        </w:rPr>
        <w:t>דבב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איסורים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לחלק</w:t>
      </w:r>
      <w:r w:rsidRPr="00400C0B">
        <w:rPr>
          <w:rFonts w:cs="Guttman Rashi"/>
          <w:rtl/>
          <w:lang w:bidi="he-IL"/>
        </w:rPr>
        <w:t>.</w:t>
      </w:r>
    </w:p>
  </w:footnote>
  <w:footnote w:id="9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לדידי</w:t>
      </w:r>
      <w:r w:rsidRPr="00400C0B">
        <w:rPr>
          <w:rFonts w:cs="Guttman Rashi"/>
          <w:rtl/>
          <w:lang w:bidi="he-IL"/>
        </w:rPr>
        <w:t xml:space="preserve">' </w:t>
      </w:r>
      <w:r w:rsidRPr="00400C0B">
        <w:rPr>
          <w:rFonts w:cs="Guttman Rashi" w:hint="eastAsia"/>
          <w:rtl/>
          <w:lang w:bidi="he-IL"/>
        </w:rPr>
        <w:t>הפירוש</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לסוחטו</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ממש</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דאילו</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לסחט</w:t>
      </w:r>
      <w:r w:rsidRPr="00400C0B">
        <w:rPr>
          <w:rFonts w:cs="Guttman Rashi"/>
          <w:rtl/>
          <w:lang w:bidi="he-IL"/>
        </w:rPr>
        <w:t xml:space="preserve"> </w:t>
      </w:r>
      <w:r w:rsidRPr="00400C0B">
        <w:rPr>
          <w:rFonts w:cs="Guttman Rashi" w:hint="eastAsia"/>
          <w:rtl/>
          <w:lang w:bidi="he-IL"/>
        </w:rPr>
        <w:t>ממנו</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שהביא</w:t>
      </w:r>
      <w:r w:rsidRPr="00400C0B">
        <w:rPr>
          <w:rFonts w:cs="Guttman Rashi"/>
          <w:rtl/>
          <w:lang w:bidi="he-IL"/>
        </w:rPr>
        <w:t xml:space="preserve"> </w:t>
      </w:r>
      <w:r w:rsidRPr="00400C0B">
        <w:rPr>
          <w:rFonts w:cs="Guttman Rashi" w:hint="eastAsia"/>
          <w:rtl/>
          <w:lang w:bidi="he-IL"/>
        </w:rPr>
        <w:t>פירוש</w:t>
      </w:r>
      <w:r w:rsidRPr="00400C0B">
        <w:rPr>
          <w:rFonts w:cs="Guttman Rashi"/>
          <w:rtl/>
          <w:lang w:bidi="he-IL"/>
        </w:rPr>
        <w:t xml:space="preserve"> </w:t>
      </w:r>
      <w:r w:rsidRPr="00400C0B">
        <w:rPr>
          <w:rFonts w:cs="Guttman Rashi" w:hint="eastAsia"/>
          <w:rtl/>
          <w:lang w:bidi="he-IL"/>
        </w:rPr>
        <w:t>כזה</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אמר</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דחוק</w:t>
      </w:r>
      <w:r w:rsidRPr="00400C0B">
        <w:rPr>
          <w:rFonts w:cs="Guttman Rashi"/>
          <w:rtl/>
          <w:lang w:bidi="he-IL"/>
        </w:rPr>
        <w:t>.</w:t>
      </w:r>
    </w:p>
  </w:footnote>
  <w:footnote w:id="9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ה</w:t>
      </w:r>
    </w:p>
  </w:footnote>
  <w:footnote w:id="9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NOTEREF</w:instrText>
      </w:r>
      <w:r w:rsidRPr="00400C0B">
        <w:rPr>
          <w:rFonts w:cs="Guttman Rashi"/>
          <w:rtl/>
          <w:lang w:bidi="he-IL"/>
        </w:rPr>
        <w:instrText xml:space="preserve"> _</w:instrText>
      </w:r>
      <w:r w:rsidRPr="00400C0B">
        <w:rPr>
          <w:rFonts w:cs="Guttman Rashi"/>
          <w:lang w:bidi="he-IL"/>
        </w:rPr>
        <w:instrText>Ref452362796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241</w:t>
      </w:r>
      <w:r w:rsidRPr="00400C0B">
        <w:rPr>
          <w:rFonts w:cs="Guttman Rashi"/>
          <w:rtl/>
          <w:lang w:bidi="he-IL"/>
        </w:rPr>
        <w:fldChar w:fldCharType="end"/>
      </w:r>
      <w:r w:rsidRPr="00400C0B">
        <w:rPr>
          <w:rFonts w:cs="Guttman Rashi"/>
          <w:rtl/>
          <w:lang w:bidi="he-IL"/>
        </w:rPr>
        <w:t xml:space="preserve"> </w:t>
      </w:r>
      <w:r w:rsidRPr="00400C0B">
        <w:rPr>
          <w:rFonts w:cs="Guttman Rashi" w:hint="eastAsia"/>
          <w:rtl/>
          <w:lang w:bidi="he-IL"/>
        </w:rPr>
        <w:t>שהערנו</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מדויק</w:t>
      </w:r>
      <w:r w:rsidRPr="00400C0B">
        <w:rPr>
          <w:rFonts w:cs="Guttman Rashi"/>
          <w:rtl/>
          <w:lang w:bidi="he-IL"/>
        </w:rPr>
        <w:t xml:space="preserve"> </w:t>
      </w:r>
      <w:r w:rsidRPr="00400C0B">
        <w:rPr>
          <w:rFonts w:cs="Guttman Rashi" w:hint="eastAsia"/>
          <w:rtl/>
          <w:lang w:bidi="he-IL"/>
        </w:rPr>
        <w:t>מדברי</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דתהני</w:t>
      </w:r>
      <w:r w:rsidRPr="00400C0B">
        <w:rPr>
          <w:rFonts w:cs="Guttman Rashi"/>
          <w:rtl/>
          <w:lang w:bidi="he-IL"/>
        </w:rPr>
        <w:t xml:space="preserve"> </w:t>
      </w:r>
      <w:r w:rsidRPr="00400C0B">
        <w:rPr>
          <w:rFonts w:cs="Guttman Rashi" w:hint="eastAsia"/>
          <w:rtl/>
          <w:lang w:bidi="he-IL"/>
        </w:rPr>
        <w:t>טעימת</w:t>
      </w:r>
      <w:r w:rsidRPr="00400C0B">
        <w:rPr>
          <w:rFonts w:cs="Guttman Rashi"/>
          <w:rtl/>
          <w:lang w:bidi="he-IL"/>
        </w:rPr>
        <w:t xml:space="preserve"> </w:t>
      </w:r>
      <w:r w:rsidRPr="00400C0B">
        <w:rPr>
          <w:rFonts w:cs="Guttman Rashi" w:hint="eastAsia"/>
          <w:rtl/>
          <w:lang w:bidi="he-IL"/>
        </w:rPr>
        <w:t>קפילא</w:t>
      </w:r>
      <w:r w:rsidRPr="00400C0B">
        <w:rPr>
          <w:rFonts w:cs="Guttman Rashi"/>
          <w:rtl/>
          <w:lang w:bidi="he-IL"/>
        </w:rPr>
        <w:t>.</w:t>
      </w:r>
    </w:p>
  </w:footnote>
  <w:footnote w:id="10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חת</w:t>
      </w:r>
      <w:r w:rsidRPr="00400C0B">
        <w:rPr>
          <w:rFonts w:cs="Guttman Rashi"/>
          <w:rtl/>
          <w:lang w:bidi="he-IL"/>
        </w:rPr>
        <w:t>"</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שבסמוך</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קושיא</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 xml:space="preserve">' </w:t>
      </w:r>
      <w:r w:rsidRPr="00400C0B">
        <w:rPr>
          <w:rFonts w:cs="Guttman Rashi" w:hint="eastAsia"/>
          <w:rtl/>
          <w:lang w:bidi="he-IL"/>
        </w:rPr>
        <w:t>שמואל</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מינו</w:t>
      </w:r>
      <w:r w:rsidRPr="00400C0B">
        <w:rPr>
          <w:rFonts w:cs="Guttman Rashi"/>
          <w:rtl/>
          <w:lang w:bidi="he-IL"/>
        </w:rPr>
        <w:t xml:space="preserve">, </w:t>
      </w:r>
      <w:r w:rsidRPr="00400C0B">
        <w:rPr>
          <w:rFonts w:cs="Guttman Rashi" w:hint="eastAsia"/>
          <w:rtl/>
          <w:lang w:bidi="he-IL"/>
        </w:rPr>
        <w:t>וכיון</w:t>
      </w:r>
      <w:r w:rsidRPr="00400C0B">
        <w:rPr>
          <w:rFonts w:cs="Guttman Rashi"/>
          <w:rtl/>
          <w:lang w:bidi="he-IL"/>
        </w:rPr>
        <w:t xml:space="preserve"> </w:t>
      </w:r>
      <w:r w:rsidRPr="00400C0B">
        <w:rPr>
          <w:rFonts w:cs="Guttman Rashi" w:hint="eastAsia"/>
          <w:rtl/>
          <w:lang w:bidi="he-IL"/>
        </w:rPr>
        <w:t>שרוטב</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עדשים</w:t>
      </w:r>
      <w:r w:rsidRPr="00400C0B">
        <w:rPr>
          <w:rFonts w:cs="Guttman Rashi"/>
          <w:rtl/>
          <w:lang w:bidi="he-IL"/>
        </w:rPr>
        <w:t xml:space="preserve"> </w:t>
      </w:r>
      <w:r w:rsidRPr="00400C0B">
        <w:rPr>
          <w:rFonts w:cs="Guttman Rashi" w:hint="eastAsia"/>
          <w:rtl/>
          <w:lang w:bidi="he-IL"/>
        </w:rPr>
        <w:t>שנבלע</w:t>
      </w:r>
      <w:r w:rsidRPr="00400C0B">
        <w:rPr>
          <w:rFonts w:cs="Guttman Rashi"/>
          <w:rtl/>
          <w:lang w:bidi="he-IL"/>
        </w:rPr>
        <w:t xml:space="preserve"> </w:t>
      </w:r>
      <w:r w:rsidRPr="00400C0B">
        <w:rPr>
          <w:rFonts w:cs="Guttman Rashi" w:hint="eastAsia"/>
          <w:rtl/>
          <w:lang w:bidi="he-IL"/>
        </w:rPr>
        <w:t>בגריסין</w:t>
      </w:r>
      <w:r w:rsidRPr="00400C0B">
        <w:rPr>
          <w:rFonts w:cs="Guttman Rashi"/>
          <w:rtl/>
          <w:lang w:bidi="he-IL"/>
        </w:rPr>
        <w:t xml:space="preserve"> </w:t>
      </w:r>
      <w:r w:rsidRPr="00400C0B">
        <w:rPr>
          <w:rFonts w:cs="Guttman Rashi" w:hint="eastAsia"/>
          <w:rtl/>
          <w:lang w:bidi="he-IL"/>
        </w:rPr>
        <w:t>נע</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בנידו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מעשה</w:t>
      </w:r>
      <w:r w:rsidRPr="00400C0B">
        <w:rPr>
          <w:rFonts w:cs="Guttman Rashi"/>
          <w:rtl/>
          <w:lang w:bidi="he-IL"/>
        </w:rPr>
        <w:t xml:space="preserve"> </w:t>
      </w:r>
      <w:r w:rsidRPr="00400C0B">
        <w:rPr>
          <w:rFonts w:cs="Guttman Rashi" w:hint="eastAsia"/>
          <w:rtl/>
          <w:lang w:bidi="he-IL"/>
        </w:rPr>
        <w:t>תרומה</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תרומה</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דינו</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בנו</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במאה</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תרומה</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שלשיטת</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שמואל</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דינו</w:t>
      </w:r>
      <w:r w:rsidRPr="00400C0B">
        <w:rPr>
          <w:rFonts w:cs="Guttman Rashi"/>
          <w:rtl/>
          <w:lang w:bidi="he-IL"/>
        </w:rPr>
        <w:t xml:space="preserve"> </w:t>
      </w:r>
      <w:r w:rsidRPr="00400C0B">
        <w:rPr>
          <w:rFonts w:cs="Guttman Rashi" w:hint="eastAsia"/>
          <w:rtl/>
          <w:lang w:bidi="he-IL"/>
        </w:rPr>
        <w:t>בנו</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ויעוין</w:t>
      </w:r>
      <w:r w:rsidRPr="00400C0B">
        <w:rPr>
          <w:rFonts w:cs="Guttman Rashi"/>
          <w:rtl/>
          <w:lang w:bidi="he-IL"/>
        </w:rPr>
        <w:t xml:space="preserve"> </w:t>
      </w:r>
      <w:r w:rsidRPr="00400C0B">
        <w:rPr>
          <w:rFonts w:cs="Guttman Rashi" w:hint="eastAsia"/>
          <w:rtl/>
          <w:lang w:bidi="he-IL"/>
        </w:rPr>
        <w:t>ברע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לחדש</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שמואל</w:t>
      </w:r>
      <w:r w:rsidRPr="00400C0B">
        <w:rPr>
          <w:rFonts w:cs="Guttman Rashi"/>
          <w:rtl/>
          <w:lang w:bidi="he-IL"/>
        </w:rPr>
        <w:t xml:space="preserve"> </w:t>
      </w:r>
      <w:r w:rsidRPr="00400C0B">
        <w:rPr>
          <w:rFonts w:cs="Guttman Rashi" w:hint="eastAsia"/>
          <w:rtl/>
          <w:lang w:bidi="he-IL"/>
        </w:rPr>
        <w:t>שאמנם</w:t>
      </w:r>
      <w:r w:rsidRPr="00400C0B">
        <w:rPr>
          <w:rFonts w:cs="Guttman Rashi"/>
          <w:rtl/>
          <w:lang w:bidi="he-IL"/>
        </w:rPr>
        <w:t xml:space="preserve"> </w:t>
      </w:r>
      <w:r w:rsidRPr="00400C0B">
        <w:rPr>
          <w:rFonts w:cs="Guttman Rashi" w:hint="eastAsia"/>
          <w:rtl/>
          <w:lang w:bidi="he-IL"/>
        </w:rPr>
        <w:t>ההיתר</w:t>
      </w:r>
      <w:r w:rsidRPr="00400C0B">
        <w:rPr>
          <w:rFonts w:cs="Guttman Rashi"/>
          <w:rtl/>
          <w:lang w:bidi="he-IL"/>
        </w:rPr>
        <w:t xml:space="preserve"> </w:t>
      </w:r>
      <w:r w:rsidRPr="00400C0B">
        <w:rPr>
          <w:rFonts w:cs="Guttman Rashi" w:hint="eastAsia"/>
          <w:rtl/>
          <w:lang w:bidi="he-IL"/>
        </w:rPr>
        <w:t>שנבלע</w:t>
      </w:r>
      <w:r w:rsidRPr="00400C0B">
        <w:rPr>
          <w:rFonts w:cs="Guttman Rashi"/>
          <w:rtl/>
          <w:lang w:bidi="he-IL"/>
        </w:rPr>
        <w:t xml:space="preserve"> </w:t>
      </w:r>
      <w:r w:rsidRPr="00400C0B">
        <w:rPr>
          <w:rFonts w:cs="Guttman Rashi" w:hint="eastAsia"/>
          <w:rtl/>
          <w:lang w:bidi="he-IL"/>
        </w:rPr>
        <w:t>באיסור</w:t>
      </w:r>
      <w:r w:rsidRPr="00400C0B">
        <w:rPr>
          <w:rFonts w:cs="Guttman Rashi"/>
          <w:rtl/>
          <w:lang w:bidi="he-IL"/>
        </w:rPr>
        <w:t xml:space="preserve"> </w:t>
      </w:r>
      <w:r w:rsidRPr="00400C0B">
        <w:rPr>
          <w:rFonts w:cs="Guttman Rashi" w:hint="eastAsia"/>
          <w:rtl/>
          <w:lang w:bidi="he-IL"/>
        </w:rPr>
        <w:t>נע</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ואוסר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מינו</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האוסר</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סתם</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לרוטב</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עדשים</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תרומה</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דינו</w:t>
      </w:r>
      <w:r w:rsidRPr="00400C0B">
        <w:rPr>
          <w:rFonts w:cs="Guttman Rashi"/>
          <w:rtl/>
          <w:lang w:bidi="he-IL"/>
        </w:rPr>
        <w:t xml:space="preserve"> </w:t>
      </w:r>
      <w:r w:rsidRPr="00400C0B">
        <w:rPr>
          <w:rFonts w:cs="Guttman Rashi" w:hint="eastAsia"/>
          <w:rtl/>
          <w:lang w:bidi="he-IL"/>
        </w:rPr>
        <w:t>ליבטל</w:t>
      </w:r>
      <w:r w:rsidRPr="00400C0B">
        <w:rPr>
          <w:rFonts w:cs="Guttman Rashi"/>
          <w:rtl/>
          <w:lang w:bidi="he-IL"/>
        </w:rPr>
        <w:t xml:space="preserve"> </w:t>
      </w:r>
      <w:r w:rsidRPr="00400C0B">
        <w:rPr>
          <w:rFonts w:cs="Guttman Rashi" w:hint="eastAsia"/>
          <w:rtl/>
          <w:lang w:bidi="he-IL"/>
        </w:rPr>
        <w:t>במאה</w:t>
      </w:r>
      <w:r w:rsidRPr="00400C0B">
        <w:rPr>
          <w:rFonts w:cs="Guttman Rashi"/>
          <w:rtl/>
          <w:lang w:bidi="he-IL"/>
        </w:rPr>
        <w:t>.</w:t>
      </w:r>
    </w:p>
  </w:footnote>
  <w:footnote w:id="10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סוף</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א</w:t>
      </w:r>
    </w:p>
  </w:footnote>
  <w:footnote w:id="10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ולפי</w:t>
      </w:r>
      <w:r w:rsidRPr="00400C0B">
        <w:rPr>
          <w:rFonts w:cs="Guttman Rashi"/>
          <w:rtl/>
          <w:lang w:bidi="he-IL"/>
        </w:rPr>
        <w:t xml:space="preserve"> </w:t>
      </w:r>
      <w:r w:rsidRPr="00400C0B">
        <w:rPr>
          <w:rFonts w:cs="Guttman Rashi" w:hint="eastAsia"/>
          <w:rtl/>
          <w:lang w:bidi="he-IL"/>
        </w:rPr>
        <w:t>פירוש</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דבא</w:t>
      </w:r>
      <w:r w:rsidRPr="00400C0B">
        <w:rPr>
          <w:rFonts w:cs="Guttman Rashi"/>
          <w:rtl/>
          <w:lang w:bidi="he-IL"/>
        </w:rPr>
        <w:t xml:space="preserve"> </w:t>
      </w:r>
      <w:r w:rsidRPr="00400C0B">
        <w:rPr>
          <w:rFonts w:cs="Guttman Rashi" w:hint="eastAsia"/>
          <w:rtl/>
          <w:lang w:bidi="he-IL"/>
        </w:rPr>
        <w:t>מיורה</w:t>
      </w:r>
      <w:r w:rsidRPr="00400C0B">
        <w:rPr>
          <w:rFonts w:cs="Guttman Rashi"/>
          <w:rtl/>
          <w:lang w:bidi="he-IL"/>
        </w:rPr>
        <w:t xml:space="preserve"> </w:t>
      </w:r>
      <w:r w:rsidRPr="00400C0B">
        <w:rPr>
          <w:rFonts w:cs="Guttman Rashi" w:hint="eastAsia"/>
          <w:rtl/>
          <w:lang w:bidi="he-IL"/>
        </w:rPr>
        <w:t>גדולה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עיקר</w:t>
      </w:r>
      <w:r w:rsidRPr="00400C0B">
        <w:rPr>
          <w:rFonts w:cs="Guttman Rashi"/>
          <w:rtl/>
          <w:lang w:bidi="he-IL"/>
        </w:rPr>
        <w:t xml:space="preserve"> </w:t>
      </w:r>
      <w:r w:rsidRPr="00400C0B">
        <w:rPr>
          <w:rFonts w:cs="Guttman Rashi" w:hint="eastAsia"/>
          <w:rtl/>
          <w:lang w:bidi="he-IL"/>
        </w:rPr>
        <w:t>הדגש</w:t>
      </w:r>
      <w:r w:rsidRPr="00400C0B">
        <w:rPr>
          <w:rFonts w:cs="Guttman Rashi"/>
          <w:rtl/>
          <w:lang w:bidi="he-IL"/>
        </w:rPr>
        <w:t xml:space="preserve"> </w:t>
      </w:r>
      <w:r w:rsidRPr="00400C0B">
        <w:rPr>
          <w:rFonts w:cs="Guttman Rashi" w:hint="eastAsia"/>
          <w:rtl/>
          <w:lang w:bidi="he-IL"/>
        </w:rPr>
        <w:t>היותו</w:t>
      </w:r>
      <w:r w:rsidRPr="00400C0B">
        <w:rPr>
          <w:rFonts w:cs="Guttman Rashi"/>
          <w:rtl/>
          <w:lang w:bidi="he-IL"/>
        </w:rPr>
        <w:t xml:space="preserve"> </w:t>
      </w:r>
      <w:r w:rsidRPr="00400C0B">
        <w:rPr>
          <w:rFonts w:cs="Guttman Rashi" w:hint="eastAsia"/>
          <w:rtl/>
          <w:lang w:bidi="he-IL"/>
        </w:rPr>
        <w:t>גדולה</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עיקר</w:t>
      </w:r>
      <w:r w:rsidRPr="00400C0B">
        <w:rPr>
          <w:rFonts w:cs="Guttman Rashi"/>
          <w:rtl/>
          <w:lang w:bidi="he-IL"/>
        </w:rPr>
        <w:t xml:space="preserve"> </w:t>
      </w:r>
      <w:r w:rsidRPr="00400C0B">
        <w:rPr>
          <w:rFonts w:cs="Guttman Rashi" w:hint="eastAsia"/>
          <w:rtl/>
          <w:lang w:bidi="he-IL"/>
        </w:rPr>
        <w:t>הכוונה</w:t>
      </w:r>
      <w:r w:rsidRPr="00400C0B">
        <w:rPr>
          <w:rFonts w:cs="Guttman Rashi"/>
          <w:rtl/>
          <w:lang w:bidi="he-IL"/>
        </w:rPr>
        <w:t xml:space="preserve"> </w:t>
      </w:r>
      <w:r w:rsidRPr="00400C0B">
        <w:rPr>
          <w:rFonts w:cs="Guttman Rashi" w:hint="eastAsia"/>
          <w:rtl/>
          <w:lang w:bidi="he-IL"/>
        </w:rPr>
        <w:t>שבא</w:t>
      </w:r>
      <w:r w:rsidRPr="00400C0B">
        <w:rPr>
          <w:rFonts w:cs="Guttman Rashi"/>
          <w:rtl/>
          <w:lang w:bidi="he-IL"/>
        </w:rPr>
        <w:t xml:space="preserve"> </w:t>
      </w:r>
      <w:r w:rsidRPr="00400C0B">
        <w:rPr>
          <w:rFonts w:cs="Guttman Rashi" w:hint="eastAsia"/>
          <w:rtl/>
          <w:lang w:bidi="he-IL"/>
        </w:rPr>
        <w:t>מיורה</w:t>
      </w:r>
      <w:r w:rsidRPr="00400C0B">
        <w:rPr>
          <w:rFonts w:cs="Guttman Rashi"/>
          <w:rtl/>
          <w:lang w:bidi="he-IL"/>
        </w:rPr>
        <w:t xml:space="preserve"> </w:t>
      </w:r>
      <w:r w:rsidRPr="00400C0B">
        <w:rPr>
          <w:rFonts w:cs="Guttman Rashi" w:hint="eastAsia"/>
          <w:rtl/>
          <w:lang w:bidi="he-IL"/>
        </w:rPr>
        <w:t>קודמת</w:t>
      </w:r>
      <w:r w:rsidRPr="00400C0B">
        <w:rPr>
          <w:rFonts w:cs="Guttman Rashi"/>
          <w:rtl/>
          <w:lang w:bidi="he-IL"/>
        </w:rPr>
        <w:t xml:space="preserve"> </w:t>
      </w:r>
      <w:r w:rsidRPr="00400C0B">
        <w:rPr>
          <w:rFonts w:cs="Guttman Rashi" w:hint="eastAsia"/>
          <w:rtl/>
          <w:lang w:bidi="he-IL"/>
        </w:rPr>
        <w:t>וכבר</w:t>
      </w:r>
      <w:r w:rsidRPr="00400C0B">
        <w:rPr>
          <w:rFonts w:cs="Guttman Rashi"/>
          <w:rtl/>
          <w:lang w:bidi="he-IL"/>
        </w:rPr>
        <w:t xml:space="preserve"> </w:t>
      </w:r>
      <w:r w:rsidRPr="00400C0B">
        <w:rPr>
          <w:rFonts w:cs="Guttman Rashi" w:hint="eastAsia"/>
          <w:rtl/>
          <w:lang w:bidi="he-IL"/>
        </w:rPr>
        <w:t>נתבשל</w:t>
      </w:r>
      <w:r w:rsidRPr="00400C0B">
        <w:rPr>
          <w:rFonts w:cs="Guttman Rashi"/>
          <w:rtl/>
          <w:lang w:bidi="he-IL"/>
        </w:rPr>
        <w:t xml:space="preserve"> </w:t>
      </w:r>
      <w:r w:rsidRPr="00400C0B">
        <w:rPr>
          <w:rFonts w:cs="Guttman Rashi" w:hint="eastAsia"/>
          <w:rtl/>
          <w:lang w:bidi="he-IL"/>
        </w:rPr>
        <w:t>פעם</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p>
  </w:footnote>
  <w:footnote w:id="10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בשערי</w:t>
      </w:r>
      <w:r w:rsidRPr="00400C0B">
        <w:rPr>
          <w:rFonts w:cs="Guttman Rashi"/>
          <w:rtl/>
          <w:lang w:bidi="he-IL"/>
        </w:rPr>
        <w:t xml:space="preserve"> </w:t>
      </w:r>
      <w:r w:rsidRPr="00400C0B">
        <w:rPr>
          <w:rFonts w:cs="Guttman Rashi" w:hint="eastAsia"/>
          <w:rtl/>
          <w:lang w:bidi="he-IL"/>
        </w:rPr>
        <w:t>שבת</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377.</w:t>
      </w:r>
    </w:p>
  </w:footnote>
  <w:footnote w:id="10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בחתיכת</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שכבר</w:t>
      </w:r>
      <w:r w:rsidRPr="00400C0B">
        <w:rPr>
          <w:rFonts w:cs="Guttman Rashi"/>
          <w:rtl/>
          <w:lang w:bidi="he-IL"/>
        </w:rPr>
        <w:t xml:space="preserve"> </w:t>
      </w:r>
      <w:r w:rsidRPr="00400C0B">
        <w:rPr>
          <w:rFonts w:cs="Guttman Rashi" w:hint="eastAsia"/>
          <w:rtl/>
          <w:lang w:bidi="he-IL"/>
        </w:rPr>
        <w:t>נאסרה</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ושוב</w:t>
      </w:r>
      <w:r w:rsidRPr="00400C0B">
        <w:rPr>
          <w:rFonts w:cs="Guttman Rashi"/>
          <w:rtl/>
          <w:lang w:bidi="he-IL"/>
        </w:rPr>
        <w:t xml:space="preserve"> </w:t>
      </w:r>
      <w:r w:rsidRPr="00400C0B">
        <w:rPr>
          <w:rFonts w:cs="Guttman Rashi" w:hint="eastAsia"/>
          <w:rtl/>
          <w:lang w:bidi="he-IL"/>
        </w:rPr>
        <w:t>סחטו</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החלב</w:t>
      </w:r>
      <w:r w:rsidRPr="00400C0B">
        <w:rPr>
          <w:rFonts w:cs="Guttman Rashi"/>
          <w:rtl/>
          <w:lang w:bidi="he-IL"/>
        </w:rPr>
        <w:t xml:space="preserve"> </w:t>
      </w:r>
      <w:r w:rsidRPr="00400C0B">
        <w:rPr>
          <w:rFonts w:cs="Guttman Rashi" w:hint="eastAsia"/>
          <w:rtl/>
          <w:lang w:bidi="he-IL"/>
        </w:rPr>
        <w:t>ממנו</w:t>
      </w:r>
      <w:r w:rsidRPr="00400C0B">
        <w:rPr>
          <w:rFonts w:cs="Guttman Rashi"/>
          <w:rtl/>
          <w:lang w:bidi="he-IL"/>
        </w:rPr>
        <w:t xml:space="preserve"> </w:t>
      </w:r>
      <w:r w:rsidRPr="00400C0B">
        <w:rPr>
          <w:rFonts w:cs="Guttman Rashi" w:hint="eastAsia"/>
          <w:rtl/>
          <w:lang w:bidi="he-IL"/>
        </w:rPr>
        <w:t>האם</w:t>
      </w:r>
      <w:r w:rsidRPr="00400C0B">
        <w:rPr>
          <w:rFonts w:cs="Guttman Rashi"/>
          <w:rtl/>
          <w:lang w:bidi="he-IL"/>
        </w:rPr>
        <w:t xml:space="preserve"> </w:t>
      </w:r>
      <w:r w:rsidRPr="00400C0B">
        <w:rPr>
          <w:rFonts w:cs="Guttman Rashi" w:hint="eastAsia"/>
          <w:rtl/>
          <w:lang w:bidi="he-IL"/>
        </w:rPr>
        <w:t>יהי</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בחלב</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ראוי</w:t>
      </w:r>
      <w:r w:rsidRPr="00400C0B">
        <w:rPr>
          <w:rFonts w:cs="Guttman Rashi"/>
          <w:rtl/>
          <w:lang w:bidi="he-IL"/>
        </w:rPr>
        <w:t xml:space="preserve"> </w:t>
      </w:r>
      <w:r w:rsidRPr="00400C0B">
        <w:rPr>
          <w:rFonts w:cs="Guttman Rashi" w:hint="eastAsia"/>
          <w:rtl/>
          <w:lang w:bidi="he-IL"/>
        </w:rPr>
        <w:t>להדגיש</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מצאנו</w:t>
      </w:r>
      <w:r w:rsidRPr="00400C0B">
        <w:rPr>
          <w:rFonts w:cs="Guttman Rashi"/>
          <w:rtl/>
          <w:lang w:bidi="he-IL"/>
        </w:rPr>
        <w:t xml:space="preserve"> </w:t>
      </w:r>
      <w:r w:rsidRPr="00400C0B">
        <w:rPr>
          <w:rFonts w:cs="Guttman Rashi" w:hint="eastAsia"/>
          <w:rtl/>
          <w:lang w:bidi="he-IL"/>
        </w:rPr>
        <w:t>ברמג</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שכבר</w:t>
      </w:r>
      <w:r w:rsidRPr="00400C0B">
        <w:rPr>
          <w:rFonts w:cs="Guttman Rashi"/>
          <w:rtl/>
          <w:lang w:bidi="he-IL"/>
        </w:rPr>
        <w:t xml:space="preserve"> </w:t>
      </w:r>
      <w:r w:rsidRPr="00400C0B">
        <w:rPr>
          <w:rFonts w:cs="Guttman Rashi" w:hint="eastAsia"/>
          <w:rtl/>
          <w:lang w:bidi="he-IL"/>
        </w:rPr>
        <w:t>אסרו</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לקח</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שנתבשל</w:t>
      </w:r>
      <w:r w:rsidRPr="00400C0B">
        <w:rPr>
          <w:rFonts w:cs="Guttman Rashi"/>
          <w:rtl/>
          <w:lang w:bidi="he-IL"/>
        </w:rPr>
        <w:t xml:space="preserve"> </w:t>
      </w:r>
      <w:r w:rsidRPr="00400C0B">
        <w:rPr>
          <w:rFonts w:cs="Guttman Rashi" w:hint="eastAsia"/>
          <w:rtl/>
          <w:lang w:bidi="he-IL"/>
        </w:rPr>
        <w:t>בפני</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וחלב</w:t>
      </w:r>
      <w:r w:rsidRPr="00400C0B">
        <w:rPr>
          <w:rFonts w:cs="Guttman Rashi"/>
          <w:rtl/>
          <w:lang w:bidi="he-IL"/>
        </w:rPr>
        <w:t xml:space="preserve"> </w:t>
      </w:r>
      <w:r w:rsidRPr="00400C0B">
        <w:rPr>
          <w:rFonts w:cs="Guttman Rashi" w:hint="eastAsia"/>
          <w:rtl/>
          <w:lang w:bidi="he-IL"/>
        </w:rPr>
        <w:t>שנתבשל</w:t>
      </w:r>
      <w:r w:rsidRPr="00400C0B">
        <w:rPr>
          <w:rFonts w:cs="Guttman Rashi"/>
          <w:rtl/>
          <w:lang w:bidi="he-IL"/>
        </w:rPr>
        <w:t xml:space="preserve"> </w:t>
      </w:r>
      <w:r w:rsidRPr="00400C0B">
        <w:rPr>
          <w:rFonts w:cs="Guttman Rashi" w:hint="eastAsia"/>
          <w:rtl/>
          <w:lang w:bidi="he-IL"/>
        </w:rPr>
        <w:t>בפני</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ובישלן</w:t>
      </w:r>
      <w:r w:rsidRPr="00400C0B">
        <w:rPr>
          <w:rFonts w:cs="Guttman Rashi"/>
          <w:rtl/>
          <w:lang w:bidi="he-IL"/>
        </w:rPr>
        <w:t xml:space="preserve"> </w:t>
      </w:r>
      <w:r w:rsidRPr="00400C0B">
        <w:rPr>
          <w:rFonts w:cs="Guttman Rashi" w:hint="eastAsia"/>
          <w:rtl/>
          <w:lang w:bidi="he-IL"/>
        </w:rPr>
        <w:t>ביחד</w:t>
      </w:r>
      <w:r w:rsidRPr="00400C0B">
        <w:rPr>
          <w:rFonts w:cs="Guttman Rashi"/>
          <w:rtl/>
          <w:lang w:bidi="he-IL"/>
        </w:rPr>
        <w:t xml:space="preserve"> </w:t>
      </w:r>
      <w:r w:rsidRPr="00400C0B">
        <w:rPr>
          <w:rFonts w:cs="Guttman Rashi" w:hint="eastAsia"/>
          <w:rtl/>
          <w:lang w:bidi="he-IL"/>
        </w:rPr>
        <w:t>שיהא</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p>
  </w:footnote>
  <w:footnote w:id="10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מהר</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חביב</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מקצת</w:t>
      </w:r>
      <w:r w:rsidRPr="00400C0B">
        <w:rPr>
          <w:rFonts w:cs="Guttman Rashi"/>
          <w:rtl/>
          <w:lang w:bidi="he-IL"/>
        </w:rPr>
        <w:t xml:space="preserve"> </w:t>
      </w:r>
      <w:r w:rsidRPr="00400C0B">
        <w:rPr>
          <w:rFonts w:cs="Guttman Rashi" w:hint="eastAsia"/>
          <w:rtl/>
          <w:lang w:bidi="he-IL"/>
        </w:rPr>
        <w:t>בתוך</w:t>
      </w:r>
      <w:r w:rsidRPr="00400C0B">
        <w:rPr>
          <w:rFonts w:cs="Guttman Rashi"/>
          <w:rtl/>
          <w:lang w:bidi="he-IL"/>
        </w:rPr>
        <w:t xml:space="preserve"> </w:t>
      </w:r>
      <w:r w:rsidRPr="00400C0B">
        <w:rPr>
          <w:rFonts w:cs="Guttman Rashi" w:hint="eastAsia"/>
          <w:rtl/>
          <w:lang w:bidi="he-IL"/>
        </w:rPr>
        <w:t>הרוטב</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מתפשט</w:t>
      </w:r>
      <w:r w:rsidRPr="00400C0B">
        <w:rPr>
          <w:rFonts w:cs="Guttman Rashi"/>
          <w:rtl/>
          <w:lang w:bidi="he-IL"/>
        </w:rPr>
        <w:t xml:space="preserve"> </w:t>
      </w:r>
      <w:r w:rsidRPr="00400C0B">
        <w:rPr>
          <w:rFonts w:cs="Guttman Rashi" w:hint="eastAsia"/>
          <w:rtl/>
          <w:lang w:bidi="he-IL"/>
        </w:rPr>
        <w:t>בכולו</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ניעור</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שיפול</w:t>
      </w:r>
      <w:r w:rsidRPr="00400C0B">
        <w:rPr>
          <w:rFonts w:cs="Guttman Rashi"/>
          <w:rtl/>
          <w:lang w:bidi="he-IL"/>
        </w:rPr>
        <w:t xml:space="preserve"> </w:t>
      </w:r>
      <w:r w:rsidRPr="00400C0B">
        <w:rPr>
          <w:rFonts w:cs="Guttman Rashi" w:hint="eastAsia"/>
          <w:rtl/>
          <w:lang w:bidi="he-IL"/>
        </w:rPr>
        <w:t>מקצתו</w:t>
      </w:r>
      <w:r w:rsidRPr="00400C0B">
        <w:rPr>
          <w:rFonts w:cs="Guttman Rashi"/>
          <w:rtl/>
          <w:lang w:bidi="he-IL"/>
        </w:rPr>
        <w:t xml:space="preserve"> </w:t>
      </w:r>
      <w:r w:rsidRPr="00400C0B">
        <w:rPr>
          <w:rFonts w:cs="Guttman Rashi" w:hint="eastAsia"/>
          <w:rtl/>
          <w:lang w:bidi="he-IL"/>
        </w:rPr>
        <w:t>לתוך</w:t>
      </w:r>
      <w:r w:rsidRPr="00400C0B">
        <w:rPr>
          <w:rFonts w:cs="Guttman Rashi"/>
          <w:rtl/>
          <w:lang w:bidi="he-IL"/>
        </w:rPr>
        <w:t xml:space="preserve"> </w:t>
      </w:r>
      <w:r w:rsidRPr="00400C0B">
        <w:rPr>
          <w:rFonts w:cs="Guttman Rashi" w:hint="eastAsia"/>
          <w:rtl/>
          <w:lang w:bidi="he-IL"/>
        </w:rPr>
        <w:t>הרוטב</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מאד</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להבין</w:t>
      </w:r>
      <w:r w:rsidRPr="00400C0B">
        <w:rPr>
          <w:rFonts w:cs="Guttman Rashi"/>
          <w:rtl/>
          <w:lang w:bidi="he-IL"/>
        </w:rPr>
        <w:t xml:space="preserve"> </w:t>
      </w:r>
      <w:r w:rsidRPr="00400C0B">
        <w:rPr>
          <w:rFonts w:cs="Guttman Rashi" w:hint="eastAsia"/>
          <w:rtl/>
          <w:lang w:bidi="he-IL"/>
        </w:rPr>
        <w:t>מהו</w:t>
      </w:r>
      <w:r w:rsidRPr="00400C0B">
        <w:rPr>
          <w:rFonts w:cs="Guttman Rashi"/>
          <w:rtl/>
          <w:lang w:bidi="he-IL"/>
        </w:rPr>
        <w:t xml:space="preserve"> </w:t>
      </w:r>
      <w:r w:rsidRPr="00400C0B">
        <w:rPr>
          <w:rFonts w:cs="Guttman Rashi" w:hint="eastAsia"/>
          <w:rtl/>
          <w:lang w:bidi="he-IL"/>
        </w:rPr>
        <w:t>ענין</w:t>
      </w:r>
      <w:r w:rsidRPr="00400C0B">
        <w:rPr>
          <w:rFonts w:cs="Guttman Rashi"/>
          <w:rtl/>
          <w:lang w:bidi="he-IL"/>
        </w:rPr>
        <w:t xml:space="preserve"> '</w:t>
      </w:r>
      <w:r w:rsidRPr="00400C0B">
        <w:rPr>
          <w:rFonts w:cs="Guttman Rashi" w:hint="eastAsia"/>
          <w:rtl/>
          <w:lang w:bidi="he-IL"/>
        </w:rPr>
        <w:t>פה</w:t>
      </w:r>
      <w:r w:rsidRPr="00400C0B">
        <w:rPr>
          <w:rFonts w:cs="Guttman Rashi"/>
          <w:rtl/>
          <w:lang w:bidi="he-IL"/>
        </w:rPr>
        <w:t xml:space="preserve"> </w:t>
      </w:r>
      <w:r w:rsidRPr="00400C0B">
        <w:rPr>
          <w:rFonts w:cs="Guttman Rashi" w:hint="eastAsia"/>
          <w:rtl/>
          <w:lang w:bidi="he-IL"/>
        </w:rPr>
        <w:t>יפה</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p>
  </w:footnote>
  <w:footnote w:id="10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והנה</w:t>
      </w:r>
      <w:r w:rsidRPr="00400C0B">
        <w:rPr>
          <w:rFonts w:cs="Guttman Rashi"/>
          <w:rtl/>
          <w:lang w:bidi="he-IL"/>
        </w:rPr>
        <w:t xml:space="preserve"> </w:t>
      </w:r>
      <w:r w:rsidRPr="00400C0B">
        <w:rPr>
          <w:rFonts w:cs="Guttman Rashi" w:hint="eastAsia"/>
          <w:rtl/>
          <w:lang w:bidi="he-IL"/>
        </w:rPr>
        <w:t>ראיתי</w:t>
      </w:r>
      <w:r w:rsidRPr="00400C0B">
        <w:rPr>
          <w:rFonts w:cs="Guttman Rashi"/>
          <w:rtl/>
          <w:lang w:bidi="he-IL"/>
        </w:rPr>
        <w:t xml:space="preserve"> </w:t>
      </w:r>
      <w:r w:rsidRPr="00400C0B">
        <w:rPr>
          <w:rFonts w:cs="Guttman Rashi" w:hint="eastAsia"/>
          <w:rtl/>
          <w:lang w:bidi="he-IL"/>
        </w:rPr>
        <w:t>בחי</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והיינו</w:t>
      </w:r>
      <w:r w:rsidRPr="00400C0B">
        <w:rPr>
          <w:rFonts w:cs="Guttman Rashi"/>
          <w:rtl/>
          <w:lang w:bidi="he-IL"/>
        </w:rPr>
        <w:t xml:space="preserve"> </w:t>
      </w:r>
      <w:r w:rsidRPr="00400C0B">
        <w:rPr>
          <w:rFonts w:cs="Guttman Rashi" w:hint="eastAsia"/>
          <w:rtl/>
          <w:lang w:bidi="he-IL"/>
        </w:rPr>
        <w:t>דשמעינן</w:t>
      </w:r>
      <w:r w:rsidRPr="00400C0B">
        <w:rPr>
          <w:rFonts w:cs="Guttman Rashi"/>
          <w:rtl/>
          <w:lang w:bidi="he-IL"/>
        </w:rPr>
        <w:t xml:space="preserve"> </w:t>
      </w:r>
      <w:r w:rsidRPr="00400C0B">
        <w:rPr>
          <w:rFonts w:cs="Guttman Rashi" w:hint="eastAsia"/>
          <w:rtl/>
          <w:lang w:bidi="he-IL"/>
        </w:rPr>
        <w:t>מהא</w:t>
      </w:r>
      <w:r w:rsidRPr="00400C0B">
        <w:rPr>
          <w:rFonts w:cs="Guttman Rashi"/>
          <w:rtl/>
          <w:lang w:bidi="he-IL"/>
        </w:rPr>
        <w:t xml:space="preserve"> </w:t>
      </w:r>
      <w:r w:rsidRPr="00400C0B">
        <w:rPr>
          <w:rFonts w:cs="Guttman Rashi" w:hint="eastAsia"/>
          <w:rtl/>
          <w:lang w:bidi="he-IL"/>
        </w:rPr>
        <w:t>דרב</w:t>
      </w:r>
      <w:r w:rsidRPr="00400C0B">
        <w:rPr>
          <w:rFonts w:cs="Guttman Rashi"/>
          <w:rtl/>
          <w:lang w:bidi="he-IL"/>
        </w:rPr>
        <w:t xml:space="preserve"> </w:t>
      </w:r>
      <w:r w:rsidRPr="00400C0B">
        <w:rPr>
          <w:rFonts w:cs="Guttman Rashi" w:hint="eastAsia"/>
          <w:rtl/>
          <w:lang w:bidi="he-IL"/>
        </w:rPr>
        <w:t>דלית</w:t>
      </w:r>
      <w:r w:rsidRPr="00400C0B">
        <w:rPr>
          <w:rFonts w:cs="Guttman Rashi"/>
          <w:rtl/>
          <w:lang w:bidi="he-IL"/>
        </w:rPr>
        <w:t xml:space="preserve"> </w:t>
      </w:r>
      <w:r w:rsidRPr="00400C0B">
        <w:rPr>
          <w:rFonts w:cs="Guttman Rashi" w:hint="eastAsia"/>
          <w:rtl/>
          <w:lang w:bidi="he-IL"/>
        </w:rPr>
        <w:t>ליה</w:t>
      </w:r>
      <w:r w:rsidRPr="00400C0B">
        <w:rPr>
          <w:rFonts w:cs="Guttman Rashi"/>
          <w:rtl/>
          <w:lang w:bidi="he-IL"/>
        </w:rPr>
        <w:t xml:space="preserve"> </w:t>
      </w:r>
      <w:r w:rsidRPr="00400C0B">
        <w:rPr>
          <w:rFonts w:cs="Guttman Rashi" w:hint="eastAsia"/>
          <w:rtl/>
          <w:lang w:bidi="he-IL"/>
        </w:rPr>
        <w:t>סלק</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מינו</w:t>
      </w:r>
      <w:r w:rsidRPr="00400C0B">
        <w:rPr>
          <w:rFonts w:cs="Guttman Rashi"/>
          <w:rtl/>
          <w:lang w:bidi="he-IL"/>
        </w:rPr>
        <w:t xml:space="preserve"> </w:t>
      </w:r>
      <w:r w:rsidRPr="00400C0B">
        <w:rPr>
          <w:rFonts w:cs="Guttman Rashi" w:hint="eastAsia"/>
          <w:rtl/>
          <w:lang w:bidi="he-IL"/>
        </w:rPr>
        <w:t>כמי</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בקדרה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הרבה</w:t>
      </w:r>
      <w:r w:rsidRPr="00400C0B">
        <w:rPr>
          <w:rFonts w:cs="Guttman Rashi"/>
          <w:rtl/>
          <w:lang w:bidi="he-IL"/>
        </w:rPr>
        <w:t xml:space="preserve"> </w:t>
      </w:r>
      <w:r w:rsidRPr="00400C0B">
        <w:rPr>
          <w:rFonts w:cs="Guttman Rashi" w:hint="eastAsia"/>
          <w:rtl/>
          <w:lang w:bidi="he-IL"/>
        </w:rPr>
        <w:t>רוטב</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לבטל</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הטפה</w:t>
      </w:r>
      <w:r w:rsidRPr="00400C0B">
        <w:rPr>
          <w:rFonts w:cs="Guttman Rashi"/>
          <w:rtl/>
          <w:lang w:bidi="he-IL"/>
        </w:rPr>
        <w:t xml:space="preserve">". </w:t>
      </w:r>
      <w:r w:rsidRPr="00400C0B">
        <w:rPr>
          <w:rFonts w:cs="Guttman Rashi" w:hint="eastAsia"/>
          <w:rtl/>
          <w:lang w:bidi="he-IL"/>
        </w:rPr>
        <w:t>ודבריו</w:t>
      </w:r>
      <w:r w:rsidRPr="00400C0B">
        <w:rPr>
          <w:rFonts w:cs="Guttman Rashi"/>
          <w:rtl/>
          <w:lang w:bidi="he-IL"/>
        </w:rPr>
        <w:t xml:space="preserve"> </w:t>
      </w:r>
      <w:r w:rsidRPr="00400C0B">
        <w:rPr>
          <w:rFonts w:cs="Guttman Rashi" w:hint="eastAsia"/>
          <w:rtl/>
          <w:lang w:bidi="he-IL"/>
        </w:rPr>
        <w:t>אינם</w:t>
      </w:r>
      <w:r w:rsidRPr="00400C0B">
        <w:rPr>
          <w:rFonts w:cs="Guttman Rashi"/>
          <w:rtl/>
          <w:lang w:bidi="he-IL"/>
        </w:rPr>
        <w:t xml:space="preserve"> </w:t>
      </w:r>
      <w:r w:rsidRPr="00400C0B">
        <w:rPr>
          <w:rFonts w:cs="Guttman Rashi" w:hint="eastAsia"/>
          <w:rtl/>
          <w:lang w:bidi="he-IL"/>
        </w:rPr>
        <w:t>מובנים</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לשית</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נע</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לבטל</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הטפה</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בהמשך</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אית</w:t>
      </w:r>
      <w:r w:rsidRPr="00400C0B">
        <w:rPr>
          <w:rFonts w:cs="Guttman Rashi"/>
          <w:rtl/>
          <w:lang w:bidi="he-IL"/>
        </w:rPr>
        <w:t xml:space="preserve"> </w:t>
      </w:r>
      <w:r w:rsidRPr="00400C0B">
        <w:rPr>
          <w:rFonts w:cs="Guttman Rashi" w:hint="eastAsia"/>
          <w:rtl/>
          <w:lang w:bidi="he-IL"/>
        </w:rPr>
        <w:t>בקדרה</w:t>
      </w:r>
      <w:r w:rsidRPr="00400C0B">
        <w:rPr>
          <w:rFonts w:cs="Guttman Rashi"/>
          <w:rtl/>
          <w:lang w:bidi="he-IL"/>
        </w:rPr>
        <w:t xml:space="preserve"> </w:t>
      </w:r>
      <w:r w:rsidRPr="00400C0B">
        <w:rPr>
          <w:rFonts w:cs="Guttman Rashi" w:hint="eastAsia"/>
          <w:rtl/>
          <w:lang w:bidi="he-IL"/>
        </w:rPr>
        <w:t>רוטב</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מינה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חתיכה</w:t>
      </w:r>
      <w:r w:rsidRPr="00400C0B">
        <w:rPr>
          <w:rFonts w:cs="Guttman Rashi"/>
          <w:rtl/>
          <w:lang w:bidi="he-IL"/>
        </w:rPr>
        <w:t xml:space="preserve"> </w:t>
      </w:r>
      <w:r w:rsidRPr="00400C0B">
        <w:rPr>
          <w:rFonts w:cs="Guttman Rashi" w:hint="eastAsia"/>
          <w:rtl/>
          <w:lang w:bidi="he-IL"/>
        </w:rPr>
        <w:t>שמבטל</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הטפה</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טעות</w:t>
      </w:r>
      <w:r w:rsidRPr="00400C0B">
        <w:rPr>
          <w:rFonts w:cs="Guttman Rashi"/>
          <w:rtl/>
          <w:lang w:bidi="he-IL"/>
        </w:rPr>
        <w:t xml:space="preserve"> </w:t>
      </w:r>
      <w:r w:rsidRPr="00400C0B">
        <w:rPr>
          <w:rFonts w:cs="Guttman Rashi" w:hint="eastAsia"/>
          <w:rtl/>
          <w:lang w:bidi="he-IL"/>
        </w:rPr>
        <w:t>המדפיסים</w:t>
      </w:r>
      <w:r w:rsidRPr="00400C0B">
        <w:rPr>
          <w:rFonts w:cs="Guttman Rashi"/>
          <w:rtl/>
          <w:lang w:bidi="he-IL"/>
        </w:rPr>
        <w:t xml:space="preserve"> </w:t>
      </w:r>
      <w:r w:rsidRPr="00400C0B">
        <w:rPr>
          <w:rFonts w:cs="Guttman Rashi" w:hint="eastAsia"/>
          <w:rtl/>
          <w:lang w:bidi="he-IL"/>
        </w:rPr>
        <w:t>הקדמונים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לפלא</w:t>
      </w:r>
      <w:r w:rsidRPr="00400C0B">
        <w:rPr>
          <w:rFonts w:cs="Guttman Rashi"/>
          <w:rtl/>
          <w:lang w:bidi="he-IL"/>
        </w:rPr>
        <w:t xml:space="preserve"> </w:t>
      </w:r>
      <w:r w:rsidRPr="00400C0B">
        <w:rPr>
          <w:rFonts w:cs="Guttman Rashi" w:hint="eastAsia"/>
          <w:rtl/>
          <w:lang w:bidi="he-IL"/>
        </w:rPr>
        <w:t>שהמגי</w:t>
      </w:r>
      <w:r w:rsidRPr="00400C0B">
        <w:rPr>
          <w:rFonts w:cs="Guttman Rashi"/>
          <w:rtl/>
          <w:lang w:bidi="he-IL"/>
        </w:rPr>
        <w:t xml:space="preserve">' </w:t>
      </w:r>
      <w:r w:rsidRPr="00400C0B">
        <w:rPr>
          <w:rFonts w:cs="Guttman Rashi" w:hint="eastAsia"/>
          <w:rtl/>
          <w:lang w:bidi="he-IL"/>
        </w:rPr>
        <w:t>לרשב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העיר</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כלום</w:t>
      </w:r>
      <w:r w:rsidRPr="00400C0B">
        <w:rPr>
          <w:rFonts w:cs="Guttman Rashi"/>
          <w:rtl/>
          <w:lang w:bidi="he-IL"/>
        </w:rPr>
        <w:t xml:space="preserve">. </w:t>
      </w:r>
      <w:r w:rsidRPr="00400C0B">
        <w:rPr>
          <w:rFonts w:cs="Guttman Rashi" w:hint="eastAsia"/>
          <w:rtl/>
          <w:lang w:bidi="he-IL"/>
        </w:rPr>
        <w:t>וראיתי</w:t>
      </w:r>
      <w:r w:rsidRPr="00400C0B">
        <w:rPr>
          <w:rFonts w:cs="Guttman Rashi"/>
          <w:rtl/>
          <w:lang w:bidi="he-IL"/>
        </w:rPr>
        <w:t xml:space="preserve"> </w:t>
      </w:r>
      <w:r w:rsidRPr="00400C0B">
        <w:rPr>
          <w:rFonts w:cs="Guttman Rashi" w:hint="eastAsia"/>
          <w:rtl/>
          <w:lang w:bidi="he-IL"/>
        </w:rPr>
        <w:t>בשחיטת</w:t>
      </w:r>
      <w:r w:rsidRPr="00400C0B">
        <w:rPr>
          <w:rFonts w:cs="Guttman Rashi"/>
          <w:rtl/>
          <w:lang w:bidi="he-IL"/>
        </w:rPr>
        <w:t xml:space="preserve"> </w:t>
      </w:r>
      <w:r w:rsidRPr="00400C0B">
        <w:rPr>
          <w:rFonts w:cs="Guttman Rashi" w:hint="eastAsia"/>
          <w:rtl/>
          <w:lang w:bidi="he-IL"/>
        </w:rPr>
        <w:t>חולין</w:t>
      </w:r>
      <w:r w:rsidRPr="00400C0B">
        <w:rPr>
          <w:rFonts w:cs="Guttman Rashi"/>
          <w:rtl/>
          <w:lang w:bidi="he-IL"/>
        </w:rPr>
        <w:t xml:space="preserve"> </w:t>
      </w:r>
      <w:r w:rsidRPr="00400C0B">
        <w:rPr>
          <w:rFonts w:cs="Guttman Rashi" w:hint="eastAsia"/>
          <w:rtl/>
          <w:lang w:bidi="he-IL"/>
        </w:rPr>
        <w:t>בסוף</w:t>
      </w:r>
      <w:r w:rsidRPr="00400C0B">
        <w:rPr>
          <w:rFonts w:cs="Guttman Rashi"/>
          <w:rtl/>
          <w:lang w:bidi="he-IL"/>
        </w:rPr>
        <w:t xml:space="preserve"> </w:t>
      </w:r>
      <w:r w:rsidRPr="00400C0B">
        <w:rPr>
          <w:rFonts w:cs="Guttman Rashi" w:hint="eastAsia"/>
          <w:rtl/>
          <w:lang w:bidi="he-IL"/>
        </w:rPr>
        <w:t>דף</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העיר</w:t>
      </w:r>
      <w:r w:rsidRPr="00400C0B">
        <w:rPr>
          <w:rFonts w:cs="Guttman Rashi"/>
          <w:rtl/>
          <w:lang w:bidi="he-IL"/>
        </w:rPr>
        <w:t xml:space="preserve"> </w:t>
      </w:r>
      <w:r w:rsidRPr="00400C0B">
        <w:rPr>
          <w:rFonts w:cs="Guttman Rashi" w:hint="eastAsia"/>
          <w:rtl/>
          <w:lang w:bidi="he-IL"/>
        </w:rPr>
        <w:t>מלשון</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וה</w:t>
      </w:r>
      <w:r w:rsidRPr="00400C0B">
        <w:rPr>
          <w:rFonts w:cs="Guttman Rashi"/>
          <w:rtl/>
          <w:lang w:bidi="he-IL"/>
        </w:rPr>
        <w:t xml:space="preserve">' </w:t>
      </w:r>
      <w:r w:rsidRPr="00400C0B">
        <w:rPr>
          <w:rFonts w:cs="Guttman Rashi" w:hint="eastAsia"/>
          <w:rtl/>
          <w:lang w:bidi="he-IL"/>
        </w:rPr>
        <w:t>יאיר</w:t>
      </w:r>
      <w:r w:rsidRPr="00400C0B">
        <w:rPr>
          <w:rFonts w:cs="Guttman Rashi"/>
          <w:rtl/>
          <w:lang w:bidi="he-IL"/>
        </w:rPr>
        <w:t xml:space="preserve"> </w:t>
      </w:r>
      <w:r w:rsidRPr="00400C0B">
        <w:rPr>
          <w:rFonts w:cs="Guttman Rashi" w:hint="eastAsia"/>
          <w:rtl/>
          <w:lang w:bidi="he-IL"/>
        </w:rPr>
        <w:t>עיני</w:t>
      </w:r>
      <w:r w:rsidRPr="00400C0B">
        <w:rPr>
          <w:rFonts w:cs="Guttman Rashi"/>
          <w:rtl/>
          <w:lang w:bidi="he-IL"/>
        </w:rPr>
        <w:t xml:space="preserve">.  </w:t>
      </w:r>
    </w:p>
  </w:footnote>
  <w:footnote w:id="10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והנה</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הביאו</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לכלל</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בליעה</w:t>
      </w:r>
      <w:r w:rsidRPr="00400C0B">
        <w:rPr>
          <w:rFonts w:cs="Guttman Rashi"/>
          <w:rtl/>
          <w:lang w:bidi="he-IL"/>
        </w:rPr>
        <w:t xml:space="preserve"> </w:t>
      </w:r>
      <w:r w:rsidRPr="00400C0B">
        <w:rPr>
          <w:rFonts w:cs="Guttman Rashi" w:hint="eastAsia"/>
          <w:rtl/>
          <w:lang w:bidi="he-IL"/>
        </w:rPr>
        <w:t>עובר</w:t>
      </w:r>
      <w:r w:rsidRPr="00400C0B">
        <w:rPr>
          <w:rFonts w:cs="Guttman Rashi"/>
          <w:rtl/>
          <w:lang w:bidi="he-IL"/>
        </w:rPr>
        <w:t xml:space="preserve"> </w:t>
      </w:r>
      <w:r w:rsidRPr="00400C0B">
        <w:rPr>
          <w:rFonts w:cs="Guttman Rashi" w:hint="eastAsia"/>
          <w:rtl/>
          <w:lang w:bidi="he-IL"/>
        </w:rPr>
        <w:t>בלי</w:t>
      </w:r>
      <w:r w:rsidRPr="00400C0B">
        <w:rPr>
          <w:rFonts w:cs="Guttman Rashi"/>
          <w:rtl/>
          <w:lang w:bidi="he-IL"/>
        </w:rPr>
        <w:t xml:space="preserve"> </w:t>
      </w:r>
      <w:r w:rsidRPr="00400C0B">
        <w:rPr>
          <w:rFonts w:cs="Guttman Rashi" w:hint="eastAsia"/>
          <w:rtl/>
          <w:lang w:bidi="he-IL"/>
        </w:rPr>
        <w:t>רוטב</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שבדף</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דקאמר</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ניער</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מיבלע</w:t>
      </w:r>
      <w:r w:rsidRPr="00400C0B">
        <w:rPr>
          <w:rFonts w:cs="Guttman Rashi"/>
          <w:rtl/>
          <w:lang w:bidi="he-IL"/>
        </w:rPr>
        <w:t xml:space="preserve"> </w:t>
      </w:r>
      <w:r w:rsidRPr="00400C0B">
        <w:rPr>
          <w:rFonts w:cs="Guttman Rashi" w:hint="eastAsia"/>
          <w:rtl/>
          <w:lang w:bidi="he-IL"/>
        </w:rPr>
        <w:t>בלע</w:t>
      </w:r>
      <w:r w:rsidRPr="00400C0B">
        <w:rPr>
          <w:rFonts w:cs="Guttman Rashi"/>
          <w:rtl/>
          <w:lang w:bidi="he-IL"/>
        </w:rPr>
        <w:t xml:space="preserve"> </w:t>
      </w:r>
      <w:r w:rsidRPr="00400C0B">
        <w:rPr>
          <w:rFonts w:cs="Guttman Rashi" w:hint="eastAsia"/>
          <w:rtl/>
          <w:lang w:bidi="he-IL"/>
        </w:rPr>
        <w:t>מיפלט</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פליט</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מפורש</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הבליעה</w:t>
      </w:r>
      <w:r w:rsidRPr="00400C0B">
        <w:rPr>
          <w:rFonts w:cs="Guttman Rashi"/>
          <w:rtl/>
          <w:lang w:bidi="he-IL"/>
        </w:rPr>
        <w:t xml:space="preserve"> </w:t>
      </w:r>
      <w:r w:rsidRPr="00400C0B">
        <w:rPr>
          <w:rFonts w:cs="Guttman Rashi" w:hint="eastAsia"/>
          <w:rtl/>
          <w:lang w:bidi="he-IL"/>
        </w:rPr>
        <w:t>עוברת</w:t>
      </w:r>
      <w:r w:rsidRPr="00400C0B">
        <w:rPr>
          <w:rFonts w:cs="Guttman Rashi"/>
          <w:rtl/>
          <w:lang w:bidi="he-IL"/>
        </w:rPr>
        <w:t xml:space="preserve">. </w:t>
      </w:r>
      <w:r w:rsidRPr="00400C0B">
        <w:rPr>
          <w:rFonts w:cs="Guttman Rashi" w:hint="eastAsia"/>
          <w:rtl/>
          <w:lang w:bidi="he-IL"/>
        </w:rPr>
        <w:t>והר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דחה</w:t>
      </w:r>
      <w:r w:rsidRPr="00400C0B">
        <w:rPr>
          <w:rFonts w:cs="Guttman Rashi"/>
          <w:rtl/>
          <w:lang w:bidi="he-IL"/>
        </w:rPr>
        <w:t xml:space="preserve"> </w:t>
      </w:r>
      <w:r w:rsidRPr="00400C0B">
        <w:rPr>
          <w:rFonts w:cs="Guttman Rashi" w:hint="eastAsia"/>
          <w:rtl/>
          <w:lang w:bidi="he-IL"/>
        </w:rPr>
        <w:t>שהגמ</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הצד</w:t>
      </w:r>
      <w:r w:rsidRPr="00400C0B">
        <w:rPr>
          <w:rFonts w:cs="Guttman Rashi"/>
          <w:rtl/>
          <w:lang w:bidi="he-IL"/>
        </w:rPr>
        <w:t xml:space="preserve"> </w:t>
      </w:r>
      <w:r w:rsidRPr="00400C0B">
        <w:rPr>
          <w:rFonts w:cs="Guttman Rashi" w:hint="eastAsia"/>
          <w:rtl/>
          <w:lang w:bidi="he-IL"/>
        </w:rPr>
        <w:t>דאפשר</w:t>
      </w:r>
      <w:r w:rsidRPr="00400C0B">
        <w:rPr>
          <w:rFonts w:cs="Guttman Rashi"/>
          <w:rtl/>
          <w:lang w:bidi="he-IL"/>
        </w:rPr>
        <w:t xml:space="preserve"> </w:t>
      </w:r>
      <w:r w:rsidRPr="00400C0B">
        <w:rPr>
          <w:rFonts w:cs="Guttman Rashi" w:hint="eastAsia"/>
          <w:rtl/>
          <w:lang w:bidi="he-IL"/>
        </w:rPr>
        <w:t>לסוחטו</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וכוונת</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פליטה</w:t>
      </w:r>
      <w:r w:rsidRPr="00400C0B">
        <w:rPr>
          <w:rFonts w:cs="Guttman Rashi"/>
          <w:rtl/>
          <w:lang w:bidi="he-IL"/>
        </w:rPr>
        <w:t xml:space="preserve"> </w:t>
      </w:r>
      <w:r w:rsidRPr="00400C0B">
        <w:rPr>
          <w:rFonts w:cs="Guttman Rashi" w:hint="eastAsia"/>
          <w:rtl/>
          <w:lang w:bidi="he-IL"/>
        </w:rPr>
        <w:t>האסורה</w:t>
      </w:r>
      <w:r w:rsidRPr="00400C0B">
        <w:rPr>
          <w:rFonts w:cs="Guttman Rashi"/>
          <w:rtl/>
          <w:lang w:bidi="he-IL"/>
        </w:rPr>
        <w:t xml:space="preserve"> </w:t>
      </w:r>
      <w:r w:rsidRPr="00400C0B">
        <w:rPr>
          <w:rFonts w:cs="Guttman Rashi" w:hint="eastAsia"/>
          <w:rtl/>
          <w:lang w:bidi="he-IL"/>
        </w:rPr>
        <w:t>עוברת</w:t>
      </w:r>
      <w:r w:rsidRPr="00400C0B">
        <w:rPr>
          <w:rFonts w:cs="Guttman Rashi"/>
          <w:rtl/>
          <w:lang w:bidi="he-IL"/>
        </w:rPr>
        <w:t xml:space="preserve">. </w:t>
      </w:r>
      <w:r w:rsidRPr="00400C0B">
        <w:rPr>
          <w:rFonts w:cs="Guttman Rashi" w:hint="eastAsia"/>
          <w:rtl/>
          <w:lang w:bidi="he-IL"/>
        </w:rPr>
        <w:t>ופי</w:t>
      </w:r>
      <w:r w:rsidRPr="00400C0B">
        <w:rPr>
          <w:rFonts w:cs="Guttman Rashi"/>
          <w:rtl/>
          <w:lang w:bidi="he-IL"/>
        </w:rPr>
        <w:t xml:space="preserve">' </w:t>
      </w:r>
      <w:r w:rsidRPr="00400C0B">
        <w:rPr>
          <w:rFonts w:cs="Guttman Rashi" w:hint="eastAsia"/>
          <w:rtl/>
          <w:lang w:bidi="he-IL"/>
        </w:rPr>
        <w:t>צע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ניער</w:t>
      </w:r>
      <w:r w:rsidRPr="00400C0B">
        <w:rPr>
          <w:rFonts w:cs="Guttman Rashi"/>
          <w:rtl/>
          <w:lang w:bidi="he-IL"/>
        </w:rPr>
        <w:t xml:space="preserve"> </w:t>
      </w:r>
      <w:r w:rsidRPr="00400C0B">
        <w:rPr>
          <w:rFonts w:cs="Guttman Rashi" w:hint="eastAsia"/>
          <w:rtl/>
          <w:lang w:bidi="he-IL"/>
        </w:rPr>
        <w:t>לבסוף</w:t>
      </w:r>
      <w:r w:rsidRPr="00400C0B">
        <w:rPr>
          <w:rFonts w:cs="Guttman Rashi"/>
          <w:rtl/>
          <w:lang w:bidi="he-IL"/>
        </w:rPr>
        <w:t xml:space="preserve"> </w:t>
      </w:r>
      <w:r w:rsidRPr="00400C0B">
        <w:rPr>
          <w:rFonts w:cs="Guttman Rashi" w:hint="eastAsia"/>
          <w:rtl/>
          <w:lang w:bidi="he-IL"/>
        </w:rPr>
        <w:t>קאמר</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בלע</w:t>
      </w:r>
      <w:r w:rsidRPr="00400C0B">
        <w:rPr>
          <w:rFonts w:cs="Guttman Rashi"/>
          <w:rtl/>
          <w:lang w:bidi="he-IL"/>
        </w:rPr>
        <w:t xml:space="preserve"> </w:t>
      </w:r>
      <w:r w:rsidRPr="00400C0B">
        <w:rPr>
          <w:rFonts w:cs="Guttman Rashi" w:hint="eastAsia"/>
          <w:rtl/>
          <w:lang w:bidi="he-IL"/>
        </w:rPr>
        <w:t>והא</w:t>
      </w:r>
      <w:r w:rsidRPr="00400C0B">
        <w:rPr>
          <w:rFonts w:cs="Guttman Rashi"/>
          <w:rtl/>
          <w:lang w:bidi="he-IL"/>
        </w:rPr>
        <w:t xml:space="preserve"> </w:t>
      </w:r>
      <w:r w:rsidRPr="00400C0B">
        <w:rPr>
          <w:rFonts w:cs="Guttman Rashi" w:hint="eastAsia"/>
          <w:rtl/>
          <w:lang w:bidi="he-IL"/>
        </w:rPr>
        <w:t>פלט</w:t>
      </w:r>
      <w:r w:rsidRPr="00400C0B">
        <w:rPr>
          <w:rFonts w:cs="Guttman Rashi"/>
          <w:rtl/>
          <w:lang w:bidi="he-IL"/>
        </w:rPr>
        <w:t xml:space="preserve">, </w:t>
      </w:r>
      <w:r w:rsidRPr="00400C0B">
        <w:rPr>
          <w:rFonts w:cs="Guttman Rashi" w:hint="eastAsia"/>
          <w:rtl/>
          <w:lang w:bidi="he-IL"/>
        </w:rPr>
        <w:t>ומאי</w:t>
      </w:r>
      <w:r w:rsidRPr="00400C0B">
        <w:rPr>
          <w:rFonts w:cs="Guttman Rashi"/>
          <w:rtl/>
          <w:lang w:bidi="he-IL"/>
        </w:rPr>
        <w:t xml:space="preserve"> </w:t>
      </w:r>
      <w:r w:rsidRPr="00400C0B">
        <w:rPr>
          <w:rFonts w:cs="Guttman Rashi" w:hint="eastAsia"/>
          <w:rtl/>
          <w:lang w:bidi="he-IL"/>
        </w:rPr>
        <w:t>שנא</w:t>
      </w:r>
      <w:r w:rsidRPr="00400C0B">
        <w:rPr>
          <w:rFonts w:cs="Guttman Rashi"/>
          <w:rtl/>
          <w:lang w:bidi="he-IL"/>
        </w:rPr>
        <w:t xml:space="preserve"> </w:t>
      </w:r>
      <w:r w:rsidRPr="00400C0B">
        <w:rPr>
          <w:rFonts w:cs="Guttman Rashi" w:hint="eastAsia"/>
          <w:rtl/>
          <w:lang w:bidi="he-IL"/>
        </w:rPr>
        <w:t>ניער</w:t>
      </w:r>
      <w:r w:rsidRPr="00400C0B">
        <w:rPr>
          <w:rFonts w:cs="Guttman Rashi"/>
          <w:rtl/>
          <w:lang w:bidi="he-IL"/>
        </w:rPr>
        <w:t xml:space="preserve"> </w:t>
      </w:r>
      <w:r w:rsidRPr="00400C0B">
        <w:rPr>
          <w:rFonts w:cs="Guttman Rashi" w:hint="eastAsia"/>
          <w:rtl/>
          <w:lang w:bidi="he-IL"/>
        </w:rPr>
        <w:t>מלא</w:t>
      </w:r>
      <w:r w:rsidRPr="00400C0B">
        <w:rPr>
          <w:rFonts w:cs="Guttman Rashi"/>
          <w:rtl/>
          <w:lang w:bidi="he-IL"/>
        </w:rPr>
        <w:t xml:space="preserve"> </w:t>
      </w:r>
      <w:r w:rsidRPr="00400C0B">
        <w:rPr>
          <w:rFonts w:cs="Guttman Rashi" w:hint="eastAsia"/>
          <w:rtl/>
          <w:lang w:bidi="he-IL"/>
        </w:rPr>
        <w:t>ניער</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בתרוייהו</w:t>
      </w:r>
      <w:r w:rsidRPr="00400C0B">
        <w:rPr>
          <w:rFonts w:cs="Guttman Rashi"/>
          <w:rtl/>
          <w:lang w:bidi="he-IL"/>
        </w:rPr>
        <w:t xml:space="preserve"> </w:t>
      </w:r>
      <w:r w:rsidRPr="00400C0B">
        <w:rPr>
          <w:rFonts w:cs="Guttman Rashi" w:hint="eastAsia"/>
          <w:rtl/>
          <w:lang w:bidi="he-IL"/>
        </w:rPr>
        <w:t>עובר</w:t>
      </w:r>
      <w:r w:rsidRPr="00400C0B">
        <w:rPr>
          <w:rFonts w:cs="Guttman Rashi"/>
          <w:rtl/>
          <w:lang w:bidi="he-IL"/>
        </w:rPr>
        <w:t xml:space="preserve"> </w:t>
      </w:r>
      <w:r w:rsidRPr="00400C0B">
        <w:rPr>
          <w:rFonts w:cs="Guttman Rashi" w:hint="eastAsia"/>
          <w:rtl/>
          <w:lang w:bidi="he-IL"/>
        </w:rPr>
        <w:t>הבלוע</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בתרוייהו</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הנאסר</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דעכשיו</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לסוחטו</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לדבריו</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קאמרה</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קסבר</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לסוחטו</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והדברים</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רב</w:t>
      </w:r>
      <w:r w:rsidRPr="00400C0B">
        <w:rPr>
          <w:rFonts w:cs="Guttman Rashi"/>
          <w:rtl/>
          <w:lang w:bidi="he-IL"/>
        </w:rPr>
        <w:t xml:space="preserve">. </w:t>
      </w:r>
      <w:r w:rsidRPr="00400C0B">
        <w:rPr>
          <w:rFonts w:cs="Guttman Rashi" w:hint="eastAsia"/>
          <w:rtl/>
          <w:lang w:bidi="he-IL"/>
        </w:rPr>
        <w:t>ולפי</w:t>
      </w:r>
      <w:r w:rsidRPr="00400C0B">
        <w:rPr>
          <w:rFonts w:cs="Guttman Rashi"/>
          <w:rtl/>
          <w:lang w:bidi="he-IL"/>
        </w:rPr>
        <w:t xml:space="preserve"> </w:t>
      </w:r>
      <w:r w:rsidRPr="00400C0B">
        <w:rPr>
          <w:rFonts w:cs="Guttman Rashi" w:hint="eastAsia"/>
          <w:rtl/>
          <w:lang w:bidi="he-IL"/>
        </w:rPr>
        <w:t>הצד</w:t>
      </w:r>
      <w:r w:rsidRPr="00400C0B">
        <w:rPr>
          <w:rFonts w:cs="Guttman Rashi"/>
          <w:rtl/>
          <w:lang w:bidi="he-IL"/>
        </w:rPr>
        <w:t xml:space="preserve"> </w:t>
      </w:r>
      <w:r w:rsidRPr="00400C0B">
        <w:rPr>
          <w:rFonts w:cs="Guttman Rashi" w:hint="eastAsia"/>
          <w:rtl/>
          <w:lang w:bidi="he-IL"/>
        </w:rPr>
        <w:t>שבליעה</w:t>
      </w:r>
      <w:r w:rsidRPr="00400C0B">
        <w:rPr>
          <w:rFonts w:cs="Guttman Rashi"/>
          <w:rtl/>
          <w:lang w:bidi="he-IL"/>
        </w:rPr>
        <w:t xml:space="preserve"> </w:t>
      </w:r>
      <w:r w:rsidRPr="00400C0B">
        <w:rPr>
          <w:rFonts w:cs="Guttman Rashi" w:hint="eastAsia"/>
          <w:rtl/>
          <w:lang w:bidi="he-IL"/>
        </w:rPr>
        <w:t>עוברת</w:t>
      </w:r>
      <w:r w:rsidRPr="00400C0B">
        <w:rPr>
          <w:rFonts w:cs="Guttman Rashi"/>
          <w:rtl/>
          <w:lang w:bidi="he-IL"/>
        </w:rPr>
        <w:t xml:space="preserve"> </w:t>
      </w:r>
      <w:r w:rsidRPr="00400C0B">
        <w:rPr>
          <w:rFonts w:cs="Guttman Rashi" w:hint="eastAsia"/>
          <w:rtl/>
          <w:lang w:bidi="he-IL"/>
        </w:rPr>
        <w:t>מחתיכה</w:t>
      </w:r>
      <w:r w:rsidRPr="00400C0B">
        <w:rPr>
          <w:rFonts w:cs="Guttman Rashi"/>
          <w:rtl/>
          <w:lang w:bidi="he-IL"/>
        </w:rPr>
        <w:t xml:space="preserve"> </w:t>
      </w:r>
      <w:r w:rsidRPr="00400C0B">
        <w:rPr>
          <w:rFonts w:cs="Guttman Rashi" w:hint="eastAsia"/>
          <w:rtl/>
          <w:lang w:bidi="he-IL"/>
        </w:rPr>
        <w:t>לחתיכה</w:t>
      </w:r>
      <w:r w:rsidRPr="00400C0B">
        <w:rPr>
          <w:rFonts w:cs="Guttman Rashi"/>
          <w:rtl/>
          <w:lang w:bidi="he-IL"/>
        </w:rPr>
        <w:t xml:space="preserve"> </w:t>
      </w:r>
      <w:r w:rsidRPr="00400C0B">
        <w:rPr>
          <w:rFonts w:cs="Guttman Rashi" w:hint="eastAsia"/>
          <w:rtl/>
          <w:lang w:bidi="he-IL"/>
        </w:rPr>
        <w:t>בלי</w:t>
      </w:r>
      <w:r w:rsidRPr="00400C0B">
        <w:rPr>
          <w:rFonts w:cs="Guttman Rashi"/>
          <w:rtl/>
          <w:lang w:bidi="he-IL"/>
        </w:rPr>
        <w:t xml:space="preserve"> </w:t>
      </w:r>
      <w:r w:rsidRPr="00400C0B">
        <w:rPr>
          <w:rFonts w:cs="Guttman Rashi" w:hint="eastAsia"/>
          <w:rtl/>
          <w:lang w:bidi="he-IL"/>
        </w:rPr>
        <w:t>רוטב</w:t>
      </w:r>
      <w:r w:rsidRPr="00400C0B">
        <w:rPr>
          <w:rFonts w:cs="Guttman Rashi"/>
          <w:rtl/>
          <w:lang w:bidi="he-IL"/>
        </w:rPr>
        <w:t xml:space="preserve"> </w:t>
      </w:r>
      <w:r w:rsidRPr="00400C0B">
        <w:rPr>
          <w:rFonts w:cs="Guttman Rashi" w:hint="eastAsia"/>
          <w:rtl/>
          <w:lang w:bidi="he-IL"/>
        </w:rPr>
        <w:t>ניחא</w:t>
      </w:r>
      <w:r w:rsidRPr="00400C0B">
        <w:rPr>
          <w:rFonts w:cs="Guttman Rashi"/>
          <w:rtl/>
          <w:lang w:bidi="he-IL"/>
        </w:rPr>
        <w:t xml:space="preserve">, </w:t>
      </w:r>
      <w:r w:rsidRPr="00400C0B">
        <w:rPr>
          <w:rFonts w:cs="Guttman Rashi" w:hint="eastAsia"/>
          <w:rtl/>
          <w:lang w:bidi="he-IL"/>
        </w:rPr>
        <w:t>שהכוונה</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החלב</w:t>
      </w:r>
      <w:r w:rsidRPr="00400C0B">
        <w:rPr>
          <w:rFonts w:cs="Guttman Rashi"/>
          <w:rtl/>
          <w:lang w:bidi="he-IL"/>
        </w:rPr>
        <w:t xml:space="preserve"> </w:t>
      </w:r>
      <w:r w:rsidRPr="00400C0B">
        <w:rPr>
          <w:rFonts w:cs="Guttman Rashi" w:hint="eastAsia"/>
          <w:rtl/>
          <w:lang w:bidi="he-IL"/>
        </w:rPr>
        <w:t>עובר</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לסוחטו</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לסחטן</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איכפת</w:t>
      </w:r>
      <w:r w:rsidRPr="00400C0B">
        <w:rPr>
          <w:rFonts w:cs="Guttman Rashi"/>
          <w:rtl/>
          <w:lang w:bidi="he-IL"/>
        </w:rPr>
        <w:t xml:space="preserve"> </w:t>
      </w:r>
      <w:r w:rsidRPr="00400C0B">
        <w:rPr>
          <w:rFonts w:cs="Guttman Rashi" w:hint="eastAsia"/>
          <w:rtl/>
          <w:lang w:bidi="he-IL"/>
        </w:rPr>
        <w:t>לל</w:t>
      </w:r>
      <w:r w:rsidRPr="00400C0B">
        <w:rPr>
          <w:rFonts w:cs="Guttman Rashi"/>
          <w:rtl/>
          <w:lang w:bidi="he-IL"/>
        </w:rPr>
        <w:t xml:space="preserve"> "</w:t>
      </w:r>
      <w:r w:rsidRPr="00400C0B">
        <w:rPr>
          <w:rFonts w:cs="Guttman Rashi" w:hint="eastAsia"/>
          <w:rtl/>
          <w:lang w:bidi="he-IL"/>
        </w:rPr>
        <w:t>הבליעה</w:t>
      </w:r>
      <w:r w:rsidRPr="00400C0B">
        <w:rPr>
          <w:rFonts w:cs="Guttman Rashi"/>
          <w:rtl/>
          <w:lang w:bidi="he-IL"/>
        </w:rPr>
        <w:t xml:space="preserve"> </w:t>
      </w:r>
      <w:r w:rsidRPr="00400C0B">
        <w:rPr>
          <w:rFonts w:cs="Guttman Rashi" w:hint="eastAsia"/>
          <w:rtl/>
          <w:lang w:bidi="he-IL"/>
        </w:rPr>
        <w:t>עוברת</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ביאר</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לשיטתו</w:t>
      </w:r>
      <w:r w:rsidRPr="00400C0B">
        <w:rPr>
          <w:rFonts w:cs="Guttman Rashi"/>
          <w:rtl/>
          <w:lang w:bidi="he-IL"/>
        </w:rPr>
        <w:t xml:space="preserve"> </w:t>
      </w:r>
      <w:r w:rsidRPr="00400C0B">
        <w:rPr>
          <w:rFonts w:cs="Guttman Rashi" w:hint="eastAsia"/>
          <w:rtl/>
          <w:lang w:bidi="he-IL"/>
        </w:rPr>
        <w:t>שהבליעה</w:t>
      </w:r>
      <w:r w:rsidRPr="00400C0B">
        <w:rPr>
          <w:rFonts w:cs="Guttman Rashi"/>
          <w:rtl/>
          <w:lang w:bidi="he-IL"/>
        </w:rPr>
        <w:t xml:space="preserve"> </w:t>
      </w:r>
      <w:r w:rsidRPr="00400C0B">
        <w:rPr>
          <w:rFonts w:cs="Guttman Rashi" w:hint="eastAsia"/>
          <w:rtl/>
          <w:lang w:bidi="he-IL"/>
        </w:rPr>
        <w:t>עוסרת</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בלי</w:t>
      </w:r>
      <w:r w:rsidRPr="00400C0B">
        <w:rPr>
          <w:rFonts w:cs="Guttman Rashi"/>
          <w:rtl/>
          <w:lang w:bidi="he-IL"/>
        </w:rPr>
        <w:t xml:space="preserve"> </w:t>
      </w:r>
      <w:r w:rsidRPr="00400C0B">
        <w:rPr>
          <w:rFonts w:cs="Guttman Rashi" w:hint="eastAsia"/>
          <w:rtl/>
          <w:lang w:bidi="he-IL"/>
        </w:rPr>
        <w:t>רוטב</w:t>
      </w:r>
      <w:r w:rsidRPr="00400C0B">
        <w:rPr>
          <w:rFonts w:cs="Guttman Rashi"/>
          <w:rtl/>
          <w:lang w:bidi="he-IL"/>
        </w:rPr>
        <w:t>.</w:t>
      </w:r>
    </w:p>
  </w:footnote>
  <w:footnote w:id="10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הבנתי</w:t>
      </w:r>
      <w:r w:rsidRPr="00400C0B">
        <w:rPr>
          <w:rFonts w:cs="Guttman Rashi"/>
          <w:rtl/>
          <w:lang w:bidi="he-IL"/>
        </w:rPr>
        <w:t xml:space="preserve"> </w:t>
      </w:r>
      <w:r w:rsidRPr="00400C0B">
        <w:rPr>
          <w:rFonts w:cs="Guttman Rashi" w:hint="eastAsia"/>
          <w:rtl/>
          <w:lang w:bidi="he-IL"/>
        </w:rPr>
        <w:t>הקושיא</w:t>
      </w:r>
      <w:r w:rsidRPr="00400C0B">
        <w:rPr>
          <w:rFonts w:cs="Guttman Rashi"/>
          <w:rtl/>
          <w:lang w:bidi="he-IL"/>
        </w:rPr>
        <w:t xml:space="preserve"> </w:t>
      </w:r>
      <w:r w:rsidRPr="00400C0B">
        <w:rPr>
          <w:rFonts w:cs="Guttman Rashi" w:hint="eastAsia"/>
          <w:rtl/>
          <w:lang w:bidi="he-IL"/>
        </w:rPr>
        <w:t>כראוי</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שפיר</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דאמרינן</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איסורים</w:t>
      </w:r>
      <w:r w:rsidRPr="00400C0B">
        <w:rPr>
          <w:rFonts w:cs="Guttman Rashi"/>
          <w:rtl/>
          <w:lang w:bidi="he-IL"/>
        </w:rPr>
        <w:t xml:space="preserve"> </w:t>
      </w:r>
      <w:r w:rsidRPr="00400C0B">
        <w:rPr>
          <w:rFonts w:cs="Guttman Rashi" w:hint="eastAsia"/>
          <w:rtl/>
          <w:lang w:bidi="he-IL"/>
        </w:rPr>
        <w:t>במין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אלמלא</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לסוחטו</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ודין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אומרים</w:t>
      </w:r>
      <w:r w:rsidRPr="00400C0B">
        <w:rPr>
          <w:rFonts w:cs="Guttman Rashi"/>
          <w:rtl/>
          <w:lang w:bidi="he-IL"/>
        </w:rPr>
        <w:t xml:space="preserve"> </w:t>
      </w:r>
      <w:r w:rsidRPr="00400C0B">
        <w:rPr>
          <w:rFonts w:cs="Guttman Rashi" w:hint="eastAsia"/>
          <w:rtl/>
          <w:lang w:bidi="he-IL"/>
        </w:rPr>
        <w:t>במין</w:t>
      </w:r>
      <w:r w:rsidRPr="00400C0B">
        <w:rPr>
          <w:rFonts w:cs="Guttman Rashi"/>
          <w:rtl/>
          <w:lang w:bidi="he-IL"/>
        </w:rPr>
        <w:t xml:space="preserve"> </w:t>
      </w:r>
      <w:r w:rsidRPr="00400C0B">
        <w:rPr>
          <w:rFonts w:cs="Guttman Rashi" w:hint="eastAsia"/>
          <w:rtl/>
          <w:lang w:bidi="he-IL"/>
        </w:rPr>
        <w:t>בשאינו</w:t>
      </w:r>
      <w:r w:rsidRPr="00400C0B">
        <w:rPr>
          <w:rFonts w:cs="Guttman Rashi"/>
          <w:rtl/>
          <w:lang w:bidi="he-IL"/>
        </w:rPr>
        <w:t xml:space="preserve"> </w:t>
      </w:r>
      <w:r w:rsidRPr="00400C0B">
        <w:rPr>
          <w:rFonts w:cs="Guttman Rashi" w:hint="eastAsia"/>
          <w:rtl/>
          <w:lang w:bidi="he-IL"/>
        </w:rPr>
        <w:t>מינו</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שאנחנו</w:t>
      </w:r>
      <w:r w:rsidRPr="00400C0B">
        <w:rPr>
          <w:rFonts w:cs="Guttman Rashi"/>
          <w:rtl/>
          <w:lang w:bidi="he-IL"/>
        </w:rPr>
        <w:t xml:space="preserve"> </w:t>
      </w:r>
      <w:r w:rsidRPr="00400C0B">
        <w:rPr>
          <w:rFonts w:cs="Guttman Rashi" w:hint="eastAsia"/>
          <w:rtl/>
          <w:lang w:bidi="he-IL"/>
        </w:rPr>
        <w:t>פוסקים</w:t>
      </w:r>
      <w:r w:rsidRPr="00400C0B">
        <w:rPr>
          <w:rFonts w:cs="Guttman Rashi"/>
          <w:rtl/>
          <w:lang w:bidi="he-IL"/>
        </w:rPr>
        <w:t xml:space="preserve"> </w:t>
      </w:r>
      <w:r w:rsidRPr="00400C0B">
        <w:rPr>
          <w:rFonts w:cs="Guttman Rashi" w:hint="eastAsia"/>
          <w:rtl/>
          <w:lang w:bidi="he-IL"/>
        </w:rPr>
        <w:t>שאפשר</w:t>
      </w:r>
      <w:r w:rsidRPr="00400C0B">
        <w:rPr>
          <w:rFonts w:cs="Guttman Rashi"/>
          <w:rtl/>
          <w:lang w:bidi="he-IL"/>
        </w:rPr>
        <w:t xml:space="preserve"> </w:t>
      </w:r>
      <w:r w:rsidRPr="00400C0B">
        <w:rPr>
          <w:rFonts w:cs="Guttman Rashi" w:hint="eastAsia"/>
          <w:rtl/>
          <w:lang w:bidi="he-IL"/>
        </w:rPr>
        <w:t>לסוחטו</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בבב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שוב</w:t>
      </w:r>
      <w:r w:rsidRPr="00400C0B">
        <w:rPr>
          <w:rFonts w:cs="Guttman Rashi"/>
          <w:rtl/>
          <w:lang w:bidi="he-IL"/>
        </w:rPr>
        <w:t xml:space="preserve"> </w:t>
      </w:r>
      <w:r w:rsidRPr="00400C0B">
        <w:rPr>
          <w:rFonts w:cs="Guttman Rashi" w:hint="eastAsia"/>
          <w:rtl/>
          <w:lang w:bidi="he-IL"/>
        </w:rPr>
        <w:t>גזרו</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בשאינו</w:t>
      </w:r>
      <w:r w:rsidRPr="00400C0B">
        <w:rPr>
          <w:rFonts w:cs="Guttman Rashi"/>
          <w:rtl/>
          <w:lang w:bidi="he-IL"/>
        </w:rPr>
        <w:t xml:space="preserve"> </w:t>
      </w:r>
      <w:r w:rsidRPr="00400C0B">
        <w:rPr>
          <w:rFonts w:cs="Guttman Rashi" w:hint="eastAsia"/>
          <w:rtl/>
          <w:lang w:bidi="he-IL"/>
        </w:rPr>
        <w:t>מינו</w:t>
      </w:r>
      <w:r w:rsidRPr="00400C0B">
        <w:rPr>
          <w:rFonts w:cs="Guttman Rashi"/>
          <w:rtl/>
          <w:lang w:bidi="he-IL"/>
        </w:rPr>
        <w:t xml:space="preserve"> </w:t>
      </w:r>
      <w:r w:rsidRPr="00400C0B">
        <w:rPr>
          <w:rFonts w:cs="Guttman Rashi" w:hint="eastAsia"/>
          <w:rtl/>
          <w:lang w:bidi="he-IL"/>
        </w:rPr>
        <w:t>שייהא</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לדידן</w:t>
      </w:r>
      <w:r w:rsidRPr="00400C0B">
        <w:rPr>
          <w:rFonts w:cs="Guttman Rashi"/>
          <w:rtl/>
          <w:lang w:bidi="he-IL"/>
        </w:rPr>
        <w:t xml:space="preserve"> </w:t>
      </w:r>
      <w:r w:rsidRPr="00400C0B">
        <w:rPr>
          <w:rFonts w:cs="Guttman Rashi" w:hint="eastAsia"/>
          <w:rtl/>
          <w:lang w:bidi="he-IL"/>
        </w:rPr>
        <w:t>דקיי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לסוחטו</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דאמרינן</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איסורים</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במין</w:t>
      </w:r>
      <w:r w:rsidRPr="00400C0B">
        <w:rPr>
          <w:rFonts w:cs="Guttman Rashi"/>
          <w:rtl/>
          <w:lang w:bidi="he-IL"/>
        </w:rPr>
        <w:t xml:space="preserve"> </w:t>
      </w:r>
      <w:r w:rsidRPr="00400C0B">
        <w:rPr>
          <w:rFonts w:cs="Guttman Rashi" w:hint="eastAsia"/>
          <w:rtl/>
          <w:lang w:bidi="he-IL"/>
        </w:rPr>
        <w:t>בשאינו</w:t>
      </w:r>
      <w:r w:rsidRPr="00400C0B">
        <w:rPr>
          <w:rFonts w:cs="Guttman Rashi"/>
          <w:rtl/>
          <w:lang w:bidi="he-IL"/>
        </w:rPr>
        <w:t xml:space="preserve"> </w:t>
      </w:r>
      <w:r w:rsidRPr="00400C0B">
        <w:rPr>
          <w:rFonts w:cs="Guttman Rashi" w:hint="eastAsia"/>
          <w:rtl/>
          <w:lang w:bidi="he-IL"/>
        </w:rPr>
        <w:t>מינו</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איזה</w:t>
      </w:r>
      <w:r w:rsidRPr="00400C0B">
        <w:rPr>
          <w:rFonts w:cs="Guttman Rashi"/>
          <w:rtl/>
          <w:lang w:bidi="he-IL"/>
        </w:rPr>
        <w:t xml:space="preserve"> </w:t>
      </w:r>
      <w:r w:rsidRPr="00400C0B">
        <w:rPr>
          <w:rFonts w:cs="Guttman Rashi" w:hint="eastAsia"/>
          <w:rtl/>
          <w:lang w:bidi="he-IL"/>
        </w:rPr>
        <w:t>קושיא</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הירושלמי</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שהי</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עניני</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איסורים</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ששייך</w:t>
      </w:r>
      <w:r w:rsidRPr="00400C0B">
        <w:rPr>
          <w:rFonts w:cs="Guttman Rashi"/>
          <w:rtl/>
          <w:lang w:bidi="he-IL"/>
        </w:rPr>
        <w:t xml:space="preserve"> </w:t>
      </w:r>
      <w:r w:rsidRPr="00400C0B">
        <w:rPr>
          <w:rFonts w:cs="Guttman Rashi" w:hint="eastAsia"/>
          <w:rtl/>
          <w:lang w:bidi="he-IL"/>
        </w:rPr>
        <w:t>במין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לסוחטו</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ועוד</w:t>
      </w:r>
      <w:r w:rsidRPr="00400C0B">
        <w:rPr>
          <w:rFonts w:cs="Guttman Rashi"/>
          <w:rtl/>
          <w:lang w:bidi="he-IL"/>
        </w:rPr>
        <w:t xml:space="preserve"> </w:t>
      </w:r>
      <w:r w:rsidRPr="00400C0B">
        <w:rPr>
          <w:rFonts w:cs="Guttman Rashi" w:hint="eastAsia"/>
          <w:rtl/>
          <w:lang w:bidi="he-IL"/>
        </w:rPr>
        <w:t>דאמרינן</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איסורים</w:t>
      </w:r>
      <w:r w:rsidRPr="00400C0B">
        <w:rPr>
          <w:rFonts w:cs="Guttman Rashi"/>
          <w:rtl/>
          <w:lang w:bidi="he-IL"/>
        </w:rPr>
        <w:t xml:space="preserve"> </w:t>
      </w:r>
      <w:r w:rsidRPr="00400C0B">
        <w:rPr>
          <w:rFonts w:cs="Guttman Rashi" w:hint="eastAsia"/>
          <w:rtl/>
          <w:lang w:bidi="he-IL"/>
        </w:rPr>
        <w:t>אטו</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וכמ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לסוחטו</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w:t>
      </w:r>
    </w:p>
  </w:footnote>
  <w:footnote w:id="10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בהערה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Ref439409184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97</w:t>
      </w:r>
      <w:r w:rsidRPr="00400C0B">
        <w:rPr>
          <w:rFonts w:cs="Guttman Rashi"/>
          <w:rtl/>
          <w:lang w:bidi="he-IL"/>
        </w:rPr>
        <w:fldChar w:fldCharType="end"/>
      </w:r>
      <w:r w:rsidRPr="00400C0B">
        <w:rPr>
          <w:rFonts w:cs="Guttman Rashi"/>
          <w:rtl/>
          <w:lang w:bidi="he-IL"/>
        </w:rPr>
        <w:t>.</w:t>
      </w:r>
    </w:p>
  </w:footnote>
  <w:footnote w:id="11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ודבר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נפק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להעיר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במחלוקת</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שמואל</w:t>
      </w:r>
      <w:r w:rsidRPr="00400C0B">
        <w:rPr>
          <w:rFonts w:cs="Guttman Rashi"/>
          <w:rtl/>
          <w:lang w:bidi="he-IL"/>
        </w:rPr>
        <w:t xml:space="preserve"> </w:t>
      </w:r>
      <w:r w:rsidRPr="00400C0B">
        <w:rPr>
          <w:rFonts w:cs="Guttman Rashi" w:hint="eastAsia"/>
          <w:rtl/>
          <w:lang w:bidi="he-IL"/>
        </w:rPr>
        <w:t>ור</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בחתיכה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שבלע</w:t>
      </w:r>
      <w:r w:rsidRPr="00400C0B">
        <w:rPr>
          <w:rFonts w:cs="Guttman Rashi"/>
          <w:rtl/>
          <w:lang w:bidi="he-IL"/>
        </w:rPr>
        <w:t xml:space="preserve"> </w:t>
      </w:r>
      <w:r w:rsidRPr="00400C0B">
        <w:rPr>
          <w:rFonts w:cs="Guttman Rashi" w:hint="eastAsia"/>
          <w:rtl/>
          <w:lang w:bidi="he-IL"/>
        </w:rPr>
        <w:t>רוטב</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איסורים</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נפק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לדידן</w:t>
      </w:r>
      <w:r w:rsidRPr="00400C0B">
        <w:rPr>
          <w:rFonts w:cs="Guttman Rashi"/>
          <w:rtl/>
          <w:lang w:bidi="he-IL"/>
        </w:rPr>
        <w:t xml:space="preserve"> </w:t>
      </w:r>
      <w:r w:rsidRPr="00400C0B">
        <w:rPr>
          <w:rFonts w:cs="Guttman Rashi" w:hint="eastAsia"/>
          <w:rtl/>
          <w:lang w:bidi="he-IL"/>
        </w:rPr>
        <w:t>שבעלמא</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בכגון</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מתירין</w:t>
      </w:r>
      <w:r w:rsidRPr="00400C0B">
        <w:rPr>
          <w:rFonts w:cs="Guttman Rashi"/>
          <w:rtl/>
          <w:lang w:bidi="he-IL"/>
        </w:rPr>
        <w:t xml:space="preserve"> (</w:t>
      </w:r>
      <w:r w:rsidRPr="00400C0B">
        <w:rPr>
          <w:rFonts w:cs="Guttman Rashi" w:hint="eastAsia"/>
          <w:rtl/>
          <w:lang w:bidi="he-IL"/>
        </w:rPr>
        <w:t>בהוצאת</w:t>
      </w:r>
      <w:r w:rsidRPr="00400C0B">
        <w:rPr>
          <w:rFonts w:cs="Guttman Rashi"/>
          <w:rtl/>
          <w:lang w:bidi="he-IL"/>
        </w:rPr>
        <w:t xml:space="preserve"> </w:t>
      </w:r>
      <w:r w:rsidRPr="00400C0B">
        <w:rPr>
          <w:rFonts w:cs="Guttman Rashi" w:hint="eastAsia"/>
          <w:rtl/>
          <w:lang w:bidi="he-IL"/>
        </w:rPr>
        <w:t>זכ</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קע</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תוד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מחודשים</w:t>
      </w:r>
      <w:r w:rsidRPr="00400C0B">
        <w:rPr>
          <w:rFonts w:cs="Guttman Rashi"/>
          <w:rtl/>
          <w:lang w:bidi="he-IL"/>
        </w:rPr>
        <w:t xml:space="preserve"> </w:t>
      </w:r>
      <w:r w:rsidRPr="00400C0B">
        <w:rPr>
          <w:rFonts w:cs="Guttman Rashi" w:hint="eastAsia"/>
          <w:rtl/>
          <w:lang w:bidi="he-IL"/>
        </w:rPr>
        <w:t>לעוק</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דאע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שמדרבנן</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כח</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מעורב</w:t>
      </w:r>
      <w:r w:rsidRPr="00400C0B">
        <w:rPr>
          <w:rFonts w:cs="Guttman Rashi"/>
          <w:rtl/>
          <w:lang w:bidi="he-IL"/>
        </w:rPr>
        <w:t xml:space="preserve"> </w:t>
      </w:r>
      <w:r w:rsidRPr="00400C0B">
        <w:rPr>
          <w:rFonts w:cs="Guttman Rashi" w:hint="eastAsia"/>
          <w:rtl/>
          <w:lang w:bidi="he-IL"/>
        </w:rPr>
        <w:t>בו</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כח</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מעורב</w:t>
      </w:r>
      <w:r w:rsidRPr="00400C0B">
        <w:rPr>
          <w:rFonts w:cs="Guttman Rashi"/>
          <w:rtl/>
          <w:lang w:bidi="he-IL"/>
        </w:rPr>
        <w:t xml:space="preserve"> </w:t>
      </w:r>
      <w:r w:rsidRPr="00400C0B">
        <w:rPr>
          <w:rFonts w:cs="Guttman Rashi" w:hint="eastAsia"/>
          <w:rtl/>
          <w:lang w:bidi="he-IL"/>
        </w:rPr>
        <w:t>בו</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מדרבנן</w:t>
      </w:r>
      <w:r w:rsidRPr="00400C0B">
        <w:rPr>
          <w:rFonts w:cs="Guttman Rashi"/>
          <w:rtl/>
          <w:lang w:bidi="he-IL"/>
        </w:rPr>
        <w:t xml:space="preserve"> </w:t>
      </w:r>
      <w:r w:rsidRPr="00400C0B">
        <w:rPr>
          <w:rFonts w:cs="Guttman Rashi" w:hint="eastAsia"/>
          <w:rtl/>
          <w:lang w:bidi="he-IL"/>
        </w:rPr>
        <w:t>ולימא</w:t>
      </w:r>
      <w:r w:rsidRPr="00400C0B">
        <w:rPr>
          <w:rFonts w:cs="Guttman Rashi"/>
          <w:rtl/>
          <w:lang w:bidi="he-IL"/>
        </w:rPr>
        <w:t xml:space="preserve"> </w:t>
      </w:r>
      <w:r w:rsidRPr="00400C0B">
        <w:rPr>
          <w:rFonts w:cs="Guttman Rashi" w:hint="eastAsia"/>
          <w:rtl/>
          <w:lang w:bidi="he-IL"/>
        </w:rPr>
        <w:t>שמין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11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Ref439842578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100</w:t>
      </w:r>
      <w:r w:rsidRPr="00400C0B">
        <w:rPr>
          <w:rFonts w:cs="Guttman Rashi"/>
          <w:rtl/>
          <w:lang w:bidi="he-IL"/>
        </w:rPr>
        <w:fldChar w:fldCharType="end"/>
      </w:r>
      <w:r w:rsidRPr="00400C0B">
        <w:rPr>
          <w:rFonts w:cs="Guttman Rashi"/>
          <w:rtl/>
          <w:lang w:bidi="he-IL"/>
        </w:rPr>
        <w:t>.</w:t>
      </w:r>
    </w:p>
  </w:footnote>
  <w:footnote w:id="11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ונ</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בנד</w:t>
      </w:r>
      <w:r w:rsidRPr="00400C0B">
        <w:rPr>
          <w:rFonts w:cs="Guttman Rashi"/>
          <w:rtl/>
          <w:lang w:bidi="he-IL"/>
        </w:rPr>
        <w:t>"</w:t>
      </w:r>
      <w:r w:rsidRPr="00400C0B">
        <w:rPr>
          <w:rFonts w:cs="Guttman Rashi" w:hint="eastAsia"/>
          <w:rtl/>
          <w:lang w:bidi="he-IL"/>
        </w:rPr>
        <w:t>ד</w:t>
      </w:r>
      <w:r w:rsidRPr="00400C0B">
        <w:rPr>
          <w:rFonts w:cs="Guttman Rashi"/>
          <w:rtl/>
          <w:lang w:bidi="he-IL"/>
        </w:rPr>
        <w:t>.</w:t>
      </w:r>
    </w:p>
  </w:footnote>
  <w:footnote w:id="11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שהדגיש</w:t>
      </w:r>
      <w:r w:rsidRPr="00400C0B">
        <w:rPr>
          <w:rFonts w:cs="Guttman Rashi"/>
          <w:rtl/>
          <w:lang w:bidi="he-IL"/>
        </w:rPr>
        <w:t xml:space="preserve"> </w:t>
      </w:r>
      <w:r w:rsidRPr="00400C0B">
        <w:rPr>
          <w:rFonts w:cs="Guttman Rashi" w:hint="eastAsia"/>
          <w:rtl/>
          <w:lang w:bidi="he-IL"/>
        </w:rPr>
        <w:t>שמונח</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דבוק</w:t>
      </w:r>
      <w:r w:rsidRPr="00400C0B">
        <w:rPr>
          <w:rFonts w:cs="Guttman Rashi"/>
          <w:rtl/>
          <w:lang w:bidi="he-IL"/>
        </w:rPr>
        <w:t>'.</w:t>
      </w:r>
    </w:p>
  </w:footnote>
  <w:footnote w:id="11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הביא</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בסי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מכמה</w:t>
      </w:r>
      <w:r w:rsidRPr="00400C0B">
        <w:rPr>
          <w:rFonts w:cs="Guttman Rashi"/>
          <w:rtl/>
          <w:lang w:bidi="he-IL"/>
        </w:rPr>
        <w:t xml:space="preserve"> </w:t>
      </w:r>
      <w:r w:rsidRPr="00400C0B">
        <w:rPr>
          <w:rFonts w:cs="Guttman Rashi" w:hint="eastAsia"/>
          <w:rtl/>
          <w:lang w:bidi="he-IL"/>
        </w:rPr>
        <w:t>אחרונים</w:t>
      </w:r>
    </w:p>
  </w:footnote>
  <w:footnote w:id="11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שהי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לשאול</w:t>
      </w:r>
      <w:r w:rsidRPr="00400C0B">
        <w:rPr>
          <w:rFonts w:cs="Guttman Rashi"/>
          <w:rtl/>
          <w:lang w:bidi="he-IL"/>
        </w:rPr>
        <w:t xml:space="preserve"> </w:t>
      </w:r>
      <w:r w:rsidRPr="00400C0B">
        <w:rPr>
          <w:rFonts w:cs="Guttman Rashi" w:hint="eastAsia"/>
          <w:rtl/>
          <w:lang w:bidi="he-IL"/>
        </w:rPr>
        <w:t>סתירה</w:t>
      </w:r>
      <w:r w:rsidRPr="00400C0B">
        <w:rPr>
          <w:rFonts w:cs="Guttman Rashi"/>
          <w:rtl/>
          <w:lang w:bidi="he-IL"/>
        </w:rPr>
        <w:t xml:space="preserve"> </w:t>
      </w:r>
      <w:r w:rsidRPr="00400C0B">
        <w:rPr>
          <w:rFonts w:cs="Guttman Rashi" w:hint="eastAsia"/>
          <w:rtl/>
          <w:lang w:bidi="he-IL"/>
        </w:rPr>
        <w:t>ישירה</w:t>
      </w:r>
      <w:r w:rsidRPr="00400C0B">
        <w:rPr>
          <w:rFonts w:cs="Guttman Rashi"/>
          <w:rtl/>
          <w:lang w:bidi="he-IL"/>
        </w:rPr>
        <w:t xml:space="preserve"> </w:t>
      </w:r>
      <w:r w:rsidRPr="00400C0B">
        <w:rPr>
          <w:rFonts w:cs="Guttman Rashi" w:hint="eastAsia"/>
          <w:rtl/>
          <w:lang w:bidi="he-IL"/>
        </w:rPr>
        <w:t>מר</w:t>
      </w:r>
      <w:r w:rsidRPr="00400C0B">
        <w:rPr>
          <w:rFonts w:cs="Guttman Rashi"/>
          <w:rtl/>
          <w:lang w:bidi="he-IL"/>
        </w:rPr>
        <w:t xml:space="preserve">' </w:t>
      </w:r>
      <w:r w:rsidRPr="00400C0B">
        <w:rPr>
          <w:rFonts w:cs="Guttman Rashi" w:hint="eastAsia"/>
          <w:rtl/>
          <w:lang w:bidi="he-IL"/>
        </w:rPr>
        <w:t>הונא</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 xml:space="preserve">' </w:t>
      </w:r>
      <w:r w:rsidRPr="00400C0B">
        <w:rPr>
          <w:rFonts w:cs="Guttman Rashi" w:hint="eastAsia"/>
          <w:rtl/>
          <w:lang w:bidi="he-IL"/>
        </w:rPr>
        <w:t>יוחנן</w:t>
      </w:r>
      <w:r w:rsidRPr="00400C0B">
        <w:rPr>
          <w:rFonts w:cs="Guttman Rashi"/>
          <w:rtl/>
          <w:lang w:bidi="he-IL"/>
        </w:rPr>
        <w:t xml:space="preserve"> </w:t>
      </w:r>
      <w:r w:rsidRPr="00400C0B">
        <w:rPr>
          <w:rFonts w:cs="Guttman Rashi" w:hint="eastAsia"/>
          <w:rtl/>
          <w:lang w:bidi="he-IL"/>
        </w:rPr>
        <w:t>בעצם</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גדי</w:t>
      </w:r>
      <w:r w:rsidRPr="00400C0B">
        <w:rPr>
          <w:rFonts w:cs="Guttman Rashi"/>
          <w:rtl/>
          <w:lang w:bidi="he-IL"/>
        </w:rPr>
        <w:t xml:space="preserve"> </w:t>
      </w:r>
      <w:r w:rsidRPr="00400C0B">
        <w:rPr>
          <w:rFonts w:cs="Guttman Rashi" w:hint="eastAsia"/>
          <w:rtl/>
          <w:lang w:bidi="he-IL"/>
        </w:rPr>
        <w:t>שצלאו</w:t>
      </w:r>
      <w:r w:rsidRPr="00400C0B">
        <w:rPr>
          <w:rFonts w:cs="Guttman Rashi"/>
          <w:rtl/>
          <w:lang w:bidi="he-IL"/>
        </w:rPr>
        <w:t xml:space="preserve"> </w:t>
      </w:r>
      <w:r w:rsidRPr="00400C0B">
        <w:rPr>
          <w:rFonts w:cs="Guttman Rashi" w:hint="eastAsia"/>
          <w:rtl/>
          <w:lang w:bidi="he-IL"/>
        </w:rPr>
        <w:t>בחלבו</w:t>
      </w:r>
      <w:r w:rsidRPr="00400C0B">
        <w:rPr>
          <w:rFonts w:cs="Guttman Rashi"/>
          <w:rtl/>
          <w:lang w:bidi="he-IL"/>
        </w:rPr>
        <w:t>.</w:t>
      </w:r>
      <w:r w:rsidRPr="00400C0B">
        <w:rPr>
          <w:rFonts w:cs="Guttman Rashi"/>
        </w:rPr>
        <w:t xml:space="preserve"> </w:t>
      </w:r>
    </w:p>
  </w:footnote>
  <w:footnote w:id="11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ספר</w:t>
      </w:r>
      <w:r w:rsidRPr="00400C0B">
        <w:rPr>
          <w:rFonts w:cs="Guttman Rashi"/>
          <w:rtl/>
          <w:lang w:bidi="he-IL"/>
        </w:rPr>
        <w:t xml:space="preserve"> </w:t>
      </w:r>
      <w:r w:rsidRPr="00400C0B">
        <w:rPr>
          <w:rFonts w:cs="Guttman Rashi" w:hint="eastAsia"/>
          <w:rtl/>
          <w:lang w:bidi="he-IL"/>
        </w:rPr>
        <w:t>המכריע</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w:t>
      </w:r>
    </w:p>
  </w:footnote>
  <w:footnote w:id="11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קכ</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בענין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ור</w:t>
      </w:r>
      <w:r w:rsidRPr="00400C0B">
        <w:rPr>
          <w:rFonts w:cs="Guttman Rashi"/>
          <w:rtl/>
          <w:lang w:bidi="he-IL"/>
        </w:rPr>
        <w:t xml:space="preserve">' </w:t>
      </w:r>
      <w:r w:rsidRPr="00400C0B">
        <w:rPr>
          <w:rFonts w:cs="Guttman Rashi" w:hint="eastAsia"/>
          <w:rtl/>
          <w:lang w:bidi="he-IL"/>
        </w:rPr>
        <w:t>דוד</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פסחים</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p>
  </w:footnote>
  <w:footnote w:id="11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הוכחת</w:t>
      </w:r>
      <w:r w:rsidRPr="00400C0B">
        <w:rPr>
          <w:rFonts w:cs="Guttman Rashi"/>
          <w:rtl/>
          <w:lang w:bidi="he-IL"/>
        </w:rPr>
        <w:t xml:space="preserve"> </w:t>
      </w:r>
      <w:r w:rsidRPr="00400C0B">
        <w:rPr>
          <w:rFonts w:cs="Guttman Rashi" w:hint="eastAsia"/>
          <w:rtl/>
          <w:lang w:bidi="he-IL"/>
        </w:rPr>
        <w:t>רבא</w:t>
      </w:r>
      <w:r w:rsidRPr="00400C0B">
        <w:rPr>
          <w:rFonts w:cs="Guttman Rashi"/>
          <w:rtl/>
          <w:lang w:bidi="he-IL"/>
        </w:rPr>
        <w:t xml:space="preserve"> </w:t>
      </w:r>
      <w:r w:rsidRPr="00400C0B">
        <w:rPr>
          <w:rFonts w:cs="Guttman Rashi" w:hint="eastAsia"/>
          <w:rtl/>
          <w:lang w:bidi="he-IL"/>
        </w:rPr>
        <w:t>לדין</w:t>
      </w:r>
      <w:r w:rsidRPr="00400C0B">
        <w:rPr>
          <w:rFonts w:cs="Guttman Rashi"/>
          <w:rtl/>
          <w:lang w:bidi="he-IL"/>
        </w:rPr>
        <w:t xml:space="preserve"> </w:t>
      </w:r>
      <w:r w:rsidRPr="00400C0B">
        <w:rPr>
          <w:rFonts w:cs="Guttman Rashi" w:hint="eastAsia"/>
          <w:rtl/>
          <w:lang w:bidi="he-IL"/>
        </w:rPr>
        <w:t>טעימה</w:t>
      </w:r>
      <w:r w:rsidRPr="00400C0B">
        <w:rPr>
          <w:rFonts w:cs="Guttman Rashi"/>
          <w:rtl/>
          <w:lang w:bidi="he-IL"/>
        </w:rPr>
        <w:t xml:space="preserve"> </w:t>
      </w:r>
      <w:r w:rsidRPr="00400C0B">
        <w:rPr>
          <w:rFonts w:cs="Guttman Rashi" w:hint="eastAsia"/>
          <w:rtl/>
          <w:lang w:bidi="he-IL"/>
        </w:rPr>
        <w:t>בבב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דמצאנו</w:t>
      </w:r>
      <w:r w:rsidRPr="00400C0B">
        <w:rPr>
          <w:rFonts w:cs="Guttman Rashi"/>
          <w:rtl/>
          <w:lang w:bidi="he-IL"/>
        </w:rPr>
        <w:t xml:space="preserve"> </w:t>
      </w:r>
      <w:r w:rsidRPr="00400C0B">
        <w:rPr>
          <w:rFonts w:cs="Guttman Rashi" w:hint="eastAsia"/>
          <w:rtl/>
          <w:lang w:bidi="he-IL"/>
        </w:rPr>
        <w:t>דמהני</w:t>
      </w:r>
      <w:r w:rsidRPr="00400C0B">
        <w:rPr>
          <w:rFonts w:cs="Guttman Rashi"/>
          <w:rtl/>
          <w:lang w:bidi="he-IL"/>
        </w:rPr>
        <w:t xml:space="preserve"> </w:t>
      </w:r>
      <w:r w:rsidRPr="00400C0B">
        <w:rPr>
          <w:rFonts w:cs="Guttman Rashi" w:hint="eastAsia"/>
          <w:rtl/>
          <w:lang w:bidi="he-IL"/>
        </w:rPr>
        <w:t>טעימת</w:t>
      </w:r>
      <w:r w:rsidRPr="00400C0B">
        <w:rPr>
          <w:rFonts w:cs="Guttman Rashi"/>
          <w:rtl/>
          <w:lang w:bidi="he-IL"/>
        </w:rPr>
        <w:t xml:space="preserve"> </w:t>
      </w:r>
      <w:r w:rsidRPr="00400C0B">
        <w:rPr>
          <w:rFonts w:cs="Guttman Rashi" w:hint="eastAsia"/>
          <w:rtl/>
          <w:lang w:bidi="he-IL"/>
        </w:rPr>
        <w:t>קפילא</w:t>
      </w:r>
      <w:r w:rsidRPr="00400C0B">
        <w:rPr>
          <w:rFonts w:cs="Guttman Rashi"/>
          <w:rtl/>
          <w:lang w:bidi="he-IL"/>
        </w:rPr>
        <w:t xml:space="preserve"> </w:t>
      </w:r>
      <w:r w:rsidRPr="00400C0B">
        <w:rPr>
          <w:rFonts w:cs="Guttman Rashi" w:hint="eastAsia"/>
          <w:rtl/>
          <w:lang w:bidi="he-IL"/>
        </w:rPr>
        <w:t>בכילכית</w:t>
      </w:r>
      <w:r w:rsidRPr="00400C0B">
        <w:rPr>
          <w:rFonts w:cs="Guttman Rashi"/>
          <w:rtl/>
          <w:lang w:bidi="he-IL"/>
        </w:rPr>
        <w:t xml:space="preserve"> </w:t>
      </w:r>
      <w:r w:rsidRPr="00400C0B">
        <w:rPr>
          <w:rFonts w:cs="Guttman Rashi" w:hint="eastAsia"/>
          <w:rtl/>
          <w:lang w:bidi="he-IL"/>
        </w:rPr>
        <w:t>באילפס</w:t>
      </w:r>
      <w:r w:rsidRPr="00400C0B">
        <w:rPr>
          <w:rFonts w:cs="Guttman Rashi"/>
          <w:rtl/>
          <w:lang w:bidi="he-IL"/>
        </w:rPr>
        <w:t xml:space="preserve">, </w:t>
      </w:r>
      <w:r w:rsidRPr="00400C0B">
        <w:rPr>
          <w:rFonts w:cs="Guttman Rashi" w:hint="eastAsia"/>
          <w:rtl/>
          <w:lang w:bidi="he-IL"/>
        </w:rPr>
        <w:t>אולי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איסורים</w:t>
      </w:r>
      <w:r w:rsidRPr="00400C0B">
        <w:rPr>
          <w:rFonts w:cs="Guttman Rashi"/>
          <w:rtl/>
          <w:lang w:bidi="he-IL"/>
        </w:rPr>
        <w:t xml:space="preserve"> </w:t>
      </w:r>
      <w:r w:rsidRPr="00400C0B">
        <w:rPr>
          <w:rFonts w:cs="Guttman Rashi" w:hint="eastAsia"/>
          <w:rtl/>
          <w:lang w:bidi="he-IL"/>
        </w:rPr>
        <w:t>דטכ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בהם</w:t>
      </w:r>
      <w:r w:rsidRPr="00400C0B">
        <w:rPr>
          <w:rFonts w:cs="Guttman Rashi"/>
          <w:rtl/>
          <w:lang w:bidi="he-IL"/>
        </w:rPr>
        <w:t xml:space="preserve"> </w:t>
      </w:r>
      <w:r w:rsidRPr="00400C0B">
        <w:rPr>
          <w:rFonts w:cs="Guttman Rashi" w:hint="eastAsia"/>
          <w:rtl/>
          <w:lang w:bidi="he-IL"/>
        </w:rPr>
        <w:t>דרבנן</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בבב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ששם</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w:t>
      </w:r>
    </w:p>
  </w:footnote>
  <w:footnote w:id="11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הקפילא</w:t>
      </w:r>
      <w:r w:rsidRPr="00400C0B">
        <w:rPr>
          <w:rFonts w:cs="Guttman Rashi"/>
          <w:rtl/>
          <w:lang w:bidi="he-IL"/>
        </w:rPr>
        <w:t xml:space="preserve"> </w:t>
      </w:r>
      <w:r w:rsidRPr="00400C0B">
        <w:rPr>
          <w:rFonts w:cs="Guttman Rashi" w:hint="eastAsia"/>
          <w:rtl/>
          <w:lang w:bidi="he-IL"/>
        </w:rPr>
        <w:t>יטעם</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התבשיל</w:t>
      </w:r>
      <w:r w:rsidRPr="00400C0B">
        <w:rPr>
          <w:rFonts w:cs="Guttman Rashi"/>
          <w:rtl/>
          <w:lang w:bidi="he-IL"/>
        </w:rPr>
        <w:t xml:space="preserve"> </w:t>
      </w:r>
      <w:r w:rsidRPr="00400C0B">
        <w:rPr>
          <w:rFonts w:cs="Guttman Rashi" w:hint="eastAsia"/>
          <w:rtl/>
          <w:lang w:bidi="he-IL"/>
        </w:rPr>
        <w:t>וירגיש</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ניכר</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לקפילא</w:t>
      </w:r>
      <w:r w:rsidRPr="00400C0B">
        <w:rPr>
          <w:rFonts w:cs="Guttman Rashi"/>
          <w:rtl/>
          <w:lang w:bidi="he-IL"/>
        </w:rPr>
        <w:t xml:space="preserve"> </w:t>
      </w:r>
      <w:r w:rsidRPr="00400C0B">
        <w:rPr>
          <w:rFonts w:cs="Guttman Rashi" w:hint="eastAsia"/>
          <w:rtl/>
          <w:lang w:bidi="he-IL"/>
        </w:rPr>
        <w:t>שיהא</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לאכלו</w:t>
      </w:r>
      <w:r w:rsidRPr="00400C0B">
        <w:rPr>
          <w:rFonts w:cs="Guttman Rashi"/>
          <w:rtl/>
          <w:lang w:bidi="he-IL"/>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 xml:space="preserve"> </w:t>
      </w:r>
      <w:r w:rsidRPr="00400C0B">
        <w:rPr>
          <w:rFonts w:cs="Guttman Rashi" w:hint="eastAsia"/>
          <w:rtl/>
          <w:lang w:bidi="he-IL"/>
        </w:rPr>
        <w:t>שלעולם</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המורגש</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קפילא</w:t>
      </w:r>
      <w:r w:rsidRPr="00400C0B">
        <w:rPr>
          <w:rFonts w:cs="Guttman Rashi"/>
          <w:rtl/>
          <w:lang w:bidi="he-IL"/>
        </w:rPr>
        <w:t xml:space="preserve"> </w:t>
      </w:r>
      <w:r w:rsidRPr="00400C0B">
        <w:rPr>
          <w:rFonts w:cs="Guttman Rashi" w:hint="eastAsia"/>
          <w:rtl/>
          <w:lang w:bidi="he-IL"/>
        </w:rPr>
        <w:t>שמה</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חיישינן</w:t>
      </w:r>
      <w:r w:rsidRPr="00400C0B">
        <w:rPr>
          <w:rFonts w:cs="Guttman Rashi"/>
          <w:rtl/>
          <w:lang w:bidi="he-IL"/>
        </w:rPr>
        <w:t xml:space="preserve"> </w:t>
      </w:r>
      <w:r w:rsidRPr="00400C0B">
        <w:rPr>
          <w:rFonts w:cs="Guttman Rashi" w:hint="eastAsia"/>
          <w:rtl/>
          <w:lang w:bidi="he-IL"/>
        </w:rPr>
        <w:t>שהי</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כזה</w:t>
      </w:r>
      <w:r w:rsidRPr="00400C0B">
        <w:rPr>
          <w:rFonts w:cs="Guttman Rashi"/>
          <w:rtl/>
          <w:lang w:bidi="he-IL"/>
        </w:rPr>
        <w:t xml:space="preserve"> </w:t>
      </w:r>
      <w:r w:rsidRPr="00400C0B">
        <w:rPr>
          <w:rFonts w:cs="Guttman Rashi" w:hint="eastAsia"/>
          <w:rtl/>
          <w:lang w:bidi="he-IL"/>
        </w:rPr>
        <w:t>שמורגש</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קפילא</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אדם</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אה</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טעמו</w:t>
      </w:r>
      <w:r w:rsidRPr="00400C0B">
        <w:rPr>
          <w:rFonts w:cs="Guttman Rashi"/>
          <w:rtl/>
          <w:lang w:bidi="he-IL"/>
        </w:rPr>
        <w:t xml:space="preserve"> </w:t>
      </w:r>
      <w:r w:rsidRPr="00400C0B">
        <w:rPr>
          <w:rFonts w:cs="Guttman Rashi" w:hint="eastAsia"/>
          <w:rtl/>
          <w:lang w:bidi="he-IL"/>
        </w:rPr>
        <w:t>קפילא</w:t>
      </w:r>
      <w:r w:rsidRPr="00400C0B">
        <w:rPr>
          <w:rFonts w:cs="Guttman Rashi"/>
          <w:rtl/>
          <w:lang w:bidi="he-IL"/>
        </w:rPr>
        <w:t xml:space="preserve"> </w:t>
      </w:r>
      <w:r w:rsidRPr="00400C0B">
        <w:rPr>
          <w:rFonts w:cs="Guttman Rashi" w:hint="eastAsia"/>
          <w:rtl/>
          <w:lang w:bidi="he-IL"/>
        </w:rPr>
        <w:t>לבד</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לכו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במגי</w:t>
      </w:r>
      <w:r w:rsidRPr="00400C0B">
        <w:rPr>
          <w:rFonts w:cs="Guttman Rashi"/>
          <w:rtl/>
          <w:lang w:bidi="he-IL"/>
        </w:rPr>
        <w:t>"</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שנקט</w:t>
      </w:r>
      <w:r w:rsidRPr="00400C0B">
        <w:rPr>
          <w:rFonts w:cs="Guttman Rashi"/>
          <w:rtl/>
          <w:lang w:bidi="he-IL"/>
        </w:rPr>
        <w:t xml:space="preserve"> </w:t>
      </w:r>
      <w:r w:rsidRPr="00400C0B">
        <w:rPr>
          <w:rFonts w:cs="Guttman Rashi" w:hint="eastAsia"/>
          <w:rtl/>
          <w:lang w:bidi="he-IL"/>
        </w:rPr>
        <w:t>בהדיא</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מורגש</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לקפילא</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לגמרי</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w:t>
      </w:r>
    </w:p>
  </w:footnote>
  <w:footnote w:id="12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בענין</w:t>
      </w:r>
      <w:r w:rsidRPr="00400C0B">
        <w:rPr>
          <w:rFonts w:cs="Guttman Rashi"/>
          <w:rtl/>
          <w:lang w:bidi="he-IL"/>
        </w:rPr>
        <w:t xml:space="preserve"> </w:t>
      </w:r>
      <w:r w:rsidRPr="00400C0B">
        <w:rPr>
          <w:rFonts w:cs="Guttman Rashi" w:hint="eastAsia"/>
          <w:rtl/>
          <w:lang w:bidi="he-IL"/>
        </w:rPr>
        <w:t>גיד</w:t>
      </w:r>
      <w:r w:rsidRPr="00400C0B">
        <w:rPr>
          <w:rFonts w:cs="Guttman Rashi"/>
          <w:rtl/>
          <w:lang w:bidi="he-IL"/>
        </w:rPr>
        <w:t xml:space="preserve"> </w:t>
      </w:r>
      <w:r w:rsidRPr="00400C0B">
        <w:rPr>
          <w:rFonts w:cs="Guttman Rashi" w:hint="eastAsia"/>
          <w:rtl/>
          <w:lang w:bidi="he-IL"/>
        </w:rPr>
        <w:t>שנימוח</w:t>
      </w:r>
      <w:r w:rsidRPr="00400C0B">
        <w:rPr>
          <w:rFonts w:cs="Guttman Rashi"/>
          <w:rtl/>
          <w:lang w:bidi="he-IL"/>
        </w:rPr>
        <w:t xml:space="preserve"> </w:t>
      </w:r>
      <w:r w:rsidRPr="00400C0B">
        <w:rPr>
          <w:rFonts w:cs="Guttman Rashi" w:hint="eastAsia"/>
          <w:rtl/>
          <w:lang w:bidi="he-IL"/>
        </w:rPr>
        <w:t>שהבאנו</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טעמים</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סומכים</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קפילא</w:t>
      </w:r>
      <w:r w:rsidRPr="00400C0B">
        <w:rPr>
          <w:rFonts w:cs="Guttman Rashi"/>
          <w:rtl/>
          <w:lang w:bidi="he-IL"/>
        </w:rPr>
        <w:t xml:space="preserve"> </w:t>
      </w:r>
      <w:r w:rsidRPr="00400C0B">
        <w:rPr>
          <w:rFonts w:cs="Guttman Rashi" w:hint="eastAsia"/>
          <w:rtl/>
          <w:lang w:bidi="he-IL"/>
        </w:rPr>
        <w:t>כשהתערב</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גופו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w:t>
      </w:r>
    </w:p>
  </w:footnote>
  <w:footnote w:id="12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בסוגיא</w:t>
      </w:r>
      <w:r w:rsidRPr="00400C0B">
        <w:rPr>
          <w:rFonts w:cs="Guttman Rashi"/>
          <w:rtl/>
          <w:lang w:bidi="he-IL"/>
        </w:rPr>
        <w:t xml:space="preserve"> </w:t>
      </w:r>
      <w:r w:rsidRPr="00400C0B">
        <w:rPr>
          <w:rFonts w:cs="Guttman Rashi" w:hint="eastAsia"/>
          <w:rtl/>
          <w:lang w:bidi="he-IL"/>
        </w:rPr>
        <w:t>דקפילא</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ד</w:t>
      </w:r>
    </w:p>
  </w:footnote>
  <w:footnote w:id="12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כעין</w:t>
      </w:r>
      <w:r w:rsidRPr="00400C0B">
        <w:rPr>
          <w:rFonts w:cs="Guttman Rashi"/>
          <w:rtl/>
          <w:lang w:bidi="he-IL"/>
        </w:rPr>
        <w:t xml:space="preserve"> </w:t>
      </w:r>
      <w:r w:rsidRPr="00400C0B">
        <w:rPr>
          <w:rFonts w:cs="Guttman Rashi" w:hint="eastAsia"/>
          <w:rtl/>
          <w:lang w:bidi="he-IL"/>
        </w:rPr>
        <w:t>דברינו</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שואל</w:t>
      </w:r>
      <w:r w:rsidRPr="00400C0B">
        <w:rPr>
          <w:rFonts w:cs="Guttman Rashi"/>
          <w:rtl/>
          <w:lang w:bidi="he-IL"/>
        </w:rPr>
        <w:t xml:space="preserve"> </w:t>
      </w:r>
      <w:r w:rsidRPr="00400C0B">
        <w:rPr>
          <w:rFonts w:cs="Guttman Rashi" w:hint="eastAsia"/>
          <w:rtl/>
          <w:lang w:bidi="he-IL"/>
        </w:rPr>
        <w:t>ומשיב</w:t>
      </w:r>
      <w:r w:rsidRPr="00400C0B">
        <w:rPr>
          <w:rFonts w:cs="Guttman Rashi"/>
          <w:rtl/>
          <w:lang w:bidi="he-IL"/>
        </w:rPr>
        <w:t xml:space="preserve"> (</w:t>
      </w:r>
      <w:r w:rsidRPr="00400C0B">
        <w:rPr>
          <w:rFonts w:cs="Guttman Rashi" w:hint="eastAsia"/>
          <w:rtl/>
          <w:lang w:bidi="he-IL"/>
        </w:rPr>
        <w:t>קמא</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והנה</w:t>
      </w:r>
      <w:r w:rsidRPr="00400C0B">
        <w:rPr>
          <w:rFonts w:cs="Guttman Rashi"/>
          <w:rtl/>
          <w:lang w:bidi="he-IL"/>
        </w:rPr>
        <w:t xml:space="preserve"> </w:t>
      </w:r>
      <w:r w:rsidRPr="00400C0B">
        <w:rPr>
          <w:rFonts w:cs="Guttman Rashi" w:hint="eastAsia"/>
          <w:rtl/>
          <w:lang w:bidi="he-IL"/>
        </w:rPr>
        <w:t>הב</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p>
  </w:footnote>
  <w:footnote w:id="12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סוף</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בדין</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בחומץ</w:t>
      </w:r>
      <w:r w:rsidRPr="00400C0B">
        <w:rPr>
          <w:rFonts w:cs="Guttman Rashi"/>
          <w:rtl/>
          <w:lang w:bidi="he-IL"/>
        </w:rPr>
        <w:t>.</w:t>
      </w:r>
    </w:p>
  </w:footnote>
  <w:footnote w:id="12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בספר</w:t>
      </w:r>
      <w:r w:rsidRPr="00400C0B">
        <w:rPr>
          <w:rFonts w:cs="Guttman Rashi"/>
          <w:rtl/>
          <w:lang w:bidi="he-IL"/>
        </w:rPr>
        <w:t xml:space="preserve"> </w:t>
      </w:r>
      <w:r w:rsidRPr="00400C0B">
        <w:rPr>
          <w:rFonts w:cs="Guttman Rashi" w:hint="eastAsia"/>
          <w:rtl/>
          <w:lang w:bidi="he-IL"/>
        </w:rPr>
        <w:t>המכריע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סברא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שיטה</w:t>
      </w:r>
      <w:r w:rsidRPr="00400C0B">
        <w:rPr>
          <w:rFonts w:cs="Guttman Rashi"/>
          <w:rtl/>
          <w:lang w:bidi="he-IL"/>
        </w:rPr>
        <w:t xml:space="preserve"> </w:t>
      </w:r>
      <w:r w:rsidRPr="00400C0B">
        <w:rPr>
          <w:rFonts w:cs="Guttman Rashi" w:hint="eastAsia"/>
          <w:rtl/>
          <w:lang w:bidi="he-IL"/>
        </w:rPr>
        <w:t>אחרת</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שלעולם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משערים</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במאי</w:t>
      </w:r>
      <w:r w:rsidRPr="00400C0B">
        <w:rPr>
          <w:rFonts w:cs="Guttman Rashi"/>
          <w:rtl/>
          <w:lang w:bidi="he-IL"/>
        </w:rPr>
        <w:t xml:space="preserve"> </w:t>
      </w:r>
      <w:r w:rsidRPr="00400C0B">
        <w:rPr>
          <w:rFonts w:cs="Guttman Rashi" w:hint="eastAsia"/>
          <w:rtl/>
          <w:lang w:bidi="he-IL"/>
        </w:rPr>
        <w:t>דנפיק</w:t>
      </w:r>
      <w:r w:rsidRPr="00400C0B">
        <w:rPr>
          <w:rFonts w:cs="Guttman Rashi"/>
          <w:rtl/>
          <w:lang w:bidi="he-IL"/>
        </w:rPr>
        <w:t xml:space="preserve"> </w:t>
      </w:r>
      <w:r w:rsidRPr="00400C0B">
        <w:rPr>
          <w:rFonts w:cs="Guttman Rashi" w:hint="eastAsia"/>
          <w:rtl/>
          <w:lang w:bidi="he-IL"/>
        </w:rPr>
        <w:t>מיני</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לחלק</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לדין</w:t>
      </w:r>
      <w:r w:rsidRPr="00400C0B">
        <w:rPr>
          <w:rFonts w:cs="Guttman Rashi"/>
          <w:rtl/>
          <w:lang w:bidi="he-IL"/>
        </w:rPr>
        <w:t xml:space="preserve"> </w:t>
      </w:r>
      <w:r w:rsidRPr="00400C0B">
        <w:rPr>
          <w:rFonts w:cs="Guttman Rashi" w:hint="eastAsia"/>
          <w:rtl/>
          <w:lang w:bidi="he-IL"/>
        </w:rPr>
        <w:t>הכחל</w:t>
      </w:r>
      <w:r w:rsidRPr="00400C0B">
        <w:rPr>
          <w:rFonts w:cs="Guttman Rashi"/>
          <w:rtl/>
          <w:lang w:bidi="he-IL"/>
        </w:rPr>
        <w:t>.</w:t>
      </w:r>
    </w:p>
  </w:footnote>
  <w:footnote w:id="12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בביאור</w:t>
      </w:r>
      <w:r w:rsidRPr="00400C0B">
        <w:rPr>
          <w:rFonts w:cs="Guttman Rashi"/>
          <w:rtl/>
          <w:lang w:bidi="he-IL"/>
        </w:rPr>
        <w:t xml:space="preserve"> </w:t>
      </w:r>
      <w:r w:rsidRPr="00400C0B">
        <w:rPr>
          <w:rFonts w:cs="Guttman Rashi" w:hint="eastAsia"/>
          <w:rtl/>
          <w:lang w:bidi="he-IL"/>
        </w:rPr>
        <w:t>שיטה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w:t>
      </w:r>
    </w:p>
  </w:footnote>
  <w:footnote w:id="12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בהגהות</w:t>
      </w:r>
      <w:r w:rsidRPr="00400C0B">
        <w:rPr>
          <w:rFonts w:cs="Guttman Rashi"/>
          <w:rtl/>
          <w:lang w:bidi="he-IL"/>
        </w:rPr>
        <w:t xml:space="preserve"> </w:t>
      </w:r>
      <w:r w:rsidRPr="00400C0B">
        <w:rPr>
          <w:rFonts w:cs="Guttman Rashi" w:hint="eastAsia"/>
          <w:rtl/>
          <w:lang w:bidi="he-IL"/>
        </w:rPr>
        <w:t>שערי</w:t>
      </w:r>
      <w:r w:rsidRPr="00400C0B">
        <w:rPr>
          <w:rFonts w:cs="Guttman Rashi"/>
          <w:rtl/>
          <w:lang w:bidi="he-IL"/>
        </w:rPr>
        <w:t xml:space="preserve"> </w:t>
      </w:r>
      <w:r w:rsidRPr="00400C0B">
        <w:rPr>
          <w:rFonts w:cs="Guttman Rashi" w:hint="eastAsia"/>
          <w:rtl/>
          <w:lang w:bidi="he-IL"/>
        </w:rPr>
        <w:t>דורא</w:t>
      </w:r>
      <w:r w:rsidRPr="00400C0B">
        <w:rPr>
          <w:rFonts w:cs="Guttman Rashi"/>
          <w:rtl/>
          <w:lang w:bidi="he-IL"/>
        </w:rPr>
        <w:t xml:space="preserve"> (</w:t>
      </w:r>
      <w:r w:rsidRPr="00400C0B">
        <w:rPr>
          <w:rFonts w:cs="Guttman Rashi" w:hint="eastAsia"/>
          <w:rtl/>
          <w:lang w:bidi="he-IL"/>
        </w:rPr>
        <w:t>שער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מובא</w:t>
      </w:r>
      <w:r w:rsidRPr="00400C0B">
        <w:rPr>
          <w:rFonts w:cs="Guttman Rashi"/>
          <w:rtl/>
          <w:lang w:bidi="he-IL"/>
        </w:rPr>
        <w:t xml:space="preserve"> </w:t>
      </w:r>
      <w:r w:rsidRPr="00400C0B">
        <w:rPr>
          <w:rFonts w:cs="Guttman Rashi" w:hint="eastAsia"/>
          <w:rtl/>
          <w:lang w:bidi="he-IL"/>
        </w:rPr>
        <w:t>בש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שהתייחס</w:t>
      </w:r>
      <w:r w:rsidRPr="00400C0B">
        <w:rPr>
          <w:rFonts w:cs="Guttman Rashi"/>
          <w:rtl/>
          <w:lang w:bidi="he-IL"/>
        </w:rPr>
        <w:t xml:space="preserve"> </w:t>
      </w:r>
      <w:r w:rsidRPr="00400C0B">
        <w:rPr>
          <w:rFonts w:cs="Guttman Rashi" w:hint="eastAsia"/>
          <w:rtl/>
          <w:lang w:bidi="he-IL"/>
        </w:rPr>
        <w:t>לקושיא</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w:t>
      </w:r>
    </w:p>
  </w:footnote>
  <w:footnote w:id="12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כאלו</w:t>
      </w:r>
      <w:r w:rsidRPr="00400C0B">
        <w:rPr>
          <w:rFonts w:cs="Guttman Rashi"/>
          <w:rtl/>
          <w:lang w:bidi="he-IL"/>
        </w:rPr>
        <w:t xml:space="preserve"> </w:t>
      </w:r>
      <w:r w:rsidRPr="00400C0B">
        <w:rPr>
          <w:rFonts w:cs="Guttman Rashi" w:hint="eastAsia"/>
          <w:rtl/>
          <w:lang w:bidi="he-IL"/>
        </w:rPr>
        <w:t>דברים</w:t>
      </w:r>
      <w:r w:rsidRPr="00400C0B">
        <w:rPr>
          <w:rFonts w:cs="Guttman Rashi"/>
          <w:rtl/>
          <w:lang w:bidi="he-IL"/>
        </w:rPr>
        <w:t xml:space="preserve"> </w:t>
      </w:r>
      <w:r w:rsidRPr="00400C0B">
        <w:rPr>
          <w:rFonts w:cs="Guttman Rashi" w:hint="eastAsia"/>
          <w:rtl/>
          <w:lang w:bidi="he-IL"/>
        </w:rPr>
        <w:t>במגי</w:t>
      </w:r>
      <w:r w:rsidRPr="00400C0B">
        <w:rPr>
          <w:rFonts w:cs="Guttman Rashi"/>
          <w:rtl/>
          <w:lang w:bidi="he-IL"/>
        </w:rPr>
        <w:t>"</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NOTEREF</w:instrText>
      </w:r>
      <w:r w:rsidRPr="00400C0B">
        <w:rPr>
          <w:rFonts w:cs="Guttman Rashi"/>
          <w:rtl/>
          <w:lang w:bidi="he-IL"/>
        </w:rPr>
        <w:instrText xml:space="preserve"> _</w:instrText>
      </w:r>
      <w:r w:rsidRPr="00400C0B">
        <w:rPr>
          <w:rFonts w:cs="Guttman Rashi"/>
          <w:lang w:bidi="he-IL"/>
        </w:rPr>
        <w:instrText>Ref458604175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79</w:t>
      </w:r>
      <w:r w:rsidRPr="00400C0B">
        <w:rPr>
          <w:rFonts w:cs="Guttman Rashi"/>
          <w:rtl/>
          <w:lang w:bidi="he-IL"/>
        </w:rPr>
        <w:fldChar w:fldCharType="end"/>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חידושי</w:t>
      </w:r>
      <w:r w:rsidRPr="00400C0B">
        <w:rPr>
          <w:rFonts w:cs="Guttman Rashi"/>
          <w:rtl/>
          <w:lang w:bidi="he-IL"/>
        </w:rPr>
        <w:t xml:space="preserve"> </w:t>
      </w:r>
      <w:r w:rsidRPr="00400C0B">
        <w:rPr>
          <w:rFonts w:cs="Guttman Rashi" w:hint="eastAsia"/>
          <w:rtl/>
          <w:lang w:bidi="he-IL"/>
        </w:rPr>
        <w:t>רבינו</w:t>
      </w:r>
      <w:r w:rsidRPr="00400C0B">
        <w:rPr>
          <w:rFonts w:cs="Guttman Rashi"/>
          <w:rtl/>
          <w:lang w:bidi="he-IL"/>
        </w:rPr>
        <w:t xml:space="preserve"> </w:t>
      </w:r>
      <w:r w:rsidRPr="00400C0B">
        <w:rPr>
          <w:rFonts w:cs="Guttman Rashi" w:hint="eastAsia"/>
          <w:rtl/>
          <w:lang w:bidi="he-IL"/>
        </w:rPr>
        <w:t>חיים</w:t>
      </w:r>
      <w:r w:rsidRPr="00400C0B">
        <w:rPr>
          <w:rFonts w:cs="Guttman Rashi"/>
          <w:rtl/>
          <w:lang w:bidi="he-IL"/>
        </w:rPr>
        <w:t xml:space="preserve"> </w:t>
      </w:r>
      <w:r w:rsidRPr="00400C0B">
        <w:rPr>
          <w:rFonts w:cs="Guttman Rashi" w:hint="eastAsia"/>
          <w:rtl/>
          <w:lang w:bidi="he-IL"/>
        </w:rPr>
        <w:t>הלוי</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מהל</w:t>
      </w:r>
      <w:r w:rsidRPr="00400C0B">
        <w:rPr>
          <w:rFonts w:cs="Guttman Rashi"/>
          <w:rtl/>
          <w:lang w:bidi="he-IL"/>
        </w:rPr>
        <w:t xml:space="preserve"> </w:t>
      </w:r>
      <w:r w:rsidRPr="00400C0B">
        <w:rPr>
          <w:rFonts w:cs="Guttman Rashi" w:hint="eastAsia"/>
          <w:rtl/>
          <w:lang w:bidi="he-IL"/>
        </w:rPr>
        <w:t>מאכ</w:t>
      </w:r>
      <w:r w:rsidRPr="00400C0B">
        <w:rPr>
          <w:rFonts w:cs="Guttman Rashi"/>
          <w:rtl/>
          <w:lang w:bidi="he-IL"/>
        </w:rPr>
        <w:t>"</w:t>
      </w:r>
      <w:r w:rsidRPr="00400C0B">
        <w:rPr>
          <w:rFonts w:cs="Guttman Rashi" w:hint="eastAsia"/>
          <w:rtl/>
          <w:lang w:bidi="he-IL"/>
        </w:rPr>
        <w:t>א</w:t>
      </w:r>
      <w:r w:rsidRPr="00400C0B">
        <w:rPr>
          <w:rFonts w:cs="Guttman Rashi"/>
          <w:rtl/>
          <w:lang w:bidi="he-IL"/>
        </w:rPr>
        <w:t>.</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NOTEREF</w:instrText>
      </w:r>
      <w:r w:rsidRPr="00400C0B">
        <w:rPr>
          <w:rFonts w:cs="Guttman Rashi"/>
          <w:rtl/>
          <w:lang w:bidi="he-IL"/>
        </w:rPr>
        <w:instrText xml:space="preserve"> _</w:instrText>
      </w:r>
      <w:r w:rsidRPr="00400C0B">
        <w:rPr>
          <w:rFonts w:cs="Guttman Rashi"/>
          <w:lang w:bidi="he-IL"/>
        </w:rPr>
        <w:instrText>Ref445022991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154</w:t>
      </w:r>
      <w:r w:rsidRPr="00400C0B">
        <w:rPr>
          <w:rFonts w:cs="Guttman Rashi"/>
          <w:rtl/>
          <w:lang w:bidi="he-IL"/>
        </w:rPr>
        <w:fldChar w:fldCharType="end"/>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w:t>
      </w:r>
      <w:r w:rsidRPr="00400C0B">
        <w:rPr>
          <w:rFonts w:cs="Guttman Rashi" w:hint="eastAsia"/>
          <w:rtl/>
          <w:lang w:bidi="he-IL"/>
        </w:rPr>
        <w:t>ג</w:t>
      </w:r>
      <w:r w:rsidRPr="00400C0B">
        <w:rPr>
          <w:rFonts w:cs="Guttman Rashi"/>
          <w:rtl/>
          <w:lang w:bidi="he-IL"/>
        </w:rPr>
        <w:t>.</w:t>
      </w:r>
    </w:p>
  </w:footnote>
  <w:footnote w:id="12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להביא</w:t>
      </w:r>
      <w:r w:rsidRPr="00400C0B">
        <w:rPr>
          <w:rFonts w:cs="Guttman Rashi"/>
          <w:rtl/>
          <w:lang w:bidi="he-IL"/>
        </w:rPr>
        <w:t xml:space="preserve"> </w:t>
      </w:r>
      <w:r w:rsidRPr="00400C0B">
        <w:rPr>
          <w:rFonts w:cs="Guttman Rashi" w:hint="eastAsia"/>
          <w:rtl/>
          <w:lang w:bidi="he-IL"/>
        </w:rPr>
        <w:t>סמך</w:t>
      </w:r>
      <w:r w:rsidRPr="00400C0B">
        <w:rPr>
          <w:rFonts w:cs="Guttman Rashi"/>
          <w:rtl/>
          <w:lang w:bidi="he-IL"/>
        </w:rPr>
        <w:t xml:space="preserve"> </w:t>
      </w:r>
      <w:r w:rsidRPr="00400C0B">
        <w:rPr>
          <w:rFonts w:cs="Guttman Rashi" w:hint="eastAsia"/>
          <w:rtl/>
          <w:lang w:bidi="he-IL"/>
        </w:rPr>
        <w:t>שזהו</w:t>
      </w:r>
      <w:r w:rsidRPr="00400C0B">
        <w:rPr>
          <w:rFonts w:cs="Guttman Rashi"/>
          <w:rtl/>
          <w:lang w:bidi="he-IL"/>
        </w:rPr>
        <w:t xml:space="preserve"> </w:t>
      </w:r>
      <w:r w:rsidRPr="00400C0B">
        <w:rPr>
          <w:rFonts w:cs="Guttman Rashi" w:hint="eastAsia"/>
          <w:rtl/>
          <w:lang w:bidi="he-IL"/>
        </w:rPr>
        <w:t>הגדר</w:t>
      </w:r>
      <w:r w:rsidRPr="00400C0B">
        <w:rPr>
          <w:rFonts w:cs="Guttman Rashi"/>
          <w:rtl/>
          <w:lang w:bidi="he-IL"/>
        </w:rPr>
        <w:t xml:space="preserve"> </w:t>
      </w:r>
      <w:r w:rsidRPr="00400C0B">
        <w:rPr>
          <w:rFonts w:cs="Guttman Rashi" w:hint="eastAsia"/>
          <w:rtl/>
          <w:lang w:bidi="he-IL"/>
        </w:rPr>
        <w:t>ממה</w:t>
      </w:r>
      <w:r w:rsidRPr="00400C0B">
        <w:rPr>
          <w:rFonts w:cs="Guttman Rashi"/>
          <w:rtl/>
          <w:lang w:bidi="he-IL"/>
        </w:rPr>
        <w:t xml:space="preserve"> </w:t>
      </w:r>
      <w:r w:rsidRPr="00400C0B">
        <w:rPr>
          <w:rFonts w:cs="Guttman Rashi" w:hint="eastAsia"/>
          <w:rtl/>
          <w:lang w:bidi="he-IL"/>
        </w:rPr>
        <w:t>שהוכיחו</w:t>
      </w:r>
      <w:r w:rsidRPr="00400C0B">
        <w:rPr>
          <w:rFonts w:cs="Guttman Rashi"/>
          <w:rtl/>
          <w:lang w:bidi="he-IL"/>
        </w:rPr>
        <w:t xml:space="preserve"> </w:t>
      </w:r>
      <w:r w:rsidRPr="00400C0B">
        <w:rPr>
          <w:rFonts w:cs="Guttman Rashi" w:hint="eastAsia"/>
          <w:rtl/>
          <w:lang w:bidi="he-IL"/>
        </w:rPr>
        <w:t>מכלאים</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חידוש</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גדר</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מכלאים</w:t>
      </w:r>
      <w:r w:rsidRPr="00400C0B">
        <w:rPr>
          <w:rFonts w:cs="Guttman Rashi"/>
          <w:rtl/>
          <w:lang w:bidi="he-IL"/>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לחלק</w:t>
      </w:r>
      <w:r w:rsidRPr="00400C0B">
        <w:rPr>
          <w:rFonts w:cs="Guttman Rashi"/>
          <w:rtl/>
          <w:lang w:bidi="he-IL"/>
        </w:rPr>
        <w:t xml:space="preserve">. </w:t>
      </w:r>
    </w:p>
  </w:footnote>
  <w:footnote w:id="12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קי</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ושיעור</w:t>
      </w:r>
      <w:r w:rsidRPr="00400C0B">
        <w:rPr>
          <w:rFonts w:cs="Guttman Rashi"/>
          <w:rtl/>
          <w:lang w:bidi="he-IL"/>
        </w:rPr>
        <w:t xml:space="preserve"> </w:t>
      </w:r>
      <w:r w:rsidRPr="00400C0B">
        <w:rPr>
          <w:rFonts w:cs="Guttman Rashi" w:hint="eastAsia"/>
          <w:rtl/>
          <w:lang w:bidi="he-IL"/>
        </w:rPr>
        <w:t>קכ</w:t>
      </w:r>
      <w:r w:rsidRPr="00400C0B">
        <w:rPr>
          <w:rFonts w:cs="Guttman Rashi"/>
          <w:rtl/>
          <w:lang w:bidi="he-IL"/>
        </w:rPr>
        <w:t>"</w:t>
      </w:r>
      <w:r w:rsidRPr="00400C0B">
        <w:rPr>
          <w:rFonts w:cs="Guttman Rashi" w:hint="eastAsia"/>
          <w:rtl/>
          <w:lang w:bidi="he-IL"/>
        </w:rPr>
        <w:t>ז</w:t>
      </w:r>
    </w:p>
  </w:footnote>
  <w:footnote w:id="13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במהר</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שזהו</w:t>
      </w:r>
      <w:r w:rsidRPr="00400C0B">
        <w:rPr>
          <w:rFonts w:cs="Guttman Rashi"/>
          <w:rtl/>
          <w:lang w:bidi="he-IL"/>
        </w:rPr>
        <w:t xml:space="preserve"> </w:t>
      </w:r>
      <w:r w:rsidRPr="00400C0B">
        <w:rPr>
          <w:rFonts w:cs="Guttman Rashi" w:hint="eastAsia"/>
          <w:rtl/>
          <w:lang w:bidi="he-IL"/>
        </w:rPr>
        <w:t>גופא</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שרבא</w:t>
      </w:r>
      <w:r w:rsidRPr="00400C0B">
        <w:rPr>
          <w:rFonts w:cs="Guttman Rashi"/>
          <w:rtl/>
          <w:lang w:bidi="he-IL"/>
        </w:rPr>
        <w:t xml:space="preserve"> </w:t>
      </w:r>
      <w:r w:rsidRPr="00400C0B">
        <w:rPr>
          <w:rFonts w:cs="Guttman Rashi" w:hint="eastAsia"/>
          <w:rtl/>
          <w:lang w:bidi="he-IL"/>
        </w:rPr>
        <w:t>ידע</w:t>
      </w:r>
      <w:r w:rsidRPr="00400C0B">
        <w:rPr>
          <w:rFonts w:cs="Guttman Rashi"/>
          <w:rtl/>
          <w:lang w:bidi="he-IL"/>
        </w:rPr>
        <w:t xml:space="preserve"> </w:t>
      </w:r>
      <w:r w:rsidRPr="00400C0B">
        <w:rPr>
          <w:rFonts w:cs="Guttman Rashi" w:hint="eastAsia"/>
          <w:rtl/>
          <w:lang w:bidi="he-IL"/>
        </w:rPr>
        <w:t>שטעמו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אביי</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שהוי</w:t>
      </w:r>
      <w:r w:rsidRPr="00400C0B">
        <w:rPr>
          <w:rFonts w:cs="Guttman Rashi"/>
          <w:rtl/>
          <w:lang w:bidi="he-IL"/>
        </w:rPr>
        <w:t xml:space="preserve"> </w:t>
      </w:r>
      <w:r w:rsidRPr="00400C0B">
        <w:rPr>
          <w:rFonts w:cs="Guttman Rashi" w:hint="eastAsia"/>
          <w:rtl/>
          <w:lang w:bidi="he-IL"/>
        </w:rPr>
        <w:t>כשתיי</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שאסור</w:t>
      </w:r>
      <w:r w:rsidRPr="00400C0B">
        <w:rPr>
          <w:rFonts w:cs="Guttman Rashi"/>
          <w:rtl/>
          <w:lang w:bidi="he-IL"/>
        </w:rPr>
        <w:t xml:space="preserve"> </w:t>
      </w:r>
      <w:r w:rsidRPr="00400C0B">
        <w:rPr>
          <w:rFonts w:cs="Guttman Rashi" w:hint="eastAsia"/>
          <w:rtl/>
          <w:lang w:bidi="he-IL"/>
        </w:rPr>
        <w:t>בהנאה</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קלקול</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התיקון</w:t>
      </w:r>
      <w:r w:rsidRPr="00400C0B">
        <w:rPr>
          <w:rFonts w:cs="Guttman Rashi"/>
          <w:rtl/>
          <w:lang w:bidi="he-IL"/>
        </w:rPr>
        <w:t xml:space="preserve">. </w:t>
      </w:r>
      <w:r w:rsidRPr="00400C0B">
        <w:rPr>
          <w:rFonts w:cs="Guttman Rashi" w:hint="eastAsia"/>
          <w:rtl/>
          <w:lang w:bidi="he-IL"/>
        </w:rPr>
        <w:t>ומעיקרא</w:t>
      </w:r>
      <w:r w:rsidRPr="00400C0B">
        <w:rPr>
          <w:rFonts w:cs="Guttman Rashi"/>
          <w:rtl/>
          <w:lang w:bidi="he-IL"/>
        </w:rPr>
        <w:t xml:space="preserve"> </w:t>
      </w:r>
      <w:r w:rsidRPr="00400C0B">
        <w:rPr>
          <w:rFonts w:cs="Guttman Rashi" w:hint="eastAsia"/>
          <w:rtl/>
          <w:lang w:bidi="he-IL"/>
        </w:rPr>
        <w:t>חשבתי</w:t>
      </w:r>
      <w:r w:rsidRPr="00400C0B">
        <w:rPr>
          <w:rFonts w:cs="Guttman Rashi"/>
          <w:rtl/>
          <w:lang w:bidi="he-IL"/>
        </w:rPr>
        <w:t xml:space="preserve"> </w:t>
      </w:r>
      <w:r w:rsidRPr="00400C0B">
        <w:rPr>
          <w:rFonts w:cs="Guttman Rashi" w:hint="eastAsia"/>
          <w:rtl/>
          <w:lang w:bidi="he-IL"/>
        </w:rPr>
        <w:t>שמבואר</w:t>
      </w:r>
      <w:r w:rsidRPr="00400C0B">
        <w:rPr>
          <w:rFonts w:cs="Guttman Rashi"/>
          <w:rtl/>
          <w:lang w:bidi="he-IL"/>
        </w:rPr>
        <w:t xml:space="preserve"> </w:t>
      </w:r>
      <w:r w:rsidRPr="00400C0B">
        <w:rPr>
          <w:rFonts w:cs="Guttman Rashi" w:hint="eastAsia"/>
          <w:rtl/>
          <w:lang w:bidi="he-IL"/>
        </w:rPr>
        <w:t>מתוס</w:t>
      </w:r>
      <w:r w:rsidRPr="00400C0B">
        <w:rPr>
          <w:rFonts w:cs="Guttman Rashi"/>
          <w:rtl/>
          <w:lang w:bidi="he-IL"/>
        </w:rPr>
        <w:t xml:space="preserve">' </w:t>
      </w:r>
      <w:r w:rsidRPr="00400C0B">
        <w:rPr>
          <w:rFonts w:cs="Guttman Rashi" w:hint="eastAsia"/>
          <w:rtl/>
          <w:lang w:bidi="he-IL"/>
        </w:rPr>
        <w:t>שבדף</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דכתבו</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וטעם</w:t>
      </w:r>
      <w:r w:rsidRPr="00400C0B">
        <w:rPr>
          <w:rFonts w:cs="Guttman Rashi"/>
          <w:rtl/>
          <w:lang w:bidi="he-IL"/>
        </w:rPr>
        <w:t xml:space="preserve"> </w:t>
      </w:r>
      <w:r w:rsidRPr="00400C0B">
        <w:rPr>
          <w:rFonts w:cs="Guttman Rashi" w:hint="eastAsia"/>
          <w:rtl/>
          <w:lang w:bidi="he-IL"/>
        </w:rPr>
        <w:t>האוסר</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הנאת</w:t>
      </w:r>
      <w:r w:rsidRPr="00400C0B">
        <w:rPr>
          <w:rFonts w:cs="Guttman Rashi"/>
          <w:rtl/>
          <w:lang w:bidi="he-IL"/>
        </w:rPr>
        <w:t xml:space="preserve"> </w:t>
      </w:r>
      <w:r w:rsidRPr="00400C0B">
        <w:rPr>
          <w:rFonts w:cs="Guttman Rashi" w:hint="eastAsia"/>
          <w:rtl/>
          <w:lang w:bidi="he-IL"/>
        </w:rPr>
        <w:t>הריח</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דחשיב</w:t>
      </w:r>
      <w:r w:rsidRPr="00400C0B">
        <w:rPr>
          <w:rFonts w:cs="Guttman Rashi"/>
          <w:rtl/>
          <w:lang w:bidi="he-IL"/>
        </w:rPr>
        <w:t xml:space="preserve"> </w:t>
      </w:r>
      <w:r w:rsidRPr="00400C0B">
        <w:rPr>
          <w:rFonts w:cs="Guttman Rashi" w:hint="eastAsia"/>
          <w:rtl/>
          <w:lang w:bidi="he-IL"/>
        </w:rPr>
        <w:t>ליה</w:t>
      </w:r>
      <w:r w:rsidRPr="00400C0B">
        <w:rPr>
          <w:rFonts w:cs="Guttman Rashi"/>
          <w:rtl/>
          <w:lang w:bidi="he-IL"/>
        </w:rPr>
        <w:t xml:space="preserve"> </w:t>
      </w:r>
      <w:r w:rsidRPr="00400C0B">
        <w:rPr>
          <w:rFonts w:cs="Guttman Rashi" w:hint="eastAsia"/>
          <w:rtl/>
          <w:lang w:bidi="he-IL"/>
        </w:rPr>
        <w:t>כשתייה</w:t>
      </w:r>
      <w:r w:rsidRPr="00400C0B">
        <w:rPr>
          <w:rFonts w:cs="Guttman Rashi"/>
          <w:rtl/>
          <w:lang w:bidi="he-IL"/>
        </w:rPr>
        <w:t xml:space="preserve"> </w:t>
      </w:r>
      <w:r w:rsidRPr="00400C0B">
        <w:rPr>
          <w:rFonts w:cs="Guttman Rashi" w:hint="eastAsia"/>
          <w:rtl/>
          <w:lang w:bidi="he-IL"/>
        </w:rPr>
        <w:t>וכו</w:t>
      </w:r>
      <w:r w:rsidRPr="00400C0B">
        <w:rPr>
          <w:rFonts w:cs="Guttman Rashi"/>
          <w:rtl/>
          <w:lang w:bidi="he-IL"/>
        </w:rPr>
        <w:t xml:space="preserve">'" </w:t>
      </w:r>
      <w:r w:rsidRPr="00400C0B">
        <w:rPr>
          <w:rFonts w:cs="Guttman Rashi" w:hint="eastAsia"/>
          <w:rtl/>
          <w:lang w:bidi="he-IL"/>
        </w:rPr>
        <w:t>כמהר</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למהרש</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מאן</w:t>
      </w:r>
      <w:r w:rsidRPr="00400C0B">
        <w:rPr>
          <w:rFonts w:cs="Guttman Rashi"/>
          <w:rtl/>
          <w:lang w:bidi="he-IL"/>
        </w:rPr>
        <w:t xml:space="preserve"> </w:t>
      </w:r>
      <w:r w:rsidRPr="00400C0B">
        <w:rPr>
          <w:rFonts w:cs="Guttman Rashi" w:hint="eastAsia"/>
          <w:rtl/>
          <w:lang w:bidi="he-IL"/>
        </w:rPr>
        <w:t>דאוסר</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הנאה</w:t>
      </w:r>
      <w:r w:rsidRPr="00400C0B">
        <w:rPr>
          <w:rFonts w:cs="Guttman Rashi"/>
          <w:rtl/>
          <w:lang w:bidi="he-IL"/>
        </w:rPr>
        <w:t xml:space="preserve"> </w:t>
      </w:r>
      <w:r w:rsidRPr="00400C0B">
        <w:rPr>
          <w:rFonts w:cs="Guttman Rashi" w:hint="eastAsia"/>
          <w:rtl/>
          <w:lang w:bidi="he-IL"/>
        </w:rPr>
        <w:t>נמי</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שי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בשיטת</w:t>
      </w:r>
      <w:r w:rsidRPr="00400C0B">
        <w:rPr>
          <w:rFonts w:cs="Guttman Rashi"/>
          <w:rtl/>
          <w:lang w:bidi="he-IL"/>
        </w:rPr>
        <w:t xml:space="preserve"> </w:t>
      </w:r>
      <w:r w:rsidRPr="00400C0B">
        <w:rPr>
          <w:rFonts w:cs="Guttman Rashi" w:hint="eastAsia"/>
          <w:rtl/>
          <w:lang w:bidi="he-IL"/>
        </w:rPr>
        <w:t>מהרש</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דלעולם</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הנאה</w:t>
      </w:r>
      <w:r w:rsidRPr="00400C0B">
        <w:rPr>
          <w:rFonts w:cs="Guttman Rashi"/>
          <w:rtl/>
          <w:lang w:bidi="he-IL"/>
        </w:rPr>
        <w:t xml:space="preserve"> </w:t>
      </w:r>
      <w:r w:rsidRPr="00400C0B">
        <w:rPr>
          <w:rFonts w:cs="Guttman Rashi" w:hint="eastAsia"/>
          <w:rtl/>
          <w:lang w:bidi="he-IL"/>
        </w:rPr>
        <w:t>כו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מודו</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שקלקול</w:t>
      </w:r>
      <w:r w:rsidRPr="00400C0B">
        <w:rPr>
          <w:rFonts w:cs="Guttman Rashi"/>
          <w:rtl/>
          <w:lang w:bidi="he-IL"/>
        </w:rPr>
        <w:t xml:space="preserve"> </w:t>
      </w:r>
      <w:r w:rsidRPr="00400C0B">
        <w:rPr>
          <w:rFonts w:cs="Guttman Rashi" w:hint="eastAsia"/>
          <w:rtl/>
          <w:lang w:bidi="he-IL"/>
        </w:rPr>
        <w:t>רבה</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התיקון</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נחלקו</w:t>
      </w:r>
      <w:r w:rsidRPr="00400C0B">
        <w:rPr>
          <w:rFonts w:cs="Guttman Rashi"/>
          <w:rtl/>
          <w:lang w:bidi="he-IL"/>
        </w:rPr>
        <w:t xml:space="preserve"> </w:t>
      </w:r>
      <w:r w:rsidRPr="00400C0B">
        <w:rPr>
          <w:rFonts w:cs="Guttman Rashi" w:hint="eastAsia"/>
          <w:rtl/>
          <w:lang w:bidi="he-IL"/>
        </w:rPr>
        <w:t>בסברא</w:t>
      </w:r>
      <w:r w:rsidRPr="00400C0B">
        <w:rPr>
          <w:rFonts w:cs="Guttman Rashi"/>
          <w:rtl/>
          <w:lang w:bidi="he-IL"/>
        </w:rPr>
        <w:t xml:space="preserve"> </w:t>
      </w:r>
      <w:r w:rsidRPr="00400C0B">
        <w:rPr>
          <w:rFonts w:cs="Guttman Rashi" w:hint="eastAsia"/>
          <w:rtl/>
          <w:lang w:bidi="he-IL"/>
        </w:rPr>
        <w:t>דשתיי</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זהו</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כשתי</w:t>
      </w:r>
      <w:r w:rsidRPr="00400C0B">
        <w:rPr>
          <w:rFonts w:cs="Guttman Rashi"/>
          <w:rtl/>
          <w:lang w:bidi="he-IL"/>
        </w:rPr>
        <w:t xml:space="preserve">'.    </w:t>
      </w:r>
    </w:p>
  </w:footnote>
  <w:footnote w:id="13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במהר</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דהוו</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תירוצים</w:t>
      </w:r>
    </w:p>
  </w:footnote>
  <w:footnote w:id="13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ולפי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לוי</w:t>
      </w:r>
      <w:r w:rsidRPr="00400C0B">
        <w:rPr>
          <w:rFonts w:cs="Guttman Rashi"/>
          <w:rtl/>
          <w:lang w:bidi="he-IL"/>
        </w:rPr>
        <w:t xml:space="preserve"> </w:t>
      </w:r>
      <w:r w:rsidRPr="00400C0B">
        <w:rPr>
          <w:rFonts w:cs="Guttman Rashi" w:hint="eastAsia"/>
          <w:rtl/>
          <w:lang w:bidi="he-IL"/>
        </w:rPr>
        <w:t>שהתיר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דריחא</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מילתא</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דאיהו</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דמין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ביאר</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ונפק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לדידי</w:t>
      </w:r>
      <w:r w:rsidRPr="00400C0B">
        <w:rPr>
          <w:rFonts w:cs="Guttman Rashi"/>
          <w:rtl/>
          <w:lang w:bidi="he-IL"/>
        </w:rPr>
        <w:t xml:space="preserve">' </w:t>
      </w:r>
      <w:r w:rsidRPr="00400C0B">
        <w:rPr>
          <w:rFonts w:cs="Guttman Rashi" w:hint="eastAsia"/>
          <w:rtl/>
          <w:lang w:bidi="he-IL"/>
        </w:rPr>
        <w:t>לכגון</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בשאינו</w:t>
      </w:r>
      <w:r w:rsidRPr="00400C0B">
        <w:rPr>
          <w:rFonts w:cs="Guttman Rashi"/>
          <w:rtl/>
          <w:lang w:bidi="he-IL"/>
        </w:rPr>
        <w:t xml:space="preserve"> </w:t>
      </w:r>
      <w:r w:rsidRPr="00400C0B">
        <w:rPr>
          <w:rFonts w:cs="Guttman Rashi" w:hint="eastAsia"/>
          <w:rtl/>
          <w:lang w:bidi="he-IL"/>
        </w:rPr>
        <w:t>מינו</w:t>
      </w:r>
      <w:r w:rsidRPr="00400C0B">
        <w:rPr>
          <w:rFonts w:cs="Guttman Rashi"/>
          <w:rtl/>
          <w:lang w:bidi="he-IL"/>
        </w:rPr>
        <w:t xml:space="preserve">. </w:t>
      </w:r>
    </w:p>
  </w:footnote>
  <w:footnote w:id="13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שזה</w:t>
      </w:r>
      <w:r w:rsidRPr="00400C0B">
        <w:rPr>
          <w:rFonts w:cs="Guttman Rashi"/>
          <w:rtl/>
          <w:lang w:bidi="he-IL"/>
        </w:rPr>
        <w:t xml:space="preserve"> </w:t>
      </w:r>
      <w:r w:rsidRPr="00400C0B">
        <w:rPr>
          <w:rFonts w:cs="Guttman Rashi" w:hint="eastAsia"/>
          <w:rtl/>
          <w:lang w:bidi="he-IL"/>
        </w:rPr>
        <w:t>שמעשה</w:t>
      </w:r>
      <w:r w:rsidRPr="00400C0B">
        <w:rPr>
          <w:rFonts w:cs="Guttman Rashi"/>
          <w:rtl/>
          <w:lang w:bidi="he-IL"/>
        </w:rPr>
        <w:t xml:space="preserve"> </w:t>
      </w:r>
      <w:r w:rsidRPr="00400C0B">
        <w:rPr>
          <w:rFonts w:cs="Guttman Rashi" w:hint="eastAsia"/>
          <w:rtl/>
          <w:lang w:bidi="he-IL"/>
        </w:rPr>
        <w:t>הרחה</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כמעשה</w:t>
      </w:r>
      <w:r w:rsidRPr="00400C0B">
        <w:rPr>
          <w:rFonts w:cs="Guttman Rashi"/>
          <w:rtl/>
          <w:lang w:bidi="he-IL"/>
        </w:rPr>
        <w:t xml:space="preserve"> </w:t>
      </w:r>
      <w:r w:rsidRPr="00400C0B">
        <w:rPr>
          <w:rFonts w:cs="Guttman Rashi" w:hint="eastAsia"/>
          <w:rtl/>
          <w:lang w:bidi="he-IL"/>
        </w:rPr>
        <w:t>שתיי</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לכו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ריחא</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מילתא</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מחשיב</w:t>
      </w:r>
      <w:r w:rsidRPr="00400C0B">
        <w:rPr>
          <w:rFonts w:cs="Guttman Rashi"/>
          <w:rtl/>
          <w:lang w:bidi="he-IL"/>
        </w:rPr>
        <w:t xml:space="preserve"> </w:t>
      </w:r>
      <w:r w:rsidRPr="00400C0B">
        <w:rPr>
          <w:rFonts w:cs="Guttman Rashi" w:hint="eastAsia"/>
          <w:rtl/>
          <w:lang w:bidi="he-IL"/>
        </w:rPr>
        <w:t>החפצא</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הריח</w:t>
      </w:r>
      <w:r w:rsidRPr="00400C0B">
        <w:rPr>
          <w:rFonts w:cs="Guttman Rashi"/>
          <w:rtl/>
          <w:lang w:bidi="he-IL"/>
        </w:rPr>
        <w:t>.</w:t>
      </w:r>
    </w:p>
  </w:footnote>
  <w:footnote w:id="13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 xml:space="preserve"> </w:t>
      </w:r>
      <w:r w:rsidRPr="00400C0B">
        <w:rPr>
          <w:rFonts w:cs="Guttman Rashi" w:hint="eastAsia"/>
          <w:rtl/>
          <w:lang w:bidi="he-IL"/>
        </w:rPr>
        <w:t>ראית</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המשניות</w:t>
      </w:r>
      <w:r w:rsidRPr="00400C0B">
        <w:rPr>
          <w:rFonts w:cs="Guttman Rashi"/>
          <w:rtl/>
          <w:lang w:bidi="he-IL"/>
        </w:rPr>
        <w:t xml:space="preserve"> </w:t>
      </w:r>
      <w:r w:rsidRPr="00400C0B">
        <w:rPr>
          <w:rFonts w:cs="Guttman Rashi" w:hint="eastAsia"/>
          <w:rtl/>
          <w:lang w:bidi="he-IL"/>
        </w:rPr>
        <w:t>שבמס</w:t>
      </w:r>
      <w:r w:rsidRPr="00400C0B">
        <w:rPr>
          <w:rFonts w:cs="Guttman Rashi"/>
          <w:rtl/>
          <w:lang w:bidi="he-IL"/>
        </w:rPr>
        <w:t xml:space="preserve">' </w:t>
      </w:r>
      <w:r w:rsidRPr="00400C0B">
        <w:rPr>
          <w:rFonts w:cs="Guttman Rashi" w:hint="eastAsia"/>
          <w:rtl/>
          <w:lang w:bidi="he-IL"/>
        </w:rPr>
        <w:t>מכשירין</w:t>
      </w:r>
      <w:r w:rsidRPr="00400C0B">
        <w:rPr>
          <w:rFonts w:cs="Guttman Rashi"/>
          <w:rtl/>
          <w:lang w:bidi="he-IL"/>
        </w:rPr>
        <w:t xml:space="preserve">, </w:t>
      </w:r>
      <w:r w:rsidRPr="00400C0B">
        <w:rPr>
          <w:rFonts w:cs="Guttman Rashi" w:hint="eastAsia"/>
          <w:rtl/>
          <w:lang w:bidi="he-IL"/>
        </w:rPr>
        <w:t>דדלמא</w:t>
      </w:r>
      <w:r w:rsidRPr="00400C0B">
        <w:rPr>
          <w:rFonts w:cs="Guttman Rashi"/>
          <w:rtl/>
          <w:lang w:bidi="he-IL"/>
        </w:rPr>
        <w:t xml:space="preserve"> </w:t>
      </w:r>
      <w:r w:rsidRPr="00400C0B">
        <w:rPr>
          <w:rFonts w:cs="Guttman Rashi" w:hint="eastAsia"/>
          <w:rtl/>
          <w:lang w:bidi="he-IL"/>
        </w:rPr>
        <w:t>כולהו</w:t>
      </w:r>
      <w:r w:rsidRPr="00400C0B">
        <w:rPr>
          <w:rFonts w:cs="Guttman Rashi"/>
          <w:rtl/>
          <w:lang w:bidi="he-IL"/>
        </w:rPr>
        <w:t xml:space="preserve"> </w:t>
      </w:r>
      <w:r w:rsidRPr="00400C0B">
        <w:rPr>
          <w:rFonts w:cs="Guttman Rashi" w:hint="eastAsia"/>
          <w:rtl/>
          <w:lang w:bidi="he-IL"/>
        </w:rPr>
        <w:t>הוו</w:t>
      </w:r>
      <w:r w:rsidRPr="00400C0B">
        <w:rPr>
          <w:rFonts w:cs="Guttman Rashi"/>
          <w:rtl/>
          <w:lang w:bidi="he-IL"/>
        </w:rPr>
        <w:t xml:space="preserve"> </w:t>
      </w:r>
      <w:r w:rsidRPr="00400C0B">
        <w:rPr>
          <w:rFonts w:cs="Guttman Rashi" w:hint="eastAsia"/>
          <w:rtl/>
          <w:lang w:bidi="he-IL"/>
        </w:rPr>
        <w:t>כר</w:t>
      </w:r>
      <w:r w:rsidRPr="00400C0B">
        <w:rPr>
          <w:rFonts w:cs="Guttman Rashi"/>
          <w:rtl/>
          <w:lang w:bidi="he-IL"/>
        </w:rPr>
        <w:t xml:space="preserve">' </w:t>
      </w:r>
      <w:r w:rsidRPr="00400C0B">
        <w:rPr>
          <w:rFonts w:cs="Guttman Rashi" w:hint="eastAsia"/>
          <w:rtl/>
          <w:lang w:bidi="he-IL"/>
        </w:rPr>
        <w:t>מאיר</w:t>
      </w:r>
      <w:r w:rsidRPr="00400C0B">
        <w:rPr>
          <w:rFonts w:cs="Guttman Rashi"/>
          <w:rtl/>
          <w:lang w:bidi="he-IL"/>
        </w:rPr>
        <w:t xml:space="preserve"> </w:t>
      </w:r>
      <w:r w:rsidRPr="00400C0B">
        <w:rPr>
          <w:rFonts w:cs="Guttman Rashi" w:hint="eastAsia"/>
          <w:rtl/>
          <w:lang w:bidi="he-IL"/>
        </w:rPr>
        <w:t>האוסר</w:t>
      </w:r>
      <w:r w:rsidRPr="00400C0B">
        <w:rPr>
          <w:rFonts w:cs="Guttman Rashi"/>
          <w:rtl/>
          <w:lang w:bidi="he-IL"/>
        </w:rPr>
        <w:t xml:space="preserve"> </w:t>
      </w:r>
      <w:r w:rsidRPr="00400C0B">
        <w:rPr>
          <w:rFonts w:cs="Guttman Rashi" w:hint="eastAsia"/>
          <w:rtl/>
          <w:lang w:bidi="he-IL"/>
        </w:rPr>
        <w:t>ולעולם</w:t>
      </w:r>
      <w:r w:rsidRPr="00400C0B">
        <w:rPr>
          <w:rFonts w:cs="Guttman Rashi"/>
          <w:rtl/>
          <w:lang w:bidi="he-IL"/>
        </w:rPr>
        <w:t xml:space="preserve"> </w:t>
      </w:r>
      <w:r w:rsidRPr="00400C0B">
        <w:rPr>
          <w:rFonts w:cs="Guttman Rashi" w:hint="eastAsia"/>
          <w:rtl/>
          <w:lang w:bidi="he-IL"/>
        </w:rPr>
        <w:t>להלכה</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מכשיר</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שהרא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כר</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דמתני</w:t>
      </w:r>
      <w:r w:rsidRPr="00400C0B">
        <w:rPr>
          <w:rFonts w:cs="Guttman Rashi"/>
          <w:rtl/>
          <w:lang w:bidi="he-IL"/>
        </w:rPr>
        <w:t xml:space="preserve">' </w:t>
      </w:r>
      <w:r w:rsidRPr="00400C0B">
        <w:rPr>
          <w:rFonts w:cs="Guttman Rashi" w:hint="eastAsia"/>
          <w:rtl/>
          <w:lang w:bidi="he-IL"/>
        </w:rPr>
        <w:t>סתמא</w:t>
      </w:r>
      <w:r w:rsidRPr="00400C0B">
        <w:rPr>
          <w:rFonts w:cs="Guttman Rashi"/>
          <w:rtl/>
          <w:lang w:bidi="he-IL"/>
        </w:rPr>
        <w:t xml:space="preserve"> </w:t>
      </w:r>
      <w:r w:rsidRPr="00400C0B">
        <w:rPr>
          <w:rFonts w:cs="Guttman Rashi" w:hint="eastAsia"/>
          <w:rtl/>
          <w:lang w:bidi="he-IL"/>
        </w:rPr>
        <w:t>קתני</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מעומק</w:t>
      </w:r>
      <w:r w:rsidRPr="00400C0B">
        <w:rPr>
          <w:rFonts w:cs="Guttman Rashi"/>
          <w:rtl/>
          <w:lang w:bidi="he-IL"/>
        </w:rPr>
        <w:t xml:space="preserve"> </w:t>
      </w:r>
      <w:r w:rsidRPr="00400C0B">
        <w:rPr>
          <w:rFonts w:cs="Guttman Rashi" w:hint="eastAsia"/>
          <w:rtl/>
          <w:lang w:bidi="he-IL"/>
        </w:rPr>
        <w:t>סברתו</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כפת</w:t>
      </w:r>
      <w:r w:rsidRPr="00400C0B">
        <w:rPr>
          <w:rFonts w:cs="Guttman Rashi"/>
          <w:rtl/>
          <w:lang w:bidi="he-IL"/>
        </w:rPr>
        <w:t xml:space="preserve"> </w:t>
      </w:r>
      <w:r w:rsidRPr="00400C0B">
        <w:rPr>
          <w:rFonts w:cs="Guttman Rashi" w:hint="eastAsia"/>
          <w:rtl/>
          <w:lang w:bidi="he-IL"/>
        </w:rPr>
        <w:t>חמה</w:t>
      </w:r>
      <w:r w:rsidRPr="00400C0B">
        <w:rPr>
          <w:rFonts w:cs="Guttman Rashi"/>
          <w:rtl/>
          <w:lang w:bidi="he-IL"/>
        </w:rPr>
        <w:t xml:space="preserve"> </w:t>
      </w:r>
      <w:r w:rsidRPr="00400C0B">
        <w:rPr>
          <w:rFonts w:cs="Guttman Rashi" w:hint="eastAsia"/>
          <w:rtl/>
          <w:lang w:bidi="he-IL"/>
        </w:rPr>
        <w:t>וחבית</w:t>
      </w:r>
      <w:r w:rsidRPr="00400C0B">
        <w:rPr>
          <w:rFonts w:cs="Guttman Rashi"/>
          <w:rtl/>
          <w:lang w:bidi="he-IL"/>
        </w:rPr>
        <w:t xml:space="preserve"> </w:t>
      </w:r>
      <w:r w:rsidRPr="00400C0B">
        <w:rPr>
          <w:rFonts w:cs="Guttman Rashi" w:hint="eastAsia"/>
          <w:rtl/>
          <w:lang w:bidi="he-IL"/>
        </w:rPr>
        <w:t>סתומה</w:t>
      </w:r>
      <w:r w:rsidRPr="00400C0B">
        <w:rPr>
          <w:rFonts w:cs="Guttman Rashi"/>
          <w:rtl/>
          <w:lang w:bidi="he-IL"/>
        </w:rPr>
        <w:t>.</w:t>
      </w:r>
    </w:p>
  </w:footnote>
  <w:footnote w:id="13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וחשבתי</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מהלך</w:t>
      </w:r>
      <w:r w:rsidRPr="00400C0B">
        <w:rPr>
          <w:rFonts w:cs="Guttman Rashi"/>
          <w:rtl/>
          <w:lang w:bidi="he-IL"/>
        </w:rPr>
        <w:t xml:space="preserve"> </w:t>
      </w:r>
      <w:r w:rsidRPr="00400C0B">
        <w:rPr>
          <w:rFonts w:cs="Guttman Rashi" w:hint="eastAsia"/>
          <w:rtl/>
          <w:lang w:bidi="he-IL"/>
        </w:rPr>
        <w:t>חדש</w:t>
      </w:r>
      <w:r w:rsidRPr="00400C0B">
        <w:rPr>
          <w:rFonts w:cs="Guttman Rashi"/>
          <w:rtl/>
          <w:lang w:bidi="he-IL"/>
        </w:rPr>
        <w:t xml:space="preserve">. </w:t>
      </w:r>
      <w:r w:rsidRPr="00400C0B">
        <w:rPr>
          <w:rFonts w:cs="Guttman Rashi" w:hint="eastAsia"/>
          <w:rtl/>
          <w:lang w:bidi="he-IL"/>
        </w:rPr>
        <w:t>דהנה</w:t>
      </w:r>
      <w:r w:rsidRPr="00400C0B">
        <w:rPr>
          <w:rFonts w:cs="Guttman Rashi"/>
          <w:rtl/>
          <w:lang w:bidi="he-IL"/>
        </w:rPr>
        <w:t xml:space="preserve"> </w:t>
      </w:r>
      <w:r w:rsidRPr="00400C0B">
        <w:rPr>
          <w:rFonts w:cs="Guttman Rashi" w:hint="eastAsia"/>
          <w:rtl/>
          <w:lang w:bidi="he-IL"/>
        </w:rPr>
        <w:t>המקור</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שלכו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ריח</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זיעה</w:t>
      </w:r>
      <w:r w:rsidRPr="00400C0B">
        <w:rPr>
          <w:rFonts w:cs="Guttman Rashi"/>
          <w:rtl/>
          <w:lang w:bidi="he-IL"/>
        </w:rPr>
        <w:t xml:space="preserve"> </w:t>
      </w:r>
      <w:r w:rsidRPr="00400C0B">
        <w:rPr>
          <w:rFonts w:cs="Guttman Rashi" w:hint="eastAsia"/>
          <w:rtl/>
          <w:lang w:bidi="he-IL"/>
        </w:rPr>
        <w:t>האוסרת</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ממילא</w:t>
      </w:r>
      <w:r w:rsidRPr="00400C0B">
        <w:rPr>
          <w:rFonts w:cs="Guttman Rashi"/>
          <w:rtl/>
          <w:lang w:bidi="he-IL"/>
        </w:rPr>
        <w:t xml:space="preserve"> </w:t>
      </w:r>
      <w:r w:rsidRPr="00400C0B">
        <w:rPr>
          <w:rFonts w:cs="Guttman Rashi" w:hint="eastAsia"/>
          <w:rtl/>
          <w:lang w:bidi="he-IL"/>
        </w:rPr>
        <w:t>דר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שסבר</w:t>
      </w:r>
      <w:r w:rsidRPr="00400C0B">
        <w:rPr>
          <w:rFonts w:cs="Guttman Rashi"/>
          <w:rtl/>
          <w:lang w:bidi="he-IL"/>
        </w:rPr>
        <w:t xml:space="preserve"> </w:t>
      </w:r>
      <w:r w:rsidRPr="00400C0B">
        <w:rPr>
          <w:rFonts w:cs="Guttman Rashi" w:hint="eastAsia"/>
          <w:rtl/>
          <w:lang w:bidi="he-IL"/>
        </w:rPr>
        <w:t>דלכו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פת</w:t>
      </w:r>
      <w:r w:rsidRPr="00400C0B">
        <w:rPr>
          <w:rFonts w:cs="Guttman Rashi"/>
          <w:rtl/>
          <w:lang w:bidi="he-IL"/>
        </w:rPr>
        <w:t xml:space="preserve"> </w:t>
      </w:r>
      <w:r w:rsidRPr="00400C0B">
        <w:rPr>
          <w:rFonts w:cs="Guttman Rashi" w:hint="eastAsia"/>
          <w:rtl/>
          <w:lang w:bidi="he-IL"/>
        </w:rPr>
        <w:t>חמה</w:t>
      </w:r>
      <w:r w:rsidRPr="00400C0B">
        <w:rPr>
          <w:rFonts w:cs="Guttman Rashi"/>
          <w:rtl/>
          <w:lang w:bidi="he-IL"/>
        </w:rPr>
        <w:t xml:space="preserve"> </w:t>
      </w:r>
      <w:r w:rsidRPr="00400C0B">
        <w:rPr>
          <w:rFonts w:cs="Guttman Rashi" w:hint="eastAsia"/>
          <w:rtl/>
          <w:lang w:bidi="he-IL"/>
        </w:rPr>
        <w:t>וחבית</w:t>
      </w:r>
      <w:r w:rsidRPr="00400C0B">
        <w:rPr>
          <w:rFonts w:cs="Guttman Rashi"/>
          <w:rtl/>
          <w:lang w:bidi="he-IL"/>
        </w:rPr>
        <w:t xml:space="preserve"> </w:t>
      </w:r>
      <w:r w:rsidRPr="00400C0B">
        <w:rPr>
          <w:rFonts w:cs="Guttman Rashi" w:hint="eastAsia"/>
          <w:rtl/>
          <w:lang w:bidi="he-IL"/>
        </w:rPr>
        <w:t>פתוחה</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והנה</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w:t>
      </w:r>
      <w:r w:rsidRPr="00400C0B">
        <w:rPr>
          <w:rFonts w:cs="Guttman Rashi" w:hint="eastAsia"/>
          <w:rtl/>
          <w:lang w:bidi="he-IL"/>
        </w:rPr>
        <w:t>ף</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חולין</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שזהו</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בלבד</w:t>
      </w:r>
      <w:r w:rsidRPr="00400C0B">
        <w:rPr>
          <w:rFonts w:cs="Guttman Rashi"/>
          <w:rtl/>
          <w:lang w:bidi="he-IL"/>
        </w:rPr>
        <w:t xml:space="preserve"> </w:t>
      </w:r>
      <w:r w:rsidRPr="00400C0B">
        <w:rPr>
          <w:rFonts w:cs="Guttman Rashi" w:hint="eastAsia"/>
          <w:rtl/>
          <w:lang w:bidi="he-IL"/>
        </w:rPr>
        <w:t>ולוי</w:t>
      </w:r>
      <w:r w:rsidRPr="00400C0B">
        <w:rPr>
          <w:rFonts w:cs="Guttman Rashi"/>
          <w:rtl/>
          <w:lang w:bidi="he-IL"/>
        </w:rPr>
        <w:t xml:space="preserve"> </w:t>
      </w:r>
      <w:r w:rsidRPr="00400C0B">
        <w:rPr>
          <w:rFonts w:cs="Guttman Rashi" w:hint="eastAsia"/>
          <w:rtl/>
          <w:lang w:bidi="he-IL"/>
        </w:rPr>
        <w:t>חלק</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וכיון</w:t>
      </w:r>
      <w:r w:rsidRPr="00400C0B">
        <w:rPr>
          <w:rFonts w:cs="Guttman Rashi"/>
          <w:rtl/>
          <w:lang w:bidi="he-IL"/>
        </w:rPr>
        <w:t xml:space="preserve"> </w:t>
      </w:r>
      <w:r w:rsidRPr="00400C0B">
        <w:rPr>
          <w:rFonts w:cs="Guttman Rashi" w:hint="eastAsia"/>
          <w:rtl/>
          <w:lang w:bidi="he-IL"/>
        </w:rPr>
        <w:t>שלדבריו</w:t>
      </w:r>
      <w:r w:rsidRPr="00400C0B">
        <w:rPr>
          <w:rFonts w:cs="Guttman Rashi"/>
          <w:rtl/>
          <w:lang w:bidi="he-IL"/>
        </w:rPr>
        <w:t xml:space="preserve"> </w:t>
      </w:r>
      <w:r w:rsidRPr="00400C0B">
        <w:rPr>
          <w:rFonts w:cs="Guttman Rashi" w:hint="eastAsia"/>
          <w:rtl/>
          <w:lang w:bidi="he-IL"/>
        </w:rPr>
        <w:t>זהו</w:t>
      </w:r>
      <w:r w:rsidRPr="00400C0B">
        <w:rPr>
          <w:rFonts w:cs="Guttman Rashi"/>
          <w:rtl/>
          <w:lang w:bidi="he-IL"/>
        </w:rPr>
        <w:t xml:space="preserve"> </w:t>
      </w:r>
      <w:r w:rsidRPr="00400C0B">
        <w:rPr>
          <w:rFonts w:cs="Guttman Rashi" w:hint="eastAsia"/>
          <w:rtl/>
          <w:lang w:bidi="he-IL"/>
        </w:rPr>
        <w:t>מחלוקת</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מאיר</w:t>
      </w:r>
      <w:r w:rsidRPr="00400C0B">
        <w:rPr>
          <w:rFonts w:cs="Guttman Rashi"/>
          <w:rtl/>
          <w:lang w:bidi="he-IL"/>
        </w:rPr>
        <w:t xml:space="preserve"> </w:t>
      </w:r>
      <w:r w:rsidRPr="00400C0B">
        <w:rPr>
          <w:rFonts w:cs="Guttman Rashi" w:hint="eastAsia"/>
          <w:rtl/>
          <w:lang w:bidi="he-IL"/>
        </w:rPr>
        <w:t>ור</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קיי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כר</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יוצא</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w:t>
      </w:r>
      <w:r w:rsidRPr="00400C0B">
        <w:rPr>
          <w:rFonts w:cs="Guttman Rashi" w:hint="eastAsia"/>
          <w:rtl/>
          <w:lang w:bidi="he-IL"/>
        </w:rPr>
        <w:t>ף</w:t>
      </w:r>
      <w:r w:rsidRPr="00400C0B">
        <w:rPr>
          <w:rFonts w:cs="Guttman Rashi"/>
          <w:rtl/>
          <w:lang w:bidi="he-IL"/>
        </w:rPr>
        <w:t xml:space="preserve"> </w:t>
      </w:r>
      <w:r w:rsidRPr="00400C0B">
        <w:rPr>
          <w:rFonts w:cs="Guttman Rashi" w:hint="eastAsia"/>
          <w:rtl/>
          <w:lang w:bidi="he-IL"/>
        </w:rPr>
        <w:t>שלר</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ריחא</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מילתא</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המשניות</w:t>
      </w:r>
      <w:r w:rsidRPr="00400C0B">
        <w:rPr>
          <w:rFonts w:cs="Guttman Rashi"/>
          <w:rtl/>
          <w:lang w:bidi="he-IL"/>
        </w:rPr>
        <w:t xml:space="preserve"> </w:t>
      </w:r>
      <w:r w:rsidRPr="00400C0B">
        <w:rPr>
          <w:rFonts w:cs="Guttman Rashi" w:hint="eastAsia"/>
          <w:rtl/>
          <w:lang w:bidi="he-IL"/>
        </w:rPr>
        <w:t>סוברים</w:t>
      </w:r>
      <w:r w:rsidRPr="00400C0B">
        <w:rPr>
          <w:rFonts w:cs="Guttman Rashi"/>
          <w:rtl/>
          <w:lang w:bidi="he-IL"/>
        </w:rPr>
        <w:t xml:space="preserve"> </w:t>
      </w:r>
      <w:r w:rsidRPr="00400C0B">
        <w:rPr>
          <w:rFonts w:cs="Guttman Rashi" w:hint="eastAsia"/>
          <w:rtl/>
          <w:lang w:bidi="he-IL"/>
        </w:rPr>
        <w:t>שזיעה</w:t>
      </w:r>
      <w:r w:rsidRPr="00400C0B">
        <w:rPr>
          <w:rFonts w:cs="Guttman Rashi"/>
          <w:rtl/>
          <w:lang w:bidi="he-IL"/>
        </w:rPr>
        <w:t xml:space="preserve"> </w:t>
      </w:r>
      <w:r w:rsidRPr="00400C0B">
        <w:rPr>
          <w:rFonts w:cs="Guttman Rashi" w:hint="eastAsia"/>
          <w:rtl/>
          <w:lang w:bidi="he-IL"/>
        </w:rPr>
        <w:t>אוסרת</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דשאני</w:t>
      </w:r>
      <w:r w:rsidRPr="00400C0B">
        <w:rPr>
          <w:rFonts w:cs="Guttman Rashi"/>
          <w:rtl/>
          <w:lang w:bidi="he-IL"/>
        </w:rPr>
        <w:t xml:space="preserve"> </w:t>
      </w:r>
      <w:r w:rsidRPr="00400C0B">
        <w:rPr>
          <w:rFonts w:cs="Guttman Rashi" w:hint="eastAsia"/>
          <w:rtl/>
          <w:lang w:bidi="he-IL"/>
        </w:rPr>
        <w:t>זיעה</w:t>
      </w:r>
      <w:r w:rsidRPr="00400C0B">
        <w:rPr>
          <w:rFonts w:cs="Guttman Rashi"/>
          <w:rtl/>
          <w:lang w:bidi="he-IL"/>
        </w:rPr>
        <w:t xml:space="preserve"> </w:t>
      </w:r>
      <w:r w:rsidRPr="00400C0B">
        <w:rPr>
          <w:rFonts w:cs="Guttman Rashi" w:hint="eastAsia"/>
          <w:rtl/>
          <w:lang w:bidi="he-IL"/>
        </w:rPr>
        <w:t>מריחא</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דכל</w:t>
      </w:r>
      <w:r w:rsidRPr="00400C0B">
        <w:rPr>
          <w:rFonts w:cs="Guttman Rashi"/>
          <w:rtl/>
          <w:lang w:bidi="he-IL"/>
        </w:rPr>
        <w:t xml:space="preserve"> </w:t>
      </w:r>
      <w:r w:rsidRPr="00400C0B">
        <w:rPr>
          <w:rFonts w:cs="Guttman Rashi" w:hint="eastAsia"/>
          <w:rtl/>
          <w:lang w:bidi="he-IL"/>
        </w:rPr>
        <w:t>הנהו</w:t>
      </w:r>
      <w:r w:rsidRPr="00400C0B">
        <w:rPr>
          <w:rFonts w:cs="Guttman Rashi"/>
          <w:rtl/>
          <w:lang w:bidi="he-IL"/>
        </w:rPr>
        <w:t xml:space="preserve"> </w:t>
      </w:r>
      <w:r w:rsidRPr="00400C0B">
        <w:rPr>
          <w:rFonts w:cs="Guttman Rashi" w:hint="eastAsia"/>
          <w:rtl/>
          <w:lang w:bidi="he-IL"/>
        </w:rPr>
        <w:t>כר</w:t>
      </w:r>
      <w:r w:rsidRPr="00400C0B">
        <w:rPr>
          <w:rFonts w:cs="Guttman Rashi"/>
          <w:rtl/>
          <w:lang w:bidi="he-IL"/>
        </w:rPr>
        <w:t xml:space="preserve">' </w:t>
      </w:r>
      <w:r w:rsidRPr="00400C0B">
        <w:rPr>
          <w:rFonts w:cs="Guttman Rashi" w:hint="eastAsia"/>
          <w:rtl/>
          <w:lang w:bidi="he-IL"/>
        </w:rPr>
        <w:t>מאיר</w:t>
      </w:r>
      <w:r w:rsidRPr="00400C0B">
        <w:rPr>
          <w:rFonts w:cs="Guttman Rashi"/>
          <w:rtl/>
          <w:lang w:bidi="he-IL"/>
        </w:rPr>
        <w:t xml:space="preserve"> </w:t>
      </w:r>
      <w:r w:rsidRPr="00400C0B">
        <w:rPr>
          <w:rFonts w:cs="Guttman Rashi" w:hint="eastAsia"/>
          <w:rtl/>
          <w:lang w:bidi="he-IL"/>
        </w:rPr>
        <w:t>וקיי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כר</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w:t>
      </w:r>
      <w:r w:rsidRPr="00400C0B">
        <w:rPr>
          <w:rFonts w:cs="Guttman Rashi"/>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נשאלת</w:t>
      </w:r>
      <w:r w:rsidRPr="00400C0B">
        <w:rPr>
          <w:rFonts w:cs="Guttman Rashi"/>
          <w:rtl/>
          <w:lang w:bidi="he-IL"/>
        </w:rPr>
        <w:t xml:space="preserve"> </w:t>
      </w:r>
      <w:r w:rsidRPr="00400C0B">
        <w:rPr>
          <w:rFonts w:cs="Guttman Rashi" w:hint="eastAsia"/>
          <w:rtl/>
          <w:lang w:bidi="he-IL"/>
        </w:rPr>
        <w:t>השאלה</w:t>
      </w:r>
      <w:r w:rsidRPr="00400C0B">
        <w:rPr>
          <w:rFonts w:cs="Guttman Rashi"/>
          <w:rtl/>
          <w:lang w:bidi="he-IL"/>
        </w:rPr>
        <w:t xml:space="preserve"> </w:t>
      </w:r>
      <w:r w:rsidRPr="00400C0B">
        <w:rPr>
          <w:rFonts w:cs="Guttman Rashi" w:hint="eastAsia"/>
          <w:rtl/>
          <w:lang w:bidi="he-IL"/>
        </w:rPr>
        <w:t>מאי</w:t>
      </w:r>
      <w:r w:rsidRPr="00400C0B">
        <w:rPr>
          <w:rFonts w:cs="Guttman Rashi"/>
          <w:rtl/>
          <w:lang w:bidi="he-IL"/>
        </w:rPr>
        <w:t xml:space="preserve"> </w:t>
      </w:r>
      <w:r w:rsidRPr="00400C0B">
        <w:rPr>
          <w:rFonts w:cs="Guttman Rashi" w:hint="eastAsia"/>
          <w:rtl/>
          <w:lang w:bidi="he-IL"/>
        </w:rPr>
        <w:t>אשני</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sidRPr="00400C0B">
        <w:rPr>
          <w:rFonts w:cs="Guttman Rashi" w:hint="eastAsia"/>
          <w:rtl/>
          <w:lang w:bidi="he-IL"/>
        </w:rPr>
        <w:t>כיסה</w:t>
      </w:r>
      <w:r w:rsidRPr="00400C0B">
        <w:rPr>
          <w:rFonts w:cs="Guttman Rashi"/>
          <w:rtl/>
          <w:lang w:bidi="he-IL"/>
        </w:rPr>
        <w:t xml:space="preserve"> </w:t>
      </w:r>
      <w:r w:rsidRPr="00400C0B">
        <w:rPr>
          <w:rFonts w:cs="Guttman Rashi" w:hint="eastAsia"/>
          <w:rtl/>
          <w:lang w:bidi="he-IL"/>
        </w:rPr>
        <w:t>לשיטתו</w:t>
      </w:r>
      <w:r w:rsidRPr="00400C0B">
        <w:rPr>
          <w:rFonts w:cs="Guttman Rashi"/>
          <w:rtl/>
          <w:lang w:bidi="he-IL"/>
        </w:rPr>
        <w:t xml:space="preserve"> (</w:t>
      </w:r>
      <w:r w:rsidRPr="00400C0B">
        <w:rPr>
          <w:rFonts w:cs="Guttman Rashi" w:hint="eastAsia"/>
          <w:rtl/>
          <w:lang w:bidi="he-IL"/>
        </w:rPr>
        <w:t>אא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כיסוי</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 xml:space="preserve">' </w:t>
      </w:r>
      <w:r w:rsidRPr="00400C0B">
        <w:rPr>
          <w:rFonts w:cs="Guttman Rashi" w:hint="eastAsia"/>
          <w:rtl/>
          <w:lang w:bidi="he-IL"/>
        </w:rPr>
        <w:t>מאיר</w:t>
      </w:r>
      <w:r w:rsidRPr="00400C0B">
        <w:rPr>
          <w:rFonts w:cs="Guttman Rashi"/>
          <w:rtl/>
          <w:lang w:bidi="he-IL"/>
        </w:rPr>
        <w:t xml:space="preserve">, </w:t>
      </w:r>
      <w:r w:rsidRPr="00400C0B">
        <w:rPr>
          <w:rFonts w:cs="Guttman Rashi" w:hint="eastAsia"/>
          <w:rtl/>
          <w:lang w:bidi="he-IL"/>
        </w:rPr>
        <w:t>וכיון</w:t>
      </w:r>
      <w:r w:rsidRPr="00400C0B">
        <w:rPr>
          <w:rFonts w:cs="Guttman Rashi"/>
          <w:rtl/>
          <w:lang w:bidi="he-IL"/>
        </w:rPr>
        <w:t xml:space="preserve"> </w:t>
      </w:r>
      <w:r w:rsidRPr="00400C0B">
        <w:rPr>
          <w:rFonts w:cs="Guttman Rashi" w:hint="eastAsia"/>
          <w:rtl/>
          <w:lang w:bidi="he-IL"/>
        </w:rPr>
        <w:t>דכאן</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קיימינן</w:t>
      </w:r>
      <w:r w:rsidRPr="00400C0B">
        <w:rPr>
          <w:rFonts w:cs="Guttman Rashi"/>
          <w:rtl/>
          <w:lang w:bidi="he-IL"/>
        </w:rPr>
        <w:t xml:space="preserve">, </w:t>
      </w:r>
      <w:r w:rsidRPr="00400C0B">
        <w:rPr>
          <w:rFonts w:cs="Guttman Rashi" w:hint="eastAsia"/>
          <w:rtl/>
          <w:lang w:bidi="he-IL"/>
        </w:rPr>
        <w:t>דוחק</w:t>
      </w:r>
      <w:r w:rsidRPr="00400C0B">
        <w:rPr>
          <w:rFonts w:cs="Guttman Rashi"/>
          <w:rtl/>
          <w:lang w:bidi="he-IL"/>
        </w:rPr>
        <w:t xml:space="preserve"> </w:t>
      </w:r>
      <w:r w:rsidRPr="00400C0B">
        <w:rPr>
          <w:rFonts w:cs="Guttman Rashi" w:hint="eastAsia"/>
          <w:rtl/>
          <w:lang w:bidi="he-IL"/>
        </w:rPr>
        <w:t>גדול</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שזיעה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דינה</w:t>
      </w:r>
      <w:r w:rsidRPr="00400C0B">
        <w:rPr>
          <w:rFonts w:cs="Guttman Rashi"/>
          <w:rtl/>
          <w:lang w:bidi="he-IL"/>
        </w:rPr>
        <w:t xml:space="preserve"> </w:t>
      </w:r>
      <w:r w:rsidRPr="00400C0B">
        <w:rPr>
          <w:rFonts w:cs="Guttman Rashi" w:hint="eastAsia"/>
          <w:rtl/>
          <w:lang w:bidi="he-IL"/>
        </w:rPr>
        <w:t>כמאכל</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w:t>
      </w:r>
      <w:r w:rsidRPr="00400C0B">
        <w:rPr>
          <w:rFonts w:cs="Guttman Rashi"/>
          <w:rtl/>
          <w:lang w:bidi="he-IL"/>
        </w:rPr>
        <w:t xml:space="preserve"> </w:t>
      </w:r>
      <w:r w:rsidRPr="00400C0B">
        <w:rPr>
          <w:rFonts w:cs="Guttman Rashi" w:hint="eastAsia"/>
          <w:rtl/>
          <w:lang w:bidi="he-IL"/>
        </w:rPr>
        <w:t>הכח</w:t>
      </w:r>
      <w:r w:rsidRPr="00400C0B">
        <w:rPr>
          <w:rFonts w:cs="Guttman Rashi"/>
          <w:rtl/>
          <w:lang w:bidi="he-IL"/>
        </w:rPr>
        <w:t xml:space="preserve"> </w:t>
      </w:r>
      <w:r w:rsidRPr="00400C0B">
        <w:rPr>
          <w:rFonts w:cs="Guttman Rashi" w:hint="eastAsia"/>
          <w:rtl/>
          <w:lang w:bidi="he-IL"/>
        </w:rPr>
        <w:t>להבליע</w:t>
      </w:r>
      <w:r w:rsidRPr="00400C0B">
        <w:rPr>
          <w:rFonts w:cs="Guttman Rashi"/>
          <w:rtl/>
          <w:lang w:bidi="he-IL"/>
        </w:rPr>
        <w:t xml:space="preserve"> </w:t>
      </w:r>
      <w:r w:rsidRPr="00400C0B">
        <w:rPr>
          <w:rFonts w:cs="Guttman Rashi" w:hint="eastAsia"/>
          <w:rtl/>
          <w:lang w:bidi="he-IL"/>
        </w:rPr>
        <w:t>ולהפליט</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שזה</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ההכרח</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שהמהשקין</w:t>
      </w:r>
      <w:r w:rsidRPr="00400C0B">
        <w:rPr>
          <w:rFonts w:cs="Guttman Rashi"/>
          <w:rtl/>
          <w:lang w:bidi="he-IL"/>
        </w:rPr>
        <w:t xml:space="preserve"> </w:t>
      </w:r>
      <w:r w:rsidRPr="00400C0B">
        <w:rPr>
          <w:rFonts w:cs="Guttman Rashi" w:hint="eastAsia"/>
          <w:rtl/>
          <w:lang w:bidi="he-IL"/>
        </w:rPr>
        <w:t>עצמן</w:t>
      </w:r>
      <w:r w:rsidRPr="00400C0B">
        <w:rPr>
          <w:rFonts w:cs="Guttman Rashi"/>
          <w:rtl/>
          <w:lang w:bidi="he-IL"/>
        </w:rPr>
        <w:t xml:space="preserve"> </w:t>
      </w:r>
      <w:r w:rsidRPr="00400C0B">
        <w:rPr>
          <w:rFonts w:cs="Guttman Rashi" w:hint="eastAsia"/>
          <w:rtl/>
          <w:lang w:bidi="he-IL"/>
        </w:rPr>
        <w:t>עולים</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הזיעה</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sidRPr="00400C0B">
        <w:rPr>
          <w:rFonts w:cs="Guttman Rashi" w:hint="eastAsia"/>
          <w:rtl/>
          <w:lang w:bidi="he-IL"/>
        </w:rPr>
        <w:t>זיעה</w:t>
      </w:r>
      <w:r w:rsidRPr="00400C0B">
        <w:rPr>
          <w:rFonts w:cs="Guttman Rashi"/>
          <w:rtl/>
          <w:lang w:bidi="he-IL"/>
        </w:rPr>
        <w:t xml:space="preserve">.  </w:t>
      </w:r>
    </w:p>
  </w:footnote>
  <w:footnote w:id="13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לחלוחית</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כפת</w:t>
      </w:r>
      <w:r w:rsidRPr="00400C0B">
        <w:rPr>
          <w:rFonts w:cs="Guttman Rashi"/>
          <w:rtl/>
          <w:lang w:bidi="he-IL"/>
        </w:rPr>
        <w:t xml:space="preserve"> </w:t>
      </w:r>
      <w:r w:rsidRPr="00400C0B">
        <w:rPr>
          <w:rFonts w:cs="Guttman Rashi" w:hint="eastAsia"/>
          <w:rtl/>
          <w:lang w:bidi="he-IL"/>
        </w:rPr>
        <w:t>חמה</w:t>
      </w:r>
      <w:r w:rsidRPr="00400C0B">
        <w:rPr>
          <w:rFonts w:cs="Guttman Rashi"/>
          <w:rtl/>
          <w:lang w:bidi="he-IL"/>
        </w:rPr>
        <w:t xml:space="preserve"> </w:t>
      </w:r>
      <w:r w:rsidRPr="00400C0B">
        <w:rPr>
          <w:rFonts w:cs="Guttman Rashi" w:hint="eastAsia"/>
          <w:rtl/>
          <w:lang w:bidi="he-IL"/>
        </w:rPr>
        <w:t>וחבית</w:t>
      </w:r>
      <w:r w:rsidRPr="00400C0B">
        <w:rPr>
          <w:rFonts w:cs="Guttman Rashi"/>
          <w:rtl/>
          <w:lang w:bidi="he-IL"/>
        </w:rPr>
        <w:t xml:space="preserve"> </w:t>
      </w:r>
      <w:r w:rsidRPr="00400C0B">
        <w:rPr>
          <w:rFonts w:cs="Guttman Rashi" w:hint="eastAsia"/>
          <w:rtl/>
          <w:lang w:bidi="he-IL"/>
        </w:rPr>
        <w:t>סתומה</w:t>
      </w:r>
      <w:r w:rsidRPr="00400C0B">
        <w:rPr>
          <w:rFonts w:cs="Guttman Rashi"/>
          <w:rtl/>
          <w:lang w:bidi="he-IL"/>
        </w:rPr>
        <w:t xml:space="preserve"> </w:t>
      </w:r>
      <w:r w:rsidRPr="00400C0B">
        <w:rPr>
          <w:rFonts w:cs="Guttman Rashi" w:hint="eastAsia"/>
          <w:rtl/>
          <w:lang w:bidi="he-IL"/>
        </w:rPr>
        <w:t>דקיי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כר</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w:t>
      </w:r>
    </w:p>
  </w:footnote>
  <w:footnote w:id="13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מענין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ושיעור</w:t>
      </w:r>
      <w:r w:rsidRPr="00400C0B">
        <w:rPr>
          <w:rFonts w:cs="Guttman Rashi"/>
          <w:rtl/>
          <w:lang w:bidi="he-IL"/>
        </w:rPr>
        <w:t xml:space="preserve"> </w:t>
      </w:r>
      <w:r w:rsidRPr="00400C0B">
        <w:rPr>
          <w:rFonts w:cs="Guttman Rashi" w:hint="eastAsia"/>
          <w:rtl/>
          <w:lang w:bidi="he-IL"/>
        </w:rPr>
        <w:t>קמ</w:t>
      </w:r>
      <w:r w:rsidRPr="00400C0B">
        <w:rPr>
          <w:rFonts w:cs="Guttman Rashi"/>
          <w:rtl/>
          <w:lang w:bidi="he-IL"/>
        </w:rPr>
        <w:t>"</w:t>
      </w:r>
      <w:r w:rsidRPr="00400C0B">
        <w:rPr>
          <w:rFonts w:cs="Guttman Rashi" w:hint="eastAsia"/>
          <w:rtl/>
          <w:lang w:bidi="he-IL"/>
        </w:rPr>
        <w:t>א</w:t>
      </w:r>
      <w:r w:rsidRPr="00400C0B">
        <w:rPr>
          <w:rFonts w:cs="Guttman Rashi"/>
          <w:rtl/>
          <w:lang w:bidi="he-IL"/>
        </w:rPr>
        <w:t>.</w:t>
      </w:r>
    </w:p>
  </w:footnote>
  <w:footnote w:id="13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ב</w:t>
      </w:r>
    </w:p>
  </w:footnote>
  <w:footnote w:id="13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שבזה</w:t>
      </w:r>
      <w:r w:rsidRPr="00400C0B">
        <w:rPr>
          <w:rFonts w:cs="Guttman Rashi"/>
          <w:rtl/>
          <w:lang w:bidi="he-IL"/>
        </w:rPr>
        <w:t xml:space="preserve"> </w:t>
      </w:r>
      <w:r w:rsidRPr="00400C0B">
        <w:rPr>
          <w:rFonts w:cs="Guttman Rashi" w:hint="eastAsia"/>
          <w:rtl/>
          <w:lang w:bidi="he-IL"/>
        </w:rPr>
        <w:t>גופא</w:t>
      </w:r>
      <w:r w:rsidRPr="00400C0B">
        <w:rPr>
          <w:rFonts w:cs="Guttman Rashi"/>
          <w:rtl/>
          <w:lang w:bidi="he-IL"/>
        </w:rPr>
        <w:t xml:space="preserve"> </w:t>
      </w:r>
      <w:r w:rsidRPr="00400C0B">
        <w:rPr>
          <w:rFonts w:cs="Guttman Rashi" w:hint="eastAsia"/>
          <w:rtl/>
          <w:lang w:bidi="he-IL"/>
        </w:rPr>
        <w:t>נחלקו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פורתא</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וכפי</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בתוד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מכלל</w:t>
      </w:r>
      <w:r w:rsidRPr="00400C0B">
        <w:rPr>
          <w:rFonts w:cs="Guttman Rashi"/>
          <w:rtl/>
          <w:lang w:bidi="he-IL"/>
        </w:rPr>
        <w:t>.</w:t>
      </w:r>
      <w:r w:rsidRPr="00400C0B">
        <w:rPr>
          <w:rFonts w:cs="Guttman Rashi"/>
          <w:lang w:bidi="he-IL"/>
        </w:rPr>
        <w:t xml:space="preserve"> </w:t>
      </w:r>
    </w:p>
  </w:footnote>
  <w:footnote w:id="14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דס</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מעיקרא</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חידוש</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למידין</w:t>
      </w:r>
      <w:r w:rsidRPr="00400C0B">
        <w:rPr>
          <w:rFonts w:cs="Guttman Rashi"/>
          <w:rtl/>
          <w:lang w:bidi="he-IL"/>
        </w:rPr>
        <w:t xml:space="preserve"> </w:t>
      </w:r>
      <w:r w:rsidRPr="00400C0B">
        <w:rPr>
          <w:rFonts w:cs="Guttman Rashi" w:hint="eastAsia"/>
          <w:rtl/>
          <w:lang w:bidi="he-IL"/>
        </w:rPr>
        <w:t>מיני</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גזה</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דמשרת</w:t>
      </w:r>
      <w:r w:rsidRPr="00400C0B">
        <w:rPr>
          <w:rFonts w:cs="Guttman Rashi"/>
          <w:rtl/>
          <w:lang w:bidi="he-IL"/>
        </w:rPr>
        <w:t xml:space="preserve"> </w:t>
      </w:r>
      <w:r w:rsidRPr="00400C0B">
        <w:rPr>
          <w:rFonts w:cs="Guttman Rashi" w:hint="eastAsia"/>
          <w:rtl/>
          <w:lang w:bidi="he-IL"/>
        </w:rPr>
        <w:t>למידין</w:t>
      </w:r>
      <w:r w:rsidRPr="00400C0B">
        <w:rPr>
          <w:rFonts w:cs="Guttman Rashi"/>
          <w:rtl/>
          <w:lang w:bidi="he-IL"/>
        </w:rPr>
        <w:t xml:space="preserve"> </w:t>
      </w:r>
      <w:r w:rsidRPr="00400C0B">
        <w:rPr>
          <w:rFonts w:cs="Guttman Rashi" w:hint="eastAsia"/>
          <w:rtl/>
          <w:lang w:bidi="he-IL"/>
        </w:rPr>
        <w:t>מיני</w:t>
      </w:r>
      <w:r w:rsidRPr="00400C0B">
        <w:rPr>
          <w:rFonts w:cs="Guttman Rashi"/>
          <w:rtl/>
          <w:lang w:bidi="he-IL"/>
        </w:rPr>
        <w:t xml:space="preserve">', </w:t>
      </w:r>
      <w:r w:rsidRPr="00400C0B">
        <w:rPr>
          <w:rFonts w:cs="Guttman Rashi" w:hint="eastAsia"/>
          <w:rtl/>
          <w:lang w:bidi="he-IL"/>
        </w:rPr>
        <w:t>לימא</w:t>
      </w:r>
      <w:r w:rsidRPr="00400C0B">
        <w:rPr>
          <w:rFonts w:cs="Guttman Rashi"/>
          <w:rtl/>
          <w:lang w:bidi="he-IL"/>
        </w:rPr>
        <w:t xml:space="preserve"> </w:t>
      </w:r>
      <w:r w:rsidRPr="00400C0B">
        <w:rPr>
          <w:rFonts w:cs="Guttman Rashi" w:hint="eastAsia"/>
          <w:rtl/>
          <w:lang w:bidi="he-IL"/>
        </w:rPr>
        <w:t>חידוש</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ומחידוש</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ילפינן</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שללמוד</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לפגם</w:t>
      </w:r>
      <w:r w:rsidRPr="00400C0B">
        <w:rPr>
          <w:rFonts w:cs="Guttman Rashi"/>
          <w:rtl/>
          <w:lang w:bidi="he-IL"/>
        </w:rPr>
        <w:t xml:space="preserve"> </w:t>
      </w:r>
      <w:r w:rsidRPr="00400C0B">
        <w:rPr>
          <w:rFonts w:cs="Guttman Rashi" w:hint="eastAsia"/>
          <w:rtl/>
          <w:lang w:bidi="he-IL"/>
        </w:rPr>
        <w:t>ביחד</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החידוש</w:t>
      </w:r>
      <w:r w:rsidRPr="00400C0B">
        <w:rPr>
          <w:rFonts w:cs="Guttman Rashi"/>
          <w:rtl/>
          <w:lang w:bidi="he-IL"/>
        </w:rPr>
        <w:t xml:space="preserve"> </w:t>
      </w:r>
      <w:r w:rsidRPr="00400C0B">
        <w:rPr>
          <w:rFonts w:cs="Guttman Rashi" w:hint="eastAsia"/>
          <w:rtl/>
          <w:lang w:bidi="he-IL"/>
        </w:rPr>
        <w:t>שטעם</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חידוש</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שאנחנו</w:t>
      </w:r>
      <w:r w:rsidRPr="00400C0B">
        <w:rPr>
          <w:rFonts w:cs="Guttman Rashi"/>
          <w:rtl/>
          <w:lang w:bidi="he-IL"/>
        </w:rPr>
        <w:t xml:space="preserve"> </w:t>
      </w:r>
      <w:r w:rsidRPr="00400C0B">
        <w:rPr>
          <w:rFonts w:cs="Guttman Rashi" w:hint="eastAsia"/>
          <w:rtl/>
          <w:lang w:bidi="he-IL"/>
        </w:rPr>
        <w:t>יודעים</w:t>
      </w:r>
      <w:r w:rsidRPr="00400C0B">
        <w:rPr>
          <w:rFonts w:cs="Guttman Rashi"/>
          <w:rtl/>
          <w:lang w:bidi="he-IL"/>
        </w:rPr>
        <w:t xml:space="preserve"> </w:t>
      </w:r>
      <w:r w:rsidRPr="00400C0B">
        <w:rPr>
          <w:rFonts w:cs="Guttman Rashi" w:hint="eastAsia"/>
          <w:rtl/>
          <w:lang w:bidi="he-IL"/>
        </w:rPr>
        <w:t>שטעם</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לפגם</w:t>
      </w:r>
      <w:r w:rsidRPr="00400C0B">
        <w:rPr>
          <w:rFonts w:cs="Guttman Rashi"/>
          <w:rtl/>
          <w:lang w:bidi="he-IL"/>
        </w:rPr>
        <w:t xml:space="preserve"> </w:t>
      </w:r>
      <w:r w:rsidRPr="00400C0B">
        <w:rPr>
          <w:rFonts w:cs="Guttman Rashi" w:hint="eastAsia"/>
          <w:rtl/>
          <w:lang w:bidi="he-IL"/>
        </w:rPr>
        <w:t>קצת</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לומדים</w:t>
      </w:r>
      <w:r w:rsidRPr="00400C0B">
        <w:rPr>
          <w:rFonts w:cs="Guttman Rashi"/>
          <w:rtl/>
          <w:lang w:bidi="he-IL"/>
        </w:rPr>
        <w:t xml:space="preserve"> </w:t>
      </w:r>
      <w:r w:rsidRPr="00400C0B">
        <w:rPr>
          <w:rFonts w:cs="Guttman Rashi" w:hint="eastAsia"/>
          <w:rtl/>
          <w:lang w:bidi="he-IL"/>
        </w:rPr>
        <w:t>ממנו</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לשיטתו</w:t>
      </w:r>
      <w:r w:rsidRPr="00400C0B">
        <w:rPr>
          <w:rFonts w:cs="Guttman Rashi"/>
          <w:rtl/>
          <w:lang w:bidi="he-IL"/>
        </w:rPr>
        <w:t xml:space="preserve"> </w:t>
      </w:r>
      <w:r w:rsidRPr="00400C0B">
        <w:rPr>
          <w:rFonts w:cs="Guttman Rashi" w:hint="eastAsia"/>
          <w:rtl/>
          <w:lang w:bidi="he-IL"/>
        </w:rPr>
        <w:t>דטעם</w:t>
      </w:r>
      <w:r w:rsidRPr="00400C0B">
        <w:rPr>
          <w:rFonts w:cs="Guttman Rashi"/>
          <w:rtl/>
          <w:lang w:bidi="he-IL"/>
        </w:rPr>
        <w:t xml:space="preserve"> </w:t>
      </w:r>
      <w:r w:rsidRPr="00400C0B">
        <w:rPr>
          <w:rFonts w:cs="Guttman Rashi" w:hint="eastAsia"/>
          <w:rtl/>
          <w:lang w:bidi="he-IL"/>
        </w:rPr>
        <w:t>לפגם</w:t>
      </w:r>
      <w:r w:rsidRPr="00400C0B">
        <w:rPr>
          <w:rFonts w:cs="Guttman Rashi"/>
          <w:rtl/>
          <w:lang w:bidi="he-IL"/>
        </w:rPr>
        <w:t xml:space="preserve"> </w:t>
      </w:r>
      <w:r w:rsidRPr="00400C0B">
        <w:rPr>
          <w:rFonts w:cs="Guttman Rashi" w:hint="eastAsia"/>
          <w:rtl/>
          <w:lang w:bidi="he-IL"/>
        </w:rPr>
        <w:t>פורתא</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דחידוש</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14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מהר</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שפי</w:t>
      </w:r>
      <w:r w:rsidRPr="00400C0B">
        <w:rPr>
          <w:rFonts w:cs="Guttman Rashi"/>
          <w:rtl/>
          <w:lang w:bidi="he-IL"/>
        </w:rPr>
        <w:t xml:space="preserve">' </w:t>
      </w:r>
      <w:r w:rsidRPr="00400C0B">
        <w:rPr>
          <w:rFonts w:cs="Guttman Rashi" w:hint="eastAsia"/>
          <w:rtl/>
          <w:lang w:bidi="he-IL"/>
        </w:rPr>
        <w:t>בדבריהם</w:t>
      </w:r>
      <w:r w:rsidRPr="00400C0B">
        <w:rPr>
          <w:rFonts w:cs="Guttman Rashi"/>
          <w:rtl/>
          <w:lang w:bidi="he-IL"/>
        </w:rPr>
        <w:t xml:space="preserve"> </w:t>
      </w:r>
      <w:r w:rsidRPr="00400C0B">
        <w:rPr>
          <w:rFonts w:cs="Guttman Rashi" w:hint="eastAsia"/>
          <w:rtl/>
          <w:lang w:bidi="he-IL"/>
        </w:rPr>
        <w:t>שהביאור</w:t>
      </w:r>
      <w:r w:rsidRPr="00400C0B">
        <w:rPr>
          <w:rFonts w:cs="Guttman Rashi"/>
          <w:rtl/>
          <w:lang w:bidi="he-IL"/>
        </w:rPr>
        <w:t xml:space="preserve"> </w:t>
      </w:r>
      <w:r w:rsidRPr="00400C0B">
        <w:rPr>
          <w:rFonts w:cs="Guttman Rashi" w:hint="eastAsia"/>
          <w:rtl/>
          <w:lang w:bidi="he-IL"/>
        </w:rPr>
        <w:t>בהא</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חידוש</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הפירוש</w:t>
      </w:r>
      <w:r w:rsidRPr="00400C0B">
        <w:rPr>
          <w:rFonts w:cs="Guttman Rashi"/>
          <w:rtl/>
          <w:lang w:bidi="he-IL"/>
        </w:rPr>
        <w:t xml:space="preserve"> </w:t>
      </w:r>
      <w:r w:rsidRPr="00400C0B">
        <w:rPr>
          <w:rFonts w:cs="Guttman Rashi" w:hint="eastAsia"/>
          <w:rtl/>
          <w:lang w:bidi="he-IL"/>
        </w:rPr>
        <w:t>הראשון</w:t>
      </w:r>
      <w:r w:rsidRPr="00400C0B">
        <w:rPr>
          <w:rFonts w:cs="Guttman Rashi"/>
          <w:rtl/>
          <w:lang w:bidi="he-IL"/>
        </w:rPr>
        <w:t xml:space="preserve">, </w:t>
      </w:r>
      <w:r w:rsidRPr="00400C0B">
        <w:rPr>
          <w:rFonts w:cs="Guttman Rashi" w:hint="eastAsia"/>
          <w:rtl/>
          <w:lang w:bidi="he-IL"/>
        </w:rPr>
        <w:t>דהו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פגמה</w:t>
      </w:r>
      <w:r w:rsidRPr="00400C0B">
        <w:rPr>
          <w:rFonts w:cs="Guttman Rashi"/>
          <w:rtl/>
          <w:lang w:bidi="he-IL"/>
        </w:rPr>
        <w:t xml:space="preserve"> </w:t>
      </w:r>
      <w:r w:rsidRPr="00400C0B">
        <w:rPr>
          <w:rFonts w:cs="Guttman Rashi" w:hint="eastAsia"/>
          <w:rtl/>
          <w:lang w:bidi="he-IL"/>
        </w:rPr>
        <w:t>פורתא</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ומשמע</w:t>
      </w:r>
      <w:r w:rsidRPr="00400C0B">
        <w:rPr>
          <w:rFonts w:cs="Guttman Rashi"/>
          <w:rtl/>
          <w:lang w:bidi="he-IL"/>
        </w:rPr>
        <w:t xml:space="preserve"> </w:t>
      </w:r>
      <w:r w:rsidRPr="00400C0B">
        <w:rPr>
          <w:rFonts w:cs="Guttman Rashi" w:hint="eastAsia"/>
          <w:rtl/>
          <w:lang w:bidi="he-IL"/>
        </w:rPr>
        <w:t>דקמ</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דפגם</w:t>
      </w:r>
      <w:r w:rsidRPr="00400C0B">
        <w:rPr>
          <w:rFonts w:cs="Guttman Rashi"/>
          <w:rtl/>
          <w:lang w:bidi="he-IL"/>
        </w:rPr>
        <w:t xml:space="preserve"> </w:t>
      </w:r>
      <w:r w:rsidRPr="00400C0B">
        <w:rPr>
          <w:rFonts w:cs="Guttman Rashi" w:hint="eastAsia"/>
          <w:rtl/>
          <w:lang w:bidi="he-IL"/>
        </w:rPr>
        <w:t>פורתא</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שלמידין</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שכל</w:t>
      </w:r>
      <w:r w:rsidRPr="00400C0B">
        <w:rPr>
          <w:rFonts w:cs="Guttman Rashi"/>
          <w:rtl/>
          <w:lang w:bidi="he-IL"/>
        </w:rPr>
        <w:t xml:space="preserve"> </w:t>
      </w:r>
      <w:r w:rsidRPr="00400C0B">
        <w:rPr>
          <w:rFonts w:cs="Guttman Rashi" w:hint="eastAsia"/>
          <w:rtl/>
          <w:lang w:bidi="he-IL"/>
        </w:rPr>
        <w:t>פגם</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סרוח</w:t>
      </w:r>
      <w:r w:rsidRPr="00400C0B">
        <w:rPr>
          <w:rFonts w:cs="Guttman Rashi"/>
          <w:rtl/>
          <w:lang w:bidi="he-IL"/>
        </w:rPr>
        <w:t xml:space="preserve"> </w:t>
      </w:r>
      <w:r w:rsidRPr="00400C0B">
        <w:rPr>
          <w:rFonts w:cs="Guttman Rashi" w:hint="eastAsia"/>
          <w:rtl/>
          <w:lang w:bidi="he-IL"/>
        </w:rPr>
        <w:t>לגמרי</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וכשיטת</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סתמו</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סרוח</w:t>
      </w:r>
      <w:r w:rsidRPr="00400C0B">
        <w:rPr>
          <w:rFonts w:cs="Guttman Rashi"/>
          <w:rtl/>
          <w:lang w:bidi="he-IL"/>
        </w:rPr>
        <w:t xml:space="preserve"> </w:t>
      </w:r>
      <w:r w:rsidRPr="00400C0B">
        <w:rPr>
          <w:rFonts w:cs="Guttman Rashi" w:hint="eastAsia"/>
          <w:rtl/>
          <w:lang w:bidi="he-IL"/>
        </w:rPr>
        <w:t>לגמרי</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ואינו</w:t>
      </w:r>
      <w:r w:rsidRPr="00400C0B">
        <w:rPr>
          <w:rFonts w:cs="Guttman Rashi"/>
          <w:rtl/>
          <w:lang w:bidi="he-IL"/>
        </w:rPr>
        <w:t xml:space="preserve"> </w:t>
      </w:r>
      <w:r w:rsidRPr="00400C0B">
        <w:rPr>
          <w:rFonts w:cs="Guttman Rashi" w:hint="eastAsia"/>
          <w:rtl/>
          <w:lang w:bidi="he-IL"/>
        </w:rPr>
        <w:t>במשמע</w:t>
      </w:r>
      <w:r w:rsidRPr="00400C0B">
        <w:rPr>
          <w:rFonts w:cs="Guttman Rashi"/>
          <w:rtl/>
          <w:lang w:bidi="he-IL"/>
        </w:rPr>
        <w:t xml:space="preserve"> </w:t>
      </w:r>
      <w:r w:rsidRPr="00400C0B">
        <w:rPr>
          <w:rFonts w:cs="Guttman Rashi" w:hint="eastAsia"/>
          <w:rtl/>
          <w:lang w:bidi="he-IL"/>
        </w:rPr>
        <w:t>שהתוס</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חולקים</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וזהו</w:t>
      </w:r>
      <w:r w:rsidRPr="00400C0B">
        <w:rPr>
          <w:rFonts w:cs="Guttman Rashi"/>
          <w:rtl/>
          <w:lang w:bidi="he-IL"/>
        </w:rPr>
        <w:t xml:space="preserve"> </w:t>
      </w:r>
      <w:r w:rsidRPr="00400C0B">
        <w:rPr>
          <w:rFonts w:cs="Guttman Rashi" w:hint="eastAsia"/>
          <w:rtl/>
          <w:lang w:bidi="he-IL"/>
        </w:rPr>
        <w:t>חוץ</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השאלות</w:t>
      </w:r>
      <w:r w:rsidRPr="00400C0B">
        <w:rPr>
          <w:rFonts w:cs="Guttman Rashi"/>
          <w:rtl/>
          <w:lang w:bidi="he-IL"/>
        </w:rPr>
        <w:t xml:space="preserve"> </w:t>
      </w:r>
      <w:r w:rsidRPr="00400C0B">
        <w:rPr>
          <w:rFonts w:cs="Guttman Rashi" w:hint="eastAsia"/>
          <w:rtl/>
          <w:lang w:bidi="he-IL"/>
        </w:rPr>
        <w:t>הקשות</w:t>
      </w:r>
      <w:r w:rsidRPr="00400C0B">
        <w:rPr>
          <w:rFonts w:cs="Guttman Rashi"/>
          <w:rtl/>
          <w:lang w:bidi="he-IL"/>
        </w:rPr>
        <w:t xml:space="preserve"> </w:t>
      </w:r>
      <w:r w:rsidRPr="00400C0B">
        <w:rPr>
          <w:rFonts w:cs="Guttman Rashi" w:hint="eastAsia"/>
          <w:rtl/>
          <w:lang w:bidi="he-IL"/>
        </w:rPr>
        <w:t>שהבאנו</w:t>
      </w:r>
      <w:r w:rsidRPr="00400C0B">
        <w:rPr>
          <w:rFonts w:cs="Guttman Rashi"/>
          <w:rtl/>
          <w:lang w:bidi="he-IL"/>
        </w:rPr>
        <w:t xml:space="preserve"> </w:t>
      </w:r>
      <w:r w:rsidRPr="00400C0B">
        <w:rPr>
          <w:rFonts w:cs="Guttman Rashi" w:hint="eastAsia"/>
          <w:rtl/>
          <w:lang w:bidi="he-IL"/>
        </w:rPr>
        <w:t>בשיטה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בכלל</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שלשיטה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פגם</w:t>
      </w:r>
      <w:r w:rsidRPr="00400C0B">
        <w:rPr>
          <w:rFonts w:cs="Guttman Rashi"/>
          <w:rtl/>
          <w:lang w:bidi="he-IL"/>
        </w:rPr>
        <w:t xml:space="preserve"> </w:t>
      </w:r>
      <w:r w:rsidRPr="00400C0B">
        <w:rPr>
          <w:rFonts w:cs="Guttman Rashi" w:hint="eastAsia"/>
          <w:rtl/>
          <w:lang w:bidi="he-IL"/>
        </w:rPr>
        <w:t>פורתא</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דרגה</w:t>
      </w:r>
      <w:r w:rsidRPr="00400C0B">
        <w:rPr>
          <w:rFonts w:cs="Guttman Rashi"/>
          <w:rtl/>
          <w:lang w:bidi="he-IL"/>
        </w:rPr>
        <w:t xml:space="preserve"> </w:t>
      </w:r>
      <w:r w:rsidRPr="00400C0B">
        <w:rPr>
          <w:rFonts w:cs="Guttman Rashi" w:hint="eastAsia"/>
          <w:rtl/>
          <w:lang w:bidi="he-IL"/>
        </w:rPr>
        <w:t>פחותה</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לבד</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סרוח</w:t>
      </w:r>
      <w:r w:rsidRPr="00400C0B">
        <w:rPr>
          <w:rFonts w:cs="Guttman Rashi"/>
          <w:rtl/>
          <w:lang w:bidi="he-IL"/>
        </w:rPr>
        <w:t xml:space="preserve"> </w:t>
      </w:r>
      <w:r w:rsidRPr="00400C0B">
        <w:rPr>
          <w:rFonts w:cs="Guttman Rashi" w:hint="eastAsia"/>
          <w:rtl/>
          <w:lang w:bidi="he-IL"/>
        </w:rPr>
        <w:t>לגמרי</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ידענו</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פגום</w:t>
      </w:r>
      <w:r w:rsidRPr="00400C0B">
        <w:rPr>
          <w:rFonts w:cs="Guttman Rashi"/>
          <w:rtl/>
          <w:lang w:bidi="he-IL"/>
        </w:rPr>
        <w:t xml:space="preserve"> </w:t>
      </w:r>
      <w:r w:rsidRPr="00400C0B">
        <w:rPr>
          <w:rFonts w:cs="Guttman Rashi" w:hint="eastAsia"/>
          <w:rtl/>
          <w:lang w:bidi="he-IL"/>
        </w:rPr>
        <w:t>פורתא</w:t>
      </w:r>
      <w:r w:rsidRPr="00400C0B">
        <w:rPr>
          <w:rFonts w:cs="Guttman Rashi"/>
          <w:rtl/>
          <w:lang w:bidi="he-IL"/>
        </w:rPr>
        <w:t xml:space="preserve"> </w:t>
      </w:r>
      <w:r w:rsidRPr="00400C0B">
        <w:rPr>
          <w:rFonts w:cs="Guttman Rashi" w:hint="eastAsia"/>
          <w:rtl/>
          <w:lang w:bidi="he-IL"/>
        </w:rPr>
        <w:t>במדה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קדרה</w:t>
      </w:r>
      <w:r w:rsidRPr="00400C0B">
        <w:rPr>
          <w:rFonts w:cs="Guttman Rashi"/>
          <w:rtl/>
          <w:lang w:bidi="he-IL"/>
        </w:rPr>
        <w:t xml:space="preserve"> </w:t>
      </w:r>
      <w:r w:rsidRPr="00400C0B">
        <w:rPr>
          <w:rFonts w:cs="Guttman Rashi" w:hint="eastAsia"/>
          <w:rtl/>
          <w:lang w:bidi="he-IL"/>
        </w:rPr>
        <w:t>בת</w:t>
      </w:r>
      <w:r w:rsidRPr="00400C0B">
        <w:rPr>
          <w:rFonts w:cs="Guttman Rashi"/>
          <w:rtl/>
          <w:lang w:bidi="he-IL"/>
        </w:rPr>
        <w:t xml:space="preserve"> </w:t>
      </w:r>
      <w:r w:rsidRPr="00400C0B">
        <w:rPr>
          <w:rFonts w:cs="Guttman Rashi" w:hint="eastAsia"/>
          <w:rtl/>
          <w:lang w:bidi="he-IL"/>
        </w:rPr>
        <w:t>יומא</w:t>
      </w:r>
      <w:r w:rsidRPr="00400C0B">
        <w:rPr>
          <w:rFonts w:cs="Guttman Rashi"/>
          <w:rtl/>
          <w:lang w:bidi="he-IL"/>
        </w:rPr>
        <w:t xml:space="preserve">. </w:t>
      </w:r>
      <w:r w:rsidRPr="00400C0B">
        <w:rPr>
          <w:rFonts w:cs="Guttman Rashi" w:hint="eastAsia"/>
          <w:rtl/>
          <w:lang w:bidi="he-IL"/>
        </w:rPr>
        <w:t>ועכ</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שיטה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שלמד</w:t>
      </w:r>
      <w:r w:rsidRPr="00400C0B">
        <w:rPr>
          <w:rFonts w:cs="Guttman Rashi"/>
          <w:rtl/>
          <w:lang w:bidi="he-IL"/>
        </w:rPr>
        <w:t xml:space="preserve"> </w:t>
      </w:r>
      <w:r w:rsidRPr="00400C0B">
        <w:rPr>
          <w:rFonts w:cs="Guttman Rashi" w:hint="eastAsia"/>
          <w:rtl/>
          <w:lang w:bidi="he-IL"/>
        </w:rPr>
        <w:t>מגיעולי</w:t>
      </w:r>
      <w:r w:rsidRPr="00400C0B">
        <w:rPr>
          <w:rFonts w:cs="Guttman Rashi"/>
          <w:rtl/>
          <w:lang w:bidi="he-IL"/>
        </w:rPr>
        <w:t xml:space="preserve"> </w:t>
      </w:r>
      <w:r w:rsidRPr="00400C0B">
        <w:rPr>
          <w:rFonts w:cs="Guttman Rashi" w:hint="eastAsia"/>
          <w:rtl/>
          <w:lang w:bidi="he-IL"/>
        </w:rPr>
        <w:t>נכרים</w:t>
      </w:r>
      <w:r w:rsidRPr="00400C0B">
        <w:rPr>
          <w:rFonts w:cs="Guttman Rashi"/>
          <w:rtl/>
          <w:lang w:bidi="he-IL"/>
        </w:rPr>
        <w:t xml:space="preserve"> </w:t>
      </w:r>
      <w:r w:rsidRPr="00400C0B">
        <w:rPr>
          <w:rFonts w:cs="Guttman Rashi" w:hint="eastAsia"/>
          <w:rtl/>
          <w:lang w:bidi="he-IL"/>
        </w:rPr>
        <w:t>דטכ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דאיהו</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פוגם</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הביאו</w:t>
      </w:r>
      <w:r w:rsidRPr="00400C0B">
        <w:rPr>
          <w:rFonts w:cs="Guttman Rashi"/>
          <w:rtl/>
          <w:lang w:bidi="he-IL"/>
        </w:rPr>
        <w:t xml:space="preserve"> </w:t>
      </w:r>
      <w:r w:rsidRPr="00400C0B">
        <w:rPr>
          <w:rFonts w:cs="Guttman Rashi" w:hint="eastAsia"/>
          <w:rtl/>
          <w:lang w:bidi="he-IL"/>
        </w:rPr>
        <w:t>סמך</w:t>
      </w:r>
      <w:r w:rsidRPr="00400C0B">
        <w:rPr>
          <w:rFonts w:cs="Guttman Rashi"/>
          <w:rtl/>
          <w:lang w:bidi="he-IL"/>
        </w:rPr>
        <w:t xml:space="preserve"> </w:t>
      </w:r>
      <w:r w:rsidRPr="00400C0B">
        <w:rPr>
          <w:rFonts w:cs="Guttman Rashi" w:hint="eastAsia"/>
          <w:rtl/>
          <w:lang w:bidi="he-IL"/>
        </w:rPr>
        <w:t>לשיטה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מסתבר</w:t>
      </w:r>
      <w:r w:rsidRPr="00400C0B">
        <w:rPr>
          <w:rFonts w:cs="Guttman Rashi"/>
          <w:rtl/>
          <w:lang w:bidi="he-IL"/>
        </w:rPr>
        <w:t xml:space="preserve"> </w:t>
      </w:r>
      <w:r w:rsidRPr="00400C0B">
        <w:rPr>
          <w:rFonts w:cs="Guttman Rashi" w:hint="eastAsia"/>
          <w:rtl/>
          <w:lang w:bidi="he-IL"/>
        </w:rPr>
        <w:t>שנחלקו</w:t>
      </w:r>
      <w:r w:rsidRPr="00400C0B">
        <w:rPr>
          <w:rFonts w:cs="Guttman Rashi"/>
          <w:rtl/>
          <w:lang w:bidi="he-IL"/>
        </w:rPr>
        <w:t xml:space="preserve"> </w:t>
      </w:r>
      <w:r w:rsidRPr="00400C0B">
        <w:rPr>
          <w:rFonts w:cs="Guttman Rashi" w:hint="eastAsia"/>
          <w:rtl/>
          <w:lang w:bidi="he-IL"/>
        </w:rPr>
        <w:t>במציאות</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שאיסורא</w:t>
      </w:r>
      <w:r w:rsidRPr="00400C0B">
        <w:rPr>
          <w:rFonts w:cs="Guttman Rashi"/>
          <w:rtl/>
          <w:lang w:bidi="he-IL"/>
        </w:rPr>
        <w:t xml:space="preserve"> </w:t>
      </w:r>
      <w:r w:rsidRPr="00400C0B">
        <w:rPr>
          <w:rFonts w:cs="Guttman Rashi" w:hint="eastAsia"/>
          <w:rtl/>
          <w:lang w:bidi="he-IL"/>
        </w:rPr>
        <w:t>דפגם</w:t>
      </w:r>
      <w:r w:rsidRPr="00400C0B">
        <w:rPr>
          <w:rFonts w:cs="Guttman Rashi"/>
          <w:rtl/>
          <w:lang w:bidi="he-IL"/>
        </w:rPr>
        <w:t xml:space="preserve"> </w:t>
      </w:r>
      <w:r w:rsidRPr="00400C0B">
        <w:rPr>
          <w:rFonts w:cs="Guttman Rashi" w:hint="eastAsia"/>
          <w:rtl/>
          <w:lang w:bidi="he-IL"/>
        </w:rPr>
        <w:t>פורתא</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נחשב</w:t>
      </w:r>
      <w:r w:rsidRPr="00400C0B">
        <w:rPr>
          <w:rFonts w:cs="Guttman Rashi"/>
          <w:rtl/>
          <w:lang w:bidi="he-IL"/>
        </w:rPr>
        <w:t xml:space="preserve"> </w:t>
      </w:r>
      <w:r w:rsidRPr="00400C0B">
        <w:rPr>
          <w:rFonts w:cs="Guttman Rashi" w:hint="eastAsia"/>
          <w:rtl/>
          <w:lang w:bidi="he-IL"/>
        </w:rPr>
        <w:t>חידוש</w:t>
      </w:r>
      <w:r w:rsidRPr="00400C0B">
        <w:rPr>
          <w:rFonts w:cs="Guttman Rashi"/>
          <w:rtl/>
          <w:lang w:bidi="he-IL"/>
        </w:rPr>
        <w:t xml:space="preserve">, </w:t>
      </w:r>
      <w:r w:rsidRPr="00400C0B">
        <w:rPr>
          <w:rFonts w:cs="Guttman Rashi" w:hint="eastAsia"/>
          <w:rtl/>
          <w:lang w:bidi="he-IL"/>
        </w:rPr>
        <w:t>ודבר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מובן</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פחות</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סרוח</w:t>
      </w:r>
      <w:r w:rsidRPr="00400C0B">
        <w:rPr>
          <w:rFonts w:cs="Guttman Rashi"/>
          <w:rtl/>
          <w:lang w:bidi="he-IL"/>
        </w:rPr>
        <w:t xml:space="preserve"> </w:t>
      </w:r>
      <w:r w:rsidRPr="00400C0B">
        <w:rPr>
          <w:rFonts w:cs="Guttman Rashi" w:hint="eastAsia"/>
          <w:rtl/>
          <w:lang w:bidi="he-IL"/>
        </w:rPr>
        <w:t>לגמרי</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סרוח</w:t>
      </w:r>
      <w:r w:rsidRPr="00400C0B">
        <w:rPr>
          <w:rFonts w:cs="Guttman Rashi"/>
          <w:rtl/>
          <w:lang w:bidi="he-IL"/>
        </w:rPr>
        <w:t xml:space="preserve"> </w:t>
      </w:r>
      <w:r w:rsidRPr="00400C0B">
        <w:rPr>
          <w:rFonts w:cs="Guttman Rashi" w:hint="eastAsia"/>
          <w:rtl/>
          <w:lang w:bidi="he-IL"/>
        </w:rPr>
        <w:t>קצת</w:t>
      </w:r>
      <w:r w:rsidRPr="00400C0B">
        <w:rPr>
          <w:rFonts w:cs="Guttman Rashi"/>
          <w:rtl/>
          <w:lang w:bidi="he-IL"/>
        </w:rPr>
        <w:t xml:space="preserve">.   </w:t>
      </w:r>
    </w:p>
  </w:footnote>
  <w:footnote w:id="14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קושיא</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איכא</w:t>
      </w:r>
      <w:r w:rsidRPr="00400C0B">
        <w:rPr>
          <w:rFonts w:cs="Guttman Rashi"/>
          <w:rtl/>
          <w:lang w:bidi="he-IL"/>
        </w:rPr>
        <w:t xml:space="preserve"> </w:t>
      </w:r>
      <w:r w:rsidRPr="00400C0B">
        <w:rPr>
          <w:rFonts w:cs="Guttman Rashi" w:hint="eastAsia"/>
          <w:rtl/>
          <w:lang w:bidi="he-IL"/>
        </w:rPr>
        <w:t>למימר</w:t>
      </w:r>
      <w:r w:rsidRPr="00400C0B">
        <w:rPr>
          <w:rFonts w:cs="Guttman Rashi"/>
          <w:rtl/>
          <w:lang w:bidi="he-IL"/>
        </w:rPr>
        <w:t xml:space="preserve"> </w:t>
      </w:r>
      <w:r w:rsidRPr="00400C0B">
        <w:rPr>
          <w:rFonts w:cs="Guttman Rashi" w:hint="eastAsia"/>
          <w:rtl/>
          <w:lang w:bidi="he-IL"/>
        </w:rPr>
        <w:t>דאיצטריך</w:t>
      </w:r>
      <w:r w:rsidRPr="00400C0B">
        <w:rPr>
          <w:rFonts w:cs="Guttman Rashi"/>
          <w:rtl/>
          <w:lang w:bidi="he-IL"/>
        </w:rPr>
        <w:t xml:space="preserve"> </w:t>
      </w:r>
      <w:r w:rsidRPr="00400C0B">
        <w:rPr>
          <w:rFonts w:cs="Guttman Rashi" w:hint="eastAsia"/>
          <w:rtl/>
          <w:lang w:bidi="he-IL"/>
        </w:rPr>
        <w:t>לשום</w:t>
      </w:r>
      <w:r w:rsidRPr="00400C0B">
        <w:rPr>
          <w:rFonts w:cs="Guttman Rashi"/>
          <w:rtl/>
          <w:lang w:bidi="he-IL"/>
        </w:rPr>
        <w:t xml:space="preserve"> </w:t>
      </w:r>
      <w:r w:rsidRPr="00400C0B">
        <w:rPr>
          <w:rFonts w:cs="Guttman Rashi" w:hint="eastAsia"/>
          <w:rtl/>
          <w:lang w:bidi="he-IL"/>
        </w:rPr>
        <w:t>דרשה</w:t>
      </w:r>
      <w:r w:rsidRPr="00400C0B">
        <w:rPr>
          <w:rFonts w:cs="Guttman Rashi"/>
          <w:rtl/>
          <w:lang w:bidi="he-IL"/>
        </w:rPr>
        <w:t xml:space="preserve"> </w:t>
      </w:r>
      <w:r w:rsidRPr="00400C0B">
        <w:rPr>
          <w:rFonts w:cs="Guttman Rashi" w:hint="eastAsia"/>
          <w:rtl/>
          <w:lang w:bidi="he-IL"/>
        </w:rPr>
        <w:t>וכמש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בכמה</w:t>
      </w:r>
      <w:r w:rsidRPr="00400C0B">
        <w:rPr>
          <w:rFonts w:cs="Guttman Rashi"/>
          <w:rtl/>
          <w:lang w:bidi="he-IL"/>
        </w:rPr>
        <w:t xml:space="preserve"> </w:t>
      </w:r>
      <w:r w:rsidRPr="00400C0B">
        <w:rPr>
          <w:rFonts w:cs="Guttman Rashi" w:hint="eastAsia"/>
          <w:rtl/>
          <w:lang w:bidi="he-IL"/>
        </w:rPr>
        <w:t>מקומות</w:t>
      </w:r>
    </w:p>
  </w:footnote>
  <w:footnote w:id="14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והר</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מקינון</w:t>
      </w:r>
      <w:r w:rsidRPr="00400C0B">
        <w:rPr>
          <w:rFonts w:cs="Guttman Rashi"/>
          <w:rtl/>
          <w:lang w:bidi="he-IL"/>
        </w:rPr>
        <w:t xml:space="preserve"> </w:t>
      </w:r>
      <w:r w:rsidRPr="00400C0B">
        <w:rPr>
          <w:rFonts w:cs="Guttman Rashi" w:hint="eastAsia"/>
          <w:rtl/>
          <w:lang w:bidi="he-IL"/>
        </w:rPr>
        <w:t>הביא</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דע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תערובת</w:t>
      </w:r>
      <w:r w:rsidRPr="00400C0B">
        <w:rPr>
          <w:rFonts w:cs="Guttman Rashi"/>
          <w:rtl/>
          <w:lang w:bidi="he-IL"/>
        </w:rPr>
        <w:t xml:space="preserve"> </w:t>
      </w:r>
      <w:r w:rsidRPr="00400C0B">
        <w:rPr>
          <w:rFonts w:cs="Guttman Rashi" w:hint="eastAsia"/>
          <w:rtl/>
          <w:lang w:bidi="he-IL"/>
        </w:rPr>
        <w:t>מודה</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דאל</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לך</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ברוב</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בששים</w:t>
      </w:r>
      <w:r w:rsidRPr="00400C0B">
        <w:rPr>
          <w:rFonts w:cs="Guttman Rashi"/>
          <w:rtl/>
          <w:lang w:bidi="he-IL"/>
        </w:rPr>
        <w:t xml:space="preserve"> </w:t>
      </w:r>
      <w:r w:rsidRPr="00400C0B">
        <w:rPr>
          <w:rFonts w:cs="Guttman Rashi" w:hint="eastAsia"/>
          <w:rtl/>
          <w:lang w:bidi="he-IL"/>
        </w:rPr>
        <w:t>לדידי</w:t>
      </w:r>
      <w:r w:rsidRPr="00400C0B">
        <w:rPr>
          <w:rFonts w:cs="Guttman Rashi"/>
          <w:rtl/>
          <w:lang w:bidi="he-IL"/>
        </w:rPr>
        <w:t xml:space="preserve">'. </w:t>
      </w:r>
      <w:r w:rsidRPr="00400C0B">
        <w:rPr>
          <w:rFonts w:cs="Guttman Rashi" w:hint="eastAsia"/>
          <w:rtl/>
          <w:lang w:bidi="he-IL"/>
        </w:rPr>
        <w:t>והר</w:t>
      </w:r>
      <w:r w:rsidRPr="00400C0B">
        <w:rPr>
          <w:rFonts w:cs="Guttman Rashi"/>
          <w:rtl/>
          <w:lang w:bidi="he-IL"/>
        </w:rPr>
        <w:t xml:space="preserve">' </w:t>
      </w:r>
      <w:r w:rsidRPr="00400C0B">
        <w:rPr>
          <w:rFonts w:cs="Guttman Rashi" w:hint="eastAsia"/>
          <w:rtl/>
          <w:lang w:bidi="he-IL"/>
        </w:rPr>
        <w:t>פרץ</w:t>
      </w:r>
      <w:r w:rsidRPr="00400C0B">
        <w:rPr>
          <w:rFonts w:cs="Guttman Rashi"/>
          <w:rtl/>
          <w:lang w:bidi="he-IL"/>
        </w:rPr>
        <w:t xml:space="preserve"> </w:t>
      </w:r>
      <w:r w:rsidRPr="00400C0B">
        <w:rPr>
          <w:rFonts w:cs="Guttman Rashi" w:hint="eastAsia"/>
          <w:rtl/>
          <w:lang w:bidi="he-IL"/>
        </w:rPr>
        <w:t>דחה</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משכחת</w:t>
      </w:r>
      <w:r w:rsidRPr="00400C0B">
        <w:rPr>
          <w:rFonts w:cs="Guttman Rashi"/>
          <w:rtl/>
          <w:lang w:bidi="he-IL"/>
        </w:rPr>
        <w:t xml:space="preserve"> </w:t>
      </w:r>
      <w:r w:rsidRPr="00400C0B">
        <w:rPr>
          <w:rFonts w:cs="Guttman Rashi" w:hint="eastAsia"/>
          <w:rtl/>
          <w:lang w:bidi="he-IL"/>
        </w:rPr>
        <w:t>לה</w:t>
      </w:r>
      <w:r w:rsidRPr="00400C0B">
        <w:rPr>
          <w:rFonts w:cs="Guttman Rashi"/>
          <w:rtl/>
          <w:lang w:bidi="he-IL"/>
        </w:rPr>
        <w:t xml:space="preserve"> </w:t>
      </w:r>
      <w:r w:rsidRPr="00400C0B">
        <w:rPr>
          <w:rFonts w:cs="Guttman Rashi" w:hint="eastAsia"/>
          <w:rtl/>
          <w:lang w:bidi="he-IL"/>
        </w:rPr>
        <w:t>טובא</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מונע</w:t>
      </w:r>
      <w:r w:rsidRPr="00400C0B">
        <w:rPr>
          <w:rFonts w:cs="Guttman Rashi"/>
          <w:rtl/>
          <w:lang w:bidi="he-IL"/>
        </w:rPr>
        <w:t xml:space="preserve"> </w:t>
      </w:r>
      <w:r w:rsidRPr="00400C0B">
        <w:rPr>
          <w:rFonts w:cs="Guttman Rashi" w:hint="eastAsia"/>
          <w:rtl/>
          <w:lang w:bidi="he-IL"/>
        </w:rPr>
        <w:t>הביטול</w:t>
      </w:r>
      <w:r w:rsidRPr="00400C0B">
        <w:rPr>
          <w:rFonts w:cs="Guttman Rashi"/>
          <w:rtl/>
          <w:lang w:bidi="he-IL"/>
        </w:rPr>
        <w:t xml:space="preserve"> </w:t>
      </w:r>
      <w:r w:rsidRPr="00400C0B">
        <w:rPr>
          <w:rFonts w:cs="Guttman Rashi" w:hint="eastAsia"/>
          <w:rtl/>
          <w:lang w:bidi="he-IL"/>
        </w:rPr>
        <w:t>וחייב</w:t>
      </w:r>
      <w:r w:rsidRPr="00400C0B">
        <w:rPr>
          <w:rFonts w:cs="Guttman Rashi"/>
          <w:rtl/>
          <w:lang w:bidi="he-IL"/>
        </w:rPr>
        <w:t xml:space="preserve"> </w:t>
      </w:r>
      <w:r w:rsidRPr="00400C0B">
        <w:rPr>
          <w:rFonts w:cs="Guttman Rashi" w:hint="eastAsia"/>
          <w:rtl/>
          <w:lang w:bidi="he-IL"/>
        </w:rPr>
        <w:t>מלקות</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דר</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כזית</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מאי</w:t>
      </w:r>
      <w:r w:rsidRPr="00400C0B">
        <w:rPr>
          <w:rFonts w:cs="Guttman Rashi"/>
          <w:rtl/>
          <w:lang w:bidi="he-IL"/>
        </w:rPr>
        <w:t xml:space="preserve"> </w:t>
      </w:r>
      <w:r w:rsidRPr="00400C0B">
        <w:rPr>
          <w:rFonts w:cs="Guttman Rashi" w:hint="eastAsia"/>
          <w:rtl/>
          <w:lang w:bidi="he-IL"/>
        </w:rPr>
        <w:t>קס</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מקינון</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אחרת</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דסבירא</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כשיטת</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דעד</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שודאי</w:t>
      </w:r>
      <w:r w:rsidRPr="00400C0B">
        <w:rPr>
          <w:rFonts w:cs="Guttman Rashi"/>
          <w:rtl/>
          <w:lang w:bidi="he-IL"/>
        </w:rPr>
        <w:t xml:space="preserve"> </w:t>
      </w:r>
      <w:r w:rsidRPr="00400C0B">
        <w:rPr>
          <w:rFonts w:cs="Guttman Rashi" w:hint="eastAsia"/>
          <w:rtl/>
          <w:lang w:bidi="he-IL"/>
        </w:rPr>
        <w:t>אוכל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להתיר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ברוב</w:t>
      </w:r>
      <w:r w:rsidRPr="00400C0B">
        <w:rPr>
          <w:rFonts w:cs="Guttman Rashi"/>
          <w:rtl/>
          <w:lang w:bidi="he-IL"/>
        </w:rPr>
        <w:t xml:space="preserve">. </w:t>
      </w:r>
      <w:r w:rsidRPr="00400C0B">
        <w:rPr>
          <w:rFonts w:cs="Guttman Rashi" w:hint="eastAsia"/>
          <w:rtl/>
          <w:lang w:bidi="he-IL"/>
        </w:rPr>
        <w:t>ואע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בתערובת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לח</w:t>
      </w:r>
      <w:r w:rsidRPr="00400C0B">
        <w:rPr>
          <w:rFonts w:cs="Guttman Rashi"/>
          <w:rtl/>
          <w:lang w:bidi="he-IL"/>
        </w:rPr>
        <w:t xml:space="preserve"> </w:t>
      </w:r>
      <w:r w:rsidRPr="00400C0B">
        <w:rPr>
          <w:rFonts w:cs="Guttman Rashi" w:hint="eastAsia"/>
          <w:rtl/>
          <w:lang w:bidi="he-IL"/>
        </w:rPr>
        <w:t>בלח</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דסבירא</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חצי</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תערובת</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שכתבנו</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מקינו</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דהנ</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למאן</w:t>
      </w:r>
      <w:r w:rsidRPr="00400C0B">
        <w:rPr>
          <w:rFonts w:cs="Guttman Rashi"/>
          <w:rtl/>
          <w:lang w:bidi="he-IL"/>
        </w:rPr>
        <w:t xml:space="preserve"> </w:t>
      </w:r>
      <w:r w:rsidRPr="00400C0B">
        <w:rPr>
          <w:rFonts w:cs="Guttman Rashi" w:hint="eastAsia"/>
          <w:rtl/>
          <w:lang w:bidi="he-IL"/>
        </w:rPr>
        <w:t>דבעי</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שמחייב</w:t>
      </w:r>
      <w:r w:rsidRPr="00400C0B">
        <w:rPr>
          <w:rFonts w:cs="Guttman Rashi"/>
          <w:rtl/>
          <w:lang w:bidi="he-IL"/>
        </w:rPr>
        <w:t xml:space="preserve"> </w:t>
      </w:r>
      <w:r w:rsidRPr="00400C0B">
        <w:rPr>
          <w:rFonts w:cs="Guttman Rashi" w:hint="eastAsia"/>
          <w:rtl/>
          <w:lang w:bidi="he-IL"/>
        </w:rPr>
        <w:t>במשהו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היסוד</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חצי</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תערובת</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לדידי</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שכל</w:t>
      </w:r>
      <w:r w:rsidRPr="00400C0B">
        <w:rPr>
          <w:rFonts w:cs="Guttman Rashi"/>
          <w:rtl/>
          <w:lang w:bidi="he-IL"/>
        </w:rPr>
        <w:t xml:space="preserve"> </w:t>
      </w:r>
      <w:r w:rsidRPr="00400C0B">
        <w:rPr>
          <w:rFonts w:cs="Guttman Rashi" w:hint="eastAsia"/>
          <w:rtl/>
          <w:lang w:bidi="he-IL"/>
        </w:rPr>
        <w:t>איסורין</w:t>
      </w:r>
      <w:r w:rsidRPr="00400C0B">
        <w:rPr>
          <w:rFonts w:cs="Guttman Rashi"/>
          <w:rtl/>
          <w:lang w:bidi="he-IL"/>
        </w:rPr>
        <w:t xml:space="preserve"> </w:t>
      </w:r>
      <w:r w:rsidRPr="00400C0B">
        <w:rPr>
          <w:rFonts w:cs="Guttman Rashi" w:hint="eastAsia"/>
          <w:rtl/>
          <w:lang w:bidi="he-IL"/>
        </w:rPr>
        <w:t>שבתורה</w:t>
      </w:r>
      <w:r w:rsidRPr="00400C0B">
        <w:rPr>
          <w:rFonts w:cs="Guttman Rashi"/>
          <w:rtl/>
          <w:lang w:bidi="he-IL"/>
        </w:rPr>
        <w:t xml:space="preserve"> </w:t>
      </w:r>
      <w:r w:rsidRPr="00400C0B">
        <w:rPr>
          <w:rFonts w:cs="Guttman Rashi" w:hint="eastAsia"/>
          <w:rtl/>
          <w:lang w:bidi="he-IL"/>
        </w:rPr>
        <w:t>במשהו</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אוכל</w:t>
      </w:r>
      <w:r w:rsidRPr="00400C0B">
        <w:rPr>
          <w:rFonts w:cs="Guttman Rashi"/>
          <w:rtl/>
          <w:lang w:bidi="he-IL"/>
        </w:rPr>
        <w:t xml:space="preserve"> </w:t>
      </w:r>
      <w:r w:rsidRPr="00400C0B">
        <w:rPr>
          <w:rFonts w:cs="Guttman Rashi" w:hint="eastAsia"/>
          <w:rtl/>
          <w:lang w:bidi="he-IL"/>
        </w:rPr>
        <w:t>משהו</w:t>
      </w:r>
      <w:r w:rsidRPr="00400C0B">
        <w:rPr>
          <w:rFonts w:cs="Guttman Rashi"/>
          <w:rtl/>
          <w:lang w:bidi="he-IL"/>
        </w:rPr>
        <w:t xml:space="preserve"> </w:t>
      </w:r>
      <w:r w:rsidRPr="00400C0B">
        <w:rPr>
          <w:rFonts w:cs="Guttman Rashi" w:hint="eastAsia"/>
          <w:rtl/>
          <w:lang w:bidi="he-IL"/>
        </w:rPr>
        <w:t>היכי</w:t>
      </w:r>
      <w:r w:rsidRPr="00400C0B">
        <w:rPr>
          <w:rFonts w:cs="Guttman Rashi"/>
          <w:rtl/>
          <w:lang w:bidi="he-IL"/>
        </w:rPr>
        <w:t xml:space="preserve"> </w:t>
      </w:r>
      <w:r w:rsidRPr="00400C0B">
        <w:rPr>
          <w:rFonts w:cs="Guttman Rashi" w:hint="eastAsia"/>
          <w:rtl/>
          <w:lang w:bidi="he-IL"/>
        </w:rPr>
        <w:t>משכחת</w:t>
      </w:r>
      <w:r w:rsidRPr="00400C0B">
        <w:rPr>
          <w:rFonts w:cs="Guttman Rashi"/>
          <w:rtl/>
          <w:lang w:bidi="he-IL"/>
        </w:rPr>
        <w:t xml:space="preserve"> </w:t>
      </w:r>
      <w:r w:rsidRPr="00400C0B">
        <w:rPr>
          <w:rFonts w:cs="Guttman Rashi" w:hint="eastAsia"/>
          <w:rtl/>
          <w:lang w:bidi="he-IL"/>
        </w:rPr>
        <w:t>לה</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וחשבתי</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בדרך</w:t>
      </w:r>
      <w:r w:rsidRPr="00400C0B">
        <w:rPr>
          <w:rFonts w:cs="Guttman Rashi"/>
          <w:rtl/>
          <w:lang w:bidi="he-IL"/>
        </w:rPr>
        <w:t xml:space="preserve"> </w:t>
      </w:r>
      <w:r w:rsidRPr="00400C0B">
        <w:rPr>
          <w:rFonts w:cs="Guttman Rashi" w:hint="eastAsia"/>
          <w:rtl/>
          <w:lang w:bidi="he-IL"/>
        </w:rPr>
        <w:t>חידוש</w:t>
      </w:r>
      <w:r w:rsidRPr="00400C0B">
        <w:rPr>
          <w:rFonts w:cs="Guttman Rashi"/>
          <w:rtl/>
          <w:lang w:bidi="he-IL"/>
        </w:rPr>
        <w:t xml:space="preserve"> </w:t>
      </w:r>
      <w:r w:rsidRPr="00400C0B">
        <w:rPr>
          <w:rFonts w:cs="Guttman Rashi" w:hint="eastAsia"/>
          <w:rtl/>
          <w:lang w:bidi="he-IL"/>
        </w:rPr>
        <w:t>דכמו</w:t>
      </w:r>
      <w:r w:rsidRPr="00400C0B">
        <w:rPr>
          <w:rFonts w:cs="Guttman Rashi"/>
          <w:rtl/>
          <w:lang w:bidi="he-IL"/>
        </w:rPr>
        <w:t xml:space="preserve"> </w:t>
      </w:r>
      <w:r w:rsidRPr="00400C0B">
        <w:rPr>
          <w:rFonts w:cs="Guttman Rashi" w:hint="eastAsia"/>
          <w:rtl/>
          <w:lang w:bidi="he-IL"/>
        </w:rPr>
        <w:t>שלדידן</w:t>
      </w:r>
      <w:r w:rsidRPr="00400C0B">
        <w:rPr>
          <w:rFonts w:cs="Guttman Rashi"/>
          <w:rtl/>
          <w:lang w:bidi="he-IL"/>
        </w:rPr>
        <w:t xml:space="preserve"> </w:t>
      </w:r>
      <w:r w:rsidRPr="00400C0B">
        <w:rPr>
          <w:rFonts w:cs="Guttman Rashi" w:hint="eastAsia"/>
          <w:rtl/>
          <w:lang w:bidi="he-IL"/>
        </w:rPr>
        <w:t>שהשיעור</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כזית</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חייב</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ברי</w:t>
      </w:r>
      <w:r w:rsidRPr="00400C0B">
        <w:rPr>
          <w:rFonts w:cs="Guttman Rashi"/>
          <w:rtl/>
          <w:lang w:bidi="he-IL"/>
        </w:rPr>
        <w:t xml:space="preserve">' </w:t>
      </w:r>
      <w:r w:rsidRPr="00400C0B">
        <w:rPr>
          <w:rFonts w:cs="Guttman Rashi" w:hint="eastAsia"/>
          <w:rtl/>
          <w:lang w:bidi="he-IL"/>
        </w:rPr>
        <w:t>דלמא</w:t>
      </w:r>
      <w:r w:rsidRPr="00400C0B">
        <w:rPr>
          <w:rFonts w:cs="Guttman Rashi"/>
          <w:rtl/>
          <w:lang w:bidi="he-IL"/>
        </w:rPr>
        <w:t xml:space="preserve"> </w:t>
      </w:r>
      <w:r w:rsidRPr="00400C0B">
        <w:rPr>
          <w:rFonts w:cs="Guttman Rashi" w:hint="eastAsia"/>
          <w:rtl/>
          <w:lang w:bidi="he-IL"/>
        </w:rPr>
        <w:t>הה</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 xml:space="preserve">' </w:t>
      </w:r>
      <w:r w:rsidRPr="00400C0B">
        <w:rPr>
          <w:rFonts w:cs="Guttman Rashi" w:hint="eastAsia"/>
          <w:rtl/>
          <w:lang w:bidi="he-IL"/>
        </w:rPr>
        <w:t>שמעון</w:t>
      </w:r>
      <w:r w:rsidRPr="00400C0B">
        <w:rPr>
          <w:rFonts w:cs="Guttman Rashi"/>
          <w:rtl/>
          <w:lang w:bidi="he-IL"/>
        </w:rPr>
        <w:t xml:space="preserve"> </w:t>
      </w:r>
      <w:r w:rsidRPr="00400C0B">
        <w:rPr>
          <w:rFonts w:cs="Guttman Rashi" w:hint="eastAsia"/>
          <w:rtl/>
          <w:lang w:bidi="he-IL"/>
        </w:rPr>
        <w:t>שהשיעור</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במשהו</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משהו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מחייב</w:t>
      </w:r>
      <w:r w:rsidRPr="00400C0B">
        <w:rPr>
          <w:rFonts w:cs="Guttman Rashi"/>
          <w:rtl/>
          <w:lang w:bidi="he-IL"/>
        </w:rPr>
        <w:t xml:space="preserve"> </w:t>
      </w:r>
      <w:r w:rsidRPr="00400C0B">
        <w:rPr>
          <w:rFonts w:cs="Guttman Rashi" w:hint="eastAsia"/>
          <w:rtl/>
          <w:lang w:bidi="he-IL"/>
        </w:rPr>
        <w:t>שכזית</w:t>
      </w:r>
      <w:r w:rsidRPr="00400C0B">
        <w:rPr>
          <w:rFonts w:cs="Guttman Rashi"/>
          <w:rtl/>
          <w:lang w:bidi="he-IL"/>
        </w:rPr>
        <w:t xml:space="preserve"> </w:t>
      </w:r>
      <w:r w:rsidRPr="00400C0B">
        <w:rPr>
          <w:rFonts w:cs="Guttman Rashi" w:hint="eastAsia"/>
          <w:rtl/>
          <w:lang w:bidi="he-IL"/>
        </w:rPr>
        <w:t>לדידן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בטילה</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בכא</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דמאי</w:t>
      </w:r>
      <w:r w:rsidRPr="00400C0B">
        <w:rPr>
          <w:rFonts w:cs="Guttman Rashi"/>
          <w:rtl/>
          <w:lang w:bidi="he-IL"/>
        </w:rPr>
        <w:t xml:space="preserve"> </w:t>
      </w:r>
      <w:r w:rsidRPr="00400C0B">
        <w:rPr>
          <w:rFonts w:cs="Guttman Rashi" w:hint="eastAsia"/>
          <w:rtl/>
          <w:lang w:bidi="he-IL"/>
        </w:rPr>
        <w:t>שנא</w:t>
      </w:r>
      <w:r w:rsidRPr="00400C0B">
        <w:rPr>
          <w:rFonts w:cs="Guttman Rashi"/>
          <w:rtl/>
          <w:lang w:bidi="he-IL"/>
        </w:rPr>
        <w:t xml:space="preserve"> </w:t>
      </w:r>
      <w:r w:rsidRPr="00400C0B">
        <w:rPr>
          <w:rFonts w:cs="Guttman Rashi" w:hint="eastAsia"/>
          <w:rtl/>
          <w:lang w:bidi="he-IL"/>
        </w:rPr>
        <w:t>ממשהו</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ובסופו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תלוי</w:t>
      </w:r>
      <w:r w:rsidRPr="00400C0B">
        <w:rPr>
          <w:rFonts w:cs="Guttman Rashi"/>
          <w:rtl/>
          <w:lang w:bidi="he-IL"/>
        </w:rPr>
        <w:t xml:space="preserve"> </w:t>
      </w:r>
      <w:r w:rsidRPr="00400C0B">
        <w:rPr>
          <w:rFonts w:cs="Guttman Rashi" w:hint="eastAsia"/>
          <w:rtl/>
          <w:lang w:bidi="he-IL"/>
        </w:rPr>
        <w:t>בשיטת</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שביארנו</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NOTEREF</w:instrText>
      </w:r>
      <w:r w:rsidRPr="00400C0B">
        <w:rPr>
          <w:rFonts w:cs="Guttman Rashi"/>
          <w:rtl/>
          <w:lang w:bidi="he-IL"/>
        </w:rPr>
        <w:instrText xml:space="preserve"> _</w:instrText>
      </w:r>
      <w:r w:rsidRPr="00400C0B">
        <w:rPr>
          <w:rFonts w:cs="Guttman Rashi"/>
          <w:lang w:bidi="he-IL"/>
        </w:rPr>
        <w:instrText>Ref443998392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22</w:t>
      </w:r>
      <w:r w:rsidRPr="00400C0B">
        <w:rPr>
          <w:rFonts w:cs="Guttman Rashi"/>
          <w:rtl/>
          <w:lang w:bidi="he-IL"/>
        </w:rPr>
        <w:fldChar w:fldCharType="end"/>
      </w:r>
      <w:r w:rsidRPr="00400C0B">
        <w:rPr>
          <w:rFonts w:cs="Guttman Rashi"/>
          <w:rtl/>
          <w:lang w:bidi="he-IL"/>
        </w:rPr>
        <w:t xml:space="preserve">). </w:t>
      </w:r>
    </w:p>
  </w:footnote>
  <w:footnote w:id="14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ובעיקר</w:t>
      </w:r>
      <w:r w:rsidRPr="00400C0B">
        <w:rPr>
          <w:rFonts w:cs="Guttman Rashi"/>
          <w:rtl/>
          <w:lang w:bidi="he-IL"/>
        </w:rPr>
        <w:t xml:space="preserve"> </w:t>
      </w:r>
      <w:r w:rsidRPr="00400C0B">
        <w:rPr>
          <w:rFonts w:cs="Guttman Rashi" w:hint="eastAsia"/>
          <w:rtl/>
          <w:lang w:bidi="he-IL"/>
        </w:rPr>
        <w:t>הזמן</w:t>
      </w:r>
      <w:r w:rsidRPr="00400C0B">
        <w:rPr>
          <w:rFonts w:cs="Guttman Rashi"/>
          <w:rtl/>
          <w:lang w:bidi="he-IL"/>
        </w:rPr>
        <w:t xml:space="preserve"> </w:t>
      </w:r>
      <w:r w:rsidRPr="00400C0B">
        <w:rPr>
          <w:rFonts w:cs="Guttman Rashi" w:hint="eastAsia"/>
          <w:rtl/>
          <w:lang w:bidi="he-IL"/>
        </w:rPr>
        <w:t>דבת</w:t>
      </w:r>
      <w:r w:rsidRPr="00400C0B">
        <w:rPr>
          <w:rFonts w:cs="Guttman Rashi"/>
          <w:rtl/>
          <w:lang w:bidi="he-IL"/>
        </w:rPr>
        <w:t xml:space="preserve"> </w:t>
      </w:r>
      <w:r w:rsidRPr="00400C0B">
        <w:rPr>
          <w:rFonts w:cs="Guttman Rashi" w:hint="eastAsia"/>
          <w:rtl/>
          <w:lang w:bidi="he-IL"/>
        </w:rPr>
        <w:t>יומא</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בחי</w:t>
      </w:r>
      <w:r w:rsidRPr="00400C0B">
        <w:rPr>
          <w:rFonts w:cs="Guttman Rashi"/>
          <w:rtl/>
          <w:lang w:bidi="he-IL"/>
        </w:rPr>
        <w:t xml:space="preserve">' </w:t>
      </w:r>
      <w:r w:rsidRPr="00400C0B">
        <w:rPr>
          <w:rFonts w:cs="Guttman Rashi" w:hint="eastAsia"/>
          <w:rtl/>
          <w:lang w:bidi="he-IL"/>
        </w:rPr>
        <w:t>הריטב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חידוש</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שלעולם</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הכלים</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בישלו</w:t>
      </w:r>
      <w:r w:rsidRPr="00400C0B">
        <w:rPr>
          <w:rFonts w:cs="Guttman Rashi"/>
          <w:rtl/>
          <w:lang w:bidi="he-IL"/>
        </w:rPr>
        <w:t xml:space="preserve"> </w:t>
      </w:r>
      <w:r w:rsidRPr="00400C0B">
        <w:rPr>
          <w:rFonts w:cs="Guttman Rashi" w:hint="eastAsia"/>
          <w:rtl/>
          <w:lang w:bidi="he-IL"/>
        </w:rPr>
        <w:t>בהם</w:t>
      </w:r>
      <w:r w:rsidRPr="00400C0B">
        <w:rPr>
          <w:rFonts w:cs="Guttman Rashi"/>
          <w:rtl/>
          <w:lang w:bidi="he-IL"/>
        </w:rPr>
        <w:t xml:space="preserve"> </w:t>
      </w:r>
      <w:r w:rsidRPr="00400C0B">
        <w:rPr>
          <w:rFonts w:cs="Guttman Rashi" w:hint="eastAsia"/>
          <w:rtl/>
          <w:lang w:bidi="he-IL"/>
        </w:rPr>
        <w:t>עכשיו</w:t>
      </w:r>
      <w:r w:rsidRPr="00400C0B">
        <w:rPr>
          <w:rFonts w:cs="Guttman Rashi"/>
          <w:rtl/>
          <w:lang w:bidi="he-IL"/>
        </w:rPr>
        <w:t xml:space="preserve"> </w:t>
      </w:r>
      <w:r w:rsidRPr="00400C0B">
        <w:rPr>
          <w:rFonts w:cs="Guttman Rashi" w:hint="eastAsia"/>
          <w:rtl/>
          <w:lang w:bidi="he-IL"/>
        </w:rPr>
        <w:t>הוו</w:t>
      </w:r>
      <w:r w:rsidRPr="00400C0B">
        <w:rPr>
          <w:rFonts w:cs="Guttman Rashi"/>
          <w:rtl/>
          <w:lang w:bidi="he-IL"/>
        </w:rPr>
        <w:t xml:space="preserve"> </w:t>
      </w:r>
      <w:r w:rsidRPr="00400C0B">
        <w:rPr>
          <w:rFonts w:cs="Guttman Rashi" w:hint="eastAsia"/>
          <w:rtl/>
          <w:lang w:bidi="he-IL"/>
        </w:rPr>
        <w:t>לפגם</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הכוונה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בת</w:t>
      </w:r>
      <w:r w:rsidRPr="00400C0B">
        <w:rPr>
          <w:rFonts w:cs="Guttman Rashi"/>
          <w:rtl/>
          <w:lang w:bidi="he-IL"/>
        </w:rPr>
        <w:t xml:space="preserve"> </w:t>
      </w:r>
      <w:r w:rsidRPr="00400C0B">
        <w:rPr>
          <w:rFonts w:cs="Guttman Rashi" w:hint="eastAsia"/>
          <w:rtl/>
          <w:lang w:bidi="he-IL"/>
        </w:rPr>
        <w:t>יומא</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השתמשו</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פעם</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שדחה</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פי</w:t>
      </w:r>
      <w:r w:rsidRPr="00400C0B">
        <w:rPr>
          <w:rFonts w:cs="Guttman Rashi"/>
          <w:rtl/>
          <w:lang w:bidi="he-IL"/>
        </w:rPr>
        <w:t xml:space="preserve">' </w:t>
      </w:r>
      <w:r w:rsidRPr="00400C0B">
        <w:rPr>
          <w:rFonts w:cs="Guttman Rashi" w:hint="eastAsia"/>
          <w:rtl/>
          <w:lang w:bidi="he-IL"/>
        </w:rPr>
        <w:t>דאע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מסתבר</w:t>
      </w:r>
      <w:r w:rsidRPr="00400C0B">
        <w:rPr>
          <w:rFonts w:cs="Guttman Rashi"/>
          <w:rtl/>
          <w:lang w:bidi="he-IL"/>
        </w:rPr>
        <w:t xml:space="preserve"> </w:t>
      </w:r>
      <w:r w:rsidRPr="00400C0B">
        <w:rPr>
          <w:rFonts w:cs="Guttman Rashi" w:hint="eastAsia"/>
          <w:rtl/>
          <w:lang w:bidi="he-IL"/>
        </w:rPr>
        <w:t>שהשתמשו</w:t>
      </w:r>
      <w:r w:rsidRPr="00400C0B">
        <w:rPr>
          <w:rFonts w:cs="Guttman Rashi"/>
          <w:rtl/>
          <w:lang w:bidi="he-IL"/>
        </w:rPr>
        <w:t xml:space="preserve"> </w:t>
      </w:r>
      <w:r w:rsidRPr="00400C0B">
        <w:rPr>
          <w:rFonts w:cs="Guttman Rashi" w:hint="eastAsia"/>
          <w:rtl/>
          <w:lang w:bidi="he-IL"/>
        </w:rPr>
        <w:t>בכלים</w:t>
      </w:r>
      <w:r w:rsidRPr="00400C0B">
        <w:rPr>
          <w:rFonts w:cs="Guttman Rashi"/>
          <w:rtl/>
          <w:lang w:bidi="he-IL"/>
        </w:rPr>
        <w:t xml:space="preserve"> </w:t>
      </w:r>
      <w:r w:rsidRPr="00400C0B">
        <w:rPr>
          <w:rFonts w:cs="Guttman Rashi" w:hint="eastAsia"/>
          <w:rtl/>
          <w:lang w:bidi="he-IL"/>
        </w:rPr>
        <w:t>מיד</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המלחמה</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הצריכה</w:t>
      </w:r>
      <w:r w:rsidRPr="00400C0B">
        <w:rPr>
          <w:rFonts w:cs="Guttman Rashi"/>
          <w:rtl/>
          <w:lang w:bidi="he-IL"/>
        </w:rPr>
        <w:t xml:space="preserve"> </w:t>
      </w:r>
      <w:r w:rsidRPr="00400C0B">
        <w:rPr>
          <w:rFonts w:cs="Guttman Rashi" w:hint="eastAsia"/>
          <w:rtl/>
          <w:lang w:bidi="he-IL"/>
        </w:rPr>
        <w:t>הכתוב</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שהיו</w:t>
      </w:r>
      <w:r w:rsidRPr="00400C0B">
        <w:rPr>
          <w:rFonts w:cs="Guttman Rashi"/>
          <w:rtl/>
          <w:lang w:bidi="he-IL"/>
        </w:rPr>
        <w:t xml:space="preserve"> </w:t>
      </w:r>
      <w:r w:rsidRPr="00400C0B">
        <w:rPr>
          <w:rFonts w:cs="Guttman Rashi" w:hint="eastAsia"/>
          <w:rtl/>
          <w:lang w:bidi="he-IL"/>
        </w:rPr>
        <w:t>נשים</w:t>
      </w:r>
      <w:r w:rsidRPr="00400C0B">
        <w:rPr>
          <w:rFonts w:cs="Guttman Rashi"/>
          <w:rtl/>
          <w:lang w:bidi="he-IL"/>
        </w:rPr>
        <w:t xml:space="preserve"> </w:t>
      </w:r>
      <w:r w:rsidRPr="00400C0B">
        <w:rPr>
          <w:rFonts w:cs="Guttman Rashi" w:hint="eastAsia"/>
          <w:rtl/>
          <w:lang w:bidi="he-IL"/>
        </w:rPr>
        <w:t>וטף</w:t>
      </w:r>
      <w:r w:rsidRPr="00400C0B">
        <w:rPr>
          <w:rFonts w:cs="Guttman Rashi"/>
          <w:rtl/>
          <w:lang w:bidi="he-IL"/>
        </w:rPr>
        <w:t xml:space="preserve"> </w:t>
      </w:r>
      <w:r w:rsidRPr="00400C0B">
        <w:rPr>
          <w:rFonts w:cs="Guttman Rashi" w:hint="eastAsia"/>
          <w:rtl/>
          <w:lang w:bidi="he-IL"/>
        </w:rPr>
        <w:t>שתפסו</w:t>
      </w:r>
      <w:r w:rsidRPr="00400C0B">
        <w:rPr>
          <w:rFonts w:cs="Guttman Rashi"/>
          <w:rtl/>
          <w:lang w:bidi="he-IL"/>
        </w:rPr>
        <w:t xml:space="preserve"> </w:t>
      </w:r>
      <w:r w:rsidRPr="00400C0B">
        <w:rPr>
          <w:rFonts w:cs="Guttman Rashi" w:hint="eastAsia"/>
          <w:rtl/>
          <w:lang w:bidi="he-IL"/>
        </w:rPr>
        <w:t>ועדיין</w:t>
      </w:r>
      <w:r w:rsidRPr="00400C0B">
        <w:rPr>
          <w:rFonts w:cs="Guttman Rashi"/>
          <w:rtl/>
          <w:lang w:bidi="he-IL"/>
        </w:rPr>
        <w:t xml:space="preserve"> </w:t>
      </w:r>
      <w:r w:rsidRPr="00400C0B">
        <w:rPr>
          <w:rFonts w:cs="Guttman Rashi" w:hint="eastAsia"/>
          <w:rtl/>
          <w:lang w:bidi="he-IL"/>
        </w:rPr>
        <w:t>היו</w:t>
      </w:r>
      <w:r w:rsidRPr="00400C0B">
        <w:rPr>
          <w:rFonts w:cs="Guttman Rashi"/>
          <w:rtl/>
          <w:lang w:bidi="he-IL"/>
        </w:rPr>
        <w:t xml:space="preserve"> </w:t>
      </w:r>
      <w:r w:rsidRPr="00400C0B">
        <w:rPr>
          <w:rFonts w:cs="Guttman Rashi" w:hint="eastAsia"/>
          <w:rtl/>
          <w:lang w:bidi="he-IL"/>
        </w:rPr>
        <w:t>משתמשים</w:t>
      </w:r>
      <w:r w:rsidRPr="00400C0B">
        <w:rPr>
          <w:rFonts w:cs="Guttman Rashi"/>
          <w:rtl/>
          <w:lang w:bidi="he-IL"/>
        </w:rPr>
        <w:t xml:space="preserve"> </w:t>
      </w:r>
      <w:r w:rsidRPr="00400C0B">
        <w:rPr>
          <w:rFonts w:cs="Guttman Rashi" w:hint="eastAsia"/>
          <w:rtl/>
          <w:lang w:bidi="he-IL"/>
        </w:rPr>
        <w:t>בכליהם</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בחי</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שהביא</w:t>
      </w:r>
      <w:r w:rsidRPr="00400C0B">
        <w:rPr>
          <w:rFonts w:cs="Guttman Rashi"/>
          <w:rtl/>
          <w:lang w:bidi="he-IL"/>
        </w:rPr>
        <w:t xml:space="preserve"> </w:t>
      </w:r>
      <w:r w:rsidRPr="00400C0B">
        <w:rPr>
          <w:rFonts w:cs="Guttman Rashi" w:hint="eastAsia"/>
          <w:rtl/>
          <w:lang w:bidi="he-IL"/>
        </w:rPr>
        <w:t>צד</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הכלי</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בדיעבד</w:t>
      </w:r>
      <w:r w:rsidRPr="00400C0B">
        <w:rPr>
          <w:rFonts w:cs="Guttman Rashi"/>
          <w:rtl/>
          <w:lang w:bidi="he-IL"/>
        </w:rPr>
        <w:t xml:space="preserve"> </w:t>
      </w:r>
      <w:r w:rsidRPr="00400C0B">
        <w:rPr>
          <w:rFonts w:cs="Guttman Rashi" w:hint="eastAsia"/>
          <w:rtl/>
          <w:lang w:bidi="he-IL"/>
        </w:rPr>
        <w:t>כשאינו</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יומו</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הגזה</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הכשר</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מחייב</w:t>
      </w:r>
      <w:r w:rsidRPr="00400C0B">
        <w:rPr>
          <w:rFonts w:cs="Guttman Rashi"/>
          <w:rtl/>
          <w:lang w:bidi="he-IL"/>
        </w:rPr>
        <w:t xml:space="preserve"> </w:t>
      </w:r>
      <w:r w:rsidRPr="00400C0B">
        <w:rPr>
          <w:rFonts w:cs="Guttman Rashi" w:hint="eastAsia"/>
          <w:rtl/>
          <w:lang w:bidi="he-IL"/>
        </w:rPr>
        <w:t>הכשר</w:t>
      </w:r>
      <w:r w:rsidRPr="00400C0B">
        <w:rPr>
          <w:rFonts w:cs="Guttman Rashi"/>
          <w:rtl/>
          <w:lang w:bidi="he-IL"/>
        </w:rPr>
        <w:t xml:space="preserve"> </w:t>
      </w:r>
      <w:r w:rsidRPr="00400C0B">
        <w:rPr>
          <w:rFonts w:cs="Guttman Rashi" w:hint="eastAsia"/>
          <w:rtl/>
          <w:lang w:bidi="he-IL"/>
        </w:rPr>
        <w:t>בכל</w:t>
      </w:r>
      <w:r w:rsidRPr="00400C0B">
        <w:rPr>
          <w:rFonts w:cs="Guttman Rashi"/>
          <w:rtl/>
          <w:lang w:bidi="he-IL"/>
        </w:rPr>
        <w:t xml:space="preserve"> </w:t>
      </w:r>
      <w:r w:rsidRPr="00400C0B">
        <w:rPr>
          <w:rFonts w:cs="Guttman Rashi" w:hint="eastAsia"/>
          <w:rtl/>
          <w:lang w:bidi="he-IL"/>
        </w:rPr>
        <w:t>הכלים</w:t>
      </w:r>
      <w:r w:rsidRPr="00400C0B">
        <w:rPr>
          <w:rFonts w:cs="Guttman Rashi"/>
          <w:rtl/>
          <w:lang w:bidi="he-IL"/>
        </w:rPr>
        <w:t xml:space="preserve"> </w:t>
      </w:r>
      <w:r w:rsidRPr="00400C0B">
        <w:rPr>
          <w:rFonts w:cs="Guttman Rashi" w:hint="eastAsia"/>
          <w:rtl/>
          <w:lang w:bidi="he-IL"/>
        </w:rPr>
        <w:t>אטו</w:t>
      </w:r>
      <w:r w:rsidRPr="00400C0B">
        <w:rPr>
          <w:rFonts w:cs="Guttman Rashi"/>
          <w:rtl/>
          <w:lang w:bidi="he-IL"/>
        </w:rPr>
        <w:t xml:space="preserve"> </w:t>
      </w:r>
      <w:r w:rsidRPr="00400C0B">
        <w:rPr>
          <w:rFonts w:cs="Guttman Rashi" w:hint="eastAsia"/>
          <w:rtl/>
          <w:lang w:bidi="he-IL"/>
        </w:rPr>
        <w:t>הנהו</w:t>
      </w:r>
      <w:r w:rsidRPr="00400C0B">
        <w:rPr>
          <w:rFonts w:cs="Guttman Rashi"/>
          <w:rtl/>
          <w:lang w:bidi="he-IL"/>
        </w:rPr>
        <w:t xml:space="preserve"> </w:t>
      </w:r>
      <w:r w:rsidRPr="00400C0B">
        <w:rPr>
          <w:rFonts w:cs="Guttman Rashi" w:hint="eastAsia"/>
          <w:rtl/>
          <w:lang w:bidi="he-IL"/>
        </w:rPr>
        <w:t>דהוו</w:t>
      </w:r>
      <w:r w:rsidRPr="00400C0B">
        <w:rPr>
          <w:rFonts w:cs="Guttman Rashi"/>
          <w:rtl/>
          <w:lang w:bidi="he-IL"/>
        </w:rPr>
        <w:t xml:space="preserve"> </w:t>
      </w:r>
      <w:r w:rsidRPr="00400C0B">
        <w:rPr>
          <w:rFonts w:cs="Guttman Rashi" w:hint="eastAsia"/>
          <w:rtl/>
          <w:lang w:bidi="he-IL"/>
        </w:rPr>
        <w:t>בני</w:t>
      </w:r>
      <w:r w:rsidRPr="00400C0B">
        <w:rPr>
          <w:rFonts w:cs="Guttman Rashi"/>
          <w:rtl/>
          <w:lang w:bidi="he-IL"/>
        </w:rPr>
        <w:t xml:space="preserve"> </w:t>
      </w:r>
      <w:r w:rsidRPr="00400C0B">
        <w:rPr>
          <w:rFonts w:cs="Guttman Rashi" w:hint="eastAsia"/>
          <w:rtl/>
          <w:lang w:bidi="he-IL"/>
        </w:rPr>
        <w:t>יומן</w:t>
      </w:r>
      <w:r w:rsidRPr="00400C0B">
        <w:rPr>
          <w:rFonts w:cs="Guttman Rashi"/>
          <w:rtl/>
          <w:lang w:bidi="he-IL"/>
        </w:rPr>
        <w:t>.</w:t>
      </w:r>
    </w:p>
  </w:footnote>
  <w:footnote w:id="14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שכתבנו</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מענין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w:t>
      </w:r>
    </w:p>
  </w:footnote>
  <w:footnote w:id="14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להגהות</w:t>
      </w:r>
      <w:r w:rsidRPr="00400C0B">
        <w:rPr>
          <w:rFonts w:cs="Guttman Rashi"/>
          <w:rtl/>
          <w:lang w:bidi="he-IL"/>
        </w:rPr>
        <w:t xml:space="preserve"> </w:t>
      </w:r>
      <w:r w:rsidRPr="00400C0B">
        <w:rPr>
          <w:rFonts w:cs="Guttman Rashi" w:hint="eastAsia"/>
          <w:rtl/>
          <w:lang w:bidi="he-IL"/>
        </w:rPr>
        <w:t>סמ</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מצוה</w:t>
      </w:r>
      <w:r w:rsidRPr="00400C0B">
        <w:rPr>
          <w:rFonts w:cs="Guttman Rashi"/>
          <w:rtl/>
          <w:lang w:bidi="he-IL"/>
        </w:rPr>
        <w:t xml:space="preserve"> </w:t>
      </w:r>
      <w:r w:rsidRPr="00400C0B">
        <w:rPr>
          <w:rFonts w:cs="Guttman Rashi" w:hint="eastAsia"/>
          <w:rtl/>
          <w:lang w:bidi="he-IL"/>
        </w:rPr>
        <w:t>רי</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שהקשה</w:t>
      </w:r>
      <w:r w:rsidRPr="00400C0B">
        <w:rPr>
          <w:rFonts w:cs="Guttman Rashi"/>
          <w:rtl/>
          <w:lang w:bidi="he-IL"/>
        </w:rPr>
        <w:t xml:space="preserve"> </w:t>
      </w:r>
      <w:r w:rsidRPr="00400C0B">
        <w:rPr>
          <w:rFonts w:cs="Guttman Rashi" w:hint="eastAsia"/>
          <w:rtl/>
          <w:lang w:bidi="he-IL"/>
        </w:rPr>
        <w:t>קושיא</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w:t>
      </w:r>
      <w:r w:rsidRPr="00400C0B">
        <w:rPr>
          <w:rFonts w:cs="Guttman Rashi" w:hint="eastAsia"/>
          <w:rtl/>
          <w:lang w:bidi="he-IL"/>
        </w:rPr>
        <w:t>וכי</w:t>
      </w:r>
      <w:r w:rsidRPr="00400C0B">
        <w:rPr>
          <w:rFonts w:cs="Guttman Rashi"/>
          <w:rtl/>
          <w:lang w:bidi="he-IL"/>
        </w:rPr>
        <w:t xml:space="preserve"> </w:t>
      </w:r>
      <w:r w:rsidRPr="00400C0B">
        <w:rPr>
          <w:rFonts w:cs="Guttman Rashi" w:hint="eastAsia"/>
          <w:rtl/>
          <w:lang w:bidi="he-IL"/>
        </w:rPr>
        <w:t>תימא</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גופה</w:t>
      </w:r>
      <w:r w:rsidRPr="00400C0B">
        <w:rPr>
          <w:rFonts w:cs="Guttman Rashi"/>
          <w:rtl/>
          <w:lang w:bidi="he-IL"/>
        </w:rPr>
        <w:t xml:space="preserve"> </w:t>
      </w:r>
      <w:r w:rsidRPr="00400C0B">
        <w:rPr>
          <w:rFonts w:cs="Guttman Rashi" w:hint="eastAsia"/>
          <w:rtl/>
          <w:lang w:bidi="he-IL"/>
        </w:rPr>
        <w:t>מאי</w:t>
      </w:r>
      <w:r w:rsidRPr="00400C0B">
        <w:rPr>
          <w:rFonts w:cs="Guttman Rashi"/>
          <w:rtl/>
          <w:lang w:bidi="he-IL"/>
        </w:rPr>
        <w:t xml:space="preserve"> </w:t>
      </w:r>
      <w:r w:rsidRPr="00400C0B">
        <w:rPr>
          <w:rFonts w:cs="Guttman Rashi" w:hint="eastAsia"/>
          <w:rtl/>
          <w:lang w:bidi="he-IL"/>
        </w:rPr>
        <w:t>שנא</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דגבי</w:t>
      </w:r>
      <w:r w:rsidRPr="00400C0B">
        <w:rPr>
          <w:rFonts w:cs="Guttman Rashi"/>
          <w:rtl/>
          <w:lang w:bidi="he-IL"/>
        </w:rPr>
        <w:t xml:space="preserve"> </w:t>
      </w:r>
      <w:r w:rsidRPr="00400C0B">
        <w:rPr>
          <w:rFonts w:cs="Guttman Rashi" w:hint="eastAsia"/>
          <w:rtl/>
          <w:lang w:bidi="he-IL"/>
        </w:rPr>
        <w:t>בליעת</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חשבינן</w:t>
      </w:r>
      <w:r w:rsidRPr="00400C0B">
        <w:rPr>
          <w:rFonts w:cs="Guttman Rashi"/>
          <w:rtl/>
          <w:lang w:bidi="he-IL"/>
        </w:rPr>
        <w:t xml:space="preserve"> </w:t>
      </w:r>
      <w:r w:rsidRPr="00400C0B">
        <w:rPr>
          <w:rFonts w:cs="Guttman Rashi" w:hint="eastAsia"/>
          <w:rtl/>
          <w:lang w:bidi="he-IL"/>
        </w:rPr>
        <w:t>כולה</w:t>
      </w:r>
      <w:r w:rsidRPr="00400C0B">
        <w:rPr>
          <w:rFonts w:cs="Guttman Rashi"/>
          <w:rtl/>
          <w:lang w:bidi="he-IL"/>
        </w:rPr>
        <w:t xml:space="preserve"> </w:t>
      </w:r>
      <w:r w:rsidRPr="00400C0B">
        <w:rPr>
          <w:rFonts w:cs="Guttman Rashi" w:hint="eastAsia"/>
          <w:rtl/>
          <w:lang w:bidi="he-IL"/>
        </w:rPr>
        <w:t>חתיכה</w:t>
      </w:r>
      <w:r w:rsidRPr="00400C0B">
        <w:rPr>
          <w:rFonts w:cs="Guttman Rashi"/>
          <w:rtl/>
          <w:lang w:bidi="he-IL"/>
        </w:rPr>
        <w:t xml:space="preserve"> </w:t>
      </w:r>
      <w:r w:rsidRPr="00400C0B">
        <w:rPr>
          <w:rFonts w:cs="Guttman Rashi" w:hint="eastAsia"/>
          <w:rtl/>
          <w:lang w:bidi="he-IL"/>
        </w:rPr>
        <w:t>כבליעה</w:t>
      </w:r>
      <w:r w:rsidRPr="00400C0B">
        <w:rPr>
          <w:rFonts w:cs="Guttman Rashi"/>
          <w:rtl/>
          <w:lang w:bidi="he-IL"/>
        </w:rPr>
        <w:t xml:space="preserve"> </w:t>
      </w:r>
      <w:r w:rsidRPr="00400C0B">
        <w:rPr>
          <w:rFonts w:cs="Guttman Rashi" w:hint="eastAsia"/>
          <w:rtl/>
          <w:lang w:bidi="he-IL"/>
        </w:rPr>
        <w:t>עצמה</w:t>
      </w:r>
      <w:r w:rsidRPr="00400C0B">
        <w:rPr>
          <w:rFonts w:cs="Guttman Rashi"/>
          <w:rtl/>
          <w:lang w:bidi="he-IL"/>
        </w:rPr>
        <w:t xml:space="preserve"> </w:t>
      </w:r>
      <w:r w:rsidRPr="00400C0B">
        <w:rPr>
          <w:rFonts w:cs="Guttman Rashi" w:hint="eastAsia"/>
          <w:rtl/>
          <w:lang w:bidi="he-IL"/>
        </w:rPr>
        <w:t>וגבי</w:t>
      </w:r>
      <w:r w:rsidRPr="00400C0B">
        <w:rPr>
          <w:rFonts w:cs="Guttman Rashi"/>
          <w:rtl/>
          <w:lang w:bidi="he-IL"/>
        </w:rPr>
        <w:t xml:space="preserve"> </w:t>
      </w:r>
      <w:r w:rsidRPr="00400C0B">
        <w:rPr>
          <w:rFonts w:cs="Guttman Rashi" w:hint="eastAsia"/>
          <w:rtl/>
          <w:lang w:bidi="he-IL"/>
        </w:rPr>
        <w:t>בליעת</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דבשר</w:t>
      </w:r>
      <w:r w:rsidRPr="00400C0B">
        <w:rPr>
          <w:rFonts w:cs="Guttman Rashi"/>
          <w:rtl/>
          <w:lang w:bidi="he-IL"/>
        </w:rPr>
        <w:t xml:space="preserve"> </w:t>
      </w:r>
      <w:r w:rsidRPr="00400C0B">
        <w:rPr>
          <w:rFonts w:cs="Guttman Rashi" w:hint="eastAsia"/>
          <w:rtl/>
          <w:lang w:bidi="he-IL"/>
        </w:rPr>
        <w:t>בחלב</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חשבינן</w:t>
      </w:r>
      <w:r w:rsidRPr="00400C0B">
        <w:rPr>
          <w:rFonts w:cs="Guttman Rashi"/>
          <w:rtl/>
          <w:lang w:bidi="he-IL"/>
        </w:rPr>
        <w:t xml:space="preserve"> </w:t>
      </w:r>
      <w:r w:rsidRPr="00400C0B">
        <w:rPr>
          <w:rFonts w:cs="Guttman Rashi" w:hint="eastAsia"/>
          <w:rtl/>
          <w:lang w:bidi="he-IL"/>
        </w:rPr>
        <w:t>כולה</w:t>
      </w:r>
      <w:r w:rsidRPr="00400C0B">
        <w:rPr>
          <w:rFonts w:cs="Guttman Rashi"/>
          <w:rtl/>
          <w:lang w:bidi="he-IL"/>
        </w:rPr>
        <w:t xml:space="preserve"> </w:t>
      </w:r>
      <w:r w:rsidRPr="00400C0B">
        <w:rPr>
          <w:rFonts w:cs="Guttman Rashi" w:hint="eastAsia"/>
          <w:rtl/>
          <w:lang w:bidi="he-IL"/>
        </w:rPr>
        <w:t>חתיכה</w:t>
      </w:r>
      <w:r w:rsidRPr="00400C0B">
        <w:rPr>
          <w:rFonts w:cs="Guttman Rashi"/>
          <w:rtl/>
          <w:lang w:bidi="he-IL"/>
        </w:rPr>
        <w:t xml:space="preserve"> </w:t>
      </w:r>
      <w:r w:rsidRPr="00400C0B">
        <w:rPr>
          <w:rFonts w:cs="Guttman Rashi" w:hint="eastAsia"/>
          <w:rtl/>
          <w:lang w:bidi="he-IL"/>
        </w:rPr>
        <w:t>כבלועה</w:t>
      </w:r>
      <w:r w:rsidRPr="00400C0B">
        <w:rPr>
          <w:rFonts w:cs="Guttman Rashi"/>
          <w:rtl/>
          <w:lang w:bidi="he-IL"/>
        </w:rPr>
        <w:t xml:space="preserve"> </w:t>
      </w:r>
      <w:r w:rsidRPr="00400C0B">
        <w:rPr>
          <w:rFonts w:cs="Guttman Rashi" w:hint="eastAsia"/>
          <w:rtl/>
          <w:lang w:bidi="he-IL"/>
        </w:rPr>
        <w:t>עצמה</w:t>
      </w:r>
      <w:r w:rsidRPr="00400C0B">
        <w:rPr>
          <w:rFonts w:cs="Guttman Rashi"/>
          <w:rtl/>
          <w:lang w:bidi="he-IL"/>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דטעמ</w:t>
      </w:r>
      <w:r w:rsidRPr="00400C0B">
        <w:rPr>
          <w:rFonts w:cs="Guttman Rashi"/>
          <w:rtl/>
          <w:lang w:bidi="he-IL"/>
        </w:rPr>
        <w:t xml:space="preserve">' </w:t>
      </w:r>
      <w:r w:rsidRPr="00400C0B">
        <w:rPr>
          <w:rFonts w:cs="Guttman Rashi" w:hint="eastAsia"/>
          <w:rtl/>
          <w:lang w:bidi="he-IL"/>
        </w:rPr>
        <w:t>דבליעת</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דאפשר</w:t>
      </w:r>
      <w:r w:rsidRPr="00400C0B">
        <w:rPr>
          <w:rFonts w:cs="Guttman Rashi"/>
          <w:rtl/>
          <w:lang w:bidi="he-IL"/>
        </w:rPr>
        <w:t xml:space="preserve"> </w:t>
      </w:r>
      <w:r w:rsidRPr="00400C0B">
        <w:rPr>
          <w:rFonts w:cs="Guttman Rashi" w:hint="eastAsia"/>
          <w:rtl/>
          <w:lang w:bidi="he-IL"/>
        </w:rPr>
        <w:t>לסוחטו</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פירוש</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היה</w:t>
      </w:r>
      <w:r w:rsidRPr="00400C0B">
        <w:rPr>
          <w:rFonts w:cs="Guttman Rashi"/>
          <w:rtl/>
          <w:lang w:bidi="he-IL"/>
        </w:rPr>
        <w:t xml:space="preserve"> </w:t>
      </w:r>
      <w:r w:rsidRPr="00400C0B">
        <w:rPr>
          <w:rFonts w:cs="Guttman Rashi" w:hint="eastAsia"/>
          <w:rtl/>
          <w:lang w:bidi="he-IL"/>
        </w:rPr>
        <w:t>יכול</w:t>
      </w:r>
      <w:r w:rsidRPr="00400C0B">
        <w:rPr>
          <w:rFonts w:cs="Guttman Rashi"/>
          <w:rtl/>
          <w:lang w:bidi="he-IL"/>
        </w:rPr>
        <w:t xml:space="preserve"> </w:t>
      </w:r>
      <w:r w:rsidRPr="00400C0B">
        <w:rPr>
          <w:rFonts w:cs="Guttman Rashi" w:hint="eastAsia"/>
          <w:rtl/>
          <w:lang w:bidi="he-IL"/>
        </w:rPr>
        <w:t>לסחוט</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הנבלע</w:t>
      </w:r>
      <w:r w:rsidRPr="00400C0B">
        <w:rPr>
          <w:rFonts w:cs="Guttman Rashi"/>
          <w:rtl/>
          <w:lang w:bidi="he-IL"/>
        </w:rPr>
        <w:t xml:space="preserve"> </w:t>
      </w:r>
      <w:r w:rsidRPr="00400C0B">
        <w:rPr>
          <w:rFonts w:cs="Guttman Rashi" w:hint="eastAsia"/>
          <w:rtl/>
          <w:lang w:bidi="he-IL"/>
        </w:rPr>
        <w:t>חוץ</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היה</w:t>
      </w:r>
      <w:r w:rsidRPr="00400C0B">
        <w:rPr>
          <w:rFonts w:cs="Guttman Rashi"/>
          <w:rtl/>
          <w:lang w:bidi="he-IL"/>
        </w:rPr>
        <w:t xml:space="preserve"> </w:t>
      </w:r>
      <w:r w:rsidRPr="00400C0B">
        <w:rPr>
          <w:rFonts w:cs="Guttman Rashi" w:hint="eastAsia"/>
          <w:rtl/>
          <w:lang w:bidi="he-IL"/>
        </w:rPr>
        <w:t>נשאר</w:t>
      </w:r>
      <w:r w:rsidRPr="00400C0B">
        <w:rPr>
          <w:rFonts w:cs="Guttman Rashi"/>
          <w:rtl/>
          <w:lang w:bidi="he-IL"/>
        </w:rPr>
        <w:t xml:space="preserve"> </w:t>
      </w:r>
      <w:r w:rsidRPr="00400C0B">
        <w:rPr>
          <w:rFonts w:cs="Guttman Rashi" w:hint="eastAsia"/>
          <w:rtl/>
          <w:lang w:bidi="he-IL"/>
        </w:rPr>
        <w:t>בו</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מכל</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אסורה</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לעולם</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שחל</w:t>
      </w:r>
      <w:r w:rsidRPr="00400C0B">
        <w:rPr>
          <w:rFonts w:cs="Guttman Rashi"/>
          <w:rtl/>
          <w:lang w:bidi="he-IL"/>
        </w:rPr>
        <w:t xml:space="preserve"> </w:t>
      </w:r>
      <w:r w:rsidRPr="00400C0B">
        <w:rPr>
          <w:rFonts w:cs="Guttman Rashi" w:hint="eastAsia"/>
          <w:rtl/>
          <w:lang w:bidi="he-IL"/>
        </w:rPr>
        <w:t>עליה</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שעה</w:t>
      </w:r>
      <w:r w:rsidRPr="00400C0B">
        <w:rPr>
          <w:rFonts w:cs="Guttman Rashi"/>
          <w:rtl/>
          <w:lang w:bidi="he-IL"/>
        </w:rPr>
        <w:t xml:space="preserve"> </w:t>
      </w:r>
      <w:r w:rsidRPr="00400C0B">
        <w:rPr>
          <w:rFonts w:cs="Guttman Rashi" w:hint="eastAsia"/>
          <w:rtl/>
          <w:lang w:bidi="he-IL"/>
        </w:rPr>
        <w:t>אחת</w:t>
      </w:r>
      <w:r w:rsidRPr="00400C0B">
        <w:rPr>
          <w:rFonts w:cs="Guttman Rashi"/>
          <w:rtl/>
          <w:lang w:bidi="he-IL"/>
        </w:rPr>
        <w:t xml:space="preserve"> </w:t>
      </w:r>
      <w:r w:rsidRPr="00400C0B">
        <w:rPr>
          <w:rFonts w:cs="Guttman Rashi" w:hint="eastAsia"/>
          <w:rtl/>
          <w:lang w:bidi="he-IL"/>
        </w:rPr>
        <w:t>וזה</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גבי</w:t>
      </w:r>
      <w:r w:rsidRPr="00400C0B">
        <w:rPr>
          <w:rFonts w:cs="Guttman Rashi"/>
          <w:rtl/>
          <w:lang w:bidi="he-IL"/>
        </w:rPr>
        <w:t xml:space="preserve"> </w:t>
      </w:r>
      <w:r w:rsidRPr="00400C0B">
        <w:rPr>
          <w:rFonts w:cs="Guttman Rashi" w:hint="eastAsia"/>
          <w:rtl/>
          <w:lang w:bidi="he-IL"/>
        </w:rPr>
        <w:t>בליעת</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לבאר</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שאומרים</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איסורים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ומשום</w:t>
      </w:r>
      <w:r w:rsidRPr="00400C0B">
        <w:rPr>
          <w:rFonts w:cs="Guttman Rashi"/>
          <w:rtl/>
          <w:lang w:bidi="he-IL"/>
        </w:rPr>
        <w:t xml:space="preserve"> </w:t>
      </w:r>
      <w:r w:rsidRPr="00400C0B">
        <w:rPr>
          <w:rFonts w:cs="Guttman Rashi" w:hint="eastAsia"/>
          <w:rtl/>
          <w:lang w:bidi="he-IL"/>
        </w:rPr>
        <w:t>דאמרינן</w:t>
      </w:r>
      <w:r w:rsidRPr="00400C0B">
        <w:rPr>
          <w:rFonts w:cs="Guttman Rashi"/>
          <w:rtl/>
          <w:lang w:bidi="he-IL"/>
        </w:rPr>
        <w:t xml:space="preserve"> </w:t>
      </w:r>
      <w:r w:rsidRPr="00400C0B">
        <w:rPr>
          <w:rFonts w:cs="Guttman Rashi" w:hint="eastAsia"/>
          <w:rtl/>
          <w:lang w:bidi="he-IL"/>
        </w:rPr>
        <w:t>נהפך</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ביארנו</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הגראב</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שגדר</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נהפך</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לאכול</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מאכל</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ושהאיסור</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חל</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המאכל</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שכל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כשחל</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לאכלו</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בהיתר</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לאכלו</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נהפך</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p>
  </w:footnote>
  <w:footnote w:id="14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היד</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ומגי</w:t>
      </w:r>
      <w:r w:rsidRPr="00400C0B">
        <w:rPr>
          <w:rFonts w:cs="Guttman Rashi"/>
          <w:rtl/>
          <w:lang w:bidi="he-IL"/>
        </w:rPr>
        <w:t>"</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ומה</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והנלעוק</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כתבתי</w:t>
      </w:r>
      <w:r w:rsidRPr="00400C0B">
        <w:rPr>
          <w:rFonts w:cs="Guttman Rashi"/>
          <w:rtl/>
          <w:lang w:bidi="he-IL"/>
        </w:rPr>
        <w:t xml:space="preserve">. </w:t>
      </w:r>
    </w:p>
  </w:footnote>
  <w:footnote w:id="14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מענין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ושיעור</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p>
  </w:footnote>
  <w:footnote w:id="14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וס</w:t>
      </w:r>
      <w:r w:rsidRPr="00400C0B">
        <w:rPr>
          <w:rFonts w:cs="Guttman Rashi"/>
          <w:rtl/>
          <w:lang w:bidi="he-IL"/>
        </w:rPr>
        <w:t>"</w:t>
      </w:r>
      <w:r w:rsidRPr="00400C0B">
        <w:rPr>
          <w:rFonts w:cs="Guttman Rashi" w:hint="eastAsia"/>
          <w:rtl/>
          <w:lang w:bidi="he-IL"/>
        </w:rPr>
        <w:t>ט</w:t>
      </w:r>
    </w:p>
  </w:footnote>
  <w:footnote w:id="15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 xml:space="preserve">' </w:t>
      </w:r>
      <w:r w:rsidRPr="00400C0B">
        <w:rPr>
          <w:rFonts w:cs="Guttman Rashi" w:hint="eastAsia"/>
          <w:rtl/>
          <w:lang w:bidi="he-IL"/>
        </w:rPr>
        <w:t>מאיר</w:t>
      </w:r>
      <w:r w:rsidRPr="00400C0B">
        <w:rPr>
          <w:rFonts w:cs="Guttman Rashi"/>
          <w:rtl/>
          <w:lang w:bidi="he-IL"/>
        </w:rPr>
        <w:t xml:space="preserve"> </w:t>
      </w:r>
      <w:r w:rsidRPr="00400C0B">
        <w:rPr>
          <w:rFonts w:cs="Guttman Rashi" w:hint="eastAsia"/>
          <w:rtl/>
          <w:lang w:bidi="he-IL"/>
        </w:rPr>
        <w:t>שסובר</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בעלמא</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סרוח</w:t>
      </w:r>
      <w:r w:rsidRPr="00400C0B">
        <w:rPr>
          <w:rFonts w:cs="Guttman Rashi"/>
          <w:rtl/>
          <w:lang w:bidi="he-IL"/>
        </w:rPr>
        <w:t xml:space="preserve"> </w:t>
      </w:r>
      <w:r w:rsidRPr="00400C0B">
        <w:rPr>
          <w:rFonts w:cs="Guttman Rashi" w:hint="eastAsia"/>
          <w:rtl/>
          <w:lang w:bidi="he-IL"/>
        </w:rPr>
        <w:t>מעיקרו</w:t>
      </w:r>
      <w:r w:rsidRPr="00400C0B">
        <w:rPr>
          <w:rFonts w:cs="Guttman Rashi"/>
          <w:rtl/>
          <w:lang w:bidi="he-IL"/>
        </w:rPr>
        <w:t xml:space="preserve"> </w:t>
      </w:r>
      <w:r w:rsidRPr="00400C0B">
        <w:rPr>
          <w:rFonts w:cs="Guttman Rashi" w:hint="eastAsia"/>
          <w:rtl/>
          <w:lang w:bidi="he-IL"/>
        </w:rPr>
        <w:t>וכמש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שבדף</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דא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מהו</w:t>
      </w:r>
      <w:r w:rsidRPr="00400C0B">
        <w:rPr>
          <w:rFonts w:cs="Guttman Rashi"/>
          <w:rtl/>
          <w:lang w:bidi="he-IL"/>
        </w:rPr>
        <w:t xml:space="preserve"> </w:t>
      </w:r>
      <w:r w:rsidRPr="00400C0B">
        <w:rPr>
          <w:rFonts w:cs="Guttman Rashi" w:hint="eastAsia"/>
          <w:rtl/>
          <w:lang w:bidi="he-IL"/>
        </w:rPr>
        <w:t>ההו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בגלל</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הכי</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בכה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וכנ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15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ובשלמא</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אומרים</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איסורים</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שמשו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באיסור</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דאמרינן</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שוב</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איכפת</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sidRPr="00400C0B">
        <w:rPr>
          <w:rFonts w:cs="Guttman Rashi" w:hint="eastAsia"/>
          <w:rtl/>
          <w:lang w:bidi="he-IL"/>
        </w:rPr>
        <w:t>בטעם</w:t>
      </w:r>
      <w:r w:rsidRPr="00400C0B">
        <w:rPr>
          <w:rFonts w:cs="Guttman Rashi"/>
          <w:rtl/>
          <w:lang w:bidi="he-IL"/>
        </w:rPr>
        <w:t xml:space="preserve"> </w:t>
      </w:r>
      <w:r w:rsidRPr="00400C0B">
        <w:rPr>
          <w:rFonts w:cs="Guttman Rashi" w:hint="eastAsia"/>
          <w:rtl/>
          <w:lang w:bidi="he-IL"/>
        </w:rPr>
        <w:t>שאסרו</w:t>
      </w:r>
      <w:r w:rsidRPr="00400C0B">
        <w:rPr>
          <w:rFonts w:cs="Guttman Rashi"/>
          <w:rtl/>
          <w:lang w:bidi="he-IL"/>
        </w:rPr>
        <w:t xml:space="preserve"> .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הבאנו</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בסוף</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שזהו</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 xml:space="preserve">' </w:t>
      </w:r>
      <w:r w:rsidRPr="00400C0B">
        <w:rPr>
          <w:rFonts w:cs="Guttman Rashi" w:hint="eastAsia"/>
          <w:rtl/>
          <w:lang w:bidi="he-IL"/>
        </w:rPr>
        <w:t>אפרים</w:t>
      </w:r>
      <w:r w:rsidRPr="00400C0B">
        <w:rPr>
          <w:rFonts w:cs="Guttman Rashi"/>
          <w:rtl/>
          <w:lang w:bidi="he-IL"/>
        </w:rPr>
        <w:t xml:space="preserve"> </w:t>
      </w:r>
      <w:r w:rsidRPr="00400C0B">
        <w:rPr>
          <w:rFonts w:cs="Guttman Rashi" w:hint="eastAsia"/>
          <w:rtl/>
          <w:lang w:bidi="he-IL"/>
        </w:rPr>
        <w:t>ודעימי</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מא</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p>
  </w:footnote>
  <w:footnote w:id="15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בתוה</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הביאו</w:t>
      </w:r>
      <w:r w:rsidRPr="00400C0B">
        <w:rPr>
          <w:rFonts w:cs="Guttman Rashi"/>
          <w:rtl/>
          <w:lang w:bidi="he-IL"/>
        </w:rPr>
        <w:t xml:space="preserve"> </w:t>
      </w:r>
      <w:r w:rsidRPr="00400C0B">
        <w:rPr>
          <w:rFonts w:cs="Guttman Rashi" w:hint="eastAsia"/>
          <w:rtl/>
          <w:lang w:bidi="he-IL"/>
        </w:rPr>
        <w:t>הב</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ביו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w:t>
      </w:r>
    </w:p>
  </w:footnote>
  <w:footnote w:id="15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מקור</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הראשונים</w:t>
      </w:r>
      <w:r w:rsidRPr="00400C0B">
        <w:rPr>
          <w:rFonts w:cs="Guttman Rashi"/>
          <w:rtl/>
          <w:lang w:bidi="he-IL"/>
        </w:rPr>
        <w:t xml:space="preserve"> </w:t>
      </w:r>
      <w:r w:rsidRPr="00400C0B">
        <w:rPr>
          <w:rFonts w:cs="Guttman Rashi" w:hint="eastAsia"/>
          <w:rtl/>
          <w:lang w:bidi="he-IL"/>
        </w:rPr>
        <w:t>יכול</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דיברו</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בהיתירא</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באיסורא</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שבסמוך</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שזהו</w:t>
      </w:r>
      <w:r w:rsidRPr="00400C0B">
        <w:rPr>
          <w:rFonts w:cs="Guttman Rashi"/>
          <w:rtl/>
          <w:lang w:bidi="he-IL"/>
        </w:rPr>
        <w:t xml:space="preserve"> </w:t>
      </w:r>
      <w:r w:rsidRPr="00400C0B">
        <w:rPr>
          <w:rFonts w:cs="Guttman Rashi" w:hint="eastAsia"/>
          <w:rtl/>
          <w:lang w:bidi="he-IL"/>
        </w:rPr>
        <w:t>היסוד</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שכוונת</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לדידי</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שנ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אינה</w:t>
      </w:r>
      <w:r w:rsidRPr="00400C0B">
        <w:rPr>
          <w:rFonts w:cs="Guttman Rashi"/>
          <w:rtl/>
          <w:lang w:bidi="he-IL"/>
        </w:rPr>
        <w:t xml:space="preserve"> </w:t>
      </w:r>
      <w:r w:rsidRPr="00400C0B">
        <w:rPr>
          <w:rFonts w:cs="Guttman Rashi" w:hint="eastAsia"/>
          <w:rtl/>
          <w:lang w:bidi="he-IL"/>
        </w:rPr>
        <w:t>אסורה</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אינה</w:t>
      </w:r>
      <w:r w:rsidRPr="00400C0B">
        <w:rPr>
          <w:rFonts w:cs="Guttman Rashi"/>
          <w:rtl/>
          <w:lang w:bidi="he-IL"/>
        </w:rPr>
        <w:t xml:space="preserve"> </w:t>
      </w:r>
      <w:r w:rsidRPr="00400C0B">
        <w:rPr>
          <w:rFonts w:cs="Guttman Rashi" w:hint="eastAsia"/>
          <w:rtl/>
          <w:lang w:bidi="he-IL"/>
        </w:rPr>
        <w:t>אוסרת</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שיתבאר</w:t>
      </w:r>
      <w:r w:rsidRPr="00400C0B">
        <w:rPr>
          <w:rFonts w:cs="Guttman Rashi"/>
          <w:rtl/>
          <w:lang w:bidi="he-IL"/>
        </w:rPr>
        <w:t xml:space="preserve"> </w:t>
      </w:r>
      <w:r w:rsidRPr="00400C0B">
        <w:rPr>
          <w:rFonts w:cs="Guttman Rashi" w:hint="eastAsia"/>
          <w:rtl/>
          <w:lang w:bidi="he-IL"/>
        </w:rPr>
        <w:t>בהמשך</w:t>
      </w:r>
      <w:r w:rsidRPr="00400C0B">
        <w:rPr>
          <w:rFonts w:cs="Guttman Rashi"/>
          <w:rtl/>
          <w:lang w:bidi="he-IL"/>
        </w:rPr>
        <w:t xml:space="preserve">. </w:t>
      </w:r>
    </w:p>
  </w:footnote>
  <w:footnote w:id="15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והנה</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שלשיטת</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הכרח</w:t>
      </w:r>
      <w:r w:rsidRPr="00400C0B">
        <w:rPr>
          <w:rFonts w:cs="Guttman Rashi"/>
          <w:rtl/>
          <w:lang w:bidi="he-IL"/>
        </w:rPr>
        <w:t xml:space="preserve">' </w:t>
      </w:r>
      <w:r w:rsidRPr="00400C0B">
        <w:rPr>
          <w:rFonts w:cs="Guttman Rashi" w:hint="eastAsia"/>
          <w:rtl/>
          <w:lang w:bidi="he-IL"/>
        </w:rPr>
        <w:t>שסוברים</w:t>
      </w:r>
      <w:r w:rsidRPr="00400C0B">
        <w:rPr>
          <w:rFonts w:cs="Guttman Rashi"/>
          <w:rtl/>
          <w:lang w:bidi="he-IL"/>
        </w:rPr>
        <w:t xml:space="preserve"> </w:t>
      </w:r>
      <w:r w:rsidRPr="00400C0B">
        <w:rPr>
          <w:rFonts w:cs="Guttman Rashi" w:hint="eastAsia"/>
          <w:rtl/>
          <w:lang w:bidi="he-IL"/>
        </w:rPr>
        <w:t>הכלל</w:t>
      </w:r>
      <w:r w:rsidRPr="00400C0B">
        <w:rPr>
          <w:rFonts w:cs="Guttman Rashi"/>
          <w:rtl/>
          <w:lang w:bidi="he-IL"/>
        </w:rPr>
        <w:t xml:space="preserve"> </w:t>
      </w:r>
      <w:r w:rsidRPr="00400C0B">
        <w:rPr>
          <w:rFonts w:cs="Guttman Rashi" w:hint="eastAsia"/>
          <w:rtl/>
          <w:lang w:bidi="he-IL"/>
        </w:rPr>
        <w:t>דליכא</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בחל</w:t>
      </w:r>
      <w:r w:rsidRPr="00400C0B">
        <w:rPr>
          <w:rFonts w:cs="Guttman Rashi"/>
          <w:rtl/>
          <w:lang w:bidi="he-IL"/>
        </w:rPr>
        <w:t xml:space="preserve"> </w:t>
      </w:r>
      <w:r w:rsidRPr="00400C0B">
        <w:rPr>
          <w:rFonts w:cs="Guttman Rashi" w:hint="eastAsia"/>
          <w:rtl/>
          <w:lang w:bidi="he-IL"/>
        </w:rPr>
        <w:t>באא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הבשר</w:t>
      </w:r>
      <w:r w:rsidRPr="00400C0B">
        <w:rPr>
          <w:rFonts w:cs="Guttman Rashi"/>
          <w:rtl/>
          <w:lang w:bidi="he-IL"/>
        </w:rPr>
        <w:t xml:space="preserve"> </w:t>
      </w:r>
      <w:r w:rsidRPr="00400C0B">
        <w:rPr>
          <w:rFonts w:cs="Guttman Rashi" w:hint="eastAsia"/>
          <w:rtl/>
          <w:lang w:bidi="he-IL"/>
        </w:rPr>
        <w:t>וגם</w:t>
      </w:r>
      <w:r w:rsidRPr="00400C0B">
        <w:rPr>
          <w:rFonts w:cs="Guttman Rashi"/>
          <w:rtl/>
          <w:lang w:bidi="he-IL"/>
        </w:rPr>
        <w:t xml:space="preserve"> </w:t>
      </w:r>
      <w:r w:rsidRPr="00400C0B">
        <w:rPr>
          <w:rFonts w:cs="Guttman Rashi" w:hint="eastAsia"/>
          <w:rtl/>
          <w:lang w:bidi="he-IL"/>
        </w:rPr>
        <w:t>החלב</w:t>
      </w:r>
      <w:r w:rsidRPr="00400C0B">
        <w:rPr>
          <w:rFonts w:cs="Guttman Rashi"/>
          <w:rtl/>
          <w:lang w:bidi="he-IL"/>
        </w:rPr>
        <w:t xml:space="preserve"> </w:t>
      </w:r>
      <w:r w:rsidRPr="00400C0B">
        <w:rPr>
          <w:rFonts w:cs="Guttman Rashi" w:hint="eastAsia"/>
          <w:rtl/>
          <w:lang w:bidi="he-IL"/>
        </w:rPr>
        <w:t>נאסרים</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לית</w:t>
      </w:r>
      <w:r w:rsidRPr="00400C0B">
        <w:rPr>
          <w:rFonts w:cs="Guttman Rashi"/>
          <w:rtl/>
          <w:lang w:bidi="he-IL"/>
        </w:rPr>
        <w:t xml:space="preserve"> </w:t>
      </w:r>
      <w:r w:rsidRPr="00400C0B">
        <w:rPr>
          <w:rFonts w:cs="Guttman Rashi" w:hint="eastAsia"/>
          <w:rtl/>
          <w:lang w:bidi="he-IL"/>
        </w:rPr>
        <w:t>להו</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היו</w:t>
      </w:r>
      <w:r w:rsidRPr="00400C0B">
        <w:rPr>
          <w:rFonts w:cs="Guttman Rashi"/>
          <w:rtl/>
          <w:lang w:bidi="he-IL"/>
        </w:rPr>
        <w:t xml:space="preserve"> </w:t>
      </w:r>
      <w:r w:rsidRPr="00400C0B">
        <w:rPr>
          <w:rFonts w:cs="Guttman Rashi" w:hint="eastAsia"/>
          <w:rtl/>
          <w:lang w:bidi="he-IL"/>
        </w:rPr>
        <w:t>צריכם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דשאני</w:t>
      </w:r>
      <w:r w:rsidRPr="00400C0B">
        <w:rPr>
          <w:rFonts w:cs="Guttman Rashi"/>
          <w:rtl/>
          <w:lang w:bidi="he-IL"/>
        </w:rPr>
        <w:t xml:space="preserve"> </w:t>
      </w:r>
      <w:r w:rsidRPr="00400C0B">
        <w:rPr>
          <w:rFonts w:cs="Guttman Rashi" w:hint="eastAsia"/>
          <w:rtl/>
          <w:lang w:bidi="he-IL"/>
        </w:rPr>
        <w:t>התם</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בהיתר</w:t>
      </w:r>
      <w:r w:rsidRPr="00400C0B">
        <w:rPr>
          <w:rFonts w:cs="Guttman Rashi"/>
          <w:rtl/>
          <w:lang w:bidi="he-IL"/>
        </w:rPr>
        <w:t xml:space="preserve"> </w:t>
      </w:r>
      <w:r w:rsidRPr="00400C0B">
        <w:rPr>
          <w:rFonts w:cs="Guttman Rashi" w:hint="eastAsia"/>
          <w:rtl/>
          <w:lang w:bidi="he-IL"/>
        </w:rPr>
        <w:t>מקודם</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שהטעם</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שהטעם</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אוסרת</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הבשר</w:t>
      </w:r>
      <w:r w:rsidRPr="00400C0B">
        <w:rPr>
          <w:rFonts w:cs="Guttman Rashi"/>
          <w:rtl/>
          <w:lang w:bidi="he-IL"/>
        </w:rPr>
        <w:t xml:space="preserve"> </w:t>
      </w:r>
      <w:r w:rsidRPr="00400C0B">
        <w:rPr>
          <w:rFonts w:cs="Guttman Rashi" w:hint="eastAsia"/>
          <w:rtl/>
          <w:lang w:bidi="he-IL"/>
        </w:rPr>
        <w:t>שבקדרה</w:t>
      </w:r>
      <w:r w:rsidRPr="00400C0B">
        <w:rPr>
          <w:rFonts w:cs="Guttman Rashi"/>
          <w:rtl/>
          <w:lang w:bidi="he-IL"/>
        </w:rPr>
        <w:t xml:space="preserve"> </w:t>
      </w:r>
      <w:r w:rsidRPr="00400C0B">
        <w:rPr>
          <w:rFonts w:cs="Guttman Rashi" w:hint="eastAsia"/>
          <w:rtl/>
          <w:lang w:bidi="he-IL"/>
        </w:rPr>
        <w:t>והכל</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ראשון</w:t>
      </w:r>
      <w:r w:rsidRPr="00400C0B">
        <w:rPr>
          <w:rFonts w:cs="Guttman Rashi"/>
          <w:rtl/>
          <w:lang w:bidi="he-IL"/>
        </w:rPr>
        <w:t xml:space="preserve"> </w:t>
      </w:r>
      <w:r w:rsidRPr="00400C0B">
        <w:rPr>
          <w:rFonts w:cs="Guttman Rashi" w:hint="eastAsia"/>
          <w:rtl/>
          <w:lang w:bidi="he-IL"/>
        </w:rPr>
        <w:t>ומשו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הכל</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הוכחה</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מודים</w:t>
      </w:r>
      <w:r w:rsidRPr="00400C0B">
        <w:rPr>
          <w:rFonts w:cs="Guttman Rashi"/>
          <w:rtl/>
          <w:lang w:bidi="he-IL"/>
        </w:rPr>
        <w:t xml:space="preserve"> </w:t>
      </w:r>
      <w:r w:rsidRPr="00400C0B">
        <w:rPr>
          <w:rFonts w:cs="Guttman Rashi" w:hint="eastAsia"/>
          <w:rtl/>
          <w:lang w:bidi="he-IL"/>
        </w:rPr>
        <w:t>לרמב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 xml:space="preserve"> </w:t>
      </w:r>
      <w:r w:rsidRPr="00400C0B">
        <w:rPr>
          <w:rFonts w:cs="Guttman Rashi" w:hint="eastAsia"/>
          <w:rtl/>
          <w:lang w:bidi="he-IL"/>
        </w:rPr>
        <w:t>בדוחק</w:t>
      </w:r>
      <w:r w:rsidRPr="00400C0B">
        <w:rPr>
          <w:rFonts w:cs="Guttman Rashi"/>
          <w:rtl/>
          <w:lang w:bidi="he-IL"/>
        </w:rPr>
        <w:t xml:space="preserve"> </w:t>
      </w:r>
      <w:r w:rsidRPr="00400C0B">
        <w:rPr>
          <w:rFonts w:cs="Guttman Rashi" w:hint="eastAsia"/>
          <w:rtl/>
          <w:lang w:bidi="he-IL"/>
        </w:rPr>
        <w:t>דאה</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להתיר</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הביאו</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שני</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נכון</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חזו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ססי</w:t>
      </w:r>
      <w:r w:rsidRPr="00400C0B">
        <w:rPr>
          <w:rFonts w:cs="Guttman Rashi"/>
          <w:rtl/>
          <w:lang w:bidi="he-IL"/>
        </w:rPr>
        <w:t xml:space="preserve">' </w:t>
      </w:r>
      <w:r w:rsidRPr="00400C0B">
        <w:rPr>
          <w:rFonts w:cs="Guttman Rashi" w:hint="eastAsia"/>
          <w:rtl/>
          <w:lang w:bidi="he-IL"/>
        </w:rPr>
        <w:t>ט</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דן</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ומסקנתו</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שהתוס</w:t>
      </w:r>
      <w:r w:rsidRPr="00400C0B">
        <w:rPr>
          <w:rFonts w:cs="Guttman Rashi"/>
          <w:rtl/>
          <w:lang w:bidi="he-IL"/>
        </w:rPr>
        <w:t xml:space="preserve">' </w:t>
      </w:r>
      <w:r w:rsidRPr="00400C0B">
        <w:rPr>
          <w:rFonts w:cs="Guttman Rashi" w:hint="eastAsia"/>
          <w:rtl/>
          <w:lang w:bidi="he-IL"/>
        </w:rPr>
        <w:t>מודים</w:t>
      </w:r>
      <w:r w:rsidRPr="00400C0B">
        <w:rPr>
          <w:rFonts w:cs="Guttman Rashi"/>
          <w:rtl/>
          <w:lang w:bidi="he-IL"/>
        </w:rPr>
        <w:t xml:space="preserve"> </w:t>
      </w:r>
      <w:r w:rsidRPr="00400C0B">
        <w:rPr>
          <w:rFonts w:cs="Guttman Rashi" w:hint="eastAsia"/>
          <w:rtl/>
          <w:lang w:bidi="he-IL"/>
        </w:rPr>
        <w:t>לרמב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טעמו</w:t>
      </w:r>
      <w:r w:rsidRPr="00400C0B">
        <w:rPr>
          <w:rFonts w:cs="Guttman Rashi"/>
          <w:rtl/>
          <w:lang w:bidi="he-IL"/>
        </w:rPr>
        <w:t xml:space="preserve">. </w:t>
      </w:r>
    </w:p>
    <w:p w:rsidR="007978F4" w:rsidRPr="00400C0B" w:rsidRDefault="007978F4" w:rsidP="00B80448">
      <w:pPr>
        <w:pStyle w:val="FootnoteText"/>
        <w:bidi/>
        <w:jc w:val="both"/>
        <w:rPr>
          <w:rFonts w:cs="Guttman Rashi"/>
          <w:rtl/>
          <w:lang w:bidi="he-IL"/>
        </w:rPr>
      </w:pP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חולקים</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יסוד</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מחלוקת</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גופא</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בעינן</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תרוייהו</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חד</w:t>
      </w:r>
      <w:r w:rsidRPr="00400C0B">
        <w:rPr>
          <w:rFonts w:cs="Guttman Rashi"/>
          <w:rtl/>
          <w:lang w:bidi="he-IL"/>
        </w:rPr>
        <w:t xml:space="preserve"> </w:t>
      </w:r>
      <w:r w:rsidRPr="00400C0B">
        <w:rPr>
          <w:rFonts w:cs="Guttman Rashi" w:hint="eastAsia"/>
          <w:rtl/>
          <w:lang w:bidi="he-IL"/>
        </w:rPr>
        <w:t>מינייהו</w:t>
      </w:r>
      <w:r w:rsidRPr="00400C0B">
        <w:rPr>
          <w:rFonts w:cs="Guttman Rashi"/>
          <w:rtl/>
          <w:lang w:bidi="he-IL"/>
        </w:rPr>
        <w:t xml:space="preserve"> </w:t>
      </w:r>
      <w:r w:rsidRPr="00400C0B">
        <w:rPr>
          <w:rFonts w:cs="Guttman Rashi" w:hint="eastAsia"/>
          <w:rtl/>
          <w:lang w:bidi="he-IL"/>
        </w:rPr>
        <w:t>סגי</w:t>
      </w:r>
      <w:r w:rsidRPr="00400C0B">
        <w:rPr>
          <w:rFonts w:cs="Guttman Rashi"/>
          <w:rtl/>
          <w:lang w:bidi="he-IL"/>
        </w:rPr>
        <w:t xml:space="preserve">. </w:t>
      </w:r>
      <w:r w:rsidRPr="00400C0B">
        <w:rPr>
          <w:rFonts w:cs="Guttman Rashi" w:hint="eastAsia"/>
          <w:rtl/>
          <w:lang w:bidi="he-IL"/>
        </w:rPr>
        <w:t>ואיכא</w:t>
      </w:r>
      <w:r w:rsidRPr="00400C0B">
        <w:rPr>
          <w:rFonts w:cs="Guttman Rashi"/>
          <w:rtl/>
          <w:lang w:bidi="he-IL"/>
        </w:rPr>
        <w:t xml:space="preserve"> </w:t>
      </w:r>
      <w:r w:rsidRPr="00400C0B">
        <w:rPr>
          <w:rFonts w:cs="Guttman Rashi" w:hint="eastAsia"/>
          <w:rtl/>
          <w:lang w:bidi="he-IL"/>
        </w:rPr>
        <w:t>למימר</w:t>
      </w:r>
      <w:r w:rsidRPr="00400C0B">
        <w:rPr>
          <w:rFonts w:cs="Guttman Rashi"/>
          <w:rtl/>
          <w:lang w:bidi="he-IL"/>
        </w:rPr>
        <w:t xml:space="preserve"> </w:t>
      </w:r>
      <w:r w:rsidRPr="00400C0B">
        <w:rPr>
          <w:rFonts w:cs="Guttman Rashi" w:hint="eastAsia"/>
          <w:rtl/>
          <w:lang w:bidi="he-IL"/>
        </w:rPr>
        <w:t>תו</w:t>
      </w:r>
      <w:r w:rsidRPr="00400C0B">
        <w:rPr>
          <w:rFonts w:cs="Guttman Rashi"/>
          <w:rtl/>
          <w:lang w:bidi="he-IL"/>
        </w:rPr>
        <w:t xml:space="preserve"> </w:t>
      </w:r>
      <w:r w:rsidRPr="00400C0B">
        <w:rPr>
          <w:rFonts w:cs="Guttman Rashi" w:hint="eastAsia"/>
          <w:rtl/>
          <w:lang w:bidi="he-IL"/>
        </w:rPr>
        <w:t>שנחלקו</w:t>
      </w:r>
      <w:r w:rsidRPr="00400C0B">
        <w:rPr>
          <w:rFonts w:cs="Guttman Rashi"/>
          <w:rtl/>
          <w:lang w:bidi="he-IL"/>
        </w:rPr>
        <w:t xml:space="preserve"> </w:t>
      </w:r>
      <w:r w:rsidRPr="00400C0B">
        <w:rPr>
          <w:rFonts w:cs="Guttman Rashi" w:hint="eastAsia"/>
          <w:rtl/>
          <w:lang w:bidi="he-IL"/>
        </w:rPr>
        <w:t>ביסוד</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יסוד</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שא</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שהשני</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יסוד</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תערובת</w:t>
      </w:r>
      <w:r w:rsidRPr="00400C0B">
        <w:rPr>
          <w:rFonts w:cs="Guttman Rashi"/>
          <w:rtl/>
          <w:lang w:bidi="he-IL"/>
        </w:rPr>
        <w:t xml:space="preserve"> </w:t>
      </w:r>
      <w:r w:rsidRPr="00400C0B">
        <w:rPr>
          <w:rFonts w:cs="Guttman Rashi" w:hint="eastAsia"/>
          <w:rtl/>
          <w:lang w:bidi="he-IL"/>
        </w:rPr>
        <w:t>הטעמים</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שא</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סוף</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שחייבים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כמהלך</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שליכא</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אא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תרוייהו</w:t>
      </w:r>
      <w:r w:rsidRPr="00400C0B">
        <w:rPr>
          <w:rFonts w:cs="Guttman Rashi"/>
          <w:rtl/>
          <w:lang w:bidi="he-IL"/>
        </w:rPr>
        <w:t xml:space="preserve"> </w:t>
      </w:r>
      <w:r w:rsidRPr="00400C0B">
        <w:rPr>
          <w:rFonts w:cs="Guttman Rashi" w:hint="eastAsia"/>
          <w:rtl/>
          <w:lang w:bidi="he-IL"/>
        </w:rPr>
        <w:t>נאסרים</w:t>
      </w:r>
      <w:r w:rsidRPr="00400C0B">
        <w:rPr>
          <w:rFonts w:cs="Guttman Rashi"/>
          <w:rtl/>
          <w:lang w:bidi="he-IL"/>
        </w:rPr>
        <w:t xml:space="preserve">.  </w:t>
      </w:r>
    </w:p>
  </w:footnote>
  <w:footnote w:id="15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ולפמש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היד</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שקלישות</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בא</w:t>
      </w:r>
      <w:r w:rsidRPr="00400C0B">
        <w:rPr>
          <w:rFonts w:cs="Guttman Rashi"/>
          <w:rtl/>
          <w:lang w:bidi="he-IL"/>
        </w:rPr>
        <w:t xml:space="preserve"> </w:t>
      </w:r>
      <w:r w:rsidRPr="00400C0B">
        <w:rPr>
          <w:rFonts w:cs="Guttman Rashi" w:hint="eastAsia"/>
          <w:rtl/>
          <w:lang w:bidi="he-IL"/>
        </w:rPr>
        <w:t>ממקום</w:t>
      </w:r>
      <w:r w:rsidRPr="00400C0B">
        <w:rPr>
          <w:rFonts w:cs="Guttman Rashi"/>
          <w:rtl/>
          <w:lang w:bidi="he-IL"/>
        </w:rPr>
        <w:t xml:space="preserve"> </w:t>
      </w:r>
      <w:r w:rsidRPr="00400C0B">
        <w:rPr>
          <w:rFonts w:cs="Guttman Rashi" w:hint="eastAsia"/>
          <w:rtl/>
          <w:lang w:bidi="he-IL"/>
        </w:rPr>
        <w:t>חדש</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להסתפק</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דיתכן</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שנכנס</w:t>
      </w:r>
      <w:r w:rsidRPr="00400C0B">
        <w:rPr>
          <w:rFonts w:cs="Guttman Rashi"/>
          <w:rtl/>
          <w:lang w:bidi="he-IL"/>
        </w:rPr>
        <w:t xml:space="preserve"> </w:t>
      </w:r>
      <w:r w:rsidRPr="00400C0B">
        <w:rPr>
          <w:rFonts w:cs="Guttman Rashi" w:hint="eastAsia"/>
          <w:rtl/>
          <w:lang w:bidi="he-IL"/>
        </w:rPr>
        <w:t>למקום</w:t>
      </w:r>
      <w:r w:rsidRPr="00400C0B">
        <w:rPr>
          <w:rFonts w:cs="Guttman Rashi"/>
          <w:rtl/>
          <w:lang w:bidi="he-IL"/>
        </w:rPr>
        <w:t xml:space="preserve"> </w:t>
      </w:r>
      <w:r w:rsidRPr="00400C0B">
        <w:rPr>
          <w:rFonts w:cs="Guttman Rashi" w:hint="eastAsia"/>
          <w:rtl/>
          <w:lang w:bidi="he-IL"/>
        </w:rPr>
        <w:t>חדש</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נשאר</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נקלש</w:t>
      </w:r>
      <w:r w:rsidRPr="00400C0B">
        <w:rPr>
          <w:rFonts w:cs="Guttman Rashi"/>
          <w:rtl/>
          <w:lang w:bidi="he-IL"/>
        </w:rPr>
        <w:t>.</w:t>
      </w:r>
    </w:p>
  </w:footnote>
  <w:footnote w:id="15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יעוין</w:t>
      </w:r>
      <w:r w:rsidRPr="00400C0B">
        <w:rPr>
          <w:rFonts w:cs="Guttman Rashi"/>
          <w:rtl/>
          <w:lang w:bidi="he-IL"/>
        </w:rPr>
        <w:t xml:space="preserve"> </w:t>
      </w:r>
      <w:r w:rsidRPr="00400C0B">
        <w:rPr>
          <w:rFonts w:cs="Guttman Rashi" w:hint="eastAsia"/>
          <w:rtl/>
          <w:lang w:bidi="he-IL"/>
        </w:rPr>
        <w:t>במ</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תנ</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שלענין</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הכלל</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מים</w:t>
      </w:r>
      <w:r w:rsidRPr="00400C0B">
        <w:rPr>
          <w:rFonts w:cs="Guttman Rashi"/>
          <w:rtl/>
          <w:lang w:bidi="he-IL"/>
        </w:rPr>
        <w:t xml:space="preserve"> </w:t>
      </w:r>
      <w:r w:rsidRPr="00400C0B">
        <w:rPr>
          <w:rFonts w:cs="Guttman Rashi" w:hint="eastAsia"/>
          <w:rtl/>
          <w:lang w:bidi="he-IL"/>
        </w:rPr>
        <w:t>מקדמין</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דהתם</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ששכבה</w:t>
      </w:r>
      <w:r w:rsidRPr="00400C0B">
        <w:rPr>
          <w:rFonts w:cs="Guttman Rashi"/>
          <w:rtl/>
          <w:lang w:bidi="he-IL"/>
        </w:rPr>
        <w:t xml:space="preserve"> </w:t>
      </w:r>
      <w:r w:rsidRPr="00400C0B">
        <w:rPr>
          <w:rFonts w:cs="Guttman Rashi" w:hint="eastAsia"/>
          <w:rtl/>
          <w:lang w:bidi="he-IL"/>
        </w:rPr>
        <w:t>דקה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בכחה</w:t>
      </w:r>
      <w:r w:rsidRPr="00400C0B">
        <w:rPr>
          <w:rFonts w:cs="Guttman Rashi"/>
          <w:rtl/>
          <w:lang w:bidi="he-IL"/>
        </w:rPr>
        <w:t xml:space="preserve"> </w:t>
      </w:r>
      <w:r w:rsidRPr="00400C0B">
        <w:rPr>
          <w:rFonts w:cs="Guttman Rashi" w:hint="eastAsia"/>
          <w:rtl/>
          <w:lang w:bidi="he-IL"/>
        </w:rPr>
        <w:t>להוציא</w:t>
      </w:r>
      <w:r w:rsidRPr="00400C0B">
        <w:rPr>
          <w:rFonts w:cs="Guttman Rashi"/>
          <w:rtl/>
          <w:lang w:bidi="he-IL"/>
        </w:rPr>
        <w:t xml:space="preserve"> </w:t>
      </w:r>
      <w:r w:rsidRPr="00400C0B">
        <w:rPr>
          <w:rFonts w:cs="Guttman Rashi" w:hint="eastAsia"/>
          <w:rtl/>
          <w:lang w:bidi="he-IL"/>
        </w:rPr>
        <w:t>בליעות</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שמים</w:t>
      </w:r>
      <w:r w:rsidRPr="00400C0B">
        <w:rPr>
          <w:rFonts w:cs="Guttman Rashi"/>
          <w:rtl/>
          <w:lang w:bidi="he-IL"/>
        </w:rPr>
        <w:t xml:space="preserve"> </w:t>
      </w:r>
      <w:r w:rsidRPr="00400C0B">
        <w:rPr>
          <w:rFonts w:cs="Guttman Rashi" w:hint="eastAsia"/>
          <w:rtl/>
          <w:lang w:bidi="he-IL"/>
        </w:rPr>
        <w:t>מיהת</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הקלשה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שכבה</w:t>
      </w:r>
      <w:r w:rsidRPr="00400C0B">
        <w:rPr>
          <w:rFonts w:cs="Guttman Rashi"/>
          <w:rtl/>
          <w:lang w:bidi="he-IL"/>
        </w:rPr>
        <w:t xml:space="preserve"> </w:t>
      </w:r>
      <w:r w:rsidRPr="00400C0B">
        <w:rPr>
          <w:rFonts w:cs="Guttman Rashi" w:hint="eastAsia"/>
          <w:rtl/>
          <w:lang w:bidi="he-IL"/>
        </w:rPr>
        <w:t>דקה</w:t>
      </w:r>
      <w:r w:rsidRPr="00400C0B">
        <w:rPr>
          <w:rFonts w:cs="Guttman Rashi"/>
          <w:rtl/>
          <w:lang w:bidi="he-IL"/>
        </w:rPr>
        <w:t xml:space="preserve"> </w:t>
      </w:r>
      <w:r w:rsidRPr="00400C0B">
        <w:rPr>
          <w:rFonts w:cs="Guttman Rashi" w:hint="eastAsia"/>
          <w:rtl/>
          <w:lang w:bidi="he-IL"/>
        </w:rPr>
        <w:t>מספיקה</w:t>
      </w:r>
      <w:r w:rsidRPr="00400C0B">
        <w:rPr>
          <w:rFonts w:cs="Guttman Rashi"/>
          <w:rtl/>
          <w:lang w:bidi="he-IL"/>
        </w:rPr>
        <w:t xml:space="preserve">.  </w:t>
      </w:r>
    </w:p>
  </w:footnote>
  <w:footnote w:id="15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NOTEREF</w:instrText>
      </w:r>
      <w:r w:rsidRPr="00400C0B">
        <w:rPr>
          <w:rFonts w:cs="Guttman Rashi"/>
          <w:rtl/>
          <w:lang w:bidi="he-IL"/>
        </w:rPr>
        <w:instrText xml:space="preserve"> _</w:instrText>
      </w:r>
      <w:r w:rsidRPr="00400C0B">
        <w:rPr>
          <w:rFonts w:cs="Guttman Rashi"/>
          <w:lang w:bidi="he-IL"/>
        </w:rPr>
        <w:instrText>Ref456347347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283</w:t>
      </w:r>
      <w:r w:rsidRPr="00400C0B">
        <w:rPr>
          <w:rFonts w:cs="Guttman Rashi"/>
          <w:rtl/>
          <w:lang w:bidi="he-IL"/>
        </w:rPr>
        <w:fldChar w:fldCharType="end"/>
      </w:r>
      <w:r w:rsidRPr="00400C0B">
        <w:rPr>
          <w:rFonts w:cs="Guttman Rashi"/>
          <w:rtl/>
          <w:lang w:bidi="he-IL"/>
        </w:rPr>
        <w:t xml:space="preserve"> </w:t>
      </w:r>
      <w:r w:rsidRPr="00400C0B">
        <w:rPr>
          <w:rFonts w:cs="Guttman Rashi" w:hint="eastAsia"/>
          <w:rtl/>
          <w:lang w:bidi="he-IL"/>
        </w:rPr>
        <w:t>שהבאנו</w:t>
      </w:r>
      <w:r w:rsidRPr="00400C0B">
        <w:rPr>
          <w:rFonts w:cs="Guttman Rashi"/>
          <w:rtl/>
          <w:lang w:bidi="he-IL"/>
        </w:rPr>
        <w:t xml:space="preserve"> </w:t>
      </w:r>
      <w:r w:rsidRPr="00400C0B">
        <w:rPr>
          <w:rFonts w:cs="Guttman Rashi" w:hint="eastAsia"/>
          <w:rtl/>
          <w:lang w:bidi="he-IL"/>
        </w:rPr>
        <w:t>מחוו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רסי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שמדויק</w:t>
      </w:r>
      <w:r w:rsidRPr="00400C0B">
        <w:rPr>
          <w:rFonts w:cs="Guttman Rashi"/>
          <w:rtl/>
          <w:lang w:bidi="he-IL"/>
        </w:rPr>
        <w:t xml:space="preserve"> </w:t>
      </w:r>
      <w:r w:rsidRPr="00400C0B">
        <w:rPr>
          <w:rFonts w:cs="Guttman Rashi" w:hint="eastAsia"/>
          <w:rtl/>
          <w:lang w:bidi="he-IL"/>
        </w:rPr>
        <w:t>מדבריו</w:t>
      </w:r>
      <w:r w:rsidRPr="00400C0B">
        <w:rPr>
          <w:rFonts w:cs="Guttman Rashi"/>
          <w:rtl/>
          <w:lang w:bidi="he-IL"/>
        </w:rPr>
        <w:t xml:space="preserve"> </w:t>
      </w:r>
      <w:r w:rsidRPr="00400C0B">
        <w:rPr>
          <w:rFonts w:cs="Guttman Rashi" w:hint="eastAsia"/>
          <w:rtl/>
          <w:lang w:bidi="he-IL"/>
        </w:rPr>
        <w:t>שנ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כח</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w:t>
      </w:r>
    </w:p>
  </w:footnote>
  <w:footnote w:id="15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להדגיש</w:t>
      </w:r>
      <w:r w:rsidRPr="00400C0B">
        <w:rPr>
          <w:rFonts w:cs="Guttman Rashi"/>
          <w:rtl/>
          <w:lang w:bidi="he-IL"/>
        </w:rPr>
        <w:t xml:space="preserve"> </w:t>
      </w:r>
      <w:r w:rsidRPr="00400C0B">
        <w:rPr>
          <w:rFonts w:cs="Guttman Rashi" w:hint="eastAsia"/>
          <w:rtl/>
          <w:lang w:bidi="he-IL"/>
        </w:rPr>
        <w:t>שקושיא</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אינה</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נגד</w:t>
      </w:r>
      <w:r w:rsidRPr="00400C0B">
        <w:rPr>
          <w:rFonts w:cs="Guttman Rashi"/>
          <w:rtl/>
          <w:lang w:bidi="he-IL"/>
        </w:rPr>
        <w:t xml:space="preserve"> </w:t>
      </w:r>
      <w:r w:rsidRPr="00400C0B">
        <w:rPr>
          <w:rFonts w:cs="Guttman Rashi" w:hint="eastAsia"/>
          <w:rtl/>
          <w:lang w:bidi="he-IL"/>
        </w:rPr>
        <w:t>השיטה</w:t>
      </w:r>
      <w:r w:rsidRPr="00400C0B">
        <w:rPr>
          <w:rFonts w:cs="Guttman Rashi"/>
          <w:rtl/>
          <w:lang w:bidi="he-IL"/>
        </w:rPr>
        <w:t xml:space="preserve"> </w:t>
      </w:r>
      <w:r w:rsidRPr="00400C0B">
        <w:rPr>
          <w:rFonts w:cs="Guttman Rashi" w:hint="eastAsia"/>
          <w:rtl/>
          <w:lang w:bidi="he-IL"/>
        </w:rPr>
        <w:t>המחמירה</w:t>
      </w:r>
      <w:r w:rsidRPr="00400C0B">
        <w:rPr>
          <w:rFonts w:cs="Guttman Rashi"/>
          <w:rtl/>
          <w:lang w:bidi="he-IL"/>
        </w:rPr>
        <w:t xml:space="preserve"> </w:t>
      </w:r>
      <w:r w:rsidRPr="00400C0B">
        <w:rPr>
          <w:rFonts w:cs="Guttman Rashi" w:hint="eastAsia"/>
          <w:rtl/>
          <w:lang w:bidi="he-IL"/>
        </w:rPr>
        <w:t>בנתבשלו</w:t>
      </w:r>
      <w:r w:rsidRPr="00400C0B">
        <w:rPr>
          <w:rFonts w:cs="Guttman Rashi"/>
          <w:rtl/>
          <w:lang w:bidi="he-IL"/>
        </w:rPr>
        <w:t xml:space="preserve"> </w:t>
      </w:r>
      <w:r w:rsidRPr="00400C0B">
        <w:rPr>
          <w:rFonts w:cs="Guttman Rashi" w:hint="eastAsia"/>
          <w:rtl/>
          <w:lang w:bidi="he-IL"/>
        </w:rPr>
        <w:t>מכמה</w:t>
      </w:r>
      <w:r w:rsidRPr="00400C0B">
        <w:rPr>
          <w:rFonts w:cs="Guttman Rashi"/>
          <w:rtl/>
          <w:lang w:bidi="he-IL"/>
        </w:rPr>
        <w:t xml:space="preserve"> </w:t>
      </w:r>
      <w:r w:rsidRPr="00400C0B">
        <w:rPr>
          <w:rFonts w:cs="Guttman Rashi" w:hint="eastAsia"/>
          <w:rtl/>
          <w:lang w:bidi="he-IL"/>
        </w:rPr>
        <w:t>טעמים</w:t>
      </w:r>
      <w:r w:rsidRPr="00400C0B">
        <w:rPr>
          <w:rFonts w:cs="Guttman Rashi"/>
          <w:rtl/>
          <w:lang w:bidi="he-IL"/>
        </w:rPr>
        <w:t xml:space="preserve">. </w:t>
      </w:r>
      <w:r w:rsidRPr="00400C0B">
        <w:rPr>
          <w:rFonts w:cs="Guttman Rashi" w:hint="eastAsia"/>
          <w:rtl/>
          <w:lang w:bidi="he-IL"/>
        </w:rPr>
        <w:t>חדא</w:t>
      </w:r>
      <w:r w:rsidRPr="00400C0B">
        <w:rPr>
          <w:rFonts w:cs="Guttman Rashi"/>
          <w:rtl/>
          <w:lang w:bidi="he-IL"/>
        </w:rPr>
        <w:t xml:space="preserve"> </w:t>
      </w:r>
      <w:r w:rsidRPr="00400C0B">
        <w:rPr>
          <w:rFonts w:cs="Guttman Rashi" w:hint="eastAsia"/>
          <w:rtl/>
          <w:lang w:bidi="he-IL"/>
        </w:rPr>
        <w:t>שי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שלענין</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לעולם</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היתירא</w:t>
      </w:r>
      <w:r w:rsidRPr="00400C0B">
        <w:rPr>
          <w:rFonts w:cs="Guttman Rashi"/>
          <w:rtl/>
          <w:lang w:bidi="he-IL"/>
        </w:rPr>
        <w:t xml:space="preserve"> </w:t>
      </w:r>
      <w:r w:rsidRPr="00400C0B">
        <w:rPr>
          <w:rFonts w:cs="Guttman Rashi" w:hint="eastAsia"/>
          <w:rtl/>
          <w:lang w:bidi="he-IL"/>
        </w:rPr>
        <w:t>דנ</w:t>
      </w:r>
      <w:r w:rsidRPr="00400C0B">
        <w:rPr>
          <w:rFonts w:cs="Guttman Rashi"/>
          <w:rtl/>
          <w:lang w:bidi="he-IL"/>
        </w:rPr>
        <w:t>"</w:t>
      </w:r>
      <w:r w:rsidRPr="00400C0B">
        <w:rPr>
          <w:rFonts w:cs="Guttman Rashi" w:hint="eastAsia"/>
          <w:rtl/>
          <w:lang w:bidi="he-IL"/>
        </w:rPr>
        <w:t>ט</w:t>
      </w:r>
      <w:r w:rsidRPr="00400C0B">
        <w:rPr>
          <w:rFonts w:cs="Guttman Rashi"/>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בשמנונית</w:t>
      </w:r>
      <w:r w:rsidRPr="00400C0B">
        <w:rPr>
          <w:rFonts w:cs="Guttman Rashi"/>
          <w:rtl/>
          <w:lang w:bidi="he-IL"/>
        </w:rPr>
        <w:t xml:space="preserve"> </w:t>
      </w:r>
      <w:r w:rsidRPr="00400C0B">
        <w:rPr>
          <w:rFonts w:cs="Guttman Rashi" w:hint="eastAsia"/>
          <w:rtl/>
          <w:lang w:bidi="he-IL"/>
        </w:rPr>
        <w:t>קרוש</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פניו</w:t>
      </w:r>
      <w:r w:rsidRPr="00400C0B">
        <w:rPr>
          <w:rFonts w:cs="Guttman Rashi"/>
          <w:rtl/>
          <w:lang w:bidi="he-IL"/>
        </w:rPr>
        <w:t xml:space="preserve"> </w:t>
      </w:r>
      <w:r w:rsidRPr="00400C0B">
        <w:rPr>
          <w:rFonts w:cs="Guttman Rashi" w:hint="eastAsia"/>
          <w:rtl/>
          <w:lang w:bidi="he-IL"/>
        </w:rPr>
        <w:t>מטעם</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ועוד</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חמור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עלו</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יתכן</w:t>
      </w:r>
      <w:r w:rsidRPr="00400C0B">
        <w:rPr>
          <w:rFonts w:cs="Guttman Rashi"/>
          <w:rtl/>
          <w:lang w:bidi="he-IL"/>
        </w:rPr>
        <w:t xml:space="preserve"> </w:t>
      </w:r>
      <w:r w:rsidRPr="00400C0B">
        <w:rPr>
          <w:rFonts w:cs="Guttman Rashi" w:hint="eastAsia"/>
          <w:rtl/>
          <w:lang w:bidi="he-IL"/>
        </w:rPr>
        <w:t>שנתבשלו</w:t>
      </w:r>
      <w:r w:rsidRPr="00400C0B">
        <w:rPr>
          <w:rFonts w:cs="Guttman Rashi"/>
          <w:rtl/>
          <w:lang w:bidi="he-IL"/>
        </w:rPr>
        <w:t xml:space="preserve"> </w:t>
      </w:r>
      <w:r w:rsidRPr="00400C0B">
        <w:rPr>
          <w:rFonts w:cs="Guttman Rashi" w:hint="eastAsia"/>
          <w:rtl/>
          <w:lang w:bidi="he-IL"/>
        </w:rPr>
        <w:t>חמיר</w:t>
      </w:r>
      <w:r w:rsidRPr="00400C0B">
        <w:rPr>
          <w:rFonts w:cs="Guttman Rashi"/>
          <w:rtl/>
          <w:lang w:bidi="he-IL"/>
        </w:rPr>
        <w:t xml:space="preserve"> </w:t>
      </w:r>
      <w:r w:rsidRPr="00400C0B">
        <w:rPr>
          <w:rFonts w:cs="Guttman Rashi" w:hint="eastAsia"/>
          <w:rtl/>
          <w:lang w:bidi="he-IL"/>
        </w:rPr>
        <w:t>טפי</w:t>
      </w:r>
      <w:r w:rsidRPr="00400C0B">
        <w:rPr>
          <w:rFonts w:cs="Guttman Rashi"/>
          <w:rtl/>
          <w:lang w:bidi="he-IL"/>
        </w:rPr>
        <w:t xml:space="preserve"> </w:t>
      </w:r>
      <w:r w:rsidRPr="00400C0B">
        <w:rPr>
          <w:rFonts w:cs="Guttman Rashi" w:hint="eastAsia"/>
          <w:rtl/>
          <w:lang w:bidi="he-IL"/>
        </w:rPr>
        <w:t>וכדמשמע</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הראשונים</w:t>
      </w:r>
      <w:r w:rsidRPr="00400C0B">
        <w:rPr>
          <w:rFonts w:cs="Guttman Rashi"/>
          <w:rtl/>
          <w:lang w:bidi="he-IL"/>
        </w:rPr>
        <w:t xml:space="preserve"> </w:t>
      </w:r>
      <w:r w:rsidRPr="00400C0B">
        <w:rPr>
          <w:rFonts w:cs="Guttman Rashi" w:hint="eastAsia"/>
          <w:rtl/>
          <w:lang w:bidi="he-IL"/>
        </w:rPr>
        <w:t>שכן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p>
  </w:footnote>
  <w:footnote w:id="15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סע</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מרמב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ועוד</w:t>
      </w:r>
      <w:r w:rsidRPr="00400C0B">
        <w:rPr>
          <w:rFonts w:cs="Guttman Rashi"/>
          <w:rtl/>
          <w:lang w:bidi="he-IL"/>
        </w:rPr>
        <w:t xml:space="preserve"> </w:t>
      </w:r>
      <w:r w:rsidRPr="00400C0B">
        <w:rPr>
          <w:rFonts w:cs="Guttman Rashi" w:hint="eastAsia"/>
          <w:rtl/>
          <w:lang w:bidi="he-IL"/>
        </w:rPr>
        <w:t>ראשונים</w:t>
      </w:r>
      <w:r w:rsidRPr="00400C0B">
        <w:rPr>
          <w:rFonts w:cs="Guttman Rashi"/>
          <w:rtl/>
          <w:lang w:bidi="he-IL"/>
        </w:rPr>
        <w:t xml:space="preserve"> </w:t>
      </w:r>
      <w:r w:rsidRPr="00400C0B">
        <w:rPr>
          <w:rFonts w:cs="Guttman Rashi" w:hint="eastAsia"/>
          <w:rtl/>
          <w:lang w:bidi="he-IL"/>
        </w:rPr>
        <w:t>בסוף</w:t>
      </w:r>
      <w:r w:rsidRPr="00400C0B">
        <w:rPr>
          <w:rFonts w:cs="Guttman Rashi"/>
          <w:rtl/>
          <w:lang w:bidi="he-IL"/>
        </w:rPr>
        <w:t xml:space="preserve"> </w:t>
      </w:r>
      <w:r w:rsidRPr="00400C0B">
        <w:rPr>
          <w:rFonts w:cs="Guttman Rashi" w:hint="eastAsia"/>
          <w:rtl/>
          <w:lang w:bidi="he-IL"/>
        </w:rPr>
        <w:t>מס</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שיטות</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w:t>
      </w:r>
    </w:p>
  </w:footnote>
  <w:footnote w:id="16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הדבר</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וגם</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נשאר</w:t>
      </w:r>
      <w:r w:rsidRPr="00400C0B">
        <w:rPr>
          <w:rFonts w:cs="Guttman Rashi"/>
          <w:rtl/>
          <w:lang w:bidi="he-IL"/>
        </w:rPr>
        <w:t xml:space="preserve"> </w:t>
      </w:r>
      <w:r w:rsidRPr="00400C0B">
        <w:rPr>
          <w:rFonts w:cs="Guttman Rashi" w:hint="eastAsia"/>
          <w:rtl/>
          <w:lang w:bidi="he-IL"/>
        </w:rPr>
        <w:t>בהיתירו</w:t>
      </w:r>
      <w:r w:rsidRPr="00400C0B">
        <w:rPr>
          <w:rFonts w:cs="Guttman Rashi"/>
          <w:rtl/>
          <w:lang w:bidi="he-IL"/>
        </w:rPr>
        <w:t xml:space="preserve">. </w:t>
      </w:r>
    </w:p>
  </w:footnote>
  <w:footnote w:id="16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בח</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תצ</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שהערנו</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w:t>
      </w:r>
      <w:r w:rsidRPr="00400C0B">
        <w:rPr>
          <w:rFonts w:cs="Guttman Rashi" w:hint="eastAsia"/>
          <w:rtl/>
          <w:lang w:bidi="he-IL"/>
        </w:rPr>
        <w:t>ה</w:t>
      </w:r>
      <w:r w:rsidRPr="00400C0B">
        <w:rPr>
          <w:rFonts w:cs="Guttman Rashi"/>
          <w:rtl/>
          <w:lang w:bidi="he-IL"/>
        </w:rPr>
        <w:t>.</w:t>
      </w:r>
    </w:p>
  </w:footnote>
  <w:footnote w:id="16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רנ</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מראית</w:t>
      </w:r>
      <w:r w:rsidRPr="00400C0B">
        <w:rPr>
          <w:rFonts w:cs="Guttman Rashi"/>
          <w:rtl/>
          <w:lang w:bidi="he-IL"/>
        </w:rPr>
        <w:t xml:space="preserve"> </w:t>
      </w:r>
      <w:r w:rsidRPr="00400C0B">
        <w:rPr>
          <w:rFonts w:cs="Guttman Rashi" w:hint="eastAsia"/>
          <w:rtl/>
          <w:lang w:bidi="he-IL"/>
        </w:rPr>
        <w:t>עין</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דרכ</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ובעזהי</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בלימוד</w:t>
      </w:r>
      <w:r w:rsidRPr="00400C0B">
        <w:rPr>
          <w:rFonts w:cs="Guttman Rashi"/>
          <w:rtl/>
          <w:lang w:bidi="he-IL"/>
        </w:rPr>
        <w:t xml:space="preserve"> </w:t>
      </w:r>
      <w:r w:rsidRPr="00400C0B">
        <w:rPr>
          <w:rFonts w:cs="Guttman Rashi" w:hint="eastAsia"/>
          <w:rtl/>
          <w:lang w:bidi="he-IL"/>
        </w:rPr>
        <w:t>השו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נאריך</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הדיבור</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w:t>
      </w:r>
    </w:p>
  </w:footnote>
  <w:footnote w:id="16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p>
  </w:footnote>
  <w:footnote w:id="16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בש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הארוך</w:t>
      </w:r>
      <w:r w:rsidRPr="00400C0B">
        <w:rPr>
          <w:rFonts w:cs="Guttman Rashi"/>
          <w:rtl/>
          <w:lang w:bidi="he-IL"/>
        </w:rPr>
        <w:t xml:space="preserve"> </w:t>
      </w:r>
      <w:r w:rsidRPr="00400C0B">
        <w:rPr>
          <w:rFonts w:cs="Guttman Rashi" w:hint="eastAsia"/>
          <w:rtl/>
          <w:lang w:bidi="he-IL"/>
        </w:rPr>
        <w:t>רסי</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w:t>
      </w:r>
    </w:p>
  </w:footnote>
  <w:footnote w:id="16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ועוד</w:t>
      </w:r>
      <w:r w:rsidRPr="00400C0B">
        <w:rPr>
          <w:rFonts w:cs="Guttman Rashi"/>
          <w:rtl/>
          <w:lang w:bidi="he-IL"/>
        </w:rPr>
        <w:t xml:space="preserve"> </w:t>
      </w:r>
      <w:r w:rsidRPr="00400C0B">
        <w:rPr>
          <w:rFonts w:cs="Guttman Rashi" w:hint="eastAsia"/>
          <w:rtl/>
          <w:lang w:bidi="he-IL"/>
        </w:rPr>
        <w:t>ראשונים</w:t>
      </w:r>
      <w:r w:rsidRPr="00400C0B">
        <w:rPr>
          <w:rFonts w:cs="Guttman Rashi"/>
          <w:rtl/>
          <w:lang w:bidi="he-IL"/>
        </w:rPr>
        <w:t xml:space="preserve"> </w:t>
      </w:r>
      <w:r w:rsidRPr="00400C0B">
        <w:rPr>
          <w:rFonts w:cs="Guttman Rashi" w:hint="eastAsia"/>
          <w:rtl/>
          <w:lang w:bidi="he-IL"/>
        </w:rPr>
        <w:t>שהעירו</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בכל</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כשמקשים</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שנראה</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גזרה</w:t>
      </w:r>
      <w:r w:rsidRPr="00400C0B">
        <w:rPr>
          <w:rFonts w:cs="Guttman Rashi"/>
          <w:rtl/>
          <w:lang w:bidi="he-IL"/>
        </w:rPr>
        <w:t xml:space="preserve"> </w:t>
      </w:r>
      <w:r w:rsidRPr="00400C0B">
        <w:rPr>
          <w:rFonts w:cs="Guttman Rashi" w:hint="eastAsia"/>
          <w:rtl/>
          <w:lang w:bidi="he-IL"/>
        </w:rPr>
        <w:t>לגזרה</w:t>
      </w:r>
      <w:r w:rsidRPr="00400C0B">
        <w:rPr>
          <w:rFonts w:cs="Guttman Rashi"/>
          <w:rtl/>
          <w:lang w:bidi="he-IL"/>
        </w:rPr>
        <w:t xml:space="preserve"> </w:t>
      </w:r>
      <w:r w:rsidRPr="00400C0B">
        <w:rPr>
          <w:rFonts w:cs="Guttman Rashi" w:hint="eastAsia"/>
          <w:rtl/>
          <w:lang w:bidi="he-IL"/>
        </w:rPr>
        <w:t>מיישבים</w:t>
      </w:r>
      <w:r w:rsidRPr="00400C0B">
        <w:rPr>
          <w:rFonts w:cs="Guttman Rashi"/>
          <w:rtl/>
          <w:lang w:bidi="he-IL"/>
        </w:rPr>
        <w:t xml:space="preserve"> </w:t>
      </w:r>
      <w:r w:rsidRPr="00400C0B">
        <w:rPr>
          <w:rFonts w:cs="Guttman Rashi" w:hint="eastAsia"/>
          <w:rtl/>
          <w:lang w:bidi="he-IL"/>
        </w:rPr>
        <w:t>שבאמת</w:t>
      </w:r>
      <w:r w:rsidRPr="00400C0B">
        <w:rPr>
          <w:rFonts w:cs="Guttman Rashi"/>
          <w:rtl/>
          <w:lang w:bidi="he-IL"/>
        </w:rPr>
        <w:t xml:space="preserve"> </w:t>
      </w:r>
      <w:r w:rsidRPr="00400C0B">
        <w:rPr>
          <w:rFonts w:cs="Guttman Rashi" w:hint="eastAsia"/>
          <w:rtl/>
          <w:lang w:bidi="he-IL"/>
        </w:rPr>
        <w:t>כולה</w:t>
      </w:r>
      <w:r w:rsidRPr="00400C0B">
        <w:rPr>
          <w:rFonts w:cs="Guttman Rashi"/>
          <w:rtl/>
          <w:lang w:bidi="he-IL"/>
        </w:rPr>
        <w:t xml:space="preserve"> </w:t>
      </w:r>
      <w:r w:rsidRPr="00400C0B">
        <w:rPr>
          <w:rFonts w:cs="Guttman Rashi" w:hint="eastAsia"/>
          <w:rtl/>
          <w:lang w:bidi="he-IL"/>
        </w:rPr>
        <w:t>חדא</w:t>
      </w:r>
      <w:r w:rsidRPr="00400C0B">
        <w:rPr>
          <w:rFonts w:cs="Guttman Rashi"/>
          <w:rtl/>
          <w:lang w:bidi="he-IL"/>
        </w:rPr>
        <w:t xml:space="preserve"> </w:t>
      </w:r>
      <w:r w:rsidRPr="00400C0B">
        <w:rPr>
          <w:rFonts w:cs="Guttman Rashi" w:hint="eastAsia"/>
          <w:rtl/>
          <w:lang w:bidi="he-IL"/>
        </w:rPr>
        <w:t>גזרה</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תי</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ותי</w:t>
      </w:r>
      <w:r w:rsidRPr="00400C0B">
        <w:rPr>
          <w:rFonts w:cs="Guttman Rashi"/>
          <w:rtl/>
          <w:lang w:bidi="he-IL"/>
        </w:rPr>
        <w:t xml:space="preserve">' </w:t>
      </w:r>
      <w:r w:rsidRPr="00400C0B">
        <w:rPr>
          <w:rFonts w:cs="Guttman Rashi" w:hint="eastAsia"/>
          <w:rtl/>
          <w:lang w:bidi="he-IL"/>
        </w:rPr>
        <w:t>שזהו</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שהיו</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להביא</w:t>
      </w:r>
      <w:r w:rsidRPr="00400C0B">
        <w:rPr>
          <w:rFonts w:cs="Guttman Rashi"/>
          <w:rtl/>
          <w:lang w:bidi="he-IL"/>
        </w:rPr>
        <w:t xml:space="preserve"> </w:t>
      </w:r>
      <w:r w:rsidRPr="00400C0B">
        <w:rPr>
          <w:rFonts w:cs="Guttman Rashi" w:hint="eastAsia"/>
          <w:rtl/>
          <w:lang w:bidi="he-IL"/>
        </w:rPr>
        <w:t>מחלת</w:t>
      </w:r>
      <w:r w:rsidRPr="00400C0B">
        <w:rPr>
          <w:rFonts w:cs="Guttman Rashi"/>
          <w:rtl/>
          <w:lang w:bidi="he-IL"/>
        </w:rPr>
        <w:t xml:space="preserve"> </w:t>
      </w:r>
      <w:r w:rsidRPr="00400C0B">
        <w:rPr>
          <w:rFonts w:cs="Guttman Rashi" w:hint="eastAsia"/>
          <w:rtl/>
          <w:lang w:bidi="he-IL"/>
        </w:rPr>
        <w:t>חו</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דחזינן</w:t>
      </w:r>
      <w:r w:rsidRPr="00400C0B">
        <w:rPr>
          <w:rFonts w:cs="Guttman Rashi"/>
          <w:rtl/>
          <w:lang w:bidi="he-IL"/>
        </w:rPr>
        <w:t xml:space="preserve"> </w:t>
      </w:r>
      <w:r w:rsidRPr="00400C0B">
        <w:rPr>
          <w:rFonts w:cs="Guttman Rashi" w:hint="eastAsia"/>
          <w:rtl/>
          <w:lang w:bidi="he-IL"/>
        </w:rPr>
        <w:t>מיני</w:t>
      </w:r>
      <w:r w:rsidRPr="00400C0B">
        <w:rPr>
          <w:rFonts w:cs="Guttman Rashi"/>
          <w:rtl/>
          <w:lang w:bidi="he-IL"/>
        </w:rPr>
        <w:t xml:space="preserve">' </w:t>
      </w:r>
      <w:r w:rsidRPr="00400C0B">
        <w:rPr>
          <w:rFonts w:cs="Guttman Rashi" w:hint="eastAsia"/>
          <w:rtl/>
          <w:lang w:bidi="he-IL"/>
        </w:rPr>
        <w:t>שהעלאה</w:t>
      </w:r>
      <w:r w:rsidRPr="00400C0B">
        <w:rPr>
          <w:rFonts w:cs="Guttman Rashi"/>
          <w:rtl/>
          <w:lang w:bidi="he-IL"/>
        </w:rPr>
        <w:t xml:space="preserve"> </w:t>
      </w:r>
      <w:r w:rsidRPr="00400C0B">
        <w:rPr>
          <w:rFonts w:cs="Guttman Rashi" w:hint="eastAsia"/>
          <w:rtl/>
          <w:lang w:bidi="he-IL"/>
        </w:rPr>
        <w:t>ואכילה</w:t>
      </w:r>
      <w:r w:rsidRPr="00400C0B">
        <w:rPr>
          <w:rFonts w:cs="Guttman Rashi"/>
          <w:rtl/>
          <w:lang w:bidi="he-IL"/>
        </w:rPr>
        <w:t xml:space="preserve"> </w:t>
      </w:r>
      <w:r w:rsidRPr="00400C0B">
        <w:rPr>
          <w:rFonts w:cs="Guttman Rashi" w:hint="eastAsia"/>
          <w:rtl/>
          <w:lang w:bidi="he-IL"/>
        </w:rPr>
        <w:t>תרתי</w:t>
      </w:r>
      <w:r w:rsidRPr="00400C0B">
        <w:rPr>
          <w:rFonts w:cs="Guttman Rashi"/>
          <w:rtl/>
          <w:lang w:bidi="he-IL"/>
        </w:rPr>
        <w:t xml:space="preserve"> </w:t>
      </w:r>
      <w:r w:rsidRPr="00400C0B">
        <w:rPr>
          <w:rFonts w:cs="Guttman Rashi" w:hint="eastAsia"/>
          <w:rtl/>
          <w:lang w:bidi="he-IL"/>
        </w:rPr>
        <w:t>מילי</w:t>
      </w:r>
      <w:r w:rsidRPr="00400C0B">
        <w:rPr>
          <w:rFonts w:cs="Guttman Rashi"/>
          <w:rtl/>
          <w:lang w:bidi="he-IL"/>
        </w:rPr>
        <w:t xml:space="preserve"> </w:t>
      </w:r>
      <w:r w:rsidRPr="00400C0B">
        <w:rPr>
          <w:rFonts w:cs="Guttman Rashi" w:hint="eastAsia"/>
          <w:rtl/>
          <w:lang w:bidi="he-IL"/>
        </w:rPr>
        <w:t>נינהו</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הה</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הכא</w:t>
      </w:r>
      <w:r w:rsidRPr="00400C0B">
        <w:rPr>
          <w:rFonts w:cs="Guttman Rashi"/>
          <w:rtl/>
          <w:lang w:bidi="he-IL"/>
        </w:rPr>
        <w:t xml:space="preserve"> </w:t>
      </w:r>
      <w:r w:rsidRPr="00400C0B">
        <w:rPr>
          <w:rFonts w:cs="Guttman Rashi" w:hint="eastAsia"/>
          <w:rtl/>
          <w:lang w:bidi="he-IL"/>
        </w:rPr>
        <w:t>דהוו</w:t>
      </w:r>
      <w:r w:rsidRPr="00400C0B">
        <w:rPr>
          <w:rFonts w:cs="Guttman Rashi"/>
          <w:rtl/>
          <w:lang w:bidi="he-IL"/>
        </w:rPr>
        <w:t xml:space="preserve"> </w:t>
      </w:r>
      <w:r w:rsidRPr="00400C0B">
        <w:rPr>
          <w:rFonts w:cs="Guttman Rashi" w:hint="eastAsia"/>
          <w:rtl/>
          <w:lang w:bidi="he-IL"/>
        </w:rPr>
        <w:t>תרתי</w:t>
      </w:r>
      <w:r w:rsidRPr="00400C0B">
        <w:rPr>
          <w:rFonts w:cs="Guttman Rashi"/>
          <w:rtl/>
          <w:lang w:bidi="he-IL"/>
        </w:rPr>
        <w:t xml:space="preserve"> </w:t>
      </w:r>
      <w:r w:rsidRPr="00400C0B">
        <w:rPr>
          <w:rFonts w:cs="Guttman Rashi" w:hint="eastAsia"/>
          <w:rtl/>
          <w:lang w:bidi="he-IL"/>
        </w:rPr>
        <w:t>מילי</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בריטב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שביאר</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אביי</w:t>
      </w:r>
      <w:r w:rsidRPr="00400C0B">
        <w:rPr>
          <w:rFonts w:cs="Guttman Rashi"/>
          <w:rtl/>
          <w:lang w:bidi="he-IL"/>
        </w:rPr>
        <w:t xml:space="preserve"> </w:t>
      </w:r>
      <w:r w:rsidRPr="00400C0B">
        <w:rPr>
          <w:rFonts w:cs="Guttman Rashi" w:hint="eastAsia"/>
          <w:rtl/>
          <w:lang w:bidi="he-IL"/>
        </w:rPr>
        <w:t>שהטעם</w:t>
      </w:r>
      <w:r w:rsidRPr="00400C0B">
        <w:rPr>
          <w:rFonts w:cs="Guttman Rashi"/>
          <w:rtl/>
          <w:lang w:bidi="he-IL"/>
        </w:rPr>
        <w:t xml:space="preserve"> </w:t>
      </w:r>
      <w:r w:rsidRPr="00400C0B">
        <w:rPr>
          <w:rFonts w:cs="Guttman Rashi" w:hint="eastAsia"/>
          <w:rtl/>
          <w:lang w:bidi="he-IL"/>
        </w:rPr>
        <w:t>דגזרינן</w:t>
      </w:r>
      <w:r w:rsidRPr="00400C0B">
        <w:rPr>
          <w:rFonts w:cs="Guttman Rashi"/>
          <w:rtl/>
          <w:lang w:bidi="he-IL"/>
        </w:rPr>
        <w:t xml:space="preserve"> </w:t>
      </w:r>
      <w:r w:rsidRPr="00400C0B">
        <w:rPr>
          <w:rFonts w:cs="Guttman Rashi" w:hint="eastAsia"/>
          <w:rtl/>
          <w:lang w:bidi="he-IL"/>
        </w:rPr>
        <w:t>בעוף</w:t>
      </w:r>
      <w:r w:rsidRPr="00400C0B">
        <w:rPr>
          <w:rFonts w:cs="Guttman Rashi"/>
          <w:rtl/>
          <w:lang w:bidi="he-IL"/>
        </w:rPr>
        <w:t xml:space="preserve"> </w:t>
      </w:r>
      <w:r w:rsidRPr="00400C0B">
        <w:rPr>
          <w:rFonts w:cs="Guttman Rashi" w:hint="eastAsia"/>
          <w:rtl/>
          <w:lang w:bidi="he-IL"/>
        </w:rPr>
        <w:t>וחלב</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דר</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שהכל</w:t>
      </w:r>
      <w:r w:rsidRPr="00400C0B">
        <w:rPr>
          <w:rFonts w:cs="Guttman Rashi"/>
          <w:rtl/>
          <w:lang w:bidi="he-IL"/>
        </w:rPr>
        <w:t xml:space="preserve"> </w:t>
      </w:r>
      <w:r w:rsidRPr="00400C0B">
        <w:rPr>
          <w:rFonts w:cs="Guttman Rashi" w:hint="eastAsia"/>
          <w:rtl/>
          <w:lang w:bidi="he-IL"/>
        </w:rPr>
        <w:t>במקום</w:t>
      </w:r>
      <w:r w:rsidRPr="00400C0B">
        <w:rPr>
          <w:rFonts w:cs="Guttman Rashi"/>
          <w:rtl/>
          <w:lang w:bidi="he-IL"/>
        </w:rPr>
        <w:t xml:space="preserve"> </w:t>
      </w:r>
      <w:r w:rsidRPr="00400C0B">
        <w:rPr>
          <w:rFonts w:cs="Guttman Rashi" w:hint="eastAsia"/>
          <w:rtl/>
          <w:lang w:bidi="he-IL"/>
        </w:rPr>
        <w:t>שיכול</w:t>
      </w:r>
      <w:r w:rsidRPr="00400C0B">
        <w:rPr>
          <w:rFonts w:cs="Guttman Rashi"/>
          <w:rtl/>
          <w:lang w:bidi="he-IL"/>
        </w:rPr>
        <w:t xml:space="preserve"> </w:t>
      </w:r>
      <w:r w:rsidRPr="00400C0B">
        <w:rPr>
          <w:rFonts w:cs="Guttman Rashi" w:hint="eastAsia"/>
          <w:rtl/>
          <w:lang w:bidi="he-IL"/>
        </w:rPr>
        <w:t>לעבור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דכולה</w:t>
      </w:r>
      <w:r w:rsidRPr="00400C0B">
        <w:rPr>
          <w:rFonts w:cs="Guttman Rashi"/>
          <w:rtl/>
          <w:lang w:bidi="he-IL"/>
        </w:rPr>
        <w:t xml:space="preserve"> </w:t>
      </w:r>
      <w:r w:rsidRPr="00400C0B">
        <w:rPr>
          <w:rFonts w:cs="Guttman Rashi" w:hint="eastAsia"/>
          <w:rtl/>
          <w:lang w:bidi="he-IL"/>
        </w:rPr>
        <w:t>חדא</w:t>
      </w:r>
      <w:r w:rsidRPr="00400C0B">
        <w:rPr>
          <w:rFonts w:cs="Guttman Rashi"/>
          <w:rtl/>
          <w:lang w:bidi="he-IL"/>
        </w:rPr>
        <w:t xml:space="preserve"> </w:t>
      </w:r>
      <w:r w:rsidRPr="00400C0B">
        <w:rPr>
          <w:rFonts w:cs="Guttman Rashi" w:hint="eastAsia"/>
          <w:rtl/>
          <w:lang w:bidi="he-IL"/>
        </w:rPr>
        <w:t>גזרה</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p>
  </w:footnote>
  <w:footnote w:id="16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ח</w:t>
      </w:r>
    </w:p>
  </w:footnote>
  <w:footnote w:id="16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ויד</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w:t>
      </w:r>
    </w:p>
  </w:footnote>
  <w:footnote w:id="16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NOTEREF</w:instrText>
      </w:r>
      <w:r w:rsidRPr="00400C0B">
        <w:rPr>
          <w:rFonts w:cs="Guttman Rashi"/>
          <w:rtl/>
          <w:lang w:bidi="he-IL"/>
        </w:rPr>
        <w:instrText xml:space="preserve"> _</w:instrText>
      </w:r>
      <w:r w:rsidRPr="00400C0B">
        <w:rPr>
          <w:rFonts w:cs="Guttman Rashi"/>
          <w:lang w:bidi="he-IL"/>
        </w:rPr>
        <w:instrText>Ref450732397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218</w:t>
      </w:r>
      <w:r w:rsidRPr="00400C0B">
        <w:rPr>
          <w:rFonts w:cs="Guttman Rashi"/>
          <w:rtl/>
          <w:lang w:bidi="he-IL"/>
        </w:rPr>
        <w:fldChar w:fldCharType="end"/>
      </w:r>
      <w:r w:rsidRPr="00400C0B">
        <w:rPr>
          <w:rFonts w:cs="Guttman Rashi"/>
          <w:rtl/>
          <w:lang w:bidi="he-IL"/>
        </w:rPr>
        <w:t>.</w:t>
      </w:r>
    </w:p>
  </w:footnote>
  <w:footnote w:id="16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ו</w:t>
      </w:r>
    </w:p>
  </w:footnote>
  <w:footnote w:id="17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כתבנו</w:t>
      </w:r>
      <w:r w:rsidRPr="00400C0B">
        <w:rPr>
          <w:rFonts w:cs="Guttman Rashi"/>
          <w:rtl/>
          <w:lang w:bidi="he-IL"/>
        </w:rPr>
        <w:t xml:space="preserve"> </w:t>
      </w:r>
      <w:r w:rsidRPr="00400C0B">
        <w:rPr>
          <w:rFonts w:cs="Guttman Rashi" w:hint="eastAsia"/>
          <w:rtl/>
          <w:lang w:bidi="he-IL"/>
        </w:rPr>
        <w:t>סברה</w:t>
      </w:r>
      <w:r w:rsidRPr="00400C0B">
        <w:rPr>
          <w:rFonts w:cs="Guttman Rashi"/>
          <w:rtl/>
          <w:lang w:bidi="he-IL"/>
        </w:rPr>
        <w:t xml:space="preserve"> </w:t>
      </w:r>
      <w:r w:rsidRPr="00400C0B">
        <w:rPr>
          <w:rFonts w:cs="Guttman Rashi" w:hint="eastAsia"/>
          <w:rtl/>
          <w:lang w:bidi="he-IL"/>
        </w:rPr>
        <w:t>כזאת</w:t>
      </w:r>
      <w:r w:rsidRPr="00400C0B">
        <w:rPr>
          <w:rFonts w:cs="Guttman Rashi"/>
          <w:rtl/>
          <w:lang w:bidi="he-IL"/>
        </w:rPr>
        <w:t>.</w:t>
      </w:r>
    </w:p>
  </w:footnote>
  <w:footnote w:id="17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ובאמת</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כתבו</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בצד</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סעודתא</w:t>
      </w:r>
      <w:r w:rsidRPr="00400C0B">
        <w:rPr>
          <w:rFonts w:cs="Guttman Rashi"/>
          <w:rtl/>
          <w:lang w:bidi="he-IL"/>
        </w:rPr>
        <w:t xml:space="preserve"> </w:t>
      </w:r>
      <w:r w:rsidRPr="00400C0B">
        <w:rPr>
          <w:rFonts w:cs="Guttman Rashi" w:hint="eastAsia"/>
          <w:rtl/>
          <w:lang w:bidi="he-IL"/>
        </w:rPr>
        <w:t>וסעודתא</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שמחמיר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מעיקר</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w:t>
      </w:r>
    </w:p>
  </w:footnote>
  <w:footnote w:id="17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אוסרים</w:t>
      </w:r>
      <w:r w:rsidRPr="00400C0B">
        <w:rPr>
          <w:rFonts w:cs="Guttman Rashi"/>
          <w:rtl/>
          <w:lang w:bidi="he-IL"/>
        </w:rPr>
        <w:t xml:space="preserve"> </w:t>
      </w:r>
      <w:r w:rsidRPr="00400C0B">
        <w:rPr>
          <w:rFonts w:cs="Guttman Rashi" w:hint="eastAsia"/>
          <w:rtl/>
          <w:lang w:bidi="he-IL"/>
        </w:rPr>
        <w:t>טועם</w:t>
      </w:r>
      <w:r w:rsidRPr="00400C0B">
        <w:rPr>
          <w:rFonts w:cs="Guttman Rashi"/>
          <w:rtl/>
          <w:lang w:bidi="he-IL"/>
        </w:rPr>
        <w:t xml:space="preserve"> </w:t>
      </w:r>
      <w:r w:rsidRPr="00400C0B">
        <w:rPr>
          <w:rFonts w:cs="Guttman Rashi" w:hint="eastAsia"/>
          <w:rtl/>
          <w:lang w:bidi="he-IL"/>
        </w:rPr>
        <w:t>ופולט</w:t>
      </w:r>
      <w:r w:rsidRPr="00400C0B">
        <w:rPr>
          <w:rFonts w:cs="Guttman Rashi"/>
          <w:rtl/>
          <w:lang w:bidi="he-IL"/>
        </w:rPr>
        <w:t xml:space="preserve"> </w:t>
      </w:r>
      <w:r w:rsidRPr="00400C0B">
        <w:rPr>
          <w:rFonts w:cs="Guttman Rashi" w:hint="eastAsia"/>
          <w:rtl/>
          <w:lang w:bidi="he-IL"/>
        </w:rPr>
        <w:t>במאכ</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וכדמבואר</w:t>
      </w:r>
      <w:r w:rsidRPr="00400C0B">
        <w:rPr>
          <w:rFonts w:cs="Guttman Rashi"/>
          <w:rtl/>
          <w:lang w:bidi="he-IL"/>
        </w:rPr>
        <w:t xml:space="preserve"> </w:t>
      </w:r>
      <w:r w:rsidRPr="00400C0B">
        <w:rPr>
          <w:rFonts w:cs="Guttman Rashi" w:hint="eastAsia"/>
          <w:rtl/>
          <w:lang w:bidi="he-IL"/>
        </w:rPr>
        <w:t>ברסי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דהנ</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שבאכל</w:t>
      </w:r>
      <w:r w:rsidRPr="00400C0B">
        <w:rPr>
          <w:rFonts w:cs="Guttman Rashi"/>
          <w:rtl/>
          <w:lang w:bidi="he-IL"/>
        </w:rPr>
        <w:t xml:space="preserve"> </w:t>
      </w:r>
      <w:r w:rsidRPr="00400C0B">
        <w:rPr>
          <w:rFonts w:cs="Guttman Rashi" w:hint="eastAsia"/>
          <w:rtl/>
          <w:lang w:bidi="he-IL"/>
        </w:rPr>
        <w:t>שיכול</w:t>
      </w:r>
      <w:r w:rsidRPr="00400C0B">
        <w:rPr>
          <w:rFonts w:cs="Guttman Rashi"/>
          <w:rtl/>
          <w:lang w:bidi="he-IL"/>
        </w:rPr>
        <w:t xml:space="preserve"> </w:t>
      </w:r>
      <w:r w:rsidRPr="00400C0B">
        <w:rPr>
          <w:rFonts w:cs="Guttman Rashi" w:hint="eastAsia"/>
          <w:rtl/>
          <w:lang w:bidi="he-IL"/>
        </w:rPr>
        <w:t>ליבלע</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השכבה</w:t>
      </w:r>
      <w:r w:rsidRPr="00400C0B">
        <w:rPr>
          <w:rFonts w:cs="Guttman Rashi"/>
          <w:rtl/>
          <w:lang w:bidi="he-IL"/>
        </w:rPr>
        <w:t xml:space="preserve"> </w:t>
      </w:r>
      <w:r w:rsidRPr="00400C0B">
        <w:rPr>
          <w:rFonts w:cs="Guttman Rashi" w:hint="eastAsia"/>
          <w:rtl/>
          <w:lang w:bidi="he-IL"/>
        </w:rPr>
        <w:t>הדקה</w:t>
      </w:r>
      <w:r w:rsidRPr="00400C0B">
        <w:rPr>
          <w:rFonts w:cs="Guttman Rashi"/>
          <w:rtl/>
          <w:lang w:bidi="he-IL"/>
        </w:rPr>
        <w:t xml:space="preserve"> </w:t>
      </w:r>
      <w:r w:rsidRPr="00400C0B">
        <w:rPr>
          <w:rFonts w:cs="Guttman Rashi" w:hint="eastAsia"/>
          <w:rtl/>
          <w:lang w:bidi="he-IL"/>
        </w:rPr>
        <w:t>הזאת</w:t>
      </w:r>
      <w:r w:rsidRPr="00400C0B">
        <w:rPr>
          <w:rFonts w:cs="Guttman Rashi"/>
          <w:rtl/>
          <w:lang w:bidi="he-IL"/>
        </w:rPr>
        <w:t xml:space="preserve"> </w:t>
      </w:r>
      <w:r w:rsidRPr="00400C0B">
        <w:rPr>
          <w:rFonts w:cs="Guttman Rashi" w:hint="eastAsia"/>
          <w:rtl/>
          <w:lang w:bidi="he-IL"/>
        </w:rPr>
        <w:t>שאי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נדבק</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טעימה</w:t>
      </w:r>
      <w:r w:rsidRPr="00400C0B">
        <w:rPr>
          <w:rFonts w:cs="Guttman Rashi"/>
          <w:rtl/>
          <w:lang w:bidi="he-IL"/>
        </w:rPr>
        <w:t xml:space="preserve"> </w:t>
      </w:r>
      <w:r w:rsidRPr="00400C0B">
        <w:rPr>
          <w:rFonts w:cs="Guttman Rashi" w:hint="eastAsia"/>
          <w:rtl/>
          <w:lang w:bidi="he-IL"/>
        </w:rPr>
        <w:t>בעלמא</w:t>
      </w:r>
      <w:r w:rsidRPr="00400C0B">
        <w:rPr>
          <w:rFonts w:cs="Guttman Rashi"/>
          <w:rtl/>
          <w:lang w:bidi="he-IL"/>
        </w:rPr>
        <w:t>.</w:t>
      </w:r>
    </w:p>
  </w:footnote>
  <w:footnote w:id="17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שעוף</w:t>
      </w:r>
      <w:r w:rsidRPr="00400C0B">
        <w:rPr>
          <w:rFonts w:cs="Guttman Rashi"/>
          <w:rtl/>
          <w:lang w:bidi="he-IL"/>
        </w:rPr>
        <w:t xml:space="preserve"> </w:t>
      </w:r>
      <w:r w:rsidRPr="00400C0B">
        <w:rPr>
          <w:rFonts w:cs="Guttman Rashi" w:hint="eastAsia"/>
          <w:rtl/>
          <w:lang w:bidi="he-IL"/>
        </w:rPr>
        <w:t>וגבינה</w:t>
      </w:r>
      <w:r w:rsidRPr="00400C0B">
        <w:rPr>
          <w:rFonts w:cs="Guttman Rashi"/>
          <w:rtl/>
          <w:lang w:bidi="he-IL"/>
        </w:rPr>
        <w:t xml:space="preserve"> </w:t>
      </w:r>
      <w:r w:rsidRPr="00400C0B">
        <w:rPr>
          <w:rFonts w:cs="Guttman Rashi" w:hint="eastAsia"/>
          <w:rtl/>
          <w:lang w:bidi="he-IL"/>
        </w:rPr>
        <w:t>נאכלים</w:t>
      </w:r>
      <w:r w:rsidRPr="00400C0B">
        <w:rPr>
          <w:rFonts w:cs="Guttman Rashi"/>
          <w:rtl/>
          <w:lang w:bidi="he-IL"/>
        </w:rPr>
        <w:t xml:space="preserve"> </w:t>
      </w:r>
      <w:r w:rsidRPr="00400C0B">
        <w:rPr>
          <w:rFonts w:cs="Guttman Rashi" w:hint="eastAsia"/>
          <w:rtl/>
          <w:lang w:bidi="he-IL"/>
        </w:rPr>
        <w:t>באפיקורן</w:t>
      </w:r>
      <w:r w:rsidRPr="00400C0B">
        <w:rPr>
          <w:rFonts w:cs="Guttman Rashi"/>
          <w:rtl/>
          <w:lang w:bidi="he-IL"/>
        </w:rPr>
        <w:t xml:space="preserve">, </w:t>
      </w:r>
      <w:r w:rsidRPr="00400C0B">
        <w:rPr>
          <w:rFonts w:cs="Guttman Rashi" w:hint="eastAsia"/>
          <w:rtl/>
          <w:lang w:bidi="he-IL"/>
        </w:rPr>
        <w:t>ופי</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דהיינו</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קינוח</w:t>
      </w:r>
      <w:r w:rsidRPr="00400C0B">
        <w:rPr>
          <w:rFonts w:cs="Guttman Rashi"/>
          <w:rtl/>
          <w:lang w:bidi="he-IL"/>
        </w:rPr>
        <w:t xml:space="preserve"> </w:t>
      </w:r>
      <w:r w:rsidRPr="00400C0B">
        <w:rPr>
          <w:rFonts w:cs="Guttman Rashi" w:hint="eastAsia"/>
          <w:rtl/>
          <w:lang w:bidi="he-IL"/>
        </w:rPr>
        <w:t>והדחה</w:t>
      </w:r>
      <w:r w:rsidRPr="00400C0B">
        <w:rPr>
          <w:rFonts w:cs="Guttman Rashi"/>
          <w:rtl/>
          <w:lang w:bidi="he-IL"/>
        </w:rPr>
        <w:t xml:space="preserve">, </w:t>
      </w:r>
      <w:r w:rsidRPr="00400C0B">
        <w:rPr>
          <w:rFonts w:cs="Guttman Rashi" w:hint="eastAsia"/>
          <w:rtl/>
          <w:lang w:bidi="he-IL"/>
        </w:rPr>
        <w:t>ואפי</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בעוף</w:t>
      </w:r>
      <w:r w:rsidRPr="00400C0B">
        <w:rPr>
          <w:rFonts w:cs="Guttman Rashi"/>
          <w:rtl/>
          <w:lang w:bidi="he-IL"/>
        </w:rPr>
        <w:t xml:space="preserve"> </w:t>
      </w:r>
      <w:r w:rsidRPr="00400C0B">
        <w:rPr>
          <w:rFonts w:cs="Guttman Rashi" w:hint="eastAsia"/>
          <w:rtl/>
          <w:lang w:bidi="he-IL"/>
        </w:rPr>
        <w:t>וגבינה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התירו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בלי</w:t>
      </w:r>
      <w:r w:rsidRPr="00400C0B">
        <w:rPr>
          <w:rFonts w:cs="Guttman Rashi"/>
          <w:rtl/>
          <w:lang w:bidi="he-IL"/>
        </w:rPr>
        <w:t xml:space="preserve"> </w:t>
      </w:r>
      <w:r w:rsidRPr="00400C0B">
        <w:rPr>
          <w:rFonts w:cs="Guttman Rashi" w:hint="eastAsia"/>
          <w:rtl/>
          <w:lang w:bidi="he-IL"/>
        </w:rPr>
        <w:t>קו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ונט</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לאוכלם</w:t>
      </w:r>
      <w:r w:rsidRPr="00400C0B">
        <w:rPr>
          <w:rFonts w:cs="Guttman Rashi"/>
          <w:rtl/>
          <w:lang w:bidi="he-IL"/>
        </w:rPr>
        <w:t xml:space="preserve"> </w:t>
      </w:r>
      <w:r w:rsidRPr="00400C0B">
        <w:rPr>
          <w:rFonts w:cs="Guttman Rashi" w:hint="eastAsia"/>
          <w:rtl/>
          <w:lang w:bidi="he-IL"/>
        </w:rPr>
        <w:t>בבת</w:t>
      </w:r>
      <w:r w:rsidRPr="00400C0B">
        <w:rPr>
          <w:rFonts w:cs="Guttman Rashi"/>
          <w:rtl/>
          <w:lang w:bidi="he-IL"/>
        </w:rPr>
        <w:t xml:space="preserve"> </w:t>
      </w:r>
      <w:r w:rsidRPr="00400C0B">
        <w:rPr>
          <w:rFonts w:cs="Guttman Rashi" w:hint="eastAsia"/>
          <w:rtl/>
          <w:lang w:bidi="he-IL"/>
        </w:rPr>
        <w:t>אחת</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התירו</w:t>
      </w:r>
      <w:r w:rsidRPr="00400C0B">
        <w:rPr>
          <w:rFonts w:cs="Guttman Rashi"/>
          <w:rtl/>
          <w:lang w:bidi="he-IL"/>
        </w:rPr>
        <w:t xml:space="preserve">. </w:t>
      </w:r>
      <w:r w:rsidRPr="00400C0B">
        <w:rPr>
          <w:rFonts w:cs="Guttman Rashi" w:hint="eastAsia"/>
          <w:rtl/>
          <w:lang w:bidi="he-IL"/>
        </w:rPr>
        <w:t>וכה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דקדקו</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בד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עוף</w:t>
      </w:r>
      <w:r w:rsidRPr="00400C0B">
        <w:rPr>
          <w:rFonts w:cs="Guttman Rashi"/>
          <w:rtl/>
          <w:lang w:bidi="he-IL"/>
        </w:rPr>
        <w:t xml:space="preserve"> </w:t>
      </w:r>
      <w:r w:rsidRPr="00400C0B">
        <w:rPr>
          <w:rFonts w:cs="Guttman Rashi" w:hint="eastAsia"/>
          <w:rtl/>
          <w:lang w:bidi="he-IL"/>
        </w:rPr>
        <w:t>מדברי</w:t>
      </w:r>
      <w:r w:rsidRPr="00400C0B">
        <w:rPr>
          <w:rFonts w:cs="Guttman Rashi"/>
          <w:rtl/>
          <w:lang w:bidi="he-IL"/>
        </w:rPr>
        <w:t xml:space="preserve"> </w:t>
      </w:r>
      <w:r w:rsidRPr="00400C0B">
        <w:rPr>
          <w:rFonts w:cs="Guttman Rashi" w:hint="eastAsia"/>
          <w:rtl/>
          <w:lang w:bidi="he-IL"/>
        </w:rPr>
        <w:t>הברייתא</w:t>
      </w:r>
      <w:r w:rsidRPr="00400C0B">
        <w:rPr>
          <w:rFonts w:cs="Guttman Rashi"/>
          <w:rtl/>
          <w:lang w:bidi="he-IL"/>
        </w:rPr>
        <w:t xml:space="preserve">. </w:t>
      </w:r>
    </w:p>
  </w:footnote>
  <w:footnote w:id="17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ובזה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להסתפק</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יסוד</w:t>
      </w:r>
      <w:r w:rsidRPr="00400C0B">
        <w:rPr>
          <w:rFonts w:cs="Guttman Rashi"/>
          <w:rtl/>
          <w:lang w:bidi="he-IL"/>
        </w:rPr>
        <w:t xml:space="preserve"> </w:t>
      </w:r>
      <w:r w:rsidRPr="00400C0B">
        <w:rPr>
          <w:rFonts w:cs="Guttman Rashi" w:hint="eastAsia"/>
          <w:rtl/>
          <w:lang w:bidi="he-IL"/>
        </w:rPr>
        <w:t>פלוגתתם</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חיישינן</w:t>
      </w:r>
      <w:r w:rsidRPr="00400C0B">
        <w:rPr>
          <w:rFonts w:cs="Guttman Rashi"/>
          <w:rtl/>
          <w:lang w:bidi="he-IL"/>
        </w:rPr>
        <w:t xml:space="preserve"> </w:t>
      </w:r>
      <w:r w:rsidRPr="00400C0B">
        <w:rPr>
          <w:rFonts w:cs="Guttman Rashi" w:hint="eastAsia"/>
          <w:rtl/>
          <w:lang w:bidi="he-IL"/>
        </w:rPr>
        <w:t>שנמשך</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לעיסה</w:t>
      </w:r>
      <w:r w:rsidRPr="00400C0B">
        <w:rPr>
          <w:rFonts w:cs="Guttman Rashi"/>
          <w:rtl/>
          <w:lang w:bidi="he-IL"/>
        </w:rPr>
        <w:t xml:space="preserve"> </w:t>
      </w:r>
      <w:r w:rsidRPr="00400C0B">
        <w:rPr>
          <w:rFonts w:cs="Guttman Rashi" w:hint="eastAsia"/>
          <w:rtl/>
          <w:lang w:bidi="he-IL"/>
        </w:rPr>
        <w:t>בלבד</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שלכו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נמשך</w:t>
      </w:r>
      <w:r w:rsidRPr="00400C0B">
        <w:rPr>
          <w:rFonts w:cs="Guttman Rashi"/>
          <w:rtl/>
          <w:lang w:bidi="he-IL"/>
        </w:rPr>
        <w:t xml:space="preserve"> </w:t>
      </w:r>
      <w:r w:rsidRPr="00400C0B">
        <w:rPr>
          <w:rFonts w:cs="Guttman Rashi" w:hint="eastAsia"/>
          <w:rtl/>
          <w:lang w:bidi="he-IL"/>
        </w:rPr>
        <w:t>טעמו</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מאן</w:t>
      </w:r>
      <w:r w:rsidRPr="00400C0B">
        <w:rPr>
          <w:rFonts w:cs="Guttman Rashi"/>
          <w:rtl/>
          <w:lang w:bidi="he-IL"/>
        </w:rPr>
        <w:t xml:space="preserve"> </w:t>
      </w:r>
      <w:r w:rsidRPr="00400C0B">
        <w:rPr>
          <w:rFonts w:cs="Guttman Rashi" w:hint="eastAsia"/>
          <w:rtl/>
          <w:lang w:bidi="he-IL"/>
        </w:rPr>
        <w:t>דאוסר</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פלוג</w:t>
      </w:r>
      <w:r w:rsidRPr="00400C0B">
        <w:rPr>
          <w:rFonts w:cs="Guttman Rashi"/>
          <w:rtl/>
          <w:lang w:bidi="he-IL"/>
        </w:rPr>
        <w:t xml:space="preserve"> </w:t>
      </w:r>
      <w:r w:rsidRPr="00400C0B">
        <w:rPr>
          <w:rFonts w:cs="Guttman Rashi" w:hint="eastAsia"/>
          <w:rtl/>
          <w:lang w:bidi="he-IL"/>
        </w:rPr>
        <w:t>רבנן</w:t>
      </w:r>
      <w:r w:rsidRPr="00400C0B">
        <w:rPr>
          <w:rFonts w:cs="Guttman Rashi"/>
          <w:rtl/>
          <w:lang w:bidi="he-IL"/>
        </w:rPr>
        <w:t>.</w:t>
      </w:r>
    </w:p>
  </w:footnote>
  <w:footnote w:id="17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שהערנו</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סוף</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ח</w:t>
      </w:r>
      <w:r w:rsidRPr="00400C0B">
        <w:rPr>
          <w:rFonts w:cs="Guttman Rashi"/>
          <w:rtl/>
          <w:lang w:bidi="he-IL"/>
        </w:rPr>
        <w:t>.</w:t>
      </w:r>
    </w:p>
  </w:footnote>
  <w:footnote w:id="17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ומהוכחת</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שמואל</w:t>
      </w:r>
      <w:r w:rsidRPr="00400C0B">
        <w:rPr>
          <w:rFonts w:cs="Guttman Rashi"/>
          <w:rtl/>
          <w:lang w:bidi="he-IL"/>
        </w:rPr>
        <w:t xml:space="preserve"> </w:t>
      </w:r>
      <w:r w:rsidRPr="00400C0B">
        <w:rPr>
          <w:rFonts w:cs="Guttman Rashi" w:hint="eastAsia"/>
          <w:rtl/>
          <w:lang w:bidi="he-IL"/>
        </w:rPr>
        <w:t>מובאר</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חיוב</w:t>
      </w:r>
      <w:r w:rsidRPr="00400C0B">
        <w:rPr>
          <w:rFonts w:cs="Guttman Rashi"/>
          <w:rtl/>
          <w:lang w:bidi="he-IL"/>
        </w:rPr>
        <w:t xml:space="preserve"> </w:t>
      </w:r>
      <w:r w:rsidRPr="00400C0B">
        <w:rPr>
          <w:rFonts w:cs="Guttman Rashi" w:hint="eastAsia"/>
          <w:rtl/>
          <w:lang w:bidi="he-IL"/>
        </w:rPr>
        <w:t>נטלה</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שהמתין</w:t>
      </w:r>
      <w:r w:rsidRPr="00400C0B">
        <w:rPr>
          <w:rFonts w:cs="Guttman Rashi"/>
          <w:rtl/>
          <w:lang w:bidi="he-IL"/>
        </w:rPr>
        <w:t xml:space="preserve"> </w:t>
      </w:r>
      <w:r w:rsidRPr="00400C0B">
        <w:rPr>
          <w:rFonts w:cs="Guttman Rashi" w:hint="eastAsia"/>
          <w:rtl/>
          <w:lang w:bidi="he-IL"/>
        </w:rPr>
        <w:t>זמן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כבין</w:t>
      </w:r>
      <w:r w:rsidRPr="00400C0B">
        <w:rPr>
          <w:rFonts w:cs="Guttman Rashi"/>
          <w:rtl/>
          <w:lang w:bidi="he-IL"/>
        </w:rPr>
        <w:t xml:space="preserve"> </w:t>
      </w:r>
      <w:r w:rsidRPr="00400C0B">
        <w:rPr>
          <w:rFonts w:cs="Guttman Rashi" w:hint="eastAsia"/>
          <w:rtl/>
          <w:lang w:bidi="he-IL"/>
        </w:rPr>
        <w:t>סעודה</w:t>
      </w:r>
      <w:r w:rsidRPr="00400C0B">
        <w:rPr>
          <w:rFonts w:cs="Guttman Rashi"/>
          <w:rtl/>
          <w:lang w:bidi="he-IL"/>
        </w:rPr>
        <w:t xml:space="preserve"> </w:t>
      </w:r>
      <w:r w:rsidRPr="00400C0B">
        <w:rPr>
          <w:rFonts w:cs="Guttman Rashi" w:hint="eastAsia"/>
          <w:rtl/>
          <w:lang w:bidi="he-IL"/>
        </w:rPr>
        <w:t>לסעודה</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מוכח</w:t>
      </w:r>
      <w:r w:rsidRPr="00400C0B">
        <w:rPr>
          <w:rFonts w:cs="Guttman Rashi"/>
          <w:rtl/>
          <w:lang w:bidi="he-IL"/>
        </w:rPr>
        <w:t xml:space="preserve"> </w:t>
      </w:r>
      <w:r w:rsidRPr="00400C0B">
        <w:rPr>
          <w:rFonts w:cs="Guttman Rashi" w:hint="eastAsia"/>
          <w:rtl/>
          <w:lang w:bidi="he-IL"/>
        </w:rPr>
        <w:t>מדחיית</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וכל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שמבואר</w:t>
      </w:r>
      <w:r w:rsidRPr="00400C0B">
        <w:rPr>
          <w:rFonts w:cs="Guttman Rashi"/>
          <w:rtl/>
          <w:lang w:bidi="he-IL"/>
        </w:rPr>
        <w:t xml:space="preserve"> </w:t>
      </w:r>
      <w:r w:rsidRPr="00400C0B">
        <w:rPr>
          <w:rFonts w:cs="Guttman Rashi" w:hint="eastAsia"/>
          <w:rtl/>
          <w:lang w:bidi="he-IL"/>
        </w:rPr>
        <w:t>צידד</w:t>
      </w:r>
      <w:r w:rsidRPr="00400C0B">
        <w:rPr>
          <w:rFonts w:cs="Guttman Rashi"/>
          <w:rtl/>
          <w:lang w:bidi="he-IL"/>
        </w:rPr>
        <w:t xml:space="preserve"> </w:t>
      </w:r>
      <w:r w:rsidRPr="00400C0B">
        <w:rPr>
          <w:rFonts w:cs="Guttman Rashi" w:hint="eastAsia"/>
          <w:rtl/>
          <w:lang w:bidi="he-IL"/>
        </w:rPr>
        <w:t>בחי</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שאפשר</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בדעת</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בתי</w:t>
      </w:r>
      <w:r w:rsidRPr="00400C0B">
        <w:rPr>
          <w:rFonts w:cs="Guttman Rashi"/>
          <w:rtl/>
          <w:lang w:bidi="he-IL"/>
        </w:rPr>
        <w:t xml:space="preserve">' </w:t>
      </w:r>
      <w:r w:rsidRPr="00400C0B">
        <w:rPr>
          <w:rFonts w:cs="Guttman Rashi" w:hint="eastAsia"/>
          <w:rtl/>
          <w:lang w:bidi="he-IL"/>
        </w:rPr>
        <w:t>הראשון</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בדף</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p>
  </w:footnote>
  <w:footnote w:id="17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בתפא</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אתר</w:t>
      </w:r>
      <w:r w:rsidRPr="00400C0B">
        <w:rPr>
          <w:rFonts w:cs="Guttman Rashi"/>
          <w:rtl/>
          <w:lang w:bidi="he-IL"/>
        </w:rPr>
        <w:t>.</w:t>
      </w:r>
    </w:p>
  </w:footnote>
  <w:footnote w:id="17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ולשון</w:t>
      </w:r>
      <w:r w:rsidRPr="00400C0B">
        <w:rPr>
          <w:rFonts w:cs="Guttman Rashi"/>
          <w:rtl/>
          <w:lang w:bidi="he-IL"/>
        </w:rPr>
        <w:t xml:space="preserve"> </w:t>
      </w:r>
      <w:r w:rsidRPr="00400C0B">
        <w:rPr>
          <w:rFonts w:cs="Guttman Rashi" w:hint="eastAsia"/>
          <w:rtl/>
          <w:lang w:bidi="he-IL"/>
        </w:rPr>
        <w:t>ההגות</w:t>
      </w:r>
      <w:r w:rsidRPr="00400C0B">
        <w:rPr>
          <w:rFonts w:cs="Guttman Rashi"/>
          <w:rtl/>
          <w:lang w:bidi="he-IL"/>
        </w:rPr>
        <w:t xml:space="preserve"> </w:t>
      </w:r>
      <w:r w:rsidRPr="00400C0B">
        <w:rPr>
          <w:rFonts w:cs="Guttman Rashi" w:hint="eastAsia"/>
          <w:rtl/>
          <w:lang w:bidi="he-IL"/>
        </w:rPr>
        <w:t>מרדכי</w:t>
      </w:r>
      <w:r w:rsidRPr="00400C0B">
        <w:rPr>
          <w:rFonts w:cs="Guttman Rashi"/>
          <w:rtl/>
          <w:lang w:bidi="he-IL"/>
        </w:rPr>
        <w:t xml:space="preserve"> </w:t>
      </w:r>
      <w:r w:rsidRPr="00400C0B">
        <w:rPr>
          <w:rFonts w:cs="Guttman Rashi" w:hint="eastAsia"/>
          <w:rtl/>
          <w:lang w:bidi="he-IL"/>
        </w:rPr>
        <w:t>בפ</w:t>
      </w:r>
      <w:r w:rsidRPr="00400C0B">
        <w:rPr>
          <w:rFonts w:cs="Guttman Rashi"/>
          <w:rtl/>
          <w:lang w:bidi="he-IL"/>
        </w:rPr>
        <w:t>"</w:t>
      </w:r>
      <w:r w:rsidRPr="00400C0B">
        <w:rPr>
          <w:rFonts w:cs="Guttman Rashi" w:hint="eastAsia"/>
          <w:rtl/>
          <w:lang w:bidi="he-IL"/>
        </w:rPr>
        <w:t>ק</w:t>
      </w:r>
      <w:r w:rsidRPr="00400C0B">
        <w:rPr>
          <w:rFonts w:cs="Guttman Rashi"/>
          <w:lang w:bidi="he-IL"/>
        </w:rPr>
        <w:t xml:space="preserve"> </w:t>
      </w:r>
      <w:r w:rsidRPr="00400C0B">
        <w:rPr>
          <w:rFonts w:cs="Guttman Rashi" w:hint="eastAsia"/>
          <w:rtl/>
          <w:lang w:bidi="he-IL"/>
        </w:rPr>
        <w:t>דמס</w:t>
      </w:r>
      <w:r w:rsidRPr="00400C0B">
        <w:rPr>
          <w:rFonts w:cs="Guttman Rashi"/>
          <w:rtl/>
          <w:lang w:bidi="he-IL"/>
        </w:rPr>
        <w:t xml:space="preserve">' </w:t>
      </w:r>
      <w:r w:rsidRPr="00400C0B">
        <w:rPr>
          <w:rFonts w:cs="Guttman Rashi" w:hint="eastAsia"/>
          <w:rtl/>
          <w:lang w:bidi="he-IL"/>
        </w:rPr>
        <w:t>שבת</w:t>
      </w:r>
      <w:r w:rsidRPr="00400C0B">
        <w:rPr>
          <w:rFonts w:cs="Guttman Rashi"/>
          <w:rtl/>
          <w:lang w:bidi="he-IL"/>
        </w:rPr>
        <w:t xml:space="preserve"> "</w:t>
      </w:r>
      <w:r w:rsidRPr="00400C0B">
        <w:rPr>
          <w:rFonts w:cs="Guttman Rashi" w:hint="eastAsia"/>
          <w:rtl/>
          <w:lang w:bidi="he-IL"/>
        </w:rPr>
        <w:t>מורגלים</w:t>
      </w:r>
      <w:r w:rsidRPr="00400C0B">
        <w:rPr>
          <w:rFonts w:cs="Guttman Rashi"/>
          <w:rtl/>
          <w:lang w:bidi="he-IL"/>
        </w:rPr>
        <w:t>".</w:t>
      </w:r>
    </w:p>
  </w:footnote>
  <w:footnote w:id="17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שכתבו</w:t>
      </w:r>
      <w:r w:rsidRPr="00400C0B">
        <w:rPr>
          <w:rFonts w:cs="Guttman Rashi"/>
          <w:rtl/>
          <w:lang w:bidi="he-IL"/>
        </w:rPr>
        <w:t xml:space="preserve"> </w:t>
      </w:r>
      <w:r w:rsidRPr="00400C0B">
        <w:rPr>
          <w:rFonts w:cs="Guttman Rashi" w:hint="eastAsia"/>
          <w:rtl/>
          <w:lang w:bidi="he-IL"/>
        </w:rPr>
        <w:t>שלפי</w:t>
      </w:r>
      <w:r w:rsidRPr="00400C0B">
        <w:rPr>
          <w:rFonts w:cs="Guttman Rashi"/>
          <w:rtl/>
          <w:lang w:bidi="he-IL"/>
        </w:rPr>
        <w:t xml:space="preserve"> </w:t>
      </w:r>
      <w:r w:rsidRPr="00400C0B">
        <w:rPr>
          <w:rFonts w:cs="Guttman Rashi" w:hint="eastAsia"/>
          <w:rtl/>
          <w:lang w:bidi="he-IL"/>
        </w:rPr>
        <w:t>האחרון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איירי</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שיהא</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היכר</w:t>
      </w:r>
      <w:r w:rsidRPr="00400C0B">
        <w:rPr>
          <w:rFonts w:cs="Guttman Rashi"/>
          <w:rtl/>
          <w:lang w:bidi="he-IL"/>
        </w:rPr>
        <w:t xml:space="preserve"> – </w:t>
      </w:r>
      <w:r w:rsidRPr="00400C0B">
        <w:rPr>
          <w:rFonts w:cs="Guttman Rashi" w:hint="eastAsia"/>
          <w:rtl/>
          <w:lang w:bidi="he-IL"/>
        </w:rPr>
        <w:t>ומשמע</w:t>
      </w:r>
      <w:r w:rsidRPr="00400C0B">
        <w:rPr>
          <w:rFonts w:cs="Guttman Rashi"/>
          <w:rtl/>
          <w:lang w:bidi="he-IL"/>
        </w:rPr>
        <w:t xml:space="preserve"> </w:t>
      </w:r>
      <w:r w:rsidRPr="00400C0B">
        <w:rPr>
          <w:rFonts w:cs="Guttman Rashi" w:hint="eastAsia"/>
          <w:rtl/>
          <w:lang w:bidi="he-IL"/>
        </w:rPr>
        <w:t>שלפי</w:t>
      </w:r>
      <w:r w:rsidRPr="00400C0B">
        <w:rPr>
          <w:rFonts w:cs="Guttman Rashi"/>
          <w:rtl/>
          <w:lang w:bidi="he-IL"/>
        </w:rPr>
        <w:t xml:space="preserve">' </w:t>
      </w:r>
      <w:r w:rsidRPr="00400C0B">
        <w:rPr>
          <w:rFonts w:cs="Guttman Rashi" w:hint="eastAsia"/>
          <w:rtl/>
          <w:lang w:bidi="he-IL"/>
        </w:rPr>
        <w:t>הראשון</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התייחסות</w:t>
      </w:r>
      <w:r w:rsidRPr="00400C0B">
        <w:rPr>
          <w:rFonts w:cs="Guttman Rashi"/>
          <w:rtl/>
          <w:lang w:bidi="he-IL"/>
        </w:rPr>
        <w:t>.</w:t>
      </w:r>
    </w:p>
  </w:footnote>
  <w:footnote w:id="18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מדוקדק</w:t>
      </w:r>
      <w:r w:rsidRPr="00400C0B">
        <w:rPr>
          <w:rFonts w:cs="Guttman Rashi"/>
          <w:rtl/>
          <w:lang w:bidi="he-IL"/>
        </w:rPr>
        <w:t xml:space="preserve"> </w:t>
      </w:r>
      <w:r w:rsidRPr="00400C0B">
        <w:rPr>
          <w:rFonts w:cs="Guttman Rashi" w:hint="eastAsia"/>
          <w:rtl/>
          <w:lang w:bidi="he-IL"/>
        </w:rPr>
        <w:t>לדבריהם</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לתי</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עכ</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דתהני</w:t>
      </w:r>
      <w:r w:rsidRPr="00400C0B">
        <w:rPr>
          <w:rFonts w:cs="Guttman Rashi"/>
          <w:rtl/>
          <w:lang w:bidi="he-IL"/>
        </w:rPr>
        <w:t xml:space="preserve"> </w:t>
      </w:r>
      <w:r w:rsidRPr="00400C0B">
        <w:rPr>
          <w:rFonts w:cs="Guttman Rashi" w:hint="eastAsia"/>
          <w:rtl/>
          <w:lang w:bidi="he-IL"/>
        </w:rPr>
        <w:t>היכר</w:t>
      </w:r>
      <w:r w:rsidRPr="00400C0B">
        <w:rPr>
          <w:rFonts w:cs="Guttman Rashi"/>
          <w:rtl/>
          <w:lang w:bidi="he-IL"/>
        </w:rPr>
        <w:t xml:space="preserve">, </w:t>
      </w:r>
      <w:r w:rsidRPr="00400C0B">
        <w:rPr>
          <w:rFonts w:cs="Guttman Rashi" w:hint="eastAsia"/>
          <w:rtl/>
          <w:lang w:bidi="he-IL"/>
        </w:rPr>
        <w:t>ולפי</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שבסמוך</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שאמנם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שבמס</w:t>
      </w:r>
      <w:r w:rsidRPr="00400C0B">
        <w:rPr>
          <w:rFonts w:cs="Guttman Rashi"/>
          <w:rtl/>
          <w:lang w:bidi="he-IL"/>
        </w:rPr>
        <w:t xml:space="preserve">' </w:t>
      </w:r>
      <w:r w:rsidRPr="00400C0B">
        <w:rPr>
          <w:rFonts w:cs="Guttman Rashi" w:hint="eastAsia"/>
          <w:rtl/>
          <w:lang w:bidi="he-IL"/>
        </w:rPr>
        <w:t>שבת</w:t>
      </w:r>
      <w:r w:rsidRPr="00400C0B">
        <w:rPr>
          <w:rFonts w:cs="Guttman Rashi"/>
          <w:rtl/>
          <w:lang w:bidi="he-IL"/>
        </w:rPr>
        <w:t xml:space="preserve"> </w:t>
      </w:r>
      <w:r w:rsidRPr="00400C0B">
        <w:rPr>
          <w:rFonts w:cs="Guttman Rashi" w:hint="eastAsia"/>
          <w:rtl/>
          <w:lang w:bidi="he-IL"/>
        </w:rPr>
        <w:t>דמהני</w:t>
      </w:r>
      <w:r w:rsidRPr="00400C0B">
        <w:rPr>
          <w:rFonts w:cs="Guttman Rashi"/>
          <w:rtl/>
          <w:lang w:bidi="he-IL"/>
        </w:rPr>
        <w:t xml:space="preserve">. </w:t>
      </w:r>
      <w:r w:rsidRPr="00400C0B">
        <w:rPr>
          <w:rFonts w:cs="Guttman Rashi" w:hint="eastAsia"/>
          <w:rtl/>
          <w:lang w:bidi="he-IL"/>
        </w:rPr>
        <w:t>באופן</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מדוקדק</w:t>
      </w:r>
      <w:r w:rsidRPr="00400C0B">
        <w:rPr>
          <w:rFonts w:cs="Guttman Rashi"/>
          <w:rtl/>
          <w:lang w:bidi="he-IL"/>
        </w:rPr>
        <w:t xml:space="preserve"> </w:t>
      </w:r>
      <w:r w:rsidRPr="00400C0B">
        <w:rPr>
          <w:rFonts w:cs="Guttman Rashi" w:hint="eastAsia"/>
          <w:rtl/>
          <w:lang w:bidi="he-IL"/>
        </w:rPr>
        <w:t>מדברי</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כגר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כדבריו</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כתבו</w:t>
      </w:r>
      <w:r w:rsidRPr="00400C0B">
        <w:rPr>
          <w:rFonts w:cs="Guttman Rashi"/>
          <w:rtl/>
          <w:lang w:bidi="he-IL"/>
        </w:rPr>
        <w:t xml:space="preserve"> </w:t>
      </w:r>
      <w:r w:rsidRPr="00400C0B">
        <w:rPr>
          <w:rFonts w:cs="Guttman Rashi" w:hint="eastAsia"/>
          <w:rtl/>
          <w:lang w:bidi="he-IL"/>
        </w:rPr>
        <w:t>שאמנם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הסוגיא</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ממס</w:t>
      </w:r>
      <w:r w:rsidRPr="00400C0B">
        <w:rPr>
          <w:rFonts w:cs="Guttman Rashi"/>
          <w:rtl/>
          <w:lang w:bidi="he-IL"/>
        </w:rPr>
        <w:t xml:space="preserve">' </w:t>
      </w:r>
      <w:r w:rsidRPr="00400C0B">
        <w:rPr>
          <w:rFonts w:cs="Guttman Rashi" w:hint="eastAsia"/>
          <w:rtl/>
          <w:lang w:bidi="he-IL"/>
        </w:rPr>
        <w:t>שבת</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p>
  </w:footnote>
  <w:footnote w:id="181">
    <w:p w:rsidR="007978F4" w:rsidRPr="00D152C5" w:rsidRDefault="007978F4" w:rsidP="00D152C5">
      <w:pPr>
        <w:pStyle w:val="FootnoteText"/>
        <w:bidi/>
        <w:jc w:val="both"/>
        <w:rPr>
          <w:rFonts w:cs="Guttman Rashi"/>
          <w:rtl/>
          <w:lang w:bidi="he-IL"/>
        </w:rPr>
      </w:pPr>
      <w:r w:rsidRPr="00D152C5">
        <w:rPr>
          <w:rStyle w:val="FootnoteReference"/>
          <w:rFonts w:cs="Guttman Rashi"/>
        </w:rPr>
        <w:footnoteRef/>
      </w:r>
      <w:r w:rsidRPr="00D152C5">
        <w:rPr>
          <w:rFonts w:cs="Guttman Rashi"/>
        </w:rPr>
        <w:t xml:space="preserve"> </w:t>
      </w:r>
      <w:r w:rsidRPr="00D152C5">
        <w:rPr>
          <w:rFonts w:cs="Guttman Rashi" w:hint="cs"/>
          <w:rtl/>
          <w:lang w:bidi="he-IL"/>
        </w:rPr>
        <w:t>שו"ר שדבר זה נדחה מדברי רבינו ירוחם שהביא הב"י בסי' קצ"ה דמהני זה שינוי שאינה יושבת במקומה. הרי פשוט שאין זה מספיק לעשות ב' כריכות. וע"כ ענין של שינוי הוא. וכן לכאורה מבואר מעצם הסוגיא שמדמה לשינה הוא בבגדו והיא בבגדה, והתם ליכא ענינא דב' כריכות. וע"כ ענין של שינוי הוא.</w:t>
      </w:r>
    </w:p>
  </w:footnote>
  <w:footnote w:id="18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לבאר</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הצדדים</w:t>
      </w:r>
      <w:r w:rsidRPr="00400C0B">
        <w:rPr>
          <w:rFonts w:cs="Guttman Rashi"/>
          <w:rtl/>
          <w:lang w:bidi="he-IL"/>
        </w:rPr>
        <w:t xml:space="preserve"> </w:t>
      </w:r>
      <w:r w:rsidRPr="00400C0B">
        <w:rPr>
          <w:rFonts w:cs="Guttman Rashi" w:hint="eastAsia"/>
          <w:rtl/>
          <w:lang w:bidi="he-IL"/>
        </w:rPr>
        <w:t>שבחקירה</w:t>
      </w:r>
      <w:r w:rsidRPr="00400C0B">
        <w:rPr>
          <w:rFonts w:cs="Guttman Rashi"/>
          <w:rtl/>
          <w:lang w:bidi="he-IL"/>
        </w:rPr>
        <w:t xml:space="preserve"> </w:t>
      </w:r>
      <w:r w:rsidRPr="00400C0B">
        <w:rPr>
          <w:rFonts w:cs="Guttman Rashi" w:hint="eastAsia"/>
          <w:rtl/>
          <w:lang w:bidi="he-IL"/>
        </w:rPr>
        <w:t>שחקרנו</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מיבעי</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העיקר</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לעשות</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כעין</w:t>
      </w:r>
      <w:r w:rsidRPr="00400C0B">
        <w:rPr>
          <w:rFonts w:cs="Guttman Rashi"/>
          <w:rtl/>
          <w:lang w:bidi="he-IL"/>
        </w:rPr>
        <w:t xml:space="preserve"> </w:t>
      </w:r>
      <w:r w:rsidRPr="00400C0B">
        <w:rPr>
          <w:rFonts w:cs="Guttman Rashi" w:hint="eastAsia"/>
          <w:rtl/>
          <w:lang w:bidi="he-IL"/>
        </w:rPr>
        <w:t>תפיסה</w:t>
      </w:r>
      <w:r w:rsidRPr="00400C0B">
        <w:rPr>
          <w:rFonts w:cs="Guttman Rashi"/>
          <w:rtl/>
          <w:lang w:bidi="he-IL"/>
        </w:rPr>
        <w:t xml:space="preserve"> </w:t>
      </w:r>
      <w:r w:rsidRPr="00400C0B">
        <w:rPr>
          <w:rFonts w:cs="Guttman Rashi" w:hint="eastAsia"/>
          <w:rtl/>
          <w:lang w:bidi="he-IL"/>
        </w:rPr>
        <w:t>אחת</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ניחא</w:t>
      </w:r>
      <w:r w:rsidRPr="00400C0B">
        <w:rPr>
          <w:rFonts w:cs="Guttman Rashi"/>
          <w:rtl/>
          <w:lang w:bidi="he-IL"/>
        </w:rPr>
        <w:t xml:space="preserve">, </w:t>
      </w:r>
      <w:r w:rsidRPr="00400C0B">
        <w:rPr>
          <w:rFonts w:cs="Guttman Rashi" w:hint="eastAsia"/>
          <w:rtl/>
          <w:lang w:bidi="he-IL"/>
        </w:rPr>
        <w:t>דשפיר</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דרך</w:t>
      </w:r>
      <w:r w:rsidRPr="00400C0B">
        <w:rPr>
          <w:rFonts w:cs="Guttman Rashi"/>
          <w:rtl/>
          <w:lang w:bidi="he-IL"/>
        </w:rPr>
        <w:t xml:space="preserve"> </w:t>
      </w:r>
      <w:r w:rsidRPr="00400C0B">
        <w:rPr>
          <w:rFonts w:cs="Guttman Rashi" w:hint="eastAsia"/>
          <w:rtl/>
          <w:lang w:bidi="he-IL"/>
        </w:rPr>
        <w:t>חיבה</w:t>
      </w:r>
      <w:r w:rsidRPr="00400C0B">
        <w:rPr>
          <w:rFonts w:cs="Guttman Rashi"/>
          <w:rtl/>
          <w:lang w:bidi="he-IL"/>
        </w:rPr>
        <w:t xml:space="preserve"> </w:t>
      </w:r>
      <w:r w:rsidRPr="00400C0B">
        <w:rPr>
          <w:rFonts w:cs="Guttman Rashi" w:hint="eastAsia"/>
          <w:rtl/>
          <w:lang w:bidi="he-IL"/>
        </w:rPr>
        <w:t>אא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כעין</w:t>
      </w:r>
      <w:r w:rsidRPr="00400C0B">
        <w:rPr>
          <w:rFonts w:cs="Guttman Rashi"/>
          <w:rtl/>
          <w:lang w:bidi="he-IL"/>
        </w:rPr>
        <w:t xml:space="preserve"> </w:t>
      </w:r>
      <w:r w:rsidRPr="00400C0B">
        <w:rPr>
          <w:rFonts w:cs="Guttman Rashi" w:hint="eastAsia"/>
          <w:rtl/>
          <w:lang w:bidi="he-IL"/>
        </w:rPr>
        <w:t>תפיסה</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הענין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שיהא</w:t>
      </w:r>
      <w:r w:rsidRPr="00400C0B">
        <w:rPr>
          <w:rFonts w:cs="Guttman Rashi"/>
          <w:rtl/>
          <w:lang w:bidi="he-IL"/>
        </w:rPr>
        <w:t xml:space="preserve"> </w:t>
      </w:r>
      <w:r w:rsidRPr="00400C0B">
        <w:rPr>
          <w:rFonts w:cs="Guttman Rashi" w:hint="eastAsia"/>
          <w:rtl/>
          <w:lang w:bidi="he-IL"/>
        </w:rPr>
        <w:t>היכר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שמהני</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כעין</w:t>
      </w:r>
      <w:r w:rsidRPr="00400C0B">
        <w:rPr>
          <w:rFonts w:cs="Guttman Rashi"/>
          <w:rtl/>
          <w:lang w:bidi="he-IL"/>
        </w:rPr>
        <w:t xml:space="preserve"> </w:t>
      </w:r>
      <w:r w:rsidRPr="00400C0B">
        <w:rPr>
          <w:rFonts w:cs="Guttman Rashi" w:hint="eastAsia"/>
          <w:rtl/>
          <w:lang w:bidi="he-IL"/>
        </w:rPr>
        <w:t>תפיסה</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וכדמבואר</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דכה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כעין</w:t>
      </w:r>
      <w:r w:rsidRPr="00400C0B">
        <w:rPr>
          <w:rFonts w:cs="Guttman Rashi"/>
          <w:rtl/>
          <w:lang w:bidi="he-IL"/>
        </w:rPr>
        <w:t xml:space="preserve"> </w:t>
      </w:r>
      <w:r w:rsidRPr="00400C0B">
        <w:rPr>
          <w:rFonts w:cs="Guttman Rashi" w:hint="eastAsia"/>
          <w:rtl/>
          <w:lang w:bidi="he-IL"/>
        </w:rPr>
        <w:t>תפיסה</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w:t>
      </w:r>
    </w:p>
  </w:footnote>
  <w:footnote w:id="18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ולפי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אוכל</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קטן</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עכו</w:t>
      </w:r>
      <w:r w:rsidRPr="00400C0B">
        <w:rPr>
          <w:rFonts w:cs="Guttman Rashi"/>
          <w:rtl/>
          <w:lang w:bidi="he-IL"/>
        </w:rPr>
        <w:t>"</w:t>
      </w:r>
      <w:r w:rsidRPr="00400C0B">
        <w:rPr>
          <w:rFonts w:cs="Guttman Rashi" w:hint="eastAsia"/>
          <w:rtl/>
          <w:lang w:bidi="he-IL"/>
        </w:rPr>
        <w:t>ם</w:t>
      </w:r>
      <w:r w:rsidRPr="00400C0B">
        <w:rPr>
          <w:rFonts w:cs="Guttman Rashi"/>
          <w:rtl/>
          <w:lang w:bidi="he-IL"/>
        </w:rPr>
        <w:t>.</w:t>
      </w:r>
    </w:p>
  </w:footnote>
  <w:footnote w:id="18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שמקום</w:t>
      </w:r>
      <w:r w:rsidRPr="00400C0B">
        <w:rPr>
          <w:rFonts w:cs="Guttman Rashi"/>
          <w:rtl/>
          <w:lang w:bidi="he-IL"/>
        </w:rPr>
        <w:t xml:space="preserve"> </w:t>
      </w:r>
      <w:r w:rsidRPr="00400C0B">
        <w:rPr>
          <w:rFonts w:cs="Guttman Rashi" w:hint="eastAsia"/>
          <w:rtl/>
          <w:lang w:bidi="he-IL"/>
        </w:rPr>
        <w:t>ההיכר</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אוכל</w:t>
      </w:r>
      <w:r w:rsidRPr="00400C0B">
        <w:rPr>
          <w:rFonts w:cs="Guttman Rashi"/>
          <w:rtl/>
          <w:lang w:bidi="he-IL"/>
        </w:rPr>
        <w:t xml:space="preserve"> </w:t>
      </w:r>
      <w:r w:rsidRPr="00400C0B">
        <w:rPr>
          <w:rFonts w:cs="Guttman Rashi" w:hint="eastAsia"/>
          <w:rtl/>
          <w:lang w:bidi="he-IL"/>
        </w:rPr>
        <w:t>לאוכל</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עושים</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שיהא</w:t>
      </w:r>
      <w:r w:rsidRPr="00400C0B">
        <w:rPr>
          <w:rFonts w:cs="Guttman Rashi"/>
          <w:rtl/>
          <w:lang w:bidi="he-IL"/>
        </w:rPr>
        <w:t xml:space="preserve"> </w:t>
      </w:r>
      <w:r w:rsidRPr="00400C0B">
        <w:rPr>
          <w:rFonts w:cs="Guttman Rashi" w:hint="eastAsia"/>
          <w:rtl/>
          <w:lang w:bidi="he-IL"/>
        </w:rPr>
        <w:t>הפרדה</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האוכלים</w:t>
      </w:r>
      <w:r w:rsidRPr="00400C0B">
        <w:rPr>
          <w:rFonts w:cs="Guttman Rashi"/>
          <w:rtl/>
          <w:lang w:bidi="he-IL"/>
        </w:rPr>
        <w:t>.</w:t>
      </w:r>
    </w:p>
  </w:footnote>
  <w:footnote w:id="18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להדגיש</w:t>
      </w:r>
      <w:r w:rsidRPr="00400C0B">
        <w:rPr>
          <w:rFonts w:cs="Guttman Rashi"/>
          <w:rtl/>
          <w:lang w:bidi="he-IL"/>
        </w:rPr>
        <w:t xml:space="preserve"> </w:t>
      </w:r>
      <w:r w:rsidRPr="00400C0B">
        <w:rPr>
          <w:rFonts w:cs="Guttman Rashi" w:hint="eastAsia"/>
          <w:rtl/>
          <w:lang w:bidi="he-IL"/>
        </w:rPr>
        <w:t>שלפי</w:t>
      </w:r>
      <w:r w:rsidRPr="00400C0B">
        <w:rPr>
          <w:rFonts w:cs="Guttman Rashi"/>
          <w:rtl/>
          <w:lang w:bidi="he-IL"/>
        </w:rPr>
        <w:t xml:space="preserve"> </w:t>
      </w:r>
      <w:r w:rsidRPr="00400C0B">
        <w:rPr>
          <w:rFonts w:cs="Guttman Rashi" w:hint="eastAsia"/>
          <w:rtl/>
          <w:lang w:bidi="he-IL"/>
        </w:rPr>
        <w:t>הצד</w:t>
      </w:r>
      <w:r w:rsidRPr="00400C0B">
        <w:rPr>
          <w:rFonts w:cs="Guttman Rashi"/>
          <w:rtl/>
          <w:lang w:bidi="he-IL"/>
        </w:rPr>
        <w:t xml:space="preserve"> </w:t>
      </w:r>
      <w:r w:rsidRPr="00400C0B">
        <w:rPr>
          <w:rFonts w:cs="Guttman Rashi" w:hint="eastAsia"/>
          <w:rtl/>
          <w:lang w:bidi="he-IL"/>
        </w:rPr>
        <w:t>שהזמן</w:t>
      </w:r>
      <w:r w:rsidRPr="00400C0B">
        <w:rPr>
          <w:rFonts w:cs="Guttman Rashi"/>
          <w:rtl/>
          <w:lang w:bidi="he-IL"/>
        </w:rPr>
        <w:t xml:space="preserve"> </w:t>
      </w:r>
      <w:r w:rsidRPr="00400C0B">
        <w:rPr>
          <w:rFonts w:cs="Guttman Rashi" w:hint="eastAsia"/>
          <w:rtl/>
          <w:lang w:bidi="he-IL"/>
        </w:rPr>
        <w:t>שבין</w:t>
      </w:r>
      <w:r w:rsidRPr="00400C0B">
        <w:rPr>
          <w:rFonts w:cs="Guttman Rashi"/>
          <w:rtl/>
          <w:lang w:bidi="he-IL"/>
        </w:rPr>
        <w:t xml:space="preserve"> </w:t>
      </w:r>
      <w:r w:rsidRPr="00400C0B">
        <w:rPr>
          <w:rFonts w:cs="Guttman Rashi" w:hint="eastAsia"/>
          <w:rtl/>
          <w:lang w:bidi="he-IL"/>
        </w:rPr>
        <w:t>סעודה</w:t>
      </w:r>
      <w:r w:rsidRPr="00400C0B">
        <w:rPr>
          <w:rFonts w:cs="Guttman Rashi"/>
          <w:rtl/>
          <w:lang w:bidi="he-IL"/>
        </w:rPr>
        <w:t xml:space="preserve"> </w:t>
      </w:r>
      <w:r w:rsidRPr="00400C0B">
        <w:rPr>
          <w:rFonts w:cs="Guttman Rashi" w:hint="eastAsia"/>
          <w:rtl/>
          <w:lang w:bidi="he-IL"/>
        </w:rPr>
        <w:t>לסעודה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היתה</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חומרא</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מר</w:t>
      </w:r>
      <w:r w:rsidRPr="00400C0B">
        <w:rPr>
          <w:rFonts w:cs="Guttman Rashi"/>
          <w:rtl/>
          <w:lang w:bidi="he-IL"/>
        </w:rPr>
        <w:t xml:space="preserve"> </w:t>
      </w:r>
      <w:r w:rsidRPr="00400C0B">
        <w:rPr>
          <w:rFonts w:cs="Guttman Rashi" w:hint="eastAsia"/>
          <w:rtl/>
          <w:lang w:bidi="he-IL"/>
        </w:rPr>
        <w:t>עוקבר</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מסתבר</w:t>
      </w:r>
      <w:r w:rsidRPr="00400C0B">
        <w:rPr>
          <w:rFonts w:cs="Guttman Rashi"/>
          <w:rtl/>
          <w:lang w:bidi="he-IL"/>
        </w:rPr>
        <w:t xml:space="preserve"> </w:t>
      </w:r>
      <w:r w:rsidRPr="00400C0B">
        <w:rPr>
          <w:rFonts w:cs="Guttman Rashi" w:hint="eastAsia"/>
          <w:rtl/>
          <w:lang w:bidi="he-IL"/>
        </w:rPr>
        <w:t>שהתוס</w:t>
      </w:r>
      <w:r w:rsidRPr="00400C0B">
        <w:rPr>
          <w:rFonts w:cs="Guttman Rashi"/>
          <w:rtl/>
          <w:lang w:bidi="he-IL"/>
        </w:rPr>
        <w:t xml:space="preserve">' </w:t>
      </w:r>
      <w:r w:rsidRPr="00400C0B">
        <w:rPr>
          <w:rFonts w:cs="Guttman Rashi" w:hint="eastAsia"/>
          <w:rtl/>
          <w:lang w:bidi="he-IL"/>
        </w:rPr>
        <w:t>באו</w:t>
      </w:r>
      <w:r w:rsidRPr="00400C0B">
        <w:rPr>
          <w:rFonts w:cs="Guttman Rashi"/>
          <w:rtl/>
          <w:lang w:bidi="he-IL"/>
        </w:rPr>
        <w:t xml:space="preserve"> </w:t>
      </w:r>
      <w:r w:rsidRPr="00400C0B">
        <w:rPr>
          <w:rFonts w:cs="Guttman Rashi" w:hint="eastAsia"/>
          <w:rtl/>
          <w:lang w:bidi="he-IL"/>
        </w:rPr>
        <w:t>לפרש</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היתה</w:t>
      </w:r>
      <w:r w:rsidRPr="00400C0B">
        <w:rPr>
          <w:rFonts w:cs="Guttman Rashi"/>
          <w:rtl/>
          <w:lang w:bidi="he-IL"/>
        </w:rPr>
        <w:t xml:space="preserve"> </w:t>
      </w:r>
      <w:r w:rsidRPr="00400C0B">
        <w:rPr>
          <w:rFonts w:cs="Guttman Rashi" w:hint="eastAsia"/>
          <w:rtl/>
          <w:lang w:bidi="he-IL"/>
        </w:rPr>
        <w:t>חומרתו</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התי</w:t>
      </w:r>
      <w:r w:rsidRPr="00400C0B">
        <w:rPr>
          <w:rFonts w:cs="Guttman Rashi"/>
          <w:rtl/>
          <w:lang w:bidi="he-IL"/>
        </w:rPr>
        <w:t xml:space="preserve">' </w:t>
      </w:r>
      <w:r w:rsidRPr="00400C0B">
        <w:rPr>
          <w:rFonts w:cs="Guttman Rashi" w:hint="eastAsia"/>
          <w:rtl/>
          <w:lang w:bidi="he-IL"/>
        </w:rPr>
        <w:t>הראשון</w:t>
      </w:r>
      <w:r w:rsidRPr="00400C0B">
        <w:rPr>
          <w:rFonts w:cs="Guttman Rashi"/>
          <w:rtl/>
          <w:lang w:bidi="he-IL"/>
        </w:rPr>
        <w:t xml:space="preserve">. </w:t>
      </w:r>
    </w:p>
  </w:footnote>
  <w:footnote w:id="18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בראשונים</w:t>
      </w:r>
      <w:r w:rsidRPr="00400C0B">
        <w:rPr>
          <w:rFonts w:cs="Guttman Rashi"/>
          <w:rtl/>
          <w:lang w:bidi="he-IL"/>
        </w:rPr>
        <w:t xml:space="preserve">, </w:t>
      </w:r>
      <w:r w:rsidRPr="00400C0B">
        <w:rPr>
          <w:rFonts w:cs="Guttman Rashi" w:hint="eastAsia"/>
          <w:rtl/>
          <w:lang w:bidi="he-IL"/>
        </w:rPr>
        <w:t>וחזינן</w:t>
      </w:r>
      <w:r w:rsidRPr="00400C0B">
        <w:rPr>
          <w:rFonts w:cs="Guttman Rashi"/>
          <w:rtl/>
          <w:lang w:bidi="he-IL"/>
        </w:rPr>
        <w:t xml:space="preserve"> </w:t>
      </w:r>
      <w:r w:rsidRPr="00400C0B">
        <w:rPr>
          <w:rFonts w:cs="Guttman Rashi" w:hint="eastAsia"/>
          <w:rtl/>
          <w:lang w:bidi="he-IL"/>
        </w:rPr>
        <w:t>מינייהו</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עבר</w:t>
      </w:r>
      <w:r w:rsidRPr="00400C0B">
        <w:rPr>
          <w:rFonts w:cs="Guttman Rashi"/>
          <w:rtl/>
          <w:lang w:bidi="he-IL"/>
        </w:rPr>
        <w:t xml:space="preserve"> </w:t>
      </w:r>
      <w:r w:rsidRPr="00400C0B">
        <w:rPr>
          <w:rFonts w:cs="Guttman Rashi" w:hint="eastAsia"/>
          <w:rtl/>
          <w:lang w:bidi="he-IL"/>
        </w:rPr>
        <w:t>זמן</w:t>
      </w:r>
      <w:r w:rsidRPr="00400C0B">
        <w:rPr>
          <w:rFonts w:cs="Guttman Rashi"/>
          <w:rtl/>
          <w:lang w:bidi="he-IL"/>
        </w:rPr>
        <w:t xml:space="preserve"> </w:t>
      </w:r>
      <w:r w:rsidRPr="00400C0B">
        <w:rPr>
          <w:rFonts w:cs="Guttman Rashi" w:hint="eastAsia"/>
          <w:rtl/>
          <w:lang w:bidi="he-IL"/>
        </w:rPr>
        <w:t>ההמתנה</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נט</w:t>
      </w:r>
      <w:r w:rsidRPr="00400C0B">
        <w:rPr>
          <w:rFonts w:cs="Guttman Rashi"/>
          <w:rtl/>
          <w:lang w:bidi="he-IL"/>
        </w:rPr>
        <w:t>"</w:t>
      </w:r>
      <w:r w:rsidRPr="00400C0B">
        <w:rPr>
          <w:rFonts w:cs="Guttman Rashi" w:hint="eastAsia"/>
          <w:rtl/>
          <w:lang w:bidi="he-IL"/>
        </w:rPr>
        <w:t>י</w:t>
      </w:r>
      <w:r w:rsidRPr="00400C0B">
        <w:rPr>
          <w:rFonts w:cs="Guttman Rashi"/>
          <w:rtl/>
          <w:lang w:bidi="he-IL"/>
        </w:rPr>
        <w:t>.</w:t>
      </w:r>
    </w:p>
  </w:footnote>
  <w:footnote w:id="18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ואציין</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שמצאתי</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אהל</w:t>
      </w:r>
      <w:r w:rsidRPr="00400C0B">
        <w:rPr>
          <w:rFonts w:cs="Guttman Rashi"/>
          <w:rtl/>
          <w:lang w:bidi="he-IL"/>
        </w:rPr>
        <w:t xml:space="preserve"> </w:t>
      </w:r>
      <w:r w:rsidRPr="00400C0B">
        <w:rPr>
          <w:rFonts w:cs="Guttman Rashi" w:hint="eastAsia"/>
          <w:rtl/>
          <w:lang w:bidi="he-IL"/>
        </w:rPr>
        <w:t>יעקב</w:t>
      </w:r>
      <w:r w:rsidRPr="00400C0B">
        <w:rPr>
          <w:rFonts w:cs="Guttman Rashi"/>
          <w:rtl/>
          <w:lang w:bidi="he-IL"/>
        </w:rPr>
        <w:t xml:space="preserve"> </w:t>
      </w:r>
      <w:r w:rsidRPr="00400C0B">
        <w:rPr>
          <w:rFonts w:cs="Guttman Rashi" w:hint="eastAsia"/>
          <w:rtl/>
          <w:lang w:bidi="he-IL"/>
        </w:rPr>
        <w:t>ששאלו</w:t>
      </w:r>
      <w:r w:rsidRPr="00400C0B">
        <w:rPr>
          <w:rFonts w:cs="Guttman Rashi"/>
          <w:rtl/>
          <w:lang w:bidi="he-IL"/>
        </w:rPr>
        <w:t xml:space="preserve"> </w:t>
      </w:r>
      <w:r w:rsidRPr="00400C0B">
        <w:rPr>
          <w:rFonts w:cs="Guttman Rashi" w:hint="eastAsia"/>
          <w:rtl/>
          <w:lang w:bidi="he-IL"/>
        </w:rPr>
        <w:t>לגר</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אוריבך</w:t>
      </w:r>
      <w:r w:rsidRPr="00400C0B">
        <w:rPr>
          <w:rFonts w:cs="Guttman Rashi"/>
          <w:rtl/>
          <w:lang w:bidi="he-IL"/>
        </w:rPr>
        <w:t xml:space="preserve"> </w:t>
      </w:r>
      <w:r w:rsidRPr="00400C0B">
        <w:rPr>
          <w:rFonts w:cs="Guttman Rashi" w:hint="eastAsia"/>
          <w:rtl/>
          <w:lang w:bidi="he-IL"/>
        </w:rPr>
        <w:t>שליט</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במי</w:t>
      </w:r>
      <w:r w:rsidRPr="00400C0B">
        <w:rPr>
          <w:rFonts w:cs="Guttman Rashi"/>
          <w:rtl/>
          <w:lang w:bidi="he-IL"/>
        </w:rPr>
        <w:t xml:space="preserve"> </w:t>
      </w:r>
      <w:r w:rsidRPr="00400C0B">
        <w:rPr>
          <w:rFonts w:cs="Guttman Rashi" w:hint="eastAsia"/>
          <w:rtl/>
          <w:lang w:bidi="he-IL"/>
        </w:rPr>
        <w:t>שנהג</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שעות</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יכול</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בישיבה</w:t>
      </w:r>
      <w:r w:rsidRPr="00400C0B">
        <w:rPr>
          <w:rFonts w:cs="Guttman Rashi"/>
          <w:rtl/>
          <w:lang w:bidi="he-IL"/>
        </w:rPr>
        <w:t xml:space="preserve"> </w:t>
      </w:r>
      <w:r w:rsidRPr="00400C0B">
        <w:rPr>
          <w:rFonts w:cs="Guttman Rashi" w:hint="eastAsia"/>
          <w:rtl/>
          <w:lang w:bidi="he-IL"/>
        </w:rPr>
        <w:t>בהמתנת</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שעות</w:t>
      </w:r>
      <w:r w:rsidRPr="00400C0B">
        <w:rPr>
          <w:rFonts w:cs="Guttman Rashi"/>
          <w:rtl/>
          <w:lang w:bidi="he-IL"/>
        </w:rPr>
        <w:t xml:space="preserve"> </w:t>
      </w:r>
      <w:r w:rsidRPr="00400C0B">
        <w:rPr>
          <w:rFonts w:cs="Guttman Rashi" w:hint="eastAsia"/>
          <w:rtl/>
          <w:lang w:bidi="he-IL"/>
        </w:rPr>
        <w:t>והשיב</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ושכשהוא</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למד</w:t>
      </w:r>
      <w:r w:rsidRPr="00400C0B">
        <w:rPr>
          <w:rFonts w:cs="Guttman Rashi"/>
          <w:rtl/>
          <w:lang w:bidi="he-IL"/>
        </w:rPr>
        <w:t xml:space="preserve"> </w:t>
      </w:r>
      <w:r w:rsidRPr="00400C0B">
        <w:rPr>
          <w:rFonts w:cs="Guttman Rashi" w:hint="eastAsia"/>
          <w:rtl/>
          <w:lang w:bidi="he-IL"/>
        </w:rPr>
        <w:t>בישיבת</w:t>
      </w:r>
      <w:r w:rsidRPr="00400C0B">
        <w:rPr>
          <w:rFonts w:cs="Guttman Rashi"/>
          <w:rtl/>
          <w:lang w:bidi="he-IL"/>
        </w:rPr>
        <w:t xml:space="preserve"> </w:t>
      </w:r>
      <w:r w:rsidRPr="00400C0B">
        <w:rPr>
          <w:rFonts w:cs="Guttman Rashi" w:hint="eastAsia"/>
          <w:rtl/>
          <w:lang w:bidi="he-IL"/>
        </w:rPr>
        <w:t>סלבודקא</w:t>
      </w:r>
      <w:r w:rsidRPr="00400C0B">
        <w:rPr>
          <w:rFonts w:cs="Guttman Rashi"/>
          <w:rtl/>
          <w:lang w:bidi="he-IL"/>
        </w:rPr>
        <w:t xml:space="preserve"> </w:t>
      </w:r>
      <w:r w:rsidRPr="00400C0B">
        <w:rPr>
          <w:rFonts w:cs="Guttman Rashi" w:hint="eastAsia"/>
          <w:rtl/>
          <w:lang w:bidi="he-IL"/>
        </w:rPr>
        <w:t>אמר</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אברמסקי</w:t>
      </w:r>
      <w:r w:rsidRPr="00400C0B">
        <w:rPr>
          <w:rFonts w:cs="Guttman Rashi"/>
          <w:rtl/>
          <w:lang w:bidi="he-IL"/>
        </w:rPr>
        <w:t xml:space="preserve"> </w:t>
      </w:r>
      <w:r w:rsidRPr="00400C0B">
        <w:rPr>
          <w:rFonts w:cs="Guttman Rashi" w:hint="eastAsia"/>
          <w:rtl/>
          <w:lang w:bidi="he-IL"/>
        </w:rPr>
        <w:t>זצ</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כחל</w:t>
      </w:r>
      <w:r w:rsidRPr="00400C0B">
        <w:rPr>
          <w:rFonts w:cs="Guttman Rashi"/>
          <w:rtl/>
          <w:lang w:bidi="he-IL"/>
        </w:rPr>
        <w:t xml:space="preserve"> </w:t>
      </w:r>
      <w:r w:rsidRPr="00400C0B">
        <w:rPr>
          <w:rFonts w:cs="Guttman Rashi" w:hint="eastAsia"/>
          <w:rtl/>
          <w:lang w:bidi="he-IL"/>
        </w:rPr>
        <w:t>שנכנס</w:t>
      </w:r>
      <w:r w:rsidRPr="00400C0B">
        <w:rPr>
          <w:rFonts w:cs="Guttman Rashi"/>
          <w:rtl/>
          <w:lang w:bidi="he-IL"/>
        </w:rPr>
        <w:t xml:space="preserve"> </w:t>
      </w:r>
      <w:r w:rsidRPr="00400C0B">
        <w:rPr>
          <w:rFonts w:cs="Guttman Rashi" w:hint="eastAsia"/>
          <w:rtl/>
          <w:lang w:bidi="he-IL"/>
        </w:rPr>
        <w:t>השעה</w:t>
      </w:r>
      <w:r w:rsidRPr="00400C0B">
        <w:rPr>
          <w:rFonts w:cs="Guttman Rashi"/>
          <w:rtl/>
          <w:lang w:bidi="he-IL"/>
        </w:rPr>
        <w:t xml:space="preserve"> </w:t>
      </w:r>
      <w:r w:rsidRPr="00400C0B">
        <w:rPr>
          <w:rFonts w:cs="Guttman Rashi" w:hint="eastAsia"/>
          <w:rtl/>
          <w:lang w:bidi="he-IL"/>
        </w:rPr>
        <w:t>הששית</w:t>
      </w:r>
      <w:r w:rsidRPr="00400C0B">
        <w:rPr>
          <w:rFonts w:cs="Guttman Rashi"/>
          <w:rtl/>
          <w:lang w:bidi="he-IL"/>
        </w:rPr>
        <w:t xml:space="preserve">. </w:t>
      </w:r>
    </w:p>
  </w:footnote>
  <w:footnote w:id="18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סוף</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ט</w:t>
      </w:r>
    </w:p>
  </w:footnote>
  <w:footnote w:id="18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וראיתי</w:t>
      </w:r>
      <w:r w:rsidRPr="00400C0B">
        <w:rPr>
          <w:rFonts w:cs="Guttman Rashi"/>
          <w:rtl/>
          <w:lang w:bidi="he-IL"/>
        </w:rPr>
        <w:t xml:space="preserve"> </w:t>
      </w:r>
      <w:r w:rsidRPr="00400C0B">
        <w:rPr>
          <w:rFonts w:cs="Guttman Rashi" w:hint="eastAsia"/>
          <w:rtl/>
          <w:lang w:bidi="he-IL"/>
        </w:rPr>
        <w:t>באג</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יו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שהבין</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מנהג</w:t>
      </w:r>
      <w:r w:rsidRPr="00400C0B">
        <w:rPr>
          <w:rFonts w:cs="Guttman Rashi"/>
          <w:rtl/>
          <w:lang w:bidi="he-IL"/>
        </w:rPr>
        <w:t xml:space="preserve"> </w:t>
      </w:r>
      <w:r w:rsidRPr="00400C0B">
        <w:rPr>
          <w:rFonts w:cs="Guttman Rashi" w:hint="eastAsia"/>
          <w:rtl/>
          <w:lang w:bidi="he-IL"/>
        </w:rPr>
        <w:t>גמור</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שטוב</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ממש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בסוף</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מקילים</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למחות</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שיעשהו</w:t>
      </w:r>
      <w:r w:rsidRPr="00400C0B">
        <w:rPr>
          <w:rFonts w:cs="Guttman Rashi"/>
          <w:rtl/>
          <w:lang w:bidi="he-IL"/>
        </w:rPr>
        <w:t xml:space="preserve"> </w:t>
      </w:r>
      <w:r w:rsidRPr="00400C0B">
        <w:rPr>
          <w:rFonts w:cs="Guttman Rashi" w:hint="eastAsia"/>
          <w:rtl/>
          <w:lang w:bidi="he-IL"/>
        </w:rPr>
        <w:t>קנוח</w:t>
      </w:r>
      <w:r w:rsidRPr="00400C0B">
        <w:rPr>
          <w:rFonts w:cs="Guttman Rashi"/>
          <w:rtl/>
          <w:lang w:bidi="he-IL"/>
        </w:rPr>
        <w:t xml:space="preserve"> </w:t>
      </w:r>
      <w:r w:rsidRPr="00400C0B">
        <w:rPr>
          <w:rFonts w:cs="Guttman Rashi" w:hint="eastAsia"/>
          <w:rtl/>
          <w:lang w:bidi="he-IL"/>
        </w:rPr>
        <w:t>והדחה</w:t>
      </w:r>
      <w:r w:rsidRPr="00400C0B">
        <w:rPr>
          <w:rFonts w:cs="Guttman Rashi"/>
          <w:rtl/>
          <w:lang w:bidi="he-IL"/>
        </w:rPr>
        <w:t xml:space="preserve"> </w:t>
      </w:r>
      <w:r w:rsidRPr="00400C0B">
        <w:rPr>
          <w:rFonts w:cs="Guttman Rashi" w:hint="eastAsia"/>
          <w:rtl/>
          <w:lang w:bidi="he-IL"/>
        </w:rPr>
        <w:t>ונטילת</w:t>
      </w:r>
      <w:r w:rsidRPr="00400C0B">
        <w:rPr>
          <w:rFonts w:cs="Guttman Rashi"/>
          <w:rtl/>
          <w:lang w:bidi="he-IL"/>
        </w:rPr>
        <w:t xml:space="preserve"> </w:t>
      </w:r>
      <w:r w:rsidRPr="00400C0B">
        <w:rPr>
          <w:rFonts w:cs="Guttman Rashi" w:hint="eastAsia"/>
          <w:rtl/>
          <w:lang w:bidi="he-IL"/>
        </w:rPr>
        <w:t>ידים</w:t>
      </w:r>
      <w:r w:rsidRPr="00400C0B">
        <w:rPr>
          <w:rFonts w:cs="Guttman Rashi"/>
          <w:rtl/>
          <w:lang w:bidi="he-IL"/>
        </w:rPr>
        <w:t xml:space="preserve"> </w:t>
      </w:r>
      <w:r w:rsidRPr="00400C0B">
        <w:rPr>
          <w:rFonts w:cs="Guttman Rashi" w:hint="eastAsia"/>
          <w:rtl/>
          <w:lang w:bidi="he-IL"/>
        </w:rPr>
        <w:t>מיהו</w:t>
      </w:r>
      <w:r w:rsidRPr="00400C0B">
        <w:rPr>
          <w:rFonts w:cs="Guttman Rashi"/>
          <w:rtl/>
          <w:lang w:bidi="he-IL"/>
        </w:rPr>
        <w:t xml:space="preserve"> </w:t>
      </w:r>
      <w:r w:rsidRPr="00400C0B">
        <w:rPr>
          <w:rFonts w:cs="Guttman Rashi" w:hint="eastAsia"/>
          <w:rtl/>
          <w:lang w:bidi="he-IL"/>
        </w:rPr>
        <w:t>טוב</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ולולא</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הו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שכוונת</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שבעצם</w:t>
      </w:r>
      <w:r w:rsidRPr="00400C0B">
        <w:rPr>
          <w:rFonts w:cs="Guttman Rashi"/>
          <w:rtl/>
          <w:lang w:bidi="he-IL"/>
        </w:rPr>
        <w:t xml:space="preserve"> </w:t>
      </w:r>
      <w:r w:rsidRPr="00400C0B">
        <w:rPr>
          <w:rFonts w:cs="Guttman Rashi" w:hint="eastAsia"/>
          <w:rtl/>
          <w:lang w:bidi="he-IL"/>
        </w:rPr>
        <w:t>המנהג</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הסתם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ומשו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שכן</w:t>
      </w:r>
      <w:r w:rsidRPr="00400C0B">
        <w:rPr>
          <w:rFonts w:cs="Guttman Rashi"/>
          <w:rtl/>
          <w:lang w:bidi="he-IL"/>
        </w:rPr>
        <w:t xml:space="preserve"> </w:t>
      </w:r>
      <w:r w:rsidRPr="00400C0B">
        <w:rPr>
          <w:rFonts w:cs="Guttman Rashi" w:hint="eastAsia"/>
          <w:rtl/>
          <w:lang w:bidi="he-IL"/>
        </w:rPr>
        <w:t>נוהגים</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אנשים</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להם</w:t>
      </w:r>
      <w:r w:rsidRPr="00400C0B">
        <w:rPr>
          <w:rFonts w:cs="Guttman Rashi"/>
          <w:rtl/>
          <w:lang w:bidi="he-IL"/>
        </w:rPr>
        <w:t xml:space="preserve"> </w:t>
      </w:r>
      <w:r w:rsidRPr="00400C0B">
        <w:rPr>
          <w:rFonts w:cs="Guttman Rashi" w:hint="eastAsia"/>
          <w:rtl/>
          <w:lang w:bidi="he-IL"/>
        </w:rPr>
        <w:t>מנהג</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ואע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למחות</w:t>
      </w:r>
      <w:r w:rsidRPr="00400C0B">
        <w:rPr>
          <w:rFonts w:cs="Guttman Rashi"/>
          <w:rtl/>
          <w:lang w:bidi="he-IL"/>
        </w:rPr>
        <w:t xml:space="preserve"> </w:t>
      </w:r>
      <w:r w:rsidRPr="00400C0B">
        <w:rPr>
          <w:rFonts w:cs="Guttman Rashi" w:hint="eastAsia"/>
          <w:rtl/>
          <w:lang w:bidi="he-IL"/>
        </w:rPr>
        <w:t>בידם</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ראוי</w:t>
      </w:r>
      <w:r w:rsidRPr="00400C0B">
        <w:rPr>
          <w:rFonts w:cs="Guttman Rashi"/>
          <w:rtl/>
          <w:lang w:bidi="he-IL"/>
        </w:rPr>
        <w:t xml:space="preserve"> </w:t>
      </w:r>
      <w:r w:rsidRPr="00400C0B">
        <w:rPr>
          <w:rFonts w:cs="Guttman Rashi" w:hint="eastAsia"/>
          <w:rtl/>
          <w:lang w:bidi="he-IL"/>
        </w:rPr>
        <w:t>להם</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סתם</w:t>
      </w:r>
      <w:r w:rsidRPr="00400C0B">
        <w:rPr>
          <w:rFonts w:cs="Guttman Rashi"/>
          <w:rtl/>
          <w:lang w:bidi="he-IL"/>
        </w:rPr>
        <w:t xml:space="preserve"> </w:t>
      </w:r>
      <w:r w:rsidRPr="00400C0B">
        <w:rPr>
          <w:rFonts w:cs="Guttman Rashi" w:hint="eastAsia"/>
          <w:rtl/>
          <w:lang w:bidi="he-IL"/>
        </w:rPr>
        <w:t>אנשים</w:t>
      </w:r>
      <w:r w:rsidRPr="00400C0B">
        <w:rPr>
          <w:rFonts w:cs="Guttman Rashi"/>
          <w:rtl/>
          <w:lang w:bidi="he-IL"/>
        </w:rPr>
        <w:t xml:space="preserve"> </w:t>
      </w:r>
      <w:r w:rsidRPr="00400C0B">
        <w:rPr>
          <w:rFonts w:cs="Guttman Rashi" w:hint="eastAsia"/>
          <w:rtl/>
          <w:lang w:bidi="he-IL"/>
        </w:rPr>
        <w:t>בכלל</w:t>
      </w:r>
      <w:r w:rsidRPr="00400C0B">
        <w:rPr>
          <w:rFonts w:cs="Guttman Rashi"/>
          <w:rtl/>
          <w:lang w:bidi="he-IL"/>
        </w:rPr>
        <w:t xml:space="preserve"> </w:t>
      </w:r>
      <w:r w:rsidRPr="00400C0B">
        <w:rPr>
          <w:rFonts w:cs="Guttman Rashi" w:hint="eastAsia"/>
          <w:rtl/>
          <w:lang w:bidi="he-IL"/>
        </w:rPr>
        <w:t>המנהג</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להם</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p>
  </w:footnote>
  <w:footnote w:id="19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ופשוט</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מטעם</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מגורד</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הטעמים</w:t>
      </w:r>
      <w:r w:rsidRPr="00400C0B">
        <w:rPr>
          <w:rFonts w:cs="Guttman Rashi"/>
          <w:rtl/>
          <w:lang w:bidi="he-IL"/>
        </w:rPr>
        <w:t xml:space="preserve"> </w:t>
      </w:r>
      <w:r w:rsidRPr="00400C0B">
        <w:rPr>
          <w:rFonts w:cs="Guttman Rashi" w:hint="eastAsia"/>
          <w:rtl/>
          <w:lang w:bidi="he-IL"/>
        </w:rPr>
        <w:t>שייכים</w:t>
      </w:r>
      <w:r w:rsidRPr="00400C0B">
        <w:rPr>
          <w:rFonts w:cs="Guttman Rashi"/>
          <w:rtl/>
          <w:lang w:bidi="he-IL"/>
        </w:rPr>
        <w:t xml:space="preserve"> </w:t>
      </w:r>
      <w:r w:rsidRPr="00400C0B">
        <w:rPr>
          <w:rFonts w:cs="Guttman Rashi" w:hint="eastAsia"/>
          <w:rtl/>
          <w:lang w:bidi="he-IL"/>
        </w:rPr>
        <w:t>בגבינה</w:t>
      </w:r>
      <w:r w:rsidRPr="00400C0B">
        <w:rPr>
          <w:rFonts w:cs="Guttman Rashi"/>
          <w:rtl/>
          <w:lang w:bidi="he-IL"/>
        </w:rPr>
        <w:t xml:space="preserve"> </w:t>
      </w:r>
      <w:r w:rsidRPr="00400C0B">
        <w:rPr>
          <w:rFonts w:cs="Guttman Rashi" w:hint="eastAsia"/>
          <w:rtl/>
          <w:lang w:bidi="he-IL"/>
        </w:rPr>
        <w:t>מגורדת</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מקילים</w:t>
      </w:r>
      <w:r w:rsidRPr="00400C0B">
        <w:rPr>
          <w:rFonts w:cs="Guttman Rashi"/>
          <w:rtl/>
          <w:lang w:bidi="he-IL"/>
        </w:rPr>
        <w:t xml:space="preserve"> </w:t>
      </w:r>
      <w:r w:rsidRPr="00400C0B">
        <w:rPr>
          <w:rFonts w:cs="Guttman Rashi" w:hint="eastAsia"/>
          <w:rtl/>
          <w:lang w:bidi="he-IL"/>
        </w:rPr>
        <w:t>במגורד</w:t>
      </w:r>
      <w:r w:rsidRPr="00400C0B">
        <w:rPr>
          <w:rFonts w:cs="Guttman Rashi"/>
          <w:rtl/>
          <w:lang w:bidi="he-IL"/>
        </w:rPr>
        <w:t xml:space="preserve"> </w:t>
      </w:r>
      <w:r w:rsidRPr="00400C0B">
        <w:rPr>
          <w:rFonts w:cs="Guttman Rashi" w:hint="eastAsia"/>
          <w:rtl/>
          <w:lang w:bidi="he-IL"/>
        </w:rPr>
        <w:t>באיזה</w:t>
      </w:r>
      <w:r w:rsidRPr="00400C0B">
        <w:rPr>
          <w:rFonts w:cs="Guttman Rashi"/>
          <w:rtl/>
          <w:lang w:bidi="he-IL"/>
        </w:rPr>
        <w:t xml:space="preserve"> </w:t>
      </w:r>
      <w:r w:rsidRPr="00400C0B">
        <w:rPr>
          <w:rFonts w:cs="Guttman Rashi" w:hint="eastAsia"/>
          <w:rtl/>
          <w:lang w:bidi="he-IL"/>
        </w:rPr>
        <w:t>ענין</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דרך</w:t>
      </w:r>
      <w:r w:rsidRPr="00400C0B">
        <w:rPr>
          <w:rFonts w:cs="Guttman Rashi"/>
          <w:rtl/>
          <w:lang w:bidi="he-IL"/>
        </w:rPr>
        <w:t xml:space="preserve"> </w:t>
      </w:r>
      <w:r w:rsidRPr="00400C0B">
        <w:rPr>
          <w:rFonts w:cs="Guttman Rashi" w:hint="eastAsia"/>
          <w:rtl/>
          <w:lang w:bidi="he-IL"/>
        </w:rPr>
        <w:t>אכילת</w:t>
      </w:r>
      <w:r w:rsidRPr="00400C0B">
        <w:rPr>
          <w:rFonts w:cs="Guttman Rashi"/>
          <w:rtl/>
          <w:lang w:bidi="he-IL"/>
        </w:rPr>
        <w:t xml:space="preserve"> </w:t>
      </w:r>
      <w:r w:rsidRPr="00400C0B">
        <w:rPr>
          <w:rFonts w:cs="Guttman Rashi" w:hint="eastAsia"/>
          <w:rtl/>
          <w:lang w:bidi="he-IL"/>
        </w:rPr>
        <w:t>גבינה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גרידה</w:t>
      </w:r>
      <w:r w:rsidRPr="00400C0B">
        <w:rPr>
          <w:rFonts w:cs="Guttman Rashi"/>
          <w:rtl/>
          <w:lang w:bidi="he-IL"/>
        </w:rPr>
        <w:t xml:space="preserve">. </w:t>
      </w:r>
    </w:p>
  </w:footnote>
  <w:footnote w:id="19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בדבריו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הכל</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חיוב</w:t>
      </w:r>
      <w:r w:rsidRPr="00400C0B">
        <w:rPr>
          <w:rFonts w:cs="Guttman Rashi"/>
          <w:rtl/>
          <w:lang w:bidi="he-IL"/>
        </w:rPr>
        <w:t xml:space="preserve"> </w:t>
      </w:r>
      <w:r w:rsidRPr="00400C0B">
        <w:rPr>
          <w:rFonts w:cs="Guttman Rashi" w:hint="eastAsia"/>
          <w:rtl/>
          <w:lang w:bidi="he-IL"/>
        </w:rPr>
        <w:t>ההמתנה</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פי</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תבשיל</w:t>
      </w:r>
      <w:r w:rsidRPr="00400C0B">
        <w:rPr>
          <w:rFonts w:cs="Guttman Rashi"/>
          <w:rtl/>
          <w:lang w:bidi="he-IL"/>
        </w:rPr>
        <w:t xml:space="preserve"> </w:t>
      </w:r>
      <w:r w:rsidRPr="00400C0B">
        <w:rPr>
          <w:rFonts w:cs="Guttman Rashi" w:hint="eastAsia"/>
          <w:rtl/>
          <w:lang w:bidi="he-IL"/>
        </w:rPr>
        <w:t>לתבשיל</w:t>
      </w:r>
      <w:r w:rsidRPr="00400C0B">
        <w:rPr>
          <w:rFonts w:cs="Guttman Rashi"/>
          <w:rtl/>
          <w:lang w:bidi="he-IL"/>
        </w:rPr>
        <w:t xml:space="preserve"> </w:t>
      </w:r>
      <w:r w:rsidRPr="00400C0B">
        <w:rPr>
          <w:rFonts w:cs="Guttman Rashi" w:hint="eastAsia"/>
          <w:rtl/>
          <w:lang w:bidi="he-IL"/>
        </w:rPr>
        <w:t>בתבשיל</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גבינה</w:t>
      </w:r>
      <w:r w:rsidRPr="00400C0B">
        <w:rPr>
          <w:rFonts w:cs="Guttman Rashi"/>
          <w:rtl/>
          <w:lang w:bidi="he-IL"/>
        </w:rPr>
        <w:t xml:space="preserve"> </w:t>
      </w:r>
      <w:r w:rsidRPr="00400C0B">
        <w:rPr>
          <w:rFonts w:cs="Guttman Rashi" w:hint="eastAsia"/>
          <w:rtl/>
          <w:lang w:bidi="he-IL"/>
        </w:rPr>
        <w:t>ואח</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תבשיל</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מבלי</w:t>
      </w:r>
      <w:r w:rsidRPr="00400C0B">
        <w:rPr>
          <w:rFonts w:cs="Guttman Rashi"/>
          <w:rtl/>
          <w:lang w:bidi="he-IL"/>
        </w:rPr>
        <w:t xml:space="preserve"> </w:t>
      </w:r>
      <w:r w:rsidRPr="00400C0B">
        <w:rPr>
          <w:rFonts w:cs="Guttman Rashi" w:hint="eastAsia"/>
          <w:rtl/>
          <w:lang w:bidi="he-IL"/>
        </w:rPr>
        <w:t>ליכנס</w:t>
      </w:r>
      <w:r w:rsidRPr="00400C0B">
        <w:rPr>
          <w:rFonts w:cs="Guttman Rashi"/>
          <w:rtl/>
          <w:lang w:bidi="he-IL"/>
        </w:rPr>
        <w:t xml:space="preserve"> </w:t>
      </w:r>
      <w:r w:rsidRPr="00400C0B">
        <w:rPr>
          <w:rFonts w:cs="Guttman Rashi" w:hint="eastAsia"/>
          <w:rtl/>
          <w:lang w:bidi="he-IL"/>
        </w:rPr>
        <w:t>לדחוקים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לבשר</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פי</w:t>
      </w:r>
      <w:r w:rsidRPr="00400C0B">
        <w:rPr>
          <w:rFonts w:cs="Guttman Rashi"/>
          <w:rtl/>
          <w:lang w:bidi="he-IL"/>
        </w:rPr>
        <w:t xml:space="preserve">' </w:t>
      </w:r>
      <w:r w:rsidRPr="00400C0B">
        <w:rPr>
          <w:rFonts w:cs="Guttman Rashi" w:hint="eastAsia"/>
          <w:rtl/>
          <w:lang w:bidi="he-IL"/>
        </w:rPr>
        <w:t>במבין</w:t>
      </w:r>
      <w:r w:rsidRPr="00400C0B">
        <w:rPr>
          <w:rFonts w:cs="Guttman Rashi"/>
          <w:rtl/>
          <w:lang w:bidi="he-IL"/>
        </w:rPr>
        <w:t xml:space="preserve"> </w:t>
      </w:r>
      <w:r w:rsidRPr="00400C0B">
        <w:rPr>
          <w:rFonts w:cs="Guttman Rashi" w:hint="eastAsia"/>
          <w:rtl/>
          <w:lang w:bidi="he-IL"/>
        </w:rPr>
        <w:t>תבשיל</w:t>
      </w:r>
      <w:r w:rsidRPr="00400C0B">
        <w:rPr>
          <w:rFonts w:cs="Guttman Rashi"/>
          <w:rtl/>
          <w:lang w:bidi="he-IL"/>
        </w:rPr>
        <w:t xml:space="preserve"> </w:t>
      </w:r>
      <w:r w:rsidRPr="00400C0B">
        <w:rPr>
          <w:rFonts w:cs="Guttman Rashi" w:hint="eastAsia"/>
          <w:rtl/>
          <w:lang w:bidi="he-IL"/>
        </w:rPr>
        <w:t>לגבינה</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מסתבר</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שזהו</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הפי</w:t>
      </w:r>
      <w:r w:rsidRPr="00400C0B">
        <w:rPr>
          <w:rFonts w:cs="Guttman Rashi"/>
          <w:rtl/>
          <w:lang w:bidi="he-IL"/>
        </w:rPr>
        <w:t xml:space="preserve">' </w:t>
      </w:r>
      <w:r w:rsidRPr="00400C0B">
        <w:rPr>
          <w:rFonts w:cs="Guttman Rashi" w:hint="eastAsia"/>
          <w:rtl/>
          <w:lang w:bidi="he-IL"/>
        </w:rPr>
        <w:t>במבין</w:t>
      </w:r>
      <w:r w:rsidRPr="00400C0B">
        <w:rPr>
          <w:rFonts w:cs="Guttman Rashi"/>
          <w:rtl/>
          <w:lang w:bidi="he-IL"/>
        </w:rPr>
        <w:t xml:space="preserve"> </w:t>
      </w:r>
      <w:r w:rsidRPr="00400C0B">
        <w:rPr>
          <w:rFonts w:cs="Guttman Rashi" w:hint="eastAsia"/>
          <w:rtl/>
          <w:lang w:bidi="he-IL"/>
        </w:rPr>
        <w:t>תבשיל</w:t>
      </w:r>
      <w:r w:rsidRPr="00400C0B">
        <w:rPr>
          <w:rFonts w:cs="Guttman Rashi"/>
          <w:rtl/>
          <w:lang w:bidi="he-IL"/>
        </w:rPr>
        <w:t xml:space="preserve"> </w:t>
      </w:r>
      <w:r w:rsidRPr="00400C0B">
        <w:rPr>
          <w:rFonts w:cs="Guttman Rashi" w:hint="eastAsia"/>
          <w:rtl/>
          <w:lang w:bidi="he-IL"/>
        </w:rPr>
        <w:t>לגבינה</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במבין</w:t>
      </w:r>
      <w:r w:rsidRPr="00400C0B">
        <w:rPr>
          <w:rFonts w:cs="Guttman Rashi"/>
          <w:rtl/>
          <w:lang w:bidi="he-IL"/>
        </w:rPr>
        <w:t xml:space="preserve"> </w:t>
      </w:r>
      <w:r w:rsidRPr="00400C0B">
        <w:rPr>
          <w:rFonts w:cs="Guttman Rashi" w:hint="eastAsia"/>
          <w:rtl/>
          <w:lang w:bidi="he-IL"/>
        </w:rPr>
        <w:t>תבשיל</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דוחק</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פי</w:t>
      </w:r>
      <w:r w:rsidRPr="00400C0B">
        <w:rPr>
          <w:rFonts w:cs="Guttman Rashi"/>
          <w:rtl/>
          <w:lang w:bidi="he-IL"/>
        </w:rPr>
        <w:t xml:space="preserve">' </w:t>
      </w:r>
      <w:r w:rsidRPr="00400C0B">
        <w:rPr>
          <w:rFonts w:cs="Guttman Rashi" w:hint="eastAsia"/>
          <w:rtl/>
          <w:lang w:bidi="he-IL"/>
        </w:rPr>
        <w:t>בהדיא</w:t>
      </w:r>
      <w:r w:rsidRPr="00400C0B">
        <w:rPr>
          <w:rFonts w:cs="Guttman Rashi"/>
          <w:rtl/>
          <w:lang w:bidi="he-IL"/>
        </w:rPr>
        <w:t xml:space="preserve"> </w:t>
      </w:r>
      <w:r w:rsidRPr="00400C0B">
        <w:rPr>
          <w:rFonts w:cs="Guttman Rashi" w:hint="eastAsia"/>
          <w:rtl/>
          <w:lang w:bidi="he-IL"/>
        </w:rPr>
        <w:t>באיזה</w:t>
      </w:r>
      <w:r w:rsidRPr="00400C0B">
        <w:rPr>
          <w:rFonts w:cs="Guttman Rashi"/>
          <w:rtl/>
          <w:lang w:bidi="he-IL"/>
        </w:rPr>
        <w:t xml:space="preserve"> </w:t>
      </w:r>
      <w:r w:rsidRPr="00400C0B">
        <w:rPr>
          <w:rFonts w:cs="Guttman Rashi" w:hint="eastAsia"/>
          <w:rtl/>
          <w:lang w:bidi="he-IL"/>
        </w:rPr>
        <w:t>תבשילים</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כנ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סיבה</w:t>
      </w:r>
      <w:r w:rsidRPr="00400C0B">
        <w:rPr>
          <w:rFonts w:cs="Guttman Rashi"/>
          <w:rtl/>
          <w:lang w:bidi="he-IL"/>
        </w:rPr>
        <w:t xml:space="preserve"> </w:t>
      </w:r>
      <w:r w:rsidRPr="00400C0B">
        <w:rPr>
          <w:rFonts w:cs="Guttman Rashi" w:hint="eastAsia"/>
          <w:rtl/>
          <w:lang w:bidi="he-IL"/>
        </w:rPr>
        <w:t>נוספת</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החיוב</w:t>
      </w:r>
      <w:r w:rsidRPr="00400C0B">
        <w:rPr>
          <w:rFonts w:cs="Guttman Rashi"/>
          <w:rtl/>
          <w:lang w:bidi="he-IL"/>
        </w:rPr>
        <w:t xml:space="preserve"> </w:t>
      </w:r>
      <w:r w:rsidRPr="00400C0B">
        <w:rPr>
          <w:rFonts w:cs="Guttman Rashi" w:hint="eastAsia"/>
          <w:rtl/>
          <w:lang w:bidi="he-IL"/>
        </w:rPr>
        <w:t>נטילה</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שבין</w:t>
      </w:r>
      <w:r w:rsidRPr="00400C0B">
        <w:rPr>
          <w:rFonts w:cs="Guttman Rashi"/>
          <w:rtl/>
          <w:lang w:bidi="he-IL"/>
        </w:rPr>
        <w:t xml:space="preserve"> </w:t>
      </w:r>
      <w:r w:rsidRPr="00400C0B">
        <w:rPr>
          <w:rFonts w:cs="Guttman Rashi" w:hint="eastAsia"/>
          <w:rtl/>
          <w:lang w:bidi="he-IL"/>
        </w:rPr>
        <w:t>תבשיל</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לחבירו</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חיוב</w:t>
      </w:r>
      <w:r w:rsidRPr="00400C0B">
        <w:rPr>
          <w:rFonts w:cs="Guttman Rashi"/>
          <w:rtl/>
          <w:lang w:bidi="he-IL"/>
        </w:rPr>
        <w:t xml:space="preserve"> </w:t>
      </w:r>
      <w:r w:rsidRPr="00400C0B">
        <w:rPr>
          <w:rFonts w:cs="Guttman Rashi" w:hint="eastAsia"/>
          <w:rtl/>
          <w:lang w:bidi="he-IL"/>
        </w:rPr>
        <w:t>מעיקר</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וכי</w:t>
      </w:r>
      <w:r w:rsidRPr="00400C0B">
        <w:rPr>
          <w:rFonts w:cs="Guttman Rashi"/>
          <w:rtl/>
          <w:lang w:bidi="he-IL"/>
        </w:rPr>
        <w:t xml:space="preserve"> </w:t>
      </w:r>
      <w:r w:rsidRPr="00400C0B">
        <w:rPr>
          <w:rFonts w:cs="Guttman Rashi" w:hint="eastAsia"/>
          <w:rtl/>
          <w:lang w:bidi="he-IL"/>
        </w:rPr>
        <w:t>תימא</w:t>
      </w:r>
      <w:r w:rsidRPr="00400C0B">
        <w:rPr>
          <w:rFonts w:cs="Guttman Rashi"/>
          <w:rtl/>
          <w:lang w:bidi="he-IL"/>
        </w:rPr>
        <w:t xml:space="preserve"> </w:t>
      </w:r>
      <w:r w:rsidRPr="00400C0B">
        <w:rPr>
          <w:rFonts w:cs="Guttman Rashi" w:hint="eastAsia"/>
          <w:rtl/>
          <w:lang w:bidi="he-IL"/>
        </w:rPr>
        <w:t>דעדיין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דמנין</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 xml:space="preserve">' </w:t>
      </w:r>
      <w:r w:rsidRPr="00400C0B">
        <w:rPr>
          <w:rFonts w:cs="Guttman Rashi" w:hint="eastAsia"/>
          <w:rtl/>
          <w:lang w:bidi="he-IL"/>
        </w:rPr>
        <w:t>שמואל</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חיוב</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בנט</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תבשיל</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גבינה</w:t>
      </w:r>
      <w:r w:rsidRPr="00400C0B">
        <w:rPr>
          <w:rFonts w:cs="Guttman Rashi"/>
          <w:rtl/>
          <w:lang w:bidi="he-IL"/>
        </w:rPr>
        <w:t xml:space="preserve"> </w:t>
      </w:r>
      <w:r w:rsidRPr="00400C0B">
        <w:rPr>
          <w:rFonts w:cs="Guttman Rashi" w:hint="eastAsia"/>
          <w:rtl/>
          <w:lang w:bidi="he-IL"/>
        </w:rPr>
        <w:t>לתבשיל</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לשיטתו</w:t>
      </w:r>
      <w:r w:rsidRPr="00400C0B">
        <w:rPr>
          <w:rFonts w:cs="Guttman Rashi"/>
          <w:rtl/>
          <w:lang w:bidi="he-IL"/>
        </w:rPr>
        <w:t xml:space="preserve"> </w:t>
      </w:r>
      <w:r w:rsidRPr="00400C0B">
        <w:rPr>
          <w:rFonts w:cs="Guttman Rashi" w:hint="eastAsia"/>
          <w:rtl/>
          <w:lang w:bidi="he-IL"/>
        </w:rPr>
        <w:t>דתבשיל</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גבינה</w:t>
      </w:r>
      <w:r w:rsidRPr="00400C0B">
        <w:rPr>
          <w:rFonts w:cs="Guttman Rashi"/>
          <w:rtl/>
          <w:lang w:bidi="he-IL"/>
        </w:rPr>
        <w:t xml:space="preserve"> </w:t>
      </w:r>
      <w:r w:rsidRPr="00400C0B">
        <w:rPr>
          <w:rFonts w:cs="Guttman Rashi" w:hint="eastAsia"/>
          <w:rtl/>
          <w:lang w:bidi="he-IL"/>
        </w:rPr>
        <w:t>וגבינה</w:t>
      </w:r>
      <w:r w:rsidRPr="00400C0B">
        <w:rPr>
          <w:rFonts w:cs="Guttman Rashi"/>
          <w:rtl/>
          <w:lang w:bidi="he-IL"/>
        </w:rPr>
        <w:t xml:space="preserve"> </w:t>
      </w:r>
      <w:r w:rsidRPr="00400C0B">
        <w:rPr>
          <w:rFonts w:cs="Guttman Rashi" w:hint="eastAsia"/>
          <w:rtl/>
          <w:lang w:bidi="he-IL"/>
        </w:rPr>
        <w:t>עצמה</w:t>
      </w:r>
      <w:r w:rsidRPr="00400C0B">
        <w:rPr>
          <w:rFonts w:cs="Guttman Rashi"/>
          <w:rtl/>
          <w:lang w:bidi="he-IL"/>
        </w:rPr>
        <w:t xml:space="preserve"> </w:t>
      </w:r>
      <w:r w:rsidRPr="00400C0B">
        <w:rPr>
          <w:rFonts w:cs="Guttman Rashi" w:hint="eastAsia"/>
          <w:rtl/>
          <w:lang w:bidi="he-IL"/>
        </w:rPr>
        <w:t>הכל</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וכמש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בסמוך</w:t>
      </w:r>
      <w:r w:rsidRPr="00400C0B">
        <w:rPr>
          <w:rFonts w:cs="Guttman Rashi"/>
          <w:rtl/>
          <w:lang w:bidi="he-IL"/>
        </w:rPr>
        <w:t xml:space="preserve"> </w:t>
      </w:r>
      <w:r w:rsidRPr="00400C0B">
        <w:rPr>
          <w:rFonts w:cs="Guttman Rashi" w:hint="eastAsia"/>
          <w:rtl/>
          <w:lang w:bidi="he-IL"/>
        </w:rPr>
        <w:t>ודלא</w:t>
      </w:r>
      <w:r w:rsidRPr="00400C0B">
        <w:rPr>
          <w:rFonts w:cs="Guttman Rashi"/>
          <w:rtl/>
          <w:lang w:bidi="he-IL"/>
        </w:rPr>
        <w:t xml:space="preserve"> </w:t>
      </w:r>
      <w:r w:rsidRPr="00400C0B">
        <w:rPr>
          <w:rFonts w:cs="Guttman Rashi" w:hint="eastAsia"/>
          <w:rtl/>
          <w:lang w:bidi="he-IL"/>
        </w:rPr>
        <w:t>כרע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בדעת</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הדברים</w:t>
      </w:r>
      <w:r w:rsidRPr="00400C0B">
        <w:rPr>
          <w:rFonts w:cs="Guttman Rashi"/>
          <w:rtl/>
          <w:lang w:bidi="he-IL"/>
        </w:rPr>
        <w:t xml:space="preserve"> </w:t>
      </w:r>
      <w:r w:rsidRPr="00400C0B">
        <w:rPr>
          <w:rFonts w:cs="Guttman Rashi" w:hint="eastAsia"/>
          <w:rtl/>
          <w:lang w:bidi="he-IL"/>
        </w:rPr>
        <w:t>האלה</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פי</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הכא</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היסוד</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החיוב</w:t>
      </w:r>
      <w:r w:rsidRPr="00400C0B">
        <w:rPr>
          <w:rFonts w:cs="Guttman Rashi"/>
          <w:rtl/>
          <w:lang w:bidi="he-IL"/>
        </w:rPr>
        <w:t xml:space="preserve"> </w:t>
      </w:r>
      <w:r w:rsidRPr="00400C0B">
        <w:rPr>
          <w:rFonts w:cs="Guttman Rashi" w:hint="eastAsia"/>
          <w:rtl/>
          <w:lang w:bidi="he-IL"/>
        </w:rPr>
        <w:t>נטילה</w:t>
      </w:r>
      <w:r w:rsidRPr="00400C0B">
        <w:rPr>
          <w:rFonts w:cs="Guttman Rashi"/>
          <w:rtl/>
          <w:lang w:bidi="he-IL"/>
        </w:rPr>
        <w:t xml:space="preserve"> </w:t>
      </w:r>
      <w:r w:rsidRPr="00400C0B">
        <w:rPr>
          <w:rFonts w:cs="Guttman Rashi" w:hint="eastAsia"/>
          <w:rtl/>
          <w:lang w:bidi="he-IL"/>
        </w:rPr>
        <w:t>ויסוד</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החיוב</w:t>
      </w:r>
      <w:r w:rsidRPr="00400C0B">
        <w:rPr>
          <w:rFonts w:cs="Guttman Rashi"/>
          <w:rtl/>
          <w:lang w:bidi="he-IL"/>
        </w:rPr>
        <w:t xml:space="preserve"> </w:t>
      </w:r>
      <w:r w:rsidRPr="00400C0B">
        <w:rPr>
          <w:rFonts w:cs="Guttman Rashi" w:hint="eastAsia"/>
          <w:rtl/>
          <w:lang w:bidi="he-IL"/>
        </w:rPr>
        <w:t>המתנה</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דתבשיל</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וגבינה</w:t>
      </w:r>
      <w:r w:rsidRPr="00400C0B">
        <w:rPr>
          <w:rFonts w:cs="Guttman Rashi"/>
          <w:rtl/>
          <w:lang w:bidi="he-IL"/>
        </w:rPr>
        <w:t xml:space="preserve"> </w:t>
      </w:r>
      <w:r w:rsidRPr="00400C0B">
        <w:rPr>
          <w:rFonts w:cs="Guttman Rashi" w:hint="eastAsia"/>
          <w:rtl/>
          <w:lang w:bidi="he-IL"/>
        </w:rPr>
        <w:t>ובשר</w:t>
      </w:r>
      <w:r w:rsidRPr="00400C0B">
        <w:rPr>
          <w:rFonts w:cs="Guttman Rashi"/>
          <w:rtl/>
          <w:lang w:bidi="he-IL"/>
        </w:rPr>
        <w:t xml:space="preserve"> </w:t>
      </w:r>
      <w:r w:rsidRPr="00400C0B">
        <w:rPr>
          <w:rFonts w:cs="Guttman Rashi" w:hint="eastAsia"/>
          <w:rtl/>
          <w:lang w:bidi="he-IL"/>
        </w:rPr>
        <w:t>וגבינה</w:t>
      </w:r>
      <w:r w:rsidRPr="00400C0B">
        <w:rPr>
          <w:rFonts w:cs="Guttman Rashi"/>
          <w:rtl/>
          <w:lang w:bidi="he-IL"/>
        </w:rPr>
        <w:t xml:space="preserve"> </w:t>
      </w:r>
      <w:r w:rsidRPr="00400C0B">
        <w:rPr>
          <w:rFonts w:cs="Guttman Rashi" w:hint="eastAsia"/>
          <w:rtl/>
          <w:lang w:bidi="he-IL"/>
        </w:rPr>
        <w:t>עצמם</w:t>
      </w:r>
      <w:r w:rsidRPr="00400C0B">
        <w:rPr>
          <w:rFonts w:cs="Guttman Rashi"/>
          <w:rtl/>
          <w:lang w:bidi="he-IL"/>
        </w:rPr>
        <w:t xml:space="preserve"> </w:t>
      </w:r>
      <w:r w:rsidRPr="00400C0B">
        <w:rPr>
          <w:rFonts w:cs="Guttman Rashi" w:hint="eastAsia"/>
          <w:rtl/>
          <w:lang w:bidi="he-IL"/>
        </w:rPr>
        <w:t>שוין</w:t>
      </w:r>
      <w:r w:rsidRPr="00400C0B">
        <w:rPr>
          <w:rFonts w:cs="Guttman Rashi"/>
          <w:rtl/>
          <w:lang w:bidi="he-IL"/>
        </w:rPr>
        <w:t xml:space="preserve">, </w:t>
      </w:r>
      <w:r w:rsidRPr="00400C0B">
        <w:rPr>
          <w:rFonts w:cs="Guttman Rashi" w:hint="eastAsia"/>
          <w:rtl/>
          <w:lang w:bidi="he-IL"/>
        </w:rPr>
        <w:t>וכיון</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המחבר</w:t>
      </w:r>
      <w:r w:rsidRPr="00400C0B">
        <w:rPr>
          <w:rFonts w:cs="Guttman Rashi"/>
          <w:rtl/>
          <w:lang w:bidi="he-IL"/>
        </w:rPr>
        <w:t xml:space="preserve"> </w:t>
      </w:r>
      <w:r w:rsidRPr="00400C0B">
        <w:rPr>
          <w:rFonts w:cs="Guttman Rashi" w:hint="eastAsia"/>
          <w:rtl/>
          <w:lang w:bidi="he-IL"/>
        </w:rPr>
        <w:t>לחלק</w:t>
      </w:r>
      <w:r w:rsidRPr="00400C0B">
        <w:rPr>
          <w:rFonts w:cs="Guttman Rashi"/>
          <w:rtl/>
          <w:lang w:bidi="he-IL"/>
        </w:rPr>
        <w:t xml:space="preserve"> </w:t>
      </w:r>
      <w:r w:rsidRPr="00400C0B">
        <w:rPr>
          <w:rFonts w:cs="Guttman Rashi" w:hint="eastAsia"/>
          <w:rtl/>
          <w:lang w:bidi="he-IL"/>
        </w:rPr>
        <w:t>ביניהם</w:t>
      </w:r>
      <w:r w:rsidRPr="00400C0B">
        <w:rPr>
          <w:rFonts w:cs="Guttman Rashi"/>
          <w:rtl/>
          <w:lang w:bidi="he-IL"/>
        </w:rPr>
        <w:t xml:space="preserve"> </w:t>
      </w:r>
      <w:r w:rsidRPr="00400C0B">
        <w:rPr>
          <w:rFonts w:cs="Guttman Rashi" w:hint="eastAsia"/>
          <w:rtl/>
          <w:lang w:bidi="he-IL"/>
        </w:rPr>
        <w:t>שוב</w:t>
      </w:r>
      <w:r w:rsidRPr="00400C0B">
        <w:rPr>
          <w:rFonts w:cs="Guttman Rashi"/>
          <w:rtl/>
          <w:lang w:bidi="he-IL"/>
        </w:rPr>
        <w:t xml:space="preserve"> </w:t>
      </w:r>
      <w:r w:rsidRPr="00400C0B">
        <w:rPr>
          <w:rFonts w:cs="Guttman Rashi" w:hint="eastAsia"/>
          <w:rtl/>
          <w:lang w:bidi="he-IL"/>
        </w:rPr>
        <w:t>מסתבר</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חיוב</w:t>
      </w:r>
      <w:r w:rsidRPr="00400C0B">
        <w:rPr>
          <w:rFonts w:cs="Guttman Rashi"/>
          <w:rtl/>
          <w:lang w:bidi="he-IL"/>
        </w:rPr>
        <w:t xml:space="preserve"> </w:t>
      </w:r>
      <w:r w:rsidRPr="00400C0B">
        <w:rPr>
          <w:rFonts w:cs="Guttman Rashi" w:hint="eastAsia"/>
          <w:rtl/>
          <w:lang w:bidi="he-IL"/>
        </w:rPr>
        <w:t>נטילה</w:t>
      </w:r>
      <w:r w:rsidRPr="00400C0B">
        <w:rPr>
          <w:rFonts w:cs="Guttman Rashi"/>
          <w:rtl/>
          <w:lang w:bidi="he-IL"/>
        </w:rPr>
        <w:t xml:space="preserve"> </w:t>
      </w:r>
      <w:r w:rsidRPr="00400C0B">
        <w:rPr>
          <w:rFonts w:cs="Guttman Rashi" w:hint="eastAsia"/>
          <w:rtl/>
          <w:lang w:bidi="he-IL"/>
        </w:rPr>
        <w:t>מעיקר</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מקור</w:t>
      </w:r>
      <w:r w:rsidRPr="00400C0B">
        <w:rPr>
          <w:rFonts w:cs="Guttman Rashi"/>
          <w:rtl/>
          <w:lang w:bidi="he-IL"/>
        </w:rPr>
        <w:t xml:space="preserve"> </w:t>
      </w:r>
      <w:r w:rsidRPr="00400C0B">
        <w:rPr>
          <w:rFonts w:cs="Guttman Rashi" w:hint="eastAsia"/>
          <w:rtl/>
          <w:lang w:bidi="he-IL"/>
        </w:rPr>
        <w:t>לחייב</w:t>
      </w:r>
      <w:r w:rsidRPr="00400C0B">
        <w:rPr>
          <w:rFonts w:cs="Guttman Rashi"/>
          <w:rtl/>
          <w:lang w:bidi="he-IL"/>
        </w:rPr>
        <w:t xml:space="preserve"> </w:t>
      </w:r>
      <w:r w:rsidRPr="00400C0B">
        <w:rPr>
          <w:rFonts w:cs="Guttman Rashi" w:hint="eastAsia"/>
          <w:rtl/>
          <w:lang w:bidi="he-IL"/>
        </w:rPr>
        <w:t>בנט</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מעיקר</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וי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מסתבר</w:t>
      </w:r>
      <w:r w:rsidRPr="00400C0B">
        <w:rPr>
          <w:rFonts w:cs="Guttman Rashi"/>
          <w:rtl/>
          <w:lang w:bidi="he-IL"/>
        </w:rPr>
        <w:t xml:space="preserve"> </w:t>
      </w:r>
      <w:r w:rsidRPr="00400C0B">
        <w:rPr>
          <w:rFonts w:cs="Guttman Rashi" w:hint="eastAsia"/>
          <w:rtl/>
          <w:lang w:bidi="he-IL"/>
        </w:rPr>
        <w:t>לרמ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חיוב</w:t>
      </w:r>
      <w:r w:rsidRPr="00400C0B">
        <w:rPr>
          <w:rFonts w:cs="Guttman Rashi"/>
          <w:rtl/>
          <w:lang w:bidi="he-IL"/>
        </w:rPr>
        <w:t xml:space="preserve"> </w:t>
      </w:r>
      <w:r w:rsidRPr="00400C0B">
        <w:rPr>
          <w:rFonts w:cs="Guttman Rashi" w:hint="eastAsia"/>
          <w:rtl/>
          <w:lang w:bidi="he-IL"/>
        </w:rPr>
        <w:t>נט</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מעיקר</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w:t>
      </w:r>
    </w:p>
  </w:footnote>
  <w:footnote w:id="19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מכאן</w:t>
      </w:r>
      <w:r w:rsidRPr="00400C0B">
        <w:rPr>
          <w:rFonts w:cs="Guttman Rashi"/>
          <w:rtl/>
          <w:lang w:bidi="he-IL"/>
        </w:rPr>
        <w:t xml:space="preserve"> </w:t>
      </w:r>
      <w:r w:rsidRPr="00400C0B">
        <w:rPr>
          <w:rFonts w:cs="Guttman Rashi" w:hint="eastAsia"/>
          <w:rtl/>
          <w:lang w:bidi="he-IL"/>
        </w:rPr>
        <w:t>דיוק</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תבשיל</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שאמנם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מנהג</w:t>
      </w:r>
      <w:r w:rsidRPr="00400C0B">
        <w:rPr>
          <w:rFonts w:cs="Guttman Rashi"/>
          <w:rtl/>
          <w:lang w:bidi="he-IL"/>
        </w:rPr>
        <w:t xml:space="preserve"> </w:t>
      </w:r>
      <w:r w:rsidRPr="00400C0B">
        <w:rPr>
          <w:rFonts w:cs="Guttman Rashi" w:hint="eastAsia"/>
          <w:rtl/>
          <w:lang w:bidi="he-IL"/>
        </w:rPr>
        <w:t>בגבינה</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מדינא</w:t>
      </w:r>
      <w:r w:rsidRPr="00400C0B">
        <w:rPr>
          <w:rFonts w:cs="Guttman Rashi"/>
          <w:rtl/>
          <w:lang w:bidi="he-IL"/>
        </w:rPr>
        <w:t xml:space="preserve"> </w:t>
      </w:r>
      <w:r w:rsidRPr="00400C0B">
        <w:rPr>
          <w:rFonts w:cs="Guttman Rashi" w:hint="eastAsia"/>
          <w:rtl/>
          <w:lang w:bidi="he-IL"/>
        </w:rPr>
        <w:t>דגמ</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המנהג</w:t>
      </w:r>
      <w:r w:rsidRPr="00400C0B">
        <w:rPr>
          <w:rFonts w:cs="Guttman Rashi"/>
          <w:rtl/>
          <w:lang w:bidi="he-IL"/>
        </w:rPr>
        <w:t xml:space="preserve"> </w:t>
      </w:r>
      <w:r w:rsidRPr="00400C0B">
        <w:rPr>
          <w:rFonts w:cs="Guttman Rashi" w:hint="eastAsia"/>
          <w:rtl/>
          <w:lang w:bidi="he-IL"/>
        </w:rPr>
        <w:t>בתבשיל</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בגבינה</w:t>
      </w:r>
      <w:r w:rsidRPr="00400C0B">
        <w:rPr>
          <w:rFonts w:cs="Guttman Rashi"/>
          <w:rtl/>
          <w:lang w:bidi="he-IL"/>
        </w:rPr>
        <w:t xml:space="preserve"> </w:t>
      </w:r>
      <w:r w:rsidRPr="00400C0B">
        <w:rPr>
          <w:rFonts w:cs="Guttman Rashi" w:hint="eastAsia"/>
          <w:rtl/>
          <w:lang w:bidi="he-IL"/>
        </w:rPr>
        <w:t>רכה</w:t>
      </w:r>
      <w:r w:rsidRPr="00400C0B">
        <w:rPr>
          <w:rFonts w:cs="Guttman Rashi"/>
          <w:rtl/>
          <w:lang w:bidi="he-IL"/>
        </w:rPr>
        <w:t xml:space="preserve"> </w:t>
      </w:r>
      <w:r w:rsidRPr="00400C0B">
        <w:rPr>
          <w:rFonts w:cs="Guttman Rashi" w:hint="eastAsia"/>
          <w:rtl/>
          <w:lang w:bidi="he-IL"/>
        </w:rPr>
        <w:t>בעין</w:t>
      </w:r>
      <w:r w:rsidRPr="00400C0B">
        <w:rPr>
          <w:rFonts w:cs="Guttman Rashi"/>
          <w:rtl/>
          <w:lang w:bidi="he-IL"/>
        </w:rPr>
        <w:t xml:space="preserve">. </w:t>
      </w:r>
      <w:r w:rsidRPr="00400C0B">
        <w:rPr>
          <w:rFonts w:cs="Guttman Rashi" w:hint="eastAsia"/>
          <w:rtl/>
          <w:lang w:bidi="he-IL"/>
        </w:rPr>
        <w:t>ועדיין</w:t>
      </w:r>
      <w:r w:rsidRPr="00400C0B">
        <w:rPr>
          <w:rFonts w:cs="Guttman Rashi"/>
          <w:rtl/>
          <w:lang w:bidi="he-IL"/>
        </w:rPr>
        <w:t xml:space="preserve"> </w:t>
      </w:r>
      <w:r w:rsidRPr="00400C0B">
        <w:rPr>
          <w:rFonts w:cs="Guttman Rashi" w:hint="eastAsia"/>
          <w:rtl/>
          <w:lang w:bidi="he-IL"/>
        </w:rPr>
        <w:t>צע</w:t>
      </w:r>
      <w:r w:rsidRPr="00400C0B">
        <w:rPr>
          <w:rFonts w:cs="Guttman Rashi"/>
          <w:rtl/>
          <w:lang w:bidi="he-IL"/>
        </w:rPr>
        <w:t>"</w:t>
      </w:r>
      <w:r w:rsidRPr="00400C0B">
        <w:rPr>
          <w:rFonts w:cs="Guttman Rashi" w:hint="eastAsia"/>
          <w:rtl/>
          <w:lang w:bidi="he-IL"/>
        </w:rPr>
        <w:t>ק</w:t>
      </w:r>
      <w:r w:rsidRPr="00400C0B">
        <w:rPr>
          <w:rFonts w:cs="Guttman Rashi"/>
          <w:rtl/>
          <w:lang w:bidi="he-IL"/>
        </w:rPr>
        <w:t>.</w:t>
      </w:r>
    </w:p>
  </w:footnote>
  <w:footnote w:id="19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והעולם</w:t>
      </w:r>
      <w:r w:rsidRPr="00400C0B">
        <w:rPr>
          <w:rFonts w:cs="Guttman Rashi"/>
          <w:rtl/>
          <w:lang w:bidi="he-IL"/>
        </w:rPr>
        <w:t xml:space="preserve"> </w:t>
      </w:r>
      <w:r w:rsidRPr="00400C0B">
        <w:rPr>
          <w:rFonts w:cs="Guttman Rashi" w:hint="eastAsia"/>
          <w:rtl/>
          <w:lang w:bidi="he-IL"/>
        </w:rPr>
        <w:t>אומרים</w:t>
      </w:r>
      <w:r w:rsidRPr="00400C0B">
        <w:rPr>
          <w:rFonts w:cs="Guttman Rashi"/>
          <w:rtl/>
          <w:lang w:bidi="he-IL"/>
        </w:rPr>
        <w:t xml:space="preserve"> </w:t>
      </w:r>
      <w:r w:rsidRPr="00400C0B">
        <w:rPr>
          <w:rFonts w:cs="Guttman Rashi" w:hint="eastAsia"/>
          <w:rtl/>
          <w:lang w:bidi="he-IL"/>
        </w:rPr>
        <w:t>שהחילוק</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בכוונה</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בכוונה</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שעיקר</w:t>
      </w:r>
      <w:r w:rsidRPr="00400C0B">
        <w:rPr>
          <w:rFonts w:cs="Guttman Rashi"/>
          <w:rtl/>
          <w:lang w:bidi="he-IL"/>
        </w:rPr>
        <w:t xml:space="preserve"> </w:t>
      </w:r>
      <w:r w:rsidRPr="00400C0B">
        <w:rPr>
          <w:rFonts w:cs="Guttman Rashi" w:hint="eastAsia"/>
          <w:rtl/>
          <w:lang w:bidi="he-IL"/>
        </w:rPr>
        <w:t>הכוונה</w:t>
      </w:r>
      <w:r w:rsidRPr="00400C0B">
        <w:rPr>
          <w:rFonts w:cs="Guttman Rashi"/>
          <w:rtl/>
          <w:lang w:bidi="he-IL"/>
        </w:rPr>
        <w:t xml:space="preserve"> </w:t>
      </w:r>
      <w:r w:rsidRPr="00400C0B">
        <w:rPr>
          <w:rFonts w:cs="Guttman Rashi" w:hint="eastAsia"/>
          <w:rtl/>
          <w:lang w:bidi="he-IL"/>
        </w:rPr>
        <w:t>להנ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שפשוט</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יבשל</w:t>
      </w:r>
      <w:r w:rsidRPr="00400C0B">
        <w:rPr>
          <w:rFonts w:cs="Guttman Rashi"/>
          <w:rtl/>
          <w:lang w:bidi="he-IL"/>
        </w:rPr>
        <w:t xml:space="preserve"> </w:t>
      </w:r>
      <w:r w:rsidRPr="00400C0B">
        <w:rPr>
          <w:rFonts w:cs="Guttman Rashi" w:hint="eastAsia"/>
          <w:rtl/>
          <w:lang w:bidi="he-IL"/>
        </w:rPr>
        <w:t>מים</w:t>
      </w:r>
      <w:r w:rsidRPr="00400C0B">
        <w:rPr>
          <w:rFonts w:cs="Guttman Rashi"/>
          <w:rtl/>
          <w:lang w:bidi="he-IL"/>
        </w:rPr>
        <w:t xml:space="preserve"> </w:t>
      </w:r>
      <w:r w:rsidRPr="00400C0B">
        <w:rPr>
          <w:rFonts w:cs="Guttman Rashi" w:hint="eastAsia"/>
          <w:rtl/>
          <w:lang w:bidi="he-IL"/>
        </w:rPr>
        <w:t>ובטעות</w:t>
      </w:r>
      <w:r w:rsidRPr="00400C0B">
        <w:rPr>
          <w:rFonts w:cs="Guttman Rashi"/>
          <w:rtl/>
          <w:lang w:bidi="he-IL"/>
        </w:rPr>
        <w:t xml:space="preserve"> </w:t>
      </w:r>
      <w:r w:rsidRPr="00400C0B">
        <w:rPr>
          <w:rFonts w:cs="Guttman Rashi" w:hint="eastAsia"/>
          <w:rtl/>
          <w:lang w:bidi="he-IL"/>
        </w:rPr>
        <w:t>נפל</w:t>
      </w:r>
      <w:r w:rsidRPr="00400C0B">
        <w:rPr>
          <w:rFonts w:cs="Guttman Rashi"/>
          <w:rtl/>
          <w:lang w:bidi="he-IL"/>
        </w:rPr>
        <w:t xml:space="preserve"> </w:t>
      </w:r>
      <w:r w:rsidRPr="00400C0B">
        <w:rPr>
          <w:rFonts w:cs="Guttman Rashi" w:hint="eastAsia"/>
          <w:rtl/>
          <w:lang w:bidi="he-IL"/>
        </w:rPr>
        <w:t>לתוכו</w:t>
      </w:r>
      <w:r w:rsidRPr="00400C0B">
        <w:rPr>
          <w:rFonts w:cs="Guttman Rashi"/>
          <w:rtl/>
          <w:lang w:bidi="he-IL"/>
        </w:rPr>
        <w:t xml:space="preserve"> </w:t>
      </w:r>
      <w:r w:rsidRPr="00400C0B">
        <w:rPr>
          <w:rFonts w:cs="Guttman Rashi" w:hint="eastAsia"/>
          <w:rtl/>
          <w:lang w:bidi="he-IL"/>
        </w:rPr>
        <w:t>כמות</w:t>
      </w:r>
      <w:r w:rsidRPr="00400C0B">
        <w:rPr>
          <w:rFonts w:cs="Guttman Rashi"/>
          <w:rtl/>
          <w:lang w:bidi="he-IL"/>
        </w:rPr>
        <w:t xml:space="preserve"> </w:t>
      </w:r>
      <w:r w:rsidRPr="00400C0B">
        <w:rPr>
          <w:rFonts w:cs="Guttman Rashi" w:hint="eastAsia"/>
          <w:rtl/>
          <w:lang w:bidi="he-IL"/>
        </w:rPr>
        <w:t>עצמות</w:t>
      </w:r>
      <w:r w:rsidRPr="00400C0B">
        <w:rPr>
          <w:rFonts w:cs="Guttman Rashi"/>
          <w:rtl/>
          <w:lang w:bidi="he-IL"/>
        </w:rPr>
        <w:t xml:space="preserve"> </w:t>
      </w:r>
      <w:r w:rsidRPr="00400C0B">
        <w:rPr>
          <w:rFonts w:cs="Guttman Rashi" w:hint="eastAsia"/>
          <w:rtl/>
          <w:lang w:bidi="he-IL"/>
        </w:rPr>
        <w:t>עוף</w:t>
      </w:r>
      <w:r w:rsidRPr="00400C0B">
        <w:rPr>
          <w:rFonts w:cs="Guttman Rashi"/>
          <w:rtl/>
          <w:lang w:bidi="he-IL"/>
        </w:rPr>
        <w:t xml:space="preserve"> </w:t>
      </w:r>
      <w:r w:rsidRPr="00400C0B">
        <w:rPr>
          <w:rFonts w:cs="Guttman Rashi" w:hint="eastAsia"/>
          <w:rtl/>
          <w:lang w:bidi="he-IL"/>
        </w:rPr>
        <w:t>באופן</w:t>
      </w:r>
      <w:r w:rsidRPr="00400C0B">
        <w:rPr>
          <w:rFonts w:cs="Guttman Rashi"/>
          <w:rtl/>
          <w:lang w:bidi="he-IL"/>
        </w:rPr>
        <w:t xml:space="preserve"> </w:t>
      </w:r>
      <w:r w:rsidRPr="00400C0B">
        <w:rPr>
          <w:rFonts w:cs="Guttman Rashi" w:hint="eastAsia"/>
          <w:rtl/>
          <w:lang w:bidi="he-IL"/>
        </w:rPr>
        <w:t>שע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נהפך</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מרק</w:t>
      </w:r>
      <w:r w:rsidRPr="00400C0B">
        <w:rPr>
          <w:rFonts w:cs="Guttman Rashi"/>
          <w:rtl/>
          <w:lang w:bidi="he-IL"/>
        </w:rPr>
        <w:t xml:space="preserve"> </w:t>
      </w:r>
      <w:r w:rsidRPr="00400C0B">
        <w:rPr>
          <w:rFonts w:cs="Guttman Rashi" w:hint="eastAsia"/>
          <w:rtl/>
          <w:lang w:bidi="he-IL"/>
        </w:rPr>
        <w:t>עוף</w:t>
      </w:r>
      <w:r w:rsidRPr="00400C0B">
        <w:rPr>
          <w:rFonts w:cs="Guttman Rashi"/>
          <w:rtl/>
          <w:lang w:bidi="he-IL"/>
        </w:rPr>
        <w:t xml:space="preserve"> </w:t>
      </w:r>
      <w:r w:rsidRPr="00400C0B">
        <w:rPr>
          <w:rFonts w:cs="Guttman Rashi" w:hint="eastAsia"/>
          <w:rtl/>
          <w:lang w:bidi="he-IL"/>
        </w:rPr>
        <w:t>בדיוק</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אלו</w:t>
      </w:r>
      <w:r w:rsidRPr="00400C0B">
        <w:rPr>
          <w:rFonts w:cs="Guttman Rashi"/>
          <w:rtl/>
          <w:lang w:bidi="he-IL"/>
        </w:rPr>
        <w:t xml:space="preserve"> </w:t>
      </w:r>
      <w:r w:rsidRPr="00400C0B">
        <w:rPr>
          <w:rFonts w:cs="Guttman Rashi" w:hint="eastAsia"/>
          <w:rtl/>
          <w:lang w:bidi="he-IL"/>
        </w:rPr>
        <w:t>שעושים</w:t>
      </w:r>
      <w:r w:rsidRPr="00400C0B">
        <w:rPr>
          <w:rFonts w:cs="Guttman Rashi"/>
          <w:rtl/>
          <w:lang w:bidi="he-IL"/>
        </w:rPr>
        <w:t xml:space="preserve"> </w:t>
      </w:r>
      <w:r w:rsidRPr="00400C0B">
        <w:rPr>
          <w:rFonts w:cs="Guttman Rashi" w:hint="eastAsia"/>
          <w:rtl/>
          <w:lang w:bidi="he-IL"/>
        </w:rPr>
        <w:t>בכוונה</w:t>
      </w:r>
      <w:r w:rsidRPr="00400C0B">
        <w:rPr>
          <w:rFonts w:cs="Guttman Rashi"/>
          <w:rtl/>
          <w:lang w:bidi="he-IL"/>
        </w:rPr>
        <w:t xml:space="preserve"> </w:t>
      </w:r>
      <w:r w:rsidRPr="00400C0B">
        <w:rPr>
          <w:rFonts w:cs="Guttman Rashi" w:hint="eastAsia"/>
          <w:rtl/>
          <w:lang w:bidi="he-IL"/>
        </w:rPr>
        <w:t>שחייב</w:t>
      </w:r>
      <w:r w:rsidRPr="00400C0B">
        <w:rPr>
          <w:rFonts w:cs="Guttman Rashi"/>
          <w:rtl/>
          <w:lang w:bidi="he-IL"/>
        </w:rPr>
        <w:t xml:space="preserve"> </w:t>
      </w:r>
      <w:r w:rsidRPr="00400C0B">
        <w:rPr>
          <w:rFonts w:cs="Guttman Rashi" w:hint="eastAsia"/>
          <w:rtl/>
          <w:lang w:bidi="he-IL"/>
        </w:rPr>
        <w:t>להמתין</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סעודה</w:t>
      </w:r>
      <w:r w:rsidRPr="00400C0B">
        <w:rPr>
          <w:rFonts w:cs="Guttman Rashi"/>
          <w:rtl/>
          <w:lang w:bidi="he-IL"/>
        </w:rPr>
        <w:t xml:space="preserve"> </w:t>
      </w:r>
      <w:r w:rsidRPr="00400C0B">
        <w:rPr>
          <w:rFonts w:cs="Guttman Rashi" w:hint="eastAsia"/>
          <w:rtl/>
          <w:lang w:bidi="he-IL"/>
        </w:rPr>
        <w:t>הבאה</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לאכול</w:t>
      </w:r>
      <w:r w:rsidRPr="00400C0B">
        <w:rPr>
          <w:rFonts w:cs="Guttman Rashi"/>
          <w:rtl/>
          <w:lang w:bidi="he-IL"/>
        </w:rPr>
        <w:t xml:space="preserve"> </w:t>
      </w:r>
      <w:r w:rsidRPr="00400C0B">
        <w:rPr>
          <w:rFonts w:cs="Guttman Rashi" w:hint="eastAsia"/>
          <w:rtl/>
          <w:lang w:bidi="he-IL"/>
        </w:rPr>
        <w:t>גבינה</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יאכל</w:t>
      </w:r>
      <w:r w:rsidRPr="00400C0B">
        <w:rPr>
          <w:rFonts w:cs="Guttman Rashi"/>
          <w:rtl/>
          <w:lang w:bidi="he-IL"/>
        </w:rPr>
        <w:t xml:space="preserve"> </w:t>
      </w:r>
      <w:r w:rsidRPr="00400C0B">
        <w:rPr>
          <w:rFonts w:cs="Guttman Rashi" w:hint="eastAsia"/>
          <w:rtl/>
          <w:lang w:bidi="he-IL"/>
        </w:rPr>
        <w:t>ממרק</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הכוונה</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עיקר</w:t>
      </w:r>
      <w:r w:rsidRPr="00400C0B">
        <w:rPr>
          <w:rFonts w:cs="Guttman Rashi"/>
          <w:rtl/>
          <w:lang w:bidi="he-IL"/>
        </w:rPr>
        <w:t xml:space="preserve"> </w:t>
      </w:r>
      <w:r w:rsidRPr="00400C0B">
        <w:rPr>
          <w:rFonts w:cs="Guttman Rashi" w:hint="eastAsia"/>
          <w:rtl/>
          <w:lang w:bidi="he-IL"/>
        </w:rPr>
        <w:t>חלק</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המאכל</w:t>
      </w:r>
      <w:r w:rsidRPr="00400C0B">
        <w:rPr>
          <w:rFonts w:cs="Guttman Rashi"/>
          <w:rtl/>
          <w:lang w:bidi="he-IL"/>
        </w:rPr>
        <w:t>.</w:t>
      </w:r>
    </w:p>
  </w:footnote>
  <w:footnote w:id="19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מצאתי</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וואזנר</w:t>
      </w:r>
      <w:r w:rsidRPr="00400C0B">
        <w:rPr>
          <w:rFonts w:cs="Guttman Rashi"/>
          <w:rtl/>
          <w:lang w:bidi="he-IL"/>
        </w:rPr>
        <w:t xml:space="preserve"> </w:t>
      </w:r>
      <w:r w:rsidRPr="00400C0B">
        <w:rPr>
          <w:rFonts w:cs="Guttman Rashi" w:hint="eastAsia"/>
          <w:rtl/>
          <w:lang w:bidi="he-IL"/>
        </w:rPr>
        <w:t>זצ</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בקובץ</w:t>
      </w:r>
      <w:r w:rsidRPr="00400C0B">
        <w:rPr>
          <w:rFonts w:cs="Guttman Rashi"/>
          <w:rtl/>
          <w:lang w:bidi="he-IL"/>
        </w:rPr>
        <w:t xml:space="preserve"> </w:t>
      </w:r>
      <w:r w:rsidRPr="00400C0B">
        <w:rPr>
          <w:rFonts w:cs="Guttman Rashi" w:hint="eastAsia"/>
          <w:rtl/>
          <w:lang w:bidi="he-IL"/>
        </w:rPr>
        <w:t>מבית</w:t>
      </w:r>
      <w:r w:rsidRPr="00400C0B">
        <w:rPr>
          <w:rFonts w:cs="Guttman Rashi"/>
          <w:rtl/>
          <w:lang w:bidi="he-IL"/>
        </w:rPr>
        <w:t xml:space="preserve"> </w:t>
      </w:r>
      <w:r w:rsidRPr="00400C0B">
        <w:rPr>
          <w:rFonts w:cs="Guttman Rashi" w:hint="eastAsia"/>
          <w:rtl/>
          <w:lang w:bidi="he-IL"/>
        </w:rPr>
        <w:t>לוי</w:t>
      </w:r>
      <w:r w:rsidRPr="00400C0B">
        <w:rPr>
          <w:rFonts w:cs="Guttman Rashi"/>
          <w:rtl/>
          <w:lang w:bidi="he-IL"/>
        </w:rPr>
        <w:t xml:space="preserve"> </w:t>
      </w:r>
      <w:r w:rsidRPr="00400C0B">
        <w:rPr>
          <w:rFonts w:cs="Guttman Rashi" w:hint="eastAsia"/>
          <w:rtl/>
          <w:lang w:bidi="he-IL"/>
        </w:rPr>
        <w:t>עניני</w:t>
      </w:r>
      <w:r w:rsidRPr="00400C0B">
        <w:rPr>
          <w:rFonts w:cs="Guttman Rashi"/>
          <w:rtl/>
          <w:lang w:bidi="he-IL"/>
        </w:rPr>
        <w:t xml:space="preserve"> </w:t>
      </w:r>
      <w:r w:rsidRPr="00400C0B">
        <w:rPr>
          <w:rFonts w:cs="Guttman Rashi" w:hint="eastAsia"/>
          <w:rtl/>
          <w:lang w:bidi="he-IL"/>
        </w:rPr>
        <w:t>יו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תשובות</w:t>
      </w:r>
      <w:r w:rsidRPr="00400C0B">
        <w:rPr>
          <w:rFonts w:cs="Guttman Rashi"/>
          <w:rtl/>
          <w:lang w:bidi="he-IL"/>
        </w:rPr>
        <w:t xml:space="preserve"> </w:t>
      </w:r>
      <w:r w:rsidRPr="00400C0B">
        <w:rPr>
          <w:rFonts w:cs="Guttman Rashi" w:hint="eastAsia"/>
          <w:rtl/>
          <w:lang w:bidi="he-IL"/>
        </w:rPr>
        <w:t>והנהגות</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תל</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מחמירים</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עע</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מנח</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ז</w:t>
      </w:r>
      <w:r w:rsidRPr="00400C0B">
        <w:rPr>
          <w:rFonts w:cs="Guttman Rashi"/>
          <w:rtl/>
          <w:lang w:bidi="he-IL"/>
        </w:rPr>
        <w:t>).</w:t>
      </w:r>
    </w:p>
  </w:footnote>
  <w:footnote w:id="19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סע</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ואפילו</w:t>
      </w:r>
      <w:r w:rsidRPr="00400C0B">
        <w:rPr>
          <w:rFonts w:cs="Guttman Rashi"/>
          <w:rtl/>
          <w:lang w:bidi="he-IL"/>
        </w:rPr>
        <w:t xml:space="preserve"> </w:t>
      </w:r>
      <w:r w:rsidRPr="00400C0B">
        <w:rPr>
          <w:rFonts w:cs="Guttman Rashi" w:hint="eastAsia"/>
          <w:rtl/>
          <w:lang w:bidi="he-IL"/>
        </w:rPr>
        <w:t>המכירים</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עשו</w:t>
      </w:r>
      <w:r w:rsidRPr="00400C0B">
        <w:rPr>
          <w:rFonts w:cs="Guttman Rashi"/>
          <w:rtl/>
          <w:lang w:bidi="he-IL"/>
        </w:rPr>
        <w:t xml:space="preserve"> </w:t>
      </w:r>
      <w:r w:rsidRPr="00400C0B">
        <w:rPr>
          <w:rFonts w:cs="Guttman Rashi" w:hint="eastAsia"/>
          <w:rtl/>
          <w:lang w:bidi="he-IL"/>
        </w:rPr>
        <w:t>שום</w:t>
      </w:r>
      <w:r w:rsidRPr="00400C0B">
        <w:rPr>
          <w:rFonts w:cs="Guttman Rashi"/>
          <w:rtl/>
          <w:lang w:bidi="he-IL"/>
        </w:rPr>
        <w:t xml:space="preserve"> </w:t>
      </w:r>
      <w:r w:rsidRPr="00400C0B">
        <w:rPr>
          <w:rFonts w:cs="Guttman Rashi" w:hint="eastAsia"/>
          <w:rtl/>
          <w:lang w:bidi="he-IL"/>
        </w:rPr>
        <w:t>היכר</w:t>
      </w:r>
      <w:r w:rsidRPr="00400C0B">
        <w:rPr>
          <w:rFonts w:cs="Guttman Rashi"/>
          <w:rtl/>
          <w:lang w:bidi="he-IL"/>
        </w:rPr>
        <w:t xml:space="preserve"> </w:t>
      </w:r>
      <w:r w:rsidRPr="00400C0B">
        <w:rPr>
          <w:rFonts w:cs="Guttman Rashi" w:hint="eastAsia"/>
          <w:rtl/>
          <w:lang w:bidi="he-IL"/>
        </w:rPr>
        <w:t>כגון</w:t>
      </w:r>
      <w:r w:rsidRPr="00400C0B">
        <w:rPr>
          <w:rFonts w:cs="Guttman Rashi"/>
          <w:rtl/>
          <w:lang w:bidi="he-IL"/>
        </w:rPr>
        <w:t xml:space="preserve"> </w:t>
      </w:r>
      <w:r w:rsidRPr="00400C0B">
        <w:rPr>
          <w:rFonts w:cs="Guttman Rashi" w:hint="eastAsia"/>
          <w:rtl/>
          <w:lang w:bidi="he-IL"/>
        </w:rPr>
        <w:t>שכל</w:t>
      </w:r>
      <w:r w:rsidRPr="00400C0B">
        <w:rPr>
          <w:rFonts w:cs="Guttman Rashi"/>
          <w:rtl/>
          <w:lang w:bidi="he-IL"/>
        </w:rPr>
        <w:t xml:space="preserve"> </w:t>
      </w:r>
      <w:r w:rsidRPr="00400C0B">
        <w:rPr>
          <w:rFonts w:cs="Guttman Rashi" w:hint="eastAsia"/>
          <w:rtl/>
          <w:lang w:bidi="he-IL"/>
        </w:rPr>
        <w:t>אחד</w:t>
      </w:r>
      <w:r w:rsidRPr="00400C0B">
        <w:rPr>
          <w:rFonts w:cs="Guttman Rashi"/>
          <w:rtl/>
          <w:lang w:bidi="he-IL"/>
        </w:rPr>
        <w:t xml:space="preserve"> </w:t>
      </w:r>
      <w:r w:rsidRPr="00400C0B">
        <w:rPr>
          <w:rFonts w:cs="Guttman Rashi" w:hint="eastAsia"/>
          <w:rtl/>
          <w:lang w:bidi="he-IL"/>
        </w:rPr>
        <w:t>אוכל</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מפה</w:t>
      </w:r>
      <w:r w:rsidRPr="00400C0B">
        <w:rPr>
          <w:rFonts w:cs="Guttman Rashi"/>
          <w:rtl/>
          <w:lang w:bidi="he-IL"/>
        </w:rPr>
        <w:t xml:space="preserve"> </w:t>
      </w:r>
      <w:r w:rsidRPr="00400C0B">
        <w:rPr>
          <w:rFonts w:cs="Guttman Rashi" w:hint="eastAsia"/>
          <w:rtl/>
          <w:lang w:bidi="he-IL"/>
        </w:rPr>
        <w:t>שלו</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אוכלים</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מפה</w:t>
      </w:r>
      <w:r w:rsidRPr="00400C0B">
        <w:rPr>
          <w:rFonts w:cs="Guttman Rashi"/>
          <w:rtl/>
          <w:lang w:bidi="he-IL"/>
        </w:rPr>
        <w:t xml:space="preserve"> </w:t>
      </w:r>
      <w:r w:rsidRPr="00400C0B">
        <w:rPr>
          <w:rFonts w:cs="Guttman Rashi" w:hint="eastAsia"/>
          <w:rtl/>
          <w:lang w:bidi="he-IL"/>
        </w:rPr>
        <w:t>אחת</w:t>
      </w:r>
      <w:r w:rsidRPr="00400C0B">
        <w:rPr>
          <w:rFonts w:cs="Guttman Rashi"/>
          <w:rtl/>
          <w:lang w:bidi="he-IL"/>
        </w:rPr>
        <w:t xml:space="preserve"> </w:t>
      </w:r>
      <w:r w:rsidRPr="00400C0B">
        <w:rPr>
          <w:rFonts w:cs="Guttman Rashi" w:hint="eastAsia"/>
          <w:rtl/>
          <w:lang w:bidi="he-IL"/>
        </w:rPr>
        <w:t>ונותנים</w:t>
      </w:r>
      <w:r w:rsidRPr="00400C0B">
        <w:rPr>
          <w:rFonts w:cs="Guttman Rashi"/>
          <w:rtl/>
          <w:lang w:bidi="he-IL"/>
        </w:rPr>
        <w:t xml:space="preserve"> </w:t>
      </w:r>
      <w:r w:rsidRPr="00400C0B">
        <w:rPr>
          <w:rFonts w:cs="Guttman Rashi" w:hint="eastAsia"/>
          <w:rtl/>
          <w:lang w:bidi="he-IL"/>
        </w:rPr>
        <w:t>ביניהם</w:t>
      </w:r>
      <w:r w:rsidRPr="00400C0B">
        <w:rPr>
          <w:rFonts w:cs="Guttman Rashi"/>
          <w:rtl/>
          <w:lang w:bidi="he-IL"/>
        </w:rPr>
        <w:t xml:space="preserve"> </w:t>
      </w:r>
      <w:r w:rsidRPr="00400C0B">
        <w:rPr>
          <w:rFonts w:cs="Guttman Rashi" w:hint="eastAsia"/>
          <w:rtl/>
          <w:lang w:bidi="he-IL"/>
        </w:rPr>
        <w:t>פת</w:t>
      </w:r>
      <w:r w:rsidRPr="00400C0B">
        <w:rPr>
          <w:rFonts w:cs="Guttman Rashi"/>
          <w:rtl/>
          <w:lang w:bidi="he-IL"/>
        </w:rPr>
        <w:t xml:space="preserve"> </w:t>
      </w:r>
      <w:r w:rsidRPr="00400C0B">
        <w:rPr>
          <w:rFonts w:cs="Guttman Rashi" w:hint="eastAsia"/>
          <w:rtl/>
          <w:lang w:bidi="he-IL"/>
        </w:rPr>
        <w:t>להיכר</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המחבר</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לאכול</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מפה</w:t>
      </w:r>
      <w:r w:rsidRPr="00400C0B">
        <w:rPr>
          <w:rFonts w:cs="Guttman Rashi"/>
          <w:rtl/>
          <w:lang w:bidi="he-IL"/>
        </w:rPr>
        <w:t xml:space="preserve"> </w:t>
      </w:r>
      <w:r w:rsidRPr="00400C0B">
        <w:rPr>
          <w:rFonts w:cs="Guttman Rashi" w:hint="eastAsia"/>
          <w:rtl/>
          <w:lang w:bidi="he-IL"/>
        </w:rPr>
        <w:t>שאכלו</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המין</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נהי</w:t>
      </w:r>
      <w:r w:rsidRPr="00400C0B">
        <w:rPr>
          <w:rFonts w:cs="Guttman Rashi"/>
          <w:rtl/>
          <w:lang w:bidi="he-IL"/>
        </w:rPr>
        <w:t xml:space="preserve"> </w:t>
      </w:r>
      <w:r w:rsidRPr="00400C0B">
        <w:rPr>
          <w:rFonts w:cs="Guttman Rashi" w:hint="eastAsia"/>
          <w:rtl/>
          <w:lang w:bidi="he-IL"/>
        </w:rPr>
        <w:t>נמי</w:t>
      </w:r>
      <w:r w:rsidRPr="00400C0B">
        <w:rPr>
          <w:rFonts w:cs="Guttman Rashi"/>
          <w:rtl/>
          <w:lang w:bidi="he-IL"/>
        </w:rPr>
        <w:t xml:space="preserve"> </w:t>
      </w:r>
      <w:r w:rsidRPr="00400C0B">
        <w:rPr>
          <w:rFonts w:cs="Guttman Rashi" w:hint="eastAsia"/>
          <w:rtl/>
          <w:lang w:bidi="he-IL"/>
        </w:rPr>
        <w:t>דליכא</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שיבאו</w:t>
      </w:r>
      <w:r w:rsidRPr="00400C0B">
        <w:rPr>
          <w:rFonts w:cs="Guttman Rashi"/>
          <w:rtl/>
          <w:lang w:bidi="he-IL"/>
        </w:rPr>
        <w:t xml:space="preserve"> </w:t>
      </w:r>
      <w:r w:rsidRPr="00400C0B">
        <w:rPr>
          <w:rFonts w:cs="Guttman Rashi" w:hint="eastAsia"/>
          <w:rtl/>
          <w:lang w:bidi="he-IL"/>
        </w:rPr>
        <w:t>לאכול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בל</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אכילה</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מפה</w:t>
      </w:r>
      <w:r w:rsidRPr="00400C0B">
        <w:rPr>
          <w:rFonts w:cs="Guttman Rashi"/>
          <w:rtl/>
          <w:lang w:bidi="he-IL"/>
        </w:rPr>
        <w:t xml:space="preserve"> </w:t>
      </w:r>
      <w:r w:rsidRPr="00400C0B">
        <w:rPr>
          <w:rFonts w:cs="Guttman Rashi" w:hint="eastAsia"/>
          <w:rtl/>
          <w:lang w:bidi="he-IL"/>
        </w:rPr>
        <w:t>שאכולים</w:t>
      </w:r>
      <w:r w:rsidRPr="00400C0B">
        <w:rPr>
          <w:rFonts w:cs="Guttman Rashi"/>
          <w:rtl/>
          <w:lang w:bidi="he-IL"/>
        </w:rPr>
        <w:t xml:space="preserve"> </w:t>
      </w:r>
      <w:r w:rsidRPr="00400C0B">
        <w:rPr>
          <w:rFonts w:cs="Guttman Rashi" w:hint="eastAsia"/>
          <w:rtl/>
          <w:lang w:bidi="he-IL"/>
        </w:rPr>
        <w:t>המין</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מכאן</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בכל</w:t>
      </w:r>
      <w:r w:rsidRPr="00400C0B">
        <w:rPr>
          <w:rFonts w:cs="Guttman Rashi"/>
          <w:rtl/>
          <w:lang w:bidi="he-IL"/>
        </w:rPr>
        <w:t xml:space="preserve"> </w:t>
      </w:r>
      <w:r w:rsidRPr="00400C0B">
        <w:rPr>
          <w:rFonts w:cs="Guttman Rashi" w:hint="eastAsia"/>
          <w:rtl/>
          <w:lang w:bidi="he-IL"/>
        </w:rPr>
        <w:t>המפה</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במקום</w:t>
      </w:r>
      <w:r w:rsidRPr="00400C0B">
        <w:rPr>
          <w:rFonts w:cs="Guttman Rashi"/>
          <w:rtl/>
          <w:lang w:bidi="he-IL"/>
        </w:rPr>
        <w:t xml:space="preserve"> </w:t>
      </w:r>
      <w:r w:rsidRPr="00400C0B">
        <w:rPr>
          <w:rFonts w:cs="Guttman Rashi" w:hint="eastAsia"/>
          <w:rtl/>
          <w:lang w:bidi="he-IL"/>
        </w:rPr>
        <w:t>שעל</w:t>
      </w:r>
      <w:r w:rsidRPr="00400C0B">
        <w:rPr>
          <w:rFonts w:cs="Guttman Rashi"/>
          <w:rtl/>
          <w:lang w:bidi="he-IL"/>
        </w:rPr>
        <w:t xml:space="preserve"> </w:t>
      </w:r>
      <w:r w:rsidRPr="00400C0B">
        <w:rPr>
          <w:rFonts w:cs="Guttman Rashi" w:hint="eastAsia"/>
          <w:rtl/>
          <w:lang w:bidi="he-IL"/>
        </w:rPr>
        <w:t>המפה</w:t>
      </w:r>
      <w:r w:rsidRPr="00400C0B">
        <w:rPr>
          <w:rFonts w:cs="Guttman Rashi"/>
          <w:rtl/>
          <w:lang w:bidi="he-IL"/>
        </w:rPr>
        <w:t xml:space="preserve"> </w:t>
      </w:r>
      <w:r w:rsidRPr="00400C0B">
        <w:rPr>
          <w:rFonts w:cs="Guttman Rashi" w:hint="eastAsia"/>
          <w:rtl/>
          <w:lang w:bidi="he-IL"/>
        </w:rPr>
        <w:t>שאכלו</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המים</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בא</w:t>
      </w:r>
      <w:r w:rsidRPr="00400C0B">
        <w:rPr>
          <w:rFonts w:cs="Guttman Rashi"/>
          <w:rtl/>
          <w:lang w:bidi="he-IL"/>
        </w:rPr>
        <w:t xml:space="preserve"> </w:t>
      </w:r>
      <w:r w:rsidRPr="00400C0B">
        <w:rPr>
          <w:rFonts w:cs="Guttman Rashi" w:hint="eastAsia"/>
          <w:rtl/>
          <w:lang w:bidi="he-IL"/>
        </w:rPr>
        <w:t>לאכול</w:t>
      </w:r>
      <w:r w:rsidRPr="00400C0B">
        <w:rPr>
          <w:rFonts w:cs="Guttman Rashi"/>
          <w:rtl/>
          <w:lang w:bidi="he-IL"/>
        </w:rPr>
        <w:t xml:space="preserve"> </w:t>
      </w:r>
      <w:r w:rsidRPr="00400C0B">
        <w:rPr>
          <w:rFonts w:cs="Guttman Rashi" w:hint="eastAsia"/>
          <w:rtl/>
          <w:lang w:bidi="he-IL"/>
        </w:rPr>
        <w:t>בצד</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אכלו</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p>
  </w:footnote>
  <w:footnote w:id="19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p>
  </w:footnote>
  <w:footnote w:id="19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p>
  </w:footnote>
  <w:footnote w:id="19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p>
  </w:footnote>
  <w:footnote w:id="19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p>
  </w:footnote>
  <w:footnote w:id="20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ט</w:t>
      </w:r>
    </w:p>
  </w:footnote>
  <w:footnote w:id="20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p>
  </w:footnote>
  <w:footnote w:id="20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פמ</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תצ</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מחמיר</w:t>
      </w:r>
      <w:r w:rsidRPr="00400C0B">
        <w:rPr>
          <w:rFonts w:cs="Guttman Rashi"/>
          <w:rtl/>
          <w:lang w:bidi="he-IL"/>
        </w:rPr>
        <w:t xml:space="preserve"> </w:t>
      </w:r>
      <w:r w:rsidRPr="00400C0B">
        <w:rPr>
          <w:rFonts w:cs="Guttman Rashi" w:hint="eastAsia"/>
          <w:rtl/>
          <w:lang w:bidi="he-IL"/>
        </w:rPr>
        <w:t>בדבר</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מגדולה</w:t>
      </w:r>
      <w:r w:rsidRPr="00400C0B">
        <w:rPr>
          <w:rFonts w:cs="Guttman Rashi"/>
          <w:rtl/>
          <w:lang w:bidi="he-IL"/>
        </w:rPr>
        <w:t xml:space="preserve"> </w:t>
      </w:r>
      <w:r w:rsidRPr="00400C0B">
        <w:rPr>
          <w:rFonts w:cs="Guttman Rashi" w:hint="eastAsia"/>
          <w:rtl/>
          <w:lang w:bidi="he-IL"/>
        </w:rPr>
        <w:t>הפוסקים</w:t>
      </w:r>
      <w:r w:rsidRPr="00400C0B">
        <w:rPr>
          <w:rFonts w:cs="Guttman Rashi"/>
          <w:rtl/>
          <w:lang w:bidi="he-IL"/>
        </w:rPr>
        <w:t xml:space="preserve"> </w:t>
      </w:r>
      <w:r w:rsidRPr="00400C0B">
        <w:rPr>
          <w:rFonts w:cs="Guttman Rashi" w:hint="eastAsia"/>
          <w:rtl/>
          <w:lang w:bidi="he-IL"/>
        </w:rPr>
        <w:t>שכותבים</w:t>
      </w:r>
      <w:r w:rsidRPr="00400C0B">
        <w:rPr>
          <w:rFonts w:cs="Guttman Rashi"/>
          <w:rtl/>
          <w:lang w:bidi="he-IL"/>
        </w:rPr>
        <w:t xml:space="preserve"> </w:t>
      </w:r>
      <w:r w:rsidRPr="00400C0B">
        <w:rPr>
          <w:rFonts w:cs="Guttman Rashi" w:hint="eastAsia"/>
          <w:rtl/>
          <w:lang w:bidi="he-IL"/>
        </w:rPr>
        <w:t>שנהגו</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ומזה</w:t>
      </w:r>
      <w:r w:rsidRPr="00400C0B">
        <w:rPr>
          <w:rFonts w:cs="Guttman Rashi"/>
          <w:rtl/>
          <w:lang w:bidi="he-IL"/>
        </w:rPr>
        <w:t xml:space="preserve"> </w:t>
      </w:r>
      <w:r w:rsidRPr="00400C0B">
        <w:rPr>
          <w:rFonts w:cs="Guttman Rashi" w:hint="eastAsia"/>
          <w:rtl/>
          <w:lang w:bidi="he-IL"/>
        </w:rPr>
        <w:t>נלמד</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קדרה</w:t>
      </w:r>
      <w:r w:rsidRPr="00400C0B">
        <w:rPr>
          <w:rFonts w:cs="Guttman Rashi"/>
          <w:rtl/>
          <w:lang w:bidi="he-IL"/>
        </w:rPr>
        <w:t xml:space="preserve"> </w:t>
      </w:r>
      <w:r w:rsidRPr="00400C0B">
        <w:rPr>
          <w:rFonts w:cs="Guttman Rashi" w:hint="eastAsia"/>
          <w:rtl/>
          <w:lang w:bidi="he-IL"/>
        </w:rPr>
        <w:t>שאינה</w:t>
      </w:r>
      <w:r w:rsidRPr="00400C0B">
        <w:rPr>
          <w:rFonts w:cs="Guttman Rashi"/>
          <w:rtl/>
          <w:lang w:bidi="he-IL"/>
        </w:rPr>
        <w:t xml:space="preserve"> </w:t>
      </w:r>
      <w:r w:rsidRPr="00400C0B">
        <w:rPr>
          <w:rFonts w:cs="Guttman Rashi" w:hint="eastAsia"/>
          <w:rtl/>
          <w:lang w:bidi="he-IL"/>
        </w:rPr>
        <w:t>מקונחת</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w:t>
      </w:r>
    </w:p>
  </w:footnote>
  <w:footnote w:id="20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p>
  </w:footnote>
  <w:footnote w:id="20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p>
  </w:footnote>
  <w:footnote w:id="20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p>
  </w:footnote>
  <w:footnote w:id="20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p>
  </w:footnote>
  <w:footnote w:id="20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p>
  </w:footnote>
  <w:footnote w:id="20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p>
  </w:footnote>
  <w:footnote w:id="20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מפורש</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באף</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להשתמש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בקביעות</w:t>
      </w:r>
      <w:r w:rsidRPr="00400C0B">
        <w:rPr>
          <w:rFonts w:cs="Guttman Rashi"/>
          <w:rtl/>
          <w:lang w:bidi="he-IL"/>
        </w:rPr>
        <w:t xml:space="preserve">, </w:t>
      </w:r>
      <w:r w:rsidRPr="00400C0B">
        <w:rPr>
          <w:rFonts w:cs="Guttman Rashi" w:hint="eastAsia"/>
          <w:rtl/>
          <w:lang w:bidi="he-IL"/>
        </w:rPr>
        <w:t>ואדרבה</w:t>
      </w:r>
      <w:r w:rsidRPr="00400C0B">
        <w:rPr>
          <w:rFonts w:cs="Guttman Rashi"/>
          <w:rtl/>
          <w:lang w:bidi="he-IL"/>
        </w:rPr>
        <w:t xml:space="preserve">, </w:t>
      </w:r>
      <w:r w:rsidRPr="00400C0B">
        <w:rPr>
          <w:rFonts w:cs="Guttman Rashi" w:hint="eastAsia"/>
          <w:rtl/>
          <w:lang w:bidi="he-IL"/>
        </w:rPr>
        <w:t>המשמעות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סתימת</w:t>
      </w:r>
      <w:r w:rsidRPr="00400C0B">
        <w:rPr>
          <w:rFonts w:cs="Guttman Rashi"/>
          <w:rtl/>
          <w:lang w:bidi="he-IL"/>
        </w:rPr>
        <w:t xml:space="preserve"> </w:t>
      </w:r>
      <w:r w:rsidRPr="00400C0B">
        <w:rPr>
          <w:rFonts w:cs="Guttman Rashi" w:hint="eastAsia"/>
          <w:rtl/>
          <w:lang w:bidi="he-IL"/>
        </w:rPr>
        <w:t>לשון</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שסוף</w:t>
      </w:r>
      <w:r w:rsidRPr="00400C0B">
        <w:rPr>
          <w:rFonts w:cs="Guttman Rashi"/>
          <w:rtl/>
          <w:lang w:bidi="he-IL"/>
        </w:rPr>
        <w:t xml:space="preserve"> </w:t>
      </w:r>
      <w:r w:rsidRPr="00400C0B">
        <w:rPr>
          <w:rFonts w:cs="Guttman Rashi" w:hint="eastAsia"/>
          <w:rtl/>
          <w:lang w:bidi="he-IL"/>
        </w:rPr>
        <w:t>מס</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שמותר</w:t>
      </w:r>
      <w:r w:rsidRPr="00400C0B">
        <w:rPr>
          <w:rFonts w:cs="Guttman Rashi"/>
          <w:rtl/>
          <w:lang w:bidi="he-IL"/>
        </w:rPr>
        <w:t xml:space="preserve"> </w:t>
      </w:r>
      <w:r w:rsidRPr="00400C0B">
        <w:rPr>
          <w:rFonts w:cs="Guttman Rashi" w:hint="eastAsia"/>
          <w:rtl/>
          <w:lang w:bidi="he-IL"/>
        </w:rPr>
        <w:t>להשתמש</w:t>
      </w:r>
      <w:r w:rsidRPr="00400C0B">
        <w:rPr>
          <w:rFonts w:cs="Guttman Rashi"/>
          <w:rtl/>
          <w:lang w:bidi="he-IL"/>
        </w:rPr>
        <w:t xml:space="preserve"> </w:t>
      </w:r>
      <w:r w:rsidRPr="00400C0B">
        <w:rPr>
          <w:rFonts w:cs="Guttman Rashi" w:hint="eastAsia"/>
          <w:rtl/>
          <w:lang w:bidi="he-IL"/>
        </w:rPr>
        <w:t>בצונן</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הבלוע</w:t>
      </w:r>
      <w:r w:rsidRPr="00400C0B">
        <w:rPr>
          <w:rFonts w:cs="Guttman Rashi"/>
          <w:rtl/>
          <w:lang w:bidi="he-IL"/>
        </w:rPr>
        <w:t xml:space="preserve"> </w:t>
      </w:r>
      <w:r w:rsidRPr="00400C0B">
        <w:rPr>
          <w:rFonts w:cs="Guttman Rashi" w:hint="eastAsia"/>
          <w:rtl/>
          <w:lang w:bidi="he-IL"/>
        </w:rPr>
        <w:t>בצונן</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בקביעות</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הראשונים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כתבו</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בחרס</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אולי</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בעיקר</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שאסר</w:t>
      </w:r>
      <w:r w:rsidRPr="00400C0B">
        <w:rPr>
          <w:rFonts w:cs="Guttman Rashi"/>
          <w:rtl/>
          <w:lang w:bidi="he-IL"/>
        </w:rPr>
        <w:t xml:space="preserve"> </w:t>
      </w:r>
      <w:r w:rsidRPr="00400C0B">
        <w:rPr>
          <w:rFonts w:cs="Guttman Rashi" w:hint="eastAsia"/>
          <w:rtl/>
          <w:lang w:bidi="he-IL"/>
        </w:rPr>
        <w:t>להשתמש</w:t>
      </w:r>
      <w:r w:rsidRPr="00400C0B">
        <w:rPr>
          <w:rFonts w:cs="Guttman Rashi"/>
          <w:rtl/>
          <w:lang w:bidi="he-IL"/>
        </w:rPr>
        <w:t xml:space="preserve"> </w:t>
      </w:r>
      <w:r w:rsidRPr="00400C0B">
        <w:rPr>
          <w:rFonts w:cs="Guttman Rashi" w:hint="eastAsia"/>
          <w:rtl/>
          <w:lang w:bidi="he-IL"/>
        </w:rPr>
        <w:t>באותו</w:t>
      </w:r>
      <w:r w:rsidRPr="00400C0B">
        <w:rPr>
          <w:rFonts w:cs="Guttman Rashi"/>
          <w:rtl/>
          <w:lang w:bidi="he-IL"/>
        </w:rPr>
        <w:t xml:space="preserve"> </w:t>
      </w:r>
      <w:r w:rsidRPr="00400C0B">
        <w:rPr>
          <w:rFonts w:cs="Guttman Rashi" w:hint="eastAsia"/>
          <w:rtl/>
          <w:lang w:bidi="he-IL"/>
        </w:rPr>
        <w:t>סכין</w:t>
      </w:r>
      <w:r w:rsidRPr="00400C0B">
        <w:rPr>
          <w:rFonts w:cs="Guttman Rashi"/>
          <w:rtl/>
          <w:lang w:bidi="he-IL"/>
        </w:rPr>
        <w:t xml:space="preserve"> </w:t>
      </w:r>
      <w:r w:rsidRPr="00400C0B">
        <w:rPr>
          <w:rFonts w:cs="Guttman Rashi" w:hint="eastAsia"/>
          <w:rtl/>
          <w:lang w:bidi="he-IL"/>
        </w:rPr>
        <w:t>לבשר</w:t>
      </w:r>
      <w:r w:rsidRPr="00400C0B">
        <w:rPr>
          <w:rFonts w:cs="Guttman Rashi"/>
          <w:rtl/>
          <w:lang w:bidi="he-IL"/>
        </w:rPr>
        <w:t xml:space="preserve"> </w:t>
      </w:r>
      <w:r w:rsidRPr="00400C0B">
        <w:rPr>
          <w:rFonts w:cs="Guttman Rashi" w:hint="eastAsia"/>
          <w:rtl/>
          <w:lang w:bidi="he-IL"/>
        </w:rPr>
        <w:t>ולחלב</w:t>
      </w:r>
      <w:r w:rsidRPr="00400C0B">
        <w:rPr>
          <w:rFonts w:cs="Guttman Rashi"/>
          <w:rtl/>
          <w:lang w:bidi="he-IL"/>
        </w:rPr>
        <w:t xml:space="preserve">, </w:t>
      </w:r>
      <w:r w:rsidRPr="00400C0B">
        <w:rPr>
          <w:rFonts w:cs="Guttman Rashi" w:hint="eastAsia"/>
          <w:rtl/>
          <w:lang w:bidi="he-IL"/>
        </w:rPr>
        <w:t>והביא</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ראיות</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הביא</w:t>
      </w:r>
      <w:r w:rsidRPr="00400C0B">
        <w:rPr>
          <w:rFonts w:cs="Guttman Rashi"/>
          <w:rtl/>
          <w:lang w:bidi="he-IL"/>
        </w:rPr>
        <w:t xml:space="preserve"> </w:t>
      </w:r>
      <w:r w:rsidRPr="00400C0B">
        <w:rPr>
          <w:rFonts w:cs="Guttman Rashi" w:hint="eastAsia"/>
          <w:rtl/>
          <w:lang w:bidi="he-IL"/>
        </w:rPr>
        <w:t>מדברי</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שבסוף</w:t>
      </w:r>
      <w:r w:rsidRPr="00400C0B">
        <w:rPr>
          <w:rFonts w:cs="Guttman Rashi"/>
          <w:rtl/>
          <w:lang w:bidi="he-IL"/>
        </w:rPr>
        <w:t xml:space="preserve"> </w:t>
      </w:r>
      <w:r w:rsidRPr="00400C0B">
        <w:rPr>
          <w:rFonts w:cs="Guttman Rashi" w:hint="eastAsia"/>
          <w:rtl/>
          <w:lang w:bidi="he-IL"/>
        </w:rPr>
        <w:t>מס</w:t>
      </w:r>
      <w:r w:rsidRPr="00400C0B">
        <w:rPr>
          <w:rFonts w:cs="Guttman Rashi"/>
          <w:rtl/>
          <w:lang w:bidi="he-IL"/>
        </w:rPr>
        <w:t xml:space="preserve">' </w:t>
      </w:r>
      <w:r w:rsidRPr="00400C0B">
        <w:rPr>
          <w:rFonts w:cs="Guttman Rashi" w:hint="eastAsia"/>
          <w:rtl/>
          <w:lang w:bidi="he-IL"/>
        </w:rPr>
        <w:t>עבודה</w:t>
      </w:r>
      <w:r w:rsidRPr="00400C0B">
        <w:rPr>
          <w:rFonts w:cs="Guttman Rashi"/>
          <w:rtl/>
          <w:lang w:bidi="he-IL"/>
        </w:rPr>
        <w:t xml:space="preserve"> </w:t>
      </w:r>
      <w:r w:rsidRPr="00400C0B">
        <w:rPr>
          <w:rFonts w:cs="Guttman Rashi" w:hint="eastAsia"/>
          <w:rtl/>
          <w:lang w:bidi="he-IL"/>
        </w:rPr>
        <w:t>זרה</w:t>
      </w:r>
      <w:r w:rsidRPr="00400C0B">
        <w:rPr>
          <w:rFonts w:cs="Guttman Rashi"/>
          <w:rtl/>
          <w:lang w:bidi="he-IL"/>
        </w:rPr>
        <w:t xml:space="preserve"> </w:t>
      </w:r>
      <w:r w:rsidRPr="00400C0B">
        <w:rPr>
          <w:rFonts w:cs="Guttman Rashi" w:hint="eastAsia"/>
          <w:rtl/>
          <w:lang w:bidi="he-IL"/>
        </w:rPr>
        <w:t>דסכין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לה</w:t>
      </w:r>
      <w:r w:rsidRPr="00400C0B">
        <w:rPr>
          <w:rFonts w:cs="Guttman Rashi"/>
          <w:rtl/>
          <w:lang w:bidi="he-IL"/>
        </w:rPr>
        <w:t xml:space="preserve"> </w:t>
      </w:r>
      <w:r w:rsidRPr="00400C0B">
        <w:rPr>
          <w:rFonts w:cs="Guttman Rashi" w:hint="eastAsia"/>
          <w:rtl/>
          <w:lang w:bidi="he-IL"/>
        </w:rPr>
        <w:t>הדחה</w:t>
      </w:r>
      <w:r w:rsidRPr="00400C0B">
        <w:rPr>
          <w:rFonts w:cs="Guttman Rashi"/>
          <w:rtl/>
          <w:lang w:bidi="he-IL"/>
        </w:rPr>
        <w:t xml:space="preserve"> </w:t>
      </w:r>
      <w:r w:rsidRPr="00400C0B">
        <w:rPr>
          <w:rFonts w:cs="Guttman Rashi" w:hint="eastAsia"/>
          <w:rtl/>
          <w:lang w:bidi="he-IL"/>
        </w:rPr>
        <w:t>לצונן</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לחמין</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שבלי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באיסור</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לבשר</w:t>
      </w:r>
      <w:r w:rsidRPr="00400C0B">
        <w:rPr>
          <w:rFonts w:cs="Guttman Rashi"/>
          <w:rtl/>
          <w:lang w:bidi="he-IL"/>
        </w:rPr>
        <w:t xml:space="preserve"> </w:t>
      </w:r>
      <w:r w:rsidRPr="00400C0B">
        <w:rPr>
          <w:rFonts w:cs="Guttman Rashi" w:hint="eastAsia"/>
          <w:rtl/>
          <w:lang w:bidi="he-IL"/>
        </w:rPr>
        <w:t>ולחלב</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להוכיח</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בבשר</w:t>
      </w:r>
      <w:r w:rsidRPr="00400C0B">
        <w:rPr>
          <w:rFonts w:cs="Guttman Rashi"/>
          <w:rtl/>
          <w:lang w:bidi="he-IL"/>
        </w:rPr>
        <w:t xml:space="preserve"> </w:t>
      </w:r>
      <w:r w:rsidRPr="00400C0B">
        <w:rPr>
          <w:rFonts w:cs="Guttman Rashi" w:hint="eastAsia"/>
          <w:rtl/>
          <w:lang w:bidi="he-IL"/>
        </w:rPr>
        <w:t>וחלב</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באיסור</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שמנונית</w:t>
      </w:r>
      <w:r w:rsidRPr="00400C0B">
        <w:rPr>
          <w:rFonts w:cs="Guttman Rashi"/>
          <w:rtl/>
          <w:lang w:bidi="he-IL"/>
        </w:rPr>
        <w:t xml:space="preserve">, </w:t>
      </w:r>
      <w:r w:rsidRPr="00400C0B">
        <w:rPr>
          <w:rFonts w:cs="Guttman Rashi" w:hint="eastAsia"/>
          <w:rtl/>
          <w:lang w:bidi="he-IL"/>
        </w:rPr>
        <w:t>ולענין</w:t>
      </w:r>
      <w:r w:rsidRPr="00400C0B">
        <w:rPr>
          <w:rFonts w:cs="Guttman Rashi"/>
          <w:rtl/>
          <w:lang w:bidi="he-IL"/>
        </w:rPr>
        <w:t xml:space="preserve"> </w:t>
      </w:r>
      <w:r w:rsidRPr="00400C0B">
        <w:rPr>
          <w:rFonts w:cs="Guttman Rashi" w:hint="eastAsia"/>
          <w:rtl/>
          <w:lang w:bidi="he-IL"/>
        </w:rPr>
        <w:t>שמנונית</w:t>
      </w:r>
      <w:r w:rsidRPr="00400C0B">
        <w:rPr>
          <w:rFonts w:cs="Guttman Rashi"/>
          <w:rtl/>
          <w:lang w:bidi="he-IL"/>
        </w:rPr>
        <w:t xml:space="preserve"> </w:t>
      </w:r>
      <w:r w:rsidRPr="00400C0B">
        <w:rPr>
          <w:rFonts w:cs="Guttman Rashi" w:hint="eastAsia"/>
          <w:rtl/>
          <w:lang w:bidi="he-IL"/>
        </w:rPr>
        <w:t>מאי</w:t>
      </w:r>
      <w:r w:rsidRPr="00400C0B">
        <w:rPr>
          <w:rFonts w:cs="Guttman Rashi"/>
          <w:rtl/>
          <w:lang w:bidi="he-IL"/>
        </w:rPr>
        <w:t xml:space="preserve"> </w:t>
      </w:r>
      <w:r w:rsidRPr="00400C0B">
        <w:rPr>
          <w:rFonts w:cs="Guttman Rashi" w:hint="eastAsia"/>
          <w:rtl/>
          <w:lang w:bidi="he-IL"/>
        </w:rPr>
        <w:t>שנא</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p>
  </w:footnote>
  <w:footnote w:id="21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הבנתי</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יחר</w:t>
      </w:r>
      <w:r w:rsidRPr="00400C0B">
        <w:rPr>
          <w:rFonts w:cs="Guttman Rashi"/>
          <w:rtl/>
          <w:lang w:bidi="he-IL"/>
        </w:rPr>
        <w:t xml:space="preserve"> </w:t>
      </w:r>
      <w:r w:rsidRPr="00400C0B">
        <w:rPr>
          <w:rFonts w:cs="Guttman Rashi" w:hint="eastAsia"/>
          <w:rtl/>
          <w:lang w:bidi="he-IL"/>
        </w:rPr>
        <w:t>אפו</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הביא</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שמשון</w:t>
      </w:r>
      <w:r w:rsidRPr="00400C0B">
        <w:rPr>
          <w:rFonts w:cs="Guttman Rashi"/>
          <w:rtl/>
          <w:lang w:bidi="he-IL"/>
        </w:rPr>
        <w:t xml:space="preserve"> </w:t>
      </w:r>
      <w:r w:rsidRPr="00400C0B">
        <w:rPr>
          <w:rFonts w:cs="Guttman Rashi" w:hint="eastAsia"/>
          <w:rtl/>
          <w:lang w:bidi="he-IL"/>
        </w:rPr>
        <w:t>המפורשים</w:t>
      </w:r>
      <w:r w:rsidRPr="00400C0B">
        <w:rPr>
          <w:rFonts w:cs="Guttman Rashi"/>
          <w:rtl/>
          <w:lang w:bidi="he-IL"/>
        </w:rPr>
        <w:t xml:space="preserve"> </w:t>
      </w:r>
      <w:r w:rsidRPr="00400C0B">
        <w:rPr>
          <w:rFonts w:cs="Guttman Rashi" w:hint="eastAsia"/>
          <w:rtl/>
          <w:lang w:bidi="he-IL"/>
        </w:rPr>
        <w:t>הב</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כדבריו</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כי</w:t>
      </w:r>
      <w:r w:rsidRPr="00400C0B">
        <w:rPr>
          <w:rFonts w:cs="Guttman Rashi"/>
          <w:rtl/>
          <w:lang w:bidi="he-IL"/>
        </w:rPr>
        <w:t xml:space="preserve"> </w:t>
      </w:r>
      <w:r w:rsidRPr="00400C0B">
        <w:rPr>
          <w:rFonts w:cs="Guttman Rashi" w:hint="eastAsia"/>
          <w:rtl/>
          <w:lang w:bidi="he-IL"/>
        </w:rPr>
        <w:t>לדינא</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קיי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כוותי</w:t>
      </w:r>
      <w:r w:rsidRPr="00400C0B">
        <w:rPr>
          <w:rFonts w:cs="Guttman Rashi"/>
          <w:rtl/>
          <w:lang w:bidi="he-IL"/>
        </w:rPr>
        <w:t xml:space="preserve">' </w:t>
      </w:r>
      <w:r w:rsidRPr="00400C0B">
        <w:rPr>
          <w:rFonts w:cs="Guttman Rashi" w:hint="eastAsia"/>
          <w:rtl/>
          <w:lang w:bidi="he-IL"/>
        </w:rPr>
        <w:t>וכדמבואר</w:t>
      </w:r>
      <w:r w:rsidRPr="00400C0B">
        <w:rPr>
          <w:rFonts w:cs="Guttman Rashi"/>
          <w:rtl/>
          <w:lang w:bidi="he-IL"/>
        </w:rPr>
        <w:t xml:space="preserve"> </w:t>
      </w:r>
      <w:r w:rsidRPr="00400C0B">
        <w:rPr>
          <w:rFonts w:cs="Guttman Rashi" w:hint="eastAsia"/>
          <w:rtl/>
          <w:lang w:bidi="he-IL"/>
        </w:rPr>
        <w:t>בתו</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ועוד</w:t>
      </w:r>
      <w:r w:rsidRPr="00400C0B">
        <w:rPr>
          <w:rFonts w:cs="Guttman Rashi"/>
          <w:rtl/>
          <w:lang w:bidi="he-IL"/>
        </w:rPr>
        <w:t xml:space="preserve"> </w:t>
      </w:r>
      <w:r w:rsidRPr="00400C0B">
        <w:rPr>
          <w:rFonts w:cs="Guttman Rashi" w:hint="eastAsia"/>
          <w:rtl/>
          <w:lang w:bidi="he-IL"/>
        </w:rPr>
        <w:t>מקומות</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שלאו</w:t>
      </w:r>
      <w:r w:rsidRPr="00400C0B">
        <w:rPr>
          <w:rFonts w:cs="Guttman Rashi"/>
          <w:rtl/>
          <w:lang w:bidi="he-IL"/>
        </w:rPr>
        <w:t xml:space="preserve"> </w:t>
      </w:r>
      <w:r w:rsidRPr="00400C0B">
        <w:rPr>
          <w:rFonts w:cs="Guttman Rashi" w:hint="eastAsia"/>
          <w:rtl/>
          <w:lang w:bidi="he-IL"/>
        </w:rPr>
        <w:t>מילתא</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נגד</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שמשון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21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מהו</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בדיעבד</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חתך</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להחזיק</w:t>
      </w:r>
      <w:r w:rsidRPr="00400C0B">
        <w:rPr>
          <w:rFonts w:cs="Guttman Rashi"/>
          <w:rtl/>
          <w:lang w:bidi="he-IL"/>
        </w:rPr>
        <w:t xml:space="preserve"> </w:t>
      </w:r>
      <w:r w:rsidRPr="00400C0B">
        <w:rPr>
          <w:rFonts w:cs="Guttman Rashi" w:hint="eastAsia"/>
          <w:rtl/>
          <w:lang w:bidi="he-IL"/>
        </w:rPr>
        <w:t>המאכל</w:t>
      </w:r>
      <w:r w:rsidRPr="00400C0B">
        <w:rPr>
          <w:rFonts w:cs="Guttman Rashi"/>
          <w:rtl/>
          <w:lang w:bidi="he-IL"/>
        </w:rPr>
        <w:t xml:space="preserve"> </w:t>
      </w:r>
      <w:r w:rsidRPr="00400C0B">
        <w:rPr>
          <w:rFonts w:cs="Guttman Rashi" w:hint="eastAsia"/>
          <w:rtl/>
          <w:lang w:bidi="he-IL"/>
        </w:rPr>
        <w:t>כמין</w:t>
      </w:r>
      <w:r w:rsidRPr="00400C0B">
        <w:rPr>
          <w:rFonts w:cs="Guttman Rashi"/>
          <w:rtl/>
          <w:lang w:bidi="he-IL"/>
        </w:rPr>
        <w:t xml:space="preserve"> </w:t>
      </w:r>
      <w:r w:rsidRPr="00400C0B">
        <w:rPr>
          <w:rFonts w:cs="Guttman Rashi" w:hint="eastAsia"/>
          <w:rtl/>
          <w:lang w:bidi="he-IL"/>
        </w:rPr>
        <w:t>שחתכו</w:t>
      </w:r>
      <w:r w:rsidRPr="00400C0B">
        <w:rPr>
          <w:rFonts w:cs="Guttman Rashi"/>
          <w:rtl/>
          <w:lang w:bidi="he-IL"/>
        </w:rPr>
        <w:t xml:space="preserve"> </w:t>
      </w:r>
      <w:r w:rsidRPr="00400C0B">
        <w:rPr>
          <w:rFonts w:cs="Guttman Rashi" w:hint="eastAsia"/>
          <w:rtl/>
          <w:lang w:bidi="he-IL"/>
        </w:rPr>
        <w:t>בו</w:t>
      </w:r>
      <w:r w:rsidRPr="00400C0B">
        <w:rPr>
          <w:rFonts w:cs="Guttman Rashi"/>
          <w:rtl/>
          <w:lang w:bidi="he-IL"/>
        </w:rPr>
        <w:t xml:space="preserve"> </w:t>
      </w:r>
      <w:r w:rsidRPr="00400C0B">
        <w:rPr>
          <w:rFonts w:cs="Guttman Rashi" w:hint="eastAsia"/>
          <w:rtl/>
          <w:lang w:bidi="he-IL"/>
        </w:rPr>
        <w:t>הסכין</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ועיין</w:t>
      </w:r>
      <w:r w:rsidRPr="00400C0B">
        <w:rPr>
          <w:rFonts w:cs="Guttman Rashi"/>
          <w:rtl/>
          <w:lang w:bidi="he-IL"/>
        </w:rPr>
        <w:t xml:space="preserve"> </w:t>
      </w:r>
      <w:r w:rsidRPr="00400C0B">
        <w:rPr>
          <w:rFonts w:cs="Guttman Rashi" w:hint="eastAsia"/>
          <w:rtl/>
          <w:lang w:bidi="he-IL"/>
        </w:rPr>
        <w:t>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דלכתחלה</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דאסור</w:t>
      </w:r>
      <w:r w:rsidRPr="00400C0B">
        <w:rPr>
          <w:rFonts w:cs="Guttman Rashi"/>
          <w:rtl/>
          <w:lang w:bidi="he-IL"/>
        </w:rPr>
        <w:t xml:space="preserve"> </w:t>
      </w:r>
      <w:r w:rsidRPr="00400C0B">
        <w:rPr>
          <w:rFonts w:cs="Guttman Rashi" w:hint="eastAsia"/>
          <w:rtl/>
          <w:lang w:bidi="he-IL"/>
        </w:rPr>
        <w:t>כי</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ידי</w:t>
      </w:r>
      <w:r w:rsidRPr="00400C0B">
        <w:rPr>
          <w:rFonts w:cs="Guttman Rashi"/>
          <w:rtl/>
          <w:lang w:bidi="he-IL"/>
        </w:rPr>
        <w:t xml:space="preserve"> </w:t>
      </w:r>
      <w:r w:rsidRPr="00400C0B">
        <w:rPr>
          <w:rFonts w:cs="Guttman Rashi" w:hint="eastAsia"/>
          <w:rtl/>
          <w:lang w:bidi="he-IL"/>
        </w:rPr>
        <w:t>נעיצה</w:t>
      </w:r>
      <w:r w:rsidRPr="00400C0B">
        <w:rPr>
          <w:rFonts w:cs="Guttman Rashi"/>
          <w:rtl/>
          <w:lang w:bidi="he-IL"/>
        </w:rPr>
        <w:t xml:space="preserve"> </w:t>
      </w:r>
      <w:r w:rsidRPr="00400C0B">
        <w:rPr>
          <w:rFonts w:cs="Guttman Rashi" w:hint="eastAsia"/>
          <w:rtl/>
          <w:lang w:bidi="he-IL"/>
        </w:rPr>
        <w:t>ודיעבד</w:t>
      </w:r>
      <w:r w:rsidRPr="00400C0B">
        <w:rPr>
          <w:rFonts w:cs="Guttman Rashi"/>
          <w:rtl/>
          <w:lang w:bidi="he-IL"/>
        </w:rPr>
        <w:t xml:space="preserve"> </w:t>
      </w:r>
      <w:r w:rsidRPr="00400C0B">
        <w:rPr>
          <w:rFonts w:cs="Guttman Rashi" w:hint="eastAsia"/>
          <w:rtl/>
          <w:lang w:bidi="he-IL"/>
        </w:rPr>
        <w:t>סומכין</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דבצונן</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מפליט</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ידי</w:t>
      </w:r>
      <w:r w:rsidRPr="00400C0B">
        <w:rPr>
          <w:rFonts w:cs="Guttman Rashi"/>
          <w:rtl/>
          <w:lang w:bidi="he-IL"/>
        </w:rPr>
        <w:t xml:space="preserve"> </w:t>
      </w:r>
      <w:r w:rsidRPr="00400C0B">
        <w:rPr>
          <w:rFonts w:cs="Guttman Rashi" w:hint="eastAsia"/>
          <w:rtl/>
          <w:lang w:bidi="he-IL"/>
        </w:rPr>
        <w:t>דוחקא</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ערה</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סעי</w:t>
      </w:r>
      <w:r w:rsidRPr="00400C0B">
        <w:rPr>
          <w:rFonts w:cs="Guttman Rashi"/>
          <w:rtl/>
          <w:lang w:bidi="he-IL"/>
        </w:rPr>
        <w:t xml:space="preserve">' </w:t>
      </w:r>
      <w:r w:rsidRPr="00400C0B">
        <w:rPr>
          <w:rFonts w:cs="Guttman Rashi" w:hint="eastAsia"/>
          <w:rtl/>
          <w:lang w:bidi="he-IL"/>
        </w:rPr>
        <w:t>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p>
  </w:footnote>
  <w:footnote w:id="21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בנידון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p>
  </w:footnote>
  <w:footnote w:id="21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א</w:t>
      </w:r>
    </w:p>
  </w:footnote>
  <w:footnote w:id="21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וראיתי</w:t>
      </w:r>
      <w:r w:rsidRPr="00400C0B">
        <w:rPr>
          <w:rFonts w:cs="Guttman Rashi"/>
          <w:rtl/>
          <w:lang w:bidi="he-IL"/>
        </w:rPr>
        <w:t xml:space="preserve"> </w:t>
      </w:r>
      <w:r w:rsidRPr="00400C0B">
        <w:rPr>
          <w:rFonts w:cs="Guttman Rashi" w:hint="eastAsia"/>
          <w:rtl/>
          <w:lang w:bidi="he-IL"/>
        </w:rPr>
        <w:t>מי</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שמכאן</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ליסודו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בבב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נכון</w:t>
      </w:r>
      <w:r w:rsidRPr="00400C0B">
        <w:rPr>
          <w:rFonts w:cs="Guttman Rashi"/>
          <w:rtl/>
          <w:lang w:bidi="he-IL"/>
        </w:rPr>
        <w:t xml:space="preserve">, </w:t>
      </w:r>
      <w:r w:rsidRPr="00400C0B">
        <w:rPr>
          <w:rFonts w:cs="Guttman Rashi" w:hint="eastAsia"/>
          <w:rtl/>
          <w:lang w:bidi="he-IL"/>
        </w:rPr>
        <w:t>שזה</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שבלי</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חידש</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צורך</w:t>
      </w:r>
      <w:r w:rsidRPr="00400C0B">
        <w:rPr>
          <w:rFonts w:cs="Guttman Rashi"/>
          <w:rtl/>
          <w:lang w:bidi="he-IL"/>
        </w:rPr>
        <w:t xml:space="preserve"> </w:t>
      </w:r>
      <w:r w:rsidRPr="00400C0B">
        <w:rPr>
          <w:rFonts w:cs="Guttman Rashi" w:hint="eastAsia"/>
          <w:rtl/>
          <w:lang w:bidi="he-IL"/>
        </w:rPr>
        <w:t>בפרשת</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וזה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חזינן</w:t>
      </w:r>
      <w:r w:rsidRPr="00400C0B">
        <w:rPr>
          <w:rFonts w:cs="Guttman Rashi"/>
          <w:rtl/>
          <w:lang w:bidi="he-IL"/>
        </w:rPr>
        <w:t xml:space="preserve"> </w:t>
      </w:r>
      <w:r w:rsidRPr="00400C0B">
        <w:rPr>
          <w:rFonts w:cs="Guttman Rashi" w:hint="eastAsia"/>
          <w:rtl/>
          <w:lang w:bidi="he-IL"/>
        </w:rPr>
        <w:t>מר</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מגאש</w:t>
      </w:r>
      <w:r w:rsidRPr="00400C0B">
        <w:rPr>
          <w:rFonts w:cs="Guttman Rashi"/>
          <w:rtl/>
          <w:lang w:bidi="he-IL"/>
        </w:rPr>
        <w:t>.</w:t>
      </w:r>
    </w:p>
  </w:footnote>
  <w:footnote w:id="21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קמ</w:t>
      </w:r>
      <w:r w:rsidRPr="00400C0B">
        <w:rPr>
          <w:rFonts w:cs="Guttman Rashi"/>
          <w:rtl/>
          <w:lang w:bidi="he-IL"/>
        </w:rPr>
        <w:t>"</w:t>
      </w:r>
      <w:r w:rsidRPr="00400C0B">
        <w:rPr>
          <w:rFonts w:cs="Guttman Rashi" w:hint="eastAsia"/>
          <w:rtl/>
          <w:lang w:bidi="he-IL"/>
        </w:rPr>
        <w:t>ד</w:t>
      </w:r>
    </w:p>
  </w:footnote>
  <w:footnote w:id="21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ב</w:t>
      </w:r>
    </w:p>
  </w:footnote>
  <w:footnote w:id="21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א</w:t>
      </w:r>
    </w:p>
  </w:footnote>
  <w:footnote w:id="21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הבא</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דבעינן</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לאכילה</w:t>
      </w:r>
      <w:r w:rsidRPr="00400C0B">
        <w:rPr>
          <w:rFonts w:cs="Guttman Rashi"/>
          <w:rtl/>
          <w:lang w:bidi="he-IL"/>
        </w:rPr>
        <w:t xml:space="preserve"> </w:t>
      </w:r>
      <w:r w:rsidRPr="00400C0B">
        <w:rPr>
          <w:rFonts w:cs="Guttman Rashi" w:hint="eastAsia"/>
          <w:rtl/>
          <w:lang w:bidi="he-IL"/>
        </w:rPr>
        <w:t>מדברי</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ז</w:t>
      </w:r>
      <w:r w:rsidRPr="00400C0B">
        <w:rPr>
          <w:rFonts w:cs="Guttman Rashi"/>
          <w:rtl/>
          <w:lang w:bidi="he-IL"/>
        </w:rPr>
        <w:t>'.</w:t>
      </w:r>
    </w:p>
  </w:footnote>
  <w:footnote w:id="21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שכתבנו</w:t>
      </w:r>
      <w:r w:rsidRPr="00400C0B">
        <w:rPr>
          <w:rFonts w:cs="Guttman Rashi"/>
          <w:rtl/>
          <w:lang w:bidi="he-IL"/>
        </w:rPr>
        <w:t xml:space="preserve"> </w:t>
      </w:r>
      <w:r w:rsidRPr="00400C0B">
        <w:rPr>
          <w:rFonts w:cs="Guttman Rashi" w:hint="eastAsia"/>
          <w:rtl/>
          <w:lang w:bidi="he-IL"/>
        </w:rPr>
        <w:t>צד</w:t>
      </w:r>
      <w:r w:rsidRPr="00400C0B">
        <w:rPr>
          <w:rFonts w:cs="Guttman Rashi"/>
          <w:rtl/>
          <w:lang w:bidi="he-IL"/>
        </w:rPr>
        <w:t xml:space="preserve"> </w:t>
      </w:r>
      <w:r w:rsidRPr="00400C0B">
        <w:rPr>
          <w:rFonts w:cs="Guttman Rashi" w:hint="eastAsia"/>
          <w:rtl/>
          <w:lang w:bidi="he-IL"/>
        </w:rPr>
        <w:t>כזה</w:t>
      </w:r>
      <w:r w:rsidRPr="00400C0B">
        <w:rPr>
          <w:rFonts w:cs="Guttman Rashi"/>
          <w:rtl/>
          <w:lang w:bidi="he-IL"/>
        </w:rPr>
        <w:t xml:space="preserve"> </w:t>
      </w:r>
      <w:r w:rsidRPr="00400C0B">
        <w:rPr>
          <w:rFonts w:cs="Guttman Rashi" w:hint="eastAsia"/>
          <w:rtl/>
          <w:lang w:bidi="he-IL"/>
        </w:rPr>
        <w:t>בביאור</w:t>
      </w:r>
      <w:r w:rsidRPr="00400C0B">
        <w:rPr>
          <w:rFonts w:cs="Guttman Rashi"/>
          <w:rtl/>
          <w:lang w:bidi="he-IL"/>
        </w:rPr>
        <w:t xml:space="preserve"> </w:t>
      </w:r>
      <w:r w:rsidRPr="00400C0B">
        <w:rPr>
          <w:rFonts w:cs="Guttman Rashi" w:hint="eastAsia"/>
          <w:rtl/>
          <w:lang w:bidi="he-IL"/>
        </w:rPr>
        <w:t>סוגיית</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שחייבים</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בחלב</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שכבר</w:t>
      </w:r>
      <w:r w:rsidRPr="00400C0B">
        <w:rPr>
          <w:rFonts w:cs="Guttman Rashi"/>
          <w:rtl/>
          <w:lang w:bidi="he-IL"/>
        </w:rPr>
        <w:t xml:space="preserve"> </w:t>
      </w:r>
      <w:r w:rsidRPr="00400C0B">
        <w:rPr>
          <w:rFonts w:cs="Guttman Rashi" w:hint="eastAsia"/>
          <w:rtl/>
          <w:lang w:bidi="he-IL"/>
        </w:rPr>
        <w:t>נכבש</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מוסיף</w:t>
      </w:r>
      <w:r w:rsidRPr="00400C0B">
        <w:rPr>
          <w:rFonts w:cs="Guttman Rashi"/>
          <w:rtl/>
          <w:lang w:bidi="he-IL"/>
        </w:rPr>
        <w:t xml:space="preserve"> </w:t>
      </w:r>
      <w:r w:rsidRPr="00400C0B">
        <w:rPr>
          <w:rFonts w:cs="Guttman Rashi" w:hint="eastAsia"/>
          <w:rtl/>
          <w:lang w:bidi="he-IL"/>
        </w:rPr>
        <w:t>האיכות</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חזינן</w:t>
      </w:r>
      <w:r w:rsidRPr="00400C0B">
        <w:rPr>
          <w:rFonts w:cs="Guttman Rashi"/>
          <w:rtl/>
          <w:lang w:bidi="he-IL"/>
        </w:rPr>
        <w:t xml:space="preserve"> </w:t>
      </w:r>
      <w:r w:rsidRPr="00400C0B">
        <w:rPr>
          <w:rFonts w:cs="Guttman Rashi" w:hint="eastAsia"/>
          <w:rtl/>
          <w:lang w:bidi="he-IL"/>
        </w:rPr>
        <w:t>שמעשה</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בלבד</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העושה</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משפיע</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התערובת</w:t>
      </w:r>
      <w:r w:rsidRPr="00400C0B">
        <w:rPr>
          <w:rFonts w:cs="Guttman Rashi"/>
          <w:rtl/>
          <w:lang w:bidi="he-IL"/>
        </w:rPr>
        <w:t xml:space="preserve"> </w:t>
      </w:r>
      <w:r w:rsidRPr="00400C0B">
        <w:rPr>
          <w:rFonts w:cs="Guttman Rashi" w:hint="eastAsia"/>
          <w:rtl/>
          <w:lang w:bidi="he-IL"/>
        </w:rPr>
        <w:t>כלום</w:t>
      </w:r>
      <w:r w:rsidRPr="00400C0B">
        <w:rPr>
          <w:rFonts w:cs="Guttman Rashi"/>
          <w:rtl/>
          <w:lang w:bidi="he-IL"/>
        </w:rPr>
        <w:t xml:space="preserve">. </w:t>
      </w:r>
      <w:r w:rsidRPr="00400C0B">
        <w:rPr>
          <w:rFonts w:cs="Guttman Rashi" w:hint="eastAsia"/>
          <w:rtl/>
          <w:lang w:bidi="he-IL"/>
        </w:rPr>
        <w:t>ומיני</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זהו</w:t>
      </w:r>
      <w:r w:rsidRPr="00400C0B">
        <w:rPr>
          <w:rFonts w:cs="Guttman Rashi"/>
          <w:rtl/>
          <w:lang w:bidi="he-IL"/>
        </w:rPr>
        <w:t xml:space="preserve"> </w:t>
      </w:r>
      <w:r w:rsidRPr="00400C0B">
        <w:rPr>
          <w:rFonts w:cs="Guttman Rashi" w:hint="eastAsia"/>
          <w:rtl/>
          <w:lang w:bidi="he-IL"/>
        </w:rPr>
        <w:t>לבד</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שחסר</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חפצא</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w:t>
      </w:r>
    </w:p>
  </w:footnote>
  <w:footnote w:id="22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פי</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לאסרו</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הנאה</w:t>
      </w:r>
      <w:r w:rsidRPr="00400C0B">
        <w:rPr>
          <w:rFonts w:cs="Guttman Rashi"/>
          <w:rtl/>
          <w:lang w:bidi="he-IL"/>
        </w:rPr>
        <w:t xml:space="preserve">. </w:t>
      </w:r>
    </w:p>
  </w:footnote>
  <w:footnote w:id="22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להעיר</w:t>
      </w:r>
      <w:r w:rsidRPr="00400C0B">
        <w:rPr>
          <w:rFonts w:cs="Guttman Rashi"/>
          <w:rtl/>
          <w:lang w:bidi="he-IL"/>
        </w:rPr>
        <w:t xml:space="preserve"> </w:t>
      </w:r>
      <w:r w:rsidRPr="00400C0B">
        <w:rPr>
          <w:rFonts w:cs="Guttman Rashi" w:hint="eastAsia"/>
          <w:rtl/>
          <w:lang w:bidi="he-IL"/>
        </w:rPr>
        <w:t>אשיטת</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והט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ב</w:t>
      </w:r>
      <w:r w:rsidRPr="00400C0B">
        <w:rPr>
          <w:rFonts w:cs="Guttman Rashi"/>
          <w:rtl/>
          <w:lang w:bidi="he-IL"/>
        </w:rPr>
        <w:t>.</w:t>
      </w:r>
    </w:p>
  </w:footnote>
  <w:footnote w:id="22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שדן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ליכנס</w:t>
      </w:r>
      <w:r w:rsidRPr="00400C0B">
        <w:rPr>
          <w:rFonts w:cs="Guttman Rashi"/>
          <w:rtl/>
          <w:lang w:bidi="he-IL"/>
        </w:rPr>
        <w:t xml:space="preserve"> </w:t>
      </w:r>
      <w:r w:rsidRPr="00400C0B">
        <w:rPr>
          <w:rFonts w:cs="Guttman Rashi" w:hint="eastAsia"/>
          <w:rtl/>
          <w:lang w:bidi="he-IL"/>
        </w:rPr>
        <w:t>לבית</w:t>
      </w:r>
      <w:r w:rsidRPr="00400C0B">
        <w:rPr>
          <w:rFonts w:cs="Guttman Rashi"/>
          <w:rtl/>
          <w:lang w:bidi="he-IL"/>
        </w:rPr>
        <w:t xml:space="preserve"> </w:t>
      </w:r>
      <w:r w:rsidRPr="00400C0B">
        <w:rPr>
          <w:rFonts w:cs="Guttman Rashi" w:hint="eastAsia"/>
          <w:rtl/>
          <w:lang w:bidi="he-IL"/>
        </w:rPr>
        <w:t>כנסת</w:t>
      </w:r>
      <w:r w:rsidRPr="00400C0B">
        <w:rPr>
          <w:rFonts w:cs="Guttman Rashi"/>
          <w:rtl/>
          <w:lang w:bidi="he-IL"/>
        </w:rPr>
        <w:t xml:space="preserve"> </w:t>
      </w:r>
      <w:r w:rsidRPr="00400C0B">
        <w:rPr>
          <w:rFonts w:cs="Guttman Rashi" w:hint="eastAsia"/>
          <w:rtl/>
          <w:lang w:bidi="he-IL"/>
        </w:rPr>
        <w:t>שבמנין</w:t>
      </w:r>
      <w:r w:rsidRPr="00400C0B">
        <w:rPr>
          <w:rFonts w:cs="Guttman Rashi"/>
          <w:rtl/>
          <w:lang w:bidi="he-IL"/>
        </w:rPr>
        <w:t xml:space="preserve"> </w:t>
      </w:r>
      <w:r w:rsidRPr="00400C0B">
        <w:rPr>
          <w:rFonts w:cs="Guttman Rashi" w:hint="eastAsia"/>
          <w:rtl/>
          <w:lang w:bidi="he-IL"/>
        </w:rPr>
        <w:t>המרכזי</w:t>
      </w:r>
      <w:r w:rsidRPr="00400C0B">
        <w:rPr>
          <w:rFonts w:cs="Guttman Rashi"/>
          <w:rtl/>
          <w:lang w:bidi="he-IL"/>
        </w:rPr>
        <w:t xml:space="preserve"> </w:t>
      </w:r>
      <w:r w:rsidRPr="00400C0B">
        <w:rPr>
          <w:rFonts w:cs="Guttman Rashi" w:hint="eastAsia"/>
          <w:rtl/>
          <w:lang w:bidi="he-IL"/>
        </w:rPr>
        <w:t>שלהם</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מחיצה</w:t>
      </w:r>
      <w:r w:rsidRPr="00400C0B">
        <w:rPr>
          <w:rFonts w:cs="Guttman Rashi"/>
          <w:rtl/>
          <w:lang w:bidi="he-IL"/>
        </w:rPr>
        <w:t xml:space="preserve"> </w:t>
      </w:r>
      <w:r w:rsidRPr="00400C0B">
        <w:rPr>
          <w:rFonts w:cs="Guttman Rashi" w:hint="eastAsia"/>
          <w:rtl/>
          <w:lang w:bidi="he-IL"/>
        </w:rPr>
        <w:t>המפרידה</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נשים</w:t>
      </w:r>
      <w:r w:rsidRPr="00400C0B">
        <w:rPr>
          <w:rFonts w:cs="Guttman Rashi"/>
          <w:rtl/>
          <w:lang w:bidi="he-IL"/>
        </w:rPr>
        <w:t xml:space="preserve"> </w:t>
      </w:r>
      <w:r w:rsidRPr="00400C0B">
        <w:rPr>
          <w:rFonts w:cs="Guttman Rashi" w:hint="eastAsia"/>
          <w:rtl/>
          <w:lang w:bidi="he-IL"/>
        </w:rPr>
        <w:t>לאנשים</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מתפלל</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במניים</w:t>
      </w:r>
      <w:r w:rsidRPr="00400C0B">
        <w:rPr>
          <w:rFonts w:cs="Guttman Rashi"/>
          <w:rtl/>
          <w:lang w:bidi="he-IL"/>
        </w:rPr>
        <w:t xml:space="preserve"> </w:t>
      </w:r>
      <w:r w:rsidRPr="00400C0B">
        <w:rPr>
          <w:rFonts w:cs="Guttman Rashi" w:hint="eastAsia"/>
          <w:rtl/>
          <w:lang w:bidi="he-IL"/>
        </w:rPr>
        <w:t>שבחדר</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ששם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מחיצה</w:t>
      </w:r>
      <w:r w:rsidRPr="00400C0B">
        <w:rPr>
          <w:rFonts w:cs="Guttman Rashi"/>
          <w:rtl/>
          <w:lang w:bidi="he-IL"/>
        </w:rPr>
        <w:t>.</w:t>
      </w:r>
    </w:p>
  </w:footnote>
  <w:footnote w:id="22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בהגהות</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ירדתי</w:t>
      </w:r>
      <w:r w:rsidRPr="00400C0B">
        <w:rPr>
          <w:rFonts w:cs="Guttman Rashi"/>
          <w:rtl/>
          <w:lang w:bidi="he-IL"/>
        </w:rPr>
        <w:t xml:space="preserve"> </w:t>
      </w:r>
      <w:r w:rsidRPr="00400C0B">
        <w:rPr>
          <w:rFonts w:cs="Guttman Rashi" w:hint="eastAsia"/>
          <w:rtl/>
          <w:lang w:bidi="he-IL"/>
        </w:rPr>
        <w:t>לסוף</w:t>
      </w:r>
      <w:r w:rsidRPr="00400C0B">
        <w:rPr>
          <w:rFonts w:cs="Guttman Rashi"/>
          <w:rtl/>
          <w:lang w:bidi="he-IL"/>
        </w:rPr>
        <w:t xml:space="preserve"> </w:t>
      </w:r>
      <w:r w:rsidRPr="00400C0B">
        <w:rPr>
          <w:rFonts w:cs="Guttman Rashi" w:hint="eastAsia"/>
          <w:rtl/>
          <w:lang w:bidi="he-IL"/>
        </w:rPr>
        <w:t>דעתו</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רוצה</w:t>
      </w:r>
      <w:r w:rsidRPr="00400C0B">
        <w:rPr>
          <w:rFonts w:cs="Guttman Rashi"/>
          <w:rtl/>
          <w:lang w:bidi="he-IL"/>
        </w:rPr>
        <w:t xml:space="preserve"> </w:t>
      </w:r>
      <w:r w:rsidRPr="00400C0B">
        <w:rPr>
          <w:rFonts w:cs="Guttman Rashi" w:hint="eastAsia"/>
          <w:rtl/>
          <w:lang w:bidi="he-IL"/>
        </w:rPr>
        <w:t>לשאול</w:t>
      </w:r>
      <w:r w:rsidRPr="00400C0B">
        <w:rPr>
          <w:rFonts w:cs="Guttman Rashi"/>
          <w:rtl/>
          <w:lang w:bidi="he-IL"/>
        </w:rPr>
        <w:t>.</w:t>
      </w:r>
    </w:p>
  </w:footnote>
  <w:footnote w:id="22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לשון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גזרו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קצת</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שהי</w:t>
      </w:r>
      <w:r w:rsidRPr="00400C0B">
        <w:rPr>
          <w:rFonts w:cs="Guttman Rashi"/>
          <w:rtl/>
          <w:lang w:bidi="he-IL"/>
        </w:rPr>
        <w:t xml:space="preserve">' </w:t>
      </w:r>
      <w:r w:rsidRPr="00400C0B">
        <w:rPr>
          <w:rFonts w:cs="Guttman Rashi" w:hint="eastAsia"/>
          <w:rtl/>
          <w:lang w:bidi="he-IL"/>
        </w:rPr>
        <w:t>גזרה</w:t>
      </w:r>
      <w:r w:rsidRPr="00400C0B">
        <w:rPr>
          <w:rFonts w:cs="Guttman Rashi"/>
          <w:rtl/>
          <w:lang w:bidi="he-IL"/>
        </w:rPr>
        <w:t xml:space="preserve"> </w:t>
      </w:r>
      <w:r w:rsidRPr="00400C0B">
        <w:rPr>
          <w:rFonts w:cs="Guttman Rashi" w:hint="eastAsia"/>
          <w:rtl/>
          <w:lang w:bidi="he-IL"/>
        </w:rPr>
        <w:t>מיוחדת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מראית</w:t>
      </w:r>
      <w:r w:rsidRPr="00400C0B">
        <w:rPr>
          <w:rFonts w:cs="Guttman Rashi"/>
          <w:rtl/>
          <w:lang w:bidi="he-IL"/>
        </w:rPr>
        <w:t xml:space="preserve"> </w:t>
      </w:r>
      <w:r w:rsidRPr="00400C0B">
        <w:rPr>
          <w:rFonts w:cs="Guttman Rashi" w:hint="eastAsia"/>
          <w:rtl/>
          <w:lang w:bidi="he-IL"/>
        </w:rPr>
        <w:t>העין</w:t>
      </w:r>
      <w:r w:rsidRPr="00400C0B">
        <w:rPr>
          <w:rFonts w:cs="Guttman Rashi"/>
          <w:rtl/>
          <w:lang w:bidi="he-IL"/>
        </w:rPr>
        <w:t xml:space="preserve"> </w:t>
      </w:r>
      <w:r w:rsidRPr="00400C0B">
        <w:rPr>
          <w:rFonts w:cs="Guttman Rashi" w:hint="eastAsia"/>
          <w:rtl/>
          <w:lang w:bidi="he-IL"/>
        </w:rPr>
        <w:t>בבשר</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החלבים</w:t>
      </w:r>
      <w:r w:rsidRPr="00400C0B">
        <w:rPr>
          <w:rFonts w:cs="Guttman Rashi"/>
          <w:rtl/>
          <w:lang w:bidi="he-IL"/>
        </w:rPr>
        <w:t xml:space="preserve"> </w:t>
      </w:r>
      <w:r w:rsidRPr="00400C0B">
        <w:rPr>
          <w:rFonts w:cs="Guttman Rashi" w:hint="eastAsia"/>
          <w:rtl/>
          <w:lang w:bidi="he-IL"/>
        </w:rPr>
        <w:t>שאינם</w:t>
      </w:r>
      <w:r w:rsidRPr="00400C0B">
        <w:rPr>
          <w:rFonts w:cs="Guttman Rashi"/>
          <w:rtl/>
          <w:lang w:bidi="he-IL"/>
        </w:rPr>
        <w:t xml:space="preserve"> </w:t>
      </w:r>
      <w:r w:rsidRPr="00400C0B">
        <w:rPr>
          <w:rFonts w:cs="Guttman Rashi" w:hint="eastAsia"/>
          <w:rtl/>
          <w:lang w:bidi="he-IL"/>
        </w:rPr>
        <w:t>אסורים</w:t>
      </w:r>
      <w:r w:rsidRPr="00400C0B">
        <w:rPr>
          <w:rFonts w:cs="Guttman Rashi"/>
          <w:rtl/>
          <w:lang w:bidi="he-IL"/>
        </w:rPr>
        <w:t xml:space="preserve"> </w:t>
      </w:r>
      <w:r w:rsidRPr="00400C0B">
        <w:rPr>
          <w:rFonts w:cs="Guttman Rashi" w:hint="eastAsia"/>
          <w:rtl/>
          <w:lang w:bidi="he-IL"/>
        </w:rPr>
        <w:t>מעיקר</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נכון</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לשון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דוקא</w:t>
      </w:r>
      <w:r w:rsidRPr="00400C0B">
        <w:rPr>
          <w:rFonts w:cs="Guttman Rashi"/>
          <w:rtl/>
          <w:lang w:bidi="he-IL"/>
        </w:rPr>
        <w:t xml:space="preserve"> </w:t>
      </w:r>
      <w:r w:rsidRPr="00400C0B">
        <w:rPr>
          <w:rFonts w:cs="Guttman Rashi" w:hint="eastAsia"/>
          <w:rtl/>
          <w:lang w:bidi="he-IL"/>
        </w:rPr>
        <w:t>נקט</w:t>
      </w:r>
      <w:r w:rsidRPr="00400C0B">
        <w:rPr>
          <w:rFonts w:cs="Guttman Rashi"/>
          <w:rtl/>
          <w:lang w:bidi="he-IL"/>
        </w:rPr>
        <w:t xml:space="preserve">, </w:t>
      </w:r>
      <w:r w:rsidRPr="00400C0B">
        <w:rPr>
          <w:rFonts w:cs="Guttman Rashi" w:hint="eastAsia"/>
          <w:rtl/>
          <w:lang w:bidi="he-IL"/>
        </w:rPr>
        <w:t>וכוונתו</w:t>
      </w:r>
      <w:r w:rsidRPr="00400C0B">
        <w:rPr>
          <w:rFonts w:cs="Guttman Rashi"/>
          <w:rtl/>
          <w:lang w:bidi="he-IL"/>
        </w:rPr>
        <w:t xml:space="preserve"> </w:t>
      </w:r>
      <w:r w:rsidRPr="00400C0B">
        <w:rPr>
          <w:rFonts w:cs="Guttman Rashi" w:hint="eastAsia"/>
          <w:rtl/>
          <w:lang w:bidi="he-IL"/>
        </w:rPr>
        <w:t>כמש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בכרו</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מראית</w:t>
      </w:r>
      <w:r w:rsidRPr="00400C0B">
        <w:rPr>
          <w:rFonts w:cs="Guttman Rashi"/>
          <w:rtl/>
          <w:lang w:bidi="he-IL"/>
        </w:rPr>
        <w:t xml:space="preserve"> </w:t>
      </w:r>
      <w:r w:rsidRPr="00400C0B">
        <w:rPr>
          <w:rFonts w:cs="Guttman Rashi" w:hint="eastAsia"/>
          <w:rtl/>
          <w:lang w:bidi="he-IL"/>
        </w:rPr>
        <w:t>העין</w:t>
      </w:r>
      <w:r w:rsidRPr="00400C0B">
        <w:rPr>
          <w:rFonts w:cs="Guttman Rashi"/>
          <w:rtl/>
          <w:lang w:bidi="he-IL"/>
        </w:rPr>
        <w:t xml:space="preserve"> </w:t>
      </w:r>
      <w:r w:rsidRPr="00400C0B">
        <w:rPr>
          <w:rFonts w:cs="Guttman Rashi" w:hint="eastAsia"/>
          <w:rtl/>
          <w:lang w:bidi="he-IL"/>
        </w:rPr>
        <w:t>בבישול</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טהור</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טמא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שהיא</w:t>
      </w:r>
      <w:r w:rsidRPr="00400C0B">
        <w:rPr>
          <w:rFonts w:cs="Guttman Rashi"/>
          <w:rtl/>
          <w:lang w:bidi="he-IL"/>
        </w:rPr>
        <w:t xml:space="preserve"> </w:t>
      </w:r>
      <w:r w:rsidRPr="00400C0B">
        <w:rPr>
          <w:rFonts w:cs="Guttman Rashi" w:hint="eastAsia"/>
          <w:rtl/>
          <w:lang w:bidi="he-IL"/>
        </w:rPr>
        <w:t>מילתא</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שכיחא</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גזרו</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רבנן</w:t>
      </w:r>
      <w:r w:rsidRPr="00400C0B">
        <w:rPr>
          <w:rFonts w:cs="Guttman Rashi"/>
          <w:rtl/>
          <w:lang w:bidi="he-IL"/>
        </w:rPr>
        <w:t xml:space="preserve">. </w:t>
      </w:r>
      <w:r w:rsidRPr="00400C0B">
        <w:rPr>
          <w:rFonts w:cs="Guttman Rashi" w:hint="eastAsia"/>
          <w:rtl/>
          <w:lang w:bidi="he-IL"/>
        </w:rPr>
        <w:t>וגם</w:t>
      </w:r>
      <w:r w:rsidRPr="00400C0B">
        <w:rPr>
          <w:rFonts w:cs="Guttman Rashi"/>
          <w:rtl/>
          <w:lang w:bidi="he-IL"/>
        </w:rPr>
        <w:t xml:space="preserve"> </w:t>
      </w:r>
      <w:r w:rsidRPr="00400C0B">
        <w:rPr>
          <w:rFonts w:cs="Guttman Rashi" w:hint="eastAsia"/>
          <w:rtl/>
          <w:lang w:bidi="he-IL"/>
        </w:rPr>
        <w:t>סברא</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כללי</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הנידון</w:t>
      </w:r>
      <w:r w:rsidRPr="00400C0B">
        <w:rPr>
          <w:rFonts w:cs="Guttman Rashi"/>
          <w:rtl/>
          <w:lang w:bidi="he-IL"/>
        </w:rPr>
        <w:t xml:space="preserve"> </w:t>
      </w:r>
      <w:r w:rsidRPr="00400C0B">
        <w:rPr>
          <w:rFonts w:cs="Guttman Rashi" w:hint="eastAsia"/>
          <w:rtl/>
          <w:lang w:bidi="he-IL"/>
        </w:rPr>
        <w:t>לגזור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טמא</w:t>
      </w:r>
      <w:r w:rsidRPr="00400C0B">
        <w:rPr>
          <w:rFonts w:cs="Guttman Rashi"/>
          <w:rtl/>
          <w:lang w:bidi="he-IL"/>
        </w:rPr>
        <w:t xml:space="preserve"> </w:t>
      </w:r>
      <w:r w:rsidRPr="00400C0B">
        <w:rPr>
          <w:rFonts w:cs="Guttman Rashi" w:hint="eastAsia"/>
          <w:rtl/>
          <w:lang w:bidi="he-IL"/>
        </w:rPr>
        <w:t>בפני</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p>
  </w:footnote>
  <w:footnote w:id="22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ושם</w:t>
      </w:r>
      <w:r w:rsidRPr="00400C0B">
        <w:rPr>
          <w:rFonts w:cs="Guttman Rashi"/>
          <w:rtl/>
          <w:lang w:bidi="he-IL"/>
        </w:rPr>
        <w:t xml:space="preserve"> </w:t>
      </w:r>
      <w:r w:rsidRPr="00400C0B">
        <w:rPr>
          <w:rFonts w:cs="Guttman Rashi" w:hint="eastAsia"/>
          <w:rtl/>
          <w:lang w:bidi="he-IL"/>
        </w:rPr>
        <w:t>תמה</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סברת</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שהבין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כט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ולולא</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כמש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w:t>
      </w:r>
    </w:p>
  </w:footnote>
  <w:footnote w:id="22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באג</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ההפלאה</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סותר</w:t>
      </w:r>
      <w:r w:rsidRPr="00400C0B">
        <w:rPr>
          <w:rFonts w:cs="Guttman Rashi"/>
          <w:rtl/>
          <w:lang w:bidi="he-IL"/>
        </w:rPr>
        <w:t xml:space="preserve"> </w:t>
      </w:r>
      <w:r w:rsidRPr="00400C0B">
        <w:rPr>
          <w:rFonts w:cs="Guttman Rashi" w:hint="eastAsia"/>
          <w:rtl/>
          <w:lang w:bidi="he-IL"/>
        </w:rPr>
        <w:t>משנתו</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בהגהות</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ולענין</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שרצה</w:t>
      </w:r>
      <w:r w:rsidRPr="00400C0B">
        <w:rPr>
          <w:rFonts w:cs="Guttman Rashi"/>
          <w:rtl/>
          <w:lang w:bidi="he-IL"/>
        </w:rPr>
        <w:t xml:space="preserve"> </w:t>
      </w:r>
      <w:r w:rsidRPr="00400C0B">
        <w:rPr>
          <w:rFonts w:cs="Guttman Rashi" w:hint="eastAsia"/>
          <w:rtl/>
          <w:lang w:bidi="he-IL"/>
        </w:rPr>
        <w:t>ההפלאה</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ליישב</w:t>
      </w:r>
      <w:r w:rsidRPr="00400C0B">
        <w:rPr>
          <w:rFonts w:cs="Guttman Rashi"/>
          <w:rtl/>
          <w:lang w:bidi="he-IL"/>
        </w:rPr>
        <w:t xml:space="preserve"> </w:t>
      </w:r>
      <w:r w:rsidRPr="00400C0B">
        <w:rPr>
          <w:rFonts w:cs="Guttman Rashi" w:hint="eastAsia"/>
          <w:rtl/>
          <w:lang w:bidi="he-IL"/>
        </w:rPr>
        <w:t>קושיית</w:t>
      </w:r>
      <w:r w:rsidRPr="00400C0B">
        <w:rPr>
          <w:rFonts w:cs="Guttman Rashi"/>
          <w:rtl/>
          <w:lang w:bidi="he-IL"/>
        </w:rPr>
        <w:t xml:space="preserve"> </w:t>
      </w:r>
      <w:r w:rsidRPr="00400C0B">
        <w:rPr>
          <w:rFonts w:cs="Guttman Rashi" w:hint="eastAsia"/>
          <w:rtl/>
          <w:lang w:bidi="he-IL"/>
        </w:rPr>
        <w:t>המג</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בכל</w:t>
      </w:r>
      <w:r w:rsidRPr="00400C0B">
        <w:rPr>
          <w:rFonts w:cs="Guttman Rashi"/>
          <w:rtl/>
          <w:lang w:bidi="he-IL"/>
        </w:rPr>
        <w:t xml:space="preserve"> </w:t>
      </w:r>
      <w:r w:rsidRPr="00400C0B">
        <w:rPr>
          <w:rFonts w:cs="Guttman Rashi" w:hint="eastAsia"/>
          <w:rtl/>
          <w:lang w:bidi="he-IL"/>
        </w:rPr>
        <w:t>אופן</w:t>
      </w:r>
      <w:r w:rsidRPr="00400C0B">
        <w:rPr>
          <w:rFonts w:cs="Guttman Rashi"/>
          <w:rtl/>
          <w:lang w:bidi="he-IL"/>
        </w:rPr>
        <w:t xml:space="preserve"> </w:t>
      </w:r>
      <w:r w:rsidRPr="00400C0B">
        <w:rPr>
          <w:rFonts w:cs="Guttman Rashi" w:hint="eastAsia"/>
          <w:rtl/>
          <w:lang w:bidi="he-IL"/>
        </w:rPr>
        <w:t>המג</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תי</w:t>
      </w:r>
      <w:r w:rsidRPr="00400C0B">
        <w:rPr>
          <w:rFonts w:cs="Guttman Rashi"/>
          <w:rtl/>
          <w:lang w:bidi="he-IL"/>
        </w:rPr>
        <w:t xml:space="preserve">' </w:t>
      </w:r>
      <w:r w:rsidRPr="00400C0B">
        <w:rPr>
          <w:rFonts w:cs="Guttman Rashi" w:hint="eastAsia"/>
          <w:rtl/>
          <w:lang w:bidi="he-IL"/>
        </w:rPr>
        <w:t>באופן</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w:t>
      </w:r>
    </w:p>
  </w:footnote>
  <w:footnote w:id="22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שתעודת</w:t>
      </w:r>
      <w:r w:rsidRPr="00400C0B">
        <w:rPr>
          <w:rFonts w:cs="Guttman Rashi"/>
          <w:rtl/>
          <w:lang w:bidi="he-IL"/>
        </w:rPr>
        <w:t xml:space="preserve"> </w:t>
      </w:r>
      <w:r w:rsidRPr="00400C0B">
        <w:rPr>
          <w:rFonts w:cs="Guttman Rashi" w:hint="eastAsia"/>
          <w:rtl/>
          <w:lang w:bidi="he-IL"/>
        </w:rPr>
        <w:t>הכשר</w:t>
      </w:r>
      <w:r w:rsidRPr="00400C0B">
        <w:rPr>
          <w:rFonts w:cs="Guttman Rashi"/>
          <w:rtl/>
          <w:lang w:bidi="he-IL"/>
        </w:rPr>
        <w:t xml:space="preserve"> </w:t>
      </w:r>
      <w:r w:rsidRPr="00400C0B">
        <w:rPr>
          <w:rFonts w:cs="Guttman Rashi" w:hint="eastAsia"/>
          <w:rtl/>
          <w:lang w:bidi="he-IL"/>
        </w:rPr>
        <w:t>שכ</w:t>
      </w:r>
      <w:r w:rsidRPr="00400C0B">
        <w:rPr>
          <w:rFonts w:cs="Guttman Rashi"/>
          <w:rtl/>
          <w:lang w:bidi="he-IL"/>
        </w:rPr>
        <w:t xml:space="preserve"> </w:t>
      </w:r>
      <w:r w:rsidRPr="00400C0B">
        <w:rPr>
          <w:rFonts w:cs="Guttman Rashi" w:hint="eastAsia"/>
          <w:rtl/>
          <w:lang w:bidi="he-IL"/>
        </w:rPr>
        <w:t>האוכל</w:t>
      </w:r>
      <w:r w:rsidRPr="00400C0B">
        <w:rPr>
          <w:rFonts w:cs="Guttman Rashi"/>
          <w:rtl/>
          <w:lang w:bidi="he-IL"/>
        </w:rPr>
        <w:t xml:space="preserve"> </w:t>
      </w:r>
      <w:r w:rsidRPr="00400C0B">
        <w:rPr>
          <w:rFonts w:cs="Guttman Rashi" w:hint="eastAsia"/>
          <w:rtl/>
          <w:lang w:bidi="he-IL"/>
        </w:rPr>
        <w:t>שבמקום</w:t>
      </w:r>
      <w:r w:rsidRPr="00400C0B">
        <w:rPr>
          <w:rFonts w:cs="Guttman Rashi"/>
          <w:rtl/>
          <w:lang w:bidi="he-IL"/>
        </w:rPr>
        <w:t xml:space="preserve"> </w:t>
      </w:r>
      <w:r w:rsidRPr="00400C0B">
        <w:rPr>
          <w:rFonts w:cs="Guttman Rashi" w:hint="eastAsia"/>
          <w:rtl/>
          <w:lang w:bidi="he-IL"/>
        </w:rPr>
        <w:t>כשר</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והחילוק</w:t>
      </w:r>
      <w:r w:rsidRPr="00400C0B">
        <w:rPr>
          <w:rFonts w:cs="Guttman Rashi"/>
          <w:rtl/>
          <w:lang w:bidi="he-IL"/>
        </w:rPr>
        <w:t xml:space="preserve"> </w:t>
      </w:r>
      <w:r w:rsidRPr="00400C0B">
        <w:rPr>
          <w:rFonts w:cs="Guttman Rashi" w:hint="eastAsia"/>
          <w:rtl/>
          <w:lang w:bidi="he-IL"/>
        </w:rPr>
        <w:t>ביניהם</w:t>
      </w:r>
      <w:r w:rsidRPr="00400C0B">
        <w:rPr>
          <w:rFonts w:cs="Guttman Rashi"/>
          <w:rtl/>
          <w:lang w:bidi="he-IL"/>
        </w:rPr>
        <w:t xml:space="preserve"> </w:t>
      </w:r>
      <w:r w:rsidRPr="00400C0B">
        <w:rPr>
          <w:rFonts w:cs="Guttman Rashi" w:hint="eastAsia"/>
          <w:rtl/>
          <w:lang w:bidi="he-IL"/>
        </w:rPr>
        <w:t>שבפתק</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מוכיח</w:t>
      </w:r>
      <w:r w:rsidRPr="00400C0B">
        <w:rPr>
          <w:rFonts w:cs="Guttman Rashi"/>
          <w:rtl/>
          <w:lang w:bidi="he-IL"/>
        </w:rPr>
        <w:t xml:space="preserve"> </w:t>
      </w:r>
      <w:r w:rsidRPr="00400C0B">
        <w:rPr>
          <w:rFonts w:cs="Guttman Rashi" w:hint="eastAsia"/>
          <w:rtl/>
          <w:lang w:bidi="he-IL"/>
        </w:rPr>
        <w:t>שהמאכל</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המאכל</w:t>
      </w:r>
      <w:r w:rsidRPr="00400C0B">
        <w:rPr>
          <w:rFonts w:cs="Guttman Rashi"/>
          <w:rtl/>
          <w:lang w:bidi="he-IL"/>
        </w:rPr>
        <w:t xml:space="preserve"> </w:t>
      </w:r>
      <w:r w:rsidRPr="00400C0B">
        <w:rPr>
          <w:rFonts w:cs="Guttman Rashi" w:hint="eastAsia"/>
          <w:rtl/>
          <w:lang w:bidi="he-IL"/>
        </w:rPr>
        <w:t>האוסר</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מראית</w:t>
      </w:r>
      <w:r w:rsidRPr="00400C0B">
        <w:rPr>
          <w:rFonts w:cs="Guttman Rashi"/>
          <w:rtl/>
          <w:lang w:bidi="he-IL"/>
        </w:rPr>
        <w:t xml:space="preserve"> </w:t>
      </w:r>
      <w:r w:rsidRPr="00400C0B">
        <w:rPr>
          <w:rFonts w:cs="Guttman Rashi" w:hint="eastAsia"/>
          <w:rtl/>
          <w:lang w:bidi="he-IL"/>
        </w:rPr>
        <w:t>העין</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הכשראינו</w:t>
      </w:r>
      <w:r w:rsidRPr="00400C0B">
        <w:rPr>
          <w:rFonts w:cs="Guttman Rashi"/>
          <w:rtl/>
          <w:lang w:bidi="he-IL"/>
        </w:rPr>
        <w:t xml:space="preserve"> </w:t>
      </w:r>
      <w:r w:rsidRPr="00400C0B">
        <w:rPr>
          <w:rFonts w:cs="Guttman Rashi" w:hint="eastAsia"/>
          <w:rtl/>
          <w:lang w:bidi="he-IL"/>
        </w:rPr>
        <w:t>מעיד</w:t>
      </w:r>
      <w:r w:rsidRPr="00400C0B">
        <w:rPr>
          <w:rFonts w:cs="Guttman Rashi"/>
          <w:rtl/>
          <w:lang w:bidi="he-IL"/>
        </w:rPr>
        <w:t xml:space="preserve"> </w:t>
      </w:r>
      <w:r w:rsidRPr="00400C0B">
        <w:rPr>
          <w:rFonts w:cs="Guttman Rashi" w:hint="eastAsia"/>
          <w:rtl/>
          <w:lang w:bidi="he-IL"/>
        </w:rPr>
        <w:t>במסוים</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במאכל</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מראית</w:t>
      </w:r>
      <w:r w:rsidRPr="00400C0B">
        <w:rPr>
          <w:rFonts w:cs="Guttman Rashi"/>
          <w:rtl/>
          <w:lang w:bidi="he-IL"/>
        </w:rPr>
        <w:t xml:space="preserve"> </w:t>
      </w:r>
      <w:r w:rsidRPr="00400C0B">
        <w:rPr>
          <w:rFonts w:cs="Guttman Rashi" w:hint="eastAsia"/>
          <w:rtl/>
          <w:lang w:bidi="he-IL"/>
        </w:rPr>
        <w:t>העין</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יתכן</w:t>
      </w:r>
      <w:r w:rsidRPr="00400C0B">
        <w:rPr>
          <w:rFonts w:cs="Guttman Rashi"/>
          <w:rtl/>
          <w:lang w:bidi="he-IL"/>
        </w:rPr>
        <w:t xml:space="preserve"> </w:t>
      </w:r>
      <w:r w:rsidRPr="00400C0B">
        <w:rPr>
          <w:rFonts w:cs="Guttman Rashi" w:hint="eastAsia"/>
          <w:rtl/>
          <w:lang w:bidi="he-IL"/>
        </w:rPr>
        <w:t>שהי</w:t>
      </w:r>
      <w:r w:rsidRPr="00400C0B">
        <w:rPr>
          <w:rFonts w:cs="Guttman Rashi"/>
          <w:rtl/>
          <w:lang w:bidi="he-IL"/>
        </w:rPr>
        <w:t xml:space="preserve">' </w:t>
      </w:r>
      <w:r w:rsidRPr="00400C0B">
        <w:rPr>
          <w:rFonts w:cs="Guttman Rashi" w:hint="eastAsia"/>
          <w:rtl/>
          <w:lang w:bidi="he-IL"/>
        </w:rPr>
        <w:t>טעות</w:t>
      </w:r>
      <w:r w:rsidRPr="00400C0B">
        <w:rPr>
          <w:rFonts w:cs="Guttman Rashi"/>
          <w:rtl/>
          <w:lang w:bidi="he-IL"/>
        </w:rPr>
        <w:t xml:space="preserve"> </w:t>
      </w:r>
      <w:r w:rsidRPr="00400C0B">
        <w:rPr>
          <w:rFonts w:cs="Guttman Rashi" w:hint="eastAsia"/>
          <w:rtl/>
          <w:lang w:bidi="he-IL"/>
        </w:rPr>
        <w:t>בקייטרינג</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תעודת</w:t>
      </w:r>
      <w:r w:rsidRPr="00400C0B">
        <w:rPr>
          <w:rFonts w:cs="Guttman Rashi"/>
          <w:rtl/>
          <w:lang w:bidi="he-IL"/>
        </w:rPr>
        <w:t xml:space="preserve"> </w:t>
      </w:r>
      <w:r w:rsidRPr="00400C0B">
        <w:rPr>
          <w:rFonts w:cs="Guttman Rashi" w:hint="eastAsia"/>
          <w:rtl/>
          <w:lang w:bidi="he-IL"/>
        </w:rPr>
        <w:t>כשרות</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טעות</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מראית</w:t>
      </w:r>
      <w:r w:rsidRPr="00400C0B">
        <w:rPr>
          <w:rFonts w:cs="Guttman Rashi"/>
          <w:rtl/>
          <w:lang w:bidi="he-IL"/>
        </w:rPr>
        <w:t xml:space="preserve"> </w:t>
      </w:r>
      <w:r w:rsidRPr="00400C0B">
        <w:rPr>
          <w:rFonts w:cs="Guttman Rashi" w:hint="eastAsia"/>
          <w:rtl/>
          <w:lang w:bidi="he-IL"/>
        </w:rPr>
        <w:t>העין</w:t>
      </w:r>
      <w:r w:rsidRPr="00400C0B">
        <w:rPr>
          <w:rFonts w:cs="Guttman Rashi"/>
          <w:rtl/>
          <w:lang w:bidi="he-IL"/>
        </w:rPr>
        <w:t xml:space="preserve">.  </w:t>
      </w:r>
    </w:p>
  </w:footnote>
  <w:footnote w:id="22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יד</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מנשיכת</w:t>
      </w:r>
      <w:r w:rsidRPr="00400C0B">
        <w:rPr>
          <w:rFonts w:cs="Guttman Rashi"/>
          <w:rtl/>
          <w:lang w:bidi="he-IL"/>
        </w:rPr>
        <w:t xml:space="preserve"> </w:t>
      </w:r>
      <w:r w:rsidRPr="00400C0B">
        <w:rPr>
          <w:rFonts w:cs="Guttman Rashi" w:hint="eastAsia"/>
          <w:rtl/>
          <w:lang w:bidi="he-IL"/>
        </w:rPr>
        <w:t>ככר</w:t>
      </w:r>
      <w:r w:rsidRPr="00400C0B">
        <w:rPr>
          <w:rFonts w:cs="Guttman Rashi"/>
          <w:rtl/>
          <w:lang w:bidi="he-IL"/>
        </w:rPr>
        <w:t xml:space="preserve"> </w:t>
      </w:r>
      <w:r w:rsidRPr="00400C0B">
        <w:rPr>
          <w:rFonts w:cs="Guttman Rashi" w:hint="eastAsia"/>
          <w:rtl/>
          <w:lang w:bidi="he-IL"/>
        </w:rPr>
        <w:t>שמ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גזרו</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לתלות</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שהגיע</w:t>
      </w:r>
      <w:r w:rsidRPr="00400C0B">
        <w:rPr>
          <w:rFonts w:cs="Guttman Rashi"/>
          <w:rtl/>
          <w:lang w:bidi="he-IL"/>
        </w:rPr>
        <w:t xml:space="preserve"> </w:t>
      </w:r>
      <w:r w:rsidRPr="00400C0B">
        <w:rPr>
          <w:rFonts w:cs="Guttman Rashi" w:hint="eastAsia"/>
          <w:rtl/>
          <w:lang w:bidi="he-IL"/>
        </w:rPr>
        <w:t>מבין</w:t>
      </w:r>
      <w:r w:rsidRPr="00400C0B">
        <w:rPr>
          <w:rFonts w:cs="Guttman Rashi"/>
          <w:rtl/>
          <w:lang w:bidi="he-IL"/>
        </w:rPr>
        <w:t xml:space="preserve"> </w:t>
      </w:r>
      <w:r w:rsidRPr="00400C0B">
        <w:rPr>
          <w:rFonts w:cs="Guttman Rashi" w:hint="eastAsia"/>
          <w:rtl/>
          <w:lang w:bidi="he-IL"/>
        </w:rPr>
        <w:t>השיניים</w:t>
      </w:r>
      <w:r w:rsidRPr="00400C0B">
        <w:rPr>
          <w:rFonts w:cs="Guttman Rashi"/>
          <w:rtl/>
          <w:lang w:bidi="he-IL"/>
        </w:rPr>
        <w:t xml:space="preserve">. </w:t>
      </w:r>
      <w:r w:rsidRPr="00400C0B">
        <w:rPr>
          <w:rFonts w:cs="Guttman Rashi" w:hint="eastAsia"/>
          <w:rtl/>
          <w:lang w:bidi="he-IL"/>
        </w:rPr>
        <w:t>ולדבריו</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נגד</w:t>
      </w:r>
      <w:r w:rsidRPr="00400C0B">
        <w:rPr>
          <w:rFonts w:cs="Guttman Rashi"/>
          <w:rtl/>
          <w:lang w:bidi="he-IL"/>
        </w:rPr>
        <w:t xml:space="preserve"> </w:t>
      </w:r>
      <w:r w:rsidRPr="00400C0B">
        <w:rPr>
          <w:rFonts w:cs="Guttman Rashi" w:hint="eastAsia"/>
          <w:rtl/>
          <w:lang w:bidi="he-IL"/>
        </w:rPr>
        <w:t>שקדים</w:t>
      </w:r>
      <w:r w:rsidRPr="00400C0B">
        <w:rPr>
          <w:rFonts w:cs="Guttman Rashi"/>
          <w:rtl/>
          <w:lang w:bidi="he-IL"/>
        </w:rPr>
        <w:t xml:space="preserve">, </w:t>
      </w:r>
      <w:r w:rsidRPr="00400C0B">
        <w:rPr>
          <w:rFonts w:cs="Guttman Rashi" w:hint="eastAsia"/>
          <w:rtl/>
          <w:lang w:bidi="he-IL"/>
        </w:rPr>
        <w:t>דמאי</w:t>
      </w:r>
      <w:r w:rsidRPr="00400C0B">
        <w:rPr>
          <w:rFonts w:cs="Guttman Rashi"/>
          <w:rtl/>
          <w:lang w:bidi="he-IL"/>
        </w:rPr>
        <w:t xml:space="preserve"> </w:t>
      </w:r>
      <w:r w:rsidRPr="00400C0B">
        <w:rPr>
          <w:rFonts w:cs="Guttman Rashi" w:hint="eastAsia"/>
          <w:rtl/>
          <w:lang w:bidi="he-IL"/>
        </w:rPr>
        <w:t>שנא</w:t>
      </w:r>
      <w:r w:rsidRPr="00400C0B">
        <w:rPr>
          <w:rFonts w:cs="Guttman Rashi"/>
          <w:rtl/>
          <w:lang w:bidi="he-IL"/>
        </w:rPr>
        <w:t xml:space="preserve"> </w:t>
      </w:r>
      <w:r w:rsidRPr="00400C0B">
        <w:rPr>
          <w:rFonts w:cs="Guttman Rashi" w:hint="eastAsia"/>
          <w:rtl/>
          <w:lang w:bidi="he-IL"/>
        </w:rPr>
        <w:t>ככר</w:t>
      </w:r>
      <w:r w:rsidRPr="00400C0B">
        <w:rPr>
          <w:rFonts w:cs="Guttman Rashi"/>
          <w:rtl/>
          <w:lang w:bidi="he-IL"/>
        </w:rPr>
        <w:t xml:space="preserve"> </w:t>
      </w:r>
      <w:r w:rsidRPr="00400C0B">
        <w:rPr>
          <w:rFonts w:cs="Guttman Rashi" w:hint="eastAsia"/>
          <w:rtl/>
          <w:lang w:bidi="he-IL"/>
        </w:rPr>
        <w:t>משקדים</w:t>
      </w:r>
      <w:r w:rsidRPr="00400C0B">
        <w:rPr>
          <w:rFonts w:cs="Guttman Rashi"/>
          <w:rtl/>
          <w:lang w:bidi="he-IL"/>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w:t>
      </w:r>
    </w:p>
  </w:footnote>
  <w:footnote w:id="22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לשון</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w:t>
      </w:r>
    </w:p>
  </w:footnote>
  <w:footnote w:id="230">
    <w:p w:rsidR="007978F4" w:rsidRPr="00400C0B" w:rsidRDefault="007978F4" w:rsidP="00B80448">
      <w:pPr>
        <w:pStyle w:val="FootnoteText"/>
        <w:bidi/>
        <w:jc w:val="both"/>
        <w:rPr>
          <w:rFonts w:cs="Guttman Rashi"/>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נפק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נשפך</w:t>
      </w:r>
      <w:r w:rsidRPr="00400C0B">
        <w:rPr>
          <w:rFonts w:cs="Guttman Rashi"/>
          <w:rtl/>
          <w:lang w:bidi="he-IL"/>
        </w:rPr>
        <w:t xml:space="preserve"> </w:t>
      </w:r>
      <w:r w:rsidRPr="00400C0B">
        <w:rPr>
          <w:rFonts w:cs="Guttman Rashi" w:hint="eastAsia"/>
          <w:rtl/>
          <w:lang w:bidi="he-IL"/>
        </w:rPr>
        <w:t>בליעות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ושל</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המשטח</w:t>
      </w:r>
      <w:r w:rsidRPr="00400C0B">
        <w:rPr>
          <w:rFonts w:cs="Guttman Rashi"/>
          <w:rtl/>
          <w:lang w:bidi="he-IL"/>
        </w:rPr>
        <w:t xml:space="preserve"> </w:t>
      </w:r>
      <w:r w:rsidRPr="00400C0B">
        <w:rPr>
          <w:rFonts w:cs="Guttman Rashi" w:hint="eastAsia"/>
          <w:rtl/>
          <w:lang w:bidi="he-IL"/>
        </w:rPr>
        <w:t>שעליו</w:t>
      </w:r>
      <w:r w:rsidRPr="00400C0B">
        <w:rPr>
          <w:rFonts w:cs="Guttman Rashi"/>
          <w:rtl/>
          <w:lang w:bidi="he-IL"/>
        </w:rPr>
        <w:t xml:space="preserve"> </w:t>
      </w:r>
      <w:r w:rsidRPr="00400C0B">
        <w:rPr>
          <w:rFonts w:cs="Guttman Rashi" w:hint="eastAsia"/>
          <w:rtl/>
          <w:lang w:bidi="he-IL"/>
        </w:rPr>
        <w:t>הכיריים</w:t>
      </w:r>
      <w:r w:rsidRPr="00400C0B">
        <w:rPr>
          <w:rFonts w:cs="Guttman Rashi"/>
          <w:rtl/>
          <w:lang w:bidi="he-IL"/>
        </w:rPr>
        <w:t xml:space="preserve"> </w:t>
      </w:r>
      <w:r w:rsidRPr="00400C0B">
        <w:rPr>
          <w:rFonts w:cs="Guttman Rashi" w:hint="eastAsia"/>
          <w:rtl/>
          <w:lang w:bidi="he-IL"/>
        </w:rPr>
        <w:t>בתוך</w:t>
      </w:r>
      <w:r w:rsidRPr="00400C0B">
        <w:rPr>
          <w:rFonts w:cs="Guttman Rashi"/>
          <w:rtl/>
          <w:lang w:bidi="he-IL"/>
        </w:rPr>
        <w:t xml:space="preserve"> </w:t>
      </w:r>
      <w:r w:rsidRPr="00400C0B">
        <w:rPr>
          <w:rFonts w:cs="Guttman Rashi" w:hint="eastAsia"/>
          <w:rtl/>
          <w:lang w:bidi="he-IL"/>
        </w:rPr>
        <w:t>מעל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להדליק</w:t>
      </w:r>
      <w:r w:rsidRPr="00400C0B">
        <w:rPr>
          <w:rFonts w:cs="Guttman Rashi"/>
          <w:rtl/>
          <w:lang w:bidi="he-IL"/>
        </w:rPr>
        <w:t xml:space="preserve"> </w:t>
      </w:r>
      <w:r w:rsidRPr="00400C0B">
        <w:rPr>
          <w:rFonts w:cs="Guttman Rashi" w:hint="eastAsia"/>
          <w:rtl/>
          <w:lang w:bidi="he-IL"/>
        </w:rPr>
        <w:t>התנור</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שע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שמדליק</w:t>
      </w:r>
      <w:r w:rsidRPr="00400C0B">
        <w:rPr>
          <w:rFonts w:cs="Guttman Rashi"/>
          <w:rtl/>
          <w:lang w:bidi="he-IL"/>
        </w:rPr>
        <w:t xml:space="preserve"> </w:t>
      </w:r>
      <w:r w:rsidRPr="00400C0B">
        <w:rPr>
          <w:rFonts w:cs="Guttman Rashi" w:hint="eastAsia"/>
          <w:rtl/>
          <w:lang w:bidi="he-IL"/>
        </w:rPr>
        <w:t>התנור</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מחמם</w:t>
      </w:r>
      <w:r w:rsidRPr="00400C0B">
        <w:rPr>
          <w:rFonts w:cs="Guttman Rashi"/>
          <w:rtl/>
          <w:lang w:bidi="he-IL"/>
        </w:rPr>
        <w:t xml:space="preserve"> </w:t>
      </w:r>
      <w:r w:rsidRPr="00400C0B">
        <w:rPr>
          <w:rFonts w:cs="Guttman Rashi" w:hint="eastAsia"/>
          <w:rtl/>
          <w:lang w:bidi="he-IL"/>
        </w:rPr>
        <w:t>הבליעות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ביחד</w:t>
      </w:r>
      <w:r w:rsidRPr="00400C0B">
        <w:rPr>
          <w:rFonts w:cs="Guttman Rashi"/>
          <w:rtl/>
          <w:lang w:bidi="he-IL"/>
        </w:rPr>
        <w:t xml:space="preserve">. </w:t>
      </w:r>
    </w:p>
  </w:footnote>
  <w:footnote w:id="23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להדגיש</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הבישול</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הבליעות</w:t>
      </w:r>
      <w:r w:rsidRPr="00400C0B">
        <w:rPr>
          <w:rFonts w:cs="Guttman Rashi"/>
          <w:rtl/>
          <w:lang w:bidi="he-IL"/>
        </w:rPr>
        <w:t xml:space="preserve"> </w:t>
      </w:r>
      <w:r w:rsidRPr="00400C0B">
        <w:rPr>
          <w:rFonts w:cs="Guttman Rashi" w:hint="eastAsia"/>
          <w:rtl/>
          <w:lang w:bidi="he-IL"/>
        </w:rPr>
        <w:t>מעיקר</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שכבר</w:t>
      </w:r>
      <w:r w:rsidRPr="00400C0B">
        <w:rPr>
          <w:rFonts w:cs="Guttman Rashi"/>
          <w:rtl/>
          <w:lang w:bidi="he-IL"/>
        </w:rPr>
        <w:t xml:space="preserve"> </w:t>
      </w:r>
      <w:r w:rsidRPr="00400C0B">
        <w:rPr>
          <w:rFonts w:cs="Guttman Rashi" w:hint="eastAsia"/>
          <w:rtl/>
          <w:lang w:bidi="he-IL"/>
        </w:rPr>
        <w:t>נתבשלו</w:t>
      </w:r>
      <w:r w:rsidRPr="00400C0B">
        <w:rPr>
          <w:rFonts w:cs="Guttman Rashi"/>
          <w:rtl/>
          <w:lang w:bidi="he-IL"/>
        </w:rPr>
        <w:t xml:space="preserve"> </w:t>
      </w:r>
      <w:r w:rsidRPr="00400C0B">
        <w:rPr>
          <w:rFonts w:cs="Guttman Rashi" w:hint="eastAsia"/>
          <w:rtl/>
          <w:lang w:bidi="he-IL"/>
        </w:rPr>
        <w:t>יחד</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מכאן</w:t>
      </w:r>
      <w:r w:rsidRPr="00400C0B">
        <w:rPr>
          <w:rFonts w:cs="Guttman Rashi"/>
          <w:rtl/>
          <w:lang w:bidi="he-IL"/>
        </w:rPr>
        <w:t xml:space="preserve"> </w:t>
      </w:r>
      <w:r w:rsidRPr="00400C0B">
        <w:rPr>
          <w:rFonts w:cs="Guttman Rashi" w:hint="eastAsia"/>
          <w:rtl/>
          <w:lang w:bidi="he-IL"/>
        </w:rPr>
        <w:t>סתירה</w:t>
      </w:r>
      <w:r w:rsidRPr="00400C0B">
        <w:rPr>
          <w:rFonts w:cs="Guttman Rashi"/>
          <w:rtl/>
          <w:lang w:bidi="he-IL"/>
        </w:rPr>
        <w:t xml:space="preserve"> </w:t>
      </w:r>
      <w:r w:rsidRPr="00400C0B">
        <w:rPr>
          <w:rFonts w:cs="Guttman Rashi" w:hint="eastAsia"/>
          <w:rtl/>
          <w:lang w:bidi="he-IL"/>
        </w:rPr>
        <w:t>למבואר</w:t>
      </w:r>
      <w:r w:rsidRPr="00400C0B">
        <w:rPr>
          <w:rFonts w:cs="Guttman Rashi"/>
          <w:rtl/>
          <w:lang w:bidi="he-IL"/>
        </w:rPr>
        <w:t xml:space="preserve"> </w:t>
      </w:r>
      <w:r w:rsidRPr="00400C0B">
        <w:rPr>
          <w:rFonts w:cs="Guttman Rashi" w:hint="eastAsia"/>
          <w:rtl/>
          <w:lang w:bidi="he-IL"/>
        </w:rPr>
        <w:t>בנקוה</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שהבאנו</w:t>
      </w:r>
      <w:r w:rsidRPr="00400C0B">
        <w:rPr>
          <w:rFonts w:cs="Guttman Rashi"/>
          <w:rtl/>
          <w:lang w:bidi="he-IL"/>
        </w:rPr>
        <w:t xml:space="preserve"> </w:t>
      </w:r>
      <w:r w:rsidRPr="00400C0B">
        <w:rPr>
          <w:rFonts w:cs="Guttman Rashi" w:hint="eastAsia"/>
          <w:rtl/>
          <w:lang w:bidi="he-IL"/>
        </w:rPr>
        <w:t>מקודם</w:t>
      </w:r>
      <w:r w:rsidRPr="00400C0B">
        <w:rPr>
          <w:rFonts w:cs="Guttman Rashi"/>
          <w:rtl/>
          <w:lang w:bidi="he-IL"/>
        </w:rPr>
        <w:t xml:space="preserve"> </w:t>
      </w:r>
      <w:r w:rsidRPr="00400C0B">
        <w:rPr>
          <w:rFonts w:cs="Guttman Rashi" w:hint="eastAsia"/>
          <w:rtl/>
          <w:lang w:bidi="he-IL"/>
        </w:rPr>
        <w:t>שאי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לעשות</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מבשר</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שכבר</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שי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שהאיסור</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לדידי</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יצירת</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חדש</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שמבשל</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ששמו</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מוסיף</w:t>
      </w:r>
      <w:r w:rsidRPr="00400C0B">
        <w:rPr>
          <w:rFonts w:cs="Guttman Rashi"/>
          <w:rtl/>
          <w:lang w:bidi="he-IL"/>
        </w:rPr>
        <w:t xml:space="preserve"> </w:t>
      </w:r>
      <w:r w:rsidRPr="00400C0B">
        <w:rPr>
          <w:rFonts w:cs="Guttman Rashi" w:hint="eastAsia"/>
          <w:rtl/>
          <w:lang w:bidi="he-IL"/>
        </w:rPr>
        <w:t>לה</w:t>
      </w:r>
      <w:r w:rsidRPr="00400C0B">
        <w:rPr>
          <w:rFonts w:cs="Guttman Rashi"/>
          <w:rtl/>
          <w:lang w:bidi="he-IL"/>
        </w:rPr>
        <w:t xml:space="preserve"> </w:t>
      </w:r>
      <w:r w:rsidRPr="00400C0B">
        <w:rPr>
          <w:rFonts w:cs="Guttman Rashi" w:hint="eastAsia"/>
          <w:rtl/>
          <w:lang w:bidi="he-IL"/>
        </w:rPr>
        <w:t>שום</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ובזה</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מובן</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בישל</w:t>
      </w:r>
      <w:r w:rsidRPr="00400C0B">
        <w:rPr>
          <w:rFonts w:cs="Guttman Rashi"/>
          <w:rtl/>
          <w:lang w:bidi="he-IL"/>
        </w:rPr>
        <w:t xml:space="preserve"> </w:t>
      </w:r>
      <w:r w:rsidRPr="00400C0B">
        <w:rPr>
          <w:rFonts w:cs="Guttman Rashi" w:hint="eastAsia"/>
          <w:rtl/>
          <w:lang w:bidi="he-IL"/>
        </w:rPr>
        <w:t>בשבת</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ביאר</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sidRPr="00400C0B">
        <w:rPr>
          <w:rFonts w:cs="Guttman Rashi" w:hint="eastAsia"/>
          <w:rtl/>
          <w:lang w:bidi="he-IL"/>
        </w:rPr>
        <w:t>החזו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ענין</w:t>
      </w:r>
      <w:r w:rsidRPr="00400C0B">
        <w:rPr>
          <w:rFonts w:cs="Guttman Rashi"/>
          <w:rtl/>
          <w:lang w:bidi="he-IL"/>
        </w:rPr>
        <w:t xml:space="preserve"> </w:t>
      </w:r>
      <w:r w:rsidRPr="00400C0B">
        <w:rPr>
          <w:rFonts w:cs="Guttman Rashi" w:hint="eastAsia"/>
          <w:rtl/>
          <w:lang w:bidi="he-IL"/>
        </w:rPr>
        <w:t>מציאותי</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מבושל</w:t>
      </w:r>
      <w:r w:rsidRPr="00400C0B">
        <w:rPr>
          <w:rFonts w:cs="Guttman Rashi"/>
          <w:rtl/>
          <w:lang w:bidi="he-IL"/>
        </w:rPr>
        <w:t xml:space="preserve"> </w:t>
      </w:r>
      <w:r w:rsidRPr="00400C0B">
        <w:rPr>
          <w:rFonts w:cs="Guttman Rashi" w:hint="eastAsia"/>
          <w:rtl/>
          <w:lang w:bidi="he-IL"/>
        </w:rPr>
        <w:t>איך</w:t>
      </w:r>
      <w:r w:rsidRPr="00400C0B">
        <w:rPr>
          <w:rFonts w:cs="Guttman Rashi"/>
          <w:rtl/>
          <w:lang w:bidi="he-IL"/>
        </w:rPr>
        <w:t xml:space="preserve"> </w:t>
      </w:r>
      <w:r w:rsidRPr="00400C0B">
        <w:rPr>
          <w:rFonts w:cs="Guttman Rashi" w:hint="eastAsia"/>
          <w:rtl/>
          <w:lang w:bidi="he-IL"/>
        </w:rPr>
        <w:t>יוכל</w:t>
      </w:r>
      <w:r w:rsidRPr="00400C0B">
        <w:rPr>
          <w:rFonts w:cs="Guttman Rashi"/>
          <w:rtl/>
          <w:lang w:bidi="he-IL"/>
        </w:rPr>
        <w:t xml:space="preserve"> </w:t>
      </w:r>
      <w:r w:rsidRPr="00400C0B">
        <w:rPr>
          <w:rFonts w:cs="Guttman Rashi" w:hint="eastAsia"/>
          <w:rtl/>
          <w:lang w:bidi="he-IL"/>
        </w:rPr>
        <w:t>לבשלו</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מבושל</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חוזר</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חי</w:t>
      </w:r>
      <w:r w:rsidRPr="00400C0B">
        <w:rPr>
          <w:rFonts w:cs="Guttman Rashi"/>
          <w:rtl/>
          <w:lang w:bidi="he-IL"/>
        </w:rPr>
        <w:t xml:space="preserve"> </w:t>
      </w:r>
      <w:r w:rsidRPr="00400C0B">
        <w:rPr>
          <w:rFonts w:cs="Guttman Rashi" w:hint="eastAsia"/>
          <w:rtl/>
          <w:lang w:bidi="he-IL"/>
        </w:rPr>
        <w:t>ופת</w:t>
      </w:r>
      <w:r w:rsidRPr="00400C0B">
        <w:rPr>
          <w:rFonts w:cs="Guttman Rashi"/>
          <w:rtl/>
          <w:lang w:bidi="he-IL"/>
        </w:rPr>
        <w:t xml:space="preserve"> </w:t>
      </w:r>
      <w:r w:rsidRPr="00400C0B">
        <w:rPr>
          <w:rFonts w:cs="Guttman Rashi" w:hint="eastAsia"/>
          <w:rtl/>
          <w:lang w:bidi="he-IL"/>
        </w:rPr>
        <w:t>אפוי</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חוזר</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עיסה</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בבישול</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איכפת</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sidRPr="00400C0B">
        <w:rPr>
          <w:rFonts w:cs="Guttman Rashi" w:hint="eastAsia"/>
          <w:rtl/>
          <w:lang w:bidi="he-IL"/>
        </w:rPr>
        <w:t>ששם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היצירה</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שעושה</w:t>
      </w:r>
      <w:r w:rsidRPr="00400C0B">
        <w:rPr>
          <w:rFonts w:cs="Guttman Rashi"/>
          <w:rtl/>
          <w:lang w:bidi="he-IL"/>
        </w:rPr>
        <w:t xml:space="preserve"> </w:t>
      </w:r>
      <w:r w:rsidRPr="00400C0B">
        <w:rPr>
          <w:rFonts w:cs="Guttman Rashi" w:hint="eastAsia"/>
          <w:rtl/>
          <w:lang w:bidi="he-IL"/>
        </w:rPr>
        <w:t>מעשה</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וזה</w:t>
      </w:r>
      <w:r w:rsidRPr="00400C0B">
        <w:rPr>
          <w:rFonts w:cs="Guttman Rashi"/>
          <w:rtl/>
          <w:lang w:bidi="he-IL"/>
        </w:rPr>
        <w:t xml:space="preserve"> </w:t>
      </w:r>
      <w:r w:rsidRPr="00400C0B">
        <w:rPr>
          <w:rFonts w:cs="Guttman Rashi" w:hint="eastAsia"/>
          <w:rtl/>
          <w:lang w:bidi="he-IL"/>
        </w:rPr>
        <w:t>שפיר</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בבישול</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p>
  </w:footnote>
  <w:footnote w:id="23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א</w:t>
      </w:r>
    </w:p>
  </w:footnote>
  <w:footnote w:id="23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וכתב</w:t>
      </w:r>
      <w:r w:rsidRPr="00400C0B">
        <w:rPr>
          <w:rFonts w:cs="Guttman Rashi"/>
          <w:rtl/>
          <w:lang w:bidi="he-IL"/>
        </w:rPr>
        <w:t xml:space="preserve"> </w:t>
      </w:r>
      <w:r w:rsidRPr="00400C0B">
        <w:rPr>
          <w:rFonts w:cs="Guttman Rashi" w:hint="eastAsia"/>
          <w:rtl/>
          <w:lang w:bidi="he-IL"/>
        </w:rPr>
        <w:t>שמשמע</w:t>
      </w:r>
      <w:r w:rsidRPr="00400C0B">
        <w:rPr>
          <w:rFonts w:cs="Guttman Rashi"/>
          <w:rtl/>
          <w:lang w:bidi="he-IL"/>
        </w:rPr>
        <w:t xml:space="preserve"> </w:t>
      </w:r>
      <w:r w:rsidRPr="00400C0B">
        <w:rPr>
          <w:rFonts w:cs="Guttman Rashi" w:hint="eastAsia"/>
          <w:rtl/>
          <w:lang w:bidi="he-IL"/>
        </w:rPr>
        <w:t>שלתוס</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ממש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 xml:space="preserve"> </w:t>
      </w:r>
      <w:r w:rsidRPr="00400C0B">
        <w:rPr>
          <w:rFonts w:cs="Guttman Rashi" w:hint="eastAsia"/>
          <w:rtl/>
          <w:lang w:bidi="he-IL"/>
        </w:rPr>
        <w:t>ההיא</w:t>
      </w:r>
      <w:r w:rsidRPr="00400C0B">
        <w:rPr>
          <w:rFonts w:cs="Guttman Rashi"/>
          <w:rtl/>
          <w:lang w:bidi="he-IL"/>
        </w:rPr>
        <w:t xml:space="preserve"> </w:t>
      </w:r>
      <w:r w:rsidRPr="00400C0B">
        <w:rPr>
          <w:rFonts w:cs="Guttman Rashi" w:hint="eastAsia"/>
          <w:rtl/>
          <w:lang w:bidi="he-IL"/>
        </w:rPr>
        <w:t>דמזלפיין</w:t>
      </w:r>
      <w:r w:rsidRPr="00400C0B">
        <w:rPr>
          <w:rFonts w:cs="Guttman Rashi"/>
          <w:rtl/>
          <w:lang w:bidi="he-IL"/>
        </w:rPr>
        <w:t xml:space="preserve"> </w:t>
      </w:r>
      <w:r w:rsidRPr="00400C0B">
        <w:rPr>
          <w:rFonts w:cs="Guttman Rashi" w:hint="eastAsia"/>
          <w:rtl/>
          <w:lang w:bidi="he-IL"/>
        </w:rPr>
        <w:t>יין</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האשים</w:t>
      </w:r>
      <w:r w:rsidRPr="00400C0B">
        <w:rPr>
          <w:rFonts w:cs="Guttman Rashi"/>
          <w:rtl/>
          <w:lang w:bidi="he-IL"/>
        </w:rPr>
        <w:t xml:space="preserve"> </w:t>
      </w:r>
      <w:r w:rsidRPr="00400C0B">
        <w:rPr>
          <w:rFonts w:cs="Guttman Rashi" w:hint="eastAsia"/>
          <w:rtl/>
          <w:lang w:bidi="he-IL"/>
        </w:rPr>
        <w:t>דדלמא</w:t>
      </w:r>
      <w:r w:rsidRPr="00400C0B">
        <w:rPr>
          <w:rFonts w:cs="Guttman Rashi"/>
          <w:rtl/>
          <w:lang w:bidi="he-IL"/>
        </w:rPr>
        <w:t xml:space="preserve"> </w:t>
      </w:r>
      <w:r w:rsidRPr="00400C0B">
        <w:rPr>
          <w:rFonts w:cs="Guttman Rashi" w:hint="eastAsia"/>
          <w:rtl/>
          <w:lang w:bidi="he-IL"/>
        </w:rPr>
        <w:t>מצוה</w:t>
      </w:r>
      <w:r w:rsidRPr="00400C0B">
        <w:rPr>
          <w:rFonts w:cs="Guttman Rashi"/>
          <w:rtl/>
          <w:lang w:bidi="he-IL"/>
        </w:rPr>
        <w:t xml:space="preserve"> </w:t>
      </w:r>
      <w:r w:rsidRPr="00400C0B">
        <w:rPr>
          <w:rFonts w:cs="Guttman Rashi" w:hint="eastAsia"/>
          <w:rtl/>
          <w:lang w:bidi="he-IL"/>
        </w:rPr>
        <w:t>שאני</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שהתוס</w:t>
      </w:r>
      <w:r w:rsidRPr="00400C0B">
        <w:rPr>
          <w:rFonts w:cs="Guttman Rashi"/>
          <w:rtl/>
          <w:lang w:bidi="he-IL"/>
        </w:rPr>
        <w:t xml:space="preserve">' </w:t>
      </w:r>
      <w:r w:rsidRPr="00400C0B">
        <w:rPr>
          <w:rFonts w:cs="Guttman Rashi" w:hint="eastAsia"/>
          <w:rtl/>
          <w:lang w:bidi="he-IL"/>
        </w:rPr>
        <w:t>מודים</w:t>
      </w:r>
      <w:r w:rsidRPr="00400C0B">
        <w:rPr>
          <w:rFonts w:cs="Guttman Rashi"/>
          <w:rtl/>
          <w:lang w:bidi="he-IL"/>
        </w:rPr>
        <w:t xml:space="preserve"> </w:t>
      </w:r>
      <w:r w:rsidRPr="00400C0B">
        <w:rPr>
          <w:rFonts w:cs="Guttman Rashi" w:hint="eastAsia"/>
          <w:rtl/>
          <w:lang w:bidi="he-IL"/>
        </w:rPr>
        <w:t>לערוך</w:t>
      </w:r>
      <w:r w:rsidRPr="00400C0B">
        <w:rPr>
          <w:rFonts w:cs="Guttman Rashi"/>
          <w:rtl/>
          <w:lang w:bidi="he-IL"/>
        </w:rPr>
        <w:t xml:space="preserve"> </w:t>
      </w:r>
      <w:r w:rsidRPr="00400C0B">
        <w:rPr>
          <w:rFonts w:cs="Guttman Rashi" w:hint="eastAsia"/>
          <w:rtl/>
          <w:lang w:bidi="he-IL"/>
        </w:rPr>
        <w:t>שפס</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ניחא</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מדרבנן</w:t>
      </w:r>
      <w:r w:rsidRPr="00400C0B">
        <w:rPr>
          <w:rFonts w:cs="Guttman Rashi"/>
          <w:rtl/>
          <w:lang w:bidi="he-IL"/>
        </w:rPr>
        <w:t xml:space="preserve">. </w:t>
      </w:r>
    </w:p>
  </w:footnote>
  <w:footnote w:id="23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וכבר</w:t>
      </w:r>
      <w:r w:rsidRPr="00400C0B">
        <w:rPr>
          <w:rFonts w:cs="Guttman Rashi"/>
          <w:rtl/>
          <w:lang w:bidi="he-IL"/>
        </w:rPr>
        <w:t xml:space="preserve"> </w:t>
      </w:r>
      <w:r w:rsidRPr="00400C0B">
        <w:rPr>
          <w:rFonts w:cs="Guttman Rashi" w:hint="eastAsia"/>
          <w:rtl/>
          <w:lang w:bidi="he-IL"/>
        </w:rPr>
        <w:t>מקשים</w:t>
      </w:r>
      <w:r w:rsidRPr="00400C0B">
        <w:rPr>
          <w:rFonts w:cs="Guttman Rashi"/>
          <w:rtl/>
          <w:lang w:bidi="he-IL"/>
        </w:rPr>
        <w:t xml:space="preserve"> </w:t>
      </w:r>
      <w:r w:rsidRPr="00400C0B">
        <w:rPr>
          <w:rFonts w:cs="Guttman Rashi" w:hint="eastAsia"/>
          <w:rtl/>
          <w:lang w:bidi="he-IL"/>
        </w:rPr>
        <w:t>העולם</w:t>
      </w:r>
      <w:r w:rsidRPr="00400C0B">
        <w:rPr>
          <w:rFonts w:cs="Guttman Rashi"/>
          <w:rtl/>
          <w:lang w:bidi="he-IL"/>
        </w:rPr>
        <w:t xml:space="preserve"> </w:t>
      </w:r>
      <w:r w:rsidRPr="00400C0B">
        <w:rPr>
          <w:rFonts w:cs="Guttman Rashi" w:hint="eastAsia"/>
          <w:rtl/>
          <w:lang w:bidi="he-IL"/>
        </w:rPr>
        <w:t>שמשמעות</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במקו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סתידה</w:t>
      </w:r>
      <w:r w:rsidRPr="00400C0B">
        <w:rPr>
          <w:rFonts w:cs="Guttman Rashi"/>
          <w:rtl/>
          <w:lang w:bidi="he-IL"/>
        </w:rPr>
        <w:t xml:space="preserve"> </w:t>
      </w:r>
      <w:r w:rsidRPr="00400C0B">
        <w:rPr>
          <w:rFonts w:cs="Guttman Rashi" w:hint="eastAsia"/>
          <w:rtl/>
          <w:lang w:bidi="he-IL"/>
        </w:rPr>
        <w:t>בדברי</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ואכמ</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w:t>
      </w:r>
    </w:p>
  </w:footnote>
  <w:footnote w:id="23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פמ</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השלם</w:t>
      </w:r>
      <w:r w:rsidRPr="00400C0B">
        <w:rPr>
          <w:rFonts w:cs="Guttman Rashi"/>
          <w:rtl/>
          <w:lang w:bidi="he-IL"/>
        </w:rPr>
        <w:t xml:space="preserve"> </w:t>
      </w:r>
      <w:r w:rsidRPr="00400C0B">
        <w:rPr>
          <w:rFonts w:cs="Guttman Rashi" w:hint="eastAsia"/>
          <w:rtl/>
          <w:lang w:bidi="he-IL"/>
        </w:rPr>
        <w:t>שער</w:t>
      </w:r>
      <w:r w:rsidRPr="00400C0B">
        <w:rPr>
          <w:rFonts w:cs="Guttman Rashi"/>
          <w:rtl/>
          <w:lang w:bidi="he-IL"/>
        </w:rPr>
        <w:t xml:space="preserve"> </w:t>
      </w:r>
      <w:r w:rsidRPr="00400C0B">
        <w:rPr>
          <w:rFonts w:cs="Guttman Rashi" w:hint="eastAsia"/>
          <w:rtl/>
          <w:lang w:bidi="he-IL"/>
        </w:rPr>
        <w:t>התערובות</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ח</w:t>
      </w:r>
    </w:p>
  </w:footnote>
  <w:footnote w:id="23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פי</w:t>
      </w:r>
      <w:r w:rsidRPr="00400C0B">
        <w:rPr>
          <w:rFonts w:cs="Guttman Rashi"/>
          <w:rtl/>
          <w:lang w:bidi="he-IL"/>
        </w:rPr>
        <w:t xml:space="preserve">' –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דכדי</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מחמת</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בעינן</w:t>
      </w:r>
      <w:r w:rsidRPr="00400C0B">
        <w:rPr>
          <w:rFonts w:cs="Guttman Rashi"/>
          <w:rtl/>
          <w:lang w:bidi="he-IL"/>
        </w:rPr>
        <w:t xml:space="preserve"> </w:t>
      </w:r>
      <w:r w:rsidRPr="00400C0B">
        <w:rPr>
          <w:rFonts w:cs="Guttman Rashi" w:hint="eastAsia"/>
          <w:rtl/>
          <w:lang w:bidi="he-IL"/>
        </w:rPr>
        <w:t>לדין</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וכדמבואר</w:t>
      </w:r>
      <w:r w:rsidRPr="00400C0B">
        <w:rPr>
          <w:rFonts w:cs="Guttman Rashi"/>
          <w:rtl/>
          <w:lang w:bidi="he-IL"/>
        </w:rPr>
        <w:t xml:space="preserve"> </w:t>
      </w:r>
      <w:r w:rsidRPr="00400C0B">
        <w:rPr>
          <w:rFonts w:cs="Guttman Rashi" w:hint="eastAsia"/>
          <w:rtl/>
          <w:lang w:bidi="he-IL"/>
        </w:rPr>
        <w:t>בש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מחמת</w:t>
      </w:r>
      <w:r w:rsidRPr="00400C0B">
        <w:rPr>
          <w:rFonts w:cs="Guttman Rashi"/>
          <w:rtl/>
          <w:lang w:bidi="he-IL"/>
        </w:rPr>
        <w:t xml:space="preserve"> </w:t>
      </w:r>
      <w:r w:rsidRPr="00400C0B">
        <w:rPr>
          <w:rFonts w:cs="Guttman Rashi" w:hint="eastAsia"/>
          <w:rtl/>
          <w:lang w:bidi="he-IL"/>
        </w:rPr>
        <w:t>עצמו</w:t>
      </w:r>
    </w:p>
  </w:footnote>
  <w:footnote w:id="23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שי</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שבחענ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איסורים</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טעימת</w:t>
      </w:r>
      <w:r w:rsidRPr="00400C0B">
        <w:rPr>
          <w:rFonts w:cs="Guttman Rashi"/>
          <w:rtl/>
          <w:lang w:bidi="he-IL"/>
        </w:rPr>
        <w:t xml:space="preserve"> </w:t>
      </w:r>
      <w:r w:rsidRPr="00400C0B">
        <w:rPr>
          <w:rFonts w:cs="Guttman Rashi" w:hint="eastAsia"/>
          <w:rtl/>
          <w:lang w:bidi="he-IL"/>
        </w:rPr>
        <w:t>קפילא</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הדבר</w:t>
      </w:r>
      <w:r w:rsidRPr="00400C0B">
        <w:rPr>
          <w:rFonts w:cs="Guttman Rashi"/>
          <w:rtl/>
          <w:lang w:bidi="he-IL"/>
        </w:rPr>
        <w:t xml:space="preserve"> </w:t>
      </w:r>
      <w:r w:rsidRPr="00400C0B">
        <w:rPr>
          <w:rFonts w:cs="Guttman Rashi" w:hint="eastAsia"/>
          <w:rtl/>
          <w:lang w:bidi="he-IL"/>
        </w:rPr>
        <w:t>שנע</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חמור</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האוסרו</w:t>
      </w:r>
      <w:r w:rsidRPr="00400C0B">
        <w:rPr>
          <w:rFonts w:cs="Guttman Rashi"/>
          <w:rtl/>
          <w:lang w:bidi="he-IL"/>
        </w:rPr>
        <w:t xml:space="preserve">, </w:t>
      </w:r>
      <w:r w:rsidRPr="00400C0B">
        <w:rPr>
          <w:rFonts w:cs="Guttman Rashi" w:hint="eastAsia"/>
          <w:rtl/>
          <w:lang w:bidi="he-IL"/>
        </w:rPr>
        <w:t>וכיון</w:t>
      </w:r>
      <w:r w:rsidRPr="00400C0B">
        <w:rPr>
          <w:rFonts w:cs="Guttman Rashi"/>
          <w:rtl/>
          <w:lang w:bidi="he-IL"/>
        </w:rPr>
        <w:t xml:space="preserve"> </w:t>
      </w:r>
      <w:r w:rsidRPr="00400C0B">
        <w:rPr>
          <w:rFonts w:cs="Guttman Rashi" w:hint="eastAsia"/>
          <w:rtl/>
          <w:lang w:bidi="he-IL"/>
        </w:rPr>
        <w:t>שהאוסרו</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הה</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שהנאסר</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בבשר</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ואע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דרבנן</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דאמרינן</w:t>
      </w:r>
      <w:r w:rsidRPr="00400C0B">
        <w:rPr>
          <w:rFonts w:cs="Guttman Rashi"/>
          <w:rtl/>
          <w:lang w:bidi="he-IL"/>
        </w:rPr>
        <w:t xml:space="preserve"> </w:t>
      </w:r>
      <w:r w:rsidRPr="00400C0B">
        <w:rPr>
          <w:rFonts w:cs="Guttman Rashi" w:hint="eastAsia"/>
          <w:rtl/>
          <w:lang w:bidi="he-IL"/>
        </w:rPr>
        <w:t>בי</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ליתי</w:t>
      </w:r>
      <w:r w:rsidRPr="00400C0B">
        <w:rPr>
          <w:rFonts w:cs="Guttman Rashi"/>
          <w:rtl/>
          <w:lang w:bidi="he-IL"/>
        </w:rPr>
        <w:t xml:space="preserve">' </w:t>
      </w:r>
      <w:r w:rsidRPr="00400C0B">
        <w:rPr>
          <w:rFonts w:cs="Guttman Rashi" w:hint="eastAsia"/>
          <w:rtl/>
          <w:lang w:bidi="he-IL"/>
        </w:rPr>
        <w:t>לקולא</w:t>
      </w:r>
      <w:r w:rsidRPr="00400C0B">
        <w:rPr>
          <w:rFonts w:cs="Guttman Rashi"/>
          <w:rtl/>
          <w:lang w:bidi="he-IL"/>
        </w:rPr>
        <w:t xml:space="preserve"> </w:t>
      </w:r>
      <w:r w:rsidRPr="00400C0B">
        <w:rPr>
          <w:rFonts w:cs="Guttman Rashi" w:hint="eastAsia"/>
          <w:rtl/>
          <w:lang w:bidi="he-IL"/>
        </w:rPr>
        <w:t>דאין</w:t>
      </w:r>
      <w:r w:rsidRPr="00400C0B">
        <w:rPr>
          <w:rFonts w:cs="Guttman Rashi"/>
          <w:rtl/>
          <w:lang w:bidi="he-IL"/>
        </w:rPr>
        <w:t xml:space="preserve"> </w:t>
      </w:r>
      <w:r w:rsidRPr="00400C0B">
        <w:rPr>
          <w:rFonts w:cs="Guttman Rashi" w:hint="eastAsia"/>
          <w:rtl/>
          <w:lang w:bidi="he-IL"/>
        </w:rPr>
        <w:t>הנאסר</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האוסרו</w:t>
      </w:r>
      <w:r w:rsidRPr="00400C0B">
        <w:rPr>
          <w:rFonts w:cs="Guttman Rashi"/>
          <w:rtl/>
          <w:lang w:bidi="he-IL"/>
        </w:rPr>
        <w:t>.</w:t>
      </w:r>
    </w:p>
  </w:footnote>
  <w:footnote w:id="238">
    <w:p w:rsidR="007978F4" w:rsidRPr="00400C0B" w:rsidRDefault="007978F4" w:rsidP="00B80448">
      <w:pPr>
        <w:pStyle w:val="FootnoteText"/>
        <w:bidi/>
        <w:jc w:val="both"/>
        <w:rPr>
          <w:rFonts w:cs="Guttman Rashi"/>
          <w:lang w:bidi="he-IL"/>
        </w:rPr>
      </w:pPr>
      <w:r w:rsidRPr="00400C0B">
        <w:rPr>
          <w:rStyle w:val="FootnoteReference"/>
          <w:rFonts w:cs="Guttman Rashi"/>
        </w:rPr>
        <w:footnoteRef/>
      </w:r>
      <w:r w:rsidRPr="00400C0B">
        <w:rPr>
          <w:rFonts w:cs="Guttman Rashi"/>
        </w:rPr>
        <w:t xml:space="preserve"> </w:t>
      </w:r>
      <w:r w:rsidRPr="00400C0B">
        <w:rPr>
          <w:rFonts w:cs="Guttman Rashi"/>
          <w:lang w:bidi="he-IL"/>
        </w:rPr>
        <w:t>enzymes</w:t>
      </w:r>
    </w:p>
  </w:footnote>
  <w:footnote w:id="239">
    <w:p w:rsidR="007978F4" w:rsidRPr="00400C0B" w:rsidRDefault="007978F4" w:rsidP="00B80448">
      <w:pPr>
        <w:pStyle w:val="FootnoteText"/>
        <w:bidi/>
        <w:jc w:val="both"/>
        <w:rPr>
          <w:rFonts w:cs="Guttman Rashi"/>
        </w:rPr>
      </w:pPr>
      <w:r w:rsidRPr="00400C0B">
        <w:rPr>
          <w:rStyle w:val="FootnoteReference"/>
          <w:rFonts w:cs="Guttman Rashi"/>
        </w:rPr>
        <w:footnoteRef/>
      </w:r>
      <w:r w:rsidRPr="00400C0B">
        <w:rPr>
          <w:rFonts w:cs="Guttman Rashi"/>
        </w:rPr>
        <w:t xml:space="preserve"> nutram</w:t>
      </w:r>
      <w:r w:rsidRPr="00400C0B">
        <w:rPr>
          <w:rFonts w:cs="Guttman Rashi"/>
          <w:lang w:bidi="he-IL"/>
        </w:rPr>
        <w:t>i</w:t>
      </w:r>
      <w:r w:rsidRPr="00400C0B">
        <w:rPr>
          <w:rFonts w:cs="Guttman Rashi"/>
        </w:rPr>
        <w:t>gen</w:t>
      </w:r>
    </w:p>
  </w:footnote>
  <w:footnote w:id="24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p>
  </w:footnote>
  <w:footnote w:id="24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יהי</w:t>
      </w:r>
      <w:r w:rsidRPr="00400C0B">
        <w:rPr>
          <w:rFonts w:cs="Guttman Rashi"/>
          <w:rtl/>
          <w:lang w:bidi="he-IL"/>
        </w:rPr>
        <w:t xml:space="preserve">' </w:t>
      </w:r>
      <w:r w:rsidRPr="00400C0B">
        <w:rPr>
          <w:rFonts w:cs="Guttman Rashi" w:hint="eastAsia"/>
          <w:rtl/>
          <w:lang w:bidi="he-IL"/>
        </w:rPr>
        <w:t>נפק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בישראל</w:t>
      </w:r>
      <w:r w:rsidRPr="00400C0B">
        <w:rPr>
          <w:rFonts w:cs="Guttman Rashi"/>
          <w:rtl/>
          <w:lang w:bidi="he-IL"/>
        </w:rPr>
        <w:t xml:space="preserve"> </w:t>
      </w:r>
      <w:r w:rsidRPr="00400C0B">
        <w:rPr>
          <w:rFonts w:cs="Guttman Rashi" w:hint="eastAsia"/>
          <w:rtl/>
          <w:lang w:bidi="he-IL"/>
        </w:rPr>
        <w:t>הטועם</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הקדרה</w:t>
      </w:r>
      <w:r w:rsidRPr="00400C0B">
        <w:rPr>
          <w:rFonts w:cs="Guttman Rashi"/>
          <w:rtl/>
          <w:lang w:bidi="he-IL"/>
        </w:rPr>
        <w:t xml:space="preserve"> </w:t>
      </w:r>
      <w:r w:rsidRPr="00400C0B">
        <w:rPr>
          <w:rFonts w:cs="Guttman Rashi" w:hint="eastAsia"/>
          <w:rtl/>
          <w:lang w:bidi="he-IL"/>
        </w:rPr>
        <w:t>בשוגג</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באונס</w:t>
      </w:r>
      <w:r w:rsidRPr="00400C0B">
        <w:rPr>
          <w:rFonts w:cs="Guttman Rashi"/>
          <w:rtl/>
          <w:lang w:bidi="he-IL"/>
        </w:rPr>
        <w:t xml:space="preserve"> </w:t>
      </w:r>
      <w:r w:rsidRPr="00400C0B">
        <w:rPr>
          <w:rFonts w:cs="Guttman Rashi" w:hint="eastAsia"/>
          <w:rtl/>
          <w:lang w:bidi="he-IL"/>
        </w:rPr>
        <w:t>האם</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לסמוך</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סמכינן</w:t>
      </w:r>
      <w:r w:rsidRPr="00400C0B">
        <w:rPr>
          <w:rFonts w:cs="Guttman Rashi"/>
          <w:rtl/>
          <w:lang w:bidi="he-IL"/>
        </w:rPr>
        <w:t xml:space="preserve"> </w:t>
      </w:r>
      <w:r w:rsidRPr="00400C0B">
        <w:rPr>
          <w:rFonts w:cs="Guttman Rashi" w:hint="eastAsia"/>
          <w:rtl/>
          <w:lang w:bidi="he-IL"/>
        </w:rPr>
        <w:t>אטעימת</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w:t>
      </w:r>
    </w:p>
  </w:footnote>
  <w:footnote w:id="24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והעירו</w:t>
      </w:r>
      <w:r w:rsidRPr="00400C0B">
        <w:rPr>
          <w:rFonts w:cs="Guttman Rashi"/>
          <w:rtl/>
          <w:lang w:bidi="he-IL"/>
        </w:rPr>
        <w:t xml:space="preserve"> </w:t>
      </w:r>
      <w:r w:rsidRPr="00400C0B">
        <w:rPr>
          <w:rFonts w:cs="Guttman Rashi" w:hint="eastAsia"/>
          <w:rtl/>
          <w:lang w:bidi="he-IL"/>
        </w:rPr>
        <w:t>התלמידים</w:t>
      </w:r>
      <w:r w:rsidRPr="00400C0B">
        <w:rPr>
          <w:rFonts w:cs="Guttman Rashi"/>
          <w:rtl/>
          <w:lang w:bidi="he-IL"/>
        </w:rPr>
        <w:t xml:space="preserve"> </w:t>
      </w:r>
      <w:r w:rsidRPr="00400C0B">
        <w:rPr>
          <w:rFonts w:cs="Guttman Rashi" w:hint="eastAsia"/>
          <w:rtl/>
          <w:lang w:bidi="he-IL"/>
        </w:rPr>
        <w:t>שיחיו</w:t>
      </w:r>
      <w:r w:rsidRPr="00400C0B">
        <w:rPr>
          <w:rFonts w:cs="Guttman Rashi"/>
          <w:rtl/>
          <w:lang w:bidi="he-IL"/>
        </w:rPr>
        <w:t xml:space="preserve"> </w:t>
      </w:r>
      <w:r w:rsidRPr="00400C0B">
        <w:rPr>
          <w:rFonts w:cs="Guttman Rashi" w:hint="eastAsia"/>
          <w:rtl/>
          <w:lang w:bidi="he-IL"/>
        </w:rPr>
        <w:t>שלדעת</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כתי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טעימת</w:t>
      </w:r>
      <w:r w:rsidRPr="00400C0B">
        <w:rPr>
          <w:rFonts w:cs="Guttman Rashi"/>
          <w:rtl/>
          <w:lang w:bidi="he-IL"/>
        </w:rPr>
        <w:t xml:space="preserve"> </w:t>
      </w:r>
      <w:r w:rsidRPr="00400C0B">
        <w:rPr>
          <w:rFonts w:cs="Guttman Rashi" w:hint="eastAsia"/>
          <w:rtl/>
          <w:lang w:bidi="he-IL"/>
        </w:rPr>
        <w:t>קפילא</w:t>
      </w:r>
      <w:r w:rsidRPr="00400C0B">
        <w:rPr>
          <w:rFonts w:cs="Guttman Rashi"/>
          <w:rtl/>
          <w:lang w:bidi="he-IL"/>
        </w:rPr>
        <w:t xml:space="preserve"> </w:t>
      </w:r>
      <w:r w:rsidRPr="00400C0B">
        <w:rPr>
          <w:rFonts w:cs="Guttman Rashi" w:hint="eastAsia"/>
          <w:rtl/>
          <w:lang w:bidi="he-IL"/>
        </w:rPr>
        <w:t>כשנפל</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לתוך</w:t>
      </w:r>
      <w:r w:rsidRPr="00400C0B">
        <w:rPr>
          <w:rFonts w:cs="Guttman Rashi"/>
          <w:rtl/>
          <w:lang w:bidi="he-IL"/>
        </w:rPr>
        <w:t xml:space="preserve"> </w:t>
      </w:r>
      <w:r w:rsidRPr="00400C0B">
        <w:rPr>
          <w:rFonts w:cs="Guttman Rashi" w:hint="eastAsia"/>
          <w:rtl/>
          <w:lang w:bidi="he-IL"/>
        </w:rPr>
        <w:t>יורה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להתחשב</w:t>
      </w:r>
      <w:r w:rsidRPr="00400C0B">
        <w:rPr>
          <w:rFonts w:cs="Guttman Rashi"/>
          <w:rtl/>
          <w:lang w:bidi="he-IL"/>
        </w:rPr>
        <w:t xml:space="preserve"> </w:t>
      </w:r>
      <w:r w:rsidRPr="00400C0B">
        <w:rPr>
          <w:rFonts w:cs="Guttman Rashi" w:hint="eastAsia"/>
          <w:rtl/>
          <w:lang w:bidi="he-IL"/>
        </w:rPr>
        <w:t>בחלב</w:t>
      </w:r>
      <w:r w:rsidRPr="00400C0B">
        <w:rPr>
          <w:rFonts w:cs="Guttman Rashi"/>
          <w:rtl/>
          <w:lang w:bidi="he-IL"/>
        </w:rPr>
        <w:t xml:space="preserve"> </w:t>
      </w:r>
      <w:r w:rsidRPr="00400C0B">
        <w:rPr>
          <w:rFonts w:cs="Guttman Rashi" w:hint="eastAsia"/>
          <w:rtl/>
          <w:lang w:bidi="he-IL"/>
        </w:rPr>
        <w:t>נבילה</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דקמא</w:t>
      </w:r>
      <w:r w:rsidRPr="00400C0B">
        <w:rPr>
          <w:rFonts w:cs="Guttman Rashi"/>
          <w:rtl/>
          <w:lang w:bidi="he-IL"/>
        </w:rPr>
        <w:t xml:space="preserve"> </w:t>
      </w:r>
      <w:r w:rsidRPr="00400C0B">
        <w:rPr>
          <w:rFonts w:cs="Guttman Rashi" w:hint="eastAsia"/>
          <w:rtl/>
          <w:lang w:bidi="he-IL"/>
        </w:rPr>
        <w:t>קמא</w:t>
      </w:r>
      <w:r w:rsidRPr="00400C0B">
        <w:rPr>
          <w:rFonts w:cs="Guttman Rashi"/>
          <w:rtl/>
          <w:lang w:bidi="he-IL"/>
        </w:rPr>
        <w:t xml:space="preserve"> </w:t>
      </w:r>
      <w:r w:rsidRPr="00400C0B">
        <w:rPr>
          <w:rFonts w:cs="Guttman Rashi" w:hint="eastAsia"/>
          <w:rtl/>
          <w:lang w:bidi="he-IL"/>
        </w:rPr>
        <w:t>בטיל</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התי</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באופן</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עכ</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לתי</w:t>
      </w:r>
      <w:r w:rsidRPr="00400C0B">
        <w:rPr>
          <w:rFonts w:cs="Guttman Rashi"/>
          <w:rtl/>
          <w:lang w:bidi="he-IL"/>
        </w:rPr>
        <w:t xml:space="preserve"> </w:t>
      </w:r>
      <w:r w:rsidRPr="00400C0B">
        <w:rPr>
          <w:rFonts w:cs="Guttman Rashi" w:hint="eastAsia"/>
          <w:rtl/>
          <w:lang w:bidi="he-IL"/>
        </w:rPr>
        <w:t>הראשון</w:t>
      </w:r>
      <w:r w:rsidRPr="00400C0B">
        <w:rPr>
          <w:rFonts w:cs="Guttman Rashi"/>
          <w:rtl/>
          <w:lang w:bidi="he-IL"/>
        </w:rPr>
        <w:t xml:space="preserve">) </w:t>
      </w:r>
      <w:r w:rsidRPr="00400C0B">
        <w:rPr>
          <w:rFonts w:cs="Guttman Rashi" w:hint="eastAsia"/>
          <w:rtl/>
          <w:lang w:bidi="he-IL"/>
        </w:rPr>
        <w:t>חזינן</w:t>
      </w:r>
      <w:r w:rsidRPr="00400C0B">
        <w:rPr>
          <w:rFonts w:cs="Guttman Rashi"/>
          <w:rtl/>
          <w:lang w:bidi="he-IL"/>
        </w:rPr>
        <w:t xml:space="preserve"> </w:t>
      </w:r>
      <w:r w:rsidRPr="00400C0B">
        <w:rPr>
          <w:rFonts w:cs="Guttman Rashi" w:hint="eastAsia"/>
          <w:rtl/>
          <w:lang w:bidi="he-IL"/>
        </w:rPr>
        <w:t>דלית</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דינו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ומהני</w:t>
      </w:r>
      <w:r w:rsidRPr="00400C0B">
        <w:rPr>
          <w:rFonts w:cs="Guttman Rashi"/>
          <w:rtl/>
          <w:lang w:bidi="he-IL"/>
        </w:rPr>
        <w:t xml:space="preserve"> </w:t>
      </w:r>
      <w:r w:rsidRPr="00400C0B">
        <w:rPr>
          <w:rFonts w:cs="Guttman Rashi" w:hint="eastAsia"/>
          <w:rtl/>
          <w:lang w:bidi="he-IL"/>
        </w:rPr>
        <w:t>טעימת</w:t>
      </w:r>
      <w:r w:rsidRPr="00400C0B">
        <w:rPr>
          <w:rFonts w:cs="Guttman Rashi"/>
          <w:rtl/>
          <w:lang w:bidi="he-IL"/>
        </w:rPr>
        <w:t xml:space="preserve"> </w:t>
      </w:r>
      <w:r w:rsidRPr="00400C0B">
        <w:rPr>
          <w:rFonts w:cs="Guttman Rashi" w:hint="eastAsia"/>
          <w:rtl/>
          <w:lang w:bidi="he-IL"/>
        </w:rPr>
        <w:t>קפילא</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נבילה</w:t>
      </w:r>
      <w:r w:rsidRPr="00400C0B">
        <w:rPr>
          <w:rFonts w:cs="Guttman Rashi"/>
          <w:rtl/>
          <w:lang w:bidi="he-IL"/>
        </w:rPr>
        <w:t xml:space="preserve">. </w:t>
      </w:r>
    </w:p>
  </w:footnote>
  <w:footnote w:id="24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שקושיא</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שייכת</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התי</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לתי</w:t>
      </w:r>
      <w:r w:rsidRPr="00400C0B">
        <w:rPr>
          <w:rFonts w:cs="Guttman Rashi"/>
          <w:rtl/>
          <w:lang w:bidi="he-IL"/>
        </w:rPr>
        <w:t xml:space="preserve">' </w:t>
      </w:r>
      <w:r w:rsidRPr="00400C0B">
        <w:rPr>
          <w:rFonts w:cs="Guttman Rashi" w:hint="eastAsia"/>
          <w:rtl/>
          <w:lang w:bidi="he-IL"/>
        </w:rPr>
        <w:t>הראשון</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קמא</w:t>
      </w:r>
      <w:r w:rsidRPr="00400C0B">
        <w:rPr>
          <w:rFonts w:cs="Guttman Rashi"/>
          <w:rtl/>
          <w:lang w:bidi="he-IL"/>
        </w:rPr>
        <w:t xml:space="preserve"> </w:t>
      </w:r>
      <w:r w:rsidRPr="00400C0B">
        <w:rPr>
          <w:rFonts w:cs="Guttman Rashi" w:hint="eastAsia"/>
          <w:rtl/>
          <w:lang w:bidi="he-IL"/>
        </w:rPr>
        <w:t>קמא</w:t>
      </w:r>
      <w:r w:rsidRPr="00400C0B">
        <w:rPr>
          <w:rFonts w:cs="Guttman Rashi"/>
          <w:rtl/>
          <w:lang w:bidi="he-IL"/>
        </w:rPr>
        <w:t xml:space="preserve"> </w:t>
      </w:r>
      <w:r w:rsidRPr="00400C0B">
        <w:rPr>
          <w:rFonts w:cs="Guttman Rashi" w:hint="eastAsia"/>
          <w:rtl/>
          <w:lang w:bidi="he-IL"/>
        </w:rPr>
        <w:t>בטיל</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נשאר</w:t>
      </w:r>
      <w:r w:rsidRPr="00400C0B">
        <w:rPr>
          <w:rFonts w:cs="Guttman Rashi"/>
          <w:rtl/>
          <w:lang w:bidi="he-IL"/>
        </w:rPr>
        <w:t xml:space="preserve"> </w:t>
      </w:r>
      <w:r w:rsidRPr="00400C0B">
        <w:rPr>
          <w:rFonts w:cs="Guttman Rashi" w:hint="eastAsia"/>
          <w:rtl/>
          <w:lang w:bidi="he-IL"/>
        </w:rPr>
        <w:t>תובפת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החלב</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שלפי</w:t>
      </w:r>
      <w:r w:rsidRPr="00400C0B">
        <w:rPr>
          <w:rFonts w:cs="Guttman Rashi"/>
          <w:rtl/>
          <w:lang w:bidi="he-IL"/>
        </w:rPr>
        <w:t xml:space="preserve"> </w:t>
      </w:r>
      <w:r w:rsidRPr="00400C0B">
        <w:rPr>
          <w:rFonts w:cs="Guttman Rashi" w:hint="eastAsia"/>
          <w:rtl/>
          <w:lang w:bidi="he-IL"/>
        </w:rPr>
        <w:t>לתי</w:t>
      </w:r>
      <w:r w:rsidRPr="00400C0B">
        <w:rPr>
          <w:rFonts w:cs="Guttman Rashi"/>
          <w:rtl/>
          <w:lang w:bidi="he-IL"/>
        </w:rPr>
        <w:t xml:space="preserve">' </w:t>
      </w:r>
      <w:r w:rsidRPr="00400C0B">
        <w:rPr>
          <w:rFonts w:cs="Guttman Rashi" w:hint="eastAsia"/>
          <w:rtl/>
          <w:lang w:bidi="he-IL"/>
        </w:rPr>
        <w:t>הראשון</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עכ</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בעינן</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מס</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מעיקרא</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ובין</w:t>
      </w:r>
      <w:r w:rsidRPr="00400C0B">
        <w:rPr>
          <w:rFonts w:cs="Guttman Rashi"/>
          <w:rtl/>
          <w:lang w:bidi="he-IL"/>
        </w:rPr>
        <w:t xml:space="preserve"> </w:t>
      </w:r>
      <w:r w:rsidRPr="00400C0B">
        <w:rPr>
          <w:rFonts w:cs="Guttman Rashi" w:hint="eastAsia"/>
          <w:rtl/>
          <w:lang w:bidi="he-IL"/>
        </w:rPr>
        <w:t>החלב</w:t>
      </w:r>
      <w:r w:rsidRPr="00400C0B">
        <w:rPr>
          <w:rFonts w:cs="Guttman Rashi"/>
          <w:rtl/>
          <w:lang w:bidi="he-IL"/>
        </w:rPr>
        <w:t xml:space="preserve"> </w:t>
      </w:r>
      <w:r w:rsidRPr="00400C0B">
        <w:rPr>
          <w:rFonts w:cs="Guttman Rashi" w:hint="eastAsia"/>
          <w:rtl/>
          <w:lang w:bidi="he-IL"/>
        </w:rPr>
        <w:t>נבילה</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פחות</w:t>
      </w:r>
      <w:r w:rsidRPr="00400C0B">
        <w:rPr>
          <w:rFonts w:cs="Guttman Rashi"/>
          <w:rtl/>
          <w:lang w:bidi="he-IL"/>
        </w:rPr>
        <w:t xml:space="preserve"> </w:t>
      </w:r>
      <w:r w:rsidRPr="00400C0B">
        <w:rPr>
          <w:rFonts w:cs="Guttman Rashi" w:hint="eastAsia"/>
          <w:rtl/>
          <w:lang w:bidi="he-IL"/>
        </w:rPr>
        <w:t>מס</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הכל</w:t>
      </w:r>
      <w:r w:rsidRPr="00400C0B">
        <w:rPr>
          <w:rFonts w:cs="Guttman Rashi"/>
          <w:rtl/>
          <w:lang w:bidi="he-IL"/>
        </w:rPr>
        <w:t xml:space="preserve"> </w:t>
      </w:r>
      <w:r w:rsidRPr="00400C0B">
        <w:rPr>
          <w:rFonts w:cs="Guttman Rashi" w:hint="eastAsia"/>
          <w:rtl/>
          <w:lang w:bidi="he-IL"/>
        </w:rPr>
        <w:t>קמא</w:t>
      </w:r>
      <w:r w:rsidRPr="00400C0B">
        <w:rPr>
          <w:rFonts w:cs="Guttman Rashi"/>
          <w:rtl/>
          <w:lang w:bidi="he-IL"/>
        </w:rPr>
        <w:t xml:space="preserve"> </w:t>
      </w:r>
      <w:r w:rsidRPr="00400C0B">
        <w:rPr>
          <w:rFonts w:cs="Guttman Rashi" w:hint="eastAsia"/>
          <w:rtl/>
          <w:lang w:bidi="he-IL"/>
        </w:rPr>
        <w:t>קמא</w:t>
      </w:r>
      <w:r w:rsidRPr="00400C0B">
        <w:rPr>
          <w:rFonts w:cs="Guttman Rashi"/>
          <w:rtl/>
          <w:lang w:bidi="he-IL"/>
        </w:rPr>
        <w:t xml:space="preserve"> </w:t>
      </w:r>
      <w:r w:rsidRPr="00400C0B">
        <w:rPr>
          <w:rFonts w:cs="Guttman Rashi" w:hint="eastAsia"/>
          <w:rtl/>
          <w:lang w:bidi="he-IL"/>
        </w:rPr>
        <w:t>בטיל</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חוזר</w:t>
      </w:r>
      <w:r w:rsidRPr="00400C0B">
        <w:rPr>
          <w:rFonts w:cs="Guttman Rashi"/>
          <w:rtl/>
          <w:lang w:bidi="he-IL"/>
        </w:rPr>
        <w:t xml:space="preserve"> </w:t>
      </w:r>
      <w:r w:rsidRPr="00400C0B">
        <w:rPr>
          <w:rFonts w:cs="Guttman Rashi" w:hint="eastAsia"/>
          <w:rtl/>
          <w:lang w:bidi="he-IL"/>
        </w:rPr>
        <w:t>וניעור</w:t>
      </w:r>
      <w:r w:rsidRPr="00400C0B">
        <w:rPr>
          <w:rFonts w:cs="Guttman Rashi"/>
          <w:rtl/>
          <w:lang w:bidi="he-IL"/>
        </w:rPr>
        <w:t xml:space="preserve"> </w:t>
      </w:r>
      <w:r w:rsidRPr="00400C0B">
        <w:rPr>
          <w:rFonts w:cs="Guttman Rashi" w:hint="eastAsia"/>
          <w:rtl/>
          <w:lang w:bidi="he-IL"/>
        </w:rPr>
        <w:t>לבסוף</w:t>
      </w:r>
      <w:r w:rsidRPr="00400C0B">
        <w:rPr>
          <w:rFonts w:cs="Guttman Rashi"/>
          <w:rtl/>
          <w:lang w:bidi="he-IL"/>
        </w:rPr>
        <w:t xml:space="preserve">.   </w:t>
      </w:r>
    </w:p>
  </w:footnote>
  <w:footnote w:id="24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ד</w:t>
      </w:r>
    </w:p>
  </w:footnote>
  <w:footnote w:id="24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בש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הארוך</w:t>
      </w:r>
      <w:r w:rsidRPr="00400C0B">
        <w:rPr>
          <w:rFonts w:cs="Guttman Rashi"/>
          <w:rtl/>
          <w:lang w:bidi="he-IL"/>
        </w:rPr>
        <w:t xml:space="preserve"> </w:t>
      </w:r>
      <w:r w:rsidRPr="00400C0B">
        <w:rPr>
          <w:rFonts w:cs="Guttman Rashi" w:hint="eastAsia"/>
          <w:rtl/>
          <w:lang w:bidi="he-IL"/>
        </w:rPr>
        <w:t>שתמה</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שיהי</w:t>
      </w:r>
      <w:r w:rsidRPr="00400C0B">
        <w:rPr>
          <w:rFonts w:cs="Guttman Rashi"/>
          <w:rtl/>
          <w:lang w:bidi="he-IL"/>
        </w:rPr>
        <w:t xml:space="preserve">' </w:t>
      </w:r>
      <w:r w:rsidRPr="00400C0B">
        <w:rPr>
          <w:rFonts w:cs="Guttman Rashi" w:hint="eastAsia"/>
          <w:rtl/>
          <w:lang w:bidi="he-IL"/>
        </w:rPr>
        <w:t>הבליעה</w:t>
      </w:r>
      <w:r w:rsidRPr="00400C0B">
        <w:rPr>
          <w:rFonts w:cs="Guttman Rashi"/>
          <w:rtl/>
          <w:lang w:bidi="he-IL"/>
        </w:rPr>
        <w:t xml:space="preserve"> </w:t>
      </w:r>
      <w:r w:rsidRPr="00400C0B">
        <w:rPr>
          <w:rFonts w:cs="Guttman Rashi" w:hint="eastAsia"/>
          <w:rtl/>
          <w:lang w:bidi="he-IL"/>
        </w:rPr>
        <w:t>עובר</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בחלק</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שמחוץ</w:t>
      </w:r>
      <w:r w:rsidRPr="00400C0B">
        <w:rPr>
          <w:rFonts w:cs="Guttman Rashi"/>
          <w:rtl/>
          <w:lang w:bidi="he-IL"/>
        </w:rPr>
        <w:t xml:space="preserve"> </w:t>
      </w:r>
      <w:r w:rsidRPr="00400C0B">
        <w:rPr>
          <w:rFonts w:cs="Guttman Rashi" w:hint="eastAsia"/>
          <w:rtl/>
          <w:lang w:bidi="he-IL"/>
        </w:rPr>
        <w:t>לרוטב</w:t>
      </w:r>
      <w:r w:rsidRPr="00400C0B">
        <w:rPr>
          <w:rFonts w:cs="Guttman Rashi"/>
          <w:rtl/>
          <w:lang w:bidi="he-IL"/>
        </w:rPr>
        <w:t xml:space="preserve">. </w:t>
      </w:r>
    </w:p>
  </w:footnote>
  <w:footnote w:id="24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ממש</w:t>
      </w:r>
      <w:r w:rsidRPr="00400C0B">
        <w:rPr>
          <w:rFonts w:cs="Guttman Rashi"/>
          <w:rtl/>
          <w:lang w:bidi="he-IL"/>
        </w:rPr>
        <w:t xml:space="preserve"> </w:t>
      </w:r>
      <w:r w:rsidRPr="00400C0B">
        <w:rPr>
          <w:rFonts w:cs="Guttman Rashi" w:hint="eastAsia"/>
          <w:rtl/>
          <w:lang w:bidi="he-IL"/>
        </w:rPr>
        <w:t>כשיטת</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לדידי</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אומרים</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בחצי</w:t>
      </w:r>
      <w:r w:rsidRPr="00400C0B">
        <w:rPr>
          <w:rFonts w:cs="Guttman Rashi"/>
          <w:rtl/>
          <w:lang w:bidi="he-IL"/>
        </w:rPr>
        <w:t xml:space="preserve"> </w:t>
      </w:r>
      <w:r w:rsidRPr="00400C0B">
        <w:rPr>
          <w:rFonts w:cs="Guttman Rashi" w:hint="eastAsia"/>
          <w:rtl/>
          <w:lang w:bidi="he-IL"/>
        </w:rPr>
        <w:t>חתיכה</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סברא</w:t>
      </w:r>
      <w:r w:rsidRPr="00400C0B">
        <w:rPr>
          <w:rFonts w:cs="Guttman Rashi"/>
          <w:rtl/>
          <w:lang w:bidi="he-IL"/>
        </w:rPr>
        <w:t xml:space="preserve"> </w:t>
      </w:r>
      <w:r w:rsidRPr="00400C0B">
        <w:rPr>
          <w:rFonts w:cs="Guttman Rashi" w:hint="eastAsia"/>
          <w:rtl/>
          <w:lang w:bidi="he-IL"/>
        </w:rPr>
        <w:t>דרבנן</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והכא</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שהיא</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שההוראה</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כדמבואר</w:t>
      </w:r>
      <w:r w:rsidRPr="00400C0B">
        <w:rPr>
          <w:rFonts w:cs="Guttman Rashi"/>
          <w:rtl/>
          <w:lang w:bidi="he-IL"/>
        </w:rPr>
        <w:t xml:space="preserve"> </w:t>
      </w:r>
      <w:r w:rsidRPr="00400C0B">
        <w:rPr>
          <w:rFonts w:cs="Guttman Rashi" w:hint="eastAsia"/>
          <w:rtl/>
          <w:lang w:bidi="he-IL"/>
        </w:rPr>
        <w:t>ברא</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שלאאומרים</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בחצי</w:t>
      </w:r>
      <w:r w:rsidRPr="00400C0B">
        <w:rPr>
          <w:rFonts w:cs="Guttman Rashi"/>
          <w:rtl/>
          <w:lang w:bidi="he-IL"/>
        </w:rPr>
        <w:t xml:space="preserve"> </w:t>
      </w:r>
      <w:r w:rsidRPr="00400C0B">
        <w:rPr>
          <w:rFonts w:cs="Guttman Rashi" w:hint="eastAsia"/>
          <w:rtl/>
          <w:lang w:bidi="he-IL"/>
        </w:rPr>
        <w:t>חתיכה</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דרך</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אומרים</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בדאורייתא</w:t>
      </w:r>
      <w:r w:rsidRPr="00400C0B">
        <w:rPr>
          <w:rFonts w:cs="Guttman Rashi"/>
          <w:rtl/>
          <w:lang w:bidi="he-IL"/>
        </w:rPr>
        <w:t xml:space="preserve"> </w:t>
      </w:r>
      <w:r w:rsidRPr="00400C0B">
        <w:rPr>
          <w:rFonts w:cs="Guttman Rashi" w:hint="eastAsia"/>
          <w:rtl/>
          <w:lang w:bidi="he-IL"/>
        </w:rPr>
        <w:t>בכדי</w:t>
      </w:r>
      <w:r w:rsidRPr="00400C0B">
        <w:rPr>
          <w:rFonts w:cs="Guttman Rashi"/>
          <w:rtl/>
          <w:lang w:bidi="he-IL"/>
        </w:rPr>
        <w:t xml:space="preserve"> </w:t>
      </w:r>
      <w:r w:rsidRPr="00400C0B">
        <w:rPr>
          <w:rFonts w:cs="Guttman Rashi" w:hint="eastAsia"/>
          <w:rtl/>
          <w:lang w:bidi="he-IL"/>
        </w:rPr>
        <w:t>קליפה</w:t>
      </w:r>
      <w:r w:rsidRPr="00400C0B">
        <w:rPr>
          <w:rFonts w:cs="Guttman Rashi"/>
          <w:rtl/>
          <w:lang w:bidi="he-IL"/>
        </w:rPr>
        <w:t xml:space="preserve">. </w:t>
      </w:r>
    </w:p>
  </w:footnote>
  <w:footnote w:id="24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והנה</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דעת</w:t>
      </w:r>
      <w:r w:rsidRPr="00400C0B">
        <w:rPr>
          <w:rFonts w:cs="Guttman Rashi"/>
          <w:rtl/>
          <w:lang w:bidi="he-IL"/>
        </w:rPr>
        <w:t xml:space="preserve"> </w:t>
      </w:r>
      <w:r w:rsidRPr="00400C0B">
        <w:rPr>
          <w:rFonts w:cs="Guttman Rashi" w:hint="eastAsia"/>
          <w:rtl/>
          <w:lang w:bidi="he-IL"/>
        </w:rPr>
        <w:t>המרדכי</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מוכרחים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משארים</w:t>
      </w:r>
      <w:r w:rsidRPr="00400C0B">
        <w:rPr>
          <w:rFonts w:cs="Guttman Rashi"/>
          <w:rtl/>
          <w:lang w:bidi="he-IL"/>
        </w:rPr>
        <w:t xml:space="preserve"> </w:t>
      </w:r>
      <w:r w:rsidRPr="00400C0B">
        <w:rPr>
          <w:rFonts w:cs="Guttman Rashi" w:hint="eastAsia"/>
          <w:rtl/>
          <w:lang w:bidi="he-IL"/>
        </w:rPr>
        <w:t>בששים</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בחלק</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שהיא</w:t>
      </w:r>
      <w:r w:rsidRPr="00400C0B">
        <w:rPr>
          <w:rFonts w:cs="Guttman Rashi"/>
          <w:rtl/>
          <w:lang w:bidi="he-IL"/>
        </w:rPr>
        <w:t xml:space="preserve"> </w:t>
      </w:r>
      <w:r w:rsidRPr="00400C0B">
        <w:rPr>
          <w:rFonts w:cs="Guttman Rashi" w:hint="eastAsia"/>
          <w:rtl/>
          <w:lang w:bidi="he-IL"/>
        </w:rPr>
        <w:t>למעלה</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הרוטב</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במשמע</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הביאור</w:t>
      </w:r>
      <w:r w:rsidRPr="00400C0B">
        <w:rPr>
          <w:rFonts w:cs="Guttman Rashi"/>
          <w:rtl/>
          <w:lang w:bidi="he-IL"/>
        </w:rPr>
        <w:t xml:space="preserve"> </w:t>
      </w:r>
      <w:r w:rsidRPr="00400C0B">
        <w:rPr>
          <w:rFonts w:cs="Guttman Rashi" w:hint="eastAsia"/>
          <w:rtl/>
          <w:lang w:bidi="he-IL"/>
        </w:rPr>
        <w:t>שהבאנו</w:t>
      </w:r>
      <w:r w:rsidRPr="00400C0B">
        <w:rPr>
          <w:rFonts w:cs="Guttman Rashi"/>
          <w:rtl/>
          <w:lang w:bidi="he-IL"/>
        </w:rPr>
        <w:t xml:space="preserve"> </w:t>
      </w:r>
      <w:r w:rsidRPr="00400C0B">
        <w:rPr>
          <w:rFonts w:cs="Guttman Rashi" w:hint="eastAsia"/>
          <w:rtl/>
          <w:lang w:bidi="he-IL"/>
        </w:rPr>
        <w:t>בסמוך</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שהיו</w:t>
      </w:r>
      <w:r w:rsidRPr="00400C0B">
        <w:rPr>
          <w:rFonts w:cs="Guttman Rashi"/>
          <w:rtl/>
          <w:lang w:bidi="he-IL"/>
        </w:rPr>
        <w:t xml:space="preserve"> </w:t>
      </w:r>
      <w:r w:rsidRPr="00400C0B">
        <w:rPr>
          <w:rFonts w:cs="Guttman Rashi" w:hint="eastAsia"/>
          <w:rtl/>
          <w:lang w:bidi="he-IL"/>
        </w:rPr>
        <w:t>רוצים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שפיר</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לשאר</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הטיפת</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מתפשט</w:t>
      </w:r>
      <w:r w:rsidRPr="00400C0B">
        <w:rPr>
          <w:rFonts w:cs="Guttman Rashi"/>
          <w:rtl/>
          <w:lang w:bidi="he-IL"/>
        </w:rPr>
        <w:t xml:space="preserve"> </w:t>
      </w:r>
      <w:r w:rsidRPr="00400C0B">
        <w:rPr>
          <w:rFonts w:cs="Guttman Rashi" w:hint="eastAsia"/>
          <w:rtl/>
          <w:lang w:bidi="he-IL"/>
        </w:rPr>
        <w:t>בשוה</w:t>
      </w:r>
      <w:r w:rsidRPr="00400C0B">
        <w:rPr>
          <w:rFonts w:cs="Guttman Rashi"/>
          <w:rtl/>
          <w:lang w:bidi="he-IL"/>
        </w:rPr>
        <w:t xml:space="preserve"> </w:t>
      </w:r>
      <w:r w:rsidRPr="00400C0B">
        <w:rPr>
          <w:rFonts w:cs="Guttman Rashi" w:hint="eastAsia"/>
          <w:rtl/>
          <w:lang w:bidi="he-IL"/>
        </w:rPr>
        <w:t>בכולו</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שבחלק</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שהיא</w:t>
      </w:r>
      <w:r w:rsidRPr="00400C0B">
        <w:rPr>
          <w:rFonts w:cs="Guttman Rashi"/>
          <w:rtl/>
          <w:lang w:bidi="he-IL"/>
        </w:rPr>
        <w:t xml:space="preserve"> </w:t>
      </w:r>
      <w:r w:rsidRPr="00400C0B">
        <w:rPr>
          <w:rFonts w:cs="Guttman Rashi" w:hint="eastAsia"/>
          <w:rtl/>
          <w:lang w:bidi="he-IL"/>
        </w:rPr>
        <w:t>למטה</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הרוטב</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יוצא</w:t>
      </w:r>
      <w:r w:rsidRPr="00400C0B">
        <w:rPr>
          <w:rFonts w:cs="Guttman Rashi"/>
          <w:rtl/>
          <w:lang w:bidi="he-IL"/>
        </w:rPr>
        <w:t xml:space="preserve"> </w:t>
      </w:r>
      <w:r w:rsidRPr="00400C0B">
        <w:rPr>
          <w:rFonts w:cs="Guttman Rashi" w:hint="eastAsia"/>
          <w:rtl/>
          <w:lang w:bidi="he-IL"/>
        </w:rPr>
        <w:t>ומתפשט</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הקדירה</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שביארנו</w:t>
      </w:r>
      <w:r w:rsidRPr="00400C0B">
        <w:rPr>
          <w:rFonts w:cs="Guttman Rashi"/>
          <w:rtl/>
          <w:lang w:bidi="he-IL"/>
        </w:rPr>
        <w:t xml:space="preserve"> </w:t>
      </w:r>
      <w:r w:rsidRPr="00400C0B">
        <w:rPr>
          <w:rFonts w:cs="Guttman Rashi" w:hint="eastAsia"/>
          <w:rtl/>
          <w:lang w:bidi="he-IL"/>
        </w:rPr>
        <w:t>בסמוך</w:t>
      </w:r>
      <w:r w:rsidRPr="00400C0B">
        <w:rPr>
          <w:rFonts w:cs="Guttman Rashi"/>
          <w:rtl/>
          <w:lang w:bidi="he-IL"/>
        </w:rPr>
        <w:t xml:space="preserve">. </w:t>
      </w:r>
    </w:p>
  </w:footnote>
  <w:footnote w:id="24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והנ</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משפיע</w:t>
      </w:r>
      <w:r w:rsidRPr="00400C0B">
        <w:rPr>
          <w:rFonts w:cs="Guttman Rashi"/>
          <w:rtl/>
          <w:lang w:bidi="he-IL"/>
        </w:rPr>
        <w:t xml:space="preserve"> </w:t>
      </w:r>
      <w:r w:rsidRPr="00400C0B">
        <w:rPr>
          <w:rFonts w:cs="Guttman Rashi" w:hint="eastAsia"/>
          <w:rtl/>
          <w:lang w:bidi="he-IL"/>
        </w:rPr>
        <w:t>להתיר</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שיחשב</w:t>
      </w:r>
      <w:r w:rsidRPr="00400C0B">
        <w:rPr>
          <w:rFonts w:cs="Guttman Rashi"/>
          <w:rtl/>
          <w:lang w:bidi="he-IL"/>
        </w:rPr>
        <w:t xml:space="preserve"> </w:t>
      </w:r>
      <w:r w:rsidRPr="00400C0B">
        <w:rPr>
          <w:rFonts w:cs="Guttman Rashi" w:hint="eastAsia"/>
          <w:rtl/>
          <w:lang w:bidi="he-IL"/>
        </w:rPr>
        <w:t>נתבשל</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לחלק</w:t>
      </w:r>
      <w:r w:rsidRPr="00400C0B">
        <w:rPr>
          <w:rFonts w:cs="Guttman Rashi"/>
          <w:rtl/>
          <w:lang w:bidi="he-IL"/>
        </w:rPr>
        <w:t xml:space="preserve"> </w:t>
      </w:r>
      <w:r w:rsidRPr="00400C0B">
        <w:rPr>
          <w:rFonts w:cs="Guttman Rashi" w:hint="eastAsia"/>
          <w:rtl/>
          <w:lang w:bidi="he-IL"/>
        </w:rPr>
        <w:t>העליון</w:t>
      </w:r>
      <w:r w:rsidRPr="00400C0B">
        <w:rPr>
          <w:rFonts w:cs="Guttman Rashi"/>
          <w:rtl/>
          <w:lang w:bidi="he-IL"/>
        </w:rPr>
        <w:t xml:space="preserve">, </w:t>
      </w:r>
      <w:r w:rsidRPr="00400C0B">
        <w:rPr>
          <w:rFonts w:cs="Guttman Rashi" w:hint="eastAsia"/>
          <w:rtl/>
          <w:lang w:bidi="he-IL"/>
        </w:rPr>
        <w:t>דאל</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אמרנו</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צד</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שכל</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דאילו</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למעלה</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המים</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צלי</w:t>
      </w:r>
      <w:r w:rsidRPr="00400C0B">
        <w:rPr>
          <w:rFonts w:cs="Guttman Rashi"/>
          <w:rtl/>
          <w:lang w:bidi="he-IL"/>
        </w:rPr>
        <w:t xml:space="preserve">. </w:t>
      </w:r>
      <w:r w:rsidRPr="00400C0B">
        <w:rPr>
          <w:rFonts w:cs="Guttman Rashi" w:hint="eastAsia"/>
          <w:rtl/>
          <w:lang w:bidi="he-IL"/>
        </w:rPr>
        <w:t>ולצד</w:t>
      </w:r>
      <w:r w:rsidRPr="00400C0B">
        <w:rPr>
          <w:rFonts w:cs="Guttman Rashi"/>
          <w:rtl/>
          <w:lang w:bidi="he-IL"/>
        </w:rPr>
        <w:t xml:space="preserve"> </w:t>
      </w:r>
      <w:r w:rsidRPr="00400C0B">
        <w:rPr>
          <w:rFonts w:cs="Guttman Rashi" w:hint="eastAsia"/>
          <w:rtl/>
          <w:lang w:bidi="he-IL"/>
        </w:rPr>
        <w:t>שלרש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החלק</w:t>
      </w:r>
      <w:r w:rsidRPr="00400C0B">
        <w:rPr>
          <w:rFonts w:cs="Guttman Rashi"/>
          <w:rtl/>
          <w:lang w:bidi="he-IL"/>
        </w:rPr>
        <w:t xml:space="preserve"> </w:t>
      </w:r>
      <w:r w:rsidRPr="00400C0B">
        <w:rPr>
          <w:rFonts w:cs="Guttman Rashi" w:hint="eastAsia"/>
          <w:rtl/>
          <w:lang w:bidi="he-IL"/>
        </w:rPr>
        <w:t>שלמעלה</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כצלי</w:t>
      </w:r>
      <w:r w:rsidRPr="00400C0B">
        <w:rPr>
          <w:rFonts w:cs="Guttman Rashi"/>
          <w:rtl/>
          <w:lang w:bidi="he-IL"/>
        </w:rPr>
        <w:t xml:space="preserve"> </w:t>
      </w:r>
      <w:r w:rsidRPr="00400C0B">
        <w:rPr>
          <w:rFonts w:cs="Guttman Rashi" w:hint="eastAsia"/>
          <w:rtl/>
          <w:lang w:bidi="he-IL"/>
        </w:rPr>
        <w:t>ניחא</w:t>
      </w:r>
      <w:r w:rsidRPr="00400C0B">
        <w:rPr>
          <w:rFonts w:cs="Guttman Rashi"/>
          <w:rtl/>
          <w:lang w:bidi="he-IL"/>
        </w:rPr>
        <w:t xml:space="preserve">. </w:t>
      </w:r>
    </w:p>
  </w:footnote>
  <w:footnote w:id="24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דרך</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ביד</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סס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w:t>
      </w:r>
    </w:p>
  </w:footnote>
  <w:footnote w:id="25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העיר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הטור</w:t>
      </w:r>
      <w:r w:rsidRPr="00400C0B">
        <w:rPr>
          <w:rFonts w:cs="Guttman Rashi"/>
          <w:rtl/>
          <w:lang w:bidi="he-IL"/>
        </w:rPr>
        <w:t xml:space="preserve"> </w:t>
      </w:r>
      <w:r w:rsidRPr="00400C0B">
        <w:rPr>
          <w:rFonts w:cs="Guttman Rashi" w:hint="eastAsia"/>
          <w:rtl/>
          <w:lang w:bidi="he-IL"/>
        </w:rPr>
        <w:t>דאיך</w:t>
      </w:r>
      <w:r w:rsidRPr="00400C0B">
        <w:rPr>
          <w:rFonts w:cs="Guttman Rashi"/>
          <w:rtl/>
          <w:lang w:bidi="he-IL"/>
        </w:rPr>
        <w:t xml:space="preserve"> </w:t>
      </w:r>
      <w:r w:rsidRPr="00400C0B">
        <w:rPr>
          <w:rFonts w:cs="Guttman Rashi" w:hint="eastAsia"/>
          <w:rtl/>
          <w:lang w:bidi="he-IL"/>
        </w:rPr>
        <w:t>הבין</w:t>
      </w:r>
      <w:r w:rsidRPr="00400C0B">
        <w:rPr>
          <w:rFonts w:cs="Guttman Rashi"/>
          <w:rtl/>
          <w:lang w:bidi="he-IL"/>
        </w:rPr>
        <w:t xml:space="preserve"> </w:t>
      </w:r>
      <w:r w:rsidRPr="00400C0B">
        <w:rPr>
          <w:rFonts w:cs="Guttman Rashi" w:hint="eastAsia"/>
          <w:rtl/>
          <w:lang w:bidi="he-IL"/>
        </w:rPr>
        <w:t>מדברי</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שסבר</w:t>
      </w:r>
      <w:r w:rsidRPr="00400C0B">
        <w:rPr>
          <w:rFonts w:cs="Guttman Rashi"/>
          <w:rtl/>
          <w:lang w:bidi="he-IL"/>
        </w:rPr>
        <w:t xml:space="preserve"> </w:t>
      </w:r>
      <w:r w:rsidRPr="00400C0B">
        <w:rPr>
          <w:rFonts w:cs="Guttman Rashi" w:hint="eastAsia"/>
          <w:rtl/>
          <w:lang w:bidi="he-IL"/>
        </w:rPr>
        <w:t>דבעינן</w:t>
      </w:r>
      <w:r w:rsidRPr="00400C0B">
        <w:rPr>
          <w:rFonts w:cs="Guttman Rashi"/>
          <w:rtl/>
          <w:lang w:bidi="he-IL"/>
        </w:rPr>
        <w:t xml:space="preserve"> </w:t>
      </w:r>
      <w:r w:rsidRPr="00400C0B">
        <w:rPr>
          <w:rFonts w:cs="Guttman Rashi" w:hint="eastAsia"/>
          <w:rtl/>
          <w:lang w:bidi="he-IL"/>
        </w:rPr>
        <w:t>מתחילה</w:t>
      </w:r>
      <w:r w:rsidRPr="00400C0B">
        <w:rPr>
          <w:rFonts w:cs="Guttman Rashi"/>
          <w:rtl/>
          <w:lang w:bidi="he-IL"/>
        </w:rPr>
        <w:t xml:space="preserve"> </w:t>
      </w:r>
      <w:r w:rsidRPr="00400C0B">
        <w:rPr>
          <w:rFonts w:cs="Guttman Rashi" w:hint="eastAsia"/>
          <w:rtl/>
          <w:lang w:bidi="he-IL"/>
        </w:rPr>
        <w:t>ועד</w:t>
      </w:r>
      <w:r w:rsidRPr="00400C0B">
        <w:rPr>
          <w:rFonts w:cs="Guttman Rashi"/>
          <w:rtl/>
          <w:lang w:bidi="he-IL"/>
        </w:rPr>
        <w:t xml:space="preserve"> </w:t>
      </w:r>
      <w:r w:rsidRPr="00400C0B">
        <w:rPr>
          <w:rFonts w:cs="Guttman Rashi" w:hint="eastAsia"/>
          <w:rtl/>
          <w:lang w:bidi="he-IL"/>
        </w:rPr>
        <w:t>סוף</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דיוק</w:t>
      </w:r>
      <w:r w:rsidRPr="00400C0B">
        <w:rPr>
          <w:rFonts w:cs="Guttman Rashi"/>
          <w:rtl/>
          <w:lang w:bidi="he-IL"/>
        </w:rPr>
        <w:t xml:space="preserve"> </w:t>
      </w:r>
      <w:r w:rsidRPr="00400C0B">
        <w:rPr>
          <w:rFonts w:cs="Guttman Rashi" w:hint="eastAsia"/>
          <w:rtl/>
          <w:lang w:bidi="he-IL"/>
        </w:rPr>
        <w:t>ברמב</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ממה</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עצם</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מדויקים</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שהבין</w:t>
      </w:r>
      <w:r w:rsidRPr="00400C0B">
        <w:rPr>
          <w:rFonts w:cs="Guttman Rashi"/>
          <w:rtl/>
          <w:lang w:bidi="he-IL"/>
        </w:rPr>
        <w:t xml:space="preserve"> </w:t>
      </w:r>
      <w:r w:rsidRPr="00400C0B">
        <w:rPr>
          <w:rFonts w:cs="Guttman Rashi" w:hint="eastAsia"/>
          <w:rtl/>
          <w:lang w:bidi="he-IL"/>
        </w:rPr>
        <w:t>הטור</w:t>
      </w:r>
      <w:r w:rsidRPr="00400C0B">
        <w:rPr>
          <w:rFonts w:cs="Guttman Rashi"/>
          <w:rtl/>
          <w:lang w:bidi="he-IL"/>
        </w:rPr>
        <w:t xml:space="preserve"> </w:t>
      </w:r>
      <w:r w:rsidRPr="00400C0B">
        <w:rPr>
          <w:rFonts w:cs="Guttman Rashi" w:hint="eastAsia"/>
          <w:rtl/>
          <w:lang w:bidi="he-IL"/>
        </w:rPr>
        <w:t>בדעת</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וכנ</w:t>
      </w:r>
      <w:r w:rsidRPr="00400C0B">
        <w:rPr>
          <w:rFonts w:cs="Guttman Rashi"/>
          <w:rtl/>
          <w:lang w:bidi="he-IL"/>
        </w:rPr>
        <w:t>"</w:t>
      </w:r>
      <w:r w:rsidRPr="00400C0B">
        <w:rPr>
          <w:rFonts w:cs="Guttman Rashi" w:hint="eastAsia"/>
          <w:rtl/>
          <w:lang w:bidi="he-IL"/>
        </w:rPr>
        <w:t>ל</w:t>
      </w:r>
      <w:r w:rsidRPr="00400C0B">
        <w:rPr>
          <w:rFonts w:cs="Guttman Rashi"/>
          <w:rtl/>
          <w:lang w:bidi="he-IL"/>
        </w:rPr>
        <w:t>.</w:t>
      </w:r>
    </w:p>
  </w:footnote>
  <w:footnote w:id="25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אינה</w:t>
      </w:r>
      <w:r w:rsidRPr="00400C0B">
        <w:rPr>
          <w:rFonts w:cs="Guttman Rashi"/>
          <w:rtl/>
          <w:lang w:bidi="he-IL"/>
        </w:rPr>
        <w:t xml:space="preserve"> </w:t>
      </w:r>
      <w:r w:rsidRPr="00400C0B">
        <w:rPr>
          <w:rFonts w:cs="Guttman Rashi" w:hint="eastAsia"/>
          <w:rtl/>
          <w:lang w:bidi="he-IL"/>
        </w:rPr>
        <w:t>ברורה</w:t>
      </w:r>
      <w:r w:rsidRPr="00400C0B">
        <w:rPr>
          <w:rFonts w:cs="Guttman Rashi"/>
          <w:rtl/>
          <w:lang w:bidi="he-IL"/>
        </w:rPr>
        <w:t xml:space="preserve"> </w:t>
      </w:r>
      <w:r w:rsidRPr="00400C0B">
        <w:rPr>
          <w:rFonts w:cs="Guttman Rashi" w:hint="eastAsia"/>
          <w:rtl/>
          <w:lang w:bidi="he-IL"/>
        </w:rPr>
        <w:t>לעוק</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דר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להכניס</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בתוך</w:t>
      </w:r>
      <w:r w:rsidRPr="00400C0B">
        <w:rPr>
          <w:rFonts w:cs="Guttman Rashi"/>
          <w:rtl/>
          <w:lang w:bidi="he-IL"/>
        </w:rPr>
        <w:t xml:space="preserve"> </w:t>
      </w:r>
      <w:r w:rsidRPr="00400C0B">
        <w:rPr>
          <w:rFonts w:cs="Guttman Rashi" w:hint="eastAsia"/>
          <w:rtl/>
          <w:lang w:bidi="he-IL"/>
        </w:rPr>
        <w:t>הרוטב</w:t>
      </w:r>
      <w:r w:rsidRPr="00400C0B">
        <w:rPr>
          <w:rFonts w:cs="Guttman Rashi"/>
          <w:rtl/>
          <w:lang w:bidi="he-IL"/>
        </w:rPr>
        <w:t xml:space="preserve">, </w:t>
      </w:r>
      <w:r w:rsidRPr="00400C0B">
        <w:rPr>
          <w:rFonts w:cs="Guttman Rashi" w:hint="eastAsia"/>
          <w:rtl/>
          <w:lang w:bidi="he-IL"/>
        </w:rPr>
        <w:t>והקדרה</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מליאה</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ינער</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יפיל</w:t>
      </w:r>
      <w:r w:rsidRPr="00400C0B">
        <w:rPr>
          <w:rFonts w:cs="Guttman Rashi"/>
          <w:rtl/>
          <w:lang w:bidi="he-IL"/>
        </w:rPr>
        <w:t xml:space="preserve"> </w:t>
      </w:r>
      <w:r w:rsidRPr="00400C0B">
        <w:rPr>
          <w:rFonts w:cs="Guttman Rashi" w:hint="eastAsia"/>
          <w:rtl/>
          <w:lang w:bidi="he-IL"/>
        </w:rPr>
        <w:t>יתכן</w:t>
      </w:r>
      <w:r w:rsidRPr="00400C0B">
        <w:rPr>
          <w:rFonts w:cs="Guttman Rashi"/>
          <w:rtl/>
          <w:lang w:bidi="he-IL"/>
        </w:rPr>
        <w:t xml:space="preserve"> </w:t>
      </w:r>
      <w:r w:rsidRPr="00400C0B">
        <w:rPr>
          <w:rFonts w:cs="Guttman Rashi" w:hint="eastAsia"/>
          <w:rtl/>
          <w:lang w:bidi="he-IL"/>
        </w:rPr>
        <w:t>שיפול</w:t>
      </w:r>
      <w:r w:rsidRPr="00400C0B">
        <w:rPr>
          <w:rFonts w:cs="Guttman Rashi"/>
          <w:rtl/>
          <w:lang w:bidi="he-IL"/>
        </w:rPr>
        <w:t xml:space="preserve"> </w:t>
      </w:r>
      <w:r w:rsidRPr="00400C0B">
        <w:rPr>
          <w:rFonts w:cs="Guttman Rashi" w:hint="eastAsia"/>
          <w:rtl/>
          <w:lang w:bidi="he-IL"/>
        </w:rPr>
        <w:t>עת</w:t>
      </w:r>
      <w:r w:rsidRPr="00400C0B">
        <w:rPr>
          <w:rFonts w:cs="Guttman Rashi"/>
          <w:rtl/>
          <w:lang w:bidi="he-IL"/>
        </w:rPr>
        <w:t xml:space="preserve"> </w:t>
      </w:r>
      <w:r w:rsidRPr="00400C0B">
        <w:rPr>
          <w:rFonts w:cs="Guttman Rashi" w:hint="eastAsia"/>
          <w:rtl/>
          <w:lang w:bidi="he-IL"/>
        </w:rPr>
        <w:t>חתיכה</w:t>
      </w:r>
      <w:r w:rsidRPr="00400C0B">
        <w:rPr>
          <w:rFonts w:cs="Guttman Rashi"/>
          <w:rtl/>
          <w:lang w:bidi="he-IL"/>
        </w:rPr>
        <w:t xml:space="preserve"> </w:t>
      </w:r>
      <w:r w:rsidRPr="00400C0B">
        <w:rPr>
          <w:rFonts w:cs="Guttman Rashi" w:hint="eastAsia"/>
          <w:rtl/>
          <w:lang w:bidi="he-IL"/>
        </w:rPr>
        <w:t>אחרת</w:t>
      </w:r>
      <w:r w:rsidRPr="00400C0B">
        <w:rPr>
          <w:rFonts w:cs="Guttman Rashi"/>
          <w:rtl/>
          <w:lang w:bidi="he-IL"/>
        </w:rPr>
        <w:t xml:space="preserve"> </w:t>
      </w:r>
      <w:r w:rsidRPr="00400C0B">
        <w:rPr>
          <w:rFonts w:cs="Guttman Rashi" w:hint="eastAsia"/>
          <w:rtl/>
          <w:lang w:bidi="he-IL"/>
        </w:rPr>
        <w:t>שמקצתה</w:t>
      </w:r>
      <w:r w:rsidRPr="00400C0B">
        <w:rPr>
          <w:rFonts w:cs="Guttman Rashi"/>
          <w:rtl/>
          <w:lang w:bidi="he-IL"/>
        </w:rPr>
        <w:t xml:space="preserve"> </w:t>
      </w:r>
      <w:r w:rsidRPr="00400C0B">
        <w:rPr>
          <w:rFonts w:cs="Guttman Rashi" w:hint="eastAsia"/>
          <w:rtl/>
          <w:lang w:bidi="he-IL"/>
        </w:rPr>
        <w:t>ברוטב</w:t>
      </w:r>
      <w:r w:rsidRPr="00400C0B">
        <w:rPr>
          <w:rFonts w:cs="Guttman Rashi"/>
          <w:rtl/>
          <w:lang w:bidi="he-IL"/>
        </w:rPr>
        <w:t xml:space="preserve"> </w:t>
      </w:r>
      <w:r w:rsidRPr="00400C0B">
        <w:rPr>
          <w:rFonts w:cs="Guttman Rashi" w:hint="eastAsia"/>
          <w:rtl/>
          <w:lang w:bidi="he-IL"/>
        </w:rPr>
        <w:t>ושוב</w:t>
      </w:r>
      <w:r w:rsidRPr="00400C0B">
        <w:rPr>
          <w:rFonts w:cs="Guttman Rashi"/>
          <w:rtl/>
          <w:lang w:bidi="he-IL"/>
        </w:rPr>
        <w:t xml:space="preserve"> </w:t>
      </w:r>
      <w:r w:rsidRPr="00400C0B">
        <w:rPr>
          <w:rFonts w:cs="Guttman Rashi" w:hint="eastAsia"/>
          <w:rtl/>
          <w:lang w:bidi="he-IL"/>
        </w:rPr>
        <w:t>יאסר</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שנפל</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הטיפת</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לנער</w:t>
      </w:r>
      <w:r w:rsidRPr="00400C0B">
        <w:rPr>
          <w:rFonts w:cs="Guttman Rashi"/>
          <w:rtl/>
          <w:lang w:bidi="he-IL"/>
        </w:rPr>
        <w:t xml:space="preserve"> </w:t>
      </w:r>
      <w:r w:rsidRPr="00400C0B">
        <w:rPr>
          <w:rFonts w:cs="Guttman Rashi" w:hint="eastAsia"/>
          <w:rtl/>
          <w:lang w:bidi="he-IL"/>
        </w:rPr>
        <w:t>היטב</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שיהא</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בתוך</w:t>
      </w:r>
      <w:r w:rsidRPr="00400C0B">
        <w:rPr>
          <w:rFonts w:cs="Guttman Rashi"/>
          <w:rtl/>
          <w:lang w:bidi="he-IL"/>
        </w:rPr>
        <w:t xml:space="preserve"> </w:t>
      </w:r>
      <w:r w:rsidRPr="00400C0B">
        <w:rPr>
          <w:rFonts w:cs="Guttman Rashi" w:hint="eastAsia"/>
          <w:rtl/>
          <w:lang w:bidi="he-IL"/>
        </w:rPr>
        <w:t>הרוטב</w:t>
      </w:r>
      <w:r w:rsidRPr="00400C0B">
        <w:rPr>
          <w:rFonts w:cs="Guttman Rashi"/>
          <w:rtl/>
          <w:lang w:bidi="he-IL"/>
        </w:rPr>
        <w:t xml:space="preserve">. </w:t>
      </w:r>
    </w:p>
  </w:footnote>
  <w:footnote w:id="25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ודלא</w:t>
      </w:r>
      <w:r w:rsidRPr="00400C0B">
        <w:rPr>
          <w:rFonts w:cs="Guttman Rashi"/>
          <w:rtl/>
          <w:lang w:bidi="he-IL"/>
        </w:rPr>
        <w:t xml:space="preserve"> </w:t>
      </w:r>
      <w:r w:rsidRPr="00400C0B">
        <w:rPr>
          <w:rFonts w:cs="Guttman Rashi" w:hint="eastAsia"/>
          <w:rtl/>
          <w:lang w:bidi="he-IL"/>
        </w:rPr>
        <w:t>כמרדכי</w:t>
      </w:r>
      <w:r w:rsidRPr="00400C0B">
        <w:rPr>
          <w:rFonts w:cs="Guttman Rashi"/>
          <w:rtl/>
          <w:lang w:bidi="he-IL"/>
        </w:rPr>
        <w:t xml:space="preserve"> </w:t>
      </w:r>
      <w:r w:rsidRPr="00400C0B">
        <w:rPr>
          <w:rFonts w:cs="Guttman Rashi" w:hint="eastAsia"/>
          <w:rtl/>
          <w:lang w:bidi="he-IL"/>
        </w:rPr>
        <w:t>בשיטת</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w:t>
      </w:r>
    </w:p>
  </w:footnote>
  <w:footnote w:id="25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באריכות</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ט</w:t>
      </w:r>
      <w:r w:rsidRPr="00400C0B">
        <w:rPr>
          <w:rFonts w:cs="Guttman Rashi"/>
          <w:rtl/>
          <w:lang w:bidi="he-IL"/>
        </w:rPr>
        <w:t>"</w:t>
      </w:r>
      <w:r w:rsidRPr="00400C0B">
        <w:rPr>
          <w:rFonts w:cs="Guttman Rashi" w:hint="eastAsia"/>
          <w:rtl/>
          <w:lang w:bidi="he-IL"/>
        </w:rPr>
        <w:t>ז</w:t>
      </w:r>
    </w:p>
  </w:footnote>
  <w:footnote w:id="25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סוף</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טעמים</w:t>
      </w:r>
      <w:r w:rsidRPr="00400C0B">
        <w:rPr>
          <w:rFonts w:cs="Guttman Rashi"/>
          <w:rtl/>
          <w:lang w:bidi="he-IL"/>
        </w:rPr>
        <w:t xml:space="preserve"> </w:t>
      </w:r>
      <w:r w:rsidRPr="00400C0B">
        <w:rPr>
          <w:rFonts w:cs="Guttman Rashi" w:hint="eastAsia"/>
          <w:rtl/>
          <w:lang w:bidi="he-IL"/>
        </w:rPr>
        <w:t>לגזרה</w:t>
      </w:r>
      <w:r w:rsidRPr="00400C0B">
        <w:rPr>
          <w:rFonts w:cs="Guttman Rashi"/>
          <w:rtl/>
          <w:lang w:bidi="he-IL"/>
        </w:rPr>
        <w:t>.</w:t>
      </w:r>
    </w:p>
  </w:footnote>
  <w:footnote w:id="25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בביאור</w:t>
      </w:r>
      <w:r w:rsidRPr="00400C0B">
        <w:rPr>
          <w:rFonts w:cs="Guttman Rashi"/>
          <w:rtl/>
          <w:lang w:bidi="he-IL"/>
        </w:rPr>
        <w:t xml:space="preserve"> </w:t>
      </w:r>
      <w:r w:rsidRPr="00400C0B">
        <w:rPr>
          <w:rFonts w:cs="Guttman Rashi" w:hint="eastAsia"/>
          <w:rtl/>
          <w:lang w:bidi="he-IL"/>
        </w:rPr>
        <w:t>שיטה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א</w:t>
      </w:r>
    </w:p>
  </w:footnote>
  <w:footnote w:id="25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והנה</w:t>
      </w:r>
      <w:r w:rsidRPr="00400C0B">
        <w:rPr>
          <w:rFonts w:cs="Guttman Rashi"/>
          <w:rtl/>
          <w:lang w:bidi="he-IL"/>
        </w:rPr>
        <w:t xml:space="preserve"> </w:t>
      </w:r>
      <w:r w:rsidRPr="00400C0B">
        <w:rPr>
          <w:rFonts w:cs="Guttman Rashi" w:hint="eastAsia"/>
          <w:rtl/>
          <w:lang w:bidi="he-IL"/>
        </w:rPr>
        <w:t>בביאור</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בבאר</w:t>
      </w:r>
      <w:r w:rsidRPr="00400C0B">
        <w:rPr>
          <w:rFonts w:cs="Guttman Rashi"/>
          <w:rtl/>
          <w:lang w:bidi="he-IL"/>
        </w:rPr>
        <w:t xml:space="preserve"> </w:t>
      </w:r>
      <w:r w:rsidRPr="00400C0B">
        <w:rPr>
          <w:rFonts w:cs="Guttman Rashi" w:hint="eastAsia"/>
          <w:rtl/>
          <w:lang w:bidi="he-IL"/>
        </w:rPr>
        <w:t>הגולה</w:t>
      </w:r>
      <w:r w:rsidRPr="00400C0B">
        <w:rPr>
          <w:rFonts w:cs="Guttman Rashi"/>
          <w:rtl/>
          <w:lang w:bidi="he-IL"/>
        </w:rPr>
        <w:t xml:space="preserve"> </w:t>
      </w:r>
      <w:r w:rsidRPr="00400C0B">
        <w:rPr>
          <w:rFonts w:cs="Guttman Rashi" w:hint="eastAsia"/>
          <w:rtl/>
          <w:lang w:bidi="he-IL"/>
        </w:rPr>
        <w:t>הגיהו</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בסע</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בחתיכה</w:t>
      </w:r>
      <w:r w:rsidRPr="00400C0B">
        <w:rPr>
          <w:rFonts w:cs="Guttman Rashi"/>
          <w:rtl/>
          <w:lang w:bidi="he-IL"/>
        </w:rPr>
        <w:t xml:space="preserve"> </w:t>
      </w:r>
      <w:r w:rsidRPr="00400C0B">
        <w:rPr>
          <w:rFonts w:cs="Guttman Rashi" w:hint="eastAsia"/>
          <w:rtl/>
          <w:lang w:bidi="he-IL"/>
        </w:rPr>
        <w:t>נגד</w:t>
      </w:r>
      <w:r w:rsidRPr="00400C0B">
        <w:rPr>
          <w:rFonts w:cs="Guttman Rashi"/>
          <w:rtl/>
          <w:lang w:bidi="he-IL"/>
        </w:rPr>
        <w:t xml:space="preserve"> </w:t>
      </w:r>
      <w:r w:rsidRPr="00400C0B">
        <w:rPr>
          <w:rFonts w:cs="Guttman Rashi" w:hint="eastAsia"/>
          <w:rtl/>
          <w:lang w:bidi="he-IL"/>
        </w:rPr>
        <w:t>הטיפת</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אסורה</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התייחס</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לקדירה</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היו</w:t>
      </w:r>
      <w:r w:rsidRPr="00400C0B">
        <w:rPr>
          <w:rFonts w:cs="Guttman Rashi"/>
          <w:rtl/>
          <w:lang w:bidi="he-IL"/>
        </w:rPr>
        <w:t xml:space="preserve"> </w:t>
      </w:r>
      <w:r w:rsidRPr="00400C0B">
        <w:rPr>
          <w:rFonts w:cs="Guttman Rashi" w:hint="eastAsia"/>
          <w:rtl/>
          <w:lang w:bidi="he-IL"/>
        </w:rPr>
        <w:t>צריכין</w:t>
      </w:r>
      <w:r w:rsidRPr="00400C0B">
        <w:rPr>
          <w:rFonts w:cs="Guttman Rashi"/>
          <w:rtl/>
          <w:lang w:bidi="he-IL"/>
        </w:rPr>
        <w:t xml:space="preserve"> </w:t>
      </w:r>
      <w:r w:rsidRPr="00400C0B">
        <w:rPr>
          <w:rFonts w:cs="Guttman Rashi" w:hint="eastAsia"/>
          <w:rtl/>
          <w:lang w:bidi="he-IL"/>
        </w:rPr>
        <w:t>להגי</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מפורש</w:t>
      </w:r>
      <w:r w:rsidRPr="00400C0B">
        <w:rPr>
          <w:rFonts w:cs="Guttman Rashi"/>
          <w:rtl/>
          <w:lang w:bidi="he-IL"/>
        </w:rPr>
        <w:t xml:space="preserve"> </w:t>
      </w:r>
      <w:r w:rsidRPr="00400C0B">
        <w:rPr>
          <w:rFonts w:cs="Guttman Rashi" w:hint="eastAsia"/>
          <w:rtl/>
          <w:lang w:bidi="he-IL"/>
        </w:rPr>
        <w:t>ברמ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שמחמיר</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כרש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ובין</w:t>
      </w:r>
      <w:r w:rsidRPr="00400C0B">
        <w:rPr>
          <w:rFonts w:cs="Guttman Rashi"/>
          <w:rtl/>
          <w:lang w:bidi="he-IL"/>
        </w:rPr>
        <w:t xml:space="preserve"> </w:t>
      </w:r>
      <w:r w:rsidRPr="00400C0B">
        <w:rPr>
          <w:rFonts w:cs="Guttman Rashi" w:hint="eastAsia"/>
          <w:rtl/>
          <w:lang w:bidi="he-IL"/>
        </w:rPr>
        <w:t>כר</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פירשו</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בסע</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כפירושו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שהגר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למד</w:t>
      </w:r>
      <w:r w:rsidRPr="00400C0B">
        <w:rPr>
          <w:rFonts w:cs="Guttman Rashi"/>
          <w:rtl/>
          <w:lang w:bidi="he-IL"/>
        </w:rPr>
        <w:t xml:space="preserve"> </w:t>
      </w:r>
      <w:r w:rsidRPr="00400C0B">
        <w:rPr>
          <w:rFonts w:cs="Guttman Rashi" w:hint="eastAsia"/>
          <w:rtl/>
          <w:lang w:bidi="he-IL"/>
        </w:rPr>
        <w:t>שהמחבר</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בחתיכה</w:t>
      </w:r>
      <w:r w:rsidRPr="00400C0B">
        <w:rPr>
          <w:rFonts w:cs="Guttman Rashi"/>
          <w:rtl/>
          <w:lang w:bidi="he-IL"/>
        </w:rPr>
        <w:t xml:space="preserve"> </w:t>
      </w:r>
      <w:r w:rsidRPr="00400C0B">
        <w:rPr>
          <w:rFonts w:cs="Guttman Rashi" w:hint="eastAsia"/>
          <w:rtl/>
          <w:lang w:bidi="he-IL"/>
        </w:rPr>
        <w:t>שהיא</w:t>
      </w:r>
      <w:r w:rsidRPr="00400C0B">
        <w:rPr>
          <w:rFonts w:cs="Guttman Rashi"/>
          <w:rtl/>
          <w:lang w:bidi="he-IL"/>
        </w:rPr>
        <w:t xml:space="preserve"> </w:t>
      </w:r>
      <w:r w:rsidRPr="00400C0B">
        <w:rPr>
          <w:rFonts w:cs="Guttman Rashi" w:hint="eastAsia"/>
          <w:rtl/>
          <w:lang w:bidi="he-IL"/>
        </w:rPr>
        <w:t>למעלה</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הרוטב</w:t>
      </w:r>
      <w:r w:rsidRPr="00400C0B">
        <w:rPr>
          <w:rFonts w:cs="Guttman Rashi"/>
          <w:rtl/>
          <w:lang w:bidi="he-IL"/>
        </w:rPr>
        <w:t xml:space="preserve"> </w:t>
      </w:r>
      <w:r w:rsidRPr="00400C0B">
        <w:rPr>
          <w:rFonts w:cs="Guttman Rashi" w:hint="eastAsia"/>
          <w:rtl/>
          <w:lang w:bidi="he-IL"/>
        </w:rPr>
        <w:t>ודלא</w:t>
      </w:r>
      <w:r w:rsidRPr="00400C0B">
        <w:rPr>
          <w:rFonts w:cs="Guttman Rashi"/>
          <w:rtl/>
          <w:lang w:bidi="he-IL"/>
        </w:rPr>
        <w:t xml:space="preserve"> </w:t>
      </w:r>
      <w:r w:rsidRPr="00400C0B">
        <w:rPr>
          <w:rFonts w:cs="Guttman Rashi" w:hint="eastAsia"/>
          <w:rtl/>
          <w:lang w:bidi="he-IL"/>
        </w:rPr>
        <w:t>כט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ועל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קאי</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ניער</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הקדירה</w:t>
      </w:r>
      <w:r w:rsidRPr="00400C0B">
        <w:rPr>
          <w:rFonts w:cs="Guttman Rashi"/>
          <w:rtl/>
          <w:lang w:bidi="he-IL"/>
        </w:rPr>
        <w:t xml:space="preserve"> </w:t>
      </w:r>
      <w:r w:rsidRPr="00400C0B">
        <w:rPr>
          <w:rFonts w:cs="Guttman Rashi" w:hint="eastAsia"/>
          <w:rtl/>
          <w:lang w:bidi="he-IL"/>
        </w:rPr>
        <w:t>אסורה</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בחתיכה</w:t>
      </w:r>
      <w:r w:rsidRPr="00400C0B">
        <w:rPr>
          <w:rFonts w:cs="Guttman Rashi"/>
          <w:rtl/>
          <w:lang w:bidi="he-IL"/>
        </w:rPr>
        <w:t xml:space="preserve"> </w:t>
      </w:r>
      <w:r w:rsidRPr="00400C0B">
        <w:rPr>
          <w:rFonts w:cs="Guttman Rashi" w:hint="eastAsia"/>
          <w:rtl/>
          <w:lang w:bidi="he-IL"/>
        </w:rPr>
        <w:t>נגד</w:t>
      </w:r>
      <w:r w:rsidRPr="00400C0B">
        <w:rPr>
          <w:rFonts w:cs="Guttman Rashi"/>
          <w:rtl/>
          <w:lang w:bidi="he-IL"/>
        </w:rPr>
        <w:t xml:space="preserve"> </w:t>
      </w:r>
      <w:r w:rsidRPr="00400C0B">
        <w:rPr>
          <w:rFonts w:cs="Guttman Rashi" w:hint="eastAsia"/>
          <w:rtl/>
          <w:lang w:bidi="he-IL"/>
        </w:rPr>
        <w:t>הטיפת</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p>
  </w:footnote>
  <w:footnote w:id="25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בסוף</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ב</w:t>
      </w:r>
      <w:r w:rsidRPr="00400C0B">
        <w:rPr>
          <w:rFonts w:cs="Guttman Rashi"/>
          <w:rtl/>
          <w:lang w:bidi="he-IL"/>
        </w:rPr>
        <w:t>.</w:t>
      </w:r>
    </w:p>
  </w:footnote>
  <w:footnote w:id="25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ומצאתי</w:t>
      </w:r>
      <w:r w:rsidRPr="00400C0B">
        <w:rPr>
          <w:rFonts w:cs="Guttman Rashi"/>
          <w:rtl/>
          <w:lang w:bidi="he-IL"/>
        </w:rPr>
        <w:t xml:space="preserve"> </w:t>
      </w:r>
      <w:r w:rsidRPr="00400C0B">
        <w:rPr>
          <w:rFonts w:cs="Guttman Rashi" w:hint="eastAsia"/>
          <w:rtl/>
          <w:lang w:bidi="he-IL"/>
        </w:rPr>
        <w:t>להגהות</w:t>
      </w:r>
      <w:r w:rsidRPr="00400C0B">
        <w:rPr>
          <w:rFonts w:cs="Guttman Rashi"/>
          <w:rtl/>
          <w:lang w:bidi="he-IL"/>
        </w:rPr>
        <w:t xml:space="preserve"> </w:t>
      </w:r>
      <w:r w:rsidRPr="00400C0B">
        <w:rPr>
          <w:rFonts w:cs="Guttman Rashi" w:hint="eastAsia"/>
          <w:rtl/>
          <w:lang w:bidi="he-IL"/>
        </w:rPr>
        <w:t>יעב</w:t>
      </w:r>
      <w:r w:rsidRPr="00400C0B">
        <w:rPr>
          <w:rFonts w:cs="Guttman Rashi"/>
          <w:rtl/>
          <w:lang w:bidi="he-IL"/>
        </w:rPr>
        <w:t>"</w:t>
      </w:r>
      <w:r w:rsidRPr="00400C0B">
        <w:rPr>
          <w:rFonts w:cs="Guttman Rashi" w:hint="eastAsia"/>
          <w:rtl/>
          <w:lang w:bidi="he-IL"/>
        </w:rPr>
        <w:t>ץ</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אביו</w:t>
      </w:r>
      <w:r w:rsidRPr="00400C0B">
        <w:rPr>
          <w:rFonts w:cs="Guttman Rashi"/>
          <w:rtl/>
          <w:lang w:bidi="he-IL"/>
        </w:rPr>
        <w:t xml:space="preserve"> </w:t>
      </w:r>
      <w:r w:rsidRPr="00400C0B">
        <w:rPr>
          <w:rFonts w:cs="Guttman Rashi" w:hint="eastAsia"/>
          <w:rtl/>
          <w:lang w:bidi="he-IL"/>
        </w:rPr>
        <w:t>שרצה</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שכל</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הרה</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הם</w:t>
      </w:r>
      <w:r w:rsidRPr="00400C0B">
        <w:rPr>
          <w:rFonts w:cs="Guttman Rashi"/>
          <w:rtl/>
          <w:lang w:bidi="he-IL"/>
        </w:rPr>
        <w:t xml:space="preserve"> </w:t>
      </w:r>
      <w:r w:rsidRPr="00400C0B">
        <w:rPr>
          <w:rFonts w:cs="Guttman Rashi" w:hint="eastAsia"/>
          <w:rtl/>
          <w:lang w:bidi="he-IL"/>
        </w:rPr>
        <w:t>כשלא</w:t>
      </w:r>
      <w:r w:rsidRPr="00400C0B">
        <w:rPr>
          <w:rFonts w:cs="Guttman Rashi"/>
          <w:rtl/>
          <w:lang w:bidi="he-IL"/>
        </w:rPr>
        <w:t xml:space="preserve"> </w:t>
      </w:r>
      <w:r w:rsidRPr="00400C0B">
        <w:rPr>
          <w:rFonts w:cs="Guttman Rashi" w:hint="eastAsia"/>
          <w:rtl/>
          <w:lang w:bidi="he-IL"/>
        </w:rPr>
        <w:t>ידעינן</w:t>
      </w:r>
      <w:r w:rsidRPr="00400C0B">
        <w:rPr>
          <w:rFonts w:cs="Guttman Rashi"/>
          <w:rtl/>
          <w:lang w:bidi="he-IL"/>
        </w:rPr>
        <w:t xml:space="preserve"> </w:t>
      </w:r>
      <w:r w:rsidRPr="00400C0B">
        <w:rPr>
          <w:rFonts w:cs="Guttman Rashi" w:hint="eastAsia"/>
          <w:rtl/>
          <w:lang w:bidi="he-IL"/>
        </w:rPr>
        <w:t>שבאמת</w:t>
      </w:r>
      <w:r w:rsidRPr="00400C0B">
        <w:rPr>
          <w:rFonts w:cs="Guttman Rashi"/>
          <w:rtl/>
          <w:lang w:bidi="he-IL"/>
        </w:rPr>
        <w:t xml:space="preserve"> </w:t>
      </w:r>
      <w:r w:rsidRPr="00400C0B">
        <w:rPr>
          <w:rFonts w:cs="Guttman Rashi" w:hint="eastAsia"/>
          <w:rtl/>
          <w:lang w:bidi="he-IL"/>
        </w:rPr>
        <w:t>נפל</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חתיכה</w:t>
      </w:r>
      <w:r w:rsidRPr="00400C0B">
        <w:rPr>
          <w:rFonts w:cs="Guttman Rashi"/>
          <w:rtl/>
          <w:lang w:bidi="he-IL"/>
        </w:rPr>
        <w:t xml:space="preserve"> </w:t>
      </w:r>
      <w:r w:rsidRPr="00400C0B">
        <w:rPr>
          <w:rFonts w:cs="Guttman Rashi" w:hint="eastAsia"/>
          <w:rtl/>
          <w:lang w:bidi="he-IL"/>
        </w:rPr>
        <w:t>שאוסרת</w:t>
      </w:r>
      <w:r w:rsidRPr="00400C0B">
        <w:rPr>
          <w:rFonts w:cs="Guttman Rashi"/>
          <w:rtl/>
          <w:lang w:bidi="he-IL"/>
        </w:rPr>
        <w:t xml:space="preserve"> </w:t>
      </w:r>
      <w:r w:rsidRPr="00400C0B">
        <w:rPr>
          <w:rFonts w:cs="Guttman Rashi" w:hint="eastAsia"/>
          <w:rtl/>
          <w:lang w:bidi="he-IL"/>
        </w:rPr>
        <w:t>אותה</w:t>
      </w:r>
      <w:r w:rsidRPr="00400C0B">
        <w:rPr>
          <w:rFonts w:cs="Guttman Rashi"/>
          <w:rtl/>
          <w:lang w:bidi="he-IL"/>
        </w:rPr>
        <w:t xml:space="preserve">, </w:t>
      </w:r>
      <w:r w:rsidRPr="00400C0B">
        <w:rPr>
          <w:rFonts w:cs="Guttman Rashi" w:hint="eastAsia"/>
          <w:rtl/>
          <w:lang w:bidi="he-IL"/>
        </w:rPr>
        <w:t>וכגון</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חתיכות</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בהם</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הטיפה</w:t>
      </w:r>
      <w:r w:rsidRPr="00400C0B">
        <w:rPr>
          <w:rFonts w:cs="Guttman Rashi"/>
          <w:rtl/>
          <w:lang w:bidi="he-IL"/>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דיתכן</w:t>
      </w:r>
      <w:r w:rsidRPr="00400C0B">
        <w:rPr>
          <w:rFonts w:cs="Guttman Rashi"/>
          <w:rtl/>
          <w:lang w:bidi="he-IL"/>
        </w:rPr>
        <w:t xml:space="preserve"> </w:t>
      </w:r>
      <w:r w:rsidRPr="00400C0B">
        <w:rPr>
          <w:rFonts w:cs="Guttman Rashi" w:hint="eastAsia"/>
          <w:rtl/>
          <w:lang w:bidi="he-IL"/>
        </w:rPr>
        <w:t>שנפל</w:t>
      </w:r>
      <w:r w:rsidRPr="00400C0B">
        <w:rPr>
          <w:rFonts w:cs="Guttman Rashi"/>
          <w:rtl/>
          <w:lang w:bidi="he-IL"/>
        </w:rPr>
        <w:t xml:space="preserve"> </w:t>
      </w:r>
      <w:r w:rsidRPr="00400C0B">
        <w:rPr>
          <w:rFonts w:cs="Guttman Rashi" w:hint="eastAsia"/>
          <w:rtl/>
          <w:lang w:bidi="he-IL"/>
        </w:rPr>
        <w:t>במקום</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הטיפה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במקרה</w:t>
      </w:r>
      <w:r w:rsidRPr="00400C0B">
        <w:rPr>
          <w:rFonts w:cs="Guttman Rashi"/>
          <w:rtl/>
          <w:lang w:bidi="he-IL"/>
        </w:rPr>
        <w:t xml:space="preserve"> </w:t>
      </w:r>
      <w:r w:rsidRPr="00400C0B">
        <w:rPr>
          <w:rFonts w:cs="Guttman Rashi" w:hint="eastAsia"/>
          <w:rtl/>
          <w:lang w:bidi="he-IL"/>
        </w:rPr>
        <w:t>שידעינן</w:t>
      </w:r>
      <w:r w:rsidRPr="00400C0B">
        <w:rPr>
          <w:rFonts w:cs="Guttman Rashi"/>
          <w:rtl/>
          <w:lang w:bidi="he-IL"/>
        </w:rPr>
        <w:t xml:space="preserve"> </w:t>
      </w:r>
      <w:r w:rsidRPr="00400C0B">
        <w:rPr>
          <w:rFonts w:cs="Guttman Rashi" w:hint="eastAsia"/>
          <w:rtl/>
          <w:lang w:bidi="he-IL"/>
        </w:rPr>
        <w:t>שנפל</w:t>
      </w:r>
      <w:r w:rsidRPr="00400C0B">
        <w:rPr>
          <w:rFonts w:cs="Guttman Rashi"/>
          <w:rtl/>
          <w:lang w:bidi="he-IL"/>
        </w:rPr>
        <w:t xml:space="preserve"> </w:t>
      </w:r>
      <w:r w:rsidRPr="00400C0B">
        <w:rPr>
          <w:rFonts w:cs="Guttman Rashi" w:hint="eastAsia"/>
          <w:rtl/>
          <w:lang w:bidi="he-IL"/>
        </w:rPr>
        <w:t>אחתיכה</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הטיפת</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ידעינן</w:t>
      </w:r>
      <w:r w:rsidRPr="00400C0B">
        <w:rPr>
          <w:rFonts w:cs="Guttman Rashi"/>
          <w:rtl/>
          <w:lang w:bidi="he-IL"/>
        </w:rPr>
        <w:t xml:space="preserve"> </w:t>
      </w:r>
      <w:r w:rsidRPr="00400C0B">
        <w:rPr>
          <w:rFonts w:cs="Guttman Rashi" w:hint="eastAsia"/>
          <w:rtl/>
          <w:lang w:bidi="he-IL"/>
        </w:rPr>
        <w:t>איזה</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הרה</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ודה</w:t>
      </w:r>
      <w:r w:rsidRPr="00400C0B">
        <w:rPr>
          <w:rFonts w:cs="Guttman Rashi"/>
          <w:rtl/>
          <w:lang w:bidi="he-IL"/>
        </w:rPr>
        <w:t xml:space="preserve"> </w:t>
      </w:r>
      <w:r w:rsidRPr="00400C0B">
        <w:rPr>
          <w:rFonts w:cs="Guttman Rashi" w:hint="eastAsia"/>
          <w:rtl/>
          <w:lang w:bidi="he-IL"/>
        </w:rPr>
        <w:t>דאמרינן</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p>
  </w:footnote>
  <w:footnote w:id="25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א</w:t>
      </w:r>
    </w:p>
  </w:footnote>
  <w:footnote w:id="26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בחי</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למס</w:t>
      </w:r>
      <w:r w:rsidRPr="00400C0B">
        <w:rPr>
          <w:rFonts w:cs="Guttman Rashi"/>
          <w:rtl/>
          <w:lang w:bidi="he-IL"/>
        </w:rPr>
        <w:t xml:space="preserve">' </w:t>
      </w:r>
      <w:r w:rsidRPr="00400C0B">
        <w:rPr>
          <w:rFonts w:cs="Guttman Rashi" w:hint="eastAsia"/>
          <w:rtl/>
          <w:lang w:bidi="he-IL"/>
        </w:rPr>
        <w:t>פסחים</w:t>
      </w:r>
      <w:r w:rsidRPr="00400C0B">
        <w:rPr>
          <w:rFonts w:cs="Guttman Rashi"/>
          <w:rtl/>
          <w:lang w:bidi="he-IL"/>
        </w:rPr>
        <w:t xml:space="preserve"> </w:t>
      </w:r>
      <w:r w:rsidRPr="00400C0B">
        <w:rPr>
          <w:rFonts w:cs="Guttman Rashi" w:hint="eastAsia"/>
          <w:rtl/>
          <w:lang w:bidi="he-IL"/>
        </w:rPr>
        <w:t>דף</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p>
  </w:footnote>
  <w:footnote w:id="26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ביד</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שסמך</w:t>
      </w:r>
      <w:r w:rsidRPr="00400C0B">
        <w:rPr>
          <w:rFonts w:cs="Guttman Rashi"/>
          <w:rtl/>
          <w:lang w:bidi="he-IL"/>
        </w:rPr>
        <w:t xml:space="preserve"> </w:t>
      </w:r>
      <w:r w:rsidRPr="00400C0B">
        <w:rPr>
          <w:rFonts w:cs="Guttman Rashi" w:hint="eastAsia"/>
          <w:rtl/>
          <w:lang w:bidi="he-IL"/>
        </w:rPr>
        <w:t>במקצת</w:t>
      </w:r>
      <w:r w:rsidRPr="00400C0B">
        <w:rPr>
          <w:rFonts w:cs="Guttman Rashi"/>
          <w:rtl/>
          <w:lang w:bidi="he-IL"/>
        </w:rPr>
        <w:t xml:space="preserve"> </w:t>
      </w:r>
      <w:r w:rsidRPr="00400C0B">
        <w:rPr>
          <w:rFonts w:cs="Guttman Rashi" w:hint="eastAsia"/>
          <w:rtl/>
          <w:lang w:bidi="he-IL"/>
        </w:rPr>
        <w:t>אסברא</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w:t>
      </w:r>
    </w:p>
  </w:footnote>
  <w:footnote w:id="26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שמקור</w:t>
      </w:r>
      <w:r w:rsidRPr="00400C0B">
        <w:rPr>
          <w:rFonts w:cs="Guttman Rashi"/>
          <w:rtl/>
          <w:lang w:bidi="he-IL"/>
        </w:rPr>
        <w:t xml:space="preserve"> </w:t>
      </w:r>
      <w:r w:rsidRPr="00400C0B">
        <w:rPr>
          <w:rFonts w:cs="Guttman Rashi" w:hint="eastAsia"/>
          <w:rtl/>
          <w:lang w:bidi="he-IL"/>
        </w:rPr>
        <w:t>הספק</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זבחים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במקום</w:t>
      </w:r>
      <w:r w:rsidRPr="00400C0B">
        <w:rPr>
          <w:rFonts w:cs="Guttman Rashi"/>
          <w:rtl/>
          <w:lang w:bidi="he-IL"/>
        </w:rPr>
        <w:t xml:space="preserve"> </w:t>
      </w:r>
      <w:r w:rsidRPr="00400C0B">
        <w:rPr>
          <w:rFonts w:cs="Guttman Rashi" w:hint="eastAsia"/>
          <w:rtl/>
          <w:lang w:bidi="he-IL"/>
        </w:rPr>
        <w:t>הרוטב</w:t>
      </w:r>
      <w:r w:rsidRPr="00400C0B">
        <w:rPr>
          <w:rFonts w:cs="Guttman Rashi"/>
          <w:rtl/>
          <w:lang w:bidi="he-IL"/>
        </w:rPr>
        <w:t xml:space="preserve">, </w:t>
      </w:r>
      <w:r w:rsidRPr="00400C0B">
        <w:rPr>
          <w:rFonts w:cs="Guttman Rashi" w:hint="eastAsia"/>
          <w:rtl/>
          <w:lang w:bidi="he-IL"/>
        </w:rPr>
        <w:t>דאז</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שהחלק</w:t>
      </w:r>
      <w:r w:rsidRPr="00400C0B">
        <w:rPr>
          <w:rFonts w:cs="Guttman Rashi"/>
          <w:rtl/>
          <w:lang w:bidi="he-IL"/>
        </w:rPr>
        <w:t xml:space="preserve"> </w:t>
      </w:r>
      <w:r w:rsidRPr="00400C0B">
        <w:rPr>
          <w:rFonts w:cs="Guttman Rashi" w:hint="eastAsia"/>
          <w:rtl/>
          <w:lang w:bidi="he-IL"/>
        </w:rPr>
        <w:t>שמונח</w:t>
      </w:r>
      <w:r w:rsidRPr="00400C0B">
        <w:rPr>
          <w:rFonts w:cs="Guttman Rashi"/>
          <w:rtl/>
          <w:lang w:bidi="he-IL"/>
        </w:rPr>
        <w:t xml:space="preserve"> </w:t>
      </w:r>
      <w:r w:rsidRPr="00400C0B">
        <w:rPr>
          <w:rFonts w:cs="Guttman Rashi" w:hint="eastAsia"/>
          <w:rtl/>
          <w:lang w:bidi="he-IL"/>
        </w:rPr>
        <w:t>ברוטב</w:t>
      </w:r>
      <w:r w:rsidRPr="00400C0B">
        <w:rPr>
          <w:rFonts w:cs="Guttman Rashi"/>
          <w:rtl/>
          <w:lang w:bidi="he-IL"/>
        </w:rPr>
        <w:t xml:space="preserve"> </w:t>
      </w:r>
      <w:r w:rsidRPr="00400C0B">
        <w:rPr>
          <w:rFonts w:cs="Guttman Rashi" w:hint="eastAsia"/>
          <w:rtl/>
          <w:lang w:bidi="he-IL"/>
        </w:rPr>
        <w:t>מפעפע</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מחוץ</w:t>
      </w:r>
      <w:r w:rsidRPr="00400C0B">
        <w:rPr>
          <w:rFonts w:cs="Guttman Rashi"/>
          <w:rtl/>
          <w:lang w:bidi="he-IL"/>
        </w:rPr>
        <w:t xml:space="preserve"> </w:t>
      </w:r>
      <w:r w:rsidRPr="00400C0B">
        <w:rPr>
          <w:rFonts w:cs="Guttman Rashi" w:hint="eastAsia"/>
          <w:rtl/>
          <w:lang w:bidi="he-IL"/>
        </w:rPr>
        <w:t>לרוטב</w:t>
      </w:r>
      <w:r w:rsidRPr="00400C0B">
        <w:rPr>
          <w:rFonts w:cs="Guttman Rashi"/>
          <w:rtl/>
          <w:lang w:bidi="he-IL"/>
        </w:rPr>
        <w:t xml:space="preserve"> </w:t>
      </w:r>
      <w:r w:rsidRPr="00400C0B">
        <w:rPr>
          <w:rFonts w:cs="Guttman Rashi" w:hint="eastAsia"/>
          <w:rtl/>
          <w:lang w:bidi="he-IL"/>
        </w:rPr>
        <w:t>מבפנים</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הבל</w:t>
      </w:r>
      <w:r w:rsidRPr="00400C0B">
        <w:rPr>
          <w:rFonts w:cs="Guttman Rashi"/>
          <w:rtl/>
          <w:lang w:bidi="he-IL"/>
        </w:rPr>
        <w:t xml:space="preserve"> </w:t>
      </w:r>
      <w:r w:rsidRPr="00400C0B">
        <w:rPr>
          <w:rFonts w:cs="Guttman Rashi" w:hint="eastAsia"/>
          <w:rtl/>
          <w:lang w:bidi="he-IL"/>
        </w:rPr>
        <w:t>הקדירה</w:t>
      </w:r>
      <w:r w:rsidRPr="00400C0B">
        <w:rPr>
          <w:rFonts w:cs="Guttman Rashi"/>
          <w:rtl/>
          <w:lang w:bidi="he-IL"/>
        </w:rPr>
        <w:t xml:space="preserve"> </w:t>
      </w:r>
      <w:r w:rsidRPr="00400C0B">
        <w:rPr>
          <w:rFonts w:cs="Guttman Rashi" w:hint="eastAsia"/>
          <w:rtl/>
          <w:lang w:bidi="he-IL"/>
        </w:rPr>
        <w:t>וכנ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מחוץ</w:t>
      </w:r>
      <w:r w:rsidRPr="00400C0B">
        <w:rPr>
          <w:rFonts w:cs="Guttman Rashi"/>
          <w:rtl/>
          <w:lang w:bidi="he-IL"/>
        </w:rPr>
        <w:t xml:space="preserve"> </w:t>
      </w:r>
      <w:r w:rsidRPr="00400C0B">
        <w:rPr>
          <w:rFonts w:cs="Guttman Rashi" w:hint="eastAsia"/>
          <w:rtl/>
          <w:lang w:bidi="he-IL"/>
        </w:rPr>
        <w:t>לקדרה</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מובן</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שיהא</w:t>
      </w:r>
      <w:r w:rsidRPr="00400C0B">
        <w:rPr>
          <w:rFonts w:cs="Guttman Rashi"/>
          <w:rtl/>
          <w:lang w:bidi="he-IL"/>
        </w:rPr>
        <w:t xml:space="preserve"> </w:t>
      </w:r>
      <w:r w:rsidRPr="00400C0B">
        <w:rPr>
          <w:rFonts w:cs="Guttman Rashi" w:hint="eastAsia"/>
          <w:rtl/>
          <w:lang w:bidi="he-IL"/>
        </w:rPr>
        <w:t>מפעפע</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משאר</w:t>
      </w:r>
      <w:r w:rsidRPr="00400C0B">
        <w:rPr>
          <w:rFonts w:cs="Guttman Rashi"/>
          <w:rtl/>
          <w:lang w:bidi="he-IL"/>
        </w:rPr>
        <w:t xml:space="preserve"> </w:t>
      </w:r>
      <w:r w:rsidRPr="00400C0B">
        <w:rPr>
          <w:rFonts w:cs="Guttman Rashi" w:hint="eastAsia"/>
          <w:rtl/>
          <w:lang w:bidi="he-IL"/>
        </w:rPr>
        <w:t>צלי</w:t>
      </w:r>
      <w:r w:rsidRPr="00400C0B">
        <w:rPr>
          <w:rFonts w:cs="Guttman Rashi"/>
          <w:rtl/>
          <w:lang w:bidi="he-IL"/>
        </w:rPr>
        <w:t xml:space="preserve">. </w:t>
      </w:r>
      <w:r w:rsidRPr="00400C0B">
        <w:rPr>
          <w:rFonts w:cs="Guttman Rashi" w:hint="eastAsia"/>
          <w:rtl/>
          <w:lang w:bidi="he-IL"/>
        </w:rPr>
        <w:t>ויתכן</w:t>
      </w:r>
      <w:r w:rsidRPr="00400C0B">
        <w:rPr>
          <w:rFonts w:cs="Guttman Rashi"/>
          <w:rtl/>
          <w:lang w:bidi="he-IL"/>
        </w:rPr>
        <w:t xml:space="preserve"> </w:t>
      </w:r>
      <w:r w:rsidRPr="00400C0B">
        <w:rPr>
          <w:rFonts w:cs="Guttman Rashi" w:hint="eastAsia"/>
          <w:rtl/>
          <w:lang w:bidi="he-IL"/>
        </w:rPr>
        <w:t>שלשיטת</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נפל</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הרוטב</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דינו</w:t>
      </w:r>
      <w:r w:rsidRPr="00400C0B">
        <w:rPr>
          <w:rFonts w:cs="Guttman Rashi"/>
          <w:rtl/>
          <w:lang w:bidi="he-IL"/>
        </w:rPr>
        <w:t xml:space="preserve"> </w:t>
      </w:r>
      <w:r w:rsidRPr="00400C0B">
        <w:rPr>
          <w:rFonts w:cs="Guttman Rashi" w:hint="eastAsia"/>
          <w:rtl/>
          <w:lang w:bidi="he-IL"/>
        </w:rPr>
        <w:t>כמבושל</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בסמוך</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ודדאי</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מועיל</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הרוטב</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ועדיין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w:t>
      </w:r>
    </w:p>
  </w:footnote>
  <w:footnote w:id="26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שהבאנו</w:t>
      </w:r>
      <w:r w:rsidRPr="00400C0B">
        <w:rPr>
          <w:rFonts w:cs="Guttman Rashi"/>
          <w:rtl/>
          <w:lang w:bidi="he-IL"/>
        </w:rPr>
        <w:t xml:space="preserve"> </w:t>
      </w:r>
      <w:r w:rsidRPr="00400C0B">
        <w:rPr>
          <w:rFonts w:cs="Guttman Rashi" w:hint="eastAsia"/>
          <w:rtl/>
          <w:lang w:bidi="he-IL"/>
        </w:rPr>
        <w:t>שיטה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בקיצור</w:t>
      </w:r>
      <w:r w:rsidRPr="00400C0B">
        <w:rPr>
          <w:rFonts w:cs="Guttman Rashi"/>
          <w:rtl/>
          <w:lang w:bidi="he-IL"/>
        </w:rPr>
        <w:t>.</w:t>
      </w:r>
    </w:p>
  </w:footnote>
  <w:footnote w:id="26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סוף</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שהבאנו</w:t>
      </w:r>
      <w:r w:rsidRPr="00400C0B">
        <w:rPr>
          <w:rFonts w:cs="Guttman Rashi"/>
          <w:rtl/>
          <w:lang w:bidi="he-IL"/>
        </w:rPr>
        <w:t xml:space="preserve"> </w:t>
      </w:r>
      <w:r w:rsidRPr="00400C0B">
        <w:rPr>
          <w:rFonts w:cs="Guttman Rashi" w:hint="eastAsia"/>
          <w:rtl/>
          <w:lang w:bidi="he-IL"/>
        </w:rPr>
        <w:t>לדייק</w:t>
      </w:r>
      <w:r w:rsidRPr="00400C0B">
        <w:rPr>
          <w:rFonts w:cs="Guttman Rashi"/>
          <w:rtl/>
          <w:lang w:bidi="he-IL"/>
        </w:rPr>
        <w:t xml:space="preserve"> </w:t>
      </w:r>
      <w:r w:rsidRPr="00400C0B">
        <w:rPr>
          <w:rFonts w:cs="Guttman Rashi" w:hint="eastAsia"/>
          <w:rtl/>
          <w:lang w:bidi="he-IL"/>
        </w:rPr>
        <w:t>ממקום</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שהראב</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כיראים</w:t>
      </w:r>
      <w:r w:rsidRPr="00400C0B">
        <w:rPr>
          <w:rFonts w:cs="Guttman Rashi"/>
          <w:rtl/>
          <w:lang w:bidi="he-IL"/>
        </w:rPr>
        <w:t xml:space="preserve"> </w:t>
      </w:r>
      <w:r w:rsidRPr="00400C0B">
        <w:rPr>
          <w:rFonts w:cs="Guttman Rashi" w:hint="eastAsia"/>
          <w:rtl/>
          <w:lang w:bidi="he-IL"/>
        </w:rPr>
        <w:t>בגדר</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איסורים</w:t>
      </w:r>
      <w:r w:rsidRPr="00400C0B">
        <w:rPr>
          <w:rFonts w:cs="Guttman Rashi"/>
          <w:rtl/>
          <w:lang w:bidi="he-IL"/>
        </w:rPr>
        <w:t>.</w:t>
      </w:r>
    </w:p>
  </w:footnote>
  <w:footnote w:id="26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ט</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מתנגד</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שראינו</w:t>
      </w:r>
      <w:r w:rsidRPr="00400C0B">
        <w:rPr>
          <w:rFonts w:cs="Guttman Rashi"/>
          <w:rtl/>
          <w:lang w:bidi="he-IL"/>
        </w:rPr>
        <w:t xml:space="preserve"> </w:t>
      </w:r>
      <w:r w:rsidRPr="00400C0B">
        <w:rPr>
          <w:rFonts w:cs="Guttman Rashi" w:hint="eastAsia"/>
          <w:rtl/>
          <w:lang w:bidi="he-IL"/>
        </w:rPr>
        <w:t>בתחילת</w:t>
      </w:r>
      <w:r w:rsidRPr="00400C0B">
        <w:rPr>
          <w:rFonts w:cs="Guttman Rashi"/>
          <w:rtl/>
          <w:lang w:bidi="he-IL"/>
        </w:rPr>
        <w:t xml:space="preserve"> </w:t>
      </w:r>
      <w:r w:rsidRPr="00400C0B">
        <w:rPr>
          <w:rFonts w:cs="Guttman Rashi" w:hint="eastAsia"/>
          <w:rtl/>
          <w:lang w:bidi="he-IL"/>
        </w:rPr>
        <w:t>הסימן</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נפל</w:t>
      </w:r>
      <w:r w:rsidRPr="00400C0B">
        <w:rPr>
          <w:rFonts w:cs="Guttman Rashi"/>
          <w:rtl/>
          <w:lang w:bidi="he-IL"/>
        </w:rPr>
        <w:t xml:space="preserve"> </w:t>
      </w:r>
      <w:r w:rsidRPr="00400C0B">
        <w:rPr>
          <w:rFonts w:cs="Guttman Rashi" w:hint="eastAsia"/>
          <w:rtl/>
          <w:lang w:bidi="he-IL"/>
        </w:rPr>
        <w:t>חתיכת</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לתוך</w:t>
      </w:r>
      <w:r w:rsidRPr="00400C0B">
        <w:rPr>
          <w:rFonts w:cs="Guttman Rashi"/>
          <w:rtl/>
          <w:lang w:bidi="he-IL"/>
        </w:rPr>
        <w:t xml:space="preserve"> </w:t>
      </w:r>
      <w:r w:rsidRPr="00400C0B">
        <w:rPr>
          <w:rFonts w:cs="Guttman Rashi" w:hint="eastAsia"/>
          <w:rtl/>
          <w:lang w:bidi="he-IL"/>
        </w:rPr>
        <w:t>יורה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הבשר</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מאה</w:t>
      </w:r>
      <w:r w:rsidRPr="00400C0B">
        <w:rPr>
          <w:rFonts w:cs="Guttman Rashi"/>
          <w:rtl/>
          <w:lang w:bidi="he-IL"/>
        </w:rPr>
        <w:t xml:space="preserve"> </w:t>
      </w:r>
      <w:r w:rsidRPr="00400C0B">
        <w:rPr>
          <w:rFonts w:cs="Guttman Rashi" w:hint="eastAsia"/>
          <w:rtl/>
          <w:lang w:bidi="he-IL"/>
        </w:rPr>
        <w:t>ועשרים</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הבשר</w:t>
      </w:r>
      <w:r w:rsidRPr="00400C0B">
        <w:rPr>
          <w:rFonts w:cs="Guttman Rashi"/>
          <w:rtl/>
          <w:lang w:bidi="he-IL"/>
        </w:rPr>
        <w:t xml:space="preserve"> </w:t>
      </w:r>
      <w:r w:rsidRPr="00400C0B">
        <w:rPr>
          <w:rFonts w:cs="Guttman Rashi" w:hint="eastAsia"/>
          <w:rtl/>
          <w:lang w:bidi="he-IL"/>
        </w:rPr>
        <w:t>והחלב</w:t>
      </w:r>
      <w:r w:rsidRPr="00400C0B">
        <w:rPr>
          <w:rFonts w:cs="Guttman Rashi"/>
          <w:rtl/>
          <w:lang w:bidi="he-IL"/>
        </w:rPr>
        <w:t xml:space="preserve"> </w:t>
      </w:r>
      <w:r w:rsidRPr="00400C0B">
        <w:rPr>
          <w:rFonts w:cs="Guttman Rashi" w:hint="eastAsia"/>
          <w:rtl/>
          <w:lang w:bidi="he-IL"/>
        </w:rPr>
        <w:t>נבילה</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והש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בסי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ביאר</w:t>
      </w:r>
      <w:r w:rsidRPr="00400C0B">
        <w:rPr>
          <w:rFonts w:cs="Guttman Rashi"/>
          <w:rtl/>
          <w:lang w:bidi="he-IL"/>
        </w:rPr>
        <w:t xml:space="preserve"> </w:t>
      </w:r>
      <w:r w:rsidRPr="00400C0B">
        <w:rPr>
          <w:rFonts w:cs="Guttman Rashi" w:hint="eastAsia"/>
          <w:rtl/>
          <w:lang w:bidi="he-IL"/>
        </w:rPr>
        <w:t>שהטעם</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שאיסורים</w:t>
      </w:r>
      <w:r w:rsidRPr="00400C0B">
        <w:rPr>
          <w:rFonts w:cs="Guttman Rashi"/>
          <w:rtl/>
          <w:lang w:bidi="he-IL"/>
        </w:rPr>
        <w:t xml:space="preserve"> </w:t>
      </w:r>
      <w:r w:rsidRPr="00400C0B">
        <w:rPr>
          <w:rFonts w:cs="Guttman Rashi" w:hint="eastAsia"/>
          <w:rtl/>
          <w:lang w:bidi="he-IL"/>
        </w:rPr>
        <w:t>מבטלין</w:t>
      </w:r>
      <w:r w:rsidRPr="00400C0B">
        <w:rPr>
          <w:rFonts w:cs="Guttman Rashi"/>
          <w:rtl/>
          <w:lang w:bidi="he-IL"/>
        </w:rPr>
        <w:t xml:space="preserve"> </w:t>
      </w:r>
      <w:r w:rsidRPr="00400C0B">
        <w:rPr>
          <w:rFonts w:cs="Guttman Rashi" w:hint="eastAsia"/>
          <w:rtl/>
          <w:lang w:bidi="he-IL"/>
        </w:rPr>
        <w:t>זא</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צע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שהשיעור</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מדויק</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בהגהות</w:t>
      </w:r>
      <w:r w:rsidRPr="00400C0B">
        <w:rPr>
          <w:rFonts w:cs="Guttman Rashi"/>
          <w:rtl/>
          <w:lang w:bidi="he-IL"/>
        </w:rPr>
        <w:t xml:space="preserve"> </w:t>
      </w:r>
      <w:r w:rsidRPr="00400C0B">
        <w:rPr>
          <w:rFonts w:cs="Guttman Rashi" w:hint="eastAsia"/>
          <w:rtl/>
          <w:lang w:bidi="he-IL"/>
        </w:rPr>
        <w:t>אמרי</w:t>
      </w:r>
      <w:r w:rsidRPr="00400C0B">
        <w:rPr>
          <w:rFonts w:cs="Guttman Rashi"/>
          <w:rtl/>
          <w:lang w:bidi="he-IL"/>
        </w:rPr>
        <w:t xml:space="preserve"> </w:t>
      </w:r>
      <w:r w:rsidRPr="00400C0B">
        <w:rPr>
          <w:rFonts w:cs="Guttman Rashi" w:hint="eastAsia"/>
          <w:rtl/>
          <w:lang w:bidi="he-IL"/>
        </w:rPr>
        <w:t>ברוך</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דמ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שיעורו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בצדק</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נפל</w:t>
      </w:r>
      <w:r w:rsidRPr="00400C0B">
        <w:rPr>
          <w:rFonts w:cs="Guttman Rashi"/>
          <w:rtl/>
          <w:lang w:bidi="he-IL"/>
        </w:rPr>
        <w:t xml:space="preserve"> </w:t>
      </w:r>
      <w:r w:rsidRPr="00400C0B">
        <w:rPr>
          <w:rFonts w:cs="Guttman Rashi" w:hint="eastAsia"/>
          <w:rtl/>
          <w:lang w:bidi="he-IL"/>
        </w:rPr>
        <w:t>טיפת</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קדירה</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מינו</w:t>
      </w:r>
      <w:r w:rsidRPr="00400C0B">
        <w:rPr>
          <w:rFonts w:cs="Guttman Rashi"/>
          <w:rtl/>
          <w:lang w:bidi="he-IL"/>
        </w:rPr>
        <w:t xml:space="preserve"> </w:t>
      </w:r>
      <w:r w:rsidRPr="00400C0B">
        <w:rPr>
          <w:rFonts w:cs="Guttman Rashi" w:hint="eastAsia"/>
          <w:rtl/>
          <w:lang w:bidi="he-IL"/>
        </w:rPr>
        <w:t>דהיתירא</w:t>
      </w:r>
      <w:r w:rsidRPr="00400C0B">
        <w:rPr>
          <w:rFonts w:cs="Guttman Rashi"/>
          <w:rtl/>
          <w:lang w:bidi="he-IL"/>
        </w:rPr>
        <w:t xml:space="preserve">, </w:t>
      </w:r>
      <w:r w:rsidRPr="00400C0B">
        <w:rPr>
          <w:rFonts w:cs="Guttman Rashi" w:hint="eastAsia"/>
          <w:rtl/>
          <w:lang w:bidi="he-IL"/>
        </w:rPr>
        <w:t>שבכה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הבליעות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נע</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איסורים</w:t>
      </w:r>
      <w:r w:rsidRPr="00400C0B">
        <w:rPr>
          <w:rFonts w:cs="Guttman Rashi"/>
          <w:rtl/>
          <w:lang w:bidi="he-IL"/>
        </w:rPr>
        <w:t xml:space="preserve"> </w:t>
      </w:r>
      <w:r w:rsidRPr="00400C0B">
        <w:rPr>
          <w:rFonts w:cs="Guttman Rashi" w:hint="eastAsia"/>
          <w:rtl/>
          <w:lang w:bidi="he-IL"/>
        </w:rPr>
        <w:t>מבטלין</w:t>
      </w:r>
      <w:r w:rsidRPr="00400C0B">
        <w:rPr>
          <w:rFonts w:cs="Guttman Rashi"/>
          <w:rtl/>
          <w:lang w:bidi="he-IL"/>
        </w:rPr>
        <w:t xml:space="preserve"> </w:t>
      </w:r>
      <w:r w:rsidRPr="00400C0B">
        <w:rPr>
          <w:rFonts w:cs="Guttman Rashi" w:hint="eastAsia"/>
          <w:rtl/>
          <w:lang w:bidi="he-IL"/>
        </w:rPr>
        <w:t>זא</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ואותו</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ועוד</w:t>
      </w:r>
      <w:r w:rsidRPr="00400C0B">
        <w:rPr>
          <w:rFonts w:cs="Guttman Rashi"/>
          <w:rtl/>
          <w:lang w:bidi="he-IL"/>
        </w:rPr>
        <w:t xml:space="preserve"> </w:t>
      </w:r>
      <w:r w:rsidRPr="00400C0B">
        <w:rPr>
          <w:rFonts w:cs="Guttman Rashi" w:hint="eastAsia"/>
          <w:rtl/>
          <w:lang w:bidi="he-IL"/>
        </w:rPr>
        <w:t>העיר</w:t>
      </w:r>
      <w:r w:rsidRPr="00400C0B">
        <w:rPr>
          <w:rFonts w:cs="Guttman Rashi"/>
          <w:rtl/>
          <w:lang w:bidi="he-IL"/>
        </w:rPr>
        <w:t xml:space="preserve"> </w:t>
      </w:r>
      <w:r w:rsidRPr="00400C0B">
        <w:rPr>
          <w:rFonts w:cs="Guttman Rashi" w:hint="eastAsia"/>
          <w:rtl/>
          <w:lang w:bidi="he-IL"/>
        </w:rPr>
        <w:t>שמ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די</w:t>
      </w:r>
      <w:r w:rsidRPr="00400C0B">
        <w:rPr>
          <w:rFonts w:cs="Guttman Rashi"/>
          <w:rtl/>
          <w:lang w:bidi="he-IL"/>
        </w:rPr>
        <w:t xml:space="preserve"> </w:t>
      </w:r>
      <w:r w:rsidRPr="00400C0B">
        <w:rPr>
          <w:rFonts w:cs="Guttman Rashi" w:hint="eastAsia"/>
          <w:rtl/>
          <w:lang w:bidi="he-IL"/>
        </w:rPr>
        <w:t>בששים</w:t>
      </w:r>
      <w:r w:rsidRPr="00400C0B">
        <w:rPr>
          <w:rFonts w:cs="Guttman Rashi"/>
          <w:rtl/>
          <w:lang w:bidi="he-IL"/>
        </w:rPr>
        <w:t xml:space="preserve"> </w:t>
      </w:r>
      <w:r w:rsidRPr="00400C0B">
        <w:rPr>
          <w:rFonts w:cs="Guttman Rashi" w:hint="eastAsia"/>
          <w:rtl/>
          <w:lang w:bidi="he-IL"/>
        </w:rPr>
        <w:t>פעמים</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חסר</w:t>
      </w:r>
      <w:r w:rsidRPr="00400C0B">
        <w:rPr>
          <w:rFonts w:cs="Guttman Rashi"/>
          <w:rtl/>
          <w:lang w:bidi="he-IL"/>
        </w:rPr>
        <w:t xml:space="preserve"> </w:t>
      </w:r>
      <w:r w:rsidRPr="00400C0B">
        <w:rPr>
          <w:rFonts w:cs="Guttman Rashi" w:hint="eastAsia"/>
          <w:rtl/>
          <w:lang w:bidi="he-IL"/>
        </w:rPr>
        <w:t>מעט</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החוו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שבמעט</w:t>
      </w:r>
      <w:r w:rsidRPr="00400C0B">
        <w:rPr>
          <w:rFonts w:cs="Guttman Rashi"/>
          <w:rtl/>
          <w:lang w:bidi="he-IL"/>
        </w:rPr>
        <w:t xml:space="preserve"> </w:t>
      </w:r>
      <w:r w:rsidRPr="00400C0B">
        <w:rPr>
          <w:rFonts w:cs="Guttman Rashi" w:hint="eastAsia"/>
          <w:rtl/>
          <w:lang w:bidi="he-IL"/>
        </w:rPr>
        <w:t>בלבד</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דק</w:t>
      </w:r>
      <w:r w:rsidRPr="00400C0B">
        <w:rPr>
          <w:rFonts w:cs="Guttman Rashi"/>
          <w:rtl/>
          <w:lang w:bidi="he-IL"/>
        </w:rPr>
        <w:t xml:space="preserve">. </w:t>
      </w:r>
    </w:p>
  </w:footnote>
  <w:footnote w:id="26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דקדק</w:t>
      </w:r>
      <w:r w:rsidRPr="00400C0B">
        <w:rPr>
          <w:rFonts w:cs="Guttman Rashi"/>
          <w:rtl/>
          <w:lang w:bidi="he-IL"/>
        </w:rPr>
        <w:t xml:space="preserve"> </w:t>
      </w:r>
      <w:r w:rsidRPr="00400C0B">
        <w:rPr>
          <w:rFonts w:cs="Guttman Rashi" w:hint="eastAsia"/>
          <w:rtl/>
          <w:lang w:bidi="he-IL"/>
        </w:rPr>
        <w:t>הב</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בדבריו</w:t>
      </w:r>
      <w:r w:rsidRPr="00400C0B">
        <w:rPr>
          <w:rFonts w:cs="Guttman Rashi"/>
          <w:rtl/>
          <w:lang w:bidi="he-IL"/>
        </w:rPr>
        <w:t xml:space="preserve"> (</w:t>
      </w:r>
      <w:r w:rsidRPr="00400C0B">
        <w:rPr>
          <w:rFonts w:cs="Guttman Rashi" w:hint="eastAsia"/>
          <w:rtl/>
          <w:lang w:bidi="he-IL"/>
        </w:rPr>
        <w:t>בהמשך</w:t>
      </w:r>
      <w:r w:rsidRPr="00400C0B">
        <w:rPr>
          <w:rFonts w:cs="Guttman Rashi"/>
          <w:rtl/>
          <w:lang w:bidi="he-IL"/>
        </w:rPr>
        <w:t xml:space="preserve"> </w:t>
      </w:r>
      <w:r w:rsidRPr="00400C0B">
        <w:rPr>
          <w:rFonts w:cs="Guttman Rashi" w:hint="eastAsia"/>
          <w:rtl/>
          <w:lang w:bidi="he-IL"/>
        </w:rPr>
        <w:t>בביאורו</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הסמ</w:t>
      </w:r>
      <w:r w:rsidRPr="00400C0B">
        <w:rPr>
          <w:rFonts w:cs="Guttman Rashi"/>
          <w:rtl/>
          <w:lang w:bidi="he-IL"/>
        </w:rPr>
        <w:t>"</w:t>
      </w:r>
      <w:r w:rsidRPr="00400C0B">
        <w:rPr>
          <w:rFonts w:cs="Guttman Rashi" w:hint="eastAsia"/>
          <w:rtl/>
          <w:lang w:bidi="he-IL"/>
        </w:rPr>
        <w:t>ק</w:t>
      </w:r>
      <w:r w:rsidRPr="00400C0B">
        <w:rPr>
          <w:rFonts w:cs="Guttman Rashi"/>
          <w:rtl/>
          <w:lang w:bidi="he-IL"/>
        </w:rPr>
        <w:t>)</w:t>
      </w:r>
    </w:p>
  </w:footnote>
  <w:footnote w:id="26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ז</w:t>
      </w:r>
    </w:p>
  </w:footnote>
  <w:footnote w:id="26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מהט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רסי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הכי</w:t>
      </w:r>
      <w:r w:rsidRPr="00400C0B">
        <w:rPr>
          <w:rFonts w:cs="Guttman Rashi"/>
          <w:rtl/>
          <w:lang w:bidi="he-IL"/>
        </w:rPr>
        <w:t xml:space="preserve"> </w:t>
      </w:r>
      <w:r w:rsidRPr="00400C0B">
        <w:rPr>
          <w:rFonts w:cs="Guttman Rashi" w:hint="eastAsia"/>
          <w:rtl/>
          <w:lang w:bidi="he-IL"/>
        </w:rPr>
        <w:t>בדין</w:t>
      </w:r>
      <w:r w:rsidRPr="00400C0B">
        <w:rPr>
          <w:rFonts w:cs="Guttman Rashi"/>
          <w:rtl/>
          <w:lang w:bidi="he-IL"/>
        </w:rPr>
        <w:t xml:space="preserve"> </w:t>
      </w:r>
      <w:r w:rsidRPr="00400C0B">
        <w:rPr>
          <w:rFonts w:cs="Guttman Rashi" w:hint="eastAsia"/>
          <w:rtl/>
          <w:lang w:bidi="he-IL"/>
        </w:rPr>
        <w:t>שבירה</w:t>
      </w:r>
      <w:r w:rsidRPr="00400C0B">
        <w:rPr>
          <w:rFonts w:cs="Guttman Rashi"/>
          <w:rtl/>
          <w:lang w:bidi="he-IL"/>
        </w:rPr>
        <w:t xml:space="preserve"> </w:t>
      </w:r>
      <w:r w:rsidRPr="00400C0B">
        <w:rPr>
          <w:rFonts w:cs="Guttman Rashi" w:hint="eastAsia"/>
          <w:rtl/>
          <w:lang w:bidi="he-IL"/>
        </w:rPr>
        <w:t>דכלי</w:t>
      </w:r>
      <w:r w:rsidRPr="00400C0B">
        <w:rPr>
          <w:rFonts w:cs="Guttman Rashi"/>
          <w:rtl/>
          <w:lang w:bidi="he-IL"/>
        </w:rPr>
        <w:t xml:space="preserve"> </w:t>
      </w:r>
      <w:r w:rsidRPr="00400C0B">
        <w:rPr>
          <w:rFonts w:cs="Guttman Rashi" w:hint="eastAsia"/>
          <w:rtl/>
          <w:lang w:bidi="he-IL"/>
        </w:rPr>
        <w:t>חרס</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בקדשים</w:t>
      </w:r>
      <w:r w:rsidRPr="00400C0B">
        <w:rPr>
          <w:rFonts w:cs="Guttman Rashi"/>
          <w:rtl/>
          <w:lang w:bidi="he-IL"/>
        </w:rPr>
        <w:t>.</w:t>
      </w:r>
    </w:p>
  </w:footnote>
  <w:footnote w:id="26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ובענין</w:t>
      </w:r>
      <w:r w:rsidRPr="00400C0B">
        <w:rPr>
          <w:rFonts w:cs="Guttman Rashi"/>
          <w:rtl/>
          <w:lang w:bidi="he-IL"/>
        </w:rPr>
        <w:t xml:space="preserve"> </w:t>
      </w:r>
      <w:r w:rsidRPr="00400C0B">
        <w:rPr>
          <w:rFonts w:cs="Guttman Rashi" w:hint="eastAsia"/>
          <w:rtl/>
          <w:lang w:bidi="he-IL"/>
        </w:rPr>
        <w:t>שנשרף</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Ref487555778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536</w:t>
      </w:r>
      <w:r w:rsidRPr="00400C0B">
        <w:rPr>
          <w:rFonts w:cs="Guttman Rashi"/>
          <w:rtl/>
          <w:lang w:bidi="he-IL"/>
        </w:rPr>
        <w:fldChar w:fldCharType="end"/>
      </w:r>
      <w:r w:rsidRPr="00400C0B">
        <w:rPr>
          <w:rFonts w:cs="Guttman Rashi"/>
          <w:rtl/>
          <w:lang w:bidi="he-IL"/>
        </w:rPr>
        <w:t>.</w:t>
      </w:r>
    </w:p>
  </w:footnote>
  <w:footnote w:id="27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ובמש</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התקשה</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שדקדק</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מאו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הביא</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המפורשים</w:t>
      </w:r>
      <w:r w:rsidRPr="00400C0B">
        <w:rPr>
          <w:rFonts w:cs="Guttman Rashi"/>
          <w:rtl/>
          <w:lang w:bidi="he-IL"/>
        </w:rPr>
        <w:t xml:space="preserve"> </w:t>
      </w:r>
      <w:r w:rsidRPr="00400C0B">
        <w:rPr>
          <w:rFonts w:cs="Guttman Rashi" w:hint="eastAsia"/>
          <w:rtl/>
          <w:lang w:bidi="he-IL"/>
        </w:rPr>
        <w:t>בסע</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שהי</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לחלק</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דשם</w:t>
      </w:r>
      <w:r w:rsidRPr="00400C0B">
        <w:rPr>
          <w:rFonts w:cs="Guttman Rashi"/>
          <w:rtl/>
          <w:lang w:bidi="he-IL"/>
        </w:rPr>
        <w:t xml:space="preserve"> </w:t>
      </w:r>
      <w:r w:rsidRPr="00400C0B">
        <w:rPr>
          <w:rFonts w:cs="Guttman Rashi" w:hint="eastAsia"/>
          <w:rtl/>
          <w:lang w:bidi="he-IL"/>
        </w:rPr>
        <w:t>נפל</w:t>
      </w:r>
      <w:r w:rsidRPr="00400C0B">
        <w:rPr>
          <w:rFonts w:cs="Guttman Rashi"/>
          <w:rtl/>
          <w:lang w:bidi="he-IL"/>
        </w:rPr>
        <w:t xml:space="preserve"> </w:t>
      </w:r>
      <w:r w:rsidRPr="00400C0B">
        <w:rPr>
          <w:rFonts w:cs="Guttman Rashi" w:hint="eastAsia"/>
          <w:rtl/>
          <w:lang w:bidi="he-IL"/>
        </w:rPr>
        <w:t>הרבה</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נגד</w:t>
      </w:r>
      <w:r w:rsidRPr="00400C0B">
        <w:rPr>
          <w:rFonts w:cs="Guttman Rashi"/>
          <w:rtl/>
          <w:lang w:bidi="he-IL"/>
        </w:rPr>
        <w:t xml:space="preserve"> </w:t>
      </w:r>
      <w:r w:rsidRPr="00400C0B">
        <w:rPr>
          <w:rFonts w:cs="Guttman Rashi" w:hint="eastAsia"/>
          <w:rtl/>
          <w:lang w:bidi="he-IL"/>
        </w:rPr>
        <w:t>האש</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שפיר</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בטיפה</w:t>
      </w:r>
      <w:r w:rsidRPr="00400C0B">
        <w:rPr>
          <w:rFonts w:cs="Guttman Rashi"/>
          <w:rtl/>
          <w:lang w:bidi="he-IL"/>
        </w:rPr>
        <w:t xml:space="preserve"> </w:t>
      </w:r>
      <w:r w:rsidRPr="00400C0B">
        <w:rPr>
          <w:rFonts w:cs="Guttman Rashi" w:hint="eastAsia"/>
          <w:rtl/>
          <w:lang w:bidi="he-IL"/>
        </w:rPr>
        <w:t>בלבד</w:t>
      </w:r>
      <w:r w:rsidRPr="00400C0B">
        <w:rPr>
          <w:rFonts w:cs="Guttman Rashi"/>
          <w:rtl/>
          <w:lang w:bidi="he-IL"/>
        </w:rPr>
        <w:t xml:space="preserve"> </w:t>
      </w:r>
      <w:r w:rsidRPr="00400C0B">
        <w:rPr>
          <w:rFonts w:cs="Guttman Rashi" w:hint="eastAsia"/>
          <w:rtl/>
          <w:lang w:bidi="he-IL"/>
        </w:rPr>
        <w:t>אולי</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להתיר</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הביא</w:t>
      </w:r>
      <w:r w:rsidRPr="00400C0B">
        <w:rPr>
          <w:rFonts w:cs="Guttman Rashi"/>
          <w:rtl/>
          <w:lang w:bidi="he-IL"/>
        </w:rPr>
        <w:t xml:space="preserve"> </w:t>
      </w:r>
      <w:r w:rsidRPr="00400C0B">
        <w:rPr>
          <w:rFonts w:cs="Guttman Rashi" w:hint="eastAsia"/>
          <w:rtl/>
          <w:lang w:bidi="he-IL"/>
        </w:rPr>
        <w:t>מאו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הקדרה</w:t>
      </w:r>
      <w:r w:rsidRPr="00400C0B">
        <w:rPr>
          <w:rFonts w:cs="Guttman Rashi"/>
          <w:rtl/>
          <w:lang w:bidi="he-IL"/>
        </w:rPr>
        <w:t xml:space="preserve"> </w:t>
      </w:r>
      <w:r w:rsidRPr="00400C0B">
        <w:rPr>
          <w:rFonts w:cs="Guttman Rashi" w:hint="eastAsia"/>
          <w:rtl/>
          <w:lang w:bidi="he-IL"/>
        </w:rPr>
        <w:t>בעיקר</w:t>
      </w:r>
      <w:r w:rsidRPr="00400C0B">
        <w:rPr>
          <w:rFonts w:cs="Guttman Rashi"/>
          <w:rtl/>
          <w:lang w:bidi="he-IL"/>
        </w:rPr>
        <w:t xml:space="preserve"> </w:t>
      </w:r>
      <w:r w:rsidRPr="00400C0B">
        <w:rPr>
          <w:rFonts w:cs="Guttman Rashi" w:hint="eastAsia"/>
          <w:rtl/>
          <w:lang w:bidi="he-IL"/>
        </w:rPr>
        <w:t>ההלכה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הרוטב</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בנפל</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האש</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p>
  </w:footnote>
  <w:footnote w:id="27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בבית</w:t>
      </w:r>
      <w:r w:rsidRPr="00400C0B">
        <w:rPr>
          <w:rFonts w:cs="Guttman Rashi"/>
          <w:rtl/>
          <w:lang w:bidi="he-IL"/>
        </w:rPr>
        <w:t xml:space="preserve"> </w:t>
      </w:r>
      <w:r w:rsidRPr="00400C0B">
        <w:rPr>
          <w:rFonts w:cs="Guttman Rashi" w:hint="eastAsia"/>
          <w:rtl/>
          <w:lang w:bidi="he-IL"/>
        </w:rPr>
        <w:t>מאיר</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רסי</w:t>
      </w:r>
      <w:r w:rsidRPr="00400C0B">
        <w:rPr>
          <w:rFonts w:cs="Guttman Rashi"/>
          <w:rtl/>
          <w:lang w:bidi="he-IL"/>
        </w:rPr>
        <w:t xml:space="preserve">' </w:t>
      </w:r>
      <w:r w:rsidRPr="00400C0B">
        <w:rPr>
          <w:rFonts w:cs="Guttman Rashi" w:hint="eastAsia"/>
          <w:rtl/>
          <w:lang w:bidi="he-IL"/>
        </w:rPr>
        <w:t>תס</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מודה</w:t>
      </w:r>
      <w:r w:rsidRPr="00400C0B">
        <w:rPr>
          <w:rFonts w:cs="Guttman Rashi"/>
          <w:rtl/>
          <w:lang w:bidi="he-IL"/>
        </w:rPr>
        <w:t xml:space="preserve"> </w:t>
      </w:r>
      <w:r w:rsidRPr="00400C0B">
        <w:rPr>
          <w:rFonts w:cs="Guttman Rashi" w:hint="eastAsia"/>
          <w:rtl/>
          <w:lang w:bidi="he-IL"/>
        </w:rPr>
        <w:t>במקצת</w:t>
      </w:r>
      <w:r w:rsidRPr="00400C0B">
        <w:rPr>
          <w:rFonts w:cs="Guttman Rashi"/>
          <w:rtl/>
          <w:lang w:bidi="he-IL"/>
        </w:rPr>
        <w:t xml:space="preserve"> </w:t>
      </w:r>
      <w:r w:rsidRPr="00400C0B">
        <w:rPr>
          <w:rFonts w:cs="Guttman Rashi" w:hint="eastAsia"/>
          <w:rtl/>
          <w:lang w:bidi="he-IL"/>
        </w:rPr>
        <w:t>ליד</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שאמנם</w:t>
      </w:r>
      <w:r w:rsidRPr="00400C0B">
        <w:rPr>
          <w:rFonts w:cs="Guttman Rashi"/>
          <w:rtl/>
          <w:lang w:bidi="he-IL"/>
        </w:rPr>
        <w:t xml:space="preserve"> </w:t>
      </w:r>
      <w:r w:rsidRPr="00400C0B">
        <w:rPr>
          <w:rFonts w:cs="Guttman Rashi" w:hint="eastAsia"/>
          <w:rtl/>
          <w:lang w:bidi="he-IL"/>
        </w:rPr>
        <w:t>ממאכל</w:t>
      </w:r>
      <w:r w:rsidRPr="00400C0B">
        <w:rPr>
          <w:rFonts w:cs="Guttman Rashi"/>
          <w:rtl/>
          <w:lang w:bidi="he-IL"/>
        </w:rPr>
        <w:t xml:space="preserve"> </w:t>
      </w:r>
      <w:r w:rsidRPr="00400C0B">
        <w:rPr>
          <w:rFonts w:cs="Guttman Rashi" w:hint="eastAsia"/>
          <w:rtl/>
          <w:lang w:bidi="he-IL"/>
        </w:rPr>
        <w:t>לח</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לחשוש</w:t>
      </w:r>
      <w:r w:rsidRPr="00400C0B">
        <w:rPr>
          <w:rFonts w:cs="Guttman Rashi"/>
          <w:rtl/>
          <w:lang w:bidi="he-IL"/>
        </w:rPr>
        <w:t xml:space="preserve"> </w:t>
      </w:r>
      <w:r w:rsidRPr="00400C0B">
        <w:rPr>
          <w:rFonts w:cs="Guttman Rashi" w:hint="eastAsia"/>
          <w:rtl/>
          <w:lang w:bidi="he-IL"/>
        </w:rPr>
        <w:t>לזיעה</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קרוב</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במאכל</w:t>
      </w:r>
      <w:r w:rsidRPr="00400C0B">
        <w:rPr>
          <w:rFonts w:cs="Guttman Rashi"/>
          <w:rtl/>
          <w:lang w:bidi="he-IL"/>
        </w:rPr>
        <w:t xml:space="preserve"> </w:t>
      </w:r>
      <w:r w:rsidRPr="00400C0B">
        <w:rPr>
          <w:rFonts w:cs="Guttman Rashi" w:hint="eastAsia"/>
          <w:rtl/>
          <w:lang w:bidi="he-IL"/>
        </w:rPr>
        <w:t>יבש</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חיישינן</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קמ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p>
  </w:footnote>
  <w:footnote w:id="27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שהארכנו</w:t>
      </w:r>
      <w:r w:rsidRPr="00400C0B">
        <w:rPr>
          <w:rFonts w:cs="Guttman Rashi"/>
          <w:rtl/>
          <w:lang w:bidi="he-IL"/>
        </w:rPr>
        <w:t xml:space="preserve"> </w:t>
      </w:r>
      <w:r w:rsidRPr="00400C0B">
        <w:rPr>
          <w:rFonts w:cs="Guttman Rashi" w:hint="eastAsia"/>
          <w:rtl/>
          <w:lang w:bidi="he-IL"/>
        </w:rPr>
        <w:t>בשיטתו</w:t>
      </w:r>
      <w:r w:rsidRPr="00400C0B">
        <w:rPr>
          <w:rFonts w:cs="Guttman Rashi"/>
          <w:rtl/>
          <w:lang w:bidi="he-IL"/>
        </w:rPr>
        <w:t>.</w:t>
      </w:r>
    </w:p>
  </w:footnote>
  <w:footnote w:id="27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קכ</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שהרחבנו</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בשיטת</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w:t>
      </w:r>
    </w:p>
  </w:footnote>
  <w:footnote w:id="27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וקל</w:t>
      </w:r>
      <w:r w:rsidRPr="00400C0B">
        <w:rPr>
          <w:rFonts w:cs="Guttman Rashi"/>
          <w:rtl/>
          <w:lang w:bidi="he-IL"/>
        </w:rPr>
        <w:t>"</w:t>
      </w:r>
      <w:r w:rsidRPr="00400C0B">
        <w:rPr>
          <w:rFonts w:cs="Guttman Rashi" w:hint="eastAsia"/>
          <w:rtl/>
          <w:lang w:bidi="he-IL"/>
        </w:rPr>
        <w:t>ח</w:t>
      </w:r>
      <w:r w:rsidRPr="00400C0B">
        <w:rPr>
          <w:rFonts w:cs="Guttman Rashi"/>
          <w:rtl/>
          <w:lang w:bidi="he-IL"/>
        </w:rPr>
        <w:t>.</w:t>
      </w:r>
    </w:p>
  </w:footnote>
  <w:footnote w:id="27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הבא</w:t>
      </w:r>
    </w:p>
  </w:footnote>
  <w:footnote w:id="27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בחצאי</w:t>
      </w:r>
      <w:r w:rsidRPr="00400C0B">
        <w:rPr>
          <w:rFonts w:cs="Guttman Rashi"/>
          <w:rtl/>
          <w:lang w:bidi="he-IL"/>
        </w:rPr>
        <w:t xml:space="preserve"> </w:t>
      </w:r>
      <w:r w:rsidRPr="00400C0B">
        <w:rPr>
          <w:rFonts w:cs="Guttman Rashi" w:hint="eastAsia"/>
          <w:rtl/>
          <w:lang w:bidi="he-IL"/>
        </w:rPr>
        <w:t>מרובע</w:t>
      </w:r>
      <w:r w:rsidRPr="00400C0B">
        <w:rPr>
          <w:rFonts w:cs="Guttman Rashi"/>
          <w:rtl/>
          <w:lang w:bidi="he-IL"/>
        </w:rPr>
        <w:t xml:space="preserve"> (</w:t>
      </w:r>
      <w:r w:rsidRPr="00400C0B">
        <w:rPr>
          <w:rFonts w:cs="Guttman Rashi" w:hint="eastAsia"/>
          <w:rtl/>
          <w:lang w:bidi="he-IL"/>
        </w:rPr>
        <w:t>ולהבנת</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ראוי</w:t>
      </w:r>
      <w:r w:rsidRPr="00400C0B">
        <w:rPr>
          <w:rFonts w:cs="Guttman Rashi"/>
          <w:rtl/>
          <w:lang w:bidi="he-IL"/>
        </w:rPr>
        <w:t xml:space="preserve"> </w:t>
      </w:r>
      <w:r w:rsidRPr="00400C0B">
        <w:rPr>
          <w:rFonts w:cs="Guttman Rashi" w:hint="eastAsia"/>
          <w:rtl/>
          <w:lang w:bidi="he-IL"/>
        </w:rPr>
        <w:t>לציין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מפרש</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הדוגמא</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הכניס</w:t>
      </w:r>
      <w:r w:rsidRPr="00400C0B">
        <w:rPr>
          <w:rFonts w:cs="Guttman Rashi"/>
          <w:rtl/>
          <w:lang w:bidi="he-IL"/>
        </w:rPr>
        <w:t xml:space="preserve"> </w:t>
      </w:r>
      <w:r w:rsidRPr="00400C0B">
        <w:rPr>
          <w:rFonts w:cs="Guttman Rashi" w:hint="eastAsia"/>
          <w:rtl/>
          <w:lang w:bidi="he-IL"/>
        </w:rPr>
        <w:t>כף</w:t>
      </w:r>
      <w:r w:rsidRPr="00400C0B">
        <w:rPr>
          <w:rFonts w:cs="Guttman Rashi"/>
          <w:rtl/>
          <w:lang w:bidi="he-IL"/>
        </w:rPr>
        <w:t xml:space="preserve"> </w:t>
      </w:r>
      <w:r w:rsidRPr="00400C0B">
        <w:rPr>
          <w:rFonts w:cs="Guttman Rashi" w:hint="eastAsia"/>
          <w:rtl/>
          <w:lang w:bidi="he-IL"/>
        </w:rPr>
        <w:t>בשרי</w:t>
      </w:r>
      <w:r w:rsidRPr="00400C0B">
        <w:rPr>
          <w:rFonts w:cs="Guttman Rashi"/>
          <w:rtl/>
          <w:lang w:bidi="he-IL"/>
        </w:rPr>
        <w:t xml:space="preserve"> </w:t>
      </w:r>
      <w:r w:rsidRPr="00400C0B">
        <w:rPr>
          <w:rFonts w:cs="Guttman Rashi" w:hint="eastAsia"/>
          <w:rtl/>
          <w:lang w:bidi="he-IL"/>
        </w:rPr>
        <w:t>לקדירה</w:t>
      </w:r>
      <w:r w:rsidRPr="00400C0B">
        <w:rPr>
          <w:rFonts w:cs="Guttman Rashi"/>
          <w:rtl/>
          <w:lang w:bidi="he-IL"/>
        </w:rPr>
        <w:t xml:space="preserve"> </w:t>
      </w:r>
      <w:r w:rsidRPr="00400C0B">
        <w:rPr>
          <w:rFonts w:cs="Guttman Rashi" w:hint="eastAsia"/>
          <w:rtl/>
          <w:lang w:bidi="he-IL"/>
        </w:rPr>
        <w:t>חולבת</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w:t>
      </w:r>
      <w:r w:rsidRPr="00400C0B">
        <w:rPr>
          <w:rFonts w:cs="Guttman Rashi" w:hint="eastAsia"/>
          <w:rtl/>
          <w:lang w:bidi="he-IL"/>
        </w:rPr>
        <w:t>איפכא</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סעיף</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שבכף</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מיד</w:t>
      </w:r>
      <w:r w:rsidRPr="00400C0B">
        <w:rPr>
          <w:rFonts w:cs="Guttman Rashi"/>
          <w:rtl/>
          <w:lang w:bidi="he-IL"/>
        </w:rPr>
        <w:t xml:space="preserve"> </w:t>
      </w:r>
      <w:r w:rsidRPr="00400C0B">
        <w:rPr>
          <w:rFonts w:cs="Guttman Rashi" w:hint="eastAsia"/>
          <w:rtl/>
          <w:lang w:bidi="he-IL"/>
        </w:rPr>
        <w:t>בהיותו</w:t>
      </w:r>
      <w:r w:rsidRPr="00400C0B">
        <w:rPr>
          <w:rFonts w:cs="Guttman Rashi"/>
          <w:rtl/>
          <w:lang w:bidi="he-IL"/>
        </w:rPr>
        <w:t xml:space="preserve"> </w:t>
      </w:r>
      <w:r w:rsidRPr="00400C0B">
        <w:rPr>
          <w:rFonts w:cs="Guttman Rashi" w:hint="eastAsia"/>
          <w:rtl/>
          <w:lang w:bidi="he-IL"/>
        </w:rPr>
        <w:t>בקדירה</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כשיוציא</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הקדרה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דמקודם</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שמחובר</w:t>
      </w:r>
      <w:r w:rsidRPr="00400C0B">
        <w:rPr>
          <w:rFonts w:cs="Guttman Rashi"/>
          <w:rtl/>
          <w:lang w:bidi="he-IL"/>
        </w:rPr>
        <w:t xml:space="preserve"> </w:t>
      </w:r>
      <w:r w:rsidRPr="00400C0B">
        <w:rPr>
          <w:rFonts w:cs="Guttman Rashi" w:hint="eastAsia"/>
          <w:rtl/>
          <w:lang w:bidi="he-IL"/>
        </w:rPr>
        <w:t>לשאר</w:t>
      </w:r>
      <w:r w:rsidRPr="00400C0B">
        <w:rPr>
          <w:rFonts w:cs="Guttman Rashi"/>
          <w:rtl/>
          <w:lang w:bidi="he-IL"/>
        </w:rPr>
        <w:t xml:space="preserve"> </w:t>
      </w:r>
      <w:r w:rsidRPr="00400C0B">
        <w:rPr>
          <w:rFonts w:cs="Guttman Rashi" w:hint="eastAsia"/>
          <w:rtl/>
          <w:lang w:bidi="he-IL"/>
        </w:rPr>
        <w:t>הקדירה</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בשעה</w:t>
      </w:r>
      <w:r w:rsidRPr="00400C0B">
        <w:rPr>
          <w:rFonts w:cs="Guttman Rashi"/>
          <w:rtl/>
          <w:lang w:bidi="he-IL"/>
        </w:rPr>
        <w:t xml:space="preserve"> </w:t>
      </w:r>
      <w:r w:rsidRPr="00400C0B">
        <w:rPr>
          <w:rFonts w:cs="Guttman Rashi" w:hint="eastAsia"/>
          <w:rtl/>
          <w:lang w:bidi="he-IL"/>
        </w:rPr>
        <w:t>שמוציא</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הבשר</w:t>
      </w:r>
      <w:r w:rsidRPr="00400C0B">
        <w:rPr>
          <w:rFonts w:cs="Guttman Rashi"/>
          <w:rtl/>
          <w:lang w:bidi="he-IL"/>
        </w:rPr>
        <w:t xml:space="preserve"> </w:t>
      </w:r>
      <w:r w:rsidRPr="00400C0B">
        <w:rPr>
          <w:rFonts w:cs="Guttman Rashi" w:hint="eastAsia"/>
          <w:rtl/>
          <w:lang w:bidi="he-IL"/>
        </w:rPr>
        <w:t>ושוב</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בכוחו</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יסודו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שבשר</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שכבר</w:t>
      </w:r>
      <w:r w:rsidRPr="00400C0B">
        <w:rPr>
          <w:rFonts w:cs="Guttman Rashi"/>
          <w:rtl/>
          <w:lang w:bidi="he-IL"/>
        </w:rPr>
        <w:t xml:space="preserve"> </w:t>
      </w:r>
      <w:r w:rsidRPr="00400C0B">
        <w:rPr>
          <w:rFonts w:cs="Guttman Rashi" w:hint="eastAsia"/>
          <w:rtl/>
          <w:lang w:bidi="he-IL"/>
        </w:rPr>
        <w:t>נאסרו</w:t>
      </w:r>
      <w:r w:rsidRPr="00400C0B">
        <w:rPr>
          <w:rFonts w:cs="Guttman Rashi"/>
          <w:rtl/>
          <w:lang w:bidi="he-IL"/>
        </w:rPr>
        <w:t xml:space="preserve"> </w:t>
      </w:r>
      <w:r w:rsidRPr="00400C0B">
        <w:rPr>
          <w:rFonts w:cs="Guttman Rashi" w:hint="eastAsia"/>
          <w:rtl/>
          <w:lang w:bidi="he-IL"/>
        </w:rPr>
        <w:t>שוב</w:t>
      </w:r>
      <w:r w:rsidRPr="00400C0B">
        <w:rPr>
          <w:rFonts w:cs="Guttman Rashi"/>
          <w:rtl/>
          <w:lang w:bidi="he-IL"/>
        </w:rPr>
        <w:t xml:space="preserve"> </w:t>
      </w:r>
      <w:r w:rsidRPr="00400C0B">
        <w:rPr>
          <w:rFonts w:cs="Guttman Rashi" w:hint="eastAsia"/>
          <w:rtl/>
          <w:lang w:bidi="he-IL"/>
        </w:rPr>
        <w:t>אינם</w:t>
      </w:r>
      <w:r w:rsidRPr="00400C0B">
        <w:rPr>
          <w:rFonts w:cs="Guttman Rashi"/>
          <w:rtl/>
          <w:lang w:bidi="he-IL"/>
        </w:rPr>
        <w:t xml:space="preserve"> </w:t>
      </w:r>
      <w:r w:rsidRPr="00400C0B">
        <w:rPr>
          <w:rFonts w:cs="Guttman Rashi" w:hint="eastAsia"/>
          <w:rtl/>
          <w:lang w:bidi="he-IL"/>
        </w:rPr>
        <w:t>אוסרים</w:t>
      </w:r>
      <w:r w:rsidRPr="00400C0B">
        <w:rPr>
          <w:rFonts w:cs="Guttman Rashi"/>
          <w:rtl/>
          <w:lang w:bidi="he-IL"/>
        </w:rPr>
        <w:t xml:space="preserve">. </w:t>
      </w:r>
      <w:r w:rsidRPr="00400C0B">
        <w:rPr>
          <w:rFonts w:cs="Guttman Rashi" w:hint="eastAsia"/>
          <w:rtl/>
          <w:lang w:bidi="he-IL"/>
        </w:rPr>
        <w:t>ותי</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יסוד</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כשכל</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בתוך</w:t>
      </w:r>
      <w:r w:rsidRPr="00400C0B">
        <w:rPr>
          <w:rFonts w:cs="Guttman Rashi"/>
          <w:rtl/>
          <w:lang w:bidi="he-IL"/>
        </w:rPr>
        <w:t xml:space="preserve"> </w:t>
      </w:r>
      <w:r w:rsidRPr="00400C0B">
        <w:rPr>
          <w:rFonts w:cs="Guttman Rashi" w:hint="eastAsia"/>
          <w:rtl/>
          <w:lang w:bidi="he-IL"/>
        </w:rPr>
        <w:t>הקדרה</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שבכף</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כשמוציא</w:t>
      </w:r>
      <w:r w:rsidRPr="00400C0B">
        <w:rPr>
          <w:rFonts w:cs="Guttman Rashi"/>
          <w:rtl/>
          <w:lang w:bidi="he-IL"/>
        </w:rPr>
        <w:t xml:space="preserve"> </w:t>
      </w:r>
      <w:r w:rsidRPr="00400C0B">
        <w:rPr>
          <w:rFonts w:cs="Guttman Rashi" w:hint="eastAsia"/>
          <w:rtl/>
          <w:lang w:bidi="he-IL"/>
        </w:rPr>
        <w:t>הכף</w:t>
      </w:r>
      <w:r w:rsidRPr="00400C0B">
        <w:rPr>
          <w:rFonts w:cs="Guttman Rashi"/>
          <w:rtl/>
          <w:lang w:bidi="he-IL"/>
        </w:rPr>
        <w:t xml:space="preserve"> </w:t>
      </w:r>
      <w:r w:rsidRPr="00400C0B">
        <w:rPr>
          <w:rFonts w:cs="Guttman Rashi" w:hint="eastAsia"/>
          <w:rtl/>
          <w:lang w:bidi="he-IL"/>
        </w:rPr>
        <w:t>שניהם</w:t>
      </w:r>
      <w:r w:rsidRPr="00400C0B">
        <w:rPr>
          <w:rFonts w:cs="Guttman Rashi"/>
          <w:rtl/>
          <w:lang w:bidi="he-IL"/>
        </w:rPr>
        <w:t xml:space="preserve"> </w:t>
      </w:r>
      <w:r w:rsidRPr="00400C0B">
        <w:rPr>
          <w:rFonts w:cs="Guttman Rashi" w:hint="eastAsia"/>
          <w:rtl/>
          <w:lang w:bidi="he-IL"/>
        </w:rPr>
        <w:t>אוסרים</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שסבר</w:t>
      </w:r>
      <w:r w:rsidRPr="00400C0B">
        <w:rPr>
          <w:rFonts w:cs="Guttman Rashi"/>
          <w:rtl/>
          <w:lang w:bidi="he-IL"/>
        </w:rPr>
        <w:t xml:space="preserve"> </w:t>
      </w:r>
      <w:r w:rsidRPr="00400C0B">
        <w:rPr>
          <w:rFonts w:cs="Guttman Rashi" w:hint="eastAsia"/>
          <w:rtl/>
          <w:lang w:bidi="he-IL"/>
        </w:rPr>
        <w:t>שצריכים</w:t>
      </w:r>
      <w:r w:rsidRPr="00400C0B">
        <w:rPr>
          <w:rFonts w:cs="Guttman Rashi"/>
          <w:rtl/>
          <w:lang w:bidi="he-IL"/>
        </w:rPr>
        <w:t xml:space="preserve"> </w:t>
      </w:r>
      <w:r w:rsidRPr="00400C0B">
        <w:rPr>
          <w:rFonts w:cs="Guttman Rashi" w:hint="eastAsia"/>
          <w:rtl/>
          <w:lang w:bidi="he-IL"/>
        </w:rPr>
        <w:t>פעמיים</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הוציא</w:t>
      </w:r>
      <w:r w:rsidRPr="00400C0B">
        <w:rPr>
          <w:rFonts w:cs="Guttman Rashi"/>
          <w:rtl/>
          <w:lang w:bidi="he-IL"/>
        </w:rPr>
        <w:t xml:space="preserve"> </w:t>
      </w:r>
      <w:r w:rsidRPr="00400C0B">
        <w:rPr>
          <w:rFonts w:cs="Guttman Rashi" w:hint="eastAsia"/>
          <w:rtl/>
          <w:lang w:bidi="he-IL"/>
        </w:rPr>
        <w:t>הכף</w:t>
      </w:r>
      <w:r w:rsidRPr="00400C0B">
        <w:rPr>
          <w:rFonts w:cs="Guttman Rashi"/>
          <w:rtl/>
          <w:lang w:bidi="he-IL"/>
        </w:rPr>
        <w:t xml:space="preserve"> </w:t>
      </w:r>
      <w:r w:rsidRPr="00400C0B">
        <w:rPr>
          <w:rFonts w:cs="Guttman Rashi" w:hint="eastAsia"/>
          <w:rtl/>
          <w:lang w:bidi="he-IL"/>
        </w:rPr>
        <w:t>בינתיים</w:t>
      </w:r>
      <w:r w:rsidRPr="00400C0B">
        <w:rPr>
          <w:rFonts w:cs="Guttman Rashi"/>
          <w:rtl/>
          <w:lang w:bidi="he-IL"/>
        </w:rPr>
        <w:t xml:space="preserve">, </w:t>
      </w:r>
      <w:r w:rsidRPr="00400C0B">
        <w:rPr>
          <w:rFonts w:cs="Guttman Rashi" w:hint="eastAsia"/>
          <w:rtl/>
          <w:lang w:bidi="he-IL"/>
        </w:rPr>
        <w:t>דמ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שהטעם</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מעיקרא</w:t>
      </w:r>
      <w:r w:rsidRPr="00400C0B">
        <w:rPr>
          <w:rFonts w:cs="Guttman Rashi"/>
          <w:rtl/>
          <w:lang w:bidi="he-IL"/>
        </w:rPr>
        <w:t xml:space="preserve">, </w:t>
      </w:r>
      <w:r w:rsidRPr="00400C0B">
        <w:rPr>
          <w:rFonts w:cs="Guttman Rashi" w:hint="eastAsia"/>
          <w:rtl/>
          <w:lang w:bidi="he-IL"/>
        </w:rPr>
        <w:t>ורק</w:t>
      </w:r>
      <w:r w:rsidRPr="00400C0B">
        <w:rPr>
          <w:rFonts w:cs="Guttman Rashi"/>
          <w:rtl/>
          <w:lang w:bidi="he-IL"/>
        </w:rPr>
        <w:t xml:space="preserve"> </w:t>
      </w:r>
      <w:r w:rsidRPr="00400C0B">
        <w:rPr>
          <w:rFonts w:cs="Guttman Rashi" w:hint="eastAsia"/>
          <w:rtl/>
          <w:lang w:bidi="he-IL"/>
        </w:rPr>
        <w:t>לאחר</w:t>
      </w:r>
      <w:r w:rsidRPr="00400C0B">
        <w:rPr>
          <w:rFonts w:cs="Guttman Rashi"/>
          <w:rtl/>
          <w:lang w:bidi="he-IL"/>
        </w:rPr>
        <w:t xml:space="preserve"> </w:t>
      </w:r>
      <w:r w:rsidRPr="00400C0B">
        <w:rPr>
          <w:rFonts w:cs="Guttman Rashi" w:hint="eastAsia"/>
          <w:rtl/>
          <w:lang w:bidi="he-IL"/>
        </w:rPr>
        <w:t>מכן</w:t>
      </w:r>
      <w:r w:rsidRPr="00400C0B">
        <w:rPr>
          <w:rFonts w:cs="Guttman Rashi"/>
          <w:rtl/>
          <w:lang w:bidi="he-IL"/>
        </w:rPr>
        <w:t xml:space="preserve"> </w:t>
      </w:r>
      <w:r w:rsidRPr="00400C0B">
        <w:rPr>
          <w:rFonts w:cs="Guttman Rashi" w:hint="eastAsia"/>
          <w:rtl/>
          <w:lang w:bidi="he-IL"/>
        </w:rPr>
        <w:t>נכנס</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ונאסר</w:t>
      </w:r>
      <w:r w:rsidRPr="00400C0B">
        <w:rPr>
          <w:rFonts w:cs="Guttman Rashi"/>
          <w:rtl/>
          <w:lang w:bidi="he-IL"/>
        </w:rPr>
        <w:t xml:space="preserve"> </w:t>
      </w:r>
      <w:r w:rsidRPr="00400C0B">
        <w:rPr>
          <w:rFonts w:cs="Guttman Rashi" w:hint="eastAsia"/>
          <w:rtl/>
          <w:lang w:bidi="he-IL"/>
        </w:rPr>
        <w:t>ועדיין</w:t>
      </w:r>
      <w:r w:rsidRPr="00400C0B">
        <w:rPr>
          <w:rFonts w:cs="Guttman Rashi"/>
          <w:rtl/>
          <w:lang w:bidi="he-IL"/>
        </w:rPr>
        <w:t xml:space="preserve"> </w:t>
      </w:r>
      <w:r w:rsidRPr="00400C0B">
        <w:rPr>
          <w:rFonts w:cs="Guttman Rashi" w:hint="eastAsia"/>
          <w:rtl/>
          <w:lang w:bidi="he-IL"/>
        </w:rPr>
        <w:t>תיקשי</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בחזו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שדברי</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בנויים</w:t>
      </w:r>
      <w:r w:rsidRPr="00400C0B">
        <w:rPr>
          <w:rFonts w:cs="Guttman Rashi"/>
          <w:rtl/>
          <w:lang w:bidi="he-IL"/>
        </w:rPr>
        <w:t xml:space="preserve"> </w:t>
      </w:r>
      <w:r w:rsidRPr="00400C0B">
        <w:rPr>
          <w:rFonts w:cs="Guttman Rashi" w:hint="eastAsia"/>
          <w:rtl/>
          <w:lang w:bidi="he-IL"/>
        </w:rPr>
        <w:t>אשיטת</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שהכף</w:t>
      </w:r>
      <w:r w:rsidRPr="00400C0B">
        <w:rPr>
          <w:rFonts w:cs="Guttman Rashi"/>
          <w:rtl/>
          <w:lang w:bidi="he-IL"/>
        </w:rPr>
        <w:t xml:space="preserve"> </w:t>
      </w:r>
      <w:r w:rsidRPr="00400C0B">
        <w:rPr>
          <w:rFonts w:cs="Guttman Rashi" w:hint="eastAsia"/>
          <w:rtl/>
          <w:lang w:bidi="he-IL"/>
        </w:rPr>
        <w:t>שנכנס</w:t>
      </w:r>
      <w:r w:rsidRPr="00400C0B">
        <w:rPr>
          <w:rFonts w:cs="Guttman Rashi"/>
          <w:rtl/>
          <w:lang w:bidi="he-IL"/>
        </w:rPr>
        <w:t xml:space="preserve"> </w:t>
      </w:r>
      <w:r w:rsidRPr="00400C0B">
        <w:rPr>
          <w:rFonts w:cs="Guttman Rashi" w:hint="eastAsia"/>
          <w:rtl/>
          <w:lang w:bidi="he-IL"/>
        </w:rPr>
        <w:t>לתבשיל</w:t>
      </w:r>
      <w:r w:rsidRPr="00400C0B">
        <w:rPr>
          <w:rFonts w:cs="Guttman Rashi"/>
          <w:rtl/>
          <w:lang w:bidi="he-IL"/>
        </w:rPr>
        <w:t xml:space="preserve"> </w:t>
      </w:r>
      <w:r w:rsidRPr="00400C0B">
        <w:rPr>
          <w:rFonts w:cs="Guttman Rashi" w:hint="eastAsia"/>
          <w:rtl/>
          <w:lang w:bidi="he-IL"/>
        </w:rPr>
        <w:t>בפעם</w:t>
      </w:r>
      <w:r w:rsidRPr="00400C0B">
        <w:rPr>
          <w:rFonts w:cs="Guttman Rashi"/>
          <w:rtl/>
          <w:lang w:bidi="he-IL"/>
        </w:rPr>
        <w:t xml:space="preserve"> </w:t>
      </w:r>
      <w:r w:rsidRPr="00400C0B">
        <w:rPr>
          <w:rFonts w:cs="Guttman Rashi" w:hint="eastAsia"/>
          <w:rtl/>
          <w:lang w:bidi="he-IL"/>
        </w:rPr>
        <w:t>הראשון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שהטעם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התבשיל</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שמחובר</w:t>
      </w:r>
      <w:r w:rsidRPr="00400C0B">
        <w:rPr>
          <w:rFonts w:cs="Guttman Rashi"/>
          <w:rtl/>
          <w:lang w:bidi="he-IL"/>
        </w:rPr>
        <w:t xml:space="preserve"> </w:t>
      </w:r>
      <w:r w:rsidRPr="00400C0B">
        <w:rPr>
          <w:rFonts w:cs="Guttman Rashi" w:hint="eastAsia"/>
          <w:rtl/>
          <w:lang w:bidi="he-IL"/>
        </w:rPr>
        <w:t>לקדירה</w:t>
      </w:r>
      <w:r w:rsidRPr="00400C0B">
        <w:rPr>
          <w:rFonts w:cs="Guttman Rashi"/>
          <w:rtl/>
          <w:lang w:bidi="he-IL"/>
        </w:rPr>
        <w:t xml:space="preserve"> </w:t>
      </w:r>
      <w:r w:rsidRPr="00400C0B">
        <w:rPr>
          <w:rFonts w:cs="Guttman Rashi" w:hint="eastAsia"/>
          <w:rtl/>
          <w:lang w:bidi="he-IL"/>
        </w:rPr>
        <w:t>וכנ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להצריך</w:t>
      </w:r>
      <w:r w:rsidRPr="00400C0B">
        <w:rPr>
          <w:rFonts w:cs="Guttman Rashi"/>
          <w:rtl/>
          <w:lang w:bidi="he-IL"/>
        </w:rPr>
        <w:t xml:space="preserve"> </w:t>
      </w:r>
      <w:r w:rsidRPr="00400C0B">
        <w:rPr>
          <w:rFonts w:cs="Guttman Rashi" w:hint="eastAsia"/>
          <w:rtl/>
          <w:lang w:bidi="he-IL"/>
        </w:rPr>
        <w:t>פעמיים</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מצטרף</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שנאסר</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ביחד</w:t>
      </w:r>
      <w:r w:rsidRPr="00400C0B">
        <w:rPr>
          <w:rFonts w:cs="Guttman Rashi"/>
          <w:rtl/>
          <w:lang w:bidi="he-IL"/>
        </w:rPr>
        <w:t xml:space="preserve"> </w:t>
      </w:r>
      <w:r w:rsidRPr="00400C0B">
        <w:rPr>
          <w:rFonts w:cs="Guttman Rashi" w:hint="eastAsia"/>
          <w:rtl/>
          <w:lang w:bidi="he-IL"/>
        </w:rPr>
        <w:t>והיינו</w:t>
      </w:r>
      <w:r w:rsidRPr="00400C0B">
        <w:rPr>
          <w:rFonts w:cs="Guttman Rashi"/>
          <w:rtl/>
          <w:lang w:bidi="he-IL"/>
        </w:rPr>
        <w:t xml:space="preserve"> </w:t>
      </w:r>
      <w:r w:rsidRPr="00400C0B">
        <w:rPr>
          <w:rFonts w:cs="Guttman Rashi" w:hint="eastAsia"/>
          <w:rtl/>
          <w:lang w:bidi="he-IL"/>
        </w:rPr>
        <w:t>אומרים</w:t>
      </w:r>
      <w:r w:rsidRPr="00400C0B">
        <w:rPr>
          <w:rFonts w:cs="Guttman Rashi"/>
          <w:rtl/>
          <w:lang w:bidi="he-IL"/>
        </w:rPr>
        <w:t xml:space="preserve"> </w:t>
      </w:r>
      <w:r w:rsidRPr="00400C0B">
        <w:rPr>
          <w:rFonts w:cs="Guttman Rashi" w:hint="eastAsia"/>
          <w:rtl/>
          <w:lang w:bidi="he-IL"/>
        </w:rPr>
        <w:t>שאיסורים</w:t>
      </w:r>
      <w:r w:rsidRPr="00400C0B">
        <w:rPr>
          <w:rFonts w:cs="Guttman Rashi"/>
          <w:rtl/>
          <w:lang w:bidi="he-IL"/>
        </w:rPr>
        <w:t xml:space="preserve"> </w:t>
      </w:r>
      <w:r w:rsidRPr="00400C0B">
        <w:rPr>
          <w:rFonts w:cs="Guttman Rashi" w:hint="eastAsia"/>
          <w:rtl/>
          <w:lang w:bidi="he-IL"/>
        </w:rPr>
        <w:t>מבטלין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שיטה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חולקת</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ואינו</w:t>
      </w:r>
      <w:r w:rsidRPr="00400C0B">
        <w:rPr>
          <w:rFonts w:cs="Guttman Rashi"/>
          <w:rtl/>
          <w:lang w:bidi="he-IL"/>
        </w:rPr>
        <w:t xml:space="preserve"> </w:t>
      </w:r>
      <w:r w:rsidRPr="00400C0B">
        <w:rPr>
          <w:rFonts w:cs="Guttman Rashi" w:hint="eastAsia"/>
          <w:rtl/>
          <w:lang w:bidi="he-IL"/>
        </w:rPr>
        <w:t>מצריך</w:t>
      </w:r>
      <w:r w:rsidRPr="00400C0B">
        <w:rPr>
          <w:rFonts w:cs="Guttman Rashi"/>
          <w:rtl/>
          <w:lang w:bidi="he-IL"/>
        </w:rPr>
        <w:t xml:space="preserve"> </w:t>
      </w:r>
      <w:r w:rsidRPr="00400C0B">
        <w:rPr>
          <w:rFonts w:cs="Guttman Rashi" w:hint="eastAsia"/>
          <w:rtl/>
          <w:lang w:bidi="he-IL"/>
        </w:rPr>
        <w:t>ששניהם</w:t>
      </w:r>
      <w:r w:rsidRPr="00400C0B">
        <w:rPr>
          <w:rFonts w:cs="Guttman Rashi"/>
          <w:rtl/>
          <w:lang w:bidi="he-IL"/>
        </w:rPr>
        <w:t xml:space="preserve"> </w:t>
      </w:r>
      <w:r w:rsidRPr="00400C0B">
        <w:rPr>
          <w:rFonts w:cs="Guttman Rashi" w:hint="eastAsia"/>
          <w:rtl/>
          <w:lang w:bidi="he-IL"/>
        </w:rPr>
        <w:t>יאסרו</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והחזו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הסיק</w:t>
      </w:r>
      <w:r w:rsidRPr="00400C0B">
        <w:rPr>
          <w:rFonts w:cs="Guttman Rashi"/>
          <w:rtl/>
          <w:lang w:bidi="he-IL"/>
        </w:rPr>
        <w:t xml:space="preserve"> </w:t>
      </w:r>
      <w:r w:rsidRPr="00400C0B">
        <w:rPr>
          <w:rFonts w:cs="Guttman Rashi" w:hint="eastAsia"/>
          <w:rtl/>
          <w:lang w:bidi="he-IL"/>
        </w:rPr>
        <w:t>לפרש</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מהו</w:t>
      </w:r>
      <w:r w:rsidRPr="00400C0B">
        <w:rPr>
          <w:rFonts w:cs="Guttman Rashi"/>
          <w:rtl/>
          <w:lang w:bidi="he-IL"/>
        </w:rPr>
        <w:t xml:space="preserve"> </w:t>
      </w:r>
      <w:r w:rsidRPr="00400C0B">
        <w:rPr>
          <w:rFonts w:cs="Guttman Rashi" w:hint="eastAsia"/>
          <w:rtl/>
          <w:lang w:bidi="he-IL"/>
        </w:rPr>
        <w:t>היישוב</w:t>
      </w:r>
      <w:r w:rsidRPr="00400C0B">
        <w:rPr>
          <w:rFonts w:cs="Guttman Rashi"/>
          <w:rtl/>
          <w:lang w:bidi="he-IL"/>
        </w:rPr>
        <w:t xml:space="preserve"> </w:t>
      </w:r>
      <w:r w:rsidRPr="00400C0B">
        <w:rPr>
          <w:rFonts w:cs="Guttman Rashi" w:hint="eastAsia"/>
          <w:rtl/>
          <w:lang w:bidi="he-IL"/>
        </w:rPr>
        <w:t>בשיטת</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שהכף</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שמוציא</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התבשיל</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Pr>
          <w:rFonts w:cs="Guttman Rashi" w:hint="cs"/>
          <w:rtl/>
          <w:lang w:bidi="he-IL"/>
        </w:rPr>
        <w:t>וע"ש עוד בחזו"א</w:t>
      </w:r>
      <w:r w:rsidRPr="00400C0B">
        <w:rPr>
          <w:rFonts w:cs="Guttman Rashi"/>
          <w:rtl/>
          <w:lang w:bidi="he-IL"/>
        </w:rPr>
        <w:t xml:space="preserve"> </w:t>
      </w:r>
      <w:r>
        <w:rPr>
          <w:rFonts w:cs="Guttman Rashi" w:hint="cs"/>
          <w:rtl/>
          <w:lang w:bidi="he-IL"/>
        </w:rPr>
        <w:t>שדן בטעם דלא אמרינן שיש הגעלה לכף.</w:t>
      </w:r>
    </w:p>
  </w:footnote>
  <w:footnote w:id="27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ז</w:t>
      </w:r>
    </w:p>
  </w:footnote>
  <w:footnote w:id="27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שוב</w:t>
      </w:r>
      <w:r w:rsidRPr="00400C0B">
        <w:rPr>
          <w:rFonts w:cs="Guttman Rashi"/>
          <w:rtl/>
          <w:lang w:bidi="he-IL"/>
        </w:rPr>
        <w:t xml:space="preserve"> </w:t>
      </w:r>
      <w:r w:rsidRPr="00400C0B">
        <w:rPr>
          <w:rFonts w:cs="Guttman Rashi" w:hint="eastAsia"/>
          <w:rtl/>
          <w:lang w:bidi="he-IL"/>
        </w:rPr>
        <w:t>התחדד</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נקודה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דהנה</w:t>
      </w:r>
      <w:r w:rsidRPr="00400C0B">
        <w:rPr>
          <w:rFonts w:cs="Guttman Rashi"/>
          <w:rtl/>
          <w:lang w:bidi="he-IL"/>
        </w:rPr>
        <w:t xml:space="preserve"> </w:t>
      </w:r>
      <w:r w:rsidRPr="00400C0B">
        <w:rPr>
          <w:rFonts w:cs="Guttman Rashi" w:hint="eastAsia"/>
          <w:rtl/>
          <w:lang w:bidi="he-IL"/>
        </w:rPr>
        <w:t>בהא</w:t>
      </w:r>
      <w:r w:rsidRPr="00400C0B">
        <w:rPr>
          <w:rFonts w:cs="Guttman Rashi"/>
          <w:rtl/>
          <w:lang w:bidi="he-IL"/>
        </w:rPr>
        <w:t xml:space="preserve"> </w:t>
      </w:r>
      <w:r w:rsidRPr="00400C0B">
        <w:rPr>
          <w:rFonts w:cs="Guttman Rashi" w:hint="eastAsia"/>
          <w:rtl/>
          <w:lang w:bidi="he-IL"/>
        </w:rPr>
        <w:t>דתרוה</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הנידון</w:t>
      </w:r>
      <w:r w:rsidRPr="00400C0B">
        <w:rPr>
          <w:rFonts w:cs="Guttman Rashi"/>
          <w:rtl/>
          <w:lang w:bidi="he-IL"/>
        </w:rPr>
        <w:t xml:space="preserve"> </w:t>
      </w:r>
      <w:r w:rsidRPr="00400C0B">
        <w:rPr>
          <w:rFonts w:cs="Guttman Rashi" w:hint="eastAsia"/>
          <w:rtl/>
          <w:lang w:bidi="he-IL"/>
        </w:rPr>
        <w:t>באיסור</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בטעם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התבשיל</w:t>
      </w:r>
      <w:r w:rsidRPr="00400C0B">
        <w:rPr>
          <w:rFonts w:cs="Guttman Rashi"/>
          <w:rtl/>
          <w:lang w:bidi="he-IL"/>
        </w:rPr>
        <w:t xml:space="preserve"> </w:t>
      </w:r>
      <w:r w:rsidRPr="00400C0B">
        <w:rPr>
          <w:rFonts w:cs="Guttman Rashi" w:hint="eastAsia"/>
          <w:rtl/>
          <w:lang w:bidi="he-IL"/>
        </w:rPr>
        <w:t>נע</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ברוב</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מדברי</w:t>
      </w:r>
      <w:r w:rsidRPr="00400C0B">
        <w:rPr>
          <w:rFonts w:cs="Guttman Rashi"/>
          <w:rtl/>
          <w:lang w:bidi="he-IL"/>
        </w:rPr>
        <w:t xml:space="preserve"> </w:t>
      </w:r>
      <w:r w:rsidRPr="00400C0B">
        <w:rPr>
          <w:rFonts w:cs="Guttman Rashi" w:hint="eastAsia"/>
          <w:rtl/>
          <w:lang w:bidi="he-IL"/>
        </w:rPr>
        <w:t>התורה</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עצמם</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הכניסו</w:t>
      </w:r>
      <w:r w:rsidRPr="00400C0B">
        <w:rPr>
          <w:rFonts w:cs="Guttman Rashi"/>
          <w:rtl/>
          <w:lang w:bidi="he-IL"/>
        </w:rPr>
        <w:t xml:space="preserve"> </w:t>
      </w:r>
      <w:r w:rsidRPr="00400C0B">
        <w:rPr>
          <w:rFonts w:cs="Guttman Rashi" w:hint="eastAsia"/>
          <w:rtl/>
          <w:lang w:bidi="he-IL"/>
        </w:rPr>
        <w:t>ליורה</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תבשיל</w:t>
      </w:r>
      <w:r w:rsidRPr="00400C0B">
        <w:rPr>
          <w:rFonts w:cs="Guttman Rashi"/>
          <w:rtl/>
          <w:lang w:bidi="he-IL"/>
        </w:rPr>
        <w:t xml:space="preserve"> </w:t>
      </w:r>
      <w:r w:rsidRPr="00400C0B">
        <w:rPr>
          <w:rFonts w:cs="Guttman Rashi" w:hint="eastAsia"/>
          <w:rtl/>
          <w:lang w:bidi="he-IL"/>
        </w:rPr>
        <w:t>ממין</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ירקות</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ונע</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מטעם</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נע</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מעיקרא</w:t>
      </w:r>
      <w:r w:rsidRPr="00400C0B">
        <w:rPr>
          <w:rFonts w:cs="Guttman Rashi"/>
          <w:rtl/>
          <w:lang w:bidi="he-IL"/>
        </w:rPr>
        <w:t xml:space="preserve"> </w:t>
      </w:r>
      <w:r w:rsidRPr="00400C0B">
        <w:rPr>
          <w:rFonts w:cs="Guttman Rashi" w:hint="eastAsia"/>
          <w:rtl/>
          <w:lang w:bidi="he-IL"/>
        </w:rPr>
        <w:t>מטעם</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דיתכן</w:t>
      </w:r>
      <w:r w:rsidRPr="00400C0B">
        <w:rPr>
          <w:rFonts w:cs="Guttman Rashi"/>
          <w:rtl/>
          <w:lang w:bidi="he-IL"/>
        </w:rPr>
        <w:t xml:space="preserve"> </w:t>
      </w:r>
      <w:r w:rsidRPr="00400C0B">
        <w:rPr>
          <w:rFonts w:cs="Guttman Rashi" w:hint="eastAsia"/>
          <w:rtl/>
          <w:lang w:bidi="he-IL"/>
        </w:rPr>
        <w:t>שכה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אנו</w:t>
      </w:r>
      <w:r w:rsidRPr="00400C0B">
        <w:rPr>
          <w:rFonts w:cs="Guttman Rashi"/>
          <w:rtl/>
          <w:lang w:bidi="he-IL"/>
        </w:rPr>
        <w:t xml:space="preserve"> </w:t>
      </w:r>
      <w:r w:rsidRPr="00400C0B">
        <w:rPr>
          <w:rFonts w:cs="Guttman Rashi" w:hint="eastAsia"/>
          <w:rtl/>
          <w:lang w:bidi="he-IL"/>
        </w:rPr>
        <w:t>מקילין</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שמסתימת</w:t>
      </w:r>
      <w:r w:rsidRPr="00400C0B">
        <w:rPr>
          <w:rFonts w:cs="Guttman Rashi"/>
          <w:rtl/>
          <w:lang w:bidi="he-IL"/>
        </w:rPr>
        <w:t xml:space="preserve"> </w:t>
      </w:r>
      <w:r w:rsidRPr="00400C0B">
        <w:rPr>
          <w:rFonts w:cs="Guttman Rashi" w:hint="eastAsia"/>
          <w:rtl/>
          <w:lang w:bidi="he-IL"/>
        </w:rPr>
        <w:t>לשון</w:t>
      </w:r>
      <w:r w:rsidRPr="00400C0B">
        <w:rPr>
          <w:rFonts w:cs="Guttman Rashi"/>
          <w:rtl/>
          <w:lang w:bidi="he-IL"/>
        </w:rPr>
        <w:t xml:space="preserve"> </w:t>
      </w:r>
      <w:r w:rsidRPr="00400C0B">
        <w:rPr>
          <w:rFonts w:cs="Guttman Rashi" w:hint="eastAsia"/>
          <w:rtl/>
          <w:lang w:bidi="he-IL"/>
        </w:rPr>
        <w:t>התרוה</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התרוה</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דיבר</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בהכניס</w:t>
      </w:r>
      <w:r w:rsidRPr="00400C0B">
        <w:rPr>
          <w:rFonts w:cs="Guttman Rashi"/>
          <w:rtl/>
          <w:lang w:bidi="he-IL"/>
        </w:rPr>
        <w:t xml:space="preserve"> </w:t>
      </w:r>
      <w:r w:rsidRPr="00400C0B">
        <w:rPr>
          <w:rFonts w:cs="Guttman Rashi" w:hint="eastAsia"/>
          <w:rtl/>
          <w:lang w:bidi="he-IL"/>
        </w:rPr>
        <w:t>פעמיים</w:t>
      </w:r>
      <w:r w:rsidRPr="00400C0B">
        <w:rPr>
          <w:rFonts w:cs="Guttman Rashi"/>
          <w:rtl/>
          <w:lang w:bidi="he-IL"/>
        </w:rPr>
        <w:t xml:space="preserve"> </w:t>
      </w:r>
      <w:r w:rsidRPr="00400C0B">
        <w:rPr>
          <w:rFonts w:cs="Guttman Rashi" w:hint="eastAsia"/>
          <w:rtl/>
          <w:lang w:bidi="he-IL"/>
        </w:rPr>
        <w:t>וכנ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ענין</w:t>
      </w:r>
      <w:r w:rsidRPr="00400C0B">
        <w:rPr>
          <w:rFonts w:cs="Guttman Rashi"/>
          <w:rtl/>
          <w:lang w:bidi="he-IL"/>
        </w:rPr>
        <w:t xml:space="preserve"> </w:t>
      </w:r>
      <w:r w:rsidRPr="00400C0B">
        <w:rPr>
          <w:rFonts w:cs="Guttman Rashi" w:hint="eastAsia"/>
          <w:rtl/>
          <w:lang w:bidi="he-IL"/>
        </w:rPr>
        <w:t>להדגיש</w:t>
      </w:r>
      <w:r w:rsidRPr="00400C0B">
        <w:rPr>
          <w:rFonts w:cs="Guttman Rashi"/>
          <w:rtl/>
          <w:lang w:bidi="he-IL"/>
        </w:rPr>
        <w:t xml:space="preserve"> </w:t>
      </w:r>
      <w:r w:rsidRPr="00400C0B">
        <w:rPr>
          <w:rFonts w:cs="Guttman Rashi" w:hint="eastAsia"/>
          <w:rtl/>
          <w:lang w:bidi="he-IL"/>
        </w:rPr>
        <w:t>דדוקא</w:t>
      </w:r>
      <w:r w:rsidRPr="00400C0B">
        <w:rPr>
          <w:rFonts w:cs="Guttman Rashi"/>
          <w:rtl/>
          <w:lang w:bidi="he-IL"/>
        </w:rPr>
        <w:t xml:space="preserve"> </w:t>
      </w:r>
      <w:r w:rsidRPr="00400C0B">
        <w:rPr>
          <w:rFonts w:cs="Guttman Rashi" w:hint="eastAsia"/>
          <w:rtl/>
          <w:lang w:bidi="he-IL"/>
        </w:rPr>
        <w:t>במין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במין</w:t>
      </w:r>
      <w:r w:rsidRPr="00400C0B">
        <w:rPr>
          <w:rFonts w:cs="Guttman Rashi"/>
          <w:rtl/>
          <w:lang w:bidi="he-IL"/>
        </w:rPr>
        <w:t xml:space="preserve"> </w:t>
      </w:r>
      <w:r w:rsidRPr="00400C0B">
        <w:rPr>
          <w:rFonts w:cs="Guttman Rashi" w:hint="eastAsia"/>
          <w:rtl/>
          <w:lang w:bidi="he-IL"/>
        </w:rPr>
        <w:t>בשאינו</w:t>
      </w:r>
      <w:r w:rsidRPr="00400C0B">
        <w:rPr>
          <w:rFonts w:cs="Guttman Rashi"/>
          <w:rtl/>
          <w:lang w:bidi="he-IL"/>
        </w:rPr>
        <w:t xml:space="preserve"> </w:t>
      </w:r>
      <w:r w:rsidRPr="00400C0B">
        <w:rPr>
          <w:rFonts w:cs="Guttman Rashi" w:hint="eastAsia"/>
          <w:rtl/>
          <w:lang w:bidi="he-IL"/>
        </w:rPr>
        <w:t>מינו</w:t>
      </w:r>
      <w:r w:rsidRPr="00400C0B">
        <w:rPr>
          <w:rFonts w:cs="Guttman Rashi"/>
          <w:rtl/>
          <w:lang w:bidi="he-IL"/>
        </w:rPr>
        <w:t xml:space="preserve">. </w:t>
      </w:r>
    </w:p>
    <w:p w:rsidR="007978F4" w:rsidRPr="00400C0B" w:rsidRDefault="007978F4" w:rsidP="00B80448">
      <w:pPr>
        <w:pStyle w:val="FootnoteText"/>
        <w:bidi/>
        <w:jc w:val="both"/>
        <w:rPr>
          <w:rFonts w:cs="Guttman Rashi"/>
          <w:rtl/>
          <w:lang w:bidi="he-IL"/>
        </w:rPr>
      </w:pP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דהש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לבטל</w:t>
      </w:r>
      <w:r w:rsidRPr="00400C0B">
        <w:rPr>
          <w:rFonts w:cs="Guttman Rashi"/>
          <w:rtl/>
          <w:lang w:bidi="he-IL"/>
        </w:rPr>
        <w:t xml:space="preserve"> </w:t>
      </w:r>
      <w:r w:rsidRPr="00400C0B">
        <w:rPr>
          <w:rFonts w:cs="Guttman Rashi" w:hint="eastAsia"/>
          <w:rtl/>
          <w:lang w:bidi="he-IL"/>
        </w:rPr>
        <w:t>הכף</w:t>
      </w:r>
      <w:r w:rsidRPr="00400C0B">
        <w:rPr>
          <w:rFonts w:cs="Guttman Rashi"/>
          <w:rtl/>
          <w:lang w:bidi="he-IL"/>
        </w:rPr>
        <w:t xml:space="preserve">, </w:t>
      </w:r>
      <w:r w:rsidRPr="00400C0B">
        <w:rPr>
          <w:rFonts w:cs="Guttman Rashi" w:hint="eastAsia"/>
          <w:rtl/>
          <w:lang w:bidi="he-IL"/>
        </w:rPr>
        <w:t>הקדירה</w:t>
      </w:r>
      <w:r w:rsidRPr="00400C0B">
        <w:rPr>
          <w:rFonts w:cs="Guttman Rashi"/>
          <w:rtl/>
          <w:lang w:bidi="he-IL"/>
        </w:rPr>
        <w:t xml:space="preserve"> </w:t>
      </w:r>
      <w:r w:rsidRPr="00400C0B">
        <w:rPr>
          <w:rFonts w:cs="Guttman Rashi" w:hint="eastAsia"/>
          <w:rtl/>
          <w:lang w:bidi="he-IL"/>
        </w:rPr>
        <w:t>והתבשיל</w:t>
      </w:r>
      <w:r w:rsidRPr="00400C0B">
        <w:rPr>
          <w:rFonts w:cs="Guttman Rashi"/>
          <w:rtl/>
          <w:lang w:bidi="he-IL"/>
        </w:rPr>
        <w:t xml:space="preserve"> </w:t>
      </w:r>
      <w:r w:rsidRPr="00400C0B">
        <w:rPr>
          <w:rFonts w:cs="Guttman Rashi" w:hint="eastAsia"/>
          <w:rtl/>
          <w:lang w:bidi="he-IL"/>
        </w:rPr>
        <w:t>מותרים</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הכף</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שהיא</w:t>
      </w:r>
      <w:r w:rsidRPr="00400C0B">
        <w:rPr>
          <w:rFonts w:cs="Guttman Rashi"/>
          <w:rtl/>
          <w:lang w:bidi="he-IL"/>
        </w:rPr>
        <w:t xml:space="preserve"> </w:t>
      </w:r>
      <w:r w:rsidRPr="00400C0B">
        <w:rPr>
          <w:rFonts w:cs="Guttman Rashi" w:hint="eastAsia"/>
          <w:rtl/>
          <w:lang w:bidi="he-IL"/>
        </w:rPr>
        <w:t>בלועה</w:t>
      </w:r>
      <w:r w:rsidRPr="00400C0B">
        <w:rPr>
          <w:rFonts w:cs="Guttman Rashi"/>
          <w:rtl/>
          <w:lang w:bidi="he-IL"/>
        </w:rPr>
        <w:t xml:space="preserve"> </w:t>
      </w:r>
      <w:r w:rsidRPr="00400C0B">
        <w:rPr>
          <w:rFonts w:cs="Guttman Rashi" w:hint="eastAsia"/>
          <w:rtl/>
          <w:lang w:bidi="he-IL"/>
        </w:rPr>
        <w:t>מבשר</w:t>
      </w:r>
      <w:r w:rsidRPr="00400C0B">
        <w:rPr>
          <w:rFonts w:cs="Guttman Rashi"/>
          <w:rtl/>
          <w:lang w:bidi="he-IL"/>
        </w:rPr>
        <w:t xml:space="preserve"> </w:t>
      </w:r>
      <w:r w:rsidRPr="00400C0B">
        <w:rPr>
          <w:rFonts w:cs="Guttman Rashi" w:hint="eastAsia"/>
          <w:rtl/>
          <w:lang w:bidi="he-IL"/>
        </w:rPr>
        <w:t>בחלב</w:t>
      </w:r>
      <w:r w:rsidRPr="00400C0B">
        <w:rPr>
          <w:rFonts w:cs="Guttman Rashi"/>
          <w:rtl/>
          <w:lang w:bidi="he-IL"/>
        </w:rPr>
        <w:t xml:space="preserve">. </w:t>
      </w:r>
      <w:r w:rsidRPr="00400C0B">
        <w:rPr>
          <w:rFonts w:cs="Guttman Rashi" w:hint="eastAsia"/>
          <w:rtl/>
          <w:lang w:bidi="he-IL"/>
        </w:rPr>
        <w:t>ואפילו</w:t>
      </w:r>
      <w:r w:rsidRPr="00400C0B">
        <w:rPr>
          <w:rFonts w:cs="Guttman Rashi"/>
          <w:rtl/>
          <w:lang w:bidi="he-IL"/>
        </w:rPr>
        <w:t xml:space="preserve"> </w:t>
      </w:r>
      <w:r w:rsidRPr="00400C0B">
        <w:rPr>
          <w:rFonts w:cs="Guttman Rashi" w:hint="eastAsia"/>
          <w:rtl/>
          <w:lang w:bidi="he-IL"/>
        </w:rPr>
        <w:t>בדיעבד</w:t>
      </w:r>
      <w:r w:rsidRPr="00400C0B">
        <w:rPr>
          <w:rFonts w:cs="Guttman Rashi"/>
          <w:rtl/>
          <w:lang w:bidi="he-IL"/>
        </w:rPr>
        <w:t xml:space="preserve"> </w:t>
      </w:r>
      <w:r w:rsidRPr="00400C0B">
        <w:rPr>
          <w:rFonts w:cs="Guttman Rashi" w:hint="eastAsia"/>
          <w:rtl/>
          <w:lang w:bidi="he-IL"/>
        </w:rPr>
        <w:t>אוסרת</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חזר</w:t>
      </w:r>
      <w:r w:rsidRPr="00400C0B">
        <w:rPr>
          <w:rFonts w:cs="Guttman Rashi"/>
          <w:rtl/>
          <w:lang w:bidi="he-IL"/>
        </w:rPr>
        <w:t xml:space="preserve"> </w:t>
      </w:r>
      <w:r w:rsidRPr="00400C0B">
        <w:rPr>
          <w:rFonts w:cs="Guttman Rashi" w:hint="eastAsia"/>
          <w:rtl/>
          <w:lang w:bidi="he-IL"/>
        </w:rPr>
        <w:t>ותחבו</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בבשר</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בחלב</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זמן</w:t>
      </w:r>
      <w:r w:rsidRPr="00400C0B">
        <w:rPr>
          <w:rFonts w:cs="Guttman Rashi"/>
          <w:rtl/>
          <w:lang w:bidi="he-IL"/>
        </w:rPr>
        <w:t xml:space="preserve"> </w:t>
      </w:r>
      <w:r w:rsidRPr="00400C0B">
        <w:rPr>
          <w:rFonts w:cs="Guttman Rashi" w:hint="eastAsia"/>
          <w:rtl/>
          <w:lang w:bidi="he-IL"/>
        </w:rPr>
        <w:t>שהיא</w:t>
      </w:r>
      <w:r w:rsidRPr="00400C0B">
        <w:rPr>
          <w:rFonts w:cs="Guttman Rashi"/>
          <w:rtl/>
          <w:lang w:bidi="he-IL"/>
        </w:rPr>
        <w:t xml:space="preserve"> </w:t>
      </w:r>
      <w:r w:rsidRPr="00400C0B">
        <w:rPr>
          <w:rFonts w:cs="Guttman Rashi" w:hint="eastAsia"/>
          <w:rtl/>
          <w:lang w:bidi="he-IL"/>
        </w:rPr>
        <w:t>בת</w:t>
      </w:r>
      <w:r w:rsidRPr="00400C0B">
        <w:rPr>
          <w:rFonts w:cs="Guttman Rashi"/>
          <w:rtl/>
          <w:lang w:bidi="he-IL"/>
        </w:rPr>
        <w:t xml:space="preserve"> </w:t>
      </w:r>
      <w:r w:rsidRPr="00400C0B">
        <w:rPr>
          <w:rFonts w:cs="Guttman Rashi" w:hint="eastAsia"/>
          <w:rtl/>
          <w:lang w:bidi="he-IL"/>
        </w:rPr>
        <w:t>יומא</w:t>
      </w:r>
      <w:r w:rsidRPr="00400C0B">
        <w:rPr>
          <w:rFonts w:cs="Guttman Rashi"/>
          <w:rtl/>
          <w:lang w:bidi="he-IL"/>
        </w:rPr>
        <w:t xml:space="preserve">". </w:t>
      </w:r>
      <w:r w:rsidRPr="00400C0B">
        <w:rPr>
          <w:rFonts w:cs="Guttman Rashi" w:hint="eastAsia"/>
          <w:rtl/>
          <w:lang w:bidi="he-IL"/>
        </w:rPr>
        <w:t>והא</w:t>
      </w:r>
      <w:r w:rsidRPr="00400C0B">
        <w:rPr>
          <w:rFonts w:cs="Guttman Rashi"/>
          <w:rtl/>
          <w:lang w:bidi="he-IL"/>
        </w:rPr>
        <w:t xml:space="preserve"> </w:t>
      </w:r>
      <w:r w:rsidRPr="00400C0B">
        <w:rPr>
          <w:rFonts w:cs="Guttman Rashi" w:hint="eastAsia"/>
          <w:rtl/>
          <w:lang w:bidi="he-IL"/>
        </w:rPr>
        <w:t>דאם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לבטל</w:t>
      </w:r>
      <w:r w:rsidRPr="00400C0B">
        <w:rPr>
          <w:rFonts w:cs="Guttman Rashi"/>
          <w:rtl/>
          <w:lang w:bidi="he-IL"/>
        </w:rPr>
        <w:t xml:space="preserve"> </w:t>
      </w:r>
      <w:r w:rsidRPr="00400C0B">
        <w:rPr>
          <w:rFonts w:cs="Guttman Rashi" w:hint="eastAsia"/>
          <w:rtl/>
          <w:lang w:bidi="he-IL"/>
        </w:rPr>
        <w:t>הכף</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קאי</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אהכניס</w:t>
      </w:r>
      <w:r w:rsidRPr="00400C0B">
        <w:rPr>
          <w:rFonts w:cs="Guttman Rashi"/>
          <w:rtl/>
          <w:lang w:bidi="he-IL"/>
        </w:rPr>
        <w:t xml:space="preserve"> </w:t>
      </w:r>
      <w:r w:rsidRPr="00400C0B">
        <w:rPr>
          <w:rFonts w:cs="Guttman Rashi" w:hint="eastAsia"/>
          <w:rtl/>
          <w:lang w:bidi="he-IL"/>
        </w:rPr>
        <w:t>כף</w:t>
      </w:r>
      <w:r w:rsidRPr="00400C0B">
        <w:rPr>
          <w:rFonts w:cs="Guttman Rashi"/>
          <w:rtl/>
          <w:lang w:bidi="he-IL"/>
        </w:rPr>
        <w:t xml:space="preserve"> </w:t>
      </w:r>
      <w:r w:rsidRPr="00400C0B">
        <w:rPr>
          <w:rFonts w:cs="Guttman Rashi" w:hint="eastAsia"/>
          <w:rtl/>
          <w:lang w:bidi="he-IL"/>
        </w:rPr>
        <w:t>חולבת</w:t>
      </w:r>
      <w:r w:rsidRPr="00400C0B">
        <w:rPr>
          <w:rFonts w:cs="Guttman Rashi"/>
          <w:rtl/>
          <w:lang w:bidi="he-IL"/>
        </w:rPr>
        <w:t xml:space="preserve"> </w:t>
      </w:r>
      <w:r w:rsidRPr="00400C0B">
        <w:rPr>
          <w:rFonts w:cs="Guttman Rashi" w:hint="eastAsia"/>
          <w:rtl/>
          <w:lang w:bidi="he-IL"/>
        </w:rPr>
        <w:t>לקדירה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אכף</w:t>
      </w:r>
      <w:r w:rsidRPr="00400C0B">
        <w:rPr>
          <w:rFonts w:cs="Guttman Rashi"/>
          <w:rtl/>
          <w:lang w:bidi="he-IL"/>
        </w:rPr>
        <w:t xml:space="preserve"> </w:t>
      </w:r>
      <w:r w:rsidRPr="00400C0B">
        <w:rPr>
          <w:rFonts w:cs="Guttman Rashi" w:hint="eastAsia"/>
          <w:rtl/>
          <w:lang w:bidi="he-IL"/>
        </w:rPr>
        <w:t>בשרית</w:t>
      </w:r>
      <w:r w:rsidRPr="00400C0B">
        <w:rPr>
          <w:rFonts w:cs="Guttman Rashi"/>
          <w:rtl/>
          <w:lang w:bidi="he-IL"/>
        </w:rPr>
        <w:t xml:space="preserve"> </w:t>
      </w:r>
      <w:r w:rsidRPr="00400C0B">
        <w:rPr>
          <w:rFonts w:cs="Guttman Rashi" w:hint="eastAsia"/>
          <w:rtl/>
          <w:lang w:bidi="he-IL"/>
        </w:rPr>
        <w:t>לקדירה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וכדלעיל</w:t>
      </w:r>
      <w:r w:rsidRPr="00400C0B">
        <w:rPr>
          <w:rFonts w:cs="Guttman Rashi"/>
          <w:rtl/>
          <w:lang w:bidi="he-IL"/>
        </w:rPr>
        <w:t xml:space="preserve"> </w:t>
      </w:r>
      <w:r w:rsidRPr="00400C0B">
        <w:rPr>
          <w:rFonts w:cs="Guttman Rashi" w:hint="eastAsia"/>
          <w:rtl/>
          <w:lang w:bidi="he-IL"/>
        </w:rPr>
        <w:t>מיני</w:t>
      </w:r>
      <w:r w:rsidRPr="00400C0B">
        <w:rPr>
          <w:rFonts w:cs="Guttman Rashi"/>
          <w:rtl/>
          <w:lang w:bidi="he-IL"/>
        </w:rPr>
        <w:t xml:space="preserve">' </w:t>
      </w:r>
      <w:r w:rsidRPr="00400C0B">
        <w:rPr>
          <w:rFonts w:cs="Guttman Rashi" w:hint="eastAsia"/>
          <w:rtl/>
          <w:lang w:bidi="he-IL"/>
        </w:rPr>
        <w:t>בסע</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בלשון</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בכגון</w:t>
      </w:r>
      <w:r w:rsidRPr="00400C0B">
        <w:rPr>
          <w:rFonts w:cs="Guttman Rashi"/>
          <w:rtl/>
          <w:lang w:bidi="he-IL"/>
        </w:rPr>
        <w:t xml:space="preserve"> </w:t>
      </w:r>
      <w:r w:rsidRPr="00400C0B">
        <w:rPr>
          <w:rFonts w:cs="Guttman Rashi" w:hint="eastAsia"/>
          <w:rtl/>
          <w:lang w:bidi="he-IL"/>
        </w:rPr>
        <w:t>הכניס</w:t>
      </w:r>
      <w:r w:rsidRPr="00400C0B">
        <w:rPr>
          <w:rFonts w:cs="Guttman Rashi"/>
          <w:rtl/>
          <w:lang w:bidi="he-IL"/>
        </w:rPr>
        <w:t xml:space="preserve"> </w:t>
      </w:r>
      <w:r w:rsidRPr="00400C0B">
        <w:rPr>
          <w:rFonts w:cs="Guttman Rashi" w:hint="eastAsia"/>
          <w:rtl/>
          <w:lang w:bidi="he-IL"/>
        </w:rPr>
        <w:t>כף</w:t>
      </w:r>
      <w:r w:rsidRPr="00400C0B">
        <w:rPr>
          <w:rFonts w:cs="Guttman Rashi"/>
          <w:rtl/>
          <w:lang w:bidi="he-IL"/>
        </w:rPr>
        <w:t xml:space="preserve"> </w:t>
      </w:r>
      <w:r w:rsidRPr="00400C0B">
        <w:rPr>
          <w:rFonts w:cs="Guttman Rashi" w:hint="eastAsia"/>
          <w:rtl/>
          <w:lang w:bidi="he-IL"/>
        </w:rPr>
        <w:t>חולבת</w:t>
      </w:r>
      <w:r w:rsidRPr="00400C0B">
        <w:rPr>
          <w:rFonts w:cs="Guttman Rashi"/>
          <w:rtl/>
          <w:lang w:bidi="he-IL"/>
        </w:rPr>
        <w:t xml:space="preserve"> </w:t>
      </w:r>
      <w:r w:rsidRPr="00400C0B">
        <w:rPr>
          <w:rFonts w:cs="Guttman Rashi" w:hint="eastAsia"/>
          <w:rtl/>
          <w:lang w:bidi="he-IL"/>
        </w:rPr>
        <w:t>לתוך</w:t>
      </w:r>
      <w:r w:rsidRPr="00400C0B">
        <w:rPr>
          <w:rFonts w:cs="Guttman Rashi"/>
          <w:rtl/>
          <w:lang w:bidi="he-IL"/>
        </w:rPr>
        <w:t xml:space="preserve"> </w:t>
      </w:r>
      <w:r w:rsidRPr="00400C0B">
        <w:rPr>
          <w:rFonts w:cs="Guttman Rashi" w:hint="eastAsia"/>
          <w:rtl/>
          <w:lang w:bidi="he-IL"/>
        </w:rPr>
        <w:t>קדרה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הכף</w:t>
      </w:r>
      <w:r w:rsidRPr="00400C0B">
        <w:rPr>
          <w:rFonts w:cs="Guttman Rashi"/>
          <w:rtl/>
          <w:lang w:bidi="he-IL"/>
        </w:rPr>
        <w:t xml:space="preserve"> </w:t>
      </w:r>
      <w:r w:rsidRPr="00400C0B">
        <w:rPr>
          <w:rFonts w:cs="Guttman Rashi" w:hint="eastAsia"/>
          <w:rtl/>
          <w:lang w:bidi="he-IL"/>
        </w:rPr>
        <w:t>שאוסר</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הכניס</w:t>
      </w:r>
      <w:r w:rsidRPr="00400C0B">
        <w:rPr>
          <w:rFonts w:cs="Guttman Rashi"/>
          <w:rtl/>
          <w:lang w:bidi="he-IL"/>
        </w:rPr>
        <w:t xml:space="preserve"> </w:t>
      </w:r>
      <w:r w:rsidRPr="00400C0B">
        <w:rPr>
          <w:rFonts w:cs="Guttman Rashi" w:hint="eastAsia"/>
          <w:rtl/>
          <w:lang w:bidi="he-IL"/>
        </w:rPr>
        <w:t>לקדרה</w:t>
      </w:r>
      <w:r w:rsidRPr="00400C0B">
        <w:rPr>
          <w:rFonts w:cs="Guttman Rashi"/>
          <w:rtl/>
          <w:lang w:bidi="he-IL"/>
        </w:rPr>
        <w:t xml:space="preserve"> </w:t>
      </w:r>
      <w:r w:rsidRPr="00400C0B">
        <w:rPr>
          <w:rFonts w:cs="Guttman Rashi" w:hint="eastAsia"/>
          <w:rtl/>
          <w:lang w:bidi="he-IL"/>
        </w:rPr>
        <w:t>אחרת</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הקדרה</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ובין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אוסרת</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בדיעבד</w:t>
      </w:r>
      <w:r w:rsidRPr="00400C0B">
        <w:rPr>
          <w:rFonts w:cs="Guttman Rashi"/>
          <w:rtl/>
          <w:lang w:bidi="he-IL"/>
        </w:rPr>
        <w:t xml:space="preserve">, </w:t>
      </w:r>
      <w:r w:rsidRPr="00400C0B">
        <w:rPr>
          <w:rFonts w:cs="Guttman Rashi" w:hint="eastAsia"/>
          <w:rtl/>
          <w:lang w:bidi="he-IL"/>
        </w:rPr>
        <w:t>ובלבד</w:t>
      </w:r>
      <w:r w:rsidRPr="00400C0B">
        <w:rPr>
          <w:rFonts w:cs="Guttman Rashi"/>
          <w:rtl/>
          <w:lang w:bidi="he-IL"/>
        </w:rPr>
        <w:t xml:space="preserve"> </w:t>
      </w:r>
      <w:r w:rsidRPr="00400C0B">
        <w:rPr>
          <w:rFonts w:cs="Guttman Rashi" w:hint="eastAsia"/>
          <w:rtl/>
          <w:lang w:bidi="he-IL"/>
        </w:rPr>
        <w:t>שיהא</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יומו</w:t>
      </w:r>
      <w:r w:rsidRPr="00400C0B">
        <w:rPr>
          <w:rFonts w:cs="Guttman Rashi"/>
          <w:rtl/>
          <w:lang w:bidi="he-IL"/>
        </w:rPr>
        <w:t xml:space="preserve">. </w:t>
      </w:r>
      <w:r w:rsidRPr="00400C0B">
        <w:rPr>
          <w:rFonts w:cs="Guttman Rashi" w:hint="eastAsia"/>
          <w:rtl/>
          <w:lang w:bidi="he-IL"/>
        </w:rPr>
        <w:t>ועל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קאמר</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שאוסר</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יומו</w:t>
      </w:r>
      <w:r w:rsidRPr="00400C0B">
        <w:rPr>
          <w:rFonts w:cs="Guttman Rashi"/>
          <w:rtl/>
          <w:lang w:bidi="he-IL"/>
        </w:rPr>
        <w:t xml:space="preserve"> </w:t>
      </w:r>
      <w:r w:rsidRPr="00400C0B">
        <w:rPr>
          <w:rFonts w:cs="Guttman Rashi" w:hint="eastAsia"/>
          <w:rtl/>
          <w:lang w:bidi="he-IL"/>
        </w:rPr>
        <w:t>מתשמיש</w:t>
      </w:r>
      <w:r w:rsidRPr="00400C0B">
        <w:rPr>
          <w:rFonts w:cs="Guttman Rashi"/>
          <w:rtl/>
          <w:lang w:bidi="he-IL"/>
        </w:rPr>
        <w:t xml:space="preserve"> </w:t>
      </w:r>
      <w:r w:rsidRPr="00400C0B">
        <w:rPr>
          <w:rFonts w:cs="Guttman Rashi" w:hint="eastAsia"/>
          <w:rtl/>
          <w:lang w:bidi="he-IL"/>
        </w:rPr>
        <w:t>הראשון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יומו</w:t>
      </w:r>
      <w:r w:rsidRPr="00400C0B">
        <w:rPr>
          <w:rFonts w:cs="Guttman Rashi"/>
          <w:rtl/>
          <w:lang w:bidi="he-IL"/>
        </w:rPr>
        <w:t xml:space="preserve"> </w:t>
      </w:r>
      <w:r w:rsidRPr="00400C0B">
        <w:rPr>
          <w:rFonts w:cs="Guttman Rashi" w:hint="eastAsia"/>
          <w:rtl/>
          <w:lang w:bidi="he-IL"/>
        </w:rPr>
        <w:t>מתשמיש</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וכתב</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החוו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איתנהו</w:t>
      </w:r>
      <w:r w:rsidRPr="00400C0B">
        <w:rPr>
          <w:rFonts w:cs="Guttman Rashi"/>
          <w:rtl/>
          <w:lang w:bidi="he-IL"/>
        </w:rPr>
        <w:t xml:space="preserve"> </w:t>
      </w:r>
      <w:r w:rsidRPr="00400C0B">
        <w:rPr>
          <w:rFonts w:cs="Guttman Rashi" w:hint="eastAsia"/>
          <w:rtl/>
          <w:lang w:bidi="he-IL"/>
        </w:rPr>
        <w:t>לסברות</w:t>
      </w:r>
      <w:r w:rsidRPr="00400C0B">
        <w:rPr>
          <w:rFonts w:cs="Guttman Rashi"/>
          <w:rtl/>
          <w:lang w:bidi="he-IL"/>
        </w:rPr>
        <w:t xml:space="preserve"> </w:t>
      </w:r>
      <w:r w:rsidRPr="00400C0B">
        <w:rPr>
          <w:rFonts w:cs="Guttman Rashi" w:hint="eastAsia"/>
          <w:rtl/>
          <w:lang w:bidi="he-IL"/>
        </w:rPr>
        <w:t>התרוה</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ועל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קאי</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הכניס</w:t>
      </w:r>
      <w:r w:rsidRPr="00400C0B">
        <w:rPr>
          <w:rFonts w:cs="Guttman Rashi"/>
          <w:rtl/>
          <w:lang w:bidi="he-IL"/>
        </w:rPr>
        <w:t xml:space="preserve"> </w:t>
      </w:r>
      <w:r w:rsidRPr="00400C0B">
        <w:rPr>
          <w:rFonts w:cs="Guttman Rashi" w:hint="eastAsia"/>
          <w:rtl/>
          <w:lang w:bidi="he-IL"/>
        </w:rPr>
        <w:t>למין</w:t>
      </w:r>
      <w:r w:rsidRPr="00400C0B">
        <w:rPr>
          <w:rFonts w:cs="Guttman Rashi"/>
          <w:rtl/>
          <w:lang w:bidi="he-IL"/>
        </w:rPr>
        <w:t xml:space="preserve"> </w:t>
      </w:r>
      <w:r w:rsidRPr="00400C0B">
        <w:rPr>
          <w:rFonts w:cs="Guttman Rashi" w:hint="eastAsia"/>
          <w:rtl/>
          <w:lang w:bidi="he-IL"/>
        </w:rPr>
        <w:t>התבשיל</w:t>
      </w:r>
      <w:r w:rsidRPr="00400C0B">
        <w:rPr>
          <w:rFonts w:cs="Guttman Rashi"/>
          <w:rtl/>
          <w:lang w:bidi="he-IL"/>
        </w:rPr>
        <w:t xml:space="preserve"> </w:t>
      </w:r>
      <w:r w:rsidRPr="00400C0B">
        <w:rPr>
          <w:rFonts w:cs="Guttman Rashi" w:hint="eastAsia"/>
          <w:rtl/>
          <w:lang w:bidi="he-IL"/>
        </w:rPr>
        <w:t>שהואמין</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ממה</w:t>
      </w:r>
      <w:r w:rsidRPr="00400C0B">
        <w:rPr>
          <w:rFonts w:cs="Guttman Rashi"/>
          <w:rtl/>
          <w:lang w:bidi="he-IL"/>
        </w:rPr>
        <w:t xml:space="preserve"> </w:t>
      </w:r>
      <w:r w:rsidRPr="00400C0B">
        <w:rPr>
          <w:rFonts w:cs="Guttman Rashi" w:hint="eastAsia"/>
          <w:rtl/>
          <w:lang w:bidi="he-IL"/>
        </w:rPr>
        <w:t>שהכניס</w:t>
      </w:r>
      <w:r w:rsidRPr="00400C0B">
        <w:rPr>
          <w:rFonts w:cs="Guttman Rashi"/>
          <w:rtl/>
          <w:lang w:bidi="he-IL"/>
        </w:rPr>
        <w:t xml:space="preserve"> </w:t>
      </w:r>
      <w:r w:rsidRPr="00400C0B">
        <w:rPr>
          <w:rFonts w:cs="Guttman Rashi" w:hint="eastAsia"/>
          <w:rtl/>
          <w:lang w:bidi="he-IL"/>
        </w:rPr>
        <w:t>מקודם</w:t>
      </w:r>
      <w:r w:rsidRPr="00400C0B">
        <w:rPr>
          <w:rFonts w:cs="Guttman Rashi"/>
          <w:rtl/>
          <w:lang w:bidi="he-IL"/>
        </w:rPr>
        <w:t xml:space="preserve">, </w:t>
      </w:r>
      <w:r w:rsidRPr="00400C0B">
        <w:rPr>
          <w:rFonts w:cs="Guttman Rashi" w:hint="eastAsia"/>
          <w:rtl/>
          <w:lang w:bidi="he-IL"/>
        </w:rPr>
        <w:t>ובזה</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בירקות</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ובזה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מצאנו</w:t>
      </w:r>
      <w:r w:rsidRPr="00400C0B">
        <w:rPr>
          <w:rFonts w:cs="Guttman Rashi"/>
          <w:rtl/>
          <w:lang w:bidi="he-IL"/>
        </w:rPr>
        <w:t xml:space="preserve"> </w:t>
      </w:r>
      <w:r w:rsidRPr="00400C0B">
        <w:rPr>
          <w:rFonts w:cs="Guttman Rashi" w:hint="eastAsia"/>
          <w:rtl/>
          <w:lang w:bidi="he-IL"/>
        </w:rPr>
        <w:t>לתרוה</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שהקיל</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משו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נטה</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בסברות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התרוה</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שדברי</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קאי</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בדין</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ממה</w:t>
      </w:r>
      <w:r w:rsidRPr="00400C0B">
        <w:rPr>
          <w:rFonts w:cs="Guttman Rashi"/>
          <w:rtl/>
          <w:lang w:bidi="he-IL"/>
        </w:rPr>
        <w:t xml:space="preserve"> </w:t>
      </w:r>
      <w:r w:rsidRPr="00400C0B">
        <w:rPr>
          <w:rFonts w:cs="Guttman Rashi" w:hint="eastAsia"/>
          <w:rtl/>
          <w:lang w:bidi="he-IL"/>
        </w:rPr>
        <w:t>שהקיל</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דהתם</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בנפל</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בשרי</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מב</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שאולי</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מטעם</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הבשר</w:t>
      </w:r>
      <w:r w:rsidRPr="00400C0B">
        <w:rPr>
          <w:rFonts w:cs="Guttman Rashi"/>
          <w:rtl/>
          <w:lang w:bidi="he-IL"/>
        </w:rPr>
        <w:t xml:space="preserve"> </w:t>
      </w:r>
      <w:r w:rsidRPr="00400C0B">
        <w:rPr>
          <w:rFonts w:cs="Guttman Rashi" w:hint="eastAsia"/>
          <w:rtl/>
          <w:lang w:bidi="he-IL"/>
        </w:rPr>
        <w:t>שהיתה</w:t>
      </w:r>
      <w:r w:rsidRPr="00400C0B">
        <w:rPr>
          <w:rFonts w:cs="Guttman Rashi"/>
          <w:rtl/>
          <w:lang w:bidi="he-IL"/>
        </w:rPr>
        <w:t xml:space="preserve"> </w:t>
      </w:r>
      <w:r w:rsidRPr="00400C0B">
        <w:rPr>
          <w:rFonts w:cs="Guttman Rashi" w:hint="eastAsia"/>
          <w:rtl/>
          <w:lang w:bidi="he-IL"/>
        </w:rPr>
        <w:t>בלוע</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מקודם</w:t>
      </w:r>
      <w:r w:rsidRPr="00400C0B">
        <w:rPr>
          <w:rFonts w:cs="Guttman Rashi"/>
          <w:rtl/>
          <w:lang w:bidi="he-IL"/>
        </w:rPr>
        <w:t xml:space="preserve"> (</w:t>
      </w:r>
      <w:r w:rsidRPr="00400C0B">
        <w:rPr>
          <w:rFonts w:cs="Guttman Rashi" w:hint="eastAsia"/>
          <w:rtl/>
          <w:lang w:bidi="he-IL"/>
        </w:rPr>
        <w:t>והרי</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ישנה</w:t>
      </w:r>
      <w:r w:rsidRPr="00400C0B">
        <w:rPr>
          <w:rFonts w:cs="Guttman Rashi"/>
          <w:rtl/>
          <w:lang w:bidi="he-IL"/>
        </w:rPr>
        <w:t xml:space="preserve"> </w:t>
      </w:r>
      <w:r w:rsidRPr="00400C0B">
        <w:rPr>
          <w:rFonts w:cs="Guttman Rashi" w:hint="eastAsia"/>
          <w:rtl/>
          <w:lang w:bidi="he-IL"/>
        </w:rPr>
        <w:t>וכדמבואר</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בש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לטעם</w:t>
      </w:r>
      <w:r w:rsidRPr="00400C0B">
        <w:rPr>
          <w:rFonts w:cs="Guttman Rashi"/>
          <w:rtl/>
          <w:lang w:bidi="he-IL"/>
        </w:rPr>
        <w:t xml:space="preserve"> </w:t>
      </w:r>
      <w:r w:rsidRPr="00400C0B">
        <w:rPr>
          <w:rFonts w:cs="Guttman Rashi" w:hint="eastAsia"/>
          <w:rtl/>
          <w:lang w:bidi="he-IL"/>
        </w:rPr>
        <w:t>הדבר</w:t>
      </w:r>
      <w:r w:rsidRPr="00400C0B">
        <w:rPr>
          <w:rFonts w:cs="Guttman Rashi"/>
          <w:rtl/>
          <w:lang w:bidi="he-IL"/>
        </w:rPr>
        <w:t xml:space="preserve">), </w:t>
      </w:r>
      <w:r w:rsidRPr="00400C0B">
        <w:rPr>
          <w:rFonts w:cs="Guttman Rashi" w:hint="eastAsia"/>
          <w:rtl/>
          <w:lang w:bidi="he-IL"/>
        </w:rPr>
        <w:t>ובזה</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בשאינו</w:t>
      </w:r>
      <w:r w:rsidRPr="00400C0B">
        <w:rPr>
          <w:rFonts w:cs="Guttman Rashi"/>
          <w:rtl/>
          <w:lang w:bidi="he-IL"/>
        </w:rPr>
        <w:t xml:space="preserve"> </w:t>
      </w:r>
      <w:r w:rsidRPr="00400C0B">
        <w:rPr>
          <w:rFonts w:cs="Guttman Rashi" w:hint="eastAsia"/>
          <w:rtl/>
          <w:lang w:bidi="he-IL"/>
        </w:rPr>
        <w:t>מינו</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סתם</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 xml:space="preserve"> </w:t>
      </w:r>
      <w:r w:rsidRPr="00400C0B">
        <w:rPr>
          <w:rFonts w:cs="Guttman Rashi" w:hint="eastAsia"/>
          <w:rtl/>
          <w:lang w:bidi="he-IL"/>
        </w:rPr>
        <w:t>שסתמא</w:t>
      </w:r>
      <w:r w:rsidRPr="00400C0B">
        <w:rPr>
          <w:rFonts w:cs="Guttman Rashi"/>
          <w:rtl/>
          <w:lang w:bidi="he-IL"/>
        </w:rPr>
        <w:t xml:space="preserve"> </w:t>
      </w:r>
      <w:r w:rsidRPr="00400C0B">
        <w:rPr>
          <w:rFonts w:cs="Guttman Rashi" w:hint="eastAsia"/>
          <w:rtl/>
          <w:lang w:bidi="he-IL"/>
        </w:rPr>
        <w:t>דמילתא</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בשרים</w:t>
      </w:r>
      <w:r w:rsidRPr="00400C0B">
        <w:rPr>
          <w:rFonts w:cs="Guttman Rashi"/>
          <w:rtl/>
          <w:lang w:bidi="he-IL"/>
        </w:rPr>
        <w:t xml:space="preserve"> </w:t>
      </w:r>
      <w:r w:rsidRPr="00400C0B">
        <w:rPr>
          <w:rFonts w:cs="Guttman Rashi" w:hint="eastAsia"/>
          <w:rtl/>
          <w:lang w:bidi="he-IL"/>
        </w:rPr>
        <w:t>הוו</w:t>
      </w:r>
      <w:r w:rsidRPr="00400C0B">
        <w:rPr>
          <w:rFonts w:cs="Guttman Rashi"/>
          <w:rtl/>
          <w:lang w:bidi="he-IL"/>
        </w:rPr>
        <w:t xml:space="preserve"> </w:t>
      </w:r>
      <w:r w:rsidRPr="00400C0B">
        <w:rPr>
          <w:rFonts w:cs="Guttman Rashi" w:hint="eastAsia"/>
          <w:rtl/>
          <w:lang w:bidi="he-IL"/>
        </w:rPr>
        <w:t>מאותו</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משכחת</w:t>
      </w:r>
      <w:r w:rsidRPr="00400C0B">
        <w:rPr>
          <w:rFonts w:cs="Guttman Rashi"/>
          <w:rtl/>
          <w:lang w:bidi="he-IL"/>
        </w:rPr>
        <w:t xml:space="preserve"> </w:t>
      </w:r>
      <w:r w:rsidRPr="00400C0B">
        <w:rPr>
          <w:rFonts w:cs="Guttman Rashi" w:hint="eastAsia"/>
          <w:rtl/>
          <w:lang w:bidi="he-IL"/>
        </w:rPr>
        <w:t>לה</w:t>
      </w:r>
      <w:r w:rsidRPr="00400C0B">
        <w:rPr>
          <w:rFonts w:cs="Guttman Rashi"/>
          <w:rtl/>
          <w:lang w:bidi="he-IL"/>
        </w:rPr>
        <w:t xml:space="preserve"> </w:t>
      </w:r>
      <w:r w:rsidRPr="00400C0B">
        <w:rPr>
          <w:rFonts w:cs="Guttman Rashi" w:hint="eastAsia"/>
          <w:rtl/>
          <w:lang w:bidi="he-IL"/>
        </w:rPr>
        <w:t>טעמים</w:t>
      </w:r>
      <w:r w:rsidRPr="00400C0B">
        <w:rPr>
          <w:rFonts w:cs="Guttman Rashi"/>
          <w:rtl/>
          <w:lang w:bidi="he-IL"/>
        </w:rPr>
        <w:t xml:space="preserve"> </w:t>
      </w:r>
      <w:r w:rsidRPr="00400C0B">
        <w:rPr>
          <w:rFonts w:cs="Guttman Rashi" w:hint="eastAsia"/>
          <w:rtl/>
          <w:lang w:bidi="he-IL"/>
        </w:rPr>
        <w:t>שונים</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 xml:space="preserve">' </w:t>
      </w:r>
      <w:r w:rsidRPr="00400C0B">
        <w:rPr>
          <w:rFonts w:cs="Guttman Rashi" w:hint="eastAsia"/>
          <w:rtl/>
          <w:lang w:bidi="he-IL"/>
        </w:rPr>
        <w:t>מיני</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שעוד</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נפק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בקדרה</w:t>
      </w:r>
      <w:r w:rsidRPr="00400C0B">
        <w:rPr>
          <w:rFonts w:cs="Guttman Rashi"/>
          <w:rtl/>
          <w:lang w:bidi="he-IL"/>
        </w:rPr>
        <w:t xml:space="preserve"> </w:t>
      </w:r>
      <w:r w:rsidRPr="00400C0B">
        <w:rPr>
          <w:rFonts w:cs="Guttman Rashi" w:hint="eastAsia"/>
          <w:rtl/>
          <w:lang w:bidi="he-IL"/>
        </w:rPr>
        <w:t>בשרית</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יומו</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תבשיל</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ירקות</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שמקילין</w:t>
      </w:r>
      <w:r w:rsidRPr="00400C0B">
        <w:rPr>
          <w:rFonts w:cs="Guttman Rashi"/>
          <w:rtl/>
          <w:lang w:bidi="he-IL"/>
        </w:rPr>
        <w:t xml:space="preserve"> </w:t>
      </w:r>
      <w:r w:rsidRPr="00400C0B">
        <w:rPr>
          <w:rFonts w:cs="Guttman Rashi" w:hint="eastAsia"/>
          <w:rtl/>
          <w:lang w:bidi="he-IL"/>
        </w:rPr>
        <w:t>בדיעבד</w:t>
      </w:r>
      <w:r w:rsidRPr="00400C0B">
        <w:rPr>
          <w:rFonts w:cs="Guttman Rashi"/>
          <w:rtl/>
          <w:lang w:bidi="he-IL"/>
        </w:rPr>
        <w:t xml:space="preserve">, </w:t>
      </w:r>
      <w:r w:rsidRPr="00400C0B">
        <w:rPr>
          <w:rFonts w:cs="Guttman Rashi" w:hint="eastAsia"/>
          <w:rtl/>
          <w:lang w:bidi="he-IL"/>
        </w:rPr>
        <w:t>וזהו</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נוגע</w:t>
      </w:r>
      <w:r w:rsidRPr="00400C0B">
        <w:rPr>
          <w:rFonts w:cs="Guttman Rashi"/>
          <w:rtl/>
          <w:lang w:bidi="he-IL"/>
        </w:rPr>
        <w:t xml:space="preserve"> </w:t>
      </w:r>
      <w:r w:rsidRPr="00400C0B">
        <w:rPr>
          <w:rFonts w:cs="Guttman Rashi" w:hint="eastAsia"/>
          <w:rtl/>
          <w:lang w:bidi="he-IL"/>
        </w:rPr>
        <w:t>לאיסור</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דשוב</w:t>
      </w:r>
      <w:r w:rsidRPr="00400C0B">
        <w:rPr>
          <w:rFonts w:cs="Guttman Rashi"/>
          <w:rtl/>
          <w:lang w:bidi="he-IL"/>
        </w:rPr>
        <w:t xml:space="preserve"> </w:t>
      </w:r>
      <w:r w:rsidRPr="00400C0B">
        <w:rPr>
          <w:rFonts w:cs="Guttman Rashi" w:hint="eastAsia"/>
          <w:rtl/>
          <w:lang w:bidi="he-IL"/>
        </w:rPr>
        <w:t>מצאתי</w:t>
      </w:r>
      <w:r w:rsidRPr="00400C0B">
        <w:rPr>
          <w:rFonts w:cs="Guttman Rashi"/>
          <w:rtl/>
          <w:lang w:bidi="he-IL"/>
        </w:rPr>
        <w:t xml:space="preserve"> </w:t>
      </w:r>
      <w:r w:rsidRPr="00400C0B">
        <w:rPr>
          <w:rFonts w:cs="Guttman Rashi" w:hint="eastAsia"/>
          <w:rtl/>
          <w:lang w:bidi="he-IL"/>
        </w:rPr>
        <w:t>ליד</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סברת</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בצירף</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שמסתבר</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כנגדד</w:t>
      </w:r>
      <w:r w:rsidRPr="00400C0B">
        <w:rPr>
          <w:rFonts w:cs="Guttman Rashi"/>
          <w:rtl/>
          <w:lang w:bidi="he-IL"/>
        </w:rPr>
        <w:t xml:space="preserve"> </w:t>
      </w:r>
      <w:r w:rsidRPr="00400C0B">
        <w:rPr>
          <w:rFonts w:cs="Guttman Rashi" w:hint="eastAsia"/>
          <w:rtl/>
          <w:lang w:bidi="he-IL"/>
        </w:rPr>
        <w:t>הרוטב</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ברוטב</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בחתיכה</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בדליכא</w:t>
      </w:r>
      <w:r w:rsidRPr="00400C0B">
        <w:rPr>
          <w:rFonts w:cs="Guttman Rashi"/>
          <w:rtl/>
          <w:lang w:bidi="he-IL"/>
        </w:rPr>
        <w:t xml:space="preserve"> </w:t>
      </w:r>
      <w:r w:rsidRPr="00400C0B">
        <w:rPr>
          <w:rFonts w:cs="Guttman Rashi" w:hint="eastAsia"/>
          <w:rtl/>
          <w:lang w:bidi="he-IL"/>
        </w:rPr>
        <w:t>צירוף</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אולי</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הזכיר</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p>
    <w:p w:rsidR="007978F4" w:rsidRPr="00400C0B" w:rsidRDefault="007978F4" w:rsidP="00B80448">
      <w:pPr>
        <w:pStyle w:val="FootnoteText"/>
        <w:bidi/>
        <w:jc w:val="both"/>
        <w:rPr>
          <w:rFonts w:cs="Guttman Rashi"/>
          <w:rtl/>
          <w:lang w:bidi="he-IL"/>
        </w:rPr>
      </w:pP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חזר</w:t>
      </w:r>
      <w:r w:rsidRPr="00400C0B">
        <w:rPr>
          <w:rFonts w:cs="Guttman Rashi"/>
          <w:rtl/>
          <w:lang w:bidi="he-IL"/>
        </w:rPr>
        <w:t xml:space="preserve"> </w:t>
      </w:r>
      <w:r w:rsidRPr="00400C0B">
        <w:rPr>
          <w:rFonts w:cs="Guttman Rashi" w:hint="eastAsia"/>
          <w:rtl/>
          <w:lang w:bidi="he-IL"/>
        </w:rPr>
        <w:t>והכניס</w:t>
      </w:r>
      <w:r w:rsidRPr="00400C0B">
        <w:rPr>
          <w:rFonts w:cs="Guttman Rashi"/>
          <w:rtl/>
          <w:lang w:bidi="he-IL"/>
        </w:rPr>
        <w:t xml:space="preserve"> </w:t>
      </w:r>
      <w:r w:rsidRPr="00400C0B">
        <w:rPr>
          <w:rFonts w:cs="Guttman Rashi" w:hint="eastAsia"/>
          <w:rtl/>
          <w:lang w:bidi="he-IL"/>
        </w:rPr>
        <w:t>לתוך</w:t>
      </w:r>
      <w:r w:rsidRPr="00400C0B">
        <w:rPr>
          <w:rFonts w:cs="Guttman Rashi"/>
          <w:rtl/>
          <w:lang w:bidi="he-IL"/>
        </w:rPr>
        <w:t xml:space="preserve"> </w:t>
      </w:r>
      <w:r w:rsidRPr="00400C0B">
        <w:rPr>
          <w:rFonts w:cs="Guttman Rashi" w:hint="eastAsia"/>
          <w:rtl/>
          <w:lang w:bidi="he-IL"/>
        </w:rPr>
        <w:t>קדרה</w:t>
      </w:r>
      <w:r w:rsidRPr="00400C0B">
        <w:rPr>
          <w:rFonts w:cs="Guttman Rashi"/>
          <w:rtl/>
          <w:lang w:bidi="he-IL"/>
        </w:rPr>
        <w:t xml:space="preserve"> </w:t>
      </w:r>
      <w:r w:rsidRPr="00400C0B">
        <w:rPr>
          <w:rFonts w:cs="Guttman Rashi" w:hint="eastAsia"/>
          <w:rtl/>
          <w:lang w:bidi="he-IL"/>
        </w:rPr>
        <w:t>שהיא</w:t>
      </w:r>
      <w:r w:rsidRPr="00400C0B">
        <w:rPr>
          <w:rFonts w:cs="Guttman Rashi"/>
          <w:rtl/>
          <w:lang w:bidi="he-IL"/>
        </w:rPr>
        <w:t xml:space="preserve"> </w:t>
      </w:r>
      <w:r w:rsidRPr="00400C0B">
        <w:rPr>
          <w:rFonts w:cs="Guttman Rashi" w:hint="eastAsia"/>
          <w:rtl/>
          <w:lang w:bidi="he-IL"/>
        </w:rPr>
        <w:t>אותה</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האחרון</w:t>
      </w:r>
      <w:r w:rsidRPr="00400C0B">
        <w:rPr>
          <w:rFonts w:cs="Guttman Rashi"/>
          <w:rtl/>
          <w:lang w:bidi="he-IL"/>
        </w:rPr>
        <w:t xml:space="preserve">, </w:t>
      </w:r>
      <w:r w:rsidRPr="00400C0B">
        <w:rPr>
          <w:rFonts w:cs="Guttman Rashi" w:hint="eastAsia"/>
          <w:rtl/>
          <w:lang w:bidi="he-IL"/>
        </w:rPr>
        <w:t>שפיר</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מב</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שבטל</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כתרוה</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p>
  </w:footnote>
  <w:footnote w:id="27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ול</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מכל</w:t>
      </w:r>
      <w:r w:rsidRPr="00400C0B">
        <w:rPr>
          <w:rFonts w:cs="Guttman Rashi"/>
          <w:rtl/>
          <w:lang w:bidi="he-IL"/>
        </w:rPr>
        <w:t xml:space="preserve"> </w:t>
      </w:r>
      <w:r w:rsidRPr="00400C0B">
        <w:rPr>
          <w:rFonts w:cs="Guttman Rashi" w:hint="eastAsia"/>
          <w:rtl/>
          <w:lang w:bidi="he-IL"/>
        </w:rPr>
        <w:t>זה</w:t>
      </w:r>
    </w:p>
  </w:footnote>
  <w:footnote w:id="28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ושם</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לדייק</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מפמ</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שהדין</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ראיתי</w:t>
      </w:r>
      <w:r w:rsidRPr="00400C0B">
        <w:rPr>
          <w:rFonts w:cs="Guttman Rashi"/>
          <w:rtl/>
          <w:lang w:bidi="he-IL"/>
        </w:rPr>
        <w:t xml:space="preserve"> </w:t>
      </w:r>
      <w:r w:rsidRPr="00400C0B">
        <w:rPr>
          <w:rFonts w:cs="Guttman Rashi" w:hint="eastAsia"/>
          <w:rtl/>
          <w:lang w:bidi="he-IL"/>
        </w:rPr>
        <w:t>במילואים</w:t>
      </w:r>
      <w:r w:rsidRPr="00400C0B">
        <w:rPr>
          <w:rFonts w:cs="Guttman Rashi"/>
          <w:rtl/>
          <w:lang w:bidi="he-IL"/>
        </w:rPr>
        <w:t xml:space="preserve"> </w:t>
      </w:r>
      <w:r w:rsidRPr="00400C0B">
        <w:rPr>
          <w:rFonts w:cs="Guttman Rashi" w:hint="eastAsia"/>
          <w:rtl/>
          <w:lang w:bidi="he-IL"/>
        </w:rPr>
        <w:t>לבדי</w:t>
      </w:r>
      <w:r w:rsidRPr="00400C0B">
        <w:rPr>
          <w:rFonts w:cs="Guttman Rashi"/>
          <w:rtl/>
          <w:lang w:bidi="he-IL"/>
        </w:rPr>
        <w:t xml:space="preserve"> </w:t>
      </w:r>
      <w:r w:rsidRPr="00400C0B">
        <w:rPr>
          <w:rFonts w:cs="Guttman Rashi" w:hint="eastAsia"/>
          <w:rtl/>
          <w:lang w:bidi="he-IL"/>
        </w:rPr>
        <w:t>השלחן</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מודפס</w:t>
      </w:r>
      <w:r w:rsidRPr="00400C0B">
        <w:rPr>
          <w:rFonts w:cs="Guttman Rashi"/>
          <w:rtl/>
          <w:lang w:bidi="he-IL"/>
        </w:rPr>
        <w:t xml:space="preserve"> </w:t>
      </w:r>
      <w:r w:rsidRPr="00400C0B">
        <w:rPr>
          <w:rFonts w:cs="Guttman Rashi" w:hint="eastAsia"/>
          <w:rtl/>
          <w:lang w:bidi="he-IL"/>
        </w:rPr>
        <w:t>בסוף</w:t>
      </w:r>
      <w:r w:rsidRPr="00400C0B">
        <w:rPr>
          <w:rFonts w:cs="Guttman Rashi"/>
          <w:rtl/>
          <w:lang w:bidi="he-IL"/>
        </w:rPr>
        <w:t xml:space="preserve"> </w:t>
      </w:r>
      <w:r w:rsidRPr="00400C0B">
        <w:rPr>
          <w:rFonts w:cs="Guttman Rashi" w:hint="eastAsia"/>
          <w:rtl/>
          <w:lang w:bidi="he-IL"/>
        </w:rPr>
        <w:t>בדי</w:t>
      </w:r>
      <w:r w:rsidRPr="00400C0B">
        <w:rPr>
          <w:rFonts w:cs="Guttman Rashi"/>
          <w:rtl/>
          <w:lang w:bidi="he-IL"/>
        </w:rPr>
        <w:t xml:space="preserve"> </w:t>
      </w:r>
      <w:r w:rsidRPr="00400C0B">
        <w:rPr>
          <w:rFonts w:cs="Guttman Rashi" w:hint="eastAsia"/>
          <w:rtl/>
          <w:lang w:bidi="he-IL"/>
        </w:rPr>
        <w:t>השלחן</w:t>
      </w:r>
      <w:r w:rsidRPr="00400C0B">
        <w:rPr>
          <w:rFonts w:cs="Guttman Rashi"/>
          <w:rtl/>
          <w:lang w:bidi="he-IL"/>
        </w:rPr>
        <w:t xml:space="preserve"> </w:t>
      </w:r>
      <w:r w:rsidRPr="00400C0B">
        <w:rPr>
          <w:rFonts w:cs="Guttman Rashi" w:hint="eastAsia"/>
          <w:rtl/>
          <w:lang w:bidi="he-IL"/>
        </w:rPr>
        <w:t>ליו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 </w:t>
      </w:r>
      <w:r w:rsidRPr="00400C0B">
        <w:rPr>
          <w:rFonts w:cs="Guttman Rashi" w:hint="eastAsia"/>
          <w:rtl/>
          <w:lang w:bidi="he-IL"/>
        </w:rPr>
        <w:t>קי</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ששוב</w:t>
      </w:r>
      <w:r w:rsidRPr="00400C0B">
        <w:rPr>
          <w:rFonts w:cs="Guttman Rashi"/>
          <w:rtl/>
          <w:lang w:bidi="he-IL"/>
        </w:rPr>
        <w:t xml:space="preserve"> </w:t>
      </w:r>
      <w:r w:rsidRPr="00400C0B">
        <w:rPr>
          <w:rFonts w:cs="Guttman Rashi" w:hint="eastAsia"/>
          <w:rtl/>
          <w:lang w:bidi="he-IL"/>
        </w:rPr>
        <w:t>חזר</w:t>
      </w:r>
      <w:r w:rsidRPr="00400C0B">
        <w:rPr>
          <w:rFonts w:cs="Guttman Rashi"/>
          <w:rtl/>
          <w:lang w:bidi="he-IL"/>
        </w:rPr>
        <w:t xml:space="preserve"> </w:t>
      </w:r>
      <w:r w:rsidRPr="00400C0B">
        <w:rPr>
          <w:rFonts w:cs="Guttman Rashi" w:hint="eastAsia"/>
          <w:rtl/>
          <w:lang w:bidi="he-IL"/>
        </w:rPr>
        <w:t>בו</w:t>
      </w:r>
      <w:r w:rsidRPr="00400C0B">
        <w:rPr>
          <w:rFonts w:cs="Guttman Rashi"/>
          <w:rtl/>
          <w:lang w:bidi="he-IL"/>
        </w:rPr>
        <w:t xml:space="preserve"> </w:t>
      </w:r>
      <w:r w:rsidRPr="00400C0B">
        <w:rPr>
          <w:rFonts w:cs="Guttman Rashi" w:hint="eastAsia"/>
          <w:rtl/>
          <w:lang w:bidi="he-IL"/>
        </w:rPr>
        <w:t>ממשמעות</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מפמ</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שדברי</w:t>
      </w:r>
      <w:r w:rsidRPr="00400C0B">
        <w:rPr>
          <w:rFonts w:cs="Guttman Rashi"/>
          <w:rtl/>
          <w:lang w:bidi="he-IL"/>
        </w:rPr>
        <w:t xml:space="preserve"> </w:t>
      </w:r>
      <w:r w:rsidRPr="00400C0B">
        <w:rPr>
          <w:rFonts w:cs="Guttman Rashi" w:hint="eastAsia"/>
          <w:rtl/>
          <w:lang w:bidi="he-IL"/>
        </w:rPr>
        <w:t>סתימת</w:t>
      </w:r>
      <w:r w:rsidRPr="00400C0B">
        <w:rPr>
          <w:rFonts w:cs="Guttman Rashi"/>
          <w:rtl/>
          <w:lang w:bidi="he-IL"/>
        </w:rPr>
        <w:t xml:space="preserve"> </w:t>
      </w:r>
      <w:r w:rsidRPr="00400C0B">
        <w:rPr>
          <w:rFonts w:cs="Guttman Rashi" w:hint="eastAsia"/>
          <w:rtl/>
          <w:lang w:bidi="he-IL"/>
        </w:rPr>
        <w:t>לשון</w:t>
      </w:r>
      <w:r w:rsidRPr="00400C0B">
        <w:rPr>
          <w:rFonts w:cs="Guttman Rashi"/>
          <w:rtl/>
          <w:lang w:bidi="he-IL"/>
        </w:rPr>
        <w:t xml:space="preserve"> </w:t>
      </w:r>
      <w:r w:rsidRPr="00400C0B">
        <w:rPr>
          <w:rFonts w:cs="Guttman Rashi" w:hint="eastAsia"/>
          <w:rtl/>
          <w:lang w:bidi="he-IL"/>
        </w:rPr>
        <w:t>המחבר</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שאסור</w:t>
      </w:r>
      <w:r w:rsidRPr="00400C0B">
        <w:rPr>
          <w:rFonts w:cs="Guttman Rashi"/>
          <w:rtl/>
          <w:lang w:bidi="he-IL"/>
        </w:rPr>
        <w:t xml:space="preserve"> </w:t>
      </w:r>
      <w:r w:rsidRPr="00400C0B">
        <w:rPr>
          <w:rFonts w:cs="Guttman Rashi" w:hint="eastAsia"/>
          <w:rtl/>
          <w:lang w:bidi="he-IL"/>
        </w:rPr>
        <w:t>לעולם</w:t>
      </w:r>
      <w:r w:rsidRPr="00400C0B">
        <w:rPr>
          <w:rFonts w:cs="Guttman Rashi"/>
          <w:rtl/>
          <w:lang w:bidi="he-IL"/>
        </w:rPr>
        <w:t xml:space="preserve">. </w:t>
      </w:r>
      <w:r w:rsidRPr="00400C0B">
        <w:rPr>
          <w:rFonts w:cs="Guttman Rashi" w:hint="eastAsia"/>
          <w:rtl/>
          <w:lang w:bidi="he-IL"/>
        </w:rPr>
        <w:t>ונשאר</w:t>
      </w:r>
      <w:r w:rsidRPr="00400C0B">
        <w:rPr>
          <w:rFonts w:cs="Guttman Rashi"/>
          <w:rtl/>
          <w:lang w:bidi="he-IL"/>
        </w:rPr>
        <w:t xml:space="preserve"> </w:t>
      </w:r>
      <w:r w:rsidRPr="00400C0B">
        <w:rPr>
          <w:rFonts w:cs="Guttman Rashi" w:hint="eastAsia"/>
          <w:rtl/>
          <w:lang w:bidi="he-IL"/>
        </w:rPr>
        <w:t>בצ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ולעניי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להיפך</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ראיתי</w:t>
      </w:r>
      <w:r w:rsidRPr="00400C0B">
        <w:rPr>
          <w:rFonts w:cs="Guttman Rashi"/>
          <w:rtl/>
          <w:lang w:bidi="he-IL"/>
        </w:rPr>
        <w:t xml:space="preserve"> </w:t>
      </w:r>
      <w:r w:rsidRPr="00400C0B">
        <w:rPr>
          <w:rFonts w:cs="Guttman Rashi" w:hint="eastAsia"/>
          <w:rtl/>
          <w:lang w:bidi="he-IL"/>
        </w:rPr>
        <w:t>שום</w:t>
      </w:r>
      <w:r w:rsidRPr="00400C0B">
        <w:rPr>
          <w:rFonts w:cs="Guttman Rashi"/>
          <w:rtl/>
          <w:lang w:bidi="he-IL"/>
        </w:rPr>
        <w:t xml:space="preserve"> </w:t>
      </w:r>
      <w:r w:rsidRPr="00400C0B">
        <w:rPr>
          <w:rFonts w:cs="Guttman Rashi" w:hint="eastAsia"/>
          <w:rtl/>
          <w:lang w:bidi="he-IL"/>
        </w:rPr>
        <w:t>משמעות</w:t>
      </w:r>
      <w:r w:rsidRPr="00400C0B">
        <w:rPr>
          <w:rFonts w:cs="Guttman Rashi"/>
          <w:rtl/>
          <w:lang w:bidi="he-IL"/>
        </w:rPr>
        <w:t xml:space="preserve"> </w:t>
      </w:r>
      <w:r w:rsidRPr="00400C0B">
        <w:rPr>
          <w:rFonts w:cs="Guttman Rashi" w:hint="eastAsia"/>
          <w:rtl/>
          <w:lang w:bidi="he-IL"/>
        </w:rPr>
        <w:t>מסתימת</w:t>
      </w:r>
      <w:r w:rsidRPr="00400C0B">
        <w:rPr>
          <w:rFonts w:cs="Guttman Rashi"/>
          <w:rtl/>
          <w:lang w:bidi="he-IL"/>
        </w:rPr>
        <w:t xml:space="preserve"> </w:t>
      </w:r>
      <w:r w:rsidRPr="00400C0B">
        <w:rPr>
          <w:rFonts w:cs="Guttman Rashi" w:hint="eastAsia"/>
          <w:rtl/>
          <w:lang w:bidi="he-IL"/>
        </w:rPr>
        <w:t>השו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לעולם</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לעולם</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להדגיש</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אוסרים</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לעולם</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נלעוק</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שהדין</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חדשה</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ישנה</w:t>
      </w:r>
      <w:r w:rsidRPr="00400C0B">
        <w:rPr>
          <w:rFonts w:cs="Guttman Rashi"/>
          <w:rtl/>
          <w:lang w:bidi="he-IL"/>
        </w:rPr>
        <w:t xml:space="preserve"> </w:t>
      </w:r>
      <w:r w:rsidRPr="00400C0B">
        <w:rPr>
          <w:rFonts w:cs="Guttman Rashi" w:hint="eastAsia"/>
          <w:rtl/>
          <w:lang w:bidi="he-IL"/>
        </w:rPr>
        <w:t>שהכניס</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כף</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יומו</w:t>
      </w:r>
      <w:r w:rsidRPr="00400C0B">
        <w:rPr>
          <w:rFonts w:cs="Guttman Rashi"/>
          <w:rtl/>
          <w:lang w:bidi="he-IL"/>
        </w:rPr>
        <w:t xml:space="preserve"> </w:t>
      </w:r>
      <w:r w:rsidRPr="00400C0B">
        <w:rPr>
          <w:rFonts w:cs="Guttman Rashi" w:hint="eastAsia"/>
          <w:rtl/>
          <w:lang w:bidi="he-IL"/>
        </w:rPr>
        <w:t>דאידך</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מדינא</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מנהג</w:t>
      </w:r>
      <w:r w:rsidRPr="00400C0B">
        <w:rPr>
          <w:rFonts w:cs="Guttman Rashi"/>
          <w:rtl/>
          <w:lang w:bidi="he-IL"/>
        </w:rPr>
        <w:t xml:space="preserve"> </w:t>
      </w:r>
      <w:r w:rsidRPr="00400C0B">
        <w:rPr>
          <w:rFonts w:cs="Guttman Rashi" w:hint="eastAsia"/>
          <w:rtl/>
          <w:lang w:bidi="he-IL"/>
        </w:rPr>
        <w:t>וכדמבואר</w:t>
      </w:r>
      <w:r w:rsidRPr="00400C0B">
        <w:rPr>
          <w:rFonts w:cs="Guttman Rashi"/>
          <w:rtl/>
          <w:lang w:bidi="he-IL"/>
        </w:rPr>
        <w:t xml:space="preserve"> </w:t>
      </w:r>
      <w:r w:rsidRPr="00400C0B">
        <w:rPr>
          <w:rFonts w:cs="Guttman Rashi" w:hint="eastAsia"/>
          <w:rtl/>
          <w:lang w:bidi="he-IL"/>
        </w:rPr>
        <w:t>בש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וגם</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אסר</w:t>
      </w:r>
      <w:r w:rsidRPr="00400C0B">
        <w:rPr>
          <w:rFonts w:cs="Guttman Rashi"/>
          <w:rtl/>
          <w:lang w:bidi="he-IL"/>
        </w:rPr>
        <w:t xml:space="preserve"> </w:t>
      </w:r>
      <w:r w:rsidRPr="00400C0B">
        <w:rPr>
          <w:rFonts w:cs="Guttman Rashi" w:hint="eastAsia"/>
          <w:rtl/>
          <w:lang w:bidi="he-IL"/>
        </w:rPr>
        <w:t>לעולם</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במנהג</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החמירו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שכהוא</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יומו</w:t>
      </w:r>
      <w:r w:rsidRPr="00400C0B">
        <w:rPr>
          <w:rFonts w:cs="Guttman Rashi"/>
          <w:rtl/>
          <w:lang w:bidi="he-IL"/>
        </w:rPr>
        <w:t xml:space="preserve">. </w:t>
      </w:r>
      <w:r w:rsidRPr="00400C0B">
        <w:rPr>
          <w:rFonts w:cs="Guttman Rashi" w:hint="eastAsia"/>
          <w:rtl/>
          <w:lang w:bidi="he-IL"/>
        </w:rPr>
        <w:t>וראיתי</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פתחי</w:t>
      </w:r>
      <w:r w:rsidRPr="00400C0B">
        <w:rPr>
          <w:rFonts w:cs="Guttman Rashi"/>
          <w:rtl/>
          <w:lang w:bidi="he-IL"/>
        </w:rPr>
        <w:t xml:space="preserve"> </w:t>
      </w:r>
      <w:r w:rsidRPr="00400C0B">
        <w:rPr>
          <w:rFonts w:cs="Guttman Rashi" w:hint="eastAsia"/>
          <w:rtl/>
          <w:lang w:bidi="he-IL"/>
        </w:rPr>
        <w:t>הלכה</w:t>
      </w:r>
      <w:r w:rsidRPr="00400C0B">
        <w:rPr>
          <w:rFonts w:cs="Guttman Rashi"/>
          <w:rtl/>
          <w:lang w:bidi="he-IL"/>
        </w:rPr>
        <w:t xml:space="preserve"> (</w:t>
      </w:r>
      <w:r w:rsidRPr="00400C0B">
        <w:rPr>
          <w:rFonts w:cs="Guttman Rashi" w:hint="eastAsia"/>
          <w:rtl/>
          <w:lang w:bidi="he-IL"/>
        </w:rPr>
        <w:t>אנגלית</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רפ</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שדינו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המחבר</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פרווה</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לחלוק</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שעד</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קבוע</w:t>
      </w:r>
      <w:r w:rsidRPr="00400C0B">
        <w:rPr>
          <w:rFonts w:cs="Guttman Rashi"/>
          <w:rtl/>
          <w:lang w:bidi="he-IL"/>
        </w:rPr>
        <w:t xml:space="preserve"> </w:t>
      </w:r>
      <w:r w:rsidRPr="00400C0B">
        <w:rPr>
          <w:rFonts w:cs="Guttman Rashi" w:hint="eastAsia"/>
          <w:rtl/>
          <w:lang w:bidi="he-IL"/>
        </w:rPr>
        <w:t>לתשמיש</w:t>
      </w:r>
      <w:r w:rsidRPr="00400C0B">
        <w:rPr>
          <w:rFonts w:cs="Guttman Rashi"/>
          <w:rtl/>
          <w:lang w:bidi="he-IL"/>
        </w:rPr>
        <w:t xml:space="preserve"> </w:t>
      </w:r>
      <w:r w:rsidRPr="00400C0B">
        <w:rPr>
          <w:rFonts w:cs="Guttman Rashi" w:hint="eastAsia"/>
          <w:rtl/>
          <w:lang w:bidi="he-IL"/>
        </w:rPr>
        <w:t>פרווה</w:t>
      </w:r>
      <w:r w:rsidRPr="00400C0B">
        <w:rPr>
          <w:rFonts w:cs="Guttman Rashi"/>
          <w:rtl/>
          <w:lang w:bidi="he-IL"/>
        </w:rPr>
        <w:t xml:space="preserve"> </w:t>
      </w:r>
      <w:r w:rsidRPr="00400C0B">
        <w:rPr>
          <w:rFonts w:cs="Guttman Rashi" w:hint="eastAsia"/>
          <w:rtl/>
          <w:lang w:bidi="he-IL"/>
        </w:rPr>
        <w:t>דינו</w:t>
      </w:r>
      <w:r w:rsidRPr="00400C0B">
        <w:rPr>
          <w:rFonts w:cs="Guttman Rashi"/>
          <w:rtl/>
          <w:lang w:bidi="he-IL"/>
        </w:rPr>
        <w:t xml:space="preserve"> </w:t>
      </w:r>
      <w:r w:rsidRPr="00400C0B">
        <w:rPr>
          <w:rFonts w:cs="Guttman Rashi" w:hint="eastAsia"/>
          <w:rtl/>
          <w:lang w:bidi="he-IL"/>
        </w:rPr>
        <w:t>ככלי</w:t>
      </w:r>
      <w:r w:rsidRPr="00400C0B">
        <w:rPr>
          <w:rFonts w:cs="Guttman Rashi"/>
          <w:rtl/>
          <w:lang w:bidi="he-IL"/>
        </w:rPr>
        <w:t xml:space="preserve"> </w:t>
      </w:r>
      <w:r w:rsidRPr="00400C0B">
        <w:rPr>
          <w:rFonts w:cs="Guttman Rashi" w:hint="eastAsia"/>
          <w:rtl/>
          <w:lang w:bidi="he-IL"/>
        </w:rPr>
        <w:t>ישן</w:t>
      </w:r>
      <w:r w:rsidRPr="00400C0B">
        <w:rPr>
          <w:rFonts w:cs="Guttman Rashi"/>
          <w:rtl/>
          <w:lang w:bidi="he-IL"/>
        </w:rPr>
        <w:t xml:space="preserve"> </w:t>
      </w:r>
      <w:r w:rsidRPr="00400C0B">
        <w:rPr>
          <w:rFonts w:cs="Guttman Rashi" w:hint="eastAsia"/>
          <w:rtl/>
          <w:lang w:bidi="he-IL"/>
        </w:rPr>
        <w:t>שמדינא</w:t>
      </w:r>
      <w:r w:rsidRPr="00400C0B">
        <w:rPr>
          <w:rFonts w:cs="Guttman Rashi"/>
          <w:rtl/>
          <w:lang w:bidi="he-IL"/>
        </w:rPr>
        <w:t xml:space="preserve"> </w:t>
      </w:r>
      <w:r w:rsidRPr="00400C0B">
        <w:rPr>
          <w:rFonts w:cs="Guttman Rashi" w:hint="eastAsia"/>
          <w:rtl/>
          <w:lang w:bidi="he-IL"/>
        </w:rPr>
        <w:t>שרי</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למחבר</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מכח</w:t>
      </w:r>
      <w:r w:rsidRPr="00400C0B">
        <w:rPr>
          <w:rFonts w:cs="Guttman Rashi"/>
          <w:rtl/>
          <w:lang w:bidi="he-IL"/>
        </w:rPr>
        <w:t xml:space="preserve"> </w:t>
      </w:r>
      <w:r w:rsidRPr="00400C0B">
        <w:rPr>
          <w:rFonts w:cs="Guttman Rashi" w:hint="eastAsia"/>
          <w:rtl/>
          <w:lang w:bidi="he-IL"/>
        </w:rPr>
        <w:t>מנהג</w:t>
      </w:r>
      <w:r w:rsidRPr="00400C0B">
        <w:rPr>
          <w:rFonts w:cs="Guttman Rashi"/>
          <w:rtl/>
          <w:lang w:bidi="he-IL"/>
        </w:rPr>
        <w:t xml:space="preserve"> </w:t>
      </w:r>
      <w:r w:rsidRPr="00400C0B">
        <w:rPr>
          <w:rFonts w:cs="Guttman Rashi" w:hint="eastAsia"/>
          <w:rtl/>
          <w:lang w:bidi="he-IL"/>
        </w:rPr>
        <w:t>מחמירים</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לקהל</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מעל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וכמש</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נלעוק</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בפרט</w:t>
      </w:r>
      <w:r w:rsidRPr="00400C0B">
        <w:rPr>
          <w:rFonts w:cs="Guttman Rashi"/>
          <w:rtl/>
          <w:lang w:bidi="he-IL"/>
        </w:rPr>
        <w:t xml:space="preserve"> </w:t>
      </w:r>
      <w:r w:rsidRPr="00400C0B">
        <w:rPr>
          <w:rFonts w:cs="Guttman Rashi" w:hint="eastAsia"/>
          <w:rtl/>
          <w:lang w:bidi="he-IL"/>
        </w:rPr>
        <w:t>במקום</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מנהג</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דינו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המחבר</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ופר</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כולם</w:t>
      </w:r>
      <w:r w:rsidRPr="00400C0B">
        <w:rPr>
          <w:rFonts w:cs="Guttman Rashi"/>
          <w:rtl/>
          <w:lang w:bidi="he-IL"/>
        </w:rPr>
        <w:t xml:space="preserve"> </w:t>
      </w:r>
      <w:r w:rsidRPr="00400C0B">
        <w:rPr>
          <w:rFonts w:cs="Guttman Rashi" w:hint="eastAsia"/>
          <w:rtl/>
          <w:lang w:bidi="he-IL"/>
        </w:rPr>
        <w:t>פה</w:t>
      </w:r>
      <w:r w:rsidRPr="00400C0B">
        <w:rPr>
          <w:rFonts w:cs="Guttman Rashi"/>
          <w:rtl/>
          <w:lang w:bidi="he-IL"/>
        </w:rPr>
        <w:t xml:space="preserve"> </w:t>
      </w:r>
      <w:r w:rsidRPr="00400C0B">
        <w:rPr>
          <w:rFonts w:cs="Guttman Rashi" w:hint="eastAsia"/>
          <w:rtl/>
          <w:lang w:bidi="he-IL"/>
        </w:rPr>
        <w:t>אחד</w:t>
      </w:r>
      <w:r w:rsidRPr="00400C0B">
        <w:rPr>
          <w:rFonts w:cs="Guttman Rashi"/>
          <w:rtl/>
          <w:lang w:bidi="he-IL"/>
        </w:rPr>
        <w:t xml:space="preserve"> </w:t>
      </w:r>
      <w:r w:rsidRPr="00400C0B">
        <w:rPr>
          <w:rFonts w:cs="Guttman Rashi" w:hint="eastAsia"/>
          <w:rtl/>
          <w:lang w:bidi="he-IL"/>
        </w:rPr>
        <w:t>לחלוק</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ביאר</w:t>
      </w:r>
      <w:r w:rsidRPr="00400C0B">
        <w:rPr>
          <w:rFonts w:cs="Guttman Rashi"/>
          <w:rtl/>
          <w:lang w:bidi="he-IL"/>
        </w:rPr>
        <w:t xml:space="preserve"> </w:t>
      </w:r>
      <w:r w:rsidRPr="00400C0B">
        <w:rPr>
          <w:rFonts w:cs="Guttman Rashi" w:hint="eastAsia"/>
          <w:rtl/>
          <w:lang w:bidi="he-IL"/>
        </w:rPr>
        <w:t>שיטתו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קיי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כוותי</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ולענין</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שלרמ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סור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נתבשלו</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הערנו</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וב</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להתיר</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p>
  </w:footnote>
  <w:footnote w:id="28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הדגיש</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בתשובתו</w:t>
      </w:r>
      <w:r w:rsidRPr="00400C0B">
        <w:rPr>
          <w:rFonts w:cs="Guttman Rashi"/>
          <w:rtl/>
          <w:lang w:bidi="he-IL"/>
        </w:rPr>
        <w:t xml:space="preserve"> </w:t>
      </w:r>
      <w:r w:rsidRPr="00400C0B">
        <w:rPr>
          <w:rFonts w:cs="Guttman Rashi" w:hint="eastAsia"/>
          <w:rtl/>
          <w:lang w:bidi="he-IL"/>
        </w:rPr>
        <w:t>שבסמוך</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בט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w:t>
      </w:r>
    </w:p>
  </w:footnote>
  <w:footnote w:id="28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ומצאתי</w:t>
      </w:r>
      <w:r w:rsidRPr="00400C0B">
        <w:rPr>
          <w:rFonts w:cs="Guttman Rashi"/>
          <w:rtl/>
          <w:lang w:bidi="he-IL"/>
        </w:rPr>
        <w:t xml:space="preserve"> </w:t>
      </w:r>
      <w:r w:rsidRPr="00400C0B">
        <w:rPr>
          <w:rFonts w:cs="Guttman Rashi" w:hint="eastAsia"/>
          <w:rtl/>
          <w:lang w:bidi="he-IL"/>
        </w:rPr>
        <w:t>בשו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מהדו</w:t>
      </w:r>
      <w:r w:rsidRPr="00400C0B">
        <w:rPr>
          <w:rFonts w:cs="Guttman Rashi"/>
          <w:rtl/>
          <w:lang w:bidi="he-IL"/>
        </w:rPr>
        <w:t xml:space="preserve">' </w:t>
      </w:r>
      <w:r w:rsidRPr="00400C0B">
        <w:rPr>
          <w:rFonts w:cs="Guttman Rashi" w:hint="eastAsia"/>
          <w:rtl/>
          <w:lang w:bidi="he-IL"/>
        </w:rPr>
        <w:t>אריאלי</w:t>
      </w:r>
      <w:r w:rsidRPr="00400C0B">
        <w:rPr>
          <w:rFonts w:cs="Guttman Rashi"/>
          <w:rtl/>
          <w:lang w:bidi="he-IL"/>
        </w:rPr>
        <w:t xml:space="preserve"> </w:t>
      </w:r>
      <w:r w:rsidRPr="00400C0B">
        <w:rPr>
          <w:rFonts w:cs="Guttman Rashi" w:hint="eastAsia"/>
          <w:rtl/>
          <w:lang w:bidi="he-IL"/>
        </w:rPr>
        <w:t>ממאסף</w:t>
      </w:r>
      <w:r w:rsidRPr="00400C0B">
        <w:rPr>
          <w:rFonts w:cs="Guttman Rashi"/>
          <w:rtl/>
          <w:lang w:bidi="he-IL"/>
        </w:rPr>
        <w:t xml:space="preserve"> </w:t>
      </w:r>
      <w:r w:rsidRPr="00400C0B">
        <w:rPr>
          <w:rFonts w:cs="Guttman Rashi" w:hint="eastAsia"/>
          <w:rtl/>
          <w:lang w:bidi="he-IL"/>
        </w:rPr>
        <w:t>אהל</w:t>
      </w:r>
      <w:r w:rsidRPr="00400C0B">
        <w:rPr>
          <w:rFonts w:cs="Guttman Rashi"/>
          <w:rtl/>
          <w:lang w:bidi="he-IL"/>
        </w:rPr>
        <w:t xml:space="preserve"> </w:t>
      </w:r>
      <w:r w:rsidRPr="00400C0B">
        <w:rPr>
          <w:rFonts w:cs="Guttman Rashi" w:hint="eastAsia"/>
          <w:rtl/>
          <w:lang w:bidi="he-IL"/>
        </w:rPr>
        <w:t>תורה</w:t>
      </w:r>
      <w:r w:rsidRPr="00400C0B">
        <w:rPr>
          <w:rFonts w:cs="Guttman Rashi"/>
          <w:rtl/>
          <w:lang w:bidi="he-IL"/>
        </w:rPr>
        <w:t xml:space="preserve"> (</w:t>
      </w:r>
      <w:r w:rsidRPr="00400C0B">
        <w:rPr>
          <w:rFonts w:cs="Guttman Rashi" w:hint="eastAsia"/>
          <w:rtl/>
          <w:lang w:bidi="he-IL"/>
        </w:rPr>
        <w:t>ומודפס</w:t>
      </w:r>
      <w:r w:rsidRPr="00400C0B">
        <w:rPr>
          <w:rFonts w:cs="Guttman Rashi"/>
          <w:rtl/>
          <w:lang w:bidi="he-IL"/>
        </w:rPr>
        <w:t xml:space="preserve"> </w:t>
      </w:r>
      <w:r w:rsidRPr="00400C0B">
        <w:rPr>
          <w:rFonts w:cs="Guttman Rashi" w:hint="eastAsia"/>
          <w:rtl/>
          <w:lang w:bidi="he-IL"/>
        </w:rPr>
        <w:t>בח</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סעי</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שהר</w:t>
      </w:r>
      <w:r w:rsidRPr="00400C0B">
        <w:rPr>
          <w:rFonts w:cs="Guttman Rashi"/>
          <w:rtl/>
          <w:lang w:bidi="he-IL"/>
        </w:rPr>
        <w:t xml:space="preserve">' </w:t>
      </w:r>
      <w:r w:rsidRPr="00400C0B">
        <w:rPr>
          <w:rFonts w:cs="Guttman Rashi" w:hint="eastAsia"/>
          <w:rtl/>
          <w:lang w:bidi="he-IL"/>
        </w:rPr>
        <w:t>וואלף</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שלעולם</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דדאמרינן</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סחיטה</w:t>
      </w:r>
      <w:r w:rsidRPr="00400C0B">
        <w:rPr>
          <w:rFonts w:cs="Guttman Rashi"/>
          <w:rtl/>
          <w:lang w:bidi="he-IL"/>
        </w:rPr>
        <w:t xml:space="preserve"> </w:t>
      </w:r>
      <w:r w:rsidRPr="00400C0B">
        <w:rPr>
          <w:rFonts w:cs="Guttman Rashi" w:hint="eastAsia"/>
          <w:rtl/>
          <w:lang w:bidi="he-IL"/>
        </w:rPr>
        <w:t>באוכלין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דחיישינן</w:t>
      </w:r>
      <w:r w:rsidRPr="00400C0B">
        <w:rPr>
          <w:rFonts w:cs="Guttman Rashi"/>
          <w:rtl/>
          <w:lang w:bidi="he-IL"/>
        </w:rPr>
        <w:t xml:space="preserve"> </w:t>
      </w:r>
      <w:r w:rsidRPr="00400C0B">
        <w:rPr>
          <w:rFonts w:cs="Guttman Rashi" w:hint="eastAsia"/>
          <w:rtl/>
          <w:lang w:bidi="he-IL"/>
        </w:rPr>
        <w:t>דלמא</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נפלט</w:t>
      </w:r>
      <w:r w:rsidRPr="00400C0B">
        <w:rPr>
          <w:rFonts w:cs="Guttman Rashi"/>
          <w:rtl/>
          <w:lang w:bidi="he-IL"/>
        </w:rPr>
        <w:t xml:space="preserve"> </w:t>
      </w:r>
      <w:r w:rsidRPr="00400C0B">
        <w:rPr>
          <w:rFonts w:cs="Guttman Rashi" w:hint="eastAsia"/>
          <w:rtl/>
          <w:lang w:bidi="he-IL"/>
        </w:rPr>
        <w:t>הכל</w:t>
      </w:r>
      <w:r w:rsidRPr="00400C0B">
        <w:rPr>
          <w:rFonts w:cs="Guttman Rashi"/>
          <w:rtl/>
          <w:lang w:bidi="he-IL"/>
        </w:rPr>
        <w:t xml:space="preserve"> </w:t>
      </w:r>
      <w:r w:rsidRPr="00400C0B">
        <w:rPr>
          <w:rFonts w:cs="Guttman Rashi" w:hint="eastAsia"/>
          <w:rtl/>
          <w:lang w:bidi="he-IL"/>
        </w:rPr>
        <w:t>ונשאר</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דהנ</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באיסורא</w:t>
      </w:r>
      <w:r w:rsidRPr="00400C0B">
        <w:rPr>
          <w:rFonts w:cs="Guttman Rashi"/>
          <w:rtl/>
          <w:lang w:bidi="he-IL"/>
        </w:rPr>
        <w:t xml:space="preserve"> </w:t>
      </w:r>
      <w:r w:rsidRPr="00400C0B">
        <w:rPr>
          <w:rFonts w:cs="Guttman Rashi" w:hint="eastAsia"/>
          <w:rtl/>
          <w:lang w:bidi="he-IL"/>
        </w:rPr>
        <w:t>בלע</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חזקת</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בהיתירא</w:t>
      </w:r>
      <w:r w:rsidRPr="00400C0B">
        <w:rPr>
          <w:rFonts w:cs="Guttman Rashi"/>
          <w:rtl/>
          <w:lang w:bidi="he-IL"/>
        </w:rPr>
        <w:t xml:space="preserve"> </w:t>
      </w:r>
      <w:r w:rsidRPr="00400C0B">
        <w:rPr>
          <w:rFonts w:cs="Guttman Rashi" w:hint="eastAsia"/>
          <w:rtl/>
          <w:lang w:bidi="he-IL"/>
        </w:rPr>
        <w:t>בלע</w:t>
      </w:r>
      <w:r w:rsidRPr="00400C0B">
        <w:rPr>
          <w:rFonts w:cs="Guttman Rashi"/>
          <w:rtl/>
          <w:lang w:bidi="he-IL"/>
        </w:rPr>
        <w:t xml:space="preserve"> </w:t>
      </w:r>
      <w:r w:rsidRPr="00400C0B">
        <w:rPr>
          <w:rFonts w:cs="Guttman Rashi" w:hint="eastAsia"/>
          <w:rtl/>
          <w:lang w:bidi="he-IL"/>
        </w:rPr>
        <w:t>דאיכא</w:t>
      </w:r>
      <w:r w:rsidRPr="00400C0B">
        <w:rPr>
          <w:rFonts w:cs="Guttman Rashi"/>
          <w:rtl/>
          <w:lang w:bidi="he-IL"/>
        </w:rPr>
        <w:t xml:space="preserve"> </w:t>
      </w:r>
      <w:r w:rsidRPr="00400C0B">
        <w:rPr>
          <w:rFonts w:cs="Guttman Rashi" w:hint="eastAsia"/>
          <w:rtl/>
          <w:lang w:bidi="he-IL"/>
        </w:rPr>
        <w:t>חזקת</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חיישינן</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הגרע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 xml:space="preserve"> </w:t>
      </w:r>
      <w:r w:rsidRPr="00400C0B">
        <w:rPr>
          <w:rFonts w:cs="Guttman Rashi" w:hint="eastAsia"/>
          <w:rtl/>
          <w:lang w:bidi="he-IL"/>
        </w:rPr>
        <w:t>תי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במילואים</w:t>
      </w:r>
      <w:r w:rsidRPr="00400C0B">
        <w:rPr>
          <w:rFonts w:cs="Guttman Rashi"/>
          <w:rtl/>
          <w:lang w:bidi="he-IL"/>
        </w:rPr>
        <w:t xml:space="preserve"> </w:t>
      </w:r>
      <w:r w:rsidRPr="00400C0B">
        <w:rPr>
          <w:rFonts w:cs="Guttman Rashi" w:hint="eastAsia"/>
          <w:rtl/>
          <w:lang w:bidi="he-IL"/>
        </w:rPr>
        <w:t>לשו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מס</w:t>
      </w:r>
      <w:r w:rsidRPr="00400C0B">
        <w:rPr>
          <w:rFonts w:cs="Guttman Rashi"/>
          <w:rtl/>
          <w:lang w:bidi="he-IL"/>
        </w:rPr>
        <w:t xml:space="preserve">' </w:t>
      </w:r>
      <w:r w:rsidRPr="00400C0B">
        <w:rPr>
          <w:rFonts w:cs="Guttman Rashi" w:hint="eastAsia"/>
          <w:rtl/>
          <w:lang w:bidi="he-IL"/>
        </w:rPr>
        <w:t>אור</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w:t>
      </w:r>
    </w:p>
  </w:footnote>
  <w:footnote w:id="28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ביאר</w:t>
      </w:r>
      <w:r w:rsidRPr="00400C0B">
        <w:rPr>
          <w:rFonts w:cs="Guttman Rashi"/>
          <w:rtl/>
          <w:lang w:bidi="he-IL"/>
        </w:rPr>
        <w:t xml:space="preserve"> </w:t>
      </w:r>
      <w:r w:rsidRPr="00400C0B">
        <w:rPr>
          <w:rFonts w:cs="Guttman Rashi" w:hint="eastAsia"/>
          <w:rtl/>
          <w:lang w:bidi="he-IL"/>
        </w:rPr>
        <w:t>בהדיא</w:t>
      </w:r>
      <w:r w:rsidRPr="00400C0B">
        <w:rPr>
          <w:rFonts w:cs="Guttman Rashi"/>
          <w:rtl/>
          <w:lang w:bidi="he-IL"/>
        </w:rPr>
        <w:t xml:space="preserve"> </w:t>
      </w:r>
      <w:r w:rsidRPr="00400C0B">
        <w:rPr>
          <w:rFonts w:cs="Guttman Rashi" w:hint="eastAsia"/>
          <w:rtl/>
          <w:lang w:bidi="he-IL"/>
        </w:rPr>
        <w:t>מהו</w:t>
      </w:r>
      <w:r w:rsidRPr="00400C0B">
        <w:rPr>
          <w:rFonts w:cs="Guttman Rashi"/>
          <w:rtl/>
          <w:lang w:bidi="he-IL"/>
        </w:rPr>
        <w:t xml:space="preserve"> </w:t>
      </w:r>
      <w:r w:rsidRPr="00400C0B">
        <w:rPr>
          <w:rFonts w:cs="Guttman Rashi" w:hint="eastAsia"/>
          <w:rtl/>
          <w:lang w:bidi="he-IL"/>
        </w:rPr>
        <w:t>טעמו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לסוחטו</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באיסורא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דאיקליש</w:t>
      </w:r>
      <w:r w:rsidRPr="00400C0B">
        <w:rPr>
          <w:rFonts w:cs="Guttman Rashi"/>
          <w:rtl/>
          <w:lang w:bidi="he-IL"/>
        </w:rPr>
        <w:t xml:space="preserve"> </w:t>
      </w:r>
      <w:r w:rsidRPr="00400C0B">
        <w:rPr>
          <w:rFonts w:cs="Guttman Rashi" w:hint="eastAsia"/>
          <w:rtl/>
          <w:lang w:bidi="he-IL"/>
        </w:rPr>
        <w:t>טעמי</w:t>
      </w:r>
      <w:r w:rsidRPr="00400C0B">
        <w:rPr>
          <w:rFonts w:cs="Guttman Rashi"/>
          <w:rtl/>
          <w:lang w:bidi="he-IL"/>
        </w:rPr>
        <w:t xml:space="preserve">'. </w:t>
      </w:r>
      <w:r w:rsidRPr="00400C0B">
        <w:rPr>
          <w:rFonts w:cs="Guttman Rashi" w:hint="eastAsia"/>
          <w:rtl/>
          <w:lang w:bidi="he-IL"/>
        </w:rPr>
        <w:t>ואע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שבכגון</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דאיסורא</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לרוב</w:t>
      </w:r>
      <w:r w:rsidRPr="00400C0B">
        <w:rPr>
          <w:rFonts w:cs="Guttman Rashi"/>
          <w:rtl/>
          <w:lang w:bidi="he-IL"/>
        </w:rPr>
        <w:t xml:space="preserve"> </w:t>
      </w:r>
      <w:r w:rsidRPr="00400C0B">
        <w:rPr>
          <w:rFonts w:cs="Guttman Rashi" w:hint="eastAsia"/>
          <w:rtl/>
          <w:lang w:bidi="he-IL"/>
        </w:rPr>
        <w:t>הראשונים</w:t>
      </w:r>
      <w:r w:rsidRPr="00400C0B">
        <w:rPr>
          <w:rFonts w:cs="Guttman Rashi"/>
          <w:rtl/>
          <w:lang w:bidi="he-IL"/>
        </w:rPr>
        <w:t xml:space="preserve">, </w:t>
      </w:r>
      <w:r w:rsidRPr="00400C0B">
        <w:rPr>
          <w:rFonts w:cs="Guttman Rashi" w:hint="eastAsia"/>
          <w:rtl/>
          <w:lang w:bidi="he-IL"/>
        </w:rPr>
        <w:t>וסתימת</w:t>
      </w:r>
      <w:r w:rsidRPr="00400C0B">
        <w:rPr>
          <w:rFonts w:cs="Guttman Rashi"/>
          <w:rtl/>
          <w:lang w:bidi="he-IL"/>
        </w:rPr>
        <w:t xml:space="preserve"> </w:t>
      </w:r>
      <w:r w:rsidRPr="00400C0B">
        <w:rPr>
          <w:rFonts w:cs="Guttman Rashi" w:hint="eastAsia"/>
          <w:rtl/>
          <w:lang w:bidi="he-IL"/>
        </w:rPr>
        <w:t>המפרשים</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לסוחטו</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לחלק</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הקלשת</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להא</w:t>
      </w:r>
      <w:r w:rsidRPr="00400C0B">
        <w:rPr>
          <w:rFonts w:cs="Guttman Rashi"/>
          <w:rtl/>
          <w:lang w:bidi="he-IL"/>
        </w:rPr>
        <w:t xml:space="preserve"> </w:t>
      </w:r>
      <w:r w:rsidRPr="00400C0B">
        <w:rPr>
          <w:rFonts w:cs="Guttman Rashi" w:hint="eastAsia"/>
          <w:rtl/>
          <w:lang w:bidi="he-IL"/>
        </w:rPr>
        <w:t>שדבישל</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ועדיין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p>
  </w:footnote>
  <w:footnote w:id="28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ומבואר</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בלבד</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לטעם</w:t>
      </w:r>
      <w:r w:rsidRPr="00400C0B">
        <w:rPr>
          <w:rFonts w:cs="Guttman Rashi"/>
          <w:rtl/>
          <w:lang w:bidi="he-IL"/>
        </w:rPr>
        <w:t xml:space="preserve"> </w:t>
      </w:r>
      <w:r w:rsidRPr="00400C0B">
        <w:rPr>
          <w:rFonts w:cs="Guttman Rashi" w:hint="eastAsia"/>
          <w:rtl/>
          <w:lang w:bidi="he-IL"/>
        </w:rPr>
        <w:t>שנחלש</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היות</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יכול</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במילואים</w:t>
      </w:r>
      <w:r w:rsidRPr="00400C0B">
        <w:rPr>
          <w:rFonts w:cs="Guttman Rashi"/>
          <w:rtl/>
          <w:lang w:bidi="he-IL"/>
        </w:rPr>
        <w:t xml:space="preserve"> </w:t>
      </w:r>
      <w:r w:rsidRPr="00400C0B">
        <w:rPr>
          <w:rFonts w:cs="Guttman Rashi" w:hint="eastAsia"/>
          <w:rtl/>
          <w:lang w:bidi="he-IL"/>
        </w:rPr>
        <w:t>לשיעור</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שהבאנו</w:t>
      </w:r>
      <w:r w:rsidRPr="00400C0B">
        <w:rPr>
          <w:rFonts w:cs="Guttman Rashi"/>
          <w:rtl/>
          <w:lang w:bidi="he-IL"/>
        </w:rPr>
        <w:t xml:space="preserve"> </w:t>
      </w:r>
      <w:r w:rsidRPr="00400C0B">
        <w:rPr>
          <w:rFonts w:cs="Guttman Rashi" w:hint="eastAsia"/>
          <w:rtl/>
          <w:lang w:bidi="he-IL"/>
        </w:rPr>
        <w:t>צד</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נכון</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שהחוו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בדעת</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ומשום</w:t>
      </w:r>
      <w:r w:rsidRPr="00400C0B">
        <w:rPr>
          <w:rFonts w:cs="Guttman Rashi"/>
          <w:rtl/>
          <w:lang w:bidi="he-IL"/>
        </w:rPr>
        <w:t xml:space="preserve"> </w:t>
      </w:r>
      <w:r w:rsidRPr="00400C0B">
        <w:rPr>
          <w:rFonts w:cs="Guttman Rashi" w:hint="eastAsia"/>
          <w:rtl/>
          <w:lang w:bidi="he-IL"/>
        </w:rPr>
        <w:t>דעינן</w:t>
      </w:r>
      <w:r w:rsidRPr="00400C0B">
        <w:rPr>
          <w:rFonts w:cs="Guttman Rashi"/>
          <w:rtl/>
          <w:lang w:bidi="he-IL"/>
        </w:rPr>
        <w:t xml:space="preserve"> </w:t>
      </w:r>
      <w:r w:rsidRPr="00400C0B">
        <w:rPr>
          <w:rFonts w:cs="Guttman Rashi" w:hint="eastAsia"/>
          <w:rtl/>
          <w:lang w:bidi="he-IL"/>
        </w:rPr>
        <w:t>אוסרים</w:t>
      </w:r>
      <w:r w:rsidRPr="00400C0B">
        <w:rPr>
          <w:rFonts w:cs="Guttman Rashi"/>
          <w:rtl/>
          <w:lang w:bidi="he-IL"/>
        </w:rPr>
        <w:t xml:space="preserve"> </w:t>
      </w:r>
      <w:r w:rsidRPr="00400C0B">
        <w:rPr>
          <w:rFonts w:cs="Guttman Rashi" w:hint="eastAsia"/>
          <w:rtl/>
          <w:lang w:bidi="he-IL"/>
        </w:rPr>
        <w:t>זא</w:t>
      </w:r>
      <w:r w:rsidRPr="00400C0B">
        <w:rPr>
          <w:rFonts w:cs="Guttman Rashi"/>
          <w:rtl/>
          <w:lang w:bidi="he-IL"/>
        </w:rPr>
        <w:t>"</w:t>
      </w:r>
      <w:r w:rsidRPr="00400C0B">
        <w:rPr>
          <w:rFonts w:cs="Guttman Rashi" w:hint="eastAsia"/>
          <w:rtl/>
          <w:lang w:bidi="he-IL"/>
        </w:rPr>
        <w:t>ז</w:t>
      </w:r>
      <w:r w:rsidRPr="00400C0B">
        <w:rPr>
          <w:rFonts w:cs="Guttman Rashi"/>
          <w:rtl/>
          <w:lang w:bidi="he-IL"/>
        </w:rPr>
        <w:t>.</w:t>
      </w:r>
    </w:p>
  </w:footnote>
  <w:footnote w:id="28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ויעוין</w:t>
      </w:r>
      <w:r w:rsidRPr="00400C0B">
        <w:rPr>
          <w:rFonts w:cs="Guttman Rashi"/>
          <w:rtl/>
          <w:lang w:bidi="he-IL"/>
        </w:rPr>
        <w:t xml:space="preserve"> </w:t>
      </w:r>
      <w:r w:rsidRPr="00400C0B">
        <w:rPr>
          <w:rFonts w:cs="Guttman Rashi" w:hint="eastAsia"/>
          <w:rtl/>
          <w:lang w:bidi="he-IL"/>
        </w:rPr>
        <w:t>בחוו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לכלי</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לבלוע</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התערובת</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שצריכים</w:t>
      </w:r>
      <w:r w:rsidRPr="00400C0B">
        <w:rPr>
          <w:rFonts w:cs="Guttman Rashi"/>
          <w:rtl/>
          <w:lang w:bidi="he-IL"/>
        </w:rPr>
        <w:t xml:space="preserve"> </w:t>
      </w:r>
      <w:r w:rsidRPr="00400C0B">
        <w:rPr>
          <w:rFonts w:cs="Guttman Rashi" w:hint="eastAsia"/>
          <w:rtl/>
          <w:lang w:bidi="he-IL"/>
        </w:rPr>
        <w:t>לשער</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הקודם</w:t>
      </w:r>
      <w:r w:rsidRPr="00400C0B">
        <w:rPr>
          <w:rFonts w:cs="Guttman Rashi"/>
          <w:rtl/>
          <w:lang w:bidi="he-IL"/>
        </w:rPr>
        <w:t xml:space="preserve">, </w:t>
      </w:r>
      <w:r w:rsidRPr="00400C0B">
        <w:rPr>
          <w:rFonts w:cs="Guttman Rashi" w:hint="eastAsia"/>
          <w:rtl/>
          <w:lang w:bidi="he-IL"/>
        </w:rPr>
        <w:t>שמסתמא</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נבלע</w:t>
      </w:r>
      <w:r w:rsidRPr="00400C0B">
        <w:rPr>
          <w:rFonts w:cs="Guttman Rashi"/>
          <w:rtl/>
          <w:lang w:bidi="he-IL"/>
        </w:rPr>
        <w:t xml:space="preserve"> </w:t>
      </w:r>
      <w:r w:rsidRPr="00400C0B">
        <w:rPr>
          <w:rFonts w:cs="Guttman Rashi" w:hint="eastAsia"/>
          <w:rtl/>
          <w:lang w:bidi="he-IL"/>
        </w:rPr>
        <w:t>ביחד</w:t>
      </w:r>
      <w:r w:rsidRPr="00400C0B">
        <w:rPr>
          <w:rFonts w:cs="Guttman Rashi"/>
          <w:rtl/>
          <w:lang w:bidi="he-IL"/>
        </w:rPr>
        <w:t xml:space="preserve"> </w:t>
      </w:r>
      <w:r w:rsidRPr="00400C0B">
        <w:rPr>
          <w:rFonts w:cs="Guttman Rashi" w:hint="eastAsia"/>
          <w:rtl/>
          <w:lang w:bidi="he-IL"/>
        </w:rPr>
        <w:t>אעם</w:t>
      </w:r>
      <w:r w:rsidRPr="00400C0B">
        <w:rPr>
          <w:rFonts w:cs="Guttman Rashi"/>
          <w:rtl/>
          <w:lang w:bidi="he-IL"/>
        </w:rPr>
        <w:t xml:space="preserve"> </w:t>
      </w:r>
      <w:r w:rsidRPr="00400C0B">
        <w:rPr>
          <w:rFonts w:cs="Guttman Rashi" w:hint="eastAsia"/>
          <w:rtl/>
          <w:lang w:bidi="he-IL"/>
        </w:rPr>
        <w:t>השער</w:t>
      </w:r>
      <w:r w:rsidRPr="00400C0B">
        <w:rPr>
          <w:rFonts w:cs="Guttman Rashi"/>
          <w:rtl/>
          <w:lang w:bidi="he-IL"/>
        </w:rPr>
        <w:t xml:space="preserve">, </w:t>
      </w:r>
      <w:r w:rsidRPr="00400C0B">
        <w:rPr>
          <w:rFonts w:cs="Guttman Rashi" w:hint="eastAsia"/>
          <w:rtl/>
          <w:lang w:bidi="he-IL"/>
        </w:rPr>
        <w:t>ושוב</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הכלל</w:t>
      </w:r>
      <w:r w:rsidRPr="00400C0B">
        <w:rPr>
          <w:rFonts w:cs="Guttman Rashi"/>
          <w:rtl/>
          <w:lang w:bidi="he-IL"/>
        </w:rPr>
        <w:t xml:space="preserve"> </w:t>
      </w:r>
      <w:r w:rsidRPr="00400C0B">
        <w:rPr>
          <w:rFonts w:cs="Guttman Rashi" w:hint="eastAsia"/>
          <w:rtl/>
          <w:lang w:bidi="he-IL"/>
        </w:rPr>
        <w:t>דאין</w:t>
      </w:r>
      <w:r w:rsidRPr="00400C0B">
        <w:rPr>
          <w:rFonts w:cs="Guttman Rashi"/>
          <w:rtl/>
          <w:lang w:bidi="he-IL"/>
        </w:rPr>
        <w:t xml:space="preserve"> </w:t>
      </w:r>
      <w:r w:rsidRPr="00400C0B">
        <w:rPr>
          <w:rFonts w:cs="Guttman Rashi" w:hint="eastAsia"/>
          <w:rtl/>
          <w:lang w:bidi="he-IL"/>
        </w:rPr>
        <w:t>הנאסר</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וכו</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במשמרת</w:t>
      </w:r>
      <w:r w:rsidRPr="00400C0B">
        <w:rPr>
          <w:rFonts w:cs="Guttman Rashi"/>
          <w:rtl/>
          <w:lang w:bidi="he-IL"/>
        </w:rPr>
        <w:t xml:space="preserve"> </w:t>
      </w:r>
      <w:r w:rsidRPr="00400C0B">
        <w:rPr>
          <w:rFonts w:cs="Guttman Rashi" w:hint="eastAsia"/>
          <w:rtl/>
          <w:lang w:bidi="he-IL"/>
        </w:rPr>
        <w:t>שלום</w:t>
      </w:r>
      <w:r w:rsidRPr="00400C0B">
        <w:rPr>
          <w:rFonts w:cs="Guttman Rashi"/>
          <w:rtl/>
          <w:lang w:bidi="he-IL"/>
        </w:rPr>
        <w:t xml:space="preserve"> </w:t>
      </w:r>
      <w:r w:rsidRPr="00400C0B">
        <w:rPr>
          <w:rFonts w:cs="Guttman Rashi" w:hint="eastAsia"/>
          <w:rtl/>
          <w:lang w:bidi="he-IL"/>
        </w:rPr>
        <w:t>למש</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בנד</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בולע</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שנפלט</w:t>
      </w:r>
      <w:r w:rsidRPr="00400C0B">
        <w:rPr>
          <w:rFonts w:cs="Guttman Rashi"/>
          <w:rtl/>
          <w:lang w:bidi="he-IL"/>
        </w:rPr>
        <w:t xml:space="preserve"> </w:t>
      </w:r>
      <w:r w:rsidRPr="00400C0B">
        <w:rPr>
          <w:rFonts w:cs="Guttman Rashi" w:hint="eastAsia"/>
          <w:rtl/>
          <w:lang w:bidi="he-IL"/>
        </w:rPr>
        <w:t>ממנו</w:t>
      </w:r>
      <w:r w:rsidRPr="00400C0B">
        <w:rPr>
          <w:rFonts w:cs="Guttman Rashi"/>
          <w:rtl/>
          <w:lang w:bidi="he-IL"/>
        </w:rPr>
        <w:t xml:space="preserve"> </w:t>
      </w:r>
      <w:r w:rsidRPr="00400C0B">
        <w:rPr>
          <w:rFonts w:cs="Guttman Rashi" w:hint="eastAsia"/>
          <w:rtl/>
          <w:lang w:bidi="he-IL"/>
        </w:rPr>
        <w:t>בשעת</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שהא</w:t>
      </w:r>
      <w:r w:rsidRPr="00400C0B">
        <w:rPr>
          <w:rFonts w:cs="Guttman Rashi"/>
          <w:rtl/>
          <w:lang w:bidi="he-IL"/>
        </w:rPr>
        <w:t xml:space="preserve"> </w:t>
      </w:r>
      <w:r w:rsidRPr="00400C0B">
        <w:rPr>
          <w:rFonts w:cs="Guttman Rashi" w:hint="eastAsia"/>
          <w:rtl/>
          <w:lang w:bidi="he-IL"/>
        </w:rPr>
        <w:t>יצא</w:t>
      </w:r>
      <w:r w:rsidRPr="00400C0B">
        <w:rPr>
          <w:rFonts w:cs="Guttman Rashi"/>
          <w:rtl/>
          <w:lang w:bidi="he-IL"/>
        </w:rPr>
        <w:t xml:space="preserve"> </w:t>
      </w:r>
      <w:r w:rsidRPr="00400C0B">
        <w:rPr>
          <w:rFonts w:cs="Guttman Rashi" w:hint="eastAsia"/>
          <w:rtl/>
          <w:lang w:bidi="he-IL"/>
        </w:rPr>
        <w:t>הכל</w:t>
      </w:r>
      <w:r w:rsidRPr="00400C0B">
        <w:rPr>
          <w:rFonts w:cs="Guttman Rashi"/>
          <w:rtl/>
          <w:lang w:bidi="he-IL"/>
        </w:rPr>
        <w:t xml:space="preserve"> </w:t>
      </w:r>
      <w:r w:rsidRPr="00400C0B">
        <w:rPr>
          <w:rFonts w:cs="Guttman Rashi" w:hint="eastAsia"/>
          <w:rtl/>
          <w:lang w:bidi="he-IL"/>
        </w:rPr>
        <w:t>ממקום</w:t>
      </w:r>
      <w:r w:rsidRPr="00400C0B">
        <w:rPr>
          <w:rFonts w:cs="Guttman Rashi"/>
          <w:rtl/>
          <w:lang w:bidi="he-IL"/>
        </w:rPr>
        <w:t xml:space="preserve"> </w:t>
      </w:r>
      <w:r w:rsidRPr="00400C0B">
        <w:rPr>
          <w:rFonts w:cs="Guttman Rashi" w:hint="eastAsia"/>
          <w:rtl/>
          <w:lang w:bidi="he-IL"/>
        </w:rPr>
        <w:t>הבישול</w:t>
      </w:r>
      <w:r w:rsidRPr="00400C0B">
        <w:rPr>
          <w:rFonts w:cs="Guttman Rashi"/>
          <w:rtl/>
          <w:lang w:bidi="he-IL"/>
        </w:rPr>
        <w:t xml:space="preserve">, </w:t>
      </w:r>
      <w:r w:rsidRPr="00400C0B">
        <w:rPr>
          <w:rFonts w:cs="Guttman Rashi" w:hint="eastAsia"/>
          <w:rtl/>
          <w:lang w:bidi="he-IL"/>
        </w:rPr>
        <w:t>ואי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ליכנס</w:t>
      </w:r>
      <w:r w:rsidRPr="00400C0B">
        <w:rPr>
          <w:rFonts w:cs="Guttman Rashi"/>
          <w:rtl/>
          <w:lang w:bidi="he-IL"/>
        </w:rPr>
        <w:t xml:space="preserve"> </w:t>
      </w:r>
      <w:r w:rsidRPr="00400C0B">
        <w:rPr>
          <w:rFonts w:cs="Guttman Rashi" w:hint="eastAsia"/>
          <w:rtl/>
          <w:lang w:bidi="he-IL"/>
        </w:rPr>
        <w:t>אליו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כשיעור</w:t>
      </w:r>
      <w:r w:rsidRPr="00400C0B">
        <w:rPr>
          <w:rFonts w:cs="Guttman Rashi"/>
          <w:rtl/>
          <w:lang w:bidi="he-IL"/>
        </w:rPr>
        <w:t xml:space="preserve"> </w:t>
      </w:r>
      <w:r w:rsidRPr="00400C0B">
        <w:rPr>
          <w:rFonts w:cs="Guttman Rashi" w:hint="eastAsia"/>
          <w:rtl/>
          <w:lang w:bidi="he-IL"/>
        </w:rPr>
        <w:t>שיצא</w:t>
      </w:r>
      <w:r w:rsidRPr="00400C0B">
        <w:rPr>
          <w:rFonts w:cs="Guttman Rashi"/>
          <w:rtl/>
          <w:lang w:bidi="he-IL"/>
        </w:rPr>
        <w:t xml:space="preserve">, </w:t>
      </w:r>
      <w:r w:rsidRPr="00400C0B">
        <w:rPr>
          <w:rFonts w:cs="Guttman Rashi" w:hint="eastAsia"/>
          <w:rtl/>
          <w:lang w:bidi="he-IL"/>
        </w:rPr>
        <w:t>ובזה</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שנכנס</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חשבון</w:t>
      </w:r>
      <w:r w:rsidRPr="00400C0B">
        <w:rPr>
          <w:rFonts w:cs="Guttman Rashi"/>
          <w:rtl/>
          <w:lang w:bidi="he-IL"/>
        </w:rPr>
        <w:t xml:space="preserve">. </w:t>
      </w:r>
      <w:r w:rsidRPr="00400C0B">
        <w:rPr>
          <w:rFonts w:cs="Guttman Rashi" w:hint="eastAsia"/>
          <w:rtl/>
          <w:lang w:bidi="he-IL"/>
        </w:rPr>
        <w:t>ואכמ</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p>
  </w:footnote>
  <w:footnote w:id="28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שחיטת</w:t>
      </w:r>
      <w:r w:rsidRPr="00400C0B">
        <w:rPr>
          <w:rFonts w:cs="Guttman Rashi"/>
          <w:rtl/>
          <w:lang w:bidi="he-IL"/>
        </w:rPr>
        <w:t xml:space="preserve"> </w:t>
      </w:r>
      <w:r w:rsidRPr="00400C0B">
        <w:rPr>
          <w:rFonts w:cs="Guttman Rashi" w:hint="eastAsia"/>
          <w:rtl/>
          <w:lang w:bidi="he-IL"/>
        </w:rPr>
        <w:t>חולין</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קס</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שהרבה</w:t>
      </w:r>
      <w:r w:rsidRPr="00400C0B">
        <w:rPr>
          <w:rFonts w:cs="Guttman Rashi"/>
          <w:rtl/>
          <w:lang w:bidi="he-IL"/>
        </w:rPr>
        <w:t xml:space="preserve"> </w:t>
      </w:r>
      <w:r w:rsidRPr="00400C0B">
        <w:rPr>
          <w:rFonts w:cs="Guttman Rashi" w:hint="eastAsia"/>
          <w:rtl/>
          <w:lang w:bidi="he-IL"/>
        </w:rPr>
        <w:t>להביא</w:t>
      </w:r>
      <w:r w:rsidRPr="00400C0B">
        <w:rPr>
          <w:rFonts w:cs="Guttman Rashi"/>
          <w:rtl/>
          <w:lang w:bidi="he-IL"/>
        </w:rPr>
        <w:t xml:space="preserve"> </w:t>
      </w:r>
      <w:r w:rsidRPr="00400C0B">
        <w:rPr>
          <w:rFonts w:cs="Guttman Rashi" w:hint="eastAsia"/>
          <w:rtl/>
          <w:lang w:bidi="he-IL"/>
        </w:rPr>
        <w:t>ראיות</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מאוכל</w:t>
      </w:r>
      <w:r w:rsidRPr="00400C0B">
        <w:rPr>
          <w:rFonts w:cs="Guttman Rashi"/>
          <w:rtl/>
          <w:lang w:bidi="he-IL"/>
        </w:rPr>
        <w:t xml:space="preserve"> </w:t>
      </w:r>
      <w:r w:rsidRPr="00400C0B">
        <w:rPr>
          <w:rFonts w:cs="Guttman Rashi" w:hint="eastAsia"/>
          <w:rtl/>
          <w:lang w:bidi="he-IL"/>
        </w:rPr>
        <w:t>לאוכל</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להיתירא</w:t>
      </w:r>
      <w:r w:rsidRPr="00400C0B">
        <w:rPr>
          <w:rFonts w:cs="Guttman Rashi"/>
          <w:rtl/>
          <w:lang w:bidi="he-IL"/>
        </w:rPr>
        <w:t xml:space="preserve"> </w:t>
      </w:r>
      <w:r w:rsidRPr="00400C0B">
        <w:rPr>
          <w:rFonts w:cs="Guttman Rashi" w:hint="eastAsia"/>
          <w:rtl/>
          <w:lang w:bidi="he-IL"/>
        </w:rPr>
        <w:t>דנ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p>
  </w:footnote>
  <w:footnote w:id="28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חידוש</w:t>
      </w:r>
      <w:r w:rsidRPr="00400C0B">
        <w:rPr>
          <w:rFonts w:cs="Guttman Rashi"/>
          <w:rtl/>
          <w:lang w:bidi="he-IL"/>
        </w:rPr>
        <w:t xml:space="preserve"> </w:t>
      </w:r>
      <w:r w:rsidRPr="00400C0B">
        <w:rPr>
          <w:rFonts w:cs="Guttman Rashi" w:hint="eastAsia"/>
          <w:rtl/>
          <w:lang w:bidi="he-IL"/>
        </w:rPr>
        <w:t>שטעם</w:t>
      </w:r>
      <w:r w:rsidRPr="00400C0B">
        <w:rPr>
          <w:rFonts w:cs="Guttman Rashi"/>
          <w:rtl/>
          <w:lang w:bidi="he-IL"/>
        </w:rPr>
        <w:t xml:space="preserve"> </w:t>
      </w:r>
      <w:r w:rsidRPr="00400C0B">
        <w:rPr>
          <w:rFonts w:cs="Guttman Rashi" w:hint="eastAsia"/>
          <w:rtl/>
          <w:lang w:bidi="he-IL"/>
        </w:rPr>
        <w:t>הנכנס</w:t>
      </w:r>
      <w:r w:rsidRPr="00400C0B">
        <w:rPr>
          <w:rFonts w:cs="Guttman Rashi"/>
          <w:rtl/>
          <w:lang w:bidi="he-IL"/>
        </w:rPr>
        <w:t xml:space="preserve"> </w:t>
      </w:r>
      <w:r w:rsidRPr="00400C0B">
        <w:rPr>
          <w:rFonts w:cs="Guttman Rashi" w:hint="eastAsia"/>
          <w:rtl/>
          <w:lang w:bidi="he-IL"/>
        </w:rPr>
        <w:t>למים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בלוע</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מעורב</w:t>
      </w:r>
      <w:r w:rsidRPr="00400C0B">
        <w:rPr>
          <w:rFonts w:cs="Guttman Rashi"/>
          <w:rtl/>
          <w:lang w:bidi="he-IL"/>
        </w:rPr>
        <w:t xml:space="preserve">. </w:t>
      </w:r>
      <w:r w:rsidRPr="00400C0B">
        <w:rPr>
          <w:rFonts w:cs="Guttman Rashi" w:hint="eastAsia"/>
          <w:rtl/>
          <w:lang w:bidi="he-IL"/>
        </w:rPr>
        <w:t>ופשוט</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מאכול</w:t>
      </w:r>
      <w:r w:rsidRPr="00400C0B">
        <w:rPr>
          <w:rFonts w:cs="Guttman Rashi"/>
          <w:rtl/>
          <w:lang w:bidi="he-IL"/>
        </w:rPr>
        <w:t xml:space="preserve"> </w:t>
      </w:r>
      <w:r w:rsidRPr="00400C0B">
        <w:rPr>
          <w:rFonts w:cs="Guttman Rashi" w:hint="eastAsia"/>
          <w:rtl/>
          <w:lang w:bidi="he-IL"/>
        </w:rPr>
        <w:t>לאוכל</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שנכנס</w:t>
      </w:r>
      <w:r w:rsidRPr="00400C0B">
        <w:rPr>
          <w:rFonts w:cs="Guttman Rashi"/>
          <w:rtl/>
          <w:lang w:bidi="he-IL"/>
        </w:rPr>
        <w:t xml:space="preserve"> </w:t>
      </w:r>
      <w:r w:rsidRPr="00400C0B">
        <w:rPr>
          <w:rFonts w:cs="Guttman Rashi" w:hint="eastAsia"/>
          <w:rtl/>
          <w:lang w:bidi="he-IL"/>
        </w:rPr>
        <w:t>לכלי</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המים</w:t>
      </w:r>
      <w:r w:rsidRPr="00400C0B">
        <w:rPr>
          <w:rFonts w:cs="Guttman Rashi"/>
          <w:rtl/>
          <w:lang w:bidi="he-IL"/>
        </w:rPr>
        <w:t xml:space="preserve"> </w:t>
      </w:r>
      <w:r w:rsidRPr="00400C0B">
        <w:rPr>
          <w:rFonts w:cs="Guttman Rashi" w:hint="eastAsia"/>
          <w:rtl/>
          <w:lang w:bidi="he-IL"/>
        </w:rPr>
        <w:t>וכדמבואר</w:t>
      </w:r>
      <w:r w:rsidRPr="00400C0B">
        <w:rPr>
          <w:rFonts w:cs="Guttman Rashi"/>
          <w:rtl/>
          <w:lang w:bidi="he-IL"/>
        </w:rPr>
        <w:t xml:space="preserve"> </w:t>
      </w:r>
      <w:r w:rsidRPr="00400C0B">
        <w:rPr>
          <w:rFonts w:cs="Guttman Rashi" w:hint="eastAsia"/>
          <w:rtl/>
          <w:lang w:bidi="he-IL"/>
        </w:rPr>
        <w:t>מכל</w:t>
      </w:r>
      <w:r w:rsidRPr="00400C0B">
        <w:rPr>
          <w:rFonts w:cs="Guttman Rashi"/>
          <w:rtl/>
          <w:lang w:bidi="he-IL"/>
        </w:rPr>
        <w:t xml:space="preserve"> </w:t>
      </w:r>
      <w:r w:rsidRPr="00400C0B">
        <w:rPr>
          <w:rFonts w:cs="Guttman Rashi" w:hint="eastAsia"/>
          <w:rtl/>
          <w:lang w:bidi="he-IL"/>
        </w:rPr>
        <w:t>הראשונים</w:t>
      </w:r>
      <w:r w:rsidRPr="00400C0B">
        <w:rPr>
          <w:rFonts w:cs="Guttman Rashi"/>
          <w:rtl/>
          <w:lang w:bidi="he-IL"/>
        </w:rPr>
        <w:t xml:space="preserve"> </w:t>
      </w:r>
      <w:r w:rsidRPr="00400C0B">
        <w:rPr>
          <w:rFonts w:cs="Guttman Rashi" w:hint="eastAsia"/>
          <w:rtl/>
          <w:lang w:bidi="he-IL"/>
        </w:rPr>
        <w:t>שדנו</w:t>
      </w:r>
      <w:r w:rsidRPr="00400C0B">
        <w:rPr>
          <w:rFonts w:cs="Guttman Rashi"/>
          <w:rtl/>
          <w:lang w:bidi="he-IL"/>
        </w:rPr>
        <w:t xml:space="preserve"> </w:t>
      </w:r>
      <w:r w:rsidRPr="00400C0B">
        <w:rPr>
          <w:rFonts w:cs="Guttman Rashi" w:hint="eastAsia"/>
          <w:rtl/>
          <w:lang w:bidi="he-IL"/>
        </w:rPr>
        <w:t>במים</w:t>
      </w:r>
      <w:r w:rsidRPr="00400C0B">
        <w:rPr>
          <w:rFonts w:cs="Guttman Rashi"/>
          <w:rtl/>
          <w:lang w:bidi="he-IL"/>
        </w:rPr>
        <w:t xml:space="preserve"> </w:t>
      </w:r>
      <w:r w:rsidRPr="00400C0B">
        <w:rPr>
          <w:rFonts w:cs="Guttman Rashi" w:hint="eastAsia"/>
          <w:rtl/>
          <w:lang w:bidi="he-IL"/>
        </w:rPr>
        <w:t>שבקדרה</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w:t>
      </w:r>
    </w:p>
  </w:footnote>
  <w:footnote w:id="28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וראיתי</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ש</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שמכלי</w:t>
      </w:r>
      <w:r w:rsidRPr="00400C0B">
        <w:rPr>
          <w:rFonts w:cs="Guttman Rashi"/>
          <w:rtl/>
          <w:lang w:bidi="he-IL"/>
        </w:rPr>
        <w:t xml:space="preserve"> </w:t>
      </w:r>
      <w:r w:rsidRPr="00400C0B">
        <w:rPr>
          <w:rFonts w:cs="Guttman Rashi" w:hint="eastAsia"/>
          <w:rtl/>
          <w:lang w:bidi="he-IL"/>
        </w:rPr>
        <w:t>לדבר</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ומיני</w:t>
      </w:r>
      <w:r w:rsidRPr="00400C0B">
        <w:rPr>
          <w:rFonts w:cs="Guttman Rashi"/>
          <w:rtl/>
          <w:lang w:bidi="he-IL"/>
        </w:rPr>
        <w:t xml:space="preserve">' </w:t>
      </w:r>
      <w:r w:rsidRPr="00400C0B">
        <w:rPr>
          <w:rFonts w:cs="Guttman Rashi" w:hint="eastAsia"/>
          <w:rtl/>
          <w:lang w:bidi="he-IL"/>
        </w:rPr>
        <w:t>לירקות</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ליתי</w:t>
      </w:r>
      <w:r w:rsidRPr="00400C0B">
        <w:rPr>
          <w:rFonts w:cs="Guttman Rashi"/>
          <w:rtl/>
          <w:lang w:bidi="he-IL"/>
        </w:rPr>
        <w:t xml:space="preserve">' </w:t>
      </w:r>
      <w:r w:rsidRPr="00400C0B">
        <w:rPr>
          <w:rFonts w:cs="Guttman Rashi" w:hint="eastAsia"/>
          <w:rtl/>
          <w:lang w:bidi="he-IL"/>
        </w:rPr>
        <w:t>לינא</w:t>
      </w:r>
      <w:r w:rsidRPr="00400C0B">
        <w:rPr>
          <w:rFonts w:cs="Guttman Rashi"/>
          <w:rtl/>
          <w:lang w:bidi="he-IL"/>
        </w:rPr>
        <w:t xml:space="preserve"> </w:t>
      </w:r>
      <w:r w:rsidRPr="00400C0B">
        <w:rPr>
          <w:rFonts w:cs="Guttman Rashi" w:hint="eastAsia"/>
          <w:rtl/>
          <w:lang w:bidi="he-IL"/>
        </w:rPr>
        <w:t>דנ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זהו</w:t>
      </w:r>
      <w:r w:rsidRPr="00400C0B">
        <w:rPr>
          <w:rFonts w:cs="Guttman Rashi"/>
          <w:rtl/>
          <w:lang w:bidi="he-IL"/>
        </w:rPr>
        <w:t xml:space="preserve"> </w:t>
      </w:r>
      <w:r w:rsidRPr="00400C0B">
        <w:rPr>
          <w:rFonts w:cs="Guttman Rashi" w:hint="eastAsia"/>
          <w:rtl/>
          <w:lang w:bidi="he-IL"/>
        </w:rPr>
        <w:t>חידוש</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ההחלשה</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היתה</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ובזה</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העיר</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מכת</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אתר</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מגי</w:t>
      </w:r>
      <w:r w:rsidRPr="00400C0B">
        <w:rPr>
          <w:rFonts w:cs="Guttman Rashi"/>
          <w:rtl/>
          <w:lang w:bidi="he-IL"/>
        </w:rPr>
        <w:t>"</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w:t>
      </w:r>
    </w:p>
  </w:footnote>
  <w:footnote w:id="28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בחוו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המובא</w:t>
      </w:r>
      <w:r w:rsidRPr="00400C0B">
        <w:rPr>
          <w:rFonts w:cs="Guttman Rashi"/>
          <w:rtl/>
          <w:lang w:bidi="he-IL"/>
        </w:rPr>
        <w:t xml:space="preserve"> </w:t>
      </w:r>
      <w:r w:rsidRPr="00400C0B">
        <w:rPr>
          <w:rFonts w:cs="Guttman Rashi" w:hint="eastAsia"/>
          <w:rtl/>
          <w:lang w:bidi="he-IL"/>
        </w:rPr>
        <w:t>בפת</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w:t>
      </w:r>
    </w:p>
  </w:footnote>
  <w:footnote w:id="29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בדו</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כתבים</w:t>
      </w:r>
      <w:r w:rsidRPr="00400C0B">
        <w:rPr>
          <w:rFonts w:cs="Guttman Rashi"/>
          <w:rtl/>
          <w:lang w:bidi="he-IL"/>
        </w:rPr>
        <w:t xml:space="preserve">) </w:t>
      </w:r>
      <w:r w:rsidRPr="00400C0B">
        <w:rPr>
          <w:rFonts w:cs="Guttman Rashi" w:hint="eastAsia"/>
          <w:rtl/>
          <w:lang w:bidi="he-IL"/>
        </w:rPr>
        <w:t>הסתפק</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ובשו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בית</w:t>
      </w:r>
      <w:r w:rsidRPr="00400C0B">
        <w:rPr>
          <w:rFonts w:cs="Guttman Rashi"/>
          <w:rtl/>
          <w:lang w:bidi="he-IL"/>
        </w:rPr>
        <w:t xml:space="preserve"> </w:t>
      </w:r>
      <w:r w:rsidRPr="00400C0B">
        <w:rPr>
          <w:rFonts w:cs="Guttman Rashi" w:hint="eastAsia"/>
          <w:rtl/>
          <w:lang w:bidi="he-IL"/>
        </w:rPr>
        <w:t>מאיר</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להוכיח</w:t>
      </w:r>
      <w:r w:rsidRPr="00400C0B">
        <w:rPr>
          <w:rFonts w:cs="Guttman Rashi"/>
          <w:rtl/>
          <w:lang w:bidi="he-IL"/>
        </w:rPr>
        <w:t xml:space="preserve"> </w:t>
      </w:r>
      <w:r w:rsidRPr="00400C0B">
        <w:rPr>
          <w:rFonts w:cs="Guttman Rashi" w:hint="eastAsia"/>
          <w:rtl/>
          <w:lang w:bidi="he-IL"/>
        </w:rPr>
        <w:t>מאו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כנ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מהחוו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באר</w:t>
      </w:r>
      <w:r w:rsidRPr="00400C0B">
        <w:rPr>
          <w:rFonts w:cs="Guttman Rashi"/>
          <w:rtl/>
          <w:lang w:bidi="he-IL"/>
        </w:rPr>
        <w:t xml:space="preserve"> </w:t>
      </w:r>
      <w:r w:rsidRPr="00400C0B">
        <w:rPr>
          <w:rFonts w:cs="Guttman Rashi" w:hint="eastAsia"/>
          <w:rtl/>
          <w:lang w:bidi="he-IL"/>
        </w:rPr>
        <w:t>יצחק</w:t>
      </w:r>
      <w:r w:rsidRPr="00400C0B">
        <w:rPr>
          <w:rFonts w:cs="Guttman Rashi"/>
          <w:rtl/>
          <w:lang w:bidi="he-IL"/>
        </w:rPr>
        <w:t xml:space="preserve"> </w:t>
      </w:r>
      <w:r w:rsidRPr="00400C0B">
        <w:rPr>
          <w:rFonts w:cs="Guttman Rashi" w:hint="eastAsia"/>
          <w:rtl/>
          <w:lang w:bidi="he-IL"/>
        </w:rPr>
        <w:t>יו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ט</w:t>
      </w:r>
      <w:r w:rsidRPr="00400C0B">
        <w:rPr>
          <w:rFonts w:cs="Guttman Rashi"/>
          <w:rtl/>
          <w:lang w:bidi="he-IL"/>
        </w:rPr>
        <w:t>'.</w:t>
      </w:r>
    </w:p>
  </w:footnote>
  <w:footnote w:id="29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וראיתי</w:t>
      </w:r>
      <w:r w:rsidRPr="00400C0B">
        <w:rPr>
          <w:rFonts w:cs="Guttman Rashi"/>
          <w:rtl/>
          <w:lang w:bidi="he-IL"/>
        </w:rPr>
        <w:t xml:space="preserve"> </w:t>
      </w:r>
      <w:r w:rsidRPr="00400C0B">
        <w:rPr>
          <w:rFonts w:cs="Guttman Rashi" w:hint="eastAsia"/>
          <w:rtl/>
          <w:lang w:bidi="he-IL"/>
        </w:rPr>
        <w:t>במגי</w:t>
      </w:r>
      <w:r w:rsidRPr="00400C0B">
        <w:rPr>
          <w:rFonts w:cs="Guttman Rashi"/>
          <w:rtl/>
          <w:lang w:bidi="he-IL"/>
        </w:rPr>
        <w:t>"</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שהוכיח</w:t>
      </w:r>
      <w:r w:rsidRPr="00400C0B">
        <w:rPr>
          <w:rFonts w:cs="Guttman Rashi"/>
          <w:rtl/>
          <w:lang w:bidi="he-IL"/>
        </w:rPr>
        <w:t xml:space="preserve"> </w:t>
      </w:r>
      <w:r w:rsidRPr="00400C0B">
        <w:rPr>
          <w:rFonts w:cs="Guttman Rashi" w:hint="eastAsia"/>
          <w:rtl/>
          <w:lang w:bidi="he-IL"/>
        </w:rPr>
        <w:t>כדינו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מבישול</w:t>
      </w:r>
      <w:r w:rsidRPr="00400C0B">
        <w:rPr>
          <w:rFonts w:cs="Guttman Rashi"/>
          <w:rtl/>
          <w:lang w:bidi="he-IL"/>
        </w:rPr>
        <w:t xml:space="preserve"> </w:t>
      </w:r>
      <w:r w:rsidRPr="00400C0B">
        <w:rPr>
          <w:rFonts w:cs="Guttman Rashi" w:hint="eastAsia"/>
          <w:rtl/>
          <w:lang w:bidi="he-IL"/>
        </w:rPr>
        <w:t>ביצה</w:t>
      </w:r>
      <w:r w:rsidRPr="00400C0B">
        <w:rPr>
          <w:rFonts w:cs="Guttman Rashi"/>
          <w:rtl/>
          <w:lang w:bidi="he-IL"/>
        </w:rPr>
        <w:t xml:space="preserve"> </w:t>
      </w:r>
      <w:r w:rsidRPr="00400C0B">
        <w:rPr>
          <w:rFonts w:cs="Guttman Rashi" w:hint="eastAsia"/>
          <w:rtl/>
          <w:lang w:bidi="he-IL"/>
        </w:rPr>
        <w:t>בקדרה</w:t>
      </w:r>
      <w:r w:rsidRPr="00400C0B">
        <w:rPr>
          <w:rFonts w:cs="Guttman Rashi"/>
          <w:rtl/>
          <w:lang w:bidi="he-IL"/>
        </w:rPr>
        <w:t xml:space="preserve"> </w:t>
      </w:r>
      <w:r w:rsidRPr="00400C0B">
        <w:rPr>
          <w:rFonts w:cs="Guttman Rashi" w:hint="eastAsia"/>
          <w:rtl/>
          <w:lang w:bidi="he-IL"/>
        </w:rPr>
        <w:t>בשרית</w:t>
      </w:r>
      <w:r w:rsidRPr="00400C0B">
        <w:rPr>
          <w:rFonts w:cs="Guttman Rashi"/>
          <w:rtl/>
          <w:lang w:bidi="he-IL"/>
        </w:rPr>
        <w:t xml:space="preserve"> </w:t>
      </w:r>
      <w:r w:rsidRPr="00400C0B">
        <w:rPr>
          <w:rFonts w:cs="Guttman Rashi" w:hint="eastAsia"/>
          <w:rtl/>
          <w:lang w:bidi="he-IL"/>
        </w:rPr>
        <w:t>שאסור</w:t>
      </w:r>
      <w:r w:rsidRPr="00400C0B">
        <w:rPr>
          <w:rFonts w:cs="Guttman Rashi"/>
          <w:rtl/>
          <w:lang w:bidi="he-IL"/>
        </w:rPr>
        <w:t xml:space="preserve"> </w:t>
      </w:r>
      <w:r w:rsidRPr="00400C0B">
        <w:rPr>
          <w:rFonts w:cs="Guttman Rashi" w:hint="eastAsia"/>
          <w:rtl/>
          <w:lang w:bidi="he-IL"/>
        </w:rPr>
        <w:t>לאכלה</w:t>
      </w:r>
      <w:r w:rsidRPr="00400C0B">
        <w:rPr>
          <w:rFonts w:cs="Guttman Rashi"/>
          <w:rtl/>
          <w:lang w:bidi="he-IL"/>
        </w:rPr>
        <w:t xml:space="preserve"> </w:t>
      </w:r>
      <w:r w:rsidRPr="00400C0B">
        <w:rPr>
          <w:rFonts w:cs="Guttman Rashi" w:hint="eastAsia"/>
          <w:rtl/>
          <w:lang w:bidi="he-IL"/>
        </w:rPr>
        <w:t>בכותח</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הקדרה</w:t>
      </w:r>
      <w:r w:rsidRPr="00400C0B">
        <w:rPr>
          <w:rFonts w:cs="Guttman Rashi"/>
          <w:rtl/>
          <w:lang w:bidi="he-IL"/>
        </w:rPr>
        <w:t xml:space="preserve"> </w:t>
      </w:r>
      <w:r w:rsidRPr="00400C0B">
        <w:rPr>
          <w:rFonts w:cs="Guttman Rashi" w:hint="eastAsia"/>
          <w:rtl/>
          <w:lang w:bidi="he-IL"/>
        </w:rPr>
        <w:t>לקליפה</w:t>
      </w:r>
      <w:r w:rsidRPr="00400C0B">
        <w:rPr>
          <w:rFonts w:cs="Guttman Rashi"/>
          <w:rtl/>
          <w:lang w:bidi="he-IL"/>
        </w:rPr>
        <w:t xml:space="preserve">, </w:t>
      </w:r>
      <w:r w:rsidRPr="00400C0B">
        <w:rPr>
          <w:rFonts w:cs="Guttman Rashi" w:hint="eastAsia"/>
          <w:rtl/>
          <w:lang w:bidi="he-IL"/>
        </w:rPr>
        <w:t>ומן</w:t>
      </w:r>
      <w:r w:rsidRPr="00400C0B">
        <w:rPr>
          <w:rFonts w:cs="Guttman Rashi"/>
          <w:rtl/>
          <w:lang w:bidi="he-IL"/>
        </w:rPr>
        <w:t xml:space="preserve"> </w:t>
      </w:r>
      <w:r w:rsidRPr="00400C0B">
        <w:rPr>
          <w:rFonts w:cs="Guttman Rashi" w:hint="eastAsia"/>
          <w:rtl/>
          <w:lang w:bidi="he-IL"/>
        </w:rPr>
        <w:t>הקליפה</w:t>
      </w:r>
      <w:r w:rsidRPr="00400C0B">
        <w:rPr>
          <w:rFonts w:cs="Guttman Rashi"/>
          <w:rtl/>
          <w:lang w:bidi="he-IL"/>
        </w:rPr>
        <w:t xml:space="preserve"> </w:t>
      </w:r>
      <w:r w:rsidRPr="00400C0B">
        <w:rPr>
          <w:rFonts w:cs="Guttman Rashi" w:hint="eastAsia"/>
          <w:rtl/>
          <w:lang w:bidi="he-IL"/>
        </w:rPr>
        <w:t>לביצה</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וי</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לחוו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ניחא</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שלבית</w:t>
      </w:r>
      <w:r w:rsidRPr="00400C0B">
        <w:rPr>
          <w:rFonts w:cs="Guttman Rashi"/>
          <w:rtl/>
          <w:lang w:bidi="he-IL"/>
        </w:rPr>
        <w:t xml:space="preserve"> </w:t>
      </w:r>
      <w:r w:rsidRPr="00400C0B">
        <w:rPr>
          <w:rFonts w:cs="Guttman Rashi" w:hint="eastAsia"/>
          <w:rtl/>
          <w:lang w:bidi="he-IL"/>
        </w:rPr>
        <w:t>ארפים</w:t>
      </w:r>
      <w:r w:rsidRPr="00400C0B">
        <w:rPr>
          <w:rFonts w:cs="Guttman Rashi"/>
          <w:rtl/>
          <w:lang w:bidi="he-IL"/>
        </w:rPr>
        <w:t xml:space="preserve"> </w:t>
      </w:r>
      <w:r w:rsidRPr="00400C0B">
        <w:rPr>
          <w:rFonts w:cs="Guttman Rashi" w:hint="eastAsia"/>
          <w:rtl/>
          <w:lang w:bidi="he-IL"/>
        </w:rPr>
        <w:t>חייבים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שהביצה</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ממש</w:t>
      </w:r>
      <w:r w:rsidRPr="00400C0B">
        <w:rPr>
          <w:rFonts w:cs="Guttman Rashi"/>
          <w:rtl/>
          <w:lang w:bidi="he-IL"/>
        </w:rPr>
        <w:t xml:space="preserve"> </w:t>
      </w:r>
      <w:r w:rsidRPr="00400C0B">
        <w:rPr>
          <w:rFonts w:cs="Guttman Rashi" w:hint="eastAsia"/>
          <w:rtl/>
          <w:lang w:bidi="he-IL"/>
        </w:rPr>
        <w:t>נקובה</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לולא</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אולי</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הקליפה</w:t>
      </w:r>
      <w:r w:rsidRPr="00400C0B">
        <w:rPr>
          <w:rFonts w:cs="Guttman Rashi"/>
          <w:rtl/>
          <w:lang w:bidi="he-IL"/>
        </w:rPr>
        <w:t xml:space="preserve"> </w:t>
      </w:r>
      <w:r w:rsidRPr="00400C0B">
        <w:rPr>
          <w:rFonts w:cs="Guttman Rashi" w:hint="eastAsia"/>
          <w:rtl/>
          <w:lang w:bidi="he-IL"/>
        </w:rPr>
        <w:t>נחשבת</w:t>
      </w:r>
      <w:r w:rsidRPr="00400C0B">
        <w:rPr>
          <w:rFonts w:cs="Guttman Rashi"/>
          <w:rtl/>
          <w:lang w:bidi="he-IL"/>
        </w:rPr>
        <w:t xml:space="preserve"> </w:t>
      </w:r>
      <w:r w:rsidRPr="00400C0B">
        <w:rPr>
          <w:rFonts w:cs="Guttman Rashi" w:hint="eastAsia"/>
          <w:rtl/>
          <w:lang w:bidi="he-IL"/>
        </w:rPr>
        <w:t>כנ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נוסף</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כחלק</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הביצה</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אומרם</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נותני</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נוספות</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האכל</w:t>
      </w:r>
      <w:r w:rsidRPr="00400C0B">
        <w:rPr>
          <w:rFonts w:cs="Guttman Rashi"/>
          <w:rtl/>
          <w:lang w:bidi="he-IL"/>
        </w:rPr>
        <w:t xml:space="preserve"> </w:t>
      </w:r>
      <w:r w:rsidRPr="00400C0B">
        <w:rPr>
          <w:rFonts w:cs="Guttman Rashi" w:hint="eastAsia"/>
          <w:rtl/>
          <w:lang w:bidi="he-IL"/>
        </w:rPr>
        <w:t>רחב</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קצר</w:t>
      </w:r>
      <w:r w:rsidRPr="00400C0B">
        <w:rPr>
          <w:rFonts w:cs="Guttman Rashi"/>
          <w:rtl/>
          <w:lang w:bidi="he-IL"/>
        </w:rPr>
        <w:t xml:space="preserve">, </w:t>
      </w:r>
      <w:r w:rsidRPr="00400C0B">
        <w:rPr>
          <w:rFonts w:cs="Guttman Rashi" w:hint="eastAsia"/>
          <w:rtl/>
          <w:lang w:bidi="he-IL"/>
        </w:rPr>
        <w:t>הה</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איכפת</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w:t>
      </w:r>
      <w:r w:rsidRPr="00400C0B">
        <w:rPr>
          <w:rFonts w:cs="Guttman Rashi"/>
          <w:rtl/>
          <w:lang w:bidi="he-IL"/>
        </w:rPr>
        <w:t xml:space="preserve"> </w:t>
      </w:r>
      <w:r w:rsidRPr="00400C0B">
        <w:rPr>
          <w:rFonts w:cs="Guttman Rashi" w:hint="eastAsia"/>
          <w:rtl/>
          <w:lang w:bidi="he-IL"/>
        </w:rPr>
        <w:t>קליפה</w:t>
      </w:r>
      <w:r w:rsidRPr="00400C0B">
        <w:rPr>
          <w:rFonts w:cs="Guttman Rashi"/>
          <w:rtl/>
          <w:lang w:bidi="he-IL"/>
        </w:rPr>
        <w:t xml:space="preserve">.    </w:t>
      </w:r>
    </w:p>
  </w:footnote>
  <w:footnote w:id="29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tl/>
          <w:lang w:bidi="he-IL"/>
        </w:rPr>
        <w:t xml:space="preserve"> </w:t>
      </w:r>
      <w:r w:rsidRPr="00400C0B">
        <w:rPr>
          <w:rFonts w:cs="Guttman Rashi" w:hint="eastAsia"/>
          <w:rtl/>
          <w:lang w:bidi="he-IL"/>
        </w:rPr>
        <w:t>וכי</w:t>
      </w:r>
      <w:r w:rsidRPr="00400C0B">
        <w:rPr>
          <w:rFonts w:cs="Guttman Rashi"/>
          <w:rtl/>
          <w:lang w:bidi="he-IL"/>
        </w:rPr>
        <w:t xml:space="preserve"> </w:t>
      </w:r>
      <w:r w:rsidRPr="00400C0B">
        <w:rPr>
          <w:rFonts w:cs="Guttman Rashi" w:hint="eastAsia"/>
          <w:rtl/>
          <w:lang w:bidi="he-IL"/>
        </w:rPr>
        <w:t>תימא</w:t>
      </w:r>
      <w:r w:rsidRPr="00400C0B">
        <w:rPr>
          <w:rFonts w:cs="Guttman Rashi"/>
          <w:rtl/>
          <w:lang w:bidi="he-IL"/>
        </w:rPr>
        <w:t xml:space="preserve"> </w:t>
      </w:r>
      <w:r w:rsidRPr="00400C0B">
        <w:rPr>
          <w:rFonts w:cs="Guttman Rashi" w:hint="eastAsia"/>
          <w:rtl/>
          <w:lang w:bidi="he-IL"/>
        </w:rPr>
        <w:t>דא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בהא</w:t>
      </w:r>
      <w:r w:rsidRPr="00400C0B">
        <w:rPr>
          <w:rFonts w:cs="Guttman Rashi"/>
          <w:rtl/>
          <w:lang w:bidi="he-IL"/>
        </w:rPr>
        <w:t xml:space="preserve"> </w:t>
      </w:r>
      <w:r w:rsidRPr="00400C0B">
        <w:rPr>
          <w:rFonts w:cs="Guttman Rashi" w:hint="eastAsia"/>
          <w:rtl/>
          <w:lang w:bidi="he-IL"/>
        </w:rPr>
        <w:t>דהש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נגיעת</w:t>
      </w:r>
      <w:r w:rsidRPr="00400C0B">
        <w:rPr>
          <w:rFonts w:cs="Guttman Rashi"/>
          <w:rtl/>
          <w:lang w:bidi="he-IL"/>
        </w:rPr>
        <w:t xml:space="preserve"> </w:t>
      </w:r>
      <w:r w:rsidRPr="00400C0B">
        <w:rPr>
          <w:rFonts w:cs="Guttman Rashi" w:hint="eastAsia"/>
          <w:rtl/>
          <w:lang w:bidi="he-IL"/>
        </w:rPr>
        <w:t>הכף</w:t>
      </w:r>
      <w:r w:rsidRPr="00400C0B">
        <w:rPr>
          <w:rFonts w:cs="Guttman Rashi"/>
          <w:rtl/>
          <w:lang w:bidi="he-IL"/>
        </w:rPr>
        <w:t xml:space="preserve"> </w:t>
      </w:r>
      <w:r w:rsidRPr="00400C0B">
        <w:rPr>
          <w:rFonts w:cs="Guttman Rashi" w:hint="eastAsia"/>
          <w:rtl/>
          <w:lang w:bidi="he-IL"/>
        </w:rPr>
        <w:t>לקדירה</w:t>
      </w:r>
      <w:r w:rsidRPr="00400C0B">
        <w:rPr>
          <w:rFonts w:cs="Guttman Rashi"/>
          <w:rtl/>
          <w:lang w:bidi="he-IL"/>
        </w:rPr>
        <w:t xml:space="preserve">, </w:t>
      </w:r>
      <w:r w:rsidRPr="00400C0B">
        <w:rPr>
          <w:rFonts w:cs="Guttman Rashi" w:hint="eastAsia"/>
          <w:rtl/>
          <w:lang w:bidi="he-IL"/>
        </w:rPr>
        <w:t>ביאר</w:t>
      </w:r>
      <w:r w:rsidRPr="00400C0B">
        <w:rPr>
          <w:rFonts w:cs="Guttman Rashi"/>
          <w:rtl/>
          <w:lang w:bidi="he-IL"/>
        </w:rPr>
        <w:t xml:space="preserve"> </w:t>
      </w:r>
      <w:r w:rsidRPr="00400C0B">
        <w:rPr>
          <w:rFonts w:cs="Guttman Rashi" w:hint="eastAsia"/>
          <w:rtl/>
          <w:lang w:bidi="he-IL"/>
        </w:rPr>
        <w:t>השפ</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ולדינא</w:t>
      </w:r>
      <w:r w:rsidRPr="00400C0B">
        <w:rPr>
          <w:rFonts w:cs="Guttman Rashi"/>
          <w:rtl/>
          <w:lang w:bidi="he-IL"/>
        </w:rPr>
        <w:t xml:space="preserve">) </w:t>
      </w:r>
      <w:r w:rsidRPr="00400C0B">
        <w:rPr>
          <w:rFonts w:cs="Guttman Rashi" w:hint="eastAsia"/>
          <w:rtl/>
          <w:lang w:bidi="he-IL"/>
        </w:rPr>
        <w:t>שבאוכלין</w:t>
      </w:r>
      <w:r w:rsidRPr="00400C0B">
        <w:rPr>
          <w:rFonts w:cs="Guttman Rashi"/>
          <w:rtl/>
          <w:lang w:bidi="he-IL"/>
        </w:rPr>
        <w:t xml:space="preserve"> </w:t>
      </w:r>
      <w:r w:rsidRPr="00400C0B">
        <w:rPr>
          <w:rFonts w:cs="Guttman Rashi" w:hint="eastAsia"/>
          <w:rtl/>
          <w:lang w:bidi="he-IL"/>
        </w:rPr>
        <w:t>חיישינן</w:t>
      </w:r>
      <w:r w:rsidRPr="00400C0B">
        <w:rPr>
          <w:rFonts w:cs="Guttman Rashi"/>
          <w:rtl/>
          <w:lang w:bidi="he-IL"/>
        </w:rPr>
        <w:t xml:space="preserve"> </w:t>
      </w:r>
      <w:r w:rsidRPr="00400C0B">
        <w:rPr>
          <w:rFonts w:cs="Guttman Rashi" w:hint="eastAsia"/>
          <w:rtl/>
          <w:lang w:bidi="he-IL"/>
        </w:rPr>
        <w:t>טפי</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לאמצעות</w:t>
      </w:r>
      <w:r w:rsidRPr="00400C0B">
        <w:rPr>
          <w:rFonts w:cs="Guttman Rashi"/>
          <w:rtl/>
          <w:lang w:bidi="he-IL"/>
        </w:rPr>
        <w:t xml:space="preserve"> </w:t>
      </w:r>
      <w:r w:rsidRPr="00400C0B">
        <w:rPr>
          <w:rFonts w:cs="Guttman Rashi" w:hint="eastAsia"/>
          <w:rtl/>
          <w:lang w:bidi="he-IL"/>
        </w:rPr>
        <w:t>המים</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דאינו</w:t>
      </w:r>
      <w:r w:rsidRPr="00400C0B">
        <w:rPr>
          <w:rFonts w:cs="Guttman Rashi"/>
          <w:rtl/>
          <w:lang w:bidi="he-IL"/>
        </w:rPr>
        <w:t xml:space="preserve"> </w:t>
      </w:r>
      <w:r w:rsidRPr="00400C0B">
        <w:rPr>
          <w:rFonts w:cs="Guttman Rashi" w:hint="eastAsia"/>
          <w:rtl/>
          <w:lang w:bidi="he-IL"/>
        </w:rPr>
        <w:t>עובר</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דרך</w:t>
      </w:r>
      <w:r w:rsidRPr="00400C0B">
        <w:rPr>
          <w:rFonts w:cs="Guttman Rashi"/>
          <w:rtl/>
          <w:lang w:bidi="he-IL"/>
        </w:rPr>
        <w:t xml:space="preserve"> </w:t>
      </w:r>
      <w:r w:rsidRPr="00400C0B">
        <w:rPr>
          <w:rFonts w:cs="Guttman Rashi" w:hint="eastAsia"/>
          <w:rtl/>
          <w:lang w:bidi="he-IL"/>
        </w:rPr>
        <w:t>מים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חיישינן</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בלב</w:t>
      </w:r>
      <w:r w:rsidRPr="00400C0B">
        <w:rPr>
          <w:rFonts w:cs="Guttman Rashi"/>
          <w:rtl/>
          <w:lang w:bidi="he-IL"/>
        </w:rPr>
        <w:t xml:space="preserve"> </w:t>
      </w:r>
      <w:r w:rsidRPr="00400C0B">
        <w:rPr>
          <w:rFonts w:cs="Guttman Rashi" w:hint="eastAsia"/>
          <w:rtl/>
          <w:lang w:bidi="he-IL"/>
        </w:rPr>
        <w:t>ארי</w:t>
      </w:r>
      <w:r w:rsidRPr="00400C0B">
        <w:rPr>
          <w:rFonts w:cs="Guttman Rashi"/>
          <w:rtl/>
          <w:lang w:bidi="he-IL"/>
        </w:rPr>
        <w:t xml:space="preserve">' </w:t>
      </w:r>
      <w:r w:rsidRPr="00400C0B">
        <w:rPr>
          <w:rFonts w:cs="Guttman Rashi" w:hint="eastAsia"/>
          <w:rtl/>
          <w:lang w:bidi="he-IL"/>
        </w:rPr>
        <w:t>למס</w:t>
      </w:r>
      <w:r w:rsidRPr="00400C0B">
        <w:rPr>
          <w:rFonts w:cs="Guttman Rashi"/>
          <w:rtl/>
          <w:lang w:bidi="he-IL"/>
        </w:rPr>
        <w:t xml:space="preserve">' </w:t>
      </w:r>
      <w:r w:rsidRPr="00400C0B">
        <w:rPr>
          <w:rFonts w:cs="Guttman Rashi" w:hint="eastAsia"/>
          <w:rtl/>
          <w:lang w:bidi="he-IL"/>
        </w:rPr>
        <w:t>חולין</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סברא</w:t>
      </w:r>
      <w:r w:rsidRPr="00400C0B">
        <w:rPr>
          <w:rFonts w:cs="Guttman Rashi"/>
          <w:rtl/>
          <w:lang w:bidi="he-IL"/>
        </w:rPr>
        <w:t xml:space="preserve"> </w:t>
      </w:r>
      <w:r w:rsidRPr="00400C0B">
        <w:rPr>
          <w:rFonts w:cs="Guttman Rashi" w:hint="eastAsia"/>
          <w:rtl/>
          <w:lang w:bidi="he-IL"/>
        </w:rPr>
        <w:t>הפוכה</w:t>
      </w:r>
      <w:r w:rsidRPr="00400C0B">
        <w:rPr>
          <w:rFonts w:cs="Guttman Rashi"/>
          <w:rtl/>
          <w:lang w:bidi="he-IL"/>
        </w:rPr>
        <w:t xml:space="preserve">). </w:t>
      </w:r>
      <w:r w:rsidRPr="00400C0B">
        <w:rPr>
          <w:rFonts w:cs="Guttman Rashi" w:hint="eastAsia"/>
          <w:rtl/>
          <w:lang w:bidi="he-IL"/>
        </w:rPr>
        <w:t>ויוצא</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שמחמיר</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בנתבשלו</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באוכל</w:t>
      </w:r>
      <w:r w:rsidRPr="00400C0B">
        <w:rPr>
          <w:rFonts w:cs="Guttman Rashi"/>
          <w:rtl/>
          <w:lang w:bidi="he-IL"/>
        </w:rPr>
        <w:t xml:space="preserve"> </w:t>
      </w:r>
      <w:r w:rsidRPr="00400C0B">
        <w:rPr>
          <w:rFonts w:cs="Guttman Rashi" w:hint="eastAsia"/>
          <w:rtl/>
          <w:lang w:bidi="he-IL"/>
        </w:rPr>
        <w:t>וכלי</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דהוו</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לכים</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לאוכלם</w:t>
      </w:r>
      <w:r w:rsidRPr="00400C0B">
        <w:rPr>
          <w:rFonts w:cs="Guttman Rashi"/>
          <w:rtl/>
          <w:lang w:bidi="he-IL"/>
        </w:rPr>
        <w:t xml:space="preserve"> </w:t>
      </w:r>
      <w:r w:rsidRPr="00400C0B">
        <w:rPr>
          <w:rFonts w:cs="Guttman Rashi" w:hint="eastAsia"/>
          <w:rtl/>
          <w:lang w:bidi="he-IL"/>
        </w:rPr>
        <w:t>בכותח</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שמדויק</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מלשון</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בביאורים</w:t>
      </w:r>
      <w:r w:rsidRPr="00400C0B">
        <w:rPr>
          <w:rFonts w:cs="Guttman Rashi"/>
          <w:rtl/>
          <w:lang w:bidi="he-IL"/>
        </w:rPr>
        <w:t xml:space="preserve"> </w:t>
      </w:r>
      <w:r w:rsidRPr="00400C0B">
        <w:rPr>
          <w:rFonts w:cs="Guttman Rashi" w:hint="eastAsia"/>
          <w:rtl/>
          <w:lang w:bidi="he-IL"/>
        </w:rPr>
        <w:t>לבדה</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רצ</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בצלייה</w:t>
      </w:r>
      <w:r w:rsidRPr="00400C0B">
        <w:rPr>
          <w:rFonts w:cs="Guttman Rashi"/>
          <w:rtl/>
          <w:lang w:bidi="he-IL"/>
        </w:rPr>
        <w:t xml:space="preserve"> </w:t>
      </w:r>
      <w:r w:rsidRPr="00400C0B">
        <w:rPr>
          <w:rFonts w:cs="Guttman Rashi" w:hint="eastAsia"/>
          <w:rtl/>
          <w:lang w:bidi="he-IL"/>
        </w:rPr>
        <w:t>שהעלה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תי</w:t>
      </w:r>
      <w:r w:rsidRPr="00400C0B">
        <w:rPr>
          <w:rFonts w:cs="Guttman Rashi"/>
          <w:rtl/>
          <w:lang w:bidi="he-IL"/>
        </w:rPr>
        <w:t xml:space="preserve">' </w:t>
      </w:r>
      <w:r w:rsidRPr="00400C0B">
        <w:rPr>
          <w:rFonts w:cs="Guttman Rashi" w:hint="eastAsia"/>
          <w:rtl/>
          <w:lang w:bidi="he-IL"/>
        </w:rPr>
        <w:t>לקושיא</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שבדגים</w:t>
      </w:r>
      <w:r w:rsidRPr="00400C0B">
        <w:rPr>
          <w:rFonts w:cs="Guttman Rashi"/>
          <w:rtl/>
          <w:lang w:bidi="he-IL"/>
        </w:rPr>
        <w:t xml:space="preserve"> </w:t>
      </w:r>
      <w:r w:rsidRPr="00400C0B">
        <w:rPr>
          <w:rFonts w:cs="Guttman Rashi" w:hint="eastAsia"/>
          <w:rtl/>
          <w:lang w:bidi="he-IL"/>
        </w:rPr>
        <w:t>בתוך</w:t>
      </w:r>
      <w:r w:rsidRPr="00400C0B">
        <w:rPr>
          <w:rFonts w:cs="Guttman Rashi"/>
          <w:rtl/>
          <w:lang w:bidi="he-IL"/>
        </w:rPr>
        <w:t xml:space="preserve"> </w:t>
      </w:r>
      <w:r w:rsidRPr="00400C0B">
        <w:rPr>
          <w:rFonts w:cs="Guttman Rashi" w:hint="eastAsia"/>
          <w:rtl/>
          <w:lang w:bidi="he-IL"/>
        </w:rPr>
        <w:t>מים</w:t>
      </w:r>
      <w:r w:rsidRPr="00400C0B">
        <w:rPr>
          <w:rFonts w:cs="Guttman Rashi"/>
          <w:rtl/>
          <w:lang w:bidi="he-IL"/>
        </w:rPr>
        <w:t xml:space="preserve"> </w:t>
      </w:r>
      <w:r w:rsidRPr="00400C0B">
        <w:rPr>
          <w:rFonts w:cs="Guttman Rashi" w:hint="eastAsia"/>
          <w:rtl/>
          <w:lang w:bidi="he-IL"/>
        </w:rPr>
        <w:t>הוו</w:t>
      </w:r>
      <w:r w:rsidRPr="00400C0B">
        <w:rPr>
          <w:rFonts w:cs="Guttman Rashi"/>
          <w:rtl/>
          <w:lang w:bidi="he-IL"/>
        </w:rPr>
        <w:t xml:space="preserve"> </w:t>
      </w:r>
      <w:r w:rsidRPr="00400C0B">
        <w:rPr>
          <w:rFonts w:cs="Guttman Rashi" w:hint="eastAsia"/>
          <w:rtl/>
          <w:lang w:bidi="he-IL"/>
        </w:rPr>
        <w:t>מאוכל</w:t>
      </w:r>
      <w:r w:rsidRPr="00400C0B">
        <w:rPr>
          <w:rFonts w:cs="Guttman Rashi"/>
          <w:rtl/>
          <w:lang w:bidi="he-IL"/>
        </w:rPr>
        <w:t xml:space="preserve"> </w:t>
      </w:r>
      <w:r w:rsidRPr="00400C0B">
        <w:rPr>
          <w:rFonts w:cs="Guttman Rashi" w:hint="eastAsia"/>
          <w:rtl/>
          <w:lang w:bidi="he-IL"/>
        </w:rPr>
        <w:t>לאוכל</w:t>
      </w:r>
      <w:r w:rsidRPr="00400C0B">
        <w:rPr>
          <w:rFonts w:cs="Guttman Rashi"/>
          <w:rtl/>
          <w:lang w:bidi="he-IL"/>
        </w:rPr>
        <w:t xml:space="preserve"> (</w:t>
      </w:r>
      <w:r w:rsidRPr="00400C0B">
        <w:rPr>
          <w:rFonts w:cs="Guttman Rashi" w:hint="eastAsia"/>
          <w:rtl/>
          <w:lang w:bidi="he-IL"/>
        </w:rPr>
        <w:t>וכנ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בהערה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NOTEREF</w:instrText>
      </w:r>
      <w:r w:rsidRPr="00400C0B">
        <w:rPr>
          <w:rFonts w:cs="Guttman Rashi"/>
          <w:rtl/>
          <w:lang w:bidi="he-IL"/>
        </w:rPr>
        <w:instrText xml:space="preserve"> _</w:instrText>
      </w:r>
      <w:r w:rsidRPr="00400C0B">
        <w:rPr>
          <w:rFonts w:cs="Guttman Rashi"/>
          <w:lang w:bidi="he-IL"/>
        </w:rPr>
        <w:instrText>Ref456958424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287</w:t>
      </w:r>
      <w:r w:rsidRPr="00400C0B">
        <w:rPr>
          <w:rFonts w:cs="Guttman Rashi"/>
          <w:rtl/>
          <w:lang w:bidi="he-IL"/>
        </w:rPr>
        <w:fldChar w:fldCharType="end"/>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שיטה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בכלים</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בבדה</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נפק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הטעמים</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להדגיש</w:t>
      </w:r>
      <w:r w:rsidRPr="00400C0B">
        <w:rPr>
          <w:rFonts w:cs="Guttman Rashi"/>
          <w:rtl/>
          <w:lang w:bidi="he-IL"/>
        </w:rPr>
        <w:t xml:space="preserve"> </w:t>
      </w:r>
      <w:r w:rsidRPr="00400C0B">
        <w:rPr>
          <w:rFonts w:cs="Guttman Rashi" w:hint="eastAsia"/>
          <w:rtl/>
          <w:lang w:bidi="he-IL"/>
        </w:rPr>
        <w:t>שאף</w:t>
      </w:r>
      <w:r w:rsidRPr="00400C0B">
        <w:rPr>
          <w:rFonts w:cs="Guttman Rashi"/>
          <w:rtl/>
          <w:lang w:bidi="he-IL"/>
        </w:rPr>
        <w:t xml:space="preserve"> </w:t>
      </w:r>
      <w:r w:rsidRPr="00400C0B">
        <w:rPr>
          <w:rFonts w:cs="Guttman Rashi" w:hint="eastAsia"/>
          <w:rtl/>
          <w:lang w:bidi="he-IL"/>
        </w:rPr>
        <w:t>שי</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בג</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מחמירים</w:t>
      </w:r>
      <w:r w:rsidRPr="00400C0B">
        <w:rPr>
          <w:rFonts w:cs="Guttman Rashi"/>
          <w:rtl/>
          <w:lang w:bidi="he-IL"/>
        </w:rPr>
        <w:t xml:space="preserve"> </w:t>
      </w:r>
      <w:r w:rsidRPr="00400C0B">
        <w:rPr>
          <w:rFonts w:cs="Guttman Rashi" w:hint="eastAsia"/>
          <w:rtl/>
          <w:lang w:bidi="he-IL"/>
        </w:rPr>
        <w:t>בנתבשלו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בית</w:t>
      </w:r>
      <w:r w:rsidRPr="00400C0B">
        <w:rPr>
          <w:rFonts w:cs="Guttman Rashi"/>
          <w:rtl/>
          <w:lang w:bidi="he-IL"/>
        </w:rPr>
        <w:t xml:space="preserve"> </w:t>
      </w:r>
      <w:r w:rsidRPr="00400C0B">
        <w:rPr>
          <w:rFonts w:cs="Guttman Rashi" w:hint="eastAsia"/>
          <w:rtl/>
          <w:lang w:bidi="he-IL"/>
        </w:rPr>
        <w:t>אפרים</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משיטות</w:t>
      </w:r>
      <w:r w:rsidRPr="00400C0B">
        <w:rPr>
          <w:rFonts w:cs="Guttman Rashi"/>
          <w:rtl/>
          <w:lang w:bidi="he-IL"/>
        </w:rPr>
        <w:t xml:space="preserve"> </w:t>
      </w:r>
      <w:r w:rsidRPr="00400C0B">
        <w:rPr>
          <w:rFonts w:cs="Guttman Rashi" w:hint="eastAsia"/>
          <w:rtl/>
          <w:lang w:bidi="he-IL"/>
        </w:rPr>
        <w:t>אלו</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הפוסקים</w:t>
      </w:r>
      <w:r w:rsidRPr="00400C0B">
        <w:rPr>
          <w:rFonts w:cs="Guttman Rashi"/>
          <w:rtl/>
          <w:lang w:bidi="he-IL"/>
        </w:rPr>
        <w:t xml:space="preserve"> </w:t>
      </w:r>
      <w:r w:rsidRPr="00400C0B">
        <w:rPr>
          <w:rFonts w:cs="Guttman Rashi" w:hint="eastAsia"/>
          <w:rtl/>
          <w:lang w:bidi="he-IL"/>
        </w:rPr>
        <w:t>כנראה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התחשבו</w:t>
      </w:r>
      <w:r w:rsidRPr="00400C0B">
        <w:rPr>
          <w:rFonts w:cs="Guttman Rashi"/>
          <w:rtl/>
          <w:lang w:bidi="he-IL"/>
        </w:rPr>
        <w:t xml:space="preserve"> </w:t>
      </w:r>
      <w:r w:rsidRPr="00400C0B">
        <w:rPr>
          <w:rFonts w:cs="Guttman Rashi" w:hint="eastAsia"/>
          <w:rtl/>
          <w:lang w:bidi="he-IL"/>
        </w:rPr>
        <w:t>בשיטה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p>
  </w:footnote>
  <w:footnote w:id="29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דעדיין</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לשון</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w:t>
      </w:r>
      <w:r w:rsidRPr="00400C0B">
        <w:rPr>
          <w:rFonts w:cs="Guttman Rashi" w:hint="eastAsia"/>
          <w:rtl/>
          <w:lang w:bidi="he-IL"/>
        </w:rPr>
        <w:t>אייתו</w:t>
      </w:r>
      <w:r w:rsidRPr="00400C0B">
        <w:rPr>
          <w:rFonts w:cs="Guttman Rashi"/>
          <w:rtl/>
          <w:lang w:bidi="he-IL"/>
        </w:rPr>
        <w:t xml:space="preserve"> </w:t>
      </w:r>
      <w:r w:rsidRPr="00400C0B">
        <w:rPr>
          <w:rFonts w:cs="Guttman Rashi" w:hint="eastAsia"/>
          <w:rtl/>
          <w:lang w:bidi="he-IL"/>
        </w:rPr>
        <w:t>לקמיה</w:t>
      </w:r>
      <w:r w:rsidRPr="00400C0B">
        <w:rPr>
          <w:rFonts w:cs="Guttman Rashi"/>
          <w:rtl/>
          <w:lang w:bidi="he-IL"/>
        </w:rPr>
        <w:t xml:space="preserve"> </w:t>
      </w:r>
      <w:r w:rsidRPr="00400C0B">
        <w:rPr>
          <w:rFonts w:cs="Guttman Rashi" w:hint="eastAsia"/>
          <w:rtl/>
          <w:lang w:bidi="he-IL"/>
        </w:rPr>
        <w:t>דגים</w:t>
      </w:r>
      <w:r w:rsidRPr="00400C0B">
        <w:rPr>
          <w:rFonts w:cs="Guttman Rashi"/>
          <w:rtl/>
          <w:lang w:bidi="he-IL"/>
        </w:rPr>
        <w:t xml:space="preserve"> </w:t>
      </w:r>
      <w:r w:rsidRPr="00400C0B">
        <w:rPr>
          <w:rFonts w:cs="Guttman Rashi" w:hint="eastAsia"/>
          <w:rtl/>
          <w:lang w:bidi="he-IL"/>
        </w:rPr>
        <w:t>שעלו</w:t>
      </w:r>
      <w:r w:rsidRPr="00400C0B">
        <w:rPr>
          <w:rFonts w:cs="Guttman Rashi"/>
          <w:rtl/>
          <w:lang w:bidi="he-IL"/>
        </w:rPr>
        <w:t xml:space="preserve"> </w:t>
      </w:r>
      <w:r w:rsidRPr="00400C0B">
        <w:rPr>
          <w:rFonts w:cs="Guttman Rashi" w:hint="eastAsia"/>
          <w:rtl/>
          <w:lang w:bidi="he-IL"/>
        </w:rPr>
        <w:t>בקערה</w:t>
      </w:r>
      <w:r w:rsidRPr="00400C0B">
        <w:rPr>
          <w:rFonts w:cs="Guttman Rashi"/>
          <w:rtl/>
          <w:lang w:bidi="he-IL"/>
        </w:rPr>
        <w:t xml:space="preserve"> </w:t>
      </w:r>
      <w:r w:rsidRPr="00400C0B">
        <w:rPr>
          <w:rFonts w:cs="Guttman Rashi" w:hint="eastAsia"/>
          <w:rtl/>
          <w:lang w:bidi="he-IL"/>
        </w:rPr>
        <w:t>וקא</w:t>
      </w:r>
      <w:r w:rsidRPr="00400C0B">
        <w:rPr>
          <w:rFonts w:cs="Guttman Rashi"/>
          <w:rtl/>
          <w:lang w:bidi="he-IL"/>
        </w:rPr>
        <w:t xml:space="preserve"> </w:t>
      </w:r>
      <w:r w:rsidRPr="00400C0B">
        <w:rPr>
          <w:rFonts w:cs="Guttman Rashi" w:hint="eastAsia"/>
          <w:rtl/>
          <w:lang w:bidi="he-IL"/>
        </w:rPr>
        <w:t>אכיל</w:t>
      </w:r>
      <w:r w:rsidRPr="00400C0B">
        <w:rPr>
          <w:rFonts w:cs="Guttman Rashi"/>
          <w:rtl/>
          <w:lang w:bidi="he-IL"/>
        </w:rPr>
        <w:t xml:space="preserve"> </w:t>
      </w:r>
      <w:r w:rsidRPr="00400C0B">
        <w:rPr>
          <w:rFonts w:cs="Guttman Rashi" w:hint="eastAsia"/>
          <w:rtl/>
          <w:lang w:bidi="he-IL"/>
        </w:rPr>
        <w:t>בכותח</w:t>
      </w:r>
      <w:r w:rsidRPr="00400C0B">
        <w:rPr>
          <w:rFonts w:cs="Guttman Rashi"/>
          <w:rtl/>
          <w:lang w:bidi="he-IL"/>
        </w:rPr>
        <w:t xml:space="preserve">" </w:t>
      </w:r>
      <w:r w:rsidRPr="00400C0B">
        <w:rPr>
          <w:rFonts w:cs="Guttman Rashi" w:hint="eastAsia"/>
          <w:rtl/>
          <w:lang w:bidi="he-IL"/>
        </w:rPr>
        <w:t>דודאי</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דחוק</w:t>
      </w:r>
      <w:r w:rsidRPr="00400C0B">
        <w:rPr>
          <w:rFonts w:cs="Guttman Rashi"/>
          <w:rtl/>
          <w:lang w:bidi="he-IL"/>
        </w:rPr>
        <w:t xml:space="preserve"> </w:t>
      </w:r>
      <w:r w:rsidRPr="00400C0B">
        <w:rPr>
          <w:rFonts w:cs="Guttman Rashi" w:hint="eastAsia"/>
          <w:rtl/>
          <w:lang w:bidi="he-IL"/>
        </w:rPr>
        <w:t>טובא</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דכשהביאו</w:t>
      </w:r>
      <w:r w:rsidRPr="00400C0B">
        <w:rPr>
          <w:rFonts w:cs="Guttman Rashi"/>
          <w:rtl/>
          <w:lang w:bidi="he-IL"/>
        </w:rPr>
        <w:t xml:space="preserve"> </w:t>
      </w:r>
      <w:r w:rsidRPr="00400C0B">
        <w:rPr>
          <w:rFonts w:cs="Guttman Rashi" w:hint="eastAsia"/>
          <w:rtl/>
          <w:lang w:bidi="he-IL"/>
        </w:rPr>
        <w:t>לפניו</w:t>
      </w:r>
      <w:r w:rsidRPr="00400C0B">
        <w:rPr>
          <w:rFonts w:cs="Guttman Rashi"/>
          <w:rtl/>
          <w:lang w:bidi="he-IL"/>
        </w:rPr>
        <w:t xml:space="preserve"> </w:t>
      </w:r>
      <w:r w:rsidRPr="00400C0B">
        <w:rPr>
          <w:rFonts w:cs="Guttman Rashi" w:hint="eastAsia"/>
          <w:rtl/>
          <w:lang w:bidi="he-IL"/>
        </w:rPr>
        <w:t>היו</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דגים</w:t>
      </w:r>
      <w:r w:rsidRPr="00400C0B">
        <w:rPr>
          <w:rFonts w:cs="Guttman Rashi"/>
          <w:rtl/>
          <w:lang w:bidi="he-IL"/>
        </w:rPr>
        <w:t xml:space="preserve"> </w:t>
      </w:r>
      <w:r w:rsidRPr="00400C0B">
        <w:rPr>
          <w:rFonts w:cs="Guttman Rashi" w:hint="eastAsia"/>
          <w:rtl/>
          <w:lang w:bidi="he-IL"/>
        </w:rPr>
        <w:t>שעלו</w:t>
      </w:r>
      <w:r w:rsidRPr="00400C0B">
        <w:rPr>
          <w:rFonts w:cs="Guttman Rashi"/>
          <w:rtl/>
          <w:lang w:bidi="he-IL"/>
        </w:rPr>
        <w:t xml:space="preserve"> </w:t>
      </w:r>
      <w:r w:rsidRPr="00400C0B">
        <w:rPr>
          <w:rFonts w:cs="Guttman Rashi" w:hint="eastAsia"/>
          <w:rtl/>
          <w:lang w:bidi="he-IL"/>
        </w:rPr>
        <w:t>בקערה</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שוב</w:t>
      </w:r>
      <w:r w:rsidRPr="00400C0B">
        <w:rPr>
          <w:rFonts w:cs="Guttman Rashi"/>
          <w:rtl/>
          <w:lang w:bidi="he-IL"/>
        </w:rPr>
        <w:t xml:space="preserve"> </w:t>
      </w:r>
      <w:r w:rsidRPr="00400C0B">
        <w:rPr>
          <w:rFonts w:cs="Guttman Rashi" w:hint="eastAsia"/>
          <w:rtl/>
          <w:lang w:bidi="he-IL"/>
        </w:rPr>
        <w:t>נפל</w:t>
      </w:r>
      <w:r w:rsidRPr="00400C0B">
        <w:rPr>
          <w:rFonts w:cs="Guttman Rashi"/>
          <w:rtl/>
          <w:lang w:bidi="he-IL"/>
        </w:rPr>
        <w:t xml:space="preserve"> </w:t>
      </w:r>
      <w:r w:rsidRPr="00400C0B">
        <w:rPr>
          <w:rFonts w:cs="Guttman Rashi" w:hint="eastAsia"/>
          <w:rtl/>
          <w:lang w:bidi="he-IL"/>
        </w:rPr>
        <w:t>לכותח</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בכוונה</w:t>
      </w:r>
      <w:r w:rsidRPr="00400C0B">
        <w:rPr>
          <w:rFonts w:cs="Guttman Rashi"/>
          <w:rtl/>
          <w:lang w:bidi="he-IL"/>
        </w:rPr>
        <w:t xml:space="preserve"> </w:t>
      </w:r>
      <w:r w:rsidRPr="00400C0B">
        <w:rPr>
          <w:rFonts w:cs="Guttman Rashi" w:hint="eastAsia"/>
          <w:rtl/>
          <w:lang w:bidi="he-IL"/>
        </w:rPr>
        <w:t>ואכלו</w:t>
      </w:r>
      <w:r w:rsidRPr="00400C0B">
        <w:rPr>
          <w:rFonts w:cs="Guttman Rashi"/>
          <w:rtl/>
          <w:lang w:bidi="he-IL"/>
        </w:rPr>
        <w:t xml:space="preserve">. </w:t>
      </w:r>
    </w:p>
  </w:footnote>
  <w:footnote w:id="29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האו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בהגהות</w:t>
      </w:r>
      <w:r w:rsidRPr="00400C0B">
        <w:rPr>
          <w:rFonts w:cs="Guttman Rashi"/>
          <w:rtl/>
          <w:lang w:bidi="he-IL"/>
        </w:rPr>
        <w:t xml:space="preserve"> </w:t>
      </w:r>
      <w:r w:rsidRPr="00400C0B">
        <w:rPr>
          <w:rFonts w:cs="Guttman Rashi" w:hint="eastAsia"/>
          <w:rtl/>
          <w:lang w:bidi="he-IL"/>
        </w:rPr>
        <w:t>בסוף</w:t>
      </w:r>
      <w:r w:rsidRPr="00400C0B">
        <w:rPr>
          <w:rFonts w:cs="Guttman Rashi"/>
          <w:rtl/>
          <w:lang w:bidi="he-IL"/>
        </w:rPr>
        <w:t xml:space="preserve"> </w:t>
      </w:r>
      <w:r w:rsidRPr="00400C0B">
        <w:rPr>
          <w:rFonts w:cs="Guttman Rashi" w:hint="eastAsia"/>
          <w:rtl/>
          <w:lang w:bidi="he-IL"/>
        </w:rPr>
        <w:t>הספר</w:t>
      </w:r>
      <w:r w:rsidRPr="00400C0B">
        <w:rPr>
          <w:rFonts w:cs="Guttman Rashi"/>
          <w:rtl/>
          <w:lang w:bidi="he-IL"/>
        </w:rPr>
        <w:t xml:space="preserve"> </w:t>
      </w:r>
      <w:r w:rsidRPr="00400C0B">
        <w:rPr>
          <w:rFonts w:cs="Guttman Rashi" w:hint="eastAsia"/>
          <w:rtl/>
          <w:lang w:bidi="he-IL"/>
        </w:rPr>
        <w:t>שער</w:t>
      </w:r>
      <w:r w:rsidRPr="00400C0B">
        <w:rPr>
          <w:rFonts w:cs="Guttman Rashi"/>
          <w:rtl/>
          <w:lang w:bidi="he-IL"/>
        </w:rPr>
        <w:t xml:space="preserve"> </w:t>
      </w:r>
      <w:r w:rsidRPr="00400C0B">
        <w:rPr>
          <w:rFonts w:cs="Guttman Rashi" w:hint="eastAsia"/>
          <w:rtl/>
          <w:lang w:bidi="he-IL"/>
        </w:rPr>
        <w:t>לד</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מקור</w:t>
      </w:r>
      <w:r w:rsidRPr="00400C0B">
        <w:rPr>
          <w:rFonts w:cs="Guttman Rashi"/>
          <w:rtl/>
          <w:lang w:bidi="he-IL"/>
        </w:rPr>
        <w:t xml:space="preserve"> </w:t>
      </w:r>
      <w:r w:rsidRPr="00400C0B">
        <w:rPr>
          <w:rFonts w:cs="Guttman Rashi" w:hint="eastAsia"/>
          <w:rtl/>
          <w:lang w:bidi="he-IL"/>
        </w:rPr>
        <w:t>לדברי</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p>
  </w:footnote>
  <w:footnote w:id="29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והעיר</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מדברי</w:t>
      </w:r>
      <w:r w:rsidRPr="00400C0B">
        <w:rPr>
          <w:rFonts w:cs="Guttman Rashi"/>
          <w:rtl/>
          <w:lang w:bidi="he-IL"/>
        </w:rPr>
        <w:t xml:space="preserve"> </w:t>
      </w:r>
      <w:r w:rsidRPr="00400C0B">
        <w:rPr>
          <w:rFonts w:cs="Guttman Rashi" w:hint="eastAsia"/>
          <w:rtl/>
          <w:lang w:bidi="he-IL"/>
        </w:rPr>
        <w:t>הבינ</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עלו</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שער</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והיתר</w:t>
      </w:r>
      <w:r w:rsidRPr="00400C0B">
        <w:rPr>
          <w:rFonts w:cs="Guttman Rashi"/>
          <w:rtl/>
          <w:lang w:bidi="he-IL"/>
        </w:rPr>
        <w:t xml:space="preserve"> </w:t>
      </w:r>
      <w:r w:rsidRPr="00400C0B">
        <w:rPr>
          <w:rFonts w:cs="Guttman Rashi" w:hint="eastAsia"/>
          <w:rtl/>
          <w:lang w:bidi="he-IL"/>
        </w:rPr>
        <w:t>סימן</w:t>
      </w:r>
      <w:r w:rsidRPr="00400C0B">
        <w:rPr>
          <w:rFonts w:cs="Guttman Rashi"/>
          <w:rtl/>
          <w:lang w:bidi="he-IL"/>
        </w:rPr>
        <w:t xml:space="preserve"> </w:t>
      </w:r>
      <w:r w:rsidRPr="00400C0B">
        <w:rPr>
          <w:rFonts w:cs="Guttman Rashi" w:hint="eastAsia"/>
          <w:rtl/>
          <w:lang w:bidi="he-IL"/>
        </w:rPr>
        <w:t>מא</w:t>
      </w:r>
      <w:r w:rsidRPr="00400C0B">
        <w:rPr>
          <w:rFonts w:cs="Guttman Rashi"/>
          <w:rtl/>
          <w:lang w:bidi="he-IL"/>
        </w:rPr>
        <w:t xml:space="preserve"> [</w:t>
      </w:r>
      <w:r w:rsidRPr="00400C0B">
        <w:rPr>
          <w:rFonts w:cs="Guttman Rashi" w:hint="eastAsia"/>
          <w:rtl/>
          <w:lang w:bidi="he-IL"/>
        </w:rPr>
        <w:t>נח</w:t>
      </w:r>
      <w:r w:rsidRPr="00400C0B">
        <w:rPr>
          <w:rFonts w:cs="Guttman Rashi"/>
          <w:rtl/>
          <w:lang w:bidi="he-IL"/>
        </w:rPr>
        <w:t xml:space="preserve">]) </w:t>
      </w:r>
      <w:r w:rsidRPr="00400C0B">
        <w:rPr>
          <w:rFonts w:cs="Guttman Rashi" w:hint="eastAsia"/>
          <w:rtl/>
          <w:lang w:bidi="he-IL"/>
        </w:rPr>
        <w:t>בדין</w:t>
      </w:r>
      <w:r w:rsidRPr="00400C0B">
        <w:rPr>
          <w:rFonts w:cs="Guttman Rashi"/>
          <w:rtl/>
          <w:lang w:bidi="he-IL"/>
        </w:rPr>
        <w:t xml:space="preserve"> </w:t>
      </w:r>
      <w:r w:rsidRPr="00400C0B">
        <w:rPr>
          <w:rFonts w:cs="Guttman Rashi" w:hint="eastAsia"/>
          <w:rtl/>
          <w:lang w:bidi="he-IL"/>
        </w:rPr>
        <w:t>טיפת</w:t>
      </w:r>
      <w:r w:rsidRPr="00400C0B">
        <w:rPr>
          <w:rFonts w:cs="Guttman Rashi"/>
          <w:rtl/>
          <w:lang w:bidi="he-IL"/>
        </w:rPr>
        <w:t xml:space="preserve"> </w:t>
      </w:r>
      <w:r w:rsidRPr="00400C0B">
        <w:rPr>
          <w:rFonts w:cs="Guttman Rashi" w:hint="eastAsia"/>
          <w:rtl/>
          <w:lang w:bidi="he-IL"/>
        </w:rPr>
        <w:t>מרק</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שנפל</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שמבשלים</w:t>
      </w:r>
      <w:r w:rsidRPr="00400C0B">
        <w:rPr>
          <w:rFonts w:cs="Guttman Rashi"/>
          <w:rtl/>
          <w:lang w:bidi="he-IL"/>
        </w:rPr>
        <w:t xml:space="preserve"> </w:t>
      </w:r>
      <w:r w:rsidRPr="00400C0B">
        <w:rPr>
          <w:rFonts w:cs="Guttman Rashi" w:hint="eastAsia"/>
          <w:rtl/>
          <w:lang w:bidi="he-IL"/>
        </w:rPr>
        <w:t>בו</w:t>
      </w:r>
      <w:r w:rsidRPr="00400C0B">
        <w:rPr>
          <w:rFonts w:cs="Guttman Rashi"/>
          <w:rtl/>
          <w:lang w:bidi="he-IL"/>
        </w:rPr>
        <w:t xml:space="preserve"> </w:t>
      </w:r>
      <w:r w:rsidRPr="00400C0B">
        <w:rPr>
          <w:rFonts w:cs="Guttman Rashi" w:hint="eastAsia"/>
          <w:rtl/>
          <w:lang w:bidi="he-IL"/>
        </w:rPr>
        <w:t>קפה</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מבשלין</w:t>
      </w:r>
      <w:r w:rsidRPr="00400C0B">
        <w:rPr>
          <w:rFonts w:cs="Guttman Rashi"/>
          <w:rtl/>
          <w:lang w:bidi="he-IL"/>
        </w:rPr>
        <w:t xml:space="preserve"> </w:t>
      </w:r>
      <w:r w:rsidRPr="00400C0B">
        <w:rPr>
          <w:rFonts w:cs="Guttman Rashi" w:hint="eastAsia"/>
          <w:rtl/>
          <w:lang w:bidi="he-IL"/>
        </w:rPr>
        <w:t>בו</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לעולם</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שנתבשלו</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לכו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לאלו</w:t>
      </w:r>
      <w:r w:rsidRPr="00400C0B">
        <w:rPr>
          <w:rFonts w:cs="Guttman Rashi"/>
          <w:rtl/>
          <w:lang w:bidi="he-IL"/>
        </w:rPr>
        <w:t xml:space="preserve"> </w:t>
      </w:r>
      <w:r w:rsidRPr="00400C0B">
        <w:rPr>
          <w:rFonts w:cs="Guttman Rashi" w:hint="eastAsia"/>
          <w:rtl/>
          <w:lang w:bidi="he-IL"/>
        </w:rPr>
        <w:t>המקילים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בנ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דעלו</w:t>
      </w:r>
      <w:r w:rsidRPr="00400C0B">
        <w:rPr>
          <w:rFonts w:cs="Guttman Rashi"/>
          <w:rtl/>
          <w:lang w:bidi="he-IL"/>
        </w:rPr>
        <w:t xml:space="preserve"> </w:t>
      </w:r>
      <w:r w:rsidRPr="00400C0B">
        <w:rPr>
          <w:rFonts w:cs="Guttman Rashi" w:hint="eastAsia"/>
          <w:rtl/>
          <w:lang w:bidi="he-IL"/>
        </w:rPr>
        <w:t>ונתבשלו</w:t>
      </w:r>
      <w:r w:rsidRPr="00400C0B">
        <w:rPr>
          <w:rFonts w:cs="Guttman Rashi"/>
          <w:rtl/>
          <w:lang w:bidi="he-IL"/>
        </w:rPr>
        <w:t xml:space="preserve"> </w:t>
      </w:r>
      <w:r w:rsidRPr="00400C0B">
        <w:rPr>
          <w:rFonts w:cs="Guttman Rashi" w:hint="eastAsia"/>
          <w:rtl/>
          <w:lang w:bidi="he-IL"/>
        </w:rPr>
        <w:t>שוין</w:t>
      </w:r>
      <w:r w:rsidRPr="00400C0B">
        <w:rPr>
          <w:rFonts w:cs="Guttman Rashi"/>
          <w:rtl/>
          <w:lang w:bidi="he-IL"/>
        </w:rPr>
        <w:t xml:space="preserve">. </w:t>
      </w:r>
      <w:r w:rsidRPr="00400C0B">
        <w:rPr>
          <w:rFonts w:cs="Guttman Rashi" w:hint="eastAsia"/>
          <w:rtl/>
          <w:lang w:bidi="he-IL"/>
        </w:rPr>
        <w:t>ובסוף</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צירף</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קולות</w:t>
      </w:r>
      <w:r w:rsidRPr="00400C0B">
        <w:rPr>
          <w:rFonts w:cs="Guttman Rashi"/>
          <w:rtl/>
          <w:lang w:bidi="he-IL"/>
        </w:rPr>
        <w:t xml:space="preserve"> </w:t>
      </w:r>
      <w:r w:rsidRPr="00400C0B">
        <w:rPr>
          <w:rFonts w:cs="Guttman Rashi" w:hint="eastAsia"/>
          <w:rtl/>
          <w:lang w:bidi="he-IL"/>
        </w:rPr>
        <w:t>ביחד</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ממתין</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שממתין</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יומו</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להכל</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השיטה</w:t>
      </w:r>
      <w:r w:rsidRPr="00400C0B">
        <w:rPr>
          <w:rFonts w:cs="Guttman Rashi"/>
          <w:rtl/>
          <w:lang w:bidi="he-IL"/>
        </w:rPr>
        <w:t xml:space="preserve"> </w:t>
      </w:r>
      <w:r w:rsidRPr="00400C0B">
        <w:rPr>
          <w:rFonts w:cs="Guttman Rashi" w:hint="eastAsia"/>
          <w:rtl/>
          <w:lang w:bidi="he-IL"/>
        </w:rPr>
        <w:t>הסוברת</w:t>
      </w:r>
      <w:r w:rsidRPr="00400C0B">
        <w:rPr>
          <w:rFonts w:cs="Guttman Rashi"/>
          <w:rtl/>
          <w:lang w:bidi="he-IL"/>
        </w:rPr>
        <w:t xml:space="preserve"> </w:t>
      </w:r>
      <w:r w:rsidRPr="00400C0B">
        <w:rPr>
          <w:rFonts w:cs="Guttman Rashi" w:hint="eastAsia"/>
          <w:rtl/>
          <w:lang w:bidi="he-IL"/>
        </w:rPr>
        <w:t>דנתבשלו</w:t>
      </w:r>
      <w:r w:rsidRPr="00400C0B">
        <w:rPr>
          <w:rFonts w:cs="Guttman Rashi"/>
          <w:rtl/>
          <w:lang w:bidi="he-IL"/>
        </w:rPr>
        <w:t xml:space="preserve"> </w:t>
      </w:r>
      <w:r w:rsidRPr="00400C0B">
        <w:rPr>
          <w:rFonts w:cs="Guttman Rashi" w:hint="eastAsia"/>
          <w:rtl/>
          <w:lang w:bidi="he-IL"/>
        </w:rPr>
        <w:t>ועלו</w:t>
      </w:r>
      <w:r w:rsidRPr="00400C0B">
        <w:rPr>
          <w:rFonts w:cs="Guttman Rashi"/>
          <w:rtl/>
          <w:lang w:bidi="he-IL"/>
        </w:rPr>
        <w:t xml:space="preserve"> </w:t>
      </w:r>
      <w:r w:rsidRPr="00400C0B">
        <w:rPr>
          <w:rFonts w:cs="Guttman Rashi" w:hint="eastAsia"/>
          <w:rtl/>
          <w:lang w:bidi="he-IL"/>
        </w:rPr>
        <w:t>שוין</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 xml:space="preserve"> </w:t>
      </w:r>
      <w:r w:rsidRPr="00400C0B">
        <w:rPr>
          <w:rFonts w:cs="Guttman Rashi" w:hint="eastAsia"/>
          <w:rtl/>
          <w:lang w:bidi="he-IL"/>
        </w:rPr>
        <w:t>דכתב</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בסוף</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להרויח</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לאלו</w:t>
      </w:r>
      <w:r w:rsidRPr="00400C0B">
        <w:rPr>
          <w:rFonts w:cs="Guttman Rashi"/>
          <w:rtl/>
          <w:lang w:bidi="he-IL"/>
        </w:rPr>
        <w:t xml:space="preserve"> </w:t>
      </w:r>
      <w:r w:rsidRPr="00400C0B">
        <w:rPr>
          <w:rFonts w:cs="Guttman Rashi" w:hint="eastAsia"/>
          <w:rtl/>
          <w:lang w:bidi="he-IL"/>
        </w:rPr>
        <w:t>המחמירים</w:t>
      </w:r>
      <w:r w:rsidRPr="00400C0B">
        <w:rPr>
          <w:rFonts w:cs="Guttman Rashi"/>
          <w:rtl/>
          <w:lang w:bidi="he-IL"/>
        </w:rPr>
        <w:t xml:space="preserve"> </w:t>
      </w:r>
      <w:r w:rsidRPr="00400C0B">
        <w:rPr>
          <w:rFonts w:cs="Guttman Rashi" w:hint="eastAsia"/>
          <w:rtl/>
          <w:lang w:bidi="he-IL"/>
        </w:rPr>
        <w:t>בנתבשלו</w:t>
      </w:r>
      <w:r w:rsidRPr="00400C0B">
        <w:rPr>
          <w:rFonts w:cs="Guttman Rashi"/>
          <w:rtl/>
          <w:lang w:bidi="he-IL"/>
        </w:rPr>
        <w:t xml:space="preserve">. </w:t>
      </w:r>
    </w:p>
  </w:footnote>
  <w:footnote w:id="29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למש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שמרמ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שבליעה</w:t>
      </w:r>
      <w:r w:rsidRPr="00400C0B">
        <w:rPr>
          <w:rFonts w:cs="Guttman Rashi"/>
          <w:rtl/>
          <w:lang w:bidi="he-IL"/>
        </w:rPr>
        <w:t xml:space="preserve"> </w:t>
      </w:r>
      <w:r w:rsidRPr="00400C0B">
        <w:rPr>
          <w:rFonts w:cs="Guttman Rashi" w:hint="eastAsia"/>
          <w:rtl/>
          <w:lang w:bidi="he-IL"/>
        </w:rPr>
        <w:t>מדבר</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נעשה</w:t>
      </w:r>
      <w:r w:rsidRPr="00400C0B">
        <w:rPr>
          <w:rFonts w:cs="Guttman Rashi"/>
          <w:rtl/>
          <w:lang w:bidi="he-IL"/>
        </w:rPr>
        <w:t xml:space="preserve"> </w:t>
      </w:r>
      <w:r w:rsidRPr="00400C0B">
        <w:rPr>
          <w:rFonts w:cs="Guttman Rashi" w:hint="eastAsia"/>
          <w:rtl/>
          <w:lang w:bidi="he-IL"/>
        </w:rPr>
        <w:t>לפגם</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מעל</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29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p>
  </w:footnote>
  <w:footnote w:id="29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טועמים</w:t>
      </w:r>
      <w:r w:rsidRPr="00400C0B">
        <w:rPr>
          <w:rFonts w:cs="Guttman Rashi"/>
          <w:rtl/>
          <w:lang w:bidi="he-IL"/>
        </w:rPr>
        <w:t xml:space="preserve"> </w:t>
      </w:r>
      <w:r w:rsidRPr="00400C0B">
        <w:rPr>
          <w:rFonts w:cs="Guttman Rashi" w:hint="eastAsia"/>
          <w:rtl/>
          <w:lang w:bidi="he-IL"/>
        </w:rPr>
        <w:t>לדבריו</w:t>
      </w:r>
      <w:r w:rsidRPr="00400C0B">
        <w:rPr>
          <w:rFonts w:cs="Guttman Rashi"/>
          <w:rtl/>
          <w:lang w:bidi="he-IL"/>
        </w:rPr>
        <w:t xml:space="preserve"> </w:t>
      </w:r>
      <w:r w:rsidRPr="00400C0B">
        <w:rPr>
          <w:rFonts w:cs="Guttman Rashi" w:hint="eastAsia"/>
          <w:rtl/>
          <w:lang w:bidi="he-IL"/>
        </w:rPr>
        <w:t>בסי</w:t>
      </w:r>
      <w:r w:rsidRPr="00400C0B">
        <w:rPr>
          <w:rFonts w:cs="Guttman Rashi"/>
          <w:rtl/>
          <w:lang w:bidi="he-IL"/>
        </w:rPr>
        <w:t xml:space="preserve">' </w:t>
      </w:r>
      <w:r w:rsidRPr="00400C0B">
        <w:rPr>
          <w:rFonts w:cs="Guttman Rashi" w:hint="eastAsia"/>
          <w:rtl/>
          <w:lang w:bidi="he-IL"/>
        </w:rPr>
        <w:t>קכ</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בנידון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א</w:t>
      </w:r>
    </w:p>
  </w:footnote>
  <w:footnote w:id="29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במגי</w:t>
      </w:r>
      <w:r w:rsidRPr="00400C0B">
        <w:rPr>
          <w:rFonts w:cs="Guttman Rashi"/>
          <w:rtl/>
          <w:lang w:bidi="he-IL"/>
        </w:rPr>
        <w:t>"</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א</w:t>
      </w:r>
      <w:r w:rsidRPr="00400C0B">
        <w:rPr>
          <w:rFonts w:cs="Guttman Rashi"/>
          <w:rtl/>
          <w:lang w:bidi="he-IL"/>
        </w:rPr>
        <w:t>.</w:t>
      </w:r>
    </w:p>
  </w:footnote>
  <w:footnote w:id="30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ברמ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שבסי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סע</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החלב</w:t>
      </w:r>
      <w:r w:rsidRPr="00400C0B">
        <w:rPr>
          <w:rFonts w:cs="Guttman Rashi"/>
          <w:rtl/>
          <w:lang w:bidi="he-IL"/>
        </w:rPr>
        <w:t xml:space="preserve"> </w:t>
      </w:r>
      <w:r w:rsidRPr="00400C0B">
        <w:rPr>
          <w:rFonts w:cs="Guttman Rashi" w:hint="eastAsia"/>
          <w:rtl/>
          <w:lang w:bidi="he-IL"/>
        </w:rPr>
        <w:t>התבטל</w:t>
      </w:r>
      <w:r w:rsidRPr="00400C0B">
        <w:rPr>
          <w:rFonts w:cs="Guttman Rashi"/>
          <w:rtl/>
          <w:lang w:bidi="he-IL"/>
        </w:rPr>
        <w:t xml:space="preserve"> </w:t>
      </w:r>
      <w:r w:rsidRPr="00400C0B">
        <w:rPr>
          <w:rFonts w:cs="Guttman Rashi" w:hint="eastAsia"/>
          <w:rtl/>
          <w:lang w:bidi="he-IL"/>
        </w:rPr>
        <w:t>במים</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ליתנם</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לתוך</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תו</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חילוק</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לחלב</w:t>
      </w:r>
      <w:r w:rsidRPr="00400C0B">
        <w:rPr>
          <w:rFonts w:cs="Guttman Rashi"/>
          <w:rtl/>
          <w:lang w:bidi="he-IL"/>
        </w:rPr>
        <w:t xml:space="preserve"> </w:t>
      </w:r>
      <w:r w:rsidRPr="00400C0B">
        <w:rPr>
          <w:rFonts w:cs="Guttman Rashi" w:hint="eastAsia"/>
          <w:rtl/>
          <w:lang w:bidi="he-IL"/>
        </w:rPr>
        <w:t>גמור</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כנגדו</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הדגשנו</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Ref467829659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376</w:t>
      </w:r>
      <w:r w:rsidRPr="00400C0B">
        <w:rPr>
          <w:rFonts w:cs="Guttman Rashi"/>
          <w:rtl/>
          <w:lang w:bidi="he-IL"/>
        </w:rPr>
        <w:fldChar w:fldCharType="end"/>
      </w:r>
      <w:r w:rsidRPr="00400C0B">
        <w:rPr>
          <w:rFonts w:cs="Guttman Rashi"/>
          <w:rtl/>
          <w:lang w:bidi="he-IL"/>
        </w:rPr>
        <w:t xml:space="preserve">. </w:t>
      </w:r>
      <w:r w:rsidRPr="00400C0B">
        <w:rPr>
          <w:rFonts w:cs="Guttman Rashi" w:hint="eastAsia"/>
          <w:rtl/>
          <w:lang w:bidi="he-IL"/>
        </w:rPr>
        <w:t>והתם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ומשום</w:t>
      </w:r>
      <w:r w:rsidRPr="00400C0B">
        <w:rPr>
          <w:rFonts w:cs="Guttman Rashi"/>
          <w:rtl/>
          <w:lang w:bidi="he-IL"/>
        </w:rPr>
        <w:t xml:space="preserve"> </w:t>
      </w:r>
      <w:r w:rsidRPr="00400C0B">
        <w:rPr>
          <w:rFonts w:cs="Guttman Rashi" w:hint="eastAsia"/>
          <w:rtl/>
          <w:lang w:bidi="he-IL"/>
        </w:rPr>
        <w:t>שלשיטת</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w:t>
      </w:r>
      <w:r w:rsidRPr="00400C0B">
        <w:rPr>
          <w:rFonts w:cs="Guttman Rashi" w:hint="eastAsia"/>
          <w:rtl/>
          <w:lang w:bidi="he-IL"/>
        </w:rPr>
        <w:t>ף</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בכלל</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מתירין</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לה</w:t>
      </w:r>
      <w:r w:rsidRPr="00400C0B">
        <w:rPr>
          <w:rFonts w:cs="Guttman Rashi"/>
          <w:rtl/>
          <w:lang w:bidi="he-IL"/>
        </w:rPr>
        <w:t xml:space="preserve"> </w:t>
      </w:r>
      <w:r w:rsidRPr="00400C0B">
        <w:rPr>
          <w:rFonts w:cs="Guttman Rashi" w:hint="eastAsia"/>
          <w:rtl/>
          <w:lang w:bidi="he-IL"/>
        </w:rPr>
        <w:t>תשמיש</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הדגשנו</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שאע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שהפר</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בסי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שיראוי</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קיי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הכי</w:t>
      </w:r>
      <w:r w:rsidRPr="00400C0B">
        <w:rPr>
          <w:rFonts w:cs="Guttman Rashi"/>
          <w:rtl/>
          <w:lang w:bidi="he-IL"/>
        </w:rPr>
        <w:t xml:space="preserve">. </w:t>
      </w:r>
    </w:p>
  </w:footnote>
  <w:footnote w:id="301">
    <w:p w:rsidR="007978F4" w:rsidRPr="00400C0B" w:rsidRDefault="007978F4" w:rsidP="00B80448">
      <w:pPr>
        <w:pStyle w:val="FootnoteText"/>
        <w:bidi/>
        <w:jc w:val="both"/>
        <w:rPr>
          <w:rFonts w:cs="Guttman Rashi"/>
          <w:lang w:bidi="he-IL"/>
        </w:rPr>
      </w:pPr>
      <w:r w:rsidRPr="00400C0B">
        <w:rPr>
          <w:rStyle w:val="FootnoteReference"/>
          <w:rFonts w:cs="Guttman Rashi"/>
        </w:rPr>
        <w:footnoteRef/>
      </w:r>
      <w:r w:rsidRPr="00400C0B">
        <w:rPr>
          <w:rFonts w:cs="Guttman Rashi"/>
        </w:rPr>
        <w:t xml:space="preserve"> </w:t>
      </w:r>
      <w:r w:rsidRPr="00400C0B">
        <w:rPr>
          <w:rFonts w:cs="Guttman Rashi"/>
          <w:lang w:bidi="he-IL"/>
        </w:rPr>
        <w:t>bleach</w:t>
      </w:r>
    </w:p>
  </w:footnote>
  <w:footnote w:id="30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במילואים</w:t>
      </w:r>
      <w:r w:rsidRPr="00400C0B">
        <w:rPr>
          <w:rFonts w:cs="Guttman Rashi"/>
          <w:rtl/>
          <w:lang w:bidi="he-IL"/>
        </w:rPr>
        <w:t xml:space="preserve"> </w:t>
      </w:r>
      <w:r w:rsidRPr="00400C0B">
        <w:rPr>
          <w:rFonts w:cs="Guttman Rashi" w:hint="eastAsia"/>
          <w:rtl/>
          <w:lang w:bidi="he-IL"/>
        </w:rPr>
        <w:t>לשיעור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ג</w:t>
      </w:r>
      <w:r w:rsidRPr="00400C0B">
        <w:rPr>
          <w:rFonts w:cs="Guttman Rashi"/>
          <w:rtl/>
          <w:lang w:bidi="he-IL"/>
        </w:rPr>
        <w:t>.</w:t>
      </w:r>
    </w:p>
  </w:footnote>
  <w:footnote w:id="30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ומצאתי</w:t>
      </w:r>
      <w:r w:rsidRPr="00400C0B">
        <w:rPr>
          <w:rFonts w:cs="Guttman Rashi"/>
          <w:rtl/>
          <w:lang w:bidi="he-IL"/>
        </w:rPr>
        <w:t xml:space="preserve"> </w:t>
      </w:r>
      <w:r w:rsidRPr="00400C0B">
        <w:rPr>
          <w:rFonts w:cs="Guttman Rashi" w:hint="eastAsia"/>
          <w:rtl/>
          <w:lang w:bidi="he-IL"/>
        </w:rPr>
        <w:t>בבית</w:t>
      </w:r>
      <w:r w:rsidRPr="00400C0B">
        <w:rPr>
          <w:rFonts w:cs="Guttman Rashi"/>
          <w:rtl/>
          <w:lang w:bidi="he-IL"/>
        </w:rPr>
        <w:t xml:space="preserve"> </w:t>
      </w:r>
      <w:r w:rsidRPr="00400C0B">
        <w:rPr>
          <w:rFonts w:cs="Guttman Rashi" w:hint="eastAsia"/>
          <w:rtl/>
          <w:lang w:bidi="he-IL"/>
        </w:rPr>
        <w:t>מאיר</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שציין</w:t>
      </w:r>
      <w:r w:rsidRPr="00400C0B">
        <w:rPr>
          <w:rFonts w:cs="Guttman Rashi"/>
          <w:rtl/>
          <w:lang w:bidi="he-IL"/>
        </w:rPr>
        <w:t xml:space="preserve"> </w:t>
      </w:r>
      <w:r w:rsidRPr="00400C0B">
        <w:rPr>
          <w:rFonts w:cs="Guttman Rashi" w:hint="eastAsia"/>
          <w:rtl/>
          <w:lang w:bidi="he-IL"/>
        </w:rPr>
        <w:t>לדברי</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בבד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שדוחקא</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מבליע</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מפליט</w:t>
      </w:r>
      <w:r w:rsidRPr="00400C0B">
        <w:rPr>
          <w:rFonts w:cs="Guttman Rashi"/>
          <w:rtl/>
          <w:lang w:bidi="he-IL"/>
        </w:rPr>
        <w:t xml:space="preserve"> </w:t>
      </w:r>
      <w:r w:rsidRPr="00400C0B">
        <w:rPr>
          <w:rFonts w:cs="Guttman Rashi" w:hint="eastAsia"/>
          <w:rtl/>
          <w:lang w:bidi="he-IL"/>
        </w:rPr>
        <w:t>מדבר</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בדבר</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השמנונית</w:t>
      </w:r>
      <w:r w:rsidRPr="00400C0B">
        <w:rPr>
          <w:rFonts w:cs="Guttman Rashi"/>
          <w:rtl/>
          <w:lang w:bidi="he-IL"/>
        </w:rPr>
        <w:t xml:space="preserve"> </w:t>
      </w:r>
      <w:r w:rsidRPr="00400C0B">
        <w:rPr>
          <w:rFonts w:cs="Guttman Rashi" w:hint="eastAsia"/>
          <w:rtl/>
          <w:lang w:bidi="he-IL"/>
        </w:rPr>
        <w:t>הנדבק</w:t>
      </w:r>
      <w:r w:rsidRPr="00400C0B">
        <w:rPr>
          <w:rFonts w:cs="Guttman Rashi"/>
          <w:rtl/>
          <w:lang w:bidi="he-IL"/>
        </w:rPr>
        <w:t xml:space="preserve"> </w:t>
      </w:r>
      <w:r w:rsidRPr="00400C0B">
        <w:rPr>
          <w:rFonts w:cs="Guttman Rashi" w:hint="eastAsia"/>
          <w:rtl/>
          <w:lang w:bidi="he-IL"/>
        </w:rPr>
        <w:t>בסכין</w:t>
      </w:r>
      <w:r w:rsidRPr="00400C0B">
        <w:rPr>
          <w:rFonts w:cs="Guttman Rashi"/>
          <w:rtl/>
          <w:lang w:bidi="he-IL"/>
        </w:rPr>
        <w:t xml:space="preserve"> </w:t>
      </w:r>
      <w:r w:rsidRPr="00400C0B">
        <w:rPr>
          <w:rFonts w:cs="Guttman Rashi" w:hint="eastAsia"/>
          <w:rtl/>
          <w:lang w:bidi="he-IL"/>
        </w:rPr>
        <w:t>נפגם</w:t>
      </w:r>
      <w:r w:rsidRPr="00400C0B">
        <w:rPr>
          <w:rFonts w:cs="Guttman Rashi"/>
          <w:rtl/>
          <w:lang w:bidi="he-IL"/>
        </w:rPr>
        <w:t xml:space="preserve"> </w:t>
      </w:r>
      <w:r w:rsidRPr="00400C0B">
        <w:rPr>
          <w:rFonts w:cs="Guttman Rashi" w:hint="eastAsia"/>
          <w:rtl/>
          <w:lang w:bidi="he-IL"/>
        </w:rPr>
        <w:t>כשאינו</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יומו</w:t>
      </w:r>
      <w:r w:rsidRPr="00400C0B">
        <w:rPr>
          <w:rFonts w:cs="Guttman Rashi"/>
          <w:rtl/>
          <w:lang w:bidi="he-IL"/>
        </w:rPr>
        <w:t xml:space="preserve">, </w:t>
      </w:r>
      <w:r w:rsidRPr="00400C0B">
        <w:rPr>
          <w:rFonts w:cs="Guttman Rashi" w:hint="eastAsia"/>
          <w:rtl/>
          <w:lang w:bidi="he-IL"/>
        </w:rPr>
        <w:t>וכשיטת</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p>
  </w:footnote>
  <w:footnote w:id="30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והנה</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מצאנו</w:t>
      </w:r>
      <w:r w:rsidRPr="00400C0B">
        <w:rPr>
          <w:rFonts w:cs="Guttman Rashi"/>
          <w:rtl/>
          <w:lang w:bidi="he-IL"/>
        </w:rPr>
        <w:t xml:space="preserve"> </w:t>
      </w:r>
      <w:r w:rsidRPr="00400C0B">
        <w:rPr>
          <w:rFonts w:cs="Guttman Rashi" w:hint="eastAsia"/>
          <w:rtl/>
          <w:lang w:bidi="he-IL"/>
        </w:rPr>
        <w:t>במפורש</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לדבר</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התכונה</w:t>
      </w:r>
      <w:r w:rsidRPr="00400C0B">
        <w:rPr>
          <w:rFonts w:cs="Guttman Rashi"/>
          <w:rtl/>
          <w:lang w:bidi="he-IL"/>
        </w:rPr>
        <w:t xml:space="preserve"> </w:t>
      </w:r>
      <w:r w:rsidRPr="00400C0B">
        <w:rPr>
          <w:rFonts w:cs="Guttman Rashi" w:hint="eastAsia"/>
          <w:rtl/>
          <w:lang w:bidi="he-IL"/>
        </w:rPr>
        <w:t>לבלוע</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הכלי</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מקור</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מבליע</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הבלוע</w:t>
      </w:r>
      <w:r w:rsidRPr="00400C0B">
        <w:rPr>
          <w:rFonts w:cs="Guttman Rashi"/>
          <w:rtl/>
          <w:lang w:bidi="he-IL"/>
        </w:rPr>
        <w:t xml:space="preserve"> </w:t>
      </w:r>
      <w:r w:rsidRPr="00400C0B">
        <w:rPr>
          <w:rFonts w:cs="Guttman Rashi" w:hint="eastAsia"/>
          <w:rtl/>
          <w:lang w:bidi="he-IL"/>
        </w:rPr>
        <w:t>בו</w:t>
      </w:r>
      <w:r w:rsidRPr="00400C0B">
        <w:rPr>
          <w:rFonts w:cs="Guttman Rashi"/>
          <w:rtl/>
          <w:lang w:bidi="he-IL"/>
        </w:rPr>
        <w:t xml:space="preserve"> </w:t>
      </w:r>
      <w:r w:rsidRPr="00400C0B">
        <w:rPr>
          <w:rFonts w:cs="Guttman Rashi" w:hint="eastAsia"/>
          <w:rtl/>
          <w:lang w:bidi="he-IL"/>
        </w:rPr>
        <w:t>לתוך</w:t>
      </w:r>
      <w:r w:rsidRPr="00400C0B">
        <w:rPr>
          <w:rFonts w:cs="Guttman Rashi"/>
          <w:rtl/>
          <w:lang w:bidi="he-IL"/>
        </w:rPr>
        <w:t xml:space="preserve"> </w:t>
      </w:r>
      <w:r w:rsidRPr="00400C0B">
        <w:rPr>
          <w:rFonts w:cs="Guttman Rashi" w:hint="eastAsia"/>
          <w:rtl/>
          <w:lang w:bidi="he-IL"/>
        </w:rPr>
        <w:t>הכלי</w:t>
      </w:r>
      <w:r w:rsidRPr="00400C0B">
        <w:rPr>
          <w:rFonts w:cs="Guttman Rashi"/>
          <w:rtl/>
          <w:lang w:bidi="he-IL"/>
        </w:rPr>
        <w:t>.</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בקונ</w:t>
      </w:r>
      <w:r w:rsidRPr="00400C0B">
        <w:rPr>
          <w:rFonts w:cs="Guttman Rashi"/>
          <w:rtl/>
          <w:lang w:bidi="he-IL"/>
        </w:rPr>
        <w:t xml:space="preserve">' </w:t>
      </w:r>
      <w:r w:rsidRPr="00400C0B">
        <w:rPr>
          <w:rFonts w:cs="Guttman Rashi" w:hint="eastAsia"/>
          <w:rtl/>
          <w:lang w:bidi="he-IL"/>
        </w:rPr>
        <w:t>שבסוף</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אריכות</w:t>
      </w:r>
      <w:r w:rsidRPr="00400C0B">
        <w:rPr>
          <w:rFonts w:cs="Guttman Rashi"/>
          <w:rtl/>
          <w:lang w:bidi="he-IL"/>
        </w:rPr>
        <w:t xml:space="preserve"> </w:t>
      </w:r>
      <w:r w:rsidRPr="00400C0B">
        <w:rPr>
          <w:rFonts w:cs="Guttman Rashi" w:hint="eastAsia"/>
          <w:rtl/>
          <w:lang w:bidi="he-IL"/>
        </w:rPr>
        <w:t>בנושא</w:t>
      </w:r>
      <w:r w:rsidRPr="00400C0B">
        <w:rPr>
          <w:rFonts w:cs="Guttman Rashi"/>
          <w:rtl/>
          <w:lang w:bidi="he-IL"/>
        </w:rPr>
        <w:t xml:space="preserve">.  </w:t>
      </w:r>
    </w:p>
  </w:footnote>
  <w:footnote w:id="30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ראיתי</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הגי</w:t>
      </w:r>
      <w:r w:rsidRPr="00400C0B">
        <w:rPr>
          <w:rFonts w:cs="Guttman Rashi"/>
          <w:rtl/>
          <w:lang w:bidi="he-IL"/>
        </w:rPr>
        <w:t xml:space="preserve">' </w:t>
      </w:r>
      <w:r w:rsidRPr="00400C0B">
        <w:rPr>
          <w:rFonts w:cs="Guttman Rashi" w:hint="eastAsia"/>
          <w:rtl/>
          <w:lang w:bidi="he-IL"/>
        </w:rPr>
        <w:t>בתיקונים</w:t>
      </w:r>
      <w:r w:rsidRPr="00400C0B">
        <w:rPr>
          <w:rFonts w:cs="Guttman Rashi"/>
          <w:rtl/>
          <w:lang w:bidi="he-IL"/>
        </w:rPr>
        <w:t xml:space="preserve"> </w:t>
      </w:r>
      <w:r w:rsidRPr="00400C0B">
        <w:rPr>
          <w:rFonts w:cs="Guttman Rashi" w:hint="eastAsia"/>
          <w:rtl/>
          <w:lang w:bidi="he-IL"/>
        </w:rPr>
        <w:t>והוספות</w:t>
      </w:r>
      <w:r w:rsidRPr="00400C0B">
        <w:rPr>
          <w:rFonts w:cs="Guttman Rashi"/>
          <w:rtl/>
          <w:lang w:bidi="he-IL"/>
        </w:rPr>
        <w:t xml:space="preserve"> </w:t>
      </w:r>
      <w:r w:rsidRPr="00400C0B">
        <w:rPr>
          <w:rFonts w:cs="Guttman Rashi" w:hint="eastAsia"/>
          <w:rtl/>
          <w:lang w:bidi="he-IL"/>
        </w:rPr>
        <w:t>בסוף</w:t>
      </w:r>
      <w:r w:rsidRPr="00400C0B">
        <w:rPr>
          <w:rFonts w:cs="Guttman Rashi"/>
          <w:rtl/>
          <w:lang w:bidi="he-IL"/>
        </w:rPr>
        <w:t xml:space="preserve"> </w:t>
      </w:r>
      <w:r w:rsidRPr="00400C0B">
        <w:rPr>
          <w:rFonts w:cs="Guttman Rashi" w:hint="eastAsia"/>
          <w:rtl/>
          <w:lang w:bidi="he-IL"/>
        </w:rPr>
        <w:t>הספר</w:t>
      </w:r>
      <w:r w:rsidRPr="00400C0B">
        <w:rPr>
          <w:rFonts w:cs="Guttman Rashi"/>
          <w:rtl/>
          <w:lang w:bidi="he-IL"/>
        </w:rPr>
        <w:t xml:space="preserve">). </w:t>
      </w:r>
      <w:r w:rsidRPr="00400C0B">
        <w:rPr>
          <w:rFonts w:cs="Guttman Rashi" w:hint="eastAsia"/>
          <w:rtl/>
          <w:lang w:bidi="he-IL"/>
        </w:rPr>
        <w:t>ושם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בהדיא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שהדין</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לחומרא</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מתוכן</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בסמוך</w:t>
      </w:r>
    </w:p>
  </w:footnote>
  <w:footnote w:id="30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משם</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שהחמיר</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שמחמירים</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מתפשט</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נטילה</w:t>
      </w:r>
      <w:r w:rsidRPr="00400C0B">
        <w:rPr>
          <w:rFonts w:cs="Guttman Rashi"/>
          <w:rtl/>
          <w:lang w:bidi="he-IL"/>
        </w:rPr>
        <w:t xml:space="preserve">, </w:t>
      </w:r>
      <w:r w:rsidRPr="00400C0B">
        <w:rPr>
          <w:rFonts w:cs="Guttman Rashi" w:hint="eastAsia"/>
          <w:rtl/>
          <w:lang w:bidi="he-IL"/>
        </w:rPr>
        <w:t>דמשמע</w:t>
      </w:r>
      <w:r w:rsidRPr="00400C0B">
        <w:rPr>
          <w:rFonts w:cs="Guttman Rashi"/>
          <w:rtl/>
          <w:lang w:bidi="he-IL"/>
        </w:rPr>
        <w:t xml:space="preserve"> </w:t>
      </w:r>
      <w:r w:rsidRPr="00400C0B">
        <w:rPr>
          <w:rFonts w:cs="Guttman Rashi" w:hint="eastAsia"/>
          <w:rtl/>
          <w:lang w:bidi="he-IL"/>
        </w:rPr>
        <w:t>שלשיטת</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יתבטל</w:t>
      </w:r>
      <w:r w:rsidRPr="00400C0B">
        <w:rPr>
          <w:rFonts w:cs="Guttman Rashi"/>
          <w:rtl/>
          <w:lang w:bidi="he-IL"/>
        </w:rPr>
        <w:t>.</w:t>
      </w:r>
    </w:p>
  </w:footnote>
  <w:footnote w:id="30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הביאור</w:t>
      </w:r>
      <w:r w:rsidRPr="00400C0B">
        <w:rPr>
          <w:rFonts w:cs="Guttman Rashi"/>
          <w:rtl/>
          <w:lang w:bidi="he-IL"/>
        </w:rPr>
        <w:t xml:space="preserve"> </w:t>
      </w:r>
      <w:r w:rsidRPr="00400C0B">
        <w:rPr>
          <w:rFonts w:cs="Guttman Rashi" w:hint="eastAsia"/>
          <w:rtl/>
          <w:lang w:bidi="he-IL"/>
        </w:rPr>
        <w:t>בשיטה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שהחריפות</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החומרות</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חריפים</w:t>
      </w:r>
      <w:r w:rsidRPr="00400C0B">
        <w:rPr>
          <w:rFonts w:cs="Guttman Rashi"/>
          <w:rtl/>
          <w:lang w:bidi="he-IL"/>
        </w:rPr>
        <w:t xml:space="preserve"> </w:t>
      </w:r>
      <w:r w:rsidRPr="00400C0B">
        <w:rPr>
          <w:rFonts w:cs="Guttman Rashi" w:hint="eastAsia"/>
          <w:rtl/>
          <w:lang w:bidi="he-IL"/>
        </w:rPr>
        <w:t>מאלו</w:t>
      </w:r>
      <w:r w:rsidRPr="00400C0B">
        <w:rPr>
          <w:rFonts w:cs="Guttman Rashi"/>
          <w:rtl/>
          <w:lang w:bidi="he-IL"/>
        </w:rPr>
        <w:t xml:space="preserve"> </w:t>
      </w:r>
      <w:r w:rsidRPr="00400C0B">
        <w:rPr>
          <w:rFonts w:cs="Guttman Rashi" w:hint="eastAsia"/>
          <w:rtl/>
          <w:lang w:bidi="he-IL"/>
        </w:rPr>
        <w:t>המבוארים</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נאמרו</w:t>
      </w:r>
      <w:r w:rsidRPr="00400C0B">
        <w:rPr>
          <w:rFonts w:cs="Guttman Rashi"/>
          <w:rtl/>
          <w:lang w:bidi="he-IL"/>
        </w:rPr>
        <w:t xml:space="preserve"> </w:t>
      </w:r>
      <w:r w:rsidRPr="00400C0B">
        <w:rPr>
          <w:rFonts w:cs="Guttman Rashi" w:hint="eastAsia"/>
          <w:rtl/>
          <w:lang w:bidi="he-IL"/>
        </w:rPr>
        <w:t>בהם</w:t>
      </w:r>
      <w:r w:rsidRPr="00400C0B">
        <w:rPr>
          <w:rFonts w:cs="Guttman Rashi"/>
          <w:rtl/>
          <w:lang w:bidi="he-IL"/>
        </w:rPr>
        <w:t xml:space="preserve"> </w:t>
      </w:r>
      <w:r w:rsidRPr="00400C0B">
        <w:rPr>
          <w:rFonts w:cs="Guttman Rashi" w:hint="eastAsia"/>
          <w:rtl/>
          <w:lang w:bidi="he-IL"/>
        </w:rPr>
        <w:t>החומרות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שיטה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מאכלים</w:t>
      </w:r>
      <w:r w:rsidRPr="00400C0B">
        <w:rPr>
          <w:rFonts w:cs="Guttman Rashi"/>
          <w:rtl/>
          <w:lang w:bidi="he-IL"/>
        </w:rPr>
        <w:t xml:space="preserve"> </w:t>
      </w:r>
      <w:r w:rsidRPr="00400C0B">
        <w:rPr>
          <w:rFonts w:cs="Guttman Rashi" w:hint="eastAsia"/>
          <w:rtl/>
          <w:lang w:bidi="he-IL"/>
        </w:rPr>
        <w:t>מסוימים</w:t>
      </w:r>
      <w:r w:rsidRPr="00400C0B">
        <w:rPr>
          <w:rFonts w:cs="Guttman Rashi"/>
          <w:rtl/>
          <w:lang w:bidi="he-IL"/>
        </w:rPr>
        <w:t xml:space="preserve"> </w:t>
      </w:r>
      <w:r w:rsidRPr="00400C0B">
        <w:rPr>
          <w:rFonts w:cs="Guttman Rashi" w:hint="eastAsia"/>
          <w:rtl/>
          <w:lang w:bidi="he-IL"/>
        </w:rPr>
        <w:t>דמהני</w:t>
      </w:r>
      <w:r w:rsidRPr="00400C0B">
        <w:rPr>
          <w:rFonts w:cs="Guttman Rashi"/>
          <w:rtl/>
          <w:lang w:bidi="he-IL"/>
        </w:rPr>
        <w:t xml:space="preserve"> </w:t>
      </w:r>
      <w:r w:rsidRPr="00400C0B">
        <w:rPr>
          <w:rFonts w:cs="Guttman Rashi" w:hint="eastAsia"/>
          <w:rtl/>
          <w:lang w:bidi="he-IL"/>
        </w:rPr>
        <w:t>להם</w:t>
      </w:r>
      <w:r w:rsidRPr="00400C0B">
        <w:rPr>
          <w:rFonts w:cs="Guttman Rashi"/>
          <w:rtl/>
          <w:lang w:bidi="he-IL"/>
        </w:rPr>
        <w:t xml:space="preserve"> </w:t>
      </w:r>
      <w:r w:rsidRPr="00400C0B">
        <w:rPr>
          <w:rFonts w:cs="Guttman Rashi" w:hint="eastAsia"/>
          <w:rtl/>
          <w:lang w:bidi="he-IL"/>
        </w:rPr>
        <w:t>חריפותם</w:t>
      </w:r>
      <w:r w:rsidRPr="00400C0B">
        <w:rPr>
          <w:rFonts w:cs="Guttman Rashi"/>
          <w:rtl/>
          <w:lang w:bidi="he-IL"/>
        </w:rPr>
        <w:t xml:space="preserve"> </w:t>
      </w:r>
      <w:r w:rsidRPr="00400C0B">
        <w:rPr>
          <w:rFonts w:cs="Guttman Rashi" w:hint="eastAsia"/>
          <w:rtl/>
          <w:lang w:bidi="he-IL"/>
        </w:rPr>
        <w:t>לבלוע</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דמחליא</w:t>
      </w:r>
      <w:r w:rsidRPr="00400C0B">
        <w:rPr>
          <w:rFonts w:cs="Guttman Rashi"/>
          <w:rtl/>
          <w:lang w:bidi="he-IL"/>
        </w:rPr>
        <w:t xml:space="preserve"> </w:t>
      </w:r>
      <w:r w:rsidRPr="00400C0B">
        <w:rPr>
          <w:rFonts w:cs="Guttman Rashi" w:hint="eastAsia"/>
          <w:rtl/>
          <w:lang w:bidi="he-IL"/>
        </w:rPr>
        <w:t>לשבח</w:t>
      </w:r>
      <w:r w:rsidRPr="00400C0B">
        <w:rPr>
          <w:rFonts w:cs="Guttman Rashi"/>
          <w:rtl/>
          <w:lang w:bidi="he-IL"/>
        </w:rPr>
        <w:t xml:space="preserve"> (</w:t>
      </w:r>
      <w:r w:rsidRPr="00400C0B">
        <w:rPr>
          <w:rFonts w:cs="Guttman Rashi" w:hint="eastAsia"/>
          <w:rtl/>
          <w:lang w:bidi="he-IL"/>
        </w:rPr>
        <w:t>דאי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אך</w:t>
      </w:r>
      <w:r w:rsidRPr="00400C0B">
        <w:rPr>
          <w:rFonts w:cs="Guttman Rashi"/>
          <w:rtl/>
          <w:lang w:bidi="he-IL"/>
        </w:rPr>
        <w:t xml:space="preserve"> </w:t>
      </w:r>
      <w:r w:rsidRPr="00400C0B">
        <w:rPr>
          <w:rFonts w:cs="Guttman Rashi" w:hint="eastAsia"/>
          <w:rtl/>
          <w:lang w:bidi="he-IL"/>
        </w:rPr>
        <w:t>ורק</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בתכונת</w:t>
      </w:r>
      <w:r w:rsidRPr="00400C0B">
        <w:rPr>
          <w:rFonts w:cs="Guttman Rashi"/>
          <w:rtl/>
          <w:lang w:bidi="he-IL"/>
        </w:rPr>
        <w:t xml:space="preserve"> </w:t>
      </w:r>
      <w:r w:rsidRPr="00400C0B">
        <w:rPr>
          <w:rFonts w:cs="Guttman Rashi" w:hint="eastAsia"/>
          <w:rtl/>
          <w:lang w:bidi="he-IL"/>
        </w:rPr>
        <w:t>מאכלים</w:t>
      </w:r>
      <w:r w:rsidRPr="00400C0B">
        <w:rPr>
          <w:rFonts w:cs="Guttman Rashi"/>
          <w:rtl/>
          <w:lang w:bidi="he-IL"/>
        </w:rPr>
        <w:t xml:space="preserve"> </w:t>
      </w:r>
      <w:r w:rsidRPr="00400C0B">
        <w:rPr>
          <w:rFonts w:cs="Guttman Rashi" w:hint="eastAsia"/>
          <w:rtl/>
          <w:lang w:bidi="he-IL"/>
        </w:rPr>
        <w:t>אלו</w:t>
      </w:r>
      <w:r w:rsidRPr="00400C0B">
        <w:rPr>
          <w:rFonts w:cs="Guttman Rashi"/>
          <w:rtl/>
          <w:lang w:bidi="he-IL"/>
        </w:rPr>
        <w:t xml:space="preserve"> </w:t>
      </w:r>
      <w:r w:rsidRPr="00400C0B">
        <w:rPr>
          <w:rFonts w:cs="Guttman Rashi" w:hint="eastAsia"/>
          <w:rtl/>
          <w:lang w:bidi="he-IL"/>
        </w:rPr>
        <w:t>בלי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להם</w:t>
      </w:r>
      <w:r w:rsidRPr="00400C0B">
        <w:rPr>
          <w:rFonts w:cs="Guttman Rashi"/>
          <w:rtl/>
          <w:lang w:bidi="he-IL"/>
        </w:rPr>
        <w:t xml:space="preserve"> </w:t>
      </w:r>
      <w:r w:rsidRPr="00400C0B">
        <w:rPr>
          <w:rFonts w:cs="Guttman Rashi" w:hint="eastAsia"/>
          <w:rtl/>
          <w:lang w:bidi="he-IL"/>
        </w:rPr>
        <w:t>חריפות</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בהדיא</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אגב</w:t>
      </w:r>
      <w:r w:rsidRPr="00400C0B">
        <w:rPr>
          <w:rFonts w:cs="Guttman Rashi"/>
          <w:rtl/>
          <w:lang w:bidi="he-IL"/>
        </w:rPr>
        <w:t xml:space="preserve"> </w:t>
      </w:r>
      <w:r w:rsidRPr="00400C0B">
        <w:rPr>
          <w:rFonts w:cs="Guttman Rashi" w:hint="eastAsia"/>
          <w:rtl/>
          <w:lang w:bidi="he-IL"/>
        </w:rPr>
        <w:t>חריפותם</w:t>
      </w:r>
      <w:r w:rsidRPr="00400C0B">
        <w:rPr>
          <w:rFonts w:cs="Guttman Rashi"/>
          <w:rtl/>
          <w:lang w:bidi="he-IL"/>
        </w:rPr>
        <w:t xml:space="preserve">). </w:t>
      </w:r>
      <w:r w:rsidRPr="00400C0B">
        <w:rPr>
          <w:rFonts w:cs="Guttman Rashi" w:hint="eastAsia"/>
          <w:rtl/>
          <w:lang w:bidi="he-IL"/>
        </w:rPr>
        <w:t>והנה</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מהר</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שאמנם</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לבלוע</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דברים</w:t>
      </w:r>
      <w:r w:rsidRPr="00400C0B">
        <w:rPr>
          <w:rFonts w:cs="Guttman Rashi"/>
          <w:rtl/>
          <w:lang w:bidi="he-IL"/>
        </w:rPr>
        <w:t xml:space="preserve"> </w:t>
      </w:r>
      <w:r w:rsidRPr="00400C0B">
        <w:rPr>
          <w:rFonts w:cs="Guttman Rashi" w:hint="eastAsia"/>
          <w:rtl/>
          <w:lang w:bidi="he-IL"/>
        </w:rPr>
        <w:t>החריפים</w:t>
      </w:r>
      <w:r w:rsidRPr="00400C0B">
        <w:rPr>
          <w:rFonts w:cs="Guttman Rashi"/>
          <w:rtl/>
          <w:lang w:bidi="he-IL"/>
        </w:rPr>
        <w:t xml:space="preserve"> </w:t>
      </w:r>
      <w:r w:rsidRPr="00400C0B">
        <w:rPr>
          <w:rFonts w:cs="Guttman Rashi" w:hint="eastAsia"/>
          <w:rtl/>
          <w:lang w:bidi="he-IL"/>
        </w:rPr>
        <w:t>שוין</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חילק</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המינים</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דמחליא</w:t>
      </w:r>
      <w:r w:rsidRPr="00400C0B">
        <w:rPr>
          <w:rFonts w:cs="Guttman Rashi"/>
          <w:rtl/>
          <w:lang w:bidi="he-IL"/>
        </w:rPr>
        <w:t xml:space="preserve"> </w:t>
      </w:r>
      <w:r w:rsidRPr="00400C0B">
        <w:rPr>
          <w:rFonts w:cs="Guttman Rashi" w:hint="eastAsia"/>
          <w:rtl/>
          <w:lang w:bidi="he-IL"/>
        </w:rPr>
        <w:t>לשבח</w:t>
      </w:r>
      <w:r w:rsidRPr="00400C0B">
        <w:rPr>
          <w:rFonts w:cs="Guttman Rashi"/>
          <w:rtl/>
          <w:lang w:bidi="he-IL"/>
        </w:rPr>
        <w:t xml:space="preserve"> </w:t>
      </w:r>
      <w:r w:rsidRPr="00400C0B">
        <w:rPr>
          <w:rFonts w:cs="Guttman Rashi" w:hint="eastAsia"/>
          <w:rtl/>
          <w:lang w:bidi="he-IL"/>
        </w:rPr>
        <w:t>ליתי</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בחילתית</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דחריף</w:t>
      </w:r>
      <w:r w:rsidRPr="00400C0B">
        <w:rPr>
          <w:rFonts w:cs="Guttman Rashi"/>
          <w:rtl/>
          <w:lang w:bidi="he-IL"/>
        </w:rPr>
        <w:t xml:space="preserve"> </w:t>
      </w:r>
      <w:r w:rsidRPr="00400C0B">
        <w:rPr>
          <w:rFonts w:cs="Guttman Rashi" w:hint="eastAsia"/>
          <w:rtl/>
          <w:lang w:bidi="he-IL"/>
        </w:rPr>
        <w:t>טפי</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להדגיש</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הכרח</w:t>
      </w:r>
      <w:r w:rsidRPr="00400C0B">
        <w:rPr>
          <w:rFonts w:cs="Guttman Rashi"/>
          <w:rtl/>
          <w:lang w:bidi="he-IL"/>
        </w:rPr>
        <w:t xml:space="preserve"> </w:t>
      </w:r>
      <w:r w:rsidRPr="00400C0B">
        <w:rPr>
          <w:rFonts w:cs="Guttman Rashi" w:hint="eastAsia"/>
          <w:rtl/>
          <w:lang w:bidi="he-IL"/>
        </w:rPr>
        <w:t>שר</w:t>
      </w:r>
      <w:r w:rsidRPr="00400C0B">
        <w:rPr>
          <w:rFonts w:cs="Guttman Rashi"/>
          <w:rtl/>
          <w:lang w:bidi="he-IL"/>
        </w:rPr>
        <w:t xml:space="preserve">' </w:t>
      </w:r>
      <w:r w:rsidRPr="00400C0B">
        <w:rPr>
          <w:rFonts w:cs="Guttman Rashi" w:hint="eastAsia"/>
          <w:rtl/>
          <w:lang w:bidi="he-IL"/>
        </w:rPr>
        <w:t>יחיאל</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דאיכא</w:t>
      </w:r>
      <w:r w:rsidRPr="00400C0B">
        <w:rPr>
          <w:rFonts w:cs="Guttman Rashi"/>
          <w:rtl/>
          <w:lang w:bidi="he-IL"/>
        </w:rPr>
        <w:t xml:space="preserve"> </w:t>
      </w:r>
      <w:r w:rsidRPr="00400C0B">
        <w:rPr>
          <w:rFonts w:cs="Guttman Rashi" w:hint="eastAsia"/>
          <w:rtl/>
          <w:lang w:bidi="he-IL"/>
        </w:rPr>
        <w:t>למימר</w:t>
      </w:r>
      <w:r w:rsidRPr="00400C0B">
        <w:rPr>
          <w:rFonts w:cs="Guttman Rashi"/>
          <w:rtl/>
          <w:lang w:bidi="he-IL"/>
        </w:rPr>
        <w:t xml:space="preserve"> </w:t>
      </w:r>
      <w:r w:rsidRPr="00400C0B">
        <w:rPr>
          <w:rFonts w:cs="Guttman Rashi" w:hint="eastAsia"/>
          <w:rtl/>
          <w:lang w:bidi="he-IL"/>
        </w:rPr>
        <w:t>שאמנם</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שמבואר</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תכונה</w:t>
      </w:r>
      <w:r w:rsidRPr="00400C0B">
        <w:rPr>
          <w:rFonts w:cs="Guttman Rashi"/>
          <w:rtl/>
          <w:lang w:bidi="he-IL"/>
        </w:rPr>
        <w:t xml:space="preserve"> </w:t>
      </w:r>
      <w:r w:rsidRPr="00400C0B">
        <w:rPr>
          <w:rFonts w:cs="Guttman Rashi" w:hint="eastAsia"/>
          <w:rtl/>
          <w:lang w:bidi="he-IL"/>
        </w:rPr>
        <w:t>לבלוע</w:t>
      </w:r>
      <w:r w:rsidRPr="00400C0B">
        <w:rPr>
          <w:rFonts w:cs="Guttman Rashi"/>
          <w:rtl/>
          <w:lang w:bidi="he-IL"/>
        </w:rPr>
        <w:t xml:space="preserve"> </w:t>
      </w:r>
      <w:r w:rsidRPr="00400C0B">
        <w:rPr>
          <w:rFonts w:cs="Guttman Rashi" w:hint="eastAsia"/>
          <w:rtl/>
          <w:lang w:bidi="he-IL"/>
        </w:rPr>
        <w:t>אגב</w:t>
      </w:r>
      <w:r w:rsidRPr="00400C0B">
        <w:rPr>
          <w:rFonts w:cs="Guttman Rashi"/>
          <w:rtl/>
          <w:lang w:bidi="he-IL"/>
        </w:rPr>
        <w:t xml:space="preserve"> </w:t>
      </w:r>
      <w:r w:rsidRPr="00400C0B">
        <w:rPr>
          <w:rFonts w:cs="Guttman Rashi" w:hint="eastAsia"/>
          <w:rtl/>
          <w:lang w:bidi="he-IL"/>
        </w:rPr>
        <w:t>חריפותו</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דמחליא</w:t>
      </w:r>
      <w:r w:rsidRPr="00400C0B">
        <w:rPr>
          <w:rFonts w:cs="Guttman Rashi"/>
          <w:rtl/>
          <w:lang w:bidi="he-IL"/>
        </w:rPr>
        <w:t xml:space="preserve"> </w:t>
      </w:r>
      <w:r w:rsidRPr="00400C0B">
        <w:rPr>
          <w:rFonts w:cs="Guttman Rashi" w:hint="eastAsia"/>
          <w:rtl/>
          <w:lang w:bidi="he-IL"/>
        </w:rPr>
        <w:t>לשבח</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אמרנן</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לכל</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תכונה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שר</w:t>
      </w:r>
      <w:r w:rsidRPr="00400C0B">
        <w:rPr>
          <w:rFonts w:cs="Guttman Rashi"/>
          <w:rtl/>
          <w:lang w:bidi="he-IL"/>
        </w:rPr>
        <w:t xml:space="preserve">' </w:t>
      </w:r>
      <w:r w:rsidRPr="00400C0B">
        <w:rPr>
          <w:rFonts w:cs="Guttman Rashi" w:hint="eastAsia"/>
          <w:rtl/>
          <w:lang w:bidi="he-IL"/>
        </w:rPr>
        <w:t>יחיאל</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דעכ</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צנון</w:t>
      </w:r>
      <w:r w:rsidRPr="00400C0B">
        <w:rPr>
          <w:rFonts w:cs="Guttman Rashi"/>
          <w:rtl/>
          <w:lang w:bidi="he-IL"/>
        </w:rPr>
        <w:t xml:space="preserve"> </w:t>
      </w:r>
      <w:r w:rsidRPr="00400C0B">
        <w:rPr>
          <w:rFonts w:cs="Guttman Rashi" w:hint="eastAsia"/>
          <w:rtl/>
          <w:lang w:bidi="he-IL"/>
        </w:rPr>
        <w:t>מחליא</w:t>
      </w:r>
      <w:r w:rsidRPr="00400C0B">
        <w:rPr>
          <w:rFonts w:cs="Guttman Rashi"/>
          <w:rtl/>
          <w:lang w:bidi="he-IL"/>
        </w:rPr>
        <w:t xml:space="preserve"> </w:t>
      </w:r>
      <w:r w:rsidRPr="00400C0B">
        <w:rPr>
          <w:rFonts w:cs="Guttman Rashi" w:hint="eastAsia"/>
          <w:rtl/>
          <w:lang w:bidi="he-IL"/>
        </w:rPr>
        <w:t>לשבח</w:t>
      </w:r>
      <w:r w:rsidRPr="00400C0B">
        <w:rPr>
          <w:rFonts w:cs="Guttman Rashi"/>
          <w:rtl/>
          <w:lang w:bidi="he-IL"/>
        </w:rPr>
        <w:t xml:space="preserve">, </w:t>
      </w:r>
      <w:r w:rsidRPr="00400C0B">
        <w:rPr>
          <w:rFonts w:cs="Guttman Rashi" w:hint="eastAsia"/>
          <w:rtl/>
          <w:lang w:bidi="he-IL"/>
        </w:rPr>
        <w:t>ובזה</w:t>
      </w:r>
      <w:r w:rsidRPr="00400C0B">
        <w:rPr>
          <w:rFonts w:cs="Guttman Rashi"/>
          <w:rtl/>
          <w:lang w:bidi="he-IL"/>
        </w:rPr>
        <w:t xml:space="preserve"> </w:t>
      </w:r>
      <w:r w:rsidRPr="00400C0B">
        <w:rPr>
          <w:rFonts w:cs="Guttman Rashi" w:hint="eastAsia"/>
          <w:rtl/>
          <w:lang w:bidi="he-IL"/>
        </w:rPr>
        <w:t>מחמיר</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ממהר</w:t>
      </w:r>
      <w:r w:rsidRPr="00400C0B">
        <w:rPr>
          <w:rFonts w:cs="Guttman Rashi"/>
          <w:rtl/>
          <w:lang w:bidi="he-IL"/>
        </w:rPr>
        <w:t>"</w:t>
      </w:r>
      <w:r w:rsidRPr="00400C0B">
        <w:rPr>
          <w:rFonts w:cs="Guttman Rashi" w:hint="eastAsia"/>
          <w:rtl/>
          <w:lang w:bidi="he-IL"/>
        </w:rPr>
        <w:t>ם</w:t>
      </w:r>
      <w:r w:rsidRPr="00400C0B">
        <w:rPr>
          <w:rFonts w:cs="Guttman Rashi"/>
          <w:rtl/>
          <w:lang w:bidi="he-IL"/>
        </w:rPr>
        <w:t>.</w:t>
      </w:r>
    </w:p>
  </w:footnote>
  <w:footnote w:id="30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בענין</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מהו</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p>
  </w:footnote>
  <w:footnote w:id="30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כהוכחה</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סתימת</w:t>
      </w:r>
      <w:r w:rsidRPr="00400C0B">
        <w:rPr>
          <w:rFonts w:cs="Guttman Rashi"/>
          <w:rtl/>
          <w:lang w:bidi="he-IL"/>
        </w:rPr>
        <w:t xml:space="preserve"> </w:t>
      </w:r>
      <w:r w:rsidRPr="00400C0B">
        <w:rPr>
          <w:rFonts w:cs="Guttman Rashi" w:hint="eastAsia"/>
          <w:rtl/>
          <w:lang w:bidi="he-IL"/>
        </w:rPr>
        <w:t>הפוסקים</w:t>
      </w:r>
      <w:r w:rsidRPr="00400C0B">
        <w:rPr>
          <w:rFonts w:cs="Guttman Rashi"/>
          <w:rtl/>
          <w:lang w:bidi="he-IL"/>
        </w:rPr>
        <w:t xml:space="preserve"> </w:t>
      </w:r>
      <w:r w:rsidRPr="00400C0B">
        <w:rPr>
          <w:rFonts w:cs="Guttman Rashi" w:hint="eastAsia"/>
          <w:rtl/>
          <w:lang w:bidi="he-IL"/>
        </w:rPr>
        <w:t>שהיו</w:t>
      </w:r>
      <w:r w:rsidRPr="00400C0B">
        <w:rPr>
          <w:rFonts w:cs="Guttman Rashi"/>
          <w:rtl/>
          <w:lang w:bidi="he-IL"/>
        </w:rPr>
        <w:t xml:space="preserve"> </w:t>
      </w:r>
      <w:r w:rsidRPr="00400C0B">
        <w:rPr>
          <w:rFonts w:cs="Guttman Rashi" w:hint="eastAsia"/>
          <w:rtl/>
          <w:lang w:bidi="he-IL"/>
        </w:rPr>
        <w:t>במקום</w:t>
      </w:r>
      <w:r w:rsidRPr="00400C0B">
        <w:rPr>
          <w:rFonts w:cs="Guttman Rashi"/>
          <w:rtl/>
          <w:lang w:bidi="he-IL"/>
        </w:rPr>
        <w:t xml:space="preserve"> </w:t>
      </w:r>
      <w:r w:rsidRPr="00400C0B">
        <w:rPr>
          <w:rFonts w:cs="Guttman Rashi" w:hint="eastAsia"/>
          <w:rtl/>
          <w:lang w:bidi="he-IL"/>
        </w:rPr>
        <w:t>שהמין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צנון</w:t>
      </w:r>
      <w:r w:rsidRPr="00400C0B">
        <w:rPr>
          <w:rFonts w:cs="Guttman Rashi"/>
          <w:rtl/>
          <w:lang w:bidi="he-IL"/>
        </w:rPr>
        <w:t xml:space="preserve"> </w:t>
      </w:r>
      <w:r w:rsidRPr="00400C0B">
        <w:rPr>
          <w:rFonts w:cs="Guttman Rashi" w:hint="eastAsia"/>
          <w:rtl/>
          <w:lang w:bidi="he-IL"/>
        </w:rPr>
        <w:t>לבן</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שכיח</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סתמו</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בצנון</w:t>
      </w:r>
      <w:r w:rsidRPr="00400C0B">
        <w:rPr>
          <w:rFonts w:cs="Guttman Rashi"/>
          <w:rtl/>
          <w:lang w:bidi="he-IL"/>
        </w:rPr>
        <w:t xml:space="preserve">, </w:t>
      </w:r>
      <w:r w:rsidRPr="00400C0B">
        <w:rPr>
          <w:rFonts w:cs="Guttman Rashi" w:hint="eastAsia"/>
          <w:rtl/>
          <w:lang w:bidi="he-IL"/>
        </w:rPr>
        <w:t>דמשמע</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בכל</w:t>
      </w:r>
      <w:r w:rsidRPr="00400C0B">
        <w:rPr>
          <w:rFonts w:cs="Guttman Rashi"/>
          <w:rtl/>
          <w:lang w:bidi="he-IL"/>
        </w:rPr>
        <w:t xml:space="preserve"> </w:t>
      </w:r>
      <w:r w:rsidRPr="00400C0B">
        <w:rPr>
          <w:rFonts w:cs="Guttman Rashi" w:hint="eastAsia"/>
          <w:rtl/>
          <w:lang w:bidi="he-IL"/>
        </w:rPr>
        <w:t>הסוגים</w:t>
      </w:r>
      <w:r w:rsidRPr="00400C0B">
        <w:rPr>
          <w:rFonts w:cs="Guttman Rashi"/>
          <w:rtl/>
          <w:lang w:bidi="he-IL"/>
        </w:rPr>
        <w:t xml:space="preserve">. </w:t>
      </w:r>
      <w:r w:rsidRPr="00400C0B">
        <w:rPr>
          <w:rFonts w:cs="Guttman Rashi" w:hint="eastAsia"/>
          <w:rtl/>
          <w:lang w:bidi="he-IL"/>
        </w:rPr>
        <w:t>ולענין</w:t>
      </w:r>
      <w:r w:rsidRPr="00400C0B">
        <w:rPr>
          <w:rFonts w:cs="Guttman Rashi"/>
          <w:rtl/>
          <w:lang w:bidi="he-IL"/>
        </w:rPr>
        <w:t xml:space="preserve"> </w:t>
      </w:r>
      <w:r w:rsidRPr="00400C0B">
        <w:rPr>
          <w:rFonts w:cs="Guttman Rashi" w:hint="eastAsia"/>
          <w:rtl/>
          <w:lang w:bidi="he-IL"/>
        </w:rPr>
        <w:t>טעמו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ובע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שצנון</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בטבעו</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הכח</w:t>
      </w:r>
      <w:r w:rsidRPr="00400C0B">
        <w:rPr>
          <w:rFonts w:cs="Guttman Rashi"/>
          <w:rtl/>
          <w:lang w:bidi="he-IL"/>
        </w:rPr>
        <w:t xml:space="preserve"> </w:t>
      </w:r>
      <w:r w:rsidRPr="00400C0B">
        <w:rPr>
          <w:rFonts w:cs="Guttman Rashi" w:hint="eastAsia"/>
          <w:rtl/>
          <w:lang w:bidi="he-IL"/>
        </w:rPr>
        <w:t>שמשביח</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דהטעם</w:t>
      </w:r>
      <w:r w:rsidRPr="00400C0B">
        <w:rPr>
          <w:rFonts w:cs="Guttman Rashi"/>
          <w:rtl/>
          <w:lang w:bidi="he-IL"/>
        </w:rPr>
        <w:t xml:space="preserve"> </w:t>
      </w:r>
      <w:r w:rsidRPr="00400C0B">
        <w:rPr>
          <w:rFonts w:cs="Guttman Rashi" w:hint="eastAsia"/>
          <w:rtl/>
          <w:lang w:bidi="he-IL"/>
        </w:rPr>
        <w:t>דצנון</w:t>
      </w:r>
      <w:r w:rsidRPr="00400C0B">
        <w:rPr>
          <w:rFonts w:cs="Guttman Rashi"/>
          <w:rtl/>
          <w:lang w:bidi="he-IL"/>
        </w:rPr>
        <w:t xml:space="preserve"> </w:t>
      </w:r>
      <w:r w:rsidRPr="00400C0B">
        <w:rPr>
          <w:rFonts w:cs="Guttman Rashi" w:hint="eastAsia"/>
          <w:rtl/>
          <w:lang w:bidi="he-IL"/>
        </w:rPr>
        <w:t>מפליט</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הסכין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כח</w:t>
      </w:r>
      <w:r w:rsidRPr="00400C0B">
        <w:rPr>
          <w:rFonts w:cs="Guttman Rashi"/>
          <w:rtl/>
          <w:lang w:bidi="he-IL"/>
        </w:rPr>
        <w:t xml:space="preserve"> </w:t>
      </w:r>
      <w:r w:rsidRPr="00400C0B">
        <w:rPr>
          <w:rFonts w:cs="Guttman Rashi" w:hint="eastAsia"/>
          <w:rtl/>
          <w:lang w:bidi="he-IL"/>
        </w:rPr>
        <w:t>המושך</w:t>
      </w:r>
      <w:r w:rsidRPr="00400C0B">
        <w:rPr>
          <w:rFonts w:cs="Guttman Rashi"/>
          <w:rtl/>
          <w:lang w:bidi="he-IL"/>
        </w:rPr>
        <w:t xml:space="preserve"> </w:t>
      </w:r>
      <w:r w:rsidRPr="00400C0B">
        <w:rPr>
          <w:rFonts w:cs="Guttman Rashi" w:hint="eastAsia"/>
          <w:rtl/>
          <w:lang w:bidi="he-IL"/>
        </w:rPr>
        <w:t>כמ</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בתוה</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גבי</w:t>
      </w:r>
      <w:r w:rsidRPr="00400C0B">
        <w:rPr>
          <w:rFonts w:cs="Guttman Rashi"/>
          <w:rtl/>
          <w:lang w:bidi="he-IL"/>
        </w:rPr>
        <w:t xml:space="preserve"> </w:t>
      </w:r>
      <w:r w:rsidRPr="00400C0B">
        <w:rPr>
          <w:rFonts w:cs="Guttman Rashi" w:hint="eastAsia"/>
          <w:rtl/>
          <w:lang w:bidi="he-IL"/>
        </w:rPr>
        <w:t>סילקא</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דגם</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מרגישין</w:t>
      </w:r>
      <w:r w:rsidRPr="00400C0B">
        <w:rPr>
          <w:rFonts w:cs="Guttman Rashi"/>
          <w:rtl/>
          <w:lang w:bidi="he-IL"/>
        </w:rPr>
        <w:t xml:space="preserve"> </w:t>
      </w:r>
      <w:r w:rsidRPr="00400C0B">
        <w:rPr>
          <w:rFonts w:cs="Guttman Rashi" w:hint="eastAsia"/>
          <w:rtl/>
          <w:lang w:bidi="he-IL"/>
        </w:rPr>
        <w:t>החריפות</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מעט</w:t>
      </w:r>
      <w:r w:rsidRPr="00400C0B">
        <w:rPr>
          <w:rFonts w:cs="Guttman Rashi"/>
          <w:rtl/>
          <w:lang w:bidi="he-IL"/>
        </w:rPr>
        <w:t xml:space="preserve"> </w:t>
      </w:r>
      <w:r w:rsidRPr="00400C0B">
        <w:rPr>
          <w:rFonts w:cs="Guttman Rashi" w:hint="eastAsia"/>
          <w:rtl/>
          <w:lang w:bidi="he-IL"/>
        </w:rPr>
        <w:t>החריפות</w:t>
      </w:r>
      <w:r w:rsidRPr="00400C0B">
        <w:rPr>
          <w:rFonts w:cs="Guttman Rashi"/>
          <w:rtl/>
          <w:lang w:bidi="he-IL"/>
        </w:rPr>
        <w:t xml:space="preserve"> </w:t>
      </w:r>
      <w:r w:rsidRPr="00400C0B">
        <w:rPr>
          <w:rFonts w:cs="Guttman Rashi" w:hint="eastAsia"/>
          <w:rtl/>
          <w:lang w:bidi="he-IL"/>
        </w:rPr>
        <w:t>שבו</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כח</w:t>
      </w:r>
      <w:r w:rsidRPr="00400C0B">
        <w:rPr>
          <w:rFonts w:cs="Guttman Rashi"/>
          <w:rtl/>
          <w:lang w:bidi="he-IL"/>
        </w:rPr>
        <w:t xml:space="preserve"> </w:t>
      </w:r>
      <w:r w:rsidRPr="00400C0B">
        <w:rPr>
          <w:rFonts w:cs="Guttman Rashi" w:hint="eastAsia"/>
          <w:rtl/>
          <w:lang w:bidi="he-IL"/>
        </w:rPr>
        <w:t>המושך</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הצנון</w:t>
      </w:r>
      <w:r w:rsidRPr="00400C0B">
        <w:rPr>
          <w:rFonts w:cs="Guttman Rashi"/>
          <w:rtl/>
          <w:lang w:bidi="he-IL"/>
        </w:rPr>
        <w:t xml:space="preserve"> </w:t>
      </w:r>
      <w:r w:rsidRPr="00400C0B">
        <w:rPr>
          <w:rFonts w:cs="Guttman Rashi" w:hint="eastAsia"/>
          <w:rtl/>
          <w:lang w:bidi="he-IL"/>
        </w:rPr>
        <w:t>שקליפתו</w:t>
      </w:r>
      <w:r w:rsidRPr="00400C0B">
        <w:rPr>
          <w:rFonts w:cs="Guttman Rashi"/>
          <w:rtl/>
          <w:lang w:bidi="he-IL"/>
        </w:rPr>
        <w:t xml:space="preserve"> </w:t>
      </w:r>
      <w:r w:rsidRPr="00400C0B">
        <w:rPr>
          <w:rFonts w:cs="Guttman Rashi" w:hint="eastAsia"/>
          <w:rtl/>
          <w:lang w:bidi="he-IL"/>
        </w:rPr>
        <w:t>שחורה</w:t>
      </w:r>
      <w:r w:rsidRPr="00400C0B">
        <w:rPr>
          <w:rFonts w:cs="Guttman Rashi"/>
          <w:rtl/>
          <w:lang w:bidi="he-IL"/>
        </w:rPr>
        <w:t xml:space="preserve">" </w:t>
      </w:r>
      <w:r w:rsidRPr="00400C0B">
        <w:rPr>
          <w:rFonts w:cs="Guttman Rashi" w:hint="eastAsia"/>
          <w:rtl/>
          <w:lang w:bidi="he-IL"/>
        </w:rPr>
        <w:t>ומשמע</w:t>
      </w:r>
      <w:r w:rsidRPr="00400C0B">
        <w:rPr>
          <w:rFonts w:cs="Guttman Rashi"/>
          <w:rtl/>
          <w:lang w:bidi="he-IL"/>
        </w:rPr>
        <w:t xml:space="preserve"> </w:t>
      </w:r>
      <w:r w:rsidRPr="00400C0B">
        <w:rPr>
          <w:rFonts w:cs="Guttman Rashi" w:hint="eastAsia"/>
          <w:rtl/>
          <w:lang w:bidi="he-IL"/>
        </w:rPr>
        <w:t>קצת</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דקים</w:t>
      </w:r>
      <w:r w:rsidRPr="00400C0B">
        <w:rPr>
          <w:rFonts w:cs="Guttman Rashi"/>
          <w:rtl/>
          <w:lang w:bidi="he-IL"/>
        </w:rPr>
        <w:t xml:space="preserve"> </w:t>
      </w:r>
      <w:r w:rsidRPr="00400C0B">
        <w:rPr>
          <w:rFonts w:cs="Guttman Rashi" w:hint="eastAsia"/>
          <w:rtl/>
          <w:lang w:bidi="he-IL"/>
        </w:rPr>
        <w:t>להו</w:t>
      </w:r>
      <w:r w:rsidRPr="00400C0B">
        <w:rPr>
          <w:rFonts w:cs="Guttman Rashi"/>
          <w:rtl/>
          <w:lang w:bidi="he-IL"/>
        </w:rPr>
        <w:t xml:space="preserve"> </w:t>
      </w:r>
      <w:r w:rsidRPr="00400C0B">
        <w:rPr>
          <w:rFonts w:cs="Guttman Rashi" w:hint="eastAsia"/>
          <w:rtl/>
          <w:lang w:bidi="he-IL"/>
        </w:rPr>
        <w:t>לחז</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מספיק</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שיהא</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שבולע</w:t>
      </w:r>
      <w:r w:rsidRPr="00400C0B">
        <w:rPr>
          <w:rFonts w:cs="Guttman Rashi"/>
          <w:rtl/>
          <w:lang w:bidi="he-IL"/>
        </w:rPr>
        <w:t xml:space="preserve"> </w:t>
      </w:r>
      <w:r w:rsidRPr="00400C0B">
        <w:rPr>
          <w:rFonts w:cs="Guttman Rashi" w:hint="eastAsia"/>
          <w:rtl/>
          <w:lang w:bidi="he-IL"/>
        </w:rPr>
        <w:t>אגב</w:t>
      </w:r>
      <w:r w:rsidRPr="00400C0B">
        <w:rPr>
          <w:rFonts w:cs="Guttman Rashi"/>
          <w:rtl/>
          <w:lang w:bidi="he-IL"/>
        </w:rPr>
        <w:t xml:space="preserve"> </w:t>
      </w:r>
      <w:r w:rsidRPr="00400C0B">
        <w:rPr>
          <w:rFonts w:cs="Guttman Rashi" w:hint="eastAsia"/>
          <w:rtl/>
          <w:lang w:bidi="he-IL"/>
        </w:rPr>
        <w:t>חריפותו</w:t>
      </w:r>
      <w:r w:rsidRPr="00400C0B">
        <w:rPr>
          <w:rFonts w:cs="Guttman Rashi"/>
          <w:rtl/>
          <w:lang w:bidi="he-IL"/>
        </w:rPr>
        <w:t xml:space="preserve"> </w:t>
      </w:r>
      <w:r w:rsidRPr="00400C0B">
        <w:rPr>
          <w:rFonts w:cs="Guttman Rashi" w:hint="eastAsia"/>
          <w:rtl/>
          <w:lang w:bidi="he-IL"/>
        </w:rPr>
        <w:t>בלבד</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הטבע</w:t>
      </w:r>
      <w:r w:rsidRPr="00400C0B">
        <w:rPr>
          <w:rFonts w:cs="Guttman Rashi"/>
          <w:rtl/>
          <w:lang w:bidi="he-IL"/>
        </w:rPr>
        <w:t xml:space="preserve"> </w:t>
      </w:r>
      <w:r w:rsidRPr="00400C0B">
        <w:rPr>
          <w:rFonts w:cs="Guttman Rashi" w:hint="eastAsia"/>
          <w:rtl/>
          <w:lang w:bidi="he-IL"/>
        </w:rPr>
        <w:t>שלו</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שבולע</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שזהו</w:t>
      </w:r>
      <w:r w:rsidRPr="00400C0B">
        <w:rPr>
          <w:rFonts w:cs="Guttman Rashi"/>
          <w:rtl/>
          <w:lang w:bidi="he-IL"/>
        </w:rPr>
        <w:t xml:space="preserve"> </w:t>
      </w:r>
      <w:r w:rsidRPr="00400C0B">
        <w:rPr>
          <w:rFonts w:cs="Guttman Rashi" w:hint="eastAsia"/>
          <w:rtl/>
          <w:lang w:bidi="he-IL"/>
        </w:rPr>
        <w:t>כשיטת</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יחיאל</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הדברים</w:t>
      </w:r>
      <w:r w:rsidRPr="00400C0B">
        <w:rPr>
          <w:rFonts w:cs="Guttman Rashi"/>
          <w:rtl/>
          <w:lang w:bidi="he-IL"/>
        </w:rPr>
        <w:t xml:space="preserve"> </w:t>
      </w:r>
      <w:r w:rsidRPr="00400C0B">
        <w:rPr>
          <w:rFonts w:cs="Guttman Rashi" w:hint="eastAsia"/>
          <w:rtl/>
          <w:lang w:bidi="he-IL"/>
        </w:rPr>
        <w:t>החריפים</w:t>
      </w:r>
      <w:r w:rsidRPr="00400C0B">
        <w:rPr>
          <w:rFonts w:cs="Guttman Rashi"/>
          <w:rtl/>
          <w:lang w:bidi="he-IL"/>
        </w:rPr>
        <w:t xml:space="preserve"> </w:t>
      </w:r>
      <w:r w:rsidRPr="00400C0B">
        <w:rPr>
          <w:rFonts w:cs="Guttman Rashi" w:hint="eastAsia"/>
          <w:rtl/>
          <w:lang w:bidi="he-IL"/>
        </w:rPr>
        <w:t>בולעים</w:t>
      </w:r>
      <w:r w:rsidRPr="00400C0B">
        <w:rPr>
          <w:rFonts w:cs="Guttman Rashi"/>
          <w:rtl/>
          <w:lang w:bidi="he-IL"/>
        </w:rPr>
        <w:t xml:space="preserve">, </w:t>
      </w:r>
      <w:r w:rsidRPr="00400C0B">
        <w:rPr>
          <w:rFonts w:cs="Guttman Rashi" w:hint="eastAsia"/>
          <w:rtl/>
          <w:lang w:bidi="he-IL"/>
        </w:rPr>
        <w:t>דאל</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איך</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מוכח</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ההיפך</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שהמקור</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תכונה</w:t>
      </w:r>
      <w:r w:rsidRPr="00400C0B">
        <w:rPr>
          <w:rFonts w:cs="Guttman Rashi"/>
          <w:rtl/>
          <w:lang w:bidi="he-IL"/>
        </w:rPr>
        <w:t xml:space="preserve"> </w:t>
      </w:r>
      <w:r w:rsidRPr="00400C0B">
        <w:rPr>
          <w:rFonts w:cs="Guttman Rashi" w:hint="eastAsia"/>
          <w:rtl/>
          <w:lang w:bidi="he-IL"/>
        </w:rPr>
        <w:t>לבלוע</w:t>
      </w:r>
      <w:r w:rsidRPr="00400C0B">
        <w:rPr>
          <w:rFonts w:cs="Guttman Rashi"/>
          <w:rtl/>
          <w:lang w:bidi="he-IL"/>
        </w:rPr>
        <w:t xml:space="preserve"> </w:t>
      </w:r>
      <w:r w:rsidRPr="00400C0B">
        <w:rPr>
          <w:rFonts w:cs="Guttman Rashi" w:hint="eastAsia"/>
          <w:rtl/>
          <w:lang w:bidi="he-IL"/>
        </w:rPr>
        <w:t>מטעמים</w:t>
      </w:r>
      <w:r w:rsidRPr="00400C0B">
        <w:rPr>
          <w:rFonts w:cs="Guttman Rashi"/>
          <w:rtl/>
          <w:lang w:bidi="he-IL"/>
        </w:rPr>
        <w:t xml:space="preserve"> </w:t>
      </w:r>
      <w:r w:rsidRPr="00400C0B">
        <w:rPr>
          <w:rFonts w:cs="Guttman Rashi" w:hint="eastAsia"/>
          <w:rtl/>
          <w:lang w:bidi="he-IL"/>
        </w:rPr>
        <w:t>אחרים</w:t>
      </w:r>
      <w:r w:rsidRPr="00400C0B">
        <w:rPr>
          <w:rFonts w:cs="Guttman Rashi"/>
          <w:rtl/>
          <w:lang w:bidi="he-IL"/>
        </w:rPr>
        <w:t xml:space="preserve"> </w:t>
      </w:r>
      <w:r w:rsidRPr="00400C0B">
        <w:rPr>
          <w:rFonts w:cs="Guttman Rashi" w:hint="eastAsia"/>
          <w:rtl/>
          <w:lang w:bidi="he-IL"/>
        </w:rPr>
        <w:t>חוץ</w:t>
      </w:r>
      <w:r w:rsidRPr="00400C0B">
        <w:rPr>
          <w:rFonts w:cs="Guttman Rashi"/>
          <w:rtl/>
          <w:lang w:bidi="he-IL"/>
        </w:rPr>
        <w:t xml:space="preserve"> </w:t>
      </w:r>
      <w:r w:rsidRPr="00400C0B">
        <w:rPr>
          <w:rFonts w:cs="Guttman Rashi" w:hint="eastAsia"/>
          <w:rtl/>
          <w:lang w:bidi="he-IL"/>
        </w:rPr>
        <w:t>מחריפותו</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שלמד</w:t>
      </w:r>
      <w:r w:rsidRPr="00400C0B">
        <w:rPr>
          <w:rFonts w:cs="Guttman Rashi"/>
          <w:rtl/>
          <w:lang w:bidi="he-IL"/>
        </w:rPr>
        <w:t xml:space="preserve"> </w:t>
      </w:r>
      <w:r w:rsidRPr="00400C0B">
        <w:rPr>
          <w:rFonts w:cs="Guttman Rashi" w:hint="eastAsia"/>
          <w:rtl/>
          <w:lang w:bidi="he-IL"/>
        </w:rPr>
        <w:t>הכל</w:t>
      </w:r>
      <w:r w:rsidRPr="00400C0B">
        <w:rPr>
          <w:rFonts w:cs="Guttman Rashi"/>
          <w:rtl/>
          <w:lang w:bidi="he-IL"/>
        </w:rPr>
        <w:t xml:space="preserve"> </w:t>
      </w:r>
      <w:r w:rsidRPr="00400C0B">
        <w:rPr>
          <w:rFonts w:cs="Guttman Rashi" w:hint="eastAsia"/>
          <w:rtl/>
          <w:lang w:bidi="he-IL"/>
        </w:rPr>
        <w:t>מדין</w:t>
      </w:r>
      <w:r w:rsidRPr="00400C0B">
        <w:rPr>
          <w:rFonts w:cs="Guttman Rashi"/>
          <w:rtl/>
          <w:lang w:bidi="he-IL"/>
        </w:rPr>
        <w:t xml:space="preserve"> </w:t>
      </w:r>
      <w:r w:rsidRPr="00400C0B">
        <w:rPr>
          <w:rFonts w:cs="Guttman Rashi" w:hint="eastAsia"/>
          <w:rtl/>
          <w:lang w:bidi="he-IL"/>
        </w:rPr>
        <w:t>חילתית</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31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ובמקרה</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האבן</w:t>
      </w:r>
      <w:r w:rsidRPr="00400C0B">
        <w:rPr>
          <w:rFonts w:cs="Guttman Rashi"/>
          <w:rtl/>
          <w:lang w:bidi="he-IL"/>
        </w:rPr>
        <w:t xml:space="preserve"> </w:t>
      </w:r>
      <w:r w:rsidRPr="00400C0B">
        <w:rPr>
          <w:rFonts w:cs="Guttman Rashi" w:hint="eastAsia"/>
          <w:rtl/>
          <w:lang w:bidi="he-IL"/>
        </w:rPr>
        <w:t>העוזר</w:t>
      </w:r>
      <w:r w:rsidRPr="00400C0B">
        <w:rPr>
          <w:rFonts w:cs="Guttman Rashi"/>
          <w:rtl/>
          <w:lang w:bidi="he-IL"/>
        </w:rPr>
        <w:t xml:space="preserve"> </w:t>
      </w:r>
      <w:r w:rsidRPr="00400C0B">
        <w:rPr>
          <w:rFonts w:cs="Guttman Rashi" w:hint="eastAsia"/>
          <w:rtl/>
          <w:lang w:bidi="he-IL"/>
        </w:rPr>
        <w:t>שבסמוך</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דנ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מיהא</w:t>
      </w:r>
      <w:r w:rsidRPr="00400C0B">
        <w:rPr>
          <w:rFonts w:cs="Guttman Rashi"/>
          <w:rtl/>
          <w:lang w:bidi="he-IL"/>
        </w:rPr>
        <w:t xml:space="preserve"> </w:t>
      </w:r>
      <w:r w:rsidRPr="00400C0B">
        <w:rPr>
          <w:rFonts w:cs="Guttman Rashi" w:hint="eastAsia"/>
          <w:rtl/>
          <w:lang w:bidi="he-IL"/>
        </w:rPr>
        <w:t>איתא</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נפק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למג</w:t>
      </w:r>
      <w:r w:rsidRPr="00400C0B">
        <w:rPr>
          <w:rFonts w:cs="Guttman Rashi"/>
          <w:rtl/>
          <w:lang w:bidi="he-IL"/>
        </w:rPr>
        <w:t>"</w:t>
      </w:r>
      <w:r w:rsidRPr="00400C0B">
        <w:rPr>
          <w:rFonts w:cs="Guttman Rashi" w:hint="eastAsia"/>
          <w:rtl/>
          <w:lang w:bidi="he-IL"/>
        </w:rPr>
        <w:t>א</w:t>
      </w:r>
      <w:r w:rsidRPr="00400C0B">
        <w:rPr>
          <w:rFonts w:cs="Guttman Rashi"/>
          <w:rtl/>
          <w:lang w:bidi="he-IL"/>
        </w:rPr>
        <w:t>.</w:t>
      </w:r>
    </w:p>
  </w:footnote>
  <w:footnote w:id="31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מדבריו</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שיטה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צירף</w:t>
      </w:r>
      <w:r w:rsidRPr="00400C0B">
        <w:rPr>
          <w:rFonts w:cs="Guttman Rashi"/>
          <w:rtl/>
          <w:lang w:bidi="he-IL"/>
        </w:rPr>
        <w:t xml:space="preserve"> </w:t>
      </w:r>
      <w:r w:rsidRPr="00400C0B">
        <w:rPr>
          <w:rFonts w:cs="Guttman Rashi" w:hint="eastAsia"/>
          <w:rtl/>
          <w:lang w:bidi="he-IL"/>
        </w:rPr>
        <w:t>להיתירא</w:t>
      </w:r>
      <w:r w:rsidRPr="00400C0B">
        <w:rPr>
          <w:rFonts w:cs="Guttman Rashi"/>
          <w:rtl/>
          <w:lang w:bidi="he-IL"/>
        </w:rPr>
        <w:t xml:space="preserve"> </w:t>
      </w:r>
      <w:r w:rsidRPr="00400C0B">
        <w:rPr>
          <w:rFonts w:cs="Guttman Rashi" w:hint="eastAsia"/>
          <w:rtl/>
          <w:lang w:bidi="he-IL"/>
        </w:rPr>
        <w:t>ממש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דעה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דסבירא</w:t>
      </w:r>
      <w:r w:rsidRPr="00400C0B">
        <w:rPr>
          <w:rFonts w:cs="Guttman Rashi"/>
          <w:rtl/>
          <w:lang w:bidi="he-IL"/>
        </w:rPr>
        <w:t xml:space="preserve"> </w:t>
      </w:r>
      <w:r w:rsidRPr="00400C0B">
        <w:rPr>
          <w:rFonts w:cs="Guttman Rashi" w:hint="eastAsia"/>
          <w:rtl/>
          <w:lang w:bidi="he-IL"/>
        </w:rPr>
        <w:t>ליה</w:t>
      </w:r>
      <w:r w:rsidRPr="00400C0B">
        <w:rPr>
          <w:rFonts w:cs="Guttman Rashi"/>
          <w:rtl/>
          <w:lang w:bidi="he-IL"/>
        </w:rPr>
        <w:t xml:space="preserve"> </w:t>
      </w:r>
      <w:r w:rsidRPr="00400C0B">
        <w:rPr>
          <w:rFonts w:cs="Guttman Rashi" w:hint="eastAsia"/>
          <w:rtl/>
          <w:lang w:bidi="he-IL"/>
        </w:rPr>
        <w:t>שתי</w:t>
      </w:r>
      <w:r w:rsidRPr="00400C0B">
        <w:rPr>
          <w:rFonts w:cs="Guttman Rashi"/>
          <w:rtl/>
          <w:lang w:bidi="he-IL"/>
        </w:rPr>
        <w:t xml:space="preserve"> </w:t>
      </w:r>
      <w:r w:rsidRPr="00400C0B">
        <w:rPr>
          <w:rFonts w:cs="Guttman Rashi" w:hint="eastAsia"/>
          <w:rtl/>
          <w:lang w:bidi="he-IL"/>
        </w:rPr>
        <w:t>חומרות</w:t>
      </w:r>
      <w:r w:rsidRPr="00400C0B">
        <w:rPr>
          <w:rFonts w:cs="Guttman Rashi"/>
          <w:rtl/>
          <w:lang w:bidi="he-IL"/>
        </w:rPr>
        <w:t xml:space="preserve"> </w:t>
      </w:r>
      <w:r w:rsidRPr="00400C0B">
        <w:rPr>
          <w:rFonts w:cs="Guttman Rashi" w:hint="eastAsia"/>
          <w:u w:val="single"/>
          <w:rtl/>
          <w:lang w:bidi="he-IL"/>
        </w:rPr>
        <w:t>דדברים</w:t>
      </w:r>
      <w:r w:rsidRPr="00400C0B">
        <w:rPr>
          <w:rFonts w:cs="Guttman Rashi"/>
          <w:u w:val="single"/>
          <w:rtl/>
          <w:lang w:bidi="he-IL"/>
        </w:rPr>
        <w:t xml:space="preserve"> </w:t>
      </w:r>
      <w:r w:rsidRPr="00400C0B">
        <w:rPr>
          <w:rFonts w:cs="Guttman Rashi" w:hint="eastAsia"/>
          <w:u w:val="single"/>
          <w:rtl/>
          <w:lang w:bidi="he-IL"/>
        </w:rPr>
        <w:t>חריפים</w:t>
      </w:r>
      <w:r w:rsidRPr="00400C0B">
        <w:rPr>
          <w:rFonts w:cs="Guttman Rashi"/>
          <w:u w:val="single"/>
          <w:rtl/>
          <w:lang w:bidi="he-IL"/>
        </w:rPr>
        <w:t xml:space="preserve"> </w:t>
      </w:r>
      <w:r w:rsidRPr="00400C0B">
        <w:rPr>
          <w:rFonts w:cs="Guttman Rashi" w:hint="eastAsia"/>
          <w:u w:val="single"/>
          <w:rtl/>
          <w:lang w:bidi="he-IL"/>
        </w:rPr>
        <w:t>זולת</w:t>
      </w:r>
      <w:r w:rsidRPr="00400C0B">
        <w:rPr>
          <w:rFonts w:cs="Guttman Rashi"/>
          <w:u w:val="single"/>
          <w:rtl/>
          <w:lang w:bidi="he-IL"/>
        </w:rPr>
        <w:t xml:space="preserve"> </w:t>
      </w:r>
      <w:r w:rsidRPr="00400C0B">
        <w:rPr>
          <w:rFonts w:cs="Guttman Rashi" w:hint="eastAsia"/>
          <w:u w:val="single"/>
          <w:rtl/>
          <w:lang w:bidi="he-IL"/>
        </w:rPr>
        <w:t>צנון</w:t>
      </w:r>
      <w:r w:rsidRPr="00400C0B">
        <w:rPr>
          <w:rFonts w:cs="Guttman Rashi"/>
          <w:rtl/>
          <w:lang w:bidi="he-IL"/>
        </w:rPr>
        <w:t>".</w:t>
      </w:r>
    </w:p>
  </w:footnote>
  <w:footnote w:id="31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והעיר</w:t>
      </w:r>
      <w:r w:rsidRPr="00400C0B">
        <w:rPr>
          <w:rFonts w:cs="Guttman Rashi"/>
          <w:rtl/>
          <w:lang w:bidi="he-IL"/>
        </w:rPr>
        <w:t xml:space="preserve"> </w:t>
      </w:r>
      <w:r w:rsidRPr="00400C0B">
        <w:rPr>
          <w:rFonts w:cs="Guttman Rashi" w:hint="eastAsia"/>
          <w:rtl/>
          <w:lang w:bidi="he-IL"/>
        </w:rPr>
        <w:t>הרה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רפאל</w:t>
      </w:r>
      <w:r w:rsidRPr="00400C0B">
        <w:rPr>
          <w:rFonts w:cs="Guttman Rashi"/>
          <w:rtl/>
          <w:lang w:bidi="he-IL"/>
        </w:rPr>
        <w:t xml:space="preserve"> </w:t>
      </w:r>
      <w:r w:rsidRPr="00400C0B">
        <w:rPr>
          <w:rFonts w:cs="Guttman Rashi" w:hint="eastAsia"/>
          <w:rtl/>
          <w:lang w:bidi="he-IL"/>
        </w:rPr>
        <w:t>קרזנר</w:t>
      </w:r>
      <w:r w:rsidRPr="00400C0B">
        <w:rPr>
          <w:rFonts w:cs="Guttman Rashi"/>
          <w:rtl/>
          <w:lang w:bidi="he-IL"/>
        </w:rPr>
        <w:t xml:space="preserve"> </w:t>
      </w:r>
      <w:r w:rsidRPr="00400C0B">
        <w:rPr>
          <w:rFonts w:cs="Guttman Rashi" w:hint="eastAsia"/>
          <w:rtl/>
          <w:lang w:bidi="he-IL"/>
        </w:rPr>
        <w:t>שליט</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דחוק</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שהשו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דיעבד</w:t>
      </w:r>
      <w:r w:rsidRPr="00400C0B">
        <w:rPr>
          <w:rFonts w:cs="Guttman Rashi"/>
          <w:rtl/>
          <w:lang w:bidi="he-IL"/>
        </w:rPr>
        <w:t xml:space="preserve">, </w:t>
      </w:r>
      <w:r w:rsidRPr="00400C0B">
        <w:rPr>
          <w:rFonts w:cs="Guttman Rashi" w:hint="eastAsia"/>
          <w:rtl/>
          <w:lang w:bidi="he-IL"/>
        </w:rPr>
        <w:t>דכן</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מלשונו</w:t>
      </w:r>
      <w:r w:rsidRPr="00400C0B">
        <w:rPr>
          <w:rFonts w:cs="Guttman Rashi"/>
          <w:rtl/>
          <w:lang w:bidi="he-IL"/>
        </w:rPr>
        <w:t xml:space="preserve"> </w:t>
      </w:r>
      <w:r w:rsidRPr="00400C0B">
        <w:rPr>
          <w:rFonts w:cs="Guttman Rashi" w:hint="eastAsia"/>
          <w:rtl/>
          <w:lang w:bidi="he-IL"/>
        </w:rPr>
        <w:t>בסע</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בענין</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השו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דהיינו</w:t>
      </w:r>
      <w:r w:rsidRPr="00400C0B">
        <w:rPr>
          <w:rFonts w:cs="Guttman Rashi"/>
          <w:rtl/>
          <w:lang w:bidi="he-IL"/>
        </w:rPr>
        <w:t xml:space="preserve"> </w:t>
      </w:r>
      <w:r w:rsidRPr="00400C0B">
        <w:rPr>
          <w:rFonts w:cs="Guttman Rashi" w:hint="eastAsia"/>
          <w:rtl/>
          <w:lang w:bidi="he-IL"/>
        </w:rPr>
        <w:t>בדיעבד</w:t>
      </w:r>
      <w:r w:rsidRPr="00400C0B">
        <w:rPr>
          <w:rFonts w:cs="Guttman Rashi"/>
          <w:rtl/>
          <w:lang w:bidi="he-IL"/>
        </w:rPr>
        <w:t>.</w:t>
      </w:r>
    </w:p>
  </w:footnote>
  <w:footnote w:id="31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הדברי</w:t>
      </w:r>
      <w:r w:rsidRPr="00400C0B">
        <w:rPr>
          <w:rFonts w:cs="Guttman Rashi"/>
          <w:rtl/>
          <w:lang w:bidi="he-IL"/>
        </w:rPr>
        <w:t xml:space="preserve"> </w:t>
      </w:r>
      <w:r w:rsidRPr="00400C0B">
        <w:rPr>
          <w:rFonts w:cs="Guttman Rashi" w:hint="eastAsia"/>
          <w:rtl/>
          <w:lang w:bidi="he-IL"/>
        </w:rPr>
        <w:t>יציב</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חילק</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בישלו</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לחתכו</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ור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שיתכן</w:t>
      </w:r>
      <w:r w:rsidRPr="00400C0B">
        <w:rPr>
          <w:rFonts w:cs="Guttman Rashi"/>
          <w:rtl/>
          <w:lang w:bidi="he-IL"/>
        </w:rPr>
        <w:t xml:space="preserve"> </w:t>
      </w:r>
      <w:r w:rsidRPr="00400C0B">
        <w:rPr>
          <w:rFonts w:cs="Guttman Rashi" w:hint="eastAsia"/>
          <w:rtl/>
          <w:lang w:bidi="he-IL"/>
        </w:rPr>
        <w:t>שמחמירים</w:t>
      </w:r>
      <w:r w:rsidRPr="00400C0B">
        <w:rPr>
          <w:rFonts w:cs="Guttman Rashi"/>
          <w:rtl/>
          <w:lang w:bidi="he-IL"/>
        </w:rPr>
        <w:t xml:space="preserve"> </w:t>
      </w:r>
      <w:r w:rsidRPr="00400C0B">
        <w:rPr>
          <w:rFonts w:cs="Guttman Rashi" w:hint="eastAsia"/>
          <w:rtl/>
          <w:lang w:bidi="he-IL"/>
        </w:rPr>
        <w:t>בניצלו</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בדבר</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למאן</w:t>
      </w:r>
      <w:r w:rsidRPr="00400C0B">
        <w:rPr>
          <w:rFonts w:cs="Guttman Rashi"/>
          <w:rtl/>
          <w:lang w:bidi="he-IL"/>
        </w:rPr>
        <w:t xml:space="preserve"> </w:t>
      </w:r>
      <w:r w:rsidRPr="00400C0B">
        <w:rPr>
          <w:rFonts w:cs="Guttman Rashi" w:hint="eastAsia"/>
          <w:rtl/>
          <w:lang w:bidi="he-IL"/>
        </w:rPr>
        <w:t>דמחמיר</w:t>
      </w:r>
      <w:r w:rsidRPr="00400C0B">
        <w:rPr>
          <w:rFonts w:cs="Guttman Rashi"/>
          <w:rtl/>
          <w:lang w:bidi="he-IL"/>
        </w:rPr>
        <w:t xml:space="preserve"> </w:t>
      </w:r>
      <w:r w:rsidRPr="00400C0B">
        <w:rPr>
          <w:rFonts w:cs="Guttman Rashi" w:hint="eastAsia"/>
          <w:rtl/>
          <w:lang w:bidi="he-IL"/>
        </w:rPr>
        <w:t>בניצלו</w:t>
      </w:r>
      <w:r w:rsidRPr="00400C0B">
        <w:rPr>
          <w:rFonts w:cs="Guttman Rashi"/>
          <w:rtl/>
          <w:lang w:bidi="he-IL"/>
        </w:rPr>
        <w:t xml:space="preserve"> </w:t>
      </w:r>
      <w:r w:rsidRPr="00400C0B">
        <w:rPr>
          <w:rFonts w:cs="Guttman Rashi" w:hint="eastAsia"/>
          <w:rtl/>
          <w:lang w:bidi="he-IL"/>
        </w:rPr>
        <w:t>יפרש</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דחתך</w:t>
      </w:r>
      <w:r w:rsidRPr="00400C0B">
        <w:rPr>
          <w:rFonts w:cs="Guttman Rashi"/>
          <w:rtl/>
          <w:lang w:bidi="he-IL"/>
        </w:rPr>
        <w:t xml:space="preserve"> </w:t>
      </w:r>
      <w:r w:rsidRPr="00400C0B">
        <w:rPr>
          <w:rFonts w:cs="Guttman Rashi" w:hint="eastAsia"/>
          <w:rtl/>
          <w:lang w:bidi="he-IL"/>
        </w:rPr>
        <w:t>צנון</w:t>
      </w:r>
      <w:r w:rsidRPr="00400C0B">
        <w:rPr>
          <w:rFonts w:cs="Guttman Rashi"/>
          <w:rtl/>
          <w:lang w:bidi="he-IL"/>
        </w:rPr>
        <w:t xml:space="preserve"> </w:t>
      </w:r>
      <w:r w:rsidRPr="00400C0B">
        <w:rPr>
          <w:rFonts w:cs="Guttman Rashi" w:hint="eastAsia"/>
          <w:rtl/>
          <w:lang w:bidi="he-IL"/>
        </w:rPr>
        <w:t>ביש</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שמנונית</w:t>
      </w:r>
      <w:r w:rsidRPr="00400C0B">
        <w:rPr>
          <w:rFonts w:cs="Guttman Rashi"/>
          <w:rtl/>
          <w:lang w:bidi="he-IL"/>
        </w:rPr>
        <w:t xml:space="preserve">. </w:t>
      </w:r>
      <w:r w:rsidRPr="00400C0B">
        <w:rPr>
          <w:rFonts w:cs="Guttman Rashi" w:hint="eastAsia"/>
          <w:rtl/>
          <w:lang w:bidi="he-IL"/>
        </w:rPr>
        <w:t>ובאמת</w:t>
      </w:r>
      <w:r w:rsidRPr="00400C0B">
        <w:rPr>
          <w:rFonts w:cs="Guttman Rashi"/>
          <w:rtl/>
          <w:lang w:bidi="he-IL"/>
        </w:rPr>
        <w:t xml:space="preserve"> </w:t>
      </w:r>
      <w:r w:rsidRPr="00400C0B">
        <w:rPr>
          <w:rFonts w:cs="Guttman Rashi" w:hint="eastAsia"/>
          <w:rtl/>
          <w:lang w:bidi="he-IL"/>
        </w:rPr>
        <w:t>כדברינו</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מלשון</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בסי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בהדיא</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דאפילו</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יומו</w:t>
      </w:r>
      <w:r w:rsidRPr="00400C0B">
        <w:rPr>
          <w:rFonts w:cs="Guttman Rashi"/>
          <w:rtl/>
          <w:lang w:bidi="he-IL"/>
        </w:rPr>
        <w:t xml:space="preserve"> </w:t>
      </w:r>
      <w:r w:rsidRPr="00400C0B">
        <w:rPr>
          <w:rFonts w:cs="Guttman Rashi" w:hint="eastAsia"/>
          <w:rtl/>
          <w:lang w:bidi="he-IL"/>
        </w:rPr>
        <w:t>קאי</w:t>
      </w:r>
      <w:r w:rsidRPr="00400C0B">
        <w:rPr>
          <w:rFonts w:cs="Guttman Rashi"/>
          <w:rtl/>
          <w:lang w:bidi="he-IL"/>
        </w:rPr>
        <w:t xml:space="preserve"> </w:t>
      </w:r>
      <w:r w:rsidRPr="00400C0B">
        <w:rPr>
          <w:rFonts w:cs="Guttman Rashi" w:hint="eastAsia"/>
          <w:rtl/>
          <w:lang w:bidi="he-IL"/>
        </w:rPr>
        <w:t>אתבלין</w:t>
      </w:r>
      <w:r w:rsidRPr="00400C0B">
        <w:rPr>
          <w:rFonts w:cs="Guttman Rashi"/>
          <w:rtl/>
          <w:lang w:bidi="he-IL"/>
        </w:rPr>
        <w:t xml:space="preserve">. </w:t>
      </w:r>
    </w:p>
  </w:footnote>
  <w:footnote w:id="31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בא</w:t>
      </w:r>
      <w:r w:rsidRPr="00400C0B">
        <w:rPr>
          <w:rFonts w:cs="Guttman Rashi"/>
          <w:rtl/>
          <w:lang w:bidi="he-IL"/>
        </w:rPr>
        <w:t xml:space="preserve"> </w:t>
      </w:r>
      <w:r w:rsidRPr="00400C0B">
        <w:rPr>
          <w:rFonts w:cs="Guttman Rashi" w:hint="eastAsia"/>
          <w:rtl/>
          <w:lang w:bidi="he-IL"/>
        </w:rPr>
        <w:t>לפרש</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סע</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החמיר</w:t>
      </w:r>
      <w:r w:rsidRPr="00400C0B">
        <w:rPr>
          <w:rFonts w:cs="Guttman Rashi"/>
          <w:rtl/>
          <w:lang w:bidi="he-IL"/>
        </w:rPr>
        <w:t xml:space="preserve"> </w:t>
      </w:r>
      <w:r w:rsidRPr="00400C0B">
        <w:rPr>
          <w:rFonts w:cs="Guttman Rashi" w:hint="eastAsia"/>
          <w:rtl/>
          <w:lang w:bidi="he-IL"/>
        </w:rPr>
        <w:t>כסה</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דברים</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שביאר</w:t>
      </w:r>
      <w:r w:rsidRPr="00400C0B">
        <w:rPr>
          <w:rFonts w:cs="Guttman Rashi"/>
          <w:rtl/>
          <w:lang w:bidi="he-IL"/>
        </w:rPr>
        <w:t xml:space="preserve"> </w:t>
      </w:r>
      <w:r w:rsidRPr="00400C0B">
        <w:rPr>
          <w:rFonts w:cs="Guttman Rashi" w:hint="eastAsia"/>
          <w:rtl/>
          <w:lang w:bidi="he-IL"/>
        </w:rPr>
        <w:t>הדברי</w:t>
      </w:r>
      <w:r w:rsidRPr="00400C0B">
        <w:rPr>
          <w:rFonts w:cs="Guttman Rashi"/>
          <w:rtl/>
          <w:lang w:bidi="he-IL"/>
        </w:rPr>
        <w:t xml:space="preserve"> </w:t>
      </w:r>
      <w:r w:rsidRPr="00400C0B">
        <w:rPr>
          <w:rFonts w:cs="Guttman Rashi" w:hint="eastAsia"/>
          <w:rtl/>
          <w:lang w:bidi="he-IL"/>
        </w:rPr>
        <w:t>היציב</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לבאר</w:t>
      </w:r>
      <w:r w:rsidRPr="00400C0B">
        <w:rPr>
          <w:rFonts w:cs="Guttman Rashi"/>
          <w:rtl/>
          <w:lang w:bidi="he-IL"/>
        </w:rPr>
        <w:t xml:space="preserve"> </w:t>
      </w:r>
      <w:r w:rsidRPr="00400C0B">
        <w:rPr>
          <w:rFonts w:cs="Guttman Rashi" w:hint="eastAsia"/>
          <w:rtl/>
          <w:lang w:bidi="he-IL"/>
        </w:rPr>
        <w:t>שהשיטה</w:t>
      </w:r>
      <w:r w:rsidRPr="00400C0B">
        <w:rPr>
          <w:rFonts w:cs="Guttman Rashi"/>
          <w:rtl/>
          <w:lang w:bidi="he-IL"/>
        </w:rPr>
        <w:t xml:space="preserve"> </w:t>
      </w:r>
      <w:r w:rsidRPr="00400C0B">
        <w:rPr>
          <w:rFonts w:cs="Guttman Rashi" w:hint="eastAsia"/>
          <w:rtl/>
          <w:lang w:bidi="he-IL"/>
        </w:rPr>
        <w:t>המקילה</w:t>
      </w:r>
      <w:r w:rsidRPr="00400C0B">
        <w:rPr>
          <w:rFonts w:cs="Guttman Rashi"/>
          <w:rtl/>
          <w:lang w:bidi="he-IL"/>
        </w:rPr>
        <w:t xml:space="preserve"> </w:t>
      </w:r>
      <w:r w:rsidRPr="00400C0B">
        <w:rPr>
          <w:rFonts w:cs="Guttman Rashi" w:hint="eastAsia"/>
          <w:rtl/>
          <w:lang w:bidi="he-IL"/>
        </w:rPr>
        <w:t>בנ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בדבר</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לית</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לרמ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כאילו</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קולא</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דברים</w:t>
      </w:r>
      <w:r w:rsidRPr="00400C0B">
        <w:rPr>
          <w:rFonts w:cs="Guttman Rashi"/>
          <w:rtl/>
          <w:lang w:bidi="he-IL"/>
        </w:rPr>
        <w:t xml:space="preserve"> </w:t>
      </w:r>
      <w:r w:rsidRPr="00400C0B">
        <w:rPr>
          <w:rFonts w:cs="Guttman Rashi" w:hint="eastAsia"/>
          <w:rtl/>
          <w:lang w:bidi="he-IL"/>
        </w:rPr>
        <w:t>חריפים</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מצרפים</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יחיאל</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נגד</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הרבה</w:t>
      </w:r>
      <w:r w:rsidRPr="00400C0B">
        <w:rPr>
          <w:rFonts w:cs="Guttman Rashi"/>
          <w:rtl/>
          <w:lang w:bidi="he-IL"/>
        </w:rPr>
        <w:t xml:space="preserve"> </w:t>
      </w:r>
      <w:r w:rsidRPr="00400C0B">
        <w:rPr>
          <w:rFonts w:cs="Guttman Rashi" w:hint="eastAsia"/>
          <w:rtl/>
          <w:lang w:bidi="he-IL"/>
        </w:rPr>
        <w:t>ראשונים</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הביאור</w:t>
      </w:r>
      <w:r w:rsidRPr="00400C0B">
        <w:rPr>
          <w:rFonts w:cs="Guttman Rashi"/>
          <w:rtl/>
          <w:lang w:bidi="he-IL"/>
        </w:rPr>
        <w:t xml:space="preserve"> </w:t>
      </w:r>
      <w:r w:rsidRPr="00400C0B">
        <w:rPr>
          <w:rFonts w:cs="Guttman Rashi" w:hint="eastAsia"/>
          <w:rtl/>
          <w:lang w:bidi="he-IL"/>
        </w:rPr>
        <w:t>בשיטת</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שבסמוך</w:t>
      </w:r>
      <w:r w:rsidRPr="00400C0B">
        <w:rPr>
          <w:rFonts w:cs="Guttman Rashi"/>
          <w:rtl/>
          <w:lang w:bidi="he-IL"/>
        </w:rPr>
        <w:t>.</w:t>
      </w:r>
    </w:p>
  </w:footnote>
  <w:footnote w:id="31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ולקמן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w:t>
      </w:r>
      <w:r w:rsidRPr="00400C0B">
        <w:rPr>
          <w:rFonts w:cs="Guttman Rashi" w:hint="eastAsia"/>
          <w:rtl/>
          <w:lang w:bidi="he-IL"/>
        </w:rPr>
        <w:t>ה</w:t>
      </w:r>
    </w:p>
  </w:footnote>
  <w:footnote w:id="31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שבביאורים</w:t>
      </w:r>
      <w:r w:rsidRPr="00400C0B">
        <w:rPr>
          <w:rFonts w:cs="Guttman Rashi"/>
          <w:rtl/>
          <w:lang w:bidi="he-IL"/>
        </w:rPr>
        <w:t xml:space="preserve"> </w:t>
      </w:r>
      <w:r w:rsidRPr="00400C0B">
        <w:rPr>
          <w:rFonts w:cs="Guttman Rashi" w:hint="eastAsia"/>
          <w:rtl/>
          <w:lang w:bidi="he-IL"/>
        </w:rPr>
        <w:t>לבדה</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שכ</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חתכן</w:t>
      </w:r>
      <w:r w:rsidRPr="00400C0B">
        <w:rPr>
          <w:rFonts w:cs="Guttman Rashi"/>
          <w:rtl/>
          <w:lang w:bidi="he-IL"/>
        </w:rPr>
        <w:t xml:space="preserve"> </w:t>
      </w:r>
      <w:r w:rsidRPr="00400C0B">
        <w:rPr>
          <w:rFonts w:cs="Guttman Rashi" w:hint="eastAsia"/>
          <w:rtl/>
          <w:lang w:bidi="he-IL"/>
        </w:rPr>
        <w:t>שעמד</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והביא</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ביאור</w:t>
      </w:r>
      <w:r w:rsidRPr="00400C0B">
        <w:rPr>
          <w:rFonts w:cs="Guttman Rashi"/>
          <w:rtl/>
          <w:lang w:bidi="he-IL"/>
        </w:rPr>
        <w:t xml:space="preserve"> </w:t>
      </w:r>
      <w:r w:rsidRPr="00400C0B">
        <w:rPr>
          <w:rFonts w:cs="Guttman Rashi" w:hint="eastAsia"/>
          <w:rtl/>
          <w:lang w:bidi="he-IL"/>
        </w:rPr>
        <w:t>חדש</w:t>
      </w:r>
      <w:r w:rsidRPr="00400C0B">
        <w:rPr>
          <w:rFonts w:cs="Guttman Rashi"/>
          <w:rtl/>
          <w:lang w:bidi="he-IL"/>
        </w:rPr>
        <w:t xml:space="preserve"> </w:t>
      </w:r>
      <w:r w:rsidRPr="00400C0B">
        <w:rPr>
          <w:rFonts w:cs="Guttman Rashi" w:hint="eastAsia"/>
          <w:rtl/>
          <w:lang w:bidi="he-IL"/>
        </w:rPr>
        <w:t>מהיד</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הביא</w:t>
      </w:r>
      <w:r w:rsidRPr="00400C0B">
        <w:rPr>
          <w:rFonts w:cs="Guttman Rashi"/>
          <w:rtl/>
          <w:lang w:bidi="he-IL"/>
        </w:rPr>
        <w:t xml:space="preserve"> </w:t>
      </w:r>
      <w:r w:rsidRPr="00400C0B">
        <w:rPr>
          <w:rFonts w:cs="Guttman Rashi" w:hint="eastAsia"/>
          <w:rtl/>
          <w:lang w:bidi="he-IL"/>
        </w:rPr>
        <w:t>בחכמ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וערוה</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שדעתם</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לדינא</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שלדעתו</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31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ולשון</w:t>
      </w:r>
      <w:r w:rsidRPr="00400C0B">
        <w:rPr>
          <w:rFonts w:cs="Guttman Rashi"/>
          <w:rtl/>
          <w:lang w:bidi="he-IL"/>
        </w:rPr>
        <w:t xml:space="preserve"> </w:t>
      </w:r>
      <w:r w:rsidRPr="00400C0B">
        <w:rPr>
          <w:rFonts w:cs="Guttman Rashi" w:hint="eastAsia"/>
          <w:rtl/>
          <w:lang w:bidi="he-IL"/>
        </w:rPr>
        <w:t>האו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תפוחים</w:t>
      </w:r>
      <w:r w:rsidRPr="00400C0B">
        <w:rPr>
          <w:rFonts w:cs="Guttman Rashi"/>
          <w:rtl/>
          <w:lang w:bidi="he-IL"/>
        </w:rPr>
        <w:t xml:space="preserve"> '</w:t>
      </w:r>
      <w:r w:rsidRPr="00400C0B">
        <w:rPr>
          <w:rFonts w:cs="Guttman Rashi" w:hint="eastAsia"/>
          <w:rtl/>
          <w:lang w:bidi="he-IL"/>
        </w:rPr>
        <w:t>יבשים</w:t>
      </w:r>
      <w:r w:rsidRPr="00400C0B">
        <w:rPr>
          <w:rFonts w:cs="Guttman Rashi"/>
          <w:rtl/>
          <w:lang w:bidi="he-IL"/>
        </w:rPr>
        <w:t xml:space="preserve">', </w:t>
      </w:r>
      <w:r w:rsidRPr="00400C0B">
        <w:rPr>
          <w:rFonts w:cs="Guttman Rashi" w:hint="eastAsia"/>
          <w:rtl/>
          <w:lang w:bidi="he-IL"/>
        </w:rPr>
        <w:t>ולשון</w:t>
      </w:r>
      <w:r w:rsidRPr="00400C0B">
        <w:rPr>
          <w:rFonts w:cs="Guttman Rashi"/>
          <w:rtl/>
          <w:lang w:bidi="he-IL"/>
        </w:rPr>
        <w:t xml:space="preserve"> </w:t>
      </w:r>
      <w:r w:rsidRPr="00400C0B">
        <w:rPr>
          <w:rFonts w:cs="Guttman Rashi" w:hint="eastAsia"/>
          <w:rtl/>
          <w:lang w:bidi="he-IL"/>
        </w:rPr>
        <w:t>התו</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תפוחים</w:t>
      </w:r>
      <w:r w:rsidRPr="00400C0B">
        <w:rPr>
          <w:rFonts w:cs="Guttman Rashi"/>
          <w:rtl/>
          <w:lang w:bidi="he-IL"/>
        </w:rPr>
        <w:t xml:space="preserve"> </w:t>
      </w:r>
      <w:r w:rsidRPr="00400C0B">
        <w:rPr>
          <w:rFonts w:cs="Guttman Rashi" w:hint="eastAsia"/>
          <w:rtl/>
          <w:lang w:bidi="he-IL"/>
        </w:rPr>
        <w:t>סתם</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תפוחים</w:t>
      </w:r>
      <w:r w:rsidRPr="00400C0B">
        <w:rPr>
          <w:rFonts w:cs="Guttman Rashi"/>
          <w:rtl/>
          <w:lang w:bidi="he-IL"/>
        </w:rPr>
        <w:t xml:space="preserve"> </w:t>
      </w:r>
      <w:r w:rsidRPr="00400C0B">
        <w:rPr>
          <w:rFonts w:cs="Guttman Rashi" w:hint="eastAsia"/>
          <w:rtl/>
          <w:lang w:bidi="he-IL"/>
        </w:rPr>
        <w:t>מתוקים</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שהתפוחים</w:t>
      </w:r>
      <w:r w:rsidRPr="00400C0B">
        <w:rPr>
          <w:rFonts w:cs="Guttman Rashi"/>
          <w:rtl/>
          <w:lang w:bidi="he-IL"/>
        </w:rPr>
        <w:t xml:space="preserve"> </w:t>
      </w:r>
      <w:r w:rsidRPr="00400C0B">
        <w:rPr>
          <w:rFonts w:cs="Guttman Rashi" w:hint="eastAsia"/>
          <w:rtl/>
          <w:lang w:bidi="he-IL"/>
        </w:rPr>
        <w:t>שהיו</w:t>
      </w:r>
      <w:r w:rsidRPr="00400C0B">
        <w:rPr>
          <w:rFonts w:cs="Guttman Rashi"/>
          <w:rtl/>
          <w:lang w:bidi="he-IL"/>
        </w:rPr>
        <w:t xml:space="preserve"> </w:t>
      </w:r>
      <w:r w:rsidRPr="00400C0B">
        <w:rPr>
          <w:rFonts w:cs="Guttman Rashi" w:hint="eastAsia"/>
          <w:rtl/>
          <w:lang w:bidi="he-IL"/>
        </w:rPr>
        <w:t>שכיחים</w:t>
      </w:r>
      <w:r w:rsidRPr="00400C0B">
        <w:rPr>
          <w:rFonts w:cs="Guttman Rashi"/>
          <w:rtl/>
          <w:lang w:bidi="he-IL"/>
        </w:rPr>
        <w:t xml:space="preserve"> </w:t>
      </w:r>
      <w:r w:rsidRPr="00400C0B">
        <w:rPr>
          <w:rFonts w:cs="Guttman Rashi" w:hint="eastAsia"/>
          <w:rtl/>
          <w:lang w:bidi="he-IL"/>
        </w:rPr>
        <w:t>במקומו</w:t>
      </w:r>
      <w:r w:rsidRPr="00400C0B">
        <w:rPr>
          <w:rFonts w:cs="Guttman Rashi"/>
          <w:rtl/>
          <w:lang w:bidi="he-IL"/>
        </w:rPr>
        <w:t xml:space="preserve"> </w:t>
      </w:r>
      <w:r w:rsidRPr="00400C0B">
        <w:rPr>
          <w:rFonts w:cs="Guttman Rashi" w:hint="eastAsia"/>
          <w:rtl/>
          <w:lang w:bidi="he-IL"/>
        </w:rPr>
        <w:t>היו</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הסוג</w:t>
      </w:r>
      <w:r w:rsidRPr="00400C0B">
        <w:rPr>
          <w:rFonts w:cs="Guttman Rashi"/>
          <w:rtl/>
          <w:lang w:bidi="he-IL"/>
        </w:rPr>
        <w:t xml:space="preserve"> </w:t>
      </w:r>
      <w:r w:rsidRPr="00400C0B">
        <w:rPr>
          <w:rFonts w:cs="Guttman Rashi" w:hint="eastAsia"/>
          <w:rtl/>
          <w:lang w:bidi="he-IL"/>
        </w:rPr>
        <w:t>החמוצים</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שהוסיף</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אגסים</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שקוראים</w:t>
      </w:r>
      <w:r w:rsidRPr="00400C0B">
        <w:rPr>
          <w:rFonts w:cs="Guttman Rashi"/>
          <w:rtl/>
          <w:lang w:bidi="he-IL"/>
        </w:rPr>
        <w:t xml:space="preserve"> </w:t>
      </w:r>
      <w:r w:rsidRPr="00400C0B">
        <w:rPr>
          <w:rFonts w:cs="Guttman Rashi" w:hint="eastAsia"/>
          <w:rtl/>
          <w:lang w:bidi="he-IL"/>
        </w:rPr>
        <w:t>בעברית</w:t>
      </w:r>
      <w:r w:rsidRPr="00400C0B">
        <w:rPr>
          <w:rFonts w:cs="Guttman Rashi"/>
          <w:rtl/>
          <w:lang w:bidi="he-IL"/>
        </w:rPr>
        <w:t xml:space="preserve"> </w:t>
      </w:r>
      <w:r w:rsidRPr="00400C0B">
        <w:rPr>
          <w:rFonts w:cs="Guttman Rashi" w:hint="eastAsia"/>
          <w:rtl/>
          <w:lang w:bidi="he-IL"/>
        </w:rPr>
        <w:t>אגס</w:t>
      </w:r>
      <w:r w:rsidRPr="00400C0B">
        <w:rPr>
          <w:rFonts w:cs="Guttman Rashi"/>
          <w:rtl/>
          <w:lang w:bidi="he-IL"/>
        </w:rPr>
        <w:t xml:space="preserve"> (</w:t>
      </w:r>
      <w:r w:rsidRPr="00400C0B">
        <w:rPr>
          <w:rFonts w:cs="Guttman Rashi"/>
          <w:lang w:bidi="he-IL"/>
        </w:rPr>
        <w:t>pear</w:t>
      </w:r>
      <w:r w:rsidRPr="00400C0B">
        <w:rPr>
          <w:rFonts w:cs="Guttman Rashi"/>
          <w:rtl/>
          <w:lang w:bidi="he-IL"/>
        </w:rPr>
        <w:t xml:space="preserve"> </w:t>
      </w:r>
      <w:r w:rsidRPr="00400C0B">
        <w:rPr>
          <w:rFonts w:cs="Guttman Rashi" w:hint="eastAsia"/>
          <w:rtl/>
          <w:lang w:bidi="he-IL"/>
        </w:rPr>
        <w:t>בלע</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ידוע</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הסוג</w:t>
      </w:r>
      <w:r w:rsidRPr="00400C0B">
        <w:rPr>
          <w:rFonts w:cs="Guttman Rashi"/>
          <w:rtl/>
          <w:lang w:bidi="he-IL"/>
        </w:rPr>
        <w:t xml:space="preserve"> </w:t>
      </w:r>
      <w:r w:rsidRPr="00400C0B">
        <w:rPr>
          <w:rFonts w:cs="Guttman Rashi" w:hint="eastAsia"/>
          <w:rtl/>
          <w:lang w:bidi="he-IL"/>
        </w:rPr>
        <w:t>החמוץ</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p>
  </w:footnote>
  <w:footnote w:id="31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שיתכן</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להתיר</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במקום</w:t>
      </w:r>
      <w:r w:rsidRPr="00400C0B">
        <w:rPr>
          <w:rFonts w:cs="Guttman Rashi"/>
          <w:rtl/>
          <w:lang w:bidi="he-IL"/>
        </w:rPr>
        <w:t xml:space="preserve"> </w:t>
      </w:r>
      <w:r w:rsidRPr="00400C0B">
        <w:rPr>
          <w:rFonts w:cs="Guttman Rashi" w:hint="eastAsia"/>
          <w:rtl/>
          <w:lang w:bidi="he-IL"/>
        </w:rPr>
        <w:t>הפסד</w:t>
      </w:r>
      <w:r w:rsidRPr="00400C0B">
        <w:rPr>
          <w:rFonts w:cs="Guttman Rashi"/>
          <w:rtl/>
          <w:lang w:bidi="he-IL"/>
        </w:rPr>
        <w:t xml:space="preserve"> </w:t>
      </w:r>
      <w:r w:rsidRPr="00400C0B">
        <w:rPr>
          <w:rFonts w:cs="Guttman Rashi" w:hint="eastAsia"/>
          <w:rtl/>
          <w:lang w:bidi="he-IL"/>
        </w:rPr>
        <w:t>קצת</w:t>
      </w:r>
    </w:p>
  </w:footnote>
  <w:footnote w:id="31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והנה</w:t>
      </w:r>
      <w:r w:rsidRPr="00400C0B">
        <w:rPr>
          <w:rFonts w:cs="Guttman Rashi"/>
          <w:rtl/>
          <w:lang w:bidi="he-IL"/>
        </w:rPr>
        <w:t xml:space="preserve"> </w:t>
      </w:r>
      <w:r w:rsidRPr="00400C0B">
        <w:rPr>
          <w:rFonts w:cs="Guttman Rashi" w:hint="eastAsia"/>
          <w:rtl/>
          <w:lang w:bidi="he-IL"/>
        </w:rPr>
        <w:t>ז</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המש</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ממי</w:t>
      </w:r>
      <w:r w:rsidRPr="00400C0B">
        <w:rPr>
          <w:rFonts w:cs="Guttman Rashi"/>
          <w:rtl/>
          <w:lang w:bidi="he-IL"/>
        </w:rPr>
        <w:t xml:space="preserve"> </w:t>
      </w:r>
      <w:r w:rsidRPr="00400C0B">
        <w:rPr>
          <w:rFonts w:cs="Guttman Rashi" w:hint="eastAsia"/>
          <w:rtl/>
          <w:lang w:bidi="he-IL"/>
        </w:rPr>
        <w:t>סובין</w:t>
      </w:r>
      <w:r w:rsidRPr="00400C0B">
        <w:rPr>
          <w:rFonts w:cs="Guttman Rashi"/>
          <w:rtl/>
          <w:lang w:bidi="he-IL"/>
        </w:rPr>
        <w:t xml:space="preserve"> </w:t>
      </w:r>
      <w:r w:rsidRPr="00400C0B">
        <w:rPr>
          <w:rFonts w:cs="Guttman Rashi" w:hint="eastAsia"/>
          <w:rtl/>
          <w:lang w:bidi="he-IL"/>
        </w:rPr>
        <w:t>בבית</w:t>
      </w:r>
      <w:r w:rsidRPr="00400C0B">
        <w:rPr>
          <w:rFonts w:cs="Guttman Rashi"/>
          <w:rtl/>
          <w:lang w:bidi="he-IL"/>
        </w:rPr>
        <w:t xml:space="preserve"> </w:t>
      </w:r>
      <w:r w:rsidRPr="00400C0B">
        <w:rPr>
          <w:rFonts w:cs="Guttman Rashi" w:hint="eastAsia"/>
          <w:rtl/>
          <w:lang w:bidi="he-IL"/>
        </w:rPr>
        <w:t>הילל</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מחומץ</w:t>
      </w:r>
      <w:r w:rsidRPr="00400C0B">
        <w:rPr>
          <w:rFonts w:cs="Guttman Rashi"/>
          <w:rtl/>
          <w:lang w:bidi="he-IL"/>
        </w:rPr>
        <w:t xml:space="preserve"> </w:t>
      </w:r>
      <w:r w:rsidRPr="00400C0B">
        <w:rPr>
          <w:rFonts w:cs="Guttman Rashi" w:hint="eastAsia"/>
          <w:rtl/>
          <w:lang w:bidi="he-IL"/>
        </w:rPr>
        <w:t>הרבה</w:t>
      </w:r>
      <w:r w:rsidRPr="00400C0B">
        <w:rPr>
          <w:rFonts w:cs="Guttman Rashi"/>
          <w:rtl/>
          <w:lang w:bidi="he-IL"/>
        </w:rPr>
        <w:t xml:space="preserve"> </w:t>
      </w:r>
      <w:r w:rsidRPr="00400C0B">
        <w:rPr>
          <w:rFonts w:cs="Guttman Rashi" w:hint="eastAsia"/>
          <w:rtl/>
          <w:lang w:bidi="he-IL"/>
        </w:rPr>
        <w:t>דוקא</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יכולין</w:t>
      </w:r>
      <w:r w:rsidRPr="00400C0B">
        <w:rPr>
          <w:rFonts w:cs="Guttman Rashi"/>
          <w:rtl/>
          <w:lang w:bidi="he-IL"/>
        </w:rPr>
        <w:t xml:space="preserve"> </w:t>
      </w:r>
      <w:r w:rsidRPr="00400C0B">
        <w:rPr>
          <w:rFonts w:cs="Guttman Rashi" w:hint="eastAsia"/>
          <w:rtl/>
          <w:lang w:bidi="he-IL"/>
        </w:rPr>
        <w:t>לשתותו</w:t>
      </w:r>
      <w:r w:rsidRPr="00400C0B">
        <w:rPr>
          <w:rFonts w:cs="Guttman Rashi"/>
          <w:rtl/>
          <w:lang w:bidi="he-IL"/>
        </w:rPr>
        <w:t xml:space="preserve"> </w:t>
      </w:r>
      <w:r w:rsidRPr="00400C0B">
        <w:rPr>
          <w:rFonts w:cs="Guttman Rashi" w:hint="eastAsia"/>
          <w:rtl/>
          <w:lang w:bidi="he-IL"/>
        </w:rPr>
        <w:t>חי</w:t>
      </w:r>
      <w:r w:rsidRPr="00400C0B">
        <w:rPr>
          <w:rFonts w:cs="Guttman Rashi"/>
          <w:rtl/>
          <w:lang w:bidi="he-IL"/>
        </w:rPr>
        <w:t xml:space="preserve"> </w:t>
      </w:r>
      <w:r w:rsidRPr="00400C0B">
        <w:rPr>
          <w:rFonts w:cs="Guttman Rashi" w:hint="eastAsia"/>
          <w:rtl/>
          <w:lang w:bidi="he-IL"/>
        </w:rPr>
        <w:t>חשיב</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יע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ויראה</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דאם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כפירות</w:t>
      </w:r>
      <w:r w:rsidRPr="00400C0B">
        <w:rPr>
          <w:rFonts w:cs="Guttman Rashi"/>
          <w:rtl/>
          <w:lang w:bidi="he-IL"/>
        </w:rPr>
        <w:t xml:space="preserve"> </w:t>
      </w:r>
      <w:r w:rsidRPr="00400C0B">
        <w:rPr>
          <w:rFonts w:cs="Guttman Rashi" w:hint="eastAsia"/>
          <w:rtl/>
          <w:lang w:bidi="he-IL"/>
        </w:rPr>
        <w:t>חמוצים</w:t>
      </w:r>
      <w:r w:rsidRPr="00400C0B">
        <w:rPr>
          <w:rFonts w:cs="Guttman Rashi"/>
          <w:rtl/>
          <w:lang w:bidi="he-IL"/>
        </w:rPr>
        <w:t xml:space="preserve"> </w:t>
      </w:r>
      <w:r w:rsidRPr="00400C0B">
        <w:rPr>
          <w:rFonts w:cs="Guttman Rashi" w:hint="eastAsia"/>
          <w:rtl/>
          <w:lang w:bidi="he-IL"/>
        </w:rPr>
        <w:t>דמי</w:t>
      </w:r>
      <w:r w:rsidRPr="00400C0B">
        <w:rPr>
          <w:rFonts w:cs="Guttman Rashi"/>
          <w:rtl/>
          <w:lang w:bidi="he-IL"/>
        </w:rPr>
        <w:t xml:space="preserve"> </w:t>
      </w:r>
      <w:r w:rsidRPr="00400C0B">
        <w:rPr>
          <w:rFonts w:cs="Guttman Rashi" w:hint="eastAsia"/>
          <w:rtl/>
          <w:lang w:bidi="he-IL"/>
        </w:rPr>
        <w:t>ובמקום</w:t>
      </w:r>
      <w:r w:rsidRPr="00400C0B">
        <w:rPr>
          <w:rFonts w:cs="Guttman Rashi"/>
          <w:rtl/>
          <w:lang w:bidi="he-IL"/>
        </w:rPr>
        <w:t xml:space="preserve"> </w:t>
      </w:r>
      <w:r w:rsidRPr="00400C0B">
        <w:rPr>
          <w:rFonts w:cs="Guttman Rashi" w:hint="eastAsia"/>
          <w:rtl/>
          <w:lang w:bidi="he-IL"/>
        </w:rPr>
        <w:t>הפסד</w:t>
      </w:r>
      <w:r w:rsidRPr="00400C0B">
        <w:rPr>
          <w:rFonts w:cs="Guttman Rashi"/>
          <w:rtl/>
          <w:lang w:bidi="he-IL"/>
        </w:rPr>
        <w:t xml:space="preserve"> </w:t>
      </w:r>
      <w:r w:rsidRPr="00400C0B">
        <w:rPr>
          <w:rFonts w:cs="Guttman Rashi" w:hint="eastAsia"/>
          <w:rtl/>
          <w:lang w:bidi="he-IL"/>
        </w:rPr>
        <w:t>שרי</w:t>
      </w:r>
      <w:r w:rsidRPr="00400C0B">
        <w:rPr>
          <w:rFonts w:cs="Guttman Rashi"/>
          <w:rtl/>
          <w:lang w:bidi="he-IL"/>
        </w:rPr>
        <w:t xml:space="preserve"> </w:t>
      </w:r>
      <w:r w:rsidRPr="00400C0B">
        <w:rPr>
          <w:rFonts w:cs="Guttman Rashi" w:hint="eastAsia"/>
          <w:rtl/>
          <w:lang w:bidi="he-IL"/>
        </w:rPr>
        <w:t>ובאין</w:t>
      </w:r>
      <w:r w:rsidRPr="00400C0B">
        <w:rPr>
          <w:rFonts w:cs="Guttman Rashi"/>
          <w:rtl/>
          <w:lang w:bidi="he-IL"/>
        </w:rPr>
        <w:t xml:space="preserve"> </w:t>
      </w:r>
      <w:r w:rsidRPr="00400C0B">
        <w:rPr>
          <w:rFonts w:cs="Guttman Rashi" w:hint="eastAsia"/>
          <w:rtl/>
          <w:lang w:bidi="he-IL"/>
        </w:rPr>
        <w:t>ראוי</w:t>
      </w:r>
      <w:r w:rsidRPr="00400C0B">
        <w:rPr>
          <w:rFonts w:cs="Guttman Rashi"/>
          <w:rtl/>
          <w:lang w:bidi="he-IL"/>
        </w:rPr>
        <w:t xml:space="preserve"> </w:t>
      </w:r>
      <w:r w:rsidRPr="00400C0B">
        <w:rPr>
          <w:rFonts w:cs="Guttman Rashi" w:hint="eastAsia"/>
          <w:rtl/>
          <w:lang w:bidi="he-IL"/>
        </w:rPr>
        <w:t>לשתות</w:t>
      </w:r>
      <w:r w:rsidRPr="00400C0B">
        <w:rPr>
          <w:rFonts w:cs="Guttman Rashi"/>
          <w:rtl/>
          <w:lang w:bidi="he-IL"/>
        </w:rPr>
        <w:t xml:space="preserve"> </w:t>
      </w:r>
      <w:r w:rsidRPr="00400C0B">
        <w:rPr>
          <w:rFonts w:cs="Guttman Rashi" w:hint="eastAsia"/>
          <w:rtl/>
          <w:lang w:bidi="he-IL"/>
        </w:rPr>
        <w:t>חי</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לצנון</w:t>
      </w:r>
      <w:r w:rsidRPr="00400C0B">
        <w:rPr>
          <w:rFonts w:cs="Guttman Rashi"/>
          <w:rtl/>
          <w:lang w:bidi="he-IL"/>
        </w:rPr>
        <w:t xml:space="preserve"> </w:t>
      </w:r>
      <w:r w:rsidRPr="00400C0B">
        <w:rPr>
          <w:rFonts w:cs="Guttman Rashi" w:hint="eastAsia"/>
          <w:rtl/>
          <w:lang w:bidi="he-IL"/>
        </w:rPr>
        <w:t>דמי</w:t>
      </w:r>
      <w:r w:rsidRPr="00400C0B">
        <w:rPr>
          <w:rFonts w:cs="Guttman Rashi"/>
          <w:rtl/>
          <w:lang w:bidi="he-IL"/>
        </w:rPr>
        <w:t xml:space="preserve"> </w:t>
      </w:r>
      <w:r w:rsidRPr="00400C0B">
        <w:rPr>
          <w:rFonts w:cs="Guttman Rashi" w:hint="eastAsia"/>
          <w:rtl/>
          <w:lang w:bidi="he-IL"/>
        </w:rPr>
        <w:t>והט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לפירות</w:t>
      </w:r>
      <w:r w:rsidRPr="00400C0B">
        <w:rPr>
          <w:rFonts w:cs="Guttman Rashi"/>
          <w:rtl/>
          <w:lang w:bidi="he-IL"/>
        </w:rPr>
        <w:t xml:space="preserve"> </w:t>
      </w:r>
      <w:r w:rsidRPr="00400C0B">
        <w:rPr>
          <w:rFonts w:cs="Guttman Rashi" w:hint="eastAsia"/>
          <w:rtl/>
          <w:lang w:bidi="he-IL"/>
        </w:rPr>
        <w:t>חמוצים</w:t>
      </w:r>
      <w:r w:rsidRPr="00400C0B">
        <w:rPr>
          <w:rFonts w:cs="Guttman Rashi"/>
          <w:rtl/>
          <w:lang w:bidi="he-IL"/>
        </w:rPr>
        <w:t xml:space="preserve"> </w:t>
      </w:r>
      <w:r w:rsidRPr="00400C0B">
        <w:rPr>
          <w:rFonts w:cs="Guttman Rashi" w:hint="eastAsia"/>
          <w:rtl/>
          <w:lang w:bidi="he-IL"/>
        </w:rPr>
        <w:t>מדמה</w:t>
      </w:r>
      <w:r w:rsidRPr="00400C0B">
        <w:rPr>
          <w:rFonts w:cs="Guttman Rashi"/>
          <w:rtl/>
          <w:lang w:bidi="he-IL"/>
        </w:rPr>
        <w:t xml:space="preserve"> </w:t>
      </w:r>
      <w:r w:rsidRPr="00400C0B">
        <w:rPr>
          <w:rFonts w:cs="Guttman Rashi" w:hint="eastAsia"/>
          <w:rtl/>
          <w:lang w:bidi="he-IL"/>
        </w:rPr>
        <w:t>והכין</w:t>
      </w:r>
      <w:r w:rsidRPr="00400C0B">
        <w:rPr>
          <w:rFonts w:cs="Guttman Rashi"/>
          <w:rtl/>
          <w:lang w:bidi="he-IL"/>
        </w:rPr>
        <w:t xml:space="preserve"> </w:t>
      </w:r>
      <w:r w:rsidRPr="00400C0B">
        <w:rPr>
          <w:rFonts w:cs="Guttman Rashi" w:hint="eastAsia"/>
          <w:rtl/>
          <w:lang w:bidi="he-IL"/>
        </w:rPr>
        <w:t>מסתבר</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מחלוקת</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הבית</w:t>
      </w:r>
      <w:r w:rsidRPr="00400C0B">
        <w:rPr>
          <w:rFonts w:cs="Guttman Rashi"/>
          <w:rtl/>
          <w:lang w:bidi="he-IL"/>
        </w:rPr>
        <w:t xml:space="preserve"> </w:t>
      </w:r>
      <w:r w:rsidRPr="00400C0B">
        <w:rPr>
          <w:rFonts w:cs="Guttman Rashi" w:hint="eastAsia"/>
          <w:rtl/>
          <w:lang w:bidi="he-IL"/>
        </w:rPr>
        <w:t>הלל</w:t>
      </w:r>
      <w:r w:rsidRPr="00400C0B">
        <w:rPr>
          <w:rFonts w:cs="Guttman Rashi"/>
          <w:rtl/>
          <w:lang w:bidi="he-IL"/>
        </w:rPr>
        <w:t xml:space="preserve"> </w:t>
      </w:r>
      <w:r w:rsidRPr="00400C0B">
        <w:rPr>
          <w:rFonts w:cs="Guttman Rashi" w:hint="eastAsia"/>
          <w:rtl/>
          <w:lang w:bidi="he-IL"/>
        </w:rPr>
        <w:t>והט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בארש</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ראוי</w:t>
      </w:r>
      <w:r w:rsidRPr="00400C0B">
        <w:rPr>
          <w:rFonts w:cs="Guttman Rashi"/>
          <w:rtl/>
          <w:lang w:bidi="he-IL"/>
        </w:rPr>
        <w:t xml:space="preserve"> </w:t>
      </w:r>
      <w:r w:rsidRPr="00400C0B">
        <w:rPr>
          <w:rFonts w:cs="Guttman Rashi" w:hint="eastAsia"/>
          <w:rtl/>
          <w:lang w:bidi="he-IL"/>
        </w:rPr>
        <w:t>לשתותו</w:t>
      </w:r>
      <w:r w:rsidRPr="00400C0B">
        <w:rPr>
          <w:rFonts w:cs="Guttman Rashi"/>
          <w:rtl/>
          <w:lang w:bidi="he-IL"/>
        </w:rPr>
        <w:t xml:space="preserve"> </w:t>
      </w:r>
      <w:r w:rsidRPr="00400C0B">
        <w:rPr>
          <w:rFonts w:cs="Guttman Rashi" w:hint="eastAsia"/>
          <w:rtl/>
          <w:lang w:bidi="he-IL"/>
        </w:rPr>
        <w:t>חי</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כדבר</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גמור</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צנון</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פירות</w:t>
      </w:r>
      <w:r w:rsidRPr="00400C0B">
        <w:rPr>
          <w:rFonts w:cs="Guttman Rashi"/>
          <w:rtl/>
          <w:lang w:bidi="he-IL"/>
        </w:rPr>
        <w:t xml:space="preserve"> </w:t>
      </w:r>
      <w:r w:rsidRPr="00400C0B">
        <w:rPr>
          <w:rFonts w:cs="Guttman Rashi" w:hint="eastAsia"/>
          <w:rtl/>
          <w:lang w:bidi="he-IL"/>
        </w:rPr>
        <w:t>חמוצין</w:t>
      </w:r>
      <w:r w:rsidRPr="00400C0B">
        <w:rPr>
          <w:rFonts w:cs="Guttman Rashi"/>
          <w:rtl/>
          <w:lang w:bidi="he-IL"/>
        </w:rPr>
        <w:t xml:space="preserve">, </w:t>
      </w:r>
      <w:r w:rsidRPr="00400C0B">
        <w:rPr>
          <w:rFonts w:cs="Guttman Rashi" w:hint="eastAsia"/>
          <w:rtl/>
          <w:lang w:bidi="he-IL"/>
        </w:rPr>
        <w:t>שהבית</w:t>
      </w:r>
      <w:r w:rsidRPr="00400C0B">
        <w:rPr>
          <w:rFonts w:cs="Guttman Rashi"/>
          <w:rtl/>
          <w:lang w:bidi="he-IL"/>
        </w:rPr>
        <w:t xml:space="preserve"> </w:t>
      </w:r>
      <w:r w:rsidRPr="00400C0B">
        <w:rPr>
          <w:rFonts w:cs="Guttman Rashi" w:hint="eastAsia"/>
          <w:rtl/>
          <w:lang w:bidi="he-IL"/>
        </w:rPr>
        <w:t>הלל</w:t>
      </w:r>
      <w:r w:rsidRPr="00400C0B">
        <w:rPr>
          <w:rFonts w:cs="Guttman Rashi"/>
          <w:rtl/>
          <w:lang w:bidi="he-IL"/>
        </w:rPr>
        <w:t xml:space="preserve"> </w:t>
      </w:r>
      <w:r w:rsidRPr="00400C0B">
        <w:rPr>
          <w:rFonts w:cs="Guttman Rashi" w:hint="eastAsia"/>
          <w:rtl/>
          <w:lang w:bidi="he-IL"/>
        </w:rPr>
        <w:t>מחמיר</w:t>
      </w:r>
      <w:r w:rsidRPr="00400C0B">
        <w:rPr>
          <w:rFonts w:cs="Guttman Rashi"/>
          <w:rtl/>
          <w:lang w:bidi="he-IL"/>
        </w:rPr>
        <w:t xml:space="preserve"> </w:t>
      </w:r>
      <w:r w:rsidRPr="00400C0B">
        <w:rPr>
          <w:rFonts w:cs="Guttman Rashi" w:hint="eastAsia"/>
          <w:rtl/>
          <w:lang w:bidi="he-IL"/>
        </w:rPr>
        <w:t>והט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מיקל</w:t>
      </w:r>
      <w:r w:rsidRPr="00400C0B">
        <w:rPr>
          <w:rFonts w:cs="Guttman Rashi"/>
          <w:rtl/>
          <w:lang w:bidi="he-IL"/>
        </w:rPr>
        <w:t xml:space="preserve">. </w:t>
      </w:r>
      <w:r w:rsidRPr="00400C0B">
        <w:rPr>
          <w:rFonts w:cs="Guttman Rashi" w:hint="eastAsia"/>
          <w:rtl/>
          <w:lang w:bidi="he-IL"/>
        </w:rPr>
        <w:t>ובאינו</w:t>
      </w:r>
      <w:r w:rsidRPr="00400C0B">
        <w:rPr>
          <w:rFonts w:cs="Guttman Rashi"/>
          <w:rtl/>
          <w:lang w:bidi="he-IL"/>
        </w:rPr>
        <w:t xml:space="preserve"> </w:t>
      </w:r>
      <w:r w:rsidRPr="00400C0B">
        <w:rPr>
          <w:rFonts w:cs="Guttman Rashi" w:hint="eastAsia"/>
          <w:rtl/>
          <w:lang w:bidi="he-IL"/>
        </w:rPr>
        <w:t>חריף</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לכו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מיקל</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מהו</w:t>
      </w:r>
      <w:r w:rsidRPr="00400C0B">
        <w:rPr>
          <w:rFonts w:cs="Guttman Rashi"/>
          <w:rtl/>
          <w:lang w:bidi="he-IL"/>
        </w:rPr>
        <w:t xml:space="preserve"> </w:t>
      </w:r>
      <w:r w:rsidRPr="00400C0B">
        <w:rPr>
          <w:rFonts w:cs="Guttman Rashi" w:hint="eastAsia"/>
          <w:rtl/>
          <w:lang w:bidi="he-IL"/>
        </w:rPr>
        <w:t>החילוק</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בארש</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נאכל</w:t>
      </w:r>
      <w:r w:rsidRPr="00400C0B">
        <w:rPr>
          <w:rFonts w:cs="Guttman Rashi"/>
          <w:rtl/>
          <w:lang w:bidi="he-IL"/>
        </w:rPr>
        <w:t xml:space="preserve"> </w:t>
      </w:r>
      <w:r w:rsidRPr="00400C0B">
        <w:rPr>
          <w:rFonts w:cs="Guttman Rashi" w:hint="eastAsia"/>
          <w:rtl/>
          <w:lang w:bidi="he-IL"/>
        </w:rPr>
        <w:t>חי</w:t>
      </w:r>
      <w:r w:rsidRPr="00400C0B">
        <w:rPr>
          <w:rFonts w:cs="Guttman Rashi"/>
          <w:rtl/>
          <w:lang w:bidi="he-IL"/>
        </w:rPr>
        <w:t xml:space="preserve"> </w:t>
      </w:r>
      <w:r w:rsidRPr="00400C0B">
        <w:rPr>
          <w:rFonts w:cs="Guttman Rashi" w:hint="eastAsia"/>
          <w:rtl/>
          <w:lang w:bidi="he-IL"/>
        </w:rPr>
        <w:t>לצנון</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שנאכל</w:t>
      </w:r>
      <w:r w:rsidRPr="00400C0B">
        <w:rPr>
          <w:rFonts w:cs="Guttman Rashi"/>
          <w:rtl/>
          <w:lang w:bidi="he-IL"/>
        </w:rPr>
        <w:t xml:space="preserve"> </w:t>
      </w:r>
      <w:r w:rsidRPr="00400C0B">
        <w:rPr>
          <w:rFonts w:cs="Guttman Rashi" w:hint="eastAsia"/>
          <w:rtl/>
          <w:lang w:bidi="he-IL"/>
        </w:rPr>
        <w:t>עכ</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קצת</w:t>
      </w:r>
      <w:r w:rsidRPr="00400C0B">
        <w:rPr>
          <w:rFonts w:cs="Guttman Rashi"/>
          <w:rtl/>
          <w:lang w:bidi="he-IL"/>
        </w:rPr>
        <w:t xml:space="preserve"> </w:t>
      </w:r>
      <w:r w:rsidRPr="00400C0B">
        <w:rPr>
          <w:rFonts w:cs="Guttman Rashi" w:hint="eastAsia"/>
          <w:rtl/>
          <w:lang w:bidi="he-IL"/>
        </w:rPr>
        <w:t>חי</w:t>
      </w:r>
      <w:r w:rsidRPr="00400C0B">
        <w:rPr>
          <w:rFonts w:cs="Guttman Rashi"/>
          <w:rtl/>
          <w:lang w:bidi="he-IL"/>
        </w:rPr>
        <w:t xml:space="preserve"> </w:t>
      </w:r>
      <w:r w:rsidRPr="00400C0B">
        <w:rPr>
          <w:rFonts w:cs="Guttman Rashi" w:hint="eastAsia"/>
          <w:rtl/>
          <w:lang w:bidi="he-IL"/>
        </w:rPr>
        <w:t>משא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בצנון</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מקור</w:t>
      </w:r>
      <w:r w:rsidRPr="00400C0B">
        <w:rPr>
          <w:rFonts w:cs="Guttman Rashi"/>
          <w:rtl/>
          <w:lang w:bidi="he-IL"/>
        </w:rPr>
        <w:t xml:space="preserve"> </w:t>
      </w:r>
      <w:r w:rsidRPr="00400C0B">
        <w:rPr>
          <w:rFonts w:cs="Guttman Rashi" w:hint="eastAsia"/>
          <w:rtl/>
          <w:lang w:bidi="he-IL"/>
        </w:rPr>
        <w:t>לדברי</w:t>
      </w:r>
      <w:r w:rsidRPr="00400C0B">
        <w:rPr>
          <w:rFonts w:cs="Guttman Rashi"/>
          <w:rtl/>
          <w:lang w:bidi="he-IL"/>
        </w:rPr>
        <w:t xml:space="preserve"> </w:t>
      </w:r>
      <w:r w:rsidRPr="00400C0B">
        <w:rPr>
          <w:rFonts w:cs="Guttman Rashi" w:hint="eastAsia"/>
          <w:rtl/>
          <w:lang w:bidi="he-IL"/>
        </w:rPr>
        <w:t>המגי</w:t>
      </w:r>
      <w:r w:rsidRPr="00400C0B">
        <w:rPr>
          <w:rFonts w:cs="Guttman Rashi"/>
          <w:rtl/>
          <w:lang w:bidi="he-IL"/>
        </w:rPr>
        <w:t>"</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וצריכים</w:t>
      </w:r>
      <w:r w:rsidRPr="00400C0B">
        <w:rPr>
          <w:rFonts w:cs="Guttman Rashi"/>
          <w:rtl/>
          <w:lang w:bidi="he-IL"/>
        </w:rPr>
        <w:t xml:space="preserve"> </w:t>
      </w:r>
      <w:r w:rsidRPr="00400C0B">
        <w:rPr>
          <w:rFonts w:cs="Guttman Rashi" w:hint="eastAsia"/>
          <w:rtl/>
          <w:lang w:bidi="he-IL"/>
        </w:rPr>
        <w:t>לדעת</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נכון</w:t>
      </w:r>
      <w:r w:rsidRPr="00400C0B">
        <w:rPr>
          <w:rFonts w:cs="Guttman Rashi"/>
          <w:rtl/>
          <w:lang w:bidi="he-IL"/>
        </w:rPr>
        <w:t xml:space="preserve"> </w:t>
      </w:r>
      <w:r w:rsidRPr="00400C0B">
        <w:rPr>
          <w:rFonts w:cs="Guttman Rashi" w:hint="eastAsia"/>
          <w:rtl/>
          <w:lang w:bidi="he-IL"/>
        </w:rPr>
        <w:t>במציאות</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זהו</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היישוב</w:t>
      </w:r>
      <w:r w:rsidRPr="00400C0B">
        <w:rPr>
          <w:rFonts w:cs="Guttman Rashi"/>
          <w:rtl/>
          <w:lang w:bidi="he-IL"/>
        </w:rPr>
        <w:t xml:space="preserve"> </w:t>
      </w:r>
      <w:r w:rsidRPr="00400C0B">
        <w:rPr>
          <w:rFonts w:cs="Guttman Rashi" w:hint="eastAsia"/>
          <w:rtl/>
          <w:lang w:bidi="he-IL"/>
        </w:rPr>
        <w:t>הנכון</w:t>
      </w:r>
      <w:r w:rsidRPr="00400C0B">
        <w:rPr>
          <w:rFonts w:cs="Guttman Rashi"/>
          <w:rtl/>
          <w:lang w:bidi="he-IL"/>
        </w:rPr>
        <w:t xml:space="preserve"> </w:t>
      </w:r>
      <w:r w:rsidRPr="00400C0B">
        <w:rPr>
          <w:rFonts w:cs="Guttman Rashi" w:hint="eastAsia"/>
          <w:rtl/>
          <w:lang w:bidi="he-IL"/>
        </w:rPr>
        <w:t>בדעת</w:t>
      </w:r>
      <w:r w:rsidRPr="00400C0B">
        <w:rPr>
          <w:rFonts w:cs="Guttman Rashi"/>
          <w:rtl/>
          <w:lang w:bidi="he-IL"/>
        </w:rPr>
        <w:t xml:space="preserve"> </w:t>
      </w:r>
      <w:r w:rsidRPr="00400C0B">
        <w:rPr>
          <w:rFonts w:cs="Guttman Rashi" w:hint="eastAsia"/>
          <w:rtl/>
          <w:lang w:bidi="he-IL"/>
        </w:rPr>
        <w:t>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איני</w:t>
      </w:r>
      <w:r w:rsidRPr="00400C0B">
        <w:rPr>
          <w:rFonts w:cs="Guttman Rashi"/>
          <w:rtl/>
          <w:lang w:bidi="he-IL"/>
        </w:rPr>
        <w:t xml:space="preserve"> </w:t>
      </w:r>
      <w:r w:rsidRPr="00400C0B">
        <w:rPr>
          <w:rFonts w:cs="Guttman Rashi" w:hint="eastAsia"/>
          <w:rtl/>
          <w:lang w:bidi="he-IL"/>
        </w:rPr>
        <w:t>ברור</w:t>
      </w:r>
      <w:r w:rsidRPr="00400C0B">
        <w:rPr>
          <w:rFonts w:cs="Guttman Rashi"/>
          <w:rtl/>
          <w:lang w:bidi="he-IL"/>
        </w:rPr>
        <w:t xml:space="preserve"> </w:t>
      </w:r>
      <w:r w:rsidRPr="00400C0B">
        <w:rPr>
          <w:rFonts w:cs="Guttman Rashi" w:hint="eastAsia"/>
          <w:rtl/>
          <w:lang w:bidi="he-IL"/>
        </w:rPr>
        <w:t>שזהו</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המש</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32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בשפ</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w:t>
      </w:r>
    </w:p>
  </w:footnote>
  <w:footnote w:id="32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פי</w:t>
      </w:r>
      <w:r w:rsidRPr="00400C0B">
        <w:rPr>
          <w:rFonts w:cs="Guttman Rashi"/>
          <w:rtl/>
          <w:lang w:bidi="he-IL"/>
        </w:rPr>
        <w:t xml:space="preserve">' –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שהוראת</w:t>
      </w:r>
      <w:r w:rsidRPr="00400C0B">
        <w:rPr>
          <w:rFonts w:cs="Guttman Rashi"/>
          <w:rtl/>
          <w:lang w:bidi="he-IL"/>
        </w:rPr>
        <w:t xml:space="preserve"> </w:t>
      </w:r>
      <w:r w:rsidRPr="00400C0B">
        <w:rPr>
          <w:rFonts w:cs="Guttman Rashi" w:hint="eastAsia"/>
          <w:rtl/>
          <w:lang w:bidi="he-IL"/>
        </w:rPr>
        <w:t>החוו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מוכרח</w:t>
      </w:r>
      <w:r w:rsidRPr="00400C0B">
        <w:rPr>
          <w:rFonts w:cs="Guttman Rashi"/>
          <w:rtl/>
          <w:lang w:bidi="he-IL"/>
        </w:rPr>
        <w:t xml:space="preserve"> </w:t>
      </w:r>
      <w:r w:rsidRPr="00400C0B">
        <w:rPr>
          <w:rFonts w:cs="Guttman Rashi" w:hint="eastAsia"/>
          <w:rtl/>
          <w:lang w:bidi="he-IL"/>
        </w:rPr>
        <w:t>מלשון</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וכנ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מוכרח</w:t>
      </w:r>
      <w:r w:rsidRPr="00400C0B">
        <w:rPr>
          <w:rFonts w:cs="Guttman Rashi"/>
          <w:rtl/>
          <w:lang w:bidi="he-IL"/>
        </w:rPr>
        <w:t xml:space="preserve">. </w:t>
      </w:r>
    </w:p>
  </w:footnote>
  <w:footnote w:id="32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לט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וסייעתו</w:t>
      </w:r>
      <w:r w:rsidRPr="00400C0B">
        <w:rPr>
          <w:rFonts w:cs="Guttman Rashi"/>
          <w:rtl/>
          <w:lang w:bidi="he-IL"/>
        </w:rPr>
        <w:t xml:space="preserve"> </w:t>
      </w:r>
      <w:r w:rsidRPr="00400C0B">
        <w:rPr>
          <w:rFonts w:cs="Guttman Rashi" w:hint="eastAsia"/>
          <w:rtl/>
          <w:lang w:bidi="he-IL"/>
        </w:rPr>
        <w:t>שאסרו</w:t>
      </w:r>
      <w:r w:rsidRPr="00400C0B">
        <w:rPr>
          <w:rFonts w:cs="Guttman Rashi"/>
          <w:rtl/>
          <w:lang w:bidi="he-IL"/>
        </w:rPr>
        <w:t xml:space="preserve"> </w:t>
      </w:r>
      <w:r w:rsidRPr="00400C0B">
        <w:rPr>
          <w:rFonts w:cs="Guttman Rashi" w:hint="eastAsia"/>
          <w:rtl/>
          <w:lang w:bidi="he-IL"/>
        </w:rPr>
        <w:t>מאכלים</w:t>
      </w:r>
      <w:r w:rsidRPr="00400C0B">
        <w:rPr>
          <w:rFonts w:cs="Guttman Rashi"/>
          <w:rtl/>
          <w:lang w:bidi="he-IL"/>
        </w:rPr>
        <w:t xml:space="preserve"> </w:t>
      </w:r>
      <w:r w:rsidRPr="00400C0B">
        <w:rPr>
          <w:rFonts w:cs="Guttman Rashi" w:hint="eastAsia"/>
          <w:rtl/>
          <w:lang w:bidi="he-IL"/>
        </w:rPr>
        <w:t>אחרים</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הדרך</w:t>
      </w:r>
      <w:r w:rsidRPr="00400C0B">
        <w:rPr>
          <w:rFonts w:cs="Guttman Rashi"/>
          <w:rtl/>
          <w:lang w:bidi="he-IL"/>
        </w:rPr>
        <w:t xml:space="preserve"> </w:t>
      </w:r>
      <w:r w:rsidRPr="00400C0B">
        <w:rPr>
          <w:rFonts w:cs="Guttman Rashi" w:hint="eastAsia"/>
          <w:rtl/>
          <w:lang w:bidi="he-IL"/>
        </w:rPr>
        <w:t>לערבם</w:t>
      </w:r>
      <w:r w:rsidRPr="00400C0B">
        <w:rPr>
          <w:rFonts w:cs="Guttman Rashi"/>
          <w:rtl/>
          <w:lang w:bidi="he-IL"/>
        </w:rPr>
        <w:t xml:space="preserve"> </w:t>
      </w:r>
      <w:r w:rsidRPr="00400C0B">
        <w:rPr>
          <w:rFonts w:cs="Guttman Rashi" w:hint="eastAsia"/>
          <w:rtl/>
          <w:lang w:bidi="he-IL"/>
        </w:rPr>
        <w:t>בבשר</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בכה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שהגיעו</w:t>
      </w:r>
      <w:r w:rsidRPr="00400C0B">
        <w:rPr>
          <w:rFonts w:cs="Guttman Rashi"/>
          <w:rtl/>
          <w:lang w:bidi="he-IL"/>
        </w:rPr>
        <w:t xml:space="preserve"> </w:t>
      </w:r>
      <w:r w:rsidRPr="00400C0B">
        <w:rPr>
          <w:rFonts w:cs="Guttman Rashi" w:hint="eastAsia"/>
          <w:rtl/>
          <w:lang w:bidi="he-IL"/>
        </w:rPr>
        <w:t>למצב</w:t>
      </w:r>
      <w:r w:rsidRPr="00400C0B">
        <w:rPr>
          <w:rFonts w:cs="Guttman Rashi"/>
          <w:rtl/>
          <w:lang w:bidi="he-IL"/>
        </w:rPr>
        <w:t xml:space="preserve"> </w:t>
      </w:r>
      <w:r w:rsidRPr="00400C0B">
        <w:rPr>
          <w:rFonts w:cs="Guttman Rashi" w:hint="eastAsia"/>
          <w:rtl/>
          <w:lang w:bidi="he-IL"/>
        </w:rPr>
        <w:t>שעומד</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דלחולקים</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וסוברים</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פת</w:t>
      </w:r>
      <w:r w:rsidRPr="00400C0B">
        <w:rPr>
          <w:rFonts w:cs="Guttman Rashi"/>
          <w:rtl/>
          <w:lang w:bidi="he-IL"/>
        </w:rPr>
        <w:t xml:space="preserve"> </w:t>
      </w:r>
      <w:r w:rsidRPr="00400C0B">
        <w:rPr>
          <w:rFonts w:cs="Guttman Rashi" w:hint="eastAsia"/>
          <w:rtl/>
          <w:lang w:bidi="he-IL"/>
        </w:rPr>
        <w:t>פשיטא</w:t>
      </w:r>
      <w:r w:rsidRPr="00400C0B">
        <w:rPr>
          <w:rFonts w:cs="Guttman Rashi"/>
          <w:rtl/>
          <w:lang w:bidi="he-IL"/>
        </w:rPr>
        <w:t xml:space="preserve"> </w:t>
      </w:r>
      <w:r w:rsidRPr="00400C0B">
        <w:rPr>
          <w:rFonts w:cs="Guttman Rashi" w:hint="eastAsia"/>
          <w:rtl/>
          <w:lang w:bidi="he-IL"/>
        </w:rPr>
        <w:t>שעיסה</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ראוי</w:t>
      </w:r>
      <w:r w:rsidRPr="00400C0B">
        <w:rPr>
          <w:rFonts w:cs="Guttman Rashi"/>
          <w:rtl/>
          <w:lang w:bidi="he-IL"/>
        </w:rPr>
        <w:t xml:space="preserve"> </w:t>
      </w:r>
      <w:r w:rsidRPr="00400C0B">
        <w:rPr>
          <w:rFonts w:cs="Guttman Rashi" w:hint="eastAsia"/>
          <w:rtl/>
          <w:lang w:bidi="he-IL"/>
        </w:rPr>
        <w:t>לאכילה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שלשית</w:t>
      </w:r>
      <w:r w:rsidRPr="00400C0B">
        <w:rPr>
          <w:rFonts w:cs="Guttman Rashi"/>
          <w:rtl/>
          <w:lang w:bidi="he-IL"/>
        </w:rPr>
        <w:t xml:space="preserve"> </w:t>
      </w:r>
      <w:r w:rsidRPr="00400C0B">
        <w:rPr>
          <w:rFonts w:cs="Guttman Rashi" w:hint="eastAsia"/>
          <w:rtl/>
          <w:lang w:bidi="he-IL"/>
        </w:rPr>
        <w:t>מהרי</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אסרו</w:t>
      </w:r>
      <w:r w:rsidRPr="00400C0B">
        <w:rPr>
          <w:rFonts w:cs="Guttman Rashi"/>
          <w:rtl/>
          <w:lang w:bidi="he-IL"/>
        </w:rPr>
        <w:t xml:space="preserve"> </w:t>
      </w:r>
      <w:r w:rsidRPr="00400C0B">
        <w:rPr>
          <w:rFonts w:cs="Guttman Rashi" w:hint="eastAsia"/>
          <w:rtl/>
          <w:lang w:bidi="he-IL"/>
        </w:rPr>
        <w:t>אא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הדרך</w:t>
      </w:r>
      <w:r w:rsidRPr="00400C0B">
        <w:rPr>
          <w:rFonts w:cs="Guttman Rashi"/>
          <w:rtl/>
          <w:lang w:bidi="he-IL"/>
        </w:rPr>
        <w:t xml:space="preserve"> </w:t>
      </w:r>
      <w:r w:rsidRPr="00400C0B">
        <w:rPr>
          <w:rFonts w:cs="Guttman Rashi" w:hint="eastAsia"/>
          <w:rtl/>
          <w:lang w:bidi="he-IL"/>
        </w:rPr>
        <w:t>לאכלו</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יאסר</w:t>
      </w:r>
      <w:r w:rsidRPr="00400C0B">
        <w:rPr>
          <w:rFonts w:cs="Guttman Rashi"/>
          <w:rtl/>
          <w:lang w:bidi="he-IL"/>
        </w:rPr>
        <w:t xml:space="preserve"> </w:t>
      </w:r>
      <w:r w:rsidRPr="00400C0B">
        <w:rPr>
          <w:rFonts w:cs="Guttman Rashi" w:hint="eastAsia"/>
          <w:rtl/>
          <w:lang w:bidi="he-IL"/>
        </w:rPr>
        <w:t>עיסה</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הדרך</w:t>
      </w:r>
      <w:r w:rsidRPr="00400C0B">
        <w:rPr>
          <w:rFonts w:cs="Guttman Rashi"/>
          <w:rtl/>
          <w:lang w:bidi="he-IL"/>
        </w:rPr>
        <w:t xml:space="preserve"> </w:t>
      </w:r>
      <w:r w:rsidRPr="00400C0B">
        <w:rPr>
          <w:rFonts w:cs="Guttman Rashi" w:hint="eastAsia"/>
          <w:rtl/>
          <w:lang w:bidi="he-IL"/>
        </w:rPr>
        <w:t>לאכלו</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המין</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p>
  </w:footnote>
  <w:footnote w:id="32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שע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רוב</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זב</w:t>
      </w:r>
      <w:r w:rsidRPr="00400C0B">
        <w:rPr>
          <w:rFonts w:cs="Guttman Rashi"/>
          <w:rtl/>
          <w:lang w:bidi="he-IL"/>
        </w:rPr>
        <w:t>.</w:t>
      </w:r>
    </w:p>
  </w:footnote>
  <w:footnote w:id="32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סברא</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חתום</w:t>
      </w:r>
      <w:r w:rsidRPr="00400C0B">
        <w:rPr>
          <w:rFonts w:cs="Guttman Rashi"/>
          <w:rtl/>
          <w:lang w:bidi="he-IL"/>
        </w:rPr>
        <w:t xml:space="preserve"> '</w:t>
      </w:r>
      <w:r w:rsidRPr="00400C0B">
        <w:rPr>
          <w:rFonts w:cs="Guttman Rashi" w:hint="eastAsia"/>
          <w:rtl/>
          <w:lang w:bidi="he-IL"/>
        </w:rPr>
        <w:t>חלבי</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האריזה</w:t>
      </w:r>
      <w:r w:rsidRPr="00400C0B">
        <w:rPr>
          <w:rFonts w:cs="Guttman Rashi"/>
          <w:rtl/>
          <w:lang w:bidi="he-IL"/>
        </w:rPr>
        <w:t xml:space="preserve"> </w:t>
      </w:r>
      <w:r w:rsidRPr="00400C0B">
        <w:rPr>
          <w:rFonts w:cs="Guttman Rashi" w:hint="eastAsia"/>
          <w:rtl/>
          <w:lang w:bidi="he-IL"/>
        </w:rPr>
        <w:t>בלבד</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היכר</w:t>
      </w:r>
      <w:r w:rsidRPr="00400C0B">
        <w:rPr>
          <w:rFonts w:cs="Guttman Rashi"/>
          <w:rtl/>
          <w:lang w:bidi="he-IL"/>
        </w:rPr>
        <w:t xml:space="preserve">, </w:t>
      </w:r>
      <w:r w:rsidRPr="00400C0B">
        <w:rPr>
          <w:rFonts w:cs="Guttman Rashi" w:hint="eastAsia"/>
          <w:rtl/>
          <w:lang w:bidi="he-IL"/>
        </w:rPr>
        <w:t>ודעתו</w:t>
      </w:r>
      <w:r w:rsidRPr="00400C0B">
        <w:rPr>
          <w:rFonts w:cs="Guttman Rashi"/>
          <w:rtl/>
          <w:lang w:bidi="he-IL"/>
        </w:rPr>
        <w:t xml:space="preserve"> </w:t>
      </w:r>
      <w:r w:rsidRPr="00400C0B">
        <w:rPr>
          <w:rFonts w:cs="Guttman Rashi" w:hint="eastAsia"/>
          <w:rtl/>
          <w:lang w:bidi="he-IL"/>
        </w:rPr>
        <w:t>היתה</w:t>
      </w:r>
      <w:r w:rsidRPr="00400C0B">
        <w:rPr>
          <w:rFonts w:cs="Guttman Rashi"/>
          <w:rtl/>
          <w:lang w:bidi="he-IL"/>
        </w:rPr>
        <w:t xml:space="preserve"> </w:t>
      </w:r>
      <w:r w:rsidRPr="00400C0B">
        <w:rPr>
          <w:rFonts w:cs="Guttman Rashi" w:hint="eastAsia"/>
          <w:rtl/>
          <w:lang w:bidi="he-IL"/>
        </w:rPr>
        <w:t>לעשות</w:t>
      </w:r>
      <w:r w:rsidRPr="00400C0B">
        <w:rPr>
          <w:rFonts w:cs="Guttman Rashi"/>
          <w:rtl/>
          <w:lang w:bidi="he-IL"/>
        </w:rPr>
        <w:t xml:space="preserve"> </w:t>
      </w:r>
      <w:r w:rsidRPr="00400C0B">
        <w:rPr>
          <w:rFonts w:cs="Guttman Rashi" w:hint="eastAsia"/>
          <w:rtl/>
          <w:lang w:bidi="he-IL"/>
        </w:rPr>
        <w:t>שינוי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שעומד</w:t>
      </w:r>
      <w:r w:rsidRPr="00400C0B">
        <w:rPr>
          <w:rFonts w:cs="Guttman Rashi"/>
          <w:rtl/>
          <w:lang w:bidi="he-IL"/>
        </w:rPr>
        <w:t xml:space="preserve"> </w:t>
      </w:r>
      <w:r w:rsidRPr="00400C0B">
        <w:rPr>
          <w:rFonts w:cs="Guttman Rashi" w:hint="eastAsia"/>
          <w:rtl/>
          <w:lang w:bidi="he-IL"/>
        </w:rPr>
        <w:t>לאכילה</w:t>
      </w:r>
      <w:r w:rsidRPr="00400C0B">
        <w:rPr>
          <w:rFonts w:cs="Guttman Rashi"/>
          <w:rtl/>
          <w:lang w:bidi="he-IL"/>
        </w:rPr>
        <w:t xml:space="preserve">. </w:t>
      </w:r>
      <w:r w:rsidRPr="00400C0B">
        <w:rPr>
          <w:rFonts w:cs="Guttman Rashi" w:hint="eastAsia"/>
          <w:rtl/>
          <w:lang w:bidi="he-IL"/>
        </w:rPr>
        <w:t>ואחרי</w:t>
      </w:r>
      <w:r w:rsidRPr="00400C0B">
        <w:rPr>
          <w:rFonts w:cs="Guttman Rashi"/>
          <w:rtl/>
          <w:lang w:bidi="he-IL"/>
        </w:rPr>
        <w:t xml:space="preserve"> </w:t>
      </w:r>
      <w:r w:rsidRPr="00400C0B">
        <w:rPr>
          <w:rFonts w:cs="Guttman Rashi" w:hint="eastAsia"/>
          <w:rtl/>
          <w:lang w:bidi="he-IL"/>
        </w:rPr>
        <w:t>שמוציא</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האריזה</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כמות</w:t>
      </w:r>
      <w:r w:rsidRPr="00400C0B">
        <w:rPr>
          <w:rFonts w:cs="Guttman Rashi"/>
          <w:rtl/>
          <w:lang w:bidi="he-IL"/>
        </w:rPr>
        <w:t xml:space="preserve"> </w:t>
      </w:r>
      <w:r w:rsidRPr="00400C0B">
        <w:rPr>
          <w:rFonts w:cs="Guttman Rashi" w:hint="eastAsia"/>
          <w:rtl/>
          <w:lang w:bidi="he-IL"/>
        </w:rPr>
        <w:t>קטנה</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שבזה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לחשוש</w:t>
      </w:r>
      <w:r w:rsidRPr="00400C0B">
        <w:rPr>
          <w:rFonts w:cs="Guttman Rashi"/>
          <w:rtl/>
          <w:lang w:bidi="he-IL"/>
        </w:rPr>
        <w:t xml:space="preserve"> </w:t>
      </w:r>
      <w:r w:rsidRPr="00400C0B">
        <w:rPr>
          <w:rFonts w:cs="Guttman Rashi" w:hint="eastAsia"/>
          <w:rtl/>
          <w:lang w:bidi="he-IL"/>
        </w:rPr>
        <w:t>שיתפח</w:t>
      </w:r>
      <w:r w:rsidRPr="00400C0B">
        <w:rPr>
          <w:rFonts w:cs="Guttman Rashi"/>
          <w:rtl/>
          <w:lang w:bidi="he-IL"/>
        </w:rPr>
        <w:t xml:space="preserve"> </w:t>
      </w:r>
      <w:r w:rsidRPr="00400C0B">
        <w:rPr>
          <w:rFonts w:cs="Guttman Rashi" w:hint="eastAsia"/>
          <w:rtl/>
          <w:lang w:bidi="he-IL"/>
        </w:rPr>
        <w:t>הקונה</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אריזות</w:t>
      </w:r>
      <w:r w:rsidRPr="00400C0B">
        <w:rPr>
          <w:rFonts w:cs="Guttman Rashi"/>
          <w:rtl/>
          <w:lang w:bidi="he-IL"/>
        </w:rPr>
        <w:t xml:space="preserve"> </w:t>
      </w:r>
      <w:r w:rsidRPr="00400C0B">
        <w:rPr>
          <w:rFonts w:cs="Guttman Rashi" w:hint="eastAsia"/>
          <w:rtl/>
          <w:lang w:bidi="he-IL"/>
        </w:rPr>
        <w:t>ביחד</w:t>
      </w:r>
      <w:r w:rsidRPr="00400C0B">
        <w:rPr>
          <w:rFonts w:cs="Guttman Rashi"/>
          <w:rtl/>
          <w:lang w:bidi="he-IL"/>
        </w:rPr>
        <w:t xml:space="preserve"> </w:t>
      </w:r>
      <w:r w:rsidRPr="00400C0B">
        <w:rPr>
          <w:rFonts w:cs="Guttman Rashi" w:hint="eastAsia"/>
          <w:rtl/>
          <w:lang w:bidi="he-IL"/>
        </w:rPr>
        <w:t>ושוב</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כמות</w:t>
      </w:r>
      <w:r w:rsidRPr="00400C0B">
        <w:rPr>
          <w:rFonts w:cs="Guttman Rashi"/>
          <w:rtl/>
          <w:lang w:bidi="he-IL"/>
        </w:rPr>
        <w:t xml:space="preserve"> </w:t>
      </w:r>
      <w:r w:rsidRPr="00400C0B">
        <w:rPr>
          <w:rFonts w:cs="Guttman Rashi" w:hint="eastAsia"/>
          <w:rtl/>
          <w:lang w:bidi="he-IL"/>
        </w:rPr>
        <w:t>קטנה</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w:t>
      </w:r>
    </w:p>
  </w:footnote>
  <w:footnote w:id="32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ה</w:t>
      </w:r>
    </w:p>
  </w:footnote>
  <w:footnote w:id="32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שדחה</w:t>
      </w:r>
      <w:r w:rsidRPr="00400C0B">
        <w:rPr>
          <w:rFonts w:cs="Guttman Rashi"/>
          <w:rtl/>
          <w:lang w:bidi="he-IL"/>
        </w:rPr>
        <w:t xml:space="preserve"> </w:t>
      </w:r>
      <w:r w:rsidRPr="00400C0B">
        <w:rPr>
          <w:rFonts w:cs="Guttman Rashi" w:hint="eastAsia"/>
          <w:rtl/>
          <w:lang w:bidi="he-IL"/>
        </w:rPr>
        <w:t>ספיק</w:t>
      </w:r>
      <w:r w:rsidRPr="00400C0B">
        <w:rPr>
          <w:rFonts w:cs="Guttman Rashi"/>
          <w:rtl/>
          <w:lang w:bidi="he-IL"/>
        </w:rPr>
        <w:t xml:space="preserve"> </w:t>
      </w:r>
      <w:r w:rsidRPr="00400C0B">
        <w:rPr>
          <w:rFonts w:cs="Guttman Rashi" w:hint="eastAsia"/>
          <w:rtl/>
          <w:lang w:bidi="he-IL"/>
        </w:rPr>
        <w:t>הב</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שפשוט</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יוצא</w:t>
      </w:r>
      <w:r w:rsidRPr="00400C0B">
        <w:rPr>
          <w:rFonts w:cs="Guttman Rashi"/>
          <w:rtl/>
          <w:lang w:bidi="he-IL"/>
        </w:rPr>
        <w:t xml:space="preserve"> </w:t>
      </w:r>
      <w:r w:rsidRPr="00400C0B">
        <w:rPr>
          <w:rFonts w:cs="Guttman Rashi" w:hint="eastAsia"/>
          <w:rtl/>
          <w:lang w:bidi="he-IL"/>
        </w:rPr>
        <w:t>לפרש</w:t>
      </w:r>
      <w:r w:rsidRPr="00400C0B">
        <w:rPr>
          <w:rFonts w:cs="Guttman Rashi"/>
          <w:rtl/>
          <w:lang w:bidi="he-IL"/>
        </w:rPr>
        <w:t xml:space="preserve"> </w:t>
      </w:r>
      <w:r w:rsidRPr="00400C0B">
        <w:rPr>
          <w:rFonts w:cs="Guttman Rashi" w:hint="eastAsia"/>
          <w:rtl/>
          <w:lang w:bidi="he-IL"/>
        </w:rPr>
        <w:t>ענין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קפילא</w:t>
      </w:r>
      <w:r w:rsidRPr="00400C0B">
        <w:rPr>
          <w:rFonts w:cs="Guttman Rashi"/>
          <w:rtl/>
          <w:lang w:bidi="he-IL"/>
        </w:rPr>
        <w:t xml:space="preserve"> </w:t>
      </w:r>
      <w:r w:rsidRPr="00400C0B">
        <w:rPr>
          <w:rFonts w:cs="Guttman Rashi" w:hint="eastAsia"/>
          <w:rtl/>
          <w:lang w:bidi="he-IL"/>
        </w:rPr>
        <w:t>איילו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נפק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לדינא</w:t>
      </w:r>
      <w:r w:rsidRPr="00400C0B">
        <w:rPr>
          <w:rFonts w:cs="Guttman Rashi"/>
          <w:rtl/>
          <w:lang w:bidi="he-IL"/>
        </w:rPr>
        <w:t xml:space="preserve">. </w:t>
      </w:r>
      <w:r w:rsidRPr="00400C0B">
        <w:rPr>
          <w:rFonts w:cs="Guttman Rashi" w:hint="eastAsia"/>
          <w:rtl/>
          <w:lang w:bidi="he-IL"/>
        </w:rPr>
        <w:t>ולולא</w:t>
      </w:r>
      <w:r w:rsidRPr="00400C0B">
        <w:rPr>
          <w:rFonts w:cs="Guttman Rashi"/>
          <w:rtl/>
          <w:lang w:bidi="he-IL"/>
        </w:rPr>
        <w:t xml:space="preserve"> </w:t>
      </w:r>
      <w:r w:rsidRPr="00400C0B">
        <w:rPr>
          <w:rFonts w:cs="Guttman Rashi" w:hint="eastAsia"/>
          <w:rtl/>
          <w:lang w:bidi="he-IL"/>
        </w:rPr>
        <w:t>דבריהם</w:t>
      </w:r>
      <w:r w:rsidRPr="00400C0B">
        <w:rPr>
          <w:rFonts w:cs="Guttman Rashi"/>
          <w:rtl/>
          <w:lang w:bidi="he-IL"/>
        </w:rPr>
        <w:t xml:space="preserve"> </w:t>
      </w:r>
      <w:r w:rsidRPr="00400C0B">
        <w:rPr>
          <w:rFonts w:cs="Guttman Rashi" w:hint="eastAsia"/>
          <w:rtl/>
          <w:lang w:bidi="he-IL"/>
        </w:rPr>
        <w:t>הייתי</w:t>
      </w:r>
      <w:r w:rsidRPr="00400C0B">
        <w:rPr>
          <w:rFonts w:cs="Guttman Rashi"/>
          <w:rtl/>
          <w:lang w:bidi="he-IL"/>
        </w:rPr>
        <w:t xml:space="preserve"> </w:t>
      </w:r>
      <w:r w:rsidRPr="00400C0B">
        <w:rPr>
          <w:rFonts w:cs="Guttman Rashi" w:hint="eastAsia"/>
          <w:rtl/>
          <w:lang w:bidi="he-IL"/>
        </w:rPr>
        <w:t>אומר</w:t>
      </w:r>
      <w:r w:rsidRPr="00400C0B">
        <w:rPr>
          <w:rFonts w:cs="Guttman Rashi"/>
          <w:rtl/>
          <w:lang w:bidi="he-IL"/>
        </w:rPr>
        <w:t xml:space="preserve"> </w:t>
      </w:r>
      <w:r w:rsidRPr="00400C0B">
        <w:rPr>
          <w:rFonts w:cs="Guttman Rashi" w:hint="eastAsia"/>
          <w:rtl/>
          <w:lang w:bidi="he-IL"/>
        </w:rPr>
        <w:t>הכרח</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גדול</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קפילא</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דוקא</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נקטו</w:t>
      </w:r>
      <w:r w:rsidRPr="00400C0B">
        <w:rPr>
          <w:rFonts w:cs="Guttman Rashi"/>
          <w:rtl/>
          <w:lang w:bidi="he-IL"/>
        </w:rPr>
        <w:t xml:space="preserve"> </w:t>
      </w:r>
      <w:r w:rsidRPr="00400C0B">
        <w:rPr>
          <w:rFonts w:cs="Guttman Rashi" w:hint="eastAsia"/>
          <w:rtl/>
          <w:lang w:bidi="he-IL"/>
        </w:rPr>
        <w:t>קפילא</w:t>
      </w:r>
      <w:r w:rsidRPr="00400C0B">
        <w:rPr>
          <w:rFonts w:cs="Guttman Rashi"/>
          <w:rtl/>
          <w:lang w:bidi="he-IL"/>
        </w:rPr>
        <w:t xml:space="preserve"> </w:t>
      </w:r>
      <w:r w:rsidRPr="00400C0B">
        <w:rPr>
          <w:rFonts w:cs="Guttman Rashi" w:hint="eastAsia"/>
          <w:rtl/>
          <w:lang w:bidi="he-IL"/>
        </w:rPr>
        <w:t>דוקא</w:t>
      </w:r>
      <w:r w:rsidRPr="00400C0B">
        <w:rPr>
          <w:rFonts w:cs="Guttman Rashi"/>
          <w:rtl/>
          <w:lang w:bidi="he-IL"/>
        </w:rPr>
        <w:t xml:space="preserve"> </w:t>
      </w:r>
      <w:r w:rsidRPr="00400C0B">
        <w:rPr>
          <w:rFonts w:cs="Guttman Rashi" w:hint="eastAsia"/>
          <w:rtl/>
          <w:lang w:bidi="he-IL"/>
        </w:rPr>
        <w:t>בארמאה</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בישראל</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מצריך</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שניהם</w:t>
      </w:r>
      <w:r w:rsidRPr="00400C0B">
        <w:rPr>
          <w:rFonts w:cs="Guttman Rashi"/>
          <w:rtl/>
          <w:lang w:bidi="he-IL"/>
        </w:rPr>
        <w:t xml:space="preserve"> </w:t>
      </w:r>
      <w:r w:rsidRPr="00400C0B">
        <w:rPr>
          <w:rFonts w:cs="Guttman Rashi" w:hint="eastAsia"/>
          <w:rtl/>
          <w:lang w:bidi="he-IL"/>
        </w:rPr>
        <w:t>ניחא</w:t>
      </w:r>
      <w:r w:rsidRPr="00400C0B">
        <w:rPr>
          <w:rFonts w:cs="Guttman Rashi"/>
          <w:rtl/>
          <w:lang w:bidi="he-IL"/>
        </w:rPr>
        <w:t>.</w:t>
      </w:r>
    </w:p>
  </w:footnote>
  <w:footnote w:id="32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שכשיש</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דלטעמא</w:t>
      </w:r>
      <w:r w:rsidRPr="00400C0B">
        <w:rPr>
          <w:rFonts w:cs="Guttman Rashi"/>
          <w:rtl/>
          <w:lang w:bidi="he-IL"/>
        </w:rPr>
        <w:t xml:space="preserve"> </w:t>
      </w:r>
      <w:r w:rsidRPr="00400C0B">
        <w:rPr>
          <w:rFonts w:cs="Guttman Rashi" w:hint="eastAsia"/>
          <w:rtl/>
          <w:lang w:bidi="he-IL"/>
        </w:rPr>
        <w:t>עבידא</w:t>
      </w:r>
      <w:r w:rsidRPr="00400C0B">
        <w:rPr>
          <w:rFonts w:cs="Guttman Rashi"/>
          <w:rtl/>
          <w:lang w:bidi="he-IL"/>
        </w:rPr>
        <w:t xml:space="preserve"> </w:t>
      </w:r>
      <w:r w:rsidRPr="00400C0B">
        <w:rPr>
          <w:rFonts w:cs="Guttman Rashi" w:hint="eastAsia"/>
          <w:rtl/>
          <w:lang w:bidi="he-IL"/>
        </w:rPr>
        <w:t>סומכים</w:t>
      </w:r>
      <w:r w:rsidRPr="00400C0B">
        <w:rPr>
          <w:rFonts w:cs="Guttman Rashi"/>
          <w:rtl/>
          <w:lang w:bidi="he-IL"/>
        </w:rPr>
        <w:t xml:space="preserve"> </w:t>
      </w:r>
      <w:r w:rsidRPr="00400C0B">
        <w:rPr>
          <w:rFonts w:cs="Guttman Rashi" w:hint="eastAsia"/>
          <w:rtl/>
          <w:lang w:bidi="he-IL"/>
        </w:rPr>
        <w:t>אקפילא</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p>
  </w:footnote>
  <w:footnote w:id="32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lang w:bidi="he-IL"/>
        </w:rPr>
        <w:t>mouthwash</w:t>
      </w:r>
    </w:p>
  </w:footnote>
  <w:footnote w:id="32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p>
  </w:footnote>
  <w:footnote w:id="33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שוב</w:t>
      </w:r>
      <w:r w:rsidRPr="00400C0B">
        <w:rPr>
          <w:rFonts w:cs="Guttman Rashi"/>
          <w:rtl/>
          <w:lang w:bidi="he-IL"/>
        </w:rPr>
        <w:t xml:space="preserve"> </w:t>
      </w:r>
      <w:r w:rsidRPr="00400C0B">
        <w:rPr>
          <w:rFonts w:cs="Guttman Rashi" w:hint="eastAsia"/>
          <w:rtl/>
          <w:lang w:bidi="he-IL"/>
        </w:rPr>
        <w:t>חשבתי</w:t>
      </w:r>
      <w:r w:rsidRPr="00400C0B">
        <w:rPr>
          <w:rFonts w:cs="Guttman Rashi"/>
          <w:rtl/>
          <w:lang w:bidi="he-IL"/>
        </w:rPr>
        <w:t xml:space="preserve"> </w:t>
      </w:r>
      <w:r w:rsidRPr="00400C0B">
        <w:rPr>
          <w:rFonts w:cs="Guttman Rashi" w:hint="eastAsia"/>
          <w:rtl/>
          <w:lang w:bidi="he-IL"/>
        </w:rPr>
        <w:t>שדבר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מוכח</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ביאר</w:t>
      </w:r>
      <w:r w:rsidRPr="00400C0B">
        <w:rPr>
          <w:rFonts w:cs="Guttman Rashi"/>
          <w:rtl/>
          <w:lang w:bidi="he-IL"/>
        </w:rPr>
        <w:t xml:space="preserve"> </w:t>
      </w:r>
      <w:r w:rsidRPr="00400C0B">
        <w:rPr>
          <w:rFonts w:cs="Guttman Rashi" w:hint="eastAsia"/>
          <w:rtl/>
          <w:lang w:bidi="he-IL"/>
        </w:rPr>
        <w:t>בסוף</w:t>
      </w:r>
      <w:r w:rsidRPr="00400C0B">
        <w:rPr>
          <w:rFonts w:cs="Guttman Rashi"/>
          <w:rtl/>
          <w:lang w:bidi="he-IL"/>
        </w:rPr>
        <w:t xml:space="preserve"> </w:t>
      </w:r>
      <w:r w:rsidRPr="00400C0B">
        <w:rPr>
          <w:rFonts w:cs="Guttman Rashi" w:hint="eastAsia"/>
          <w:rtl/>
          <w:lang w:bidi="he-IL"/>
        </w:rPr>
        <w:t>דף</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בעינן</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רבים</w:t>
      </w:r>
      <w:r w:rsidRPr="00400C0B">
        <w:rPr>
          <w:rFonts w:cs="Guttman Rashi"/>
          <w:rtl/>
          <w:lang w:bidi="he-IL"/>
        </w:rPr>
        <w:t xml:space="preserve"> </w:t>
      </w:r>
      <w:r w:rsidRPr="00400C0B">
        <w:rPr>
          <w:rFonts w:cs="Guttman Rashi" w:hint="eastAsia"/>
          <w:rtl/>
          <w:lang w:bidi="he-IL"/>
        </w:rPr>
        <w:t>להטות</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להתיר</w:t>
      </w:r>
      <w:r w:rsidRPr="00400C0B">
        <w:rPr>
          <w:rFonts w:cs="Guttman Rashi"/>
          <w:rtl/>
          <w:lang w:bidi="he-IL"/>
        </w:rPr>
        <w:t xml:space="preserve">. </w:t>
      </w:r>
      <w:r w:rsidRPr="00400C0B">
        <w:rPr>
          <w:rFonts w:cs="Guttman Rashi" w:hint="eastAsia"/>
          <w:rtl/>
          <w:lang w:bidi="he-IL"/>
        </w:rPr>
        <w:t>והיינו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שטעם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חפצא</w:t>
      </w:r>
      <w:r w:rsidRPr="00400C0B">
        <w:rPr>
          <w:rFonts w:cs="Guttman Rashi"/>
          <w:rtl/>
          <w:lang w:bidi="he-IL"/>
        </w:rPr>
        <w:t xml:space="preserve"> </w:t>
      </w:r>
      <w:r w:rsidRPr="00400C0B">
        <w:rPr>
          <w:rFonts w:cs="Guttman Rashi" w:hint="eastAsia"/>
          <w:rtl/>
          <w:lang w:bidi="he-IL"/>
        </w:rPr>
        <w:t>דאיסורא</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אלמלא</w:t>
      </w:r>
      <w:r w:rsidRPr="00400C0B">
        <w:rPr>
          <w:rFonts w:cs="Guttman Rashi"/>
          <w:rtl/>
          <w:lang w:bidi="he-IL"/>
        </w:rPr>
        <w:t xml:space="preserve"> </w:t>
      </w:r>
      <w:r w:rsidRPr="00400C0B">
        <w:rPr>
          <w:rFonts w:cs="Guttman Rashi" w:hint="eastAsia"/>
          <w:rtl/>
          <w:lang w:bidi="he-IL"/>
        </w:rPr>
        <w:t>הגזה</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דטכ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סבירא</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שזה</w:t>
      </w:r>
      <w:r w:rsidRPr="00400C0B">
        <w:rPr>
          <w:rFonts w:cs="Guttman Rashi"/>
          <w:rtl/>
          <w:lang w:bidi="he-IL"/>
        </w:rPr>
        <w:t xml:space="preserve"> </w:t>
      </w:r>
      <w:r w:rsidRPr="00400C0B">
        <w:rPr>
          <w:rFonts w:cs="Guttman Rashi" w:hint="eastAsia"/>
          <w:rtl/>
          <w:lang w:bidi="he-IL"/>
        </w:rPr>
        <w:t>לבד</w:t>
      </w:r>
      <w:r w:rsidRPr="00400C0B">
        <w:rPr>
          <w:rFonts w:cs="Guttman Rashi"/>
          <w:rtl/>
          <w:lang w:bidi="he-IL"/>
        </w:rPr>
        <w:t xml:space="preserve"> </w:t>
      </w:r>
      <w:r w:rsidRPr="00400C0B">
        <w:rPr>
          <w:rFonts w:cs="Guttman Rashi" w:hint="eastAsia"/>
          <w:rtl/>
          <w:lang w:bidi="he-IL"/>
        </w:rPr>
        <w:t>שמרגיש</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סיבה</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דאע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שמרגיש</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ובטל</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דמאי</w:t>
      </w:r>
      <w:r w:rsidRPr="00400C0B">
        <w:rPr>
          <w:rFonts w:cs="Guttman Rashi"/>
          <w:rtl/>
          <w:lang w:bidi="he-IL"/>
        </w:rPr>
        <w:t xml:space="preserve"> </w:t>
      </w:r>
      <w:r w:rsidRPr="00400C0B">
        <w:rPr>
          <w:rFonts w:cs="Guttman Rashi" w:hint="eastAsia"/>
          <w:rtl/>
          <w:lang w:bidi="he-IL"/>
        </w:rPr>
        <w:t>אהני</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sidRPr="00400C0B">
        <w:rPr>
          <w:rFonts w:cs="Guttman Rashi" w:hint="eastAsia"/>
          <w:rtl/>
          <w:lang w:bidi="he-IL"/>
        </w:rPr>
        <w:t>דנתחדש</w:t>
      </w:r>
      <w:r w:rsidRPr="00400C0B">
        <w:rPr>
          <w:rFonts w:cs="Guttman Rashi"/>
          <w:rtl/>
          <w:lang w:bidi="he-IL"/>
        </w:rPr>
        <w:t xml:space="preserve"> </w:t>
      </w:r>
      <w:r w:rsidRPr="00400C0B">
        <w:rPr>
          <w:rFonts w:cs="Guttman Rashi" w:hint="eastAsia"/>
          <w:rtl/>
          <w:lang w:bidi="he-IL"/>
        </w:rPr>
        <w:t>גזה</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דטכ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מבזה</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שאחרי</w:t>
      </w:r>
      <w:r w:rsidRPr="00400C0B">
        <w:rPr>
          <w:rFonts w:cs="Guttman Rashi"/>
          <w:rtl/>
          <w:lang w:bidi="he-IL"/>
        </w:rPr>
        <w:t xml:space="preserve"> </w:t>
      </w:r>
      <w:r w:rsidRPr="00400C0B">
        <w:rPr>
          <w:rFonts w:cs="Guttman Rashi" w:hint="eastAsia"/>
          <w:rtl/>
          <w:lang w:bidi="he-IL"/>
        </w:rPr>
        <w:t>להטות</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שהי</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אלמלא</w:t>
      </w:r>
      <w:r w:rsidRPr="00400C0B">
        <w:rPr>
          <w:rFonts w:cs="Guttman Rashi"/>
          <w:rtl/>
          <w:lang w:bidi="he-IL"/>
        </w:rPr>
        <w:t xml:space="preserve"> </w:t>
      </w:r>
      <w:r w:rsidRPr="00400C0B">
        <w:rPr>
          <w:rFonts w:cs="Guttman Rashi" w:hint="eastAsia"/>
          <w:rtl/>
          <w:lang w:bidi="he-IL"/>
        </w:rPr>
        <w:t>הגזה</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השרתים</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שזהו</w:t>
      </w:r>
      <w:r w:rsidRPr="00400C0B">
        <w:rPr>
          <w:rFonts w:cs="Guttman Rashi"/>
          <w:rtl/>
          <w:lang w:bidi="he-IL"/>
        </w:rPr>
        <w:t xml:space="preserve"> </w:t>
      </w:r>
      <w:r w:rsidRPr="00400C0B">
        <w:rPr>
          <w:rFonts w:cs="Guttman Rashi" w:hint="eastAsia"/>
          <w:rtl/>
          <w:lang w:bidi="he-IL"/>
        </w:rPr>
        <w:t>גופא</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שנתחדש</w:t>
      </w:r>
      <w:r w:rsidRPr="00400C0B">
        <w:rPr>
          <w:rFonts w:cs="Guttman Rashi"/>
          <w:rtl/>
          <w:lang w:bidi="he-IL"/>
        </w:rPr>
        <w:t xml:space="preserve"> </w:t>
      </w:r>
      <w:r w:rsidRPr="00400C0B">
        <w:rPr>
          <w:rFonts w:cs="Guttman Rashi" w:hint="eastAsia"/>
          <w:rtl/>
          <w:lang w:bidi="he-IL"/>
        </w:rPr>
        <w:t>בגזה</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דטכ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שהטעם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שהטעם</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p>
  </w:footnote>
  <w:footnote w:id="33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שביארנו</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בשיטת</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p>
  </w:footnote>
  <w:footnote w:id="33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חדא</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בדף</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להם</w:t>
      </w:r>
      <w:r w:rsidRPr="00400C0B">
        <w:rPr>
          <w:rFonts w:cs="Guttman Rashi"/>
          <w:rtl/>
          <w:lang w:bidi="he-IL"/>
        </w:rPr>
        <w:t xml:space="preserve"> </w:t>
      </w:r>
      <w:r w:rsidRPr="00400C0B">
        <w:rPr>
          <w:rFonts w:cs="Guttman Rashi" w:hint="eastAsia"/>
          <w:rtl/>
          <w:lang w:bidi="he-IL"/>
        </w:rPr>
        <w:t>צד</w:t>
      </w:r>
      <w:r w:rsidRPr="00400C0B">
        <w:rPr>
          <w:rFonts w:cs="Guttman Rashi"/>
          <w:rtl/>
          <w:lang w:bidi="he-IL"/>
        </w:rPr>
        <w:t xml:space="preserve"> </w:t>
      </w:r>
      <w:r w:rsidRPr="00400C0B">
        <w:rPr>
          <w:rFonts w:cs="Guttman Rashi" w:hint="eastAsia"/>
          <w:rtl/>
          <w:lang w:bidi="he-IL"/>
        </w:rPr>
        <w:t>שהשיעור</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מדרבנן</w:t>
      </w:r>
      <w:r w:rsidRPr="00400C0B">
        <w:rPr>
          <w:rFonts w:cs="Guttman Rashi"/>
          <w:rtl/>
          <w:lang w:bidi="he-IL"/>
        </w:rPr>
        <w:t xml:space="preserve">, </w:t>
      </w:r>
      <w:r w:rsidRPr="00400C0B">
        <w:rPr>
          <w:rFonts w:cs="Guttman Rashi" w:hint="eastAsia"/>
          <w:rtl/>
          <w:lang w:bidi="he-IL"/>
        </w:rPr>
        <w:t>ומדאורייתא</w:t>
      </w:r>
      <w:r w:rsidRPr="00400C0B">
        <w:rPr>
          <w:rFonts w:cs="Guttman Rashi"/>
          <w:rtl/>
          <w:lang w:bidi="he-IL"/>
        </w:rPr>
        <w:t xml:space="preserve"> </w:t>
      </w:r>
      <w:r w:rsidRPr="00400C0B">
        <w:rPr>
          <w:rFonts w:cs="Guttman Rashi" w:hint="eastAsia"/>
          <w:rtl/>
          <w:lang w:bidi="he-IL"/>
        </w:rPr>
        <w:t>סגי</w:t>
      </w:r>
      <w:r w:rsidRPr="00400C0B">
        <w:rPr>
          <w:rFonts w:cs="Guttman Rashi"/>
          <w:rtl/>
          <w:lang w:bidi="he-IL"/>
        </w:rPr>
        <w:t xml:space="preserve"> </w:t>
      </w:r>
      <w:r w:rsidRPr="00400C0B">
        <w:rPr>
          <w:rFonts w:cs="Guttman Rashi" w:hint="eastAsia"/>
          <w:rtl/>
          <w:lang w:bidi="he-IL"/>
        </w:rPr>
        <w:t>בפחות</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ספק</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מדרבנן</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בפחות</w:t>
      </w:r>
      <w:r w:rsidRPr="00400C0B">
        <w:rPr>
          <w:rFonts w:cs="Guttman Rashi"/>
          <w:rtl/>
          <w:lang w:bidi="he-IL"/>
        </w:rPr>
        <w:t xml:space="preserve"> </w:t>
      </w:r>
      <w:r w:rsidRPr="00400C0B">
        <w:rPr>
          <w:rFonts w:cs="Guttman Rashi" w:hint="eastAsia"/>
          <w:rtl/>
          <w:lang w:bidi="he-IL"/>
        </w:rPr>
        <w:t>מששים</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בספק</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ובזה</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שאה</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וס</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מדרבנן</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ידעינן</w:t>
      </w:r>
      <w:r w:rsidRPr="00400C0B">
        <w:rPr>
          <w:rFonts w:cs="Guttman Rashi"/>
          <w:rtl/>
          <w:lang w:bidi="he-IL"/>
        </w:rPr>
        <w:t xml:space="preserve"> </w:t>
      </w:r>
      <w:r w:rsidRPr="00400C0B">
        <w:rPr>
          <w:rFonts w:cs="Guttman Rashi" w:hint="eastAsia"/>
          <w:rtl/>
          <w:lang w:bidi="he-IL"/>
        </w:rPr>
        <w:t>מהו</w:t>
      </w:r>
      <w:r w:rsidRPr="00400C0B">
        <w:rPr>
          <w:rFonts w:cs="Guttman Rashi"/>
          <w:rtl/>
          <w:lang w:bidi="he-IL"/>
        </w:rPr>
        <w:t xml:space="preserve"> </w:t>
      </w:r>
      <w:r w:rsidRPr="00400C0B">
        <w:rPr>
          <w:rFonts w:cs="Guttman Rashi" w:hint="eastAsia"/>
          <w:rtl/>
          <w:lang w:bidi="he-IL"/>
        </w:rPr>
        <w:t>השיעור</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ספק</w:t>
      </w:r>
      <w:r w:rsidRPr="00400C0B">
        <w:rPr>
          <w:rFonts w:cs="Guttman Rashi"/>
          <w:rtl/>
          <w:lang w:bidi="he-IL"/>
        </w:rPr>
        <w:t xml:space="preserve"> </w:t>
      </w:r>
      <w:r w:rsidRPr="00400C0B">
        <w:rPr>
          <w:rFonts w:cs="Guttman Rashi" w:hint="eastAsia"/>
          <w:rtl/>
          <w:lang w:bidi="he-IL"/>
        </w:rPr>
        <w:t>חסרון</w:t>
      </w:r>
      <w:r w:rsidRPr="00400C0B">
        <w:rPr>
          <w:rFonts w:cs="Guttman Rashi"/>
          <w:rtl/>
          <w:lang w:bidi="he-IL"/>
        </w:rPr>
        <w:t xml:space="preserve"> </w:t>
      </w:r>
      <w:r w:rsidRPr="00400C0B">
        <w:rPr>
          <w:rFonts w:cs="Guttman Rashi" w:hint="eastAsia"/>
          <w:rtl/>
          <w:lang w:bidi="he-IL"/>
        </w:rPr>
        <w:t>ידיעה</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ספק</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מדרבנן</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זאת</w:t>
      </w:r>
      <w:r w:rsidRPr="00400C0B">
        <w:rPr>
          <w:rFonts w:cs="Guttman Rashi"/>
          <w:rtl/>
          <w:lang w:bidi="he-IL"/>
        </w:rPr>
        <w:t xml:space="preserve"> </w:t>
      </w:r>
      <w:r w:rsidRPr="00400C0B">
        <w:rPr>
          <w:rFonts w:cs="Guttman Rashi" w:hint="eastAsia"/>
          <w:rtl/>
          <w:lang w:bidi="he-IL"/>
        </w:rPr>
        <w:t>ועוד</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שהדין</w:t>
      </w:r>
      <w:r w:rsidRPr="00400C0B">
        <w:rPr>
          <w:rFonts w:cs="Guttman Rashi"/>
          <w:rtl/>
          <w:lang w:bidi="he-IL"/>
        </w:rPr>
        <w:t xml:space="preserve"> </w:t>
      </w:r>
      <w:r w:rsidRPr="00400C0B">
        <w:rPr>
          <w:rFonts w:cs="Guttman Rashi" w:hint="eastAsia"/>
          <w:rtl/>
          <w:lang w:bidi="he-IL"/>
        </w:rPr>
        <w:t>דמחמירים</w:t>
      </w:r>
      <w:r w:rsidRPr="00400C0B">
        <w:rPr>
          <w:rFonts w:cs="Guttman Rashi"/>
          <w:rtl/>
          <w:lang w:bidi="he-IL"/>
        </w:rPr>
        <w:t xml:space="preserve"> </w:t>
      </w:r>
      <w:r w:rsidRPr="00400C0B">
        <w:rPr>
          <w:rFonts w:cs="Guttman Rashi" w:hint="eastAsia"/>
          <w:rtl/>
          <w:lang w:bidi="he-IL"/>
        </w:rPr>
        <w:t>דטכ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מדין</w:t>
      </w:r>
      <w:r w:rsidRPr="00400C0B">
        <w:rPr>
          <w:rFonts w:cs="Guttman Rashi"/>
          <w:rtl/>
          <w:lang w:bidi="he-IL"/>
        </w:rPr>
        <w:t xml:space="preserve"> </w:t>
      </w:r>
      <w:r w:rsidRPr="00400C0B">
        <w:rPr>
          <w:rFonts w:cs="Guttman Rashi" w:hint="eastAsia"/>
          <w:rtl/>
          <w:lang w:bidi="he-IL"/>
        </w:rPr>
        <w:t>ספק</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לחומרא</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בתורת</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דאל</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cs"/>
          <w:rtl/>
          <w:lang w:bidi="he-IL"/>
        </w:rPr>
        <w:t>ל</w:t>
      </w:r>
      <w:r w:rsidRPr="00400C0B">
        <w:rPr>
          <w:rFonts w:cs="Guttman Rashi" w:hint="eastAsia"/>
          <w:rtl/>
          <w:lang w:bidi="he-IL"/>
        </w:rPr>
        <w:t>נו</w:t>
      </w:r>
      <w:r w:rsidRPr="00400C0B">
        <w:rPr>
          <w:rFonts w:cs="Guttman Rashi"/>
          <w:rtl/>
          <w:lang w:bidi="he-IL"/>
        </w:rPr>
        <w:t xml:space="preserve"> </w:t>
      </w:r>
      <w:r w:rsidRPr="00400C0B">
        <w:rPr>
          <w:rFonts w:cs="Guttman Rashi" w:hint="cs"/>
          <w:rtl/>
          <w:lang w:bidi="he-IL"/>
        </w:rPr>
        <w:t>ל</w:t>
      </w:r>
      <w:r w:rsidRPr="00400C0B">
        <w:rPr>
          <w:rFonts w:cs="Guttman Rashi" w:hint="eastAsia"/>
          <w:rtl/>
          <w:lang w:bidi="he-IL"/>
        </w:rPr>
        <w:t>החמיר</w:t>
      </w:r>
      <w:r w:rsidRPr="00400C0B">
        <w:rPr>
          <w:rFonts w:cs="Guttman Rashi"/>
          <w:rtl/>
          <w:lang w:bidi="he-IL"/>
        </w:rPr>
        <w:t xml:space="preserve"> </w:t>
      </w:r>
      <w:r w:rsidRPr="00400C0B">
        <w:rPr>
          <w:rFonts w:cs="Guttman Rashi" w:hint="eastAsia"/>
          <w:rtl/>
          <w:lang w:bidi="he-IL"/>
        </w:rPr>
        <w:t>בספק</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במין</w:t>
      </w:r>
      <w:r w:rsidRPr="00400C0B">
        <w:rPr>
          <w:rFonts w:cs="Guttman Rashi"/>
          <w:rtl/>
          <w:lang w:bidi="he-IL"/>
        </w:rPr>
        <w:t xml:space="preserve"> </w:t>
      </w:r>
      <w:r w:rsidRPr="00400C0B">
        <w:rPr>
          <w:rFonts w:cs="Guttman Rashi" w:hint="eastAsia"/>
          <w:rtl/>
          <w:lang w:bidi="he-IL"/>
        </w:rPr>
        <w:t>בשא</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ספק</w:t>
      </w:r>
      <w:r w:rsidRPr="00400C0B">
        <w:rPr>
          <w:rFonts w:cs="Guttman Rashi"/>
          <w:rtl/>
          <w:lang w:bidi="he-IL"/>
        </w:rPr>
        <w:t xml:space="preserve"> </w:t>
      </w:r>
      <w:r w:rsidRPr="00400C0B">
        <w:rPr>
          <w:rFonts w:cs="Guttman Rashi" w:hint="eastAsia"/>
          <w:rtl/>
          <w:lang w:bidi="he-IL"/>
        </w:rPr>
        <w:t>ספיקא</w:t>
      </w:r>
      <w:r w:rsidRPr="00400C0B">
        <w:rPr>
          <w:rFonts w:cs="Guttman Rashi"/>
          <w:rtl/>
          <w:lang w:bidi="he-IL"/>
        </w:rPr>
        <w:t xml:space="preserve">, </w:t>
      </w:r>
      <w:r w:rsidRPr="00400C0B">
        <w:rPr>
          <w:rFonts w:cs="Guttman Rashi" w:hint="eastAsia"/>
          <w:rtl/>
          <w:lang w:bidi="he-IL"/>
        </w:rPr>
        <w:t>דלמא</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מדרבנן</w:t>
      </w:r>
      <w:r w:rsidRPr="00400C0B">
        <w:rPr>
          <w:rFonts w:cs="Guttman Rashi"/>
          <w:rtl/>
          <w:lang w:bidi="he-IL"/>
        </w:rPr>
        <w:t xml:space="preserve">, </w:t>
      </w:r>
      <w:r w:rsidRPr="00400C0B">
        <w:rPr>
          <w:rFonts w:cs="Guttman Rashi" w:hint="eastAsia"/>
          <w:rtl/>
          <w:lang w:bidi="he-IL"/>
        </w:rPr>
        <w:t>ואת</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דליכא</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p>
  </w:footnote>
  <w:footnote w:id="33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בחזו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יו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שבאמת</w:t>
      </w:r>
      <w:r w:rsidRPr="00400C0B">
        <w:rPr>
          <w:rFonts w:cs="Guttman Rashi"/>
          <w:rtl/>
          <w:lang w:bidi="he-IL"/>
        </w:rPr>
        <w:t xml:space="preserve"> </w:t>
      </w:r>
      <w:r w:rsidRPr="00400C0B">
        <w:rPr>
          <w:rFonts w:cs="Guttman Rashi" w:hint="eastAsia"/>
          <w:rtl/>
          <w:lang w:bidi="he-IL"/>
        </w:rPr>
        <w:t>תמה</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שחיטת</w:t>
      </w:r>
      <w:r w:rsidRPr="00400C0B">
        <w:rPr>
          <w:rFonts w:cs="Guttman Rashi"/>
          <w:rtl/>
          <w:lang w:bidi="he-IL"/>
        </w:rPr>
        <w:t xml:space="preserve"> </w:t>
      </w:r>
      <w:r w:rsidRPr="00400C0B">
        <w:rPr>
          <w:rFonts w:cs="Guttman Rashi" w:hint="eastAsia"/>
          <w:rtl/>
          <w:lang w:bidi="he-IL"/>
        </w:rPr>
        <w:t>חולין</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קי</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קרליץ</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ליישב</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כנ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33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ז</w:t>
      </w:r>
    </w:p>
  </w:footnote>
  <w:footnote w:id="33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לפמש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האחרונים</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בסוכה</w:t>
      </w:r>
      <w:r w:rsidRPr="00400C0B">
        <w:rPr>
          <w:rFonts w:cs="Guttman Rashi"/>
          <w:rtl/>
          <w:lang w:bidi="he-IL"/>
        </w:rPr>
        <w:t xml:space="preserve"> </w:t>
      </w:r>
      <w:r w:rsidRPr="00400C0B">
        <w:rPr>
          <w:rFonts w:cs="Guttman Rashi" w:hint="eastAsia"/>
          <w:rtl/>
          <w:lang w:bidi="he-IL"/>
        </w:rPr>
        <w:t>דף</w:t>
      </w:r>
      <w:r w:rsidRPr="00400C0B">
        <w:rPr>
          <w:rFonts w:cs="Guttman Rashi"/>
          <w:rtl/>
          <w:lang w:bidi="he-IL"/>
        </w:rPr>
        <w:t xml:space="preserve"> </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שהדין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כשחבטן</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מדין</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ברוב</w:t>
      </w:r>
      <w:r w:rsidRPr="00400C0B">
        <w:rPr>
          <w:rFonts w:cs="Guttman Rashi"/>
          <w:rtl/>
          <w:lang w:bidi="he-IL"/>
        </w:rPr>
        <w:t xml:space="preserve"> </w:t>
      </w:r>
      <w:r w:rsidRPr="00400C0B">
        <w:rPr>
          <w:rFonts w:cs="Guttman Rashi" w:hint="eastAsia"/>
          <w:rtl/>
          <w:lang w:bidi="he-IL"/>
        </w:rPr>
        <w:t>דעלמא</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ניכרים</w:t>
      </w:r>
      <w:r w:rsidRPr="00400C0B">
        <w:rPr>
          <w:rFonts w:cs="Guttman Rashi"/>
          <w:rtl/>
          <w:lang w:bidi="he-IL"/>
        </w:rPr>
        <w:t xml:space="preserve"> </w:t>
      </w:r>
      <w:r w:rsidRPr="00400C0B">
        <w:rPr>
          <w:rFonts w:cs="Guttman Rashi" w:hint="eastAsia"/>
          <w:rtl/>
          <w:lang w:bidi="he-IL"/>
        </w:rPr>
        <w:t>הם</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שהקשה</w:t>
      </w:r>
      <w:r w:rsidRPr="00400C0B">
        <w:rPr>
          <w:rFonts w:cs="Guttman Rashi"/>
          <w:rtl/>
          <w:lang w:bidi="he-IL"/>
        </w:rPr>
        <w:t xml:space="preserve"> </w:t>
      </w:r>
      <w:r w:rsidRPr="00400C0B">
        <w:rPr>
          <w:rFonts w:cs="Guttman Rashi" w:hint="eastAsia"/>
          <w:rtl/>
          <w:lang w:bidi="he-IL"/>
        </w:rPr>
        <w:t>הלבוש</w:t>
      </w:r>
      <w:r w:rsidRPr="00400C0B">
        <w:rPr>
          <w:rFonts w:cs="Guttman Rashi"/>
          <w:rtl/>
          <w:lang w:bidi="he-IL"/>
        </w:rPr>
        <w:t xml:space="preserve"> </w:t>
      </w:r>
      <w:r w:rsidRPr="00400C0B">
        <w:rPr>
          <w:rFonts w:cs="Guttman Rashi" w:hint="eastAsia"/>
          <w:rtl/>
          <w:lang w:bidi="he-IL"/>
        </w:rPr>
        <w:t>שבסמוך</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שאולי</w:t>
      </w:r>
      <w:r w:rsidRPr="00400C0B">
        <w:rPr>
          <w:rFonts w:cs="Guttman Rashi"/>
          <w:rtl/>
          <w:lang w:bidi="he-IL"/>
        </w:rPr>
        <w:t xml:space="preserve"> </w:t>
      </w:r>
      <w:r w:rsidRPr="00400C0B">
        <w:rPr>
          <w:rFonts w:cs="Guttman Rashi" w:hint="eastAsia"/>
          <w:rtl/>
          <w:lang w:bidi="he-IL"/>
        </w:rPr>
        <w:t>איכא</w:t>
      </w:r>
      <w:r w:rsidRPr="00400C0B">
        <w:rPr>
          <w:rFonts w:cs="Guttman Rashi"/>
          <w:rtl/>
          <w:lang w:bidi="he-IL"/>
        </w:rPr>
        <w:t xml:space="preserve"> </w:t>
      </w:r>
      <w:r w:rsidRPr="00400C0B">
        <w:rPr>
          <w:rFonts w:cs="Guttman Rashi" w:hint="eastAsia"/>
          <w:rtl/>
          <w:lang w:bidi="he-IL"/>
        </w:rPr>
        <w:t>למימר</w:t>
      </w:r>
      <w:r w:rsidRPr="00400C0B">
        <w:rPr>
          <w:rFonts w:cs="Guttman Rashi"/>
          <w:rtl/>
          <w:lang w:bidi="he-IL"/>
        </w:rPr>
        <w:t xml:space="preserve"> </w:t>
      </w:r>
      <w:r w:rsidRPr="00400C0B">
        <w:rPr>
          <w:rFonts w:cs="Guttman Rashi" w:hint="eastAsia"/>
          <w:rtl/>
          <w:lang w:bidi="he-IL"/>
        </w:rPr>
        <w:t>שרש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יסבור</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ניכר</w:t>
      </w:r>
      <w:r w:rsidRPr="00400C0B">
        <w:rPr>
          <w:rFonts w:cs="Guttman Rashi"/>
          <w:rtl/>
          <w:lang w:bidi="he-IL"/>
        </w:rPr>
        <w:t xml:space="preserve">, </w:t>
      </w:r>
      <w:r w:rsidRPr="00400C0B">
        <w:rPr>
          <w:rFonts w:cs="Guttman Rashi" w:hint="eastAsia"/>
          <w:rtl/>
          <w:lang w:bidi="he-IL"/>
        </w:rPr>
        <w:t>ואף</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להוציאו</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שזה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נחשב</w:t>
      </w:r>
      <w:r w:rsidRPr="00400C0B">
        <w:rPr>
          <w:rFonts w:cs="Guttman Rashi"/>
          <w:rtl/>
          <w:lang w:bidi="he-IL"/>
        </w:rPr>
        <w:t xml:space="preserve"> </w:t>
      </w:r>
      <w:r w:rsidRPr="00400C0B">
        <w:rPr>
          <w:rFonts w:cs="Guttman Rashi" w:hint="eastAsia"/>
          <w:rtl/>
          <w:lang w:bidi="he-IL"/>
        </w:rPr>
        <w:t>ניכר</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כדשיל</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וכשיטת</w:t>
      </w:r>
      <w:r w:rsidRPr="00400C0B">
        <w:rPr>
          <w:rFonts w:cs="Guttman Rashi"/>
          <w:rtl/>
          <w:lang w:bidi="he-IL"/>
        </w:rPr>
        <w:t xml:space="preserve"> </w:t>
      </w:r>
      <w:r w:rsidRPr="00400C0B">
        <w:rPr>
          <w:rFonts w:cs="Guttman Rashi" w:hint="eastAsia"/>
          <w:rtl/>
          <w:lang w:bidi="he-IL"/>
        </w:rPr>
        <w:t>הכרו</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שבסמוך</w:t>
      </w:r>
      <w:r w:rsidRPr="00400C0B">
        <w:rPr>
          <w:rFonts w:cs="Guttman Rashi"/>
          <w:rtl/>
          <w:lang w:bidi="he-IL"/>
        </w:rPr>
        <w:t>.</w:t>
      </w:r>
    </w:p>
  </w:footnote>
  <w:footnote w:id="33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ואנו</w:t>
      </w:r>
      <w:r w:rsidRPr="00400C0B">
        <w:rPr>
          <w:rFonts w:cs="Guttman Rashi"/>
          <w:rtl/>
          <w:lang w:bidi="he-IL"/>
        </w:rPr>
        <w:t xml:space="preserve"> </w:t>
      </w:r>
      <w:r w:rsidRPr="00400C0B">
        <w:rPr>
          <w:rFonts w:cs="Guttman Rashi" w:hint="eastAsia"/>
          <w:rtl/>
          <w:lang w:bidi="he-IL"/>
        </w:rPr>
        <w:t>מסופק</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כשאפשר</w:t>
      </w:r>
      <w:r w:rsidRPr="00400C0B">
        <w:rPr>
          <w:rFonts w:cs="Guttman Rashi"/>
          <w:rtl/>
          <w:lang w:bidi="he-IL"/>
        </w:rPr>
        <w:t xml:space="preserve"> </w:t>
      </w:r>
      <w:r w:rsidRPr="00400C0B">
        <w:rPr>
          <w:rFonts w:cs="Guttman Rashi" w:hint="eastAsia"/>
          <w:rtl/>
          <w:lang w:bidi="he-IL"/>
        </w:rPr>
        <w:t>לצננו</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הצינון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להוציא</w:t>
      </w:r>
      <w:r w:rsidRPr="00400C0B">
        <w:rPr>
          <w:rFonts w:cs="Guttman Rashi"/>
          <w:rtl/>
          <w:lang w:bidi="he-IL"/>
        </w:rPr>
        <w:t xml:space="preserve"> </w:t>
      </w:r>
      <w:r w:rsidRPr="00400C0B">
        <w:rPr>
          <w:rFonts w:cs="Guttman Rashi" w:hint="eastAsia"/>
          <w:rtl/>
          <w:lang w:bidi="he-IL"/>
        </w:rPr>
        <w:t>האם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בכלל</w:t>
      </w:r>
      <w:r w:rsidRPr="00400C0B">
        <w:rPr>
          <w:rFonts w:cs="Guttman Rashi"/>
          <w:rtl/>
          <w:lang w:bidi="he-IL"/>
        </w:rPr>
        <w:t xml:space="preserve"> </w:t>
      </w:r>
      <w:r w:rsidRPr="00400C0B">
        <w:rPr>
          <w:rFonts w:cs="Guttman Rashi" w:hint="eastAsia"/>
          <w:rtl/>
          <w:lang w:bidi="he-IL"/>
        </w:rPr>
        <w:t>הכר</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ואינו</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נפק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כמדומני</w:t>
      </w:r>
      <w:r w:rsidRPr="00400C0B">
        <w:rPr>
          <w:rFonts w:cs="Guttman Rashi"/>
          <w:rtl/>
          <w:lang w:bidi="he-IL"/>
        </w:rPr>
        <w:t xml:space="preserve"> </w:t>
      </w:r>
      <w:r w:rsidRPr="00400C0B">
        <w:rPr>
          <w:rFonts w:cs="Guttman Rashi" w:hint="eastAsia"/>
          <w:rtl/>
          <w:lang w:bidi="he-IL"/>
        </w:rPr>
        <w:t>בכל</w:t>
      </w:r>
      <w:r w:rsidRPr="00400C0B">
        <w:rPr>
          <w:rFonts w:cs="Guttman Rashi"/>
          <w:rtl/>
          <w:lang w:bidi="he-IL"/>
        </w:rPr>
        <w:t xml:space="preserve"> </w:t>
      </w:r>
      <w:r w:rsidRPr="00400C0B">
        <w:rPr>
          <w:rFonts w:cs="Guttman Rashi" w:hint="eastAsia"/>
          <w:rtl/>
          <w:lang w:bidi="he-IL"/>
        </w:rPr>
        <w:t>צינון</w:t>
      </w:r>
      <w:r w:rsidRPr="00400C0B">
        <w:rPr>
          <w:rFonts w:cs="Guttman Rashi"/>
          <w:rtl/>
          <w:lang w:bidi="he-IL"/>
        </w:rPr>
        <w:t xml:space="preserve"> </w:t>
      </w:r>
      <w:r w:rsidRPr="00400C0B">
        <w:rPr>
          <w:rFonts w:cs="Guttman Rashi" w:hint="eastAsia"/>
          <w:rtl/>
          <w:lang w:bidi="he-IL"/>
        </w:rPr>
        <w:t>שעולה</w:t>
      </w:r>
      <w:r w:rsidRPr="00400C0B">
        <w:rPr>
          <w:rFonts w:cs="Guttman Rashi"/>
          <w:rtl/>
          <w:lang w:bidi="he-IL"/>
        </w:rPr>
        <w:t xml:space="preserve"> </w:t>
      </w:r>
      <w:r w:rsidRPr="00400C0B">
        <w:rPr>
          <w:rFonts w:cs="Guttman Rashi" w:hint="eastAsia"/>
          <w:rtl/>
          <w:lang w:bidi="he-IL"/>
        </w:rPr>
        <w:t>החלב</w:t>
      </w:r>
      <w:r w:rsidRPr="00400C0B">
        <w:rPr>
          <w:rFonts w:cs="Guttman Rashi"/>
          <w:rtl/>
          <w:lang w:bidi="he-IL"/>
        </w:rPr>
        <w:t xml:space="preserve"> </w:t>
      </w:r>
      <w:r w:rsidRPr="00400C0B">
        <w:rPr>
          <w:rFonts w:cs="Guttman Rashi" w:hint="eastAsia"/>
          <w:rtl/>
          <w:lang w:bidi="he-IL"/>
        </w:rPr>
        <w:t>למעלה</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שמוציא</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נשאר</w:t>
      </w:r>
      <w:r w:rsidRPr="00400C0B">
        <w:rPr>
          <w:rFonts w:cs="Guttman Rashi"/>
          <w:rtl/>
          <w:lang w:bidi="he-IL"/>
        </w:rPr>
        <w:t xml:space="preserve"> </w:t>
      </w:r>
      <w:r w:rsidRPr="00400C0B">
        <w:rPr>
          <w:rFonts w:cs="Guttman Rashi" w:hint="eastAsia"/>
          <w:rtl/>
          <w:lang w:bidi="he-IL"/>
        </w:rPr>
        <w:t>שכבה</w:t>
      </w:r>
      <w:r w:rsidRPr="00400C0B">
        <w:rPr>
          <w:rFonts w:cs="Guttman Rashi"/>
          <w:rtl/>
          <w:lang w:bidi="he-IL"/>
        </w:rPr>
        <w:t xml:space="preserve"> </w:t>
      </w:r>
      <w:r w:rsidRPr="00400C0B">
        <w:rPr>
          <w:rFonts w:cs="Guttman Rashi" w:hint="eastAsia"/>
          <w:rtl/>
          <w:lang w:bidi="he-IL"/>
        </w:rPr>
        <w:t>דקה</w:t>
      </w:r>
      <w:r w:rsidRPr="00400C0B">
        <w:rPr>
          <w:rFonts w:cs="Guttman Rashi"/>
          <w:rtl/>
          <w:lang w:bidi="he-IL"/>
        </w:rPr>
        <w:t xml:space="preserve"> </w:t>
      </w:r>
      <w:r w:rsidRPr="00400C0B">
        <w:rPr>
          <w:rFonts w:cs="Guttman Rashi" w:hint="eastAsia"/>
          <w:rtl/>
          <w:lang w:bidi="he-IL"/>
        </w:rPr>
        <w:t>שאי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להוציא</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בטלה</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ההיתר</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בדבר</w:t>
      </w:r>
      <w:r w:rsidRPr="00400C0B">
        <w:rPr>
          <w:rFonts w:cs="Guttman Rashi"/>
          <w:rtl/>
          <w:lang w:bidi="he-IL"/>
        </w:rPr>
        <w:t xml:space="preserve"> </w:t>
      </w:r>
      <w:r w:rsidRPr="00400C0B">
        <w:rPr>
          <w:rFonts w:cs="Guttman Rashi" w:hint="eastAsia"/>
          <w:rtl/>
          <w:lang w:bidi="he-IL"/>
        </w:rPr>
        <w:t>שאפשר</w:t>
      </w:r>
      <w:r w:rsidRPr="00400C0B">
        <w:rPr>
          <w:rFonts w:cs="Guttman Rashi"/>
          <w:rtl/>
          <w:lang w:bidi="he-IL"/>
        </w:rPr>
        <w:t xml:space="preserve"> </w:t>
      </w:r>
      <w:r w:rsidRPr="00400C0B">
        <w:rPr>
          <w:rFonts w:cs="Guttman Rashi" w:hint="eastAsia"/>
          <w:rtl/>
          <w:lang w:bidi="he-IL"/>
        </w:rPr>
        <w:t>לצננו</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מיבעי</w:t>
      </w:r>
      <w:r w:rsidRPr="00400C0B">
        <w:rPr>
          <w:rFonts w:cs="Guttman Rashi"/>
          <w:rtl/>
          <w:lang w:bidi="he-IL"/>
        </w:rPr>
        <w:t xml:space="preserve"> </w:t>
      </w:r>
      <w:r w:rsidRPr="00400C0B">
        <w:rPr>
          <w:rFonts w:cs="Guttman Rashi" w:hint="eastAsia"/>
          <w:rtl/>
          <w:lang w:bidi="he-IL"/>
        </w:rPr>
        <w:t>שצריך</w:t>
      </w:r>
      <w:r w:rsidRPr="00400C0B">
        <w:rPr>
          <w:rFonts w:cs="Guttman Rashi"/>
          <w:rtl/>
          <w:lang w:bidi="he-IL"/>
        </w:rPr>
        <w:t xml:space="preserve"> </w:t>
      </w:r>
      <w:r w:rsidRPr="00400C0B">
        <w:rPr>
          <w:rFonts w:cs="Guttman Rashi" w:hint="eastAsia"/>
          <w:rtl/>
          <w:lang w:bidi="he-IL"/>
        </w:rPr>
        <w:t>לצנן</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להוציא</w:t>
      </w:r>
      <w:r w:rsidRPr="00400C0B">
        <w:rPr>
          <w:rFonts w:cs="Guttman Rashi"/>
          <w:rtl/>
          <w:lang w:bidi="he-IL"/>
        </w:rPr>
        <w:t xml:space="preserve"> </w:t>
      </w:r>
      <w:r w:rsidRPr="00400C0B">
        <w:rPr>
          <w:rFonts w:cs="Guttman Rashi" w:hint="eastAsia"/>
          <w:rtl/>
          <w:lang w:bidi="he-IL"/>
        </w:rPr>
        <w:t>החלב</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הצינון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יהי</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בעין</w:t>
      </w:r>
      <w:r w:rsidRPr="00400C0B">
        <w:rPr>
          <w:rFonts w:cs="Guttman Rashi"/>
          <w:rtl/>
          <w:lang w:bidi="he-IL"/>
        </w:rPr>
        <w:t xml:space="preserve"> </w:t>
      </w:r>
      <w:r w:rsidRPr="00400C0B">
        <w:rPr>
          <w:rFonts w:cs="Guttman Rashi" w:hint="eastAsia"/>
          <w:rtl/>
          <w:lang w:bidi="he-IL"/>
        </w:rPr>
        <w:t>בפני</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למעלה</w:t>
      </w:r>
      <w:r w:rsidRPr="00400C0B">
        <w:rPr>
          <w:rFonts w:cs="Guttman Rashi"/>
          <w:rtl/>
          <w:lang w:bidi="he-IL"/>
        </w:rPr>
        <w:t xml:space="preserve"> </w:t>
      </w:r>
      <w:r w:rsidRPr="00400C0B">
        <w:rPr>
          <w:rFonts w:cs="Guttman Rashi" w:hint="eastAsia"/>
          <w:rtl/>
          <w:lang w:bidi="he-IL"/>
        </w:rPr>
        <w:t>שאי</w:t>
      </w:r>
      <w:r w:rsidRPr="00400C0B">
        <w:rPr>
          <w:rFonts w:cs="Guttman Rashi"/>
          <w:rtl/>
          <w:lang w:bidi="he-IL"/>
        </w:rPr>
        <w:t xml:space="preserve"> </w:t>
      </w:r>
      <w:r w:rsidRPr="00400C0B">
        <w:rPr>
          <w:rFonts w:cs="Guttman Rashi" w:hint="eastAsia"/>
          <w:rtl/>
          <w:lang w:bidi="he-IL"/>
        </w:rPr>
        <w:t>אשר</w:t>
      </w:r>
      <w:r w:rsidRPr="00400C0B">
        <w:rPr>
          <w:rFonts w:cs="Guttman Rashi"/>
          <w:rtl/>
          <w:lang w:bidi="he-IL"/>
        </w:rPr>
        <w:t xml:space="preserve"> </w:t>
      </w:r>
      <w:r w:rsidRPr="00400C0B">
        <w:rPr>
          <w:rFonts w:cs="Guttman Rashi" w:hint="eastAsia"/>
          <w:rtl/>
          <w:lang w:bidi="he-IL"/>
        </w:rPr>
        <w:t>להוציאו</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לערבו</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מהא</w:t>
      </w:r>
      <w:r w:rsidRPr="00400C0B">
        <w:rPr>
          <w:rFonts w:cs="Guttman Rashi"/>
          <w:rtl/>
          <w:lang w:bidi="he-IL"/>
        </w:rPr>
        <w:t xml:space="preserve"> </w:t>
      </w:r>
      <w:r w:rsidRPr="00400C0B">
        <w:rPr>
          <w:rFonts w:cs="Guttman Rashi" w:hint="eastAsia"/>
          <w:rtl/>
          <w:lang w:bidi="he-IL"/>
        </w:rPr>
        <w:t>דאסור</w:t>
      </w:r>
      <w:r w:rsidRPr="00400C0B">
        <w:rPr>
          <w:rFonts w:cs="Guttman Rashi"/>
          <w:rtl/>
          <w:lang w:bidi="he-IL"/>
        </w:rPr>
        <w:t xml:space="preserve"> </w:t>
      </w:r>
      <w:r w:rsidRPr="00400C0B">
        <w:rPr>
          <w:rFonts w:cs="Guttman Rashi" w:hint="eastAsia"/>
          <w:rtl/>
          <w:lang w:bidi="he-IL"/>
        </w:rPr>
        <w:t>לבטל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p>
  </w:footnote>
  <w:footnote w:id="33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שכתבנו</w:t>
      </w:r>
      <w:r w:rsidRPr="00400C0B">
        <w:rPr>
          <w:rFonts w:cs="Guttman Rashi"/>
          <w:rtl/>
          <w:lang w:bidi="he-IL"/>
        </w:rPr>
        <w:t xml:space="preserve"> </w:t>
      </w:r>
      <w:r w:rsidRPr="00400C0B">
        <w:rPr>
          <w:rFonts w:cs="Guttman Rashi" w:hint="eastAsia"/>
          <w:rtl/>
          <w:lang w:bidi="he-IL"/>
        </w:rPr>
        <w:t>מזה</w:t>
      </w:r>
    </w:p>
  </w:footnote>
  <w:footnote w:id="33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ביאור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טעמו</w:t>
      </w:r>
      <w:r w:rsidRPr="00400C0B">
        <w:rPr>
          <w:rFonts w:cs="Guttman Rashi"/>
          <w:rtl/>
          <w:lang w:bidi="he-IL"/>
        </w:rPr>
        <w:t xml:space="preserve"> </w:t>
      </w:r>
      <w:r w:rsidRPr="00400C0B">
        <w:rPr>
          <w:rFonts w:cs="Guttman Rashi" w:hint="eastAsia"/>
          <w:rtl/>
          <w:lang w:bidi="he-IL"/>
        </w:rPr>
        <w:t>וממשו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המילתא</w:t>
      </w:r>
      <w:r w:rsidRPr="00400C0B">
        <w:rPr>
          <w:rFonts w:cs="Guttman Rashi"/>
          <w:rtl/>
          <w:lang w:bidi="he-IL"/>
        </w:rPr>
        <w:t xml:space="preserve"> </w:t>
      </w:r>
      <w:r w:rsidRPr="00400C0B">
        <w:rPr>
          <w:rFonts w:cs="Guttman Rashi" w:hint="eastAsia"/>
          <w:rtl/>
          <w:lang w:bidi="he-IL"/>
        </w:rPr>
        <w:t>דעבידא</w:t>
      </w:r>
      <w:r w:rsidRPr="00400C0B">
        <w:rPr>
          <w:rFonts w:cs="Guttman Rashi"/>
          <w:rtl/>
          <w:lang w:bidi="he-IL"/>
        </w:rPr>
        <w:t xml:space="preserve"> </w:t>
      </w:r>
      <w:r w:rsidRPr="00400C0B">
        <w:rPr>
          <w:rFonts w:cs="Guttman Rashi" w:hint="eastAsia"/>
          <w:rtl/>
          <w:lang w:bidi="he-IL"/>
        </w:rPr>
        <w:t>לטעמא</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האו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יודה</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w:t>
      </w:r>
    </w:p>
  </w:footnote>
  <w:footnote w:id="33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עיקרי</w:t>
      </w:r>
      <w:r w:rsidRPr="00400C0B">
        <w:rPr>
          <w:rFonts w:cs="Guttman Rashi"/>
          <w:rtl/>
          <w:lang w:bidi="he-IL"/>
        </w:rPr>
        <w:t xml:space="preserve"> </w:t>
      </w:r>
      <w:r w:rsidRPr="00400C0B">
        <w:rPr>
          <w:rFonts w:cs="Guttman Rashi" w:hint="eastAsia"/>
          <w:rtl/>
          <w:lang w:bidi="he-IL"/>
        </w:rPr>
        <w:t>הדברים</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נתבארו</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ז</w:t>
      </w:r>
    </w:p>
  </w:footnote>
  <w:footnote w:id="34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דקדקו</w:t>
      </w:r>
      <w:r w:rsidRPr="00400C0B">
        <w:rPr>
          <w:rFonts w:cs="Guttman Rashi"/>
          <w:rtl/>
          <w:lang w:bidi="he-IL"/>
        </w:rPr>
        <w:t xml:space="preserve"> </w:t>
      </w:r>
      <w:r w:rsidRPr="00400C0B">
        <w:rPr>
          <w:rFonts w:cs="Guttman Rashi" w:hint="eastAsia"/>
          <w:rtl/>
          <w:lang w:bidi="he-IL"/>
        </w:rPr>
        <w:t>הפר</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ופר</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בדעת</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ם</w:t>
      </w:r>
    </w:p>
  </w:footnote>
  <w:footnote w:id="34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ובכרו</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הביא</w:t>
      </w:r>
      <w:r w:rsidRPr="00400C0B">
        <w:rPr>
          <w:rFonts w:cs="Guttman Rashi"/>
          <w:rtl/>
          <w:lang w:bidi="he-IL"/>
        </w:rPr>
        <w:t xml:space="preserve"> </w:t>
      </w:r>
      <w:r w:rsidRPr="00400C0B">
        <w:rPr>
          <w:rFonts w:cs="Guttman Rashi" w:hint="eastAsia"/>
          <w:rtl/>
          <w:lang w:bidi="he-IL"/>
        </w:rPr>
        <w:t>דיוק</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שבמס</w:t>
      </w:r>
      <w:r w:rsidRPr="00400C0B">
        <w:rPr>
          <w:rFonts w:cs="Guttman Rashi"/>
          <w:rtl/>
          <w:lang w:bidi="he-IL"/>
        </w:rPr>
        <w:t xml:space="preserve">' </w:t>
      </w:r>
      <w:r w:rsidRPr="00400C0B">
        <w:rPr>
          <w:rFonts w:cs="Guttman Rashi" w:hint="eastAsia"/>
          <w:rtl/>
          <w:lang w:bidi="he-IL"/>
        </w:rPr>
        <w:t>גיטין</w:t>
      </w:r>
      <w:r w:rsidRPr="00400C0B">
        <w:rPr>
          <w:rFonts w:cs="Guttman Rashi"/>
          <w:rtl/>
          <w:lang w:bidi="he-IL"/>
        </w:rPr>
        <w:t xml:space="preserve"> </w:t>
      </w:r>
      <w:r w:rsidRPr="00400C0B">
        <w:rPr>
          <w:rFonts w:cs="Guttman Rashi" w:hint="eastAsia"/>
          <w:rtl/>
          <w:lang w:bidi="he-IL"/>
        </w:rPr>
        <w:t>דף</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שהיא</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ששם</w:t>
      </w:r>
      <w:r w:rsidRPr="00400C0B">
        <w:rPr>
          <w:rFonts w:cs="Guttman Rashi"/>
          <w:rtl/>
          <w:lang w:bidi="he-IL"/>
        </w:rPr>
        <w:t xml:space="preserve"> </w:t>
      </w:r>
      <w:r w:rsidRPr="00400C0B">
        <w:rPr>
          <w:rFonts w:cs="Guttman Rashi" w:hint="eastAsia"/>
          <w:rtl/>
          <w:lang w:bidi="he-IL"/>
        </w:rPr>
        <w:t>כתוב</w:t>
      </w:r>
      <w:r w:rsidRPr="00400C0B">
        <w:rPr>
          <w:rFonts w:cs="Guttman Rashi"/>
          <w:rtl/>
          <w:lang w:bidi="he-IL"/>
        </w:rPr>
        <w:t xml:space="preserve"> "</w:t>
      </w:r>
      <w:r w:rsidRPr="00400C0B">
        <w:rPr>
          <w:rFonts w:cs="Guttman Rashi" w:hint="eastAsia"/>
          <w:rtl/>
          <w:lang w:bidi="he-IL"/>
        </w:rPr>
        <w:t>והא</w:t>
      </w:r>
      <w:r w:rsidRPr="00400C0B">
        <w:rPr>
          <w:rFonts w:cs="Guttman Rashi"/>
          <w:rtl/>
          <w:lang w:bidi="he-IL"/>
        </w:rPr>
        <w:t xml:space="preserve"> </w:t>
      </w:r>
      <w:r w:rsidRPr="00400C0B">
        <w:rPr>
          <w:rFonts w:cs="Guttman Rashi" w:hint="eastAsia"/>
          <w:rtl/>
          <w:lang w:bidi="he-IL"/>
        </w:rPr>
        <w:t>הכא</w:t>
      </w:r>
      <w:r w:rsidRPr="00400C0B">
        <w:rPr>
          <w:rFonts w:cs="Guttman Rashi"/>
          <w:rtl/>
          <w:lang w:bidi="he-IL"/>
        </w:rPr>
        <w:t xml:space="preserve"> </w:t>
      </w:r>
      <w:r w:rsidRPr="00400C0B">
        <w:rPr>
          <w:rFonts w:cs="Guttman Rashi" w:hint="eastAsia"/>
          <w:rtl/>
          <w:lang w:bidi="he-IL"/>
        </w:rPr>
        <w:t>דמדאורייתא</w:t>
      </w:r>
      <w:r w:rsidRPr="00400C0B">
        <w:rPr>
          <w:rFonts w:cs="Guttman Rashi"/>
          <w:rtl/>
          <w:lang w:bidi="he-IL"/>
        </w:rPr>
        <w:t xml:space="preserve"> </w:t>
      </w:r>
      <w:r w:rsidRPr="00400C0B">
        <w:rPr>
          <w:rFonts w:cs="Guttman Rashi" w:hint="eastAsia"/>
          <w:rtl/>
          <w:lang w:bidi="he-IL"/>
        </w:rPr>
        <w:t>חד</w:t>
      </w:r>
      <w:r w:rsidRPr="00400C0B">
        <w:rPr>
          <w:rFonts w:cs="Guttman Rashi"/>
          <w:rtl/>
          <w:lang w:bidi="he-IL"/>
        </w:rPr>
        <w:t xml:space="preserve"> </w:t>
      </w:r>
      <w:r w:rsidRPr="00400C0B">
        <w:rPr>
          <w:rFonts w:cs="Guttman Rashi" w:hint="eastAsia"/>
          <w:rtl/>
          <w:lang w:bidi="he-IL"/>
        </w:rPr>
        <w:t>בתרי</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ורבנן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דגזור</w:t>
      </w:r>
      <w:r w:rsidRPr="00400C0B">
        <w:rPr>
          <w:rFonts w:cs="Guttman Rashi"/>
          <w:rtl/>
          <w:lang w:bidi="he-IL"/>
        </w:rPr>
        <w:t xml:space="preserve">, </w:t>
      </w:r>
      <w:r w:rsidRPr="00400C0B">
        <w:rPr>
          <w:rFonts w:cs="Guttman Rashi" w:hint="eastAsia"/>
          <w:rtl/>
          <w:lang w:bidi="he-IL"/>
        </w:rPr>
        <w:t>וקא</w:t>
      </w:r>
      <w:r w:rsidRPr="00400C0B">
        <w:rPr>
          <w:rFonts w:cs="Guttman Rashi"/>
          <w:rtl/>
          <w:lang w:bidi="he-IL"/>
        </w:rPr>
        <w:t xml:space="preserve"> </w:t>
      </w:r>
      <w:r w:rsidRPr="00400C0B">
        <w:rPr>
          <w:rFonts w:cs="Guttman Rashi" w:hint="eastAsia"/>
          <w:rtl/>
          <w:lang w:bidi="he-IL"/>
        </w:rPr>
        <w:t>קניס</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דהתם</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בביטול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וקאמר</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דרבנן</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שכבר</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שמוסיף</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דחד</w:t>
      </w:r>
      <w:r w:rsidRPr="00400C0B">
        <w:rPr>
          <w:rFonts w:cs="Guttman Rashi"/>
          <w:rtl/>
          <w:lang w:bidi="he-IL"/>
        </w:rPr>
        <w:t xml:space="preserve"> </w:t>
      </w:r>
      <w:r w:rsidRPr="00400C0B">
        <w:rPr>
          <w:rFonts w:cs="Guttman Rashi" w:hint="eastAsia"/>
          <w:rtl/>
          <w:lang w:bidi="he-IL"/>
        </w:rPr>
        <w:t>בתרי</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לבטל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מדרבנן</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חד</w:t>
      </w:r>
      <w:r w:rsidRPr="00400C0B">
        <w:rPr>
          <w:rFonts w:cs="Guttman Rashi"/>
          <w:rtl/>
          <w:lang w:bidi="he-IL"/>
        </w:rPr>
        <w:t xml:space="preserve"> </w:t>
      </w:r>
      <w:r w:rsidRPr="00400C0B">
        <w:rPr>
          <w:rFonts w:cs="Guttman Rashi" w:hint="eastAsia"/>
          <w:rtl/>
          <w:lang w:bidi="he-IL"/>
        </w:rPr>
        <w:t>בתרי</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דרבנן</w:t>
      </w:r>
      <w:r w:rsidRPr="00400C0B">
        <w:rPr>
          <w:rFonts w:cs="Guttman Rashi"/>
          <w:rtl/>
          <w:lang w:bidi="he-IL"/>
        </w:rPr>
        <w:t xml:space="preserve">. </w:t>
      </w:r>
      <w:r w:rsidRPr="00400C0B">
        <w:rPr>
          <w:rFonts w:cs="Guttman Rashi" w:hint="eastAsia"/>
          <w:rtl/>
          <w:lang w:bidi="he-IL"/>
        </w:rPr>
        <w:t>ובמש</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דעדיפא</w:t>
      </w:r>
      <w:r w:rsidRPr="00400C0B">
        <w:rPr>
          <w:rFonts w:cs="Guttman Rashi"/>
          <w:rtl/>
          <w:lang w:bidi="he-IL"/>
        </w:rPr>
        <w:t xml:space="preserve"> </w:t>
      </w:r>
      <w:r w:rsidRPr="00400C0B">
        <w:rPr>
          <w:rFonts w:cs="Guttman Rashi" w:hint="eastAsia"/>
          <w:rtl/>
          <w:lang w:bidi="he-IL"/>
        </w:rPr>
        <w:t>מיני</w:t>
      </w:r>
      <w:r w:rsidRPr="00400C0B">
        <w:rPr>
          <w:rFonts w:cs="Guttman Rashi"/>
          <w:rtl/>
          <w:lang w:bidi="he-IL"/>
        </w:rPr>
        <w:t xml:space="preserve">' </w:t>
      </w:r>
      <w:r w:rsidRPr="00400C0B">
        <w:rPr>
          <w:rFonts w:cs="Guttman Rashi" w:hint="eastAsia"/>
          <w:rtl/>
          <w:lang w:bidi="he-IL"/>
        </w:rPr>
        <w:t>פריך</w:t>
      </w:r>
      <w:r w:rsidRPr="00400C0B">
        <w:rPr>
          <w:rFonts w:cs="Guttman Rashi"/>
          <w:rtl/>
          <w:lang w:bidi="he-IL"/>
        </w:rPr>
        <w:t xml:space="preserve">, </w:t>
      </w:r>
      <w:r w:rsidRPr="00400C0B">
        <w:rPr>
          <w:rFonts w:cs="Guttman Rashi" w:hint="eastAsia"/>
          <w:rtl/>
          <w:lang w:bidi="he-IL"/>
        </w:rPr>
        <w:t>דאפילו</w:t>
      </w:r>
      <w:r w:rsidRPr="00400C0B">
        <w:rPr>
          <w:rFonts w:cs="Guttman Rashi"/>
          <w:rtl/>
          <w:lang w:bidi="he-IL"/>
        </w:rPr>
        <w:t xml:space="preserve"> </w:t>
      </w:r>
      <w:r w:rsidRPr="00400C0B">
        <w:rPr>
          <w:rFonts w:cs="Guttman Rashi" w:hint="eastAsia"/>
          <w:rtl/>
          <w:lang w:bidi="he-IL"/>
        </w:rPr>
        <w:t>התערובת</w:t>
      </w:r>
      <w:r w:rsidRPr="00400C0B">
        <w:rPr>
          <w:rFonts w:cs="Guttman Rashi"/>
          <w:rtl/>
          <w:lang w:bidi="he-IL"/>
        </w:rPr>
        <w:t xml:space="preserve"> </w:t>
      </w:r>
      <w:r w:rsidRPr="00400C0B">
        <w:rPr>
          <w:rFonts w:cs="Guttman Rashi" w:hint="eastAsia"/>
          <w:rtl/>
          <w:lang w:bidi="he-IL"/>
        </w:rPr>
        <w:t>עצמה</w:t>
      </w:r>
      <w:r w:rsidRPr="00400C0B">
        <w:rPr>
          <w:rFonts w:cs="Guttman Rashi"/>
          <w:rtl/>
          <w:lang w:bidi="he-IL"/>
        </w:rPr>
        <w:t xml:space="preserve"> </w:t>
      </w:r>
      <w:r w:rsidRPr="00400C0B">
        <w:rPr>
          <w:rFonts w:cs="Guttman Rashi" w:hint="eastAsia"/>
          <w:rtl/>
          <w:lang w:bidi="he-IL"/>
        </w:rPr>
        <w:t>אינה</w:t>
      </w:r>
      <w:r w:rsidRPr="00400C0B">
        <w:rPr>
          <w:rFonts w:cs="Guttman Rashi"/>
          <w:rtl/>
          <w:lang w:bidi="he-IL"/>
        </w:rPr>
        <w:t xml:space="preserve"> </w:t>
      </w:r>
      <w:r w:rsidRPr="00400C0B">
        <w:rPr>
          <w:rFonts w:cs="Guttman Rashi" w:hint="eastAsia"/>
          <w:rtl/>
          <w:lang w:bidi="he-IL"/>
        </w:rPr>
        <w:t>אסורה</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p>
  </w:footnote>
  <w:footnote w:id="34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ולישנא</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מבטלין</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מהני</w:t>
      </w:r>
    </w:p>
  </w:footnote>
  <w:footnote w:id="34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ובפרי</w:t>
      </w:r>
      <w:r w:rsidRPr="00400C0B">
        <w:rPr>
          <w:rFonts w:cs="Guttman Rashi"/>
          <w:rtl/>
          <w:lang w:bidi="he-IL"/>
        </w:rPr>
        <w:t xml:space="preserve"> </w:t>
      </w:r>
      <w:r w:rsidRPr="00400C0B">
        <w:rPr>
          <w:rFonts w:cs="Guttman Rashi" w:hint="eastAsia"/>
          <w:rtl/>
          <w:lang w:bidi="he-IL"/>
        </w:rPr>
        <w:t>תואר</w:t>
      </w:r>
      <w:r w:rsidRPr="00400C0B">
        <w:rPr>
          <w:rFonts w:cs="Guttman Rashi"/>
          <w:rtl/>
          <w:lang w:bidi="he-IL"/>
        </w:rPr>
        <w:t xml:space="preserve"> </w:t>
      </w:r>
      <w:r w:rsidRPr="00400C0B">
        <w:rPr>
          <w:rFonts w:cs="Guttman Rashi" w:hint="eastAsia"/>
          <w:rtl/>
          <w:lang w:bidi="he-IL"/>
        </w:rPr>
        <w:t>סס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נקט</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הלל</w:t>
      </w:r>
      <w:r w:rsidRPr="00400C0B">
        <w:rPr>
          <w:rFonts w:cs="Guttman Rashi"/>
          <w:rtl/>
          <w:lang w:bidi="he-IL"/>
        </w:rPr>
        <w:t>"</w:t>
      </w:r>
      <w:r w:rsidRPr="00400C0B">
        <w:rPr>
          <w:rFonts w:cs="Guttman Rashi" w:hint="eastAsia"/>
          <w:rtl/>
          <w:lang w:bidi="he-IL"/>
        </w:rPr>
        <w:t>מ</w:t>
      </w:r>
    </w:p>
  </w:footnote>
  <w:footnote w:id="34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להוסיף</w:t>
      </w:r>
      <w:r w:rsidRPr="00400C0B">
        <w:rPr>
          <w:rFonts w:cs="Guttman Rashi"/>
          <w:rtl/>
          <w:lang w:bidi="he-IL"/>
        </w:rPr>
        <w:t xml:space="preserve"> </w:t>
      </w:r>
      <w:r w:rsidRPr="00400C0B">
        <w:rPr>
          <w:rFonts w:cs="Guttman Rashi" w:hint="eastAsia"/>
          <w:rtl/>
          <w:lang w:bidi="he-IL"/>
        </w:rPr>
        <w:t>קצת</w:t>
      </w:r>
      <w:r w:rsidRPr="00400C0B">
        <w:rPr>
          <w:rFonts w:cs="Guttman Rashi"/>
          <w:rtl/>
          <w:lang w:bidi="he-IL"/>
        </w:rPr>
        <w:t xml:space="preserve"> </w:t>
      </w:r>
      <w:r w:rsidRPr="00400C0B">
        <w:rPr>
          <w:rFonts w:cs="Guttman Rashi" w:hint="eastAsia"/>
          <w:rtl/>
          <w:lang w:bidi="he-IL"/>
        </w:rPr>
        <w:t>תוספת</w:t>
      </w:r>
      <w:r w:rsidRPr="00400C0B">
        <w:rPr>
          <w:rFonts w:cs="Guttman Rashi"/>
          <w:rtl/>
          <w:lang w:bidi="he-IL"/>
        </w:rPr>
        <w:t xml:space="preserve"> </w:t>
      </w:r>
      <w:r w:rsidRPr="00400C0B">
        <w:rPr>
          <w:rFonts w:cs="Guttman Rashi" w:hint="eastAsia"/>
          <w:rtl/>
          <w:lang w:bidi="he-IL"/>
        </w:rPr>
        <w:t>הסבר</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דהיינו</w:t>
      </w:r>
      <w:r w:rsidRPr="00400C0B">
        <w:rPr>
          <w:rFonts w:cs="Guttman Rashi"/>
          <w:rtl/>
          <w:lang w:bidi="he-IL"/>
        </w:rPr>
        <w:t xml:space="preserve"> </w:t>
      </w:r>
      <w:r w:rsidRPr="00400C0B">
        <w:rPr>
          <w:rFonts w:cs="Guttman Rashi" w:hint="eastAsia"/>
          <w:rtl/>
          <w:lang w:bidi="he-IL"/>
        </w:rPr>
        <w:t>שהאיסור</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בחפצא</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מאכלות</w:t>
      </w:r>
      <w:r w:rsidRPr="00400C0B">
        <w:rPr>
          <w:rFonts w:cs="Guttman Rashi"/>
          <w:rtl/>
          <w:lang w:bidi="he-IL"/>
        </w:rPr>
        <w:t xml:space="preserve"> </w:t>
      </w:r>
      <w:r w:rsidRPr="00400C0B">
        <w:rPr>
          <w:rFonts w:cs="Guttman Rashi" w:hint="eastAsia"/>
          <w:rtl/>
          <w:lang w:bidi="he-IL"/>
        </w:rPr>
        <w:t>אסורות</w:t>
      </w:r>
      <w:r w:rsidRPr="00400C0B">
        <w:rPr>
          <w:rFonts w:cs="Guttman Rashi"/>
          <w:rtl/>
          <w:lang w:bidi="he-IL"/>
        </w:rPr>
        <w:t xml:space="preserve"> </w:t>
      </w:r>
      <w:r w:rsidRPr="00400C0B">
        <w:rPr>
          <w:rFonts w:cs="Guttman Rashi" w:hint="eastAsia"/>
          <w:rtl/>
          <w:lang w:bidi="he-IL"/>
        </w:rPr>
        <w:t>שחוץ</w:t>
      </w:r>
      <w:r w:rsidRPr="00400C0B">
        <w:rPr>
          <w:rFonts w:cs="Guttman Rashi"/>
          <w:rtl/>
          <w:lang w:bidi="he-IL"/>
        </w:rPr>
        <w:t xml:space="preserve"> </w:t>
      </w:r>
      <w:r w:rsidRPr="00400C0B">
        <w:rPr>
          <w:rFonts w:cs="Guttman Rashi" w:hint="eastAsia"/>
          <w:rtl/>
          <w:lang w:bidi="he-IL"/>
        </w:rPr>
        <w:t>ממה</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שאסור</w:t>
      </w:r>
      <w:r w:rsidRPr="00400C0B">
        <w:rPr>
          <w:rFonts w:cs="Guttman Rashi"/>
          <w:rtl/>
          <w:lang w:bidi="he-IL"/>
        </w:rPr>
        <w:t xml:space="preserve"> </w:t>
      </w:r>
      <w:r w:rsidRPr="00400C0B">
        <w:rPr>
          <w:rFonts w:cs="Guttman Rashi" w:hint="eastAsia"/>
          <w:rtl/>
          <w:lang w:bidi="he-IL"/>
        </w:rPr>
        <w:t>לאכלו</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שאסור</w:t>
      </w:r>
      <w:r w:rsidRPr="00400C0B">
        <w:rPr>
          <w:rFonts w:cs="Guttman Rashi"/>
          <w:rtl/>
          <w:lang w:bidi="he-IL"/>
        </w:rPr>
        <w:t xml:space="preserve"> </w:t>
      </w:r>
      <w:r w:rsidRPr="00400C0B">
        <w:rPr>
          <w:rFonts w:cs="Guttman Rashi" w:hint="eastAsia"/>
          <w:rtl/>
          <w:lang w:bidi="he-IL"/>
        </w:rPr>
        <w:t>לבטלו</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לאכלו</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חלות</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בחפצא</w:t>
      </w:r>
      <w:r w:rsidRPr="00400C0B">
        <w:rPr>
          <w:rFonts w:cs="Guttman Rashi"/>
          <w:rtl/>
          <w:lang w:bidi="he-IL"/>
        </w:rPr>
        <w:t xml:space="preserve"> </w:t>
      </w:r>
      <w:r w:rsidRPr="00400C0B">
        <w:rPr>
          <w:rFonts w:cs="Guttman Rashi" w:hint="eastAsia"/>
          <w:rtl/>
          <w:lang w:bidi="he-IL"/>
        </w:rPr>
        <w:t>דאיסורא</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שביטלוהו</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הביטול</w:t>
      </w:r>
      <w:r w:rsidRPr="00400C0B">
        <w:rPr>
          <w:rFonts w:cs="Guttman Rashi"/>
          <w:rtl/>
          <w:lang w:bidi="he-IL"/>
        </w:rPr>
        <w:t xml:space="preserve"> </w:t>
      </w:r>
      <w:r w:rsidRPr="00400C0B">
        <w:rPr>
          <w:rFonts w:cs="Guttman Rashi" w:hint="eastAsia"/>
          <w:rtl/>
          <w:lang w:bidi="he-IL"/>
        </w:rPr>
        <w:t>סוף</w:t>
      </w:r>
      <w:r w:rsidRPr="00400C0B">
        <w:rPr>
          <w:rFonts w:cs="Guttman Rashi"/>
          <w:rtl/>
          <w:lang w:bidi="he-IL"/>
        </w:rPr>
        <w:t xml:space="preserve"> </w:t>
      </w:r>
      <w:r w:rsidRPr="00400C0B">
        <w:rPr>
          <w:rFonts w:cs="Guttman Rashi" w:hint="eastAsia"/>
          <w:rtl/>
          <w:lang w:bidi="he-IL"/>
        </w:rPr>
        <w:t>סוף</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ומותר</w:t>
      </w:r>
      <w:r w:rsidRPr="00400C0B">
        <w:rPr>
          <w:rFonts w:cs="Guttman Rashi"/>
          <w:rtl/>
          <w:lang w:bidi="he-IL"/>
        </w:rPr>
        <w:t>.</w:t>
      </w:r>
    </w:p>
  </w:footnote>
  <w:footnote w:id="34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הבנתי</w:t>
      </w:r>
      <w:r w:rsidRPr="00400C0B">
        <w:rPr>
          <w:rFonts w:cs="Guttman Rashi"/>
          <w:rtl/>
          <w:lang w:bidi="he-IL"/>
        </w:rPr>
        <w:t xml:space="preserve"> </w:t>
      </w:r>
      <w:r w:rsidRPr="00400C0B">
        <w:rPr>
          <w:rFonts w:cs="Guttman Rashi" w:hint="eastAsia"/>
          <w:rtl/>
          <w:lang w:bidi="he-IL"/>
        </w:rPr>
        <w:t>כראוי</w:t>
      </w:r>
      <w:r w:rsidRPr="00400C0B">
        <w:rPr>
          <w:rFonts w:cs="Guttman Rashi"/>
          <w:rtl/>
          <w:lang w:bidi="he-IL"/>
        </w:rPr>
        <w:t xml:space="preserve"> </w:t>
      </w:r>
      <w:r w:rsidRPr="00400C0B">
        <w:rPr>
          <w:rFonts w:cs="Guttman Rashi" w:hint="eastAsia"/>
          <w:rtl/>
          <w:lang w:bidi="he-IL"/>
        </w:rPr>
        <w:t>השגת</w:t>
      </w:r>
      <w:r w:rsidRPr="00400C0B">
        <w:rPr>
          <w:rFonts w:cs="Guttman Rashi"/>
          <w:rtl/>
          <w:lang w:bidi="he-IL"/>
        </w:rPr>
        <w:t xml:space="preserve"> </w:t>
      </w:r>
      <w:r w:rsidRPr="00400C0B">
        <w:rPr>
          <w:rFonts w:cs="Guttman Rashi" w:hint="eastAsia"/>
          <w:rtl/>
          <w:lang w:bidi="he-IL"/>
        </w:rPr>
        <w:t>הגרש</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שזורקו</w:t>
      </w:r>
      <w:r w:rsidRPr="00400C0B">
        <w:rPr>
          <w:rFonts w:cs="Guttman Rashi"/>
          <w:rtl/>
          <w:lang w:bidi="he-IL"/>
        </w:rPr>
        <w:t xml:space="preserve"> </w:t>
      </w:r>
      <w:r w:rsidRPr="00400C0B">
        <w:rPr>
          <w:rFonts w:cs="Guttman Rashi" w:hint="eastAsia"/>
          <w:rtl/>
          <w:lang w:bidi="he-IL"/>
        </w:rPr>
        <w:t>ואינו</w:t>
      </w:r>
      <w:r w:rsidRPr="00400C0B">
        <w:rPr>
          <w:rFonts w:cs="Guttman Rashi"/>
          <w:rtl/>
          <w:lang w:bidi="he-IL"/>
        </w:rPr>
        <w:t xml:space="preserve"> </w:t>
      </w:r>
      <w:r w:rsidRPr="00400C0B">
        <w:rPr>
          <w:rFonts w:cs="Guttman Rashi" w:hint="eastAsia"/>
          <w:rtl/>
          <w:lang w:bidi="he-IL"/>
        </w:rPr>
        <w:t>נהנה</w:t>
      </w:r>
      <w:r w:rsidRPr="00400C0B">
        <w:rPr>
          <w:rFonts w:cs="Guttman Rashi"/>
          <w:rtl/>
          <w:lang w:bidi="he-IL"/>
        </w:rPr>
        <w:t xml:space="preserve"> </w:t>
      </w:r>
      <w:r w:rsidRPr="00400C0B">
        <w:rPr>
          <w:rFonts w:cs="Guttman Rashi" w:hint="eastAsia"/>
          <w:rtl/>
          <w:lang w:bidi="he-IL"/>
        </w:rPr>
        <w:t>ממנו</w:t>
      </w:r>
      <w:r w:rsidRPr="00400C0B">
        <w:rPr>
          <w:rFonts w:cs="Guttman Rashi"/>
          <w:rtl/>
          <w:lang w:bidi="he-IL"/>
        </w:rPr>
        <w:t>.</w:t>
      </w:r>
    </w:p>
  </w:footnote>
  <w:footnote w:id="346">
    <w:p w:rsidR="007978F4" w:rsidRPr="00400C0B" w:rsidRDefault="007978F4" w:rsidP="00B80448">
      <w:pPr>
        <w:pStyle w:val="FootnoteText"/>
        <w:bidi/>
        <w:jc w:val="both"/>
        <w:rPr>
          <w:rFonts w:cs="Guttman Rashi"/>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באבר</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החי</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ויל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נאמר</w:t>
      </w:r>
      <w:r w:rsidRPr="00400C0B">
        <w:rPr>
          <w:rFonts w:cs="Guttman Rashi"/>
          <w:rtl/>
          <w:lang w:bidi="he-IL"/>
        </w:rPr>
        <w:t xml:space="preserve"> </w:t>
      </w:r>
      <w:r w:rsidRPr="00400C0B">
        <w:rPr>
          <w:rFonts w:cs="Guttman Rashi" w:hint="eastAsia"/>
          <w:rtl/>
          <w:lang w:bidi="he-IL"/>
        </w:rPr>
        <w:t>פרשת</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ברוב</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באבר</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החי</w:t>
      </w:r>
      <w:r w:rsidRPr="00400C0B">
        <w:rPr>
          <w:rFonts w:cs="Guttman Rashi"/>
          <w:rtl/>
          <w:lang w:bidi="he-IL"/>
        </w:rPr>
        <w:t xml:space="preserve"> </w:t>
      </w:r>
      <w:r w:rsidRPr="00400C0B">
        <w:rPr>
          <w:rFonts w:cs="Guttman Rashi" w:hint="eastAsia"/>
          <w:rtl/>
          <w:lang w:bidi="he-IL"/>
        </w:rPr>
        <w:t>לנכרי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34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והנה</w:t>
      </w:r>
      <w:r w:rsidRPr="00400C0B">
        <w:rPr>
          <w:rFonts w:cs="Guttman Rashi"/>
          <w:rtl/>
          <w:lang w:bidi="he-IL"/>
        </w:rPr>
        <w:t xml:space="preserve"> </w:t>
      </w:r>
      <w:r w:rsidRPr="00400C0B">
        <w:rPr>
          <w:rFonts w:cs="Guttman Rashi" w:hint="eastAsia"/>
          <w:rtl/>
          <w:lang w:bidi="he-IL"/>
        </w:rPr>
        <w:t>מרגלא</w:t>
      </w:r>
      <w:r w:rsidRPr="00400C0B">
        <w:rPr>
          <w:rFonts w:cs="Guttman Rashi"/>
          <w:rtl/>
          <w:lang w:bidi="he-IL"/>
        </w:rPr>
        <w:t xml:space="preserve"> </w:t>
      </w:r>
      <w:r w:rsidRPr="00400C0B">
        <w:rPr>
          <w:rFonts w:cs="Guttman Rashi" w:hint="eastAsia"/>
          <w:rtl/>
          <w:lang w:bidi="he-IL"/>
        </w:rPr>
        <w:t>בפומי</w:t>
      </w:r>
      <w:r w:rsidRPr="00400C0B">
        <w:rPr>
          <w:rFonts w:cs="Guttman Rashi"/>
          <w:rtl/>
          <w:lang w:bidi="he-IL"/>
        </w:rPr>
        <w:t xml:space="preserve">' </w:t>
      </w:r>
      <w:r w:rsidRPr="00400C0B">
        <w:rPr>
          <w:rFonts w:cs="Guttman Rashi" w:hint="eastAsia"/>
          <w:rtl/>
          <w:lang w:bidi="he-IL"/>
        </w:rPr>
        <w:t>דמו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הגרא</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שליט</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להוכיח</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המאירי</w:t>
      </w:r>
      <w:r w:rsidRPr="00400C0B">
        <w:rPr>
          <w:rFonts w:cs="Guttman Rashi"/>
          <w:rtl/>
          <w:lang w:bidi="he-IL"/>
        </w:rPr>
        <w:t xml:space="preserve"> </w:t>
      </w:r>
      <w:r w:rsidRPr="00400C0B">
        <w:rPr>
          <w:rFonts w:cs="Guttman Rashi" w:hint="eastAsia"/>
          <w:rtl/>
          <w:lang w:bidi="he-IL"/>
        </w:rPr>
        <w:t>למס</w:t>
      </w:r>
      <w:r w:rsidRPr="00400C0B">
        <w:rPr>
          <w:rFonts w:cs="Guttman Rashi"/>
          <w:rtl/>
          <w:lang w:bidi="he-IL"/>
        </w:rPr>
        <w:t xml:space="preserve">' </w:t>
      </w:r>
      <w:r w:rsidRPr="00400C0B">
        <w:rPr>
          <w:rFonts w:cs="Guttman Rashi" w:hint="eastAsia"/>
          <w:rtl/>
          <w:lang w:bidi="he-IL"/>
        </w:rPr>
        <w:t>שבת</w:t>
      </w:r>
      <w:r w:rsidRPr="00400C0B">
        <w:rPr>
          <w:rFonts w:cs="Guttman Rashi"/>
          <w:rtl/>
          <w:lang w:bidi="he-IL"/>
        </w:rPr>
        <w:t xml:space="preserve"> </w:t>
      </w:r>
      <w:r w:rsidRPr="00400C0B">
        <w:rPr>
          <w:rFonts w:cs="Guttman Rashi" w:hint="eastAsia"/>
          <w:rtl/>
          <w:lang w:bidi="he-IL"/>
        </w:rPr>
        <w:t>דף</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שיסוד</w:t>
      </w:r>
      <w:r w:rsidRPr="00400C0B">
        <w:rPr>
          <w:rFonts w:cs="Guttman Rashi"/>
          <w:rtl/>
          <w:lang w:bidi="he-IL"/>
        </w:rPr>
        <w:t xml:space="preserve"> </w:t>
      </w:r>
      <w:r w:rsidRPr="00400C0B">
        <w:rPr>
          <w:rFonts w:cs="Guttman Rashi" w:hint="eastAsia"/>
          <w:rtl/>
          <w:lang w:bidi="he-IL"/>
        </w:rPr>
        <w:t>המחלוקת</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תנאי</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כוונה</w:t>
      </w:r>
      <w:r w:rsidRPr="00400C0B">
        <w:rPr>
          <w:rFonts w:cs="Guttman Rashi"/>
          <w:rtl/>
          <w:lang w:bidi="he-IL"/>
        </w:rPr>
        <w:t xml:space="preserve"> </w:t>
      </w:r>
      <w:r w:rsidRPr="00400C0B">
        <w:rPr>
          <w:rFonts w:cs="Guttman Rashi" w:hint="eastAsia"/>
          <w:rtl/>
          <w:lang w:bidi="he-IL"/>
        </w:rPr>
        <w:t>בעבירות</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נחלקו</w:t>
      </w:r>
      <w:r w:rsidRPr="00400C0B">
        <w:rPr>
          <w:rFonts w:cs="Guttman Rashi"/>
          <w:rtl/>
          <w:lang w:bidi="he-IL"/>
        </w:rPr>
        <w:t xml:space="preserve"> </w:t>
      </w:r>
      <w:r w:rsidRPr="00400C0B">
        <w:rPr>
          <w:rFonts w:cs="Guttman Rashi" w:hint="eastAsia"/>
          <w:rtl/>
          <w:lang w:bidi="he-IL"/>
        </w:rPr>
        <w:t>באיזה</w:t>
      </w:r>
      <w:r w:rsidRPr="00400C0B">
        <w:rPr>
          <w:rFonts w:cs="Guttman Rashi"/>
          <w:rtl/>
          <w:lang w:bidi="he-IL"/>
        </w:rPr>
        <w:t xml:space="preserve"> </w:t>
      </w:r>
      <w:r w:rsidRPr="00400C0B">
        <w:rPr>
          <w:rFonts w:cs="Guttman Rashi" w:hint="eastAsia"/>
          <w:rtl/>
          <w:lang w:bidi="he-IL"/>
        </w:rPr>
        <w:t>כוונה</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מכוין</w:t>
      </w:r>
      <w:r w:rsidRPr="00400C0B">
        <w:rPr>
          <w:rFonts w:cs="Guttman Rashi"/>
          <w:rtl/>
          <w:lang w:bidi="he-IL"/>
        </w:rPr>
        <w:t xml:space="preserve">', </w:t>
      </w:r>
      <w:r w:rsidRPr="00400C0B">
        <w:rPr>
          <w:rFonts w:cs="Guttman Rashi" w:hint="eastAsia"/>
          <w:rtl/>
          <w:lang w:bidi="he-IL"/>
        </w:rPr>
        <w:t>ור</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יודע</w:t>
      </w:r>
      <w:r w:rsidRPr="00400C0B">
        <w:rPr>
          <w:rFonts w:cs="Guttman Rashi"/>
          <w:rtl/>
          <w:lang w:bidi="he-IL"/>
        </w:rPr>
        <w:t xml:space="preserve"> </w:t>
      </w:r>
      <w:r w:rsidRPr="00400C0B">
        <w:rPr>
          <w:rFonts w:cs="Guttman Rashi" w:hint="eastAsia"/>
          <w:rtl/>
          <w:lang w:bidi="he-IL"/>
        </w:rPr>
        <w:t>שיתכן</w:t>
      </w:r>
      <w:r w:rsidRPr="00400C0B">
        <w:rPr>
          <w:rFonts w:cs="Guttman Rashi"/>
          <w:rtl/>
          <w:lang w:bidi="he-IL"/>
        </w:rPr>
        <w:t xml:space="preserve"> </w:t>
      </w:r>
      <w:r w:rsidRPr="00400C0B">
        <w:rPr>
          <w:rFonts w:cs="Guttman Rashi" w:hint="eastAsia"/>
          <w:rtl/>
          <w:lang w:bidi="he-IL"/>
        </w:rPr>
        <w:t>שכך</w:t>
      </w:r>
      <w:r w:rsidRPr="00400C0B">
        <w:rPr>
          <w:rFonts w:cs="Guttman Rashi"/>
          <w:rtl/>
          <w:lang w:bidi="he-IL"/>
        </w:rPr>
        <w:t xml:space="preserve"> </w:t>
      </w:r>
      <w:r w:rsidRPr="00400C0B">
        <w:rPr>
          <w:rFonts w:cs="Guttman Rashi" w:hint="eastAsia"/>
          <w:rtl/>
          <w:lang w:bidi="he-IL"/>
        </w:rPr>
        <w:t>וכך</w:t>
      </w:r>
      <w:r w:rsidRPr="00400C0B">
        <w:rPr>
          <w:rFonts w:cs="Guttman Rashi"/>
          <w:rtl/>
          <w:lang w:bidi="he-IL"/>
        </w:rPr>
        <w:t xml:space="preserve"> </w:t>
      </w:r>
      <w:r w:rsidRPr="00400C0B">
        <w:rPr>
          <w:rFonts w:cs="Guttman Rashi" w:hint="eastAsia"/>
          <w:rtl/>
          <w:lang w:bidi="he-IL"/>
        </w:rPr>
        <w:t>יצא</w:t>
      </w:r>
      <w:r w:rsidRPr="00400C0B">
        <w:rPr>
          <w:rFonts w:cs="Guttman Rashi"/>
          <w:rtl/>
          <w:lang w:bidi="he-IL"/>
        </w:rPr>
        <w:t xml:space="preserve"> </w:t>
      </w:r>
      <w:r w:rsidRPr="00400C0B">
        <w:rPr>
          <w:rFonts w:cs="Guttman Rashi" w:hint="eastAsia"/>
          <w:rtl/>
          <w:lang w:bidi="he-IL"/>
        </w:rPr>
        <w:t>ממעשיו</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כמכוין</w:t>
      </w:r>
      <w:r w:rsidRPr="00400C0B">
        <w:rPr>
          <w:rFonts w:cs="Guttman Rashi"/>
          <w:rtl/>
          <w:lang w:bidi="he-IL"/>
        </w:rPr>
        <w:t xml:space="preserve">, </w:t>
      </w:r>
      <w:r w:rsidRPr="00400C0B">
        <w:rPr>
          <w:rFonts w:cs="Guttman Rashi" w:hint="eastAsia"/>
          <w:rtl/>
          <w:lang w:bidi="he-IL"/>
        </w:rPr>
        <w:t>וכלשון</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פסחים</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שלר</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מתכוין</w:t>
      </w:r>
      <w:r w:rsidRPr="00400C0B">
        <w:rPr>
          <w:rFonts w:cs="Guttman Rashi"/>
          <w:rtl/>
          <w:lang w:bidi="he-IL"/>
        </w:rPr>
        <w:t xml:space="preserve"> </w:t>
      </w:r>
      <w:r w:rsidRPr="00400C0B">
        <w:rPr>
          <w:rFonts w:cs="Guttman Rashi" w:hint="eastAsia"/>
          <w:rtl/>
          <w:lang w:bidi="he-IL"/>
        </w:rPr>
        <w:t>כמתכוין</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לבטל</w:t>
      </w:r>
      <w:r w:rsidRPr="00400C0B">
        <w:rPr>
          <w:rFonts w:cs="Guttman Rashi"/>
          <w:rtl/>
          <w:lang w:bidi="he-IL"/>
        </w:rPr>
        <w:t xml:space="preserve"> </w:t>
      </w:r>
      <w:r w:rsidRPr="00400C0B">
        <w:rPr>
          <w:rFonts w:cs="Guttman Rashi" w:hint="eastAsia"/>
          <w:rtl/>
          <w:lang w:bidi="he-IL"/>
        </w:rPr>
        <w:t>כשאינו</w:t>
      </w:r>
      <w:r w:rsidRPr="00400C0B">
        <w:rPr>
          <w:rFonts w:cs="Guttman Rashi"/>
          <w:rtl/>
          <w:lang w:bidi="he-IL"/>
        </w:rPr>
        <w:t xml:space="preserve"> </w:t>
      </w:r>
      <w:r w:rsidRPr="00400C0B">
        <w:rPr>
          <w:rFonts w:cs="Guttman Rashi" w:hint="eastAsia"/>
          <w:rtl/>
          <w:lang w:bidi="he-IL"/>
        </w:rPr>
        <w:t>מתכוין</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 xml:space="preserve">' </w:t>
      </w:r>
      <w:r w:rsidRPr="00400C0B">
        <w:rPr>
          <w:rFonts w:cs="Guttman Rashi" w:hint="eastAsia"/>
          <w:rtl/>
          <w:lang w:bidi="he-IL"/>
        </w:rPr>
        <w:t>שמעון</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כמכוין</w:t>
      </w:r>
      <w:r w:rsidRPr="00400C0B">
        <w:rPr>
          <w:rFonts w:cs="Guttman Rashi"/>
          <w:rtl/>
          <w:lang w:bidi="he-IL"/>
        </w:rPr>
        <w:t xml:space="preserve"> </w:t>
      </w:r>
      <w:r w:rsidRPr="00400C0B">
        <w:rPr>
          <w:rFonts w:cs="Guttman Rashi" w:hint="eastAsia"/>
          <w:rtl/>
          <w:lang w:bidi="he-IL"/>
        </w:rPr>
        <w:t>לבטל</w:t>
      </w:r>
      <w:r w:rsidRPr="00400C0B">
        <w:rPr>
          <w:rFonts w:cs="Guttman Rashi"/>
          <w:rtl/>
          <w:lang w:bidi="he-IL"/>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לחלק</w:t>
      </w:r>
      <w:r w:rsidRPr="00400C0B">
        <w:rPr>
          <w:rFonts w:cs="Guttman Rashi"/>
          <w:rtl/>
          <w:lang w:bidi="he-IL"/>
        </w:rPr>
        <w:t xml:space="preserve">, </w:t>
      </w:r>
      <w:r w:rsidRPr="00400C0B">
        <w:rPr>
          <w:rFonts w:cs="Guttman Rashi" w:hint="eastAsia"/>
          <w:rtl/>
          <w:lang w:bidi="he-IL"/>
        </w:rPr>
        <w:t>דאע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שחשוב</w:t>
      </w:r>
      <w:r w:rsidRPr="00400C0B">
        <w:rPr>
          <w:rFonts w:cs="Guttman Rashi"/>
          <w:rtl/>
          <w:lang w:bidi="he-IL"/>
        </w:rPr>
        <w:t xml:space="preserve"> </w:t>
      </w:r>
      <w:r w:rsidRPr="00400C0B">
        <w:rPr>
          <w:rFonts w:cs="Guttman Rashi" w:hint="eastAsia"/>
          <w:rtl/>
          <w:lang w:bidi="he-IL"/>
        </w:rPr>
        <w:t>כמתקן</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כשאינו</w:t>
      </w:r>
      <w:r w:rsidRPr="00400C0B">
        <w:rPr>
          <w:rFonts w:cs="Guttman Rashi"/>
          <w:rtl/>
          <w:lang w:bidi="he-IL"/>
        </w:rPr>
        <w:t xml:space="preserve"> </w:t>
      </w:r>
      <w:r w:rsidRPr="00400C0B">
        <w:rPr>
          <w:rFonts w:cs="Guttman Rashi" w:hint="eastAsia"/>
          <w:rtl/>
          <w:lang w:bidi="he-IL"/>
        </w:rPr>
        <w:t>מתכוין</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מכון</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כשהוא</w:t>
      </w:r>
      <w:r w:rsidRPr="00400C0B">
        <w:rPr>
          <w:rFonts w:cs="Guttman Rashi"/>
          <w:rtl/>
          <w:lang w:bidi="he-IL"/>
        </w:rPr>
        <w:t xml:space="preserve"> </w:t>
      </w:r>
      <w:r w:rsidRPr="00400C0B">
        <w:rPr>
          <w:rFonts w:cs="Guttman Rashi" w:hint="eastAsia"/>
          <w:rtl/>
          <w:lang w:bidi="he-IL"/>
        </w:rPr>
        <w:t>פרט</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המעשה</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כשהעיקר</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הכוונה</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כמכוין</w:t>
      </w:r>
      <w:r w:rsidRPr="00400C0B">
        <w:rPr>
          <w:rFonts w:cs="Guttman Rashi"/>
          <w:rtl/>
          <w:lang w:bidi="he-IL"/>
        </w:rPr>
        <w:t xml:space="preserve">.    </w:t>
      </w:r>
    </w:p>
  </w:footnote>
  <w:footnote w:id="34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מכאן</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לכלי</w:t>
      </w:r>
      <w:r w:rsidRPr="00400C0B">
        <w:rPr>
          <w:rFonts w:cs="Guttman Rashi"/>
          <w:rtl/>
          <w:lang w:bidi="he-IL"/>
        </w:rPr>
        <w:t xml:space="preserve"> </w:t>
      </w:r>
      <w:r w:rsidRPr="00400C0B">
        <w:rPr>
          <w:rFonts w:cs="Guttman Rashi" w:hint="eastAsia"/>
          <w:rtl/>
          <w:lang w:bidi="he-IL"/>
        </w:rPr>
        <w:t>חרס</w:t>
      </w:r>
      <w:r w:rsidRPr="00400C0B">
        <w:rPr>
          <w:rFonts w:cs="Guttman Rashi"/>
          <w:rtl/>
          <w:lang w:bidi="he-IL"/>
        </w:rPr>
        <w:t xml:space="preserve"> </w:t>
      </w:r>
      <w:r w:rsidRPr="00400C0B">
        <w:rPr>
          <w:rFonts w:cs="Guttman Rashi" w:hint="eastAsia"/>
          <w:rtl/>
          <w:lang w:bidi="he-IL"/>
        </w:rPr>
        <w:t>שבלע</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ותשמישתו</w:t>
      </w:r>
      <w:r w:rsidRPr="00400C0B">
        <w:rPr>
          <w:rFonts w:cs="Guttman Rashi"/>
          <w:rtl/>
          <w:lang w:bidi="he-IL"/>
        </w:rPr>
        <w:t xml:space="preserve"> </w:t>
      </w:r>
      <w:r w:rsidRPr="00400C0B">
        <w:rPr>
          <w:rFonts w:cs="Guttman Rashi" w:hint="eastAsia"/>
          <w:rtl/>
          <w:lang w:bidi="he-IL"/>
        </w:rPr>
        <w:t>בשפע</w:t>
      </w:r>
      <w:r w:rsidRPr="00400C0B">
        <w:rPr>
          <w:rFonts w:cs="Guttman Rashi"/>
          <w:rtl/>
          <w:lang w:bidi="he-IL"/>
        </w:rPr>
        <w:t xml:space="preserve"> </w:t>
      </w:r>
      <w:r w:rsidRPr="00400C0B">
        <w:rPr>
          <w:rFonts w:cs="Guttman Rashi" w:hint="eastAsia"/>
          <w:rtl/>
          <w:lang w:bidi="he-IL"/>
        </w:rPr>
        <w:t>שמותר</w:t>
      </w:r>
      <w:r w:rsidRPr="00400C0B">
        <w:rPr>
          <w:rFonts w:cs="Guttman Rashi"/>
          <w:rtl/>
          <w:lang w:bidi="he-IL"/>
        </w:rPr>
        <w:t xml:space="preserve"> </w:t>
      </w:r>
      <w:r w:rsidRPr="00400C0B">
        <w:rPr>
          <w:rFonts w:cs="Guttman Rashi" w:hint="eastAsia"/>
          <w:rtl/>
          <w:lang w:bidi="he-IL"/>
        </w:rPr>
        <w:t>להשתמש</w:t>
      </w:r>
      <w:r w:rsidRPr="00400C0B">
        <w:rPr>
          <w:rFonts w:cs="Guttman Rashi"/>
          <w:rtl/>
          <w:lang w:bidi="he-IL"/>
        </w:rPr>
        <w:t xml:space="preserve"> </w:t>
      </w:r>
      <w:r w:rsidRPr="00400C0B">
        <w:rPr>
          <w:rFonts w:cs="Guttman Rashi" w:hint="eastAsia"/>
          <w:rtl/>
          <w:lang w:bidi="he-IL"/>
        </w:rPr>
        <w:t>בו</w:t>
      </w:r>
      <w:r w:rsidRPr="00400C0B">
        <w:rPr>
          <w:rFonts w:cs="Guttman Rashi"/>
          <w:rtl/>
          <w:lang w:bidi="he-IL"/>
        </w:rPr>
        <w:t xml:space="preserve"> </w:t>
      </w:r>
      <w:r w:rsidRPr="00400C0B">
        <w:rPr>
          <w:rFonts w:cs="Guttman Rashi" w:hint="eastAsia"/>
          <w:rtl/>
          <w:lang w:bidi="he-IL"/>
        </w:rPr>
        <w:t>לאחר</w:t>
      </w:r>
      <w:r w:rsidRPr="00400C0B">
        <w:rPr>
          <w:rFonts w:cs="Guttman Rashi"/>
          <w:rtl/>
          <w:lang w:bidi="he-IL"/>
        </w:rPr>
        <w:t xml:space="preserve"> </w:t>
      </w:r>
      <w:r w:rsidRPr="00400C0B">
        <w:rPr>
          <w:rFonts w:cs="Guttman Rashi" w:hint="eastAsia"/>
          <w:rtl/>
          <w:lang w:bidi="he-IL"/>
        </w:rPr>
        <w:t>מעת</w:t>
      </w:r>
      <w:r w:rsidRPr="00400C0B">
        <w:rPr>
          <w:rFonts w:cs="Guttman Rashi"/>
          <w:rtl/>
          <w:lang w:bidi="he-IL"/>
        </w:rPr>
        <w:t xml:space="preserve"> </w:t>
      </w:r>
      <w:r w:rsidRPr="00400C0B">
        <w:rPr>
          <w:rFonts w:cs="Guttman Rashi" w:hint="eastAsia"/>
          <w:rtl/>
          <w:lang w:bidi="he-IL"/>
        </w:rPr>
        <w:t>לעת</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בביאור</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שלפי</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שכשתשמישתו</w:t>
      </w:r>
      <w:r w:rsidRPr="00400C0B">
        <w:rPr>
          <w:rFonts w:cs="Guttman Rashi"/>
          <w:rtl/>
          <w:lang w:bidi="he-IL"/>
        </w:rPr>
        <w:t xml:space="preserve"> </w:t>
      </w:r>
      <w:r w:rsidRPr="00400C0B">
        <w:rPr>
          <w:rFonts w:cs="Guttman Rashi" w:hint="eastAsia"/>
          <w:rtl/>
          <w:lang w:bidi="he-IL"/>
        </w:rPr>
        <w:t>בשפע</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לבטל</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מתורץ</w:t>
      </w:r>
      <w:r w:rsidRPr="00400C0B">
        <w:rPr>
          <w:rFonts w:cs="Guttman Rashi"/>
          <w:rtl/>
          <w:lang w:bidi="he-IL"/>
        </w:rPr>
        <w:t xml:space="preserve"> </w:t>
      </w:r>
      <w:r w:rsidRPr="00400C0B">
        <w:rPr>
          <w:rFonts w:cs="Guttman Rashi" w:hint="eastAsia"/>
          <w:rtl/>
          <w:lang w:bidi="he-IL"/>
        </w:rPr>
        <w:t>קושיית</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בעינן</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כדיעבד</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דדזה</w:t>
      </w:r>
      <w:r w:rsidRPr="00400C0B">
        <w:rPr>
          <w:rFonts w:cs="Guttman Rashi"/>
          <w:rtl/>
          <w:lang w:bidi="he-IL"/>
        </w:rPr>
        <w:t xml:space="preserve"> </w:t>
      </w:r>
      <w:r w:rsidRPr="00400C0B">
        <w:rPr>
          <w:rFonts w:cs="Guttman Rashi" w:hint="eastAsia"/>
          <w:rtl/>
          <w:lang w:bidi="he-IL"/>
        </w:rPr>
        <w:t>לבד</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משהו</w:t>
      </w:r>
      <w:r w:rsidRPr="00400C0B">
        <w:rPr>
          <w:rFonts w:cs="Guttman Rashi"/>
          <w:rtl/>
          <w:lang w:bidi="he-IL"/>
        </w:rPr>
        <w:t xml:space="preserve"> </w:t>
      </w:r>
      <w:r w:rsidRPr="00400C0B">
        <w:rPr>
          <w:rFonts w:cs="Guttman Rashi" w:hint="eastAsia"/>
          <w:rtl/>
          <w:lang w:bidi="he-IL"/>
        </w:rPr>
        <w:t>סגי</w:t>
      </w:r>
      <w:r w:rsidRPr="00400C0B">
        <w:rPr>
          <w:rFonts w:cs="Guttman Rashi"/>
          <w:rtl/>
          <w:lang w:bidi="he-IL"/>
        </w:rPr>
        <w:t>.</w:t>
      </w:r>
    </w:p>
  </w:footnote>
  <w:footnote w:id="34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ומלשון</w:t>
      </w:r>
      <w:r w:rsidRPr="00400C0B">
        <w:rPr>
          <w:rFonts w:cs="Guttman Rashi"/>
          <w:rtl/>
          <w:lang w:bidi="he-IL"/>
        </w:rPr>
        <w:t xml:space="preserve"> </w:t>
      </w:r>
      <w:r w:rsidRPr="00400C0B">
        <w:rPr>
          <w:rFonts w:cs="Guttman Rashi" w:hint="eastAsia"/>
          <w:rtl/>
          <w:lang w:bidi="he-IL"/>
        </w:rPr>
        <w:t>הרש</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שרוצה</w:t>
      </w:r>
      <w:r w:rsidRPr="00400C0B">
        <w:rPr>
          <w:rFonts w:cs="Guttman Rashi"/>
          <w:rtl/>
          <w:lang w:bidi="he-IL"/>
        </w:rPr>
        <w:t xml:space="preserve"> </w:t>
      </w:r>
      <w:r w:rsidRPr="00400C0B">
        <w:rPr>
          <w:rFonts w:cs="Guttman Rashi" w:hint="eastAsia"/>
          <w:rtl/>
          <w:lang w:bidi="he-IL"/>
        </w:rPr>
        <w:t>לפרש</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כונת</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שאסר</w:t>
      </w:r>
      <w:r w:rsidRPr="00400C0B">
        <w:rPr>
          <w:rFonts w:cs="Guttman Rashi"/>
          <w:rtl/>
          <w:lang w:bidi="he-IL"/>
        </w:rPr>
        <w:t xml:space="preserve"> </w:t>
      </w:r>
      <w:r w:rsidRPr="00400C0B">
        <w:rPr>
          <w:rFonts w:cs="Guttman Rashi" w:hint="eastAsia"/>
          <w:rtl/>
          <w:lang w:bidi="he-IL"/>
        </w:rPr>
        <w:t>למי</w:t>
      </w:r>
      <w:r w:rsidRPr="00400C0B">
        <w:rPr>
          <w:rFonts w:cs="Guttman Rashi"/>
          <w:rtl/>
          <w:lang w:bidi="he-IL"/>
        </w:rPr>
        <w:t xml:space="preserve"> </w:t>
      </w:r>
      <w:r w:rsidRPr="00400C0B">
        <w:rPr>
          <w:rFonts w:cs="Guttman Rashi" w:hint="eastAsia"/>
          <w:rtl/>
          <w:lang w:bidi="he-IL"/>
        </w:rPr>
        <w:t>שנתבטל</w:t>
      </w:r>
      <w:r w:rsidRPr="00400C0B">
        <w:rPr>
          <w:rFonts w:cs="Guttman Rashi"/>
          <w:rtl/>
          <w:lang w:bidi="he-IL"/>
        </w:rPr>
        <w:t xml:space="preserve"> </w:t>
      </w:r>
      <w:r w:rsidRPr="00400C0B">
        <w:rPr>
          <w:rFonts w:cs="Guttman Rashi" w:hint="eastAsia"/>
          <w:rtl/>
          <w:lang w:bidi="he-IL"/>
        </w:rPr>
        <w:t>בשבילו</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שמשמע</w:t>
      </w:r>
      <w:r w:rsidRPr="00400C0B">
        <w:rPr>
          <w:rFonts w:cs="Guttman Rashi"/>
          <w:rtl/>
          <w:lang w:bidi="he-IL"/>
        </w:rPr>
        <w:t xml:space="preserve"> </w:t>
      </w:r>
      <w:r w:rsidRPr="00400C0B">
        <w:rPr>
          <w:rFonts w:cs="Guttman Rashi" w:hint="eastAsia"/>
          <w:rtl/>
          <w:lang w:bidi="he-IL"/>
        </w:rPr>
        <w:t>בדברי</w:t>
      </w:r>
      <w:r w:rsidRPr="00400C0B">
        <w:rPr>
          <w:rFonts w:cs="Guttman Rashi"/>
          <w:rtl/>
          <w:lang w:bidi="he-IL"/>
        </w:rPr>
        <w:t xml:space="preserve"> </w:t>
      </w:r>
      <w:r w:rsidRPr="00400C0B">
        <w:rPr>
          <w:rFonts w:cs="Guttman Rashi" w:hint="eastAsia"/>
          <w:rtl/>
          <w:lang w:bidi="he-IL"/>
        </w:rPr>
        <w:t>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שכוונת</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למי</w:t>
      </w:r>
      <w:r w:rsidRPr="00400C0B">
        <w:rPr>
          <w:rFonts w:cs="Guttman Rashi"/>
          <w:rtl/>
          <w:lang w:bidi="he-IL"/>
        </w:rPr>
        <w:t xml:space="preserve"> </w:t>
      </w:r>
      <w:r w:rsidRPr="00400C0B">
        <w:rPr>
          <w:rFonts w:cs="Guttman Rashi" w:hint="eastAsia"/>
          <w:rtl/>
          <w:lang w:bidi="he-IL"/>
        </w:rPr>
        <w:t>שנתבטל</w:t>
      </w:r>
      <w:r w:rsidRPr="00400C0B">
        <w:rPr>
          <w:rFonts w:cs="Guttman Rashi"/>
          <w:rtl/>
          <w:lang w:bidi="he-IL"/>
        </w:rPr>
        <w:t xml:space="preserve"> </w:t>
      </w:r>
      <w:r w:rsidRPr="00400C0B">
        <w:rPr>
          <w:rFonts w:cs="Guttman Rashi" w:hint="eastAsia"/>
          <w:rtl/>
          <w:lang w:bidi="he-IL"/>
        </w:rPr>
        <w:t>בשבילו</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המבטל</w:t>
      </w:r>
      <w:r w:rsidRPr="00400C0B">
        <w:rPr>
          <w:rFonts w:cs="Guttman Rashi"/>
          <w:rtl/>
          <w:lang w:bidi="he-IL"/>
        </w:rPr>
        <w:t xml:space="preserve">. </w:t>
      </w:r>
      <w:r w:rsidRPr="00400C0B">
        <w:rPr>
          <w:rFonts w:cs="Guttman Rashi" w:hint="eastAsia"/>
          <w:rtl/>
          <w:lang w:bidi="he-IL"/>
        </w:rPr>
        <w:t>וכוונתו</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חידוש</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תבשיל</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מעשה</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שאחר</w:t>
      </w:r>
      <w:r w:rsidRPr="00400C0B">
        <w:rPr>
          <w:rFonts w:cs="Guttman Rashi"/>
          <w:rtl/>
          <w:lang w:bidi="he-IL"/>
        </w:rPr>
        <w:t xml:space="preserve"> </w:t>
      </w:r>
      <w:r w:rsidRPr="00400C0B">
        <w:rPr>
          <w:rFonts w:cs="Guttman Rashi" w:hint="eastAsia"/>
          <w:rtl/>
          <w:lang w:bidi="he-IL"/>
        </w:rPr>
        <w:t>עשה</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וידע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וניחא</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בו</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דאע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במי</w:t>
      </w:r>
      <w:r w:rsidRPr="00400C0B">
        <w:rPr>
          <w:rFonts w:cs="Guttman Rashi"/>
          <w:rtl/>
          <w:lang w:bidi="he-IL"/>
        </w:rPr>
        <w:t xml:space="preserve"> </w:t>
      </w:r>
      <w:r w:rsidRPr="00400C0B">
        <w:rPr>
          <w:rFonts w:cs="Guttman Rashi" w:hint="eastAsia"/>
          <w:rtl/>
          <w:lang w:bidi="he-IL"/>
        </w:rPr>
        <w:t>שמבטל</w:t>
      </w:r>
      <w:r w:rsidRPr="00400C0B">
        <w:rPr>
          <w:rFonts w:cs="Guttman Rashi"/>
          <w:rtl/>
          <w:lang w:bidi="he-IL"/>
        </w:rPr>
        <w:t xml:space="preserve"> </w:t>
      </w:r>
      <w:r w:rsidRPr="00400C0B">
        <w:rPr>
          <w:rFonts w:cs="Guttman Rashi" w:hint="eastAsia"/>
          <w:rtl/>
          <w:lang w:bidi="he-IL"/>
        </w:rPr>
        <w:t>מאכליו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חבירו</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מבטל</w:t>
      </w:r>
      <w:r w:rsidRPr="00400C0B">
        <w:rPr>
          <w:rFonts w:cs="Guttman Rashi"/>
          <w:rtl/>
          <w:lang w:bidi="he-IL"/>
        </w:rPr>
        <w:t xml:space="preserve"> </w:t>
      </w:r>
      <w:r w:rsidRPr="00400C0B">
        <w:rPr>
          <w:rFonts w:cs="Guttman Rashi" w:hint="eastAsia"/>
          <w:rtl/>
          <w:lang w:bidi="he-IL"/>
        </w:rPr>
        <w:t>מאכל</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לצורך</w:t>
      </w:r>
      <w:r w:rsidRPr="00400C0B">
        <w:rPr>
          <w:rFonts w:cs="Guttman Rashi"/>
          <w:rtl/>
          <w:lang w:bidi="he-IL"/>
        </w:rPr>
        <w:t xml:space="preserve"> </w:t>
      </w:r>
      <w:r w:rsidRPr="00400C0B">
        <w:rPr>
          <w:rFonts w:cs="Guttman Rashi" w:hint="eastAsia"/>
          <w:rtl/>
          <w:lang w:bidi="he-IL"/>
        </w:rPr>
        <w:t>אחריים</w:t>
      </w:r>
      <w:r w:rsidRPr="00400C0B">
        <w:rPr>
          <w:rFonts w:cs="Guttman Rashi"/>
          <w:rtl/>
          <w:lang w:bidi="he-IL"/>
        </w:rPr>
        <w:t xml:space="preserve"> </w:t>
      </w:r>
      <w:r w:rsidRPr="00400C0B">
        <w:rPr>
          <w:rFonts w:cs="Guttman Rashi" w:hint="eastAsia"/>
          <w:rtl/>
          <w:lang w:bidi="he-IL"/>
        </w:rPr>
        <w:t>שיהא</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להם</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ברש</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שזהו</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שאסור</w:t>
      </w:r>
      <w:r w:rsidRPr="00400C0B">
        <w:rPr>
          <w:rFonts w:cs="Guttman Rashi"/>
          <w:rtl/>
          <w:lang w:bidi="he-IL"/>
        </w:rPr>
        <w:t xml:space="preserve"> </w:t>
      </w:r>
      <w:r w:rsidRPr="00400C0B">
        <w:rPr>
          <w:rFonts w:cs="Guttman Rashi" w:hint="eastAsia"/>
          <w:rtl/>
          <w:lang w:bidi="he-IL"/>
        </w:rPr>
        <w:t>לבני</w:t>
      </w:r>
      <w:r w:rsidRPr="00400C0B">
        <w:rPr>
          <w:rFonts w:cs="Guttman Rashi"/>
          <w:rtl/>
          <w:lang w:bidi="he-IL"/>
        </w:rPr>
        <w:t xml:space="preserve"> </w:t>
      </w:r>
      <w:r w:rsidRPr="00400C0B">
        <w:rPr>
          <w:rFonts w:cs="Guttman Rashi" w:hint="eastAsia"/>
          <w:rtl/>
          <w:lang w:bidi="he-IL"/>
        </w:rPr>
        <w:t>ביתו</w:t>
      </w:r>
      <w:r w:rsidRPr="00400C0B">
        <w:rPr>
          <w:rFonts w:cs="Guttman Rashi"/>
          <w:rtl/>
          <w:lang w:bidi="he-IL"/>
        </w:rPr>
        <w:t xml:space="preserve">.  </w:t>
      </w:r>
    </w:p>
  </w:footnote>
  <w:footnote w:id="35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סוף</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p>
  </w:footnote>
  <w:footnote w:id="35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חלוק</w:t>
      </w:r>
      <w:r w:rsidRPr="00400C0B">
        <w:rPr>
          <w:rFonts w:cs="Guttman Rashi"/>
          <w:rtl/>
          <w:lang w:bidi="he-IL"/>
        </w:rPr>
        <w:t xml:space="preserve"> </w:t>
      </w:r>
      <w:r w:rsidRPr="00400C0B">
        <w:rPr>
          <w:rFonts w:cs="Guttman Rashi" w:hint="eastAsia"/>
          <w:rtl/>
          <w:lang w:bidi="he-IL"/>
        </w:rPr>
        <w:t>מכגון</w:t>
      </w:r>
      <w:r w:rsidRPr="00400C0B">
        <w:rPr>
          <w:rFonts w:cs="Guttman Rashi"/>
          <w:rtl/>
          <w:lang w:bidi="he-IL"/>
        </w:rPr>
        <w:t xml:space="preserve"> </w:t>
      </w:r>
      <w:r w:rsidRPr="00400C0B">
        <w:rPr>
          <w:rFonts w:cs="Guttman Rashi" w:hint="eastAsia"/>
          <w:rtl/>
          <w:lang w:bidi="he-IL"/>
        </w:rPr>
        <w:t>אמ</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גיד</w:t>
      </w:r>
      <w:r w:rsidRPr="00400C0B">
        <w:rPr>
          <w:rFonts w:cs="Guttman Rashi"/>
          <w:rtl/>
          <w:lang w:bidi="he-IL"/>
        </w:rPr>
        <w:t xml:space="preserve">, </w:t>
      </w:r>
      <w:r w:rsidRPr="00400C0B">
        <w:rPr>
          <w:rFonts w:cs="Guttman Rashi" w:hint="eastAsia"/>
          <w:rtl/>
          <w:lang w:bidi="he-IL"/>
        </w:rPr>
        <w:t>שהם</w:t>
      </w:r>
      <w:r w:rsidRPr="00400C0B">
        <w:rPr>
          <w:rFonts w:cs="Guttman Rashi"/>
          <w:rtl/>
          <w:lang w:bidi="he-IL"/>
        </w:rPr>
        <w:t xml:space="preserve"> </w:t>
      </w:r>
      <w:r w:rsidRPr="00400C0B">
        <w:rPr>
          <w:rFonts w:cs="Guttman Rashi" w:hint="eastAsia"/>
          <w:rtl/>
          <w:lang w:bidi="he-IL"/>
        </w:rPr>
        <w:t>באו</w:t>
      </w:r>
      <w:r w:rsidRPr="00400C0B">
        <w:rPr>
          <w:rFonts w:cs="Guttman Rashi"/>
          <w:rtl/>
          <w:lang w:bidi="he-IL"/>
        </w:rPr>
        <w:t xml:space="preserve"> </w:t>
      </w:r>
      <w:r w:rsidRPr="00400C0B">
        <w:rPr>
          <w:rFonts w:cs="Guttman Rashi" w:hint="eastAsia"/>
          <w:rtl/>
          <w:lang w:bidi="he-IL"/>
        </w:rPr>
        <w:t>מבריית</w:t>
      </w:r>
      <w:r w:rsidRPr="00400C0B">
        <w:rPr>
          <w:rFonts w:cs="Guttman Rashi"/>
          <w:rtl/>
          <w:lang w:bidi="he-IL"/>
        </w:rPr>
        <w:t xml:space="preserve"> </w:t>
      </w:r>
      <w:r w:rsidRPr="00400C0B">
        <w:rPr>
          <w:rFonts w:cs="Guttman Rashi" w:hint="eastAsia"/>
          <w:rtl/>
          <w:lang w:bidi="he-IL"/>
        </w:rPr>
        <w:t>נשמה</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שעכשיו</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אינם</w:t>
      </w:r>
      <w:r w:rsidRPr="00400C0B">
        <w:rPr>
          <w:rFonts w:cs="Guttman Rashi"/>
          <w:rtl/>
          <w:lang w:bidi="he-IL"/>
        </w:rPr>
        <w:t xml:space="preserve"> </w:t>
      </w:r>
      <w:r w:rsidRPr="00400C0B">
        <w:rPr>
          <w:rFonts w:cs="Guttman Rashi" w:hint="eastAsia"/>
          <w:rtl/>
          <w:lang w:bidi="he-IL"/>
        </w:rPr>
        <w:t>חיים</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ביצה</w:t>
      </w:r>
      <w:r w:rsidRPr="00400C0B">
        <w:rPr>
          <w:rFonts w:cs="Guttman Rashi"/>
          <w:rtl/>
          <w:lang w:bidi="he-IL"/>
        </w:rPr>
        <w:t xml:space="preserve"> </w:t>
      </w:r>
      <w:r w:rsidRPr="00400C0B">
        <w:rPr>
          <w:rFonts w:cs="Guttman Rashi" w:hint="eastAsia"/>
          <w:rtl/>
          <w:lang w:bidi="he-IL"/>
        </w:rPr>
        <w:t>לעולם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היתה</w:t>
      </w:r>
      <w:r w:rsidRPr="00400C0B">
        <w:rPr>
          <w:rFonts w:cs="Guttman Rashi"/>
          <w:rtl/>
          <w:lang w:bidi="he-IL"/>
        </w:rPr>
        <w:t xml:space="preserve"> </w:t>
      </w:r>
      <w:r w:rsidRPr="00400C0B">
        <w:rPr>
          <w:rFonts w:cs="Guttman Rashi" w:hint="eastAsia"/>
          <w:rtl/>
          <w:lang w:bidi="he-IL"/>
        </w:rPr>
        <w:t>חי</w:t>
      </w:r>
      <w:r w:rsidRPr="00400C0B">
        <w:rPr>
          <w:rFonts w:cs="Guttman Rashi"/>
          <w:rtl/>
          <w:lang w:bidi="he-IL"/>
        </w:rPr>
        <w:t>'.</w:t>
      </w:r>
    </w:p>
  </w:footnote>
  <w:footnote w:id="35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א</w:t>
      </w:r>
      <w:r w:rsidRPr="00400C0B">
        <w:rPr>
          <w:rFonts w:cs="Guttman Rashi"/>
          <w:rtl/>
          <w:lang w:bidi="he-IL"/>
        </w:rPr>
        <w:t>.</w:t>
      </w:r>
    </w:p>
  </w:footnote>
  <w:footnote w:id="35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בהגהות</w:t>
      </w:r>
      <w:r w:rsidRPr="00400C0B">
        <w:rPr>
          <w:rFonts w:cs="Guttman Rashi"/>
          <w:rtl/>
          <w:lang w:bidi="he-IL"/>
        </w:rPr>
        <w:t xml:space="preserve"> </w:t>
      </w:r>
      <w:r w:rsidRPr="00400C0B">
        <w:rPr>
          <w:rFonts w:cs="Guttman Rashi" w:hint="eastAsia"/>
          <w:rtl/>
          <w:lang w:bidi="he-IL"/>
        </w:rPr>
        <w:t>אמרי</w:t>
      </w:r>
      <w:r w:rsidRPr="00400C0B">
        <w:rPr>
          <w:rFonts w:cs="Guttman Rashi"/>
          <w:rtl/>
          <w:lang w:bidi="he-IL"/>
        </w:rPr>
        <w:t xml:space="preserve"> </w:t>
      </w:r>
      <w:r w:rsidRPr="00400C0B">
        <w:rPr>
          <w:rFonts w:cs="Guttman Rashi" w:hint="eastAsia"/>
          <w:rtl/>
          <w:lang w:bidi="he-IL"/>
        </w:rPr>
        <w:t>ברוך</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שלפי</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שהדין</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והדין</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שיחול</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שוין</w:t>
      </w:r>
      <w:r w:rsidRPr="00400C0B">
        <w:rPr>
          <w:rFonts w:cs="Guttman Rashi"/>
          <w:rtl/>
          <w:lang w:bidi="he-IL"/>
        </w:rPr>
        <w:t>.</w:t>
      </w:r>
    </w:p>
  </w:footnote>
  <w:footnote w:id="35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יוצא</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הנידון</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מדרבנן</w:t>
      </w:r>
      <w:r w:rsidRPr="00400C0B">
        <w:rPr>
          <w:rFonts w:cs="Guttman Rashi"/>
          <w:rtl/>
          <w:lang w:bidi="he-IL"/>
        </w:rPr>
        <w:t xml:space="preserve">. </w:t>
      </w:r>
      <w:r w:rsidRPr="00400C0B">
        <w:rPr>
          <w:rFonts w:cs="Guttman Rashi" w:hint="eastAsia"/>
          <w:rtl/>
          <w:lang w:bidi="he-IL"/>
        </w:rPr>
        <w:t>ומהט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ענין</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צד</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נימוח</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כשיש</w:t>
      </w:r>
      <w:r w:rsidRPr="00400C0B">
        <w:rPr>
          <w:rFonts w:cs="Guttman Rashi"/>
          <w:rtl/>
          <w:lang w:bidi="he-IL"/>
        </w:rPr>
        <w:t xml:space="preserve"> </w:t>
      </w:r>
      <w:r w:rsidRPr="00400C0B">
        <w:rPr>
          <w:rFonts w:cs="Guttman Rashi" w:hint="eastAsia"/>
          <w:rtl/>
          <w:lang w:bidi="he-IL"/>
        </w:rPr>
        <w:t>ספק</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ונשפך</w:t>
      </w:r>
      <w:r w:rsidRPr="00400C0B">
        <w:rPr>
          <w:rFonts w:cs="Guttman Rashi"/>
          <w:rtl/>
          <w:lang w:bidi="he-IL"/>
        </w:rPr>
        <w:t xml:space="preserve"> </w:t>
      </w:r>
      <w:r w:rsidRPr="00400C0B">
        <w:rPr>
          <w:rFonts w:cs="Guttman Rashi" w:hint="eastAsia"/>
          <w:rtl/>
          <w:lang w:bidi="he-IL"/>
        </w:rPr>
        <w:t>וכהא</w:t>
      </w:r>
      <w:r w:rsidRPr="00400C0B">
        <w:rPr>
          <w:rFonts w:cs="Guttman Rashi"/>
          <w:rtl/>
          <w:lang w:bidi="he-IL"/>
        </w:rPr>
        <w:t xml:space="preserve"> </w:t>
      </w:r>
      <w:r w:rsidRPr="00400C0B">
        <w:rPr>
          <w:rFonts w:cs="Guttman Rashi" w:hint="eastAsia"/>
          <w:rtl/>
          <w:lang w:bidi="he-IL"/>
        </w:rPr>
        <w:t>דסי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סע</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לצד</w:t>
      </w:r>
      <w:r w:rsidRPr="00400C0B">
        <w:rPr>
          <w:rFonts w:cs="Guttman Rashi"/>
          <w:rtl/>
          <w:lang w:bidi="he-IL"/>
        </w:rPr>
        <w:t xml:space="preserve"> </w:t>
      </w:r>
      <w:r w:rsidRPr="00400C0B">
        <w:rPr>
          <w:rFonts w:cs="Guttman Rashi" w:hint="eastAsia"/>
          <w:rtl/>
          <w:lang w:bidi="he-IL"/>
        </w:rPr>
        <w:t>המחמיר</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בנשפך</w:t>
      </w:r>
      <w:r w:rsidRPr="00400C0B">
        <w:rPr>
          <w:rFonts w:cs="Guttman Rashi"/>
          <w:rtl/>
          <w:lang w:bidi="he-IL"/>
        </w:rPr>
        <w:t xml:space="preserve">. </w:t>
      </w:r>
      <w:r w:rsidRPr="00400C0B">
        <w:rPr>
          <w:rFonts w:cs="Guttman Rashi" w:hint="eastAsia"/>
          <w:rtl/>
          <w:lang w:bidi="he-IL"/>
        </w:rPr>
        <w:t>ומשמע</w:t>
      </w:r>
      <w:r w:rsidRPr="00400C0B">
        <w:rPr>
          <w:rFonts w:cs="Guttman Rashi"/>
          <w:rtl/>
          <w:lang w:bidi="he-IL"/>
        </w:rPr>
        <w:t xml:space="preserve"> </w:t>
      </w:r>
      <w:r w:rsidRPr="00400C0B">
        <w:rPr>
          <w:rFonts w:cs="Guttman Rashi" w:hint="eastAsia"/>
          <w:rtl/>
          <w:lang w:bidi="he-IL"/>
        </w:rPr>
        <w:t>שהט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p>
  </w:footnote>
  <w:footnote w:id="35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תשובה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מעשה</w:t>
      </w:r>
      <w:r w:rsidRPr="00400C0B">
        <w:rPr>
          <w:rFonts w:cs="Guttman Rashi"/>
          <w:rtl/>
          <w:lang w:bidi="he-IL"/>
        </w:rPr>
        <w:t xml:space="preserve"> </w:t>
      </w:r>
      <w:r w:rsidRPr="00400C0B">
        <w:rPr>
          <w:rFonts w:cs="Guttman Rashi" w:hint="eastAsia"/>
          <w:rtl/>
          <w:lang w:bidi="he-IL"/>
        </w:rPr>
        <w:t>שבת</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מתירין</w:t>
      </w:r>
      <w:r w:rsidRPr="00400C0B">
        <w:rPr>
          <w:rFonts w:cs="Guttman Rashi"/>
          <w:rtl/>
          <w:lang w:bidi="he-IL"/>
        </w:rPr>
        <w:t xml:space="preserve">. </w:t>
      </w:r>
      <w:r w:rsidRPr="00400C0B">
        <w:rPr>
          <w:rFonts w:cs="Guttman Rashi" w:hint="eastAsia"/>
          <w:rtl/>
          <w:lang w:bidi="he-IL"/>
        </w:rPr>
        <w:t>והתי</w:t>
      </w:r>
      <w:r w:rsidRPr="00400C0B">
        <w:rPr>
          <w:rFonts w:cs="Guttman Rashi"/>
          <w:rtl/>
          <w:lang w:bidi="he-IL"/>
        </w:rPr>
        <w:t xml:space="preserve">' </w:t>
      </w:r>
      <w:r w:rsidRPr="00400C0B">
        <w:rPr>
          <w:rFonts w:cs="Guttman Rashi" w:hint="eastAsia"/>
          <w:rtl/>
          <w:lang w:bidi="he-IL"/>
        </w:rPr>
        <w:t>בכה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שנאסר</w:t>
      </w:r>
      <w:r w:rsidRPr="00400C0B">
        <w:rPr>
          <w:rFonts w:cs="Guttman Rashi"/>
          <w:rtl/>
          <w:lang w:bidi="he-IL"/>
        </w:rPr>
        <w:t xml:space="preserve"> </w:t>
      </w:r>
      <w:r w:rsidRPr="00400C0B">
        <w:rPr>
          <w:rFonts w:cs="Guttman Rashi" w:hint="eastAsia"/>
          <w:rtl/>
          <w:lang w:bidi="he-IL"/>
        </w:rPr>
        <w:t>לעולם</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נפק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כשהתערב</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בשאינו</w:t>
      </w:r>
      <w:r w:rsidRPr="00400C0B">
        <w:rPr>
          <w:rFonts w:cs="Guttman Rashi"/>
          <w:rtl/>
          <w:lang w:bidi="he-IL"/>
        </w:rPr>
        <w:t xml:space="preserve"> </w:t>
      </w:r>
      <w:r w:rsidRPr="00400C0B">
        <w:rPr>
          <w:rFonts w:cs="Guttman Rashi" w:hint="eastAsia"/>
          <w:rtl/>
          <w:lang w:bidi="he-IL"/>
        </w:rPr>
        <w:t>מינו</w:t>
      </w:r>
      <w:r w:rsidRPr="00400C0B">
        <w:rPr>
          <w:rFonts w:cs="Guttman Rashi"/>
          <w:rtl/>
          <w:lang w:bidi="he-IL"/>
        </w:rPr>
        <w:t xml:space="preserve">. </w:t>
      </w:r>
      <w:r w:rsidRPr="00400C0B">
        <w:rPr>
          <w:rFonts w:cs="Guttman Rashi" w:hint="eastAsia"/>
          <w:rtl/>
          <w:lang w:bidi="he-IL"/>
        </w:rPr>
        <w:t>ובעצם</w:t>
      </w:r>
      <w:r w:rsidRPr="00400C0B">
        <w:rPr>
          <w:rFonts w:cs="Guttman Rashi"/>
          <w:rtl/>
          <w:lang w:bidi="he-IL"/>
        </w:rPr>
        <w:t xml:space="preserve"> </w:t>
      </w:r>
      <w:r w:rsidRPr="00400C0B">
        <w:rPr>
          <w:rFonts w:cs="Guttman Rashi" w:hint="eastAsia"/>
          <w:rtl/>
          <w:lang w:bidi="he-IL"/>
        </w:rPr>
        <w:t>הענין</w:t>
      </w:r>
      <w:r w:rsidRPr="00400C0B">
        <w:rPr>
          <w:rFonts w:cs="Guttman Rashi"/>
          <w:rtl/>
          <w:lang w:bidi="he-IL"/>
        </w:rPr>
        <w:t xml:space="preserve"> </w:t>
      </w:r>
      <w:r w:rsidRPr="00400C0B">
        <w:rPr>
          <w:rFonts w:cs="Guttman Rashi" w:hint="eastAsia"/>
          <w:rtl/>
          <w:lang w:bidi="he-IL"/>
        </w:rPr>
        <w:t>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שנאסר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קנס</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מכח</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כשביטלו</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ואח</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נהפך</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ראוי</w:t>
      </w:r>
      <w:r w:rsidRPr="00400C0B">
        <w:rPr>
          <w:rFonts w:cs="Guttman Rashi"/>
          <w:rtl/>
          <w:lang w:bidi="he-IL"/>
        </w:rPr>
        <w:t xml:space="preserve">' </w:t>
      </w:r>
      <w:r w:rsidRPr="00400C0B">
        <w:rPr>
          <w:rFonts w:cs="Guttman Rashi" w:hint="eastAsia"/>
          <w:rtl/>
          <w:lang w:bidi="he-IL"/>
        </w:rPr>
        <w:t>להתכבד</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וכגון</w:t>
      </w:r>
      <w:r w:rsidRPr="00400C0B">
        <w:rPr>
          <w:rFonts w:cs="Guttman Rashi"/>
          <w:rtl/>
          <w:lang w:bidi="he-IL"/>
        </w:rPr>
        <w:t xml:space="preserve"> </w:t>
      </w:r>
      <w:r w:rsidRPr="00400C0B">
        <w:rPr>
          <w:rFonts w:cs="Guttman Rashi" w:hint="eastAsia"/>
          <w:rtl/>
          <w:lang w:bidi="he-IL"/>
        </w:rPr>
        <w:t>דמעיקרא</w:t>
      </w:r>
      <w:r w:rsidRPr="00400C0B">
        <w:rPr>
          <w:rFonts w:cs="Guttman Rashi"/>
          <w:rtl/>
          <w:lang w:bidi="he-IL"/>
        </w:rPr>
        <w:t xml:space="preserve"> </w:t>
      </w:r>
      <w:r w:rsidRPr="00400C0B">
        <w:rPr>
          <w:rFonts w:cs="Guttman Rashi" w:hint="eastAsia"/>
          <w:rtl/>
          <w:lang w:bidi="he-IL"/>
        </w:rPr>
        <w:t>היתה</w:t>
      </w:r>
      <w:r w:rsidRPr="00400C0B">
        <w:rPr>
          <w:rFonts w:cs="Guttman Rashi"/>
          <w:rtl/>
          <w:lang w:bidi="he-IL"/>
        </w:rPr>
        <w:t xml:space="preserve"> </w:t>
      </w:r>
      <w:r w:rsidRPr="00400C0B">
        <w:rPr>
          <w:rFonts w:cs="Guttman Rashi" w:hint="eastAsia"/>
          <w:rtl/>
          <w:lang w:bidi="he-IL"/>
        </w:rPr>
        <w:t>תרנגולת</w:t>
      </w:r>
      <w:r w:rsidRPr="00400C0B">
        <w:rPr>
          <w:rFonts w:cs="Guttman Rashi"/>
          <w:rtl/>
          <w:lang w:bidi="he-IL"/>
        </w:rPr>
        <w:t xml:space="preserve"> </w:t>
      </w:r>
      <w:r w:rsidRPr="00400C0B">
        <w:rPr>
          <w:rFonts w:cs="Guttman Rashi" w:hint="eastAsia"/>
          <w:rtl/>
          <w:lang w:bidi="he-IL"/>
        </w:rPr>
        <w:t>בנוצתה</w:t>
      </w:r>
      <w:r w:rsidRPr="00400C0B">
        <w:rPr>
          <w:rFonts w:cs="Guttman Rashi"/>
          <w:rtl/>
          <w:lang w:bidi="he-IL"/>
        </w:rPr>
        <w:t xml:space="preserve">), </w:t>
      </w:r>
      <w:r w:rsidRPr="00400C0B">
        <w:rPr>
          <w:rFonts w:cs="Guttman Rashi" w:hint="eastAsia"/>
          <w:rtl/>
          <w:lang w:bidi="he-IL"/>
        </w:rPr>
        <w:t>האם</w:t>
      </w:r>
      <w:r w:rsidRPr="00400C0B">
        <w:rPr>
          <w:rFonts w:cs="Guttman Rashi"/>
          <w:rtl/>
          <w:lang w:bidi="he-IL"/>
        </w:rPr>
        <w:t xml:space="preserve"> </w:t>
      </w:r>
      <w:r w:rsidRPr="00400C0B">
        <w:rPr>
          <w:rFonts w:cs="Guttman Rashi" w:hint="eastAsia"/>
          <w:rtl/>
          <w:lang w:bidi="he-IL"/>
        </w:rPr>
        <w:t>נימא</w:t>
      </w:r>
      <w:r w:rsidRPr="00400C0B">
        <w:rPr>
          <w:rFonts w:cs="Guttman Rashi"/>
          <w:rtl/>
          <w:lang w:bidi="he-IL"/>
        </w:rPr>
        <w:t xml:space="preserve"> </w:t>
      </w:r>
      <w:r w:rsidRPr="00400C0B">
        <w:rPr>
          <w:rFonts w:cs="Guttman Rashi" w:hint="eastAsia"/>
          <w:rtl/>
          <w:lang w:bidi="he-IL"/>
        </w:rPr>
        <w:t>דכה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מחמת</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ואינו</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שראוי</w:t>
      </w:r>
      <w:r w:rsidRPr="00400C0B">
        <w:rPr>
          <w:rFonts w:cs="Guttman Rashi"/>
          <w:rtl/>
          <w:lang w:bidi="he-IL"/>
        </w:rPr>
        <w:t xml:space="preserve">' </w:t>
      </w:r>
      <w:r w:rsidRPr="00400C0B">
        <w:rPr>
          <w:rFonts w:cs="Guttman Rashi" w:hint="eastAsia"/>
          <w:rtl/>
          <w:lang w:bidi="he-IL"/>
        </w:rPr>
        <w:t>להתכבד</w:t>
      </w:r>
      <w:r w:rsidRPr="00400C0B">
        <w:rPr>
          <w:rFonts w:cs="Guttman Rashi"/>
          <w:rtl/>
          <w:lang w:bidi="he-IL"/>
        </w:rPr>
        <w:t xml:space="preserve">. </w:t>
      </w:r>
      <w:r w:rsidRPr="00400C0B">
        <w:rPr>
          <w:rFonts w:cs="Guttman Rashi" w:hint="eastAsia"/>
          <w:rtl/>
          <w:lang w:bidi="he-IL"/>
        </w:rPr>
        <w:t>ויל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p>
  </w:footnote>
  <w:footnote w:id="35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 </w:t>
      </w:r>
      <w:r w:rsidRPr="00400C0B">
        <w:rPr>
          <w:rFonts w:cs="Guttman Rashi" w:hint="eastAsia"/>
          <w:rtl/>
          <w:lang w:bidi="he-IL"/>
        </w:rPr>
        <w:t>הדברים</w:t>
      </w:r>
      <w:r w:rsidRPr="00400C0B">
        <w:rPr>
          <w:rFonts w:cs="Guttman Rashi"/>
          <w:rtl/>
          <w:lang w:bidi="he-IL"/>
        </w:rPr>
        <w:t xml:space="preserve"> </w:t>
      </w:r>
      <w:r w:rsidRPr="00400C0B">
        <w:rPr>
          <w:rFonts w:cs="Guttman Rashi" w:hint="eastAsia"/>
          <w:rtl/>
          <w:lang w:bidi="he-IL"/>
        </w:rPr>
        <w:t>הכתובים</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אינם</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ראשי</w:t>
      </w:r>
      <w:r w:rsidRPr="00400C0B">
        <w:rPr>
          <w:rFonts w:cs="Guttman Rashi"/>
          <w:rtl/>
          <w:lang w:bidi="he-IL"/>
        </w:rPr>
        <w:t xml:space="preserve"> </w:t>
      </w:r>
      <w:r w:rsidRPr="00400C0B">
        <w:rPr>
          <w:rFonts w:cs="Guttman Rashi" w:hint="eastAsia"/>
          <w:rtl/>
          <w:lang w:bidi="he-IL"/>
        </w:rPr>
        <w:t>פרקים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קסטנבוים</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נכתבו</w:t>
      </w:r>
      <w:r w:rsidRPr="00400C0B">
        <w:rPr>
          <w:rFonts w:cs="Guttman Rashi"/>
          <w:rtl/>
          <w:lang w:bidi="he-IL"/>
        </w:rPr>
        <w:t xml:space="preserve"> </w:t>
      </w:r>
      <w:r w:rsidRPr="00400C0B">
        <w:rPr>
          <w:rFonts w:cs="Guttman Rashi" w:hint="eastAsia"/>
          <w:rtl/>
          <w:lang w:bidi="he-IL"/>
        </w:rPr>
        <w:t>הדברים</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מעכ</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וכתבתי</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הדברים</w:t>
      </w:r>
      <w:r w:rsidRPr="00400C0B">
        <w:rPr>
          <w:rFonts w:cs="Guttman Rashi"/>
          <w:rtl/>
          <w:lang w:bidi="he-IL"/>
        </w:rPr>
        <w:t xml:space="preserve"> </w:t>
      </w:r>
      <w:r w:rsidRPr="00400C0B">
        <w:rPr>
          <w:rFonts w:cs="Guttman Rashi" w:hint="eastAsia"/>
          <w:rtl/>
          <w:lang w:bidi="he-IL"/>
        </w:rPr>
        <w:t>ועליהם</w:t>
      </w:r>
      <w:r w:rsidRPr="00400C0B">
        <w:rPr>
          <w:rFonts w:cs="Guttman Rashi"/>
          <w:rtl/>
          <w:lang w:bidi="he-IL"/>
        </w:rPr>
        <w:t xml:space="preserve"> </w:t>
      </w:r>
      <w:r w:rsidRPr="00400C0B">
        <w:rPr>
          <w:rFonts w:cs="Guttman Rashi" w:hint="eastAsia"/>
          <w:rtl/>
          <w:lang w:bidi="he-IL"/>
        </w:rPr>
        <w:t>נאמר</w:t>
      </w:r>
      <w:r w:rsidRPr="00400C0B">
        <w:rPr>
          <w:rFonts w:cs="Guttman Rashi"/>
          <w:rtl/>
          <w:lang w:bidi="he-IL"/>
        </w:rPr>
        <w:t xml:space="preserve"> </w:t>
      </w:r>
      <w:r w:rsidRPr="00400C0B">
        <w:rPr>
          <w:rFonts w:cs="Guttman Rashi" w:hint="eastAsia"/>
          <w:rtl/>
          <w:lang w:bidi="he-IL"/>
        </w:rPr>
        <w:t>תן</w:t>
      </w:r>
      <w:r w:rsidRPr="00400C0B">
        <w:rPr>
          <w:rFonts w:cs="Guttman Rashi"/>
          <w:rtl/>
          <w:lang w:bidi="he-IL"/>
        </w:rPr>
        <w:t xml:space="preserve"> </w:t>
      </w:r>
      <w:r w:rsidRPr="00400C0B">
        <w:rPr>
          <w:rFonts w:cs="Guttman Rashi" w:hint="eastAsia"/>
          <w:rtl/>
          <w:lang w:bidi="he-IL"/>
        </w:rPr>
        <w:t>לחכם</w:t>
      </w:r>
      <w:r w:rsidRPr="00400C0B">
        <w:rPr>
          <w:rFonts w:cs="Guttman Rashi"/>
          <w:rtl/>
          <w:lang w:bidi="he-IL"/>
        </w:rPr>
        <w:t xml:space="preserve"> </w:t>
      </w:r>
      <w:r w:rsidRPr="00400C0B">
        <w:rPr>
          <w:rFonts w:cs="Guttman Rashi" w:hint="eastAsia"/>
          <w:rtl/>
          <w:lang w:bidi="he-IL"/>
        </w:rPr>
        <w:t>ויחכם</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p>
  </w:footnote>
  <w:footnote w:id="35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מנין</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לחדש</w:t>
      </w:r>
      <w:r w:rsidRPr="00400C0B">
        <w:rPr>
          <w:rFonts w:cs="Guttman Rashi"/>
          <w:rtl/>
          <w:lang w:bidi="he-IL"/>
        </w:rPr>
        <w:t xml:space="preserve"> </w:t>
      </w:r>
      <w:r w:rsidRPr="00400C0B">
        <w:rPr>
          <w:rFonts w:cs="Guttman Rashi" w:hint="eastAsia"/>
          <w:rtl/>
          <w:lang w:bidi="he-IL"/>
        </w:rPr>
        <w:t>חילוק</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החומרות</w:t>
      </w:r>
      <w:r w:rsidRPr="00400C0B">
        <w:rPr>
          <w:rFonts w:cs="Guttman Rashi"/>
          <w:rtl/>
          <w:lang w:bidi="he-IL"/>
        </w:rPr>
        <w:t xml:space="preserve"> </w:t>
      </w:r>
      <w:r w:rsidRPr="00400C0B">
        <w:rPr>
          <w:rFonts w:cs="Guttman Rashi" w:hint="eastAsia"/>
          <w:rtl/>
          <w:lang w:bidi="he-IL"/>
        </w:rPr>
        <w:t>מעצמינו</w:t>
      </w:r>
      <w:r w:rsidRPr="00400C0B">
        <w:rPr>
          <w:rFonts w:cs="Guttman Rashi"/>
          <w:rtl/>
          <w:lang w:bidi="he-IL"/>
        </w:rPr>
        <w:t>.</w:t>
      </w:r>
    </w:p>
  </w:footnote>
  <w:footnote w:id="35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לדון</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דיתכן</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שהדרך</w:t>
      </w:r>
      <w:r w:rsidRPr="00400C0B">
        <w:rPr>
          <w:rFonts w:cs="Guttman Rashi"/>
          <w:rtl/>
          <w:lang w:bidi="he-IL"/>
        </w:rPr>
        <w:t xml:space="preserve"> </w:t>
      </w:r>
      <w:r w:rsidRPr="00400C0B">
        <w:rPr>
          <w:rFonts w:cs="Guttman Rashi" w:hint="eastAsia"/>
          <w:rtl/>
          <w:lang w:bidi="he-IL"/>
        </w:rPr>
        <w:t>להגיש</w:t>
      </w:r>
      <w:r w:rsidRPr="00400C0B">
        <w:rPr>
          <w:rFonts w:cs="Guttman Rashi"/>
          <w:rtl/>
          <w:lang w:bidi="he-IL"/>
        </w:rPr>
        <w:t xml:space="preserve"> </w:t>
      </w:r>
      <w:r w:rsidRPr="00400C0B">
        <w:rPr>
          <w:rFonts w:cs="Guttman Rashi" w:hint="eastAsia"/>
          <w:rtl/>
          <w:lang w:bidi="he-IL"/>
        </w:rPr>
        <w:t>חתיכה</w:t>
      </w:r>
      <w:r w:rsidRPr="00400C0B">
        <w:rPr>
          <w:rFonts w:cs="Guttman Rashi"/>
          <w:rtl/>
          <w:lang w:bidi="he-IL"/>
        </w:rPr>
        <w:t xml:space="preserve"> </w:t>
      </w:r>
      <w:r w:rsidRPr="00400C0B">
        <w:rPr>
          <w:rFonts w:cs="Guttman Rashi" w:hint="eastAsia"/>
          <w:rtl/>
          <w:lang w:bidi="he-IL"/>
        </w:rPr>
        <w:t>שלימה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שניצל</w:t>
      </w:r>
      <w:r w:rsidRPr="00400C0B">
        <w:rPr>
          <w:rFonts w:cs="Guttman Rashi"/>
          <w:rtl/>
          <w:lang w:bidi="he-IL"/>
        </w:rPr>
        <w:t xml:space="preserve"> </w:t>
      </w:r>
      <w:r w:rsidRPr="00400C0B">
        <w:rPr>
          <w:rFonts w:cs="Guttman Rashi" w:hint="eastAsia"/>
          <w:rtl/>
          <w:lang w:bidi="he-IL"/>
        </w:rPr>
        <w:t>לאורח</w:t>
      </w:r>
      <w:r w:rsidRPr="00400C0B">
        <w:rPr>
          <w:rFonts w:cs="Guttman Rashi"/>
          <w:rtl/>
          <w:lang w:bidi="he-IL"/>
        </w:rPr>
        <w:t xml:space="preserve">, </w:t>
      </w:r>
      <w:r w:rsidRPr="00400C0B">
        <w:rPr>
          <w:rFonts w:cs="Guttman Rashi" w:hint="eastAsia"/>
          <w:rtl/>
          <w:lang w:bidi="he-IL"/>
        </w:rPr>
        <w:t>לכן</w:t>
      </w:r>
      <w:r w:rsidRPr="00400C0B">
        <w:rPr>
          <w:rFonts w:cs="Guttman Rashi"/>
          <w:rtl/>
          <w:lang w:bidi="he-IL"/>
        </w:rPr>
        <w:t xml:space="preserve"> </w:t>
      </w:r>
      <w:r w:rsidRPr="00400C0B">
        <w:rPr>
          <w:rFonts w:cs="Guttman Rashi" w:hint="eastAsia"/>
          <w:rtl/>
          <w:lang w:bidi="he-IL"/>
        </w:rPr>
        <w:t>הוו</w:t>
      </w:r>
      <w:r w:rsidRPr="00400C0B">
        <w:rPr>
          <w:rFonts w:cs="Guttman Rashi"/>
          <w:rtl/>
          <w:lang w:bidi="he-IL"/>
        </w:rPr>
        <w:t xml:space="preserve"> </w:t>
      </w:r>
      <w:r w:rsidRPr="00400C0B">
        <w:rPr>
          <w:rFonts w:cs="Guttman Rashi" w:hint="eastAsia"/>
          <w:rtl/>
          <w:lang w:bidi="he-IL"/>
        </w:rPr>
        <w:t>שניצלונים</w:t>
      </w:r>
      <w:r w:rsidRPr="00400C0B">
        <w:rPr>
          <w:rFonts w:cs="Guttman Rashi"/>
          <w:rtl/>
          <w:lang w:bidi="he-IL"/>
        </w:rPr>
        <w:t xml:space="preserve"> </w:t>
      </w:r>
      <w:r w:rsidRPr="00400C0B">
        <w:rPr>
          <w:rFonts w:cs="Guttman Rashi" w:hint="eastAsia"/>
          <w:rtl/>
          <w:lang w:bidi="he-IL"/>
        </w:rPr>
        <w:t>ראוין</w:t>
      </w:r>
      <w:r w:rsidRPr="00400C0B">
        <w:rPr>
          <w:rFonts w:cs="Guttman Rashi"/>
          <w:rtl/>
          <w:lang w:bidi="he-IL"/>
        </w:rPr>
        <w:t xml:space="preserve"> </w:t>
      </w:r>
      <w:r w:rsidRPr="00400C0B">
        <w:rPr>
          <w:rFonts w:cs="Guttman Rashi" w:hint="eastAsia"/>
          <w:rtl/>
          <w:lang w:bidi="he-IL"/>
        </w:rPr>
        <w:t>להתכבד</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ואינו</w:t>
      </w:r>
      <w:r w:rsidRPr="00400C0B">
        <w:rPr>
          <w:rFonts w:cs="Guttman Rashi"/>
          <w:rtl/>
          <w:lang w:bidi="he-IL"/>
        </w:rPr>
        <w:t xml:space="preserve"> </w:t>
      </w:r>
      <w:r w:rsidRPr="00400C0B">
        <w:rPr>
          <w:rFonts w:cs="Guttman Rashi" w:hint="eastAsia"/>
          <w:rtl/>
          <w:lang w:bidi="he-IL"/>
        </w:rPr>
        <w:t>דומה</w:t>
      </w:r>
      <w:r w:rsidRPr="00400C0B">
        <w:rPr>
          <w:rFonts w:cs="Guttman Rashi"/>
          <w:rtl/>
          <w:lang w:bidi="he-IL"/>
        </w:rPr>
        <w:t xml:space="preserve"> </w:t>
      </w:r>
      <w:r w:rsidRPr="00400C0B">
        <w:rPr>
          <w:rFonts w:cs="Guttman Rashi" w:hint="eastAsia"/>
          <w:rtl/>
          <w:lang w:bidi="he-IL"/>
        </w:rPr>
        <w:t>לעור</w:t>
      </w:r>
      <w:r w:rsidRPr="00400C0B">
        <w:rPr>
          <w:rFonts w:cs="Guttman Rashi"/>
          <w:rtl/>
          <w:lang w:bidi="he-IL"/>
        </w:rPr>
        <w:t xml:space="preserve"> </w:t>
      </w:r>
      <w:r w:rsidRPr="00400C0B">
        <w:rPr>
          <w:rFonts w:cs="Guttman Rashi" w:hint="eastAsia"/>
          <w:rtl/>
          <w:lang w:bidi="he-IL"/>
        </w:rPr>
        <w:t>שומן</w:t>
      </w:r>
      <w:r w:rsidRPr="00400C0B">
        <w:rPr>
          <w:rFonts w:cs="Guttman Rashi"/>
          <w:rtl/>
          <w:lang w:bidi="he-IL"/>
        </w:rPr>
        <w:t xml:space="preserve"> </w:t>
      </w:r>
      <w:r w:rsidRPr="00400C0B">
        <w:rPr>
          <w:rFonts w:cs="Guttman Rashi" w:hint="eastAsia"/>
          <w:rtl/>
          <w:lang w:bidi="he-IL"/>
        </w:rPr>
        <w:t>אווז</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שהדרך</w:t>
      </w:r>
      <w:r w:rsidRPr="00400C0B">
        <w:rPr>
          <w:rFonts w:cs="Guttman Rashi"/>
          <w:rtl/>
          <w:lang w:bidi="he-IL"/>
        </w:rPr>
        <w:t xml:space="preserve"> </w:t>
      </w:r>
      <w:r w:rsidRPr="00400C0B">
        <w:rPr>
          <w:rFonts w:cs="Guttman Rashi" w:hint="eastAsia"/>
          <w:rtl/>
          <w:lang w:bidi="he-IL"/>
        </w:rPr>
        <w:t>להגיש</w:t>
      </w:r>
      <w:r w:rsidRPr="00400C0B">
        <w:rPr>
          <w:rFonts w:cs="Guttman Rashi"/>
          <w:rtl/>
          <w:lang w:bidi="he-IL"/>
        </w:rPr>
        <w:t xml:space="preserve"> </w:t>
      </w:r>
      <w:r w:rsidRPr="00400C0B">
        <w:rPr>
          <w:rFonts w:cs="Guttman Rashi" w:hint="eastAsia"/>
          <w:rtl/>
          <w:lang w:bidi="he-IL"/>
        </w:rPr>
        <w:t>דוקא</w:t>
      </w:r>
      <w:r w:rsidRPr="00400C0B">
        <w:rPr>
          <w:rFonts w:cs="Guttman Rashi"/>
          <w:rtl/>
          <w:lang w:bidi="he-IL"/>
        </w:rPr>
        <w:t xml:space="preserve"> </w:t>
      </w:r>
      <w:r w:rsidRPr="00400C0B">
        <w:rPr>
          <w:rFonts w:cs="Guttman Rashi" w:hint="eastAsia"/>
          <w:rtl/>
          <w:lang w:bidi="he-IL"/>
        </w:rPr>
        <w:t>בחתיכות</w:t>
      </w:r>
      <w:r w:rsidRPr="00400C0B">
        <w:rPr>
          <w:rFonts w:cs="Guttman Rashi"/>
          <w:rtl/>
          <w:lang w:bidi="he-IL"/>
        </w:rPr>
        <w:t xml:space="preserve"> </w:t>
      </w:r>
      <w:r w:rsidRPr="00400C0B">
        <w:rPr>
          <w:rFonts w:cs="Guttman Rashi" w:hint="eastAsia"/>
          <w:rtl/>
          <w:lang w:bidi="he-IL"/>
        </w:rPr>
        <w:t>קטנות</w:t>
      </w:r>
      <w:r w:rsidRPr="00400C0B">
        <w:rPr>
          <w:rFonts w:cs="Guttman Rashi"/>
          <w:rtl/>
          <w:lang w:bidi="he-IL"/>
        </w:rPr>
        <w:t>.</w:t>
      </w:r>
    </w:p>
  </w:footnote>
  <w:footnote w:id="35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לשון</w:t>
      </w:r>
      <w:r w:rsidRPr="00400C0B">
        <w:rPr>
          <w:rFonts w:cs="Guttman Rashi"/>
          <w:rtl/>
          <w:lang w:bidi="he-IL"/>
        </w:rPr>
        <w:t xml:space="preserve"> </w:t>
      </w:r>
      <w:r w:rsidRPr="00400C0B">
        <w:rPr>
          <w:rFonts w:cs="Guttman Rashi" w:hint="eastAsia"/>
          <w:rtl/>
          <w:lang w:bidi="he-IL"/>
        </w:rPr>
        <w:t>חי</w:t>
      </w:r>
      <w:r w:rsidRPr="00400C0B">
        <w:rPr>
          <w:rFonts w:cs="Guttman Rashi"/>
          <w:rtl/>
          <w:lang w:bidi="he-IL"/>
        </w:rPr>
        <w:t xml:space="preserve">' </w:t>
      </w:r>
      <w:r w:rsidRPr="00400C0B">
        <w:rPr>
          <w:rFonts w:cs="Guttman Rashi" w:hint="eastAsia"/>
          <w:rtl/>
          <w:lang w:bidi="he-IL"/>
        </w:rPr>
        <w:t>רבינן</w:t>
      </w:r>
      <w:r w:rsidRPr="00400C0B">
        <w:rPr>
          <w:rFonts w:cs="Guttman Rashi"/>
          <w:rtl/>
          <w:lang w:bidi="he-IL"/>
        </w:rPr>
        <w:t xml:space="preserve"> </w:t>
      </w:r>
      <w:r w:rsidRPr="00400C0B">
        <w:rPr>
          <w:rFonts w:cs="Guttman Rashi" w:hint="eastAsia"/>
          <w:rtl/>
          <w:lang w:bidi="he-IL"/>
        </w:rPr>
        <w:t>דוד</w:t>
      </w:r>
      <w:r w:rsidRPr="00400C0B">
        <w:rPr>
          <w:rFonts w:cs="Guttman Rashi"/>
          <w:rtl/>
          <w:lang w:bidi="he-IL"/>
        </w:rPr>
        <w:t xml:space="preserve"> </w:t>
      </w:r>
      <w:r w:rsidRPr="00400C0B">
        <w:rPr>
          <w:rFonts w:cs="Guttman Rashi" w:hint="eastAsia"/>
          <w:rtl/>
          <w:lang w:bidi="he-IL"/>
        </w:rPr>
        <w:t>למס</w:t>
      </w:r>
      <w:r w:rsidRPr="00400C0B">
        <w:rPr>
          <w:rFonts w:cs="Guttman Rashi"/>
          <w:rtl/>
          <w:lang w:bidi="he-IL"/>
        </w:rPr>
        <w:t xml:space="preserve">' </w:t>
      </w:r>
      <w:r w:rsidRPr="00400C0B">
        <w:rPr>
          <w:rFonts w:cs="Guttman Rashi" w:hint="eastAsia"/>
          <w:rtl/>
          <w:lang w:bidi="he-IL"/>
        </w:rPr>
        <w:t>פסחים</w:t>
      </w:r>
      <w:r w:rsidRPr="00400C0B">
        <w:rPr>
          <w:rFonts w:cs="Guttman Rashi"/>
          <w:rtl/>
          <w:lang w:bidi="he-IL"/>
        </w:rPr>
        <w:t xml:space="preserve"> </w:t>
      </w:r>
      <w:r w:rsidRPr="00400C0B">
        <w:rPr>
          <w:rFonts w:cs="Guttman Rashi" w:hint="eastAsia"/>
          <w:rtl/>
          <w:lang w:bidi="he-IL"/>
        </w:rPr>
        <w:t>דף</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סוד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אמר</w:t>
      </w:r>
      <w:r w:rsidRPr="00400C0B">
        <w:rPr>
          <w:rFonts w:cs="Guttman Rashi"/>
          <w:rtl/>
          <w:lang w:bidi="he-IL"/>
        </w:rPr>
        <w:t xml:space="preserve"> </w:t>
      </w:r>
      <w:r w:rsidRPr="00400C0B">
        <w:rPr>
          <w:rFonts w:cs="Guttman Rashi" w:hint="eastAsia"/>
          <w:rtl/>
          <w:lang w:bidi="he-IL"/>
        </w:rPr>
        <w:t>רבא</w:t>
      </w:r>
      <w:r w:rsidRPr="00400C0B">
        <w:rPr>
          <w:rFonts w:cs="Guttman Rashi"/>
          <w:rtl/>
          <w:lang w:bidi="he-IL"/>
        </w:rPr>
        <w:t xml:space="preserve"> – </w:t>
      </w:r>
      <w:r w:rsidRPr="00400C0B">
        <w:rPr>
          <w:rFonts w:cs="Guttman Rashi" w:hint="eastAsia"/>
          <w:rtl/>
          <w:lang w:bidi="he-IL"/>
        </w:rPr>
        <w:t>והבאתיו</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קי</w:t>
      </w:r>
      <w:r w:rsidRPr="00400C0B">
        <w:rPr>
          <w:rFonts w:cs="Guttman Rashi"/>
          <w:rtl/>
          <w:lang w:bidi="he-IL"/>
        </w:rPr>
        <w:t>"</w:t>
      </w:r>
      <w:r w:rsidRPr="00400C0B">
        <w:rPr>
          <w:rFonts w:cs="Guttman Rashi" w:hint="eastAsia"/>
          <w:rtl/>
          <w:lang w:bidi="he-IL"/>
        </w:rPr>
        <w:t>ד</w:t>
      </w:r>
    </w:p>
  </w:footnote>
  <w:footnote w:id="36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התו</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שהחילוק</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למין</w:t>
      </w:r>
      <w:r w:rsidRPr="00400C0B">
        <w:rPr>
          <w:rFonts w:cs="Guttman Rashi"/>
          <w:rtl/>
          <w:lang w:bidi="he-IL"/>
        </w:rPr>
        <w:t xml:space="preserve"> </w:t>
      </w:r>
      <w:r w:rsidRPr="00400C0B">
        <w:rPr>
          <w:rFonts w:cs="Guttman Rashi" w:hint="eastAsia"/>
          <w:rtl/>
          <w:lang w:bidi="he-IL"/>
        </w:rPr>
        <w:t>בשאינו</w:t>
      </w:r>
      <w:r w:rsidRPr="00400C0B">
        <w:rPr>
          <w:rFonts w:cs="Guttman Rashi"/>
          <w:rtl/>
          <w:lang w:bidi="he-IL"/>
        </w:rPr>
        <w:t xml:space="preserve"> </w:t>
      </w:r>
      <w:r w:rsidRPr="00400C0B">
        <w:rPr>
          <w:rFonts w:cs="Guttman Rashi" w:hint="eastAsia"/>
          <w:rtl/>
          <w:lang w:bidi="he-IL"/>
        </w:rPr>
        <w:t>נאמר</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בחומרא</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וחהר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חזינן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בכל</w:t>
      </w:r>
      <w:r w:rsidRPr="00400C0B">
        <w:rPr>
          <w:rFonts w:cs="Guttman Rashi"/>
          <w:rtl/>
          <w:lang w:bidi="he-IL"/>
        </w:rPr>
        <w:t xml:space="preserve"> </w:t>
      </w:r>
      <w:r w:rsidRPr="00400C0B">
        <w:rPr>
          <w:rFonts w:cs="Guttman Rashi" w:hint="eastAsia"/>
          <w:rtl/>
          <w:lang w:bidi="he-IL"/>
        </w:rPr>
        <w:t>החומרות</w:t>
      </w:r>
      <w:r w:rsidRPr="00400C0B">
        <w:rPr>
          <w:rFonts w:cs="Guttman Rashi"/>
          <w:rtl/>
          <w:lang w:bidi="he-IL"/>
        </w:rPr>
        <w:t xml:space="preserve"> </w:t>
      </w:r>
      <w:r w:rsidRPr="00400C0B">
        <w:rPr>
          <w:rFonts w:cs="Guttman Rashi" w:hint="eastAsia"/>
          <w:rtl/>
          <w:lang w:bidi="he-IL"/>
        </w:rPr>
        <w:t>לחלק</w:t>
      </w:r>
      <w:r w:rsidRPr="00400C0B">
        <w:rPr>
          <w:rFonts w:cs="Guttman Rashi"/>
          <w:rtl/>
          <w:lang w:bidi="he-IL"/>
        </w:rPr>
        <w:t xml:space="preserve"> </w:t>
      </w:r>
      <w:r w:rsidRPr="00400C0B">
        <w:rPr>
          <w:rFonts w:cs="Guttman Rashi" w:hint="eastAsia"/>
          <w:rtl/>
          <w:lang w:bidi="he-IL"/>
        </w:rPr>
        <w:t>ביניהם</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w:t>
      </w:r>
    </w:p>
  </w:footnote>
  <w:footnote w:id="36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שכן</w:t>
      </w:r>
      <w:r w:rsidRPr="00400C0B">
        <w:rPr>
          <w:rFonts w:cs="Guttman Rashi"/>
          <w:rtl/>
          <w:lang w:bidi="he-IL"/>
        </w:rPr>
        <w:t xml:space="preserve"> </w:t>
      </w:r>
      <w:r w:rsidRPr="00400C0B">
        <w:rPr>
          <w:rFonts w:cs="Guttman Rashi" w:hint="eastAsia"/>
          <w:rtl/>
          <w:lang w:bidi="he-IL"/>
        </w:rPr>
        <w:t>העיר</w:t>
      </w:r>
      <w:r w:rsidRPr="00400C0B">
        <w:rPr>
          <w:rFonts w:cs="Guttman Rashi"/>
          <w:rtl/>
          <w:lang w:bidi="he-IL"/>
        </w:rPr>
        <w:t xml:space="preserve"> </w:t>
      </w:r>
      <w:r w:rsidRPr="00400C0B">
        <w:rPr>
          <w:rFonts w:cs="Guttman Rashi" w:hint="eastAsia"/>
          <w:rtl/>
          <w:lang w:bidi="he-IL"/>
        </w:rPr>
        <w:t>במקור</w:t>
      </w:r>
      <w:r w:rsidRPr="00400C0B">
        <w:rPr>
          <w:rFonts w:cs="Guttman Rashi"/>
          <w:rtl/>
          <w:lang w:bidi="he-IL"/>
        </w:rPr>
        <w:t xml:space="preserve"> </w:t>
      </w:r>
      <w:r w:rsidRPr="00400C0B">
        <w:rPr>
          <w:rFonts w:cs="Guttman Rashi" w:hint="eastAsia"/>
          <w:rtl/>
          <w:lang w:bidi="he-IL"/>
        </w:rPr>
        <w:t>מים</w:t>
      </w:r>
      <w:r w:rsidRPr="00400C0B">
        <w:rPr>
          <w:rFonts w:cs="Guttman Rashi"/>
          <w:rtl/>
          <w:lang w:bidi="he-IL"/>
        </w:rPr>
        <w:t xml:space="preserve"> </w:t>
      </w:r>
      <w:r w:rsidRPr="00400C0B">
        <w:rPr>
          <w:rFonts w:cs="Guttman Rashi" w:hint="eastAsia"/>
          <w:rtl/>
          <w:lang w:bidi="he-IL"/>
        </w:rPr>
        <w:t>חיים</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סעי</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והנה</w:t>
      </w:r>
    </w:p>
  </w:footnote>
  <w:footnote w:id="36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להעיר</w:t>
      </w:r>
      <w:r w:rsidRPr="00400C0B">
        <w:rPr>
          <w:rFonts w:cs="Guttman Rashi"/>
          <w:rtl/>
          <w:lang w:bidi="he-IL"/>
        </w:rPr>
        <w:t xml:space="preserve"> </w:t>
      </w:r>
      <w:r w:rsidRPr="00400C0B">
        <w:rPr>
          <w:rFonts w:cs="Guttman Rashi" w:hint="eastAsia"/>
          <w:rtl/>
          <w:lang w:bidi="he-IL"/>
        </w:rPr>
        <w:t>שבר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פסחים</w:t>
      </w:r>
      <w:r w:rsidRPr="00400C0B">
        <w:rPr>
          <w:rFonts w:cs="Guttman Rashi"/>
          <w:rtl/>
          <w:lang w:bidi="he-IL"/>
        </w:rPr>
        <w:t xml:space="preserve"> (</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מדי</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w:t>
      </w:r>
      <w:r w:rsidRPr="00400C0B">
        <w:rPr>
          <w:rFonts w:cs="Guttman Rashi" w:hint="eastAsia"/>
          <w:rtl/>
          <w:lang w:bidi="he-IL"/>
        </w:rPr>
        <w:t>ף</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ועוד</w:t>
      </w:r>
      <w:r w:rsidRPr="00400C0B">
        <w:rPr>
          <w:rFonts w:cs="Guttman Rashi"/>
          <w:rtl/>
          <w:lang w:bidi="he-IL"/>
        </w:rPr>
        <w:t xml:space="preserve"> </w:t>
      </w:r>
      <w:r w:rsidRPr="00400C0B">
        <w:rPr>
          <w:rFonts w:cs="Guttman Rashi" w:hint="eastAsia"/>
          <w:rtl/>
          <w:lang w:bidi="he-IL"/>
        </w:rPr>
        <w:t>דמאי</w:t>
      </w:r>
      <w:r w:rsidRPr="00400C0B">
        <w:rPr>
          <w:rFonts w:cs="Guttman Rashi"/>
          <w:rtl/>
          <w:lang w:bidi="he-IL"/>
        </w:rPr>
        <w:t xml:space="preserve"> </w:t>
      </w:r>
      <w:r w:rsidRPr="00400C0B">
        <w:rPr>
          <w:rFonts w:cs="Guttman Rashi" w:hint="eastAsia"/>
          <w:rtl/>
          <w:lang w:bidi="he-IL"/>
        </w:rPr>
        <w:t>דאמר</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מתירין</w:t>
      </w:r>
      <w:r w:rsidRPr="00400C0B">
        <w:rPr>
          <w:rFonts w:cs="Guttman Rashi"/>
          <w:rtl/>
          <w:lang w:bidi="he-IL"/>
        </w:rPr>
        <w:t xml:space="preserve"> </w:t>
      </w:r>
      <w:r w:rsidRPr="00400C0B">
        <w:rPr>
          <w:rFonts w:cs="Guttman Rashi" w:hint="eastAsia"/>
          <w:rtl/>
          <w:lang w:bidi="he-IL"/>
        </w:rPr>
        <w:t>אפי</w:t>
      </w:r>
      <w:r w:rsidRPr="00400C0B">
        <w:rPr>
          <w:rFonts w:cs="Guttman Rashi"/>
          <w:rtl/>
          <w:lang w:bidi="he-IL"/>
        </w:rPr>
        <w:t xml:space="preserve">' </w:t>
      </w:r>
      <w:r w:rsidRPr="00400C0B">
        <w:rPr>
          <w:rFonts w:cs="Guttman Rashi" w:hint="eastAsia"/>
          <w:rtl/>
          <w:lang w:bidi="he-IL"/>
        </w:rPr>
        <w:t>באלף</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בטיל</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מדרבנו</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הביא</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דמס</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ומשמע</w:t>
      </w:r>
      <w:r w:rsidRPr="00400C0B">
        <w:rPr>
          <w:rFonts w:cs="Guttman Rashi"/>
          <w:rtl/>
          <w:lang w:bidi="he-IL"/>
        </w:rPr>
        <w:t xml:space="preserve"> </w:t>
      </w:r>
      <w:r w:rsidRPr="00400C0B">
        <w:rPr>
          <w:rFonts w:cs="Guttman Rashi" w:hint="eastAsia"/>
          <w:rtl/>
          <w:lang w:bidi="he-IL"/>
        </w:rPr>
        <w:t>שזהו</w:t>
      </w:r>
      <w:r w:rsidRPr="00400C0B">
        <w:rPr>
          <w:rFonts w:cs="Guttman Rashi"/>
          <w:rtl/>
          <w:lang w:bidi="he-IL"/>
        </w:rPr>
        <w:t xml:space="preserve"> </w:t>
      </w:r>
      <w:r w:rsidRPr="00400C0B">
        <w:rPr>
          <w:rFonts w:cs="Guttman Rashi" w:hint="eastAsia"/>
          <w:rtl/>
          <w:lang w:bidi="he-IL"/>
        </w:rPr>
        <w:t>סברת</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מכח</w:t>
      </w:r>
      <w:r w:rsidRPr="00400C0B">
        <w:rPr>
          <w:rFonts w:cs="Guttman Rashi"/>
          <w:rtl/>
          <w:lang w:bidi="he-IL"/>
        </w:rPr>
        <w:t xml:space="preserve"> </w:t>
      </w:r>
      <w:r w:rsidRPr="00400C0B">
        <w:rPr>
          <w:rFonts w:cs="Guttman Rashi" w:hint="eastAsia"/>
          <w:rtl/>
          <w:lang w:bidi="he-IL"/>
        </w:rPr>
        <w:t>סוגיית</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36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סותר</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פסחים</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בחי</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שהר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למס</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מדפי</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w:t>
      </w:r>
      <w:r w:rsidRPr="00400C0B">
        <w:rPr>
          <w:rFonts w:cs="Guttman Rashi" w:hint="eastAsia"/>
          <w:rtl/>
          <w:lang w:bidi="he-IL"/>
        </w:rPr>
        <w:t>ף</w:t>
      </w:r>
      <w:r w:rsidRPr="00400C0B">
        <w:rPr>
          <w:rFonts w:cs="Guttman Rashi"/>
          <w:rtl/>
          <w:lang w:bidi="he-IL"/>
        </w:rPr>
        <w:t xml:space="preserve">) </w:t>
      </w:r>
      <w:r w:rsidRPr="00400C0B">
        <w:rPr>
          <w:rFonts w:cs="Guttman Rashi" w:hint="eastAsia"/>
          <w:rtl/>
          <w:lang w:bidi="he-IL"/>
        </w:rPr>
        <w:t>לית</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סברא</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p>
  </w:footnote>
  <w:footnote w:id="36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שמשבח</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w:t>
      </w:r>
      <w:r w:rsidRPr="00400C0B">
        <w:rPr>
          <w:rFonts w:cs="Guttman Rashi" w:hint="eastAsia"/>
          <w:rtl/>
          <w:lang w:bidi="he-IL"/>
        </w:rPr>
        <w:t>ף</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נדרים</w:t>
      </w:r>
      <w:r w:rsidRPr="00400C0B">
        <w:rPr>
          <w:rFonts w:cs="Guttman Rashi"/>
          <w:rtl/>
          <w:lang w:bidi="he-IL"/>
        </w:rPr>
        <w:t xml:space="preserve"> </w:t>
      </w:r>
      <w:r w:rsidRPr="00400C0B">
        <w:rPr>
          <w:rFonts w:cs="Guttman Rashi" w:hint="eastAsia"/>
          <w:rtl/>
          <w:lang w:bidi="he-IL"/>
        </w:rPr>
        <w:t>חלק</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סתירה</w:t>
      </w:r>
      <w:r w:rsidRPr="00400C0B">
        <w:rPr>
          <w:rFonts w:cs="Guttman Rashi"/>
          <w:rtl/>
          <w:lang w:bidi="he-IL"/>
        </w:rPr>
        <w:t xml:space="preserve">, </w:t>
      </w:r>
      <w:r w:rsidRPr="00400C0B">
        <w:rPr>
          <w:rFonts w:cs="Guttman Rashi" w:hint="eastAsia"/>
          <w:rtl/>
          <w:lang w:bidi="he-IL"/>
        </w:rPr>
        <w:t>דאדרבה</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שפירושו</w:t>
      </w:r>
      <w:r w:rsidRPr="00400C0B">
        <w:rPr>
          <w:rFonts w:cs="Guttman Rashi"/>
          <w:rtl/>
          <w:lang w:bidi="he-IL"/>
        </w:rPr>
        <w:t xml:space="preserve"> </w:t>
      </w:r>
      <w:r w:rsidRPr="00400C0B">
        <w:rPr>
          <w:rFonts w:cs="Guttman Rashi" w:hint="eastAsia"/>
          <w:rtl/>
          <w:lang w:bidi="he-IL"/>
        </w:rPr>
        <w:t>לרי</w:t>
      </w:r>
      <w:r w:rsidRPr="00400C0B">
        <w:rPr>
          <w:rFonts w:cs="Guttman Rashi"/>
          <w:rtl/>
          <w:lang w:bidi="he-IL"/>
        </w:rPr>
        <w:t>"</w:t>
      </w:r>
      <w:r w:rsidRPr="00400C0B">
        <w:rPr>
          <w:rFonts w:cs="Guttman Rashi" w:hint="eastAsia"/>
          <w:rtl/>
          <w:lang w:bidi="he-IL"/>
        </w:rPr>
        <w:t>ף</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מציין</w:t>
      </w:r>
      <w:r w:rsidRPr="00400C0B">
        <w:rPr>
          <w:rFonts w:cs="Guttman Rashi"/>
          <w:rtl/>
          <w:lang w:bidi="he-IL"/>
        </w:rPr>
        <w:t xml:space="preserve"> </w:t>
      </w:r>
      <w:r w:rsidRPr="00400C0B">
        <w:rPr>
          <w:rFonts w:cs="Guttman Rashi" w:hint="eastAsia"/>
          <w:rtl/>
          <w:lang w:bidi="he-IL"/>
        </w:rPr>
        <w:t>לדבריו</w:t>
      </w:r>
      <w:r w:rsidRPr="00400C0B">
        <w:rPr>
          <w:rFonts w:cs="Guttman Rashi"/>
          <w:rtl/>
          <w:lang w:bidi="he-IL"/>
        </w:rPr>
        <w:t xml:space="preserve"> </w:t>
      </w:r>
      <w:r w:rsidRPr="00400C0B">
        <w:rPr>
          <w:rFonts w:cs="Guttman Rashi" w:hint="eastAsia"/>
          <w:rtl/>
          <w:lang w:bidi="he-IL"/>
        </w:rPr>
        <w:t>בפי</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דמס</w:t>
      </w:r>
      <w:r w:rsidRPr="00400C0B">
        <w:rPr>
          <w:rFonts w:cs="Guttman Rashi"/>
          <w:rtl/>
          <w:lang w:bidi="he-IL"/>
        </w:rPr>
        <w:t xml:space="preserve">' </w:t>
      </w:r>
      <w:r w:rsidRPr="00400C0B">
        <w:rPr>
          <w:rFonts w:cs="Guttman Rashi" w:hint="eastAsia"/>
          <w:rtl/>
          <w:lang w:bidi="he-IL"/>
        </w:rPr>
        <w:t>נדרים</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בעיקר</w:t>
      </w:r>
      <w:r w:rsidRPr="00400C0B">
        <w:rPr>
          <w:rFonts w:cs="Guttman Rashi"/>
          <w:rtl/>
          <w:lang w:bidi="he-IL"/>
        </w:rPr>
        <w:t xml:space="preserve"> </w:t>
      </w:r>
      <w:r w:rsidRPr="00400C0B">
        <w:rPr>
          <w:rFonts w:cs="Guttman Rashi" w:hint="eastAsia"/>
          <w:rtl/>
          <w:lang w:bidi="he-IL"/>
        </w:rPr>
        <w:t>היסוד</w:t>
      </w:r>
      <w:r w:rsidRPr="00400C0B">
        <w:rPr>
          <w:rFonts w:cs="Guttman Rashi"/>
          <w:rtl/>
          <w:lang w:bidi="he-IL"/>
        </w:rPr>
        <w:t xml:space="preserve"> </w:t>
      </w:r>
      <w:r w:rsidRPr="00400C0B">
        <w:rPr>
          <w:rFonts w:cs="Guttman Rashi" w:hint="eastAsia"/>
          <w:rtl/>
          <w:lang w:bidi="he-IL"/>
        </w:rPr>
        <w:t>דדשיל</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החילוק</w:t>
      </w:r>
      <w:r w:rsidRPr="00400C0B">
        <w:rPr>
          <w:rFonts w:cs="Guttman Rashi"/>
          <w:rtl/>
          <w:lang w:bidi="he-IL"/>
        </w:rPr>
        <w:t xml:space="preserve"> </w:t>
      </w:r>
      <w:r w:rsidRPr="00400C0B">
        <w:rPr>
          <w:rFonts w:cs="Guttman Rashi" w:hint="eastAsia"/>
          <w:rtl/>
          <w:lang w:bidi="he-IL"/>
        </w:rPr>
        <w:t>שבין</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למין</w:t>
      </w:r>
      <w:r w:rsidRPr="00400C0B">
        <w:rPr>
          <w:rFonts w:cs="Guttman Rashi"/>
          <w:rtl/>
          <w:lang w:bidi="he-IL"/>
        </w:rPr>
        <w:t xml:space="preserve"> </w:t>
      </w:r>
      <w:r w:rsidRPr="00400C0B">
        <w:rPr>
          <w:rFonts w:cs="Guttman Rashi" w:hint="eastAsia"/>
          <w:rtl/>
          <w:lang w:bidi="he-IL"/>
        </w:rPr>
        <w:t>בשאינו</w:t>
      </w:r>
      <w:r w:rsidRPr="00400C0B">
        <w:rPr>
          <w:rFonts w:cs="Guttman Rashi"/>
          <w:rtl/>
          <w:lang w:bidi="he-IL"/>
        </w:rPr>
        <w:t xml:space="preserve"> </w:t>
      </w:r>
      <w:r w:rsidRPr="00400C0B">
        <w:rPr>
          <w:rFonts w:cs="Guttman Rashi" w:hint="eastAsia"/>
          <w:rtl/>
          <w:lang w:bidi="he-IL"/>
        </w:rPr>
        <w:t>מינו</w:t>
      </w:r>
      <w:r w:rsidRPr="00400C0B">
        <w:rPr>
          <w:rFonts w:cs="Guttman Rashi"/>
          <w:rtl/>
          <w:lang w:bidi="he-IL"/>
        </w:rPr>
        <w:t xml:space="preserve"> </w:t>
      </w:r>
      <w:r w:rsidRPr="00400C0B">
        <w:rPr>
          <w:rFonts w:cs="Guttman Rashi" w:hint="eastAsia"/>
          <w:rtl/>
          <w:lang w:bidi="he-IL"/>
        </w:rPr>
        <w:t>מוסכם</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חלק</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פרט</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w:t>
      </w:r>
      <w:r w:rsidRPr="00400C0B">
        <w:rPr>
          <w:rFonts w:cs="Guttman Rashi" w:hint="eastAsia"/>
          <w:rtl/>
          <w:lang w:bidi="he-IL"/>
        </w:rPr>
        <w:t>ף</w:t>
      </w:r>
      <w:r w:rsidRPr="00400C0B">
        <w:rPr>
          <w:rFonts w:cs="Guttman Rashi"/>
          <w:rtl/>
          <w:lang w:bidi="he-IL"/>
        </w:rPr>
        <w:t xml:space="preserve"> </w:t>
      </w:r>
      <w:r w:rsidRPr="00400C0B">
        <w:rPr>
          <w:rFonts w:cs="Guttman Rashi" w:hint="eastAsia"/>
          <w:rtl/>
          <w:lang w:bidi="he-IL"/>
        </w:rPr>
        <w:t>מחשיב</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עכשיו</w:t>
      </w:r>
      <w:r w:rsidRPr="00400C0B">
        <w:rPr>
          <w:rFonts w:cs="Guttman Rashi"/>
          <w:rtl/>
          <w:lang w:bidi="he-IL"/>
        </w:rPr>
        <w:t xml:space="preserve"> </w:t>
      </w:r>
      <w:r w:rsidRPr="00400C0B">
        <w:rPr>
          <w:rFonts w:cs="Guttman Rashi" w:hint="eastAsia"/>
          <w:rtl/>
          <w:lang w:bidi="he-IL"/>
        </w:rPr>
        <w:t>כדבר</w:t>
      </w:r>
      <w:r w:rsidRPr="00400C0B">
        <w:rPr>
          <w:rFonts w:cs="Guttman Rashi"/>
          <w:rtl/>
          <w:lang w:bidi="he-IL"/>
        </w:rPr>
        <w:t xml:space="preserve"> </w:t>
      </w:r>
      <w:r w:rsidRPr="00400C0B">
        <w:rPr>
          <w:rFonts w:cs="Guttman Rashi" w:hint="eastAsia"/>
          <w:rtl/>
          <w:lang w:bidi="he-IL"/>
        </w:rPr>
        <w:t>שי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מתירים</w:t>
      </w:r>
      <w:r w:rsidRPr="00400C0B">
        <w:rPr>
          <w:rFonts w:cs="Guttman Rashi"/>
          <w:rtl/>
          <w:lang w:bidi="he-IL"/>
        </w:rPr>
        <w:t>.</w:t>
      </w:r>
    </w:p>
  </w:footnote>
  <w:footnote w:id="36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נקודה</w:t>
      </w:r>
      <w:r w:rsidRPr="00400C0B">
        <w:rPr>
          <w:rFonts w:cs="Guttman Rashi"/>
          <w:rtl/>
          <w:lang w:bidi="he-IL"/>
        </w:rPr>
        <w:t xml:space="preserve"> </w:t>
      </w:r>
      <w:r w:rsidRPr="00400C0B">
        <w:rPr>
          <w:rFonts w:cs="Guttman Rashi" w:hint="eastAsia"/>
          <w:rtl/>
          <w:lang w:bidi="he-IL"/>
        </w:rPr>
        <w:t>חשובה</w:t>
      </w:r>
      <w:r w:rsidRPr="00400C0B">
        <w:rPr>
          <w:rFonts w:cs="Guttman Rashi"/>
          <w:rtl/>
          <w:lang w:bidi="he-IL"/>
        </w:rPr>
        <w:t xml:space="preserve"> (</w:t>
      </w:r>
      <w:r w:rsidRPr="00400C0B">
        <w:rPr>
          <w:rFonts w:cs="Guttman Rashi" w:hint="eastAsia"/>
          <w:rtl/>
          <w:lang w:bidi="he-IL"/>
        </w:rPr>
        <w:t>והעיר</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הרה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נפתלי</w:t>
      </w:r>
      <w:r w:rsidRPr="00400C0B">
        <w:rPr>
          <w:rFonts w:cs="Guttman Rashi"/>
          <w:rtl/>
          <w:lang w:bidi="he-IL"/>
        </w:rPr>
        <w:t xml:space="preserve"> </w:t>
      </w:r>
      <w:r w:rsidRPr="00400C0B">
        <w:rPr>
          <w:rFonts w:cs="Guttman Rashi" w:hint="eastAsia"/>
          <w:rtl/>
          <w:lang w:bidi="he-IL"/>
        </w:rPr>
        <w:t>לבר</w:t>
      </w:r>
      <w:r w:rsidRPr="00400C0B">
        <w:rPr>
          <w:rFonts w:cs="Guttman Rashi"/>
          <w:rtl/>
          <w:lang w:bidi="he-IL"/>
        </w:rPr>
        <w:t xml:space="preserve"> </w:t>
      </w:r>
      <w:r w:rsidRPr="00400C0B">
        <w:rPr>
          <w:rFonts w:cs="Guttman Rashi" w:hint="eastAsia"/>
          <w:rtl/>
          <w:lang w:bidi="he-IL"/>
        </w:rPr>
        <w:t>שליט</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w:t>
      </w:r>
      <w:r w:rsidRPr="00400C0B">
        <w:rPr>
          <w:rFonts w:cs="Guttman Rashi" w:hint="eastAsia"/>
          <w:rtl/>
          <w:lang w:bidi="he-IL"/>
        </w:rPr>
        <w:t>ף</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בבשר</w:t>
      </w:r>
      <w:r w:rsidRPr="00400C0B">
        <w:rPr>
          <w:rFonts w:cs="Guttman Rashi"/>
          <w:rtl/>
          <w:lang w:bidi="he-IL"/>
        </w:rPr>
        <w:t xml:space="preserve"> </w:t>
      </w:r>
      <w:r w:rsidRPr="00400C0B">
        <w:rPr>
          <w:rFonts w:cs="Guttman Rashi" w:hint="eastAsia"/>
          <w:rtl/>
          <w:lang w:bidi="he-IL"/>
        </w:rPr>
        <w:t>בחלב</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לעצמו</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כי</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למד</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בדעת</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דתרוייהו</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נינהו</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דאמרינן</w:t>
      </w:r>
      <w:r w:rsidRPr="00400C0B">
        <w:rPr>
          <w:rFonts w:cs="Guttman Rashi"/>
          <w:rtl/>
          <w:lang w:bidi="he-IL"/>
        </w:rPr>
        <w:t xml:space="preserve"> </w:t>
      </w:r>
      <w:r w:rsidRPr="00400C0B">
        <w:rPr>
          <w:rFonts w:cs="Guttman Rashi" w:hint="eastAsia"/>
          <w:rtl/>
          <w:lang w:bidi="he-IL"/>
        </w:rPr>
        <w:t>באיסור</w:t>
      </w:r>
      <w:r w:rsidRPr="00400C0B">
        <w:rPr>
          <w:rFonts w:cs="Guttman Rashi"/>
          <w:rtl/>
          <w:lang w:bidi="he-IL"/>
        </w:rPr>
        <w:t xml:space="preserve"> </w:t>
      </w:r>
      <w:r w:rsidRPr="00400C0B">
        <w:rPr>
          <w:rFonts w:cs="Guttman Rashi" w:hint="eastAsia"/>
          <w:rtl/>
          <w:lang w:bidi="he-IL"/>
        </w:rPr>
        <w:t>שעטנז</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אמר</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מתירין</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להתבטל</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דאומרים</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יהי</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מהם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יהי</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יתבטל</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מעכשיו</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ושפיר</w:t>
      </w:r>
      <w:r w:rsidRPr="00400C0B">
        <w:rPr>
          <w:rFonts w:cs="Guttman Rashi"/>
          <w:rtl/>
          <w:lang w:bidi="he-IL"/>
        </w:rPr>
        <w:t xml:space="preserve"> </w:t>
      </w:r>
      <w:r w:rsidRPr="00400C0B">
        <w:rPr>
          <w:rFonts w:cs="Guttman Rashi" w:hint="eastAsia"/>
          <w:rtl/>
          <w:lang w:bidi="he-IL"/>
        </w:rPr>
        <w:t>יכול</w:t>
      </w:r>
      <w:r w:rsidRPr="00400C0B">
        <w:rPr>
          <w:rFonts w:cs="Guttman Rashi"/>
          <w:rtl/>
          <w:lang w:bidi="he-IL"/>
        </w:rPr>
        <w:t xml:space="preserve"> </w:t>
      </w:r>
      <w:r w:rsidRPr="00400C0B">
        <w:rPr>
          <w:rFonts w:cs="Guttman Rashi" w:hint="eastAsia"/>
          <w:rtl/>
          <w:lang w:bidi="he-IL"/>
        </w:rPr>
        <w:t>להתבטל</w:t>
      </w:r>
      <w:r w:rsidRPr="00400C0B">
        <w:rPr>
          <w:rFonts w:cs="Guttman Rashi"/>
          <w:rtl/>
          <w:lang w:bidi="he-IL"/>
        </w:rPr>
        <w:t>.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Ref467354404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367</w:t>
      </w:r>
      <w:r w:rsidRPr="00400C0B">
        <w:rPr>
          <w:rFonts w:cs="Guttman Rashi"/>
          <w:rtl/>
          <w:lang w:bidi="he-IL"/>
        </w:rPr>
        <w:fldChar w:fldCharType="end"/>
      </w:r>
      <w:r w:rsidRPr="00400C0B">
        <w:rPr>
          <w:rFonts w:cs="Guttman Rashi"/>
          <w:rtl/>
          <w:lang w:bidi="he-IL"/>
        </w:rPr>
        <w:t xml:space="preserve">).  </w:t>
      </w:r>
    </w:p>
  </w:footnote>
  <w:footnote w:id="36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קושיא</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חלק</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w:t>
      </w:r>
      <w:r w:rsidRPr="00400C0B">
        <w:rPr>
          <w:rFonts w:cs="Guttman Rashi" w:hint="eastAsia"/>
          <w:rtl/>
          <w:lang w:bidi="he-IL"/>
        </w:rPr>
        <w:t>ף</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שהחשיב</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עכשיו</w:t>
      </w:r>
      <w:r w:rsidRPr="00400C0B">
        <w:rPr>
          <w:rFonts w:cs="Guttman Rashi"/>
          <w:rtl/>
          <w:lang w:bidi="he-IL"/>
        </w:rPr>
        <w:t xml:space="preserve"> </w:t>
      </w:r>
      <w:r w:rsidRPr="00400C0B">
        <w:rPr>
          <w:rFonts w:cs="Guttman Rashi" w:hint="eastAsia"/>
          <w:rtl/>
          <w:lang w:bidi="he-IL"/>
        </w:rPr>
        <w:t>כיש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מתירין</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סתירה</w:t>
      </w:r>
      <w:r w:rsidRPr="00400C0B">
        <w:rPr>
          <w:rFonts w:cs="Guttman Rashi"/>
          <w:rtl/>
          <w:lang w:bidi="he-IL"/>
        </w:rPr>
        <w:t xml:space="preserve"> </w:t>
      </w:r>
      <w:r w:rsidRPr="00400C0B">
        <w:rPr>
          <w:rFonts w:cs="Guttman Rashi" w:hint="eastAsia"/>
          <w:rtl/>
          <w:lang w:bidi="he-IL"/>
        </w:rPr>
        <w:t>נמי</w:t>
      </w:r>
      <w:r w:rsidRPr="00400C0B">
        <w:rPr>
          <w:rFonts w:cs="Guttman Rashi"/>
          <w:rtl/>
          <w:lang w:bidi="he-IL"/>
        </w:rPr>
        <w:t xml:space="preserve"> </w:t>
      </w:r>
      <w:r w:rsidRPr="00400C0B">
        <w:rPr>
          <w:rFonts w:cs="Guttman Rashi" w:hint="eastAsia"/>
          <w:rtl/>
          <w:lang w:bidi="he-IL"/>
        </w:rPr>
        <w:t>למש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דחמץ</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הפסח</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ואנו</w:t>
      </w:r>
      <w:r w:rsidRPr="00400C0B">
        <w:rPr>
          <w:rFonts w:cs="Guttman Rashi"/>
          <w:rtl/>
          <w:lang w:bidi="he-IL"/>
        </w:rPr>
        <w:t xml:space="preserve"> </w:t>
      </w:r>
      <w:r w:rsidRPr="00400C0B">
        <w:rPr>
          <w:rFonts w:cs="Guttman Rashi" w:hint="eastAsia"/>
          <w:rtl/>
          <w:lang w:bidi="he-IL"/>
        </w:rPr>
        <w:t>חוזר</w:t>
      </w:r>
      <w:r w:rsidRPr="00400C0B">
        <w:rPr>
          <w:rFonts w:cs="Guttman Rashi"/>
          <w:rtl/>
          <w:lang w:bidi="he-IL"/>
        </w:rPr>
        <w:t xml:space="preserve"> </w:t>
      </w:r>
      <w:r w:rsidRPr="00400C0B">
        <w:rPr>
          <w:rFonts w:cs="Guttman Rashi" w:hint="eastAsia"/>
          <w:rtl/>
          <w:lang w:bidi="he-IL"/>
        </w:rPr>
        <w:t>ונעור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מתני</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וכמש</w:t>
      </w:r>
      <w:r w:rsidRPr="00400C0B">
        <w:rPr>
          <w:rFonts w:cs="Guttman Rashi"/>
          <w:rtl/>
          <w:lang w:bidi="he-IL"/>
        </w:rPr>
        <w:t>"</w:t>
      </w:r>
      <w:r w:rsidRPr="00400C0B">
        <w:rPr>
          <w:rFonts w:cs="Guttman Rashi" w:hint="eastAsia"/>
          <w:rtl/>
          <w:lang w:bidi="he-IL"/>
        </w:rPr>
        <w:t>נ</w:t>
      </w:r>
      <w:r w:rsidRPr="00400C0B">
        <w:rPr>
          <w:rFonts w:cs="Guttman Rashi"/>
          <w:rtl/>
          <w:lang w:bidi="he-IL"/>
        </w:rPr>
        <w:t>.</w:t>
      </w:r>
    </w:p>
  </w:footnote>
  <w:footnote w:id="36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לשון</w:t>
      </w:r>
      <w:r w:rsidRPr="00400C0B">
        <w:rPr>
          <w:rFonts w:cs="Guttman Rashi"/>
          <w:rtl/>
          <w:lang w:bidi="he-IL"/>
        </w:rPr>
        <w:t xml:space="preserve"> </w:t>
      </w:r>
      <w:r w:rsidRPr="00400C0B">
        <w:rPr>
          <w:rFonts w:cs="Guttman Rashi" w:hint="eastAsia"/>
          <w:rtl/>
          <w:lang w:bidi="he-IL"/>
        </w:rPr>
        <w:t>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המקורי</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שהטעם</w:t>
      </w:r>
      <w:r w:rsidRPr="00400C0B">
        <w:rPr>
          <w:rFonts w:cs="Guttman Rashi"/>
          <w:rtl/>
          <w:lang w:bidi="he-IL"/>
        </w:rPr>
        <w:t xml:space="preserve"> </w:t>
      </w:r>
      <w:r w:rsidRPr="00400C0B">
        <w:rPr>
          <w:rFonts w:cs="Guttman Rashi" w:hint="eastAsia"/>
          <w:rtl/>
          <w:lang w:bidi="he-IL"/>
        </w:rPr>
        <w:t>שדבר</w:t>
      </w:r>
      <w:r w:rsidRPr="00400C0B">
        <w:rPr>
          <w:rFonts w:cs="Guttman Rashi"/>
          <w:rtl/>
          <w:lang w:bidi="he-IL"/>
        </w:rPr>
        <w:t xml:space="preserve"> </w:t>
      </w:r>
      <w:r w:rsidRPr="00400C0B">
        <w:rPr>
          <w:rFonts w:cs="Guttman Rashi" w:hint="eastAsia"/>
          <w:rtl/>
          <w:lang w:bidi="he-IL"/>
        </w:rPr>
        <w:t>הנדור</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דשיל</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דמצי</w:t>
      </w:r>
      <w:r w:rsidRPr="00400C0B">
        <w:rPr>
          <w:rFonts w:cs="Guttman Rashi"/>
          <w:rtl/>
          <w:lang w:bidi="he-IL"/>
        </w:rPr>
        <w:t xml:space="preserve"> </w:t>
      </w:r>
      <w:r w:rsidRPr="00400C0B">
        <w:rPr>
          <w:rFonts w:cs="Guttman Rashi" w:hint="eastAsia"/>
          <w:rtl/>
          <w:lang w:bidi="he-IL"/>
        </w:rPr>
        <w:t>לשאר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הנדר</w:t>
      </w:r>
      <w:r w:rsidRPr="00400C0B">
        <w:rPr>
          <w:rFonts w:cs="Guttman Rashi"/>
          <w:rtl/>
          <w:lang w:bidi="he-IL"/>
        </w:rPr>
        <w:t xml:space="preserve"> </w:t>
      </w:r>
      <w:r w:rsidRPr="00400C0B">
        <w:rPr>
          <w:rFonts w:cs="Guttman Rashi" w:hint="eastAsia"/>
          <w:rtl/>
          <w:lang w:bidi="he-IL"/>
        </w:rPr>
        <w:t>לחכם</w:t>
      </w:r>
      <w:r w:rsidRPr="00400C0B">
        <w:rPr>
          <w:rFonts w:cs="Guttman Rashi"/>
          <w:rtl/>
          <w:lang w:bidi="he-IL"/>
        </w:rPr>
        <w:t xml:space="preserve">" </w:t>
      </w:r>
      <w:r w:rsidRPr="00400C0B">
        <w:rPr>
          <w:rFonts w:cs="Guttman Rashi" w:hint="eastAsia"/>
          <w:rtl/>
          <w:lang w:bidi="he-IL"/>
        </w:rPr>
        <w:t>ור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שעיקר</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דשיל</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אפשרות</w:t>
      </w:r>
      <w:r w:rsidRPr="00400C0B">
        <w:rPr>
          <w:rFonts w:cs="Guttman Rashi"/>
          <w:rtl/>
          <w:lang w:bidi="he-IL"/>
        </w:rPr>
        <w:t xml:space="preserve"> </w:t>
      </w:r>
      <w:r w:rsidRPr="00400C0B">
        <w:rPr>
          <w:rFonts w:cs="Guttman Rashi" w:hint="eastAsia"/>
          <w:rtl/>
          <w:lang w:bidi="he-IL"/>
        </w:rPr>
        <w:t>להתיר</w:t>
      </w:r>
      <w:r w:rsidRPr="00400C0B">
        <w:rPr>
          <w:rFonts w:cs="Guttman Rashi"/>
          <w:rtl/>
          <w:lang w:bidi="he-IL"/>
        </w:rPr>
        <w:t xml:space="preserve">, </w:t>
      </w:r>
      <w:r w:rsidRPr="00400C0B">
        <w:rPr>
          <w:rFonts w:cs="Guttman Rashi" w:hint="eastAsia"/>
          <w:rtl/>
          <w:lang w:bidi="he-IL"/>
        </w:rPr>
        <w:t>והא</w:t>
      </w:r>
      <w:r w:rsidRPr="00400C0B">
        <w:rPr>
          <w:rFonts w:cs="Guttman Rashi"/>
          <w:rtl/>
          <w:lang w:bidi="he-IL"/>
        </w:rPr>
        <w:t xml:space="preserve"> </w:t>
      </w:r>
      <w:r w:rsidRPr="00400C0B">
        <w:rPr>
          <w:rFonts w:cs="Guttman Rashi" w:hint="eastAsia"/>
          <w:rtl/>
          <w:lang w:bidi="he-IL"/>
        </w:rPr>
        <w:t>דבעינן</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מצוה</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מטעם</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וכדברי</w:t>
      </w:r>
      <w:r w:rsidRPr="00400C0B">
        <w:rPr>
          <w:rFonts w:cs="Guttman Rashi"/>
          <w:rtl/>
          <w:lang w:bidi="he-IL"/>
        </w:rPr>
        <w:t xml:space="preserve"> </w:t>
      </w:r>
      <w:r w:rsidRPr="00400C0B">
        <w:rPr>
          <w:rFonts w:cs="Guttman Rashi" w:hint="eastAsia"/>
          <w:rtl/>
          <w:lang w:bidi="he-IL"/>
        </w:rPr>
        <w:t>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וראיתי</w:t>
      </w:r>
      <w:r w:rsidRPr="00400C0B">
        <w:rPr>
          <w:rFonts w:cs="Guttman Rashi"/>
          <w:rtl/>
          <w:lang w:bidi="he-IL"/>
        </w:rPr>
        <w:t xml:space="preserve"> </w:t>
      </w:r>
      <w:r w:rsidRPr="00400C0B">
        <w:rPr>
          <w:rFonts w:cs="Guttman Rashi" w:hint="eastAsia"/>
          <w:rtl/>
          <w:lang w:bidi="he-IL"/>
        </w:rPr>
        <w:t>בשו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מהדו</w:t>
      </w:r>
      <w:r w:rsidRPr="00400C0B">
        <w:rPr>
          <w:rFonts w:cs="Guttman Rashi"/>
          <w:rtl/>
          <w:lang w:bidi="he-IL"/>
        </w:rPr>
        <w:t xml:space="preserve">' </w:t>
      </w:r>
      <w:r w:rsidRPr="00400C0B">
        <w:rPr>
          <w:rFonts w:cs="Guttman Rashi" w:hint="eastAsia"/>
          <w:rtl/>
          <w:lang w:bidi="he-IL"/>
        </w:rPr>
        <w:t>מכ</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הוצאת</w:t>
      </w:r>
      <w:r w:rsidRPr="00400C0B">
        <w:rPr>
          <w:rFonts w:cs="Guttman Rashi"/>
          <w:rtl/>
          <w:lang w:bidi="he-IL"/>
        </w:rPr>
        <w:t xml:space="preserve"> </w:t>
      </w:r>
      <w:r w:rsidRPr="00400C0B">
        <w:rPr>
          <w:rFonts w:cs="Guttman Rashi" w:hint="eastAsia"/>
          <w:rtl/>
          <w:lang w:bidi="he-IL"/>
        </w:rPr>
        <w:t>צורת</w:t>
      </w:r>
      <w:r w:rsidRPr="00400C0B">
        <w:rPr>
          <w:rFonts w:cs="Guttman Rashi"/>
          <w:rtl/>
          <w:lang w:bidi="he-IL"/>
        </w:rPr>
        <w:t xml:space="preserve"> </w:t>
      </w:r>
      <w:r w:rsidRPr="00400C0B">
        <w:rPr>
          <w:rFonts w:cs="Guttman Rashi" w:hint="eastAsia"/>
          <w:rtl/>
          <w:lang w:bidi="he-IL"/>
        </w:rPr>
        <w:t>הדף</w:t>
      </w:r>
      <w:r w:rsidRPr="00400C0B">
        <w:rPr>
          <w:rFonts w:cs="Guttman Rashi"/>
          <w:rtl/>
          <w:lang w:bidi="he-IL"/>
        </w:rPr>
        <w:t xml:space="preserve"> </w:t>
      </w:r>
      <w:r w:rsidRPr="00400C0B">
        <w:rPr>
          <w:rFonts w:cs="Guttman Rashi" w:hint="eastAsia"/>
          <w:rtl/>
          <w:lang w:bidi="he-IL"/>
        </w:rPr>
        <w:t>שהגיהו</w:t>
      </w:r>
      <w:r w:rsidRPr="00400C0B">
        <w:rPr>
          <w:rFonts w:cs="Guttman Rashi"/>
          <w:rtl/>
          <w:lang w:bidi="he-IL"/>
        </w:rPr>
        <w:t xml:space="preserve"> '</w:t>
      </w:r>
      <w:r w:rsidRPr="00400C0B">
        <w:rPr>
          <w:rFonts w:cs="Guttman Rashi" w:hint="eastAsia"/>
          <w:rtl/>
          <w:lang w:bidi="he-IL"/>
        </w:rPr>
        <w:t>דמצוה</w:t>
      </w:r>
      <w:r w:rsidRPr="00400C0B">
        <w:rPr>
          <w:rFonts w:cs="Guttman Rashi"/>
          <w:rtl/>
          <w:lang w:bidi="he-IL"/>
        </w:rPr>
        <w:t xml:space="preserve">' </w:t>
      </w:r>
      <w:r w:rsidRPr="00400C0B">
        <w:rPr>
          <w:rFonts w:cs="Guttman Rashi" w:hint="eastAsia"/>
          <w:rtl/>
          <w:lang w:bidi="he-IL"/>
        </w:rPr>
        <w:t>במקום</w:t>
      </w:r>
      <w:r w:rsidRPr="00400C0B">
        <w:rPr>
          <w:rFonts w:cs="Guttman Rashi"/>
          <w:rtl/>
          <w:lang w:bidi="he-IL"/>
        </w:rPr>
        <w:t xml:space="preserve"> '</w:t>
      </w:r>
      <w:r w:rsidRPr="00400C0B">
        <w:rPr>
          <w:rFonts w:cs="Guttman Rashi" w:hint="eastAsia"/>
          <w:rtl/>
          <w:lang w:bidi="he-IL"/>
        </w:rPr>
        <w:t>דמצי</w:t>
      </w:r>
      <w:r w:rsidRPr="00400C0B">
        <w:rPr>
          <w:rFonts w:cs="Guttman Rashi"/>
          <w:rtl/>
          <w:lang w:bidi="he-IL"/>
        </w:rPr>
        <w:t xml:space="preserve">' </w:t>
      </w:r>
      <w:r w:rsidRPr="00400C0B">
        <w:rPr>
          <w:rFonts w:cs="Guttman Rashi" w:hint="eastAsia"/>
          <w:rtl/>
          <w:lang w:bidi="he-IL"/>
        </w:rPr>
        <w:t>מכח</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ואיני</w:t>
      </w:r>
      <w:r w:rsidRPr="00400C0B">
        <w:rPr>
          <w:rFonts w:cs="Guttman Rashi"/>
          <w:rtl/>
          <w:lang w:bidi="he-IL"/>
        </w:rPr>
        <w:t xml:space="preserve"> </w:t>
      </w:r>
      <w:r w:rsidRPr="00400C0B">
        <w:rPr>
          <w:rFonts w:cs="Guttman Rashi" w:hint="eastAsia"/>
          <w:rtl/>
          <w:lang w:bidi="he-IL"/>
        </w:rPr>
        <w:t>יודע</w:t>
      </w:r>
      <w:r w:rsidRPr="00400C0B">
        <w:rPr>
          <w:rFonts w:cs="Guttman Rashi"/>
          <w:rtl/>
          <w:lang w:bidi="he-IL"/>
        </w:rPr>
        <w:t xml:space="preserve"> </w:t>
      </w:r>
      <w:r w:rsidRPr="00400C0B">
        <w:rPr>
          <w:rFonts w:cs="Guttman Rashi" w:hint="eastAsia"/>
          <w:rtl/>
          <w:lang w:bidi="he-IL"/>
        </w:rPr>
        <w:t>מי</w:t>
      </w:r>
      <w:r w:rsidRPr="00400C0B">
        <w:rPr>
          <w:rFonts w:cs="Guttman Rashi"/>
          <w:rtl/>
          <w:lang w:bidi="he-IL"/>
        </w:rPr>
        <w:t xml:space="preserve"> </w:t>
      </w:r>
      <w:r w:rsidRPr="00400C0B">
        <w:rPr>
          <w:rFonts w:cs="Guttman Rashi" w:hint="eastAsia"/>
          <w:rtl/>
          <w:lang w:bidi="he-IL"/>
        </w:rPr>
        <w:t>הרשה</w:t>
      </w:r>
      <w:r w:rsidRPr="00400C0B">
        <w:rPr>
          <w:rFonts w:cs="Guttman Rashi"/>
          <w:rtl/>
          <w:lang w:bidi="he-IL"/>
        </w:rPr>
        <w:t xml:space="preserve"> </w:t>
      </w:r>
      <w:r w:rsidRPr="00400C0B">
        <w:rPr>
          <w:rFonts w:cs="Guttman Rashi" w:hint="eastAsia"/>
          <w:rtl/>
          <w:lang w:bidi="he-IL"/>
        </w:rPr>
        <w:t>להם</w:t>
      </w:r>
      <w:r w:rsidRPr="00400C0B">
        <w:rPr>
          <w:rFonts w:cs="Guttman Rashi"/>
          <w:rtl/>
          <w:lang w:bidi="he-IL"/>
        </w:rPr>
        <w:t xml:space="preserve"> </w:t>
      </w:r>
      <w:r w:rsidRPr="00400C0B">
        <w:rPr>
          <w:rFonts w:cs="Guttman Rashi" w:hint="eastAsia"/>
          <w:rtl/>
          <w:lang w:bidi="he-IL"/>
        </w:rPr>
        <w:t>לעשות</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מאחר</w:t>
      </w:r>
      <w:r w:rsidRPr="00400C0B">
        <w:rPr>
          <w:rFonts w:cs="Guttman Rashi"/>
          <w:rtl/>
          <w:lang w:bidi="he-IL"/>
        </w:rPr>
        <w:t xml:space="preserve"> </w:t>
      </w:r>
      <w:r w:rsidRPr="00400C0B">
        <w:rPr>
          <w:rFonts w:cs="Guttman Rashi" w:hint="eastAsia"/>
          <w:rtl/>
          <w:lang w:bidi="he-IL"/>
        </w:rPr>
        <w:t>ודבריו</w:t>
      </w:r>
      <w:r w:rsidRPr="00400C0B">
        <w:rPr>
          <w:rFonts w:cs="Guttman Rashi"/>
          <w:rtl/>
          <w:lang w:bidi="he-IL"/>
        </w:rPr>
        <w:t xml:space="preserve"> </w:t>
      </w:r>
      <w:r w:rsidRPr="00400C0B">
        <w:rPr>
          <w:rFonts w:cs="Guttman Rashi" w:hint="eastAsia"/>
          <w:rtl/>
          <w:lang w:bidi="he-IL"/>
        </w:rPr>
        <w:t>מובנים</w:t>
      </w:r>
      <w:r w:rsidRPr="00400C0B">
        <w:rPr>
          <w:rFonts w:cs="Guttman Rashi"/>
          <w:rtl/>
          <w:lang w:bidi="he-IL"/>
        </w:rPr>
        <w:t xml:space="preserve"> </w:t>
      </w:r>
      <w:r w:rsidRPr="00400C0B">
        <w:rPr>
          <w:rFonts w:cs="Guttman Rashi" w:hint="eastAsia"/>
          <w:rtl/>
          <w:lang w:bidi="he-IL"/>
        </w:rPr>
        <w:t>היטב</w:t>
      </w:r>
      <w:r w:rsidRPr="00400C0B">
        <w:rPr>
          <w:rFonts w:cs="Guttman Rashi"/>
          <w:rtl/>
          <w:lang w:bidi="he-IL"/>
        </w:rPr>
        <w:t xml:space="preserve"> </w:t>
      </w:r>
      <w:r w:rsidRPr="00400C0B">
        <w:rPr>
          <w:rFonts w:cs="Guttman Rashi" w:hint="eastAsia"/>
          <w:rtl/>
          <w:lang w:bidi="he-IL"/>
        </w:rPr>
        <w:t>בלא</w:t>
      </w:r>
      <w:r w:rsidRPr="00400C0B">
        <w:rPr>
          <w:rFonts w:cs="Guttman Rashi"/>
          <w:rtl/>
          <w:lang w:bidi="he-IL"/>
        </w:rPr>
        <w:t xml:space="preserve"> </w:t>
      </w:r>
      <w:r w:rsidRPr="00400C0B">
        <w:rPr>
          <w:rFonts w:cs="Guttman Rashi" w:hint="eastAsia"/>
          <w:rtl/>
          <w:lang w:bidi="he-IL"/>
        </w:rPr>
        <w:t>הגהה</w:t>
      </w:r>
      <w:r w:rsidRPr="00400C0B">
        <w:rPr>
          <w:rFonts w:cs="Guttman Rashi"/>
          <w:rtl/>
          <w:lang w:bidi="he-IL"/>
        </w:rPr>
        <w:t xml:space="preserve"> </w:t>
      </w:r>
      <w:r w:rsidRPr="00400C0B">
        <w:rPr>
          <w:rFonts w:cs="Guttman Rashi" w:hint="eastAsia"/>
          <w:rtl/>
          <w:lang w:bidi="he-IL"/>
        </w:rPr>
        <w:t>וכמש</w:t>
      </w:r>
      <w:r w:rsidRPr="00400C0B">
        <w:rPr>
          <w:rFonts w:cs="Guttman Rashi"/>
          <w:rtl/>
          <w:lang w:bidi="he-IL"/>
        </w:rPr>
        <w:t>"</w:t>
      </w:r>
      <w:r w:rsidRPr="00400C0B">
        <w:rPr>
          <w:rFonts w:cs="Guttman Rashi" w:hint="eastAsia"/>
          <w:rtl/>
          <w:lang w:bidi="he-IL"/>
        </w:rPr>
        <w:t>נ</w:t>
      </w:r>
      <w:r w:rsidRPr="00400C0B">
        <w:rPr>
          <w:rFonts w:cs="Guttman Rashi"/>
          <w:rtl/>
          <w:lang w:bidi="he-IL"/>
        </w:rPr>
        <w:t>.</w:t>
      </w:r>
    </w:p>
  </w:footnote>
  <w:footnote w:id="36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Ref467354431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364</w:t>
      </w:r>
      <w:r w:rsidRPr="00400C0B">
        <w:rPr>
          <w:rFonts w:cs="Guttman Rashi"/>
          <w:rtl/>
          <w:lang w:bidi="he-IL"/>
        </w:rPr>
        <w:fldChar w:fldCharType="end"/>
      </w:r>
      <w:r w:rsidRPr="00400C0B">
        <w:rPr>
          <w:rFonts w:cs="Guttman Rashi"/>
          <w:rtl/>
          <w:lang w:bidi="he-IL"/>
        </w:rPr>
        <w:t>.</w:t>
      </w:r>
      <w:r w:rsidRPr="00400C0B">
        <w:rPr>
          <w:rFonts w:cs="Guttman Rashi"/>
        </w:rPr>
        <w:t xml:space="preserve"> </w:t>
      </w:r>
      <w:r w:rsidRPr="00400C0B">
        <w:rPr>
          <w:rFonts w:cs="Guttman Rashi" w:hint="eastAsia"/>
          <w:rtl/>
          <w:lang w:bidi="he-IL"/>
        </w:rPr>
        <w:t>וגם</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להדגיש</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ביאורו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בטעם</w:t>
      </w:r>
      <w:r w:rsidRPr="00400C0B">
        <w:rPr>
          <w:rFonts w:cs="Guttman Rashi"/>
          <w:rtl/>
          <w:lang w:bidi="he-IL"/>
        </w:rPr>
        <w:t xml:space="preserve"> </w:t>
      </w:r>
      <w:r>
        <w:rPr>
          <w:rFonts w:cs="Guttman Rashi" w:hint="eastAsia"/>
          <w:rtl/>
          <w:lang w:bidi="he-IL"/>
        </w:rPr>
        <w:t>ד</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מתירין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כב</w:t>
      </w:r>
      <w:r w:rsidRPr="00400C0B">
        <w:rPr>
          <w:rFonts w:cs="Guttman Rashi"/>
          <w:rtl/>
          <w:lang w:bidi="he-IL"/>
        </w:rPr>
        <w:t xml:space="preserve">' </w:t>
      </w:r>
      <w:r w:rsidRPr="00400C0B">
        <w:rPr>
          <w:rFonts w:cs="Guttman Rashi" w:hint="eastAsia"/>
          <w:rtl/>
          <w:lang w:bidi="he-IL"/>
        </w:rPr>
        <w:t>הפירושים</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לדבריו</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שהמין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והמין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דומים</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שהמין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עצם</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נתערב</w:t>
      </w:r>
      <w:r w:rsidRPr="00400C0B">
        <w:rPr>
          <w:rFonts w:cs="Guttman Rashi"/>
          <w:rtl/>
          <w:lang w:bidi="he-IL"/>
        </w:rPr>
        <w:t xml:space="preserve">, </w:t>
      </w:r>
      <w:r w:rsidRPr="00400C0B">
        <w:rPr>
          <w:rFonts w:cs="Guttman Rashi" w:hint="eastAsia"/>
          <w:rtl/>
          <w:lang w:bidi="he-IL"/>
        </w:rPr>
        <w:t>ומשו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דשיל</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p>
  </w:footnote>
  <w:footnote w:id="36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במגי</w:t>
      </w:r>
      <w:r w:rsidRPr="00400C0B">
        <w:rPr>
          <w:rFonts w:cs="Guttman Rashi"/>
          <w:rtl/>
          <w:lang w:bidi="he-IL"/>
        </w:rPr>
        <w:t>"</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ט</w:t>
      </w:r>
      <w:r w:rsidRPr="00400C0B">
        <w:rPr>
          <w:rFonts w:cs="Guttman Rashi"/>
          <w:rtl/>
          <w:lang w:bidi="he-IL"/>
        </w:rPr>
        <w:t>'.</w:t>
      </w:r>
      <w:r w:rsidRPr="00400C0B">
        <w:rPr>
          <w:rFonts w:cs="Guttman Rashi"/>
        </w:rPr>
        <w:t xml:space="preserve"> </w:t>
      </w:r>
    </w:p>
  </w:footnote>
  <w:footnote w:id="37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קי</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p>
  </w:footnote>
  <w:footnote w:id="37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מצאתי</w:t>
      </w:r>
      <w:r w:rsidRPr="00400C0B">
        <w:rPr>
          <w:rFonts w:cs="Guttman Rashi"/>
          <w:rtl/>
          <w:lang w:bidi="he-IL"/>
        </w:rPr>
        <w:t xml:space="preserve"> </w:t>
      </w:r>
      <w:r w:rsidRPr="00400C0B">
        <w:rPr>
          <w:rFonts w:cs="Guttman Rashi" w:hint="eastAsia"/>
          <w:rtl/>
          <w:lang w:bidi="he-IL"/>
        </w:rPr>
        <w:t>במנח</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וערוה</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סעי</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שדחו</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הכרח</w:t>
      </w:r>
      <w:r w:rsidRPr="00400C0B">
        <w:rPr>
          <w:rFonts w:cs="Guttman Rashi"/>
          <w:rtl/>
          <w:lang w:bidi="he-IL"/>
        </w:rPr>
        <w:t xml:space="preserve"> </w:t>
      </w:r>
      <w:r w:rsidRPr="00400C0B">
        <w:rPr>
          <w:rFonts w:cs="Guttman Rashi" w:hint="eastAsia"/>
          <w:rtl/>
          <w:lang w:bidi="he-IL"/>
        </w:rPr>
        <w:t>משיטת</w:t>
      </w:r>
      <w:r w:rsidRPr="00400C0B">
        <w:rPr>
          <w:rFonts w:cs="Guttman Rashi"/>
          <w:rtl/>
          <w:lang w:bidi="he-IL"/>
        </w:rPr>
        <w:t xml:space="preserve"> </w:t>
      </w:r>
      <w:r w:rsidRPr="00400C0B">
        <w:rPr>
          <w:rFonts w:cs="Guttman Rashi" w:hint="eastAsia"/>
          <w:rtl/>
          <w:lang w:bidi="he-IL"/>
        </w:rPr>
        <w:t>ה</w:t>
      </w:r>
      <w:r>
        <w:rPr>
          <w:rFonts w:cs="Guttman Rashi" w:hint="cs"/>
          <w:rtl/>
          <w:lang w:bidi="he-IL"/>
        </w:rPr>
        <w:t>ר</w:t>
      </w:r>
      <w:r w:rsidRPr="00400C0B">
        <w:rPr>
          <w:rFonts w:cs="Guttman Rashi" w:hint="eastAsia"/>
          <w:rtl/>
          <w:lang w:bidi="he-IL"/>
        </w:rPr>
        <w:t>מב</w:t>
      </w:r>
      <w:r w:rsidRPr="00400C0B">
        <w:rPr>
          <w:rFonts w:cs="Guttman Rashi"/>
          <w:rtl/>
          <w:lang w:bidi="he-IL"/>
        </w:rPr>
        <w:t>"</w:t>
      </w:r>
      <w:r w:rsidRPr="00400C0B">
        <w:rPr>
          <w:rFonts w:cs="Guttman Rashi" w:hint="eastAsia"/>
          <w:rtl/>
          <w:lang w:bidi="he-IL"/>
        </w:rPr>
        <w:t>ם</w:t>
      </w:r>
      <w:r w:rsidRPr="00400C0B">
        <w:rPr>
          <w:rFonts w:cs="Guttman Rashi"/>
          <w:rtl/>
          <w:lang w:bidi="he-IL"/>
        </w:rPr>
        <w:t>.</w:t>
      </w:r>
    </w:p>
  </w:footnote>
  <w:footnote w:id="372">
    <w:p w:rsidR="007978F4" w:rsidRPr="00400C0B" w:rsidRDefault="007978F4" w:rsidP="00B80448">
      <w:pPr>
        <w:pStyle w:val="FootnoteText"/>
        <w:bidi/>
        <w:jc w:val="both"/>
        <w:rPr>
          <w:rFonts w:cs="Guttman Rashi"/>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והסתפקתי</w:t>
      </w:r>
      <w:r w:rsidRPr="00400C0B">
        <w:rPr>
          <w:rFonts w:cs="Guttman Rashi"/>
          <w:rtl/>
          <w:lang w:bidi="he-IL"/>
        </w:rPr>
        <w:t xml:space="preserve"> </w:t>
      </w:r>
      <w:r w:rsidRPr="00400C0B">
        <w:rPr>
          <w:rFonts w:cs="Guttman Rashi" w:hint="eastAsia"/>
          <w:rtl/>
          <w:lang w:bidi="he-IL"/>
        </w:rPr>
        <w:t>שאולי</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דשיל</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שבפועל</w:t>
      </w:r>
      <w:r w:rsidRPr="00400C0B">
        <w:rPr>
          <w:rFonts w:cs="Guttman Rashi"/>
          <w:rtl/>
          <w:lang w:bidi="he-IL"/>
        </w:rPr>
        <w:t xml:space="preserve"> </w:t>
      </w:r>
      <w:r w:rsidRPr="00400C0B">
        <w:rPr>
          <w:rFonts w:cs="Guttman Rashi" w:hint="eastAsia"/>
          <w:rtl/>
          <w:lang w:bidi="he-IL"/>
        </w:rPr>
        <w:t>חייב</w:t>
      </w:r>
      <w:r w:rsidRPr="00400C0B">
        <w:rPr>
          <w:rFonts w:cs="Guttman Rashi"/>
          <w:rtl/>
          <w:lang w:bidi="he-IL"/>
        </w:rPr>
        <w:t xml:space="preserve"> </w:t>
      </w:r>
      <w:r w:rsidRPr="00400C0B">
        <w:rPr>
          <w:rFonts w:cs="Guttman Rashi" w:hint="eastAsia"/>
          <w:rtl/>
          <w:lang w:bidi="he-IL"/>
        </w:rPr>
        <w:t>לבערו</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לעולם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חייב</w:t>
      </w:r>
      <w:r w:rsidRPr="00400C0B">
        <w:rPr>
          <w:rFonts w:cs="Guttman Rashi"/>
          <w:rtl/>
          <w:lang w:bidi="he-IL"/>
        </w:rPr>
        <w:t xml:space="preserve"> </w:t>
      </w:r>
      <w:r w:rsidRPr="00400C0B">
        <w:rPr>
          <w:rFonts w:cs="Guttman Rashi" w:hint="eastAsia"/>
          <w:rtl/>
          <w:lang w:bidi="he-IL"/>
        </w:rPr>
        <w:t>לבערו</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תערובת</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להקשות</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שהדין</w:t>
      </w:r>
      <w:r w:rsidRPr="00400C0B">
        <w:rPr>
          <w:rFonts w:cs="Guttman Rashi"/>
          <w:rtl/>
          <w:lang w:bidi="he-IL"/>
        </w:rPr>
        <w:t xml:space="preserve"> </w:t>
      </w:r>
      <w:r w:rsidRPr="00400C0B">
        <w:rPr>
          <w:rFonts w:cs="Guttman Rashi" w:hint="eastAsia"/>
          <w:rtl/>
          <w:lang w:bidi="he-IL"/>
        </w:rPr>
        <w:t>דשיל</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דנין</w:t>
      </w:r>
      <w:r w:rsidRPr="00400C0B">
        <w:rPr>
          <w:rFonts w:cs="Guttman Rashi"/>
          <w:rtl/>
          <w:lang w:bidi="he-IL"/>
        </w:rPr>
        <w:t xml:space="preserve"> </w:t>
      </w:r>
      <w:r w:rsidRPr="00400C0B">
        <w:rPr>
          <w:rFonts w:cs="Guttman Rashi" w:hint="eastAsia"/>
          <w:rtl/>
          <w:lang w:bidi="he-IL"/>
        </w:rPr>
        <w:t>בחפצא</w:t>
      </w:r>
      <w:r w:rsidRPr="00400C0B">
        <w:rPr>
          <w:rFonts w:cs="Guttman Rashi"/>
          <w:rtl/>
          <w:lang w:bidi="he-IL"/>
        </w:rPr>
        <w:t xml:space="preserve"> </w:t>
      </w:r>
      <w:r w:rsidRPr="00400C0B">
        <w:rPr>
          <w:rFonts w:cs="Guttman Rashi" w:hint="eastAsia"/>
          <w:rtl/>
          <w:lang w:bidi="he-IL"/>
        </w:rPr>
        <w:t>דאיסורא</w:t>
      </w:r>
      <w:r w:rsidRPr="00400C0B">
        <w:rPr>
          <w:rFonts w:cs="Guttman Rashi"/>
          <w:rtl/>
          <w:lang w:bidi="he-IL"/>
        </w:rPr>
        <w:t xml:space="preserve"> </w:t>
      </w:r>
      <w:r w:rsidRPr="00400C0B">
        <w:rPr>
          <w:rFonts w:cs="Guttman Rashi" w:hint="eastAsia"/>
          <w:rtl/>
          <w:lang w:bidi="he-IL"/>
        </w:rPr>
        <w:t>כשהוא</w:t>
      </w:r>
      <w:r w:rsidRPr="00400C0B">
        <w:rPr>
          <w:rFonts w:cs="Guttman Rashi"/>
          <w:rtl/>
          <w:lang w:bidi="he-IL"/>
        </w:rPr>
        <w:t xml:space="preserve"> </w:t>
      </w:r>
      <w:r w:rsidRPr="00400C0B">
        <w:rPr>
          <w:rFonts w:cs="Guttman Rashi" w:hint="eastAsia"/>
          <w:rtl/>
          <w:lang w:bidi="he-IL"/>
        </w:rPr>
        <w:t>בפני</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וחמץ</w:t>
      </w:r>
      <w:r w:rsidRPr="00400C0B">
        <w:rPr>
          <w:rFonts w:cs="Guttman Rashi"/>
          <w:rtl/>
          <w:lang w:bidi="he-IL"/>
        </w:rPr>
        <w:t xml:space="preserve"> </w:t>
      </w:r>
      <w:r w:rsidRPr="00400C0B">
        <w:rPr>
          <w:rFonts w:cs="Guttman Rashi" w:hint="eastAsia"/>
          <w:rtl/>
          <w:lang w:bidi="he-IL"/>
        </w:rPr>
        <w:t>בפני</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חייב</w:t>
      </w:r>
      <w:r w:rsidRPr="00400C0B">
        <w:rPr>
          <w:rFonts w:cs="Guttman Rashi"/>
          <w:rtl/>
          <w:lang w:bidi="he-IL"/>
        </w:rPr>
        <w:t xml:space="preserve"> </w:t>
      </w:r>
      <w:r w:rsidRPr="00400C0B">
        <w:rPr>
          <w:rFonts w:cs="Guttman Rashi" w:hint="eastAsia"/>
          <w:rtl/>
          <w:lang w:bidi="he-IL"/>
        </w:rPr>
        <w:t>לבערו</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אולי</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דאילו</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תערובת</w:t>
      </w:r>
      <w:r w:rsidRPr="00400C0B">
        <w:rPr>
          <w:rFonts w:cs="Guttman Rashi"/>
          <w:rtl/>
          <w:lang w:bidi="he-IL"/>
        </w:rPr>
        <w:t xml:space="preserve"> </w:t>
      </w:r>
      <w:r w:rsidRPr="00400C0B">
        <w:rPr>
          <w:rFonts w:cs="Guttman Rashi" w:hint="eastAsia"/>
          <w:rtl/>
          <w:lang w:bidi="he-IL"/>
        </w:rPr>
        <w:t>חייב</w:t>
      </w:r>
      <w:r w:rsidRPr="00400C0B">
        <w:rPr>
          <w:rFonts w:cs="Guttman Rashi"/>
          <w:rtl/>
          <w:lang w:bidi="he-IL"/>
        </w:rPr>
        <w:t xml:space="preserve"> </w:t>
      </w:r>
      <w:r w:rsidRPr="00400C0B">
        <w:rPr>
          <w:rFonts w:cs="Guttman Rashi" w:hint="eastAsia"/>
          <w:rtl/>
          <w:lang w:bidi="he-IL"/>
        </w:rPr>
        <w:t>לבערו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מתירין</w:t>
      </w:r>
      <w:r w:rsidRPr="00400C0B">
        <w:rPr>
          <w:rFonts w:cs="Guttman Rashi"/>
          <w:rtl/>
          <w:lang w:bidi="he-IL"/>
        </w:rPr>
        <w:t xml:space="preserve"> </w:t>
      </w:r>
      <w:r w:rsidRPr="00400C0B">
        <w:rPr>
          <w:rFonts w:cs="Guttman Rashi" w:hint="eastAsia"/>
          <w:rtl/>
          <w:lang w:bidi="he-IL"/>
        </w:rPr>
        <w:t>וכדברי</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בדבר</w:t>
      </w:r>
      <w:r w:rsidRPr="00400C0B">
        <w:rPr>
          <w:rFonts w:cs="Guttman Rashi"/>
          <w:rtl/>
          <w:lang w:bidi="he-IL"/>
        </w:rPr>
        <w:t xml:space="preserve"> </w:t>
      </w:r>
      <w:r w:rsidRPr="00400C0B">
        <w:rPr>
          <w:rFonts w:cs="Guttman Rashi" w:hint="eastAsia"/>
          <w:rtl/>
          <w:lang w:bidi="he-IL"/>
        </w:rPr>
        <w:t>שיתקלקל</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יתערב</w:t>
      </w:r>
      <w:r w:rsidRPr="00400C0B">
        <w:rPr>
          <w:rFonts w:cs="Guttman Rashi"/>
          <w:rtl/>
          <w:lang w:bidi="he-IL"/>
        </w:rPr>
        <w:t xml:space="preserve"> </w:t>
      </w:r>
      <w:r w:rsidRPr="00400C0B">
        <w:rPr>
          <w:rFonts w:cs="Guttman Rashi" w:hint="eastAsia"/>
          <w:rtl/>
          <w:lang w:bidi="he-IL"/>
        </w:rPr>
        <w:t>בלחם</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עתיד</w:t>
      </w:r>
      <w:r w:rsidRPr="00400C0B">
        <w:rPr>
          <w:rFonts w:cs="Guttman Rashi"/>
          <w:rtl/>
          <w:lang w:bidi="he-IL"/>
        </w:rPr>
        <w:t xml:space="preserve"> </w:t>
      </w:r>
      <w:r w:rsidRPr="00400C0B">
        <w:rPr>
          <w:rFonts w:cs="Guttman Rashi" w:hint="eastAsia"/>
          <w:rtl/>
          <w:lang w:bidi="he-IL"/>
        </w:rPr>
        <w:t>להתקלקל</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חמץ</w:t>
      </w:r>
      <w:r w:rsidRPr="00400C0B">
        <w:rPr>
          <w:rFonts w:cs="Guttman Rashi"/>
          <w:rtl/>
          <w:lang w:bidi="he-IL"/>
        </w:rPr>
        <w:t xml:space="preserve"> </w:t>
      </w:r>
      <w:r w:rsidRPr="00400C0B">
        <w:rPr>
          <w:rFonts w:cs="Guttman Rashi" w:hint="eastAsia"/>
          <w:rtl/>
          <w:lang w:bidi="he-IL"/>
        </w:rPr>
        <w:t>דשיל</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חיוב</w:t>
      </w:r>
      <w:r w:rsidRPr="00400C0B">
        <w:rPr>
          <w:rFonts w:cs="Guttman Rashi"/>
          <w:rtl/>
          <w:lang w:bidi="he-IL"/>
        </w:rPr>
        <w:t xml:space="preserve"> </w:t>
      </w:r>
      <w:r w:rsidRPr="00400C0B">
        <w:rPr>
          <w:rFonts w:cs="Guttman Rashi" w:hint="eastAsia"/>
          <w:rtl/>
          <w:lang w:bidi="he-IL"/>
        </w:rPr>
        <w:t>לבער</w:t>
      </w:r>
      <w:r w:rsidRPr="00400C0B">
        <w:rPr>
          <w:rFonts w:cs="Guttman Rashi"/>
          <w:rtl/>
          <w:lang w:bidi="he-IL"/>
        </w:rPr>
        <w:t xml:space="preserve"> </w:t>
      </w:r>
      <w:r w:rsidRPr="00400C0B">
        <w:rPr>
          <w:rFonts w:cs="Guttman Rashi" w:hint="eastAsia"/>
          <w:rtl/>
          <w:lang w:bidi="he-IL"/>
        </w:rPr>
        <w:t>חמץ</w:t>
      </w:r>
      <w:r w:rsidRPr="00400C0B">
        <w:rPr>
          <w:rFonts w:cs="Guttman Rashi"/>
          <w:rtl/>
          <w:lang w:bidi="he-IL"/>
        </w:rPr>
        <w:t xml:space="preserve"> (</w:t>
      </w:r>
      <w:r w:rsidRPr="00400C0B">
        <w:rPr>
          <w:rFonts w:cs="Guttman Rashi" w:hint="eastAsia"/>
          <w:rtl/>
          <w:lang w:bidi="he-IL"/>
        </w:rPr>
        <w:t>אא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נחלק</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עתיד</w:t>
      </w:r>
      <w:r w:rsidRPr="00400C0B">
        <w:rPr>
          <w:rFonts w:cs="Guttman Rashi"/>
          <w:rtl/>
          <w:lang w:bidi="he-IL"/>
        </w:rPr>
        <w:t xml:space="preserve"> </w:t>
      </w:r>
      <w:r w:rsidRPr="00400C0B">
        <w:rPr>
          <w:rFonts w:cs="Guttman Rashi" w:hint="eastAsia"/>
          <w:rtl/>
          <w:lang w:bidi="he-IL"/>
        </w:rPr>
        <w:t>להתקלקל</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לע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מעשה</w:t>
      </w:r>
      <w:r w:rsidRPr="00400C0B">
        <w:rPr>
          <w:rFonts w:cs="Guttman Rashi"/>
          <w:rtl/>
          <w:lang w:bidi="he-IL"/>
        </w:rPr>
        <w:t xml:space="preserve"> </w:t>
      </w:r>
      <w:r w:rsidRPr="00400C0B">
        <w:rPr>
          <w:rFonts w:cs="Guttman Rashi" w:hint="eastAsia"/>
          <w:rtl/>
          <w:lang w:bidi="he-IL"/>
        </w:rPr>
        <w:t>אחרים</w:t>
      </w:r>
      <w:r w:rsidRPr="00400C0B">
        <w:rPr>
          <w:rFonts w:cs="Guttman Rashi"/>
          <w:rtl/>
          <w:lang w:bidi="he-IL"/>
        </w:rPr>
        <w:t xml:space="preserve">, </w:t>
      </w:r>
      <w:r w:rsidRPr="00400C0B">
        <w:rPr>
          <w:rFonts w:cs="Guttman Rashi" w:hint="eastAsia"/>
          <w:rtl/>
          <w:lang w:bidi="he-IL"/>
        </w:rPr>
        <w:t>וכדבסמוך</w:t>
      </w:r>
      <w:r w:rsidRPr="00400C0B">
        <w:rPr>
          <w:rFonts w:cs="Guttman Rashi"/>
          <w:rtl/>
          <w:lang w:bidi="he-IL"/>
        </w:rPr>
        <w:t>).</w:t>
      </w:r>
    </w:p>
  </w:footnote>
  <w:footnote w:id="37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ודבר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מובן</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והיינו</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שסוף</w:t>
      </w:r>
      <w:r w:rsidRPr="00400C0B">
        <w:rPr>
          <w:rFonts w:cs="Guttman Rashi"/>
          <w:rtl/>
          <w:lang w:bidi="he-IL"/>
        </w:rPr>
        <w:t xml:space="preserve"> </w:t>
      </w:r>
      <w:r w:rsidRPr="00400C0B">
        <w:rPr>
          <w:rFonts w:cs="Guttman Rashi" w:hint="eastAsia"/>
          <w:rtl/>
          <w:lang w:bidi="he-IL"/>
        </w:rPr>
        <w:t>החלות</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הם</w:t>
      </w:r>
      <w:r w:rsidRPr="00400C0B">
        <w:rPr>
          <w:rFonts w:cs="Guttman Rashi"/>
          <w:rtl/>
          <w:lang w:bidi="he-IL"/>
        </w:rPr>
        <w:t xml:space="preserve"> </w:t>
      </w:r>
      <w:r w:rsidRPr="00400C0B">
        <w:rPr>
          <w:rFonts w:cs="Guttman Rashi" w:hint="eastAsia"/>
          <w:rtl/>
          <w:lang w:bidi="he-IL"/>
        </w:rPr>
        <w:t>דומים</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לשני</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סברא</w:t>
      </w:r>
      <w:r w:rsidRPr="00400C0B">
        <w:rPr>
          <w:rFonts w:cs="Guttman Rashi"/>
          <w:rtl/>
          <w:lang w:bidi="he-IL"/>
        </w:rPr>
        <w:t xml:space="preserve"> </w:t>
      </w:r>
      <w:r w:rsidRPr="00400C0B">
        <w:rPr>
          <w:rFonts w:cs="Guttman Rashi" w:hint="eastAsia"/>
          <w:rtl/>
          <w:lang w:bidi="he-IL"/>
        </w:rPr>
        <w:t>דעד</w:t>
      </w:r>
      <w:r w:rsidRPr="00400C0B">
        <w:rPr>
          <w:rFonts w:cs="Guttman Rashi"/>
          <w:rtl/>
          <w:lang w:bidi="he-IL"/>
        </w:rPr>
        <w:t xml:space="preserve"> </w:t>
      </w:r>
      <w:r w:rsidRPr="00400C0B">
        <w:rPr>
          <w:rFonts w:cs="Guttman Rashi" w:hint="eastAsia"/>
          <w:rtl/>
          <w:lang w:bidi="he-IL"/>
        </w:rPr>
        <w:t>שתאכלנו</w:t>
      </w:r>
      <w:r w:rsidRPr="00400C0B">
        <w:rPr>
          <w:rFonts w:cs="Guttman Rashi"/>
          <w:rtl/>
          <w:lang w:bidi="he-IL"/>
        </w:rPr>
        <w:t xml:space="preserve"> </w:t>
      </w:r>
      <w:r w:rsidRPr="00400C0B">
        <w:rPr>
          <w:rFonts w:cs="Guttman Rashi" w:hint="eastAsia"/>
          <w:rtl/>
          <w:lang w:bidi="he-IL"/>
        </w:rPr>
        <w:t>באיסור</w:t>
      </w:r>
      <w:r w:rsidRPr="00400C0B">
        <w:rPr>
          <w:rFonts w:cs="Guttman Rashi"/>
          <w:rtl/>
          <w:lang w:bidi="he-IL"/>
        </w:rPr>
        <w:t xml:space="preserve"> </w:t>
      </w:r>
      <w:r w:rsidRPr="00400C0B">
        <w:rPr>
          <w:rFonts w:cs="Guttman Rashi" w:hint="eastAsia"/>
          <w:rtl/>
          <w:lang w:bidi="he-IL"/>
        </w:rPr>
        <w:t>תאכלנו</w:t>
      </w:r>
      <w:r w:rsidRPr="00400C0B">
        <w:rPr>
          <w:rFonts w:cs="Guttman Rashi"/>
          <w:rtl/>
          <w:lang w:bidi="he-IL"/>
        </w:rPr>
        <w:t xml:space="preserve"> </w:t>
      </w:r>
      <w:r w:rsidRPr="00400C0B">
        <w:rPr>
          <w:rFonts w:cs="Guttman Rashi" w:hint="eastAsia"/>
          <w:rtl/>
          <w:lang w:bidi="he-IL"/>
        </w:rPr>
        <w:t>בהיתר</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פלוג</w:t>
      </w:r>
      <w:r w:rsidRPr="00400C0B">
        <w:rPr>
          <w:rFonts w:cs="Guttman Rashi"/>
          <w:rtl/>
          <w:lang w:bidi="he-IL"/>
        </w:rPr>
        <w:t xml:space="preserve"> </w:t>
      </w:r>
      <w:r w:rsidRPr="00400C0B">
        <w:rPr>
          <w:rFonts w:cs="Guttman Rashi" w:hint="eastAsia"/>
          <w:rtl/>
          <w:lang w:bidi="he-IL"/>
        </w:rPr>
        <w:t>רבנן</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לאידך</w:t>
      </w:r>
      <w:r w:rsidRPr="00400C0B">
        <w:rPr>
          <w:rFonts w:cs="Guttman Rashi"/>
          <w:rtl/>
          <w:lang w:bidi="he-IL"/>
        </w:rPr>
        <w:t xml:space="preserve"> </w:t>
      </w:r>
      <w:r w:rsidRPr="00400C0B">
        <w:rPr>
          <w:rFonts w:cs="Guttman Rashi" w:hint="eastAsia"/>
          <w:rtl/>
          <w:lang w:bidi="he-IL"/>
        </w:rPr>
        <w:t>גיסא</w:t>
      </w:r>
      <w:r w:rsidRPr="00400C0B">
        <w:rPr>
          <w:rFonts w:cs="Guttman Rashi"/>
          <w:rtl/>
          <w:lang w:bidi="he-IL"/>
        </w:rPr>
        <w:t xml:space="preserve">, </w:t>
      </w:r>
      <w:r w:rsidRPr="00400C0B">
        <w:rPr>
          <w:rFonts w:cs="Guttman Rashi" w:hint="eastAsia"/>
          <w:rtl/>
          <w:lang w:bidi="he-IL"/>
        </w:rPr>
        <w:t>דאיכא</w:t>
      </w:r>
      <w:r w:rsidRPr="00400C0B">
        <w:rPr>
          <w:rFonts w:cs="Guttman Rashi"/>
          <w:rtl/>
          <w:lang w:bidi="he-IL"/>
        </w:rPr>
        <w:t xml:space="preserve"> </w:t>
      </w:r>
      <w:r w:rsidRPr="00400C0B">
        <w:rPr>
          <w:rFonts w:cs="Guttman Rashi" w:hint="eastAsia"/>
          <w:rtl/>
          <w:lang w:bidi="he-IL"/>
        </w:rPr>
        <w:t>למימר</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מתירין</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שלמעשה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שחייב</w:t>
      </w:r>
      <w:r w:rsidRPr="00400C0B">
        <w:rPr>
          <w:rFonts w:cs="Guttman Rashi"/>
          <w:rtl/>
          <w:lang w:bidi="he-IL"/>
        </w:rPr>
        <w:t xml:space="preserve"> </w:t>
      </w:r>
      <w:r w:rsidRPr="00400C0B">
        <w:rPr>
          <w:rFonts w:cs="Guttman Rashi" w:hint="eastAsia"/>
          <w:rtl/>
          <w:lang w:bidi="he-IL"/>
        </w:rPr>
        <w:t>לשרפו</w:t>
      </w:r>
      <w:r w:rsidRPr="00400C0B">
        <w:rPr>
          <w:rFonts w:cs="Guttman Rashi"/>
          <w:rtl/>
          <w:lang w:bidi="he-IL"/>
        </w:rPr>
        <w:t>.</w:t>
      </w:r>
    </w:p>
  </w:footnote>
  <w:footnote w:id="37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מענין</w:t>
      </w:r>
      <w:r w:rsidRPr="00400C0B">
        <w:rPr>
          <w:rFonts w:cs="Guttman Rashi"/>
          <w:rtl/>
          <w:lang w:bidi="he-IL"/>
        </w:rPr>
        <w:t xml:space="preserve"> </w:t>
      </w:r>
      <w:r w:rsidRPr="00400C0B">
        <w:rPr>
          <w:rFonts w:cs="Guttman Rashi" w:hint="eastAsia"/>
          <w:rtl/>
          <w:lang w:bidi="he-IL"/>
        </w:rPr>
        <w:t>דשיל</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קי</w:t>
      </w:r>
      <w:r w:rsidRPr="00400C0B">
        <w:rPr>
          <w:rFonts w:cs="Guttman Rashi"/>
          <w:rtl/>
          <w:lang w:bidi="he-IL"/>
        </w:rPr>
        <w:t>"</w:t>
      </w:r>
      <w:r w:rsidRPr="00400C0B">
        <w:rPr>
          <w:rFonts w:cs="Guttman Rashi" w:hint="eastAsia"/>
          <w:rtl/>
          <w:lang w:bidi="he-IL"/>
        </w:rPr>
        <w:t>ד</w:t>
      </w:r>
    </w:p>
  </w:footnote>
  <w:footnote w:id="37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סוף</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וס</w:t>
      </w:r>
      <w:r w:rsidRPr="00400C0B">
        <w:rPr>
          <w:rFonts w:cs="Guttman Rashi"/>
          <w:rtl/>
          <w:lang w:bidi="he-IL"/>
        </w:rPr>
        <w:t>"</w:t>
      </w:r>
      <w:r w:rsidRPr="00400C0B">
        <w:rPr>
          <w:rFonts w:cs="Guttman Rashi" w:hint="eastAsia"/>
          <w:rtl/>
          <w:lang w:bidi="he-IL"/>
        </w:rPr>
        <w:t>ט</w:t>
      </w:r>
    </w:p>
  </w:footnote>
  <w:footnote w:id="376">
    <w:p w:rsidR="007978F4" w:rsidRPr="00400C0B" w:rsidRDefault="007978F4" w:rsidP="00B80448">
      <w:pPr>
        <w:pStyle w:val="FootnoteText"/>
        <w:bidi/>
        <w:jc w:val="both"/>
        <w:rPr>
          <w:rFonts w:cs="Guttman Rashi"/>
          <w:rtl/>
        </w:rPr>
      </w:pPr>
      <w:r w:rsidRPr="00400C0B">
        <w:rPr>
          <w:rStyle w:val="FootnoteReference"/>
          <w:rFonts w:cs="Guttman Rashi"/>
        </w:rPr>
        <w:footnoteRef/>
      </w:r>
      <w:r w:rsidRPr="00400C0B">
        <w:rPr>
          <w:rFonts w:cs="Guttman Rashi"/>
          <w:rt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משם</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סתירה</w:t>
      </w:r>
      <w:r w:rsidRPr="00400C0B">
        <w:rPr>
          <w:rFonts w:cs="Guttman Rashi"/>
          <w:rtl/>
          <w:lang w:bidi="he-IL"/>
        </w:rPr>
        <w:t xml:space="preserve"> </w:t>
      </w:r>
      <w:r w:rsidRPr="00400C0B">
        <w:rPr>
          <w:rFonts w:cs="Guttman Rashi" w:hint="eastAsia"/>
          <w:rtl/>
          <w:lang w:bidi="he-IL"/>
        </w:rPr>
        <w:t>למש</w:t>
      </w:r>
      <w:r w:rsidRPr="00400C0B">
        <w:rPr>
          <w:rFonts w:cs="Guttman Rashi"/>
          <w:rt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הטור</w:t>
      </w:r>
      <w:r w:rsidRPr="00400C0B">
        <w:rPr>
          <w:rFonts w:cs="Guttman Rashi"/>
          <w:rtl/>
          <w:lang w:bidi="he-IL"/>
        </w:rPr>
        <w:t xml:space="preserve"> </w:t>
      </w:r>
      <w:r w:rsidRPr="00400C0B">
        <w:rPr>
          <w:rFonts w:cs="Guttman Rashi" w:hint="eastAsia"/>
          <w:rtl/>
          <w:lang w:bidi="he-IL"/>
        </w:rPr>
        <w:t>אצלנו</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ר</w:t>
      </w:r>
      <w:r w:rsidRPr="00400C0B">
        <w:rPr>
          <w:rFonts w:cs="Guttman Rashi"/>
          <w:rtl/>
        </w:rPr>
        <w:t>"</w:t>
      </w:r>
      <w:r w:rsidRPr="00400C0B">
        <w:rPr>
          <w:rFonts w:cs="Guttman Rashi" w:hint="eastAsia"/>
          <w:rtl/>
          <w:lang w:bidi="he-IL"/>
        </w:rPr>
        <w:t>ת</w:t>
      </w:r>
      <w:r w:rsidRPr="00400C0B">
        <w:rPr>
          <w:rFonts w:cs="Guttman Rashi"/>
          <w:rt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מס</w:t>
      </w:r>
      <w:r w:rsidRPr="00400C0B">
        <w:rPr>
          <w:rFonts w:cs="Guttman Rashi"/>
          <w:rtl/>
        </w:rPr>
        <w:t xml:space="preserve">' </w:t>
      </w:r>
      <w:r w:rsidRPr="00400C0B">
        <w:rPr>
          <w:rFonts w:cs="Guttman Rashi" w:hint="eastAsia"/>
          <w:rtl/>
          <w:lang w:bidi="he-IL"/>
        </w:rPr>
        <w:t>הישר</w:t>
      </w:r>
      <w:r w:rsidRPr="00400C0B">
        <w:rPr>
          <w:rFonts w:cs="Guttman Rashi"/>
          <w:rtl/>
          <w:lang w:bidi="he-IL"/>
        </w:rPr>
        <w:t xml:space="preserve"> </w:t>
      </w:r>
      <w:r w:rsidRPr="00400C0B">
        <w:rPr>
          <w:rFonts w:cs="Guttman Rashi" w:hint="eastAsia"/>
          <w:rtl/>
          <w:lang w:bidi="he-IL"/>
        </w:rPr>
        <w:t>שר</w:t>
      </w:r>
      <w:r w:rsidRPr="00400C0B">
        <w:rPr>
          <w:rFonts w:cs="Guttman Rashi"/>
          <w:rt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חילק</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מב</w:t>
      </w:r>
      <w:r w:rsidRPr="00400C0B">
        <w:rPr>
          <w:rFonts w:cs="Guttman Rashi"/>
          <w:rt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למבשא</w:t>
      </w:r>
      <w:r w:rsidRPr="00400C0B">
        <w:rPr>
          <w:rFonts w:cs="Guttman Rashi"/>
          <w:rtl/>
        </w:rPr>
        <w:t>"</w:t>
      </w:r>
      <w:r w:rsidRPr="00400C0B">
        <w:rPr>
          <w:rFonts w:cs="Guttman Rashi" w:hint="eastAsia"/>
          <w:rtl/>
          <w:lang w:bidi="he-IL"/>
        </w:rPr>
        <w:t>מ</w:t>
      </w:r>
    </w:p>
  </w:footnote>
  <w:footnote w:id="377">
    <w:p w:rsidR="007978F4" w:rsidRPr="00400C0B" w:rsidRDefault="007978F4" w:rsidP="00B80448">
      <w:pPr>
        <w:pStyle w:val="FootnoteText"/>
        <w:bidi/>
        <w:jc w:val="both"/>
        <w:rPr>
          <w:rFonts w:cs="Guttman Rashi"/>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וראוי</w:t>
      </w:r>
      <w:r w:rsidRPr="00400C0B">
        <w:rPr>
          <w:rFonts w:cs="Guttman Rashi"/>
          <w:rtl/>
          <w:lang w:bidi="he-IL"/>
        </w:rPr>
        <w:t xml:space="preserve"> </w:t>
      </w:r>
      <w:r w:rsidRPr="00400C0B">
        <w:rPr>
          <w:rFonts w:cs="Guttman Rashi" w:hint="eastAsia"/>
          <w:rtl/>
          <w:lang w:bidi="he-IL"/>
        </w:rPr>
        <w:t>לציין</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סע</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במים</w:t>
      </w:r>
      <w:r w:rsidRPr="00400C0B">
        <w:rPr>
          <w:rFonts w:cs="Guttman Rashi"/>
          <w:rtl/>
          <w:lang w:bidi="he-IL"/>
        </w:rPr>
        <w:t xml:space="preserve"> </w:t>
      </w:r>
      <w:r w:rsidRPr="00400C0B">
        <w:rPr>
          <w:rFonts w:cs="Guttman Rashi" w:hint="eastAsia"/>
          <w:rtl/>
          <w:lang w:bidi="he-IL"/>
        </w:rPr>
        <w:t>שבלע</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הנטל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וכאן</w:t>
      </w:r>
      <w:r w:rsidRPr="00400C0B">
        <w:rPr>
          <w:rFonts w:cs="Guttman Rashi"/>
          <w:rtl/>
          <w:lang w:bidi="he-IL"/>
        </w:rPr>
        <w:t xml:space="preserve"> </w:t>
      </w:r>
      <w:r w:rsidRPr="00400C0B">
        <w:rPr>
          <w:rFonts w:cs="Guttman Rashi" w:hint="eastAsia"/>
          <w:rtl/>
          <w:lang w:bidi="he-IL"/>
        </w:rPr>
        <w:t>התיר</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וכנרה</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לחלק</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פחות</w:t>
      </w:r>
      <w:r w:rsidRPr="00400C0B">
        <w:rPr>
          <w:rFonts w:cs="Guttman Rashi"/>
          <w:rtl/>
          <w:lang w:bidi="he-IL"/>
        </w:rPr>
        <w:t xml:space="preserve"> </w:t>
      </w:r>
      <w:r w:rsidRPr="00400C0B">
        <w:rPr>
          <w:rFonts w:cs="Guttman Rashi" w:hint="eastAsia"/>
          <w:rtl/>
          <w:lang w:bidi="he-IL"/>
        </w:rPr>
        <w:t>מכשיעור</w:t>
      </w:r>
      <w:r w:rsidRPr="00400C0B">
        <w:rPr>
          <w:rFonts w:cs="Guttman Rashi"/>
          <w:rtl/>
          <w:lang w:bidi="he-IL"/>
        </w:rPr>
        <w:t xml:space="preserve"> </w:t>
      </w:r>
      <w:r w:rsidRPr="00400C0B">
        <w:rPr>
          <w:rFonts w:cs="Guttman Rashi" w:hint="eastAsia"/>
          <w:rtl/>
          <w:lang w:bidi="he-IL"/>
        </w:rPr>
        <w:t>לכשיעור</w:t>
      </w:r>
      <w:r w:rsidRPr="00400C0B">
        <w:rPr>
          <w:rFonts w:cs="Guttman Rashi"/>
          <w:rtl/>
          <w:lang w:bidi="he-IL"/>
        </w:rPr>
        <w:t xml:space="preserve"> </w:t>
      </w:r>
      <w:r w:rsidRPr="00400C0B">
        <w:rPr>
          <w:rFonts w:cs="Guttman Rashi" w:hint="eastAsia"/>
          <w:rtl/>
          <w:lang w:bidi="he-IL"/>
        </w:rPr>
        <w:t>ונטל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ויל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Ref467829904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299</w:t>
      </w:r>
      <w:r w:rsidRPr="00400C0B">
        <w:rPr>
          <w:rFonts w:cs="Guttman Rashi"/>
          <w:rtl/>
          <w:lang w:bidi="he-IL"/>
        </w:rPr>
        <w:fldChar w:fldCharType="end"/>
      </w:r>
      <w:r w:rsidRPr="00400C0B">
        <w:rPr>
          <w:rFonts w:cs="Guttman Rashi"/>
          <w:rtl/>
          <w:lang w:bidi="he-IL"/>
        </w:rPr>
        <w:t>.</w:t>
      </w:r>
    </w:p>
  </w:footnote>
  <w:footnote w:id="37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ודבריו</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דבשלמא</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משם</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דחמץ</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דשיל</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יתכן</w:t>
      </w:r>
      <w:r w:rsidRPr="00400C0B">
        <w:rPr>
          <w:rFonts w:cs="Guttman Rashi"/>
          <w:rtl/>
          <w:lang w:bidi="he-IL"/>
        </w:rPr>
        <w:t xml:space="preserve"> </w:t>
      </w:r>
      <w:r w:rsidRPr="00400C0B">
        <w:rPr>
          <w:rFonts w:cs="Guttman Rashi" w:hint="eastAsia"/>
          <w:rtl/>
          <w:lang w:bidi="he-IL"/>
        </w:rPr>
        <w:t>שזהו</w:t>
      </w:r>
      <w:r w:rsidRPr="00400C0B">
        <w:rPr>
          <w:rFonts w:cs="Guttman Rashi"/>
          <w:rtl/>
          <w:lang w:bidi="he-IL"/>
        </w:rPr>
        <w:t xml:space="preserve"> </w:t>
      </w:r>
      <w:r w:rsidRPr="00400C0B">
        <w:rPr>
          <w:rFonts w:cs="Guttman Rashi" w:hint="eastAsia"/>
          <w:rtl/>
          <w:lang w:bidi="he-IL"/>
        </w:rPr>
        <w:t>מטעם</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מהר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פסחים</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דשיל</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שסוף</w:t>
      </w:r>
      <w:r w:rsidRPr="00400C0B">
        <w:rPr>
          <w:rFonts w:cs="Guttman Rashi"/>
          <w:rtl/>
          <w:lang w:bidi="he-IL"/>
        </w:rPr>
        <w:t xml:space="preserve"> </w:t>
      </w:r>
      <w:r w:rsidRPr="00400C0B">
        <w:rPr>
          <w:rFonts w:cs="Guttman Rashi" w:hint="eastAsia"/>
          <w:rtl/>
          <w:lang w:bidi="he-IL"/>
        </w:rPr>
        <w:t>סוף</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יהי</w:t>
      </w:r>
      <w:r w:rsidRPr="00400C0B">
        <w:rPr>
          <w:rFonts w:cs="Guttman Rashi"/>
          <w:rtl/>
          <w:lang w:bidi="he-IL"/>
        </w:rPr>
        <w:t xml:space="preserve">' </w:t>
      </w:r>
      <w:r w:rsidRPr="00400C0B">
        <w:rPr>
          <w:rFonts w:cs="Guttman Rashi" w:hint="eastAsia"/>
          <w:rtl/>
          <w:lang w:bidi="he-IL"/>
        </w:rPr>
        <w:t>מותק</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שמעון</w:t>
      </w:r>
      <w:r w:rsidRPr="00400C0B">
        <w:rPr>
          <w:rFonts w:cs="Guttman Rashi"/>
          <w:rtl/>
          <w:lang w:bidi="he-IL"/>
        </w:rPr>
        <w:t xml:space="preserve"> </w:t>
      </w:r>
      <w:r w:rsidRPr="00400C0B">
        <w:rPr>
          <w:rFonts w:cs="Guttman Rashi" w:hint="eastAsia"/>
          <w:rtl/>
          <w:lang w:bidi="he-IL"/>
        </w:rPr>
        <w:t>קנסא</w:t>
      </w:r>
      <w:r w:rsidRPr="00400C0B">
        <w:rPr>
          <w:rFonts w:cs="Guttman Rashi"/>
          <w:rtl/>
          <w:lang w:bidi="he-IL"/>
        </w:rPr>
        <w:t xml:space="preserve"> </w:t>
      </w:r>
      <w:r w:rsidRPr="00400C0B">
        <w:rPr>
          <w:rFonts w:cs="Guttman Rashi" w:hint="eastAsia"/>
          <w:rtl/>
          <w:lang w:bidi="he-IL"/>
        </w:rPr>
        <w:t>קניס</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שאמר</w:t>
      </w:r>
      <w:r w:rsidRPr="00400C0B">
        <w:rPr>
          <w:rFonts w:cs="Guttman Rashi"/>
          <w:rtl/>
          <w:lang w:bidi="he-IL"/>
        </w:rPr>
        <w:t xml:space="preserve"> </w:t>
      </w:r>
      <w:r w:rsidRPr="00400C0B">
        <w:rPr>
          <w:rFonts w:cs="Guttman Rashi" w:hint="eastAsia"/>
          <w:rtl/>
          <w:lang w:bidi="he-IL"/>
        </w:rPr>
        <w:t>רבא</w:t>
      </w:r>
      <w:r w:rsidRPr="00400C0B">
        <w:rPr>
          <w:rFonts w:cs="Guttman Rashi"/>
          <w:rtl/>
          <w:lang w:bidi="he-IL"/>
        </w:rPr>
        <w:t xml:space="preserve"> (</w:t>
      </w:r>
      <w:r w:rsidRPr="00400C0B">
        <w:rPr>
          <w:rFonts w:cs="Guttman Rashi" w:hint="eastAsia"/>
          <w:rtl/>
          <w:lang w:bidi="he-IL"/>
        </w:rPr>
        <w:t>פסחים</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ועוד</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דשיל</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שמצווה</w:t>
      </w:r>
      <w:r w:rsidRPr="00400C0B">
        <w:rPr>
          <w:rFonts w:cs="Guttman Rashi"/>
          <w:rtl/>
          <w:lang w:bidi="he-IL"/>
        </w:rPr>
        <w:t xml:space="preserve"> </w:t>
      </w:r>
      <w:r w:rsidRPr="00400C0B">
        <w:rPr>
          <w:rFonts w:cs="Guttman Rashi" w:hint="eastAsia"/>
          <w:rtl/>
          <w:lang w:bidi="he-IL"/>
        </w:rPr>
        <w:t>לבערו</w:t>
      </w:r>
      <w:r w:rsidRPr="00400C0B">
        <w:rPr>
          <w:rFonts w:cs="Guttman Rashi"/>
          <w:rtl/>
          <w:lang w:bidi="he-IL"/>
        </w:rPr>
        <w:t xml:space="preserve"> </w:t>
      </w:r>
      <w:r w:rsidRPr="00400C0B">
        <w:rPr>
          <w:rFonts w:cs="Guttman Rashi" w:hint="eastAsia"/>
          <w:rtl/>
          <w:lang w:bidi="he-IL"/>
        </w:rPr>
        <w:t>וכמש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בחי</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דוד</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ודלא</w:t>
      </w:r>
      <w:r w:rsidRPr="00400C0B">
        <w:rPr>
          <w:rFonts w:cs="Guttman Rashi"/>
          <w:rtl/>
          <w:lang w:bidi="he-IL"/>
        </w:rPr>
        <w:t xml:space="preserve"> </w:t>
      </w:r>
      <w:r w:rsidRPr="00400C0B">
        <w:rPr>
          <w:rFonts w:cs="Guttman Rashi" w:hint="eastAsia"/>
          <w:rtl/>
          <w:lang w:bidi="he-IL"/>
        </w:rPr>
        <w:t>כסברת</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ויהי</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נפק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לחדש</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מוקצה</w:t>
      </w:r>
      <w:r w:rsidRPr="00400C0B">
        <w:rPr>
          <w:rFonts w:cs="Guttman Rashi"/>
          <w:rtl/>
          <w:lang w:bidi="he-IL"/>
        </w:rPr>
        <w:t xml:space="preserve"> </w:t>
      </w:r>
      <w:r w:rsidRPr="00400C0B">
        <w:rPr>
          <w:rFonts w:cs="Guttman Rashi" w:hint="eastAsia"/>
          <w:rtl/>
          <w:lang w:bidi="he-IL"/>
        </w:rPr>
        <w:t>שבסמוך</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בפשוטו</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נפק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בהם</w:t>
      </w:r>
      <w:r w:rsidRPr="00400C0B">
        <w:rPr>
          <w:rFonts w:cs="Guttman Rashi"/>
          <w:rtl/>
          <w:lang w:bidi="he-IL"/>
        </w:rPr>
        <w:t xml:space="preserve"> </w:t>
      </w:r>
      <w:r w:rsidRPr="00400C0B">
        <w:rPr>
          <w:rFonts w:cs="Guttman Rashi" w:hint="eastAsia"/>
          <w:rtl/>
          <w:lang w:bidi="he-IL"/>
        </w:rPr>
        <w:t>וכדבסמוך</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כעת</w:t>
      </w:r>
      <w:r w:rsidRPr="00400C0B">
        <w:rPr>
          <w:rFonts w:cs="Guttman Rashi"/>
          <w:rtl/>
          <w:lang w:bidi="he-IL"/>
        </w:rPr>
        <w:t xml:space="preserve">. </w:t>
      </w:r>
    </w:p>
  </w:footnote>
  <w:footnote w:id="37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תורת</w:t>
      </w:r>
      <w:r w:rsidRPr="00400C0B">
        <w:rPr>
          <w:rFonts w:cs="Guttman Rashi"/>
          <w:rtl/>
          <w:lang w:bidi="he-IL"/>
        </w:rPr>
        <w:t xml:space="preserve"> </w:t>
      </w:r>
      <w:r w:rsidRPr="00400C0B">
        <w:rPr>
          <w:rFonts w:cs="Guttman Rashi" w:hint="eastAsia"/>
          <w:rtl/>
          <w:lang w:bidi="he-IL"/>
        </w:rPr>
        <w:t>חסד</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שסברא</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תלוי</w:t>
      </w:r>
      <w:r w:rsidRPr="00400C0B">
        <w:rPr>
          <w:rFonts w:cs="Guttman Rashi"/>
          <w:rtl/>
          <w:lang w:bidi="he-IL"/>
        </w:rPr>
        <w:t xml:space="preserve"> </w:t>
      </w:r>
      <w:r w:rsidRPr="00400C0B">
        <w:rPr>
          <w:rFonts w:cs="Guttman Rashi" w:hint="eastAsia"/>
          <w:rtl/>
          <w:lang w:bidi="he-IL"/>
        </w:rPr>
        <w:t>במחלוקת</w:t>
      </w:r>
      <w:r w:rsidRPr="00400C0B">
        <w:rPr>
          <w:rFonts w:cs="Guttman Rashi"/>
          <w:rtl/>
          <w:lang w:bidi="he-IL"/>
        </w:rPr>
        <w:t xml:space="preserve"> </w:t>
      </w:r>
      <w:r w:rsidRPr="00400C0B">
        <w:rPr>
          <w:rFonts w:cs="Guttman Rashi" w:hint="eastAsia"/>
          <w:rtl/>
          <w:lang w:bidi="he-IL"/>
        </w:rPr>
        <w:t>הטעמים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ורש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ואע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שדשיל</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חוזר</w:t>
      </w:r>
      <w:r w:rsidRPr="00400C0B">
        <w:rPr>
          <w:rFonts w:cs="Guttman Rashi"/>
          <w:rtl/>
          <w:lang w:bidi="he-IL"/>
        </w:rPr>
        <w:t xml:space="preserve"> </w:t>
      </w:r>
      <w:r w:rsidRPr="00400C0B">
        <w:rPr>
          <w:rFonts w:cs="Guttman Rashi" w:hint="eastAsia"/>
          <w:rtl/>
          <w:lang w:bidi="he-IL"/>
        </w:rPr>
        <w:t>לאיסורו</w:t>
      </w:r>
      <w:r w:rsidRPr="00400C0B">
        <w:rPr>
          <w:rFonts w:cs="Guttman Rashi"/>
          <w:rtl/>
          <w:lang w:bidi="he-IL"/>
        </w:rPr>
        <w:t xml:space="preserve"> </w:t>
      </w:r>
      <w:r w:rsidRPr="00400C0B">
        <w:rPr>
          <w:rFonts w:cs="Guttman Rashi" w:hint="eastAsia"/>
          <w:rtl/>
          <w:lang w:bidi="he-IL"/>
        </w:rPr>
        <w:t>וכנ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בהערה</w:t>
      </w:r>
      <w:r w:rsidRPr="00400C0B">
        <w:rPr>
          <w:rFonts w:cs="Guttman Rashi"/>
          <w:rtl/>
          <w:lang w:bidi="he-IL"/>
        </w:rPr>
        <w:t xml:space="preserve"> </w:t>
      </w:r>
      <w:r w:rsidRPr="00400C0B">
        <w:rPr>
          <w:rFonts w:cs="Guttman Rashi" w:hint="eastAsia"/>
          <w:rtl/>
          <w:lang w:bidi="he-IL"/>
        </w:rPr>
        <w:t>הקודמת</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המקילין</w:t>
      </w:r>
      <w:r w:rsidRPr="00400C0B">
        <w:rPr>
          <w:rFonts w:cs="Guttman Rashi"/>
          <w:rtl/>
          <w:lang w:bidi="he-IL"/>
        </w:rPr>
        <w:t xml:space="preserve"> </w:t>
      </w:r>
      <w:r w:rsidRPr="00400C0B">
        <w:rPr>
          <w:rFonts w:cs="Guttman Rashi" w:hint="eastAsia"/>
          <w:rtl/>
          <w:lang w:bidi="he-IL"/>
        </w:rPr>
        <w:t>סוברים</w:t>
      </w:r>
      <w:r w:rsidRPr="00400C0B">
        <w:rPr>
          <w:rFonts w:cs="Guttman Rashi"/>
          <w:rtl/>
          <w:lang w:bidi="he-IL"/>
        </w:rPr>
        <w:t xml:space="preserve"> </w:t>
      </w:r>
      <w:r w:rsidRPr="00400C0B">
        <w:rPr>
          <w:rFonts w:cs="Guttman Rashi" w:hint="eastAsia"/>
          <w:rtl/>
          <w:lang w:bidi="he-IL"/>
        </w:rPr>
        <w:t>כמותו</w:t>
      </w:r>
      <w:r w:rsidRPr="00400C0B">
        <w:rPr>
          <w:rFonts w:cs="Guttman Rashi"/>
          <w:rtl/>
          <w:lang w:bidi="he-IL"/>
        </w:rPr>
        <w:t xml:space="preserve"> </w:t>
      </w:r>
      <w:r w:rsidRPr="00400C0B">
        <w:rPr>
          <w:rFonts w:cs="Guttman Rashi" w:hint="eastAsia"/>
          <w:rtl/>
          <w:lang w:bidi="he-IL"/>
        </w:rPr>
        <w:t>בטעם</w:t>
      </w:r>
      <w:r w:rsidRPr="00400C0B">
        <w:rPr>
          <w:rFonts w:cs="Guttman Rashi"/>
          <w:rtl/>
          <w:lang w:bidi="he-IL"/>
        </w:rPr>
        <w:t xml:space="preserve"> </w:t>
      </w:r>
      <w:r w:rsidRPr="00400C0B">
        <w:rPr>
          <w:rFonts w:cs="Guttman Rashi" w:hint="eastAsia"/>
          <w:rtl/>
          <w:lang w:bidi="he-IL"/>
        </w:rPr>
        <w:t>החומרא</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דשיל</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חולקים</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היכא</w:t>
      </w:r>
      <w:r w:rsidRPr="00400C0B">
        <w:rPr>
          <w:rFonts w:cs="Guttman Rashi"/>
          <w:rtl/>
          <w:lang w:bidi="he-IL"/>
        </w:rPr>
        <w:t xml:space="preserve"> </w:t>
      </w:r>
      <w:r w:rsidRPr="00400C0B">
        <w:rPr>
          <w:rFonts w:cs="Guttman Rashi" w:hint="eastAsia"/>
          <w:rtl/>
          <w:lang w:bidi="he-IL"/>
        </w:rPr>
        <w:t>דחוזר</w:t>
      </w:r>
      <w:r w:rsidRPr="00400C0B">
        <w:rPr>
          <w:rFonts w:cs="Guttman Rashi"/>
          <w:rtl/>
          <w:lang w:bidi="he-IL"/>
        </w:rPr>
        <w:t xml:space="preserve"> </w:t>
      </w:r>
      <w:r w:rsidRPr="00400C0B">
        <w:rPr>
          <w:rFonts w:cs="Guttman Rashi" w:hint="eastAsia"/>
          <w:rtl/>
          <w:lang w:bidi="he-IL"/>
        </w:rPr>
        <w:t>לאיסורו</w:t>
      </w:r>
      <w:r w:rsidRPr="00400C0B">
        <w:rPr>
          <w:rFonts w:cs="Guttman Rashi"/>
          <w:rtl/>
          <w:lang w:bidi="he-IL"/>
        </w:rPr>
        <w:t xml:space="preserve">. </w:t>
      </w:r>
    </w:p>
  </w:footnote>
  <w:footnote w:id="38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וראיתי</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בסוף</w:t>
      </w:r>
      <w:r w:rsidRPr="00400C0B">
        <w:rPr>
          <w:rFonts w:cs="Guttman Rashi"/>
          <w:rtl/>
          <w:lang w:bidi="he-IL"/>
        </w:rPr>
        <w:t xml:space="preserve"> </w:t>
      </w:r>
      <w:r w:rsidRPr="00400C0B">
        <w:rPr>
          <w:rFonts w:cs="Guttman Rashi" w:hint="eastAsia"/>
          <w:rtl/>
          <w:lang w:bidi="he-IL"/>
        </w:rPr>
        <w:t>הסימן</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שאכילת</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גבינה</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חפצא</w:t>
      </w:r>
      <w:r w:rsidRPr="00400C0B">
        <w:rPr>
          <w:rFonts w:cs="Guttman Rashi"/>
          <w:rtl/>
          <w:lang w:bidi="he-IL"/>
        </w:rPr>
        <w:t xml:space="preserve"> </w:t>
      </w:r>
      <w:r w:rsidRPr="00400C0B">
        <w:rPr>
          <w:rFonts w:cs="Guttman Rashi" w:hint="eastAsia"/>
          <w:rtl/>
          <w:lang w:bidi="he-IL"/>
        </w:rPr>
        <w:t>ובזה</w:t>
      </w:r>
      <w:r w:rsidRPr="00400C0B">
        <w:rPr>
          <w:rFonts w:cs="Guttman Rashi"/>
          <w:rtl/>
          <w:lang w:bidi="he-IL"/>
        </w:rPr>
        <w:t xml:space="preserve"> </w:t>
      </w:r>
      <w:r w:rsidRPr="00400C0B">
        <w:rPr>
          <w:rFonts w:cs="Guttman Rashi" w:hint="eastAsia"/>
          <w:rtl/>
          <w:lang w:bidi="he-IL"/>
        </w:rPr>
        <w:t>מתיישב</w:t>
      </w:r>
      <w:r w:rsidRPr="00400C0B">
        <w:rPr>
          <w:rFonts w:cs="Guttman Rashi"/>
          <w:rtl/>
          <w:lang w:bidi="he-IL"/>
        </w:rPr>
        <w:t xml:space="preserve"> </w:t>
      </w:r>
      <w:r w:rsidRPr="00400C0B">
        <w:rPr>
          <w:rFonts w:cs="Guttman Rashi" w:hint="eastAsia"/>
          <w:rtl/>
          <w:lang w:bidi="he-IL"/>
        </w:rPr>
        <w:t>הסתירה</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w:t>
      </w:r>
    </w:p>
  </w:footnote>
  <w:footnote w:id="38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ברוב</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לפגם</w:t>
      </w:r>
      <w:r w:rsidRPr="00400C0B">
        <w:rPr>
          <w:rFonts w:cs="Guttman Rashi"/>
          <w:rtl/>
          <w:lang w:bidi="he-IL"/>
        </w:rPr>
        <w:t xml:space="preserve"> (</w:t>
      </w:r>
      <w:r w:rsidRPr="00400C0B">
        <w:rPr>
          <w:rFonts w:cs="Guttman Rashi" w:hint="eastAsia"/>
          <w:rtl/>
          <w:lang w:bidi="he-IL"/>
        </w:rPr>
        <w:t>וכפורושו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שהטעם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הרוב</w:t>
      </w:r>
      <w:r w:rsidRPr="00400C0B">
        <w:rPr>
          <w:rFonts w:cs="Guttman Rashi"/>
          <w:rtl/>
          <w:lang w:bidi="he-IL"/>
        </w:rPr>
        <w:t xml:space="preserve">. </w:t>
      </w:r>
      <w:r w:rsidRPr="00400C0B">
        <w:rPr>
          <w:rFonts w:cs="Guttman Rashi" w:hint="eastAsia"/>
          <w:rtl/>
          <w:lang w:bidi="he-IL"/>
        </w:rPr>
        <w:t>והטעם</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דסוף</w:t>
      </w:r>
      <w:r w:rsidRPr="00400C0B">
        <w:rPr>
          <w:rFonts w:cs="Guttman Rashi"/>
          <w:rtl/>
          <w:lang w:bidi="he-IL"/>
        </w:rPr>
        <w:t xml:space="preserve"> </w:t>
      </w:r>
      <w:r w:rsidRPr="00400C0B">
        <w:rPr>
          <w:rFonts w:cs="Guttman Rashi" w:hint="eastAsia"/>
          <w:rtl/>
          <w:lang w:bidi="he-IL"/>
        </w:rPr>
        <w:t>סוף</w:t>
      </w:r>
      <w:r w:rsidRPr="00400C0B">
        <w:rPr>
          <w:rFonts w:cs="Guttman Rashi"/>
          <w:rtl/>
          <w:lang w:bidi="he-IL"/>
        </w:rPr>
        <w:t xml:space="preserve"> </w:t>
      </w:r>
      <w:r w:rsidRPr="00400C0B">
        <w:rPr>
          <w:rFonts w:cs="Guttman Rashi" w:hint="eastAsia"/>
          <w:rtl/>
          <w:lang w:bidi="he-IL"/>
        </w:rPr>
        <w:t>התערובת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הדברים</w:t>
      </w:r>
      <w:r w:rsidRPr="00400C0B">
        <w:rPr>
          <w:rFonts w:cs="Guttman Rashi"/>
          <w:rtl/>
          <w:lang w:bidi="he-IL"/>
        </w:rPr>
        <w:t xml:space="preserve"> </w:t>
      </w:r>
      <w:r w:rsidRPr="00400C0B">
        <w:rPr>
          <w:rFonts w:cs="Guttman Rashi" w:hint="eastAsia"/>
          <w:rtl/>
          <w:lang w:bidi="he-IL"/>
        </w:rPr>
        <w:t>ביחד</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להם</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טוב</w:t>
      </w:r>
      <w:r w:rsidRPr="00400C0B">
        <w:rPr>
          <w:rFonts w:cs="Guttman Rashi"/>
          <w:rtl/>
          <w:lang w:bidi="he-IL"/>
        </w:rPr>
        <w:t xml:space="preserve">, </w:t>
      </w:r>
      <w:r w:rsidRPr="00400C0B">
        <w:rPr>
          <w:rFonts w:cs="Guttman Rashi" w:hint="eastAsia"/>
          <w:rtl/>
          <w:lang w:bidi="he-IL"/>
        </w:rPr>
        <w:t>ויתכן</w:t>
      </w:r>
      <w:r w:rsidRPr="00400C0B">
        <w:rPr>
          <w:rFonts w:cs="Guttman Rashi"/>
          <w:rtl/>
          <w:lang w:bidi="he-IL"/>
        </w:rPr>
        <w:t xml:space="preserve"> </w:t>
      </w:r>
      <w:r w:rsidRPr="00400C0B">
        <w:rPr>
          <w:rFonts w:cs="Guttman Rashi" w:hint="eastAsia"/>
          <w:rtl/>
          <w:lang w:bidi="he-IL"/>
        </w:rPr>
        <w:t>שכל</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לאכילת</w:t>
      </w:r>
      <w:r w:rsidRPr="00400C0B">
        <w:rPr>
          <w:rFonts w:cs="Guttman Rashi"/>
          <w:rtl/>
          <w:lang w:bidi="he-IL"/>
        </w:rPr>
        <w:t xml:space="preserve"> </w:t>
      </w:r>
      <w:r w:rsidRPr="00400C0B">
        <w:rPr>
          <w:rFonts w:cs="Guttman Rashi" w:hint="eastAsia"/>
          <w:rtl/>
          <w:lang w:bidi="he-IL"/>
        </w:rPr>
        <w:t>הדבר</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ולר</w:t>
      </w:r>
      <w:r w:rsidRPr="00400C0B">
        <w:rPr>
          <w:rFonts w:cs="Guttman Rashi"/>
          <w:rtl/>
          <w:lang w:bidi="he-IL"/>
        </w:rPr>
        <w:t xml:space="preserve"> </w:t>
      </w:r>
      <w:r w:rsidRPr="00400C0B">
        <w:rPr>
          <w:rFonts w:cs="Guttman Rashi" w:hint="eastAsia"/>
          <w:rtl/>
          <w:lang w:bidi="he-IL"/>
        </w:rPr>
        <w:t>לדבר</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למימר</w:t>
      </w:r>
      <w:r w:rsidRPr="00400C0B">
        <w:rPr>
          <w:rFonts w:cs="Guttman Rashi"/>
          <w:rtl/>
          <w:lang w:bidi="he-IL"/>
        </w:rPr>
        <w:t xml:space="preserve"> </w:t>
      </w:r>
      <w:r w:rsidRPr="00400C0B">
        <w:rPr>
          <w:rFonts w:cs="Guttman Rashi" w:hint="eastAsia"/>
          <w:rtl/>
          <w:lang w:bidi="he-IL"/>
        </w:rPr>
        <w:t>אחשבי</w:t>
      </w:r>
      <w:r w:rsidRPr="00400C0B">
        <w:rPr>
          <w:rFonts w:cs="Guttman Rashi"/>
          <w:rtl/>
          <w:lang w:bidi="he-IL"/>
        </w:rPr>
        <w:t>'.</w:t>
      </w:r>
    </w:p>
  </w:footnote>
  <w:footnote w:id="38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במג</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תמ</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אומרים</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בחמץ</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חמץ</w:t>
      </w:r>
      <w:r w:rsidRPr="00400C0B">
        <w:rPr>
          <w:rFonts w:cs="Guttman Rashi"/>
          <w:rtl/>
          <w:lang w:bidi="he-IL"/>
        </w:rPr>
        <w:t xml:space="preserve"> </w:t>
      </w:r>
      <w:r w:rsidRPr="00400C0B">
        <w:rPr>
          <w:rFonts w:cs="Guttman Rashi" w:hint="eastAsia"/>
          <w:rtl/>
          <w:lang w:bidi="he-IL"/>
        </w:rPr>
        <w:t>שמו</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וכתב</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הרבה</w:t>
      </w:r>
      <w:r w:rsidRPr="00400C0B">
        <w:rPr>
          <w:rFonts w:cs="Guttman Rashi"/>
          <w:rtl/>
          <w:lang w:bidi="he-IL"/>
        </w:rPr>
        <w:t xml:space="preserve"> </w:t>
      </w:r>
      <w:r w:rsidRPr="00400C0B">
        <w:rPr>
          <w:rFonts w:cs="Guttman Rashi" w:hint="eastAsia"/>
          <w:rtl/>
          <w:lang w:bidi="he-IL"/>
        </w:rPr>
        <w:t>פוסקים</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חנ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בשום</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בבשר</w:t>
      </w:r>
      <w:r w:rsidRPr="00400C0B">
        <w:rPr>
          <w:rFonts w:cs="Guttman Rashi"/>
          <w:rtl/>
          <w:lang w:bidi="he-IL"/>
        </w:rPr>
        <w:t xml:space="preserve"> </w:t>
      </w:r>
      <w:r w:rsidRPr="00400C0B">
        <w:rPr>
          <w:rFonts w:cs="Guttman Rashi" w:hint="eastAsia"/>
          <w:rtl/>
          <w:lang w:bidi="he-IL"/>
        </w:rPr>
        <w:t>בחלב</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הביאור</w:t>
      </w:r>
      <w:r w:rsidRPr="00400C0B">
        <w:rPr>
          <w:rFonts w:cs="Guttman Rashi"/>
          <w:rtl/>
          <w:lang w:bidi="he-IL"/>
        </w:rPr>
        <w:t xml:space="preserve"> </w:t>
      </w:r>
      <w:r w:rsidRPr="00400C0B">
        <w:rPr>
          <w:rFonts w:cs="Guttman Rashi" w:hint="eastAsia"/>
          <w:rtl/>
          <w:lang w:bidi="he-IL"/>
        </w:rPr>
        <w:t>בכוונתו</w:t>
      </w:r>
      <w:r w:rsidRPr="00400C0B">
        <w:rPr>
          <w:rFonts w:cs="Guttman Rashi"/>
          <w:rtl/>
          <w:lang w:bidi="he-IL"/>
        </w:rPr>
        <w:t xml:space="preserve"> </w:t>
      </w:r>
      <w:r w:rsidRPr="00400C0B">
        <w:rPr>
          <w:rFonts w:cs="Guttman Rashi" w:hint="eastAsia"/>
          <w:rtl/>
          <w:lang w:bidi="he-IL"/>
        </w:rPr>
        <w:t>דבאמת</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אומרים</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החמץ</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איסורים</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שהרבה</w:t>
      </w:r>
      <w:r w:rsidRPr="00400C0B">
        <w:rPr>
          <w:rFonts w:cs="Guttman Rashi"/>
          <w:rtl/>
          <w:lang w:bidi="he-IL"/>
        </w:rPr>
        <w:t xml:space="preserve"> </w:t>
      </w:r>
      <w:r w:rsidRPr="00400C0B">
        <w:rPr>
          <w:rFonts w:cs="Guttman Rashi" w:hint="eastAsia"/>
          <w:rtl/>
          <w:lang w:bidi="he-IL"/>
        </w:rPr>
        <w:t>ראשונים</w:t>
      </w:r>
      <w:r w:rsidRPr="00400C0B">
        <w:rPr>
          <w:rFonts w:cs="Guttman Rashi"/>
          <w:rtl/>
          <w:lang w:bidi="he-IL"/>
        </w:rPr>
        <w:t xml:space="preserve"> </w:t>
      </w:r>
      <w:r w:rsidRPr="00400C0B">
        <w:rPr>
          <w:rFonts w:cs="Guttman Rashi" w:hint="eastAsia"/>
          <w:rtl/>
          <w:lang w:bidi="he-IL"/>
        </w:rPr>
        <w:t>סוברים</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אומרים</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מיהת</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אומרים</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בחמץ</w:t>
      </w:r>
      <w:r w:rsidRPr="00400C0B">
        <w:rPr>
          <w:rFonts w:cs="Guttman Rashi"/>
          <w:rtl/>
          <w:lang w:bidi="he-IL"/>
        </w:rPr>
        <w:t xml:space="preserve"> </w:t>
      </w:r>
      <w:r w:rsidRPr="00400C0B">
        <w:rPr>
          <w:rFonts w:cs="Guttman Rashi" w:hint="eastAsia"/>
          <w:rtl/>
          <w:lang w:bidi="he-IL"/>
        </w:rPr>
        <w:t>לפני</w:t>
      </w:r>
      <w:r w:rsidRPr="00400C0B">
        <w:rPr>
          <w:rFonts w:cs="Guttman Rashi"/>
          <w:rtl/>
          <w:lang w:bidi="he-IL"/>
        </w:rPr>
        <w:t xml:space="preserve"> </w:t>
      </w:r>
      <w:r w:rsidRPr="00400C0B">
        <w:rPr>
          <w:rFonts w:cs="Guttman Rashi" w:hint="eastAsia"/>
          <w:rtl/>
          <w:lang w:bidi="he-IL"/>
        </w:rPr>
        <w:t>הפסח</w:t>
      </w:r>
      <w:r w:rsidRPr="00400C0B">
        <w:rPr>
          <w:rFonts w:cs="Guttman Rashi"/>
          <w:rtl/>
          <w:lang w:bidi="he-IL"/>
        </w:rPr>
        <w:t xml:space="preserve">.   </w:t>
      </w:r>
    </w:p>
  </w:footnote>
  <w:footnote w:id="38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נתקשתי</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ניחא</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שבכל</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יסוד</w:t>
      </w:r>
      <w:r w:rsidRPr="00400C0B">
        <w:rPr>
          <w:rFonts w:cs="Guttman Rashi"/>
          <w:rtl/>
          <w:lang w:bidi="he-IL"/>
        </w:rPr>
        <w:t xml:space="preserve"> </w:t>
      </w:r>
      <w:r w:rsidRPr="00400C0B">
        <w:rPr>
          <w:rFonts w:cs="Guttman Rashi" w:hint="eastAsia"/>
          <w:rtl/>
          <w:lang w:bidi="he-IL"/>
        </w:rPr>
        <w:t>ההיתר</w:t>
      </w:r>
      <w:r w:rsidRPr="00400C0B">
        <w:rPr>
          <w:rFonts w:cs="Guttman Rashi"/>
          <w:rtl/>
          <w:lang w:bidi="he-IL"/>
        </w:rPr>
        <w:t xml:space="preserve"> </w:t>
      </w:r>
      <w:r>
        <w:rPr>
          <w:rFonts w:cs="Guttman Rashi" w:hint="cs"/>
          <w:rtl/>
          <w:lang w:bidi="he-IL"/>
        </w:rPr>
        <w:t>ב</w:t>
      </w:r>
      <w:r w:rsidRPr="00400C0B">
        <w:rPr>
          <w:rFonts w:cs="Guttman Rashi" w:hint="eastAsia"/>
          <w:rtl/>
          <w:lang w:bidi="he-IL"/>
        </w:rPr>
        <w:t>נוי</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שהאיסור</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ברוב</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איך</w:t>
      </w:r>
      <w:r w:rsidRPr="00400C0B">
        <w:rPr>
          <w:rFonts w:cs="Guttman Rashi"/>
          <w:rtl/>
          <w:lang w:bidi="he-IL"/>
        </w:rPr>
        <w:t xml:space="preserve"> </w:t>
      </w:r>
      <w:r w:rsidRPr="00400C0B">
        <w:rPr>
          <w:rFonts w:cs="Guttman Rashi" w:hint="eastAsia"/>
          <w:rtl/>
          <w:lang w:bidi="he-IL"/>
        </w:rPr>
        <w:t>שביאר</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ביסוד</w:t>
      </w:r>
      <w:r w:rsidRPr="00400C0B">
        <w:rPr>
          <w:rFonts w:cs="Guttman Rashi"/>
          <w:rtl/>
          <w:lang w:bidi="he-IL"/>
        </w:rPr>
        <w:t xml:space="preserve"> </w:t>
      </w:r>
      <w:r w:rsidRPr="00400C0B">
        <w:rPr>
          <w:rFonts w:cs="Guttman Rashi" w:hint="eastAsia"/>
          <w:rtl/>
          <w:lang w:bidi="he-IL"/>
        </w:rPr>
        <w:t>ההיתר</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ביטול</w:t>
      </w:r>
      <w:r w:rsidRPr="00400C0B">
        <w:rPr>
          <w:rFonts w:cs="Guttman Rashi"/>
          <w:rtl/>
          <w:lang w:bidi="he-IL"/>
        </w:rPr>
        <w:t xml:space="preserve"> </w:t>
      </w:r>
      <w:r w:rsidRPr="00400C0B">
        <w:rPr>
          <w:rFonts w:cs="Guttman Rashi" w:hint="eastAsia"/>
          <w:rtl/>
          <w:lang w:bidi="he-IL"/>
        </w:rPr>
        <w:t>ברוב</w:t>
      </w:r>
      <w:r w:rsidRPr="00400C0B">
        <w:rPr>
          <w:rFonts w:cs="Guttman Rashi"/>
          <w:rtl/>
          <w:lang w:bidi="he-IL"/>
        </w:rPr>
        <w:t xml:space="preserve"> </w:t>
      </w:r>
      <w:r w:rsidRPr="00400C0B">
        <w:rPr>
          <w:rFonts w:cs="Guttman Rashi" w:hint="eastAsia"/>
          <w:rtl/>
          <w:lang w:bidi="he-IL"/>
        </w:rPr>
        <w:t>בדבר</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יסוד</w:t>
      </w:r>
      <w:r w:rsidRPr="00400C0B">
        <w:rPr>
          <w:rFonts w:cs="Guttman Rashi"/>
          <w:rtl/>
          <w:lang w:bidi="he-IL"/>
        </w:rPr>
        <w:t xml:space="preserve"> </w:t>
      </w:r>
      <w:r w:rsidRPr="00400C0B">
        <w:rPr>
          <w:rFonts w:cs="Guttman Rashi" w:hint="eastAsia"/>
          <w:rtl/>
          <w:lang w:bidi="he-IL"/>
        </w:rPr>
        <w:t>ההיתר</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מתרבה</w:t>
      </w:r>
      <w:r w:rsidRPr="00400C0B">
        <w:rPr>
          <w:rFonts w:cs="Guttman Rashi"/>
          <w:rtl/>
          <w:lang w:bidi="he-IL"/>
        </w:rPr>
        <w:t xml:space="preserve"> </w:t>
      </w:r>
      <w:r w:rsidRPr="00400C0B">
        <w:rPr>
          <w:rFonts w:cs="Guttman Rashi" w:hint="eastAsia"/>
          <w:rtl/>
          <w:lang w:bidi="he-IL"/>
        </w:rPr>
        <w:t>מידתו</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שנטל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והיינו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בזמן</w:t>
      </w:r>
      <w:r w:rsidRPr="00400C0B">
        <w:rPr>
          <w:rFonts w:cs="Guttman Rashi"/>
          <w:rtl/>
          <w:lang w:bidi="he-IL"/>
        </w:rPr>
        <w:t xml:space="preserve"> </w:t>
      </w:r>
      <w:r w:rsidRPr="00400C0B">
        <w:rPr>
          <w:rFonts w:cs="Guttman Rashi" w:hint="eastAsia"/>
          <w:rtl/>
          <w:lang w:bidi="he-IL"/>
        </w:rPr>
        <w:t>שהיין</w:t>
      </w:r>
      <w:r w:rsidRPr="00400C0B">
        <w:rPr>
          <w:rFonts w:cs="Guttman Rashi"/>
          <w:rtl/>
          <w:lang w:bidi="he-IL"/>
        </w:rPr>
        <w:t xml:space="preserve"> </w:t>
      </w:r>
      <w:r w:rsidRPr="00400C0B">
        <w:rPr>
          <w:rFonts w:cs="Guttman Rashi" w:hint="eastAsia"/>
          <w:rtl/>
          <w:lang w:bidi="he-IL"/>
        </w:rPr>
        <w:t>בגריסין</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שמו</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ואיך</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מדין</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וקשה</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הקיל</w:t>
      </w:r>
      <w:r w:rsidRPr="00400C0B">
        <w:rPr>
          <w:rFonts w:cs="Guttman Rashi"/>
          <w:rtl/>
          <w:lang w:bidi="he-IL"/>
        </w:rPr>
        <w:t xml:space="preserve"> </w:t>
      </w:r>
      <w:r w:rsidRPr="00400C0B">
        <w:rPr>
          <w:rFonts w:cs="Guttman Rashi" w:hint="eastAsia"/>
          <w:rtl/>
          <w:lang w:bidi="he-IL"/>
        </w:rPr>
        <w:t>כשיטת</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יתכן</w:t>
      </w:r>
      <w:r w:rsidRPr="00400C0B">
        <w:rPr>
          <w:rFonts w:cs="Guttman Rashi"/>
          <w:rtl/>
          <w:lang w:bidi="he-IL"/>
        </w:rPr>
        <w:t xml:space="preserve"> </w:t>
      </w:r>
      <w:r w:rsidRPr="00400C0B">
        <w:rPr>
          <w:rFonts w:cs="Guttman Rashi" w:hint="eastAsia"/>
          <w:rtl/>
          <w:lang w:bidi="he-IL"/>
        </w:rPr>
        <w:t>שהרמ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לשיטתו</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החמיר</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דחמץ</w:t>
      </w:r>
      <w:r w:rsidRPr="00400C0B">
        <w:rPr>
          <w:rFonts w:cs="Guttman Rashi"/>
          <w:rtl/>
          <w:lang w:bidi="he-IL"/>
        </w:rPr>
        <w:t xml:space="preserve"> </w:t>
      </w:r>
      <w:r w:rsidRPr="00400C0B">
        <w:rPr>
          <w:rFonts w:cs="Guttman Rashi" w:hint="eastAsia"/>
          <w:rtl/>
          <w:lang w:bidi="he-IL"/>
        </w:rPr>
        <w:t>שמו</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ועדיין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38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ג</w:t>
      </w:r>
    </w:p>
  </w:footnote>
  <w:footnote w:id="38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אומרים</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נפק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במי</w:t>
      </w:r>
      <w:r w:rsidRPr="00400C0B">
        <w:rPr>
          <w:rFonts w:cs="Guttman Rashi"/>
          <w:rtl/>
          <w:lang w:bidi="he-IL"/>
        </w:rPr>
        <w:t xml:space="preserve"> </w:t>
      </w:r>
      <w:r w:rsidRPr="00400C0B">
        <w:rPr>
          <w:rFonts w:cs="Guttman Rashi" w:hint="eastAsia"/>
          <w:rtl/>
          <w:lang w:bidi="he-IL"/>
        </w:rPr>
        <w:t>שבישל</w:t>
      </w:r>
      <w:r w:rsidRPr="00400C0B">
        <w:rPr>
          <w:rFonts w:cs="Guttman Rashi"/>
          <w:rtl/>
          <w:lang w:bidi="he-IL"/>
        </w:rPr>
        <w:t xml:space="preserve"> </w:t>
      </w:r>
      <w:r w:rsidRPr="00400C0B">
        <w:rPr>
          <w:rFonts w:cs="Guttman Rashi" w:hint="eastAsia"/>
          <w:rtl/>
          <w:lang w:bidi="he-IL"/>
        </w:rPr>
        <w:t>במים</w:t>
      </w:r>
      <w:r w:rsidRPr="00400C0B">
        <w:rPr>
          <w:rFonts w:cs="Guttman Rashi"/>
          <w:rtl/>
          <w:lang w:bidi="he-IL"/>
        </w:rPr>
        <w:t xml:space="preserve"> </w:t>
      </w:r>
      <w:r w:rsidRPr="00400C0B">
        <w:rPr>
          <w:rFonts w:cs="Guttman Rashi" w:hint="eastAsia"/>
          <w:rtl/>
          <w:lang w:bidi="he-IL"/>
        </w:rPr>
        <w:t>באמצע</w:t>
      </w:r>
      <w:r w:rsidRPr="00400C0B">
        <w:rPr>
          <w:rFonts w:cs="Guttman Rashi"/>
          <w:rtl/>
          <w:lang w:bidi="he-IL"/>
        </w:rPr>
        <w:t xml:space="preserve"> </w:t>
      </w:r>
      <w:r w:rsidRPr="00400C0B">
        <w:rPr>
          <w:rFonts w:cs="Guttman Rashi" w:hint="eastAsia"/>
          <w:rtl/>
          <w:lang w:bidi="he-IL"/>
        </w:rPr>
        <w:t>הלילה</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שהי</w:t>
      </w:r>
      <w:r w:rsidRPr="00400C0B">
        <w:rPr>
          <w:rFonts w:cs="Guttman Rashi"/>
          <w:rtl/>
          <w:lang w:bidi="he-IL"/>
        </w:rPr>
        <w:t xml:space="preserve">' </w:t>
      </w:r>
      <w:r w:rsidRPr="00400C0B">
        <w:rPr>
          <w:rFonts w:cs="Guttman Rashi" w:hint="eastAsia"/>
          <w:rtl/>
          <w:lang w:bidi="he-IL"/>
        </w:rPr>
        <w:t>מחוץ</w:t>
      </w:r>
      <w:r w:rsidRPr="00400C0B">
        <w:rPr>
          <w:rFonts w:cs="Guttman Rashi"/>
          <w:rtl/>
          <w:lang w:bidi="he-IL"/>
        </w:rPr>
        <w:t xml:space="preserve"> </w:t>
      </w:r>
      <w:r w:rsidRPr="00400C0B">
        <w:rPr>
          <w:rFonts w:cs="Guttman Rashi" w:hint="eastAsia"/>
          <w:rtl/>
          <w:lang w:bidi="he-IL"/>
        </w:rPr>
        <w:t>לכלי</w:t>
      </w:r>
      <w:r w:rsidRPr="00400C0B">
        <w:rPr>
          <w:rFonts w:cs="Guttman Rashi"/>
          <w:rtl/>
          <w:lang w:bidi="he-IL"/>
        </w:rPr>
        <w:t xml:space="preserve"> </w:t>
      </w:r>
      <w:r w:rsidRPr="00400C0B">
        <w:rPr>
          <w:rFonts w:cs="Guttman Rashi" w:hint="eastAsia"/>
          <w:rtl/>
          <w:lang w:bidi="he-IL"/>
        </w:rPr>
        <w:t>לזמן</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לילה</w:t>
      </w:r>
      <w:r w:rsidRPr="00400C0B">
        <w:rPr>
          <w:rFonts w:cs="Guttman Rashi"/>
          <w:rtl/>
          <w:lang w:bidi="he-IL"/>
        </w:rPr>
        <w:t xml:space="preserve"> </w:t>
      </w:r>
      <w:r w:rsidRPr="00400C0B">
        <w:rPr>
          <w:rFonts w:cs="Guttman Rashi" w:hint="eastAsia"/>
          <w:rtl/>
          <w:lang w:bidi="he-IL"/>
        </w:rPr>
        <w:t>שלימה</w:t>
      </w:r>
      <w:r w:rsidRPr="00400C0B">
        <w:rPr>
          <w:rFonts w:cs="Guttman Rashi"/>
          <w:rtl/>
          <w:lang w:bidi="he-IL"/>
        </w:rPr>
        <w:t xml:space="preserve"> </w:t>
      </w:r>
      <w:r w:rsidRPr="00400C0B">
        <w:rPr>
          <w:rFonts w:cs="Guttman Rashi" w:hint="eastAsia"/>
          <w:rtl/>
          <w:lang w:bidi="he-IL"/>
        </w:rPr>
        <w:t>בפגם</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בישל</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ביום</w:t>
      </w:r>
      <w:r w:rsidRPr="00400C0B">
        <w:rPr>
          <w:rFonts w:cs="Guttman Rashi"/>
          <w:rtl/>
          <w:lang w:bidi="he-IL"/>
        </w:rPr>
        <w:t xml:space="preserve">, </w:t>
      </w:r>
      <w:r w:rsidRPr="00400C0B">
        <w:rPr>
          <w:rFonts w:cs="Guttman Rashi" w:hint="eastAsia"/>
          <w:rtl/>
          <w:lang w:bidi="he-IL"/>
        </w:rPr>
        <w:t>ולאחר</w:t>
      </w:r>
      <w:r w:rsidRPr="00400C0B">
        <w:rPr>
          <w:rFonts w:cs="Guttman Rashi"/>
          <w:rtl/>
          <w:lang w:bidi="he-IL"/>
        </w:rPr>
        <w:t xml:space="preserve"> </w:t>
      </w:r>
      <w:r w:rsidRPr="00400C0B">
        <w:rPr>
          <w:rFonts w:cs="Guttman Rashi" w:hint="eastAsia"/>
          <w:rtl/>
          <w:lang w:bidi="he-IL"/>
        </w:rPr>
        <w:t>מכן</w:t>
      </w:r>
      <w:r w:rsidRPr="00400C0B">
        <w:rPr>
          <w:rFonts w:cs="Guttman Rashi"/>
          <w:rtl/>
          <w:lang w:bidi="he-IL"/>
        </w:rPr>
        <w:t xml:space="preserve"> </w:t>
      </w:r>
      <w:r w:rsidRPr="00400C0B">
        <w:rPr>
          <w:rFonts w:cs="Guttman Rashi" w:hint="eastAsia"/>
          <w:rtl/>
          <w:lang w:bidi="he-IL"/>
        </w:rPr>
        <w:t>בישל</w:t>
      </w:r>
      <w:r w:rsidRPr="00400C0B">
        <w:rPr>
          <w:rFonts w:cs="Guttman Rashi"/>
          <w:rtl/>
          <w:lang w:bidi="he-IL"/>
        </w:rPr>
        <w:t xml:space="preserve"> </w:t>
      </w:r>
      <w:r w:rsidRPr="00400C0B">
        <w:rPr>
          <w:rFonts w:cs="Guttman Rashi" w:hint="eastAsia"/>
          <w:rtl/>
          <w:lang w:bidi="he-IL"/>
        </w:rPr>
        <w:t>במים</w:t>
      </w:r>
      <w:r w:rsidRPr="00400C0B">
        <w:rPr>
          <w:rFonts w:cs="Guttman Rashi"/>
          <w:rtl/>
          <w:lang w:bidi="he-IL"/>
        </w:rPr>
        <w:t xml:space="preserve"> </w:t>
      </w:r>
      <w:r w:rsidRPr="00400C0B">
        <w:rPr>
          <w:rFonts w:cs="Guttman Rashi" w:hint="eastAsia"/>
          <w:rtl/>
          <w:lang w:bidi="he-IL"/>
        </w:rPr>
        <w:t>בלילה</w:t>
      </w:r>
      <w:r w:rsidRPr="00400C0B">
        <w:rPr>
          <w:rFonts w:cs="Guttman Rashi"/>
          <w:rtl/>
          <w:lang w:bidi="he-IL"/>
        </w:rPr>
        <w:t xml:space="preserve"> </w:t>
      </w:r>
      <w:r w:rsidRPr="00400C0B">
        <w:rPr>
          <w:rFonts w:cs="Guttman Rashi" w:hint="eastAsia"/>
          <w:rtl/>
          <w:lang w:bidi="he-IL"/>
        </w:rPr>
        <w:t>שלאחרי</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בלילה</w:t>
      </w:r>
      <w:r w:rsidRPr="00400C0B">
        <w:rPr>
          <w:rFonts w:cs="Guttman Rashi"/>
          <w:rtl/>
          <w:lang w:bidi="he-IL"/>
        </w:rPr>
        <w:t xml:space="preserve"> </w:t>
      </w:r>
      <w:r w:rsidRPr="00400C0B">
        <w:rPr>
          <w:rFonts w:cs="Guttman Rashi" w:hint="eastAsia"/>
          <w:rtl/>
          <w:lang w:bidi="he-IL"/>
        </w:rPr>
        <w:t>שאחרי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יהי</w:t>
      </w:r>
      <w:r w:rsidRPr="00400C0B">
        <w:rPr>
          <w:rFonts w:cs="Guttman Rashi"/>
          <w:rtl/>
          <w:lang w:bidi="he-IL"/>
        </w:rPr>
        <w:t xml:space="preserve">' </w:t>
      </w:r>
      <w:r w:rsidRPr="00400C0B">
        <w:rPr>
          <w:rFonts w:cs="Guttman Rashi" w:hint="eastAsia"/>
          <w:rtl/>
          <w:lang w:bidi="he-IL"/>
        </w:rPr>
        <w:t>לפגם</w:t>
      </w:r>
      <w:r w:rsidRPr="00400C0B">
        <w:rPr>
          <w:rFonts w:cs="Guttman Rashi"/>
          <w:rtl/>
          <w:lang w:bidi="he-IL"/>
        </w:rPr>
        <w:t>.</w:t>
      </w:r>
    </w:p>
  </w:footnote>
  <w:footnote w:id="38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ויעוין</w:t>
      </w:r>
      <w:r w:rsidRPr="00400C0B">
        <w:rPr>
          <w:rFonts w:cs="Guttman Rashi"/>
          <w:rtl/>
          <w:lang w:bidi="he-IL"/>
        </w:rPr>
        <w:t xml:space="preserve"> </w:t>
      </w:r>
      <w:r w:rsidRPr="00400C0B">
        <w:rPr>
          <w:rFonts w:cs="Guttman Rashi" w:hint="eastAsia"/>
          <w:rtl/>
          <w:lang w:bidi="he-IL"/>
        </w:rPr>
        <w:t>בחוו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לכלי</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לבלוע</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התערובת</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שצריכים</w:t>
      </w:r>
      <w:r w:rsidRPr="00400C0B">
        <w:rPr>
          <w:rFonts w:cs="Guttman Rashi"/>
          <w:rtl/>
          <w:lang w:bidi="he-IL"/>
        </w:rPr>
        <w:t xml:space="preserve"> </w:t>
      </w:r>
      <w:r w:rsidRPr="00400C0B">
        <w:rPr>
          <w:rFonts w:cs="Guttman Rashi" w:hint="eastAsia"/>
          <w:rtl/>
          <w:lang w:bidi="he-IL"/>
        </w:rPr>
        <w:t>לשער</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הקודם</w:t>
      </w:r>
      <w:r w:rsidRPr="00400C0B">
        <w:rPr>
          <w:rFonts w:cs="Guttman Rashi"/>
          <w:rtl/>
          <w:lang w:bidi="he-IL"/>
        </w:rPr>
        <w:t xml:space="preserve">, </w:t>
      </w:r>
      <w:r w:rsidRPr="00400C0B">
        <w:rPr>
          <w:rFonts w:cs="Guttman Rashi" w:hint="eastAsia"/>
          <w:rtl/>
          <w:lang w:bidi="he-IL"/>
        </w:rPr>
        <w:t>שמסתמא</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נבלע</w:t>
      </w:r>
      <w:r w:rsidRPr="00400C0B">
        <w:rPr>
          <w:rFonts w:cs="Guttman Rashi"/>
          <w:rtl/>
          <w:lang w:bidi="he-IL"/>
        </w:rPr>
        <w:t xml:space="preserve"> </w:t>
      </w:r>
      <w:r w:rsidRPr="00400C0B">
        <w:rPr>
          <w:rFonts w:cs="Guttman Rashi" w:hint="eastAsia"/>
          <w:rtl/>
          <w:lang w:bidi="he-IL"/>
        </w:rPr>
        <w:t>ביחד</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השער</w:t>
      </w:r>
      <w:r w:rsidRPr="00400C0B">
        <w:rPr>
          <w:rFonts w:cs="Guttman Rashi"/>
          <w:rtl/>
          <w:lang w:bidi="he-IL"/>
        </w:rPr>
        <w:t xml:space="preserve">, </w:t>
      </w:r>
      <w:r w:rsidRPr="00400C0B">
        <w:rPr>
          <w:rFonts w:cs="Guttman Rashi" w:hint="eastAsia"/>
          <w:rtl/>
          <w:lang w:bidi="he-IL"/>
        </w:rPr>
        <w:t>ושוב</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הכלל</w:t>
      </w:r>
      <w:r w:rsidRPr="00400C0B">
        <w:rPr>
          <w:rFonts w:cs="Guttman Rashi"/>
          <w:rtl/>
          <w:lang w:bidi="he-IL"/>
        </w:rPr>
        <w:t xml:space="preserve"> </w:t>
      </w:r>
      <w:r w:rsidRPr="00400C0B">
        <w:rPr>
          <w:rFonts w:cs="Guttman Rashi" w:hint="eastAsia"/>
          <w:rtl/>
          <w:lang w:bidi="he-IL"/>
        </w:rPr>
        <w:t>דאין</w:t>
      </w:r>
      <w:r w:rsidRPr="00400C0B">
        <w:rPr>
          <w:rFonts w:cs="Guttman Rashi"/>
          <w:rtl/>
          <w:lang w:bidi="he-IL"/>
        </w:rPr>
        <w:t xml:space="preserve"> </w:t>
      </w:r>
      <w:r w:rsidRPr="00400C0B">
        <w:rPr>
          <w:rFonts w:cs="Guttman Rashi" w:hint="eastAsia"/>
          <w:rtl/>
          <w:lang w:bidi="he-IL"/>
        </w:rPr>
        <w:t>הנאסר</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וכו</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במשמרת</w:t>
      </w:r>
      <w:r w:rsidRPr="00400C0B">
        <w:rPr>
          <w:rFonts w:cs="Guttman Rashi"/>
          <w:rtl/>
          <w:lang w:bidi="he-IL"/>
        </w:rPr>
        <w:t xml:space="preserve"> </w:t>
      </w:r>
      <w:r w:rsidRPr="00400C0B">
        <w:rPr>
          <w:rFonts w:cs="Guttman Rashi" w:hint="eastAsia"/>
          <w:rtl/>
          <w:lang w:bidi="he-IL"/>
        </w:rPr>
        <w:t>שלום</w:t>
      </w:r>
      <w:r w:rsidRPr="00400C0B">
        <w:rPr>
          <w:rFonts w:cs="Guttman Rashi"/>
          <w:rtl/>
          <w:lang w:bidi="he-IL"/>
        </w:rPr>
        <w:t xml:space="preserve"> </w:t>
      </w:r>
      <w:r w:rsidRPr="00400C0B">
        <w:rPr>
          <w:rFonts w:cs="Guttman Rashi" w:hint="eastAsia"/>
          <w:rtl/>
          <w:lang w:bidi="he-IL"/>
        </w:rPr>
        <w:t>למש</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בנד</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בולע</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שנפלט</w:t>
      </w:r>
      <w:r w:rsidRPr="00400C0B">
        <w:rPr>
          <w:rFonts w:cs="Guttman Rashi"/>
          <w:rtl/>
          <w:lang w:bidi="he-IL"/>
        </w:rPr>
        <w:t xml:space="preserve"> </w:t>
      </w:r>
      <w:r w:rsidRPr="00400C0B">
        <w:rPr>
          <w:rFonts w:cs="Guttman Rashi" w:hint="eastAsia"/>
          <w:rtl/>
          <w:lang w:bidi="he-IL"/>
        </w:rPr>
        <w:t>ממנו</w:t>
      </w:r>
      <w:r w:rsidRPr="00400C0B">
        <w:rPr>
          <w:rFonts w:cs="Guttman Rashi"/>
          <w:rtl/>
          <w:lang w:bidi="he-IL"/>
        </w:rPr>
        <w:t xml:space="preserve"> </w:t>
      </w:r>
      <w:r w:rsidRPr="00400C0B">
        <w:rPr>
          <w:rFonts w:cs="Guttman Rashi" w:hint="eastAsia"/>
          <w:rtl/>
          <w:lang w:bidi="he-IL"/>
        </w:rPr>
        <w:t>בשעת</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שהא</w:t>
      </w:r>
      <w:r w:rsidRPr="00400C0B">
        <w:rPr>
          <w:rFonts w:cs="Guttman Rashi"/>
          <w:rtl/>
          <w:lang w:bidi="he-IL"/>
        </w:rPr>
        <w:t xml:space="preserve"> </w:t>
      </w:r>
      <w:r w:rsidRPr="00400C0B">
        <w:rPr>
          <w:rFonts w:cs="Guttman Rashi" w:hint="eastAsia"/>
          <w:rtl/>
          <w:lang w:bidi="he-IL"/>
        </w:rPr>
        <w:t>יצא</w:t>
      </w:r>
      <w:r w:rsidRPr="00400C0B">
        <w:rPr>
          <w:rFonts w:cs="Guttman Rashi"/>
          <w:rtl/>
          <w:lang w:bidi="he-IL"/>
        </w:rPr>
        <w:t xml:space="preserve"> </w:t>
      </w:r>
      <w:r w:rsidRPr="00400C0B">
        <w:rPr>
          <w:rFonts w:cs="Guttman Rashi" w:hint="eastAsia"/>
          <w:rtl/>
          <w:lang w:bidi="he-IL"/>
        </w:rPr>
        <w:t>הכל</w:t>
      </w:r>
      <w:r w:rsidRPr="00400C0B">
        <w:rPr>
          <w:rFonts w:cs="Guttman Rashi"/>
          <w:rtl/>
          <w:lang w:bidi="he-IL"/>
        </w:rPr>
        <w:t xml:space="preserve"> </w:t>
      </w:r>
      <w:r w:rsidRPr="00400C0B">
        <w:rPr>
          <w:rFonts w:cs="Guttman Rashi" w:hint="eastAsia"/>
          <w:rtl/>
          <w:lang w:bidi="he-IL"/>
        </w:rPr>
        <w:t>ממקום</w:t>
      </w:r>
      <w:r w:rsidRPr="00400C0B">
        <w:rPr>
          <w:rFonts w:cs="Guttman Rashi"/>
          <w:rtl/>
          <w:lang w:bidi="he-IL"/>
        </w:rPr>
        <w:t xml:space="preserve"> </w:t>
      </w:r>
      <w:r w:rsidRPr="00400C0B">
        <w:rPr>
          <w:rFonts w:cs="Guttman Rashi" w:hint="eastAsia"/>
          <w:rtl/>
          <w:lang w:bidi="he-IL"/>
        </w:rPr>
        <w:t>הבישול</w:t>
      </w:r>
      <w:r w:rsidRPr="00400C0B">
        <w:rPr>
          <w:rFonts w:cs="Guttman Rashi"/>
          <w:rtl/>
          <w:lang w:bidi="he-IL"/>
        </w:rPr>
        <w:t xml:space="preserve">, </w:t>
      </w:r>
      <w:r w:rsidRPr="00400C0B">
        <w:rPr>
          <w:rFonts w:cs="Guttman Rashi" w:hint="eastAsia"/>
          <w:rtl/>
          <w:lang w:bidi="he-IL"/>
        </w:rPr>
        <w:t>ואי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ליכנס</w:t>
      </w:r>
      <w:r w:rsidRPr="00400C0B">
        <w:rPr>
          <w:rFonts w:cs="Guttman Rashi"/>
          <w:rtl/>
          <w:lang w:bidi="he-IL"/>
        </w:rPr>
        <w:t xml:space="preserve"> </w:t>
      </w:r>
      <w:r w:rsidRPr="00400C0B">
        <w:rPr>
          <w:rFonts w:cs="Guttman Rashi" w:hint="eastAsia"/>
          <w:rtl/>
          <w:lang w:bidi="he-IL"/>
        </w:rPr>
        <w:t>אליו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כשיעור</w:t>
      </w:r>
      <w:r w:rsidRPr="00400C0B">
        <w:rPr>
          <w:rFonts w:cs="Guttman Rashi"/>
          <w:rtl/>
          <w:lang w:bidi="he-IL"/>
        </w:rPr>
        <w:t xml:space="preserve"> </w:t>
      </w:r>
      <w:r w:rsidRPr="00400C0B">
        <w:rPr>
          <w:rFonts w:cs="Guttman Rashi" w:hint="eastAsia"/>
          <w:rtl/>
          <w:lang w:bidi="he-IL"/>
        </w:rPr>
        <w:t>שיצא</w:t>
      </w:r>
      <w:r w:rsidRPr="00400C0B">
        <w:rPr>
          <w:rFonts w:cs="Guttman Rashi"/>
          <w:rtl/>
          <w:lang w:bidi="he-IL"/>
        </w:rPr>
        <w:t xml:space="preserve">, </w:t>
      </w:r>
      <w:r w:rsidRPr="00400C0B">
        <w:rPr>
          <w:rFonts w:cs="Guttman Rashi" w:hint="eastAsia"/>
          <w:rtl/>
          <w:lang w:bidi="he-IL"/>
        </w:rPr>
        <w:t>ובזה</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שנכנס</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חשבון</w:t>
      </w:r>
      <w:r w:rsidRPr="00400C0B">
        <w:rPr>
          <w:rFonts w:cs="Guttman Rashi"/>
          <w:rtl/>
          <w:lang w:bidi="he-IL"/>
        </w:rPr>
        <w:t xml:space="preserve">. </w:t>
      </w:r>
      <w:r w:rsidRPr="00400C0B">
        <w:rPr>
          <w:rFonts w:cs="Guttman Rashi" w:hint="eastAsia"/>
          <w:rtl/>
          <w:lang w:bidi="he-IL"/>
        </w:rPr>
        <w:t>ואכמ</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p>
    <w:p w:rsidR="007978F4" w:rsidRPr="00400C0B" w:rsidRDefault="007978F4" w:rsidP="00B80448">
      <w:pPr>
        <w:pStyle w:val="FootnoteText"/>
        <w:bidi/>
        <w:jc w:val="both"/>
        <w:rPr>
          <w:rFonts w:cs="Guttman Rashi"/>
          <w:rtl/>
          <w:lang w:bidi="he-IL"/>
        </w:rPr>
      </w:pP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מענין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w:t>
      </w:r>
      <w:r w:rsidRPr="00400C0B">
        <w:rPr>
          <w:rFonts w:cs="Guttman Rashi" w:hint="eastAsia"/>
          <w:rtl/>
          <w:lang w:bidi="he-IL"/>
        </w:rPr>
        <w:t>ב</w:t>
      </w:r>
      <w:r w:rsidRPr="00400C0B">
        <w:rPr>
          <w:rFonts w:cs="Guttman Rashi"/>
          <w:rtl/>
          <w:lang w:bidi="he-IL"/>
        </w:rPr>
        <w:t>.</w:t>
      </w:r>
    </w:p>
  </w:footnote>
  <w:footnote w:id="38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ז</w:t>
      </w:r>
    </w:p>
  </w:footnote>
  <w:footnote w:id="38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שהוסיף</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לכתוב</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מתהני</w:t>
      </w:r>
      <w:r w:rsidRPr="00400C0B">
        <w:rPr>
          <w:rFonts w:cs="Guttman Rashi"/>
          <w:rtl/>
          <w:lang w:bidi="he-IL"/>
        </w:rPr>
        <w:t xml:space="preserve"> </w:t>
      </w:r>
      <w:r w:rsidRPr="00400C0B">
        <w:rPr>
          <w:rFonts w:cs="Guttman Rashi" w:hint="eastAsia"/>
          <w:rtl/>
          <w:lang w:bidi="he-IL"/>
        </w:rPr>
        <w:t>איסורא</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עיקר</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דבטיל</w:t>
      </w:r>
      <w:r w:rsidRPr="00400C0B">
        <w:rPr>
          <w:rFonts w:cs="Guttman Rashi"/>
          <w:rtl/>
          <w:lang w:bidi="he-IL"/>
        </w:rPr>
        <w:t xml:space="preserve"> </w:t>
      </w:r>
      <w:r w:rsidRPr="00400C0B">
        <w:rPr>
          <w:rFonts w:cs="Guttman Rashi" w:hint="eastAsia"/>
          <w:rtl/>
          <w:lang w:bidi="he-IL"/>
        </w:rPr>
        <w:t>ברוב</w:t>
      </w:r>
      <w:r w:rsidRPr="00400C0B">
        <w:rPr>
          <w:rFonts w:cs="Guttman Rashi"/>
          <w:rtl/>
          <w:lang w:bidi="he-IL"/>
        </w:rPr>
        <w:t xml:space="preserve">. </w:t>
      </w:r>
      <w:r w:rsidRPr="00400C0B">
        <w:rPr>
          <w:rFonts w:cs="Guttman Rashi" w:hint="eastAsia"/>
          <w:rtl/>
          <w:lang w:bidi="he-IL"/>
        </w:rPr>
        <w:t>ונהי</w:t>
      </w:r>
      <w:r w:rsidRPr="00400C0B">
        <w:rPr>
          <w:rFonts w:cs="Guttman Rashi"/>
          <w:rtl/>
          <w:lang w:bidi="he-IL"/>
        </w:rPr>
        <w:t xml:space="preserve"> </w:t>
      </w:r>
      <w:r w:rsidRPr="00400C0B">
        <w:rPr>
          <w:rFonts w:cs="Guttman Rashi" w:hint="eastAsia"/>
          <w:rtl/>
          <w:lang w:bidi="he-IL"/>
        </w:rPr>
        <w:t>נמי</w:t>
      </w:r>
      <w:r w:rsidRPr="00400C0B">
        <w:rPr>
          <w:rFonts w:cs="Guttman Rashi"/>
          <w:rtl/>
          <w:lang w:bidi="he-IL"/>
        </w:rPr>
        <w:t xml:space="preserve"> </w:t>
      </w:r>
      <w:r w:rsidRPr="00400C0B">
        <w:rPr>
          <w:rFonts w:cs="Guttman Rashi" w:hint="eastAsia"/>
          <w:rtl/>
          <w:lang w:bidi="he-IL"/>
        </w:rPr>
        <w:t>שאפשר</w:t>
      </w:r>
      <w:r w:rsidRPr="00400C0B">
        <w:rPr>
          <w:rFonts w:cs="Guttman Rashi"/>
          <w:rtl/>
          <w:lang w:bidi="he-IL"/>
        </w:rPr>
        <w:t xml:space="preserve"> </w:t>
      </w:r>
      <w:r w:rsidRPr="00400C0B">
        <w:rPr>
          <w:rFonts w:cs="Guttman Rashi" w:hint="eastAsia"/>
          <w:rtl/>
          <w:lang w:bidi="he-IL"/>
        </w:rPr>
        <w:t>לבאר</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נהנה</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בעינן</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לתוספת</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כעת</w:t>
      </w:r>
      <w:r w:rsidRPr="00400C0B">
        <w:rPr>
          <w:rFonts w:cs="Guttman Rashi"/>
          <w:rtl/>
          <w:lang w:bidi="he-IL"/>
        </w:rPr>
        <w:t xml:space="preserve">. </w:t>
      </w:r>
    </w:p>
  </w:footnote>
  <w:footnote w:id="38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יוצא</w:t>
      </w:r>
      <w:r w:rsidRPr="00400C0B">
        <w:rPr>
          <w:rFonts w:cs="Guttman Rashi"/>
          <w:rtl/>
          <w:lang w:bidi="he-IL"/>
        </w:rPr>
        <w:t xml:space="preserve"> </w:t>
      </w:r>
      <w:r w:rsidRPr="00400C0B">
        <w:rPr>
          <w:rFonts w:cs="Guttman Rashi" w:hint="eastAsia"/>
          <w:rtl/>
          <w:lang w:bidi="he-IL"/>
        </w:rPr>
        <w:t>שעיקר</w:t>
      </w:r>
      <w:r w:rsidRPr="00400C0B">
        <w:rPr>
          <w:rFonts w:cs="Guttman Rashi"/>
          <w:rtl/>
          <w:lang w:bidi="he-IL"/>
        </w:rPr>
        <w:t xml:space="preserve"> </w:t>
      </w:r>
      <w:r w:rsidRPr="00400C0B">
        <w:rPr>
          <w:rFonts w:cs="Guttman Rashi" w:hint="eastAsia"/>
          <w:rtl/>
          <w:lang w:bidi="he-IL"/>
        </w:rPr>
        <w:t>המחלוקת</w:t>
      </w:r>
      <w:r w:rsidRPr="00400C0B">
        <w:rPr>
          <w:rFonts w:cs="Guttman Rashi"/>
          <w:rtl/>
          <w:lang w:bidi="he-IL"/>
        </w:rPr>
        <w:t xml:space="preserve"> </w:t>
      </w:r>
      <w:r w:rsidRPr="00400C0B">
        <w:rPr>
          <w:rFonts w:cs="Guttman Rashi" w:hint="eastAsia"/>
          <w:rtl/>
          <w:lang w:bidi="he-IL"/>
        </w:rPr>
        <w:t>ביניהם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המשקין</w:t>
      </w:r>
      <w:r w:rsidRPr="00400C0B">
        <w:rPr>
          <w:rFonts w:cs="Guttman Rashi"/>
          <w:rtl/>
          <w:lang w:bidi="he-IL"/>
        </w:rPr>
        <w:t xml:space="preserve"> </w:t>
      </w:r>
      <w:r w:rsidRPr="00400C0B">
        <w:rPr>
          <w:rFonts w:cs="Guttman Rashi" w:hint="eastAsia"/>
          <w:rtl/>
          <w:lang w:bidi="he-IL"/>
        </w:rPr>
        <w:t>שע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הדגים</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הטור</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מתירין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התייחס</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w:t>
      </w:r>
    </w:p>
  </w:footnote>
  <w:footnote w:id="39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ולשון</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נבילה</w:t>
      </w:r>
      <w:r w:rsidRPr="00400C0B">
        <w:rPr>
          <w:rFonts w:cs="Guttman Rashi"/>
          <w:rtl/>
          <w:lang w:bidi="he-IL"/>
        </w:rPr>
        <w:t xml:space="preserve"> </w:t>
      </w:r>
      <w:r w:rsidRPr="00400C0B">
        <w:rPr>
          <w:rFonts w:cs="Guttman Rashi" w:hint="eastAsia"/>
          <w:rtl/>
          <w:lang w:bidi="he-IL"/>
        </w:rPr>
        <w:t>שמינה</w:t>
      </w:r>
      <w:r w:rsidRPr="00400C0B">
        <w:rPr>
          <w:rFonts w:cs="Guttman Rashi"/>
          <w:rtl/>
          <w:lang w:bidi="he-IL"/>
        </w:rPr>
        <w:t xml:space="preserve"> </w:t>
      </w:r>
      <w:r w:rsidRPr="00400C0B">
        <w:rPr>
          <w:rFonts w:cs="Guttman Rashi" w:hint="eastAsia"/>
          <w:rtl/>
          <w:lang w:bidi="he-IL"/>
        </w:rPr>
        <w:t>ושחוטה</w:t>
      </w:r>
      <w:r w:rsidRPr="00400C0B">
        <w:rPr>
          <w:rFonts w:cs="Guttman Rashi"/>
          <w:rtl/>
          <w:lang w:bidi="he-IL"/>
        </w:rPr>
        <w:t xml:space="preserve"> </w:t>
      </w:r>
      <w:r w:rsidRPr="00400C0B">
        <w:rPr>
          <w:rFonts w:cs="Guttman Rashi" w:hint="eastAsia"/>
          <w:rtl/>
          <w:lang w:bidi="he-IL"/>
        </w:rPr>
        <w:t>כחושה</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שניהם</w:t>
      </w:r>
      <w:r w:rsidRPr="00400C0B">
        <w:rPr>
          <w:rFonts w:cs="Guttman Rashi"/>
          <w:rtl/>
          <w:lang w:bidi="he-IL"/>
        </w:rPr>
        <w:t xml:space="preserve"> </w:t>
      </w:r>
      <w:r w:rsidRPr="00400C0B">
        <w:rPr>
          <w:rFonts w:cs="Guttman Rashi" w:hint="eastAsia"/>
          <w:rtl/>
          <w:lang w:bidi="he-IL"/>
        </w:rPr>
        <w:t>שניהם</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לשמואל</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נקט</w:t>
      </w:r>
      <w:r w:rsidRPr="00400C0B">
        <w:rPr>
          <w:rFonts w:cs="Guttman Rashi"/>
          <w:rtl/>
          <w:lang w:bidi="he-IL"/>
        </w:rPr>
        <w:t xml:space="preserve"> </w:t>
      </w:r>
      <w:r w:rsidRPr="00400C0B">
        <w:rPr>
          <w:rFonts w:cs="Guttman Rashi" w:hint="eastAsia"/>
          <w:rtl/>
          <w:lang w:bidi="he-IL"/>
        </w:rPr>
        <w:t>שחוטה</w:t>
      </w:r>
      <w:r w:rsidRPr="00400C0B">
        <w:rPr>
          <w:rFonts w:cs="Guttman Rashi"/>
          <w:rtl/>
          <w:lang w:bidi="he-IL"/>
        </w:rPr>
        <w:t xml:space="preserve"> </w:t>
      </w:r>
      <w:r w:rsidRPr="00400C0B">
        <w:rPr>
          <w:rFonts w:cs="Guttman Rashi" w:hint="eastAsia"/>
          <w:rtl/>
          <w:lang w:bidi="he-IL"/>
        </w:rPr>
        <w:t>כחושה</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אגב</w:t>
      </w:r>
      <w:r w:rsidRPr="00400C0B">
        <w:rPr>
          <w:rFonts w:cs="Guttman Rashi"/>
          <w:rtl/>
          <w:lang w:bidi="he-IL"/>
        </w:rPr>
        <w:t xml:space="preserve"> </w:t>
      </w:r>
      <w:r w:rsidRPr="00400C0B">
        <w:rPr>
          <w:rFonts w:cs="Guttman Rashi" w:hint="eastAsia"/>
          <w:rtl/>
          <w:lang w:bidi="he-IL"/>
        </w:rPr>
        <w:t>החידוש</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רב</w:t>
      </w:r>
      <w:r w:rsidRPr="00400C0B">
        <w:rPr>
          <w:rFonts w:cs="Guttman Rashi"/>
          <w:rtl/>
          <w:lang w:bidi="he-IL"/>
        </w:rPr>
        <w:t xml:space="preserve"> </w:t>
      </w:r>
      <w:r w:rsidRPr="00400C0B">
        <w:rPr>
          <w:rFonts w:cs="Guttman Rashi" w:hint="eastAsia"/>
          <w:rtl/>
          <w:lang w:bidi="he-IL"/>
        </w:rPr>
        <w:t>שהי</w:t>
      </w:r>
      <w:r w:rsidRPr="00400C0B">
        <w:rPr>
          <w:rFonts w:cs="Guttman Rashi"/>
          <w:rtl/>
          <w:lang w:bidi="he-IL"/>
        </w:rPr>
        <w:t xml:space="preserve">' </w:t>
      </w:r>
      <w:r w:rsidRPr="00400C0B">
        <w:rPr>
          <w:rFonts w:cs="Guttman Rashi" w:hint="eastAsia"/>
          <w:rtl/>
          <w:lang w:bidi="he-IL"/>
        </w:rPr>
        <w:t>להיפך</w:t>
      </w:r>
      <w:r w:rsidRPr="00400C0B">
        <w:rPr>
          <w:rFonts w:cs="Guttman Rashi"/>
          <w:rtl/>
          <w:lang w:bidi="he-IL"/>
        </w:rPr>
        <w:t xml:space="preserve">. </w:t>
      </w:r>
    </w:p>
  </w:footnote>
  <w:footnote w:id="39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א</w:t>
      </w:r>
    </w:p>
  </w:footnote>
  <w:footnote w:id="39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בנוסח</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קצת</w:t>
      </w:r>
      <w:r w:rsidRPr="00400C0B">
        <w:rPr>
          <w:rFonts w:cs="Guttman Rashi"/>
          <w:rtl/>
          <w:lang w:bidi="he-IL"/>
        </w:rPr>
        <w:t xml:space="preserve">, </w:t>
      </w:r>
      <w:r w:rsidRPr="00400C0B">
        <w:rPr>
          <w:rFonts w:cs="Guttman Rashi" w:hint="eastAsia"/>
          <w:rtl/>
          <w:lang w:bidi="he-IL"/>
        </w:rPr>
        <w:t>דריחא</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לכו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מילתא</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לעולם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ריחא</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שכן</w:t>
      </w:r>
      <w:r w:rsidRPr="00400C0B">
        <w:rPr>
          <w:rFonts w:cs="Guttman Rashi"/>
          <w:rtl/>
          <w:lang w:bidi="he-IL"/>
        </w:rPr>
        <w:t xml:space="preserve"> </w:t>
      </w:r>
      <w:r w:rsidRPr="00400C0B">
        <w:rPr>
          <w:rFonts w:cs="Guttman Rashi" w:hint="eastAsia"/>
          <w:rtl/>
          <w:lang w:bidi="he-IL"/>
        </w:rPr>
        <w:t>דקדק</w:t>
      </w:r>
      <w:r w:rsidRPr="00400C0B">
        <w:rPr>
          <w:rFonts w:cs="Guttman Rashi"/>
          <w:rtl/>
          <w:lang w:bidi="he-IL"/>
        </w:rPr>
        <w:t xml:space="preserve"> </w:t>
      </w:r>
      <w:r w:rsidRPr="00400C0B">
        <w:rPr>
          <w:rFonts w:cs="Guttman Rashi" w:hint="eastAsia"/>
          <w:rtl/>
          <w:lang w:bidi="he-IL"/>
        </w:rPr>
        <w:t>הפר</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ריחא</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מילתא</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וראיתי</w:t>
      </w:r>
      <w:r w:rsidRPr="00400C0B">
        <w:rPr>
          <w:rFonts w:cs="Guttman Rashi"/>
          <w:rtl/>
          <w:lang w:bidi="he-IL"/>
        </w:rPr>
        <w:t xml:space="preserve"> </w:t>
      </w:r>
      <w:r w:rsidRPr="00400C0B">
        <w:rPr>
          <w:rFonts w:cs="Guttman Rashi" w:hint="eastAsia"/>
          <w:rtl/>
          <w:lang w:bidi="he-IL"/>
        </w:rPr>
        <w:t>בבדה</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שהעתיק</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הפר</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בפי</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והיא</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בדקדוק</w:t>
      </w:r>
      <w:r w:rsidRPr="00400C0B">
        <w:rPr>
          <w:rFonts w:cs="Guttman Rashi"/>
          <w:rtl/>
          <w:lang w:bidi="he-IL"/>
        </w:rPr>
        <w:t xml:space="preserve">). </w:t>
      </w:r>
    </w:p>
  </w:footnote>
  <w:footnote w:id="39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rtl/>
          <w:lang w:bidi="he-IL"/>
        </w:rPr>
        <w:t xml:space="preserve"> </w:t>
      </w:r>
      <w:r w:rsidRPr="00400C0B">
        <w:rPr>
          <w:rFonts w:cs="Guttman Rashi" w:hint="eastAsia"/>
          <w:rtl/>
          <w:lang w:bidi="he-IL"/>
        </w:rPr>
        <w:t>ושם</w:t>
      </w:r>
      <w:r w:rsidRPr="00400C0B">
        <w:rPr>
          <w:rFonts w:cs="Guttman Rashi"/>
          <w:rtl/>
          <w:lang w:bidi="he-IL"/>
        </w:rPr>
        <w:t xml:space="preserve"> </w:t>
      </w:r>
      <w:r w:rsidRPr="00400C0B">
        <w:rPr>
          <w:rFonts w:cs="Guttman Rashi" w:hint="eastAsia"/>
          <w:rtl/>
          <w:lang w:bidi="he-IL"/>
        </w:rPr>
        <w:t>בבדה</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דר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ממלא</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פי</w:t>
      </w:r>
      <w:r w:rsidRPr="00400C0B">
        <w:rPr>
          <w:rFonts w:cs="Guttman Rashi"/>
          <w:rtl/>
          <w:lang w:bidi="he-IL"/>
        </w:rPr>
        <w:t xml:space="preserve"> </w:t>
      </w:r>
      <w:r w:rsidRPr="00400C0B">
        <w:rPr>
          <w:rFonts w:cs="Guttman Rashi" w:hint="eastAsia"/>
          <w:rtl/>
          <w:lang w:bidi="he-IL"/>
        </w:rPr>
        <w:t>החבית</w:t>
      </w:r>
      <w:r w:rsidRPr="00400C0B">
        <w:rPr>
          <w:rFonts w:cs="Guttman Rashi"/>
          <w:rtl/>
          <w:lang w:bidi="he-IL"/>
        </w:rPr>
        <w:t xml:space="preserve">. </w:t>
      </w:r>
      <w:r w:rsidRPr="00400C0B">
        <w:rPr>
          <w:rFonts w:cs="Guttman Rashi" w:hint="eastAsia"/>
          <w:rtl/>
          <w:lang w:bidi="he-IL"/>
        </w:rPr>
        <w:t>והוכיח</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ממה</w:t>
      </w:r>
      <w:r w:rsidRPr="00400C0B">
        <w:rPr>
          <w:rFonts w:cs="Guttman Rashi"/>
          <w:rtl/>
          <w:lang w:bidi="he-IL"/>
        </w:rPr>
        <w:t xml:space="preserve"> </w:t>
      </w:r>
      <w:r w:rsidRPr="00400C0B">
        <w:rPr>
          <w:rFonts w:cs="Guttman Rashi" w:hint="eastAsia"/>
          <w:rtl/>
          <w:lang w:bidi="he-IL"/>
        </w:rPr>
        <w:t>שמדמה</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נד</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לתנור</w:t>
      </w:r>
      <w:r w:rsidRPr="00400C0B">
        <w:rPr>
          <w:rFonts w:cs="Guttman Rashi"/>
          <w:rtl/>
          <w:lang w:bidi="he-IL"/>
        </w:rPr>
        <w:t xml:space="preserve"> </w:t>
      </w:r>
      <w:r w:rsidRPr="00400C0B">
        <w:rPr>
          <w:rFonts w:cs="Guttman Rashi" w:hint="eastAsia"/>
          <w:rtl/>
          <w:lang w:bidi="he-IL"/>
        </w:rPr>
        <w:t>סתום</w:t>
      </w:r>
      <w:r w:rsidRPr="00400C0B">
        <w:rPr>
          <w:rFonts w:cs="Guttman Rashi"/>
          <w:rtl/>
          <w:lang w:bidi="he-IL"/>
        </w:rPr>
        <w:t xml:space="preserve">. </w:t>
      </w:r>
      <w:r w:rsidRPr="00400C0B">
        <w:rPr>
          <w:rFonts w:cs="Guttman Rashi" w:hint="eastAsia"/>
          <w:rtl/>
          <w:lang w:bidi="he-IL"/>
        </w:rPr>
        <w:t>והנה</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סותם</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פי</w:t>
      </w:r>
      <w:r w:rsidRPr="00400C0B">
        <w:rPr>
          <w:rFonts w:cs="Guttman Rashi"/>
          <w:rtl/>
          <w:lang w:bidi="he-IL"/>
        </w:rPr>
        <w:t xml:space="preserve"> </w:t>
      </w:r>
      <w:r w:rsidRPr="00400C0B">
        <w:rPr>
          <w:rFonts w:cs="Guttman Rashi" w:hint="eastAsia"/>
          <w:rtl/>
          <w:lang w:bidi="he-IL"/>
        </w:rPr>
        <w:t>החבית</w:t>
      </w:r>
      <w:r w:rsidRPr="00400C0B">
        <w:rPr>
          <w:rFonts w:cs="Guttman Rashi"/>
          <w:rtl/>
          <w:lang w:bidi="he-IL"/>
        </w:rPr>
        <w:t>.</w:t>
      </w:r>
      <w:r w:rsidRPr="00400C0B">
        <w:rPr>
          <w:rFonts w:cs="Guttman Rashi" w:hint="eastAsia"/>
          <w:rtl/>
          <w:lang w:bidi="he-IL"/>
        </w:rPr>
        <w:t>ואיכא</w:t>
      </w:r>
      <w:r w:rsidRPr="00400C0B">
        <w:rPr>
          <w:rFonts w:cs="Guttman Rashi"/>
          <w:rtl/>
          <w:lang w:bidi="he-IL"/>
        </w:rPr>
        <w:t xml:space="preserve"> </w:t>
      </w:r>
      <w:r w:rsidRPr="00400C0B">
        <w:rPr>
          <w:rFonts w:cs="Guttman Rashi" w:hint="eastAsia"/>
          <w:rtl/>
          <w:lang w:bidi="he-IL"/>
        </w:rPr>
        <w:t>למימר</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התכוין</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סותם</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פי</w:t>
      </w:r>
      <w:r w:rsidRPr="00400C0B">
        <w:rPr>
          <w:rFonts w:cs="Guttman Rashi"/>
          <w:rtl/>
          <w:lang w:bidi="he-IL"/>
        </w:rPr>
        <w:t xml:space="preserve"> </w:t>
      </w:r>
      <w:r w:rsidRPr="00400C0B">
        <w:rPr>
          <w:rFonts w:cs="Guttman Rashi" w:hint="eastAsia"/>
          <w:rtl/>
          <w:lang w:bidi="he-IL"/>
        </w:rPr>
        <w:t>החבית</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ליין</w:t>
      </w:r>
      <w:r w:rsidRPr="00400C0B">
        <w:rPr>
          <w:rFonts w:cs="Guttman Rashi"/>
          <w:rtl/>
          <w:lang w:bidi="he-IL"/>
        </w:rPr>
        <w:t xml:space="preserve"> </w:t>
      </w:r>
      <w:r w:rsidRPr="00400C0B">
        <w:rPr>
          <w:rFonts w:cs="Guttman Rashi" w:hint="eastAsia"/>
          <w:rtl/>
          <w:lang w:bidi="he-IL"/>
        </w:rPr>
        <w:t>לצאת</w:t>
      </w:r>
      <w:r w:rsidRPr="00400C0B">
        <w:rPr>
          <w:rFonts w:cs="Guttman Rashi"/>
          <w:rtl/>
          <w:lang w:bidi="he-IL"/>
        </w:rPr>
        <w:t xml:space="preserve"> </w:t>
      </w:r>
      <w:r w:rsidRPr="00400C0B">
        <w:rPr>
          <w:rFonts w:cs="Guttman Rashi" w:hint="eastAsia"/>
          <w:rtl/>
          <w:lang w:bidi="he-IL"/>
        </w:rPr>
        <w:t>אא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ניגע</w:t>
      </w:r>
      <w:r w:rsidRPr="00400C0B">
        <w:rPr>
          <w:rFonts w:cs="Guttman Rashi"/>
          <w:rtl/>
          <w:lang w:bidi="he-IL"/>
        </w:rPr>
        <w:t xml:space="preserve"> </w:t>
      </w:r>
      <w:r w:rsidRPr="00400C0B">
        <w:rPr>
          <w:rFonts w:cs="Guttman Rashi" w:hint="eastAsia"/>
          <w:rtl/>
          <w:lang w:bidi="he-IL"/>
        </w:rPr>
        <w:t>בפת</w:t>
      </w:r>
      <w:r w:rsidRPr="00400C0B">
        <w:rPr>
          <w:rFonts w:cs="Guttman Rashi"/>
          <w:rtl/>
          <w:lang w:bidi="he-IL"/>
        </w:rPr>
        <w:t xml:space="preserve">, </w:t>
      </w:r>
      <w:r w:rsidRPr="00400C0B">
        <w:rPr>
          <w:rFonts w:cs="Guttman Rashi" w:hint="eastAsia"/>
          <w:rtl/>
          <w:lang w:bidi="he-IL"/>
        </w:rPr>
        <w:t>ויתכן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יוצא</w:t>
      </w:r>
      <w:r w:rsidRPr="00400C0B">
        <w:rPr>
          <w:rFonts w:cs="Guttman Rashi"/>
          <w:rtl/>
          <w:lang w:bidi="he-IL"/>
        </w:rPr>
        <w:t xml:space="preserve"> </w:t>
      </w:r>
      <w:r w:rsidRPr="00400C0B">
        <w:rPr>
          <w:rFonts w:cs="Guttman Rashi" w:hint="eastAsia"/>
          <w:rtl/>
          <w:lang w:bidi="he-IL"/>
        </w:rPr>
        <w:t>בצדדין</w:t>
      </w:r>
      <w:r w:rsidRPr="00400C0B">
        <w:rPr>
          <w:rFonts w:cs="Guttman Rashi"/>
          <w:rtl/>
          <w:lang w:bidi="he-IL"/>
        </w:rPr>
        <w:t xml:space="preserve"> </w:t>
      </w:r>
      <w:r w:rsidRPr="00400C0B">
        <w:rPr>
          <w:rFonts w:cs="Guttman Rashi" w:hint="eastAsia"/>
          <w:rtl/>
          <w:lang w:bidi="he-IL"/>
        </w:rPr>
        <w:t>איפה</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הפת</w:t>
      </w:r>
      <w:r w:rsidRPr="00400C0B">
        <w:rPr>
          <w:rFonts w:cs="Guttman Rashi"/>
          <w:rtl/>
          <w:lang w:bidi="he-IL"/>
        </w:rPr>
        <w:t xml:space="preserve"> </w:t>
      </w:r>
      <w:r w:rsidRPr="00400C0B">
        <w:rPr>
          <w:rFonts w:cs="Guttman Rashi" w:hint="eastAsia"/>
          <w:rtl/>
          <w:lang w:bidi="he-IL"/>
        </w:rPr>
        <w:t>מונח</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דחוק</w:t>
      </w:r>
      <w:r w:rsidRPr="00400C0B">
        <w:rPr>
          <w:rFonts w:cs="Guttman Rashi"/>
          <w:rtl/>
          <w:lang w:bidi="he-IL"/>
        </w:rPr>
        <w:t xml:space="preserve"> </w:t>
      </w:r>
      <w:r w:rsidRPr="00400C0B">
        <w:rPr>
          <w:rFonts w:cs="Guttman Rashi" w:hint="eastAsia"/>
          <w:rtl/>
          <w:lang w:bidi="he-IL"/>
        </w:rPr>
        <w:t>שיהא</w:t>
      </w:r>
      <w:r w:rsidRPr="00400C0B">
        <w:rPr>
          <w:rFonts w:cs="Guttman Rashi"/>
          <w:rtl/>
          <w:lang w:bidi="he-IL"/>
        </w:rPr>
        <w:t xml:space="preserve"> </w:t>
      </w:r>
      <w:r w:rsidRPr="00400C0B">
        <w:rPr>
          <w:rFonts w:cs="Guttman Rashi" w:hint="eastAsia"/>
          <w:rtl/>
          <w:lang w:bidi="he-IL"/>
        </w:rPr>
        <w:t>סתם</w:t>
      </w:r>
      <w:r w:rsidRPr="00400C0B">
        <w:rPr>
          <w:rFonts w:cs="Guttman Rashi"/>
          <w:rtl/>
          <w:lang w:bidi="he-IL"/>
        </w:rPr>
        <w:t xml:space="preserve"> </w:t>
      </w:r>
      <w:r w:rsidRPr="00400C0B">
        <w:rPr>
          <w:rFonts w:cs="Guttman Rashi" w:hint="eastAsia"/>
          <w:rtl/>
          <w:lang w:bidi="he-IL"/>
        </w:rPr>
        <w:t>פת</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רחב</w:t>
      </w:r>
      <w:r w:rsidRPr="00400C0B">
        <w:rPr>
          <w:rFonts w:cs="Guttman Rashi"/>
          <w:rtl/>
          <w:lang w:bidi="he-IL"/>
        </w:rPr>
        <w:t xml:space="preserve"> </w:t>
      </w:r>
      <w:r w:rsidRPr="00400C0B">
        <w:rPr>
          <w:rFonts w:cs="Guttman Rashi" w:hint="eastAsia"/>
          <w:rtl/>
          <w:lang w:bidi="he-IL"/>
        </w:rPr>
        <w:t>שסותם</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הפה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סתם</w:t>
      </w:r>
      <w:r w:rsidRPr="00400C0B">
        <w:rPr>
          <w:rFonts w:cs="Guttman Rashi"/>
          <w:rtl/>
          <w:lang w:bidi="he-IL"/>
        </w:rPr>
        <w:t xml:space="preserve"> </w:t>
      </w:r>
      <w:r w:rsidRPr="00400C0B">
        <w:rPr>
          <w:rFonts w:cs="Guttman Rashi" w:hint="eastAsia"/>
          <w:rtl/>
          <w:lang w:bidi="he-IL"/>
        </w:rPr>
        <w:t>חבית</w:t>
      </w:r>
      <w:r w:rsidRPr="00400C0B">
        <w:rPr>
          <w:rFonts w:cs="Guttman Rashi"/>
          <w:rtl/>
          <w:lang w:bidi="he-IL"/>
        </w:rPr>
        <w:t xml:space="preserve">. </w:t>
      </w:r>
      <w:r w:rsidRPr="00400C0B">
        <w:rPr>
          <w:rFonts w:cs="Guttman Rashi" w:hint="eastAsia"/>
          <w:rtl/>
          <w:lang w:bidi="he-IL"/>
        </w:rPr>
        <w:t>ולענין</w:t>
      </w:r>
      <w:r w:rsidRPr="00400C0B">
        <w:rPr>
          <w:rFonts w:cs="Guttman Rashi"/>
          <w:rtl/>
          <w:lang w:bidi="he-IL"/>
        </w:rPr>
        <w:t xml:space="preserve"> </w:t>
      </w:r>
      <w:r w:rsidRPr="00400C0B">
        <w:rPr>
          <w:rFonts w:cs="Guttman Rashi" w:hint="eastAsia"/>
          <w:rtl/>
          <w:lang w:bidi="he-IL"/>
        </w:rPr>
        <w:t>הדוגמא</w:t>
      </w:r>
      <w:r w:rsidRPr="00400C0B">
        <w:rPr>
          <w:rFonts w:cs="Guttman Rashi"/>
          <w:rtl/>
          <w:lang w:bidi="he-IL"/>
        </w:rPr>
        <w:t xml:space="preserve"> </w:t>
      </w:r>
      <w:r w:rsidRPr="00400C0B">
        <w:rPr>
          <w:rFonts w:cs="Guttman Rashi" w:hint="eastAsia"/>
          <w:rtl/>
          <w:lang w:bidi="he-IL"/>
        </w:rPr>
        <w:t>לתנור</w:t>
      </w:r>
      <w:r w:rsidRPr="00400C0B">
        <w:rPr>
          <w:rFonts w:cs="Guttman Rashi"/>
          <w:rtl/>
          <w:lang w:bidi="he-IL"/>
        </w:rPr>
        <w:t xml:space="preserve"> </w:t>
      </w:r>
      <w:r w:rsidRPr="00400C0B">
        <w:rPr>
          <w:rFonts w:cs="Guttman Rashi" w:hint="eastAsia"/>
          <w:rtl/>
          <w:lang w:bidi="he-IL"/>
        </w:rPr>
        <w:t>סתום</w:t>
      </w:r>
      <w:r w:rsidRPr="00400C0B">
        <w:rPr>
          <w:rFonts w:cs="Guttman Rashi"/>
          <w:rtl/>
          <w:lang w:bidi="he-IL"/>
        </w:rPr>
        <w:t xml:space="preserve"> </w:t>
      </w:r>
      <w:r w:rsidRPr="00400C0B">
        <w:rPr>
          <w:rFonts w:cs="Guttman Rashi" w:hint="eastAsia"/>
          <w:rtl/>
          <w:lang w:bidi="he-IL"/>
        </w:rPr>
        <w:t>איכא</w:t>
      </w:r>
      <w:r w:rsidRPr="00400C0B">
        <w:rPr>
          <w:rFonts w:cs="Guttman Rashi"/>
          <w:rtl/>
          <w:lang w:bidi="he-IL"/>
        </w:rPr>
        <w:t xml:space="preserve"> </w:t>
      </w:r>
      <w:r w:rsidRPr="00400C0B">
        <w:rPr>
          <w:rFonts w:cs="Guttman Rashi" w:hint="eastAsia"/>
          <w:rtl/>
          <w:lang w:bidi="he-IL"/>
        </w:rPr>
        <w:t>למימר</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מכאן</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מקרים</w:t>
      </w:r>
      <w:r w:rsidRPr="00400C0B">
        <w:rPr>
          <w:rFonts w:cs="Guttman Rashi"/>
          <w:rtl/>
          <w:lang w:bidi="he-IL"/>
        </w:rPr>
        <w:t xml:space="preserve"> </w:t>
      </w:r>
      <w:r w:rsidRPr="00400C0B">
        <w:rPr>
          <w:rFonts w:cs="Guttman Rashi" w:hint="eastAsia"/>
          <w:rtl/>
          <w:lang w:bidi="he-IL"/>
        </w:rPr>
        <w:t>דאמרינן</w:t>
      </w:r>
      <w:r w:rsidRPr="00400C0B">
        <w:rPr>
          <w:rFonts w:cs="Guttman Rashi"/>
          <w:rtl/>
          <w:lang w:bidi="he-IL"/>
        </w:rPr>
        <w:t xml:space="preserve"> </w:t>
      </w:r>
      <w:r w:rsidRPr="00400C0B">
        <w:rPr>
          <w:rFonts w:cs="Guttman Rashi" w:hint="eastAsia"/>
          <w:rtl/>
          <w:lang w:bidi="he-IL"/>
        </w:rPr>
        <w:t>בהם</w:t>
      </w:r>
      <w:r w:rsidRPr="00400C0B">
        <w:rPr>
          <w:rFonts w:cs="Guttman Rashi"/>
          <w:rtl/>
          <w:lang w:bidi="he-IL"/>
        </w:rPr>
        <w:t xml:space="preserve"> </w:t>
      </w:r>
      <w:r w:rsidRPr="00400C0B">
        <w:rPr>
          <w:rFonts w:cs="Guttman Rashi" w:hint="eastAsia"/>
          <w:rtl/>
          <w:lang w:bidi="he-IL"/>
        </w:rPr>
        <w:t>ריחא</w:t>
      </w:r>
      <w:r w:rsidRPr="00400C0B">
        <w:rPr>
          <w:rFonts w:cs="Guttman Rashi"/>
          <w:rtl/>
          <w:lang w:bidi="he-IL"/>
        </w:rPr>
        <w:t xml:space="preserve"> </w:t>
      </w:r>
      <w:r w:rsidRPr="00400C0B">
        <w:rPr>
          <w:rFonts w:cs="Guttman Rashi" w:hint="eastAsia"/>
          <w:rtl/>
          <w:lang w:bidi="he-IL"/>
        </w:rPr>
        <w:t>מילתא</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לדידן</w:t>
      </w:r>
      <w:r w:rsidRPr="00400C0B">
        <w:rPr>
          <w:rFonts w:cs="Guttman Rashi"/>
          <w:rtl/>
          <w:lang w:bidi="he-IL"/>
        </w:rPr>
        <w:t xml:space="preserve"> </w:t>
      </w:r>
      <w:r w:rsidRPr="00400C0B">
        <w:rPr>
          <w:rFonts w:cs="Guttman Rashi" w:hint="eastAsia"/>
          <w:rtl/>
          <w:lang w:bidi="he-IL"/>
        </w:rPr>
        <w:t>דקיי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כלוי</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בתנור</w:t>
      </w:r>
      <w:r w:rsidRPr="00400C0B">
        <w:rPr>
          <w:rFonts w:cs="Guttman Rashi"/>
          <w:rtl/>
          <w:lang w:bidi="he-IL"/>
        </w:rPr>
        <w:t xml:space="preserve"> </w:t>
      </w:r>
      <w:r w:rsidRPr="00400C0B">
        <w:rPr>
          <w:rFonts w:cs="Guttman Rashi" w:hint="eastAsia"/>
          <w:rtl/>
          <w:lang w:bidi="he-IL"/>
        </w:rPr>
        <w:t>אסרינן</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ריחא</w:t>
      </w:r>
      <w:r w:rsidRPr="00400C0B">
        <w:rPr>
          <w:rFonts w:cs="Guttman Rashi"/>
          <w:rtl/>
          <w:lang w:bidi="he-IL"/>
        </w:rPr>
        <w:t xml:space="preserve"> </w:t>
      </w:r>
      <w:r w:rsidRPr="00400C0B">
        <w:rPr>
          <w:rFonts w:cs="Guttman Rashi" w:hint="eastAsia"/>
          <w:rtl/>
          <w:lang w:bidi="he-IL"/>
        </w:rPr>
        <w:t>מילתא</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תנור</w:t>
      </w:r>
      <w:r w:rsidRPr="00400C0B">
        <w:rPr>
          <w:rFonts w:cs="Guttman Rashi"/>
          <w:rtl/>
          <w:lang w:bidi="he-IL"/>
        </w:rPr>
        <w:t xml:space="preserve"> </w:t>
      </w:r>
      <w:r w:rsidRPr="00400C0B">
        <w:rPr>
          <w:rFonts w:cs="Guttman Rashi" w:hint="eastAsia"/>
          <w:rtl/>
          <w:lang w:bidi="he-IL"/>
        </w:rPr>
        <w:t>גדול</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סתום</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מדמה</w:t>
      </w:r>
      <w:r w:rsidRPr="00400C0B">
        <w:rPr>
          <w:rFonts w:cs="Guttman Rashi"/>
          <w:rtl/>
          <w:lang w:bidi="he-IL"/>
        </w:rPr>
        <w:t xml:space="preserve"> </w:t>
      </w:r>
      <w:r w:rsidRPr="00400C0B">
        <w:rPr>
          <w:rFonts w:cs="Guttman Rashi" w:hint="eastAsia"/>
          <w:rtl/>
          <w:lang w:bidi="he-IL"/>
        </w:rPr>
        <w:t>לפת</w:t>
      </w:r>
      <w:r w:rsidRPr="00400C0B">
        <w:rPr>
          <w:rFonts w:cs="Guttman Rashi"/>
          <w:rtl/>
          <w:lang w:bidi="he-IL"/>
        </w:rPr>
        <w:t xml:space="preserve"> </w:t>
      </w:r>
      <w:r w:rsidRPr="00400C0B">
        <w:rPr>
          <w:rFonts w:cs="Guttman Rashi" w:hint="eastAsia"/>
          <w:rtl/>
          <w:lang w:bidi="he-IL"/>
        </w:rPr>
        <w:t>חמה</w:t>
      </w:r>
      <w:r w:rsidRPr="00400C0B">
        <w:rPr>
          <w:rFonts w:cs="Guttman Rashi"/>
          <w:rtl/>
          <w:lang w:bidi="he-IL"/>
        </w:rPr>
        <w:t xml:space="preserve"> </w:t>
      </w:r>
      <w:r w:rsidRPr="00400C0B">
        <w:rPr>
          <w:rFonts w:cs="Guttman Rashi" w:hint="eastAsia"/>
          <w:rtl/>
          <w:lang w:bidi="he-IL"/>
        </w:rPr>
        <w:t>וחבית</w:t>
      </w:r>
      <w:r w:rsidRPr="00400C0B">
        <w:rPr>
          <w:rFonts w:cs="Guttman Rashi"/>
          <w:rtl/>
          <w:lang w:bidi="he-IL"/>
        </w:rPr>
        <w:t xml:space="preserve"> </w:t>
      </w:r>
      <w:r w:rsidRPr="00400C0B">
        <w:rPr>
          <w:rFonts w:cs="Guttman Rashi" w:hint="eastAsia"/>
          <w:rtl/>
          <w:lang w:bidi="he-IL"/>
        </w:rPr>
        <w:t>סתומה</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בחבית</w:t>
      </w:r>
      <w:r w:rsidRPr="00400C0B">
        <w:rPr>
          <w:rFonts w:cs="Guttman Rashi"/>
          <w:rtl/>
          <w:lang w:bidi="he-IL"/>
        </w:rPr>
        <w:t xml:space="preserve"> </w:t>
      </w:r>
      <w:r w:rsidRPr="00400C0B">
        <w:rPr>
          <w:rFonts w:cs="Guttman Rashi" w:hint="eastAsia"/>
          <w:rtl/>
          <w:lang w:bidi="he-IL"/>
        </w:rPr>
        <w:t>סתומה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ענין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סתימת</w:t>
      </w:r>
      <w:r w:rsidRPr="00400C0B">
        <w:rPr>
          <w:rFonts w:cs="Guttman Rashi"/>
          <w:rtl/>
          <w:lang w:bidi="he-IL"/>
        </w:rPr>
        <w:t xml:space="preserve"> </w:t>
      </w:r>
      <w:r w:rsidRPr="00400C0B">
        <w:rPr>
          <w:rFonts w:cs="Guttman Rashi" w:hint="eastAsia"/>
          <w:rtl/>
          <w:lang w:bidi="he-IL"/>
        </w:rPr>
        <w:t>פי</w:t>
      </w:r>
      <w:r w:rsidRPr="00400C0B">
        <w:rPr>
          <w:rFonts w:cs="Guttman Rashi"/>
          <w:rtl/>
          <w:lang w:bidi="he-IL"/>
        </w:rPr>
        <w:t xml:space="preserve"> </w:t>
      </w:r>
      <w:r w:rsidRPr="00400C0B">
        <w:rPr>
          <w:rFonts w:cs="Guttman Rashi" w:hint="eastAsia"/>
          <w:rtl/>
          <w:lang w:bidi="he-IL"/>
        </w:rPr>
        <w:t>החבית</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החבית</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סתומה</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כעת</w:t>
      </w:r>
      <w:r w:rsidRPr="00400C0B">
        <w:rPr>
          <w:rFonts w:cs="Guttman Rashi"/>
          <w:rtl/>
          <w:lang w:bidi="he-IL"/>
        </w:rPr>
        <w:t>.</w:t>
      </w:r>
    </w:p>
  </w:footnote>
  <w:footnote w:id="39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ובב</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מובא</w:t>
      </w:r>
      <w:r w:rsidRPr="00400C0B">
        <w:rPr>
          <w:rFonts w:cs="Guttman Rashi"/>
          <w:rtl/>
          <w:lang w:bidi="he-IL"/>
        </w:rPr>
        <w:t xml:space="preserve"> </w:t>
      </w:r>
      <w:r w:rsidRPr="00400C0B">
        <w:rPr>
          <w:rFonts w:cs="Guttman Rashi" w:hint="eastAsia"/>
          <w:rtl/>
          <w:lang w:bidi="he-IL"/>
        </w:rPr>
        <w:t>שיטה</w:t>
      </w:r>
      <w:r w:rsidRPr="00400C0B">
        <w:rPr>
          <w:rFonts w:cs="Guttman Rashi"/>
          <w:rtl/>
          <w:lang w:bidi="he-IL"/>
        </w:rPr>
        <w:t xml:space="preserve"> </w:t>
      </w:r>
      <w:r w:rsidRPr="00400C0B">
        <w:rPr>
          <w:rFonts w:cs="Guttman Rashi" w:hint="eastAsia"/>
          <w:rtl/>
          <w:lang w:bidi="he-IL"/>
        </w:rPr>
        <w:t>הסוברת</w:t>
      </w:r>
      <w:r w:rsidRPr="00400C0B">
        <w:rPr>
          <w:rFonts w:cs="Guttman Rashi"/>
          <w:rtl/>
          <w:lang w:bidi="he-IL"/>
        </w:rPr>
        <w:t xml:space="preserve"> </w:t>
      </w:r>
      <w:r w:rsidRPr="00400C0B">
        <w:rPr>
          <w:rFonts w:cs="Guttman Rashi" w:hint="eastAsia"/>
          <w:rtl/>
          <w:lang w:bidi="he-IL"/>
        </w:rPr>
        <w:t>להיפך</w:t>
      </w:r>
      <w:r w:rsidRPr="00400C0B">
        <w:rPr>
          <w:rFonts w:cs="Guttman Rashi"/>
          <w:rtl/>
          <w:lang w:bidi="he-IL"/>
        </w:rPr>
        <w:t xml:space="preserve">, </w:t>
      </w:r>
      <w:r w:rsidRPr="00400C0B">
        <w:rPr>
          <w:rFonts w:cs="Guttman Rashi" w:hint="eastAsia"/>
          <w:rtl/>
          <w:lang w:bidi="he-IL"/>
        </w:rPr>
        <w:t>שרק</w:t>
      </w:r>
      <w:r w:rsidRPr="00400C0B">
        <w:rPr>
          <w:rFonts w:cs="Guttman Rashi"/>
          <w:rtl/>
          <w:lang w:bidi="he-IL"/>
        </w:rPr>
        <w:t xml:space="preserve"> </w:t>
      </w:r>
      <w:r w:rsidRPr="00400C0B">
        <w:rPr>
          <w:rFonts w:cs="Guttman Rashi" w:hint="eastAsia"/>
          <w:rtl/>
          <w:lang w:bidi="he-IL"/>
        </w:rPr>
        <w:t>בתנור</w:t>
      </w:r>
      <w:r w:rsidRPr="00400C0B">
        <w:rPr>
          <w:rFonts w:cs="Guttman Rashi"/>
          <w:rtl/>
          <w:lang w:bidi="he-IL"/>
        </w:rPr>
        <w:t xml:space="preserve"> </w:t>
      </w:r>
      <w:r w:rsidRPr="00400C0B">
        <w:rPr>
          <w:rFonts w:cs="Guttman Rashi" w:hint="eastAsia"/>
          <w:rtl/>
          <w:lang w:bidi="he-IL"/>
        </w:rPr>
        <w:t>גדול</w:t>
      </w:r>
      <w:r w:rsidRPr="00400C0B">
        <w:rPr>
          <w:rFonts w:cs="Guttman Rashi"/>
          <w:rtl/>
          <w:lang w:bidi="he-IL"/>
        </w:rPr>
        <w:t xml:space="preserve"> </w:t>
      </w:r>
      <w:r w:rsidRPr="00400C0B">
        <w:rPr>
          <w:rFonts w:cs="Guttman Rashi" w:hint="eastAsia"/>
          <w:rtl/>
          <w:lang w:bidi="he-IL"/>
        </w:rPr>
        <w:t>נחלקו</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בתנור</w:t>
      </w:r>
      <w:r w:rsidRPr="00400C0B">
        <w:rPr>
          <w:rFonts w:cs="Guttman Rashi"/>
          <w:rtl/>
          <w:lang w:bidi="he-IL"/>
        </w:rPr>
        <w:t xml:space="preserve"> </w:t>
      </w:r>
      <w:r w:rsidRPr="00400C0B">
        <w:rPr>
          <w:rFonts w:cs="Guttman Rashi" w:hint="eastAsia"/>
          <w:rtl/>
          <w:lang w:bidi="he-IL"/>
        </w:rPr>
        <w:t>קטן</w:t>
      </w:r>
      <w:r w:rsidRPr="00400C0B">
        <w:rPr>
          <w:rFonts w:cs="Guttman Rashi"/>
          <w:rtl/>
          <w:lang w:bidi="he-IL"/>
        </w:rPr>
        <w:t xml:space="preserve"> </w:t>
      </w:r>
      <w:r w:rsidRPr="00400C0B">
        <w:rPr>
          <w:rFonts w:cs="Guttman Rashi" w:hint="eastAsia"/>
          <w:rtl/>
          <w:lang w:bidi="he-IL"/>
        </w:rPr>
        <w:t>לכו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ריחא</w:t>
      </w:r>
      <w:r w:rsidRPr="00400C0B">
        <w:rPr>
          <w:rFonts w:cs="Guttman Rashi"/>
          <w:rtl/>
          <w:lang w:bidi="he-IL"/>
        </w:rPr>
        <w:t xml:space="preserve"> </w:t>
      </w:r>
      <w:r w:rsidRPr="00400C0B">
        <w:rPr>
          <w:rFonts w:cs="Guttman Rashi" w:hint="eastAsia"/>
          <w:rtl/>
          <w:lang w:bidi="he-IL"/>
        </w:rPr>
        <w:t>מילתא</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והב</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דחה</w:t>
      </w:r>
      <w:r w:rsidRPr="00400C0B">
        <w:rPr>
          <w:rFonts w:cs="Guttman Rashi"/>
          <w:rtl/>
          <w:lang w:bidi="he-IL"/>
        </w:rPr>
        <w:t xml:space="preserve"> </w:t>
      </w:r>
      <w:r w:rsidRPr="00400C0B">
        <w:rPr>
          <w:rFonts w:cs="Guttman Rashi" w:hint="eastAsia"/>
          <w:rtl/>
          <w:lang w:bidi="he-IL"/>
        </w:rPr>
        <w:t>שיטה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בחידושי</w:t>
      </w:r>
      <w:r w:rsidRPr="00400C0B">
        <w:rPr>
          <w:rFonts w:cs="Guttman Rashi"/>
          <w:rtl/>
          <w:lang w:bidi="he-IL"/>
        </w:rPr>
        <w:t xml:space="preserve"> </w:t>
      </w:r>
      <w:r w:rsidRPr="00400C0B">
        <w:rPr>
          <w:rFonts w:cs="Guttman Rashi" w:hint="eastAsia"/>
          <w:rtl/>
          <w:lang w:bidi="he-IL"/>
        </w:rPr>
        <w:t>הגהות</w:t>
      </w:r>
      <w:r w:rsidRPr="00400C0B">
        <w:rPr>
          <w:rFonts w:cs="Guttman Rashi"/>
          <w:rtl/>
          <w:lang w:bidi="he-IL"/>
        </w:rPr>
        <w:t>.</w:t>
      </w:r>
    </w:p>
  </w:footnote>
  <w:footnote w:id="39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בהוצאת</w:t>
      </w:r>
      <w:r w:rsidRPr="00400C0B">
        <w:rPr>
          <w:rFonts w:cs="Guttman Rashi"/>
          <w:rtl/>
          <w:lang w:bidi="he-IL"/>
        </w:rPr>
        <w:t xml:space="preserve"> </w:t>
      </w:r>
      <w:r w:rsidRPr="00400C0B">
        <w:rPr>
          <w:rFonts w:cs="Guttman Rashi" w:hint="eastAsia"/>
          <w:rtl/>
          <w:lang w:bidi="he-IL"/>
        </w:rPr>
        <w:t>מכ</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ציינו</w:t>
      </w:r>
      <w:r w:rsidRPr="00400C0B">
        <w:rPr>
          <w:rFonts w:cs="Guttman Rashi"/>
          <w:rtl/>
          <w:lang w:bidi="he-IL"/>
        </w:rPr>
        <w:t xml:space="preserve"> </w:t>
      </w:r>
      <w:r w:rsidRPr="00400C0B">
        <w:rPr>
          <w:rFonts w:cs="Guttman Rashi" w:hint="eastAsia"/>
          <w:rtl/>
          <w:lang w:bidi="he-IL"/>
        </w:rPr>
        <w:t>לדין</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זהו</w:t>
      </w:r>
      <w:r w:rsidRPr="00400C0B">
        <w:rPr>
          <w:rFonts w:cs="Guttman Rashi"/>
          <w:rtl/>
          <w:lang w:bidi="he-IL"/>
        </w:rPr>
        <w:t xml:space="preserve"> </w:t>
      </w:r>
      <w:r w:rsidRPr="00400C0B">
        <w:rPr>
          <w:rFonts w:cs="Guttman Rashi" w:hint="eastAsia"/>
          <w:rtl/>
          <w:lang w:bidi="he-IL"/>
        </w:rPr>
        <w:t>המקור</w:t>
      </w:r>
      <w:r w:rsidRPr="00400C0B">
        <w:rPr>
          <w:rFonts w:cs="Guttman Rashi"/>
          <w:rtl/>
          <w:lang w:bidi="he-IL"/>
        </w:rPr>
        <w:t xml:space="preserve"> </w:t>
      </w:r>
      <w:r w:rsidRPr="00400C0B">
        <w:rPr>
          <w:rFonts w:cs="Guttman Rashi" w:hint="eastAsia"/>
          <w:rtl/>
          <w:lang w:bidi="he-IL"/>
        </w:rPr>
        <w:t>לדברי</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שבסמוך</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לדין</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מביאור</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ט</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שהאו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לשיטתו</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לשיטה</w:t>
      </w:r>
      <w:r w:rsidRPr="00400C0B">
        <w:rPr>
          <w:rFonts w:cs="Guttman Rashi"/>
          <w:rtl/>
          <w:lang w:bidi="he-IL"/>
        </w:rPr>
        <w:t xml:space="preserve"> </w:t>
      </w:r>
      <w:r w:rsidRPr="00400C0B">
        <w:rPr>
          <w:rFonts w:cs="Guttman Rashi" w:hint="eastAsia"/>
          <w:rtl/>
          <w:lang w:bidi="he-IL"/>
        </w:rPr>
        <w:t>אחרת</w:t>
      </w:r>
      <w:r w:rsidRPr="00400C0B">
        <w:rPr>
          <w:rFonts w:cs="Guttman Rashi"/>
          <w:rtl/>
          <w:lang w:bidi="he-IL"/>
        </w:rPr>
        <w:t xml:space="preserve"> </w:t>
      </w:r>
      <w:r w:rsidRPr="00400C0B">
        <w:rPr>
          <w:rFonts w:cs="Guttman Rashi" w:hint="eastAsia"/>
          <w:rtl/>
          <w:lang w:bidi="he-IL"/>
        </w:rPr>
        <w:t>המוזכר</w:t>
      </w:r>
      <w:r w:rsidRPr="00400C0B">
        <w:rPr>
          <w:rFonts w:cs="Guttman Rashi"/>
          <w:rtl/>
          <w:lang w:bidi="he-IL"/>
        </w:rPr>
        <w:t xml:space="preserve"> </w:t>
      </w:r>
      <w:r w:rsidRPr="00400C0B">
        <w:rPr>
          <w:rFonts w:cs="Guttman Rashi" w:hint="eastAsia"/>
          <w:rtl/>
          <w:lang w:bidi="he-IL"/>
        </w:rPr>
        <w:t>מקודם</w:t>
      </w:r>
      <w:r w:rsidRPr="00400C0B">
        <w:rPr>
          <w:rFonts w:cs="Guttman Rashi"/>
          <w:rtl/>
          <w:lang w:bidi="he-IL"/>
        </w:rPr>
        <w:t>.</w:t>
      </w:r>
    </w:p>
  </w:footnote>
  <w:footnote w:id="39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והנה</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באיסור</w:t>
      </w:r>
      <w:r w:rsidRPr="00400C0B">
        <w:rPr>
          <w:rFonts w:cs="Guttman Rashi"/>
          <w:rtl/>
          <w:lang w:bidi="he-IL"/>
        </w:rPr>
        <w:t xml:space="preserve"> </w:t>
      </w:r>
      <w:r w:rsidRPr="00400C0B">
        <w:rPr>
          <w:rFonts w:cs="Guttman Rashi" w:hint="eastAsia"/>
          <w:rtl/>
          <w:lang w:bidi="he-IL"/>
        </w:rPr>
        <w:t>והיתר</w:t>
      </w:r>
      <w:r w:rsidRPr="00400C0B">
        <w:rPr>
          <w:rFonts w:cs="Guttman Rashi"/>
          <w:rtl/>
          <w:lang w:bidi="he-IL"/>
        </w:rPr>
        <w:t xml:space="preserve"> </w:t>
      </w:r>
      <w:r w:rsidRPr="00400C0B">
        <w:rPr>
          <w:rFonts w:cs="Guttman Rashi" w:hint="eastAsia"/>
          <w:rtl/>
          <w:lang w:bidi="he-IL"/>
        </w:rPr>
        <w:t>שנצלו</w:t>
      </w:r>
      <w:r w:rsidRPr="00400C0B">
        <w:rPr>
          <w:rFonts w:cs="Guttman Rashi"/>
          <w:rtl/>
          <w:lang w:bidi="he-IL"/>
        </w:rPr>
        <w:t xml:space="preserve"> </w:t>
      </w:r>
      <w:r w:rsidRPr="00400C0B">
        <w:rPr>
          <w:rFonts w:cs="Guttman Rashi" w:hint="eastAsia"/>
          <w:rtl/>
          <w:lang w:bidi="he-IL"/>
        </w:rPr>
        <w:t>ביחד</w:t>
      </w:r>
      <w:r w:rsidRPr="00400C0B">
        <w:rPr>
          <w:rFonts w:cs="Guttman Rashi"/>
          <w:rtl/>
          <w:lang w:bidi="he-IL"/>
        </w:rPr>
        <w:t xml:space="preserve"> </w:t>
      </w:r>
      <w:r w:rsidRPr="00400C0B">
        <w:rPr>
          <w:rFonts w:cs="Guttman Rashi" w:hint="eastAsia"/>
          <w:rtl/>
          <w:lang w:bidi="he-IL"/>
        </w:rPr>
        <w:t>אסר</w:t>
      </w:r>
      <w:r w:rsidRPr="00400C0B">
        <w:rPr>
          <w:rFonts w:cs="Guttman Rashi"/>
          <w:rtl/>
          <w:lang w:bidi="he-IL"/>
        </w:rPr>
        <w:t xml:space="preserve"> </w:t>
      </w:r>
      <w:r w:rsidRPr="00400C0B">
        <w:rPr>
          <w:rFonts w:cs="Guttman Rashi" w:hint="eastAsia"/>
          <w:rtl/>
          <w:lang w:bidi="he-IL"/>
        </w:rPr>
        <w:t>בדיעבד</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בבב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אסר</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לאכלו</w:t>
      </w:r>
      <w:r w:rsidRPr="00400C0B">
        <w:rPr>
          <w:rFonts w:cs="Guttman Rashi"/>
          <w:rtl/>
          <w:lang w:bidi="he-IL"/>
        </w:rPr>
        <w:t xml:space="preserve"> </w:t>
      </w:r>
      <w:r w:rsidRPr="00400C0B">
        <w:rPr>
          <w:rFonts w:cs="Guttman Rashi" w:hint="eastAsia"/>
          <w:rtl/>
          <w:lang w:bidi="he-IL"/>
        </w:rPr>
        <w:t>במילחא</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באו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אסרינן</w:t>
      </w:r>
      <w:r w:rsidRPr="00400C0B">
        <w:rPr>
          <w:rFonts w:cs="Guttman Rashi"/>
          <w:rtl/>
          <w:lang w:bidi="he-IL"/>
        </w:rPr>
        <w:t xml:space="preserve"> </w:t>
      </w:r>
      <w:r w:rsidRPr="00400C0B">
        <w:rPr>
          <w:rFonts w:cs="Guttman Rashi" w:hint="eastAsia"/>
          <w:rtl/>
          <w:lang w:bidi="he-IL"/>
        </w:rPr>
        <w:t>בדיעבד</w:t>
      </w:r>
      <w:r w:rsidRPr="00400C0B">
        <w:rPr>
          <w:rFonts w:cs="Guttman Rashi"/>
          <w:rtl/>
          <w:lang w:bidi="he-IL"/>
        </w:rPr>
        <w:t xml:space="preserve"> </w:t>
      </w:r>
      <w:r w:rsidRPr="00400C0B">
        <w:rPr>
          <w:rFonts w:cs="Guttman Rashi" w:hint="eastAsia"/>
          <w:rtl/>
          <w:lang w:bidi="he-IL"/>
        </w:rPr>
        <w:t>ונחשב</w:t>
      </w:r>
      <w:r w:rsidRPr="00400C0B">
        <w:rPr>
          <w:rFonts w:cs="Guttman Rashi"/>
          <w:rtl/>
          <w:lang w:bidi="he-IL"/>
        </w:rPr>
        <w:t xml:space="preserve"> </w:t>
      </w:r>
      <w:r w:rsidRPr="00400C0B">
        <w:rPr>
          <w:rFonts w:cs="Guttman Rashi" w:hint="eastAsia"/>
          <w:rtl/>
          <w:lang w:bidi="he-IL"/>
        </w:rPr>
        <w:t>כאילו</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בפת</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חלבי</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בשרי</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בדיעבד</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דע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בפת</w:t>
      </w:r>
      <w:r w:rsidRPr="00400C0B">
        <w:rPr>
          <w:rFonts w:cs="Guttman Rashi"/>
          <w:rtl/>
          <w:lang w:bidi="he-IL"/>
        </w:rPr>
        <w:t xml:space="preserve"> </w:t>
      </w:r>
      <w:r w:rsidRPr="00400C0B">
        <w:rPr>
          <w:rFonts w:cs="Guttman Rashi" w:hint="eastAsia"/>
          <w:rtl/>
          <w:lang w:bidi="he-IL"/>
        </w:rPr>
        <w:t>מרובה</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צורה</w:t>
      </w:r>
      <w:r w:rsidRPr="00400C0B">
        <w:rPr>
          <w:rFonts w:cs="Guttman Rashi"/>
          <w:rtl/>
          <w:lang w:bidi="he-IL"/>
        </w:rPr>
        <w:t xml:space="preserve"> </w:t>
      </w:r>
      <w:r w:rsidRPr="00400C0B">
        <w:rPr>
          <w:rFonts w:cs="Guttman Rashi" w:hint="eastAsia"/>
          <w:rtl/>
          <w:lang w:bidi="he-IL"/>
        </w:rPr>
        <w:t>משונה</w:t>
      </w:r>
      <w:r w:rsidRPr="00400C0B">
        <w:rPr>
          <w:rFonts w:cs="Guttman Rashi"/>
          <w:rtl/>
          <w:lang w:bidi="he-IL"/>
        </w:rPr>
        <w:t xml:space="preserve">. </w:t>
      </w:r>
      <w:r w:rsidRPr="00400C0B">
        <w:rPr>
          <w:rFonts w:cs="Guttman Rashi" w:hint="eastAsia"/>
          <w:rtl/>
          <w:lang w:bidi="he-IL"/>
        </w:rPr>
        <w:t>והפר</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הקשה</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בפת</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שג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כתוב</w:t>
      </w:r>
      <w:r w:rsidRPr="00400C0B">
        <w:rPr>
          <w:rFonts w:cs="Guttman Rashi"/>
          <w:rtl/>
          <w:lang w:bidi="he-IL"/>
        </w:rPr>
        <w:t xml:space="preserve"> </w:t>
      </w:r>
      <w:r w:rsidRPr="00400C0B">
        <w:rPr>
          <w:rFonts w:cs="Guttman Rashi" w:hint="eastAsia"/>
          <w:rtl/>
          <w:lang w:bidi="he-IL"/>
        </w:rPr>
        <w:t>שאסור</w:t>
      </w:r>
      <w:r w:rsidRPr="00400C0B">
        <w:rPr>
          <w:rFonts w:cs="Guttman Rashi"/>
          <w:rtl/>
          <w:lang w:bidi="he-IL"/>
        </w:rPr>
        <w:t xml:space="preserve"> </w:t>
      </w:r>
      <w:r w:rsidRPr="00400C0B">
        <w:rPr>
          <w:rFonts w:cs="Guttman Rashi" w:hint="eastAsia"/>
          <w:rtl/>
          <w:lang w:bidi="he-IL"/>
        </w:rPr>
        <w:t>לאכלו</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אסרו</w:t>
      </w:r>
      <w:r w:rsidRPr="00400C0B">
        <w:rPr>
          <w:rFonts w:cs="Guttman Rashi"/>
          <w:rtl/>
          <w:lang w:bidi="he-IL"/>
        </w:rPr>
        <w:t xml:space="preserve"> </w:t>
      </w:r>
      <w:r w:rsidRPr="00400C0B">
        <w:rPr>
          <w:rFonts w:cs="Guttman Rashi" w:hint="eastAsia"/>
          <w:rtl/>
          <w:lang w:bidi="he-IL"/>
        </w:rPr>
        <w:t>לגמרי</w:t>
      </w:r>
      <w:r w:rsidRPr="00400C0B">
        <w:rPr>
          <w:rFonts w:cs="Guttman Rashi"/>
          <w:rtl/>
          <w:lang w:bidi="he-IL"/>
        </w:rPr>
        <w:t xml:space="preserve">. </w:t>
      </w:r>
      <w:r w:rsidRPr="00400C0B">
        <w:rPr>
          <w:rFonts w:cs="Guttman Rashi" w:hint="eastAsia"/>
          <w:rtl/>
          <w:lang w:bidi="he-IL"/>
        </w:rPr>
        <w:t>ותי</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גזרו</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בריחא</w:t>
      </w:r>
      <w:r w:rsidRPr="00400C0B">
        <w:rPr>
          <w:rFonts w:cs="Guttman Rashi"/>
          <w:rtl/>
          <w:lang w:bidi="he-IL"/>
        </w:rPr>
        <w:t xml:space="preserve"> </w:t>
      </w:r>
      <w:r w:rsidRPr="00400C0B">
        <w:rPr>
          <w:rFonts w:cs="Guttman Rashi" w:hint="eastAsia"/>
          <w:rtl/>
          <w:lang w:bidi="he-IL"/>
        </w:rPr>
        <w:t>בעלמא</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כשאינו</w:t>
      </w:r>
      <w:r w:rsidRPr="00400C0B">
        <w:rPr>
          <w:rFonts w:cs="Guttman Rashi"/>
          <w:rtl/>
          <w:lang w:bidi="he-IL"/>
        </w:rPr>
        <w:t xml:space="preserve"> </w:t>
      </w:r>
      <w:r w:rsidRPr="00400C0B">
        <w:rPr>
          <w:rFonts w:cs="Guttman Rashi" w:hint="eastAsia"/>
          <w:rtl/>
          <w:lang w:bidi="he-IL"/>
        </w:rPr>
        <w:t>סתום</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בסתום</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בדיעבד</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כדברי</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וכיון</w:t>
      </w:r>
      <w:r w:rsidRPr="00400C0B">
        <w:rPr>
          <w:rFonts w:cs="Guttman Rashi"/>
          <w:rtl/>
          <w:lang w:bidi="he-IL"/>
        </w:rPr>
        <w:t xml:space="preserve"> </w:t>
      </w:r>
      <w:r w:rsidRPr="00400C0B">
        <w:rPr>
          <w:rFonts w:cs="Guttman Rashi" w:hint="eastAsia"/>
          <w:rtl/>
          <w:lang w:bidi="he-IL"/>
        </w:rPr>
        <w:t>שקיי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כרי</w:t>
      </w:r>
      <w:r w:rsidRPr="00400C0B">
        <w:rPr>
          <w:rFonts w:cs="Guttman Rashi"/>
          <w:rtl/>
          <w:lang w:bidi="he-IL"/>
        </w:rPr>
        <w:t>"</w:t>
      </w:r>
      <w:r w:rsidRPr="00400C0B">
        <w:rPr>
          <w:rFonts w:cs="Guttman Rashi" w:hint="eastAsia"/>
          <w:rtl/>
          <w:lang w:bidi="he-IL"/>
        </w:rPr>
        <w:t>ף</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הפר</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שי</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מעיקר</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ומשום</w:t>
      </w:r>
      <w:r w:rsidRPr="00400C0B">
        <w:rPr>
          <w:rFonts w:cs="Guttman Rashi"/>
          <w:rtl/>
          <w:lang w:bidi="he-IL"/>
        </w:rPr>
        <w:t xml:space="preserve"> </w:t>
      </w:r>
      <w:r w:rsidRPr="00400C0B">
        <w:rPr>
          <w:rFonts w:cs="Guttman Rashi" w:hint="eastAsia"/>
          <w:rtl/>
          <w:lang w:bidi="he-IL"/>
        </w:rPr>
        <w:t>דריחא</w:t>
      </w:r>
      <w:r w:rsidRPr="00400C0B">
        <w:rPr>
          <w:rFonts w:cs="Guttman Rashi"/>
          <w:rtl/>
          <w:lang w:bidi="he-IL"/>
        </w:rPr>
        <w:t xml:space="preserve"> </w:t>
      </w:r>
      <w:r w:rsidRPr="00400C0B">
        <w:rPr>
          <w:rFonts w:cs="Guttman Rashi" w:hint="eastAsia"/>
          <w:rtl/>
          <w:lang w:bidi="he-IL"/>
        </w:rPr>
        <w:t>מילתא</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אסרו</w:t>
      </w:r>
      <w:r w:rsidRPr="00400C0B">
        <w:rPr>
          <w:rFonts w:cs="Guttman Rashi"/>
          <w:rtl/>
          <w:lang w:bidi="he-IL"/>
        </w:rPr>
        <w:t xml:space="preserve"> </w:t>
      </w:r>
      <w:r w:rsidRPr="00400C0B">
        <w:rPr>
          <w:rFonts w:cs="Guttman Rashi" w:hint="eastAsia"/>
          <w:rtl/>
          <w:lang w:bidi="he-IL"/>
        </w:rPr>
        <w:t>לגמרי</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הפר</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אא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נבא</w:t>
      </w:r>
      <w:r w:rsidRPr="00400C0B">
        <w:rPr>
          <w:rFonts w:cs="Guttman Rashi"/>
          <w:rtl/>
          <w:lang w:bidi="he-IL"/>
        </w:rPr>
        <w:t xml:space="preserve"> </w:t>
      </w:r>
      <w:r w:rsidRPr="00400C0B">
        <w:rPr>
          <w:rFonts w:cs="Guttman Rashi" w:hint="eastAsia"/>
          <w:rtl/>
          <w:lang w:bidi="he-IL"/>
        </w:rPr>
        <w:t>ונחדש</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החמירו</w:t>
      </w:r>
      <w:r w:rsidRPr="00400C0B">
        <w:rPr>
          <w:rFonts w:cs="Guttman Rashi"/>
          <w:rtl/>
          <w:lang w:bidi="he-IL"/>
        </w:rPr>
        <w:t xml:space="preserve"> </w:t>
      </w:r>
      <w:r w:rsidRPr="00400C0B">
        <w:rPr>
          <w:rFonts w:cs="Guttman Rashi" w:hint="eastAsia"/>
          <w:rtl/>
          <w:lang w:bidi="he-IL"/>
        </w:rPr>
        <w:t>בריחא</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דיעבד</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לדחוק</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לאכלו</w:t>
      </w:r>
      <w:r w:rsidRPr="00400C0B">
        <w:rPr>
          <w:rFonts w:cs="Guttman Rashi"/>
          <w:rtl/>
          <w:lang w:bidi="he-IL"/>
        </w:rPr>
        <w:t xml:space="preserve"> </w:t>
      </w:r>
      <w:r w:rsidRPr="00400C0B">
        <w:rPr>
          <w:rFonts w:cs="Guttman Rashi" w:hint="eastAsia"/>
          <w:rtl/>
          <w:lang w:bidi="he-IL"/>
        </w:rPr>
        <w:t>במלח</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קאמר</w:t>
      </w:r>
      <w:r w:rsidRPr="00400C0B">
        <w:rPr>
          <w:rFonts w:cs="Guttman Rashi"/>
          <w:rtl/>
          <w:lang w:bidi="he-IL"/>
        </w:rPr>
        <w:t xml:space="preserve"> </w:t>
      </w:r>
      <w:r w:rsidRPr="00400C0B">
        <w:rPr>
          <w:rFonts w:cs="Guttman Rashi" w:hint="eastAsia"/>
          <w:rtl/>
          <w:lang w:bidi="he-IL"/>
        </w:rPr>
        <w:t>שאסור</w:t>
      </w:r>
      <w:r w:rsidRPr="00400C0B">
        <w:rPr>
          <w:rFonts w:cs="Guttman Rashi"/>
          <w:rtl/>
          <w:lang w:bidi="he-IL"/>
        </w:rPr>
        <w:t xml:space="preserve"> </w:t>
      </w:r>
      <w:r w:rsidRPr="00400C0B">
        <w:rPr>
          <w:rFonts w:cs="Guttman Rashi" w:hint="eastAsia"/>
          <w:rtl/>
          <w:lang w:bidi="he-IL"/>
        </w:rPr>
        <w:t>לאכלו</w:t>
      </w:r>
      <w:r w:rsidRPr="00400C0B">
        <w:rPr>
          <w:rFonts w:cs="Guttman Rashi"/>
          <w:rtl/>
          <w:lang w:bidi="he-IL"/>
        </w:rPr>
        <w:t xml:space="preserve"> </w:t>
      </w:r>
      <w:r w:rsidRPr="00400C0B">
        <w:rPr>
          <w:rFonts w:cs="Guttman Rashi" w:hint="eastAsia"/>
          <w:rtl/>
          <w:lang w:bidi="he-IL"/>
        </w:rPr>
        <w:t>בחלב</w:t>
      </w:r>
      <w:r w:rsidRPr="00400C0B">
        <w:rPr>
          <w:rFonts w:cs="Guttman Rashi"/>
          <w:rtl/>
          <w:lang w:bidi="he-IL"/>
        </w:rPr>
        <w:t xml:space="preserve"> </w:t>
      </w:r>
      <w:r w:rsidRPr="00400C0B">
        <w:rPr>
          <w:rFonts w:cs="Guttman Rashi" w:hint="eastAsia"/>
          <w:rtl/>
          <w:lang w:bidi="he-IL"/>
        </w:rPr>
        <w:t>וממילא</w:t>
      </w:r>
      <w:r w:rsidRPr="00400C0B">
        <w:rPr>
          <w:rFonts w:cs="Guttman Rashi"/>
          <w:rtl/>
          <w:lang w:bidi="he-IL"/>
        </w:rPr>
        <w:t xml:space="preserve"> </w:t>
      </w:r>
      <w:r w:rsidRPr="00400C0B">
        <w:rPr>
          <w:rFonts w:cs="Guttman Rashi" w:hint="eastAsia"/>
          <w:rtl/>
          <w:lang w:bidi="he-IL"/>
        </w:rPr>
        <w:t>חלים</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הדינים</w:t>
      </w:r>
      <w:r w:rsidRPr="00400C0B">
        <w:rPr>
          <w:rFonts w:cs="Guttman Rashi"/>
          <w:rtl/>
          <w:lang w:bidi="he-IL"/>
        </w:rPr>
        <w:t xml:space="preserve"> </w:t>
      </w:r>
      <w:r w:rsidRPr="00400C0B">
        <w:rPr>
          <w:rFonts w:cs="Guttman Rashi" w:hint="eastAsia"/>
          <w:rtl/>
          <w:lang w:bidi="he-IL"/>
        </w:rPr>
        <w:t>השייכים</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כולל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שאסר</w:t>
      </w:r>
      <w:r w:rsidRPr="00400C0B">
        <w:rPr>
          <w:rFonts w:cs="Guttman Rashi"/>
          <w:rtl/>
          <w:lang w:bidi="he-IL"/>
        </w:rPr>
        <w:t xml:space="preserve"> </w:t>
      </w:r>
      <w:r w:rsidRPr="00400C0B">
        <w:rPr>
          <w:rFonts w:cs="Guttman Rashi" w:hint="eastAsia"/>
          <w:rtl/>
          <w:lang w:bidi="he-IL"/>
        </w:rPr>
        <w:t>לאכלו</w:t>
      </w:r>
      <w:r w:rsidRPr="00400C0B">
        <w:rPr>
          <w:rFonts w:cs="Guttman Rashi"/>
          <w:rtl/>
          <w:lang w:bidi="he-IL"/>
        </w:rPr>
        <w:t xml:space="preserve"> </w:t>
      </w:r>
      <w:r w:rsidRPr="00400C0B">
        <w:rPr>
          <w:rFonts w:cs="Guttman Rashi" w:hint="eastAsia"/>
          <w:rtl/>
          <w:lang w:bidi="he-IL"/>
        </w:rPr>
        <w:t>בפני</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פת</w:t>
      </w:r>
      <w:r w:rsidRPr="00400C0B">
        <w:rPr>
          <w:rFonts w:cs="Guttman Rashi"/>
          <w:rtl/>
          <w:lang w:bidi="he-IL"/>
        </w:rPr>
        <w:t xml:space="preserve"> </w:t>
      </w:r>
      <w:r w:rsidRPr="00400C0B">
        <w:rPr>
          <w:rFonts w:cs="Guttman Rashi" w:hint="eastAsia"/>
          <w:rtl/>
          <w:lang w:bidi="he-IL"/>
        </w:rPr>
        <w:t>מרובה</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שינוי</w:t>
      </w:r>
      <w:r w:rsidRPr="00400C0B">
        <w:rPr>
          <w:rFonts w:cs="Guttman Rashi"/>
          <w:rtl/>
          <w:lang w:bidi="he-IL"/>
        </w:rPr>
        <w:t xml:space="preserve"> </w:t>
      </w:r>
      <w:r w:rsidRPr="00400C0B">
        <w:rPr>
          <w:rFonts w:cs="Guttman Rashi" w:hint="eastAsia"/>
          <w:rtl/>
          <w:lang w:bidi="he-IL"/>
        </w:rPr>
        <w:t>צורה</w:t>
      </w:r>
      <w:r w:rsidRPr="00400C0B">
        <w:rPr>
          <w:rFonts w:cs="Guttman Rashi"/>
          <w:rtl/>
          <w:lang w:bidi="he-IL"/>
        </w:rPr>
        <w:t xml:space="preserve">. </w:t>
      </w:r>
    </w:p>
  </w:footnote>
  <w:footnote w:id="39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בתנור</w:t>
      </w:r>
      <w:r w:rsidRPr="00400C0B">
        <w:rPr>
          <w:rFonts w:cs="Guttman Rashi"/>
          <w:rtl/>
          <w:lang w:bidi="he-IL"/>
        </w:rPr>
        <w:t xml:space="preserve"> </w:t>
      </w:r>
      <w:r w:rsidRPr="00400C0B">
        <w:rPr>
          <w:rFonts w:cs="Guttman Rashi" w:hint="eastAsia"/>
          <w:rtl/>
          <w:lang w:bidi="he-IL"/>
        </w:rPr>
        <w:t>סתום</w:t>
      </w:r>
      <w:r w:rsidRPr="00400C0B">
        <w:rPr>
          <w:rFonts w:cs="Guttman Rashi"/>
          <w:rtl/>
          <w:lang w:bidi="he-IL"/>
        </w:rPr>
        <w:t xml:space="preserve"> </w:t>
      </w:r>
      <w:r w:rsidRPr="00400C0B">
        <w:rPr>
          <w:rFonts w:cs="Guttman Rashi" w:hint="eastAsia"/>
          <w:rtl/>
          <w:lang w:bidi="he-IL"/>
        </w:rPr>
        <w:t>כשאין</w:t>
      </w:r>
      <w:r w:rsidRPr="00400C0B">
        <w:rPr>
          <w:rFonts w:cs="Guttman Rashi"/>
          <w:rtl/>
          <w:lang w:bidi="he-IL"/>
        </w:rPr>
        <w:t xml:space="preserve"> </w:t>
      </w:r>
      <w:r w:rsidRPr="00400C0B">
        <w:rPr>
          <w:rFonts w:cs="Guttman Rashi" w:hint="eastAsia"/>
          <w:rtl/>
          <w:lang w:bidi="he-IL"/>
        </w:rPr>
        <w:t>שום</w:t>
      </w:r>
      <w:r w:rsidRPr="00400C0B">
        <w:rPr>
          <w:rFonts w:cs="Guttman Rashi"/>
          <w:rtl/>
          <w:lang w:bidi="he-IL"/>
        </w:rPr>
        <w:t xml:space="preserve"> </w:t>
      </w:r>
      <w:r w:rsidRPr="00400C0B">
        <w:rPr>
          <w:rFonts w:cs="Guttman Rashi" w:hint="eastAsia"/>
          <w:rtl/>
          <w:lang w:bidi="he-IL"/>
        </w:rPr>
        <w:t>פתח</w:t>
      </w:r>
      <w:r w:rsidRPr="00400C0B">
        <w:rPr>
          <w:rFonts w:cs="Guttman Rashi"/>
          <w:rtl/>
          <w:lang w:bidi="he-IL"/>
        </w:rPr>
        <w:t xml:space="preserve"> </w:t>
      </w:r>
      <w:r w:rsidRPr="00400C0B">
        <w:rPr>
          <w:rFonts w:cs="Guttman Rashi" w:hint="eastAsia"/>
          <w:rtl/>
          <w:lang w:bidi="he-IL"/>
        </w:rPr>
        <w:t>לעשן</w:t>
      </w:r>
      <w:r w:rsidRPr="00400C0B">
        <w:rPr>
          <w:rFonts w:cs="Guttman Rashi"/>
          <w:rtl/>
          <w:lang w:bidi="he-IL"/>
        </w:rPr>
        <w:t>.</w:t>
      </w:r>
    </w:p>
  </w:footnote>
  <w:footnote w:id="39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Ref489025102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571</w:t>
      </w:r>
      <w:r w:rsidRPr="00400C0B">
        <w:rPr>
          <w:rFonts w:cs="Guttman Rashi"/>
          <w:rtl/>
          <w:lang w:bidi="he-IL"/>
        </w:rPr>
        <w:fldChar w:fldCharType="end"/>
      </w:r>
      <w:r w:rsidRPr="00400C0B">
        <w:rPr>
          <w:rFonts w:cs="Guttman Rashi"/>
          <w:rtl/>
          <w:lang w:bidi="he-IL"/>
        </w:rPr>
        <w:t>.</w:t>
      </w:r>
    </w:p>
  </w:footnote>
  <w:footnote w:id="39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 xml:space="preserve">'  </w:t>
      </w:r>
    </w:p>
  </w:footnote>
  <w:footnote w:id="40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ביד</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שכבר</w:t>
      </w:r>
      <w:r w:rsidRPr="00400C0B">
        <w:rPr>
          <w:rFonts w:cs="Guttman Rashi"/>
          <w:rtl/>
          <w:lang w:bidi="he-IL"/>
        </w:rPr>
        <w:t xml:space="preserve"> </w:t>
      </w:r>
      <w:r w:rsidRPr="00400C0B">
        <w:rPr>
          <w:rFonts w:cs="Guttman Rashi" w:hint="eastAsia"/>
          <w:rtl/>
          <w:lang w:bidi="he-IL"/>
        </w:rPr>
        <w:t>העיר</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ראייתו</w:t>
      </w:r>
      <w:r w:rsidRPr="00400C0B">
        <w:rPr>
          <w:rFonts w:cs="Guttman Rashi"/>
          <w:rtl/>
          <w:lang w:bidi="he-IL"/>
        </w:rPr>
        <w:t xml:space="preserve"> </w:t>
      </w:r>
      <w:r w:rsidRPr="00400C0B">
        <w:rPr>
          <w:rFonts w:cs="Guttman Rashi" w:hint="eastAsia"/>
          <w:rtl/>
          <w:lang w:bidi="he-IL"/>
        </w:rPr>
        <w:t>מכרחת</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p>
  </w:footnote>
  <w:footnote w:id="40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ויעוין</w:t>
      </w:r>
      <w:r w:rsidRPr="00400C0B">
        <w:rPr>
          <w:rFonts w:cs="Guttman Rashi"/>
          <w:rtl/>
          <w:lang w:bidi="he-IL"/>
        </w:rPr>
        <w:t xml:space="preserve"> </w:t>
      </w:r>
      <w:r w:rsidRPr="00400C0B">
        <w:rPr>
          <w:rFonts w:cs="Guttman Rashi" w:hint="eastAsia"/>
          <w:rtl/>
          <w:lang w:bidi="he-IL"/>
        </w:rPr>
        <w:t>בחזו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קכ</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לסוגיין</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שב</w:t>
      </w:r>
      <w:r w:rsidRPr="00400C0B">
        <w:rPr>
          <w:rFonts w:cs="Guttman Rashi"/>
          <w:rtl/>
          <w:lang w:bidi="he-IL"/>
        </w:rPr>
        <w:t>'</w:t>
      </w:r>
      <w:r w:rsidRPr="00400C0B">
        <w:rPr>
          <w:rFonts w:cs="Guttman Rashi" w:hint="eastAsia"/>
          <w:rtl/>
          <w:lang w:bidi="he-IL"/>
        </w:rPr>
        <w:t>יטול</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מקומו</w:t>
      </w:r>
      <w:r w:rsidRPr="00400C0B">
        <w:rPr>
          <w:rFonts w:cs="Guttman Rashi"/>
          <w:rtl/>
          <w:lang w:bidi="he-IL"/>
        </w:rPr>
        <w:t xml:space="preserve"> </w:t>
      </w:r>
      <w:r w:rsidRPr="00400C0B">
        <w:rPr>
          <w:rFonts w:cs="Guttman Rashi" w:hint="eastAsia"/>
          <w:rtl/>
          <w:lang w:bidi="he-IL"/>
        </w:rPr>
        <w:t>הכוונה</w:t>
      </w:r>
      <w:r w:rsidRPr="00400C0B">
        <w:rPr>
          <w:rFonts w:cs="Guttman Rashi"/>
          <w:rtl/>
          <w:lang w:bidi="he-IL"/>
        </w:rPr>
        <w:t xml:space="preserve"> </w:t>
      </w:r>
      <w:r w:rsidRPr="00400C0B">
        <w:rPr>
          <w:rFonts w:cs="Guttman Rashi" w:hint="eastAsia"/>
          <w:rtl/>
          <w:lang w:bidi="he-IL"/>
        </w:rPr>
        <w:t>לכדי</w:t>
      </w:r>
      <w:r w:rsidRPr="00400C0B">
        <w:rPr>
          <w:rFonts w:cs="Guttman Rashi"/>
          <w:rtl/>
          <w:lang w:bidi="he-IL"/>
        </w:rPr>
        <w:t xml:space="preserve"> </w:t>
      </w:r>
      <w:r w:rsidRPr="00400C0B">
        <w:rPr>
          <w:rFonts w:cs="Guttman Rashi" w:hint="eastAsia"/>
          <w:rtl/>
          <w:lang w:bidi="he-IL"/>
        </w:rPr>
        <w:t>קליפה</w:t>
      </w:r>
      <w:r w:rsidRPr="00400C0B">
        <w:rPr>
          <w:rFonts w:cs="Guttman Rashi"/>
          <w:rtl/>
          <w:lang w:bidi="he-IL"/>
        </w:rPr>
        <w:t xml:space="preserve">. </w:t>
      </w:r>
    </w:p>
  </w:footnote>
  <w:footnote w:id="40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דהיא</w:t>
      </w:r>
      <w:r w:rsidRPr="00400C0B">
        <w:rPr>
          <w:rFonts w:cs="Guttman Rashi"/>
          <w:rtl/>
          <w:lang w:bidi="he-IL"/>
        </w:rPr>
        <w:t xml:space="preserve"> </w:t>
      </w:r>
      <w:r w:rsidRPr="00400C0B">
        <w:rPr>
          <w:rFonts w:cs="Guttman Rashi" w:hint="eastAsia"/>
          <w:rtl/>
          <w:lang w:bidi="he-IL"/>
        </w:rPr>
        <w:t>גופא</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שהקשה</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עמוק</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ניחא</w:t>
      </w:r>
      <w:r w:rsidRPr="00400C0B">
        <w:rPr>
          <w:rFonts w:cs="Guttman Rashi"/>
          <w:rtl/>
          <w:lang w:bidi="he-IL"/>
        </w:rPr>
        <w:t xml:space="preserve"> </w:t>
      </w:r>
      <w:r w:rsidRPr="00400C0B">
        <w:rPr>
          <w:rFonts w:cs="Guttman Rashi" w:hint="eastAsia"/>
          <w:rtl/>
          <w:lang w:bidi="he-IL"/>
        </w:rPr>
        <w:t>לרב</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לדידי</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קמיצה</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סגי</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sidRPr="00400C0B">
        <w:rPr>
          <w:rFonts w:cs="Guttman Rashi" w:hint="eastAsia"/>
          <w:rtl/>
          <w:lang w:bidi="he-IL"/>
        </w:rPr>
        <w:t>בכדי</w:t>
      </w:r>
      <w:r w:rsidRPr="00400C0B">
        <w:rPr>
          <w:rFonts w:cs="Guttman Rashi"/>
          <w:rtl/>
          <w:lang w:bidi="he-IL"/>
        </w:rPr>
        <w:t xml:space="preserve"> </w:t>
      </w:r>
      <w:r w:rsidRPr="00400C0B">
        <w:rPr>
          <w:rFonts w:cs="Guttman Rashi" w:hint="eastAsia"/>
          <w:rtl/>
          <w:lang w:bidi="he-IL"/>
        </w:rPr>
        <w:t>נטילה</w:t>
      </w:r>
      <w:r w:rsidRPr="00400C0B">
        <w:rPr>
          <w:rFonts w:cs="Guttman Rashi"/>
          <w:rtl/>
          <w:lang w:bidi="he-IL"/>
        </w:rPr>
        <w:t>.</w:t>
      </w:r>
    </w:p>
  </w:footnote>
  <w:footnote w:id="40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הצל</w:t>
      </w:r>
      <w:r w:rsidRPr="00400C0B">
        <w:rPr>
          <w:rFonts w:cs="Guttman Rashi"/>
          <w:rtl/>
          <w:lang w:bidi="he-IL"/>
        </w:rPr>
        <w:t>"</w:t>
      </w:r>
      <w:r w:rsidRPr="00400C0B">
        <w:rPr>
          <w:rFonts w:cs="Guttman Rashi" w:hint="eastAsia"/>
          <w:rtl/>
          <w:lang w:bidi="he-IL"/>
        </w:rPr>
        <w:t>ח</w:t>
      </w:r>
      <w:r w:rsidRPr="00400C0B">
        <w:rPr>
          <w:rFonts w:cs="Guttman Rashi"/>
          <w:rtl/>
          <w:lang w:bidi="he-IL"/>
        </w:rPr>
        <w:t>.</w:t>
      </w:r>
    </w:p>
  </w:footnote>
  <w:footnote w:id="40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וראוי</w:t>
      </w:r>
      <w:r w:rsidRPr="00400C0B">
        <w:rPr>
          <w:rFonts w:cs="Guttman Rashi"/>
          <w:rtl/>
          <w:lang w:bidi="he-IL"/>
        </w:rPr>
        <w:t xml:space="preserve"> </w:t>
      </w:r>
      <w:r w:rsidRPr="00400C0B">
        <w:rPr>
          <w:rFonts w:cs="Guttman Rashi" w:hint="eastAsia"/>
          <w:rtl/>
          <w:lang w:bidi="he-IL"/>
        </w:rPr>
        <w:t>לציין</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בתוה</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בהוצאת</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w:t>
      </w:r>
      <w:r w:rsidRPr="00400C0B">
        <w:rPr>
          <w:rFonts w:cs="Guttman Rashi" w:hint="eastAsia"/>
          <w:rtl/>
          <w:lang w:bidi="he-IL"/>
        </w:rPr>
        <w:t>ק</w:t>
      </w:r>
      <w:r w:rsidRPr="00400C0B">
        <w:rPr>
          <w:rFonts w:cs="Guttman Rashi"/>
          <w:rtl/>
          <w:lang w:bidi="he-IL"/>
        </w:rPr>
        <w:t>) "</w:t>
      </w:r>
      <w:r w:rsidRPr="00400C0B">
        <w:rPr>
          <w:rFonts w:cs="Guttman Rashi" w:hint="eastAsia"/>
          <w:rtl/>
          <w:lang w:bidi="he-IL"/>
        </w:rPr>
        <w:t>אנו</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כדברי</w:t>
      </w:r>
      <w:r w:rsidRPr="00400C0B">
        <w:rPr>
          <w:rFonts w:cs="Guttman Rashi"/>
          <w:rtl/>
          <w:lang w:bidi="he-IL"/>
        </w:rPr>
        <w:t xml:space="preserve"> </w:t>
      </w:r>
      <w:r w:rsidRPr="00400C0B">
        <w:rPr>
          <w:rFonts w:cs="Guttman Rashi" w:hint="eastAsia"/>
          <w:rtl/>
          <w:lang w:bidi="he-IL"/>
        </w:rPr>
        <w:t>חכמים</w:t>
      </w:r>
      <w:r w:rsidRPr="00400C0B">
        <w:rPr>
          <w:rFonts w:cs="Guttman Rashi"/>
          <w:rtl/>
          <w:lang w:bidi="he-IL"/>
        </w:rPr>
        <w:t xml:space="preserve"> </w:t>
      </w:r>
      <w:r w:rsidRPr="00400C0B">
        <w:rPr>
          <w:rFonts w:cs="Guttman Rashi" w:hint="eastAsia"/>
          <w:rtl/>
          <w:lang w:bidi="he-IL"/>
        </w:rPr>
        <w:t>הבקיאים</w:t>
      </w:r>
      <w:r w:rsidRPr="00400C0B">
        <w:rPr>
          <w:rFonts w:cs="Guttman Rashi"/>
          <w:rtl/>
          <w:lang w:bidi="he-IL"/>
        </w:rPr>
        <w:t xml:space="preserve"> </w:t>
      </w:r>
      <w:r w:rsidRPr="00400C0B">
        <w:rPr>
          <w:rFonts w:cs="Guttman Rashi" w:hint="eastAsia"/>
          <w:rtl/>
          <w:lang w:bidi="he-IL"/>
        </w:rPr>
        <w:t>בהלכה</w:t>
      </w:r>
      <w:r w:rsidRPr="00400C0B">
        <w:rPr>
          <w:rFonts w:cs="Guttman Rashi"/>
          <w:rtl/>
          <w:lang w:bidi="he-IL"/>
        </w:rPr>
        <w:t xml:space="preserve"> </w:t>
      </w:r>
      <w:r w:rsidRPr="00400C0B">
        <w:rPr>
          <w:rFonts w:cs="Guttman Rashi" w:hint="eastAsia"/>
          <w:rtl/>
          <w:lang w:bidi="he-IL"/>
        </w:rPr>
        <w:t>הבקיאים</w:t>
      </w:r>
      <w:r w:rsidRPr="00400C0B">
        <w:rPr>
          <w:rFonts w:cs="Guttman Rashi"/>
          <w:rtl/>
          <w:lang w:bidi="he-IL"/>
        </w:rPr>
        <w:t xml:space="preserve"> </w:t>
      </w:r>
      <w:r w:rsidRPr="00400C0B">
        <w:rPr>
          <w:rFonts w:cs="Guttman Rashi" w:hint="eastAsia"/>
          <w:rtl/>
          <w:lang w:bidi="he-IL"/>
        </w:rPr>
        <w:t>בטבעים</w:t>
      </w:r>
      <w:r w:rsidRPr="00400C0B">
        <w:rPr>
          <w:rFonts w:cs="Guttman Rashi"/>
          <w:rtl/>
          <w:lang w:bidi="he-IL"/>
        </w:rPr>
        <w:t xml:space="preserve"> </w:t>
      </w:r>
      <w:r w:rsidRPr="00400C0B">
        <w:rPr>
          <w:rFonts w:cs="Guttman Rashi" w:hint="eastAsia"/>
          <w:rtl/>
          <w:lang w:bidi="he-IL"/>
        </w:rPr>
        <w:t>וסומכין</w:t>
      </w:r>
      <w:r w:rsidRPr="00400C0B">
        <w:rPr>
          <w:rFonts w:cs="Guttman Rashi"/>
          <w:rtl/>
          <w:lang w:bidi="he-IL"/>
        </w:rPr>
        <w:t xml:space="preserve"> </w:t>
      </w:r>
      <w:r w:rsidRPr="00400C0B">
        <w:rPr>
          <w:rFonts w:cs="Guttman Rashi" w:hint="eastAsia"/>
          <w:rtl/>
          <w:lang w:bidi="he-IL"/>
        </w:rPr>
        <w:t>עליהם</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שסומכים</w:t>
      </w:r>
      <w:r w:rsidRPr="00400C0B">
        <w:rPr>
          <w:rFonts w:cs="Guttman Rashi"/>
          <w:rtl/>
          <w:lang w:bidi="he-IL"/>
        </w:rPr>
        <w:t xml:space="preserve"> </w:t>
      </w:r>
      <w:r w:rsidRPr="00400C0B">
        <w:rPr>
          <w:rFonts w:cs="Guttman Rashi" w:hint="eastAsia"/>
          <w:rtl/>
          <w:lang w:bidi="he-IL"/>
        </w:rPr>
        <w:t>עליהם</w:t>
      </w:r>
      <w:r w:rsidRPr="00400C0B">
        <w:rPr>
          <w:rFonts w:cs="Guttman Rashi"/>
          <w:rtl/>
          <w:lang w:bidi="he-IL"/>
        </w:rPr>
        <w:t xml:space="preserve"> </w:t>
      </w:r>
      <w:r w:rsidRPr="00400C0B">
        <w:rPr>
          <w:rFonts w:cs="Guttman Rashi" w:hint="eastAsia"/>
          <w:rtl/>
          <w:lang w:bidi="he-IL"/>
        </w:rPr>
        <w:t>באיסור</w:t>
      </w:r>
      <w:r w:rsidRPr="00400C0B">
        <w:rPr>
          <w:rFonts w:cs="Guttman Rashi"/>
          <w:rtl/>
          <w:lang w:bidi="he-IL"/>
        </w:rPr>
        <w:t xml:space="preserve"> </w:t>
      </w:r>
      <w:r w:rsidRPr="00400C0B">
        <w:rPr>
          <w:rFonts w:cs="Guttman Rashi" w:hint="eastAsia"/>
          <w:rtl/>
          <w:lang w:bidi="he-IL"/>
        </w:rPr>
        <w:t>קליפה</w:t>
      </w:r>
      <w:r w:rsidRPr="00400C0B">
        <w:rPr>
          <w:rFonts w:cs="Guttman Rashi"/>
          <w:rtl/>
          <w:lang w:bidi="he-IL"/>
        </w:rPr>
        <w:t xml:space="preserve"> </w:t>
      </w:r>
      <w:r w:rsidRPr="00400C0B">
        <w:rPr>
          <w:rFonts w:cs="Guttman Rashi" w:hint="eastAsia"/>
          <w:rtl/>
          <w:lang w:bidi="he-IL"/>
        </w:rPr>
        <w:t>ובנטילת</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ובאיסור</w:t>
      </w:r>
      <w:r w:rsidRPr="00400C0B">
        <w:rPr>
          <w:rFonts w:cs="Guttman Rashi"/>
          <w:rtl/>
          <w:lang w:bidi="he-IL"/>
        </w:rPr>
        <w:t xml:space="preserve"> </w:t>
      </w:r>
      <w:r w:rsidRPr="00400C0B">
        <w:rPr>
          <w:rFonts w:cs="Guttman Rashi" w:hint="eastAsia"/>
          <w:rtl/>
          <w:lang w:bidi="he-IL"/>
        </w:rPr>
        <w:t>הכל</w:t>
      </w:r>
      <w:r w:rsidRPr="00400C0B">
        <w:rPr>
          <w:rFonts w:cs="Guttman Rashi"/>
          <w:rtl/>
          <w:lang w:bidi="he-IL"/>
        </w:rPr>
        <w:t xml:space="preserve"> </w:t>
      </w:r>
      <w:r w:rsidRPr="00400C0B">
        <w:rPr>
          <w:rFonts w:cs="Guttman Rashi" w:hint="eastAsia"/>
          <w:rtl/>
          <w:lang w:bidi="he-IL"/>
        </w:rPr>
        <w:t>ובדיני</w:t>
      </w:r>
      <w:r w:rsidRPr="00400C0B">
        <w:rPr>
          <w:rFonts w:cs="Guttman Rashi"/>
          <w:rtl/>
          <w:lang w:bidi="he-IL"/>
        </w:rPr>
        <w:t xml:space="preserve"> </w:t>
      </w:r>
      <w:r w:rsidRPr="00400C0B">
        <w:rPr>
          <w:rFonts w:cs="Guttman Rashi" w:hint="eastAsia"/>
          <w:rtl/>
          <w:lang w:bidi="he-IL"/>
        </w:rPr>
        <w:t>תתאה</w:t>
      </w:r>
      <w:r w:rsidRPr="00400C0B">
        <w:rPr>
          <w:rFonts w:cs="Guttman Rashi"/>
          <w:rtl/>
          <w:lang w:bidi="he-IL"/>
        </w:rPr>
        <w:t xml:space="preserve"> </w:t>
      </w:r>
      <w:r w:rsidRPr="00400C0B">
        <w:rPr>
          <w:rFonts w:cs="Guttman Rashi" w:hint="eastAsia"/>
          <w:rtl/>
          <w:lang w:bidi="he-IL"/>
        </w:rPr>
        <w:t>גבר</w:t>
      </w:r>
      <w:r w:rsidRPr="00400C0B">
        <w:rPr>
          <w:rFonts w:cs="Guttman Rashi"/>
          <w:rtl/>
          <w:lang w:bidi="he-IL"/>
        </w:rPr>
        <w:t xml:space="preserve"> </w:t>
      </w:r>
      <w:r w:rsidRPr="00400C0B">
        <w:rPr>
          <w:rFonts w:cs="Guttman Rashi" w:hint="eastAsia"/>
          <w:rtl/>
          <w:lang w:bidi="he-IL"/>
        </w:rPr>
        <w:t>ועלאה</w:t>
      </w:r>
      <w:r w:rsidRPr="00400C0B">
        <w:rPr>
          <w:rFonts w:cs="Guttman Rashi"/>
          <w:rtl/>
          <w:lang w:bidi="he-IL"/>
        </w:rPr>
        <w:t xml:space="preserve"> </w:t>
      </w:r>
      <w:r w:rsidRPr="00400C0B">
        <w:rPr>
          <w:rFonts w:cs="Guttman Rashi" w:hint="eastAsia"/>
          <w:rtl/>
          <w:lang w:bidi="he-IL"/>
        </w:rPr>
        <w:t>גבר</w:t>
      </w:r>
      <w:r w:rsidRPr="00400C0B">
        <w:rPr>
          <w:rFonts w:cs="Guttman Rashi"/>
          <w:rtl/>
          <w:lang w:bidi="he-IL"/>
        </w:rPr>
        <w:t xml:space="preserve"> </w:t>
      </w:r>
      <w:r w:rsidRPr="00400C0B">
        <w:rPr>
          <w:rFonts w:cs="Guttman Rashi" w:hint="eastAsia"/>
          <w:rtl/>
          <w:lang w:bidi="he-IL"/>
        </w:rPr>
        <w:t>ובשאר</w:t>
      </w:r>
      <w:r w:rsidRPr="00400C0B">
        <w:rPr>
          <w:rFonts w:cs="Guttman Rashi"/>
          <w:rtl/>
          <w:lang w:bidi="he-IL"/>
        </w:rPr>
        <w:t xml:space="preserve"> </w:t>
      </w:r>
      <w:r w:rsidRPr="00400C0B">
        <w:rPr>
          <w:rFonts w:cs="Guttman Rashi" w:hint="eastAsia"/>
          <w:rtl/>
          <w:lang w:bidi="he-IL"/>
        </w:rPr>
        <w:t>דרכי</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והיתר</w:t>
      </w:r>
      <w:r w:rsidRPr="00400C0B">
        <w:rPr>
          <w:rFonts w:cs="Guttman Rashi"/>
          <w:rtl/>
          <w:lang w:bidi="he-IL"/>
        </w:rPr>
        <w:t xml:space="preserve"> </w:t>
      </w:r>
      <w:r w:rsidRPr="00400C0B">
        <w:rPr>
          <w:rFonts w:cs="Guttman Rashi" w:hint="eastAsia"/>
          <w:rtl/>
          <w:lang w:bidi="he-IL"/>
        </w:rPr>
        <w:t>שלמדנו</w:t>
      </w:r>
      <w:r w:rsidRPr="00400C0B">
        <w:rPr>
          <w:rFonts w:cs="Guttman Rashi"/>
          <w:rtl/>
          <w:lang w:bidi="he-IL"/>
        </w:rPr>
        <w:t xml:space="preserve"> </w:t>
      </w:r>
      <w:r w:rsidRPr="00400C0B">
        <w:rPr>
          <w:rFonts w:cs="Guttman Rashi" w:hint="eastAsia"/>
          <w:rtl/>
          <w:lang w:bidi="he-IL"/>
        </w:rPr>
        <w:t>מהם</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אנו</w:t>
      </w:r>
      <w:r w:rsidRPr="00400C0B">
        <w:rPr>
          <w:rFonts w:cs="Guttman Rashi"/>
          <w:rtl/>
          <w:lang w:bidi="he-IL"/>
        </w:rPr>
        <w:t xml:space="preserve"> </w:t>
      </w:r>
      <w:r w:rsidRPr="00400C0B">
        <w:rPr>
          <w:rFonts w:cs="Guttman Rashi" w:hint="eastAsia"/>
          <w:rtl/>
          <w:lang w:bidi="he-IL"/>
        </w:rPr>
        <w:t>נשענים</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בינתינו</w:t>
      </w:r>
      <w:r w:rsidRPr="00400C0B">
        <w:rPr>
          <w:rFonts w:cs="Guttman Rashi"/>
          <w:rtl/>
          <w:lang w:bidi="he-IL"/>
        </w:rPr>
        <w:t xml:space="preserve"> </w:t>
      </w:r>
      <w:r w:rsidRPr="00400C0B">
        <w:rPr>
          <w:rFonts w:cs="Guttman Rashi" w:hint="eastAsia"/>
          <w:rtl/>
          <w:lang w:bidi="he-IL"/>
        </w:rPr>
        <w:t>ולומר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וזה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w:t>
      </w:r>
    </w:p>
  </w:footnote>
  <w:footnote w:id="40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עיון</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מספיק</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שנתן</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יוכל</w:t>
      </w:r>
      <w:r w:rsidRPr="00400C0B">
        <w:rPr>
          <w:rFonts w:cs="Guttman Rashi"/>
          <w:rtl/>
          <w:lang w:bidi="he-IL"/>
        </w:rPr>
        <w:t xml:space="preserve"> </w:t>
      </w:r>
      <w:r w:rsidRPr="00400C0B">
        <w:rPr>
          <w:rFonts w:cs="Guttman Rashi" w:hint="eastAsia"/>
          <w:rtl/>
          <w:lang w:bidi="he-IL"/>
        </w:rPr>
        <w:t>לברר</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נסיונות</w:t>
      </w:r>
      <w:r w:rsidRPr="00400C0B">
        <w:rPr>
          <w:rFonts w:cs="Guttman Rashi"/>
          <w:rtl/>
          <w:lang w:bidi="he-IL"/>
        </w:rPr>
        <w:t xml:space="preserve">. </w:t>
      </w:r>
      <w:r w:rsidRPr="00400C0B">
        <w:rPr>
          <w:rFonts w:cs="Guttman Rashi" w:hint="eastAsia"/>
          <w:rtl/>
          <w:lang w:bidi="he-IL"/>
        </w:rPr>
        <w:t>וכיון</w:t>
      </w:r>
      <w:r w:rsidRPr="00400C0B">
        <w:rPr>
          <w:rFonts w:cs="Guttman Rashi"/>
          <w:rtl/>
          <w:lang w:bidi="he-IL"/>
        </w:rPr>
        <w:t xml:space="preserve"> </w:t>
      </w:r>
      <w:r w:rsidRPr="00400C0B">
        <w:rPr>
          <w:rFonts w:cs="Guttman Rashi" w:hint="eastAsia"/>
          <w:rtl/>
          <w:lang w:bidi="he-IL"/>
        </w:rPr>
        <w:t>שרק</w:t>
      </w:r>
      <w:r w:rsidRPr="00400C0B">
        <w:rPr>
          <w:rFonts w:cs="Guttman Rashi"/>
          <w:rtl/>
          <w:lang w:bidi="he-IL"/>
        </w:rPr>
        <w:t xml:space="preserve"> </w:t>
      </w:r>
      <w:r w:rsidRPr="00400C0B">
        <w:rPr>
          <w:rFonts w:cs="Guttman Rashi" w:hint="eastAsia"/>
          <w:rtl/>
          <w:lang w:bidi="he-IL"/>
        </w:rPr>
        <w:t>תתאה</w:t>
      </w:r>
      <w:r w:rsidRPr="00400C0B">
        <w:rPr>
          <w:rFonts w:cs="Guttman Rashi"/>
          <w:rtl/>
          <w:lang w:bidi="he-IL"/>
        </w:rPr>
        <w:t xml:space="preserve"> </w:t>
      </w:r>
      <w:r w:rsidRPr="00400C0B">
        <w:rPr>
          <w:rFonts w:cs="Guttman Rashi" w:hint="eastAsia"/>
          <w:rtl/>
          <w:lang w:bidi="he-IL"/>
        </w:rPr>
        <w:t>גבר</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עילאה</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דשמואל</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טועמים</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בעליון</w:t>
      </w:r>
      <w:r w:rsidRPr="00400C0B">
        <w:rPr>
          <w:rFonts w:cs="Guttman Rashi"/>
          <w:rtl/>
          <w:lang w:bidi="he-IL"/>
        </w:rPr>
        <w:t xml:space="preserve"> </w:t>
      </w:r>
      <w:r w:rsidRPr="00400C0B">
        <w:rPr>
          <w:rFonts w:cs="Guttman Rashi" w:hint="eastAsia"/>
          <w:rtl/>
          <w:lang w:bidi="he-IL"/>
        </w:rPr>
        <w:t>כשהתחתון</w:t>
      </w:r>
      <w:r w:rsidRPr="00400C0B">
        <w:rPr>
          <w:rFonts w:cs="Guttman Rashi"/>
          <w:rtl/>
          <w:lang w:bidi="he-IL"/>
        </w:rPr>
        <w:t xml:space="preserve"> </w:t>
      </w:r>
      <w:r w:rsidRPr="00400C0B">
        <w:rPr>
          <w:rFonts w:cs="Guttman Rashi" w:hint="eastAsia"/>
          <w:rtl/>
          <w:lang w:bidi="he-IL"/>
        </w:rPr>
        <w:t>חם</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בתחתון</w:t>
      </w:r>
      <w:r w:rsidRPr="00400C0B">
        <w:rPr>
          <w:rFonts w:cs="Guttman Rashi"/>
          <w:rtl/>
          <w:lang w:bidi="he-IL"/>
        </w:rPr>
        <w:t xml:space="preserve"> </w:t>
      </w:r>
      <w:r w:rsidRPr="00400C0B">
        <w:rPr>
          <w:rFonts w:cs="Guttman Rashi" w:hint="eastAsia"/>
          <w:rtl/>
          <w:lang w:bidi="he-IL"/>
        </w:rPr>
        <w:t>כשהעליון</w:t>
      </w:r>
      <w:r w:rsidRPr="00400C0B">
        <w:rPr>
          <w:rFonts w:cs="Guttman Rashi"/>
          <w:rtl/>
          <w:lang w:bidi="he-IL"/>
        </w:rPr>
        <w:t xml:space="preserve"> </w:t>
      </w:r>
      <w:r w:rsidRPr="00400C0B">
        <w:rPr>
          <w:rFonts w:cs="Guttman Rashi" w:hint="eastAsia"/>
          <w:rtl/>
          <w:lang w:bidi="he-IL"/>
        </w:rPr>
        <w:t>חם</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p>
  </w:footnote>
  <w:footnote w:id="40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ביישוב</w:t>
      </w:r>
      <w:r w:rsidRPr="00400C0B">
        <w:rPr>
          <w:rFonts w:cs="Guttman Rashi"/>
          <w:rtl/>
          <w:lang w:bidi="he-IL"/>
        </w:rPr>
        <w:t xml:space="preserve"> </w:t>
      </w:r>
      <w:r w:rsidRPr="00400C0B">
        <w:rPr>
          <w:rFonts w:cs="Guttman Rashi" w:hint="eastAsia"/>
          <w:rtl/>
          <w:lang w:bidi="he-IL"/>
        </w:rPr>
        <w:t>קושיית</w:t>
      </w:r>
      <w:r w:rsidRPr="00400C0B">
        <w:rPr>
          <w:rFonts w:cs="Guttman Rashi"/>
          <w:rtl/>
          <w:lang w:bidi="he-IL"/>
        </w:rPr>
        <w:t xml:space="preserve"> </w:t>
      </w:r>
      <w:r w:rsidRPr="00400C0B">
        <w:rPr>
          <w:rFonts w:cs="Guttman Rashi" w:hint="eastAsia"/>
          <w:rtl/>
          <w:lang w:bidi="he-IL"/>
        </w:rPr>
        <w:t>המהרש</w:t>
      </w:r>
      <w:r w:rsidRPr="00400C0B">
        <w:rPr>
          <w:rFonts w:cs="Guttman Rashi"/>
          <w:rtl/>
          <w:lang w:bidi="he-IL"/>
        </w:rPr>
        <w:t>"</w:t>
      </w:r>
      <w:r w:rsidRPr="00400C0B">
        <w:rPr>
          <w:rFonts w:cs="Guttman Rashi" w:hint="eastAsia"/>
          <w:rtl/>
          <w:lang w:bidi="he-IL"/>
        </w:rPr>
        <w:t>א</w:t>
      </w:r>
    </w:p>
  </w:footnote>
  <w:footnote w:id="40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וחבשתי</w:t>
      </w:r>
      <w:r w:rsidRPr="00400C0B">
        <w:rPr>
          <w:rFonts w:cs="Guttman Rashi"/>
          <w:rtl/>
          <w:lang w:bidi="he-IL"/>
        </w:rPr>
        <w:t xml:space="preserve"> </w:t>
      </w:r>
      <w:r w:rsidRPr="00400C0B">
        <w:rPr>
          <w:rFonts w:cs="Guttman Rashi" w:hint="eastAsia"/>
          <w:rtl/>
          <w:lang w:bidi="he-IL"/>
        </w:rPr>
        <w:t>אולי</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דהנה</w:t>
      </w:r>
      <w:r w:rsidRPr="00400C0B">
        <w:rPr>
          <w:rFonts w:cs="Guttman Rashi"/>
          <w:rtl/>
          <w:lang w:bidi="he-IL"/>
        </w:rPr>
        <w:t xml:space="preserve"> </w:t>
      </w:r>
      <w:r w:rsidRPr="00400C0B">
        <w:rPr>
          <w:rFonts w:cs="Guttman Rashi" w:hint="eastAsia"/>
          <w:rtl/>
          <w:lang w:bidi="he-IL"/>
        </w:rPr>
        <w:t>בבישול</w:t>
      </w:r>
      <w:r w:rsidRPr="00400C0B">
        <w:rPr>
          <w:rFonts w:cs="Guttman Rashi"/>
          <w:rtl/>
          <w:lang w:bidi="he-IL"/>
        </w:rPr>
        <w:t xml:space="preserve"> </w:t>
      </w:r>
      <w:r w:rsidRPr="00400C0B">
        <w:rPr>
          <w:rFonts w:cs="Guttman Rashi" w:hint="eastAsia"/>
          <w:rtl/>
          <w:lang w:bidi="he-IL"/>
        </w:rPr>
        <w:t>משקין</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שגדר</w:t>
      </w:r>
      <w:r w:rsidRPr="00400C0B">
        <w:rPr>
          <w:rFonts w:cs="Guttman Rashi"/>
          <w:rtl/>
          <w:lang w:bidi="he-IL"/>
        </w:rPr>
        <w:t xml:space="preserve"> </w:t>
      </w:r>
      <w:r w:rsidRPr="00400C0B">
        <w:rPr>
          <w:rFonts w:cs="Guttman Rashi" w:hint="eastAsia"/>
          <w:rtl/>
          <w:lang w:bidi="he-IL"/>
        </w:rPr>
        <w:t>הבישול</w:t>
      </w:r>
      <w:r w:rsidRPr="00400C0B">
        <w:rPr>
          <w:rFonts w:cs="Guttman Rashi"/>
          <w:rtl/>
          <w:lang w:bidi="he-IL"/>
        </w:rPr>
        <w:t xml:space="preserve"> </w:t>
      </w:r>
      <w:r w:rsidRPr="00400C0B">
        <w:rPr>
          <w:rFonts w:cs="Guttman Rashi" w:hint="eastAsia"/>
          <w:rtl/>
          <w:lang w:bidi="he-IL"/>
        </w:rPr>
        <w:t>שלו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חימום</w:t>
      </w:r>
      <w:r w:rsidRPr="00400C0B">
        <w:rPr>
          <w:rFonts w:cs="Guttman Rashi"/>
          <w:rtl/>
          <w:lang w:bidi="he-IL"/>
        </w:rPr>
        <w:t xml:space="preserve"> </w:t>
      </w:r>
      <w:r w:rsidRPr="00400C0B">
        <w:rPr>
          <w:rFonts w:cs="Guttman Rashi" w:hint="eastAsia"/>
          <w:rtl/>
          <w:lang w:bidi="he-IL"/>
        </w:rPr>
        <w:t>המשקים</w:t>
      </w:r>
      <w:r w:rsidRPr="00400C0B">
        <w:rPr>
          <w:rFonts w:cs="Guttman Rashi"/>
          <w:rtl/>
          <w:lang w:bidi="he-IL"/>
        </w:rPr>
        <w:t xml:space="preserve"> </w:t>
      </w:r>
      <w:r w:rsidRPr="00400C0B">
        <w:rPr>
          <w:rFonts w:cs="Guttman Rashi" w:hint="eastAsia"/>
          <w:rtl/>
          <w:lang w:bidi="he-IL"/>
        </w:rPr>
        <w:t>בלבד</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שינוי</w:t>
      </w:r>
      <w:r w:rsidRPr="00400C0B">
        <w:rPr>
          <w:rFonts w:cs="Guttman Rashi"/>
          <w:rtl/>
          <w:lang w:bidi="he-IL"/>
        </w:rPr>
        <w:t xml:space="preserve"> </w:t>
      </w:r>
      <w:r w:rsidRPr="00400C0B">
        <w:rPr>
          <w:rFonts w:cs="Guttman Rashi" w:hint="eastAsia"/>
          <w:rtl/>
          <w:lang w:bidi="he-IL"/>
        </w:rPr>
        <w:t>במהותו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החפץ</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המהר</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קזיס</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העיד</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דיתכן</w:t>
      </w:r>
      <w:r w:rsidRPr="00400C0B">
        <w:rPr>
          <w:rFonts w:cs="Guttman Rashi"/>
          <w:rtl/>
          <w:lang w:bidi="he-IL"/>
        </w:rPr>
        <w:t xml:space="preserve"> </w:t>
      </w:r>
      <w:r w:rsidRPr="00400C0B">
        <w:rPr>
          <w:rFonts w:cs="Guttman Rashi" w:hint="eastAsia"/>
          <w:rtl/>
          <w:lang w:bidi="he-IL"/>
        </w:rPr>
        <w:t>שהדבר</w:t>
      </w:r>
      <w:r w:rsidRPr="00400C0B">
        <w:rPr>
          <w:rFonts w:cs="Guttman Rashi"/>
          <w:rtl/>
          <w:lang w:bidi="he-IL"/>
        </w:rPr>
        <w:t xml:space="preserve"> </w:t>
      </w:r>
      <w:r w:rsidRPr="00400C0B">
        <w:rPr>
          <w:rFonts w:cs="Guttman Rashi" w:hint="eastAsia"/>
          <w:rtl/>
          <w:lang w:bidi="he-IL"/>
        </w:rPr>
        <w:t>יגיע</w:t>
      </w:r>
      <w:r w:rsidRPr="00400C0B">
        <w:rPr>
          <w:rFonts w:cs="Guttman Rashi"/>
          <w:rtl/>
          <w:lang w:bidi="he-IL"/>
        </w:rPr>
        <w:t xml:space="preserve"> </w:t>
      </w:r>
      <w:r w:rsidRPr="00400C0B">
        <w:rPr>
          <w:rFonts w:cs="Guttman Rashi" w:hint="eastAsia"/>
          <w:rtl/>
          <w:lang w:bidi="he-IL"/>
        </w:rPr>
        <w:t>ליס</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לתוך</w:t>
      </w:r>
      <w:r w:rsidRPr="00400C0B">
        <w:rPr>
          <w:rFonts w:cs="Guttman Rashi"/>
          <w:rtl/>
          <w:lang w:bidi="he-IL"/>
        </w:rPr>
        <w:t xml:space="preserve"> </w:t>
      </w:r>
      <w:r w:rsidRPr="00400C0B">
        <w:rPr>
          <w:rFonts w:cs="Guttman Rashi" w:hint="eastAsia"/>
          <w:rtl/>
          <w:lang w:bidi="he-IL"/>
        </w:rPr>
        <w:t>הכלי</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יתבשל</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שהביאור</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לדברים</w:t>
      </w:r>
      <w:r w:rsidRPr="00400C0B">
        <w:rPr>
          <w:rFonts w:cs="Guttman Rashi"/>
          <w:rtl/>
          <w:lang w:bidi="he-IL"/>
        </w:rPr>
        <w:t xml:space="preserve"> </w:t>
      </w:r>
      <w:r w:rsidRPr="00400C0B">
        <w:rPr>
          <w:rFonts w:cs="Guttman Rashi" w:hint="eastAsia"/>
          <w:rtl/>
          <w:lang w:bidi="he-IL"/>
        </w:rPr>
        <w:t>גושים</w:t>
      </w:r>
      <w:r w:rsidRPr="00400C0B">
        <w:rPr>
          <w:rFonts w:cs="Guttman Rashi"/>
          <w:rtl/>
          <w:lang w:bidi="he-IL"/>
        </w:rPr>
        <w:t xml:space="preserve"> </w:t>
      </w:r>
      <w:r w:rsidRPr="00400C0B">
        <w:rPr>
          <w:rFonts w:cs="Guttman Rashi" w:hint="eastAsia"/>
          <w:rtl/>
          <w:lang w:bidi="he-IL"/>
        </w:rPr>
        <w:t>הנופלים</w:t>
      </w:r>
      <w:r w:rsidRPr="00400C0B">
        <w:rPr>
          <w:rFonts w:cs="Guttman Rashi"/>
          <w:rtl/>
          <w:lang w:bidi="he-IL"/>
        </w:rPr>
        <w:t xml:space="preserve"> </w:t>
      </w:r>
      <w:r w:rsidRPr="00400C0B">
        <w:rPr>
          <w:rFonts w:cs="Guttman Rashi" w:hint="eastAsia"/>
          <w:rtl/>
          <w:lang w:bidi="he-IL"/>
        </w:rPr>
        <w:t>לתוך</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ראשון</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לדברים</w:t>
      </w:r>
      <w:r w:rsidRPr="00400C0B">
        <w:rPr>
          <w:rFonts w:cs="Guttman Rashi"/>
          <w:rtl/>
          <w:lang w:bidi="he-IL"/>
        </w:rPr>
        <w:t xml:space="preserve"> </w:t>
      </w:r>
      <w:r w:rsidRPr="00400C0B">
        <w:rPr>
          <w:rFonts w:cs="Guttman Rashi" w:hint="eastAsia"/>
          <w:rtl/>
          <w:lang w:bidi="he-IL"/>
        </w:rPr>
        <w:t>לחים</w:t>
      </w:r>
      <w:r w:rsidRPr="00400C0B">
        <w:rPr>
          <w:rFonts w:cs="Guttman Rashi"/>
          <w:rtl/>
          <w:lang w:bidi="he-IL"/>
        </w:rPr>
        <w:t xml:space="preserve"> </w:t>
      </w:r>
      <w:r w:rsidRPr="00400C0B">
        <w:rPr>
          <w:rFonts w:cs="Guttman Rashi" w:hint="eastAsia"/>
          <w:rtl/>
          <w:lang w:bidi="he-IL"/>
        </w:rPr>
        <w:t>הנופלים</w:t>
      </w:r>
      <w:r w:rsidRPr="00400C0B">
        <w:rPr>
          <w:rFonts w:cs="Guttman Rashi"/>
          <w:rtl/>
          <w:lang w:bidi="he-IL"/>
        </w:rPr>
        <w:t xml:space="preserve"> </w:t>
      </w:r>
      <w:r w:rsidRPr="00400C0B">
        <w:rPr>
          <w:rFonts w:cs="Guttman Rashi" w:hint="eastAsia"/>
          <w:rtl/>
          <w:lang w:bidi="he-IL"/>
        </w:rPr>
        <w:t>למשקין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בישולם</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חימומם</w:t>
      </w:r>
      <w:r w:rsidRPr="00400C0B">
        <w:rPr>
          <w:rFonts w:cs="Guttman Rashi"/>
          <w:rtl/>
          <w:lang w:bidi="he-IL"/>
        </w:rPr>
        <w:t xml:space="preserve"> </w:t>
      </w:r>
      <w:r w:rsidRPr="00400C0B">
        <w:rPr>
          <w:rFonts w:cs="Guttman Rashi" w:hint="eastAsia"/>
          <w:rtl/>
          <w:lang w:bidi="he-IL"/>
        </w:rPr>
        <w:t>מא</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ובזה</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לדברי</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שאינם</w:t>
      </w:r>
      <w:r w:rsidRPr="00400C0B">
        <w:rPr>
          <w:rFonts w:cs="Guttman Rashi"/>
          <w:rtl/>
          <w:lang w:bidi="he-IL"/>
        </w:rPr>
        <w:t xml:space="preserve"> </w:t>
      </w:r>
      <w:r w:rsidRPr="00400C0B">
        <w:rPr>
          <w:rFonts w:cs="Guttman Rashi" w:hint="eastAsia"/>
          <w:rtl/>
          <w:lang w:bidi="he-IL"/>
        </w:rPr>
        <w:t>מגיעים</w:t>
      </w:r>
      <w:r w:rsidRPr="00400C0B">
        <w:rPr>
          <w:rFonts w:cs="Guttman Rashi"/>
          <w:rtl/>
          <w:lang w:bidi="he-IL"/>
        </w:rPr>
        <w:t xml:space="preserve"> </w:t>
      </w:r>
      <w:r w:rsidRPr="00400C0B">
        <w:rPr>
          <w:rFonts w:cs="Guttman Rashi" w:hint="eastAsia"/>
          <w:rtl/>
          <w:lang w:bidi="he-IL"/>
        </w:rPr>
        <w:t>ליס</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מתערבים</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אולי</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שכל</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אינם</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במשקין</w:t>
      </w:r>
      <w:r w:rsidRPr="00400C0B">
        <w:rPr>
          <w:rFonts w:cs="Guttman Rashi"/>
          <w:rtl/>
          <w:lang w:bidi="he-IL"/>
        </w:rPr>
        <w:t xml:space="preserve"> </w:t>
      </w:r>
      <w:r w:rsidRPr="00400C0B">
        <w:rPr>
          <w:rFonts w:cs="Guttman Rashi" w:hint="eastAsia"/>
          <w:rtl/>
          <w:lang w:bidi="he-IL"/>
        </w:rPr>
        <w:t>המתערבים</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דברים</w:t>
      </w:r>
      <w:r w:rsidRPr="00400C0B">
        <w:rPr>
          <w:rFonts w:cs="Guttman Rashi"/>
          <w:rtl/>
          <w:lang w:bidi="he-IL"/>
        </w:rPr>
        <w:t xml:space="preserve"> </w:t>
      </w:r>
      <w:r w:rsidRPr="00400C0B">
        <w:rPr>
          <w:rFonts w:cs="Guttman Rashi" w:hint="eastAsia"/>
          <w:rtl/>
          <w:lang w:bidi="he-IL"/>
        </w:rPr>
        <w:t>גושים</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שנשארים</w:t>
      </w:r>
      <w:r w:rsidRPr="00400C0B">
        <w:rPr>
          <w:rFonts w:cs="Guttman Rashi"/>
          <w:rtl/>
          <w:lang w:bidi="he-IL"/>
        </w:rPr>
        <w:t xml:space="preserve"> </w:t>
      </w:r>
      <w:r w:rsidRPr="00400C0B">
        <w:rPr>
          <w:rFonts w:cs="Guttman Rashi" w:hint="eastAsia"/>
          <w:rtl/>
          <w:lang w:bidi="he-IL"/>
        </w:rPr>
        <w:t>במקום</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יכולים</w:t>
      </w:r>
      <w:r w:rsidRPr="00400C0B">
        <w:rPr>
          <w:rFonts w:cs="Guttman Rashi"/>
          <w:rtl/>
          <w:lang w:bidi="he-IL"/>
        </w:rPr>
        <w:t xml:space="preserve"> </w:t>
      </w:r>
      <w:r w:rsidRPr="00400C0B">
        <w:rPr>
          <w:rFonts w:cs="Guttman Rashi" w:hint="eastAsia"/>
          <w:rtl/>
          <w:lang w:bidi="he-IL"/>
        </w:rPr>
        <w:t>להביע</w:t>
      </w:r>
      <w:r w:rsidRPr="00400C0B">
        <w:rPr>
          <w:rFonts w:cs="Guttman Rashi"/>
          <w:rtl/>
          <w:lang w:bidi="he-IL"/>
        </w:rPr>
        <w:t xml:space="preserve"> </w:t>
      </w:r>
      <w:r w:rsidRPr="00400C0B">
        <w:rPr>
          <w:rFonts w:cs="Guttman Rashi" w:hint="eastAsia"/>
          <w:rtl/>
          <w:lang w:bidi="he-IL"/>
        </w:rPr>
        <w:t>ליס</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שאינם</w:t>
      </w:r>
      <w:r w:rsidRPr="00400C0B">
        <w:rPr>
          <w:rFonts w:cs="Guttman Rashi"/>
          <w:rtl/>
          <w:lang w:bidi="he-IL"/>
        </w:rPr>
        <w:t xml:space="preserve"> </w:t>
      </w:r>
      <w:r w:rsidRPr="00400C0B">
        <w:rPr>
          <w:rFonts w:cs="Guttman Rashi" w:hint="eastAsia"/>
          <w:rtl/>
          <w:lang w:bidi="he-IL"/>
        </w:rPr>
        <w:t>מתבשלים</w:t>
      </w:r>
      <w:r w:rsidRPr="00400C0B">
        <w:rPr>
          <w:rFonts w:cs="Guttman Rashi"/>
          <w:rtl/>
          <w:lang w:bidi="he-IL"/>
        </w:rPr>
        <w:t xml:space="preserve">. </w:t>
      </w:r>
      <w:r w:rsidRPr="00400C0B">
        <w:rPr>
          <w:rFonts w:cs="Guttman Rashi" w:hint="eastAsia"/>
          <w:rtl/>
          <w:lang w:bidi="he-IL"/>
        </w:rPr>
        <w:t>באופן</w:t>
      </w:r>
      <w:r w:rsidRPr="00400C0B">
        <w:rPr>
          <w:rFonts w:cs="Guttman Rashi"/>
          <w:rtl/>
          <w:lang w:bidi="he-IL"/>
        </w:rPr>
        <w:t xml:space="preserve"> </w:t>
      </w:r>
      <w:r w:rsidRPr="00400C0B">
        <w:rPr>
          <w:rFonts w:cs="Guttman Rashi" w:hint="eastAsia"/>
          <w:rtl/>
          <w:lang w:bidi="he-IL"/>
        </w:rPr>
        <w:t>שי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דלעולם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מחלוקת</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לתוס</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ביארו</w:t>
      </w:r>
      <w:r w:rsidRPr="00400C0B">
        <w:rPr>
          <w:rFonts w:cs="Guttman Rashi"/>
          <w:rtl/>
          <w:lang w:bidi="he-IL"/>
        </w:rPr>
        <w:t xml:space="preserve"> </w:t>
      </w:r>
      <w:r w:rsidRPr="00400C0B">
        <w:rPr>
          <w:rFonts w:cs="Guttman Rashi" w:hint="eastAsia"/>
          <w:rtl/>
          <w:lang w:bidi="he-IL"/>
        </w:rPr>
        <w:t>בגוש</w:t>
      </w:r>
      <w:r w:rsidRPr="00400C0B">
        <w:rPr>
          <w:rFonts w:cs="Guttman Rashi"/>
          <w:rtl/>
          <w:lang w:bidi="he-IL"/>
        </w:rPr>
        <w:t xml:space="preserve"> </w:t>
      </w:r>
      <w:r w:rsidRPr="00400C0B">
        <w:rPr>
          <w:rFonts w:cs="Guttman Rashi" w:hint="eastAsia"/>
          <w:rtl/>
          <w:lang w:bidi="he-IL"/>
        </w:rPr>
        <w:t>לתוך</w:t>
      </w:r>
      <w:r w:rsidRPr="00400C0B">
        <w:rPr>
          <w:rFonts w:cs="Guttman Rashi"/>
          <w:rtl/>
          <w:lang w:bidi="he-IL"/>
        </w:rPr>
        <w:t xml:space="preserve"> </w:t>
      </w:r>
      <w:r w:rsidRPr="00400C0B">
        <w:rPr>
          <w:rFonts w:cs="Guttman Rashi" w:hint="eastAsia"/>
          <w:rtl/>
          <w:lang w:bidi="he-IL"/>
        </w:rPr>
        <w:t>משקין</w:t>
      </w:r>
      <w:r w:rsidRPr="00400C0B">
        <w:rPr>
          <w:rFonts w:cs="Guttman Rashi"/>
          <w:rtl/>
          <w:lang w:bidi="he-IL"/>
        </w:rPr>
        <w:t xml:space="preserve">, </w:t>
      </w:r>
      <w:r w:rsidRPr="00400C0B">
        <w:rPr>
          <w:rFonts w:cs="Guttman Rashi" w:hint="eastAsia"/>
          <w:rtl/>
          <w:lang w:bidi="he-IL"/>
        </w:rPr>
        <w:t>והרשב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במשקין</w:t>
      </w:r>
      <w:r w:rsidRPr="00400C0B">
        <w:rPr>
          <w:rFonts w:cs="Guttman Rashi"/>
          <w:rtl/>
          <w:lang w:bidi="he-IL"/>
        </w:rPr>
        <w:t xml:space="preserve"> </w:t>
      </w:r>
      <w:r w:rsidRPr="00400C0B">
        <w:rPr>
          <w:rFonts w:cs="Guttman Rashi" w:hint="eastAsia"/>
          <w:rtl/>
          <w:lang w:bidi="he-IL"/>
        </w:rPr>
        <w:t>לתוך</w:t>
      </w:r>
      <w:r w:rsidRPr="00400C0B">
        <w:rPr>
          <w:rFonts w:cs="Guttman Rashi"/>
          <w:rtl/>
          <w:lang w:bidi="he-IL"/>
        </w:rPr>
        <w:t xml:space="preserve"> </w:t>
      </w:r>
      <w:r w:rsidRPr="00400C0B">
        <w:rPr>
          <w:rFonts w:cs="Guttman Rashi" w:hint="eastAsia"/>
          <w:rtl/>
          <w:lang w:bidi="he-IL"/>
        </w:rPr>
        <w:t>משקין</w:t>
      </w:r>
      <w:r w:rsidRPr="00400C0B">
        <w:rPr>
          <w:rFonts w:cs="Guttman Rashi"/>
          <w:rtl/>
          <w:lang w:bidi="he-IL"/>
        </w:rPr>
        <w:t xml:space="preserve">. </w:t>
      </w:r>
      <w:r w:rsidRPr="00400C0B">
        <w:rPr>
          <w:rFonts w:cs="Guttman Rashi" w:hint="eastAsia"/>
          <w:rtl/>
          <w:lang w:bidi="he-IL"/>
        </w:rPr>
        <w:t>וחידוש</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p>
  </w:footnote>
  <w:footnote w:id="40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ביד</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שדן</w:t>
      </w:r>
      <w:r w:rsidRPr="00400C0B">
        <w:rPr>
          <w:rFonts w:cs="Guttman Rashi"/>
          <w:rtl/>
          <w:lang w:bidi="he-IL"/>
        </w:rPr>
        <w:t xml:space="preserve"> </w:t>
      </w:r>
      <w:r w:rsidRPr="00400C0B">
        <w:rPr>
          <w:rFonts w:cs="Guttman Rashi" w:hint="eastAsia"/>
          <w:rtl/>
          <w:lang w:bidi="he-IL"/>
        </w:rPr>
        <w:t>בדבריו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w:t>
      </w:r>
    </w:p>
  </w:footnote>
  <w:footnote w:id="40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להדגיש</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להוכיח</w:t>
      </w:r>
      <w:r w:rsidRPr="00400C0B">
        <w:rPr>
          <w:rFonts w:cs="Guttman Rashi"/>
          <w:rtl/>
          <w:lang w:bidi="he-IL"/>
        </w:rPr>
        <w:t xml:space="preserve"> </w:t>
      </w:r>
      <w:r w:rsidRPr="00400C0B">
        <w:rPr>
          <w:rFonts w:cs="Guttman Rashi" w:hint="eastAsia"/>
          <w:rtl/>
          <w:lang w:bidi="he-IL"/>
        </w:rPr>
        <w:t>יסוד</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ממה</w:t>
      </w:r>
      <w:r w:rsidRPr="00400C0B">
        <w:rPr>
          <w:rFonts w:cs="Guttman Rashi"/>
          <w:rtl/>
          <w:lang w:bidi="he-IL"/>
        </w:rPr>
        <w:t xml:space="preserve"> </w:t>
      </w:r>
      <w:r w:rsidRPr="00400C0B">
        <w:rPr>
          <w:rFonts w:cs="Guttman Rashi" w:hint="eastAsia"/>
          <w:rtl/>
          <w:lang w:bidi="he-IL"/>
        </w:rPr>
        <w:t>שרצתה</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להביא</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לרב</w:t>
      </w:r>
      <w:r w:rsidRPr="00400C0B">
        <w:rPr>
          <w:rFonts w:cs="Guttman Rashi"/>
          <w:rtl/>
          <w:lang w:bidi="he-IL"/>
        </w:rPr>
        <w:t xml:space="preserve"> </w:t>
      </w:r>
      <w:r w:rsidRPr="00400C0B">
        <w:rPr>
          <w:rFonts w:cs="Guttman Rashi" w:hint="eastAsia"/>
          <w:rtl/>
          <w:lang w:bidi="he-IL"/>
        </w:rPr>
        <w:t>מסכו</w:t>
      </w:r>
      <w:r w:rsidRPr="00400C0B">
        <w:rPr>
          <w:rFonts w:cs="Guttman Rashi"/>
          <w:rtl/>
          <w:lang w:bidi="he-IL"/>
        </w:rPr>
        <w:t xml:space="preserve"> </w:t>
      </w:r>
      <w:r w:rsidRPr="00400C0B">
        <w:rPr>
          <w:rFonts w:cs="Guttman Rashi" w:hint="eastAsia"/>
          <w:rtl/>
          <w:lang w:bidi="he-IL"/>
        </w:rPr>
        <w:t>במשמן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תרומה</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דצריכים</w:t>
      </w:r>
      <w:r w:rsidRPr="00400C0B">
        <w:rPr>
          <w:rFonts w:cs="Guttman Rashi"/>
          <w:rtl/>
          <w:lang w:bidi="he-IL"/>
        </w:rPr>
        <w:t xml:space="preserve"> </w:t>
      </w:r>
      <w:r w:rsidRPr="00400C0B">
        <w:rPr>
          <w:rFonts w:cs="Guttman Rashi" w:hint="eastAsia"/>
          <w:rtl/>
          <w:lang w:bidi="he-IL"/>
        </w:rPr>
        <w:t>קליפה</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בפסחים</w:t>
      </w:r>
      <w:r w:rsidRPr="00400C0B">
        <w:rPr>
          <w:rFonts w:cs="Guttman Rashi"/>
          <w:rtl/>
          <w:lang w:bidi="he-IL"/>
        </w:rPr>
        <w:t xml:space="preserve"> </w:t>
      </w:r>
      <w:r w:rsidRPr="00400C0B">
        <w:rPr>
          <w:rFonts w:cs="Guttman Rashi" w:hint="eastAsia"/>
          <w:rtl/>
          <w:lang w:bidi="he-IL"/>
        </w:rPr>
        <w:t>הוכיחו</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צלוי</w:t>
      </w:r>
      <w:r w:rsidRPr="00400C0B">
        <w:rPr>
          <w:rFonts w:cs="Guttman Rashi"/>
          <w:rtl/>
          <w:lang w:bidi="he-IL"/>
        </w:rPr>
        <w:t xml:space="preserve"> </w:t>
      </w:r>
      <w:r w:rsidRPr="00400C0B">
        <w:rPr>
          <w:rFonts w:cs="Guttman Rashi" w:hint="eastAsia"/>
          <w:rtl/>
          <w:lang w:bidi="he-IL"/>
        </w:rPr>
        <w:t>צונן</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קליפה</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צלוי</w:t>
      </w:r>
      <w:r w:rsidRPr="00400C0B">
        <w:rPr>
          <w:rFonts w:cs="Guttman Rashi"/>
          <w:rtl/>
          <w:lang w:bidi="he-IL"/>
        </w:rPr>
        <w:t xml:space="preserve"> </w:t>
      </w:r>
      <w:r w:rsidRPr="00400C0B">
        <w:rPr>
          <w:rFonts w:cs="Guttman Rashi" w:hint="eastAsia"/>
          <w:rtl/>
          <w:lang w:bidi="he-IL"/>
        </w:rPr>
        <w:t>חם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גרע</w:t>
      </w:r>
      <w:r w:rsidRPr="00400C0B">
        <w:rPr>
          <w:rFonts w:cs="Guttman Rashi"/>
          <w:rtl/>
          <w:lang w:bidi="he-IL"/>
        </w:rPr>
        <w:t xml:space="preserve"> </w:t>
      </w:r>
      <w:r w:rsidRPr="00400C0B">
        <w:rPr>
          <w:rFonts w:cs="Guttman Rashi" w:hint="eastAsia"/>
          <w:rtl/>
          <w:lang w:bidi="he-IL"/>
        </w:rPr>
        <w:t>מיני</w:t>
      </w:r>
      <w:r w:rsidRPr="00400C0B">
        <w:rPr>
          <w:rFonts w:cs="Guttman Rashi"/>
          <w:rtl/>
          <w:lang w:bidi="he-IL"/>
        </w:rPr>
        <w:t xml:space="preserve">', </w:t>
      </w:r>
      <w:r w:rsidRPr="00400C0B">
        <w:rPr>
          <w:rFonts w:cs="Guttman Rashi" w:hint="eastAsia"/>
          <w:rtl/>
          <w:lang w:bidi="he-IL"/>
        </w:rPr>
        <w:t>ובזה</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היסוד</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w:t>
      </w:r>
    </w:p>
  </w:footnote>
  <w:footnote w:id="41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ולעיל</w:t>
      </w:r>
      <w:r w:rsidRPr="00400C0B">
        <w:rPr>
          <w:rFonts w:cs="Guttman Rashi"/>
          <w:rtl/>
          <w:lang w:bidi="he-IL"/>
        </w:rPr>
        <w:t xml:space="preserve"> </w:t>
      </w:r>
      <w:r w:rsidRPr="00400C0B">
        <w:rPr>
          <w:rFonts w:cs="Guttman Rashi" w:hint="eastAsia"/>
          <w:rtl/>
          <w:lang w:bidi="he-IL"/>
        </w:rPr>
        <w:t>הבאנו</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חיי</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והעירו</w:t>
      </w:r>
      <w:r w:rsidRPr="00400C0B">
        <w:rPr>
          <w:rFonts w:cs="Guttman Rashi"/>
          <w:rtl/>
          <w:lang w:bidi="he-IL"/>
        </w:rPr>
        <w:t xml:space="preserve"> </w:t>
      </w:r>
      <w:r w:rsidRPr="00400C0B">
        <w:rPr>
          <w:rFonts w:cs="Guttman Rashi" w:hint="eastAsia"/>
          <w:rtl/>
          <w:lang w:bidi="he-IL"/>
        </w:rPr>
        <w:t>דאע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דחזינן</w:t>
      </w:r>
      <w:r w:rsidRPr="00400C0B">
        <w:rPr>
          <w:rFonts w:cs="Guttman Rashi"/>
          <w:rtl/>
          <w:lang w:bidi="he-IL"/>
        </w:rPr>
        <w:t xml:space="preserve"> </w:t>
      </w:r>
      <w:r w:rsidRPr="00400C0B">
        <w:rPr>
          <w:rFonts w:cs="Guttman Rashi" w:hint="eastAsia"/>
          <w:rtl/>
          <w:lang w:bidi="he-IL"/>
        </w:rPr>
        <w:t>מיני</w:t>
      </w:r>
      <w:r w:rsidRPr="00400C0B">
        <w:rPr>
          <w:rFonts w:cs="Guttman Rashi"/>
          <w:rtl/>
          <w:lang w:bidi="he-IL"/>
        </w:rPr>
        <w:t xml:space="preserve">' </w:t>
      </w:r>
      <w:r w:rsidRPr="00400C0B">
        <w:rPr>
          <w:rFonts w:cs="Guttman Rashi" w:hint="eastAsia"/>
          <w:rtl/>
          <w:lang w:bidi="he-IL"/>
        </w:rPr>
        <w:t>המוסג</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שני</w:t>
      </w:r>
      <w:r w:rsidRPr="00400C0B">
        <w:rPr>
          <w:rFonts w:cs="Guttman Rashi"/>
          <w:rtl/>
          <w:lang w:bidi="he-IL"/>
        </w:rPr>
        <w:t xml:space="preserve"> </w:t>
      </w:r>
      <w:r w:rsidRPr="00400C0B">
        <w:rPr>
          <w:rFonts w:cs="Guttman Rashi" w:hint="eastAsia"/>
          <w:rtl/>
          <w:lang w:bidi="he-IL"/>
        </w:rPr>
        <w:t>המבשל</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מדבריו</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באמבטי</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כוס</w:t>
      </w:r>
      <w:r w:rsidRPr="00400C0B">
        <w:rPr>
          <w:rFonts w:cs="Guttman Rashi"/>
          <w:rtl/>
          <w:lang w:bidi="he-IL"/>
        </w:rPr>
        <w:t xml:space="preserve"> </w:t>
      </w:r>
      <w:r w:rsidRPr="00400C0B">
        <w:rPr>
          <w:rFonts w:cs="Guttman Rashi" w:hint="eastAsia"/>
          <w:rtl/>
          <w:lang w:bidi="he-IL"/>
        </w:rPr>
        <w:t>המבשל</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חיישינן</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כוס</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חם</w:t>
      </w:r>
      <w:r w:rsidRPr="00400C0B">
        <w:rPr>
          <w:rFonts w:cs="Guttman Rashi"/>
          <w:rtl/>
          <w:lang w:bidi="he-IL"/>
        </w:rPr>
        <w:t xml:space="preserve"> </w:t>
      </w:r>
      <w:r w:rsidRPr="00400C0B">
        <w:rPr>
          <w:rFonts w:cs="Guttman Rashi" w:hint="eastAsia"/>
          <w:rtl/>
          <w:lang w:bidi="he-IL"/>
        </w:rPr>
        <w:t>מדי</w:t>
      </w:r>
      <w:r w:rsidRPr="00400C0B">
        <w:rPr>
          <w:rFonts w:cs="Guttman Rashi"/>
          <w:rtl/>
          <w:lang w:bidi="he-IL"/>
        </w:rPr>
        <w:t>.</w:t>
      </w:r>
    </w:p>
  </w:footnote>
  <w:footnote w:id="41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וראיתי</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שבט</w:t>
      </w:r>
      <w:r w:rsidRPr="00400C0B">
        <w:rPr>
          <w:rFonts w:cs="Guttman Rashi"/>
          <w:rtl/>
          <w:lang w:bidi="he-IL"/>
        </w:rPr>
        <w:t xml:space="preserve"> </w:t>
      </w:r>
      <w:r w:rsidRPr="00400C0B">
        <w:rPr>
          <w:rFonts w:cs="Guttman Rashi" w:hint="eastAsia"/>
          <w:rtl/>
          <w:lang w:bidi="he-IL"/>
        </w:rPr>
        <w:t>הלוי</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במקום</w:t>
      </w:r>
      <w:r w:rsidRPr="00400C0B">
        <w:rPr>
          <w:rFonts w:cs="Guttman Rashi"/>
          <w:rtl/>
          <w:lang w:bidi="he-IL"/>
        </w:rPr>
        <w:t xml:space="preserve"> </w:t>
      </w:r>
      <w:r w:rsidRPr="00400C0B">
        <w:rPr>
          <w:rFonts w:cs="Guttman Rashi" w:hint="eastAsia"/>
          <w:rtl/>
          <w:lang w:bidi="he-IL"/>
        </w:rPr>
        <w:t>הפסד</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הפמ</w:t>
      </w:r>
      <w:r w:rsidRPr="00400C0B">
        <w:rPr>
          <w:rFonts w:cs="Guttman Rashi"/>
          <w:rtl/>
          <w:lang w:bidi="he-IL"/>
        </w:rPr>
        <w:t>"</w:t>
      </w:r>
      <w:r w:rsidRPr="00400C0B">
        <w:rPr>
          <w:rFonts w:cs="Guttman Rashi" w:hint="eastAsia"/>
          <w:rtl/>
          <w:lang w:bidi="he-IL"/>
        </w:rPr>
        <w:t>ר</w:t>
      </w:r>
      <w:r w:rsidRPr="00400C0B">
        <w:rPr>
          <w:rFonts w:cs="Guttman Rashi"/>
          <w:rtl/>
          <w:lang w:bidi="he-IL"/>
        </w:rPr>
        <w:t>.</w:t>
      </w:r>
    </w:p>
  </w:footnote>
  <w:footnote w:id="41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והי</w:t>
      </w:r>
      <w:r w:rsidRPr="00400C0B">
        <w:rPr>
          <w:rFonts w:cs="Guttman Rashi"/>
          <w:rtl/>
          <w:lang w:bidi="he-IL"/>
        </w:rPr>
        <w:t xml:space="preserve">' </w:t>
      </w:r>
      <w:r w:rsidRPr="00400C0B">
        <w:rPr>
          <w:rFonts w:cs="Guttman Rashi" w:hint="eastAsia"/>
          <w:rtl/>
          <w:lang w:bidi="he-IL"/>
        </w:rPr>
        <w:t>נלעוק</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שכן</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מדברי</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באו</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תנ</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מג</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היטב</w:t>
      </w:r>
      <w:r w:rsidRPr="00400C0B">
        <w:rPr>
          <w:rFonts w:cs="Guttman Rashi"/>
          <w:rtl/>
          <w:lang w:bidi="he-IL"/>
        </w:rPr>
        <w:t>.</w:t>
      </w:r>
    </w:p>
  </w:footnote>
  <w:footnote w:id="41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לולא</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לחלוק</w:t>
      </w:r>
      <w:r w:rsidRPr="00400C0B">
        <w:rPr>
          <w:rFonts w:cs="Guttman Rashi"/>
          <w:rtl/>
          <w:lang w:bidi="he-IL"/>
        </w:rPr>
        <w:t xml:space="preserve"> </w:t>
      </w:r>
      <w:r w:rsidRPr="00400C0B">
        <w:rPr>
          <w:rFonts w:cs="Guttman Rashi" w:hint="eastAsia"/>
          <w:rtl/>
          <w:lang w:bidi="he-IL"/>
        </w:rPr>
        <w:t>מסברא</w:t>
      </w:r>
      <w:r w:rsidRPr="00400C0B">
        <w:rPr>
          <w:rFonts w:cs="Guttman Rashi"/>
          <w:rtl/>
          <w:lang w:bidi="he-IL"/>
        </w:rPr>
        <w:t xml:space="preserve">, </w:t>
      </w:r>
      <w:r w:rsidRPr="00400C0B">
        <w:rPr>
          <w:rFonts w:cs="Guttman Rashi" w:hint="eastAsia"/>
          <w:rtl/>
          <w:lang w:bidi="he-IL"/>
        </w:rPr>
        <w:t>דבשלמא</w:t>
      </w:r>
      <w:r w:rsidRPr="00400C0B">
        <w:rPr>
          <w:rFonts w:cs="Guttman Rashi"/>
          <w:rtl/>
          <w:lang w:bidi="he-IL"/>
        </w:rPr>
        <w:t xml:space="preserve"> </w:t>
      </w:r>
      <w:r w:rsidRPr="00400C0B">
        <w:rPr>
          <w:rFonts w:cs="Guttman Rashi" w:hint="eastAsia"/>
          <w:rtl/>
          <w:lang w:bidi="he-IL"/>
        </w:rPr>
        <w:t>חם</w:t>
      </w:r>
      <w:r w:rsidRPr="00400C0B">
        <w:rPr>
          <w:rFonts w:cs="Guttman Rashi"/>
          <w:rtl/>
          <w:lang w:bidi="he-IL"/>
        </w:rPr>
        <w:t xml:space="preserve"> </w:t>
      </w:r>
      <w:r w:rsidRPr="00400C0B">
        <w:rPr>
          <w:rFonts w:cs="Guttman Rashi" w:hint="eastAsia"/>
          <w:rtl/>
          <w:lang w:bidi="he-IL"/>
        </w:rPr>
        <w:t>לתוך</w:t>
      </w:r>
      <w:r w:rsidRPr="00400C0B">
        <w:rPr>
          <w:rFonts w:cs="Guttman Rashi"/>
          <w:rtl/>
          <w:lang w:bidi="he-IL"/>
        </w:rPr>
        <w:t xml:space="preserve"> </w:t>
      </w:r>
      <w:r w:rsidRPr="00400C0B">
        <w:rPr>
          <w:rFonts w:cs="Guttman Rashi" w:hint="eastAsia"/>
          <w:rtl/>
          <w:lang w:bidi="he-IL"/>
        </w:rPr>
        <w:t>צונן</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שמתחיל</w:t>
      </w:r>
      <w:r w:rsidRPr="00400C0B">
        <w:rPr>
          <w:rFonts w:cs="Guttman Rashi"/>
          <w:rtl/>
          <w:lang w:bidi="he-IL"/>
        </w:rPr>
        <w:t xml:space="preserve"> </w:t>
      </w:r>
      <w:r w:rsidRPr="00400C0B">
        <w:rPr>
          <w:rFonts w:cs="Guttman Rashi" w:hint="eastAsia"/>
          <w:rtl/>
          <w:lang w:bidi="he-IL"/>
        </w:rPr>
        <w:t>פעולה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צינון</w:t>
      </w:r>
      <w:r w:rsidRPr="00400C0B">
        <w:rPr>
          <w:rFonts w:cs="Guttman Rashi"/>
          <w:rtl/>
          <w:lang w:bidi="he-IL"/>
        </w:rPr>
        <w:t xml:space="preserve">, </w:t>
      </w:r>
      <w:r w:rsidRPr="00400C0B">
        <w:rPr>
          <w:rFonts w:cs="Guttman Rashi" w:hint="eastAsia"/>
          <w:rtl/>
          <w:lang w:bidi="he-IL"/>
        </w:rPr>
        <w:t>פעולה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גורמת</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בליעה</w:t>
      </w:r>
      <w:r w:rsidRPr="00400C0B">
        <w:rPr>
          <w:rFonts w:cs="Guttman Rashi"/>
          <w:rtl/>
          <w:lang w:bidi="he-IL"/>
        </w:rPr>
        <w:t xml:space="preserve"> </w:t>
      </w:r>
      <w:r w:rsidRPr="00400C0B">
        <w:rPr>
          <w:rFonts w:cs="Guttman Rashi" w:hint="eastAsia"/>
          <w:rtl/>
          <w:lang w:bidi="he-IL"/>
        </w:rPr>
        <w:t>פורתא</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לצד</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דליכא</w:t>
      </w:r>
      <w:r w:rsidRPr="00400C0B">
        <w:rPr>
          <w:rFonts w:cs="Guttman Rashi"/>
          <w:rtl/>
          <w:lang w:bidi="he-IL"/>
        </w:rPr>
        <w:t xml:space="preserve"> </w:t>
      </w:r>
      <w:r w:rsidRPr="00400C0B">
        <w:rPr>
          <w:rFonts w:cs="Guttman Rashi" w:hint="eastAsia"/>
          <w:rtl/>
          <w:lang w:bidi="he-IL"/>
        </w:rPr>
        <w:t>צינון</w:t>
      </w:r>
      <w:r w:rsidRPr="00400C0B">
        <w:rPr>
          <w:rFonts w:cs="Guttman Rashi"/>
          <w:rtl/>
          <w:lang w:bidi="he-IL"/>
        </w:rPr>
        <w:t xml:space="preserve"> </w:t>
      </w:r>
      <w:r w:rsidRPr="00400C0B">
        <w:rPr>
          <w:rFonts w:cs="Guttman Rashi" w:hint="eastAsia"/>
          <w:rtl/>
          <w:lang w:bidi="he-IL"/>
        </w:rPr>
        <w:t>אולי</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בלע</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p>
  </w:footnote>
  <w:footnote w:id="41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באו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בפר</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רצה</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 xml:space="preserve"> </w:t>
      </w:r>
      <w:r w:rsidRPr="00400C0B">
        <w:rPr>
          <w:rFonts w:cs="Guttman Rashi" w:hint="eastAsia"/>
          <w:rtl/>
          <w:lang w:bidi="he-IL"/>
        </w:rPr>
        <w:t>שהגהותת</w:t>
      </w:r>
      <w:r w:rsidRPr="00400C0B">
        <w:rPr>
          <w:rFonts w:cs="Guttman Rashi"/>
          <w:rtl/>
          <w:lang w:bidi="he-IL"/>
        </w:rPr>
        <w:t xml:space="preserve"> </w:t>
      </w:r>
      <w:r w:rsidRPr="00400C0B">
        <w:rPr>
          <w:rFonts w:cs="Guttman Rashi" w:hint="eastAsia"/>
          <w:rtl/>
          <w:lang w:bidi="he-IL"/>
        </w:rPr>
        <w:t>סמ</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שהאיסור</w:t>
      </w:r>
      <w:r w:rsidRPr="00400C0B">
        <w:rPr>
          <w:rFonts w:cs="Guttman Rashi"/>
          <w:rtl/>
          <w:lang w:bidi="he-IL"/>
        </w:rPr>
        <w:t xml:space="preserve"> </w:t>
      </w:r>
      <w:r w:rsidRPr="00400C0B">
        <w:rPr>
          <w:rFonts w:cs="Guttman Rashi" w:hint="eastAsia"/>
          <w:rtl/>
          <w:lang w:bidi="he-IL"/>
        </w:rPr>
        <w:t>כחוש</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כולו</w:t>
      </w:r>
      <w:r w:rsidRPr="00400C0B">
        <w:rPr>
          <w:rFonts w:cs="Guttman Rashi"/>
          <w:rtl/>
          <w:lang w:bidi="he-IL"/>
        </w:rPr>
        <w:t xml:space="preserve"> </w:t>
      </w:r>
      <w:r w:rsidRPr="00400C0B">
        <w:rPr>
          <w:rFonts w:cs="Guttman Rashi" w:hint="eastAsia"/>
          <w:rtl/>
          <w:lang w:bidi="he-IL"/>
        </w:rPr>
        <w:t>חם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בכולו</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זהו</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שיטות</w:t>
      </w:r>
      <w:r w:rsidRPr="00400C0B">
        <w:rPr>
          <w:rFonts w:cs="Guttman Rashi"/>
          <w:rtl/>
          <w:lang w:bidi="he-IL"/>
        </w:rPr>
        <w:t xml:space="preserve"> </w:t>
      </w:r>
      <w:r w:rsidRPr="00400C0B">
        <w:rPr>
          <w:rFonts w:cs="Guttman Rashi" w:hint="eastAsia"/>
          <w:rtl/>
          <w:lang w:bidi="he-IL"/>
        </w:rPr>
        <w:t>הסוברים</w:t>
      </w:r>
      <w:r w:rsidRPr="00400C0B">
        <w:rPr>
          <w:rFonts w:cs="Guttman Rashi"/>
          <w:rtl/>
          <w:lang w:bidi="he-IL"/>
        </w:rPr>
        <w:t xml:space="preserve"> </w:t>
      </w:r>
      <w:r w:rsidRPr="00400C0B">
        <w:rPr>
          <w:rFonts w:cs="Guttman Rashi" w:hint="eastAsia"/>
          <w:rtl/>
          <w:lang w:bidi="he-IL"/>
        </w:rPr>
        <w:t>שכל</w:t>
      </w:r>
      <w:r w:rsidRPr="00400C0B">
        <w:rPr>
          <w:rFonts w:cs="Guttman Rashi"/>
          <w:rtl/>
          <w:lang w:bidi="he-IL"/>
        </w:rPr>
        <w:t xml:space="preserve"> </w:t>
      </w:r>
      <w:r w:rsidRPr="00400C0B">
        <w:rPr>
          <w:rFonts w:cs="Guttman Rashi" w:hint="eastAsia"/>
          <w:rtl/>
          <w:lang w:bidi="he-IL"/>
        </w:rPr>
        <w:t>צלי</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שמן</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קליפה</w:t>
      </w:r>
      <w:r w:rsidRPr="00400C0B">
        <w:rPr>
          <w:rFonts w:cs="Guttman Rashi"/>
          <w:rtl/>
          <w:lang w:bidi="he-IL"/>
        </w:rPr>
        <w:t xml:space="preserve">). </w:t>
      </w:r>
    </w:p>
  </w:footnote>
  <w:footnote w:id="41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חומרא</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גדולה</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לשמואל</w:t>
      </w:r>
      <w:r w:rsidRPr="00400C0B">
        <w:rPr>
          <w:rFonts w:cs="Guttman Rashi"/>
          <w:rtl/>
          <w:lang w:bidi="he-IL"/>
        </w:rPr>
        <w:t xml:space="preserve"> </w:t>
      </w:r>
      <w:r w:rsidRPr="00400C0B">
        <w:rPr>
          <w:rFonts w:cs="Guttman Rashi" w:hint="eastAsia"/>
          <w:rtl/>
          <w:lang w:bidi="he-IL"/>
        </w:rPr>
        <w:t>מאשר</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דרב</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מהו</w:t>
      </w:r>
      <w:r w:rsidRPr="00400C0B">
        <w:rPr>
          <w:rFonts w:cs="Guttman Rashi"/>
          <w:rtl/>
          <w:lang w:bidi="he-IL"/>
        </w:rPr>
        <w:t xml:space="preserve"> </w:t>
      </w:r>
      <w:r w:rsidRPr="00400C0B">
        <w:rPr>
          <w:rFonts w:cs="Guttman Rashi" w:hint="eastAsia"/>
          <w:rtl/>
          <w:lang w:bidi="he-IL"/>
        </w:rPr>
        <w:t>הסברא</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לחדש</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חילוק</w:t>
      </w:r>
      <w:r w:rsidRPr="00400C0B">
        <w:rPr>
          <w:rFonts w:cs="Guttman Rashi"/>
          <w:rtl/>
          <w:lang w:bidi="he-IL"/>
        </w:rPr>
        <w:t xml:space="preserve"> </w:t>
      </w:r>
      <w:r w:rsidRPr="00400C0B">
        <w:rPr>
          <w:rFonts w:cs="Guttman Rashi" w:hint="eastAsia"/>
          <w:rtl/>
          <w:lang w:bidi="he-IL"/>
        </w:rPr>
        <w:t>יסודי</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רב</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שמואל</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דעיקר</w:t>
      </w:r>
      <w:r w:rsidRPr="00400C0B">
        <w:rPr>
          <w:rFonts w:cs="Guttman Rashi"/>
          <w:rtl/>
          <w:lang w:bidi="he-IL"/>
        </w:rPr>
        <w:t xml:space="preserve"> </w:t>
      </w:r>
      <w:r w:rsidRPr="00400C0B">
        <w:rPr>
          <w:rFonts w:cs="Guttman Rashi" w:hint="eastAsia"/>
          <w:rtl/>
          <w:lang w:bidi="he-IL"/>
        </w:rPr>
        <w:t>פלוגתתם</w:t>
      </w:r>
      <w:r w:rsidRPr="00400C0B">
        <w:rPr>
          <w:rFonts w:cs="Guttman Rashi"/>
          <w:rtl/>
          <w:lang w:bidi="he-IL"/>
        </w:rPr>
        <w:t xml:space="preserve"> </w:t>
      </w:r>
      <w:r w:rsidRPr="00400C0B">
        <w:rPr>
          <w:rFonts w:cs="Guttman Rashi" w:hint="eastAsia"/>
          <w:rtl/>
          <w:lang w:bidi="he-IL"/>
        </w:rPr>
        <w:t>בתתאה</w:t>
      </w:r>
      <w:r w:rsidRPr="00400C0B">
        <w:rPr>
          <w:rFonts w:cs="Guttman Rashi"/>
          <w:rtl/>
          <w:lang w:bidi="he-IL"/>
        </w:rPr>
        <w:t xml:space="preserve">, </w:t>
      </w:r>
      <w:r w:rsidRPr="00400C0B">
        <w:rPr>
          <w:rFonts w:cs="Guttman Rashi" w:hint="eastAsia"/>
          <w:rtl/>
          <w:lang w:bidi="he-IL"/>
        </w:rPr>
        <w:t>דרב</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שהתחתון</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משפיע</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העילאה</w:t>
      </w:r>
      <w:r w:rsidRPr="00400C0B">
        <w:rPr>
          <w:rFonts w:cs="Guttman Rashi"/>
          <w:rtl/>
          <w:lang w:bidi="he-IL"/>
        </w:rPr>
        <w:t xml:space="preserve"> </w:t>
      </w:r>
      <w:r w:rsidRPr="00400C0B">
        <w:rPr>
          <w:rFonts w:cs="Guttman Rashi" w:hint="eastAsia"/>
          <w:rtl/>
          <w:lang w:bidi="he-IL"/>
        </w:rPr>
        <w:t>חם</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חם</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הצד</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לדין</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כולו</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במקום</w:t>
      </w:r>
      <w:r w:rsidRPr="00400C0B">
        <w:rPr>
          <w:rFonts w:cs="Guttman Rashi"/>
          <w:rtl/>
          <w:lang w:bidi="he-IL"/>
        </w:rPr>
        <w:t xml:space="preserve"> </w:t>
      </w:r>
      <w:r w:rsidRPr="00400C0B">
        <w:rPr>
          <w:rFonts w:cs="Guttman Rashi" w:hint="eastAsia"/>
          <w:rtl/>
          <w:lang w:bidi="he-IL"/>
        </w:rPr>
        <w:t>שהתתאה</w:t>
      </w:r>
      <w:r w:rsidRPr="00400C0B">
        <w:rPr>
          <w:rFonts w:cs="Guttman Rashi"/>
          <w:rtl/>
          <w:lang w:bidi="he-IL"/>
        </w:rPr>
        <w:t xml:space="preserve"> </w:t>
      </w:r>
      <w:r w:rsidRPr="00400C0B">
        <w:rPr>
          <w:rFonts w:cs="Guttman Rashi" w:hint="eastAsia"/>
          <w:rtl/>
          <w:lang w:bidi="he-IL"/>
        </w:rPr>
        <w:t>חם</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שהעילאה</w:t>
      </w:r>
      <w:r w:rsidRPr="00400C0B">
        <w:rPr>
          <w:rFonts w:cs="Guttman Rashi"/>
          <w:rtl/>
          <w:lang w:bidi="he-IL"/>
        </w:rPr>
        <w:t xml:space="preserve"> </w:t>
      </w:r>
      <w:r w:rsidRPr="00400C0B">
        <w:rPr>
          <w:rFonts w:cs="Guttman Rashi" w:hint="eastAsia"/>
          <w:rtl/>
          <w:lang w:bidi="he-IL"/>
        </w:rPr>
        <w:t>גובר</w:t>
      </w:r>
      <w:r w:rsidRPr="00400C0B">
        <w:rPr>
          <w:rFonts w:cs="Guttman Rashi"/>
          <w:rtl/>
          <w:lang w:bidi="he-IL"/>
        </w:rPr>
        <w:t xml:space="preserve"> </w:t>
      </w:r>
      <w:r w:rsidRPr="00400C0B">
        <w:rPr>
          <w:rFonts w:cs="Guttman Rashi" w:hint="eastAsia"/>
          <w:rtl/>
          <w:lang w:bidi="he-IL"/>
        </w:rPr>
        <w:t>עליול</w:t>
      </w:r>
      <w:r w:rsidRPr="00400C0B">
        <w:rPr>
          <w:rFonts w:cs="Guttman Rashi"/>
          <w:rtl/>
          <w:lang w:bidi="he-IL"/>
        </w:rPr>
        <w:t xml:space="preserve"> </w:t>
      </w:r>
      <w:r w:rsidRPr="00400C0B">
        <w:rPr>
          <w:rFonts w:cs="Guttman Rashi" w:hint="eastAsia"/>
          <w:rtl/>
          <w:lang w:bidi="he-IL"/>
        </w:rPr>
        <w:t>ומחממו</w:t>
      </w:r>
      <w:r w:rsidRPr="00400C0B">
        <w:rPr>
          <w:rFonts w:cs="Guttman Rashi"/>
          <w:rtl/>
          <w:lang w:bidi="he-IL"/>
        </w:rPr>
        <w:t xml:space="preserve">. </w:t>
      </w:r>
      <w:r w:rsidRPr="00400C0B">
        <w:rPr>
          <w:rFonts w:cs="Guttman Rashi" w:hint="eastAsia"/>
          <w:rtl/>
          <w:lang w:bidi="he-IL"/>
        </w:rPr>
        <w:t>ושמואל</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דאדרבה</w:t>
      </w:r>
      <w:r w:rsidRPr="00400C0B">
        <w:rPr>
          <w:rFonts w:cs="Guttman Rashi"/>
          <w:rtl/>
          <w:lang w:bidi="he-IL"/>
        </w:rPr>
        <w:t xml:space="preserve"> </w:t>
      </w:r>
      <w:r w:rsidRPr="00400C0B">
        <w:rPr>
          <w:rFonts w:cs="Guttman Rashi" w:hint="eastAsia"/>
          <w:rtl/>
          <w:lang w:bidi="he-IL"/>
        </w:rPr>
        <w:t>התחתון</w:t>
      </w:r>
      <w:r w:rsidRPr="00400C0B">
        <w:rPr>
          <w:rFonts w:cs="Guttman Rashi"/>
          <w:rtl/>
          <w:lang w:bidi="he-IL"/>
        </w:rPr>
        <w:t xml:space="preserve"> </w:t>
      </w:r>
      <w:r w:rsidRPr="00400C0B">
        <w:rPr>
          <w:rFonts w:cs="Guttman Rashi" w:hint="eastAsia"/>
          <w:rtl/>
          <w:lang w:bidi="he-IL"/>
        </w:rPr>
        <w:t>עיקר</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חם</w:t>
      </w:r>
      <w:r w:rsidRPr="00400C0B">
        <w:rPr>
          <w:rFonts w:cs="Guttman Rashi"/>
          <w:rtl/>
          <w:lang w:bidi="he-IL"/>
        </w:rPr>
        <w:t xml:space="preserve"> </w:t>
      </w:r>
      <w:r w:rsidRPr="00400C0B">
        <w:rPr>
          <w:rFonts w:cs="Guttman Rashi" w:hint="eastAsia"/>
          <w:rtl/>
          <w:lang w:bidi="he-IL"/>
        </w:rPr>
        <w:t>הכל</w:t>
      </w:r>
      <w:r w:rsidRPr="00400C0B">
        <w:rPr>
          <w:rFonts w:cs="Guttman Rashi"/>
          <w:rtl/>
          <w:lang w:bidi="he-IL"/>
        </w:rPr>
        <w:t xml:space="preserve"> </w:t>
      </w:r>
      <w:r w:rsidRPr="00400C0B">
        <w:rPr>
          <w:rFonts w:cs="Guttman Rashi" w:hint="eastAsia"/>
          <w:rtl/>
          <w:lang w:bidi="he-IL"/>
        </w:rPr>
        <w:t>חם</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צונן</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גובר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העליון</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הצד</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דרב</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עילאה</w:t>
      </w:r>
      <w:r w:rsidRPr="00400C0B">
        <w:rPr>
          <w:rFonts w:cs="Guttman Rashi"/>
          <w:rtl/>
          <w:lang w:bidi="he-IL"/>
        </w:rPr>
        <w:t xml:space="preserve">, </w:t>
      </w:r>
      <w:r w:rsidRPr="00400C0B">
        <w:rPr>
          <w:rFonts w:cs="Guttman Rashi" w:hint="eastAsia"/>
          <w:rtl/>
          <w:lang w:bidi="he-IL"/>
        </w:rPr>
        <w:t>דמאי</w:t>
      </w:r>
      <w:r w:rsidRPr="00400C0B">
        <w:rPr>
          <w:rFonts w:cs="Guttman Rashi"/>
          <w:rtl/>
          <w:lang w:bidi="he-IL"/>
        </w:rPr>
        <w:t xml:space="preserve"> </w:t>
      </w:r>
      <w:r w:rsidRPr="00400C0B">
        <w:rPr>
          <w:rFonts w:cs="Guttman Rashi" w:hint="eastAsia"/>
          <w:rtl/>
          <w:lang w:bidi="he-IL"/>
        </w:rPr>
        <w:t>שנא</w:t>
      </w:r>
      <w:r w:rsidRPr="00400C0B">
        <w:rPr>
          <w:rFonts w:cs="Guttman Rashi"/>
          <w:rtl/>
          <w:lang w:bidi="he-IL"/>
        </w:rPr>
        <w:t xml:space="preserve"> </w:t>
      </w:r>
      <w:r w:rsidRPr="00400C0B">
        <w:rPr>
          <w:rFonts w:cs="Guttman Rashi" w:hint="eastAsia"/>
          <w:rtl/>
          <w:lang w:bidi="he-IL"/>
        </w:rPr>
        <w:t>עילאה</w:t>
      </w:r>
      <w:r w:rsidRPr="00400C0B">
        <w:rPr>
          <w:rFonts w:cs="Guttman Rashi"/>
          <w:rtl/>
          <w:lang w:bidi="he-IL"/>
        </w:rPr>
        <w:t xml:space="preserve"> </w:t>
      </w:r>
      <w:r w:rsidRPr="00400C0B">
        <w:rPr>
          <w:rFonts w:cs="Guttman Rashi" w:hint="eastAsia"/>
          <w:rtl/>
          <w:lang w:bidi="he-IL"/>
        </w:rPr>
        <w:t>ממן</w:t>
      </w:r>
      <w:r w:rsidRPr="00400C0B">
        <w:rPr>
          <w:rFonts w:cs="Guttman Rashi"/>
          <w:rtl/>
          <w:lang w:bidi="he-IL"/>
        </w:rPr>
        <w:t xml:space="preserve"> </w:t>
      </w:r>
      <w:r w:rsidRPr="00400C0B">
        <w:rPr>
          <w:rFonts w:cs="Guttman Rashi" w:hint="eastAsia"/>
          <w:rtl/>
          <w:lang w:bidi="he-IL"/>
        </w:rPr>
        <w:t>הצד</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שמואל</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שהכל</w:t>
      </w:r>
      <w:r w:rsidRPr="00400C0B">
        <w:rPr>
          <w:rFonts w:cs="Guttman Rashi"/>
          <w:rtl/>
          <w:lang w:bidi="he-IL"/>
        </w:rPr>
        <w:t xml:space="preserve"> </w:t>
      </w:r>
      <w:r w:rsidRPr="00400C0B">
        <w:rPr>
          <w:rFonts w:cs="Guttman Rashi" w:hint="eastAsia"/>
          <w:rtl/>
          <w:lang w:bidi="he-IL"/>
        </w:rPr>
        <w:t>תלוי</w:t>
      </w:r>
      <w:r w:rsidRPr="00400C0B">
        <w:rPr>
          <w:rFonts w:cs="Guttman Rashi"/>
          <w:rtl/>
          <w:lang w:bidi="he-IL"/>
        </w:rPr>
        <w:t xml:space="preserve"> </w:t>
      </w:r>
      <w:r w:rsidRPr="00400C0B">
        <w:rPr>
          <w:rFonts w:cs="Guttman Rashi" w:hint="eastAsia"/>
          <w:rtl/>
          <w:lang w:bidi="he-IL"/>
        </w:rPr>
        <w:t>בתחתון</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דעד</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התחתון</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ויל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בזה</w:t>
      </w:r>
    </w:p>
  </w:footnote>
  <w:footnote w:id="41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ואפילו</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שלפי</w:t>
      </w:r>
      <w:r w:rsidRPr="00400C0B">
        <w:rPr>
          <w:rFonts w:cs="Guttman Rashi"/>
          <w:rtl/>
          <w:lang w:bidi="he-IL"/>
        </w:rPr>
        <w:t xml:space="preserve"> </w:t>
      </w:r>
      <w:r w:rsidRPr="00400C0B">
        <w:rPr>
          <w:rFonts w:cs="Guttman Rashi" w:hint="eastAsia"/>
          <w:rtl/>
          <w:lang w:bidi="he-IL"/>
        </w:rPr>
        <w:t>האמת</w:t>
      </w:r>
      <w:r w:rsidRPr="00400C0B">
        <w:rPr>
          <w:rFonts w:cs="Guttman Rashi"/>
          <w:rtl/>
          <w:lang w:bidi="he-IL"/>
        </w:rPr>
        <w:t xml:space="preserve"> </w:t>
      </w:r>
      <w:r w:rsidRPr="00400C0B">
        <w:rPr>
          <w:rFonts w:cs="Guttman Rashi" w:hint="eastAsia"/>
          <w:rtl/>
          <w:lang w:bidi="he-IL"/>
        </w:rPr>
        <w:t>סוברים</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שמסיק</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לשמואל</w:t>
      </w:r>
      <w:r w:rsidRPr="00400C0B">
        <w:rPr>
          <w:rFonts w:cs="Guttman Rashi"/>
          <w:rtl/>
          <w:lang w:bidi="he-IL"/>
        </w:rPr>
        <w:t xml:space="preserve"> </w:t>
      </w:r>
      <w:r w:rsidRPr="00400C0B">
        <w:rPr>
          <w:rFonts w:cs="Guttman Rashi" w:hint="eastAsia"/>
          <w:rtl/>
          <w:lang w:bidi="he-IL"/>
        </w:rPr>
        <w:t>תתאה</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דוקא</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שהסברא</w:t>
      </w:r>
      <w:r w:rsidRPr="00400C0B">
        <w:rPr>
          <w:rFonts w:cs="Guttman Rashi"/>
          <w:rtl/>
          <w:lang w:bidi="he-IL"/>
        </w:rPr>
        <w:t xml:space="preserve"> </w:t>
      </w:r>
      <w:r w:rsidRPr="00400C0B">
        <w:rPr>
          <w:rFonts w:cs="Guttman Rashi" w:hint="eastAsia"/>
          <w:rtl/>
          <w:lang w:bidi="he-IL"/>
        </w:rPr>
        <w:t>פשוטה</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דרב</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הדגישו</w:t>
      </w:r>
      <w:r w:rsidRPr="00400C0B">
        <w:rPr>
          <w:rFonts w:cs="Guttman Rashi"/>
          <w:rtl/>
          <w:lang w:bidi="he-IL"/>
        </w:rPr>
        <w:t xml:space="preserve"> </w:t>
      </w:r>
      <w:r w:rsidRPr="00400C0B">
        <w:rPr>
          <w:rFonts w:cs="Guttman Rashi" w:hint="eastAsia"/>
          <w:rtl/>
          <w:lang w:bidi="he-IL"/>
        </w:rPr>
        <w:t>בקושייתם</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רב</w:t>
      </w:r>
      <w:r w:rsidRPr="00400C0B">
        <w:rPr>
          <w:rFonts w:cs="Guttman Rashi"/>
          <w:rtl/>
          <w:lang w:bidi="he-IL"/>
        </w:rPr>
        <w:t>.</w:t>
      </w:r>
    </w:p>
  </w:footnote>
  <w:footnote w:id="41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בבדה</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חילוקים</w:t>
      </w:r>
      <w:r w:rsidRPr="00400C0B">
        <w:rPr>
          <w:rFonts w:cs="Guttman Rashi"/>
          <w:rtl/>
          <w:lang w:bidi="he-IL"/>
        </w:rPr>
        <w:t xml:space="preserve"> </w:t>
      </w:r>
      <w:r w:rsidRPr="00400C0B">
        <w:rPr>
          <w:rFonts w:cs="Guttman Rashi" w:hint="eastAsia"/>
          <w:rtl/>
          <w:lang w:bidi="he-IL"/>
        </w:rPr>
        <w:t>דינים</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שיטתו</w:t>
      </w:r>
      <w:r w:rsidRPr="00400C0B">
        <w:rPr>
          <w:rFonts w:cs="Guttman Rashi"/>
          <w:rtl/>
          <w:lang w:bidi="he-IL"/>
        </w:rPr>
        <w:t>.</w:t>
      </w:r>
    </w:p>
  </w:footnote>
  <w:footnote w:id="41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ב</w:t>
      </w:r>
    </w:p>
  </w:footnote>
  <w:footnote w:id="41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והנה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טעמים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שהחלב</w:t>
      </w:r>
      <w:r w:rsidRPr="00400C0B">
        <w:rPr>
          <w:rFonts w:cs="Guttman Rashi"/>
          <w:rtl/>
          <w:lang w:bidi="he-IL"/>
        </w:rPr>
        <w:t xml:space="preserve"> </w:t>
      </w:r>
      <w:r w:rsidRPr="00400C0B">
        <w:rPr>
          <w:rFonts w:cs="Guttman Rashi" w:hint="eastAsia"/>
          <w:rtl/>
          <w:lang w:bidi="he-IL"/>
        </w:rPr>
        <w:t>שנאסר</w:t>
      </w:r>
      <w:r w:rsidRPr="00400C0B">
        <w:rPr>
          <w:rFonts w:cs="Guttman Rashi"/>
          <w:rtl/>
          <w:lang w:bidi="he-IL"/>
        </w:rPr>
        <w:t xml:space="preserve"> </w:t>
      </w:r>
      <w:r w:rsidRPr="00400C0B">
        <w:rPr>
          <w:rFonts w:cs="Guttman Rashi" w:hint="eastAsia"/>
          <w:rtl/>
          <w:lang w:bidi="he-IL"/>
        </w:rPr>
        <w:t>נע</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והבשר</w:t>
      </w:r>
      <w:r w:rsidRPr="00400C0B">
        <w:rPr>
          <w:rFonts w:cs="Guttman Rashi"/>
          <w:rtl/>
          <w:lang w:bidi="he-IL"/>
        </w:rPr>
        <w:t xml:space="preserve"> </w:t>
      </w:r>
      <w:r w:rsidRPr="00400C0B">
        <w:rPr>
          <w:rFonts w:cs="Guttman Rashi" w:hint="eastAsia"/>
          <w:rtl/>
          <w:lang w:bidi="he-IL"/>
        </w:rPr>
        <w:t>שנאסר</w:t>
      </w:r>
      <w:r w:rsidRPr="00400C0B">
        <w:rPr>
          <w:rFonts w:cs="Guttman Rashi"/>
          <w:rtl/>
          <w:lang w:bidi="he-IL"/>
        </w:rPr>
        <w:t xml:space="preserve"> </w:t>
      </w:r>
      <w:r w:rsidRPr="00400C0B">
        <w:rPr>
          <w:rFonts w:cs="Guttman Rashi" w:hint="eastAsia"/>
          <w:rtl/>
          <w:lang w:bidi="he-IL"/>
        </w:rPr>
        <w:t>נע</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שהכדי</w:t>
      </w:r>
      <w:r w:rsidRPr="00400C0B">
        <w:rPr>
          <w:rFonts w:cs="Guttman Rashi"/>
          <w:rtl/>
          <w:lang w:bidi="he-IL"/>
        </w:rPr>
        <w:t xml:space="preserve"> </w:t>
      </w:r>
      <w:r w:rsidRPr="00400C0B">
        <w:rPr>
          <w:rFonts w:cs="Guttman Rashi" w:hint="eastAsia"/>
          <w:rtl/>
          <w:lang w:bidi="he-IL"/>
        </w:rPr>
        <w:t>קליפה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הבשר</w:t>
      </w:r>
      <w:r w:rsidRPr="00400C0B">
        <w:rPr>
          <w:rFonts w:cs="Guttman Rashi"/>
          <w:rtl/>
          <w:lang w:bidi="he-IL"/>
        </w:rPr>
        <w:t xml:space="preserve"> </w:t>
      </w:r>
      <w:r w:rsidRPr="00400C0B">
        <w:rPr>
          <w:rFonts w:cs="Guttman Rashi" w:hint="eastAsia"/>
          <w:rtl/>
          <w:lang w:bidi="he-IL"/>
        </w:rPr>
        <w:t>נע</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וכפי</w:t>
      </w:r>
      <w:r w:rsidRPr="00400C0B">
        <w:rPr>
          <w:rFonts w:cs="Guttman Rashi"/>
          <w:rtl/>
          <w:lang w:bidi="he-IL"/>
        </w:rPr>
        <w:t xml:space="preserve"> </w:t>
      </w:r>
      <w:r w:rsidRPr="00400C0B">
        <w:rPr>
          <w:rFonts w:cs="Guttman Rashi" w:hint="eastAsia"/>
          <w:rtl/>
          <w:lang w:bidi="he-IL"/>
        </w:rPr>
        <w:t>השיטות</w:t>
      </w:r>
      <w:r w:rsidRPr="00400C0B">
        <w:rPr>
          <w:rFonts w:cs="Guttman Rashi"/>
          <w:rtl/>
          <w:lang w:bidi="he-IL"/>
        </w:rPr>
        <w:t xml:space="preserve"> </w:t>
      </w:r>
      <w:r w:rsidRPr="00400C0B">
        <w:rPr>
          <w:rFonts w:cs="Guttman Rashi" w:hint="eastAsia"/>
          <w:rtl/>
          <w:lang w:bidi="he-IL"/>
        </w:rPr>
        <w:t>שאומרים</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בכדי</w:t>
      </w:r>
      <w:r w:rsidRPr="00400C0B">
        <w:rPr>
          <w:rFonts w:cs="Guttman Rashi"/>
          <w:rtl/>
          <w:lang w:bidi="he-IL"/>
        </w:rPr>
        <w:t xml:space="preserve"> </w:t>
      </w:r>
      <w:r w:rsidRPr="00400C0B">
        <w:rPr>
          <w:rFonts w:cs="Guttman Rashi" w:hint="eastAsia"/>
          <w:rtl/>
          <w:lang w:bidi="he-IL"/>
        </w:rPr>
        <w:t>קליפה</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הכדי</w:t>
      </w:r>
      <w:r w:rsidRPr="00400C0B">
        <w:rPr>
          <w:rFonts w:cs="Guttman Rashi"/>
          <w:rtl/>
          <w:lang w:bidi="he-IL"/>
        </w:rPr>
        <w:t xml:space="preserve"> </w:t>
      </w:r>
      <w:r w:rsidRPr="00400C0B">
        <w:rPr>
          <w:rFonts w:cs="Guttman Rashi" w:hint="eastAsia"/>
          <w:rtl/>
          <w:lang w:bidi="he-IL"/>
        </w:rPr>
        <w:t>קליפה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הבשר</w:t>
      </w:r>
      <w:r w:rsidRPr="00400C0B">
        <w:rPr>
          <w:rFonts w:cs="Guttman Rashi"/>
          <w:rtl/>
          <w:lang w:bidi="he-IL"/>
        </w:rPr>
        <w:t xml:space="preserve"> </w:t>
      </w:r>
      <w:r w:rsidRPr="00400C0B">
        <w:rPr>
          <w:rFonts w:cs="Guttman Rashi" w:hint="eastAsia"/>
          <w:rtl/>
          <w:lang w:bidi="he-IL"/>
        </w:rPr>
        <w:t>שנאסר</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החלב</w:t>
      </w:r>
      <w:r w:rsidRPr="00400C0B">
        <w:rPr>
          <w:rFonts w:cs="Guttman Rashi"/>
          <w:rtl/>
          <w:lang w:bidi="he-IL"/>
        </w:rPr>
        <w:t xml:space="preserve">. </w:t>
      </w:r>
      <w:r w:rsidRPr="00400C0B">
        <w:rPr>
          <w:rFonts w:cs="Guttman Rashi" w:hint="eastAsia"/>
          <w:rtl/>
          <w:lang w:bidi="he-IL"/>
        </w:rPr>
        <w:t>והטעם</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החם</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הצונן</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ברגע</w:t>
      </w:r>
      <w:r w:rsidRPr="00400C0B">
        <w:rPr>
          <w:rFonts w:cs="Guttman Rashi"/>
          <w:rtl/>
          <w:lang w:bidi="he-IL"/>
        </w:rPr>
        <w:t xml:space="preserve"> </w:t>
      </w:r>
      <w:r w:rsidRPr="00400C0B">
        <w:rPr>
          <w:rFonts w:cs="Guttman Rashi" w:hint="eastAsia"/>
          <w:rtl/>
          <w:lang w:bidi="he-IL"/>
        </w:rPr>
        <w:t>הראשון</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מספיק</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לחלב</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הבשר</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לחזור</w:t>
      </w:r>
      <w:r w:rsidRPr="00400C0B">
        <w:rPr>
          <w:rFonts w:cs="Guttman Rashi"/>
          <w:rtl/>
          <w:lang w:bidi="he-IL"/>
        </w:rPr>
        <w:t xml:space="preserve"> </w:t>
      </w:r>
      <w:r w:rsidRPr="00400C0B">
        <w:rPr>
          <w:rFonts w:cs="Guttman Rashi" w:hint="eastAsia"/>
          <w:rtl/>
          <w:lang w:bidi="he-IL"/>
        </w:rPr>
        <w:t>ולאסור</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החלב</w:t>
      </w:r>
      <w:r w:rsidRPr="00400C0B">
        <w:rPr>
          <w:rFonts w:cs="Guttman Rashi"/>
          <w:rtl/>
          <w:lang w:bidi="he-IL"/>
        </w:rPr>
        <w:t xml:space="preserve">. </w:t>
      </w:r>
      <w:r w:rsidRPr="00400C0B">
        <w:rPr>
          <w:rFonts w:cs="Guttman Rashi" w:hint="eastAsia"/>
          <w:rtl/>
          <w:lang w:bidi="he-IL"/>
        </w:rPr>
        <w:t>ובחלב</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שסופו</w:t>
      </w:r>
      <w:r w:rsidRPr="00400C0B">
        <w:rPr>
          <w:rFonts w:cs="Guttman Rashi"/>
          <w:rtl/>
          <w:lang w:bidi="he-IL"/>
        </w:rPr>
        <w:t xml:space="preserve"> </w:t>
      </w:r>
      <w:r w:rsidRPr="00400C0B">
        <w:rPr>
          <w:rFonts w:cs="Guttman Rashi" w:hint="eastAsia"/>
          <w:rtl/>
          <w:lang w:bidi="he-IL"/>
        </w:rPr>
        <w:t>להתפשט</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נע</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הבנתי</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האריכות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לבאר</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שהחלב</w:t>
      </w:r>
      <w:r w:rsidRPr="00400C0B">
        <w:rPr>
          <w:rFonts w:cs="Guttman Rashi"/>
          <w:rtl/>
          <w:lang w:bidi="he-IL"/>
        </w:rPr>
        <w:t xml:space="preserve"> </w:t>
      </w:r>
      <w:r w:rsidRPr="00400C0B">
        <w:rPr>
          <w:rFonts w:cs="Guttman Rashi" w:hint="eastAsia"/>
          <w:rtl/>
          <w:lang w:bidi="he-IL"/>
        </w:rPr>
        <w:t>נע</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לבאר</w:t>
      </w:r>
      <w:r w:rsidRPr="00400C0B">
        <w:rPr>
          <w:rFonts w:cs="Guttman Rashi"/>
          <w:rtl/>
          <w:lang w:bidi="he-IL"/>
        </w:rPr>
        <w:t xml:space="preserve"> </w:t>
      </w:r>
      <w:r w:rsidRPr="00400C0B">
        <w:rPr>
          <w:rFonts w:cs="Guttman Rashi" w:hint="eastAsia"/>
          <w:rtl/>
          <w:lang w:bidi="he-IL"/>
        </w:rPr>
        <w:t>שהבין</w:t>
      </w:r>
      <w:r w:rsidRPr="00400C0B">
        <w:rPr>
          <w:rFonts w:cs="Guttman Rashi"/>
          <w:rtl/>
          <w:lang w:bidi="he-IL"/>
        </w:rPr>
        <w:t xml:space="preserve"> </w:t>
      </w:r>
      <w:r w:rsidRPr="00400C0B">
        <w:rPr>
          <w:rFonts w:cs="Guttman Rashi" w:hint="eastAsia"/>
          <w:rtl/>
          <w:lang w:bidi="he-IL"/>
        </w:rPr>
        <w:t>החוו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סופו</w:t>
      </w:r>
      <w:r w:rsidRPr="00400C0B">
        <w:rPr>
          <w:rFonts w:cs="Guttman Rashi"/>
          <w:rtl/>
          <w:lang w:bidi="he-IL"/>
        </w:rPr>
        <w:t xml:space="preserve"> </w:t>
      </w:r>
      <w:r w:rsidRPr="00400C0B">
        <w:rPr>
          <w:rFonts w:cs="Guttman Rashi" w:hint="eastAsia"/>
          <w:rtl/>
          <w:lang w:bidi="he-IL"/>
        </w:rPr>
        <w:t>להתפשט</w:t>
      </w:r>
      <w:r w:rsidRPr="00400C0B">
        <w:rPr>
          <w:rFonts w:cs="Guttman Rashi"/>
          <w:rtl/>
          <w:lang w:bidi="he-IL"/>
        </w:rPr>
        <w:t xml:space="preserve"> </w:t>
      </w:r>
      <w:r w:rsidRPr="00400C0B">
        <w:rPr>
          <w:rFonts w:cs="Guttman Rashi" w:hint="eastAsia"/>
          <w:rtl/>
          <w:lang w:bidi="he-IL"/>
        </w:rPr>
        <w:t>שבעלמא</w:t>
      </w:r>
      <w:r w:rsidRPr="00400C0B">
        <w:rPr>
          <w:rFonts w:cs="Guttman Rashi"/>
          <w:rtl/>
          <w:lang w:bidi="he-IL"/>
        </w:rPr>
        <w:t xml:space="preserve">, </w:t>
      </w:r>
      <w:r w:rsidRPr="00400C0B">
        <w:rPr>
          <w:rFonts w:cs="Guttman Rashi" w:hint="eastAsia"/>
          <w:rtl/>
          <w:lang w:bidi="he-IL"/>
        </w:rPr>
        <w:t>דהכא</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הפסיק</w:t>
      </w:r>
      <w:r w:rsidRPr="00400C0B">
        <w:rPr>
          <w:rFonts w:cs="Guttman Rashi"/>
          <w:rtl/>
          <w:lang w:bidi="he-IL"/>
        </w:rPr>
        <w:t xml:space="preserve"> </w:t>
      </w:r>
      <w:r w:rsidRPr="00400C0B">
        <w:rPr>
          <w:rFonts w:cs="Guttman Rashi" w:hint="eastAsia"/>
          <w:rtl/>
          <w:lang w:bidi="he-IL"/>
        </w:rPr>
        <w:t>מלהתפשט</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חום</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תערובת</w:t>
      </w:r>
      <w:r w:rsidRPr="00400C0B">
        <w:rPr>
          <w:rFonts w:cs="Guttman Rashi"/>
          <w:rtl/>
          <w:lang w:bidi="he-IL"/>
        </w:rPr>
        <w:t xml:space="preserve"> </w:t>
      </w:r>
      <w:r w:rsidRPr="00400C0B">
        <w:rPr>
          <w:rFonts w:cs="Guttman Rashi" w:hint="eastAsia"/>
          <w:rtl/>
          <w:lang w:bidi="he-IL"/>
        </w:rPr>
        <w:t>הלח</w:t>
      </w:r>
      <w:r w:rsidRPr="00400C0B">
        <w:rPr>
          <w:rFonts w:cs="Guttman Rashi"/>
          <w:rtl/>
          <w:lang w:bidi="he-IL"/>
        </w:rPr>
        <w:t xml:space="preserve"> </w:t>
      </w:r>
      <w:r w:rsidRPr="00400C0B">
        <w:rPr>
          <w:rFonts w:cs="Guttman Rashi" w:hint="eastAsia"/>
          <w:rtl/>
          <w:lang w:bidi="he-IL"/>
        </w:rPr>
        <w:t>בעצמו</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בלח</w:t>
      </w:r>
      <w:r w:rsidRPr="00400C0B">
        <w:rPr>
          <w:rFonts w:cs="Guttman Rashi"/>
          <w:rtl/>
          <w:lang w:bidi="he-IL"/>
        </w:rPr>
        <w:t xml:space="preserve"> </w:t>
      </w:r>
      <w:r w:rsidRPr="00400C0B">
        <w:rPr>
          <w:rFonts w:cs="Guttman Rashi" w:hint="eastAsia"/>
          <w:rtl/>
          <w:lang w:bidi="he-IL"/>
        </w:rPr>
        <w:t>בלח</w:t>
      </w:r>
      <w:r w:rsidRPr="00400C0B">
        <w:rPr>
          <w:rFonts w:cs="Guttman Rashi"/>
          <w:rtl/>
          <w:lang w:bidi="he-IL"/>
        </w:rPr>
        <w:t xml:space="preserve"> </w:t>
      </w:r>
      <w:r w:rsidRPr="00400C0B">
        <w:rPr>
          <w:rFonts w:cs="Guttman Rashi" w:hint="eastAsia"/>
          <w:rtl/>
          <w:lang w:bidi="he-IL"/>
        </w:rPr>
        <w:t>בצונן</w:t>
      </w:r>
      <w:r w:rsidRPr="00400C0B">
        <w:rPr>
          <w:rFonts w:cs="Guttman Rashi"/>
          <w:rtl/>
          <w:lang w:bidi="he-IL"/>
        </w:rPr>
        <w:t xml:space="preserve">, </w:t>
      </w:r>
      <w:r w:rsidRPr="00400C0B">
        <w:rPr>
          <w:rFonts w:cs="Guttman Rashi" w:hint="eastAsia"/>
          <w:rtl/>
          <w:lang w:bidi="he-IL"/>
        </w:rPr>
        <w:t>והי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בכלל</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סופו</w:t>
      </w:r>
      <w:r w:rsidRPr="00400C0B">
        <w:rPr>
          <w:rFonts w:cs="Guttman Rashi"/>
          <w:rtl/>
          <w:lang w:bidi="he-IL"/>
        </w:rPr>
        <w:t xml:space="preserve"> </w:t>
      </w:r>
      <w:r w:rsidRPr="00400C0B">
        <w:rPr>
          <w:rFonts w:cs="Guttman Rashi" w:hint="eastAsia"/>
          <w:rtl/>
          <w:lang w:bidi="he-IL"/>
        </w:rPr>
        <w:t>להתפשט</w:t>
      </w:r>
      <w:r w:rsidRPr="00400C0B">
        <w:rPr>
          <w:rFonts w:cs="Guttman Rashi"/>
          <w:rtl/>
          <w:lang w:bidi="he-IL"/>
        </w:rPr>
        <w:t xml:space="preserve">.  </w:t>
      </w:r>
    </w:p>
  </w:footnote>
  <w:footnote w:id="42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משיטת</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עצמם</w:t>
      </w:r>
      <w:r w:rsidRPr="00400C0B">
        <w:rPr>
          <w:rFonts w:cs="Guttman Rashi"/>
          <w:rtl/>
          <w:lang w:bidi="he-IL"/>
        </w:rPr>
        <w:t xml:space="preserve"> </w:t>
      </w:r>
      <w:r w:rsidRPr="00400C0B">
        <w:rPr>
          <w:rFonts w:cs="Guttman Rashi" w:hint="eastAsia"/>
          <w:rtl/>
          <w:lang w:bidi="he-IL"/>
        </w:rPr>
        <w:t>שהביאו</w:t>
      </w:r>
      <w:r w:rsidRPr="00400C0B">
        <w:rPr>
          <w:rFonts w:cs="Guttman Rashi"/>
          <w:rtl/>
          <w:lang w:bidi="he-IL"/>
        </w:rPr>
        <w:t xml:space="preserve"> </w:t>
      </w:r>
      <w:r w:rsidRPr="00400C0B">
        <w:rPr>
          <w:rFonts w:cs="Guttman Rashi" w:hint="eastAsia"/>
          <w:rtl/>
          <w:lang w:bidi="he-IL"/>
        </w:rPr>
        <w:t>פירוש</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דההוא</w:t>
      </w:r>
      <w:r w:rsidRPr="00400C0B">
        <w:rPr>
          <w:rFonts w:cs="Guttman Rashi"/>
          <w:rtl/>
          <w:lang w:bidi="he-IL"/>
        </w:rPr>
        <w:t xml:space="preserve"> </w:t>
      </w:r>
      <w:r w:rsidRPr="00400C0B">
        <w:rPr>
          <w:rFonts w:cs="Guttman Rashi" w:hint="eastAsia"/>
          <w:rtl/>
          <w:lang w:bidi="he-IL"/>
        </w:rPr>
        <w:t>כחוש</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כמותו</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דמהני</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דשיעור</w:t>
      </w:r>
      <w:r w:rsidRPr="00400C0B">
        <w:rPr>
          <w:rFonts w:cs="Guttman Rashi"/>
          <w:rtl/>
          <w:lang w:bidi="he-IL"/>
        </w:rPr>
        <w:t xml:space="preserve"> </w:t>
      </w:r>
      <w:r w:rsidRPr="00400C0B">
        <w:rPr>
          <w:rFonts w:cs="Guttman Rashi" w:hint="eastAsia"/>
          <w:rtl/>
          <w:lang w:bidi="he-IL"/>
        </w:rPr>
        <w:t>צלי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בכדי</w:t>
      </w:r>
      <w:r w:rsidRPr="00400C0B">
        <w:rPr>
          <w:rFonts w:cs="Guttman Rashi"/>
          <w:rtl/>
          <w:lang w:bidi="he-IL"/>
        </w:rPr>
        <w:t xml:space="preserve"> </w:t>
      </w:r>
      <w:r w:rsidRPr="00400C0B">
        <w:rPr>
          <w:rFonts w:cs="Guttman Rashi" w:hint="eastAsia"/>
          <w:rtl/>
          <w:lang w:bidi="he-IL"/>
        </w:rPr>
        <w:t>נטילה</w:t>
      </w:r>
      <w:r w:rsidRPr="00400C0B">
        <w:rPr>
          <w:rFonts w:cs="Guttman Rashi"/>
          <w:rtl/>
          <w:lang w:bidi="he-IL"/>
        </w:rPr>
        <w:t xml:space="preserve">. </w:t>
      </w:r>
      <w:r w:rsidRPr="00400C0B">
        <w:rPr>
          <w:rFonts w:cs="Guttman Rashi" w:hint="eastAsia"/>
          <w:rtl/>
          <w:lang w:bidi="he-IL"/>
        </w:rPr>
        <w:t>ואיכא</w:t>
      </w:r>
      <w:r w:rsidRPr="00400C0B">
        <w:rPr>
          <w:rFonts w:cs="Guttman Rashi"/>
          <w:rtl/>
          <w:lang w:bidi="he-IL"/>
        </w:rPr>
        <w:t xml:space="preserve"> </w:t>
      </w:r>
      <w:r w:rsidRPr="00400C0B">
        <w:rPr>
          <w:rFonts w:cs="Guttman Rashi" w:hint="eastAsia"/>
          <w:rtl/>
          <w:lang w:bidi="he-IL"/>
        </w:rPr>
        <w:t>למימר</w:t>
      </w:r>
      <w:r w:rsidRPr="00400C0B">
        <w:rPr>
          <w:rFonts w:cs="Guttman Rashi"/>
          <w:rtl/>
          <w:lang w:bidi="he-IL"/>
        </w:rPr>
        <w:t xml:space="preserve"> </w:t>
      </w:r>
      <w:r w:rsidRPr="00400C0B">
        <w:rPr>
          <w:rFonts w:cs="Guttman Rashi" w:hint="eastAsia"/>
          <w:rtl/>
          <w:lang w:bidi="he-IL"/>
        </w:rPr>
        <w:t>שלפי</w:t>
      </w:r>
      <w:r w:rsidRPr="00400C0B">
        <w:rPr>
          <w:rFonts w:cs="Guttman Rashi"/>
          <w:rtl/>
          <w:lang w:bidi="he-IL"/>
        </w:rPr>
        <w:t xml:space="preserve"> </w:t>
      </w:r>
      <w:r w:rsidRPr="00400C0B">
        <w:rPr>
          <w:rFonts w:cs="Guttman Rashi" w:hint="eastAsia"/>
          <w:rtl/>
          <w:lang w:bidi="he-IL"/>
        </w:rPr>
        <w:t>פירוש</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מקור</w:t>
      </w:r>
      <w:r w:rsidRPr="00400C0B">
        <w:rPr>
          <w:rFonts w:cs="Guttman Rashi"/>
          <w:rtl/>
          <w:lang w:bidi="he-IL"/>
        </w:rPr>
        <w:t xml:space="preserve"> </w:t>
      </w:r>
      <w:r w:rsidRPr="00400C0B">
        <w:rPr>
          <w:rFonts w:cs="Guttman Rashi" w:hint="eastAsia"/>
          <w:rtl/>
          <w:lang w:bidi="he-IL"/>
        </w:rPr>
        <w:t>לדבר</w:t>
      </w:r>
      <w:r w:rsidRPr="00400C0B">
        <w:rPr>
          <w:rFonts w:cs="Guttman Rashi"/>
          <w:rtl/>
          <w:lang w:bidi="he-IL"/>
        </w:rPr>
        <w:t xml:space="preserve"> </w:t>
      </w:r>
      <w:r w:rsidRPr="00400C0B">
        <w:rPr>
          <w:rFonts w:cs="Guttman Rashi" w:hint="eastAsia"/>
          <w:rtl/>
          <w:lang w:bidi="he-IL"/>
        </w:rPr>
        <w:t>מעצם</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דההוא</w:t>
      </w:r>
      <w:r w:rsidRPr="00400C0B">
        <w:rPr>
          <w:rFonts w:cs="Guttman Rashi"/>
          <w:rtl/>
          <w:lang w:bidi="he-IL"/>
        </w:rPr>
        <w:t xml:space="preserve"> </w:t>
      </w:r>
      <w:r w:rsidRPr="00400C0B">
        <w:rPr>
          <w:rFonts w:cs="Guttman Rashi" w:hint="eastAsia"/>
          <w:rtl/>
          <w:lang w:bidi="he-IL"/>
        </w:rPr>
        <w:t>כחוש</w:t>
      </w:r>
      <w:r w:rsidRPr="00400C0B">
        <w:rPr>
          <w:rFonts w:cs="Guttman Rashi"/>
          <w:rtl/>
          <w:lang w:bidi="he-IL"/>
        </w:rPr>
        <w:t xml:space="preserve"> </w:t>
      </w:r>
      <w:r w:rsidRPr="00400C0B">
        <w:rPr>
          <w:rFonts w:cs="Guttman Rashi" w:hint="eastAsia"/>
          <w:rtl/>
          <w:lang w:bidi="he-IL"/>
        </w:rPr>
        <w:t>הויץ</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מסתבר</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דמהני</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לכו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שנחלקו</w:t>
      </w:r>
      <w:r w:rsidRPr="00400C0B">
        <w:rPr>
          <w:rFonts w:cs="Guttman Rashi"/>
          <w:rtl/>
          <w:lang w:bidi="he-IL"/>
        </w:rPr>
        <w:t xml:space="preserve"> </w:t>
      </w:r>
      <w:r w:rsidRPr="00400C0B">
        <w:rPr>
          <w:rFonts w:cs="Guttman Rashi" w:hint="eastAsia"/>
          <w:rtl/>
          <w:lang w:bidi="he-IL"/>
        </w:rPr>
        <w:t>התירוצים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בפי</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ההוא</w:t>
      </w:r>
      <w:r w:rsidRPr="00400C0B">
        <w:rPr>
          <w:rFonts w:cs="Guttman Rashi"/>
          <w:rtl/>
          <w:lang w:bidi="he-IL"/>
        </w:rPr>
        <w:t xml:space="preserve"> </w:t>
      </w:r>
      <w:r w:rsidRPr="00400C0B">
        <w:rPr>
          <w:rFonts w:cs="Guttman Rashi" w:hint="eastAsia"/>
          <w:rtl/>
          <w:lang w:bidi="he-IL"/>
        </w:rPr>
        <w:t>כחוש</w:t>
      </w:r>
      <w:r w:rsidRPr="00400C0B">
        <w:rPr>
          <w:rFonts w:cs="Guttman Rashi"/>
          <w:rtl/>
          <w:lang w:bidi="he-IL"/>
        </w:rPr>
        <w:t xml:space="preserve"> </w:t>
      </w:r>
      <w:r w:rsidRPr="00400C0B">
        <w:rPr>
          <w:rFonts w:cs="Guttman Rashi" w:hint="eastAsia"/>
          <w:rtl/>
          <w:lang w:bidi="he-IL"/>
        </w:rPr>
        <w:t>הוה</w:t>
      </w:r>
      <w:r w:rsidRPr="00400C0B">
        <w:rPr>
          <w:rFonts w:cs="Guttman Rashi"/>
          <w:rtl/>
          <w:lang w:bidi="he-IL"/>
        </w:rPr>
        <w:t>'.</w:t>
      </w:r>
    </w:p>
  </w:footnote>
  <w:footnote w:id="42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ומסתבר</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לשיטתו</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הכדי</w:t>
      </w:r>
      <w:r w:rsidRPr="00400C0B">
        <w:rPr>
          <w:rFonts w:cs="Guttman Rashi"/>
          <w:rtl/>
          <w:lang w:bidi="he-IL"/>
        </w:rPr>
        <w:t xml:space="preserve"> </w:t>
      </w:r>
      <w:r w:rsidRPr="00400C0B">
        <w:rPr>
          <w:rFonts w:cs="Guttman Rashi" w:hint="eastAsia"/>
          <w:rtl/>
          <w:lang w:bidi="he-IL"/>
        </w:rPr>
        <w:t>נטילה</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p>
  </w:footnote>
  <w:footnote w:id="42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p>
  </w:footnote>
  <w:footnote w:id="42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כת</w:t>
      </w:r>
      <w:r w:rsidRPr="00400C0B">
        <w:rPr>
          <w:rFonts w:cs="Guttman Rashi"/>
          <w:rtl/>
          <w:lang w:bidi="he-IL"/>
        </w:rPr>
        <w:t>"</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יו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ולפ</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ברור</w:t>
      </w:r>
      <w:r w:rsidRPr="00400C0B">
        <w:rPr>
          <w:rFonts w:cs="Guttman Rashi"/>
          <w:rtl/>
          <w:lang w:bidi="he-IL"/>
        </w:rPr>
        <w:t xml:space="preserve"> </w:t>
      </w:r>
      <w:r w:rsidRPr="00400C0B">
        <w:rPr>
          <w:rFonts w:cs="Guttman Rashi" w:hint="eastAsia"/>
          <w:rtl/>
          <w:lang w:bidi="he-IL"/>
        </w:rPr>
        <w:t>שבליעה</w:t>
      </w:r>
      <w:r w:rsidRPr="00400C0B">
        <w:rPr>
          <w:rFonts w:cs="Guttman Rashi"/>
          <w:rtl/>
          <w:lang w:bidi="he-IL"/>
        </w:rPr>
        <w:t xml:space="preserve"> </w:t>
      </w:r>
      <w:r w:rsidRPr="00400C0B">
        <w:rPr>
          <w:rFonts w:cs="Guttman Rashi" w:hint="eastAsia"/>
          <w:rtl/>
          <w:lang w:bidi="he-IL"/>
        </w:rPr>
        <w:t>אינה</w:t>
      </w:r>
      <w:r w:rsidRPr="00400C0B">
        <w:rPr>
          <w:rFonts w:cs="Guttman Rashi"/>
          <w:rtl/>
          <w:lang w:bidi="he-IL"/>
        </w:rPr>
        <w:t xml:space="preserve"> </w:t>
      </w:r>
      <w:r w:rsidRPr="00400C0B">
        <w:rPr>
          <w:rFonts w:cs="Guttman Rashi" w:hint="eastAsia"/>
          <w:rtl/>
          <w:lang w:bidi="he-IL"/>
        </w:rPr>
        <w:t>עוברת</w:t>
      </w:r>
      <w:r w:rsidRPr="00400C0B">
        <w:rPr>
          <w:rFonts w:cs="Guttman Rashi"/>
          <w:rtl/>
          <w:lang w:bidi="he-IL"/>
        </w:rPr>
        <w:t xml:space="preserve"> </w:t>
      </w:r>
      <w:r w:rsidRPr="00400C0B">
        <w:rPr>
          <w:rFonts w:cs="Guttman Rashi" w:hint="eastAsia"/>
          <w:rtl/>
          <w:lang w:bidi="he-IL"/>
        </w:rPr>
        <w:t>מכלי</w:t>
      </w:r>
      <w:r w:rsidRPr="00400C0B">
        <w:rPr>
          <w:rFonts w:cs="Guttman Rashi"/>
          <w:rtl/>
          <w:lang w:bidi="he-IL"/>
        </w:rPr>
        <w:t xml:space="preserve"> </w:t>
      </w:r>
      <w:r w:rsidRPr="00400C0B">
        <w:rPr>
          <w:rFonts w:cs="Guttman Rashi" w:hint="eastAsia"/>
          <w:rtl/>
          <w:lang w:bidi="he-IL"/>
        </w:rPr>
        <w:t>לכלי</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החילוק</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לכלי</w:t>
      </w:r>
      <w:r w:rsidRPr="00400C0B">
        <w:rPr>
          <w:rFonts w:cs="Guttman Rashi"/>
          <w:rtl/>
          <w:lang w:bidi="he-IL"/>
        </w:rPr>
        <w:t xml:space="preserve"> </w:t>
      </w:r>
      <w:r w:rsidRPr="00400C0B">
        <w:rPr>
          <w:rFonts w:cs="Guttman Rashi" w:hint="eastAsia"/>
          <w:rtl/>
          <w:lang w:bidi="he-IL"/>
        </w:rPr>
        <w:t>לכלי</w:t>
      </w:r>
      <w:r w:rsidRPr="00400C0B">
        <w:rPr>
          <w:rFonts w:cs="Guttman Rashi"/>
          <w:rtl/>
          <w:lang w:bidi="he-IL"/>
        </w:rPr>
        <w:t xml:space="preserve"> </w:t>
      </w:r>
      <w:r w:rsidRPr="00400C0B">
        <w:rPr>
          <w:rFonts w:cs="Guttman Rashi" w:hint="eastAsia"/>
          <w:rtl/>
          <w:lang w:bidi="he-IL"/>
        </w:rPr>
        <w:t>לאוכל</w:t>
      </w:r>
      <w:r w:rsidRPr="00400C0B">
        <w:rPr>
          <w:rFonts w:cs="Guttman Rashi"/>
          <w:rtl/>
          <w:lang w:bidi="he-IL"/>
        </w:rPr>
        <w:t xml:space="preserve"> </w:t>
      </w:r>
      <w:r w:rsidRPr="00400C0B">
        <w:rPr>
          <w:rFonts w:cs="Guttman Rashi" w:hint="eastAsia"/>
          <w:rtl/>
          <w:lang w:bidi="he-IL"/>
        </w:rPr>
        <w:t>ברור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ויל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בג</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ערוגת</w:t>
      </w:r>
      <w:r w:rsidRPr="00400C0B">
        <w:rPr>
          <w:rFonts w:cs="Guttman Rashi"/>
          <w:rtl/>
          <w:lang w:bidi="he-IL"/>
        </w:rPr>
        <w:t xml:space="preserve"> </w:t>
      </w:r>
      <w:r w:rsidRPr="00400C0B">
        <w:rPr>
          <w:rFonts w:cs="Guttman Rashi" w:hint="eastAsia"/>
          <w:rtl/>
          <w:lang w:bidi="he-IL"/>
        </w:rPr>
        <w:t>הבושם</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קי</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סכ</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ובדה</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ביאורים</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רט</w:t>
      </w:r>
      <w:r w:rsidRPr="00400C0B">
        <w:rPr>
          <w:rFonts w:cs="Guttman Rashi"/>
          <w:rtl/>
          <w:lang w:bidi="he-IL"/>
        </w:rPr>
        <w:t>"</w:t>
      </w:r>
      <w:r w:rsidRPr="00400C0B">
        <w:rPr>
          <w:rFonts w:cs="Guttman Rashi" w:hint="eastAsia"/>
          <w:rtl/>
          <w:lang w:bidi="he-IL"/>
        </w:rPr>
        <w:t>ז</w:t>
      </w:r>
      <w:r w:rsidRPr="00400C0B">
        <w:rPr>
          <w:rFonts w:cs="Guttman Rashi"/>
          <w:rtl/>
          <w:lang w:bidi="he-IL"/>
        </w:rPr>
        <w:t>.</w:t>
      </w:r>
      <w:r w:rsidRPr="00400C0B">
        <w:rPr>
          <w:rFonts w:cs="Guttman Rashi"/>
          <w:rt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בהאי</w:t>
      </w:r>
      <w:r w:rsidRPr="00400C0B">
        <w:rPr>
          <w:rFonts w:cs="Guttman Rashi"/>
          <w:rtl/>
          <w:lang w:bidi="he-IL"/>
        </w:rPr>
        <w:t xml:space="preserve"> </w:t>
      </w:r>
      <w:r w:rsidRPr="00400C0B">
        <w:rPr>
          <w:rFonts w:cs="Guttman Rashi" w:hint="eastAsia"/>
          <w:rtl/>
          <w:lang w:bidi="he-IL"/>
        </w:rPr>
        <w:t>ענינא</w:t>
      </w:r>
      <w:r w:rsidRPr="00400C0B">
        <w:rPr>
          <w:rFonts w:cs="Guttman Rashi"/>
          <w:rtl/>
          <w:lang w:bidi="he-IL"/>
        </w:rPr>
        <w:t xml:space="preserve"> </w:t>
      </w:r>
      <w:r w:rsidRPr="00400C0B">
        <w:rPr>
          <w:rFonts w:cs="Guttman Rashi" w:hint="eastAsia"/>
          <w:rtl/>
          <w:lang w:bidi="he-IL"/>
        </w:rPr>
        <w:t>אג</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יו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וח</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בדין</w:t>
      </w:r>
      <w:r w:rsidRPr="00400C0B">
        <w:rPr>
          <w:rFonts w:cs="Guttman Rashi"/>
          <w:rtl/>
          <w:lang w:bidi="he-IL"/>
        </w:rPr>
        <w:t xml:space="preserve"> </w:t>
      </w:r>
      <w:r w:rsidRPr="00400C0B">
        <w:rPr>
          <w:rFonts w:cs="Guttman Rashi" w:hint="eastAsia"/>
          <w:rtl/>
          <w:lang w:bidi="he-IL"/>
        </w:rPr>
        <w:t>החצובה</w:t>
      </w:r>
      <w:r w:rsidRPr="00400C0B">
        <w:rPr>
          <w:rFonts w:cs="Guttman Rashi"/>
          <w:rtl/>
          <w:lang w:bidi="he-IL"/>
        </w:rPr>
        <w:t xml:space="preserve">. </w:t>
      </w:r>
    </w:p>
  </w:footnote>
  <w:footnote w:id="42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מענינים</w:t>
      </w:r>
      <w:r w:rsidRPr="00400C0B">
        <w:rPr>
          <w:rFonts w:cs="Guttman Rashi"/>
          <w:rtl/>
          <w:lang w:bidi="he-IL"/>
        </w:rPr>
        <w:t xml:space="preserve"> </w:t>
      </w:r>
      <w:r w:rsidRPr="00400C0B">
        <w:rPr>
          <w:rFonts w:cs="Guttman Rashi" w:hint="eastAsia"/>
          <w:rtl/>
          <w:lang w:bidi="he-IL"/>
        </w:rPr>
        <w:t>אלו</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הבא</w:t>
      </w:r>
    </w:p>
  </w:footnote>
  <w:footnote w:id="42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קי</w:t>
      </w:r>
      <w:r w:rsidRPr="00400C0B">
        <w:rPr>
          <w:rFonts w:cs="Guttman Rashi"/>
          <w:rtl/>
          <w:lang w:bidi="he-IL"/>
        </w:rPr>
        <w:t>"</w:t>
      </w:r>
      <w:r w:rsidRPr="00400C0B">
        <w:rPr>
          <w:rFonts w:cs="Guttman Rashi" w:hint="eastAsia"/>
          <w:rtl/>
          <w:lang w:bidi="he-IL"/>
        </w:rPr>
        <w:t>א</w:t>
      </w:r>
    </w:p>
  </w:footnote>
  <w:footnote w:id="42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הביאור</w:t>
      </w:r>
      <w:r w:rsidRPr="00400C0B">
        <w:rPr>
          <w:rFonts w:cs="Guttman Rashi"/>
          <w:rtl/>
          <w:lang w:bidi="he-IL"/>
        </w:rPr>
        <w:t xml:space="preserve"> </w:t>
      </w:r>
      <w:r w:rsidRPr="00400C0B">
        <w:rPr>
          <w:rFonts w:cs="Guttman Rashi" w:hint="eastAsia"/>
          <w:rtl/>
          <w:lang w:bidi="he-IL"/>
        </w:rPr>
        <w:t>בשיטה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שהתכונה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חתיכה</w:t>
      </w:r>
      <w:r w:rsidRPr="00400C0B">
        <w:rPr>
          <w:rFonts w:cs="Guttman Rashi"/>
          <w:rtl/>
          <w:lang w:bidi="he-IL"/>
        </w:rPr>
        <w:t xml:space="preserve"> </w:t>
      </w:r>
      <w:r w:rsidRPr="00400C0B">
        <w:rPr>
          <w:rFonts w:cs="Guttman Rashi" w:hint="eastAsia"/>
          <w:rtl/>
          <w:lang w:bidi="he-IL"/>
        </w:rPr>
        <w:t>ליבלע</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היותו</w:t>
      </w:r>
      <w:r w:rsidRPr="00400C0B">
        <w:rPr>
          <w:rFonts w:cs="Guttman Rashi"/>
          <w:rtl/>
          <w:lang w:bidi="he-IL"/>
        </w:rPr>
        <w:t xml:space="preserve"> </w:t>
      </w:r>
      <w:r w:rsidRPr="00400C0B">
        <w:rPr>
          <w:rFonts w:cs="Guttman Rashi" w:hint="eastAsia"/>
          <w:rtl/>
          <w:lang w:bidi="he-IL"/>
        </w:rPr>
        <w:t>צלוי</w:t>
      </w:r>
      <w:r w:rsidRPr="00400C0B">
        <w:rPr>
          <w:rFonts w:cs="Guttman Rashi"/>
          <w:rtl/>
          <w:lang w:bidi="he-IL"/>
        </w:rPr>
        <w:t xml:space="preserve">, </w:t>
      </w:r>
      <w:r w:rsidRPr="00400C0B">
        <w:rPr>
          <w:rFonts w:cs="Guttman Rashi" w:hint="eastAsia"/>
          <w:rtl/>
          <w:lang w:bidi="he-IL"/>
        </w:rPr>
        <w:t>וחום</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קור</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מעלה</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מוריד</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ענינים</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החתיכה</w:t>
      </w:r>
      <w:r w:rsidRPr="00400C0B">
        <w:rPr>
          <w:rFonts w:cs="Guttman Rashi"/>
          <w:rtl/>
          <w:lang w:bidi="he-IL"/>
        </w:rPr>
        <w:t xml:space="preserve"> </w:t>
      </w:r>
      <w:r w:rsidRPr="00400C0B">
        <w:rPr>
          <w:rFonts w:cs="Guttman Rashi" w:hint="eastAsia"/>
          <w:rtl/>
          <w:lang w:bidi="he-IL"/>
        </w:rPr>
        <w:t>מתחממת</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גמר</w:t>
      </w:r>
      <w:r w:rsidRPr="00400C0B">
        <w:rPr>
          <w:rFonts w:cs="Guttman Rashi"/>
          <w:rtl/>
          <w:lang w:bidi="he-IL"/>
        </w:rPr>
        <w:t xml:space="preserve"> </w:t>
      </w:r>
      <w:r w:rsidRPr="00400C0B">
        <w:rPr>
          <w:rFonts w:cs="Guttman Rashi" w:hint="eastAsia"/>
          <w:rtl/>
          <w:lang w:bidi="he-IL"/>
        </w:rPr>
        <w:t>צלייתו</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מאז</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קליפה</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חם</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צלי</w:t>
      </w:r>
      <w:r w:rsidRPr="00400C0B">
        <w:rPr>
          <w:rFonts w:cs="Guttman Rashi"/>
          <w:rtl/>
          <w:lang w:bidi="he-IL"/>
        </w:rPr>
        <w:t xml:space="preserve"> </w:t>
      </w:r>
      <w:r w:rsidRPr="00400C0B">
        <w:rPr>
          <w:rFonts w:cs="Guttman Rashi" w:hint="eastAsia"/>
          <w:rtl/>
          <w:lang w:bidi="he-IL"/>
        </w:rPr>
        <w:t>צונן</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בולע</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גמר</w:t>
      </w:r>
      <w:r w:rsidRPr="00400C0B">
        <w:rPr>
          <w:rFonts w:cs="Guttman Rashi"/>
          <w:rtl/>
          <w:lang w:bidi="he-IL"/>
        </w:rPr>
        <w:t xml:space="preserve"> </w:t>
      </w:r>
      <w:r w:rsidRPr="00400C0B">
        <w:rPr>
          <w:rFonts w:cs="Guttman Rashi" w:hint="eastAsia"/>
          <w:rtl/>
          <w:lang w:bidi="he-IL"/>
        </w:rPr>
        <w:t>צלייתו</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חייבים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דמליח</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כררותח</w:t>
      </w:r>
      <w:r w:rsidRPr="00400C0B">
        <w:rPr>
          <w:rFonts w:cs="Guttman Rashi"/>
          <w:rtl/>
          <w:lang w:bidi="he-IL"/>
        </w:rPr>
        <w:t xml:space="preserve"> </w:t>
      </w:r>
      <w:r w:rsidRPr="00400C0B">
        <w:rPr>
          <w:rFonts w:cs="Guttman Rashi" w:hint="eastAsia"/>
          <w:rtl/>
          <w:lang w:bidi="he-IL"/>
        </w:rPr>
        <w:t>דצלי</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כסברא</w:t>
      </w:r>
      <w:r w:rsidRPr="00400C0B">
        <w:rPr>
          <w:rFonts w:cs="Guttman Rashi"/>
          <w:rtl/>
          <w:lang w:bidi="he-IL"/>
        </w:rPr>
        <w:t xml:space="preserve"> </w:t>
      </w:r>
      <w:r w:rsidRPr="00400C0B">
        <w:rPr>
          <w:rFonts w:cs="Guttman Rashi" w:hint="eastAsia"/>
          <w:rtl/>
          <w:lang w:bidi="he-IL"/>
        </w:rPr>
        <w:t>הראשונה</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כח</w:t>
      </w:r>
      <w:r w:rsidRPr="00400C0B">
        <w:rPr>
          <w:rFonts w:cs="Guttman Rashi"/>
          <w:rtl/>
          <w:lang w:bidi="he-IL"/>
        </w:rPr>
        <w:t xml:space="preserve"> </w:t>
      </w:r>
      <w:r w:rsidRPr="00400C0B">
        <w:rPr>
          <w:rFonts w:cs="Guttman Rashi" w:hint="eastAsia"/>
          <w:rtl/>
          <w:lang w:bidi="he-IL"/>
        </w:rPr>
        <w:t>מסוים</w:t>
      </w:r>
      <w:r w:rsidRPr="00400C0B">
        <w:rPr>
          <w:rFonts w:cs="Guttman Rashi"/>
          <w:rtl/>
          <w:lang w:bidi="he-IL"/>
        </w:rPr>
        <w:t xml:space="preserve"> </w:t>
      </w:r>
      <w:r w:rsidRPr="00400C0B">
        <w:rPr>
          <w:rFonts w:cs="Guttman Rashi" w:hint="eastAsia"/>
          <w:rtl/>
          <w:lang w:bidi="he-IL"/>
        </w:rPr>
        <w:t>לחום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צלי</w:t>
      </w:r>
      <w:r w:rsidRPr="00400C0B">
        <w:rPr>
          <w:rFonts w:cs="Guttman Rashi"/>
          <w:rtl/>
          <w:lang w:bidi="he-IL"/>
        </w:rPr>
        <w:t xml:space="preserve"> </w:t>
      </w:r>
      <w:r w:rsidRPr="00400C0B">
        <w:rPr>
          <w:rFonts w:cs="Guttman Rashi" w:hint="eastAsia"/>
          <w:rtl/>
          <w:lang w:bidi="he-IL"/>
        </w:rPr>
        <w:t>לבלוע</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שנהפך</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צלוי</w:t>
      </w:r>
      <w:r w:rsidRPr="00400C0B">
        <w:rPr>
          <w:rFonts w:cs="Guttman Rashi"/>
          <w:rtl/>
          <w:lang w:bidi="he-IL"/>
        </w:rPr>
        <w:t>.</w:t>
      </w:r>
    </w:p>
  </w:footnote>
  <w:footnote w:id="42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יוצא</w:t>
      </w:r>
      <w:r w:rsidRPr="00400C0B">
        <w:rPr>
          <w:rFonts w:cs="Guttman Rashi"/>
          <w:rtl/>
          <w:lang w:bidi="he-IL"/>
        </w:rPr>
        <w:t xml:space="preserve"> </w:t>
      </w:r>
      <w:r w:rsidRPr="00400C0B">
        <w:rPr>
          <w:rFonts w:cs="Guttman Rashi" w:hint="eastAsia"/>
          <w:rtl/>
          <w:lang w:bidi="he-IL"/>
        </w:rPr>
        <w:t>נפק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גדולה</w:t>
      </w:r>
      <w:r w:rsidRPr="00400C0B">
        <w:rPr>
          <w:rFonts w:cs="Guttman Rashi"/>
          <w:rtl/>
          <w:lang w:bidi="he-IL"/>
        </w:rPr>
        <w:t xml:space="preserve"> </w:t>
      </w:r>
      <w:r w:rsidRPr="00400C0B">
        <w:rPr>
          <w:rFonts w:cs="Guttman Rashi" w:hint="eastAsia"/>
          <w:rtl/>
          <w:lang w:bidi="he-IL"/>
        </w:rPr>
        <w:t>לדבריו</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שהביא</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שיטות</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בדאית</w:t>
      </w:r>
      <w:r w:rsidRPr="00400C0B">
        <w:rPr>
          <w:rFonts w:cs="Guttman Rashi"/>
          <w:rtl/>
          <w:lang w:bidi="he-IL"/>
        </w:rPr>
        <w:t xml:space="preserve"> </w:t>
      </w:r>
      <w:r w:rsidRPr="00400C0B">
        <w:rPr>
          <w:rFonts w:cs="Guttman Rashi" w:hint="eastAsia"/>
          <w:rtl/>
          <w:lang w:bidi="he-IL"/>
        </w:rPr>
        <w:t>בי</w:t>
      </w:r>
      <w:r w:rsidRPr="00400C0B">
        <w:rPr>
          <w:rFonts w:cs="Guttman Rashi"/>
          <w:rtl/>
          <w:lang w:bidi="he-IL"/>
        </w:rPr>
        <w:t xml:space="preserve">' </w:t>
      </w:r>
      <w:r w:rsidRPr="00400C0B">
        <w:rPr>
          <w:rFonts w:cs="Guttman Rashi" w:hint="eastAsia"/>
          <w:rtl/>
          <w:lang w:bidi="he-IL"/>
        </w:rPr>
        <w:t>פילי</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חי</w:t>
      </w:r>
      <w:r w:rsidRPr="00400C0B">
        <w:rPr>
          <w:rFonts w:cs="Guttman Rashi"/>
          <w:rtl/>
          <w:lang w:bidi="he-IL"/>
        </w:rPr>
        <w:t xml:space="preserve">, </w:t>
      </w:r>
      <w:r w:rsidRPr="00400C0B">
        <w:rPr>
          <w:rFonts w:cs="Guttman Rashi" w:hint="eastAsia"/>
          <w:rtl/>
          <w:lang w:bidi="he-IL"/>
        </w:rPr>
        <w:t>נפל</w:t>
      </w:r>
      <w:r w:rsidRPr="00400C0B">
        <w:rPr>
          <w:rFonts w:cs="Guttman Rashi"/>
          <w:rtl/>
          <w:lang w:bidi="he-IL"/>
        </w:rPr>
        <w:t xml:space="preserve"> </w:t>
      </w:r>
      <w:r w:rsidRPr="00400C0B">
        <w:rPr>
          <w:rFonts w:cs="Guttman Rashi" w:hint="eastAsia"/>
          <w:rtl/>
          <w:lang w:bidi="he-IL"/>
        </w:rPr>
        <w:t>בבירא</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הדחה</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האיך</w:t>
      </w:r>
      <w:r w:rsidRPr="00400C0B">
        <w:rPr>
          <w:rFonts w:cs="Guttman Rashi"/>
          <w:rtl/>
          <w:lang w:bidi="he-IL"/>
        </w:rPr>
        <w:t xml:space="preserve"> </w:t>
      </w:r>
      <w:r w:rsidRPr="00400C0B">
        <w:rPr>
          <w:rFonts w:cs="Guttman Rashi" w:hint="eastAsia"/>
          <w:rtl/>
          <w:lang w:bidi="he-IL"/>
        </w:rPr>
        <w:t>נדע</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פילי</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וצע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rPr>
        <w:t xml:space="preserve"> </w:t>
      </w:r>
    </w:p>
  </w:footnote>
  <w:footnote w:id="42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w:t>
      </w:r>
    </w:p>
  </w:footnote>
  <w:footnote w:id="42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מגי</w:t>
      </w:r>
      <w:r w:rsidRPr="00400C0B">
        <w:rPr>
          <w:rFonts w:cs="Guttman Rashi"/>
          <w:rtl/>
          <w:lang w:bidi="he-IL"/>
        </w:rPr>
        <w:t>"</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שרובם</w:t>
      </w:r>
      <w:r w:rsidRPr="00400C0B">
        <w:rPr>
          <w:rFonts w:cs="Guttman Rashi"/>
          <w:rtl/>
          <w:lang w:bidi="he-IL"/>
        </w:rPr>
        <w:t xml:space="preserve"> </w:t>
      </w:r>
      <w:r w:rsidRPr="00400C0B">
        <w:rPr>
          <w:rFonts w:cs="Guttman Rashi" w:hint="eastAsia"/>
          <w:rtl/>
          <w:lang w:bidi="he-IL"/>
        </w:rPr>
        <w:t>ככולם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הדברים</w:t>
      </w:r>
      <w:r w:rsidRPr="00400C0B">
        <w:rPr>
          <w:rFonts w:cs="Guttman Rashi"/>
          <w:rtl/>
          <w:lang w:bidi="he-IL"/>
        </w:rPr>
        <w:t xml:space="preserve"> </w:t>
      </w:r>
      <w:r w:rsidRPr="00400C0B">
        <w:rPr>
          <w:rFonts w:cs="Guttman Rashi" w:hint="eastAsia"/>
          <w:rtl/>
          <w:lang w:bidi="he-IL"/>
        </w:rPr>
        <w:t>דלהלן</w:t>
      </w:r>
      <w:r w:rsidRPr="00400C0B">
        <w:rPr>
          <w:rFonts w:cs="Guttman Rashi"/>
          <w:rtl/>
          <w:lang w:bidi="he-IL"/>
        </w:rPr>
        <w:t xml:space="preserve"> </w:t>
      </w:r>
      <w:r w:rsidRPr="00400C0B">
        <w:rPr>
          <w:rFonts w:cs="Guttman Rashi" w:hint="eastAsia"/>
          <w:rtl/>
          <w:lang w:bidi="he-IL"/>
        </w:rPr>
        <w:t>מתבארים</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ושם</w:t>
      </w:r>
      <w:r w:rsidRPr="00400C0B">
        <w:rPr>
          <w:rFonts w:cs="Guttman Rashi"/>
          <w:rtl/>
          <w:lang w:bidi="he-IL"/>
        </w:rPr>
        <w:t xml:space="preserve"> </w:t>
      </w:r>
      <w:r w:rsidRPr="00400C0B">
        <w:rPr>
          <w:rFonts w:cs="Guttman Rashi" w:hint="eastAsia"/>
          <w:rtl/>
          <w:lang w:bidi="he-IL"/>
        </w:rPr>
        <w:t>ציין</w:t>
      </w:r>
      <w:r w:rsidRPr="00400C0B">
        <w:rPr>
          <w:rFonts w:cs="Guttman Rashi"/>
          <w:rtl/>
          <w:lang w:bidi="he-IL"/>
        </w:rPr>
        <w:t xml:space="preserve"> </w:t>
      </w:r>
      <w:r w:rsidRPr="00400C0B">
        <w:rPr>
          <w:rFonts w:cs="Guttman Rashi" w:hint="eastAsia"/>
          <w:rtl/>
          <w:lang w:bidi="he-IL"/>
        </w:rPr>
        <w:t>לדברי</w:t>
      </w:r>
      <w:r w:rsidRPr="00400C0B">
        <w:rPr>
          <w:rFonts w:cs="Guttman Rashi"/>
          <w:rtl/>
          <w:lang w:bidi="he-IL"/>
        </w:rPr>
        <w:t xml:space="preserve"> </w:t>
      </w:r>
      <w:r w:rsidRPr="00400C0B">
        <w:rPr>
          <w:rFonts w:cs="Guttman Rashi" w:hint="eastAsia"/>
          <w:rtl/>
          <w:lang w:bidi="he-IL"/>
        </w:rPr>
        <w:t>הבדה</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ש</w:t>
      </w:r>
      <w:r w:rsidRPr="00400C0B">
        <w:rPr>
          <w:rFonts w:cs="Guttman Rashi"/>
          <w:rtl/>
          <w:lang w:bidi="he-IL"/>
        </w:rPr>
        <w:t>"</w:t>
      </w:r>
      <w:r w:rsidRPr="00400C0B">
        <w:rPr>
          <w:rFonts w:cs="Guttman Rashi" w:hint="eastAsia"/>
          <w:rtl/>
          <w:lang w:bidi="he-IL"/>
        </w:rPr>
        <w:t>ו</w:t>
      </w:r>
    </w:p>
  </w:footnote>
  <w:footnote w:id="43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וכשיטת</w:t>
      </w:r>
      <w:r w:rsidRPr="00400C0B">
        <w:rPr>
          <w:rFonts w:cs="Guttman Rashi"/>
          <w:rtl/>
          <w:lang w:bidi="he-IL"/>
        </w:rPr>
        <w:t xml:space="preserve"> </w:t>
      </w:r>
      <w:r w:rsidRPr="00400C0B">
        <w:rPr>
          <w:rFonts w:cs="Guttman Rashi" w:hint="eastAsia"/>
          <w:rtl/>
          <w:lang w:bidi="he-IL"/>
        </w:rPr>
        <w:t>הראבי</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שחזר</w:t>
      </w:r>
      <w:r w:rsidRPr="00400C0B">
        <w:rPr>
          <w:rFonts w:cs="Guttman Rashi"/>
          <w:rtl/>
          <w:lang w:bidi="he-IL"/>
        </w:rPr>
        <w:t xml:space="preserve"> </w:t>
      </w:r>
      <w:r w:rsidRPr="00400C0B">
        <w:rPr>
          <w:rFonts w:cs="Guttman Rashi" w:hint="eastAsia"/>
          <w:rtl/>
          <w:lang w:bidi="he-IL"/>
        </w:rPr>
        <w:t>בו</w:t>
      </w:r>
      <w:r w:rsidRPr="00400C0B">
        <w:rPr>
          <w:rFonts w:cs="Guttman Rashi"/>
          <w:rtl/>
          <w:lang w:bidi="he-IL"/>
        </w:rPr>
        <w:t xml:space="preserve">) </w:t>
      </w:r>
      <w:r w:rsidRPr="00400C0B">
        <w:rPr>
          <w:rFonts w:cs="Guttman Rashi" w:hint="eastAsia"/>
          <w:rtl/>
          <w:lang w:bidi="he-IL"/>
        </w:rPr>
        <w:t>דאע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שחלב</w:t>
      </w:r>
      <w:r w:rsidRPr="00400C0B">
        <w:rPr>
          <w:rFonts w:cs="Guttman Rashi"/>
          <w:rtl/>
          <w:lang w:bidi="he-IL"/>
        </w:rPr>
        <w:t xml:space="preserve"> </w:t>
      </w:r>
      <w:r w:rsidRPr="00400C0B">
        <w:rPr>
          <w:rFonts w:cs="Guttman Rashi" w:hint="eastAsia"/>
          <w:rtl/>
          <w:lang w:bidi="he-IL"/>
        </w:rPr>
        <w:t>מפעפע</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בצלי</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במליחה</w:t>
      </w:r>
    </w:p>
  </w:footnote>
  <w:footnote w:id="43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ג</w:t>
      </w:r>
    </w:p>
  </w:footnote>
  <w:footnote w:id="43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י</w:t>
      </w:r>
    </w:p>
  </w:footnote>
  <w:footnote w:id="43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ולענין</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במערכה</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הבית</w:t>
      </w:r>
      <w:r w:rsidRPr="00400C0B">
        <w:rPr>
          <w:rFonts w:cs="Guttman Rashi"/>
          <w:rtl/>
          <w:lang w:bidi="he-IL"/>
        </w:rPr>
        <w:t xml:space="preserve"> </w:t>
      </w:r>
      <w:r w:rsidRPr="00400C0B">
        <w:rPr>
          <w:rFonts w:cs="Guttman Rashi" w:hint="eastAsia"/>
          <w:rtl/>
          <w:lang w:bidi="he-IL"/>
        </w:rPr>
        <w:t>הלוי</w:t>
      </w:r>
      <w:r w:rsidRPr="00400C0B">
        <w:rPr>
          <w:rFonts w:cs="Guttman Rashi"/>
          <w:rtl/>
          <w:lang w:bidi="he-IL"/>
        </w:rPr>
        <w:t xml:space="preserve"> </w:t>
      </w:r>
      <w:r w:rsidRPr="00400C0B">
        <w:rPr>
          <w:rFonts w:cs="Guttman Rashi" w:hint="eastAsia"/>
          <w:rtl/>
          <w:lang w:bidi="he-IL"/>
        </w:rPr>
        <w:t>מובא</w:t>
      </w:r>
      <w:r w:rsidRPr="00400C0B">
        <w:rPr>
          <w:rFonts w:cs="Guttman Rashi"/>
          <w:rtl/>
          <w:lang w:bidi="he-IL"/>
        </w:rPr>
        <w:t xml:space="preserve"> </w:t>
      </w:r>
      <w:r w:rsidRPr="00400C0B">
        <w:rPr>
          <w:rFonts w:cs="Guttman Rashi" w:hint="eastAsia"/>
          <w:rtl/>
          <w:lang w:bidi="he-IL"/>
        </w:rPr>
        <w:t>ברמב</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מהדו</w:t>
      </w:r>
      <w:r w:rsidRPr="00400C0B">
        <w:rPr>
          <w:rFonts w:cs="Guttman Rashi"/>
          <w:rtl/>
          <w:lang w:bidi="he-IL"/>
        </w:rPr>
        <w:t xml:space="preserve">' </w:t>
      </w:r>
      <w:r w:rsidRPr="00400C0B">
        <w:rPr>
          <w:rFonts w:cs="Guttman Rashi" w:hint="eastAsia"/>
          <w:rtl/>
          <w:lang w:bidi="he-IL"/>
        </w:rPr>
        <w:t>פרנקל</w:t>
      </w:r>
      <w:r w:rsidRPr="00400C0B">
        <w:rPr>
          <w:rFonts w:cs="Guttman Rashi"/>
          <w:rtl/>
          <w:lang w:bidi="he-IL"/>
        </w:rPr>
        <w:t xml:space="preserve"> </w:t>
      </w:r>
      <w:r w:rsidRPr="00400C0B">
        <w:rPr>
          <w:rFonts w:cs="Guttman Rashi" w:hint="eastAsia"/>
          <w:rtl/>
          <w:lang w:bidi="he-IL"/>
        </w:rPr>
        <w:t>קדושה</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שצ</w:t>
      </w:r>
      <w:r w:rsidRPr="00400C0B">
        <w:rPr>
          <w:rFonts w:cs="Guttman Rashi"/>
          <w:rtl/>
          <w:lang w:bidi="he-IL"/>
        </w:rPr>
        <w:t>"</w:t>
      </w:r>
      <w:r w:rsidRPr="00400C0B">
        <w:rPr>
          <w:rFonts w:cs="Guttman Rashi" w:hint="eastAsia"/>
          <w:rtl/>
          <w:lang w:bidi="he-IL"/>
        </w:rPr>
        <w:t>ז</w:t>
      </w:r>
      <w:r w:rsidRPr="00400C0B">
        <w:rPr>
          <w:rFonts w:cs="Guttman Rashi"/>
          <w:rtl/>
          <w:lang w:bidi="he-IL"/>
        </w:rPr>
        <w:t>.</w:t>
      </w:r>
    </w:p>
  </w:footnote>
  <w:footnote w:id="43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ז</w:t>
      </w:r>
    </w:p>
  </w:footnote>
  <w:footnote w:id="43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עובר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בל</w:t>
      </w:r>
      <w:r w:rsidRPr="00400C0B">
        <w:rPr>
          <w:rFonts w:cs="Guttman Rashi"/>
          <w:rtl/>
          <w:lang w:bidi="he-IL"/>
        </w:rPr>
        <w:t xml:space="preserve"> </w:t>
      </w:r>
      <w:r w:rsidRPr="00400C0B">
        <w:rPr>
          <w:rFonts w:cs="Guttman Rashi" w:hint="eastAsia"/>
          <w:rtl/>
          <w:lang w:bidi="he-IL"/>
        </w:rPr>
        <w:t>יראה</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חמץ</w:t>
      </w:r>
      <w:r w:rsidRPr="00400C0B">
        <w:rPr>
          <w:rFonts w:cs="Guttman Rashi"/>
          <w:rtl/>
          <w:lang w:bidi="he-IL"/>
        </w:rPr>
        <w:t xml:space="preserve"> </w:t>
      </w:r>
      <w:r w:rsidRPr="00400C0B">
        <w:rPr>
          <w:rFonts w:cs="Guttman Rashi" w:hint="eastAsia"/>
          <w:rtl/>
          <w:lang w:bidi="he-IL"/>
        </w:rPr>
        <w:t>משהו</w:t>
      </w:r>
      <w:r w:rsidRPr="00400C0B">
        <w:rPr>
          <w:rFonts w:cs="Guttman Rashi"/>
          <w:rtl/>
          <w:lang w:bidi="he-IL"/>
        </w:rPr>
        <w:t xml:space="preserve"> </w:t>
      </w:r>
      <w:r w:rsidRPr="00400C0B">
        <w:rPr>
          <w:rFonts w:cs="Guttman Rashi" w:hint="eastAsia"/>
          <w:rtl/>
          <w:lang w:bidi="he-IL"/>
        </w:rPr>
        <w:t>בתערובת</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קנס</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דר</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וכדמבואר</w:t>
      </w:r>
      <w:r w:rsidRPr="00400C0B">
        <w:rPr>
          <w:rFonts w:cs="Guttman Rashi"/>
          <w:rtl/>
          <w:lang w:bidi="he-IL"/>
        </w:rPr>
        <w:t xml:space="preserve"> </w:t>
      </w:r>
      <w:r w:rsidRPr="00400C0B">
        <w:rPr>
          <w:rFonts w:cs="Guttman Rashi" w:hint="eastAsia"/>
          <w:rtl/>
          <w:lang w:bidi="he-IL"/>
        </w:rPr>
        <w:t>בשו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תמ</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סע</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נימא</w:t>
      </w:r>
      <w:r w:rsidRPr="00400C0B">
        <w:rPr>
          <w:rFonts w:cs="Guttman Rashi"/>
          <w:rtl/>
          <w:lang w:bidi="he-IL"/>
        </w:rPr>
        <w:t xml:space="preserve"> </w:t>
      </w:r>
      <w:r w:rsidRPr="00400C0B">
        <w:rPr>
          <w:rFonts w:cs="Guttman Rashi" w:hint="eastAsia"/>
          <w:rtl/>
          <w:lang w:bidi="he-IL"/>
        </w:rPr>
        <w:t>שלר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איכפת</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עבר</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מדרבנן</w:t>
      </w:r>
      <w:r w:rsidRPr="00400C0B">
        <w:rPr>
          <w:rFonts w:cs="Guttman Rashi"/>
          <w:rtl/>
          <w:lang w:bidi="he-IL"/>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שהיי</w:t>
      </w:r>
      <w:r w:rsidRPr="00400C0B">
        <w:rPr>
          <w:rFonts w:cs="Guttman Rashi"/>
          <w:rtl/>
          <w:lang w:bidi="he-IL"/>
        </w:rPr>
        <w:t xml:space="preserve">' </w:t>
      </w:r>
      <w:r w:rsidRPr="00400C0B">
        <w:rPr>
          <w:rFonts w:cs="Guttman Rashi" w:hint="eastAsia"/>
          <w:rtl/>
          <w:lang w:bidi="he-IL"/>
        </w:rPr>
        <w:t>מדרבנן</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באותה</w:t>
      </w:r>
      <w:r w:rsidRPr="00400C0B">
        <w:rPr>
          <w:rFonts w:cs="Guttman Rashi"/>
          <w:rtl/>
          <w:lang w:bidi="he-IL"/>
        </w:rPr>
        <w:t xml:space="preserve"> </w:t>
      </w:r>
      <w:r w:rsidRPr="00400C0B">
        <w:rPr>
          <w:rFonts w:cs="Guttman Rashi" w:hint="eastAsia"/>
          <w:rtl/>
          <w:lang w:bidi="he-IL"/>
        </w:rPr>
        <w:t>תערובת</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מצטרף</w:t>
      </w:r>
      <w:r w:rsidRPr="00400C0B">
        <w:rPr>
          <w:rFonts w:cs="Guttman Rashi"/>
          <w:rtl/>
          <w:lang w:bidi="he-IL"/>
        </w:rPr>
        <w:t xml:space="preserve"> </w:t>
      </w:r>
      <w:r w:rsidRPr="00400C0B">
        <w:rPr>
          <w:rFonts w:cs="Guttman Rashi" w:hint="eastAsia"/>
          <w:rtl/>
          <w:lang w:bidi="he-IL"/>
        </w:rPr>
        <w:t>ההיתר</w:t>
      </w:r>
      <w:r w:rsidRPr="00400C0B">
        <w:rPr>
          <w:rFonts w:cs="Guttman Rashi"/>
          <w:rtl/>
          <w:lang w:bidi="he-IL"/>
        </w:rPr>
        <w:t xml:space="preserve"> </w:t>
      </w:r>
      <w:r w:rsidRPr="00400C0B">
        <w:rPr>
          <w:rFonts w:cs="Guttman Rashi" w:hint="eastAsia"/>
          <w:rtl/>
          <w:lang w:bidi="he-IL"/>
        </w:rPr>
        <w:t>לבטל</w:t>
      </w:r>
      <w:r w:rsidRPr="00400C0B">
        <w:rPr>
          <w:rFonts w:cs="Guttman Rashi"/>
          <w:rtl/>
          <w:lang w:bidi="he-IL"/>
        </w:rPr>
        <w:t xml:space="preserve"> </w:t>
      </w:r>
      <w:r w:rsidRPr="00400C0B">
        <w:rPr>
          <w:rFonts w:cs="Guttman Rashi" w:hint="eastAsia"/>
          <w:rtl/>
          <w:lang w:bidi="he-IL"/>
        </w:rPr>
        <w:t>האיסור</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שהוכיח</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בסי</w:t>
      </w:r>
      <w:r w:rsidRPr="00400C0B">
        <w:rPr>
          <w:rFonts w:cs="Guttman Rashi"/>
          <w:rtl/>
          <w:lang w:bidi="he-IL"/>
        </w:rPr>
        <w:t xml:space="preserve">' </w:t>
      </w:r>
      <w:r w:rsidRPr="00400C0B">
        <w:rPr>
          <w:rFonts w:cs="Guttman Rashi" w:hint="eastAsia"/>
          <w:rtl/>
          <w:lang w:bidi="he-IL"/>
        </w:rPr>
        <w:t>תמ</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קי</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ומה</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שכוונת</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דשיל</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החמץ</w:t>
      </w:r>
      <w:r w:rsidRPr="00400C0B">
        <w:rPr>
          <w:rFonts w:cs="Guttman Rashi"/>
          <w:rtl/>
          <w:lang w:bidi="he-IL"/>
        </w:rPr>
        <w:t xml:space="preserve"> </w:t>
      </w:r>
      <w:r w:rsidRPr="00400C0B">
        <w:rPr>
          <w:rFonts w:cs="Guttman Rashi" w:hint="eastAsia"/>
          <w:rtl/>
          <w:lang w:bidi="he-IL"/>
        </w:rPr>
        <w:t>בפני</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לה</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יתערב</w:t>
      </w:r>
      <w:r w:rsidRPr="00400C0B">
        <w:rPr>
          <w:rFonts w:cs="Guttman Rashi"/>
          <w:rtl/>
          <w:lang w:bidi="he-IL"/>
        </w:rPr>
        <w:t xml:space="preserve"> </w:t>
      </w:r>
      <w:r w:rsidRPr="00400C0B">
        <w:rPr>
          <w:rFonts w:cs="Guttman Rashi" w:hint="eastAsia"/>
          <w:rtl/>
          <w:lang w:bidi="he-IL"/>
        </w:rPr>
        <w:t>לאחר</w:t>
      </w:r>
      <w:r w:rsidRPr="00400C0B">
        <w:rPr>
          <w:rFonts w:cs="Guttman Rashi"/>
          <w:rtl/>
          <w:lang w:bidi="he-IL"/>
        </w:rPr>
        <w:t xml:space="preserve"> </w:t>
      </w:r>
      <w:r w:rsidRPr="00400C0B">
        <w:rPr>
          <w:rFonts w:cs="Guttman Rashi" w:hint="eastAsia"/>
          <w:rtl/>
          <w:lang w:bidi="he-IL"/>
        </w:rPr>
        <w:t>מכן</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כרבינו</w:t>
      </w:r>
      <w:r w:rsidRPr="00400C0B">
        <w:rPr>
          <w:rFonts w:cs="Guttman Rashi"/>
          <w:rtl/>
          <w:lang w:bidi="he-IL"/>
        </w:rPr>
        <w:t xml:space="preserve"> </w:t>
      </w:r>
      <w:r w:rsidRPr="00400C0B">
        <w:rPr>
          <w:rFonts w:cs="Guttman Rashi" w:hint="eastAsia"/>
          <w:rtl/>
          <w:lang w:bidi="he-IL"/>
        </w:rPr>
        <w:t>יונה</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מובן</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שמותר</w:t>
      </w:r>
      <w:r w:rsidRPr="00400C0B">
        <w:rPr>
          <w:rFonts w:cs="Guttman Rashi"/>
          <w:rtl/>
          <w:lang w:bidi="he-IL"/>
        </w:rPr>
        <w:t xml:space="preserve"> </w:t>
      </w:r>
      <w:r w:rsidRPr="00400C0B">
        <w:rPr>
          <w:rFonts w:cs="Guttman Rashi" w:hint="eastAsia"/>
          <w:rtl/>
          <w:lang w:bidi="he-IL"/>
        </w:rPr>
        <w:t>לבטלו</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וזהו</w:t>
      </w:r>
      <w:r w:rsidRPr="00400C0B">
        <w:rPr>
          <w:rFonts w:cs="Guttman Rashi"/>
          <w:rtl/>
          <w:lang w:bidi="he-IL"/>
        </w:rPr>
        <w:t xml:space="preserve"> </w:t>
      </w:r>
      <w:r w:rsidRPr="00400C0B">
        <w:rPr>
          <w:rFonts w:cs="Guttman Rashi" w:hint="eastAsia"/>
          <w:rtl/>
          <w:lang w:bidi="he-IL"/>
        </w:rPr>
        <w:t>היתרו</w:t>
      </w:r>
      <w:r w:rsidRPr="00400C0B">
        <w:rPr>
          <w:rFonts w:cs="Guttman Rashi"/>
          <w:rtl/>
          <w:lang w:bidi="he-IL"/>
        </w:rPr>
        <w:t xml:space="preserve">). </w:t>
      </w:r>
      <w:r w:rsidRPr="00400C0B">
        <w:rPr>
          <w:rFonts w:cs="Guttman Rashi" w:hint="eastAsia"/>
          <w:rtl/>
          <w:lang w:bidi="he-IL"/>
        </w:rPr>
        <w:t>ועל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מקשה</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דמ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החמץ</w:t>
      </w:r>
      <w:r w:rsidRPr="00400C0B">
        <w:rPr>
          <w:rFonts w:cs="Guttman Rashi"/>
          <w:rtl/>
          <w:lang w:bidi="he-IL"/>
        </w:rPr>
        <w:t xml:space="preserve"> </w:t>
      </w:r>
      <w:r w:rsidRPr="00400C0B">
        <w:rPr>
          <w:rFonts w:cs="Guttman Rashi" w:hint="eastAsia"/>
          <w:rtl/>
          <w:lang w:bidi="he-IL"/>
        </w:rPr>
        <w:t>בפני</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קיים</w:t>
      </w:r>
      <w:r w:rsidRPr="00400C0B">
        <w:rPr>
          <w:rFonts w:cs="Guttman Rashi"/>
          <w:rtl/>
          <w:lang w:bidi="he-IL"/>
        </w:rPr>
        <w:t xml:space="preserve"> </w:t>
      </w:r>
      <w:r w:rsidRPr="00400C0B">
        <w:rPr>
          <w:rFonts w:cs="Guttman Rashi" w:hint="eastAsia"/>
          <w:rtl/>
          <w:lang w:bidi="he-IL"/>
        </w:rPr>
        <w:t>ההערה</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בדעת</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שאיזה</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יהי</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לאחר</w:t>
      </w:r>
      <w:r w:rsidRPr="00400C0B">
        <w:rPr>
          <w:rFonts w:cs="Guttman Rashi"/>
          <w:rtl/>
          <w:lang w:bidi="he-IL"/>
        </w:rPr>
        <w:t xml:space="preserve"> </w:t>
      </w:r>
      <w:r w:rsidRPr="00400C0B">
        <w:rPr>
          <w:rFonts w:cs="Guttman Rashi" w:hint="eastAsia"/>
          <w:rtl/>
          <w:lang w:bidi="he-IL"/>
        </w:rPr>
        <w:t>זמן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ממה</w:t>
      </w:r>
      <w:r w:rsidRPr="00400C0B">
        <w:rPr>
          <w:rFonts w:cs="Guttman Rashi"/>
          <w:rtl/>
          <w:lang w:bidi="he-IL"/>
        </w:rPr>
        <w:t xml:space="preserve"> </w:t>
      </w:r>
      <w:r w:rsidRPr="00400C0B">
        <w:rPr>
          <w:rFonts w:cs="Guttman Rashi" w:hint="eastAsia"/>
          <w:rtl/>
          <w:lang w:bidi="he-IL"/>
        </w:rPr>
        <w:t>שמבטלין</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עכשיו</w:t>
      </w:r>
      <w:r w:rsidRPr="00400C0B">
        <w:rPr>
          <w:rFonts w:cs="Guttman Rashi"/>
          <w:rtl/>
          <w:lang w:bidi="he-IL"/>
        </w:rPr>
        <w:t>.</w:t>
      </w:r>
    </w:p>
    <w:p w:rsidR="007978F4" w:rsidRPr="00400C0B" w:rsidRDefault="007978F4" w:rsidP="00B80448">
      <w:pPr>
        <w:pStyle w:val="FootnoteText"/>
        <w:bidi/>
        <w:jc w:val="both"/>
        <w:rPr>
          <w:rFonts w:cs="Guttman Rashi"/>
          <w:rtl/>
          <w:lang w:bidi="he-IL"/>
        </w:rPr>
      </w:pPr>
      <w:r w:rsidRPr="00400C0B">
        <w:rPr>
          <w:rFonts w:cs="Guttman Rashi" w:hint="eastAsia"/>
          <w:rtl/>
          <w:lang w:bidi="he-IL"/>
        </w:rPr>
        <w:t>שוב</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ליתא</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בחי</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דוד</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דמיירי</w:t>
      </w:r>
      <w:r w:rsidRPr="00400C0B">
        <w:rPr>
          <w:rFonts w:cs="Guttman Rashi"/>
          <w:rtl/>
          <w:lang w:bidi="he-IL"/>
        </w:rPr>
        <w:t xml:space="preserve"> </w:t>
      </w:r>
      <w:r w:rsidRPr="00400C0B">
        <w:rPr>
          <w:rFonts w:cs="Guttman Rashi" w:hint="eastAsia"/>
          <w:rtl/>
          <w:lang w:bidi="he-IL"/>
        </w:rPr>
        <w:t>באותו</w:t>
      </w:r>
      <w:r w:rsidRPr="00400C0B">
        <w:rPr>
          <w:rFonts w:cs="Guttman Rashi"/>
          <w:rtl/>
          <w:lang w:bidi="he-IL"/>
        </w:rPr>
        <w:t xml:space="preserve"> </w:t>
      </w:r>
      <w:r w:rsidRPr="00400C0B">
        <w:rPr>
          <w:rFonts w:cs="Guttman Rashi" w:hint="eastAsia"/>
          <w:rtl/>
          <w:lang w:bidi="he-IL"/>
        </w:rPr>
        <w:t>תערובת</w:t>
      </w:r>
      <w:r w:rsidRPr="00400C0B">
        <w:rPr>
          <w:rFonts w:cs="Guttman Rashi"/>
          <w:rtl/>
          <w:lang w:bidi="he-IL"/>
        </w:rPr>
        <w:t xml:space="preserve"> </w:t>
      </w:r>
      <w:r w:rsidRPr="00400C0B">
        <w:rPr>
          <w:rFonts w:cs="Guttman Rashi" w:hint="eastAsia"/>
          <w:rtl/>
          <w:lang w:bidi="he-IL"/>
        </w:rPr>
        <w:t>שהי</w:t>
      </w:r>
      <w:r w:rsidRPr="00400C0B">
        <w:rPr>
          <w:rFonts w:cs="Guttman Rashi"/>
          <w:rtl/>
          <w:lang w:bidi="he-IL"/>
        </w:rPr>
        <w:t xml:space="preserve">' </w:t>
      </w:r>
      <w:r w:rsidRPr="00400C0B">
        <w:rPr>
          <w:rFonts w:cs="Guttman Rashi" w:hint="eastAsia"/>
          <w:rtl/>
          <w:lang w:bidi="he-IL"/>
        </w:rPr>
        <w:t>בפסח</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שהחמץ</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שנתערב</w:t>
      </w:r>
      <w:r w:rsidRPr="00400C0B">
        <w:rPr>
          <w:rFonts w:cs="Guttman Rashi"/>
          <w:rtl/>
          <w:lang w:bidi="he-IL"/>
        </w:rPr>
        <w:t xml:space="preserve"> </w:t>
      </w:r>
      <w:r w:rsidRPr="00400C0B">
        <w:rPr>
          <w:rFonts w:cs="Guttman Rashi" w:hint="eastAsia"/>
          <w:rtl/>
          <w:lang w:bidi="he-IL"/>
        </w:rPr>
        <w:t>בפסח</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עבר</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ושייך</w:t>
      </w:r>
      <w:r w:rsidRPr="00400C0B">
        <w:rPr>
          <w:rFonts w:cs="Guttman Rashi"/>
          <w:rtl/>
          <w:lang w:bidi="he-IL"/>
        </w:rPr>
        <w:t xml:space="preserve"> </w:t>
      </w:r>
      <w:r w:rsidRPr="00400C0B">
        <w:rPr>
          <w:rFonts w:cs="Guttman Rashi" w:hint="eastAsia"/>
          <w:rtl/>
          <w:lang w:bidi="he-IL"/>
        </w:rPr>
        <w:t>לגבי</w:t>
      </w:r>
      <w:r w:rsidRPr="00400C0B">
        <w:rPr>
          <w:rFonts w:cs="Guttman Rashi"/>
          <w:rtl/>
          <w:lang w:bidi="he-IL"/>
        </w:rPr>
        <w:t xml:space="preserve">' </w:t>
      </w:r>
      <w:r w:rsidRPr="00400C0B">
        <w:rPr>
          <w:rFonts w:cs="Guttman Rashi" w:hint="eastAsia"/>
          <w:rtl/>
          <w:lang w:bidi="he-IL"/>
        </w:rPr>
        <w:t>הקנס</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דיתכן</w:t>
      </w:r>
      <w:r w:rsidRPr="00400C0B">
        <w:rPr>
          <w:rFonts w:cs="Guttman Rashi"/>
          <w:rtl/>
          <w:lang w:bidi="he-IL"/>
        </w:rPr>
        <w:t xml:space="preserve"> </w:t>
      </w:r>
      <w:r w:rsidRPr="00400C0B">
        <w:rPr>
          <w:rFonts w:cs="Guttman Rashi" w:hint="eastAsia"/>
          <w:rtl/>
          <w:lang w:bidi="he-IL"/>
        </w:rPr>
        <w:t>דמיירי</w:t>
      </w:r>
      <w:r w:rsidRPr="00400C0B">
        <w:rPr>
          <w:rFonts w:cs="Guttman Rashi"/>
          <w:rtl/>
          <w:lang w:bidi="he-IL"/>
        </w:rPr>
        <w:t xml:space="preserve"> </w:t>
      </w:r>
      <w:r w:rsidRPr="00400C0B">
        <w:rPr>
          <w:rFonts w:cs="Guttman Rashi" w:hint="eastAsia"/>
          <w:rtl/>
          <w:lang w:bidi="he-IL"/>
        </w:rPr>
        <w:t>בחמת</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עבר</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עכו</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סתימת</w:t>
      </w:r>
      <w:r w:rsidRPr="00400C0B">
        <w:rPr>
          <w:rFonts w:cs="Guttman Rashi"/>
          <w:rtl/>
          <w:lang w:bidi="he-IL"/>
        </w:rPr>
        <w:t xml:space="preserve"> </w:t>
      </w:r>
      <w:r w:rsidRPr="00400C0B">
        <w:rPr>
          <w:rFonts w:cs="Guttman Rashi" w:hint="eastAsia"/>
          <w:rtl/>
          <w:lang w:bidi="he-IL"/>
        </w:rPr>
        <w:t>לשון</w:t>
      </w:r>
      <w:r w:rsidRPr="00400C0B">
        <w:rPr>
          <w:rFonts w:cs="Guttman Rashi"/>
          <w:rtl/>
          <w:lang w:bidi="he-IL"/>
        </w:rPr>
        <w:t xml:space="preserve"> </w:t>
      </w:r>
      <w:r w:rsidRPr="00400C0B">
        <w:rPr>
          <w:rFonts w:cs="Guttman Rashi" w:hint="eastAsia"/>
          <w:rtl/>
          <w:lang w:bidi="he-IL"/>
        </w:rPr>
        <w:t>רבא</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שבכל</w:t>
      </w:r>
      <w:r w:rsidRPr="00400C0B">
        <w:rPr>
          <w:rFonts w:cs="Guttman Rashi"/>
          <w:rtl/>
          <w:lang w:bidi="he-IL"/>
        </w:rPr>
        <w:t xml:space="preserve"> </w:t>
      </w:r>
      <w:r w:rsidRPr="00400C0B">
        <w:rPr>
          <w:rFonts w:cs="Guttman Rashi" w:hint="eastAsia"/>
          <w:rtl/>
          <w:lang w:bidi="he-IL"/>
        </w:rPr>
        <w:t>אופנים</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דשיל</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ואה</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שבתערובת</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עבר</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לקנוס</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התערובת</w:t>
      </w:r>
      <w:r w:rsidRPr="00400C0B">
        <w:rPr>
          <w:rFonts w:cs="Guttman Rashi"/>
          <w:rtl/>
          <w:lang w:bidi="he-IL"/>
        </w:rPr>
        <w:t xml:space="preserve">, </w:t>
      </w:r>
      <w:r w:rsidRPr="00400C0B">
        <w:rPr>
          <w:rFonts w:cs="Guttman Rashi" w:hint="eastAsia"/>
          <w:rtl/>
          <w:lang w:bidi="he-IL"/>
        </w:rPr>
        <w:t>ומשו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לאחר</w:t>
      </w:r>
      <w:r w:rsidRPr="00400C0B">
        <w:rPr>
          <w:rFonts w:cs="Guttman Rashi"/>
          <w:rtl/>
          <w:lang w:bidi="he-IL"/>
        </w:rPr>
        <w:t xml:space="preserve"> </w:t>
      </w:r>
      <w:r w:rsidRPr="00400C0B">
        <w:rPr>
          <w:rFonts w:cs="Guttman Rashi" w:hint="eastAsia"/>
          <w:rtl/>
          <w:lang w:bidi="he-IL"/>
        </w:rPr>
        <w:t>פסח</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תערובת</w:t>
      </w:r>
      <w:r w:rsidRPr="00400C0B">
        <w:rPr>
          <w:rFonts w:cs="Guttman Rashi"/>
          <w:rtl/>
          <w:lang w:bidi="he-IL"/>
        </w:rPr>
        <w:t xml:space="preserve">.      </w:t>
      </w:r>
    </w:p>
  </w:footnote>
  <w:footnote w:id="43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במקו</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תמ</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שהביא</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שהאריך</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המקו</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בחי</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ארי</w:t>
      </w:r>
      <w:r w:rsidRPr="00400C0B">
        <w:rPr>
          <w:rFonts w:cs="Guttman Rashi"/>
          <w:rtl/>
          <w:lang w:bidi="he-IL"/>
        </w:rPr>
        <w:t xml:space="preserve">' </w:t>
      </w:r>
      <w:r w:rsidRPr="00400C0B">
        <w:rPr>
          <w:rFonts w:cs="Guttman Rashi" w:hint="eastAsia"/>
          <w:rtl/>
          <w:lang w:bidi="he-IL"/>
        </w:rPr>
        <w:t>לייב</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 xml:space="preserve">'. </w:t>
      </w:r>
    </w:p>
  </w:footnote>
  <w:footnote w:id="43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מובן</w:t>
      </w:r>
      <w:r w:rsidRPr="00400C0B">
        <w:rPr>
          <w:rFonts w:cs="Guttman Rashi"/>
          <w:rtl/>
          <w:lang w:bidi="he-IL"/>
        </w:rPr>
        <w:t xml:space="preserve"> </w:t>
      </w:r>
      <w:r w:rsidRPr="00400C0B">
        <w:rPr>
          <w:rFonts w:cs="Guttman Rashi" w:hint="eastAsia"/>
          <w:rtl/>
          <w:lang w:bidi="he-IL"/>
        </w:rPr>
        <w:t>יתר</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טעמו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נדרים</w:t>
      </w:r>
      <w:r w:rsidRPr="00400C0B">
        <w:rPr>
          <w:rFonts w:cs="Guttman Rashi"/>
          <w:rtl/>
          <w:lang w:bidi="he-IL"/>
        </w:rPr>
        <w:t xml:space="preserve"> </w:t>
      </w:r>
      <w:r w:rsidRPr="00400C0B">
        <w:rPr>
          <w:rFonts w:cs="Guttman Rashi" w:hint="eastAsia"/>
          <w:rtl/>
          <w:lang w:bidi="he-IL"/>
        </w:rPr>
        <w:t>בהא</w:t>
      </w:r>
      <w:r w:rsidRPr="00400C0B">
        <w:rPr>
          <w:rFonts w:cs="Guttman Rashi"/>
          <w:rtl/>
          <w:lang w:bidi="he-IL"/>
        </w:rPr>
        <w:t xml:space="preserve"> </w:t>
      </w:r>
      <w:r w:rsidRPr="00400C0B">
        <w:rPr>
          <w:rFonts w:cs="Guttman Rashi" w:hint="eastAsia"/>
          <w:rtl/>
          <w:lang w:bidi="he-IL"/>
        </w:rPr>
        <w:t>דדבר</w:t>
      </w:r>
      <w:r w:rsidRPr="00400C0B">
        <w:rPr>
          <w:rFonts w:cs="Guttman Rashi"/>
          <w:rtl/>
          <w:lang w:bidi="he-IL"/>
        </w:rPr>
        <w:t xml:space="preserve"> </w:t>
      </w:r>
      <w:r w:rsidRPr="00400C0B">
        <w:rPr>
          <w:rFonts w:cs="Guttman Rashi" w:hint="eastAsia"/>
          <w:rtl/>
          <w:lang w:bidi="he-IL"/>
        </w:rPr>
        <w:t>שי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מתירין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שתאכלנו</w:t>
      </w:r>
      <w:r w:rsidRPr="00400C0B">
        <w:rPr>
          <w:rFonts w:cs="Guttman Rashi"/>
          <w:rtl/>
          <w:lang w:bidi="he-IL"/>
        </w:rPr>
        <w:t xml:space="preserve"> </w:t>
      </w:r>
      <w:r w:rsidRPr="00400C0B">
        <w:rPr>
          <w:rFonts w:cs="Guttman Rashi" w:hint="eastAsia"/>
          <w:rtl/>
          <w:lang w:bidi="he-IL"/>
        </w:rPr>
        <w:t>באיסור</w:t>
      </w:r>
      <w:r w:rsidRPr="00400C0B">
        <w:rPr>
          <w:rFonts w:cs="Guttman Rashi"/>
          <w:rtl/>
          <w:lang w:bidi="he-IL"/>
        </w:rPr>
        <w:t xml:space="preserve"> </w:t>
      </w:r>
      <w:r w:rsidRPr="00400C0B">
        <w:rPr>
          <w:rFonts w:cs="Guttman Rashi" w:hint="eastAsia"/>
          <w:rtl/>
          <w:lang w:bidi="he-IL"/>
        </w:rPr>
        <w:t>תאכלנו</w:t>
      </w:r>
      <w:r w:rsidRPr="00400C0B">
        <w:rPr>
          <w:rFonts w:cs="Guttman Rashi"/>
          <w:rtl/>
          <w:lang w:bidi="he-IL"/>
        </w:rPr>
        <w:t xml:space="preserve"> </w:t>
      </w:r>
      <w:r w:rsidRPr="00400C0B">
        <w:rPr>
          <w:rFonts w:cs="Guttman Rashi" w:hint="eastAsia"/>
          <w:rtl/>
          <w:lang w:bidi="he-IL"/>
        </w:rPr>
        <w:t>בהיתר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שכך</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שהחמירו</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מעיקרא</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מכח</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עשו</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קבוע</w:t>
      </w:r>
      <w:r w:rsidRPr="00400C0B">
        <w:rPr>
          <w:rFonts w:cs="Guttman Rashi"/>
          <w:rtl/>
          <w:lang w:bidi="he-IL"/>
        </w:rPr>
        <w:t xml:space="preserve"> </w:t>
      </w:r>
      <w:r w:rsidRPr="00400C0B">
        <w:rPr>
          <w:rFonts w:cs="Guttman Rashi" w:hint="eastAsia"/>
          <w:rtl/>
          <w:lang w:bidi="he-IL"/>
        </w:rPr>
        <w:t>לכל</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שנחשב</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מתירין</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פלוג</w:t>
      </w:r>
      <w:r w:rsidRPr="00400C0B">
        <w:rPr>
          <w:rFonts w:cs="Guttman Rashi"/>
          <w:rtl/>
          <w:lang w:bidi="he-IL"/>
        </w:rPr>
        <w:t xml:space="preserve"> </w:t>
      </w:r>
      <w:r w:rsidRPr="00400C0B">
        <w:rPr>
          <w:rFonts w:cs="Guttman Rashi" w:hint="eastAsia"/>
          <w:rtl/>
          <w:lang w:bidi="he-IL"/>
        </w:rPr>
        <w:t>רבנן</w:t>
      </w:r>
      <w:r w:rsidRPr="00400C0B">
        <w:rPr>
          <w:rFonts w:cs="Guttman Rashi"/>
          <w:rtl/>
          <w:lang w:bidi="he-IL"/>
        </w:rPr>
        <w:t>.</w:t>
      </w:r>
    </w:p>
  </w:footnote>
  <w:footnote w:id="43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בהערות</w:t>
      </w:r>
      <w:r w:rsidRPr="00400C0B">
        <w:rPr>
          <w:rFonts w:cs="Guttman Rashi"/>
          <w:rtl/>
          <w:lang w:bidi="he-IL"/>
        </w:rPr>
        <w:t xml:space="preserve"> </w:t>
      </w:r>
      <w:r w:rsidRPr="00400C0B">
        <w:rPr>
          <w:rFonts w:cs="Guttman Rashi" w:hint="eastAsia"/>
          <w:rtl/>
          <w:lang w:bidi="he-IL"/>
        </w:rPr>
        <w:t>שהביא</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מס</w:t>
      </w:r>
      <w:r w:rsidRPr="00400C0B">
        <w:rPr>
          <w:rFonts w:cs="Guttman Rashi"/>
          <w:rtl/>
          <w:lang w:bidi="he-IL"/>
        </w:rPr>
        <w:t xml:space="preserve">' </w:t>
      </w:r>
      <w:r w:rsidRPr="00400C0B">
        <w:rPr>
          <w:rFonts w:cs="Guttman Rashi" w:hint="eastAsia"/>
          <w:rtl/>
          <w:lang w:bidi="he-IL"/>
        </w:rPr>
        <w:t>ההשלמה</w:t>
      </w:r>
    </w:p>
  </w:footnote>
  <w:footnote w:id="43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דמי</w:t>
      </w:r>
      <w:r w:rsidRPr="00400C0B">
        <w:rPr>
          <w:rFonts w:cs="Guttman Rashi"/>
          <w:rtl/>
          <w:lang w:bidi="he-IL"/>
        </w:rPr>
        <w:t xml:space="preserve"> </w:t>
      </w:r>
      <w:r w:rsidRPr="00400C0B">
        <w:rPr>
          <w:rFonts w:cs="Guttman Rashi" w:hint="eastAsia"/>
          <w:rtl/>
          <w:lang w:bidi="he-IL"/>
        </w:rPr>
        <w:t>למש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יוחנן</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איהו</w:t>
      </w:r>
      <w:r w:rsidRPr="00400C0B">
        <w:rPr>
          <w:rFonts w:cs="Guttman Rashi"/>
          <w:rtl/>
          <w:lang w:bidi="he-IL"/>
        </w:rPr>
        <w:t xml:space="preserve"> </w:t>
      </w:r>
      <w:r w:rsidRPr="00400C0B">
        <w:rPr>
          <w:rFonts w:cs="Guttman Rashi" w:hint="eastAsia"/>
          <w:rtl/>
          <w:lang w:bidi="he-IL"/>
        </w:rPr>
        <w:t>קאמר</w:t>
      </w:r>
      <w:r w:rsidRPr="00400C0B">
        <w:rPr>
          <w:rFonts w:cs="Guttman Rashi"/>
          <w:rtl/>
          <w:lang w:bidi="he-IL"/>
        </w:rPr>
        <w:t xml:space="preserve"> </w:t>
      </w:r>
      <w:r w:rsidRPr="00400C0B">
        <w:rPr>
          <w:rFonts w:cs="Guttman Rashi" w:hint="eastAsia"/>
          <w:rtl/>
          <w:lang w:bidi="he-IL"/>
        </w:rPr>
        <w:t>בהדיא</w:t>
      </w:r>
      <w:r w:rsidRPr="00400C0B">
        <w:rPr>
          <w:rFonts w:cs="Guttman Rashi"/>
          <w:rtl/>
          <w:lang w:bidi="he-IL"/>
        </w:rPr>
        <w:t xml:space="preserve"> '</w:t>
      </w:r>
      <w:r w:rsidRPr="00400C0B">
        <w:rPr>
          <w:rFonts w:cs="Guttman Rashi" w:hint="eastAsia"/>
          <w:rtl/>
          <w:lang w:bidi="he-IL"/>
        </w:rPr>
        <w:t>בנ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וכוונתו</w:t>
      </w:r>
      <w:r w:rsidRPr="00400C0B">
        <w:rPr>
          <w:rFonts w:cs="Guttman Rashi"/>
          <w:rtl/>
          <w:lang w:bidi="he-IL"/>
        </w:rPr>
        <w:t xml:space="preserve"> </w:t>
      </w:r>
      <w:r w:rsidRPr="00400C0B">
        <w:rPr>
          <w:rFonts w:cs="Guttman Rashi" w:hint="eastAsia"/>
          <w:rtl/>
          <w:lang w:bidi="he-IL"/>
        </w:rPr>
        <w:t>לאפוקי</w:t>
      </w:r>
      <w:r w:rsidRPr="00400C0B">
        <w:rPr>
          <w:rFonts w:cs="Guttman Rashi"/>
          <w:rtl/>
          <w:lang w:bidi="he-IL"/>
        </w:rPr>
        <w:t xml:space="preserve"> </w:t>
      </w:r>
      <w:r w:rsidRPr="00400C0B">
        <w:rPr>
          <w:rFonts w:cs="Guttman Rashi" w:hint="eastAsia"/>
          <w:rtl/>
          <w:lang w:bidi="he-IL"/>
        </w:rPr>
        <w:t>מרב</w:t>
      </w:r>
      <w:r w:rsidRPr="00400C0B">
        <w:rPr>
          <w:rFonts w:cs="Guttman Rashi"/>
          <w:rtl/>
          <w:lang w:bidi="he-IL"/>
        </w:rPr>
        <w:t xml:space="preserve"> </w:t>
      </w:r>
      <w:r w:rsidRPr="00400C0B">
        <w:rPr>
          <w:rFonts w:cs="Guttman Rashi" w:hint="eastAsia"/>
          <w:rtl/>
          <w:lang w:bidi="he-IL"/>
        </w:rPr>
        <w:t>ושמואל</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בשיטת</w:t>
      </w:r>
      <w:r w:rsidRPr="00400C0B">
        <w:rPr>
          <w:rFonts w:cs="Guttman Rashi"/>
          <w:rtl/>
          <w:lang w:bidi="he-IL"/>
        </w:rPr>
        <w:t xml:space="preserve"> </w:t>
      </w:r>
      <w:r w:rsidRPr="00400C0B">
        <w:rPr>
          <w:rFonts w:cs="Guttman Rashi" w:hint="eastAsia"/>
          <w:rtl/>
          <w:lang w:bidi="he-IL"/>
        </w:rPr>
        <w:t>רבא</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w:t>
      </w:r>
    </w:p>
  </w:footnote>
  <w:footnote w:id="44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ט</w:t>
      </w:r>
    </w:p>
  </w:footnote>
  <w:footnote w:id="44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נלעוק</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ביאור</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ובזה</w:t>
      </w:r>
      <w:r w:rsidRPr="00400C0B">
        <w:rPr>
          <w:rFonts w:cs="Guttman Rashi"/>
          <w:rtl/>
          <w:lang w:bidi="he-IL"/>
        </w:rPr>
        <w:t xml:space="preserve"> </w:t>
      </w:r>
      <w:r w:rsidRPr="00400C0B">
        <w:rPr>
          <w:rFonts w:cs="Guttman Rashi" w:hint="eastAsia"/>
          <w:rtl/>
          <w:lang w:bidi="he-IL"/>
        </w:rPr>
        <w:t>מיושב</w:t>
      </w:r>
      <w:r w:rsidRPr="00400C0B">
        <w:rPr>
          <w:rFonts w:cs="Guttman Rashi"/>
          <w:rtl/>
          <w:lang w:bidi="he-IL"/>
        </w:rPr>
        <w:t xml:space="preserve"> </w:t>
      </w:r>
      <w:r w:rsidRPr="00400C0B">
        <w:rPr>
          <w:rFonts w:cs="Guttman Rashi" w:hint="eastAsia"/>
          <w:rtl/>
          <w:lang w:bidi="he-IL"/>
        </w:rPr>
        <w:t>הערת</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מהא</w:t>
      </w:r>
      <w:r w:rsidRPr="00400C0B">
        <w:rPr>
          <w:rFonts w:cs="Guttman Rashi"/>
          <w:rtl/>
          <w:lang w:bidi="he-IL"/>
        </w:rPr>
        <w:t xml:space="preserve"> </w:t>
      </w:r>
      <w:r w:rsidRPr="00400C0B">
        <w:rPr>
          <w:rFonts w:cs="Guttman Rashi" w:hint="eastAsia"/>
          <w:rtl/>
          <w:lang w:bidi="he-IL"/>
        </w:rPr>
        <w:t>שהמחמירים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דשיל</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אסרו</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w:t>
      </w:r>
    </w:p>
  </w:footnote>
  <w:footnote w:id="44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הביאור</w:t>
      </w:r>
      <w:r w:rsidRPr="00400C0B">
        <w:rPr>
          <w:rFonts w:cs="Guttman Rashi"/>
          <w:rtl/>
          <w:lang w:bidi="he-IL"/>
        </w:rPr>
        <w:t xml:space="preserve"> </w:t>
      </w:r>
      <w:r w:rsidRPr="00400C0B">
        <w:rPr>
          <w:rFonts w:cs="Guttman Rashi" w:hint="eastAsia"/>
          <w:rtl/>
          <w:lang w:bidi="he-IL"/>
        </w:rPr>
        <w:t>בכוונתו</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שאסור</w:t>
      </w:r>
      <w:r w:rsidRPr="00400C0B">
        <w:rPr>
          <w:rFonts w:cs="Guttman Rashi"/>
          <w:rtl/>
          <w:lang w:bidi="he-IL"/>
        </w:rPr>
        <w:t xml:space="preserve"> </w:t>
      </w:r>
      <w:r w:rsidRPr="00400C0B">
        <w:rPr>
          <w:rFonts w:cs="Guttman Rashi" w:hint="eastAsia"/>
          <w:rtl/>
          <w:lang w:bidi="he-IL"/>
        </w:rPr>
        <w:t>במשהו</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דכו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לדידן</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מדדרבנן</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ולסמוך</w:t>
      </w:r>
      <w:r w:rsidRPr="00400C0B">
        <w:rPr>
          <w:rFonts w:cs="Guttman Rashi"/>
          <w:rtl/>
          <w:lang w:bidi="he-IL"/>
        </w:rPr>
        <w:t xml:space="preserve"> </w:t>
      </w:r>
      <w:r w:rsidRPr="00400C0B">
        <w:rPr>
          <w:rFonts w:cs="Guttman Rashi" w:hint="eastAsia"/>
          <w:rtl/>
          <w:lang w:bidi="he-IL"/>
        </w:rPr>
        <w:t>אשיטת</w:t>
      </w:r>
      <w:r w:rsidRPr="00400C0B">
        <w:rPr>
          <w:rFonts w:cs="Guttman Rashi"/>
          <w:rtl/>
          <w:lang w:bidi="he-IL"/>
        </w:rPr>
        <w:t xml:space="preserve"> </w:t>
      </w:r>
      <w:r w:rsidRPr="00400C0B">
        <w:rPr>
          <w:rFonts w:cs="Guttman Rashi" w:hint="eastAsia"/>
          <w:rtl/>
          <w:lang w:bidi="he-IL"/>
        </w:rPr>
        <w:t>המקילין</w:t>
      </w:r>
      <w:r w:rsidRPr="00400C0B">
        <w:rPr>
          <w:rFonts w:cs="Guttman Rashi"/>
          <w:rtl/>
          <w:lang w:bidi="he-IL"/>
        </w:rPr>
        <w:t xml:space="preserve"> </w:t>
      </w:r>
      <w:r w:rsidRPr="00400C0B">
        <w:rPr>
          <w:rFonts w:cs="Guttman Rashi" w:hint="eastAsia"/>
          <w:rtl/>
          <w:lang w:bidi="he-IL"/>
        </w:rPr>
        <w:t>בביטול</w:t>
      </w:r>
      <w:r w:rsidRPr="00400C0B">
        <w:rPr>
          <w:rFonts w:cs="Guttman Rashi"/>
          <w:rtl/>
          <w:lang w:bidi="he-IL"/>
        </w:rPr>
        <w:t xml:space="preserve"> </w:t>
      </w:r>
      <w:r w:rsidRPr="00400C0B">
        <w:rPr>
          <w:rFonts w:cs="Guttman Rashi" w:hint="eastAsia"/>
          <w:rtl/>
          <w:lang w:bidi="he-IL"/>
        </w:rPr>
        <w:t>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בפסח</w:t>
      </w:r>
      <w:r w:rsidRPr="00400C0B">
        <w:rPr>
          <w:rFonts w:cs="Guttman Rashi"/>
          <w:rtl/>
          <w:lang w:bidi="he-IL"/>
        </w:rPr>
        <w:t>.</w:t>
      </w:r>
    </w:p>
  </w:footnote>
  <w:footnote w:id="44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תוס</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למס</w:t>
      </w:r>
      <w:r w:rsidRPr="00400C0B">
        <w:rPr>
          <w:rFonts w:cs="Guttman Rashi"/>
          <w:rtl/>
          <w:lang w:bidi="he-IL"/>
        </w:rPr>
        <w:t xml:space="preserve">' </w:t>
      </w:r>
      <w:r w:rsidRPr="00400C0B">
        <w:rPr>
          <w:rFonts w:cs="Guttman Rashi" w:hint="eastAsia"/>
          <w:rtl/>
          <w:lang w:bidi="he-IL"/>
        </w:rPr>
        <w:t>יבמות</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רבי</w:t>
      </w:r>
      <w:r w:rsidRPr="00400C0B">
        <w:rPr>
          <w:rFonts w:cs="Guttman Rashi"/>
          <w:rtl/>
          <w:lang w:bidi="he-IL"/>
        </w:rPr>
        <w:t xml:space="preserve"> </w:t>
      </w:r>
      <w:r w:rsidRPr="00400C0B">
        <w:rPr>
          <w:rFonts w:cs="Guttman Rashi" w:hint="eastAsia"/>
          <w:rtl/>
          <w:lang w:bidi="he-IL"/>
        </w:rPr>
        <w:t>יהודה</w:t>
      </w:r>
    </w:p>
  </w:footnote>
  <w:footnote w:id="44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צידד</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מעיקרא</w:t>
      </w:r>
      <w:r w:rsidRPr="00400C0B">
        <w:rPr>
          <w:rFonts w:cs="Guttman Rashi"/>
          <w:rtl/>
          <w:lang w:bidi="he-IL"/>
        </w:rPr>
        <w:t xml:space="preserve"> </w:t>
      </w:r>
      <w:r w:rsidRPr="00400C0B">
        <w:rPr>
          <w:rFonts w:cs="Guttman Rashi" w:hint="eastAsia"/>
          <w:rtl/>
          <w:lang w:bidi="he-IL"/>
        </w:rPr>
        <w:t>בתוך</w:t>
      </w:r>
      <w:r w:rsidRPr="00400C0B">
        <w:rPr>
          <w:rFonts w:cs="Guttman Rashi"/>
          <w:rtl/>
          <w:lang w:bidi="he-IL"/>
        </w:rPr>
        <w:t xml:space="preserve"> </w:t>
      </w:r>
      <w:r w:rsidRPr="00400C0B">
        <w:rPr>
          <w:rFonts w:cs="Guttman Rashi" w:hint="eastAsia"/>
          <w:rtl/>
          <w:lang w:bidi="he-IL"/>
        </w:rPr>
        <w:t>האריכות</w:t>
      </w:r>
      <w:r w:rsidRPr="00400C0B">
        <w:rPr>
          <w:rFonts w:cs="Guttman Rashi"/>
          <w:rtl/>
          <w:lang w:bidi="he-IL"/>
        </w:rPr>
        <w:t xml:space="preserve"> </w:t>
      </w:r>
      <w:r w:rsidRPr="00400C0B">
        <w:rPr>
          <w:rFonts w:cs="Guttman Rashi" w:hint="eastAsia"/>
          <w:rtl/>
          <w:lang w:bidi="he-IL"/>
        </w:rPr>
        <w:t>שלו</w:t>
      </w:r>
      <w:r w:rsidRPr="00400C0B">
        <w:rPr>
          <w:rFonts w:cs="Guttman Rashi"/>
          <w:rtl/>
          <w:lang w:bidi="he-IL"/>
        </w:rPr>
        <w:t xml:space="preserve"> </w:t>
      </w:r>
      <w:r w:rsidRPr="00400C0B">
        <w:rPr>
          <w:rFonts w:cs="Guttman Rashi" w:hint="eastAsia"/>
          <w:rtl/>
          <w:lang w:bidi="he-IL"/>
        </w:rPr>
        <w:t>בהגהות</w:t>
      </w:r>
      <w:r w:rsidRPr="00400C0B">
        <w:rPr>
          <w:rFonts w:cs="Guttman Rashi"/>
          <w:rtl/>
          <w:lang w:bidi="he-IL"/>
        </w:rPr>
        <w:t xml:space="preserve"> </w:t>
      </w:r>
      <w:r w:rsidRPr="00400C0B">
        <w:rPr>
          <w:rFonts w:cs="Guttman Rashi" w:hint="eastAsia"/>
          <w:rtl/>
          <w:lang w:bidi="he-IL"/>
        </w:rPr>
        <w:t>למג</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תמ</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שהבאנו</w:t>
      </w:r>
      <w:r w:rsidRPr="00400C0B">
        <w:rPr>
          <w:rFonts w:cs="Guttman Rashi"/>
          <w:rtl/>
          <w:lang w:bidi="he-IL"/>
        </w:rPr>
        <w:t xml:space="preserve"> </w:t>
      </w:r>
      <w:r w:rsidRPr="00400C0B">
        <w:rPr>
          <w:rFonts w:cs="Guttman Rashi" w:hint="eastAsia"/>
          <w:rtl/>
          <w:lang w:bidi="he-IL"/>
        </w:rPr>
        <w:t>בסמוך</w:t>
      </w:r>
    </w:p>
  </w:footnote>
  <w:footnote w:id="44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נפק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דרך</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דאמרינן</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שפיר</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חלק</w:t>
      </w:r>
      <w:r w:rsidRPr="00400C0B">
        <w:rPr>
          <w:rFonts w:cs="Guttman Rashi"/>
          <w:rtl/>
          <w:lang w:bidi="he-IL"/>
        </w:rPr>
        <w:t xml:space="preserve"> </w:t>
      </w:r>
      <w:r w:rsidRPr="00400C0B">
        <w:rPr>
          <w:rFonts w:cs="Guttman Rashi" w:hint="eastAsia"/>
          <w:rtl/>
          <w:lang w:bidi="he-IL"/>
        </w:rPr>
        <w:t>ההיתר</w:t>
      </w:r>
      <w:r w:rsidRPr="00400C0B">
        <w:rPr>
          <w:rFonts w:cs="Guttman Rashi"/>
          <w:rtl/>
          <w:lang w:bidi="he-IL"/>
        </w:rPr>
        <w:t xml:space="preserve"> </w:t>
      </w:r>
      <w:r w:rsidRPr="00400C0B">
        <w:rPr>
          <w:rFonts w:cs="Guttman Rashi" w:hint="eastAsia"/>
          <w:rtl/>
          <w:lang w:bidi="he-IL"/>
        </w:rPr>
        <w:t>שבו</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לדידן</w:t>
      </w:r>
      <w:r w:rsidRPr="00400C0B">
        <w:rPr>
          <w:rFonts w:cs="Guttman Rashi"/>
          <w:rtl/>
          <w:lang w:bidi="he-IL"/>
        </w:rPr>
        <w:t xml:space="preserve"> </w:t>
      </w:r>
      <w:r w:rsidRPr="00400C0B">
        <w:rPr>
          <w:rFonts w:cs="Guttman Rashi" w:hint="eastAsia"/>
          <w:rtl/>
          <w:lang w:bidi="he-IL"/>
        </w:rPr>
        <w:t>שמחמירים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בדרך</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להצריך</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התערובת</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חמץ</w:t>
      </w:r>
      <w:r w:rsidRPr="00400C0B">
        <w:rPr>
          <w:rFonts w:cs="Guttman Rashi"/>
          <w:rtl/>
          <w:lang w:bidi="he-IL"/>
        </w:rPr>
        <w:t xml:space="preserve"> </w:t>
      </w:r>
      <w:r w:rsidRPr="00400C0B">
        <w:rPr>
          <w:rFonts w:cs="Guttman Rashi" w:hint="eastAsia"/>
          <w:rtl/>
          <w:lang w:bidi="he-IL"/>
        </w:rPr>
        <w:t>שעבר</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הפסח</w:t>
      </w:r>
      <w:r w:rsidRPr="00400C0B">
        <w:rPr>
          <w:rFonts w:cs="Guttman Rashi"/>
          <w:rtl/>
          <w:lang w:bidi="he-IL"/>
        </w:rPr>
        <w:t xml:space="preserve">. </w:t>
      </w:r>
      <w:r w:rsidRPr="00400C0B">
        <w:rPr>
          <w:rFonts w:cs="Guttman Rashi" w:hint="eastAsia"/>
          <w:rtl/>
          <w:lang w:bidi="he-IL"/>
        </w:rPr>
        <w:t>ורע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בסי</w:t>
      </w:r>
      <w:r w:rsidRPr="00400C0B">
        <w:rPr>
          <w:rFonts w:cs="Guttman Rashi"/>
          <w:rtl/>
          <w:lang w:bidi="he-IL"/>
        </w:rPr>
        <w:t xml:space="preserve">' </w:t>
      </w:r>
      <w:r w:rsidRPr="00400C0B">
        <w:rPr>
          <w:rFonts w:cs="Guttman Rashi" w:hint="eastAsia"/>
          <w:rtl/>
          <w:lang w:bidi="he-IL"/>
        </w:rPr>
        <w:t>תמ</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התייחס</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דמי</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אוסרים</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ברוב</w:t>
      </w:r>
      <w:r w:rsidRPr="00400C0B">
        <w:rPr>
          <w:rFonts w:cs="Guttman Rashi"/>
          <w:rtl/>
          <w:lang w:bidi="he-IL"/>
        </w:rPr>
        <w:t xml:space="preserve"> </w:t>
      </w:r>
      <w:r w:rsidRPr="00400C0B">
        <w:rPr>
          <w:rFonts w:cs="Guttman Rashi" w:hint="eastAsia"/>
          <w:rtl/>
          <w:lang w:bidi="he-IL"/>
        </w:rPr>
        <w:t>לאחר</w:t>
      </w:r>
      <w:r w:rsidRPr="00400C0B">
        <w:rPr>
          <w:rFonts w:cs="Guttman Rashi"/>
          <w:rtl/>
          <w:lang w:bidi="he-IL"/>
        </w:rPr>
        <w:t xml:space="preserve"> </w:t>
      </w:r>
      <w:r w:rsidRPr="00400C0B">
        <w:rPr>
          <w:rFonts w:cs="Guttman Rashi" w:hint="eastAsia"/>
          <w:rtl/>
          <w:lang w:bidi="he-IL"/>
        </w:rPr>
        <w:t>הפסח</w:t>
      </w:r>
      <w:r w:rsidRPr="00400C0B">
        <w:rPr>
          <w:rFonts w:cs="Guttman Rashi"/>
          <w:rtl/>
          <w:lang w:bidi="he-IL"/>
        </w:rPr>
        <w:t xml:space="preserve"> </w:t>
      </w:r>
      <w:r w:rsidRPr="00400C0B">
        <w:rPr>
          <w:rFonts w:cs="Guttman Rashi" w:hint="eastAsia"/>
          <w:rtl/>
          <w:lang w:bidi="he-IL"/>
        </w:rPr>
        <w:t>לר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ורש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דהתם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גזרן</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קנס</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r w:rsidRPr="00400C0B">
        <w:rPr>
          <w:rFonts w:cs="Guttman Rashi" w:hint="eastAsia"/>
          <w:rtl/>
          <w:lang w:bidi="he-IL"/>
        </w:rPr>
        <w:t>בפסח</w:t>
      </w:r>
      <w:r w:rsidRPr="00400C0B">
        <w:rPr>
          <w:rFonts w:cs="Guttman Rashi"/>
          <w:rtl/>
          <w:lang w:bidi="he-IL"/>
        </w:rPr>
        <w:t xml:space="preserve"> </w:t>
      </w:r>
      <w:r w:rsidRPr="00400C0B">
        <w:rPr>
          <w:rFonts w:cs="Guttman Rashi" w:hint="eastAsia"/>
          <w:rtl/>
          <w:lang w:bidi="he-IL"/>
        </w:rPr>
        <w:t>ואומרים</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חענ</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מעיקר</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שפיר</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שעובר</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ההיתר</w:t>
      </w:r>
      <w:r w:rsidRPr="00400C0B">
        <w:rPr>
          <w:rFonts w:cs="Guttman Rashi"/>
          <w:rtl/>
          <w:lang w:bidi="he-IL"/>
        </w:rPr>
        <w:t xml:space="preserve"> </w:t>
      </w:r>
      <w:r w:rsidRPr="00400C0B">
        <w:rPr>
          <w:rFonts w:cs="Guttman Rashi" w:hint="eastAsia"/>
          <w:rtl/>
          <w:lang w:bidi="he-IL"/>
        </w:rPr>
        <w:t>ושייך</w:t>
      </w:r>
      <w:r w:rsidRPr="00400C0B">
        <w:rPr>
          <w:rFonts w:cs="Guttman Rashi"/>
          <w:rtl/>
          <w:lang w:bidi="he-IL"/>
        </w:rPr>
        <w:t xml:space="preserve"> </w:t>
      </w:r>
      <w:r w:rsidRPr="00400C0B">
        <w:rPr>
          <w:rFonts w:cs="Guttman Rashi" w:hint="eastAsia"/>
          <w:rtl/>
          <w:lang w:bidi="he-IL"/>
        </w:rPr>
        <w:t>אליו</w:t>
      </w:r>
      <w:r w:rsidRPr="00400C0B">
        <w:rPr>
          <w:rFonts w:cs="Guttman Rashi"/>
          <w:rtl/>
          <w:lang w:bidi="he-IL"/>
        </w:rPr>
        <w:t xml:space="preserve"> </w:t>
      </w:r>
      <w:r w:rsidRPr="00400C0B">
        <w:rPr>
          <w:rFonts w:cs="Guttman Rashi" w:hint="eastAsia"/>
          <w:rtl/>
          <w:lang w:bidi="he-IL"/>
        </w:rPr>
        <w:t>קנס</w:t>
      </w:r>
      <w:r w:rsidRPr="00400C0B">
        <w:rPr>
          <w:rFonts w:cs="Guttman Rashi"/>
          <w:rtl/>
          <w:lang w:bidi="he-IL"/>
        </w:rPr>
        <w:t xml:space="preserve"> </w:t>
      </w:r>
      <w:r w:rsidRPr="00400C0B">
        <w:rPr>
          <w:rFonts w:cs="Guttman Rashi" w:hint="eastAsia"/>
          <w:rtl/>
          <w:lang w:bidi="he-IL"/>
        </w:rPr>
        <w:t>חכמים</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446">
    <w:p w:rsidR="007978F4" w:rsidRPr="00400C0B" w:rsidRDefault="007978F4" w:rsidP="00D66E9F">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שהוכחנו</w:t>
      </w:r>
      <w:r w:rsidRPr="00400C0B">
        <w:rPr>
          <w:rFonts w:cs="Guttman Rashi"/>
          <w:rtl/>
          <w:lang w:bidi="he-IL"/>
        </w:rPr>
        <w:t xml:space="preserve"> </w:t>
      </w:r>
      <w:r w:rsidRPr="00400C0B">
        <w:rPr>
          <w:rFonts w:cs="Guttman Rashi" w:hint="eastAsia"/>
          <w:rtl/>
          <w:lang w:bidi="he-IL"/>
        </w:rPr>
        <w:t>כצד</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Ref484068335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468</w:t>
      </w:r>
      <w:r w:rsidRPr="00400C0B">
        <w:rPr>
          <w:rFonts w:cs="Guttman Rashi"/>
          <w:rtl/>
          <w:lang w:bidi="he-IL"/>
        </w:rPr>
        <w:fldChar w:fldCharType="end"/>
      </w:r>
      <w:r w:rsidRPr="00400C0B">
        <w:rPr>
          <w:rFonts w:cs="Guttman Rashi"/>
          <w:rtl/>
          <w:lang w:bidi="he-IL"/>
        </w:rPr>
        <w:t xml:space="preserve"> </w:t>
      </w:r>
      <w:r w:rsidRPr="00400C0B">
        <w:rPr>
          <w:rFonts w:cs="Guttman Rashi" w:hint="eastAsia"/>
          <w:rtl/>
          <w:lang w:bidi="he-IL"/>
        </w:rPr>
        <w:t>מאו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קכ</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בענין</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שותפות</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עכו</w:t>
      </w:r>
      <w:r w:rsidRPr="00400C0B">
        <w:rPr>
          <w:rFonts w:cs="Guttman Rashi"/>
          <w:rtl/>
          <w:lang w:bidi="he-IL"/>
        </w:rPr>
        <w:t>"</w:t>
      </w:r>
      <w:r w:rsidRPr="00400C0B">
        <w:rPr>
          <w:rFonts w:cs="Guttman Rashi" w:hint="eastAsia"/>
          <w:rtl/>
          <w:lang w:bidi="he-IL"/>
        </w:rPr>
        <w:t>ם</w:t>
      </w:r>
      <w:r>
        <w:rPr>
          <w:rFonts w:cs="Guttman Rashi" w:hint="cs"/>
          <w:rtl/>
          <w:lang w:bidi="he-IL"/>
        </w:rPr>
        <w:t>,</w:t>
      </w:r>
      <w:r w:rsidRPr="00400C0B">
        <w:rPr>
          <w:rFonts w:cs="Guttman Rashi"/>
          <w:rtl/>
          <w:lang w:bidi="he-IL"/>
        </w:rPr>
        <w:t xml:space="preserve"> </w:t>
      </w:r>
      <w:r w:rsidRPr="00400C0B">
        <w:rPr>
          <w:rFonts w:cs="Guttman Rashi" w:hint="eastAsia"/>
          <w:rtl/>
          <w:lang w:bidi="he-IL"/>
        </w:rPr>
        <w:t>ו</w:t>
      </w:r>
      <w:r>
        <w:rPr>
          <w:rFonts w:cs="Guttman Rashi" w:hint="cs"/>
          <w:rtl/>
          <w:lang w:bidi="he-IL"/>
        </w:rPr>
        <w:t xml:space="preserve">כן </w:t>
      </w:r>
      <w:r w:rsidRPr="00400C0B">
        <w:rPr>
          <w:rFonts w:cs="Guttman Rashi" w:hint="eastAsia"/>
          <w:rtl/>
          <w:lang w:bidi="he-IL"/>
        </w:rPr>
        <w:t>הוכחה</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שכן</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משמעות</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והטור</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בסמוך</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מאו</w:t>
      </w:r>
      <w:r w:rsidRPr="00400C0B">
        <w:rPr>
          <w:rFonts w:cs="Guttman Rashi"/>
          <w:rtl/>
          <w:lang w:bidi="he-IL"/>
        </w:rPr>
        <w:t>"</w:t>
      </w:r>
      <w:r w:rsidRPr="00400C0B">
        <w:rPr>
          <w:rFonts w:cs="Guttman Rashi" w:hint="eastAsia"/>
          <w:rtl/>
          <w:lang w:bidi="he-IL"/>
        </w:rPr>
        <w:t>ז</w:t>
      </w:r>
      <w:r w:rsidRPr="00400C0B">
        <w:rPr>
          <w:rFonts w:cs="Guttman Rashi"/>
          <w:rtl/>
          <w:lang w:bidi="he-IL"/>
        </w:rPr>
        <w:t>.</w:t>
      </w:r>
    </w:p>
  </w:footnote>
  <w:footnote w:id="447">
    <w:p w:rsidR="007978F4" w:rsidRPr="00F021D5" w:rsidRDefault="007978F4" w:rsidP="00F021D5">
      <w:pPr>
        <w:pStyle w:val="FootnoteText"/>
        <w:bidi/>
        <w:jc w:val="both"/>
        <w:rPr>
          <w:rFonts w:cs="Guttman Rashi"/>
          <w:rtl/>
          <w:lang w:bidi="he-IL"/>
        </w:rPr>
      </w:pPr>
      <w:r>
        <w:rPr>
          <w:rStyle w:val="FootnoteReference"/>
        </w:rPr>
        <w:footnoteRef/>
      </w:r>
      <w:r>
        <w:t xml:space="preserve"> </w:t>
      </w:r>
      <w:r>
        <w:rPr>
          <w:rFonts w:cs="Guttman Rashi" w:hint="cs"/>
          <w:rtl/>
          <w:lang w:bidi="he-IL"/>
        </w:rPr>
        <w:t xml:space="preserve">ע' מזה דברי הג"ר בצלאל ראקאוו ז"ל בקובץ אור ישראל שנת תשנ"ז, כ"ו </w:t>
      </w:r>
      <w:r>
        <w:rPr>
          <w:rFonts w:cs="Guttman Rashi"/>
          <w:rtl/>
          <w:lang w:bidi="he-IL"/>
        </w:rPr>
        <w:t>–</w:t>
      </w:r>
      <w:r>
        <w:rPr>
          <w:rFonts w:cs="Guttman Rashi" w:hint="cs"/>
          <w:rtl/>
          <w:lang w:bidi="he-IL"/>
        </w:rPr>
        <w:t xml:space="preserve"> כ"ח. </w:t>
      </w:r>
    </w:p>
  </w:footnote>
  <w:footnote w:id="44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העיר</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ידידי</w:t>
      </w:r>
      <w:r w:rsidRPr="00400C0B">
        <w:rPr>
          <w:rFonts w:cs="Guttman Rashi"/>
          <w:rtl/>
          <w:lang w:bidi="he-IL"/>
        </w:rPr>
        <w:t xml:space="preserve"> </w:t>
      </w:r>
      <w:r w:rsidRPr="00400C0B">
        <w:rPr>
          <w:rFonts w:cs="Guttman Rashi" w:hint="eastAsia"/>
          <w:rtl/>
          <w:lang w:bidi="he-IL"/>
        </w:rPr>
        <w:t>הג</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יוסף</w:t>
      </w:r>
      <w:r w:rsidRPr="00400C0B">
        <w:rPr>
          <w:rFonts w:cs="Guttman Rashi"/>
          <w:rtl/>
          <w:lang w:bidi="he-IL"/>
        </w:rPr>
        <w:t xml:space="preserve"> </w:t>
      </w:r>
      <w:r w:rsidRPr="00400C0B">
        <w:rPr>
          <w:rFonts w:cs="Guttman Rashi" w:hint="eastAsia"/>
          <w:rtl/>
          <w:lang w:bidi="he-IL"/>
        </w:rPr>
        <w:t>בוטינדר</w:t>
      </w:r>
      <w:r w:rsidRPr="00400C0B">
        <w:rPr>
          <w:rFonts w:cs="Guttman Rashi"/>
          <w:rtl/>
          <w:lang w:bidi="he-IL"/>
        </w:rPr>
        <w:t xml:space="preserve"> </w:t>
      </w:r>
      <w:r w:rsidRPr="00400C0B">
        <w:rPr>
          <w:rFonts w:cs="Guttman Rashi" w:hint="eastAsia"/>
          <w:rtl/>
          <w:lang w:bidi="he-IL"/>
        </w:rPr>
        <w:t>שליט</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 xml:space="preserve"> </w:t>
      </w:r>
      <w:r w:rsidRPr="00400C0B">
        <w:rPr>
          <w:rFonts w:cs="Guttman Rashi" w:hint="eastAsia"/>
          <w:rtl/>
          <w:lang w:bidi="he-IL"/>
        </w:rPr>
        <w:t>שלעולם</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סוברים</w:t>
      </w:r>
      <w:r w:rsidRPr="00400C0B">
        <w:rPr>
          <w:rFonts w:cs="Guttman Rashi"/>
          <w:rtl/>
          <w:lang w:bidi="he-IL"/>
        </w:rPr>
        <w:t xml:space="preserve"> </w:t>
      </w:r>
      <w:r w:rsidRPr="00400C0B">
        <w:rPr>
          <w:rFonts w:cs="Guttman Rashi" w:hint="eastAsia"/>
          <w:rtl/>
          <w:lang w:bidi="he-IL"/>
        </w:rPr>
        <w:t>למעשה</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תשמיש</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דסברי</w:t>
      </w:r>
      <w:r w:rsidRPr="00400C0B">
        <w:rPr>
          <w:rFonts w:cs="Guttman Rashi"/>
          <w:rtl/>
          <w:lang w:bidi="he-IL"/>
        </w:rPr>
        <w:t xml:space="preserve"> </w:t>
      </w:r>
      <w:r w:rsidRPr="00400C0B">
        <w:rPr>
          <w:rFonts w:cs="Guttman Rashi" w:hint="eastAsia"/>
          <w:rtl/>
          <w:lang w:bidi="he-IL"/>
        </w:rPr>
        <w:t>דעד</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שהסדר</w:t>
      </w:r>
      <w:r w:rsidRPr="00400C0B">
        <w:rPr>
          <w:rFonts w:cs="Guttman Rashi"/>
          <w:rtl/>
          <w:lang w:bidi="he-IL"/>
        </w:rPr>
        <w:t xml:space="preserve"> </w:t>
      </w:r>
      <w:r w:rsidRPr="00400C0B">
        <w:rPr>
          <w:rFonts w:cs="Guttman Rashi" w:hint="eastAsia"/>
          <w:rtl/>
          <w:lang w:bidi="he-IL"/>
        </w:rPr>
        <w:t>מעכב</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איזה</w:t>
      </w:r>
      <w:r w:rsidRPr="00400C0B">
        <w:rPr>
          <w:rFonts w:cs="Guttman Rashi"/>
          <w:rtl/>
          <w:lang w:bidi="he-IL"/>
        </w:rPr>
        <w:t xml:space="preserve"> </w:t>
      </w:r>
      <w:r w:rsidRPr="00400C0B">
        <w:rPr>
          <w:rFonts w:cs="Guttman Rashi" w:hint="eastAsia"/>
          <w:rtl/>
          <w:lang w:bidi="he-IL"/>
        </w:rPr>
        <w:t>טומאה</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מגעילו</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טובל</w:t>
      </w:r>
      <w:r w:rsidRPr="00400C0B">
        <w:rPr>
          <w:rFonts w:cs="Guttman Rashi"/>
          <w:rtl/>
          <w:lang w:bidi="he-IL"/>
        </w:rPr>
        <w:t xml:space="preserve"> </w:t>
      </w:r>
      <w:r w:rsidRPr="00400C0B">
        <w:rPr>
          <w:rFonts w:cs="Guttman Rashi" w:hint="eastAsia"/>
          <w:rtl/>
          <w:lang w:bidi="he-IL"/>
        </w:rPr>
        <w:t>ושרץ</w:t>
      </w:r>
      <w:r w:rsidRPr="00400C0B">
        <w:rPr>
          <w:rFonts w:cs="Guttman Rashi"/>
          <w:rtl/>
          <w:lang w:bidi="he-IL"/>
        </w:rPr>
        <w:t xml:space="preserve"> </w:t>
      </w:r>
      <w:r w:rsidRPr="00400C0B">
        <w:rPr>
          <w:rFonts w:cs="Guttman Rashi" w:hint="eastAsia"/>
          <w:rtl/>
          <w:lang w:bidi="he-IL"/>
        </w:rPr>
        <w:t>בידו</w:t>
      </w:r>
      <w:r w:rsidRPr="00400C0B">
        <w:rPr>
          <w:rFonts w:cs="Guttman Rashi"/>
          <w:rtl/>
          <w:lang w:bidi="he-IL"/>
        </w:rPr>
        <w:t xml:space="preserve"> </w:t>
      </w:r>
      <w:r w:rsidRPr="00400C0B">
        <w:rPr>
          <w:rFonts w:cs="Guttman Rashi" w:hint="eastAsia"/>
          <w:rtl/>
          <w:lang w:bidi="he-IL"/>
        </w:rPr>
        <w:t>וכלשונם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הראשונים</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זהו</w:t>
      </w:r>
      <w:r w:rsidRPr="00400C0B">
        <w:rPr>
          <w:rFonts w:cs="Guttman Rashi"/>
          <w:rtl/>
          <w:lang w:bidi="he-IL"/>
        </w:rPr>
        <w:t xml:space="preserve"> </w:t>
      </w:r>
      <w:r w:rsidRPr="00400C0B">
        <w:rPr>
          <w:rFonts w:cs="Guttman Rashi" w:hint="eastAsia"/>
          <w:rtl/>
          <w:lang w:bidi="he-IL"/>
        </w:rPr>
        <w:t>הגדר</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החיוב</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טבילת</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שפיר</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השתמשות</w:t>
      </w:r>
      <w:r w:rsidRPr="00400C0B">
        <w:rPr>
          <w:rFonts w:cs="Guttman Rashi"/>
          <w:rtl/>
          <w:lang w:bidi="he-IL"/>
        </w:rPr>
        <w:t xml:space="preserve">, </w:t>
      </w:r>
      <w:r w:rsidRPr="00400C0B">
        <w:rPr>
          <w:rFonts w:cs="Guttman Rashi" w:hint="eastAsia"/>
          <w:rtl/>
          <w:lang w:bidi="he-IL"/>
        </w:rPr>
        <w:t>שגדר</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לשלא</w:t>
      </w:r>
      <w:r w:rsidRPr="00400C0B">
        <w:rPr>
          <w:rFonts w:cs="Guttman Rashi"/>
          <w:rtl/>
          <w:lang w:bidi="he-IL"/>
        </w:rPr>
        <w:t xml:space="preserve"> </w:t>
      </w:r>
      <w:r w:rsidRPr="00400C0B">
        <w:rPr>
          <w:rFonts w:cs="Guttman Rashi" w:hint="eastAsia"/>
          <w:rtl/>
          <w:lang w:bidi="he-IL"/>
        </w:rPr>
        <w:t>להשתמש</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שיוסר</w:t>
      </w:r>
      <w:r w:rsidRPr="00400C0B">
        <w:rPr>
          <w:rFonts w:cs="Guttman Rashi"/>
          <w:rtl/>
          <w:lang w:bidi="he-IL"/>
        </w:rPr>
        <w:t xml:space="preserve"> </w:t>
      </w:r>
      <w:r w:rsidRPr="00400C0B">
        <w:rPr>
          <w:rFonts w:cs="Guttman Rashi" w:hint="eastAsia"/>
          <w:rtl/>
          <w:lang w:bidi="he-IL"/>
        </w:rPr>
        <w:t>הטומאה</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הסדר</w:t>
      </w:r>
      <w:r w:rsidRPr="00400C0B">
        <w:rPr>
          <w:rFonts w:cs="Guttman Rashi"/>
          <w:rtl/>
          <w:lang w:bidi="he-IL"/>
        </w:rPr>
        <w:t xml:space="preserve"> </w:t>
      </w:r>
      <w:r w:rsidRPr="00400C0B">
        <w:rPr>
          <w:rFonts w:cs="Guttman Rashi" w:hint="eastAsia"/>
          <w:rtl/>
          <w:lang w:bidi="he-IL"/>
        </w:rPr>
        <w:t>מעכב</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תשמיש</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הטומאה</w:t>
      </w:r>
      <w:r w:rsidRPr="00400C0B">
        <w:rPr>
          <w:rFonts w:cs="Guttman Rashi"/>
          <w:rtl/>
          <w:lang w:bidi="he-IL"/>
        </w:rPr>
        <w:t xml:space="preserve">, </w:t>
      </w:r>
      <w:r w:rsidRPr="00400C0B">
        <w:rPr>
          <w:rFonts w:cs="Guttman Rashi" w:hint="eastAsia"/>
          <w:rtl/>
          <w:lang w:bidi="he-IL"/>
        </w:rPr>
        <w:t>וכיון</w:t>
      </w:r>
      <w:r w:rsidRPr="00400C0B">
        <w:rPr>
          <w:rFonts w:cs="Guttman Rashi"/>
          <w:rtl/>
          <w:lang w:bidi="he-IL"/>
        </w:rPr>
        <w:t xml:space="preserve"> </w:t>
      </w:r>
      <w:r w:rsidRPr="00400C0B">
        <w:rPr>
          <w:rFonts w:cs="Guttman Rashi" w:hint="eastAsia"/>
          <w:rtl/>
          <w:lang w:bidi="he-IL"/>
        </w:rPr>
        <w:t>שמוכח</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להשתמש</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הגעיל</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גדר</w:t>
      </w:r>
      <w:r w:rsidRPr="00400C0B">
        <w:rPr>
          <w:rFonts w:cs="Guttman Rashi"/>
          <w:rtl/>
          <w:lang w:bidi="he-IL"/>
        </w:rPr>
        <w:t xml:space="preserve"> </w:t>
      </w:r>
      <w:r w:rsidRPr="00400C0B">
        <w:rPr>
          <w:rFonts w:cs="Guttman Rashi" w:hint="eastAsia"/>
          <w:rtl/>
          <w:lang w:bidi="he-IL"/>
        </w:rPr>
        <w:t>החיוב</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מצוה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קום</w:t>
      </w:r>
      <w:r w:rsidRPr="00400C0B">
        <w:rPr>
          <w:rFonts w:cs="Guttman Rashi"/>
          <w:rtl/>
          <w:lang w:bidi="he-IL"/>
        </w:rPr>
        <w:t xml:space="preserve"> </w:t>
      </w:r>
      <w:r w:rsidRPr="00400C0B">
        <w:rPr>
          <w:rFonts w:cs="Guttman Rashi" w:hint="eastAsia"/>
          <w:rtl/>
          <w:lang w:bidi="he-IL"/>
        </w:rPr>
        <w:t>ועשה</w:t>
      </w:r>
      <w:r w:rsidRPr="00400C0B">
        <w:rPr>
          <w:rFonts w:cs="Guttman Rashi"/>
          <w:rtl/>
          <w:lang w:bidi="he-IL"/>
        </w:rPr>
        <w:t xml:space="preserve">, </w:t>
      </w:r>
      <w:r w:rsidRPr="00400C0B">
        <w:rPr>
          <w:rFonts w:cs="Guttman Rashi" w:hint="eastAsia"/>
          <w:rtl/>
          <w:lang w:bidi="he-IL"/>
        </w:rPr>
        <w:t>וממילא</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תשמיש</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לפמש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בתוס</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בפסקי</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מפורש</w:t>
      </w:r>
      <w:r w:rsidRPr="00400C0B">
        <w:rPr>
          <w:rFonts w:cs="Guttman Rashi"/>
          <w:rtl/>
          <w:lang w:bidi="he-IL"/>
        </w:rPr>
        <w:t xml:space="preserve"> </w:t>
      </w:r>
      <w:r w:rsidRPr="00400C0B">
        <w:rPr>
          <w:rFonts w:cs="Guttman Rashi" w:hint="eastAsia"/>
          <w:rtl/>
          <w:lang w:bidi="he-IL"/>
        </w:rPr>
        <w:t>כדברינו</w:t>
      </w:r>
      <w:r w:rsidRPr="00400C0B">
        <w:rPr>
          <w:rFonts w:cs="Guttman Rashi"/>
          <w:rtl/>
          <w:lang w:bidi="he-IL"/>
        </w:rPr>
        <w:t xml:space="preserve">. </w:t>
      </w:r>
    </w:p>
  </w:footnote>
  <w:footnote w:id="449">
    <w:p w:rsidR="007978F4" w:rsidRPr="00400C0B" w:rsidRDefault="007978F4" w:rsidP="00503477">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והבה</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הביא</w:t>
      </w:r>
      <w:r w:rsidRPr="00400C0B">
        <w:rPr>
          <w:rFonts w:cs="Guttman Rashi"/>
          <w:rtl/>
          <w:lang w:bidi="he-IL"/>
        </w:rPr>
        <w:t xml:space="preserve"> </w:t>
      </w:r>
      <w:r w:rsidRPr="00400C0B">
        <w:rPr>
          <w:rFonts w:cs="Guttman Rashi" w:hint="eastAsia"/>
          <w:rtl/>
          <w:lang w:bidi="he-IL"/>
        </w:rPr>
        <w:t>מקור</w:t>
      </w:r>
      <w:r w:rsidRPr="00400C0B">
        <w:rPr>
          <w:rFonts w:cs="Guttman Rashi"/>
          <w:rtl/>
          <w:lang w:bidi="he-IL"/>
        </w:rPr>
        <w:t xml:space="preserve"> </w:t>
      </w:r>
      <w:r w:rsidRPr="00400C0B">
        <w:rPr>
          <w:rFonts w:cs="Guttman Rashi" w:hint="eastAsia"/>
          <w:rtl/>
          <w:lang w:bidi="he-IL"/>
        </w:rPr>
        <w:t>לדבר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וי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מסברא</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מדברי</w:t>
      </w:r>
      <w:r w:rsidRPr="00400C0B">
        <w:rPr>
          <w:rFonts w:cs="Guttman Rashi"/>
          <w:rtl/>
          <w:lang w:bidi="he-IL"/>
        </w:rPr>
        <w:t xml:space="preserve"> </w:t>
      </w:r>
      <w:r w:rsidRPr="00400C0B">
        <w:rPr>
          <w:rFonts w:cs="Guttman Rashi" w:hint="eastAsia"/>
          <w:rtl/>
          <w:lang w:bidi="he-IL"/>
        </w:rPr>
        <w:t>הישועו</w:t>
      </w:r>
      <w:r w:rsidRPr="00400C0B">
        <w:rPr>
          <w:rFonts w:cs="Guttman Rashi"/>
          <w:rtl/>
          <w:lang w:bidi="he-IL"/>
        </w:rPr>
        <w:t>"</w:t>
      </w:r>
      <w:r w:rsidRPr="00400C0B">
        <w:rPr>
          <w:rFonts w:cs="Guttman Rashi" w:hint="eastAsia"/>
          <w:rtl/>
          <w:lang w:bidi="he-IL"/>
        </w:rPr>
        <w:t>י</w:t>
      </w:r>
      <w:r w:rsidRPr="00400C0B">
        <w:rPr>
          <w:rFonts w:cs="Guttman Rashi"/>
          <w:rtl/>
          <w:lang w:bidi="he-IL"/>
        </w:rPr>
        <w:t>.</w:t>
      </w:r>
    </w:p>
  </w:footnote>
  <w:footnote w:id="450">
    <w:p w:rsidR="007978F4" w:rsidRDefault="007978F4" w:rsidP="004C5A4D">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יוצא</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הנכרי</w:t>
      </w:r>
      <w:r w:rsidRPr="00400C0B">
        <w:rPr>
          <w:rFonts w:cs="Guttman Rashi"/>
          <w:rtl/>
          <w:lang w:bidi="he-IL"/>
        </w:rPr>
        <w:t xml:space="preserve"> </w:t>
      </w:r>
      <w:r w:rsidRPr="00400C0B">
        <w:rPr>
          <w:rFonts w:cs="Guttman Rashi" w:hint="eastAsia"/>
          <w:rtl/>
          <w:lang w:bidi="he-IL"/>
        </w:rPr>
        <w:t>עשה</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לסחורה</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לאכול</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ושוב</w:t>
      </w:r>
      <w:r w:rsidRPr="00400C0B">
        <w:rPr>
          <w:rFonts w:cs="Guttman Rashi"/>
          <w:rtl/>
          <w:lang w:bidi="he-IL"/>
        </w:rPr>
        <w:t xml:space="preserve"> </w:t>
      </w:r>
      <w:r w:rsidRPr="00400C0B">
        <w:rPr>
          <w:rFonts w:cs="Guttman Rashi" w:hint="eastAsia"/>
          <w:rtl/>
          <w:lang w:bidi="he-IL"/>
        </w:rPr>
        <w:t>מכרו</w:t>
      </w:r>
      <w:r w:rsidRPr="00400C0B">
        <w:rPr>
          <w:rFonts w:cs="Guttman Rashi"/>
          <w:rtl/>
          <w:lang w:bidi="he-IL"/>
        </w:rPr>
        <w:t xml:space="preserve"> </w:t>
      </w:r>
      <w:r w:rsidRPr="00400C0B">
        <w:rPr>
          <w:rFonts w:cs="Guttman Rashi" w:hint="eastAsia"/>
          <w:rtl/>
          <w:lang w:bidi="he-IL"/>
        </w:rPr>
        <w:t>לישראל</w:t>
      </w:r>
      <w:r w:rsidRPr="00400C0B">
        <w:rPr>
          <w:rFonts w:cs="Guttman Rashi"/>
          <w:rtl/>
          <w:lang w:bidi="he-IL"/>
        </w:rPr>
        <w:t xml:space="preserve"> </w:t>
      </w:r>
      <w:r w:rsidRPr="00400C0B">
        <w:rPr>
          <w:rFonts w:cs="Guttman Rashi" w:hint="eastAsia"/>
          <w:rtl/>
          <w:lang w:bidi="he-IL"/>
        </w:rPr>
        <w:t>לצרכי</w:t>
      </w:r>
      <w:r w:rsidRPr="00400C0B">
        <w:rPr>
          <w:rFonts w:cs="Guttman Rashi"/>
          <w:rtl/>
          <w:lang w:bidi="he-IL"/>
        </w:rPr>
        <w:t xml:space="preserve"> </w:t>
      </w:r>
      <w:r w:rsidRPr="00400C0B">
        <w:rPr>
          <w:rFonts w:cs="Guttman Rashi" w:hint="eastAsia"/>
          <w:rtl/>
          <w:lang w:bidi="he-IL"/>
        </w:rPr>
        <w:t>סעודה</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חייב</w:t>
      </w:r>
      <w:r w:rsidRPr="00400C0B">
        <w:rPr>
          <w:rFonts w:cs="Guttman Rashi"/>
          <w:rtl/>
          <w:lang w:bidi="he-IL"/>
        </w:rPr>
        <w:t xml:space="preserve"> </w:t>
      </w:r>
      <w:r w:rsidRPr="00400C0B">
        <w:rPr>
          <w:rFonts w:cs="Guttman Rashi" w:hint="eastAsia"/>
          <w:rtl/>
          <w:lang w:bidi="he-IL"/>
        </w:rPr>
        <w:t>בטבילת</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ולפי</w:t>
      </w:r>
      <w:r w:rsidRPr="00400C0B">
        <w:rPr>
          <w:rFonts w:cs="Guttman Rashi"/>
          <w:rtl/>
          <w:lang w:bidi="he-IL"/>
        </w:rPr>
        <w:t xml:space="preserve"> </w:t>
      </w:r>
      <w:r w:rsidRPr="00400C0B">
        <w:rPr>
          <w:rFonts w:cs="Guttman Rashi" w:hint="eastAsia"/>
          <w:rtl/>
          <w:lang w:bidi="he-IL"/>
        </w:rPr>
        <w:t>המבואר</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דכלי</w:t>
      </w:r>
      <w:r w:rsidRPr="00400C0B">
        <w:rPr>
          <w:rFonts w:cs="Guttman Rashi"/>
          <w:rtl/>
          <w:lang w:bidi="he-IL"/>
        </w:rPr>
        <w:t xml:space="preserve"> </w:t>
      </w:r>
      <w:r w:rsidRPr="00400C0B">
        <w:rPr>
          <w:rFonts w:cs="Guttman Rashi" w:hint="eastAsia"/>
          <w:rtl/>
          <w:lang w:bidi="he-IL"/>
        </w:rPr>
        <w:t>סחורה</w:t>
      </w:r>
      <w:r w:rsidRPr="00400C0B">
        <w:rPr>
          <w:rFonts w:cs="Guttman Rashi"/>
          <w:rtl/>
          <w:lang w:bidi="he-IL"/>
        </w:rPr>
        <w:t xml:space="preserve"> </w:t>
      </w:r>
      <w:r w:rsidRPr="00400C0B">
        <w:rPr>
          <w:rFonts w:cs="Guttman Rashi" w:hint="eastAsia"/>
          <w:rtl/>
          <w:lang w:bidi="he-IL"/>
        </w:rPr>
        <w:t>אינם</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סעודה</w:t>
      </w:r>
      <w:r w:rsidRPr="00400C0B">
        <w:rPr>
          <w:rFonts w:cs="Guttman Rashi"/>
          <w:rtl/>
          <w:lang w:bidi="he-IL"/>
        </w:rPr>
        <w:t xml:space="preserve"> (</w:t>
      </w:r>
      <w:r>
        <w:rPr>
          <w:rFonts w:cs="Guttman Rashi" w:hint="cs"/>
          <w:rtl/>
          <w:lang w:bidi="he-IL"/>
        </w:rPr>
        <w:t>וכמ"ד</w:t>
      </w:r>
      <w:r w:rsidRPr="00400C0B">
        <w:rPr>
          <w:rFonts w:cs="Guttman Rashi"/>
          <w:rtl/>
          <w:lang w:bidi="he-IL"/>
        </w:rPr>
        <w:t xml:space="preserve"> </w:t>
      </w:r>
      <w:r>
        <w:rPr>
          <w:rFonts w:cs="Guttman Rashi" w:hint="cs"/>
          <w:rtl/>
          <w:lang w:bidi="he-IL"/>
        </w:rPr>
        <w:t>ד</w:t>
      </w:r>
      <w:r w:rsidRPr="00400C0B">
        <w:rPr>
          <w:rFonts w:cs="Guttman Rashi" w:hint="eastAsia"/>
          <w:rtl/>
          <w:lang w:bidi="he-IL"/>
        </w:rPr>
        <w:t>תשמיש</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קבוע</w:t>
      </w:r>
      <w:r w:rsidRPr="00400C0B">
        <w:rPr>
          <w:rFonts w:cs="Guttman Rashi"/>
          <w:rtl/>
          <w:lang w:bidi="he-IL"/>
        </w:rPr>
        <w:t xml:space="preserve"> </w:t>
      </w:r>
      <w:r>
        <w:rPr>
          <w:rFonts w:cs="Guttman Rashi" w:hint="cs"/>
          <w:rtl/>
          <w:lang w:bidi="he-IL"/>
        </w:rPr>
        <w:t xml:space="preserve">אינו </w:t>
      </w:r>
      <w:r w:rsidRPr="00400C0B">
        <w:rPr>
          <w:rFonts w:cs="Guttman Rashi" w:hint="eastAsia"/>
          <w:rtl/>
          <w:lang w:bidi="he-IL"/>
        </w:rPr>
        <w:t>מחייב</w:t>
      </w:r>
      <w:r w:rsidRPr="00400C0B">
        <w:rPr>
          <w:rFonts w:cs="Guttman Rashi"/>
          <w:rtl/>
          <w:lang w:bidi="he-IL"/>
        </w:rPr>
        <w:t xml:space="preserve"> </w:t>
      </w:r>
      <w:r w:rsidRPr="00400C0B">
        <w:rPr>
          <w:rFonts w:cs="Guttman Rashi" w:hint="eastAsia"/>
          <w:rtl/>
          <w:lang w:bidi="he-IL"/>
        </w:rPr>
        <w:t>טבילה</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כנים</w:t>
      </w:r>
      <w:r w:rsidRPr="00400C0B">
        <w:rPr>
          <w:rFonts w:cs="Guttman Rashi"/>
          <w:rtl/>
          <w:lang w:bidi="he-IL"/>
        </w:rPr>
        <w:t xml:space="preserve"> </w:t>
      </w:r>
      <w:r w:rsidRPr="00400C0B">
        <w:rPr>
          <w:rFonts w:cs="Guttman Rashi" w:hint="eastAsia"/>
          <w:rtl/>
          <w:lang w:bidi="he-IL"/>
        </w:rPr>
        <w:t>הדברים</w:t>
      </w:r>
      <w:r w:rsidRPr="00400C0B">
        <w:rPr>
          <w:rFonts w:cs="Guttman Rashi"/>
          <w:rtl/>
          <w:lang w:bidi="he-IL"/>
        </w:rPr>
        <w:t xml:space="preserve"> </w:t>
      </w:r>
      <w:r w:rsidRPr="00400C0B">
        <w:rPr>
          <w:rFonts w:cs="Guttman Rashi" w:hint="eastAsia"/>
          <w:rtl/>
          <w:lang w:bidi="he-IL"/>
        </w:rPr>
        <w:t>כמעט</w:t>
      </w:r>
      <w:r w:rsidRPr="00400C0B">
        <w:rPr>
          <w:rFonts w:cs="Guttman Rashi"/>
          <w:rtl/>
          <w:lang w:bidi="he-IL"/>
        </w:rPr>
        <w:t xml:space="preserve"> </w:t>
      </w:r>
      <w:r w:rsidRPr="00400C0B">
        <w:rPr>
          <w:rFonts w:cs="Guttman Rashi" w:hint="eastAsia"/>
          <w:rtl/>
          <w:lang w:bidi="he-IL"/>
        </w:rPr>
        <w:t>ובטלה</w:t>
      </w:r>
      <w:r w:rsidRPr="00400C0B">
        <w:rPr>
          <w:rFonts w:cs="Guttman Rashi"/>
          <w:rtl/>
          <w:lang w:bidi="he-IL"/>
        </w:rPr>
        <w:t xml:space="preserve"> </w:t>
      </w:r>
      <w:r w:rsidRPr="00400C0B">
        <w:rPr>
          <w:rFonts w:cs="Guttman Rashi" w:hint="eastAsia"/>
          <w:rtl/>
          <w:lang w:bidi="he-IL"/>
        </w:rPr>
        <w:t>טבילת</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היום</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רובם</w:t>
      </w:r>
      <w:r w:rsidRPr="00400C0B">
        <w:rPr>
          <w:rFonts w:cs="Guttman Rashi"/>
          <w:rtl/>
          <w:lang w:bidi="he-IL"/>
        </w:rPr>
        <w:t xml:space="preserve"> </w:t>
      </w:r>
      <w:r w:rsidRPr="00400C0B">
        <w:rPr>
          <w:rFonts w:cs="Guttman Rashi" w:hint="eastAsia"/>
          <w:rtl/>
          <w:lang w:bidi="he-IL"/>
        </w:rPr>
        <w:t>ככולם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הכלים</w:t>
      </w:r>
      <w:r w:rsidRPr="00400C0B">
        <w:rPr>
          <w:rFonts w:cs="Guttman Rashi"/>
          <w:rtl/>
          <w:lang w:bidi="he-IL"/>
        </w:rPr>
        <w:t xml:space="preserve"> </w:t>
      </w:r>
      <w:r w:rsidRPr="00400C0B">
        <w:rPr>
          <w:rFonts w:cs="Guttman Rashi" w:hint="eastAsia"/>
          <w:rtl/>
          <w:lang w:bidi="he-IL"/>
        </w:rPr>
        <w:t>הנטבלים</w:t>
      </w:r>
      <w:r w:rsidRPr="00400C0B">
        <w:rPr>
          <w:rFonts w:cs="Guttman Rashi"/>
          <w:rtl/>
          <w:lang w:bidi="he-IL"/>
        </w:rPr>
        <w:t xml:space="preserve"> </w:t>
      </w:r>
      <w:r w:rsidRPr="00400C0B">
        <w:rPr>
          <w:rFonts w:cs="Guttman Rashi" w:hint="eastAsia"/>
          <w:rtl/>
          <w:lang w:bidi="he-IL"/>
        </w:rPr>
        <w:t>הם</w:t>
      </w:r>
      <w:r w:rsidRPr="00400C0B">
        <w:rPr>
          <w:rFonts w:cs="Guttman Rashi"/>
          <w:rtl/>
          <w:lang w:bidi="he-IL"/>
        </w:rPr>
        <w:t xml:space="preserve"> </w:t>
      </w:r>
      <w:r w:rsidRPr="00400C0B">
        <w:rPr>
          <w:rFonts w:cs="Guttman Rashi" w:hint="eastAsia"/>
          <w:rtl/>
          <w:lang w:bidi="he-IL"/>
        </w:rPr>
        <w:t>מבית</w:t>
      </w:r>
      <w:r w:rsidRPr="00400C0B">
        <w:rPr>
          <w:rFonts w:cs="Guttman Rashi"/>
          <w:rtl/>
          <w:lang w:bidi="he-IL"/>
        </w:rPr>
        <w:t xml:space="preserve"> </w:t>
      </w:r>
      <w:r w:rsidRPr="00400C0B">
        <w:rPr>
          <w:rFonts w:cs="Guttman Rashi" w:hint="eastAsia"/>
          <w:rtl/>
          <w:lang w:bidi="he-IL"/>
        </w:rPr>
        <w:t>חרושת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נכרי</w:t>
      </w:r>
      <w:r w:rsidRPr="00400C0B">
        <w:rPr>
          <w:rFonts w:cs="Guttman Rashi"/>
          <w:rtl/>
          <w:lang w:bidi="he-IL"/>
        </w:rPr>
        <w:t xml:space="preserve"> </w:t>
      </w:r>
      <w:r w:rsidRPr="00400C0B">
        <w:rPr>
          <w:rFonts w:cs="Guttman Rashi" w:hint="eastAsia"/>
          <w:rtl/>
          <w:lang w:bidi="he-IL"/>
        </w:rPr>
        <w:t>שעשאם</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למכרם</w:t>
      </w:r>
      <w:r w:rsidRPr="00400C0B">
        <w:rPr>
          <w:rFonts w:cs="Guttman Rashi"/>
          <w:rtl/>
          <w:lang w:bidi="he-IL"/>
        </w:rPr>
        <w:t xml:space="preserve">. </w:t>
      </w:r>
      <w:r w:rsidRPr="00400C0B">
        <w:rPr>
          <w:rFonts w:cs="Guttman Rashi" w:hint="eastAsia"/>
          <w:rtl/>
          <w:lang w:bidi="he-IL"/>
        </w:rPr>
        <w:t>וראיתי</w:t>
      </w:r>
      <w:r w:rsidRPr="00400C0B">
        <w:rPr>
          <w:rFonts w:cs="Guttman Rashi"/>
          <w:rtl/>
          <w:lang w:bidi="he-IL"/>
        </w:rPr>
        <w:t xml:space="preserve"> </w:t>
      </w:r>
      <w:r w:rsidRPr="00400C0B">
        <w:rPr>
          <w:rFonts w:cs="Guttman Rashi" w:hint="eastAsia"/>
          <w:rtl/>
          <w:lang w:bidi="he-IL"/>
        </w:rPr>
        <w:t>בביאורים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חלקת</w:t>
      </w:r>
      <w:r w:rsidRPr="00400C0B">
        <w:rPr>
          <w:rFonts w:cs="Guttman Rashi"/>
          <w:rtl/>
          <w:lang w:bidi="he-IL"/>
        </w:rPr>
        <w:t xml:space="preserve"> </w:t>
      </w:r>
      <w:r w:rsidRPr="00400C0B">
        <w:rPr>
          <w:rFonts w:cs="Guttman Rashi" w:hint="eastAsia"/>
          <w:rtl/>
          <w:lang w:bidi="he-IL"/>
        </w:rPr>
        <w:t>בנימין</w:t>
      </w:r>
      <w:r w:rsidRPr="00400C0B">
        <w:rPr>
          <w:rFonts w:cs="Guttman Rashi"/>
          <w:rtl/>
          <w:lang w:bidi="he-IL"/>
        </w:rPr>
        <w:t xml:space="preserve"> </w:t>
      </w:r>
      <w:r w:rsidRPr="00400C0B">
        <w:rPr>
          <w:rFonts w:cs="Guttman Rashi" w:hint="eastAsia"/>
          <w:rtl/>
          <w:lang w:bidi="he-IL"/>
        </w:rPr>
        <w:t>לסע</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שרצה</w:t>
      </w:r>
      <w:r w:rsidRPr="00400C0B">
        <w:rPr>
          <w:rFonts w:cs="Guttman Rashi"/>
          <w:rtl/>
          <w:lang w:bidi="he-IL"/>
        </w:rPr>
        <w:t xml:space="preserve"> </w:t>
      </w:r>
      <w:r w:rsidRPr="00400C0B">
        <w:rPr>
          <w:rFonts w:cs="Guttman Rashi" w:hint="eastAsia"/>
          <w:rtl/>
          <w:lang w:bidi="he-IL"/>
        </w:rPr>
        <w:t>להוכיח</w:t>
      </w:r>
      <w:r w:rsidRPr="00400C0B">
        <w:rPr>
          <w:rFonts w:cs="Guttman Rashi"/>
          <w:rtl/>
          <w:lang w:bidi="he-IL"/>
        </w:rPr>
        <w:t xml:space="preserve"> </w:t>
      </w:r>
      <w:r w:rsidRPr="00400C0B">
        <w:rPr>
          <w:rFonts w:cs="Guttman Rashi" w:hint="eastAsia"/>
          <w:rtl/>
          <w:lang w:bidi="he-IL"/>
        </w:rPr>
        <w:t>מסע</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אומן</w:t>
      </w:r>
      <w:r w:rsidRPr="00400C0B">
        <w:rPr>
          <w:rFonts w:cs="Guttman Rashi"/>
          <w:rtl/>
          <w:lang w:bidi="he-IL"/>
        </w:rPr>
        <w:t xml:space="preserve"> </w:t>
      </w:r>
      <w:r w:rsidRPr="00400C0B">
        <w:rPr>
          <w:rFonts w:cs="Guttman Rashi" w:hint="eastAsia"/>
          <w:rtl/>
          <w:lang w:bidi="he-IL"/>
        </w:rPr>
        <w:t>נכרי</w:t>
      </w:r>
      <w:r w:rsidRPr="00400C0B">
        <w:rPr>
          <w:rFonts w:cs="Guttman Rashi"/>
          <w:rtl/>
          <w:lang w:bidi="he-IL"/>
        </w:rPr>
        <w:t xml:space="preserve"> </w:t>
      </w:r>
      <w:r w:rsidRPr="00400C0B">
        <w:rPr>
          <w:rFonts w:cs="Guttman Rashi" w:hint="eastAsia"/>
          <w:rtl/>
          <w:lang w:bidi="he-IL"/>
        </w:rPr>
        <w:t>מחייב</w:t>
      </w:r>
      <w:r w:rsidRPr="00400C0B">
        <w:rPr>
          <w:rFonts w:cs="Guttman Rashi"/>
          <w:rtl/>
          <w:lang w:bidi="he-IL"/>
        </w:rPr>
        <w:t xml:space="preserve"> </w:t>
      </w:r>
      <w:r w:rsidRPr="00400C0B">
        <w:rPr>
          <w:rFonts w:cs="Guttman Rashi" w:hint="eastAsia"/>
          <w:rtl/>
          <w:lang w:bidi="he-IL"/>
        </w:rPr>
        <w:t>בטבילת</w:t>
      </w:r>
      <w:r w:rsidRPr="00400C0B">
        <w:rPr>
          <w:rFonts w:cs="Guttman Rashi"/>
          <w:rtl/>
          <w:lang w:bidi="he-IL"/>
        </w:rPr>
        <w:t xml:space="preserve"> </w:t>
      </w:r>
      <w:r w:rsidRPr="00400C0B">
        <w:rPr>
          <w:rFonts w:cs="Guttman Rashi" w:hint="eastAsia"/>
          <w:rtl/>
          <w:lang w:bidi="he-IL"/>
        </w:rPr>
        <w:t>כלים</w:t>
      </w:r>
      <w:r w:rsidRPr="004C5A4D">
        <w:rPr>
          <w:rFonts w:cs="Guttman Rashi" w:hint="eastAsia"/>
          <w:rtl/>
          <w:lang w:bidi="he-IL"/>
        </w:rPr>
        <w:t xml:space="preserve"> </w:t>
      </w:r>
      <w:r>
        <w:rPr>
          <w:rFonts w:cs="Guttman Rashi" w:hint="cs"/>
          <w:rtl/>
          <w:lang w:bidi="he-IL"/>
        </w:rPr>
        <w:t>(</w:t>
      </w:r>
      <w:r w:rsidRPr="00400C0B">
        <w:rPr>
          <w:rFonts w:cs="Guttman Rashi" w:hint="eastAsia"/>
          <w:rtl/>
          <w:lang w:bidi="he-IL"/>
        </w:rPr>
        <w:t>ו</w:t>
      </w:r>
      <w:r>
        <w:rPr>
          <w:rFonts w:cs="Guttman Rashi" w:hint="cs"/>
          <w:rtl/>
          <w:lang w:bidi="he-IL"/>
        </w:rPr>
        <w:t>אפילו ה</w:t>
      </w:r>
      <w:r w:rsidRPr="00400C0B">
        <w:rPr>
          <w:rFonts w:cs="Guttman Rashi" w:hint="eastAsia"/>
          <w:rtl/>
          <w:lang w:bidi="he-IL"/>
        </w:rPr>
        <w:t>פוטרים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פטרו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דומיא</w:t>
      </w:r>
      <w:r w:rsidRPr="00400C0B">
        <w:rPr>
          <w:rFonts w:cs="Guttman Rashi"/>
          <w:rtl/>
          <w:lang w:bidi="he-IL"/>
        </w:rPr>
        <w:t xml:space="preserve"> </w:t>
      </w:r>
      <w:r w:rsidRPr="00400C0B">
        <w:rPr>
          <w:rFonts w:cs="Guttman Rashi" w:hint="eastAsia"/>
          <w:rtl/>
          <w:lang w:bidi="he-IL"/>
        </w:rPr>
        <w:t>דמעשה</w:t>
      </w:r>
      <w:r w:rsidRPr="00400C0B">
        <w:rPr>
          <w:rFonts w:cs="Guttman Rashi"/>
          <w:rtl/>
          <w:lang w:bidi="he-IL"/>
        </w:rPr>
        <w:t xml:space="preserve"> </w:t>
      </w:r>
      <w:r w:rsidRPr="00400C0B">
        <w:rPr>
          <w:rFonts w:cs="Guttman Rashi" w:hint="eastAsia"/>
          <w:rtl/>
          <w:lang w:bidi="he-IL"/>
        </w:rPr>
        <w:t>שהי</w:t>
      </w:r>
      <w:r w:rsidRPr="00400C0B">
        <w:rPr>
          <w:rFonts w:cs="Guttman Rashi"/>
          <w:rtl/>
          <w:lang w:bidi="he-IL"/>
        </w:rPr>
        <w:t>'</w:t>
      </w:r>
      <w:r>
        <w:rPr>
          <w:rFonts w:cs="Guttman Rashi" w:hint="cs"/>
          <w:rtl/>
          <w:lang w:bidi="he-IL"/>
        </w:rPr>
        <w:t>)</w:t>
      </w:r>
      <w:r w:rsidRPr="00400C0B">
        <w:rPr>
          <w:rFonts w:cs="Guttman Rashi"/>
          <w:rtl/>
          <w:lang w:bidi="he-IL"/>
        </w:rPr>
        <w:t xml:space="preserve">. </w:t>
      </w:r>
      <w:r w:rsidRPr="00400C0B">
        <w:rPr>
          <w:rFonts w:cs="Guttman Rashi" w:hint="eastAsia"/>
          <w:rtl/>
          <w:lang w:bidi="he-IL"/>
        </w:rPr>
        <w:t>ואי</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 xml:space="preserve">, </w:t>
      </w:r>
      <w:r w:rsidRPr="00400C0B">
        <w:rPr>
          <w:rFonts w:cs="Guttman Rashi" w:hint="eastAsia"/>
          <w:rtl/>
          <w:lang w:bidi="he-IL"/>
        </w:rPr>
        <w:t>דהתם</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בעצם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 xml:space="preserve"> </w:t>
      </w:r>
      <w:r w:rsidRPr="00400C0B">
        <w:rPr>
          <w:rFonts w:cs="Guttman Rashi" w:hint="eastAsia"/>
          <w:rtl/>
          <w:lang w:bidi="he-IL"/>
        </w:rPr>
        <w:t>ושפיר</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שהישראל</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שקובע</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סעודה</w:t>
      </w:r>
      <w:r>
        <w:rPr>
          <w:rFonts w:cs="Guttman Rashi" w:hint="cs"/>
          <w:rtl/>
          <w:lang w:bidi="he-IL"/>
        </w:rPr>
        <w:t>, רק שיש לנכרי קנין בו</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שהביא</w:t>
      </w:r>
      <w:r w:rsidRPr="00400C0B">
        <w:rPr>
          <w:rFonts w:cs="Guttman Rashi"/>
          <w:rtl/>
          <w:lang w:bidi="he-IL"/>
        </w:rPr>
        <w:t xml:space="preserve"> </w:t>
      </w:r>
      <w:r>
        <w:rPr>
          <w:rFonts w:cs="Guttman Rashi" w:hint="cs"/>
          <w:rtl/>
          <w:lang w:bidi="he-IL"/>
        </w:rPr>
        <w:t xml:space="preserve">בשם </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יד</w:t>
      </w:r>
      <w:r w:rsidRPr="00400C0B">
        <w:rPr>
          <w:rFonts w:cs="Guttman Rashi"/>
          <w:rtl/>
          <w:lang w:bidi="he-IL"/>
        </w:rPr>
        <w:t xml:space="preserve"> </w:t>
      </w:r>
      <w:r w:rsidRPr="00400C0B">
        <w:rPr>
          <w:rFonts w:cs="Guttman Rashi" w:hint="eastAsia"/>
          <w:rtl/>
          <w:lang w:bidi="he-IL"/>
        </w:rPr>
        <w:t>יוסף</w:t>
      </w:r>
      <w:r w:rsidRPr="00400C0B">
        <w:rPr>
          <w:rFonts w:cs="Guttman Rashi"/>
          <w:rtl/>
          <w:lang w:bidi="he-IL"/>
        </w:rPr>
        <w:t xml:space="preserve"> </w:t>
      </w:r>
      <w:r w:rsidRPr="00400C0B">
        <w:rPr>
          <w:rFonts w:cs="Guttman Rashi" w:hint="eastAsia"/>
          <w:rtl/>
          <w:lang w:bidi="he-IL"/>
        </w:rPr>
        <w:t>לפטור</w:t>
      </w:r>
      <w:r w:rsidRPr="00400C0B">
        <w:rPr>
          <w:rFonts w:cs="Guttman Rashi"/>
          <w:rtl/>
          <w:lang w:bidi="he-IL"/>
        </w:rPr>
        <w:t xml:space="preserve"> </w:t>
      </w:r>
      <w:r>
        <w:rPr>
          <w:rFonts w:cs="Guttman Rashi" w:hint="cs"/>
          <w:rtl/>
          <w:lang w:bidi="he-IL"/>
        </w:rPr>
        <w:t xml:space="preserve">בשם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אבנ</w:t>
      </w:r>
      <w:r w:rsidRPr="00400C0B">
        <w:rPr>
          <w:rFonts w:cs="Guttman Rashi"/>
          <w:rtl/>
          <w:lang w:bidi="he-IL"/>
        </w:rPr>
        <w:t>"</w:t>
      </w:r>
      <w:r w:rsidRPr="00400C0B">
        <w:rPr>
          <w:rFonts w:cs="Guttman Rashi" w:hint="eastAsia"/>
          <w:rtl/>
          <w:lang w:bidi="he-IL"/>
        </w:rPr>
        <w:t>ז</w:t>
      </w:r>
      <w:r>
        <w:rPr>
          <w:rFonts w:cs="Guttman Rashi" w:hint="cs"/>
          <w:rtl/>
          <w:lang w:bidi="he-IL"/>
        </w:rPr>
        <w:t xml:space="preserve"> סי' ק"ו אות ב' לחייב.</w:t>
      </w:r>
      <w:r w:rsidRPr="00400C0B">
        <w:rPr>
          <w:rFonts w:cs="Guttman Rashi"/>
          <w:rtl/>
          <w:lang w:bidi="he-IL"/>
        </w:rPr>
        <w:t xml:space="preserve"> </w:t>
      </w:r>
    </w:p>
    <w:p w:rsidR="007978F4" w:rsidRPr="00400C0B" w:rsidRDefault="007978F4" w:rsidP="004C5A4D">
      <w:pPr>
        <w:pStyle w:val="FootnoteText"/>
        <w:bidi/>
        <w:jc w:val="both"/>
        <w:rPr>
          <w:rFonts w:cs="Guttman Rashi"/>
          <w:rtl/>
          <w:lang w:bidi="he-IL"/>
        </w:rPr>
      </w:pPr>
      <w:r>
        <w:rPr>
          <w:rFonts w:cs="Guttman Rashi" w:hint="cs"/>
          <w:rtl/>
          <w:lang w:bidi="he-IL"/>
        </w:rPr>
        <w:t xml:space="preserve">ולכאורה יש להוכיח כדברינו מחי' </w:t>
      </w:r>
      <w:r w:rsidRPr="00400C0B">
        <w:rPr>
          <w:rFonts w:cs="Guttman Rashi" w:hint="eastAsia"/>
          <w:rtl/>
          <w:lang w:bidi="he-IL"/>
        </w:rPr>
        <w:t>הריטב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הריטב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אומן</w:t>
      </w:r>
      <w:r w:rsidRPr="00400C0B">
        <w:rPr>
          <w:rFonts w:cs="Guttman Rashi"/>
          <w:rtl/>
          <w:lang w:bidi="he-IL"/>
        </w:rPr>
        <w:t xml:space="preserve"> </w:t>
      </w:r>
      <w:r w:rsidRPr="00400C0B">
        <w:rPr>
          <w:rFonts w:cs="Guttman Rashi" w:hint="eastAsia"/>
          <w:rtl/>
          <w:lang w:bidi="he-IL"/>
        </w:rPr>
        <w:t>קונה</w:t>
      </w:r>
      <w:r w:rsidRPr="00400C0B">
        <w:rPr>
          <w:rFonts w:cs="Guttman Rashi"/>
          <w:rtl/>
          <w:lang w:bidi="he-IL"/>
        </w:rPr>
        <w:t xml:space="preserve"> </w:t>
      </w:r>
      <w:r w:rsidRPr="00400C0B">
        <w:rPr>
          <w:rFonts w:cs="Guttman Rashi" w:hint="eastAsia"/>
          <w:rtl/>
          <w:lang w:bidi="he-IL"/>
        </w:rPr>
        <w:t>בשבח</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מחייב</w:t>
      </w:r>
      <w:r w:rsidRPr="00400C0B">
        <w:rPr>
          <w:rFonts w:cs="Guttman Rashi"/>
          <w:rtl/>
          <w:lang w:bidi="he-IL"/>
        </w:rPr>
        <w:t xml:space="preserve"> </w:t>
      </w:r>
      <w:r w:rsidRPr="00400C0B">
        <w:rPr>
          <w:rFonts w:cs="Guttman Rashi" w:hint="eastAsia"/>
          <w:rtl/>
          <w:lang w:bidi="he-IL"/>
        </w:rPr>
        <w:t>בטילת</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והרי</w:t>
      </w:r>
      <w:r w:rsidRPr="00400C0B">
        <w:rPr>
          <w:rFonts w:cs="Guttman Rashi"/>
          <w:rtl/>
          <w:lang w:bidi="he-IL"/>
        </w:rPr>
        <w:t xml:space="preserve"> </w:t>
      </w:r>
      <w:r w:rsidRPr="00400C0B">
        <w:rPr>
          <w:rFonts w:cs="Guttman Rashi" w:hint="eastAsia"/>
          <w:rtl/>
          <w:lang w:bidi="he-IL"/>
        </w:rPr>
        <w:t>ריטב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שחובת</w:t>
      </w:r>
      <w:r w:rsidRPr="00400C0B">
        <w:rPr>
          <w:rFonts w:cs="Guttman Rashi"/>
          <w:rtl/>
          <w:lang w:bidi="he-IL"/>
        </w:rPr>
        <w:t xml:space="preserve"> </w:t>
      </w:r>
      <w:r w:rsidRPr="00400C0B">
        <w:rPr>
          <w:rFonts w:cs="Guttman Rashi" w:hint="eastAsia"/>
          <w:rtl/>
          <w:lang w:bidi="he-IL"/>
        </w:rPr>
        <w:t>טבילת</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חדשים</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היותם</w:t>
      </w:r>
      <w:r w:rsidRPr="00400C0B">
        <w:rPr>
          <w:rFonts w:cs="Guttman Rashi"/>
          <w:rtl/>
          <w:lang w:bidi="he-IL"/>
        </w:rPr>
        <w:t xml:space="preserve"> </w:t>
      </w:r>
      <w:r w:rsidRPr="00400C0B">
        <w:rPr>
          <w:rFonts w:cs="Guttman Rashi" w:hint="eastAsia"/>
          <w:rtl/>
          <w:lang w:bidi="he-IL"/>
        </w:rPr>
        <w:t>עומדים</w:t>
      </w:r>
      <w:r w:rsidRPr="00400C0B">
        <w:rPr>
          <w:rFonts w:cs="Guttman Rashi"/>
          <w:rtl/>
          <w:lang w:bidi="he-IL"/>
        </w:rPr>
        <w:t xml:space="preserve"> </w:t>
      </w:r>
      <w:r w:rsidRPr="00400C0B">
        <w:rPr>
          <w:rFonts w:cs="Guttman Rashi" w:hint="eastAsia"/>
          <w:rtl/>
          <w:lang w:bidi="he-IL"/>
        </w:rPr>
        <w:t>לסעודה</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לדידי</w:t>
      </w:r>
      <w:r w:rsidRPr="00400C0B">
        <w:rPr>
          <w:rFonts w:cs="Guttman Rashi"/>
          <w:rtl/>
          <w:lang w:bidi="he-IL"/>
        </w:rPr>
        <w:t xml:space="preserve">' </w:t>
      </w:r>
      <w:r w:rsidRPr="00400C0B">
        <w:rPr>
          <w:rFonts w:cs="Guttman Rashi" w:hint="eastAsia"/>
          <w:rtl/>
          <w:lang w:bidi="he-IL"/>
        </w:rPr>
        <w:t>תיקשי</w:t>
      </w:r>
      <w:r w:rsidRPr="00400C0B">
        <w:rPr>
          <w:rFonts w:cs="Guttman Rashi"/>
          <w:rtl/>
          <w:lang w:bidi="he-IL"/>
        </w:rPr>
        <w:t xml:space="preserve"> </w:t>
      </w:r>
      <w:r w:rsidRPr="00400C0B">
        <w:rPr>
          <w:rFonts w:cs="Guttman Rashi" w:hint="eastAsia"/>
          <w:rtl/>
          <w:lang w:bidi="he-IL"/>
        </w:rPr>
        <w:t>היכי</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שיהא</w:t>
      </w:r>
      <w:r w:rsidRPr="00400C0B">
        <w:rPr>
          <w:rFonts w:cs="Guttman Rashi"/>
          <w:rtl/>
          <w:lang w:bidi="he-IL"/>
        </w:rPr>
        <w:t xml:space="preserve"> </w:t>
      </w:r>
      <w:r>
        <w:rPr>
          <w:rFonts w:cs="Guttman Rashi" w:hint="cs"/>
          <w:rtl/>
          <w:lang w:bidi="he-IL"/>
        </w:rPr>
        <w:t xml:space="preserve">האומן </w:t>
      </w:r>
      <w:r w:rsidRPr="00400C0B">
        <w:rPr>
          <w:rFonts w:cs="Guttman Rashi" w:hint="eastAsia"/>
          <w:rtl/>
          <w:lang w:bidi="he-IL"/>
        </w:rPr>
        <w:t>חייב</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Pr>
          <w:rFonts w:cs="Guttman Rashi" w:hint="cs"/>
          <w:rtl/>
          <w:lang w:bidi="he-IL"/>
        </w:rPr>
        <w:t xml:space="preserve">כנ"ל שבהא דאומן הוי שפיר כלי סעודה כיון שהישראל שהוא עיקר הבעלים כבר קבעו כן. אמנם יש לדחות ולומר </w:t>
      </w:r>
      <w:r w:rsidRPr="00400C0B">
        <w:rPr>
          <w:rFonts w:cs="Guttman Rashi" w:hint="eastAsia"/>
          <w:rtl/>
          <w:lang w:bidi="he-IL"/>
        </w:rPr>
        <w:t>שהריטב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שהיותם</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סחורה</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שאינם</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סעו</w:t>
      </w:r>
      <w:bookmarkStart w:id="472" w:name="_GoBack"/>
      <w:bookmarkEnd w:id="472"/>
      <w:r w:rsidRPr="00400C0B">
        <w:rPr>
          <w:rFonts w:cs="Guttman Rashi" w:hint="eastAsia"/>
          <w:rtl/>
          <w:lang w:bidi="he-IL"/>
        </w:rPr>
        <w:t>דה</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שכתבנו</w:t>
      </w:r>
      <w:r w:rsidRPr="00400C0B">
        <w:rPr>
          <w:rFonts w:cs="Guttman Rashi"/>
          <w:rtl/>
          <w:lang w:bidi="he-IL"/>
        </w:rPr>
        <w:t xml:space="preserve"> </w:t>
      </w:r>
      <w:r w:rsidRPr="00400C0B">
        <w:rPr>
          <w:rFonts w:cs="Guttman Rashi" w:hint="eastAsia"/>
          <w:rtl/>
          <w:lang w:bidi="he-IL"/>
        </w:rPr>
        <w:t>צד</w:t>
      </w:r>
      <w:r w:rsidRPr="00400C0B">
        <w:rPr>
          <w:rFonts w:cs="Guttman Rashi"/>
          <w:rtl/>
          <w:lang w:bidi="he-IL"/>
        </w:rPr>
        <w:t xml:space="preserve"> </w:t>
      </w:r>
      <w:r w:rsidRPr="00400C0B">
        <w:rPr>
          <w:rFonts w:cs="Guttman Rashi" w:hint="eastAsia"/>
          <w:rtl/>
          <w:lang w:bidi="he-IL"/>
        </w:rPr>
        <w:t>כזה</w:t>
      </w:r>
      <w:r w:rsidRPr="00400C0B">
        <w:rPr>
          <w:rFonts w:cs="Guttman Rashi"/>
          <w:rtl/>
          <w:lang w:bidi="he-IL"/>
        </w:rPr>
        <w:t xml:space="preserve"> </w:t>
      </w:r>
      <w:r w:rsidRPr="00400C0B">
        <w:rPr>
          <w:rFonts w:cs="Guttman Rashi" w:hint="eastAsia"/>
          <w:rtl/>
          <w:lang w:bidi="he-IL"/>
        </w:rPr>
        <w:t>לקמן</w:t>
      </w:r>
      <w:r>
        <w:rPr>
          <w:rFonts w:cs="Guttman Rashi" w:hint="cs"/>
          <w:rtl/>
          <w:lang w:bidi="he-IL"/>
        </w:rPr>
        <w:t>.</w:t>
      </w:r>
      <w:r w:rsidRPr="00400C0B">
        <w:rPr>
          <w:rFonts w:cs="Guttman Rashi"/>
          <w:rtl/>
          <w:lang w:bidi="he-IL"/>
        </w:rPr>
        <w:t xml:space="preserve"> </w:t>
      </w:r>
    </w:p>
  </w:footnote>
  <w:footnote w:id="45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טבילת</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סוף</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וסדר</w:t>
      </w:r>
      <w:r w:rsidRPr="00400C0B">
        <w:rPr>
          <w:rFonts w:cs="Guttman Rashi"/>
          <w:rtl/>
          <w:lang w:bidi="he-IL"/>
        </w:rPr>
        <w:t xml:space="preserve"> </w:t>
      </w:r>
      <w:r w:rsidRPr="00400C0B">
        <w:rPr>
          <w:rFonts w:cs="Guttman Rashi" w:hint="eastAsia"/>
          <w:rtl/>
          <w:lang w:bidi="he-IL"/>
        </w:rPr>
        <w:t>יעקב</w:t>
      </w:r>
      <w:r w:rsidRPr="00400C0B">
        <w:rPr>
          <w:rFonts w:cs="Guttman Rashi"/>
          <w:rtl/>
          <w:lang w:bidi="he-IL"/>
        </w:rPr>
        <w:t xml:space="preserve"> </w:t>
      </w:r>
      <w:r w:rsidRPr="00400C0B">
        <w:rPr>
          <w:rFonts w:cs="Guttman Rashi" w:hint="eastAsia"/>
          <w:rtl/>
          <w:lang w:bidi="he-IL"/>
        </w:rPr>
        <w:t>למס</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דף</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רט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 </w:t>
      </w:r>
      <w:r w:rsidRPr="00400C0B">
        <w:rPr>
          <w:rFonts w:cs="Guttman Rashi" w:hint="eastAsia"/>
          <w:rtl/>
          <w:lang w:bidi="he-IL"/>
        </w:rPr>
        <w:t>רי</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מדפי</w:t>
      </w:r>
      <w:r w:rsidRPr="00400C0B">
        <w:rPr>
          <w:rFonts w:cs="Guttman Rashi"/>
          <w:rtl/>
          <w:lang w:bidi="he-IL"/>
        </w:rPr>
        <w:t xml:space="preserve"> </w:t>
      </w:r>
      <w:r w:rsidRPr="00400C0B">
        <w:rPr>
          <w:rFonts w:cs="Guttman Rashi" w:hint="eastAsia"/>
          <w:rtl/>
          <w:lang w:bidi="he-IL"/>
        </w:rPr>
        <w:t>הספר</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מעכבת</w:t>
      </w:r>
      <w:r w:rsidRPr="00400C0B">
        <w:rPr>
          <w:rFonts w:cs="Guttman Rashi"/>
          <w:rtl/>
          <w:lang w:bidi="he-IL"/>
        </w:rPr>
        <w:t xml:space="preserve"> </w:t>
      </w:r>
      <w:r w:rsidRPr="00400C0B">
        <w:rPr>
          <w:rFonts w:cs="Guttman Rashi" w:hint="eastAsia"/>
          <w:rtl/>
          <w:lang w:bidi="he-IL"/>
        </w:rPr>
        <w:t>הטבילה</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כשנבלע</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כשהי</w:t>
      </w:r>
      <w:r w:rsidRPr="00400C0B">
        <w:rPr>
          <w:rFonts w:cs="Guttman Rashi"/>
          <w:rtl/>
          <w:lang w:bidi="he-IL"/>
        </w:rPr>
        <w:t xml:space="preserve">' </w:t>
      </w:r>
      <w:r w:rsidRPr="00400C0B">
        <w:rPr>
          <w:rFonts w:cs="Guttman Rashi" w:hint="eastAsia"/>
          <w:rtl/>
          <w:lang w:bidi="he-IL"/>
        </w:rPr>
        <w:t>אצל</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הטבילה</w:t>
      </w:r>
      <w:r w:rsidRPr="00400C0B">
        <w:rPr>
          <w:rFonts w:cs="Guttman Rashi"/>
          <w:rtl/>
          <w:lang w:bidi="he-IL"/>
        </w:rPr>
        <w:t xml:space="preserve">. </w:t>
      </w:r>
    </w:p>
  </w:footnote>
  <w:footnote w:id="45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וחכמים</w:t>
      </w:r>
      <w:r w:rsidRPr="00400C0B">
        <w:rPr>
          <w:rFonts w:cs="Guttman Rashi"/>
          <w:rtl/>
          <w:lang w:bidi="he-IL"/>
        </w:rPr>
        <w:t xml:space="preserve"> </w:t>
      </w:r>
      <w:r w:rsidRPr="00400C0B">
        <w:rPr>
          <w:rFonts w:cs="Guttman Rashi" w:hint="eastAsia"/>
          <w:rtl/>
          <w:lang w:bidi="he-IL"/>
        </w:rPr>
        <w:t>ושם</w:t>
      </w:r>
      <w:r w:rsidRPr="00400C0B">
        <w:rPr>
          <w:rFonts w:cs="Guttman Rashi"/>
          <w:rtl/>
          <w:lang w:bidi="he-IL"/>
        </w:rPr>
        <w:t xml:space="preserve"> </w:t>
      </w:r>
      <w:r w:rsidRPr="00400C0B">
        <w:rPr>
          <w:rFonts w:cs="Guttman Rashi" w:hint="eastAsia"/>
          <w:rtl/>
          <w:lang w:bidi="he-IL"/>
        </w:rPr>
        <w:t>ברש</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p>
  </w:footnote>
  <w:footnote w:id="45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אג</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יו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שכיון</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מעצמו</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בביאור</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באופן</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p>
  </w:footnote>
  <w:footnote w:id="45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מנח</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להטבילם</w:t>
      </w:r>
      <w:r w:rsidRPr="00400C0B">
        <w:rPr>
          <w:rFonts w:cs="Guttman Rashi"/>
          <w:rtl/>
          <w:lang w:bidi="he-IL"/>
        </w:rPr>
        <w:t xml:space="preserve"> </w:t>
      </w:r>
      <w:r w:rsidRPr="00400C0B">
        <w:rPr>
          <w:rFonts w:cs="Guttman Rashi" w:hint="eastAsia"/>
          <w:rtl/>
          <w:lang w:bidi="he-IL"/>
        </w:rPr>
        <w:t>בלא</w:t>
      </w:r>
      <w:r w:rsidRPr="00400C0B">
        <w:rPr>
          <w:rFonts w:cs="Guttman Rashi"/>
          <w:rtl/>
          <w:lang w:bidi="he-IL"/>
        </w:rPr>
        <w:t xml:space="preserve"> </w:t>
      </w:r>
      <w:r w:rsidRPr="00400C0B">
        <w:rPr>
          <w:rFonts w:cs="Guttman Rashi" w:hint="eastAsia"/>
          <w:rtl/>
          <w:lang w:bidi="he-IL"/>
        </w:rPr>
        <w:t>ברכה</w:t>
      </w:r>
      <w:r w:rsidRPr="00400C0B">
        <w:rPr>
          <w:rFonts w:cs="Guttman Rashi"/>
          <w:rtl/>
          <w:lang w:bidi="he-IL"/>
        </w:rPr>
        <w:t>.</w:t>
      </w:r>
    </w:p>
  </w:footnote>
  <w:footnote w:id="45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ושם</w:t>
      </w:r>
      <w:r w:rsidRPr="00400C0B">
        <w:rPr>
          <w:rFonts w:cs="Guttman Rashi"/>
          <w:rtl/>
          <w:lang w:bidi="he-IL"/>
        </w:rPr>
        <w:t xml:space="preserve"> </w:t>
      </w:r>
      <w:r w:rsidRPr="00400C0B">
        <w:rPr>
          <w:rFonts w:cs="Guttman Rashi" w:hint="eastAsia"/>
          <w:rtl/>
          <w:lang w:bidi="he-IL"/>
        </w:rPr>
        <w:t>במטה</w:t>
      </w:r>
      <w:r w:rsidRPr="00400C0B">
        <w:rPr>
          <w:rFonts w:cs="Guttman Rashi"/>
          <w:rtl/>
          <w:lang w:bidi="he-IL"/>
        </w:rPr>
        <w:t xml:space="preserve"> </w:t>
      </w:r>
      <w:r w:rsidRPr="00400C0B">
        <w:rPr>
          <w:rFonts w:cs="Guttman Rashi" w:hint="eastAsia"/>
          <w:rtl/>
          <w:lang w:bidi="he-IL"/>
        </w:rPr>
        <w:t>יהונתן</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שהש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והט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הבינו</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דמיירי</w:t>
      </w:r>
      <w:r w:rsidRPr="00400C0B">
        <w:rPr>
          <w:rFonts w:cs="Guttman Rashi"/>
          <w:rtl/>
          <w:lang w:bidi="he-IL"/>
        </w:rPr>
        <w:t xml:space="preserve"> </w:t>
      </w:r>
      <w:r w:rsidRPr="00400C0B">
        <w:rPr>
          <w:rFonts w:cs="Guttman Rashi" w:hint="eastAsia"/>
          <w:rtl/>
          <w:lang w:bidi="he-IL"/>
        </w:rPr>
        <w:t>במי</w:t>
      </w:r>
      <w:r w:rsidRPr="00400C0B">
        <w:rPr>
          <w:rFonts w:cs="Guttman Rashi"/>
          <w:rtl/>
          <w:lang w:bidi="he-IL"/>
        </w:rPr>
        <w:t xml:space="preserve"> </w:t>
      </w:r>
      <w:r w:rsidRPr="00400C0B">
        <w:rPr>
          <w:rFonts w:cs="Guttman Rashi" w:hint="eastAsia"/>
          <w:rtl/>
          <w:lang w:bidi="he-IL"/>
        </w:rPr>
        <w:t>מקוה</w:t>
      </w:r>
      <w:r w:rsidRPr="00400C0B">
        <w:rPr>
          <w:rFonts w:cs="Guttman Rashi"/>
          <w:rtl/>
          <w:lang w:bidi="he-IL"/>
        </w:rPr>
        <w:t xml:space="preserve"> </w:t>
      </w:r>
      <w:r w:rsidRPr="00400C0B">
        <w:rPr>
          <w:rFonts w:cs="Guttman Rashi" w:hint="eastAsia"/>
          <w:rtl/>
          <w:lang w:bidi="he-IL"/>
        </w:rPr>
        <w:t>שנתלשו</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ירדתי</w:t>
      </w:r>
      <w:r w:rsidRPr="00400C0B">
        <w:rPr>
          <w:rFonts w:cs="Guttman Rashi"/>
          <w:rtl/>
          <w:lang w:bidi="he-IL"/>
        </w:rPr>
        <w:t xml:space="preserve"> </w:t>
      </w:r>
      <w:r w:rsidRPr="00400C0B">
        <w:rPr>
          <w:rFonts w:cs="Guttman Rashi" w:hint="eastAsia"/>
          <w:rtl/>
          <w:lang w:bidi="he-IL"/>
        </w:rPr>
        <w:t>לסוף</w:t>
      </w:r>
      <w:r w:rsidRPr="00400C0B">
        <w:rPr>
          <w:rFonts w:cs="Guttman Rashi"/>
          <w:rtl/>
          <w:lang w:bidi="he-IL"/>
        </w:rPr>
        <w:t xml:space="preserve"> </w:t>
      </w:r>
      <w:r w:rsidRPr="00400C0B">
        <w:rPr>
          <w:rFonts w:cs="Guttman Rashi" w:hint="eastAsia"/>
          <w:rtl/>
          <w:lang w:bidi="he-IL"/>
        </w:rPr>
        <w:t>דעתו</w:t>
      </w:r>
      <w:r w:rsidRPr="00400C0B">
        <w:rPr>
          <w:rFonts w:cs="Guttman Rashi"/>
          <w:rtl/>
          <w:lang w:bidi="he-IL"/>
        </w:rPr>
        <w:t xml:space="preserve"> </w:t>
      </w:r>
      <w:r w:rsidRPr="00400C0B">
        <w:rPr>
          <w:rFonts w:cs="Guttman Rashi" w:hint="eastAsia"/>
          <w:rtl/>
          <w:lang w:bidi="he-IL"/>
        </w:rPr>
        <w:t>בכוונתו</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דאמנם</w:t>
      </w:r>
      <w:r w:rsidRPr="00400C0B">
        <w:rPr>
          <w:rFonts w:cs="Guttman Rashi"/>
          <w:rtl/>
          <w:lang w:bidi="he-IL"/>
        </w:rPr>
        <w:t xml:space="preserve"> </w:t>
      </w:r>
      <w:r w:rsidRPr="00400C0B">
        <w:rPr>
          <w:rFonts w:cs="Guttman Rashi" w:hint="eastAsia"/>
          <w:rtl/>
          <w:lang w:bidi="he-IL"/>
        </w:rPr>
        <w:t>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מדייק</w:t>
      </w:r>
      <w:r w:rsidRPr="00400C0B">
        <w:rPr>
          <w:rFonts w:cs="Guttman Rashi"/>
          <w:rtl/>
          <w:lang w:bidi="he-IL"/>
        </w:rPr>
        <w:t xml:space="preserve"> </w:t>
      </w:r>
      <w:r w:rsidRPr="00400C0B">
        <w:rPr>
          <w:rFonts w:cs="Guttman Rashi" w:hint="eastAsia"/>
          <w:rtl/>
          <w:lang w:bidi="he-IL"/>
        </w:rPr>
        <w:t>מלשון</w:t>
      </w:r>
      <w:r w:rsidRPr="00400C0B">
        <w:rPr>
          <w:rFonts w:cs="Guttman Rashi"/>
          <w:rtl/>
          <w:lang w:bidi="he-IL"/>
        </w:rPr>
        <w:t xml:space="preserve"> </w:t>
      </w:r>
      <w:r w:rsidRPr="00400C0B">
        <w:rPr>
          <w:rFonts w:cs="Guttman Rashi" w:hint="eastAsia"/>
          <w:rtl/>
          <w:lang w:bidi="he-IL"/>
        </w:rPr>
        <w:t>המתני</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בעינן</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הדחת</w:t>
      </w:r>
      <w:r w:rsidRPr="00400C0B">
        <w:rPr>
          <w:rFonts w:cs="Guttman Rashi"/>
          <w:rtl/>
          <w:lang w:bidi="he-IL"/>
        </w:rPr>
        <w:t xml:space="preserve"> </w:t>
      </w:r>
      <w:r w:rsidRPr="00400C0B">
        <w:rPr>
          <w:rFonts w:cs="Guttman Rashi" w:hint="eastAsia"/>
          <w:rtl/>
          <w:lang w:bidi="he-IL"/>
        </w:rPr>
        <w:t>הידים</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קושיית</w:t>
      </w:r>
      <w:r w:rsidRPr="00400C0B">
        <w:rPr>
          <w:rFonts w:cs="Guttman Rashi"/>
          <w:rtl/>
          <w:lang w:bidi="he-IL"/>
        </w:rPr>
        <w:t xml:space="preserve"> </w:t>
      </w:r>
      <w:r w:rsidRPr="00400C0B">
        <w:rPr>
          <w:rFonts w:cs="Guttman Rashi" w:hint="eastAsia"/>
          <w:rtl/>
          <w:lang w:bidi="he-IL"/>
        </w:rPr>
        <w:t>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שהצריך</w:t>
      </w:r>
      <w:r w:rsidRPr="00400C0B">
        <w:rPr>
          <w:rFonts w:cs="Guttman Rashi"/>
          <w:rtl/>
          <w:lang w:bidi="he-IL"/>
        </w:rPr>
        <w:t xml:space="preserve"> </w:t>
      </w:r>
      <w:r w:rsidRPr="00400C0B">
        <w:rPr>
          <w:rFonts w:cs="Guttman Rashi" w:hint="eastAsia"/>
          <w:rtl/>
          <w:lang w:bidi="he-IL"/>
        </w:rPr>
        <w:t>ללחלח</w:t>
      </w:r>
      <w:r w:rsidRPr="00400C0B">
        <w:rPr>
          <w:rFonts w:cs="Guttman Rashi"/>
          <w:rtl/>
          <w:lang w:bidi="he-IL"/>
        </w:rPr>
        <w:t xml:space="preserve"> </w:t>
      </w:r>
      <w:r w:rsidRPr="00400C0B">
        <w:rPr>
          <w:rFonts w:cs="Guttman Rashi" w:hint="eastAsia"/>
          <w:rtl/>
          <w:lang w:bidi="he-IL"/>
        </w:rPr>
        <w:t>הידים</w:t>
      </w:r>
      <w:r w:rsidRPr="00400C0B">
        <w:rPr>
          <w:rFonts w:cs="Guttman Rashi"/>
          <w:rtl/>
          <w:lang w:bidi="he-IL"/>
        </w:rPr>
        <w:t xml:space="preserve"> </w:t>
      </w:r>
      <w:r w:rsidRPr="00400C0B">
        <w:rPr>
          <w:rFonts w:cs="Guttman Rashi" w:hint="eastAsia"/>
          <w:rtl/>
          <w:lang w:bidi="he-IL"/>
        </w:rPr>
        <w:t>במי</w:t>
      </w:r>
      <w:r w:rsidRPr="00400C0B">
        <w:rPr>
          <w:rFonts w:cs="Guttman Rashi"/>
          <w:rtl/>
          <w:lang w:bidi="he-IL"/>
        </w:rPr>
        <w:t xml:space="preserve"> </w:t>
      </w:r>
      <w:r w:rsidRPr="00400C0B">
        <w:rPr>
          <w:rFonts w:cs="Guttman Rashi" w:hint="eastAsia"/>
          <w:rtl/>
          <w:lang w:bidi="he-IL"/>
        </w:rPr>
        <w:t>המקוה</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להכניס</w:t>
      </w:r>
      <w:r w:rsidRPr="00400C0B">
        <w:rPr>
          <w:rFonts w:cs="Guttman Rashi"/>
          <w:rtl/>
          <w:lang w:bidi="he-IL"/>
        </w:rPr>
        <w:t xml:space="preserve"> </w:t>
      </w:r>
      <w:r w:rsidRPr="00400C0B">
        <w:rPr>
          <w:rFonts w:cs="Guttman Rashi" w:hint="eastAsia"/>
          <w:rtl/>
          <w:lang w:bidi="he-IL"/>
        </w:rPr>
        <w:t>ידו</w:t>
      </w:r>
      <w:r w:rsidRPr="00400C0B">
        <w:rPr>
          <w:rFonts w:cs="Guttman Rashi"/>
          <w:rtl/>
          <w:lang w:bidi="he-IL"/>
        </w:rPr>
        <w:t xml:space="preserve"> </w:t>
      </w:r>
      <w:r w:rsidRPr="00400C0B">
        <w:rPr>
          <w:rFonts w:cs="Guttman Rashi" w:hint="eastAsia"/>
          <w:rtl/>
          <w:lang w:bidi="he-IL"/>
        </w:rPr>
        <w:t>למקוה</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שהצריך</w:t>
      </w:r>
      <w:r w:rsidRPr="00400C0B">
        <w:rPr>
          <w:rFonts w:cs="Guttman Rashi"/>
          <w:rtl/>
          <w:lang w:bidi="he-IL"/>
        </w:rPr>
        <w:t xml:space="preserve"> </w:t>
      </w:r>
      <w:r w:rsidRPr="00400C0B">
        <w:rPr>
          <w:rFonts w:cs="Guttman Rashi" w:hint="eastAsia"/>
          <w:rtl/>
          <w:lang w:bidi="he-IL"/>
        </w:rPr>
        <w:t>מי</w:t>
      </w:r>
      <w:r w:rsidRPr="00400C0B">
        <w:rPr>
          <w:rFonts w:cs="Guttman Rashi"/>
          <w:rtl/>
          <w:lang w:bidi="he-IL"/>
        </w:rPr>
        <w:t xml:space="preserve"> </w:t>
      </w:r>
      <w:r w:rsidRPr="00400C0B">
        <w:rPr>
          <w:rFonts w:cs="Guttman Rashi" w:hint="eastAsia"/>
          <w:rtl/>
          <w:lang w:bidi="he-IL"/>
        </w:rPr>
        <w:t>המקוה</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סגי</w:t>
      </w:r>
      <w:r w:rsidRPr="00400C0B">
        <w:rPr>
          <w:rFonts w:cs="Guttman Rashi"/>
          <w:rtl/>
          <w:lang w:bidi="he-IL"/>
        </w:rPr>
        <w:t xml:space="preserve"> </w:t>
      </w:r>
      <w:r w:rsidRPr="00400C0B">
        <w:rPr>
          <w:rFonts w:cs="Guttman Rashi" w:hint="eastAsia"/>
          <w:rtl/>
          <w:lang w:bidi="he-IL"/>
        </w:rPr>
        <w:t>במים</w:t>
      </w:r>
      <w:r w:rsidRPr="00400C0B">
        <w:rPr>
          <w:rFonts w:cs="Guttman Rashi"/>
          <w:rtl/>
          <w:lang w:bidi="he-IL"/>
        </w:rPr>
        <w:t xml:space="preserve"> </w:t>
      </w:r>
      <w:r w:rsidRPr="00400C0B">
        <w:rPr>
          <w:rFonts w:cs="Guttman Rashi" w:hint="eastAsia"/>
          <w:rtl/>
          <w:lang w:bidi="he-IL"/>
        </w:rPr>
        <w:t>תלושים</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אוחז</w:t>
      </w:r>
      <w:r w:rsidRPr="00400C0B">
        <w:rPr>
          <w:rFonts w:cs="Guttman Rashi"/>
          <w:rtl/>
          <w:lang w:bidi="he-IL"/>
        </w:rPr>
        <w:t xml:space="preserve"> </w:t>
      </w:r>
      <w:r w:rsidRPr="00400C0B">
        <w:rPr>
          <w:rFonts w:cs="Guttman Rashi" w:hint="eastAsia"/>
          <w:rtl/>
          <w:lang w:bidi="he-IL"/>
        </w:rPr>
        <w:t>הכלי</w:t>
      </w:r>
      <w:r w:rsidRPr="00400C0B">
        <w:rPr>
          <w:rFonts w:cs="Guttman Rashi"/>
          <w:rtl/>
          <w:lang w:bidi="he-IL"/>
        </w:rPr>
        <w:t xml:space="preserve"> </w:t>
      </w:r>
      <w:r w:rsidRPr="00400C0B">
        <w:rPr>
          <w:rFonts w:cs="Guttman Rashi" w:hint="eastAsia"/>
          <w:rtl/>
          <w:lang w:bidi="he-IL"/>
        </w:rPr>
        <w:t>בחוזק</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הט</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דע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עוקר</w:t>
      </w:r>
      <w:r w:rsidRPr="00400C0B">
        <w:rPr>
          <w:rFonts w:cs="Guttman Rashi"/>
          <w:rtl/>
          <w:lang w:bidi="he-IL"/>
        </w:rPr>
        <w:t xml:space="preserve"> </w:t>
      </w:r>
      <w:r w:rsidRPr="00400C0B">
        <w:rPr>
          <w:rFonts w:cs="Guttman Rashi" w:hint="eastAsia"/>
          <w:rtl/>
          <w:lang w:bidi="he-IL"/>
        </w:rPr>
        <w:t>המים</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המקוה</w:t>
      </w:r>
      <w:r w:rsidRPr="00400C0B">
        <w:rPr>
          <w:rFonts w:cs="Guttman Rashi"/>
          <w:rtl/>
          <w:lang w:bidi="he-IL"/>
        </w:rPr>
        <w:t xml:space="preserve"> </w:t>
      </w:r>
      <w:r w:rsidRPr="00400C0B">
        <w:rPr>
          <w:rFonts w:cs="Guttman Rashi" w:hint="eastAsia"/>
          <w:rtl/>
          <w:lang w:bidi="he-IL"/>
        </w:rPr>
        <w:t>הוו</w:t>
      </w:r>
      <w:r w:rsidRPr="00400C0B">
        <w:rPr>
          <w:rFonts w:cs="Guttman Rashi"/>
          <w:rtl/>
          <w:lang w:bidi="he-IL"/>
        </w:rPr>
        <w:t xml:space="preserve"> </w:t>
      </w:r>
      <w:r w:rsidRPr="00400C0B">
        <w:rPr>
          <w:rFonts w:cs="Guttman Rashi" w:hint="eastAsia"/>
          <w:rtl/>
          <w:lang w:bidi="he-IL"/>
        </w:rPr>
        <w:t>מים</w:t>
      </w:r>
      <w:r w:rsidRPr="00400C0B">
        <w:rPr>
          <w:rFonts w:cs="Guttman Rashi"/>
          <w:rtl/>
          <w:lang w:bidi="he-IL"/>
        </w:rPr>
        <w:t xml:space="preserve"> </w:t>
      </w:r>
      <w:r w:rsidRPr="00400C0B">
        <w:rPr>
          <w:rFonts w:cs="Guttman Rashi" w:hint="eastAsia"/>
          <w:rtl/>
          <w:lang w:bidi="he-IL"/>
        </w:rPr>
        <w:t>תלושים</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דאל</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דיוק</w:t>
      </w:r>
      <w:r w:rsidRPr="00400C0B">
        <w:rPr>
          <w:rFonts w:cs="Guttman Rashi"/>
          <w:rtl/>
          <w:lang w:bidi="he-IL"/>
        </w:rPr>
        <w:t xml:space="preserve"> </w:t>
      </w:r>
      <w:r w:rsidRPr="00400C0B">
        <w:rPr>
          <w:rFonts w:cs="Guttman Rashi" w:hint="eastAsia"/>
          <w:rtl/>
          <w:lang w:bidi="he-IL"/>
        </w:rPr>
        <w:t>מלשון</w:t>
      </w:r>
      <w:r w:rsidRPr="00400C0B">
        <w:rPr>
          <w:rFonts w:cs="Guttman Rashi"/>
          <w:rtl/>
          <w:lang w:bidi="he-IL"/>
        </w:rPr>
        <w:t xml:space="preserve"> '</w:t>
      </w:r>
      <w:r w:rsidRPr="00400C0B">
        <w:rPr>
          <w:rFonts w:cs="Guttman Rashi" w:hint="eastAsia"/>
          <w:rtl/>
          <w:lang w:bidi="he-IL"/>
        </w:rPr>
        <w:t>מדיח</w:t>
      </w:r>
      <w:r w:rsidRPr="00400C0B">
        <w:rPr>
          <w:rFonts w:cs="Guttman Rashi"/>
          <w:rtl/>
          <w:lang w:bidi="he-IL"/>
        </w:rPr>
        <w:t>'.</w:t>
      </w:r>
    </w:p>
  </w:footnote>
  <w:footnote w:id="45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קי</w:t>
      </w:r>
      <w:r w:rsidRPr="00400C0B">
        <w:rPr>
          <w:rFonts w:cs="Guttman Rashi"/>
          <w:rtl/>
          <w:lang w:bidi="he-IL"/>
        </w:rPr>
        <w:t>"</w:t>
      </w:r>
      <w:r w:rsidRPr="00400C0B">
        <w:rPr>
          <w:rFonts w:cs="Guttman Rashi" w:hint="eastAsia"/>
          <w:rtl/>
          <w:lang w:bidi="he-IL"/>
        </w:rPr>
        <w:t>ט</w:t>
      </w:r>
    </w:p>
  </w:footnote>
  <w:footnote w:id="45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ובפת</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הביא</w:t>
      </w:r>
      <w:r w:rsidRPr="00400C0B">
        <w:rPr>
          <w:rFonts w:cs="Guttman Rashi"/>
          <w:rtl/>
          <w:lang w:bidi="he-IL"/>
        </w:rPr>
        <w:t xml:space="preserve"> </w:t>
      </w:r>
      <w:r w:rsidRPr="00400C0B">
        <w:rPr>
          <w:rFonts w:cs="Guttman Rashi" w:hint="eastAsia"/>
          <w:rtl/>
          <w:lang w:bidi="he-IL"/>
        </w:rPr>
        <w:t>מתפאל</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שחולק</w:t>
      </w:r>
      <w:r w:rsidRPr="00400C0B">
        <w:rPr>
          <w:rFonts w:cs="Guttman Rashi"/>
          <w:rtl/>
          <w:lang w:bidi="he-IL"/>
        </w:rPr>
        <w:t xml:space="preserve">, </w:t>
      </w:r>
      <w:r w:rsidRPr="00400C0B">
        <w:rPr>
          <w:rFonts w:cs="Guttman Rashi" w:hint="eastAsia"/>
          <w:rtl/>
          <w:lang w:bidi="he-IL"/>
        </w:rPr>
        <w:t>ושם</w:t>
      </w:r>
      <w:r w:rsidRPr="00400C0B">
        <w:rPr>
          <w:rFonts w:cs="Guttman Rashi"/>
          <w:rtl/>
          <w:lang w:bidi="he-IL"/>
        </w:rPr>
        <w:t xml:space="preserve"> </w:t>
      </w:r>
      <w:r w:rsidRPr="00400C0B">
        <w:rPr>
          <w:rFonts w:cs="Guttman Rashi" w:hint="eastAsia"/>
          <w:rtl/>
          <w:lang w:bidi="he-IL"/>
        </w:rPr>
        <w:t>בתפאל</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הוכיח</w:t>
      </w:r>
      <w:r w:rsidRPr="00400C0B">
        <w:rPr>
          <w:rFonts w:cs="Guttman Rashi"/>
          <w:rtl/>
          <w:lang w:bidi="he-IL"/>
        </w:rPr>
        <w:t xml:space="preserve"> </w:t>
      </w:r>
      <w:r w:rsidRPr="00400C0B">
        <w:rPr>
          <w:rFonts w:cs="Guttman Rashi" w:hint="eastAsia"/>
          <w:rtl/>
          <w:lang w:bidi="he-IL"/>
        </w:rPr>
        <w:t>כדבריו</w:t>
      </w:r>
      <w:r w:rsidRPr="00400C0B">
        <w:rPr>
          <w:rFonts w:cs="Guttman Rashi"/>
          <w:rtl/>
          <w:lang w:bidi="he-IL"/>
        </w:rPr>
        <w:t xml:space="preserve"> </w:t>
      </w:r>
      <w:r w:rsidRPr="00400C0B">
        <w:rPr>
          <w:rFonts w:cs="Guttman Rashi" w:hint="eastAsia"/>
          <w:rtl/>
          <w:lang w:bidi="he-IL"/>
        </w:rPr>
        <w:t>ממה</w:t>
      </w:r>
      <w:r w:rsidRPr="00400C0B">
        <w:rPr>
          <w:rFonts w:cs="Guttman Rashi"/>
          <w:rtl/>
          <w:lang w:bidi="he-IL"/>
        </w:rPr>
        <w:t xml:space="preserve"> </w:t>
      </w:r>
      <w:r w:rsidRPr="00400C0B">
        <w:rPr>
          <w:rFonts w:cs="Guttman Rashi" w:hint="eastAsia"/>
          <w:rtl/>
          <w:lang w:bidi="he-IL"/>
        </w:rPr>
        <w:t>שהרא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שמותר</w:t>
      </w:r>
      <w:r w:rsidRPr="00400C0B">
        <w:rPr>
          <w:rFonts w:cs="Guttman Rashi"/>
          <w:rtl/>
          <w:lang w:bidi="he-IL"/>
        </w:rPr>
        <w:t xml:space="preserve"> </w:t>
      </w:r>
      <w:r w:rsidRPr="00400C0B">
        <w:rPr>
          <w:rFonts w:cs="Guttman Rashi" w:hint="eastAsia"/>
          <w:rtl/>
          <w:lang w:bidi="he-IL"/>
        </w:rPr>
        <w:t>להשתמש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צונן</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לשיטתו</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הדר</w:t>
      </w:r>
      <w:r w:rsidRPr="00400C0B">
        <w:rPr>
          <w:rFonts w:cs="Guttman Rashi"/>
          <w:rtl/>
          <w:lang w:bidi="he-IL"/>
        </w:rPr>
        <w:t xml:space="preserve"> </w:t>
      </w:r>
      <w:r w:rsidRPr="00400C0B">
        <w:rPr>
          <w:rFonts w:cs="Guttman Rashi" w:hint="eastAsia"/>
          <w:rtl/>
          <w:lang w:bidi="he-IL"/>
        </w:rPr>
        <w:t>מעכב</w:t>
      </w:r>
      <w:r w:rsidRPr="00400C0B">
        <w:rPr>
          <w:rFonts w:cs="Guttman Rashi"/>
          <w:rtl/>
          <w:lang w:bidi="he-IL"/>
        </w:rPr>
        <w:t xml:space="preserve">, </w:t>
      </w:r>
      <w:r w:rsidRPr="00400C0B">
        <w:rPr>
          <w:rFonts w:cs="Guttman Rashi" w:hint="eastAsia"/>
          <w:rtl/>
          <w:lang w:bidi="he-IL"/>
        </w:rPr>
        <w:t>ומשמע</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הסדר</w:t>
      </w:r>
      <w:r w:rsidRPr="00400C0B">
        <w:rPr>
          <w:rFonts w:cs="Guttman Rashi"/>
          <w:rtl/>
          <w:lang w:bidi="he-IL"/>
        </w:rPr>
        <w:t xml:space="preserve"> </w:t>
      </w:r>
      <w:r w:rsidRPr="00400C0B">
        <w:rPr>
          <w:rFonts w:cs="Guttman Rashi" w:hint="eastAsia"/>
          <w:rtl/>
          <w:lang w:bidi="he-IL"/>
        </w:rPr>
        <w:t>מעכב</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ולדברינו</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הדברים</w:t>
      </w:r>
      <w:r w:rsidRPr="00400C0B">
        <w:rPr>
          <w:rFonts w:cs="Guttman Rashi"/>
          <w:rtl/>
          <w:lang w:bidi="he-IL"/>
        </w:rPr>
        <w:t xml:space="preserve"> </w:t>
      </w:r>
      <w:r w:rsidRPr="00400C0B">
        <w:rPr>
          <w:rFonts w:cs="Guttman Rashi" w:hint="eastAsia"/>
          <w:rtl/>
          <w:lang w:bidi="he-IL"/>
        </w:rPr>
        <w:t>מוכרחים</w:t>
      </w:r>
      <w:r w:rsidRPr="00400C0B">
        <w:rPr>
          <w:rFonts w:cs="Guttman Rashi"/>
          <w:rtl/>
          <w:lang w:bidi="he-IL"/>
        </w:rPr>
        <w:t xml:space="preserve"> </w:t>
      </w:r>
      <w:r w:rsidRPr="00400C0B">
        <w:rPr>
          <w:rFonts w:cs="Guttman Rashi" w:hint="eastAsia"/>
          <w:rtl/>
          <w:lang w:bidi="he-IL"/>
        </w:rPr>
        <w:t>להיפך</w:t>
      </w:r>
      <w:r w:rsidRPr="00400C0B">
        <w:rPr>
          <w:rFonts w:cs="Guttman Rashi"/>
          <w:rtl/>
          <w:lang w:bidi="he-IL"/>
        </w:rPr>
        <w:t>.</w:t>
      </w:r>
    </w:p>
  </w:footnote>
  <w:footnote w:id="458">
    <w:p w:rsidR="007978F4" w:rsidRPr="00400C0B" w:rsidRDefault="007978F4" w:rsidP="00DE4CB7">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כאלו</w:t>
      </w:r>
      <w:r w:rsidRPr="00400C0B">
        <w:rPr>
          <w:rFonts w:cs="Guttman Rashi"/>
          <w:rtl/>
          <w:lang w:bidi="he-IL"/>
        </w:rPr>
        <w:t xml:space="preserve"> </w:t>
      </w:r>
      <w:r w:rsidRPr="00400C0B">
        <w:rPr>
          <w:rFonts w:cs="Guttman Rashi" w:hint="eastAsia"/>
          <w:rtl/>
          <w:lang w:bidi="he-IL"/>
        </w:rPr>
        <w:t>שרוצים</w:t>
      </w:r>
      <w:r w:rsidRPr="00400C0B">
        <w:rPr>
          <w:rFonts w:cs="Guttman Rashi"/>
          <w:rtl/>
          <w:lang w:bidi="he-IL"/>
        </w:rPr>
        <w:t xml:space="preserve"> </w:t>
      </w:r>
      <w:r w:rsidRPr="00400C0B">
        <w:rPr>
          <w:rFonts w:cs="Guttman Rashi" w:hint="eastAsia"/>
          <w:rtl/>
          <w:lang w:bidi="he-IL"/>
        </w:rPr>
        <w:t>לשלוח</w:t>
      </w:r>
      <w:r w:rsidRPr="00400C0B">
        <w:rPr>
          <w:rFonts w:cs="Guttman Rashi"/>
          <w:rtl/>
          <w:lang w:bidi="he-IL"/>
        </w:rPr>
        <w:t xml:space="preserve"> </w:t>
      </w:r>
      <w:r w:rsidRPr="00400C0B">
        <w:rPr>
          <w:rFonts w:cs="Guttman Rashi" w:hint="eastAsia"/>
          <w:rtl/>
          <w:lang w:bidi="he-IL"/>
        </w:rPr>
        <w:t>מ</w:t>
      </w:r>
      <w:r>
        <w:rPr>
          <w:rFonts w:cs="Guttman Rashi" w:hint="cs"/>
          <w:rtl/>
          <w:lang w:bidi="he-IL"/>
        </w:rPr>
        <w:t>אכל</w:t>
      </w:r>
      <w:r w:rsidRPr="00400C0B">
        <w:rPr>
          <w:rFonts w:cs="Guttman Rashi"/>
          <w:rtl/>
          <w:lang w:bidi="he-IL"/>
        </w:rPr>
        <w:t xml:space="preserve"> </w:t>
      </w:r>
      <w:r w:rsidRPr="00400C0B">
        <w:rPr>
          <w:rFonts w:cs="Guttman Rashi" w:hint="eastAsia"/>
          <w:rtl/>
          <w:lang w:bidi="he-IL"/>
        </w:rPr>
        <w:t>בתוך</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טבול</w:t>
      </w:r>
      <w:r w:rsidRPr="00400C0B">
        <w:rPr>
          <w:rFonts w:cs="Guttman Rashi"/>
          <w:rtl/>
          <w:lang w:bidi="he-IL"/>
        </w:rPr>
        <w:t xml:space="preserve"> (</w:t>
      </w:r>
      <w:r w:rsidRPr="00400C0B">
        <w:rPr>
          <w:rFonts w:cs="Guttman Rashi" w:hint="eastAsia"/>
          <w:rtl/>
          <w:lang w:bidi="he-IL"/>
        </w:rPr>
        <w:t>כגון</w:t>
      </w:r>
      <w:r w:rsidRPr="00400C0B">
        <w:rPr>
          <w:rFonts w:cs="Guttman Rashi"/>
          <w:rtl/>
          <w:lang w:bidi="he-IL"/>
        </w:rPr>
        <w:t xml:space="preserve"> </w:t>
      </w:r>
      <w:r w:rsidRPr="00400C0B">
        <w:rPr>
          <w:rFonts w:cs="Guttman Rashi" w:hint="eastAsia"/>
          <w:rtl/>
          <w:lang w:bidi="he-IL"/>
        </w:rPr>
        <w:t>למשלוח</w:t>
      </w:r>
      <w:r w:rsidRPr="00400C0B">
        <w:rPr>
          <w:rFonts w:cs="Guttman Rashi"/>
          <w:rtl/>
          <w:lang w:bidi="he-IL"/>
        </w:rPr>
        <w:t xml:space="preserve"> </w:t>
      </w:r>
      <w:r w:rsidRPr="00400C0B">
        <w:rPr>
          <w:rFonts w:cs="Guttman Rashi" w:hint="eastAsia"/>
          <w:rtl/>
          <w:lang w:bidi="he-IL"/>
        </w:rPr>
        <w:t>מנות</w:t>
      </w:r>
      <w:r w:rsidRPr="00400C0B">
        <w:rPr>
          <w:rFonts w:cs="Guttman Rashi"/>
          <w:rtl/>
          <w:lang w:bidi="he-IL"/>
        </w:rPr>
        <w:t xml:space="preserve">) </w:t>
      </w:r>
      <w:r w:rsidRPr="00400C0B">
        <w:rPr>
          <w:rFonts w:cs="Guttman Rashi" w:hint="eastAsia"/>
          <w:rtl/>
          <w:lang w:bidi="he-IL"/>
        </w:rPr>
        <w:t>וחושבים</w:t>
      </w:r>
      <w:r w:rsidRPr="00400C0B">
        <w:rPr>
          <w:rFonts w:cs="Guttman Rashi"/>
          <w:rtl/>
          <w:lang w:bidi="he-IL"/>
        </w:rPr>
        <w:t xml:space="preserve"> </w:t>
      </w:r>
      <w:r w:rsidRPr="00400C0B">
        <w:rPr>
          <w:rFonts w:cs="Guttman Rashi" w:hint="eastAsia"/>
          <w:rtl/>
          <w:lang w:bidi="he-IL"/>
        </w:rPr>
        <w:t>שע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שישים</w:t>
      </w:r>
      <w:r w:rsidRPr="00400C0B">
        <w:rPr>
          <w:rFonts w:cs="Guttman Rashi"/>
          <w:rtl/>
          <w:lang w:bidi="he-IL"/>
        </w:rPr>
        <w:t xml:space="preserve"> </w:t>
      </w:r>
      <w:r w:rsidRPr="00400C0B">
        <w:rPr>
          <w:rFonts w:cs="Guttman Rashi" w:hint="eastAsia"/>
          <w:rtl/>
          <w:lang w:bidi="he-IL"/>
        </w:rPr>
        <w:t>נייר</w:t>
      </w:r>
      <w:r w:rsidRPr="00400C0B">
        <w:rPr>
          <w:rFonts w:cs="Guttman Rashi"/>
          <w:rtl/>
          <w:lang w:bidi="he-IL"/>
        </w:rPr>
        <w:t xml:space="preserve"> </w:t>
      </w:r>
      <w:r w:rsidRPr="00400C0B">
        <w:rPr>
          <w:rFonts w:cs="Guttman Rashi" w:hint="eastAsia"/>
          <w:rtl/>
          <w:lang w:bidi="he-IL"/>
        </w:rPr>
        <w:t>תחת</w:t>
      </w:r>
      <w:r w:rsidRPr="00400C0B">
        <w:rPr>
          <w:rFonts w:cs="Guttman Rashi"/>
          <w:rtl/>
          <w:lang w:bidi="he-IL"/>
        </w:rPr>
        <w:t xml:space="preserve"> </w:t>
      </w:r>
      <w:r w:rsidRPr="00400C0B">
        <w:rPr>
          <w:rFonts w:cs="Guttman Rashi" w:hint="eastAsia"/>
          <w:rtl/>
          <w:lang w:bidi="he-IL"/>
        </w:rPr>
        <w:t>האוכל</w:t>
      </w:r>
      <w:r w:rsidRPr="00400C0B">
        <w:rPr>
          <w:rFonts w:cs="Guttman Rashi"/>
          <w:rtl/>
          <w:lang w:bidi="he-IL"/>
        </w:rPr>
        <w:t xml:space="preserve"> </w:t>
      </w:r>
      <w:r w:rsidRPr="00400C0B">
        <w:rPr>
          <w:rFonts w:cs="Guttman Rashi" w:hint="eastAsia"/>
          <w:rtl/>
          <w:lang w:bidi="he-IL"/>
        </w:rPr>
        <w:t>ואינו</w:t>
      </w:r>
      <w:r w:rsidRPr="00400C0B">
        <w:rPr>
          <w:rFonts w:cs="Guttman Rashi"/>
          <w:rtl/>
          <w:lang w:bidi="he-IL"/>
        </w:rPr>
        <w:t xml:space="preserve"> </w:t>
      </w:r>
      <w:r w:rsidRPr="00400C0B">
        <w:rPr>
          <w:rFonts w:cs="Guttman Rashi" w:hint="eastAsia"/>
          <w:rtl/>
          <w:lang w:bidi="he-IL"/>
        </w:rPr>
        <w:t>נוגע</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יצא</w:t>
      </w:r>
      <w:r w:rsidRPr="00400C0B">
        <w:rPr>
          <w:rFonts w:cs="Guttman Rashi"/>
          <w:rtl/>
          <w:lang w:bidi="he-IL"/>
        </w:rPr>
        <w:t xml:space="preserve"> </w:t>
      </w:r>
      <w:r w:rsidRPr="00400C0B">
        <w:rPr>
          <w:rFonts w:cs="Guttman Rashi" w:hint="eastAsia"/>
          <w:rtl/>
          <w:lang w:bidi="he-IL"/>
        </w:rPr>
        <w:t>ידי</w:t>
      </w:r>
      <w:r w:rsidRPr="00400C0B">
        <w:rPr>
          <w:rFonts w:cs="Guttman Rashi"/>
          <w:rtl/>
          <w:lang w:bidi="he-IL"/>
        </w:rPr>
        <w:t xml:space="preserve"> </w:t>
      </w:r>
      <w:r w:rsidRPr="00400C0B">
        <w:rPr>
          <w:rFonts w:cs="Guttman Rashi" w:hint="eastAsia"/>
          <w:rtl/>
          <w:lang w:bidi="he-IL"/>
        </w:rPr>
        <w:t>חובתם</w:t>
      </w:r>
      <w:r w:rsidRPr="00400C0B">
        <w:rPr>
          <w:rFonts w:cs="Guttman Rashi"/>
          <w:rtl/>
          <w:lang w:bidi="he-IL"/>
        </w:rPr>
        <w:t xml:space="preserve">. </w:t>
      </w:r>
      <w:r w:rsidRPr="00400C0B">
        <w:rPr>
          <w:rFonts w:cs="Guttman Rashi" w:hint="eastAsia"/>
          <w:rtl/>
          <w:lang w:bidi="he-IL"/>
        </w:rPr>
        <w:t>ולדברי</w:t>
      </w:r>
      <w:r w:rsidRPr="00400C0B">
        <w:rPr>
          <w:rFonts w:cs="Guttman Rashi"/>
          <w:rtl/>
          <w:lang w:bidi="he-IL"/>
        </w:rPr>
        <w:t xml:space="preserve"> </w:t>
      </w:r>
      <w:r w:rsidRPr="00400C0B">
        <w:rPr>
          <w:rFonts w:cs="Guttman Rashi" w:hint="eastAsia"/>
          <w:rtl/>
          <w:lang w:bidi="he-IL"/>
        </w:rPr>
        <w:t>הגרשז</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אחרת</w:t>
      </w:r>
      <w:r w:rsidRPr="00400C0B">
        <w:rPr>
          <w:rFonts w:cs="Guttman Rashi"/>
          <w:rtl/>
          <w:lang w:bidi="he-IL"/>
        </w:rPr>
        <w:t>.</w:t>
      </w:r>
    </w:p>
  </w:footnote>
  <w:footnote w:id="459">
    <w:p w:rsidR="007978F4" w:rsidRPr="00400C0B" w:rsidRDefault="007978F4" w:rsidP="00DE4CB7">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מצאתי</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עמק</w:t>
      </w:r>
      <w:r w:rsidRPr="00400C0B">
        <w:rPr>
          <w:rFonts w:cs="Guttman Rashi"/>
          <w:rtl/>
          <w:lang w:bidi="he-IL"/>
        </w:rPr>
        <w:t xml:space="preserve"> </w:t>
      </w:r>
      <w:r w:rsidRPr="00400C0B">
        <w:rPr>
          <w:rFonts w:cs="Guttman Rashi" w:hint="eastAsia"/>
          <w:rtl/>
          <w:lang w:bidi="he-IL"/>
        </w:rPr>
        <w:t>התשובה</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 xml:space="preserve">' </w:t>
      </w:r>
      <w:r w:rsidRPr="00400C0B">
        <w:rPr>
          <w:rFonts w:cs="Guttman Rashi" w:hint="eastAsia"/>
          <w:rtl/>
          <w:lang w:bidi="he-IL"/>
        </w:rPr>
        <w:t>שפטר</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הרשתות</w:t>
      </w:r>
      <w:r w:rsidRPr="00400C0B">
        <w:rPr>
          <w:rFonts w:cs="Guttman Rashi"/>
          <w:rtl/>
          <w:lang w:bidi="he-IL"/>
        </w:rPr>
        <w:t xml:space="preserve"> </w:t>
      </w:r>
      <w:r w:rsidRPr="00400C0B">
        <w:rPr>
          <w:rFonts w:cs="Guttman Rashi" w:hint="eastAsia"/>
          <w:rtl/>
          <w:lang w:bidi="he-IL"/>
        </w:rPr>
        <w:t>לגמרי</w:t>
      </w:r>
      <w:r w:rsidRPr="00400C0B">
        <w:rPr>
          <w:rFonts w:cs="Guttman Rashi"/>
          <w:rtl/>
          <w:lang w:bidi="he-IL"/>
        </w:rPr>
        <w:t xml:space="preserve"> </w:t>
      </w:r>
      <w:r w:rsidRPr="00400C0B">
        <w:rPr>
          <w:rFonts w:cs="Guttman Rashi" w:hint="eastAsia"/>
          <w:rtl/>
          <w:lang w:bidi="he-IL"/>
        </w:rPr>
        <w:t>מטבילה</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שרוב</w:t>
      </w:r>
      <w:r w:rsidRPr="00400C0B">
        <w:rPr>
          <w:rFonts w:cs="Guttman Rashi"/>
          <w:rtl/>
          <w:lang w:bidi="he-IL"/>
        </w:rPr>
        <w:t xml:space="preserve"> </w:t>
      </w:r>
      <w:r w:rsidRPr="00400C0B">
        <w:rPr>
          <w:rFonts w:cs="Guttman Rashi" w:hint="eastAsia"/>
          <w:rtl/>
          <w:lang w:bidi="he-IL"/>
        </w:rPr>
        <w:t>תשמישתו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שמניח</w:t>
      </w:r>
      <w:r w:rsidRPr="00400C0B">
        <w:rPr>
          <w:rFonts w:cs="Guttman Rashi"/>
          <w:rtl/>
          <w:lang w:bidi="he-IL"/>
        </w:rPr>
        <w:t xml:space="preserve"> </w:t>
      </w:r>
      <w:r w:rsidRPr="00400C0B">
        <w:rPr>
          <w:rFonts w:cs="Guttman Rashi" w:hint="eastAsia"/>
          <w:rtl/>
          <w:lang w:bidi="he-IL"/>
        </w:rPr>
        <w:t>סיר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הרשת</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כחצובה</w:t>
      </w:r>
      <w:r w:rsidRPr="00400C0B">
        <w:rPr>
          <w:rFonts w:cs="Guttman Rashi"/>
          <w:rtl/>
          <w:lang w:bidi="he-IL"/>
        </w:rPr>
        <w:t xml:space="preserve"> </w:t>
      </w:r>
      <w:r w:rsidRPr="00400C0B">
        <w:rPr>
          <w:rFonts w:cs="Guttman Rashi" w:hint="eastAsia"/>
          <w:rtl/>
          <w:lang w:bidi="he-IL"/>
        </w:rPr>
        <w:t>הפטור</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הטבילה</w:t>
      </w:r>
      <w:r w:rsidRPr="00400C0B">
        <w:rPr>
          <w:rFonts w:cs="Guttman Rashi"/>
          <w:rtl/>
          <w:lang w:bidi="he-IL"/>
        </w:rPr>
        <w:t xml:space="preserve">. </w:t>
      </w:r>
      <w:r w:rsidRPr="00400C0B">
        <w:rPr>
          <w:rFonts w:cs="Guttman Rashi" w:hint="eastAsia"/>
          <w:rtl/>
          <w:lang w:bidi="he-IL"/>
        </w:rPr>
        <w:t>והנה</w:t>
      </w:r>
      <w:r w:rsidRPr="00400C0B">
        <w:rPr>
          <w:rFonts w:cs="Guttman Rashi"/>
          <w:rtl/>
          <w:lang w:bidi="he-IL"/>
        </w:rPr>
        <w:t xml:space="preserve"> </w:t>
      </w:r>
      <w:r w:rsidRPr="00400C0B">
        <w:rPr>
          <w:rFonts w:cs="Guttman Rashi" w:hint="eastAsia"/>
          <w:rtl/>
          <w:lang w:bidi="he-IL"/>
        </w:rPr>
        <w:t>לפטור</w:t>
      </w:r>
      <w:r w:rsidRPr="00400C0B">
        <w:rPr>
          <w:rFonts w:cs="Guttman Rashi"/>
          <w:rtl/>
          <w:lang w:bidi="he-IL"/>
        </w:rPr>
        <w:t xml:space="preserve"> </w:t>
      </w:r>
      <w:r w:rsidRPr="00400C0B">
        <w:rPr>
          <w:rFonts w:cs="Guttman Rashi" w:hint="eastAsia"/>
          <w:rtl/>
          <w:lang w:bidi="he-IL"/>
        </w:rPr>
        <w:t>אותם</w:t>
      </w:r>
      <w:r w:rsidRPr="00400C0B">
        <w:rPr>
          <w:rFonts w:cs="Guttman Rashi"/>
          <w:rtl/>
          <w:lang w:bidi="he-IL"/>
        </w:rPr>
        <w:t xml:space="preserve"> </w:t>
      </w:r>
      <w:r w:rsidRPr="00400C0B">
        <w:rPr>
          <w:rFonts w:cs="Guttman Rashi" w:hint="eastAsia"/>
          <w:rtl/>
          <w:lang w:bidi="he-IL"/>
        </w:rPr>
        <w:t>לגמרי</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שלפעמים</w:t>
      </w:r>
      <w:r w:rsidRPr="00400C0B">
        <w:rPr>
          <w:rFonts w:cs="Guttman Rashi"/>
          <w:rtl/>
          <w:lang w:bidi="he-IL"/>
        </w:rPr>
        <w:t xml:space="preserve"> </w:t>
      </w:r>
      <w:r w:rsidRPr="00400C0B">
        <w:rPr>
          <w:rFonts w:cs="Guttman Rashi" w:hint="eastAsia"/>
          <w:rtl/>
          <w:lang w:bidi="he-IL"/>
        </w:rPr>
        <w:t>מניח</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לחמני</w:t>
      </w:r>
      <w:r w:rsidRPr="00400C0B">
        <w:rPr>
          <w:rFonts w:cs="Guttman Rashi"/>
          <w:rtl/>
          <w:lang w:bidi="he-IL"/>
        </w:rPr>
        <w:t xml:space="preserve">' </w:t>
      </w:r>
      <w:r w:rsidRPr="00400C0B">
        <w:rPr>
          <w:rFonts w:cs="Guttman Rashi" w:hint="eastAsia"/>
          <w:rtl/>
          <w:lang w:bidi="he-IL"/>
        </w:rPr>
        <w:t>וכדומה</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בלי</w:t>
      </w:r>
      <w:r w:rsidRPr="00400C0B">
        <w:rPr>
          <w:rFonts w:cs="Guttman Rashi"/>
          <w:rtl/>
          <w:lang w:bidi="he-IL"/>
        </w:rPr>
        <w:t xml:space="preserve"> </w:t>
      </w:r>
      <w:r w:rsidRPr="00400C0B">
        <w:rPr>
          <w:rFonts w:cs="Guttman Rashi" w:hint="eastAsia"/>
          <w:rtl/>
          <w:lang w:bidi="he-IL"/>
        </w:rPr>
        <w:t>הפסק</w:t>
      </w:r>
      <w:r w:rsidRPr="00400C0B">
        <w:rPr>
          <w:rFonts w:cs="Guttman Rashi"/>
          <w:rtl/>
          <w:lang w:bidi="he-IL"/>
        </w:rPr>
        <w:t xml:space="preserve"> </w:t>
      </w:r>
      <w:r w:rsidRPr="00400C0B">
        <w:rPr>
          <w:rFonts w:cs="Guttman Rashi" w:hint="eastAsia"/>
          <w:rtl/>
          <w:lang w:bidi="he-IL"/>
        </w:rPr>
        <w:t>נייר</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הרבה</w:t>
      </w:r>
      <w:r w:rsidRPr="00400C0B">
        <w:rPr>
          <w:rFonts w:cs="Guttman Rashi"/>
          <w:rtl/>
          <w:lang w:bidi="he-IL"/>
        </w:rPr>
        <w:t xml:space="preserve"> </w:t>
      </w:r>
      <w:r w:rsidRPr="00400C0B">
        <w:rPr>
          <w:rFonts w:cs="Guttman Rashi" w:hint="eastAsia"/>
          <w:rtl/>
          <w:lang w:bidi="he-IL"/>
        </w:rPr>
        <w:t>פעמים</w:t>
      </w:r>
      <w:r w:rsidRPr="00400C0B">
        <w:rPr>
          <w:rFonts w:cs="Guttman Rashi"/>
          <w:rtl/>
          <w:lang w:bidi="he-IL"/>
        </w:rPr>
        <w:t xml:space="preserve"> </w:t>
      </w:r>
      <w:r w:rsidRPr="00400C0B">
        <w:rPr>
          <w:rFonts w:cs="Guttman Rashi" w:hint="eastAsia"/>
          <w:rtl/>
          <w:lang w:bidi="he-IL"/>
        </w:rPr>
        <w:t>אופים</w:t>
      </w:r>
      <w:r w:rsidRPr="00400C0B">
        <w:rPr>
          <w:rFonts w:cs="Guttman Rashi"/>
          <w:rtl/>
          <w:lang w:bidi="he-IL"/>
        </w:rPr>
        <w:t xml:space="preserve"> </w:t>
      </w:r>
      <w:r>
        <w:rPr>
          <w:rFonts w:cs="Guttman Rashi" w:hint="cs"/>
          <w:rtl/>
          <w:lang w:bidi="he-IL"/>
        </w:rPr>
        <w:t>בהפסק נייר ולא בכי</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מחייב</w:t>
      </w:r>
      <w:r w:rsidRPr="00400C0B">
        <w:rPr>
          <w:rFonts w:cs="Guttman Rashi"/>
          <w:rtl/>
          <w:lang w:bidi="he-IL"/>
        </w:rPr>
        <w:t xml:space="preserve"> </w:t>
      </w:r>
      <w:r w:rsidRPr="00400C0B">
        <w:rPr>
          <w:rFonts w:cs="Guttman Rashi" w:hint="eastAsia"/>
          <w:rtl/>
          <w:lang w:bidi="he-IL"/>
        </w:rPr>
        <w:t>הגרשז</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Pr>
          <w:rFonts w:cs="Guttman Rashi" w:hint="cs"/>
          <w:rtl/>
          <w:lang w:bidi="he-IL"/>
        </w:rPr>
        <w:t xml:space="preserve">וכנ"ל. ולכן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דאו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שמחייב</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סכין</w:t>
      </w:r>
      <w:r w:rsidRPr="00400C0B">
        <w:rPr>
          <w:rFonts w:cs="Guttman Rashi"/>
          <w:rtl/>
          <w:lang w:bidi="he-IL"/>
        </w:rPr>
        <w:t xml:space="preserve"> </w:t>
      </w:r>
      <w:r w:rsidRPr="00400C0B">
        <w:rPr>
          <w:rFonts w:cs="Guttman Rashi" w:hint="eastAsia"/>
          <w:rtl/>
          <w:lang w:bidi="he-IL"/>
        </w:rPr>
        <w:t>לחתוך</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קלפים</w:t>
      </w:r>
      <w:r w:rsidRPr="00400C0B">
        <w:rPr>
          <w:rFonts w:cs="Guttman Rashi"/>
          <w:rtl/>
          <w:lang w:bidi="he-IL"/>
        </w:rPr>
        <w:t xml:space="preserve"> </w:t>
      </w:r>
      <w:r w:rsidRPr="00400C0B">
        <w:rPr>
          <w:rFonts w:cs="Guttman Rashi" w:hint="eastAsia"/>
          <w:rtl/>
          <w:lang w:bidi="he-IL"/>
        </w:rPr>
        <w:t>בטבילת</w:t>
      </w:r>
      <w:r w:rsidRPr="00400C0B">
        <w:rPr>
          <w:rFonts w:cs="Guttman Rashi"/>
          <w:rtl/>
          <w:lang w:bidi="he-IL"/>
        </w:rPr>
        <w:t xml:space="preserve"> </w:t>
      </w:r>
      <w:r w:rsidRPr="00400C0B">
        <w:rPr>
          <w:rFonts w:cs="Guttman Rashi" w:hint="eastAsia"/>
          <w:rtl/>
          <w:lang w:bidi="he-IL"/>
        </w:rPr>
        <w:t>כלים</w:t>
      </w:r>
      <w:r>
        <w:rPr>
          <w:rFonts w:cs="Guttman Rashi" w:hint="cs"/>
          <w:rtl/>
          <w:lang w:bidi="he-IL"/>
        </w:rPr>
        <w:t xml:space="preserve"> יש להטבילן</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ברכה</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לחשוש</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שלחולקים</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הולכים</w:t>
      </w:r>
      <w:r w:rsidRPr="00400C0B">
        <w:rPr>
          <w:rFonts w:cs="Guttman Rashi"/>
          <w:rtl/>
          <w:lang w:bidi="he-IL"/>
        </w:rPr>
        <w:t xml:space="preserve"> </w:t>
      </w:r>
      <w:r w:rsidRPr="00400C0B">
        <w:rPr>
          <w:rFonts w:cs="Guttman Rashi" w:hint="eastAsia"/>
          <w:rtl/>
          <w:lang w:bidi="he-IL"/>
        </w:rPr>
        <w:t>בתר</w:t>
      </w:r>
      <w:r w:rsidRPr="00400C0B">
        <w:rPr>
          <w:rFonts w:cs="Guttman Rashi"/>
          <w:rtl/>
          <w:lang w:bidi="he-IL"/>
        </w:rPr>
        <w:t xml:space="preserve"> </w:t>
      </w:r>
      <w:r w:rsidRPr="00400C0B">
        <w:rPr>
          <w:rFonts w:cs="Guttman Rashi" w:hint="eastAsia"/>
          <w:rtl/>
          <w:lang w:bidi="he-IL"/>
        </w:rPr>
        <w:t>רוב</w:t>
      </w:r>
      <w:r w:rsidRPr="00400C0B">
        <w:rPr>
          <w:rFonts w:cs="Guttman Rashi"/>
          <w:rtl/>
          <w:lang w:bidi="he-IL"/>
        </w:rPr>
        <w:t xml:space="preserve"> </w:t>
      </w:r>
      <w:r w:rsidRPr="00400C0B">
        <w:rPr>
          <w:rFonts w:cs="Guttman Rashi" w:hint="eastAsia"/>
          <w:rtl/>
          <w:lang w:bidi="he-IL"/>
        </w:rPr>
        <w:t>תשמישתו</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רוב</w:t>
      </w:r>
      <w:r w:rsidRPr="00400C0B">
        <w:rPr>
          <w:rFonts w:cs="Guttman Rashi"/>
          <w:rtl/>
          <w:lang w:bidi="he-IL"/>
        </w:rPr>
        <w:t xml:space="preserve"> </w:t>
      </w:r>
      <w:r w:rsidRPr="00400C0B">
        <w:rPr>
          <w:rFonts w:cs="Guttman Rashi" w:hint="eastAsia"/>
          <w:rtl/>
          <w:lang w:bidi="he-IL"/>
        </w:rPr>
        <w:t>תשמישתו</w:t>
      </w:r>
      <w:r w:rsidRPr="00400C0B">
        <w:rPr>
          <w:rFonts w:cs="Guttman Rashi"/>
          <w:rtl/>
          <w:lang w:bidi="he-IL"/>
        </w:rPr>
        <w:t xml:space="preserve"> </w:t>
      </w:r>
      <w:r w:rsidRPr="00400C0B">
        <w:rPr>
          <w:rFonts w:cs="Guttman Rashi" w:hint="eastAsia"/>
          <w:rtl/>
          <w:lang w:bidi="he-IL"/>
        </w:rPr>
        <w:t>באוכל</w:t>
      </w:r>
      <w:r w:rsidRPr="00400C0B">
        <w:rPr>
          <w:rFonts w:cs="Guttman Rashi"/>
          <w:rtl/>
          <w:lang w:bidi="he-IL"/>
        </w:rPr>
        <w:t xml:space="preserve"> </w:t>
      </w:r>
      <w:r w:rsidRPr="00400C0B">
        <w:rPr>
          <w:rFonts w:cs="Guttman Rashi" w:hint="eastAsia"/>
          <w:rtl/>
          <w:lang w:bidi="he-IL"/>
        </w:rPr>
        <w:t>שבתוך</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וחשבתי</w:t>
      </w:r>
      <w:r w:rsidRPr="00400C0B">
        <w:rPr>
          <w:rFonts w:cs="Guttman Rashi"/>
          <w:rtl/>
          <w:lang w:bidi="he-IL"/>
        </w:rPr>
        <w:t xml:space="preserve"> </w:t>
      </w:r>
      <w:r w:rsidRPr="00400C0B">
        <w:rPr>
          <w:rFonts w:cs="Guttman Rashi" w:hint="eastAsia"/>
          <w:rtl/>
          <w:lang w:bidi="he-IL"/>
        </w:rPr>
        <w:t>אולי</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הדבר</w:t>
      </w:r>
      <w:r w:rsidRPr="00400C0B">
        <w:rPr>
          <w:rFonts w:cs="Guttman Rashi"/>
          <w:rtl/>
          <w:lang w:bidi="he-IL"/>
        </w:rPr>
        <w:t xml:space="preserve"> </w:t>
      </w:r>
      <w:r w:rsidRPr="00400C0B">
        <w:rPr>
          <w:rFonts w:cs="Guttman Rashi" w:hint="eastAsia"/>
          <w:rtl/>
          <w:lang w:bidi="he-IL"/>
        </w:rPr>
        <w:t>תלוי</w:t>
      </w:r>
      <w:r w:rsidRPr="00400C0B">
        <w:rPr>
          <w:rFonts w:cs="Guttman Rashi"/>
          <w:rtl/>
          <w:lang w:bidi="he-IL"/>
        </w:rPr>
        <w:t xml:space="preserve"> </w:t>
      </w:r>
      <w:r w:rsidRPr="00400C0B">
        <w:rPr>
          <w:rFonts w:cs="Guttman Rashi" w:hint="eastAsia"/>
          <w:rtl/>
          <w:lang w:bidi="he-IL"/>
        </w:rPr>
        <w:t>ברוב</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מיעוט</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בתשמיש</w:t>
      </w:r>
      <w:r w:rsidRPr="00400C0B">
        <w:rPr>
          <w:rFonts w:cs="Guttman Rashi"/>
          <w:rtl/>
          <w:lang w:bidi="he-IL"/>
        </w:rPr>
        <w:t xml:space="preserve"> </w:t>
      </w:r>
      <w:r w:rsidRPr="00400C0B">
        <w:rPr>
          <w:rFonts w:cs="Guttman Rashi" w:hint="eastAsia"/>
          <w:rtl/>
          <w:lang w:bidi="he-IL"/>
        </w:rPr>
        <w:t>קבוע</w:t>
      </w:r>
      <w:r w:rsidRPr="00400C0B">
        <w:rPr>
          <w:rFonts w:cs="Guttman Rashi"/>
          <w:rtl/>
          <w:lang w:bidi="he-IL"/>
        </w:rPr>
        <w:t xml:space="preserve">, </w:t>
      </w:r>
      <w:r w:rsidRPr="00400C0B">
        <w:rPr>
          <w:rFonts w:cs="Guttman Rashi" w:hint="eastAsia"/>
          <w:rtl/>
          <w:lang w:bidi="he-IL"/>
        </w:rPr>
        <w:t>ור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מתשמישתיו</w:t>
      </w:r>
      <w:r w:rsidRPr="00400C0B">
        <w:rPr>
          <w:rFonts w:cs="Guttman Rashi"/>
          <w:rtl/>
          <w:lang w:bidi="he-IL"/>
        </w:rPr>
        <w:t xml:space="preserve"> </w:t>
      </w:r>
      <w:r w:rsidRPr="00400C0B">
        <w:rPr>
          <w:rFonts w:cs="Guttman Rashi" w:hint="eastAsia"/>
          <w:rtl/>
          <w:lang w:bidi="he-IL"/>
        </w:rPr>
        <w:t>הקבועים</w:t>
      </w:r>
      <w:r w:rsidRPr="00400C0B">
        <w:rPr>
          <w:rFonts w:cs="Guttman Rashi"/>
          <w:rtl/>
          <w:lang w:bidi="he-IL"/>
        </w:rPr>
        <w:t xml:space="preserve"> </w:t>
      </w:r>
      <w:r w:rsidRPr="00400C0B">
        <w:rPr>
          <w:rFonts w:cs="Guttman Rashi" w:hint="eastAsia"/>
          <w:rtl/>
          <w:lang w:bidi="he-IL"/>
        </w:rPr>
        <w:t>הם</w:t>
      </w:r>
      <w:r w:rsidRPr="00400C0B">
        <w:rPr>
          <w:rFonts w:cs="Guttman Rashi"/>
          <w:rtl/>
          <w:lang w:bidi="he-IL"/>
        </w:rPr>
        <w:t xml:space="preserve"> </w:t>
      </w:r>
      <w:r w:rsidRPr="00400C0B">
        <w:rPr>
          <w:rFonts w:cs="Guttman Rashi" w:hint="eastAsia"/>
          <w:rtl/>
          <w:lang w:bidi="he-IL"/>
        </w:rPr>
        <w:t>באפי</w:t>
      </w:r>
      <w:r w:rsidRPr="00400C0B">
        <w:rPr>
          <w:rFonts w:cs="Guttman Rashi"/>
          <w:rtl/>
          <w:lang w:bidi="he-IL"/>
        </w:rPr>
        <w:t xml:space="preserve">' </w:t>
      </w:r>
      <w:r w:rsidRPr="00400C0B">
        <w:rPr>
          <w:rFonts w:cs="Guttman Rashi" w:hint="eastAsia"/>
          <w:rtl/>
          <w:lang w:bidi="he-IL"/>
        </w:rPr>
        <w:t>בלי</w:t>
      </w:r>
      <w:r w:rsidRPr="00400C0B">
        <w:rPr>
          <w:rFonts w:cs="Guttman Rashi"/>
          <w:rtl/>
          <w:lang w:bidi="he-IL"/>
        </w:rPr>
        <w:t xml:space="preserve"> </w:t>
      </w:r>
      <w:r w:rsidRPr="00400C0B">
        <w:rPr>
          <w:rFonts w:cs="Guttman Rashi" w:hint="eastAsia"/>
          <w:rtl/>
          <w:lang w:bidi="he-IL"/>
        </w:rPr>
        <w:t>הפסק</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שבמקרה</w:t>
      </w:r>
      <w:r w:rsidRPr="00400C0B">
        <w:rPr>
          <w:rFonts w:cs="Guttman Rashi"/>
          <w:rtl/>
          <w:lang w:bidi="he-IL"/>
        </w:rPr>
        <w:t xml:space="preserve"> </w:t>
      </w:r>
      <w:r w:rsidRPr="00400C0B">
        <w:rPr>
          <w:rFonts w:cs="Guttman Rashi" w:hint="eastAsia"/>
          <w:rtl/>
          <w:lang w:bidi="he-IL"/>
        </w:rPr>
        <w:t>רוב</w:t>
      </w:r>
      <w:r w:rsidRPr="00400C0B">
        <w:rPr>
          <w:rFonts w:cs="Guttman Rashi"/>
          <w:rtl/>
          <w:lang w:bidi="he-IL"/>
        </w:rPr>
        <w:t xml:space="preserve"> </w:t>
      </w:r>
      <w:r w:rsidRPr="00400C0B">
        <w:rPr>
          <w:rFonts w:cs="Guttman Rashi" w:hint="eastAsia"/>
          <w:rtl/>
          <w:lang w:bidi="he-IL"/>
        </w:rPr>
        <w:t>הבישולים</w:t>
      </w:r>
      <w:r w:rsidRPr="00400C0B">
        <w:rPr>
          <w:rFonts w:cs="Guttman Rashi"/>
          <w:rtl/>
          <w:lang w:bidi="he-IL"/>
        </w:rPr>
        <w:t xml:space="preserve"> </w:t>
      </w:r>
      <w:r w:rsidRPr="00400C0B">
        <w:rPr>
          <w:rFonts w:cs="Guttman Rashi" w:hint="eastAsia"/>
          <w:rtl/>
          <w:lang w:bidi="he-IL"/>
        </w:rPr>
        <w:t>שלו</w:t>
      </w:r>
      <w:r w:rsidRPr="00400C0B">
        <w:rPr>
          <w:rFonts w:cs="Guttman Rashi"/>
          <w:rtl/>
          <w:lang w:bidi="he-IL"/>
        </w:rPr>
        <w:t xml:space="preserve"> </w:t>
      </w:r>
      <w:r w:rsidRPr="00400C0B">
        <w:rPr>
          <w:rFonts w:cs="Guttman Rashi" w:hint="eastAsia"/>
          <w:rtl/>
          <w:lang w:bidi="he-IL"/>
        </w:rPr>
        <w:t>שבתוך</w:t>
      </w:r>
      <w:r w:rsidRPr="00400C0B">
        <w:rPr>
          <w:rFonts w:cs="Guttman Rashi"/>
          <w:rtl/>
          <w:lang w:bidi="he-IL"/>
        </w:rPr>
        <w:t xml:space="preserve"> </w:t>
      </w:r>
      <w:r w:rsidRPr="00400C0B">
        <w:rPr>
          <w:rFonts w:cs="Guttman Rashi" w:hint="eastAsia"/>
          <w:rtl/>
          <w:lang w:bidi="he-IL"/>
        </w:rPr>
        <w:t>התנור</w:t>
      </w:r>
      <w:r w:rsidRPr="00400C0B">
        <w:rPr>
          <w:rFonts w:cs="Guttman Rashi"/>
          <w:rtl/>
          <w:lang w:bidi="he-IL"/>
        </w:rPr>
        <w:t xml:space="preserve"> </w:t>
      </w:r>
      <w:r w:rsidRPr="00400C0B">
        <w:rPr>
          <w:rFonts w:cs="Guttman Rashi" w:hint="eastAsia"/>
          <w:rtl/>
          <w:lang w:bidi="he-IL"/>
        </w:rPr>
        <w:t>הם</w:t>
      </w:r>
      <w:r w:rsidRPr="00400C0B">
        <w:rPr>
          <w:rFonts w:cs="Guttman Rashi"/>
          <w:rtl/>
          <w:lang w:bidi="he-IL"/>
        </w:rPr>
        <w:t xml:space="preserve"> </w:t>
      </w:r>
      <w:r w:rsidRPr="00400C0B">
        <w:rPr>
          <w:rFonts w:cs="Guttman Rashi" w:hint="eastAsia"/>
          <w:rtl/>
          <w:lang w:bidi="he-IL"/>
        </w:rPr>
        <w:t>בתוך</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הרשתות</w:t>
      </w:r>
      <w:r w:rsidRPr="00400C0B">
        <w:rPr>
          <w:rFonts w:cs="Guttman Rashi"/>
          <w:rtl/>
          <w:lang w:bidi="he-IL"/>
        </w:rPr>
        <w:t xml:space="preserve"> </w:t>
      </w:r>
      <w:r w:rsidRPr="00400C0B">
        <w:rPr>
          <w:rFonts w:cs="Guttman Rashi" w:hint="eastAsia"/>
          <w:rtl/>
          <w:lang w:bidi="he-IL"/>
        </w:rPr>
        <w:t>חייבים</w:t>
      </w:r>
      <w:r w:rsidRPr="00400C0B">
        <w:rPr>
          <w:rFonts w:cs="Guttman Rashi"/>
          <w:rtl/>
          <w:lang w:bidi="he-IL"/>
        </w:rPr>
        <w:t xml:space="preserve"> </w:t>
      </w:r>
      <w:r>
        <w:rPr>
          <w:rFonts w:cs="Guttman Rashi" w:hint="eastAsia"/>
          <w:rtl/>
          <w:lang w:bidi="he-IL"/>
        </w:rPr>
        <w:t>בטב</w:t>
      </w:r>
      <w:r w:rsidRPr="00400C0B">
        <w:rPr>
          <w:rFonts w:cs="Guttman Rashi" w:hint="eastAsia"/>
          <w:rtl/>
          <w:lang w:bidi="he-IL"/>
        </w:rPr>
        <w:t>ילת</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בכגון</w:t>
      </w:r>
      <w:r w:rsidRPr="00400C0B">
        <w:rPr>
          <w:rFonts w:cs="Guttman Rashi"/>
          <w:rtl/>
          <w:lang w:bidi="he-IL"/>
        </w:rPr>
        <w:t xml:space="preserve"> </w:t>
      </w:r>
      <w:r w:rsidRPr="00400C0B">
        <w:rPr>
          <w:rFonts w:cs="Guttman Rashi" w:hint="eastAsia"/>
          <w:rtl/>
          <w:lang w:bidi="he-IL"/>
        </w:rPr>
        <w:t>סכין</w:t>
      </w:r>
      <w:r w:rsidRPr="00400C0B">
        <w:rPr>
          <w:rFonts w:cs="Guttman Rashi"/>
          <w:rtl/>
          <w:lang w:bidi="he-IL"/>
        </w:rPr>
        <w:t xml:space="preserve"> </w:t>
      </w:r>
      <w:r w:rsidRPr="00400C0B">
        <w:rPr>
          <w:rFonts w:cs="Guttman Rashi" w:hint="eastAsia"/>
          <w:rtl/>
          <w:lang w:bidi="he-IL"/>
        </w:rPr>
        <w:t>לחתוך</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קלפים</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תשמיש</w:t>
      </w:r>
      <w:r w:rsidRPr="00400C0B">
        <w:rPr>
          <w:rFonts w:cs="Guttman Rashi"/>
          <w:rtl/>
          <w:lang w:bidi="he-IL"/>
        </w:rPr>
        <w:t xml:space="preserve"> </w:t>
      </w:r>
      <w:r w:rsidRPr="00400C0B">
        <w:rPr>
          <w:rFonts w:cs="Guttman Rashi" w:hint="eastAsia"/>
          <w:rtl/>
          <w:lang w:bidi="he-IL"/>
        </w:rPr>
        <w:t>קבוע</w:t>
      </w:r>
      <w:r w:rsidRPr="00400C0B">
        <w:rPr>
          <w:rFonts w:cs="Guttman Rashi"/>
          <w:rtl/>
          <w:lang w:bidi="he-IL"/>
        </w:rPr>
        <w:t xml:space="preserve"> </w:t>
      </w:r>
      <w:r w:rsidRPr="00400C0B">
        <w:rPr>
          <w:rFonts w:cs="Guttman Rashi" w:hint="eastAsia"/>
          <w:rtl/>
          <w:lang w:bidi="he-IL"/>
        </w:rPr>
        <w:t>לאוכל</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יתכן</w:t>
      </w:r>
      <w:r w:rsidRPr="00400C0B">
        <w:rPr>
          <w:rFonts w:cs="Guttman Rashi"/>
          <w:rtl/>
          <w:lang w:bidi="he-IL"/>
        </w:rPr>
        <w:t xml:space="preserve"> </w:t>
      </w:r>
      <w:r w:rsidRPr="00400C0B">
        <w:rPr>
          <w:rFonts w:cs="Guttman Rashi" w:hint="eastAsia"/>
          <w:rtl/>
          <w:lang w:bidi="he-IL"/>
        </w:rPr>
        <w:t>שבאופן</w:t>
      </w:r>
      <w:r w:rsidRPr="00400C0B">
        <w:rPr>
          <w:rFonts w:cs="Guttman Rashi"/>
          <w:rtl/>
          <w:lang w:bidi="he-IL"/>
        </w:rPr>
        <w:t xml:space="preserve"> </w:t>
      </w:r>
      <w:r w:rsidRPr="00400C0B">
        <w:rPr>
          <w:rFonts w:cs="Guttman Rashi" w:hint="eastAsia"/>
          <w:rtl/>
          <w:lang w:bidi="he-IL"/>
        </w:rPr>
        <w:t>עראי</w:t>
      </w:r>
      <w:r w:rsidRPr="00400C0B">
        <w:rPr>
          <w:rFonts w:cs="Guttman Rashi"/>
          <w:rtl/>
          <w:lang w:bidi="he-IL"/>
        </w:rPr>
        <w:t xml:space="preserve"> </w:t>
      </w:r>
      <w:r w:rsidRPr="00400C0B">
        <w:rPr>
          <w:rFonts w:cs="Guttman Rashi" w:hint="eastAsia"/>
          <w:rtl/>
          <w:lang w:bidi="he-IL"/>
        </w:rPr>
        <w:t>יחתוך</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לחמו</w:t>
      </w:r>
      <w:r w:rsidRPr="00400C0B">
        <w:rPr>
          <w:rFonts w:cs="Guttman Rashi"/>
          <w:rtl/>
          <w:lang w:bidi="he-IL"/>
        </w:rPr>
        <w:t xml:space="preserve">, </w:t>
      </w:r>
      <w:r w:rsidRPr="00400C0B">
        <w:rPr>
          <w:rFonts w:cs="Guttman Rashi" w:hint="eastAsia"/>
          <w:rtl/>
          <w:lang w:bidi="he-IL"/>
        </w:rPr>
        <w:t>אמרינן</w:t>
      </w:r>
      <w:r w:rsidRPr="00400C0B">
        <w:rPr>
          <w:rFonts w:cs="Guttman Rashi"/>
          <w:rtl/>
          <w:lang w:bidi="he-IL"/>
        </w:rPr>
        <w:t xml:space="preserve"> </w:t>
      </w:r>
      <w:r w:rsidRPr="00400C0B">
        <w:rPr>
          <w:rFonts w:cs="Guttman Rashi" w:hint="eastAsia"/>
          <w:rtl/>
          <w:lang w:bidi="he-IL"/>
        </w:rPr>
        <w:t>דאזלינן</w:t>
      </w:r>
      <w:r w:rsidRPr="00400C0B">
        <w:rPr>
          <w:rFonts w:cs="Guttman Rashi"/>
          <w:rtl/>
          <w:lang w:bidi="he-IL"/>
        </w:rPr>
        <w:t xml:space="preserve"> </w:t>
      </w:r>
      <w:r w:rsidRPr="00400C0B">
        <w:rPr>
          <w:rFonts w:cs="Guttman Rashi" w:hint="eastAsia"/>
          <w:rtl/>
          <w:lang w:bidi="he-IL"/>
        </w:rPr>
        <w:t>בתר</w:t>
      </w:r>
      <w:r w:rsidRPr="00400C0B">
        <w:rPr>
          <w:rFonts w:cs="Guttman Rashi"/>
          <w:rtl/>
          <w:lang w:bidi="he-IL"/>
        </w:rPr>
        <w:t xml:space="preserve"> </w:t>
      </w:r>
      <w:r w:rsidRPr="00400C0B">
        <w:rPr>
          <w:rFonts w:cs="Guttman Rashi" w:hint="eastAsia"/>
          <w:rtl/>
          <w:lang w:bidi="he-IL"/>
        </w:rPr>
        <w:t>רוב</w:t>
      </w:r>
      <w:r w:rsidRPr="00400C0B">
        <w:rPr>
          <w:rFonts w:cs="Guttman Rashi"/>
          <w:rtl/>
          <w:lang w:bidi="he-IL"/>
        </w:rPr>
        <w:t xml:space="preserve"> </w:t>
      </w:r>
      <w:r w:rsidRPr="00400C0B">
        <w:rPr>
          <w:rFonts w:cs="Guttman Rashi" w:hint="eastAsia"/>
          <w:rtl/>
          <w:lang w:bidi="he-IL"/>
        </w:rPr>
        <w:t>תשמישתו</w:t>
      </w:r>
      <w:r w:rsidRPr="00400C0B">
        <w:rPr>
          <w:rFonts w:cs="Guttman Rashi"/>
          <w:rtl/>
          <w:lang w:bidi="he-IL"/>
        </w:rPr>
        <w:t xml:space="preserve"> </w:t>
      </w:r>
      <w:r w:rsidRPr="00400C0B">
        <w:rPr>
          <w:rFonts w:cs="Guttman Rashi" w:hint="eastAsia"/>
          <w:rtl/>
          <w:lang w:bidi="he-IL"/>
        </w:rPr>
        <w:t>למי</w:t>
      </w:r>
      <w:r w:rsidRPr="00400C0B">
        <w:rPr>
          <w:rFonts w:cs="Guttman Rashi"/>
          <w:rtl/>
          <w:lang w:bidi="he-IL"/>
        </w:rPr>
        <w:t xml:space="preserve"> </w:t>
      </w:r>
      <w:r w:rsidRPr="00400C0B">
        <w:rPr>
          <w:rFonts w:cs="Guttman Rashi" w:hint="eastAsia"/>
          <w:rtl/>
          <w:lang w:bidi="he-IL"/>
        </w:rPr>
        <w:t>שחולק</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האו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איכא</w:t>
      </w:r>
      <w:r w:rsidRPr="00400C0B">
        <w:rPr>
          <w:rFonts w:cs="Guttman Rashi"/>
          <w:rtl/>
          <w:lang w:bidi="he-IL"/>
        </w:rPr>
        <w:t xml:space="preserve"> </w:t>
      </w:r>
      <w:r w:rsidRPr="00400C0B">
        <w:rPr>
          <w:rFonts w:cs="Guttman Rashi" w:hint="eastAsia"/>
          <w:rtl/>
          <w:lang w:bidi="he-IL"/>
        </w:rPr>
        <w:t>למימר</w:t>
      </w:r>
      <w:r w:rsidRPr="00400C0B">
        <w:rPr>
          <w:rFonts w:cs="Guttman Rashi"/>
          <w:rtl/>
          <w:lang w:bidi="he-IL"/>
        </w:rPr>
        <w:t xml:space="preserve"> </w:t>
      </w:r>
      <w:r w:rsidRPr="00400C0B">
        <w:rPr>
          <w:rFonts w:cs="Guttman Rashi" w:hint="eastAsia"/>
          <w:rtl/>
          <w:lang w:bidi="he-IL"/>
        </w:rPr>
        <w:t>שלכו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יברך</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Pr>
          <w:rFonts w:cs="Guttman Rashi" w:hint="eastAsia"/>
          <w:rtl/>
          <w:lang w:bidi="he-IL"/>
        </w:rPr>
        <w:t>הטביל</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מצאתי</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טבילת</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פי</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הל</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שמחייב</w:t>
      </w:r>
      <w:r w:rsidRPr="00400C0B">
        <w:rPr>
          <w:rFonts w:cs="Guttman Rashi"/>
          <w:rtl/>
          <w:lang w:bidi="he-IL"/>
        </w:rPr>
        <w:t xml:space="preserve"> </w:t>
      </w:r>
      <w:r w:rsidRPr="00400C0B">
        <w:rPr>
          <w:rFonts w:cs="Guttman Rashi" w:hint="eastAsia"/>
          <w:rtl/>
          <w:lang w:bidi="he-IL"/>
        </w:rPr>
        <w:t>הרשתות</w:t>
      </w:r>
      <w:r w:rsidRPr="00400C0B">
        <w:rPr>
          <w:rFonts w:cs="Guttman Rashi"/>
          <w:rtl/>
          <w:lang w:bidi="he-IL"/>
        </w:rPr>
        <w:t xml:space="preserve"> </w:t>
      </w:r>
      <w:r w:rsidRPr="00400C0B">
        <w:rPr>
          <w:rFonts w:cs="Guttman Rashi" w:hint="eastAsia"/>
          <w:rtl/>
          <w:lang w:bidi="he-IL"/>
        </w:rPr>
        <w:t>בטבילה</w:t>
      </w:r>
      <w:r w:rsidRPr="00400C0B">
        <w:rPr>
          <w:rFonts w:cs="Guttman Rashi"/>
          <w:rtl/>
          <w:lang w:bidi="he-IL"/>
        </w:rPr>
        <w:t xml:space="preserve"> </w:t>
      </w:r>
      <w:r w:rsidRPr="00400C0B">
        <w:rPr>
          <w:rFonts w:cs="Guttman Rashi" w:hint="eastAsia"/>
          <w:rtl/>
          <w:lang w:bidi="he-IL"/>
        </w:rPr>
        <w:t>בברכה</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ביאר</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בכל</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שלענין</w:t>
      </w:r>
      <w:r w:rsidRPr="00400C0B">
        <w:rPr>
          <w:rFonts w:cs="Guttman Rashi"/>
          <w:rtl/>
          <w:lang w:bidi="he-IL"/>
        </w:rPr>
        <w:t xml:space="preserve"> </w:t>
      </w:r>
      <w:r w:rsidRPr="00400C0B">
        <w:rPr>
          <w:rFonts w:cs="Guttman Rashi" w:hint="eastAsia"/>
          <w:rtl/>
          <w:lang w:bidi="he-IL"/>
        </w:rPr>
        <w:t>מעשה</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ספק</w:t>
      </w:r>
      <w:r w:rsidRPr="00400C0B">
        <w:rPr>
          <w:rFonts w:cs="Guttman Rashi"/>
          <w:rtl/>
          <w:lang w:bidi="he-IL"/>
        </w:rPr>
        <w:t xml:space="preserve"> </w:t>
      </w:r>
      <w:r w:rsidRPr="00400C0B">
        <w:rPr>
          <w:rFonts w:cs="Guttman Rashi" w:hint="eastAsia"/>
          <w:rtl/>
          <w:lang w:bidi="he-IL"/>
        </w:rPr>
        <w:t>ברכות</w:t>
      </w:r>
      <w:r w:rsidRPr="00400C0B">
        <w:rPr>
          <w:rFonts w:cs="Guttman Rashi"/>
          <w:rtl/>
          <w:lang w:bidi="he-IL"/>
        </w:rPr>
        <w:t xml:space="preserve"> </w:t>
      </w:r>
      <w:r w:rsidRPr="00400C0B">
        <w:rPr>
          <w:rFonts w:cs="Guttman Rashi" w:hint="eastAsia"/>
          <w:rtl/>
          <w:lang w:bidi="he-IL"/>
        </w:rPr>
        <w:t>והקל</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p>
  </w:footnote>
  <w:footnote w:id="46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בביאור</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שפלוגתתם</w:t>
      </w:r>
      <w:r w:rsidRPr="00400C0B">
        <w:rPr>
          <w:rFonts w:cs="Guttman Rashi"/>
          <w:rtl/>
          <w:lang w:bidi="he-IL"/>
        </w:rPr>
        <w:t xml:space="preserve"> </w:t>
      </w:r>
      <w:r w:rsidRPr="00400C0B">
        <w:rPr>
          <w:rFonts w:cs="Guttman Rashi" w:hint="eastAsia"/>
          <w:rtl/>
          <w:lang w:bidi="he-IL"/>
        </w:rPr>
        <w:t>תלוי</w:t>
      </w:r>
      <w:r w:rsidRPr="00400C0B">
        <w:rPr>
          <w:rFonts w:cs="Guttman Rashi"/>
          <w:rtl/>
          <w:lang w:bidi="he-IL"/>
        </w:rPr>
        <w:t xml:space="preserve"> </w:t>
      </w:r>
      <w:r w:rsidRPr="00400C0B">
        <w:rPr>
          <w:rFonts w:cs="Guttman Rashi" w:hint="eastAsia"/>
          <w:rtl/>
          <w:lang w:bidi="he-IL"/>
        </w:rPr>
        <w:t>בביאור</w:t>
      </w:r>
      <w:r w:rsidRPr="00400C0B">
        <w:rPr>
          <w:rFonts w:cs="Guttman Rashi"/>
          <w:rtl/>
          <w:lang w:bidi="he-IL"/>
        </w:rPr>
        <w:t xml:space="preserve"> </w:t>
      </w:r>
      <w:r w:rsidRPr="00400C0B">
        <w:rPr>
          <w:rFonts w:cs="Guttman Rashi" w:hint="eastAsia"/>
          <w:rtl/>
          <w:lang w:bidi="he-IL"/>
        </w:rPr>
        <w:t>סוגיית</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חולין</w:t>
      </w:r>
      <w:r w:rsidRPr="00400C0B">
        <w:rPr>
          <w:rFonts w:cs="Guttman Rashi"/>
          <w:rtl/>
          <w:lang w:bidi="he-IL"/>
        </w:rPr>
        <w:t xml:space="preserve"> </w:t>
      </w:r>
      <w:r w:rsidRPr="00400C0B">
        <w:rPr>
          <w:rFonts w:cs="Guttman Rashi" w:hint="eastAsia"/>
          <w:rtl/>
          <w:lang w:bidi="he-IL"/>
        </w:rPr>
        <w:t>דף</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w:t>
      </w:r>
    </w:p>
  </w:footnote>
  <w:footnote w:id="46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בענין</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איחסון</w:t>
      </w:r>
      <w:r w:rsidRPr="00400C0B">
        <w:rPr>
          <w:rFonts w:cs="Guttman Rashi"/>
          <w:rtl/>
          <w:lang w:bidi="he-IL"/>
        </w:rPr>
        <w:t xml:space="preserve"> </w:t>
      </w:r>
      <w:r w:rsidRPr="00400C0B">
        <w:rPr>
          <w:rFonts w:cs="Guttman Rashi" w:hint="eastAsia"/>
          <w:rtl/>
          <w:lang w:bidi="he-IL"/>
        </w:rPr>
        <w:t>במילואים</w:t>
      </w:r>
      <w:r w:rsidRPr="00400C0B">
        <w:rPr>
          <w:rFonts w:cs="Guttman Rashi"/>
          <w:rtl/>
          <w:lang w:bidi="he-IL"/>
        </w:rPr>
        <w:t xml:space="preserve"> </w:t>
      </w:r>
      <w:r w:rsidRPr="00400C0B">
        <w:rPr>
          <w:rFonts w:cs="Guttman Rashi" w:hint="eastAsia"/>
          <w:rtl/>
          <w:lang w:bidi="he-IL"/>
        </w:rPr>
        <w:t>לשיעור</w:t>
      </w:r>
      <w:r w:rsidRPr="00400C0B">
        <w:rPr>
          <w:rFonts w:cs="Guttman Rashi"/>
          <w:rtl/>
          <w:lang w:bidi="he-IL"/>
        </w:rPr>
        <w:t xml:space="preserve"> </w:t>
      </w:r>
      <w:r w:rsidRPr="00400C0B">
        <w:rPr>
          <w:rFonts w:cs="Guttman Rashi" w:hint="eastAsia"/>
          <w:rtl/>
          <w:lang w:bidi="he-IL"/>
        </w:rPr>
        <w:t>קכ</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בענין</w:t>
      </w:r>
      <w:r w:rsidRPr="00400C0B">
        <w:rPr>
          <w:rFonts w:cs="Guttman Rashi"/>
          <w:rtl/>
          <w:lang w:bidi="he-IL"/>
        </w:rPr>
        <w:t xml:space="preserve"> </w:t>
      </w:r>
      <w:r w:rsidRPr="00400C0B">
        <w:rPr>
          <w:rFonts w:cs="Guttman Rashi" w:hint="eastAsia"/>
          <w:rtl/>
          <w:lang w:bidi="he-IL"/>
        </w:rPr>
        <w:t>מצנם</w:t>
      </w:r>
      <w:r w:rsidRPr="00400C0B">
        <w:rPr>
          <w:rFonts w:cs="Guttman Rashi"/>
          <w:rtl/>
          <w:lang w:bidi="he-IL"/>
        </w:rPr>
        <w:t>.</w:t>
      </w:r>
    </w:p>
  </w:footnote>
  <w:footnote w:id="46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סדר</w:t>
      </w:r>
      <w:r w:rsidRPr="00400C0B">
        <w:rPr>
          <w:rFonts w:cs="Guttman Rashi"/>
          <w:rtl/>
          <w:lang w:bidi="he-IL"/>
        </w:rPr>
        <w:t xml:space="preserve"> </w:t>
      </w:r>
      <w:r w:rsidRPr="00400C0B">
        <w:rPr>
          <w:rFonts w:cs="Guttman Rashi" w:hint="eastAsia"/>
          <w:rtl/>
          <w:lang w:bidi="he-IL"/>
        </w:rPr>
        <w:t>יעקב</w:t>
      </w:r>
      <w:r w:rsidRPr="00400C0B">
        <w:rPr>
          <w:rFonts w:cs="Guttman Rashi"/>
          <w:rtl/>
          <w:lang w:bidi="he-IL"/>
        </w:rPr>
        <w:t xml:space="preserve"> </w:t>
      </w:r>
      <w:r w:rsidRPr="00400C0B">
        <w:rPr>
          <w:rFonts w:cs="Guttman Rashi" w:hint="eastAsia"/>
          <w:rtl/>
          <w:lang w:bidi="he-IL"/>
        </w:rPr>
        <w:t>למס</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מדפי</w:t>
      </w:r>
      <w:r w:rsidRPr="00400C0B">
        <w:rPr>
          <w:rFonts w:cs="Guttman Rashi"/>
          <w:rtl/>
          <w:lang w:bidi="he-IL"/>
        </w:rPr>
        <w:t xml:space="preserve"> </w:t>
      </w:r>
      <w:r w:rsidRPr="00400C0B">
        <w:rPr>
          <w:rFonts w:cs="Guttman Rashi" w:hint="eastAsia"/>
          <w:rtl/>
          <w:lang w:bidi="he-IL"/>
        </w:rPr>
        <w:t>הספר</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כמש</w:t>
      </w:r>
      <w:r w:rsidRPr="00400C0B">
        <w:rPr>
          <w:rFonts w:cs="Guttman Rashi"/>
          <w:rtl/>
          <w:lang w:bidi="he-IL"/>
        </w:rPr>
        <w:t>"</w:t>
      </w:r>
      <w:r w:rsidRPr="00400C0B">
        <w:rPr>
          <w:rFonts w:cs="Guttman Rashi" w:hint="eastAsia"/>
          <w:rtl/>
          <w:lang w:bidi="he-IL"/>
        </w:rPr>
        <w:t>כ</w:t>
      </w:r>
      <w:r w:rsidRPr="00400C0B">
        <w:rPr>
          <w:rFonts w:cs="Guttman Rashi"/>
          <w:rtl/>
          <w:lang w:bidi="he-IL"/>
        </w:rPr>
        <w:t>.</w:t>
      </w:r>
    </w:p>
  </w:footnote>
  <w:footnote w:id="463">
    <w:p w:rsidR="007978F4" w:rsidRPr="00400C0B" w:rsidRDefault="007978F4" w:rsidP="00DE4CB7">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ומצאתי</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מהרי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דיסקין</w:t>
      </w:r>
      <w:r w:rsidRPr="00400C0B">
        <w:rPr>
          <w:rFonts w:cs="Guttman Rashi"/>
          <w:rtl/>
          <w:lang w:bidi="he-IL"/>
        </w:rPr>
        <w:t xml:space="preserve"> </w:t>
      </w:r>
      <w:r w:rsidRPr="00400C0B">
        <w:rPr>
          <w:rFonts w:cs="Guttman Rashi" w:hint="eastAsia"/>
          <w:rtl/>
          <w:lang w:bidi="he-IL"/>
        </w:rPr>
        <w:t>קונ</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אביו</w:t>
      </w:r>
      <w:r w:rsidRPr="00400C0B">
        <w:rPr>
          <w:rFonts w:cs="Guttman Rashi"/>
          <w:rtl/>
          <w:lang w:bidi="he-IL"/>
        </w:rPr>
        <w:t xml:space="preserve"> </w:t>
      </w:r>
      <w:r w:rsidRPr="00400C0B">
        <w:rPr>
          <w:rFonts w:cs="Guttman Rashi" w:hint="eastAsia"/>
          <w:rtl/>
          <w:lang w:bidi="he-IL"/>
        </w:rPr>
        <w:t>שהמנהג</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חייב</w:t>
      </w:r>
      <w:r w:rsidRPr="00400C0B">
        <w:rPr>
          <w:rFonts w:cs="Guttman Rashi"/>
          <w:rtl/>
          <w:lang w:bidi="he-IL"/>
        </w:rPr>
        <w:t xml:space="preserve"> </w:t>
      </w:r>
      <w:r w:rsidRPr="00400C0B">
        <w:rPr>
          <w:rFonts w:cs="Guttman Rashi" w:hint="eastAsia"/>
          <w:rtl/>
          <w:lang w:bidi="he-IL"/>
        </w:rPr>
        <w:t>בטבילה</w:t>
      </w:r>
      <w:r w:rsidRPr="00400C0B">
        <w:rPr>
          <w:rFonts w:cs="Guttman Rashi"/>
          <w:rtl/>
          <w:lang w:bidi="he-IL"/>
        </w:rPr>
        <w:t xml:space="preserve">. </w:t>
      </w:r>
      <w:r w:rsidRPr="00400C0B">
        <w:rPr>
          <w:rFonts w:cs="Guttman Rashi" w:hint="eastAsia"/>
          <w:rtl/>
          <w:lang w:bidi="he-IL"/>
        </w:rPr>
        <w:t>ודבריו</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הגמ</w:t>
      </w:r>
      <w:r>
        <w:rPr>
          <w:rFonts w:cs="Guttman Rashi" w:hint="cs"/>
          <w:rtl/>
          <w:lang w:bidi="he-IL"/>
        </w:rPr>
        <w:t>'</w:t>
      </w:r>
      <w:r w:rsidRPr="00400C0B">
        <w:rPr>
          <w:rFonts w:cs="Guttman Rashi"/>
          <w:rtl/>
          <w:lang w:bidi="he-IL"/>
        </w:rPr>
        <w:t xml:space="preserve"> </w:t>
      </w:r>
      <w:r w:rsidRPr="00400C0B">
        <w:rPr>
          <w:rFonts w:cs="Guttman Rashi" w:hint="eastAsia"/>
          <w:rtl/>
          <w:lang w:bidi="he-IL"/>
        </w:rPr>
        <w:t>וכנ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יפרש</w:t>
      </w:r>
      <w:r w:rsidRPr="00400C0B">
        <w:rPr>
          <w:rFonts w:cs="Guttman Rashi"/>
          <w:rtl/>
          <w:lang w:bidi="he-IL"/>
        </w:rPr>
        <w:t xml:space="preserve"> </w:t>
      </w:r>
      <w:r w:rsidRPr="00400C0B">
        <w:rPr>
          <w:rFonts w:cs="Guttman Rashi" w:hint="eastAsia"/>
          <w:rtl/>
          <w:lang w:bidi="he-IL"/>
        </w:rPr>
        <w:t>שכוונת</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בצלוחיו</w:t>
      </w:r>
      <w:r>
        <w:rPr>
          <w:rFonts w:cs="Guttman Rashi" w:hint="cs"/>
          <w:rtl/>
          <w:lang w:bidi="he-IL"/>
        </w:rPr>
        <w:t>ת</w:t>
      </w:r>
      <w:r w:rsidRPr="00400C0B">
        <w:rPr>
          <w:rFonts w:cs="Guttman Rashi"/>
          <w:rtl/>
          <w:lang w:bidi="he-IL"/>
        </w:rPr>
        <w:t xml:space="preserve"> </w:t>
      </w:r>
      <w:r w:rsidRPr="00400C0B">
        <w:rPr>
          <w:rFonts w:cs="Guttman Rashi" w:hint="eastAsia"/>
          <w:rtl/>
          <w:lang w:bidi="he-IL"/>
        </w:rPr>
        <w:t>למילתא</w:t>
      </w:r>
      <w:r w:rsidRPr="00400C0B">
        <w:rPr>
          <w:rFonts w:cs="Guttman Rashi"/>
          <w:rtl/>
          <w:lang w:bidi="he-IL"/>
        </w:rPr>
        <w:t xml:space="preserve"> </w:t>
      </w:r>
      <w:r w:rsidRPr="00400C0B">
        <w:rPr>
          <w:rFonts w:cs="Guttman Rashi" w:hint="eastAsia"/>
          <w:rtl/>
          <w:lang w:bidi="he-IL"/>
        </w:rPr>
        <w:t>אחריתא</w:t>
      </w:r>
      <w:r w:rsidRPr="00400C0B">
        <w:rPr>
          <w:rFonts w:cs="Guttman Rashi"/>
          <w:rtl/>
          <w:lang w:bidi="he-IL"/>
        </w:rPr>
        <w:t xml:space="preserve">. </w:t>
      </w:r>
    </w:p>
  </w:footnote>
  <w:footnote w:id="46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באג</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יו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סברא</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w:t>
      </w:r>
    </w:p>
  </w:footnote>
  <w:footnote w:id="46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טבילת</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פי</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w:t>
      </w:r>
    </w:p>
  </w:footnote>
  <w:footnote w:id="46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המשמעות</w:t>
      </w:r>
      <w:r w:rsidRPr="00400C0B">
        <w:rPr>
          <w:rFonts w:cs="Guttman Rashi"/>
          <w:rtl/>
          <w:lang w:bidi="he-IL"/>
        </w:rPr>
        <w:t xml:space="preserve"> </w:t>
      </w:r>
      <w:r w:rsidRPr="00400C0B">
        <w:rPr>
          <w:rFonts w:cs="Guttman Rashi" w:hint="eastAsia"/>
          <w:rtl/>
          <w:lang w:bidi="he-IL"/>
        </w:rPr>
        <w:t>הפשוטה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הקישו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בסע</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w:t>
      </w:r>
    </w:p>
  </w:footnote>
  <w:footnote w:id="46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ב</w:t>
      </w:r>
    </w:p>
  </w:footnote>
  <w:footnote w:id="46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דמלשונו</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דמספקא</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לנוי</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לתשמיש</w:t>
      </w:r>
    </w:p>
  </w:footnote>
  <w:footnote w:id="46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ובודאי</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הביאור</w:t>
      </w:r>
      <w:r w:rsidRPr="00400C0B">
        <w:rPr>
          <w:rFonts w:cs="Guttman Rashi"/>
          <w:rtl/>
          <w:lang w:bidi="he-IL"/>
        </w:rPr>
        <w:t xml:space="preserve"> </w:t>
      </w:r>
      <w:r w:rsidRPr="00400C0B">
        <w:rPr>
          <w:rFonts w:cs="Guttman Rashi" w:hint="eastAsia"/>
          <w:rtl/>
          <w:lang w:bidi="he-IL"/>
        </w:rPr>
        <w:t>הזה</w:t>
      </w:r>
      <w:r w:rsidRPr="00400C0B">
        <w:rPr>
          <w:rFonts w:cs="Guttman Rashi"/>
          <w:rtl/>
          <w:lang w:bidi="he-IL"/>
        </w:rPr>
        <w:t xml:space="preserve"> </w:t>
      </w:r>
      <w:r w:rsidRPr="00400C0B">
        <w:rPr>
          <w:rFonts w:cs="Guttman Rashi" w:hint="eastAsia"/>
          <w:rtl/>
          <w:lang w:bidi="he-IL"/>
        </w:rPr>
        <w:t>חזינן</w:t>
      </w:r>
      <w:r w:rsidRPr="00400C0B">
        <w:rPr>
          <w:rFonts w:cs="Guttman Rashi"/>
          <w:rtl/>
          <w:lang w:bidi="he-IL"/>
        </w:rPr>
        <w:t xml:space="preserve"> </w:t>
      </w:r>
      <w:r w:rsidRPr="00400C0B">
        <w:rPr>
          <w:rFonts w:cs="Guttman Rashi" w:hint="eastAsia"/>
          <w:rtl/>
          <w:lang w:bidi="he-IL"/>
        </w:rPr>
        <w:t>לדעתי</w:t>
      </w:r>
      <w:r w:rsidRPr="00400C0B">
        <w:rPr>
          <w:rFonts w:cs="Guttman Rashi"/>
          <w:rtl/>
          <w:lang w:bidi="he-IL"/>
        </w:rPr>
        <w:t xml:space="preserve">' </w:t>
      </w:r>
      <w:r w:rsidRPr="00400C0B">
        <w:rPr>
          <w:rFonts w:cs="Guttman Rashi" w:hint="eastAsia"/>
          <w:rtl/>
          <w:lang w:bidi="he-IL"/>
        </w:rPr>
        <w:t>דאו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שגדר</w:t>
      </w:r>
      <w:r w:rsidRPr="00400C0B">
        <w:rPr>
          <w:rFonts w:cs="Guttman Rashi"/>
          <w:rtl/>
          <w:lang w:bidi="he-IL"/>
        </w:rPr>
        <w:t xml:space="preserve"> </w:t>
      </w:r>
      <w:r w:rsidRPr="00400C0B">
        <w:rPr>
          <w:rFonts w:cs="Guttman Rashi" w:hint="eastAsia"/>
          <w:rtl/>
          <w:lang w:bidi="he-IL"/>
        </w:rPr>
        <w:t>החיוב</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טבילת</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שימוש</w:t>
      </w:r>
      <w:r w:rsidRPr="00400C0B">
        <w:rPr>
          <w:rFonts w:cs="Guttman Rashi"/>
          <w:rtl/>
          <w:lang w:bidi="he-IL"/>
        </w:rPr>
        <w:t xml:space="preserve"> </w:t>
      </w:r>
      <w:r w:rsidRPr="00400C0B">
        <w:rPr>
          <w:rFonts w:cs="Guttman Rashi" w:hint="eastAsia"/>
          <w:rtl/>
          <w:lang w:bidi="he-IL"/>
        </w:rPr>
        <w:t>מבלי</w:t>
      </w:r>
      <w:r w:rsidRPr="00400C0B">
        <w:rPr>
          <w:rFonts w:cs="Guttman Rashi"/>
          <w:rtl/>
          <w:lang w:bidi="he-IL"/>
        </w:rPr>
        <w:t xml:space="preserve"> </w:t>
      </w:r>
      <w:r w:rsidRPr="00400C0B">
        <w:rPr>
          <w:rFonts w:cs="Guttman Rashi" w:hint="eastAsia"/>
          <w:rtl/>
          <w:lang w:bidi="he-IL"/>
        </w:rPr>
        <w:t>לטהר</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חיוב</w:t>
      </w:r>
      <w:r w:rsidRPr="00400C0B">
        <w:rPr>
          <w:rFonts w:cs="Guttman Rashi"/>
          <w:rtl/>
          <w:lang w:bidi="he-IL"/>
        </w:rPr>
        <w:t xml:space="preserve"> </w:t>
      </w:r>
      <w:r w:rsidRPr="00400C0B">
        <w:rPr>
          <w:rFonts w:cs="Guttman Rashi" w:hint="eastAsia"/>
          <w:rtl/>
          <w:lang w:bidi="he-IL"/>
        </w:rPr>
        <w:t>להטביל</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p>
    <w:p w:rsidR="007978F4" w:rsidRPr="00400C0B" w:rsidRDefault="007978F4" w:rsidP="00B80448">
      <w:pPr>
        <w:pStyle w:val="FootnoteText"/>
        <w:bidi/>
        <w:jc w:val="both"/>
        <w:rPr>
          <w:rFonts w:cs="Guttman Rashi"/>
          <w:rtl/>
          <w:lang w:bidi="he-IL"/>
        </w:rPr>
      </w:pP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במילואים</w:t>
      </w:r>
      <w:r w:rsidRPr="00400C0B">
        <w:rPr>
          <w:rFonts w:cs="Guttman Rashi"/>
          <w:rtl/>
          <w:lang w:bidi="he-IL"/>
        </w:rPr>
        <w:t xml:space="preserve"> </w:t>
      </w:r>
      <w:r w:rsidRPr="00400C0B">
        <w:rPr>
          <w:rFonts w:cs="Guttman Rashi" w:hint="eastAsia"/>
          <w:rtl/>
          <w:lang w:bidi="he-IL"/>
        </w:rPr>
        <w:t>בענין</w:t>
      </w:r>
      <w:r w:rsidRPr="00400C0B">
        <w:rPr>
          <w:rFonts w:cs="Guttman Rashi"/>
          <w:rtl/>
          <w:lang w:bidi="he-IL"/>
        </w:rPr>
        <w:t xml:space="preserve"> </w:t>
      </w:r>
      <w:r w:rsidRPr="00400C0B">
        <w:rPr>
          <w:rFonts w:cs="Guttman Rashi" w:hint="eastAsia"/>
          <w:rtl/>
          <w:lang w:bidi="he-IL"/>
        </w:rPr>
        <w:t>שלחן</w:t>
      </w:r>
      <w:r w:rsidRPr="00400C0B">
        <w:rPr>
          <w:rFonts w:cs="Guttman Rashi"/>
          <w:rtl/>
          <w:lang w:bidi="he-IL"/>
        </w:rPr>
        <w:t xml:space="preserve"> </w:t>
      </w:r>
      <w:r w:rsidRPr="00400C0B">
        <w:rPr>
          <w:rFonts w:cs="Guttman Rashi" w:hint="eastAsia"/>
          <w:rtl/>
          <w:lang w:bidi="he-IL"/>
        </w:rPr>
        <w:t>מזכוכית</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דף</w:t>
      </w:r>
      <w:r w:rsidRPr="00400C0B">
        <w:rPr>
          <w:rFonts w:cs="Guttman Rashi"/>
          <w:rtl/>
          <w:lang w:bidi="he-IL"/>
        </w:rPr>
        <w:t xml:space="preserve"> </w:t>
      </w:r>
      <w:r w:rsidRPr="00400C0B">
        <w:rPr>
          <w:rFonts w:cs="Guttman Rashi" w:hint="eastAsia"/>
          <w:rtl/>
          <w:lang w:bidi="he-IL"/>
        </w:rPr>
        <w:t>במקרר</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זכוכית</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שכתבנו</w:t>
      </w:r>
      <w:r w:rsidRPr="00400C0B">
        <w:rPr>
          <w:rFonts w:cs="Guttman Rashi"/>
          <w:rtl/>
          <w:lang w:bidi="he-IL"/>
        </w:rPr>
        <w:t xml:space="preserve"> </w:t>
      </w:r>
      <w:r w:rsidRPr="00400C0B">
        <w:rPr>
          <w:rFonts w:cs="Guttman Rashi" w:hint="eastAsia"/>
          <w:rtl/>
          <w:lang w:bidi="he-IL"/>
        </w:rPr>
        <w:t>צד</w:t>
      </w:r>
      <w:r w:rsidRPr="00400C0B">
        <w:rPr>
          <w:rFonts w:cs="Guttman Rashi"/>
          <w:rtl/>
          <w:lang w:bidi="he-IL"/>
        </w:rPr>
        <w:t xml:space="preserve"> </w:t>
      </w:r>
      <w:r w:rsidRPr="00400C0B">
        <w:rPr>
          <w:rFonts w:cs="Guttman Rashi" w:hint="eastAsia"/>
          <w:rtl/>
          <w:lang w:bidi="he-IL"/>
        </w:rPr>
        <w:t>דיתכן</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הכלים</w:t>
      </w:r>
      <w:r w:rsidRPr="00400C0B">
        <w:rPr>
          <w:rFonts w:cs="Guttman Rashi"/>
          <w:rtl/>
          <w:lang w:bidi="he-IL"/>
        </w:rPr>
        <w:t xml:space="preserve"> </w:t>
      </w:r>
      <w:r w:rsidRPr="00400C0B">
        <w:rPr>
          <w:rFonts w:cs="Guttman Rashi" w:hint="eastAsia"/>
          <w:rtl/>
          <w:lang w:bidi="he-IL"/>
        </w:rPr>
        <w:t>חייבים</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האו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כדברינו</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יתכן</w:t>
      </w:r>
      <w:r w:rsidRPr="00400C0B">
        <w:rPr>
          <w:rFonts w:cs="Guttman Rashi"/>
          <w:rtl/>
          <w:lang w:bidi="he-IL"/>
        </w:rPr>
        <w:t xml:space="preserve"> </w:t>
      </w:r>
      <w:r w:rsidRPr="00400C0B">
        <w:rPr>
          <w:rFonts w:cs="Guttman Rashi" w:hint="eastAsia"/>
          <w:rtl/>
          <w:lang w:bidi="he-IL"/>
        </w:rPr>
        <w:t>שיהא</w:t>
      </w:r>
      <w:r w:rsidRPr="00400C0B">
        <w:rPr>
          <w:rFonts w:cs="Guttman Rashi"/>
          <w:rtl/>
          <w:lang w:bidi="he-IL"/>
        </w:rPr>
        <w:t xml:space="preserve"> </w:t>
      </w:r>
      <w:r w:rsidRPr="00400C0B">
        <w:rPr>
          <w:rFonts w:cs="Guttman Rashi" w:hint="eastAsia"/>
          <w:rtl/>
          <w:lang w:bidi="he-IL"/>
        </w:rPr>
        <w:t>ענין</w:t>
      </w:r>
      <w:r w:rsidRPr="00400C0B">
        <w:rPr>
          <w:rFonts w:cs="Guttman Rashi"/>
          <w:rtl/>
          <w:lang w:bidi="he-IL"/>
        </w:rPr>
        <w:t xml:space="preserve"> </w:t>
      </w:r>
      <w:r w:rsidRPr="00400C0B">
        <w:rPr>
          <w:rFonts w:cs="Guttman Rashi" w:hint="eastAsia"/>
          <w:rtl/>
          <w:lang w:bidi="he-IL"/>
        </w:rPr>
        <w:t>חיוב</w:t>
      </w:r>
      <w:r w:rsidRPr="00400C0B">
        <w:rPr>
          <w:rFonts w:cs="Guttman Rashi"/>
          <w:rtl/>
          <w:lang w:bidi="he-IL"/>
        </w:rPr>
        <w:t xml:space="preserve"> </w:t>
      </w:r>
      <w:r w:rsidRPr="00400C0B">
        <w:rPr>
          <w:rFonts w:cs="Guttman Rashi" w:hint="eastAsia"/>
          <w:rtl/>
          <w:lang w:bidi="he-IL"/>
        </w:rPr>
        <w:t>המוטל</w:t>
      </w:r>
      <w:r w:rsidRPr="00400C0B">
        <w:rPr>
          <w:rFonts w:cs="Guttman Rashi"/>
          <w:rtl/>
          <w:lang w:bidi="he-IL"/>
        </w:rPr>
        <w:t xml:space="preserve"> </w:t>
      </w:r>
      <w:r w:rsidRPr="00400C0B">
        <w:rPr>
          <w:rFonts w:cs="Guttman Rashi" w:hint="eastAsia"/>
          <w:rtl/>
          <w:lang w:bidi="he-IL"/>
        </w:rPr>
        <w:t>עלי</w:t>
      </w:r>
      <w:r w:rsidRPr="00400C0B">
        <w:rPr>
          <w:rFonts w:cs="Guttman Rashi"/>
          <w:rtl/>
          <w:lang w:bidi="he-IL"/>
        </w:rPr>
        <w:t xml:space="preserve">' </w:t>
      </w:r>
      <w:r w:rsidRPr="00400C0B">
        <w:rPr>
          <w:rFonts w:cs="Guttman Rashi" w:hint="eastAsia"/>
          <w:rtl/>
          <w:lang w:bidi="he-IL"/>
        </w:rPr>
        <w:t>להטביל</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שימוש</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מחויב</w:t>
      </w:r>
      <w:r w:rsidRPr="00400C0B">
        <w:rPr>
          <w:rFonts w:cs="Guttman Rashi"/>
          <w:rtl/>
          <w:lang w:bidi="he-IL"/>
        </w:rPr>
        <w:t xml:space="preserve"> </w:t>
      </w:r>
      <w:r w:rsidRPr="00400C0B">
        <w:rPr>
          <w:rFonts w:cs="Guttman Rashi" w:hint="eastAsia"/>
          <w:rtl/>
          <w:lang w:bidi="he-IL"/>
        </w:rPr>
        <w:t>להטביל</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שקבע</w:t>
      </w:r>
      <w:r w:rsidRPr="00400C0B">
        <w:rPr>
          <w:rFonts w:cs="Guttman Rashi"/>
          <w:rtl/>
          <w:lang w:bidi="he-IL"/>
        </w:rPr>
        <w:t xml:space="preserve"> </w:t>
      </w:r>
      <w:r w:rsidRPr="00400C0B">
        <w:rPr>
          <w:rFonts w:cs="Guttman Rashi" w:hint="eastAsia"/>
          <w:rtl/>
          <w:lang w:bidi="he-IL"/>
        </w:rPr>
        <w:t>תשמישתו</w:t>
      </w:r>
      <w:r w:rsidRPr="00400C0B">
        <w:rPr>
          <w:rFonts w:cs="Guttman Rashi"/>
          <w:rtl/>
          <w:lang w:bidi="he-IL"/>
        </w:rPr>
        <w:t xml:space="preserve"> </w:t>
      </w:r>
      <w:r w:rsidRPr="00400C0B">
        <w:rPr>
          <w:rFonts w:cs="Guttman Rashi" w:hint="eastAsia"/>
          <w:rtl/>
          <w:lang w:bidi="he-IL"/>
        </w:rPr>
        <w:t>לדברים</w:t>
      </w:r>
      <w:r w:rsidRPr="00400C0B">
        <w:rPr>
          <w:rFonts w:cs="Guttman Rashi"/>
          <w:rtl/>
          <w:lang w:bidi="he-IL"/>
        </w:rPr>
        <w:t xml:space="preserve"> </w:t>
      </w:r>
      <w:r w:rsidRPr="00400C0B">
        <w:rPr>
          <w:rFonts w:cs="Guttman Rashi" w:hint="eastAsia"/>
          <w:rtl/>
          <w:lang w:bidi="he-IL"/>
        </w:rPr>
        <w:t>אחרים</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חייב</w:t>
      </w:r>
      <w:r w:rsidRPr="00400C0B">
        <w:rPr>
          <w:rFonts w:cs="Guttman Rashi"/>
          <w:rtl/>
          <w:lang w:bidi="he-IL"/>
        </w:rPr>
        <w:t xml:space="preserve"> </w:t>
      </w:r>
      <w:r w:rsidRPr="00400C0B">
        <w:rPr>
          <w:rFonts w:cs="Guttman Rashi" w:hint="eastAsia"/>
          <w:rtl/>
          <w:lang w:bidi="he-IL"/>
        </w:rPr>
        <w:t>להטביל</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כשמחליט</w:t>
      </w:r>
      <w:r w:rsidRPr="00400C0B">
        <w:rPr>
          <w:rFonts w:cs="Guttman Rashi"/>
          <w:rtl/>
          <w:lang w:bidi="he-IL"/>
        </w:rPr>
        <w:t xml:space="preserve"> </w:t>
      </w:r>
      <w:r w:rsidRPr="00400C0B">
        <w:rPr>
          <w:rFonts w:cs="Guttman Rashi" w:hint="eastAsia"/>
          <w:rtl/>
          <w:lang w:bidi="he-IL"/>
        </w:rPr>
        <w:t>להשתמש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לסעודה</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גדר</w:t>
      </w:r>
      <w:r w:rsidRPr="00400C0B">
        <w:rPr>
          <w:rFonts w:cs="Guttman Rashi"/>
          <w:rtl/>
          <w:lang w:bidi="he-IL"/>
        </w:rPr>
        <w:t xml:space="preserve"> </w:t>
      </w:r>
      <w:r w:rsidRPr="00400C0B">
        <w:rPr>
          <w:rFonts w:cs="Guttman Rashi" w:hint="eastAsia"/>
          <w:rtl/>
          <w:lang w:bidi="he-IL"/>
        </w:rPr>
        <w:t>החיוב</w:t>
      </w:r>
      <w:r w:rsidRPr="00400C0B">
        <w:rPr>
          <w:rFonts w:cs="Guttman Rashi"/>
          <w:rtl/>
          <w:lang w:bidi="he-IL"/>
        </w:rPr>
        <w:t xml:space="preserve"> </w:t>
      </w:r>
      <w:r w:rsidRPr="00400C0B">
        <w:rPr>
          <w:rFonts w:cs="Guttman Rashi" w:hint="eastAsia"/>
          <w:rtl/>
          <w:lang w:bidi="he-IL"/>
        </w:rPr>
        <w:t>להטביל</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שימוש</w:t>
      </w:r>
      <w:r w:rsidRPr="00400C0B">
        <w:rPr>
          <w:rFonts w:cs="Guttman Rashi"/>
          <w:rtl/>
          <w:lang w:bidi="he-IL"/>
        </w:rPr>
        <w:t>.</w:t>
      </w:r>
    </w:p>
  </w:footnote>
  <w:footnote w:id="47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בערוה</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סע</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ביאור</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בדברי</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שלעולם</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הבעלים</w:t>
      </w:r>
      <w:r w:rsidRPr="00400C0B">
        <w:rPr>
          <w:rFonts w:cs="Guttman Rashi"/>
          <w:rtl/>
          <w:lang w:bidi="he-IL"/>
        </w:rPr>
        <w:t xml:space="preserve"> </w:t>
      </w:r>
      <w:r w:rsidRPr="00400C0B">
        <w:rPr>
          <w:rFonts w:cs="Guttman Rashi" w:hint="eastAsia"/>
          <w:rtl/>
          <w:lang w:bidi="he-IL"/>
        </w:rPr>
        <w:t>מותרים</w:t>
      </w:r>
      <w:r w:rsidRPr="00400C0B">
        <w:rPr>
          <w:rFonts w:cs="Guttman Rashi"/>
          <w:rtl/>
          <w:lang w:bidi="he-IL"/>
        </w:rPr>
        <w:t xml:space="preserve"> </w:t>
      </w:r>
      <w:r w:rsidRPr="00400C0B">
        <w:rPr>
          <w:rFonts w:cs="Guttman Rashi" w:hint="eastAsia"/>
          <w:rtl/>
          <w:lang w:bidi="he-IL"/>
        </w:rPr>
        <w:t>להשתמש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תשמיש</w:t>
      </w:r>
      <w:r w:rsidRPr="00400C0B">
        <w:rPr>
          <w:rFonts w:cs="Guttman Rashi"/>
          <w:rtl/>
          <w:lang w:bidi="he-IL"/>
        </w:rPr>
        <w:t xml:space="preserve"> </w:t>
      </w:r>
      <w:r w:rsidRPr="00400C0B">
        <w:rPr>
          <w:rFonts w:cs="Guttman Rashi" w:hint="eastAsia"/>
          <w:rtl/>
          <w:lang w:bidi="he-IL"/>
        </w:rPr>
        <w:t>דרך</w:t>
      </w:r>
      <w:r w:rsidRPr="00400C0B">
        <w:rPr>
          <w:rFonts w:cs="Guttman Rashi"/>
          <w:rtl/>
          <w:lang w:bidi="he-IL"/>
        </w:rPr>
        <w:t xml:space="preserve"> </w:t>
      </w:r>
      <w:r w:rsidRPr="00400C0B">
        <w:rPr>
          <w:rFonts w:cs="Guttman Rashi" w:hint="eastAsia"/>
          <w:rtl/>
          <w:lang w:bidi="he-IL"/>
        </w:rPr>
        <w:t>מקרה</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מיועד</w:t>
      </w:r>
      <w:r w:rsidRPr="00400C0B">
        <w:rPr>
          <w:rFonts w:cs="Guttman Rashi"/>
          <w:rtl/>
          <w:lang w:bidi="he-IL"/>
        </w:rPr>
        <w:t xml:space="preserve"> </w:t>
      </w:r>
      <w:r w:rsidRPr="00400C0B">
        <w:rPr>
          <w:rFonts w:cs="Guttman Rashi" w:hint="eastAsia"/>
          <w:rtl/>
          <w:lang w:bidi="he-IL"/>
        </w:rPr>
        <w:t>לתשמיש</w:t>
      </w:r>
      <w:r w:rsidRPr="00400C0B">
        <w:rPr>
          <w:rFonts w:cs="Guttman Rashi"/>
          <w:rtl/>
          <w:lang w:bidi="he-IL"/>
        </w:rPr>
        <w:t xml:space="preserve"> </w:t>
      </w:r>
      <w:r w:rsidRPr="00400C0B">
        <w:rPr>
          <w:rFonts w:cs="Guttman Rashi" w:hint="eastAsia"/>
          <w:rtl/>
          <w:lang w:bidi="he-IL"/>
        </w:rPr>
        <w:t>סעודה</w:t>
      </w:r>
      <w:r w:rsidRPr="00400C0B">
        <w:rPr>
          <w:rFonts w:cs="Guttman Rashi"/>
          <w:rtl/>
          <w:lang w:bidi="he-IL"/>
        </w:rPr>
        <w:t xml:space="preserve">, </w:t>
      </w:r>
      <w:r w:rsidRPr="00400C0B">
        <w:rPr>
          <w:rFonts w:cs="Guttman Rashi" w:hint="eastAsia"/>
          <w:rtl/>
          <w:lang w:bidi="he-IL"/>
        </w:rPr>
        <w:t>וכל</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סעודה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להיתר</w:t>
      </w:r>
      <w:r w:rsidRPr="00400C0B">
        <w:rPr>
          <w:rFonts w:cs="Guttman Rashi"/>
          <w:rtl/>
          <w:lang w:bidi="he-IL"/>
        </w:rPr>
        <w:t xml:space="preserve"> </w:t>
      </w:r>
      <w:r w:rsidRPr="00400C0B">
        <w:rPr>
          <w:rFonts w:cs="Guttman Rashi" w:hint="eastAsia"/>
          <w:rtl/>
          <w:lang w:bidi="he-IL"/>
        </w:rPr>
        <w:t>להשתמש</w:t>
      </w:r>
      <w:r w:rsidRPr="00400C0B">
        <w:rPr>
          <w:rFonts w:cs="Guttman Rashi"/>
          <w:rtl/>
          <w:lang w:bidi="he-IL"/>
        </w:rPr>
        <w:t xml:space="preserve"> </w:t>
      </w:r>
      <w:r w:rsidRPr="00400C0B">
        <w:rPr>
          <w:rFonts w:cs="Guttman Rashi" w:hint="eastAsia"/>
          <w:rtl/>
          <w:lang w:bidi="he-IL"/>
        </w:rPr>
        <w:t>בו</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שימוש</w:t>
      </w:r>
      <w:r w:rsidRPr="00400C0B">
        <w:rPr>
          <w:rFonts w:cs="Guttman Rashi"/>
          <w:rtl/>
          <w:lang w:bidi="he-IL"/>
        </w:rPr>
        <w:t xml:space="preserve"> </w:t>
      </w:r>
      <w:r w:rsidRPr="00400C0B">
        <w:rPr>
          <w:rFonts w:cs="Guttman Rashi" w:hint="eastAsia"/>
          <w:rtl/>
          <w:lang w:bidi="he-IL"/>
        </w:rPr>
        <w:t>באופן</w:t>
      </w:r>
      <w:r w:rsidRPr="00400C0B">
        <w:rPr>
          <w:rFonts w:cs="Guttman Rashi"/>
          <w:rtl/>
          <w:lang w:bidi="he-IL"/>
        </w:rPr>
        <w:t xml:space="preserve"> </w:t>
      </w:r>
      <w:r w:rsidRPr="00400C0B">
        <w:rPr>
          <w:rFonts w:cs="Guttman Rashi" w:hint="eastAsia"/>
          <w:rtl/>
          <w:lang w:bidi="he-IL"/>
        </w:rPr>
        <w:t>חד</w:t>
      </w:r>
      <w:r w:rsidRPr="00400C0B">
        <w:rPr>
          <w:rFonts w:cs="Guttman Rashi"/>
          <w:rtl/>
          <w:lang w:bidi="he-IL"/>
        </w:rPr>
        <w:t xml:space="preserve"> </w:t>
      </w:r>
      <w:r w:rsidRPr="00400C0B">
        <w:rPr>
          <w:rFonts w:cs="Guttman Rashi" w:hint="eastAsia"/>
          <w:rtl/>
          <w:lang w:bidi="he-IL"/>
        </w:rPr>
        <w:t>פעמי</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משתמש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באופן</w:t>
      </w:r>
      <w:r w:rsidRPr="00400C0B">
        <w:rPr>
          <w:rFonts w:cs="Guttman Rashi"/>
          <w:rtl/>
          <w:lang w:bidi="he-IL"/>
        </w:rPr>
        <w:t xml:space="preserve"> </w:t>
      </w:r>
      <w:r w:rsidRPr="00400C0B">
        <w:rPr>
          <w:rFonts w:cs="Guttman Rashi" w:hint="eastAsia"/>
          <w:rtl/>
          <w:lang w:bidi="he-IL"/>
        </w:rPr>
        <w:t>קבוע</w:t>
      </w:r>
      <w:r w:rsidRPr="00400C0B">
        <w:rPr>
          <w:rFonts w:cs="Guttman Rashi"/>
          <w:rtl/>
          <w:lang w:bidi="he-IL"/>
        </w:rPr>
        <w:t xml:space="preserve">. </w:t>
      </w:r>
      <w:r w:rsidRPr="00400C0B">
        <w:rPr>
          <w:rFonts w:cs="Guttman Rashi" w:hint="eastAsia"/>
          <w:rtl/>
          <w:lang w:bidi="he-IL"/>
        </w:rPr>
        <w:t>ודבר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מאד</w:t>
      </w:r>
      <w:r w:rsidRPr="00400C0B">
        <w:rPr>
          <w:rFonts w:cs="Guttman Rashi"/>
          <w:rtl/>
          <w:lang w:bidi="he-IL"/>
        </w:rPr>
        <w:t xml:space="preserve"> </w:t>
      </w:r>
      <w:r w:rsidRPr="00400C0B">
        <w:rPr>
          <w:rFonts w:cs="Guttman Rashi" w:hint="eastAsia"/>
          <w:rtl/>
          <w:lang w:bidi="he-IL"/>
        </w:rPr>
        <w:t>הבין</w:t>
      </w:r>
      <w:r w:rsidRPr="00400C0B">
        <w:rPr>
          <w:rFonts w:cs="Guttman Rashi"/>
          <w:rtl/>
          <w:lang w:bidi="he-IL"/>
        </w:rPr>
        <w:t xml:space="preserve"> </w:t>
      </w:r>
      <w:r w:rsidRPr="00400C0B">
        <w:rPr>
          <w:rFonts w:cs="Guttman Rashi" w:hint="eastAsia"/>
          <w:rtl/>
          <w:lang w:bidi="he-IL"/>
        </w:rPr>
        <w:t>בדברי</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השואל</w:t>
      </w:r>
      <w:r w:rsidRPr="00400C0B">
        <w:rPr>
          <w:rFonts w:cs="Guttman Rashi"/>
          <w:rtl/>
          <w:lang w:bidi="he-IL"/>
        </w:rPr>
        <w:t xml:space="preserve"> </w:t>
      </w:r>
      <w:r w:rsidRPr="00400C0B">
        <w:rPr>
          <w:rFonts w:cs="Guttman Rashi" w:hint="eastAsia"/>
          <w:rtl/>
          <w:lang w:bidi="he-IL"/>
        </w:rPr>
        <w:t>מאותו</w:t>
      </w:r>
      <w:r w:rsidRPr="00400C0B">
        <w:rPr>
          <w:rFonts w:cs="Guttman Rashi"/>
          <w:rtl/>
          <w:lang w:bidi="he-IL"/>
        </w:rPr>
        <w:t xml:space="preserve"> </w:t>
      </w:r>
      <w:r w:rsidRPr="00400C0B">
        <w:rPr>
          <w:rFonts w:cs="Guttman Rashi" w:hint="eastAsia"/>
          <w:rtl/>
          <w:lang w:bidi="he-IL"/>
        </w:rPr>
        <w:t>האיש</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והערוה</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הסיק</w:t>
      </w:r>
      <w:r w:rsidRPr="00400C0B">
        <w:rPr>
          <w:rFonts w:cs="Guttman Rashi"/>
          <w:rtl/>
          <w:lang w:bidi="he-IL"/>
        </w:rPr>
        <w:t xml:space="preserve"> </w:t>
      </w:r>
      <w:r w:rsidRPr="00400C0B">
        <w:rPr>
          <w:rFonts w:cs="Guttman Rashi" w:hint="eastAsia"/>
          <w:rtl/>
          <w:lang w:bidi="he-IL"/>
        </w:rPr>
        <w:t>שפי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בביאור</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הבא</w:t>
      </w:r>
      <w:r w:rsidRPr="00400C0B">
        <w:rPr>
          <w:rFonts w:cs="Guttman Rashi"/>
          <w:rtl/>
          <w:lang w:bidi="he-IL"/>
        </w:rPr>
        <w:t>.</w:t>
      </w:r>
    </w:p>
  </w:footnote>
  <w:footnote w:id="47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בביאורים</w:t>
      </w:r>
      <w:r w:rsidRPr="00400C0B">
        <w:rPr>
          <w:rFonts w:cs="Guttman Rashi"/>
          <w:rtl/>
          <w:lang w:bidi="he-IL"/>
        </w:rPr>
        <w:t xml:space="preserve"> </w:t>
      </w:r>
      <w:r w:rsidRPr="00400C0B">
        <w:rPr>
          <w:rFonts w:cs="Guttman Rashi" w:hint="eastAsia"/>
          <w:rtl/>
          <w:lang w:bidi="he-IL"/>
        </w:rPr>
        <w:t>לס</w:t>
      </w:r>
      <w:r w:rsidRPr="00400C0B">
        <w:rPr>
          <w:rFonts w:cs="Guttman Rashi"/>
          <w:rtl/>
          <w:lang w:bidi="he-IL"/>
        </w:rPr>
        <w:t xml:space="preserve">' </w:t>
      </w:r>
      <w:r w:rsidRPr="00400C0B">
        <w:rPr>
          <w:rFonts w:cs="Guttman Rashi" w:hint="eastAsia"/>
          <w:rtl/>
          <w:lang w:bidi="he-IL"/>
        </w:rPr>
        <w:t>חלקת</w:t>
      </w:r>
      <w:r w:rsidRPr="00400C0B">
        <w:rPr>
          <w:rFonts w:cs="Guttman Rashi"/>
          <w:rtl/>
          <w:lang w:bidi="he-IL"/>
        </w:rPr>
        <w:t xml:space="preserve"> </w:t>
      </w:r>
      <w:r w:rsidRPr="00400C0B">
        <w:rPr>
          <w:rFonts w:cs="Guttman Rashi" w:hint="eastAsia"/>
          <w:rtl/>
          <w:lang w:bidi="he-IL"/>
        </w:rPr>
        <w:t>בנימין</w:t>
      </w:r>
      <w:r w:rsidRPr="00400C0B">
        <w:rPr>
          <w:rFonts w:cs="Guttman Rashi"/>
          <w:rtl/>
          <w:lang w:bidi="he-IL"/>
        </w:rPr>
        <w:t xml:space="preserve"> </w:t>
      </w:r>
      <w:r w:rsidRPr="00400C0B">
        <w:rPr>
          <w:rFonts w:cs="Guttman Rashi" w:hint="eastAsia"/>
          <w:rtl/>
          <w:lang w:bidi="he-IL"/>
        </w:rPr>
        <w:t>סע</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סוד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לחתוך</w:t>
      </w:r>
      <w:r w:rsidRPr="00400C0B">
        <w:rPr>
          <w:rFonts w:cs="Guttman Rashi"/>
          <w:rtl/>
          <w:lang w:bidi="he-IL"/>
        </w:rPr>
        <w:t xml:space="preserve"> </w:t>
      </w:r>
      <w:r w:rsidRPr="00400C0B">
        <w:rPr>
          <w:rFonts w:cs="Guttman Rashi" w:hint="eastAsia"/>
          <w:rtl/>
          <w:lang w:bidi="he-IL"/>
        </w:rPr>
        <w:t>שג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העיר</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w:t>
      </w:r>
    </w:p>
  </w:footnote>
  <w:footnote w:id="47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שהערנו</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בהערה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Ref482813255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449</w:t>
      </w:r>
      <w:r w:rsidRPr="00400C0B">
        <w:rPr>
          <w:rFonts w:cs="Guttman Rashi"/>
          <w:rtl/>
          <w:lang w:bidi="he-IL"/>
        </w:rPr>
        <w:fldChar w:fldCharType="end"/>
      </w:r>
      <w:r w:rsidRPr="00400C0B">
        <w:rPr>
          <w:rFonts w:cs="Guttman Rashi"/>
          <w:rtl/>
          <w:lang w:bidi="he-IL"/>
        </w:rPr>
        <w:t>.</w:t>
      </w:r>
    </w:p>
  </w:footnote>
  <w:footnote w:id="47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והי</w:t>
      </w:r>
      <w:r w:rsidRPr="00400C0B">
        <w:rPr>
          <w:rFonts w:cs="Guttman Rashi"/>
          <w:rtl/>
          <w:lang w:bidi="he-IL"/>
        </w:rPr>
        <w:t xml:space="preserve">' </w:t>
      </w:r>
      <w:r w:rsidRPr="00400C0B">
        <w:rPr>
          <w:rFonts w:cs="Guttman Rashi" w:hint="eastAsia"/>
          <w:rtl/>
          <w:lang w:bidi="he-IL"/>
        </w:rPr>
        <w:t>אולי</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שכוונת</w:t>
      </w:r>
      <w:r w:rsidRPr="00400C0B">
        <w:rPr>
          <w:rFonts w:cs="Guttman Rashi"/>
          <w:rtl/>
          <w:lang w:bidi="he-IL"/>
        </w:rPr>
        <w:t xml:space="preserve"> </w:t>
      </w:r>
      <w:r w:rsidRPr="00400C0B">
        <w:rPr>
          <w:rFonts w:cs="Guttman Rashi" w:hint="eastAsia"/>
          <w:rtl/>
          <w:lang w:bidi="he-IL"/>
        </w:rPr>
        <w:t>הב</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והבאים</w:t>
      </w:r>
      <w:r w:rsidRPr="00400C0B">
        <w:rPr>
          <w:rFonts w:cs="Guttman Rashi"/>
          <w:rtl/>
          <w:lang w:bidi="he-IL"/>
        </w:rPr>
        <w:t xml:space="preserve"> </w:t>
      </w:r>
      <w:r w:rsidRPr="00400C0B">
        <w:rPr>
          <w:rFonts w:cs="Guttman Rashi" w:hint="eastAsia"/>
          <w:rtl/>
          <w:lang w:bidi="he-IL"/>
        </w:rPr>
        <w:t>אחריו</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סחורה</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למסעדה</w:t>
      </w:r>
      <w:r w:rsidRPr="00400C0B">
        <w:rPr>
          <w:rFonts w:cs="Guttman Rashi"/>
          <w:rtl/>
          <w:lang w:bidi="he-IL"/>
        </w:rPr>
        <w:t xml:space="preserve"> </w:t>
      </w:r>
      <w:r w:rsidRPr="00400C0B">
        <w:rPr>
          <w:rFonts w:cs="Guttman Rashi" w:hint="eastAsia"/>
          <w:rtl/>
          <w:lang w:bidi="he-IL"/>
        </w:rPr>
        <w:t>וכדומה</w:t>
      </w:r>
      <w:r w:rsidRPr="00400C0B">
        <w:rPr>
          <w:rFonts w:cs="Guttman Rashi"/>
          <w:rtl/>
          <w:lang w:bidi="he-IL"/>
        </w:rPr>
        <w:t xml:space="preserve">, </w:t>
      </w:r>
      <w:r w:rsidRPr="00400C0B">
        <w:rPr>
          <w:rFonts w:cs="Guttman Rashi" w:hint="eastAsia"/>
          <w:rtl/>
          <w:lang w:bidi="he-IL"/>
        </w:rPr>
        <w:t>דאל</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קשה</w:t>
      </w:r>
      <w:r w:rsidRPr="00400C0B">
        <w:rPr>
          <w:rFonts w:cs="Guttman Rashi"/>
          <w:rtl/>
          <w:lang w:bidi="he-IL"/>
        </w:rPr>
        <w:t xml:space="preserve"> </w:t>
      </w:r>
      <w:r w:rsidRPr="00400C0B">
        <w:rPr>
          <w:rFonts w:cs="Guttman Rashi" w:hint="eastAsia"/>
          <w:rtl/>
          <w:lang w:bidi="he-IL"/>
        </w:rPr>
        <w:t>איך</w:t>
      </w:r>
      <w:r w:rsidRPr="00400C0B">
        <w:rPr>
          <w:rFonts w:cs="Guttman Rashi"/>
          <w:rtl/>
          <w:lang w:bidi="he-IL"/>
        </w:rPr>
        <w:t xml:space="preserve"> </w:t>
      </w:r>
      <w:r w:rsidRPr="00400C0B">
        <w:rPr>
          <w:rFonts w:cs="Guttman Rashi" w:hint="eastAsia"/>
          <w:rtl/>
          <w:lang w:bidi="he-IL"/>
        </w:rPr>
        <w:t>היו</w:t>
      </w:r>
      <w:r w:rsidRPr="00400C0B">
        <w:rPr>
          <w:rFonts w:cs="Guttman Rashi"/>
          <w:rtl/>
          <w:lang w:bidi="he-IL"/>
        </w:rPr>
        <w:t xml:space="preserve"> </w:t>
      </w:r>
      <w:r w:rsidRPr="00400C0B">
        <w:rPr>
          <w:rFonts w:cs="Guttman Rashi" w:hint="eastAsia"/>
          <w:rtl/>
          <w:lang w:bidi="he-IL"/>
        </w:rPr>
        <w:t>נוהגים</w:t>
      </w:r>
      <w:r w:rsidRPr="00400C0B">
        <w:rPr>
          <w:rFonts w:cs="Guttman Rashi"/>
          <w:rtl/>
          <w:lang w:bidi="he-IL"/>
        </w:rPr>
        <w:t xml:space="preserve"> </w:t>
      </w:r>
      <w:r w:rsidRPr="00400C0B">
        <w:rPr>
          <w:rFonts w:cs="Guttman Rashi" w:hint="eastAsia"/>
          <w:rtl/>
          <w:lang w:bidi="he-IL"/>
        </w:rPr>
        <w:t>להשתמש</w:t>
      </w:r>
      <w:r w:rsidRPr="00400C0B">
        <w:rPr>
          <w:rFonts w:cs="Guttman Rashi"/>
          <w:rtl/>
          <w:lang w:bidi="he-IL"/>
        </w:rPr>
        <w:t xml:space="preserve"> </w:t>
      </w:r>
      <w:r w:rsidRPr="00400C0B">
        <w:rPr>
          <w:rFonts w:cs="Guttman Rashi" w:hint="eastAsia"/>
          <w:rtl/>
          <w:lang w:bidi="he-IL"/>
        </w:rPr>
        <w:t>בכלים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סוחר</w:t>
      </w:r>
      <w:r w:rsidRPr="00400C0B">
        <w:rPr>
          <w:rFonts w:cs="Guttman Rashi"/>
          <w:rtl/>
          <w:lang w:bidi="he-IL"/>
        </w:rPr>
        <w:t xml:space="preserve"> </w:t>
      </w:r>
      <w:r w:rsidRPr="00400C0B">
        <w:rPr>
          <w:rFonts w:cs="Guttman Rashi" w:hint="eastAsia"/>
          <w:rtl/>
          <w:lang w:bidi="he-IL"/>
        </w:rPr>
        <w:t>העומדים</w:t>
      </w:r>
      <w:r w:rsidRPr="00400C0B">
        <w:rPr>
          <w:rFonts w:cs="Guttman Rashi"/>
          <w:rtl/>
          <w:lang w:bidi="he-IL"/>
        </w:rPr>
        <w:t xml:space="preserve"> </w:t>
      </w:r>
      <w:r w:rsidRPr="00400C0B">
        <w:rPr>
          <w:rFonts w:cs="Guttman Rashi" w:hint="eastAsia"/>
          <w:rtl/>
          <w:lang w:bidi="he-IL"/>
        </w:rPr>
        <w:t>לאכילה</w:t>
      </w:r>
      <w:r w:rsidRPr="00400C0B">
        <w:rPr>
          <w:rFonts w:cs="Guttman Rashi"/>
          <w:rtl/>
          <w:lang w:bidi="he-IL"/>
        </w:rPr>
        <w:t xml:space="preserve"> </w:t>
      </w:r>
      <w:r w:rsidRPr="00400C0B">
        <w:rPr>
          <w:rFonts w:cs="Guttman Rashi" w:hint="eastAsia"/>
          <w:rtl/>
          <w:lang w:bidi="he-IL"/>
        </w:rPr>
        <w:t>ושוב</w:t>
      </w:r>
      <w:r w:rsidRPr="00400C0B">
        <w:rPr>
          <w:rFonts w:cs="Guttman Rashi"/>
          <w:rtl/>
          <w:lang w:bidi="he-IL"/>
        </w:rPr>
        <w:t xml:space="preserve"> </w:t>
      </w:r>
      <w:r w:rsidRPr="00400C0B">
        <w:rPr>
          <w:rFonts w:cs="Guttman Rashi" w:hint="eastAsia"/>
          <w:rtl/>
          <w:lang w:bidi="he-IL"/>
        </w:rPr>
        <w:t>מוכרים</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ללוקחים</w:t>
      </w:r>
      <w:r w:rsidRPr="00400C0B">
        <w:rPr>
          <w:rFonts w:cs="Guttman Rashi"/>
          <w:rtl/>
          <w:lang w:bidi="he-IL"/>
        </w:rPr>
        <w:t xml:space="preserve">, </w:t>
      </w:r>
      <w:r w:rsidRPr="00400C0B">
        <w:rPr>
          <w:rFonts w:cs="Guttman Rashi" w:hint="eastAsia"/>
          <w:rtl/>
          <w:lang w:bidi="he-IL"/>
        </w:rPr>
        <w:t>שבזמנינו</w:t>
      </w:r>
      <w:r w:rsidRPr="00400C0B">
        <w:rPr>
          <w:rFonts w:cs="Guttman Rashi"/>
          <w:rtl/>
          <w:lang w:bidi="he-IL"/>
        </w:rPr>
        <w:t xml:space="preserve"> </w:t>
      </w:r>
      <w:r w:rsidRPr="00400C0B">
        <w:rPr>
          <w:rFonts w:cs="Guttman Rashi" w:hint="eastAsia"/>
          <w:rtl/>
          <w:lang w:bidi="he-IL"/>
        </w:rPr>
        <w:t>עכ</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אף</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קונה</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לאחר</w:t>
      </w:r>
      <w:r w:rsidRPr="00400C0B">
        <w:rPr>
          <w:rFonts w:cs="Guttman Rashi"/>
          <w:rtl/>
          <w:lang w:bidi="he-IL"/>
        </w:rPr>
        <w:t xml:space="preserve"> </w:t>
      </w:r>
      <w:r w:rsidRPr="00400C0B">
        <w:rPr>
          <w:rFonts w:cs="Guttman Rashi" w:hint="eastAsia"/>
          <w:rtl/>
          <w:lang w:bidi="he-IL"/>
        </w:rPr>
        <w:t>מכן</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בזמנם</w:t>
      </w:r>
      <w:r w:rsidRPr="00400C0B">
        <w:rPr>
          <w:rFonts w:cs="Guttman Rashi"/>
          <w:rtl/>
          <w:lang w:bidi="he-IL"/>
        </w:rPr>
        <w:t xml:space="preserve"> </w:t>
      </w:r>
      <w:r w:rsidRPr="00400C0B">
        <w:rPr>
          <w:rFonts w:cs="Guttman Rashi" w:hint="eastAsia"/>
          <w:rtl/>
          <w:lang w:bidi="he-IL"/>
        </w:rPr>
        <w:t>היו</w:t>
      </w:r>
      <w:r w:rsidRPr="00400C0B">
        <w:rPr>
          <w:rFonts w:cs="Guttman Rashi"/>
          <w:rtl/>
          <w:lang w:bidi="he-IL"/>
        </w:rPr>
        <w:t xml:space="preserve"> </w:t>
      </w:r>
      <w:r w:rsidRPr="00400C0B">
        <w:rPr>
          <w:rFonts w:cs="Guttman Rashi" w:hint="eastAsia"/>
          <w:rtl/>
          <w:lang w:bidi="he-IL"/>
        </w:rPr>
        <w:t>הסוחרים</w:t>
      </w:r>
      <w:r w:rsidRPr="00400C0B">
        <w:rPr>
          <w:rFonts w:cs="Guttman Rashi"/>
          <w:rtl/>
          <w:lang w:bidi="he-IL"/>
        </w:rPr>
        <w:t xml:space="preserve"> </w:t>
      </w:r>
      <w:r w:rsidRPr="00400C0B">
        <w:rPr>
          <w:rFonts w:cs="Guttman Rashi" w:hint="eastAsia"/>
          <w:rtl/>
          <w:lang w:bidi="he-IL"/>
        </w:rPr>
        <w:t>מוכרים</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משומשים</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מי</w:t>
      </w:r>
      <w:r w:rsidRPr="00400C0B">
        <w:rPr>
          <w:rFonts w:cs="Guttman Rashi"/>
          <w:rtl/>
          <w:lang w:bidi="he-IL"/>
        </w:rPr>
        <w:t xml:space="preserve"> </w:t>
      </w:r>
      <w:r w:rsidRPr="00400C0B">
        <w:rPr>
          <w:rFonts w:cs="Guttman Rashi" w:hint="eastAsia"/>
          <w:rtl/>
          <w:lang w:bidi="he-IL"/>
        </w:rPr>
        <w:t>שפוצה</w:t>
      </w:r>
      <w:r w:rsidRPr="00400C0B">
        <w:rPr>
          <w:rFonts w:cs="Guttman Rashi"/>
          <w:rtl/>
          <w:lang w:bidi="he-IL"/>
        </w:rPr>
        <w:t xml:space="preserve"> </w:t>
      </w:r>
      <w:r w:rsidRPr="00400C0B">
        <w:rPr>
          <w:rFonts w:cs="Guttman Rashi" w:hint="eastAsia"/>
          <w:rtl/>
          <w:lang w:bidi="he-IL"/>
        </w:rPr>
        <w:t>פה</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47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ושמעתי</w:t>
      </w:r>
      <w:r w:rsidRPr="00400C0B">
        <w:rPr>
          <w:rFonts w:cs="Guttman Rashi"/>
          <w:rtl/>
          <w:lang w:bidi="he-IL"/>
        </w:rPr>
        <w:t xml:space="preserve"> </w:t>
      </w:r>
      <w:r w:rsidRPr="00400C0B">
        <w:rPr>
          <w:rFonts w:cs="Guttman Rashi" w:hint="eastAsia"/>
          <w:rtl/>
          <w:lang w:bidi="he-IL"/>
        </w:rPr>
        <w:t>להעיר</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להטביל</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סעודה</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שישתנו</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סעודה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להסתפק</w:t>
      </w:r>
      <w:r w:rsidRPr="00400C0B">
        <w:rPr>
          <w:rFonts w:cs="Guttman Rashi"/>
          <w:rtl/>
          <w:lang w:bidi="he-IL"/>
        </w:rPr>
        <w:t xml:space="preserve"> </w:t>
      </w:r>
      <w:r w:rsidRPr="00400C0B">
        <w:rPr>
          <w:rFonts w:cs="Guttman Rashi" w:hint="eastAsia"/>
          <w:rtl/>
          <w:lang w:bidi="he-IL"/>
        </w:rPr>
        <w:t>בכה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שלקח</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מחנות</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אופצי</w:t>
      </w:r>
      <w:r w:rsidRPr="00400C0B">
        <w:rPr>
          <w:rFonts w:cs="Guttman Rashi"/>
          <w:rtl/>
          <w:lang w:bidi="he-IL"/>
        </w:rPr>
        <w:t xml:space="preserve">' </w:t>
      </w:r>
      <w:r w:rsidRPr="00400C0B">
        <w:rPr>
          <w:rFonts w:cs="Guttman Rashi" w:hint="eastAsia"/>
          <w:rtl/>
          <w:lang w:bidi="he-IL"/>
        </w:rPr>
        <w:t>להחזיר</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ולבטל</w:t>
      </w:r>
      <w:r w:rsidRPr="00400C0B">
        <w:rPr>
          <w:rFonts w:cs="Guttman Rashi"/>
          <w:rtl/>
          <w:lang w:bidi="he-IL"/>
        </w:rPr>
        <w:t xml:space="preserve"> </w:t>
      </w:r>
      <w:r w:rsidRPr="00400C0B">
        <w:rPr>
          <w:rFonts w:cs="Guttman Rashi" w:hint="eastAsia"/>
          <w:rtl/>
          <w:lang w:bidi="he-IL"/>
        </w:rPr>
        <w:t>המכר</w:t>
      </w:r>
      <w:r w:rsidRPr="00400C0B">
        <w:rPr>
          <w:rFonts w:cs="Guttman Rashi"/>
          <w:rtl/>
          <w:lang w:bidi="he-IL"/>
        </w:rPr>
        <w:t xml:space="preserve"> </w:t>
      </w:r>
      <w:r w:rsidRPr="00400C0B">
        <w:rPr>
          <w:rFonts w:cs="Guttman Rashi" w:hint="eastAsia"/>
          <w:rtl/>
          <w:lang w:bidi="he-IL"/>
        </w:rPr>
        <w:t>למפרע</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יכול</w:t>
      </w:r>
      <w:r w:rsidRPr="00400C0B">
        <w:rPr>
          <w:rFonts w:cs="Guttman Rashi"/>
          <w:rtl/>
          <w:lang w:bidi="he-IL"/>
        </w:rPr>
        <w:t xml:space="preserve"> </w:t>
      </w:r>
      <w:r w:rsidRPr="00400C0B">
        <w:rPr>
          <w:rFonts w:cs="Guttman Rashi" w:hint="eastAsia"/>
          <w:rtl/>
          <w:lang w:bidi="he-IL"/>
        </w:rPr>
        <w:t>לברך</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הטבילה</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כרגע</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שלו</w:t>
      </w:r>
      <w:r w:rsidRPr="00400C0B">
        <w:rPr>
          <w:rFonts w:cs="Guttman Rashi"/>
          <w:rtl/>
          <w:lang w:bidi="he-IL"/>
        </w:rPr>
        <w:t xml:space="preserve"> </w:t>
      </w:r>
      <w:r w:rsidRPr="00400C0B">
        <w:rPr>
          <w:rFonts w:cs="Guttman Rashi" w:hint="eastAsia"/>
          <w:rtl/>
          <w:lang w:bidi="he-IL"/>
        </w:rPr>
        <w:t>לגמרי</w:t>
      </w:r>
      <w:r w:rsidRPr="00400C0B">
        <w:rPr>
          <w:rFonts w:cs="Guttman Rashi"/>
          <w:rtl/>
          <w:lang w:bidi="he-IL"/>
        </w:rPr>
        <w:t xml:space="preserve">. </w:t>
      </w:r>
      <w:r w:rsidRPr="00400C0B">
        <w:rPr>
          <w:rFonts w:cs="Guttman Rashi" w:hint="eastAsia"/>
          <w:rtl/>
          <w:lang w:bidi="he-IL"/>
        </w:rPr>
        <w:t>ונהי</w:t>
      </w:r>
      <w:r w:rsidRPr="00400C0B">
        <w:rPr>
          <w:rFonts w:cs="Guttman Rashi"/>
          <w:rtl/>
          <w:lang w:bidi="he-IL"/>
        </w:rPr>
        <w:t xml:space="preserve"> </w:t>
      </w:r>
      <w:r w:rsidRPr="00400C0B">
        <w:rPr>
          <w:rFonts w:cs="Guttman Rashi" w:hint="eastAsia"/>
          <w:rtl/>
          <w:lang w:bidi="he-IL"/>
        </w:rPr>
        <w:t>נמי</w:t>
      </w:r>
      <w:r w:rsidRPr="00400C0B">
        <w:rPr>
          <w:rFonts w:cs="Guttman Rashi"/>
          <w:rtl/>
          <w:lang w:bidi="he-IL"/>
        </w:rPr>
        <w:t xml:space="preserve"> </w:t>
      </w:r>
      <w:r w:rsidRPr="00400C0B">
        <w:rPr>
          <w:rFonts w:cs="Guttman Rashi" w:hint="eastAsia"/>
          <w:rtl/>
          <w:lang w:bidi="he-IL"/>
        </w:rPr>
        <w:t>שאחרי</w:t>
      </w:r>
      <w:r w:rsidRPr="00400C0B">
        <w:rPr>
          <w:rFonts w:cs="Guttman Rashi"/>
          <w:rtl/>
          <w:lang w:bidi="he-IL"/>
        </w:rPr>
        <w:t xml:space="preserve"> </w:t>
      </w:r>
      <w:r w:rsidRPr="00400C0B">
        <w:rPr>
          <w:rFonts w:cs="Guttman Rashi" w:hint="eastAsia"/>
          <w:rtl/>
          <w:lang w:bidi="he-IL"/>
        </w:rPr>
        <w:t>שטובל</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יוכל</w:t>
      </w:r>
      <w:r w:rsidRPr="00400C0B">
        <w:rPr>
          <w:rFonts w:cs="Guttman Rashi"/>
          <w:rtl/>
          <w:lang w:bidi="he-IL"/>
        </w:rPr>
        <w:t xml:space="preserve"> </w:t>
      </w:r>
      <w:r w:rsidRPr="00400C0B">
        <w:rPr>
          <w:rFonts w:cs="Guttman Rashi" w:hint="eastAsia"/>
          <w:rtl/>
          <w:lang w:bidi="he-IL"/>
        </w:rPr>
        <w:t>להחזירו</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מאז</w:t>
      </w:r>
      <w:r w:rsidRPr="00400C0B">
        <w:rPr>
          <w:rFonts w:cs="Guttman Rashi"/>
          <w:rtl/>
          <w:lang w:bidi="he-IL"/>
        </w:rPr>
        <w:t xml:space="preserve"> </w:t>
      </w:r>
      <w:r w:rsidRPr="00400C0B">
        <w:rPr>
          <w:rFonts w:cs="Guttman Rashi" w:hint="eastAsia"/>
          <w:rtl/>
          <w:lang w:bidi="he-IL"/>
        </w:rPr>
        <w:t>והלאה</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שלו</w:t>
      </w:r>
      <w:r w:rsidRPr="00400C0B">
        <w:rPr>
          <w:rFonts w:cs="Guttman Rashi"/>
          <w:rtl/>
          <w:lang w:bidi="he-IL"/>
        </w:rPr>
        <w:t xml:space="preserve"> </w:t>
      </w:r>
      <w:r w:rsidRPr="00400C0B">
        <w:rPr>
          <w:rFonts w:cs="Guttman Rashi" w:hint="eastAsia"/>
          <w:rtl/>
          <w:lang w:bidi="he-IL"/>
        </w:rPr>
        <w:t>ככלי</w:t>
      </w:r>
      <w:r w:rsidRPr="00400C0B">
        <w:rPr>
          <w:rFonts w:cs="Guttman Rashi"/>
          <w:rtl/>
          <w:lang w:bidi="he-IL"/>
        </w:rPr>
        <w:t xml:space="preserve"> </w:t>
      </w:r>
      <w:r w:rsidRPr="00400C0B">
        <w:rPr>
          <w:rFonts w:cs="Guttman Rashi" w:hint="eastAsia"/>
          <w:rtl/>
          <w:lang w:bidi="he-IL"/>
        </w:rPr>
        <w:t>סעודה</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מברך</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ובשעה</w:t>
      </w:r>
      <w:r w:rsidRPr="00400C0B">
        <w:rPr>
          <w:rFonts w:cs="Guttman Rashi"/>
          <w:rtl/>
          <w:lang w:bidi="he-IL"/>
        </w:rPr>
        <w:t xml:space="preserve"> </w:t>
      </w:r>
      <w:r w:rsidRPr="00400C0B">
        <w:rPr>
          <w:rFonts w:cs="Guttman Rashi" w:hint="eastAsia"/>
          <w:rtl/>
          <w:lang w:bidi="he-IL"/>
        </w:rPr>
        <w:t>ההיא</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שלו</w:t>
      </w:r>
      <w:r w:rsidRPr="00400C0B">
        <w:rPr>
          <w:rFonts w:cs="Guttman Rashi"/>
          <w:rtl/>
          <w:lang w:bidi="he-IL"/>
        </w:rPr>
        <w:t xml:space="preserve"> </w:t>
      </w:r>
      <w:r w:rsidRPr="00400C0B">
        <w:rPr>
          <w:rFonts w:cs="Guttman Rashi" w:hint="eastAsia"/>
          <w:rtl/>
          <w:lang w:bidi="he-IL"/>
        </w:rPr>
        <w:t>לחלוטין</w:t>
      </w:r>
      <w:r w:rsidRPr="00400C0B">
        <w:rPr>
          <w:rFonts w:cs="Guttman Rashi"/>
          <w:rtl/>
          <w:lang w:bidi="he-IL"/>
        </w:rPr>
        <w:t xml:space="preserve">. </w:t>
      </w:r>
      <w:r w:rsidRPr="00400C0B">
        <w:rPr>
          <w:rFonts w:cs="Guttman Rashi" w:hint="eastAsia"/>
          <w:rtl/>
          <w:lang w:bidi="he-IL"/>
        </w:rPr>
        <w:t>וחוץ</w:t>
      </w:r>
      <w:r w:rsidRPr="00400C0B">
        <w:rPr>
          <w:rFonts w:cs="Guttman Rashi"/>
          <w:rtl/>
          <w:lang w:bidi="he-IL"/>
        </w:rPr>
        <w:t xml:space="preserve"> </w:t>
      </w:r>
      <w:r w:rsidRPr="00400C0B">
        <w:rPr>
          <w:rFonts w:cs="Guttman Rashi" w:hint="eastAsia"/>
          <w:rtl/>
          <w:lang w:bidi="he-IL"/>
        </w:rPr>
        <w:t>ממה</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לפקפק</w:t>
      </w:r>
      <w:r w:rsidRPr="00400C0B">
        <w:rPr>
          <w:rFonts w:cs="Guttman Rashi"/>
          <w:rtl/>
          <w:lang w:bidi="he-IL"/>
        </w:rPr>
        <w:t xml:space="preserve"> </w:t>
      </w:r>
      <w:r w:rsidRPr="00400C0B">
        <w:rPr>
          <w:rFonts w:cs="Guttman Rashi" w:hint="eastAsia"/>
          <w:rtl/>
          <w:lang w:bidi="he-IL"/>
        </w:rPr>
        <w:t>בכל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מכמה</w:t>
      </w:r>
      <w:r w:rsidRPr="00400C0B">
        <w:rPr>
          <w:rFonts w:cs="Guttman Rashi"/>
          <w:rtl/>
          <w:lang w:bidi="he-IL"/>
        </w:rPr>
        <w:t xml:space="preserve"> </w:t>
      </w:r>
      <w:r w:rsidRPr="00400C0B">
        <w:rPr>
          <w:rFonts w:cs="Guttman Rashi" w:hint="eastAsia"/>
          <w:rtl/>
          <w:lang w:bidi="he-IL"/>
        </w:rPr>
        <w:t>טעמים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להדגיש</w:t>
      </w:r>
      <w:r w:rsidRPr="00400C0B">
        <w:rPr>
          <w:rFonts w:cs="Guttman Rashi"/>
          <w:rtl/>
          <w:lang w:bidi="he-IL"/>
        </w:rPr>
        <w:t xml:space="preserve"> </w:t>
      </w:r>
      <w:r w:rsidRPr="00400C0B">
        <w:rPr>
          <w:rFonts w:cs="Guttman Rashi" w:hint="eastAsia"/>
          <w:rtl/>
          <w:lang w:bidi="he-IL"/>
        </w:rPr>
        <w:t>שהאופצי</w:t>
      </w:r>
      <w:r w:rsidRPr="00400C0B">
        <w:rPr>
          <w:rFonts w:cs="Guttman Rashi"/>
          <w:rtl/>
          <w:lang w:bidi="he-IL"/>
        </w:rPr>
        <w:t xml:space="preserve">' </w:t>
      </w:r>
      <w:r w:rsidRPr="00400C0B">
        <w:rPr>
          <w:rFonts w:cs="Guttman Rashi" w:hint="eastAsia"/>
          <w:rtl/>
          <w:lang w:bidi="he-IL"/>
        </w:rPr>
        <w:t>הרגילה</w:t>
      </w:r>
      <w:r w:rsidRPr="00400C0B">
        <w:rPr>
          <w:rFonts w:cs="Guttman Rashi"/>
          <w:rtl/>
          <w:lang w:bidi="he-IL"/>
        </w:rPr>
        <w:t xml:space="preserve"> </w:t>
      </w:r>
      <w:r w:rsidRPr="00400C0B">
        <w:rPr>
          <w:rFonts w:cs="Guttman Rashi" w:hint="eastAsia"/>
          <w:rtl/>
          <w:lang w:bidi="he-IL"/>
        </w:rPr>
        <w:t>להחזיר</w:t>
      </w:r>
      <w:r w:rsidRPr="00400C0B">
        <w:rPr>
          <w:rFonts w:cs="Guttman Rashi"/>
          <w:rtl/>
          <w:lang w:bidi="he-IL"/>
        </w:rPr>
        <w:t xml:space="preserve"> </w:t>
      </w:r>
      <w:r w:rsidRPr="00400C0B">
        <w:rPr>
          <w:rFonts w:cs="Guttman Rashi" w:hint="eastAsia"/>
          <w:rtl/>
          <w:lang w:bidi="he-IL"/>
        </w:rPr>
        <w:t>לחנות</w:t>
      </w:r>
      <w:r w:rsidRPr="00400C0B">
        <w:rPr>
          <w:rFonts w:cs="Guttman Rashi"/>
          <w:rtl/>
          <w:lang w:bidi="he-IL"/>
        </w:rPr>
        <w:t xml:space="preserve"> </w:t>
      </w:r>
      <w:r w:rsidRPr="00400C0B">
        <w:rPr>
          <w:rFonts w:cs="Guttman Rashi" w:hint="eastAsia"/>
          <w:rtl/>
          <w:lang w:bidi="he-IL"/>
        </w:rPr>
        <w:t>מסתמא</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נחשב</w:t>
      </w:r>
      <w:r w:rsidRPr="00400C0B">
        <w:rPr>
          <w:rFonts w:cs="Guttman Rashi"/>
          <w:rtl/>
          <w:lang w:bidi="he-IL"/>
        </w:rPr>
        <w:t xml:space="preserve"> </w:t>
      </w:r>
      <w:r w:rsidRPr="00400C0B">
        <w:rPr>
          <w:rFonts w:cs="Guttman Rashi" w:hint="eastAsia"/>
          <w:rtl/>
          <w:lang w:bidi="he-IL"/>
        </w:rPr>
        <w:t>כהגבלה</w:t>
      </w:r>
      <w:r w:rsidRPr="00400C0B">
        <w:rPr>
          <w:rFonts w:cs="Guttman Rashi"/>
          <w:rtl/>
          <w:lang w:bidi="he-IL"/>
        </w:rPr>
        <w:t xml:space="preserve"> </w:t>
      </w:r>
      <w:r w:rsidRPr="00400C0B">
        <w:rPr>
          <w:rFonts w:cs="Guttman Rashi" w:hint="eastAsia"/>
          <w:rtl/>
          <w:lang w:bidi="he-IL"/>
        </w:rPr>
        <w:t>בקנינו</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התחייבות</w:t>
      </w:r>
      <w:r w:rsidRPr="00400C0B">
        <w:rPr>
          <w:rFonts w:cs="Guttman Rashi"/>
          <w:rtl/>
          <w:lang w:bidi="he-IL"/>
        </w:rPr>
        <w:t xml:space="preserve"> </w:t>
      </w:r>
      <w:r w:rsidRPr="00400C0B">
        <w:rPr>
          <w:rFonts w:cs="Guttman Rashi" w:hint="eastAsia"/>
          <w:rtl/>
          <w:lang w:bidi="he-IL"/>
        </w:rPr>
        <w:t>מצד</w:t>
      </w:r>
      <w:r w:rsidRPr="00400C0B">
        <w:rPr>
          <w:rFonts w:cs="Guttman Rashi"/>
          <w:rtl/>
          <w:lang w:bidi="he-IL"/>
        </w:rPr>
        <w:t xml:space="preserve"> </w:t>
      </w:r>
      <w:r w:rsidRPr="00400C0B">
        <w:rPr>
          <w:rFonts w:cs="Guttman Rashi" w:hint="eastAsia"/>
          <w:rtl/>
          <w:lang w:bidi="he-IL"/>
        </w:rPr>
        <w:t>החנות</w:t>
      </w:r>
      <w:r w:rsidRPr="00400C0B">
        <w:rPr>
          <w:rFonts w:cs="Guttman Rashi"/>
          <w:rtl/>
          <w:lang w:bidi="he-IL"/>
        </w:rPr>
        <w:t xml:space="preserve"> </w:t>
      </w:r>
      <w:r w:rsidRPr="00400C0B">
        <w:rPr>
          <w:rFonts w:cs="Guttman Rashi" w:hint="eastAsia"/>
          <w:rtl/>
          <w:lang w:bidi="he-IL"/>
        </w:rPr>
        <w:t>לקנות</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חזרה</w:t>
      </w:r>
      <w:r w:rsidRPr="00400C0B">
        <w:rPr>
          <w:rFonts w:cs="Guttman Rashi"/>
          <w:rtl/>
          <w:lang w:bidi="he-IL"/>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להאריך</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אכמ</w:t>
      </w:r>
      <w:r w:rsidRPr="00400C0B">
        <w:rPr>
          <w:rFonts w:cs="Guttman Rashi"/>
          <w:rtl/>
          <w:lang w:bidi="he-IL"/>
        </w:rPr>
        <w:t>"</w:t>
      </w:r>
      <w:r w:rsidRPr="00400C0B">
        <w:rPr>
          <w:rFonts w:cs="Guttman Rashi" w:hint="eastAsia"/>
          <w:rtl/>
          <w:lang w:bidi="he-IL"/>
        </w:rPr>
        <w:t>ל</w:t>
      </w:r>
      <w:r w:rsidRPr="00400C0B">
        <w:rPr>
          <w:rFonts w:cs="Guttman Rashi"/>
          <w:rtl/>
          <w:lang w:bidi="he-IL"/>
        </w:rPr>
        <w:t>.</w:t>
      </w:r>
    </w:p>
  </w:footnote>
  <w:footnote w:id="47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ראיתי</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קרליץ</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הבית</w:t>
      </w:r>
      <w:r w:rsidRPr="00400C0B">
        <w:rPr>
          <w:rFonts w:cs="Guttman Rashi"/>
          <w:rtl/>
          <w:lang w:bidi="he-IL"/>
        </w:rPr>
        <w:t xml:space="preserve"> </w:t>
      </w:r>
      <w:r w:rsidRPr="00400C0B">
        <w:rPr>
          <w:rFonts w:cs="Guttman Rashi" w:hint="eastAsia"/>
          <w:rtl/>
          <w:lang w:bidi="he-IL"/>
        </w:rPr>
        <w:t>בכשרותו</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וראיתי</w:t>
      </w:r>
      <w:r w:rsidRPr="00400C0B">
        <w:rPr>
          <w:rFonts w:cs="Guttman Rashi"/>
          <w:rtl/>
          <w:lang w:bidi="he-IL"/>
        </w:rPr>
        <w:t xml:space="preserve"> </w:t>
      </w:r>
      <w:r w:rsidRPr="00400C0B">
        <w:rPr>
          <w:rFonts w:cs="Guttman Rashi" w:hint="eastAsia"/>
          <w:rtl/>
          <w:lang w:bidi="he-IL"/>
        </w:rPr>
        <w:t>בקונ</w:t>
      </w:r>
      <w:r w:rsidRPr="00400C0B">
        <w:rPr>
          <w:rFonts w:cs="Guttman Rashi"/>
          <w:rtl/>
          <w:lang w:bidi="he-IL"/>
        </w:rPr>
        <w:t xml:space="preserve">' </w:t>
      </w:r>
      <w:r w:rsidRPr="00400C0B">
        <w:rPr>
          <w:rFonts w:cs="Guttman Rashi" w:hint="eastAsia"/>
          <w:rtl/>
          <w:lang w:bidi="he-IL"/>
        </w:rPr>
        <w:t>שיעורי</w:t>
      </w:r>
      <w:r w:rsidRPr="00400C0B">
        <w:rPr>
          <w:rFonts w:cs="Guttman Rashi"/>
          <w:rtl/>
          <w:lang w:bidi="he-IL"/>
        </w:rPr>
        <w:t xml:space="preserve"> </w:t>
      </w:r>
      <w:r w:rsidRPr="00400C0B">
        <w:rPr>
          <w:rFonts w:cs="Guttman Rashi" w:hint="eastAsia"/>
          <w:rtl/>
          <w:lang w:bidi="he-IL"/>
        </w:rPr>
        <w:t>הלכה</w:t>
      </w:r>
      <w:r w:rsidRPr="00400C0B">
        <w:rPr>
          <w:rFonts w:cs="Guttman Rashi"/>
          <w:rtl/>
          <w:lang w:bidi="he-IL"/>
        </w:rPr>
        <w:t xml:space="preserve"> – </w:t>
      </w:r>
      <w:r w:rsidRPr="00400C0B">
        <w:rPr>
          <w:rFonts w:cs="Guttman Rashi" w:hint="eastAsia"/>
          <w:rtl/>
          <w:lang w:bidi="he-IL"/>
        </w:rPr>
        <w:t>טבילת</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להגרא</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ויג</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שהדגיש</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התכלית</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להניח</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אוכלין</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שיהא</w:t>
      </w:r>
      <w:r w:rsidRPr="00400C0B">
        <w:rPr>
          <w:rFonts w:cs="Guttman Rashi"/>
          <w:rtl/>
          <w:lang w:bidi="he-IL"/>
        </w:rPr>
        <w:t xml:space="preserve"> </w:t>
      </w:r>
      <w:r w:rsidRPr="00400C0B">
        <w:rPr>
          <w:rFonts w:cs="Guttman Rashi" w:hint="eastAsia"/>
          <w:rtl/>
          <w:lang w:bidi="he-IL"/>
        </w:rPr>
        <w:t>מתמנ</w:t>
      </w:r>
      <w:r w:rsidRPr="00400C0B">
        <w:rPr>
          <w:rFonts w:cs="Guttman Rashi"/>
          <w:rtl/>
          <w:lang w:bidi="he-IL"/>
        </w:rPr>
        <w:t xml:space="preserve"> </w:t>
      </w:r>
      <w:r w:rsidRPr="00400C0B">
        <w:rPr>
          <w:rFonts w:cs="Guttman Rashi" w:hint="eastAsia"/>
          <w:rtl/>
          <w:lang w:bidi="he-IL"/>
        </w:rPr>
        <w:t>יפה</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משתמשים</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לאחר</w:t>
      </w:r>
      <w:r w:rsidRPr="00400C0B">
        <w:rPr>
          <w:rFonts w:cs="Guttman Rashi"/>
          <w:rtl/>
          <w:lang w:bidi="he-IL"/>
        </w:rPr>
        <w:t xml:space="preserve"> </w:t>
      </w:r>
      <w:r w:rsidRPr="00400C0B">
        <w:rPr>
          <w:rFonts w:cs="Guttman Rashi" w:hint="eastAsia"/>
          <w:rtl/>
          <w:lang w:bidi="he-IL"/>
        </w:rPr>
        <w:t>מכן</w:t>
      </w:r>
      <w:r w:rsidRPr="00400C0B">
        <w:rPr>
          <w:rFonts w:cs="Guttman Rashi"/>
          <w:rtl/>
          <w:lang w:bidi="he-IL"/>
        </w:rPr>
        <w:t xml:space="preserve"> </w:t>
      </w:r>
      <w:r w:rsidRPr="00400C0B">
        <w:rPr>
          <w:rFonts w:cs="Guttman Rashi" w:hint="eastAsia"/>
          <w:rtl/>
          <w:lang w:bidi="he-IL"/>
        </w:rPr>
        <w:t>להגשה</w:t>
      </w:r>
      <w:r w:rsidRPr="00400C0B">
        <w:rPr>
          <w:rFonts w:cs="Guttman Rashi"/>
          <w:rtl/>
          <w:lang w:bidi="he-IL"/>
        </w:rPr>
        <w:t xml:space="preserve"> </w:t>
      </w:r>
      <w:r w:rsidRPr="00400C0B">
        <w:rPr>
          <w:rFonts w:cs="Guttman Rashi" w:hint="eastAsia"/>
          <w:rtl/>
          <w:lang w:bidi="he-IL"/>
        </w:rPr>
        <w:t>לסעודה</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ככלי</w:t>
      </w:r>
      <w:r w:rsidRPr="00400C0B">
        <w:rPr>
          <w:rFonts w:cs="Guttman Rashi"/>
          <w:rtl/>
          <w:lang w:bidi="he-IL"/>
        </w:rPr>
        <w:t xml:space="preserve"> </w:t>
      </w:r>
      <w:r w:rsidRPr="00400C0B">
        <w:rPr>
          <w:rFonts w:cs="Guttman Rashi" w:hint="eastAsia"/>
          <w:rtl/>
          <w:lang w:bidi="he-IL"/>
        </w:rPr>
        <w:t>איחסון</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עכ</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לברך</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טבילה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שברוב</w:t>
      </w:r>
      <w:r w:rsidRPr="00400C0B">
        <w:rPr>
          <w:rFonts w:cs="Guttman Rashi"/>
          <w:rtl/>
          <w:lang w:bidi="he-IL"/>
        </w:rPr>
        <w:t xml:space="preserve"> </w:t>
      </w:r>
      <w:r w:rsidRPr="00400C0B">
        <w:rPr>
          <w:rFonts w:cs="Guttman Rashi" w:hint="eastAsia"/>
          <w:rtl/>
          <w:lang w:bidi="he-IL"/>
        </w:rPr>
        <w:t>המקרים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הגשה</w:t>
      </w:r>
      <w:r w:rsidRPr="00400C0B">
        <w:rPr>
          <w:rFonts w:cs="Guttman Rashi"/>
          <w:rtl/>
          <w:lang w:bidi="he-IL"/>
        </w:rPr>
        <w:t xml:space="preserve"> </w:t>
      </w:r>
      <w:r w:rsidRPr="00400C0B">
        <w:rPr>
          <w:rFonts w:cs="Guttman Rashi" w:hint="eastAsia"/>
          <w:rtl/>
          <w:lang w:bidi="he-IL"/>
        </w:rPr>
        <w:t>רגיל</w:t>
      </w:r>
      <w:r w:rsidRPr="00400C0B">
        <w:rPr>
          <w:rFonts w:cs="Guttman Rashi"/>
          <w:rtl/>
          <w:lang w:bidi="he-IL"/>
        </w:rPr>
        <w:t xml:space="preserve"> </w:t>
      </w:r>
      <w:r w:rsidRPr="00400C0B">
        <w:rPr>
          <w:rFonts w:cs="Guttman Rashi" w:hint="eastAsia"/>
          <w:rtl/>
          <w:lang w:bidi="he-IL"/>
        </w:rPr>
        <w:t>שמביאים</w:t>
      </w:r>
      <w:r w:rsidRPr="00400C0B">
        <w:rPr>
          <w:rFonts w:cs="Guttman Rashi"/>
          <w:rtl/>
          <w:lang w:bidi="he-IL"/>
        </w:rPr>
        <w:t xml:space="preserve"> </w:t>
      </w:r>
      <w:r w:rsidRPr="00400C0B">
        <w:rPr>
          <w:rFonts w:cs="Guttman Rashi" w:hint="eastAsia"/>
          <w:rtl/>
          <w:lang w:bidi="he-IL"/>
        </w:rPr>
        <w:t>לסעודה</w:t>
      </w:r>
      <w:r w:rsidRPr="00400C0B">
        <w:rPr>
          <w:rFonts w:cs="Guttman Rashi"/>
          <w:rtl/>
          <w:lang w:bidi="he-IL"/>
        </w:rPr>
        <w:t xml:space="preserve"> </w:t>
      </w:r>
      <w:r w:rsidRPr="00400C0B">
        <w:rPr>
          <w:rFonts w:cs="Guttman Rashi" w:hint="eastAsia"/>
          <w:rtl/>
          <w:lang w:bidi="he-IL"/>
        </w:rPr>
        <w:t>בשעת</w:t>
      </w:r>
      <w:r w:rsidRPr="00400C0B">
        <w:rPr>
          <w:rFonts w:cs="Guttman Rashi"/>
          <w:rtl/>
          <w:lang w:bidi="he-IL"/>
        </w:rPr>
        <w:t xml:space="preserve"> </w:t>
      </w:r>
      <w:r w:rsidRPr="00400C0B">
        <w:rPr>
          <w:rFonts w:cs="Guttman Rashi" w:hint="eastAsia"/>
          <w:rtl/>
          <w:lang w:bidi="he-IL"/>
        </w:rPr>
        <w:t>קינוח</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חייב</w:t>
      </w:r>
      <w:r w:rsidRPr="00400C0B">
        <w:rPr>
          <w:rFonts w:cs="Guttman Rashi"/>
          <w:rtl/>
          <w:lang w:bidi="he-IL"/>
        </w:rPr>
        <w:t xml:space="preserve"> </w:t>
      </w:r>
      <w:r w:rsidRPr="00400C0B">
        <w:rPr>
          <w:rFonts w:cs="Guttman Rashi" w:hint="eastAsia"/>
          <w:rtl/>
          <w:lang w:bidi="he-IL"/>
        </w:rPr>
        <w:t>בטבילת</w:t>
      </w:r>
      <w:r w:rsidRPr="00400C0B">
        <w:rPr>
          <w:rFonts w:cs="Guttman Rashi"/>
          <w:rtl/>
          <w:lang w:bidi="he-IL"/>
        </w:rPr>
        <w:t xml:space="preserve"> </w:t>
      </w:r>
      <w:r w:rsidRPr="00400C0B">
        <w:rPr>
          <w:rFonts w:cs="Guttman Rashi" w:hint="eastAsia"/>
          <w:rtl/>
          <w:lang w:bidi="he-IL"/>
        </w:rPr>
        <w:t>בברכה</w:t>
      </w:r>
      <w:r w:rsidRPr="00400C0B">
        <w:rPr>
          <w:rFonts w:cs="Guttman Rashi"/>
          <w:rtl/>
          <w:lang w:bidi="he-IL"/>
        </w:rPr>
        <w:t>.</w:t>
      </w:r>
    </w:p>
  </w:footnote>
  <w:footnote w:id="47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שכן</w:t>
      </w:r>
      <w:r w:rsidRPr="00400C0B">
        <w:rPr>
          <w:rFonts w:cs="Guttman Rashi"/>
          <w:rtl/>
          <w:lang w:bidi="he-IL"/>
        </w:rPr>
        <w:t xml:space="preserve"> </w:t>
      </w:r>
      <w:r w:rsidRPr="00400C0B">
        <w:rPr>
          <w:rFonts w:cs="Guttman Rashi" w:hint="eastAsia"/>
          <w:rtl/>
          <w:lang w:bidi="he-IL"/>
        </w:rPr>
        <w:t>הורה</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חנוך</w:t>
      </w:r>
      <w:r w:rsidRPr="00400C0B">
        <w:rPr>
          <w:rFonts w:cs="Guttman Rashi"/>
          <w:rtl/>
          <w:lang w:bidi="he-IL"/>
        </w:rPr>
        <w:t xml:space="preserve"> </w:t>
      </w:r>
      <w:r w:rsidRPr="00400C0B">
        <w:rPr>
          <w:rFonts w:cs="Guttman Rashi" w:hint="eastAsia"/>
          <w:rtl/>
          <w:lang w:bidi="he-IL"/>
        </w:rPr>
        <w:t>לנער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מהרי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דיסקין</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המילואים</w:t>
      </w:r>
      <w:r w:rsidRPr="00400C0B">
        <w:rPr>
          <w:rFonts w:cs="Guttman Rashi"/>
          <w:rtl/>
          <w:lang w:bidi="he-IL"/>
        </w:rPr>
        <w:t xml:space="preserve"> </w:t>
      </w:r>
      <w:r w:rsidRPr="00400C0B">
        <w:rPr>
          <w:rFonts w:cs="Guttman Rashi" w:hint="eastAsia"/>
          <w:rtl/>
          <w:lang w:bidi="he-IL"/>
        </w:rPr>
        <w:t>לשיעור</w:t>
      </w:r>
      <w:r w:rsidRPr="00400C0B">
        <w:rPr>
          <w:rFonts w:cs="Guttman Rashi"/>
          <w:rtl/>
          <w:lang w:bidi="he-IL"/>
        </w:rPr>
        <w:t xml:space="preserve"> </w:t>
      </w:r>
      <w:r w:rsidRPr="00400C0B">
        <w:rPr>
          <w:rFonts w:cs="Guttman Rashi" w:hint="eastAsia"/>
          <w:rtl/>
          <w:lang w:bidi="he-IL"/>
        </w:rPr>
        <w:t>הקודם</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בענין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p>
  </w:footnote>
  <w:footnote w:id="47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וראיתי</w:t>
      </w:r>
      <w:r w:rsidRPr="00400C0B">
        <w:rPr>
          <w:rFonts w:cs="Guttman Rashi"/>
          <w:rtl/>
          <w:lang w:bidi="he-IL"/>
        </w:rPr>
        <w:t xml:space="preserve"> </w:t>
      </w:r>
      <w:r w:rsidRPr="00400C0B">
        <w:rPr>
          <w:rFonts w:cs="Guttman Rashi" w:hint="eastAsia"/>
          <w:rtl/>
          <w:lang w:bidi="he-IL"/>
        </w:rPr>
        <w:t>בערוה</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סע</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שדחה</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חזקת</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ענין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ענין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מצוה</w:t>
      </w:r>
      <w:r w:rsidRPr="00400C0B">
        <w:rPr>
          <w:rFonts w:cs="Guttman Rashi"/>
          <w:rtl/>
          <w:lang w:bidi="he-IL"/>
        </w:rPr>
        <w:t xml:space="preserve">. </w:t>
      </w:r>
      <w:r w:rsidRPr="00400C0B">
        <w:rPr>
          <w:rFonts w:cs="Guttman Rashi" w:hint="eastAsia"/>
          <w:rtl/>
          <w:lang w:bidi="he-IL"/>
        </w:rPr>
        <w:t>וכוונתו</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שאמנם</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להשתמש</w:t>
      </w:r>
      <w:r w:rsidRPr="00400C0B">
        <w:rPr>
          <w:rFonts w:cs="Guttman Rashi"/>
          <w:rtl/>
          <w:lang w:bidi="he-IL"/>
        </w:rPr>
        <w:t xml:space="preserve"> </w:t>
      </w:r>
      <w:r w:rsidRPr="00400C0B">
        <w:rPr>
          <w:rFonts w:cs="Guttman Rashi" w:hint="eastAsia"/>
          <w:rtl/>
          <w:lang w:bidi="he-IL"/>
        </w:rPr>
        <w:t>בו</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טבילה</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נובע</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המצוה</w:t>
      </w:r>
      <w:r w:rsidRPr="00400C0B">
        <w:rPr>
          <w:rFonts w:cs="Guttman Rashi"/>
          <w:rtl/>
          <w:lang w:bidi="he-IL"/>
        </w:rPr>
        <w:t xml:space="preserve">, </w:t>
      </w:r>
      <w:r w:rsidRPr="00400C0B">
        <w:rPr>
          <w:rFonts w:cs="Guttman Rashi" w:hint="eastAsia"/>
          <w:rtl/>
          <w:lang w:bidi="he-IL"/>
        </w:rPr>
        <w:t>ועד</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דליכא</w:t>
      </w:r>
      <w:r w:rsidRPr="00400C0B">
        <w:rPr>
          <w:rFonts w:cs="Guttman Rashi"/>
          <w:rtl/>
          <w:lang w:bidi="he-IL"/>
        </w:rPr>
        <w:t xml:space="preserve"> </w:t>
      </w:r>
      <w:r w:rsidRPr="00400C0B">
        <w:rPr>
          <w:rFonts w:cs="Guttman Rashi" w:hint="eastAsia"/>
          <w:rtl/>
          <w:lang w:bidi="he-IL"/>
        </w:rPr>
        <w:t>מצוה</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לדון</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חזקת</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תלוי</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בחקירה</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בגדר</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טבילת</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לגופם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דברים</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חזקת</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חזקת</w:t>
      </w:r>
      <w:r w:rsidRPr="00400C0B">
        <w:rPr>
          <w:rFonts w:cs="Guttman Rashi"/>
          <w:rtl/>
          <w:lang w:bidi="he-IL"/>
        </w:rPr>
        <w:t xml:space="preserve"> </w:t>
      </w:r>
      <w:r w:rsidRPr="00400C0B">
        <w:rPr>
          <w:rFonts w:cs="Guttman Rashi" w:hint="eastAsia"/>
          <w:rtl/>
          <w:lang w:bidi="he-IL"/>
        </w:rPr>
        <w:t>חיוב</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47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וחשבתי</w:t>
      </w:r>
      <w:r w:rsidRPr="00400C0B">
        <w:rPr>
          <w:rFonts w:cs="Guttman Rashi"/>
          <w:rtl/>
          <w:lang w:bidi="he-IL"/>
        </w:rPr>
        <w:t xml:space="preserve"> </w:t>
      </w:r>
      <w:r w:rsidRPr="00400C0B">
        <w:rPr>
          <w:rFonts w:cs="Guttman Rashi" w:hint="eastAsia"/>
          <w:rtl/>
          <w:lang w:bidi="he-IL"/>
        </w:rPr>
        <w:t>לבאר</w:t>
      </w:r>
      <w:r w:rsidRPr="00400C0B">
        <w:rPr>
          <w:rFonts w:cs="Guttman Rashi"/>
          <w:rtl/>
          <w:lang w:bidi="he-IL"/>
        </w:rPr>
        <w:t xml:space="preserve"> </w:t>
      </w:r>
      <w:r w:rsidRPr="00400C0B">
        <w:rPr>
          <w:rFonts w:cs="Guttman Rashi" w:hint="eastAsia"/>
          <w:rtl/>
          <w:lang w:bidi="he-IL"/>
        </w:rPr>
        <w:t>כונתם</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דסברי</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שהכלי</w:t>
      </w:r>
      <w:r w:rsidRPr="00400C0B">
        <w:rPr>
          <w:rFonts w:cs="Guttman Rashi"/>
          <w:rtl/>
          <w:lang w:bidi="he-IL"/>
        </w:rPr>
        <w:t xml:space="preserve"> </w:t>
      </w:r>
      <w:r w:rsidRPr="00400C0B">
        <w:rPr>
          <w:rFonts w:cs="Guttman Rashi" w:hint="eastAsia"/>
          <w:rtl/>
          <w:lang w:bidi="he-IL"/>
        </w:rPr>
        <w:t>סעודה</w:t>
      </w:r>
      <w:r w:rsidRPr="00400C0B">
        <w:rPr>
          <w:rFonts w:cs="Guttman Rashi"/>
          <w:rtl/>
          <w:lang w:bidi="he-IL"/>
        </w:rPr>
        <w:t xml:space="preserve"> </w:t>
      </w:r>
      <w:r w:rsidRPr="00400C0B">
        <w:rPr>
          <w:rFonts w:cs="Guttman Rashi" w:hint="eastAsia"/>
          <w:rtl/>
          <w:lang w:bidi="he-IL"/>
        </w:rPr>
        <w:t>בא</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העכו</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טומאה</w:t>
      </w:r>
      <w:r w:rsidRPr="00400C0B">
        <w:rPr>
          <w:rFonts w:cs="Guttman Rashi"/>
          <w:rtl/>
          <w:lang w:bidi="he-IL"/>
        </w:rPr>
        <w:t xml:space="preserve">. </w:t>
      </w:r>
      <w:r w:rsidRPr="00400C0B">
        <w:rPr>
          <w:rFonts w:cs="Guttman Rashi" w:hint="eastAsia"/>
          <w:rtl/>
          <w:lang w:bidi="he-IL"/>
        </w:rPr>
        <w:t>ובדרך</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היסוד</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הטומאה</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שיוצא</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הכלי</w:t>
      </w:r>
      <w:r w:rsidRPr="00400C0B">
        <w:rPr>
          <w:rFonts w:cs="Guttman Rashi"/>
          <w:rtl/>
          <w:lang w:bidi="he-IL"/>
        </w:rPr>
        <w:t xml:space="preserve"> </w:t>
      </w:r>
      <w:r w:rsidRPr="00400C0B">
        <w:rPr>
          <w:rFonts w:cs="Guttman Rashi" w:hint="eastAsia"/>
          <w:rtl/>
          <w:lang w:bidi="he-IL"/>
        </w:rPr>
        <w:t>ומטמא</w:t>
      </w:r>
      <w:r w:rsidRPr="00400C0B">
        <w:rPr>
          <w:rFonts w:cs="Guttman Rashi"/>
          <w:rtl/>
          <w:lang w:bidi="he-IL"/>
        </w:rPr>
        <w:t xml:space="preserve"> </w:t>
      </w:r>
      <w:r w:rsidRPr="00400C0B">
        <w:rPr>
          <w:rFonts w:cs="Guttman Rashi" w:hint="eastAsia"/>
          <w:rtl/>
          <w:lang w:bidi="he-IL"/>
        </w:rPr>
        <w:t>טהרות</w:t>
      </w:r>
      <w:r w:rsidRPr="00400C0B">
        <w:rPr>
          <w:rFonts w:cs="Guttman Rashi"/>
          <w:rtl/>
          <w:lang w:bidi="he-IL"/>
        </w:rPr>
        <w:t xml:space="preserve"> </w:t>
      </w:r>
      <w:r w:rsidRPr="00400C0B">
        <w:rPr>
          <w:rFonts w:cs="Guttman Rashi" w:hint="eastAsia"/>
          <w:rtl/>
          <w:lang w:bidi="he-IL"/>
        </w:rPr>
        <w:t>ומטמא</w:t>
      </w:r>
      <w:r w:rsidRPr="00400C0B">
        <w:rPr>
          <w:rFonts w:cs="Guttman Rashi"/>
          <w:rtl/>
          <w:lang w:bidi="he-IL"/>
        </w:rPr>
        <w:t xml:space="preserve"> </w:t>
      </w:r>
      <w:r w:rsidRPr="00400C0B">
        <w:rPr>
          <w:rFonts w:cs="Guttman Rashi" w:hint="eastAsia"/>
          <w:rtl/>
          <w:lang w:bidi="he-IL"/>
        </w:rPr>
        <w:t>אוכל</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טומאה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קיילא</w:t>
      </w:r>
      <w:r w:rsidRPr="00400C0B">
        <w:rPr>
          <w:rFonts w:cs="Guttman Rashi"/>
          <w:rtl/>
          <w:lang w:bidi="he-IL"/>
        </w:rPr>
        <w:t xml:space="preserve"> </w:t>
      </w:r>
      <w:r w:rsidRPr="00400C0B">
        <w:rPr>
          <w:rFonts w:cs="Guttman Rashi" w:hint="eastAsia"/>
          <w:rtl/>
          <w:lang w:bidi="he-IL"/>
        </w:rPr>
        <w:t>טפי</w:t>
      </w:r>
      <w:r w:rsidRPr="00400C0B">
        <w:rPr>
          <w:rFonts w:cs="Guttman Rashi"/>
          <w:rtl/>
          <w:lang w:bidi="he-IL"/>
        </w:rPr>
        <w:t xml:space="preserve">, </w:t>
      </w:r>
      <w:r w:rsidRPr="00400C0B">
        <w:rPr>
          <w:rFonts w:cs="Guttman Rashi" w:hint="eastAsia"/>
          <w:rtl/>
          <w:lang w:bidi="he-IL"/>
        </w:rPr>
        <w:t>דאע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שקיים</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יוצא</w:t>
      </w:r>
      <w:r w:rsidRPr="00400C0B">
        <w:rPr>
          <w:rFonts w:cs="Guttman Rashi"/>
          <w:rtl/>
          <w:lang w:bidi="he-IL"/>
        </w:rPr>
        <w:t xml:space="preserve"> </w:t>
      </w:r>
      <w:r w:rsidRPr="00400C0B">
        <w:rPr>
          <w:rFonts w:cs="Guttman Rashi" w:hint="eastAsia"/>
          <w:rtl/>
          <w:lang w:bidi="he-IL"/>
        </w:rPr>
        <w:t>לקלקל</w:t>
      </w:r>
      <w:r w:rsidRPr="00400C0B">
        <w:rPr>
          <w:rFonts w:cs="Guttman Rashi"/>
          <w:rtl/>
          <w:lang w:bidi="he-IL"/>
        </w:rPr>
        <w:t xml:space="preserve"> </w:t>
      </w:r>
      <w:r w:rsidRPr="00400C0B">
        <w:rPr>
          <w:rFonts w:cs="Guttman Rashi" w:hint="eastAsia"/>
          <w:rtl/>
          <w:lang w:bidi="he-IL"/>
        </w:rPr>
        <w:t>מאכלים</w:t>
      </w:r>
      <w:r w:rsidRPr="00400C0B">
        <w:rPr>
          <w:rFonts w:cs="Guttman Rashi"/>
          <w:rtl/>
          <w:lang w:bidi="he-IL"/>
        </w:rPr>
        <w:t xml:space="preserve"> </w:t>
      </w:r>
      <w:r w:rsidRPr="00400C0B">
        <w:rPr>
          <w:rFonts w:cs="Guttman Rashi" w:hint="eastAsia"/>
          <w:rtl/>
          <w:lang w:bidi="he-IL"/>
        </w:rPr>
        <w:t>אחרים</w:t>
      </w:r>
      <w:r w:rsidRPr="00400C0B">
        <w:rPr>
          <w:rFonts w:cs="Guttman Rashi"/>
          <w:rtl/>
          <w:lang w:bidi="he-IL"/>
        </w:rPr>
        <w:t xml:space="preserve">. </w:t>
      </w:r>
      <w:r w:rsidRPr="00400C0B">
        <w:rPr>
          <w:rFonts w:cs="Guttman Rashi" w:hint="eastAsia"/>
          <w:rtl/>
          <w:lang w:bidi="he-IL"/>
        </w:rPr>
        <w:t>ואע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שאסרוהו</w:t>
      </w:r>
      <w:r w:rsidRPr="00400C0B">
        <w:rPr>
          <w:rFonts w:cs="Guttman Rashi"/>
          <w:rtl/>
          <w:lang w:bidi="he-IL"/>
        </w:rPr>
        <w:t xml:space="preserve"> </w:t>
      </w:r>
      <w:r w:rsidRPr="00400C0B">
        <w:rPr>
          <w:rFonts w:cs="Guttman Rashi" w:hint="eastAsia"/>
          <w:rtl/>
          <w:lang w:bidi="he-IL"/>
        </w:rPr>
        <w:t>בשימוש</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הטבילה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לתא</w:t>
      </w:r>
      <w:r w:rsidRPr="00400C0B">
        <w:rPr>
          <w:rFonts w:cs="Guttman Rashi"/>
          <w:rtl/>
          <w:lang w:bidi="he-IL"/>
        </w:rPr>
        <w:t xml:space="preserve"> </w:t>
      </w:r>
      <w:r w:rsidRPr="00400C0B">
        <w:rPr>
          <w:rFonts w:cs="Guttman Rashi" w:hint="eastAsia"/>
          <w:rtl/>
          <w:lang w:bidi="he-IL"/>
        </w:rPr>
        <w:t>דמאכל</w:t>
      </w:r>
      <w:r w:rsidRPr="00400C0B">
        <w:rPr>
          <w:rFonts w:cs="Guttman Rashi"/>
          <w:rtl/>
          <w:lang w:bidi="he-IL"/>
        </w:rPr>
        <w:t xml:space="preserve">, </w:t>
      </w:r>
      <w:r w:rsidRPr="00400C0B">
        <w:rPr>
          <w:rFonts w:cs="Guttman Rashi" w:hint="eastAsia"/>
          <w:rtl/>
          <w:lang w:bidi="he-IL"/>
        </w:rPr>
        <w:t>שהגם</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מטמא</w:t>
      </w:r>
      <w:r w:rsidRPr="00400C0B">
        <w:rPr>
          <w:rFonts w:cs="Guttman Rashi"/>
          <w:rtl/>
          <w:lang w:bidi="he-IL"/>
        </w:rPr>
        <w:t xml:space="preserve"> </w:t>
      </w:r>
      <w:r w:rsidRPr="00400C0B">
        <w:rPr>
          <w:rFonts w:cs="Guttman Rashi" w:hint="eastAsia"/>
          <w:rtl/>
          <w:lang w:bidi="he-IL"/>
        </w:rPr>
        <w:t>המאכל</w:t>
      </w:r>
      <w:r w:rsidRPr="00400C0B">
        <w:rPr>
          <w:rFonts w:cs="Guttman Rashi"/>
          <w:rtl/>
          <w:lang w:bidi="he-IL"/>
        </w:rPr>
        <w:t xml:space="preserve"> </w:t>
      </w:r>
      <w:r w:rsidRPr="00400C0B">
        <w:rPr>
          <w:rFonts w:cs="Guttman Rashi" w:hint="eastAsia"/>
          <w:rtl/>
          <w:lang w:bidi="he-IL"/>
        </w:rPr>
        <w:t>בפועל</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אסורהו</w:t>
      </w:r>
      <w:r w:rsidRPr="00400C0B">
        <w:rPr>
          <w:rFonts w:cs="Guttman Rashi"/>
          <w:rtl/>
          <w:lang w:bidi="he-IL"/>
        </w:rPr>
        <w:t xml:space="preserve"> </w:t>
      </w:r>
      <w:r w:rsidRPr="00400C0B">
        <w:rPr>
          <w:rFonts w:cs="Guttman Rashi" w:hint="eastAsia"/>
          <w:rtl/>
          <w:lang w:bidi="he-IL"/>
        </w:rPr>
        <w:t>בו</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וכיון</w:t>
      </w:r>
      <w:r w:rsidRPr="00400C0B">
        <w:rPr>
          <w:rFonts w:cs="Guttman Rashi"/>
          <w:rtl/>
          <w:lang w:bidi="he-IL"/>
        </w:rPr>
        <w:t xml:space="preserve"> </w:t>
      </w:r>
      <w:r w:rsidRPr="00400C0B">
        <w:rPr>
          <w:rFonts w:cs="Guttman Rashi" w:hint="eastAsia"/>
          <w:rtl/>
          <w:lang w:bidi="he-IL"/>
        </w:rPr>
        <w:t>שכן</w:t>
      </w:r>
      <w:r w:rsidRPr="00400C0B">
        <w:rPr>
          <w:rFonts w:cs="Guttman Rashi"/>
          <w:rtl/>
          <w:lang w:bidi="he-IL"/>
        </w:rPr>
        <w:t xml:space="preserve"> </w:t>
      </w:r>
      <w:r w:rsidRPr="00400C0B">
        <w:rPr>
          <w:rFonts w:cs="Guttman Rashi" w:hint="eastAsia"/>
          <w:rtl/>
          <w:lang w:bidi="he-IL"/>
        </w:rPr>
        <w:t>חזינן</w:t>
      </w:r>
      <w:r w:rsidRPr="00400C0B">
        <w:rPr>
          <w:rFonts w:cs="Guttman Rashi"/>
          <w:rtl/>
          <w:lang w:bidi="he-IL"/>
        </w:rPr>
        <w:t xml:space="preserve"> </w:t>
      </w:r>
      <w:r w:rsidRPr="00400C0B">
        <w:rPr>
          <w:rFonts w:cs="Guttman Rashi" w:hint="eastAsia"/>
          <w:rtl/>
          <w:lang w:bidi="he-IL"/>
        </w:rPr>
        <w:t>שהיא</w:t>
      </w:r>
      <w:r w:rsidRPr="00400C0B">
        <w:rPr>
          <w:rFonts w:cs="Guttman Rashi"/>
          <w:rtl/>
          <w:lang w:bidi="he-IL"/>
        </w:rPr>
        <w:t xml:space="preserve"> </w:t>
      </w:r>
      <w:r w:rsidRPr="00400C0B">
        <w:rPr>
          <w:rFonts w:cs="Guttman Rashi" w:hint="eastAsia"/>
          <w:rtl/>
          <w:lang w:bidi="he-IL"/>
        </w:rPr>
        <w:t>טומאה</w:t>
      </w:r>
      <w:r w:rsidRPr="00400C0B">
        <w:rPr>
          <w:rFonts w:cs="Guttman Rashi"/>
          <w:rtl/>
          <w:lang w:bidi="he-IL"/>
        </w:rPr>
        <w:t xml:space="preserve"> </w:t>
      </w:r>
      <w:r w:rsidRPr="00400C0B">
        <w:rPr>
          <w:rFonts w:cs="Guttman Rashi" w:hint="eastAsia"/>
          <w:rtl/>
          <w:lang w:bidi="he-IL"/>
        </w:rPr>
        <w:t>קלה</w:t>
      </w:r>
      <w:r w:rsidRPr="00400C0B">
        <w:rPr>
          <w:rFonts w:cs="Guttman Rashi"/>
          <w:rtl/>
          <w:lang w:bidi="he-IL"/>
        </w:rPr>
        <w:t xml:space="preserve"> </w:t>
      </w:r>
      <w:r w:rsidRPr="00400C0B">
        <w:rPr>
          <w:rFonts w:cs="Guttman Rashi" w:hint="eastAsia"/>
          <w:rtl/>
          <w:lang w:bidi="he-IL"/>
        </w:rPr>
        <w:t>והדין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ועדיין</w:t>
      </w:r>
      <w:r w:rsidRPr="00400C0B">
        <w:rPr>
          <w:rFonts w:cs="Guttman Rashi"/>
          <w:rtl/>
          <w:lang w:bidi="he-IL"/>
        </w:rPr>
        <w:t xml:space="preserve"> </w:t>
      </w:r>
      <w:r w:rsidRPr="00400C0B">
        <w:rPr>
          <w:rFonts w:cs="Guttman Rashi" w:hint="eastAsia"/>
          <w:rtl/>
          <w:lang w:bidi="he-IL"/>
        </w:rPr>
        <w:t>צע</w:t>
      </w:r>
      <w:r w:rsidRPr="00400C0B">
        <w:rPr>
          <w:rFonts w:cs="Guttman Rashi"/>
          <w:rtl/>
          <w:lang w:bidi="he-IL"/>
        </w:rPr>
        <w:t>"</w:t>
      </w:r>
      <w:r w:rsidRPr="00400C0B">
        <w:rPr>
          <w:rFonts w:cs="Guttman Rashi" w:hint="eastAsia"/>
          <w:rtl/>
          <w:lang w:bidi="he-IL"/>
        </w:rPr>
        <w:t>ק</w:t>
      </w:r>
      <w:r w:rsidRPr="00400C0B">
        <w:rPr>
          <w:rFonts w:cs="Guttman Rashi"/>
          <w:rtl/>
          <w:lang w:bidi="he-IL"/>
        </w:rPr>
        <w:t>.</w:t>
      </w:r>
    </w:p>
  </w:footnote>
  <w:footnote w:id="47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ולשון</w:t>
      </w:r>
      <w:r w:rsidRPr="00400C0B">
        <w:rPr>
          <w:rFonts w:cs="Guttman Rashi"/>
          <w:rtl/>
          <w:lang w:bidi="he-IL"/>
        </w:rPr>
        <w:t xml:space="preserve"> </w:t>
      </w:r>
      <w:r w:rsidRPr="00400C0B">
        <w:rPr>
          <w:rFonts w:cs="Guttman Rashi" w:hint="eastAsia"/>
          <w:rtl/>
          <w:lang w:bidi="he-IL"/>
        </w:rPr>
        <w:t>מהרש</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דעובד</w:t>
      </w:r>
      <w:r w:rsidRPr="00400C0B">
        <w:rPr>
          <w:rFonts w:cs="Guttman Rashi"/>
          <w:rtl/>
          <w:lang w:bidi="he-IL"/>
        </w:rPr>
        <w:t xml:space="preserve"> </w:t>
      </w:r>
      <w:r w:rsidRPr="00400C0B">
        <w:rPr>
          <w:rFonts w:cs="Guttman Rashi" w:hint="eastAsia"/>
          <w:rtl/>
          <w:lang w:bidi="he-IL"/>
        </w:rPr>
        <w:t>כוכבים</w:t>
      </w:r>
      <w:r w:rsidRPr="00400C0B">
        <w:rPr>
          <w:rFonts w:cs="Guttman Rashi"/>
          <w:rtl/>
          <w:lang w:bidi="he-IL"/>
        </w:rPr>
        <w:t xml:space="preserve"> </w:t>
      </w:r>
      <w:r w:rsidRPr="00400C0B">
        <w:rPr>
          <w:rFonts w:cs="Guttman Rashi" w:hint="eastAsia"/>
          <w:rtl/>
          <w:lang w:bidi="he-IL"/>
        </w:rPr>
        <w:t>שמשכן</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זמן</w:t>
      </w:r>
      <w:r w:rsidRPr="00400C0B">
        <w:rPr>
          <w:rFonts w:cs="Guttman Rashi"/>
          <w:rtl/>
          <w:lang w:bidi="he-IL"/>
        </w:rPr>
        <w:t xml:space="preserve"> </w:t>
      </w:r>
      <w:r w:rsidRPr="00400C0B">
        <w:rPr>
          <w:rFonts w:cs="Guttman Rashi" w:hint="eastAsia"/>
          <w:rtl/>
          <w:lang w:bidi="he-IL"/>
        </w:rPr>
        <w:t>שמשכון</w:t>
      </w:r>
      <w:r w:rsidRPr="00400C0B">
        <w:rPr>
          <w:rFonts w:cs="Guttman Rashi"/>
          <w:rtl/>
          <w:lang w:bidi="he-IL"/>
        </w:rPr>
        <w:t xml:space="preserve"> </w:t>
      </w:r>
      <w:r w:rsidRPr="00400C0B">
        <w:rPr>
          <w:rFonts w:cs="Guttman Rashi" w:hint="eastAsia"/>
          <w:rtl/>
          <w:lang w:bidi="he-IL"/>
        </w:rPr>
        <w:t>ביד</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 xml:space="preserve"> '</w:t>
      </w:r>
      <w:r w:rsidRPr="00400C0B">
        <w:rPr>
          <w:rFonts w:cs="Guttman Rashi" w:hint="eastAsia"/>
          <w:rtl/>
          <w:lang w:bidi="he-IL"/>
        </w:rPr>
        <w:t>מחזי</w:t>
      </w:r>
      <w:r w:rsidRPr="00400C0B">
        <w:rPr>
          <w:rFonts w:cs="Guttman Rashi"/>
          <w:rtl/>
          <w:lang w:bidi="he-IL"/>
        </w:rPr>
        <w:t xml:space="preserve"> </w:t>
      </w:r>
      <w:r w:rsidRPr="00400C0B">
        <w:rPr>
          <w:rFonts w:cs="Guttman Rashi" w:hint="eastAsia"/>
          <w:rtl/>
          <w:lang w:bidi="he-IL"/>
        </w:rPr>
        <w:t>כשלו</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שזהו</w:t>
      </w:r>
      <w:r w:rsidRPr="00400C0B">
        <w:rPr>
          <w:rFonts w:cs="Guttman Rashi"/>
          <w:rtl/>
          <w:lang w:bidi="he-IL"/>
        </w:rPr>
        <w:t xml:space="preserve"> </w:t>
      </w:r>
      <w:r w:rsidRPr="00400C0B">
        <w:rPr>
          <w:rFonts w:cs="Guttman Rashi" w:hint="eastAsia"/>
          <w:rtl/>
          <w:lang w:bidi="he-IL"/>
        </w:rPr>
        <w:t>חיוב</w:t>
      </w:r>
      <w:r w:rsidRPr="00400C0B">
        <w:rPr>
          <w:rFonts w:cs="Guttman Rashi"/>
          <w:rtl/>
          <w:lang w:bidi="he-IL"/>
        </w:rPr>
        <w:t xml:space="preserve"> </w:t>
      </w:r>
      <w:r w:rsidRPr="00400C0B">
        <w:rPr>
          <w:rFonts w:cs="Guttman Rashi" w:hint="eastAsia"/>
          <w:rtl/>
          <w:lang w:bidi="he-IL"/>
        </w:rPr>
        <w:t>מדרבנן</w:t>
      </w:r>
      <w:r w:rsidRPr="00400C0B">
        <w:rPr>
          <w:rFonts w:cs="Guttman Rashi"/>
          <w:rtl/>
          <w:lang w:bidi="he-IL"/>
        </w:rPr>
        <w:t xml:space="preserve"> </w:t>
      </w:r>
      <w:r w:rsidRPr="00400C0B">
        <w:rPr>
          <w:rFonts w:cs="Guttman Rashi" w:hint="eastAsia"/>
          <w:rtl/>
          <w:lang w:bidi="he-IL"/>
        </w:rPr>
        <w:t>בלבד</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מכל</w:t>
      </w:r>
      <w:r w:rsidRPr="00400C0B">
        <w:rPr>
          <w:rFonts w:cs="Guttman Rashi"/>
          <w:rtl/>
          <w:lang w:bidi="he-IL"/>
        </w:rPr>
        <w:t xml:space="preserve"> </w:t>
      </w:r>
      <w:r w:rsidRPr="00400C0B">
        <w:rPr>
          <w:rFonts w:cs="Guttman Rashi" w:hint="eastAsia"/>
          <w:rtl/>
          <w:lang w:bidi="he-IL"/>
        </w:rPr>
        <w:t>הראשונים</w:t>
      </w:r>
      <w:r w:rsidRPr="00400C0B">
        <w:rPr>
          <w:rFonts w:cs="Guttman Rashi"/>
          <w:rtl/>
          <w:lang w:bidi="he-IL"/>
        </w:rPr>
        <w:t xml:space="preserve"> </w:t>
      </w:r>
      <w:r w:rsidRPr="00400C0B">
        <w:rPr>
          <w:rFonts w:cs="Guttman Rashi" w:hint="eastAsia"/>
          <w:rtl/>
          <w:lang w:bidi="he-IL"/>
        </w:rPr>
        <w:t>שנקטו</w:t>
      </w:r>
      <w:r w:rsidRPr="00400C0B">
        <w:rPr>
          <w:rFonts w:cs="Guttman Rashi"/>
          <w:rtl/>
          <w:lang w:bidi="he-IL"/>
        </w:rPr>
        <w:t xml:space="preserve"> </w:t>
      </w:r>
      <w:r w:rsidRPr="00400C0B">
        <w:rPr>
          <w:rFonts w:cs="Guttman Rashi" w:hint="eastAsia"/>
          <w:rtl/>
          <w:lang w:bidi="he-IL"/>
        </w:rPr>
        <w:t>שהספק</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לחומרא</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חזינן</w:t>
      </w:r>
      <w:r w:rsidRPr="00400C0B">
        <w:rPr>
          <w:rFonts w:cs="Guttman Rashi"/>
          <w:rtl/>
          <w:lang w:bidi="he-IL"/>
        </w:rPr>
        <w:t xml:space="preserve"> </w:t>
      </w:r>
      <w:r w:rsidRPr="00400C0B">
        <w:rPr>
          <w:rFonts w:cs="Guttman Rashi" w:hint="eastAsia"/>
          <w:rtl/>
          <w:lang w:bidi="he-IL"/>
        </w:rPr>
        <w:t>שלמאן</w:t>
      </w:r>
      <w:r w:rsidRPr="00400C0B">
        <w:rPr>
          <w:rFonts w:cs="Guttman Rashi"/>
          <w:rtl/>
          <w:lang w:bidi="he-IL"/>
        </w:rPr>
        <w:t xml:space="preserve"> </w:t>
      </w:r>
      <w:r w:rsidRPr="00400C0B">
        <w:rPr>
          <w:rFonts w:cs="Guttman Rashi" w:hint="eastAsia"/>
          <w:rtl/>
          <w:lang w:bidi="he-IL"/>
        </w:rPr>
        <w:t>דמחייב</w:t>
      </w:r>
      <w:r w:rsidRPr="00400C0B">
        <w:rPr>
          <w:rFonts w:cs="Guttman Rashi"/>
          <w:rtl/>
          <w:lang w:bidi="he-IL"/>
        </w:rPr>
        <w:t xml:space="preserve"> </w:t>
      </w:r>
      <w:r w:rsidRPr="00400C0B">
        <w:rPr>
          <w:rFonts w:cs="Guttman Rashi" w:hint="eastAsia"/>
          <w:rtl/>
          <w:lang w:bidi="he-IL"/>
        </w:rPr>
        <w:t>החיוב</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משכנתא</w:t>
      </w:r>
      <w:r w:rsidRPr="00400C0B">
        <w:rPr>
          <w:rFonts w:cs="Guttman Rashi"/>
          <w:rtl/>
          <w:lang w:bidi="he-IL"/>
        </w:rPr>
        <w:t xml:space="preserve"> </w:t>
      </w:r>
      <w:r w:rsidRPr="00400C0B">
        <w:rPr>
          <w:rFonts w:cs="Guttman Rashi" w:hint="eastAsia"/>
          <w:rtl/>
          <w:lang w:bidi="he-IL"/>
        </w:rPr>
        <w:t>מדאורייתא</w:t>
      </w:r>
      <w:r w:rsidRPr="00400C0B">
        <w:rPr>
          <w:rFonts w:cs="Guttman Rashi"/>
          <w:rtl/>
          <w:lang w:bidi="he-IL"/>
        </w:rPr>
        <w:t xml:space="preserve">. </w:t>
      </w:r>
    </w:p>
  </w:footnote>
  <w:footnote w:id="48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וכנראה</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חידוש</w:t>
      </w:r>
      <w:r w:rsidRPr="00400C0B">
        <w:rPr>
          <w:rFonts w:cs="Guttman Rashi"/>
          <w:rtl/>
          <w:lang w:bidi="he-IL"/>
        </w:rPr>
        <w:t xml:space="preserve"> </w:t>
      </w:r>
      <w:r w:rsidRPr="00400C0B">
        <w:rPr>
          <w:rFonts w:cs="Guttman Rashi" w:hint="eastAsia"/>
          <w:rtl/>
          <w:lang w:bidi="he-IL"/>
        </w:rPr>
        <w:t>שצריך</w:t>
      </w:r>
      <w:r w:rsidRPr="00400C0B">
        <w:rPr>
          <w:rFonts w:cs="Guttman Rashi"/>
          <w:rtl/>
          <w:lang w:bidi="he-IL"/>
        </w:rPr>
        <w:t xml:space="preserve"> </w:t>
      </w:r>
      <w:r w:rsidRPr="00400C0B">
        <w:rPr>
          <w:rFonts w:cs="Guttman Rashi" w:hint="eastAsia"/>
          <w:rtl/>
          <w:lang w:bidi="he-IL"/>
        </w:rPr>
        <w:t>הדחה</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תני</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וצע</w:t>
      </w:r>
      <w:r w:rsidRPr="00400C0B">
        <w:rPr>
          <w:rFonts w:cs="Guttman Rashi"/>
          <w:rtl/>
          <w:lang w:bidi="he-IL"/>
        </w:rPr>
        <w:t>"</w:t>
      </w:r>
      <w:r w:rsidRPr="00400C0B">
        <w:rPr>
          <w:rFonts w:cs="Guttman Rashi" w:hint="eastAsia"/>
          <w:rtl/>
          <w:lang w:bidi="he-IL"/>
        </w:rPr>
        <w:t>ק</w:t>
      </w:r>
      <w:r w:rsidRPr="00400C0B">
        <w:rPr>
          <w:rFonts w:cs="Guttman Rashi"/>
          <w:rtl/>
          <w:lang w:bidi="he-IL"/>
        </w:rPr>
        <w:t>.</w:t>
      </w:r>
    </w:p>
  </w:footnote>
  <w:footnote w:id="48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ושם</w:t>
      </w:r>
      <w:r w:rsidRPr="00400C0B">
        <w:rPr>
          <w:rFonts w:cs="Guttman Rashi"/>
          <w:rtl/>
          <w:lang w:bidi="he-IL"/>
        </w:rPr>
        <w:t xml:space="preserve"> </w:t>
      </w:r>
      <w:r w:rsidRPr="00400C0B">
        <w:rPr>
          <w:rFonts w:cs="Guttman Rashi" w:hint="eastAsia"/>
          <w:rtl/>
          <w:lang w:bidi="he-IL"/>
        </w:rPr>
        <w:t>בהערה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Ref483303142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302</w:t>
      </w:r>
      <w:r w:rsidRPr="00400C0B">
        <w:rPr>
          <w:rFonts w:cs="Guttman Rashi"/>
          <w:rtl/>
          <w:lang w:bidi="he-IL"/>
        </w:rPr>
        <w:fldChar w:fldCharType="end"/>
      </w:r>
      <w:r w:rsidRPr="00400C0B">
        <w:rPr>
          <w:rFonts w:cs="Guttman Rashi"/>
          <w:rtl/>
          <w:lang w:bidi="he-IL"/>
        </w:rPr>
        <w:t>.</w:t>
      </w:r>
    </w:p>
  </w:footnote>
  <w:footnote w:id="48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ובתוס</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מפריז</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שהקושיא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התנא</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המתני</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דמריקה</w:t>
      </w:r>
      <w:r w:rsidRPr="00400C0B">
        <w:rPr>
          <w:rFonts w:cs="Guttman Rashi"/>
          <w:rtl/>
          <w:lang w:bidi="he-IL"/>
        </w:rPr>
        <w:t xml:space="preserve"> </w:t>
      </w:r>
      <w:r w:rsidRPr="00400C0B">
        <w:rPr>
          <w:rFonts w:cs="Guttman Rashi" w:hint="eastAsia"/>
          <w:rtl/>
          <w:lang w:bidi="he-IL"/>
        </w:rPr>
        <w:t>ושטיפה</w:t>
      </w:r>
      <w:r w:rsidRPr="00400C0B">
        <w:rPr>
          <w:rFonts w:cs="Guttman Rashi"/>
          <w:rtl/>
          <w:lang w:bidi="he-IL"/>
        </w:rPr>
        <w:t xml:space="preserve"> </w:t>
      </w:r>
      <w:r w:rsidRPr="00400C0B">
        <w:rPr>
          <w:rFonts w:cs="Guttman Rashi" w:hint="eastAsia"/>
          <w:rtl/>
          <w:lang w:bidi="he-IL"/>
        </w:rPr>
        <w:t>בצונן</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דמריקה</w:t>
      </w:r>
      <w:r w:rsidRPr="00400C0B">
        <w:rPr>
          <w:rFonts w:cs="Guttman Rashi"/>
          <w:rtl/>
          <w:lang w:bidi="he-IL"/>
        </w:rPr>
        <w:t xml:space="preserve"> </w:t>
      </w:r>
      <w:r w:rsidRPr="00400C0B">
        <w:rPr>
          <w:rFonts w:cs="Guttman Rashi" w:hint="eastAsia"/>
          <w:rtl/>
          <w:lang w:bidi="he-IL"/>
        </w:rPr>
        <w:t>כמריקת</w:t>
      </w:r>
      <w:r w:rsidRPr="00400C0B">
        <w:rPr>
          <w:rFonts w:cs="Guttman Rashi"/>
          <w:rtl/>
          <w:lang w:bidi="he-IL"/>
        </w:rPr>
        <w:t xml:space="preserve"> </w:t>
      </w:r>
      <w:r w:rsidRPr="00400C0B">
        <w:rPr>
          <w:rFonts w:cs="Guttman Rashi" w:hint="eastAsia"/>
          <w:rtl/>
          <w:lang w:bidi="he-IL"/>
        </w:rPr>
        <w:t>הכוס</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מריקה</w:t>
      </w:r>
      <w:r w:rsidRPr="00400C0B">
        <w:rPr>
          <w:rFonts w:cs="Guttman Rashi"/>
          <w:rtl/>
          <w:lang w:bidi="he-IL"/>
        </w:rPr>
        <w:t xml:space="preserve"> </w:t>
      </w:r>
      <w:r w:rsidRPr="00400C0B">
        <w:rPr>
          <w:rFonts w:cs="Guttman Rashi" w:hint="eastAsia"/>
          <w:rtl/>
          <w:lang w:bidi="he-IL"/>
        </w:rPr>
        <w:t>בצונן</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מהרמב</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נכון</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לדידי</w:t>
      </w:r>
      <w:r w:rsidRPr="00400C0B">
        <w:rPr>
          <w:rFonts w:cs="Guttman Rashi"/>
          <w:rtl/>
          <w:lang w:bidi="he-IL"/>
        </w:rPr>
        <w:t xml:space="preserve">' </w:t>
      </w:r>
      <w:r w:rsidRPr="00400C0B">
        <w:rPr>
          <w:rFonts w:cs="Guttman Rashi" w:hint="eastAsia"/>
          <w:rtl/>
          <w:lang w:bidi="he-IL"/>
        </w:rPr>
        <w:t>מריקה</w:t>
      </w:r>
      <w:r w:rsidRPr="00400C0B">
        <w:rPr>
          <w:rFonts w:cs="Guttman Rashi"/>
          <w:rtl/>
          <w:lang w:bidi="he-IL"/>
        </w:rPr>
        <w:t xml:space="preserve"> </w:t>
      </w:r>
      <w:r w:rsidRPr="00400C0B">
        <w:rPr>
          <w:rFonts w:cs="Guttman Rashi" w:hint="eastAsia"/>
          <w:rtl/>
          <w:lang w:bidi="he-IL"/>
        </w:rPr>
        <w:t>בחמין</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מריקה</w:t>
      </w:r>
      <w:r w:rsidRPr="00400C0B">
        <w:rPr>
          <w:rFonts w:cs="Guttman Rashi"/>
          <w:rtl/>
          <w:lang w:bidi="he-IL"/>
        </w:rPr>
        <w:t xml:space="preserve"> </w:t>
      </w:r>
      <w:r w:rsidRPr="00400C0B">
        <w:rPr>
          <w:rFonts w:cs="Guttman Rashi" w:hint="eastAsia"/>
          <w:rtl/>
          <w:lang w:bidi="he-IL"/>
        </w:rPr>
        <w:t>כמריקת</w:t>
      </w:r>
      <w:r w:rsidRPr="00400C0B">
        <w:rPr>
          <w:rFonts w:cs="Guttman Rashi"/>
          <w:rtl/>
          <w:lang w:bidi="he-IL"/>
        </w:rPr>
        <w:t xml:space="preserve"> </w:t>
      </w:r>
      <w:r w:rsidRPr="00400C0B">
        <w:rPr>
          <w:rFonts w:cs="Guttman Rashi" w:hint="eastAsia"/>
          <w:rtl/>
          <w:lang w:bidi="he-IL"/>
        </w:rPr>
        <w:t>הכוס</w:t>
      </w:r>
      <w:r w:rsidRPr="00400C0B">
        <w:rPr>
          <w:rFonts w:cs="Guttman Rashi"/>
          <w:rtl/>
          <w:lang w:bidi="he-IL"/>
        </w:rPr>
        <w:t>.</w:t>
      </w:r>
    </w:p>
  </w:footnote>
  <w:footnote w:id="48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אליבא</w:t>
      </w:r>
      <w:r w:rsidRPr="00400C0B">
        <w:rPr>
          <w:rFonts w:cs="Guttman Rashi"/>
          <w:rtl/>
          <w:lang w:bidi="he-IL"/>
        </w:rPr>
        <w:t xml:space="preserve"> </w:t>
      </w:r>
      <w:r w:rsidRPr="00400C0B">
        <w:rPr>
          <w:rFonts w:cs="Guttman Rashi" w:hint="eastAsia"/>
          <w:rtl/>
          <w:lang w:bidi="he-IL"/>
        </w:rPr>
        <w:t>דתוס</w:t>
      </w:r>
      <w:r w:rsidRPr="00400C0B">
        <w:rPr>
          <w:rFonts w:cs="Guttman Rashi"/>
          <w:rtl/>
          <w:lang w:bidi="he-IL"/>
        </w:rPr>
        <w:t xml:space="preserve">' </w:t>
      </w:r>
      <w:r w:rsidRPr="00400C0B">
        <w:rPr>
          <w:rFonts w:cs="Guttman Rashi" w:hint="eastAsia"/>
          <w:rtl/>
          <w:lang w:bidi="he-IL"/>
        </w:rPr>
        <w:t>דרבה</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חלק</w:t>
      </w:r>
      <w:r w:rsidRPr="00400C0B">
        <w:rPr>
          <w:rFonts w:cs="Guttman Rashi"/>
          <w:rtl/>
          <w:lang w:bidi="he-IL"/>
        </w:rPr>
        <w:t xml:space="preserve"> </w:t>
      </w:r>
      <w:r w:rsidRPr="00400C0B">
        <w:rPr>
          <w:rFonts w:cs="Guttman Rashi" w:hint="eastAsia"/>
          <w:rtl/>
          <w:lang w:bidi="he-IL"/>
        </w:rPr>
        <w:t>וסבר</w:t>
      </w:r>
      <w:r w:rsidRPr="00400C0B">
        <w:rPr>
          <w:rFonts w:cs="Guttman Rashi"/>
          <w:rtl/>
          <w:lang w:bidi="he-IL"/>
        </w:rPr>
        <w:t xml:space="preserve"> </w:t>
      </w:r>
      <w:r w:rsidRPr="00400C0B">
        <w:rPr>
          <w:rFonts w:cs="Guttman Rashi" w:hint="eastAsia"/>
          <w:rtl/>
          <w:lang w:bidi="he-IL"/>
        </w:rPr>
        <w:t>שמריקה</w:t>
      </w:r>
      <w:r w:rsidRPr="00400C0B">
        <w:rPr>
          <w:rFonts w:cs="Guttman Rashi"/>
          <w:rtl/>
          <w:lang w:bidi="he-IL"/>
        </w:rPr>
        <w:t xml:space="preserve"> </w:t>
      </w:r>
      <w:r w:rsidRPr="00400C0B">
        <w:rPr>
          <w:rFonts w:cs="Guttman Rashi" w:hint="eastAsia"/>
          <w:rtl/>
          <w:lang w:bidi="he-IL"/>
        </w:rPr>
        <w:t>בחמין</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שייכות</w:t>
      </w:r>
      <w:r w:rsidRPr="00400C0B">
        <w:rPr>
          <w:rFonts w:cs="Guttman Rashi"/>
          <w:rtl/>
          <w:lang w:bidi="he-IL"/>
        </w:rPr>
        <w:t xml:space="preserve"> </w:t>
      </w:r>
      <w:r w:rsidRPr="00400C0B">
        <w:rPr>
          <w:rFonts w:cs="Guttman Rashi" w:hint="eastAsia"/>
          <w:rtl/>
          <w:lang w:bidi="he-IL"/>
        </w:rPr>
        <w:t>להכשר</w:t>
      </w:r>
      <w:r w:rsidRPr="00400C0B">
        <w:rPr>
          <w:rFonts w:cs="Guttman Rashi"/>
          <w:rtl/>
          <w:lang w:bidi="he-IL"/>
        </w:rPr>
        <w:t xml:space="preserve"> </w:t>
      </w:r>
      <w:r w:rsidRPr="00400C0B">
        <w:rPr>
          <w:rFonts w:cs="Guttman Rashi" w:hint="eastAsia"/>
          <w:rtl/>
          <w:lang w:bidi="he-IL"/>
        </w:rPr>
        <w:t>הכלי</w:t>
      </w:r>
      <w:r w:rsidRPr="00400C0B">
        <w:rPr>
          <w:rFonts w:cs="Guttman Rashi"/>
          <w:rtl/>
          <w:lang w:bidi="he-IL"/>
        </w:rPr>
        <w:t>.</w:t>
      </w:r>
    </w:p>
  </w:footnote>
  <w:footnote w:id="48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יצלה</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ואח</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יבשל</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שיוכל</w:t>
      </w:r>
      <w:r w:rsidRPr="00400C0B">
        <w:rPr>
          <w:rFonts w:cs="Guttman Rashi"/>
          <w:rtl/>
          <w:lang w:bidi="he-IL"/>
        </w:rPr>
        <w:t xml:space="preserve"> </w:t>
      </w:r>
      <w:r w:rsidRPr="00400C0B">
        <w:rPr>
          <w:rFonts w:cs="Guttman Rashi" w:hint="eastAsia"/>
          <w:rtl/>
          <w:lang w:bidi="he-IL"/>
        </w:rPr>
        <w:t>להכשירו</w:t>
      </w:r>
      <w:r w:rsidRPr="00400C0B">
        <w:rPr>
          <w:rFonts w:cs="Guttman Rashi"/>
          <w:rtl/>
          <w:lang w:bidi="he-IL"/>
        </w:rPr>
        <w:t xml:space="preserve"> </w:t>
      </w:r>
      <w:r w:rsidRPr="00400C0B">
        <w:rPr>
          <w:rFonts w:cs="Guttman Rashi" w:hint="eastAsia"/>
          <w:rtl/>
          <w:lang w:bidi="he-IL"/>
        </w:rPr>
        <w:t>בהגעלה</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שבשעת</w:t>
      </w:r>
      <w:r w:rsidRPr="00400C0B">
        <w:rPr>
          <w:rFonts w:cs="Guttman Rashi"/>
          <w:rtl/>
          <w:lang w:bidi="he-IL"/>
        </w:rPr>
        <w:t xml:space="preserve"> </w:t>
      </w:r>
      <w:r w:rsidRPr="00400C0B">
        <w:rPr>
          <w:rFonts w:cs="Guttman Rashi" w:hint="eastAsia"/>
          <w:rtl/>
          <w:lang w:bidi="he-IL"/>
        </w:rPr>
        <w:t>ההגעלה</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במגי</w:t>
      </w:r>
      <w:r w:rsidRPr="00400C0B">
        <w:rPr>
          <w:rFonts w:cs="Guttman Rashi"/>
          <w:rtl/>
          <w:lang w:bidi="he-IL"/>
        </w:rPr>
        <w:t>"</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רסי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צלו</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גבינה</w:t>
      </w:r>
      <w:r w:rsidRPr="00400C0B">
        <w:rPr>
          <w:rFonts w:cs="Guttman Rashi"/>
          <w:rtl/>
          <w:lang w:bidi="he-IL"/>
        </w:rPr>
        <w:t xml:space="preserve"> </w:t>
      </w:r>
      <w:r w:rsidRPr="00400C0B">
        <w:rPr>
          <w:rFonts w:cs="Guttman Rashi" w:hint="eastAsia"/>
          <w:rtl/>
          <w:lang w:bidi="he-IL"/>
        </w:rPr>
        <w:t>אחרי</w:t>
      </w:r>
      <w:r w:rsidRPr="00400C0B">
        <w:rPr>
          <w:rFonts w:cs="Guttman Rashi"/>
          <w:rtl/>
          <w:lang w:bidi="he-IL"/>
        </w:rPr>
        <w:t xml:space="preserve"> </w:t>
      </w:r>
      <w:r w:rsidRPr="00400C0B">
        <w:rPr>
          <w:rFonts w:cs="Guttman Rashi" w:hint="eastAsia"/>
          <w:rtl/>
          <w:lang w:bidi="he-IL"/>
        </w:rPr>
        <w:t>צליית</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ומשום</w:t>
      </w:r>
      <w:r w:rsidRPr="00400C0B">
        <w:rPr>
          <w:rFonts w:cs="Guttman Rashi"/>
          <w:rtl/>
          <w:lang w:bidi="he-IL"/>
        </w:rPr>
        <w:t xml:space="preserve"> </w:t>
      </w:r>
      <w:r w:rsidRPr="00400C0B">
        <w:rPr>
          <w:rFonts w:cs="Guttman Rashi" w:hint="eastAsia"/>
          <w:rtl/>
          <w:lang w:bidi="he-IL"/>
        </w:rPr>
        <w:t>שבכה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נכנס</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גבינה</w:t>
      </w:r>
      <w:r w:rsidRPr="00400C0B">
        <w:rPr>
          <w:rFonts w:cs="Guttman Rashi"/>
          <w:rtl/>
          <w:lang w:bidi="he-IL"/>
        </w:rPr>
        <w:t xml:space="preserve"> </w:t>
      </w:r>
      <w:r w:rsidRPr="00400C0B">
        <w:rPr>
          <w:rFonts w:cs="Guttman Rashi" w:hint="eastAsia"/>
          <w:rtl/>
          <w:lang w:bidi="he-IL"/>
        </w:rPr>
        <w:t>שכבר</w:t>
      </w:r>
      <w:r w:rsidRPr="00400C0B">
        <w:rPr>
          <w:rFonts w:cs="Guttman Rashi"/>
          <w:rtl/>
          <w:lang w:bidi="he-IL"/>
        </w:rPr>
        <w:t xml:space="preserve"> </w:t>
      </w:r>
      <w:r w:rsidRPr="00400C0B">
        <w:rPr>
          <w:rFonts w:cs="Guttman Rashi" w:hint="eastAsia"/>
          <w:rtl/>
          <w:lang w:bidi="he-IL"/>
        </w:rPr>
        <w:t>נאסרה</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לשפוד</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שפוד</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עכו</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p>
  </w:footnote>
  <w:footnote w:id="48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והעיר</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התלמידים</w:t>
      </w:r>
      <w:r w:rsidRPr="00400C0B">
        <w:rPr>
          <w:rFonts w:cs="Guttman Rashi"/>
          <w:rtl/>
          <w:lang w:bidi="he-IL"/>
        </w:rPr>
        <w:t xml:space="preserve"> </w:t>
      </w:r>
      <w:r w:rsidRPr="00400C0B">
        <w:rPr>
          <w:rFonts w:cs="Guttman Rashi" w:hint="eastAsia"/>
          <w:rtl/>
          <w:lang w:bidi="he-IL"/>
        </w:rPr>
        <w:t>שיחיו</w:t>
      </w:r>
      <w:r w:rsidRPr="00400C0B">
        <w:rPr>
          <w:rFonts w:cs="Guttman Rashi"/>
          <w:rtl/>
          <w:lang w:bidi="he-IL"/>
        </w:rPr>
        <w:t xml:space="preserve">, </w:t>
      </w:r>
      <w:r w:rsidRPr="00400C0B">
        <w:rPr>
          <w:rFonts w:cs="Guttman Rashi" w:hint="eastAsia"/>
          <w:rtl/>
          <w:lang w:bidi="he-IL"/>
        </w:rPr>
        <w:t>דבשלמא</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שאחרי</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שוב</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יוצא</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וכל</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שצריכים</w:t>
      </w:r>
      <w:r w:rsidRPr="00400C0B">
        <w:rPr>
          <w:rFonts w:cs="Guttman Rashi"/>
          <w:rtl/>
          <w:lang w:bidi="he-IL"/>
        </w:rPr>
        <w:t xml:space="preserve"> </w:t>
      </w:r>
      <w:r w:rsidRPr="00400C0B">
        <w:rPr>
          <w:rFonts w:cs="Guttman Rashi" w:hint="eastAsia"/>
          <w:rtl/>
          <w:lang w:bidi="he-IL"/>
        </w:rPr>
        <w:t>ליבון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תשמיש</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האור</w:t>
      </w:r>
      <w:r w:rsidRPr="00400C0B">
        <w:rPr>
          <w:rFonts w:cs="Guttman Rashi"/>
          <w:rtl/>
          <w:lang w:bidi="he-IL"/>
        </w:rPr>
        <w:t xml:space="preserve"> </w:t>
      </w:r>
      <w:r w:rsidRPr="00400C0B">
        <w:rPr>
          <w:rFonts w:cs="Guttman Rashi" w:hint="eastAsia"/>
          <w:rtl/>
          <w:lang w:bidi="he-IL"/>
        </w:rPr>
        <w:t>ניחא</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רוב</w:t>
      </w:r>
      <w:r w:rsidRPr="00400C0B">
        <w:rPr>
          <w:rFonts w:cs="Guttman Rashi"/>
          <w:rtl/>
          <w:lang w:bidi="he-IL"/>
        </w:rPr>
        <w:t xml:space="preserve"> </w:t>
      </w:r>
      <w:r w:rsidRPr="00400C0B">
        <w:rPr>
          <w:rFonts w:cs="Guttman Rashi" w:hint="eastAsia"/>
          <w:rtl/>
          <w:lang w:bidi="he-IL"/>
        </w:rPr>
        <w:t>ראשונים</w:t>
      </w:r>
      <w:r w:rsidRPr="00400C0B">
        <w:rPr>
          <w:rFonts w:cs="Guttman Rashi"/>
          <w:rtl/>
          <w:lang w:bidi="he-IL"/>
        </w:rPr>
        <w:t xml:space="preserve"> </w:t>
      </w:r>
      <w:r w:rsidRPr="00400C0B">
        <w:rPr>
          <w:rFonts w:cs="Guttman Rashi" w:hint="eastAsia"/>
          <w:rtl/>
          <w:lang w:bidi="he-IL"/>
        </w:rPr>
        <w:t>שאחרי</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יכול</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שיוצא</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חזינן</w:t>
      </w:r>
      <w:r w:rsidRPr="00400C0B">
        <w:rPr>
          <w:rFonts w:cs="Guttman Rashi"/>
          <w:rtl/>
          <w:lang w:bidi="he-IL"/>
        </w:rPr>
        <w:t xml:space="preserve"> </w:t>
      </w:r>
      <w:r w:rsidRPr="00400C0B">
        <w:rPr>
          <w:rFonts w:cs="Guttman Rashi" w:hint="eastAsia"/>
          <w:rtl/>
          <w:lang w:bidi="he-IL"/>
        </w:rPr>
        <w:t>דאע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יצא</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ההגעלה</w:t>
      </w:r>
      <w:r w:rsidRPr="00400C0B">
        <w:rPr>
          <w:rFonts w:cs="Guttman Rashi"/>
          <w:rtl/>
          <w:lang w:bidi="he-IL"/>
        </w:rPr>
        <w:t xml:space="preserve"> </w:t>
      </w:r>
      <w:r w:rsidRPr="00400C0B">
        <w:rPr>
          <w:rFonts w:cs="Guttman Rashi" w:hint="eastAsia"/>
          <w:rtl/>
          <w:lang w:bidi="he-IL"/>
        </w:rPr>
        <w:t>הראשונה</w:t>
      </w:r>
      <w:r w:rsidRPr="00400C0B">
        <w:rPr>
          <w:rFonts w:cs="Guttman Rashi"/>
          <w:rtl/>
          <w:lang w:bidi="he-IL"/>
        </w:rPr>
        <w:t xml:space="preserve">, </w:t>
      </w:r>
      <w:r w:rsidRPr="00400C0B">
        <w:rPr>
          <w:rFonts w:cs="Guttman Rashi" w:hint="eastAsia"/>
          <w:rtl/>
          <w:lang w:bidi="he-IL"/>
        </w:rPr>
        <w:t>יתכן</w:t>
      </w:r>
      <w:r w:rsidRPr="00400C0B">
        <w:rPr>
          <w:rFonts w:cs="Guttman Rashi"/>
          <w:rtl/>
          <w:lang w:bidi="he-IL"/>
        </w:rPr>
        <w:t xml:space="preserve"> </w:t>
      </w:r>
      <w:r w:rsidRPr="00400C0B">
        <w:rPr>
          <w:rFonts w:cs="Guttman Rashi" w:hint="eastAsia"/>
          <w:rtl/>
          <w:lang w:bidi="he-IL"/>
        </w:rPr>
        <w:t>שיצא</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ובליעות</w:t>
      </w:r>
      <w:r w:rsidRPr="00400C0B">
        <w:rPr>
          <w:rFonts w:cs="Guttman Rashi"/>
          <w:rtl/>
          <w:lang w:bidi="he-IL"/>
        </w:rPr>
        <w:t xml:space="preserve"> </w:t>
      </w:r>
      <w:r w:rsidRPr="00400C0B">
        <w:rPr>
          <w:rFonts w:cs="Guttman Rashi" w:hint="eastAsia"/>
          <w:rtl/>
          <w:lang w:bidi="he-IL"/>
        </w:rPr>
        <w:t>אלו</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שונים</w:t>
      </w:r>
      <w:r w:rsidRPr="00400C0B">
        <w:rPr>
          <w:rFonts w:cs="Guttman Rashi"/>
          <w:rtl/>
          <w:lang w:bidi="he-IL"/>
        </w:rPr>
        <w:t xml:space="preserve"> </w:t>
      </w:r>
      <w:r w:rsidRPr="00400C0B">
        <w:rPr>
          <w:rFonts w:cs="Guttman Rashi" w:hint="eastAsia"/>
          <w:rtl/>
          <w:lang w:bidi="he-IL"/>
        </w:rPr>
        <w:t>משאר</w:t>
      </w:r>
      <w:r w:rsidRPr="00400C0B">
        <w:rPr>
          <w:rFonts w:cs="Guttman Rashi"/>
          <w:rtl/>
          <w:lang w:bidi="he-IL"/>
        </w:rPr>
        <w:t xml:space="preserve"> </w:t>
      </w:r>
      <w:r w:rsidRPr="00400C0B">
        <w:rPr>
          <w:rFonts w:cs="Guttman Rashi" w:hint="eastAsia"/>
          <w:rtl/>
          <w:lang w:bidi="he-IL"/>
        </w:rPr>
        <w:t>בליעות</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שאינם</w:t>
      </w:r>
      <w:r w:rsidRPr="00400C0B">
        <w:rPr>
          <w:rFonts w:cs="Guttman Rashi"/>
          <w:rtl/>
          <w:lang w:bidi="he-IL"/>
        </w:rPr>
        <w:t xml:space="preserve"> </w:t>
      </w:r>
      <w:r w:rsidRPr="00400C0B">
        <w:rPr>
          <w:rFonts w:cs="Guttman Rashi" w:hint="eastAsia"/>
          <w:rtl/>
          <w:lang w:bidi="he-IL"/>
        </w:rPr>
        <w:t>יוצאים</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ההגעלה</w:t>
      </w:r>
      <w:r w:rsidRPr="00400C0B">
        <w:rPr>
          <w:rFonts w:cs="Guttman Rashi"/>
          <w:rtl/>
          <w:lang w:bidi="he-IL"/>
        </w:rPr>
        <w:t xml:space="preserve"> </w:t>
      </w:r>
      <w:r w:rsidRPr="00400C0B">
        <w:rPr>
          <w:rFonts w:cs="Guttman Rashi" w:hint="eastAsia"/>
          <w:rtl/>
          <w:lang w:bidi="he-IL"/>
        </w:rPr>
        <w:t>הראשונה</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הם</w:t>
      </w:r>
      <w:r w:rsidRPr="00400C0B">
        <w:rPr>
          <w:rFonts w:cs="Guttman Rashi"/>
          <w:rtl/>
          <w:lang w:bidi="he-IL"/>
        </w:rPr>
        <w:t xml:space="preserve"> </w:t>
      </w:r>
      <w:r w:rsidRPr="00400C0B">
        <w:rPr>
          <w:rFonts w:cs="Guttman Rashi" w:hint="eastAsia"/>
          <w:rtl/>
          <w:lang w:bidi="he-IL"/>
        </w:rPr>
        <w:t>חלושים</w:t>
      </w:r>
      <w:r w:rsidRPr="00400C0B">
        <w:rPr>
          <w:rFonts w:cs="Guttman Rashi"/>
          <w:rtl/>
          <w:lang w:bidi="he-IL"/>
        </w:rPr>
        <w:t xml:space="preserve"> </w:t>
      </w:r>
      <w:r w:rsidRPr="00400C0B">
        <w:rPr>
          <w:rFonts w:cs="Guttman Rashi" w:hint="eastAsia"/>
          <w:rtl/>
          <w:lang w:bidi="he-IL"/>
        </w:rPr>
        <w:t>ואינם</w:t>
      </w:r>
      <w:r w:rsidRPr="00400C0B">
        <w:rPr>
          <w:rFonts w:cs="Guttman Rashi"/>
          <w:rtl/>
          <w:lang w:bidi="he-IL"/>
        </w:rPr>
        <w:t xml:space="preserve"> </w:t>
      </w:r>
      <w:r w:rsidRPr="00400C0B">
        <w:rPr>
          <w:rFonts w:cs="Guttman Rashi" w:hint="eastAsia"/>
          <w:rtl/>
          <w:lang w:bidi="he-IL"/>
        </w:rPr>
        <w:t>נאסרים</w:t>
      </w:r>
      <w:r w:rsidRPr="00400C0B">
        <w:rPr>
          <w:rFonts w:cs="Guttman Rashi"/>
          <w:rtl/>
          <w:lang w:bidi="he-IL"/>
        </w:rPr>
        <w:t xml:space="preserve">.  </w:t>
      </w:r>
    </w:p>
  </w:footnote>
  <w:footnote w:id="48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חזו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רסי</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המבואר</w:t>
      </w:r>
      <w:r w:rsidRPr="00400C0B">
        <w:rPr>
          <w:rFonts w:cs="Guttman Rashi"/>
          <w:rtl/>
          <w:lang w:bidi="he-IL"/>
        </w:rPr>
        <w:t xml:space="preserve"> </w:t>
      </w:r>
      <w:r w:rsidRPr="00400C0B">
        <w:rPr>
          <w:rFonts w:cs="Guttman Rashi" w:hint="eastAsia"/>
          <w:rtl/>
          <w:lang w:bidi="he-IL"/>
        </w:rPr>
        <w:t>בסמוך</w:t>
      </w:r>
      <w:r w:rsidRPr="00400C0B">
        <w:rPr>
          <w:rFonts w:cs="Guttman Rashi"/>
          <w:rtl/>
          <w:lang w:bidi="he-IL"/>
        </w:rPr>
        <w:t xml:space="preserve"> </w:t>
      </w:r>
      <w:r w:rsidRPr="00400C0B">
        <w:rPr>
          <w:rFonts w:cs="Guttman Rashi" w:hint="eastAsia"/>
          <w:rtl/>
          <w:lang w:bidi="he-IL"/>
        </w:rPr>
        <w:t>ביורה</w:t>
      </w:r>
      <w:r w:rsidRPr="00400C0B">
        <w:rPr>
          <w:rFonts w:cs="Guttman Rashi"/>
          <w:rtl/>
          <w:lang w:bidi="he-IL"/>
        </w:rPr>
        <w:t xml:space="preserve"> </w:t>
      </w:r>
      <w:r w:rsidRPr="00400C0B">
        <w:rPr>
          <w:rFonts w:cs="Guttman Rashi" w:hint="eastAsia"/>
          <w:rtl/>
          <w:lang w:bidi="he-IL"/>
        </w:rPr>
        <w:t>גדולה</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הצורך</w:t>
      </w:r>
      <w:r w:rsidRPr="00400C0B">
        <w:rPr>
          <w:rFonts w:cs="Guttman Rashi"/>
          <w:rtl/>
          <w:lang w:bidi="he-IL"/>
        </w:rPr>
        <w:t xml:space="preserve"> </w:t>
      </w:r>
      <w:r w:rsidRPr="00400C0B">
        <w:rPr>
          <w:rFonts w:cs="Guttman Rashi" w:hint="eastAsia"/>
          <w:rtl/>
          <w:lang w:bidi="he-IL"/>
        </w:rPr>
        <w:t>להכניס</w:t>
      </w:r>
      <w:r w:rsidRPr="00400C0B">
        <w:rPr>
          <w:rFonts w:cs="Guttman Rashi"/>
          <w:rtl/>
          <w:lang w:bidi="he-IL"/>
        </w:rPr>
        <w:t xml:space="preserve"> </w:t>
      </w:r>
      <w:r w:rsidRPr="00400C0B">
        <w:rPr>
          <w:rFonts w:cs="Guttman Rashi" w:hint="eastAsia"/>
          <w:rtl/>
          <w:lang w:bidi="he-IL"/>
        </w:rPr>
        <w:t>הכלי</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השפה</w:t>
      </w:r>
      <w:r w:rsidRPr="00400C0B">
        <w:rPr>
          <w:rFonts w:cs="Guttman Rashi"/>
          <w:rtl/>
          <w:lang w:bidi="he-IL"/>
        </w:rPr>
        <w:t xml:space="preserve">. </w:t>
      </w:r>
      <w:r w:rsidRPr="00400C0B">
        <w:rPr>
          <w:rFonts w:cs="Guttman Rashi" w:hint="eastAsia"/>
          <w:rtl/>
          <w:lang w:bidi="he-IL"/>
        </w:rPr>
        <w:t>ורש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בד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בתוך</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וי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שלכתחילה</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עדיף</w:t>
      </w:r>
      <w:r w:rsidRPr="00400C0B">
        <w:rPr>
          <w:rFonts w:cs="Guttman Rashi"/>
          <w:rtl/>
          <w:lang w:bidi="he-IL"/>
        </w:rPr>
        <w:t xml:space="preserve"> </w:t>
      </w:r>
      <w:r w:rsidRPr="00400C0B">
        <w:rPr>
          <w:rFonts w:cs="Guttman Rashi" w:hint="eastAsia"/>
          <w:rtl/>
          <w:lang w:bidi="he-IL"/>
        </w:rPr>
        <w:t>שיעבור</w:t>
      </w:r>
      <w:r w:rsidRPr="00400C0B">
        <w:rPr>
          <w:rFonts w:cs="Guttman Rashi"/>
          <w:rtl/>
          <w:lang w:bidi="he-IL"/>
        </w:rPr>
        <w:t xml:space="preserve"> </w:t>
      </w:r>
      <w:r w:rsidRPr="00400C0B">
        <w:rPr>
          <w:rFonts w:cs="Guttman Rashi" w:hint="eastAsia"/>
          <w:rtl/>
          <w:lang w:bidi="he-IL"/>
        </w:rPr>
        <w:t>בכולו</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לעיכובא</w:t>
      </w:r>
      <w:r w:rsidRPr="00400C0B">
        <w:rPr>
          <w:rFonts w:cs="Guttman Rashi"/>
          <w:rtl/>
          <w:lang w:bidi="he-IL"/>
        </w:rPr>
        <w:t xml:space="preserve">, </w:t>
      </w:r>
      <w:r w:rsidRPr="00400C0B">
        <w:rPr>
          <w:rFonts w:cs="Guttman Rashi" w:hint="eastAsia"/>
          <w:rtl/>
          <w:lang w:bidi="he-IL"/>
        </w:rPr>
        <w:t>ובכלי</w:t>
      </w:r>
      <w:r w:rsidRPr="00400C0B">
        <w:rPr>
          <w:rFonts w:cs="Guttman Rashi"/>
          <w:rtl/>
          <w:lang w:bidi="he-IL"/>
        </w:rPr>
        <w:t xml:space="preserve"> </w:t>
      </w:r>
      <w:r w:rsidRPr="00400C0B">
        <w:rPr>
          <w:rFonts w:cs="Guttman Rashi" w:hint="eastAsia"/>
          <w:rtl/>
          <w:lang w:bidi="he-IL"/>
        </w:rPr>
        <w:t>גדול</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מקפידים</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p>
  </w:footnote>
  <w:footnote w:id="48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מתי</w:t>
      </w:r>
      <w:r w:rsidRPr="00400C0B">
        <w:rPr>
          <w:rFonts w:cs="Guttman Rashi"/>
          <w:rtl/>
          <w:lang w:bidi="he-IL"/>
        </w:rPr>
        <w:t xml:space="preserve"> </w:t>
      </w:r>
      <w:r w:rsidRPr="00400C0B">
        <w:rPr>
          <w:rFonts w:cs="Guttman Rashi" w:hint="eastAsia"/>
          <w:rtl/>
          <w:lang w:bidi="he-IL"/>
        </w:rPr>
        <w:t>נמצא</w:t>
      </w:r>
      <w:r w:rsidRPr="00400C0B">
        <w:rPr>
          <w:rFonts w:cs="Guttman Rashi"/>
          <w:rtl/>
          <w:lang w:bidi="he-IL"/>
        </w:rPr>
        <w:t xml:space="preserve"> </w:t>
      </w:r>
      <w:r w:rsidRPr="00400C0B">
        <w:rPr>
          <w:rFonts w:cs="Guttman Rashi" w:hint="eastAsia"/>
          <w:rtl/>
          <w:lang w:bidi="he-IL"/>
        </w:rPr>
        <w:t>ששם</w:t>
      </w:r>
      <w:r w:rsidRPr="00400C0B">
        <w:rPr>
          <w:rFonts w:cs="Guttman Rashi"/>
          <w:rtl/>
          <w:lang w:bidi="he-IL"/>
        </w:rPr>
        <w:t xml:space="preserve"> </w:t>
      </w:r>
      <w:r w:rsidRPr="00400C0B">
        <w:rPr>
          <w:rFonts w:cs="Guttman Rashi" w:hint="eastAsia"/>
          <w:rtl/>
          <w:lang w:bidi="he-IL"/>
        </w:rPr>
        <w:t>המים</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יורד</w:t>
      </w:r>
      <w:r w:rsidRPr="00400C0B">
        <w:rPr>
          <w:rFonts w:cs="Guttman Rashi"/>
          <w:rtl/>
          <w:lang w:bidi="he-IL"/>
        </w:rPr>
        <w:t xml:space="preserve"> </w:t>
      </w:r>
      <w:r w:rsidRPr="00400C0B">
        <w:rPr>
          <w:rFonts w:cs="Guttman Rashi" w:hint="eastAsia"/>
          <w:rtl/>
          <w:lang w:bidi="he-IL"/>
        </w:rPr>
        <w:t>תוך</w:t>
      </w:r>
      <w:r w:rsidRPr="00400C0B">
        <w:rPr>
          <w:rFonts w:cs="Guttman Rashi"/>
          <w:rtl/>
          <w:lang w:bidi="he-IL"/>
        </w:rPr>
        <w:t xml:space="preserve"> </w:t>
      </w:r>
      <w:r w:rsidRPr="00400C0B">
        <w:rPr>
          <w:rFonts w:cs="Guttman Rashi" w:hint="eastAsia"/>
          <w:rtl/>
          <w:lang w:bidi="he-IL"/>
        </w:rPr>
        <w:t>זמן</w:t>
      </w:r>
      <w:r w:rsidRPr="00400C0B">
        <w:rPr>
          <w:rFonts w:cs="Guttman Rashi"/>
          <w:rtl/>
          <w:lang w:bidi="he-IL"/>
        </w:rPr>
        <w:t xml:space="preserve"> </w:t>
      </w:r>
      <w:r w:rsidRPr="00400C0B">
        <w:rPr>
          <w:rFonts w:cs="Guttman Rashi" w:hint="eastAsia"/>
          <w:rtl/>
          <w:lang w:bidi="he-IL"/>
        </w:rPr>
        <w:t>קצר</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יהיו</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בשעת</w:t>
      </w:r>
      <w:r w:rsidRPr="00400C0B">
        <w:rPr>
          <w:rFonts w:cs="Guttman Rashi"/>
          <w:rtl/>
          <w:lang w:bidi="he-IL"/>
        </w:rPr>
        <w:t xml:space="preserve"> </w:t>
      </w:r>
      <w:r w:rsidRPr="00400C0B">
        <w:rPr>
          <w:rFonts w:cs="Guttman Rashi" w:hint="eastAsia"/>
          <w:rtl/>
          <w:lang w:bidi="he-IL"/>
        </w:rPr>
        <w:t>שמעלה</w:t>
      </w:r>
      <w:r w:rsidRPr="00400C0B">
        <w:rPr>
          <w:rFonts w:cs="Guttman Rashi"/>
          <w:rtl/>
          <w:lang w:bidi="he-IL"/>
        </w:rPr>
        <w:t xml:space="preserve"> </w:t>
      </w:r>
      <w:r w:rsidRPr="00400C0B">
        <w:rPr>
          <w:rFonts w:cs="Guttman Rashi" w:hint="eastAsia"/>
          <w:rtl/>
          <w:lang w:bidi="he-IL"/>
        </w:rPr>
        <w:t>רתיחות</w:t>
      </w:r>
      <w:r w:rsidRPr="00400C0B">
        <w:rPr>
          <w:rFonts w:cs="Guttman Rashi"/>
          <w:rtl/>
          <w:lang w:bidi="he-IL"/>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נשאר</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זמן</w:t>
      </w:r>
      <w:r w:rsidRPr="00400C0B">
        <w:rPr>
          <w:rFonts w:cs="Guttman Rashi"/>
          <w:rtl/>
          <w:lang w:bidi="he-IL"/>
        </w:rPr>
        <w:t xml:space="preserve"> </w:t>
      </w:r>
      <w:r w:rsidRPr="00400C0B">
        <w:rPr>
          <w:rFonts w:cs="Guttman Rashi" w:hint="eastAsia"/>
          <w:rtl/>
          <w:lang w:bidi="he-IL"/>
        </w:rPr>
        <w:t>שמעלה</w:t>
      </w:r>
      <w:r w:rsidRPr="00400C0B">
        <w:rPr>
          <w:rFonts w:cs="Guttman Rashi"/>
          <w:rtl/>
          <w:lang w:bidi="he-IL"/>
        </w:rPr>
        <w:t xml:space="preserve"> </w:t>
      </w:r>
      <w:r w:rsidRPr="00400C0B">
        <w:rPr>
          <w:rFonts w:cs="Guttman Rashi" w:hint="eastAsia"/>
          <w:rtl/>
          <w:lang w:bidi="he-IL"/>
        </w:rPr>
        <w:t>רתיחות</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חייב</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לעולם</w:t>
      </w:r>
      <w:r w:rsidRPr="00400C0B">
        <w:rPr>
          <w:rFonts w:cs="Guttman Rashi"/>
          <w:rtl/>
          <w:lang w:bidi="he-IL"/>
        </w:rPr>
        <w:t xml:space="preserve">, </w:t>
      </w:r>
      <w:r w:rsidRPr="00400C0B">
        <w:rPr>
          <w:rFonts w:cs="Guttman Rashi" w:hint="eastAsia"/>
          <w:rtl/>
          <w:lang w:bidi="he-IL"/>
        </w:rPr>
        <w:t>ואיך</w:t>
      </w:r>
      <w:r w:rsidRPr="00400C0B">
        <w:rPr>
          <w:rFonts w:cs="Guttman Rashi"/>
          <w:rtl/>
          <w:lang w:bidi="he-IL"/>
        </w:rPr>
        <w:t xml:space="preserve"> </w:t>
      </w:r>
      <w:r w:rsidRPr="00400C0B">
        <w:rPr>
          <w:rFonts w:cs="Guttman Rashi" w:hint="eastAsia"/>
          <w:rtl/>
          <w:lang w:bidi="he-IL"/>
        </w:rPr>
        <w:t>נימא</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נמצא</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שעת</w:t>
      </w:r>
      <w:r w:rsidRPr="00400C0B">
        <w:rPr>
          <w:rFonts w:cs="Guttman Rashi"/>
          <w:rtl/>
          <w:lang w:bidi="he-IL"/>
        </w:rPr>
        <w:t xml:space="preserve"> </w:t>
      </w:r>
      <w:r w:rsidRPr="00400C0B">
        <w:rPr>
          <w:rFonts w:cs="Guttman Rashi" w:hint="eastAsia"/>
          <w:rtl/>
          <w:lang w:bidi="he-IL"/>
        </w:rPr>
        <w:t>רתיחת</w:t>
      </w:r>
      <w:r w:rsidRPr="00400C0B">
        <w:rPr>
          <w:rFonts w:cs="Guttman Rashi"/>
          <w:rtl/>
          <w:lang w:bidi="he-IL"/>
        </w:rPr>
        <w:t xml:space="preserve"> </w:t>
      </w:r>
      <w:r w:rsidRPr="00400C0B">
        <w:rPr>
          <w:rFonts w:cs="Guttman Rashi" w:hint="eastAsia"/>
          <w:rtl/>
          <w:lang w:bidi="he-IL"/>
        </w:rPr>
        <w:t>המים</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יהי</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מספיק</w:t>
      </w:r>
      <w:r w:rsidRPr="00400C0B">
        <w:rPr>
          <w:rFonts w:cs="Guttman Rashi"/>
          <w:rtl/>
          <w:lang w:bidi="he-IL"/>
        </w:rPr>
        <w:t xml:space="preserve"> </w:t>
      </w:r>
      <w:r w:rsidRPr="00400C0B">
        <w:rPr>
          <w:rFonts w:cs="Guttman Rashi" w:hint="eastAsia"/>
          <w:rtl/>
          <w:lang w:bidi="he-IL"/>
        </w:rPr>
        <w:t>זמן</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כניצוצות</w:t>
      </w:r>
      <w:r w:rsidRPr="00400C0B">
        <w:rPr>
          <w:rFonts w:cs="Guttman Rashi"/>
          <w:rtl/>
          <w:lang w:bidi="he-IL"/>
        </w:rPr>
        <w:t xml:space="preserve">. </w:t>
      </w:r>
      <w:r w:rsidRPr="00400C0B">
        <w:rPr>
          <w:rFonts w:cs="Guttman Rashi" w:hint="eastAsia"/>
          <w:rtl/>
          <w:lang w:bidi="he-IL"/>
        </w:rPr>
        <w:t>ויתכן</w:t>
      </w:r>
      <w:r w:rsidRPr="00400C0B">
        <w:rPr>
          <w:rFonts w:cs="Guttman Rashi"/>
          <w:rtl/>
          <w:lang w:bidi="he-IL"/>
        </w:rPr>
        <w:t xml:space="preserve"> </w:t>
      </w:r>
      <w:r w:rsidRPr="00400C0B">
        <w:rPr>
          <w:rFonts w:cs="Guttman Rashi" w:hint="eastAsia"/>
          <w:rtl/>
          <w:lang w:bidi="he-IL"/>
        </w:rPr>
        <w:t>שכוונת</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ממלא</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גובה</w:t>
      </w:r>
      <w:r w:rsidRPr="00400C0B">
        <w:rPr>
          <w:rFonts w:cs="Guttman Rashi"/>
          <w:rtl/>
          <w:lang w:bidi="he-IL"/>
        </w:rPr>
        <w:t xml:space="preserve"> </w:t>
      </w:r>
      <w:r w:rsidRPr="00400C0B">
        <w:rPr>
          <w:rFonts w:cs="Guttman Rashi" w:hint="eastAsia"/>
          <w:rtl/>
          <w:lang w:bidi="he-IL"/>
        </w:rPr>
        <w:t>העיסה</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לאחר</w:t>
      </w:r>
      <w:r w:rsidRPr="00400C0B">
        <w:rPr>
          <w:rFonts w:cs="Guttman Rashi"/>
          <w:rtl/>
          <w:lang w:bidi="he-IL"/>
        </w:rPr>
        <w:t xml:space="preserve"> </w:t>
      </w:r>
      <w:r w:rsidRPr="00400C0B">
        <w:rPr>
          <w:rFonts w:cs="Guttman Rashi" w:hint="eastAsia"/>
          <w:rtl/>
          <w:lang w:bidi="he-IL"/>
        </w:rPr>
        <w:t>שנרתח</w:t>
      </w:r>
      <w:r w:rsidRPr="00400C0B">
        <w:rPr>
          <w:rFonts w:cs="Guttman Rashi"/>
          <w:rtl/>
          <w:lang w:bidi="he-IL"/>
        </w:rPr>
        <w:t xml:space="preserve"> </w:t>
      </w:r>
      <w:r w:rsidRPr="00400C0B">
        <w:rPr>
          <w:rFonts w:cs="Guttman Rashi" w:hint="eastAsia"/>
          <w:rtl/>
          <w:lang w:bidi="he-IL"/>
        </w:rPr>
        <w:t>המים</w:t>
      </w:r>
      <w:r w:rsidRPr="00400C0B">
        <w:rPr>
          <w:rFonts w:cs="Guttman Rashi"/>
          <w:rtl/>
          <w:lang w:bidi="he-IL"/>
        </w:rPr>
        <w:t xml:space="preserve">, </w:t>
      </w:r>
      <w:r w:rsidRPr="00400C0B">
        <w:rPr>
          <w:rFonts w:cs="Guttman Rashi" w:hint="eastAsia"/>
          <w:rtl/>
          <w:lang w:bidi="he-IL"/>
        </w:rPr>
        <w:t>ורק</w:t>
      </w:r>
      <w:r w:rsidRPr="00400C0B">
        <w:rPr>
          <w:rFonts w:cs="Guttman Rashi"/>
          <w:rtl/>
          <w:lang w:bidi="he-IL"/>
        </w:rPr>
        <w:t xml:space="preserve"> </w:t>
      </w:r>
      <w:r w:rsidRPr="00400C0B">
        <w:rPr>
          <w:rFonts w:cs="Guttman Rashi" w:hint="eastAsia"/>
          <w:rtl/>
          <w:lang w:bidi="he-IL"/>
        </w:rPr>
        <w:t>לאחר</w:t>
      </w:r>
      <w:r w:rsidRPr="00400C0B">
        <w:rPr>
          <w:rFonts w:cs="Guttman Rashi"/>
          <w:rtl/>
          <w:lang w:bidi="he-IL"/>
        </w:rPr>
        <w:t xml:space="preserve"> </w:t>
      </w:r>
      <w:r w:rsidRPr="00400C0B">
        <w:rPr>
          <w:rFonts w:cs="Guttman Rashi" w:hint="eastAsia"/>
          <w:rtl/>
          <w:lang w:bidi="he-IL"/>
        </w:rPr>
        <w:t>מכן</w:t>
      </w:r>
      <w:r w:rsidRPr="00400C0B">
        <w:rPr>
          <w:rFonts w:cs="Guttman Rashi"/>
          <w:rtl/>
          <w:lang w:bidi="he-IL"/>
        </w:rPr>
        <w:t xml:space="preserve"> </w:t>
      </w:r>
      <w:r w:rsidRPr="00400C0B">
        <w:rPr>
          <w:rFonts w:cs="Guttman Rashi" w:hint="eastAsia"/>
          <w:rtl/>
          <w:lang w:bidi="he-IL"/>
        </w:rPr>
        <w:t>שופך</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מים</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הם</w:t>
      </w:r>
      <w:r w:rsidRPr="00400C0B">
        <w:rPr>
          <w:rFonts w:cs="Guttman Rashi"/>
          <w:rtl/>
          <w:lang w:bidi="he-IL"/>
        </w:rPr>
        <w:t xml:space="preserve"> </w:t>
      </w:r>
      <w:r w:rsidRPr="00400C0B">
        <w:rPr>
          <w:rFonts w:cs="Guttman Rashi" w:hint="eastAsia"/>
          <w:rtl/>
          <w:lang w:bidi="he-IL"/>
        </w:rPr>
        <w:t>נרתחיים</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מהר</w:t>
      </w:r>
      <w:r w:rsidRPr="00400C0B">
        <w:rPr>
          <w:rFonts w:cs="Guttman Rashi"/>
          <w:rtl/>
          <w:lang w:bidi="he-IL"/>
        </w:rPr>
        <w:t xml:space="preserve"> </w:t>
      </w:r>
      <w:r w:rsidRPr="00400C0B">
        <w:rPr>
          <w:rFonts w:cs="Guttman Rashi" w:hint="eastAsia"/>
          <w:rtl/>
          <w:lang w:bidi="he-IL"/>
        </w:rPr>
        <w:t>ובודאי</w:t>
      </w:r>
      <w:r w:rsidRPr="00400C0B">
        <w:rPr>
          <w:rFonts w:cs="Guttman Rashi"/>
          <w:rtl/>
          <w:lang w:bidi="he-IL"/>
        </w:rPr>
        <w:t xml:space="preserve"> </w:t>
      </w:r>
      <w:r w:rsidRPr="00400C0B">
        <w:rPr>
          <w:rFonts w:cs="Guttman Rashi" w:hint="eastAsia"/>
          <w:rtl/>
          <w:lang w:bidi="he-IL"/>
        </w:rPr>
        <w:t>ישאר</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למעלה</w:t>
      </w:r>
      <w:r w:rsidRPr="00400C0B">
        <w:rPr>
          <w:rFonts w:cs="Guttman Rashi"/>
          <w:rtl/>
          <w:lang w:bidi="he-IL"/>
        </w:rPr>
        <w:t xml:space="preserve"> </w:t>
      </w:r>
      <w:r w:rsidRPr="00400C0B">
        <w:rPr>
          <w:rFonts w:cs="Guttman Rashi" w:hint="eastAsia"/>
          <w:rtl/>
          <w:lang w:bidi="he-IL"/>
        </w:rPr>
        <w:t>משפת</w:t>
      </w:r>
      <w:r w:rsidRPr="00400C0B">
        <w:rPr>
          <w:rFonts w:cs="Guttman Rashi"/>
          <w:rtl/>
          <w:lang w:bidi="he-IL"/>
        </w:rPr>
        <w:t xml:space="preserve"> </w:t>
      </w:r>
      <w:r w:rsidRPr="00400C0B">
        <w:rPr>
          <w:rFonts w:cs="Guttman Rashi" w:hint="eastAsia"/>
          <w:rtl/>
          <w:lang w:bidi="he-IL"/>
        </w:rPr>
        <w:t>עיקר</w:t>
      </w:r>
      <w:r w:rsidRPr="00400C0B">
        <w:rPr>
          <w:rFonts w:cs="Guttman Rashi"/>
          <w:rtl/>
          <w:lang w:bidi="he-IL"/>
        </w:rPr>
        <w:t xml:space="preserve"> </w:t>
      </w:r>
      <w:r w:rsidRPr="00400C0B">
        <w:rPr>
          <w:rFonts w:cs="Guttman Rashi" w:hint="eastAsia"/>
          <w:rtl/>
          <w:lang w:bidi="he-IL"/>
        </w:rPr>
        <w:t>הכלי</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שיעלה</w:t>
      </w:r>
      <w:r w:rsidRPr="00400C0B">
        <w:rPr>
          <w:rFonts w:cs="Guttman Rashi"/>
          <w:rtl/>
          <w:lang w:bidi="he-IL"/>
        </w:rPr>
        <w:t xml:space="preserve"> </w:t>
      </w:r>
      <w:r w:rsidRPr="00400C0B">
        <w:rPr>
          <w:rFonts w:cs="Guttman Rashi" w:hint="eastAsia"/>
          <w:rtl/>
          <w:lang w:bidi="he-IL"/>
        </w:rPr>
        <w:t>רתיחות</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עדיף</w:t>
      </w:r>
      <w:r w:rsidRPr="00400C0B">
        <w:rPr>
          <w:rFonts w:cs="Guttman Rashi"/>
          <w:rtl/>
          <w:lang w:bidi="he-IL"/>
        </w:rPr>
        <w:t xml:space="preserve"> </w:t>
      </w:r>
      <w:r w:rsidRPr="00400C0B">
        <w:rPr>
          <w:rFonts w:cs="Guttman Rashi" w:hint="eastAsia"/>
          <w:rtl/>
          <w:lang w:bidi="he-IL"/>
        </w:rPr>
        <w:t>מזריקת</w:t>
      </w:r>
      <w:r w:rsidRPr="00400C0B">
        <w:rPr>
          <w:rFonts w:cs="Guttman Rashi"/>
          <w:rtl/>
          <w:lang w:bidi="he-IL"/>
        </w:rPr>
        <w:t xml:space="preserve"> </w:t>
      </w:r>
      <w:r w:rsidRPr="00400C0B">
        <w:rPr>
          <w:rFonts w:cs="Guttman Rashi" w:hint="eastAsia"/>
          <w:rtl/>
          <w:lang w:bidi="he-IL"/>
        </w:rPr>
        <w:t>אבן</w:t>
      </w:r>
      <w:r w:rsidRPr="00400C0B">
        <w:rPr>
          <w:rFonts w:cs="Guttman Rashi"/>
          <w:rtl/>
          <w:lang w:bidi="he-IL"/>
        </w:rPr>
        <w:t xml:space="preserve"> </w:t>
      </w:r>
      <w:r w:rsidRPr="00400C0B">
        <w:rPr>
          <w:rFonts w:cs="Guttman Rashi" w:hint="eastAsia"/>
          <w:rtl/>
          <w:lang w:bidi="he-IL"/>
        </w:rPr>
        <w:t>לתוך</w:t>
      </w:r>
      <w:r w:rsidRPr="00400C0B">
        <w:rPr>
          <w:rFonts w:cs="Guttman Rashi"/>
          <w:rtl/>
          <w:lang w:bidi="he-IL"/>
        </w:rPr>
        <w:t xml:space="preserve"> </w:t>
      </w:r>
      <w:r w:rsidRPr="00400C0B">
        <w:rPr>
          <w:rFonts w:cs="Guttman Rashi" w:hint="eastAsia"/>
          <w:rtl/>
          <w:lang w:bidi="he-IL"/>
        </w:rPr>
        <w:t>היורה</w:t>
      </w:r>
      <w:r w:rsidRPr="00400C0B">
        <w:rPr>
          <w:rFonts w:cs="Guttman Rashi"/>
          <w:rtl/>
          <w:lang w:bidi="he-IL"/>
        </w:rPr>
        <w:t xml:space="preserve">, </w:t>
      </w:r>
      <w:r w:rsidRPr="00400C0B">
        <w:rPr>
          <w:rFonts w:cs="Guttman Rashi" w:hint="eastAsia"/>
          <w:rtl/>
          <w:lang w:bidi="he-IL"/>
        </w:rPr>
        <w:t>שבזה</w:t>
      </w:r>
      <w:r w:rsidRPr="00400C0B">
        <w:rPr>
          <w:rFonts w:cs="Guttman Rashi"/>
          <w:rtl/>
          <w:lang w:bidi="he-IL"/>
        </w:rPr>
        <w:t xml:space="preserve"> </w:t>
      </w:r>
      <w:r w:rsidRPr="00400C0B">
        <w:rPr>
          <w:rFonts w:cs="Guttman Rashi" w:hint="eastAsia"/>
          <w:rtl/>
          <w:lang w:bidi="he-IL"/>
        </w:rPr>
        <w:t>הביא</w:t>
      </w:r>
      <w:r w:rsidRPr="00400C0B">
        <w:rPr>
          <w:rFonts w:cs="Guttman Rashi"/>
          <w:rtl/>
          <w:lang w:bidi="he-IL"/>
        </w:rPr>
        <w:t xml:space="preserve"> </w:t>
      </w:r>
      <w:r w:rsidRPr="00400C0B">
        <w:rPr>
          <w:rFonts w:cs="Guttman Rashi" w:hint="eastAsia"/>
          <w:rtl/>
          <w:lang w:bidi="he-IL"/>
        </w:rPr>
        <w:t>הריטב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פסחים</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דעות</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באבן</w:t>
      </w:r>
      <w:r w:rsidRPr="00400C0B">
        <w:rPr>
          <w:rFonts w:cs="Guttman Rashi"/>
          <w:rtl/>
          <w:lang w:bidi="he-IL"/>
        </w:rPr>
        <w:t xml:space="preserve"> </w:t>
      </w:r>
      <w:r w:rsidRPr="00400C0B">
        <w:rPr>
          <w:rFonts w:cs="Guttman Rashi" w:hint="eastAsia"/>
          <w:rtl/>
          <w:lang w:bidi="he-IL"/>
        </w:rPr>
        <w:t>יוצא</w:t>
      </w:r>
      <w:r w:rsidRPr="00400C0B">
        <w:rPr>
          <w:rFonts w:cs="Guttman Rashi"/>
          <w:rtl/>
          <w:lang w:bidi="he-IL"/>
        </w:rPr>
        <w:t xml:space="preserve"> </w:t>
      </w:r>
      <w:r w:rsidRPr="00400C0B">
        <w:rPr>
          <w:rFonts w:cs="Guttman Rashi" w:hint="eastAsia"/>
          <w:rtl/>
          <w:lang w:bidi="he-IL"/>
        </w:rPr>
        <w:t>המים</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מהר</w:t>
      </w:r>
      <w:r w:rsidRPr="00400C0B">
        <w:rPr>
          <w:rFonts w:cs="Guttman Rashi"/>
          <w:rtl/>
          <w:lang w:bidi="he-IL"/>
        </w:rPr>
        <w:t xml:space="preserve"> </w:t>
      </w:r>
      <w:r w:rsidRPr="00400C0B">
        <w:rPr>
          <w:rFonts w:cs="Guttman Rashi" w:hint="eastAsia"/>
          <w:rtl/>
          <w:lang w:bidi="he-IL"/>
        </w:rPr>
        <w:t>ממה</w:t>
      </w:r>
      <w:r w:rsidRPr="00400C0B">
        <w:rPr>
          <w:rFonts w:cs="Guttman Rashi"/>
          <w:rtl/>
          <w:lang w:bidi="he-IL"/>
        </w:rPr>
        <w:t xml:space="preserve"> </w:t>
      </w:r>
      <w:r w:rsidRPr="00400C0B">
        <w:rPr>
          <w:rFonts w:cs="Guttman Rashi" w:hint="eastAsia"/>
          <w:rtl/>
          <w:lang w:bidi="he-IL"/>
        </w:rPr>
        <w:t>שיוצא</w:t>
      </w:r>
      <w:r w:rsidRPr="00400C0B">
        <w:rPr>
          <w:rFonts w:cs="Guttman Rashi"/>
          <w:rtl/>
          <w:lang w:bidi="he-IL"/>
        </w:rPr>
        <w:t xml:space="preserve"> </w:t>
      </w:r>
      <w:r w:rsidRPr="00400C0B">
        <w:rPr>
          <w:rFonts w:cs="Guttman Rashi" w:hint="eastAsia"/>
          <w:rtl/>
          <w:lang w:bidi="he-IL"/>
        </w:rPr>
        <w:t>דרך</w:t>
      </w:r>
      <w:r w:rsidRPr="00400C0B">
        <w:rPr>
          <w:rFonts w:cs="Guttman Rashi"/>
          <w:rtl/>
          <w:lang w:bidi="he-IL"/>
        </w:rPr>
        <w:t xml:space="preserve"> </w:t>
      </w:r>
      <w:r w:rsidRPr="00400C0B">
        <w:rPr>
          <w:rFonts w:cs="Guttman Rashi" w:hint="eastAsia"/>
          <w:rtl/>
          <w:lang w:bidi="he-IL"/>
        </w:rPr>
        <w:t>הלישה</w:t>
      </w:r>
      <w:r w:rsidRPr="00400C0B">
        <w:rPr>
          <w:rFonts w:cs="Guttman Rashi"/>
          <w:rtl/>
          <w:lang w:bidi="he-IL"/>
        </w:rPr>
        <w:t>.</w:t>
      </w:r>
    </w:p>
  </w:footnote>
  <w:footnote w:id="48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p>
  </w:footnote>
  <w:footnote w:id="48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רבינו</w:t>
      </w:r>
      <w:r w:rsidRPr="00400C0B">
        <w:rPr>
          <w:rFonts w:cs="Guttman Rashi"/>
          <w:rtl/>
          <w:lang w:bidi="he-IL"/>
        </w:rPr>
        <w:t xml:space="preserve"> </w:t>
      </w:r>
      <w:r w:rsidRPr="00400C0B">
        <w:rPr>
          <w:rFonts w:cs="Guttman Rashi" w:hint="eastAsia"/>
          <w:rtl/>
          <w:lang w:bidi="he-IL"/>
        </w:rPr>
        <w:t>יואל</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שהשלכת</w:t>
      </w:r>
      <w:r w:rsidRPr="00400C0B">
        <w:rPr>
          <w:rFonts w:cs="Guttman Rashi"/>
          <w:rtl/>
          <w:lang w:bidi="he-IL"/>
        </w:rPr>
        <w:t xml:space="preserve"> </w:t>
      </w:r>
      <w:r w:rsidRPr="00400C0B">
        <w:rPr>
          <w:rFonts w:cs="Guttman Rashi" w:hint="eastAsia"/>
          <w:rtl/>
          <w:lang w:bidi="he-IL"/>
        </w:rPr>
        <w:t>הלפיד</w:t>
      </w:r>
      <w:r w:rsidRPr="00400C0B">
        <w:rPr>
          <w:rFonts w:cs="Guttman Rashi"/>
          <w:rtl/>
          <w:lang w:bidi="he-IL"/>
        </w:rPr>
        <w:t xml:space="preserve"> </w:t>
      </w:r>
      <w:r w:rsidRPr="00400C0B">
        <w:rPr>
          <w:rFonts w:cs="Guttman Rashi" w:hint="eastAsia"/>
          <w:rtl/>
          <w:lang w:bidi="he-IL"/>
        </w:rPr>
        <w:t>אש</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אבן</w:t>
      </w:r>
      <w:r w:rsidRPr="00400C0B">
        <w:rPr>
          <w:rFonts w:cs="Guttman Rashi"/>
          <w:rtl/>
          <w:lang w:bidi="he-IL"/>
        </w:rPr>
        <w:t xml:space="preserve"> "</w:t>
      </w:r>
      <w:r w:rsidRPr="00400C0B">
        <w:rPr>
          <w:rFonts w:cs="Guttman Rashi" w:hint="eastAsia"/>
          <w:rtl/>
          <w:lang w:bidi="he-IL"/>
        </w:rPr>
        <w:t>עדיף</w:t>
      </w:r>
      <w:r w:rsidRPr="00400C0B">
        <w:rPr>
          <w:rFonts w:cs="Guttman Rashi"/>
          <w:rtl/>
          <w:lang w:bidi="he-IL"/>
        </w:rPr>
        <w:t xml:space="preserve"> </w:t>
      </w:r>
      <w:r w:rsidRPr="00400C0B">
        <w:rPr>
          <w:rFonts w:cs="Guttman Rashi" w:hint="eastAsia"/>
          <w:rtl/>
          <w:lang w:bidi="he-IL"/>
        </w:rPr>
        <w:t>טפי</w:t>
      </w:r>
      <w:r w:rsidRPr="00400C0B">
        <w:rPr>
          <w:rFonts w:cs="Guttman Rashi"/>
          <w:rtl/>
          <w:lang w:bidi="he-IL"/>
        </w:rPr>
        <w:t xml:space="preserve"> </w:t>
      </w:r>
      <w:r w:rsidRPr="00400C0B">
        <w:rPr>
          <w:rFonts w:cs="Guttman Rashi" w:hint="eastAsia"/>
          <w:rtl/>
          <w:lang w:bidi="he-IL"/>
        </w:rPr>
        <w:t>מהתזת</w:t>
      </w:r>
      <w:r w:rsidRPr="00400C0B">
        <w:rPr>
          <w:rFonts w:cs="Guttman Rashi"/>
          <w:rtl/>
          <w:lang w:bidi="he-IL"/>
        </w:rPr>
        <w:t xml:space="preserve"> </w:t>
      </w:r>
      <w:r w:rsidRPr="00400C0B">
        <w:rPr>
          <w:rFonts w:cs="Guttman Rashi" w:hint="eastAsia"/>
          <w:rtl/>
          <w:lang w:bidi="he-IL"/>
        </w:rPr>
        <w:t>הניצוצות</w:t>
      </w:r>
      <w:r w:rsidRPr="00400C0B">
        <w:rPr>
          <w:rFonts w:cs="Guttman Rashi"/>
          <w:rtl/>
          <w:lang w:bidi="he-IL"/>
        </w:rPr>
        <w:t xml:space="preserve">". </w:t>
      </w:r>
      <w:r w:rsidRPr="00400C0B">
        <w:rPr>
          <w:rFonts w:cs="Guttman Rashi" w:hint="eastAsia"/>
          <w:rtl/>
          <w:lang w:bidi="he-IL"/>
        </w:rPr>
        <w:t>וקודם</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יוצא</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סברות</w:t>
      </w:r>
      <w:r w:rsidRPr="00400C0B">
        <w:rPr>
          <w:rFonts w:cs="Guttman Rashi"/>
          <w:rtl/>
          <w:lang w:bidi="he-IL"/>
        </w:rPr>
        <w:t xml:space="preserve"> </w:t>
      </w:r>
      <w:r w:rsidRPr="00400C0B">
        <w:rPr>
          <w:rFonts w:cs="Guttman Rashi" w:hint="eastAsia"/>
          <w:rtl/>
          <w:lang w:bidi="he-IL"/>
        </w:rPr>
        <w:t>הפוכות</w:t>
      </w:r>
      <w:r w:rsidRPr="00400C0B">
        <w:rPr>
          <w:rFonts w:cs="Guttman Rashi"/>
          <w:rtl/>
          <w:lang w:bidi="he-IL"/>
        </w:rPr>
        <w:t xml:space="preserve">, </w:t>
      </w:r>
      <w:r w:rsidRPr="00400C0B">
        <w:rPr>
          <w:rFonts w:cs="Guttman Rashi" w:hint="eastAsia"/>
          <w:rtl/>
          <w:lang w:bidi="he-IL"/>
        </w:rPr>
        <w:t>שהריטב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דכה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בכלל</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ועוד</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להעיר</w:t>
      </w:r>
      <w:r w:rsidRPr="00400C0B">
        <w:rPr>
          <w:rFonts w:cs="Guttman Rashi"/>
          <w:rtl/>
          <w:lang w:bidi="he-IL"/>
        </w:rPr>
        <w:t xml:space="preserve"> </w:t>
      </w:r>
      <w:r w:rsidRPr="00400C0B">
        <w:rPr>
          <w:rFonts w:cs="Guttman Rashi" w:hint="eastAsia"/>
          <w:rtl/>
          <w:lang w:bidi="he-IL"/>
        </w:rPr>
        <w:t>שמשמעות</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שהכשר</w:t>
      </w:r>
      <w:r w:rsidRPr="00400C0B">
        <w:rPr>
          <w:rFonts w:cs="Guttman Rashi"/>
          <w:rtl/>
          <w:lang w:bidi="he-IL"/>
        </w:rPr>
        <w:t xml:space="preserve"> </w:t>
      </w:r>
      <w:r w:rsidRPr="00400C0B">
        <w:rPr>
          <w:rFonts w:cs="Guttman Rashi" w:hint="eastAsia"/>
          <w:rtl/>
          <w:lang w:bidi="he-IL"/>
        </w:rPr>
        <w:t>הכלי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שניצוצות</w:t>
      </w:r>
      <w:r w:rsidRPr="00400C0B">
        <w:rPr>
          <w:rFonts w:cs="Guttman Rashi"/>
          <w:rtl/>
          <w:lang w:bidi="he-IL"/>
        </w:rPr>
        <w:t xml:space="preserve"> </w:t>
      </w:r>
      <w:r w:rsidRPr="00400C0B">
        <w:rPr>
          <w:rFonts w:cs="Guttman Rashi" w:hint="eastAsia"/>
          <w:rtl/>
          <w:lang w:bidi="he-IL"/>
        </w:rPr>
        <w:t>נתזין</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שפת</w:t>
      </w:r>
      <w:r w:rsidRPr="00400C0B">
        <w:rPr>
          <w:rFonts w:cs="Guttman Rashi"/>
          <w:rtl/>
          <w:lang w:bidi="he-IL"/>
        </w:rPr>
        <w:t xml:space="preserve"> </w:t>
      </w:r>
      <w:r w:rsidRPr="00400C0B">
        <w:rPr>
          <w:rFonts w:cs="Guttman Rashi" w:hint="eastAsia"/>
          <w:rtl/>
          <w:lang w:bidi="he-IL"/>
        </w:rPr>
        <w:t>הכלי</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משמעות</w:t>
      </w:r>
      <w:r w:rsidRPr="00400C0B">
        <w:rPr>
          <w:rFonts w:cs="Guttman Rashi"/>
          <w:rtl/>
          <w:lang w:bidi="he-IL"/>
        </w:rPr>
        <w:t xml:space="preserve"> </w:t>
      </w:r>
      <w:r w:rsidRPr="00400C0B">
        <w:rPr>
          <w:rFonts w:cs="Guttman Rashi" w:hint="eastAsia"/>
          <w:rtl/>
          <w:lang w:bidi="he-IL"/>
        </w:rPr>
        <w:t>הראשונים</w:t>
      </w:r>
      <w:r w:rsidRPr="00400C0B">
        <w:rPr>
          <w:rFonts w:cs="Guttman Rashi"/>
          <w:rtl/>
          <w:lang w:bidi="he-IL"/>
        </w:rPr>
        <w:t xml:space="preserve"> </w:t>
      </w:r>
      <w:r w:rsidRPr="00400C0B">
        <w:rPr>
          <w:rFonts w:cs="Guttman Rashi" w:hint="eastAsia"/>
          <w:rtl/>
          <w:lang w:bidi="he-IL"/>
        </w:rPr>
        <w:t>שהבאנו</w:t>
      </w:r>
      <w:r w:rsidRPr="00400C0B">
        <w:rPr>
          <w:rFonts w:cs="Guttman Rashi"/>
          <w:rtl/>
          <w:lang w:bidi="he-IL"/>
        </w:rPr>
        <w:t xml:space="preserve"> </w:t>
      </w:r>
      <w:r w:rsidRPr="00400C0B">
        <w:rPr>
          <w:rFonts w:cs="Guttman Rashi" w:hint="eastAsia"/>
          <w:rtl/>
          <w:lang w:bidi="he-IL"/>
        </w:rPr>
        <w:t>למעלה</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שזוהי</w:t>
      </w:r>
      <w:r w:rsidRPr="00400C0B">
        <w:rPr>
          <w:rFonts w:cs="Guttman Rashi"/>
          <w:rtl/>
          <w:lang w:bidi="he-IL"/>
        </w:rPr>
        <w:t xml:space="preserve"> </w:t>
      </w:r>
      <w:r w:rsidRPr="00400C0B">
        <w:rPr>
          <w:rFonts w:cs="Guttman Rashi" w:hint="eastAsia"/>
          <w:rtl/>
          <w:lang w:bidi="he-IL"/>
        </w:rPr>
        <w:t>המשמעות</w:t>
      </w:r>
      <w:r w:rsidRPr="00400C0B">
        <w:rPr>
          <w:rFonts w:cs="Guttman Rashi"/>
          <w:rtl/>
          <w:lang w:bidi="he-IL"/>
        </w:rPr>
        <w:t xml:space="preserve"> </w:t>
      </w:r>
      <w:r w:rsidRPr="00400C0B">
        <w:rPr>
          <w:rFonts w:cs="Guttman Rashi" w:hint="eastAsia"/>
          <w:rtl/>
          <w:lang w:bidi="he-IL"/>
        </w:rPr>
        <w:t>הפשוטה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49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והא</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הוכיחו</w:t>
      </w:r>
      <w:r w:rsidRPr="00400C0B">
        <w:rPr>
          <w:rFonts w:cs="Guttman Rashi"/>
          <w:rtl/>
          <w:lang w:bidi="he-IL"/>
        </w:rPr>
        <w:t xml:space="preserve"> </w:t>
      </w:r>
      <w:r w:rsidRPr="00400C0B">
        <w:rPr>
          <w:rFonts w:cs="Guttman Rashi" w:hint="eastAsia"/>
          <w:rtl/>
          <w:lang w:bidi="he-IL"/>
        </w:rPr>
        <w:t>הראשונים</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מעצם</w:t>
      </w:r>
      <w:r w:rsidRPr="00400C0B">
        <w:rPr>
          <w:rFonts w:cs="Guttman Rashi"/>
          <w:rtl/>
          <w:lang w:bidi="he-IL"/>
        </w:rPr>
        <w:t xml:space="preserve"> </w:t>
      </w:r>
      <w:r w:rsidRPr="00400C0B">
        <w:rPr>
          <w:rFonts w:cs="Guttman Rashi" w:hint="eastAsia"/>
          <w:rtl/>
          <w:lang w:bidi="he-IL"/>
        </w:rPr>
        <w:t>הפרשה</w:t>
      </w:r>
      <w:r w:rsidRPr="00400C0B">
        <w:rPr>
          <w:rFonts w:cs="Guttman Rashi"/>
          <w:rtl/>
          <w:lang w:bidi="he-IL"/>
        </w:rPr>
        <w:t xml:space="preserve"> </w:t>
      </w:r>
      <w:r w:rsidRPr="00400C0B">
        <w:rPr>
          <w:rFonts w:cs="Guttman Rashi" w:hint="eastAsia"/>
          <w:rtl/>
          <w:lang w:bidi="he-IL"/>
        </w:rPr>
        <w:t>דכלי</w:t>
      </w:r>
      <w:r w:rsidRPr="00400C0B">
        <w:rPr>
          <w:rFonts w:cs="Guttman Rashi"/>
          <w:rtl/>
          <w:lang w:bidi="he-IL"/>
        </w:rPr>
        <w:t xml:space="preserve"> </w:t>
      </w:r>
      <w:r w:rsidRPr="00400C0B">
        <w:rPr>
          <w:rFonts w:cs="Guttman Rashi" w:hint="eastAsia"/>
          <w:rtl/>
          <w:lang w:bidi="he-IL"/>
        </w:rPr>
        <w:t>מדין</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דמיירי</w:t>
      </w:r>
      <w:r w:rsidRPr="00400C0B">
        <w:rPr>
          <w:rFonts w:cs="Guttman Rashi"/>
          <w:rtl/>
          <w:lang w:bidi="he-IL"/>
        </w:rPr>
        <w:t xml:space="preserve"> </w:t>
      </w:r>
      <w:r w:rsidRPr="00400C0B">
        <w:rPr>
          <w:rFonts w:cs="Guttman Rashi" w:hint="eastAsia"/>
          <w:rtl/>
          <w:lang w:bidi="he-IL"/>
        </w:rPr>
        <w:t>עכשיו</w:t>
      </w:r>
      <w:r w:rsidRPr="00400C0B">
        <w:rPr>
          <w:rFonts w:cs="Guttman Rashi"/>
          <w:rtl/>
          <w:lang w:bidi="he-IL"/>
        </w:rPr>
        <w:t xml:space="preserve"> </w:t>
      </w:r>
      <w:r w:rsidRPr="00400C0B">
        <w:rPr>
          <w:rFonts w:cs="Guttman Rashi" w:hint="eastAsia"/>
          <w:rtl/>
          <w:lang w:bidi="he-IL"/>
        </w:rPr>
        <w:t>לרב</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נפק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לאיסור</w:t>
      </w:r>
      <w:r w:rsidRPr="00400C0B">
        <w:rPr>
          <w:rFonts w:cs="Guttman Rashi"/>
          <w:rtl/>
          <w:lang w:bidi="he-IL"/>
        </w:rPr>
        <w:t xml:space="preserve"> </w:t>
      </w:r>
      <w:r w:rsidRPr="00400C0B">
        <w:rPr>
          <w:rFonts w:cs="Guttman Rashi" w:hint="eastAsia"/>
          <w:rtl/>
          <w:lang w:bidi="he-IL"/>
        </w:rPr>
        <w:t>משהו</w:t>
      </w:r>
      <w:r w:rsidRPr="00400C0B">
        <w:rPr>
          <w:rFonts w:cs="Guttman Rashi"/>
          <w:rtl/>
          <w:lang w:bidi="he-IL"/>
        </w:rPr>
        <w:t xml:space="preserve">. </w:t>
      </w:r>
      <w:r w:rsidRPr="00400C0B">
        <w:rPr>
          <w:rFonts w:cs="Guttman Rashi" w:hint="eastAsia"/>
          <w:rtl/>
          <w:lang w:bidi="he-IL"/>
        </w:rPr>
        <w:t>ועוד</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דהו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דאה</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היו</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להכשיר</w:t>
      </w:r>
      <w:r w:rsidRPr="00400C0B">
        <w:rPr>
          <w:rFonts w:cs="Guttman Rashi"/>
          <w:rtl/>
          <w:lang w:bidi="he-IL"/>
        </w:rPr>
        <w:t xml:space="preserve"> </w:t>
      </w:r>
      <w:r w:rsidRPr="00400C0B">
        <w:rPr>
          <w:rFonts w:cs="Guttman Rashi" w:hint="eastAsia"/>
          <w:rtl/>
          <w:lang w:bidi="he-IL"/>
        </w:rPr>
        <w:t>קדרות</w:t>
      </w:r>
      <w:r w:rsidRPr="00400C0B">
        <w:rPr>
          <w:rFonts w:cs="Guttman Rashi"/>
          <w:rtl/>
          <w:lang w:bidi="he-IL"/>
        </w:rPr>
        <w:t>.</w:t>
      </w:r>
    </w:p>
  </w:footnote>
  <w:footnote w:id="49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קפילא</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במסיח</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תומו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לסמוך</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הזמן</w:t>
      </w:r>
      <w:r w:rsidRPr="00400C0B">
        <w:rPr>
          <w:rFonts w:cs="Guttman Rashi"/>
          <w:rtl/>
          <w:lang w:bidi="he-IL"/>
        </w:rPr>
        <w:t xml:space="preserve">.  </w:t>
      </w:r>
    </w:p>
  </w:footnote>
  <w:footnote w:id="49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שבאמת</w:t>
      </w:r>
      <w:r w:rsidRPr="00400C0B">
        <w:rPr>
          <w:rFonts w:cs="Guttman Rashi"/>
          <w:rtl/>
          <w:lang w:bidi="he-IL"/>
        </w:rPr>
        <w:t xml:space="preserve"> </w:t>
      </w:r>
      <w:r w:rsidRPr="00400C0B">
        <w:rPr>
          <w:rFonts w:cs="Guttman Rashi" w:hint="eastAsia"/>
          <w:rtl/>
          <w:lang w:bidi="he-IL"/>
        </w:rPr>
        <w:t>צידד</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שיוכל</w:t>
      </w:r>
      <w:r w:rsidRPr="00400C0B">
        <w:rPr>
          <w:rFonts w:cs="Guttman Rashi"/>
          <w:rtl/>
          <w:lang w:bidi="he-IL"/>
        </w:rPr>
        <w:t xml:space="preserve"> </w:t>
      </w:r>
      <w:r w:rsidRPr="00400C0B">
        <w:rPr>
          <w:rFonts w:cs="Guttman Rashi" w:hint="eastAsia"/>
          <w:rtl/>
          <w:lang w:bidi="he-IL"/>
        </w:rPr>
        <w:t>לבשל</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סמך</w:t>
      </w:r>
      <w:r w:rsidRPr="00400C0B">
        <w:rPr>
          <w:rFonts w:cs="Guttman Rashi"/>
          <w:rtl/>
          <w:lang w:bidi="he-IL"/>
        </w:rPr>
        <w:t xml:space="preserve"> </w:t>
      </w:r>
      <w:r w:rsidRPr="00400C0B">
        <w:rPr>
          <w:rFonts w:cs="Guttman Rashi" w:hint="eastAsia"/>
          <w:rtl/>
          <w:lang w:bidi="he-IL"/>
        </w:rPr>
        <w:t>קפילא</w:t>
      </w:r>
      <w:r w:rsidRPr="00400C0B">
        <w:rPr>
          <w:rFonts w:cs="Guttman Rashi"/>
          <w:rtl/>
          <w:lang w:bidi="he-IL"/>
        </w:rPr>
        <w:t xml:space="preserve"> </w:t>
      </w:r>
      <w:r w:rsidRPr="00400C0B">
        <w:rPr>
          <w:rFonts w:cs="Guttman Rashi" w:hint="eastAsia"/>
          <w:rtl/>
          <w:lang w:bidi="he-IL"/>
        </w:rPr>
        <w:t>אלמלא</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מבטלין</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שבב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לבשל</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שעצם</w:t>
      </w:r>
      <w:r w:rsidRPr="00400C0B">
        <w:rPr>
          <w:rFonts w:cs="Guttman Rashi"/>
          <w:rtl/>
          <w:lang w:bidi="he-IL"/>
        </w:rPr>
        <w:t xml:space="preserve"> </w:t>
      </w:r>
      <w:r w:rsidRPr="00400C0B">
        <w:rPr>
          <w:rFonts w:cs="Guttman Rashi" w:hint="eastAsia"/>
          <w:rtl/>
          <w:lang w:bidi="he-IL"/>
        </w:rPr>
        <w:t>הבישול</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דוד</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בהדיא</w:t>
      </w:r>
      <w:r w:rsidRPr="00400C0B">
        <w:rPr>
          <w:rFonts w:cs="Guttman Rashi"/>
          <w:rtl/>
          <w:lang w:bidi="he-IL"/>
        </w:rPr>
        <w:t xml:space="preserve"> </w:t>
      </w:r>
      <w:r w:rsidRPr="00400C0B">
        <w:rPr>
          <w:rFonts w:cs="Guttman Rashi" w:hint="eastAsia"/>
          <w:rtl/>
          <w:lang w:bidi="he-IL"/>
        </w:rPr>
        <w:t>שמותר</w:t>
      </w:r>
      <w:r w:rsidRPr="00400C0B">
        <w:rPr>
          <w:rFonts w:cs="Guttman Rashi"/>
          <w:rtl/>
          <w:lang w:bidi="he-IL"/>
        </w:rPr>
        <w:t xml:space="preserve"> </w:t>
      </w:r>
      <w:r w:rsidRPr="00400C0B">
        <w:rPr>
          <w:rFonts w:cs="Guttman Rashi" w:hint="eastAsia"/>
          <w:rtl/>
          <w:lang w:bidi="he-IL"/>
        </w:rPr>
        <w:t>לעשות</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סמך</w:t>
      </w:r>
      <w:r w:rsidRPr="00400C0B">
        <w:rPr>
          <w:rFonts w:cs="Guttman Rashi"/>
          <w:rtl/>
          <w:lang w:bidi="he-IL"/>
        </w:rPr>
        <w:t xml:space="preserve"> </w:t>
      </w:r>
      <w:r w:rsidRPr="00400C0B">
        <w:rPr>
          <w:rFonts w:cs="Guttman Rashi" w:hint="eastAsia"/>
          <w:rtl/>
          <w:lang w:bidi="he-IL"/>
        </w:rPr>
        <w:t>קפילא</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מתכוין</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בפס</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שלעבר</w:t>
      </w:r>
      <w:r w:rsidRPr="00400C0B">
        <w:rPr>
          <w:rFonts w:cs="Guttman Rashi"/>
          <w:rtl/>
          <w:lang w:bidi="he-IL"/>
        </w:rPr>
        <w:t xml:space="preserve">, </w:t>
      </w:r>
      <w:r w:rsidRPr="00400C0B">
        <w:rPr>
          <w:rFonts w:cs="Guttman Rashi" w:hint="eastAsia"/>
          <w:rtl/>
          <w:lang w:bidi="he-IL"/>
        </w:rPr>
        <w:t>יתכן</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שמותר</w:t>
      </w:r>
      <w:r w:rsidRPr="00400C0B">
        <w:rPr>
          <w:rFonts w:cs="Guttman Rashi"/>
          <w:rtl/>
          <w:lang w:bidi="he-IL"/>
        </w:rPr>
        <w:t xml:space="preserve">. </w:t>
      </w:r>
    </w:p>
  </w:footnote>
  <w:footnote w:id="49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הארכנו</w:t>
      </w:r>
      <w:r w:rsidRPr="00400C0B">
        <w:rPr>
          <w:rFonts w:cs="Guttman Rashi"/>
          <w:rtl/>
          <w:lang w:bidi="he-IL"/>
        </w:rPr>
        <w:t xml:space="preserve"> </w:t>
      </w:r>
      <w:r w:rsidRPr="00400C0B">
        <w:rPr>
          <w:rFonts w:cs="Guttman Rashi" w:hint="eastAsia"/>
          <w:rtl/>
          <w:lang w:bidi="he-IL"/>
        </w:rPr>
        <w:t>בשיטה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ושיעור</w:t>
      </w:r>
      <w:r w:rsidRPr="00400C0B">
        <w:rPr>
          <w:rFonts w:cs="Guttman Rashi"/>
          <w:rtl/>
          <w:lang w:bidi="he-IL"/>
        </w:rPr>
        <w:t xml:space="preserve"> </w:t>
      </w:r>
      <w:r w:rsidRPr="00400C0B">
        <w:rPr>
          <w:rFonts w:cs="Guttman Rashi" w:hint="eastAsia"/>
          <w:rtl/>
          <w:lang w:bidi="he-IL"/>
        </w:rPr>
        <w:t>קי</w:t>
      </w:r>
      <w:r w:rsidRPr="00400C0B">
        <w:rPr>
          <w:rFonts w:cs="Guttman Rashi"/>
          <w:rtl/>
          <w:lang w:bidi="he-IL"/>
        </w:rPr>
        <w:t>"</w:t>
      </w:r>
      <w:r w:rsidRPr="00400C0B">
        <w:rPr>
          <w:rFonts w:cs="Guttman Rashi" w:hint="eastAsia"/>
          <w:rtl/>
          <w:lang w:bidi="he-IL"/>
        </w:rPr>
        <w:t>ח</w:t>
      </w:r>
    </w:p>
  </w:footnote>
  <w:footnote w:id="49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ז</w:t>
      </w:r>
    </w:p>
  </w:footnote>
  <w:footnote w:id="49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קכ</w:t>
      </w:r>
      <w:r w:rsidRPr="00400C0B">
        <w:rPr>
          <w:rFonts w:cs="Guttman Rashi"/>
          <w:rtl/>
          <w:lang w:bidi="he-IL"/>
        </w:rPr>
        <w:t>"</w:t>
      </w:r>
      <w:r w:rsidRPr="00400C0B">
        <w:rPr>
          <w:rFonts w:cs="Guttman Rashi" w:hint="eastAsia"/>
          <w:rtl/>
          <w:lang w:bidi="he-IL"/>
        </w:rPr>
        <w:t>ז</w:t>
      </w:r>
    </w:p>
  </w:footnote>
  <w:footnote w:id="496">
    <w:p w:rsidR="007978F4" w:rsidRPr="00400C0B" w:rsidRDefault="007978F4" w:rsidP="00B80448">
      <w:pPr>
        <w:pStyle w:val="FootnoteText"/>
        <w:bidi/>
        <w:jc w:val="both"/>
        <w:rPr>
          <w:rFonts w:cs="Guttman Rashi"/>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ואפשר</w:t>
      </w:r>
      <w:r w:rsidRPr="00400C0B">
        <w:rPr>
          <w:rFonts w:cs="Guttman Rashi"/>
          <w:rtl/>
          <w:lang w:bidi="he-IL"/>
        </w:rPr>
        <w:t xml:space="preserve"> </w:t>
      </w:r>
      <w:r w:rsidRPr="00400C0B">
        <w:rPr>
          <w:rFonts w:cs="Guttman Rashi" w:hint="eastAsia"/>
          <w:rtl/>
          <w:lang w:bidi="he-IL"/>
        </w:rPr>
        <w:t>לבאר</w:t>
      </w:r>
      <w:r w:rsidRPr="00400C0B">
        <w:rPr>
          <w:rFonts w:cs="Guttman Rashi"/>
          <w:rtl/>
          <w:lang w:bidi="he-IL"/>
        </w:rPr>
        <w:t xml:space="preserve"> </w:t>
      </w:r>
      <w:r w:rsidRPr="00400C0B">
        <w:rPr>
          <w:rFonts w:cs="Guttman Rashi" w:hint="eastAsia"/>
          <w:rtl/>
          <w:lang w:bidi="he-IL"/>
        </w:rPr>
        <w:t>שיטתו</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 xml:space="preserve">' </w:t>
      </w:r>
      <w:r w:rsidRPr="00400C0B">
        <w:rPr>
          <w:rFonts w:cs="Guttman Rashi" w:hint="eastAsia"/>
          <w:rtl/>
          <w:lang w:bidi="he-IL"/>
        </w:rPr>
        <w:t>אנפי</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דסבירא</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דאמרינן</w:t>
      </w:r>
      <w:r w:rsidRPr="00400C0B">
        <w:rPr>
          <w:rFonts w:cs="Guttman Rashi"/>
          <w:rtl/>
          <w:lang w:bidi="he-IL"/>
        </w:rPr>
        <w:t xml:space="preserve"> </w:t>
      </w:r>
      <w:r w:rsidRPr="00400C0B">
        <w:rPr>
          <w:rFonts w:cs="Guttman Rashi" w:hint="eastAsia"/>
          <w:rtl/>
          <w:lang w:bidi="he-IL"/>
        </w:rPr>
        <w:t>קמא</w:t>
      </w:r>
      <w:r w:rsidRPr="00400C0B">
        <w:rPr>
          <w:rFonts w:cs="Guttman Rashi"/>
          <w:rtl/>
          <w:lang w:bidi="he-IL"/>
        </w:rPr>
        <w:t xml:space="preserve"> </w:t>
      </w:r>
      <w:r w:rsidRPr="00400C0B">
        <w:rPr>
          <w:rFonts w:cs="Guttman Rashi" w:hint="eastAsia"/>
          <w:rtl/>
          <w:lang w:bidi="he-IL"/>
        </w:rPr>
        <w:t>קמא</w:t>
      </w:r>
      <w:r w:rsidRPr="00400C0B">
        <w:rPr>
          <w:rFonts w:cs="Guttman Rashi"/>
          <w:rtl/>
          <w:lang w:bidi="he-IL"/>
        </w:rPr>
        <w:t xml:space="preserve"> </w:t>
      </w:r>
      <w:r w:rsidRPr="00400C0B">
        <w:rPr>
          <w:rFonts w:cs="Guttman Rashi" w:hint="eastAsia"/>
          <w:rtl/>
          <w:lang w:bidi="he-IL"/>
        </w:rPr>
        <w:t>בטיל</w:t>
      </w:r>
      <w:r w:rsidRPr="00400C0B">
        <w:rPr>
          <w:rFonts w:cs="Guttman Rashi"/>
          <w:rtl/>
          <w:lang w:bidi="he-IL"/>
        </w:rPr>
        <w:t xml:space="preserve"> </w:t>
      </w:r>
      <w:r w:rsidRPr="00400C0B">
        <w:rPr>
          <w:rFonts w:cs="Guttman Rashi" w:hint="eastAsia"/>
          <w:rtl/>
          <w:lang w:bidi="he-IL"/>
        </w:rPr>
        <w:t>ואנו</w:t>
      </w:r>
      <w:r w:rsidRPr="00400C0B">
        <w:rPr>
          <w:rFonts w:cs="Guttman Rashi"/>
          <w:rtl/>
          <w:lang w:bidi="he-IL"/>
        </w:rPr>
        <w:t xml:space="preserve"> </w:t>
      </w:r>
      <w:r w:rsidRPr="00400C0B">
        <w:rPr>
          <w:rFonts w:cs="Guttman Rashi" w:hint="eastAsia"/>
          <w:rtl/>
          <w:lang w:bidi="he-IL"/>
        </w:rPr>
        <w:t>חוזר</w:t>
      </w:r>
      <w:r w:rsidRPr="00400C0B">
        <w:rPr>
          <w:rFonts w:cs="Guttman Rashi"/>
          <w:rtl/>
          <w:lang w:bidi="he-IL"/>
        </w:rPr>
        <w:t xml:space="preserve"> </w:t>
      </w:r>
      <w:r w:rsidRPr="00400C0B">
        <w:rPr>
          <w:rFonts w:cs="Guttman Rashi" w:hint="eastAsia"/>
          <w:rtl/>
          <w:lang w:bidi="he-IL"/>
        </w:rPr>
        <w:t>וניעור</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שהביא</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רס</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אומרים</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שכבר</w:t>
      </w:r>
      <w:r w:rsidRPr="00400C0B">
        <w:rPr>
          <w:rFonts w:cs="Guttman Rashi"/>
          <w:rtl/>
          <w:lang w:bidi="he-IL"/>
        </w:rPr>
        <w:t xml:space="preserve"> </w:t>
      </w:r>
      <w:r w:rsidRPr="00400C0B">
        <w:rPr>
          <w:rFonts w:cs="Guttman Rashi" w:hint="eastAsia"/>
          <w:rtl/>
          <w:lang w:bidi="he-IL"/>
        </w:rPr>
        <w:t>נתבטל</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חוזר</w:t>
      </w:r>
      <w:r w:rsidRPr="00400C0B">
        <w:rPr>
          <w:rFonts w:cs="Guttman Rashi"/>
          <w:rtl/>
          <w:lang w:bidi="he-IL"/>
        </w:rPr>
        <w:t xml:space="preserve"> </w:t>
      </w:r>
      <w:r w:rsidRPr="00400C0B">
        <w:rPr>
          <w:rFonts w:cs="Guttman Rashi" w:hint="eastAsia"/>
          <w:rtl/>
          <w:lang w:bidi="he-IL"/>
        </w:rPr>
        <w:t>וניעור</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בהגהות</w:t>
      </w:r>
      <w:r w:rsidRPr="00400C0B">
        <w:rPr>
          <w:rFonts w:cs="Guttman Rashi"/>
          <w:rtl/>
          <w:lang w:bidi="he-IL"/>
        </w:rPr>
        <w:t xml:space="preserve"> </w:t>
      </w:r>
      <w:r w:rsidRPr="00400C0B">
        <w:rPr>
          <w:rFonts w:cs="Guttman Rashi" w:hint="eastAsia"/>
          <w:rtl/>
          <w:lang w:bidi="he-IL"/>
        </w:rPr>
        <w:t>לסי</w:t>
      </w:r>
      <w:r w:rsidRPr="00400C0B">
        <w:rPr>
          <w:rFonts w:cs="Guttman Rashi"/>
          <w:rtl/>
          <w:lang w:bidi="he-IL"/>
        </w:rPr>
        <w:t xml:space="preserve">' </w:t>
      </w:r>
      <w:r w:rsidRPr="00400C0B">
        <w:rPr>
          <w:rFonts w:cs="Guttman Rashi" w:hint="eastAsia"/>
          <w:rtl/>
          <w:lang w:bidi="he-IL"/>
        </w:rPr>
        <w:t>תנ</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מג</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Ref485626650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498</w:t>
      </w:r>
      <w:r w:rsidRPr="00400C0B">
        <w:rPr>
          <w:rFonts w:cs="Guttman Rashi"/>
          <w:rtl/>
          <w:lang w:bidi="he-IL"/>
        </w:rPr>
        <w:fldChar w:fldCharType="end"/>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מקור</w:t>
      </w:r>
      <w:r w:rsidRPr="00400C0B">
        <w:rPr>
          <w:rFonts w:cs="Guttman Rashi"/>
          <w:rtl/>
          <w:lang w:bidi="he-IL"/>
        </w:rPr>
        <w:t xml:space="preserve"> </w:t>
      </w:r>
      <w:r w:rsidRPr="00400C0B">
        <w:rPr>
          <w:rFonts w:cs="Guttman Rashi" w:hint="eastAsia"/>
          <w:rtl/>
          <w:lang w:bidi="he-IL"/>
        </w:rPr>
        <w:t>מדברי</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כסברת</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p>
  </w:footnote>
  <w:footnote w:id="49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ומבואר</w:t>
      </w:r>
      <w:r w:rsidRPr="00400C0B">
        <w:rPr>
          <w:rFonts w:cs="Guttman Rashi"/>
          <w:rtl/>
          <w:lang w:bidi="he-IL"/>
        </w:rPr>
        <w:t xml:space="preserve"> </w:t>
      </w:r>
      <w:r w:rsidRPr="00400C0B">
        <w:rPr>
          <w:rFonts w:cs="Guttman Rashi" w:hint="eastAsia"/>
          <w:rtl/>
          <w:lang w:bidi="he-IL"/>
        </w:rPr>
        <w:t>מלשון</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בעצם</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שאלות</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האם</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בכלל</w:t>
      </w:r>
      <w:r w:rsidRPr="00400C0B">
        <w:rPr>
          <w:rFonts w:cs="Guttman Rashi"/>
          <w:rtl/>
          <w:lang w:bidi="he-IL"/>
        </w:rPr>
        <w:t xml:space="preserve"> </w:t>
      </w:r>
      <w:r w:rsidRPr="00400C0B">
        <w:rPr>
          <w:rFonts w:cs="Guttman Rashi" w:hint="eastAsia"/>
          <w:rtl/>
          <w:lang w:bidi="he-IL"/>
        </w:rPr>
        <w:t>גזירת</w:t>
      </w:r>
      <w:r w:rsidRPr="00400C0B">
        <w:rPr>
          <w:rFonts w:cs="Guttman Rashi"/>
          <w:rtl/>
          <w:lang w:bidi="he-IL"/>
        </w:rPr>
        <w:t xml:space="preserve"> </w:t>
      </w:r>
      <w:r w:rsidRPr="00400C0B">
        <w:rPr>
          <w:rFonts w:cs="Guttman Rashi" w:hint="eastAsia"/>
          <w:rtl/>
          <w:lang w:bidi="he-IL"/>
        </w:rPr>
        <w:t>חכמים</w:t>
      </w:r>
      <w:r w:rsidRPr="00400C0B">
        <w:rPr>
          <w:rFonts w:cs="Guttman Rashi"/>
          <w:rtl/>
          <w:lang w:bidi="he-IL"/>
        </w:rPr>
        <w:t xml:space="preserve"> </w:t>
      </w:r>
      <w:r w:rsidRPr="00400C0B">
        <w:rPr>
          <w:rFonts w:cs="Guttman Rashi" w:hint="eastAsia"/>
          <w:rtl/>
          <w:lang w:bidi="he-IL"/>
        </w:rPr>
        <w:t>דמס</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דכלי</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יומו</w:t>
      </w:r>
      <w:r w:rsidRPr="00400C0B">
        <w:rPr>
          <w:rFonts w:cs="Guttman Rashi"/>
          <w:rtl/>
          <w:lang w:bidi="he-IL"/>
        </w:rPr>
        <w:t xml:space="preserve"> </w:t>
      </w:r>
      <w:r w:rsidRPr="00400C0B">
        <w:rPr>
          <w:rFonts w:cs="Guttman Rashi" w:hint="eastAsia"/>
          <w:rtl/>
          <w:lang w:bidi="he-IL"/>
        </w:rPr>
        <w:t>אטו</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יומו</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בכלל</w:t>
      </w:r>
      <w:r w:rsidRPr="00400C0B">
        <w:rPr>
          <w:rFonts w:cs="Guttman Rashi"/>
          <w:rtl/>
          <w:lang w:bidi="he-IL"/>
        </w:rPr>
        <w:t xml:space="preserve"> </w:t>
      </w:r>
      <w:r w:rsidRPr="00400C0B">
        <w:rPr>
          <w:rFonts w:cs="Guttman Rashi" w:hint="eastAsia"/>
          <w:rtl/>
          <w:lang w:bidi="he-IL"/>
        </w:rPr>
        <w:t>הגזירה</w:t>
      </w:r>
      <w:r w:rsidRPr="00400C0B">
        <w:rPr>
          <w:rFonts w:cs="Guttman Rashi"/>
          <w:rtl/>
          <w:lang w:bidi="he-IL"/>
        </w:rPr>
        <w:t xml:space="preserve"> </w:t>
      </w:r>
      <w:r w:rsidRPr="00400C0B">
        <w:rPr>
          <w:rFonts w:cs="Guttman Rashi" w:hint="eastAsia"/>
          <w:rtl/>
          <w:lang w:bidi="he-IL"/>
        </w:rPr>
        <w:t>ההוא</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לעשות</w:t>
      </w:r>
      <w:r w:rsidRPr="00400C0B">
        <w:rPr>
          <w:rFonts w:cs="Guttman Rashi"/>
          <w:rtl/>
          <w:lang w:bidi="he-IL"/>
        </w:rPr>
        <w:t xml:space="preserve"> </w:t>
      </w:r>
      <w:r w:rsidRPr="00400C0B">
        <w:rPr>
          <w:rFonts w:cs="Guttman Rashi" w:hint="eastAsia"/>
          <w:rtl/>
          <w:lang w:bidi="he-IL"/>
        </w:rPr>
        <w:t>גזירה</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אטו</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p>
  </w:footnote>
  <w:footnote w:id="49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וראיתי</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נתיבי</w:t>
      </w:r>
      <w:r w:rsidRPr="00400C0B">
        <w:rPr>
          <w:rFonts w:cs="Guttman Rashi"/>
          <w:rtl/>
          <w:lang w:bidi="he-IL"/>
        </w:rPr>
        <w:t xml:space="preserve"> </w:t>
      </w:r>
      <w:r w:rsidRPr="00400C0B">
        <w:rPr>
          <w:rFonts w:cs="Guttman Rashi" w:hint="eastAsia"/>
          <w:rtl/>
          <w:lang w:bidi="he-IL"/>
        </w:rPr>
        <w:t>התערובת</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תי</w:t>
      </w:r>
      <w:r w:rsidRPr="00400C0B">
        <w:rPr>
          <w:rFonts w:cs="Guttman Rashi"/>
          <w:rtl/>
          <w:lang w:bidi="he-IL"/>
        </w:rPr>
        <w:t xml:space="preserve">'' </w:t>
      </w:r>
      <w:r w:rsidRPr="00400C0B">
        <w:rPr>
          <w:rFonts w:cs="Guttman Rashi" w:hint="eastAsia"/>
          <w:rtl/>
          <w:lang w:bidi="he-IL"/>
        </w:rPr>
        <w:t>כנ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מהר</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ותי</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להתיר</w:t>
      </w:r>
      <w:r w:rsidRPr="00400C0B">
        <w:rPr>
          <w:rFonts w:cs="Guttman Rashi"/>
          <w:rtl/>
          <w:lang w:bidi="he-IL"/>
        </w:rPr>
        <w:t xml:space="preserve"> </w:t>
      </w:r>
      <w:r w:rsidRPr="00400C0B">
        <w:rPr>
          <w:rFonts w:cs="Guttman Rashi" w:hint="eastAsia"/>
          <w:rtl/>
          <w:lang w:bidi="he-IL"/>
        </w:rPr>
        <w:t>להכניס</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פגום</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היכא</w:t>
      </w:r>
      <w:r w:rsidRPr="00400C0B">
        <w:rPr>
          <w:rFonts w:cs="Guttman Rashi"/>
          <w:rtl/>
          <w:lang w:bidi="he-IL"/>
        </w:rPr>
        <w:t xml:space="preserve"> </w:t>
      </w:r>
      <w:r w:rsidRPr="00400C0B">
        <w:rPr>
          <w:rFonts w:cs="Guttman Rashi" w:hint="eastAsia"/>
          <w:rtl/>
          <w:lang w:bidi="he-IL"/>
        </w:rPr>
        <w:t>דאיכא</w:t>
      </w:r>
      <w:r w:rsidRPr="00400C0B">
        <w:rPr>
          <w:rFonts w:cs="Guttman Rashi"/>
          <w:rtl/>
          <w:lang w:bidi="he-IL"/>
        </w:rPr>
        <w:t xml:space="preserve"> </w:t>
      </w:r>
      <w:r w:rsidRPr="00400C0B">
        <w:rPr>
          <w:rFonts w:cs="Guttman Rashi" w:hint="eastAsia"/>
          <w:rtl/>
          <w:lang w:bidi="he-IL"/>
        </w:rPr>
        <w:t>דרכא</w:t>
      </w:r>
      <w:r w:rsidRPr="00400C0B">
        <w:rPr>
          <w:rFonts w:cs="Guttman Rashi"/>
          <w:rtl/>
          <w:lang w:bidi="he-IL"/>
        </w:rPr>
        <w:t xml:space="preserve"> </w:t>
      </w:r>
      <w:r w:rsidRPr="00400C0B">
        <w:rPr>
          <w:rFonts w:cs="Guttman Rashi" w:hint="eastAsia"/>
          <w:rtl/>
          <w:lang w:bidi="he-IL"/>
        </w:rPr>
        <w:t>אחרינא</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שיוצא</w:t>
      </w:r>
      <w:r w:rsidRPr="00400C0B">
        <w:rPr>
          <w:rFonts w:cs="Guttman Rashi"/>
          <w:rtl/>
          <w:lang w:bidi="he-IL"/>
        </w:rPr>
        <w:t xml:space="preserve"> </w:t>
      </w:r>
      <w:r w:rsidRPr="00400C0B">
        <w:rPr>
          <w:rFonts w:cs="Guttman Rashi" w:hint="eastAsia"/>
          <w:rtl/>
          <w:lang w:bidi="he-IL"/>
        </w:rPr>
        <w:t>ונכנס</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נכנס</w:t>
      </w:r>
      <w:r w:rsidRPr="00400C0B">
        <w:rPr>
          <w:rFonts w:cs="Guttman Rashi"/>
          <w:rtl/>
          <w:lang w:bidi="he-IL"/>
        </w:rPr>
        <w:t xml:space="preserve">' </w:t>
      </w:r>
      <w:r w:rsidRPr="00400C0B">
        <w:rPr>
          <w:rFonts w:cs="Guttman Rashi" w:hint="eastAsia"/>
          <w:rtl/>
          <w:lang w:bidi="he-IL"/>
        </w:rPr>
        <w:t>בפגם</w:t>
      </w:r>
      <w:r w:rsidRPr="00400C0B">
        <w:rPr>
          <w:rFonts w:cs="Guttman Rashi"/>
          <w:rtl/>
          <w:lang w:bidi="he-IL"/>
        </w:rPr>
        <w:t xml:space="preserve">. </w:t>
      </w:r>
    </w:p>
  </w:footnote>
  <w:footnote w:id="49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והעיר</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קויפמן</w:t>
      </w:r>
      <w:r w:rsidRPr="00400C0B">
        <w:rPr>
          <w:rFonts w:cs="Guttman Rashi"/>
          <w:rtl/>
          <w:lang w:bidi="he-IL"/>
        </w:rPr>
        <w:t xml:space="preserve"> </w:t>
      </w:r>
      <w:r w:rsidRPr="00400C0B">
        <w:rPr>
          <w:rFonts w:cs="Guttman Rashi" w:hint="eastAsia"/>
          <w:rtl/>
          <w:lang w:bidi="he-IL"/>
        </w:rPr>
        <w:t>שליט</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דיתכן</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דינא</w:t>
      </w:r>
      <w:r w:rsidRPr="00400C0B">
        <w:rPr>
          <w:rFonts w:cs="Guttman Rashi"/>
          <w:rtl/>
          <w:lang w:bidi="he-IL"/>
        </w:rPr>
        <w:t xml:space="preserve"> </w:t>
      </w:r>
      <w:r w:rsidRPr="00400C0B">
        <w:rPr>
          <w:rFonts w:cs="Guttman Rashi" w:hint="eastAsia"/>
          <w:rtl/>
          <w:lang w:bidi="he-IL"/>
        </w:rPr>
        <w:t>דנ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דהיתירא</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שהבליעות</w:t>
      </w:r>
      <w:r w:rsidRPr="00400C0B">
        <w:rPr>
          <w:rFonts w:cs="Guttman Rashi"/>
          <w:rtl/>
          <w:lang w:bidi="he-IL"/>
        </w:rPr>
        <w:t xml:space="preserve"> </w:t>
      </w:r>
      <w:r w:rsidRPr="00400C0B">
        <w:rPr>
          <w:rFonts w:cs="Guttman Rashi" w:hint="eastAsia"/>
          <w:rtl/>
          <w:lang w:bidi="he-IL"/>
        </w:rPr>
        <w:t>נכנסו</w:t>
      </w:r>
      <w:r w:rsidRPr="00400C0B">
        <w:rPr>
          <w:rFonts w:cs="Guttman Rashi"/>
          <w:rtl/>
          <w:lang w:bidi="he-IL"/>
        </w:rPr>
        <w:t xml:space="preserve"> </w:t>
      </w:r>
      <w:r w:rsidRPr="00400C0B">
        <w:rPr>
          <w:rFonts w:cs="Guttman Rashi" w:hint="eastAsia"/>
          <w:rtl/>
          <w:lang w:bidi="he-IL"/>
        </w:rPr>
        <w:t>למים</w:t>
      </w:r>
      <w:r w:rsidRPr="00400C0B">
        <w:rPr>
          <w:rFonts w:cs="Guttman Rashi"/>
          <w:rtl/>
          <w:lang w:bidi="he-IL"/>
        </w:rPr>
        <w:t xml:space="preserve"> </w:t>
      </w:r>
      <w:r w:rsidRPr="00400C0B">
        <w:rPr>
          <w:rFonts w:cs="Guttman Rashi" w:hint="eastAsia"/>
          <w:rtl/>
          <w:lang w:bidi="he-IL"/>
        </w:rPr>
        <w:t>ושם</w:t>
      </w:r>
      <w:r w:rsidRPr="00400C0B">
        <w:rPr>
          <w:rFonts w:cs="Guttman Rashi"/>
          <w:rtl/>
          <w:lang w:bidi="he-IL"/>
        </w:rPr>
        <w:t xml:space="preserve"> </w:t>
      </w:r>
      <w:r w:rsidRPr="00400C0B">
        <w:rPr>
          <w:rFonts w:cs="Guttman Rashi" w:hint="eastAsia"/>
          <w:rtl/>
          <w:lang w:bidi="he-IL"/>
        </w:rPr>
        <w:t>נתבטלו</w:t>
      </w:r>
      <w:r w:rsidRPr="00400C0B">
        <w:rPr>
          <w:rFonts w:cs="Guttman Rashi"/>
          <w:rtl/>
          <w:lang w:bidi="he-IL"/>
        </w:rPr>
        <w:t xml:space="preserve">, </w:t>
      </w:r>
      <w:r w:rsidRPr="00400C0B">
        <w:rPr>
          <w:rFonts w:cs="Guttman Rashi" w:hint="eastAsia"/>
          <w:rtl/>
          <w:lang w:bidi="he-IL"/>
        </w:rPr>
        <w:t>וכיון</w:t>
      </w:r>
      <w:r w:rsidRPr="00400C0B">
        <w:rPr>
          <w:rFonts w:cs="Guttman Rashi"/>
          <w:rtl/>
          <w:lang w:bidi="he-IL"/>
        </w:rPr>
        <w:t xml:space="preserve"> </w:t>
      </w:r>
      <w:r w:rsidRPr="00400C0B">
        <w:rPr>
          <w:rFonts w:cs="Guttman Rashi" w:hint="eastAsia"/>
          <w:rtl/>
          <w:lang w:bidi="he-IL"/>
        </w:rPr>
        <w:t>שכן</w:t>
      </w:r>
      <w:r w:rsidRPr="00400C0B">
        <w:rPr>
          <w:rFonts w:cs="Guttman Rashi"/>
          <w:rtl/>
          <w:lang w:bidi="he-IL"/>
        </w:rPr>
        <w:t xml:space="preserve"> </w:t>
      </w:r>
      <w:r w:rsidRPr="00400C0B">
        <w:rPr>
          <w:rFonts w:cs="Guttman Rashi" w:hint="eastAsia"/>
          <w:rtl/>
          <w:lang w:bidi="he-IL"/>
        </w:rPr>
        <w:t>מאז</w:t>
      </w:r>
      <w:r w:rsidRPr="00400C0B">
        <w:rPr>
          <w:rFonts w:cs="Guttman Rashi"/>
          <w:rtl/>
          <w:lang w:bidi="he-IL"/>
        </w:rPr>
        <w:t xml:space="preserve"> </w:t>
      </w:r>
      <w:r w:rsidRPr="00400C0B">
        <w:rPr>
          <w:rFonts w:cs="Guttman Rashi" w:hint="eastAsia"/>
          <w:rtl/>
          <w:lang w:bidi="he-IL"/>
        </w:rPr>
        <w:t>הם</w:t>
      </w:r>
      <w:r w:rsidRPr="00400C0B">
        <w:rPr>
          <w:rFonts w:cs="Guttman Rashi"/>
          <w:rtl/>
          <w:lang w:bidi="he-IL"/>
        </w:rPr>
        <w:t xml:space="preserve"> '</w:t>
      </w:r>
      <w:r w:rsidRPr="00400C0B">
        <w:rPr>
          <w:rFonts w:cs="Guttman Rashi" w:hint="eastAsia"/>
          <w:rtl/>
          <w:lang w:bidi="he-IL"/>
        </w:rPr>
        <w:t>היתירא</w:t>
      </w:r>
      <w:r w:rsidRPr="00400C0B">
        <w:rPr>
          <w:rFonts w:cs="Guttman Rashi"/>
          <w:rtl/>
          <w:lang w:bidi="he-IL"/>
        </w:rPr>
        <w:t xml:space="preserve">' </w:t>
      </w:r>
      <w:r w:rsidRPr="00400C0B">
        <w:rPr>
          <w:rFonts w:cs="Guttman Rashi" w:hint="eastAsia"/>
          <w:rtl/>
          <w:lang w:bidi="he-IL"/>
        </w:rPr>
        <w:t>ועל</w:t>
      </w:r>
      <w:r w:rsidRPr="00400C0B">
        <w:rPr>
          <w:rFonts w:cs="Guttman Rashi"/>
          <w:rtl/>
          <w:lang w:bidi="he-IL"/>
        </w:rPr>
        <w:t xml:space="preserve"> </w:t>
      </w:r>
      <w:r w:rsidRPr="00400C0B">
        <w:rPr>
          <w:rFonts w:cs="Guttman Rashi" w:hint="eastAsia"/>
          <w:rtl/>
          <w:lang w:bidi="he-IL"/>
        </w:rPr>
        <w:t>דרך</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בהגהותיו</w:t>
      </w:r>
      <w:r w:rsidRPr="00400C0B">
        <w:rPr>
          <w:rFonts w:cs="Guttman Rashi"/>
          <w:rtl/>
          <w:lang w:bidi="he-IL"/>
        </w:rPr>
        <w:t xml:space="preserve"> </w:t>
      </w:r>
      <w:r w:rsidRPr="00400C0B">
        <w:rPr>
          <w:rFonts w:cs="Guttman Rashi" w:hint="eastAsia"/>
          <w:rtl/>
          <w:lang w:bidi="he-IL"/>
        </w:rPr>
        <w:t>למג</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תנ</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היתירא</w:t>
      </w:r>
      <w:r w:rsidRPr="00400C0B">
        <w:rPr>
          <w:rFonts w:cs="Guttman Rashi"/>
          <w:rtl/>
          <w:lang w:bidi="he-IL"/>
        </w:rPr>
        <w:t xml:space="preserve"> </w:t>
      </w:r>
      <w:r w:rsidRPr="00400C0B">
        <w:rPr>
          <w:rFonts w:cs="Guttman Rashi" w:hint="eastAsia"/>
          <w:rtl/>
          <w:lang w:bidi="he-IL"/>
        </w:rPr>
        <w:t>דנ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והשבתי</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דעד</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שכבר</w:t>
      </w:r>
      <w:r w:rsidRPr="00400C0B">
        <w:rPr>
          <w:rFonts w:cs="Guttman Rashi"/>
          <w:rtl/>
          <w:lang w:bidi="he-IL"/>
        </w:rPr>
        <w:t xml:space="preserve"> </w:t>
      </w:r>
      <w:r w:rsidRPr="00400C0B">
        <w:rPr>
          <w:rFonts w:cs="Guttman Rashi" w:hint="eastAsia"/>
          <w:rtl/>
          <w:lang w:bidi="he-IL"/>
        </w:rPr>
        <w:t>התבטל</w:t>
      </w:r>
      <w:r w:rsidRPr="00400C0B">
        <w:rPr>
          <w:rFonts w:cs="Guttman Rashi"/>
          <w:rtl/>
          <w:lang w:bidi="he-IL"/>
        </w:rPr>
        <w:t xml:space="preserve">, </w:t>
      </w:r>
      <w:r w:rsidRPr="00400C0B">
        <w:rPr>
          <w:rFonts w:cs="Guttman Rashi" w:hint="eastAsia"/>
          <w:rtl/>
          <w:lang w:bidi="he-IL"/>
        </w:rPr>
        <w:t>שוב</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אנו</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לדינא</w:t>
      </w:r>
      <w:r w:rsidRPr="00400C0B">
        <w:rPr>
          <w:rFonts w:cs="Guttman Rashi"/>
          <w:rtl/>
          <w:lang w:bidi="he-IL"/>
        </w:rPr>
        <w:t xml:space="preserve"> </w:t>
      </w:r>
      <w:r w:rsidRPr="00400C0B">
        <w:rPr>
          <w:rFonts w:cs="Guttman Rashi" w:hint="eastAsia"/>
          <w:rtl/>
          <w:lang w:bidi="he-IL"/>
        </w:rPr>
        <w:t>דנ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מעכשיו</w:t>
      </w:r>
      <w:r w:rsidRPr="00400C0B">
        <w:rPr>
          <w:rFonts w:cs="Guttman Rashi"/>
          <w:rtl/>
          <w:lang w:bidi="he-IL"/>
        </w:rPr>
        <w:t xml:space="preserve"> </w:t>
      </w:r>
      <w:r w:rsidRPr="00400C0B">
        <w:rPr>
          <w:rFonts w:cs="Guttman Rashi" w:hint="eastAsia"/>
          <w:rtl/>
          <w:lang w:bidi="he-IL"/>
        </w:rPr>
        <w:t>הם</w:t>
      </w:r>
      <w:r w:rsidRPr="00400C0B">
        <w:rPr>
          <w:rFonts w:cs="Guttman Rashi"/>
          <w:rtl/>
          <w:lang w:bidi="he-IL"/>
        </w:rPr>
        <w:t xml:space="preserve"> </w:t>
      </w:r>
      <w:r w:rsidRPr="00400C0B">
        <w:rPr>
          <w:rFonts w:cs="Guttman Rashi" w:hint="eastAsia"/>
          <w:rtl/>
          <w:lang w:bidi="he-IL"/>
        </w:rPr>
        <w:t>בטלים</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לכשיכנסו</w:t>
      </w:r>
      <w:r w:rsidRPr="00400C0B">
        <w:rPr>
          <w:rFonts w:cs="Guttman Rashi"/>
          <w:rtl/>
          <w:lang w:bidi="he-IL"/>
        </w:rPr>
        <w:t xml:space="preserve"> </w:t>
      </w:r>
      <w:r w:rsidRPr="00400C0B">
        <w:rPr>
          <w:rFonts w:cs="Guttman Rashi" w:hint="eastAsia"/>
          <w:rtl/>
          <w:lang w:bidi="he-IL"/>
        </w:rPr>
        <w:t>שוב</w:t>
      </w:r>
      <w:r w:rsidRPr="00400C0B">
        <w:rPr>
          <w:rFonts w:cs="Guttman Rashi"/>
          <w:rtl/>
          <w:lang w:bidi="he-IL"/>
        </w:rPr>
        <w:t xml:space="preserve"> </w:t>
      </w:r>
      <w:r w:rsidRPr="00400C0B">
        <w:rPr>
          <w:rFonts w:cs="Guttman Rashi" w:hint="eastAsia"/>
          <w:rtl/>
          <w:lang w:bidi="he-IL"/>
        </w:rPr>
        <w:t>לכלי</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שהערנו</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איכא</w:t>
      </w:r>
      <w:r w:rsidRPr="00400C0B">
        <w:rPr>
          <w:rFonts w:cs="Guttman Rashi"/>
          <w:rtl/>
          <w:lang w:bidi="he-IL"/>
        </w:rPr>
        <w:t xml:space="preserve"> </w:t>
      </w:r>
      <w:r w:rsidRPr="00400C0B">
        <w:rPr>
          <w:rFonts w:cs="Guttman Rashi" w:hint="eastAsia"/>
          <w:rtl/>
          <w:lang w:bidi="he-IL"/>
        </w:rPr>
        <w:t>למימר</w:t>
      </w:r>
      <w:r w:rsidRPr="00400C0B">
        <w:rPr>
          <w:rFonts w:cs="Guttman Rashi"/>
          <w:rtl/>
          <w:lang w:bidi="he-IL"/>
        </w:rPr>
        <w:t xml:space="preserve"> </w:t>
      </w:r>
      <w:r w:rsidRPr="00400C0B">
        <w:rPr>
          <w:rFonts w:cs="Guttman Rashi" w:hint="eastAsia"/>
          <w:rtl/>
          <w:lang w:bidi="he-IL"/>
        </w:rPr>
        <w:t>שהקושיא</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היתה</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שיוצא</w:t>
      </w:r>
      <w:r w:rsidRPr="00400C0B">
        <w:rPr>
          <w:rFonts w:cs="Guttman Rashi"/>
          <w:rtl/>
          <w:lang w:bidi="he-IL"/>
        </w:rPr>
        <w:t xml:space="preserve"> </w:t>
      </w:r>
      <w:r w:rsidRPr="00400C0B">
        <w:rPr>
          <w:rFonts w:cs="Guttman Rashi" w:hint="eastAsia"/>
          <w:rtl/>
          <w:lang w:bidi="he-IL"/>
        </w:rPr>
        <w:t>ונכנס</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חשוב</w:t>
      </w:r>
      <w:r w:rsidRPr="00400C0B">
        <w:rPr>
          <w:rFonts w:cs="Guttman Rashi"/>
          <w:rtl/>
          <w:lang w:bidi="he-IL"/>
        </w:rPr>
        <w:t xml:space="preserve"> '</w:t>
      </w:r>
      <w:r w:rsidRPr="00400C0B">
        <w:rPr>
          <w:rFonts w:cs="Guttman Rashi" w:hint="eastAsia"/>
          <w:rtl/>
          <w:lang w:bidi="he-IL"/>
        </w:rPr>
        <w:t>נכנס</w:t>
      </w:r>
      <w:r w:rsidRPr="00400C0B">
        <w:rPr>
          <w:rFonts w:cs="Guttman Rashi"/>
          <w:rtl/>
          <w:lang w:bidi="he-IL"/>
        </w:rPr>
        <w:t xml:space="preserve">' </w:t>
      </w:r>
      <w:r w:rsidRPr="00400C0B">
        <w:rPr>
          <w:rFonts w:cs="Guttman Rashi" w:hint="eastAsia"/>
          <w:rtl/>
          <w:lang w:bidi="he-IL"/>
        </w:rPr>
        <w:t>בפגם</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שהשתנה</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מדין</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כבר</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אותה</w:t>
      </w:r>
      <w:r w:rsidRPr="00400C0B">
        <w:rPr>
          <w:rFonts w:cs="Guttman Rashi"/>
          <w:rtl/>
          <w:lang w:bidi="he-IL"/>
        </w:rPr>
        <w:t xml:space="preserve"> </w:t>
      </w:r>
      <w:r w:rsidRPr="00400C0B">
        <w:rPr>
          <w:rFonts w:cs="Guttman Rashi" w:hint="eastAsia"/>
          <w:rtl/>
          <w:lang w:bidi="he-IL"/>
        </w:rPr>
        <w:t>בליעה</w:t>
      </w:r>
      <w:r w:rsidRPr="00400C0B">
        <w:rPr>
          <w:rFonts w:cs="Guttman Rashi"/>
          <w:rtl/>
          <w:lang w:bidi="he-IL"/>
        </w:rPr>
        <w:t xml:space="preserve">, </w:t>
      </w:r>
      <w:r w:rsidRPr="00400C0B">
        <w:rPr>
          <w:rFonts w:cs="Guttman Rashi" w:hint="eastAsia"/>
          <w:rtl/>
          <w:lang w:bidi="he-IL"/>
        </w:rPr>
        <w:t>ומשו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ענין</w:t>
      </w:r>
      <w:r w:rsidRPr="00400C0B">
        <w:rPr>
          <w:rFonts w:cs="Guttman Rashi"/>
          <w:rtl/>
          <w:lang w:bidi="he-IL"/>
        </w:rPr>
        <w:t xml:space="preserve"> </w:t>
      </w:r>
      <w:r w:rsidRPr="00400C0B">
        <w:rPr>
          <w:rFonts w:cs="Guttman Rashi" w:hint="eastAsia"/>
          <w:rtl/>
          <w:lang w:bidi="he-IL"/>
        </w:rPr>
        <w:t>להגעיל</w:t>
      </w:r>
      <w:r w:rsidRPr="00400C0B">
        <w:rPr>
          <w:rFonts w:cs="Guttman Rashi"/>
          <w:rtl/>
          <w:lang w:bidi="he-IL"/>
        </w:rPr>
        <w:t xml:space="preserve">. </w:t>
      </w:r>
      <w:r w:rsidRPr="00400C0B">
        <w:rPr>
          <w:rFonts w:cs="Guttman Rashi" w:hint="eastAsia"/>
          <w:rtl/>
          <w:lang w:bidi="he-IL"/>
        </w:rPr>
        <w:t>וחשבתי</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בענין</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שהקושיא</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כנ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והתי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שאמנם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ההיתר</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שכבר</w:t>
      </w:r>
      <w:r w:rsidRPr="00400C0B">
        <w:rPr>
          <w:rFonts w:cs="Guttman Rashi"/>
          <w:rtl/>
          <w:lang w:bidi="he-IL"/>
        </w:rPr>
        <w:t xml:space="preserve"> </w:t>
      </w:r>
      <w:r w:rsidRPr="00400C0B">
        <w:rPr>
          <w:rFonts w:cs="Guttman Rashi" w:hint="eastAsia"/>
          <w:rtl/>
          <w:lang w:bidi="he-IL"/>
        </w:rPr>
        <w:t>חל</w:t>
      </w:r>
      <w:r w:rsidRPr="00400C0B">
        <w:rPr>
          <w:rFonts w:cs="Guttman Rashi"/>
          <w:rtl/>
          <w:lang w:bidi="he-IL"/>
        </w:rPr>
        <w:t xml:space="preserve"> </w:t>
      </w:r>
      <w:r w:rsidRPr="00400C0B">
        <w:rPr>
          <w:rFonts w:cs="Guttman Rashi" w:hint="eastAsia"/>
          <w:rtl/>
          <w:lang w:bidi="he-IL"/>
        </w:rPr>
        <w:t>דינו</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נחלש</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שבליעה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נחלש</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אותה</w:t>
      </w:r>
      <w:r w:rsidRPr="00400C0B">
        <w:rPr>
          <w:rFonts w:cs="Guttman Rashi"/>
          <w:rtl/>
          <w:lang w:bidi="he-IL"/>
        </w:rPr>
        <w:t xml:space="preserve"> </w:t>
      </w:r>
      <w:r w:rsidRPr="00400C0B">
        <w:rPr>
          <w:rFonts w:cs="Guttman Rashi" w:hint="eastAsia"/>
          <w:rtl/>
          <w:lang w:bidi="he-IL"/>
        </w:rPr>
        <w:t>בליעה</w:t>
      </w:r>
      <w:r w:rsidRPr="00400C0B">
        <w:rPr>
          <w:rFonts w:cs="Guttman Rashi"/>
          <w:rtl/>
          <w:lang w:bidi="he-IL"/>
        </w:rPr>
        <w:t xml:space="preserve"> </w:t>
      </w:r>
      <w:r w:rsidRPr="00400C0B">
        <w:rPr>
          <w:rFonts w:cs="Guttman Rashi" w:hint="eastAsia"/>
          <w:rtl/>
          <w:lang w:bidi="he-IL"/>
        </w:rPr>
        <w:t>ושפיר</w:t>
      </w:r>
      <w:r w:rsidRPr="00400C0B">
        <w:rPr>
          <w:rFonts w:cs="Guttman Rashi"/>
          <w:rtl/>
          <w:lang w:bidi="he-IL"/>
        </w:rPr>
        <w:t xml:space="preserve"> </w:t>
      </w:r>
      <w:r w:rsidRPr="00400C0B">
        <w:rPr>
          <w:rFonts w:cs="Guttman Rashi" w:hint="eastAsia"/>
          <w:rtl/>
          <w:lang w:bidi="he-IL"/>
        </w:rPr>
        <w:t>נחשב</w:t>
      </w:r>
      <w:r w:rsidRPr="00400C0B">
        <w:rPr>
          <w:rFonts w:cs="Guttman Rashi"/>
          <w:rtl/>
          <w:lang w:bidi="he-IL"/>
        </w:rPr>
        <w:t xml:space="preserve"> </w:t>
      </w:r>
      <w:r w:rsidRPr="00400C0B">
        <w:rPr>
          <w:rFonts w:cs="Guttman Rashi" w:hint="eastAsia"/>
          <w:rtl/>
          <w:lang w:bidi="he-IL"/>
        </w:rPr>
        <w:t>נכנס</w:t>
      </w:r>
      <w:r w:rsidRPr="00400C0B">
        <w:rPr>
          <w:rFonts w:cs="Guttman Rashi"/>
          <w:rtl/>
          <w:lang w:bidi="he-IL"/>
        </w:rPr>
        <w:t xml:space="preserve"> </w:t>
      </w:r>
      <w:r w:rsidRPr="00400C0B">
        <w:rPr>
          <w:rFonts w:cs="Guttman Rashi" w:hint="eastAsia"/>
          <w:rtl/>
          <w:lang w:bidi="he-IL"/>
        </w:rPr>
        <w:t>הבליעה</w:t>
      </w:r>
      <w:r w:rsidRPr="00400C0B">
        <w:rPr>
          <w:rFonts w:cs="Guttman Rashi"/>
          <w:rtl/>
          <w:lang w:bidi="he-IL"/>
        </w:rPr>
        <w:t xml:space="preserve"> </w:t>
      </w:r>
      <w:r w:rsidRPr="00400C0B">
        <w:rPr>
          <w:rFonts w:cs="Guttman Rashi" w:hint="eastAsia"/>
          <w:rtl/>
          <w:lang w:bidi="he-IL"/>
        </w:rPr>
        <w:t>החדשה</w:t>
      </w:r>
      <w:r w:rsidRPr="00400C0B">
        <w:rPr>
          <w:rFonts w:cs="Guttman Rashi"/>
          <w:rtl/>
          <w:lang w:bidi="he-IL"/>
        </w:rPr>
        <w:t xml:space="preserve"> </w:t>
      </w:r>
      <w:r w:rsidRPr="00400C0B">
        <w:rPr>
          <w:rFonts w:cs="Guttman Rashi" w:hint="eastAsia"/>
          <w:rtl/>
          <w:lang w:bidi="he-IL"/>
        </w:rPr>
        <w:t>בפגם</w:t>
      </w:r>
      <w:r w:rsidRPr="00400C0B">
        <w:rPr>
          <w:rFonts w:cs="Guttman Rashi"/>
          <w:rtl/>
          <w:lang w:bidi="he-IL"/>
        </w:rPr>
        <w:t xml:space="preserve">. </w:t>
      </w:r>
      <w:r w:rsidRPr="00400C0B">
        <w:rPr>
          <w:rFonts w:cs="Guttman Rashi" w:hint="eastAsia"/>
          <w:rtl/>
          <w:lang w:bidi="he-IL"/>
        </w:rPr>
        <w:t>והעיר</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משמעות</w:t>
      </w:r>
      <w:r w:rsidRPr="00400C0B">
        <w:rPr>
          <w:rFonts w:cs="Guttman Rashi"/>
          <w:rtl/>
          <w:lang w:bidi="he-IL"/>
        </w:rPr>
        <w:t xml:space="preserve"> </w:t>
      </w:r>
      <w:r w:rsidRPr="00400C0B">
        <w:rPr>
          <w:rFonts w:cs="Guttman Rashi" w:hint="eastAsia"/>
          <w:rtl/>
          <w:lang w:bidi="he-IL"/>
        </w:rPr>
        <w:t>לשון</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שלשונו</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שהרוצה</w:t>
      </w:r>
      <w:r w:rsidRPr="00400C0B">
        <w:rPr>
          <w:rFonts w:cs="Guttman Rashi"/>
          <w:rtl/>
          <w:lang w:bidi="he-IL"/>
        </w:rPr>
        <w:t xml:space="preserve"> </w:t>
      </w:r>
      <w:r w:rsidRPr="00400C0B">
        <w:rPr>
          <w:rFonts w:cs="Guttman Rashi" w:hint="eastAsia"/>
          <w:rtl/>
          <w:lang w:bidi="he-IL"/>
        </w:rPr>
        <w:t>להתיר</w:t>
      </w:r>
      <w:r w:rsidRPr="00400C0B">
        <w:rPr>
          <w:rFonts w:cs="Guttman Rashi"/>
          <w:rtl/>
          <w:lang w:bidi="he-IL"/>
        </w:rPr>
        <w:t xml:space="preserve"> </w:t>
      </w:r>
      <w:r w:rsidRPr="00400C0B">
        <w:rPr>
          <w:rFonts w:cs="Guttman Rashi" w:hint="eastAsia"/>
          <w:rtl/>
          <w:lang w:bidi="he-IL"/>
        </w:rPr>
        <w:t>מדין</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שבמציאות</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p>
  </w:footnote>
  <w:footnote w:id="500">
    <w:p w:rsidR="007978F4" w:rsidRPr="00400C0B" w:rsidRDefault="007978F4" w:rsidP="00A96BDF">
      <w:pPr>
        <w:pStyle w:val="FootnoteText"/>
        <w:bidi/>
        <w:ind w:left="27" w:hanging="27"/>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שהביא</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האגדה</w:t>
      </w:r>
      <w:r w:rsidRPr="00400C0B">
        <w:rPr>
          <w:rFonts w:cs="Guttman Rashi"/>
          <w:rtl/>
          <w:lang w:bidi="he-IL"/>
        </w:rPr>
        <w:t xml:space="preserve"> </w:t>
      </w:r>
      <w:r w:rsidRPr="00400C0B">
        <w:rPr>
          <w:rFonts w:cs="Guttman Rashi" w:hint="eastAsia"/>
          <w:rtl/>
          <w:lang w:bidi="he-IL"/>
        </w:rPr>
        <w:t>המפורסמת</w:t>
      </w:r>
      <w:r w:rsidRPr="00400C0B">
        <w:rPr>
          <w:rFonts w:cs="Guttman Rashi"/>
          <w:rtl/>
          <w:lang w:bidi="he-IL"/>
        </w:rPr>
        <w:t xml:space="preserve"> '</w:t>
      </w:r>
      <w:r w:rsidRPr="00400C0B">
        <w:rPr>
          <w:rFonts w:cs="Guttman Rashi" w:hint="eastAsia"/>
          <w:rtl/>
          <w:lang w:bidi="he-IL"/>
        </w:rPr>
        <w:t>משל</w:t>
      </w:r>
      <w:r w:rsidRPr="00400C0B">
        <w:rPr>
          <w:rFonts w:cs="Guttman Rashi"/>
          <w:rtl/>
          <w:lang w:bidi="he-IL"/>
        </w:rPr>
        <w:t xml:space="preserve"> </w:t>
      </w:r>
      <w:r w:rsidRPr="00400C0B">
        <w:rPr>
          <w:rFonts w:cs="Guttman Rashi" w:hint="eastAsia"/>
          <w:rtl/>
          <w:lang w:bidi="he-IL"/>
        </w:rPr>
        <w:t>ליורה</w:t>
      </w:r>
      <w:r w:rsidRPr="00400C0B">
        <w:rPr>
          <w:rFonts w:cs="Guttman Rashi"/>
          <w:rtl/>
          <w:lang w:bidi="he-IL"/>
        </w:rPr>
        <w:t xml:space="preserve"> </w:t>
      </w:r>
      <w:r w:rsidRPr="00400C0B">
        <w:rPr>
          <w:rFonts w:cs="Guttman Rashi" w:hint="eastAsia"/>
          <w:rtl/>
          <w:lang w:bidi="he-IL"/>
        </w:rPr>
        <w:t>רותחת</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בריה</w:t>
      </w:r>
      <w:r w:rsidRPr="00400C0B">
        <w:rPr>
          <w:rFonts w:cs="Guttman Rashi"/>
          <w:rtl/>
          <w:lang w:bidi="he-IL"/>
        </w:rPr>
        <w:t xml:space="preserve"> </w:t>
      </w:r>
      <w:r w:rsidRPr="00400C0B">
        <w:rPr>
          <w:rFonts w:cs="Guttman Rashi" w:hint="eastAsia"/>
          <w:rtl/>
          <w:lang w:bidi="he-IL"/>
        </w:rPr>
        <w:t>יכולה</w:t>
      </w:r>
      <w:r w:rsidRPr="00400C0B">
        <w:rPr>
          <w:rFonts w:cs="Guttman Rashi"/>
          <w:rtl/>
          <w:lang w:bidi="he-IL"/>
        </w:rPr>
        <w:t xml:space="preserve"> </w:t>
      </w:r>
      <w:r w:rsidRPr="00400C0B">
        <w:rPr>
          <w:rFonts w:cs="Guttman Rashi" w:hint="eastAsia"/>
          <w:rtl/>
          <w:lang w:bidi="he-IL"/>
        </w:rPr>
        <w:t>לירד</w:t>
      </w:r>
      <w:r w:rsidRPr="00400C0B">
        <w:rPr>
          <w:rFonts w:cs="Guttman Rashi"/>
          <w:rtl/>
          <w:lang w:bidi="he-IL"/>
        </w:rPr>
        <w:t xml:space="preserve"> </w:t>
      </w:r>
      <w:r w:rsidRPr="00400C0B">
        <w:rPr>
          <w:rFonts w:cs="Guttman Rashi" w:hint="eastAsia"/>
          <w:rtl/>
          <w:lang w:bidi="he-IL"/>
        </w:rPr>
        <w:t>לתוכה</w:t>
      </w:r>
      <w:r w:rsidRPr="00400C0B">
        <w:rPr>
          <w:rFonts w:cs="Guttman Rashi"/>
          <w:rtl/>
          <w:lang w:bidi="he-IL"/>
        </w:rPr>
        <w:t xml:space="preserve"> </w:t>
      </w:r>
      <w:r w:rsidRPr="00400C0B">
        <w:rPr>
          <w:rFonts w:cs="Guttman Rashi" w:hint="eastAsia"/>
          <w:rtl/>
          <w:lang w:bidi="he-IL"/>
        </w:rPr>
        <w:t>קפץ</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בליעל</w:t>
      </w:r>
      <w:r w:rsidRPr="00400C0B">
        <w:rPr>
          <w:rFonts w:cs="Guttman Rashi"/>
          <w:rtl/>
          <w:lang w:bidi="he-IL"/>
        </w:rPr>
        <w:t xml:space="preserve"> </w:t>
      </w:r>
      <w:r w:rsidRPr="00400C0B">
        <w:rPr>
          <w:rFonts w:cs="Guttman Rashi" w:hint="eastAsia"/>
          <w:rtl/>
          <w:lang w:bidi="he-IL"/>
        </w:rPr>
        <w:t>וירד</w:t>
      </w:r>
      <w:r w:rsidRPr="00400C0B">
        <w:rPr>
          <w:rFonts w:cs="Guttman Rashi"/>
          <w:rtl/>
          <w:lang w:bidi="he-IL"/>
        </w:rPr>
        <w:t xml:space="preserve"> </w:t>
      </w:r>
      <w:r w:rsidRPr="00400C0B">
        <w:rPr>
          <w:rFonts w:cs="Guttman Rashi" w:hint="eastAsia"/>
          <w:rtl/>
          <w:lang w:bidi="he-IL"/>
        </w:rPr>
        <w:t>לתוכה</w:t>
      </w:r>
      <w:r w:rsidRPr="00400C0B">
        <w:rPr>
          <w:rFonts w:cs="Guttman Rashi"/>
          <w:rtl/>
          <w:lang w:bidi="he-IL"/>
        </w:rPr>
        <w:t xml:space="preserve"> </w:t>
      </w:r>
      <w:r w:rsidRPr="00400C0B">
        <w:rPr>
          <w:rFonts w:cs="Guttman Rashi" w:hint="eastAsia"/>
          <w:rtl/>
          <w:lang w:bidi="he-IL"/>
        </w:rPr>
        <w:t>אעפ</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שנכוה</w:t>
      </w:r>
      <w:r w:rsidRPr="00400C0B">
        <w:rPr>
          <w:rFonts w:cs="Guttman Rashi"/>
          <w:rtl/>
          <w:lang w:bidi="he-IL"/>
        </w:rPr>
        <w:t xml:space="preserve"> </w:t>
      </w:r>
      <w:r w:rsidRPr="00400C0B">
        <w:rPr>
          <w:rFonts w:cs="Guttman Rashi" w:hint="eastAsia"/>
          <w:rtl/>
          <w:lang w:bidi="he-IL"/>
        </w:rPr>
        <w:t>צננה</w:t>
      </w:r>
      <w:r w:rsidRPr="00400C0B">
        <w:rPr>
          <w:rFonts w:cs="Guttman Rashi"/>
          <w:rtl/>
          <w:lang w:bidi="he-IL"/>
        </w:rPr>
        <w:t xml:space="preserve"> </w:t>
      </w:r>
      <w:r w:rsidRPr="00400C0B">
        <w:rPr>
          <w:rFonts w:cs="Guttman Rashi" w:hint="eastAsia"/>
          <w:rtl/>
          <w:lang w:bidi="he-IL"/>
        </w:rPr>
        <w:t>בפני</w:t>
      </w:r>
      <w:r w:rsidRPr="00400C0B">
        <w:rPr>
          <w:rFonts w:cs="Guttman Rashi"/>
          <w:rtl/>
          <w:lang w:bidi="he-IL"/>
        </w:rPr>
        <w:t xml:space="preserve"> </w:t>
      </w:r>
      <w:r w:rsidRPr="00400C0B">
        <w:rPr>
          <w:rFonts w:cs="Guttman Rashi" w:hint="eastAsia"/>
          <w:rtl/>
          <w:lang w:bidi="he-IL"/>
        </w:rPr>
        <w:t>אחרים</w:t>
      </w:r>
      <w:r w:rsidRPr="00400C0B">
        <w:rPr>
          <w:rFonts w:cs="Guttman Rashi"/>
          <w:rtl/>
          <w:lang w:bidi="he-IL"/>
        </w:rPr>
        <w:t xml:space="preserve">'. </w:t>
      </w:r>
      <w:r w:rsidRPr="00400C0B">
        <w:rPr>
          <w:rFonts w:cs="Guttman Rashi" w:hint="eastAsia"/>
          <w:rtl/>
          <w:lang w:bidi="he-IL"/>
        </w:rPr>
        <w:t>וביאר</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ראשון</w:t>
      </w:r>
      <w:r w:rsidRPr="00400C0B">
        <w:rPr>
          <w:rFonts w:cs="Guttman Rashi"/>
          <w:rtl/>
          <w:lang w:bidi="he-IL"/>
        </w:rPr>
        <w:t xml:space="preserve"> </w:t>
      </w:r>
      <w:r w:rsidRPr="00400C0B">
        <w:rPr>
          <w:rFonts w:cs="Guttman Rashi" w:hint="eastAsia"/>
          <w:rtl/>
          <w:lang w:bidi="he-IL"/>
        </w:rPr>
        <w:t>שע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האש</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לך</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בליעל</w:t>
      </w:r>
      <w:r w:rsidRPr="00400C0B">
        <w:rPr>
          <w:rFonts w:cs="Guttman Rashi"/>
          <w:rtl/>
          <w:lang w:bidi="he-IL"/>
        </w:rPr>
        <w:t xml:space="preserve"> </w:t>
      </w:r>
      <w:r w:rsidRPr="00400C0B">
        <w:rPr>
          <w:rFonts w:cs="Guttman Rashi" w:hint="eastAsia"/>
          <w:rtl/>
          <w:lang w:bidi="he-IL"/>
        </w:rPr>
        <w:t>שירד</w:t>
      </w:r>
      <w:r w:rsidRPr="00400C0B">
        <w:rPr>
          <w:rFonts w:cs="Guttman Rashi"/>
          <w:rtl/>
          <w:lang w:bidi="he-IL"/>
        </w:rPr>
        <w:t xml:space="preserve"> </w:t>
      </w:r>
      <w:r w:rsidRPr="00400C0B">
        <w:rPr>
          <w:rFonts w:cs="Guttman Rashi" w:hint="eastAsia"/>
          <w:rtl/>
          <w:lang w:bidi="he-IL"/>
        </w:rPr>
        <w:t>לתוכה</w:t>
      </w:r>
      <w:r w:rsidRPr="00400C0B">
        <w:rPr>
          <w:rFonts w:cs="Guttman Rashi"/>
          <w:rtl/>
          <w:lang w:bidi="he-IL"/>
        </w:rPr>
        <w:t xml:space="preserve">. </w:t>
      </w:r>
      <w:r w:rsidRPr="00400C0B">
        <w:rPr>
          <w:rFonts w:cs="Guttman Rashi" w:hint="eastAsia"/>
          <w:rtl/>
          <w:lang w:bidi="he-IL"/>
        </w:rPr>
        <w:t>ולולא</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הוה</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להוכיח</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דאל</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מצננה</w:t>
      </w:r>
      <w:r w:rsidRPr="00400C0B">
        <w:rPr>
          <w:rFonts w:cs="Guttman Rashi"/>
          <w:rtl/>
          <w:lang w:bidi="he-IL"/>
        </w:rPr>
        <w:t xml:space="preserve"> </w:t>
      </w:r>
      <w:r w:rsidRPr="00400C0B">
        <w:rPr>
          <w:rFonts w:cs="Guttman Rashi" w:hint="eastAsia"/>
          <w:rtl/>
          <w:lang w:bidi="he-IL"/>
        </w:rPr>
        <w:t>בפני</w:t>
      </w:r>
      <w:r w:rsidRPr="00400C0B">
        <w:rPr>
          <w:rFonts w:cs="Guttman Rashi"/>
          <w:rtl/>
          <w:lang w:bidi="he-IL"/>
        </w:rPr>
        <w:t xml:space="preserve"> </w:t>
      </w:r>
      <w:r w:rsidRPr="00400C0B">
        <w:rPr>
          <w:rFonts w:cs="Guttman Rashi" w:hint="eastAsia"/>
          <w:rtl/>
          <w:lang w:bidi="he-IL"/>
        </w:rPr>
        <w:t>אחרים</w:t>
      </w:r>
      <w:r w:rsidRPr="00400C0B">
        <w:rPr>
          <w:rFonts w:cs="Guttman Rashi"/>
          <w:rtl/>
          <w:lang w:bidi="he-IL"/>
        </w:rPr>
        <w:t xml:space="preserve">.    </w:t>
      </w:r>
    </w:p>
  </w:footnote>
  <w:footnote w:id="501">
    <w:p w:rsidR="007978F4" w:rsidRPr="00400C0B" w:rsidRDefault="007978F4" w:rsidP="00A96BDF">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דנהי</w:t>
      </w:r>
      <w:r w:rsidRPr="00400C0B">
        <w:rPr>
          <w:rFonts w:cs="Guttman Rashi"/>
          <w:rtl/>
          <w:lang w:bidi="he-IL"/>
        </w:rPr>
        <w:t xml:space="preserve"> </w:t>
      </w:r>
      <w:r w:rsidRPr="00400C0B">
        <w:rPr>
          <w:rFonts w:cs="Guttman Rashi" w:hint="eastAsia"/>
          <w:rtl/>
          <w:lang w:bidi="he-IL"/>
        </w:rPr>
        <w:t>נמי</w:t>
      </w:r>
      <w:r w:rsidRPr="00400C0B">
        <w:rPr>
          <w:rFonts w:cs="Guttman Rashi"/>
          <w:rtl/>
          <w:lang w:bidi="he-IL"/>
        </w:rPr>
        <w:t xml:space="preserve"> </w:t>
      </w:r>
      <w:r w:rsidRPr="00400C0B">
        <w:rPr>
          <w:rFonts w:cs="Guttman Rashi" w:hint="eastAsia"/>
          <w:rtl/>
          <w:lang w:bidi="he-IL"/>
        </w:rPr>
        <w:t>דשייך</w:t>
      </w:r>
      <w:r w:rsidRPr="00400C0B">
        <w:rPr>
          <w:rFonts w:cs="Guttman Rashi"/>
          <w:rtl/>
          <w:lang w:bidi="he-IL"/>
        </w:rPr>
        <w:t xml:space="preserve"> </w:t>
      </w:r>
      <w:r w:rsidRPr="00400C0B">
        <w:rPr>
          <w:rFonts w:cs="Guttman Rashi" w:hint="eastAsia"/>
          <w:rtl/>
          <w:lang w:bidi="he-IL"/>
        </w:rPr>
        <w:t>רותחין</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העלאת</w:t>
      </w:r>
      <w:r w:rsidRPr="00400C0B">
        <w:rPr>
          <w:rFonts w:cs="Guttman Rashi"/>
          <w:rtl/>
          <w:lang w:bidi="he-IL"/>
        </w:rPr>
        <w:t xml:space="preserve"> </w:t>
      </w:r>
      <w:r w:rsidRPr="00400C0B">
        <w:rPr>
          <w:rFonts w:cs="Guttman Rashi" w:hint="eastAsia"/>
          <w:rtl/>
          <w:lang w:bidi="he-IL"/>
        </w:rPr>
        <w:t>רתיחות</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מאי</w:t>
      </w:r>
      <w:r w:rsidRPr="00400C0B">
        <w:rPr>
          <w:rFonts w:cs="Guttman Rashi"/>
          <w:rtl/>
          <w:lang w:bidi="he-IL"/>
        </w:rPr>
        <w:t xml:space="preserve"> </w:t>
      </w:r>
      <w:r w:rsidRPr="00400C0B">
        <w:rPr>
          <w:rFonts w:cs="Guttman Rashi" w:hint="eastAsia"/>
          <w:rtl/>
          <w:lang w:bidi="he-IL"/>
        </w:rPr>
        <w:t>שייטי</w:t>
      </w:r>
      <w:r w:rsidRPr="00400C0B">
        <w:rPr>
          <w:rFonts w:cs="Guttman Rashi"/>
          <w:rtl/>
          <w:lang w:bidi="he-IL"/>
        </w:rPr>
        <w:t xml:space="preserve">' </w:t>
      </w:r>
      <w:r w:rsidRPr="00400C0B">
        <w:rPr>
          <w:rFonts w:cs="Guttman Rashi" w:hint="eastAsia"/>
          <w:rtl/>
          <w:lang w:bidi="he-IL"/>
        </w:rPr>
        <w:t>הכא</w:t>
      </w:r>
      <w:r w:rsidRPr="00400C0B">
        <w:rPr>
          <w:rFonts w:cs="Guttman Rashi"/>
          <w:rtl/>
          <w:lang w:bidi="he-IL"/>
        </w:rPr>
        <w:t xml:space="preserve">, </w:t>
      </w:r>
      <w:r w:rsidRPr="00400C0B">
        <w:rPr>
          <w:rFonts w:cs="Guttman Rashi" w:hint="eastAsia"/>
          <w:rtl/>
          <w:lang w:bidi="he-IL"/>
        </w:rPr>
        <w:t>דמאן</w:t>
      </w:r>
      <w:r w:rsidRPr="00400C0B">
        <w:rPr>
          <w:rFonts w:cs="Guttman Rashi"/>
          <w:rtl/>
          <w:lang w:bidi="he-IL"/>
        </w:rPr>
        <w:t xml:space="preserve"> </w:t>
      </w:r>
      <w:r w:rsidRPr="00400C0B">
        <w:rPr>
          <w:rFonts w:cs="Guttman Rashi" w:hint="eastAsia"/>
          <w:rtl/>
          <w:lang w:bidi="he-IL"/>
        </w:rPr>
        <w:t>לימא</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קצף</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מאי</w:t>
      </w:r>
      <w:r w:rsidRPr="00400C0B">
        <w:rPr>
          <w:rFonts w:cs="Guttman Rashi"/>
          <w:rtl/>
          <w:lang w:bidi="he-IL"/>
        </w:rPr>
        <w:t xml:space="preserve"> </w:t>
      </w:r>
      <w:r w:rsidRPr="00400C0B">
        <w:rPr>
          <w:rFonts w:cs="Guttman Rashi" w:hint="eastAsia"/>
          <w:rtl/>
          <w:lang w:bidi="he-IL"/>
        </w:rPr>
        <w:t>אהני</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sidRPr="00400C0B">
        <w:rPr>
          <w:rFonts w:cs="Guttman Rashi" w:hint="eastAsia"/>
          <w:rtl/>
          <w:lang w:bidi="he-IL"/>
        </w:rPr>
        <w:t>הקצף</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שהגמ</w:t>
      </w:r>
      <w:r w:rsidRPr="00400C0B">
        <w:rPr>
          <w:rFonts w:cs="Guttman Rashi"/>
          <w:rtl/>
          <w:lang w:bidi="he-IL"/>
        </w:rPr>
        <w:t xml:space="preserve">' </w:t>
      </w:r>
      <w:r w:rsidRPr="00400C0B">
        <w:rPr>
          <w:rFonts w:cs="Guttman Rashi" w:hint="eastAsia"/>
          <w:rtl/>
          <w:lang w:bidi="he-IL"/>
        </w:rPr>
        <w:t>מדגיש</w:t>
      </w:r>
      <w:r w:rsidRPr="00400C0B">
        <w:rPr>
          <w:rFonts w:cs="Guttman Rashi"/>
          <w:rtl/>
          <w:lang w:bidi="he-IL"/>
        </w:rPr>
        <w:t xml:space="preserve"> </w:t>
      </w:r>
      <w:r w:rsidRPr="00400C0B">
        <w:rPr>
          <w:rFonts w:cs="Guttman Rashi" w:hint="eastAsia"/>
          <w:rtl/>
          <w:lang w:bidi="he-IL"/>
        </w:rPr>
        <w:t>דהיינו</w:t>
      </w:r>
      <w:r w:rsidRPr="00400C0B">
        <w:rPr>
          <w:rFonts w:cs="Guttman Rashi"/>
          <w:rtl/>
          <w:lang w:bidi="he-IL"/>
        </w:rPr>
        <w:t xml:space="preserve"> </w:t>
      </w:r>
      <w:r w:rsidRPr="00400C0B">
        <w:rPr>
          <w:rFonts w:cs="Guttman Rashi" w:hint="eastAsia"/>
          <w:rtl/>
          <w:lang w:bidi="he-IL"/>
        </w:rPr>
        <w:t>ברותחין</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שבדר</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במים</w:t>
      </w:r>
      <w:r w:rsidRPr="00400C0B">
        <w:rPr>
          <w:rFonts w:cs="Guttman Rashi"/>
          <w:rtl/>
          <w:lang w:bidi="he-IL"/>
        </w:rPr>
        <w:t xml:space="preserve"> </w:t>
      </w:r>
      <w:r w:rsidRPr="00400C0B">
        <w:rPr>
          <w:rFonts w:cs="Guttman Rashi" w:hint="eastAsia"/>
          <w:rtl/>
          <w:lang w:bidi="he-IL"/>
        </w:rPr>
        <w:t>חמין</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ראשון</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האש</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קצף</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דליכא</w:t>
      </w:r>
      <w:r w:rsidRPr="00400C0B">
        <w:rPr>
          <w:rFonts w:cs="Guttman Rashi"/>
          <w:rtl/>
          <w:lang w:bidi="he-IL"/>
        </w:rPr>
        <w:t xml:space="preserve"> </w:t>
      </w:r>
      <w:r w:rsidRPr="00400C0B">
        <w:rPr>
          <w:rFonts w:cs="Guttman Rashi" w:hint="eastAsia"/>
          <w:rtl/>
          <w:lang w:bidi="he-IL"/>
        </w:rPr>
        <w:t>העלאת</w:t>
      </w:r>
      <w:r w:rsidRPr="00400C0B">
        <w:rPr>
          <w:rFonts w:cs="Guttman Rashi"/>
          <w:rtl/>
          <w:lang w:bidi="he-IL"/>
        </w:rPr>
        <w:t xml:space="preserve"> </w:t>
      </w:r>
      <w:r w:rsidRPr="00400C0B">
        <w:rPr>
          <w:rFonts w:cs="Guttman Rashi" w:hint="eastAsia"/>
          <w:rtl/>
          <w:lang w:bidi="he-IL"/>
        </w:rPr>
        <w:t>רתיחות</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502">
    <w:p w:rsidR="007978F4" w:rsidRPr="00400C0B" w:rsidRDefault="007978F4" w:rsidP="00A96BDF">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בחידושיו</w:t>
      </w:r>
      <w:r w:rsidRPr="00400C0B">
        <w:rPr>
          <w:rFonts w:cs="Guttman Rashi"/>
          <w:rtl/>
          <w:lang w:bidi="he-IL"/>
        </w:rPr>
        <w:t xml:space="preserve"> </w:t>
      </w:r>
      <w:r w:rsidRPr="00400C0B">
        <w:rPr>
          <w:rFonts w:cs="Guttman Rashi" w:hint="eastAsia"/>
          <w:rtl/>
          <w:lang w:bidi="he-IL"/>
        </w:rPr>
        <w:t>למס</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דבעינן</w:t>
      </w:r>
      <w:r w:rsidRPr="00400C0B">
        <w:rPr>
          <w:rFonts w:cs="Guttman Rashi"/>
          <w:rtl/>
          <w:lang w:bidi="he-IL"/>
        </w:rPr>
        <w:t xml:space="preserve"> </w:t>
      </w:r>
      <w:r w:rsidRPr="00400C0B">
        <w:rPr>
          <w:rFonts w:cs="Guttman Rashi" w:hint="eastAsia"/>
          <w:rtl/>
          <w:lang w:bidi="he-IL"/>
        </w:rPr>
        <w:t>יורה</w:t>
      </w:r>
      <w:r w:rsidRPr="00400C0B">
        <w:rPr>
          <w:rFonts w:cs="Guttman Rashi"/>
          <w:rtl/>
          <w:lang w:bidi="he-IL"/>
        </w:rPr>
        <w:t xml:space="preserve"> </w:t>
      </w:r>
      <w:r w:rsidRPr="00400C0B">
        <w:rPr>
          <w:rFonts w:cs="Guttman Rashi" w:hint="eastAsia"/>
          <w:rtl/>
          <w:lang w:bidi="he-IL"/>
        </w:rPr>
        <w:t>רותחת</w:t>
      </w:r>
      <w:r w:rsidRPr="00400C0B">
        <w:rPr>
          <w:rFonts w:cs="Guttman Rashi"/>
          <w:rtl/>
          <w:lang w:bidi="he-IL"/>
        </w:rPr>
        <w:t xml:space="preserve"> </w:t>
      </w:r>
      <w:r w:rsidRPr="00400C0B">
        <w:rPr>
          <w:rFonts w:cs="Guttman Rashi" w:hint="eastAsia"/>
          <w:rtl/>
          <w:lang w:bidi="he-IL"/>
        </w:rPr>
        <w:t>שמעלה</w:t>
      </w:r>
      <w:r w:rsidRPr="00400C0B">
        <w:rPr>
          <w:rFonts w:cs="Guttman Rashi"/>
          <w:rtl/>
          <w:lang w:bidi="he-IL"/>
        </w:rPr>
        <w:t xml:space="preserve"> </w:t>
      </w:r>
      <w:r w:rsidRPr="00400C0B">
        <w:rPr>
          <w:rFonts w:cs="Guttman Rashi" w:hint="eastAsia"/>
          <w:rtl/>
          <w:lang w:bidi="he-IL"/>
        </w:rPr>
        <w:t>רתיחות</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לכלי</w:t>
      </w:r>
      <w:r w:rsidRPr="00400C0B">
        <w:rPr>
          <w:rFonts w:cs="Guttman Rashi"/>
          <w:rtl/>
          <w:lang w:bidi="he-IL"/>
        </w:rPr>
        <w:t xml:space="preserve"> </w:t>
      </w:r>
      <w:r w:rsidRPr="00400C0B">
        <w:rPr>
          <w:rFonts w:cs="Guttman Rashi" w:hint="eastAsia"/>
          <w:rtl/>
          <w:lang w:bidi="he-IL"/>
        </w:rPr>
        <w:t>שבלע</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העלאת</w:t>
      </w:r>
      <w:r w:rsidRPr="00400C0B">
        <w:rPr>
          <w:rFonts w:cs="Guttman Rashi"/>
          <w:rtl/>
          <w:lang w:bidi="he-IL"/>
        </w:rPr>
        <w:t xml:space="preserve"> </w:t>
      </w:r>
      <w:r w:rsidRPr="00400C0B">
        <w:rPr>
          <w:rFonts w:cs="Guttman Rashi" w:hint="eastAsia"/>
          <w:rtl/>
          <w:lang w:bidi="he-IL"/>
        </w:rPr>
        <w:t>רתיחות</w:t>
      </w:r>
      <w:r w:rsidRPr="00400C0B">
        <w:rPr>
          <w:rFonts w:cs="Guttman Rashi"/>
          <w:rtl/>
          <w:lang w:bidi="he-IL"/>
        </w:rPr>
        <w:t xml:space="preserve">, </w:t>
      </w:r>
      <w:r w:rsidRPr="00400C0B">
        <w:rPr>
          <w:rFonts w:cs="Guttman Rashi" w:hint="eastAsia"/>
          <w:rtl/>
          <w:lang w:bidi="he-IL"/>
        </w:rPr>
        <w:t>ומשום</w:t>
      </w:r>
      <w:r w:rsidRPr="00400C0B">
        <w:rPr>
          <w:rFonts w:cs="Guttman Rashi"/>
          <w:rtl/>
          <w:lang w:bidi="he-IL"/>
        </w:rPr>
        <w:t xml:space="preserve"> </w:t>
      </w:r>
      <w:r w:rsidRPr="00400C0B">
        <w:rPr>
          <w:rFonts w:cs="Guttman Rashi" w:hint="eastAsia"/>
          <w:rtl/>
          <w:lang w:bidi="he-IL"/>
        </w:rPr>
        <w:t>דקיי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דכבולעו</w:t>
      </w:r>
      <w:r w:rsidRPr="00400C0B">
        <w:rPr>
          <w:rFonts w:cs="Guttman Rashi"/>
          <w:rtl/>
          <w:lang w:bidi="he-IL"/>
        </w:rPr>
        <w:t xml:space="preserve"> </w:t>
      </w:r>
      <w:r w:rsidRPr="00400C0B">
        <w:rPr>
          <w:rFonts w:cs="Guttman Rashi" w:hint="eastAsia"/>
          <w:rtl/>
          <w:lang w:bidi="he-IL"/>
        </w:rPr>
        <w:t>כך</w:t>
      </w:r>
      <w:r w:rsidRPr="00400C0B">
        <w:rPr>
          <w:rFonts w:cs="Guttman Rashi"/>
          <w:rtl/>
          <w:lang w:bidi="he-IL"/>
        </w:rPr>
        <w:t xml:space="preserve"> </w:t>
      </w:r>
      <w:r w:rsidRPr="00400C0B">
        <w:rPr>
          <w:rFonts w:cs="Guttman Rashi" w:hint="eastAsia"/>
          <w:rtl/>
          <w:lang w:bidi="he-IL"/>
        </w:rPr>
        <w:t>פולטו</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דכלי</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בלע</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האור</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מוכשר</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שע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האש</w:t>
      </w:r>
      <w:r w:rsidRPr="00400C0B">
        <w:rPr>
          <w:rFonts w:cs="Guttman Rashi"/>
          <w:rtl/>
          <w:lang w:bidi="he-IL"/>
        </w:rPr>
        <w:t xml:space="preserve">. </w:t>
      </w:r>
      <w:r w:rsidRPr="00400C0B">
        <w:rPr>
          <w:rFonts w:cs="Guttman Rashi" w:hint="eastAsia"/>
          <w:rtl/>
          <w:lang w:bidi="he-IL"/>
        </w:rPr>
        <w:t>וזהו</w:t>
      </w:r>
      <w:r w:rsidRPr="00400C0B">
        <w:rPr>
          <w:rFonts w:cs="Guttman Rashi"/>
          <w:rtl/>
          <w:lang w:bidi="he-IL"/>
        </w:rPr>
        <w:t xml:space="preserve"> </w:t>
      </w:r>
      <w:r w:rsidRPr="00400C0B">
        <w:rPr>
          <w:rFonts w:cs="Guttman Rashi" w:hint="eastAsia"/>
          <w:rtl/>
          <w:lang w:bidi="he-IL"/>
        </w:rPr>
        <w:t>כמש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המהר</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חלאוה</w:t>
      </w:r>
      <w:r w:rsidRPr="00400C0B">
        <w:rPr>
          <w:rFonts w:cs="Guttman Rashi"/>
          <w:rtl/>
          <w:lang w:bidi="he-IL"/>
        </w:rPr>
        <w:t xml:space="preserve"> </w:t>
      </w:r>
      <w:r w:rsidRPr="00400C0B">
        <w:rPr>
          <w:rFonts w:cs="Guttman Rashi" w:hint="eastAsia"/>
          <w:rtl/>
          <w:lang w:bidi="he-IL"/>
        </w:rPr>
        <w:t>בדעתו</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כמש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המגי</w:t>
      </w:r>
      <w:r w:rsidRPr="00400C0B">
        <w:rPr>
          <w:rFonts w:cs="Guttman Rashi"/>
          <w:rtl/>
          <w:lang w:bidi="he-IL"/>
        </w:rPr>
        <w:t xml:space="preserve">' </w:t>
      </w:r>
      <w:r w:rsidRPr="00400C0B">
        <w:rPr>
          <w:rFonts w:cs="Guttman Rashi" w:hint="eastAsia"/>
          <w:rtl/>
          <w:lang w:bidi="he-IL"/>
        </w:rPr>
        <w:t>שעל</w:t>
      </w:r>
      <w:r w:rsidRPr="00400C0B">
        <w:rPr>
          <w:rFonts w:cs="Guttman Rashi"/>
          <w:rtl/>
          <w:lang w:bidi="he-IL"/>
        </w:rPr>
        <w:t xml:space="preserve"> </w:t>
      </w:r>
      <w:r w:rsidRPr="00400C0B">
        <w:rPr>
          <w:rFonts w:cs="Guttman Rashi" w:hint="eastAsia"/>
          <w:rtl/>
          <w:lang w:bidi="he-IL"/>
        </w:rPr>
        <w:t>מהר</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חלאוה</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דוד</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ן</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דעתו</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שכתוב</w:t>
      </w:r>
      <w:r w:rsidRPr="00400C0B">
        <w:rPr>
          <w:rFonts w:cs="Guttman Rashi"/>
          <w:rtl/>
          <w:lang w:bidi="he-IL"/>
        </w:rPr>
        <w:t xml:space="preserve"> </w:t>
      </w:r>
      <w:r w:rsidRPr="00400C0B">
        <w:rPr>
          <w:rFonts w:cs="Guttman Rashi" w:hint="eastAsia"/>
          <w:rtl/>
          <w:lang w:bidi="he-IL"/>
        </w:rPr>
        <w:t>לפנינו</w:t>
      </w:r>
      <w:r w:rsidRPr="00400C0B">
        <w:rPr>
          <w:rFonts w:cs="Guttman Rashi"/>
          <w:rtl/>
          <w:lang w:bidi="he-IL"/>
        </w:rPr>
        <w:t xml:space="preserve"> </w:t>
      </w:r>
      <w:r w:rsidRPr="00400C0B">
        <w:rPr>
          <w:rFonts w:cs="Guttman Rashi" w:hint="eastAsia"/>
          <w:rtl/>
          <w:lang w:bidi="he-IL"/>
        </w:rPr>
        <w:t>בע</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שהזכיר</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לקוטות</w:t>
      </w:r>
      <w:r w:rsidRPr="00400C0B">
        <w:rPr>
          <w:rFonts w:cs="Guttman Rashi"/>
          <w:rtl/>
          <w:lang w:bidi="he-IL"/>
        </w:rPr>
        <w:t xml:space="preserve"> </w:t>
      </w:r>
      <w:r w:rsidRPr="00400C0B">
        <w:rPr>
          <w:rFonts w:cs="Guttman Rashi" w:hint="eastAsia"/>
          <w:rtl/>
          <w:lang w:bidi="he-IL"/>
        </w:rPr>
        <w:t>שלו</w:t>
      </w:r>
      <w:r w:rsidRPr="00400C0B">
        <w:rPr>
          <w:rFonts w:cs="Guttman Rashi"/>
          <w:rtl/>
          <w:lang w:bidi="he-IL"/>
        </w:rPr>
        <w:t xml:space="preserve"> </w:t>
      </w:r>
      <w:r w:rsidRPr="00400C0B">
        <w:rPr>
          <w:rFonts w:cs="Guttman Rashi" w:hint="eastAsia"/>
          <w:rtl/>
          <w:lang w:bidi="he-IL"/>
        </w:rPr>
        <w:t>למס</w:t>
      </w:r>
      <w:r w:rsidRPr="00400C0B">
        <w:rPr>
          <w:rFonts w:cs="Guttman Rashi"/>
          <w:rtl/>
          <w:lang w:bidi="he-IL"/>
        </w:rPr>
        <w:t xml:space="preserve">' </w:t>
      </w:r>
      <w:r w:rsidRPr="00400C0B">
        <w:rPr>
          <w:rFonts w:cs="Guttman Rashi" w:hint="eastAsia"/>
          <w:rtl/>
          <w:lang w:bidi="he-IL"/>
        </w:rPr>
        <w:t>פסחים</w:t>
      </w:r>
      <w:r w:rsidRPr="00400C0B">
        <w:rPr>
          <w:rFonts w:cs="Guttman Rashi"/>
          <w:rtl/>
          <w:lang w:bidi="he-IL"/>
        </w:rPr>
        <w:t xml:space="preserve"> </w:t>
      </w:r>
      <w:r w:rsidRPr="00400C0B">
        <w:rPr>
          <w:rFonts w:cs="Guttman Rashi" w:hint="eastAsia"/>
          <w:rtl/>
          <w:lang w:bidi="he-IL"/>
        </w:rPr>
        <w:t>אינן</w:t>
      </w:r>
      <w:r w:rsidRPr="00400C0B">
        <w:rPr>
          <w:rFonts w:cs="Guttman Rashi"/>
          <w:rtl/>
          <w:lang w:bidi="he-IL"/>
        </w:rPr>
        <w:t xml:space="preserve"> </w:t>
      </w:r>
      <w:r w:rsidRPr="00400C0B">
        <w:rPr>
          <w:rFonts w:cs="Guttman Rashi" w:hint="eastAsia"/>
          <w:rtl/>
          <w:lang w:bidi="he-IL"/>
        </w:rPr>
        <w:t>נכון</w:t>
      </w:r>
      <w:r w:rsidRPr="00400C0B">
        <w:rPr>
          <w:rFonts w:cs="Guttman Rashi"/>
          <w:rtl/>
          <w:lang w:bidi="he-IL"/>
        </w:rPr>
        <w:t xml:space="preserve">.  </w:t>
      </w:r>
    </w:p>
  </w:footnote>
  <w:footnote w:id="503">
    <w:p w:rsidR="007978F4" w:rsidRPr="00400C0B" w:rsidRDefault="007978F4" w:rsidP="00A96BDF">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שדברי</w:t>
      </w:r>
      <w:r w:rsidRPr="00400C0B">
        <w:rPr>
          <w:rFonts w:cs="Guttman Rashi"/>
          <w:rtl/>
          <w:lang w:bidi="he-IL"/>
        </w:rPr>
        <w:t xml:space="preserve"> </w:t>
      </w:r>
      <w:r w:rsidRPr="00400C0B">
        <w:rPr>
          <w:rFonts w:cs="Guttman Rashi" w:hint="eastAsia"/>
          <w:rtl/>
          <w:lang w:bidi="he-IL"/>
        </w:rPr>
        <w:t>המ</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מרפסין</w:t>
      </w:r>
      <w:r w:rsidRPr="00400C0B">
        <w:rPr>
          <w:rFonts w:cs="Guttman Rashi"/>
          <w:rtl/>
          <w:lang w:bidi="he-IL"/>
        </w:rPr>
        <w:t xml:space="preserve"> </w:t>
      </w:r>
      <w:r w:rsidRPr="00400C0B">
        <w:rPr>
          <w:rFonts w:cs="Guttman Rashi" w:hint="eastAsia"/>
          <w:rtl/>
          <w:lang w:bidi="he-IL"/>
        </w:rPr>
        <w:t>איגרי</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ז</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ויהיו</w:t>
      </w:r>
      <w:r w:rsidRPr="00400C0B">
        <w:rPr>
          <w:rFonts w:cs="Guttman Rashi"/>
          <w:rtl/>
          <w:lang w:bidi="he-IL"/>
        </w:rPr>
        <w:t xml:space="preserve"> </w:t>
      </w:r>
      <w:r w:rsidRPr="00400C0B">
        <w:rPr>
          <w:rFonts w:cs="Guttman Rashi" w:hint="eastAsia"/>
          <w:rtl/>
          <w:lang w:bidi="he-IL"/>
        </w:rPr>
        <w:t>המים</w:t>
      </w:r>
      <w:r w:rsidRPr="00400C0B">
        <w:rPr>
          <w:rFonts w:cs="Guttman Rashi"/>
          <w:rtl/>
          <w:lang w:bidi="he-IL"/>
        </w:rPr>
        <w:t xml:space="preserve"> </w:t>
      </w:r>
      <w:r w:rsidRPr="00400C0B">
        <w:rPr>
          <w:rFonts w:cs="Guttman Rashi" w:hint="eastAsia"/>
          <w:rtl/>
          <w:lang w:bidi="he-IL"/>
        </w:rPr>
        <w:t>מעלין</w:t>
      </w:r>
      <w:r w:rsidRPr="00400C0B">
        <w:rPr>
          <w:rFonts w:cs="Guttman Rashi"/>
          <w:rtl/>
          <w:lang w:bidi="he-IL"/>
        </w:rPr>
        <w:t xml:space="preserve"> </w:t>
      </w:r>
      <w:r w:rsidRPr="00400C0B">
        <w:rPr>
          <w:rFonts w:cs="Guttman Rashi" w:hint="eastAsia"/>
          <w:rtl/>
          <w:lang w:bidi="he-IL"/>
        </w:rPr>
        <w:t>רתיחה</w:t>
      </w:r>
      <w:r w:rsidRPr="00400C0B">
        <w:rPr>
          <w:rFonts w:cs="Guttman Rashi"/>
          <w:rtl/>
          <w:lang w:bidi="he-IL"/>
        </w:rPr>
        <w:t xml:space="preserve"> </w:t>
      </w:r>
      <w:r w:rsidRPr="00400C0B">
        <w:rPr>
          <w:rFonts w:cs="Guttman Rashi" w:hint="eastAsia"/>
          <w:rtl/>
          <w:lang w:bidi="he-IL"/>
        </w:rPr>
        <w:t>וכדלקמן</w:t>
      </w:r>
      <w:r w:rsidRPr="00400C0B">
        <w:rPr>
          <w:rFonts w:cs="Guttman Rashi"/>
          <w:rtl/>
          <w:lang w:bidi="he-IL"/>
        </w:rPr>
        <w:t xml:space="preserve"> </w:t>
      </w:r>
      <w:r w:rsidRPr="00400C0B">
        <w:rPr>
          <w:rFonts w:cs="Guttman Rashi" w:hint="eastAsia"/>
          <w:rtl/>
          <w:lang w:bidi="he-IL"/>
        </w:rPr>
        <w:t>בסי</w:t>
      </w:r>
      <w:r w:rsidRPr="00400C0B">
        <w:rPr>
          <w:rFonts w:cs="Guttman Rashi"/>
          <w:rtl/>
          <w:lang w:bidi="he-IL"/>
        </w:rPr>
        <w:t xml:space="preserve">' </w:t>
      </w:r>
      <w:r w:rsidRPr="00400C0B">
        <w:rPr>
          <w:rFonts w:cs="Guttman Rashi" w:hint="eastAsia"/>
          <w:rtl/>
          <w:lang w:bidi="he-IL"/>
        </w:rPr>
        <w:t>תנ</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עיין</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לבו</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ודברים</w:t>
      </w:r>
      <w:r w:rsidRPr="00400C0B">
        <w:rPr>
          <w:rFonts w:cs="Guttman Rashi"/>
          <w:rtl/>
          <w:lang w:bidi="he-IL"/>
        </w:rPr>
        <w:t xml:space="preserve"> </w:t>
      </w:r>
      <w:r w:rsidRPr="00400C0B">
        <w:rPr>
          <w:rFonts w:cs="Guttman Rashi" w:hint="eastAsia"/>
          <w:rtl/>
          <w:lang w:bidi="he-IL"/>
        </w:rPr>
        <w:t>הם</w:t>
      </w:r>
      <w:r w:rsidRPr="00400C0B">
        <w:rPr>
          <w:rFonts w:cs="Guttman Rashi"/>
          <w:rtl/>
          <w:lang w:bidi="he-IL"/>
        </w:rPr>
        <w:t xml:space="preserve"> </w:t>
      </w:r>
      <w:r w:rsidRPr="00400C0B">
        <w:rPr>
          <w:rFonts w:cs="Guttman Rashi" w:hint="eastAsia"/>
          <w:rtl/>
          <w:lang w:bidi="he-IL"/>
        </w:rPr>
        <w:t>פירוש</w:t>
      </w:r>
      <w:r w:rsidRPr="00400C0B">
        <w:rPr>
          <w:rFonts w:cs="Guttman Rashi"/>
          <w:rtl/>
          <w:lang w:bidi="he-IL"/>
        </w:rPr>
        <w:t xml:space="preserve"> </w:t>
      </w:r>
      <w:r w:rsidRPr="00400C0B">
        <w:rPr>
          <w:rFonts w:cs="Guttman Rashi" w:hint="eastAsia"/>
          <w:rtl/>
          <w:lang w:bidi="he-IL"/>
        </w:rPr>
        <w:t>למש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שצריכים</w:t>
      </w:r>
      <w:r w:rsidRPr="00400C0B">
        <w:rPr>
          <w:rFonts w:cs="Guttman Rashi"/>
          <w:rtl/>
          <w:lang w:bidi="he-IL"/>
        </w:rPr>
        <w:t xml:space="preserve"> </w:t>
      </w:r>
      <w:r w:rsidRPr="00400C0B">
        <w:rPr>
          <w:rFonts w:cs="Guttman Rashi" w:hint="eastAsia"/>
          <w:rtl/>
          <w:lang w:bidi="he-IL"/>
        </w:rPr>
        <w:t>להגעיל</w:t>
      </w:r>
      <w:r w:rsidRPr="00400C0B">
        <w:rPr>
          <w:rFonts w:cs="Guttman Rashi"/>
          <w:rtl/>
          <w:lang w:bidi="he-IL"/>
        </w:rPr>
        <w:t xml:space="preserve"> </w:t>
      </w:r>
      <w:r w:rsidRPr="00400C0B">
        <w:rPr>
          <w:rFonts w:cs="Guttman Rashi" w:hint="eastAsia"/>
          <w:rtl/>
          <w:lang w:bidi="he-IL"/>
        </w:rPr>
        <w:t>סכינים</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ראשון</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שא</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האש</w:t>
      </w:r>
      <w:r w:rsidRPr="00400C0B">
        <w:rPr>
          <w:rFonts w:cs="Guttman Rashi"/>
          <w:rtl/>
          <w:lang w:bidi="he-IL"/>
        </w:rPr>
        <w:t xml:space="preserve">. </w:t>
      </w:r>
      <w:r w:rsidRPr="00400C0B">
        <w:rPr>
          <w:rFonts w:cs="Guttman Rashi" w:hint="eastAsia"/>
          <w:rtl/>
          <w:lang w:bidi="he-IL"/>
        </w:rPr>
        <w:t>והא</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הלבושי</w:t>
      </w:r>
      <w:r w:rsidRPr="00400C0B">
        <w:rPr>
          <w:rFonts w:cs="Guttman Rashi"/>
          <w:rtl/>
          <w:lang w:bidi="he-IL"/>
        </w:rPr>
        <w:t xml:space="preserve"> </w:t>
      </w:r>
      <w:r w:rsidRPr="00400C0B">
        <w:rPr>
          <w:rFonts w:cs="Guttman Rashi" w:hint="eastAsia"/>
          <w:rtl/>
          <w:lang w:bidi="he-IL"/>
        </w:rPr>
        <w:t>שרד</w:t>
      </w:r>
      <w:r w:rsidRPr="00400C0B">
        <w:rPr>
          <w:rFonts w:cs="Guttman Rashi"/>
          <w:rtl/>
          <w:lang w:bidi="he-IL"/>
        </w:rPr>
        <w:t xml:space="preserve"> </w:t>
      </w:r>
      <w:r w:rsidRPr="00400C0B">
        <w:rPr>
          <w:rFonts w:cs="Guttman Rashi" w:hint="eastAsia"/>
          <w:rtl/>
          <w:lang w:bidi="he-IL"/>
        </w:rPr>
        <w:t>מודה</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העלאת</w:t>
      </w:r>
      <w:r w:rsidRPr="00400C0B">
        <w:rPr>
          <w:rFonts w:cs="Guttman Rashi"/>
          <w:rtl/>
          <w:lang w:bidi="he-IL"/>
        </w:rPr>
        <w:t xml:space="preserve"> </w:t>
      </w:r>
      <w:r w:rsidRPr="00400C0B">
        <w:rPr>
          <w:rFonts w:cs="Guttman Rashi" w:hint="eastAsia"/>
          <w:rtl/>
          <w:lang w:bidi="he-IL"/>
        </w:rPr>
        <w:t>רתיחות</w:t>
      </w:r>
      <w:r w:rsidRPr="00400C0B">
        <w:rPr>
          <w:rFonts w:cs="Guttman Rashi"/>
          <w:rtl/>
          <w:lang w:bidi="he-IL"/>
        </w:rPr>
        <w:t xml:space="preserve">. </w:t>
      </w:r>
      <w:r w:rsidRPr="00400C0B">
        <w:rPr>
          <w:rFonts w:cs="Guttman Rashi" w:hint="eastAsia"/>
          <w:rtl/>
          <w:lang w:bidi="he-IL"/>
        </w:rPr>
        <w:t>ואע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שמסקנת</w:t>
      </w:r>
      <w:r w:rsidRPr="00400C0B">
        <w:rPr>
          <w:rFonts w:cs="Guttman Rashi"/>
          <w:rtl/>
          <w:lang w:bidi="he-IL"/>
        </w:rPr>
        <w:t xml:space="preserve"> </w:t>
      </w:r>
      <w:r w:rsidRPr="00400C0B">
        <w:rPr>
          <w:rFonts w:cs="Guttman Rashi" w:hint="eastAsia"/>
          <w:rtl/>
          <w:lang w:bidi="he-IL"/>
        </w:rPr>
        <w:t>הלבו</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סכינים</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העלאת</w:t>
      </w:r>
      <w:r w:rsidRPr="00400C0B">
        <w:rPr>
          <w:rFonts w:cs="Guttman Rashi"/>
          <w:rtl/>
          <w:lang w:bidi="he-IL"/>
        </w:rPr>
        <w:t xml:space="preserve"> </w:t>
      </w:r>
      <w:r w:rsidRPr="00400C0B">
        <w:rPr>
          <w:rFonts w:cs="Guttman Rashi" w:hint="eastAsia"/>
          <w:rtl/>
          <w:lang w:bidi="he-IL"/>
        </w:rPr>
        <w:t>רתיחות</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שתמשיתן</w:t>
      </w:r>
      <w:r w:rsidRPr="00400C0B">
        <w:rPr>
          <w:rFonts w:cs="Guttman Rashi"/>
          <w:rtl/>
          <w:lang w:bidi="he-IL"/>
        </w:rPr>
        <w:t xml:space="preserve"> </w:t>
      </w:r>
      <w:r w:rsidRPr="00400C0B">
        <w:rPr>
          <w:rFonts w:cs="Guttman Rashi" w:hint="eastAsia"/>
          <w:rtl/>
          <w:lang w:bidi="he-IL"/>
        </w:rPr>
        <w:t>בדבר</w:t>
      </w:r>
      <w:r w:rsidRPr="00400C0B">
        <w:rPr>
          <w:rFonts w:cs="Guttman Rashi"/>
          <w:rtl/>
          <w:lang w:bidi="he-IL"/>
        </w:rPr>
        <w:t xml:space="preserve"> </w:t>
      </w:r>
      <w:r w:rsidRPr="00400C0B">
        <w:rPr>
          <w:rFonts w:cs="Guttman Rashi" w:hint="eastAsia"/>
          <w:rtl/>
          <w:lang w:bidi="he-IL"/>
        </w:rPr>
        <w:t>גוש</w:t>
      </w:r>
      <w:r w:rsidRPr="00400C0B">
        <w:rPr>
          <w:rFonts w:cs="Guttman Rashi"/>
          <w:rtl/>
          <w:lang w:bidi="he-IL"/>
        </w:rPr>
        <w:t xml:space="preserve"> </w:t>
      </w:r>
      <w:r w:rsidRPr="00400C0B">
        <w:rPr>
          <w:rFonts w:cs="Guttman Rashi" w:hint="eastAsia"/>
          <w:rtl/>
          <w:lang w:bidi="he-IL"/>
        </w:rPr>
        <w:t>דשינו</w:t>
      </w:r>
      <w:r w:rsidRPr="00400C0B">
        <w:rPr>
          <w:rFonts w:cs="Guttman Rashi"/>
          <w:rtl/>
          <w:lang w:bidi="he-IL"/>
        </w:rPr>
        <w:t xml:space="preserve"> </w:t>
      </w:r>
      <w:r w:rsidRPr="00400C0B">
        <w:rPr>
          <w:rFonts w:cs="Guttman Rashi" w:hint="eastAsia"/>
          <w:rtl/>
          <w:lang w:bidi="he-IL"/>
        </w:rPr>
        <w:t>ככלי</w:t>
      </w:r>
      <w:r w:rsidRPr="00400C0B">
        <w:rPr>
          <w:rFonts w:cs="Guttman Rashi"/>
          <w:rtl/>
          <w:lang w:bidi="he-IL"/>
        </w:rPr>
        <w:t xml:space="preserve"> </w:t>
      </w:r>
      <w:r w:rsidRPr="00400C0B">
        <w:rPr>
          <w:rFonts w:cs="Guttman Rashi" w:hint="eastAsia"/>
          <w:rtl/>
          <w:lang w:bidi="he-IL"/>
        </w:rPr>
        <w:t>ראשון</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הן</w:t>
      </w:r>
      <w:r w:rsidRPr="00400C0B">
        <w:rPr>
          <w:rFonts w:cs="Guttman Rashi"/>
          <w:rtl/>
          <w:lang w:bidi="he-IL"/>
        </w:rPr>
        <w:t xml:space="preserve">, </w:t>
      </w:r>
      <w:r w:rsidRPr="00400C0B">
        <w:rPr>
          <w:rFonts w:cs="Guttman Rashi" w:hint="eastAsia"/>
          <w:rtl/>
          <w:lang w:bidi="he-IL"/>
        </w:rPr>
        <w:t>ומשמעות</w:t>
      </w:r>
      <w:r w:rsidRPr="00400C0B">
        <w:rPr>
          <w:rFonts w:cs="Guttman Rashi"/>
          <w:rtl/>
          <w:lang w:bidi="he-IL"/>
        </w:rPr>
        <w:t xml:space="preserve"> </w:t>
      </w:r>
      <w:r w:rsidRPr="00400C0B">
        <w:rPr>
          <w:rFonts w:cs="Guttman Rashi" w:hint="eastAsia"/>
          <w:rtl/>
          <w:lang w:bidi="he-IL"/>
        </w:rPr>
        <w:t>המ</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לפרש</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וה</w:t>
      </w:r>
      <w:r w:rsidRPr="00400C0B">
        <w:rPr>
          <w:rFonts w:cs="Guttman Rashi"/>
          <w:rtl/>
          <w:lang w:bidi="he-IL"/>
        </w:rPr>
        <w:t xml:space="preserve">' </w:t>
      </w:r>
      <w:r w:rsidRPr="00400C0B">
        <w:rPr>
          <w:rFonts w:cs="Guttman Rashi" w:hint="eastAsia"/>
          <w:rtl/>
          <w:lang w:bidi="he-IL"/>
        </w:rPr>
        <w:t>יאיר</w:t>
      </w:r>
      <w:r w:rsidRPr="00400C0B">
        <w:rPr>
          <w:rFonts w:cs="Guttman Rashi"/>
          <w:rtl/>
          <w:lang w:bidi="he-IL"/>
        </w:rPr>
        <w:t xml:space="preserve"> </w:t>
      </w:r>
      <w:r w:rsidRPr="00400C0B">
        <w:rPr>
          <w:rFonts w:cs="Guttman Rashi" w:hint="eastAsia"/>
          <w:rtl/>
          <w:lang w:bidi="he-IL"/>
        </w:rPr>
        <w:t>עיני</w:t>
      </w:r>
      <w:r w:rsidRPr="00400C0B">
        <w:rPr>
          <w:rFonts w:cs="Guttman Rashi"/>
          <w:rtl/>
          <w:lang w:bidi="he-IL"/>
        </w:rPr>
        <w:t xml:space="preserve">.  </w:t>
      </w:r>
    </w:p>
  </w:footnote>
  <w:footnote w:id="504">
    <w:p w:rsidR="007978F4" w:rsidRPr="00400C0B" w:rsidRDefault="007978F4" w:rsidP="00A42D7B">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לימוד</w:t>
      </w:r>
      <w:r w:rsidRPr="00400C0B">
        <w:rPr>
          <w:rFonts w:cs="Guttman Rashi"/>
          <w:rtl/>
          <w:lang w:bidi="he-IL"/>
        </w:rPr>
        <w:t xml:space="preserve"> </w:t>
      </w:r>
      <w:r w:rsidRPr="00400C0B">
        <w:rPr>
          <w:rFonts w:cs="Guttman Rashi" w:hint="eastAsia"/>
          <w:rtl/>
          <w:lang w:bidi="he-IL"/>
        </w:rPr>
        <w:t>זכות</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שהיינו</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להקפיד</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בהם</w:t>
      </w:r>
      <w:r w:rsidRPr="00400C0B">
        <w:rPr>
          <w:rFonts w:cs="Guttman Rashi"/>
          <w:rtl/>
          <w:lang w:bidi="he-IL"/>
        </w:rPr>
        <w:t xml:space="preserve"> </w:t>
      </w:r>
      <w:r w:rsidRPr="00400C0B">
        <w:rPr>
          <w:rFonts w:cs="Guttman Rashi" w:hint="eastAsia"/>
          <w:rtl/>
          <w:lang w:bidi="he-IL"/>
        </w:rPr>
        <w:t>בהעלאת</w:t>
      </w:r>
      <w:r w:rsidRPr="00400C0B">
        <w:rPr>
          <w:rFonts w:cs="Guttman Rashi"/>
          <w:rtl/>
          <w:lang w:bidi="he-IL"/>
        </w:rPr>
        <w:t xml:space="preserve"> </w:t>
      </w:r>
      <w:r w:rsidRPr="00400C0B">
        <w:rPr>
          <w:rFonts w:cs="Guttman Rashi" w:hint="eastAsia"/>
          <w:rtl/>
          <w:lang w:bidi="he-IL"/>
        </w:rPr>
        <w:t>רתיחות</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מקפידים</w:t>
      </w:r>
      <w:r w:rsidRPr="00400C0B">
        <w:rPr>
          <w:rFonts w:cs="Guttman Rashi"/>
          <w:rtl/>
          <w:lang w:bidi="he-IL"/>
        </w:rPr>
        <w:t xml:space="preserve"> </w:t>
      </w:r>
      <w:r w:rsidRPr="00400C0B">
        <w:rPr>
          <w:rFonts w:cs="Guttman Rashi" w:hint="eastAsia"/>
          <w:rtl/>
          <w:lang w:bidi="he-IL"/>
        </w:rPr>
        <w:t>שיהיו</w:t>
      </w:r>
      <w:r w:rsidRPr="00400C0B">
        <w:rPr>
          <w:rFonts w:cs="Guttman Rashi"/>
          <w:rtl/>
          <w:lang w:bidi="he-IL"/>
        </w:rPr>
        <w:t xml:space="preserve"> </w:t>
      </w:r>
      <w:r w:rsidRPr="00400C0B">
        <w:rPr>
          <w:rFonts w:cs="Guttman Rashi" w:hint="eastAsia"/>
          <w:rtl/>
          <w:lang w:bidi="he-IL"/>
        </w:rPr>
        <w:t>דוקא</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שתמשיתן</w:t>
      </w:r>
      <w:r w:rsidRPr="00400C0B">
        <w:rPr>
          <w:rFonts w:cs="Guttman Rashi"/>
          <w:rtl/>
          <w:lang w:bidi="he-IL"/>
        </w:rPr>
        <w:t xml:space="preserve"> </w:t>
      </w:r>
      <w:r w:rsidRPr="00400C0B">
        <w:rPr>
          <w:rFonts w:cs="Guttman Rashi" w:hint="eastAsia"/>
          <w:rtl/>
          <w:lang w:bidi="he-IL"/>
        </w:rPr>
        <w:t>בעירוי</w:t>
      </w:r>
      <w:r w:rsidRPr="00400C0B">
        <w:rPr>
          <w:rFonts w:cs="Guttman Rashi"/>
          <w:rtl/>
          <w:lang w:bidi="he-IL"/>
        </w:rPr>
        <w:t xml:space="preserve">.  </w:t>
      </w:r>
    </w:p>
  </w:footnote>
  <w:footnote w:id="505">
    <w:p w:rsidR="007978F4" w:rsidRPr="00400C0B" w:rsidRDefault="007978F4" w:rsidP="00A42D7B">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ומשמעות</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דזה</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להגעיל</w:t>
      </w:r>
      <w:r w:rsidRPr="00400C0B">
        <w:rPr>
          <w:rFonts w:cs="Guttman Rashi"/>
          <w:rtl/>
          <w:lang w:bidi="he-IL"/>
        </w:rPr>
        <w:t xml:space="preserve"> </w:t>
      </w:r>
      <w:r w:rsidRPr="00400C0B">
        <w:rPr>
          <w:rFonts w:cs="Guttman Rashi" w:hint="eastAsia"/>
          <w:rtl/>
          <w:lang w:bidi="he-IL"/>
        </w:rPr>
        <w:t>היורה</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שמגעיל</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זמן</w:t>
      </w:r>
      <w:r w:rsidRPr="00400C0B">
        <w:rPr>
          <w:rFonts w:cs="Guttman Rashi"/>
          <w:rtl/>
          <w:lang w:bidi="he-IL"/>
        </w:rPr>
        <w:t xml:space="preserve"> </w:t>
      </w:r>
      <w:r w:rsidRPr="00400C0B">
        <w:rPr>
          <w:rFonts w:cs="Guttman Rashi" w:hint="eastAsia"/>
          <w:rtl/>
          <w:lang w:bidi="he-IL"/>
        </w:rPr>
        <w:t>היתר</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לבביאור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הבנתי</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זמן</w:t>
      </w:r>
      <w:r w:rsidRPr="00400C0B">
        <w:rPr>
          <w:rFonts w:cs="Guttman Rashi"/>
          <w:rtl/>
          <w:lang w:bidi="he-IL"/>
        </w:rPr>
        <w:t xml:space="preserve"> </w:t>
      </w:r>
      <w:r w:rsidRPr="00400C0B">
        <w:rPr>
          <w:rFonts w:cs="Guttman Rashi" w:hint="eastAsia"/>
          <w:rtl/>
          <w:lang w:bidi="he-IL"/>
        </w:rPr>
        <w:t>איסורו</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איכפת</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בליעות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חמץ</w:t>
      </w:r>
      <w:r w:rsidRPr="00400C0B">
        <w:rPr>
          <w:rFonts w:cs="Guttman Rashi"/>
          <w:rtl/>
          <w:lang w:bidi="he-IL"/>
        </w:rPr>
        <w:t xml:space="preserve"> </w:t>
      </w:r>
      <w:r w:rsidRPr="00400C0B">
        <w:rPr>
          <w:rFonts w:cs="Guttman Rashi" w:hint="eastAsia"/>
          <w:rtl/>
          <w:lang w:bidi="he-IL"/>
        </w:rPr>
        <w:t>ביורה</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בר</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כשמגיע</w:t>
      </w:r>
      <w:r w:rsidRPr="00400C0B">
        <w:rPr>
          <w:rFonts w:cs="Guttman Rashi"/>
          <w:rtl/>
          <w:lang w:bidi="he-IL"/>
        </w:rPr>
        <w:t xml:space="preserve"> </w:t>
      </w:r>
      <w:r w:rsidRPr="00400C0B">
        <w:rPr>
          <w:rFonts w:cs="Guttman Rashi" w:hint="eastAsia"/>
          <w:rtl/>
          <w:lang w:bidi="he-IL"/>
        </w:rPr>
        <w:t>לכלי</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סומכין</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506">
    <w:p w:rsidR="007978F4" w:rsidRPr="00400C0B" w:rsidRDefault="007978F4" w:rsidP="00A42D7B">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ממנהג</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הבא</w:t>
      </w:r>
      <w:r w:rsidRPr="00400C0B">
        <w:rPr>
          <w:rFonts w:cs="Guttman Rashi"/>
          <w:rtl/>
          <w:lang w:bidi="he-IL"/>
        </w:rPr>
        <w:t>.</w:t>
      </w:r>
    </w:p>
  </w:footnote>
  <w:footnote w:id="507">
    <w:p w:rsidR="007978F4" w:rsidRPr="00400C0B" w:rsidRDefault="007978F4" w:rsidP="008E68F7">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מענין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ושיעור</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א</w:t>
      </w:r>
      <w:r w:rsidRPr="00400C0B">
        <w:rPr>
          <w:rFonts w:cs="Guttman Rashi"/>
          <w:rtl/>
          <w:lang w:bidi="he-IL"/>
        </w:rPr>
        <w:t>.</w:t>
      </w:r>
    </w:p>
  </w:footnote>
  <w:footnote w:id="508">
    <w:p w:rsidR="007978F4" w:rsidRPr="00400C0B" w:rsidRDefault="007978F4" w:rsidP="004765AA">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Ref485978154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381</w:t>
      </w:r>
      <w:r w:rsidRPr="00400C0B">
        <w:rPr>
          <w:rFonts w:cs="Guttman Rashi"/>
          <w:rtl/>
          <w:lang w:bidi="he-IL"/>
        </w:rPr>
        <w:fldChar w:fldCharType="end"/>
      </w:r>
      <w:r w:rsidRPr="00400C0B">
        <w:rPr>
          <w:rFonts w:cs="Guttman Rashi"/>
          <w:rtl/>
          <w:lang w:bidi="he-IL"/>
        </w:rPr>
        <w:t>.</w:t>
      </w:r>
    </w:p>
  </w:footnote>
  <w:footnote w:id="509">
    <w:p w:rsidR="007978F4" w:rsidRPr="00400C0B" w:rsidRDefault="007978F4" w:rsidP="004765AA">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מזה</w:t>
      </w:r>
    </w:p>
  </w:footnote>
  <w:footnote w:id="51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ל</w:t>
      </w:r>
      <w:r w:rsidRPr="00400C0B">
        <w:rPr>
          <w:rFonts w:cs="Guttman Rashi"/>
          <w:rtl/>
          <w:lang w:bidi="he-IL"/>
        </w:rPr>
        <w:t>.</w:t>
      </w:r>
    </w:p>
  </w:footnote>
  <w:footnote w:id="51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שבות</w:t>
      </w:r>
      <w:r w:rsidRPr="00400C0B">
        <w:rPr>
          <w:rFonts w:cs="Guttman Rashi"/>
          <w:rtl/>
          <w:lang w:bidi="he-IL"/>
        </w:rPr>
        <w:t xml:space="preserve"> </w:t>
      </w:r>
      <w:r w:rsidRPr="00400C0B">
        <w:rPr>
          <w:rFonts w:cs="Guttman Rashi" w:hint="eastAsia"/>
          <w:rtl/>
          <w:lang w:bidi="he-IL"/>
        </w:rPr>
        <w:t>יצחק</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חוט</w:t>
      </w:r>
      <w:r w:rsidRPr="00400C0B">
        <w:rPr>
          <w:rFonts w:cs="Guttman Rashi"/>
          <w:rtl/>
          <w:lang w:bidi="he-IL"/>
        </w:rPr>
        <w:t xml:space="preserve"> </w:t>
      </w:r>
      <w:r w:rsidRPr="00400C0B">
        <w:rPr>
          <w:rFonts w:cs="Guttman Rashi" w:hint="eastAsia"/>
          <w:rtl/>
          <w:lang w:bidi="he-IL"/>
        </w:rPr>
        <w:t>שני</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שעה</w:t>
      </w:r>
      <w:r w:rsidRPr="00400C0B">
        <w:rPr>
          <w:rFonts w:cs="Guttman Rashi"/>
          <w:rtl/>
          <w:lang w:bidi="he-IL"/>
        </w:rPr>
        <w:t>"</w:t>
      </w:r>
      <w:r w:rsidRPr="00400C0B">
        <w:rPr>
          <w:rFonts w:cs="Guttman Rashi" w:hint="eastAsia"/>
          <w:rtl/>
          <w:lang w:bidi="he-IL"/>
        </w:rPr>
        <w:t>צ</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קנ</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p>
  </w:footnote>
  <w:footnote w:id="51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תק</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הוסיף</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אתה</w:t>
      </w:r>
      <w:r w:rsidRPr="00400C0B">
        <w:rPr>
          <w:rFonts w:cs="Guttman Rashi"/>
          <w:rtl/>
          <w:lang w:bidi="he-IL"/>
        </w:rPr>
        <w:t xml:space="preserve"> </w:t>
      </w:r>
      <w:r w:rsidRPr="00400C0B">
        <w:rPr>
          <w:rFonts w:cs="Guttman Rashi" w:hint="eastAsia"/>
          <w:rtl/>
          <w:lang w:bidi="he-IL"/>
        </w:rPr>
        <w:t>אומר</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האיך</w:t>
      </w:r>
      <w:r w:rsidRPr="00400C0B">
        <w:rPr>
          <w:rFonts w:cs="Guttman Rashi"/>
          <w:rtl/>
          <w:lang w:bidi="he-IL"/>
        </w:rPr>
        <w:t xml:space="preserve"> </w:t>
      </w:r>
      <w:r w:rsidRPr="00400C0B">
        <w:rPr>
          <w:rFonts w:cs="Guttman Rashi" w:hint="eastAsia"/>
          <w:rtl/>
          <w:lang w:bidi="he-IL"/>
        </w:rPr>
        <w:t>הכשירו</w:t>
      </w:r>
      <w:r w:rsidRPr="00400C0B">
        <w:rPr>
          <w:rFonts w:cs="Guttman Rashi"/>
          <w:rtl/>
          <w:lang w:bidi="he-IL"/>
        </w:rPr>
        <w:t xml:space="preserve"> </w:t>
      </w:r>
      <w:r w:rsidRPr="00400C0B">
        <w:rPr>
          <w:rFonts w:cs="Guttman Rashi" w:hint="eastAsia"/>
          <w:rtl/>
          <w:lang w:bidi="he-IL"/>
        </w:rPr>
        <w:t>היורה</w:t>
      </w:r>
      <w:r w:rsidRPr="00400C0B">
        <w:rPr>
          <w:rFonts w:cs="Guttman Rashi"/>
          <w:rtl/>
          <w:lang w:bidi="he-IL"/>
        </w:rPr>
        <w:t xml:space="preserve"> </w:t>
      </w:r>
      <w:r w:rsidRPr="00400C0B">
        <w:rPr>
          <w:rFonts w:cs="Guttman Rashi" w:hint="eastAsia"/>
          <w:rtl/>
          <w:lang w:bidi="he-IL"/>
        </w:rPr>
        <w:t>הגדולה</w:t>
      </w:r>
      <w:r w:rsidRPr="00400C0B">
        <w:rPr>
          <w:rFonts w:cs="Guttman Rashi"/>
          <w:rtl/>
          <w:lang w:bidi="he-IL"/>
        </w:rPr>
        <w:t xml:space="preserve"> </w:t>
      </w:r>
      <w:r w:rsidRPr="00400C0B">
        <w:rPr>
          <w:rFonts w:cs="Guttman Rashi" w:hint="eastAsia"/>
          <w:rtl/>
          <w:lang w:bidi="he-IL"/>
        </w:rPr>
        <w:t>שבכלי</w:t>
      </w:r>
      <w:r w:rsidRPr="00400C0B">
        <w:rPr>
          <w:rFonts w:cs="Guttman Rashi"/>
          <w:rtl/>
          <w:lang w:bidi="he-IL"/>
        </w:rPr>
        <w:t xml:space="preserve"> </w:t>
      </w:r>
      <w:r w:rsidRPr="00400C0B">
        <w:rPr>
          <w:rFonts w:cs="Guttman Rashi" w:hint="eastAsia"/>
          <w:rtl/>
          <w:lang w:bidi="he-IL"/>
        </w:rPr>
        <w:t>מדין</w:t>
      </w:r>
      <w:r w:rsidRPr="00400C0B">
        <w:rPr>
          <w:rFonts w:cs="Guttman Rashi"/>
          <w:rtl/>
          <w:lang w:bidi="he-IL"/>
        </w:rPr>
        <w:t xml:space="preserve">. </w:t>
      </w:r>
      <w:r w:rsidRPr="00400C0B">
        <w:rPr>
          <w:rFonts w:cs="Guttman Rashi" w:hint="eastAsia"/>
          <w:rtl/>
          <w:lang w:bidi="he-IL"/>
        </w:rPr>
        <w:t>ותי</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בגדנפא</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שהשהה</w:t>
      </w:r>
      <w:r w:rsidRPr="00400C0B">
        <w:rPr>
          <w:rFonts w:cs="Guttman Rashi"/>
          <w:rtl/>
          <w:lang w:bidi="he-IL"/>
        </w:rPr>
        <w:t xml:space="preserve"> </w:t>
      </w:r>
      <w:r w:rsidRPr="00400C0B">
        <w:rPr>
          <w:rFonts w:cs="Guttman Rashi" w:hint="eastAsia"/>
          <w:rtl/>
          <w:lang w:bidi="he-IL"/>
        </w:rPr>
        <w:t>אותה</w:t>
      </w:r>
      <w:r w:rsidRPr="00400C0B">
        <w:rPr>
          <w:rFonts w:cs="Guttman Rashi"/>
          <w:rtl/>
          <w:lang w:bidi="he-IL"/>
        </w:rPr>
        <w:t>.</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הבנתי</w:t>
      </w:r>
      <w:r w:rsidRPr="00400C0B">
        <w:rPr>
          <w:rFonts w:cs="Guttman Rashi"/>
          <w:rtl/>
          <w:lang w:bidi="he-IL"/>
        </w:rPr>
        <w:t xml:space="preserve"> </w:t>
      </w:r>
      <w:r w:rsidRPr="00400C0B">
        <w:rPr>
          <w:rFonts w:cs="Guttman Rashi" w:hint="eastAsia"/>
          <w:rtl/>
          <w:lang w:bidi="he-IL"/>
        </w:rPr>
        <w:t>התירוצים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דאי</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גדנפא</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והתי</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מיישב</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היסוד</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הקושיא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שפרשת</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מדין</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יומו</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והאיך</w:t>
      </w:r>
      <w:r w:rsidRPr="00400C0B">
        <w:rPr>
          <w:rFonts w:cs="Guttman Rashi"/>
          <w:rtl/>
          <w:lang w:bidi="he-IL"/>
        </w:rPr>
        <w:t xml:space="preserve"> </w:t>
      </w:r>
      <w:r w:rsidRPr="00400C0B">
        <w:rPr>
          <w:rFonts w:cs="Guttman Rashi" w:hint="eastAsia"/>
          <w:rtl/>
          <w:lang w:bidi="he-IL"/>
        </w:rPr>
        <w:t>הכשיר</w:t>
      </w:r>
      <w:r w:rsidRPr="00400C0B">
        <w:rPr>
          <w:rFonts w:cs="Guttman Rashi"/>
          <w:rtl/>
          <w:lang w:bidi="he-IL"/>
        </w:rPr>
        <w:t xml:space="preserve"> </w:t>
      </w:r>
      <w:r w:rsidRPr="00400C0B">
        <w:rPr>
          <w:rFonts w:cs="Guttman Rashi" w:hint="eastAsia"/>
          <w:rtl/>
          <w:lang w:bidi="he-IL"/>
        </w:rPr>
        <w:t>אותה</w:t>
      </w:r>
      <w:r w:rsidRPr="00400C0B">
        <w:rPr>
          <w:rFonts w:cs="Guttman Rashi"/>
          <w:rtl/>
          <w:lang w:bidi="he-IL"/>
        </w:rPr>
        <w:t xml:space="preserve"> </w:t>
      </w:r>
      <w:r w:rsidRPr="00400C0B">
        <w:rPr>
          <w:rFonts w:cs="Guttman Rashi" w:hint="eastAsia"/>
          <w:rtl/>
          <w:lang w:bidi="he-IL"/>
        </w:rPr>
        <w:t>פרשה</w:t>
      </w:r>
      <w:r w:rsidRPr="00400C0B">
        <w:rPr>
          <w:rFonts w:cs="Guttman Rashi"/>
          <w:rtl/>
          <w:lang w:bidi="he-IL"/>
        </w:rPr>
        <w:t xml:space="preserve"> </w:t>
      </w:r>
      <w:r w:rsidRPr="00400C0B">
        <w:rPr>
          <w:rFonts w:cs="Guttman Rashi" w:hint="eastAsia"/>
          <w:rtl/>
          <w:lang w:bidi="he-IL"/>
        </w:rPr>
        <w:t>הכלים</w:t>
      </w:r>
      <w:r w:rsidRPr="00400C0B">
        <w:rPr>
          <w:rFonts w:cs="Guttman Rashi"/>
          <w:rtl/>
          <w:lang w:bidi="he-IL"/>
        </w:rPr>
        <w:t xml:space="preserve"> </w:t>
      </w:r>
      <w:r w:rsidRPr="00400C0B">
        <w:rPr>
          <w:rFonts w:cs="Guttman Rashi" w:hint="eastAsia"/>
          <w:rtl/>
          <w:lang w:bidi="he-IL"/>
        </w:rPr>
        <w:t>הגדולים</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בתי</w:t>
      </w:r>
      <w:r w:rsidRPr="00400C0B">
        <w:rPr>
          <w:rFonts w:cs="Guttman Rashi"/>
          <w:rtl/>
          <w:lang w:bidi="he-IL"/>
        </w:rPr>
        <w:t xml:space="preserve">' </w:t>
      </w:r>
      <w:r w:rsidRPr="00400C0B">
        <w:rPr>
          <w:rFonts w:cs="Guttman Rashi" w:hint="eastAsia"/>
          <w:rtl/>
          <w:lang w:bidi="he-IL"/>
        </w:rPr>
        <w:t>השני</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שהתורה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גדול</w:t>
      </w:r>
      <w:r w:rsidRPr="00400C0B">
        <w:rPr>
          <w:rFonts w:cs="Guttman Rashi"/>
          <w:rtl/>
          <w:lang w:bidi="he-IL"/>
        </w:rPr>
        <w:t xml:space="preserve"> </w:t>
      </w:r>
      <w:r w:rsidRPr="00400C0B">
        <w:rPr>
          <w:rFonts w:cs="Guttman Rashi" w:hint="eastAsia"/>
          <w:rtl/>
          <w:lang w:bidi="he-IL"/>
        </w:rPr>
        <w:t>וכמש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חולין</w:t>
      </w:r>
      <w:r w:rsidRPr="00400C0B">
        <w:rPr>
          <w:rFonts w:cs="Guttman Rashi"/>
          <w:rtl/>
          <w:lang w:bidi="he-IL"/>
        </w:rPr>
        <w:t xml:space="preserve"> </w:t>
      </w:r>
      <w:r w:rsidRPr="00400C0B">
        <w:rPr>
          <w:rFonts w:cs="Guttman Rashi" w:hint="eastAsia"/>
          <w:rtl/>
          <w:lang w:bidi="he-IL"/>
        </w:rPr>
        <w:t>דף</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w:t>
      </w:r>
    </w:p>
  </w:footnote>
  <w:footnote w:id="51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קכ</w:t>
      </w:r>
      <w:r w:rsidRPr="00400C0B">
        <w:rPr>
          <w:rFonts w:cs="Guttman Rashi"/>
          <w:rtl/>
          <w:lang w:bidi="he-IL"/>
        </w:rPr>
        <w:t>"</w:t>
      </w:r>
      <w:r w:rsidRPr="00400C0B">
        <w:rPr>
          <w:rFonts w:cs="Guttman Rashi" w:hint="eastAsia"/>
          <w:rtl/>
          <w:lang w:bidi="he-IL"/>
        </w:rPr>
        <w:t>ז</w:t>
      </w:r>
    </w:p>
  </w:footnote>
  <w:footnote w:id="51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w:t>
      </w:r>
    </w:p>
  </w:footnote>
  <w:footnote w:id="515">
    <w:p w:rsidR="007978F4" w:rsidRPr="00400C0B" w:rsidRDefault="007978F4" w:rsidP="00814A34">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יע</w:t>
      </w:r>
      <w:r>
        <w:rPr>
          <w:rFonts w:cs="Guttman Rashi" w:hint="cs"/>
          <w:rtl/>
          <w:lang w:bidi="he-IL"/>
        </w:rPr>
        <w:t>ו</w:t>
      </w:r>
      <w:r w:rsidRPr="00400C0B">
        <w:rPr>
          <w:rFonts w:cs="Guttman Rashi" w:hint="eastAsia"/>
          <w:rtl/>
          <w:lang w:bidi="he-IL"/>
        </w:rPr>
        <w:t>ין</w:t>
      </w:r>
      <w:r w:rsidRPr="00400C0B">
        <w:rPr>
          <w:rFonts w:cs="Guttman Rashi"/>
          <w:rtl/>
          <w:lang w:bidi="he-IL"/>
        </w:rPr>
        <w:t xml:space="preserve"> </w:t>
      </w:r>
      <w:r w:rsidRPr="00400C0B">
        <w:rPr>
          <w:rFonts w:cs="Guttman Rashi" w:hint="eastAsia"/>
          <w:rtl/>
          <w:lang w:bidi="he-IL"/>
        </w:rPr>
        <w:t>בבדק</w:t>
      </w:r>
      <w:r w:rsidRPr="00400C0B">
        <w:rPr>
          <w:rFonts w:cs="Guttman Rashi"/>
          <w:rtl/>
          <w:lang w:bidi="he-IL"/>
        </w:rPr>
        <w:t xml:space="preserve"> </w:t>
      </w:r>
      <w:r w:rsidRPr="00400C0B">
        <w:rPr>
          <w:rFonts w:cs="Guttman Rashi" w:hint="eastAsia"/>
          <w:rtl/>
          <w:lang w:bidi="he-IL"/>
        </w:rPr>
        <w:t>הבית</w:t>
      </w:r>
      <w:r w:rsidRPr="00400C0B">
        <w:rPr>
          <w:rFonts w:cs="Guttman Rashi"/>
          <w:rtl/>
          <w:lang w:bidi="he-IL"/>
        </w:rPr>
        <w:t xml:space="preserve"> </w:t>
      </w:r>
      <w:r w:rsidRPr="00400C0B">
        <w:rPr>
          <w:rFonts w:cs="Guttman Rashi" w:hint="eastAsia"/>
          <w:rtl/>
          <w:lang w:bidi="he-IL"/>
        </w:rPr>
        <w:t>לרא</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תלוי</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מפסיק</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המאכל</w:t>
      </w:r>
      <w:r w:rsidRPr="00400C0B">
        <w:rPr>
          <w:rFonts w:cs="Guttman Rashi"/>
          <w:rtl/>
          <w:lang w:bidi="he-IL"/>
        </w:rPr>
        <w:t xml:space="preserve"> </w:t>
      </w:r>
      <w:r w:rsidRPr="00400C0B">
        <w:rPr>
          <w:rFonts w:cs="Guttman Rashi" w:hint="eastAsia"/>
          <w:rtl/>
          <w:lang w:bidi="he-IL"/>
        </w:rPr>
        <w:t>לאור</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בכגון</w:t>
      </w:r>
      <w:r w:rsidRPr="00400C0B">
        <w:rPr>
          <w:rFonts w:cs="Guttman Rashi"/>
          <w:rtl/>
          <w:lang w:bidi="he-IL"/>
        </w:rPr>
        <w:t xml:space="preserve"> </w:t>
      </w:r>
      <w:r w:rsidRPr="00400C0B">
        <w:rPr>
          <w:rFonts w:cs="Guttman Rashi" w:hint="eastAsia"/>
          <w:rtl/>
          <w:lang w:bidi="he-IL"/>
        </w:rPr>
        <w:t>מחבת</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דינו</w:t>
      </w:r>
      <w:r w:rsidRPr="00400C0B">
        <w:rPr>
          <w:rFonts w:cs="Guttman Rashi"/>
          <w:rtl/>
          <w:lang w:bidi="he-IL"/>
        </w:rPr>
        <w:t xml:space="preserve"> </w:t>
      </w:r>
      <w:r w:rsidRPr="00400C0B">
        <w:rPr>
          <w:rFonts w:cs="Guttman Rashi" w:hint="eastAsia"/>
          <w:rtl/>
          <w:lang w:bidi="he-IL"/>
        </w:rPr>
        <w:t>בהגעלה</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משקין</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שהמחבת</w:t>
      </w:r>
      <w:r w:rsidRPr="00400C0B">
        <w:rPr>
          <w:rFonts w:cs="Guttman Rashi"/>
          <w:rtl/>
          <w:lang w:bidi="he-IL"/>
        </w:rPr>
        <w:t xml:space="preserve"> </w:t>
      </w:r>
      <w:r w:rsidRPr="00400C0B">
        <w:rPr>
          <w:rFonts w:cs="Guttman Rashi" w:hint="eastAsia"/>
          <w:rtl/>
          <w:lang w:bidi="he-IL"/>
        </w:rPr>
        <w:t>מפסיק</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האור</w:t>
      </w:r>
      <w:r w:rsidRPr="00400C0B">
        <w:rPr>
          <w:rFonts w:cs="Guttman Rashi"/>
          <w:rtl/>
          <w:lang w:bidi="he-IL"/>
        </w:rPr>
        <w:t xml:space="preserve"> </w:t>
      </w:r>
      <w:r w:rsidRPr="00400C0B">
        <w:rPr>
          <w:rFonts w:cs="Guttman Rashi" w:hint="eastAsia"/>
          <w:rtl/>
          <w:lang w:bidi="he-IL"/>
        </w:rPr>
        <w:t>למאכל</w:t>
      </w:r>
      <w:r w:rsidRPr="00400C0B">
        <w:rPr>
          <w:rFonts w:cs="Guttman Rashi"/>
          <w:rtl/>
          <w:lang w:bidi="he-IL"/>
        </w:rPr>
        <w:t xml:space="preserve">. </w:t>
      </w:r>
    </w:p>
  </w:footnote>
  <w:footnote w:id="51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hint="eastAsia"/>
          <w:rtl/>
          <w:lang w:bidi="he-IL"/>
        </w:rPr>
        <w:t>והנה</w:t>
      </w:r>
      <w:r w:rsidRPr="00400C0B">
        <w:rPr>
          <w:rFonts w:cs="Guttman Rashi"/>
          <w:rtl/>
          <w:lang w:bidi="he-IL"/>
        </w:rPr>
        <w:t xml:space="preserve"> </w:t>
      </w:r>
      <w:r w:rsidRPr="00400C0B">
        <w:rPr>
          <w:rFonts w:cs="Guttman Rashi" w:hint="eastAsia"/>
          <w:rtl/>
          <w:lang w:bidi="he-IL"/>
        </w:rPr>
        <w:t>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בהגהות</w:t>
      </w:r>
      <w:r w:rsidRPr="00400C0B">
        <w:rPr>
          <w:rFonts w:cs="Guttman Rashi"/>
          <w:rtl/>
          <w:lang w:bidi="he-IL"/>
        </w:rPr>
        <w:t xml:space="preserve"> </w:t>
      </w:r>
      <w:r w:rsidRPr="00400C0B">
        <w:rPr>
          <w:rFonts w:cs="Guttman Rashi" w:hint="eastAsia"/>
          <w:rtl/>
          <w:lang w:bidi="he-IL"/>
        </w:rPr>
        <w:t>לסע</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 (</w:t>
      </w:r>
      <w:r w:rsidRPr="00400C0B">
        <w:rPr>
          <w:rFonts w:cs="Guttman Rashi" w:hint="eastAsia"/>
          <w:rtl/>
          <w:lang w:bidi="he-IL"/>
        </w:rPr>
        <w:t>מהדו</w:t>
      </w:r>
      <w:r w:rsidRPr="00400C0B">
        <w:rPr>
          <w:rFonts w:cs="Guttman Rashi"/>
          <w:rtl/>
          <w:lang w:bidi="he-IL"/>
        </w:rPr>
        <w:t xml:space="preserve">' </w:t>
      </w:r>
      <w:r w:rsidRPr="00400C0B">
        <w:rPr>
          <w:rFonts w:cs="Guttman Rashi" w:hint="eastAsia"/>
          <w:rtl/>
          <w:lang w:bidi="he-IL"/>
        </w:rPr>
        <w:t>יוהנסברג</w:t>
      </w:r>
      <w:r w:rsidRPr="00400C0B">
        <w:rPr>
          <w:rFonts w:cs="Guttman Rashi"/>
          <w:rtl/>
          <w:lang w:bidi="he-IL"/>
        </w:rPr>
        <w:t xml:space="preserve">) </w:t>
      </w:r>
      <w:r w:rsidRPr="00400C0B">
        <w:rPr>
          <w:rFonts w:cs="Guttman Rashi" w:hint="eastAsia"/>
          <w:rtl/>
          <w:lang w:bidi="he-IL"/>
        </w:rPr>
        <w:t>הביא</w:t>
      </w:r>
      <w:r w:rsidRPr="00400C0B">
        <w:rPr>
          <w:rFonts w:cs="Guttman Rashi"/>
          <w:rtl/>
          <w:lang w:bidi="he-IL"/>
        </w:rPr>
        <w:t xml:space="preserve"> </w:t>
      </w:r>
      <w:r w:rsidRPr="00400C0B">
        <w:rPr>
          <w:rFonts w:cs="Guttman Rashi" w:hint="eastAsia"/>
          <w:rtl/>
          <w:lang w:bidi="he-IL"/>
        </w:rPr>
        <w:t>מתבת</w:t>
      </w:r>
      <w:r w:rsidRPr="00400C0B">
        <w:rPr>
          <w:rFonts w:cs="Guttman Rashi"/>
          <w:rtl/>
          <w:lang w:bidi="he-IL"/>
        </w:rPr>
        <w:t xml:space="preserve"> </w:t>
      </w:r>
      <w:r w:rsidRPr="00400C0B">
        <w:rPr>
          <w:rFonts w:cs="Guttman Rashi" w:hint="eastAsia"/>
          <w:rtl/>
          <w:lang w:bidi="he-IL"/>
        </w:rPr>
        <w:t>גמא</w:t>
      </w:r>
      <w:r w:rsidRPr="00400C0B">
        <w:rPr>
          <w:rFonts w:cs="Guttman Rashi"/>
          <w:rtl/>
          <w:lang w:bidi="he-IL"/>
        </w:rPr>
        <w:t xml:space="preserve"> </w:t>
      </w:r>
      <w:r w:rsidRPr="00400C0B">
        <w:rPr>
          <w:rFonts w:cs="Guttman Rashi" w:hint="eastAsia"/>
          <w:rtl/>
          <w:lang w:bidi="he-IL"/>
        </w:rPr>
        <w:t>לפ</w:t>
      </w:r>
      <w:r w:rsidRPr="00400C0B">
        <w:rPr>
          <w:rFonts w:cs="Guttman Rashi"/>
          <w:rtl/>
          <w:lang w:bidi="he-IL"/>
        </w:rPr>
        <w:t xml:space="preserve">' </w:t>
      </w:r>
      <w:r w:rsidRPr="00400C0B">
        <w:rPr>
          <w:rFonts w:cs="Guttman Rashi" w:hint="eastAsia"/>
          <w:rtl/>
          <w:lang w:bidi="he-IL"/>
        </w:rPr>
        <w:t>בהעלותך</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השתמש</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בתנור</w:t>
      </w:r>
      <w:r w:rsidRPr="00400C0B">
        <w:rPr>
          <w:rFonts w:cs="Guttman Rashi"/>
          <w:rtl/>
          <w:lang w:bidi="he-IL"/>
        </w:rPr>
        <w:t xml:space="preserve"> </w:t>
      </w:r>
      <w:r w:rsidRPr="00400C0B">
        <w:rPr>
          <w:rFonts w:cs="Guttman Rashi" w:hint="eastAsia"/>
          <w:rtl/>
          <w:lang w:bidi="he-IL"/>
        </w:rPr>
        <w:t>גרוף</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מיקרי</w:t>
      </w:r>
      <w:r w:rsidRPr="00400C0B">
        <w:rPr>
          <w:rFonts w:cs="Guttman Rashi"/>
          <w:rtl/>
          <w:lang w:bidi="he-IL"/>
        </w:rPr>
        <w:t xml:space="preserve"> </w:t>
      </w:r>
      <w:r w:rsidRPr="00400C0B">
        <w:rPr>
          <w:rFonts w:cs="Guttman Rashi" w:hint="eastAsia"/>
          <w:rtl/>
          <w:lang w:bidi="he-IL"/>
        </w:rPr>
        <w:t>תשמישתו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האור</w:t>
      </w:r>
      <w:r w:rsidRPr="00400C0B">
        <w:rPr>
          <w:rFonts w:cs="Guttman Rashi"/>
          <w:rtl/>
          <w:lang w:bidi="he-IL"/>
        </w:rPr>
        <w:t xml:space="preserve"> </w:t>
      </w:r>
      <w:r w:rsidRPr="00400C0B">
        <w:rPr>
          <w:rFonts w:cs="Guttman Rashi" w:hint="eastAsia"/>
          <w:rtl/>
          <w:lang w:bidi="he-IL"/>
        </w:rPr>
        <w:t>וצריך</w:t>
      </w:r>
      <w:r w:rsidRPr="00400C0B">
        <w:rPr>
          <w:rFonts w:cs="Guttman Rashi"/>
          <w:rtl/>
          <w:lang w:bidi="he-IL"/>
        </w:rPr>
        <w:t xml:space="preserve"> </w:t>
      </w:r>
      <w:r w:rsidRPr="00400C0B">
        <w:rPr>
          <w:rFonts w:cs="Guttman Rashi" w:hint="eastAsia"/>
          <w:rtl/>
          <w:lang w:bidi="he-IL"/>
        </w:rPr>
        <w:t>ליבון</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הסתפק</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החזרה</w:t>
      </w:r>
      <w:r w:rsidRPr="00400C0B">
        <w:rPr>
          <w:rFonts w:cs="Guttman Rashi"/>
          <w:rtl/>
          <w:lang w:bidi="he-IL"/>
        </w:rPr>
        <w:t xml:space="preserve"> </w:t>
      </w:r>
      <w:r w:rsidRPr="00400C0B">
        <w:rPr>
          <w:rFonts w:cs="Guttman Rashi" w:hint="eastAsia"/>
          <w:rtl/>
          <w:lang w:bidi="he-IL"/>
        </w:rPr>
        <w:t>לתנור</w:t>
      </w:r>
      <w:r w:rsidRPr="00400C0B">
        <w:rPr>
          <w:rFonts w:cs="Guttman Rashi"/>
          <w:rtl/>
          <w:lang w:bidi="he-IL"/>
        </w:rPr>
        <w:t xml:space="preserve"> </w:t>
      </w:r>
      <w:r w:rsidRPr="00400C0B">
        <w:rPr>
          <w:rFonts w:cs="Guttman Rashi" w:hint="eastAsia"/>
          <w:rtl/>
          <w:lang w:bidi="he-IL"/>
        </w:rPr>
        <w:t>גרוף</w:t>
      </w:r>
      <w:r w:rsidRPr="00400C0B">
        <w:rPr>
          <w:rFonts w:cs="Guttman Rashi"/>
          <w:rtl/>
          <w:lang w:bidi="he-IL"/>
        </w:rPr>
        <w:t xml:space="preserve"> </w:t>
      </w:r>
      <w:r w:rsidRPr="00400C0B">
        <w:rPr>
          <w:rFonts w:cs="Guttman Rashi" w:hint="eastAsia"/>
          <w:rtl/>
          <w:lang w:bidi="he-IL"/>
        </w:rPr>
        <w:t>בלבד</w:t>
      </w:r>
      <w:r w:rsidRPr="00400C0B">
        <w:rPr>
          <w:rFonts w:cs="Guttman Rashi"/>
          <w:rtl/>
          <w:lang w:bidi="he-IL"/>
        </w:rPr>
        <w:t xml:space="preserve"> </w:t>
      </w:r>
      <w:r w:rsidRPr="00400C0B">
        <w:rPr>
          <w:rFonts w:cs="Guttman Rashi" w:hint="eastAsia"/>
          <w:rtl/>
          <w:lang w:bidi="he-IL"/>
        </w:rPr>
        <w:t>מדינא</w:t>
      </w:r>
      <w:r w:rsidRPr="00400C0B">
        <w:rPr>
          <w:rFonts w:cs="Guttman Rashi"/>
          <w:rtl/>
          <w:lang w:bidi="he-IL"/>
        </w:rPr>
        <w:t xml:space="preserve"> </w:t>
      </w:r>
      <w:r w:rsidRPr="00400C0B">
        <w:rPr>
          <w:rFonts w:cs="Guttman Rashi" w:hint="eastAsia"/>
          <w:rtl/>
          <w:lang w:bidi="he-IL"/>
        </w:rPr>
        <w:t>דכבולעו</w:t>
      </w:r>
      <w:r w:rsidRPr="00400C0B">
        <w:rPr>
          <w:rFonts w:cs="Guttman Rashi"/>
          <w:rtl/>
          <w:lang w:bidi="he-IL"/>
        </w:rPr>
        <w:t xml:space="preserve"> </w:t>
      </w:r>
      <w:r w:rsidRPr="00400C0B">
        <w:rPr>
          <w:rFonts w:cs="Guttman Rashi" w:hint="eastAsia"/>
          <w:rtl/>
          <w:lang w:bidi="he-IL"/>
        </w:rPr>
        <w:t>כך</w:t>
      </w:r>
      <w:r w:rsidRPr="00400C0B">
        <w:rPr>
          <w:rFonts w:cs="Guttman Rashi"/>
          <w:rtl/>
          <w:lang w:bidi="he-IL"/>
        </w:rPr>
        <w:t xml:space="preserve"> </w:t>
      </w:r>
      <w:r w:rsidRPr="00400C0B">
        <w:rPr>
          <w:rFonts w:cs="Guttman Rashi" w:hint="eastAsia"/>
          <w:rtl/>
          <w:lang w:bidi="he-IL"/>
        </w:rPr>
        <w:t>פולטו</w:t>
      </w:r>
      <w:r w:rsidRPr="00400C0B">
        <w:rPr>
          <w:rFonts w:cs="Guttman Rashi"/>
          <w:rtl/>
          <w:lang w:bidi="he-IL"/>
        </w:rPr>
        <w:t xml:space="preserve">, </w:t>
      </w:r>
      <w:r w:rsidRPr="00400C0B">
        <w:rPr>
          <w:rFonts w:cs="Guttman Rashi" w:hint="eastAsia"/>
          <w:rtl/>
          <w:lang w:bidi="he-IL"/>
        </w:rPr>
        <w:t>ודבריו</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עיון</w:t>
      </w:r>
      <w:r w:rsidRPr="00400C0B">
        <w:rPr>
          <w:rFonts w:cs="Guttman Rashi"/>
          <w:rtl/>
          <w:lang w:bidi="he-IL"/>
        </w:rPr>
        <w:t xml:space="preserve"> </w:t>
      </w:r>
      <w:r w:rsidRPr="00400C0B">
        <w:rPr>
          <w:rFonts w:cs="Guttman Rashi" w:hint="eastAsia"/>
          <w:rtl/>
          <w:lang w:bidi="he-IL"/>
        </w:rPr>
        <w:t>ואכמ</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הטעם</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משקין</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שהוסיף</w:t>
      </w:r>
      <w:r w:rsidRPr="00400C0B">
        <w:rPr>
          <w:rFonts w:cs="Guttman Rashi"/>
          <w:rtl/>
          <w:lang w:bidi="he-IL"/>
        </w:rPr>
        <w:t xml:space="preserve"> </w:t>
      </w:r>
      <w:r w:rsidRPr="00400C0B">
        <w:rPr>
          <w:rFonts w:cs="Guttman Rashi" w:hint="eastAsia"/>
          <w:rtl/>
          <w:lang w:bidi="he-IL"/>
        </w:rPr>
        <w:t>וכתב</w:t>
      </w:r>
      <w:r w:rsidRPr="00400C0B">
        <w:rPr>
          <w:rFonts w:cs="Guttman Rashi"/>
          <w:rtl/>
          <w:lang w:bidi="he-IL"/>
        </w:rPr>
        <w:t xml:space="preserve"> "</w:t>
      </w:r>
      <w:r w:rsidRPr="00400C0B">
        <w:rPr>
          <w:rFonts w:cs="Guttman Rashi" w:hint="eastAsia"/>
          <w:rtl/>
          <w:lang w:bidi="he-IL"/>
        </w:rPr>
        <w:t>ומודינא</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שמניחין</w:t>
      </w:r>
      <w:r w:rsidRPr="00400C0B">
        <w:rPr>
          <w:rFonts w:cs="Guttman Rashi"/>
          <w:rtl/>
          <w:lang w:bidi="he-IL"/>
        </w:rPr>
        <w:t xml:space="preserve"> </w:t>
      </w:r>
      <w:r w:rsidRPr="00400C0B">
        <w:rPr>
          <w:rFonts w:cs="Guttman Rashi" w:hint="eastAsia"/>
          <w:rtl/>
          <w:lang w:bidi="he-IL"/>
        </w:rPr>
        <w:t>לחם</w:t>
      </w:r>
      <w:r w:rsidRPr="00400C0B">
        <w:rPr>
          <w:rFonts w:cs="Guttman Rashi"/>
          <w:rtl/>
          <w:lang w:bidi="he-IL"/>
        </w:rPr>
        <w:t xml:space="preserve"> </w:t>
      </w:r>
      <w:r w:rsidRPr="00400C0B">
        <w:rPr>
          <w:rFonts w:cs="Guttman Rashi" w:hint="eastAsia"/>
          <w:rtl/>
          <w:lang w:bidi="he-IL"/>
        </w:rPr>
        <w:t>חמץ</w:t>
      </w:r>
      <w:r w:rsidRPr="00400C0B">
        <w:rPr>
          <w:rFonts w:cs="Guttman Rashi"/>
          <w:rtl/>
          <w:lang w:bidi="he-IL"/>
        </w:rPr>
        <w:t xml:space="preserve"> </w:t>
      </w:r>
      <w:r w:rsidRPr="00400C0B">
        <w:rPr>
          <w:rFonts w:cs="Guttman Rashi" w:hint="eastAsia"/>
          <w:rtl/>
          <w:lang w:bidi="he-IL"/>
        </w:rPr>
        <w:t>חם</w:t>
      </w:r>
      <w:r w:rsidRPr="00400C0B">
        <w:rPr>
          <w:rFonts w:cs="Guttman Rashi"/>
          <w:rtl/>
          <w:lang w:bidi="he-IL"/>
        </w:rPr>
        <w:t xml:space="preserve"> </w:t>
      </w:r>
      <w:r w:rsidRPr="00400C0B">
        <w:rPr>
          <w:rFonts w:cs="Guttman Rashi" w:hint="eastAsia"/>
          <w:rtl/>
          <w:lang w:bidi="he-IL"/>
        </w:rPr>
        <w:t>מיד</w:t>
      </w:r>
      <w:r w:rsidRPr="00400C0B">
        <w:rPr>
          <w:rFonts w:cs="Guttman Rashi"/>
          <w:rtl/>
          <w:lang w:bidi="he-IL"/>
        </w:rPr>
        <w:t xml:space="preserve"> </w:t>
      </w:r>
      <w:r w:rsidRPr="00400C0B">
        <w:rPr>
          <w:rFonts w:cs="Guttman Rashi" w:hint="eastAsia"/>
          <w:rtl/>
          <w:lang w:bidi="he-IL"/>
        </w:rPr>
        <w:t>שהוציא</w:t>
      </w:r>
      <w:r w:rsidRPr="00400C0B">
        <w:rPr>
          <w:rFonts w:cs="Guttman Rashi"/>
          <w:rtl/>
          <w:lang w:bidi="he-IL"/>
        </w:rPr>
        <w:t xml:space="preserve"> </w:t>
      </w:r>
      <w:r w:rsidRPr="00400C0B">
        <w:rPr>
          <w:rFonts w:cs="Guttman Rashi" w:hint="eastAsia"/>
          <w:rtl/>
          <w:lang w:bidi="he-IL"/>
        </w:rPr>
        <w:t>מתנור</w:t>
      </w:r>
      <w:r w:rsidRPr="00400C0B">
        <w:rPr>
          <w:rFonts w:cs="Guttman Rashi"/>
          <w:rtl/>
          <w:lang w:bidi="he-IL"/>
        </w:rPr>
        <w:t xml:space="preserve">, </w:t>
      </w:r>
      <w:r w:rsidRPr="00400C0B">
        <w:rPr>
          <w:rFonts w:cs="Guttman Rashi" w:hint="eastAsia"/>
          <w:rtl/>
          <w:lang w:bidi="he-IL"/>
        </w:rPr>
        <w:t>די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מקרי</w:t>
      </w:r>
      <w:r w:rsidRPr="00400C0B">
        <w:rPr>
          <w:rFonts w:cs="Guttman Rashi"/>
          <w:rtl/>
          <w:lang w:bidi="he-IL"/>
        </w:rPr>
        <w:t xml:space="preserve"> </w:t>
      </w:r>
      <w:r w:rsidRPr="00400C0B">
        <w:rPr>
          <w:rFonts w:cs="Guttman Rashi" w:hint="eastAsia"/>
          <w:rtl/>
          <w:lang w:bidi="he-IL"/>
        </w:rPr>
        <w:t>תשמישו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אור</w:t>
      </w:r>
      <w:r w:rsidRPr="00400C0B">
        <w:rPr>
          <w:rFonts w:cs="Guttman Rashi"/>
          <w:rtl/>
          <w:lang w:bidi="he-IL"/>
        </w:rPr>
        <w:t xml:space="preserve">, </w:t>
      </w:r>
      <w:r w:rsidRPr="00400C0B">
        <w:rPr>
          <w:rFonts w:cs="Guttman Rashi" w:hint="eastAsia"/>
          <w:rtl/>
          <w:lang w:bidi="he-IL"/>
        </w:rPr>
        <w:t>ואף</w:t>
      </w:r>
      <w:r w:rsidRPr="00400C0B">
        <w:rPr>
          <w:rFonts w:cs="Guttman Rashi"/>
          <w:rtl/>
          <w:lang w:bidi="he-IL"/>
        </w:rPr>
        <w:t xml:space="preserve"> </w:t>
      </w:r>
      <w:r w:rsidRPr="00400C0B">
        <w:rPr>
          <w:rFonts w:cs="Guttman Rashi" w:hint="eastAsia"/>
          <w:rtl/>
          <w:lang w:bidi="he-IL"/>
        </w:rPr>
        <w:t>שפשוט</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כתבתי</w:t>
      </w:r>
      <w:r w:rsidRPr="00400C0B">
        <w:rPr>
          <w:rFonts w:cs="Guttman Rashi"/>
          <w:rtl/>
          <w:lang w:bidi="he-IL"/>
        </w:rPr>
        <w:t xml:space="preserve"> </w:t>
      </w:r>
      <w:r w:rsidRPr="00400C0B">
        <w:rPr>
          <w:rFonts w:cs="Guttman Rashi" w:hint="eastAsia"/>
          <w:rtl/>
          <w:lang w:bidi="he-IL"/>
        </w:rPr>
        <w:t>להוציא</w:t>
      </w:r>
      <w:r w:rsidRPr="00400C0B">
        <w:rPr>
          <w:rFonts w:cs="Guttman Rashi"/>
          <w:rtl/>
          <w:lang w:bidi="he-IL"/>
        </w:rPr>
        <w:t xml:space="preserve"> </w:t>
      </w:r>
      <w:r w:rsidRPr="00400C0B">
        <w:rPr>
          <w:rFonts w:cs="Guttman Rashi" w:hint="eastAsia"/>
          <w:rtl/>
          <w:lang w:bidi="he-IL"/>
        </w:rPr>
        <w:t>מלב</w:t>
      </w:r>
      <w:r w:rsidRPr="00400C0B">
        <w:rPr>
          <w:rFonts w:cs="Guttman Rashi"/>
          <w:rtl/>
          <w:lang w:bidi="he-IL"/>
        </w:rPr>
        <w:t xml:space="preserve"> </w:t>
      </w:r>
      <w:r w:rsidRPr="00400C0B">
        <w:rPr>
          <w:rFonts w:cs="Guttman Rashi" w:hint="eastAsia"/>
          <w:rtl/>
          <w:lang w:bidi="he-IL"/>
        </w:rPr>
        <w:t>המתעקשים</w:t>
      </w:r>
      <w:r w:rsidRPr="00400C0B">
        <w:rPr>
          <w:rFonts w:cs="Guttman Rashi"/>
          <w:rtl/>
          <w:lang w:bidi="he-IL"/>
        </w:rPr>
        <w:t xml:space="preserve"> </w:t>
      </w:r>
      <w:r w:rsidRPr="00400C0B">
        <w:rPr>
          <w:rFonts w:cs="Guttman Rashi" w:hint="eastAsia"/>
          <w:rtl/>
          <w:lang w:bidi="he-IL"/>
        </w:rPr>
        <w:t>והטועים</w:t>
      </w:r>
      <w:r w:rsidRPr="00400C0B">
        <w:rPr>
          <w:rFonts w:cs="Guttman Rashi"/>
          <w:rtl/>
          <w:lang w:bidi="he-IL"/>
        </w:rPr>
        <w:t xml:space="preserve">, </w:t>
      </w:r>
      <w:r w:rsidRPr="00400C0B">
        <w:rPr>
          <w:rFonts w:cs="Guttman Rashi" w:hint="eastAsia"/>
          <w:rtl/>
          <w:lang w:bidi="he-IL"/>
        </w:rPr>
        <w:t>ובוודאי</w:t>
      </w:r>
      <w:r w:rsidRPr="00400C0B">
        <w:rPr>
          <w:rFonts w:cs="Guttman Rashi"/>
          <w:rtl/>
          <w:lang w:bidi="he-IL"/>
        </w:rPr>
        <w:t xml:space="preserve"> </w:t>
      </w:r>
      <w:r w:rsidRPr="00400C0B">
        <w:rPr>
          <w:rFonts w:cs="Guttman Rashi" w:hint="eastAsia"/>
          <w:rtl/>
          <w:lang w:bidi="he-IL"/>
        </w:rPr>
        <w:t>מי</w:t>
      </w:r>
      <w:r w:rsidRPr="00400C0B">
        <w:rPr>
          <w:rFonts w:cs="Guttman Rashi"/>
          <w:rtl/>
          <w:lang w:bidi="he-IL"/>
        </w:rPr>
        <w:t xml:space="preserve"> </w:t>
      </w:r>
      <w:r w:rsidRPr="00400C0B">
        <w:rPr>
          <w:rFonts w:cs="Guttman Rashi" w:hint="eastAsia"/>
          <w:rtl/>
          <w:lang w:bidi="he-IL"/>
        </w:rPr>
        <w:t>שישר</w:t>
      </w:r>
      <w:r w:rsidRPr="00400C0B">
        <w:rPr>
          <w:rFonts w:cs="Guttman Rashi"/>
          <w:rtl/>
          <w:lang w:bidi="he-IL"/>
        </w:rPr>
        <w:t xml:space="preserve"> </w:t>
      </w:r>
      <w:r w:rsidRPr="00400C0B">
        <w:rPr>
          <w:rFonts w:cs="Guttman Rashi" w:hint="eastAsia"/>
          <w:rtl/>
          <w:lang w:bidi="he-IL"/>
        </w:rPr>
        <w:t>הולך</w:t>
      </w:r>
      <w:r w:rsidRPr="00400C0B">
        <w:rPr>
          <w:rFonts w:cs="Guttman Rashi"/>
          <w:rtl/>
          <w:lang w:bidi="he-IL"/>
        </w:rPr>
        <w:t xml:space="preserve"> </w:t>
      </w:r>
      <w:r w:rsidRPr="00400C0B">
        <w:rPr>
          <w:rFonts w:cs="Guttman Rashi" w:hint="eastAsia"/>
          <w:rtl/>
          <w:lang w:bidi="he-IL"/>
        </w:rPr>
        <w:t>אומר</w:t>
      </w:r>
      <w:r w:rsidRPr="00400C0B">
        <w:rPr>
          <w:rFonts w:cs="Guttman Rashi"/>
          <w:rtl/>
          <w:lang w:bidi="he-IL"/>
        </w:rPr>
        <w:t xml:space="preserve"> </w:t>
      </w:r>
      <w:r w:rsidRPr="00400C0B">
        <w:rPr>
          <w:rFonts w:cs="Guttman Rashi" w:hint="eastAsia"/>
          <w:rtl/>
          <w:lang w:bidi="he-IL"/>
        </w:rPr>
        <w:t>האמת</w:t>
      </w:r>
      <w:r w:rsidRPr="00400C0B">
        <w:rPr>
          <w:rFonts w:cs="Guttman Rashi"/>
          <w:rtl/>
          <w:lang w:bidi="he-IL"/>
        </w:rPr>
        <w:t xml:space="preserve">". </w:t>
      </w:r>
      <w:r w:rsidRPr="00400C0B">
        <w:rPr>
          <w:rFonts w:cs="Guttman Rashi" w:hint="eastAsia"/>
          <w:rtl/>
          <w:lang w:bidi="he-IL"/>
        </w:rPr>
        <w:t>וחזר</w:t>
      </w:r>
      <w:r w:rsidRPr="00400C0B">
        <w:rPr>
          <w:rFonts w:cs="Guttman Rashi"/>
          <w:rtl/>
          <w:lang w:bidi="he-IL"/>
        </w:rPr>
        <w:t xml:space="preserve"> </w:t>
      </w:r>
      <w:r w:rsidRPr="00400C0B">
        <w:rPr>
          <w:rFonts w:cs="Guttman Rashi" w:hint="eastAsia"/>
          <w:rtl/>
          <w:lang w:bidi="he-IL"/>
        </w:rPr>
        <w:t>משתנו</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בסי</w:t>
      </w:r>
      <w:r w:rsidRPr="00400C0B">
        <w:rPr>
          <w:rFonts w:cs="Guttman Rashi"/>
          <w:rtl/>
          <w:lang w:bidi="he-IL"/>
        </w:rPr>
        <w:t xml:space="preserve">' </w:t>
      </w:r>
      <w:r w:rsidRPr="00400C0B">
        <w:rPr>
          <w:rFonts w:cs="Guttman Rashi" w:hint="eastAsia"/>
          <w:rtl/>
          <w:lang w:bidi="he-IL"/>
        </w:rPr>
        <w:t>תנ</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במש</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הבעלת</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ט</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רשימה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פוסקים</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מצאתי</w:t>
      </w:r>
      <w:r w:rsidRPr="00400C0B">
        <w:rPr>
          <w:rFonts w:cs="Guttman Rashi"/>
          <w:rtl/>
          <w:lang w:bidi="he-IL"/>
        </w:rPr>
        <w:t xml:space="preserve"> </w:t>
      </w:r>
      <w:r w:rsidRPr="00400C0B">
        <w:rPr>
          <w:rFonts w:cs="Guttman Rashi" w:hint="eastAsia"/>
          <w:rtl/>
          <w:lang w:bidi="he-IL"/>
        </w:rPr>
        <w:t>באו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הכ</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שהביא</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מחמירים</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שדחאו</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הכל</w:t>
      </w:r>
      <w:r w:rsidRPr="00400C0B">
        <w:rPr>
          <w:rFonts w:cs="Guttman Rashi"/>
          <w:rtl/>
          <w:lang w:bidi="he-IL"/>
        </w:rPr>
        <w:t xml:space="preserve"> </w:t>
      </w:r>
      <w:r w:rsidRPr="00400C0B">
        <w:rPr>
          <w:rFonts w:cs="Guttman Rashi" w:hint="eastAsia"/>
          <w:rtl/>
          <w:lang w:bidi="he-IL"/>
        </w:rPr>
        <w:t>טעמא</w:t>
      </w:r>
      <w:r w:rsidRPr="00400C0B">
        <w:rPr>
          <w:rFonts w:cs="Guttman Rashi"/>
          <w:rtl/>
          <w:lang w:bidi="he-IL"/>
        </w:rPr>
        <w:t xml:space="preserve"> </w:t>
      </w:r>
      <w:r w:rsidRPr="00400C0B">
        <w:rPr>
          <w:rFonts w:cs="Guttman Rashi" w:hint="eastAsia"/>
          <w:rtl/>
          <w:lang w:bidi="he-IL"/>
        </w:rPr>
        <w:t>מאי</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משקין</w:t>
      </w:r>
      <w:r w:rsidRPr="00400C0B">
        <w:rPr>
          <w:rFonts w:cs="Guttman Rashi"/>
          <w:rtl/>
          <w:lang w:bidi="he-IL"/>
        </w:rPr>
        <w:t xml:space="preserve"> </w:t>
      </w:r>
      <w:r w:rsidRPr="00400C0B">
        <w:rPr>
          <w:rFonts w:cs="Guttman Rashi" w:hint="eastAsia"/>
          <w:rtl/>
          <w:lang w:bidi="he-IL"/>
        </w:rPr>
        <w:t>ואיכא</w:t>
      </w:r>
      <w:r w:rsidRPr="00400C0B">
        <w:rPr>
          <w:rFonts w:cs="Guttman Rashi"/>
          <w:rtl/>
          <w:lang w:bidi="he-IL"/>
        </w:rPr>
        <w:t xml:space="preserve"> </w:t>
      </w:r>
      <w:r w:rsidRPr="00400C0B">
        <w:rPr>
          <w:rFonts w:cs="Guttman Rashi" w:hint="eastAsia"/>
          <w:rtl/>
          <w:lang w:bidi="he-IL"/>
        </w:rPr>
        <w:t>חום</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התשובה</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שחומרת</w:t>
      </w:r>
      <w:r w:rsidRPr="00400C0B">
        <w:rPr>
          <w:rFonts w:cs="Guttman Rashi"/>
          <w:rtl/>
          <w:lang w:bidi="he-IL"/>
        </w:rPr>
        <w:t xml:space="preserve"> </w:t>
      </w:r>
      <w:r w:rsidRPr="00400C0B">
        <w:rPr>
          <w:rFonts w:cs="Guttman Rashi" w:hint="eastAsia"/>
          <w:rtl/>
          <w:lang w:bidi="he-IL"/>
        </w:rPr>
        <w:t>ליבון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בדאיכא</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דברים</w:t>
      </w:r>
      <w:r w:rsidRPr="00400C0B">
        <w:rPr>
          <w:rFonts w:cs="Guttman Rashi"/>
          <w:rtl/>
          <w:lang w:bidi="he-IL"/>
        </w:rPr>
        <w:t xml:space="preserve">, </w:t>
      </w:r>
      <w:r w:rsidRPr="00400C0B">
        <w:rPr>
          <w:rFonts w:cs="Guttman Rashi" w:hint="eastAsia"/>
          <w:rtl/>
          <w:lang w:bidi="he-IL"/>
        </w:rPr>
        <w:t>דהיינו</w:t>
      </w:r>
      <w:r w:rsidRPr="00400C0B">
        <w:rPr>
          <w:rFonts w:cs="Guttman Rashi"/>
          <w:rtl/>
          <w:lang w:bidi="he-IL"/>
        </w:rPr>
        <w:t xml:space="preserve"> </w:t>
      </w:r>
      <w:r w:rsidRPr="00400C0B">
        <w:rPr>
          <w:rFonts w:cs="Guttman Rashi" w:hint="eastAsia"/>
          <w:rtl/>
          <w:lang w:bidi="he-IL"/>
        </w:rPr>
        <w:t>שמתחמם</w:t>
      </w:r>
      <w:r w:rsidRPr="00400C0B">
        <w:rPr>
          <w:rFonts w:cs="Guttman Rashi"/>
          <w:rtl/>
          <w:lang w:bidi="he-IL"/>
        </w:rPr>
        <w:t xml:space="preserve"> </w:t>
      </w:r>
      <w:r w:rsidRPr="00400C0B">
        <w:rPr>
          <w:rFonts w:cs="Guttman Rashi" w:hint="eastAsia"/>
          <w:rtl/>
          <w:lang w:bidi="he-IL"/>
        </w:rPr>
        <w:t>ממקור</w:t>
      </w:r>
      <w:r w:rsidRPr="00400C0B">
        <w:rPr>
          <w:rFonts w:cs="Guttman Rashi"/>
          <w:rtl/>
          <w:lang w:bidi="he-IL"/>
        </w:rPr>
        <w:t xml:space="preserve"> </w:t>
      </w:r>
      <w:r w:rsidRPr="00400C0B">
        <w:rPr>
          <w:rFonts w:cs="Guttman Rashi" w:hint="eastAsia"/>
          <w:rtl/>
          <w:lang w:bidi="he-IL"/>
        </w:rPr>
        <w:t>שהוחם</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האש</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תנור</w:t>
      </w:r>
      <w:r w:rsidRPr="00400C0B">
        <w:rPr>
          <w:rFonts w:cs="Guttman Rashi"/>
          <w:rtl/>
          <w:lang w:bidi="he-IL"/>
        </w:rPr>
        <w:t xml:space="preserve"> </w:t>
      </w:r>
      <w:r w:rsidRPr="00400C0B">
        <w:rPr>
          <w:rFonts w:cs="Guttman Rashi" w:hint="eastAsia"/>
          <w:rtl/>
          <w:lang w:bidi="he-IL"/>
        </w:rPr>
        <w:t>גרוף</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משקין</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משקין</w:t>
      </w:r>
      <w:r w:rsidRPr="00400C0B">
        <w:rPr>
          <w:rFonts w:cs="Guttman Rashi"/>
          <w:rtl/>
          <w:lang w:bidi="he-IL"/>
        </w:rPr>
        <w:t xml:space="preserve"> </w:t>
      </w:r>
      <w:r w:rsidRPr="00400C0B">
        <w:rPr>
          <w:rFonts w:cs="Guttman Rashi" w:hint="eastAsia"/>
          <w:rtl/>
          <w:lang w:bidi="he-IL"/>
        </w:rPr>
        <w:t>ואיכא</w:t>
      </w:r>
      <w:r w:rsidRPr="00400C0B">
        <w:rPr>
          <w:rFonts w:cs="Guttman Rashi"/>
          <w:rtl/>
          <w:lang w:bidi="he-IL"/>
        </w:rPr>
        <w:t xml:space="preserve"> </w:t>
      </w:r>
      <w:r w:rsidRPr="00400C0B">
        <w:rPr>
          <w:rFonts w:cs="Guttman Rashi" w:hint="eastAsia"/>
          <w:rtl/>
          <w:lang w:bidi="he-IL"/>
        </w:rPr>
        <w:t>חום</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ההיפך</w:t>
      </w:r>
      <w:r w:rsidRPr="00400C0B">
        <w:rPr>
          <w:rFonts w:cs="Guttman Rashi"/>
          <w:rtl/>
          <w:lang w:bidi="he-IL"/>
        </w:rPr>
        <w:t xml:space="preserve"> </w:t>
      </w:r>
      <w:r w:rsidRPr="00400C0B">
        <w:rPr>
          <w:rFonts w:cs="Guttman Rashi" w:hint="eastAsia"/>
          <w:rtl/>
          <w:lang w:bidi="he-IL"/>
        </w:rPr>
        <w:t>סגי</w:t>
      </w:r>
      <w:r w:rsidRPr="00400C0B">
        <w:rPr>
          <w:rFonts w:cs="Guttman Rashi"/>
          <w:rtl/>
          <w:lang w:bidi="he-IL"/>
        </w:rPr>
        <w:t xml:space="preserve"> </w:t>
      </w:r>
      <w:r w:rsidRPr="00400C0B">
        <w:rPr>
          <w:rFonts w:cs="Guttman Rashi" w:hint="eastAsia"/>
          <w:rtl/>
          <w:lang w:bidi="he-IL"/>
        </w:rPr>
        <w:t>בהגעלה</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בענין</w:t>
      </w:r>
      <w:r w:rsidRPr="00400C0B">
        <w:rPr>
          <w:rFonts w:cs="Guttman Rashi"/>
          <w:rtl/>
          <w:lang w:bidi="he-IL"/>
        </w:rPr>
        <w:t xml:space="preserve"> </w:t>
      </w:r>
      <w:r w:rsidRPr="00400C0B">
        <w:rPr>
          <w:rFonts w:cs="Guttman Rashi" w:hint="eastAsia"/>
          <w:rtl/>
          <w:lang w:bidi="he-IL"/>
        </w:rPr>
        <w:t>הכשר</w:t>
      </w:r>
      <w:r w:rsidRPr="00400C0B">
        <w:rPr>
          <w:rFonts w:cs="Guttman Rashi"/>
          <w:rtl/>
          <w:lang w:bidi="he-IL"/>
        </w:rPr>
        <w:t xml:space="preserve"> </w:t>
      </w:r>
      <w:r w:rsidRPr="00400C0B">
        <w:rPr>
          <w:rFonts w:cs="Guttman Rashi" w:hint="eastAsia"/>
          <w:rtl/>
          <w:lang w:bidi="he-IL"/>
        </w:rPr>
        <w:t>בית</w:t>
      </w:r>
      <w:r w:rsidRPr="00400C0B">
        <w:rPr>
          <w:rFonts w:cs="Guttman Rashi"/>
          <w:rtl/>
          <w:lang w:bidi="he-IL"/>
        </w:rPr>
        <w:t xml:space="preserve"> </w:t>
      </w:r>
      <w:r w:rsidRPr="00400C0B">
        <w:rPr>
          <w:rFonts w:cs="Guttman Rashi" w:hint="eastAsia"/>
          <w:rtl/>
          <w:lang w:bidi="he-IL"/>
        </w:rPr>
        <w:t>שאור</w:t>
      </w:r>
      <w:r w:rsidRPr="00400C0B">
        <w:rPr>
          <w:rFonts w:cs="Guttman Rashi"/>
          <w:rtl/>
          <w:lang w:bidi="he-IL"/>
        </w:rPr>
        <w:t xml:space="preserve">. </w:t>
      </w:r>
    </w:p>
    <w:p w:rsidR="007978F4" w:rsidRPr="00400C0B" w:rsidRDefault="007978F4" w:rsidP="00B80448">
      <w:pPr>
        <w:pStyle w:val="FootnoteText"/>
        <w:bidi/>
        <w:jc w:val="both"/>
        <w:rPr>
          <w:rFonts w:cs="Guttman Rashi"/>
          <w:rtl/>
          <w:lang w:bidi="he-IL"/>
        </w:rPr>
      </w:pPr>
      <w:r w:rsidRPr="00400C0B">
        <w:rPr>
          <w:rFonts w:cs="Guttman Rashi" w:hint="eastAsia"/>
          <w:rtl/>
          <w:lang w:bidi="he-IL"/>
        </w:rPr>
        <w:t>בהאי</w:t>
      </w:r>
      <w:r w:rsidRPr="00400C0B">
        <w:rPr>
          <w:rFonts w:cs="Guttman Rashi"/>
          <w:rtl/>
          <w:lang w:bidi="he-IL"/>
        </w:rPr>
        <w:t xml:space="preserve"> </w:t>
      </w:r>
      <w:r w:rsidRPr="00400C0B">
        <w:rPr>
          <w:rFonts w:cs="Guttman Rashi" w:hint="eastAsia"/>
          <w:rtl/>
          <w:lang w:bidi="he-IL"/>
        </w:rPr>
        <w:t>ענינא</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להסתפק</w:t>
      </w:r>
      <w:r w:rsidRPr="00400C0B">
        <w:rPr>
          <w:rFonts w:cs="Guttman Rashi"/>
          <w:rtl/>
          <w:lang w:bidi="he-IL"/>
        </w:rPr>
        <w:t xml:space="preserve"> </w:t>
      </w:r>
      <w:r w:rsidRPr="00400C0B">
        <w:rPr>
          <w:rFonts w:cs="Guttman Rashi" w:hint="eastAsia"/>
          <w:rtl/>
          <w:lang w:bidi="he-IL"/>
        </w:rPr>
        <w:t>לאידך</w:t>
      </w:r>
      <w:r w:rsidRPr="00400C0B">
        <w:rPr>
          <w:rFonts w:cs="Guttman Rashi"/>
          <w:rtl/>
          <w:lang w:bidi="he-IL"/>
        </w:rPr>
        <w:t xml:space="preserve"> </w:t>
      </w:r>
      <w:r w:rsidRPr="00400C0B">
        <w:rPr>
          <w:rFonts w:cs="Guttman Rashi" w:hint="eastAsia"/>
          <w:rtl/>
          <w:lang w:bidi="he-IL"/>
        </w:rPr>
        <w:t>גיסא</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שהתחמם</w:t>
      </w:r>
      <w:r w:rsidRPr="00400C0B">
        <w:rPr>
          <w:rFonts w:cs="Guttman Rashi"/>
          <w:rtl/>
          <w:lang w:bidi="he-IL"/>
        </w:rPr>
        <w:t xml:space="preserve"> </w:t>
      </w:r>
      <w:r w:rsidRPr="00400C0B">
        <w:rPr>
          <w:rFonts w:cs="Guttman Rashi" w:hint="eastAsia"/>
          <w:rtl/>
          <w:lang w:bidi="he-IL"/>
        </w:rPr>
        <w:t>באור</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עכשיו</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גבי</w:t>
      </w:r>
      <w:r w:rsidRPr="00400C0B">
        <w:rPr>
          <w:rFonts w:cs="Guttman Rashi"/>
          <w:rtl/>
          <w:lang w:bidi="he-IL"/>
        </w:rPr>
        <w:t xml:space="preserve"> </w:t>
      </w:r>
      <w:r w:rsidRPr="00400C0B">
        <w:rPr>
          <w:rFonts w:cs="Guttman Rashi" w:hint="eastAsia"/>
          <w:rtl/>
          <w:lang w:bidi="he-IL"/>
        </w:rPr>
        <w:t>האש</w:t>
      </w:r>
      <w:r w:rsidRPr="00400C0B">
        <w:rPr>
          <w:rFonts w:cs="Guttman Rashi"/>
          <w:rtl/>
          <w:lang w:bidi="he-IL"/>
        </w:rPr>
        <w:t xml:space="preserve"> </w:t>
      </w:r>
      <w:r w:rsidRPr="00400C0B">
        <w:rPr>
          <w:rFonts w:cs="Guttman Rashi" w:hint="eastAsia"/>
          <w:rtl/>
          <w:lang w:bidi="he-IL"/>
        </w:rPr>
        <w:t>ושוב</w:t>
      </w:r>
      <w:r w:rsidRPr="00400C0B">
        <w:rPr>
          <w:rFonts w:cs="Guttman Rashi"/>
          <w:rtl/>
          <w:lang w:bidi="he-IL"/>
        </w:rPr>
        <w:t xml:space="preserve"> </w:t>
      </w:r>
      <w:r w:rsidRPr="00400C0B">
        <w:rPr>
          <w:rFonts w:cs="Guttman Rashi" w:hint="eastAsia"/>
          <w:rtl/>
          <w:lang w:bidi="he-IL"/>
        </w:rPr>
        <w:t>הניחו</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מאכלות</w:t>
      </w:r>
      <w:r w:rsidRPr="00400C0B">
        <w:rPr>
          <w:rFonts w:cs="Guttman Rashi"/>
          <w:rtl/>
          <w:lang w:bidi="he-IL"/>
        </w:rPr>
        <w:t xml:space="preserve"> </w:t>
      </w:r>
      <w:r w:rsidRPr="00400C0B">
        <w:rPr>
          <w:rFonts w:cs="Guttman Rashi" w:hint="eastAsia"/>
          <w:rtl/>
          <w:lang w:bidi="he-IL"/>
        </w:rPr>
        <w:t>האסורות</w:t>
      </w:r>
      <w:r w:rsidRPr="00400C0B">
        <w:rPr>
          <w:rFonts w:cs="Guttman Rashi"/>
          <w:rtl/>
          <w:lang w:bidi="he-IL"/>
        </w:rPr>
        <w:t xml:space="preserve">, </w:t>
      </w:r>
      <w:r w:rsidRPr="00400C0B">
        <w:rPr>
          <w:rFonts w:cs="Guttman Rashi" w:hint="eastAsia"/>
          <w:rtl/>
          <w:lang w:bidi="he-IL"/>
        </w:rPr>
        <w:t>האם</w:t>
      </w:r>
      <w:r w:rsidRPr="00400C0B">
        <w:rPr>
          <w:rFonts w:cs="Guttman Rashi"/>
          <w:rtl/>
          <w:lang w:bidi="he-IL"/>
        </w:rPr>
        <w:t xml:space="preserve"> </w:t>
      </w:r>
      <w:r w:rsidRPr="00400C0B">
        <w:rPr>
          <w:rFonts w:cs="Guttman Rashi" w:hint="eastAsia"/>
          <w:rtl/>
          <w:lang w:bidi="he-IL"/>
        </w:rPr>
        <w:t>הכשרו</w:t>
      </w:r>
      <w:r w:rsidRPr="00400C0B">
        <w:rPr>
          <w:rFonts w:cs="Guttman Rashi"/>
          <w:rtl/>
          <w:lang w:bidi="he-IL"/>
        </w:rPr>
        <w:t xml:space="preserve"> </w:t>
      </w:r>
      <w:r w:rsidRPr="00400C0B">
        <w:rPr>
          <w:rFonts w:cs="Guttman Rashi" w:hint="eastAsia"/>
          <w:rtl/>
          <w:lang w:bidi="he-IL"/>
        </w:rPr>
        <w:t>בליבון</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שנבלע</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חום</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תולדות</w:t>
      </w:r>
      <w:r w:rsidRPr="00400C0B">
        <w:rPr>
          <w:rFonts w:cs="Guttman Rashi"/>
          <w:rtl/>
          <w:lang w:bidi="he-IL"/>
        </w:rPr>
        <w:t xml:space="preserve"> </w:t>
      </w:r>
      <w:r w:rsidRPr="00400C0B">
        <w:rPr>
          <w:rFonts w:cs="Guttman Rashi" w:hint="eastAsia"/>
          <w:rtl/>
          <w:lang w:bidi="he-IL"/>
        </w:rPr>
        <w:t>האש</w:t>
      </w:r>
      <w:r w:rsidRPr="00400C0B">
        <w:rPr>
          <w:rFonts w:cs="Guttman Rashi"/>
          <w:rtl/>
          <w:lang w:bidi="he-IL"/>
        </w:rPr>
        <w:t xml:space="preserve"> </w:t>
      </w:r>
      <w:r w:rsidRPr="00400C0B">
        <w:rPr>
          <w:rFonts w:cs="Guttman Rashi" w:hint="eastAsia"/>
          <w:rtl/>
          <w:lang w:bidi="he-IL"/>
        </w:rPr>
        <w:t>וליכא</w:t>
      </w:r>
      <w:r w:rsidRPr="00400C0B">
        <w:rPr>
          <w:rFonts w:cs="Guttman Rashi"/>
          <w:rtl/>
          <w:lang w:bidi="he-IL"/>
        </w:rPr>
        <w:t xml:space="preserve"> </w:t>
      </w:r>
      <w:r w:rsidRPr="00400C0B">
        <w:rPr>
          <w:rFonts w:cs="Guttman Rashi" w:hint="eastAsia"/>
          <w:rtl/>
          <w:lang w:bidi="he-IL"/>
        </w:rPr>
        <w:t>משקין</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עכשיו</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גבי</w:t>
      </w:r>
      <w:r w:rsidRPr="00400C0B">
        <w:rPr>
          <w:rFonts w:cs="Guttman Rashi"/>
          <w:rtl/>
          <w:lang w:bidi="he-IL"/>
        </w:rPr>
        <w:t xml:space="preserve"> </w:t>
      </w:r>
      <w:r w:rsidRPr="00400C0B">
        <w:rPr>
          <w:rFonts w:cs="Guttman Rashi" w:hint="eastAsia"/>
          <w:rtl/>
          <w:lang w:bidi="he-IL"/>
        </w:rPr>
        <w:t>האש</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תשמישתו</w:t>
      </w:r>
      <w:r w:rsidRPr="00400C0B">
        <w:rPr>
          <w:rFonts w:cs="Guttman Rashi"/>
          <w:rtl/>
          <w:lang w:bidi="he-IL"/>
        </w:rPr>
        <w:t xml:space="preserve"> </w:t>
      </w:r>
      <w:r w:rsidRPr="00400C0B">
        <w:rPr>
          <w:rFonts w:cs="Guttman Rashi" w:hint="eastAsia"/>
          <w:rtl/>
          <w:lang w:bidi="he-IL"/>
        </w:rPr>
        <w:t>באור</w:t>
      </w:r>
      <w:r w:rsidRPr="00400C0B">
        <w:rPr>
          <w:rFonts w:cs="Guttman Rashi"/>
          <w:rtl/>
          <w:lang w:bidi="he-IL"/>
        </w:rPr>
        <w:t xml:space="preserve"> </w:t>
      </w:r>
      <w:r w:rsidRPr="00400C0B">
        <w:rPr>
          <w:rFonts w:cs="Guttman Rashi" w:hint="eastAsia"/>
          <w:rtl/>
          <w:lang w:bidi="he-IL"/>
        </w:rPr>
        <w:t>ואינו</w:t>
      </w:r>
      <w:r w:rsidRPr="00400C0B">
        <w:rPr>
          <w:rFonts w:cs="Guttman Rashi"/>
          <w:rtl/>
          <w:lang w:bidi="he-IL"/>
        </w:rPr>
        <w:t xml:space="preserve"> </w:t>
      </w:r>
      <w:r w:rsidRPr="00400C0B">
        <w:rPr>
          <w:rFonts w:cs="Guttman Rashi" w:hint="eastAsia"/>
          <w:rtl/>
          <w:lang w:bidi="he-IL"/>
        </w:rPr>
        <w:t>חייב</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בשע</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תנ</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וראיתי</w:t>
      </w:r>
      <w:r w:rsidRPr="00400C0B">
        <w:rPr>
          <w:rFonts w:cs="Guttman Rashi"/>
          <w:rtl/>
          <w:lang w:bidi="he-IL"/>
        </w:rPr>
        <w:t xml:space="preserve"> </w:t>
      </w:r>
      <w:r w:rsidRPr="00400C0B">
        <w:rPr>
          <w:rFonts w:cs="Guttman Rashi" w:hint="eastAsia"/>
          <w:rtl/>
          <w:lang w:bidi="he-IL"/>
        </w:rPr>
        <w:t>בקובץ</w:t>
      </w:r>
      <w:r w:rsidRPr="00400C0B">
        <w:rPr>
          <w:rFonts w:cs="Guttman Rashi"/>
          <w:rtl/>
          <w:lang w:bidi="he-IL"/>
        </w:rPr>
        <w:t xml:space="preserve"> </w:t>
      </w:r>
      <w:r w:rsidRPr="00400C0B">
        <w:rPr>
          <w:rFonts w:cs="Guttman Rashi" w:hint="eastAsia"/>
          <w:rtl/>
          <w:lang w:bidi="he-IL"/>
        </w:rPr>
        <w:t>תפארת</w:t>
      </w:r>
      <w:r w:rsidRPr="00400C0B">
        <w:rPr>
          <w:rFonts w:cs="Guttman Rashi"/>
          <w:rtl/>
          <w:lang w:bidi="he-IL"/>
        </w:rPr>
        <w:t xml:space="preserve"> </w:t>
      </w:r>
      <w:r w:rsidRPr="00400C0B">
        <w:rPr>
          <w:rFonts w:cs="Guttman Rashi" w:hint="eastAsia"/>
          <w:rtl/>
          <w:lang w:bidi="he-IL"/>
        </w:rPr>
        <w:t>התורה</w:t>
      </w:r>
      <w:r w:rsidRPr="00400C0B">
        <w:rPr>
          <w:rFonts w:cs="Guttman Rashi"/>
          <w:rtl/>
          <w:lang w:bidi="he-IL"/>
        </w:rPr>
        <w:t xml:space="preserve"> </w:t>
      </w:r>
      <w:r w:rsidRPr="00400C0B">
        <w:rPr>
          <w:rFonts w:cs="Guttman Rashi" w:hint="eastAsia"/>
          <w:rtl/>
          <w:lang w:bidi="he-IL"/>
        </w:rPr>
        <w:t>מהג</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שאול</w:t>
      </w:r>
      <w:r w:rsidRPr="00400C0B">
        <w:rPr>
          <w:rFonts w:cs="Guttman Rashi"/>
          <w:rtl/>
          <w:lang w:bidi="he-IL"/>
        </w:rPr>
        <w:t xml:space="preserve"> </w:t>
      </w:r>
      <w:r w:rsidRPr="00400C0B">
        <w:rPr>
          <w:rFonts w:cs="Guttman Rashi" w:hint="eastAsia"/>
          <w:rtl/>
          <w:lang w:bidi="he-IL"/>
        </w:rPr>
        <w:t>יוסף</w:t>
      </w:r>
      <w:r w:rsidRPr="00400C0B">
        <w:rPr>
          <w:rFonts w:cs="Guttman Rashi"/>
          <w:rtl/>
          <w:lang w:bidi="he-IL"/>
        </w:rPr>
        <w:t xml:space="preserve"> </w:t>
      </w:r>
      <w:r w:rsidRPr="00400C0B">
        <w:rPr>
          <w:rFonts w:cs="Guttman Rashi" w:hint="eastAsia"/>
          <w:rtl/>
          <w:lang w:bidi="he-IL"/>
        </w:rPr>
        <w:t>שרהבני</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מדברי</w:t>
      </w:r>
      <w:r w:rsidRPr="00400C0B">
        <w:rPr>
          <w:rFonts w:cs="Guttman Rashi"/>
          <w:rtl/>
          <w:lang w:bidi="he-IL"/>
        </w:rPr>
        <w:t xml:space="preserve"> </w:t>
      </w:r>
      <w:r w:rsidRPr="00400C0B">
        <w:rPr>
          <w:rFonts w:cs="Guttman Rashi" w:hint="eastAsia"/>
          <w:rtl/>
          <w:lang w:bidi="he-IL"/>
        </w:rPr>
        <w:t>הבית</w:t>
      </w:r>
      <w:r w:rsidRPr="00400C0B">
        <w:rPr>
          <w:rFonts w:cs="Guttman Rashi"/>
          <w:rtl/>
          <w:lang w:bidi="he-IL"/>
        </w:rPr>
        <w:t xml:space="preserve"> </w:t>
      </w:r>
      <w:r w:rsidRPr="00400C0B">
        <w:rPr>
          <w:rFonts w:cs="Guttman Rashi" w:hint="eastAsia"/>
          <w:rtl/>
          <w:lang w:bidi="he-IL"/>
        </w:rPr>
        <w:t>יוסף</w:t>
      </w:r>
      <w:r w:rsidRPr="00400C0B">
        <w:rPr>
          <w:rFonts w:cs="Guttman Rashi"/>
          <w:rtl/>
          <w:lang w:bidi="he-IL"/>
        </w:rPr>
        <w:t xml:space="preserve"> </w:t>
      </w:r>
      <w:r w:rsidRPr="00400C0B">
        <w:rPr>
          <w:rFonts w:cs="Guttman Rashi" w:hint="eastAsia"/>
          <w:rtl/>
          <w:lang w:bidi="he-IL"/>
        </w:rPr>
        <w:t>שהצריך</w:t>
      </w:r>
      <w:r w:rsidRPr="00400C0B">
        <w:rPr>
          <w:rFonts w:cs="Guttman Rashi"/>
          <w:rtl/>
          <w:lang w:bidi="he-IL"/>
        </w:rPr>
        <w:t xml:space="preserve"> </w:t>
      </w:r>
      <w:r w:rsidRPr="00400C0B">
        <w:rPr>
          <w:rFonts w:cs="Guttman Rashi" w:hint="eastAsia"/>
          <w:rtl/>
          <w:lang w:bidi="he-IL"/>
        </w:rPr>
        <w:t>ליבון</w:t>
      </w:r>
      <w:r w:rsidRPr="00400C0B">
        <w:rPr>
          <w:rFonts w:cs="Guttman Rashi"/>
          <w:rtl/>
          <w:lang w:bidi="he-IL"/>
        </w:rPr>
        <w:t xml:space="preserve"> </w:t>
      </w:r>
      <w:r w:rsidRPr="00400C0B">
        <w:rPr>
          <w:rFonts w:cs="Guttman Rashi" w:hint="eastAsia"/>
          <w:rtl/>
          <w:lang w:bidi="he-IL"/>
        </w:rPr>
        <w:t>חמור</w:t>
      </w:r>
      <w:r w:rsidRPr="00400C0B">
        <w:rPr>
          <w:rFonts w:cs="Guttman Rashi"/>
          <w:rtl/>
          <w:lang w:bidi="he-IL"/>
        </w:rPr>
        <w:t xml:space="preserve"> </w:t>
      </w:r>
      <w:r w:rsidRPr="00400C0B">
        <w:rPr>
          <w:rFonts w:cs="Guttman Rashi" w:hint="eastAsia"/>
          <w:rtl/>
          <w:lang w:bidi="he-IL"/>
        </w:rPr>
        <w:t>לאלו</w:t>
      </w:r>
      <w:r w:rsidRPr="00400C0B">
        <w:rPr>
          <w:rFonts w:cs="Guttman Rashi"/>
          <w:rtl/>
          <w:lang w:bidi="he-IL"/>
        </w:rPr>
        <w:t xml:space="preserve"> </w:t>
      </w:r>
      <w:r w:rsidRPr="00400C0B">
        <w:rPr>
          <w:rFonts w:cs="Guttman Rashi" w:hint="eastAsia"/>
          <w:rtl/>
          <w:lang w:bidi="he-IL"/>
        </w:rPr>
        <w:t>האופין</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כיסוי</w:t>
      </w:r>
      <w:r w:rsidRPr="00400C0B">
        <w:rPr>
          <w:rFonts w:cs="Guttman Rashi"/>
          <w:rtl/>
          <w:lang w:bidi="he-IL"/>
        </w:rPr>
        <w:t xml:space="preserve"> </w:t>
      </w:r>
      <w:r w:rsidRPr="00400C0B">
        <w:rPr>
          <w:rFonts w:cs="Guttman Rashi" w:hint="eastAsia"/>
          <w:rtl/>
          <w:lang w:bidi="he-IL"/>
        </w:rPr>
        <w:t>הקדרה</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דשפיר</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דמיירי</w:t>
      </w:r>
      <w:r w:rsidRPr="00400C0B">
        <w:rPr>
          <w:rFonts w:cs="Guttman Rashi"/>
          <w:rtl/>
          <w:lang w:bidi="he-IL"/>
        </w:rPr>
        <w:t xml:space="preserve"> </w:t>
      </w:r>
      <w:r w:rsidRPr="00400C0B">
        <w:rPr>
          <w:rFonts w:cs="Guttman Rashi" w:hint="eastAsia"/>
          <w:rtl/>
          <w:lang w:bidi="he-IL"/>
        </w:rPr>
        <w:t>בכה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שהניחו</w:t>
      </w:r>
      <w:r w:rsidRPr="00400C0B">
        <w:rPr>
          <w:rFonts w:cs="Guttman Rashi"/>
          <w:rtl/>
          <w:lang w:bidi="he-IL"/>
        </w:rPr>
        <w:t xml:space="preserve"> </w:t>
      </w:r>
      <w:r w:rsidRPr="00400C0B">
        <w:rPr>
          <w:rFonts w:cs="Guttman Rashi" w:hint="eastAsia"/>
          <w:rtl/>
          <w:lang w:bidi="he-IL"/>
        </w:rPr>
        <w:t>הקדרה</w:t>
      </w:r>
      <w:r w:rsidRPr="00400C0B">
        <w:rPr>
          <w:rFonts w:cs="Guttman Rashi"/>
          <w:rtl/>
          <w:lang w:bidi="he-IL"/>
        </w:rPr>
        <w:t xml:space="preserve"> </w:t>
      </w:r>
      <w:r w:rsidRPr="00400C0B">
        <w:rPr>
          <w:rFonts w:cs="Guttman Rashi" w:hint="eastAsia"/>
          <w:rtl/>
          <w:lang w:bidi="he-IL"/>
        </w:rPr>
        <w:t>בתוך</w:t>
      </w:r>
      <w:r w:rsidRPr="00400C0B">
        <w:rPr>
          <w:rFonts w:cs="Guttman Rashi"/>
          <w:rtl/>
          <w:lang w:bidi="he-IL"/>
        </w:rPr>
        <w:t xml:space="preserve"> </w:t>
      </w:r>
      <w:r w:rsidRPr="00400C0B">
        <w:rPr>
          <w:rFonts w:cs="Guttman Rashi" w:hint="eastAsia"/>
          <w:rtl/>
          <w:lang w:bidi="he-IL"/>
        </w:rPr>
        <w:t>התנור</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גביו</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אריכות</w:t>
      </w:r>
      <w:r w:rsidRPr="00400C0B">
        <w:rPr>
          <w:rFonts w:cs="Guttman Rashi"/>
          <w:rtl/>
          <w:lang w:bidi="he-IL"/>
        </w:rPr>
        <w:t xml:space="preserve"> </w:t>
      </w:r>
      <w:r w:rsidRPr="00400C0B">
        <w:rPr>
          <w:rFonts w:cs="Guttman Rashi" w:hint="eastAsia"/>
          <w:rtl/>
          <w:lang w:bidi="he-IL"/>
        </w:rPr>
        <w:t>בכל</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p>
    <w:p w:rsidR="007978F4" w:rsidRPr="00400C0B" w:rsidRDefault="007978F4" w:rsidP="00B80448">
      <w:pPr>
        <w:pStyle w:val="FootnoteText"/>
        <w:bidi/>
        <w:jc w:val="both"/>
        <w:rPr>
          <w:rFonts w:cs="Guttman Rashi"/>
          <w:rtl/>
        </w:rPr>
      </w:pPr>
      <w:r w:rsidRPr="00400C0B">
        <w:rPr>
          <w:rFonts w:cs="Guttman Rashi" w:hint="eastAsia"/>
          <w:rtl/>
          <w:lang w:bidi="he-IL"/>
        </w:rPr>
        <w:t>ומתבאר</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נקודה</w:t>
      </w:r>
      <w:r w:rsidRPr="00400C0B">
        <w:rPr>
          <w:rFonts w:cs="Guttman Rashi"/>
          <w:rtl/>
          <w:lang w:bidi="he-IL"/>
        </w:rPr>
        <w:t xml:space="preserve"> </w:t>
      </w:r>
      <w:r w:rsidRPr="00400C0B">
        <w:rPr>
          <w:rFonts w:cs="Guttman Rashi" w:hint="eastAsia"/>
          <w:rtl/>
          <w:lang w:bidi="he-IL"/>
        </w:rPr>
        <w:t>חשובה</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דמהני</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מדינא</w:t>
      </w:r>
      <w:r w:rsidRPr="00400C0B">
        <w:rPr>
          <w:rFonts w:cs="Guttman Rashi"/>
          <w:rtl/>
          <w:lang w:bidi="he-IL"/>
        </w:rPr>
        <w:t xml:space="preserve"> </w:t>
      </w:r>
      <w:r w:rsidRPr="00400C0B">
        <w:rPr>
          <w:rFonts w:cs="Guttman Rashi" w:hint="eastAsia"/>
          <w:rtl/>
          <w:lang w:bidi="he-IL"/>
        </w:rPr>
        <w:t>דכבולעו</w:t>
      </w:r>
      <w:r w:rsidRPr="00400C0B">
        <w:rPr>
          <w:rFonts w:cs="Guttman Rashi"/>
          <w:rtl/>
          <w:lang w:bidi="he-IL"/>
        </w:rPr>
        <w:t xml:space="preserve"> </w:t>
      </w:r>
      <w:r w:rsidRPr="00400C0B">
        <w:rPr>
          <w:rFonts w:cs="Guttman Rashi" w:hint="eastAsia"/>
          <w:rtl/>
          <w:lang w:bidi="he-IL"/>
        </w:rPr>
        <w:t>כך</w:t>
      </w:r>
      <w:r w:rsidRPr="00400C0B">
        <w:rPr>
          <w:rFonts w:cs="Guttman Rashi"/>
          <w:rtl/>
          <w:lang w:bidi="he-IL"/>
        </w:rPr>
        <w:t xml:space="preserve"> </w:t>
      </w:r>
      <w:r w:rsidRPr="00400C0B">
        <w:rPr>
          <w:rFonts w:cs="Guttman Rashi" w:hint="eastAsia"/>
          <w:rtl/>
          <w:lang w:bidi="he-IL"/>
        </w:rPr>
        <w:t>פולטו</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היותו</w:t>
      </w:r>
      <w:r w:rsidRPr="00400C0B">
        <w:rPr>
          <w:rFonts w:cs="Guttman Rashi"/>
          <w:rtl/>
          <w:lang w:bidi="he-IL"/>
        </w:rPr>
        <w:t xml:space="preserve"> </w:t>
      </w:r>
      <w:r w:rsidRPr="00400C0B">
        <w:rPr>
          <w:rFonts w:cs="Guttman Rashi" w:hint="eastAsia"/>
          <w:rtl/>
          <w:lang w:bidi="he-IL"/>
        </w:rPr>
        <w:t>בולע</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משקין</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בגוש</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משקין</w:t>
      </w:r>
      <w:r w:rsidRPr="00400C0B">
        <w:rPr>
          <w:rFonts w:cs="Guttman Rashi"/>
          <w:rtl/>
          <w:lang w:bidi="he-IL"/>
        </w:rPr>
        <w:t xml:space="preserve"> </w:t>
      </w:r>
      <w:r w:rsidRPr="00400C0B">
        <w:rPr>
          <w:rFonts w:cs="Guttman Rashi" w:hint="eastAsia"/>
          <w:rtl/>
          <w:lang w:bidi="he-IL"/>
        </w:rPr>
        <w:t>וכנ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הכוונה</w:t>
      </w:r>
      <w:r w:rsidRPr="00400C0B">
        <w:rPr>
          <w:rFonts w:cs="Guttman Rashi"/>
          <w:rtl/>
          <w:lang w:bidi="he-IL"/>
        </w:rPr>
        <w:t xml:space="preserve"> </w:t>
      </w:r>
      <w:r w:rsidRPr="00400C0B">
        <w:rPr>
          <w:rFonts w:cs="Guttman Rashi" w:hint="eastAsia"/>
          <w:rtl/>
          <w:lang w:bidi="he-IL"/>
        </w:rPr>
        <w:t>דכבולעו</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האור</w:t>
      </w:r>
      <w:r w:rsidRPr="00400C0B">
        <w:rPr>
          <w:rFonts w:cs="Guttman Rashi"/>
          <w:rtl/>
          <w:lang w:bidi="he-IL"/>
        </w:rPr>
        <w:t xml:space="preserve"> </w:t>
      </w:r>
      <w:r w:rsidRPr="00400C0B">
        <w:rPr>
          <w:rFonts w:cs="Guttman Rashi" w:hint="eastAsia"/>
          <w:rtl/>
          <w:lang w:bidi="he-IL"/>
        </w:rPr>
        <w:t>כך</w:t>
      </w:r>
      <w:r w:rsidRPr="00400C0B">
        <w:rPr>
          <w:rFonts w:cs="Guttman Rashi"/>
          <w:rtl/>
          <w:lang w:bidi="he-IL"/>
        </w:rPr>
        <w:t xml:space="preserve"> </w:t>
      </w:r>
      <w:r w:rsidRPr="00400C0B">
        <w:rPr>
          <w:rFonts w:cs="Guttman Rashi" w:hint="eastAsia"/>
          <w:rtl/>
          <w:lang w:bidi="he-IL"/>
        </w:rPr>
        <w:t>פולטו</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סגי</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sidRPr="00400C0B">
        <w:rPr>
          <w:rFonts w:cs="Guttman Rashi" w:hint="eastAsia"/>
          <w:rtl/>
          <w:lang w:bidi="he-IL"/>
        </w:rPr>
        <w:t>בהגעלה</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מעין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מר</w:t>
      </w:r>
      <w:r w:rsidRPr="00400C0B">
        <w:rPr>
          <w:rFonts w:cs="Guttman Rashi"/>
          <w:rtl/>
          <w:lang w:bidi="he-IL"/>
        </w:rPr>
        <w:t xml:space="preserve">' </w:t>
      </w:r>
      <w:r w:rsidRPr="00400C0B">
        <w:rPr>
          <w:rFonts w:cs="Guttman Rashi" w:hint="eastAsia"/>
          <w:rtl/>
          <w:lang w:bidi="he-IL"/>
        </w:rPr>
        <w:t>דוד</w:t>
      </w:r>
      <w:r w:rsidRPr="00400C0B">
        <w:rPr>
          <w:rFonts w:cs="Guttman Rashi"/>
          <w:rtl/>
          <w:lang w:bidi="he-IL"/>
        </w:rPr>
        <w:t xml:space="preserve"> </w:t>
      </w:r>
      <w:r w:rsidRPr="00400C0B">
        <w:rPr>
          <w:rFonts w:cs="Guttman Rashi" w:hint="eastAsia"/>
          <w:rtl/>
          <w:lang w:bidi="he-IL"/>
        </w:rPr>
        <w:t>בדין</w:t>
      </w:r>
      <w:r w:rsidRPr="00400C0B">
        <w:rPr>
          <w:rFonts w:cs="Guttman Rashi"/>
          <w:rtl/>
          <w:lang w:bidi="he-IL"/>
        </w:rPr>
        <w:t xml:space="preserve"> </w:t>
      </w:r>
      <w:r w:rsidRPr="00400C0B">
        <w:rPr>
          <w:rFonts w:cs="Guttman Rashi" w:hint="eastAsia"/>
          <w:rtl/>
          <w:lang w:bidi="he-IL"/>
        </w:rPr>
        <w:t>העלאת</w:t>
      </w:r>
      <w:r w:rsidRPr="00400C0B">
        <w:rPr>
          <w:rFonts w:cs="Guttman Rashi"/>
          <w:rtl/>
          <w:lang w:bidi="he-IL"/>
        </w:rPr>
        <w:t xml:space="preserve"> </w:t>
      </w:r>
      <w:r w:rsidRPr="00400C0B">
        <w:rPr>
          <w:rFonts w:cs="Guttman Rashi" w:hint="eastAsia"/>
          <w:rtl/>
          <w:lang w:bidi="he-IL"/>
        </w:rPr>
        <w:t>רתיחות</w:t>
      </w:r>
      <w:r w:rsidRPr="00400C0B">
        <w:rPr>
          <w:rFonts w:cs="Guttman Rashi"/>
          <w:rtl/>
          <w:lang w:bidi="he-IL"/>
        </w:rPr>
        <w:t xml:space="preserve">. </w:t>
      </w:r>
      <w:r w:rsidRPr="00400C0B">
        <w:rPr>
          <w:rFonts w:cs="Guttman Rashi" w:hint="eastAsia"/>
          <w:rtl/>
          <w:lang w:bidi="he-IL"/>
        </w:rPr>
        <w:t>ועדיין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שזה</w:t>
      </w:r>
      <w:r w:rsidRPr="00400C0B">
        <w:rPr>
          <w:rFonts w:cs="Guttman Rashi"/>
          <w:rtl/>
          <w:lang w:bidi="he-IL"/>
        </w:rPr>
        <w:t xml:space="preserve"> </w:t>
      </w:r>
      <w:r w:rsidRPr="00400C0B">
        <w:rPr>
          <w:rFonts w:cs="Guttman Rashi" w:hint="eastAsia"/>
          <w:rtl/>
          <w:lang w:bidi="he-IL"/>
        </w:rPr>
        <w:t>מתאים</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שמצאנו</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המרדכי</w:t>
      </w:r>
      <w:r w:rsidRPr="00400C0B">
        <w:rPr>
          <w:rFonts w:cs="Guttman Rashi"/>
          <w:rtl/>
          <w:lang w:bidi="he-IL"/>
        </w:rPr>
        <w:t xml:space="preserve"> </w:t>
      </w:r>
      <w:r w:rsidRPr="00400C0B">
        <w:rPr>
          <w:rFonts w:cs="Guttman Rashi" w:hint="eastAsia"/>
          <w:rtl/>
          <w:lang w:bidi="he-IL"/>
        </w:rPr>
        <w:t>דחימום</w:t>
      </w:r>
      <w:r w:rsidRPr="00400C0B">
        <w:rPr>
          <w:rFonts w:cs="Guttman Rashi"/>
          <w:rtl/>
          <w:lang w:bidi="he-IL"/>
        </w:rPr>
        <w:t xml:space="preserve"> </w:t>
      </w:r>
      <w:r w:rsidRPr="00400C0B">
        <w:rPr>
          <w:rFonts w:cs="Guttman Rashi" w:hint="eastAsia"/>
          <w:rtl/>
          <w:lang w:bidi="he-IL"/>
        </w:rPr>
        <w:t>בלבד</w:t>
      </w:r>
      <w:r w:rsidRPr="00400C0B">
        <w:rPr>
          <w:rFonts w:cs="Guttman Rashi"/>
          <w:rtl/>
          <w:lang w:bidi="he-IL"/>
        </w:rPr>
        <w:t xml:space="preserve"> </w:t>
      </w:r>
      <w:r w:rsidRPr="00400C0B">
        <w:rPr>
          <w:rFonts w:cs="Guttman Rashi" w:hint="eastAsia"/>
          <w:rtl/>
          <w:lang w:bidi="he-IL"/>
        </w:rPr>
        <w:t>בלי</w:t>
      </w:r>
      <w:r w:rsidRPr="00400C0B">
        <w:rPr>
          <w:rFonts w:cs="Guttman Rashi"/>
          <w:rtl/>
          <w:lang w:bidi="he-IL"/>
        </w:rPr>
        <w:t xml:space="preserve"> </w:t>
      </w:r>
      <w:r w:rsidRPr="00400C0B">
        <w:rPr>
          <w:rFonts w:cs="Guttman Rashi" w:hint="eastAsia"/>
          <w:rtl/>
          <w:lang w:bidi="he-IL"/>
        </w:rPr>
        <w:t>משקין</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שקוראים</w:t>
      </w:r>
      <w:r w:rsidRPr="00400C0B">
        <w:rPr>
          <w:rFonts w:cs="Guttman Rashi"/>
          <w:rtl/>
          <w:lang w:bidi="he-IL"/>
        </w:rPr>
        <w:t xml:space="preserve"> </w:t>
      </w:r>
      <w:r w:rsidRPr="00400C0B">
        <w:rPr>
          <w:rFonts w:cs="Guttman Rashi" w:hint="eastAsia"/>
          <w:rtl/>
          <w:lang w:bidi="he-IL"/>
        </w:rPr>
        <w:t>ליבון</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p>
  </w:footnote>
  <w:footnote w:id="51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בתוס</w:t>
      </w:r>
      <w:r w:rsidRPr="00400C0B">
        <w:rPr>
          <w:rFonts w:cs="Guttman Rashi"/>
          <w:rtl/>
          <w:lang w:bidi="he-IL"/>
        </w:rPr>
        <w:t xml:space="preserve">' </w:t>
      </w:r>
      <w:r w:rsidRPr="00400C0B">
        <w:rPr>
          <w:rFonts w:cs="Guttman Rashi" w:hint="eastAsia"/>
          <w:rtl/>
          <w:lang w:bidi="he-IL"/>
        </w:rPr>
        <w:t>במס</w:t>
      </w:r>
      <w:r w:rsidRPr="00400C0B">
        <w:rPr>
          <w:rFonts w:cs="Guttman Rashi"/>
          <w:rtl/>
          <w:lang w:bidi="he-IL"/>
        </w:rPr>
        <w:t xml:space="preserve">' </w:t>
      </w:r>
      <w:r w:rsidRPr="00400C0B">
        <w:rPr>
          <w:rFonts w:cs="Guttman Rashi" w:hint="eastAsia"/>
          <w:rtl/>
          <w:lang w:bidi="he-IL"/>
        </w:rPr>
        <w:t>חולין</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סוד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בשקדם</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שמפורש</w:t>
      </w:r>
      <w:r w:rsidRPr="00400C0B">
        <w:rPr>
          <w:rFonts w:cs="Guttman Rashi"/>
          <w:rtl/>
          <w:lang w:bidi="he-IL"/>
        </w:rPr>
        <w:t xml:space="preserve"> </w:t>
      </w:r>
      <w:r w:rsidRPr="00400C0B">
        <w:rPr>
          <w:rFonts w:cs="Guttman Rashi" w:hint="eastAsia"/>
          <w:rtl/>
          <w:lang w:bidi="he-IL"/>
        </w:rPr>
        <w:t>שהכשירו</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מדיין</w:t>
      </w:r>
      <w:r w:rsidRPr="00400C0B">
        <w:rPr>
          <w:rFonts w:cs="Guttman Rashi"/>
          <w:rtl/>
          <w:lang w:bidi="he-IL"/>
        </w:rPr>
        <w:t xml:space="preserve"> </w:t>
      </w:r>
      <w:r w:rsidRPr="00400C0B">
        <w:rPr>
          <w:rFonts w:cs="Guttman Rashi" w:hint="eastAsia"/>
          <w:rtl/>
          <w:lang w:bidi="he-IL"/>
        </w:rPr>
        <w:t>בהגעלה</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מצאתי</w:t>
      </w:r>
      <w:r w:rsidRPr="00400C0B">
        <w:rPr>
          <w:rFonts w:cs="Guttman Rashi"/>
          <w:rtl/>
          <w:lang w:bidi="he-IL"/>
        </w:rPr>
        <w:t xml:space="preserve"> </w:t>
      </w:r>
      <w:r w:rsidRPr="00400C0B">
        <w:rPr>
          <w:rFonts w:cs="Guttman Rashi" w:hint="eastAsia"/>
          <w:rtl/>
          <w:lang w:bidi="he-IL"/>
        </w:rPr>
        <w:t>בביאור</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באו</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תנ</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סע</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גופא</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דמנין</w:t>
      </w:r>
      <w:r w:rsidRPr="00400C0B">
        <w:rPr>
          <w:rFonts w:cs="Guttman Rashi"/>
          <w:rtl/>
          <w:lang w:bidi="he-IL"/>
        </w:rPr>
        <w:t xml:space="preserve"> </w:t>
      </w:r>
      <w:r w:rsidRPr="00400C0B">
        <w:rPr>
          <w:rFonts w:cs="Guttman Rashi" w:hint="eastAsia"/>
          <w:rtl/>
          <w:lang w:bidi="he-IL"/>
        </w:rPr>
        <w:t>להו</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p>
  </w:footnote>
  <w:footnote w:id="51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ומצאתי</w:t>
      </w:r>
      <w:r w:rsidRPr="00400C0B">
        <w:rPr>
          <w:rFonts w:cs="Guttman Rashi"/>
          <w:rtl/>
          <w:lang w:bidi="he-IL"/>
        </w:rPr>
        <w:t xml:space="preserve"> </w:t>
      </w:r>
      <w:r w:rsidRPr="00400C0B">
        <w:rPr>
          <w:rFonts w:cs="Guttman Rashi" w:hint="eastAsia"/>
          <w:rtl/>
          <w:lang w:bidi="he-IL"/>
        </w:rPr>
        <w:t>לפמ</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דיני</w:t>
      </w:r>
      <w:r w:rsidRPr="00400C0B">
        <w:rPr>
          <w:rFonts w:cs="Guttman Rashi"/>
          <w:rtl/>
          <w:lang w:bidi="he-IL"/>
        </w:rPr>
        <w:t xml:space="preserve"> </w:t>
      </w:r>
      <w:r w:rsidRPr="00400C0B">
        <w:rPr>
          <w:rFonts w:cs="Guttman Rashi" w:hint="eastAsia"/>
          <w:rtl/>
          <w:lang w:bidi="he-IL"/>
        </w:rPr>
        <w:t>וסדר</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בקצרה</w:t>
      </w:r>
      <w:r w:rsidRPr="00400C0B">
        <w:rPr>
          <w:rFonts w:cs="Guttman Rashi"/>
          <w:rtl/>
          <w:lang w:bidi="he-IL"/>
        </w:rPr>
        <w:t xml:space="preserve"> [</w:t>
      </w:r>
      <w:r w:rsidRPr="00400C0B">
        <w:rPr>
          <w:rFonts w:cs="Guttman Rashi" w:hint="eastAsia"/>
          <w:rtl/>
          <w:lang w:bidi="he-IL"/>
        </w:rPr>
        <w:t>לאחר</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תנ</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 </w:t>
      </w:r>
      <w:r w:rsidRPr="00400C0B">
        <w:rPr>
          <w:rFonts w:cs="Guttman Rashi" w:hint="eastAsia"/>
          <w:rtl/>
          <w:lang w:bidi="he-IL"/>
        </w:rPr>
        <w:t>בענין</w:t>
      </w:r>
      <w:r w:rsidRPr="00400C0B">
        <w:rPr>
          <w:rFonts w:cs="Guttman Rashi"/>
          <w:rtl/>
          <w:lang w:bidi="he-IL"/>
        </w:rPr>
        <w:t xml:space="preserve"> </w:t>
      </w:r>
      <w:r w:rsidRPr="00400C0B">
        <w:rPr>
          <w:rFonts w:cs="Guttman Rashi" w:hint="eastAsia"/>
          <w:rtl/>
          <w:lang w:bidi="he-IL"/>
        </w:rPr>
        <w:t>ליבון</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שזהו</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אביגדור</w:t>
      </w:r>
      <w:r w:rsidRPr="00400C0B">
        <w:rPr>
          <w:rFonts w:cs="Guttman Rashi"/>
          <w:rtl/>
          <w:lang w:bidi="he-IL"/>
        </w:rPr>
        <w:t xml:space="preserve"> </w:t>
      </w:r>
      <w:r w:rsidRPr="00400C0B">
        <w:rPr>
          <w:rFonts w:cs="Guttman Rashi" w:hint="eastAsia"/>
          <w:rtl/>
          <w:lang w:bidi="he-IL"/>
        </w:rPr>
        <w:t>המובא</w:t>
      </w:r>
      <w:r w:rsidRPr="00400C0B">
        <w:rPr>
          <w:rFonts w:cs="Guttman Rashi"/>
          <w:rtl/>
          <w:lang w:bidi="he-IL"/>
        </w:rPr>
        <w:t xml:space="preserve"> </w:t>
      </w:r>
      <w:r w:rsidRPr="00400C0B">
        <w:rPr>
          <w:rFonts w:cs="Guttman Rashi" w:hint="eastAsia"/>
          <w:rtl/>
          <w:lang w:bidi="he-IL"/>
        </w:rPr>
        <w:t>בהגהות</w:t>
      </w:r>
      <w:r w:rsidRPr="00400C0B">
        <w:rPr>
          <w:rFonts w:cs="Guttman Rashi"/>
          <w:rtl/>
          <w:lang w:bidi="he-IL"/>
        </w:rPr>
        <w:t xml:space="preserve"> </w:t>
      </w:r>
      <w:r w:rsidRPr="00400C0B">
        <w:rPr>
          <w:rFonts w:cs="Guttman Rashi" w:hint="eastAsia"/>
          <w:rtl/>
          <w:lang w:bidi="he-IL"/>
        </w:rPr>
        <w:t>מיי</w:t>
      </w:r>
      <w:r w:rsidRPr="00400C0B">
        <w:rPr>
          <w:rFonts w:cs="Guttman Rashi"/>
          <w:rtl/>
          <w:lang w:bidi="he-IL"/>
        </w:rPr>
        <w:t xml:space="preserve"> </w:t>
      </w:r>
      <w:r w:rsidRPr="00400C0B">
        <w:rPr>
          <w:rFonts w:cs="Guttman Rashi" w:hint="eastAsia"/>
          <w:rtl/>
          <w:lang w:bidi="he-IL"/>
        </w:rPr>
        <w:t>פי</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w:t>
      </w:r>
    </w:p>
  </w:footnote>
  <w:footnote w:id="51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והמצוין</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Ref486326144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127</w:t>
      </w:r>
      <w:r w:rsidRPr="00400C0B">
        <w:rPr>
          <w:rFonts w:cs="Guttman Rashi"/>
          <w:rtl/>
          <w:lang w:bidi="he-IL"/>
        </w:rPr>
        <w:fldChar w:fldCharType="end"/>
      </w:r>
      <w:r w:rsidRPr="00400C0B">
        <w:rPr>
          <w:rFonts w:cs="Guttman Rashi"/>
          <w:rtl/>
          <w:lang w:bidi="he-IL"/>
        </w:rPr>
        <w:t>.</w:t>
      </w:r>
    </w:p>
  </w:footnote>
  <w:footnote w:id="52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וזהו</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חידוש</w:t>
      </w:r>
      <w:r w:rsidRPr="00400C0B">
        <w:rPr>
          <w:rFonts w:cs="Guttman Rashi"/>
          <w:rtl/>
          <w:lang w:bidi="he-IL"/>
        </w:rPr>
        <w:t xml:space="preserve"> </w:t>
      </w:r>
      <w:r w:rsidRPr="00400C0B">
        <w:rPr>
          <w:rFonts w:cs="Guttman Rashi" w:hint="eastAsia"/>
          <w:rtl/>
          <w:lang w:bidi="he-IL"/>
        </w:rPr>
        <w:t>שמותר</w:t>
      </w:r>
      <w:r w:rsidRPr="00400C0B">
        <w:rPr>
          <w:rFonts w:cs="Guttman Rashi"/>
          <w:rtl/>
          <w:lang w:bidi="he-IL"/>
        </w:rPr>
        <w:t xml:space="preserve"> </w:t>
      </w:r>
      <w:r w:rsidRPr="00400C0B">
        <w:rPr>
          <w:rFonts w:cs="Guttman Rashi" w:hint="eastAsia"/>
          <w:rtl/>
          <w:lang w:bidi="he-IL"/>
        </w:rPr>
        <w:t>להשתמש</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צונן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ידוע</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משהו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w:t>
      </w:r>
    </w:p>
  </w:footnote>
  <w:footnote w:id="52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קכ</w:t>
      </w:r>
      <w:r w:rsidRPr="00400C0B">
        <w:rPr>
          <w:rFonts w:cs="Guttman Rashi"/>
          <w:rtl/>
          <w:lang w:bidi="he-IL"/>
        </w:rPr>
        <w:t>"</w:t>
      </w:r>
      <w:r w:rsidRPr="00400C0B">
        <w:rPr>
          <w:rFonts w:cs="Guttman Rashi" w:hint="eastAsia"/>
          <w:rtl/>
          <w:lang w:bidi="he-IL"/>
        </w:rPr>
        <w:t>ו</w:t>
      </w:r>
      <w:r w:rsidRPr="00400C0B">
        <w:rPr>
          <w:rFonts w:cs="Guttman Rashi"/>
          <w:rtl/>
          <w:lang w:bidi="he-IL"/>
        </w:rPr>
        <w:t>.</w:t>
      </w:r>
    </w:p>
  </w:footnote>
  <w:footnote w:id="52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להדגיש</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התירו</w:t>
      </w:r>
      <w:r w:rsidRPr="00400C0B">
        <w:rPr>
          <w:rFonts w:cs="Guttman Rashi"/>
          <w:rtl/>
          <w:lang w:bidi="he-IL"/>
        </w:rPr>
        <w:t xml:space="preserve"> </w:t>
      </w:r>
      <w:r w:rsidRPr="00400C0B">
        <w:rPr>
          <w:rFonts w:cs="Guttman Rashi" w:hint="eastAsia"/>
          <w:rtl/>
          <w:lang w:bidi="he-IL"/>
        </w:rPr>
        <w:t>להשתמש</w:t>
      </w:r>
      <w:r w:rsidRPr="00400C0B">
        <w:rPr>
          <w:rFonts w:cs="Guttman Rashi"/>
          <w:rtl/>
          <w:lang w:bidi="he-IL"/>
        </w:rPr>
        <w:t xml:space="preserve"> </w:t>
      </w:r>
      <w:r w:rsidRPr="00400C0B">
        <w:rPr>
          <w:rFonts w:cs="Guttman Rashi" w:hint="eastAsia"/>
          <w:rtl/>
          <w:lang w:bidi="he-IL"/>
        </w:rPr>
        <w:t>חמין</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חרס</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בכל</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חרס</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לרי</w:t>
      </w:r>
      <w:r w:rsidRPr="00400C0B">
        <w:rPr>
          <w:rFonts w:cs="Guttman Rashi"/>
          <w:rtl/>
          <w:lang w:bidi="he-IL"/>
        </w:rPr>
        <w:t>"</w:t>
      </w:r>
      <w:r w:rsidRPr="00400C0B">
        <w:rPr>
          <w:rFonts w:cs="Guttman Rashi" w:hint="eastAsia"/>
          <w:rtl/>
          <w:lang w:bidi="he-IL"/>
        </w:rPr>
        <w:t>ף</w:t>
      </w:r>
      <w:r w:rsidRPr="00400C0B">
        <w:rPr>
          <w:rFonts w:cs="Guttman Rashi"/>
          <w:rtl/>
          <w:lang w:bidi="he-IL"/>
        </w:rPr>
        <w:t xml:space="preserve"> </w:t>
      </w:r>
      <w:r w:rsidRPr="00400C0B">
        <w:rPr>
          <w:rFonts w:cs="Guttman Rashi" w:hint="eastAsia"/>
          <w:rtl/>
          <w:lang w:bidi="he-IL"/>
        </w:rPr>
        <w:t>ועוד</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השתמשו</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חמץ</w:t>
      </w:r>
      <w:r w:rsidRPr="00400C0B">
        <w:rPr>
          <w:rFonts w:cs="Guttman Rashi"/>
          <w:rtl/>
          <w:lang w:bidi="he-IL"/>
        </w:rPr>
        <w:t xml:space="preserve"> </w:t>
      </w:r>
      <w:r w:rsidRPr="00400C0B">
        <w:rPr>
          <w:rFonts w:cs="Guttman Rashi" w:hint="eastAsia"/>
          <w:rtl/>
          <w:lang w:bidi="he-IL"/>
        </w:rPr>
        <w:t>בצונן</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להשתמש</w:t>
      </w:r>
      <w:r w:rsidRPr="00400C0B">
        <w:rPr>
          <w:rFonts w:cs="Guttman Rashi"/>
          <w:rtl/>
          <w:lang w:bidi="he-IL"/>
        </w:rPr>
        <w:t xml:space="preserve"> </w:t>
      </w:r>
      <w:r w:rsidRPr="00400C0B">
        <w:rPr>
          <w:rFonts w:cs="Guttman Rashi" w:hint="eastAsia"/>
          <w:rtl/>
          <w:lang w:bidi="he-IL"/>
        </w:rPr>
        <w:t>בו</w:t>
      </w:r>
      <w:r w:rsidRPr="00400C0B">
        <w:rPr>
          <w:rFonts w:cs="Guttman Rashi"/>
          <w:rtl/>
          <w:lang w:bidi="he-IL"/>
        </w:rPr>
        <w:t xml:space="preserve"> </w:t>
      </w:r>
      <w:r w:rsidRPr="00400C0B">
        <w:rPr>
          <w:rFonts w:cs="Guttman Rashi" w:hint="eastAsia"/>
          <w:rtl/>
          <w:lang w:bidi="he-IL"/>
        </w:rPr>
        <w:t>מצה</w:t>
      </w:r>
      <w:r w:rsidRPr="00400C0B">
        <w:rPr>
          <w:rFonts w:cs="Guttman Rashi"/>
          <w:rtl/>
          <w:lang w:bidi="he-IL"/>
        </w:rPr>
        <w:t xml:space="preserve"> </w:t>
      </w:r>
      <w:r w:rsidRPr="00400C0B">
        <w:rPr>
          <w:rFonts w:cs="Guttman Rashi" w:hint="eastAsia"/>
          <w:rtl/>
          <w:lang w:bidi="he-IL"/>
        </w:rPr>
        <w:t>צונן</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חמין</w:t>
      </w:r>
      <w:r w:rsidRPr="00400C0B">
        <w:rPr>
          <w:rFonts w:cs="Guttman Rashi"/>
          <w:rtl/>
          <w:lang w:bidi="he-IL"/>
        </w:rPr>
        <w:t xml:space="preserve">. </w:t>
      </w:r>
      <w:r w:rsidRPr="00400C0B">
        <w:rPr>
          <w:rFonts w:cs="Guttman Rashi" w:hint="eastAsia"/>
          <w:rtl/>
          <w:lang w:bidi="he-IL"/>
        </w:rPr>
        <w:t>ומבואר</w:t>
      </w:r>
      <w:r w:rsidRPr="00400C0B">
        <w:rPr>
          <w:rFonts w:cs="Guttman Rashi"/>
          <w:rtl/>
          <w:lang w:bidi="he-IL"/>
        </w:rPr>
        <w:t xml:space="preserve"> </w:t>
      </w:r>
      <w:r w:rsidRPr="00400C0B">
        <w:rPr>
          <w:rFonts w:cs="Guttman Rashi" w:hint="eastAsia"/>
          <w:rtl/>
          <w:lang w:bidi="he-IL"/>
        </w:rPr>
        <w:t>דסתם</w:t>
      </w:r>
      <w:r w:rsidRPr="00400C0B">
        <w:rPr>
          <w:rFonts w:cs="Guttman Rashi"/>
          <w:rtl/>
          <w:lang w:bidi="he-IL"/>
        </w:rPr>
        <w:t xml:space="preserve"> </w:t>
      </w:r>
      <w:r w:rsidRPr="00400C0B">
        <w:rPr>
          <w:rFonts w:cs="Guttman Rashi" w:hint="eastAsia"/>
          <w:rtl/>
          <w:lang w:bidi="he-IL"/>
        </w:rPr>
        <w:t>עיסת</w:t>
      </w:r>
      <w:r w:rsidRPr="00400C0B">
        <w:rPr>
          <w:rFonts w:cs="Guttman Rashi"/>
          <w:rtl/>
          <w:lang w:bidi="he-IL"/>
        </w:rPr>
        <w:t xml:space="preserve"> </w:t>
      </w:r>
      <w:r w:rsidRPr="00400C0B">
        <w:rPr>
          <w:rFonts w:cs="Guttman Rashi" w:hint="eastAsia"/>
          <w:rtl/>
          <w:lang w:bidi="he-IL"/>
        </w:rPr>
        <w:t>חמץ</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נלבע</w:t>
      </w:r>
      <w:r w:rsidRPr="00400C0B">
        <w:rPr>
          <w:rFonts w:cs="Guttman Rashi"/>
          <w:rtl/>
          <w:lang w:bidi="he-IL"/>
        </w:rPr>
        <w:t xml:space="preserve"> </w:t>
      </w:r>
      <w:r w:rsidRPr="00400C0B">
        <w:rPr>
          <w:rFonts w:cs="Guttman Rashi" w:hint="eastAsia"/>
          <w:rtl/>
          <w:lang w:bidi="he-IL"/>
        </w:rPr>
        <w:t>בצונן</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ישתמש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לאחר</w:t>
      </w:r>
      <w:r w:rsidRPr="00400C0B">
        <w:rPr>
          <w:rFonts w:cs="Guttman Rashi"/>
          <w:rtl/>
          <w:lang w:bidi="he-IL"/>
        </w:rPr>
        <w:t xml:space="preserve"> </w:t>
      </w:r>
      <w:r w:rsidRPr="00400C0B">
        <w:rPr>
          <w:rFonts w:cs="Guttman Rashi" w:hint="eastAsia"/>
          <w:rtl/>
          <w:lang w:bidi="he-IL"/>
        </w:rPr>
        <w:t>מכן</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בחמין</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שנבלע</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צונן</w:t>
      </w:r>
      <w:r w:rsidRPr="00400C0B">
        <w:rPr>
          <w:rFonts w:cs="Guttman Rashi"/>
          <w:rtl/>
          <w:lang w:bidi="he-IL"/>
        </w:rPr>
        <w:t xml:space="preserve">, </w:t>
      </w:r>
      <w:r w:rsidRPr="00400C0B">
        <w:rPr>
          <w:rFonts w:cs="Guttman Rashi" w:hint="eastAsia"/>
          <w:rtl/>
          <w:lang w:bidi="he-IL"/>
        </w:rPr>
        <w:t>יוצא</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משתמש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חמין</w:t>
      </w:r>
      <w:r w:rsidRPr="00400C0B">
        <w:rPr>
          <w:rFonts w:cs="Guttman Rashi"/>
          <w:rtl/>
          <w:lang w:bidi="he-IL"/>
        </w:rPr>
        <w:t xml:space="preserve"> </w:t>
      </w:r>
      <w:r w:rsidRPr="00400C0B">
        <w:rPr>
          <w:rFonts w:cs="Guttman Rashi" w:hint="eastAsia"/>
          <w:rtl/>
          <w:lang w:bidi="he-IL"/>
        </w:rPr>
        <w:t>לאחר</w:t>
      </w:r>
      <w:r w:rsidRPr="00400C0B">
        <w:rPr>
          <w:rFonts w:cs="Guttman Rashi"/>
          <w:rtl/>
          <w:lang w:bidi="he-IL"/>
        </w:rPr>
        <w:t xml:space="preserve"> </w:t>
      </w:r>
      <w:r w:rsidRPr="00400C0B">
        <w:rPr>
          <w:rFonts w:cs="Guttman Rashi" w:hint="eastAsia"/>
          <w:rtl/>
          <w:lang w:bidi="he-IL"/>
        </w:rPr>
        <w:t>מכן</w:t>
      </w:r>
      <w:r w:rsidRPr="00400C0B">
        <w:rPr>
          <w:rFonts w:cs="Guttman Rashi"/>
          <w:rtl/>
          <w:lang w:bidi="he-IL"/>
        </w:rPr>
        <w:t xml:space="preserve"> </w:t>
      </w:r>
      <w:r w:rsidRPr="00400C0B">
        <w:rPr>
          <w:rFonts w:cs="Guttman Rashi" w:hint="eastAsia"/>
          <w:rtl/>
          <w:lang w:bidi="he-IL"/>
        </w:rPr>
        <w:t>יאסר</w:t>
      </w:r>
      <w:r w:rsidRPr="00400C0B">
        <w:rPr>
          <w:rFonts w:cs="Guttman Rashi"/>
          <w:rtl/>
          <w:lang w:bidi="he-IL"/>
        </w:rPr>
        <w:t xml:space="preserve"> </w:t>
      </w:r>
      <w:r w:rsidRPr="00400C0B">
        <w:rPr>
          <w:rFonts w:cs="Guttman Rashi" w:hint="eastAsia"/>
          <w:rtl/>
          <w:lang w:bidi="he-IL"/>
        </w:rPr>
        <w:t>התבשיל</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התירו</w:t>
      </w:r>
      <w:r w:rsidRPr="00400C0B">
        <w:rPr>
          <w:rFonts w:cs="Guttman Rashi"/>
          <w:rtl/>
          <w:lang w:bidi="he-IL"/>
        </w:rPr>
        <w:t xml:space="preserve"> </w:t>
      </w:r>
      <w:r w:rsidRPr="00400C0B">
        <w:rPr>
          <w:rFonts w:cs="Guttman Rashi" w:hint="eastAsia"/>
          <w:rtl/>
          <w:lang w:bidi="he-IL"/>
        </w:rPr>
        <w:t>צונן</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גזרו</w:t>
      </w:r>
      <w:r w:rsidRPr="00400C0B">
        <w:rPr>
          <w:rFonts w:cs="Guttman Rashi"/>
          <w:rtl/>
          <w:lang w:bidi="he-IL"/>
        </w:rPr>
        <w:t xml:space="preserve"> </w:t>
      </w:r>
      <w:r w:rsidRPr="00400C0B">
        <w:rPr>
          <w:rFonts w:cs="Guttman Rashi" w:hint="eastAsia"/>
          <w:rtl/>
          <w:lang w:bidi="he-IL"/>
        </w:rPr>
        <w:t>אטו</w:t>
      </w:r>
      <w:r w:rsidRPr="00400C0B">
        <w:rPr>
          <w:rFonts w:cs="Guttman Rashi"/>
          <w:rtl/>
          <w:lang w:bidi="he-IL"/>
        </w:rPr>
        <w:t xml:space="preserve"> </w:t>
      </w:r>
      <w:r w:rsidRPr="00400C0B">
        <w:rPr>
          <w:rFonts w:cs="Guttman Rashi" w:hint="eastAsia"/>
          <w:rtl/>
          <w:lang w:bidi="he-IL"/>
        </w:rPr>
        <w:t>שימוש</w:t>
      </w:r>
      <w:r w:rsidRPr="00400C0B">
        <w:rPr>
          <w:rFonts w:cs="Guttman Rashi"/>
          <w:rtl/>
          <w:lang w:bidi="he-IL"/>
        </w:rPr>
        <w:t xml:space="preserve"> </w:t>
      </w:r>
      <w:r w:rsidRPr="00400C0B">
        <w:rPr>
          <w:rFonts w:cs="Guttman Rashi" w:hint="eastAsia"/>
          <w:rtl/>
          <w:lang w:bidi="he-IL"/>
        </w:rPr>
        <w:t>בחמין</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חרס</w:t>
      </w:r>
      <w:r w:rsidRPr="00400C0B">
        <w:rPr>
          <w:rFonts w:cs="Guttman Rashi"/>
          <w:rtl/>
          <w:lang w:bidi="he-IL"/>
        </w:rPr>
        <w:t xml:space="preserve"> </w:t>
      </w:r>
      <w:r w:rsidRPr="00400C0B">
        <w:rPr>
          <w:rFonts w:cs="Guttman Rashi" w:hint="eastAsia"/>
          <w:rtl/>
          <w:lang w:bidi="he-IL"/>
        </w:rPr>
        <w:t>שבלע</w:t>
      </w:r>
      <w:r w:rsidRPr="00400C0B">
        <w:rPr>
          <w:rFonts w:cs="Guttman Rashi"/>
          <w:rtl/>
          <w:lang w:bidi="he-IL"/>
        </w:rPr>
        <w:t xml:space="preserve"> </w:t>
      </w:r>
      <w:r w:rsidRPr="00400C0B">
        <w:rPr>
          <w:rFonts w:cs="Guttman Rashi" w:hint="eastAsia"/>
          <w:rtl/>
          <w:lang w:bidi="he-IL"/>
        </w:rPr>
        <w:t>בחמין</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דהוא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בלע</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בצונן</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הכשר</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חרס</w:t>
      </w:r>
      <w:r w:rsidRPr="00400C0B">
        <w:rPr>
          <w:rFonts w:cs="Guttman Rashi"/>
          <w:rtl/>
          <w:lang w:bidi="he-IL"/>
        </w:rPr>
        <w:t xml:space="preserve">, </w:t>
      </w:r>
      <w:r w:rsidRPr="00400C0B">
        <w:rPr>
          <w:rFonts w:cs="Guttman Rashi" w:hint="eastAsia"/>
          <w:rtl/>
          <w:lang w:bidi="he-IL"/>
        </w:rPr>
        <w:t>וכדמבואר</w:t>
      </w:r>
      <w:r w:rsidRPr="00400C0B">
        <w:rPr>
          <w:rFonts w:cs="Guttman Rashi"/>
          <w:rtl/>
          <w:lang w:bidi="he-IL"/>
        </w:rPr>
        <w:t xml:space="preserve"> </w:t>
      </w:r>
      <w:r w:rsidRPr="00400C0B">
        <w:rPr>
          <w:rFonts w:cs="Guttman Rashi" w:hint="eastAsia"/>
          <w:rtl/>
          <w:lang w:bidi="he-IL"/>
        </w:rPr>
        <w:t>בסי</w:t>
      </w:r>
      <w:r w:rsidRPr="00400C0B">
        <w:rPr>
          <w:rFonts w:cs="Guttman Rashi"/>
          <w:rtl/>
          <w:lang w:bidi="he-IL"/>
        </w:rPr>
        <w:t xml:space="preserve">' </w:t>
      </w:r>
      <w:r w:rsidRPr="00400C0B">
        <w:rPr>
          <w:rFonts w:cs="Guttman Rashi" w:hint="eastAsia"/>
          <w:rtl/>
          <w:lang w:bidi="he-IL"/>
        </w:rPr>
        <w:t>תנ</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סע</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ומשו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גזרו</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גזרו</w:t>
      </w:r>
      <w:r w:rsidRPr="00400C0B">
        <w:rPr>
          <w:rFonts w:cs="Guttman Rashi"/>
          <w:rtl/>
          <w:lang w:bidi="he-IL"/>
        </w:rPr>
        <w:t xml:space="preserve"> </w:t>
      </w:r>
      <w:r w:rsidRPr="00400C0B">
        <w:rPr>
          <w:rFonts w:cs="Guttman Rashi" w:hint="eastAsia"/>
          <w:rtl/>
          <w:lang w:bidi="he-IL"/>
        </w:rPr>
        <w:t>במתכת</w:t>
      </w:r>
      <w:r w:rsidRPr="00400C0B">
        <w:rPr>
          <w:rFonts w:cs="Guttman Rashi"/>
          <w:rtl/>
          <w:lang w:bidi="he-IL"/>
        </w:rPr>
        <w:t xml:space="preserve"> </w:t>
      </w:r>
      <w:r w:rsidRPr="00400C0B">
        <w:rPr>
          <w:rFonts w:cs="Guttman Rashi" w:hint="eastAsia"/>
          <w:rtl/>
          <w:lang w:bidi="he-IL"/>
        </w:rPr>
        <w:t>וכמש</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p>
  </w:footnote>
  <w:footnote w:id="52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בבד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שס</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במהדו</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w:t>
      </w:r>
      <w:r w:rsidRPr="00400C0B">
        <w:rPr>
          <w:rFonts w:cs="Guttman Rashi" w:hint="eastAsia"/>
          <w:rtl/>
          <w:lang w:bidi="he-IL"/>
        </w:rPr>
        <w:t>ק</w:t>
      </w:r>
      <w:r w:rsidRPr="00400C0B">
        <w:rPr>
          <w:rFonts w:cs="Guttman Rashi"/>
          <w:rtl/>
          <w:lang w:bidi="he-IL"/>
        </w:rPr>
        <w:t>.</w:t>
      </w:r>
    </w:p>
  </w:footnote>
  <w:footnote w:id="52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במשמרת</w:t>
      </w:r>
      <w:r w:rsidRPr="00400C0B">
        <w:rPr>
          <w:rFonts w:cs="Guttman Rashi"/>
          <w:rtl/>
          <w:lang w:bidi="he-IL"/>
        </w:rPr>
        <w:t xml:space="preserve"> </w:t>
      </w:r>
      <w:r w:rsidRPr="00400C0B">
        <w:rPr>
          <w:rFonts w:cs="Guttman Rashi" w:hint="eastAsia"/>
          <w:rtl/>
          <w:lang w:bidi="he-IL"/>
        </w:rPr>
        <w:t>הבית</w:t>
      </w:r>
      <w:r w:rsidRPr="00400C0B">
        <w:rPr>
          <w:rFonts w:cs="Guttman Rashi"/>
          <w:rtl/>
          <w:lang w:bidi="he-IL"/>
        </w:rPr>
        <w:t>.</w:t>
      </w:r>
    </w:p>
  </w:footnote>
  <w:footnote w:id="52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שהמתכת</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הסכין</w:t>
      </w:r>
      <w:r w:rsidRPr="00400C0B">
        <w:rPr>
          <w:rFonts w:cs="Guttman Rashi"/>
          <w:rtl/>
          <w:lang w:bidi="he-IL"/>
        </w:rPr>
        <w:t xml:space="preserve"> </w:t>
      </w:r>
      <w:r w:rsidRPr="00400C0B">
        <w:rPr>
          <w:rFonts w:cs="Guttman Rashi" w:hint="eastAsia"/>
          <w:rtl/>
          <w:lang w:bidi="he-IL"/>
        </w:rPr>
        <w:t>נכנס</w:t>
      </w:r>
      <w:r w:rsidRPr="00400C0B">
        <w:rPr>
          <w:rFonts w:cs="Guttman Rashi"/>
          <w:rtl/>
          <w:lang w:bidi="he-IL"/>
        </w:rPr>
        <w:t xml:space="preserve"> </w:t>
      </w:r>
      <w:r w:rsidRPr="00400C0B">
        <w:rPr>
          <w:rFonts w:cs="Guttman Rashi" w:hint="eastAsia"/>
          <w:rtl/>
          <w:lang w:bidi="he-IL"/>
        </w:rPr>
        <w:t>לתוך</w:t>
      </w:r>
      <w:r w:rsidRPr="00400C0B">
        <w:rPr>
          <w:rFonts w:cs="Guttman Rashi"/>
          <w:rtl/>
          <w:lang w:bidi="he-IL"/>
        </w:rPr>
        <w:t xml:space="preserve"> </w:t>
      </w:r>
      <w:r w:rsidRPr="00400C0B">
        <w:rPr>
          <w:rFonts w:cs="Guttman Rashi" w:hint="eastAsia"/>
          <w:rtl/>
          <w:lang w:bidi="he-IL"/>
        </w:rPr>
        <w:t>הקתא</w:t>
      </w:r>
      <w:r w:rsidRPr="00400C0B">
        <w:rPr>
          <w:rFonts w:cs="Guttman Rashi"/>
          <w:rtl/>
          <w:lang w:bidi="he-IL"/>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בתוכה</w:t>
      </w:r>
      <w:r w:rsidRPr="00400C0B">
        <w:rPr>
          <w:rFonts w:cs="Guttman Rashi"/>
          <w:rtl/>
          <w:lang w:bidi="he-IL"/>
        </w:rPr>
        <w:t xml:space="preserve"> </w:t>
      </w:r>
      <w:r w:rsidRPr="00400C0B">
        <w:rPr>
          <w:rFonts w:cs="Guttman Rashi" w:hint="eastAsia"/>
          <w:rtl/>
          <w:lang w:bidi="he-IL"/>
        </w:rPr>
        <w:t>בליעות</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משתמש</w:t>
      </w:r>
      <w:r w:rsidRPr="00400C0B">
        <w:rPr>
          <w:rFonts w:cs="Guttman Rashi"/>
          <w:rtl/>
          <w:lang w:bidi="he-IL"/>
        </w:rPr>
        <w:t xml:space="preserve"> </w:t>
      </w:r>
      <w:r w:rsidRPr="00400C0B">
        <w:rPr>
          <w:rFonts w:cs="Guttman Rashi" w:hint="eastAsia"/>
          <w:rtl/>
          <w:lang w:bidi="he-IL"/>
        </w:rPr>
        <w:t>בקתא</w:t>
      </w:r>
      <w:r w:rsidRPr="00400C0B">
        <w:rPr>
          <w:rFonts w:cs="Guttman Rashi"/>
          <w:rtl/>
          <w:lang w:bidi="he-IL"/>
        </w:rPr>
        <w:t xml:space="preserve"> </w:t>
      </w:r>
      <w:r w:rsidRPr="00400C0B">
        <w:rPr>
          <w:rFonts w:cs="Guttman Rashi" w:hint="eastAsia"/>
          <w:rtl/>
          <w:lang w:bidi="he-IL"/>
        </w:rPr>
        <w:t>ברותחין</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בדיכת</w:t>
      </w:r>
      <w:r w:rsidRPr="00400C0B">
        <w:rPr>
          <w:rFonts w:cs="Guttman Rashi"/>
          <w:rtl/>
          <w:lang w:bidi="he-IL"/>
        </w:rPr>
        <w:t xml:space="preserve"> </w:t>
      </w:r>
      <w:r w:rsidRPr="00400C0B">
        <w:rPr>
          <w:rFonts w:cs="Guttman Rashi" w:hint="eastAsia"/>
          <w:rtl/>
          <w:lang w:bidi="he-IL"/>
        </w:rPr>
        <w:t>דברים</w:t>
      </w:r>
      <w:r w:rsidRPr="00400C0B">
        <w:rPr>
          <w:rFonts w:cs="Guttman Rashi"/>
          <w:rtl/>
          <w:lang w:bidi="he-IL"/>
        </w:rPr>
        <w:t xml:space="preserve"> </w:t>
      </w:r>
      <w:r w:rsidRPr="00400C0B">
        <w:rPr>
          <w:rFonts w:cs="Guttman Rashi" w:hint="eastAsia"/>
          <w:rtl/>
          <w:lang w:bidi="he-IL"/>
        </w:rPr>
        <w:t>חריפים</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דברים</w:t>
      </w:r>
      <w:r w:rsidRPr="00400C0B">
        <w:rPr>
          <w:rFonts w:cs="Guttman Rashi"/>
          <w:rtl/>
          <w:lang w:bidi="he-IL"/>
        </w:rPr>
        <w:t xml:space="preserve"> </w:t>
      </w:r>
      <w:r w:rsidRPr="00400C0B">
        <w:rPr>
          <w:rFonts w:cs="Guttman Rashi" w:hint="eastAsia"/>
          <w:rtl/>
          <w:lang w:bidi="he-IL"/>
        </w:rPr>
        <w:t>חמן</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המתכת</w:t>
      </w:r>
      <w:r w:rsidRPr="00400C0B">
        <w:rPr>
          <w:rFonts w:cs="Guttman Rashi"/>
          <w:rtl/>
          <w:lang w:bidi="he-IL"/>
        </w:rPr>
        <w:t xml:space="preserve"> </w:t>
      </w:r>
      <w:r w:rsidRPr="00400C0B">
        <w:rPr>
          <w:rFonts w:cs="Guttman Rashi" w:hint="eastAsia"/>
          <w:rtl/>
          <w:lang w:bidi="he-IL"/>
        </w:rPr>
        <w:t>שבתוך</w:t>
      </w:r>
      <w:r w:rsidRPr="00400C0B">
        <w:rPr>
          <w:rFonts w:cs="Guttman Rashi"/>
          <w:rtl/>
          <w:lang w:bidi="he-IL"/>
        </w:rPr>
        <w:t xml:space="preserve"> </w:t>
      </w:r>
      <w:r w:rsidRPr="00400C0B">
        <w:rPr>
          <w:rFonts w:cs="Guttman Rashi" w:hint="eastAsia"/>
          <w:rtl/>
          <w:lang w:bidi="he-IL"/>
        </w:rPr>
        <w:t>הקתא</w:t>
      </w:r>
      <w:r w:rsidRPr="00400C0B">
        <w:rPr>
          <w:rFonts w:cs="Guttman Rashi"/>
          <w:rtl/>
          <w:lang w:bidi="he-IL"/>
        </w:rPr>
        <w:t xml:space="preserve"> </w:t>
      </w:r>
      <w:r w:rsidRPr="00400C0B">
        <w:rPr>
          <w:rFonts w:cs="Guttman Rashi" w:hint="eastAsia"/>
          <w:rtl/>
          <w:lang w:bidi="he-IL"/>
        </w:rPr>
        <w:t>משפיע</w:t>
      </w:r>
      <w:r w:rsidRPr="00400C0B">
        <w:rPr>
          <w:rFonts w:cs="Guttman Rashi"/>
          <w:rtl/>
          <w:lang w:bidi="he-IL"/>
        </w:rPr>
        <w:t xml:space="preserve"> </w:t>
      </w:r>
      <w:r w:rsidRPr="00400C0B">
        <w:rPr>
          <w:rFonts w:cs="Guttman Rashi" w:hint="eastAsia"/>
          <w:rtl/>
          <w:lang w:bidi="he-IL"/>
        </w:rPr>
        <w:t>עך</w:t>
      </w:r>
      <w:r w:rsidRPr="00400C0B">
        <w:rPr>
          <w:rFonts w:cs="Guttman Rashi"/>
          <w:rtl/>
          <w:lang w:bidi="he-IL"/>
        </w:rPr>
        <w:t xml:space="preserve"> </w:t>
      </w:r>
      <w:r w:rsidRPr="00400C0B">
        <w:rPr>
          <w:rFonts w:cs="Guttman Rashi" w:hint="eastAsia"/>
          <w:rtl/>
          <w:lang w:bidi="he-IL"/>
        </w:rPr>
        <w:t>האוכל</w:t>
      </w:r>
      <w:r w:rsidRPr="00400C0B">
        <w:rPr>
          <w:rFonts w:cs="Guttman Rashi"/>
          <w:rtl/>
          <w:lang w:bidi="he-IL"/>
        </w:rPr>
        <w:t xml:space="preserve">. </w:t>
      </w:r>
    </w:p>
  </w:footnote>
  <w:footnote w:id="52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היתירא</w:t>
      </w:r>
      <w:r w:rsidRPr="00400C0B">
        <w:rPr>
          <w:rFonts w:cs="Guttman Rashi"/>
          <w:rtl/>
          <w:lang w:bidi="he-IL"/>
        </w:rPr>
        <w:t xml:space="preserve"> </w:t>
      </w:r>
      <w:r w:rsidRPr="00400C0B">
        <w:rPr>
          <w:rFonts w:cs="Guttman Rashi" w:hint="eastAsia"/>
          <w:rtl/>
          <w:lang w:bidi="he-IL"/>
        </w:rPr>
        <w:t>בלע</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לכולי</w:t>
      </w:r>
      <w:r w:rsidRPr="00400C0B">
        <w:rPr>
          <w:rFonts w:cs="Guttman Rashi"/>
          <w:rtl/>
          <w:lang w:bidi="he-IL"/>
        </w:rPr>
        <w:t xml:space="preserve"> </w:t>
      </w:r>
      <w:r w:rsidRPr="00400C0B">
        <w:rPr>
          <w:rFonts w:cs="Guttman Rashi" w:hint="eastAsia"/>
          <w:rtl/>
          <w:lang w:bidi="he-IL"/>
        </w:rPr>
        <w:t>עלמא</w:t>
      </w:r>
      <w:r w:rsidRPr="00400C0B">
        <w:rPr>
          <w:rFonts w:cs="Guttman Rashi"/>
          <w:rtl/>
          <w:lang w:bidi="he-IL"/>
        </w:rPr>
        <w:t xml:space="preserve">, </w:t>
      </w:r>
      <w:r w:rsidRPr="00400C0B">
        <w:rPr>
          <w:rFonts w:cs="Guttman Rashi" w:hint="eastAsia"/>
          <w:rtl/>
          <w:lang w:bidi="he-IL"/>
        </w:rPr>
        <w:t>דא</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הרשב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שהיא</w:t>
      </w:r>
      <w:r w:rsidRPr="00400C0B">
        <w:rPr>
          <w:rFonts w:cs="Guttman Rashi"/>
          <w:rtl/>
          <w:lang w:bidi="he-IL"/>
        </w:rPr>
        <w:t xml:space="preserve"> </w:t>
      </w:r>
      <w:r w:rsidRPr="00400C0B">
        <w:rPr>
          <w:rFonts w:cs="Guttman Rashi" w:hint="eastAsia"/>
          <w:rtl/>
          <w:lang w:bidi="he-IL"/>
        </w:rPr>
        <w:t>השיטה</w:t>
      </w:r>
      <w:r w:rsidRPr="00400C0B">
        <w:rPr>
          <w:rFonts w:cs="Guttman Rashi"/>
          <w:rtl/>
          <w:lang w:bidi="he-IL"/>
        </w:rPr>
        <w:t xml:space="preserve"> </w:t>
      </w:r>
      <w:r w:rsidRPr="00400C0B">
        <w:rPr>
          <w:rFonts w:cs="Guttman Rashi" w:hint="eastAsia"/>
          <w:rtl/>
          <w:lang w:bidi="he-IL"/>
        </w:rPr>
        <w:t>המחמירה</w:t>
      </w:r>
      <w:r w:rsidRPr="00400C0B">
        <w:rPr>
          <w:rFonts w:cs="Guttman Rashi"/>
          <w:rtl/>
          <w:lang w:bidi="he-IL"/>
        </w:rPr>
        <w:t xml:space="preserve"> </w:t>
      </w:r>
      <w:r w:rsidRPr="00400C0B">
        <w:rPr>
          <w:rFonts w:cs="Guttman Rashi" w:hint="eastAsia"/>
          <w:rtl/>
          <w:lang w:bidi="he-IL"/>
        </w:rPr>
        <w:t>מיקל</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וכמש</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w:t>
      </w:r>
    </w:p>
  </w:footnote>
  <w:footnote w:id="52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הראי</w:t>
      </w:r>
      <w:r w:rsidRPr="00400C0B">
        <w:rPr>
          <w:rFonts w:cs="Guttman Rashi"/>
          <w:rtl/>
          <w:lang w:bidi="he-IL"/>
        </w:rPr>
        <w:t xml:space="preserve">' </w:t>
      </w:r>
      <w:r w:rsidRPr="00400C0B">
        <w:rPr>
          <w:rFonts w:cs="Guttman Rashi" w:hint="eastAsia"/>
          <w:rtl/>
          <w:lang w:bidi="he-IL"/>
        </w:rPr>
        <w:t>דמיירי</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חרס</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דאל</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הצריכו</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בפעם</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סגי</w:t>
      </w:r>
      <w:r w:rsidRPr="00400C0B">
        <w:rPr>
          <w:rFonts w:cs="Guttman Rashi"/>
          <w:rtl/>
          <w:lang w:bidi="he-IL"/>
        </w:rPr>
        <w:t>.</w:t>
      </w:r>
    </w:p>
  </w:footnote>
  <w:footnote w:id="52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וצריך</w:t>
      </w:r>
      <w:r w:rsidRPr="00400C0B">
        <w:rPr>
          <w:rFonts w:cs="Guttman Rashi"/>
          <w:rtl/>
          <w:lang w:bidi="he-IL"/>
        </w:rPr>
        <w:t xml:space="preserve"> </w:t>
      </w:r>
      <w:r w:rsidRPr="00400C0B">
        <w:rPr>
          <w:rFonts w:cs="Guttman Rashi" w:hint="eastAsia"/>
          <w:rtl/>
          <w:lang w:bidi="he-IL"/>
        </w:rPr>
        <w:t>להחליף</w:t>
      </w:r>
      <w:r w:rsidRPr="00400C0B">
        <w:rPr>
          <w:rFonts w:cs="Guttman Rashi"/>
          <w:rtl/>
          <w:lang w:bidi="he-IL"/>
        </w:rPr>
        <w:t xml:space="preserve"> </w:t>
      </w:r>
      <w:r w:rsidRPr="00400C0B">
        <w:rPr>
          <w:rFonts w:cs="Guttman Rashi" w:hint="eastAsia"/>
          <w:rtl/>
          <w:lang w:bidi="he-IL"/>
        </w:rPr>
        <w:t>המים</w:t>
      </w:r>
      <w:r w:rsidRPr="00400C0B">
        <w:rPr>
          <w:rFonts w:cs="Guttman Rashi"/>
          <w:rtl/>
          <w:lang w:bidi="he-IL"/>
        </w:rPr>
        <w:t xml:space="preserve"> </w:t>
      </w:r>
      <w:r w:rsidRPr="00400C0B">
        <w:rPr>
          <w:rFonts w:cs="Guttman Rashi" w:hint="eastAsia"/>
          <w:rtl/>
          <w:lang w:bidi="he-IL"/>
        </w:rPr>
        <w:t>בכל</w:t>
      </w:r>
      <w:r w:rsidRPr="00400C0B">
        <w:rPr>
          <w:rFonts w:cs="Guttman Rashi"/>
          <w:rtl/>
          <w:lang w:bidi="he-IL"/>
        </w:rPr>
        <w:t xml:space="preserve"> </w:t>
      </w:r>
      <w:r w:rsidRPr="00400C0B">
        <w:rPr>
          <w:rFonts w:cs="Guttman Rashi" w:hint="eastAsia"/>
          <w:rtl/>
          <w:lang w:bidi="he-IL"/>
        </w:rPr>
        <w:t>פעם</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אותם</w:t>
      </w:r>
      <w:r w:rsidRPr="00400C0B">
        <w:rPr>
          <w:rFonts w:cs="Guttman Rashi"/>
          <w:rtl/>
          <w:lang w:bidi="he-IL"/>
        </w:rPr>
        <w:t xml:space="preserve"> </w:t>
      </w:r>
      <w:r w:rsidRPr="00400C0B">
        <w:rPr>
          <w:rFonts w:cs="Guttman Rashi" w:hint="eastAsia"/>
          <w:rtl/>
          <w:lang w:bidi="he-IL"/>
        </w:rPr>
        <w:t>מים</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לכלי</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לפעם</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 </w:t>
      </w:r>
      <w:r w:rsidRPr="00400C0B">
        <w:rPr>
          <w:rFonts w:cs="Guttman Rashi" w:hint="eastAsia"/>
          <w:rtl/>
          <w:lang w:bidi="he-IL"/>
        </w:rPr>
        <w:t>חזו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p>
  </w:footnote>
  <w:footnote w:id="52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וקכ</w:t>
      </w:r>
      <w:r w:rsidRPr="00400C0B">
        <w:rPr>
          <w:rFonts w:cs="Guttman Rashi"/>
          <w:rtl/>
          <w:lang w:bidi="he-IL"/>
        </w:rPr>
        <w:t>"</w:t>
      </w:r>
      <w:r w:rsidRPr="00400C0B">
        <w:rPr>
          <w:rFonts w:cs="Guttman Rashi" w:hint="eastAsia"/>
          <w:rtl/>
          <w:lang w:bidi="he-IL"/>
        </w:rPr>
        <w:t>ד</w:t>
      </w:r>
    </w:p>
  </w:footnote>
  <w:footnote w:id="530">
    <w:p w:rsidR="007978F4" w:rsidRPr="00400C0B" w:rsidRDefault="007978F4" w:rsidP="0054514F">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שוב</w:t>
      </w:r>
      <w:r w:rsidRPr="00400C0B">
        <w:rPr>
          <w:rFonts w:cs="Guttman Rashi"/>
          <w:rtl/>
          <w:lang w:bidi="he-IL"/>
        </w:rPr>
        <w:t xml:space="preserve"> </w:t>
      </w:r>
      <w:r w:rsidRPr="00400C0B">
        <w:rPr>
          <w:rFonts w:cs="Guttman Rashi" w:hint="eastAsia"/>
          <w:rtl/>
          <w:lang w:bidi="he-IL"/>
        </w:rPr>
        <w:t>העיר</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הג</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מאיר</w:t>
      </w:r>
      <w:r w:rsidRPr="00400C0B">
        <w:rPr>
          <w:rFonts w:cs="Guttman Rashi"/>
          <w:rtl/>
          <w:lang w:bidi="he-IL"/>
        </w:rPr>
        <w:t xml:space="preserve"> </w:t>
      </w:r>
      <w:r w:rsidRPr="00400C0B">
        <w:rPr>
          <w:rFonts w:cs="Guttman Rashi" w:hint="eastAsia"/>
          <w:rtl/>
          <w:lang w:bidi="he-IL"/>
        </w:rPr>
        <w:t>קויפמן</w:t>
      </w:r>
      <w:r w:rsidRPr="00400C0B">
        <w:rPr>
          <w:rFonts w:cs="Guttman Rashi"/>
          <w:rtl/>
          <w:lang w:bidi="he-IL"/>
        </w:rPr>
        <w:t xml:space="preserve"> </w:t>
      </w:r>
      <w:r w:rsidRPr="00400C0B">
        <w:rPr>
          <w:rFonts w:cs="Guttman Rashi" w:hint="eastAsia"/>
          <w:rtl/>
          <w:lang w:bidi="he-IL"/>
        </w:rPr>
        <w:t>שליט</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מעצם</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בברייתא</w:t>
      </w:r>
      <w:r w:rsidRPr="00400C0B">
        <w:rPr>
          <w:rFonts w:cs="Guttman Rashi"/>
          <w:rtl/>
          <w:lang w:bidi="he-IL"/>
        </w:rPr>
        <w:t xml:space="preserve"> </w:t>
      </w:r>
      <w:r w:rsidRPr="00400C0B">
        <w:rPr>
          <w:rFonts w:cs="Guttman Rashi" w:hint="eastAsia"/>
          <w:rtl/>
          <w:lang w:bidi="he-IL"/>
        </w:rPr>
        <w:t>שבמס</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w:t>
      </w:r>
      <w:r w:rsidRPr="00400C0B">
        <w:rPr>
          <w:rFonts w:cs="Guttman Rashi" w:hint="eastAsia"/>
          <w:rtl/>
          <w:lang w:bidi="he-IL"/>
        </w:rPr>
        <w:t>דברים</w:t>
      </w:r>
      <w:r w:rsidRPr="00400C0B">
        <w:rPr>
          <w:rFonts w:cs="Guttman Rashi"/>
          <w:rtl/>
          <w:lang w:bidi="he-IL"/>
        </w:rPr>
        <w:t xml:space="preserve"> </w:t>
      </w:r>
      <w:r w:rsidRPr="00400C0B">
        <w:rPr>
          <w:rFonts w:cs="Guttman Rashi" w:hint="eastAsia"/>
          <w:rtl/>
          <w:lang w:bidi="he-IL"/>
        </w:rPr>
        <w:t>שנשתמש</w:t>
      </w:r>
      <w:r w:rsidRPr="00400C0B">
        <w:rPr>
          <w:rFonts w:cs="Guttman Rashi"/>
          <w:rtl/>
          <w:lang w:bidi="he-IL"/>
        </w:rPr>
        <w:t xml:space="preserve"> </w:t>
      </w:r>
      <w:r w:rsidRPr="00400C0B">
        <w:rPr>
          <w:rFonts w:cs="Guttman Rashi" w:hint="eastAsia"/>
          <w:rtl/>
          <w:lang w:bidi="he-IL"/>
        </w:rPr>
        <w:t>בהן</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צונן</w:t>
      </w:r>
      <w:r w:rsidRPr="00400C0B">
        <w:rPr>
          <w:rFonts w:cs="Guttman Rashi"/>
          <w:rtl/>
          <w:lang w:bidi="he-IL"/>
        </w:rPr>
        <w:t xml:space="preserve"> </w:t>
      </w:r>
      <w:r w:rsidRPr="00400C0B">
        <w:rPr>
          <w:rFonts w:cs="Guttman Rashi" w:hint="eastAsia"/>
          <w:rtl/>
          <w:lang w:bidi="he-IL"/>
        </w:rPr>
        <w:t>כגון</w:t>
      </w:r>
      <w:r w:rsidRPr="00400C0B">
        <w:rPr>
          <w:rFonts w:cs="Guttman Rashi"/>
          <w:rtl/>
          <w:lang w:bidi="he-IL"/>
        </w:rPr>
        <w:t xml:space="preserve"> </w:t>
      </w:r>
      <w:r w:rsidRPr="00400C0B">
        <w:rPr>
          <w:rFonts w:cs="Guttman Rashi" w:hint="eastAsia"/>
          <w:rtl/>
          <w:lang w:bidi="he-IL"/>
        </w:rPr>
        <w:t>כוסות</w:t>
      </w:r>
      <w:r w:rsidRPr="00400C0B">
        <w:rPr>
          <w:rFonts w:cs="Guttman Rashi"/>
          <w:rtl/>
          <w:lang w:bidi="he-IL"/>
        </w:rPr>
        <w:t xml:space="preserve"> </w:t>
      </w:r>
      <w:r w:rsidRPr="00400C0B">
        <w:rPr>
          <w:rFonts w:cs="Guttman Rashi" w:hint="eastAsia"/>
          <w:rtl/>
          <w:lang w:bidi="he-IL"/>
        </w:rPr>
        <w:t>וקתוניות</w:t>
      </w:r>
      <w:r w:rsidRPr="00400C0B">
        <w:rPr>
          <w:rFonts w:cs="Guttman Rashi"/>
          <w:rtl/>
          <w:lang w:bidi="he-IL"/>
        </w:rPr>
        <w:t xml:space="preserve"> </w:t>
      </w:r>
      <w:r w:rsidRPr="00400C0B">
        <w:rPr>
          <w:rFonts w:cs="Guttman Rashi" w:hint="eastAsia"/>
          <w:rtl/>
          <w:lang w:bidi="he-IL"/>
        </w:rPr>
        <w:t>וצלוחיות</w:t>
      </w:r>
      <w:r w:rsidRPr="00400C0B">
        <w:rPr>
          <w:rFonts w:cs="Guttman Rashi"/>
          <w:rtl/>
          <w:lang w:bidi="he-IL"/>
        </w:rPr>
        <w:t xml:space="preserve"> </w:t>
      </w:r>
      <w:r w:rsidRPr="00400C0B">
        <w:rPr>
          <w:rFonts w:cs="Guttman Rashi" w:hint="eastAsia"/>
          <w:rtl/>
          <w:lang w:bidi="he-IL"/>
        </w:rPr>
        <w:t>מדיחן</w:t>
      </w:r>
      <w:r w:rsidRPr="00400C0B">
        <w:rPr>
          <w:rFonts w:cs="Guttman Rashi"/>
          <w:rtl/>
          <w:lang w:bidi="he-IL"/>
        </w:rPr>
        <w:t xml:space="preserve"> </w:t>
      </w:r>
      <w:r w:rsidRPr="00400C0B">
        <w:rPr>
          <w:rFonts w:cs="Guttman Rashi" w:hint="eastAsia"/>
          <w:rtl/>
          <w:lang w:bidi="he-IL"/>
        </w:rPr>
        <w:t>ומטבילן</w:t>
      </w:r>
      <w:r w:rsidRPr="00400C0B">
        <w:rPr>
          <w:rFonts w:cs="Guttman Rashi"/>
          <w:rtl/>
          <w:lang w:bidi="he-IL"/>
        </w:rPr>
        <w:t xml:space="preserve"> </w:t>
      </w:r>
      <w:r w:rsidRPr="00400C0B">
        <w:rPr>
          <w:rFonts w:cs="Guttman Rashi" w:hint="eastAsia"/>
          <w:rtl/>
          <w:lang w:bidi="he-IL"/>
        </w:rPr>
        <w:t>והם</w:t>
      </w:r>
      <w:r w:rsidRPr="00400C0B">
        <w:rPr>
          <w:rFonts w:cs="Guttman Rashi"/>
          <w:rtl/>
          <w:lang w:bidi="he-IL"/>
        </w:rPr>
        <w:t xml:space="preserve"> </w:t>
      </w:r>
      <w:r w:rsidRPr="00400C0B">
        <w:rPr>
          <w:rFonts w:cs="Guttman Rashi" w:hint="eastAsia"/>
          <w:rtl/>
          <w:lang w:bidi="he-IL"/>
        </w:rPr>
        <w:t>טהורין</w:t>
      </w:r>
      <w:r w:rsidRPr="00400C0B">
        <w:rPr>
          <w:rFonts w:cs="Guttman Rashi"/>
          <w:rtl/>
          <w:lang w:bidi="he-IL"/>
        </w:rPr>
        <w:t xml:space="preserve">". </w:t>
      </w:r>
      <w:r w:rsidRPr="00400C0B">
        <w:rPr>
          <w:rFonts w:cs="Guttman Rashi" w:hint="eastAsia"/>
          <w:rtl/>
          <w:lang w:bidi="he-IL"/>
        </w:rPr>
        <w:t>והוכיחו</w:t>
      </w:r>
      <w:r w:rsidRPr="00400C0B">
        <w:rPr>
          <w:rFonts w:cs="Guttman Rashi"/>
          <w:rtl/>
          <w:lang w:bidi="he-IL"/>
        </w:rPr>
        <w:t xml:space="preserve"> </w:t>
      </w:r>
      <w:r w:rsidRPr="00400C0B">
        <w:rPr>
          <w:rFonts w:cs="Guttman Rashi" w:hint="eastAsia"/>
          <w:rtl/>
          <w:lang w:bidi="he-IL"/>
        </w:rPr>
        <w:t>הראשונים</w:t>
      </w:r>
      <w:r w:rsidRPr="00400C0B">
        <w:rPr>
          <w:rFonts w:cs="Guttman Rashi"/>
          <w:rtl/>
          <w:lang w:bidi="he-IL"/>
        </w:rPr>
        <w:t xml:space="preserve"> </w:t>
      </w:r>
      <w:r w:rsidRPr="00400C0B">
        <w:rPr>
          <w:rFonts w:cs="Guttman Rashi" w:hint="eastAsia"/>
          <w:rtl/>
          <w:lang w:bidi="he-IL"/>
        </w:rPr>
        <w:t>מדברי</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דע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אזלינן</w:t>
      </w:r>
      <w:r w:rsidRPr="00400C0B">
        <w:rPr>
          <w:rFonts w:cs="Guttman Rashi"/>
          <w:rtl/>
          <w:lang w:bidi="he-IL"/>
        </w:rPr>
        <w:t xml:space="preserve"> </w:t>
      </w:r>
      <w:r w:rsidRPr="00400C0B">
        <w:rPr>
          <w:rFonts w:cs="Guttman Rashi" w:hint="eastAsia"/>
          <w:rtl/>
          <w:lang w:bidi="he-IL"/>
        </w:rPr>
        <w:t>בתר</w:t>
      </w:r>
      <w:r w:rsidRPr="00400C0B">
        <w:rPr>
          <w:rFonts w:cs="Guttman Rashi"/>
          <w:rtl/>
          <w:lang w:bidi="he-IL"/>
        </w:rPr>
        <w:t xml:space="preserve"> </w:t>
      </w:r>
      <w:r w:rsidRPr="00400C0B">
        <w:rPr>
          <w:rFonts w:cs="Guttman Rashi" w:hint="eastAsia"/>
          <w:rtl/>
          <w:lang w:bidi="he-IL"/>
        </w:rPr>
        <w:t>רוב</w:t>
      </w:r>
      <w:r w:rsidRPr="00400C0B">
        <w:rPr>
          <w:rFonts w:cs="Guttman Rashi"/>
          <w:rtl/>
          <w:lang w:bidi="he-IL"/>
        </w:rPr>
        <w:t xml:space="preserve"> </w:t>
      </w:r>
      <w:r w:rsidRPr="00400C0B">
        <w:rPr>
          <w:rFonts w:cs="Guttman Rashi" w:hint="eastAsia"/>
          <w:rtl/>
          <w:lang w:bidi="he-IL"/>
        </w:rPr>
        <w:t>תשמישתו</w:t>
      </w:r>
      <w:r w:rsidRPr="00400C0B">
        <w:rPr>
          <w:rFonts w:cs="Guttman Rashi"/>
          <w:rtl/>
          <w:lang w:bidi="he-IL"/>
        </w:rPr>
        <w:t xml:space="preserve"> ,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יכנס</w:t>
      </w:r>
      <w:r w:rsidRPr="00400C0B">
        <w:rPr>
          <w:rFonts w:cs="Guttman Rashi"/>
          <w:rtl/>
          <w:lang w:bidi="he-IL"/>
        </w:rPr>
        <w:t xml:space="preserve"> </w:t>
      </w:r>
      <w:r w:rsidRPr="00400C0B">
        <w:rPr>
          <w:rFonts w:cs="Guttman Rashi" w:hint="eastAsia"/>
          <w:rtl/>
          <w:lang w:bidi="he-IL"/>
        </w:rPr>
        <w:t>באלו</w:t>
      </w:r>
      <w:r w:rsidRPr="00400C0B">
        <w:rPr>
          <w:rFonts w:cs="Guttman Rashi"/>
          <w:rtl/>
          <w:lang w:bidi="he-IL"/>
        </w:rPr>
        <w:t xml:space="preserve"> </w:t>
      </w:r>
      <w:r w:rsidRPr="00400C0B">
        <w:rPr>
          <w:rFonts w:cs="Guttman Rashi" w:hint="eastAsia"/>
          <w:rtl/>
          <w:lang w:bidi="he-IL"/>
        </w:rPr>
        <w:t>חמין</w:t>
      </w:r>
      <w:r w:rsidRPr="00400C0B">
        <w:rPr>
          <w:rFonts w:cs="Guttman Rashi"/>
          <w:rtl/>
          <w:lang w:bidi="he-IL"/>
        </w:rPr>
        <w:t xml:space="preserve"> </w:t>
      </w:r>
      <w:r w:rsidRPr="00400C0B">
        <w:rPr>
          <w:rFonts w:cs="Guttman Rashi" w:hint="eastAsia"/>
          <w:rtl/>
          <w:lang w:bidi="he-IL"/>
        </w:rPr>
        <w:t>פעם</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ברייתא</w:t>
      </w:r>
      <w:r w:rsidRPr="00400C0B">
        <w:rPr>
          <w:rFonts w:cs="Guttman Rashi"/>
          <w:rtl/>
          <w:lang w:bidi="he-IL"/>
        </w:rPr>
        <w:t xml:space="preserve"> </w:t>
      </w:r>
      <w:r w:rsidRPr="00400C0B">
        <w:rPr>
          <w:rFonts w:cs="Guttman Rashi" w:hint="eastAsia"/>
          <w:rtl/>
          <w:lang w:bidi="he-IL"/>
        </w:rPr>
        <w:t>שכתוב</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וכולן</w:t>
      </w:r>
      <w:r w:rsidRPr="00400C0B">
        <w:rPr>
          <w:rFonts w:cs="Guttman Rashi"/>
          <w:rtl/>
          <w:lang w:bidi="he-IL"/>
        </w:rPr>
        <w:t xml:space="preserve"> </w:t>
      </w:r>
      <w:r w:rsidRPr="00400C0B">
        <w:rPr>
          <w:rFonts w:cs="Guttman Rashi" w:hint="eastAsia"/>
          <w:rtl/>
          <w:lang w:bidi="he-IL"/>
        </w:rPr>
        <w:t>שנשתמש</w:t>
      </w:r>
      <w:r w:rsidRPr="00400C0B">
        <w:rPr>
          <w:rFonts w:cs="Guttman Rashi"/>
          <w:rtl/>
          <w:lang w:bidi="he-IL"/>
        </w:rPr>
        <w:t xml:space="preserve"> </w:t>
      </w:r>
      <w:r w:rsidRPr="00400C0B">
        <w:rPr>
          <w:rFonts w:cs="Guttman Rashi" w:hint="eastAsia"/>
          <w:rtl/>
          <w:lang w:bidi="he-IL"/>
        </w:rPr>
        <w:t>בהן</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יטביל</w:t>
      </w:r>
      <w:r w:rsidRPr="00400C0B">
        <w:rPr>
          <w:rFonts w:cs="Guttman Rashi"/>
          <w:rtl/>
          <w:lang w:bidi="he-IL"/>
        </w:rPr>
        <w:t xml:space="preserve"> </w:t>
      </w:r>
      <w:r w:rsidRPr="00400C0B">
        <w:rPr>
          <w:rFonts w:cs="Guttman Rashi" w:hint="eastAsia"/>
          <w:rtl/>
          <w:lang w:bidi="he-IL"/>
        </w:rPr>
        <w:t>ושלא</w:t>
      </w:r>
      <w:r w:rsidRPr="00400C0B">
        <w:rPr>
          <w:rFonts w:cs="Guttman Rashi"/>
          <w:rtl/>
          <w:lang w:bidi="he-IL"/>
        </w:rPr>
        <w:t xml:space="preserve"> </w:t>
      </w:r>
      <w:r w:rsidRPr="00400C0B">
        <w:rPr>
          <w:rFonts w:cs="Guttman Rashi" w:hint="eastAsia"/>
          <w:rtl/>
          <w:lang w:bidi="he-IL"/>
        </w:rPr>
        <w:t>יגעיל</w:t>
      </w:r>
      <w:r w:rsidRPr="00400C0B">
        <w:rPr>
          <w:rFonts w:cs="Guttman Rashi"/>
          <w:rtl/>
          <w:lang w:bidi="he-IL"/>
        </w:rPr>
        <w:t xml:space="preserve"> </w:t>
      </w:r>
      <w:r w:rsidRPr="00400C0B">
        <w:rPr>
          <w:rFonts w:cs="Guttman Rashi" w:hint="eastAsia"/>
          <w:rtl/>
          <w:lang w:bidi="he-IL"/>
        </w:rPr>
        <w:t>ושלא</w:t>
      </w:r>
      <w:r w:rsidRPr="00400C0B">
        <w:rPr>
          <w:rFonts w:cs="Guttman Rashi"/>
          <w:rtl/>
          <w:lang w:bidi="he-IL"/>
        </w:rPr>
        <w:t xml:space="preserve"> </w:t>
      </w:r>
      <w:r w:rsidRPr="00400C0B">
        <w:rPr>
          <w:rFonts w:cs="Guttman Rashi" w:hint="eastAsia"/>
          <w:rtl/>
          <w:lang w:bidi="he-IL"/>
        </w:rPr>
        <w:t>ילבן</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כמ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וכדמבואר</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והתוס</w:t>
      </w:r>
      <w:r w:rsidRPr="00400C0B">
        <w:rPr>
          <w:rFonts w:cs="Guttman Rashi"/>
          <w:rtl/>
          <w:lang w:bidi="he-IL"/>
        </w:rPr>
        <w:t xml:space="preserve">' </w:t>
      </w:r>
      <w:r w:rsidRPr="00400C0B">
        <w:rPr>
          <w:rFonts w:cs="Guttman Rashi" w:hint="eastAsia"/>
          <w:rtl/>
          <w:lang w:bidi="he-IL"/>
        </w:rPr>
        <w:t>והראשונים</w:t>
      </w:r>
      <w:r w:rsidRPr="00400C0B">
        <w:rPr>
          <w:rFonts w:cs="Guttman Rashi"/>
          <w:rtl/>
          <w:lang w:bidi="he-IL"/>
        </w:rPr>
        <w:t xml:space="preserve"> </w:t>
      </w:r>
      <w:r w:rsidRPr="00400C0B">
        <w:rPr>
          <w:rFonts w:cs="Guttman Rashi" w:hint="eastAsia"/>
          <w:rtl/>
          <w:lang w:bidi="he-IL"/>
        </w:rPr>
        <w:t>מתקשים</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שיהא</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יטביל</w:t>
      </w:r>
      <w:r w:rsidRPr="00400C0B">
        <w:rPr>
          <w:rFonts w:cs="Guttman Rashi"/>
          <w:rtl/>
          <w:lang w:bidi="he-IL"/>
        </w:rPr>
        <w:t xml:space="preserve">, </w:t>
      </w:r>
      <w:r w:rsidRPr="00400C0B">
        <w:rPr>
          <w:rFonts w:cs="Guttman Rashi" w:hint="eastAsia"/>
          <w:rtl/>
          <w:lang w:bidi="he-IL"/>
        </w:rPr>
        <w:t>והתוס</w:t>
      </w:r>
      <w:r w:rsidRPr="00400C0B">
        <w:rPr>
          <w:rFonts w:cs="Guttman Rashi"/>
          <w:rtl/>
          <w:lang w:bidi="he-IL"/>
        </w:rPr>
        <w:t xml:space="preserve">' </w:t>
      </w:r>
      <w:r w:rsidRPr="00400C0B">
        <w:rPr>
          <w:rFonts w:cs="Guttman Rashi" w:hint="eastAsia"/>
          <w:rtl/>
          <w:lang w:bidi="he-IL"/>
        </w:rPr>
        <w:t>כתבו</w:t>
      </w:r>
      <w:r w:rsidRPr="00400C0B">
        <w:rPr>
          <w:rFonts w:cs="Guttman Rashi"/>
          <w:rtl/>
          <w:lang w:bidi="he-IL"/>
        </w:rPr>
        <w:t xml:space="preserve"> </w:t>
      </w:r>
      <w:r w:rsidRPr="00400C0B">
        <w:rPr>
          <w:rFonts w:cs="Guttman Rashi" w:hint="eastAsia"/>
          <w:rtl/>
          <w:lang w:bidi="he-IL"/>
        </w:rPr>
        <w:t>שאולי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גזרה</w:t>
      </w:r>
      <w:r w:rsidRPr="00400C0B">
        <w:rPr>
          <w:rFonts w:cs="Guttman Rashi"/>
          <w:rtl/>
          <w:lang w:bidi="he-IL"/>
        </w:rPr>
        <w:t xml:space="preserve"> </w:t>
      </w:r>
      <w:r w:rsidRPr="00400C0B">
        <w:rPr>
          <w:rFonts w:cs="Guttman Rashi" w:hint="eastAsia"/>
          <w:rtl/>
          <w:lang w:bidi="he-IL"/>
        </w:rPr>
        <w:t>אטו</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וליבון</w:t>
      </w:r>
      <w:r w:rsidRPr="00400C0B">
        <w:rPr>
          <w:rFonts w:cs="Guttman Rashi"/>
          <w:rtl/>
          <w:lang w:bidi="he-IL"/>
        </w:rPr>
        <w:t xml:space="preserve">. </w:t>
      </w:r>
      <w:r w:rsidRPr="00400C0B">
        <w:rPr>
          <w:rFonts w:cs="Guttman Rashi" w:hint="eastAsia"/>
          <w:rtl/>
          <w:lang w:bidi="he-IL"/>
        </w:rPr>
        <w:t>ומשמע</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שבלי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מיעוט</w:t>
      </w:r>
      <w:r w:rsidRPr="00400C0B">
        <w:rPr>
          <w:rFonts w:cs="Guttman Rashi"/>
          <w:rtl/>
          <w:lang w:bidi="he-IL"/>
        </w:rPr>
        <w:t xml:space="preserve"> </w:t>
      </w:r>
      <w:r w:rsidRPr="00400C0B">
        <w:rPr>
          <w:rFonts w:cs="Guttman Rashi" w:hint="eastAsia"/>
          <w:rtl/>
          <w:lang w:bidi="he-IL"/>
        </w:rPr>
        <w:t>תשמיש</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שמבליע</w:t>
      </w:r>
      <w:r w:rsidRPr="00400C0B">
        <w:rPr>
          <w:rFonts w:cs="Guttman Rashi"/>
          <w:rtl/>
          <w:lang w:bidi="he-IL"/>
        </w:rPr>
        <w:t xml:space="preserve"> </w:t>
      </w:r>
      <w:r w:rsidRPr="00400C0B">
        <w:rPr>
          <w:rFonts w:cs="Guttman Rashi" w:hint="eastAsia"/>
          <w:rtl/>
          <w:lang w:bidi="he-IL"/>
        </w:rPr>
        <w:t>בתוך</w:t>
      </w:r>
      <w:r w:rsidRPr="00400C0B">
        <w:rPr>
          <w:rFonts w:cs="Guttman Rashi"/>
          <w:rtl/>
          <w:lang w:bidi="he-IL"/>
        </w:rPr>
        <w:t xml:space="preserve"> </w:t>
      </w:r>
      <w:r w:rsidRPr="00400C0B">
        <w:rPr>
          <w:rFonts w:cs="Guttman Rashi" w:hint="eastAsia"/>
          <w:rtl/>
          <w:lang w:bidi="he-IL"/>
        </w:rPr>
        <w:t>הכלי</w:t>
      </w:r>
      <w:r w:rsidRPr="00400C0B">
        <w:rPr>
          <w:rFonts w:cs="Guttman Rashi"/>
          <w:rtl/>
          <w:lang w:bidi="he-IL"/>
        </w:rPr>
        <w:t xml:space="preserve">, </w:t>
      </w:r>
      <w:r w:rsidRPr="00400C0B">
        <w:rPr>
          <w:rFonts w:cs="Guttman Rashi" w:hint="eastAsia"/>
          <w:rtl/>
          <w:lang w:bidi="he-IL"/>
        </w:rPr>
        <w:t>וכיון</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הברייתא</w:t>
      </w:r>
      <w:r w:rsidRPr="00400C0B">
        <w:rPr>
          <w:rFonts w:cs="Guttman Rashi"/>
          <w:rtl/>
          <w:lang w:bidi="he-IL"/>
        </w:rPr>
        <w:t xml:space="preserve"> </w:t>
      </w:r>
      <w:r w:rsidRPr="00400C0B">
        <w:rPr>
          <w:rFonts w:cs="Guttman Rashi" w:hint="eastAsia"/>
          <w:rtl/>
          <w:lang w:bidi="he-IL"/>
        </w:rPr>
        <w:t>דנטל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הביאור</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ע</w:t>
      </w:r>
      <w:r>
        <w:rPr>
          <w:rFonts w:cs="Guttman Rashi" w:hint="cs"/>
          <w:rtl/>
          <w:lang w:bidi="he-IL"/>
        </w:rPr>
        <w:t xml:space="preserve"> והרשב"א</w:t>
      </w:r>
      <w:r w:rsidRPr="00400C0B">
        <w:rPr>
          <w:rFonts w:cs="Guttman Rashi"/>
          <w:rtl/>
          <w:lang w:bidi="he-IL"/>
        </w:rPr>
        <w:t xml:space="preserve">, </w:t>
      </w:r>
      <w:r w:rsidRPr="00400C0B">
        <w:rPr>
          <w:rFonts w:cs="Guttman Rashi" w:hint="eastAsia"/>
          <w:rtl/>
          <w:lang w:bidi="he-IL"/>
        </w:rPr>
        <w:t>והרי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כתשמיש</w:t>
      </w:r>
      <w:r w:rsidRPr="00400C0B">
        <w:rPr>
          <w:rFonts w:cs="Guttman Rashi"/>
          <w:rtl/>
          <w:lang w:bidi="he-IL"/>
        </w:rPr>
        <w:t xml:space="preserve"> </w:t>
      </w:r>
      <w:r w:rsidRPr="00400C0B">
        <w:rPr>
          <w:rFonts w:cs="Guttman Rashi" w:hint="eastAsia"/>
          <w:rtl/>
          <w:lang w:bidi="he-IL"/>
        </w:rPr>
        <w:t>בזמן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יומו</w:t>
      </w:r>
      <w:r w:rsidRPr="00400C0B">
        <w:rPr>
          <w:rFonts w:cs="Guttman Rashi"/>
          <w:rtl/>
          <w:lang w:bidi="he-IL"/>
        </w:rPr>
        <w:t xml:space="preserve"> </w:t>
      </w:r>
      <w:r w:rsidRPr="00400C0B">
        <w:rPr>
          <w:rFonts w:cs="Guttman Rashi" w:hint="eastAsia"/>
          <w:rtl/>
          <w:lang w:bidi="he-IL"/>
        </w:rPr>
        <w:t>שהם</w:t>
      </w:r>
      <w:r w:rsidRPr="00400C0B">
        <w:rPr>
          <w:rFonts w:cs="Guttman Rashi"/>
          <w:rtl/>
          <w:lang w:bidi="he-IL"/>
        </w:rPr>
        <w:t xml:space="preserve"> </w:t>
      </w:r>
      <w:r w:rsidRPr="00400C0B">
        <w:rPr>
          <w:rFonts w:cs="Guttman Rashi" w:hint="eastAsia"/>
          <w:rtl/>
          <w:lang w:bidi="he-IL"/>
        </w:rPr>
        <w:t>אסרו</w:t>
      </w:r>
      <w:r w:rsidRPr="00400C0B">
        <w:rPr>
          <w:rFonts w:cs="Guttman Rashi"/>
          <w:rtl/>
          <w:lang w:bidi="he-IL"/>
        </w:rPr>
        <w:t xml:space="preserve">. </w:t>
      </w:r>
      <w:r w:rsidRPr="00400C0B">
        <w:rPr>
          <w:rFonts w:cs="Guttman Rashi" w:hint="eastAsia"/>
          <w:rtl/>
          <w:lang w:bidi="he-IL"/>
        </w:rPr>
        <w:t>וחשבתי</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 xml:space="preserve"> </w:t>
      </w:r>
      <w:r w:rsidRPr="00400C0B">
        <w:rPr>
          <w:rFonts w:cs="Guttman Rashi" w:hint="eastAsia"/>
          <w:rtl/>
          <w:lang w:bidi="he-IL"/>
        </w:rPr>
        <w:t>דלעולם</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יבשל</w:t>
      </w:r>
      <w:r w:rsidRPr="00400C0B">
        <w:rPr>
          <w:rFonts w:cs="Guttman Rashi"/>
          <w:rtl/>
          <w:lang w:bidi="he-IL"/>
        </w:rPr>
        <w:t xml:space="preserve"> </w:t>
      </w:r>
      <w:r w:rsidRPr="00400C0B">
        <w:rPr>
          <w:rFonts w:cs="Guttman Rashi" w:hint="eastAsia"/>
          <w:rtl/>
          <w:lang w:bidi="he-IL"/>
        </w:rPr>
        <w:t>בהם</w:t>
      </w:r>
      <w:r w:rsidRPr="00400C0B">
        <w:rPr>
          <w:rFonts w:cs="Guttman Rashi"/>
          <w:rtl/>
          <w:lang w:bidi="he-IL"/>
        </w:rPr>
        <w:t xml:space="preserve"> </w:t>
      </w:r>
      <w:r w:rsidRPr="00400C0B">
        <w:rPr>
          <w:rFonts w:cs="Guttman Rashi" w:hint="eastAsia"/>
          <w:rtl/>
          <w:lang w:bidi="he-IL"/>
        </w:rPr>
        <w:t>יאסרו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המיעוט</w:t>
      </w:r>
      <w:r w:rsidRPr="00400C0B">
        <w:rPr>
          <w:rFonts w:cs="Guttman Rashi"/>
          <w:rtl/>
          <w:lang w:bidi="he-IL"/>
        </w:rPr>
        <w:t xml:space="preserve"> </w:t>
      </w:r>
      <w:r w:rsidRPr="00400C0B">
        <w:rPr>
          <w:rFonts w:cs="Guttman Rashi" w:hint="eastAsia"/>
          <w:rtl/>
          <w:lang w:bidi="he-IL"/>
        </w:rPr>
        <w:t>תשמיש</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דנטל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וכסברת</w:t>
      </w:r>
      <w:r w:rsidRPr="00400C0B">
        <w:rPr>
          <w:rFonts w:cs="Guttman Rashi"/>
          <w:rtl/>
          <w:lang w:bidi="he-IL"/>
        </w:rPr>
        <w:t xml:space="preserve"> </w:t>
      </w:r>
      <w:r w:rsidRPr="00400C0B">
        <w:rPr>
          <w:rFonts w:cs="Guttman Rashi" w:hint="eastAsia"/>
          <w:rtl/>
          <w:lang w:bidi="he-IL"/>
        </w:rPr>
        <w:t>והרמ</w:t>
      </w:r>
      <w:r w:rsidRPr="00400C0B">
        <w:rPr>
          <w:rFonts w:cs="Guttman Rashi"/>
          <w:rtl/>
          <w:lang w:bidi="he-IL"/>
        </w:rPr>
        <w:t>"</w:t>
      </w:r>
      <w:r w:rsidRPr="00400C0B">
        <w:rPr>
          <w:rFonts w:cs="Guttman Rashi" w:hint="eastAsia"/>
          <w:rtl/>
          <w:lang w:bidi="he-IL"/>
        </w:rPr>
        <w:t>ע</w:t>
      </w:r>
      <w:r>
        <w:rPr>
          <w:rFonts w:cs="Guttman Rashi" w:hint="cs"/>
          <w:rtl/>
          <w:lang w:bidi="he-IL"/>
        </w:rPr>
        <w:t xml:space="preserve"> והרשב"א</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Pr>
          <w:rFonts w:cs="Guttman Rashi" w:hint="eastAsia"/>
          <w:rtl/>
          <w:lang w:bidi="he-IL"/>
        </w:rPr>
        <w:t>פש</w:t>
      </w:r>
      <w:r w:rsidRPr="00400C0B">
        <w:rPr>
          <w:rFonts w:cs="Guttman Rashi" w:hint="eastAsia"/>
          <w:rtl/>
          <w:lang w:bidi="he-IL"/>
        </w:rPr>
        <w:t>טות</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הברייתא</w:t>
      </w:r>
      <w:r w:rsidRPr="00400C0B">
        <w:rPr>
          <w:rFonts w:cs="Guttman Rashi"/>
          <w:rtl/>
          <w:lang w:bidi="he-IL"/>
        </w:rPr>
        <w:t xml:space="preserve"> </w:t>
      </w:r>
      <w:r w:rsidRPr="00400C0B">
        <w:rPr>
          <w:rFonts w:cs="Guttman Rashi" w:hint="eastAsia"/>
          <w:rtl/>
          <w:lang w:bidi="he-IL"/>
        </w:rPr>
        <w:t>שהשתמש</w:t>
      </w:r>
      <w:r w:rsidRPr="00400C0B">
        <w:rPr>
          <w:rFonts w:cs="Guttman Rashi"/>
          <w:rtl/>
          <w:lang w:bidi="he-IL"/>
        </w:rPr>
        <w:t xml:space="preserve"> </w:t>
      </w:r>
      <w:r w:rsidRPr="00400C0B">
        <w:rPr>
          <w:rFonts w:cs="Guttman Rashi" w:hint="eastAsia"/>
          <w:rtl/>
          <w:lang w:bidi="he-IL"/>
        </w:rPr>
        <w:t>בהם</w:t>
      </w:r>
      <w:r w:rsidRPr="00400C0B">
        <w:rPr>
          <w:rFonts w:cs="Guttman Rashi"/>
          <w:rtl/>
          <w:lang w:bidi="he-IL"/>
        </w:rPr>
        <w:t xml:space="preserve"> </w:t>
      </w:r>
      <w:r w:rsidRPr="00400C0B">
        <w:rPr>
          <w:rFonts w:cs="Guttman Rashi" w:hint="eastAsia"/>
          <w:rtl/>
          <w:lang w:bidi="he-IL"/>
        </w:rPr>
        <w:t>דרך</w:t>
      </w:r>
      <w:r w:rsidRPr="00400C0B">
        <w:rPr>
          <w:rFonts w:cs="Guttman Rashi"/>
          <w:rtl/>
          <w:lang w:bidi="he-IL"/>
        </w:rPr>
        <w:t xml:space="preserve"> </w:t>
      </w:r>
      <w:r w:rsidRPr="00400C0B">
        <w:rPr>
          <w:rFonts w:cs="Guttman Rashi" w:hint="eastAsia"/>
          <w:rtl/>
          <w:lang w:bidi="he-IL"/>
        </w:rPr>
        <w:t>תשמישתו</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וזה</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נכנס</w:t>
      </w:r>
      <w:r w:rsidRPr="00400C0B">
        <w:rPr>
          <w:rFonts w:cs="Guttman Rashi"/>
          <w:rtl/>
          <w:lang w:bidi="he-IL"/>
        </w:rPr>
        <w:t xml:space="preserve"> </w:t>
      </w:r>
      <w:r w:rsidRPr="00400C0B">
        <w:rPr>
          <w:rFonts w:cs="Guttman Rashi" w:hint="eastAsia"/>
          <w:rtl/>
          <w:lang w:bidi="he-IL"/>
        </w:rPr>
        <w:t>לתבשיל</w:t>
      </w:r>
      <w:r w:rsidRPr="00400C0B">
        <w:rPr>
          <w:rFonts w:cs="Guttman Rashi"/>
          <w:rtl/>
          <w:lang w:bidi="he-IL"/>
        </w:rPr>
        <w:t xml:space="preserve"> </w:t>
      </w:r>
      <w:r w:rsidRPr="00400C0B">
        <w:rPr>
          <w:rFonts w:cs="Guttman Rashi" w:hint="eastAsia"/>
          <w:rtl/>
          <w:lang w:bidi="he-IL"/>
        </w:rPr>
        <w:t>החדש</w:t>
      </w:r>
      <w:r w:rsidRPr="00400C0B">
        <w:rPr>
          <w:rFonts w:cs="Guttman Rashi"/>
          <w:rtl/>
          <w:lang w:bidi="he-IL"/>
        </w:rPr>
        <w:t xml:space="preserve"> </w:t>
      </w:r>
      <w:r w:rsidRPr="00400C0B">
        <w:rPr>
          <w:rFonts w:cs="Guttman Rashi" w:hint="eastAsia"/>
          <w:rtl/>
          <w:lang w:bidi="he-IL"/>
        </w:rPr>
        <w:t>שום</w:t>
      </w:r>
      <w:r w:rsidRPr="00400C0B">
        <w:rPr>
          <w:rFonts w:cs="Guttman Rashi"/>
          <w:rtl/>
          <w:lang w:bidi="he-IL"/>
        </w:rPr>
        <w:t xml:space="preserve"> </w:t>
      </w:r>
      <w:r w:rsidRPr="00400C0B">
        <w:rPr>
          <w:rFonts w:cs="Guttman Rashi" w:hint="eastAsia"/>
          <w:rtl/>
          <w:lang w:bidi="he-IL"/>
        </w:rPr>
        <w:t>בליעות</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שהשתמש</w:t>
      </w:r>
      <w:r w:rsidRPr="00400C0B">
        <w:rPr>
          <w:rFonts w:cs="Guttman Rashi"/>
          <w:rtl/>
          <w:lang w:bidi="he-IL"/>
        </w:rPr>
        <w:t xml:space="preserve"> </w:t>
      </w:r>
      <w:r w:rsidRPr="00400C0B">
        <w:rPr>
          <w:rFonts w:cs="Guttman Rashi" w:hint="eastAsia"/>
          <w:rtl/>
          <w:lang w:bidi="he-IL"/>
        </w:rPr>
        <w:t>כשהוא</w:t>
      </w:r>
      <w:r w:rsidRPr="00400C0B">
        <w:rPr>
          <w:rFonts w:cs="Guttman Rashi"/>
          <w:rtl/>
          <w:lang w:bidi="he-IL"/>
        </w:rPr>
        <w:t xml:space="preserve"> </w:t>
      </w:r>
      <w:r w:rsidRPr="00400C0B">
        <w:rPr>
          <w:rFonts w:cs="Guttman Rashi" w:hint="eastAsia"/>
          <w:rtl/>
          <w:lang w:bidi="he-IL"/>
        </w:rPr>
        <w:t>צונן</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ליישב</w:t>
      </w:r>
      <w:r w:rsidRPr="00400C0B">
        <w:rPr>
          <w:rFonts w:cs="Guttman Rashi"/>
          <w:rtl/>
          <w:lang w:bidi="he-IL"/>
        </w:rPr>
        <w:t xml:space="preserve"> </w:t>
      </w:r>
      <w:r w:rsidRPr="00400C0B">
        <w:rPr>
          <w:rFonts w:cs="Guttman Rashi" w:hint="eastAsia"/>
          <w:rtl/>
          <w:lang w:bidi="he-IL"/>
        </w:rPr>
        <w:t>הערת</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היכא</w:t>
      </w:r>
      <w:r w:rsidRPr="00400C0B">
        <w:rPr>
          <w:rFonts w:cs="Guttman Rashi"/>
          <w:rtl/>
          <w:lang w:bidi="he-IL"/>
        </w:rPr>
        <w:t xml:space="preserve"> </w:t>
      </w:r>
      <w:r w:rsidRPr="00400C0B">
        <w:rPr>
          <w:rFonts w:cs="Guttman Rashi" w:hint="eastAsia"/>
          <w:rtl/>
          <w:lang w:bidi="he-IL"/>
        </w:rPr>
        <w:t>שבישל</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דחוץ</w:t>
      </w:r>
      <w:r w:rsidRPr="00400C0B">
        <w:rPr>
          <w:rFonts w:cs="Guttman Rashi"/>
          <w:rtl/>
          <w:lang w:bidi="he-IL"/>
        </w:rPr>
        <w:t xml:space="preserve"> </w:t>
      </w:r>
      <w:r w:rsidRPr="00400C0B">
        <w:rPr>
          <w:rFonts w:cs="Guttman Rashi" w:hint="eastAsia"/>
          <w:rtl/>
          <w:lang w:bidi="he-IL"/>
        </w:rPr>
        <w:t>ממה</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דחוק</w:t>
      </w:r>
      <w:r w:rsidRPr="00400C0B">
        <w:rPr>
          <w:rFonts w:cs="Guttman Rashi"/>
          <w:rtl/>
          <w:lang w:bidi="he-IL"/>
        </w:rPr>
        <w:t xml:space="preserve"> </w:t>
      </w:r>
      <w:r w:rsidRPr="00400C0B">
        <w:rPr>
          <w:rFonts w:cs="Guttman Rashi" w:hint="eastAsia"/>
          <w:rtl/>
          <w:lang w:bidi="he-IL"/>
        </w:rPr>
        <w:t>בלשון</w:t>
      </w:r>
      <w:r w:rsidRPr="00400C0B">
        <w:rPr>
          <w:rFonts w:cs="Guttman Rashi"/>
          <w:rtl/>
          <w:lang w:bidi="he-IL"/>
        </w:rPr>
        <w:t xml:space="preserve"> </w:t>
      </w:r>
      <w:r w:rsidRPr="00400C0B">
        <w:rPr>
          <w:rFonts w:cs="Guttman Rashi" w:hint="eastAsia"/>
          <w:rtl/>
          <w:lang w:bidi="he-IL"/>
        </w:rPr>
        <w:t>ברייתא</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שמסתמא</w:t>
      </w:r>
      <w:r w:rsidRPr="00400C0B">
        <w:rPr>
          <w:rFonts w:cs="Guttman Rashi"/>
          <w:rtl/>
          <w:lang w:bidi="he-IL"/>
        </w:rPr>
        <w:t xml:space="preserve"> </w:t>
      </w:r>
      <w:r w:rsidRPr="00400C0B">
        <w:rPr>
          <w:rFonts w:cs="Guttman Rashi" w:hint="eastAsia"/>
          <w:rtl/>
          <w:lang w:bidi="he-IL"/>
        </w:rPr>
        <w:t>בדרך</w:t>
      </w:r>
      <w:r w:rsidRPr="00400C0B">
        <w:rPr>
          <w:rFonts w:cs="Guttman Rashi"/>
          <w:rtl/>
          <w:lang w:bidi="he-IL"/>
        </w:rPr>
        <w:t xml:space="preserve"> </w:t>
      </w:r>
      <w:r w:rsidRPr="00400C0B">
        <w:rPr>
          <w:rFonts w:cs="Guttman Rashi" w:hint="eastAsia"/>
          <w:rtl/>
          <w:lang w:bidi="he-IL"/>
        </w:rPr>
        <w:t>הרגיל</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כתוב</w:t>
      </w:r>
      <w:r w:rsidRPr="00400C0B">
        <w:rPr>
          <w:rFonts w:cs="Guttman Rashi"/>
          <w:rtl/>
          <w:lang w:bidi="he-IL"/>
        </w:rPr>
        <w:t xml:space="preserve"> </w:t>
      </w:r>
      <w:r w:rsidRPr="00400C0B">
        <w:rPr>
          <w:rFonts w:cs="Guttman Rashi" w:hint="eastAsia"/>
          <w:rtl/>
          <w:lang w:bidi="he-IL"/>
        </w:rPr>
        <w:t>בברייתא</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יטביל</w:t>
      </w:r>
      <w:r w:rsidRPr="00400C0B">
        <w:rPr>
          <w:rFonts w:cs="Guttman Rashi"/>
          <w:rtl/>
          <w:lang w:bidi="he-IL"/>
        </w:rPr>
        <w:t xml:space="preserve">' </w:t>
      </w:r>
      <w:r w:rsidRPr="00400C0B">
        <w:rPr>
          <w:rFonts w:cs="Guttman Rashi" w:hint="eastAsia"/>
          <w:rtl/>
          <w:lang w:bidi="he-IL"/>
        </w:rPr>
        <w:t>וזו</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עיון</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הבליעות</w:t>
      </w:r>
      <w:r w:rsidRPr="00400C0B">
        <w:rPr>
          <w:rFonts w:cs="Guttman Rashi"/>
          <w:rtl/>
          <w:lang w:bidi="he-IL"/>
        </w:rPr>
        <w:t xml:space="preserve"> </w:t>
      </w:r>
      <w:r w:rsidRPr="00400C0B">
        <w:rPr>
          <w:rFonts w:cs="Guttman Rashi" w:hint="eastAsia"/>
          <w:rtl/>
          <w:lang w:bidi="he-IL"/>
        </w:rPr>
        <w:t>נבלעו</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מאי</w:t>
      </w:r>
      <w:r w:rsidRPr="00400C0B">
        <w:rPr>
          <w:rFonts w:cs="Guttman Rashi"/>
          <w:rtl/>
          <w:lang w:bidi="he-IL"/>
        </w:rPr>
        <w:t xml:space="preserve"> </w:t>
      </w:r>
      <w:r w:rsidRPr="00400C0B">
        <w:rPr>
          <w:rFonts w:cs="Guttman Rashi" w:hint="eastAsia"/>
          <w:rtl/>
          <w:lang w:bidi="he-IL"/>
        </w:rPr>
        <w:t>אהני</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sidRPr="00400C0B">
        <w:rPr>
          <w:rFonts w:cs="Guttman Rashi" w:hint="eastAsia"/>
          <w:rtl/>
          <w:lang w:bidi="he-IL"/>
        </w:rPr>
        <w:t>טביילה</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כמש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ימלט</w:t>
      </w:r>
      <w:r w:rsidRPr="00400C0B">
        <w:rPr>
          <w:rFonts w:cs="Guttman Rashi"/>
          <w:rtl/>
          <w:lang w:bidi="he-IL"/>
        </w:rPr>
        <w:t xml:space="preserve"> </w:t>
      </w:r>
      <w:r w:rsidRPr="00400C0B">
        <w:rPr>
          <w:rFonts w:cs="Guttman Rashi" w:hint="eastAsia"/>
          <w:rtl/>
          <w:lang w:bidi="he-IL"/>
        </w:rPr>
        <w:t>מהיות</w:t>
      </w:r>
      <w:r w:rsidRPr="00400C0B">
        <w:rPr>
          <w:rFonts w:cs="Guttman Rashi"/>
          <w:rtl/>
          <w:lang w:bidi="he-IL"/>
        </w:rPr>
        <w:t xml:space="preserve"> </w:t>
      </w:r>
      <w:r w:rsidRPr="00400C0B">
        <w:rPr>
          <w:rFonts w:cs="Guttman Rashi" w:hint="eastAsia"/>
          <w:rtl/>
          <w:lang w:bidi="he-IL"/>
        </w:rPr>
        <w:t>בולע</w:t>
      </w:r>
      <w:r w:rsidRPr="00400C0B">
        <w:rPr>
          <w:rFonts w:cs="Guttman Rashi"/>
          <w:rtl/>
          <w:lang w:bidi="he-IL"/>
        </w:rPr>
        <w:t xml:space="preserve"> </w:t>
      </w:r>
      <w:r w:rsidRPr="00400C0B">
        <w:rPr>
          <w:rFonts w:cs="Guttman Rashi" w:hint="eastAsia"/>
          <w:rtl/>
          <w:lang w:bidi="he-IL"/>
        </w:rPr>
        <w:t>פעם</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חייבוהו</w:t>
      </w:r>
      <w:r w:rsidRPr="00400C0B">
        <w:rPr>
          <w:rFonts w:cs="Guttman Rashi"/>
          <w:rtl/>
          <w:lang w:bidi="he-IL"/>
        </w:rPr>
        <w:t xml:space="preserve"> </w:t>
      </w:r>
      <w:r w:rsidRPr="00400C0B">
        <w:rPr>
          <w:rFonts w:cs="Guttman Rashi" w:hint="eastAsia"/>
          <w:rtl/>
          <w:lang w:bidi="he-IL"/>
        </w:rPr>
        <w:t>להגעיל</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שמסתמא</w:t>
      </w:r>
      <w:r w:rsidRPr="00400C0B">
        <w:rPr>
          <w:rFonts w:cs="Guttman Rashi"/>
          <w:rtl/>
          <w:lang w:bidi="he-IL"/>
        </w:rPr>
        <w:t xml:space="preserve"> </w:t>
      </w:r>
      <w:r w:rsidRPr="00400C0B">
        <w:rPr>
          <w:rFonts w:cs="Guttman Rashi" w:hint="eastAsia"/>
          <w:rtl/>
          <w:lang w:bidi="he-IL"/>
        </w:rPr>
        <w:t>בא</w:t>
      </w:r>
      <w:r w:rsidRPr="00400C0B">
        <w:rPr>
          <w:rFonts w:cs="Guttman Rashi"/>
          <w:rtl/>
          <w:lang w:bidi="he-IL"/>
        </w:rPr>
        <w:t xml:space="preserve">' </w:t>
      </w:r>
      <w:r w:rsidRPr="00400C0B">
        <w:rPr>
          <w:rFonts w:cs="Guttman Rashi" w:hint="eastAsia"/>
          <w:rtl/>
          <w:lang w:bidi="he-IL"/>
        </w:rPr>
        <w:t>הימים</w:t>
      </w:r>
      <w:r w:rsidRPr="00400C0B">
        <w:rPr>
          <w:rFonts w:cs="Guttman Rashi"/>
          <w:rtl/>
          <w:lang w:bidi="he-IL"/>
        </w:rPr>
        <w:t xml:space="preserve"> </w:t>
      </w:r>
      <w:r w:rsidRPr="00400C0B">
        <w:rPr>
          <w:rFonts w:cs="Guttman Rashi" w:hint="eastAsia"/>
          <w:rtl/>
          <w:lang w:bidi="he-IL"/>
        </w:rPr>
        <w:t>ישתמש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בחמין</w:t>
      </w:r>
      <w:r w:rsidRPr="00400C0B">
        <w:rPr>
          <w:rFonts w:cs="Guttman Rashi"/>
          <w:rtl/>
          <w:lang w:bidi="he-IL"/>
        </w:rPr>
        <w:t xml:space="preserve"> </w:t>
      </w:r>
      <w:r w:rsidRPr="00400C0B">
        <w:rPr>
          <w:rFonts w:cs="Guttman Rashi" w:hint="eastAsia"/>
          <w:rtl/>
          <w:lang w:bidi="he-IL"/>
        </w:rPr>
        <w:t>ויאסר</w:t>
      </w:r>
      <w:r w:rsidRPr="00400C0B">
        <w:rPr>
          <w:rFonts w:cs="Guttman Rashi"/>
          <w:rtl/>
          <w:lang w:bidi="he-IL"/>
        </w:rPr>
        <w:t xml:space="preserve"> </w:t>
      </w:r>
      <w:r w:rsidRPr="00400C0B">
        <w:rPr>
          <w:rFonts w:cs="Guttman Rashi" w:hint="eastAsia"/>
          <w:rtl/>
          <w:lang w:bidi="he-IL"/>
        </w:rPr>
        <w:t>התבשיל</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p>
    <w:p w:rsidR="007978F4" w:rsidRPr="00400C0B" w:rsidRDefault="007978F4" w:rsidP="004C7F52">
      <w:pPr>
        <w:pStyle w:val="FootnoteText"/>
        <w:bidi/>
        <w:jc w:val="both"/>
        <w:rPr>
          <w:rFonts w:cs="Guttman Rashi"/>
          <w:rtl/>
          <w:lang w:bidi="he-IL"/>
        </w:rPr>
      </w:pP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במילואים</w:t>
      </w:r>
      <w:r w:rsidRPr="00400C0B">
        <w:rPr>
          <w:rFonts w:cs="Guttman Rashi"/>
          <w:rtl/>
          <w:lang w:bidi="he-IL"/>
        </w:rPr>
        <w:t xml:space="preserve"> </w:t>
      </w:r>
      <w:r w:rsidRPr="00400C0B">
        <w:rPr>
          <w:rFonts w:cs="Guttman Rashi" w:hint="eastAsia"/>
          <w:rtl/>
          <w:lang w:bidi="he-IL"/>
        </w:rPr>
        <w:t>להערות</w:t>
      </w:r>
      <w:r w:rsidRPr="00400C0B">
        <w:rPr>
          <w:rFonts w:cs="Guttman Rashi"/>
          <w:rtl/>
          <w:lang w:bidi="he-IL"/>
        </w:rPr>
        <w:t xml:space="preserve"> </w:t>
      </w:r>
      <w:r w:rsidRPr="00400C0B">
        <w:rPr>
          <w:rFonts w:cs="Guttman Rashi" w:hint="eastAsia"/>
          <w:rtl/>
          <w:lang w:bidi="he-IL"/>
        </w:rPr>
        <w:t>צפחת</w:t>
      </w:r>
      <w:r w:rsidRPr="00400C0B">
        <w:rPr>
          <w:rFonts w:cs="Guttman Rashi"/>
          <w:rtl/>
          <w:lang w:bidi="he-IL"/>
        </w:rPr>
        <w:t xml:space="preserve"> </w:t>
      </w:r>
      <w:r w:rsidRPr="00400C0B">
        <w:rPr>
          <w:rFonts w:cs="Guttman Rashi" w:hint="eastAsia"/>
          <w:rtl/>
          <w:lang w:bidi="he-IL"/>
        </w:rPr>
        <w:t>שמן</w:t>
      </w:r>
      <w:r w:rsidRPr="00400C0B">
        <w:rPr>
          <w:rFonts w:cs="Guttman Rashi"/>
          <w:rtl/>
          <w:lang w:bidi="he-IL"/>
        </w:rPr>
        <w:t xml:space="preserve"> </w:t>
      </w:r>
      <w:r w:rsidRPr="00400C0B">
        <w:rPr>
          <w:rFonts w:cs="Guttman Rashi" w:hint="eastAsia"/>
          <w:rtl/>
          <w:lang w:bidi="he-IL"/>
        </w:rPr>
        <w:t>למקו</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תנ</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שג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העיר</w:t>
      </w:r>
      <w:r w:rsidRPr="00400C0B">
        <w:rPr>
          <w:rFonts w:cs="Guttman Rashi"/>
          <w:rtl/>
          <w:lang w:bidi="he-IL"/>
        </w:rPr>
        <w:t xml:space="preserve"> </w:t>
      </w:r>
      <w:r w:rsidRPr="00400C0B">
        <w:rPr>
          <w:rFonts w:cs="Guttman Rashi" w:hint="eastAsia"/>
          <w:rtl/>
          <w:lang w:bidi="he-IL"/>
        </w:rPr>
        <w:t>מגמ</w:t>
      </w:r>
      <w:r w:rsidRPr="00400C0B">
        <w:rPr>
          <w:rFonts w:cs="Guttman Rashi"/>
          <w:rtl/>
          <w:lang w:bidi="he-IL"/>
        </w:rPr>
        <w:t xml:space="preserve">' </w:t>
      </w:r>
      <w:r w:rsidRPr="00400C0B">
        <w:rPr>
          <w:rFonts w:cs="Guttman Rashi" w:hint="eastAsia"/>
          <w:rtl/>
          <w:lang w:bidi="he-IL"/>
        </w:rPr>
        <w:t>דמס</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ועוד</w:t>
      </w:r>
      <w:r w:rsidRPr="00400C0B">
        <w:rPr>
          <w:rFonts w:cs="Guttman Rashi"/>
          <w:rtl/>
          <w:lang w:bidi="he-IL"/>
        </w:rPr>
        <w:t xml:space="preserve"> </w:t>
      </w:r>
      <w:r>
        <w:rPr>
          <w:rFonts w:cs="Guttman Rashi" w:hint="eastAsia"/>
          <w:rtl/>
          <w:lang w:bidi="he-IL"/>
        </w:rPr>
        <w:t>ה</w:t>
      </w:r>
      <w:r w:rsidRPr="00400C0B">
        <w:rPr>
          <w:rFonts w:cs="Guttman Rashi" w:hint="eastAsia"/>
          <w:rtl/>
          <w:lang w:bidi="he-IL"/>
        </w:rPr>
        <w:t>ביא</w:t>
      </w:r>
      <w:r w:rsidRPr="00400C0B">
        <w:rPr>
          <w:rFonts w:cs="Guttman Rashi"/>
          <w:rtl/>
          <w:lang w:bidi="he-IL"/>
        </w:rPr>
        <w:t xml:space="preserve"> </w:t>
      </w:r>
      <w:r w:rsidRPr="00400C0B">
        <w:rPr>
          <w:rFonts w:cs="Guttman Rashi" w:hint="eastAsia"/>
          <w:rtl/>
          <w:lang w:bidi="he-IL"/>
        </w:rPr>
        <w:t>משבלי</w:t>
      </w:r>
      <w:r w:rsidRPr="00400C0B">
        <w:rPr>
          <w:rFonts w:cs="Guttman Rashi"/>
          <w:rtl/>
          <w:lang w:bidi="he-IL"/>
        </w:rPr>
        <w:t xml:space="preserve"> </w:t>
      </w:r>
      <w:r w:rsidRPr="00400C0B">
        <w:rPr>
          <w:rFonts w:cs="Guttman Rashi" w:hint="eastAsia"/>
          <w:rtl/>
          <w:lang w:bidi="he-IL"/>
        </w:rPr>
        <w:t>הלקט</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שמבואר</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דמהני</w:t>
      </w:r>
      <w:r w:rsidRPr="00400C0B">
        <w:rPr>
          <w:rFonts w:cs="Guttman Rashi"/>
          <w:rtl/>
          <w:lang w:bidi="he-IL"/>
        </w:rPr>
        <w:t xml:space="preserve"> </w:t>
      </w:r>
      <w:r w:rsidRPr="00400C0B">
        <w:rPr>
          <w:rFonts w:cs="Guttman Rashi" w:hint="eastAsia"/>
          <w:rtl/>
          <w:lang w:bidi="he-IL"/>
        </w:rPr>
        <w:t>רוב</w:t>
      </w:r>
      <w:r w:rsidRPr="00400C0B">
        <w:rPr>
          <w:rFonts w:cs="Guttman Rashi"/>
          <w:rtl/>
          <w:lang w:bidi="he-IL"/>
        </w:rPr>
        <w:t xml:space="preserve"> </w:t>
      </w:r>
      <w:r w:rsidRPr="00400C0B">
        <w:rPr>
          <w:rFonts w:cs="Guttman Rashi" w:hint="eastAsia"/>
          <w:rtl/>
          <w:lang w:bidi="he-IL"/>
        </w:rPr>
        <w:t>תשמישתו</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Pr>
          <w:rFonts w:cs="Guttman Rashi" w:hint="cs"/>
          <w:rtl/>
          <w:lang w:bidi="he-IL"/>
        </w:rPr>
        <w:t>ג</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יומו</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Pr>
          <w:rFonts w:cs="Guttman Rashi" w:hint="eastAsia"/>
          <w:rtl/>
          <w:lang w:bidi="he-IL"/>
        </w:rPr>
        <w:t>ש</w:t>
      </w:r>
      <w:r w:rsidRPr="00400C0B">
        <w:rPr>
          <w:rFonts w:cs="Guttman Rashi" w:hint="eastAsia"/>
          <w:rtl/>
          <w:lang w:bidi="he-IL"/>
        </w:rPr>
        <w:t>צידד</w:t>
      </w:r>
      <w:r w:rsidRPr="00400C0B">
        <w:rPr>
          <w:rFonts w:cs="Guttman Rashi"/>
          <w:rtl/>
          <w:lang w:bidi="he-IL"/>
        </w:rPr>
        <w:t xml:space="preserve"> </w:t>
      </w:r>
      <w:r w:rsidRPr="00400C0B">
        <w:rPr>
          <w:rFonts w:cs="Guttman Rashi" w:hint="eastAsia"/>
          <w:rtl/>
          <w:lang w:bidi="he-IL"/>
        </w:rPr>
        <w:t>דיתכן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רש</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לשיטתו</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דקיי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מדרבנן</w:t>
      </w:r>
      <w:r w:rsidRPr="00400C0B">
        <w:rPr>
          <w:rFonts w:cs="Guttman Rashi"/>
          <w:rtl/>
          <w:lang w:bidi="he-IL"/>
        </w:rPr>
        <w:t xml:space="preserve">.      </w:t>
      </w:r>
    </w:p>
  </w:footnote>
  <w:footnote w:id="531">
    <w:p w:rsidR="007978F4" w:rsidRPr="00400C0B" w:rsidRDefault="007978F4" w:rsidP="00814A34">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וכדבריו</w:t>
      </w:r>
      <w:r w:rsidRPr="00400C0B">
        <w:rPr>
          <w:rFonts w:cs="Guttman Rashi"/>
          <w:rtl/>
          <w:lang w:bidi="he-IL"/>
        </w:rPr>
        <w:t xml:space="preserve"> </w:t>
      </w:r>
      <w:r w:rsidRPr="00400C0B">
        <w:rPr>
          <w:rFonts w:cs="Guttman Rashi" w:hint="eastAsia"/>
          <w:rtl/>
          <w:lang w:bidi="he-IL"/>
        </w:rPr>
        <w:t>מדויק</w:t>
      </w:r>
      <w:r w:rsidRPr="00400C0B">
        <w:rPr>
          <w:rFonts w:cs="Guttman Rashi"/>
          <w:rtl/>
          <w:lang w:bidi="he-IL"/>
        </w:rPr>
        <w:t xml:space="preserve"> </w:t>
      </w:r>
      <w:r w:rsidRPr="00400C0B">
        <w:rPr>
          <w:rFonts w:cs="Guttman Rashi" w:hint="eastAsia"/>
          <w:rtl/>
          <w:lang w:bidi="he-IL"/>
        </w:rPr>
        <w:t>ברמ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בסי</w:t>
      </w:r>
      <w:r w:rsidRPr="00400C0B">
        <w:rPr>
          <w:rFonts w:cs="Guttman Rashi"/>
          <w:rtl/>
          <w:lang w:bidi="he-IL"/>
        </w:rPr>
        <w:t xml:space="preserve">' </w:t>
      </w:r>
      <w:r w:rsidRPr="00400C0B">
        <w:rPr>
          <w:rFonts w:cs="Guttman Rashi" w:hint="eastAsia"/>
          <w:rtl/>
          <w:lang w:bidi="he-IL"/>
        </w:rPr>
        <w:t>תנ</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סע</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מן</w:t>
      </w:r>
      <w:r>
        <w:rPr>
          <w:rFonts w:cs="Guttman Rashi" w:hint="cs"/>
          <w:rtl/>
          <w:lang w:bidi="he-IL"/>
        </w:rPr>
        <w:t xml:space="preserve"> </w:t>
      </w:r>
      <w:r w:rsidRPr="00400C0B">
        <w:rPr>
          <w:rFonts w:cs="Guttman Rashi" w:hint="eastAsia"/>
          <w:rtl/>
          <w:lang w:bidi="he-IL"/>
        </w:rPr>
        <w:t>הראשונים</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שהערה</w:t>
      </w:r>
      <w:r w:rsidRPr="00400C0B">
        <w:rPr>
          <w:rFonts w:cs="Guttman Rashi"/>
          <w:rtl/>
          <w:lang w:bidi="he-IL"/>
        </w:rPr>
        <w:t xml:space="preserve"> </w:t>
      </w:r>
      <w:r w:rsidRPr="00400C0B">
        <w:rPr>
          <w:rFonts w:cs="Guttman Rashi" w:hint="eastAsia"/>
          <w:rtl/>
          <w:lang w:bidi="he-IL"/>
        </w:rPr>
        <w:t>הקודמת</w:t>
      </w:r>
      <w:r w:rsidRPr="00400C0B">
        <w:rPr>
          <w:rFonts w:cs="Guttman Rashi"/>
          <w:rtl/>
          <w:lang w:bidi="he-IL"/>
        </w:rPr>
        <w:t xml:space="preserve">.  </w:t>
      </w:r>
    </w:p>
  </w:footnote>
  <w:footnote w:id="53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בקונ</w:t>
      </w:r>
      <w:r w:rsidRPr="00400C0B">
        <w:rPr>
          <w:rFonts w:cs="Guttman Rashi"/>
          <w:rtl/>
          <w:lang w:bidi="he-IL"/>
        </w:rPr>
        <w:t xml:space="preserve">' </w:t>
      </w:r>
      <w:r w:rsidRPr="00400C0B">
        <w:rPr>
          <w:rFonts w:cs="Guttman Rashi" w:hint="eastAsia"/>
          <w:rtl/>
          <w:lang w:bidi="he-IL"/>
        </w:rPr>
        <w:t>שבסוף</w:t>
      </w:r>
      <w:r w:rsidRPr="00400C0B">
        <w:rPr>
          <w:rFonts w:cs="Guttman Rashi"/>
          <w:rtl/>
          <w:lang w:bidi="he-IL"/>
        </w:rPr>
        <w:t xml:space="preserve"> </w:t>
      </w:r>
      <w:r w:rsidRPr="00400C0B">
        <w:rPr>
          <w:rFonts w:cs="Guttman Rashi" w:hint="eastAsia"/>
          <w:rtl/>
          <w:lang w:bidi="he-IL"/>
        </w:rPr>
        <w:t>הספר</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שמהלשון</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שולל</w:t>
      </w:r>
      <w:r w:rsidRPr="00400C0B">
        <w:rPr>
          <w:rFonts w:cs="Guttman Rashi"/>
          <w:rtl/>
          <w:lang w:bidi="he-IL"/>
        </w:rPr>
        <w:t xml:space="preserve"> </w:t>
      </w:r>
      <w:r w:rsidRPr="00400C0B">
        <w:rPr>
          <w:rFonts w:cs="Guttman Rashi" w:hint="eastAsia"/>
          <w:rtl/>
          <w:lang w:bidi="he-IL"/>
        </w:rPr>
        <w:t>ההכשר</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נעיצה</w:t>
      </w:r>
      <w:r w:rsidRPr="00400C0B">
        <w:rPr>
          <w:rFonts w:cs="Guttman Rashi"/>
          <w:rtl/>
          <w:lang w:bidi="he-IL"/>
        </w:rPr>
        <w:t xml:space="preserve"> </w:t>
      </w:r>
      <w:r w:rsidRPr="00400C0B">
        <w:rPr>
          <w:rFonts w:cs="Guttman Rashi" w:hint="eastAsia"/>
          <w:rtl/>
          <w:lang w:bidi="he-IL"/>
        </w:rPr>
        <w:t>מכל</w:t>
      </w:r>
      <w:r w:rsidRPr="00400C0B">
        <w:rPr>
          <w:rFonts w:cs="Guttman Rashi"/>
          <w:rtl/>
          <w:lang w:bidi="he-IL"/>
        </w:rPr>
        <w:t xml:space="preserve"> </w:t>
      </w:r>
      <w:r w:rsidRPr="00400C0B">
        <w:rPr>
          <w:rFonts w:cs="Guttman Rashi" w:hint="eastAsia"/>
          <w:rtl/>
          <w:lang w:bidi="he-IL"/>
        </w:rPr>
        <w:t>וכל</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שרצוי</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לסמוך</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הספק</w:t>
      </w:r>
      <w:r w:rsidRPr="00400C0B">
        <w:rPr>
          <w:rFonts w:cs="Guttman Rashi"/>
          <w:rtl/>
          <w:lang w:bidi="he-IL"/>
        </w:rPr>
        <w:t xml:space="preserve"> </w:t>
      </w:r>
      <w:r w:rsidRPr="00400C0B">
        <w:rPr>
          <w:rFonts w:cs="Guttman Rashi" w:hint="eastAsia"/>
          <w:rtl/>
          <w:lang w:bidi="he-IL"/>
        </w:rPr>
        <w:t>איזה</w:t>
      </w:r>
      <w:r w:rsidRPr="00400C0B">
        <w:rPr>
          <w:rFonts w:cs="Guttman Rashi"/>
          <w:rtl/>
          <w:lang w:bidi="he-IL"/>
        </w:rPr>
        <w:t xml:space="preserve"> </w:t>
      </w:r>
      <w:r w:rsidRPr="00400C0B">
        <w:rPr>
          <w:rFonts w:cs="Guttman Rashi" w:hint="eastAsia"/>
          <w:rtl/>
          <w:lang w:bidi="he-IL"/>
        </w:rPr>
        <w:t>קרקע</w:t>
      </w:r>
      <w:r w:rsidRPr="00400C0B">
        <w:rPr>
          <w:rFonts w:cs="Guttman Rashi"/>
          <w:rtl/>
          <w:lang w:bidi="he-IL"/>
        </w:rPr>
        <w:t xml:space="preserve"> </w:t>
      </w:r>
      <w:r w:rsidRPr="00400C0B">
        <w:rPr>
          <w:rFonts w:cs="Guttman Rashi" w:hint="eastAsia"/>
          <w:rtl/>
          <w:lang w:bidi="he-IL"/>
        </w:rPr>
        <w:t>כשרה</w:t>
      </w:r>
      <w:r w:rsidRPr="00400C0B">
        <w:rPr>
          <w:rFonts w:cs="Guttman Rashi"/>
          <w:rtl/>
          <w:lang w:bidi="he-IL"/>
        </w:rPr>
        <w:t xml:space="preserve"> </w:t>
      </w:r>
      <w:r w:rsidRPr="00400C0B">
        <w:rPr>
          <w:rFonts w:cs="Guttman Rashi" w:hint="eastAsia"/>
          <w:rtl/>
          <w:lang w:bidi="he-IL"/>
        </w:rPr>
        <w:t>לנעיצה</w:t>
      </w:r>
      <w:r w:rsidRPr="00400C0B">
        <w:rPr>
          <w:rFonts w:cs="Guttman Rashi"/>
          <w:rtl/>
          <w:lang w:bidi="he-IL"/>
        </w:rPr>
        <w:t xml:space="preserve"> </w:t>
      </w:r>
      <w:r w:rsidRPr="00400C0B">
        <w:rPr>
          <w:rFonts w:cs="Guttman Rashi" w:hint="eastAsia"/>
          <w:rtl/>
          <w:lang w:bidi="he-IL"/>
        </w:rPr>
        <w:t>ואיזה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p>
  </w:footnote>
  <w:footnote w:id="53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איסורים</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להשהותם</w:t>
      </w:r>
      <w:r w:rsidRPr="00400C0B">
        <w:rPr>
          <w:rFonts w:cs="Guttman Rashi"/>
          <w:rtl/>
          <w:lang w:bidi="he-IL"/>
        </w:rPr>
        <w:t xml:space="preserve"> </w:t>
      </w:r>
      <w:r w:rsidRPr="00400C0B">
        <w:rPr>
          <w:rFonts w:cs="Guttman Rashi" w:hint="eastAsia"/>
          <w:rtl/>
          <w:lang w:bidi="he-IL"/>
        </w:rPr>
        <w:t>אצלו</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דבדיל</w:t>
      </w:r>
      <w:r w:rsidRPr="00400C0B">
        <w:rPr>
          <w:rFonts w:cs="Guttman Rashi"/>
          <w:rtl/>
          <w:lang w:bidi="he-IL"/>
        </w:rPr>
        <w:t xml:space="preserve"> </w:t>
      </w:r>
      <w:r w:rsidRPr="00400C0B">
        <w:rPr>
          <w:rFonts w:cs="Guttman Rashi" w:hint="eastAsia"/>
          <w:rtl/>
          <w:lang w:bidi="he-IL"/>
        </w:rPr>
        <w:t>מיני</w:t>
      </w:r>
      <w:r w:rsidRPr="00400C0B">
        <w:rPr>
          <w:rFonts w:cs="Guttman Rashi"/>
          <w:rtl/>
          <w:lang w:bidi="he-IL"/>
        </w:rPr>
        <w:t xml:space="preserve">' –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מבוארבשפ</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p>
  </w:footnote>
  <w:footnote w:id="53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וכפשוטו</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דחמץ</w:t>
      </w:r>
      <w:r w:rsidRPr="00400C0B">
        <w:rPr>
          <w:rFonts w:cs="Guttman Rashi"/>
          <w:rtl/>
          <w:lang w:bidi="he-IL"/>
        </w:rPr>
        <w:t xml:space="preserve"> </w:t>
      </w:r>
      <w:r w:rsidRPr="00400C0B">
        <w:rPr>
          <w:rFonts w:cs="Guttman Rashi" w:hint="eastAsia"/>
          <w:rtl/>
          <w:lang w:bidi="he-IL"/>
        </w:rPr>
        <w:t>מיקרי</w:t>
      </w:r>
      <w:r w:rsidRPr="00400C0B">
        <w:rPr>
          <w:rFonts w:cs="Guttman Rashi"/>
          <w:rtl/>
          <w:lang w:bidi="he-IL"/>
        </w:rPr>
        <w:t xml:space="preserve"> </w:t>
      </w:r>
      <w:r w:rsidRPr="00400C0B">
        <w:rPr>
          <w:rFonts w:cs="Guttman Rashi" w:hint="eastAsia"/>
          <w:rtl/>
          <w:lang w:bidi="he-IL"/>
        </w:rPr>
        <w:t>איסורא</w:t>
      </w:r>
      <w:r w:rsidRPr="00400C0B">
        <w:rPr>
          <w:rFonts w:cs="Guttman Rashi"/>
          <w:rtl/>
          <w:lang w:bidi="he-IL"/>
        </w:rPr>
        <w:t xml:space="preserve"> </w:t>
      </w:r>
      <w:r w:rsidRPr="00400C0B">
        <w:rPr>
          <w:rFonts w:cs="Guttman Rashi" w:hint="eastAsia"/>
          <w:rtl/>
          <w:lang w:bidi="he-IL"/>
        </w:rPr>
        <w:t>מעיקר</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דאל</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האיך</w:t>
      </w:r>
      <w:r w:rsidRPr="00400C0B">
        <w:rPr>
          <w:rFonts w:cs="Guttman Rashi"/>
          <w:rtl/>
          <w:lang w:bidi="he-IL"/>
        </w:rPr>
        <w:t xml:space="preserve"> </w:t>
      </w:r>
      <w:r w:rsidRPr="00400C0B">
        <w:rPr>
          <w:rFonts w:cs="Guttman Rashi" w:hint="eastAsia"/>
          <w:rtl/>
          <w:lang w:bidi="he-IL"/>
        </w:rPr>
        <w:t>מיקל</w:t>
      </w:r>
      <w:r w:rsidRPr="00400C0B">
        <w:rPr>
          <w:rFonts w:cs="Guttman Rashi"/>
          <w:rtl/>
          <w:lang w:bidi="he-IL"/>
        </w:rPr>
        <w:t xml:space="preserve"> </w:t>
      </w:r>
      <w:r w:rsidRPr="00400C0B">
        <w:rPr>
          <w:rFonts w:cs="Guttman Rashi" w:hint="eastAsia"/>
          <w:rtl/>
          <w:lang w:bidi="he-IL"/>
        </w:rPr>
        <w:t>בדיעבד</w:t>
      </w:r>
      <w:r w:rsidRPr="00400C0B">
        <w:rPr>
          <w:rFonts w:cs="Guttman Rashi"/>
          <w:rtl/>
          <w:lang w:bidi="he-IL"/>
        </w:rPr>
        <w:t xml:space="preserve"> </w:t>
      </w:r>
      <w:r w:rsidRPr="00400C0B">
        <w:rPr>
          <w:rFonts w:cs="Guttman Rashi" w:hint="eastAsia"/>
          <w:rtl/>
          <w:lang w:bidi="he-IL"/>
        </w:rPr>
        <w:t>כמ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דאזלינן</w:t>
      </w:r>
      <w:r w:rsidRPr="00400C0B">
        <w:rPr>
          <w:rFonts w:cs="Guttman Rashi"/>
          <w:rtl/>
          <w:lang w:bidi="he-IL"/>
        </w:rPr>
        <w:t xml:space="preserve"> </w:t>
      </w:r>
      <w:r w:rsidRPr="00400C0B">
        <w:rPr>
          <w:rFonts w:cs="Guttman Rashi" w:hint="eastAsia"/>
          <w:rtl/>
          <w:lang w:bidi="he-IL"/>
        </w:rPr>
        <w:t>בתר</w:t>
      </w:r>
      <w:r w:rsidRPr="00400C0B">
        <w:rPr>
          <w:rFonts w:cs="Guttman Rashi"/>
          <w:rtl/>
          <w:lang w:bidi="he-IL"/>
        </w:rPr>
        <w:t xml:space="preserve"> </w:t>
      </w:r>
      <w:r w:rsidRPr="00400C0B">
        <w:rPr>
          <w:rFonts w:cs="Guttman Rashi" w:hint="eastAsia"/>
          <w:rtl/>
          <w:lang w:bidi="he-IL"/>
        </w:rPr>
        <w:t>רוב</w:t>
      </w:r>
      <w:r w:rsidRPr="00400C0B">
        <w:rPr>
          <w:rFonts w:cs="Guttman Rashi"/>
          <w:rtl/>
          <w:lang w:bidi="he-IL"/>
        </w:rPr>
        <w:t xml:space="preserve"> </w:t>
      </w:r>
      <w:r w:rsidRPr="00400C0B">
        <w:rPr>
          <w:rFonts w:cs="Guttman Rashi" w:hint="eastAsia"/>
          <w:rtl/>
          <w:lang w:bidi="he-IL"/>
        </w:rPr>
        <w:t>תשמישתו</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שהמקור</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סכין</w:t>
      </w:r>
      <w:r w:rsidRPr="00400C0B">
        <w:rPr>
          <w:rFonts w:cs="Guttman Rashi"/>
          <w:rtl/>
          <w:lang w:bidi="he-IL"/>
        </w:rPr>
        <w:t xml:space="preserve"> </w:t>
      </w:r>
      <w:r w:rsidRPr="00400C0B">
        <w:rPr>
          <w:rFonts w:cs="Guttman Rashi" w:hint="eastAsia"/>
          <w:rtl/>
          <w:lang w:bidi="he-IL"/>
        </w:rPr>
        <w:t>בפסח</w:t>
      </w:r>
      <w:r w:rsidRPr="00400C0B">
        <w:rPr>
          <w:rFonts w:cs="Guttman Rashi"/>
          <w:rtl/>
          <w:lang w:bidi="he-IL"/>
        </w:rPr>
        <w:t xml:space="preserve">, </w:t>
      </w:r>
      <w:r w:rsidRPr="00400C0B">
        <w:rPr>
          <w:rFonts w:cs="Guttman Rashi" w:hint="eastAsia"/>
          <w:rtl/>
          <w:lang w:bidi="he-IL"/>
        </w:rPr>
        <w:t>ובזה</w:t>
      </w:r>
      <w:r w:rsidRPr="00400C0B">
        <w:rPr>
          <w:rFonts w:cs="Guttman Rashi"/>
          <w:rtl/>
          <w:lang w:bidi="he-IL"/>
        </w:rPr>
        <w:t xml:space="preserve"> </w:t>
      </w:r>
      <w:r w:rsidRPr="00400C0B">
        <w:rPr>
          <w:rFonts w:cs="Guttman Rashi" w:hint="eastAsia"/>
          <w:rtl/>
          <w:lang w:bidi="he-IL"/>
        </w:rPr>
        <w:t>שפיר</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כראב</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בהקדמת</w:t>
      </w:r>
      <w:r w:rsidRPr="00400C0B">
        <w:rPr>
          <w:rFonts w:cs="Guttman Rashi"/>
          <w:rtl/>
          <w:lang w:bidi="he-IL"/>
        </w:rPr>
        <w:t xml:space="preserve"> </w:t>
      </w:r>
      <w:r w:rsidRPr="00400C0B">
        <w:rPr>
          <w:rFonts w:cs="Guttman Rashi" w:hint="eastAsia"/>
          <w:rtl/>
          <w:lang w:bidi="he-IL"/>
        </w:rPr>
        <w:t>המ</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שבס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ומשו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נלעוק</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תמוה</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בשעה</w:t>
      </w:r>
      <w:r w:rsidRPr="00400C0B">
        <w:rPr>
          <w:rFonts w:cs="Guttman Rashi"/>
          <w:rtl/>
          <w:lang w:bidi="he-IL"/>
        </w:rPr>
        <w:t>"</w:t>
      </w:r>
      <w:r w:rsidRPr="00400C0B">
        <w:rPr>
          <w:rFonts w:cs="Guttman Rashi" w:hint="eastAsia"/>
          <w:rtl/>
          <w:lang w:bidi="he-IL"/>
        </w:rPr>
        <w:t>צ</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אולי</w:t>
      </w:r>
      <w:r w:rsidRPr="00400C0B">
        <w:rPr>
          <w:rFonts w:cs="Guttman Rashi"/>
          <w:rtl/>
          <w:lang w:bidi="he-IL"/>
        </w:rPr>
        <w:t xml:space="preserve"> </w:t>
      </w:r>
      <w:r w:rsidRPr="00400C0B">
        <w:rPr>
          <w:rFonts w:cs="Guttman Rashi" w:hint="eastAsia"/>
          <w:rtl/>
          <w:lang w:bidi="he-IL"/>
        </w:rPr>
        <w:t>לצדד</w:t>
      </w:r>
      <w:r w:rsidRPr="00400C0B">
        <w:rPr>
          <w:rFonts w:cs="Guttman Rashi"/>
          <w:rtl/>
          <w:lang w:bidi="he-IL"/>
        </w:rPr>
        <w:t xml:space="preserve"> </w:t>
      </w:r>
      <w:r w:rsidRPr="00400C0B">
        <w:rPr>
          <w:rFonts w:cs="Guttman Rashi" w:hint="eastAsia"/>
          <w:rtl/>
          <w:lang w:bidi="he-IL"/>
        </w:rPr>
        <w:t>לדעת</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שאפשר</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כשיטה</w:t>
      </w:r>
      <w:r w:rsidRPr="00400C0B">
        <w:rPr>
          <w:rFonts w:cs="Guttman Rashi"/>
          <w:rtl/>
          <w:lang w:bidi="he-IL"/>
        </w:rPr>
        <w:t xml:space="preserve"> </w:t>
      </w:r>
      <w:r w:rsidRPr="00400C0B">
        <w:rPr>
          <w:rFonts w:cs="Guttman Rashi" w:hint="eastAsia"/>
          <w:rtl/>
          <w:lang w:bidi="he-IL"/>
        </w:rPr>
        <w:t>הסוברת</w:t>
      </w:r>
      <w:r w:rsidRPr="00400C0B">
        <w:rPr>
          <w:rFonts w:cs="Guttman Rashi"/>
          <w:rtl/>
          <w:lang w:bidi="he-IL"/>
        </w:rPr>
        <w:t xml:space="preserve"> </w:t>
      </w:r>
      <w:r w:rsidRPr="00400C0B">
        <w:rPr>
          <w:rFonts w:cs="Guttman Rashi" w:hint="eastAsia"/>
          <w:rtl/>
          <w:lang w:bidi="he-IL"/>
        </w:rPr>
        <w:t>דחמץ</w:t>
      </w:r>
      <w:r w:rsidRPr="00400C0B">
        <w:rPr>
          <w:rFonts w:cs="Guttman Rashi"/>
          <w:rtl/>
          <w:lang w:bidi="he-IL"/>
        </w:rPr>
        <w:t xml:space="preserve"> </w:t>
      </w:r>
      <w:r w:rsidRPr="00400C0B">
        <w:rPr>
          <w:rFonts w:cs="Guttman Rashi" w:hint="eastAsia"/>
          <w:rtl/>
          <w:lang w:bidi="he-IL"/>
        </w:rPr>
        <w:t>מיקרי</w:t>
      </w:r>
      <w:r w:rsidRPr="00400C0B">
        <w:rPr>
          <w:rFonts w:cs="Guttman Rashi"/>
          <w:rtl/>
          <w:lang w:bidi="he-IL"/>
        </w:rPr>
        <w:t xml:space="preserve"> </w:t>
      </w:r>
      <w:r w:rsidRPr="00400C0B">
        <w:rPr>
          <w:rFonts w:cs="Guttman Rashi" w:hint="eastAsia"/>
          <w:rtl/>
          <w:lang w:bidi="he-IL"/>
        </w:rPr>
        <w:t>היתירא</w:t>
      </w:r>
      <w:r w:rsidRPr="00400C0B">
        <w:rPr>
          <w:rFonts w:cs="Guttman Rashi"/>
          <w:rtl/>
          <w:lang w:bidi="he-IL"/>
        </w:rPr>
        <w:t xml:space="preserve"> </w:t>
      </w:r>
      <w:r w:rsidRPr="00400C0B">
        <w:rPr>
          <w:rFonts w:cs="Guttman Rashi" w:hint="eastAsia"/>
          <w:rtl/>
          <w:lang w:bidi="he-IL"/>
        </w:rPr>
        <w:t>בלע</w:t>
      </w:r>
      <w:r w:rsidRPr="00400C0B">
        <w:rPr>
          <w:rFonts w:cs="Guttman Rashi"/>
          <w:rtl/>
          <w:lang w:bidi="he-IL"/>
        </w:rPr>
        <w:t xml:space="preserve"> </w:t>
      </w:r>
      <w:r w:rsidRPr="00400C0B">
        <w:rPr>
          <w:rFonts w:cs="Guttman Rashi" w:hint="eastAsia"/>
          <w:rtl/>
          <w:lang w:bidi="he-IL"/>
        </w:rPr>
        <w:t>במקום</w:t>
      </w:r>
      <w:r w:rsidRPr="00400C0B">
        <w:rPr>
          <w:rFonts w:cs="Guttman Rashi"/>
          <w:rtl/>
          <w:lang w:bidi="he-IL"/>
        </w:rPr>
        <w:t xml:space="preserve"> </w:t>
      </w:r>
      <w:r w:rsidRPr="00400C0B">
        <w:rPr>
          <w:rFonts w:cs="Guttman Rashi" w:hint="eastAsia"/>
          <w:rtl/>
          <w:lang w:bidi="he-IL"/>
        </w:rPr>
        <w:t>הפמ</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ושמחת</w:t>
      </w:r>
      <w:r w:rsidRPr="00400C0B">
        <w:rPr>
          <w:rFonts w:cs="Guttman Rashi"/>
          <w:rtl/>
          <w:lang w:bidi="he-IL"/>
        </w:rPr>
        <w:t xml:space="preserve"> </w:t>
      </w:r>
      <w:r w:rsidRPr="00400C0B">
        <w:rPr>
          <w:rFonts w:cs="Guttman Rashi" w:hint="eastAsia"/>
          <w:rtl/>
          <w:lang w:bidi="he-IL"/>
        </w:rPr>
        <w:t>יו</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סמך</w:t>
      </w:r>
      <w:r w:rsidRPr="00400C0B">
        <w:rPr>
          <w:rFonts w:cs="Guttman Rashi"/>
          <w:rtl/>
          <w:lang w:bidi="he-IL"/>
        </w:rPr>
        <w:t xml:space="preserve"> </w:t>
      </w:r>
      <w:r w:rsidRPr="00400C0B">
        <w:rPr>
          <w:rFonts w:cs="Guttman Rashi" w:hint="eastAsia"/>
          <w:rtl/>
          <w:lang w:bidi="he-IL"/>
        </w:rPr>
        <w:t>שיטה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בלבד</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שעיקר</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דבשלמא</w:t>
      </w:r>
      <w:r w:rsidRPr="00400C0B">
        <w:rPr>
          <w:rFonts w:cs="Guttman Rashi"/>
          <w:rtl/>
          <w:lang w:bidi="he-IL"/>
        </w:rPr>
        <w:t xml:space="preserve"> </w:t>
      </w:r>
      <w:r w:rsidRPr="00400C0B">
        <w:rPr>
          <w:rFonts w:cs="Guttman Rashi" w:hint="eastAsia"/>
          <w:rtl/>
          <w:lang w:bidi="he-IL"/>
        </w:rPr>
        <w:t>באב</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דהוא</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בפסח</w:t>
      </w:r>
      <w:r w:rsidRPr="00400C0B">
        <w:rPr>
          <w:rFonts w:cs="Guttman Rashi"/>
          <w:rtl/>
          <w:lang w:bidi="he-IL"/>
        </w:rPr>
        <w:t xml:space="preserve"> </w:t>
      </w:r>
      <w:r w:rsidRPr="00400C0B">
        <w:rPr>
          <w:rFonts w:cs="Guttman Rashi" w:hint="eastAsia"/>
          <w:rtl/>
          <w:lang w:bidi="he-IL"/>
        </w:rPr>
        <w:t>שפיר</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שאפשר</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בצירף</w:t>
      </w:r>
      <w:r w:rsidRPr="00400C0B">
        <w:rPr>
          <w:rFonts w:cs="Guttman Rashi"/>
          <w:rtl/>
          <w:lang w:bidi="he-IL"/>
        </w:rPr>
        <w:t xml:space="preserve"> </w:t>
      </w:r>
      <w:r w:rsidRPr="00400C0B">
        <w:rPr>
          <w:rFonts w:cs="Guttman Rashi" w:hint="eastAsia"/>
          <w:rtl/>
          <w:lang w:bidi="he-IL"/>
        </w:rPr>
        <w:t>שיטה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איך</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ואע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ששני</w:t>
      </w:r>
      <w:r w:rsidRPr="00400C0B">
        <w:rPr>
          <w:rFonts w:cs="Guttman Rashi"/>
          <w:rtl/>
          <w:lang w:bidi="he-IL"/>
        </w:rPr>
        <w:t xml:space="preserve"> </w:t>
      </w:r>
      <w:r w:rsidRPr="00400C0B">
        <w:rPr>
          <w:rFonts w:cs="Guttman Rashi" w:hint="eastAsia"/>
          <w:rtl/>
          <w:lang w:bidi="he-IL"/>
        </w:rPr>
        <w:t>התירוצים</w:t>
      </w:r>
      <w:r w:rsidRPr="00400C0B">
        <w:rPr>
          <w:rFonts w:cs="Guttman Rashi"/>
          <w:rtl/>
          <w:lang w:bidi="he-IL"/>
        </w:rPr>
        <w:t xml:space="preserve"> </w:t>
      </w:r>
      <w:r w:rsidRPr="00400C0B">
        <w:rPr>
          <w:rFonts w:cs="Guttman Rashi" w:hint="eastAsia"/>
          <w:rtl/>
          <w:lang w:bidi="he-IL"/>
        </w:rPr>
        <w:t>אמת</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מצאנו</w:t>
      </w:r>
      <w:r w:rsidRPr="00400C0B">
        <w:rPr>
          <w:rFonts w:cs="Guttman Rashi"/>
          <w:rtl/>
          <w:lang w:bidi="he-IL"/>
        </w:rPr>
        <w:t xml:space="preserve"> </w:t>
      </w:r>
      <w:r w:rsidRPr="00400C0B">
        <w:rPr>
          <w:rFonts w:cs="Guttman Rashi" w:hint="eastAsia"/>
          <w:rtl/>
          <w:lang w:bidi="he-IL"/>
        </w:rPr>
        <w:t>לאף</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הקדמונים</w:t>
      </w:r>
      <w:r w:rsidRPr="00400C0B">
        <w:rPr>
          <w:rFonts w:cs="Guttman Rashi"/>
          <w:rtl/>
          <w:lang w:bidi="he-IL"/>
        </w:rPr>
        <w:t xml:space="preserve"> </w:t>
      </w:r>
      <w:r w:rsidRPr="00400C0B">
        <w:rPr>
          <w:rFonts w:cs="Guttman Rashi" w:hint="eastAsia"/>
          <w:rtl/>
          <w:lang w:bidi="he-IL"/>
        </w:rPr>
        <w:t>שכתבו</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w:t>
      </w:r>
    </w:p>
  </w:footnote>
  <w:footnote w:id="53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ובהערה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Ref488757351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547</w:t>
      </w:r>
      <w:r w:rsidRPr="00400C0B">
        <w:rPr>
          <w:rFonts w:cs="Guttman Rashi"/>
          <w:rtl/>
          <w:lang w:bidi="he-IL"/>
        </w:rPr>
        <w:fldChar w:fldCharType="end"/>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מקומות</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להם</w:t>
      </w:r>
      <w:r w:rsidRPr="00400C0B">
        <w:rPr>
          <w:rFonts w:cs="Guttman Rashi"/>
          <w:rtl/>
          <w:lang w:bidi="he-IL"/>
        </w:rPr>
        <w:t xml:space="preserve"> </w:t>
      </w:r>
      <w:r w:rsidRPr="00400C0B">
        <w:rPr>
          <w:rFonts w:cs="Guttman Rashi" w:hint="eastAsia"/>
          <w:rtl/>
          <w:lang w:bidi="he-IL"/>
        </w:rPr>
        <w:t>קושי</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w:t>
      </w:r>
    </w:p>
  </w:footnote>
  <w:footnote w:id="53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ריטב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למס</w:t>
      </w:r>
      <w:r w:rsidRPr="00400C0B">
        <w:rPr>
          <w:rFonts w:cs="Guttman Rashi"/>
          <w:rtl/>
          <w:lang w:bidi="he-IL"/>
        </w:rPr>
        <w:t xml:space="preserve">' </w:t>
      </w:r>
      <w:r w:rsidRPr="00400C0B">
        <w:rPr>
          <w:rFonts w:cs="Guttman Rashi" w:hint="eastAsia"/>
          <w:rtl/>
          <w:lang w:bidi="he-IL"/>
        </w:rPr>
        <w:t>פסחים</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וכתב</w:t>
      </w:r>
      <w:r w:rsidRPr="00400C0B">
        <w:rPr>
          <w:rFonts w:cs="Guttman Rashi"/>
          <w:rtl/>
          <w:lang w:bidi="he-IL"/>
        </w:rPr>
        <w:t xml:space="preserve">. </w:t>
      </w:r>
    </w:p>
  </w:footnote>
  <w:footnote w:id="53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דאילו</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האש</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כמות</w:t>
      </w:r>
      <w:r w:rsidRPr="00400C0B">
        <w:rPr>
          <w:rFonts w:cs="Guttman Rashi"/>
          <w:rtl/>
          <w:lang w:bidi="he-IL"/>
        </w:rPr>
        <w:t xml:space="preserve"> </w:t>
      </w:r>
      <w:r w:rsidRPr="00400C0B">
        <w:rPr>
          <w:rFonts w:cs="Guttman Rashi" w:hint="eastAsia"/>
          <w:rtl/>
          <w:lang w:bidi="he-IL"/>
        </w:rPr>
        <w:t>קטנה</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ביו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סע</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וגם</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רואה</w:t>
      </w:r>
      <w:r w:rsidRPr="00400C0B">
        <w:rPr>
          <w:rFonts w:cs="Guttman Rashi"/>
          <w:rtl/>
          <w:lang w:bidi="he-IL"/>
        </w:rPr>
        <w:t xml:space="preserve"> </w:t>
      </w:r>
      <w:r w:rsidRPr="00400C0B">
        <w:rPr>
          <w:rFonts w:cs="Guttman Rashi" w:hint="eastAsia"/>
          <w:rtl/>
          <w:lang w:bidi="he-IL"/>
        </w:rPr>
        <w:t>בתחתית</w:t>
      </w:r>
      <w:r w:rsidRPr="00400C0B">
        <w:rPr>
          <w:rFonts w:cs="Guttman Rashi"/>
          <w:rtl/>
          <w:lang w:bidi="he-IL"/>
        </w:rPr>
        <w:t xml:space="preserve"> </w:t>
      </w:r>
      <w:r w:rsidRPr="00400C0B">
        <w:rPr>
          <w:rFonts w:cs="Guttman Rashi" w:hint="eastAsia"/>
          <w:rtl/>
          <w:lang w:bidi="he-IL"/>
        </w:rPr>
        <w:t>הקדרה</w:t>
      </w:r>
      <w:r w:rsidRPr="00400C0B">
        <w:rPr>
          <w:rFonts w:cs="Guttman Rashi"/>
          <w:rtl/>
          <w:lang w:bidi="he-IL"/>
        </w:rPr>
        <w:t xml:space="preserve"> </w:t>
      </w:r>
      <w:r w:rsidRPr="00400C0B">
        <w:rPr>
          <w:rFonts w:cs="Guttman Rashi" w:hint="eastAsia"/>
          <w:rtl/>
          <w:lang w:bidi="he-IL"/>
        </w:rPr>
        <w:t>שנדבק</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מאכל</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נחלקו</w:t>
      </w:r>
      <w:r w:rsidRPr="00400C0B">
        <w:rPr>
          <w:rFonts w:cs="Guttman Rashi"/>
          <w:rtl/>
          <w:lang w:bidi="he-IL"/>
        </w:rPr>
        <w:t xml:space="preserve"> </w:t>
      </w:r>
      <w:r w:rsidRPr="00400C0B">
        <w:rPr>
          <w:rFonts w:cs="Guttman Rashi" w:hint="eastAsia"/>
          <w:rtl/>
          <w:lang w:bidi="he-IL"/>
        </w:rPr>
        <w:t>הפוסקים</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הקדירה</w:t>
      </w:r>
      <w:r w:rsidRPr="00400C0B">
        <w:rPr>
          <w:rFonts w:cs="Guttman Rashi"/>
          <w:rtl/>
          <w:lang w:bidi="he-IL"/>
        </w:rPr>
        <w:t xml:space="preserve"> </w:t>
      </w:r>
      <w:r w:rsidRPr="00400C0B">
        <w:rPr>
          <w:rFonts w:cs="Guttman Rashi" w:hint="eastAsia"/>
          <w:rtl/>
          <w:lang w:bidi="he-IL"/>
        </w:rPr>
        <w:t>נאסרת</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בבדה</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קי</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שבכיריים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זמנינו</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דכנגד</w:t>
      </w:r>
      <w:r w:rsidRPr="00400C0B">
        <w:rPr>
          <w:rFonts w:cs="Guttman Rashi"/>
          <w:rtl/>
          <w:lang w:bidi="he-IL"/>
        </w:rPr>
        <w:t xml:space="preserve"> </w:t>
      </w:r>
      <w:r w:rsidRPr="00400C0B">
        <w:rPr>
          <w:rFonts w:cs="Guttman Rashi" w:hint="eastAsia"/>
          <w:rtl/>
          <w:lang w:bidi="he-IL"/>
        </w:rPr>
        <w:t>האש</w:t>
      </w:r>
      <w:r w:rsidRPr="00400C0B">
        <w:rPr>
          <w:rFonts w:cs="Guttman Rashi"/>
          <w:rtl/>
          <w:lang w:bidi="he-IL"/>
        </w:rPr>
        <w:t xml:space="preserve">. </w:t>
      </w:r>
    </w:p>
  </w:footnote>
  <w:footnote w:id="53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וק</w:t>
      </w:r>
      <w:r w:rsidRPr="00400C0B">
        <w:rPr>
          <w:rFonts w:cs="Guttman Rashi"/>
          <w:rtl/>
          <w:lang w:bidi="he-IL"/>
        </w:rPr>
        <w:t>"</w:t>
      </w:r>
      <w:r w:rsidRPr="00400C0B">
        <w:rPr>
          <w:rFonts w:cs="Guttman Rashi" w:hint="eastAsia"/>
          <w:rtl/>
          <w:lang w:bidi="he-IL"/>
        </w:rPr>
        <w:t>ח</w:t>
      </w:r>
      <w:r w:rsidRPr="00400C0B">
        <w:rPr>
          <w:rFonts w:cs="Guttman Rashi"/>
          <w:rtl/>
          <w:lang w:bidi="he-IL"/>
        </w:rPr>
        <w:t>.</w:t>
      </w:r>
    </w:p>
  </w:footnote>
  <w:footnote w:id="53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ועד</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Ref488137565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515</w:t>
      </w:r>
      <w:r w:rsidRPr="00400C0B">
        <w:rPr>
          <w:rFonts w:cs="Guttman Rashi"/>
          <w:rtl/>
          <w:lang w:bidi="he-IL"/>
        </w:rPr>
        <w:fldChar w:fldCharType="end"/>
      </w:r>
      <w:r w:rsidRPr="00400C0B">
        <w:rPr>
          <w:rFonts w:cs="Guttman Rashi"/>
          <w:rtl/>
          <w:lang w:bidi="he-IL"/>
        </w:rPr>
        <w:t xml:space="preserve"> (</w:t>
      </w:r>
      <w:r w:rsidRPr="00400C0B">
        <w:rPr>
          <w:rFonts w:cs="Guttman Rashi" w:hint="eastAsia"/>
          <w:rtl/>
          <w:lang w:bidi="he-IL"/>
        </w:rPr>
        <w:t>בסוף</w:t>
      </w:r>
      <w:r w:rsidRPr="00400C0B">
        <w:rPr>
          <w:rFonts w:cs="Guttman Rashi"/>
          <w:rtl/>
          <w:lang w:bidi="he-IL"/>
        </w:rPr>
        <w:t xml:space="preserve"> </w:t>
      </w:r>
      <w:r w:rsidRPr="00400C0B">
        <w:rPr>
          <w:rFonts w:cs="Guttman Rashi" w:hint="eastAsia"/>
          <w:rtl/>
          <w:lang w:bidi="he-IL"/>
        </w:rPr>
        <w:t>ההערה</w:t>
      </w:r>
      <w:r w:rsidRPr="00400C0B">
        <w:rPr>
          <w:rFonts w:cs="Guttman Rashi"/>
          <w:rtl/>
          <w:lang w:bidi="he-IL"/>
        </w:rPr>
        <w:t>).</w:t>
      </w:r>
    </w:p>
  </w:footnote>
  <w:footnote w:id="54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וראיתי</w:t>
      </w:r>
      <w:r w:rsidRPr="00400C0B">
        <w:rPr>
          <w:rFonts w:cs="Guttman Rashi"/>
          <w:rtl/>
          <w:lang w:bidi="he-IL"/>
        </w:rPr>
        <w:t xml:space="preserve"> </w:t>
      </w:r>
      <w:r w:rsidRPr="00400C0B">
        <w:rPr>
          <w:rFonts w:cs="Guttman Rashi" w:hint="eastAsia"/>
          <w:rtl/>
          <w:lang w:bidi="he-IL"/>
        </w:rPr>
        <w:t>למש</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תנ</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שליבון</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בדרף</w:t>
      </w:r>
      <w:r w:rsidRPr="00400C0B">
        <w:rPr>
          <w:rFonts w:cs="Guttman Rashi"/>
          <w:rtl/>
          <w:lang w:bidi="he-IL"/>
        </w:rPr>
        <w:t xml:space="preserve"> </w:t>
      </w:r>
      <w:r w:rsidRPr="00400C0B">
        <w:rPr>
          <w:rFonts w:cs="Guttman Rashi" w:hint="eastAsia"/>
          <w:rtl/>
          <w:lang w:bidi="he-IL"/>
        </w:rPr>
        <w:t>הפלטה</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להכשיר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ידו</w:t>
      </w:r>
      <w:r w:rsidRPr="00400C0B">
        <w:rPr>
          <w:rFonts w:cs="Guttman Rashi"/>
          <w:rtl/>
          <w:lang w:bidi="he-IL"/>
        </w:rPr>
        <w:t xml:space="preserve"> </w:t>
      </w:r>
      <w:r w:rsidRPr="00400C0B">
        <w:rPr>
          <w:rFonts w:cs="Guttman Rashi" w:hint="eastAsia"/>
          <w:rtl/>
          <w:lang w:bidi="he-IL"/>
        </w:rPr>
        <w:t>בפסח</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ויל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מהו</w:t>
      </w:r>
      <w:r w:rsidRPr="00400C0B">
        <w:rPr>
          <w:rFonts w:cs="Guttman Rashi"/>
          <w:rtl/>
          <w:lang w:bidi="he-IL"/>
        </w:rPr>
        <w:t xml:space="preserve"> </w:t>
      </w:r>
      <w:r w:rsidRPr="00400C0B">
        <w:rPr>
          <w:rFonts w:cs="Guttman Rashi" w:hint="eastAsia"/>
          <w:rtl/>
          <w:lang w:bidi="he-IL"/>
        </w:rPr>
        <w:t>טעמו</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דמחמירים</w:t>
      </w:r>
      <w:r w:rsidRPr="00400C0B">
        <w:rPr>
          <w:rFonts w:cs="Guttman Rashi"/>
          <w:rtl/>
          <w:lang w:bidi="he-IL"/>
        </w:rPr>
        <w:t xml:space="preserve"> </w:t>
      </w:r>
      <w:r w:rsidRPr="00400C0B">
        <w:rPr>
          <w:rFonts w:cs="Guttman Rashi" w:hint="eastAsia"/>
          <w:rtl/>
          <w:lang w:bidi="he-IL"/>
        </w:rPr>
        <w:t>בהגעלה</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דחיישינן</w:t>
      </w:r>
      <w:r w:rsidRPr="00400C0B">
        <w:rPr>
          <w:rFonts w:cs="Guttman Rashi"/>
          <w:rtl/>
          <w:lang w:bidi="he-IL"/>
        </w:rPr>
        <w:t xml:space="preserve"> </w:t>
      </w:r>
      <w:r w:rsidRPr="00400C0B">
        <w:rPr>
          <w:rFonts w:cs="Guttman Rashi" w:hint="eastAsia"/>
          <w:rtl/>
          <w:lang w:bidi="he-IL"/>
        </w:rPr>
        <w:t>שהבליעה</w:t>
      </w:r>
      <w:r w:rsidRPr="00400C0B">
        <w:rPr>
          <w:rFonts w:cs="Guttman Rashi"/>
          <w:rtl/>
          <w:lang w:bidi="he-IL"/>
        </w:rPr>
        <w:t xml:space="preserve"> </w:t>
      </w:r>
      <w:r w:rsidRPr="00400C0B">
        <w:rPr>
          <w:rFonts w:cs="Guttman Rashi" w:hint="eastAsia"/>
          <w:rtl/>
          <w:lang w:bidi="he-IL"/>
        </w:rPr>
        <w:t>חוזרת</w:t>
      </w:r>
      <w:r w:rsidRPr="00400C0B">
        <w:rPr>
          <w:rFonts w:cs="Guttman Rashi"/>
          <w:rtl/>
          <w:lang w:bidi="he-IL"/>
        </w:rPr>
        <w:t xml:space="preserve"> </w:t>
      </w:r>
      <w:r w:rsidRPr="00400C0B">
        <w:rPr>
          <w:rFonts w:cs="Guttman Rashi" w:hint="eastAsia"/>
          <w:rtl/>
          <w:lang w:bidi="he-IL"/>
        </w:rPr>
        <w:t>לתוך</w:t>
      </w:r>
      <w:r w:rsidRPr="00400C0B">
        <w:rPr>
          <w:rFonts w:cs="Guttman Rashi"/>
          <w:rtl/>
          <w:lang w:bidi="he-IL"/>
        </w:rPr>
        <w:t xml:space="preserve"> </w:t>
      </w:r>
      <w:r w:rsidRPr="00400C0B">
        <w:rPr>
          <w:rFonts w:cs="Guttman Rashi" w:hint="eastAsia"/>
          <w:rtl/>
          <w:lang w:bidi="he-IL"/>
        </w:rPr>
        <w:t>הכלי</w:t>
      </w:r>
      <w:r w:rsidRPr="00400C0B">
        <w:rPr>
          <w:rFonts w:cs="Guttman Rashi"/>
          <w:rtl/>
          <w:lang w:bidi="he-IL"/>
        </w:rPr>
        <w:t xml:space="preserve"> </w:t>
      </w:r>
      <w:r w:rsidRPr="00400C0B">
        <w:rPr>
          <w:rFonts w:cs="Guttman Rashi" w:hint="eastAsia"/>
          <w:rtl/>
          <w:lang w:bidi="he-IL"/>
        </w:rPr>
        <w:t>ממי</w:t>
      </w:r>
      <w:r w:rsidRPr="00400C0B">
        <w:rPr>
          <w:rFonts w:cs="Guttman Rashi"/>
          <w:rtl/>
          <w:lang w:bidi="he-IL"/>
        </w:rPr>
        <w:t xml:space="preserve"> </w:t>
      </w:r>
      <w:r w:rsidRPr="00400C0B">
        <w:rPr>
          <w:rFonts w:cs="Guttman Rashi" w:hint="eastAsia"/>
          <w:rtl/>
          <w:lang w:bidi="he-IL"/>
        </w:rPr>
        <w:t>ההגעלה</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בליבון</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לחזור</w:t>
      </w:r>
      <w:r w:rsidRPr="00400C0B">
        <w:rPr>
          <w:rFonts w:cs="Guttman Rashi"/>
          <w:rtl/>
          <w:lang w:bidi="he-IL"/>
        </w:rPr>
        <w:t xml:space="preserve">. </w:t>
      </w:r>
      <w:r w:rsidRPr="00400C0B">
        <w:rPr>
          <w:rFonts w:cs="Guttman Rashi" w:hint="eastAsia"/>
          <w:rtl/>
          <w:lang w:bidi="he-IL"/>
        </w:rPr>
        <w:t>וצריכים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שחוששים</w:t>
      </w:r>
      <w:r w:rsidRPr="00400C0B">
        <w:rPr>
          <w:rFonts w:cs="Guttman Rashi"/>
          <w:rtl/>
          <w:lang w:bidi="he-IL"/>
        </w:rPr>
        <w:t xml:space="preserve"> </w:t>
      </w:r>
      <w:r w:rsidRPr="00400C0B">
        <w:rPr>
          <w:rFonts w:cs="Guttman Rashi" w:hint="eastAsia"/>
          <w:rtl/>
          <w:lang w:bidi="he-IL"/>
        </w:rPr>
        <w:t>שיוצא</w:t>
      </w:r>
      <w:r w:rsidRPr="00400C0B">
        <w:rPr>
          <w:rFonts w:cs="Guttman Rashi"/>
          <w:rtl/>
          <w:lang w:bidi="he-IL"/>
        </w:rPr>
        <w:t xml:space="preserve"> </w:t>
      </w:r>
      <w:r w:rsidRPr="00400C0B">
        <w:rPr>
          <w:rFonts w:cs="Guttman Rashi" w:hint="eastAsia"/>
          <w:rtl/>
          <w:lang w:bidi="he-IL"/>
        </w:rPr>
        <w:t>ושוב</w:t>
      </w:r>
      <w:r w:rsidRPr="00400C0B">
        <w:rPr>
          <w:rFonts w:cs="Guttman Rashi"/>
          <w:rtl/>
          <w:lang w:bidi="he-IL"/>
        </w:rPr>
        <w:t xml:space="preserve"> </w:t>
      </w:r>
      <w:r w:rsidRPr="00400C0B">
        <w:rPr>
          <w:rFonts w:cs="Guttman Rashi" w:hint="eastAsia"/>
          <w:rtl/>
          <w:lang w:bidi="he-IL"/>
        </w:rPr>
        <w:t>נכנס</w:t>
      </w:r>
      <w:r w:rsidRPr="00400C0B">
        <w:rPr>
          <w:rFonts w:cs="Guttman Rashi"/>
          <w:rtl/>
          <w:lang w:bidi="he-IL"/>
        </w:rPr>
        <w:t xml:space="preserve"> </w:t>
      </w:r>
      <w:r w:rsidRPr="00400C0B">
        <w:rPr>
          <w:rFonts w:cs="Guttman Rashi" w:hint="eastAsia"/>
          <w:rtl/>
          <w:lang w:bidi="he-IL"/>
        </w:rPr>
        <w:t>משפת</w:t>
      </w:r>
      <w:r w:rsidRPr="00400C0B">
        <w:rPr>
          <w:rFonts w:cs="Guttman Rashi"/>
          <w:rtl/>
          <w:lang w:bidi="he-IL"/>
        </w:rPr>
        <w:t xml:space="preserve"> </w:t>
      </w:r>
      <w:r w:rsidRPr="00400C0B">
        <w:rPr>
          <w:rFonts w:cs="Guttman Rashi" w:hint="eastAsia"/>
          <w:rtl/>
          <w:lang w:bidi="he-IL"/>
        </w:rPr>
        <w:t>המתכת</w:t>
      </w:r>
      <w:r w:rsidRPr="00400C0B">
        <w:rPr>
          <w:rFonts w:cs="Guttman Rashi"/>
          <w:rtl/>
          <w:lang w:bidi="he-IL"/>
        </w:rPr>
        <w:t xml:space="preserve">. </w:t>
      </w:r>
      <w:r w:rsidRPr="00400C0B">
        <w:rPr>
          <w:rFonts w:cs="Guttman Rashi" w:hint="eastAsia"/>
          <w:rtl/>
          <w:lang w:bidi="he-IL"/>
        </w:rPr>
        <w:t>ובס</w:t>
      </w:r>
      <w:r w:rsidRPr="00400C0B">
        <w:rPr>
          <w:rFonts w:cs="Guttman Rashi"/>
          <w:rtl/>
          <w:lang w:bidi="he-IL"/>
        </w:rPr>
        <w:t xml:space="preserve">' </w:t>
      </w:r>
      <w:r w:rsidRPr="00400C0B">
        <w:rPr>
          <w:rFonts w:cs="Guttman Rashi" w:hint="eastAsia"/>
          <w:rtl/>
          <w:lang w:bidi="he-IL"/>
        </w:rPr>
        <w:t>הגעלת</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וה</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התיר</w:t>
      </w:r>
      <w:r w:rsidRPr="00400C0B">
        <w:rPr>
          <w:rFonts w:cs="Guttman Rashi"/>
          <w:rtl/>
          <w:lang w:bidi="he-IL"/>
        </w:rPr>
        <w:t xml:space="preserve"> </w:t>
      </w:r>
      <w:r w:rsidRPr="00400C0B">
        <w:rPr>
          <w:rFonts w:cs="Guttman Rashi" w:hint="eastAsia"/>
          <w:rtl/>
          <w:lang w:bidi="he-IL"/>
        </w:rPr>
        <w:t>ליבון</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בפסח</w:t>
      </w:r>
      <w:r w:rsidRPr="00400C0B">
        <w:rPr>
          <w:rFonts w:cs="Guttman Rashi"/>
          <w:rtl/>
          <w:lang w:bidi="he-IL"/>
        </w:rPr>
        <w:t xml:space="preserve"> </w:t>
      </w:r>
      <w:r w:rsidRPr="00400C0B">
        <w:rPr>
          <w:rFonts w:cs="Guttman Rashi" w:hint="eastAsia"/>
          <w:rtl/>
          <w:lang w:bidi="he-IL"/>
        </w:rPr>
        <w:t>ואי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להגעיל</w:t>
      </w:r>
      <w:r w:rsidRPr="00400C0B">
        <w:rPr>
          <w:rFonts w:cs="Guttman Rashi"/>
          <w:rtl/>
          <w:lang w:bidi="he-IL"/>
        </w:rPr>
        <w:t xml:space="preserve">, </w:t>
      </w:r>
      <w:r w:rsidRPr="00400C0B">
        <w:rPr>
          <w:rFonts w:cs="Guttman Rashi" w:hint="eastAsia"/>
          <w:rtl/>
          <w:lang w:bidi="he-IL"/>
        </w:rPr>
        <w:t>ושם</w:t>
      </w:r>
      <w:r w:rsidRPr="00400C0B">
        <w:rPr>
          <w:rFonts w:cs="Guttman Rashi"/>
          <w:rtl/>
          <w:lang w:bidi="he-IL"/>
        </w:rPr>
        <w:t xml:space="preserve"> </w:t>
      </w:r>
      <w:r w:rsidRPr="00400C0B">
        <w:rPr>
          <w:rFonts w:cs="Guttman Rashi" w:hint="eastAsia"/>
          <w:rtl/>
          <w:lang w:bidi="he-IL"/>
        </w:rPr>
        <w:t>בהערה</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העיר</w:t>
      </w:r>
      <w:r w:rsidRPr="00400C0B">
        <w:rPr>
          <w:rFonts w:cs="Guttman Rashi"/>
          <w:rtl/>
          <w:lang w:bidi="he-IL"/>
        </w:rPr>
        <w:t xml:space="preserve"> </w:t>
      </w:r>
      <w:r w:rsidRPr="00400C0B">
        <w:rPr>
          <w:rFonts w:cs="Guttman Rashi" w:hint="eastAsia"/>
          <w:rtl/>
          <w:lang w:bidi="he-IL"/>
        </w:rPr>
        <w:t>שהוראה</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מדברי</w:t>
      </w:r>
      <w:r w:rsidRPr="00400C0B">
        <w:rPr>
          <w:rFonts w:cs="Guttman Rashi"/>
          <w:rtl/>
          <w:lang w:bidi="he-IL"/>
        </w:rPr>
        <w:t xml:space="preserve"> </w:t>
      </w:r>
      <w:r w:rsidRPr="00400C0B">
        <w:rPr>
          <w:rFonts w:cs="Guttman Rashi" w:hint="eastAsia"/>
          <w:rtl/>
          <w:lang w:bidi="he-IL"/>
        </w:rPr>
        <w:t>הפמ</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והענין</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p>
  </w:footnote>
  <w:footnote w:id="54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דומה</w:t>
      </w:r>
      <w:r w:rsidRPr="00400C0B">
        <w:rPr>
          <w:rFonts w:cs="Guttman Rashi"/>
          <w:rtl/>
          <w:lang w:bidi="he-IL"/>
        </w:rPr>
        <w:t xml:space="preserve"> </w:t>
      </w:r>
      <w:r w:rsidRPr="00400C0B">
        <w:rPr>
          <w:rFonts w:cs="Guttman Rashi" w:hint="eastAsia"/>
          <w:rtl/>
          <w:lang w:bidi="he-IL"/>
        </w:rPr>
        <w:t>לענין</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בהגעלה</w:t>
      </w:r>
      <w:r w:rsidRPr="00400C0B">
        <w:rPr>
          <w:rFonts w:cs="Guttman Rashi"/>
          <w:rtl/>
          <w:lang w:bidi="he-IL"/>
        </w:rPr>
        <w:t xml:space="preserve"> </w:t>
      </w:r>
      <w:r w:rsidRPr="00400C0B">
        <w:rPr>
          <w:rFonts w:cs="Guttman Rashi" w:hint="eastAsia"/>
          <w:rtl/>
          <w:lang w:bidi="he-IL"/>
        </w:rPr>
        <w:t>בפסח</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הסביר</w:t>
      </w:r>
      <w:r w:rsidRPr="00400C0B">
        <w:rPr>
          <w:rFonts w:cs="Guttman Rashi"/>
          <w:rtl/>
          <w:lang w:bidi="he-IL"/>
        </w:rPr>
        <w:t xml:space="preserve"> </w:t>
      </w:r>
      <w:r w:rsidRPr="00400C0B">
        <w:rPr>
          <w:rFonts w:cs="Guttman Rashi" w:hint="eastAsia"/>
          <w:rtl/>
          <w:lang w:bidi="he-IL"/>
        </w:rPr>
        <w:t>הגרש</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גרוסמן</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בספרו</w:t>
      </w:r>
      <w:r w:rsidRPr="00400C0B">
        <w:rPr>
          <w:rFonts w:cs="Guttman Rashi"/>
          <w:rtl/>
          <w:lang w:bidi="he-IL"/>
        </w:rPr>
        <w:t xml:space="preserve"> </w:t>
      </w:r>
      <w:r w:rsidRPr="00400C0B">
        <w:rPr>
          <w:rFonts w:cs="Guttman Rashi" w:hint="eastAsia"/>
          <w:rtl/>
          <w:lang w:bidi="he-IL"/>
        </w:rPr>
        <w:t>סידור</w:t>
      </w:r>
      <w:r w:rsidRPr="00400C0B">
        <w:rPr>
          <w:rFonts w:cs="Guttman Rashi"/>
          <w:rtl/>
          <w:lang w:bidi="he-IL"/>
        </w:rPr>
        <w:t xml:space="preserve"> </w:t>
      </w:r>
      <w:r w:rsidRPr="00400C0B">
        <w:rPr>
          <w:rFonts w:cs="Guttman Rashi" w:hint="eastAsia"/>
          <w:rtl/>
          <w:lang w:bidi="he-IL"/>
        </w:rPr>
        <w:t>פסח</w:t>
      </w:r>
      <w:r w:rsidRPr="00400C0B">
        <w:rPr>
          <w:rFonts w:cs="Guttman Rashi"/>
          <w:rtl/>
          <w:lang w:bidi="he-IL"/>
        </w:rPr>
        <w:t xml:space="preserve"> </w:t>
      </w:r>
      <w:r w:rsidRPr="00400C0B">
        <w:rPr>
          <w:rFonts w:cs="Guttman Rashi" w:hint="eastAsia"/>
          <w:rtl/>
          <w:lang w:bidi="he-IL"/>
        </w:rPr>
        <w:t>כהלכתו</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12.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יעוין</w:t>
      </w:r>
      <w:r w:rsidRPr="00400C0B">
        <w:rPr>
          <w:rFonts w:cs="Guttman Rashi"/>
          <w:rtl/>
          <w:lang w:bidi="he-IL"/>
        </w:rPr>
        <w:t xml:space="preserve"> </w:t>
      </w:r>
      <w:r w:rsidRPr="00400C0B">
        <w:rPr>
          <w:rFonts w:cs="Guttman Rashi" w:hint="eastAsia"/>
          <w:rtl/>
          <w:lang w:bidi="he-IL"/>
        </w:rPr>
        <w:t>במגילת</w:t>
      </w:r>
      <w:r w:rsidRPr="00400C0B">
        <w:rPr>
          <w:rFonts w:cs="Guttman Rashi"/>
          <w:rtl/>
          <w:lang w:bidi="he-IL"/>
        </w:rPr>
        <w:t xml:space="preserve"> </w:t>
      </w:r>
      <w:r w:rsidRPr="00400C0B">
        <w:rPr>
          <w:rFonts w:cs="Guttman Rashi" w:hint="eastAsia"/>
          <w:rtl/>
          <w:lang w:bidi="he-IL"/>
        </w:rPr>
        <w:t>ספר</w:t>
      </w:r>
      <w:r w:rsidRPr="00400C0B">
        <w:rPr>
          <w:rFonts w:cs="Guttman Rashi"/>
          <w:rtl/>
          <w:lang w:bidi="he-IL"/>
        </w:rPr>
        <w:t xml:space="preserve"> (</w:t>
      </w:r>
      <w:r w:rsidRPr="00400C0B">
        <w:rPr>
          <w:rFonts w:cs="Guttman Rashi" w:hint="eastAsia"/>
          <w:rtl/>
          <w:lang w:bidi="he-IL"/>
        </w:rPr>
        <w:t>ענינים</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שדחה</w:t>
      </w:r>
      <w:r w:rsidRPr="00400C0B">
        <w:rPr>
          <w:rFonts w:cs="Guttman Rashi"/>
          <w:rtl/>
          <w:lang w:bidi="he-IL"/>
        </w:rPr>
        <w:t xml:space="preserve"> </w:t>
      </w:r>
      <w:r w:rsidRPr="00400C0B">
        <w:rPr>
          <w:rFonts w:cs="Guttman Rashi" w:hint="eastAsia"/>
          <w:rtl/>
          <w:lang w:bidi="he-IL"/>
        </w:rPr>
        <w:t>וסבר</w:t>
      </w:r>
      <w:r w:rsidRPr="00400C0B">
        <w:rPr>
          <w:rFonts w:cs="Guttman Rashi"/>
          <w:rtl/>
          <w:lang w:bidi="he-IL"/>
        </w:rPr>
        <w:t xml:space="preserve"> </w:t>
      </w:r>
      <w:r w:rsidRPr="00400C0B">
        <w:rPr>
          <w:rFonts w:cs="Guttman Rashi" w:hint="eastAsia"/>
          <w:rtl/>
          <w:lang w:bidi="he-IL"/>
        </w:rPr>
        <w:t>שאפשר</w:t>
      </w:r>
      <w:r w:rsidRPr="00400C0B">
        <w:rPr>
          <w:rFonts w:cs="Guttman Rashi"/>
          <w:rtl/>
          <w:lang w:bidi="he-IL"/>
        </w:rPr>
        <w:t xml:space="preserve"> </w:t>
      </w:r>
      <w:r w:rsidRPr="00400C0B">
        <w:rPr>
          <w:rFonts w:cs="Guttman Rashi" w:hint="eastAsia"/>
          <w:rtl/>
          <w:lang w:bidi="he-IL"/>
        </w:rPr>
        <w:t>להכשיר</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יומו</w:t>
      </w:r>
      <w:r w:rsidRPr="00400C0B">
        <w:rPr>
          <w:rFonts w:cs="Guttman Rashi"/>
          <w:rtl/>
          <w:lang w:bidi="he-IL"/>
        </w:rPr>
        <w:t xml:space="preserve"> </w:t>
      </w:r>
      <w:r w:rsidRPr="00400C0B">
        <w:rPr>
          <w:rFonts w:cs="Guttman Rashi" w:hint="eastAsia"/>
          <w:rtl/>
          <w:lang w:bidi="he-IL"/>
        </w:rPr>
        <w:t>בליבון</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 xml:space="preserve">, </w:t>
      </w:r>
      <w:r w:rsidRPr="00400C0B">
        <w:rPr>
          <w:rFonts w:cs="Guttman Rashi" w:hint="eastAsia"/>
          <w:rtl/>
          <w:lang w:bidi="he-IL"/>
        </w:rPr>
        <w:t>שמה</w:t>
      </w:r>
      <w:r w:rsidRPr="00400C0B">
        <w:rPr>
          <w:rFonts w:cs="Guttman Rashi"/>
          <w:rtl/>
          <w:lang w:bidi="he-IL"/>
        </w:rPr>
        <w:t xml:space="preserve"> </w:t>
      </w:r>
      <w:r w:rsidRPr="00400C0B">
        <w:rPr>
          <w:rFonts w:cs="Guttman Rashi" w:hint="eastAsia"/>
          <w:rtl/>
          <w:lang w:bidi="he-IL"/>
        </w:rPr>
        <w:t>שיוצא</w:t>
      </w:r>
      <w:r w:rsidRPr="00400C0B">
        <w:rPr>
          <w:rFonts w:cs="Guttman Rashi"/>
          <w:rtl/>
          <w:lang w:bidi="he-IL"/>
        </w:rPr>
        <w:t xml:space="preserve"> </w:t>
      </w:r>
      <w:r w:rsidRPr="00400C0B">
        <w:rPr>
          <w:rFonts w:cs="Guttman Rashi" w:hint="eastAsia"/>
          <w:rtl/>
          <w:lang w:bidi="he-IL"/>
        </w:rPr>
        <w:t>נשרף</w:t>
      </w:r>
      <w:r w:rsidRPr="00400C0B">
        <w:rPr>
          <w:rFonts w:cs="Guttman Rashi"/>
          <w:rtl/>
          <w:lang w:bidi="he-IL"/>
        </w:rPr>
        <w:t xml:space="preserve"> </w:t>
      </w:r>
      <w:r w:rsidRPr="00400C0B">
        <w:rPr>
          <w:rFonts w:cs="Guttman Rashi" w:hint="eastAsia"/>
          <w:rtl/>
          <w:lang w:bidi="he-IL"/>
        </w:rPr>
        <w:t>באש</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שיתכן</w:t>
      </w:r>
      <w:r w:rsidRPr="00400C0B">
        <w:rPr>
          <w:rFonts w:cs="Guttman Rashi"/>
          <w:rtl/>
          <w:lang w:bidi="he-IL"/>
        </w:rPr>
        <w:t xml:space="preserve"> </w:t>
      </w:r>
      <w:r w:rsidRPr="00400C0B">
        <w:rPr>
          <w:rFonts w:cs="Guttman Rashi" w:hint="eastAsia"/>
          <w:rtl/>
          <w:lang w:bidi="he-IL"/>
        </w:rPr>
        <w:t>בכל</w:t>
      </w:r>
      <w:r w:rsidRPr="00400C0B">
        <w:rPr>
          <w:rFonts w:cs="Guttman Rashi"/>
          <w:rtl/>
          <w:lang w:bidi="he-IL"/>
        </w:rPr>
        <w:t xml:space="preserve"> </w:t>
      </w:r>
      <w:r w:rsidRPr="00400C0B">
        <w:rPr>
          <w:rFonts w:cs="Guttman Rashi" w:hint="eastAsia"/>
          <w:rtl/>
          <w:lang w:bidi="he-IL"/>
        </w:rPr>
        <w:t>אופן</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הפמ</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שבס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הקודם</w:t>
      </w:r>
      <w:r w:rsidRPr="00400C0B">
        <w:rPr>
          <w:rFonts w:cs="Guttman Rashi"/>
          <w:rtl/>
          <w:lang w:bidi="he-IL"/>
        </w:rPr>
        <w:t xml:space="preserve"> </w:t>
      </w:r>
      <w:r w:rsidRPr="00400C0B">
        <w:rPr>
          <w:rFonts w:cs="Guttman Rashi" w:hint="eastAsia"/>
          <w:rtl/>
          <w:lang w:bidi="he-IL"/>
        </w:rPr>
        <w:t>קיימים</w:t>
      </w:r>
      <w:r w:rsidRPr="00400C0B">
        <w:rPr>
          <w:rFonts w:cs="Guttman Rashi"/>
          <w:rtl/>
          <w:lang w:bidi="he-IL"/>
        </w:rPr>
        <w:t xml:space="preserve">, </w:t>
      </w:r>
      <w:r w:rsidRPr="00400C0B">
        <w:rPr>
          <w:rFonts w:cs="Guttman Rashi" w:hint="eastAsia"/>
          <w:rtl/>
          <w:lang w:bidi="he-IL"/>
        </w:rPr>
        <w:t>ומשום</w:t>
      </w:r>
      <w:r w:rsidRPr="00400C0B">
        <w:rPr>
          <w:rFonts w:cs="Guttman Rashi"/>
          <w:rtl/>
          <w:lang w:bidi="he-IL"/>
        </w:rPr>
        <w:t xml:space="preserve"> </w:t>
      </w:r>
      <w:r w:rsidRPr="00400C0B">
        <w:rPr>
          <w:rFonts w:cs="Guttman Rashi" w:hint="eastAsia"/>
          <w:rtl/>
          <w:lang w:bidi="he-IL"/>
        </w:rPr>
        <w:t>שי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שנפלט</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נתינת</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משהו</w:t>
      </w:r>
      <w:r w:rsidRPr="00400C0B">
        <w:rPr>
          <w:rFonts w:cs="Guttman Rashi"/>
          <w:rtl/>
          <w:lang w:bidi="he-IL"/>
        </w:rPr>
        <w:t xml:space="preserve"> </w:t>
      </w:r>
      <w:r w:rsidRPr="00400C0B">
        <w:rPr>
          <w:rFonts w:cs="Guttman Rashi" w:hint="eastAsia"/>
          <w:rtl/>
          <w:lang w:bidi="he-IL"/>
        </w:rPr>
        <w:t>נשאר</w:t>
      </w:r>
      <w:r w:rsidRPr="00400C0B">
        <w:rPr>
          <w:rFonts w:cs="Guttman Rashi"/>
          <w:rtl/>
          <w:lang w:bidi="he-IL"/>
        </w:rPr>
        <w:t xml:space="preserve"> (</w:t>
      </w:r>
      <w:r w:rsidRPr="00400C0B">
        <w:rPr>
          <w:rFonts w:cs="Guttman Rashi" w:hint="eastAsia"/>
          <w:rtl/>
          <w:lang w:bidi="he-IL"/>
        </w:rPr>
        <w:t>והביא</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מס</w:t>
      </w:r>
      <w:r w:rsidRPr="00400C0B">
        <w:rPr>
          <w:rFonts w:cs="Guttman Rashi"/>
          <w:rtl/>
          <w:lang w:bidi="he-IL"/>
        </w:rPr>
        <w:t xml:space="preserve">' </w:t>
      </w:r>
      <w:r w:rsidRPr="00400C0B">
        <w:rPr>
          <w:rFonts w:cs="Guttman Rashi" w:hint="eastAsia"/>
          <w:rtl/>
          <w:lang w:bidi="he-IL"/>
        </w:rPr>
        <w:t>רביד</w:t>
      </w:r>
      <w:r w:rsidRPr="00400C0B">
        <w:rPr>
          <w:rFonts w:cs="Guttman Rashi"/>
          <w:rtl/>
          <w:lang w:bidi="he-IL"/>
        </w:rPr>
        <w:t xml:space="preserve"> </w:t>
      </w:r>
      <w:r w:rsidRPr="00400C0B">
        <w:rPr>
          <w:rFonts w:cs="Guttman Rashi" w:hint="eastAsia"/>
          <w:rtl/>
          <w:lang w:bidi="he-IL"/>
        </w:rPr>
        <w:t>הזהב</w:t>
      </w:r>
      <w:r w:rsidRPr="00400C0B">
        <w:rPr>
          <w:rFonts w:cs="Guttman Rashi"/>
          <w:rtl/>
          <w:lang w:bidi="he-IL"/>
        </w:rPr>
        <w:t xml:space="preserve"> </w:t>
      </w:r>
      <w:r w:rsidRPr="00400C0B">
        <w:rPr>
          <w:rFonts w:cs="Guttman Rashi" w:hint="eastAsia"/>
          <w:rtl/>
          <w:lang w:bidi="he-IL"/>
        </w:rPr>
        <w:t>שחלק</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עצם</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הפמ</w:t>
      </w:r>
      <w:r w:rsidRPr="00400C0B">
        <w:rPr>
          <w:rFonts w:cs="Guttman Rashi"/>
          <w:rtl/>
          <w:lang w:bidi="he-IL"/>
        </w:rPr>
        <w:t>"</w:t>
      </w:r>
      <w:r w:rsidRPr="00400C0B">
        <w:rPr>
          <w:rFonts w:cs="Guttman Rashi" w:hint="eastAsia"/>
          <w:rtl/>
          <w:lang w:bidi="he-IL"/>
        </w:rPr>
        <w:t>ג</w:t>
      </w:r>
      <w:r w:rsidRPr="00400C0B">
        <w:rPr>
          <w:rFonts w:cs="Guttman Rashi"/>
          <w:rtl/>
          <w:lang w:bidi="he-IL"/>
        </w:rPr>
        <w:t>).</w:t>
      </w:r>
    </w:p>
  </w:footnote>
  <w:footnote w:id="54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תלה</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הגעלת</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פי</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ו</w:t>
      </w:r>
      <w:r w:rsidRPr="00400C0B">
        <w:rPr>
          <w:rFonts w:cs="Guttman Rashi"/>
          <w:rtl/>
          <w:lang w:bidi="he-IL"/>
        </w:rPr>
        <w:t>.</w:t>
      </w:r>
    </w:p>
  </w:footnote>
  <w:footnote w:id="54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לס</w:t>
      </w:r>
      <w:r w:rsidRPr="00400C0B">
        <w:rPr>
          <w:rFonts w:cs="Guttman Rashi"/>
          <w:rtl/>
          <w:lang w:bidi="he-IL"/>
        </w:rPr>
        <w:t xml:space="preserve">' </w:t>
      </w:r>
      <w:r w:rsidRPr="00400C0B">
        <w:rPr>
          <w:rFonts w:cs="Guttman Rashi" w:hint="eastAsia"/>
          <w:rtl/>
          <w:lang w:bidi="he-IL"/>
        </w:rPr>
        <w:t>סידור</w:t>
      </w:r>
      <w:r w:rsidRPr="00400C0B">
        <w:rPr>
          <w:rFonts w:cs="Guttman Rashi"/>
          <w:rtl/>
          <w:lang w:bidi="he-IL"/>
        </w:rPr>
        <w:t xml:space="preserve"> </w:t>
      </w:r>
      <w:r w:rsidRPr="00400C0B">
        <w:rPr>
          <w:rFonts w:cs="Guttman Rashi" w:hint="eastAsia"/>
          <w:rtl/>
          <w:lang w:bidi="he-IL"/>
        </w:rPr>
        <w:t>פסח</w:t>
      </w:r>
      <w:r w:rsidRPr="00400C0B">
        <w:rPr>
          <w:rFonts w:cs="Guttman Rashi"/>
          <w:rtl/>
          <w:lang w:bidi="he-IL"/>
        </w:rPr>
        <w:t xml:space="preserve"> </w:t>
      </w:r>
      <w:r w:rsidRPr="00400C0B">
        <w:rPr>
          <w:rFonts w:cs="Guttman Rashi" w:hint="eastAsia"/>
          <w:rtl/>
          <w:lang w:bidi="he-IL"/>
        </w:rPr>
        <w:t>כהלכתו</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העיר</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w:t>
      </w:r>
    </w:p>
  </w:footnote>
  <w:footnote w:id="54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המכריע</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שפלפל</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w:t>
      </w:r>
    </w:p>
  </w:footnote>
  <w:footnote w:id="54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אג</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שאולי</w:t>
      </w:r>
      <w:r w:rsidRPr="00400C0B">
        <w:rPr>
          <w:rFonts w:cs="Guttman Rashi"/>
          <w:rtl/>
          <w:lang w:bidi="he-IL"/>
        </w:rPr>
        <w:t xml:space="preserve"> </w:t>
      </w:r>
      <w:r w:rsidRPr="00400C0B">
        <w:rPr>
          <w:rFonts w:cs="Guttman Rashi" w:hint="eastAsia"/>
          <w:rtl/>
          <w:lang w:bidi="he-IL"/>
        </w:rPr>
        <w:t>פלסטיק</w:t>
      </w:r>
      <w:r w:rsidRPr="00400C0B">
        <w:rPr>
          <w:rFonts w:cs="Guttman Rashi"/>
          <w:rtl/>
          <w:lang w:bidi="he-IL"/>
        </w:rPr>
        <w:t xml:space="preserve"> </w:t>
      </w:r>
      <w:r w:rsidRPr="00400C0B">
        <w:rPr>
          <w:rFonts w:cs="Guttman Rashi" w:hint="eastAsia"/>
          <w:rtl/>
          <w:lang w:bidi="he-IL"/>
        </w:rPr>
        <w:t>עדיף</w:t>
      </w:r>
      <w:r w:rsidRPr="00400C0B">
        <w:rPr>
          <w:rFonts w:cs="Guttman Rashi"/>
          <w:rtl/>
          <w:lang w:bidi="he-IL"/>
        </w:rPr>
        <w:t xml:space="preserve"> </w:t>
      </w:r>
      <w:r w:rsidRPr="00400C0B">
        <w:rPr>
          <w:rFonts w:cs="Guttman Rashi" w:hint="eastAsia"/>
          <w:rtl/>
          <w:lang w:bidi="he-IL"/>
        </w:rPr>
        <w:t>מגומי</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ביאור</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שאמנם</w:t>
      </w:r>
      <w:r w:rsidRPr="00400C0B">
        <w:rPr>
          <w:rFonts w:cs="Guttman Rashi"/>
          <w:rtl/>
          <w:lang w:bidi="he-IL"/>
        </w:rPr>
        <w:t xml:space="preserve"> </w:t>
      </w:r>
      <w:r w:rsidRPr="00400C0B">
        <w:rPr>
          <w:rFonts w:cs="Guttman Rashi" w:hint="eastAsia"/>
          <w:rtl/>
          <w:lang w:bidi="he-IL"/>
        </w:rPr>
        <w:t>היסוד</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בגומי</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נמצא</w:t>
      </w:r>
      <w:r w:rsidRPr="00400C0B">
        <w:rPr>
          <w:rFonts w:cs="Guttman Rashi"/>
          <w:rtl/>
          <w:lang w:bidi="he-IL"/>
        </w:rPr>
        <w:t xml:space="preserve"> </w:t>
      </w:r>
      <w:r w:rsidRPr="00400C0B">
        <w:rPr>
          <w:rFonts w:cs="Guttman Rashi" w:hint="eastAsia"/>
          <w:rtl/>
          <w:lang w:bidi="he-IL"/>
        </w:rPr>
        <w:t>בדברי</w:t>
      </w:r>
      <w:r w:rsidRPr="00400C0B">
        <w:rPr>
          <w:rFonts w:cs="Guttman Rashi"/>
          <w:rtl/>
          <w:lang w:bidi="he-IL"/>
        </w:rPr>
        <w:t xml:space="preserve"> </w:t>
      </w:r>
      <w:r w:rsidRPr="00400C0B">
        <w:rPr>
          <w:rFonts w:cs="Guttman Rashi" w:hint="eastAsia"/>
          <w:rtl/>
          <w:lang w:bidi="he-IL"/>
        </w:rPr>
        <w:t>הקדמונים</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מאי</w:t>
      </w:r>
      <w:r w:rsidRPr="00400C0B">
        <w:rPr>
          <w:rFonts w:cs="Guttman Rashi"/>
          <w:rtl/>
          <w:lang w:bidi="he-IL"/>
        </w:rPr>
        <w:t xml:space="preserve"> </w:t>
      </w:r>
      <w:r w:rsidRPr="00400C0B">
        <w:rPr>
          <w:rFonts w:cs="Guttman Rashi" w:hint="eastAsia"/>
          <w:rtl/>
          <w:lang w:bidi="he-IL"/>
        </w:rPr>
        <w:t>שנא</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ראות</w:t>
      </w:r>
      <w:r w:rsidRPr="00400C0B">
        <w:rPr>
          <w:rFonts w:cs="Guttman Rashi"/>
          <w:rtl/>
          <w:lang w:bidi="he-IL"/>
        </w:rPr>
        <w:t xml:space="preserve"> </w:t>
      </w:r>
      <w:r w:rsidRPr="00400C0B">
        <w:rPr>
          <w:rFonts w:cs="Guttman Rashi" w:hint="eastAsia"/>
          <w:rtl/>
          <w:lang w:bidi="he-IL"/>
        </w:rPr>
        <w:t>העינים</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להגרמ</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שפלסטיק</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דמהני</w:t>
      </w:r>
      <w:r w:rsidRPr="00400C0B">
        <w:rPr>
          <w:rFonts w:cs="Guttman Rashi"/>
          <w:rtl/>
          <w:lang w:bidi="he-IL"/>
        </w:rPr>
        <w:t xml:space="preserve"> </w:t>
      </w:r>
      <w:r w:rsidRPr="00400C0B">
        <w:rPr>
          <w:rFonts w:cs="Guttman Rashi" w:hint="eastAsia"/>
          <w:rtl/>
          <w:lang w:bidi="he-IL"/>
        </w:rPr>
        <w:t>לה</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ועדיין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54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w:t>
      </w:r>
      <w:r w:rsidRPr="00400C0B">
        <w:rPr>
          <w:rFonts w:cs="Guttman Rashi" w:hint="eastAsia"/>
          <w:rtl/>
          <w:lang w:bidi="he-IL"/>
        </w:rPr>
        <w:t>ג</w:t>
      </w:r>
      <w:r w:rsidRPr="00400C0B">
        <w:rPr>
          <w:rFonts w:cs="Guttman Rashi"/>
          <w:rtl/>
          <w:lang w:bidi="he-IL"/>
        </w:rPr>
        <w:t>.</w:t>
      </w:r>
    </w:p>
  </w:footnote>
  <w:footnote w:id="54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בענין</w:t>
      </w:r>
      <w:r w:rsidRPr="00400C0B">
        <w:rPr>
          <w:rFonts w:cs="Guttman Rashi"/>
          <w:rtl/>
          <w:lang w:bidi="he-IL"/>
        </w:rPr>
        <w:t xml:space="preserve"> </w:t>
      </w:r>
      <w:r w:rsidRPr="00400C0B">
        <w:rPr>
          <w:rFonts w:cs="Guttman Rashi" w:hint="eastAsia"/>
          <w:rtl/>
          <w:lang w:bidi="he-IL"/>
        </w:rPr>
        <w:t>שולחנות</w:t>
      </w:r>
      <w:r w:rsidRPr="00400C0B">
        <w:rPr>
          <w:rFonts w:cs="Guttman Rashi"/>
          <w:rtl/>
          <w:lang w:bidi="he-IL"/>
        </w:rPr>
        <w:t xml:space="preserve"> </w:t>
      </w:r>
      <w:r w:rsidRPr="00400C0B">
        <w:rPr>
          <w:rFonts w:cs="Guttman Rashi" w:hint="eastAsia"/>
          <w:rtl/>
          <w:lang w:bidi="he-IL"/>
        </w:rPr>
        <w:t>שהערנו</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רוב</w:t>
      </w:r>
      <w:r w:rsidRPr="00400C0B">
        <w:rPr>
          <w:rFonts w:cs="Guttman Rashi"/>
          <w:rtl/>
          <w:lang w:bidi="he-IL"/>
        </w:rPr>
        <w:t xml:space="preserve"> </w:t>
      </w:r>
      <w:r w:rsidRPr="00400C0B">
        <w:rPr>
          <w:rFonts w:cs="Guttman Rashi" w:hint="eastAsia"/>
          <w:rtl/>
          <w:lang w:bidi="he-IL"/>
        </w:rPr>
        <w:t>תשמישתו</w:t>
      </w:r>
    </w:p>
  </w:footnote>
  <w:footnote w:id="54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במגי</w:t>
      </w:r>
      <w:r w:rsidRPr="00400C0B">
        <w:rPr>
          <w:rFonts w:cs="Guttman Rashi"/>
          <w:rtl/>
          <w:lang w:bidi="he-IL"/>
        </w:rPr>
        <w:t>"</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ענינים</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מדברי</w:t>
      </w:r>
      <w:r w:rsidRPr="00400C0B">
        <w:rPr>
          <w:rFonts w:cs="Guttman Rashi"/>
          <w:rtl/>
          <w:lang w:bidi="he-IL"/>
        </w:rPr>
        <w:t xml:space="preserve"> </w:t>
      </w:r>
      <w:r w:rsidRPr="00400C0B">
        <w:rPr>
          <w:rFonts w:cs="Guttman Rashi" w:hint="eastAsia"/>
          <w:rtl/>
          <w:lang w:bidi="he-IL"/>
        </w:rPr>
        <w:t>המ</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ובשעה</w:t>
      </w:r>
      <w:r w:rsidRPr="00400C0B">
        <w:rPr>
          <w:rFonts w:cs="Guttman Rashi"/>
          <w:rtl/>
          <w:lang w:bidi="he-IL"/>
        </w:rPr>
        <w:t>"</w:t>
      </w:r>
      <w:r w:rsidRPr="00400C0B">
        <w:rPr>
          <w:rFonts w:cs="Guttman Rashi" w:hint="eastAsia"/>
          <w:rtl/>
          <w:lang w:bidi="he-IL"/>
        </w:rPr>
        <w:t>צ</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א</w:t>
      </w:r>
      <w:r w:rsidRPr="00400C0B">
        <w:rPr>
          <w:rFonts w:cs="Guttman Rashi"/>
          <w:rtl/>
          <w:lang w:bidi="he-IL"/>
        </w:rPr>
        <w:t>.</w:t>
      </w:r>
    </w:p>
  </w:footnote>
  <w:footnote w:id="54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בביאור</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שהמחבר</w:t>
      </w:r>
      <w:r w:rsidRPr="00400C0B">
        <w:rPr>
          <w:rFonts w:cs="Guttman Rashi"/>
          <w:rtl/>
          <w:lang w:bidi="he-IL"/>
        </w:rPr>
        <w:t xml:space="preserve"> </w:t>
      </w:r>
      <w:r w:rsidRPr="00400C0B">
        <w:rPr>
          <w:rFonts w:cs="Guttman Rashi" w:hint="eastAsia"/>
          <w:rtl/>
          <w:lang w:bidi="he-IL"/>
        </w:rPr>
        <w:t>לשיטתו</w:t>
      </w:r>
      <w:r w:rsidRPr="00400C0B">
        <w:rPr>
          <w:rFonts w:cs="Guttman Rashi"/>
          <w:rtl/>
          <w:lang w:bidi="he-IL"/>
        </w:rPr>
        <w:t xml:space="preserve"> </w:t>
      </w:r>
      <w:r w:rsidRPr="00400C0B">
        <w:rPr>
          <w:rFonts w:cs="Guttman Rashi" w:hint="eastAsia"/>
          <w:rtl/>
          <w:lang w:bidi="he-IL"/>
        </w:rPr>
        <w:t>בסי</w:t>
      </w:r>
      <w:r w:rsidRPr="00400C0B">
        <w:rPr>
          <w:rFonts w:cs="Guttman Rashi"/>
          <w:rtl/>
          <w:lang w:bidi="he-IL"/>
        </w:rPr>
        <w:t xml:space="preserve">' </w:t>
      </w:r>
      <w:r w:rsidRPr="00400C0B">
        <w:rPr>
          <w:rFonts w:cs="Guttman Rashi" w:hint="eastAsia"/>
          <w:rtl/>
          <w:lang w:bidi="he-IL"/>
        </w:rPr>
        <w:t>קכ</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כרשב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שהבליעה</w:t>
      </w:r>
      <w:r w:rsidRPr="00400C0B">
        <w:rPr>
          <w:rFonts w:cs="Guttman Rashi"/>
          <w:rtl/>
          <w:lang w:bidi="he-IL"/>
        </w:rPr>
        <w:t xml:space="preserve"> </w:t>
      </w:r>
      <w:r w:rsidRPr="00400C0B">
        <w:rPr>
          <w:rFonts w:cs="Guttman Rashi" w:hint="eastAsia"/>
          <w:rtl/>
          <w:lang w:bidi="he-IL"/>
        </w:rPr>
        <w:t>מתפשטת</w:t>
      </w:r>
      <w:r w:rsidRPr="00400C0B">
        <w:rPr>
          <w:rFonts w:cs="Guttman Rashi"/>
          <w:rtl/>
          <w:lang w:bidi="he-IL"/>
        </w:rPr>
        <w:t xml:space="preserve"> </w:t>
      </w:r>
      <w:r w:rsidRPr="00400C0B">
        <w:rPr>
          <w:rFonts w:cs="Guttman Rashi" w:hint="eastAsia"/>
          <w:rtl/>
          <w:lang w:bidi="he-IL"/>
        </w:rPr>
        <w:t>בכולו</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מקצת</w:t>
      </w:r>
      <w:r w:rsidRPr="00400C0B">
        <w:rPr>
          <w:rFonts w:cs="Guttman Rashi"/>
          <w:rtl/>
          <w:lang w:bidi="he-IL"/>
        </w:rPr>
        <w:t xml:space="preserve">, </w:t>
      </w:r>
      <w:r w:rsidRPr="00400C0B">
        <w:rPr>
          <w:rFonts w:cs="Guttman Rashi" w:hint="eastAsia"/>
          <w:rtl/>
          <w:lang w:bidi="he-IL"/>
        </w:rPr>
        <w:t>ואינו</w:t>
      </w:r>
      <w:r w:rsidRPr="00400C0B">
        <w:rPr>
          <w:rFonts w:cs="Guttman Rashi"/>
          <w:rtl/>
          <w:lang w:bidi="he-IL"/>
        </w:rPr>
        <w:t xml:space="preserve"> </w:t>
      </w:r>
      <w:r w:rsidRPr="00400C0B">
        <w:rPr>
          <w:rFonts w:cs="Guttman Rashi" w:hint="eastAsia"/>
          <w:rtl/>
          <w:lang w:bidi="he-IL"/>
        </w:rPr>
        <w:t>מתכשרת</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הגעלת</w:t>
      </w:r>
      <w:r w:rsidRPr="00400C0B">
        <w:rPr>
          <w:rFonts w:cs="Guttman Rashi"/>
          <w:rtl/>
          <w:lang w:bidi="he-IL"/>
        </w:rPr>
        <w:t xml:space="preserve"> </w:t>
      </w:r>
      <w:r w:rsidRPr="00400C0B">
        <w:rPr>
          <w:rFonts w:cs="Guttman Rashi" w:hint="eastAsia"/>
          <w:rtl/>
          <w:lang w:bidi="he-IL"/>
        </w:rPr>
        <w:t>מקצת</w:t>
      </w:r>
      <w:r w:rsidRPr="00400C0B">
        <w:rPr>
          <w:rFonts w:cs="Guttman Rashi"/>
          <w:rtl/>
          <w:lang w:bidi="he-IL"/>
        </w:rPr>
        <w:t xml:space="preserve">, </w:t>
      </w:r>
      <w:r w:rsidRPr="00400C0B">
        <w:rPr>
          <w:rFonts w:cs="Guttman Rashi" w:hint="eastAsia"/>
          <w:rtl/>
          <w:lang w:bidi="he-IL"/>
        </w:rPr>
        <w:t>יסבור</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הגעיל</w:t>
      </w:r>
      <w:r w:rsidRPr="00400C0B">
        <w:rPr>
          <w:rFonts w:cs="Guttman Rashi"/>
          <w:rtl/>
          <w:lang w:bidi="he-IL"/>
        </w:rPr>
        <w:t xml:space="preserve"> </w:t>
      </w:r>
      <w:r w:rsidRPr="00400C0B">
        <w:rPr>
          <w:rFonts w:cs="Guttman Rashi" w:hint="eastAsia"/>
          <w:rtl/>
          <w:lang w:bidi="he-IL"/>
        </w:rPr>
        <w:t>יד</w:t>
      </w:r>
      <w:r w:rsidRPr="00400C0B">
        <w:rPr>
          <w:rFonts w:cs="Guttman Rashi"/>
          <w:rtl/>
          <w:lang w:bidi="he-IL"/>
        </w:rPr>
        <w:t xml:space="preserve"> </w:t>
      </w:r>
      <w:r w:rsidRPr="00400C0B">
        <w:rPr>
          <w:rFonts w:cs="Guttman Rashi" w:hint="eastAsia"/>
          <w:rtl/>
          <w:lang w:bidi="he-IL"/>
        </w:rPr>
        <w:t>הכלי</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בדיעבד</w:t>
      </w:r>
      <w:r w:rsidRPr="00400C0B">
        <w:rPr>
          <w:rFonts w:cs="Guttman Rashi"/>
          <w:rtl/>
          <w:lang w:bidi="he-IL"/>
        </w:rPr>
        <w:t>.</w:t>
      </w:r>
    </w:p>
  </w:footnote>
  <w:footnote w:id="55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w:t>
      </w:r>
      <w:r w:rsidRPr="00400C0B">
        <w:rPr>
          <w:rFonts w:cs="Guttman Rashi" w:hint="eastAsia"/>
          <w:rtl/>
          <w:lang w:bidi="he-IL"/>
        </w:rPr>
        <w:t>ד</w:t>
      </w:r>
      <w:r w:rsidRPr="00400C0B">
        <w:rPr>
          <w:rFonts w:cs="Guttman Rashi"/>
          <w:rtl/>
          <w:lang w:bidi="he-IL"/>
        </w:rPr>
        <w:t>.</w:t>
      </w:r>
    </w:p>
  </w:footnote>
  <w:footnote w:id="55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דרך</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שפי</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בלעי</w:t>
      </w:r>
      <w:r w:rsidRPr="00400C0B">
        <w:rPr>
          <w:rFonts w:cs="Guttman Rashi"/>
          <w:rtl/>
          <w:lang w:bidi="he-IL"/>
        </w:rPr>
        <w:t xml:space="preserve"> </w:t>
      </w:r>
      <w:r w:rsidRPr="00400C0B">
        <w:rPr>
          <w:rFonts w:cs="Guttman Rashi" w:hint="eastAsia"/>
          <w:rtl/>
          <w:lang w:bidi="he-IL"/>
        </w:rPr>
        <w:t>הידות</w:t>
      </w:r>
      <w:r w:rsidRPr="00400C0B">
        <w:rPr>
          <w:rFonts w:cs="Guttman Rashi"/>
          <w:rtl/>
          <w:lang w:bidi="he-IL"/>
        </w:rPr>
        <w:t xml:space="preserve"> </w:t>
      </w:r>
      <w:r w:rsidRPr="00400C0B">
        <w:rPr>
          <w:rFonts w:cs="Guttman Rashi" w:hint="eastAsia"/>
          <w:rtl/>
          <w:lang w:bidi="he-IL"/>
        </w:rPr>
        <w:t>טעם</w:t>
      </w:r>
      <w:r w:rsidRPr="00400C0B">
        <w:rPr>
          <w:rFonts w:cs="Guttman Rashi"/>
          <w:rtl/>
          <w:lang w:bidi="he-IL"/>
        </w:rPr>
        <w:t xml:space="preserve"> </w:t>
      </w:r>
      <w:r w:rsidRPr="00400C0B">
        <w:rPr>
          <w:rFonts w:cs="Guttman Rashi" w:hint="eastAsia"/>
          <w:rtl/>
          <w:lang w:bidi="he-IL"/>
        </w:rPr>
        <w:t>חמץ</w:t>
      </w:r>
      <w:r w:rsidRPr="00400C0B">
        <w:rPr>
          <w:rFonts w:cs="Guttman Rashi"/>
          <w:rtl/>
          <w:lang w:bidi="he-IL"/>
        </w:rPr>
        <w:t xml:space="preserve"> </w:t>
      </w:r>
      <w:r w:rsidRPr="00400C0B">
        <w:rPr>
          <w:rFonts w:cs="Guttman Rashi" w:hint="eastAsia"/>
          <w:rtl/>
          <w:lang w:bidi="he-IL"/>
        </w:rPr>
        <w:t>בכל</w:t>
      </w:r>
      <w:r w:rsidRPr="00400C0B">
        <w:rPr>
          <w:rFonts w:cs="Guttman Rashi"/>
          <w:rtl/>
          <w:lang w:bidi="he-IL"/>
        </w:rPr>
        <w:t xml:space="preserve"> </w:t>
      </w:r>
      <w:r w:rsidRPr="00400C0B">
        <w:rPr>
          <w:rFonts w:cs="Guttman Rashi" w:hint="eastAsia"/>
          <w:rtl/>
          <w:lang w:bidi="he-IL"/>
        </w:rPr>
        <w:t>השנה</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ראשון</w:t>
      </w:r>
      <w:r w:rsidRPr="00400C0B">
        <w:rPr>
          <w:rFonts w:cs="Guttman Rashi"/>
          <w:rtl/>
          <w:lang w:bidi="he-IL"/>
        </w:rPr>
        <w:t xml:space="preserve"> </w:t>
      </w:r>
      <w:r w:rsidRPr="00400C0B">
        <w:rPr>
          <w:rFonts w:cs="Guttman Rashi" w:hint="eastAsia"/>
          <w:rtl/>
          <w:lang w:bidi="he-IL"/>
        </w:rPr>
        <w:t>כשמדיחין</w:t>
      </w:r>
      <w:r w:rsidRPr="00400C0B">
        <w:rPr>
          <w:rFonts w:cs="Guttman Rashi"/>
          <w:rtl/>
          <w:lang w:bidi="he-IL"/>
        </w:rPr>
        <w:t xml:space="preserve"> </w:t>
      </w:r>
      <w:r w:rsidRPr="00400C0B">
        <w:rPr>
          <w:rFonts w:cs="Guttman Rashi" w:hint="eastAsia"/>
          <w:rtl/>
          <w:lang w:bidi="he-IL"/>
        </w:rPr>
        <w:t>אותם</w:t>
      </w:r>
      <w:r w:rsidRPr="00400C0B">
        <w:rPr>
          <w:rFonts w:cs="Guttman Rashi"/>
          <w:rtl/>
          <w:lang w:bidi="he-IL"/>
        </w:rPr>
        <w:t xml:space="preserve"> </w:t>
      </w:r>
      <w:r w:rsidRPr="00400C0B">
        <w:rPr>
          <w:rFonts w:cs="Guttman Rashi" w:hint="eastAsia"/>
          <w:rtl/>
          <w:lang w:bidi="he-IL"/>
        </w:rPr>
        <w:t>לנקותן</w:t>
      </w:r>
      <w:r w:rsidRPr="00400C0B">
        <w:rPr>
          <w:rFonts w:cs="Guttman Rashi"/>
          <w:rtl/>
          <w:lang w:bidi="he-IL"/>
        </w:rPr>
        <w:t xml:space="preserve"> </w:t>
      </w:r>
      <w:r w:rsidRPr="00400C0B">
        <w:rPr>
          <w:rFonts w:cs="Guttman Rashi" w:hint="eastAsia"/>
          <w:rtl/>
          <w:lang w:bidi="he-IL"/>
        </w:rPr>
        <w:t>מהזוהמא</w:t>
      </w:r>
      <w:r w:rsidRPr="00400C0B">
        <w:rPr>
          <w:rFonts w:cs="Guttman Rashi"/>
          <w:rtl/>
          <w:lang w:bidi="he-IL"/>
        </w:rPr>
        <w:t xml:space="preserve"> </w:t>
      </w:r>
      <w:r w:rsidRPr="00400C0B">
        <w:rPr>
          <w:rFonts w:cs="Guttman Rashi" w:hint="eastAsia"/>
          <w:rtl/>
          <w:lang w:bidi="he-IL"/>
        </w:rPr>
        <w:t>לאחר</w:t>
      </w:r>
      <w:r w:rsidRPr="00400C0B">
        <w:rPr>
          <w:rFonts w:cs="Guttman Rashi"/>
          <w:rtl/>
          <w:lang w:bidi="he-IL"/>
        </w:rPr>
        <w:t xml:space="preserve"> </w:t>
      </w:r>
      <w:r w:rsidRPr="00400C0B">
        <w:rPr>
          <w:rFonts w:cs="Guttman Rashi" w:hint="eastAsia"/>
          <w:rtl/>
          <w:lang w:bidi="he-IL"/>
        </w:rPr>
        <w:t>תשמישן</w:t>
      </w:r>
      <w:r w:rsidRPr="00400C0B">
        <w:rPr>
          <w:rFonts w:cs="Guttman Rashi"/>
          <w:rtl/>
          <w:lang w:bidi="he-IL"/>
        </w:rPr>
        <w:t>.</w:t>
      </w:r>
    </w:p>
  </w:footnote>
  <w:footnote w:id="55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והמ</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העתיקו</w:t>
      </w:r>
      <w:r w:rsidRPr="00400C0B">
        <w:rPr>
          <w:rFonts w:cs="Guttman Rashi"/>
          <w:rtl/>
          <w:lang w:bidi="he-IL"/>
        </w:rPr>
        <w:t xml:space="preserve"> </w:t>
      </w:r>
      <w:r w:rsidRPr="00400C0B">
        <w:rPr>
          <w:rFonts w:cs="Guttman Rashi" w:hint="eastAsia"/>
          <w:rtl/>
          <w:lang w:bidi="he-IL"/>
        </w:rPr>
        <w:t>שנגע</w:t>
      </w:r>
      <w:r w:rsidRPr="00400C0B">
        <w:rPr>
          <w:rFonts w:cs="Guttman Rashi"/>
          <w:rtl/>
          <w:lang w:bidi="he-IL"/>
        </w:rPr>
        <w:t xml:space="preserve"> </w:t>
      </w:r>
      <w:r w:rsidRPr="00400C0B">
        <w:rPr>
          <w:rFonts w:cs="Guttman Rashi" w:hint="eastAsia"/>
          <w:rtl/>
          <w:lang w:bidi="he-IL"/>
        </w:rPr>
        <w:t>בלחם</w:t>
      </w:r>
      <w:r w:rsidRPr="00400C0B">
        <w:rPr>
          <w:rFonts w:cs="Guttman Rashi"/>
          <w:rtl/>
          <w:lang w:bidi="he-IL"/>
        </w:rPr>
        <w:t xml:space="preserve"> </w:t>
      </w:r>
      <w:r w:rsidRPr="00400C0B">
        <w:rPr>
          <w:rFonts w:cs="Guttman Rashi" w:hint="eastAsia"/>
          <w:rtl/>
          <w:lang w:bidi="he-IL"/>
        </w:rPr>
        <w:t>חם</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ששניהם</w:t>
      </w:r>
      <w:r w:rsidRPr="00400C0B">
        <w:rPr>
          <w:rFonts w:cs="Guttman Rashi"/>
          <w:rtl/>
          <w:lang w:bidi="he-IL"/>
        </w:rPr>
        <w:t xml:space="preserve"> </w:t>
      </w:r>
      <w:r w:rsidRPr="00400C0B">
        <w:rPr>
          <w:rFonts w:cs="Guttman Rashi" w:hint="eastAsia"/>
          <w:rtl/>
          <w:lang w:bidi="he-IL"/>
        </w:rPr>
        <w:t>לדבר</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נתכוונו</w:t>
      </w:r>
      <w:r w:rsidRPr="00400C0B">
        <w:rPr>
          <w:rFonts w:cs="Guttman Rashi"/>
          <w:rtl/>
          <w:lang w:bidi="he-IL"/>
        </w:rPr>
        <w:t xml:space="preserve">, </w:t>
      </w:r>
      <w:r w:rsidRPr="00400C0B">
        <w:rPr>
          <w:rFonts w:cs="Guttman Rashi" w:hint="eastAsia"/>
          <w:rtl/>
          <w:lang w:bidi="he-IL"/>
        </w:rPr>
        <w:t>דר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שנגע</w:t>
      </w:r>
      <w:r w:rsidRPr="00400C0B">
        <w:rPr>
          <w:rFonts w:cs="Guttman Rashi"/>
          <w:rtl/>
          <w:lang w:bidi="he-IL"/>
        </w:rPr>
        <w:t xml:space="preserve"> </w:t>
      </w:r>
      <w:r w:rsidRPr="00400C0B">
        <w:rPr>
          <w:rFonts w:cs="Guttman Rashi" w:hint="eastAsia"/>
          <w:rtl/>
          <w:lang w:bidi="he-IL"/>
        </w:rPr>
        <w:t>בלחם</w:t>
      </w:r>
      <w:r w:rsidRPr="00400C0B">
        <w:rPr>
          <w:rFonts w:cs="Guttman Rashi"/>
          <w:rtl/>
          <w:lang w:bidi="he-IL"/>
        </w:rPr>
        <w:t xml:space="preserve"> </w:t>
      </w:r>
      <w:r w:rsidRPr="00400C0B">
        <w:rPr>
          <w:rFonts w:cs="Guttman Rashi" w:hint="eastAsia"/>
          <w:rtl/>
          <w:lang w:bidi="he-IL"/>
        </w:rPr>
        <w:t>חם</w:t>
      </w:r>
      <w:r w:rsidRPr="00400C0B">
        <w:rPr>
          <w:rFonts w:cs="Guttman Rashi"/>
          <w:rtl/>
          <w:lang w:bidi="he-IL"/>
        </w:rPr>
        <w:t xml:space="preserve"> </w:t>
      </w:r>
      <w:r w:rsidRPr="00400C0B">
        <w:rPr>
          <w:rFonts w:cs="Guttman Rashi" w:hint="eastAsia"/>
          <w:rtl/>
          <w:lang w:bidi="he-IL"/>
        </w:rPr>
        <w:t>כשעדיין</w:t>
      </w:r>
      <w:r w:rsidRPr="00400C0B">
        <w:rPr>
          <w:rFonts w:cs="Guttman Rashi"/>
          <w:rtl/>
          <w:lang w:bidi="he-IL"/>
        </w:rPr>
        <w:t xml:space="preserve"> </w:t>
      </w:r>
      <w:r w:rsidRPr="00400C0B">
        <w:rPr>
          <w:rFonts w:cs="Guttman Rashi" w:hint="eastAsia"/>
          <w:rtl/>
          <w:lang w:bidi="he-IL"/>
        </w:rPr>
        <w:t>מתתמם</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האש</w:t>
      </w:r>
      <w:r w:rsidRPr="00400C0B">
        <w:rPr>
          <w:rFonts w:cs="Guttman Rashi"/>
          <w:rtl/>
          <w:lang w:bidi="he-IL"/>
        </w:rPr>
        <w:t xml:space="preserve">.  </w:t>
      </w:r>
    </w:p>
  </w:footnote>
  <w:footnote w:id="55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כאן</w:t>
      </w:r>
      <w:r w:rsidRPr="00400C0B">
        <w:rPr>
          <w:rFonts w:cs="Guttman Rashi"/>
          <w:rtl/>
          <w:lang w:bidi="he-IL"/>
        </w:rPr>
        <w:t xml:space="preserve"> </w:t>
      </w:r>
      <w:r w:rsidRPr="00400C0B">
        <w:rPr>
          <w:rFonts w:cs="Guttman Rashi" w:hint="eastAsia"/>
          <w:rtl/>
          <w:lang w:bidi="he-IL"/>
        </w:rPr>
        <w:t>חמיר</w:t>
      </w:r>
      <w:r w:rsidRPr="00400C0B">
        <w:rPr>
          <w:rFonts w:cs="Guttman Rashi"/>
          <w:rtl/>
          <w:lang w:bidi="he-IL"/>
        </w:rPr>
        <w:t xml:space="preserve"> </w:t>
      </w:r>
      <w:r w:rsidRPr="00400C0B">
        <w:rPr>
          <w:rFonts w:cs="Guttman Rashi" w:hint="eastAsia"/>
          <w:rtl/>
          <w:lang w:bidi="he-IL"/>
        </w:rPr>
        <w:t>טפי</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תדיר</w:t>
      </w:r>
      <w:r w:rsidRPr="00400C0B">
        <w:rPr>
          <w:rFonts w:cs="Guttman Rashi"/>
          <w:rtl/>
          <w:lang w:bidi="he-IL"/>
        </w:rPr>
        <w:t xml:space="preserve"> </w:t>
      </w:r>
      <w:r w:rsidRPr="00400C0B">
        <w:rPr>
          <w:rFonts w:cs="Guttman Rashi" w:hint="eastAsia"/>
          <w:rtl/>
          <w:lang w:bidi="he-IL"/>
        </w:rPr>
        <w:t>בתשמיש</w:t>
      </w:r>
      <w:r w:rsidRPr="00400C0B">
        <w:rPr>
          <w:rFonts w:cs="Guttman Rashi"/>
          <w:rtl/>
          <w:lang w:bidi="he-IL"/>
        </w:rPr>
        <w:t xml:space="preserve"> </w:t>
      </w:r>
      <w:r w:rsidRPr="00400C0B">
        <w:rPr>
          <w:rFonts w:cs="Guttman Rashi" w:hint="eastAsia"/>
          <w:rtl/>
          <w:lang w:bidi="he-IL"/>
        </w:rPr>
        <w:t>דברים</w:t>
      </w:r>
      <w:r w:rsidRPr="00400C0B">
        <w:rPr>
          <w:rFonts w:cs="Guttman Rashi"/>
          <w:rtl/>
          <w:lang w:bidi="he-IL"/>
        </w:rPr>
        <w:t xml:space="preserve"> </w:t>
      </w:r>
      <w:r w:rsidRPr="00400C0B">
        <w:rPr>
          <w:rFonts w:cs="Guttman Rashi" w:hint="eastAsia"/>
          <w:rtl/>
          <w:lang w:bidi="he-IL"/>
        </w:rPr>
        <w:t>חריפים</w:t>
      </w:r>
      <w:r w:rsidRPr="00400C0B">
        <w:rPr>
          <w:rFonts w:cs="Guttman Rashi"/>
          <w:rtl/>
          <w:lang w:bidi="he-IL"/>
        </w:rPr>
        <w:t xml:space="preserve">, </w:t>
      </w:r>
      <w:r w:rsidRPr="00400C0B">
        <w:rPr>
          <w:rFonts w:cs="Guttman Rashi" w:hint="eastAsia"/>
          <w:rtl/>
          <w:lang w:bidi="he-IL"/>
        </w:rPr>
        <w:t>ובהם</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ימות</w:t>
      </w:r>
      <w:r w:rsidRPr="00400C0B">
        <w:rPr>
          <w:rFonts w:cs="Guttman Rashi"/>
          <w:rtl/>
          <w:lang w:bidi="he-IL"/>
        </w:rPr>
        <w:t xml:space="preserve"> </w:t>
      </w:r>
      <w:r w:rsidRPr="00400C0B">
        <w:rPr>
          <w:rFonts w:cs="Guttman Rashi" w:hint="eastAsia"/>
          <w:rtl/>
          <w:lang w:bidi="he-IL"/>
        </w:rPr>
        <w:t>השנה</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שמחליא</w:t>
      </w:r>
      <w:r w:rsidRPr="00400C0B">
        <w:rPr>
          <w:rFonts w:cs="Guttman Rashi"/>
          <w:rtl/>
          <w:lang w:bidi="he-IL"/>
        </w:rPr>
        <w:t xml:space="preserve"> </w:t>
      </w:r>
      <w:r w:rsidRPr="00400C0B">
        <w:rPr>
          <w:rFonts w:cs="Guttman Rashi" w:hint="eastAsia"/>
          <w:rtl/>
          <w:lang w:bidi="he-IL"/>
        </w:rPr>
        <w:t>לשבח</w:t>
      </w:r>
      <w:r w:rsidRPr="00400C0B">
        <w:rPr>
          <w:rFonts w:cs="Guttman Rashi"/>
          <w:rtl/>
          <w:lang w:bidi="he-IL"/>
        </w:rPr>
        <w:t>.</w:t>
      </w:r>
    </w:p>
  </w:footnote>
  <w:footnote w:id="55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פסק</w:t>
      </w:r>
      <w:r w:rsidRPr="00400C0B">
        <w:rPr>
          <w:rFonts w:cs="Guttman Rashi"/>
          <w:rtl/>
          <w:lang w:bidi="he-IL"/>
        </w:rPr>
        <w:t xml:space="preserve"> </w:t>
      </w:r>
      <w:r w:rsidRPr="00400C0B">
        <w:rPr>
          <w:rFonts w:cs="Guttman Rashi" w:hint="eastAsia"/>
          <w:rtl/>
          <w:lang w:bidi="he-IL"/>
        </w:rPr>
        <w:t>המ</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למעשה</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שהביא</w:t>
      </w:r>
      <w:r w:rsidRPr="00400C0B">
        <w:rPr>
          <w:rFonts w:cs="Guttman Rashi"/>
          <w:rtl/>
          <w:lang w:bidi="he-IL"/>
        </w:rPr>
        <w:t xml:space="preserve"> </w:t>
      </w:r>
      <w:r w:rsidRPr="00400C0B">
        <w:rPr>
          <w:rFonts w:cs="Guttman Rashi" w:hint="eastAsia"/>
          <w:rtl/>
          <w:lang w:bidi="he-IL"/>
        </w:rPr>
        <w:t>אחרונים</w:t>
      </w:r>
      <w:r w:rsidRPr="00400C0B">
        <w:rPr>
          <w:rFonts w:cs="Guttman Rashi"/>
          <w:rtl/>
          <w:lang w:bidi="he-IL"/>
        </w:rPr>
        <w:t xml:space="preserve"> </w:t>
      </w:r>
      <w:r w:rsidRPr="00400C0B">
        <w:rPr>
          <w:rFonts w:cs="Guttman Rashi" w:hint="eastAsia"/>
          <w:rtl/>
          <w:lang w:bidi="he-IL"/>
        </w:rPr>
        <w:t>שנקטו</w:t>
      </w:r>
      <w:r w:rsidRPr="00400C0B">
        <w:rPr>
          <w:rFonts w:cs="Guttman Rashi"/>
          <w:rtl/>
          <w:lang w:bidi="he-IL"/>
        </w:rPr>
        <w:t xml:space="preserve"> </w:t>
      </w:r>
      <w:r w:rsidRPr="00400C0B">
        <w:rPr>
          <w:rFonts w:cs="Guttman Rashi" w:hint="eastAsia"/>
          <w:rtl/>
          <w:lang w:bidi="he-IL"/>
        </w:rPr>
        <w:t>שצריך</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ליבון</w:t>
      </w:r>
      <w:r w:rsidRPr="00400C0B">
        <w:rPr>
          <w:rFonts w:cs="Guttman Rashi"/>
          <w:rtl/>
          <w:lang w:bidi="he-IL"/>
        </w:rPr>
        <w:t xml:space="preserve"> </w:t>
      </w:r>
      <w:r w:rsidRPr="00400C0B">
        <w:rPr>
          <w:rFonts w:cs="Guttman Rashi" w:hint="eastAsia"/>
          <w:rtl/>
          <w:lang w:bidi="he-IL"/>
        </w:rPr>
        <w:t>חמור</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תלוי</w:t>
      </w:r>
      <w:r w:rsidRPr="00400C0B">
        <w:rPr>
          <w:rFonts w:cs="Guttman Rashi"/>
          <w:rtl/>
          <w:lang w:bidi="he-IL"/>
        </w:rPr>
        <w:t xml:space="preserve"> </w:t>
      </w:r>
      <w:r w:rsidRPr="00400C0B">
        <w:rPr>
          <w:rFonts w:cs="Guttman Rashi" w:hint="eastAsia"/>
          <w:rtl/>
          <w:lang w:bidi="he-IL"/>
        </w:rPr>
        <w:t>בהבנת</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המג</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מחצית</w:t>
      </w:r>
      <w:r w:rsidRPr="00400C0B">
        <w:rPr>
          <w:rFonts w:cs="Guttman Rashi"/>
          <w:rtl/>
          <w:lang w:bidi="he-IL"/>
        </w:rPr>
        <w:t xml:space="preserve"> </w:t>
      </w:r>
      <w:r w:rsidRPr="00400C0B">
        <w:rPr>
          <w:rFonts w:cs="Guttman Rashi" w:hint="eastAsia"/>
          <w:rtl/>
          <w:lang w:bidi="he-IL"/>
        </w:rPr>
        <w:t>השקל</w:t>
      </w:r>
      <w:r w:rsidRPr="00400C0B">
        <w:rPr>
          <w:rFonts w:cs="Guttman Rashi"/>
          <w:rtl/>
          <w:lang w:bidi="he-IL"/>
        </w:rPr>
        <w:t xml:space="preserve"> (</w:t>
      </w:r>
      <w:r w:rsidRPr="00400C0B">
        <w:rPr>
          <w:rFonts w:cs="Guttman Rashi" w:hint="eastAsia"/>
          <w:rtl/>
          <w:lang w:bidi="he-IL"/>
        </w:rPr>
        <w:t>מובא</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ברע</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ועוד</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יהיו</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ליבון</w:t>
      </w:r>
      <w:r w:rsidRPr="00400C0B">
        <w:rPr>
          <w:rFonts w:cs="Guttman Rashi"/>
          <w:rtl/>
          <w:lang w:bidi="he-IL"/>
        </w:rPr>
        <w:t xml:space="preserve"> </w:t>
      </w:r>
      <w:r w:rsidRPr="00400C0B">
        <w:rPr>
          <w:rFonts w:cs="Guttman Rashi" w:hint="eastAsia"/>
          <w:rtl/>
          <w:lang w:bidi="he-IL"/>
        </w:rPr>
        <w:t>חמור</w:t>
      </w:r>
      <w:r w:rsidRPr="00400C0B">
        <w:rPr>
          <w:rFonts w:cs="Guttman Rashi"/>
          <w:rtl/>
          <w:lang w:bidi="he-IL"/>
        </w:rPr>
        <w:t xml:space="preserve"> </w:t>
      </w:r>
      <w:r w:rsidRPr="00400C0B">
        <w:rPr>
          <w:rFonts w:cs="Guttman Rashi" w:hint="eastAsia"/>
          <w:rtl/>
          <w:lang w:bidi="he-IL"/>
        </w:rPr>
        <w:t>לחמץ</w:t>
      </w:r>
      <w:r w:rsidRPr="00400C0B">
        <w:rPr>
          <w:rFonts w:cs="Guttman Rashi"/>
          <w:rtl/>
          <w:lang w:bidi="he-IL"/>
        </w:rPr>
        <w:t xml:space="preserve"> </w:t>
      </w:r>
      <w:r w:rsidRPr="00400C0B">
        <w:rPr>
          <w:rFonts w:cs="Guttman Rashi" w:hint="eastAsia"/>
          <w:rtl/>
          <w:lang w:bidi="he-IL"/>
        </w:rPr>
        <w:t>בעין</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נשרף</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ליבון</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 xml:space="preserve">. </w:t>
      </w:r>
      <w:r w:rsidRPr="00400C0B">
        <w:rPr>
          <w:rFonts w:cs="Guttman Rashi" w:hint="eastAsia"/>
          <w:rtl/>
          <w:lang w:bidi="he-IL"/>
        </w:rPr>
        <w:t>ושמעתי</w:t>
      </w:r>
      <w:r w:rsidRPr="00400C0B">
        <w:rPr>
          <w:rFonts w:cs="Guttman Rashi"/>
          <w:rtl/>
          <w:lang w:bidi="he-IL"/>
        </w:rPr>
        <w:t xml:space="preserve"> </w:t>
      </w:r>
      <w:r w:rsidRPr="00400C0B">
        <w:rPr>
          <w:rFonts w:cs="Guttman Rashi" w:hint="eastAsia"/>
          <w:rtl/>
          <w:lang w:bidi="he-IL"/>
        </w:rPr>
        <w:t>מא</w:t>
      </w:r>
      <w:r w:rsidRPr="00400C0B">
        <w:rPr>
          <w:rFonts w:cs="Guttman Rashi"/>
          <w:rtl/>
          <w:lang w:bidi="he-IL"/>
        </w:rPr>
        <w:t xml:space="preserve">' </w:t>
      </w:r>
      <w:r w:rsidRPr="00400C0B">
        <w:rPr>
          <w:rFonts w:cs="Guttman Rashi" w:hint="eastAsia"/>
          <w:rtl/>
          <w:lang w:bidi="he-IL"/>
        </w:rPr>
        <w:t>התלמידים</w:t>
      </w:r>
      <w:r w:rsidRPr="00400C0B">
        <w:rPr>
          <w:rFonts w:cs="Guttman Rashi"/>
          <w:rtl/>
          <w:lang w:bidi="he-IL"/>
        </w:rPr>
        <w:t xml:space="preserve"> </w:t>
      </w:r>
      <w:r w:rsidRPr="00400C0B">
        <w:rPr>
          <w:rFonts w:cs="Guttman Rashi" w:hint="eastAsia"/>
          <w:rtl/>
          <w:lang w:bidi="he-IL"/>
        </w:rPr>
        <w:t>שהעיר</w:t>
      </w:r>
      <w:r w:rsidRPr="00400C0B">
        <w:rPr>
          <w:rFonts w:cs="Guttman Rashi"/>
          <w:rtl/>
          <w:lang w:bidi="he-IL"/>
        </w:rPr>
        <w:t xml:space="preserve"> </w:t>
      </w:r>
      <w:r w:rsidRPr="00400C0B">
        <w:rPr>
          <w:rFonts w:cs="Guttman Rashi" w:hint="eastAsia"/>
          <w:rtl/>
          <w:lang w:bidi="he-IL"/>
        </w:rPr>
        <w:t>שלכארה</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ליבון</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 xml:space="preserve">, </w:t>
      </w:r>
      <w:r w:rsidRPr="00400C0B">
        <w:rPr>
          <w:rFonts w:cs="Guttman Rashi" w:hint="eastAsia"/>
          <w:rtl/>
          <w:lang w:bidi="he-IL"/>
        </w:rPr>
        <w:t>דנהי</w:t>
      </w:r>
      <w:r w:rsidRPr="00400C0B">
        <w:rPr>
          <w:rFonts w:cs="Guttman Rashi"/>
          <w:rtl/>
          <w:lang w:bidi="he-IL"/>
        </w:rPr>
        <w:t xml:space="preserve"> </w:t>
      </w:r>
      <w:r w:rsidRPr="00400C0B">
        <w:rPr>
          <w:rFonts w:cs="Guttman Rashi" w:hint="eastAsia"/>
          <w:rtl/>
          <w:lang w:bidi="he-IL"/>
        </w:rPr>
        <w:t>נמי</w:t>
      </w:r>
      <w:r w:rsidRPr="00400C0B">
        <w:rPr>
          <w:rFonts w:cs="Guttman Rashi"/>
          <w:rtl/>
          <w:lang w:bidi="he-IL"/>
        </w:rPr>
        <w:t xml:space="preserve"> </w:t>
      </w:r>
      <w:r w:rsidRPr="00400C0B">
        <w:rPr>
          <w:rFonts w:cs="Guttman Rashi" w:hint="eastAsia"/>
          <w:rtl/>
          <w:lang w:bidi="he-IL"/>
        </w:rPr>
        <w:t>שהחמץ</w:t>
      </w:r>
      <w:r w:rsidRPr="00400C0B">
        <w:rPr>
          <w:rFonts w:cs="Guttman Rashi"/>
          <w:rtl/>
          <w:lang w:bidi="he-IL"/>
        </w:rPr>
        <w:t xml:space="preserve"> </w:t>
      </w:r>
      <w:r w:rsidRPr="00400C0B">
        <w:rPr>
          <w:rFonts w:cs="Guttman Rashi" w:hint="eastAsia"/>
          <w:rtl/>
          <w:lang w:bidi="he-IL"/>
        </w:rPr>
        <w:t>בעין</w:t>
      </w:r>
      <w:r w:rsidRPr="00400C0B">
        <w:rPr>
          <w:rFonts w:cs="Guttman Rashi"/>
          <w:rtl/>
          <w:lang w:bidi="he-IL"/>
        </w:rPr>
        <w:t xml:space="preserve"> </w:t>
      </w:r>
      <w:r w:rsidRPr="00400C0B">
        <w:rPr>
          <w:rFonts w:cs="Guttman Rashi" w:hint="eastAsia"/>
          <w:rtl/>
          <w:lang w:bidi="he-IL"/>
        </w:rPr>
        <w:t>נשרף</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במשך</w:t>
      </w:r>
      <w:r w:rsidRPr="00400C0B">
        <w:rPr>
          <w:rFonts w:cs="Guttman Rashi"/>
          <w:rtl/>
          <w:lang w:bidi="he-IL"/>
        </w:rPr>
        <w:t xml:space="preserve"> </w:t>
      </w:r>
      <w:r w:rsidRPr="00400C0B">
        <w:rPr>
          <w:rFonts w:cs="Guttman Rashi" w:hint="eastAsia"/>
          <w:rtl/>
          <w:lang w:bidi="he-IL"/>
        </w:rPr>
        <w:t>זמן</w:t>
      </w:r>
      <w:r w:rsidRPr="00400C0B">
        <w:rPr>
          <w:rFonts w:cs="Guttman Rashi"/>
          <w:rtl/>
          <w:lang w:bidi="he-IL"/>
        </w:rPr>
        <w:t xml:space="preserve"> </w:t>
      </w:r>
      <w:r w:rsidRPr="00400C0B">
        <w:rPr>
          <w:rFonts w:cs="Guttman Rashi" w:hint="eastAsia"/>
          <w:rtl/>
          <w:lang w:bidi="he-IL"/>
        </w:rPr>
        <w:t>ביאורו</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טעמו</w:t>
      </w:r>
      <w:r w:rsidRPr="00400C0B">
        <w:rPr>
          <w:rFonts w:cs="Guttman Rashi"/>
          <w:rtl/>
          <w:lang w:bidi="he-IL"/>
        </w:rPr>
        <w:t xml:space="preserve"> </w:t>
      </w:r>
      <w:r w:rsidRPr="00400C0B">
        <w:rPr>
          <w:rFonts w:cs="Guttman Rashi" w:hint="eastAsia"/>
          <w:rtl/>
          <w:lang w:bidi="he-IL"/>
        </w:rPr>
        <w:t>נלבע</w:t>
      </w:r>
      <w:r w:rsidRPr="00400C0B">
        <w:rPr>
          <w:rFonts w:cs="Guttman Rashi"/>
          <w:rtl/>
          <w:lang w:bidi="he-IL"/>
        </w:rPr>
        <w:t xml:space="preserve"> </w:t>
      </w:r>
      <w:r w:rsidRPr="00400C0B">
        <w:rPr>
          <w:rFonts w:cs="Guttman Rashi" w:hint="eastAsia"/>
          <w:rtl/>
          <w:lang w:bidi="he-IL"/>
        </w:rPr>
        <w:t>בתוכו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הכלי</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מיני</w:t>
      </w:r>
      <w:r w:rsidRPr="00400C0B">
        <w:rPr>
          <w:rFonts w:cs="Guttman Rashi"/>
          <w:rtl/>
          <w:lang w:bidi="he-IL"/>
        </w:rPr>
        <w:t xml:space="preserve">' </w:t>
      </w:r>
      <w:r w:rsidRPr="00400C0B">
        <w:rPr>
          <w:rFonts w:cs="Guttman Rashi" w:hint="eastAsia"/>
          <w:rtl/>
          <w:lang w:bidi="he-IL"/>
        </w:rPr>
        <w:t>שיצטרך</w:t>
      </w:r>
      <w:r w:rsidRPr="00400C0B">
        <w:rPr>
          <w:rFonts w:cs="Guttman Rashi"/>
          <w:rtl/>
          <w:lang w:bidi="he-IL"/>
        </w:rPr>
        <w:t xml:space="preserve"> </w:t>
      </w:r>
      <w:r w:rsidRPr="00400C0B">
        <w:rPr>
          <w:rFonts w:cs="Guttman Rashi" w:hint="eastAsia"/>
          <w:rtl/>
          <w:lang w:bidi="he-IL"/>
        </w:rPr>
        <w:t>ליבון</w:t>
      </w:r>
      <w:r w:rsidRPr="00400C0B">
        <w:rPr>
          <w:rFonts w:cs="Guttman Rashi"/>
          <w:rtl/>
          <w:lang w:bidi="he-IL"/>
        </w:rPr>
        <w:t xml:space="preserve"> </w:t>
      </w:r>
      <w:r w:rsidRPr="00400C0B">
        <w:rPr>
          <w:rFonts w:cs="Guttman Rashi" w:hint="eastAsia"/>
          <w:rtl/>
          <w:lang w:bidi="he-IL"/>
        </w:rPr>
        <w:t>חמור</w:t>
      </w:r>
      <w:r w:rsidRPr="00400C0B">
        <w:rPr>
          <w:rFonts w:cs="Guttman Rashi"/>
          <w:rtl/>
          <w:lang w:bidi="he-IL"/>
        </w:rPr>
        <w:t xml:space="preserve"> </w:t>
      </w:r>
      <w:r w:rsidRPr="00400C0B">
        <w:rPr>
          <w:rFonts w:cs="Guttman Rashi" w:hint="eastAsia"/>
          <w:rtl/>
          <w:lang w:bidi="he-IL"/>
        </w:rPr>
        <w:t>לבליעות</w:t>
      </w:r>
      <w:r w:rsidRPr="00400C0B">
        <w:rPr>
          <w:rFonts w:cs="Guttman Rashi"/>
          <w:rtl/>
          <w:lang w:bidi="he-IL"/>
        </w:rPr>
        <w:t xml:space="preserve"> </w:t>
      </w:r>
      <w:r w:rsidRPr="00400C0B">
        <w:rPr>
          <w:rFonts w:cs="Guttman Rashi" w:hint="eastAsia"/>
          <w:rtl/>
          <w:lang w:bidi="he-IL"/>
        </w:rPr>
        <w:t>האלו</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זהו</w:t>
      </w:r>
      <w:r w:rsidRPr="00400C0B">
        <w:rPr>
          <w:rFonts w:cs="Guttman Rashi"/>
          <w:rtl/>
          <w:lang w:bidi="he-IL"/>
        </w:rPr>
        <w:t xml:space="preserve"> </w:t>
      </w:r>
      <w:r w:rsidRPr="00400C0B">
        <w:rPr>
          <w:rFonts w:cs="Guttman Rashi" w:hint="eastAsia"/>
          <w:rtl/>
          <w:lang w:bidi="he-IL"/>
        </w:rPr>
        <w:t>טעמם</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p>
  </w:footnote>
  <w:footnote w:id="55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ל</w:t>
      </w:r>
      <w:r w:rsidRPr="00400C0B">
        <w:rPr>
          <w:rFonts w:cs="Guttman Rashi"/>
          <w:rtl/>
          <w:lang w:bidi="he-IL"/>
        </w:rPr>
        <w:t>.</w:t>
      </w:r>
    </w:p>
  </w:footnote>
  <w:footnote w:id="55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שכן</w:t>
      </w:r>
      <w:r w:rsidRPr="00400C0B">
        <w:rPr>
          <w:rFonts w:cs="Guttman Rashi"/>
          <w:rtl/>
          <w:lang w:bidi="he-IL"/>
        </w:rPr>
        <w:t xml:space="preserve"> </w:t>
      </w:r>
      <w:r w:rsidRPr="00400C0B">
        <w:rPr>
          <w:rFonts w:cs="Guttman Rashi" w:hint="eastAsia"/>
          <w:rtl/>
          <w:lang w:bidi="he-IL"/>
        </w:rPr>
        <w:t>ביאר</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בסידור</w:t>
      </w:r>
      <w:r w:rsidRPr="00400C0B">
        <w:rPr>
          <w:rFonts w:cs="Guttman Rashi"/>
          <w:rtl/>
          <w:lang w:bidi="he-IL"/>
        </w:rPr>
        <w:t xml:space="preserve"> </w:t>
      </w:r>
      <w:r w:rsidRPr="00400C0B">
        <w:rPr>
          <w:rFonts w:cs="Guttman Rashi" w:hint="eastAsia"/>
          <w:rtl/>
          <w:lang w:bidi="he-IL"/>
        </w:rPr>
        <w:t>פסח</w:t>
      </w:r>
      <w:r w:rsidRPr="00400C0B">
        <w:rPr>
          <w:rFonts w:cs="Guttman Rashi"/>
          <w:rtl/>
          <w:lang w:bidi="he-IL"/>
        </w:rPr>
        <w:t xml:space="preserve"> </w:t>
      </w:r>
      <w:r w:rsidRPr="00400C0B">
        <w:rPr>
          <w:rFonts w:cs="Guttman Rashi" w:hint="eastAsia"/>
          <w:rtl/>
          <w:lang w:bidi="he-IL"/>
        </w:rPr>
        <w:t>כהלכתו</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7.</w:t>
      </w:r>
    </w:p>
  </w:footnote>
  <w:footnote w:id="55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כהא</w:t>
      </w:r>
      <w:r w:rsidRPr="00400C0B">
        <w:rPr>
          <w:rFonts w:cs="Guttman Rashi"/>
          <w:rtl/>
          <w:lang w:bidi="he-IL"/>
        </w:rPr>
        <w:t xml:space="preserve"> </w:t>
      </w:r>
      <w:r w:rsidRPr="00400C0B">
        <w:rPr>
          <w:rFonts w:cs="Guttman Rashi" w:hint="eastAsia"/>
          <w:rtl/>
          <w:lang w:bidi="he-IL"/>
        </w:rPr>
        <w:t>דדבר</w:t>
      </w:r>
      <w:r w:rsidRPr="00400C0B">
        <w:rPr>
          <w:rFonts w:cs="Guttman Rashi"/>
          <w:rtl/>
          <w:lang w:bidi="he-IL"/>
        </w:rPr>
        <w:t xml:space="preserve"> </w:t>
      </w:r>
      <w:r w:rsidRPr="00400C0B">
        <w:rPr>
          <w:rFonts w:cs="Guttman Rashi" w:hint="eastAsia"/>
          <w:rtl/>
          <w:lang w:bidi="he-IL"/>
        </w:rPr>
        <w:t>גוש</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האש</w:t>
      </w:r>
      <w:r w:rsidRPr="00400C0B">
        <w:rPr>
          <w:rFonts w:cs="Guttman Rashi"/>
          <w:rtl/>
          <w:lang w:bidi="he-IL"/>
        </w:rPr>
        <w:t xml:space="preserve"> –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Ref488137565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515</w:t>
      </w:r>
      <w:r w:rsidRPr="00400C0B">
        <w:rPr>
          <w:rFonts w:cs="Guttman Rashi"/>
          <w:rtl/>
          <w:lang w:bidi="he-IL"/>
        </w:rPr>
        <w:fldChar w:fldCharType="end"/>
      </w:r>
      <w:r w:rsidRPr="00400C0B">
        <w:rPr>
          <w:rFonts w:cs="Guttman Rashi"/>
          <w:rtl/>
          <w:lang w:bidi="he-IL"/>
        </w:rPr>
        <w:t xml:space="preserve">. </w:t>
      </w:r>
    </w:p>
  </w:footnote>
  <w:footnote w:id="558">
    <w:p w:rsidR="007978F4" w:rsidRPr="00DA37E4" w:rsidRDefault="007978F4" w:rsidP="00DA37E4">
      <w:pPr>
        <w:pStyle w:val="FootnoteText"/>
        <w:bidi/>
        <w:jc w:val="both"/>
        <w:rPr>
          <w:rFonts w:cs="Guttman Rashi"/>
          <w:rtl/>
          <w:lang w:bidi="he-IL"/>
        </w:rPr>
      </w:pPr>
      <w:r w:rsidRPr="00DA37E4">
        <w:rPr>
          <w:rStyle w:val="FootnoteReference"/>
          <w:rFonts w:cs="Guttman Rashi"/>
        </w:rPr>
        <w:footnoteRef/>
      </w:r>
      <w:r w:rsidRPr="00DA37E4">
        <w:rPr>
          <w:rFonts w:cs="Guttman Rashi"/>
        </w:rPr>
        <w:t xml:space="preserve"> </w:t>
      </w:r>
      <w:r w:rsidRPr="00DA37E4">
        <w:rPr>
          <w:rFonts w:cs="Guttman Rashi" w:hint="cs"/>
          <w:rtl/>
          <w:lang w:bidi="he-IL"/>
        </w:rPr>
        <w:t>ע' גם סי' תנ"ג סע' ו', וע' גם ססי' תמ"ב.</w:t>
      </w:r>
    </w:p>
  </w:footnote>
  <w:footnote w:id="559">
    <w:p w:rsidR="007978F4" w:rsidRPr="00400C0B" w:rsidRDefault="007978F4" w:rsidP="00B80448">
      <w:pPr>
        <w:pStyle w:val="FootnoteText"/>
        <w:bidi/>
        <w:jc w:val="both"/>
        <w:rPr>
          <w:rFonts w:cs="Guttman Rashi"/>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ולשון</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הדחה</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בש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ומג</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תנ</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ואינו</w:t>
      </w:r>
      <w:r w:rsidRPr="00400C0B">
        <w:rPr>
          <w:rFonts w:cs="Guttman Rashi"/>
          <w:rtl/>
          <w:lang w:bidi="he-IL"/>
        </w:rPr>
        <w:t xml:space="preserve"> </w:t>
      </w:r>
      <w:r w:rsidRPr="00400C0B">
        <w:rPr>
          <w:rFonts w:cs="Guttman Rashi" w:hint="eastAsia"/>
          <w:rtl/>
          <w:lang w:bidi="he-IL"/>
        </w:rPr>
        <w:t>ברור</w:t>
      </w:r>
      <w:r w:rsidRPr="00400C0B">
        <w:rPr>
          <w:rFonts w:cs="Guttman Rashi"/>
          <w:rtl/>
          <w:lang w:bidi="he-IL"/>
        </w:rPr>
        <w:t xml:space="preserve"> </w:t>
      </w:r>
      <w:r w:rsidRPr="00400C0B">
        <w:rPr>
          <w:rFonts w:cs="Guttman Rashi" w:hint="eastAsia"/>
          <w:rtl/>
          <w:lang w:bidi="he-IL"/>
        </w:rPr>
        <w:t>מהו</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ויתכן</w:t>
      </w:r>
      <w:r w:rsidRPr="00400C0B">
        <w:rPr>
          <w:rFonts w:cs="Guttman Rashi"/>
          <w:rtl/>
          <w:lang w:bidi="he-IL"/>
        </w:rPr>
        <w:t xml:space="preserve"> </w:t>
      </w:r>
      <w:r w:rsidRPr="00400C0B">
        <w:rPr>
          <w:rFonts w:cs="Guttman Rashi" w:hint="eastAsia"/>
          <w:rtl/>
          <w:lang w:bidi="he-IL"/>
        </w:rPr>
        <w:t>שכוונתו</w:t>
      </w:r>
      <w:r w:rsidRPr="00400C0B">
        <w:rPr>
          <w:rFonts w:cs="Guttman Rashi"/>
          <w:rtl/>
          <w:lang w:bidi="he-IL"/>
        </w:rPr>
        <w:t xml:space="preserve"> </w:t>
      </w:r>
      <w:r w:rsidRPr="00400C0B">
        <w:rPr>
          <w:rFonts w:cs="Guttman Rashi" w:hint="eastAsia"/>
          <w:rtl/>
          <w:lang w:bidi="he-IL"/>
        </w:rPr>
        <w:t>לשרי</w:t>
      </w:r>
      <w:r w:rsidRPr="00400C0B">
        <w:rPr>
          <w:rFonts w:cs="Guttman Rashi"/>
          <w:rtl/>
          <w:lang w:bidi="he-IL"/>
        </w:rPr>
        <w:t xml:space="preserve">' </w:t>
      </w:r>
      <w:r w:rsidRPr="00400C0B">
        <w:rPr>
          <w:rFonts w:cs="Guttman Rashi" w:hint="eastAsia"/>
          <w:rtl/>
          <w:lang w:bidi="he-IL"/>
        </w:rPr>
        <w:t>במים</w:t>
      </w:r>
      <w:r w:rsidRPr="00400C0B">
        <w:rPr>
          <w:rFonts w:cs="Guttman Rashi"/>
          <w:rtl/>
          <w:lang w:bidi="he-IL"/>
        </w:rPr>
        <w:t xml:space="preserve"> </w:t>
      </w:r>
      <w:r w:rsidRPr="00400C0B">
        <w:rPr>
          <w:rFonts w:cs="Guttman Rashi" w:hint="eastAsia"/>
          <w:rtl/>
          <w:lang w:bidi="he-IL"/>
        </w:rPr>
        <w:t>בלבד</w:t>
      </w:r>
      <w:r w:rsidRPr="00400C0B">
        <w:rPr>
          <w:rFonts w:cs="Guttman Rashi"/>
          <w:rtl/>
          <w:lang w:bidi="he-IL"/>
        </w:rPr>
        <w:t xml:space="preserve">, </w:t>
      </w:r>
      <w:r w:rsidRPr="00400C0B">
        <w:rPr>
          <w:rFonts w:cs="Guttman Rashi" w:hint="eastAsia"/>
          <w:rtl/>
          <w:lang w:bidi="he-IL"/>
        </w:rPr>
        <w:t>וכדקיי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דשרייתו</w:t>
      </w:r>
      <w:r w:rsidRPr="00400C0B">
        <w:rPr>
          <w:rFonts w:cs="Guttman Rashi"/>
          <w:rtl/>
          <w:lang w:bidi="he-IL"/>
        </w:rPr>
        <w:t xml:space="preserve"> </w:t>
      </w:r>
      <w:r w:rsidRPr="00400C0B">
        <w:rPr>
          <w:rFonts w:cs="Guttman Rashi" w:hint="eastAsia"/>
          <w:rtl/>
          <w:lang w:bidi="he-IL"/>
        </w:rPr>
        <w:t>זהו</w:t>
      </w:r>
      <w:r w:rsidRPr="00400C0B">
        <w:rPr>
          <w:rFonts w:cs="Guttman Rashi"/>
          <w:rtl/>
          <w:lang w:bidi="he-IL"/>
        </w:rPr>
        <w:t xml:space="preserve"> </w:t>
      </w:r>
      <w:r w:rsidRPr="00400C0B">
        <w:rPr>
          <w:rFonts w:cs="Guttman Rashi" w:hint="eastAsia"/>
          <w:rtl/>
          <w:lang w:bidi="he-IL"/>
        </w:rPr>
        <w:t>כיבוסו</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חבטה</w:t>
      </w:r>
      <w:r w:rsidRPr="00400C0B">
        <w:rPr>
          <w:rFonts w:cs="Guttman Rashi"/>
          <w:rtl/>
          <w:lang w:bidi="he-IL"/>
        </w:rPr>
        <w:t xml:space="preserve"> </w:t>
      </w:r>
      <w:r w:rsidRPr="00400C0B">
        <w:rPr>
          <w:rFonts w:cs="Guttman Rashi" w:hint="eastAsia"/>
          <w:rtl/>
          <w:lang w:bidi="he-IL"/>
        </w:rPr>
        <w:t>מדהמשיך</w:t>
      </w:r>
      <w:r w:rsidRPr="00400C0B">
        <w:rPr>
          <w:rFonts w:cs="Guttman Rashi"/>
          <w:rtl/>
          <w:lang w:bidi="he-IL"/>
        </w:rPr>
        <w:t xml:space="preserve"> </w:t>
      </w:r>
      <w:r w:rsidRPr="00400C0B">
        <w:rPr>
          <w:rFonts w:cs="Guttman Rashi" w:hint="eastAsia"/>
          <w:rtl/>
          <w:lang w:bidi="he-IL"/>
        </w:rPr>
        <w:t>הש</w:t>
      </w:r>
      <w:r w:rsidRPr="00400C0B">
        <w:rPr>
          <w:rFonts w:cs="Guttman Rashi"/>
          <w:rtl/>
          <w:lang w:bidi="he-IL"/>
        </w:rPr>
        <w:t>"</w:t>
      </w:r>
      <w:r w:rsidRPr="00400C0B">
        <w:rPr>
          <w:rFonts w:cs="Guttman Rashi" w:hint="eastAsia"/>
          <w:rtl/>
          <w:lang w:bidi="he-IL"/>
        </w:rPr>
        <w:t>ך</w:t>
      </w:r>
      <w:r w:rsidRPr="00400C0B">
        <w:rPr>
          <w:rFonts w:cs="Guttman Rashi"/>
          <w:rtl/>
          <w:lang w:bidi="he-IL"/>
        </w:rPr>
        <w:t xml:space="preserve"> </w:t>
      </w:r>
      <w:r w:rsidRPr="00400C0B">
        <w:rPr>
          <w:rFonts w:cs="Guttman Rashi" w:hint="eastAsia"/>
          <w:rtl/>
          <w:lang w:bidi="he-IL"/>
        </w:rPr>
        <w:t>לכתוב</w:t>
      </w:r>
      <w:r w:rsidRPr="00400C0B">
        <w:rPr>
          <w:rFonts w:cs="Guttman Rashi"/>
          <w:rtl/>
          <w:lang w:bidi="he-IL"/>
        </w:rPr>
        <w:t xml:space="preserve"> "</w:t>
      </w:r>
      <w:r w:rsidRPr="00400C0B">
        <w:rPr>
          <w:rFonts w:cs="Guttman Rashi" w:hint="eastAsia"/>
          <w:rtl/>
          <w:lang w:bidi="he-IL"/>
        </w:rPr>
        <w:t>מיהו</w:t>
      </w:r>
      <w:r w:rsidRPr="00400C0B">
        <w:rPr>
          <w:rFonts w:cs="Guttman Rashi"/>
          <w:rtl/>
          <w:lang w:bidi="he-IL"/>
        </w:rPr>
        <w:t xml:space="preserve"> </w:t>
      </w:r>
      <w:r w:rsidRPr="00400C0B">
        <w:rPr>
          <w:rFonts w:cs="Guttman Rashi" w:hint="eastAsia"/>
          <w:rtl/>
          <w:lang w:bidi="he-IL"/>
        </w:rPr>
        <w:t>כתבו</w:t>
      </w:r>
      <w:r w:rsidRPr="00400C0B">
        <w:rPr>
          <w:rFonts w:cs="Guttman Rashi"/>
          <w:rtl/>
          <w:lang w:bidi="he-IL"/>
        </w:rPr>
        <w:t xml:space="preserve"> </w:t>
      </w:r>
      <w:r w:rsidRPr="00400C0B">
        <w:rPr>
          <w:rFonts w:cs="Guttman Rashi" w:hint="eastAsia"/>
          <w:rtl/>
          <w:lang w:bidi="he-IL"/>
        </w:rPr>
        <w:t>וכו</w:t>
      </w:r>
      <w:r w:rsidRPr="00400C0B">
        <w:rPr>
          <w:rFonts w:cs="Guttman Rashi"/>
          <w:rtl/>
          <w:lang w:bidi="he-IL"/>
        </w:rPr>
        <w:t xml:space="preserve">' </w:t>
      </w:r>
      <w:r w:rsidRPr="00400C0B">
        <w:rPr>
          <w:rFonts w:cs="Guttman Rashi" w:hint="eastAsia"/>
          <w:rtl/>
          <w:lang w:bidi="he-IL"/>
        </w:rPr>
        <w:t>שחובטין</w:t>
      </w:r>
      <w:r w:rsidRPr="00400C0B">
        <w:rPr>
          <w:rFonts w:cs="Guttman Rashi"/>
          <w:rtl/>
          <w:lang w:bidi="he-IL"/>
        </w:rPr>
        <w:t xml:space="preserve"> </w:t>
      </w:r>
      <w:r w:rsidRPr="00400C0B">
        <w:rPr>
          <w:rFonts w:cs="Guttman Rashi" w:hint="eastAsia"/>
          <w:rtl/>
          <w:lang w:bidi="he-IL"/>
        </w:rPr>
        <w:t>וכו</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בבית</w:t>
      </w:r>
      <w:r w:rsidRPr="00400C0B">
        <w:rPr>
          <w:rFonts w:cs="Guttman Rashi"/>
          <w:rtl/>
          <w:lang w:bidi="he-IL"/>
        </w:rPr>
        <w:t xml:space="preserve"> </w:t>
      </w:r>
      <w:r w:rsidRPr="00400C0B">
        <w:rPr>
          <w:rFonts w:cs="Guttman Rashi" w:hint="eastAsia"/>
          <w:rtl/>
          <w:lang w:bidi="he-IL"/>
        </w:rPr>
        <w:t>לחם</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אתר</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יתכן</w:t>
      </w:r>
      <w:r w:rsidRPr="00400C0B">
        <w:rPr>
          <w:rFonts w:cs="Guttman Rashi"/>
          <w:rtl/>
          <w:lang w:bidi="he-IL"/>
        </w:rPr>
        <w:t xml:space="preserve"> </w:t>
      </w:r>
      <w:r w:rsidRPr="00400C0B">
        <w:rPr>
          <w:rFonts w:cs="Guttman Rashi" w:hint="eastAsia"/>
          <w:rtl/>
          <w:lang w:bidi="he-IL"/>
        </w:rPr>
        <w:t>דהדחה</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שרי</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שפשוף</w:t>
      </w:r>
      <w:r w:rsidRPr="00400C0B">
        <w:rPr>
          <w:rFonts w:cs="Guttman Rashi"/>
          <w:rtl/>
          <w:lang w:bidi="he-IL"/>
        </w:rPr>
        <w:t>.</w:t>
      </w:r>
    </w:p>
  </w:footnote>
  <w:footnote w:id="56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לכבס</w:t>
      </w:r>
      <w:r w:rsidRPr="00400C0B">
        <w:rPr>
          <w:rFonts w:cs="Guttman Rashi"/>
          <w:rtl/>
          <w:lang w:bidi="he-IL"/>
        </w:rPr>
        <w:t xml:space="preserve"> </w:t>
      </w:r>
      <w:r w:rsidRPr="00400C0B">
        <w:rPr>
          <w:rFonts w:cs="Guttman Rashi" w:hint="eastAsia"/>
          <w:rtl/>
          <w:lang w:bidi="he-IL"/>
        </w:rPr>
        <w:t>מגבות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ושל</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ביחד</w:t>
      </w:r>
      <w:r w:rsidRPr="00400C0B">
        <w:rPr>
          <w:rFonts w:cs="Guttman Rashi"/>
          <w:rtl/>
          <w:lang w:bidi="he-IL"/>
        </w:rPr>
        <w:t xml:space="preserve"> </w:t>
      </w:r>
      <w:r w:rsidRPr="00400C0B">
        <w:rPr>
          <w:rFonts w:cs="Guttman Rashi" w:hint="eastAsia"/>
          <w:rtl/>
          <w:lang w:bidi="he-IL"/>
        </w:rPr>
        <w:t>במכונת</w:t>
      </w:r>
      <w:r w:rsidRPr="00400C0B">
        <w:rPr>
          <w:rFonts w:cs="Guttman Rashi"/>
          <w:rtl/>
          <w:lang w:bidi="he-IL"/>
        </w:rPr>
        <w:t xml:space="preserve"> </w:t>
      </w:r>
      <w:r w:rsidRPr="00400C0B">
        <w:rPr>
          <w:rFonts w:cs="Guttman Rashi" w:hint="eastAsia"/>
          <w:rtl/>
          <w:lang w:bidi="he-IL"/>
        </w:rPr>
        <w:t>כביסה</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נכנס</w:t>
      </w:r>
      <w:r w:rsidRPr="00400C0B">
        <w:rPr>
          <w:rFonts w:cs="Guttman Rashi"/>
          <w:rtl/>
          <w:lang w:bidi="he-IL"/>
        </w:rPr>
        <w:t xml:space="preserve"> </w:t>
      </w:r>
      <w:r w:rsidRPr="00400C0B">
        <w:rPr>
          <w:rFonts w:cs="Guttman Rashi" w:hint="eastAsia"/>
          <w:rtl/>
          <w:lang w:bidi="he-IL"/>
        </w:rPr>
        <w:t>אבקת</w:t>
      </w:r>
      <w:r w:rsidRPr="00400C0B">
        <w:rPr>
          <w:rFonts w:cs="Guttman Rashi"/>
          <w:rtl/>
          <w:lang w:bidi="he-IL"/>
        </w:rPr>
        <w:t xml:space="preserve"> </w:t>
      </w:r>
      <w:r w:rsidRPr="00400C0B">
        <w:rPr>
          <w:rFonts w:cs="Guttman Rashi" w:hint="eastAsia"/>
          <w:rtl/>
          <w:lang w:bidi="he-IL"/>
        </w:rPr>
        <w:t>כביסה</w:t>
      </w:r>
      <w:r w:rsidRPr="00400C0B">
        <w:rPr>
          <w:rFonts w:cs="Guttman Rashi"/>
          <w:rtl/>
          <w:lang w:bidi="he-IL"/>
        </w:rPr>
        <w:t xml:space="preserve"> </w:t>
      </w:r>
      <w:r w:rsidRPr="00400C0B">
        <w:rPr>
          <w:rFonts w:cs="Guttman Rashi" w:hint="eastAsia"/>
          <w:rtl/>
          <w:lang w:bidi="he-IL"/>
        </w:rPr>
        <w:t>לתוך</w:t>
      </w:r>
      <w:r w:rsidRPr="00400C0B">
        <w:rPr>
          <w:rFonts w:cs="Guttman Rashi"/>
          <w:rtl/>
          <w:lang w:bidi="he-IL"/>
        </w:rPr>
        <w:t xml:space="preserve"> </w:t>
      </w:r>
      <w:r w:rsidRPr="00400C0B">
        <w:rPr>
          <w:rFonts w:cs="Guttman Rashi" w:hint="eastAsia"/>
          <w:rtl/>
          <w:lang w:bidi="he-IL"/>
        </w:rPr>
        <w:t>הכביסה</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שנכנס</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מים</w:t>
      </w:r>
      <w:r w:rsidRPr="00400C0B">
        <w:rPr>
          <w:rFonts w:cs="Guttman Rashi"/>
          <w:rtl/>
          <w:lang w:bidi="he-IL"/>
        </w:rPr>
        <w:t xml:space="preserve"> </w:t>
      </w:r>
      <w:r w:rsidRPr="00400C0B">
        <w:rPr>
          <w:rFonts w:cs="Guttman Rashi" w:hint="eastAsia"/>
          <w:rtl/>
          <w:lang w:bidi="he-IL"/>
        </w:rPr>
        <w:t>חמין</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שהבליעות</w:t>
      </w:r>
      <w:r w:rsidRPr="00400C0B">
        <w:rPr>
          <w:rFonts w:cs="Guttman Rashi"/>
          <w:rtl/>
          <w:lang w:bidi="he-IL"/>
        </w:rPr>
        <w:t xml:space="preserve"> </w:t>
      </w:r>
      <w:r w:rsidRPr="00400C0B">
        <w:rPr>
          <w:rFonts w:cs="Guttman Rashi" w:hint="eastAsia"/>
          <w:rtl/>
          <w:lang w:bidi="he-IL"/>
        </w:rPr>
        <w:t>נכנסים</w:t>
      </w:r>
      <w:r w:rsidRPr="00400C0B">
        <w:rPr>
          <w:rFonts w:cs="Guttman Rashi"/>
          <w:rtl/>
          <w:lang w:bidi="he-IL"/>
        </w:rPr>
        <w:t xml:space="preserve"> </w:t>
      </w:r>
      <w:r w:rsidRPr="00400C0B">
        <w:rPr>
          <w:rFonts w:cs="Guttman Rashi" w:hint="eastAsia"/>
          <w:rtl/>
          <w:lang w:bidi="he-IL"/>
        </w:rPr>
        <w:t>למים</w:t>
      </w:r>
      <w:r w:rsidRPr="00400C0B">
        <w:rPr>
          <w:rFonts w:cs="Guttman Rashi"/>
          <w:rtl/>
          <w:lang w:bidi="he-IL"/>
        </w:rPr>
        <w:t xml:space="preserve"> </w:t>
      </w:r>
      <w:r w:rsidRPr="00400C0B">
        <w:rPr>
          <w:rFonts w:cs="Guttman Rashi" w:hint="eastAsia"/>
          <w:rtl/>
          <w:lang w:bidi="he-IL"/>
        </w:rPr>
        <w:t>הפגומים</w:t>
      </w:r>
      <w:r w:rsidRPr="00400C0B">
        <w:rPr>
          <w:rFonts w:cs="Guttman Rashi"/>
          <w:rtl/>
          <w:lang w:bidi="he-IL"/>
        </w:rPr>
        <w:t xml:space="preserve"> </w:t>
      </w:r>
      <w:r w:rsidRPr="00400C0B">
        <w:rPr>
          <w:rFonts w:cs="Guttman Rashi" w:hint="eastAsia"/>
          <w:rtl/>
          <w:lang w:bidi="he-IL"/>
        </w:rPr>
        <w:t>ושוב</w:t>
      </w:r>
      <w:r w:rsidRPr="00400C0B">
        <w:rPr>
          <w:rFonts w:cs="Guttman Rashi"/>
          <w:rtl/>
          <w:lang w:bidi="he-IL"/>
        </w:rPr>
        <w:t xml:space="preserve"> </w:t>
      </w:r>
      <w:r w:rsidRPr="00400C0B">
        <w:rPr>
          <w:rFonts w:cs="Guttman Rashi" w:hint="eastAsia"/>
          <w:rtl/>
          <w:lang w:bidi="he-IL"/>
        </w:rPr>
        <w:t>אינם</w:t>
      </w:r>
      <w:r w:rsidRPr="00400C0B">
        <w:rPr>
          <w:rFonts w:cs="Guttman Rashi"/>
          <w:rtl/>
          <w:lang w:bidi="he-IL"/>
        </w:rPr>
        <w:t xml:space="preserve"> </w:t>
      </w:r>
      <w:r w:rsidRPr="00400C0B">
        <w:rPr>
          <w:rFonts w:cs="Guttman Rashi" w:hint="eastAsia"/>
          <w:rtl/>
          <w:lang w:bidi="he-IL"/>
        </w:rPr>
        <w:t>אוסרים</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דהוו</w:t>
      </w:r>
      <w:r w:rsidRPr="00400C0B">
        <w:rPr>
          <w:rFonts w:cs="Guttman Rashi"/>
          <w:rtl/>
          <w:lang w:bidi="he-IL"/>
        </w:rPr>
        <w:t xml:space="preserve"> </w:t>
      </w:r>
      <w:r w:rsidRPr="00400C0B">
        <w:rPr>
          <w:rFonts w:cs="Guttman Rashi" w:hint="eastAsia"/>
          <w:rtl/>
          <w:lang w:bidi="he-IL"/>
        </w:rPr>
        <w:t>לפגם</w:t>
      </w:r>
      <w:r w:rsidRPr="00400C0B">
        <w:rPr>
          <w:rFonts w:cs="Guttman Rashi"/>
          <w:rtl/>
          <w:lang w:bidi="he-IL"/>
        </w:rPr>
        <w:t xml:space="preserve">, </w:t>
      </w:r>
      <w:r w:rsidRPr="00400C0B">
        <w:rPr>
          <w:rFonts w:cs="Guttman Rashi" w:hint="eastAsia"/>
          <w:rtl/>
          <w:lang w:bidi="he-IL"/>
        </w:rPr>
        <w:t>וכהא</w:t>
      </w:r>
      <w:r w:rsidRPr="00400C0B">
        <w:rPr>
          <w:rFonts w:cs="Guttman Rashi"/>
          <w:rtl/>
          <w:lang w:bidi="he-IL"/>
        </w:rPr>
        <w:t xml:space="preserve"> </w:t>
      </w:r>
      <w:r w:rsidRPr="00400C0B">
        <w:rPr>
          <w:rFonts w:cs="Guttman Rashi" w:hint="eastAsia"/>
          <w:rtl/>
          <w:lang w:bidi="he-IL"/>
        </w:rPr>
        <w:t>דסי</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סע</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נכנס</w:t>
      </w:r>
      <w:r w:rsidRPr="00400C0B">
        <w:rPr>
          <w:rFonts w:cs="Guttman Rashi"/>
          <w:rtl/>
          <w:lang w:bidi="he-IL"/>
        </w:rPr>
        <w:t xml:space="preserve"> </w:t>
      </w:r>
      <w:r w:rsidRPr="00400C0B">
        <w:rPr>
          <w:rFonts w:cs="Guttman Rashi" w:hint="eastAsia"/>
          <w:rtl/>
          <w:lang w:bidi="he-IL"/>
        </w:rPr>
        <w:t>המים</w:t>
      </w:r>
      <w:r w:rsidRPr="00400C0B">
        <w:rPr>
          <w:rFonts w:cs="Guttman Rashi"/>
          <w:rtl/>
          <w:lang w:bidi="he-IL"/>
        </w:rPr>
        <w:t xml:space="preserve"> </w:t>
      </w:r>
      <w:r w:rsidRPr="00400C0B">
        <w:rPr>
          <w:rFonts w:cs="Guttman Rashi" w:hint="eastAsia"/>
          <w:rtl/>
          <w:lang w:bidi="he-IL"/>
        </w:rPr>
        <w:t>חמין</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שנכנס</w:t>
      </w:r>
      <w:r w:rsidRPr="00400C0B">
        <w:rPr>
          <w:rFonts w:cs="Guttman Rashi"/>
          <w:rtl/>
          <w:lang w:bidi="he-IL"/>
        </w:rPr>
        <w:t xml:space="preserve"> </w:t>
      </w:r>
      <w:r w:rsidRPr="00400C0B">
        <w:rPr>
          <w:rFonts w:cs="Guttman Rashi" w:hint="eastAsia"/>
          <w:rtl/>
          <w:lang w:bidi="he-IL"/>
        </w:rPr>
        <w:t>אבקת</w:t>
      </w:r>
      <w:r w:rsidRPr="00400C0B">
        <w:rPr>
          <w:rFonts w:cs="Guttman Rashi"/>
          <w:rtl/>
          <w:lang w:bidi="he-IL"/>
        </w:rPr>
        <w:t xml:space="preserve"> </w:t>
      </w:r>
      <w:r w:rsidRPr="00400C0B">
        <w:rPr>
          <w:rFonts w:cs="Guttman Rashi" w:hint="eastAsia"/>
          <w:rtl/>
          <w:lang w:bidi="he-IL"/>
        </w:rPr>
        <w:t>הכביסה</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ששים</w:t>
      </w:r>
      <w:r w:rsidRPr="00400C0B">
        <w:rPr>
          <w:rFonts w:cs="Guttman Rashi"/>
          <w:rtl/>
          <w:lang w:bidi="he-IL"/>
        </w:rPr>
        <w:t xml:space="preserve"> </w:t>
      </w:r>
      <w:r w:rsidRPr="00400C0B">
        <w:rPr>
          <w:rFonts w:cs="Guttman Rashi" w:hint="eastAsia"/>
          <w:rtl/>
          <w:lang w:bidi="he-IL"/>
        </w:rPr>
        <w:t>במים</w:t>
      </w:r>
      <w:r w:rsidRPr="00400C0B">
        <w:rPr>
          <w:rFonts w:cs="Guttman Rashi"/>
          <w:rtl/>
          <w:lang w:bidi="he-IL"/>
        </w:rPr>
        <w:t xml:space="preserve"> </w:t>
      </w:r>
      <w:r w:rsidRPr="00400C0B">
        <w:rPr>
          <w:rFonts w:cs="Guttman Rashi" w:hint="eastAsia"/>
          <w:rtl/>
          <w:lang w:bidi="he-IL"/>
        </w:rPr>
        <w:t>כנגד</w:t>
      </w:r>
      <w:r w:rsidRPr="00400C0B">
        <w:rPr>
          <w:rFonts w:cs="Guttman Rashi"/>
          <w:rtl/>
          <w:lang w:bidi="he-IL"/>
        </w:rPr>
        <w:t xml:space="preserve"> </w:t>
      </w:r>
      <w:r w:rsidRPr="00400C0B">
        <w:rPr>
          <w:rFonts w:cs="Guttman Rashi" w:hint="eastAsia"/>
          <w:rtl/>
          <w:lang w:bidi="he-IL"/>
        </w:rPr>
        <w:t>המגבות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בדיעבד</w:t>
      </w:r>
      <w:r w:rsidRPr="00400C0B">
        <w:rPr>
          <w:rFonts w:cs="Guttman Rashi"/>
          <w:rtl/>
          <w:lang w:bidi="he-IL"/>
        </w:rPr>
        <w:t xml:space="preserve">. </w:t>
      </w:r>
      <w:r w:rsidRPr="00400C0B">
        <w:rPr>
          <w:rFonts w:cs="Guttman Rashi" w:hint="eastAsia"/>
          <w:rtl/>
          <w:lang w:bidi="he-IL"/>
        </w:rPr>
        <w:t>ויתכן</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המים</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ראשון</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תלוי</w:t>
      </w:r>
      <w:r w:rsidRPr="00400C0B">
        <w:rPr>
          <w:rFonts w:cs="Guttman Rashi"/>
          <w:rtl/>
          <w:lang w:bidi="he-IL"/>
        </w:rPr>
        <w:t xml:space="preserve"> </w:t>
      </w:r>
      <w:r w:rsidRPr="00400C0B">
        <w:rPr>
          <w:rFonts w:cs="Guttman Rashi" w:hint="eastAsia"/>
          <w:rtl/>
          <w:lang w:bidi="he-IL"/>
        </w:rPr>
        <w:t>במוכנה</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להתיר</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בדין</w:t>
      </w:r>
      <w:r w:rsidRPr="00400C0B">
        <w:rPr>
          <w:rFonts w:cs="Guttman Rashi"/>
          <w:rtl/>
          <w:lang w:bidi="he-IL"/>
        </w:rPr>
        <w:t xml:space="preserve"> </w:t>
      </w:r>
      <w:r w:rsidRPr="00400C0B">
        <w:rPr>
          <w:rFonts w:cs="Guttman Rashi" w:hint="eastAsia"/>
          <w:rtl/>
          <w:lang w:bidi="he-IL"/>
        </w:rPr>
        <w:t>הדחת</w:t>
      </w:r>
      <w:r w:rsidRPr="00400C0B">
        <w:rPr>
          <w:rFonts w:cs="Guttman Rashi"/>
          <w:rtl/>
          <w:lang w:bidi="he-IL"/>
        </w:rPr>
        <w:t xml:space="preserve"> </w:t>
      </w:r>
      <w:r w:rsidRPr="00400C0B">
        <w:rPr>
          <w:rFonts w:cs="Guttman Rashi" w:hint="eastAsia"/>
          <w:rtl/>
          <w:lang w:bidi="he-IL"/>
        </w:rPr>
        <w:t>קערות</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בנד</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פעמים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בעין</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מגבת</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בקר</w:t>
      </w:r>
      <w:r w:rsidRPr="00400C0B">
        <w:rPr>
          <w:rFonts w:cs="Guttman Rashi"/>
          <w:rtl/>
          <w:lang w:bidi="he-IL"/>
        </w:rPr>
        <w:t xml:space="preserve"> </w:t>
      </w:r>
      <w:r w:rsidRPr="00400C0B">
        <w:rPr>
          <w:rFonts w:cs="Guttman Rashi" w:hint="eastAsia"/>
          <w:rtl/>
          <w:lang w:bidi="he-IL"/>
        </w:rPr>
        <w:t>וגם</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להקפיד</w:t>
      </w:r>
      <w:r w:rsidRPr="00400C0B">
        <w:rPr>
          <w:rFonts w:cs="Guttman Rashi"/>
          <w:rtl/>
          <w:lang w:bidi="he-IL"/>
        </w:rPr>
        <w:t xml:space="preserve"> </w:t>
      </w:r>
      <w:r w:rsidRPr="00400C0B">
        <w:rPr>
          <w:rFonts w:cs="Guttman Rashi" w:hint="eastAsia"/>
          <w:rtl/>
          <w:lang w:bidi="he-IL"/>
        </w:rPr>
        <w:t>לכבס</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שני</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מבשל</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לעבור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להניח</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אבקת</w:t>
      </w:r>
      <w:r w:rsidRPr="00400C0B">
        <w:rPr>
          <w:rFonts w:cs="Guttman Rashi"/>
          <w:rtl/>
          <w:lang w:bidi="he-IL"/>
        </w:rPr>
        <w:t xml:space="preserve"> </w:t>
      </w:r>
      <w:r w:rsidRPr="00400C0B">
        <w:rPr>
          <w:rFonts w:cs="Guttman Rashi" w:hint="eastAsia"/>
          <w:rtl/>
          <w:lang w:bidi="he-IL"/>
        </w:rPr>
        <w:t>כביסה</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שנכנס</w:t>
      </w:r>
      <w:r w:rsidRPr="00400C0B">
        <w:rPr>
          <w:rFonts w:cs="Guttman Rashi"/>
          <w:rtl/>
          <w:lang w:bidi="he-IL"/>
        </w:rPr>
        <w:t xml:space="preserve"> </w:t>
      </w:r>
      <w:r w:rsidRPr="00400C0B">
        <w:rPr>
          <w:rFonts w:cs="Guttman Rashi" w:hint="eastAsia"/>
          <w:rtl/>
          <w:lang w:bidi="he-IL"/>
        </w:rPr>
        <w:t>למכונה</w:t>
      </w:r>
      <w:r w:rsidRPr="00400C0B">
        <w:rPr>
          <w:rFonts w:cs="Guttman Rashi"/>
          <w:rtl/>
          <w:lang w:bidi="he-IL"/>
        </w:rPr>
        <w:t xml:space="preserve">. </w:t>
      </w:r>
      <w:r w:rsidRPr="00400C0B">
        <w:rPr>
          <w:rFonts w:cs="Guttman Rashi" w:hint="eastAsia"/>
          <w:rtl/>
          <w:lang w:bidi="he-IL"/>
        </w:rPr>
        <w:t>והי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לצרף</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בחלב</w:t>
      </w:r>
      <w:r w:rsidRPr="00400C0B">
        <w:rPr>
          <w:rFonts w:cs="Guttman Rashi"/>
          <w:rtl/>
          <w:lang w:bidi="he-IL"/>
        </w:rPr>
        <w:t xml:space="preserve"> </w:t>
      </w:r>
      <w:r w:rsidRPr="00400C0B">
        <w:rPr>
          <w:rFonts w:cs="Guttman Rashi" w:hint="eastAsia"/>
          <w:rtl/>
          <w:lang w:bidi="he-IL"/>
        </w:rPr>
        <w:t>לאיבוד</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 </w:t>
      </w:r>
      <w:r w:rsidRPr="00400C0B">
        <w:rPr>
          <w:rFonts w:cs="Guttman Rashi" w:hint="eastAsia"/>
          <w:rtl/>
          <w:lang w:bidi="he-IL"/>
        </w:rPr>
        <w:t>ומה</w:t>
      </w:r>
      <w:r w:rsidRPr="00400C0B">
        <w:rPr>
          <w:rFonts w:cs="Guttman Rashi"/>
          <w:rtl/>
          <w:lang w:bidi="he-IL"/>
        </w:rPr>
        <w:t xml:space="preserve"> </w:t>
      </w:r>
      <w:r w:rsidRPr="00400C0B">
        <w:rPr>
          <w:rFonts w:cs="Guttman Rashi" w:hint="eastAsia"/>
          <w:rtl/>
          <w:lang w:bidi="he-IL"/>
        </w:rPr>
        <w:t>שהבאתי</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משו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שבט</w:t>
      </w:r>
      <w:r w:rsidRPr="00400C0B">
        <w:rPr>
          <w:rFonts w:cs="Guttman Rashi"/>
          <w:rtl/>
          <w:lang w:bidi="he-IL"/>
        </w:rPr>
        <w:t xml:space="preserve"> </w:t>
      </w:r>
      <w:r w:rsidRPr="00400C0B">
        <w:rPr>
          <w:rFonts w:cs="Guttman Rashi" w:hint="eastAsia"/>
          <w:rtl/>
          <w:lang w:bidi="he-IL"/>
        </w:rPr>
        <w:t>הקהתי</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צ</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פס</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ניחא</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הרבה</w:t>
      </w:r>
      <w:r w:rsidRPr="00400C0B">
        <w:rPr>
          <w:rFonts w:cs="Guttman Rashi"/>
          <w:rtl/>
          <w:lang w:bidi="he-IL"/>
        </w:rPr>
        <w:t xml:space="preserve"> </w:t>
      </w:r>
      <w:r w:rsidRPr="00400C0B">
        <w:rPr>
          <w:rFonts w:cs="Guttman Rashi" w:hint="eastAsia"/>
          <w:rtl/>
          <w:lang w:bidi="he-IL"/>
        </w:rPr>
        <w:t>פוסקים</w:t>
      </w:r>
      <w:r w:rsidRPr="00400C0B">
        <w:rPr>
          <w:rFonts w:cs="Guttman Rashi"/>
          <w:rtl/>
          <w:lang w:bidi="he-IL"/>
        </w:rPr>
        <w:t xml:space="preserve"> </w:t>
      </w:r>
      <w:r w:rsidRPr="00400C0B">
        <w:rPr>
          <w:rFonts w:cs="Guttman Rashi" w:hint="eastAsia"/>
          <w:rtl/>
          <w:lang w:bidi="he-IL"/>
        </w:rPr>
        <w:t>מחמירים</w:t>
      </w:r>
      <w:r w:rsidRPr="00400C0B">
        <w:rPr>
          <w:rFonts w:cs="Guttman Rashi"/>
          <w:rtl/>
          <w:lang w:bidi="he-IL"/>
        </w:rPr>
        <w:t xml:space="preserve"> </w:t>
      </w:r>
      <w:r w:rsidRPr="00400C0B">
        <w:rPr>
          <w:rFonts w:cs="Guttman Rashi" w:hint="eastAsia"/>
          <w:rtl/>
          <w:lang w:bidi="he-IL"/>
        </w:rPr>
        <w:t>בבב</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לאיבוד</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הערוך</w:t>
      </w:r>
      <w:r w:rsidRPr="00400C0B">
        <w:rPr>
          <w:rFonts w:cs="Guttman Rashi"/>
          <w:rtl/>
          <w:lang w:bidi="he-IL"/>
        </w:rPr>
        <w:t xml:space="preserve"> </w:t>
      </w:r>
      <w:r w:rsidRPr="00400C0B">
        <w:rPr>
          <w:rFonts w:cs="Guttman Rashi" w:hint="eastAsia"/>
          <w:rtl/>
          <w:lang w:bidi="he-IL"/>
        </w:rPr>
        <w:t>לאו</w:t>
      </w:r>
      <w:r w:rsidRPr="00400C0B">
        <w:rPr>
          <w:rFonts w:cs="Guttman Rashi"/>
          <w:rtl/>
          <w:lang w:bidi="he-IL"/>
        </w:rPr>
        <w:t xml:space="preserve"> </w:t>
      </w:r>
      <w:r w:rsidRPr="00400C0B">
        <w:rPr>
          <w:rFonts w:cs="Guttman Rashi" w:hint="eastAsia"/>
          <w:rtl/>
          <w:lang w:bidi="he-IL"/>
        </w:rPr>
        <w:t>דכו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שהערוך</w:t>
      </w:r>
      <w:r w:rsidRPr="00400C0B">
        <w:rPr>
          <w:rFonts w:cs="Guttman Rashi"/>
          <w:rtl/>
          <w:lang w:bidi="he-IL"/>
        </w:rPr>
        <w:t xml:space="preserve"> </w:t>
      </w:r>
      <w:r w:rsidRPr="00400C0B">
        <w:rPr>
          <w:rFonts w:cs="Guttman Rashi" w:hint="eastAsia"/>
          <w:rtl/>
          <w:lang w:bidi="he-IL"/>
        </w:rPr>
        <w:t>מודה</w:t>
      </w:r>
      <w:r w:rsidRPr="00400C0B">
        <w:rPr>
          <w:rFonts w:cs="Guttman Rashi"/>
          <w:rtl/>
          <w:lang w:bidi="he-IL"/>
        </w:rPr>
        <w:t xml:space="preserve"> </w:t>
      </w:r>
      <w:r w:rsidRPr="00400C0B">
        <w:rPr>
          <w:rFonts w:cs="Guttman Rashi" w:hint="eastAsia"/>
          <w:rtl/>
          <w:lang w:bidi="he-IL"/>
        </w:rPr>
        <w:t>בכל</w:t>
      </w:r>
      <w:r w:rsidRPr="00400C0B">
        <w:rPr>
          <w:rFonts w:cs="Guttman Rashi"/>
          <w:rtl/>
          <w:lang w:bidi="he-IL"/>
        </w:rPr>
        <w:t xml:space="preserve"> </w:t>
      </w:r>
      <w:r w:rsidRPr="00400C0B">
        <w:rPr>
          <w:rFonts w:cs="Guttman Rashi" w:hint="eastAsia"/>
          <w:rtl/>
          <w:lang w:bidi="he-IL"/>
        </w:rPr>
        <w:t>איסורים</w:t>
      </w:r>
      <w:r w:rsidRPr="00400C0B">
        <w:rPr>
          <w:rFonts w:cs="Guttman Rashi"/>
          <w:rtl/>
          <w:lang w:bidi="he-IL"/>
        </w:rPr>
        <w:t xml:space="preserve"> </w:t>
      </w:r>
      <w:r w:rsidRPr="00400C0B">
        <w:rPr>
          <w:rFonts w:cs="Guttman Rashi" w:hint="eastAsia"/>
          <w:rtl/>
          <w:lang w:bidi="he-IL"/>
        </w:rPr>
        <w:t>שבתורה</w:t>
      </w:r>
      <w:r w:rsidRPr="00400C0B">
        <w:rPr>
          <w:rFonts w:cs="Guttman Rashi"/>
          <w:rtl/>
          <w:lang w:bidi="he-IL"/>
        </w:rPr>
        <w:t xml:space="preserve"> </w:t>
      </w:r>
      <w:r w:rsidRPr="00400C0B">
        <w:rPr>
          <w:rFonts w:cs="Guttman Rashi" w:hint="eastAsia"/>
          <w:rtl/>
          <w:lang w:bidi="he-IL"/>
        </w:rPr>
        <w:t>חוץ</w:t>
      </w:r>
      <w:r w:rsidRPr="00400C0B">
        <w:rPr>
          <w:rFonts w:cs="Guttman Rashi"/>
          <w:rtl/>
          <w:lang w:bidi="he-IL"/>
        </w:rPr>
        <w:t xml:space="preserve"> </w:t>
      </w:r>
      <w:r w:rsidRPr="00400C0B">
        <w:rPr>
          <w:rFonts w:cs="Guttman Rashi" w:hint="eastAsia"/>
          <w:rtl/>
          <w:lang w:bidi="he-IL"/>
        </w:rPr>
        <w:t>משבת</w:t>
      </w:r>
      <w:r w:rsidRPr="00400C0B">
        <w:rPr>
          <w:rFonts w:cs="Guttman Rashi"/>
          <w:rtl/>
          <w:lang w:bidi="he-IL"/>
        </w:rPr>
        <w:t xml:space="preserve">.  </w:t>
      </w:r>
    </w:p>
  </w:footnote>
  <w:footnote w:id="56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לפקפק</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לפי</w:t>
      </w:r>
      <w:r w:rsidRPr="00400C0B">
        <w:rPr>
          <w:rFonts w:cs="Guttman Rashi"/>
          <w:rtl/>
          <w:lang w:bidi="he-IL"/>
        </w:rPr>
        <w:t xml:space="preserve"> </w:t>
      </w:r>
      <w:r w:rsidRPr="00400C0B">
        <w:rPr>
          <w:rFonts w:cs="Guttman Rashi" w:hint="eastAsia"/>
          <w:rtl/>
          <w:lang w:bidi="he-IL"/>
        </w:rPr>
        <w:t>המנהג</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מכשירים</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מבשר</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מחלב</w:t>
      </w:r>
      <w:r w:rsidRPr="00400C0B">
        <w:rPr>
          <w:rFonts w:cs="Guttman Rashi"/>
          <w:rtl/>
          <w:lang w:bidi="he-IL"/>
        </w:rPr>
        <w:t xml:space="preserve"> </w:t>
      </w:r>
      <w:r w:rsidRPr="00400C0B">
        <w:rPr>
          <w:rFonts w:cs="Guttman Rashi" w:hint="eastAsia"/>
          <w:rtl/>
          <w:lang w:bidi="he-IL"/>
        </w:rPr>
        <w:t>לבשר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לכבס</w:t>
      </w:r>
      <w:r w:rsidRPr="00400C0B">
        <w:rPr>
          <w:rFonts w:cs="Guttman Rashi"/>
          <w:rtl/>
          <w:lang w:bidi="he-IL"/>
        </w:rPr>
        <w:t xml:space="preserve"> </w:t>
      </w:r>
      <w:r w:rsidRPr="00400C0B">
        <w:rPr>
          <w:rFonts w:cs="Guttman Rashi" w:hint="eastAsia"/>
          <w:rtl/>
          <w:lang w:bidi="he-IL"/>
        </w:rPr>
        <w:t>אותו</w:t>
      </w:r>
      <w:r w:rsidRPr="00400C0B">
        <w:rPr>
          <w:rFonts w:cs="Guttman Rashi"/>
          <w:rtl/>
          <w:lang w:bidi="he-IL"/>
        </w:rPr>
        <w:t xml:space="preserve"> </w:t>
      </w:r>
      <w:r w:rsidRPr="00400C0B">
        <w:rPr>
          <w:rFonts w:cs="Guttman Rashi" w:hint="eastAsia"/>
          <w:rtl/>
          <w:lang w:bidi="he-IL"/>
        </w:rPr>
        <w:t>מתשמיש</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לתשמיש</w:t>
      </w:r>
      <w:r w:rsidRPr="00400C0B">
        <w:rPr>
          <w:rFonts w:cs="Guttman Rashi"/>
          <w:rtl/>
          <w:lang w:bidi="he-IL"/>
        </w:rPr>
        <w:t xml:space="preserve"> </w:t>
      </w:r>
      <w:r w:rsidRPr="00400C0B">
        <w:rPr>
          <w:rFonts w:cs="Guttman Rashi" w:hint="eastAsia"/>
          <w:rtl/>
          <w:lang w:bidi="he-IL"/>
        </w:rPr>
        <w:t>בשר</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לחלק</w:t>
      </w:r>
      <w:r w:rsidRPr="00400C0B">
        <w:rPr>
          <w:rFonts w:cs="Guttman Rashi"/>
          <w:rtl/>
          <w:lang w:bidi="he-IL"/>
        </w:rPr>
        <w:t xml:space="preserve">, </w:t>
      </w:r>
      <w:r w:rsidRPr="00400C0B">
        <w:rPr>
          <w:rFonts w:cs="Guttman Rashi" w:hint="eastAsia"/>
          <w:rtl/>
          <w:lang w:bidi="he-IL"/>
        </w:rPr>
        <w:t>שבעצם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המגבת</w:t>
      </w:r>
      <w:r w:rsidRPr="00400C0B">
        <w:rPr>
          <w:rFonts w:cs="Guttman Rashi"/>
          <w:rtl/>
          <w:lang w:bidi="he-IL"/>
        </w:rPr>
        <w:t xml:space="preserve"> </w:t>
      </w:r>
      <w:r w:rsidRPr="00400C0B">
        <w:rPr>
          <w:rFonts w:cs="Guttman Rashi" w:hint="eastAsia"/>
          <w:rtl/>
          <w:lang w:bidi="he-IL"/>
        </w:rPr>
        <w:t>מטבח</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היום</w:t>
      </w:r>
      <w:r w:rsidRPr="00400C0B">
        <w:rPr>
          <w:rFonts w:cs="Guttman Rashi"/>
          <w:rtl/>
          <w:lang w:bidi="he-IL"/>
        </w:rPr>
        <w:t xml:space="preserve"> </w:t>
      </w:r>
      <w:r w:rsidRPr="00400C0B">
        <w:rPr>
          <w:rFonts w:cs="Guttman Rashi" w:hint="eastAsia"/>
          <w:rtl/>
          <w:lang w:bidi="he-IL"/>
        </w:rPr>
        <w:t>בכלל</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סעודה</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מתרתו</w:t>
      </w:r>
      <w:r w:rsidRPr="00400C0B">
        <w:rPr>
          <w:rFonts w:cs="Guttman Rashi"/>
          <w:rtl/>
          <w:lang w:bidi="he-IL"/>
        </w:rPr>
        <w:t xml:space="preserve"> </w:t>
      </w:r>
      <w:r w:rsidRPr="00400C0B">
        <w:rPr>
          <w:rFonts w:cs="Guttman Rashi" w:hint="eastAsia"/>
          <w:rtl/>
          <w:lang w:bidi="he-IL"/>
        </w:rPr>
        <w:t>ליגע</w:t>
      </w:r>
      <w:r w:rsidRPr="00400C0B">
        <w:rPr>
          <w:rFonts w:cs="Guttman Rashi"/>
          <w:rtl/>
          <w:lang w:bidi="he-IL"/>
        </w:rPr>
        <w:t xml:space="preserve"> </w:t>
      </w:r>
      <w:r w:rsidRPr="00400C0B">
        <w:rPr>
          <w:rFonts w:cs="Guttman Rashi" w:hint="eastAsia"/>
          <w:rtl/>
          <w:lang w:bidi="he-IL"/>
        </w:rPr>
        <w:t>באוכלין</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גדול</w:t>
      </w:r>
      <w:r w:rsidRPr="00400C0B">
        <w:rPr>
          <w:rFonts w:cs="Guttman Rashi"/>
          <w:rtl/>
          <w:lang w:bidi="he-IL"/>
        </w:rPr>
        <w:t xml:space="preserve"> </w:t>
      </w:r>
      <w:r w:rsidRPr="00400C0B">
        <w:rPr>
          <w:rFonts w:cs="Guttman Rashi" w:hint="eastAsia"/>
          <w:rtl/>
          <w:lang w:bidi="he-IL"/>
        </w:rPr>
        <w:t>שנוגע</w:t>
      </w:r>
      <w:r w:rsidRPr="00400C0B">
        <w:rPr>
          <w:rFonts w:cs="Guttman Rashi"/>
          <w:rtl/>
          <w:lang w:bidi="he-IL"/>
        </w:rPr>
        <w:t xml:space="preserve"> </w:t>
      </w:r>
      <w:r w:rsidRPr="00400C0B">
        <w:rPr>
          <w:rFonts w:cs="Guttman Rashi" w:hint="eastAsia"/>
          <w:rtl/>
          <w:lang w:bidi="he-IL"/>
        </w:rPr>
        <w:t>באוכלין</w:t>
      </w:r>
      <w:r w:rsidRPr="00400C0B">
        <w:rPr>
          <w:rFonts w:cs="Guttman Rashi"/>
          <w:rtl/>
          <w:lang w:bidi="he-IL"/>
        </w:rPr>
        <w:t xml:space="preserve"> </w:t>
      </w:r>
      <w:r w:rsidRPr="00400C0B">
        <w:rPr>
          <w:rFonts w:cs="Guttman Rashi" w:hint="eastAsia"/>
          <w:rtl/>
          <w:lang w:bidi="he-IL"/>
        </w:rPr>
        <w:t>חמין</w:t>
      </w:r>
      <w:r w:rsidRPr="00400C0B">
        <w:rPr>
          <w:rFonts w:cs="Guttman Rashi"/>
          <w:rtl/>
          <w:lang w:bidi="he-IL"/>
        </w:rPr>
        <w:t xml:space="preserve"> </w:t>
      </w:r>
      <w:r w:rsidRPr="00400C0B">
        <w:rPr>
          <w:rFonts w:cs="Guttman Rashi" w:hint="eastAsia"/>
          <w:rtl/>
          <w:lang w:bidi="he-IL"/>
        </w:rPr>
        <w:t>דרך</w:t>
      </w:r>
      <w:r w:rsidRPr="00400C0B">
        <w:rPr>
          <w:rFonts w:cs="Guttman Rashi"/>
          <w:rtl/>
          <w:lang w:bidi="he-IL"/>
        </w:rPr>
        <w:t xml:space="preserve"> </w:t>
      </w:r>
      <w:r w:rsidRPr="00400C0B">
        <w:rPr>
          <w:rFonts w:cs="Guttman Rashi" w:hint="eastAsia"/>
          <w:rtl/>
          <w:lang w:bidi="he-IL"/>
        </w:rPr>
        <w:t>תשמישתו</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גזרו</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56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rtl/>
          <w:lang w:bidi="he-IL"/>
        </w:rPr>
        <w:fldChar w:fldCharType="begin"/>
      </w:r>
      <w:r w:rsidRPr="00400C0B">
        <w:rPr>
          <w:rFonts w:cs="Guttman Rashi"/>
          <w:rtl/>
          <w:lang w:bidi="he-IL"/>
        </w:rPr>
        <w:instrText xml:space="preserve"> </w:instrText>
      </w:r>
      <w:r w:rsidRPr="00400C0B">
        <w:rPr>
          <w:rFonts w:cs="Guttman Rashi"/>
          <w:lang w:bidi="he-IL"/>
        </w:rPr>
        <w:instrText xml:space="preserve">NOTEREF </w:instrText>
      </w:r>
      <w:r w:rsidRPr="00400C0B">
        <w:rPr>
          <w:rFonts w:cs="Guttman Rashi"/>
          <w:rtl/>
          <w:lang w:bidi="he-IL"/>
        </w:rPr>
        <w:instrText>_</w:instrText>
      </w:r>
      <w:r w:rsidRPr="00400C0B">
        <w:rPr>
          <w:rFonts w:cs="Guttman Rashi"/>
          <w:lang w:bidi="he-IL"/>
        </w:rPr>
        <w:instrText>Ref488697008 \h</w:instrText>
      </w:r>
      <w:r w:rsidRPr="00400C0B">
        <w:rPr>
          <w:rFonts w:cs="Guttman Rashi"/>
          <w:rtl/>
          <w:lang w:bidi="he-IL"/>
        </w:rPr>
        <w:instrText xml:space="preserve">  \* </w:instrText>
      </w:r>
      <w:r w:rsidRPr="00400C0B">
        <w:rPr>
          <w:rFonts w:cs="Guttman Rashi"/>
          <w:lang w:bidi="he-IL"/>
        </w:rPr>
        <w:instrText>MERGEFORMAT</w:instrText>
      </w:r>
      <w:r w:rsidRPr="00400C0B">
        <w:rPr>
          <w:rFonts w:cs="Guttman Rashi"/>
          <w:rtl/>
          <w:lang w:bidi="he-IL"/>
        </w:rPr>
        <w:instrText xml:space="preserve"> </w:instrText>
      </w:r>
      <w:r w:rsidRPr="00400C0B">
        <w:rPr>
          <w:rFonts w:cs="Guttman Rashi"/>
          <w:rtl/>
          <w:lang w:bidi="he-IL"/>
        </w:rPr>
      </w:r>
      <w:r w:rsidRPr="00400C0B">
        <w:rPr>
          <w:rFonts w:cs="Guttman Rashi"/>
          <w:rtl/>
          <w:lang w:bidi="he-IL"/>
        </w:rPr>
        <w:fldChar w:fldCharType="separate"/>
      </w:r>
      <w:r>
        <w:rPr>
          <w:rFonts w:cs="Guttman Rashi"/>
          <w:rtl/>
          <w:lang w:bidi="he-IL"/>
        </w:rPr>
        <w:t>530</w:t>
      </w:r>
      <w:r w:rsidRPr="00400C0B">
        <w:rPr>
          <w:rFonts w:cs="Guttman Rashi"/>
          <w:rtl/>
          <w:lang w:bidi="he-IL"/>
        </w:rPr>
        <w:fldChar w:fldCharType="end"/>
      </w:r>
      <w:r w:rsidRPr="00400C0B">
        <w:rPr>
          <w:rFonts w:cs="Guttman Rashi"/>
          <w:rtl/>
          <w:lang w:bidi="he-IL"/>
        </w:rPr>
        <w:t>.</w:t>
      </w:r>
    </w:p>
  </w:footnote>
  <w:footnote w:id="56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כדברים</w:t>
      </w:r>
      <w:r w:rsidRPr="00400C0B">
        <w:rPr>
          <w:rFonts w:cs="Guttman Rashi"/>
          <w:rtl/>
          <w:lang w:bidi="he-IL"/>
        </w:rPr>
        <w:t xml:space="preserve"> </w:t>
      </w:r>
      <w:r w:rsidRPr="00400C0B">
        <w:rPr>
          <w:rFonts w:cs="Guttman Rashi" w:hint="eastAsia"/>
          <w:rtl/>
          <w:lang w:bidi="he-IL"/>
        </w:rPr>
        <w:t>האלה</w:t>
      </w:r>
      <w:r w:rsidRPr="00400C0B">
        <w:rPr>
          <w:rFonts w:cs="Guttman Rashi"/>
          <w:rtl/>
          <w:lang w:bidi="he-IL"/>
        </w:rPr>
        <w:t xml:space="preserve"> </w:t>
      </w:r>
      <w:r w:rsidRPr="00400C0B">
        <w:rPr>
          <w:rFonts w:cs="Guttman Rashi" w:hint="eastAsia"/>
          <w:rtl/>
          <w:lang w:bidi="he-IL"/>
        </w:rPr>
        <w:t>במגי</w:t>
      </w:r>
      <w:r w:rsidRPr="00400C0B">
        <w:rPr>
          <w:rFonts w:cs="Guttman Rashi"/>
          <w:rtl/>
          <w:lang w:bidi="he-IL"/>
        </w:rPr>
        <w:t>"</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הוכיח</w:t>
      </w:r>
      <w:r w:rsidRPr="00400C0B">
        <w:rPr>
          <w:rFonts w:cs="Guttman Rashi"/>
          <w:rtl/>
          <w:lang w:bidi="he-IL"/>
        </w:rPr>
        <w:t xml:space="preserve"> </w:t>
      </w:r>
      <w:r w:rsidRPr="00400C0B">
        <w:rPr>
          <w:rFonts w:cs="Guttman Rashi" w:hint="eastAsia"/>
          <w:rtl/>
          <w:lang w:bidi="he-IL"/>
        </w:rPr>
        <w:t>ממחבת</w:t>
      </w:r>
      <w:r w:rsidRPr="00400C0B">
        <w:rPr>
          <w:rFonts w:cs="Guttman Rashi"/>
          <w:rtl/>
          <w:lang w:bidi="he-IL"/>
        </w:rPr>
        <w:t xml:space="preserve"> </w:t>
      </w:r>
      <w:r w:rsidRPr="00400C0B">
        <w:rPr>
          <w:rFonts w:cs="Guttman Rashi" w:hint="eastAsia"/>
          <w:rtl/>
          <w:lang w:bidi="he-IL"/>
        </w:rPr>
        <w:t>וכדבסמוך</w:t>
      </w:r>
      <w:r w:rsidRPr="00400C0B">
        <w:rPr>
          <w:rFonts w:cs="Guttman Rashi"/>
          <w:rtl/>
          <w:lang w:bidi="he-IL"/>
        </w:rPr>
        <w:t>.</w:t>
      </w:r>
    </w:p>
  </w:footnote>
  <w:footnote w:id="56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בדבריו</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p>
  </w:footnote>
  <w:footnote w:id="56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שהביא</w:t>
      </w:r>
      <w:r w:rsidRPr="00400C0B">
        <w:rPr>
          <w:rFonts w:cs="Guttman Rashi"/>
          <w:rtl/>
          <w:lang w:bidi="he-IL"/>
        </w:rPr>
        <w:t xml:space="preserve"> </w:t>
      </w:r>
      <w:r w:rsidRPr="00400C0B">
        <w:rPr>
          <w:rFonts w:cs="Guttman Rashi" w:hint="eastAsia"/>
          <w:rtl/>
          <w:lang w:bidi="he-IL"/>
        </w:rPr>
        <w:t>מיד</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לכלי</w:t>
      </w:r>
      <w:r w:rsidRPr="00400C0B">
        <w:rPr>
          <w:rFonts w:cs="Guttman Rashi"/>
          <w:rtl/>
          <w:lang w:bidi="he-IL"/>
        </w:rPr>
        <w:t xml:space="preserve"> </w:t>
      </w:r>
      <w:r w:rsidRPr="00400C0B">
        <w:rPr>
          <w:rFonts w:cs="Guttman Rashi" w:hint="eastAsia"/>
          <w:rtl/>
          <w:lang w:bidi="he-IL"/>
        </w:rPr>
        <w:t>אבן</w:t>
      </w:r>
      <w:r w:rsidRPr="00400C0B">
        <w:rPr>
          <w:rFonts w:cs="Guttman Rashi"/>
          <w:rtl/>
          <w:lang w:bidi="he-IL"/>
        </w:rPr>
        <w:t xml:space="preserve"> </w:t>
      </w:r>
      <w:r w:rsidRPr="00400C0B">
        <w:rPr>
          <w:rFonts w:cs="Guttman Rashi" w:hint="eastAsia"/>
          <w:rtl/>
          <w:lang w:bidi="he-IL"/>
        </w:rPr>
        <w:t>הכשר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למאן</w:t>
      </w:r>
      <w:r w:rsidRPr="00400C0B">
        <w:rPr>
          <w:rFonts w:cs="Guttman Rashi"/>
          <w:rtl/>
          <w:lang w:bidi="he-IL"/>
        </w:rPr>
        <w:t xml:space="preserve"> </w:t>
      </w:r>
      <w:r w:rsidRPr="00400C0B">
        <w:rPr>
          <w:rFonts w:cs="Guttman Rashi" w:hint="eastAsia"/>
          <w:rtl/>
          <w:lang w:bidi="he-IL"/>
        </w:rPr>
        <w:t>דמכשיר</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כשהוא</w:t>
      </w:r>
      <w:r w:rsidRPr="00400C0B">
        <w:rPr>
          <w:rFonts w:cs="Guttman Rashi"/>
          <w:rtl/>
          <w:lang w:bidi="he-IL"/>
        </w:rPr>
        <w:t xml:space="preserve"> </w:t>
      </w:r>
      <w:r w:rsidRPr="00400C0B">
        <w:rPr>
          <w:rFonts w:cs="Guttman Rashi" w:hint="eastAsia"/>
          <w:rtl/>
          <w:lang w:bidi="he-IL"/>
        </w:rPr>
        <w:t>שלם</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כתש</w:t>
      </w:r>
      <w:r w:rsidRPr="00400C0B">
        <w:rPr>
          <w:rFonts w:cs="Guttman Rashi"/>
          <w:rtl/>
          <w:lang w:bidi="he-IL"/>
        </w:rPr>
        <w:t xml:space="preserve"> </w:t>
      </w:r>
      <w:r w:rsidRPr="00400C0B">
        <w:rPr>
          <w:rFonts w:cs="Guttman Rashi" w:hint="eastAsia"/>
          <w:rtl/>
          <w:lang w:bidi="he-IL"/>
        </w:rPr>
        <w:t>אותם</w:t>
      </w:r>
      <w:r w:rsidRPr="00400C0B">
        <w:rPr>
          <w:rFonts w:cs="Guttman Rashi"/>
          <w:rtl/>
          <w:lang w:bidi="he-IL"/>
        </w:rPr>
        <w:t xml:space="preserve"> </w:t>
      </w:r>
      <w:r w:rsidRPr="00400C0B">
        <w:rPr>
          <w:rFonts w:cs="Guttman Rashi" w:hint="eastAsia"/>
          <w:rtl/>
          <w:lang w:bidi="he-IL"/>
        </w:rPr>
        <w:t>וגיבל</w:t>
      </w:r>
      <w:r w:rsidRPr="00400C0B">
        <w:rPr>
          <w:rFonts w:cs="Guttman Rashi"/>
          <w:rtl/>
          <w:lang w:bidi="he-IL"/>
        </w:rPr>
        <w:t xml:space="preserve"> </w:t>
      </w:r>
      <w:r w:rsidRPr="00400C0B">
        <w:rPr>
          <w:rFonts w:cs="Guttman Rashi" w:hint="eastAsia"/>
          <w:rtl/>
          <w:lang w:bidi="he-IL"/>
        </w:rPr>
        <w:t>אתם</w:t>
      </w:r>
      <w:r w:rsidRPr="00400C0B">
        <w:rPr>
          <w:rFonts w:cs="Guttman Rashi"/>
          <w:rtl/>
          <w:lang w:bidi="he-IL"/>
        </w:rPr>
        <w:t xml:space="preserve"> </w:t>
      </w:r>
      <w:r w:rsidRPr="00400C0B">
        <w:rPr>
          <w:rFonts w:cs="Guttman Rashi" w:hint="eastAsia"/>
          <w:rtl/>
          <w:lang w:bidi="he-IL"/>
        </w:rPr>
        <w:t>במים</w:t>
      </w:r>
      <w:r w:rsidRPr="00400C0B">
        <w:rPr>
          <w:rFonts w:cs="Guttman Rashi"/>
          <w:rtl/>
          <w:lang w:bidi="he-IL"/>
        </w:rPr>
        <w:t xml:space="preserve"> </w:t>
      </w:r>
      <w:r w:rsidRPr="00400C0B">
        <w:rPr>
          <w:rFonts w:cs="Guttman Rashi" w:hint="eastAsia"/>
          <w:rtl/>
          <w:lang w:bidi="he-IL"/>
        </w:rPr>
        <w:t>ושוב</w:t>
      </w:r>
      <w:r w:rsidRPr="00400C0B">
        <w:rPr>
          <w:rFonts w:cs="Guttman Rashi"/>
          <w:rtl/>
          <w:lang w:bidi="he-IL"/>
        </w:rPr>
        <w:t xml:space="preserve"> </w:t>
      </w:r>
      <w:r w:rsidRPr="00400C0B">
        <w:rPr>
          <w:rFonts w:cs="Guttman Rashi" w:hint="eastAsia"/>
          <w:rtl/>
          <w:lang w:bidi="he-IL"/>
        </w:rPr>
        <w:t>צירפה</w:t>
      </w:r>
      <w:r w:rsidRPr="00400C0B">
        <w:rPr>
          <w:rFonts w:cs="Guttman Rashi"/>
          <w:rtl/>
          <w:lang w:bidi="he-IL"/>
        </w:rPr>
        <w:t xml:space="preserve"> </w:t>
      </w:r>
      <w:r w:rsidRPr="00400C0B">
        <w:rPr>
          <w:rFonts w:cs="Guttman Rashi" w:hint="eastAsia"/>
          <w:rtl/>
          <w:lang w:bidi="he-IL"/>
        </w:rPr>
        <w:t>בכבשן</w:t>
      </w:r>
      <w:r w:rsidRPr="00400C0B">
        <w:rPr>
          <w:rFonts w:cs="Guttman Rashi"/>
          <w:rtl/>
          <w:lang w:bidi="he-IL"/>
        </w:rPr>
        <w:t xml:space="preserve"> </w:t>
      </w:r>
      <w:r w:rsidRPr="00400C0B">
        <w:rPr>
          <w:rFonts w:cs="Guttman Rashi" w:hint="eastAsia"/>
          <w:rtl/>
          <w:lang w:bidi="he-IL"/>
        </w:rPr>
        <w:t>דין</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חרס</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שזהו</w:t>
      </w:r>
      <w:r w:rsidRPr="00400C0B">
        <w:rPr>
          <w:rFonts w:cs="Guttman Rashi"/>
          <w:rtl/>
          <w:lang w:bidi="he-IL"/>
        </w:rPr>
        <w:t xml:space="preserve"> </w:t>
      </w:r>
      <w:r w:rsidRPr="00400C0B">
        <w:rPr>
          <w:rFonts w:cs="Guttman Rashi" w:hint="eastAsia"/>
          <w:rtl/>
          <w:lang w:bidi="he-IL"/>
        </w:rPr>
        <w:t>היסוד</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חרס</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כתוש</w:t>
      </w:r>
      <w:r w:rsidRPr="00400C0B">
        <w:rPr>
          <w:rFonts w:cs="Guttman Rashi"/>
          <w:rtl/>
          <w:lang w:bidi="he-IL"/>
        </w:rPr>
        <w:t xml:space="preserve"> </w:t>
      </w:r>
      <w:r w:rsidRPr="00400C0B">
        <w:rPr>
          <w:rFonts w:cs="Guttman Rashi" w:hint="eastAsia"/>
          <w:rtl/>
          <w:lang w:bidi="he-IL"/>
        </w:rPr>
        <w:t>ונאפה</w:t>
      </w:r>
      <w:r w:rsidRPr="00400C0B">
        <w:rPr>
          <w:rFonts w:cs="Guttman Rashi"/>
          <w:rtl/>
          <w:lang w:bidi="he-IL"/>
        </w:rPr>
        <w:t xml:space="preserve"> </w:t>
      </w:r>
      <w:r w:rsidRPr="00400C0B">
        <w:rPr>
          <w:rFonts w:cs="Guttman Rashi" w:hint="eastAsia"/>
          <w:rtl/>
          <w:lang w:bidi="he-IL"/>
        </w:rPr>
        <w:t>מחדש</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איכפת</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ממה</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נעשה</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בדרכ</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קכ</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השחר</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בהליכות</w:t>
      </w:r>
      <w:r w:rsidRPr="00400C0B">
        <w:rPr>
          <w:rFonts w:cs="Guttman Rashi"/>
          <w:rtl/>
          <w:lang w:bidi="he-IL"/>
        </w:rPr>
        <w:t xml:space="preserve"> </w:t>
      </w:r>
      <w:r w:rsidRPr="00400C0B">
        <w:rPr>
          <w:rFonts w:cs="Guttman Rashi" w:hint="eastAsia"/>
          <w:rtl/>
          <w:lang w:bidi="he-IL"/>
        </w:rPr>
        <w:t>שלמה</w:t>
      </w:r>
      <w:r w:rsidRPr="00400C0B">
        <w:rPr>
          <w:rFonts w:cs="Guttman Rashi"/>
          <w:rtl/>
          <w:lang w:bidi="he-IL"/>
        </w:rPr>
        <w:t xml:space="preserve"> (</w:t>
      </w:r>
      <w:r w:rsidRPr="00400C0B">
        <w:rPr>
          <w:rFonts w:cs="Guttman Rashi" w:hint="eastAsia"/>
          <w:rtl/>
          <w:lang w:bidi="he-IL"/>
        </w:rPr>
        <w:t>פסח</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דפשיטא</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דמהני</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לשיש</w:t>
      </w:r>
      <w:r w:rsidRPr="00400C0B">
        <w:rPr>
          <w:rFonts w:cs="Guttman Rashi"/>
          <w:rtl/>
          <w:lang w:bidi="he-IL"/>
        </w:rPr>
        <w:t xml:space="preserve"> </w:t>
      </w:r>
      <w:r w:rsidRPr="00400C0B">
        <w:rPr>
          <w:rFonts w:cs="Guttman Rashi" w:hint="eastAsia"/>
          <w:rtl/>
          <w:lang w:bidi="he-IL"/>
        </w:rPr>
        <w:t>קיסר</w:t>
      </w:r>
      <w:r w:rsidRPr="00400C0B">
        <w:rPr>
          <w:rFonts w:cs="Guttman Rashi"/>
          <w:rtl/>
          <w:lang w:bidi="he-IL"/>
        </w:rPr>
        <w:t xml:space="preserve">, </w:t>
      </w:r>
      <w:r w:rsidRPr="00400C0B">
        <w:rPr>
          <w:rFonts w:cs="Guttman Rashi" w:hint="eastAsia"/>
          <w:rtl/>
          <w:lang w:bidi="he-IL"/>
        </w:rPr>
        <w:t>וטעמו</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גרע</w:t>
      </w:r>
      <w:r w:rsidRPr="00400C0B">
        <w:rPr>
          <w:rFonts w:cs="Guttman Rashi"/>
          <w:rtl/>
          <w:lang w:bidi="he-IL"/>
        </w:rPr>
        <w:t xml:space="preserve"> </w:t>
      </w:r>
      <w:r w:rsidRPr="00400C0B">
        <w:rPr>
          <w:rFonts w:cs="Guttman Rashi" w:hint="eastAsia"/>
          <w:rtl/>
          <w:lang w:bidi="he-IL"/>
        </w:rPr>
        <w:t>מכלי</w:t>
      </w:r>
      <w:r w:rsidRPr="00400C0B">
        <w:rPr>
          <w:rFonts w:cs="Guttman Rashi"/>
          <w:rtl/>
          <w:lang w:bidi="he-IL"/>
        </w:rPr>
        <w:t xml:space="preserve"> </w:t>
      </w:r>
      <w:r w:rsidRPr="00400C0B">
        <w:rPr>
          <w:rFonts w:cs="Guttman Rashi" w:hint="eastAsia"/>
          <w:rtl/>
          <w:lang w:bidi="he-IL"/>
        </w:rPr>
        <w:t>אדמה</w:t>
      </w:r>
      <w:r w:rsidRPr="00400C0B">
        <w:rPr>
          <w:rFonts w:cs="Guttman Rashi"/>
          <w:rtl/>
          <w:lang w:bidi="he-IL"/>
        </w:rPr>
        <w:t xml:space="preserve"> </w:t>
      </w:r>
      <w:r w:rsidRPr="00400C0B">
        <w:rPr>
          <w:rFonts w:cs="Guttman Rashi" w:hint="eastAsia"/>
          <w:rtl/>
          <w:lang w:bidi="he-IL"/>
        </w:rPr>
        <w:t>דקיי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כמג</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דמהני</w:t>
      </w:r>
      <w:r w:rsidRPr="00400C0B">
        <w:rPr>
          <w:rFonts w:cs="Guttman Rashi"/>
          <w:rtl/>
          <w:lang w:bidi="he-IL"/>
        </w:rPr>
        <w:t xml:space="preserve"> </w:t>
      </w:r>
      <w:r w:rsidRPr="00400C0B">
        <w:rPr>
          <w:rFonts w:cs="Guttman Rashi" w:hint="eastAsia"/>
          <w:rtl/>
          <w:lang w:bidi="he-IL"/>
        </w:rPr>
        <w:t>להו</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תנ</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ודלא</w:t>
      </w:r>
      <w:r w:rsidRPr="00400C0B">
        <w:rPr>
          <w:rFonts w:cs="Guttman Rashi"/>
          <w:rtl/>
          <w:lang w:bidi="he-IL"/>
        </w:rPr>
        <w:t xml:space="preserve"> </w:t>
      </w:r>
      <w:r w:rsidRPr="00400C0B">
        <w:rPr>
          <w:rFonts w:cs="Guttman Rashi" w:hint="eastAsia"/>
          <w:rtl/>
          <w:lang w:bidi="he-IL"/>
        </w:rPr>
        <w:t>כחזו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שהחמיר</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יסוד</w:t>
      </w:r>
      <w:r w:rsidRPr="00400C0B">
        <w:rPr>
          <w:rFonts w:cs="Guttman Rashi"/>
          <w:rtl/>
          <w:lang w:bidi="he-IL"/>
        </w:rPr>
        <w:t xml:space="preserve"> </w:t>
      </w:r>
      <w:r w:rsidRPr="00400C0B">
        <w:rPr>
          <w:rFonts w:cs="Guttman Rashi" w:hint="eastAsia"/>
          <w:rtl/>
          <w:lang w:bidi="he-IL"/>
        </w:rPr>
        <w:t>המחלוקת</w:t>
      </w:r>
      <w:r w:rsidRPr="00400C0B">
        <w:rPr>
          <w:rFonts w:cs="Guttman Rashi"/>
          <w:rtl/>
          <w:lang w:bidi="he-IL"/>
        </w:rPr>
        <w:t xml:space="preserve"> </w:t>
      </w:r>
      <w:r w:rsidRPr="00400C0B">
        <w:rPr>
          <w:rFonts w:cs="Guttman Rashi" w:hint="eastAsia"/>
          <w:rtl/>
          <w:lang w:bidi="he-IL"/>
        </w:rPr>
        <w:t>ביניהם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יסוד</w:t>
      </w:r>
      <w:r w:rsidRPr="00400C0B">
        <w:rPr>
          <w:rFonts w:cs="Guttman Rashi"/>
          <w:rtl/>
          <w:lang w:bidi="he-IL"/>
        </w:rPr>
        <w:t xml:space="preserve"> </w:t>
      </w:r>
      <w:r w:rsidRPr="00400C0B">
        <w:rPr>
          <w:rFonts w:cs="Guttman Rashi" w:hint="eastAsia"/>
          <w:rtl/>
          <w:lang w:bidi="he-IL"/>
        </w:rPr>
        <w:t>החומרא</w:t>
      </w:r>
      <w:r w:rsidRPr="00400C0B">
        <w:rPr>
          <w:rFonts w:cs="Guttman Rashi"/>
          <w:rtl/>
          <w:lang w:bidi="he-IL"/>
        </w:rPr>
        <w:t xml:space="preserve"> </w:t>
      </w:r>
      <w:r w:rsidRPr="00400C0B">
        <w:rPr>
          <w:rFonts w:cs="Guttman Rashi" w:hint="eastAsia"/>
          <w:rtl/>
          <w:lang w:bidi="he-IL"/>
        </w:rPr>
        <w:t>דכלי</w:t>
      </w:r>
      <w:r w:rsidRPr="00400C0B">
        <w:rPr>
          <w:rFonts w:cs="Guttman Rashi"/>
          <w:rtl/>
          <w:lang w:bidi="he-IL"/>
        </w:rPr>
        <w:t xml:space="preserve"> </w:t>
      </w:r>
      <w:r w:rsidRPr="00400C0B">
        <w:rPr>
          <w:rFonts w:cs="Guttman Rashi" w:hint="eastAsia"/>
          <w:rtl/>
          <w:lang w:bidi="he-IL"/>
        </w:rPr>
        <w:t>חרס</w:t>
      </w:r>
      <w:r w:rsidRPr="00400C0B">
        <w:rPr>
          <w:rFonts w:cs="Guttman Rashi"/>
          <w:rtl/>
          <w:lang w:bidi="he-IL"/>
        </w:rPr>
        <w:t xml:space="preserve">, </w:t>
      </w:r>
      <w:r w:rsidRPr="00400C0B">
        <w:rPr>
          <w:rFonts w:cs="Guttman Rashi" w:hint="eastAsia"/>
          <w:rtl/>
          <w:lang w:bidi="he-IL"/>
        </w:rPr>
        <w:t>האם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שנעשה</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הטיט</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שנכתש</w:t>
      </w:r>
      <w:r w:rsidRPr="00400C0B">
        <w:rPr>
          <w:rFonts w:cs="Guttman Rashi"/>
          <w:rtl/>
          <w:lang w:bidi="he-IL"/>
        </w:rPr>
        <w:t xml:space="preserve"> </w:t>
      </w:r>
      <w:r w:rsidRPr="00400C0B">
        <w:rPr>
          <w:rFonts w:cs="Guttman Rashi" w:hint="eastAsia"/>
          <w:rtl/>
          <w:lang w:bidi="he-IL"/>
        </w:rPr>
        <w:t>ונעשית</w:t>
      </w:r>
      <w:r w:rsidRPr="00400C0B">
        <w:rPr>
          <w:rFonts w:cs="Guttman Rashi"/>
          <w:rtl/>
          <w:lang w:bidi="he-IL"/>
        </w:rPr>
        <w:t xml:space="preserve"> </w:t>
      </w:r>
      <w:r w:rsidRPr="00400C0B">
        <w:rPr>
          <w:rFonts w:cs="Guttman Rashi" w:hint="eastAsia"/>
          <w:rtl/>
          <w:lang w:bidi="he-IL"/>
        </w:rPr>
        <w:t>מחדש</w:t>
      </w:r>
      <w:r w:rsidRPr="00400C0B">
        <w:rPr>
          <w:rFonts w:cs="Guttman Rashi"/>
          <w:rtl/>
          <w:lang w:bidi="he-IL"/>
        </w:rPr>
        <w:t xml:space="preserve"> </w:t>
      </w:r>
      <w:r w:rsidRPr="00400C0B">
        <w:rPr>
          <w:rFonts w:cs="Guttman Rashi" w:hint="eastAsia"/>
          <w:rtl/>
          <w:lang w:bidi="he-IL"/>
        </w:rPr>
        <w:t>וכנ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ויל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p>
  </w:footnote>
  <w:footnote w:id="56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אולי</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 xml:space="preserve"> </w:t>
      </w:r>
      <w:r w:rsidRPr="00400C0B">
        <w:rPr>
          <w:rFonts w:cs="Guttman Rashi" w:hint="eastAsia"/>
          <w:rtl/>
          <w:lang w:bidi="he-IL"/>
        </w:rPr>
        <w:t>שהירושלמי</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חרס</w:t>
      </w:r>
      <w:r w:rsidRPr="00400C0B">
        <w:rPr>
          <w:rFonts w:cs="Guttman Rashi"/>
          <w:rtl/>
          <w:lang w:bidi="he-IL"/>
        </w:rPr>
        <w:t>.</w:t>
      </w:r>
    </w:p>
  </w:footnote>
  <w:footnote w:id="56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בחזו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קכ</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שמשו</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מנהג</w:t>
      </w:r>
      <w:r w:rsidRPr="00400C0B">
        <w:rPr>
          <w:rFonts w:cs="Guttman Rashi"/>
          <w:rtl/>
          <w:lang w:bidi="he-IL"/>
        </w:rPr>
        <w:t xml:space="preserve"> </w:t>
      </w:r>
      <w:r w:rsidRPr="00400C0B">
        <w:rPr>
          <w:rFonts w:cs="Guttman Rashi" w:hint="eastAsia"/>
          <w:rtl/>
          <w:lang w:bidi="he-IL"/>
        </w:rPr>
        <w:t>להמתין</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שעות</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שיתחיל</w:t>
      </w:r>
      <w:r w:rsidRPr="00400C0B">
        <w:rPr>
          <w:rFonts w:cs="Guttman Rashi"/>
          <w:rtl/>
          <w:lang w:bidi="he-IL"/>
        </w:rPr>
        <w:t xml:space="preserve"> </w:t>
      </w:r>
      <w:r w:rsidRPr="00400C0B">
        <w:rPr>
          <w:rFonts w:cs="Guttman Rashi" w:hint="eastAsia"/>
          <w:rtl/>
          <w:lang w:bidi="he-IL"/>
        </w:rPr>
        <w:t>להכשיר</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ממילא</w:t>
      </w:r>
      <w:r w:rsidRPr="00400C0B">
        <w:rPr>
          <w:rFonts w:cs="Guttman Rashi"/>
          <w:rtl/>
          <w:lang w:bidi="he-IL"/>
        </w:rPr>
        <w:t xml:space="preserve"> </w:t>
      </w:r>
      <w:r w:rsidRPr="00400C0B">
        <w:rPr>
          <w:rFonts w:cs="Guttman Rashi" w:hint="eastAsia"/>
          <w:rtl/>
          <w:lang w:bidi="he-IL"/>
        </w:rPr>
        <w:t>יעברו</w:t>
      </w:r>
      <w:r w:rsidRPr="00400C0B">
        <w:rPr>
          <w:rFonts w:cs="Guttman Rashi"/>
          <w:rtl/>
          <w:lang w:bidi="he-IL"/>
        </w:rPr>
        <w:t xml:space="preserve"> </w:t>
      </w:r>
      <w:r w:rsidRPr="00400C0B">
        <w:rPr>
          <w:rFonts w:cs="Guttman Rashi" w:hint="eastAsia"/>
          <w:rtl/>
          <w:lang w:bidi="he-IL"/>
        </w:rPr>
        <w:t>מעל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דרך</w:t>
      </w:r>
      <w:r w:rsidRPr="00400C0B">
        <w:rPr>
          <w:rFonts w:cs="Guttman Rashi"/>
          <w:rtl/>
          <w:lang w:bidi="he-IL"/>
        </w:rPr>
        <w:t xml:space="preserve"> </w:t>
      </w:r>
      <w:r w:rsidRPr="00400C0B">
        <w:rPr>
          <w:rFonts w:cs="Guttman Rashi" w:hint="eastAsia"/>
          <w:rtl/>
          <w:lang w:bidi="he-IL"/>
        </w:rPr>
        <w:t>הכשרתו</w:t>
      </w:r>
      <w:r w:rsidRPr="00400C0B">
        <w:rPr>
          <w:rFonts w:cs="Guttman Rashi"/>
          <w:rtl/>
          <w:lang w:bidi="he-IL"/>
        </w:rPr>
        <w:t>.</w:t>
      </w:r>
    </w:p>
  </w:footnote>
  <w:footnote w:id="56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משקין</w:t>
      </w:r>
      <w:r w:rsidRPr="00400C0B">
        <w:rPr>
          <w:rFonts w:cs="Guttman Rashi"/>
          <w:rtl/>
          <w:lang w:bidi="he-IL"/>
        </w:rPr>
        <w:t xml:space="preserve"> </w:t>
      </w:r>
      <w:r w:rsidRPr="00400C0B">
        <w:rPr>
          <w:rFonts w:cs="Guttman Rashi" w:hint="eastAsia"/>
          <w:rtl/>
          <w:lang w:bidi="he-IL"/>
        </w:rPr>
        <w:t>חוץ</w:t>
      </w:r>
      <w:r w:rsidRPr="00400C0B">
        <w:rPr>
          <w:rFonts w:cs="Guttman Rashi"/>
          <w:rtl/>
          <w:lang w:bidi="he-IL"/>
        </w:rPr>
        <w:t xml:space="preserve"> </w:t>
      </w:r>
      <w:r w:rsidRPr="00400C0B">
        <w:rPr>
          <w:rFonts w:cs="Guttman Rashi" w:hint="eastAsia"/>
          <w:rtl/>
          <w:lang w:bidi="he-IL"/>
        </w:rPr>
        <w:t>ממים</w:t>
      </w:r>
      <w:r w:rsidRPr="00400C0B">
        <w:rPr>
          <w:rFonts w:cs="Guttman Rashi"/>
          <w:rtl/>
          <w:lang w:bidi="he-IL"/>
        </w:rPr>
        <w:t xml:space="preserve"> </w:t>
      </w:r>
      <w:r w:rsidRPr="00400C0B">
        <w:rPr>
          <w:rFonts w:cs="Guttman Rashi" w:hint="eastAsia"/>
          <w:rtl/>
          <w:lang w:bidi="he-IL"/>
        </w:rPr>
        <w:t>הביאו</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קיצורים</w:t>
      </w:r>
      <w:r w:rsidRPr="00400C0B">
        <w:rPr>
          <w:rFonts w:cs="Guttman Rashi"/>
          <w:rtl/>
          <w:lang w:bidi="he-IL"/>
        </w:rPr>
        <w:t xml:space="preserve"> </w:t>
      </w:r>
      <w:r w:rsidRPr="00400C0B">
        <w:rPr>
          <w:rFonts w:cs="Guttman Rashi" w:hint="eastAsia"/>
          <w:rtl/>
          <w:lang w:bidi="he-IL"/>
        </w:rPr>
        <w:t>מחזו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יו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נ</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להתיר</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בסידור</w:t>
      </w:r>
      <w:r w:rsidRPr="00400C0B">
        <w:rPr>
          <w:rFonts w:cs="Guttman Rashi"/>
          <w:rtl/>
          <w:lang w:bidi="he-IL"/>
        </w:rPr>
        <w:t xml:space="preserve"> </w:t>
      </w:r>
      <w:r w:rsidRPr="00400C0B">
        <w:rPr>
          <w:rFonts w:cs="Guttman Rashi" w:hint="eastAsia"/>
          <w:rtl/>
          <w:lang w:bidi="he-IL"/>
        </w:rPr>
        <w:t>פסח</w:t>
      </w:r>
      <w:r w:rsidRPr="00400C0B">
        <w:rPr>
          <w:rFonts w:cs="Guttman Rashi"/>
          <w:rtl/>
          <w:lang w:bidi="he-IL"/>
        </w:rPr>
        <w:t xml:space="preserve"> </w:t>
      </w:r>
      <w:r w:rsidRPr="00400C0B">
        <w:rPr>
          <w:rFonts w:cs="Guttman Rashi" w:hint="eastAsia"/>
          <w:rtl/>
          <w:lang w:bidi="he-IL"/>
        </w:rPr>
        <w:t>כהלכתו</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ושם</w:t>
      </w:r>
      <w:r w:rsidRPr="00400C0B">
        <w:rPr>
          <w:rFonts w:cs="Guttman Rashi"/>
          <w:rtl/>
          <w:lang w:bidi="he-IL"/>
        </w:rPr>
        <w:t xml:space="preserve"> </w:t>
      </w:r>
      <w:r w:rsidRPr="00400C0B">
        <w:rPr>
          <w:rFonts w:cs="Guttman Rashi" w:hint="eastAsia"/>
          <w:rtl/>
          <w:lang w:bidi="he-IL"/>
        </w:rPr>
        <w:t>בהערה</w:t>
      </w:r>
      <w:r w:rsidRPr="00400C0B">
        <w:rPr>
          <w:rFonts w:cs="Guttman Rashi"/>
          <w:rtl/>
          <w:lang w:bidi="he-IL"/>
        </w:rPr>
        <w:t xml:space="preserve"> 13).</w:t>
      </w:r>
    </w:p>
  </w:footnote>
  <w:footnote w:id="56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סידור</w:t>
      </w:r>
      <w:r w:rsidRPr="00400C0B">
        <w:rPr>
          <w:rFonts w:cs="Guttman Rashi"/>
          <w:rtl/>
          <w:lang w:bidi="he-IL"/>
        </w:rPr>
        <w:t xml:space="preserve"> </w:t>
      </w:r>
      <w:r w:rsidRPr="00400C0B">
        <w:rPr>
          <w:rFonts w:cs="Guttman Rashi" w:hint="eastAsia"/>
          <w:rtl/>
          <w:lang w:bidi="he-IL"/>
        </w:rPr>
        <w:t>פסח</w:t>
      </w:r>
      <w:r w:rsidRPr="00400C0B">
        <w:rPr>
          <w:rFonts w:cs="Guttman Rashi"/>
          <w:rtl/>
          <w:lang w:bidi="he-IL"/>
        </w:rPr>
        <w:t xml:space="preserve"> </w:t>
      </w:r>
      <w:r w:rsidRPr="00400C0B">
        <w:rPr>
          <w:rFonts w:cs="Guttman Rashi" w:hint="eastAsia"/>
          <w:rtl/>
          <w:lang w:bidi="he-IL"/>
        </w:rPr>
        <w:t>כהלכתו</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ה</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והערה</w:t>
      </w:r>
      <w:r w:rsidRPr="00400C0B">
        <w:rPr>
          <w:rFonts w:cs="Guttman Rashi"/>
          <w:rtl/>
          <w:lang w:bidi="he-IL"/>
        </w:rPr>
        <w:t xml:space="preserve"> 6) </w:t>
      </w:r>
      <w:r w:rsidRPr="00400C0B">
        <w:rPr>
          <w:rFonts w:cs="Guttman Rashi" w:hint="eastAsia"/>
          <w:rtl/>
          <w:lang w:bidi="he-IL"/>
        </w:rPr>
        <w:t>שכתב</w:t>
      </w:r>
      <w:r w:rsidRPr="00400C0B">
        <w:rPr>
          <w:rFonts w:cs="Guttman Rashi"/>
          <w:rtl/>
          <w:lang w:bidi="he-IL"/>
        </w:rPr>
        <w:t xml:space="preserve"> </w:t>
      </w:r>
      <w:r w:rsidRPr="00400C0B">
        <w:rPr>
          <w:rFonts w:cs="Guttman Rashi" w:hint="eastAsia"/>
          <w:rtl/>
          <w:lang w:bidi="he-IL"/>
        </w:rPr>
        <w:t>שצריך</w:t>
      </w:r>
      <w:r w:rsidRPr="00400C0B">
        <w:rPr>
          <w:rFonts w:cs="Guttman Rashi"/>
          <w:rtl/>
          <w:lang w:bidi="he-IL"/>
        </w:rPr>
        <w:t xml:space="preserve"> </w:t>
      </w:r>
      <w:r w:rsidRPr="00400C0B">
        <w:rPr>
          <w:rFonts w:cs="Guttman Rashi" w:hint="eastAsia"/>
          <w:rtl/>
          <w:lang w:bidi="he-IL"/>
        </w:rPr>
        <w:t>גדנפא</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בהגעלת</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בדבריו</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דצריך</w:t>
      </w:r>
      <w:r w:rsidRPr="00400C0B">
        <w:rPr>
          <w:rFonts w:cs="Guttman Rashi"/>
          <w:rtl/>
          <w:lang w:bidi="he-IL"/>
        </w:rPr>
        <w:t xml:space="preserve"> </w:t>
      </w:r>
      <w:r w:rsidRPr="00400C0B">
        <w:rPr>
          <w:rFonts w:cs="Guttman Rashi" w:hint="eastAsia"/>
          <w:rtl/>
          <w:lang w:bidi="he-IL"/>
        </w:rPr>
        <w:t>למלאות</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גדותיו</w:t>
      </w:r>
      <w:r w:rsidRPr="00400C0B">
        <w:rPr>
          <w:rFonts w:cs="Guttman Rashi"/>
          <w:rtl/>
          <w:lang w:bidi="he-IL"/>
        </w:rPr>
        <w:t xml:space="preserve"> </w:t>
      </w:r>
      <w:r w:rsidRPr="00400C0B">
        <w:rPr>
          <w:rFonts w:cs="Guttman Rashi" w:hint="eastAsia"/>
          <w:rtl/>
          <w:lang w:bidi="he-IL"/>
        </w:rPr>
        <w:t>כולל</w:t>
      </w:r>
      <w:r w:rsidRPr="00400C0B">
        <w:rPr>
          <w:rFonts w:cs="Guttman Rashi"/>
          <w:rtl/>
          <w:lang w:bidi="he-IL"/>
        </w:rPr>
        <w:t xml:space="preserve"> </w:t>
      </w:r>
      <w:r w:rsidRPr="00400C0B">
        <w:rPr>
          <w:rFonts w:cs="Guttman Rashi" w:hint="eastAsia"/>
          <w:rtl/>
          <w:lang w:bidi="he-IL"/>
        </w:rPr>
        <w:t>השפה</w:t>
      </w:r>
      <w:r w:rsidRPr="00400C0B">
        <w:rPr>
          <w:rFonts w:cs="Guttman Rashi"/>
          <w:rtl/>
          <w:lang w:bidi="he-IL"/>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הנמנע</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עדיף</w:t>
      </w:r>
      <w:r w:rsidRPr="00400C0B">
        <w:rPr>
          <w:rFonts w:cs="Guttman Rashi"/>
          <w:rtl/>
          <w:lang w:bidi="he-IL"/>
        </w:rPr>
        <w:t xml:space="preserve"> </w:t>
      </w:r>
      <w:r w:rsidRPr="00400C0B">
        <w:rPr>
          <w:rFonts w:cs="Guttman Rashi" w:hint="eastAsia"/>
          <w:rtl/>
          <w:lang w:bidi="he-IL"/>
        </w:rPr>
        <w:t>בשפה</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שיכניס</w:t>
      </w:r>
      <w:r w:rsidRPr="00400C0B">
        <w:rPr>
          <w:rFonts w:cs="Guttman Rashi"/>
          <w:rtl/>
          <w:lang w:bidi="he-IL"/>
        </w:rPr>
        <w:t xml:space="preserve"> </w:t>
      </w:r>
      <w:r w:rsidRPr="00400C0B">
        <w:rPr>
          <w:rFonts w:cs="Guttman Rashi" w:hint="eastAsia"/>
          <w:rtl/>
          <w:lang w:bidi="he-IL"/>
        </w:rPr>
        <w:t>הלי</w:t>
      </w:r>
      <w:r w:rsidRPr="00400C0B">
        <w:rPr>
          <w:rFonts w:cs="Guttman Rashi"/>
          <w:rtl/>
          <w:lang w:bidi="he-IL"/>
        </w:rPr>
        <w:t xml:space="preserve"> </w:t>
      </w:r>
      <w:r w:rsidRPr="00400C0B">
        <w:rPr>
          <w:rFonts w:cs="Guttman Rashi" w:hint="eastAsia"/>
          <w:rtl/>
          <w:lang w:bidi="he-IL"/>
        </w:rPr>
        <w:t>לתוך</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מים</w:t>
      </w:r>
      <w:r w:rsidRPr="00400C0B">
        <w:rPr>
          <w:rFonts w:cs="Guttman Rashi"/>
          <w:rtl/>
          <w:lang w:bidi="he-IL"/>
        </w:rPr>
        <w:t xml:space="preserve"> </w:t>
      </w:r>
      <w:r w:rsidRPr="00400C0B">
        <w:rPr>
          <w:rFonts w:cs="Guttman Rashi" w:hint="eastAsia"/>
          <w:rtl/>
          <w:lang w:bidi="he-IL"/>
        </w:rPr>
        <w:t>קרים</w:t>
      </w:r>
      <w:r w:rsidRPr="00400C0B">
        <w:rPr>
          <w:rFonts w:cs="Guttman Rashi"/>
          <w:rtl/>
          <w:lang w:bidi="he-IL"/>
        </w:rPr>
        <w:t xml:space="preserve"> </w:t>
      </w:r>
      <w:r w:rsidRPr="00400C0B">
        <w:rPr>
          <w:rFonts w:cs="Guttman Rashi" w:hint="eastAsia"/>
          <w:rtl/>
          <w:lang w:bidi="he-IL"/>
        </w:rPr>
        <w:t>מעל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להכשיר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מילוי</w:t>
      </w:r>
      <w:r w:rsidRPr="00400C0B">
        <w:rPr>
          <w:rFonts w:cs="Guttman Rashi"/>
          <w:rtl/>
          <w:lang w:bidi="he-IL"/>
        </w:rPr>
        <w:t xml:space="preserve"> </w:t>
      </w:r>
      <w:r w:rsidRPr="00400C0B">
        <w:rPr>
          <w:rFonts w:cs="Guttman Rashi" w:hint="eastAsia"/>
          <w:rtl/>
          <w:lang w:bidi="he-IL"/>
        </w:rPr>
        <w:t>ועירוי</w:t>
      </w:r>
      <w:r w:rsidRPr="00400C0B">
        <w:rPr>
          <w:rFonts w:cs="Guttman Rashi"/>
          <w:rtl/>
          <w:lang w:bidi="he-IL"/>
        </w:rPr>
        <w:t xml:space="preserve">. </w:t>
      </w:r>
    </w:p>
  </w:footnote>
  <w:footnote w:id="57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הריטב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חולק</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סידור</w:t>
      </w:r>
      <w:r w:rsidRPr="00400C0B">
        <w:rPr>
          <w:rFonts w:cs="Guttman Rashi"/>
          <w:rtl/>
          <w:lang w:bidi="he-IL"/>
        </w:rPr>
        <w:t xml:space="preserve"> </w:t>
      </w:r>
      <w:r w:rsidRPr="00400C0B">
        <w:rPr>
          <w:rFonts w:cs="Guttman Rashi" w:hint="eastAsia"/>
          <w:rtl/>
          <w:lang w:bidi="he-IL"/>
        </w:rPr>
        <w:t>פסח</w:t>
      </w:r>
      <w:r w:rsidRPr="00400C0B">
        <w:rPr>
          <w:rFonts w:cs="Guttman Rashi"/>
          <w:rtl/>
          <w:lang w:bidi="he-IL"/>
        </w:rPr>
        <w:t xml:space="preserve"> </w:t>
      </w:r>
      <w:r w:rsidRPr="00400C0B">
        <w:rPr>
          <w:rFonts w:cs="Guttman Rashi" w:hint="eastAsia"/>
          <w:rtl/>
          <w:lang w:bidi="he-IL"/>
        </w:rPr>
        <w:t>כהלכתו</w:t>
      </w:r>
      <w:r w:rsidRPr="00400C0B">
        <w:rPr>
          <w:rFonts w:cs="Guttman Rashi"/>
          <w:rtl/>
          <w:lang w:bidi="he-IL"/>
        </w:rPr>
        <w:t xml:space="preserve"> </w:t>
      </w:r>
      <w:r w:rsidRPr="00400C0B">
        <w:rPr>
          <w:rFonts w:cs="Guttman Rashi" w:hint="eastAsia"/>
          <w:rtl/>
          <w:lang w:bidi="he-IL"/>
        </w:rPr>
        <w:t>פ</w:t>
      </w:r>
      <w:r w:rsidRPr="00400C0B">
        <w:rPr>
          <w:rFonts w:cs="Guttman Rashi"/>
          <w:rtl/>
          <w:lang w:bidi="he-IL"/>
        </w:rPr>
        <w:t>"</w:t>
      </w:r>
      <w:r w:rsidRPr="00400C0B">
        <w:rPr>
          <w:rFonts w:cs="Guttman Rashi" w:hint="eastAsia"/>
          <w:rtl/>
          <w:lang w:bidi="he-IL"/>
        </w:rPr>
        <w:t>ו</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8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כשיטתו</w:t>
      </w:r>
      <w:r w:rsidRPr="00400C0B">
        <w:rPr>
          <w:rFonts w:cs="Guttman Rashi"/>
          <w:rtl/>
          <w:lang w:bidi="he-IL"/>
        </w:rPr>
        <w:t>(</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לשיתו</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דמן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הפסק</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יחשב</w:t>
      </w:r>
      <w:r w:rsidRPr="00400C0B">
        <w:rPr>
          <w:rFonts w:cs="Guttman Rashi"/>
          <w:rtl/>
          <w:lang w:bidi="he-IL"/>
        </w:rPr>
        <w:t xml:space="preserve"> </w:t>
      </w:r>
      <w:r w:rsidRPr="00400C0B">
        <w:rPr>
          <w:rFonts w:cs="Guttman Rashi" w:hint="eastAsia"/>
          <w:rtl/>
          <w:lang w:bidi="he-IL"/>
        </w:rPr>
        <w:t>רצופין</w:t>
      </w:r>
      <w:r w:rsidRPr="00400C0B">
        <w:rPr>
          <w:rFonts w:cs="Guttman Rashi"/>
          <w:rtl/>
          <w:lang w:bidi="he-IL"/>
        </w:rPr>
        <w:t>).</w:t>
      </w:r>
    </w:p>
  </w:footnote>
  <w:footnote w:id="57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לחזור</w:t>
      </w:r>
      <w:r w:rsidRPr="00400C0B">
        <w:rPr>
          <w:rFonts w:cs="Guttman Rashi"/>
          <w:rtl/>
          <w:lang w:bidi="he-IL"/>
        </w:rPr>
        <w:t xml:space="preserve"> </w:t>
      </w:r>
      <w:r w:rsidRPr="00400C0B">
        <w:rPr>
          <w:rFonts w:cs="Guttman Rashi" w:hint="eastAsia"/>
          <w:rtl/>
          <w:lang w:bidi="he-IL"/>
        </w:rPr>
        <w:t>ולמלאות</w:t>
      </w:r>
      <w:r w:rsidRPr="00400C0B">
        <w:rPr>
          <w:rFonts w:cs="Guttman Rashi"/>
          <w:rtl/>
          <w:lang w:bidi="he-IL"/>
        </w:rPr>
        <w:t xml:space="preserve"> </w:t>
      </w:r>
      <w:r w:rsidRPr="00400C0B">
        <w:rPr>
          <w:rFonts w:cs="Guttman Rashi" w:hint="eastAsia"/>
          <w:rtl/>
          <w:lang w:bidi="he-IL"/>
        </w:rPr>
        <w:t>הכלי</w:t>
      </w:r>
      <w:r w:rsidRPr="00400C0B">
        <w:rPr>
          <w:rFonts w:cs="Guttman Rashi"/>
          <w:rtl/>
          <w:lang w:bidi="he-IL"/>
        </w:rPr>
        <w:t xml:space="preserve"> </w:t>
      </w:r>
      <w:r w:rsidRPr="00400C0B">
        <w:rPr>
          <w:rFonts w:cs="Guttman Rashi" w:hint="eastAsia"/>
          <w:rtl/>
          <w:lang w:bidi="he-IL"/>
        </w:rPr>
        <w:t>במים</w:t>
      </w:r>
      <w:r w:rsidRPr="00400C0B">
        <w:rPr>
          <w:rFonts w:cs="Guttman Rashi"/>
          <w:rtl/>
          <w:lang w:bidi="he-IL"/>
        </w:rPr>
        <w:t xml:space="preserve"> </w:t>
      </w:r>
      <w:r w:rsidRPr="00400C0B">
        <w:rPr>
          <w:rFonts w:cs="Guttman Rashi" w:hint="eastAsia"/>
          <w:rtl/>
          <w:lang w:bidi="he-IL"/>
        </w:rPr>
        <w:t>אחרים</w:t>
      </w:r>
      <w:r w:rsidRPr="00400C0B">
        <w:rPr>
          <w:rFonts w:cs="Guttman Rashi"/>
          <w:rtl/>
          <w:lang w:bidi="he-IL"/>
        </w:rPr>
        <w:t xml:space="preserve">. </w:t>
      </w:r>
      <w:r w:rsidRPr="00400C0B">
        <w:rPr>
          <w:rFonts w:cs="Guttman Rashi" w:hint="eastAsia"/>
          <w:rtl/>
          <w:lang w:bidi="he-IL"/>
        </w:rPr>
        <w:t>והדרישה</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כדי</w:t>
      </w:r>
      <w:r w:rsidRPr="00400C0B">
        <w:rPr>
          <w:rFonts w:cs="Guttman Rashi"/>
          <w:rtl/>
          <w:lang w:bidi="he-IL"/>
        </w:rPr>
        <w:t xml:space="preserve"> </w:t>
      </w:r>
      <w:r w:rsidRPr="00400C0B">
        <w:rPr>
          <w:rFonts w:cs="Guttman Rashi" w:hint="eastAsia"/>
          <w:rtl/>
          <w:lang w:bidi="he-IL"/>
        </w:rPr>
        <w:t>לפרסם</w:t>
      </w:r>
      <w:r w:rsidRPr="00400C0B">
        <w:rPr>
          <w:rFonts w:cs="Guttman Rashi"/>
          <w:rtl/>
          <w:lang w:bidi="he-IL"/>
        </w:rPr>
        <w:t xml:space="preserve"> </w:t>
      </w:r>
      <w:r w:rsidRPr="00400C0B">
        <w:rPr>
          <w:rFonts w:cs="Guttman Rashi" w:hint="eastAsia"/>
          <w:rtl/>
          <w:lang w:bidi="he-IL"/>
        </w:rPr>
        <w:t>הדבר</w:t>
      </w:r>
      <w:r w:rsidRPr="00400C0B">
        <w:rPr>
          <w:rFonts w:cs="Guttman Rashi"/>
          <w:rtl/>
          <w:lang w:bidi="he-IL"/>
        </w:rPr>
        <w:t xml:space="preserve"> </w:t>
      </w:r>
      <w:r w:rsidRPr="00400C0B">
        <w:rPr>
          <w:rFonts w:cs="Guttman Rashi" w:hint="eastAsia"/>
          <w:rtl/>
          <w:lang w:bidi="he-IL"/>
        </w:rPr>
        <w:t>שרק</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להכשיר</w:t>
      </w:r>
      <w:r w:rsidRPr="00400C0B">
        <w:rPr>
          <w:rFonts w:cs="Guttman Rashi"/>
          <w:rtl/>
          <w:lang w:bidi="he-IL"/>
        </w:rPr>
        <w:t xml:space="preserve"> </w:t>
      </w:r>
      <w:r w:rsidRPr="00400C0B">
        <w:rPr>
          <w:rFonts w:cs="Guttman Rashi" w:hint="eastAsia"/>
          <w:rtl/>
          <w:lang w:bidi="he-IL"/>
        </w:rPr>
        <w:t>כלי</w:t>
      </w:r>
      <w:r w:rsidRPr="00400C0B">
        <w:rPr>
          <w:rFonts w:cs="Guttman Rashi"/>
          <w:rtl/>
          <w:lang w:bidi="he-IL"/>
        </w:rPr>
        <w:t xml:space="preserve"> </w:t>
      </w:r>
      <w:r w:rsidRPr="00400C0B">
        <w:rPr>
          <w:rFonts w:cs="Guttman Rashi" w:hint="eastAsia"/>
          <w:rtl/>
          <w:lang w:bidi="he-IL"/>
        </w:rPr>
        <w:t>חרס</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שבלע</w:t>
      </w:r>
      <w:r w:rsidRPr="00400C0B">
        <w:rPr>
          <w:rFonts w:cs="Guttman Rashi"/>
          <w:rtl/>
          <w:lang w:bidi="he-IL"/>
        </w:rPr>
        <w:t xml:space="preserve"> </w:t>
      </w:r>
      <w:r w:rsidRPr="00400C0B">
        <w:rPr>
          <w:rFonts w:cs="Guttman Rashi" w:hint="eastAsia"/>
          <w:rtl/>
          <w:lang w:bidi="he-IL"/>
        </w:rPr>
        <w:t>בצונן</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החזו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אוח</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קכ</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ואמנם</w:t>
      </w:r>
      <w:r w:rsidRPr="00400C0B">
        <w:rPr>
          <w:rFonts w:cs="Guttman Rashi"/>
          <w:rtl/>
          <w:lang w:bidi="he-IL"/>
        </w:rPr>
        <w:t xml:space="preserve">) </w:t>
      </w:r>
      <w:r w:rsidRPr="00400C0B">
        <w:rPr>
          <w:rFonts w:cs="Guttman Rashi" w:hint="eastAsia"/>
          <w:rtl/>
          <w:lang w:bidi="he-IL"/>
        </w:rPr>
        <w:t>נקט</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מעיקרי</w:t>
      </w:r>
      <w:r w:rsidRPr="00400C0B">
        <w:rPr>
          <w:rFonts w:cs="Guttman Rashi"/>
          <w:rtl/>
          <w:lang w:bidi="he-IL"/>
        </w:rPr>
        <w:t xml:space="preserve"> </w:t>
      </w:r>
      <w:r w:rsidRPr="00400C0B">
        <w:rPr>
          <w:rFonts w:cs="Guttman Rashi" w:hint="eastAsia"/>
          <w:rtl/>
          <w:lang w:bidi="he-IL"/>
        </w:rPr>
        <w:t>דיני</w:t>
      </w:r>
      <w:r w:rsidRPr="00400C0B">
        <w:rPr>
          <w:rFonts w:cs="Guttman Rashi"/>
          <w:rtl/>
          <w:lang w:bidi="he-IL"/>
        </w:rPr>
        <w:t xml:space="preserve"> </w:t>
      </w:r>
      <w:r w:rsidRPr="00400C0B">
        <w:rPr>
          <w:rFonts w:cs="Guttman Rashi" w:hint="eastAsia"/>
          <w:rtl/>
          <w:lang w:bidi="he-IL"/>
        </w:rPr>
        <w:t>ההכשר</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מילוי</w:t>
      </w:r>
      <w:r w:rsidRPr="00400C0B">
        <w:rPr>
          <w:rFonts w:cs="Guttman Rashi"/>
          <w:rtl/>
          <w:lang w:bidi="he-IL"/>
        </w:rPr>
        <w:t xml:space="preserve"> </w:t>
      </w:r>
      <w:r w:rsidRPr="00400C0B">
        <w:rPr>
          <w:rFonts w:cs="Guttman Rashi" w:hint="eastAsia"/>
          <w:rtl/>
          <w:lang w:bidi="he-IL"/>
        </w:rPr>
        <w:t>ועירוי</w:t>
      </w:r>
      <w:r w:rsidRPr="00400C0B">
        <w:rPr>
          <w:rFonts w:cs="Guttman Rashi"/>
          <w:rtl/>
          <w:lang w:bidi="he-IL"/>
        </w:rPr>
        <w:t xml:space="preserve"> </w:t>
      </w:r>
      <w:r w:rsidRPr="00400C0B">
        <w:rPr>
          <w:rFonts w:cs="Guttman Rashi" w:hint="eastAsia"/>
          <w:rtl/>
          <w:lang w:bidi="he-IL"/>
        </w:rPr>
        <w:t>שצריכים</w:t>
      </w:r>
      <w:r w:rsidRPr="00400C0B">
        <w:rPr>
          <w:rFonts w:cs="Guttman Rashi"/>
          <w:rtl/>
          <w:lang w:bidi="he-IL"/>
        </w:rPr>
        <w:t xml:space="preserve"> </w:t>
      </w:r>
      <w:r w:rsidRPr="00400C0B">
        <w:rPr>
          <w:rFonts w:cs="Guttman Rashi" w:hint="eastAsia"/>
          <w:rtl/>
          <w:lang w:bidi="he-IL"/>
        </w:rPr>
        <w:t>מים</w:t>
      </w:r>
      <w:r w:rsidRPr="00400C0B">
        <w:rPr>
          <w:rFonts w:cs="Guttman Rashi"/>
          <w:rtl/>
          <w:lang w:bidi="he-IL"/>
        </w:rPr>
        <w:t xml:space="preserve"> </w:t>
      </w:r>
      <w:r w:rsidRPr="00400C0B">
        <w:rPr>
          <w:rFonts w:cs="Guttman Rashi" w:hint="eastAsia"/>
          <w:rtl/>
          <w:lang w:bidi="he-IL"/>
        </w:rPr>
        <w:t>חדשים</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פעם</w:t>
      </w:r>
      <w:r w:rsidRPr="00400C0B">
        <w:rPr>
          <w:rFonts w:cs="Guttman Rashi"/>
          <w:rtl/>
          <w:lang w:bidi="he-IL"/>
        </w:rPr>
        <w:t xml:space="preserve">.  </w:t>
      </w:r>
    </w:p>
  </w:footnote>
  <w:footnote w:id="57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ס</w:t>
      </w:r>
      <w:r w:rsidRPr="00400C0B">
        <w:rPr>
          <w:rFonts w:cs="Guttman Rashi"/>
          <w:rtl/>
          <w:lang w:bidi="he-IL"/>
        </w:rPr>
        <w:t xml:space="preserve">' </w:t>
      </w:r>
      <w:r w:rsidRPr="00400C0B">
        <w:rPr>
          <w:rFonts w:cs="Guttman Rashi" w:hint="eastAsia"/>
          <w:rtl/>
          <w:lang w:bidi="he-IL"/>
        </w:rPr>
        <w:t>הגעלת</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פי</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הס</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בהערה</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טעמו</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p>
  </w:footnote>
  <w:footnote w:id="573">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לדבריו</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דיוק</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דג</w:t>
      </w:r>
      <w:r w:rsidRPr="00400C0B">
        <w:rPr>
          <w:rFonts w:cs="Guttman Rashi"/>
          <w:rtl/>
          <w:lang w:bidi="he-IL"/>
        </w:rPr>
        <w:t xml:space="preserve">' </w:t>
      </w:r>
      <w:r w:rsidRPr="00400C0B">
        <w:rPr>
          <w:rFonts w:cs="Guttman Rashi" w:hint="eastAsia"/>
          <w:rtl/>
          <w:lang w:bidi="he-IL"/>
        </w:rPr>
        <w:t>ימים</w:t>
      </w:r>
      <w:r w:rsidRPr="00400C0B">
        <w:rPr>
          <w:rFonts w:cs="Guttman Rashi"/>
          <w:rtl/>
          <w:lang w:bidi="he-IL"/>
        </w:rPr>
        <w:t xml:space="preserve"> </w:t>
      </w:r>
      <w:r w:rsidRPr="00400C0B">
        <w:rPr>
          <w:rFonts w:cs="Guttman Rashi" w:hint="eastAsia"/>
          <w:rtl/>
          <w:lang w:bidi="he-IL"/>
        </w:rPr>
        <w:t>רצופים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ולענין</w:t>
      </w:r>
      <w:r w:rsidRPr="00400C0B">
        <w:rPr>
          <w:rFonts w:cs="Guttman Rashi"/>
          <w:rtl/>
          <w:lang w:bidi="he-IL"/>
        </w:rPr>
        <w:t xml:space="preserve"> </w:t>
      </w:r>
      <w:r w:rsidRPr="00400C0B">
        <w:rPr>
          <w:rFonts w:cs="Guttman Rashi" w:hint="eastAsia"/>
          <w:rtl/>
          <w:lang w:bidi="he-IL"/>
        </w:rPr>
        <w:t>הראי</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בפ</w:t>
      </w:r>
      <w:r w:rsidRPr="00400C0B">
        <w:rPr>
          <w:rFonts w:cs="Guttman Rashi"/>
          <w:rtl/>
          <w:lang w:bidi="he-IL"/>
        </w:rPr>
        <w:t xml:space="preserve">' </w:t>
      </w:r>
      <w:r w:rsidRPr="00400C0B">
        <w:rPr>
          <w:rFonts w:cs="Guttman Rashi" w:hint="eastAsia"/>
          <w:rtl/>
          <w:lang w:bidi="he-IL"/>
        </w:rPr>
        <w:t>אלו</w:t>
      </w:r>
      <w:r w:rsidRPr="00400C0B">
        <w:rPr>
          <w:rFonts w:cs="Guttman Rashi"/>
          <w:rtl/>
          <w:lang w:bidi="he-IL"/>
        </w:rPr>
        <w:t xml:space="preserve"> </w:t>
      </w:r>
      <w:r w:rsidRPr="00400C0B">
        <w:rPr>
          <w:rFonts w:cs="Guttman Rashi" w:hint="eastAsia"/>
          <w:rtl/>
          <w:lang w:bidi="he-IL"/>
        </w:rPr>
        <w:t>עוברין</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לגמ</w:t>
      </w:r>
      <w:r w:rsidRPr="00400C0B">
        <w:rPr>
          <w:rFonts w:cs="Guttman Rashi"/>
          <w:rtl/>
          <w:lang w:bidi="he-IL"/>
        </w:rPr>
        <w:t xml:space="preserve">' </w:t>
      </w:r>
      <w:r w:rsidRPr="00400C0B">
        <w:rPr>
          <w:rFonts w:cs="Guttman Rashi" w:hint="eastAsia"/>
          <w:rtl/>
          <w:lang w:bidi="he-IL"/>
        </w:rPr>
        <w:t>זו</w:t>
      </w:r>
      <w:r w:rsidRPr="00400C0B">
        <w:rPr>
          <w:rFonts w:cs="Guttman Rashi"/>
          <w:rtl/>
          <w:lang w:bidi="he-IL"/>
        </w:rPr>
        <w:t xml:space="preserve"> </w:t>
      </w:r>
      <w:r w:rsidRPr="00400C0B">
        <w:rPr>
          <w:rFonts w:cs="Guttman Rashi" w:hint="eastAsia"/>
          <w:rtl/>
          <w:lang w:bidi="he-IL"/>
        </w:rPr>
        <w:t>פירושים</w:t>
      </w:r>
      <w:r w:rsidRPr="00400C0B">
        <w:rPr>
          <w:rFonts w:cs="Guttman Rashi"/>
          <w:rtl/>
          <w:lang w:bidi="he-IL"/>
        </w:rPr>
        <w:t xml:space="preserve"> </w:t>
      </w:r>
      <w:r w:rsidRPr="00400C0B">
        <w:rPr>
          <w:rFonts w:cs="Guttman Rashi" w:hint="eastAsia"/>
          <w:rtl/>
          <w:lang w:bidi="he-IL"/>
        </w:rPr>
        <w:t>אחרים</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שיעור</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שהבאנו</w:t>
      </w:r>
      <w:r w:rsidRPr="00400C0B">
        <w:rPr>
          <w:rFonts w:cs="Guttman Rashi"/>
          <w:rtl/>
          <w:lang w:bidi="he-IL"/>
        </w:rPr>
        <w:t xml:space="preserve"> </w:t>
      </w:r>
      <w:r w:rsidRPr="00400C0B">
        <w:rPr>
          <w:rFonts w:cs="Guttman Rashi" w:hint="eastAsia"/>
          <w:rtl/>
          <w:lang w:bidi="he-IL"/>
        </w:rPr>
        <w:t>מתוס</w:t>
      </w:r>
      <w:r w:rsidRPr="00400C0B">
        <w:rPr>
          <w:rFonts w:cs="Guttman Rashi"/>
          <w:rtl/>
          <w:lang w:bidi="he-IL"/>
        </w:rPr>
        <w:t xml:space="preserve">' </w:t>
      </w:r>
      <w:r w:rsidRPr="00400C0B">
        <w:rPr>
          <w:rFonts w:cs="Guttman Rashi" w:hint="eastAsia"/>
          <w:rtl/>
          <w:lang w:bidi="he-IL"/>
        </w:rPr>
        <w:t>ר</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p>
  </w:footnote>
  <w:footnote w:id="574">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בכל</w:t>
      </w:r>
      <w:r w:rsidRPr="00400C0B">
        <w:rPr>
          <w:rFonts w:cs="Guttman Rashi"/>
          <w:rtl/>
          <w:lang w:bidi="he-IL"/>
        </w:rPr>
        <w:t xml:space="preserve"> </w:t>
      </w:r>
      <w:r w:rsidRPr="00400C0B">
        <w:rPr>
          <w:rFonts w:cs="Guttman Rashi" w:hint="eastAsia"/>
          <w:rtl/>
          <w:lang w:bidi="he-IL"/>
        </w:rPr>
        <w:t>בליעה</w:t>
      </w:r>
      <w:r w:rsidRPr="00400C0B">
        <w:rPr>
          <w:rFonts w:cs="Guttman Rashi"/>
          <w:rtl/>
          <w:lang w:bidi="he-IL"/>
        </w:rPr>
        <w:t xml:space="preserve"> </w:t>
      </w:r>
      <w:r w:rsidRPr="00400C0B">
        <w:rPr>
          <w:rFonts w:cs="Guttman Rashi" w:hint="eastAsia"/>
          <w:rtl/>
          <w:lang w:bidi="he-IL"/>
        </w:rPr>
        <w:t>בצונן</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בליעת</w:t>
      </w:r>
      <w:r w:rsidRPr="00400C0B">
        <w:rPr>
          <w:rFonts w:cs="Guttman Rashi"/>
          <w:rtl/>
          <w:lang w:bidi="he-IL"/>
        </w:rPr>
        <w:t xml:space="preserve"> </w:t>
      </w:r>
      <w:r w:rsidRPr="00400C0B">
        <w:rPr>
          <w:rFonts w:cs="Guttman Rashi" w:hint="eastAsia"/>
          <w:rtl/>
          <w:lang w:bidi="he-IL"/>
        </w:rPr>
        <w:t>צונן</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בית</w:t>
      </w:r>
      <w:r w:rsidRPr="00400C0B">
        <w:rPr>
          <w:rFonts w:cs="Guttman Rashi"/>
          <w:rtl/>
          <w:lang w:bidi="he-IL"/>
        </w:rPr>
        <w:t xml:space="preserve"> </w:t>
      </w:r>
      <w:r w:rsidRPr="00400C0B">
        <w:rPr>
          <w:rFonts w:cs="Guttman Rashi" w:hint="eastAsia"/>
          <w:rtl/>
          <w:lang w:bidi="he-IL"/>
        </w:rPr>
        <w:t>שאור</w:t>
      </w:r>
      <w:r w:rsidRPr="00400C0B">
        <w:rPr>
          <w:rFonts w:cs="Guttman Rashi"/>
          <w:rtl/>
          <w:lang w:bidi="he-IL"/>
        </w:rPr>
        <w:t xml:space="preserve"> </w:t>
      </w:r>
      <w:r w:rsidRPr="00400C0B">
        <w:rPr>
          <w:rFonts w:cs="Guttman Rashi" w:hint="eastAsia"/>
          <w:rtl/>
          <w:lang w:bidi="he-IL"/>
        </w:rPr>
        <w:t>וכו</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נקט</w:t>
      </w:r>
      <w:r w:rsidRPr="00400C0B">
        <w:rPr>
          <w:rFonts w:cs="Guttman Rashi"/>
          <w:rtl/>
          <w:lang w:bidi="he-IL"/>
        </w:rPr>
        <w:t xml:space="preserve"> </w:t>
      </w:r>
      <w:r w:rsidRPr="00400C0B">
        <w:rPr>
          <w:rFonts w:cs="Guttman Rashi" w:hint="eastAsia"/>
          <w:rtl/>
          <w:lang w:bidi="he-IL"/>
        </w:rPr>
        <w:t>בביאור</w:t>
      </w:r>
      <w:r w:rsidRPr="00400C0B">
        <w:rPr>
          <w:rFonts w:cs="Guttman Rashi"/>
          <w:rtl/>
          <w:lang w:bidi="he-IL"/>
        </w:rPr>
        <w:t xml:space="preserve"> </w:t>
      </w:r>
      <w:r w:rsidRPr="00400C0B">
        <w:rPr>
          <w:rFonts w:cs="Guttman Rashi" w:hint="eastAsia"/>
          <w:rtl/>
          <w:lang w:bidi="he-IL"/>
        </w:rPr>
        <w:t>הגר</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לסע</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בבה</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העיר</w:t>
      </w:r>
      <w:r w:rsidRPr="00400C0B">
        <w:rPr>
          <w:rFonts w:cs="Guttman Rashi"/>
          <w:rtl/>
          <w:lang w:bidi="he-IL"/>
        </w:rPr>
        <w:t xml:space="preserve"> </w:t>
      </w:r>
      <w:r w:rsidRPr="00400C0B">
        <w:rPr>
          <w:rFonts w:cs="Guttman Rashi" w:hint="eastAsia"/>
          <w:rtl/>
          <w:lang w:bidi="he-IL"/>
        </w:rPr>
        <w:t>שמשמעות</w:t>
      </w:r>
      <w:r w:rsidRPr="00400C0B">
        <w:rPr>
          <w:rFonts w:cs="Guttman Rashi"/>
          <w:rtl/>
          <w:lang w:bidi="he-IL"/>
        </w:rPr>
        <w:t xml:space="preserve"> </w:t>
      </w:r>
      <w:r w:rsidRPr="00400C0B">
        <w:rPr>
          <w:rFonts w:cs="Guttman Rashi" w:hint="eastAsia"/>
          <w:rtl/>
          <w:lang w:bidi="he-IL"/>
        </w:rPr>
        <w:t>שאר</w:t>
      </w:r>
      <w:r w:rsidRPr="00400C0B">
        <w:rPr>
          <w:rFonts w:cs="Guttman Rashi"/>
          <w:rtl/>
          <w:lang w:bidi="he-IL"/>
        </w:rPr>
        <w:t xml:space="preserve"> </w:t>
      </w:r>
      <w:r w:rsidRPr="00400C0B">
        <w:rPr>
          <w:rFonts w:cs="Guttman Rashi" w:hint="eastAsia"/>
          <w:rtl/>
          <w:lang w:bidi="he-IL"/>
        </w:rPr>
        <w:t>פוסקים</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הואלכאורה</w:t>
      </w:r>
      <w:r w:rsidRPr="00400C0B">
        <w:rPr>
          <w:rFonts w:cs="Guttman Rashi"/>
          <w:rtl/>
          <w:lang w:bidi="he-IL"/>
        </w:rPr>
        <w:t xml:space="preserve"> </w:t>
      </w:r>
      <w:r w:rsidRPr="00400C0B">
        <w:rPr>
          <w:rFonts w:cs="Guttman Rashi" w:hint="eastAsia"/>
          <w:rtl/>
          <w:lang w:bidi="he-IL"/>
        </w:rPr>
        <w:t>המשמעות</w:t>
      </w:r>
      <w:r w:rsidRPr="00400C0B">
        <w:rPr>
          <w:rFonts w:cs="Guttman Rashi"/>
          <w:rtl/>
          <w:lang w:bidi="he-IL"/>
        </w:rPr>
        <w:t xml:space="preserve"> </w:t>
      </w:r>
      <w:r w:rsidRPr="00400C0B">
        <w:rPr>
          <w:rFonts w:cs="Guttman Rashi" w:hint="eastAsia"/>
          <w:rtl/>
          <w:lang w:bidi="he-IL"/>
        </w:rPr>
        <w:t>הפשוטה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השו</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דהנ</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בבליעה</w:t>
      </w:r>
      <w:r w:rsidRPr="00400C0B">
        <w:rPr>
          <w:rFonts w:cs="Guttman Rashi"/>
          <w:rtl/>
          <w:lang w:bidi="he-IL"/>
        </w:rPr>
        <w:t xml:space="preserve"> </w:t>
      </w:r>
      <w:r w:rsidRPr="00400C0B">
        <w:rPr>
          <w:rFonts w:cs="Guttman Rashi" w:hint="eastAsia"/>
          <w:rtl/>
          <w:lang w:bidi="he-IL"/>
        </w:rPr>
        <w:t>שע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כבוש</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בליעת</w:t>
      </w:r>
      <w:r w:rsidRPr="00400C0B">
        <w:rPr>
          <w:rFonts w:cs="Guttman Rashi"/>
          <w:rtl/>
          <w:lang w:bidi="he-IL"/>
        </w:rPr>
        <w:t xml:space="preserve"> </w:t>
      </w:r>
      <w:r w:rsidRPr="00400C0B">
        <w:rPr>
          <w:rFonts w:cs="Guttman Rashi" w:hint="eastAsia"/>
          <w:rtl/>
          <w:lang w:bidi="he-IL"/>
        </w:rPr>
        <w:t>צונן</w:t>
      </w:r>
      <w:r w:rsidRPr="00400C0B">
        <w:rPr>
          <w:rFonts w:cs="Guttman Rashi"/>
          <w:rtl/>
          <w:lang w:bidi="he-IL"/>
        </w:rPr>
        <w:t xml:space="preserve"> </w:t>
      </w:r>
      <w:r w:rsidRPr="00400C0B">
        <w:rPr>
          <w:rFonts w:cs="Guttman Rashi" w:hint="eastAsia"/>
          <w:rtl/>
          <w:lang w:bidi="he-IL"/>
        </w:rPr>
        <w:t>דבית</w:t>
      </w:r>
      <w:r w:rsidRPr="00400C0B">
        <w:rPr>
          <w:rFonts w:cs="Guttman Rashi"/>
          <w:rtl/>
          <w:lang w:bidi="he-IL"/>
        </w:rPr>
        <w:t xml:space="preserve"> </w:t>
      </w:r>
      <w:r w:rsidRPr="00400C0B">
        <w:rPr>
          <w:rFonts w:cs="Guttman Rashi" w:hint="eastAsia"/>
          <w:rtl/>
          <w:lang w:bidi="he-IL"/>
        </w:rPr>
        <w:t>שאור</w:t>
      </w:r>
      <w:r w:rsidRPr="00400C0B">
        <w:rPr>
          <w:rFonts w:cs="Guttman Rashi"/>
          <w:rtl/>
          <w:lang w:bidi="he-IL"/>
        </w:rPr>
        <w:t xml:space="preserve"> </w:t>
      </w:r>
      <w:r w:rsidRPr="00400C0B">
        <w:rPr>
          <w:rFonts w:cs="Guttman Rashi" w:hint="eastAsia"/>
          <w:rtl/>
          <w:lang w:bidi="he-IL"/>
        </w:rPr>
        <w:t>וכדומה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לה</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לכלי</w:t>
      </w:r>
      <w:r w:rsidRPr="00400C0B">
        <w:rPr>
          <w:rFonts w:cs="Guttman Rashi"/>
          <w:rtl/>
          <w:lang w:bidi="he-IL"/>
        </w:rPr>
        <w:t xml:space="preserve"> </w:t>
      </w:r>
      <w:r w:rsidRPr="00400C0B">
        <w:rPr>
          <w:rFonts w:cs="Guttman Rashi" w:hint="eastAsia"/>
          <w:rtl/>
          <w:lang w:bidi="he-IL"/>
        </w:rPr>
        <w:t>חרס</w:t>
      </w:r>
      <w:r w:rsidRPr="00400C0B">
        <w:rPr>
          <w:rFonts w:cs="Guttman Rashi"/>
          <w:rtl/>
          <w:lang w:bidi="he-IL"/>
        </w:rPr>
        <w:t xml:space="preserve">. </w:t>
      </w:r>
      <w:r w:rsidRPr="00400C0B">
        <w:rPr>
          <w:rFonts w:cs="Guttman Rashi" w:hint="eastAsia"/>
          <w:rtl/>
          <w:lang w:bidi="he-IL"/>
        </w:rPr>
        <w:t>והיינו</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דבית</w:t>
      </w:r>
      <w:r w:rsidRPr="00400C0B">
        <w:rPr>
          <w:rFonts w:cs="Guttman Rashi"/>
          <w:rtl/>
          <w:lang w:bidi="he-IL"/>
        </w:rPr>
        <w:t xml:space="preserve"> </w:t>
      </w:r>
      <w:r w:rsidRPr="00400C0B">
        <w:rPr>
          <w:rFonts w:cs="Guttman Rashi" w:hint="eastAsia"/>
          <w:rtl/>
          <w:lang w:bidi="he-IL"/>
        </w:rPr>
        <w:t>שאור</w:t>
      </w:r>
      <w:r w:rsidRPr="00400C0B">
        <w:rPr>
          <w:rFonts w:cs="Guttman Rashi"/>
          <w:rtl/>
          <w:lang w:bidi="he-IL"/>
        </w:rPr>
        <w:t xml:space="preserve"> </w:t>
      </w:r>
      <w:r w:rsidRPr="00400C0B">
        <w:rPr>
          <w:rFonts w:cs="Guttman Rashi" w:hint="eastAsia"/>
          <w:rtl/>
          <w:lang w:bidi="he-IL"/>
        </w:rPr>
        <w:t>גרע</w:t>
      </w:r>
      <w:r w:rsidRPr="00400C0B">
        <w:rPr>
          <w:rFonts w:cs="Guttman Rashi"/>
          <w:rtl/>
          <w:lang w:bidi="he-IL"/>
        </w:rPr>
        <w:t xml:space="preserve"> </w:t>
      </w:r>
      <w:r w:rsidRPr="00400C0B">
        <w:rPr>
          <w:rFonts w:cs="Guttman Rashi" w:hint="eastAsia"/>
          <w:rtl/>
          <w:lang w:bidi="he-IL"/>
        </w:rPr>
        <w:t>טפי</w:t>
      </w:r>
      <w:r w:rsidRPr="00400C0B">
        <w:rPr>
          <w:rFonts w:cs="Guttman Rashi"/>
          <w:rtl/>
          <w:lang w:bidi="he-IL"/>
        </w:rPr>
        <w:t xml:space="preserve">, </w:t>
      </w:r>
      <w:r w:rsidRPr="00400C0B">
        <w:rPr>
          <w:rFonts w:cs="Guttman Rashi" w:hint="eastAsia"/>
          <w:rtl/>
          <w:lang w:bidi="he-IL"/>
        </w:rPr>
        <w:t>תדע</w:t>
      </w:r>
      <w:r w:rsidRPr="00400C0B">
        <w:rPr>
          <w:rFonts w:cs="Guttman Rashi"/>
          <w:rtl/>
          <w:lang w:bidi="he-IL"/>
        </w:rPr>
        <w:t xml:space="preserve"> </w:t>
      </w:r>
      <w:r w:rsidRPr="00400C0B">
        <w:rPr>
          <w:rFonts w:cs="Guttman Rashi" w:hint="eastAsia"/>
          <w:rtl/>
          <w:lang w:bidi="he-IL"/>
        </w:rPr>
        <w:t>שי</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להו</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שמשמע</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הראשונים</w:t>
      </w:r>
      <w:r w:rsidRPr="00400C0B">
        <w:rPr>
          <w:rFonts w:cs="Guttman Rashi"/>
          <w:rtl/>
          <w:lang w:bidi="he-IL"/>
        </w:rPr>
        <w:t xml:space="preserve"> </w:t>
      </w:r>
      <w:r w:rsidRPr="00400C0B">
        <w:rPr>
          <w:rFonts w:cs="Guttman Rashi" w:hint="eastAsia"/>
          <w:rtl/>
          <w:lang w:bidi="he-IL"/>
        </w:rPr>
        <w:t>שמותר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יתכן</w:t>
      </w:r>
      <w:r w:rsidRPr="00400C0B">
        <w:rPr>
          <w:rFonts w:cs="Guttman Rashi"/>
          <w:rtl/>
          <w:lang w:bidi="he-IL"/>
        </w:rPr>
        <w:t xml:space="preserve"> </w:t>
      </w:r>
      <w:r w:rsidRPr="00400C0B">
        <w:rPr>
          <w:rFonts w:cs="Guttman Rashi" w:hint="eastAsia"/>
          <w:rtl/>
          <w:lang w:bidi="he-IL"/>
        </w:rPr>
        <w:t>דגרע</w:t>
      </w:r>
      <w:r w:rsidRPr="00400C0B">
        <w:rPr>
          <w:rFonts w:cs="Guttman Rashi"/>
          <w:rtl/>
          <w:lang w:bidi="he-IL"/>
        </w:rPr>
        <w:t xml:space="preserve"> </w:t>
      </w:r>
      <w:r w:rsidRPr="00400C0B">
        <w:rPr>
          <w:rFonts w:cs="Guttman Rashi" w:hint="eastAsia"/>
          <w:rtl/>
          <w:lang w:bidi="he-IL"/>
        </w:rPr>
        <w:t>מחמין</w:t>
      </w:r>
      <w:r w:rsidRPr="00400C0B">
        <w:rPr>
          <w:rFonts w:cs="Guttman Rashi"/>
          <w:rtl/>
          <w:lang w:bidi="he-IL"/>
        </w:rPr>
        <w:t xml:space="preserve">, </w:t>
      </w:r>
      <w:r w:rsidRPr="00400C0B">
        <w:rPr>
          <w:rFonts w:cs="Guttman Rashi" w:hint="eastAsia"/>
          <w:rtl/>
          <w:lang w:bidi="he-IL"/>
        </w:rPr>
        <w:t>איכא</w:t>
      </w:r>
      <w:r w:rsidRPr="00400C0B">
        <w:rPr>
          <w:rFonts w:cs="Guttman Rashi"/>
          <w:rtl/>
          <w:lang w:bidi="he-IL"/>
        </w:rPr>
        <w:t xml:space="preserve"> </w:t>
      </w:r>
      <w:r w:rsidRPr="00400C0B">
        <w:rPr>
          <w:rFonts w:cs="Guttman Rashi" w:hint="eastAsia"/>
          <w:rtl/>
          <w:lang w:bidi="he-IL"/>
        </w:rPr>
        <w:t>למימר</w:t>
      </w:r>
      <w:r w:rsidRPr="00400C0B">
        <w:rPr>
          <w:rFonts w:cs="Guttman Rashi"/>
          <w:rtl/>
          <w:lang w:bidi="he-IL"/>
        </w:rPr>
        <w:t xml:space="preserve"> </w:t>
      </w:r>
      <w:r w:rsidRPr="00400C0B">
        <w:rPr>
          <w:rFonts w:cs="Guttman Rashi" w:hint="eastAsia"/>
          <w:rtl/>
          <w:lang w:bidi="he-IL"/>
        </w:rPr>
        <w:t>דהנ</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מחמין</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מכבוש</w:t>
      </w:r>
      <w:r w:rsidRPr="00400C0B">
        <w:rPr>
          <w:rFonts w:cs="Guttman Rashi"/>
          <w:rtl/>
          <w:lang w:bidi="he-IL"/>
        </w:rPr>
        <w:t xml:space="preserve"> </w:t>
      </w:r>
      <w:r w:rsidRPr="00400C0B">
        <w:rPr>
          <w:rFonts w:cs="Guttman Rashi" w:hint="eastAsia"/>
          <w:rtl/>
          <w:lang w:bidi="he-IL"/>
        </w:rPr>
        <w:t>כמבושל</w:t>
      </w:r>
      <w:r w:rsidRPr="00400C0B">
        <w:rPr>
          <w:rFonts w:cs="Guttman Rashi"/>
          <w:rtl/>
          <w:lang w:bidi="he-IL"/>
        </w:rPr>
        <w:t xml:space="preserve"> </w:t>
      </w:r>
      <w:r w:rsidRPr="00400C0B">
        <w:rPr>
          <w:rFonts w:cs="Guttman Rashi" w:hint="eastAsia"/>
          <w:rtl/>
          <w:lang w:bidi="he-IL"/>
        </w:rPr>
        <w:t>שפיר</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דגרע</w:t>
      </w:r>
      <w:r w:rsidRPr="00400C0B">
        <w:rPr>
          <w:rFonts w:cs="Guttman Rashi"/>
          <w:rtl/>
          <w:lang w:bidi="he-IL"/>
        </w:rPr>
        <w:t xml:space="preserve">). </w:t>
      </w:r>
    </w:p>
  </w:footnote>
  <w:footnote w:id="57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שמשמע</w:t>
      </w:r>
      <w:r w:rsidRPr="00400C0B">
        <w:rPr>
          <w:rFonts w:cs="Guttman Rashi"/>
          <w:rtl/>
          <w:lang w:bidi="he-IL"/>
        </w:rPr>
        <w:t xml:space="preserve"> </w:t>
      </w:r>
      <w:r w:rsidRPr="00400C0B">
        <w:rPr>
          <w:rFonts w:cs="Guttman Rashi" w:hint="eastAsia"/>
          <w:rtl/>
          <w:lang w:bidi="he-IL"/>
        </w:rPr>
        <w:t>מן</w:t>
      </w:r>
      <w:r w:rsidRPr="00400C0B">
        <w:rPr>
          <w:rFonts w:cs="Guttman Rashi"/>
          <w:rtl/>
          <w:lang w:bidi="he-IL"/>
        </w:rPr>
        <w:t xml:space="preserve"> </w:t>
      </w:r>
      <w:r w:rsidRPr="00400C0B">
        <w:rPr>
          <w:rFonts w:cs="Guttman Rashi" w:hint="eastAsia"/>
          <w:rtl/>
          <w:lang w:bidi="he-IL"/>
        </w:rPr>
        <w:t>המג</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מפסיק</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ברזל</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מניח</w:t>
      </w:r>
      <w:r w:rsidRPr="00400C0B">
        <w:rPr>
          <w:rFonts w:cs="Guttman Rashi"/>
          <w:rtl/>
          <w:lang w:bidi="he-IL"/>
        </w:rPr>
        <w:t xml:space="preserve"> </w:t>
      </w:r>
      <w:r w:rsidRPr="00400C0B">
        <w:rPr>
          <w:rFonts w:cs="Guttman Rashi" w:hint="eastAsia"/>
          <w:rtl/>
          <w:lang w:bidi="he-IL"/>
        </w:rPr>
        <w:t>הכלי</w:t>
      </w:r>
      <w:r w:rsidRPr="00400C0B">
        <w:rPr>
          <w:rFonts w:cs="Guttman Rashi"/>
          <w:rtl/>
          <w:lang w:bidi="he-IL"/>
        </w:rPr>
        <w:t xml:space="preserve"> </w:t>
      </w:r>
      <w:r w:rsidRPr="00400C0B">
        <w:rPr>
          <w:rFonts w:cs="Guttman Rashi" w:hint="eastAsia"/>
          <w:rtl/>
          <w:lang w:bidi="he-IL"/>
        </w:rPr>
        <w:t>עצמו</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ומ</w:t>
      </w:r>
      <w:r>
        <w:rPr>
          <w:rFonts w:cs="Guttman Rashi" w:hint="cs"/>
          <w:rtl/>
          <w:lang w:bidi="he-IL"/>
        </w:rPr>
        <w:t>ש</w:t>
      </w:r>
      <w:r w:rsidRPr="00400C0B">
        <w:rPr>
          <w:rFonts w:cs="Guttman Rashi" w:hint="eastAsia"/>
          <w:rtl/>
          <w:lang w:bidi="he-IL"/>
        </w:rPr>
        <w:t>ום</w:t>
      </w:r>
      <w:r w:rsidRPr="00400C0B">
        <w:rPr>
          <w:rFonts w:cs="Guttman Rashi"/>
          <w:rtl/>
          <w:lang w:bidi="he-IL"/>
        </w:rPr>
        <w:t xml:space="preserve"> </w:t>
      </w:r>
      <w:r w:rsidRPr="00400C0B">
        <w:rPr>
          <w:rFonts w:cs="Guttman Rashi" w:hint="eastAsia"/>
          <w:rtl/>
          <w:lang w:bidi="he-IL"/>
        </w:rPr>
        <w:t>שמחמירים</w:t>
      </w:r>
      <w:r w:rsidRPr="00400C0B">
        <w:rPr>
          <w:rFonts w:cs="Guttman Rashi"/>
          <w:rtl/>
          <w:lang w:bidi="he-IL"/>
        </w:rPr>
        <w:t xml:space="preserve"> </w:t>
      </w:r>
      <w:r w:rsidRPr="00400C0B">
        <w:rPr>
          <w:rFonts w:cs="Guttman Rashi" w:hint="eastAsia"/>
          <w:rtl/>
          <w:lang w:bidi="he-IL"/>
        </w:rPr>
        <w:t>לכתחילה</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וחזינן</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בב</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ליכא</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טעמו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שעובר</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יעבור</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היינו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דלא</w:t>
      </w:r>
      <w:r w:rsidRPr="00400C0B">
        <w:rPr>
          <w:rFonts w:cs="Guttman Rashi"/>
          <w:rtl/>
          <w:lang w:bidi="he-IL"/>
        </w:rPr>
        <w:t xml:space="preserve"> </w:t>
      </w:r>
      <w:r w:rsidRPr="00400C0B">
        <w:rPr>
          <w:rFonts w:cs="Guttman Rashi" w:hint="eastAsia"/>
          <w:rtl/>
          <w:lang w:bidi="he-IL"/>
        </w:rPr>
        <w:t>יתכן</w:t>
      </w:r>
      <w:r w:rsidRPr="00400C0B">
        <w:rPr>
          <w:rFonts w:cs="Guttman Rashi"/>
          <w:rtl/>
          <w:lang w:bidi="he-IL"/>
        </w:rPr>
        <w:t xml:space="preserve"> </w:t>
      </w:r>
      <w:r w:rsidRPr="00400C0B">
        <w:rPr>
          <w:rFonts w:cs="Guttman Rashi" w:hint="eastAsia"/>
          <w:rtl/>
          <w:lang w:bidi="he-IL"/>
        </w:rPr>
        <w:t>שעובר</w:t>
      </w:r>
      <w:r w:rsidRPr="00400C0B">
        <w:rPr>
          <w:rFonts w:cs="Guttman Rashi"/>
          <w:rtl/>
          <w:lang w:bidi="he-IL"/>
        </w:rPr>
        <w:t xml:space="preserve"> </w:t>
      </w:r>
      <w:r w:rsidRPr="00400C0B">
        <w:rPr>
          <w:rFonts w:cs="Guttman Rashi" w:hint="eastAsia"/>
          <w:rtl/>
          <w:lang w:bidi="he-IL"/>
        </w:rPr>
        <w:t>יותר</w:t>
      </w:r>
      <w:r w:rsidRPr="00400C0B">
        <w:rPr>
          <w:rFonts w:cs="Guttman Rashi"/>
          <w:rtl/>
          <w:lang w:bidi="he-IL"/>
        </w:rPr>
        <w:t xml:space="preserve"> </w:t>
      </w:r>
      <w:r w:rsidRPr="00400C0B">
        <w:rPr>
          <w:rFonts w:cs="Guttman Rashi" w:hint="eastAsia"/>
          <w:rtl/>
          <w:lang w:bidi="he-IL"/>
        </w:rPr>
        <w:t>מכדי</w:t>
      </w:r>
      <w:r w:rsidRPr="00400C0B">
        <w:rPr>
          <w:rFonts w:cs="Guttman Rashi"/>
          <w:rtl/>
          <w:lang w:bidi="he-IL"/>
        </w:rPr>
        <w:t xml:space="preserve"> </w:t>
      </w:r>
      <w:r w:rsidRPr="00400C0B">
        <w:rPr>
          <w:rFonts w:cs="Guttman Rashi" w:hint="eastAsia"/>
          <w:rtl/>
          <w:lang w:bidi="he-IL"/>
        </w:rPr>
        <w:t>קליפה</w:t>
      </w:r>
      <w:r w:rsidRPr="00400C0B">
        <w:rPr>
          <w:rFonts w:cs="Guttman Rashi"/>
          <w:rtl/>
          <w:lang w:bidi="he-IL"/>
        </w:rPr>
        <w:t>.</w:t>
      </w:r>
    </w:p>
  </w:footnote>
  <w:footnote w:id="57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המג</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שעל</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בהמחבר</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נוהגים</w:t>
      </w:r>
      <w:r w:rsidRPr="00400C0B">
        <w:rPr>
          <w:rFonts w:cs="Guttman Rashi"/>
          <w:rtl/>
          <w:lang w:bidi="he-IL"/>
        </w:rPr>
        <w:t xml:space="preserve"> </w:t>
      </w:r>
      <w:r w:rsidRPr="00400C0B">
        <w:rPr>
          <w:rFonts w:cs="Guttman Rashi" w:hint="eastAsia"/>
          <w:rtl/>
          <w:lang w:bidi="he-IL"/>
        </w:rPr>
        <w:t>להטיל</w:t>
      </w:r>
      <w:r w:rsidRPr="00400C0B">
        <w:rPr>
          <w:rFonts w:cs="Guttman Rashi"/>
          <w:rtl/>
          <w:lang w:bidi="he-IL"/>
        </w:rPr>
        <w:t xml:space="preserve"> </w:t>
      </w:r>
      <w:r w:rsidRPr="00400C0B">
        <w:rPr>
          <w:rFonts w:cs="Guttman Rashi" w:hint="eastAsia"/>
          <w:rtl/>
          <w:lang w:bidi="he-IL"/>
        </w:rPr>
        <w:t>קרקע</w:t>
      </w:r>
      <w:r w:rsidRPr="00400C0B">
        <w:rPr>
          <w:rFonts w:cs="Guttman Rashi"/>
          <w:rtl/>
          <w:lang w:bidi="he-IL"/>
        </w:rPr>
        <w:t xml:space="preserve"> </w:t>
      </w:r>
      <w:r w:rsidRPr="00400C0B">
        <w:rPr>
          <w:rFonts w:cs="Guttman Rashi" w:hint="eastAsia"/>
          <w:rtl/>
          <w:lang w:bidi="he-IL"/>
        </w:rPr>
        <w:t>חדש</w:t>
      </w:r>
      <w:r w:rsidRPr="00400C0B">
        <w:rPr>
          <w:rFonts w:cs="Guttman Rashi"/>
          <w:rtl/>
          <w:lang w:bidi="he-IL"/>
        </w:rPr>
        <w:t xml:space="preserve"> </w:t>
      </w:r>
      <w:r w:rsidRPr="00400C0B">
        <w:rPr>
          <w:rFonts w:cs="Guttman Rashi" w:hint="eastAsia"/>
          <w:rtl/>
          <w:lang w:bidi="he-IL"/>
        </w:rPr>
        <w:t>בתנור</w:t>
      </w:r>
      <w:r w:rsidRPr="00400C0B">
        <w:rPr>
          <w:rFonts w:cs="Guttman Rashi"/>
          <w:rtl/>
          <w:lang w:bidi="he-IL"/>
        </w:rPr>
        <w:t xml:space="preserve"> </w:t>
      </w:r>
      <w:r w:rsidRPr="00400C0B">
        <w:rPr>
          <w:rFonts w:cs="Guttman Rashi" w:hint="eastAsia"/>
          <w:rtl/>
          <w:lang w:bidi="he-IL"/>
        </w:rPr>
        <w:t>שאופין</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המצות</w:t>
      </w:r>
      <w:r w:rsidRPr="00400C0B">
        <w:rPr>
          <w:rFonts w:cs="Guttman Rashi"/>
          <w:rtl/>
          <w:lang w:bidi="he-IL"/>
        </w:rPr>
        <w:t xml:space="preserve"> "</w:t>
      </w:r>
      <w:r w:rsidRPr="00400C0B">
        <w:rPr>
          <w:rFonts w:cs="Guttman Rashi" w:hint="eastAsia"/>
          <w:rtl/>
          <w:lang w:bidi="he-IL"/>
        </w:rPr>
        <w:t>וקשה</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צד</w:t>
      </w:r>
      <w:r w:rsidRPr="00400C0B">
        <w:rPr>
          <w:rFonts w:cs="Guttman Rashi"/>
          <w:rtl/>
          <w:lang w:bidi="he-IL"/>
        </w:rPr>
        <w:t xml:space="preserve"> </w:t>
      </w:r>
      <w:r w:rsidRPr="00400C0B">
        <w:rPr>
          <w:rFonts w:cs="Guttman Rashi" w:hint="eastAsia"/>
          <w:rtl/>
          <w:lang w:bidi="he-IL"/>
        </w:rPr>
        <w:t>העליון</w:t>
      </w:r>
      <w:r w:rsidRPr="00400C0B">
        <w:rPr>
          <w:rFonts w:cs="Guttman Rashi"/>
          <w:rtl/>
          <w:lang w:bidi="he-IL"/>
        </w:rPr>
        <w:t xml:space="preserve"> </w:t>
      </w:r>
      <w:r w:rsidRPr="00400C0B">
        <w:rPr>
          <w:rFonts w:cs="Guttman Rashi" w:hint="eastAsia"/>
          <w:rtl/>
          <w:lang w:bidi="he-IL"/>
        </w:rPr>
        <w:t>שבתנור</w:t>
      </w:r>
      <w:r w:rsidRPr="00400C0B">
        <w:rPr>
          <w:rFonts w:cs="Guttman Rashi"/>
          <w:rtl/>
          <w:lang w:bidi="he-IL"/>
        </w:rPr>
        <w:t xml:space="preserve"> </w:t>
      </w:r>
      <w:r w:rsidRPr="00400C0B">
        <w:rPr>
          <w:rFonts w:cs="Guttman Rashi" w:hint="eastAsia"/>
          <w:rtl/>
          <w:lang w:bidi="he-IL"/>
        </w:rPr>
        <w:t>בולע</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מחמץ</w:t>
      </w:r>
      <w:r w:rsidRPr="00400C0B">
        <w:rPr>
          <w:rFonts w:cs="Guttman Rashi"/>
          <w:rtl/>
          <w:lang w:bidi="he-IL"/>
        </w:rPr>
        <w:t xml:space="preserve"> </w:t>
      </w:r>
      <w:r w:rsidRPr="00400C0B">
        <w:rPr>
          <w:rFonts w:cs="Guttman Rashi" w:hint="eastAsia"/>
          <w:rtl/>
          <w:lang w:bidi="he-IL"/>
        </w:rPr>
        <w:t>עיין</w:t>
      </w:r>
      <w:r w:rsidRPr="00400C0B">
        <w:rPr>
          <w:rFonts w:cs="Guttman Rashi"/>
          <w:rtl/>
          <w:lang w:bidi="he-IL"/>
        </w:rPr>
        <w:t xml:space="preserve"> </w:t>
      </w:r>
      <w:r w:rsidRPr="00400C0B">
        <w:rPr>
          <w:rFonts w:cs="Guttman Rashi" w:hint="eastAsia"/>
          <w:rtl/>
          <w:lang w:bidi="he-IL"/>
        </w:rPr>
        <w:t>מה</w:t>
      </w:r>
      <w:r w:rsidRPr="00400C0B">
        <w:rPr>
          <w:rFonts w:cs="Guttman Rashi"/>
          <w:rtl/>
          <w:lang w:bidi="he-IL"/>
        </w:rPr>
        <w:t xml:space="preserve"> </w:t>
      </w:r>
      <w:r w:rsidRPr="00400C0B">
        <w:rPr>
          <w:rFonts w:cs="Guttman Rashi" w:hint="eastAsia"/>
          <w:rtl/>
          <w:lang w:bidi="he-IL"/>
        </w:rPr>
        <w:t>שכתבתי</w:t>
      </w:r>
      <w:r w:rsidRPr="00400C0B">
        <w:rPr>
          <w:rFonts w:cs="Guttman Rashi"/>
          <w:rtl/>
          <w:lang w:bidi="he-IL"/>
        </w:rPr>
        <w:t xml:space="preserve"> </w:t>
      </w:r>
      <w:r w:rsidRPr="00400C0B">
        <w:rPr>
          <w:rFonts w:cs="Guttman Rashi" w:hint="eastAsia"/>
          <w:rtl/>
          <w:lang w:bidi="he-IL"/>
        </w:rPr>
        <w:t>סימן</w:t>
      </w:r>
      <w:r w:rsidRPr="00400C0B">
        <w:rPr>
          <w:rFonts w:cs="Guttman Rashi"/>
          <w:rtl/>
          <w:lang w:bidi="he-IL"/>
        </w:rPr>
        <w:t xml:space="preserve"> </w:t>
      </w:r>
      <w:r w:rsidRPr="00400C0B">
        <w:rPr>
          <w:rFonts w:cs="Guttman Rashi" w:hint="eastAsia"/>
          <w:rtl/>
          <w:lang w:bidi="he-IL"/>
        </w:rPr>
        <w:t>תנ</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סע</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בגג</w:t>
      </w:r>
      <w:r w:rsidRPr="00400C0B">
        <w:rPr>
          <w:rFonts w:cs="Guttman Rashi"/>
          <w:rtl/>
          <w:lang w:bidi="he-IL"/>
        </w:rPr>
        <w:t xml:space="preserve"> </w:t>
      </w:r>
      <w:r w:rsidRPr="00400C0B">
        <w:rPr>
          <w:rFonts w:cs="Guttman Rashi" w:hint="eastAsia"/>
          <w:rtl/>
          <w:lang w:bidi="he-IL"/>
        </w:rPr>
        <w:t>התנור</w:t>
      </w:r>
      <w:r w:rsidRPr="00400C0B">
        <w:rPr>
          <w:rFonts w:cs="Guttman Rashi"/>
          <w:rtl/>
          <w:lang w:bidi="he-IL"/>
        </w:rPr>
        <w:t xml:space="preserve"> </w:t>
      </w:r>
      <w:r w:rsidRPr="00400C0B">
        <w:rPr>
          <w:rFonts w:cs="Guttman Rashi" w:hint="eastAsia"/>
          <w:rtl/>
          <w:lang w:bidi="he-IL"/>
        </w:rPr>
        <w:t>וכנ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שהי</w:t>
      </w:r>
      <w:r w:rsidRPr="00400C0B">
        <w:rPr>
          <w:rFonts w:cs="Guttman Rashi"/>
          <w:rtl/>
          <w:lang w:bidi="he-IL"/>
        </w:rPr>
        <w:t xml:space="preserve">' </w:t>
      </w:r>
      <w:r w:rsidRPr="00400C0B">
        <w:rPr>
          <w:rFonts w:cs="Guttman Rashi" w:hint="eastAsia"/>
          <w:rtl/>
          <w:lang w:bidi="he-IL"/>
        </w:rPr>
        <w:t>מקום</w:t>
      </w:r>
      <w:r w:rsidRPr="00400C0B">
        <w:rPr>
          <w:rFonts w:cs="Guttman Rashi"/>
          <w:rtl/>
          <w:lang w:bidi="he-IL"/>
        </w:rPr>
        <w:t xml:space="preserve"> </w:t>
      </w:r>
      <w:r w:rsidRPr="00400C0B">
        <w:rPr>
          <w:rFonts w:cs="Guttman Rashi" w:hint="eastAsia"/>
          <w:rtl/>
          <w:lang w:bidi="he-IL"/>
        </w:rPr>
        <w:t>להקשות</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לפמש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בסי</w:t>
      </w:r>
      <w:r w:rsidRPr="00400C0B">
        <w:rPr>
          <w:rFonts w:cs="Guttman Rashi"/>
          <w:rtl/>
          <w:lang w:bidi="he-IL"/>
        </w:rPr>
        <w:t xml:space="preserve">' </w:t>
      </w:r>
      <w:r w:rsidRPr="00400C0B">
        <w:rPr>
          <w:rFonts w:cs="Guttman Rashi" w:hint="eastAsia"/>
          <w:rtl/>
          <w:lang w:bidi="he-IL"/>
        </w:rPr>
        <w:t>תנ</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מיושב</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כל</w:t>
      </w:r>
      <w:r w:rsidRPr="00400C0B">
        <w:rPr>
          <w:rFonts w:cs="Guttman Rashi"/>
          <w:rtl/>
          <w:lang w:bidi="he-IL"/>
        </w:rPr>
        <w:t xml:space="preserve"> </w:t>
      </w:r>
      <w:r w:rsidRPr="00400C0B">
        <w:rPr>
          <w:rFonts w:cs="Guttman Rashi" w:hint="eastAsia"/>
          <w:rtl/>
          <w:lang w:bidi="he-IL"/>
        </w:rPr>
        <w:t>השגה</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המג</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ומה</w:t>
      </w:r>
      <w:r w:rsidRPr="00400C0B">
        <w:rPr>
          <w:rFonts w:cs="Guttman Rashi"/>
          <w:rtl/>
          <w:lang w:bidi="he-IL"/>
        </w:rPr>
        <w:t xml:space="preserve"> </w:t>
      </w:r>
      <w:r w:rsidRPr="00400C0B">
        <w:rPr>
          <w:rFonts w:cs="Guttman Rashi" w:hint="eastAsia"/>
          <w:rtl/>
          <w:lang w:bidi="he-IL"/>
        </w:rPr>
        <w:t>הקשה</w:t>
      </w:r>
      <w:r w:rsidRPr="00400C0B">
        <w:rPr>
          <w:rFonts w:cs="Guttman Rashi"/>
          <w:rtl/>
          <w:lang w:bidi="he-IL"/>
        </w:rPr>
        <w:t xml:space="preserve"> </w:t>
      </w:r>
      <w:r w:rsidRPr="00400C0B">
        <w:rPr>
          <w:rFonts w:cs="Guttman Rashi" w:hint="eastAsia"/>
          <w:rtl/>
          <w:lang w:bidi="he-IL"/>
        </w:rPr>
        <w:t>עליו</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הבית</w:t>
      </w:r>
      <w:r w:rsidRPr="00400C0B">
        <w:rPr>
          <w:rFonts w:cs="Guttman Rashi"/>
          <w:rtl/>
          <w:lang w:bidi="he-IL"/>
        </w:rPr>
        <w:t xml:space="preserve"> </w:t>
      </w:r>
      <w:r w:rsidRPr="00400C0B">
        <w:rPr>
          <w:rFonts w:cs="Guttman Rashi" w:hint="eastAsia"/>
          <w:rtl/>
          <w:lang w:bidi="he-IL"/>
        </w:rPr>
        <w:t>מאיר</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לחק</w:t>
      </w:r>
      <w:r w:rsidRPr="00400C0B">
        <w:rPr>
          <w:rFonts w:cs="Guttman Rashi"/>
          <w:rtl/>
          <w:lang w:bidi="he-IL"/>
        </w:rPr>
        <w:t xml:space="preserve"> </w:t>
      </w:r>
      <w:r w:rsidRPr="00400C0B">
        <w:rPr>
          <w:rFonts w:cs="Guttman Rashi" w:hint="eastAsia"/>
          <w:rtl/>
          <w:lang w:bidi="he-IL"/>
        </w:rPr>
        <w:t>יעקב</w:t>
      </w:r>
      <w:r w:rsidRPr="00400C0B">
        <w:rPr>
          <w:rFonts w:cs="Guttman Rashi"/>
          <w:rtl/>
          <w:lang w:bidi="he-IL"/>
        </w:rPr>
        <w:t xml:space="preserve"> </w:t>
      </w:r>
      <w:r w:rsidRPr="00400C0B">
        <w:rPr>
          <w:rFonts w:cs="Guttman Rashi" w:hint="eastAsia"/>
          <w:rtl/>
          <w:lang w:bidi="he-IL"/>
        </w:rPr>
        <w:t>וכדומה</w:t>
      </w:r>
      <w:r w:rsidRPr="00400C0B">
        <w:rPr>
          <w:rFonts w:cs="Guttman Rashi"/>
          <w:rtl/>
          <w:lang w:bidi="he-IL"/>
        </w:rPr>
        <w:t xml:space="preserve"> </w:t>
      </w:r>
      <w:r w:rsidRPr="00400C0B">
        <w:rPr>
          <w:rFonts w:cs="Guttman Rashi" w:hint="eastAsia"/>
          <w:rtl/>
          <w:lang w:bidi="he-IL"/>
        </w:rPr>
        <w:t>שכן</w:t>
      </w:r>
      <w:r w:rsidRPr="00400C0B">
        <w:rPr>
          <w:rFonts w:cs="Guttman Rashi"/>
          <w:rtl/>
          <w:lang w:bidi="he-IL"/>
        </w:rPr>
        <w:t xml:space="preserve"> </w:t>
      </w:r>
      <w:r w:rsidRPr="00400C0B">
        <w:rPr>
          <w:rFonts w:cs="Guttman Rashi" w:hint="eastAsia"/>
          <w:rtl/>
          <w:lang w:bidi="he-IL"/>
        </w:rPr>
        <w:t>החמירו</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p>
  </w:footnote>
  <w:footnote w:id="57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ובשעה</w:t>
      </w:r>
      <w:r w:rsidRPr="00400C0B">
        <w:rPr>
          <w:rFonts w:cs="Guttman Rashi"/>
          <w:rtl/>
          <w:lang w:bidi="he-IL"/>
        </w:rPr>
        <w:t>"</w:t>
      </w:r>
      <w:r w:rsidRPr="00400C0B">
        <w:rPr>
          <w:rFonts w:cs="Guttman Rashi" w:hint="eastAsia"/>
          <w:rtl/>
          <w:lang w:bidi="he-IL"/>
        </w:rPr>
        <w:t>צ</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השיג</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הבית</w:t>
      </w:r>
      <w:r w:rsidRPr="00400C0B">
        <w:rPr>
          <w:rFonts w:cs="Guttman Rashi"/>
          <w:rtl/>
          <w:lang w:bidi="he-IL"/>
        </w:rPr>
        <w:t xml:space="preserve"> </w:t>
      </w:r>
      <w:r w:rsidRPr="00400C0B">
        <w:rPr>
          <w:rFonts w:cs="Guttman Rashi" w:hint="eastAsia"/>
          <w:rtl/>
          <w:lang w:bidi="he-IL"/>
        </w:rPr>
        <w:t>מאיר</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ניחא</w:t>
      </w:r>
      <w:r w:rsidRPr="00400C0B">
        <w:rPr>
          <w:rFonts w:cs="Guttman Rashi"/>
          <w:rtl/>
          <w:lang w:bidi="he-IL"/>
        </w:rPr>
        <w:t xml:space="preserve"> </w:t>
      </w:r>
      <w:r w:rsidRPr="00400C0B">
        <w:rPr>
          <w:rFonts w:cs="Guttman Rashi" w:hint="eastAsia"/>
          <w:rtl/>
          <w:lang w:bidi="he-IL"/>
        </w:rPr>
        <w:t>ככר</w:t>
      </w:r>
      <w:r w:rsidRPr="00400C0B">
        <w:rPr>
          <w:rFonts w:cs="Guttman Rashi"/>
          <w:rtl/>
          <w:lang w:bidi="he-IL"/>
        </w:rPr>
        <w:t xml:space="preserve"> </w:t>
      </w:r>
      <w:r w:rsidRPr="00400C0B">
        <w:rPr>
          <w:rFonts w:cs="Guttman Rashi" w:hint="eastAsia"/>
          <w:rtl/>
          <w:lang w:bidi="he-IL"/>
        </w:rPr>
        <w:t>לחם</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קדירות</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בהם</w:t>
      </w:r>
      <w:r w:rsidRPr="00400C0B">
        <w:rPr>
          <w:rFonts w:cs="Guttman Rashi"/>
          <w:rtl/>
          <w:lang w:bidi="he-IL"/>
        </w:rPr>
        <w:t xml:space="preserve"> </w:t>
      </w:r>
      <w:r w:rsidRPr="00400C0B">
        <w:rPr>
          <w:rFonts w:cs="Guttman Rashi" w:hint="eastAsia"/>
          <w:rtl/>
          <w:lang w:bidi="he-IL"/>
        </w:rPr>
        <w:t>משקין</w:t>
      </w:r>
      <w:r w:rsidRPr="00400C0B">
        <w:rPr>
          <w:rFonts w:cs="Guttman Rashi"/>
          <w:rtl/>
          <w:lang w:bidi="he-IL"/>
        </w:rPr>
        <w:t xml:space="preserve"> </w:t>
      </w:r>
      <w:r w:rsidRPr="00400C0B">
        <w:rPr>
          <w:rFonts w:cs="Guttman Rashi" w:hint="eastAsia"/>
          <w:rtl/>
          <w:lang w:bidi="he-IL"/>
        </w:rPr>
        <w:t>בתוך</w:t>
      </w:r>
      <w:r w:rsidRPr="00400C0B">
        <w:rPr>
          <w:rFonts w:cs="Guttman Rashi"/>
          <w:rtl/>
          <w:lang w:bidi="he-IL"/>
        </w:rPr>
        <w:t xml:space="preserve"> </w:t>
      </w:r>
      <w:r w:rsidRPr="00400C0B">
        <w:rPr>
          <w:rFonts w:cs="Guttman Rashi" w:hint="eastAsia"/>
          <w:rtl/>
          <w:lang w:bidi="he-IL"/>
        </w:rPr>
        <w:t>התנור</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שאוסר</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בדיעבד</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דעת</w:t>
      </w:r>
      <w:r w:rsidRPr="00400C0B">
        <w:rPr>
          <w:rFonts w:cs="Guttman Rashi"/>
          <w:rtl/>
          <w:lang w:bidi="he-IL"/>
        </w:rPr>
        <w:t xml:space="preserve"> </w:t>
      </w:r>
      <w:r w:rsidRPr="00400C0B">
        <w:rPr>
          <w:rFonts w:cs="Guttman Rashi" w:hint="eastAsia"/>
          <w:rtl/>
          <w:lang w:bidi="he-IL"/>
        </w:rPr>
        <w:t>המ</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בדיעבד</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ביאר</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טעמו</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שפיר</w:t>
      </w:r>
      <w:r w:rsidRPr="00400C0B">
        <w:rPr>
          <w:rFonts w:cs="Guttman Rashi"/>
          <w:rtl/>
          <w:lang w:bidi="he-IL"/>
        </w:rPr>
        <w:t xml:space="preserve"> </w:t>
      </w:r>
      <w:r w:rsidRPr="00400C0B">
        <w:rPr>
          <w:rFonts w:cs="Guttman Rashi" w:hint="eastAsia"/>
          <w:rtl/>
          <w:lang w:bidi="he-IL"/>
        </w:rPr>
        <w:t>דחה</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הבית</w:t>
      </w:r>
      <w:r w:rsidRPr="00400C0B">
        <w:rPr>
          <w:rFonts w:cs="Guttman Rashi"/>
          <w:rtl/>
          <w:lang w:bidi="he-IL"/>
        </w:rPr>
        <w:t xml:space="preserve"> </w:t>
      </w:r>
      <w:r w:rsidRPr="00400C0B">
        <w:rPr>
          <w:rFonts w:cs="Guttman Rashi" w:hint="eastAsia"/>
          <w:rtl/>
          <w:lang w:bidi="he-IL"/>
        </w:rPr>
        <w:t>מאיר</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תשובה</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כך</w:t>
      </w:r>
      <w:r w:rsidRPr="00400C0B">
        <w:rPr>
          <w:rFonts w:cs="Guttman Rashi"/>
          <w:rtl/>
          <w:lang w:bidi="he-IL"/>
        </w:rPr>
        <w:t xml:space="preserve"> </w:t>
      </w:r>
      <w:r w:rsidRPr="00400C0B">
        <w:rPr>
          <w:rFonts w:cs="Guttman Rashi" w:hint="eastAsia"/>
          <w:rtl/>
          <w:lang w:bidi="he-IL"/>
        </w:rPr>
        <w:t>כתבו</w:t>
      </w:r>
      <w:r w:rsidRPr="00400C0B">
        <w:rPr>
          <w:rFonts w:cs="Guttman Rashi"/>
          <w:rtl/>
          <w:lang w:bidi="he-IL"/>
        </w:rPr>
        <w:t xml:space="preserve"> </w:t>
      </w:r>
      <w:r w:rsidRPr="00400C0B">
        <w:rPr>
          <w:rFonts w:cs="Guttman Rashi" w:hint="eastAsia"/>
          <w:rtl/>
          <w:lang w:bidi="he-IL"/>
        </w:rPr>
        <w:t>המג</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ובית</w:t>
      </w:r>
      <w:r w:rsidRPr="00400C0B">
        <w:rPr>
          <w:rFonts w:cs="Guttman Rashi"/>
          <w:rtl/>
          <w:lang w:bidi="he-IL"/>
        </w:rPr>
        <w:t xml:space="preserve"> </w:t>
      </w:r>
      <w:r w:rsidRPr="00400C0B">
        <w:rPr>
          <w:rFonts w:cs="Guttman Rashi" w:hint="eastAsia"/>
          <w:rtl/>
          <w:lang w:bidi="he-IL"/>
        </w:rPr>
        <w:t>מאיר</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לדברי</w:t>
      </w:r>
      <w:r w:rsidRPr="00400C0B">
        <w:rPr>
          <w:rFonts w:cs="Guttman Rashi"/>
          <w:rtl/>
          <w:lang w:bidi="he-IL"/>
        </w:rPr>
        <w:t xml:space="preserve"> </w:t>
      </w:r>
      <w:r w:rsidRPr="00400C0B">
        <w:rPr>
          <w:rFonts w:cs="Guttman Rashi" w:hint="eastAsia"/>
          <w:rtl/>
          <w:lang w:bidi="he-IL"/>
        </w:rPr>
        <w:t>היד</w:t>
      </w:r>
      <w:r w:rsidRPr="00400C0B">
        <w:rPr>
          <w:rFonts w:cs="Guttman Rashi"/>
          <w:rtl/>
          <w:lang w:bidi="he-IL"/>
        </w:rPr>
        <w:t xml:space="preserve"> </w:t>
      </w:r>
      <w:r w:rsidRPr="00400C0B">
        <w:rPr>
          <w:rFonts w:cs="Guttman Rashi" w:hint="eastAsia"/>
          <w:rtl/>
          <w:lang w:bidi="he-IL"/>
        </w:rPr>
        <w:t>יהודה</w:t>
      </w:r>
      <w:r w:rsidRPr="00400C0B">
        <w:rPr>
          <w:rFonts w:cs="Guttman Rashi"/>
          <w:rtl/>
          <w:lang w:bidi="he-IL"/>
        </w:rPr>
        <w:t xml:space="preserve"> </w:t>
      </w:r>
      <w:r w:rsidRPr="00400C0B">
        <w:rPr>
          <w:rFonts w:cs="Guttman Rashi" w:hint="eastAsia"/>
          <w:rtl/>
          <w:lang w:bidi="he-IL"/>
        </w:rPr>
        <w:t>הנ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ליישב</w:t>
      </w:r>
      <w:r w:rsidRPr="00400C0B">
        <w:rPr>
          <w:rFonts w:cs="Guttman Rashi"/>
          <w:rtl/>
          <w:lang w:bidi="he-IL"/>
        </w:rPr>
        <w:t xml:space="preserve">.  </w:t>
      </w:r>
    </w:p>
  </w:footnote>
  <w:footnote w:id="57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בצדדין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החמיר</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בעובי</w:t>
      </w:r>
      <w:r w:rsidRPr="00400C0B">
        <w:rPr>
          <w:rFonts w:cs="Guttman Rashi"/>
          <w:rtl/>
          <w:lang w:bidi="he-IL"/>
        </w:rPr>
        <w:t xml:space="preserve"> </w:t>
      </w:r>
      <w:r w:rsidRPr="00400C0B">
        <w:rPr>
          <w:rFonts w:cs="Guttman Rashi" w:hint="eastAsia"/>
          <w:rtl/>
          <w:lang w:bidi="he-IL"/>
        </w:rPr>
        <w:t>אצבע</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נגיעה</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למעלה</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בצדדין</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ששאינו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זיעה</w:t>
      </w:r>
      <w:r w:rsidRPr="00400C0B">
        <w:rPr>
          <w:rFonts w:cs="Guttman Rashi"/>
          <w:rtl/>
          <w:lang w:bidi="he-IL"/>
        </w:rPr>
        <w:t xml:space="preserve"> </w:t>
      </w:r>
      <w:r w:rsidRPr="00400C0B">
        <w:rPr>
          <w:rFonts w:cs="Guttman Rashi" w:hint="eastAsia"/>
          <w:rtl/>
          <w:lang w:bidi="he-IL"/>
        </w:rPr>
        <w:t>וכנ</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במ</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תס</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בשמן</w:t>
      </w:r>
      <w:r w:rsidRPr="00400C0B">
        <w:rPr>
          <w:rFonts w:cs="Guttman Rashi"/>
          <w:rtl/>
          <w:lang w:bidi="he-IL"/>
        </w:rPr>
        <w:t xml:space="preserve"> </w:t>
      </w:r>
      <w:r w:rsidRPr="00400C0B">
        <w:rPr>
          <w:rFonts w:cs="Guttman Rashi" w:hint="eastAsia"/>
          <w:rtl/>
          <w:lang w:bidi="he-IL"/>
        </w:rPr>
        <w:t>שהצדדין</w:t>
      </w:r>
      <w:r w:rsidRPr="00400C0B">
        <w:rPr>
          <w:rFonts w:cs="Guttman Rashi"/>
          <w:rtl/>
          <w:lang w:bidi="he-IL"/>
        </w:rPr>
        <w:t xml:space="preserve"> </w:t>
      </w:r>
      <w:r w:rsidRPr="00400C0B">
        <w:rPr>
          <w:rFonts w:cs="Guttman Rashi" w:hint="eastAsia"/>
          <w:rtl/>
          <w:lang w:bidi="he-IL"/>
        </w:rPr>
        <w:t>אינם</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כיסוי</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בעובי</w:t>
      </w:r>
      <w:r w:rsidRPr="00400C0B">
        <w:rPr>
          <w:rFonts w:cs="Guttman Rashi"/>
          <w:rtl/>
          <w:lang w:bidi="he-IL"/>
        </w:rPr>
        <w:t xml:space="preserve"> </w:t>
      </w:r>
      <w:r w:rsidRPr="00400C0B">
        <w:rPr>
          <w:rFonts w:cs="Guttman Rashi" w:hint="eastAsia"/>
          <w:rtl/>
          <w:lang w:bidi="he-IL"/>
        </w:rPr>
        <w:t>אצבע</w:t>
      </w:r>
      <w:r w:rsidRPr="00400C0B">
        <w:rPr>
          <w:rFonts w:cs="Guttman Rashi"/>
          <w:rtl/>
          <w:lang w:bidi="he-IL"/>
        </w:rPr>
        <w:t xml:space="preserve">. </w:t>
      </w:r>
    </w:p>
  </w:footnote>
  <w:footnote w:id="579">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במילואים</w:t>
      </w:r>
      <w:r w:rsidRPr="00400C0B">
        <w:rPr>
          <w:rFonts w:cs="Guttman Rashi"/>
          <w:rtl/>
          <w:lang w:bidi="he-IL"/>
        </w:rPr>
        <w:t xml:space="preserve"> </w:t>
      </w:r>
      <w:r w:rsidRPr="00400C0B">
        <w:rPr>
          <w:rFonts w:cs="Guttman Rashi" w:hint="eastAsia"/>
          <w:rtl/>
          <w:lang w:bidi="he-IL"/>
        </w:rPr>
        <w:t>לשיעור</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p>
  </w:footnote>
  <w:footnote w:id="58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ולדבריו</w:t>
      </w:r>
      <w:r w:rsidRPr="00400C0B">
        <w:rPr>
          <w:rFonts w:cs="Guttman Rashi"/>
          <w:rtl/>
          <w:lang w:bidi="he-IL"/>
        </w:rPr>
        <w:t xml:space="preserve"> </w:t>
      </w:r>
      <w:r w:rsidRPr="00400C0B">
        <w:rPr>
          <w:rFonts w:cs="Guttman Rashi" w:hint="eastAsia"/>
          <w:rtl/>
          <w:lang w:bidi="he-IL"/>
        </w:rPr>
        <w:t>יוצא</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להשתמש</w:t>
      </w:r>
      <w:r w:rsidRPr="00400C0B">
        <w:rPr>
          <w:rFonts w:cs="Guttman Rashi"/>
          <w:rtl/>
          <w:lang w:bidi="he-IL"/>
        </w:rPr>
        <w:t xml:space="preserve"> </w:t>
      </w:r>
      <w:r w:rsidRPr="00400C0B">
        <w:rPr>
          <w:rFonts w:cs="Guttman Rashi" w:hint="eastAsia"/>
          <w:rtl/>
          <w:lang w:bidi="he-IL"/>
        </w:rPr>
        <w:t>בכלי</w:t>
      </w:r>
      <w:r w:rsidRPr="00400C0B">
        <w:rPr>
          <w:rFonts w:cs="Guttman Rashi"/>
          <w:rtl/>
          <w:lang w:bidi="he-IL"/>
        </w:rPr>
        <w:t xml:space="preserve"> </w:t>
      </w:r>
      <w:r w:rsidRPr="00400C0B">
        <w:rPr>
          <w:rFonts w:cs="Guttman Rashi" w:hint="eastAsia"/>
          <w:rtl/>
          <w:lang w:bidi="he-IL"/>
        </w:rPr>
        <w:t>זכוכית</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בשאר</w:t>
      </w:r>
      <w:r w:rsidRPr="00400C0B">
        <w:rPr>
          <w:rFonts w:cs="Guttman Rashi"/>
          <w:rtl/>
          <w:lang w:bidi="he-IL"/>
        </w:rPr>
        <w:t xml:space="preserve"> </w:t>
      </w:r>
      <w:r w:rsidRPr="00400C0B">
        <w:rPr>
          <w:rFonts w:cs="Guttman Rashi" w:hint="eastAsia"/>
          <w:rtl/>
          <w:lang w:bidi="he-IL"/>
        </w:rPr>
        <w:t>איסורים</w:t>
      </w:r>
      <w:r w:rsidRPr="00400C0B">
        <w:rPr>
          <w:rFonts w:cs="Guttman Rashi"/>
          <w:rtl/>
          <w:lang w:bidi="he-IL"/>
        </w:rPr>
        <w:t xml:space="preserve">, </w:t>
      </w:r>
      <w:r w:rsidRPr="00400C0B">
        <w:rPr>
          <w:rFonts w:cs="Guttman Rashi" w:hint="eastAsia"/>
          <w:rtl/>
          <w:lang w:bidi="he-IL"/>
        </w:rPr>
        <w:t>ודלא</w:t>
      </w:r>
      <w:r w:rsidRPr="00400C0B">
        <w:rPr>
          <w:rFonts w:cs="Guttman Rashi"/>
          <w:rtl/>
          <w:lang w:bidi="he-IL"/>
        </w:rPr>
        <w:t xml:space="preserve"> </w:t>
      </w:r>
      <w:r w:rsidRPr="00400C0B">
        <w:rPr>
          <w:rFonts w:cs="Guttman Rashi" w:hint="eastAsia"/>
          <w:rtl/>
          <w:lang w:bidi="he-IL"/>
        </w:rPr>
        <w:t>ככנה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שבסמוך</w:t>
      </w:r>
      <w:r w:rsidRPr="00400C0B">
        <w:rPr>
          <w:rFonts w:cs="Guttman Rashi"/>
          <w:rtl/>
          <w:lang w:bidi="he-IL"/>
        </w:rPr>
        <w:t xml:space="preserve">. </w:t>
      </w:r>
    </w:p>
  </w:footnote>
  <w:footnote w:id="58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בראשונים</w:t>
      </w:r>
      <w:r w:rsidRPr="00400C0B">
        <w:rPr>
          <w:rFonts w:cs="Guttman Rashi"/>
          <w:rtl/>
          <w:lang w:bidi="he-IL"/>
        </w:rPr>
        <w:t xml:space="preserve"> </w:t>
      </w:r>
      <w:r w:rsidRPr="00400C0B">
        <w:rPr>
          <w:rFonts w:cs="Guttman Rashi" w:hint="eastAsia"/>
          <w:rtl/>
          <w:lang w:bidi="he-IL"/>
        </w:rPr>
        <w:t>שבדף</w:t>
      </w:r>
      <w:r w:rsidRPr="00400C0B">
        <w:rPr>
          <w:rFonts w:cs="Guttman Rashi"/>
          <w:rtl/>
          <w:lang w:bidi="he-IL"/>
        </w:rPr>
        <w:t xml:space="preserve"> </w:t>
      </w:r>
      <w:r w:rsidRPr="00400C0B">
        <w:rPr>
          <w:rFonts w:cs="Guttman Rashi" w:hint="eastAsia"/>
          <w:rtl/>
          <w:lang w:bidi="he-IL"/>
        </w:rPr>
        <w:t>ל</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בסוגיא</w:t>
      </w:r>
      <w:r w:rsidRPr="00400C0B">
        <w:rPr>
          <w:rFonts w:cs="Guttman Rashi"/>
          <w:rtl/>
          <w:lang w:bidi="he-IL"/>
        </w:rPr>
        <w:t xml:space="preserve"> </w:t>
      </w:r>
      <w:r w:rsidRPr="00400C0B">
        <w:rPr>
          <w:rFonts w:cs="Guttman Rashi" w:hint="eastAsia"/>
          <w:rtl/>
          <w:lang w:bidi="he-IL"/>
        </w:rPr>
        <w:t>דפת</w:t>
      </w:r>
      <w:r w:rsidRPr="00400C0B">
        <w:rPr>
          <w:rFonts w:cs="Guttman Rashi"/>
          <w:rtl/>
          <w:lang w:bidi="he-IL"/>
        </w:rPr>
        <w:t xml:space="preserve"> </w:t>
      </w:r>
      <w:r w:rsidRPr="00400C0B">
        <w:rPr>
          <w:rFonts w:cs="Guttman Rashi" w:hint="eastAsia"/>
          <w:rtl/>
          <w:lang w:bidi="he-IL"/>
        </w:rPr>
        <w:t>עכו</w:t>
      </w:r>
      <w:r w:rsidRPr="00400C0B">
        <w:rPr>
          <w:rFonts w:cs="Guttman Rashi"/>
          <w:rtl/>
          <w:lang w:bidi="he-IL"/>
        </w:rPr>
        <w:t>"</w:t>
      </w:r>
      <w:r w:rsidRPr="00400C0B">
        <w:rPr>
          <w:rFonts w:cs="Guttman Rashi" w:hint="eastAsia"/>
          <w:rtl/>
          <w:lang w:bidi="he-IL"/>
        </w:rPr>
        <w:t>ם</w:t>
      </w:r>
      <w:r w:rsidRPr="00400C0B">
        <w:rPr>
          <w:rFonts w:cs="Guttman Rashi"/>
          <w:rtl/>
          <w:lang w:bidi="he-IL"/>
        </w:rPr>
        <w:t>.</w:t>
      </w:r>
    </w:p>
  </w:footnote>
  <w:footnote w:id="58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שמדיחים</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סבון</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הכל</w:t>
      </w:r>
      <w:r w:rsidRPr="00400C0B">
        <w:rPr>
          <w:rFonts w:cs="Guttman Rashi"/>
          <w:rtl/>
          <w:lang w:bidi="he-IL"/>
        </w:rPr>
        <w:t xml:space="preserve"> </w:t>
      </w:r>
      <w:r w:rsidRPr="00400C0B">
        <w:rPr>
          <w:rFonts w:cs="Guttman Rashi" w:hint="eastAsia"/>
          <w:rtl/>
          <w:lang w:bidi="he-IL"/>
        </w:rPr>
        <w:t>הוי</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ואינו</w:t>
      </w:r>
      <w:r w:rsidRPr="00400C0B">
        <w:rPr>
          <w:rFonts w:cs="Guttman Rashi"/>
          <w:rtl/>
          <w:lang w:bidi="he-IL"/>
        </w:rPr>
        <w:t xml:space="preserve"> </w:t>
      </w:r>
      <w:r w:rsidRPr="00400C0B">
        <w:rPr>
          <w:rFonts w:cs="Guttman Rashi" w:hint="eastAsia"/>
          <w:rtl/>
          <w:lang w:bidi="he-IL"/>
        </w:rPr>
        <w:t>אוסר</w:t>
      </w:r>
      <w:r w:rsidRPr="00400C0B">
        <w:rPr>
          <w:rFonts w:cs="Guttman Rashi"/>
          <w:rtl/>
          <w:lang w:bidi="he-IL"/>
        </w:rPr>
        <w:t>.</w:t>
      </w:r>
    </w:p>
  </w:footnote>
  <w:footnote w:id="583">
    <w:p w:rsidR="007978F4" w:rsidRPr="00400C0B" w:rsidRDefault="007978F4" w:rsidP="00B80448">
      <w:pPr>
        <w:pStyle w:val="FootnoteText"/>
        <w:bidi/>
        <w:jc w:val="both"/>
        <w:rPr>
          <w:rFonts w:cs="Guttman Rashi"/>
          <w:lang w:bidi="he-IL"/>
        </w:rPr>
      </w:pPr>
      <w:r w:rsidRPr="00400C0B">
        <w:rPr>
          <w:rStyle w:val="FootnoteReference"/>
          <w:rFonts w:cs="Guttman Rashi"/>
        </w:rPr>
        <w:footnoteRef/>
      </w:r>
      <w:r w:rsidRPr="00400C0B">
        <w:rPr>
          <w:rFonts w:cs="Guttman Rashi"/>
        </w:rPr>
        <w:t xml:space="preserve"> </w:t>
      </w:r>
      <w:r w:rsidRPr="00400C0B">
        <w:rPr>
          <w:rFonts w:cs="Guttman Rashi"/>
          <w:lang w:bidi="he-IL"/>
        </w:rPr>
        <w:t>carafe</w:t>
      </w:r>
    </w:p>
  </w:footnote>
  <w:footnote w:id="584">
    <w:p w:rsidR="007978F4" w:rsidRPr="00400C0B" w:rsidRDefault="007978F4" w:rsidP="00B80448">
      <w:pPr>
        <w:pStyle w:val="FootnoteText"/>
        <w:bidi/>
        <w:jc w:val="both"/>
        <w:rPr>
          <w:rFonts w:cs="Guttman Rashi"/>
          <w:rt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כשנזדמן</w:t>
      </w:r>
      <w:r w:rsidRPr="00400C0B">
        <w:rPr>
          <w:rFonts w:cs="Guttman Rashi"/>
          <w:rtl/>
          <w:lang w:bidi="he-IL"/>
        </w:rPr>
        <w:t xml:space="preserve"> </w:t>
      </w:r>
      <w:r w:rsidRPr="00400C0B">
        <w:rPr>
          <w:rFonts w:cs="Guttman Rashi" w:hint="eastAsia"/>
          <w:rtl/>
          <w:lang w:bidi="he-IL"/>
        </w:rPr>
        <w:t>במקרה</w:t>
      </w:r>
      <w:r w:rsidRPr="00400C0B">
        <w:rPr>
          <w:rFonts w:cs="Guttman Rashi"/>
          <w:rtl/>
          <w:lang w:bidi="he-IL"/>
        </w:rPr>
        <w:t xml:space="preserve"> </w:t>
      </w:r>
      <w:r w:rsidRPr="00400C0B">
        <w:rPr>
          <w:rFonts w:cs="Guttman Rashi" w:hint="eastAsia"/>
          <w:rtl/>
          <w:lang w:bidi="he-IL"/>
        </w:rPr>
        <w:t>ובשגגה</w:t>
      </w:r>
      <w:r w:rsidRPr="00400C0B">
        <w:rPr>
          <w:rFonts w:cs="Guttman Rashi"/>
          <w:rtl/>
          <w:lang w:bidi="he-IL"/>
        </w:rPr>
        <w:t xml:space="preserve"> </w:t>
      </w:r>
      <w:r w:rsidRPr="00400C0B">
        <w:rPr>
          <w:rFonts w:cs="Guttman Rashi" w:hint="eastAsia"/>
          <w:rtl/>
          <w:lang w:bidi="he-IL"/>
        </w:rPr>
        <w:t>שבשל</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 xml:space="preserve"> </w:t>
      </w:r>
      <w:r w:rsidRPr="00400C0B">
        <w:rPr>
          <w:rFonts w:cs="Guttman Rashi" w:hint="eastAsia"/>
          <w:rtl/>
          <w:lang w:bidi="he-IL"/>
        </w:rPr>
        <w:t>בכליהם</w:t>
      </w:r>
      <w:r w:rsidRPr="00400C0B">
        <w:rPr>
          <w:rFonts w:cs="Guttman Rashi"/>
          <w:rtl/>
          <w:lang w:bidi="he-IL"/>
        </w:rPr>
        <w:t xml:space="preserve"> </w:t>
      </w:r>
      <w:r w:rsidRPr="00400C0B">
        <w:rPr>
          <w:rFonts w:cs="Guttman Rashi" w:hint="eastAsia"/>
          <w:rtl/>
          <w:lang w:bidi="he-IL"/>
        </w:rPr>
        <w:t>שאפשר</w:t>
      </w:r>
      <w:r w:rsidRPr="00400C0B">
        <w:rPr>
          <w:rFonts w:cs="Guttman Rashi"/>
          <w:rtl/>
          <w:lang w:bidi="he-IL"/>
        </w:rPr>
        <w:t xml:space="preserve"> </w:t>
      </w:r>
      <w:r w:rsidRPr="00400C0B">
        <w:rPr>
          <w:rFonts w:cs="Guttman Rashi" w:hint="eastAsia"/>
          <w:rtl/>
          <w:lang w:bidi="he-IL"/>
        </w:rPr>
        <w:t>שבזו</w:t>
      </w:r>
      <w:r w:rsidRPr="00400C0B">
        <w:rPr>
          <w:rFonts w:cs="Guttman Rashi"/>
          <w:rtl/>
          <w:lang w:bidi="he-IL"/>
        </w:rPr>
        <w:t xml:space="preserve"> </w:t>
      </w:r>
      <w:r w:rsidRPr="00400C0B">
        <w:rPr>
          <w:rFonts w:cs="Guttman Rashi" w:hint="eastAsia"/>
          <w:rtl/>
          <w:lang w:bidi="he-IL"/>
        </w:rPr>
        <w:t>הואיל</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הדבר</w:t>
      </w:r>
      <w:r w:rsidRPr="00400C0B">
        <w:rPr>
          <w:rFonts w:cs="Guttman Rashi"/>
          <w:rtl/>
          <w:lang w:bidi="he-IL"/>
        </w:rPr>
        <w:t xml:space="preserve"> </w:t>
      </w:r>
      <w:r w:rsidRPr="00400C0B">
        <w:rPr>
          <w:rFonts w:cs="Guttman Rashi" w:hint="eastAsia"/>
          <w:rtl/>
          <w:lang w:bidi="he-IL"/>
        </w:rPr>
        <w:t>מצוי</w:t>
      </w:r>
      <w:r w:rsidRPr="00400C0B">
        <w:rPr>
          <w:rFonts w:cs="Guttman Rashi"/>
          <w:rtl/>
          <w:lang w:bidi="he-IL"/>
        </w:rPr>
        <w:t xml:space="preserve"> </w:t>
      </w:r>
      <w:r w:rsidRPr="00400C0B">
        <w:rPr>
          <w:rFonts w:cs="Guttman Rashi" w:hint="eastAsia"/>
          <w:rtl/>
          <w:lang w:bidi="he-IL"/>
        </w:rPr>
        <w:t>ושאין</w:t>
      </w:r>
      <w:r w:rsidRPr="00400C0B">
        <w:rPr>
          <w:rFonts w:cs="Guttman Rashi"/>
          <w:rtl/>
          <w:lang w:bidi="he-IL"/>
        </w:rPr>
        <w:t xml:space="preserve"> </w:t>
      </w:r>
      <w:r w:rsidRPr="00400C0B">
        <w:rPr>
          <w:rFonts w:cs="Guttman Rashi" w:hint="eastAsia"/>
          <w:rtl/>
          <w:lang w:bidi="he-IL"/>
        </w:rPr>
        <w:t>הרגילות</w:t>
      </w:r>
      <w:r w:rsidRPr="00400C0B">
        <w:rPr>
          <w:rFonts w:cs="Guttman Rashi"/>
          <w:rtl/>
          <w:lang w:bidi="he-IL"/>
        </w:rPr>
        <w:t xml:space="preserve"> </w:t>
      </w:r>
      <w:r w:rsidRPr="00400C0B">
        <w:rPr>
          <w:rFonts w:cs="Guttman Rashi" w:hint="eastAsia"/>
          <w:rtl/>
          <w:lang w:bidi="he-IL"/>
        </w:rPr>
        <w:t>לטעות</w:t>
      </w:r>
      <w:r w:rsidRPr="00400C0B">
        <w:rPr>
          <w:rFonts w:cs="Guttman Rashi"/>
          <w:rtl/>
          <w:lang w:bidi="he-IL"/>
        </w:rPr>
        <w:t xml:space="preserve"> </w:t>
      </w:r>
      <w:r w:rsidRPr="00400C0B">
        <w:rPr>
          <w:rFonts w:cs="Guttman Rashi" w:hint="eastAsia"/>
          <w:rtl/>
          <w:lang w:bidi="he-IL"/>
        </w:rPr>
        <w:t>בקדרה</w:t>
      </w:r>
      <w:r w:rsidRPr="00400C0B">
        <w:rPr>
          <w:rFonts w:cs="Guttman Rashi"/>
          <w:rtl/>
          <w:lang w:bidi="he-IL"/>
        </w:rPr>
        <w:t xml:space="preserve"> </w:t>
      </w:r>
      <w:r w:rsidRPr="00400C0B">
        <w:rPr>
          <w:rFonts w:cs="Guttman Rashi" w:hint="eastAsia"/>
          <w:rtl/>
          <w:lang w:bidi="he-IL"/>
        </w:rPr>
        <w:t>שבשלו</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היום</w:t>
      </w:r>
      <w:r w:rsidRPr="00400C0B">
        <w:rPr>
          <w:rFonts w:cs="Guttman Rashi"/>
          <w:rtl/>
          <w:lang w:bidi="he-IL"/>
        </w:rPr>
        <w:t xml:space="preserve"> </w:t>
      </w:r>
      <w:r w:rsidRPr="00400C0B">
        <w:rPr>
          <w:rFonts w:cs="Guttman Rashi" w:hint="eastAsia"/>
          <w:rtl/>
          <w:lang w:bidi="he-IL"/>
        </w:rPr>
        <w:t>הקלו</w:t>
      </w:r>
      <w:r w:rsidRPr="00400C0B">
        <w:rPr>
          <w:rFonts w:cs="Guttman Rashi"/>
          <w:rtl/>
          <w:lang w:bidi="he-IL"/>
        </w:rPr>
        <w:t xml:space="preserve"> </w:t>
      </w:r>
      <w:r w:rsidRPr="00400C0B">
        <w:rPr>
          <w:rFonts w:cs="Guttman Rashi" w:hint="eastAsia"/>
          <w:rtl/>
          <w:lang w:bidi="he-IL"/>
        </w:rPr>
        <w:t>לדון</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סתמה</w:t>
      </w:r>
      <w:r w:rsidRPr="00400C0B">
        <w:rPr>
          <w:rFonts w:cs="Guttman Rashi"/>
          <w:rtl/>
          <w:lang w:bidi="he-IL"/>
        </w:rPr>
        <w:t xml:space="preserve"> </w:t>
      </w:r>
      <w:r w:rsidRPr="00400C0B">
        <w:rPr>
          <w:rFonts w:cs="Guttman Rashi" w:hint="eastAsia"/>
          <w:rtl/>
          <w:lang w:bidi="he-IL"/>
        </w:rPr>
        <w:t>בשאינה</w:t>
      </w:r>
      <w:r w:rsidRPr="00400C0B">
        <w:rPr>
          <w:rFonts w:cs="Guttman Rashi"/>
          <w:rtl/>
          <w:lang w:bidi="he-IL"/>
        </w:rPr>
        <w:t xml:space="preserve"> </w:t>
      </w:r>
      <w:r w:rsidRPr="00400C0B">
        <w:rPr>
          <w:rFonts w:cs="Guttman Rashi" w:hint="eastAsia"/>
          <w:rtl/>
          <w:lang w:bidi="he-IL"/>
        </w:rPr>
        <w:t>בת</w:t>
      </w:r>
      <w:r w:rsidRPr="00400C0B">
        <w:rPr>
          <w:rFonts w:cs="Guttman Rashi"/>
          <w:rtl/>
          <w:lang w:bidi="he-IL"/>
        </w:rPr>
        <w:t xml:space="preserve"> </w:t>
      </w:r>
      <w:r w:rsidRPr="00400C0B">
        <w:rPr>
          <w:rFonts w:cs="Guttman Rashi" w:hint="eastAsia"/>
          <w:rtl/>
          <w:lang w:bidi="he-IL"/>
        </w:rPr>
        <w:t>יומה</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ירדתי</w:t>
      </w:r>
      <w:r w:rsidRPr="00400C0B">
        <w:rPr>
          <w:rFonts w:cs="Guttman Rashi"/>
          <w:rtl/>
          <w:lang w:bidi="he-IL"/>
        </w:rPr>
        <w:t xml:space="preserve"> </w:t>
      </w:r>
      <w:r w:rsidRPr="00400C0B">
        <w:rPr>
          <w:rFonts w:cs="Guttman Rashi" w:hint="eastAsia"/>
          <w:rtl/>
          <w:lang w:bidi="he-IL"/>
        </w:rPr>
        <w:t>לסוף</w:t>
      </w:r>
      <w:r w:rsidRPr="00400C0B">
        <w:rPr>
          <w:rFonts w:cs="Guttman Rashi"/>
          <w:rtl/>
          <w:lang w:bidi="he-IL"/>
        </w:rPr>
        <w:t xml:space="preserve"> </w:t>
      </w:r>
      <w:r w:rsidRPr="00400C0B">
        <w:rPr>
          <w:rFonts w:cs="Guttman Rashi" w:hint="eastAsia"/>
          <w:rtl/>
          <w:lang w:bidi="he-IL"/>
        </w:rPr>
        <w:t>דעתו</w:t>
      </w:r>
      <w:r w:rsidRPr="00400C0B">
        <w:rPr>
          <w:rFonts w:cs="Guttman Rashi"/>
          <w:rtl/>
          <w:lang w:bidi="he-IL"/>
        </w:rPr>
        <w:t xml:space="preserve">. </w:t>
      </w:r>
      <w:r w:rsidRPr="00400C0B">
        <w:rPr>
          <w:rFonts w:cs="Guttman Rashi" w:hint="eastAsia"/>
          <w:rtl/>
          <w:lang w:bidi="he-IL"/>
        </w:rPr>
        <w:t>דמשמע</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מודה</w:t>
      </w:r>
      <w:r w:rsidRPr="00400C0B">
        <w:rPr>
          <w:rFonts w:cs="Guttman Rashi"/>
          <w:rtl/>
          <w:lang w:bidi="he-IL"/>
        </w:rPr>
        <w:t xml:space="preserve"> </w:t>
      </w:r>
      <w:r w:rsidRPr="00400C0B">
        <w:rPr>
          <w:rFonts w:cs="Guttman Rashi" w:hint="eastAsia"/>
          <w:rtl/>
          <w:lang w:bidi="he-IL"/>
        </w:rPr>
        <w:t>שמעיקר</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סתם</w:t>
      </w:r>
      <w:r w:rsidRPr="00400C0B">
        <w:rPr>
          <w:rFonts w:cs="Guttman Rashi"/>
          <w:rtl/>
          <w:lang w:bidi="he-IL"/>
        </w:rPr>
        <w:t xml:space="preserve"> </w:t>
      </w:r>
      <w:r w:rsidRPr="00400C0B">
        <w:rPr>
          <w:rFonts w:cs="Guttman Rashi" w:hint="eastAsia"/>
          <w:rtl/>
          <w:lang w:bidi="he-IL"/>
        </w:rPr>
        <w:t>כלים</w:t>
      </w:r>
      <w:r w:rsidRPr="00400C0B">
        <w:rPr>
          <w:rFonts w:cs="Guttman Rashi"/>
          <w:rtl/>
          <w:lang w:bidi="he-IL"/>
        </w:rPr>
        <w:t xml:space="preserve"> </w:t>
      </w:r>
      <w:r w:rsidRPr="00400C0B">
        <w:rPr>
          <w:rFonts w:cs="Guttman Rashi" w:hint="eastAsia"/>
          <w:rtl/>
          <w:lang w:bidi="he-IL"/>
        </w:rPr>
        <w:t>אינן</w:t>
      </w:r>
      <w:r w:rsidRPr="00400C0B">
        <w:rPr>
          <w:rFonts w:cs="Guttman Rashi"/>
          <w:rtl/>
          <w:lang w:bidi="he-IL"/>
        </w:rPr>
        <w:t xml:space="preserve"> </w:t>
      </w:r>
      <w:r w:rsidRPr="00400C0B">
        <w:rPr>
          <w:rFonts w:cs="Guttman Rashi" w:hint="eastAsia"/>
          <w:rtl/>
          <w:lang w:bidi="he-IL"/>
        </w:rPr>
        <w:t>בני</w:t>
      </w:r>
      <w:r w:rsidRPr="00400C0B">
        <w:rPr>
          <w:rFonts w:cs="Guttman Rashi"/>
          <w:rtl/>
          <w:lang w:bidi="he-IL"/>
        </w:rPr>
        <w:t xml:space="preserve"> </w:t>
      </w:r>
      <w:r w:rsidRPr="00400C0B">
        <w:rPr>
          <w:rFonts w:cs="Guttman Rashi" w:hint="eastAsia"/>
          <w:rtl/>
          <w:lang w:bidi="he-IL"/>
        </w:rPr>
        <w:t>יומן</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שהחמירו</w:t>
      </w:r>
      <w:r w:rsidRPr="00400C0B">
        <w:rPr>
          <w:rFonts w:cs="Guttman Rashi"/>
          <w:rtl/>
          <w:lang w:bidi="he-IL"/>
        </w:rPr>
        <w:t xml:space="preserve"> </w:t>
      </w:r>
      <w:r w:rsidRPr="00400C0B">
        <w:rPr>
          <w:rFonts w:cs="Guttman Rashi" w:hint="eastAsia"/>
          <w:rtl/>
          <w:lang w:bidi="he-IL"/>
        </w:rPr>
        <w:t>לחשוש</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משמעות</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דלעיל</w:t>
      </w:r>
      <w:r w:rsidRPr="00400C0B">
        <w:rPr>
          <w:rFonts w:cs="Guttman Rashi"/>
          <w:rtl/>
          <w:lang w:bidi="he-IL"/>
        </w:rPr>
        <w:t xml:space="preserve"> </w:t>
      </w:r>
      <w:r w:rsidRPr="00400C0B">
        <w:rPr>
          <w:rFonts w:cs="Guttman Rashi" w:hint="eastAsia"/>
          <w:rtl/>
          <w:lang w:bidi="he-IL"/>
        </w:rPr>
        <w:t>מיני</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דליכא</w:t>
      </w:r>
      <w:r w:rsidRPr="00400C0B">
        <w:rPr>
          <w:rFonts w:cs="Guttman Rashi"/>
          <w:rtl/>
          <w:lang w:bidi="he-IL"/>
        </w:rPr>
        <w:t xml:space="preserve"> </w:t>
      </w:r>
      <w:r w:rsidRPr="00400C0B">
        <w:rPr>
          <w:rFonts w:cs="Guttman Rashi" w:hint="eastAsia"/>
          <w:rtl/>
          <w:lang w:bidi="he-IL"/>
        </w:rPr>
        <w:t>ספק</w:t>
      </w:r>
      <w:r w:rsidRPr="00400C0B">
        <w:rPr>
          <w:rFonts w:cs="Guttman Rashi"/>
          <w:rtl/>
          <w:lang w:bidi="he-IL"/>
        </w:rPr>
        <w:t xml:space="preserve"> </w:t>
      </w:r>
      <w:r w:rsidRPr="00400C0B">
        <w:rPr>
          <w:rFonts w:cs="Guttman Rashi" w:hint="eastAsia"/>
          <w:rtl/>
          <w:lang w:bidi="he-IL"/>
        </w:rPr>
        <w:t>ספיקא</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שסתמא</w:t>
      </w:r>
      <w:r w:rsidRPr="00400C0B">
        <w:rPr>
          <w:rFonts w:cs="Guttman Rashi"/>
          <w:rtl/>
          <w:lang w:bidi="he-IL"/>
        </w:rPr>
        <w:t xml:space="preserve"> </w:t>
      </w:r>
      <w:r w:rsidRPr="00400C0B">
        <w:rPr>
          <w:rFonts w:cs="Guttman Rashi" w:hint="eastAsia"/>
          <w:rtl/>
          <w:lang w:bidi="he-IL"/>
        </w:rPr>
        <w:t>דמילתא</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יומו</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p>
  </w:footnote>
  <w:footnote w:id="58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ושמעתי</w:t>
      </w:r>
      <w:r w:rsidRPr="00400C0B">
        <w:rPr>
          <w:rFonts w:cs="Guttman Rashi"/>
          <w:rtl/>
          <w:lang w:bidi="he-IL"/>
        </w:rPr>
        <w:t xml:space="preserve"> </w:t>
      </w:r>
      <w:r w:rsidRPr="00400C0B">
        <w:rPr>
          <w:rFonts w:cs="Guttman Rashi" w:hint="eastAsia"/>
          <w:rtl/>
          <w:lang w:bidi="he-IL"/>
        </w:rPr>
        <w:t>להסתפק</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כוונתם</w:t>
      </w:r>
      <w:r w:rsidRPr="00400C0B">
        <w:rPr>
          <w:rFonts w:cs="Guttman Rashi"/>
          <w:rtl/>
          <w:lang w:bidi="he-IL"/>
        </w:rPr>
        <w:t xml:space="preserve"> </w:t>
      </w:r>
      <w:r w:rsidRPr="00400C0B">
        <w:rPr>
          <w:rFonts w:cs="Guttman Rashi" w:hint="eastAsia"/>
          <w:rtl/>
          <w:lang w:bidi="he-IL"/>
        </w:rPr>
        <w:t>בגלל</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החלב</w:t>
      </w:r>
      <w:r w:rsidRPr="00400C0B">
        <w:rPr>
          <w:rFonts w:cs="Guttman Rashi"/>
          <w:rtl/>
          <w:lang w:bidi="he-IL"/>
        </w:rPr>
        <w:t xml:space="preserve"> </w:t>
      </w:r>
      <w:r w:rsidRPr="00400C0B">
        <w:rPr>
          <w:rFonts w:cs="Guttman Rashi" w:hint="eastAsia"/>
          <w:rtl/>
          <w:lang w:bidi="he-IL"/>
        </w:rPr>
        <w:t>טמא</w:t>
      </w:r>
      <w:r w:rsidRPr="00400C0B">
        <w:rPr>
          <w:rFonts w:cs="Guttman Rashi"/>
          <w:rtl/>
          <w:lang w:bidi="he-IL"/>
        </w:rPr>
        <w:t xml:space="preserve"> </w:t>
      </w:r>
      <w:r w:rsidRPr="00400C0B">
        <w:rPr>
          <w:rFonts w:cs="Guttman Rashi" w:hint="eastAsia"/>
          <w:rtl/>
          <w:lang w:bidi="he-IL"/>
        </w:rPr>
        <w:t>ילך</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לאיבוד</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שדעתו</w:t>
      </w:r>
      <w:r w:rsidRPr="00400C0B">
        <w:rPr>
          <w:rFonts w:cs="Guttman Rashi"/>
          <w:rtl/>
          <w:lang w:bidi="he-IL"/>
        </w:rPr>
        <w:t xml:space="preserve"> </w:t>
      </w:r>
      <w:r w:rsidRPr="00400C0B">
        <w:rPr>
          <w:rFonts w:cs="Guttman Rashi" w:hint="eastAsia"/>
          <w:rtl/>
          <w:lang w:bidi="he-IL"/>
        </w:rPr>
        <w:t>לעשות</w:t>
      </w:r>
      <w:r w:rsidRPr="00400C0B">
        <w:rPr>
          <w:rFonts w:cs="Guttman Rashi"/>
          <w:rtl/>
          <w:lang w:bidi="he-IL"/>
        </w:rPr>
        <w:t xml:space="preserve"> </w:t>
      </w:r>
      <w:r w:rsidRPr="00400C0B">
        <w:rPr>
          <w:rFonts w:cs="Guttman Rashi" w:hint="eastAsia"/>
          <w:rtl/>
          <w:lang w:bidi="he-IL"/>
        </w:rPr>
        <w:t>גבינה</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צורך</w:t>
      </w:r>
      <w:r w:rsidRPr="00400C0B">
        <w:rPr>
          <w:rFonts w:cs="Guttman Rashi"/>
          <w:rtl/>
          <w:lang w:bidi="he-IL"/>
        </w:rPr>
        <w:t xml:space="preserve"> </w:t>
      </w:r>
      <w:r w:rsidRPr="00400C0B">
        <w:rPr>
          <w:rFonts w:cs="Guttman Rashi" w:hint="eastAsia"/>
          <w:rtl/>
          <w:lang w:bidi="he-IL"/>
        </w:rPr>
        <w:t>שהחלב</w:t>
      </w:r>
      <w:r w:rsidRPr="00400C0B">
        <w:rPr>
          <w:rFonts w:cs="Guttman Rashi"/>
          <w:rtl/>
          <w:lang w:bidi="he-IL"/>
        </w:rPr>
        <w:t xml:space="preserve"> </w:t>
      </w:r>
      <w:r w:rsidRPr="00400C0B">
        <w:rPr>
          <w:rFonts w:cs="Guttman Rashi" w:hint="eastAsia"/>
          <w:rtl/>
          <w:lang w:bidi="he-IL"/>
        </w:rPr>
        <w:t>דוקא</w:t>
      </w:r>
      <w:r w:rsidRPr="00400C0B">
        <w:rPr>
          <w:rFonts w:cs="Guttman Rashi"/>
          <w:rtl/>
          <w:lang w:bidi="he-IL"/>
        </w:rPr>
        <w:t xml:space="preserve"> </w:t>
      </w:r>
      <w:r w:rsidRPr="00400C0B">
        <w:rPr>
          <w:rFonts w:cs="Guttman Rashi" w:hint="eastAsia"/>
          <w:rtl/>
          <w:lang w:bidi="he-IL"/>
        </w:rPr>
        <w:t>הולך</w:t>
      </w:r>
      <w:r w:rsidRPr="00400C0B">
        <w:rPr>
          <w:rFonts w:cs="Guttman Rashi"/>
          <w:rtl/>
          <w:lang w:bidi="he-IL"/>
        </w:rPr>
        <w:t xml:space="preserve"> </w:t>
      </w:r>
      <w:r w:rsidRPr="00400C0B">
        <w:rPr>
          <w:rFonts w:cs="Guttman Rashi" w:hint="eastAsia"/>
          <w:rtl/>
          <w:lang w:bidi="he-IL"/>
        </w:rPr>
        <w:t>לאיבוד</w:t>
      </w:r>
      <w:r w:rsidRPr="00400C0B">
        <w:rPr>
          <w:rFonts w:cs="Guttman Rashi"/>
          <w:rtl/>
          <w:lang w:bidi="he-IL"/>
        </w:rPr>
        <w:t xml:space="preserve">, </w:t>
      </w:r>
      <w:r w:rsidRPr="00400C0B">
        <w:rPr>
          <w:rFonts w:cs="Guttman Rashi" w:hint="eastAsia"/>
          <w:rtl/>
          <w:lang w:bidi="he-IL"/>
        </w:rPr>
        <w:t>דמ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לו</w:t>
      </w:r>
      <w:r w:rsidRPr="00400C0B">
        <w:rPr>
          <w:rFonts w:cs="Guttman Rashi"/>
          <w:rtl/>
          <w:lang w:bidi="he-IL"/>
        </w:rPr>
        <w:t xml:space="preserve"> </w:t>
      </w:r>
      <w:r w:rsidRPr="00400C0B">
        <w:rPr>
          <w:rFonts w:cs="Guttman Rashi" w:hint="eastAsia"/>
          <w:rtl/>
          <w:lang w:bidi="he-IL"/>
        </w:rPr>
        <w:t>שום</w:t>
      </w:r>
      <w:r w:rsidRPr="00400C0B">
        <w:rPr>
          <w:rFonts w:cs="Guttman Rashi"/>
          <w:rtl/>
          <w:lang w:bidi="he-IL"/>
        </w:rPr>
        <w:t xml:space="preserve"> </w:t>
      </w:r>
      <w:r w:rsidRPr="00400C0B">
        <w:rPr>
          <w:rFonts w:cs="Guttman Rashi" w:hint="eastAsia"/>
          <w:rtl/>
          <w:lang w:bidi="he-IL"/>
        </w:rPr>
        <w:t>ריוח</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שיניח</w:t>
      </w:r>
      <w:r w:rsidRPr="00400C0B">
        <w:rPr>
          <w:rFonts w:cs="Guttman Rashi"/>
          <w:rtl/>
          <w:lang w:bidi="he-IL"/>
        </w:rPr>
        <w:t xml:space="preserve"> </w:t>
      </w:r>
      <w:r w:rsidRPr="00400C0B">
        <w:rPr>
          <w:rFonts w:cs="Guttman Rashi" w:hint="eastAsia"/>
          <w:rtl/>
          <w:lang w:bidi="he-IL"/>
        </w:rPr>
        <w:t>החלב</w:t>
      </w:r>
      <w:r w:rsidRPr="00400C0B">
        <w:rPr>
          <w:rFonts w:cs="Guttman Rashi"/>
          <w:rtl/>
          <w:lang w:bidi="he-IL"/>
        </w:rPr>
        <w:t xml:space="preserve"> </w:t>
      </w:r>
      <w:r w:rsidRPr="00400C0B">
        <w:rPr>
          <w:rFonts w:cs="Guttman Rashi" w:hint="eastAsia"/>
          <w:rtl/>
          <w:lang w:bidi="he-IL"/>
        </w:rPr>
        <w:t>טמא</w:t>
      </w:r>
      <w:r w:rsidRPr="00400C0B">
        <w:rPr>
          <w:rFonts w:cs="Guttman Rashi"/>
          <w:rtl/>
          <w:lang w:bidi="he-IL"/>
        </w:rPr>
        <w:t xml:space="preserve"> </w:t>
      </w:r>
      <w:r w:rsidRPr="00400C0B">
        <w:rPr>
          <w:rFonts w:cs="Guttman Rashi" w:hint="eastAsia"/>
          <w:rtl/>
          <w:lang w:bidi="he-IL"/>
        </w:rPr>
        <w:t>בתוך</w:t>
      </w:r>
      <w:r w:rsidRPr="00400C0B">
        <w:rPr>
          <w:rFonts w:cs="Guttman Rashi"/>
          <w:rtl/>
          <w:lang w:bidi="he-IL"/>
        </w:rPr>
        <w:t xml:space="preserve"> </w:t>
      </w:r>
      <w:r w:rsidRPr="00400C0B">
        <w:rPr>
          <w:rFonts w:cs="Guttman Rashi" w:hint="eastAsia"/>
          <w:rtl/>
          <w:lang w:bidi="he-IL"/>
        </w:rPr>
        <w:t>החלב</w:t>
      </w:r>
      <w:r w:rsidRPr="00400C0B">
        <w:rPr>
          <w:rFonts w:cs="Guttman Rashi"/>
          <w:rtl/>
          <w:lang w:bidi="he-IL"/>
        </w:rPr>
        <w:t xml:space="preserve"> </w:t>
      </w:r>
      <w:r w:rsidRPr="00400C0B">
        <w:rPr>
          <w:rFonts w:cs="Guttman Rashi" w:hint="eastAsia"/>
          <w:rtl/>
          <w:lang w:bidi="he-IL"/>
        </w:rPr>
        <w:t>שמגבן</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מקרי</w:t>
      </w:r>
      <w:r w:rsidRPr="00400C0B">
        <w:rPr>
          <w:rFonts w:cs="Guttman Rashi"/>
          <w:rtl/>
          <w:lang w:bidi="he-IL"/>
        </w:rPr>
        <w:t xml:space="preserve"> </w:t>
      </w:r>
      <w:r w:rsidRPr="00400C0B">
        <w:rPr>
          <w:rFonts w:cs="Guttman Rashi" w:hint="eastAsia"/>
          <w:rtl/>
          <w:lang w:bidi="he-IL"/>
        </w:rPr>
        <w:t>שטות</w:t>
      </w:r>
      <w:r w:rsidRPr="00400C0B">
        <w:rPr>
          <w:rFonts w:cs="Guttman Rashi"/>
          <w:rtl/>
          <w:lang w:bidi="he-IL"/>
        </w:rPr>
        <w:t xml:space="preserve"> </w:t>
      </w:r>
      <w:r w:rsidRPr="00400C0B">
        <w:rPr>
          <w:rFonts w:cs="Guttman Rashi" w:hint="eastAsia"/>
          <w:rtl/>
          <w:lang w:bidi="he-IL"/>
        </w:rPr>
        <w:t>ורק</w:t>
      </w:r>
      <w:r w:rsidRPr="00400C0B">
        <w:rPr>
          <w:rFonts w:cs="Guttman Rashi"/>
          <w:rtl/>
          <w:lang w:bidi="he-IL"/>
        </w:rPr>
        <w:t xml:space="preserve"> </w:t>
      </w:r>
      <w:r w:rsidRPr="00400C0B">
        <w:rPr>
          <w:rFonts w:cs="Guttman Rashi" w:hint="eastAsia"/>
          <w:rtl/>
          <w:lang w:bidi="he-IL"/>
        </w:rPr>
        <w:t>שוטה</w:t>
      </w:r>
      <w:r w:rsidRPr="00400C0B">
        <w:rPr>
          <w:rFonts w:cs="Guttman Rashi"/>
          <w:rtl/>
          <w:lang w:bidi="he-IL"/>
        </w:rPr>
        <w:t xml:space="preserve"> </w:t>
      </w:r>
      <w:r w:rsidRPr="00400C0B">
        <w:rPr>
          <w:rFonts w:cs="Guttman Rashi" w:hint="eastAsia"/>
          <w:rtl/>
          <w:lang w:bidi="he-IL"/>
        </w:rPr>
        <w:t>עושה</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w:t>
      </w:r>
    </w:p>
  </w:footnote>
  <w:footnote w:id="586">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דאו</w:t>
      </w:r>
      <w:r w:rsidRPr="00400C0B">
        <w:rPr>
          <w:rFonts w:cs="Guttman Rashi"/>
          <w:rtl/>
          <w:lang w:bidi="he-IL"/>
        </w:rPr>
        <w:t xml:space="preserve">' </w:t>
      </w:r>
      <w:r w:rsidRPr="00400C0B">
        <w:rPr>
          <w:rFonts w:cs="Guttman Rashi" w:hint="eastAsia"/>
          <w:rtl/>
          <w:lang w:bidi="he-IL"/>
        </w:rPr>
        <w:t>לכא</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דהוי</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ואולי</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שטעמם</w:t>
      </w:r>
      <w:r w:rsidRPr="00400C0B">
        <w:rPr>
          <w:rFonts w:cs="Guttman Rashi"/>
          <w:rtl/>
          <w:lang w:bidi="he-IL"/>
        </w:rPr>
        <w:t xml:space="preserve"> </w:t>
      </w:r>
      <w:r w:rsidRPr="00400C0B">
        <w:rPr>
          <w:rFonts w:cs="Guttman Rashi" w:hint="eastAsia"/>
          <w:rtl/>
          <w:lang w:bidi="he-IL"/>
        </w:rPr>
        <w:t>שונה</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שהבאנו</w:t>
      </w:r>
      <w:r w:rsidRPr="00400C0B">
        <w:rPr>
          <w:rFonts w:cs="Guttman Rashi"/>
          <w:rtl/>
          <w:lang w:bidi="he-IL"/>
        </w:rPr>
        <w:t xml:space="preserve"> </w:t>
      </w:r>
      <w:r w:rsidRPr="00400C0B">
        <w:rPr>
          <w:rFonts w:cs="Guttman Rashi" w:hint="eastAsia"/>
          <w:rtl/>
          <w:lang w:bidi="he-IL"/>
        </w:rPr>
        <w:t>צד</w:t>
      </w:r>
      <w:r w:rsidRPr="00400C0B">
        <w:rPr>
          <w:rFonts w:cs="Guttman Rashi"/>
          <w:rtl/>
          <w:lang w:bidi="he-IL"/>
        </w:rPr>
        <w:t xml:space="preserve"> </w:t>
      </w:r>
      <w:r w:rsidRPr="00400C0B">
        <w:rPr>
          <w:rFonts w:cs="Guttman Rashi" w:hint="eastAsia"/>
          <w:rtl/>
          <w:lang w:bidi="he-IL"/>
        </w:rPr>
        <w:t>כזה</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כעת</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עיקר</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התשב</w:t>
      </w:r>
      <w:r w:rsidRPr="00400C0B">
        <w:rPr>
          <w:rFonts w:cs="Guttman Rashi"/>
          <w:rtl/>
          <w:lang w:bidi="he-IL"/>
        </w:rPr>
        <w:t>"</w:t>
      </w:r>
      <w:r w:rsidRPr="00400C0B">
        <w:rPr>
          <w:rFonts w:cs="Guttman Rashi" w:hint="eastAsia"/>
          <w:rtl/>
          <w:lang w:bidi="he-IL"/>
        </w:rPr>
        <w:t>ץ</w:t>
      </w:r>
      <w:r w:rsidRPr="00400C0B">
        <w:rPr>
          <w:rFonts w:cs="Guttman Rashi"/>
          <w:rtl/>
          <w:lang w:bidi="he-IL"/>
        </w:rPr>
        <w:t xml:space="preserve"> </w:t>
      </w:r>
      <w:r w:rsidRPr="00400C0B">
        <w:rPr>
          <w:rFonts w:cs="Guttman Rashi" w:hint="eastAsia"/>
          <w:rtl/>
          <w:lang w:bidi="he-IL"/>
        </w:rPr>
        <w:t>קיימים</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חששו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לתערובת</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טמא</w:t>
      </w:r>
      <w:r w:rsidRPr="00400C0B">
        <w:rPr>
          <w:rFonts w:cs="Guttman Rashi"/>
          <w:rtl/>
          <w:lang w:bidi="he-IL"/>
        </w:rPr>
        <w:t xml:space="preserve"> </w:t>
      </w:r>
      <w:r w:rsidRPr="00400C0B">
        <w:rPr>
          <w:rFonts w:cs="Guttman Rashi" w:hint="eastAsia"/>
          <w:rtl/>
          <w:lang w:bidi="he-IL"/>
        </w:rPr>
        <w:t>עם</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טהור</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עיקר</w:t>
      </w:r>
      <w:r w:rsidRPr="00400C0B">
        <w:rPr>
          <w:rFonts w:cs="Guttman Rashi"/>
          <w:rtl/>
          <w:lang w:bidi="he-IL"/>
        </w:rPr>
        <w:t xml:space="preserve"> </w:t>
      </w:r>
      <w:r w:rsidRPr="00400C0B">
        <w:rPr>
          <w:rFonts w:cs="Guttman Rashi" w:hint="eastAsia"/>
          <w:rtl/>
          <w:lang w:bidi="he-IL"/>
        </w:rPr>
        <w:t>התערובת</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מדרבנן</w:t>
      </w:r>
      <w:r w:rsidRPr="00400C0B">
        <w:rPr>
          <w:rFonts w:cs="Guttman Rashi"/>
          <w:rtl/>
          <w:lang w:bidi="he-IL"/>
        </w:rPr>
        <w:t xml:space="preserve">. </w:t>
      </w:r>
      <w:r w:rsidRPr="00400C0B">
        <w:rPr>
          <w:rFonts w:cs="Guttman Rashi" w:hint="eastAsia"/>
          <w:rtl/>
          <w:lang w:bidi="he-IL"/>
        </w:rPr>
        <w:t>ור</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שהחשש</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תערובת</w:t>
      </w:r>
      <w:r w:rsidRPr="00400C0B">
        <w:rPr>
          <w:rFonts w:cs="Guttman Rashi"/>
          <w:rtl/>
          <w:lang w:bidi="he-IL"/>
        </w:rPr>
        <w:t xml:space="preserve"> </w:t>
      </w:r>
      <w:r w:rsidRPr="00400C0B">
        <w:rPr>
          <w:rFonts w:cs="Guttman Rashi" w:hint="eastAsia"/>
          <w:rtl/>
          <w:lang w:bidi="he-IL"/>
        </w:rPr>
        <w:t>כזה</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מעיקר</w:t>
      </w:r>
      <w:r w:rsidRPr="00400C0B">
        <w:rPr>
          <w:rFonts w:cs="Guttman Rashi"/>
          <w:rtl/>
          <w:lang w:bidi="he-IL"/>
        </w:rPr>
        <w:t xml:space="preserve"> </w:t>
      </w:r>
      <w:r w:rsidRPr="00400C0B">
        <w:rPr>
          <w:rFonts w:cs="Guttman Rashi" w:hint="eastAsia"/>
          <w:rtl/>
          <w:lang w:bidi="he-IL"/>
        </w:rPr>
        <w:t>הדין</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תוספת</w:t>
      </w:r>
      <w:r w:rsidRPr="00400C0B">
        <w:rPr>
          <w:rFonts w:cs="Guttman Rashi"/>
          <w:rtl/>
          <w:lang w:bidi="he-IL"/>
        </w:rPr>
        <w:t xml:space="preserve"> </w:t>
      </w:r>
      <w:r w:rsidRPr="00400C0B">
        <w:rPr>
          <w:rFonts w:cs="Guttman Rashi" w:hint="eastAsia"/>
          <w:rtl/>
          <w:lang w:bidi="he-IL"/>
        </w:rPr>
        <w:t>חששא</w:t>
      </w:r>
      <w:r w:rsidRPr="00400C0B">
        <w:rPr>
          <w:rFonts w:cs="Guttman Rashi"/>
          <w:rtl/>
          <w:lang w:bidi="he-IL"/>
        </w:rPr>
        <w:t xml:space="preserve"> </w:t>
      </w:r>
      <w:r w:rsidRPr="00400C0B">
        <w:rPr>
          <w:rFonts w:cs="Guttman Rashi" w:hint="eastAsia"/>
          <w:rtl/>
          <w:lang w:bidi="he-IL"/>
        </w:rPr>
        <w:t>שתיקנו</w:t>
      </w:r>
      <w:r w:rsidRPr="00400C0B">
        <w:rPr>
          <w:rFonts w:cs="Guttman Rashi"/>
          <w:rtl/>
          <w:lang w:bidi="he-IL"/>
        </w:rPr>
        <w:t xml:space="preserve"> </w:t>
      </w:r>
      <w:r w:rsidRPr="00400C0B">
        <w:rPr>
          <w:rFonts w:cs="Guttman Rashi" w:hint="eastAsia"/>
          <w:rtl/>
          <w:lang w:bidi="he-IL"/>
        </w:rPr>
        <w:t>רבנן</w:t>
      </w:r>
      <w:r w:rsidRPr="00400C0B">
        <w:rPr>
          <w:rFonts w:cs="Guttman Rashi"/>
          <w:rtl/>
          <w:lang w:bidi="he-IL"/>
        </w:rPr>
        <w:t>.</w:t>
      </w:r>
    </w:p>
  </w:footnote>
  <w:footnote w:id="587">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ולכאורה</w:t>
      </w:r>
      <w:r w:rsidRPr="00400C0B">
        <w:rPr>
          <w:rFonts w:cs="Guttman Rashi"/>
          <w:rtl/>
          <w:lang w:bidi="he-IL"/>
        </w:rPr>
        <w:t xml:space="preserve"> </w:t>
      </w:r>
      <w:r w:rsidRPr="00400C0B">
        <w:rPr>
          <w:rFonts w:cs="Guttman Rashi" w:hint="eastAsia"/>
          <w:rtl/>
          <w:lang w:bidi="he-IL"/>
        </w:rPr>
        <w:t>החילוק</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מקומות</w:t>
      </w:r>
      <w:r w:rsidRPr="00400C0B">
        <w:rPr>
          <w:rFonts w:cs="Guttman Rashi"/>
          <w:rtl/>
          <w:lang w:bidi="he-IL"/>
        </w:rPr>
        <w:t xml:space="preserve"> </w:t>
      </w:r>
      <w:r w:rsidRPr="00400C0B">
        <w:rPr>
          <w:rFonts w:cs="Guttman Rashi" w:hint="eastAsia"/>
          <w:rtl/>
          <w:lang w:bidi="he-IL"/>
        </w:rPr>
        <w:t>אלו</w:t>
      </w:r>
      <w:r w:rsidRPr="00400C0B">
        <w:rPr>
          <w:rFonts w:cs="Guttman Rashi"/>
          <w:rtl/>
          <w:lang w:bidi="he-IL"/>
        </w:rPr>
        <w:t xml:space="preserve"> </w:t>
      </w:r>
      <w:r w:rsidRPr="00400C0B">
        <w:rPr>
          <w:rFonts w:cs="Guttman Rashi" w:hint="eastAsia"/>
          <w:rtl/>
          <w:lang w:bidi="he-IL"/>
        </w:rPr>
        <w:t>לזמן</w:t>
      </w:r>
      <w:r w:rsidRPr="00400C0B">
        <w:rPr>
          <w:rFonts w:cs="Guttman Rashi"/>
          <w:rtl/>
          <w:lang w:bidi="he-IL"/>
        </w:rPr>
        <w:t xml:space="preserve"> </w:t>
      </w:r>
      <w:r w:rsidRPr="00400C0B">
        <w:rPr>
          <w:rFonts w:cs="Guttman Rashi" w:hint="eastAsia"/>
          <w:rtl/>
          <w:lang w:bidi="he-IL"/>
        </w:rPr>
        <w:t>הגזירה</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שבזמן</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מדינא</w:t>
      </w:r>
      <w:r w:rsidRPr="00400C0B">
        <w:rPr>
          <w:rFonts w:cs="Guttman Rashi"/>
          <w:rtl/>
          <w:lang w:bidi="he-IL"/>
        </w:rPr>
        <w:t xml:space="preserve"> </w:t>
      </w:r>
      <w:r w:rsidRPr="00400C0B">
        <w:rPr>
          <w:rFonts w:cs="Guttman Rashi" w:hint="eastAsia"/>
          <w:rtl/>
          <w:lang w:bidi="he-IL"/>
        </w:rPr>
        <w:t>מדין</w:t>
      </w:r>
      <w:r w:rsidRPr="00400C0B">
        <w:rPr>
          <w:rFonts w:cs="Guttman Rashi"/>
          <w:rtl/>
          <w:lang w:bidi="he-IL"/>
        </w:rPr>
        <w:t xml:space="preserve"> </w:t>
      </w:r>
      <w:r w:rsidRPr="00400C0B">
        <w:rPr>
          <w:rFonts w:cs="Guttman Rashi" w:hint="eastAsia"/>
          <w:rtl/>
          <w:lang w:bidi="he-IL"/>
        </w:rPr>
        <w:t>ספיקא</w:t>
      </w:r>
      <w:r w:rsidRPr="00400C0B">
        <w:rPr>
          <w:rFonts w:cs="Guttman Rashi"/>
          <w:rtl/>
          <w:lang w:bidi="he-IL"/>
        </w:rPr>
        <w:t xml:space="preserve"> </w:t>
      </w:r>
      <w:r w:rsidRPr="00400C0B">
        <w:rPr>
          <w:rFonts w:cs="Guttman Rashi" w:hint="eastAsia"/>
          <w:rtl/>
          <w:lang w:bidi="he-IL"/>
        </w:rPr>
        <w:t>דאורייתא</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להם</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קבוע</w:t>
      </w:r>
      <w:r w:rsidRPr="00400C0B">
        <w:rPr>
          <w:rFonts w:cs="Guttman Rashi"/>
          <w:rtl/>
          <w:lang w:bidi="he-IL"/>
        </w:rPr>
        <w:t xml:space="preserve"> </w:t>
      </w:r>
      <w:r w:rsidRPr="00400C0B">
        <w:rPr>
          <w:rFonts w:cs="Guttman Rashi" w:hint="eastAsia"/>
          <w:rtl/>
          <w:lang w:bidi="he-IL"/>
        </w:rPr>
        <w:t>שהיו</w:t>
      </w:r>
      <w:r w:rsidRPr="00400C0B">
        <w:rPr>
          <w:rFonts w:cs="Guttman Rashi"/>
          <w:rtl/>
          <w:lang w:bidi="he-IL"/>
        </w:rPr>
        <w:t xml:space="preserve"> </w:t>
      </w:r>
      <w:r w:rsidRPr="00400C0B">
        <w:rPr>
          <w:rFonts w:cs="Guttman Rashi" w:hint="eastAsia"/>
          <w:rtl/>
          <w:lang w:bidi="he-IL"/>
        </w:rPr>
        <w:t>מגבנים</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חששו</w:t>
      </w:r>
      <w:r w:rsidRPr="00400C0B">
        <w:rPr>
          <w:rFonts w:cs="Guttman Rashi"/>
          <w:rtl/>
          <w:lang w:bidi="he-IL"/>
        </w:rPr>
        <w:t xml:space="preserve"> </w:t>
      </w:r>
      <w:r w:rsidRPr="00400C0B">
        <w:rPr>
          <w:rFonts w:cs="Guttman Rashi" w:hint="eastAsia"/>
          <w:rtl/>
          <w:lang w:bidi="he-IL"/>
        </w:rPr>
        <w:t>למיעוטא</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כולם</w:t>
      </w:r>
      <w:r w:rsidRPr="00400C0B">
        <w:rPr>
          <w:rFonts w:cs="Guttman Rashi"/>
          <w:rtl/>
          <w:lang w:bidi="he-IL"/>
        </w:rPr>
        <w:t xml:space="preserve"> </w:t>
      </w:r>
      <w:r w:rsidRPr="00400C0B">
        <w:rPr>
          <w:rFonts w:cs="Guttman Rashi" w:hint="eastAsia"/>
          <w:rtl/>
          <w:lang w:bidi="he-IL"/>
        </w:rPr>
        <w:t>מגבנים</w:t>
      </w:r>
      <w:r w:rsidRPr="00400C0B">
        <w:rPr>
          <w:rFonts w:cs="Guttman Rashi"/>
          <w:rtl/>
          <w:lang w:bidi="he-IL"/>
        </w:rPr>
        <w:t xml:space="preserve"> </w:t>
      </w:r>
      <w:r w:rsidRPr="00400C0B">
        <w:rPr>
          <w:rFonts w:cs="Guttman Rashi" w:hint="eastAsia"/>
          <w:rtl/>
          <w:lang w:bidi="he-IL"/>
        </w:rPr>
        <w:t>בפרחים</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חזקה</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גיבן</w:t>
      </w:r>
      <w:r w:rsidRPr="00400C0B">
        <w:rPr>
          <w:rFonts w:cs="Guttman Rashi"/>
          <w:rtl/>
          <w:lang w:bidi="he-IL"/>
        </w:rPr>
        <w:t xml:space="preserve"> </w:t>
      </w:r>
      <w:r w:rsidRPr="00400C0B">
        <w:rPr>
          <w:rFonts w:cs="Guttman Rashi" w:hint="eastAsia"/>
          <w:rtl/>
          <w:lang w:bidi="he-IL"/>
        </w:rPr>
        <w:t>בעור</w:t>
      </w:r>
      <w:r w:rsidRPr="00400C0B">
        <w:rPr>
          <w:rFonts w:cs="Guttman Rashi"/>
          <w:rtl/>
          <w:lang w:bidi="he-IL"/>
        </w:rPr>
        <w:t xml:space="preserve"> </w:t>
      </w:r>
      <w:r w:rsidRPr="00400C0B">
        <w:rPr>
          <w:rFonts w:cs="Guttman Rashi" w:hint="eastAsia"/>
          <w:rtl/>
          <w:lang w:bidi="he-IL"/>
        </w:rPr>
        <w:t>קיבת</w:t>
      </w:r>
      <w:r w:rsidRPr="00400C0B">
        <w:rPr>
          <w:rFonts w:cs="Guttman Rashi"/>
          <w:rtl/>
          <w:lang w:bidi="he-IL"/>
        </w:rPr>
        <w:t xml:space="preserve"> </w:t>
      </w:r>
      <w:r w:rsidRPr="00400C0B">
        <w:rPr>
          <w:rFonts w:cs="Guttman Rashi" w:hint="eastAsia"/>
          <w:rtl/>
          <w:lang w:bidi="he-IL"/>
        </w:rPr>
        <w:t>נבילה</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שבזמן</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הרגיל</w:t>
      </w:r>
      <w:r w:rsidRPr="00400C0B">
        <w:rPr>
          <w:rFonts w:cs="Guttman Rashi"/>
          <w:rtl/>
          <w:lang w:bidi="he-IL"/>
        </w:rPr>
        <w:t xml:space="preserve"> </w:t>
      </w:r>
      <w:r w:rsidRPr="00400C0B">
        <w:rPr>
          <w:rFonts w:cs="Guttman Rashi" w:hint="eastAsia"/>
          <w:rtl/>
          <w:lang w:bidi="he-IL"/>
        </w:rPr>
        <w:t>שהיו</w:t>
      </w:r>
      <w:r w:rsidRPr="00400C0B">
        <w:rPr>
          <w:rFonts w:cs="Guttman Rashi"/>
          <w:rtl/>
          <w:lang w:bidi="he-IL"/>
        </w:rPr>
        <w:t xml:space="preserve"> </w:t>
      </w:r>
      <w:r w:rsidRPr="00400C0B">
        <w:rPr>
          <w:rFonts w:cs="Guttman Rashi" w:hint="eastAsia"/>
          <w:rtl/>
          <w:lang w:bidi="he-IL"/>
        </w:rPr>
        <w:t>מגבנים</w:t>
      </w:r>
      <w:r w:rsidRPr="00400C0B">
        <w:rPr>
          <w:rFonts w:cs="Guttman Rashi"/>
          <w:rtl/>
          <w:lang w:bidi="he-IL"/>
        </w:rPr>
        <w:t xml:space="preserve"> </w:t>
      </w:r>
      <w:r w:rsidRPr="00400C0B">
        <w:rPr>
          <w:rFonts w:cs="Guttman Rashi" w:hint="eastAsia"/>
          <w:rtl/>
          <w:lang w:bidi="he-IL"/>
        </w:rPr>
        <w:t>בעור</w:t>
      </w:r>
      <w:r w:rsidRPr="00400C0B">
        <w:rPr>
          <w:rFonts w:cs="Guttman Rashi"/>
          <w:rtl/>
          <w:lang w:bidi="he-IL"/>
        </w:rPr>
        <w:t xml:space="preserve"> </w:t>
      </w:r>
      <w:r w:rsidRPr="00400C0B">
        <w:rPr>
          <w:rFonts w:cs="Guttman Rashi" w:hint="eastAsia"/>
          <w:rtl/>
          <w:lang w:bidi="he-IL"/>
        </w:rPr>
        <w:t>קיבת</w:t>
      </w:r>
      <w:r w:rsidRPr="00400C0B">
        <w:rPr>
          <w:rFonts w:cs="Guttman Rashi"/>
          <w:rtl/>
          <w:lang w:bidi="he-IL"/>
        </w:rPr>
        <w:t xml:space="preserve"> </w:t>
      </w:r>
      <w:r w:rsidRPr="00400C0B">
        <w:rPr>
          <w:rFonts w:cs="Guttman Rashi" w:hint="eastAsia"/>
          <w:rtl/>
          <w:lang w:bidi="he-IL"/>
        </w:rPr>
        <w:t>נבילה</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במקרים</w:t>
      </w:r>
      <w:r w:rsidRPr="00400C0B">
        <w:rPr>
          <w:rFonts w:cs="Guttman Rashi"/>
          <w:rtl/>
          <w:lang w:bidi="he-IL"/>
        </w:rPr>
        <w:t xml:space="preserve"> </w:t>
      </w:r>
      <w:r w:rsidRPr="00400C0B">
        <w:rPr>
          <w:rFonts w:cs="Guttman Rashi" w:hint="eastAsia"/>
          <w:rtl/>
          <w:lang w:bidi="he-IL"/>
        </w:rPr>
        <w:t>מועטים</w:t>
      </w:r>
      <w:r w:rsidRPr="00400C0B">
        <w:rPr>
          <w:rFonts w:cs="Guttman Rashi"/>
          <w:rtl/>
          <w:lang w:bidi="he-IL"/>
        </w:rPr>
        <w:t xml:space="preserve"> </w:t>
      </w:r>
      <w:r w:rsidRPr="00400C0B">
        <w:rPr>
          <w:rFonts w:cs="Guttman Rashi" w:hint="eastAsia"/>
          <w:rtl/>
          <w:lang w:bidi="he-IL"/>
        </w:rPr>
        <w:t>היו</w:t>
      </w:r>
      <w:r w:rsidRPr="00400C0B">
        <w:rPr>
          <w:rFonts w:cs="Guttman Rashi"/>
          <w:rtl/>
          <w:lang w:bidi="he-IL"/>
        </w:rPr>
        <w:t xml:space="preserve"> </w:t>
      </w:r>
      <w:r w:rsidRPr="00400C0B">
        <w:rPr>
          <w:rFonts w:cs="Guttman Rashi" w:hint="eastAsia"/>
          <w:rtl/>
          <w:lang w:bidi="he-IL"/>
        </w:rPr>
        <w:t>מגבנים</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מגבנים</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וזהו</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לשון</w:t>
      </w:r>
      <w:r w:rsidRPr="00400C0B">
        <w:rPr>
          <w:rFonts w:cs="Guttman Rashi"/>
          <w:rtl/>
          <w:lang w:bidi="he-IL"/>
        </w:rPr>
        <w:t xml:space="preserve"> </w:t>
      </w:r>
      <w:r w:rsidRPr="00400C0B">
        <w:rPr>
          <w:rFonts w:cs="Guttman Rashi" w:hint="eastAsia"/>
          <w:rtl/>
          <w:lang w:bidi="he-IL"/>
        </w:rPr>
        <w:t>האג</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ביו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חשבתי</w:t>
      </w:r>
      <w:r w:rsidRPr="00400C0B">
        <w:rPr>
          <w:rFonts w:cs="Guttman Rashi"/>
          <w:rtl/>
          <w:lang w:bidi="he-IL"/>
        </w:rPr>
        <w:t xml:space="preserve"> </w:t>
      </w:r>
      <w:r w:rsidRPr="00400C0B">
        <w:rPr>
          <w:rFonts w:cs="Guttman Rashi" w:hint="eastAsia"/>
          <w:rtl/>
          <w:lang w:bidi="he-IL"/>
        </w:rPr>
        <w:t>שפעם</w:t>
      </w:r>
      <w:r w:rsidRPr="00400C0B">
        <w:rPr>
          <w:rFonts w:cs="Guttman Rashi"/>
          <w:rtl/>
          <w:lang w:bidi="he-IL"/>
        </w:rPr>
        <w:t xml:space="preserve"> </w:t>
      </w:r>
      <w:r w:rsidRPr="00400C0B">
        <w:rPr>
          <w:rFonts w:cs="Guttman Rashi" w:hint="eastAsia"/>
          <w:rtl/>
          <w:lang w:bidi="he-IL"/>
        </w:rPr>
        <w:t>היו</w:t>
      </w:r>
      <w:r w:rsidRPr="00400C0B">
        <w:rPr>
          <w:rFonts w:cs="Guttman Rashi"/>
          <w:rtl/>
          <w:lang w:bidi="he-IL"/>
        </w:rPr>
        <w:t xml:space="preserve"> </w:t>
      </w:r>
      <w:r w:rsidRPr="00400C0B">
        <w:rPr>
          <w:rFonts w:cs="Guttman Rashi" w:hint="eastAsia"/>
          <w:rtl/>
          <w:lang w:bidi="he-IL"/>
        </w:rPr>
        <w:t>מגבנים</w:t>
      </w:r>
      <w:r w:rsidRPr="00400C0B">
        <w:rPr>
          <w:rFonts w:cs="Guttman Rashi"/>
          <w:rtl/>
          <w:lang w:bidi="he-IL"/>
        </w:rPr>
        <w:t xml:space="preserve"> </w:t>
      </w:r>
      <w:r w:rsidRPr="00400C0B">
        <w:rPr>
          <w:rFonts w:cs="Guttman Rashi" w:hint="eastAsia"/>
          <w:rtl/>
          <w:lang w:bidi="he-IL"/>
        </w:rPr>
        <w:t>בעיקר</w:t>
      </w:r>
      <w:r w:rsidRPr="00400C0B">
        <w:rPr>
          <w:rFonts w:cs="Guttman Rashi"/>
          <w:rtl/>
          <w:lang w:bidi="he-IL"/>
        </w:rPr>
        <w:t xml:space="preserve"> </w:t>
      </w:r>
      <w:r w:rsidRPr="00400C0B">
        <w:rPr>
          <w:rFonts w:cs="Guttman Rashi" w:hint="eastAsia"/>
          <w:rtl/>
          <w:lang w:bidi="he-IL"/>
        </w:rPr>
        <w:t>קיבה</w:t>
      </w:r>
      <w:r w:rsidRPr="00400C0B">
        <w:rPr>
          <w:rFonts w:cs="Guttman Rashi"/>
          <w:rtl/>
          <w:lang w:bidi="he-IL"/>
        </w:rPr>
        <w:t xml:space="preserve"> </w:t>
      </w:r>
      <w:r w:rsidRPr="00400C0B">
        <w:rPr>
          <w:rFonts w:cs="Guttman Rashi" w:hint="eastAsia"/>
          <w:rtl/>
          <w:lang w:bidi="he-IL"/>
        </w:rPr>
        <w:t>המותרת</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שהי</w:t>
      </w:r>
      <w:r w:rsidRPr="00400C0B">
        <w:rPr>
          <w:rFonts w:cs="Guttman Rashi"/>
          <w:rtl/>
          <w:lang w:bidi="he-IL"/>
        </w:rPr>
        <w:t xml:space="preserve">' </w:t>
      </w:r>
      <w:r w:rsidRPr="00400C0B">
        <w:rPr>
          <w:rFonts w:cs="Guttman Rashi" w:hint="eastAsia"/>
          <w:rtl/>
          <w:lang w:bidi="he-IL"/>
        </w:rPr>
        <w:t>הדרך</w:t>
      </w:r>
      <w:r w:rsidRPr="00400C0B">
        <w:rPr>
          <w:rFonts w:cs="Guttman Rashi"/>
          <w:rtl/>
          <w:lang w:bidi="he-IL"/>
        </w:rPr>
        <w:t xml:space="preserve"> </w:t>
      </w:r>
      <w:r w:rsidRPr="00400C0B">
        <w:rPr>
          <w:rFonts w:cs="Guttman Rashi" w:hint="eastAsia"/>
          <w:rtl/>
          <w:lang w:bidi="he-IL"/>
        </w:rPr>
        <w:t>לגבן</w:t>
      </w:r>
      <w:r w:rsidRPr="00400C0B">
        <w:rPr>
          <w:rFonts w:cs="Guttman Rashi"/>
          <w:rtl/>
          <w:lang w:bidi="he-IL"/>
        </w:rPr>
        <w:t xml:space="preserve"> </w:t>
      </w:r>
      <w:r w:rsidRPr="00400C0B">
        <w:rPr>
          <w:rFonts w:cs="Guttman Rashi" w:hint="eastAsia"/>
          <w:rtl/>
          <w:lang w:bidi="he-IL"/>
        </w:rPr>
        <w:t>בקיבה</w:t>
      </w:r>
      <w:r w:rsidRPr="00400C0B">
        <w:rPr>
          <w:rFonts w:cs="Guttman Rashi"/>
          <w:rtl/>
          <w:lang w:bidi="he-IL"/>
        </w:rPr>
        <w:t xml:space="preserve">, </w:t>
      </w:r>
      <w:r w:rsidRPr="00400C0B">
        <w:rPr>
          <w:rFonts w:cs="Guttman Rashi" w:hint="eastAsia"/>
          <w:rtl/>
          <w:lang w:bidi="he-IL"/>
        </w:rPr>
        <w:t>היו</w:t>
      </w:r>
      <w:r w:rsidRPr="00400C0B">
        <w:rPr>
          <w:rFonts w:cs="Guttman Rashi"/>
          <w:rtl/>
          <w:lang w:bidi="he-IL"/>
        </w:rPr>
        <w:t xml:space="preserve"> </w:t>
      </w:r>
      <w:r w:rsidRPr="00400C0B">
        <w:rPr>
          <w:rFonts w:cs="Guttman Rashi" w:hint="eastAsia"/>
          <w:rtl/>
          <w:lang w:bidi="he-IL"/>
        </w:rPr>
        <w:t>מקרים</w:t>
      </w:r>
      <w:r w:rsidRPr="00400C0B">
        <w:rPr>
          <w:rFonts w:cs="Guttman Rashi"/>
          <w:rtl/>
          <w:lang w:bidi="he-IL"/>
        </w:rPr>
        <w:t xml:space="preserve"> </w:t>
      </w:r>
      <w:r w:rsidRPr="00400C0B">
        <w:rPr>
          <w:rFonts w:cs="Guttman Rashi" w:hint="eastAsia"/>
          <w:rtl/>
          <w:lang w:bidi="he-IL"/>
        </w:rPr>
        <w:t>מעטים</w:t>
      </w:r>
      <w:r w:rsidRPr="00400C0B">
        <w:rPr>
          <w:rFonts w:cs="Guttman Rashi"/>
          <w:rtl/>
          <w:lang w:bidi="he-IL"/>
        </w:rPr>
        <w:t xml:space="preserve"> </w:t>
      </w:r>
      <w:r w:rsidRPr="00400C0B">
        <w:rPr>
          <w:rFonts w:cs="Guttman Rashi" w:hint="eastAsia"/>
          <w:rtl/>
          <w:lang w:bidi="he-IL"/>
        </w:rPr>
        <w:t>שגיבנו</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בעור</w:t>
      </w:r>
      <w:r w:rsidRPr="00400C0B">
        <w:rPr>
          <w:rFonts w:cs="Guttman Rashi"/>
          <w:rtl/>
          <w:lang w:bidi="he-IL"/>
        </w:rPr>
        <w:t xml:space="preserve"> </w:t>
      </w:r>
      <w:r w:rsidRPr="00400C0B">
        <w:rPr>
          <w:rFonts w:cs="Guttman Rashi" w:hint="eastAsia"/>
          <w:rtl/>
          <w:lang w:bidi="he-IL"/>
        </w:rPr>
        <w:t>קיבת</w:t>
      </w:r>
      <w:r w:rsidRPr="00400C0B">
        <w:rPr>
          <w:rFonts w:cs="Guttman Rashi"/>
          <w:rtl/>
          <w:lang w:bidi="he-IL"/>
        </w:rPr>
        <w:t xml:space="preserve"> </w:t>
      </w:r>
      <w:r w:rsidRPr="00400C0B">
        <w:rPr>
          <w:rFonts w:cs="Guttman Rashi" w:hint="eastAsia"/>
          <w:rtl/>
          <w:lang w:bidi="he-IL"/>
        </w:rPr>
        <w:t>נבילה</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חוסר</w:t>
      </w:r>
      <w:r w:rsidRPr="00400C0B">
        <w:rPr>
          <w:rFonts w:cs="Guttman Rashi"/>
          <w:rtl/>
          <w:lang w:bidi="he-IL"/>
        </w:rPr>
        <w:t xml:space="preserve"> </w:t>
      </w:r>
      <w:r w:rsidRPr="00400C0B">
        <w:rPr>
          <w:rFonts w:cs="Guttman Rashi" w:hint="eastAsia"/>
          <w:rtl/>
          <w:lang w:bidi="he-IL"/>
        </w:rPr>
        <w:t>קיבה</w:t>
      </w:r>
      <w:r w:rsidRPr="00400C0B">
        <w:rPr>
          <w:rFonts w:cs="Guttman Rashi"/>
          <w:rtl/>
          <w:lang w:bidi="he-IL"/>
        </w:rPr>
        <w:t xml:space="preserve"> </w:t>
      </w:r>
      <w:r w:rsidRPr="00400C0B">
        <w:rPr>
          <w:rFonts w:cs="Guttman Rashi" w:hint="eastAsia"/>
          <w:rtl/>
          <w:lang w:bidi="he-IL"/>
        </w:rPr>
        <w:t>ממש</w:t>
      </w:r>
      <w:r w:rsidRPr="00400C0B">
        <w:rPr>
          <w:rFonts w:cs="Guttman Rashi"/>
          <w:rtl/>
          <w:lang w:bidi="he-IL"/>
        </w:rPr>
        <w:t xml:space="preserve"> </w:t>
      </w:r>
      <w:r w:rsidRPr="00400C0B">
        <w:rPr>
          <w:rFonts w:cs="Guttman Rashi" w:hint="eastAsia"/>
          <w:rtl/>
          <w:lang w:bidi="he-IL"/>
        </w:rPr>
        <w:t>וכדומה</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עכשיו</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הדרך</w:t>
      </w:r>
      <w:r w:rsidRPr="00400C0B">
        <w:rPr>
          <w:rFonts w:cs="Guttman Rashi"/>
          <w:rtl/>
          <w:lang w:bidi="he-IL"/>
        </w:rPr>
        <w:t xml:space="preserve"> </w:t>
      </w:r>
      <w:r w:rsidRPr="00400C0B">
        <w:rPr>
          <w:rFonts w:cs="Guttman Rashi" w:hint="eastAsia"/>
          <w:rtl/>
          <w:lang w:bidi="he-IL"/>
        </w:rPr>
        <w:t>לגבן</w:t>
      </w:r>
      <w:r w:rsidRPr="00400C0B">
        <w:rPr>
          <w:rFonts w:cs="Guttman Rashi"/>
          <w:rtl/>
          <w:lang w:bidi="he-IL"/>
        </w:rPr>
        <w:t xml:space="preserve"> </w:t>
      </w:r>
      <w:r w:rsidRPr="00400C0B">
        <w:rPr>
          <w:rFonts w:cs="Guttman Rashi" w:hint="eastAsia"/>
          <w:rtl/>
          <w:lang w:bidi="he-IL"/>
        </w:rPr>
        <w:t>בריבה</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שום</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שיגבנו</w:t>
      </w:r>
      <w:r w:rsidRPr="00400C0B">
        <w:rPr>
          <w:rFonts w:cs="Guttman Rashi"/>
          <w:rtl/>
          <w:lang w:bidi="he-IL"/>
        </w:rPr>
        <w:t xml:space="preserve"> </w:t>
      </w:r>
      <w:r w:rsidRPr="00400C0B">
        <w:rPr>
          <w:rFonts w:cs="Guttman Rashi" w:hint="eastAsia"/>
          <w:rtl/>
          <w:lang w:bidi="he-IL"/>
        </w:rPr>
        <w:t>בעור</w:t>
      </w:r>
      <w:r w:rsidRPr="00400C0B">
        <w:rPr>
          <w:rFonts w:cs="Guttman Rashi"/>
          <w:rtl/>
          <w:lang w:bidi="he-IL"/>
        </w:rPr>
        <w:t xml:space="preserve"> </w:t>
      </w:r>
      <w:r w:rsidRPr="00400C0B">
        <w:rPr>
          <w:rFonts w:cs="Guttman Rashi" w:hint="eastAsia"/>
          <w:rtl/>
          <w:lang w:bidi="he-IL"/>
        </w:rPr>
        <w:t>קיבת</w:t>
      </w:r>
      <w:r w:rsidRPr="00400C0B">
        <w:rPr>
          <w:rFonts w:cs="Guttman Rashi"/>
          <w:rtl/>
          <w:lang w:bidi="he-IL"/>
        </w:rPr>
        <w:t xml:space="preserve"> </w:t>
      </w:r>
      <w:r w:rsidRPr="00400C0B">
        <w:rPr>
          <w:rFonts w:cs="Guttman Rashi" w:hint="eastAsia"/>
          <w:rtl/>
          <w:lang w:bidi="he-IL"/>
        </w:rPr>
        <w:t>נבילה</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טעמו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שמואל</w:t>
      </w:r>
      <w:r w:rsidRPr="00400C0B">
        <w:rPr>
          <w:rFonts w:cs="Guttman Rashi"/>
          <w:rtl/>
          <w:lang w:bidi="he-IL"/>
        </w:rPr>
        <w:t xml:space="preserve"> (</w:t>
      </w:r>
      <w:r w:rsidRPr="00400C0B">
        <w:rPr>
          <w:rFonts w:cs="Guttman Rashi" w:hint="eastAsia"/>
          <w:rtl/>
          <w:lang w:bidi="he-IL"/>
        </w:rPr>
        <w:t>וזה</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לעוק</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עיקר</w:t>
      </w:r>
      <w:r w:rsidRPr="00400C0B">
        <w:rPr>
          <w:rFonts w:cs="Guttman Rashi"/>
          <w:rtl/>
          <w:lang w:bidi="he-IL"/>
        </w:rPr>
        <w:t>).</w:t>
      </w:r>
    </w:p>
  </w:footnote>
  <w:footnote w:id="588">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ויל</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לשיטתו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 xml:space="preserve"> </w:t>
      </w:r>
      <w:r w:rsidRPr="00400C0B">
        <w:rPr>
          <w:rFonts w:cs="Guttman Rashi" w:hint="eastAsia"/>
          <w:rtl/>
          <w:lang w:bidi="he-IL"/>
        </w:rPr>
        <w:t>רואהו</w:t>
      </w:r>
      <w:r w:rsidRPr="00400C0B">
        <w:rPr>
          <w:rFonts w:cs="Guttman Rashi"/>
          <w:rtl/>
          <w:lang w:bidi="he-IL"/>
        </w:rPr>
        <w:t>,</w:t>
      </w:r>
      <w:r w:rsidRPr="00400C0B">
        <w:rPr>
          <w:rFonts w:cs="Guttman Rashi" w:hint="eastAsia"/>
          <w:rtl/>
          <w:lang w:bidi="he-IL"/>
        </w:rPr>
        <w:t>וכדבהמשך</w:t>
      </w:r>
      <w:r w:rsidRPr="00400C0B">
        <w:rPr>
          <w:rFonts w:cs="Guttman Rashi"/>
          <w:rtl/>
          <w:lang w:bidi="he-IL"/>
        </w:rPr>
        <w:t xml:space="preserve">. </w:t>
      </w:r>
      <w:r w:rsidRPr="00400C0B">
        <w:rPr>
          <w:rFonts w:cs="Guttman Rashi" w:hint="eastAsia"/>
          <w:rtl/>
          <w:lang w:bidi="he-IL"/>
        </w:rPr>
        <w:t>ואי</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לחלק</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היכא</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דליכא</w:t>
      </w:r>
      <w:r w:rsidRPr="00400C0B">
        <w:rPr>
          <w:rFonts w:cs="Guttman Rashi"/>
          <w:rtl/>
          <w:lang w:bidi="he-IL"/>
        </w:rPr>
        <w:t xml:space="preserve"> </w:t>
      </w:r>
      <w:r w:rsidRPr="00400C0B">
        <w:rPr>
          <w:rFonts w:cs="Guttman Rashi" w:hint="eastAsia"/>
          <w:rtl/>
          <w:lang w:bidi="he-IL"/>
        </w:rPr>
        <w:t>נחשים</w:t>
      </w:r>
      <w:r w:rsidRPr="00400C0B">
        <w:rPr>
          <w:rFonts w:cs="Guttman Rashi"/>
          <w:rtl/>
          <w:lang w:bidi="he-IL"/>
        </w:rPr>
        <w:t xml:space="preserve"> </w:t>
      </w:r>
      <w:r w:rsidRPr="00400C0B">
        <w:rPr>
          <w:rFonts w:cs="Guttman Rashi" w:hint="eastAsia"/>
          <w:rtl/>
          <w:lang w:bidi="he-IL"/>
        </w:rPr>
        <w:t>למקום</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w:t>
      </w:r>
    </w:p>
  </w:footnote>
  <w:footnote w:id="589">
    <w:p w:rsidR="007978F4" w:rsidRPr="002A2B94" w:rsidRDefault="007978F4" w:rsidP="002A2B94">
      <w:pPr>
        <w:pStyle w:val="FootnoteText"/>
        <w:bidi/>
        <w:jc w:val="both"/>
        <w:rPr>
          <w:rFonts w:cs="Guttman Rashi"/>
          <w:rtl/>
          <w:lang w:bidi="he-IL"/>
        </w:rPr>
      </w:pPr>
      <w:r w:rsidRPr="002A2B94">
        <w:rPr>
          <w:rStyle w:val="FootnoteReference"/>
          <w:rFonts w:cs="Guttman Rashi"/>
        </w:rPr>
        <w:footnoteRef/>
      </w:r>
      <w:r w:rsidRPr="002A2B94">
        <w:rPr>
          <w:rFonts w:cs="Guttman Rashi"/>
        </w:rPr>
        <w:t xml:space="preserve"> </w:t>
      </w:r>
      <w:r w:rsidRPr="002A2B94">
        <w:rPr>
          <w:rFonts w:cs="Guttman Rashi" w:hint="cs"/>
          <w:rtl/>
          <w:lang w:bidi="he-IL"/>
        </w:rPr>
        <w:t xml:space="preserve">ע' עירובין מ"ו ע"ב, וכנראה </w:t>
      </w:r>
      <w:r>
        <w:rPr>
          <w:rFonts w:cs="Guttman Rashi" w:hint="cs"/>
          <w:rtl/>
          <w:lang w:bidi="he-IL"/>
        </w:rPr>
        <w:t>צריכים</w:t>
      </w:r>
      <w:r w:rsidRPr="002A2B94">
        <w:rPr>
          <w:rFonts w:cs="Guttman Rashi" w:hint="cs"/>
          <w:rtl/>
          <w:lang w:bidi="he-IL"/>
        </w:rPr>
        <w:t xml:space="preserve"> לחלק ב</w:t>
      </w:r>
      <w:r>
        <w:rPr>
          <w:rFonts w:cs="Guttman Rashi" w:hint="cs"/>
          <w:rtl/>
          <w:lang w:bidi="he-IL"/>
        </w:rPr>
        <w:t xml:space="preserve">כללי הפסק בין </w:t>
      </w:r>
      <w:r w:rsidRPr="002A2B94">
        <w:rPr>
          <w:rFonts w:cs="Guttman Rashi" w:hint="cs"/>
          <w:rtl/>
          <w:lang w:bidi="he-IL"/>
        </w:rPr>
        <w:t>השיטות בזה.</w:t>
      </w:r>
    </w:p>
  </w:footnote>
  <w:footnote w:id="59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בשם</w:t>
      </w:r>
      <w:r w:rsidRPr="00400C0B">
        <w:rPr>
          <w:rFonts w:cs="Guttman Rashi"/>
          <w:rtl/>
          <w:lang w:bidi="he-IL"/>
        </w:rPr>
        <w:t xml:space="preserve"> </w:t>
      </w:r>
      <w:r w:rsidRPr="00400C0B">
        <w:rPr>
          <w:rFonts w:cs="Guttman Rashi" w:hint="eastAsia"/>
          <w:rtl/>
          <w:lang w:bidi="he-IL"/>
        </w:rPr>
        <w:t>ההגהות</w:t>
      </w:r>
      <w:r w:rsidRPr="00400C0B">
        <w:rPr>
          <w:rFonts w:cs="Guttman Rashi"/>
          <w:rtl/>
          <w:lang w:bidi="he-IL"/>
        </w:rPr>
        <w:t xml:space="preserve"> </w:t>
      </w:r>
      <w:r w:rsidRPr="00400C0B">
        <w:rPr>
          <w:rFonts w:cs="Guttman Rashi" w:hint="eastAsia"/>
          <w:rtl/>
          <w:lang w:bidi="he-IL"/>
        </w:rPr>
        <w:t>סמ</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שטעם</w:t>
      </w:r>
      <w:r w:rsidRPr="00400C0B">
        <w:rPr>
          <w:rFonts w:cs="Guttman Rashi"/>
          <w:rtl/>
          <w:lang w:bidi="he-IL"/>
        </w:rPr>
        <w:t xml:space="preserve"> </w:t>
      </w:r>
      <w:r w:rsidRPr="00400C0B">
        <w:rPr>
          <w:rFonts w:cs="Guttman Rashi" w:hint="eastAsia"/>
          <w:rtl/>
          <w:lang w:bidi="he-IL"/>
        </w:rPr>
        <w:t>המתירים</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שום</w:t>
      </w:r>
      <w:r w:rsidRPr="00400C0B">
        <w:rPr>
          <w:rFonts w:cs="Guttman Rashi"/>
          <w:rtl/>
          <w:lang w:bidi="he-IL"/>
        </w:rPr>
        <w:t xml:space="preserve"> </w:t>
      </w:r>
      <w:r w:rsidRPr="00400C0B">
        <w:rPr>
          <w:rFonts w:cs="Guttman Rashi" w:hint="eastAsia"/>
          <w:rtl/>
          <w:lang w:bidi="he-IL"/>
        </w:rPr>
        <w:t>גומות</w:t>
      </w:r>
      <w:r w:rsidRPr="00400C0B">
        <w:rPr>
          <w:rFonts w:cs="Guttman Rashi"/>
          <w:rtl/>
          <w:lang w:bidi="he-IL"/>
        </w:rPr>
        <w:t xml:space="preserve">. </w:t>
      </w:r>
      <w:r w:rsidRPr="00400C0B">
        <w:rPr>
          <w:rFonts w:cs="Guttman Rashi" w:hint="eastAsia"/>
          <w:rtl/>
          <w:lang w:bidi="he-IL"/>
        </w:rPr>
        <w:t>ויתכן</w:t>
      </w:r>
      <w:r w:rsidRPr="00400C0B">
        <w:rPr>
          <w:rFonts w:cs="Guttman Rashi"/>
          <w:rtl/>
          <w:lang w:bidi="he-IL"/>
        </w:rPr>
        <w:t xml:space="preserve"> </w:t>
      </w:r>
      <w:r w:rsidRPr="00400C0B">
        <w:rPr>
          <w:rFonts w:cs="Guttman Rashi" w:hint="eastAsia"/>
          <w:rtl/>
          <w:lang w:bidi="he-IL"/>
        </w:rPr>
        <w:t>שעשו</w:t>
      </w:r>
      <w:r w:rsidRPr="00400C0B">
        <w:rPr>
          <w:rFonts w:cs="Guttman Rashi"/>
          <w:rtl/>
          <w:lang w:bidi="he-IL"/>
        </w:rPr>
        <w:t xml:space="preserve"> </w:t>
      </w:r>
      <w:r w:rsidRPr="00400C0B">
        <w:rPr>
          <w:rFonts w:cs="Guttman Rashi" w:hint="eastAsia"/>
          <w:rtl/>
          <w:lang w:bidi="he-IL"/>
        </w:rPr>
        <w:t>את</w:t>
      </w:r>
      <w:r w:rsidRPr="00400C0B">
        <w:rPr>
          <w:rFonts w:cs="Guttman Rashi"/>
          <w:rtl/>
          <w:lang w:bidi="he-IL"/>
        </w:rPr>
        <w:t xml:space="preserve"> </w:t>
      </w:r>
      <w:r w:rsidRPr="00400C0B">
        <w:rPr>
          <w:rFonts w:cs="Guttman Rashi" w:hint="eastAsia"/>
          <w:rtl/>
          <w:lang w:bidi="he-IL"/>
        </w:rPr>
        <w:t>החמאה</w:t>
      </w:r>
      <w:r w:rsidRPr="00400C0B">
        <w:rPr>
          <w:rFonts w:cs="Guttman Rashi"/>
          <w:rtl/>
          <w:lang w:bidi="he-IL"/>
        </w:rPr>
        <w:t xml:space="preserve"> </w:t>
      </w:r>
      <w:r w:rsidRPr="00400C0B">
        <w:rPr>
          <w:rFonts w:cs="Guttman Rashi" w:hint="eastAsia"/>
          <w:rtl/>
          <w:lang w:bidi="he-IL"/>
        </w:rPr>
        <w:t>אחרת</w:t>
      </w:r>
      <w:r w:rsidRPr="00400C0B">
        <w:rPr>
          <w:rFonts w:cs="Guttman Rashi"/>
          <w:rtl/>
          <w:lang w:bidi="he-IL"/>
        </w:rPr>
        <w:t xml:space="preserve"> </w:t>
      </w:r>
      <w:r w:rsidRPr="00400C0B">
        <w:rPr>
          <w:rFonts w:cs="Guttman Rashi" w:hint="eastAsia"/>
          <w:rtl/>
          <w:lang w:bidi="he-IL"/>
        </w:rPr>
        <w:t>במקומו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הסמ</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דזהו</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שאי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למר</w:t>
      </w:r>
      <w:r w:rsidRPr="00400C0B">
        <w:rPr>
          <w:rFonts w:cs="Guttman Rashi"/>
          <w:rtl/>
          <w:lang w:bidi="he-IL"/>
        </w:rPr>
        <w:t xml:space="preserve"> </w:t>
      </w:r>
      <w:r w:rsidRPr="00400C0B">
        <w:rPr>
          <w:rFonts w:cs="Guttman Rashi" w:hint="eastAsia"/>
          <w:rtl/>
          <w:lang w:bidi="he-IL"/>
        </w:rPr>
        <w:t>בדעת</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סבר</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ביני</w:t>
      </w:r>
      <w:r w:rsidRPr="00400C0B">
        <w:rPr>
          <w:rFonts w:cs="Guttman Rashi"/>
          <w:rtl/>
          <w:lang w:bidi="he-IL"/>
        </w:rPr>
        <w:t xml:space="preserve"> </w:t>
      </w:r>
      <w:r w:rsidRPr="00400C0B">
        <w:rPr>
          <w:rFonts w:cs="Guttman Rashi" w:hint="eastAsia"/>
          <w:rtl/>
          <w:lang w:bidi="he-IL"/>
        </w:rPr>
        <w:t>אטפי</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סברת</w:t>
      </w:r>
      <w:r w:rsidRPr="00400C0B">
        <w:rPr>
          <w:rFonts w:cs="Guttman Rashi"/>
          <w:rtl/>
          <w:lang w:bidi="he-IL"/>
        </w:rPr>
        <w:t xml:space="preserve"> </w:t>
      </w:r>
      <w:r w:rsidRPr="00400C0B">
        <w:rPr>
          <w:rFonts w:cs="Guttman Rashi" w:hint="eastAsia"/>
          <w:rtl/>
          <w:lang w:bidi="he-IL"/>
        </w:rPr>
        <w:t>המתירים</w:t>
      </w:r>
      <w:r w:rsidRPr="00400C0B">
        <w:rPr>
          <w:rFonts w:cs="Guttman Rashi"/>
          <w:rtl/>
          <w:lang w:bidi="he-IL"/>
        </w:rPr>
        <w:t xml:space="preserve"> </w:t>
      </w:r>
      <w:r w:rsidRPr="00400C0B">
        <w:rPr>
          <w:rFonts w:cs="Guttman Rashi" w:hint="eastAsia"/>
          <w:rtl/>
          <w:lang w:bidi="he-IL"/>
        </w:rPr>
        <w:t>בדעת</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מטעם</w:t>
      </w:r>
      <w:r w:rsidRPr="00400C0B">
        <w:rPr>
          <w:rFonts w:cs="Guttman Rashi"/>
          <w:rtl/>
          <w:lang w:bidi="he-IL"/>
        </w:rPr>
        <w:t xml:space="preserve"> </w:t>
      </w:r>
      <w:r w:rsidRPr="00400C0B">
        <w:rPr>
          <w:rFonts w:cs="Guttman Rashi" w:hint="eastAsia"/>
          <w:rtl/>
          <w:lang w:bidi="he-IL"/>
        </w:rPr>
        <w:t>אחר</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שנחלקו</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חשיבי</w:t>
      </w:r>
      <w:r w:rsidRPr="00400C0B">
        <w:rPr>
          <w:rFonts w:cs="Guttman Rashi"/>
          <w:rtl/>
          <w:lang w:bidi="he-IL"/>
        </w:rPr>
        <w:t xml:space="preserve"> </w:t>
      </w:r>
      <w:r w:rsidRPr="00400C0B">
        <w:rPr>
          <w:rFonts w:cs="Guttman Rashi" w:hint="eastAsia"/>
          <w:rtl/>
          <w:lang w:bidi="he-IL"/>
        </w:rPr>
        <w:t>גוממות</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דקטיני</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לרמב</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החלב</w:t>
      </w:r>
      <w:r w:rsidRPr="00400C0B">
        <w:rPr>
          <w:rFonts w:cs="Guttman Rashi"/>
          <w:rtl/>
          <w:lang w:bidi="he-IL"/>
        </w:rPr>
        <w:t xml:space="preserve"> </w:t>
      </w:r>
      <w:r w:rsidRPr="00400C0B">
        <w:rPr>
          <w:rFonts w:cs="Guttman Rashi" w:hint="eastAsia"/>
          <w:rtl/>
          <w:lang w:bidi="he-IL"/>
        </w:rPr>
        <w:t>בינים</w:t>
      </w:r>
      <w:r w:rsidRPr="00400C0B">
        <w:rPr>
          <w:rFonts w:cs="Guttman Rashi"/>
          <w:rtl/>
          <w:lang w:bidi="he-IL"/>
        </w:rPr>
        <w:t xml:space="preserve"> </w:t>
      </w:r>
      <w:r w:rsidRPr="00400C0B">
        <w:rPr>
          <w:rFonts w:cs="Guttman Rashi" w:hint="eastAsia"/>
          <w:rtl/>
          <w:lang w:bidi="he-IL"/>
        </w:rPr>
        <w:t>אטפי</w:t>
      </w:r>
      <w:r w:rsidRPr="00400C0B">
        <w:rPr>
          <w:rFonts w:cs="Guttman Rashi"/>
          <w:rtl/>
          <w:lang w:bidi="he-IL"/>
        </w:rPr>
        <w:t xml:space="preserve"> </w:t>
      </w:r>
      <w:r w:rsidRPr="00400C0B">
        <w:rPr>
          <w:rFonts w:cs="Guttman Rashi" w:hint="eastAsia"/>
          <w:rtl/>
          <w:lang w:bidi="he-IL"/>
        </w:rPr>
        <w:t>מיכר</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ובמרדכי</w:t>
      </w:r>
      <w:r w:rsidRPr="00400C0B">
        <w:rPr>
          <w:rFonts w:cs="Guttman Rashi"/>
          <w:rtl/>
          <w:lang w:bidi="he-IL"/>
        </w:rPr>
        <w:t xml:space="preserve"> </w:t>
      </w:r>
      <w:r w:rsidRPr="00400C0B">
        <w:rPr>
          <w:rFonts w:cs="Guttman Rashi" w:hint="eastAsia"/>
          <w:rtl/>
          <w:lang w:bidi="he-IL"/>
        </w:rPr>
        <w:t>מובא</w:t>
      </w:r>
      <w:r w:rsidRPr="00400C0B">
        <w:rPr>
          <w:rFonts w:cs="Guttman Rashi"/>
          <w:rtl/>
          <w:lang w:bidi="he-IL"/>
        </w:rPr>
        <w:t xml:space="preserve"> </w:t>
      </w:r>
      <w:r w:rsidRPr="00400C0B">
        <w:rPr>
          <w:rFonts w:cs="Guttman Rashi" w:hint="eastAsia"/>
          <w:rtl/>
          <w:lang w:bidi="he-IL"/>
        </w:rPr>
        <w:t>מר</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ספק</w:t>
      </w:r>
      <w:r w:rsidRPr="00400C0B">
        <w:rPr>
          <w:rFonts w:cs="Guttman Rashi"/>
          <w:rtl/>
          <w:lang w:bidi="he-IL"/>
        </w:rPr>
        <w:t xml:space="preserve"> </w:t>
      </w:r>
      <w:r w:rsidRPr="00400C0B">
        <w:rPr>
          <w:rFonts w:cs="Guttman Rashi" w:hint="eastAsia"/>
          <w:rtl/>
          <w:lang w:bidi="he-IL"/>
        </w:rPr>
        <w:t>ביני</w:t>
      </w:r>
      <w:r w:rsidRPr="00400C0B">
        <w:rPr>
          <w:rFonts w:cs="Guttman Rashi"/>
          <w:rtl/>
          <w:lang w:bidi="he-IL"/>
        </w:rPr>
        <w:t xml:space="preserve"> </w:t>
      </w:r>
      <w:r w:rsidRPr="00400C0B">
        <w:rPr>
          <w:rFonts w:cs="Guttman Rashi" w:hint="eastAsia"/>
          <w:rtl/>
          <w:lang w:bidi="he-IL"/>
        </w:rPr>
        <w:t>אטפי</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שהקיל</w:t>
      </w:r>
      <w:r w:rsidRPr="00400C0B">
        <w:rPr>
          <w:rFonts w:cs="Guttman Rashi"/>
          <w:rtl/>
          <w:lang w:bidi="he-IL"/>
        </w:rPr>
        <w:t xml:space="preserve"> </w:t>
      </w:r>
      <w:r w:rsidRPr="00400C0B">
        <w:rPr>
          <w:rFonts w:cs="Guttman Rashi" w:hint="eastAsia"/>
          <w:rtl/>
          <w:lang w:bidi="he-IL"/>
        </w:rPr>
        <w:t>מספק</w:t>
      </w:r>
      <w:r w:rsidRPr="00400C0B">
        <w:rPr>
          <w:rFonts w:cs="Guttman Rashi"/>
          <w:rtl/>
          <w:lang w:bidi="he-IL"/>
        </w:rPr>
        <w:t xml:space="preserve">. </w:t>
      </w:r>
      <w:r w:rsidRPr="00400C0B">
        <w:rPr>
          <w:rFonts w:cs="Guttman Rashi" w:hint="eastAsia"/>
          <w:rtl/>
          <w:lang w:bidi="he-IL"/>
        </w:rPr>
        <w:t>ויתכן</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שלרמב</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כרשב</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בטל</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החלב</w:t>
      </w:r>
      <w:r w:rsidRPr="00400C0B">
        <w:rPr>
          <w:rFonts w:cs="Guttman Rashi"/>
          <w:rtl/>
          <w:lang w:bidi="he-IL"/>
        </w:rPr>
        <w:t xml:space="preserve"> </w:t>
      </w:r>
      <w:r w:rsidRPr="00400C0B">
        <w:rPr>
          <w:rFonts w:cs="Guttman Rashi" w:hint="eastAsia"/>
          <w:rtl/>
          <w:lang w:bidi="he-IL"/>
        </w:rPr>
        <w:t>ביני</w:t>
      </w:r>
      <w:r w:rsidRPr="00400C0B">
        <w:rPr>
          <w:rFonts w:cs="Guttman Rashi"/>
          <w:rtl/>
          <w:lang w:bidi="he-IL"/>
        </w:rPr>
        <w:t xml:space="preserve"> </w:t>
      </w:r>
      <w:r w:rsidRPr="00400C0B">
        <w:rPr>
          <w:rFonts w:cs="Guttman Rashi" w:hint="eastAsia"/>
          <w:rtl/>
          <w:lang w:bidi="he-IL"/>
        </w:rPr>
        <w:t>אטפי</w:t>
      </w:r>
      <w:r w:rsidRPr="00400C0B">
        <w:rPr>
          <w:rFonts w:cs="Guttman Rashi"/>
          <w:rtl/>
          <w:lang w:bidi="he-IL"/>
        </w:rPr>
        <w:t xml:space="preserve"> </w:t>
      </w:r>
      <w:r w:rsidRPr="00400C0B">
        <w:rPr>
          <w:rFonts w:cs="Guttman Rashi" w:hint="eastAsia"/>
          <w:rtl/>
          <w:lang w:bidi="he-IL"/>
        </w:rPr>
        <w:t>נחשב</w:t>
      </w:r>
      <w:r w:rsidRPr="00400C0B">
        <w:rPr>
          <w:rFonts w:cs="Guttman Rashi"/>
          <w:rtl/>
          <w:lang w:bidi="he-IL"/>
        </w:rPr>
        <w:t xml:space="preserve"> </w:t>
      </w:r>
      <w:r w:rsidRPr="00400C0B">
        <w:rPr>
          <w:rFonts w:cs="Guttman Rashi" w:hint="eastAsia"/>
          <w:rtl/>
          <w:lang w:bidi="he-IL"/>
        </w:rPr>
        <w:t>כניכר</w:t>
      </w:r>
      <w:r w:rsidRPr="00400C0B">
        <w:rPr>
          <w:rFonts w:cs="Guttman Rashi"/>
          <w:rtl/>
          <w:lang w:bidi="he-IL"/>
        </w:rPr>
        <w:t xml:space="preserve">. </w:t>
      </w:r>
    </w:p>
  </w:footnote>
  <w:footnote w:id="59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הרמב</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כתב</w:t>
      </w:r>
      <w:r w:rsidRPr="00400C0B">
        <w:rPr>
          <w:rFonts w:cs="Guttman Rashi"/>
          <w:rtl/>
          <w:lang w:bidi="he-IL"/>
        </w:rPr>
        <w:t xml:space="preserve"> </w:t>
      </w:r>
      <w:r w:rsidRPr="00400C0B">
        <w:rPr>
          <w:rFonts w:cs="Guttman Rashi" w:hint="eastAsia"/>
          <w:rtl/>
          <w:lang w:bidi="he-IL"/>
        </w:rPr>
        <w:t>במפורש</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גזרו</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חמאה</w:t>
      </w:r>
      <w:r w:rsidRPr="00400C0B">
        <w:rPr>
          <w:rFonts w:cs="Guttman Rashi"/>
          <w:rtl/>
          <w:lang w:bidi="he-IL"/>
        </w:rPr>
        <w:t>.</w:t>
      </w:r>
    </w:p>
  </w:footnote>
  <w:footnote w:id="592">
    <w:p w:rsidR="007978F4" w:rsidRPr="00400C0B" w:rsidRDefault="007978F4" w:rsidP="00A96BDF">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בשו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מנח</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קל</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אות</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כדברינו</w:t>
      </w:r>
      <w:r w:rsidRPr="00400C0B">
        <w:rPr>
          <w:rFonts w:cs="Guttman Rashi"/>
          <w:rtl/>
          <w:lang w:bidi="he-IL"/>
        </w:rPr>
        <w:t>.</w:t>
      </w:r>
    </w:p>
  </w:footnote>
  <w:footnote w:id="593">
    <w:p w:rsidR="007978F4" w:rsidRPr="00400C0B" w:rsidRDefault="007978F4" w:rsidP="00A96BDF">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מרגלא</w:t>
      </w:r>
      <w:r w:rsidRPr="00400C0B">
        <w:rPr>
          <w:rFonts w:cs="Guttman Rashi"/>
          <w:rtl/>
          <w:lang w:bidi="he-IL"/>
        </w:rPr>
        <w:t xml:space="preserve"> </w:t>
      </w:r>
      <w:r w:rsidRPr="00400C0B">
        <w:rPr>
          <w:rFonts w:cs="Guttman Rashi" w:hint="eastAsia"/>
          <w:rtl/>
          <w:lang w:bidi="he-IL"/>
        </w:rPr>
        <w:t>בפומייהו</w:t>
      </w:r>
      <w:r w:rsidRPr="00400C0B">
        <w:rPr>
          <w:rFonts w:cs="Guttman Rashi"/>
          <w:rtl/>
          <w:lang w:bidi="he-IL"/>
        </w:rPr>
        <w:t xml:space="preserve"> </w:t>
      </w:r>
      <w:r w:rsidRPr="00400C0B">
        <w:rPr>
          <w:rFonts w:cs="Guttman Rashi" w:hint="eastAsia"/>
          <w:rtl/>
          <w:lang w:bidi="he-IL"/>
        </w:rPr>
        <w:t>דאינשי</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חילוק</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החזו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הגרמ</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שהגרמ</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רוצה</w:t>
      </w:r>
      <w:r w:rsidRPr="00400C0B">
        <w:rPr>
          <w:rFonts w:cs="Guttman Rashi"/>
          <w:rtl/>
          <w:lang w:bidi="he-IL"/>
        </w:rPr>
        <w:t xml:space="preserve"> </w:t>
      </w:r>
      <w:r w:rsidRPr="00400C0B">
        <w:rPr>
          <w:rFonts w:cs="Guttman Rashi" w:hint="eastAsia"/>
          <w:rtl/>
          <w:lang w:bidi="he-IL"/>
        </w:rPr>
        <w:t>להתיר</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לדעות</w:t>
      </w:r>
      <w:r w:rsidRPr="00400C0B">
        <w:rPr>
          <w:rFonts w:cs="Guttman Rashi"/>
          <w:rtl/>
          <w:lang w:bidi="he-IL"/>
        </w:rPr>
        <w:t xml:space="preserve"> </w:t>
      </w:r>
      <w:r w:rsidRPr="00400C0B">
        <w:rPr>
          <w:rFonts w:cs="Guttman Rashi" w:hint="eastAsia"/>
          <w:rtl/>
          <w:lang w:bidi="he-IL"/>
        </w:rPr>
        <w:t>החולקות</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הפר</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ואילו</w:t>
      </w:r>
      <w:r w:rsidRPr="00400C0B">
        <w:rPr>
          <w:rFonts w:cs="Guttman Rashi"/>
          <w:rtl/>
          <w:lang w:bidi="he-IL"/>
        </w:rPr>
        <w:t xml:space="preserve"> </w:t>
      </w:r>
      <w:r w:rsidRPr="00400C0B">
        <w:rPr>
          <w:rFonts w:cs="Guttman Rashi" w:hint="eastAsia"/>
          <w:rtl/>
          <w:lang w:bidi="he-IL"/>
        </w:rPr>
        <w:t>טעמו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החזו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דקיי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כפר</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אולי</w:t>
      </w:r>
      <w:r w:rsidRPr="00400C0B">
        <w:rPr>
          <w:rFonts w:cs="Guttman Rashi"/>
          <w:rtl/>
          <w:lang w:bidi="he-IL"/>
        </w:rPr>
        <w:t xml:space="preserve"> </w:t>
      </w:r>
      <w:r w:rsidRPr="00400C0B">
        <w:rPr>
          <w:rFonts w:cs="Guttman Rashi" w:hint="eastAsia"/>
          <w:rtl/>
          <w:lang w:bidi="he-IL"/>
        </w:rPr>
        <w:t>לפקפק</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שאמנם</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 xml:space="preserve"> </w:t>
      </w:r>
      <w:r w:rsidRPr="00400C0B">
        <w:rPr>
          <w:rFonts w:cs="Guttman Rashi" w:hint="eastAsia"/>
          <w:rtl/>
          <w:lang w:bidi="he-IL"/>
        </w:rPr>
        <w:t>בחזו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נקט</w:t>
      </w:r>
      <w:r w:rsidRPr="00400C0B">
        <w:rPr>
          <w:rFonts w:cs="Guttman Rashi"/>
          <w:rtl/>
          <w:lang w:bidi="he-IL"/>
        </w:rPr>
        <w:t xml:space="preserve"> </w:t>
      </w:r>
      <w:r w:rsidRPr="00400C0B">
        <w:rPr>
          <w:rFonts w:cs="Guttman Rashi" w:hint="eastAsia"/>
          <w:rtl/>
          <w:lang w:bidi="he-IL"/>
        </w:rPr>
        <w:t>דהעיקר</w:t>
      </w:r>
      <w:r w:rsidRPr="00400C0B">
        <w:rPr>
          <w:rFonts w:cs="Guttman Rashi"/>
          <w:rtl/>
          <w:lang w:bidi="he-IL"/>
        </w:rPr>
        <w:t xml:space="preserve"> </w:t>
      </w:r>
      <w:r w:rsidRPr="00400C0B">
        <w:rPr>
          <w:rFonts w:cs="Guttman Rashi" w:hint="eastAsia"/>
          <w:rtl/>
          <w:lang w:bidi="he-IL"/>
        </w:rPr>
        <w:t>כפר</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יתכן</w:t>
      </w:r>
      <w:r w:rsidRPr="00400C0B">
        <w:rPr>
          <w:rFonts w:cs="Guttman Rashi"/>
          <w:rtl/>
          <w:lang w:bidi="he-IL"/>
        </w:rPr>
        <w:t xml:space="preserve"> </w:t>
      </w:r>
      <w:r w:rsidRPr="00400C0B">
        <w:rPr>
          <w:rFonts w:cs="Guttman Rashi" w:hint="eastAsia"/>
          <w:rtl/>
          <w:lang w:bidi="he-IL"/>
        </w:rPr>
        <w:t>שמש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בפיקוח</w:t>
      </w:r>
      <w:r w:rsidRPr="00400C0B">
        <w:rPr>
          <w:rFonts w:cs="Guttman Rashi"/>
          <w:rtl/>
          <w:lang w:bidi="he-IL"/>
        </w:rPr>
        <w:t xml:space="preserve"> </w:t>
      </w:r>
      <w:r w:rsidRPr="00400C0B">
        <w:rPr>
          <w:rFonts w:cs="Guttman Rashi" w:hint="eastAsia"/>
          <w:rtl/>
          <w:lang w:bidi="he-IL"/>
        </w:rPr>
        <w:t>ממשלתי</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תלוי</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ושאפילו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נחלוק</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החזו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יהא</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מירתת</w:t>
      </w:r>
      <w:r w:rsidRPr="00400C0B">
        <w:rPr>
          <w:rFonts w:cs="Guttman Rashi"/>
          <w:rtl/>
          <w:lang w:bidi="he-IL"/>
        </w:rPr>
        <w:t xml:space="preserve"> </w:t>
      </w:r>
      <w:r w:rsidRPr="00400C0B">
        <w:rPr>
          <w:rFonts w:cs="Guttman Rashi" w:hint="eastAsia"/>
          <w:rtl/>
          <w:lang w:bidi="he-IL"/>
        </w:rPr>
        <w:t>דשפחות</w:t>
      </w:r>
      <w:r w:rsidRPr="00400C0B">
        <w:rPr>
          <w:rFonts w:cs="Guttman Rashi"/>
          <w:rtl/>
          <w:lang w:bidi="he-IL"/>
        </w:rPr>
        <w:t xml:space="preserve"> </w:t>
      </w:r>
      <w:r w:rsidRPr="00400C0B">
        <w:rPr>
          <w:rFonts w:cs="Guttman Rashi" w:hint="eastAsia"/>
          <w:rtl/>
          <w:lang w:bidi="he-IL"/>
        </w:rPr>
        <w:t>וכדומה</w:t>
      </w:r>
      <w:r w:rsidRPr="00400C0B">
        <w:rPr>
          <w:rFonts w:cs="Guttman Rashi"/>
          <w:rtl/>
          <w:lang w:bidi="he-IL"/>
        </w:rPr>
        <w:t xml:space="preserve"> </w:t>
      </w:r>
      <w:r w:rsidRPr="00400C0B">
        <w:rPr>
          <w:rFonts w:cs="Guttman Rashi" w:hint="eastAsia"/>
          <w:rtl/>
          <w:lang w:bidi="he-IL"/>
        </w:rPr>
        <w:t>וכמש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שם</w:t>
      </w:r>
      <w:r w:rsidRPr="00400C0B">
        <w:rPr>
          <w:rFonts w:cs="Guttman Rashi"/>
          <w:rtl/>
          <w:lang w:bidi="he-IL"/>
        </w:rPr>
        <w:t>.</w:t>
      </w:r>
    </w:p>
  </w:footnote>
  <w:footnote w:id="594">
    <w:p w:rsidR="007978F4" w:rsidRPr="00400C0B" w:rsidRDefault="007978F4" w:rsidP="00A42D7B">
      <w:pPr>
        <w:pStyle w:val="FootnoteText"/>
        <w:bidi/>
        <w:jc w:val="both"/>
        <w:rPr>
          <w:rFonts w:cs="Guttman Rashi"/>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ויש</w:t>
      </w:r>
      <w:r w:rsidRPr="00400C0B">
        <w:rPr>
          <w:rFonts w:cs="Guttman Rashi"/>
          <w:rtl/>
          <w:lang w:bidi="he-IL"/>
        </w:rPr>
        <w:t xml:space="preserve"> </w:t>
      </w:r>
      <w:r w:rsidRPr="00400C0B">
        <w:rPr>
          <w:rFonts w:cs="Guttman Rashi" w:hint="eastAsia"/>
          <w:rtl/>
          <w:lang w:bidi="he-IL"/>
        </w:rPr>
        <w:t>סברא</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שזה</w:t>
      </w:r>
      <w:r w:rsidRPr="00400C0B">
        <w:rPr>
          <w:rFonts w:cs="Guttman Rashi"/>
          <w:rtl/>
          <w:lang w:bidi="he-IL"/>
        </w:rPr>
        <w:t xml:space="preserve"> </w:t>
      </w:r>
      <w:r w:rsidRPr="00400C0B">
        <w:rPr>
          <w:rFonts w:cs="Guttman Rashi" w:hint="eastAsia"/>
          <w:rtl/>
          <w:lang w:bidi="he-IL"/>
        </w:rPr>
        <w:t>נחשב</w:t>
      </w:r>
      <w:r w:rsidRPr="00400C0B">
        <w:rPr>
          <w:rFonts w:cs="Guttman Rashi"/>
          <w:rtl/>
          <w:lang w:bidi="he-IL"/>
        </w:rPr>
        <w:t xml:space="preserve"> </w:t>
      </w:r>
      <w:r w:rsidRPr="00400C0B">
        <w:rPr>
          <w:rFonts w:cs="Guttman Rashi" w:hint="eastAsia"/>
          <w:rtl/>
          <w:lang w:bidi="he-IL"/>
        </w:rPr>
        <w:t>ראי</w:t>
      </w:r>
      <w:r w:rsidRPr="00400C0B">
        <w:rPr>
          <w:rFonts w:cs="Guttman Rashi"/>
          <w:rtl/>
          <w:lang w:bidi="he-IL"/>
        </w:rPr>
        <w:t xml:space="preserve">' </w:t>
      </w:r>
      <w:r w:rsidRPr="00400C0B">
        <w:rPr>
          <w:rFonts w:cs="Guttman Rashi" w:hint="eastAsia"/>
          <w:rtl/>
          <w:lang w:bidi="he-IL"/>
        </w:rPr>
        <w:t>ממש</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שידור</w:t>
      </w:r>
      <w:r w:rsidRPr="00400C0B">
        <w:rPr>
          <w:rFonts w:cs="Guttman Rashi"/>
          <w:rtl/>
          <w:lang w:bidi="he-IL"/>
        </w:rPr>
        <w:t xml:space="preserve"> </w:t>
      </w:r>
      <w:r w:rsidRPr="00400C0B">
        <w:rPr>
          <w:rFonts w:cs="Guttman Rashi" w:hint="eastAsia"/>
          <w:rtl/>
          <w:lang w:bidi="he-IL"/>
        </w:rPr>
        <w:t>חי</w:t>
      </w:r>
      <w:r w:rsidRPr="00400C0B">
        <w:rPr>
          <w:rFonts w:cs="Guttman Rashi"/>
          <w:rtl/>
          <w:lang w:bidi="he-IL"/>
        </w:rPr>
        <w:t>,</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שהסתפק</w:t>
      </w:r>
      <w:r w:rsidRPr="00400C0B">
        <w:rPr>
          <w:rFonts w:cs="Guttman Rashi"/>
          <w:rtl/>
          <w:lang w:bidi="he-IL"/>
        </w:rPr>
        <w:t xml:space="preserve"> </w:t>
      </w:r>
      <w:r w:rsidRPr="00400C0B">
        <w:rPr>
          <w:rFonts w:cs="Guttman Rashi" w:hint="eastAsia"/>
          <w:rtl/>
          <w:lang w:bidi="he-IL"/>
        </w:rPr>
        <w:t>החזו</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והגרמ</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לעני</w:t>
      </w:r>
      <w:r w:rsidRPr="00400C0B">
        <w:rPr>
          <w:rFonts w:cs="Guttman Rashi"/>
          <w:rtl/>
          <w:lang w:bidi="he-IL"/>
        </w:rPr>
        <w:t xml:space="preserve"> </w:t>
      </w:r>
      <w:r w:rsidRPr="00400C0B">
        <w:rPr>
          <w:rFonts w:cs="Guttman Rashi" w:hint="eastAsia"/>
          <w:rtl/>
          <w:lang w:bidi="he-IL"/>
        </w:rPr>
        <w:t>שמיעה</w:t>
      </w:r>
      <w:r w:rsidRPr="00400C0B">
        <w:rPr>
          <w:rFonts w:cs="Guttman Rashi"/>
          <w:rtl/>
          <w:lang w:bidi="he-IL"/>
        </w:rPr>
        <w:t xml:space="preserve"> </w:t>
      </w:r>
      <w:r w:rsidRPr="00400C0B">
        <w:rPr>
          <w:rFonts w:cs="Guttman Rashi" w:hint="eastAsia"/>
          <w:rtl/>
          <w:lang w:bidi="he-IL"/>
        </w:rPr>
        <w:t>ברם</w:t>
      </w:r>
      <w:r w:rsidRPr="00400C0B">
        <w:rPr>
          <w:rFonts w:cs="Guttman Rashi"/>
          <w:rtl/>
          <w:lang w:bidi="he-IL"/>
        </w:rPr>
        <w:t xml:space="preserve"> </w:t>
      </w:r>
      <w:r w:rsidRPr="00400C0B">
        <w:rPr>
          <w:rFonts w:cs="Guttman Rashi" w:hint="eastAsia"/>
          <w:rtl/>
          <w:lang w:bidi="he-IL"/>
        </w:rPr>
        <w:t>קול</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שו</w:t>
      </w:r>
      <w:r w:rsidRPr="00400C0B">
        <w:rPr>
          <w:rFonts w:cs="Guttman Rashi"/>
          <w:rtl/>
          <w:lang w:bidi="he-IL"/>
        </w:rPr>
        <w:t>"</w:t>
      </w:r>
      <w:r w:rsidRPr="00400C0B">
        <w:rPr>
          <w:rFonts w:cs="Guttman Rashi" w:hint="eastAsia"/>
          <w:rtl/>
          <w:lang w:bidi="he-IL"/>
        </w:rPr>
        <w:t>ת</w:t>
      </w:r>
      <w:r w:rsidRPr="00400C0B">
        <w:rPr>
          <w:rFonts w:cs="Guttman Rashi"/>
          <w:rtl/>
          <w:lang w:bidi="he-IL"/>
        </w:rPr>
        <w:t xml:space="preserve"> </w:t>
      </w:r>
      <w:r w:rsidRPr="00400C0B">
        <w:rPr>
          <w:rFonts w:cs="Guttman Rashi" w:hint="eastAsia"/>
          <w:rtl/>
          <w:lang w:bidi="he-IL"/>
        </w:rPr>
        <w:t>מנח</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ח</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ט</w:t>
      </w:r>
      <w:r w:rsidRPr="00400C0B">
        <w:rPr>
          <w:rFonts w:cs="Guttman Rashi"/>
          <w:rtl/>
          <w:lang w:bidi="he-IL"/>
        </w:rPr>
        <w:t xml:space="preserve">' </w:t>
      </w:r>
      <w:r w:rsidRPr="00400C0B">
        <w:rPr>
          <w:rFonts w:cs="Guttman Rashi" w:hint="eastAsia"/>
          <w:rtl/>
          <w:lang w:bidi="he-IL"/>
        </w:rPr>
        <w:t>הערה</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ואג</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w:t>
      </w:r>
      <w:r w:rsidRPr="00400C0B">
        <w:rPr>
          <w:rFonts w:cs="Guttman Rashi"/>
          <w:rtl/>
          <w:lang w:bidi="he-IL"/>
        </w:rPr>
        <w:t>"</w:t>
      </w:r>
      <w:r w:rsidRPr="00400C0B">
        <w:rPr>
          <w:rFonts w:cs="Guttman Rashi" w:hint="eastAsia"/>
          <w:rtl/>
          <w:lang w:bidi="he-IL"/>
        </w:rPr>
        <w:t>ח</w:t>
      </w:r>
      <w:r w:rsidRPr="00400C0B">
        <w:rPr>
          <w:rFonts w:cs="Guttman Rashi"/>
          <w:rtl/>
          <w:lang w:bidi="he-IL"/>
        </w:rPr>
        <w:t>.</w:t>
      </w:r>
    </w:p>
  </w:footnote>
  <w:footnote w:id="595">
    <w:p w:rsidR="007978F4" w:rsidRPr="00400C0B" w:rsidRDefault="007978F4" w:rsidP="00A42D7B">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כשסועד</w:t>
      </w:r>
      <w:r w:rsidRPr="00400C0B">
        <w:rPr>
          <w:rFonts w:cs="Guttman Rashi"/>
          <w:rtl/>
          <w:lang w:bidi="he-IL"/>
        </w:rPr>
        <w:t xml:space="preserve"> </w:t>
      </w:r>
      <w:r w:rsidRPr="00400C0B">
        <w:rPr>
          <w:rFonts w:cs="Guttman Rashi" w:hint="eastAsia"/>
          <w:rtl/>
          <w:lang w:bidi="he-IL"/>
        </w:rPr>
        <w:t>אצל</w:t>
      </w:r>
      <w:r w:rsidRPr="00400C0B">
        <w:rPr>
          <w:rFonts w:cs="Guttman Rashi"/>
          <w:rtl/>
          <w:lang w:bidi="he-IL"/>
        </w:rPr>
        <w:t xml:space="preserve"> </w:t>
      </w:r>
      <w:r w:rsidRPr="00400C0B">
        <w:rPr>
          <w:rFonts w:cs="Guttman Rashi" w:hint="eastAsia"/>
          <w:rtl/>
          <w:lang w:bidi="he-IL"/>
        </w:rPr>
        <w:t>חבירו</w:t>
      </w:r>
      <w:r w:rsidRPr="00400C0B">
        <w:rPr>
          <w:rFonts w:cs="Guttman Rashi"/>
          <w:rtl/>
          <w:lang w:bidi="he-IL"/>
        </w:rPr>
        <w:t xml:space="preserve"> </w:t>
      </w:r>
      <w:r w:rsidRPr="00400C0B">
        <w:rPr>
          <w:rFonts w:cs="Guttman Rashi" w:hint="eastAsia"/>
          <w:rtl/>
          <w:lang w:bidi="he-IL"/>
        </w:rPr>
        <w:t>יהודי</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שיכול</w:t>
      </w:r>
      <w:r w:rsidRPr="00400C0B">
        <w:rPr>
          <w:rFonts w:cs="Guttman Rashi"/>
          <w:rtl/>
          <w:lang w:bidi="he-IL"/>
        </w:rPr>
        <w:t xml:space="preserve"> </w:t>
      </w:r>
      <w:r w:rsidRPr="00400C0B">
        <w:rPr>
          <w:rFonts w:cs="Guttman Rashi" w:hint="eastAsia"/>
          <w:rtl/>
          <w:lang w:bidi="he-IL"/>
        </w:rPr>
        <w:t>לשתות</w:t>
      </w:r>
      <w:r w:rsidRPr="00400C0B">
        <w:rPr>
          <w:rFonts w:cs="Guttman Rashi"/>
          <w:rtl/>
          <w:lang w:bidi="he-IL"/>
        </w:rPr>
        <w:t xml:space="preserve"> </w:t>
      </w:r>
      <w:r w:rsidRPr="00400C0B">
        <w:rPr>
          <w:rFonts w:cs="Guttman Rashi" w:hint="eastAsia"/>
          <w:rtl/>
          <w:lang w:bidi="he-IL"/>
        </w:rPr>
        <w:t>ממנו</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מקפיד</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 xml:space="preserve">,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נאמן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גיש</w:t>
      </w:r>
      <w:r w:rsidRPr="00400C0B">
        <w:rPr>
          <w:rFonts w:cs="Guttman Rashi"/>
          <w:rtl/>
          <w:lang w:bidi="he-IL"/>
        </w:rPr>
        <w:t xml:space="preserve"> </w:t>
      </w:r>
      <w:r w:rsidRPr="00400C0B">
        <w:rPr>
          <w:rFonts w:cs="Guttman Rashi" w:hint="eastAsia"/>
          <w:rtl/>
          <w:lang w:bidi="he-IL"/>
        </w:rPr>
        <w:t>לפניו</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מחלב</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לכה</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מחלב</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בפירוח</w:t>
      </w:r>
      <w:r w:rsidRPr="00400C0B">
        <w:rPr>
          <w:rFonts w:cs="Guttman Rashi"/>
          <w:rtl/>
          <w:lang w:bidi="he-IL"/>
        </w:rPr>
        <w:t xml:space="preserve"> </w:t>
      </w:r>
      <w:r w:rsidRPr="00400C0B">
        <w:rPr>
          <w:rFonts w:cs="Guttman Rashi" w:hint="eastAsia"/>
          <w:rtl/>
          <w:lang w:bidi="he-IL"/>
        </w:rPr>
        <w:t>ממשלתי</w:t>
      </w:r>
      <w:r w:rsidRPr="00400C0B">
        <w:rPr>
          <w:rFonts w:cs="Guttman Rashi"/>
          <w:rtl/>
          <w:lang w:bidi="he-IL"/>
        </w:rPr>
        <w:t xml:space="preserve"> </w:t>
      </w:r>
      <w:r w:rsidRPr="00400C0B">
        <w:rPr>
          <w:rFonts w:cs="Guttman Rashi" w:hint="eastAsia"/>
          <w:rtl/>
          <w:lang w:bidi="he-IL"/>
        </w:rPr>
        <w:t>שלשיטת</w:t>
      </w:r>
      <w:r w:rsidRPr="00400C0B">
        <w:rPr>
          <w:rFonts w:cs="Guttman Rashi"/>
          <w:rtl/>
          <w:lang w:bidi="he-IL"/>
        </w:rPr>
        <w:t xml:space="preserve"> </w:t>
      </w:r>
      <w:r w:rsidRPr="00400C0B">
        <w:rPr>
          <w:rFonts w:cs="Guttman Rashi" w:hint="eastAsia"/>
          <w:rtl/>
          <w:lang w:bidi="he-IL"/>
        </w:rPr>
        <w:t>הגרמ</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דינו</w:t>
      </w:r>
      <w:r w:rsidRPr="00400C0B">
        <w:rPr>
          <w:rFonts w:cs="Guttman Rashi"/>
          <w:rtl/>
          <w:lang w:bidi="he-IL"/>
        </w:rPr>
        <w:t xml:space="preserve"> </w:t>
      </w:r>
      <w:r w:rsidRPr="00400C0B">
        <w:rPr>
          <w:rFonts w:cs="Guttman Rashi" w:hint="eastAsia"/>
          <w:rtl/>
          <w:lang w:bidi="he-IL"/>
        </w:rPr>
        <w:t>כחלב</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 xml:space="preserve">. </w:t>
      </w:r>
      <w:r w:rsidRPr="00400C0B">
        <w:rPr>
          <w:rFonts w:cs="Guttman Rashi" w:hint="eastAsia"/>
          <w:rtl/>
          <w:lang w:bidi="he-IL"/>
        </w:rPr>
        <w:t>ופשוט</w:t>
      </w:r>
      <w:r w:rsidRPr="00400C0B">
        <w:rPr>
          <w:rFonts w:cs="Guttman Rashi"/>
          <w:rtl/>
          <w:lang w:bidi="he-IL"/>
        </w:rPr>
        <w:t>.</w:t>
      </w:r>
    </w:p>
  </w:footnote>
  <w:footnote w:id="596">
    <w:p w:rsidR="007978F4" w:rsidRPr="00400C0B" w:rsidRDefault="007978F4" w:rsidP="008E68F7">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דאע</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דבר</w:t>
      </w:r>
      <w:r w:rsidRPr="00400C0B">
        <w:rPr>
          <w:rFonts w:cs="Guttman Rashi"/>
          <w:rtl/>
          <w:lang w:bidi="he-IL"/>
        </w:rPr>
        <w:t xml:space="preserve"> </w:t>
      </w:r>
      <w:r w:rsidRPr="00400C0B">
        <w:rPr>
          <w:rFonts w:cs="Guttman Rashi" w:hint="eastAsia"/>
          <w:rtl/>
          <w:lang w:bidi="he-IL"/>
        </w:rPr>
        <w:t>רחוק</w:t>
      </w:r>
      <w:r w:rsidRPr="00400C0B">
        <w:rPr>
          <w:rFonts w:cs="Guttman Rashi"/>
          <w:rtl/>
          <w:lang w:bidi="he-IL"/>
        </w:rPr>
        <w:t xml:space="preserve"> </w:t>
      </w:r>
      <w:r w:rsidRPr="00400C0B">
        <w:rPr>
          <w:rFonts w:cs="Guttman Rashi" w:hint="eastAsia"/>
          <w:rtl/>
          <w:lang w:bidi="he-IL"/>
        </w:rPr>
        <w:t>ביותר</w:t>
      </w:r>
      <w:r w:rsidRPr="00400C0B">
        <w:rPr>
          <w:rFonts w:cs="Guttman Rashi"/>
          <w:rtl/>
          <w:lang w:bidi="he-IL"/>
        </w:rPr>
        <w:t xml:space="preserve"> </w:t>
      </w:r>
      <w:r w:rsidRPr="00400C0B">
        <w:rPr>
          <w:rFonts w:cs="Guttman Rashi" w:hint="eastAsia"/>
          <w:rtl/>
          <w:lang w:bidi="he-IL"/>
        </w:rPr>
        <w:t>היום</w:t>
      </w:r>
      <w:r w:rsidRPr="00400C0B">
        <w:rPr>
          <w:rFonts w:cs="Guttman Rashi"/>
          <w:rtl/>
          <w:lang w:bidi="he-IL"/>
        </w:rPr>
        <w:t xml:space="preserve"> </w:t>
      </w:r>
      <w:r w:rsidRPr="00400C0B">
        <w:rPr>
          <w:rFonts w:cs="Guttman Rashi" w:hint="eastAsia"/>
          <w:rtl/>
          <w:lang w:bidi="he-IL"/>
        </w:rPr>
        <w:t>שיגישו</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בהמה</w:t>
      </w:r>
      <w:r w:rsidRPr="00400C0B">
        <w:rPr>
          <w:rFonts w:cs="Guttman Rashi"/>
          <w:rtl/>
          <w:lang w:bidi="he-IL"/>
        </w:rPr>
        <w:t xml:space="preserve"> </w:t>
      </w:r>
      <w:r w:rsidRPr="00400C0B">
        <w:rPr>
          <w:rFonts w:cs="Guttman Rashi" w:hint="eastAsia"/>
          <w:rtl/>
          <w:lang w:bidi="he-IL"/>
        </w:rPr>
        <w:t>טמאה</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בימי</w:t>
      </w:r>
      <w:r w:rsidRPr="00400C0B">
        <w:rPr>
          <w:rFonts w:cs="Guttman Rashi"/>
          <w:rtl/>
          <w:lang w:bidi="he-IL"/>
        </w:rPr>
        <w:t xml:space="preserve"> </w:t>
      </w:r>
      <w:r w:rsidRPr="00400C0B">
        <w:rPr>
          <w:rFonts w:cs="Guttman Rashi" w:hint="eastAsia"/>
          <w:rtl/>
          <w:lang w:bidi="he-IL"/>
        </w:rPr>
        <w:t>חז</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מדינא</w:t>
      </w:r>
      <w:r w:rsidRPr="00400C0B">
        <w:rPr>
          <w:rFonts w:cs="Guttman Rashi"/>
          <w:rtl/>
          <w:lang w:bidi="he-IL"/>
        </w:rPr>
        <w:t xml:space="preserve"> </w:t>
      </w:r>
      <w:r w:rsidRPr="00400C0B">
        <w:rPr>
          <w:rFonts w:cs="Guttman Rashi" w:hint="eastAsia"/>
          <w:rtl/>
          <w:lang w:bidi="he-IL"/>
        </w:rPr>
        <w:t>וכמש</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וסברת</w:t>
      </w:r>
      <w:r w:rsidRPr="00400C0B">
        <w:rPr>
          <w:rFonts w:cs="Guttman Rashi"/>
          <w:rtl/>
          <w:lang w:bidi="he-IL"/>
        </w:rPr>
        <w:t xml:space="preserve"> </w:t>
      </w:r>
      <w:r w:rsidRPr="00400C0B">
        <w:rPr>
          <w:rFonts w:cs="Guttman Rashi" w:hint="eastAsia"/>
          <w:rtl/>
          <w:lang w:bidi="he-IL"/>
        </w:rPr>
        <w:t>הפר</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לחלק</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היכא</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לנו</w:t>
      </w:r>
      <w:r w:rsidRPr="00400C0B">
        <w:rPr>
          <w:rFonts w:cs="Guttman Rashi"/>
          <w:rtl/>
          <w:lang w:bidi="he-IL"/>
        </w:rPr>
        <w:t xml:space="preserve"> </w:t>
      </w:r>
      <w:r w:rsidRPr="00400C0B">
        <w:rPr>
          <w:rFonts w:cs="Guttman Rashi" w:hint="eastAsia"/>
          <w:rtl/>
          <w:lang w:bidi="he-IL"/>
        </w:rPr>
        <w:t>שום</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ומשום</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טמא</w:t>
      </w:r>
      <w:r w:rsidRPr="00400C0B">
        <w:rPr>
          <w:rFonts w:cs="Guttman Rashi"/>
          <w:rtl/>
          <w:lang w:bidi="he-IL"/>
        </w:rPr>
        <w:t xml:space="preserve"> </w:t>
      </w:r>
      <w:r w:rsidRPr="00400C0B">
        <w:rPr>
          <w:rFonts w:cs="Guttman Rashi" w:hint="eastAsia"/>
          <w:rtl/>
          <w:lang w:bidi="he-IL"/>
        </w:rPr>
        <w:t>שנחלב</w:t>
      </w:r>
      <w:r w:rsidRPr="00400C0B">
        <w:rPr>
          <w:rFonts w:cs="Guttman Rashi"/>
          <w:rtl/>
          <w:lang w:bidi="he-IL"/>
        </w:rPr>
        <w:t xml:space="preserve"> </w:t>
      </w:r>
      <w:r w:rsidRPr="00400C0B">
        <w:rPr>
          <w:rFonts w:cs="Guttman Rashi" w:hint="eastAsia"/>
          <w:rtl/>
          <w:lang w:bidi="he-IL"/>
        </w:rPr>
        <w:t>לשתיי</w:t>
      </w:r>
      <w:r w:rsidRPr="00400C0B">
        <w:rPr>
          <w:rFonts w:cs="Guttman Rashi"/>
          <w:rtl/>
          <w:lang w:bidi="he-IL"/>
        </w:rPr>
        <w:t xml:space="preserve">' </w:t>
      </w:r>
      <w:r w:rsidRPr="00400C0B">
        <w:rPr>
          <w:rFonts w:cs="Guttman Rashi" w:hint="eastAsia"/>
          <w:rtl/>
          <w:lang w:bidi="he-IL"/>
        </w:rPr>
        <w:t>כלל</w:t>
      </w:r>
      <w:r w:rsidRPr="00400C0B">
        <w:rPr>
          <w:rFonts w:cs="Guttman Rashi"/>
          <w:rtl/>
          <w:lang w:bidi="he-IL"/>
        </w:rPr>
        <w:t xml:space="preserve"> </w:t>
      </w:r>
      <w:r w:rsidRPr="00400C0B">
        <w:rPr>
          <w:rFonts w:cs="Guttman Rashi" w:hint="eastAsia"/>
          <w:rtl/>
          <w:lang w:bidi="he-IL"/>
        </w:rPr>
        <w:t>במדינה</w:t>
      </w:r>
      <w:r w:rsidRPr="00400C0B">
        <w:rPr>
          <w:rFonts w:cs="Guttman Rashi"/>
          <w:rtl/>
          <w:lang w:bidi="he-IL"/>
        </w:rPr>
        <w:t xml:space="preserve">, </w:t>
      </w:r>
      <w:r w:rsidRPr="00400C0B">
        <w:rPr>
          <w:rFonts w:cs="Guttman Rashi" w:hint="eastAsia"/>
          <w:rtl/>
          <w:lang w:bidi="he-IL"/>
        </w:rPr>
        <w:t>לבין</w:t>
      </w:r>
      <w:r w:rsidRPr="00400C0B">
        <w:rPr>
          <w:rFonts w:cs="Guttman Rashi"/>
          <w:rtl/>
          <w:lang w:bidi="he-IL"/>
        </w:rPr>
        <w:t xml:space="preserve"> </w:t>
      </w:r>
      <w:r w:rsidRPr="00400C0B">
        <w:rPr>
          <w:rFonts w:cs="Guttman Rashi" w:hint="eastAsia"/>
          <w:rtl/>
          <w:lang w:bidi="he-IL"/>
        </w:rPr>
        <w:t>היכא</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מספיק</w:t>
      </w:r>
      <w:r w:rsidRPr="00400C0B">
        <w:rPr>
          <w:rFonts w:cs="Guttman Rashi"/>
          <w:rtl/>
          <w:lang w:bidi="he-IL"/>
        </w:rPr>
        <w:t xml:space="preserve"> </w:t>
      </w:r>
      <w:r w:rsidRPr="00400C0B">
        <w:rPr>
          <w:rFonts w:cs="Guttman Rashi" w:hint="eastAsia"/>
          <w:rtl/>
          <w:lang w:bidi="he-IL"/>
        </w:rPr>
        <w:t>חשש</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מדינא</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שע</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היבוא</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היום</w:t>
      </w:r>
      <w:r w:rsidRPr="00400C0B">
        <w:rPr>
          <w:rFonts w:cs="Guttman Rashi"/>
          <w:rtl/>
          <w:lang w:bidi="he-IL"/>
        </w:rPr>
        <w:t xml:space="preserve"> </w:t>
      </w:r>
      <w:r w:rsidRPr="00400C0B">
        <w:rPr>
          <w:rFonts w:cs="Guttman Rashi" w:hint="eastAsia"/>
          <w:rtl/>
          <w:lang w:bidi="he-IL"/>
        </w:rPr>
        <w:t>אותה</w:t>
      </w:r>
      <w:r w:rsidRPr="00400C0B">
        <w:rPr>
          <w:rFonts w:cs="Guttman Rashi"/>
          <w:rtl/>
          <w:lang w:bidi="he-IL"/>
        </w:rPr>
        <w:t xml:space="preserve"> </w:t>
      </w:r>
      <w:r w:rsidRPr="00400C0B">
        <w:rPr>
          <w:rFonts w:cs="Guttman Rashi" w:hint="eastAsia"/>
          <w:rtl/>
          <w:lang w:bidi="he-IL"/>
        </w:rPr>
        <w:t>מדינה</w:t>
      </w:r>
      <w:r w:rsidRPr="00400C0B">
        <w:rPr>
          <w:rFonts w:cs="Guttman Rashi"/>
          <w:rtl/>
          <w:lang w:bidi="he-IL"/>
        </w:rPr>
        <w:t xml:space="preserve"> </w:t>
      </w:r>
      <w:r w:rsidRPr="00400C0B">
        <w:rPr>
          <w:rFonts w:cs="Guttman Rashi" w:hint="eastAsia"/>
          <w:rtl/>
          <w:lang w:bidi="he-IL"/>
        </w:rPr>
        <w:t>ומדינה</w:t>
      </w:r>
      <w:r w:rsidRPr="00400C0B">
        <w:rPr>
          <w:rFonts w:cs="Guttman Rashi"/>
          <w:rtl/>
          <w:lang w:bidi="he-IL"/>
        </w:rPr>
        <w:t xml:space="preserve"> </w:t>
      </w:r>
      <w:r w:rsidRPr="00400C0B">
        <w:rPr>
          <w:rFonts w:cs="Guttman Rashi" w:hint="eastAsia"/>
          <w:rtl/>
          <w:lang w:bidi="he-IL"/>
        </w:rPr>
        <w:t>אחרת</w:t>
      </w:r>
      <w:r w:rsidRPr="00400C0B">
        <w:rPr>
          <w:rFonts w:cs="Guttman Rashi"/>
          <w:rtl/>
          <w:lang w:bidi="he-IL"/>
        </w:rPr>
        <w:t xml:space="preserve"> </w:t>
      </w:r>
      <w:r w:rsidRPr="00400C0B">
        <w:rPr>
          <w:rFonts w:cs="Guttman Rashi" w:hint="eastAsia"/>
          <w:rtl/>
          <w:lang w:bidi="he-IL"/>
        </w:rPr>
        <w:t>שוין</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שגם</w:t>
      </w:r>
      <w:r w:rsidRPr="00400C0B">
        <w:rPr>
          <w:rFonts w:cs="Guttman Rashi"/>
          <w:rtl/>
          <w:lang w:bidi="he-IL"/>
        </w:rPr>
        <w:t xml:space="preserve"> </w:t>
      </w:r>
      <w:r w:rsidRPr="00400C0B">
        <w:rPr>
          <w:rFonts w:cs="Guttman Rashi" w:hint="eastAsia"/>
          <w:rtl/>
          <w:lang w:bidi="he-IL"/>
        </w:rPr>
        <w:t>הפר</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יאסור</w:t>
      </w:r>
      <w:r w:rsidRPr="00400C0B">
        <w:rPr>
          <w:rFonts w:cs="Guttman Rashi"/>
          <w:rtl/>
          <w:lang w:bidi="he-IL"/>
        </w:rPr>
        <w:t>.</w:t>
      </w:r>
    </w:p>
  </w:footnote>
  <w:footnote w:id="597">
    <w:p w:rsidR="007978F4" w:rsidRPr="00400C0B" w:rsidRDefault="007978F4" w:rsidP="008E68F7">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מהני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שהיתה</w:t>
      </w:r>
      <w:r w:rsidRPr="00400C0B">
        <w:rPr>
          <w:rFonts w:cs="Guttman Rashi"/>
          <w:rtl/>
          <w:lang w:bidi="he-IL"/>
        </w:rPr>
        <w:t xml:space="preserve"> </w:t>
      </w:r>
      <w:r w:rsidRPr="00400C0B">
        <w:rPr>
          <w:rFonts w:cs="Guttman Rashi" w:hint="eastAsia"/>
          <w:rtl/>
          <w:lang w:bidi="he-IL"/>
        </w:rPr>
        <w:t>ברשות</w:t>
      </w:r>
      <w:r w:rsidRPr="00400C0B">
        <w:rPr>
          <w:rFonts w:cs="Guttman Rashi"/>
          <w:rtl/>
          <w:lang w:bidi="he-IL"/>
        </w:rPr>
        <w:t xml:space="preserve"> </w:t>
      </w:r>
      <w:r w:rsidRPr="00400C0B">
        <w:rPr>
          <w:rFonts w:cs="Guttman Rashi" w:hint="eastAsia"/>
          <w:rtl/>
          <w:lang w:bidi="he-IL"/>
        </w:rPr>
        <w:t>עכו</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קודם</w:t>
      </w:r>
      <w:r w:rsidRPr="00400C0B">
        <w:rPr>
          <w:rFonts w:cs="Guttman Rashi"/>
          <w:rtl/>
          <w:lang w:bidi="he-IL"/>
        </w:rPr>
        <w:t xml:space="preserve"> </w:t>
      </w:r>
      <w:r w:rsidRPr="00400C0B">
        <w:rPr>
          <w:rFonts w:cs="Guttman Rashi" w:hint="eastAsia"/>
          <w:rtl/>
          <w:lang w:bidi="he-IL"/>
        </w:rPr>
        <w:t>עשיית</w:t>
      </w:r>
      <w:r w:rsidRPr="00400C0B">
        <w:rPr>
          <w:rFonts w:cs="Guttman Rashi"/>
          <w:rtl/>
          <w:lang w:bidi="he-IL"/>
        </w:rPr>
        <w:t xml:space="preserve"> </w:t>
      </w:r>
      <w:r w:rsidRPr="00400C0B">
        <w:rPr>
          <w:rFonts w:cs="Guttman Rashi" w:hint="eastAsia"/>
          <w:rtl/>
          <w:lang w:bidi="he-IL"/>
        </w:rPr>
        <w:t>הגבינה</w:t>
      </w:r>
      <w:r w:rsidRPr="00400C0B">
        <w:rPr>
          <w:rFonts w:cs="Guttman Rashi"/>
          <w:rtl/>
          <w:lang w:bidi="he-IL"/>
        </w:rPr>
        <w:t xml:space="preserve"> </w:t>
      </w:r>
      <w:r w:rsidRPr="00400C0B">
        <w:rPr>
          <w:rFonts w:cs="Guttman Rashi" w:hint="eastAsia"/>
          <w:rtl/>
          <w:lang w:bidi="he-IL"/>
        </w:rPr>
        <w:t>ושוב</w:t>
      </w:r>
      <w:r w:rsidRPr="00400C0B">
        <w:rPr>
          <w:rFonts w:cs="Guttman Rashi"/>
          <w:rtl/>
          <w:lang w:bidi="he-IL"/>
        </w:rPr>
        <w:t xml:space="preserve"> </w:t>
      </w:r>
      <w:r w:rsidRPr="00400C0B">
        <w:rPr>
          <w:rFonts w:cs="Guttman Rashi" w:hint="eastAsia"/>
          <w:rtl/>
          <w:lang w:bidi="he-IL"/>
        </w:rPr>
        <w:t>עשאו</w:t>
      </w:r>
      <w:r w:rsidRPr="00400C0B">
        <w:rPr>
          <w:rFonts w:cs="Guttman Rashi"/>
          <w:rtl/>
          <w:lang w:bidi="he-IL"/>
        </w:rPr>
        <w:t xml:space="preserve"> </w:t>
      </w:r>
      <w:r w:rsidRPr="00400C0B">
        <w:rPr>
          <w:rFonts w:cs="Guttman Rashi" w:hint="eastAsia"/>
          <w:rtl/>
          <w:lang w:bidi="he-IL"/>
        </w:rPr>
        <w:t>גבינה</w:t>
      </w:r>
      <w:r w:rsidRPr="00400C0B">
        <w:rPr>
          <w:rFonts w:cs="Guttman Rashi"/>
          <w:rtl/>
          <w:lang w:bidi="he-IL"/>
        </w:rPr>
        <w:t xml:space="preserve"> </w:t>
      </w:r>
      <w:r w:rsidRPr="00400C0B">
        <w:rPr>
          <w:rFonts w:cs="Guttman Rashi" w:hint="eastAsia"/>
          <w:rtl/>
          <w:lang w:bidi="he-IL"/>
        </w:rPr>
        <w:t>בראיית</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 xml:space="preserve">, </w:t>
      </w:r>
      <w:r w:rsidRPr="00400C0B">
        <w:rPr>
          <w:rFonts w:cs="Guttman Rashi" w:hint="eastAsia"/>
          <w:rtl/>
          <w:lang w:bidi="he-IL"/>
        </w:rPr>
        <w:t>וכדמפורש</w:t>
      </w:r>
      <w:r w:rsidRPr="00400C0B">
        <w:rPr>
          <w:rFonts w:cs="Guttman Rashi"/>
          <w:rtl/>
          <w:lang w:bidi="he-IL"/>
        </w:rPr>
        <w:t xml:space="preserve"> </w:t>
      </w:r>
      <w:r w:rsidRPr="00400C0B">
        <w:rPr>
          <w:rFonts w:cs="Guttman Rashi" w:hint="eastAsia"/>
          <w:rtl/>
          <w:lang w:bidi="he-IL"/>
        </w:rPr>
        <w:t>ברמ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דרק</w:t>
      </w:r>
      <w:r w:rsidRPr="00400C0B">
        <w:rPr>
          <w:rFonts w:cs="Guttman Rashi"/>
          <w:rtl/>
          <w:lang w:bidi="he-IL"/>
        </w:rPr>
        <w:t xml:space="preserve"> </w:t>
      </w:r>
      <w:r w:rsidRPr="00400C0B">
        <w:rPr>
          <w:rFonts w:cs="Guttman Rashi" w:hint="eastAsia"/>
          <w:rtl/>
          <w:lang w:bidi="he-IL"/>
        </w:rPr>
        <w:t>כשידוע</w:t>
      </w:r>
      <w:r w:rsidRPr="00400C0B">
        <w:rPr>
          <w:rFonts w:cs="Guttman Rashi"/>
          <w:rtl/>
          <w:lang w:bidi="he-IL"/>
        </w:rPr>
        <w:t xml:space="preserve"> </w:t>
      </w:r>
      <w:r w:rsidRPr="00400C0B">
        <w:rPr>
          <w:rFonts w:cs="Guttman Rashi" w:hint="eastAsia"/>
          <w:rtl/>
          <w:lang w:bidi="he-IL"/>
        </w:rPr>
        <w:t>שעשאו</w:t>
      </w:r>
      <w:r w:rsidRPr="00400C0B">
        <w:rPr>
          <w:rFonts w:cs="Guttman Rashi"/>
          <w:rtl/>
          <w:lang w:bidi="he-IL"/>
        </w:rPr>
        <w:t xml:space="preserve"> </w:t>
      </w:r>
      <w:r w:rsidRPr="00400C0B">
        <w:rPr>
          <w:rFonts w:cs="Guttman Rashi" w:hint="eastAsia"/>
          <w:rtl/>
          <w:lang w:bidi="he-IL"/>
        </w:rPr>
        <w:t>לגבינה</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להתיר</w:t>
      </w:r>
      <w:r w:rsidRPr="00400C0B">
        <w:rPr>
          <w:rFonts w:cs="Guttman Rashi"/>
          <w:rtl/>
          <w:lang w:bidi="he-IL"/>
        </w:rPr>
        <w:t>.</w:t>
      </w:r>
    </w:p>
  </w:footnote>
  <w:footnote w:id="598">
    <w:p w:rsidR="007978F4" w:rsidRPr="00400C0B" w:rsidRDefault="007978F4" w:rsidP="004765AA">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לקמן</w:t>
      </w:r>
      <w:r w:rsidRPr="00400C0B">
        <w:rPr>
          <w:rFonts w:cs="Guttman Rashi"/>
          <w:rtl/>
          <w:lang w:bidi="he-IL"/>
        </w:rPr>
        <w:t xml:space="preserve"> </w:t>
      </w:r>
      <w:r w:rsidRPr="00400C0B">
        <w:rPr>
          <w:rFonts w:cs="Guttman Rashi" w:hint="eastAsia"/>
          <w:rtl/>
          <w:lang w:bidi="he-IL"/>
        </w:rPr>
        <w:t>בענין</w:t>
      </w:r>
      <w:r w:rsidRPr="00400C0B">
        <w:rPr>
          <w:rFonts w:cs="Guttman Rashi"/>
          <w:rtl/>
          <w:lang w:bidi="he-IL"/>
        </w:rPr>
        <w:t xml:space="preserve"> </w:t>
      </w:r>
      <w:r w:rsidRPr="00400C0B">
        <w:rPr>
          <w:rFonts w:cs="Guttman Rashi" w:hint="eastAsia"/>
          <w:rtl/>
          <w:lang w:bidi="he-IL"/>
        </w:rPr>
        <w:t>שפחות</w:t>
      </w:r>
      <w:r w:rsidRPr="00400C0B">
        <w:rPr>
          <w:rFonts w:cs="Guttman Rashi"/>
          <w:rtl/>
          <w:lang w:bidi="he-IL"/>
        </w:rPr>
        <w:t xml:space="preserve"> </w:t>
      </w:r>
      <w:r w:rsidRPr="00400C0B">
        <w:rPr>
          <w:rFonts w:cs="Guttman Rashi" w:hint="eastAsia"/>
          <w:rtl/>
          <w:lang w:bidi="he-IL"/>
        </w:rPr>
        <w:t>בבית</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w:t>
      </w:r>
    </w:p>
  </w:footnote>
  <w:footnote w:id="599">
    <w:p w:rsidR="007978F4" w:rsidRPr="00400C0B" w:rsidRDefault="007978F4" w:rsidP="004765AA">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נראה</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גזרו</w:t>
      </w:r>
      <w:r w:rsidRPr="00400C0B">
        <w:rPr>
          <w:rFonts w:cs="Guttman Rashi"/>
          <w:rtl/>
          <w:lang w:bidi="he-IL"/>
        </w:rPr>
        <w:t xml:space="preserve"> </w:t>
      </w:r>
      <w:r w:rsidRPr="00400C0B">
        <w:rPr>
          <w:rFonts w:cs="Guttman Rashi" w:hint="eastAsia"/>
          <w:rtl/>
          <w:lang w:bidi="he-IL"/>
        </w:rPr>
        <w:t>אלא</w:t>
      </w:r>
      <w:r w:rsidRPr="00400C0B">
        <w:rPr>
          <w:rFonts w:cs="Guttman Rashi"/>
          <w:rtl/>
          <w:lang w:bidi="he-IL"/>
        </w:rPr>
        <w:t xml:space="preserve"> </w:t>
      </w:r>
      <w:r w:rsidRPr="00400C0B">
        <w:rPr>
          <w:rFonts w:cs="Guttman Rashi" w:hint="eastAsia"/>
          <w:rtl/>
          <w:lang w:bidi="he-IL"/>
        </w:rPr>
        <w:t>כשהי</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עכו</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בשעת</w:t>
      </w:r>
      <w:r w:rsidRPr="00400C0B">
        <w:rPr>
          <w:rFonts w:cs="Guttman Rashi"/>
          <w:rtl/>
          <w:lang w:bidi="he-IL"/>
        </w:rPr>
        <w:t xml:space="preserve"> </w:t>
      </w:r>
      <w:r w:rsidRPr="00400C0B">
        <w:rPr>
          <w:rFonts w:cs="Guttman Rashi" w:hint="eastAsia"/>
          <w:rtl/>
          <w:lang w:bidi="he-IL"/>
        </w:rPr>
        <w:t>עשייתו</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עשו</w:t>
      </w:r>
      <w:r w:rsidRPr="00400C0B">
        <w:rPr>
          <w:rFonts w:cs="Guttman Rashi"/>
          <w:rtl/>
          <w:lang w:bidi="he-IL"/>
        </w:rPr>
        <w:t xml:space="preserve"> </w:t>
      </w:r>
      <w:r w:rsidRPr="00400C0B">
        <w:rPr>
          <w:rFonts w:cs="Guttman Rashi" w:hint="eastAsia"/>
          <w:rtl/>
          <w:lang w:bidi="he-IL"/>
        </w:rPr>
        <w:t>גבינה</w:t>
      </w:r>
      <w:r w:rsidRPr="00400C0B">
        <w:rPr>
          <w:rFonts w:cs="Guttman Rashi"/>
          <w:rtl/>
          <w:lang w:bidi="he-IL"/>
        </w:rPr>
        <w:t xml:space="preserve"> </w:t>
      </w:r>
      <w:r w:rsidRPr="00400C0B">
        <w:rPr>
          <w:rFonts w:cs="Guttman Rashi" w:hint="eastAsia"/>
          <w:rtl/>
          <w:lang w:bidi="he-IL"/>
        </w:rPr>
        <w:t>ברשות</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 xml:space="preserve"> </w:t>
      </w:r>
      <w:r w:rsidRPr="00400C0B">
        <w:rPr>
          <w:rFonts w:cs="Guttman Rashi" w:hint="eastAsia"/>
          <w:rtl/>
          <w:lang w:bidi="he-IL"/>
        </w:rPr>
        <w:t>ושוב</w:t>
      </w:r>
      <w:r w:rsidRPr="00400C0B">
        <w:rPr>
          <w:rFonts w:cs="Guttman Rashi"/>
          <w:rtl/>
          <w:lang w:bidi="he-IL"/>
        </w:rPr>
        <w:t xml:space="preserve"> </w:t>
      </w:r>
      <w:r w:rsidRPr="00400C0B">
        <w:rPr>
          <w:rFonts w:cs="Guttman Rashi" w:hint="eastAsia"/>
          <w:rtl/>
          <w:lang w:bidi="he-IL"/>
        </w:rPr>
        <w:t>מכרו</w:t>
      </w:r>
      <w:r w:rsidRPr="00400C0B">
        <w:rPr>
          <w:rFonts w:cs="Guttman Rashi"/>
          <w:rtl/>
          <w:lang w:bidi="he-IL"/>
        </w:rPr>
        <w:t xml:space="preserve"> </w:t>
      </w:r>
      <w:r w:rsidRPr="00400C0B">
        <w:rPr>
          <w:rFonts w:cs="Guttman Rashi" w:hint="eastAsia"/>
          <w:rtl/>
          <w:lang w:bidi="he-IL"/>
        </w:rPr>
        <w:t>לעכו</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בכלל</w:t>
      </w:r>
      <w:r w:rsidRPr="00400C0B">
        <w:rPr>
          <w:rFonts w:cs="Guttman Rashi"/>
          <w:rtl/>
          <w:lang w:bidi="he-IL"/>
        </w:rPr>
        <w:t xml:space="preserve"> </w:t>
      </w:r>
      <w:r w:rsidRPr="00400C0B">
        <w:rPr>
          <w:rFonts w:cs="Guttman Rashi" w:hint="eastAsia"/>
          <w:rtl/>
          <w:lang w:bidi="he-IL"/>
        </w:rPr>
        <w:t>הגזירה</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עכו</w:t>
      </w:r>
      <w:r w:rsidRPr="00400C0B">
        <w:rPr>
          <w:rFonts w:cs="Guttman Rashi"/>
          <w:rtl/>
          <w:lang w:bidi="he-IL"/>
        </w:rPr>
        <w:t>"</w:t>
      </w:r>
      <w:r w:rsidRPr="00400C0B">
        <w:rPr>
          <w:rFonts w:cs="Guttman Rashi" w:hint="eastAsia"/>
          <w:rtl/>
          <w:lang w:bidi="he-IL"/>
        </w:rPr>
        <w:t>ם</w:t>
      </w:r>
      <w:r w:rsidRPr="00400C0B">
        <w:rPr>
          <w:rFonts w:cs="Guttman Rashi"/>
          <w:rtl/>
          <w:lang w:bidi="he-IL"/>
        </w:rPr>
        <w:t>.</w:t>
      </w:r>
    </w:p>
  </w:footnote>
  <w:footnote w:id="600">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ראיתי</w:t>
      </w:r>
      <w:r w:rsidRPr="00400C0B">
        <w:rPr>
          <w:rFonts w:cs="Guttman Rashi"/>
          <w:rtl/>
          <w:lang w:bidi="he-IL"/>
        </w:rPr>
        <w:t xml:space="preserve"> </w:t>
      </w:r>
      <w:r w:rsidRPr="00400C0B">
        <w:rPr>
          <w:rFonts w:cs="Guttman Rashi" w:hint="eastAsia"/>
          <w:rtl/>
          <w:lang w:bidi="he-IL"/>
        </w:rPr>
        <w:t>מובא</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חלב</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 xml:space="preserve"> </w:t>
      </w:r>
      <w:r w:rsidRPr="00400C0B">
        <w:rPr>
          <w:rFonts w:cs="Guttman Rashi" w:hint="eastAsia"/>
          <w:rtl/>
          <w:lang w:bidi="he-IL"/>
        </w:rPr>
        <w:t>כהלכתו</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קצ</w:t>
      </w:r>
      <w:r w:rsidRPr="00400C0B">
        <w:rPr>
          <w:rFonts w:cs="Guttman Rashi"/>
          <w:rtl/>
          <w:lang w:bidi="he-IL"/>
        </w:rPr>
        <w:t>"</w:t>
      </w:r>
      <w:r w:rsidRPr="00400C0B">
        <w:rPr>
          <w:rFonts w:cs="Guttman Rashi" w:hint="eastAsia"/>
          <w:rtl/>
          <w:lang w:bidi="he-IL"/>
        </w:rPr>
        <w:t>ח</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שכ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הגרי</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שטרן</w:t>
      </w:r>
      <w:r w:rsidRPr="00400C0B">
        <w:rPr>
          <w:rFonts w:cs="Guttman Rashi"/>
          <w:rtl/>
          <w:lang w:bidi="he-IL"/>
        </w:rPr>
        <w:t xml:space="preserve"> </w:t>
      </w:r>
      <w:r w:rsidRPr="00400C0B">
        <w:rPr>
          <w:rFonts w:cs="Guttman Rashi" w:hint="eastAsia"/>
          <w:rtl/>
          <w:lang w:bidi="he-IL"/>
        </w:rPr>
        <w:t>מובא</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נתיב</w:t>
      </w:r>
      <w:r w:rsidRPr="00400C0B">
        <w:rPr>
          <w:rFonts w:cs="Guttman Rashi"/>
          <w:rtl/>
          <w:lang w:bidi="he-IL"/>
        </w:rPr>
        <w:t xml:space="preserve"> </w:t>
      </w:r>
      <w:r w:rsidRPr="00400C0B">
        <w:rPr>
          <w:rFonts w:cs="Guttman Rashi" w:hint="eastAsia"/>
          <w:rtl/>
          <w:lang w:bidi="he-IL"/>
        </w:rPr>
        <w:t>החלב</w:t>
      </w:r>
      <w:r w:rsidRPr="00400C0B">
        <w:rPr>
          <w:rFonts w:cs="Guttman Rashi"/>
          <w:rtl/>
          <w:lang w:bidi="he-IL"/>
        </w:rPr>
        <w:t xml:space="preserve"> (</w:t>
      </w:r>
      <w:r w:rsidRPr="00400C0B">
        <w:rPr>
          <w:rFonts w:cs="Guttman Rashi" w:hint="eastAsia"/>
          <w:rtl/>
          <w:lang w:bidi="he-IL"/>
        </w:rPr>
        <w:t>חלק</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23).</w:t>
      </w:r>
    </w:p>
  </w:footnote>
  <w:footnote w:id="601">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מזה</w:t>
      </w:r>
      <w:r w:rsidRPr="00400C0B">
        <w:rPr>
          <w:rFonts w:cs="Guttman Rashi"/>
          <w:rtl/>
          <w:lang w:bidi="he-IL"/>
        </w:rPr>
        <w:t xml:space="preserve"> </w:t>
      </w:r>
      <w:r w:rsidRPr="00400C0B">
        <w:rPr>
          <w:rFonts w:cs="Guttman Rashi" w:hint="eastAsia"/>
          <w:rtl/>
          <w:lang w:bidi="he-IL"/>
        </w:rPr>
        <w:t>בשיעור</w:t>
      </w:r>
      <w:r w:rsidRPr="00400C0B">
        <w:rPr>
          <w:rFonts w:cs="Guttman Rashi"/>
          <w:rtl/>
          <w:lang w:bidi="he-IL"/>
        </w:rPr>
        <w:t xml:space="preserve"> </w:t>
      </w:r>
      <w:r w:rsidRPr="00400C0B">
        <w:rPr>
          <w:rFonts w:cs="Guttman Rashi" w:hint="eastAsia"/>
          <w:rtl/>
          <w:lang w:bidi="he-IL"/>
        </w:rPr>
        <w:t>הבא</w:t>
      </w:r>
      <w:r w:rsidRPr="00400C0B">
        <w:rPr>
          <w:rFonts w:cs="Guttman Rashi"/>
          <w:rtl/>
          <w:lang w:bidi="he-IL"/>
        </w:rPr>
        <w:t>.</w:t>
      </w:r>
    </w:p>
  </w:footnote>
  <w:footnote w:id="602">
    <w:p w:rsidR="007978F4" w:rsidRPr="00400C0B" w:rsidRDefault="007978F4" w:rsidP="00A96BDF">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ומשמע</w:t>
      </w:r>
      <w:r w:rsidRPr="00400C0B">
        <w:rPr>
          <w:rFonts w:cs="Guttman Rashi"/>
          <w:rtl/>
          <w:lang w:bidi="he-IL"/>
        </w:rPr>
        <w:t xml:space="preserve"> </w:t>
      </w:r>
      <w:r w:rsidRPr="00400C0B">
        <w:rPr>
          <w:rFonts w:cs="Guttman Rashi" w:hint="eastAsia"/>
          <w:rtl/>
          <w:lang w:bidi="he-IL"/>
        </w:rPr>
        <w:t>דגדר</w:t>
      </w:r>
      <w:r w:rsidRPr="00400C0B">
        <w:rPr>
          <w:rFonts w:cs="Guttman Rashi"/>
          <w:rtl/>
          <w:lang w:bidi="he-IL"/>
        </w:rPr>
        <w:t xml:space="preserve"> </w:t>
      </w:r>
      <w:r w:rsidRPr="00400C0B">
        <w:rPr>
          <w:rFonts w:cs="Guttman Rashi" w:hint="eastAsia"/>
          <w:rtl/>
          <w:lang w:bidi="he-IL"/>
        </w:rPr>
        <w:t>הדברים</w:t>
      </w:r>
      <w:r w:rsidRPr="00400C0B">
        <w:rPr>
          <w:rFonts w:cs="Guttman Rashi"/>
          <w:rtl/>
          <w:lang w:bidi="he-IL"/>
        </w:rPr>
        <w:t xml:space="preserve"> </w:t>
      </w:r>
      <w:r w:rsidRPr="00400C0B">
        <w:rPr>
          <w:rFonts w:cs="Guttman Rashi" w:hint="eastAsia"/>
          <w:rtl/>
          <w:lang w:bidi="he-IL"/>
        </w:rPr>
        <w:t>שבישולי</w:t>
      </w:r>
      <w:r w:rsidRPr="00400C0B">
        <w:rPr>
          <w:rFonts w:cs="Guttman Rashi"/>
          <w:rtl/>
          <w:lang w:bidi="he-IL"/>
        </w:rPr>
        <w:t xml:space="preserve"> </w:t>
      </w:r>
      <w:r w:rsidRPr="00400C0B">
        <w:rPr>
          <w:rFonts w:cs="Guttman Rashi" w:hint="eastAsia"/>
          <w:rtl/>
          <w:lang w:bidi="he-IL"/>
        </w:rPr>
        <w:t>עכו</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אטו</w:t>
      </w:r>
      <w:r w:rsidRPr="00400C0B">
        <w:rPr>
          <w:rFonts w:cs="Guttman Rashi"/>
          <w:rtl/>
          <w:lang w:bidi="he-IL"/>
        </w:rPr>
        <w:t xml:space="preserve"> </w:t>
      </w:r>
      <w:r w:rsidRPr="00400C0B">
        <w:rPr>
          <w:rFonts w:cs="Guttman Rashi" w:hint="eastAsia"/>
          <w:rtl/>
          <w:lang w:bidi="he-IL"/>
        </w:rPr>
        <w:t>יינם</w:t>
      </w:r>
      <w:r w:rsidRPr="00400C0B">
        <w:rPr>
          <w:rFonts w:cs="Guttman Rashi"/>
          <w:rtl/>
          <w:lang w:bidi="he-IL"/>
        </w:rPr>
        <w:t xml:space="preserve">, </w:t>
      </w:r>
      <w:r w:rsidRPr="00400C0B">
        <w:rPr>
          <w:rFonts w:cs="Guttman Rashi" w:hint="eastAsia"/>
          <w:rtl/>
          <w:lang w:bidi="he-IL"/>
        </w:rPr>
        <w:t>ויינם</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חתנות</w:t>
      </w:r>
      <w:r w:rsidRPr="00400C0B">
        <w:rPr>
          <w:rFonts w:cs="Guttman Rashi"/>
          <w:rtl/>
          <w:lang w:bidi="he-IL"/>
        </w:rPr>
        <w:t xml:space="preserve"> </w:t>
      </w:r>
      <w:r w:rsidRPr="00400C0B">
        <w:rPr>
          <w:rFonts w:cs="Guttman Rashi" w:hint="eastAsia"/>
          <w:rtl/>
          <w:lang w:bidi="he-IL"/>
        </w:rPr>
        <w:t>כמו</w:t>
      </w:r>
      <w:r w:rsidRPr="00400C0B">
        <w:rPr>
          <w:rFonts w:cs="Guttman Rashi"/>
          <w:rtl/>
          <w:lang w:bidi="he-IL"/>
        </w:rPr>
        <w:t xml:space="preserve"> </w:t>
      </w:r>
      <w:r w:rsidRPr="00400C0B">
        <w:rPr>
          <w:rFonts w:cs="Guttman Rashi" w:hint="eastAsia"/>
          <w:rtl/>
          <w:lang w:bidi="he-IL"/>
        </w:rPr>
        <w:t>בפת</w:t>
      </w:r>
      <w:r w:rsidRPr="00400C0B">
        <w:rPr>
          <w:rFonts w:cs="Guttman Rashi"/>
          <w:rtl/>
          <w:lang w:bidi="he-IL"/>
        </w:rPr>
        <w:t xml:space="preserve">, </w:t>
      </w:r>
      <w:r w:rsidRPr="00400C0B">
        <w:rPr>
          <w:rFonts w:cs="Guttman Rashi" w:hint="eastAsia"/>
          <w:rtl/>
          <w:lang w:bidi="he-IL"/>
        </w:rPr>
        <w:t>רק</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ישירות</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חתנות</w:t>
      </w:r>
      <w:r w:rsidRPr="00400C0B">
        <w:rPr>
          <w:rFonts w:cs="Guttman Rashi"/>
          <w:rtl/>
          <w:lang w:bidi="he-IL"/>
        </w:rPr>
        <w:t xml:space="preserve">, </w:t>
      </w:r>
      <w:r w:rsidRPr="00400C0B">
        <w:rPr>
          <w:rFonts w:cs="Guttman Rashi" w:hint="eastAsia"/>
          <w:rtl/>
          <w:lang w:bidi="he-IL"/>
        </w:rPr>
        <w:t>ואילו</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פתם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אטו</w:t>
      </w:r>
      <w:r w:rsidRPr="00400C0B">
        <w:rPr>
          <w:rFonts w:cs="Guttman Rashi"/>
          <w:rtl/>
          <w:lang w:bidi="he-IL"/>
        </w:rPr>
        <w:t xml:space="preserve"> </w:t>
      </w:r>
      <w:r w:rsidRPr="00400C0B">
        <w:rPr>
          <w:rFonts w:cs="Guttman Rashi" w:hint="eastAsia"/>
          <w:rtl/>
          <w:lang w:bidi="he-IL"/>
        </w:rPr>
        <w:t>יינן</w:t>
      </w:r>
      <w:r w:rsidRPr="00400C0B">
        <w:rPr>
          <w:rFonts w:cs="Guttman Rashi"/>
          <w:rtl/>
          <w:lang w:bidi="he-IL"/>
        </w:rPr>
        <w:t xml:space="preserve"> </w:t>
      </w:r>
      <w:r w:rsidRPr="00400C0B">
        <w:rPr>
          <w:rFonts w:cs="Guttman Rashi" w:hint="eastAsia"/>
          <w:rtl/>
          <w:lang w:bidi="he-IL"/>
        </w:rPr>
        <w:t>וכדמפורש</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וכוונת</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לגזור</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פתפ</w:t>
      </w:r>
      <w:r w:rsidRPr="00400C0B">
        <w:rPr>
          <w:rFonts w:cs="Guttman Rashi"/>
          <w:rtl/>
          <w:lang w:bidi="he-IL"/>
        </w:rPr>
        <w:t xml:space="preserve"> </w:t>
      </w:r>
      <w:r w:rsidRPr="00400C0B">
        <w:rPr>
          <w:rFonts w:cs="Guttman Rashi" w:hint="eastAsia"/>
          <w:rtl/>
          <w:lang w:bidi="he-IL"/>
        </w:rPr>
        <w:t>ישירות</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חתנות</w:t>
      </w:r>
      <w:r w:rsidRPr="00400C0B">
        <w:rPr>
          <w:rFonts w:cs="Guttman Rashi"/>
          <w:rtl/>
          <w:lang w:bidi="he-IL"/>
        </w:rPr>
        <w:t xml:space="preserve"> </w:t>
      </w:r>
      <w:r w:rsidRPr="00400C0B">
        <w:rPr>
          <w:rFonts w:cs="Guttman Rashi" w:hint="eastAsia"/>
          <w:rtl/>
          <w:lang w:bidi="he-IL"/>
        </w:rPr>
        <w:t>וכמו</w:t>
      </w:r>
      <w:r w:rsidRPr="00400C0B">
        <w:rPr>
          <w:rFonts w:cs="Guttman Rashi"/>
          <w:rtl/>
          <w:lang w:bidi="he-IL"/>
        </w:rPr>
        <w:t xml:space="preserve"> </w:t>
      </w:r>
      <w:r w:rsidRPr="00400C0B">
        <w:rPr>
          <w:rFonts w:cs="Guttman Rashi" w:hint="eastAsia"/>
          <w:rtl/>
          <w:lang w:bidi="he-IL"/>
        </w:rPr>
        <w:t>שגזרו</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התבשיל</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בוו</w:t>
      </w:r>
      <w:r w:rsidRPr="00400C0B">
        <w:rPr>
          <w:rFonts w:cs="Guttman Rashi"/>
          <w:rtl/>
          <w:lang w:bidi="he-IL"/>
        </w:rPr>
        <w:t xml:space="preserve"> </w:t>
      </w:r>
      <w:r w:rsidRPr="00400C0B">
        <w:rPr>
          <w:rFonts w:cs="Guttman Rashi" w:hint="eastAsia"/>
          <w:rtl/>
          <w:lang w:bidi="he-IL"/>
        </w:rPr>
        <w:t>חתנות</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w:t>
      </w:r>
    </w:p>
  </w:footnote>
  <w:footnote w:id="603">
    <w:p w:rsidR="007978F4" w:rsidRPr="00400C0B" w:rsidRDefault="007978F4" w:rsidP="00A96BDF">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והנה</w:t>
      </w:r>
      <w:r w:rsidRPr="00400C0B">
        <w:rPr>
          <w:rFonts w:cs="Guttman Rashi"/>
          <w:rtl/>
          <w:lang w:bidi="he-IL"/>
        </w:rPr>
        <w:t xml:space="preserve"> </w:t>
      </w:r>
      <w:r w:rsidRPr="00400C0B">
        <w:rPr>
          <w:rFonts w:cs="Guttman Rashi" w:hint="eastAsia"/>
          <w:rtl/>
          <w:lang w:bidi="he-IL"/>
        </w:rPr>
        <w:t>מפורש</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שאסרו</w:t>
      </w:r>
      <w:r w:rsidRPr="00400C0B">
        <w:rPr>
          <w:rFonts w:cs="Guttman Rashi"/>
          <w:rtl/>
          <w:lang w:bidi="he-IL"/>
        </w:rPr>
        <w:t xml:space="preserve"> </w:t>
      </w:r>
      <w:r w:rsidRPr="00400C0B">
        <w:rPr>
          <w:rFonts w:cs="Guttman Rashi" w:hint="eastAsia"/>
          <w:rtl/>
          <w:lang w:bidi="he-IL"/>
        </w:rPr>
        <w:t>פתם</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יינם</w:t>
      </w:r>
      <w:r w:rsidRPr="00400C0B">
        <w:rPr>
          <w:rFonts w:cs="Guttman Rashi"/>
          <w:rtl/>
          <w:lang w:bidi="he-IL"/>
        </w:rPr>
        <w:t xml:space="preserve"> </w:t>
      </w:r>
      <w:r w:rsidRPr="00400C0B">
        <w:rPr>
          <w:rFonts w:cs="Guttman Rashi" w:hint="eastAsia"/>
          <w:rtl/>
          <w:lang w:bidi="he-IL"/>
        </w:rPr>
        <w:t>וכמש</w:t>
      </w:r>
      <w:r w:rsidRPr="00400C0B">
        <w:rPr>
          <w:rFonts w:cs="Guttman Rashi"/>
          <w:rtl/>
          <w:lang w:bidi="he-IL"/>
        </w:rPr>
        <w:t>"</w:t>
      </w:r>
      <w:r w:rsidRPr="00400C0B">
        <w:rPr>
          <w:rFonts w:cs="Guttman Rashi" w:hint="eastAsia"/>
          <w:rtl/>
          <w:lang w:bidi="he-IL"/>
        </w:rPr>
        <w:t>נ</w:t>
      </w:r>
      <w:r w:rsidRPr="00400C0B">
        <w:rPr>
          <w:rFonts w:cs="Guttman Rashi"/>
          <w:rtl/>
          <w:lang w:bidi="he-IL"/>
        </w:rPr>
        <w:t xml:space="preserve"> </w:t>
      </w:r>
      <w:r w:rsidRPr="00400C0B">
        <w:rPr>
          <w:rFonts w:cs="Guttman Rashi" w:hint="eastAsia"/>
          <w:rtl/>
          <w:lang w:bidi="he-IL"/>
        </w:rPr>
        <w:t>לעיל</w:t>
      </w:r>
      <w:r w:rsidRPr="00400C0B">
        <w:rPr>
          <w:rFonts w:cs="Guttman Rashi"/>
          <w:rtl/>
          <w:lang w:bidi="he-IL"/>
        </w:rPr>
        <w:t xml:space="preserve">, </w:t>
      </w:r>
      <w:r w:rsidRPr="00400C0B">
        <w:rPr>
          <w:rFonts w:cs="Guttman Rashi" w:hint="eastAsia"/>
          <w:rtl/>
          <w:lang w:bidi="he-IL"/>
        </w:rPr>
        <w:t>והיין</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שמביא</w:t>
      </w:r>
      <w:r w:rsidRPr="00400C0B">
        <w:rPr>
          <w:rFonts w:cs="Guttman Rashi"/>
          <w:rtl/>
          <w:lang w:bidi="he-IL"/>
        </w:rPr>
        <w:t xml:space="preserve"> </w:t>
      </w:r>
      <w:r w:rsidRPr="00400C0B">
        <w:rPr>
          <w:rFonts w:cs="Guttman Rashi" w:hint="eastAsia"/>
          <w:rtl/>
          <w:lang w:bidi="he-IL"/>
        </w:rPr>
        <w:t>לידי</w:t>
      </w:r>
      <w:r w:rsidRPr="00400C0B">
        <w:rPr>
          <w:rFonts w:cs="Guttman Rashi"/>
          <w:rtl/>
          <w:lang w:bidi="he-IL"/>
        </w:rPr>
        <w:t xml:space="preserve"> </w:t>
      </w:r>
      <w:r w:rsidRPr="00400C0B">
        <w:rPr>
          <w:rFonts w:cs="Guttman Rashi" w:hint="eastAsia"/>
          <w:rtl/>
          <w:lang w:bidi="he-IL"/>
        </w:rPr>
        <w:t>חתנות</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כוונתו</w:t>
      </w:r>
      <w:r w:rsidRPr="00400C0B">
        <w:rPr>
          <w:rFonts w:cs="Guttman Rashi"/>
          <w:rtl/>
          <w:lang w:bidi="he-IL"/>
        </w:rPr>
        <w:t xml:space="preserve"> </w:t>
      </w:r>
      <w:r w:rsidRPr="00400C0B">
        <w:rPr>
          <w:rFonts w:cs="Guttman Rashi" w:hint="eastAsia"/>
          <w:rtl/>
          <w:lang w:bidi="he-IL"/>
        </w:rPr>
        <w:t>הרא</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דכיון</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קירוב</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יבא</w:t>
      </w:r>
      <w:r w:rsidRPr="00400C0B">
        <w:rPr>
          <w:rFonts w:cs="Guttman Rashi"/>
          <w:rtl/>
          <w:lang w:bidi="he-IL"/>
        </w:rPr>
        <w:t xml:space="preserve"> </w:t>
      </w:r>
      <w:r w:rsidRPr="00400C0B">
        <w:rPr>
          <w:rFonts w:cs="Guttman Rashi" w:hint="eastAsia"/>
          <w:rtl/>
          <w:lang w:bidi="he-IL"/>
        </w:rPr>
        <w:t>לידי</w:t>
      </w:r>
      <w:r w:rsidRPr="00400C0B">
        <w:rPr>
          <w:rFonts w:cs="Guttman Rashi"/>
          <w:rtl/>
          <w:lang w:bidi="he-IL"/>
        </w:rPr>
        <w:t xml:space="preserve"> </w:t>
      </w:r>
      <w:r w:rsidRPr="00400C0B">
        <w:rPr>
          <w:rFonts w:cs="Guttman Rashi" w:hint="eastAsia"/>
          <w:rtl/>
          <w:lang w:bidi="he-IL"/>
        </w:rPr>
        <w:t>יינם</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עוד</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דעד</w:t>
      </w:r>
      <w:r w:rsidRPr="00400C0B">
        <w:rPr>
          <w:rFonts w:cs="Guttman Rashi"/>
          <w:rtl/>
          <w:lang w:bidi="he-IL"/>
        </w:rPr>
        <w:t xml:space="preserve"> </w:t>
      </w:r>
      <w:r w:rsidRPr="00400C0B">
        <w:rPr>
          <w:rFonts w:cs="Guttman Rashi" w:hint="eastAsia"/>
          <w:rtl/>
          <w:lang w:bidi="he-IL"/>
        </w:rPr>
        <w:t>כמה</w:t>
      </w:r>
      <w:r w:rsidRPr="00400C0B">
        <w:rPr>
          <w:rFonts w:cs="Guttman Rashi"/>
          <w:rtl/>
          <w:lang w:bidi="he-IL"/>
        </w:rPr>
        <w:t xml:space="preserve"> </w:t>
      </w:r>
      <w:r w:rsidRPr="00400C0B">
        <w:rPr>
          <w:rFonts w:cs="Guttman Rashi" w:hint="eastAsia"/>
          <w:rtl/>
          <w:lang w:bidi="he-IL"/>
        </w:rPr>
        <w:t>שאינו</w:t>
      </w:r>
      <w:r w:rsidRPr="00400C0B">
        <w:rPr>
          <w:rFonts w:cs="Guttman Rashi"/>
          <w:rtl/>
          <w:lang w:bidi="he-IL"/>
        </w:rPr>
        <w:t xml:space="preserve"> </w:t>
      </w:r>
      <w:r w:rsidRPr="00400C0B">
        <w:rPr>
          <w:rFonts w:cs="Guttman Rashi" w:hint="eastAsia"/>
          <w:rtl/>
          <w:lang w:bidi="he-IL"/>
        </w:rPr>
        <w:t>מביא</w:t>
      </w:r>
      <w:r w:rsidRPr="00400C0B">
        <w:rPr>
          <w:rFonts w:cs="Guttman Rashi"/>
          <w:rtl/>
          <w:lang w:bidi="he-IL"/>
        </w:rPr>
        <w:t xml:space="preserve"> </w:t>
      </w:r>
      <w:r w:rsidRPr="00400C0B">
        <w:rPr>
          <w:rFonts w:cs="Guttman Rashi" w:hint="eastAsia"/>
          <w:rtl/>
          <w:lang w:bidi="he-IL"/>
        </w:rPr>
        <w:t>לידי</w:t>
      </w:r>
      <w:r w:rsidRPr="00400C0B">
        <w:rPr>
          <w:rFonts w:cs="Guttman Rashi"/>
          <w:rtl/>
          <w:lang w:bidi="he-IL"/>
        </w:rPr>
        <w:t xml:space="preserve"> </w:t>
      </w:r>
      <w:r w:rsidRPr="00400C0B">
        <w:rPr>
          <w:rFonts w:cs="Guttman Rashi" w:hint="eastAsia"/>
          <w:rtl/>
          <w:lang w:bidi="he-IL"/>
        </w:rPr>
        <w:t>חתנות</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גזרו</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ועדיין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604">
    <w:p w:rsidR="007978F4" w:rsidRPr="00400C0B" w:rsidRDefault="007978F4" w:rsidP="00400C0B">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cs"/>
          <w:rtl/>
          <w:lang w:bidi="he-IL"/>
        </w:rPr>
        <w:t>ע' בס' שלחן מלכים שער ג' פרק ב' אות ג' (עמ' שי"א) בנושא</w:t>
      </w:r>
    </w:p>
  </w:footnote>
  <w:footnote w:id="605">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cs"/>
          <w:rtl/>
          <w:lang w:bidi="he-IL"/>
        </w:rPr>
        <w:t>שו"נ שאין כאן שום ראי', שיש לחלק בין כוונה שהוא תנאי נוסף, לכוונה דכאן שהוא מגדיר שיש כאן מעשה בישול. דכאן כיון שהוא עושהו מעשה בישול, עד כמה שאינו מכוין ממש לא יהא חשוב מעשה בישול ולא מהני לזה פסיק רישא כלל. וע' מש"כ בזה בשערי שבת.</w:t>
      </w:r>
    </w:p>
  </w:footnote>
  <w:footnote w:id="606">
    <w:p w:rsidR="007978F4" w:rsidRPr="00400C0B" w:rsidRDefault="007978F4" w:rsidP="00A96BDF">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להשות</w:t>
      </w:r>
      <w:r w:rsidRPr="00400C0B">
        <w:rPr>
          <w:rFonts w:cs="Guttman Rashi"/>
          <w:rtl/>
          <w:lang w:bidi="he-IL"/>
        </w:rPr>
        <w:t xml:space="preserve"> </w:t>
      </w:r>
      <w:r w:rsidRPr="00400C0B">
        <w:rPr>
          <w:rFonts w:cs="Guttman Rashi" w:hint="eastAsia"/>
          <w:rtl/>
          <w:lang w:bidi="he-IL"/>
        </w:rPr>
        <w:t>מאכל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לכסא</w:t>
      </w:r>
      <w:r w:rsidRPr="00400C0B">
        <w:rPr>
          <w:rFonts w:cs="Guttman Rashi"/>
          <w:rtl/>
          <w:lang w:bidi="he-IL"/>
        </w:rPr>
        <w:t xml:space="preserve"> </w:t>
      </w:r>
      <w:r w:rsidRPr="00400C0B">
        <w:rPr>
          <w:rFonts w:cs="Guttman Rashi" w:hint="eastAsia"/>
          <w:rtl/>
          <w:lang w:bidi="he-IL"/>
        </w:rPr>
        <w:t>דהרסנא</w:t>
      </w:r>
      <w:r w:rsidRPr="00400C0B">
        <w:rPr>
          <w:rFonts w:cs="Guttman Rashi"/>
          <w:rtl/>
          <w:lang w:bidi="he-IL"/>
        </w:rPr>
        <w:t>.</w:t>
      </w:r>
      <w:r w:rsidRPr="00400C0B">
        <w:rPr>
          <w:rFonts w:cs="Guttman Rashi" w:hint="eastAsia"/>
          <w:rtl/>
          <w:lang w:bidi="he-IL"/>
        </w:rPr>
        <w:t>דכסא</w:t>
      </w:r>
      <w:r w:rsidRPr="00400C0B">
        <w:rPr>
          <w:rFonts w:cs="Guttman Rashi"/>
          <w:rtl/>
          <w:lang w:bidi="he-IL"/>
        </w:rPr>
        <w:t xml:space="preserve"> </w:t>
      </w:r>
      <w:r w:rsidRPr="00400C0B">
        <w:rPr>
          <w:rFonts w:cs="Guttman Rashi" w:hint="eastAsia"/>
          <w:rtl/>
          <w:lang w:bidi="he-IL"/>
        </w:rPr>
        <w:t>דהרסנא</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אפוי</w:t>
      </w:r>
      <w:r w:rsidRPr="00400C0B">
        <w:rPr>
          <w:rFonts w:cs="Guttman Rashi"/>
          <w:rtl/>
          <w:lang w:bidi="he-IL"/>
        </w:rPr>
        <w:t xml:space="preserve"> </w:t>
      </w:r>
      <w:r w:rsidRPr="00400C0B">
        <w:rPr>
          <w:rFonts w:cs="Guttman Rashi" w:hint="eastAsia"/>
          <w:rtl/>
          <w:lang w:bidi="he-IL"/>
        </w:rPr>
        <w:t>בתורת</w:t>
      </w:r>
      <w:r w:rsidRPr="00400C0B">
        <w:rPr>
          <w:rFonts w:cs="Guttman Rashi"/>
          <w:rtl/>
          <w:lang w:bidi="he-IL"/>
        </w:rPr>
        <w:t xml:space="preserve"> </w:t>
      </w:r>
      <w:r w:rsidRPr="00400C0B">
        <w:rPr>
          <w:rFonts w:cs="Guttman Rashi" w:hint="eastAsia"/>
          <w:rtl/>
          <w:lang w:bidi="he-IL"/>
        </w:rPr>
        <w:t>לחם</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הדגים</w:t>
      </w:r>
      <w:r w:rsidRPr="00400C0B">
        <w:rPr>
          <w:rFonts w:cs="Guttman Rashi"/>
          <w:rtl/>
          <w:lang w:bidi="he-IL"/>
        </w:rPr>
        <w:t xml:space="preserve"> </w:t>
      </w:r>
      <w:r w:rsidRPr="00400C0B">
        <w:rPr>
          <w:rFonts w:cs="Guttman Rashi" w:hint="eastAsia"/>
          <w:rtl/>
          <w:lang w:bidi="he-IL"/>
        </w:rPr>
        <w:t>הם</w:t>
      </w:r>
      <w:r w:rsidRPr="00400C0B">
        <w:rPr>
          <w:rFonts w:cs="Guttman Rashi"/>
          <w:rtl/>
          <w:lang w:bidi="he-IL"/>
        </w:rPr>
        <w:t xml:space="preserve"> </w:t>
      </w:r>
      <w:r w:rsidRPr="00400C0B">
        <w:rPr>
          <w:rFonts w:cs="Guttman Rashi" w:hint="eastAsia"/>
          <w:rtl/>
          <w:lang w:bidi="he-IL"/>
        </w:rPr>
        <w:t>נאכלים</w:t>
      </w:r>
      <w:r w:rsidRPr="00400C0B">
        <w:rPr>
          <w:rFonts w:cs="Guttman Rashi"/>
          <w:rtl/>
          <w:lang w:bidi="he-IL"/>
        </w:rPr>
        <w:t xml:space="preserve"> </w:t>
      </w:r>
      <w:r w:rsidRPr="00400C0B">
        <w:rPr>
          <w:rFonts w:cs="Guttman Rashi" w:hint="eastAsia"/>
          <w:rtl/>
          <w:lang w:bidi="he-IL"/>
        </w:rPr>
        <w:t>חיים</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שעשוים</w:t>
      </w:r>
      <w:r w:rsidRPr="00400C0B">
        <w:rPr>
          <w:rFonts w:cs="Guttman Rashi"/>
          <w:rtl/>
          <w:lang w:bidi="he-IL"/>
        </w:rPr>
        <w:t xml:space="preserve"> </w:t>
      </w:r>
      <w:r w:rsidRPr="00400C0B">
        <w:rPr>
          <w:rFonts w:cs="Guttman Rashi" w:hint="eastAsia"/>
          <w:rtl/>
          <w:lang w:bidi="he-IL"/>
        </w:rPr>
        <w:t>מדגים</w:t>
      </w:r>
      <w:r w:rsidRPr="00400C0B">
        <w:rPr>
          <w:rFonts w:cs="Guttman Rashi"/>
          <w:rtl/>
          <w:lang w:bidi="he-IL"/>
        </w:rPr>
        <w:t xml:space="preserve"> </w:t>
      </w:r>
      <w:r w:rsidRPr="00400C0B">
        <w:rPr>
          <w:rFonts w:cs="Guttman Rashi" w:hint="eastAsia"/>
          <w:rtl/>
          <w:lang w:bidi="he-IL"/>
        </w:rPr>
        <w:t>קטנים</w:t>
      </w:r>
      <w:r w:rsidRPr="00400C0B">
        <w:rPr>
          <w:rFonts w:cs="Guttman Rashi"/>
          <w:rtl/>
          <w:lang w:bidi="he-IL"/>
        </w:rPr>
        <w:t xml:space="preserve"> </w:t>
      </w:r>
      <w:r w:rsidRPr="00400C0B">
        <w:rPr>
          <w:rFonts w:cs="Guttman Rashi" w:hint="eastAsia"/>
          <w:rtl/>
          <w:lang w:bidi="he-IL"/>
        </w:rPr>
        <w:t>מלוחים</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אילו</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הרסנא</w:t>
      </w:r>
      <w:r w:rsidRPr="00400C0B">
        <w:rPr>
          <w:rFonts w:cs="Guttman Rashi"/>
          <w:rtl/>
          <w:lang w:bidi="he-IL"/>
        </w:rPr>
        <w:t xml:space="preserve"> </w:t>
      </w:r>
      <w:r w:rsidRPr="00400C0B">
        <w:rPr>
          <w:rFonts w:cs="Guttman Rashi" w:hint="eastAsia"/>
          <w:rtl/>
          <w:lang w:bidi="he-IL"/>
        </w:rPr>
        <w:t>עיקר</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להיות</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שקמחא</w:t>
      </w:r>
      <w:r w:rsidRPr="00400C0B">
        <w:rPr>
          <w:rFonts w:cs="Guttman Rashi"/>
          <w:rtl/>
          <w:lang w:bidi="he-IL"/>
        </w:rPr>
        <w:t xml:space="preserve"> </w:t>
      </w:r>
      <w:r w:rsidRPr="00400C0B">
        <w:rPr>
          <w:rFonts w:cs="Guttman Rashi" w:hint="eastAsia"/>
          <w:rtl/>
          <w:lang w:bidi="he-IL"/>
        </w:rPr>
        <w:t>עיקר</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אחרת</w:t>
      </w:r>
      <w:r w:rsidRPr="00400C0B">
        <w:rPr>
          <w:rFonts w:cs="Guttman Rashi"/>
          <w:rtl/>
          <w:lang w:bidi="he-IL"/>
        </w:rPr>
        <w:t xml:space="preserve"> </w:t>
      </w:r>
      <w:r w:rsidRPr="00400C0B">
        <w:rPr>
          <w:rFonts w:cs="Guttman Rashi" w:hint="eastAsia"/>
          <w:rtl/>
          <w:lang w:bidi="he-IL"/>
        </w:rPr>
        <w:t>היא</w:t>
      </w:r>
      <w:r w:rsidRPr="00400C0B">
        <w:rPr>
          <w:rFonts w:cs="Guttman Rashi"/>
          <w:rtl/>
          <w:lang w:bidi="he-IL"/>
        </w:rPr>
        <w:t xml:space="preserve"> </w:t>
      </w:r>
      <w:r w:rsidRPr="00400C0B">
        <w:rPr>
          <w:rFonts w:cs="Guttman Rashi" w:hint="eastAsia"/>
          <w:rtl/>
          <w:lang w:bidi="he-IL"/>
        </w:rPr>
        <w:t>הפנדא</w:t>
      </w:r>
      <w:r w:rsidRPr="00400C0B">
        <w:rPr>
          <w:rFonts w:cs="Guttman Rashi"/>
          <w:rtl/>
          <w:lang w:bidi="he-IL"/>
        </w:rPr>
        <w:t xml:space="preserve"> </w:t>
      </w:r>
      <w:r w:rsidRPr="00400C0B">
        <w:rPr>
          <w:rFonts w:cs="Guttman Rashi" w:hint="eastAsia"/>
          <w:rtl/>
          <w:lang w:bidi="he-IL"/>
        </w:rPr>
        <w:t>שעשוי</w:t>
      </w:r>
      <w:r w:rsidRPr="00400C0B">
        <w:rPr>
          <w:rFonts w:cs="Guttman Rashi"/>
          <w:rtl/>
          <w:lang w:bidi="he-IL"/>
        </w:rPr>
        <w:t xml:space="preserve"> </w:t>
      </w:r>
      <w:r w:rsidRPr="00400C0B">
        <w:rPr>
          <w:rFonts w:cs="Guttman Rashi" w:hint="eastAsia"/>
          <w:rtl/>
          <w:lang w:bidi="he-IL"/>
        </w:rPr>
        <w:t>דרך</w:t>
      </w:r>
      <w:r w:rsidRPr="00400C0B">
        <w:rPr>
          <w:rFonts w:cs="Guttman Rashi"/>
          <w:rtl/>
          <w:lang w:bidi="he-IL"/>
        </w:rPr>
        <w:t xml:space="preserve"> </w:t>
      </w:r>
      <w:r w:rsidRPr="00400C0B">
        <w:rPr>
          <w:rFonts w:cs="Guttman Rashi" w:hint="eastAsia"/>
          <w:rtl/>
          <w:lang w:bidi="he-IL"/>
        </w:rPr>
        <w:t>אפיי</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לדיני</w:t>
      </w:r>
      <w:r w:rsidRPr="00400C0B">
        <w:rPr>
          <w:rFonts w:cs="Guttman Rashi"/>
          <w:rtl/>
          <w:lang w:bidi="he-IL"/>
        </w:rPr>
        <w:t xml:space="preserve"> </w:t>
      </w:r>
      <w:r w:rsidRPr="00400C0B">
        <w:rPr>
          <w:rFonts w:cs="Guttman Rashi" w:hint="eastAsia"/>
          <w:rtl/>
          <w:lang w:bidi="he-IL"/>
        </w:rPr>
        <w:t>פת</w:t>
      </w:r>
      <w:r w:rsidRPr="00400C0B">
        <w:rPr>
          <w:rFonts w:cs="Guttman Rashi"/>
          <w:rtl/>
          <w:lang w:bidi="he-IL"/>
        </w:rPr>
        <w:t xml:space="preserve"> </w:t>
      </w:r>
      <w:r w:rsidRPr="00400C0B">
        <w:rPr>
          <w:rFonts w:cs="Guttman Rashi" w:hint="eastAsia"/>
          <w:rtl/>
          <w:lang w:bidi="he-IL"/>
        </w:rPr>
        <w:t>עכו</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ואלמלא</w:t>
      </w:r>
      <w:r w:rsidRPr="00400C0B">
        <w:rPr>
          <w:rFonts w:cs="Guttman Rashi"/>
          <w:rtl/>
          <w:lang w:bidi="he-IL"/>
        </w:rPr>
        <w:t xml:space="preserve"> </w:t>
      </w:r>
      <w:r w:rsidRPr="00400C0B">
        <w:rPr>
          <w:rFonts w:cs="Guttman Rashi" w:hint="eastAsia"/>
          <w:rtl/>
          <w:lang w:bidi="he-IL"/>
        </w:rPr>
        <w:t>שומן</w:t>
      </w:r>
      <w:r w:rsidRPr="00400C0B">
        <w:rPr>
          <w:rFonts w:cs="Guttman Rashi"/>
          <w:rtl/>
          <w:lang w:bidi="he-IL"/>
        </w:rPr>
        <w:t xml:space="preserve"> </w:t>
      </w:r>
      <w:r w:rsidRPr="00400C0B">
        <w:rPr>
          <w:rFonts w:cs="Guttman Rashi" w:hint="eastAsia"/>
          <w:rtl/>
          <w:lang w:bidi="he-IL"/>
        </w:rPr>
        <w:t>הדגים</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נאסר</w:t>
      </w:r>
      <w:r w:rsidRPr="00400C0B">
        <w:rPr>
          <w:rFonts w:cs="Guttman Rashi"/>
          <w:rtl/>
          <w:lang w:bidi="he-IL"/>
        </w:rPr>
        <w:t xml:space="preserve"> </w:t>
      </w:r>
      <w:r w:rsidRPr="00400C0B">
        <w:rPr>
          <w:rFonts w:cs="Guttman Rashi" w:hint="eastAsia"/>
          <w:rtl/>
          <w:lang w:bidi="he-IL"/>
        </w:rPr>
        <w:t>מדין</w:t>
      </w:r>
      <w:r w:rsidRPr="00400C0B">
        <w:rPr>
          <w:rFonts w:cs="Guttman Rashi"/>
          <w:rtl/>
          <w:lang w:bidi="he-IL"/>
        </w:rPr>
        <w:t xml:space="preserve"> </w:t>
      </w:r>
      <w:r w:rsidRPr="00400C0B">
        <w:rPr>
          <w:rFonts w:cs="Guttman Rashi" w:hint="eastAsia"/>
          <w:rtl/>
          <w:lang w:bidi="he-IL"/>
        </w:rPr>
        <w:t>בישול</w:t>
      </w:r>
      <w:r w:rsidRPr="00400C0B">
        <w:rPr>
          <w:rFonts w:cs="Guttman Rashi"/>
          <w:rtl/>
          <w:lang w:bidi="he-IL"/>
        </w:rPr>
        <w:t xml:space="preserve"> </w:t>
      </w:r>
      <w:r w:rsidRPr="00400C0B">
        <w:rPr>
          <w:rFonts w:cs="Guttman Rashi" w:hint="eastAsia"/>
          <w:rtl/>
          <w:lang w:bidi="he-IL"/>
        </w:rPr>
        <w:t>עכו</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שהדגים</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הפאנד</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אינם</w:t>
      </w:r>
      <w:r w:rsidRPr="00400C0B">
        <w:rPr>
          <w:rFonts w:cs="Guttman Rashi"/>
          <w:rtl/>
          <w:lang w:bidi="he-IL"/>
        </w:rPr>
        <w:t xml:space="preserve"> </w:t>
      </w:r>
      <w:r w:rsidRPr="00400C0B">
        <w:rPr>
          <w:rFonts w:cs="Guttman Rashi" w:hint="eastAsia"/>
          <w:rtl/>
          <w:lang w:bidi="he-IL"/>
        </w:rPr>
        <w:t>נאכלים</w:t>
      </w:r>
      <w:r w:rsidRPr="00400C0B">
        <w:rPr>
          <w:rFonts w:cs="Guttman Rashi"/>
          <w:rtl/>
          <w:lang w:bidi="he-IL"/>
        </w:rPr>
        <w:t xml:space="preserve"> </w:t>
      </w:r>
      <w:r w:rsidRPr="00400C0B">
        <w:rPr>
          <w:rFonts w:cs="Guttman Rashi" w:hint="eastAsia"/>
          <w:rtl/>
          <w:lang w:bidi="he-IL"/>
        </w:rPr>
        <w:t>חיים</w:t>
      </w:r>
      <w:r w:rsidRPr="00400C0B">
        <w:rPr>
          <w:rFonts w:cs="Guttman Rashi"/>
          <w:rtl/>
          <w:lang w:bidi="he-IL"/>
        </w:rPr>
        <w:t xml:space="preserve"> </w:t>
      </w:r>
      <w:r w:rsidRPr="00400C0B">
        <w:rPr>
          <w:rFonts w:cs="Guttman Rashi" w:hint="eastAsia"/>
          <w:rtl/>
          <w:lang w:bidi="he-IL"/>
        </w:rPr>
        <w:t>ועולים</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שולחן</w:t>
      </w:r>
      <w:r w:rsidRPr="00400C0B">
        <w:rPr>
          <w:rFonts w:cs="Guttman Rashi"/>
          <w:rtl/>
          <w:lang w:bidi="he-IL"/>
        </w:rPr>
        <w:t xml:space="preserve"> </w:t>
      </w:r>
      <w:r w:rsidRPr="00400C0B">
        <w:rPr>
          <w:rFonts w:cs="Guttman Rashi" w:hint="eastAsia"/>
          <w:rtl/>
          <w:lang w:bidi="he-IL"/>
        </w:rPr>
        <w:t>מלכים</w:t>
      </w:r>
      <w:r w:rsidRPr="00400C0B">
        <w:rPr>
          <w:rFonts w:cs="Guttman Rashi"/>
          <w:rtl/>
          <w:lang w:bidi="he-IL"/>
        </w:rPr>
        <w:t xml:space="preserve">. </w:t>
      </w:r>
      <w:r w:rsidRPr="00400C0B">
        <w:rPr>
          <w:rFonts w:cs="Guttman Rashi" w:hint="eastAsia"/>
          <w:rtl/>
          <w:lang w:bidi="he-IL"/>
        </w:rPr>
        <w:t>ופשוט</w:t>
      </w:r>
      <w:r w:rsidRPr="00400C0B">
        <w:rPr>
          <w:rFonts w:cs="Guttman Rashi"/>
          <w:rtl/>
          <w:lang w:bidi="he-IL"/>
        </w:rPr>
        <w:t>.</w:t>
      </w:r>
    </w:p>
  </w:footnote>
  <w:footnote w:id="607">
    <w:p w:rsidR="007978F4" w:rsidRPr="00400C0B" w:rsidRDefault="007978F4" w:rsidP="00A96BDF">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כ</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הבנתי</w:t>
      </w:r>
      <w:r w:rsidRPr="00400C0B">
        <w:rPr>
          <w:rFonts w:cs="Guttman Rashi"/>
          <w:rtl/>
          <w:lang w:bidi="he-IL"/>
        </w:rPr>
        <w:t xml:space="preserve"> </w:t>
      </w:r>
      <w:r w:rsidRPr="00400C0B">
        <w:rPr>
          <w:rFonts w:cs="Guttman Rashi" w:hint="eastAsia"/>
          <w:rtl/>
          <w:lang w:bidi="he-IL"/>
        </w:rPr>
        <w:t>טעמו</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גזרו</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בלח</w:t>
      </w:r>
      <w:r w:rsidRPr="00400C0B">
        <w:rPr>
          <w:rFonts w:cs="Guttman Rashi"/>
          <w:rtl/>
          <w:lang w:bidi="he-IL"/>
        </w:rPr>
        <w:t xml:space="preserve"> </w:t>
      </w:r>
      <w:r w:rsidRPr="00400C0B">
        <w:rPr>
          <w:rFonts w:cs="Guttman Rashi" w:hint="eastAsia"/>
          <w:rtl/>
          <w:lang w:bidi="he-IL"/>
        </w:rPr>
        <w:t>בלח</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בשאינו</w:t>
      </w:r>
      <w:r w:rsidRPr="00400C0B">
        <w:rPr>
          <w:rFonts w:cs="Guttman Rashi"/>
          <w:rtl/>
          <w:lang w:bidi="he-IL"/>
        </w:rPr>
        <w:t xml:space="preserve"> </w:t>
      </w:r>
      <w:r w:rsidRPr="00400C0B">
        <w:rPr>
          <w:rFonts w:cs="Guttman Rashi" w:hint="eastAsia"/>
          <w:rtl/>
          <w:lang w:bidi="he-IL"/>
        </w:rPr>
        <w:t>מינו</w:t>
      </w:r>
      <w:r w:rsidRPr="00400C0B">
        <w:rPr>
          <w:rFonts w:cs="Guttman Rashi"/>
          <w:rtl/>
          <w:lang w:bidi="he-IL"/>
        </w:rPr>
        <w:t xml:space="preserve">. </w:t>
      </w:r>
      <w:r w:rsidRPr="00400C0B">
        <w:rPr>
          <w:rFonts w:cs="Guttman Rashi" w:hint="eastAsia"/>
          <w:rtl/>
          <w:lang w:bidi="he-IL"/>
        </w:rPr>
        <w:t>וא</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דטכ</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במין</w:t>
      </w:r>
      <w:r w:rsidRPr="00400C0B">
        <w:rPr>
          <w:rFonts w:cs="Guttman Rashi"/>
          <w:rtl/>
          <w:lang w:bidi="he-IL"/>
        </w:rPr>
        <w:t xml:space="preserve"> </w:t>
      </w:r>
      <w:r w:rsidRPr="00400C0B">
        <w:rPr>
          <w:rFonts w:cs="Guttman Rashi" w:hint="eastAsia"/>
          <w:rtl/>
          <w:lang w:bidi="he-IL"/>
        </w:rPr>
        <w:t>במינו</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וכן</w:t>
      </w:r>
      <w:r w:rsidRPr="00400C0B">
        <w:rPr>
          <w:rFonts w:cs="Guttman Rashi"/>
          <w:rtl/>
          <w:lang w:bidi="he-IL"/>
        </w:rPr>
        <w:t xml:space="preserve"> </w:t>
      </w:r>
      <w:r w:rsidRPr="00400C0B">
        <w:rPr>
          <w:rFonts w:cs="Guttman Rashi" w:hint="eastAsia"/>
          <w:rtl/>
          <w:lang w:bidi="he-IL"/>
        </w:rPr>
        <w:t>כה</w:t>
      </w:r>
      <w:r w:rsidRPr="00400C0B">
        <w:rPr>
          <w:rFonts w:cs="Guttman Rashi"/>
          <w:rtl/>
          <w:lang w:bidi="he-IL"/>
        </w:rPr>
        <w:t>"</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ביבש</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מין</w:t>
      </w:r>
      <w:r w:rsidRPr="00400C0B">
        <w:rPr>
          <w:rFonts w:cs="Guttman Rashi"/>
          <w:rtl/>
          <w:lang w:bidi="he-IL"/>
        </w:rPr>
        <w:t xml:space="preserve"> </w:t>
      </w:r>
      <w:r w:rsidRPr="00400C0B">
        <w:rPr>
          <w:rFonts w:cs="Guttman Rashi" w:hint="eastAsia"/>
          <w:rtl/>
          <w:lang w:bidi="he-IL"/>
        </w:rPr>
        <w:t>בשאינו</w:t>
      </w:r>
      <w:r w:rsidRPr="00400C0B">
        <w:rPr>
          <w:rFonts w:cs="Guttman Rashi"/>
          <w:rtl/>
          <w:lang w:bidi="he-IL"/>
        </w:rPr>
        <w:t xml:space="preserve"> </w:t>
      </w:r>
      <w:r w:rsidRPr="00400C0B">
        <w:rPr>
          <w:rFonts w:cs="Guttman Rashi" w:hint="eastAsia"/>
          <w:rtl/>
          <w:lang w:bidi="he-IL"/>
        </w:rPr>
        <w:t>מינו</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אטו</w:t>
      </w:r>
      <w:r w:rsidRPr="00400C0B">
        <w:rPr>
          <w:rFonts w:cs="Guttman Rashi"/>
          <w:rtl/>
          <w:lang w:bidi="he-IL"/>
        </w:rPr>
        <w:t xml:space="preserve"> </w:t>
      </w:r>
      <w:r w:rsidRPr="00400C0B">
        <w:rPr>
          <w:rFonts w:cs="Guttman Rashi" w:hint="eastAsia"/>
          <w:rtl/>
          <w:lang w:bidi="he-IL"/>
        </w:rPr>
        <w:t>לח</w:t>
      </w:r>
      <w:r w:rsidRPr="00400C0B">
        <w:rPr>
          <w:rFonts w:cs="Guttman Rashi"/>
          <w:rtl/>
          <w:lang w:bidi="he-IL"/>
        </w:rPr>
        <w:t xml:space="preserve"> </w:t>
      </w:r>
      <w:r w:rsidRPr="00400C0B">
        <w:rPr>
          <w:rFonts w:cs="Guttman Rashi" w:hint="eastAsia"/>
          <w:rtl/>
          <w:lang w:bidi="he-IL"/>
        </w:rPr>
        <w:t>בלח</w:t>
      </w:r>
      <w:r w:rsidRPr="00400C0B">
        <w:rPr>
          <w:rFonts w:cs="Guttman Rashi"/>
          <w:rtl/>
          <w:lang w:bidi="he-IL"/>
        </w:rPr>
        <w:t xml:space="preserve">. </w:t>
      </w:r>
      <w:r w:rsidRPr="00400C0B">
        <w:rPr>
          <w:rFonts w:cs="Guttman Rashi" w:hint="eastAsia"/>
          <w:rtl/>
          <w:lang w:bidi="he-IL"/>
        </w:rPr>
        <w:t>והא</w:t>
      </w:r>
      <w:r w:rsidRPr="00400C0B">
        <w:rPr>
          <w:rFonts w:cs="Guttman Rashi"/>
          <w:rtl/>
          <w:lang w:bidi="he-IL"/>
        </w:rPr>
        <w:t xml:space="preserve"> </w:t>
      </w:r>
      <w:r w:rsidRPr="00400C0B">
        <w:rPr>
          <w:rFonts w:cs="Guttman Rashi" w:hint="eastAsia"/>
          <w:rtl/>
          <w:lang w:bidi="he-IL"/>
        </w:rPr>
        <w:t>דהקילו</w:t>
      </w:r>
      <w:r w:rsidRPr="00400C0B">
        <w:rPr>
          <w:rFonts w:cs="Guttman Rashi"/>
          <w:rtl/>
          <w:lang w:bidi="he-IL"/>
        </w:rPr>
        <w:t xml:space="preserve"> </w:t>
      </w:r>
      <w:r w:rsidRPr="00400C0B">
        <w:rPr>
          <w:rFonts w:cs="Guttman Rashi" w:hint="eastAsia"/>
          <w:rtl/>
          <w:lang w:bidi="he-IL"/>
        </w:rPr>
        <w:t>בעלמא</w:t>
      </w:r>
      <w:r w:rsidRPr="00400C0B">
        <w:rPr>
          <w:rFonts w:cs="Guttman Rashi"/>
          <w:rtl/>
          <w:lang w:bidi="he-IL"/>
        </w:rPr>
        <w:t xml:space="preserve"> </w:t>
      </w:r>
      <w:r w:rsidRPr="00400C0B">
        <w:rPr>
          <w:rFonts w:cs="Guttman Rashi" w:hint="eastAsia"/>
          <w:rtl/>
          <w:lang w:bidi="he-IL"/>
        </w:rPr>
        <w:t>בכגון</w:t>
      </w:r>
      <w:r w:rsidRPr="00400C0B">
        <w:rPr>
          <w:rFonts w:cs="Guttman Rashi"/>
          <w:rtl/>
          <w:lang w:bidi="he-IL"/>
        </w:rPr>
        <w:t xml:space="preserve"> </w:t>
      </w:r>
      <w:r w:rsidRPr="00400C0B">
        <w:rPr>
          <w:rFonts w:cs="Guttman Rashi" w:hint="eastAsia"/>
          <w:rtl/>
          <w:lang w:bidi="he-IL"/>
        </w:rPr>
        <w:t>דמאי</w:t>
      </w:r>
      <w:r w:rsidRPr="00400C0B">
        <w:rPr>
          <w:rFonts w:cs="Guttman Rashi"/>
          <w:rtl/>
          <w:lang w:bidi="he-IL"/>
        </w:rPr>
        <w:t xml:space="preserve"> </w:t>
      </w:r>
      <w:r w:rsidRPr="00400C0B">
        <w:rPr>
          <w:rFonts w:cs="Guttman Rashi" w:hint="eastAsia"/>
          <w:rtl/>
          <w:lang w:bidi="he-IL"/>
        </w:rPr>
        <w:t>שיתבטל</w:t>
      </w:r>
      <w:r w:rsidRPr="00400C0B">
        <w:rPr>
          <w:rFonts w:cs="Guttman Rashi"/>
          <w:rtl/>
          <w:lang w:bidi="he-IL"/>
        </w:rPr>
        <w:t xml:space="preserve"> </w:t>
      </w:r>
      <w:r w:rsidRPr="00400C0B">
        <w:rPr>
          <w:rFonts w:cs="Guttman Rashi" w:hint="eastAsia"/>
          <w:rtl/>
          <w:lang w:bidi="he-IL"/>
        </w:rPr>
        <w:t>ברוב</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בינו</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במין</w:t>
      </w:r>
      <w:r w:rsidRPr="00400C0B">
        <w:rPr>
          <w:rFonts w:cs="Guttman Rashi"/>
          <w:rtl/>
          <w:lang w:bidi="he-IL"/>
        </w:rPr>
        <w:t xml:space="preserve"> </w:t>
      </w:r>
      <w:r w:rsidRPr="00400C0B">
        <w:rPr>
          <w:rFonts w:cs="Guttman Rashi" w:hint="eastAsia"/>
          <w:rtl/>
          <w:lang w:bidi="he-IL"/>
        </w:rPr>
        <w:t>בשאינו</w:t>
      </w:r>
      <w:r w:rsidRPr="00400C0B">
        <w:rPr>
          <w:rFonts w:cs="Guttman Rashi"/>
          <w:rtl/>
          <w:lang w:bidi="he-IL"/>
        </w:rPr>
        <w:t xml:space="preserve"> </w:t>
      </w:r>
      <w:r w:rsidRPr="00400C0B">
        <w:rPr>
          <w:rFonts w:cs="Guttman Rashi" w:hint="eastAsia"/>
          <w:rtl/>
          <w:lang w:bidi="he-IL"/>
        </w:rPr>
        <w:t>מינו</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608">
    <w:p w:rsidR="007978F4" w:rsidRPr="00400C0B" w:rsidRDefault="007978F4" w:rsidP="00A96BDF">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 xml:space="preserve">' </w:t>
      </w:r>
      <w:r w:rsidRPr="00400C0B">
        <w:rPr>
          <w:rFonts w:cs="Guttman Rashi" w:hint="eastAsia"/>
          <w:rtl/>
          <w:lang w:bidi="he-IL"/>
        </w:rPr>
        <w:t>באג</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יו</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שהתקשה</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הי</w:t>
      </w:r>
      <w:r w:rsidRPr="00400C0B">
        <w:rPr>
          <w:rFonts w:cs="Guttman Rashi"/>
          <w:rtl/>
          <w:lang w:bidi="he-IL"/>
        </w:rPr>
        <w:t xml:space="preserve">' </w:t>
      </w:r>
      <w:r w:rsidRPr="00400C0B">
        <w:rPr>
          <w:rFonts w:cs="Guttman Rashi" w:hint="eastAsia"/>
          <w:rtl/>
          <w:lang w:bidi="he-IL"/>
        </w:rPr>
        <w:t>פשוט</w:t>
      </w:r>
      <w:r w:rsidRPr="00400C0B">
        <w:rPr>
          <w:rFonts w:cs="Guttman Rashi"/>
          <w:rtl/>
          <w:lang w:bidi="he-IL"/>
        </w:rPr>
        <w:t xml:space="preserve"> </w:t>
      </w:r>
      <w:r w:rsidRPr="00400C0B">
        <w:rPr>
          <w:rFonts w:cs="Guttman Rashi" w:hint="eastAsia"/>
          <w:rtl/>
          <w:lang w:bidi="he-IL"/>
        </w:rPr>
        <w:t>לטור</w:t>
      </w:r>
      <w:r w:rsidRPr="00400C0B">
        <w:rPr>
          <w:rFonts w:cs="Guttman Rashi"/>
          <w:rtl/>
          <w:lang w:bidi="he-IL"/>
        </w:rPr>
        <w:t xml:space="preserve"> </w:t>
      </w:r>
      <w:r w:rsidRPr="00400C0B">
        <w:rPr>
          <w:rFonts w:cs="Guttman Rashi" w:hint="eastAsia"/>
          <w:rtl/>
          <w:lang w:bidi="he-IL"/>
        </w:rPr>
        <w:t>שעיסת</w:t>
      </w:r>
      <w:r w:rsidRPr="00400C0B">
        <w:rPr>
          <w:rFonts w:cs="Guttman Rashi"/>
          <w:rtl/>
          <w:lang w:bidi="he-IL"/>
        </w:rPr>
        <w:t xml:space="preserve"> </w:t>
      </w:r>
      <w:r w:rsidRPr="00400C0B">
        <w:rPr>
          <w:rFonts w:cs="Guttman Rashi" w:hint="eastAsia"/>
          <w:rtl/>
          <w:lang w:bidi="he-IL"/>
        </w:rPr>
        <w:t>נכרי</w:t>
      </w:r>
      <w:r w:rsidRPr="00400C0B">
        <w:rPr>
          <w:rFonts w:cs="Guttman Rashi"/>
          <w:rtl/>
          <w:lang w:bidi="he-IL"/>
        </w:rPr>
        <w:t xml:space="preserve"> </w:t>
      </w:r>
      <w:r w:rsidRPr="00400C0B">
        <w:rPr>
          <w:rFonts w:cs="Guttman Rashi" w:hint="eastAsia"/>
          <w:rtl/>
          <w:lang w:bidi="he-IL"/>
        </w:rPr>
        <w:t>התירו</w:t>
      </w:r>
      <w:r w:rsidRPr="00400C0B">
        <w:rPr>
          <w:rFonts w:cs="Guttman Rashi"/>
          <w:rtl/>
          <w:lang w:bidi="he-IL"/>
        </w:rPr>
        <w:t xml:space="preserve"> </w:t>
      </w:r>
      <w:r w:rsidRPr="00400C0B">
        <w:rPr>
          <w:rFonts w:cs="Guttman Rashi" w:hint="eastAsia"/>
          <w:rtl/>
          <w:lang w:bidi="he-IL"/>
        </w:rPr>
        <w:t>ולא</w:t>
      </w:r>
      <w:r w:rsidRPr="00400C0B">
        <w:rPr>
          <w:rFonts w:cs="Guttman Rashi"/>
          <w:rtl/>
          <w:lang w:bidi="he-IL"/>
        </w:rPr>
        <w:t xml:space="preserve"> </w:t>
      </w:r>
      <w:r w:rsidRPr="00400C0B">
        <w:rPr>
          <w:rFonts w:cs="Guttman Rashi" w:hint="eastAsia"/>
          <w:rtl/>
          <w:lang w:bidi="he-IL"/>
        </w:rPr>
        <w:t>עיבת</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 xml:space="preserve">. </w:t>
      </w:r>
      <w:r w:rsidRPr="00400C0B">
        <w:rPr>
          <w:rFonts w:cs="Guttman Rashi" w:hint="eastAsia"/>
          <w:rtl/>
          <w:lang w:bidi="he-IL"/>
        </w:rPr>
        <w:t>והנלעוק</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כתבתי</w:t>
      </w:r>
      <w:r w:rsidRPr="00400C0B">
        <w:rPr>
          <w:rFonts w:cs="Guttman Rashi"/>
          <w:rtl/>
          <w:lang w:bidi="he-IL"/>
        </w:rPr>
        <w:t>.</w:t>
      </w:r>
    </w:p>
  </w:footnote>
  <w:footnote w:id="609">
    <w:p w:rsidR="007978F4" w:rsidRPr="00400C0B" w:rsidRDefault="007978F4" w:rsidP="00A96BDF">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ונראה</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שהקילו</w:t>
      </w:r>
      <w:r w:rsidRPr="00400C0B">
        <w:rPr>
          <w:rFonts w:cs="Guttman Rashi"/>
          <w:rtl/>
          <w:lang w:bidi="he-IL"/>
        </w:rPr>
        <w:t xml:space="preserve"> </w:t>
      </w:r>
      <w:r w:rsidRPr="00400C0B">
        <w:rPr>
          <w:rFonts w:cs="Guttman Rashi" w:hint="eastAsia"/>
          <w:rtl/>
          <w:lang w:bidi="he-IL"/>
        </w:rPr>
        <w:t>בפת</w:t>
      </w:r>
      <w:r w:rsidRPr="00400C0B">
        <w:rPr>
          <w:rFonts w:cs="Guttman Rashi"/>
          <w:rtl/>
          <w:lang w:bidi="he-IL"/>
        </w:rPr>
        <w:t xml:space="preserve"> </w:t>
      </w:r>
      <w:r w:rsidRPr="00400C0B">
        <w:rPr>
          <w:rFonts w:cs="Guttman Rashi" w:hint="eastAsia"/>
          <w:rtl/>
          <w:lang w:bidi="he-IL"/>
        </w:rPr>
        <w:t>פלטר</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בדאיכא</w:t>
      </w:r>
      <w:r w:rsidRPr="00400C0B">
        <w:rPr>
          <w:rFonts w:cs="Guttman Rashi"/>
          <w:rtl/>
          <w:lang w:bidi="he-IL"/>
        </w:rPr>
        <w:t xml:space="preserve"> </w:t>
      </w:r>
      <w:r w:rsidRPr="00400C0B">
        <w:rPr>
          <w:rFonts w:cs="Guttman Rashi" w:hint="eastAsia"/>
          <w:rtl/>
          <w:lang w:bidi="he-IL"/>
        </w:rPr>
        <w:t>פת</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 xml:space="preserve">, </w:t>
      </w:r>
      <w:r w:rsidRPr="00400C0B">
        <w:rPr>
          <w:rFonts w:cs="Guttman Rashi" w:hint="eastAsia"/>
          <w:rtl/>
          <w:lang w:bidi="he-IL"/>
        </w:rPr>
        <w:t>י</w:t>
      </w:r>
      <w:r w:rsidRPr="00400C0B">
        <w:rPr>
          <w:rFonts w:cs="Guttman Rashi"/>
          <w:rtl/>
          <w:lang w:bidi="he-IL"/>
        </w:rPr>
        <w:t>"</w:t>
      </w:r>
      <w:r w:rsidRPr="00400C0B">
        <w:rPr>
          <w:rFonts w:cs="Guttman Rashi" w:hint="eastAsia"/>
          <w:rtl/>
          <w:lang w:bidi="he-IL"/>
        </w:rPr>
        <w:t>ל</w:t>
      </w:r>
      <w:r w:rsidRPr="00400C0B">
        <w:rPr>
          <w:rFonts w:cs="Guttman Rashi"/>
          <w:rtl/>
          <w:lang w:bidi="he-IL"/>
        </w:rPr>
        <w:t xml:space="preserve"> </w:t>
      </w:r>
      <w:r w:rsidRPr="00400C0B">
        <w:rPr>
          <w:rFonts w:cs="Guttman Rashi" w:hint="eastAsia"/>
          <w:rtl/>
          <w:lang w:bidi="he-IL"/>
        </w:rPr>
        <w:t>שמ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בנוי</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שלפעמים</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חיי</w:t>
      </w:r>
      <w:r w:rsidRPr="00400C0B">
        <w:rPr>
          <w:rFonts w:cs="Guttman Rashi"/>
          <w:rtl/>
          <w:lang w:bidi="he-IL"/>
        </w:rPr>
        <w:t xml:space="preserve"> </w:t>
      </w:r>
      <w:r w:rsidRPr="00400C0B">
        <w:rPr>
          <w:rFonts w:cs="Guttman Rashi" w:hint="eastAsia"/>
          <w:rtl/>
          <w:lang w:bidi="he-IL"/>
        </w:rPr>
        <w:t>שעה</w:t>
      </w:r>
      <w:r w:rsidRPr="00400C0B">
        <w:rPr>
          <w:rFonts w:cs="Guttman Rashi"/>
          <w:rtl/>
          <w:lang w:bidi="he-IL"/>
        </w:rPr>
        <w:t xml:space="preserve"> </w:t>
      </w:r>
      <w:r w:rsidRPr="00400C0B">
        <w:rPr>
          <w:rFonts w:cs="Guttman Rashi" w:hint="eastAsia"/>
          <w:rtl/>
          <w:lang w:bidi="he-IL"/>
        </w:rPr>
        <w:t>וכגון</w:t>
      </w:r>
      <w:r w:rsidRPr="00400C0B">
        <w:rPr>
          <w:rFonts w:cs="Guttman Rashi"/>
          <w:rtl/>
          <w:lang w:bidi="he-IL"/>
        </w:rPr>
        <w:t xml:space="preserve"> </w:t>
      </w:r>
      <w:r w:rsidRPr="00400C0B">
        <w:rPr>
          <w:rFonts w:cs="Guttman Rashi" w:hint="eastAsia"/>
          <w:rtl/>
          <w:lang w:bidi="he-IL"/>
        </w:rPr>
        <w:t>דליכא</w:t>
      </w:r>
      <w:r w:rsidRPr="00400C0B">
        <w:rPr>
          <w:rFonts w:cs="Guttman Rashi"/>
          <w:rtl/>
          <w:lang w:bidi="he-IL"/>
        </w:rPr>
        <w:t xml:space="preserve"> </w:t>
      </w:r>
      <w:r w:rsidRPr="00400C0B">
        <w:rPr>
          <w:rFonts w:cs="Guttman Rashi" w:hint="eastAsia"/>
          <w:rtl/>
          <w:lang w:bidi="he-IL"/>
        </w:rPr>
        <w:t>פלטר</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 xml:space="preserve">, </w:t>
      </w:r>
      <w:r w:rsidRPr="00400C0B">
        <w:rPr>
          <w:rFonts w:cs="Guttman Rashi" w:hint="eastAsia"/>
          <w:rtl/>
          <w:lang w:bidi="he-IL"/>
        </w:rPr>
        <w:t>וכיון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לצורך</w:t>
      </w:r>
      <w:r w:rsidRPr="00400C0B">
        <w:rPr>
          <w:rFonts w:cs="Guttman Rashi"/>
          <w:rtl/>
          <w:lang w:bidi="he-IL"/>
        </w:rPr>
        <w:t xml:space="preserve"> </w:t>
      </w:r>
      <w:r w:rsidRPr="00400C0B">
        <w:rPr>
          <w:rFonts w:cs="Guttman Rashi" w:hint="eastAsia"/>
          <w:rtl/>
          <w:lang w:bidi="he-IL"/>
        </w:rPr>
        <w:t>לפעמים</w:t>
      </w:r>
      <w:r w:rsidRPr="00400C0B">
        <w:rPr>
          <w:rFonts w:cs="Guttman Rashi"/>
          <w:rtl/>
          <w:lang w:bidi="he-IL"/>
        </w:rPr>
        <w:t xml:space="preserve"> </w:t>
      </w:r>
      <w:r w:rsidRPr="00400C0B">
        <w:rPr>
          <w:rFonts w:cs="Guttman Rashi" w:hint="eastAsia"/>
          <w:rtl/>
          <w:lang w:bidi="he-IL"/>
        </w:rPr>
        <w:t>התירו</w:t>
      </w:r>
      <w:r w:rsidRPr="00400C0B">
        <w:rPr>
          <w:rFonts w:cs="Guttman Rashi"/>
          <w:rtl/>
          <w:lang w:bidi="he-IL"/>
        </w:rPr>
        <w:t xml:space="preserve"> </w:t>
      </w:r>
      <w:r w:rsidRPr="00400C0B">
        <w:rPr>
          <w:rFonts w:cs="Guttman Rashi" w:hint="eastAsia"/>
          <w:rtl/>
          <w:lang w:bidi="he-IL"/>
        </w:rPr>
        <w:t>לגמרי</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sidRPr="00400C0B">
        <w:rPr>
          <w:rFonts w:cs="Guttman Rashi" w:hint="eastAsia"/>
          <w:rtl/>
          <w:lang w:bidi="he-IL"/>
        </w:rPr>
        <w:t>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יסוד</w:t>
      </w:r>
      <w:r w:rsidRPr="00400C0B">
        <w:rPr>
          <w:rFonts w:cs="Guttman Rashi"/>
          <w:rtl/>
          <w:lang w:bidi="he-IL"/>
        </w:rPr>
        <w:t xml:space="preserve"> </w:t>
      </w:r>
      <w:r w:rsidRPr="00400C0B">
        <w:rPr>
          <w:rFonts w:cs="Guttman Rashi" w:hint="eastAsia"/>
          <w:rtl/>
          <w:lang w:bidi="he-IL"/>
        </w:rPr>
        <w:t>ההיתר</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חיי</w:t>
      </w:r>
      <w:r w:rsidRPr="00400C0B">
        <w:rPr>
          <w:rFonts w:cs="Guttman Rashi"/>
          <w:rtl/>
          <w:lang w:bidi="he-IL"/>
        </w:rPr>
        <w:t xml:space="preserve"> </w:t>
      </w:r>
      <w:r w:rsidRPr="00400C0B">
        <w:rPr>
          <w:rFonts w:cs="Guttman Rashi" w:hint="eastAsia"/>
          <w:rtl/>
          <w:lang w:bidi="he-IL"/>
        </w:rPr>
        <w:t>שעה</w:t>
      </w:r>
      <w:r w:rsidRPr="00400C0B">
        <w:rPr>
          <w:rFonts w:cs="Guttman Rashi"/>
          <w:rtl/>
          <w:lang w:bidi="he-IL"/>
        </w:rPr>
        <w:t xml:space="preserve">, </w:t>
      </w:r>
      <w:r w:rsidRPr="00400C0B">
        <w:rPr>
          <w:rFonts w:cs="Guttman Rashi" w:hint="eastAsia"/>
          <w:rtl/>
          <w:lang w:bidi="he-IL"/>
        </w:rPr>
        <w:t>ולכן</w:t>
      </w:r>
      <w:r w:rsidRPr="00400C0B">
        <w:rPr>
          <w:rFonts w:cs="Guttman Rashi"/>
          <w:rtl/>
          <w:lang w:bidi="he-IL"/>
        </w:rPr>
        <w:t xml:space="preserve"> </w:t>
      </w:r>
      <w:r w:rsidRPr="00400C0B">
        <w:rPr>
          <w:rFonts w:cs="Guttman Rashi" w:hint="eastAsia"/>
          <w:rtl/>
          <w:lang w:bidi="he-IL"/>
        </w:rPr>
        <w:t>בדאיכא</w:t>
      </w:r>
      <w:r w:rsidRPr="00400C0B">
        <w:rPr>
          <w:rFonts w:cs="Guttman Rashi"/>
          <w:rtl/>
          <w:lang w:bidi="he-IL"/>
        </w:rPr>
        <w:t xml:space="preserve"> </w:t>
      </w:r>
      <w:r w:rsidRPr="00400C0B">
        <w:rPr>
          <w:rFonts w:cs="Guttman Rashi" w:hint="eastAsia"/>
          <w:rtl/>
          <w:lang w:bidi="he-IL"/>
        </w:rPr>
        <w:t>חיי</w:t>
      </w:r>
      <w:r w:rsidRPr="00400C0B">
        <w:rPr>
          <w:rFonts w:cs="Guttman Rashi"/>
          <w:rtl/>
          <w:lang w:bidi="he-IL"/>
        </w:rPr>
        <w:t xml:space="preserve"> </w:t>
      </w:r>
      <w:r w:rsidRPr="00400C0B">
        <w:rPr>
          <w:rFonts w:cs="Guttman Rashi" w:hint="eastAsia"/>
          <w:rtl/>
          <w:lang w:bidi="he-IL"/>
        </w:rPr>
        <w:t>שעה</w:t>
      </w:r>
      <w:r w:rsidRPr="00400C0B">
        <w:rPr>
          <w:rFonts w:cs="Guttman Rashi"/>
          <w:rtl/>
          <w:lang w:bidi="he-IL"/>
        </w:rPr>
        <w:t xml:space="preserve"> </w:t>
      </w:r>
      <w:r w:rsidRPr="00400C0B">
        <w:rPr>
          <w:rFonts w:cs="Guttman Rashi" w:hint="eastAsia"/>
          <w:rtl/>
          <w:lang w:bidi="he-IL"/>
        </w:rPr>
        <w:t>בעיסת</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הקילו</w:t>
      </w:r>
      <w:r w:rsidRPr="00400C0B">
        <w:rPr>
          <w:rFonts w:cs="Guttman Rashi"/>
          <w:rtl/>
          <w:lang w:bidi="he-IL"/>
        </w:rPr>
        <w:t xml:space="preserve">. </w:t>
      </w:r>
      <w:r w:rsidRPr="00400C0B">
        <w:rPr>
          <w:rFonts w:cs="Guttman Rashi" w:hint="eastAsia"/>
          <w:rtl/>
          <w:lang w:bidi="he-IL"/>
        </w:rPr>
        <w:t>ועדיין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w:t>
      </w:r>
    </w:p>
  </w:footnote>
  <w:footnote w:id="610">
    <w:p w:rsidR="007978F4" w:rsidRPr="00400C0B" w:rsidRDefault="007978F4" w:rsidP="00A96BDF">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וביאור</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יוצא</w:t>
      </w:r>
      <w:r w:rsidRPr="00400C0B">
        <w:rPr>
          <w:rFonts w:cs="Guttman Rashi"/>
          <w:rtl/>
          <w:lang w:bidi="he-IL"/>
        </w:rPr>
        <w:t xml:space="preserve"> </w:t>
      </w:r>
      <w:r w:rsidRPr="00400C0B">
        <w:rPr>
          <w:rFonts w:cs="Guttman Rashi" w:hint="eastAsia"/>
          <w:rtl/>
          <w:lang w:bidi="he-IL"/>
        </w:rPr>
        <w:t>גם</w:t>
      </w:r>
      <w:r w:rsidRPr="00400C0B">
        <w:rPr>
          <w:rFonts w:cs="Guttman Rashi"/>
          <w:rtl/>
          <w:lang w:bidi="he-IL"/>
        </w:rPr>
        <w:t xml:space="preserve"> </w:t>
      </w:r>
      <w:r w:rsidRPr="00400C0B">
        <w:rPr>
          <w:rFonts w:cs="Guttman Rashi" w:hint="eastAsia"/>
          <w:rtl/>
          <w:lang w:bidi="he-IL"/>
        </w:rPr>
        <w:t>מהקדמת</w:t>
      </w:r>
      <w:r w:rsidRPr="00400C0B">
        <w:rPr>
          <w:rFonts w:cs="Guttman Rashi"/>
          <w:rtl/>
          <w:lang w:bidi="he-IL"/>
        </w:rPr>
        <w:t xml:space="preserve"> </w:t>
      </w:r>
      <w:r w:rsidRPr="00400C0B">
        <w:rPr>
          <w:rFonts w:cs="Guttman Rashi" w:hint="eastAsia"/>
          <w:rtl/>
          <w:lang w:bidi="he-IL"/>
        </w:rPr>
        <w:t>דבריו</w:t>
      </w:r>
      <w:r w:rsidRPr="00400C0B">
        <w:rPr>
          <w:rFonts w:cs="Guttman Rashi"/>
          <w:rtl/>
          <w:lang w:bidi="he-IL"/>
        </w:rPr>
        <w:t xml:space="preserve">, </w:t>
      </w:r>
      <w:r w:rsidRPr="00400C0B">
        <w:rPr>
          <w:rFonts w:cs="Guttman Rashi" w:hint="eastAsia"/>
          <w:rtl/>
          <w:lang w:bidi="he-IL"/>
        </w:rPr>
        <w:t>שרק</w:t>
      </w:r>
      <w:r w:rsidRPr="00400C0B">
        <w:rPr>
          <w:rFonts w:cs="Guttman Rashi"/>
          <w:rtl/>
          <w:lang w:bidi="he-IL"/>
        </w:rPr>
        <w:t xml:space="preserve"> </w:t>
      </w:r>
      <w:r w:rsidRPr="00400C0B">
        <w:rPr>
          <w:rFonts w:cs="Guttman Rashi" w:hint="eastAsia"/>
          <w:rtl/>
          <w:lang w:bidi="he-IL"/>
        </w:rPr>
        <w:t>בגלל</w:t>
      </w:r>
      <w:r w:rsidRPr="00400C0B">
        <w:rPr>
          <w:rFonts w:cs="Guttman Rashi"/>
          <w:rtl/>
          <w:lang w:bidi="he-IL"/>
        </w:rPr>
        <w:t xml:space="preserve"> </w:t>
      </w:r>
      <w:r w:rsidRPr="00400C0B">
        <w:rPr>
          <w:rFonts w:cs="Guttman Rashi" w:hint="eastAsia"/>
          <w:rtl/>
          <w:lang w:bidi="he-IL"/>
        </w:rPr>
        <w:t>שטעמו</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הטור</w:t>
      </w:r>
      <w:r w:rsidRPr="00400C0B">
        <w:rPr>
          <w:rFonts w:cs="Guttman Rashi"/>
          <w:rtl/>
          <w:lang w:bidi="he-IL"/>
        </w:rPr>
        <w:t xml:space="preserve"> </w:t>
      </w:r>
      <w:r w:rsidRPr="00400C0B">
        <w:rPr>
          <w:rFonts w:cs="Guttman Rashi" w:hint="eastAsia"/>
          <w:rtl/>
          <w:lang w:bidi="he-IL"/>
        </w:rPr>
        <w:t>להחמיר</w:t>
      </w:r>
      <w:r w:rsidRPr="00400C0B">
        <w:rPr>
          <w:rFonts w:cs="Guttman Rashi"/>
          <w:rtl/>
          <w:lang w:bidi="he-IL"/>
        </w:rPr>
        <w:t xml:space="preserve"> </w:t>
      </w:r>
      <w:r w:rsidRPr="00400C0B">
        <w:rPr>
          <w:rFonts w:cs="Guttman Rashi" w:hint="eastAsia"/>
          <w:rtl/>
          <w:lang w:bidi="he-IL"/>
        </w:rPr>
        <w:t>בשל</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מסברא</w:t>
      </w:r>
      <w:r w:rsidRPr="00400C0B">
        <w:rPr>
          <w:rFonts w:cs="Guttman Rashi"/>
          <w:rtl/>
          <w:lang w:bidi="he-IL"/>
        </w:rPr>
        <w:t xml:space="preserve"> </w:t>
      </w:r>
      <w:r w:rsidRPr="00400C0B">
        <w:rPr>
          <w:rFonts w:cs="Guttman Rashi" w:hint="eastAsia"/>
          <w:rtl/>
          <w:lang w:bidi="he-IL"/>
        </w:rPr>
        <w:t>שאין</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חיי</w:t>
      </w:r>
      <w:r w:rsidRPr="00400C0B">
        <w:rPr>
          <w:rFonts w:cs="Guttman Rashi"/>
          <w:rtl/>
          <w:lang w:bidi="he-IL"/>
        </w:rPr>
        <w:t xml:space="preserve"> </w:t>
      </w:r>
      <w:r w:rsidRPr="00400C0B">
        <w:rPr>
          <w:rFonts w:cs="Guttman Rashi" w:hint="eastAsia"/>
          <w:rtl/>
          <w:lang w:bidi="he-IL"/>
        </w:rPr>
        <w:t>נפש</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ממילא</w:t>
      </w:r>
      <w:r w:rsidRPr="00400C0B">
        <w:rPr>
          <w:rFonts w:cs="Guttman Rashi"/>
          <w:rtl/>
          <w:lang w:bidi="he-IL"/>
        </w:rPr>
        <w:t xml:space="preserve"> </w:t>
      </w:r>
      <w:r w:rsidRPr="00400C0B">
        <w:rPr>
          <w:rFonts w:cs="Guttman Rashi" w:hint="eastAsia"/>
          <w:rtl/>
          <w:lang w:bidi="he-IL"/>
        </w:rPr>
        <w:t>להקל</w:t>
      </w:r>
      <w:r w:rsidRPr="00400C0B">
        <w:rPr>
          <w:rFonts w:cs="Guttman Rashi"/>
          <w:rtl/>
          <w:lang w:bidi="he-IL"/>
        </w:rPr>
        <w:t xml:space="preserve"> </w:t>
      </w:r>
      <w:r w:rsidRPr="00400C0B">
        <w:rPr>
          <w:rFonts w:cs="Guttman Rashi" w:hint="eastAsia"/>
          <w:rtl/>
          <w:lang w:bidi="he-IL"/>
        </w:rPr>
        <w:t>בשל</w:t>
      </w:r>
      <w:r w:rsidRPr="00400C0B">
        <w:rPr>
          <w:rFonts w:cs="Guttman Rashi"/>
          <w:rtl/>
          <w:lang w:bidi="he-IL"/>
        </w:rPr>
        <w:t xml:space="preserve"> </w:t>
      </w:r>
      <w:r w:rsidRPr="00400C0B">
        <w:rPr>
          <w:rFonts w:cs="Guttman Rashi" w:hint="eastAsia"/>
          <w:rtl/>
          <w:lang w:bidi="he-IL"/>
        </w:rPr>
        <w:t>ישראל</w:t>
      </w:r>
      <w:r w:rsidRPr="00400C0B">
        <w:rPr>
          <w:rFonts w:cs="Guttman Rashi"/>
          <w:rtl/>
          <w:lang w:bidi="he-IL"/>
        </w:rPr>
        <w:t xml:space="preserve"> </w:t>
      </w:r>
      <w:r w:rsidRPr="00400C0B">
        <w:rPr>
          <w:rFonts w:cs="Guttman Rashi" w:hint="eastAsia"/>
          <w:rtl/>
          <w:lang w:bidi="he-IL"/>
        </w:rPr>
        <w:t>בדאית</w:t>
      </w:r>
      <w:r w:rsidRPr="00400C0B">
        <w:rPr>
          <w:rFonts w:cs="Guttman Rashi"/>
          <w:rtl/>
          <w:lang w:bidi="he-IL"/>
        </w:rPr>
        <w:t xml:space="preserve"> </w:t>
      </w:r>
      <w:r w:rsidRPr="00400C0B">
        <w:rPr>
          <w:rFonts w:cs="Guttman Rashi" w:hint="eastAsia"/>
          <w:rtl/>
          <w:lang w:bidi="he-IL"/>
        </w:rPr>
        <w:t>בהמשום</w:t>
      </w:r>
      <w:r w:rsidRPr="00400C0B">
        <w:rPr>
          <w:rFonts w:cs="Guttman Rashi"/>
          <w:rtl/>
          <w:lang w:bidi="he-IL"/>
        </w:rPr>
        <w:t xml:space="preserve"> </w:t>
      </w:r>
      <w:r w:rsidRPr="00400C0B">
        <w:rPr>
          <w:rFonts w:cs="Guttman Rashi" w:hint="eastAsia"/>
          <w:rtl/>
          <w:lang w:bidi="he-IL"/>
        </w:rPr>
        <w:t>חיי</w:t>
      </w:r>
      <w:r w:rsidRPr="00400C0B">
        <w:rPr>
          <w:rFonts w:cs="Guttman Rashi"/>
          <w:rtl/>
          <w:lang w:bidi="he-IL"/>
        </w:rPr>
        <w:t xml:space="preserve"> </w:t>
      </w:r>
      <w:r w:rsidRPr="00400C0B">
        <w:rPr>
          <w:rFonts w:cs="Guttman Rashi" w:hint="eastAsia"/>
          <w:rtl/>
          <w:lang w:bidi="he-IL"/>
        </w:rPr>
        <w:t>נפש</w:t>
      </w:r>
      <w:r w:rsidRPr="00400C0B">
        <w:rPr>
          <w:rFonts w:cs="Guttman Rashi"/>
          <w:rtl/>
          <w:lang w:bidi="he-IL"/>
        </w:rPr>
        <w:t>.</w:t>
      </w:r>
    </w:p>
  </w:footnote>
  <w:footnote w:id="611">
    <w:p w:rsidR="007978F4" w:rsidRPr="00400C0B" w:rsidRDefault="007978F4" w:rsidP="00A42D7B">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באר</w:t>
      </w:r>
      <w:r w:rsidRPr="00400C0B">
        <w:rPr>
          <w:rFonts w:cs="Guttman Rashi"/>
          <w:rtl/>
          <w:lang w:bidi="he-IL"/>
        </w:rPr>
        <w:t xml:space="preserve"> </w:t>
      </w:r>
      <w:r w:rsidRPr="00400C0B">
        <w:rPr>
          <w:rFonts w:cs="Guttman Rashi" w:hint="eastAsia"/>
          <w:rtl/>
          <w:lang w:bidi="he-IL"/>
        </w:rPr>
        <w:t>חיים</w:t>
      </w:r>
      <w:r w:rsidRPr="00400C0B">
        <w:rPr>
          <w:rFonts w:cs="Guttman Rashi"/>
          <w:rtl/>
          <w:lang w:bidi="he-IL"/>
        </w:rPr>
        <w:t xml:space="preserve"> </w:t>
      </w:r>
      <w:r w:rsidRPr="00400C0B">
        <w:rPr>
          <w:rFonts w:cs="Guttman Rashi" w:hint="eastAsia"/>
          <w:rtl/>
          <w:lang w:bidi="he-IL"/>
        </w:rPr>
        <w:t>עמ</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שהביא</w:t>
      </w:r>
      <w:r w:rsidRPr="00400C0B">
        <w:rPr>
          <w:rFonts w:cs="Guttman Rashi"/>
          <w:rtl/>
          <w:lang w:bidi="he-IL"/>
        </w:rPr>
        <w:t xml:space="preserve"> </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נפק</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שמאכל</w:t>
      </w:r>
      <w:r w:rsidRPr="00400C0B">
        <w:rPr>
          <w:rFonts w:cs="Guttman Rashi"/>
          <w:rtl/>
          <w:lang w:bidi="he-IL"/>
        </w:rPr>
        <w:t xml:space="preserve"> </w:t>
      </w:r>
      <w:r w:rsidRPr="00400C0B">
        <w:rPr>
          <w:rFonts w:cs="Guttman Rashi" w:hint="eastAsia"/>
          <w:rtl/>
          <w:lang w:bidi="he-IL"/>
        </w:rPr>
        <w:t>יהי</w:t>
      </w:r>
      <w:r w:rsidRPr="00400C0B">
        <w:rPr>
          <w:rFonts w:cs="Guttman Rashi"/>
          <w:rtl/>
          <w:lang w:bidi="he-IL"/>
        </w:rPr>
        <w:t xml:space="preserve">' </w:t>
      </w:r>
      <w:r w:rsidRPr="00400C0B">
        <w:rPr>
          <w:rFonts w:cs="Guttman Rashi" w:hint="eastAsia"/>
          <w:rtl/>
          <w:lang w:bidi="he-IL"/>
        </w:rPr>
        <w:t>דינו</w:t>
      </w:r>
      <w:r w:rsidRPr="00400C0B">
        <w:rPr>
          <w:rFonts w:cs="Guttman Rashi"/>
          <w:rtl/>
          <w:lang w:bidi="he-IL"/>
        </w:rPr>
        <w:t xml:space="preserve"> </w:t>
      </w:r>
      <w:r w:rsidRPr="00400C0B">
        <w:rPr>
          <w:rFonts w:cs="Guttman Rashi" w:hint="eastAsia"/>
          <w:rtl/>
          <w:lang w:bidi="he-IL"/>
        </w:rPr>
        <w:t>כפת</w:t>
      </w:r>
      <w:r w:rsidRPr="00400C0B">
        <w:rPr>
          <w:rFonts w:cs="Guttman Rashi"/>
          <w:rtl/>
          <w:lang w:bidi="he-IL"/>
        </w:rPr>
        <w:t xml:space="preserve">: 1)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הקולות</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פת</w:t>
      </w:r>
      <w:r w:rsidRPr="00400C0B">
        <w:rPr>
          <w:rFonts w:cs="Guttman Rashi"/>
          <w:rtl/>
          <w:lang w:bidi="he-IL"/>
        </w:rPr>
        <w:t xml:space="preserve"> </w:t>
      </w:r>
      <w:r w:rsidRPr="00400C0B">
        <w:rPr>
          <w:rFonts w:cs="Guttman Rashi" w:hint="eastAsia"/>
          <w:rtl/>
          <w:lang w:bidi="he-IL"/>
        </w:rPr>
        <w:t>פלטר</w:t>
      </w:r>
      <w:r w:rsidRPr="00400C0B">
        <w:rPr>
          <w:rFonts w:cs="Guttman Rashi"/>
          <w:rtl/>
          <w:lang w:bidi="he-IL"/>
        </w:rPr>
        <w:t xml:space="preserve"> </w:t>
      </w:r>
      <w:r w:rsidRPr="00400C0B">
        <w:rPr>
          <w:rFonts w:cs="Guttman Rashi" w:hint="eastAsia"/>
          <w:rtl/>
          <w:lang w:bidi="he-IL"/>
        </w:rPr>
        <w:t>וכדומה</w:t>
      </w:r>
      <w:r w:rsidRPr="00400C0B">
        <w:rPr>
          <w:rFonts w:cs="Guttman Rashi"/>
          <w:rtl/>
          <w:lang w:bidi="he-IL"/>
        </w:rPr>
        <w:t xml:space="preserve">, 2)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יהי</w:t>
      </w:r>
      <w:r w:rsidRPr="00400C0B">
        <w:rPr>
          <w:rFonts w:cs="Guttman Rashi"/>
          <w:rtl/>
          <w:lang w:bidi="he-IL"/>
        </w:rPr>
        <w:t xml:space="preserve">' </w:t>
      </w:r>
      <w:r w:rsidRPr="00400C0B">
        <w:rPr>
          <w:rFonts w:cs="Guttman Rashi" w:hint="eastAsia"/>
          <w:rtl/>
          <w:lang w:bidi="he-IL"/>
        </w:rPr>
        <w:t>מותר</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הדלקת</w:t>
      </w:r>
      <w:r w:rsidRPr="00400C0B">
        <w:rPr>
          <w:rFonts w:cs="Guttman Rashi"/>
          <w:rtl/>
          <w:lang w:bidi="he-IL"/>
        </w:rPr>
        <w:t xml:space="preserve"> </w:t>
      </w:r>
      <w:r w:rsidRPr="00400C0B">
        <w:rPr>
          <w:rFonts w:cs="Guttman Rashi" w:hint="eastAsia"/>
          <w:rtl/>
          <w:lang w:bidi="he-IL"/>
        </w:rPr>
        <w:t>אש</w:t>
      </w:r>
      <w:r w:rsidRPr="00400C0B">
        <w:rPr>
          <w:rFonts w:cs="Guttman Rashi"/>
          <w:rtl/>
          <w:lang w:bidi="he-IL"/>
        </w:rPr>
        <w:t xml:space="preserve"> </w:t>
      </w:r>
      <w:r w:rsidRPr="00400C0B">
        <w:rPr>
          <w:rFonts w:cs="Guttman Rashi" w:hint="eastAsia"/>
          <w:rtl/>
          <w:lang w:bidi="he-IL"/>
        </w:rPr>
        <w:t>התנור</w:t>
      </w:r>
      <w:r w:rsidRPr="00400C0B">
        <w:rPr>
          <w:rFonts w:cs="Guttman Rashi"/>
          <w:rtl/>
          <w:lang w:bidi="he-IL"/>
        </w:rPr>
        <w:t xml:space="preserve"> </w:t>
      </w:r>
      <w:r w:rsidRPr="00400C0B">
        <w:rPr>
          <w:rFonts w:cs="Guttman Rashi" w:hint="eastAsia"/>
          <w:rtl/>
          <w:lang w:bidi="he-IL"/>
        </w:rPr>
        <w:t>בלבד</w:t>
      </w:r>
      <w:r w:rsidRPr="00400C0B">
        <w:rPr>
          <w:rFonts w:cs="Guttman Rashi"/>
          <w:rtl/>
          <w:lang w:bidi="he-IL"/>
        </w:rPr>
        <w:t xml:space="preserve"> </w:t>
      </w:r>
      <w:r w:rsidRPr="00400C0B">
        <w:rPr>
          <w:rFonts w:cs="Guttman Rashi" w:hint="eastAsia"/>
          <w:rtl/>
          <w:lang w:bidi="he-IL"/>
        </w:rPr>
        <w:t>לשיטת</w:t>
      </w:r>
      <w:r w:rsidRPr="00400C0B">
        <w:rPr>
          <w:rFonts w:cs="Guttman Rashi"/>
          <w:rtl/>
          <w:lang w:bidi="he-IL"/>
        </w:rPr>
        <w:t xml:space="preserve"> </w:t>
      </w:r>
      <w:r w:rsidRPr="00400C0B">
        <w:rPr>
          <w:rFonts w:cs="Guttman Rashi" w:hint="eastAsia"/>
          <w:rtl/>
          <w:lang w:bidi="he-IL"/>
        </w:rPr>
        <w:t>המחבר</w:t>
      </w:r>
      <w:r w:rsidRPr="00400C0B">
        <w:rPr>
          <w:rFonts w:cs="Guttman Rashi"/>
          <w:rtl/>
          <w:lang w:bidi="he-IL"/>
        </w:rPr>
        <w:t xml:space="preserve">, 3)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יהי</w:t>
      </w:r>
      <w:r w:rsidRPr="00400C0B">
        <w:rPr>
          <w:rFonts w:cs="Guttman Rashi"/>
          <w:rtl/>
          <w:lang w:bidi="he-IL"/>
        </w:rPr>
        <w:t xml:space="preserve">' </w:t>
      </w:r>
      <w:r w:rsidRPr="00400C0B">
        <w:rPr>
          <w:rFonts w:cs="Guttman Rashi" w:hint="eastAsia"/>
          <w:rtl/>
          <w:lang w:bidi="he-IL"/>
        </w:rPr>
        <w:t>בטלל</w:t>
      </w:r>
      <w:r w:rsidRPr="00400C0B">
        <w:rPr>
          <w:rFonts w:cs="Guttman Rashi"/>
          <w:rtl/>
          <w:lang w:bidi="he-IL"/>
        </w:rPr>
        <w:t xml:space="preserve"> </w:t>
      </w:r>
      <w:r w:rsidRPr="00400C0B">
        <w:rPr>
          <w:rFonts w:cs="Guttman Rashi" w:hint="eastAsia"/>
          <w:rtl/>
          <w:lang w:bidi="he-IL"/>
        </w:rPr>
        <w:t>ברוב</w:t>
      </w:r>
      <w:r w:rsidRPr="00400C0B">
        <w:rPr>
          <w:rFonts w:cs="Guttman Rashi"/>
          <w:rtl/>
          <w:lang w:bidi="he-IL"/>
        </w:rPr>
        <w:t xml:space="preserve"> </w:t>
      </w:r>
      <w:r w:rsidRPr="00400C0B">
        <w:rPr>
          <w:rFonts w:cs="Guttman Rashi" w:hint="eastAsia"/>
          <w:rtl/>
          <w:lang w:bidi="he-IL"/>
        </w:rPr>
        <w:t>או</w:t>
      </w:r>
      <w:r w:rsidRPr="00400C0B">
        <w:rPr>
          <w:rFonts w:cs="Guttman Rashi"/>
          <w:rtl/>
          <w:lang w:bidi="he-IL"/>
        </w:rPr>
        <w:t xml:space="preserve"> </w:t>
      </w:r>
      <w:r w:rsidRPr="00400C0B">
        <w:rPr>
          <w:rFonts w:cs="Guttman Rashi" w:hint="eastAsia"/>
          <w:rtl/>
          <w:lang w:bidi="he-IL"/>
        </w:rPr>
        <w:t>בששים</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מחלקים</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בין</w:t>
      </w:r>
      <w:r w:rsidRPr="00400C0B">
        <w:rPr>
          <w:rFonts w:cs="Guttman Rashi"/>
          <w:rtl/>
          <w:lang w:bidi="he-IL"/>
        </w:rPr>
        <w:t xml:space="preserve"> </w:t>
      </w:r>
      <w:r w:rsidRPr="00400C0B">
        <w:rPr>
          <w:rFonts w:cs="Guttman Rashi" w:hint="eastAsia"/>
          <w:rtl/>
          <w:lang w:bidi="he-IL"/>
        </w:rPr>
        <w:t>איסור</w:t>
      </w:r>
      <w:r w:rsidRPr="00400C0B">
        <w:rPr>
          <w:rFonts w:cs="Guttman Rashi"/>
          <w:rtl/>
          <w:lang w:bidi="he-IL"/>
        </w:rPr>
        <w:t xml:space="preserve"> </w:t>
      </w:r>
      <w:r w:rsidRPr="00400C0B">
        <w:rPr>
          <w:rFonts w:cs="Guttman Rashi" w:hint="eastAsia"/>
          <w:rtl/>
          <w:lang w:bidi="he-IL"/>
        </w:rPr>
        <w:t>שלקות</w:t>
      </w:r>
      <w:r w:rsidRPr="00400C0B">
        <w:rPr>
          <w:rFonts w:cs="Guttman Rashi"/>
          <w:rtl/>
          <w:lang w:bidi="he-IL"/>
        </w:rPr>
        <w:t xml:space="preserve"> </w:t>
      </w:r>
      <w:r w:rsidRPr="00400C0B">
        <w:rPr>
          <w:rFonts w:cs="Guttman Rashi" w:hint="eastAsia"/>
          <w:rtl/>
          <w:lang w:bidi="he-IL"/>
        </w:rPr>
        <w:t>לאיסור</w:t>
      </w:r>
      <w:r w:rsidRPr="00400C0B">
        <w:rPr>
          <w:rFonts w:cs="Guttman Rashi"/>
          <w:rtl/>
          <w:lang w:bidi="he-IL"/>
        </w:rPr>
        <w:t xml:space="preserve"> </w:t>
      </w:r>
      <w:r w:rsidRPr="00400C0B">
        <w:rPr>
          <w:rFonts w:cs="Guttman Rashi" w:hint="eastAsia"/>
          <w:rtl/>
          <w:lang w:bidi="he-IL"/>
        </w:rPr>
        <w:t>פת</w:t>
      </w:r>
      <w:r w:rsidRPr="00400C0B">
        <w:rPr>
          <w:rFonts w:cs="Guttman Rashi"/>
          <w:rtl/>
          <w:lang w:bidi="he-IL"/>
        </w:rPr>
        <w:t xml:space="preserve">),4) </w:t>
      </w:r>
      <w:r w:rsidRPr="00400C0B">
        <w:rPr>
          <w:rFonts w:cs="Guttman Rashi" w:hint="eastAsia"/>
          <w:rtl/>
          <w:lang w:bidi="he-IL"/>
        </w:rPr>
        <w:t>שיטת</w:t>
      </w:r>
      <w:r w:rsidRPr="00400C0B">
        <w:rPr>
          <w:rFonts w:cs="Guttman Rashi"/>
          <w:rtl/>
          <w:lang w:bidi="he-IL"/>
        </w:rPr>
        <w:t xml:space="preserve"> </w:t>
      </w:r>
      <w:r w:rsidRPr="00400C0B">
        <w:rPr>
          <w:rFonts w:cs="Guttman Rashi" w:hint="eastAsia"/>
          <w:rtl/>
          <w:lang w:bidi="he-IL"/>
        </w:rPr>
        <w:t>המש</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סי</w:t>
      </w:r>
      <w:r w:rsidRPr="00400C0B">
        <w:rPr>
          <w:rFonts w:cs="Guttman Rashi"/>
          <w:rtl/>
          <w:lang w:bidi="he-IL"/>
        </w:rPr>
        <w:t xml:space="preserve">' </w:t>
      </w:r>
      <w:r w:rsidRPr="00400C0B">
        <w:rPr>
          <w:rFonts w:cs="Guttman Rashi" w:hint="eastAsia"/>
          <w:rtl/>
          <w:lang w:bidi="he-IL"/>
        </w:rPr>
        <w:t>קי</w:t>
      </w:r>
      <w:r w:rsidRPr="00400C0B">
        <w:rPr>
          <w:rFonts w:cs="Guttman Rashi"/>
          <w:rtl/>
          <w:lang w:bidi="he-IL"/>
        </w:rPr>
        <w:t>"</w:t>
      </w:r>
      <w:r w:rsidRPr="00400C0B">
        <w:rPr>
          <w:rFonts w:cs="Guttman Rashi" w:hint="eastAsia"/>
          <w:rtl/>
          <w:lang w:bidi="he-IL"/>
        </w:rPr>
        <w:t>ב</w:t>
      </w:r>
      <w:r w:rsidRPr="00400C0B">
        <w:rPr>
          <w:rFonts w:cs="Guttman Rashi"/>
          <w:rtl/>
          <w:lang w:bidi="he-IL"/>
        </w:rPr>
        <w:t xml:space="preserve"> </w:t>
      </w:r>
      <w:r w:rsidRPr="00400C0B">
        <w:rPr>
          <w:rFonts w:cs="Guttman Rashi" w:hint="eastAsia"/>
          <w:rtl/>
          <w:lang w:bidi="he-IL"/>
        </w:rPr>
        <w:t>ס</w:t>
      </w:r>
      <w:r w:rsidRPr="00400C0B">
        <w:rPr>
          <w:rFonts w:cs="Guttman Rashi"/>
          <w:rtl/>
          <w:lang w:bidi="he-IL"/>
        </w:rPr>
        <w:t>"</w:t>
      </w:r>
      <w:r w:rsidRPr="00400C0B">
        <w:rPr>
          <w:rFonts w:cs="Guttman Rashi" w:hint="eastAsia"/>
          <w:rtl/>
          <w:lang w:bidi="he-IL"/>
        </w:rPr>
        <w:t>ק</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 xml:space="preserve">') </w:t>
      </w:r>
      <w:r w:rsidRPr="00400C0B">
        <w:rPr>
          <w:rFonts w:cs="Guttman Rashi" w:hint="eastAsia"/>
          <w:rtl/>
          <w:lang w:bidi="he-IL"/>
        </w:rPr>
        <w:t>שפת</w:t>
      </w:r>
      <w:r w:rsidRPr="00400C0B">
        <w:rPr>
          <w:rFonts w:cs="Guttman Rashi"/>
          <w:rtl/>
          <w:lang w:bidi="he-IL"/>
        </w:rPr>
        <w:t xml:space="preserve"> </w:t>
      </w:r>
      <w:r w:rsidRPr="00400C0B">
        <w:rPr>
          <w:rFonts w:cs="Guttman Rashi" w:hint="eastAsia"/>
          <w:rtl/>
          <w:lang w:bidi="he-IL"/>
        </w:rPr>
        <w:t>עכו</w:t>
      </w:r>
      <w:r w:rsidRPr="00400C0B">
        <w:rPr>
          <w:rFonts w:cs="Guttman Rashi"/>
          <w:rtl/>
          <w:lang w:bidi="he-IL"/>
        </w:rPr>
        <w:t>"</w:t>
      </w:r>
      <w:r w:rsidRPr="00400C0B">
        <w:rPr>
          <w:rFonts w:cs="Guttman Rashi" w:hint="eastAsia"/>
          <w:rtl/>
          <w:lang w:bidi="he-IL"/>
        </w:rPr>
        <w:t>ם</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אינו</w:t>
      </w:r>
      <w:r w:rsidRPr="00400C0B">
        <w:rPr>
          <w:rFonts w:cs="Guttman Rashi"/>
          <w:rtl/>
          <w:lang w:bidi="he-IL"/>
        </w:rPr>
        <w:t xml:space="preserve"> </w:t>
      </w:r>
      <w:r w:rsidRPr="00400C0B">
        <w:rPr>
          <w:rFonts w:cs="Guttman Rashi" w:hint="eastAsia"/>
          <w:rtl/>
          <w:lang w:bidi="he-IL"/>
        </w:rPr>
        <w:t>עולה</w:t>
      </w:r>
      <w:r w:rsidRPr="00400C0B">
        <w:rPr>
          <w:rFonts w:cs="Guttman Rashi"/>
          <w:rtl/>
          <w:lang w:bidi="he-IL"/>
        </w:rPr>
        <w:t xml:space="preserve"> </w:t>
      </w:r>
      <w:r w:rsidRPr="00400C0B">
        <w:rPr>
          <w:rFonts w:cs="Guttman Rashi" w:hint="eastAsia"/>
          <w:rtl/>
          <w:lang w:bidi="he-IL"/>
        </w:rPr>
        <w:t>על</w:t>
      </w:r>
      <w:r w:rsidRPr="00400C0B">
        <w:rPr>
          <w:rFonts w:cs="Guttman Rashi"/>
          <w:rtl/>
          <w:lang w:bidi="he-IL"/>
        </w:rPr>
        <w:t xml:space="preserve"> </w:t>
      </w:r>
      <w:r w:rsidRPr="00400C0B">
        <w:rPr>
          <w:rFonts w:cs="Guttman Rashi" w:hint="eastAsia"/>
          <w:rtl/>
          <w:lang w:bidi="he-IL"/>
        </w:rPr>
        <w:t>שולחן</w:t>
      </w:r>
      <w:r w:rsidRPr="00400C0B">
        <w:rPr>
          <w:rFonts w:cs="Guttman Rashi"/>
          <w:rtl/>
          <w:lang w:bidi="he-IL"/>
        </w:rPr>
        <w:t xml:space="preserve"> </w:t>
      </w:r>
      <w:r w:rsidRPr="00400C0B">
        <w:rPr>
          <w:rFonts w:cs="Guttman Rashi" w:hint="eastAsia"/>
          <w:rtl/>
          <w:lang w:bidi="he-IL"/>
        </w:rPr>
        <w:t>מלכים</w:t>
      </w:r>
      <w:r w:rsidRPr="00400C0B">
        <w:rPr>
          <w:rFonts w:cs="Guttman Rashi"/>
          <w:rtl/>
          <w:lang w:bidi="he-IL"/>
        </w:rPr>
        <w:t xml:space="preserve">. </w:t>
      </w:r>
    </w:p>
  </w:footnote>
  <w:footnote w:id="612">
    <w:p w:rsidR="007978F4" w:rsidRPr="00400C0B" w:rsidRDefault="007978F4" w:rsidP="00B80448">
      <w:pPr>
        <w:pStyle w:val="FootnoteText"/>
        <w:bidi/>
        <w:jc w:val="both"/>
        <w:rPr>
          <w:rFonts w:cs="Guttman Rashi"/>
          <w:rtl/>
          <w:lang w:bidi="he-IL"/>
        </w:rPr>
      </w:pPr>
      <w:r w:rsidRPr="00400C0B">
        <w:rPr>
          <w:rStyle w:val="FootnoteReference"/>
          <w:rFonts w:cs="Guttman Rashi"/>
        </w:rPr>
        <w:footnoteRef/>
      </w:r>
      <w:r w:rsidRPr="00400C0B">
        <w:rPr>
          <w:rFonts w:cs="Guttman Rashi"/>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ש</w:t>
      </w:r>
      <w:r w:rsidRPr="00400C0B">
        <w:rPr>
          <w:rFonts w:cs="Guttman Rashi"/>
          <w:rtl/>
          <w:lang w:bidi="he-IL"/>
        </w:rPr>
        <w:t xml:space="preserve"> </w:t>
      </w:r>
      <w:r w:rsidRPr="00400C0B">
        <w:rPr>
          <w:rFonts w:cs="Guttman Rashi" w:hint="eastAsia"/>
          <w:rtl/>
          <w:lang w:bidi="he-IL"/>
        </w:rPr>
        <w:t>בס</w:t>
      </w:r>
      <w:r w:rsidRPr="00400C0B">
        <w:rPr>
          <w:rFonts w:cs="Guttman Rashi"/>
          <w:rtl/>
          <w:lang w:bidi="he-IL"/>
        </w:rPr>
        <w:t xml:space="preserve">' </w:t>
      </w:r>
      <w:r w:rsidRPr="00400C0B">
        <w:rPr>
          <w:rFonts w:cs="Guttman Rashi" w:hint="eastAsia"/>
          <w:rtl/>
          <w:lang w:bidi="he-IL"/>
        </w:rPr>
        <w:t>באר</w:t>
      </w:r>
      <w:r w:rsidRPr="00400C0B">
        <w:rPr>
          <w:rFonts w:cs="Guttman Rashi"/>
          <w:rtl/>
          <w:lang w:bidi="he-IL"/>
        </w:rPr>
        <w:t xml:space="preserve"> </w:t>
      </w:r>
      <w:r w:rsidRPr="00400C0B">
        <w:rPr>
          <w:rFonts w:cs="Guttman Rashi" w:hint="eastAsia"/>
          <w:rtl/>
          <w:lang w:bidi="he-IL"/>
        </w:rPr>
        <w:t>חיים</w:t>
      </w:r>
      <w:r w:rsidRPr="00400C0B">
        <w:rPr>
          <w:rFonts w:cs="Guttman Rashi"/>
          <w:rtl/>
          <w:lang w:bidi="he-IL"/>
        </w:rPr>
        <w:t xml:space="preserve"> </w:t>
      </w:r>
      <w:r w:rsidRPr="00400C0B">
        <w:rPr>
          <w:rFonts w:cs="Guttman Rashi" w:hint="eastAsia"/>
          <w:rtl/>
          <w:lang w:bidi="he-IL"/>
        </w:rPr>
        <w:t>שדן</w:t>
      </w:r>
      <w:r w:rsidRPr="00400C0B">
        <w:rPr>
          <w:rFonts w:cs="Guttman Rashi"/>
          <w:rtl/>
          <w:lang w:bidi="he-IL"/>
        </w:rPr>
        <w:t xml:space="preserve"> </w:t>
      </w:r>
      <w:r w:rsidRPr="00400C0B">
        <w:rPr>
          <w:rFonts w:cs="Guttman Rashi" w:hint="eastAsia"/>
          <w:rtl/>
          <w:lang w:bidi="he-IL"/>
        </w:rPr>
        <w:t>ג</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בוופלים</w:t>
      </w:r>
      <w:r w:rsidRPr="00400C0B">
        <w:rPr>
          <w:rFonts w:cs="Guttman Rashi"/>
          <w:rtl/>
          <w:lang w:bidi="he-IL"/>
        </w:rPr>
        <w:t xml:space="preserve">, </w:t>
      </w:r>
      <w:r w:rsidRPr="00400C0B">
        <w:rPr>
          <w:rFonts w:cs="Guttman Rashi" w:hint="eastAsia"/>
          <w:rtl/>
          <w:lang w:bidi="he-IL"/>
        </w:rPr>
        <w:t>אטריות</w:t>
      </w:r>
      <w:r w:rsidRPr="00400C0B">
        <w:rPr>
          <w:rFonts w:cs="Guttman Rashi"/>
          <w:rtl/>
          <w:lang w:bidi="he-IL"/>
        </w:rPr>
        <w:t xml:space="preserve">, </w:t>
      </w:r>
      <w:r w:rsidRPr="00400C0B">
        <w:rPr>
          <w:rFonts w:cs="Guttman Rashi" w:hint="eastAsia"/>
          <w:rtl/>
          <w:lang w:bidi="he-IL"/>
        </w:rPr>
        <w:t>וקוגל</w:t>
      </w:r>
      <w:r w:rsidRPr="00400C0B">
        <w:rPr>
          <w:rFonts w:cs="Guttman Rashi"/>
          <w:rtl/>
          <w:lang w:bidi="he-IL"/>
        </w:rPr>
        <w:t xml:space="preserve"> </w:t>
      </w:r>
      <w:r w:rsidRPr="00400C0B">
        <w:rPr>
          <w:rFonts w:cs="Guttman Rashi" w:hint="eastAsia"/>
          <w:rtl/>
          <w:lang w:bidi="he-IL"/>
        </w:rPr>
        <w:t>ירושלמי</w:t>
      </w:r>
      <w:r w:rsidRPr="00400C0B">
        <w:rPr>
          <w:rFonts w:cs="Guttman Rashi"/>
          <w:rtl/>
          <w:lang w:bidi="he-IL"/>
        </w:rPr>
        <w:t>.</w:t>
      </w:r>
    </w:p>
  </w:footnote>
  <w:footnote w:id="613">
    <w:p w:rsidR="007978F4" w:rsidRPr="00400C0B" w:rsidRDefault="007978F4" w:rsidP="00172492">
      <w:pPr>
        <w:pStyle w:val="FootnoteText"/>
        <w:bidi/>
        <w:ind w:right="144"/>
        <w:jc w:val="both"/>
        <w:rPr>
          <w:rFonts w:cs="Guttman Rashi"/>
          <w:rtl/>
          <w:lang w:bidi="he-IL"/>
        </w:rPr>
      </w:pPr>
      <w:r>
        <w:rPr>
          <w:rStyle w:val="FootnoteReference"/>
        </w:rPr>
        <w:footnoteRef/>
      </w:r>
      <w:r>
        <w:t xml:space="preserve"> </w:t>
      </w:r>
      <w:r w:rsidRPr="00400C0B">
        <w:rPr>
          <w:rFonts w:cs="Guttman Rashi" w:hint="eastAsia"/>
          <w:rtl/>
          <w:lang w:bidi="he-IL"/>
        </w:rPr>
        <w:t>שוב</w:t>
      </w:r>
      <w:r w:rsidRPr="00400C0B">
        <w:rPr>
          <w:rFonts w:cs="Guttman Rashi"/>
          <w:rtl/>
          <w:lang w:bidi="he-IL"/>
        </w:rPr>
        <w:t xml:space="preserve"> </w:t>
      </w:r>
      <w:r w:rsidRPr="00400C0B">
        <w:rPr>
          <w:rFonts w:cs="Guttman Rashi" w:hint="eastAsia"/>
          <w:rtl/>
          <w:lang w:bidi="he-IL"/>
        </w:rPr>
        <w:t>העיר</w:t>
      </w:r>
      <w:r w:rsidRPr="00400C0B">
        <w:rPr>
          <w:rFonts w:cs="Guttman Rashi"/>
          <w:rtl/>
          <w:lang w:bidi="he-IL"/>
        </w:rPr>
        <w:t xml:space="preserve"> </w:t>
      </w:r>
      <w:r w:rsidRPr="00400C0B">
        <w:rPr>
          <w:rFonts w:cs="Guttman Rashi" w:hint="eastAsia"/>
          <w:rtl/>
          <w:lang w:bidi="he-IL"/>
        </w:rPr>
        <w:t>לי</w:t>
      </w:r>
      <w:r w:rsidRPr="00400C0B">
        <w:rPr>
          <w:rFonts w:cs="Guttman Rashi"/>
          <w:rtl/>
          <w:lang w:bidi="he-IL"/>
        </w:rPr>
        <w:t xml:space="preserve"> </w:t>
      </w:r>
      <w:r w:rsidRPr="00400C0B">
        <w:rPr>
          <w:rFonts w:cs="Guttman Rashi" w:hint="eastAsia"/>
          <w:rtl/>
          <w:lang w:bidi="he-IL"/>
        </w:rPr>
        <w:t>הג</w:t>
      </w:r>
      <w:r w:rsidRPr="00400C0B">
        <w:rPr>
          <w:rFonts w:cs="Guttman Rashi"/>
          <w:rtl/>
          <w:lang w:bidi="he-IL"/>
        </w:rPr>
        <w:t>"</w:t>
      </w:r>
      <w:r w:rsidRPr="00400C0B">
        <w:rPr>
          <w:rFonts w:cs="Guttman Rashi" w:hint="eastAsia"/>
          <w:rtl/>
          <w:lang w:bidi="he-IL"/>
        </w:rPr>
        <w:t>ר</w:t>
      </w:r>
      <w:r w:rsidRPr="00400C0B">
        <w:rPr>
          <w:rFonts w:cs="Guttman Rashi"/>
          <w:rtl/>
          <w:lang w:bidi="he-IL"/>
        </w:rPr>
        <w:t xml:space="preserve"> </w:t>
      </w:r>
      <w:r w:rsidRPr="00400C0B">
        <w:rPr>
          <w:rFonts w:cs="Guttman Rashi" w:hint="eastAsia"/>
          <w:rtl/>
          <w:lang w:bidi="he-IL"/>
        </w:rPr>
        <w:t>מאיר</w:t>
      </w:r>
      <w:r w:rsidRPr="00400C0B">
        <w:rPr>
          <w:rFonts w:cs="Guttman Rashi"/>
          <w:rtl/>
          <w:lang w:bidi="he-IL"/>
        </w:rPr>
        <w:t xml:space="preserve"> </w:t>
      </w:r>
      <w:r w:rsidRPr="00400C0B">
        <w:rPr>
          <w:rFonts w:cs="Guttman Rashi" w:hint="eastAsia"/>
          <w:rtl/>
          <w:lang w:bidi="he-IL"/>
        </w:rPr>
        <w:t>קויפמן</w:t>
      </w:r>
      <w:r w:rsidRPr="00400C0B">
        <w:rPr>
          <w:rFonts w:cs="Guttman Rashi"/>
          <w:rtl/>
          <w:lang w:bidi="he-IL"/>
        </w:rPr>
        <w:t xml:space="preserve"> </w:t>
      </w:r>
      <w:r w:rsidRPr="00400C0B">
        <w:rPr>
          <w:rFonts w:cs="Guttman Rashi" w:hint="eastAsia"/>
          <w:rtl/>
          <w:lang w:bidi="he-IL"/>
        </w:rPr>
        <w:t>שליט</w:t>
      </w:r>
      <w:r w:rsidRPr="00400C0B">
        <w:rPr>
          <w:rFonts w:cs="Guttman Rashi"/>
          <w:rtl/>
          <w:lang w:bidi="he-IL"/>
        </w:rPr>
        <w:t>"</w:t>
      </w:r>
      <w:r w:rsidRPr="00400C0B">
        <w:rPr>
          <w:rFonts w:cs="Guttman Rashi" w:hint="eastAsia"/>
          <w:rtl/>
          <w:lang w:bidi="he-IL"/>
        </w:rPr>
        <w:t>א</w:t>
      </w:r>
      <w:r w:rsidRPr="00400C0B">
        <w:rPr>
          <w:rFonts w:cs="Guttman Rashi"/>
          <w:rtl/>
          <w:lang w:bidi="he-IL"/>
        </w:rPr>
        <w:t xml:space="preserve"> </w:t>
      </w:r>
      <w:r>
        <w:rPr>
          <w:rFonts w:cs="Guttman Rashi" w:hint="cs"/>
          <w:rtl/>
          <w:lang w:bidi="he-IL"/>
        </w:rPr>
        <w:t xml:space="preserve">(וכן העיר במילואים להגהות צפחת שמן הנ"ל) </w:t>
      </w:r>
      <w:r w:rsidRPr="00400C0B">
        <w:rPr>
          <w:rFonts w:cs="Guttman Rashi" w:hint="eastAsia"/>
          <w:rtl/>
          <w:lang w:bidi="he-IL"/>
        </w:rPr>
        <w:t>שלכאורה</w:t>
      </w:r>
      <w:r w:rsidRPr="00400C0B">
        <w:rPr>
          <w:rFonts w:cs="Guttman Rashi"/>
          <w:rtl/>
          <w:lang w:bidi="he-IL"/>
        </w:rPr>
        <w:t xml:space="preserve"> </w:t>
      </w:r>
      <w:r w:rsidRPr="00400C0B">
        <w:rPr>
          <w:rFonts w:cs="Guttman Rashi" w:hint="eastAsia"/>
          <w:rtl/>
          <w:lang w:bidi="he-IL"/>
        </w:rPr>
        <w:t>כן</w:t>
      </w:r>
      <w:r w:rsidRPr="00400C0B">
        <w:rPr>
          <w:rFonts w:cs="Guttman Rashi"/>
          <w:rtl/>
          <w:lang w:bidi="he-IL"/>
        </w:rPr>
        <w:t xml:space="preserve"> </w:t>
      </w:r>
      <w:r w:rsidRPr="00400C0B">
        <w:rPr>
          <w:rFonts w:cs="Guttman Rashi" w:hint="eastAsia"/>
          <w:rtl/>
          <w:lang w:bidi="he-IL"/>
        </w:rPr>
        <w:t>משמע</w:t>
      </w:r>
      <w:r w:rsidRPr="00400C0B">
        <w:rPr>
          <w:rFonts w:cs="Guttman Rashi"/>
          <w:rtl/>
          <w:lang w:bidi="he-IL"/>
        </w:rPr>
        <w:t xml:space="preserve"> </w:t>
      </w:r>
      <w:r w:rsidRPr="00400C0B">
        <w:rPr>
          <w:rFonts w:cs="Guttman Rashi" w:hint="eastAsia"/>
          <w:rtl/>
          <w:lang w:bidi="he-IL"/>
        </w:rPr>
        <w:t>מעצם</w:t>
      </w:r>
      <w:r w:rsidRPr="00400C0B">
        <w:rPr>
          <w:rFonts w:cs="Guttman Rashi"/>
          <w:rtl/>
          <w:lang w:bidi="he-IL"/>
        </w:rPr>
        <w:t xml:space="preserve"> </w:t>
      </w:r>
      <w:r w:rsidRPr="00400C0B">
        <w:rPr>
          <w:rFonts w:cs="Guttman Rashi" w:hint="eastAsia"/>
          <w:rtl/>
          <w:lang w:bidi="he-IL"/>
        </w:rPr>
        <w:t>דברי</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שהרי</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בברייתא</w:t>
      </w:r>
      <w:r w:rsidRPr="00400C0B">
        <w:rPr>
          <w:rFonts w:cs="Guttman Rashi"/>
          <w:rtl/>
          <w:lang w:bidi="he-IL"/>
        </w:rPr>
        <w:t xml:space="preserve"> </w:t>
      </w:r>
      <w:r w:rsidRPr="00400C0B">
        <w:rPr>
          <w:rFonts w:cs="Guttman Rashi" w:hint="eastAsia"/>
          <w:rtl/>
          <w:lang w:bidi="he-IL"/>
        </w:rPr>
        <w:t>שבמס</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ז</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ה</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ב</w:t>
      </w:r>
      <w:r w:rsidRPr="00400C0B">
        <w:rPr>
          <w:rFonts w:cs="Guttman Rashi"/>
          <w:rtl/>
          <w:lang w:bidi="he-IL"/>
        </w:rPr>
        <w:t>) "</w:t>
      </w:r>
      <w:r w:rsidRPr="00400C0B">
        <w:rPr>
          <w:rFonts w:cs="Guttman Rashi" w:hint="eastAsia"/>
          <w:rtl/>
          <w:lang w:bidi="he-IL"/>
        </w:rPr>
        <w:t>דברים</w:t>
      </w:r>
      <w:r w:rsidRPr="00400C0B">
        <w:rPr>
          <w:rFonts w:cs="Guttman Rashi"/>
          <w:rtl/>
          <w:lang w:bidi="he-IL"/>
        </w:rPr>
        <w:t xml:space="preserve"> </w:t>
      </w:r>
      <w:r w:rsidRPr="00400C0B">
        <w:rPr>
          <w:rFonts w:cs="Guttman Rashi" w:hint="eastAsia"/>
          <w:rtl/>
          <w:lang w:bidi="he-IL"/>
        </w:rPr>
        <w:t>שנשתמש</w:t>
      </w:r>
      <w:r w:rsidRPr="00400C0B">
        <w:rPr>
          <w:rFonts w:cs="Guttman Rashi"/>
          <w:rtl/>
          <w:lang w:bidi="he-IL"/>
        </w:rPr>
        <w:t xml:space="preserve"> </w:t>
      </w:r>
      <w:r w:rsidRPr="00400C0B">
        <w:rPr>
          <w:rFonts w:cs="Guttman Rashi" w:hint="eastAsia"/>
          <w:rtl/>
          <w:lang w:bidi="he-IL"/>
        </w:rPr>
        <w:t>בהן</w:t>
      </w:r>
      <w:r w:rsidRPr="00400C0B">
        <w:rPr>
          <w:rFonts w:cs="Guttman Rashi"/>
          <w:rtl/>
          <w:lang w:bidi="he-IL"/>
        </w:rPr>
        <w:t xml:space="preserve"> </w:t>
      </w:r>
      <w:r w:rsidRPr="00400C0B">
        <w:rPr>
          <w:rFonts w:cs="Guttman Rashi" w:hint="eastAsia"/>
          <w:rtl/>
          <w:lang w:bidi="he-IL"/>
        </w:rPr>
        <w:t>ע</w:t>
      </w:r>
      <w:r w:rsidRPr="00400C0B">
        <w:rPr>
          <w:rFonts w:cs="Guttman Rashi"/>
          <w:rtl/>
          <w:lang w:bidi="he-IL"/>
        </w:rPr>
        <w:t>"</w:t>
      </w:r>
      <w:r w:rsidRPr="00400C0B">
        <w:rPr>
          <w:rFonts w:cs="Guttman Rashi" w:hint="eastAsia"/>
          <w:rtl/>
          <w:lang w:bidi="he-IL"/>
        </w:rPr>
        <w:t>י</w:t>
      </w:r>
      <w:r w:rsidRPr="00400C0B">
        <w:rPr>
          <w:rFonts w:cs="Guttman Rashi"/>
          <w:rtl/>
          <w:lang w:bidi="he-IL"/>
        </w:rPr>
        <w:t xml:space="preserve"> </w:t>
      </w:r>
      <w:r w:rsidRPr="00400C0B">
        <w:rPr>
          <w:rFonts w:cs="Guttman Rashi" w:hint="eastAsia"/>
          <w:rtl/>
          <w:lang w:bidi="he-IL"/>
        </w:rPr>
        <w:t>צונן</w:t>
      </w:r>
      <w:r w:rsidRPr="00400C0B">
        <w:rPr>
          <w:rFonts w:cs="Guttman Rashi"/>
          <w:rtl/>
          <w:lang w:bidi="he-IL"/>
        </w:rPr>
        <w:t xml:space="preserve"> </w:t>
      </w:r>
      <w:r w:rsidRPr="00400C0B">
        <w:rPr>
          <w:rFonts w:cs="Guttman Rashi" w:hint="eastAsia"/>
          <w:rtl/>
          <w:lang w:bidi="he-IL"/>
        </w:rPr>
        <w:t>כגון</w:t>
      </w:r>
      <w:r w:rsidRPr="00400C0B">
        <w:rPr>
          <w:rFonts w:cs="Guttman Rashi"/>
          <w:rtl/>
          <w:lang w:bidi="he-IL"/>
        </w:rPr>
        <w:t xml:space="preserve"> </w:t>
      </w:r>
      <w:r w:rsidRPr="00400C0B">
        <w:rPr>
          <w:rFonts w:cs="Guttman Rashi" w:hint="eastAsia"/>
          <w:rtl/>
          <w:lang w:bidi="he-IL"/>
        </w:rPr>
        <w:t>כוסות</w:t>
      </w:r>
      <w:r w:rsidRPr="00400C0B">
        <w:rPr>
          <w:rFonts w:cs="Guttman Rashi"/>
          <w:rtl/>
          <w:lang w:bidi="he-IL"/>
        </w:rPr>
        <w:t xml:space="preserve"> </w:t>
      </w:r>
      <w:r w:rsidRPr="00400C0B">
        <w:rPr>
          <w:rFonts w:cs="Guttman Rashi" w:hint="eastAsia"/>
          <w:rtl/>
          <w:lang w:bidi="he-IL"/>
        </w:rPr>
        <w:t>וקתוניות</w:t>
      </w:r>
      <w:r w:rsidRPr="00400C0B">
        <w:rPr>
          <w:rFonts w:cs="Guttman Rashi"/>
          <w:rtl/>
          <w:lang w:bidi="he-IL"/>
        </w:rPr>
        <w:t xml:space="preserve"> </w:t>
      </w:r>
      <w:r w:rsidRPr="00400C0B">
        <w:rPr>
          <w:rFonts w:cs="Guttman Rashi" w:hint="eastAsia"/>
          <w:rtl/>
          <w:lang w:bidi="he-IL"/>
        </w:rPr>
        <w:t>וצלוחיות</w:t>
      </w:r>
      <w:r w:rsidRPr="00400C0B">
        <w:rPr>
          <w:rFonts w:cs="Guttman Rashi"/>
          <w:rtl/>
          <w:lang w:bidi="he-IL"/>
        </w:rPr>
        <w:t xml:space="preserve"> </w:t>
      </w:r>
      <w:r w:rsidRPr="00400C0B">
        <w:rPr>
          <w:rFonts w:cs="Guttman Rashi" w:hint="eastAsia"/>
          <w:rtl/>
          <w:lang w:bidi="he-IL"/>
        </w:rPr>
        <w:t>מדיחן</w:t>
      </w:r>
      <w:r w:rsidRPr="00400C0B">
        <w:rPr>
          <w:rFonts w:cs="Guttman Rashi"/>
          <w:rtl/>
          <w:lang w:bidi="he-IL"/>
        </w:rPr>
        <w:t xml:space="preserve"> </w:t>
      </w:r>
      <w:r w:rsidRPr="00400C0B">
        <w:rPr>
          <w:rFonts w:cs="Guttman Rashi" w:hint="eastAsia"/>
          <w:rtl/>
          <w:lang w:bidi="he-IL"/>
        </w:rPr>
        <w:t>ומטבילן</w:t>
      </w:r>
      <w:r w:rsidRPr="00400C0B">
        <w:rPr>
          <w:rFonts w:cs="Guttman Rashi"/>
          <w:rtl/>
          <w:lang w:bidi="he-IL"/>
        </w:rPr>
        <w:t xml:space="preserve"> </w:t>
      </w:r>
      <w:r w:rsidRPr="00400C0B">
        <w:rPr>
          <w:rFonts w:cs="Guttman Rashi" w:hint="eastAsia"/>
          <w:rtl/>
          <w:lang w:bidi="he-IL"/>
        </w:rPr>
        <w:t>והם</w:t>
      </w:r>
      <w:r w:rsidRPr="00400C0B">
        <w:rPr>
          <w:rFonts w:cs="Guttman Rashi"/>
          <w:rtl/>
          <w:lang w:bidi="he-IL"/>
        </w:rPr>
        <w:t xml:space="preserve"> </w:t>
      </w:r>
      <w:r w:rsidRPr="00400C0B">
        <w:rPr>
          <w:rFonts w:cs="Guttman Rashi" w:hint="eastAsia"/>
          <w:rtl/>
          <w:lang w:bidi="he-IL"/>
        </w:rPr>
        <w:t>טהורין</w:t>
      </w:r>
      <w:r w:rsidRPr="00400C0B">
        <w:rPr>
          <w:rFonts w:cs="Guttman Rashi"/>
          <w:rtl/>
          <w:lang w:bidi="he-IL"/>
        </w:rPr>
        <w:t xml:space="preserve">". </w:t>
      </w:r>
      <w:r w:rsidRPr="00400C0B">
        <w:rPr>
          <w:rFonts w:cs="Guttman Rashi" w:hint="eastAsia"/>
          <w:rtl/>
          <w:lang w:bidi="he-IL"/>
        </w:rPr>
        <w:t>ו</w:t>
      </w:r>
      <w:r>
        <w:rPr>
          <w:rFonts w:cs="Guttman Rashi" w:hint="cs"/>
          <w:rtl/>
          <w:lang w:bidi="he-IL"/>
        </w:rPr>
        <w:t xml:space="preserve">כמו שהזכרנו, </w:t>
      </w:r>
      <w:r w:rsidRPr="00400C0B">
        <w:rPr>
          <w:rFonts w:cs="Guttman Rashi" w:hint="eastAsia"/>
          <w:rtl/>
          <w:lang w:bidi="he-IL"/>
        </w:rPr>
        <w:t>הראשונים</w:t>
      </w:r>
      <w:r w:rsidRPr="00400C0B">
        <w:rPr>
          <w:rFonts w:cs="Guttman Rashi"/>
          <w:rtl/>
          <w:lang w:bidi="he-IL"/>
        </w:rPr>
        <w:t xml:space="preserve"> </w:t>
      </w:r>
      <w:r w:rsidRPr="00400C0B">
        <w:rPr>
          <w:rFonts w:cs="Guttman Rashi" w:hint="eastAsia"/>
          <w:rtl/>
          <w:lang w:bidi="he-IL"/>
        </w:rPr>
        <w:t>הוכיחו</w:t>
      </w:r>
      <w:r w:rsidRPr="00400C0B">
        <w:rPr>
          <w:rFonts w:cs="Guttman Rashi"/>
          <w:rtl/>
          <w:lang w:bidi="he-IL"/>
        </w:rPr>
        <w:t xml:space="preserve"> </w:t>
      </w:r>
      <w:r w:rsidRPr="00400C0B">
        <w:rPr>
          <w:rFonts w:cs="Guttman Rashi" w:hint="eastAsia"/>
          <w:rtl/>
          <w:lang w:bidi="he-IL"/>
        </w:rPr>
        <w:t>מדברי</w:t>
      </w:r>
      <w:r w:rsidRPr="00400C0B">
        <w:rPr>
          <w:rFonts w:cs="Guttman Rashi"/>
          <w:rtl/>
          <w:lang w:bidi="he-IL"/>
        </w:rPr>
        <w:t xml:space="preserve"> </w:t>
      </w:r>
      <w:r w:rsidRPr="00400C0B">
        <w:rPr>
          <w:rFonts w:cs="Guttman Rashi" w:hint="eastAsia"/>
          <w:rtl/>
          <w:lang w:bidi="he-IL"/>
        </w:rPr>
        <w:t>הגמ</w:t>
      </w:r>
      <w:r w:rsidRPr="00400C0B">
        <w:rPr>
          <w:rFonts w:cs="Guttman Rashi"/>
          <w:rtl/>
          <w:lang w:bidi="he-IL"/>
        </w:rPr>
        <w:t xml:space="preserve">' </w:t>
      </w:r>
      <w:r w:rsidRPr="00400C0B">
        <w:rPr>
          <w:rFonts w:cs="Guttman Rashi" w:hint="eastAsia"/>
          <w:rtl/>
          <w:lang w:bidi="he-IL"/>
        </w:rPr>
        <w:t>דע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אזלינן</w:t>
      </w:r>
      <w:r w:rsidRPr="00400C0B">
        <w:rPr>
          <w:rFonts w:cs="Guttman Rashi"/>
          <w:rtl/>
          <w:lang w:bidi="he-IL"/>
        </w:rPr>
        <w:t xml:space="preserve"> </w:t>
      </w:r>
      <w:r w:rsidRPr="00400C0B">
        <w:rPr>
          <w:rFonts w:cs="Guttman Rashi" w:hint="eastAsia"/>
          <w:rtl/>
          <w:lang w:bidi="he-IL"/>
        </w:rPr>
        <w:t>בתר</w:t>
      </w:r>
      <w:r w:rsidRPr="00400C0B">
        <w:rPr>
          <w:rFonts w:cs="Guttman Rashi"/>
          <w:rtl/>
          <w:lang w:bidi="he-IL"/>
        </w:rPr>
        <w:t xml:space="preserve"> </w:t>
      </w:r>
      <w:r w:rsidRPr="00400C0B">
        <w:rPr>
          <w:rFonts w:cs="Guttman Rashi" w:hint="eastAsia"/>
          <w:rtl/>
          <w:lang w:bidi="he-IL"/>
        </w:rPr>
        <w:t>רוב</w:t>
      </w:r>
      <w:r w:rsidRPr="00400C0B">
        <w:rPr>
          <w:rFonts w:cs="Guttman Rashi"/>
          <w:rtl/>
          <w:lang w:bidi="he-IL"/>
        </w:rPr>
        <w:t xml:space="preserve"> </w:t>
      </w:r>
      <w:r w:rsidRPr="00400C0B">
        <w:rPr>
          <w:rFonts w:cs="Guttman Rashi" w:hint="eastAsia"/>
          <w:rtl/>
          <w:lang w:bidi="he-IL"/>
        </w:rPr>
        <w:t>תשמישתו</w:t>
      </w:r>
      <w:r w:rsidRPr="00400C0B">
        <w:rPr>
          <w:rFonts w:cs="Guttman Rashi"/>
          <w:rtl/>
          <w:lang w:bidi="he-IL"/>
        </w:rPr>
        <w:t xml:space="preserve"> , </w:t>
      </w:r>
      <w:r w:rsidRPr="00400C0B">
        <w:rPr>
          <w:rFonts w:cs="Guttman Rashi" w:hint="eastAsia"/>
          <w:rtl/>
          <w:lang w:bidi="he-IL"/>
        </w:rPr>
        <w:t>דהא</w:t>
      </w:r>
      <w:r w:rsidRPr="00400C0B">
        <w:rPr>
          <w:rFonts w:cs="Guttman Rashi"/>
          <w:rtl/>
          <w:lang w:bidi="he-IL"/>
        </w:rPr>
        <w:t xml:space="preserve"> </w:t>
      </w:r>
      <w:r w:rsidRPr="00400C0B">
        <w:rPr>
          <w:rFonts w:cs="Guttman Rashi" w:hint="eastAsia"/>
          <w:rtl/>
          <w:lang w:bidi="he-IL"/>
        </w:rPr>
        <w:t>אי</w:t>
      </w:r>
      <w:r w:rsidRPr="00400C0B">
        <w:rPr>
          <w:rFonts w:cs="Guttman Rashi"/>
          <w:rtl/>
          <w:lang w:bidi="he-IL"/>
        </w:rPr>
        <w:t xml:space="preserve"> </w:t>
      </w:r>
      <w:r w:rsidRPr="00400C0B">
        <w:rPr>
          <w:rFonts w:cs="Guttman Rashi" w:hint="eastAsia"/>
          <w:rtl/>
          <w:lang w:bidi="he-IL"/>
        </w:rPr>
        <w:t>אפשר</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יכנס</w:t>
      </w:r>
      <w:r w:rsidRPr="00400C0B">
        <w:rPr>
          <w:rFonts w:cs="Guttman Rashi"/>
          <w:rtl/>
          <w:lang w:bidi="he-IL"/>
        </w:rPr>
        <w:t xml:space="preserve"> </w:t>
      </w:r>
      <w:r w:rsidRPr="00400C0B">
        <w:rPr>
          <w:rFonts w:cs="Guttman Rashi" w:hint="eastAsia"/>
          <w:rtl/>
          <w:lang w:bidi="he-IL"/>
        </w:rPr>
        <w:t>באלו</w:t>
      </w:r>
      <w:r w:rsidRPr="00400C0B">
        <w:rPr>
          <w:rFonts w:cs="Guttman Rashi"/>
          <w:rtl/>
          <w:lang w:bidi="he-IL"/>
        </w:rPr>
        <w:t xml:space="preserve"> </w:t>
      </w:r>
      <w:r w:rsidRPr="00400C0B">
        <w:rPr>
          <w:rFonts w:cs="Guttman Rashi" w:hint="eastAsia"/>
          <w:rtl/>
          <w:lang w:bidi="he-IL"/>
        </w:rPr>
        <w:t>חמין</w:t>
      </w:r>
      <w:r w:rsidRPr="00400C0B">
        <w:rPr>
          <w:rFonts w:cs="Guttman Rashi"/>
          <w:rtl/>
          <w:lang w:bidi="he-IL"/>
        </w:rPr>
        <w:t xml:space="preserve"> </w:t>
      </w:r>
      <w:r w:rsidRPr="00400C0B">
        <w:rPr>
          <w:rFonts w:cs="Guttman Rashi" w:hint="eastAsia"/>
          <w:rtl/>
          <w:lang w:bidi="he-IL"/>
        </w:rPr>
        <w:t>פעם</w:t>
      </w:r>
      <w:r w:rsidRPr="00400C0B">
        <w:rPr>
          <w:rFonts w:cs="Guttman Rashi"/>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ומ</w:t>
      </w:r>
      <w:r w:rsidRPr="00400C0B">
        <w:rPr>
          <w:rFonts w:cs="Guttman Rashi"/>
          <w:rtl/>
          <w:lang w:bidi="he-IL"/>
        </w:rPr>
        <w:t>"</w:t>
      </w:r>
      <w:r w:rsidRPr="00400C0B">
        <w:rPr>
          <w:rFonts w:cs="Guttman Rashi" w:hint="eastAsia"/>
          <w:rtl/>
          <w:lang w:bidi="he-IL"/>
        </w:rPr>
        <w:t>מ</w:t>
      </w:r>
      <w:r w:rsidRPr="00400C0B">
        <w:rPr>
          <w:rFonts w:cs="Guttman Rashi"/>
          <w:rtl/>
          <w:lang w:bidi="he-IL"/>
        </w:rPr>
        <w:t xml:space="preserve"> </w:t>
      </w:r>
      <w:r w:rsidRPr="00400C0B">
        <w:rPr>
          <w:rFonts w:cs="Guttman Rashi" w:hint="eastAsia"/>
          <w:rtl/>
          <w:lang w:bidi="he-IL"/>
        </w:rPr>
        <w:t>מבואר</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שיש</w:t>
      </w:r>
      <w:r w:rsidRPr="00400C0B">
        <w:rPr>
          <w:rFonts w:cs="Guttman Rashi"/>
          <w:rtl/>
          <w:lang w:bidi="he-IL"/>
        </w:rPr>
        <w:t xml:space="preserve"> </w:t>
      </w:r>
      <w:r w:rsidRPr="00400C0B">
        <w:rPr>
          <w:rFonts w:cs="Guttman Rashi" w:hint="eastAsia"/>
          <w:rtl/>
          <w:lang w:bidi="he-IL"/>
        </w:rPr>
        <w:t>ברייתא</w:t>
      </w:r>
      <w:r w:rsidRPr="00400C0B">
        <w:rPr>
          <w:rFonts w:cs="Guttman Rashi"/>
          <w:rtl/>
          <w:lang w:bidi="he-IL"/>
        </w:rPr>
        <w:t xml:space="preserve"> </w:t>
      </w:r>
      <w:r w:rsidRPr="00400C0B">
        <w:rPr>
          <w:rFonts w:cs="Guttman Rashi" w:hint="eastAsia"/>
          <w:rtl/>
          <w:lang w:bidi="he-IL"/>
        </w:rPr>
        <w:t>שכתוב</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וכולן</w:t>
      </w:r>
      <w:r w:rsidRPr="00400C0B">
        <w:rPr>
          <w:rFonts w:cs="Guttman Rashi"/>
          <w:rtl/>
          <w:lang w:bidi="he-IL"/>
        </w:rPr>
        <w:t xml:space="preserve"> </w:t>
      </w:r>
      <w:r w:rsidRPr="00400C0B">
        <w:rPr>
          <w:rFonts w:cs="Guttman Rashi" w:hint="eastAsia"/>
          <w:rtl/>
          <w:lang w:bidi="he-IL"/>
        </w:rPr>
        <w:t>שנשתמש</w:t>
      </w:r>
      <w:r w:rsidRPr="00400C0B">
        <w:rPr>
          <w:rFonts w:cs="Guttman Rashi"/>
          <w:rtl/>
          <w:lang w:bidi="he-IL"/>
        </w:rPr>
        <w:t xml:space="preserve"> </w:t>
      </w:r>
      <w:r w:rsidRPr="00400C0B">
        <w:rPr>
          <w:rFonts w:cs="Guttman Rashi" w:hint="eastAsia"/>
          <w:rtl/>
          <w:lang w:bidi="he-IL"/>
        </w:rPr>
        <w:t>בהן</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יטביל</w:t>
      </w:r>
      <w:r w:rsidRPr="00400C0B">
        <w:rPr>
          <w:rFonts w:cs="Guttman Rashi"/>
          <w:rtl/>
          <w:lang w:bidi="he-IL"/>
        </w:rPr>
        <w:t xml:space="preserve"> </w:t>
      </w:r>
      <w:r w:rsidRPr="00400C0B">
        <w:rPr>
          <w:rFonts w:cs="Guttman Rashi" w:hint="eastAsia"/>
          <w:rtl/>
          <w:lang w:bidi="he-IL"/>
        </w:rPr>
        <w:t>ושלא</w:t>
      </w:r>
      <w:r w:rsidRPr="00400C0B">
        <w:rPr>
          <w:rFonts w:cs="Guttman Rashi"/>
          <w:rtl/>
          <w:lang w:bidi="he-IL"/>
        </w:rPr>
        <w:t xml:space="preserve"> </w:t>
      </w:r>
      <w:r w:rsidRPr="00400C0B">
        <w:rPr>
          <w:rFonts w:cs="Guttman Rashi" w:hint="eastAsia"/>
          <w:rtl/>
          <w:lang w:bidi="he-IL"/>
        </w:rPr>
        <w:t>יגעיל</w:t>
      </w:r>
      <w:r w:rsidRPr="00400C0B">
        <w:rPr>
          <w:rFonts w:cs="Guttman Rashi"/>
          <w:rtl/>
          <w:lang w:bidi="he-IL"/>
        </w:rPr>
        <w:t xml:space="preserve"> </w:t>
      </w:r>
      <w:r w:rsidRPr="00400C0B">
        <w:rPr>
          <w:rFonts w:cs="Guttman Rashi" w:hint="eastAsia"/>
          <w:rtl/>
          <w:lang w:bidi="he-IL"/>
        </w:rPr>
        <w:t>ושלא</w:t>
      </w:r>
      <w:r w:rsidRPr="00400C0B">
        <w:rPr>
          <w:rFonts w:cs="Guttman Rashi"/>
          <w:rtl/>
          <w:lang w:bidi="he-IL"/>
        </w:rPr>
        <w:t xml:space="preserve"> </w:t>
      </w:r>
      <w:r w:rsidRPr="00400C0B">
        <w:rPr>
          <w:rFonts w:cs="Guttman Rashi" w:hint="eastAsia"/>
          <w:rtl/>
          <w:lang w:bidi="he-IL"/>
        </w:rPr>
        <w:t>ילבן</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והוא</w:t>
      </w:r>
      <w:r w:rsidRPr="00400C0B">
        <w:rPr>
          <w:rFonts w:cs="Guttman Rashi"/>
          <w:rtl/>
          <w:lang w:bidi="he-IL"/>
        </w:rPr>
        <w:t xml:space="preserve"> </w:t>
      </w:r>
      <w:r w:rsidRPr="00400C0B">
        <w:rPr>
          <w:rFonts w:cs="Guttman Rashi" w:hint="eastAsia"/>
          <w:rtl/>
          <w:lang w:bidi="he-IL"/>
        </w:rPr>
        <w:t>כמ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וכדמבואר</w:t>
      </w:r>
      <w:r w:rsidRPr="00400C0B">
        <w:rPr>
          <w:rFonts w:cs="Guttman Rashi"/>
          <w:rtl/>
          <w:lang w:bidi="he-IL"/>
        </w:rPr>
        <w:t xml:space="preserve"> </w:t>
      </w:r>
      <w:r w:rsidRPr="00400C0B">
        <w:rPr>
          <w:rFonts w:cs="Guttman Rashi" w:hint="eastAsia"/>
          <w:rtl/>
          <w:lang w:bidi="he-IL"/>
        </w:rPr>
        <w:t>בגמ</w:t>
      </w:r>
      <w:r w:rsidRPr="00400C0B">
        <w:rPr>
          <w:rFonts w:cs="Guttman Rashi"/>
          <w:rtl/>
          <w:lang w:bidi="he-IL"/>
        </w:rPr>
        <w:t xml:space="preserve">'. </w:t>
      </w:r>
      <w:r w:rsidRPr="00400C0B">
        <w:rPr>
          <w:rFonts w:cs="Guttman Rashi" w:hint="eastAsia"/>
          <w:rtl/>
          <w:lang w:bidi="he-IL"/>
        </w:rPr>
        <w:t>והתוס</w:t>
      </w:r>
      <w:r w:rsidRPr="00400C0B">
        <w:rPr>
          <w:rFonts w:cs="Guttman Rashi"/>
          <w:rtl/>
          <w:lang w:bidi="he-IL"/>
        </w:rPr>
        <w:t xml:space="preserve">' </w:t>
      </w:r>
      <w:r w:rsidRPr="00400C0B">
        <w:rPr>
          <w:rFonts w:cs="Guttman Rashi" w:hint="eastAsia"/>
          <w:rtl/>
          <w:lang w:bidi="he-IL"/>
        </w:rPr>
        <w:t>והראשונים</w:t>
      </w:r>
      <w:r w:rsidRPr="00400C0B">
        <w:rPr>
          <w:rFonts w:cs="Guttman Rashi"/>
          <w:rtl/>
          <w:lang w:bidi="he-IL"/>
        </w:rPr>
        <w:t xml:space="preserve"> </w:t>
      </w:r>
      <w:r w:rsidRPr="00400C0B">
        <w:rPr>
          <w:rFonts w:cs="Guttman Rashi" w:hint="eastAsia"/>
          <w:rtl/>
          <w:lang w:bidi="he-IL"/>
        </w:rPr>
        <w:t>מתקשים</w:t>
      </w:r>
      <w:r w:rsidRPr="00400C0B">
        <w:rPr>
          <w:rFonts w:cs="Guttman Rashi"/>
          <w:rtl/>
          <w:lang w:bidi="he-IL"/>
        </w:rPr>
        <w:t xml:space="preserve"> </w:t>
      </w:r>
      <w:r w:rsidRPr="00400C0B">
        <w:rPr>
          <w:rFonts w:cs="Guttman Rashi" w:hint="eastAsia"/>
          <w:rtl/>
          <w:lang w:bidi="he-IL"/>
        </w:rPr>
        <w:t>בזה</w:t>
      </w:r>
      <w:r w:rsidRPr="00400C0B">
        <w:rPr>
          <w:rFonts w:cs="Guttman Rashi"/>
          <w:rtl/>
          <w:lang w:bidi="he-IL"/>
        </w:rPr>
        <w:t xml:space="preserve"> </w:t>
      </w:r>
      <w:r w:rsidRPr="00400C0B">
        <w:rPr>
          <w:rFonts w:cs="Guttman Rashi" w:hint="eastAsia"/>
          <w:rtl/>
          <w:lang w:bidi="he-IL"/>
        </w:rPr>
        <w:t>שיהא</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יטביל</w:t>
      </w:r>
      <w:r w:rsidRPr="00400C0B">
        <w:rPr>
          <w:rFonts w:cs="Guttman Rashi"/>
          <w:rtl/>
          <w:lang w:bidi="he-IL"/>
        </w:rPr>
        <w:t xml:space="preserve">, </w:t>
      </w:r>
      <w:r w:rsidRPr="00400C0B">
        <w:rPr>
          <w:rFonts w:cs="Guttman Rashi" w:hint="eastAsia"/>
          <w:rtl/>
          <w:lang w:bidi="he-IL"/>
        </w:rPr>
        <w:t>והתוס</w:t>
      </w:r>
      <w:r w:rsidRPr="00400C0B">
        <w:rPr>
          <w:rFonts w:cs="Guttman Rashi"/>
          <w:rtl/>
          <w:lang w:bidi="he-IL"/>
        </w:rPr>
        <w:t xml:space="preserve">' </w:t>
      </w:r>
      <w:r w:rsidRPr="00400C0B">
        <w:rPr>
          <w:rFonts w:cs="Guttman Rashi" w:hint="eastAsia"/>
          <w:rtl/>
          <w:lang w:bidi="he-IL"/>
        </w:rPr>
        <w:t>כתבו</w:t>
      </w:r>
      <w:r w:rsidRPr="00400C0B">
        <w:rPr>
          <w:rFonts w:cs="Guttman Rashi"/>
          <w:rtl/>
          <w:lang w:bidi="he-IL"/>
        </w:rPr>
        <w:t xml:space="preserve"> </w:t>
      </w:r>
      <w:r w:rsidRPr="00400C0B">
        <w:rPr>
          <w:rFonts w:cs="Guttman Rashi" w:hint="eastAsia"/>
          <w:rtl/>
          <w:lang w:bidi="he-IL"/>
        </w:rPr>
        <w:t>שאולי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גזרה</w:t>
      </w:r>
      <w:r w:rsidRPr="00400C0B">
        <w:rPr>
          <w:rFonts w:cs="Guttman Rashi"/>
          <w:rtl/>
          <w:lang w:bidi="he-IL"/>
        </w:rPr>
        <w:t xml:space="preserve"> </w:t>
      </w:r>
      <w:r w:rsidRPr="00400C0B">
        <w:rPr>
          <w:rFonts w:cs="Guttman Rashi" w:hint="eastAsia"/>
          <w:rtl/>
          <w:lang w:bidi="he-IL"/>
        </w:rPr>
        <w:t>אטו</w:t>
      </w:r>
      <w:r w:rsidRPr="00400C0B">
        <w:rPr>
          <w:rFonts w:cs="Guttman Rashi"/>
          <w:rtl/>
          <w:lang w:bidi="he-IL"/>
        </w:rPr>
        <w:t xml:space="preserve"> </w:t>
      </w:r>
      <w:r w:rsidRPr="00400C0B">
        <w:rPr>
          <w:rFonts w:cs="Guttman Rashi" w:hint="eastAsia"/>
          <w:rtl/>
          <w:lang w:bidi="he-IL"/>
        </w:rPr>
        <w:t>הגעלה</w:t>
      </w:r>
      <w:r w:rsidRPr="00400C0B">
        <w:rPr>
          <w:rFonts w:cs="Guttman Rashi"/>
          <w:rtl/>
          <w:lang w:bidi="he-IL"/>
        </w:rPr>
        <w:t xml:space="preserve"> </w:t>
      </w:r>
      <w:r w:rsidRPr="00400C0B">
        <w:rPr>
          <w:rFonts w:cs="Guttman Rashi" w:hint="eastAsia"/>
          <w:rtl/>
          <w:lang w:bidi="he-IL"/>
        </w:rPr>
        <w:t>וליבון</w:t>
      </w:r>
      <w:r w:rsidRPr="00400C0B">
        <w:rPr>
          <w:rFonts w:cs="Guttman Rashi"/>
          <w:rtl/>
          <w:lang w:bidi="he-IL"/>
        </w:rPr>
        <w:t xml:space="preserve">. </w:t>
      </w:r>
      <w:r w:rsidRPr="00400C0B">
        <w:rPr>
          <w:rFonts w:cs="Guttman Rashi" w:hint="eastAsia"/>
          <w:rtl/>
          <w:lang w:bidi="he-IL"/>
        </w:rPr>
        <w:t>ומשמע</w:t>
      </w:r>
      <w:r w:rsidRPr="00400C0B">
        <w:rPr>
          <w:rFonts w:cs="Guttman Rashi"/>
          <w:rtl/>
          <w:lang w:bidi="he-IL"/>
        </w:rPr>
        <w:t xml:space="preserve"> </w:t>
      </w:r>
      <w:r w:rsidRPr="00400C0B">
        <w:rPr>
          <w:rFonts w:cs="Guttman Rashi" w:hint="eastAsia"/>
          <w:rtl/>
          <w:lang w:bidi="he-IL"/>
        </w:rPr>
        <w:t>לכאורה</w:t>
      </w:r>
      <w:r w:rsidRPr="00400C0B">
        <w:rPr>
          <w:rFonts w:cs="Guttman Rashi"/>
          <w:rtl/>
          <w:lang w:bidi="he-IL"/>
        </w:rPr>
        <w:t xml:space="preserve"> </w:t>
      </w:r>
      <w:r w:rsidRPr="00400C0B">
        <w:rPr>
          <w:rFonts w:cs="Guttman Rashi" w:hint="eastAsia"/>
          <w:rtl/>
          <w:lang w:bidi="he-IL"/>
        </w:rPr>
        <w:t>שבלי</w:t>
      </w:r>
      <w:r w:rsidRPr="00400C0B">
        <w:rPr>
          <w:rFonts w:cs="Guttman Rashi"/>
          <w:rtl/>
          <w:lang w:bidi="he-IL"/>
        </w:rPr>
        <w:t xml:space="preserve"> </w:t>
      </w:r>
      <w:r w:rsidRPr="00400C0B">
        <w:rPr>
          <w:rFonts w:cs="Guttman Rashi" w:hint="eastAsia"/>
          <w:rtl/>
          <w:lang w:bidi="he-IL"/>
        </w:rPr>
        <w:t>זה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ודאי</w:t>
      </w:r>
      <w:r w:rsidRPr="00400C0B">
        <w:rPr>
          <w:rFonts w:cs="Guttman Rashi"/>
          <w:rtl/>
          <w:lang w:bidi="he-IL"/>
        </w:rPr>
        <w:t xml:space="preserve"> </w:t>
      </w:r>
      <w:r w:rsidRPr="00400C0B">
        <w:rPr>
          <w:rFonts w:cs="Guttman Rashi" w:hint="eastAsia"/>
          <w:rtl/>
          <w:lang w:bidi="he-IL"/>
        </w:rPr>
        <w:t>מיעוט</w:t>
      </w:r>
      <w:r w:rsidRPr="00400C0B">
        <w:rPr>
          <w:rFonts w:cs="Guttman Rashi"/>
          <w:rtl/>
          <w:lang w:bidi="he-IL"/>
        </w:rPr>
        <w:t xml:space="preserve"> </w:t>
      </w:r>
      <w:r w:rsidRPr="00400C0B">
        <w:rPr>
          <w:rFonts w:cs="Guttman Rashi" w:hint="eastAsia"/>
          <w:rtl/>
          <w:lang w:bidi="he-IL"/>
        </w:rPr>
        <w:t>תשמיש</w:t>
      </w:r>
      <w:r w:rsidRPr="00400C0B">
        <w:rPr>
          <w:rFonts w:cs="Guttman Rashi"/>
          <w:rtl/>
          <w:lang w:bidi="he-IL"/>
        </w:rPr>
        <w:t xml:space="preserve">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שמבליע</w:t>
      </w:r>
      <w:r w:rsidRPr="00400C0B">
        <w:rPr>
          <w:rFonts w:cs="Guttman Rashi"/>
          <w:rtl/>
          <w:lang w:bidi="he-IL"/>
        </w:rPr>
        <w:t xml:space="preserve"> </w:t>
      </w:r>
      <w:r w:rsidRPr="00400C0B">
        <w:rPr>
          <w:rFonts w:cs="Guttman Rashi" w:hint="eastAsia"/>
          <w:rtl/>
          <w:lang w:bidi="he-IL"/>
        </w:rPr>
        <w:t>בתוך</w:t>
      </w:r>
      <w:r w:rsidRPr="00400C0B">
        <w:rPr>
          <w:rFonts w:cs="Guttman Rashi"/>
          <w:rtl/>
          <w:lang w:bidi="he-IL"/>
        </w:rPr>
        <w:t xml:space="preserve"> </w:t>
      </w:r>
      <w:r w:rsidRPr="00400C0B">
        <w:rPr>
          <w:rFonts w:cs="Guttman Rashi" w:hint="eastAsia"/>
          <w:rtl/>
          <w:lang w:bidi="he-IL"/>
        </w:rPr>
        <w:t>הכלי</w:t>
      </w:r>
      <w:r w:rsidRPr="00400C0B">
        <w:rPr>
          <w:rFonts w:cs="Guttman Rashi"/>
          <w:rtl/>
          <w:lang w:bidi="he-IL"/>
        </w:rPr>
        <w:t xml:space="preserve">, </w:t>
      </w:r>
      <w:r w:rsidRPr="00400C0B">
        <w:rPr>
          <w:rFonts w:cs="Guttman Rashi" w:hint="eastAsia"/>
          <w:rtl/>
          <w:lang w:bidi="he-IL"/>
        </w:rPr>
        <w:t>וכיון</w:t>
      </w:r>
      <w:r w:rsidRPr="00400C0B">
        <w:rPr>
          <w:rFonts w:cs="Guttman Rashi"/>
          <w:rtl/>
          <w:lang w:bidi="he-IL"/>
        </w:rPr>
        <w:t xml:space="preserve"> </w:t>
      </w:r>
      <w:r w:rsidRPr="00400C0B">
        <w:rPr>
          <w:rFonts w:cs="Guttman Rashi" w:hint="eastAsia"/>
          <w:rtl/>
          <w:lang w:bidi="he-IL"/>
        </w:rPr>
        <w:t>דסבר</w:t>
      </w:r>
      <w:r w:rsidRPr="00400C0B">
        <w:rPr>
          <w:rFonts w:cs="Guttman Rashi"/>
          <w:rtl/>
          <w:lang w:bidi="he-IL"/>
        </w:rPr>
        <w:t xml:space="preserve"> </w:t>
      </w:r>
      <w:r w:rsidRPr="00400C0B">
        <w:rPr>
          <w:rFonts w:cs="Guttman Rashi" w:hint="eastAsia"/>
          <w:rtl/>
          <w:lang w:bidi="he-IL"/>
        </w:rPr>
        <w:t>הברייתא</w:t>
      </w:r>
      <w:r w:rsidRPr="00400C0B">
        <w:rPr>
          <w:rFonts w:cs="Guttman Rashi"/>
          <w:rtl/>
          <w:lang w:bidi="he-IL"/>
        </w:rPr>
        <w:t xml:space="preserve"> </w:t>
      </w:r>
      <w:r w:rsidRPr="00400C0B">
        <w:rPr>
          <w:rFonts w:cs="Guttman Rashi" w:hint="eastAsia"/>
          <w:rtl/>
          <w:lang w:bidi="he-IL"/>
        </w:rPr>
        <w:t>דנטל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שייך</w:t>
      </w:r>
      <w:r w:rsidRPr="00400C0B">
        <w:rPr>
          <w:rFonts w:cs="Guttman Rashi"/>
          <w:rtl/>
          <w:lang w:bidi="he-IL"/>
        </w:rPr>
        <w:t xml:space="preserve"> </w:t>
      </w:r>
      <w:r w:rsidRPr="00400C0B">
        <w:rPr>
          <w:rFonts w:cs="Guttman Rashi" w:hint="eastAsia"/>
          <w:rtl/>
          <w:lang w:bidi="he-IL"/>
        </w:rPr>
        <w:t>הביאור</w:t>
      </w:r>
      <w:r w:rsidRPr="00400C0B">
        <w:rPr>
          <w:rFonts w:cs="Guttman Rashi"/>
          <w:rtl/>
          <w:lang w:bidi="he-IL"/>
        </w:rPr>
        <w:t xml:space="preserve"> </w:t>
      </w:r>
      <w:r w:rsidRPr="00400C0B">
        <w:rPr>
          <w:rFonts w:cs="Guttman Rashi" w:hint="eastAsia"/>
          <w:rtl/>
          <w:lang w:bidi="he-IL"/>
        </w:rPr>
        <w:t>של</w:t>
      </w:r>
      <w:r w:rsidRPr="00400C0B">
        <w:rPr>
          <w:rFonts w:cs="Guttman Rashi"/>
          <w:rtl/>
          <w:lang w:bidi="he-IL"/>
        </w:rPr>
        <w:t xml:space="preserve"> </w:t>
      </w:r>
      <w:r w:rsidRPr="00400C0B">
        <w:rPr>
          <w:rFonts w:cs="Guttman Rashi" w:hint="eastAsia"/>
          <w:rtl/>
          <w:lang w:bidi="he-IL"/>
        </w:rPr>
        <w:t>הרמ</w:t>
      </w:r>
      <w:r w:rsidRPr="00400C0B">
        <w:rPr>
          <w:rFonts w:cs="Guttman Rashi"/>
          <w:rtl/>
          <w:lang w:bidi="he-IL"/>
        </w:rPr>
        <w:t>"</w:t>
      </w:r>
      <w:r w:rsidRPr="00400C0B">
        <w:rPr>
          <w:rFonts w:cs="Guttman Rashi" w:hint="eastAsia"/>
          <w:rtl/>
          <w:lang w:bidi="he-IL"/>
        </w:rPr>
        <w:t>ע</w:t>
      </w:r>
      <w:r>
        <w:rPr>
          <w:rFonts w:cs="Guttman Rashi" w:hint="cs"/>
          <w:rtl/>
          <w:lang w:bidi="he-IL"/>
        </w:rPr>
        <w:t xml:space="preserve"> והרשב"א</w:t>
      </w:r>
      <w:r w:rsidRPr="00400C0B">
        <w:rPr>
          <w:rFonts w:cs="Guttman Rashi"/>
          <w:rtl/>
          <w:lang w:bidi="he-IL"/>
        </w:rPr>
        <w:t xml:space="preserve">, </w:t>
      </w:r>
      <w:r w:rsidRPr="00400C0B">
        <w:rPr>
          <w:rFonts w:cs="Guttman Rashi" w:hint="eastAsia"/>
          <w:rtl/>
          <w:lang w:bidi="he-IL"/>
        </w:rPr>
        <w:t>והרי</w:t>
      </w:r>
      <w:r w:rsidRPr="00400C0B">
        <w:rPr>
          <w:rFonts w:cs="Guttman Rashi"/>
          <w:rtl/>
          <w:lang w:bidi="he-IL"/>
        </w:rPr>
        <w:t xml:space="preserve"> </w:t>
      </w:r>
      <w:r w:rsidRPr="00400C0B">
        <w:rPr>
          <w:rFonts w:cs="Guttman Rashi" w:hint="eastAsia"/>
          <w:rtl/>
          <w:lang w:bidi="he-IL"/>
        </w:rPr>
        <w:t>הוא</w:t>
      </w:r>
      <w:r w:rsidRPr="00400C0B">
        <w:rPr>
          <w:rFonts w:cs="Guttman Rashi"/>
          <w:rtl/>
          <w:lang w:bidi="he-IL"/>
        </w:rPr>
        <w:t xml:space="preserve"> </w:t>
      </w:r>
      <w:r w:rsidRPr="00400C0B">
        <w:rPr>
          <w:rFonts w:cs="Guttman Rashi" w:hint="eastAsia"/>
          <w:rtl/>
          <w:lang w:bidi="he-IL"/>
        </w:rPr>
        <w:t>כתשמיש</w:t>
      </w:r>
      <w:r w:rsidRPr="00400C0B">
        <w:rPr>
          <w:rFonts w:cs="Guttman Rashi"/>
          <w:rtl/>
          <w:lang w:bidi="he-IL"/>
        </w:rPr>
        <w:t xml:space="preserve"> </w:t>
      </w:r>
      <w:r w:rsidRPr="00400C0B">
        <w:rPr>
          <w:rFonts w:cs="Guttman Rashi" w:hint="eastAsia"/>
          <w:rtl/>
          <w:lang w:bidi="he-IL"/>
        </w:rPr>
        <w:t>בזמן</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בן</w:t>
      </w:r>
      <w:r w:rsidRPr="00400C0B">
        <w:rPr>
          <w:rFonts w:cs="Guttman Rashi"/>
          <w:rtl/>
          <w:lang w:bidi="he-IL"/>
        </w:rPr>
        <w:t xml:space="preserve"> </w:t>
      </w:r>
      <w:r w:rsidRPr="00400C0B">
        <w:rPr>
          <w:rFonts w:cs="Guttman Rashi" w:hint="eastAsia"/>
          <w:rtl/>
          <w:lang w:bidi="he-IL"/>
        </w:rPr>
        <w:t>יומו</w:t>
      </w:r>
      <w:r w:rsidRPr="00400C0B">
        <w:rPr>
          <w:rFonts w:cs="Guttman Rashi"/>
          <w:rtl/>
          <w:lang w:bidi="he-IL"/>
        </w:rPr>
        <w:t xml:space="preserve"> </w:t>
      </w:r>
      <w:r w:rsidRPr="00400C0B">
        <w:rPr>
          <w:rFonts w:cs="Guttman Rashi" w:hint="eastAsia"/>
          <w:rtl/>
          <w:lang w:bidi="he-IL"/>
        </w:rPr>
        <w:t>שהם</w:t>
      </w:r>
      <w:r w:rsidRPr="00400C0B">
        <w:rPr>
          <w:rFonts w:cs="Guttman Rashi"/>
          <w:rtl/>
          <w:lang w:bidi="he-IL"/>
        </w:rPr>
        <w:t xml:space="preserve"> </w:t>
      </w:r>
      <w:r w:rsidRPr="00400C0B">
        <w:rPr>
          <w:rFonts w:cs="Guttman Rashi" w:hint="eastAsia"/>
          <w:rtl/>
          <w:lang w:bidi="he-IL"/>
        </w:rPr>
        <w:t>אסרו</w:t>
      </w:r>
      <w:r w:rsidRPr="00400C0B">
        <w:rPr>
          <w:rFonts w:cs="Guttman Rashi"/>
          <w:rtl/>
          <w:lang w:bidi="he-IL"/>
        </w:rPr>
        <w:t xml:space="preserve">. </w:t>
      </w:r>
      <w:r w:rsidRPr="00400C0B">
        <w:rPr>
          <w:rFonts w:cs="Guttman Rashi" w:hint="eastAsia"/>
          <w:rtl/>
          <w:lang w:bidi="he-IL"/>
        </w:rPr>
        <w:t>וחשבתי</w:t>
      </w:r>
      <w:r w:rsidRPr="00400C0B">
        <w:rPr>
          <w:rFonts w:cs="Guttman Rashi"/>
          <w:rtl/>
          <w:lang w:bidi="he-IL"/>
        </w:rPr>
        <w:t xml:space="preserve"> </w:t>
      </w:r>
      <w:r w:rsidRPr="00400C0B">
        <w:rPr>
          <w:rFonts w:cs="Guttman Rashi" w:hint="eastAsia"/>
          <w:rtl/>
          <w:lang w:bidi="he-IL"/>
        </w:rPr>
        <w:t>לדחות</w:t>
      </w:r>
      <w:r w:rsidRPr="00400C0B">
        <w:rPr>
          <w:rFonts w:cs="Guttman Rashi"/>
          <w:rtl/>
          <w:lang w:bidi="he-IL"/>
        </w:rPr>
        <w:t xml:space="preserve"> </w:t>
      </w:r>
      <w:r w:rsidRPr="00400C0B">
        <w:rPr>
          <w:rFonts w:cs="Guttman Rashi" w:hint="eastAsia"/>
          <w:rtl/>
          <w:lang w:bidi="he-IL"/>
        </w:rPr>
        <w:t>דלעולם</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יבשל</w:t>
      </w:r>
      <w:r w:rsidRPr="00400C0B">
        <w:rPr>
          <w:rFonts w:cs="Guttman Rashi"/>
          <w:rtl/>
          <w:lang w:bidi="he-IL"/>
        </w:rPr>
        <w:t xml:space="preserve"> </w:t>
      </w:r>
      <w:r w:rsidRPr="00400C0B">
        <w:rPr>
          <w:rFonts w:cs="Guttman Rashi" w:hint="eastAsia"/>
          <w:rtl/>
          <w:lang w:bidi="he-IL"/>
        </w:rPr>
        <w:t>בהם</w:t>
      </w:r>
      <w:r w:rsidRPr="00400C0B">
        <w:rPr>
          <w:rFonts w:cs="Guttman Rashi"/>
          <w:rtl/>
          <w:lang w:bidi="he-IL"/>
        </w:rPr>
        <w:t xml:space="preserve"> </w:t>
      </w:r>
      <w:r w:rsidRPr="00400C0B">
        <w:rPr>
          <w:rFonts w:cs="Guttman Rashi" w:hint="eastAsia"/>
          <w:rtl/>
          <w:lang w:bidi="he-IL"/>
        </w:rPr>
        <w:t>יאסרו</w:t>
      </w:r>
      <w:r w:rsidRPr="00400C0B">
        <w:rPr>
          <w:rFonts w:cs="Guttman Rashi"/>
          <w:rtl/>
          <w:lang w:bidi="he-IL"/>
        </w:rPr>
        <w:t xml:space="preserve"> </w:t>
      </w:r>
      <w:r w:rsidRPr="00400C0B">
        <w:rPr>
          <w:rFonts w:cs="Guttman Rashi" w:hint="eastAsia"/>
          <w:rtl/>
          <w:lang w:bidi="he-IL"/>
        </w:rPr>
        <w:t>משום</w:t>
      </w:r>
      <w:r w:rsidRPr="00400C0B">
        <w:rPr>
          <w:rFonts w:cs="Guttman Rashi"/>
          <w:rtl/>
          <w:lang w:bidi="he-IL"/>
        </w:rPr>
        <w:t xml:space="preserve"> </w:t>
      </w:r>
      <w:r w:rsidRPr="00400C0B">
        <w:rPr>
          <w:rFonts w:cs="Guttman Rashi" w:hint="eastAsia"/>
          <w:rtl/>
          <w:lang w:bidi="he-IL"/>
        </w:rPr>
        <w:t>המיעוט</w:t>
      </w:r>
      <w:r w:rsidRPr="00400C0B">
        <w:rPr>
          <w:rFonts w:cs="Guttman Rashi"/>
          <w:rtl/>
          <w:lang w:bidi="he-IL"/>
        </w:rPr>
        <w:t xml:space="preserve"> </w:t>
      </w:r>
      <w:r w:rsidRPr="00400C0B">
        <w:rPr>
          <w:rFonts w:cs="Guttman Rashi" w:hint="eastAsia"/>
          <w:rtl/>
          <w:lang w:bidi="he-IL"/>
        </w:rPr>
        <w:t>תשמיש</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דנטל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וכסברת</w:t>
      </w:r>
      <w:r w:rsidRPr="00400C0B">
        <w:rPr>
          <w:rFonts w:cs="Guttman Rashi"/>
          <w:rtl/>
          <w:lang w:bidi="he-IL"/>
        </w:rPr>
        <w:t xml:space="preserve"> </w:t>
      </w:r>
      <w:r w:rsidRPr="00400C0B">
        <w:rPr>
          <w:rFonts w:cs="Guttman Rashi" w:hint="eastAsia"/>
          <w:rtl/>
          <w:lang w:bidi="he-IL"/>
        </w:rPr>
        <w:t>והרמ</w:t>
      </w:r>
      <w:r w:rsidRPr="00400C0B">
        <w:rPr>
          <w:rFonts w:cs="Guttman Rashi"/>
          <w:rtl/>
          <w:lang w:bidi="he-IL"/>
        </w:rPr>
        <w:t>"</w:t>
      </w:r>
      <w:r w:rsidRPr="00400C0B">
        <w:rPr>
          <w:rFonts w:cs="Guttman Rashi" w:hint="eastAsia"/>
          <w:rtl/>
          <w:lang w:bidi="he-IL"/>
        </w:rPr>
        <w:t>ע</w:t>
      </w:r>
      <w:r>
        <w:rPr>
          <w:rFonts w:cs="Guttman Rashi" w:hint="cs"/>
          <w:rtl/>
          <w:lang w:bidi="he-IL"/>
        </w:rPr>
        <w:t xml:space="preserve"> והרשב"א</w:t>
      </w:r>
      <w:r w:rsidRPr="00400C0B">
        <w:rPr>
          <w:rFonts w:cs="Guttman Rashi"/>
          <w:rtl/>
          <w:lang w:bidi="he-IL"/>
        </w:rPr>
        <w:t xml:space="preserve">. </w:t>
      </w:r>
      <w:r w:rsidRPr="00400C0B">
        <w:rPr>
          <w:rFonts w:cs="Guttman Rashi" w:hint="eastAsia"/>
          <w:rtl/>
          <w:lang w:bidi="he-IL"/>
        </w:rPr>
        <w:t>אבל</w:t>
      </w:r>
      <w:r w:rsidRPr="00400C0B">
        <w:rPr>
          <w:rFonts w:cs="Guttman Rashi"/>
          <w:rtl/>
          <w:lang w:bidi="he-IL"/>
        </w:rPr>
        <w:t xml:space="preserve"> </w:t>
      </w:r>
      <w:r>
        <w:rPr>
          <w:rFonts w:cs="Guttman Rashi" w:hint="eastAsia"/>
          <w:rtl/>
          <w:lang w:bidi="he-IL"/>
        </w:rPr>
        <w:t>פש</w:t>
      </w:r>
      <w:r w:rsidRPr="00400C0B">
        <w:rPr>
          <w:rFonts w:cs="Guttman Rashi" w:hint="eastAsia"/>
          <w:rtl/>
          <w:lang w:bidi="he-IL"/>
        </w:rPr>
        <w:t>טות</w:t>
      </w:r>
      <w:r w:rsidRPr="00400C0B">
        <w:rPr>
          <w:rFonts w:cs="Guttman Rashi"/>
          <w:rtl/>
          <w:lang w:bidi="he-IL"/>
        </w:rPr>
        <w:t xml:space="preserve"> </w:t>
      </w:r>
      <w:r w:rsidRPr="00400C0B">
        <w:rPr>
          <w:rFonts w:cs="Guttman Rashi" w:hint="eastAsia"/>
          <w:rtl/>
          <w:lang w:bidi="he-IL"/>
        </w:rPr>
        <w:t>כוונת</w:t>
      </w:r>
      <w:r w:rsidRPr="00400C0B">
        <w:rPr>
          <w:rFonts w:cs="Guttman Rashi"/>
          <w:rtl/>
          <w:lang w:bidi="he-IL"/>
        </w:rPr>
        <w:t xml:space="preserve"> </w:t>
      </w:r>
      <w:r w:rsidRPr="00400C0B">
        <w:rPr>
          <w:rFonts w:cs="Guttman Rashi" w:hint="eastAsia"/>
          <w:rtl/>
          <w:lang w:bidi="he-IL"/>
        </w:rPr>
        <w:t>הברייתא</w:t>
      </w:r>
      <w:r w:rsidRPr="00400C0B">
        <w:rPr>
          <w:rFonts w:cs="Guttman Rashi"/>
          <w:rtl/>
          <w:lang w:bidi="he-IL"/>
        </w:rPr>
        <w:t xml:space="preserve"> </w:t>
      </w:r>
      <w:r w:rsidRPr="00400C0B">
        <w:rPr>
          <w:rFonts w:cs="Guttman Rashi" w:hint="eastAsia"/>
          <w:rtl/>
          <w:lang w:bidi="he-IL"/>
        </w:rPr>
        <w:t>שהשתמש</w:t>
      </w:r>
      <w:r w:rsidRPr="00400C0B">
        <w:rPr>
          <w:rFonts w:cs="Guttman Rashi"/>
          <w:rtl/>
          <w:lang w:bidi="he-IL"/>
        </w:rPr>
        <w:t xml:space="preserve"> </w:t>
      </w:r>
      <w:r w:rsidRPr="00400C0B">
        <w:rPr>
          <w:rFonts w:cs="Guttman Rashi" w:hint="eastAsia"/>
          <w:rtl/>
          <w:lang w:bidi="he-IL"/>
        </w:rPr>
        <w:t>בהם</w:t>
      </w:r>
      <w:r w:rsidRPr="00400C0B">
        <w:rPr>
          <w:rFonts w:cs="Guttman Rashi"/>
          <w:rtl/>
          <w:lang w:bidi="he-IL"/>
        </w:rPr>
        <w:t xml:space="preserve"> </w:t>
      </w:r>
      <w:r w:rsidRPr="00400C0B">
        <w:rPr>
          <w:rFonts w:cs="Guttman Rashi" w:hint="eastAsia"/>
          <w:rtl/>
          <w:lang w:bidi="he-IL"/>
        </w:rPr>
        <w:t>דרך</w:t>
      </w:r>
      <w:r w:rsidRPr="00400C0B">
        <w:rPr>
          <w:rFonts w:cs="Guttman Rashi"/>
          <w:rtl/>
          <w:lang w:bidi="he-IL"/>
        </w:rPr>
        <w:t xml:space="preserve"> </w:t>
      </w:r>
      <w:r w:rsidRPr="00400C0B">
        <w:rPr>
          <w:rFonts w:cs="Guttman Rashi" w:hint="eastAsia"/>
          <w:rtl/>
          <w:lang w:bidi="he-IL"/>
        </w:rPr>
        <w:t>תשמישתו</w:t>
      </w:r>
      <w:r w:rsidRPr="00400C0B">
        <w:rPr>
          <w:rFonts w:cs="Guttman Rashi"/>
          <w:rtl/>
          <w:lang w:bidi="he-IL"/>
        </w:rPr>
        <w:t xml:space="preserve"> </w:t>
      </w:r>
      <w:r>
        <w:rPr>
          <w:rFonts w:cs="Guttman Rashi" w:hint="cs"/>
          <w:rtl/>
          <w:lang w:bidi="he-IL"/>
        </w:rPr>
        <w:t xml:space="preserve">הרגיל </w:t>
      </w:r>
      <w:r w:rsidRPr="00400C0B">
        <w:rPr>
          <w:rFonts w:cs="Guttman Rashi" w:hint="eastAsia"/>
          <w:rtl/>
          <w:lang w:bidi="he-IL"/>
        </w:rPr>
        <w:t>יש</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וזה</w:t>
      </w:r>
      <w:r w:rsidRPr="00400C0B">
        <w:rPr>
          <w:rFonts w:cs="Guttman Rashi"/>
          <w:rtl/>
          <w:lang w:bidi="he-IL"/>
        </w:rPr>
        <w:t xml:space="preserve"> </w:t>
      </w:r>
      <w:r w:rsidRPr="00400C0B">
        <w:rPr>
          <w:rFonts w:cs="Guttman Rashi" w:hint="eastAsia"/>
          <w:rtl/>
          <w:lang w:bidi="he-IL"/>
        </w:rPr>
        <w:t>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אין</w:t>
      </w:r>
      <w:r w:rsidRPr="00400C0B">
        <w:rPr>
          <w:rFonts w:cs="Guttman Rashi"/>
          <w:rtl/>
          <w:lang w:bidi="he-IL"/>
        </w:rPr>
        <w:t xml:space="preserve"> </w:t>
      </w:r>
      <w:r w:rsidRPr="00400C0B">
        <w:rPr>
          <w:rFonts w:cs="Guttman Rashi" w:hint="eastAsia"/>
          <w:rtl/>
          <w:lang w:bidi="he-IL"/>
        </w:rPr>
        <w:t>לאסור</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נכנס</w:t>
      </w:r>
      <w:r w:rsidRPr="00400C0B">
        <w:rPr>
          <w:rFonts w:cs="Guttman Rashi"/>
          <w:rtl/>
          <w:lang w:bidi="he-IL"/>
        </w:rPr>
        <w:t xml:space="preserve"> </w:t>
      </w:r>
      <w:r w:rsidRPr="00400C0B">
        <w:rPr>
          <w:rFonts w:cs="Guttman Rashi" w:hint="eastAsia"/>
          <w:rtl/>
          <w:lang w:bidi="he-IL"/>
        </w:rPr>
        <w:t>לתבשיל</w:t>
      </w:r>
      <w:r w:rsidRPr="00400C0B">
        <w:rPr>
          <w:rFonts w:cs="Guttman Rashi"/>
          <w:rtl/>
          <w:lang w:bidi="he-IL"/>
        </w:rPr>
        <w:t xml:space="preserve"> </w:t>
      </w:r>
      <w:r w:rsidRPr="00400C0B">
        <w:rPr>
          <w:rFonts w:cs="Guttman Rashi" w:hint="eastAsia"/>
          <w:rtl/>
          <w:lang w:bidi="he-IL"/>
        </w:rPr>
        <w:t>החדש</w:t>
      </w:r>
      <w:r w:rsidRPr="00400C0B">
        <w:rPr>
          <w:rFonts w:cs="Guttman Rashi"/>
          <w:rtl/>
          <w:lang w:bidi="he-IL"/>
        </w:rPr>
        <w:t xml:space="preserve"> </w:t>
      </w:r>
      <w:r w:rsidRPr="00400C0B">
        <w:rPr>
          <w:rFonts w:cs="Guttman Rashi" w:hint="eastAsia"/>
          <w:rtl/>
          <w:lang w:bidi="he-IL"/>
        </w:rPr>
        <w:t>שום</w:t>
      </w:r>
      <w:r w:rsidRPr="00400C0B">
        <w:rPr>
          <w:rFonts w:cs="Guttman Rashi"/>
          <w:rtl/>
          <w:lang w:bidi="he-IL"/>
        </w:rPr>
        <w:t xml:space="preserve"> </w:t>
      </w:r>
      <w:r w:rsidRPr="00400C0B">
        <w:rPr>
          <w:rFonts w:cs="Guttman Rashi" w:hint="eastAsia"/>
          <w:rtl/>
          <w:lang w:bidi="he-IL"/>
        </w:rPr>
        <w:t>בליעות</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שהשתמש</w:t>
      </w:r>
      <w:r w:rsidRPr="00400C0B">
        <w:rPr>
          <w:rFonts w:cs="Guttman Rashi"/>
          <w:rtl/>
          <w:lang w:bidi="he-IL"/>
        </w:rPr>
        <w:t xml:space="preserve"> </w:t>
      </w:r>
      <w:r w:rsidRPr="00400C0B">
        <w:rPr>
          <w:rFonts w:cs="Guttman Rashi" w:hint="eastAsia"/>
          <w:rtl/>
          <w:lang w:bidi="he-IL"/>
        </w:rPr>
        <w:t>כשהוא</w:t>
      </w:r>
      <w:r w:rsidRPr="00400C0B">
        <w:rPr>
          <w:rFonts w:cs="Guttman Rashi"/>
          <w:rtl/>
          <w:lang w:bidi="he-IL"/>
        </w:rPr>
        <w:t xml:space="preserve"> </w:t>
      </w:r>
      <w:r w:rsidRPr="00400C0B">
        <w:rPr>
          <w:rFonts w:cs="Guttman Rashi" w:hint="eastAsia"/>
          <w:rtl/>
          <w:lang w:bidi="he-IL"/>
        </w:rPr>
        <w:t>צונן</w:t>
      </w:r>
      <w:r w:rsidRPr="00400C0B">
        <w:rPr>
          <w:rFonts w:cs="Guttman Rashi"/>
          <w:rtl/>
          <w:lang w:bidi="he-IL"/>
        </w:rPr>
        <w:t xml:space="preserve">. </w:t>
      </w:r>
      <w:r w:rsidRPr="00400C0B">
        <w:rPr>
          <w:rFonts w:cs="Guttman Rashi" w:hint="eastAsia"/>
          <w:rtl/>
          <w:lang w:bidi="he-IL"/>
        </w:rPr>
        <w:t>ואין</w:t>
      </w:r>
      <w:r w:rsidRPr="00400C0B">
        <w:rPr>
          <w:rFonts w:cs="Guttman Rashi"/>
          <w:rtl/>
          <w:lang w:bidi="he-IL"/>
        </w:rPr>
        <w:t xml:space="preserve"> </w:t>
      </w:r>
      <w:r w:rsidRPr="00400C0B">
        <w:rPr>
          <w:rFonts w:cs="Guttman Rashi" w:hint="eastAsia"/>
          <w:rtl/>
          <w:lang w:bidi="he-IL"/>
        </w:rPr>
        <w:t>ליישב</w:t>
      </w:r>
      <w:r w:rsidRPr="00400C0B">
        <w:rPr>
          <w:rFonts w:cs="Guttman Rashi"/>
          <w:rtl/>
          <w:lang w:bidi="he-IL"/>
        </w:rPr>
        <w:t xml:space="preserve"> </w:t>
      </w:r>
      <w:r w:rsidRPr="00400C0B">
        <w:rPr>
          <w:rFonts w:cs="Guttman Rashi" w:hint="eastAsia"/>
          <w:rtl/>
          <w:lang w:bidi="he-IL"/>
        </w:rPr>
        <w:t>הערת</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היכא</w:t>
      </w:r>
      <w:r w:rsidRPr="00400C0B">
        <w:rPr>
          <w:rFonts w:cs="Guttman Rashi"/>
          <w:rtl/>
          <w:lang w:bidi="he-IL"/>
        </w:rPr>
        <w:t xml:space="preserve"> </w:t>
      </w:r>
      <w:r w:rsidRPr="00400C0B">
        <w:rPr>
          <w:rFonts w:cs="Guttman Rashi" w:hint="eastAsia"/>
          <w:rtl/>
          <w:lang w:bidi="he-IL"/>
        </w:rPr>
        <w:t>שבישל</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דחוץ</w:t>
      </w:r>
      <w:r w:rsidRPr="00400C0B">
        <w:rPr>
          <w:rFonts w:cs="Guttman Rashi"/>
          <w:rtl/>
          <w:lang w:bidi="he-IL"/>
        </w:rPr>
        <w:t xml:space="preserve"> </w:t>
      </w:r>
      <w:r w:rsidRPr="00400C0B">
        <w:rPr>
          <w:rFonts w:cs="Guttman Rashi" w:hint="eastAsia"/>
          <w:rtl/>
          <w:lang w:bidi="he-IL"/>
        </w:rPr>
        <w:t>ממה</w:t>
      </w:r>
      <w:r w:rsidRPr="00400C0B">
        <w:rPr>
          <w:rFonts w:cs="Guttman Rashi"/>
          <w:rtl/>
          <w:lang w:bidi="he-IL"/>
        </w:rPr>
        <w:t xml:space="preserve"> </w:t>
      </w:r>
      <w:r w:rsidRPr="00400C0B">
        <w:rPr>
          <w:rFonts w:cs="Guttman Rashi" w:hint="eastAsia"/>
          <w:rtl/>
          <w:lang w:bidi="he-IL"/>
        </w:rPr>
        <w:t>שהוא</w:t>
      </w:r>
      <w:r w:rsidRPr="00400C0B">
        <w:rPr>
          <w:rFonts w:cs="Guttman Rashi"/>
          <w:rtl/>
          <w:lang w:bidi="he-IL"/>
        </w:rPr>
        <w:t xml:space="preserve"> </w:t>
      </w:r>
      <w:r w:rsidRPr="00400C0B">
        <w:rPr>
          <w:rFonts w:cs="Guttman Rashi" w:hint="eastAsia"/>
          <w:rtl/>
          <w:lang w:bidi="he-IL"/>
        </w:rPr>
        <w:t>דחוק</w:t>
      </w:r>
      <w:r w:rsidRPr="00400C0B">
        <w:rPr>
          <w:rFonts w:cs="Guttman Rashi"/>
          <w:rtl/>
          <w:lang w:bidi="he-IL"/>
        </w:rPr>
        <w:t xml:space="preserve"> </w:t>
      </w:r>
      <w:r w:rsidRPr="00400C0B">
        <w:rPr>
          <w:rFonts w:cs="Guttman Rashi" w:hint="eastAsia"/>
          <w:rtl/>
          <w:lang w:bidi="he-IL"/>
        </w:rPr>
        <w:t>בלשון</w:t>
      </w:r>
      <w:r w:rsidRPr="00400C0B">
        <w:rPr>
          <w:rFonts w:cs="Guttman Rashi"/>
          <w:rtl/>
          <w:lang w:bidi="he-IL"/>
        </w:rPr>
        <w:t xml:space="preserve"> </w:t>
      </w:r>
      <w:r w:rsidRPr="00400C0B">
        <w:rPr>
          <w:rFonts w:cs="Guttman Rashi" w:hint="eastAsia"/>
          <w:rtl/>
          <w:lang w:bidi="he-IL"/>
        </w:rPr>
        <w:t>ברייתא</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שמסתמא</w:t>
      </w:r>
      <w:r w:rsidRPr="00400C0B">
        <w:rPr>
          <w:rFonts w:cs="Guttman Rashi"/>
          <w:rtl/>
          <w:lang w:bidi="he-IL"/>
        </w:rPr>
        <w:t xml:space="preserve"> </w:t>
      </w:r>
      <w:r w:rsidRPr="00400C0B">
        <w:rPr>
          <w:rFonts w:cs="Guttman Rashi" w:hint="eastAsia"/>
          <w:rtl/>
          <w:lang w:bidi="he-IL"/>
        </w:rPr>
        <w:t>בדרך</w:t>
      </w:r>
      <w:r w:rsidRPr="00400C0B">
        <w:rPr>
          <w:rFonts w:cs="Guttman Rashi"/>
          <w:rtl/>
          <w:lang w:bidi="he-IL"/>
        </w:rPr>
        <w:t xml:space="preserve"> </w:t>
      </w:r>
      <w:r w:rsidRPr="00400C0B">
        <w:rPr>
          <w:rFonts w:cs="Guttman Rashi" w:hint="eastAsia"/>
          <w:rtl/>
          <w:lang w:bidi="he-IL"/>
        </w:rPr>
        <w:t>הרגיל</w:t>
      </w:r>
      <w:r w:rsidRPr="00400C0B">
        <w:rPr>
          <w:rFonts w:cs="Guttman Rashi"/>
          <w:rtl/>
          <w:lang w:bidi="he-IL"/>
        </w:rPr>
        <w:t xml:space="preserve"> </w:t>
      </w:r>
      <w:r w:rsidRPr="00400C0B">
        <w:rPr>
          <w:rFonts w:cs="Guttman Rashi" w:hint="eastAsia"/>
          <w:rtl/>
          <w:lang w:bidi="he-IL"/>
        </w:rPr>
        <w:t>מיירי</w:t>
      </w:r>
      <w:r w:rsidRPr="00400C0B">
        <w:rPr>
          <w:rFonts w:cs="Guttman Rashi"/>
          <w:rtl/>
          <w:lang w:bidi="he-IL"/>
        </w:rPr>
        <w:t xml:space="preserve">, </w:t>
      </w:r>
      <w:r w:rsidRPr="00400C0B">
        <w:rPr>
          <w:rFonts w:cs="Guttman Rashi" w:hint="eastAsia"/>
          <w:rtl/>
          <w:lang w:bidi="he-IL"/>
        </w:rPr>
        <w:t>הא</w:t>
      </w:r>
      <w:r w:rsidRPr="00400C0B">
        <w:rPr>
          <w:rFonts w:cs="Guttman Rashi"/>
          <w:rtl/>
          <w:lang w:bidi="he-IL"/>
        </w:rPr>
        <w:t xml:space="preserve"> </w:t>
      </w:r>
      <w:r w:rsidRPr="00400C0B">
        <w:rPr>
          <w:rFonts w:cs="Guttman Rashi" w:hint="eastAsia"/>
          <w:rtl/>
          <w:lang w:bidi="he-IL"/>
        </w:rPr>
        <w:t>כתוב</w:t>
      </w:r>
      <w:r w:rsidRPr="00400C0B">
        <w:rPr>
          <w:rFonts w:cs="Guttman Rashi"/>
          <w:rtl/>
          <w:lang w:bidi="he-IL"/>
        </w:rPr>
        <w:t xml:space="preserve"> </w:t>
      </w:r>
      <w:r w:rsidRPr="00400C0B">
        <w:rPr>
          <w:rFonts w:cs="Guttman Rashi" w:hint="eastAsia"/>
          <w:rtl/>
          <w:lang w:bidi="he-IL"/>
        </w:rPr>
        <w:t>בברייתא</w:t>
      </w:r>
      <w:r w:rsidRPr="00400C0B">
        <w:rPr>
          <w:rFonts w:cs="Guttman Rashi"/>
          <w:rtl/>
          <w:lang w:bidi="he-IL"/>
        </w:rPr>
        <w:t xml:space="preserve"> '</w:t>
      </w:r>
      <w:r w:rsidRPr="00400C0B">
        <w:rPr>
          <w:rFonts w:cs="Guttman Rashi" w:hint="eastAsia"/>
          <w:rtl/>
          <w:lang w:bidi="he-IL"/>
        </w:rPr>
        <w:t>עד</w:t>
      </w:r>
      <w:r w:rsidRPr="00400C0B">
        <w:rPr>
          <w:rFonts w:cs="Guttman Rashi"/>
          <w:rtl/>
          <w:lang w:bidi="he-IL"/>
        </w:rPr>
        <w:t xml:space="preserve"> </w:t>
      </w:r>
      <w:r w:rsidRPr="00400C0B">
        <w:rPr>
          <w:rFonts w:cs="Guttman Rashi" w:hint="eastAsia"/>
          <w:rtl/>
          <w:lang w:bidi="he-IL"/>
        </w:rPr>
        <w:t>שלא</w:t>
      </w:r>
      <w:r w:rsidRPr="00400C0B">
        <w:rPr>
          <w:rFonts w:cs="Guttman Rashi"/>
          <w:rtl/>
          <w:lang w:bidi="he-IL"/>
        </w:rPr>
        <w:t xml:space="preserve"> </w:t>
      </w:r>
      <w:r w:rsidRPr="00400C0B">
        <w:rPr>
          <w:rFonts w:cs="Guttman Rashi" w:hint="eastAsia"/>
          <w:rtl/>
          <w:lang w:bidi="he-IL"/>
        </w:rPr>
        <w:t>יטביל</w:t>
      </w:r>
      <w:r w:rsidRPr="00400C0B">
        <w:rPr>
          <w:rFonts w:cs="Guttman Rashi"/>
          <w:rtl/>
          <w:lang w:bidi="he-IL"/>
        </w:rPr>
        <w:t xml:space="preserve">' </w:t>
      </w:r>
      <w:r w:rsidRPr="00400C0B">
        <w:rPr>
          <w:rFonts w:cs="Guttman Rashi" w:hint="eastAsia"/>
          <w:rtl/>
          <w:lang w:bidi="he-IL"/>
        </w:rPr>
        <w:t>וזו</w:t>
      </w:r>
      <w:r w:rsidRPr="00400C0B">
        <w:rPr>
          <w:rFonts w:cs="Guttman Rashi"/>
          <w:rtl/>
          <w:lang w:bidi="he-IL"/>
        </w:rPr>
        <w:t xml:space="preserve"> </w:t>
      </w:r>
      <w:r w:rsidRPr="00400C0B">
        <w:rPr>
          <w:rFonts w:cs="Guttman Rashi" w:hint="eastAsia"/>
          <w:rtl/>
          <w:lang w:bidi="he-IL"/>
        </w:rPr>
        <w:t>צריך</w:t>
      </w:r>
      <w:r w:rsidRPr="00400C0B">
        <w:rPr>
          <w:rFonts w:cs="Guttman Rashi"/>
          <w:rtl/>
          <w:lang w:bidi="he-IL"/>
        </w:rPr>
        <w:t xml:space="preserve"> </w:t>
      </w:r>
      <w:r w:rsidRPr="00400C0B">
        <w:rPr>
          <w:rFonts w:cs="Guttman Rashi" w:hint="eastAsia"/>
          <w:rtl/>
          <w:lang w:bidi="he-IL"/>
        </w:rPr>
        <w:t>עיון</w:t>
      </w:r>
      <w:r w:rsidRPr="00400C0B">
        <w:rPr>
          <w:rFonts w:cs="Guttman Rashi"/>
          <w:rtl/>
          <w:lang w:bidi="he-IL"/>
        </w:rPr>
        <w:t xml:space="preserve">, </w:t>
      </w:r>
      <w:r w:rsidRPr="00400C0B">
        <w:rPr>
          <w:rFonts w:cs="Guttman Rashi" w:hint="eastAsia"/>
          <w:rtl/>
          <w:lang w:bidi="he-IL"/>
        </w:rPr>
        <w:t>שאפילו</w:t>
      </w:r>
      <w:r w:rsidRPr="00400C0B">
        <w:rPr>
          <w:rFonts w:cs="Guttman Rashi"/>
          <w:rtl/>
          <w:lang w:bidi="he-IL"/>
        </w:rPr>
        <w:t xml:space="preserve"> </w:t>
      </w:r>
      <w:r w:rsidRPr="00400C0B">
        <w:rPr>
          <w:rFonts w:cs="Guttman Rashi" w:hint="eastAsia"/>
          <w:rtl/>
          <w:lang w:bidi="he-IL"/>
        </w:rPr>
        <w:t>אם</w:t>
      </w:r>
      <w:r w:rsidRPr="00400C0B">
        <w:rPr>
          <w:rFonts w:cs="Guttman Rashi"/>
          <w:rtl/>
          <w:lang w:bidi="he-IL"/>
        </w:rPr>
        <w:t xml:space="preserve"> </w:t>
      </w:r>
      <w:r w:rsidRPr="00400C0B">
        <w:rPr>
          <w:rFonts w:cs="Guttman Rashi" w:hint="eastAsia"/>
          <w:rtl/>
          <w:lang w:bidi="he-IL"/>
        </w:rPr>
        <w:t>הבליעות</w:t>
      </w:r>
      <w:r w:rsidRPr="00400C0B">
        <w:rPr>
          <w:rFonts w:cs="Guttman Rashi"/>
          <w:rtl/>
          <w:lang w:bidi="he-IL"/>
        </w:rPr>
        <w:t xml:space="preserve"> </w:t>
      </w:r>
      <w:r w:rsidRPr="00400C0B">
        <w:rPr>
          <w:rFonts w:cs="Guttman Rashi" w:hint="eastAsia"/>
          <w:rtl/>
          <w:lang w:bidi="he-IL"/>
        </w:rPr>
        <w:t>נבלעו</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מאי</w:t>
      </w:r>
      <w:r w:rsidRPr="00400C0B">
        <w:rPr>
          <w:rFonts w:cs="Guttman Rashi"/>
          <w:rtl/>
          <w:lang w:bidi="he-IL"/>
        </w:rPr>
        <w:t xml:space="preserve"> </w:t>
      </w:r>
      <w:r w:rsidRPr="00400C0B">
        <w:rPr>
          <w:rFonts w:cs="Guttman Rashi" w:hint="eastAsia"/>
          <w:rtl/>
          <w:lang w:bidi="he-IL"/>
        </w:rPr>
        <w:t>אהני</w:t>
      </w:r>
      <w:r w:rsidRPr="00400C0B">
        <w:rPr>
          <w:rFonts w:cs="Guttman Rashi"/>
          <w:rtl/>
          <w:lang w:bidi="he-IL"/>
        </w:rPr>
        <w:t xml:space="preserve"> </w:t>
      </w:r>
      <w:r w:rsidRPr="00400C0B">
        <w:rPr>
          <w:rFonts w:cs="Guttman Rashi" w:hint="eastAsia"/>
          <w:rtl/>
          <w:lang w:bidi="he-IL"/>
        </w:rPr>
        <w:t>לן</w:t>
      </w:r>
      <w:r w:rsidRPr="00400C0B">
        <w:rPr>
          <w:rFonts w:cs="Guttman Rashi"/>
          <w:rtl/>
          <w:lang w:bidi="he-IL"/>
        </w:rPr>
        <w:t xml:space="preserve"> </w:t>
      </w:r>
      <w:r>
        <w:rPr>
          <w:rFonts w:cs="Guttman Rashi" w:hint="eastAsia"/>
          <w:rtl/>
          <w:lang w:bidi="he-IL"/>
        </w:rPr>
        <w:t>טבי</w:t>
      </w:r>
      <w:r w:rsidRPr="00400C0B">
        <w:rPr>
          <w:rFonts w:cs="Guttman Rashi" w:hint="eastAsia"/>
          <w:rtl/>
          <w:lang w:bidi="he-IL"/>
        </w:rPr>
        <w:t>לה</w:t>
      </w:r>
      <w:r w:rsidRPr="00400C0B">
        <w:rPr>
          <w:rFonts w:cs="Guttman Rashi"/>
          <w:rtl/>
          <w:lang w:bidi="he-IL"/>
        </w:rPr>
        <w:t xml:space="preserve"> </w:t>
      </w:r>
      <w:r w:rsidRPr="00400C0B">
        <w:rPr>
          <w:rFonts w:cs="Guttman Rashi" w:hint="eastAsia"/>
          <w:rtl/>
          <w:lang w:bidi="he-IL"/>
        </w:rPr>
        <w:t>לזה</w:t>
      </w:r>
      <w:r w:rsidRPr="00400C0B">
        <w:rPr>
          <w:rFonts w:cs="Guttman Rashi"/>
          <w:rtl/>
          <w:lang w:bidi="he-IL"/>
        </w:rPr>
        <w:t xml:space="preserve">. </w:t>
      </w:r>
      <w:r w:rsidRPr="00400C0B">
        <w:rPr>
          <w:rFonts w:cs="Guttman Rashi" w:hint="eastAsia"/>
          <w:rtl/>
          <w:lang w:bidi="he-IL"/>
        </w:rPr>
        <w:t>וע</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צריכים</w:t>
      </w:r>
      <w:r w:rsidRPr="00400C0B">
        <w:rPr>
          <w:rFonts w:cs="Guttman Rashi"/>
          <w:rtl/>
          <w:lang w:bidi="he-IL"/>
        </w:rPr>
        <w:t xml:space="preserve"> </w:t>
      </w:r>
      <w:r w:rsidRPr="00400C0B">
        <w:rPr>
          <w:rFonts w:cs="Guttman Rashi" w:hint="eastAsia"/>
          <w:rtl/>
          <w:lang w:bidi="he-IL"/>
        </w:rPr>
        <w:t>לומר</w:t>
      </w:r>
      <w:r w:rsidRPr="00400C0B">
        <w:rPr>
          <w:rFonts w:cs="Guttman Rashi"/>
          <w:rtl/>
          <w:lang w:bidi="he-IL"/>
        </w:rPr>
        <w:t xml:space="preserve"> </w:t>
      </w:r>
      <w:r w:rsidRPr="00400C0B">
        <w:rPr>
          <w:rFonts w:cs="Guttman Rashi" w:hint="eastAsia"/>
          <w:rtl/>
          <w:lang w:bidi="he-IL"/>
        </w:rPr>
        <w:t>כמש</w:t>
      </w:r>
      <w:r w:rsidRPr="00400C0B">
        <w:rPr>
          <w:rFonts w:cs="Guttman Rashi"/>
          <w:rtl/>
          <w:lang w:bidi="he-IL"/>
        </w:rPr>
        <w:t>"</w:t>
      </w:r>
      <w:r w:rsidRPr="00400C0B">
        <w:rPr>
          <w:rFonts w:cs="Guttman Rashi" w:hint="eastAsia"/>
          <w:rtl/>
          <w:lang w:bidi="he-IL"/>
        </w:rPr>
        <w:t>כ</w:t>
      </w:r>
      <w:r w:rsidRPr="00400C0B">
        <w:rPr>
          <w:rFonts w:cs="Guttman Rashi"/>
          <w:rtl/>
          <w:lang w:bidi="he-IL"/>
        </w:rPr>
        <w:t xml:space="preserve"> </w:t>
      </w:r>
      <w:r w:rsidRPr="00400C0B">
        <w:rPr>
          <w:rFonts w:cs="Guttman Rashi" w:hint="eastAsia"/>
          <w:rtl/>
          <w:lang w:bidi="he-IL"/>
        </w:rPr>
        <w:t>התוס</w:t>
      </w:r>
      <w:r w:rsidRPr="00400C0B">
        <w:rPr>
          <w:rFonts w:cs="Guttman Rashi"/>
          <w:rtl/>
          <w:lang w:bidi="he-IL"/>
        </w:rPr>
        <w:t xml:space="preserve">'. </w:t>
      </w:r>
      <w:r w:rsidRPr="00400C0B">
        <w:rPr>
          <w:rFonts w:cs="Guttman Rashi" w:hint="eastAsia"/>
          <w:rtl/>
          <w:lang w:bidi="he-IL"/>
        </w:rPr>
        <w:t>אמנם</w:t>
      </w:r>
      <w:r w:rsidRPr="00400C0B">
        <w:rPr>
          <w:rFonts w:cs="Guttman Rashi"/>
          <w:rtl/>
          <w:lang w:bidi="he-IL"/>
        </w:rPr>
        <w:t xml:space="preserve"> </w:t>
      </w:r>
      <w:r w:rsidRPr="00400C0B">
        <w:rPr>
          <w:rFonts w:cs="Guttman Rashi" w:hint="eastAsia"/>
          <w:rtl/>
          <w:lang w:bidi="he-IL"/>
        </w:rPr>
        <w:t>עדיין</w:t>
      </w:r>
      <w:r w:rsidRPr="00400C0B">
        <w:rPr>
          <w:rFonts w:cs="Guttman Rashi"/>
          <w:rtl/>
          <w:lang w:bidi="he-IL"/>
        </w:rPr>
        <w:t xml:space="preserve"> </w:t>
      </w:r>
      <w:r w:rsidRPr="00400C0B">
        <w:rPr>
          <w:rFonts w:cs="Guttman Rashi" w:hint="eastAsia"/>
          <w:rtl/>
          <w:lang w:bidi="he-IL"/>
        </w:rPr>
        <w:t>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r w:rsidRPr="00400C0B">
        <w:rPr>
          <w:rFonts w:cs="Guttman Rashi" w:hint="eastAsia"/>
          <w:rtl/>
          <w:lang w:bidi="he-IL"/>
        </w:rPr>
        <w:t>שאם</w:t>
      </w:r>
      <w:r w:rsidRPr="00400C0B">
        <w:rPr>
          <w:rFonts w:cs="Guttman Rashi"/>
          <w:rtl/>
          <w:lang w:bidi="he-IL"/>
        </w:rPr>
        <w:t xml:space="preserve"> </w:t>
      </w:r>
      <w:r w:rsidRPr="00400C0B">
        <w:rPr>
          <w:rFonts w:cs="Guttman Rashi" w:hint="eastAsia"/>
          <w:rtl/>
          <w:lang w:bidi="he-IL"/>
        </w:rPr>
        <w:t>באמת</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ימלט</w:t>
      </w:r>
      <w:r w:rsidRPr="00400C0B">
        <w:rPr>
          <w:rFonts w:cs="Guttman Rashi"/>
          <w:rtl/>
          <w:lang w:bidi="he-IL"/>
        </w:rPr>
        <w:t xml:space="preserve"> </w:t>
      </w:r>
      <w:r w:rsidRPr="00400C0B">
        <w:rPr>
          <w:rFonts w:cs="Guttman Rashi" w:hint="eastAsia"/>
          <w:rtl/>
          <w:lang w:bidi="he-IL"/>
        </w:rPr>
        <w:t>מהיות</w:t>
      </w:r>
      <w:r w:rsidRPr="00400C0B">
        <w:rPr>
          <w:rFonts w:cs="Guttman Rashi"/>
          <w:rtl/>
          <w:lang w:bidi="he-IL"/>
        </w:rPr>
        <w:t xml:space="preserve"> </w:t>
      </w:r>
      <w:r w:rsidRPr="00400C0B">
        <w:rPr>
          <w:rFonts w:cs="Guttman Rashi" w:hint="eastAsia"/>
          <w:rtl/>
          <w:lang w:bidi="he-IL"/>
        </w:rPr>
        <w:t>בולע</w:t>
      </w:r>
      <w:r w:rsidRPr="00400C0B">
        <w:rPr>
          <w:rFonts w:cs="Guttman Rashi"/>
          <w:rtl/>
          <w:lang w:bidi="he-IL"/>
        </w:rPr>
        <w:t xml:space="preserve"> </w:t>
      </w:r>
      <w:r w:rsidRPr="00400C0B">
        <w:rPr>
          <w:rFonts w:cs="Guttman Rashi" w:hint="eastAsia"/>
          <w:rtl/>
          <w:lang w:bidi="he-IL"/>
        </w:rPr>
        <w:t>פעם</w:t>
      </w:r>
      <w:r>
        <w:rPr>
          <w:rFonts w:cs="Guttman Rashi" w:hint="cs"/>
          <w:rtl/>
          <w:lang w:bidi="he-IL"/>
        </w:rPr>
        <w:t xml:space="preserve"> </w:t>
      </w:r>
      <w:r w:rsidRPr="00400C0B">
        <w:rPr>
          <w:rFonts w:cs="Guttman Rashi" w:hint="eastAsia"/>
          <w:rtl/>
          <w:lang w:bidi="he-IL"/>
        </w:rPr>
        <w:t>א</w:t>
      </w:r>
      <w:r w:rsidRPr="00400C0B">
        <w:rPr>
          <w:rFonts w:cs="Guttman Rashi"/>
          <w:rtl/>
          <w:lang w:bidi="he-IL"/>
        </w:rPr>
        <w:t xml:space="preserve">', </w:t>
      </w:r>
      <w:r w:rsidRPr="00400C0B">
        <w:rPr>
          <w:rFonts w:cs="Guttman Rashi" w:hint="eastAsia"/>
          <w:rtl/>
          <w:lang w:bidi="he-IL"/>
        </w:rPr>
        <w:t>למה</w:t>
      </w:r>
      <w:r w:rsidRPr="00400C0B">
        <w:rPr>
          <w:rFonts w:cs="Guttman Rashi"/>
          <w:rtl/>
          <w:lang w:bidi="he-IL"/>
        </w:rPr>
        <w:t xml:space="preserve"> </w:t>
      </w:r>
      <w:r w:rsidRPr="00400C0B">
        <w:rPr>
          <w:rFonts w:cs="Guttman Rashi" w:hint="eastAsia"/>
          <w:rtl/>
          <w:lang w:bidi="he-IL"/>
        </w:rPr>
        <w:t>למ</w:t>
      </w:r>
      <w:r w:rsidRPr="00400C0B">
        <w:rPr>
          <w:rFonts w:cs="Guttman Rashi"/>
          <w:rtl/>
          <w:lang w:bidi="he-IL"/>
        </w:rPr>
        <w:t>"</w:t>
      </w:r>
      <w:r w:rsidRPr="00400C0B">
        <w:rPr>
          <w:rFonts w:cs="Guttman Rashi" w:hint="eastAsia"/>
          <w:rtl/>
          <w:lang w:bidi="he-IL"/>
        </w:rPr>
        <w:t>ד</w:t>
      </w:r>
      <w:r w:rsidRPr="00400C0B">
        <w:rPr>
          <w:rFonts w:cs="Guttman Rashi"/>
          <w:rtl/>
          <w:lang w:bidi="he-IL"/>
        </w:rPr>
        <w:t xml:space="preserve"> </w:t>
      </w:r>
      <w:r w:rsidRPr="00400C0B">
        <w:rPr>
          <w:rFonts w:cs="Guttman Rashi" w:hint="eastAsia"/>
          <w:rtl/>
          <w:lang w:bidi="he-IL"/>
        </w:rPr>
        <w:t>נטל</w:t>
      </w:r>
      <w:r w:rsidRPr="00400C0B">
        <w:rPr>
          <w:rFonts w:cs="Guttman Rashi"/>
          <w:rtl/>
          <w:lang w:bidi="he-IL"/>
        </w:rPr>
        <w:t>"</w:t>
      </w:r>
      <w:r w:rsidRPr="00400C0B">
        <w:rPr>
          <w:rFonts w:cs="Guttman Rashi" w:hint="eastAsia"/>
          <w:rtl/>
          <w:lang w:bidi="he-IL"/>
        </w:rPr>
        <w:t>פ</w:t>
      </w:r>
      <w:r w:rsidRPr="00400C0B">
        <w:rPr>
          <w:rFonts w:cs="Guttman Rashi"/>
          <w:rtl/>
          <w:lang w:bidi="he-IL"/>
        </w:rPr>
        <w:t xml:space="preserve"> </w:t>
      </w:r>
      <w:r w:rsidRPr="00400C0B">
        <w:rPr>
          <w:rFonts w:cs="Guttman Rashi" w:hint="eastAsia"/>
          <w:rtl/>
          <w:lang w:bidi="he-IL"/>
        </w:rPr>
        <w:t>אסור</w:t>
      </w:r>
      <w:r w:rsidRPr="00400C0B">
        <w:rPr>
          <w:rFonts w:cs="Guttman Rashi"/>
          <w:rtl/>
          <w:lang w:bidi="he-IL"/>
        </w:rPr>
        <w:t xml:space="preserve"> </w:t>
      </w:r>
      <w:r w:rsidRPr="00400C0B">
        <w:rPr>
          <w:rFonts w:cs="Guttman Rashi" w:hint="eastAsia"/>
          <w:rtl/>
          <w:lang w:bidi="he-IL"/>
        </w:rPr>
        <w:t>לא</w:t>
      </w:r>
      <w:r w:rsidRPr="00400C0B">
        <w:rPr>
          <w:rFonts w:cs="Guttman Rashi"/>
          <w:rtl/>
          <w:lang w:bidi="he-IL"/>
        </w:rPr>
        <w:t xml:space="preserve"> </w:t>
      </w:r>
      <w:r w:rsidRPr="00400C0B">
        <w:rPr>
          <w:rFonts w:cs="Guttman Rashi" w:hint="eastAsia"/>
          <w:rtl/>
          <w:lang w:bidi="he-IL"/>
        </w:rPr>
        <w:t>חייבוהו</w:t>
      </w:r>
      <w:r w:rsidRPr="00400C0B">
        <w:rPr>
          <w:rFonts w:cs="Guttman Rashi"/>
          <w:rtl/>
          <w:lang w:bidi="he-IL"/>
        </w:rPr>
        <w:t xml:space="preserve"> </w:t>
      </w:r>
      <w:r w:rsidRPr="00400C0B">
        <w:rPr>
          <w:rFonts w:cs="Guttman Rashi" w:hint="eastAsia"/>
          <w:rtl/>
          <w:lang w:bidi="he-IL"/>
        </w:rPr>
        <w:t>להגעיל</w:t>
      </w:r>
      <w:r w:rsidRPr="00400C0B">
        <w:rPr>
          <w:rFonts w:cs="Guttman Rashi"/>
          <w:rtl/>
          <w:lang w:bidi="he-IL"/>
        </w:rPr>
        <w:t xml:space="preserve"> </w:t>
      </w:r>
      <w:r w:rsidRPr="00400C0B">
        <w:rPr>
          <w:rFonts w:cs="Guttman Rashi" w:hint="eastAsia"/>
          <w:rtl/>
          <w:lang w:bidi="he-IL"/>
        </w:rPr>
        <w:t>כיון</w:t>
      </w:r>
      <w:r w:rsidRPr="00400C0B">
        <w:rPr>
          <w:rFonts w:cs="Guttman Rashi"/>
          <w:rtl/>
          <w:lang w:bidi="he-IL"/>
        </w:rPr>
        <w:t xml:space="preserve"> </w:t>
      </w:r>
      <w:r w:rsidRPr="00400C0B">
        <w:rPr>
          <w:rFonts w:cs="Guttman Rashi" w:hint="eastAsia"/>
          <w:rtl/>
          <w:lang w:bidi="he-IL"/>
        </w:rPr>
        <w:t>שמסתמא</w:t>
      </w:r>
      <w:r w:rsidRPr="00400C0B">
        <w:rPr>
          <w:rFonts w:cs="Guttman Rashi"/>
          <w:rtl/>
          <w:lang w:bidi="he-IL"/>
        </w:rPr>
        <w:t xml:space="preserve"> </w:t>
      </w:r>
      <w:r w:rsidRPr="00400C0B">
        <w:rPr>
          <w:rFonts w:cs="Guttman Rashi" w:hint="eastAsia"/>
          <w:rtl/>
          <w:lang w:bidi="he-IL"/>
        </w:rPr>
        <w:t>בא</w:t>
      </w:r>
      <w:r w:rsidRPr="00400C0B">
        <w:rPr>
          <w:rFonts w:cs="Guttman Rashi"/>
          <w:rtl/>
          <w:lang w:bidi="he-IL"/>
        </w:rPr>
        <w:t xml:space="preserve">' </w:t>
      </w:r>
      <w:r w:rsidRPr="00400C0B">
        <w:rPr>
          <w:rFonts w:cs="Guttman Rashi" w:hint="eastAsia"/>
          <w:rtl/>
          <w:lang w:bidi="he-IL"/>
        </w:rPr>
        <w:t>הימים</w:t>
      </w:r>
      <w:r w:rsidRPr="00400C0B">
        <w:rPr>
          <w:rFonts w:cs="Guttman Rashi"/>
          <w:rtl/>
          <w:lang w:bidi="he-IL"/>
        </w:rPr>
        <w:t xml:space="preserve"> </w:t>
      </w:r>
      <w:r w:rsidRPr="00400C0B">
        <w:rPr>
          <w:rFonts w:cs="Guttman Rashi" w:hint="eastAsia"/>
          <w:rtl/>
          <w:lang w:bidi="he-IL"/>
        </w:rPr>
        <w:t>ישתמש</w:t>
      </w:r>
      <w:r w:rsidRPr="00400C0B">
        <w:rPr>
          <w:rFonts w:cs="Guttman Rashi"/>
          <w:rtl/>
          <w:lang w:bidi="he-IL"/>
        </w:rPr>
        <w:t xml:space="preserve"> </w:t>
      </w:r>
      <w:r w:rsidRPr="00400C0B">
        <w:rPr>
          <w:rFonts w:cs="Guttman Rashi" w:hint="eastAsia"/>
          <w:rtl/>
          <w:lang w:bidi="he-IL"/>
        </w:rPr>
        <w:t>בה</w:t>
      </w:r>
      <w:r w:rsidRPr="00400C0B">
        <w:rPr>
          <w:rFonts w:cs="Guttman Rashi"/>
          <w:rtl/>
          <w:lang w:bidi="he-IL"/>
        </w:rPr>
        <w:t xml:space="preserve"> </w:t>
      </w:r>
      <w:r w:rsidRPr="00400C0B">
        <w:rPr>
          <w:rFonts w:cs="Guttman Rashi" w:hint="eastAsia"/>
          <w:rtl/>
          <w:lang w:bidi="he-IL"/>
        </w:rPr>
        <w:t>בחמין</w:t>
      </w:r>
      <w:r w:rsidRPr="00400C0B">
        <w:rPr>
          <w:rFonts w:cs="Guttman Rashi"/>
          <w:rtl/>
          <w:lang w:bidi="he-IL"/>
        </w:rPr>
        <w:t xml:space="preserve"> </w:t>
      </w:r>
      <w:r w:rsidRPr="00400C0B">
        <w:rPr>
          <w:rFonts w:cs="Guttman Rashi" w:hint="eastAsia"/>
          <w:rtl/>
          <w:lang w:bidi="he-IL"/>
        </w:rPr>
        <w:t>ויאסר</w:t>
      </w:r>
      <w:r w:rsidRPr="00400C0B">
        <w:rPr>
          <w:rFonts w:cs="Guttman Rashi"/>
          <w:rtl/>
          <w:lang w:bidi="he-IL"/>
        </w:rPr>
        <w:t xml:space="preserve"> </w:t>
      </w:r>
      <w:r w:rsidRPr="00400C0B">
        <w:rPr>
          <w:rFonts w:cs="Guttman Rashi" w:hint="eastAsia"/>
          <w:rtl/>
          <w:lang w:bidi="he-IL"/>
        </w:rPr>
        <w:t>התבשיל</w:t>
      </w:r>
      <w:r w:rsidRPr="00400C0B">
        <w:rPr>
          <w:rFonts w:cs="Guttman Rashi"/>
          <w:rtl/>
          <w:lang w:bidi="he-IL"/>
        </w:rPr>
        <w:t xml:space="preserve">. </w:t>
      </w:r>
      <w:r w:rsidRPr="00400C0B">
        <w:rPr>
          <w:rFonts w:cs="Guttman Rashi" w:hint="eastAsia"/>
          <w:rtl/>
          <w:lang w:bidi="he-IL"/>
        </w:rPr>
        <w:t>וצ</w:t>
      </w:r>
      <w:r w:rsidRPr="00400C0B">
        <w:rPr>
          <w:rFonts w:cs="Guttman Rashi"/>
          <w:rtl/>
          <w:lang w:bidi="he-IL"/>
        </w:rPr>
        <w:t>"</w:t>
      </w:r>
      <w:r w:rsidRPr="00400C0B">
        <w:rPr>
          <w:rFonts w:cs="Guttman Rashi" w:hint="eastAsia"/>
          <w:rtl/>
          <w:lang w:bidi="he-IL"/>
        </w:rPr>
        <w:t>ע</w:t>
      </w:r>
      <w:r w:rsidRPr="00400C0B">
        <w:rPr>
          <w:rFonts w:cs="Guttman Rashi"/>
          <w:rtl/>
          <w:lang w:bidi="he-IL"/>
        </w:rPr>
        <w:t xml:space="preserve">.  </w:t>
      </w:r>
    </w:p>
    <w:p w:rsidR="007978F4" w:rsidRPr="00331988" w:rsidRDefault="007978F4" w:rsidP="0003312C">
      <w:pPr>
        <w:pStyle w:val="FootnoteText"/>
        <w:bidi/>
        <w:ind w:right="144"/>
        <w:jc w:val="both"/>
        <w:rPr>
          <w:rtl/>
          <w:lang w:bidi="he-IL"/>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DC7FF4" w:rsidRDefault="007978F4" w:rsidP="003277BA">
    <w:pPr>
      <w:pStyle w:val="Header"/>
      <w:jc w:val="center"/>
      <w:rPr>
        <w:rFonts w:cs="Guttman Mantova-Decor"/>
        <w:sz w:val="44"/>
        <w:szCs w:val="44"/>
        <w:lang w:bidi="he-IL"/>
      </w:rPr>
    </w:pPr>
    <w:r w:rsidRPr="00DC7FF4">
      <w:rPr>
        <w:rFonts w:cs="Guttman Mantova-Decor" w:hint="cs"/>
        <w:sz w:val="44"/>
        <w:szCs w:val="44"/>
        <w:rtl/>
        <w:lang w:bidi="he-IL"/>
      </w:rPr>
      <w:t>ת</w:t>
    </w:r>
    <w:r>
      <w:rPr>
        <w:rFonts w:cs="Guttman Mantova-Decor" w:hint="cs"/>
        <w:sz w:val="44"/>
        <w:szCs w:val="44"/>
        <w:rtl/>
        <w:lang w:bidi="he-IL"/>
      </w:rPr>
      <w:t>וכן</w:t>
    </w:r>
    <w:r w:rsidRPr="00DC7FF4">
      <w:rPr>
        <w:rFonts w:cs="Guttman Mantova-Decor" w:hint="cs"/>
        <w:sz w:val="44"/>
        <w:szCs w:val="44"/>
        <w:rtl/>
        <w:lang w:bidi="he-IL"/>
      </w:rPr>
      <w:t xml:space="preserve"> הענינים</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DC38DD">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חולין דף ק' ע"א</w:t>
    </w:r>
  </w:p>
  <w:p w:rsidR="007978F4" w:rsidRDefault="007978F4">
    <w:pPr>
      <w:pStyle w:val="Heade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4E1D29">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חולין דף ק' ע"א, ק"ח ע"א</w:t>
    </w:r>
  </w:p>
  <w:p w:rsidR="007978F4" w:rsidRDefault="007978F4">
    <w:pPr>
      <w:pStyle w:val="Heade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D349EA">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חולין דף ק"ח</w:t>
    </w:r>
  </w:p>
  <w:p w:rsidR="007978F4" w:rsidRDefault="007978F4">
    <w:pPr>
      <w:pStyle w:val="Heade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8439FF">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חולין דף צ"ו ע"ב</w:t>
    </w:r>
  </w:p>
  <w:p w:rsidR="007978F4" w:rsidRDefault="007978F4">
    <w:pPr>
      <w:pStyle w:val="Heade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7E1A19">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חולין דף צ"ז ע"א</w:t>
    </w:r>
  </w:p>
  <w:p w:rsidR="007978F4" w:rsidRDefault="007978F4">
    <w:pPr>
      <w:pStyle w:val="Heade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747CDE">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חולין דף צ"ז ע"ב</w:t>
    </w:r>
  </w:p>
  <w:p w:rsidR="007978F4" w:rsidRDefault="007978F4">
    <w:pPr>
      <w:pStyle w:val="Heade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901F49">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עבודה זרה דף ס"ה ע"ב</w:t>
    </w:r>
  </w:p>
  <w:p w:rsidR="007978F4" w:rsidRDefault="007978F4">
    <w:pPr>
      <w:pStyle w:val="Header"/>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901F49">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עבודה זרה דף ס"ו ע"א</w:t>
    </w:r>
  </w:p>
  <w:p w:rsidR="007978F4" w:rsidRDefault="007978F4">
    <w:pPr>
      <w:pStyle w:val="Header"/>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137793">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עבודה זרה דף ס"ו ע"ב</w:t>
    </w:r>
  </w:p>
  <w:p w:rsidR="007978F4" w:rsidRDefault="007978F4">
    <w:pPr>
      <w:pStyle w:val="Header"/>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5A6847">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עבודה זרה דף ס"ז ע"א</w:t>
    </w:r>
  </w:p>
  <w:p w:rsidR="007978F4" w:rsidRDefault="007978F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C44726">
    <w:pPr>
      <w:pStyle w:val="Header"/>
      <w:pBdr>
        <w:bottom w:val="thickThinSmallGap" w:sz="24" w:space="1" w:color="622423" w:themeColor="accent2" w:themeShade="7F"/>
      </w:pBdr>
      <w:bidi/>
      <w:jc w:val="center"/>
      <w:rPr>
        <w:rFonts w:cs="Guttman Mantova-Decor"/>
        <w:b/>
        <w:bCs/>
        <w:sz w:val="36"/>
        <w:szCs w:val="36"/>
        <w:lang w:bidi="he-IL"/>
      </w:rPr>
    </w:pPr>
    <w:r w:rsidRPr="00C44726">
      <w:rPr>
        <w:rFonts w:cs="Guttman Mantova-Decor" w:hint="cs"/>
        <w:b/>
        <w:bCs/>
        <w:sz w:val="36"/>
        <w:szCs w:val="36"/>
        <w:rtl/>
        <w:lang w:bidi="he-IL"/>
      </w:rPr>
      <w:t>פסחים דף מ"ג</w:t>
    </w:r>
  </w:p>
  <w:p w:rsidR="007978F4" w:rsidRDefault="007978F4">
    <w:pPr>
      <w:pStyle w:val="Head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670EC3">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עבודה זרה דף ס"ז ע"ב</w:t>
    </w:r>
  </w:p>
  <w:p w:rsidR="007978F4" w:rsidRDefault="007978F4">
    <w:pPr>
      <w:pStyle w:val="Header"/>
    </w:pP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670EC3">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עבודה זרה דף ס"ז ע"ב / ע"ה ע"ב</w:t>
    </w:r>
  </w:p>
  <w:p w:rsidR="007978F4" w:rsidRDefault="007978F4">
    <w:pPr>
      <w:pStyle w:val="Header"/>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A63C59">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עבודה זרה דף ס"ח ע"א</w:t>
    </w:r>
  </w:p>
  <w:p w:rsidR="007978F4" w:rsidRDefault="007978F4">
    <w:pPr>
      <w:pStyle w:val="Header"/>
    </w:pP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CA187D">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עבודה זרה דף ס"ח ע"ב</w:t>
    </w:r>
  </w:p>
  <w:p w:rsidR="007978F4" w:rsidRDefault="007978F4">
    <w:pPr>
      <w:pStyle w:val="Header"/>
    </w:pP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7C0B67">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חולין דף קי"א ע"ב</w:t>
    </w:r>
  </w:p>
  <w:p w:rsidR="007978F4" w:rsidRDefault="007978F4">
    <w:pPr>
      <w:pStyle w:val="Header"/>
    </w:pP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D2413D">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חולין דף ק"ג ע"ב עד ק"ד ע"ב</w:t>
    </w:r>
  </w:p>
  <w:p w:rsidR="007978F4" w:rsidRDefault="007978F4">
    <w:pPr>
      <w:pStyle w:val="Header"/>
    </w:pP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5F0AC1">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חולין דף ק"ד ע"ב עד ק"ה ע"ב</w:t>
    </w:r>
  </w:p>
  <w:p w:rsidR="007978F4" w:rsidRDefault="007978F4">
    <w:pPr>
      <w:pStyle w:val="Header"/>
    </w:pP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C05C4C">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חולין דף ק"ז ע"ב עד ק"ח ע"א וטוש"ע סי' פ"ח</w:t>
    </w:r>
  </w:p>
  <w:p w:rsidR="007978F4" w:rsidRDefault="007978F4">
    <w:pPr>
      <w:pStyle w:val="Header"/>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625193">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פ"ט</w:t>
    </w:r>
  </w:p>
  <w:p w:rsidR="007978F4" w:rsidRDefault="007978F4">
    <w:pPr>
      <w:pStyle w:val="Header"/>
    </w:pP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AF5C70">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סיכום דיני המתנה והרחקה מבשר לחלה ומחלב לבשר</w:t>
    </w:r>
  </w:p>
  <w:p w:rsidR="007978F4" w:rsidRDefault="007978F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EC2DF8">
    <w:pPr>
      <w:pStyle w:val="Header"/>
      <w:pBdr>
        <w:bottom w:val="thickThinSmallGap" w:sz="24" w:space="1" w:color="622423" w:themeColor="accent2" w:themeShade="7F"/>
      </w:pBdr>
      <w:bidi/>
      <w:jc w:val="center"/>
      <w:rPr>
        <w:rFonts w:cs="Guttman Mantova-Decor"/>
        <w:b/>
        <w:bCs/>
        <w:sz w:val="36"/>
        <w:szCs w:val="36"/>
        <w:lang w:bidi="he-IL"/>
      </w:rPr>
    </w:pPr>
    <w:r w:rsidRPr="00C44726">
      <w:rPr>
        <w:rFonts w:cs="Guttman Mantova-Decor" w:hint="cs"/>
        <w:b/>
        <w:bCs/>
        <w:sz w:val="36"/>
        <w:szCs w:val="36"/>
        <w:rtl/>
        <w:lang w:bidi="he-IL"/>
      </w:rPr>
      <w:t>פסחים דף מ"</w:t>
    </w:r>
    <w:r>
      <w:rPr>
        <w:rFonts w:cs="Guttman Mantova-Decor" w:hint="cs"/>
        <w:b/>
        <w:bCs/>
        <w:sz w:val="36"/>
        <w:szCs w:val="36"/>
        <w:rtl/>
        <w:lang w:bidi="he-IL"/>
      </w:rPr>
      <w:t>ד</w:t>
    </w:r>
  </w:p>
  <w:p w:rsidR="007978F4" w:rsidRDefault="007978F4">
    <w:pPr>
      <w:pStyle w:val="Header"/>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625193">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סוף סי' פ"ט / חולין קט"ז ע"א</w:t>
    </w:r>
  </w:p>
  <w:p w:rsidR="007978F4" w:rsidRDefault="007978F4">
    <w:pPr>
      <w:pStyle w:val="Header"/>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BC25C6">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פ"ז</w:t>
    </w:r>
  </w:p>
  <w:p w:rsidR="007978F4" w:rsidRDefault="007978F4">
    <w:pPr>
      <w:pStyle w:val="Header"/>
    </w:pP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D84371">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טוש"ע סי' צ"ב סע' א' </w:t>
    </w:r>
    <w:r>
      <w:rPr>
        <w:rFonts w:cs="Guttman Mantova-Decor"/>
        <w:b/>
        <w:bCs/>
        <w:sz w:val="36"/>
        <w:szCs w:val="36"/>
        <w:rtl/>
        <w:lang w:bidi="he-IL"/>
      </w:rPr>
      <w:t>–</w:t>
    </w:r>
    <w:r>
      <w:rPr>
        <w:rFonts w:cs="Guttman Mantova-Decor" w:hint="cs"/>
        <w:b/>
        <w:bCs/>
        <w:sz w:val="36"/>
        <w:szCs w:val="36"/>
        <w:rtl/>
        <w:lang w:bidi="he-IL"/>
      </w:rPr>
      <w:t xml:space="preserve"> ד'</w:t>
    </w:r>
  </w:p>
  <w:p w:rsidR="007978F4" w:rsidRDefault="007978F4">
    <w:pPr>
      <w:pStyle w:val="Header"/>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D84371">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טוש"ע סי' צ"ב סע' א' </w:t>
    </w:r>
    <w:r>
      <w:rPr>
        <w:rFonts w:cs="Guttman Mantova-Decor"/>
        <w:b/>
        <w:bCs/>
        <w:sz w:val="36"/>
        <w:szCs w:val="36"/>
        <w:rtl/>
        <w:lang w:bidi="he-IL"/>
      </w:rPr>
      <w:t>–</w:t>
    </w:r>
    <w:r>
      <w:rPr>
        <w:rFonts w:cs="Guttman Mantova-Decor" w:hint="cs"/>
        <w:b/>
        <w:bCs/>
        <w:sz w:val="36"/>
        <w:szCs w:val="36"/>
        <w:rtl/>
        <w:lang w:bidi="he-IL"/>
      </w:rPr>
      <w:t xml:space="preserve"> ד' / סי' ק"ו</w:t>
    </w:r>
  </w:p>
  <w:p w:rsidR="007978F4" w:rsidRDefault="007978F4">
    <w:pPr>
      <w:pStyle w:val="Header"/>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D84371">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טוש"ע סי' צ"ב סע' א' </w:t>
    </w:r>
    <w:r>
      <w:rPr>
        <w:rFonts w:cs="Guttman Mantova-Decor"/>
        <w:b/>
        <w:bCs/>
        <w:sz w:val="36"/>
        <w:szCs w:val="36"/>
        <w:rtl/>
        <w:lang w:bidi="he-IL"/>
      </w:rPr>
      <w:t>–</w:t>
    </w:r>
    <w:r>
      <w:rPr>
        <w:rFonts w:cs="Guttman Mantova-Decor" w:hint="cs"/>
        <w:b/>
        <w:bCs/>
        <w:sz w:val="36"/>
        <w:szCs w:val="36"/>
        <w:rtl/>
        <w:lang w:bidi="he-IL"/>
      </w:rPr>
      <w:t xml:space="preserve"> ד' / סי' ק"ו / הקדמה לסע' ה' </w:t>
    </w:r>
    <w:r>
      <w:rPr>
        <w:rFonts w:cs="Guttman Mantova-Decor"/>
        <w:b/>
        <w:bCs/>
        <w:sz w:val="36"/>
        <w:szCs w:val="36"/>
        <w:rtl/>
        <w:lang w:bidi="he-IL"/>
      </w:rPr>
      <w:t>–</w:t>
    </w:r>
    <w:r>
      <w:rPr>
        <w:rFonts w:cs="Guttman Mantova-Decor" w:hint="cs"/>
        <w:b/>
        <w:bCs/>
        <w:sz w:val="36"/>
        <w:szCs w:val="36"/>
        <w:rtl/>
        <w:lang w:bidi="he-IL"/>
      </w:rPr>
      <w:t xml:space="preserve"> ז'</w:t>
    </w:r>
  </w:p>
  <w:p w:rsidR="007978F4" w:rsidRDefault="007978F4">
    <w:pPr>
      <w:pStyle w:val="Header"/>
    </w:pP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597634">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טוש"ע סי' צ"ב סע' ה' </w:t>
    </w:r>
    <w:r>
      <w:rPr>
        <w:rFonts w:cs="Guttman Mantova-Decor"/>
        <w:b/>
        <w:bCs/>
        <w:sz w:val="36"/>
        <w:szCs w:val="36"/>
        <w:rtl/>
        <w:lang w:bidi="he-IL"/>
      </w:rPr>
      <w:t>–</w:t>
    </w:r>
    <w:r>
      <w:rPr>
        <w:rFonts w:cs="Guttman Mantova-Decor" w:hint="cs"/>
        <w:b/>
        <w:bCs/>
        <w:sz w:val="36"/>
        <w:szCs w:val="36"/>
        <w:rtl/>
        <w:lang w:bidi="he-IL"/>
      </w:rPr>
      <w:t xml:space="preserve"> ז'</w:t>
    </w:r>
  </w:p>
  <w:p w:rsidR="007978F4" w:rsidRDefault="007978F4">
    <w:pPr>
      <w:pStyle w:val="Header"/>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A0502E">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טוש"ע סי' צ"ב סע' ח' </w:t>
    </w:r>
    <w:r>
      <w:rPr>
        <w:rFonts w:cs="Guttman Mantova-Decor"/>
        <w:b/>
        <w:bCs/>
        <w:sz w:val="36"/>
        <w:szCs w:val="36"/>
        <w:rtl/>
        <w:lang w:bidi="he-IL"/>
      </w:rPr>
      <w:t>–</w:t>
    </w:r>
    <w:r>
      <w:rPr>
        <w:rFonts w:cs="Guttman Mantova-Decor" w:hint="cs"/>
        <w:b/>
        <w:bCs/>
        <w:sz w:val="36"/>
        <w:szCs w:val="36"/>
        <w:rtl/>
        <w:lang w:bidi="he-IL"/>
      </w:rPr>
      <w:t xml:space="preserve"> ט'</w:t>
    </w:r>
  </w:p>
  <w:p w:rsidR="007978F4" w:rsidRDefault="007978F4">
    <w:pPr>
      <w:pStyle w:val="Header"/>
    </w:pP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F06124">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צ"ג</w:t>
    </w:r>
  </w:p>
  <w:p w:rsidR="007978F4" w:rsidRDefault="007978F4">
    <w:pPr>
      <w:pStyle w:val="Header"/>
    </w:pP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753F28">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טוש"ע סי' צ"ד סע' א' </w:t>
    </w:r>
    <w:r>
      <w:rPr>
        <w:rFonts w:cs="Guttman Mantova-Decor"/>
        <w:b/>
        <w:bCs/>
        <w:sz w:val="36"/>
        <w:szCs w:val="36"/>
        <w:rtl/>
        <w:lang w:bidi="he-IL"/>
      </w:rPr>
      <w:t>–</w:t>
    </w:r>
    <w:r>
      <w:rPr>
        <w:rFonts w:cs="Guttman Mantova-Decor" w:hint="cs"/>
        <w:b/>
        <w:bCs/>
        <w:sz w:val="36"/>
        <w:szCs w:val="36"/>
        <w:rtl/>
        <w:lang w:bidi="he-IL"/>
      </w:rPr>
      <w:t xml:space="preserve"> ד'</w:t>
    </w:r>
  </w:p>
  <w:p w:rsidR="007978F4" w:rsidRDefault="007978F4">
    <w:pPr>
      <w:pStyle w:val="Header"/>
    </w:pP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22112B">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צ"ד סע' ה'</w:t>
    </w:r>
  </w:p>
  <w:p w:rsidR="007978F4" w:rsidRDefault="007978F4">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776871">
    <w:pPr>
      <w:pStyle w:val="Header"/>
      <w:pBdr>
        <w:bottom w:val="thickThinSmallGap" w:sz="24" w:space="1" w:color="622423" w:themeColor="accent2" w:themeShade="7F"/>
      </w:pBdr>
      <w:bidi/>
      <w:jc w:val="center"/>
      <w:rPr>
        <w:rFonts w:cs="Guttman Mantova-Decor"/>
        <w:b/>
        <w:bCs/>
        <w:sz w:val="36"/>
        <w:szCs w:val="36"/>
        <w:lang w:bidi="he-IL"/>
      </w:rPr>
    </w:pPr>
    <w:r w:rsidRPr="00C44726">
      <w:rPr>
        <w:rFonts w:cs="Guttman Mantova-Decor" w:hint="cs"/>
        <w:b/>
        <w:bCs/>
        <w:sz w:val="36"/>
        <w:szCs w:val="36"/>
        <w:rtl/>
        <w:lang w:bidi="he-IL"/>
      </w:rPr>
      <w:t>פסחים דף מ"</w:t>
    </w:r>
    <w:r>
      <w:rPr>
        <w:rFonts w:cs="Guttman Mantova-Decor" w:hint="cs"/>
        <w:b/>
        <w:bCs/>
        <w:sz w:val="36"/>
        <w:szCs w:val="36"/>
        <w:rtl/>
        <w:lang w:bidi="he-IL"/>
      </w:rPr>
      <w:t>ה</w:t>
    </w:r>
  </w:p>
  <w:p w:rsidR="007978F4" w:rsidRDefault="007978F4">
    <w:pPr>
      <w:pStyle w:val="Header"/>
    </w:pP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6448F6">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צ"ד סע' ו'</w:t>
    </w:r>
  </w:p>
  <w:p w:rsidR="007978F4" w:rsidRDefault="007978F4">
    <w:pPr>
      <w:pStyle w:val="Header"/>
    </w:pP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C02C01">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צ"ד סע' ז' - ט' (ועוד כמה הערות מסע' ה' ו')</w:t>
    </w:r>
  </w:p>
  <w:p w:rsidR="007978F4" w:rsidRDefault="007978F4">
    <w:pPr>
      <w:pStyle w:val="Header"/>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477017">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צ"ה סע' א' - ב'</w:t>
    </w:r>
  </w:p>
  <w:p w:rsidR="007978F4" w:rsidRDefault="007978F4">
    <w:pPr>
      <w:pStyle w:val="Header"/>
    </w:pP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D4042F">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צ"ה סע' ב' - ג'</w:t>
    </w:r>
  </w:p>
  <w:p w:rsidR="007978F4" w:rsidRDefault="007978F4">
    <w:pPr>
      <w:pStyle w:val="Header"/>
    </w:pP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8B55EE">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טוש"ע סי' צ"ה סע' ג' </w:t>
    </w:r>
    <w:r>
      <w:rPr>
        <w:rFonts w:cs="Guttman Mantova-Decor"/>
        <w:b/>
        <w:bCs/>
        <w:sz w:val="36"/>
        <w:szCs w:val="36"/>
        <w:rtl/>
        <w:lang w:bidi="he-IL"/>
      </w:rPr>
      <w:t>–</w:t>
    </w:r>
    <w:r>
      <w:rPr>
        <w:rFonts w:cs="Guttman Mantova-Decor" w:hint="cs"/>
        <w:b/>
        <w:bCs/>
        <w:sz w:val="36"/>
        <w:szCs w:val="36"/>
        <w:rtl/>
        <w:lang w:bidi="he-IL"/>
      </w:rPr>
      <w:t xml:space="preserve"> סוף הסימן</w:t>
    </w:r>
  </w:p>
  <w:p w:rsidR="007978F4" w:rsidRDefault="007978F4">
    <w:pPr>
      <w:pStyle w:val="Header"/>
    </w:pP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4E1558">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צ"ו</w:t>
    </w:r>
  </w:p>
  <w:p w:rsidR="007978F4" w:rsidRDefault="007978F4">
    <w:pPr>
      <w:pStyle w:val="Header"/>
    </w:pP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1A5B91">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צ"ז</w:t>
    </w:r>
  </w:p>
  <w:p w:rsidR="007978F4" w:rsidRDefault="007978F4">
    <w:pPr>
      <w:pStyle w:val="Header"/>
    </w:pP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A81FCB">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צ"ח סע' א'</w:t>
    </w:r>
  </w:p>
  <w:p w:rsidR="007978F4" w:rsidRDefault="007978F4">
    <w:pPr>
      <w:pStyle w:val="Header"/>
    </w:pP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1A69CD">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טוש"ע סי' צ"ח סע' ב' </w:t>
    </w:r>
    <w:r>
      <w:rPr>
        <w:rFonts w:cs="Guttman Mantova-Decor"/>
        <w:b/>
        <w:bCs/>
        <w:sz w:val="36"/>
        <w:szCs w:val="36"/>
        <w:rtl/>
        <w:lang w:bidi="he-IL"/>
      </w:rPr>
      <w:t>–</w:t>
    </w:r>
    <w:r>
      <w:rPr>
        <w:rFonts w:cs="Guttman Mantova-Decor" w:hint="cs"/>
        <w:b/>
        <w:bCs/>
        <w:sz w:val="36"/>
        <w:szCs w:val="36"/>
        <w:rtl/>
        <w:lang w:bidi="he-IL"/>
      </w:rPr>
      <w:t xml:space="preserve"> ג'</w:t>
    </w:r>
  </w:p>
  <w:p w:rsidR="007978F4" w:rsidRDefault="007978F4">
    <w:pPr>
      <w:pStyle w:val="Header"/>
    </w:pP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D924EB">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טוש"ע סי' צ"ח סע' ד' </w:t>
    </w:r>
    <w:r>
      <w:rPr>
        <w:rFonts w:cs="Guttman Mantova-Decor"/>
        <w:b/>
        <w:bCs/>
        <w:sz w:val="36"/>
        <w:szCs w:val="36"/>
        <w:rtl/>
        <w:lang w:bidi="he-IL"/>
      </w:rPr>
      <w:t>–</w:t>
    </w:r>
    <w:r>
      <w:rPr>
        <w:rFonts w:cs="Guttman Mantova-Decor" w:hint="cs"/>
        <w:b/>
        <w:bCs/>
        <w:sz w:val="36"/>
        <w:szCs w:val="36"/>
        <w:rtl/>
        <w:lang w:bidi="he-IL"/>
      </w:rPr>
      <w:t xml:space="preserve"> ה'</w:t>
    </w:r>
  </w:p>
  <w:p w:rsidR="007978F4" w:rsidRDefault="007978F4">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BB07C9">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חולין דף צ"ח ע"א</w:t>
    </w:r>
  </w:p>
  <w:p w:rsidR="007978F4" w:rsidRDefault="007978F4">
    <w:pPr>
      <w:pStyle w:val="Header"/>
    </w:pP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AA50B4">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טוש"ע סי' צ"ח סע' ה' </w:t>
    </w:r>
    <w:r>
      <w:rPr>
        <w:rFonts w:cs="Guttman Mantova-Decor"/>
        <w:b/>
        <w:bCs/>
        <w:sz w:val="36"/>
        <w:szCs w:val="36"/>
        <w:rtl/>
        <w:lang w:bidi="he-IL"/>
      </w:rPr>
      <w:t>–</w:t>
    </w:r>
    <w:r>
      <w:rPr>
        <w:rFonts w:cs="Guttman Mantova-Decor" w:hint="cs"/>
        <w:b/>
        <w:bCs/>
        <w:sz w:val="36"/>
        <w:szCs w:val="36"/>
        <w:rtl/>
        <w:lang w:bidi="he-IL"/>
      </w:rPr>
      <w:t xml:space="preserve"> סוף הסימן</w:t>
    </w:r>
  </w:p>
  <w:p w:rsidR="007978F4" w:rsidRDefault="007978F4">
    <w:pPr>
      <w:pStyle w:val="Header"/>
    </w:pP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FE558C">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טוש"ע סי' צ"ט סע' א' </w:t>
    </w:r>
    <w:r>
      <w:rPr>
        <w:rFonts w:cs="Guttman Mantova-Decor"/>
        <w:b/>
        <w:bCs/>
        <w:sz w:val="36"/>
        <w:szCs w:val="36"/>
        <w:rtl/>
        <w:lang w:bidi="he-IL"/>
      </w:rPr>
      <w:t>–</w:t>
    </w:r>
    <w:r>
      <w:rPr>
        <w:rFonts w:cs="Guttman Mantova-Decor" w:hint="cs"/>
        <w:b/>
        <w:bCs/>
        <w:sz w:val="36"/>
        <w:szCs w:val="36"/>
        <w:rtl/>
        <w:lang w:bidi="he-IL"/>
      </w:rPr>
      <w:t xml:space="preserve"> ד'</w:t>
    </w:r>
  </w:p>
  <w:p w:rsidR="007978F4" w:rsidRDefault="007978F4">
    <w:pPr>
      <w:pStyle w:val="Header"/>
    </w:pP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275162">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טוש"ע סי' צ"ט סע' ה' </w:t>
    </w:r>
    <w:r>
      <w:rPr>
        <w:rFonts w:cs="Guttman Mantova-Decor"/>
        <w:b/>
        <w:bCs/>
        <w:sz w:val="36"/>
        <w:szCs w:val="36"/>
        <w:rtl/>
        <w:lang w:bidi="he-IL"/>
      </w:rPr>
      <w:t>–</w:t>
    </w:r>
    <w:r>
      <w:rPr>
        <w:rFonts w:cs="Guttman Mantova-Decor" w:hint="cs"/>
        <w:b/>
        <w:bCs/>
        <w:sz w:val="36"/>
        <w:szCs w:val="36"/>
        <w:rtl/>
        <w:lang w:bidi="he-IL"/>
      </w:rPr>
      <w:t xml:space="preserve"> ו'</w:t>
    </w:r>
  </w:p>
  <w:p w:rsidR="007978F4" w:rsidRDefault="007978F4">
    <w:pPr>
      <w:pStyle w:val="Header"/>
    </w:pP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566B2E">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טוש"ע סי' צ"ט סע' ו' </w:t>
    </w:r>
    <w:r>
      <w:rPr>
        <w:rFonts w:cs="Guttman Mantova-Decor"/>
        <w:b/>
        <w:bCs/>
        <w:sz w:val="36"/>
        <w:szCs w:val="36"/>
        <w:rtl/>
        <w:lang w:bidi="he-IL"/>
      </w:rPr>
      <w:t>–</w:t>
    </w:r>
    <w:r>
      <w:rPr>
        <w:rFonts w:cs="Guttman Mantova-Decor" w:hint="cs"/>
        <w:b/>
        <w:bCs/>
        <w:sz w:val="36"/>
        <w:szCs w:val="36"/>
        <w:rtl/>
        <w:lang w:bidi="he-IL"/>
      </w:rPr>
      <w:t xml:space="preserve"> ז'</w:t>
    </w:r>
  </w:p>
  <w:p w:rsidR="007978F4" w:rsidRDefault="007978F4">
    <w:pPr>
      <w:pStyle w:val="Header"/>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766845">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ק'</w:t>
    </w:r>
  </w:p>
  <w:p w:rsidR="007978F4" w:rsidRDefault="007978F4">
    <w:pPr>
      <w:pStyle w:val="Header"/>
    </w:pP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766845">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ק"א</w:t>
    </w:r>
  </w:p>
  <w:p w:rsidR="007978F4" w:rsidRDefault="007978F4">
    <w:pPr>
      <w:pStyle w:val="Header"/>
    </w:pP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766845">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דבר שיש לו מתירין</w:t>
    </w:r>
  </w:p>
  <w:p w:rsidR="007978F4" w:rsidRDefault="007978F4">
    <w:pPr>
      <w:pStyle w:val="Header"/>
    </w:pP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22657A">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ק"ב</w:t>
    </w:r>
  </w:p>
  <w:p w:rsidR="007978F4" w:rsidRDefault="007978F4">
    <w:pPr>
      <w:pStyle w:val="Header"/>
    </w:pP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714751">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ק"ג</w:t>
    </w:r>
  </w:p>
  <w:p w:rsidR="007978F4" w:rsidRDefault="007978F4">
    <w:pPr>
      <w:pStyle w:val="Header"/>
    </w:pP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AC71C9">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ק"ג - ק"ד</w:t>
    </w:r>
  </w:p>
  <w:p w:rsidR="007978F4" w:rsidRDefault="007978F4">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BB07C9">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חולין דף צ"ח ע"א </w:t>
    </w:r>
    <w:r>
      <w:rPr>
        <w:rFonts w:cs="Guttman Mantova-Decor"/>
        <w:b/>
        <w:bCs/>
        <w:sz w:val="36"/>
        <w:szCs w:val="36"/>
        <w:rtl/>
        <w:lang w:bidi="he-IL"/>
      </w:rPr>
      <w:t>–</w:t>
    </w:r>
    <w:r>
      <w:rPr>
        <w:rFonts w:cs="Guttman Mantova-Decor" w:hint="cs"/>
        <w:b/>
        <w:bCs/>
        <w:sz w:val="36"/>
        <w:szCs w:val="36"/>
        <w:rtl/>
        <w:lang w:bidi="he-IL"/>
      </w:rPr>
      <w:t xml:space="preserve"> צ"ח ע"ב</w:t>
    </w:r>
  </w:p>
  <w:p w:rsidR="007978F4" w:rsidRDefault="007978F4">
    <w:pPr>
      <w:pStyle w:val="Header"/>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AC71C9">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ק"ד</w:t>
    </w:r>
  </w:p>
  <w:p w:rsidR="007978F4" w:rsidRDefault="007978F4">
    <w:pPr>
      <w:pStyle w:val="Header"/>
    </w:pP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D15826">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ק"ז</w:t>
    </w:r>
  </w:p>
  <w:p w:rsidR="007978F4" w:rsidRDefault="007978F4">
    <w:pPr>
      <w:pStyle w:val="Header"/>
    </w:pP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D15826">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ק"ח</w:t>
    </w:r>
  </w:p>
  <w:p w:rsidR="007978F4" w:rsidRDefault="007978F4">
    <w:pPr>
      <w:pStyle w:val="Header"/>
    </w:pP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09204D">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ק"ט</w:t>
    </w:r>
  </w:p>
  <w:p w:rsidR="007978F4" w:rsidRDefault="007978F4">
    <w:pPr>
      <w:pStyle w:val="Header"/>
    </w:pP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A819E0">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ק"ה סע' א'</w:t>
    </w:r>
  </w:p>
  <w:p w:rsidR="007978F4" w:rsidRDefault="007978F4">
    <w:pPr>
      <w:pStyle w:val="Header"/>
    </w:pP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A819E0">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טוש"ע סי' צ"א סע' א' </w:t>
    </w:r>
    <w:r>
      <w:rPr>
        <w:rFonts w:cs="Guttman Mantova-Decor"/>
        <w:b/>
        <w:bCs/>
        <w:sz w:val="36"/>
        <w:szCs w:val="36"/>
        <w:rtl/>
        <w:lang w:bidi="he-IL"/>
      </w:rPr>
      <w:t>–</w:t>
    </w:r>
    <w:r>
      <w:rPr>
        <w:rFonts w:cs="Guttman Mantova-Decor" w:hint="cs"/>
        <w:b/>
        <w:bCs/>
        <w:sz w:val="36"/>
        <w:szCs w:val="36"/>
        <w:rtl/>
        <w:lang w:bidi="he-IL"/>
      </w:rPr>
      <w:t xml:space="preserve"> ג'</w:t>
    </w:r>
  </w:p>
  <w:p w:rsidR="007978F4" w:rsidRDefault="007978F4">
    <w:pPr>
      <w:pStyle w:val="Header"/>
    </w:pP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80224C">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פסחים ע"ה ע"ב עד ע"ו ע"א / שבת דף מ"ב ע"א</w:t>
    </w:r>
  </w:p>
  <w:p w:rsidR="007978F4" w:rsidRDefault="007978F4">
    <w:pPr>
      <w:pStyle w:val="Header"/>
    </w:pP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FD21C0">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יו"ד סי' ק"ה סע' ג' / ט"ז סי' צ"ב ס"ק ל' / רמ"א סי' צ"ב סע' ז'</w:t>
    </w:r>
  </w:p>
  <w:p w:rsidR="007978F4" w:rsidRDefault="007978F4">
    <w:pPr>
      <w:pStyle w:val="Header"/>
    </w:pP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244CBD">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יו"ד סי' ק"ה סע' ג' / סי' צ"ד סע' ז' וח' / סי' צ"א סע' ד'</w:t>
    </w:r>
  </w:p>
  <w:p w:rsidR="007978F4" w:rsidRDefault="007978F4">
    <w:pPr>
      <w:pStyle w:val="Header"/>
    </w:pP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E06730">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יו"ד סי' ק"ה סע' ד' </w:t>
    </w:r>
    <w:r>
      <w:rPr>
        <w:rFonts w:cs="Guttman Mantova-Decor"/>
        <w:b/>
        <w:bCs/>
        <w:sz w:val="36"/>
        <w:szCs w:val="36"/>
        <w:rtl/>
        <w:lang w:bidi="he-IL"/>
      </w:rPr>
      <w:t>–</w:t>
    </w:r>
    <w:r>
      <w:rPr>
        <w:rFonts w:cs="Guttman Mantova-Decor" w:hint="cs"/>
        <w:b/>
        <w:bCs/>
        <w:sz w:val="36"/>
        <w:szCs w:val="36"/>
        <w:rtl/>
        <w:lang w:bidi="he-IL"/>
      </w:rPr>
      <w:t xml:space="preserve"> ו'</w:t>
    </w:r>
  </w:p>
  <w:p w:rsidR="007978F4" w:rsidRDefault="007978F4">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3F119A">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חולין דף צ"ח ע"ב</w:t>
    </w:r>
  </w:p>
  <w:p w:rsidR="007978F4" w:rsidRDefault="007978F4">
    <w:pPr>
      <w:pStyle w:val="Header"/>
    </w:pP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E06730">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יו"ד סי' ק"ה סע' ז' </w:t>
    </w:r>
    <w:r>
      <w:rPr>
        <w:rFonts w:cs="Guttman Mantova-Decor"/>
        <w:b/>
        <w:bCs/>
        <w:sz w:val="36"/>
        <w:szCs w:val="36"/>
        <w:rtl/>
        <w:lang w:bidi="he-IL"/>
      </w:rPr>
      <w:t>–</w:t>
    </w:r>
    <w:r>
      <w:rPr>
        <w:rFonts w:cs="Guttman Mantova-Decor" w:hint="cs"/>
        <w:b/>
        <w:bCs/>
        <w:sz w:val="36"/>
        <w:szCs w:val="36"/>
        <w:rtl/>
        <w:lang w:bidi="he-IL"/>
      </w:rPr>
      <w:t xml:space="preserve"> ח'</w:t>
    </w:r>
  </w:p>
  <w:p w:rsidR="007978F4" w:rsidRDefault="007978F4">
    <w:pPr>
      <w:pStyle w:val="Header"/>
    </w:pP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E06730">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יו"ד סי' ק"ה סע' ז' </w:t>
    </w:r>
    <w:r>
      <w:rPr>
        <w:rFonts w:cs="Guttman Mantova-Decor"/>
        <w:b/>
        <w:bCs/>
        <w:sz w:val="36"/>
        <w:szCs w:val="36"/>
        <w:rtl/>
        <w:lang w:bidi="he-IL"/>
      </w:rPr>
      <w:t>–</w:t>
    </w:r>
    <w:r>
      <w:rPr>
        <w:rFonts w:cs="Guttman Mantova-Decor" w:hint="cs"/>
        <w:b/>
        <w:bCs/>
        <w:sz w:val="36"/>
        <w:szCs w:val="36"/>
        <w:rtl/>
        <w:lang w:bidi="he-IL"/>
      </w:rPr>
      <w:t xml:space="preserve"> ח' / חולין קי"ב ע"א</w:t>
    </w:r>
  </w:p>
  <w:p w:rsidR="007978F4" w:rsidRDefault="007978F4">
    <w:pPr>
      <w:pStyle w:val="Header"/>
    </w:pP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E06730">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חולין קי"ב ע"א</w:t>
    </w:r>
  </w:p>
  <w:p w:rsidR="007978F4" w:rsidRDefault="007978F4">
    <w:pPr>
      <w:pStyle w:val="Header"/>
    </w:pP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442D17">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חולין קי"ג ע"א</w:t>
    </w:r>
  </w:p>
  <w:p w:rsidR="007978F4" w:rsidRDefault="007978F4">
    <w:pPr>
      <w:pStyle w:val="Header"/>
    </w:pP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442D17">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צ"א סע' ה' עד הסוף</w:t>
    </w:r>
  </w:p>
  <w:p w:rsidR="007978F4" w:rsidRDefault="007978F4">
    <w:pPr>
      <w:pStyle w:val="Header"/>
    </w:pP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946DE6">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ק"ה סע' ט'</w:t>
    </w:r>
  </w:p>
  <w:p w:rsidR="007978F4" w:rsidRDefault="007978F4">
    <w:pPr>
      <w:pStyle w:val="Header"/>
    </w:pP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946DE6">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סי' ק"ה סע' ט' עד סוף הסימן</w:t>
    </w:r>
  </w:p>
  <w:p w:rsidR="007978F4" w:rsidRDefault="007978F4">
    <w:pPr>
      <w:pStyle w:val="Header"/>
      <w:rPr>
        <w:lang w:bidi="he-IL"/>
      </w:rPr>
    </w:pP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8E5E0F">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פסחים כ"ט ע"ב עד ל' ע"א</w:t>
    </w:r>
  </w:p>
  <w:p w:rsidR="007978F4" w:rsidRDefault="007978F4">
    <w:pPr>
      <w:pStyle w:val="Header"/>
      <w:rPr>
        <w:lang w:bidi="he-IL"/>
      </w:rPr>
    </w:pP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486B1B">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או"ח סימן תמ"ז</w:t>
    </w:r>
  </w:p>
  <w:p w:rsidR="007978F4" w:rsidRDefault="007978F4">
    <w:pPr>
      <w:pStyle w:val="Header"/>
      <w:rPr>
        <w:lang w:bidi="he-IL"/>
      </w:rPr>
    </w:pP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C00C7F">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עבודה זרה ע"ה ע"ב </w:t>
    </w:r>
    <w:r>
      <w:rPr>
        <w:rFonts w:cs="Guttman Mantova-Decor"/>
        <w:b/>
        <w:bCs/>
        <w:sz w:val="36"/>
        <w:szCs w:val="36"/>
        <w:rtl/>
        <w:lang w:bidi="he-IL"/>
      </w:rPr>
      <w:t>–</w:t>
    </w:r>
    <w:r>
      <w:rPr>
        <w:rFonts w:cs="Guttman Mantova-Decor" w:hint="cs"/>
        <w:b/>
        <w:bCs/>
        <w:sz w:val="36"/>
        <w:szCs w:val="36"/>
        <w:rtl/>
        <w:lang w:bidi="he-IL"/>
      </w:rPr>
      <w:t xml:space="preserve"> סוגיא דטבילת כלים</w:t>
    </w:r>
  </w:p>
  <w:p w:rsidR="007978F4" w:rsidRDefault="007978F4">
    <w:pPr>
      <w:pStyle w:val="Header"/>
      <w:rPr>
        <w:lang w:bidi="he-IL"/>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526D4B">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חולין דף צ"ט ע"א עד דף צ"ט ע"ב</w:t>
    </w:r>
  </w:p>
  <w:p w:rsidR="007978F4" w:rsidRDefault="007978F4">
    <w:pPr>
      <w:pStyle w:val="Header"/>
    </w:pP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C00C7F">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דיני הכשר סכין</w:t>
    </w:r>
  </w:p>
  <w:p w:rsidR="007978F4" w:rsidRDefault="007978F4">
    <w:pPr>
      <w:pStyle w:val="Header"/>
      <w:rPr>
        <w:lang w:bidi="he-IL"/>
      </w:rPr>
    </w:pP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965D2C">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הכשר שפוד ואסכלא</w:t>
    </w:r>
  </w:p>
  <w:p w:rsidR="007978F4" w:rsidRDefault="007978F4">
    <w:pPr>
      <w:pStyle w:val="Header"/>
      <w:rPr>
        <w:lang w:bidi="he-IL"/>
      </w:rPr>
    </w:pP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D60734">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הגעלת יורה גדולה / פסחים ל' ע"א</w:t>
    </w:r>
  </w:p>
  <w:p w:rsidR="007978F4" w:rsidRDefault="007978F4">
    <w:pPr>
      <w:pStyle w:val="Header"/>
      <w:rPr>
        <w:lang w:bidi="he-IL"/>
      </w:rPr>
    </w:pP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D60734">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פסחים ל' ע"א </w:t>
    </w:r>
    <w:r>
      <w:rPr>
        <w:rFonts w:cs="Guttman Mantova-Decor"/>
        <w:b/>
        <w:bCs/>
        <w:sz w:val="36"/>
        <w:szCs w:val="36"/>
        <w:rtl/>
        <w:lang w:bidi="he-IL"/>
      </w:rPr>
      <w:t>–</w:t>
    </w:r>
    <w:r>
      <w:rPr>
        <w:rFonts w:cs="Guttman Mantova-Decor" w:hint="cs"/>
        <w:b/>
        <w:bCs/>
        <w:sz w:val="36"/>
        <w:szCs w:val="36"/>
        <w:rtl/>
        <w:lang w:bidi="he-IL"/>
      </w:rPr>
      <w:t xml:space="preserve"> ל' ע"ב</w:t>
    </w:r>
  </w:p>
  <w:p w:rsidR="007978F4" w:rsidRDefault="007978F4">
    <w:pPr>
      <w:pStyle w:val="Header"/>
      <w:rPr>
        <w:lang w:bidi="he-IL"/>
      </w:rPr>
    </w:pP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D60734">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 xml:space="preserve">פסחים ל' ע"א </w:t>
    </w:r>
    <w:r>
      <w:rPr>
        <w:rFonts w:cs="Guttman Mantova-Decor"/>
        <w:b/>
        <w:bCs/>
        <w:sz w:val="36"/>
        <w:szCs w:val="36"/>
        <w:rtl/>
        <w:lang w:bidi="he-IL"/>
      </w:rPr>
      <w:t>–</w:t>
    </w:r>
    <w:r>
      <w:rPr>
        <w:rFonts w:cs="Guttman Mantova-Decor" w:hint="cs"/>
        <w:b/>
        <w:bCs/>
        <w:sz w:val="36"/>
        <w:szCs w:val="36"/>
        <w:rtl/>
        <w:lang w:bidi="he-IL"/>
      </w:rPr>
      <w:t xml:space="preserve"> ל' ע"ב / טוש"ע או"ח סי' תנ"ב</w:t>
    </w:r>
  </w:p>
  <w:p w:rsidR="007978F4" w:rsidRDefault="007978F4">
    <w:pPr>
      <w:pStyle w:val="Header"/>
      <w:rPr>
        <w:lang w:bidi="he-IL"/>
      </w:rPr>
    </w:pP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D60734">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או"ח סי' תנ"ב</w:t>
    </w:r>
  </w:p>
  <w:p w:rsidR="007978F4" w:rsidRDefault="007978F4">
    <w:pPr>
      <w:pStyle w:val="Header"/>
      <w:rPr>
        <w:lang w:bidi="he-IL"/>
      </w:rPr>
    </w:pP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970753">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יו"ד סי' קכ"א</w:t>
    </w:r>
  </w:p>
  <w:p w:rsidR="007978F4" w:rsidRDefault="007978F4">
    <w:pPr>
      <w:pStyle w:val="Header"/>
      <w:rPr>
        <w:lang w:bidi="he-IL"/>
      </w:rPr>
    </w:pP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970753">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טוש"ע יו"ד סי' קכ"א, ואו"ח סי' תנ"א</w:t>
    </w:r>
  </w:p>
  <w:p w:rsidR="007978F4" w:rsidRDefault="007978F4">
    <w:pPr>
      <w:pStyle w:val="Header"/>
      <w:rPr>
        <w:lang w:bidi="he-IL"/>
      </w:rPr>
    </w:pP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C57E13">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או"ח סי' תנ"א</w:t>
    </w:r>
  </w:p>
  <w:p w:rsidR="007978F4" w:rsidRDefault="007978F4">
    <w:pPr>
      <w:pStyle w:val="Header"/>
      <w:rPr>
        <w:lang w:bidi="he-IL"/>
      </w:rPr>
    </w:pP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BD7534">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יו"ד סי' קכ"ב</w:t>
    </w:r>
  </w:p>
  <w:p w:rsidR="007978F4" w:rsidRDefault="007978F4">
    <w:pPr>
      <w:pStyle w:val="Header"/>
      <w:rPr>
        <w:lang w:bidi="he-IL"/>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53411E">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חולין דף צ"ט ע"ב</w:t>
    </w:r>
  </w:p>
  <w:p w:rsidR="007978F4" w:rsidRDefault="007978F4">
    <w:pPr>
      <w:pStyle w:val="Header"/>
    </w:pP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Default="007978F4" w:rsidP="00F67BEC">
    <w:pPr>
      <w:pStyle w:val="Header"/>
      <w:pBdr>
        <w:bottom w:val="thickThinSmallGap" w:sz="24" w:space="1" w:color="622423" w:themeColor="accent2" w:themeShade="7F"/>
      </w:pBdr>
      <w:bidi/>
      <w:jc w:val="center"/>
      <w:rPr>
        <w:lang w:bidi="he-IL"/>
      </w:rPr>
    </w:pPr>
    <w:r>
      <w:rPr>
        <w:rFonts w:cs="Guttman Mantova-Decor" w:hint="cs"/>
        <w:b/>
        <w:bCs/>
        <w:sz w:val="36"/>
        <w:szCs w:val="36"/>
        <w:rtl/>
        <w:lang w:bidi="he-IL"/>
      </w:rPr>
      <w:t>חלב גבינה וחמאה של עכו"ם</w:t>
    </w: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Default="007978F4" w:rsidP="00F67BEC">
    <w:pPr>
      <w:pStyle w:val="Header"/>
      <w:pBdr>
        <w:bottom w:val="thickThinSmallGap" w:sz="24" w:space="1" w:color="622423" w:themeColor="accent2" w:themeShade="7F"/>
      </w:pBdr>
      <w:bidi/>
      <w:jc w:val="center"/>
      <w:rPr>
        <w:lang w:bidi="he-IL"/>
      </w:rPr>
    </w:pPr>
    <w:r>
      <w:rPr>
        <w:rFonts w:cs="Guttman Mantova-Decor" w:hint="cs"/>
        <w:b/>
        <w:bCs/>
        <w:sz w:val="36"/>
        <w:szCs w:val="36"/>
        <w:rtl/>
        <w:lang w:bidi="he-IL"/>
      </w:rPr>
      <w:t>פת עכו"ם</w: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Default="007978F4" w:rsidP="00666DDE">
    <w:pPr>
      <w:pStyle w:val="Header"/>
      <w:pBdr>
        <w:bottom w:val="thickThinSmallGap" w:sz="24" w:space="1" w:color="622423" w:themeColor="accent2" w:themeShade="7F"/>
      </w:pBdr>
      <w:bidi/>
      <w:jc w:val="center"/>
      <w:rPr>
        <w:lang w:bidi="he-IL"/>
      </w:rPr>
    </w:pPr>
    <w:r>
      <w:rPr>
        <w:rFonts w:cs="Guttman Mantova-Decor" w:hint="cs"/>
        <w:b/>
        <w:bCs/>
        <w:sz w:val="36"/>
        <w:szCs w:val="36"/>
        <w:rtl/>
        <w:lang w:bidi="he-IL"/>
      </w:rPr>
      <w:t>בישול עכו"ם</w:t>
    </w: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Default="007978F4" w:rsidP="00666DDE">
    <w:pPr>
      <w:pStyle w:val="Header"/>
      <w:pBdr>
        <w:bottom w:val="thickThinSmallGap" w:sz="24" w:space="1" w:color="622423" w:themeColor="accent2" w:themeShade="7F"/>
      </w:pBdr>
      <w:bidi/>
      <w:jc w:val="center"/>
      <w:rPr>
        <w:lang w:bidi="he-IL"/>
      </w:rPr>
    </w:pPr>
    <w:r>
      <w:rPr>
        <w:rFonts w:cs="Guttman Mantova-Decor" w:hint="cs"/>
        <w:b/>
        <w:bCs/>
        <w:sz w:val="36"/>
        <w:szCs w:val="36"/>
        <w:rtl/>
        <w:lang w:bidi="he-IL"/>
      </w:rPr>
      <w:t>יורה דעה סימן קי"ב</w: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BD7534">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מפתח הענינים</w:t>
    </w:r>
  </w:p>
  <w:p w:rsidR="007978F4" w:rsidRDefault="007978F4">
    <w:pPr>
      <w:pStyle w:val="Header"/>
      <w:rPr>
        <w:lang w:bidi="he-IL"/>
      </w:rPr>
    </w:pP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Default="007978F4">
    <w:pPr>
      <w:pStyle w:val="Header"/>
      <w:rPr>
        <w:lang w:bidi="he-IL"/>
      </w:rPr>
    </w:pP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Pr="00C44726" w:rsidRDefault="007978F4" w:rsidP="00BD7534">
    <w:pPr>
      <w:pStyle w:val="Header"/>
      <w:pBdr>
        <w:bottom w:val="thickThinSmallGap" w:sz="24" w:space="1" w:color="622423" w:themeColor="accent2" w:themeShade="7F"/>
      </w:pBdr>
      <w:bidi/>
      <w:jc w:val="center"/>
      <w:rPr>
        <w:rFonts w:cs="Guttman Mantova-Decor"/>
        <w:b/>
        <w:bCs/>
        <w:sz w:val="36"/>
        <w:szCs w:val="36"/>
        <w:lang w:bidi="he-IL"/>
      </w:rPr>
    </w:pPr>
    <w:r>
      <w:rPr>
        <w:rFonts w:cs="Guttman Mantova-Decor" w:hint="cs"/>
        <w:b/>
        <w:bCs/>
        <w:sz w:val="36"/>
        <w:szCs w:val="36"/>
        <w:rtl/>
        <w:lang w:bidi="he-IL"/>
      </w:rPr>
      <w:t>קונטרס דברי טעם</w:t>
    </w:r>
  </w:p>
  <w:p w:rsidR="007978F4" w:rsidRDefault="007978F4">
    <w:pPr>
      <w:pStyle w:val="Header"/>
      <w:rPr>
        <w:lang w:bidi="he-IL"/>
      </w:rPr>
    </w:pP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8F4" w:rsidRDefault="007978F4">
    <w:pPr>
      <w:pStyle w:val="Header"/>
      <w:rPr>
        <w:lang w:bidi="he-I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382E"/>
    <w:multiLevelType w:val="hybridMultilevel"/>
    <w:tmpl w:val="9F74BA10"/>
    <w:lvl w:ilvl="0" w:tplc="87A0A012">
      <w:start w:val="1"/>
      <w:numFmt w:val="decimal"/>
      <w:lvlText w:val="%1)"/>
      <w:lvlJc w:val="left"/>
      <w:pPr>
        <w:ind w:left="720" w:hanging="36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B70D9"/>
    <w:multiLevelType w:val="hybridMultilevel"/>
    <w:tmpl w:val="C418526C"/>
    <w:lvl w:ilvl="0" w:tplc="4A1C700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E1520"/>
    <w:multiLevelType w:val="hybridMultilevel"/>
    <w:tmpl w:val="63DA3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03038C"/>
    <w:multiLevelType w:val="hybridMultilevel"/>
    <w:tmpl w:val="6C0A1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23791C"/>
    <w:multiLevelType w:val="hybridMultilevel"/>
    <w:tmpl w:val="12EEA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7213D"/>
    <w:multiLevelType w:val="hybridMultilevel"/>
    <w:tmpl w:val="9092D33A"/>
    <w:lvl w:ilvl="0" w:tplc="661CDA4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6F2A0F"/>
    <w:multiLevelType w:val="hybridMultilevel"/>
    <w:tmpl w:val="7436A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022E81"/>
    <w:multiLevelType w:val="hybridMultilevel"/>
    <w:tmpl w:val="4B6CC00A"/>
    <w:lvl w:ilvl="0" w:tplc="F8FC88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D4EDF"/>
    <w:multiLevelType w:val="hybridMultilevel"/>
    <w:tmpl w:val="0B622BB4"/>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9" w15:restartNumberingAfterBreak="0">
    <w:nsid w:val="21B00996"/>
    <w:multiLevelType w:val="hybridMultilevel"/>
    <w:tmpl w:val="653C1E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0A591D"/>
    <w:multiLevelType w:val="hybridMultilevel"/>
    <w:tmpl w:val="CE0C4C4E"/>
    <w:lvl w:ilvl="0" w:tplc="04090001">
      <w:start w:val="1"/>
      <w:numFmt w:val="bullet"/>
      <w:lvlText w:val=""/>
      <w:lvlJc w:val="left"/>
      <w:pPr>
        <w:ind w:left="1646" w:hanging="360"/>
      </w:pPr>
      <w:rPr>
        <w:rFonts w:ascii="Symbol" w:hAnsi="Symbol" w:hint="default"/>
      </w:rPr>
    </w:lvl>
    <w:lvl w:ilvl="1" w:tplc="04090003" w:tentative="1">
      <w:start w:val="1"/>
      <w:numFmt w:val="bullet"/>
      <w:lvlText w:val="o"/>
      <w:lvlJc w:val="left"/>
      <w:pPr>
        <w:ind w:left="2366" w:hanging="360"/>
      </w:pPr>
      <w:rPr>
        <w:rFonts w:ascii="Courier New" w:hAnsi="Courier New" w:cs="Courier New" w:hint="default"/>
      </w:rPr>
    </w:lvl>
    <w:lvl w:ilvl="2" w:tplc="04090005" w:tentative="1">
      <w:start w:val="1"/>
      <w:numFmt w:val="bullet"/>
      <w:lvlText w:val=""/>
      <w:lvlJc w:val="left"/>
      <w:pPr>
        <w:ind w:left="3086" w:hanging="360"/>
      </w:pPr>
      <w:rPr>
        <w:rFonts w:ascii="Wingdings" w:hAnsi="Wingdings" w:hint="default"/>
      </w:rPr>
    </w:lvl>
    <w:lvl w:ilvl="3" w:tplc="04090001" w:tentative="1">
      <w:start w:val="1"/>
      <w:numFmt w:val="bullet"/>
      <w:lvlText w:val=""/>
      <w:lvlJc w:val="left"/>
      <w:pPr>
        <w:ind w:left="3806" w:hanging="360"/>
      </w:pPr>
      <w:rPr>
        <w:rFonts w:ascii="Symbol" w:hAnsi="Symbol" w:hint="default"/>
      </w:rPr>
    </w:lvl>
    <w:lvl w:ilvl="4" w:tplc="04090003" w:tentative="1">
      <w:start w:val="1"/>
      <w:numFmt w:val="bullet"/>
      <w:lvlText w:val="o"/>
      <w:lvlJc w:val="left"/>
      <w:pPr>
        <w:ind w:left="4526" w:hanging="360"/>
      </w:pPr>
      <w:rPr>
        <w:rFonts w:ascii="Courier New" w:hAnsi="Courier New" w:cs="Courier New" w:hint="default"/>
      </w:rPr>
    </w:lvl>
    <w:lvl w:ilvl="5" w:tplc="04090005" w:tentative="1">
      <w:start w:val="1"/>
      <w:numFmt w:val="bullet"/>
      <w:lvlText w:val=""/>
      <w:lvlJc w:val="left"/>
      <w:pPr>
        <w:ind w:left="5246" w:hanging="360"/>
      </w:pPr>
      <w:rPr>
        <w:rFonts w:ascii="Wingdings" w:hAnsi="Wingdings" w:hint="default"/>
      </w:rPr>
    </w:lvl>
    <w:lvl w:ilvl="6" w:tplc="04090001" w:tentative="1">
      <w:start w:val="1"/>
      <w:numFmt w:val="bullet"/>
      <w:lvlText w:val=""/>
      <w:lvlJc w:val="left"/>
      <w:pPr>
        <w:ind w:left="5966" w:hanging="360"/>
      </w:pPr>
      <w:rPr>
        <w:rFonts w:ascii="Symbol" w:hAnsi="Symbol" w:hint="default"/>
      </w:rPr>
    </w:lvl>
    <w:lvl w:ilvl="7" w:tplc="04090003" w:tentative="1">
      <w:start w:val="1"/>
      <w:numFmt w:val="bullet"/>
      <w:lvlText w:val="o"/>
      <w:lvlJc w:val="left"/>
      <w:pPr>
        <w:ind w:left="6686" w:hanging="360"/>
      </w:pPr>
      <w:rPr>
        <w:rFonts w:ascii="Courier New" w:hAnsi="Courier New" w:cs="Courier New" w:hint="default"/>
      </w:rPr>
    </w:lvl>
    <w:lvl w:ilvl="8" w:tplc="04090005" w:tentative="1">
      <w:start w:val="1"/>
      <w:numFmt w:val="bullet"/>
      <w:lvlText w:val=""/>
      <w:lvlJc w:val="left"/>
      <w:pPr>
        <w:ind w:left="7406" w:hanging="360"/>
      </w:pPr>
      <w:rPr>
        <w:rFonts w:ascii="Wingdings" w:hAnsi="Wingdings" w:hint="default"/>
      </w:rPr>
    </w:lvl>
  </w:abstractNum>
  <w:abstractNum w:abstractNumId="11" w15:restartNumberingAfterBreak="0">
    <w:nsid w:val="30296289"/>
    <w:multiLevelType w:val="hybridMultilevel"/>
    <w:tmpl w:val="FC5857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DB7625"/>
    <w:multiLevelType w:val="hybridMultilevel"/>
    <w:tmpl w:val="FEBE7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97221F"/>
    <w:multiLevelType w:val="hybridMultilevel"/>
    <w:tmpl w:val="F87C4D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710318"/>
    <w:multiLevelType w:val="hybridMultilevel"/>
    <w:tmpl w:val="64FC7D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C717FD"/>
    <w:multiLevelType w:val="hybridMultilevel"/>
    <w:tmpl w:val="4F2225E0"/>
    <w:lvl w:ilvl="0" w:tplc="450A25DE">
      <w:start w:val="1"/>
      <w:numFmt w:val="hebrew1"/>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B65C2F"/>
    <w:multiLevelType w:val="hybridMultilevel"/>
    <w:tmpl w:val="AEF2FF36"/>
    <w:lvl w:ilvl="0" w:tplc="2D08DA0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F603CB"/>
    <w:multiLevelType w:val="hybridMultilevel"/>
    <w:tmpl w:val="CF9AFE76"/>
    <w:lvl w:ilvl="0" w:tplc="DC82E758">
      <w:start w:val="1"/>
      <w:numFmt w:val="decimal"/>
      <w:lvlText w:val="%1)"/>
      <w:lvlJc w:val="left"/>
      <w:pPr>
        <w:ind w:left="720" w:hanging="360"/>
      </w:pPr>
      <w:rPr>
        <w:rFonts w:cs="Guttman Rash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121C56"/>
    <w:multiLevelType w:val="hybridMultilevel"/>
    <w:tmpl w:val="53729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591DD6"/>
    <w:multiLevelType w:val="hybridMultilevel"/>
    <w:tmpl w:val="75D29CCA"/>
    <w:lvl w:ilvl="0" w:tplc="5DC243CA">
      <w:start w:val="1"/>
      <w:numFmt w:val="decimal"/>
      <w:lvlText w:val="%1)"/>
      <w:lvlJc w:val="left"/>
      <w:pPr>
        <w:ind w:left="720" w:hanging="360"/>
      </w:pPr>
      <w:rPr>
        <w:rFonts w:hint="default"/>
        <w:lang w:val="en-US"/>
      </w:rPr>
    </w:lvl>
    <w:lvl w:ilvl="1" w:tplc="4A1C7004">
      <w:start w:val="1"/>
      <w:numFmt w:val="hebrew1"/>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94210C"/>
    <w:multiLevelType w:val="hybridMultilevel"/>
    <w:tmpl w:val="40461454"/>
    <w:lvl w:ilvl="0" w:tplc="4678E1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F11F76"/>
    <w:multiLevelType w:val="hybridMultilevel"/>
    <w:tmpl w:val="5B7C0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A126A3"/>
    <w:multiLevelType w:val="hybridMultilevel"/>
    <w:tmpl w:val="F1EEC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E25887"/>
    <w:multiLevelType w:val="hybridMultilevel"/>
    <w:tmpl w:val="A0E852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0F5DF8"/>
    <w:multiLevelType w:val="hybridMultilevel"/>
    <w:tmpl w:val="58D8E28E"/>
    <w:lvl w:ilvl="0" w:tplc="04090001">
      <w:start w:val="1"/>
      <w:numFmt w:val="bullet"/>
      <w:lvlText w:val=""/>
      <w:lvlJc w:val="left"/>
      <w:pPr>
        <w:ind w:left="1470" w:hanging="360"/>
      </w:pPr>
      <w:rPr>
        <w:rFonts w:ascii="Symbol" w:hAnsi="Symbol" w:hint="default"/>
      </w:rPr>
    </w:lvl>
    <w:lvl w:ilvl="1" w:tplc="04090003">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num w:numId="1">
    <w:abstractNumId w:val="1"/>
  </w:num>
  <w:num w:numId="2">
    <w:abstractNumId w:val="13"/>
  </w:num>
  <w:num w:numId="3">
    <w:abstractNumId w:val="4"/>
  </w:num>
  <w:num w:numId="4">
    <w:abstractNumId w:val="20"/>
  </w:num>
  <w:num w:numId="5">
    <w:abstractNumId w:val="19"/>
  </w:num>
  <w:num w:numId="6">
    <w:abstractNumId w:val="15"/>
  </w:num>
  <w:num w:numId="7">
    <w:abstractNumId w:val="22"/>
  </w:num>
  <w:num w:numId="8">
    <w:abstractNumId w:val="24"/>
  </w:num>
  <w:num w:numId="9">
    <w:abstractNumId w:val="8"/>
  </w:num>
  <w:num w:numId="10">
    <w:abstractNumId w:val="14"/>
  </w:num>
  <w:num w:numId="11">
    <w:abstractNumId w:val="12"/>
  </w:num>
  <w:num w:numId="12">
    <w:abstractNumId w:val="10"/>
  </w:num>
  <w:num w:numId="13">
    <w:abstractNumId w:val="5"/>
  </w:num>
  <w:num w:numId="14">
    <w:abstractNumId w:val="9"/>
  </w:num>
  <w:num w:numId="15">
    <w:abstractNumId w:val="6"/>
  </w:num>
  <w:num w:numId="16">
    <w:abstractNumId w:val="17"/>
  </w:num>
  <w:num w:numId="17">
    <w:abstractNumId w:val="18"/>
  </w:num>
  <w:num w:numId="18">
    <w:abstractNumId w:val="11"/>
  </w:num>
  <w:num w:numId="19">
    <w:abstractNumId w:val="7"/>
  </w:num>
  <w:num w:numId="20">
    <w:abstractNumId w:val="23"/>
  </w:num>
  <w:num w:numId="21">
    <w:abstractNumId w:val="16"/>
  </w:num>
  <w:num w:numId="22">
    <w:abstractNumId w:val="0"/>
  </w:num>
  <w:num w:numId="23">
    <w:abstractNumId w:val="2"/>
  </w:num>
  <w:num w:numId="24">
    <w:abstractNumId w:val="21"/>
  </w:num>
  <w:num w:numId="25">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AD3"/>
    <w:rsid w:val="0000022E"/>
    <w:rsid w:val="000006A7"/>
    <w:rsid w:val="000007E9"/>
    <w:rsid w:val="00000D3C"/>
    <w:rsid w:val="00000F15"/>
    <w:rsid w:val="00000F66"/>
    <w:rsid w:val="00001069"/>
    <w:rsid w:val="000011BB"/>
    <w:rsid w:val="000012A7"/>
    <w:rsid w:val="00001321"/>
    <w:rsid w:val="000017D0"/>
    <w:rsid w:val="00001850"/>
    <w:rsid w:val="00001955"/>
    <w:rsid w:val="00001E47"/>
    <w:rsid w:val="00002222"/>
    <w:rsid w:val="0000227F"/>
    <w:rsid w:val="00002404"/>
    <w:rsid w:val="000024CF"/>
    <w:rsid w:val="0000280A"/>
    <w:rsid w:val="00002852"/>
    <w:rsid w:val="00002AEF"/>
    <w:rsid w:val="000030B4"/>
    <w:rsid w:val="0000320B"/>
    <w:rsid w:val="0000335F"/>
    <w:rsid w:val="0000356E"/>
    <w:rsid w:val="00003D4D"/>
    <w:rsid w:val="00004169"/>
    <w:rsid w:val="0000426B"/>
    <w:rsid w:val="0000434A"/>
    <w:rsid w:val="0000469F"/>
    <w:rsid w:val="000046FD"/>
    <w:rsid w:val="00004AEA"/>
    <w:rsid w:val="00004C21"/>
    <w:rsid w:val="00004E65"/>
    <w:rsid w:val="00004EC8"/>
    <w:rsid w:val="00005397"/>
    <w:rsid w:val="000053C8"/>
    <w:rsid w:val="0000551A"/>
    <w:rsid w:val="00005B90"/>
    <w:rsid w:val="00006156"/>
    <w:rsid w:val="00006A62"/>
    <w:rsid w:val="00006D15"/>
    <w:rsid w:val="00007004"/>
    <w:rsid w:val="000071E9"/>
    <w:rsid w:val="0000744E"/>
    <w:rsid w:val="000074CE"/>
    <w:rsid w:val="00007943"/>
    <w:rsid w:val="00007B0B"/>
    <w:rsid w:val="00007CEC"/>
    <w:rsid w:val="00007FBA"/>
    <w:rsid w:val="0001012B"/>
    <w:rsid w:val="00010368"/>
    <w:rsid w:val="00010601"/>
    <w:rsid w:val="00010694"/>
    <w:rsid w:val="000107FA"/>
    <w:rsid w:val="00010F7F"/>
    <w:rsid w:val="000110BE"/>
    <w:rsid w:val="0001110B"/>
    <w:rsid w:val="00011127"/>
    <w:rsid w:val="00011288"/>
    <w:rsid w:val="00011520"/>
    <w:rsid w:val="00011736"/>
    <w:rsid w:val="000119A5"/>
    <w:rsid w:val="00011AC9"/>
    <w:rsid w:val="00011FAD"/>
    <w:rsid w:val="00012378"/>
    <w:rsid w:val="000127A4"/>
    <w:rsid w:val="0001296F"/>
    <w:rsid w:val="0001297F"/>
    <w:rsid w:val="00012E6B"/>
    <w:rsid w:val="00012ECD"/>
    <w:rsid w:val="00012FFD"/>
    <w:rsid w:val="000131AB"/>
    <w:rsid w:val="000135E2"/>
    <w:rsid w:val="000136C8"/>
    <w:rsid w:val="00013D9D"/>
    <w:rsid w:val="00013E61"/>
    <w:rsid w:val="00013F03"/>
    <w:rsid w:val="0001429D"/>
    <w:rsid w:val="000143D1"/>
    <w:rsid w:val="00014414"/>
    <w:rsid w:val="000146CB"/>
    <w:rsid w:val="000149D8"/>
    <w:rsid w:val="00014BB2"/>
    <w:rsid w:val="000150C1"/>
    <w:rsid w:val="000151FA"/>
    <w:rsid w:val="0001586C"/>
    <w:rsid w:val="00015C05"/>
    <w:rsid w:val="00015D72"/>
    <w:rsid w:val="00015F8C"/>
    <w:rsid w:val="00016A2C"/>
    <w:rsid w:val="00017031"/>
    <w:rsid w:val="000171F4"/>
    <w:rsid w:val="00017EB3"/>
    <w:rsid w:val="00020034"/>
    <w:rsid w:val="00020320"/>
    <w:rsid w:val="00020397"/>
    <w:rsid w:val="00020AD3"/>
    <w:rsid w:val="00020B3F"/>
    <w:rsid w:val="00020C47"/>
    <w:rsid w:val="00020EFA"/>
    <w:rsid w:val="00020FBA"/>
    <w:rsid w:val="00021023"/>
    <w:rsid w:val="00021208"/>
    <w:rsid w:val="000212E8"/>
    <w:rsid w:val="00021306"/>
    <w:rsid w:val="000215DE"/>
    <w:rsid w:val="000218DF"/>
    <w:rsid w:val="00021AFB"/>
    <w:rsid w:val="00021E25"/>
    <w:rsid w:val="000220D4"/>
    <w:rsid w:val="000221B0"/>
    <w:rsid w:val="000225FA"/>
    <w:rsid w:val="000229E8"/>
    <w:rsid w:val="00022BBE"/>
    <w:rsid w:val="00022CD1"/>
    <w:rsid w:val="00022EA8"/>
    <w:rsid w:val="00023B6E"/>
    <w:rsid w:val="00023FE4"/>
    <w:rsid w:val="00024118"/>
    <w:rsid w:val="00024677"/>
    <w:rsid w:val="00024774"/>
    <w:rsid w:val="000253A6"/>
    <w:rsid w:val="000257F0"/>
    <w:rsid w:val="00025836"/>
    <w:rsid w:val="00025968"/>
    <w:rsid w:val="000259F8"/>
    <w:rsid w:val="00025B3F"/>
    <w:rsid w:val="00025DF5"/>
    <w:rsid w:val="00025FAE"/>
    <w:rsid w:val="00026415"/>
    <w:rsid w:val="0002674B"/>
    <w:rsid w:val="00026787"/>
    <w:rsid w:val="0002764A"/>
    <w:rsid w:val="000276A2"/>
    <w:rsid w:val="000277B0"/>
    <w:rsid w:val="000279A9"/>
    <w:rsid w:val="000279C6"/>
    <w:rsid w:val="00027D28"/>
    <w:rsid w:val="0003044A"/>
    <w:rsid w:val="0003088B"/>
    <w:rsid w:val="00030986"/>
    <w:rsid w:val="00030F16"/>
    <w:rsid w:val="000311D7"/>
    <w:rsid w:val="00031419"/>
    <w:rsid w:val="000314A9"/>
    <w:rsid w:val="00031530"/>
    <w:rsid w:val="000316AB"/>
    <w:rsid w:val="00031737"/>
    <w:rsid w:val="00031924"/>
    <w:rsid w:val="00031F10"/>
    <w:rsid w:val="000321CE"/>
    <w:rsid w:val="00032215"/>
    <w:rsid w:val="00032449"/>
    <w:rsid w:val="0003248C"/>
    <w:rsid w:val="000325D1"/>
    <w:rsid w:val="00032628"/>
    <w:rsid w:val="00032635"/>
    <w:rsid w:val="00032D02"/>
    <w:rsid w:val="00032E29"/>
    <w:rsid w:val="00032E6C"/>
    <w:rsid w:val="00032F10"/>
    <w:rsid w:val="00032FC4"/>
    <w:rsid w:val="0003312C"/>
    <w:rsid w:val="0003358D"/>
    <w:rsid w:val="00033681"/>
    <w:rsid w:val="000336FD"/>
    <w:rsid w:val="00033E8F"/>
    <w:rsid w:val="0003452A"/>
    <w:rsid w:val="000345D7"/>
    <w:rsid w:val="00034668"/>
    <w:rsid w:val="000349E8"/>
    <w:rsid w:val="00036537"/>
    <w:rsid w:val="00036C51"/>
    <w:rsid w:val="00036C81"/>
    <w:rsid w:val="00036D1B"/>
    <w:rsid w:val="00036D42"/>
    <w:rsid w:val="00036D6B"/>
    <w:rsid w:val="00036DB7"/>
    <w:rsid w:val="00037064"/>
    <w:rsid w:val="0003711E"/>
    <w:rsid w:val="00037226"/>
    <w:rsid w:val="00037459"/>
    <w:rsid w:val="000379AD"/>
    <w:rsid w:val="000379FC"/>
    <w:rsid w:val="00037D6E"/>
    <w:rsid w:val="00037E72"/>
    <w:rsid w:val="0004045D"/>
    <w:rsid w:val="0004048B"/>
    <w:rsid w:val="000409A8"/>
    <w:rsid w:val="000409FB"/>
    <w:rsid w:val="00040C85"/>
    <w:rsid w:val="000410D2"/>
    <w:rsid w:val="0004165F"/>
    <w:rsid w:val="000419F0"/>
    <w:rsid w:val="00041B8B"/>
    <w:rsid w:val="00042301"/>
    <w:rsid w:val="0004237C"/>
    <w:rsid w:val="000423AA"/>
    <w:rsid w:val="0004259E"/>
    <w:rsid w:val="000427C5"/>
    <w:rsid w:val="0004283E"/>
    <w:rsid w:val="00042AB9"/>
    <w:rsid w:val="00042C81"/>
    <w:rsid w:val="00042CCD"/>
    <w:rsid w:val="000430A6"/>
    <w:rsid w:val="00043A98"/>
    <w:rsid w:val="00043ABF"/>
    <w:rsid w:val="00043E0A"/>
    <w:rsid w:val="00043F39"/>
    <w:rsid w:val="000440D8"/>
    <w:rsid w:val="00044586"/>
    <w:rsid w:val="000446AE"/>
    <w:rsid w:val="00044943"/>
    <w:rsid w:val="00045475"/>
    <w:rsid w:val="00045481"/>
    <w:rsid w:val="00045698"/>
    <w:rsid w:val="00045DA1"/>
    <w:rsid w:val="00045E4F"/>
    <w:rsid w:val="00045F7E"/>
    <w:rsid w:val="000465BF"/>
    <w:rsid w:val="00046728"/>
    <w:rsid w:val="00046DA7"/>
    <w:rsid w:val="00046FDC"/>
    <w:rsid w:val="000471C7"/>
    <w:rsid w:val="000473FD"/>
    <w:rsid w:val="00047A21"/>
    <w:rsid w:val="00047A87"/>
    <w:rsid w:val="00047DD6"/>
    <w:rsid w:val="00047FCA"/>
    <w:rsid w:val="0005035B"/>
    <w:rsid w:val="000507E7"/>
    <w:rsid w:val="00050BD6"/>
    <w:rsid w:val="00050ED0"/>
    <w:rsid w:val="0005116B"/>
    <w:rsid w:val="00051545"/>
    <w:rsid w:val="00051A7F"/>
    <w:rsid w:val="00051B31"/>
    <w:rsid w:val="00051EDE"/>
    <w:rsid w:val="00052066"/>
    <w:rsid w:val="00052314"/>
    <w:rsid w:val="00052A0C"/>
    <w:rsid w:val="00052D7E"/>
    <w:rsid w:val="00052DB3"/>
    <w:rsid w:val="00052F68"/>
    <w:rsid w:val="0005325B"/>
    <w:rsid w:val="000533C4"/>
    <w:rsid w:val="00053523"/>
    <w:rsid w:val="000539A3"/>
    <w:rsid w:val="0005444C"/>
    <w:rsid w:val="0005483E"/>
    <w:rsid w:val="00054974"/>
    <w:rsid w:val="000549A1"/>
    <w:rsid w:val="00054ACF"/>
    <w:rsid w:val="00054FE9"/>
    <w:rsid w:val="00055184"/>
    <w:rsid w:val="000552C3"/>
    <w:rsid w:val="000554CE"/>
    <w:rsid w:val="00055B0C"/>
    <w:rsid w:val="00055BBF"/>
    <w:rsid w:val="00055EBD"/>
    <w:rsid w:val="000560A9"/>
    <w:rsid w:val="00056227"/>
    <w:rsid w:val="0005638D"/>
    <w:rsid w:val="000564E1"/>
    <w:rsid w:val="00056600"/>
    <w:rsid w:val="00056689"/>
    <w:rsid w:val="00056910"/>
    <w:rsid w:val="00056977"/>
    <w:rsid w:val="00056A13"/>
    <w:rsid w:val="00057031"/>
    <w:rsid w:val="000571DF"/>
    <w:rsid w:val="000574DD"/>
    <w:rsid w:val="00057872"/>
    <w:rsid w:val="00057B44"/>
    <w:rsid w:val="00057CBC"/>
    <w:rsid w:val="00057DA2"/>
    <w:rsid w:val="000603D7"/>
    <w:rsid w:val="00060AE7"/>
    <w:rsid w:val="00060C2C"/>
    <w:rsid w:val="00060E2A"/>
    <w:rsid w:val="00060F71"/>
    <w:rsid w:val="0006114F"/>
    <w:rsid w:val="000611D3"/>
    <w:rsid w:val="0006132D"/>
    <w:rsid w:val="00061512"/>
    <w:rsid w:val="0006171B"/>
    <w:rsid w:val="000617B3"/>
    <w:rsid w:val="000617C0"/>
    <w:rsid w:val="00061A42"/>
    <w:rsid w:val="00061B61"/>
    <w:rsid w:val="00061C34"/>
    <w:rsid w:val="00061CFD"/>
    <w:rsid w:val="00062264"/>
    <w:rsid w:val="0006227C"/>
    <w:rsid w:val="000623C4"/>
    <w:rsid w:val="00062620"/>
    <w:rsid w:val="00062816"/>
    <w:rsid w:val="00062EB6"/>
    <w:rsid w:val="000632DD"/>
    <w:rsid w:val="000635A6"/>
    <w:rsid w:val="00063611"/>
    <w:rsid w:val="00063C00"/>
    <w:rsid w:val="00063C05"/>
    <w:rsid w:val="00063C8E"/>
    <w:rsid w:val="00063CA7"/>
    <w:rsid w:val="00063D5F"/>
    <w:rsid w:val="000642A5"/>
    <w:rsid w:val="00064899"/>
    <w:rsid w:val="000648AD"/>
    <w:rsid w:val="000649A6"/>
    <w:rsid w:val="00064B78"/>
    <w:rsid w:val="00064B82"/>
    <w:rsid w:val="000654F5"/>
    <w:rsid w:val="00065A68"/>
    <w:rsid w:val="00066328"/>
    <w:rsid w:val="0006692A"/>
    <w:rsid w:val="00066FC0"/>
    <w:rsid w:val="00066FF6"/>
    <w:rsid w:val="000672CD"/>
    <w:rsid w:val="000672EC"/>
    <w:rsid w:val="00067731"/>
    <w:rsid w:val="0006788E"/>
    <w:rsid w:val="00067BF7"/>
    <w:rsid w:val="00067C4F"/>
    <w:rsid w:val="00067C8C"/>
    <w:rsid w:val="0007008F"/>
    <w:rsid w:val="000700EC"/>
    <w:rsid w:val="0007016A"/>
    <w:rsid w:val="0007050B"/>
    <w:rsid w:val="00070561"/>
    <w:rsid w:val="00070DEE"/>
    <w:rsid w:val="00071183"/>
    <w:rsid w:val="00071923"/>
    <w:rsid w:val="000722AB"/>
    <w:rsid w:val="0007235E"/>
    <w:rsid w:val="00072423"/>
    <w:rsid w:val="0007251C"/>
    <w:rsid w:val="00072719"/>
    <w:rsid w:val="000729EF"/>
    <w:rsid w:val="00072CB9"/>
    <w:rsid w:val="00072D09"/>
    <w:rsid w:val="00072D92"/>
    <w:rsid w:val="000733C2"/>
    <w:rsid w:val="000737C7"/>
    <w:rsid w:val="00073905"/>
    <w:rsid w:val="00073A2E"/>
    <w:rsid w:val="00073B9A"/>
    <w:rsid w:val="00073C3A"/>
    <w:rsid w:val="00073E93"/>
    <w:rsid w:val="00073F5E"/>
    <w:rsid w:val="000741E8"/>
    <w:rsid w:val="00074679"/>
    <w:rsid w:val="00074E0B"/>
    <w:rsid w:val="00074E3F"/>
    <w:rsid w:val="0007501B"/>
    <w:rsid w:val="000751AD"/>
    <w:rsid w:val="000752CE"/>
    <w:rsid w:val="00075335"/>
    <w:rsid w:val="000753F9"/>
    <w:rsid w:val="000759C3"/>
    <w:rsid w:val="00076153"/>
    <w:rsid w:val="00076731"/>
    <w:rsid w:val="000767CD"/>
    <w:rsid w:val="00076B87"/>
    <w:rsid w:val="00076FB6"/>
    <w:rsid w:val="000771DE"/>
    <w:rsid w:val="00077339"/>
    <w:rsid w:val="00077940"/>
    <w:rsid w:val="00077BA0"/>
    <w:rsid w:val="00077C07"/>
    <w:rsid w:val="000804E0"/>
    <w:rsid w:val="0008060D"/>
    <w:rsid w:val="00080804"/>
    <w:rsid w:val="000808DF"/>
    <w:rsid w:val="00080A71"/>
    <w:rsid w:val="00080CC0"/>
    <w:rsid w:val="00080D21"/>
    <w:rsid w:val="00080DBD"/>
    <w:rsid w:val="00080F8E"/>
    <w:rsid w:val="00081446"/>
    <w:rsid w:val="000816D2"/>
    <w:rsid w:val="000818E0"/>
    <w:rsid w:val="000819AB"/>
    <w:rsid w:val="00081FD4"/>
    <w:rsid w:val="000824B8"/>
    <w:rsid w:val="0008265C"/>
    <w:rsid w:val="00082861"/>
    <w:rsid w:val="00082AD6"/>
    <w:rsid w:val="00082C21"/>
    <w:rsid w:val="00082C49"/>
    <w:rsid w:val="00082D42"/>
    <w:rsid w:val="00082E67"/>
    <w:rsid w:val="000832BF"/>
    <w:rsid w:val="00083671"/>
    <w:rsid w:val="00083687"/>
    <w:rsid w:val="000836E4"/>
    <w:rsid w:val="00083AD6"/>
    <w:rsid w:val="00083D32"/>
    <w:rsid w:val="000842BD"/>
    <w:rsid w:val="0008460D"/>
    <w:rsid w:val="0008479C"/>
    <w:rsid w:val="00084920"/>
    <w:rsid w:val="00084AF2"/>
    <w:rsid w:val="00084BC9"/>
    <w:rsid w:val="00084D2B"/>
    <w:rsid w:val="000850DC"/>
    <w:rsid w:val="000852C1"/>
    <w:rsid w:val="00085605"/>
    <w:rsid w:val="000857F0"/>
    <w:rsid w:val="00086022"/>
    <w:rsid w:val="00086054"/>
    <w:rsid w:val="0008714A"/>
    <w:rsid w:val="000871CA"/>
    <w:rsid w:val="00087439"/>
    <w:rsid w:val="0008781D"/>
    <w:rsid w:val="00087B22"/>
    <w:rsid w:val="00087CCC"/>
    <w:rsid w:val="00087CD6"/>
    <w:rsid w:val="00087D1A"/>
    <w:rsid w:val="00087E73"/>
    <w:rsid w:val="00087EFD"/>
    <w:rsid w:val="00090094"/>
    <w:rsid w:val="0009013A"/>
    <w:rsid w:val="000903A3"/>
    <w:rsid w:val="00090887"/>
    <w:rsid w:val="00090A5C"/>
    <w:rsid w:val="00090CB7"/>
    <w:rsid w:val="00090F45"/>
    <w:rsid w:val="00091034"/>
    <w:rsid w:val="00091199"/>
    <w:rsid w:val="00091276"/>
    <w:rsid w:val="00091288"/>
    <w:rsid w:val="000914A4"/>
    <w:rsid w:val="00091FDD"/>
    <w:rsid w:val="0009204D"/>
    <w:rsid w:val="000921AA"/>
    <w:rsid w:val="0009243E"/>
    <w:rsid w:val="00092829"/>
    <w:rsid w:val="00092B0A"/>
    <w:rsid w:val="00092B2A"/>
    <w:rsid w:val="00092B92"/>
    <w:rsid w:val="0009386F"/>
    <w:rsid w:val="00093F65"/>
    <w:rsid w:val="00094090"/>
    <w:rsid w:val="00094162"/>
    <w:rsid w:val="00094488"/>
    <w:rsid w:val="000944DD"/>
    <w:rsid w:val="0009465B"/>
    <w:rsid w:val="00094D82"/>
    <w:rsid w:val="00095389"/>
    <w:rsid w:val="00095569"/>
    <w:rsid w:val="0009562A"/>
    <w:rsid w:val="00095961"/>
    <w:rsid w:val="000959AE"/>
    <w:rsid w:val="00095C8C"/>
    <w:rsid w:val="00095D89"/>
    <w:rsid w:val="00095F64"/>
    <w:rsid w:val="00096011"/>
    <w:rsid w:val="000961FD"/>
    <w:rsid w:val="000962DC"/>
    <w:rsid w:val="00096361"/>
    <w:rsid w:val="00096462"/>
    <w:rsid w:val="000964A7"/>
    <w:rsid w:val="000964EA"/>
    <w:rsid w:val="00096744"/>
    <w:rsid w:val="0009685E"/>
    <w:rsid w:val="000969BF"/>
    <w:rsid w:val="00096AC9"/>
    <w:rsid w:val="00096AD3"/>
    <w:rsid w:val="00096B76"/>
    <w:rsid w:val="00096CF1"/>
    <w:rsid w:val="00097A4E"/>
    <w:rsid w:val="000A0BD8"/>
    <w:rsid w:val="000A10C2"/>
    <w:rsid w:val="000A117F"/>
    <w:rsid w:val="000A11B2"/>
    <w:rsid w:val="000A1294"/>
    <w:rsid w:val="000A1420"/>
    <w:rsid w:val="000A1779"/>
    <w:rsid w:val="000A1AFF"/>
    <w:rsid w:val="000A236E"/>
    <w:rsid w:val="000A28F2"/>
    <w:rsid w:val="000A2CD8"/>
    <w:rsid w:val="000A2F08"/>
    <w:rsid w:val="000A2F93"/>
    <w:rsid w:val="000A320A"/>
    <w:rsid w:val="000A343E"/>
    <w:rsid w:val="000A37AE"/>
    <w:rsid w:val="000A3C39"/>
    <w:rsid w:val="000A40CD"/>
    <w:rsid w:val="000A4545"/>
    <w:rsid w:val="000A45E7"/>
    <w:rsid w:val="000A46A7"/>
    <w:rsid w:val="000A4780"/>
    <w:rsid w:val="000A4B1F"/>
    <w:rsid w:val="000A5111"/>
    <w:rsid w:val="000A5770"/>
    <w:rsid w:val="000A5812"/>
    <w:rsid w:val="000A59AA"/>
    <w:rsid w:val="000A5CFE"/>
    <w:rsid w:val="000A6293"/>
    <w:rsid w:val="000A65FF"/>
    <w:rsid w:val="000A665D"/>
    <w:rsid w:val="000A6ACC"/>
    <w:rsid w:val="000A7290"/>
    <w:rsid w:val="000A72EF"/>
    <w:rsid w:val="000A77B7"/>
    <w:rsid w:val="000A7833"/>
    <w:rsid w:val="000A7A11"/>
    <w:rsid w:val="000A7F05"/>
    <w:rsid w:val="000A7F24"/>
    <w:rsid w:val="000A7FA2"/>
    <w:rsid w:val="000B0482"/>
    <w:rsid w:val="000B0856"/>
    <w:rsid w:val="000B0A6F"/>
    <w:rsid w:val="000B0B9F"/>
    <w:rsid w:val="000B0D4A"/>
    <w:rsid w:val="000B165F"/>
    <w:rsid w:val="000B2330"/>
    <w:rsid w:val="000B2331"/>
    <w:rsid w:val="000B276D"/>
    <w:rsid w:val="000B29D1"/>
    <w:rsid w:val="000B2AE1"/>
    <w:rsid w:val="000B2B5A"/>
    <w:rsid w:val="000B31BC"/>
    <w:rsid w:val="000B356D"/>
    <w:rsid w:val="000B35E1"/>
    <w:rsid w:val="000B3E63"/>
    <w:rsid w:val="000B4023"/>
    <w:rsid w:val="000B405D"/>
    <w:rsid w:val="000B40C7"/>
    <w:rsid w:val="000B44AC"/>
    <w:rsid w:val="000B4A44"/>
    <w:rsid w:val="000B55CF"/>
    <w:rsid w:val="000B5689"/>
    <w:rsid w:val="000B585B"/>
    <w:rsid w:val="000B602E"/>
    <w:rsid w:val="000B60D9"/>
    <w:rsid w:val="000B65B7"/>
    <w:rsid w:val="000B716E"/>
    <w:rsid w:val="000B7595"/>
    <w:rsid w:val="000B7B17"/>
    <w:rsid w:val="000B7F75"/>
    <w:rsid w:val="000C012D"/>
    <w:rsid w:val="000C028B"/>
    <w:rsid w:val="000C0707"/>
    <w:rsid w:val="000C074B"/>
    <w:rsid w:val="000C09C7"/>
    <w:rsid w:val="000C0EE0"/>
    <w:rsid w:val="000C1126"/>
    <w:rsid w:val="000C1693"/>
    <w:rsid w:val="000C1807"/>
    <w:rsid w:val="000C18B9"/>
    <w:rsid w:val="000C1D46"/>
    <w:rsid w:val="000C20BB"/>
    <w:rsid w:val="000C2301"/>
    <w:rsid w:val="000C2539"/>
    <w:rsid w:val="000C2A9E"/>
    <w:rsid w:val="000C30D8"/>
    <w:rsid w:val="000C317F"/>
    <w:rsid w:val="000C3207"/>
    <w:rsid w:val="000C32BA"/>
    <w:rsid w:val="000C32F6"/>
    <w:rsid w:val="000C33B3"/>
    <w:rsid w:val="000C3A54"/>
    <w:rsid w:val="000C3DFF"/>
    <w:rsid w:val="000C3F8B"/>
    <w:rsid w:val="000C4028"/>
    <w:rsid w:val="000C40E8"/>
    <w:rsid w:val="000C468D"/>
    <w:rsid w:val="000C48B0"/>
    <w:rsid w:val="000C492F"/>
    <w:rsid w:val="000C49AA"/>
    <w:rsid w:val="000C49AB"/>
    <w:rsid w:val="000C4E24"/>
    <w:rsid w:val="000C5191"/>
    <w:rsid w:val="000C54A3"/>
    <w:rsid w:val="000C5559"/>
    <w:rsid w:val="000C5A08"/>
    <w:rsid w:val="000C5CA4"/>
    <w:rsid w:val="000C5D7B"/>
    <w:rsid w:val="000C5E44"/>
    <w:rsid w:val="000C61BB"/>
    <w:rsid w:val="000C63C8"/>
    <w:rsid w:val="000C66B6"/>
    <w:rsid w:val="000C6B25"/>
    <w:rsid w:val="000C6C78"/>
    <w:rsid w:val="000C6CEF"/>
    <w:rsid w:val="000C7173"/>
    <w:rsid w:val="000C786C"/>
    <w:rsid w:val="000C7A05"/>
    <w:rsid w:val="000C7D90"/>
    <w:rsid w:val="000C7DF9"/>
    <w:rsid w:val="000D086A"/>
    <w:rsid w:val="000D0D2B"/>
    <w:rsid w:val="000D1173"/>
    <w:rsid w:val="000D1188"/>
    <w:rsid w:val="000D1191"/>
    <w:rsid w:val="000D145F"/>
    <w:rsid w:val="000D1808"/>
    <w:rsid w:val="000D1905"/>
    <w:rsid w:val="000D1DA8"/>
    <w:rsid w:val="000D1F93"/>
    <w:rsid w:val="000D20C8"/>
    <w:rsid w:val="000D22B6"/>
    <w:rsid w:val="000D24DA"/>
    <w:rsid w:val="000D274E"/>
    <w:rsid w:val="000D2A9F"/>
    <w:rsid w:val="000D3020"/>
    <w:rsid w:val="000D325A"/>
    <w:rsid w:val="000D3665"/>
    <w:rsid w:val="000D3BB3"/>
    <w:rsid w:val="000D3C22"/>
    <w:rsid w:val="000D3CCC"/>
    <w:rsid w:val="000D41E6"/>
    <w:rsid w:val="000D46B4"/>
    <w:rsid w:val="000D4D66"/>
    <w:rsid w:val="000D5142"/>
    <w:rsid w:val="000D52E1"/>
    <w:rsid w:val="000D54A4"/>
    <w:rsid w:val="000D5688"/>
    <w:rsid w:val="000D6433"/>
    <w:rsid w:val="000D688A"/>
    <w:rsid w:val="000D68E0"/>
    <w:rsid w:val="000D6A89"/>
    <w:rsid w:val="000D6C79"/>
    <w:rsid w:val="000D6D6C"/>
    <w:rsid w:val="000D6E91"/>
    <w:rsid w:val="000D74A8"/>
    <w:rsid w:val="000D7520"/>
    <w:rsid w:val="000D75A0"/>
    <w:rsid w:val="000D7784"/>
    <w:rsid w:val="000D7AB2"/>
    <w:rsid w:val="000E063D"/>
    <w:rsid w:val="000E0665"/>
    <w:rsid w:val="000E090E"/>
    <w:rsid w:val="000E0C5D"/>
    <w:rsid w:val="000E0EE2"/>
    <w:rsid w:val="000E11CC"/>
    <w:rsid w:val="000E1432"/>
    <w:rsid w:val="000E15B4"/>
    <w:rsid w:val="000E16CC"/>
    <w:rsid w:val="000E19AA"/>
    <w:rsid w:val="000E1BA4"/>
    <w:rsid w:val="000E1C3D"/>
    <w:rsid w:val="000E1CF8"/>
    <w:rsid w:val="000E1EFF"/>
    <w:rsid w:val="000E1FD8"/>
    <w:rsid w:val="000E20BC"/>
    <w:rsid w:val="000E240E"/>
    <w:rsid w:val="000E27CA"/>
    <w:rsid w:val="000E2C11"/>
    <w:rsid w:val="000E2E32"/>
    <w:rsid w:val="000E2F1C"/>
    <w:rsid w:val="000E3057"/>
    <w:rsid w:val="000E3662"/>
    <w:rsid w:val="000E3868"/>
    <w:rsid w:val="000E38D4"/>
    <w:rsid w:val="000E3D73"/>
    <w:rsid w:val="000E3F0F"/>
    <w:rsid w:val="000E4470"/>
    <w:rsid w:val="000E4488"/>
    <w:rsid w:val="000E4894"/>
    <w:rsid w:val="000E4C24"/>
    <w:rsid w:val="000E4C3C"/>
    <w:rsid w:val="000E4EB2"/>
    <w:rsid w:val="000E4F68"/>
    <w:rsid w:val="000E51DE"/>
    <w:rsid w:val="000E527A"/>
    <w:rsid w:val="000E52EA"/>
    <w:rsid w:val="000E582A"/>
    <w:rsid w:val="000E5977"/>
    <w:rsid w:val="000E604D"/>
    <w:rsid w:val="000E64AB"/>
    <w:rsid w:val="000E66E5"/>
    <w:rsid w:val="000E7154"/>
    <w:rsid w:val="000E776E"/>
    <w:rsid w:val="000E788A"/>
    <w:rsid w:val="000E79AB"/>
    <w:rsid w:val="000E7C48"/>
    <w:rsid w:val="000F00E2"/>
    <w:rsid w:val="000F0289"/>
    <w:rsid w:val="000F0329"/>
    <w:rsid w:val="000F03A9"/>
    <w:rsid w:val="000F0406"/>
    <w:rsid w:val="000F0F07"/>
    <w:rsid w:val="000F0FA8"/>
    <w:rsid w:val="000F108C"/>
    <w:rsid w:val="000F139F"/>
    <w:rsid w:val="000F162D"/>
    <w:rsid w:val="000F1633"/>
    <w:rsid w:val="000F1CBA"/>
    <w:rsid w:val="000F1DBB"/>
    <w:rsid w:val="000F1F43"/>
    <w:rsid w:val="000F20BB"/>
    <w:rsid w:val="000F227A"/>
    <w:rsid w:val="000F23B7"/>
    <w:rsid w:val="000F248C"/>
    <w:rsid w:val="000F2518"/>
    <w:rsid w:val="000F28B9"/>
    <w:rsid w:val="000F292C"/>
    <w:rsid w:val="000F2AD4"/>
    <w:rsid w:val="000F2B0B"/>
    <w:rsid w:val="000F2C53"/>
    <w:rsid w:val="000F2E11"/>
    <w:rsid w:val="000F3021"/>
    <w:rsid w:val="000F3291"/>
    <w:rsid w:val="000F34F3"/>
    <w:rsid w:val="000F358F"/>
    <w:rsid w:val="000F3BB2"/>
    <w:rsid w:val="000F3F19"/>
    <w:rsid w:val="000F407D"/>
    <w:rsid w:val="000F4452"/>
    <w:rsid w:val="000F4587"/>
    <w:rsid w:val="000F4743"/>
    <w:rsid w:val="000F4924"/>
    <w:rsid w:val="000F4A70"/>
    <w:rsid w:val="000F4FA4"/>
    <w:rsid w:val="000F53EF"/>
    <w:rsid w:val="000F54EF"/>
    <w:rsid w:val="000F5A9A"/>
    <w:rsid w:val="000F605E"/>
    <w:rsid w:val="000F67D4"/>
    <w:rsid w:val="000F68EC"/>
    <w:rsid w:val="000F6B91"/>
    <w:rsid w:val="000F6DEF"/>
    <w:rsid w:val="000F72E6"/>
    <w:rsid w:val="000F7486"/>
    <w:rsid w:val="000F74FF"/>
    <w:rsid w:val="000F7BFB"/>
    <w:rsid w:val="001000B5"/>
    <w:rsid w:val="001006DC"/>
    <w:rsid w:val="00100ACA"/>
    <w:rsid w:val="00100B36"/>
    <w:rsid w:val="00100DCE"/>
    <w:rsid w:val="0010115A"/>
    <w:rsid w:val="00101246"/>
    <w:rsid w:val="001012A6"/>
    <w:rsid w:val="001019D2"/>
    <w:rsid w:val="001019F0"/>
    <w:rsid w:val="00101C6C"/>
    <w:rsid w:val="001024B2"/>
    <w:rsid w:val="0010258D"/>
    <w:rsid w:val="00102811"/>
    <w:rsid w:val="0010294A"/>
    <w:rsid w:val="00102FB3"/>
    <w:rsid w:val="0010302C"/>
    <w:rsid w:val="00103342"/>
    <w:rsid w:val="001033C2"/>
    <w:rsid w:val="00103C94"/>
    <w:rsid w:val="0010402D"/>
    <w:rsid w:val="001040FB"/>
    <w:rsid w:val="001042AE"/>
    <w:rsid w:val="001044CC"/>
    <w:rsid w:val="001047AD"/>
    <w:rsid w:val="0010486F"/>
    <w:rsid w:val="00104A60"/>
    <w:rsid w:val="00104EFB"/>
    <w:rsid w:val="00105B52"/>
    <w:rsid w:val="00105C22"/>
    <w:rsid w:val="00105D51"/>
    <w:rsid w:val="00105DD8"/>
    <w:rsid w:val="00105EEB"/>
    <w:rsid w:val="001061EA"/>
    <w:rsid w:val="001063EE"/>
    <w:rsid w:val="00106632"/>
    <w:rsid w:val="00106854"/>
    <w:rsid w:val="00106EDD"/>
    <w:rsid w:val="00106F7A"/>
    <w:rsid w:val="0010726B"/>
    <w:rsid w:val="0010754D"/>
    <w:rsid w:val="0010768E"/>
    <w:rsid w:val="001076A5"/>
    <w:rsid w:val="001077A4"/>
    <w:rsid w:val="00107986"/>
    <w:rsid w:val="001079AF"/>
    <w:rsid w:val="00107A18"/>
    <w:rsid w:val="00107BF6"/>
    <w:rsid w:val="00107CDF"/>
    <w:rsid w:val="0011055D"/>
    <w:rsid w:val="0011092C"/>
    <w:rsid w:val="00110AB6"/>
    <w:rsid w:val="00110BD4"/>
    <w:rsid w:val="00110FE9"/>
    <w:rsid w:val="00111687"/>
    <w:rsid w:val="00111791"/>
    <w:rsid w:val="001117DE"/>
    <w:rsid w:val="00111CB2"/>
    <w:rsid w:val="001120A5"/>
    <w:rsid w:val="001127FA"/>
    <w:rsid w:val="00112D74"/>
    <w:rsid w:val="00113A0C"/>
    <w:rsid w:val="00114065"/>
    <w:rsid w:val="001145FE"/>
    <w:rsid w:val="00114CC0"/>
    <w:rsid w:val="00114FEF"/>
    <w:rsid w:val="00115560"/>
    <w:rsid w:val="001155AF"/>
    <w:rsid w:val="00115687"/>
    <w:rsid w:val="00115B5B"/>
    <w:rsid w:val="00115BE4"/>
    <w:rsid w:val="00115D70"/>
    <w:rsid w:val="00115D89"/>
    <w:rsid w:val="00115FDC"/>
    <w:rsid w:val="00116297"/>
    <w:rsid w:val="00116347"/>
    <w:rsid w:val="001163A9"/>
    <w:rsid w:val="001167D7"/>
    <w:rsid w:val="00116B68"/>
    <w:rsid w:val="00116EC1"/>
    <w:rsid w:val="001171C7"/>
    <w:rsid w:val="0011743F"/>
    <w:rsid w:val="001174A8"/>
    <w:rsid w:val="00117795"/>
    <w:rsid w:val="00117B06"/>
    <w:rsid w:val="00117F7E"/>
    <w:rsid w:val="001201E1"/>
    <w:rsid w:val="00120449"/>
    <w:rsid w:val="00120972"/>
    <w:rsid w:val="00120EFA"/>
    <w:rsid w:val="0012169A"/>
    <w:rsid w:val="00121711"/>
    <w:rsid w:val="001217CF"/>
    <w:rsid w:val="00121A8D"/>
    <w:rsid w:val="00122160"/>
    <w:rsid w:val="00122320"/>
    <w:rsid w:val="0012249A"/>
    <w:rsid w:val="00122726"/>
    <w:rsid w:val="001228BF"/>
    <w:rsid w:val="0012298B"/>
    <w:rsid w:val="00122BF4"/>
    <w:rsid w:val="00123075"/>
    <w:rsid w:val="001230A7"/>
    <w:rsid w:val="0012310F"/>
    <w:rsid w:val="0012328D"/>
    <w:rsid w:val="0012353D"/>
    <w:rsid w:val="00123563"/>
    <w:rsid w:val="00123D15"/>
    <w:rsid w:val="00123D31"/>
    <w:rsid w:val="00124029"/>
    <w:rsid w:val="00124492"/>
    <w:rsid w:val="00124572"/>
    <w:rsid w:val="0012473F"/>
    <w:rsid w:val="00124B4B"/>
    <w:rsid w:val="00124D1D"/>
    <w:rsid w:val="00124E87"/>
    <w:rsid w:val="00124FBD"/>
    <w:rsid w:val="0012612A"/>
    <w:rsid w:val="001265F4"/>
    <w:rsid w:val="0012695A"/>
    <w:rsid w:val="00127007"/>
    <w:rsid w:val="001277D6"/>
    <w:rsid w:val="00127A79"/>
    <w:rsid w:val="00130217"/>
    <w:rsid w:val="001307C1"/>
    <w:rsid w:val="001307F1"/>
    <w:rsid w:val="0013087F"/>
    <w:rsid w:val="00131B2E"/>
    <w:rsid w:val="00131C86"/>
    <w:rsid w:val="00131EC7"/>
    <w:rsid w:val="00132197"/>
    <w:rsid w:val="00132345"/>
    <w:rsid w:val="0013243F"/>
    <w:rsid w:val="00132525"/>
    <w:rsid w:val="0013252F"/>
    <w:rsid w:val="00132848"/>
    <w:rsid w:val="00132AC4"/>
    <w:rsid w:val="00132C98"/>
    <w:rsid w:val="00132D09"/>
    <w:rsid w:val="00133389"/>
    <w:rsid w:val="001338F8"/>
    <w:rsid w:val="00133916"/>
    <w:rsid w:val="00133DB1"/>
    <w:rsid w:val="001341A8"/>
    <w:rsid w:val="0013426E"/>
    <w:rsid w:val="0013496A"/>
    <w:rsid w:val="00134AFD"/>
    <w:rsid w:val="00134B00"/>
    <w:rsid w:val="00134EA1"/>
    <w:rsid w:val="00134EFA"/>
    <w:rsid w:val="00134F02"/>
    <w:rsid w:val="0013540B"/>
    <w:rsid w:val="00135756"/>
    <w:rsid w:val="00135773"/>
    <w:rsid w:val="0013584C"/>
    <w:rsid w:val="00135B59"/>
    <w:rsid w:val="00135F2A"/>
    <w:rsid w:val="00136396"/>
    <w:rsid w:val="001363B0"/>
    <w:rsid w:val="0013644B"/>
    <w:rsid w:val="001364A2"/>
    <w:rsid w:val="0013680D"/>
    <w:rsid w:val="00136B08"/>
    <w:rsid w:val="00136BAC"/>
    <w:rsid w:val="00136EC5"/>
    <w:rsid w:val="00137314"/>
    <w:rsid w:val="001375EA"/>
    <w:rsid w:val="00137793"/>
    <w:rsid w:val="00137841"/>
    <w:rsid w:val="00137A55"/>
    <w:rsid w:val="00137ADB"/>
    <w:rsid w:val="00137DF6"/>
    <w:rsid w:val="00137E9D"/>
    <w:rsid w:val="001402BA"/>
    <w:rsid w:val="0014081C"/>
    <w:rsid w:val="00140A36"/>
    <w:rsid w:val="00140D50"/>
    <w:rsid w:val="00141151"/>
    <w:rsid w:val="00141412"/>
    <w:rsid w:val="00141502"/>
    <w:rsid w:val="00141578"/>
    <w:rsid w:val="001416C4"/>
    <w:rsid w:val="00141AC6"/>
    <w:rsid w:val="00141B6E"/>
    <w:rsid w:val="00141F09"/>
    <w:rsid w:val="00141FAB"/>
    <w:rsid w:val="0014247C"/>
    <w:rsid w:val="0014256D"/>
    <w:rsid w:val="001426F1"/>
    <w:rsid w:val="001426F8"/>
    <w:rsid w:val="00142988"/>
    <w:rsid w:val="00142A04"/>
    <w:rsid w:val="00142AD8"/>
    <w:rsid w:val="0014323C"/>
    <w:rsid w:val="0014326B"/>
    <w:rsid w:val="00143F60"/>
    <w:rsid w:val="00144379"/>
    <w:rsid w:val="00144569"/>
    <w:rsid w:val="001445D8"/>
    <w:rsid w:val="00144820"/>
    <w:rsid w:val="00144F3B"/>
    <w:rsid w:val="0014530A"/>
    <w:rsid w:val="00145900"/>
    <w:rsid w:val="00145B79"/>
    <w:rsid w:val="00146152"/>
    <w:rsid w:val="0014630D"/>
    <w:rsid w:val="001467AD"/>
    <w:rsid w:val="00146831"/>
    <w:rsid w:val="001468D7"/>
    <w:rsid w:val="00146979"/>
    <w:rsid w:val="00146C85"/>
    <w:rsid w:val="00146F24"/>
    <w:rsid w:val="00146FB3"/>
    <w:rsid w:val="0014737A"/>
    <w:rsid w:val="00147B6D"/>
    <w:rsid w:val="00147CF5"/>
    <w:rsid w:val="00147FDF"/>
    <w:rsid w:val="00150159"/>
    <w:rsid w:val="001509DE"/>
    <w:rsid w:val="00150C33"/>
    <w:rsid w:val="00150E64"/>
    <w:rsid w:val="00151057"/>
    <w:rsid w:val="001510FB"/>
    <w:rsid w:val="0015130E"/>
    <w:rsid w:val="0015146C"/>
    <w:rsid w:val="001516D9"/>
    <w:rsid w:val="00151829"/>
    <w:rsid w:val="00151BC9"/>
    <w:rsid w:val="0015228E"/>
    <w:rsid w:val="001522DC"/>
    <w:rsid w:val="00152476"/>
    <w:rsid w:val="00153315"/>
    <w:rsid w:val="0015342B"/>
    <w:rsid w:val="0015399D"/>
    <w:rsid w:val="001539D1"/>
    <w:rsid w:val="00153CB7"/>
    <w:rsid w:val="00153CF8"/>
    <w:rsid w:val="00153F95"/>
    <w:rsid w:val="00154119"/>
    <w:rsid w:val="001545F8"/>
    <w:rsid w:val="00154975"/>
    <w:rsid w:val="00154A4C"/>
    <w:rsid w:val="00154C57"/>
    <w:rsid w:val="00154D74"/>
    <w:rsid w:val="00155101"/>
    <w:rsid w:val="00155229"/>
    <w:rsid w:val="00155293"/>
    <w:rsid w:val="0015585B"/>
    <w:rsid w:val="00156508"/>
    <w:rsid w:val="00156688"/>
    <w:rsid w:val="001568DE"/>
    <w:rsid w:val="00156AED"/>
    <w:rsid w:val="00156B2C"/>
    <w:rsid w:val="00156B46"/>
    <w:rsid w:val="00156DDB"/>
    <w:rsid w:val="00156F5D"/>
    <w:rsid w:val="00157419"/>
    <w:rsid w:val="001577BD"/>
    <w:rsid w:val="001578EF"/>
    <w:rsid w:val="00157A67"/>
    <w:rsid w:val="0016002E"/>
    <w:rsid w:val="00160194"/>
    <w:rsid w:val="00160265"/>
    <w:rsid w:val="00160501"/>
    <w:rsid w:val="001607DF"/>
    <w:rsid w:val="0016080A"/>
    <w:rsid w:val="0016093F"/>
    <w:rsid w:val="00160ACE"/>
    <w:rsid w:val="00160CDA"/>
    <w:rsid w:val="00161184"/>
    <w:rsid w:val="00161A96"/>
    <w:rsid w:val="00161D6F"/>
    <w:rsid w:val="00161E3F"/>
    <w:rsid w:val="00161E5B"/>
    <w:rsid w:val="00162154"/>
    <w:rsid w:val="001621BA"/>
    <w:rsid w:val="0016232D"/>
    <w:rsid w:val="00162494"/>
    <w:rsid w:val="00162C03"/>
    <w:rsid w:val="001633F8"/>
    <w:rsid w:val="00163A73"/>
    <w:rsid w:val="00163C69"/>
    <w:rsid w:val="00163CA7"/>
    <w:rsid w:val="00163E07"/>
    <w:rsid w:val="00163EAA"/>
    <w:rsid w:val="00163FF5"/>
    <w:rsid w:val="001642AA"/>
    <w:rsid w:val="0016458D"/>
    <w:rsid w:val="001646F9"/>
    <w:rsid w:val="001649A2"/>
    <w:rsid w:val="00164DBE"/>
    <w:rsid w:val="001657F1"/>
    <w:rsid w:val="00165C82"/>
    <w:rsid w:val="00165C87"/>
    <w:rsid w:val="00165C8E"/>
    <w:rsid w:val="00165F27"/>
    <w:rsid w:val="00166277"/>
    <w:rsid w:val="001664DA"/>
    <w:rsid w:val="00166589"/>
    <w:rsid w:val="001665A3"/>
    <w:rsid w:val="00166849"/>
    <w:rsid w:val="0016690F"/>
    <w:rsid w:val="0016693C"/>
    <w:rsid w:val="00166D06"/>
    <w:rsid w:val="00167658"/>
    <w:rsid w:val="001676D1"/>
    <w:rsid w:val="00167984"/>
    <w:rsid w:val="00167B0A"/>
    <w:rsid w:val="00167E62"/>
    <w:rsid w:val="00167F52"/>
    <w:rsid w:val="00167FBC"/>
    <w:rsid w:val="00170AB1"/>
    <w:rsid w:val="00170CDE"/>
    <w:rsid w:val="00170F92"/>
    <w:rsid w:val="0017106F"/>
    <w:rsid w:val="001712A0"/>
    <w:rsid w:val="001713E2"/>
    <w:rsid w:val="001714D2"/>
    <w:rsid w:val="00171546"/>
    <w:rsid w:val="0017158B"/>
    <w:rsid w:val="00171DAA"/>
    <w:rsid w:val="00171DE0"/>
    <w:rsid w:val="00171E04"/>
    <w:rsid w:val="0017206A"/>
    <w:rsid w:val="00172119"/>
    <w:rsid w:val="001723BA"/>
    <w:rsid w:val="00172492"/>
    <w:rsid w:val="00172672"/>
    <w:rsid w:val="00172752"/>
    <w:rsid w:val="001727E9"/>
    <w:rsid w:val="001728D4"/>
    <w:rsid w:val="001728F4"/>
    <w:rsid w:val="00172972"/>
    <w:rsid w:val="001729F7"/>
    <w:rsid w:val="00172A16"/>
    <w:rsid w:val="00172A4D"/>
    <w:rsid w:val="00172A8D"/>
    <w:rsid w:val="00172E64"/>
    <w:rsid w:val="00172EEA"/>
    <w:rsid w:val="00172F38"/>
    <w:rsid w:val="0017345A"/>
    <w:rsid w:val="001737B3"/>
    <w:rsid w:val="00173948"/>
    <w:rsid w:val="00173D6E"/>
    <w:rsid w:val="001741AF"/>
    <w:rsid w:val="001744BB"/>
    <w:rsid w:val="00174820"/>
    <w:rsid w:val="00174AB2"/>
    <w:rsid w:val="00174F43"/>
    <w:rsid w:val="0017505B"/>
    <w:rsid w:val="001750D2"/>
    <w:rsid w:val="0017532A"/>
    <w:rsid w:val="001755DC"/>
    <w:rsid w:val="001758A1"/>
    <w:rsid w:val="0017592D"/>
    <w:rsid w:val="00175C59"/>
    <w:rsid w:val="00175E46"/>
    <w:rsid w:val="00175E5C"/>
    <w:rsid w:val="001766EA"/>
    <w:rsid w:val="001767DF"/>
    <w:rsid w:val="00176901"/>
    <w:rsid w:val="001769BD"/>
    <w:rsid w:val="00176B75"/>
    <w:rsid w:val="00176BB5"/>
    <w:rsid w:val="00176DC1"/>
    <w:rsid w:val="00176E4A"/>
    <w:rsid w:val="001775D9"/>
    <w:rsid w:val="001800F4"/>
    <w:rsid w:val="001804CA"/>
    <w:rsid w:val="00180725"/>
    <w:rsid w:val="001807EB"/>
    <w:rsid w:val="00180937"/>
    <w:rsid w:val="00180A63"/>
    <w:rsid w:val="00180CCD"/>
    <w:rsid w:val="00181420"/>
    <w:rsid w:val="0018146D"/>
    <w:rsid w:val="001815FF"/>
    <w:rsid w:val="00181925"/>
    <w:rsid w:val="00181B3A"/>
    <w:rsid w:val="00181D07"/>
    <w:rsid w:val="0018219B"/>
    <w:rsid w:val="001821CF"/>
    <w:rsid w:val="00182503"/>
    <w:rsid w:val="0018250D"/>
    <w:rsid w:val="00183455"/>
    <w:rsid w:val="001839D2"/>
    <w:rsid w:val="00183A26"/>
    <w:rsid w:val="00183E38"/>
    <w:rsid w:val="00183FAD"/>
    <w:rsid w:val="001841CD"/>
    <w:rsid w:val="00184335"/>
    <w:rsid w:val="0018463B"/>
    <w:rsid w:val="0018519A"/>
    <w:rsid w:val="00185204"/>
    <w:rsid w:val="00185B7B"/>
    <w:rsid w:val="00186012"/>
    <w:rsid w:val="00186A68"/>
    <w:rsid w:val="00186AAA"/>
    <w:rsid w:val="00186F3E"/>
    <w:rsid w:val="0018757E"/>
    <w:rsid w:val="001875DB"/>
    <w:rsid w:val="00187983"/>
    <w:rsid w:val="00190026"/>
    <w:rsid w:val="0019009E"/>
    <w:rsid w:val="001900C1"/>
    <w:rsid w:val="001901B1"/>
    <w:rsid w:val="00190B18"/>
    <w:rsid w:val="00191093"/>
    <w:rsid w:val="001911EA"/>
    <w:rsid w:val="001913E8"/>
    <w:rsid w:val="00191416"/>
    <w:rsid w:val="00191CD9"/>
    <w:rsid w:val="00191E27"/>
    <w:rsid w:val="00191F21"/>
    <w:rsid w:val="001926BA"/>
    <w:rsid w:val="00192983"/>
    <w:rsid w:val="001929B3"/>
    <w:rsid w:val="00192A0C"/>
    <w:rsid w:val="00192BC4"/>
    <w:rsid w:val="00192CE9"/>
    <w:rsid w:val="00193109"/>
    <w:rsid w:val="001937FF"/>
    <w:rsid w:val="00193982"/>
    <w:rsid w:val="001939A6"/>
    <w:rsid w:val="00193A70"/>
    <w:rsid w:val="00193C18"/>
    <w:rsid w:val="00193D35"/>
    <w:rsid w:val="001941A5"/>
    <w:rsid w:val="001941C8"/>
    <w:rsid w:val="001941E1"/>
    <w:rsid w:val="001942A4"/>
    <w:rsid w:val="00194585"/>
    <w:rsid w:val="0019464E"/>
    <w:rsid w:val="0019474C"/>
    <w:rsid w:val="00194AC0"/>
    <w:rsid w:val="00194B41"/>
    <w:rsid w:val="0019566F"/>
    <w:rsid w:val="00195B0E"/>
    <w:rsid w:val="00195DFE"/>
    <w:rsid w:val="00195F83"/>
    <w:rsid w:val="00196418"/>
    <w:rsid w:val="0019646C"/>
    <w:rsid w:val="0019653C"/>
    <w:rsid w:val="001973E1"/>
    <w:rsid w:val="00197E05"/>
    <w:rsid w:val="00197FD0"/>
    <w:rsid w:val="001A007E"/>
    <w:rsid w:val="001A026B"/>
    <w:rsid w:val="001A069E"/>
    <w:rsid w:val="001A0A6F"/>
    <w:rsid w:val="001A0CA0"/>
    <w:rsid w:val="001A0D72"/>
    <w:rsid w:val="001A0E20"/>
    <w:rsid w:val="001A162D"/>
    <w:rsid w:val="001A1983"/>
    <w:rsid w:val="001A1AC1"/>
    <w:rsid w:val="001A1AFD"/>
    <w:rsid w:val="001A1C0A"/>
    <w:rsid w:val="001A1CBC"/>
    <w:rsid w:val="001A1DD7"/>
    <w:rsid w:val="001A215E"/>
    <w:rsid w:val="001A25F9"/>
    <w:rsid w:val="001A29C6"/>
    <w:rsid w:val="001A329E"/>
    <w:rsid w:val="001A389C"/>
    <w:rsid w:val="001A39D4"/>
    <w:rsid w:val="001A3A28"/>
    <w:rsid w:val="001A3ADA"/>
    <w:rsid w:val="001A3B6D"/>
    <w:rsid w:val="001A3C20"/>
    <w:rsid w:val="001A4196"/>
    <w:rsid w:val="001A41BC"/>
    <w:rsid w:val="001A42D6"/>
    <w:rsid w:val="001A4584"/>
    <w:rsid w:val="001A4CFC"/>
    <w:rsid w:val="001A5279"/>
    <w:rsid w:val="001A567E"/>
    <w:rsid w:val="001A5AEF"/>
    <w:rsid w:val="001A5B91"/>
    <w:rsid w:val="001A5CF4"/>
    <w:rsid w:val="001A5E37"/>
    <w:rsid w:val="001A6368"/>
    <w:rsid w:val="001A64F5"/>
    <w:rsid w:val="001A68D2"/>
    <w:rsid w:val="001A69CD"/>
    <w:rsid w:val="001A6B45"/>
    <w:rsid w:val="001A6CCB"/>
    <w:rsid w:val="001A6D67"/>
    <w:rsid w:val="001A7295"/>
    <w:rsid w:val="001A783D"/>
    <w:rsid w:val="001B00B5"/>
    <w:rsid w:val="001B01A4"/>
    <w:rsid w:val="001B02AE"/>
    <w:rsid w:val="001B03A9"/>
    <w:rsid w:val="001B043A"/>
    <w:rsid w:val="001B045E"/>
    <w:rsid w:val="001B055B"/>
    <w:rsid w:val="001B103C"/>
    <w:rsid w:val="001B14BD"/>
    <w:rsid w:val="001B18D2"/>
    <w:rsid w:val="001B1A5D"/>
    <w:rsid w:val="001B1B99"/>
    <w:rsid w:val="001B1E5D"/>
    <w:rsid w:val="001B2049"/>
    <w:rsid w:val="001B2219"/>
    <w:rsid w:val="001B2224"/>
    <w:rsid w:val="001B2300"/>
    <w:rsid w:val="001B2950"/>
    <w:rsid w:val="001B29E5"/>
    <w:rsid w:val="001B2DB2"/>
    <w:rsid w:val="001B30D5"/>
    <w:rsid w:val="001B32C2"/>
    <w:rsid w:val="001B33E8"/>
    <w:rsid w:val="001B3B0A"/>
    <w:rsid w:val="001B3FC8"/>
    <w:rsid w:val="001B4100"/>
    <w:rsid w:val="001B4242"/>
    <w:rsid w:val="001B4414"/>
    <w:rsid w:val="001B4565"/>
    <w:rsid w:val="001B4618"/>
    <w:rsid w:val="001B49BD"/>
    <w:rsid w:val="001B4A36"/>
    <w:rsid w:val="001B51C2"/>
    <w:rsid w:val="001B51EA"/>
    <w:rsid w:val="001B51FF"/>
    <w:rsid w:val="001B5246"/>
    <w:rsid w:val="001B57A0"/>
    <w:rsid w:val="001B5AAE"/>
    <w:rsid w:val="001B5BFA"/>
    <w:rsid w:val="001B6188"/>
    <w:rsid w:val="001B65BE"/>
    <w:rsid w:val="001B66F1"/>
    <w:rsid w:val="001B6739"/>
    <w:rsid w:val="001B7347"/>
    <w:rsid w:val="001B7352"/>
    <w:rsid w:val="001B7682"/>
    <w:rsid w:val="001B78D3"/>
    <w:rsid w:val="001B7980"/>
    <w:rsid w:val="001B7CC2"/>
    <w:rsid w:val="001B7EF2"/>
    <w:rsid w:val="001C0016"/>
    <w:rsid w:val="001C060D"/>
    <w:rsid w:val="001C0692"/>
    <w:rsid w:val="001C0A26"/>
    <w:rsid w:val="001C1ACC"/>
    <w:rsid w:val="001C1C08"/>
    <w:rsid w:val="001C1FB0"/>
    <w:rsid w:val="001C2274"/>
    <w:rsid w:val="001C2443"/>
    <w:rsid w:val="001C24E1"/>
    <w:rsid w:val="001C2514"/>
    <w:rsid w:val="001C2A27"/>
    <w:rsid w:val="001C327C"/>
    <w:rsid w:val="001C386F"/>
    <w:rsid w:val="001C38BE"/>
    <w:rsid w:val="001C3A3C"/>
    <w:rsid w:val="001C3D02"/>
    <w:rsid w:val="001C40FF"/>
    <w:rsid w:val="001C4EDB"/>
    <w:rsid w:val="001C5109"/>
    <w:rsid w:val="001C516A"/>
    <w:rsid w:val="001C56AB"/>
    <w:rsid w:val="001C5ED7"/>
    <w:rsid w:val="001C641A"/>
    <w:rsid w:val="001C6787"/>
    <w:rsid w:val="001C67AF"/>
    <w:rsid w:val="001C6C49"/>
    <w:rsid w:val="001C6F5E"/>
    <w:rsid w:val="001C713C"/>
    <w:rsid w:val="001C71E8"/>
    <w:rsid w:val="001C7405"/>
    <w:rsid w:val="001C7409"/>
    <w:rsid w:val="001C7870"/>
    <w:rsid w:val="001C794F"/>
    <w:rsid w:val="001C7B1B"/>
    <w:rsid w:val="001D002C"/>
    <w:rsid w:val="001D0232"/>
    <w:rsid w:val="001D0411"/>
    <w:rsid w:val="001D0565"/>
    <w:rsid w:val="001D059C"/>
    <w:rsid w:val="001D05AF"/>
    <w:rsid w:val="001D067D"/>
    <w:rsid w:val="001D0764"/>
    <w:rsid w:val="001D07E4"/>
    <w:rsid w:val="001D1047"/>
    <w:rsid w:val="001D145C"/>
    <w:rsid w:val="001D1537"/>
    <w:rsid w:val="001D15F0"/>
    <w:rsid w:val="001D179C"/>
    <w:rsid w:val="001D19EF"/>
    <w:rsid w:val="001D1A01"/>
    <w:rsid w:val="001D1A80"/>
    <w:rsid w:val="001D1B65"/>
    <w:rsid w:val="001D1B8D"/>
    <w:rsid w:val="001D1BF2"/>
    <w:rsid w:val="001D1D75"/>
    <w:rsid w:val="001D1FF5"/>
    <w:rsid w:val="001D203F"/>
    <w:rsid w:val="001D21FD"/>
    <w:rsid w:val="001D2408"/>
    <w:rsid w:val="001D243F"/>
    <w:rsid w:val="001D2DB1"/>
    <w:rsid w:val="001D2F5F"/>
    <w:rsid w:val="001D3042"/>
    <w:rsid w:val="001D326C"/>
    <w:rsid w:val="001D34BB"/>
    <w:rsid w:val="001D356A"/>
    <w:rsid w:val="001D35BE"/>
    <w:rsid w:val="001D36FB"/>
    <w:rsid w:val="001D398B"/>
    <w:rsid w:val="001D3A0F"/>
    <w:rsid w:val="001D3A4A"/>
    <w:rsid w:val="001D3AB9"/>
    <w:rsid w:val="001D3C16"/>
    <w:rsid w:val="001D3CB5"/>
    <w:rsid w:val="001D3D05"/>
    <w:rsid w:val="001D3D52"/>
    <w:rsid w:val="001D40BC"/>
    <w:rsid w:val="001D4280"/>
    <w:rsid w:val="001D4543"/>
    <w:rsid w:val="001D47AC"/>
    <w:rsid w:val="001D4A54"/>
    <w:rsid w:val="001D4A9D"/>
    <w:rsid w:val="001D4C2A"/>
    <w:rsid w:val="001D4D22"/>
    <w:rsid w:val="001D5654"/>
    <w:rsid w:val="001D586D"/>
    <w:rsid w:val="001D5875"/>
    <w:rsid w:val="001D5A9F"/>
    <w:rsid w:val="001D5D2C"/>
    <w:rsid w:val="001D63B4"/>
    <w:rsid w:val="001D640F"/>
    <w:rsid w:val="001D68C0"/>
    <w:rsid w:val="001D6BCF"/>
    <w:rsid w:val="001D6CA8"/>
    <w:rsid w:val="001D74EE"/>
    <w:rsid w:val="001D75D1"/>
    <w:rsid w:val="001D7785"/>
    <w:rsid w:val="001D7C3B"/>
    <w:rsid w:val="001E01C4"/>
    <w:rsid w:val="001E064C"/>
    <w:rsid w:val="001E0848"/>
    <w:rsid w:val="001E0BFE"/>
    <w:rsid w:val="001E1327"/>
    <w:rsid w:val="001E1472"/>
    <w:rsid w:val="001E15E7"/>
    <w:rsid w:val="001E1847"/>
    <w:rsid w:val="001E1A78"/>
    <w:rsid w:val="001E1E91"/>
    <w:rsid w:val="001E24AD"/>
    <w:rsid w:val="001E25E1"/>
    <w:rsid w:val="001E2837"/>
    <w:rsid w:val="001E2D68"/>
    <w:rsid w:val="001E2FFD"/>
    <w:rsid w:val="001E30A3"/>
    <w:rsid w:val="001E3200"/>
    <w:rsid w:val="001E326F"/>
    <w:rsid w:val="001E33C0"/>
    <w:rsid w:val="001E37B2"/>
    <w:rsid w:val="001E3946"/>
    <w:rsid w:val="001E3A44"/>
    <w:rsid w:val="001E3FD3"/>
    <w:rsid w:val="001E4181"/>
    <w:rsid w:val="001E461B"/>
    <w:rsid w:val="001E470A"/>
    <w:rsid w:val="001E4735"/>
    <w:rsid w:val="001E49D0"/>
    <w:rsid w:val="001E55BC"/>
    <w:rsid w:val="001E5AE6"/>
    <w:rsid w:val="001E5B59"/>
    <w:rsid w:val="001E5CB5"/>
    <w:rsid w:val="001E61DD"/>
    <w:rsid w:val="001E6588"/>
    <w:rsid w:val="001E6690"/>
    <w:rsid w:val="001E6A54"/>
    <w:rsid w:val="001E6CFF"/>
    <w:rsid w:val="001E6D4F"/>
    <w:rsid w:val="001E6E86"/>
    <w:rsid w:val="001E6EB4"/>
    <w:rsid w:val="001E6EBF"/>
    <w:rsid w:val="001E7502"/>
    <w:rsid w:val="001E76EA"/>
    <w:rsid w:val="001E7759"/>
    <w:rsid w:val="001E7882"/>
    <w:rsid w:val="001E7C83"/>
    <w:rsid w:val="001F005A"/>
    <w:rsid w:val="001F01BD"/>
    <w:rsid w:val="001F0206"/>
    <w:rsid w:val="001F03A1"/>
    <w:rsid w:val="001F09A7"/>
    <w:rsid w:val="001F14A4"/>
    <w:rsid w:val="001F1527"/>
    <w:rsid w:val="001F1603"/>
    <w:rsid w:val="001F168C"/>
    <w:rsid w:val="001F1935"/>
    <w:rsid w:val="001F1BBE"/>
    <w:rsid w:val="001F1C6B"/>
    <w:rsid w:val="001F20B4"/>
    <w:rsid w:val="001F2690"/>
    <w:rsid w:val="001F286B"/>
    <w:rsid w:val="001F29A6"/>
    <w:rsid w:val="001F2ADC"/>
    <w:rsid w:val="001F2D80"/>
    <w:rsid w:val="001F300A"/>
    <w:rsid w:val="001F315F"/>
    <w:rsid w:val="001F38B6"/>
    <w:rsid w:val="001F3B37"/>
    <w:rsid w:val="001F3BCE"/>
    <w:rsid w:val="001F3C2C"/>
    <w:rsid w:val="001F3FC2"/>
    <w:rsid w:val="001F431F"/>
    <w:rsid w:val="001F438B"/>
    <w:rsid w:val="001F4395"/>
    <w:rsid w:val="001F4608"/>
    <w:rsid w:val="001F46A6"/>
    <w:rsid w:val="001F46E4"/>
    <w:rsid w:val="001F47A1"/>
    <w:rsid w:val="001F48E8"/>
    <w:rsid w:val="001F4C23"/>
    <w:rsid w:val="001F4D84"/>
    <w:rsid w:val="001F504E"/>
    <w:rsid w:val="001F5062"/>
    <w:rsid w:val="001F55D5"/>
    <w:rsid w:val="001F5793"/>
    <w:rsid w:val="001F5843"/>
    <w:rsid w:val="001F5C29"/>
    <w:rsid w:val="001F5D15"/>
    <w:rsid w:val="001F61D0"/>
    <w:rsid w:val="001F61EA"/>
    <w:rsid w:val="001F64D0"/>
    <w:rsid w:val="001F674E"/>
    <w:rsid w:val="001F6A55"/>
    <w:rsid w:val="001F71E5"/>
    <w:rsid w:val="001F727D"/>
    <w:rsid w:val="001F766A"/>
    <w:rsid w:val="001F7824"/>
    <w:rsid w:val="001F793C"/>
    <w:rsid w:val="001F7A1B"/>
    <w:rsid w:val="00200CF9"/>
    <w:rsid w:val="00200EEE"/>
    <w:rsid w:val="00201367"/>
    <w:rsid w:val="00201810"/>
    <w:rsid w:val="0020197F"/>
    <w:rsid w:val="00202520"/>
    <w:rsid w:val="0020271F"/>
    <w:rsid w:val="0020278F"/>
    <w:rsid w:val="00202A43"/>
    <w:rsid w:val="00202CA7"/>
    <w:rsid w:val="00203324"/>
    <w:rsid w:val="002034AA"/>
    <w:rsid w:val="00203866"/>
    <w:rsid w:val="00203A9F"/>
    <w:rsid w:val="00203C6F"/>
    <w:rsid w:val="00203DB0"/>
    <w:rsid w:val="00203F0B"/>
    <w:rsid w:val="00203F23"/>
    <w:rsid w:val="00204320"/>
    <w:rsid w:val="0020444A"/>
    <w:rsid w:val="00204544"/>
    <w:rsid w:val="00204964"/>
    <w:rsid w:val="00204974"/>
    <w:rsid w:val="00204B17"/>
    <w:rsid w:val="00204E6A"/>
    <w:rsid w:val="00204FFC"/>
    <w:rsid w:val="00205274"/>
    <w:rsid w:val="00205281"/>
    <w:rsid w:val="0020529E"/>
    <w:rsid w:val="002056D1"/>
    <w:rsid w:val="0020598C"/>
    <w:rsid w:val="00206027"/>
    <w:rsid w:val="002065B7"/>
    <w:rsid w:val="00206F06"/>
    <w:rsid w:val="00206F77"/>
    <w:rsid w:val="0020753D"/>
    <w:rsid w:val="002076AA"/>
    <w:rsid w:val="002076C0"/>
    <w:rsid w:val="002077A3"/>
    <w:rsid w:val="00207C00"/>
    <w:rsid w:val="00207D67"/>
    <w:rsid w:val="00207EEA"/>
    <w:rsid w:val="002102D8"/>
    <w:rsid w:val="00210360"/>
    <w:rsid w:val="0021036B"/>
    <w:rsid w:val="00210CD7"/>
    <w:rsid w:val="00210DCC"/>
    <w:rsid w:val="00210E0A"/>
    <w:rsid w:val="00210FAF"/>
    <w:rsid w:val="0021109B"/>
    <w:rsid w:val="0021113E"/>
    <w:rsid w:val="00211253"/>
    <w:rsid w:val="00211871"/>
    <w:rsid w:val="002119EF"/>
    <w:rsid w:val="00211CE0"/>
    <w:rsid w:val="00211EAC"/>
    <w:rsid w:val="002123DB"/>
    <w:rsid w:val="0021269B"/>
    <w:rsid w:val="00212B77"/>
    <w:rsid w:val="00212B98"/>
    <w:rsid w:val="002133F6"/>
    <w:rsid w:val="002139FE"/>
    <w:rsid w:val="00213B28"/>
    <w:rsid w:val="00213C5A"/>
    <w:rsid w:val="00213F74"/>
    <w:rsid w:val="00213F9C"/>
    <w:rsid w:val="00214154"/>
    <w:rsid w:val="002143D0"/>
    <w:rsid w:val="00214452"/>
    <w:rsid w:val="00214569"/>
    <w:rsid w:val="00214629"/>
    <w:rsid w:val="002146E0"/>
    <w:rsid w:val="0021480D"/>
    <w:rsid w:val="00214864"/>
    <w:rsid w:val="002149FA"/>
    <w:rsid w:val="00214E35"/>
    <w:rsid w:val="0021522B"/>
    <w:rsid w:val="0021529B"/>
    <w:rsid w:val="00215352"/>
    <w:rsid w:val="00215679"/>
    <w:rsid w:val="0021582B"/>
    <w:rsid w:val="00215A02"/>
    <w:rsid w:val="00215A61"/>
    <w:rsid w:val="00215B24"/>
    <w:rsid w:val="00215CF0"/>
    <w:rsid w:val="00215EDA"/>
    <w:rsid w:val="00217368"/>
    <w:rsid w:val="002173A2"/>
    <w:rsid w:val="002173CC"/>
    <w:rsid w:val="00217ABA"/>
    <w:rsid w:val="00217D70"/>
    <w:rsid w:val="00220164"/>
    <w:rsid w:val="002201E0"/>
    <w:rsid w:val="002202F6"/>
    <w:rsid w:val="002203D2"/>
    <w:rsid w:val="002204D8"/>
    <w:rsid w:val="00220A2C"/>
    <w:rsid w:val="00220A98"/>
    <w:rsid w:val="00220B25"/>
    <w:rsid w:val="00220E17"/>
    <w:rsid w:val="00220FB8"/>
    <w:rsid w:val="0022112B"/>
    <w:rsid w:val="002211A0"/>
    <w:rsid w:val="00221695"/>
    <w:rsid w:val="00221764"/>
    <w:rsid w:val="00221783"/>
    <w:rsid w:val="00221B6E"/>
    <w:rsid w:val="00221E3B"/>
    <w:rsid w:val="002220F4"/>
    <w:rsid w:val="002223B8"/>
    <w:rsid w:val="00222A39"/>
    <w:rsid w:val="00222B39"/>
    <w:rsid w:val="00222E17"/>
    <w:rsid w:val="00223069"/>
    <w:rsid w:val="0022329B"/>
    <w:rsid w:val="00223779"/>
    <w:rsid w:val="002238EA"/>
    <w:rsid w:val="00223EE7"/>
    <w:rsid w:val="00224C3D"/>
    <w:rsid w:val="00224D28"/>
    <w:rsid w:val="00225177"/>
    <w:rsid w:val="002251FF"/>
    <w:rsid w:val="002254CC"/>
    <w:rsid w:val="002254EC"/>
    <w:rsid w:val="00225985"/>
    <w:rsid w:val="00225BBD"/>
    <w:rsid w:val="00225CEE"/>
    <w:rsid w:val="00225E07"/>
    <w:rsid w:val="0022657A"/>
    <w:rsid w:val="0022660D"/>
    <w:rsid w:val="00226B69"/>
    <w:rsid w:val="00226C4B"/>
    <w:rsid w:val="002271A4"/>
    <w:rsid w:val="00227EDD"/>
    <w:rsid w:val="00227FFC"/>
    <w:rsid w:val="0023013F"/>
    <w:rsid w:val="0023026B"/>
    <w:rsid w:val="00230D5E"/>
    <w:rsid w:val="00231201"/>
    <w:rsid w:val="00231547"/>
    <w:rsid w:val="00231736"/>
    <w:rsid w:val="00231D2F"/>
    <w:rsid w:val="002320E3"/>
    <w:rsid w:val="0023299F"/>
    <w:rsid w:val="00232B72"/>
    <w:rsid w:val="00232BA1"/>
    <w:rsid w:val="00232C4A"/>
    <w:rsid w:val="00232D1D"/>
    <w:rsid w:val="00232D4E"/>
    <w:rsid w:val="00232DBB"/>
    <w:rsid w:val="00232FDD"/>
    <w:rsid w:val="00233274"/>
    <w:rsid w:val="002332B3"/>
    <w:rsid w:val="002334FA"/>
    <w:rsid w:val="002335C3"/>
    <w:rsid w:val="00233832"/>
    <w:rsid w:val="00233D55"/>
    <w:rsid w:val="00233DD0"/>
    <w:rsid w:val="00233E65"/>
    <w:rsid w:val="0023405C"/>
    <w:rsid w:val="0023427D"/>
    <w:rsid w:val="002343C1"/>
    <w:rsid w:val="002344FB"/>
    <w:rsid w:val="00234549"/>
    <w:rsid w:val="0023462D"/>
    <w:rsid w:val="002346E1"/>
    <w:rsid w:val="002348D7"/>
    <w:rsid w:val="00234BE5"/>
    <w:rsid w:val="00235157"/>
    <w:rsid w:val="00235181"/>
    <w:rsid w:val="00235729"/>
    <w:rsid w:val="00235E2A"/>
    <w:rsid w:val="00235F07"/>
    <w:rsid w:val="00236425"/>
    <w:rsid w:val="002364EC"/>
    <w:rsid w:val="002364F4"/>
    <w:rsid w:val="00236738"/>
    <w:rsid w:val="00236757"/>
    <w:rsid w:val="00236973"/>
    <w:rsid w:val="00236D9C"/>
    <w:rsid w:val="00236F48"/>
    <w:rsid w:val="00237316"/>
    <w:rsid w:val="002376BA"/>
    <w:rsid w:val="0023774C"/>
    <w:rsid w:val="0023783A"/>
    <w:rsid w:val="00237967"/>
    <w:rsid w:val="002400F1"/>
    <w:rsid w:val="00240237"/>
    <w:rsid w:val="00240766"/>
    <w:rsid w:val="0024099F"/>
    <w:rsid w:val="00240A68"/>
    <w:rsid w:val="00240ABC"/>
    <w:rsid w:val="00240B57"/>
    <w:rsid w:val="00240D52"/>
    <w:rsid w:val="00240F56"/>
    <w:rsid w:val="002414DE"/>
    <w:rsid w:val="002415D9"/>
    <w:rsid w:val="00241D34"/>
    <w:rsid w:val="00241ECC"/>
    <w:rsid w:val="0024202F"/>
    <w:rsid w:val="00242257"/>
    <w:rsid w:val="00242304"/>
    <w:rsid w:val="002425B2"/>
    <w:rsid w:val="002427A6"/>
    <w:rsid w:val="002427EA"/>
    <w:rsid w:val="00242920"/>
    <w:rsid w:val="00242A6D"/>
    <w:rsid w:val="00242A90"/>
    <w:rsid w:val="00242AB0"/>
    <w:rsid w:val="00242BCF"/>
    <w:rsid w:val="00243041"/>
    <w:rsid w:val="00243217"/>
    <w:rsid w:val="0024332C"/>
    <w:rsid w:val="00243A6E"/>
    <w:rsid w:val="00243F15"/>
    <w:rsid w:val="0024417A"/>
    <w:rsid w:val="002443EF"/>
    <w:rsid w:val="0024449D"/>
    <w:rsid w:val="002444B8"/>
    <w:rsid w:val="00244C7D"/>
    <w:rsid w:val="00244CA4"/>
    <w:rsid w:val="00244CBD"/>
    <w:rsid w:val="00244DD6"/>
    <w:rsid w:val="00244F96"/>
    <w:rsid w:val="00245405"/>
    <w:rsid w:val="002455B1"/>
    <w:rsid w:val="002456FE"/>
    <w:rsid w:val="0024597B"/>
    <w:rsid w:val="00245C07"/>
    <w:rsid w:val="00245DDE"/>
    <w:rsid w:val="00245FEB"/>
    <w:rsid w:val="00246242"/>
    <w:rsid w:val="00246274"/>
    <w:rsid w:val="00246BC2"/>
    <w:rsid w:val="00246E0B"/>
    <w:rsid w:val="00246F0A"/>
    <w:rsid w:val="002475B0"/>
    <w:rsid w:val="00247785"/>
    <w:rsid w:val="0024795A"/>
    <w:rsid w:val="00247B53"/>
    <w:rsid w:val="00247BA9"/>
    <w:rsid w:val="00247C37"/>
    <w:rsid w:val="00247C53"/>
    <w:rsid w:val="00250948"/>
    <w:rsid w:val="002509E9"/>
    <w:rsid w:val="00250B03"/>
    <w:rsid w:val="00250F69"/>
    <w:rsid w:val="00251066"/>
    <w:rsid w:val="002518EB"/>
    <w:rsid w:val="002519D0"/>
    <w:rsid w:val="00251AC2"/>
    <w:rsid w:val="00251AFD"/>
    <w:rsid w:val="00251D22"/>
    <w:rsid w:val="00251F2E"/>
    <w:rsid w:val="00251F6A"/>
    <w:rsid w:val="002524FE"/>
    <w:rsid w:val="0025273F"/>
    <w:rsid w:val="0025296E"/>
    <w:rsid w:val="00252A8C"/>
    <w:rsid w:val="00252B7F"/>
    <w:rsid w:val="00252BBA"/>
    <w:rsid w:val="00252DD6"/>
    <w:rsid w:val="00252EF9"/>
    <w:rsid w:val="0025334A"/>
    <w:rsid w:val="0025340B"/>
    <w:rsid w:val="002534B6"/>
    <w:rsid w:val="002536F5"/>
    <w:rsid w:val="002538E3"/>
    <w:rsid w:val="0025475C"/>
    <w:rsid w:val="00254C2D"/>
    <w:rsid w:val="00255181"/>
    <w:rsid w:val="0025530F"/>
    <w:rsid w:val="002558D5"/>
    <w:rsid w:val="00255912"/>
    <w:rsid w:val="00255D8F"/>
    <w:rsid w:val="00255F4E"/>
    <w:rsid w:val="0025620F"/>
    <w:rsid w:val="00256A6A"/>
    <w:rsid w:val="00256D83"/>
    <w:rsid w:val="0025717D"/>
    <w:rsid w:val="0025722D"/>
    <w:rsid w:val="0025771D"/>
    <w:rsid w:val="00257B59"/>
    <w:rsid w:val="00257C31"/>
    <w:rsid w:val="00257CA8"/>
    <w:rsid w:val="00257E67"/>
    <w:rsid w:val="0026003C"/>
    <w:rsid w:val="0026018C"/>
    <w:rsid w:val="0026145F"/>
    <w:rsid w:val="0026146B"/>
    <w:rsid w:val="00261565"/>
    <w:rsid w:val="0026192C"/>
    <w:rsid w:val="00261CFD"/>
    <w:rsid w:val="00261DBA"/>
    <w:rsid w:val="00261DBC"/>
    <w:rsid w:val="00261F1E"/>
    <w:rsid w:val="0026207C"/>
    <w:rsid w:val="0026219E"/>
    <w:rsid w:val="00262487"/>
    <w:rsid w:val="002625B1"/>
    <w:rsid w:val="00262607"/>
    <w:rsid w:val="00262715"/>
    <w:rsid w:val="00262B06"/>
    <w:rsid w:val="00263024"/>
    <w:rsid w:val="00263098"/>
    <w:rsid w:val="002631EC"/>
    <w:rsid w:val="00263334"/>
    <w:rsid w:val="002633D9"/>
    <w:rsid w:val="00263729"/>
    <w:rsid w:val="00263B8E"/>
    <w:rsid w:val="00263D11"/>
    <w:rsid w:val="0026453A"/>
    <w:rsid w:val="00264993"/>
    <w:rsid w:val="00264A2C"/>
    <w:rsid w:val="00264AAF"/>
    <w:rsid w:val="00265433"/>
    <w:rsid w:val="00265C43"/>
    <w:rsid w:val="00266121"/>
    <w:rsid w:val="002661DD"/>
    <w:rsid w:val="0026633C"/>
    <w:rsid w:val="00266887"/>
    <w:rsid w:val="00266BB8"/>
    <w:rsid w:val="00266BC6"/>
    <w:rsid w:val="00267128"/>
    <w:rsid w:val="002672F8"/>
    <w:rsid w:val="00267BB9"/>
    <w:rsid w:val="00267C89"/>
    <w:rsid w:val="002703E9"/>
    <w:rsid w:val="00270A4F"/>
    <w:rsid w:val="00270B08"/>
    <w:rsid w:val="00270E0B"/>
    <w:rsid w:val="0027172C"/>
    <w:rsid w:val="00271CE1"/>
    <w:rsid w:val="00271E59"/>
    <w:rsid w:val="00272581"/>
    <w:rsid w:val="00272755"/>
    <w:rsid w:val="00272E8F"/>
    <w:rsid w:val="002732B0"/>
    <w:rsid w:val="00273360"/>
    <w:rsid w:val="002733F0"/>
    <w:rsid w:val="0027351C"/>
    <w:rsid w:val="00273896"/>
    <w:rsid w:val="00273B8F"/>
    <w:rsid w:val="00273F1F"/>
    <w:rsid w:val="002740AD"/>
    <w:rsid w:val="00274163"/>
    <w:rsid w:val="0027434B"/>
    <w:rsid w:val="0027438D"/>
    <w:rsid w:val="002749F3"/>
    <w:rsid w:val="002750F2"/>
    <w:rsid w:val="00275162"/>
    <w:rsid w:val="002752B3"/>
    <w:rsid w:val="002754B2"/>
    <w:rsid w:val="0027580B"/>
    <w:rsid w:val="00275859"/>
    <w:rsid w:val="00275CBC"/>
    <w:rsid w:val="00275CE7"/>
    <w:rsid w:val="00275E79"/>
    <w:rsid w:val="00276179"/>
    <w:rsid w:val="0027676C"/>
    <w:rsid w:val="00276E53"/>
    <w:rsid w:val="002775AE"/>
    <w:rsid w:val="00277CEE"/>
    <w:rsid w:val="00277D65"/>
    <w:rsid w:val="002800FA"/>
    <w:rsid w:val="002801C2"/>
    <w:rsid w:val="0028061C"/>
    <w:rsid w:val="00280678"/>
    <w:rsid w:val="00280E73"/>
    <w:rsid w:val="00281004"/>
    <w:rsid w:val="00281226"/>
    <w:rsid w:val="002815D1"/>
    <w:rsid w:val="00281780"/>
    <w:rsid w:val="0028213A"/>
    <w:rsid w:val="0028253F"/>
    <w:rsid w:val="0028256B"/>
    <w:rsid w:val="00282989"/>
    <w:rsid w:val="00282AB2"/>
    <w:rsid w:val="00283072"/>
    <w:rsid w:val="00283084"/>
    <w:rsid w:val="0028340D"/>
    <w:rsid w:val="002837C6"/>
    <w:rsid w:val="00283BC7"/>
    <w:rsid w:val="00283C39"/>
    <w:rsid w:val="00283C7A"/>
    <w:rsid w:val="00283F20"/>
    <w:rsid w:val="002841AA"/>
    <w:rsid w:val="002845C8"/>
    <w:rsid w:val="00284648"/>
    <w:rsid w:val="00284CAF"/>
    <w:rsid w:val="00284FFB"/>
    <w:rsid w:val="0028522B"/>
    <w:rsid w:val="002854D8"/>
    <w:rsid w:val="002855C1"/>
    <w:rsid w:val="002856DA"/>
    <w:rsid w:val="002856EF"/>
    <w:rsid w:val="002856FA"/>
    <w:rsid w:val="0028571F"/>
    <w:rsid w:val="0028580C"/>
    <w:rsid w:val="002858D5"/>
    <w:rsid w:val="00285917"/>
    <w:rsid w:val="0028599B"/>
    <w:rsid w:val="00285A87"/>
    <w:rsid w:val="00285E46"/>
    <w:rsid w:val="00285EAD"/>
    <w:rsid w:val="00285EF9"/>
    <w:rsid w:val="00286147"/>
    <w:rsid w:val="002869F3"/>
    <w:rsid w:val="00286AD1"/>
    <w:rsid w:val="00286FBE"/>
    <w:rsid w:val="00286FE0"/>
    <w:rsid w:val="002871A4"/>
    <w:rsid w:val="002878CF"/>
    <w:rsid w:val="0028791B"/>
    <w:rsid w:val="00287A95"/>
    <w:rsid w:val="00287CB7"/>
    <w:rsid w:val="00287FEB"/>
    <w:rsid w:val="002906D8"/>
    <w:rsid w:val="00290A15"/>
    <w:rsid w:val="00290C80"/>
    <w:rsid w:val="002910DF"/>
    <w:rsid w:val="00291496"/>
    <w:rsid w:val="0029155A"/>
    <w:rsid w:val="00291611"/>
    <w:rsid w:val="00291868"/>
    <w:rsid w:val="002922C6"/>
    <w:rsid w:val="00292497"/>
    <w:rsid w:val="0029261E"/>
    <w:rsid w:val="00292A1A"/>
    <w:rsid w:val="00292C7C"/>
    <w:rsid w:val="00292F0F"/>
    <w:rsid w:val="00292FE8"/>
    <w:rsid w:val="0029326B"/>
    <w:rsid w:val="002935B2"/>
    <w:rsid w:val="00293A34"/>
    <w:rsid w:val="00293CD3"/>
    <w:rsid w:val="00293DB5"/>
    <w:rsid w:val="00293E22"/>
    <w:rsid w:val="00293EA4"/>
    <w:rsid w:val="00294679"/>
    <w:rsid w:val="0029471F"/>
    <w:rsid w:val="002948DD"/>
    <w:rsid w:val="0029498D"/>
    <w:rsid w:val="00294A7F"/>
    <w:rsid w:val="00295766"/>
    <w:rsid w:val="00295BCB"/>
    <w:rsid w:val="00295E46"/>
    <w:rsid w:val="0029604B"/>
    <w:rsid w:val="002963F5"/>
    <w:rsid w:val="002964BF"/>
    <w:rsid w:val="002966F7"/>
    <w:rsid w:val="00296832"/>
    <w:rsid w:val="00296A61"/>
    <w:rsid w:val="00296F95"/>
    <w:rsid w:val="0029714D"/>
    <w:rsid w:val="002971D3"/>
    <w:rsid w:val="00297308"/>
    <w:rsid w:val="002976D8"/>
    <w:rsid w:val="00297CD2"/>
    <w:rsid w:val="002A046F"/>
    <w:rsid w:val="002A0473"/>
    <w:rsid w:val="002A0A10"/>
    <w:rsid w:val="002A0AAE"/>
    <w:rsid w:val="002A0AE2"/>
    <w:rsid w:val="002A0C6F"/>
    <w:rsid w:val="002A100F"/>
    <w:rsid w:val="002A106D"/>
    <w:rsid w:val="002A1187"/>
    <w:rsid w:val="002A15FB"/>
    <w:rsid w:val="002A179A"/>
    <w:rsid w:val="002A1898"/>
    <w:rsid w:val="002A19A5"/>
    <w:rsid w:val="002A2634"/>
    <w:rsid w:val="002A2799"/>
    <w:rsid w:val="002A27D2"/>
    <w:rsid w:val="002A2B94"/>
    <w:rsid w:val="002A2C78"/>
    <w:rsid w:val="002A2F4D"/>
    <w:rsid w:val="002A3154"/>
    <w:rsid w:val="002A3188"/>
    <w:rsid w:val="002A3BC6"/>
    <w:rsid w:val="002A3E8C"/>
    <w:rsid w:val="002A3E9D"/>
    <w:rsid w:val="002A45B2"/>
    <w:rsid w:val="002A4683"/>
    <w:rsid w:val="002A487C"/>
    <w:rsid w:val="002A4A94"/>
    <w:rsid w:val="002A4BB8"/>
    <w:rsid w:val="002A4D8A"/>
    <w:rsid w:val="002A4EEA"/>
    <w:rsid w:val="002A4F20"/>
    <w:rsid w:val="002A513E"/>
    <w:rsid w:val="002A524D"/>
    <w:rsid w:val="002A5338"/>
    <w:rsid w:val="002A5432"/>
    <w:rsid w:val="002A579B"/>
    <w:rsid w:val="002A5C92"/>
    <w:rsid w:val="002A61CD"/>
    <w:rsid w:val="002A624F"/>
    <w:rsid w:val="002A68E5"/>
    <w:rsid w:val="002A6CE1"/>
    <w:rsid w:val="002A73E8"/>
    <w:rsid w:val="002A7D48"/>
    <w:rsid w:val="002A7D66"/>
    <w:rsid w:val="002A7DE1"/>
    <w:rsid w:val="002A7EEC"/>
    <w:rsid w:val="002B024C"/>
    <w:rsid w:val="002B0308"/>
    <w:rsid w:val="002B0399"/>
    <w:rsid w:val="002B05FE"/>
    <w:rsid w:val="002B0614"/>
    <w:rsid w:val="002B0669"/>
    <w:rsid w:val="002B07C7"/>
    <w:rsid w:val="002B0838"/>
    <w:rsid w:val="002B0958"/>
    <w:rsid w:val="002B0C2B"/>
    <w:rsid w:val="002B0D67"/>
    <w:rsid w:val="002B0F7F"/>
    <w:rsid w:val="002B0F9A"/>
    <w:rsid w:val="002B1010"/>
    <w:rsid w:val="002B1234"/>
    <w:rsid w:val="002B13EC"/>
    <w:rsid w:val="002B1678"/>
    <w:rsid w:val="002B1739"/>
    <w:rsid w:val="002B1D10"/>
    <w:rsid w:val="002B1E0B"/>
    <w:rsid w:val="002B289C"/>
    <w:rsid w:val="002B28BD"/>
    <w:rsid w:val="002B2B93"/>
    <w:rsid w:val="002B2CBC"/>
    <w:rsid w:val="002B34D0"/>
    <w:rsid w:val="002B37CE"/>
    <w:rsid w:val="002B432B"/>
    <w:rsid w:val="002B4399"/>
    <w:rsid w:val="002B4529"/>
    <w:rsid w:val="002B478E"/>
    <w:rsid w:val="002B47F5"/>
    <w:rsid w:val="002B480B"/>
    <w:rsid w:val="002B4845"/>
    <w:rsid w:val="002B4C0D"/>
    <w:rsid w:val="002B4CF6"/>
    <w:rsid w:val="002B5144"/>
    <w:rsid w:val="002B5778"/>
    <w:rsid w:val="002B5919"/>
    <w:rsid w:val="002B5E05"/>
    <w:rsid w:val="002B5EA4"/>
    <w:rsid w:val="002B6209"/>
    <w:rsid w:val="002B637A"/>
    <w:rsid w:val="002B66DE"/>
    <w:rsid w:val="002B69BD"/>
    <w:rsid w:val="002B6E1D"/>
    <w:rsid w:val="002B6E7F"/>
    <w:rsid w:val="002B70CD"/>
    <w:rsid w:val="002B79D8"/>
    <w:rsid w:val="002B7FE2"/>
    <w:rsid w:val="002C004F"/>
    <w:rsid w:val="002C04C0"/>
    <w:rsid w:val="002C081B"/>
    <w:rsid w:val="002C085A"/>
    <w:rsid w:val="002C0B41"/>
    <w:rsid w:val="002C0B9A"/>
    <w:rsid w:val="002C0EF4"/>
    <w:rsid w:val="002C141C"/>
    <w:rsid w:val="002C1747"/>
    <w:rsid w:val="002C196D"/>
    <w:rsid w:val="002C1F5D"/>
    <w:rsid w:val="002C218D"/>
    <w:rsid w:val="002C2319"/>
    <w:rsid w:val="002C25A7"/>
    <w:rsid w:val="002C25CC"/>
    <w:rsid w:val="002C2838"/>
    <w:rsid w:val="002C286A"/>
    <w:rsid w:val="002C2AA8"/>
    <w:rsid w:val="002C2CB1"/>
    <w:rsid w:val="002C321B"/>
    <w:rsid w:val="002C333D"/>
    <w:rsid w:val="002C3A3D"/>
    <w:rsid w:val="002C3C90"/>
    <w:rsid w:val="002C3D57"/>
    <w:rsid w:val="002C3E84"/>
    <w:rsid w:val="002C44AB"/>
    <w:rsid w:val="002C4713"/>
    <w:rsid w:val="002C4BD6"/>
    <w:rsid w:val="002C4F8E"/>
    <w:rsid w:val="002C503A"/>
    <w:rsid w:val="002C53AB"/>
    <w:rsid w:val="002C5539"/>
    <w:rsid w:val="002C5713"/>
    <w:rsid w:val="002C593A"/>
    <w:rsid w:val="002C595B"/>
    <w:rsid w:val="002C60AC"/>
    <w:rsid w:val="002C6443"/>
    <w:rsid w:val="002C6E24"/>
    <w:rsid w:val="002C7689"/>
    <w:rsid w:val="002C7898"/>
    <w:rsid w:val="002C7BDA"/>
    <w:rsid w:val="002C7EBC"/>
    <w:rsid w:val="002C7F7D"/>
    <w:rsid w:val="002D0140"/>
    <w:rsid w:val="002D028E"/>
    <w:rsid w:val="002D05B7"/>
    <w:rsid w:val="002D0B2A"/>
    <w:rsid w:val="002D0F3A"/>
    <w:rsid w:val="002D13CA"/>
    <w:rsid w:val="002D17E9"/>
    <w:rsid w:val="002D1AB4"/>
    <w:rsid w:val="002D2056"/>
    <w:rsid w:val="002D2130"/>
    <w:rsid w:val="002D214C"/>
    <w:rsid w:val="002D2676"/>
    <w:rsid w:val="002D26B8"/>
    <w:rsid w:val="002D280C"/>
    <w:rsid w:val="002D2944"/>
    <w:rsid w:val="002D2CBF"/>
    <w:rsid w:val="002D2DD9"/>
    <w:rsid w:val="002D32A8"/>
    <w:rsid w:val="002D3FC8"/>
    <w:rsid w:val="002D483E"/>
    <w:rsid w:val="002D4B84"/>
    <w:rsid w:val="002D4CD8"/>
    <w:rsid w:val="002D4CDD"/>
    <w:rsid w:val="002D4E47"/>
    <w:rsid w:val="002D4FEB"/>
    <w:rsid w:val="002D50EC"/>
    <w:rsid w:val="002D551A"/>
    <w:rsid w:val="002D56AF"/>
    <w:rsid w:val="002D5AB2"/>
    <w:rsid w:val="002D5C5B"/>
    <w:rsid w:val="002D5D9A"/>
    <w:rsid w:val="002D6198"/>
    <w:rsid w:val="002D632B"/>
    <w:rsid w:val="002D6534"/>
    <w:rsid w:val="002D6706"/>
    <w:rsid w:val="002D68F2"/>
    <w:rsid w:val="002D6CF2"/>
    <w:rsid w:val="002D703D"/>
    <w:rsid w:val="002D7AF4"/>
    <w:rsid w:val="002D7CDB"/>
    <w:rsid w:val="002E004B"/>
    <w:rsid w:val="002E05E3"/>
    <w:rsid w:val="002E08D9"/>
    <w:rsid w:val="002E0B32"/>
    <w:rsid w:val="002E0BFF"/>
    <w:rsid w:val="002E1166"/>
    <w:rsid w:val="002E1397"/>
    <w:rsid w:val="002E13C8"/>
    <w:rsid w:val="002E170C"/>
    <w:rsid w:val="002E250E"/>
    <w:rsid w:val="002E2A8F"/>
    <w:rsid w:val="002E2AA7"/>
    <w:rsid w:val="002E2BC1"/>
    <w:rsid w:val="002E2EB6"/>
    <w:rsid w:val="002E2F5F"/>
    <w:rsid w:val="002E3161"/>
    <w:rsid w:val="002E3183"/>
    <w:rsid w:val="002E3B08"/>
    <w:rsid w:val="002E482B"/>
    <w:rsid w:val="002E4ADF"/>
    <w:rsid w:val="002E4DD2"/>
    <w:rsid w:val="002E4F63"/>
    <w:rsid w:val="002E5E5B"/>
    <w:rsid w:val="002E6176"/>
    <w:rsid w:val="002E619F"/>
    <w:rsid w:val="002E6234"/>
    <w:rsid w:val="002E624A"/>
    <w:rsid w:val="002E6324"/>
    <w:rsid w:val="002E64C3"/>
    <w:rsid w:val="002E674A"/>
    <w:rsid w:val="002E686B"/>
    <w:rsid w:val="002E6873"/>
    <w:rsid w:val="002E68AF"/>
    <w:rsid w:val="002E6B16"/>
    <w:rsid w:val="002E706C"/>
    <w:rsid w:val="002E71CD"/>
    <w:rsid w:val="002E72AF"/>
    <w:rsid w:val="002E7951"/>
    <w:rsid w:val="002F0230"/>
    <w:rsid w:val="002F02D8"/>
    <w:rsid w:val="002F039B"/>
    <w:rsid w:val="002F0857"/>
    <w:rsid w:val="002F0BE3"/>
    <w:rsid w:val="002F0DF1"/>
    <w:rsid w:val="002F128D"/>
    <w:rsid w:val="002F16AD"/>
    <w:rsid w:val="002F186D"/>
    <w:rsid w:val="002F1D15"/>
    <w:rsid w:val="002F1DBF"/>
    <w:rsid w:val="002F1E0C"/>
    <w:rsid w:val="002F2408"/>
    <w:rsid w:val="002F2465"/>
    <w:rsid w:val="002F247A"/>
    <w:rsid w:val="002F27C0"/>
    <w:rsid w:val="002F293D"/>
    <w:rsid w:val="002F2BF9"/>
    <w:rsid w:val="002F2C52"/>
    <w:rsid w:val="002F2D1A"/>
    <w:rsid w:val="002F3C23"/>
    <w:rsid w:val="002F3E16"/>
    <w:rsid w:val="002F426B"/>
    <w:rsid w:val="002F4281"/>
    <w:rsid w:val="002F4371"/>
    <w:rsid w:val="002F45A2"/>
    <w:rsid w:val="002F470A"/>
    <w:rsid w:val="002F47FE"/>
    <w:rsid w:val="002F507E"/>
    <w:rsid w:val="002F5906"/>
    <w:rsid w:val="002F5AE3"/>
    <w:rsid w:val="002F5CE1"/>
    <w:rsid w:val="002F5D70"/>
    <w:rsid w:val="002F5DB9"/>
    <w:rsid w:val="002F5E81"/>
    <w:rsid w:val="002F5EFA"/>
    <w:rsid w:val="002F609C"/>
    <w:rsid w:val="002F6155"/>
    <w:rsid w:val="002F6712"/>
    <w:rsid w:val="002F695A"/>
    <w:rsid w:val="002F6C99"/>
    <w:rsid w:val="002F6FB8"/>
    <w:rsid w:val="002F72BE"/>
    <w:rsid w:val="002F7ABC"/>
    <w:rsid w:val="002F7C3D"/>
    <w:rsid w:val="002F7EFB"/>
    <w:rsid w:val="00300348"/>
    <w:rsid w:val="00300586"/>
    <w:rsid w:val="0030077D"/>
    <w:rsid w:val="00300B51"/>
    <w:rsid w:val="00300CCC"/>
    <w:rsid w:val="003010A2"/>
    <w:rsid w:val="003017B6"/>
    <w:rsid w:val="0030194E"/>
    <w:rsid w:val="00301D5C"/>
    <w:rsid w:val="00301EF9"/>
    <w:rsid w:val="0030283B"/>
    <w:rsid w:val="00302B99"/>
    <w:rsid w:val="003043CD"/>
    <w:rsid w:val="00304540"/>
    <w:rsid w:val="003046A3"/>
    <w:rsid w:val="00305096"/>
    <w:rsid w:val="0030513B"/>
    <w:rsid w:val="00305241"/>
    <w:rsid w:val="00305724"/>
    <w:rsid w:val="00305790"/>
    <w:rsid w:val="00305847"/>
    <w:rsid w:val="00305A09"/>
    <w:rsid w:val="0030600A"/>
    <w:rsid w:val="003060B4"/>
    <w:rsid w:val="00306813"/>
    <w:rsid w:val="00306C34"/>
    <w:rsid w:val="0030701C"/>
    <w:rsid w:val="0030727B"/>
    <w:rsid w:val="003073FF"/>
    <w:rsid w:val="00307AE0"/>
    <w:rsid w:val="00310041"/>
    <w:rsid w:val="003101F6"/>
    <w:rsid w:val="0031052A"/>
    <w:rsid w:val="003105F0"/>
    <w:rsid w:val="003107FD"/>
    <w:rsid w:val="00310814"/>
    <w:rsid w:val="00310884"/>
    <w:rsid w:val="00310F82"/>
    <w:rsid w:val="003110A6"/>
    <w:rsid w:val="00311E9B"/>
    <w:rsid w:val="00312028"/>
    <w:rsid w:val="00312195"/>
    <w:rsid w:val="003121B5"/>
    <w:rsid w:val="00312A06"/>
    <w:rsid w:val="00312ED1"/>
    <w:rsid w:val="0031303A"/>
    <w:rsid w:val="00313C01"/>
    <w:rsid w:val="00313C96"/>
    <w:rsid w:val="00313F24"/>
    <w:rsid w:val="003144F1"/>
    <w:rsid w:val="00314C76"/>
    <w:rsid w:val="00315832"/>
    <w:rsid w:val="00315BCF"/>
    <w:rsid w:val="00315C12"/>
    <w:rsid w:val="00315C5A"/>
    <w:rsid w:val="00315FCB"/>
    <w:rsid w:val="0031634F"/>
    <w:rsid w:val="003166B3"/>
    <w:rsid w:val="00316D6D"/>
    <w:rsid w:val="00317173"/>
    <w:rsid w:val="003171B6"/>
    <w:rsid w:val="00317547"/>
    <w:rsid w:val="0031790A"/>
    <w:rsid w:val="003179A8"/>
    <w:rsid w:val="00317FB8"/>
    <w:rsid w:val="00320216"/>
    <w:rsid w:val="003203B3"/>
    <w:rsid w:val="00320499"/>
    <w:rsid w:val="00320634"/>
    <w:rsid w:val="00320772"/>
    <w:rsid w:val="003207B9"/>
    <w:rsid w:val="0032099C"/>
    <w:rsid w:val="00320BB8"/>
    <w:rsid w:val="003211F6"/>
    <w:rsid w:val="00321286"/>
    <w:rsid w:val="00321353"/>
    <w:rsid w:val="00321A9D"/>
    <w:rsid w:val="00321DFC"/>
    <w:rsid w:val="00321F04"/>
    <w:rsid w:val="00321F8E"/>
    <w:rsid w:val="003221E5"/>
    <w:rsid w:val="00322375"/>
    <w:rsid w:val="0032245C"/>
    <w:rsid w:val="003228AC"/>
    <w:rsid w:val="00322A49"/>
    <w:rsid w:val="00322CF9"/>
    <w:rsid w:val="00322ED3"/>
    <w:rsid w:val="00323082"/>
    <w:rsid w:val="003234C0"/>
    <w:rsid w:val="00323FAA"/>
    <w:rsid w:val="00323FD0"/>
    <w:rsid w:val="003242C3"/>
    <w:rsid w:val="00324638"/>
    <w:rsid w:val="0032492E"/>
    <w:rsid w:val="00324CDD"/>
    <w:rsid w:val="00324DBA"/>
    <w:rsid w:val="003253CB"/>
    <w:rsid w:val="00325BD9"/>
    <w:rsid w:val="00325FD4"/>
    <w:rsid w:val="0032619E"/>
    <w:rsid w:val="00326215"/>
    <w:rsid w:val="003266CB"/>
    <w:rsid w:val="003268BB"/>
    <w:rsid w:val="00326ACC"/>
    <w:rsid w:val="00326D14"/>
    <w:rsid w:val="003270A2"/>
    <w:rsid w:val="00327433"/>
    <w:rsid w:val="0032752B"/>
    <w:rsid w:val="003277BA"/>
    <w:rsid w:val="00327D6E"/>
    <w:rsid w:val="00330317"/>
    <w:rsid w:val="00330321"/>
    <w:rsid w:val="003306F5"/>
    <w:rsid w:val="00330706"/>
    <w:rsid w:val="0033077E"/>
    <w:rsid w:val="00331043"/>
    <w:rsid w:val="003313CA"/>
    <w:rsid w:val="003315D0"/>
    <w:rsid w:val="003319CF"/>
    <w:rsid w:val="00332305"/>
    <w:rsid w:val="003324A6"/>
    <w:rsid w:val="00332520"/>
    <w:rsid w:val="00332845"/>
    <w:rsid w:val="0033285B"/>
    <w:rsid w:val="00332B09"/>
    <w:rsid w:val="00332D95"/>
    <w:rsid w:val="00332E20"/>
    <w:rsid w:val="00332E8B"/>
    <w:rsid w:val="00333220"/>
    <w:rsid w:val="00333449"/>
    <w:rsid w:val="003335CA"/>
    <w:rsid w:val="00333886"/>
    <w:rsid w:val="00333C10"/>
    <w:rsid w:val="00333EB1"/>
    <w:rsid w:val="00333F75"/>
    <w:rsid w:val="00333FC7"/>
    <w:rsid w:val="003347D4"/>
    <w:rsid w:val="00334893"/>
    <w:rsid w:val="0033497B"/>
    <w:rsid w:val="00334A50"/>
    <w:rsid w:val="00334A5F"/>
    <w:rsid w:val="00334A77"/>
    <w:rsid w:val="00335104"/>
    <w:rsid w:val="00335143"/>
    <w:rsid w:val="0033537C"/>
    <w:rsid w:val="003356A2"/>
    <w:rsid w:val="003356AE"/>
    <w:rsid w:val="003356C4"/>
    <w:rsid w:val="0033587F"/>
    <w:rsid w:val="003359A0"/>
    <w:rsid w:val="00335CB8"/>
    <w:rsid w:val="00335E93"/>
    <w:rsid w:val="00335F2D"/>
    <w:rsid w:val="003363E4"/>
    <w:rsid w:val="00336575"/>
    <w:rsid w:val="003367CA"/>
    <w:rsid w:val="0033695F"/>
    <w:rsid w:val="00336BA5"/>
    <w:rsid w:val="00336BAE"/>
    <w:rsid w:val="00336E9E"/>
    <w:rsid w:val="0033747D"/>
    <w:rsid w:val="00337663"/>
    <w:rsid w:val="00337E86"/>
    <w:rsid w:val="00337F5E"/>
    <w:rsid w:val="00340034"/>
    <w:rsid w:val="003406CB"/>
    <w:rsid w:val="003409AE"/>
    <w:rsid w:val="00340A42"/>
    <w:rsid w:val="00340C15"/>
    <w:rsid w:val="00340D1F"/>
    <w:rsid w:val="00340F81"/>
    <w:rsid w:val="0034100E"/>
    <w:rsid w:val="00341343"/>
    <w:rsid w:val="00341BAC"/>
    <w:rsid w:val="00341DBD"/>
    <w:rsid w:val="003424D9"/>
    <w:rsid w:val="0034251E"/>
    <w:rsid w:val="003431F3"/>
    <w:rsid w:val="00343467"/>
    <w:rsid w:val="00343647"/>
    <w:rsid w:val="00343B11"/>
    <w:rsid w:val="00343B15"/>
    <w:rsid w:val="00343EE5"/>
    <w:rsid w:val="00344123"/>
    <w:rsid w:val="00344239"/>
    <w:rsid w:val="003442E5"/>
    <w:rsid w:val="003445A2"/>
    <w:rsid w:val="00344928"/>
    <w:rsid w:val="00344D05"/>
    <w:rsid w:val="00344E7C"/>
    <w:rsid w:val="0034548A"/>
    <w:rsid w:val="0034565B"/>
    <w:rsid w:val="00345989"/>
    <w:rsid w:val="00345E0D"/>
    <w:rsid w:val="00346140"/>
    <w:rsid w:val="0034624B"/>
    <w:rsid w:val="0034699B"/>
    <w:rsid w:val="00346CF3"/>
    <w:rsid w:val="00347372"/>
    <w:rsid w:val="00347415"/>
    <w:rsid w:val="0034744E"/>
    <w:rsid w:val="003477D8"/>
    <w:rsid w:val="00347EB3"/>
    <w:rsid w:val="0035027B"/>
    <w:rsid w:val="00350BF9"/>
    <w:rsid w:val="00350D9E"/>
    <w:rsid w:val="00350F68"/>
    <w:rsid w:val="003510B7"/>
    <w:rsid w:val="003512EB"/>
    <w:rsid w:val="003513B8"/>
    <w:rsid w:val="003516FB"/>
    <w:rsid w:val="00351824"/>
    <w:rsid w:val="00351844"/>
    <w:rsid w:val="0035184B"/>
    <w:rsid w:val="00351B61"/>
    <w:rsid w:val="00351EDC"/>
    <w:rsid w:val="00351FFD"/>
    <w:rsid w:val="0035224F"/>
    <w:rsid w:val="00352467"/>
    <w:rsid w:val="00352471"/>
    <w:rsid w:val="0035283E"/>
    <w:rsid w:val="003529B2"/>
    <w:rsid w:val="003529D9"/>
    <w:rsid w:val="00352C26"/>
    <w:rsid w:val="00352CCF"/>
    <w:rsid w:val="003531E9"/>
    <w:rsid w:val="00353961"/>
    <w:rsid w:val="00353CAB"/>
    <w:rsid w:val="003544E6"/>
    <w:rsid w:val="003545F9"/>
    <w:rsid w:val="00354A7B"/>
    <w:rsid w:val="0035508A"/>
    <w:rsid w:val="003555BF"/>
    <w:rsid w:val="00355E7B"/>
    <w:rsid w:val="00355F55"/>
    <w:rsid w:val="0035604B"/>
    <w:rsid w:val="00356570"/>
    <w:rsid w:val="0035668B"/>
    <w:rsid w:val="00356A7B"/>
    <w:rsid w:val="00356B27"/>
    <w:rsid w:val="00356BB5"/>
    <w:rsid w:val="00356FD4"/>
    <w:rsid w:val="00357187"/>
    <w:rsid w:val="00357264"/>
    <w:rsid w:val="003578C6"/>
    <w:rsid w:val="00357C47"/>
    <w:rsid w:val="00357C5D"/>
    <w:rsid w:val="00357CF5"/>
    <w:rsid w:val="00357CFD"/>
    <w:rsid w:val="00357D3A"/>
    <w:rsid w:val="00357DC8"/>
    <w:rsid w:val="00357F39"/>
    <w:rsid w:val="00360035"/>
    <w:rsid w:val="003604B5"/>
    <w:rsid w:val="0036061F"/>
    <w:rsid w:val="00360764"/>
    <w:rsid w:val="00360A50"/>
    <w:rsid w:val="00360CF6"/>
    <w:rsid w:val="00361304"/>
    <w:rsid w:val="003616F8"/>
    <w:rsid w:val="0036173C"/>
    <w:rsid w:val="00361A62"/>
    <w:rsid w:val="00361C6F"/>
    <w:rsid w:val="00361D6D"/>
    <w:rsid w:val="00361E0A"/>
    <w:rsid w:val="00361EC9"/>
    <w:rsid w:val="003621E5"/>
    <w:rsid w:val="00362321"/>
    <w:rsid w:val="0036252F"/>
    <w:rsid w:val="00362968"/>
    <w:rsid w:val="00362A3A"/>
    <w:rsid w:val="00362BC1"/>
    <w:rsid w:val="00362C74"/>
    <w:rsid w:val="00362F28"/>
    <w:rsid w:val="0036343D"/>
    <w:rsid w:val="0036354A"/>
    <w:rsid w:val="00363802"/>
    <w:rsid w:val="00363A5B"/>
    <w:rsid w:val="00363D83"/>
    <w:rsid w:val="00363E58"/>
    <w:rsid w:val="00364028"/>
    <w:rsid w:val="00364098"/>
    <w:rsid w:val="00364779"/>
    <w:rsid w:val="003648FC"/>
    <w:rsid w:val="00364A7A"/>
    <w:rsid w:val="00364A80"/>
    <w:rsid w:val="00364BC3"/>
    <w:rsid w:val="00365114"/>
    <w:rsid w:val="00365659"/>
    <w:rsid w:val="00365698"/>
    <w:rsid w:val="003659FD"/>
    <w:rsid w:val="00365BBA"/>
    <w:rsid w:val="00365D1B"/>
    <w:rsid w:val="003666C3"/>
    <w:rsid w:val="00366FA4"/>
    <w:rsid w:val="00367749"/>
    <w:rsid w:val="00367931"/>
    <w:rsid w:val="00367E29"/>
    <w:rsid w:val="00367E9D"/>
    <w:rsid w:val="00370323"/>
    <w:rsid w:val="003706D7"/>
    <w:rsid w:val="0037084A"/>
    <w:rsid w:val="00370A79"/>
    <w:rsid w:val="00370BA6"/>
    <w:rsid w:val="00370C1F"/>
    <w:rsid w:val="00370E89"/>
    <w:rsid w:val="003717A4"/>
    <w:rsid w:val="00372142"/>
    <w:rsid w:val="003724E5"/>
    <w:rsid w:val="0037257B"/>
    <w:rsid w:val="00372AD7"/>
    <w:rsid w:val="00372D82"/>
    <w:rsid w:val="00372EFC"/>
    <w:rsid w:val="00373493"/>
    <w:rsid w:val="0037369A"/>
    <w:rsid w:val="0037381B"/>
    <w:rsid w:val="0037392F"/>
    <w:rsid w:val="00373F1D"/>
    <w:rsid w:val="00374478"/>
    <w:rsid w:val="0037451B"/>
    <w:rsid w:val="0037464B"/>
    <w:rsid w:val="00374C4A"/>
    <w:rsid w:val="00374CCC"/>
    <w:rsid w:val="00374D0A"/>
    <w:rsid w:val="00374E3B"/>
    <w:rsid w:val="00374FCF"/>
    <w:rsid w:val="00375019"/>
    <w:rsid w:val="00375242"/>
    <w:rsid w:val="00375245"/>
    <w:rsid w:val="0037528F"/>
    <w:rsid w:val="003757D7"/>
    <w:rsid w:val="00375960"/>
    <w:rsid w:val="00375BD1"/>
    <w:rsid w:val="00375E74"/>
    <w:rsid w:val="00376359"/>
    <w:rsid w:val="0037644E"/>
    <w:rsid w:val="00376606"/>
    <w:rsid w:val="00376D4D"/>
    <w:rsid w:val="00376D88"/>
    <w:rsid w:val="00376F3F"/>
    <w:rsid w:val="00376F6A"/>
    <w:rsid w:val="0037709D"/>
    <w:rsid w:val="0037748D"/>
    <w:rsid w:val="003774BE"/>
    <w:rsid w:val="0037758D"/>
    <w:rsid w:val="0037794C"/>
    <w:rsid w:val="00377AC1"/>
    <w:rsid w:val="00377E58"/>
    <w:rsid w:val="003803D9"/>
    <w:rsid w:val="003805FA"/>
    <w:rsid w:val="00380610"/>
    <w:rsid w:val="00380B78"/>
    <w:rsid w:val="00380CB5"/>
    <w:rsid w:val="00380DF8"/>
    <w:rsid w:val="00381A77"/>
    <w:rsid w:val="00381E60"/>
    <w:rsid w:val="00382008"/>
    <w:rsid w:val="0038227D"/>
    <w:rsid w:val="00382657"/>
    <w:rsid w:val="00382759"/>
    <w:rsid w:val="003827FA"/>
    <w:rsid w:val="00382942"/>
    <w:rsid w:val="00382D6D"/>
    <w:rsid w:val="00382D99"/>
    <w:rsid w:val="0038338B"/>
    <w:rsid w:val="003835D2"/>
    <w:rsid w:val="00383B87"/>
    <w:rsid w:val="00383DF7"/>
    <w:rsid w:val="00383FE9"/>
    <w:rsid w:val="0038433D"/>
    <w:rsid w:val="0038467D"/>
    <w:rsid w:val="0038472D"/>
    <w:rsid w:val="00384A47"/>
    <w:rsid w:val="00384E23"/>
    <w:rsid w:val="00385267"/>
    <w:rsid w:val="0038549D"/>
    <w:rsid w:val="00385919"/>
    <w:rsid w:val="003859B5"/>
    <w:rsid w:val="00385DD8"/>
    <w:rsid w:val="00386660"/>
    <w:rsid w:val="003866A2"/>
    <w:rsid w:val="003868CF"/>
    <w:rsid w:val="003869E6"/>
    <w:rsid w:val="00386C0E"/>
    <w:rsid w:val="0038737C"/>
    <w:rsid w:val="003879FB"/>
    <w:rsid w:val="00387E8A"/>
    <w:rsid w:val="003900D8"/>
    <w:rsid w:val="003901E8"/>
    <w:rsid w:val="0039038F"/>
    <w:rsid w:val="0039057C"/>
    <w:rsid w:val="00390C07"/>
    <w:rsid w:val="00390DF8"/>
    <w:rsid w:val="0039131D"/>
    <w:rsid w:val="003915B2"/>
    <w:rsid w:val="003917C0"/>
    <w:rsid w:val="0039190A"/>
    <w:rsid w:val="0039199F"/>
    <w:rsid w:val="00391A61"/>
    <w:rsid w:val="00391B9A"/>
    <w:rsid w:val="00392550"/>
    <w:rsid w:val="0039269C"/>
    <w:rsid w:val="00392CA8"/>
    <w:rsid w:val="003931E9"/>
    <w:rsid w:val="00393AAC"/>
    <w:rsid w:val="00393B7D"/>
    <w:rsid w:val="00393C4C"/>
    <w:rsid w:val="00393D2E"/>
    <w:rsid w:val="00394124"/>
    <w:rsid w:val="00394407"/>
    <w:rsid w:val="00394555"/>
    <w:rsid w:val="003945E4"/>
    <w:rsid w:val="00394AD7"/>
    <w:rsid w:val="00394DDB"/>
    <w:rsid w:val="00394DF1"/>
    <w:rsid w:val="00394ED8"/>
    <w:rsid w:val="00395061"/>
    <w:rsid w:val="00395067"/>
    <w:rsid w:val="00395EEC"/>
    <w:rsid w:val="00396702"/>
    <w:rsid w:val="00396809"/>
    <w:rsid w:val="00396896"/>
    <w:rsid w:val="003968E9"/>
    <w:rsid w:val="00396A0C"/>
    <w:rsid w:val="00396B0B"/>
    <w:rsid w:val="00397040"/>
    <w:rsid w:val="0039766B"/>
    <w:rsid w:val="00397B7B"/>
    <w:rsid w:val="00397E35"/>
    <w:rsid w:val="003A0197"/>
    <w:rsid w:val="003A01EB"/>
    <w:rsid w:val="003A0339"/>
    <w:rsid w:val="003A08DF"/>
    <w:rsid w:val="003A08F2"/>
    <w:rsid w:val="003A0E4D"/>
    <w:rsid w:val="003A11B6"/>
    <w:rsid w:val="003A1449"/>
    <w:rsid w:val="003A1AD4"/>
    <w:rsid w:val="003A1BE8"/>
    <w:rsid w:val="003A1CA0"/>
    <w:rsid w:val="003A1E6D"/>
    <w:rsid w:val="003A1ED5"/>
    <w:rsid w:val="003A206B"/>
    <w:rsid w:val="003A20EE"/>
    <w:rsid w:val="003A219E"/>
    <w:rsid w:val="003A24F6"/>
    <w:rsid w:val="003A2FB4"/>
    <w:rsid w:val="003A3177"/>
    <w:rsid w:val="003A3284"/>
    <w:rsid w:val="003A32B8"/>
    <w:rsid w:val="003A32CB"/>
    <w:rsid w:val="003A4DEF"/>
    <w:rsid w:val="003A5208"/>
    <w:rsid w:val="003A58B1"/>
    <w:rsid w:val="003A5A22"/>
    <w:rsid w:val="003A5B33"/>
    <w:rsid w:val="003A5EBF"/>
    <w:rsid w:val="003A606B"/>
    <w:rsid w:val="003A617C"/>
    <w:rsid w:val="003A6865"/>
    <w:rsid w:val="003A69BF"/>
    <w:rsid w:val="003A6BCC"/>
    <w:rsid w:val="003A7A5C"/>
    <w:rsid w:val="003B0308"/>
    <w:rsid w:val="003B0330"/>
    <w:rsid w:val="003B04B6"/>
    <w:rsid w:val="003B090E"/>
    <w:rsid w:val="003B0B76"/>
    <w:rsid w:val="003B0E32"/>
    <w:rsid w:val="003B12CE"/>
    <w:rsid w:val="003B12DD"/>
    <w:rsid w:val="003B12FD"/>
    <w:rsid w:val="003B1454"/>
    <w:rsid w:val="003B14DA"/>
    <w:rsid w:val="003B16F7"/>
    <w:rsid w:val="003B17F2"/>
    <w:rsid w:val="003B182E"/>
    <w:rsid w:val="003B1888"/>
    <w:rsid w:val="003B1B66"/>
    <w:rsid w:val="003B1B85"/>
    <w:rsid w:val="003B1E68"/>
    <w:rsid w:val="003B1E6B"/>
    <w:rsid w:val="003B24C8"/>
    <w:rsid w:val="003B273A"/>
    <w:rsid w:val="003B2CC5"/>
    <w:rsid w:val="003B2ECD"/>
    <w:rsid w:val="003B2FEF"/>
    <w:rsid w:val="003B3079"/>
    <w:rsid w:val="003B361B"/>
    <w:rsid w:val="003B37D1"/>
    <w:rsid w:val="003B3E6D"/>
    <w:rsid w:val="003B44E1"/>
    <w:rsid w:val="003B480A"/>
    <w:rsid w:val="003B4CA5"/>
    <w:rsid w:val="003B4E98"/>
    <w:rsid w:val="003B5850"/>
    <w:rsid w:val="003B59C7"/>
    <w:rsid w:val="003B5FE8"/>
    <w:rsid w:val="003B6D0C"/>
    <w:rsid w:val="003B6FB7"/>
    <w:rsid w:val="003B70CA"/>
    <w:rsid w:val="003B7411"/>
    <w:rsid w:val="003B77D1"/>
    <w:rsid w:val="003B77EC"/>
    <w:rsid w:val="003B7A56"/>
    <w:rsid w:val="003B7D77"/>
    <w:rsid w:val="003C0526"/>
    <w:rsid w:val="003C0E2E"/>
    <w:rsid w:val="003C0EE5"/>
    <w:rsid w:val="003C0FAA"/>
    <w:rsid w:val="003C10A7"/>
    <w:rsid w:val="003C17D7"/>
    <w:rsid w:val="003C20C3"/>
    <w:rsid w:val="003C273D"/>
    <w:rsid w:val="003C2769"/>
    <w:rsid w:val="003C2BF6"/>
    <w:rsid w:val="003C2BFD"/>
    <w:rsid w:val="003C2E38"/>
    <w:rsid w:val="003C319B"/>
    <w:rsid w:val="003C31AE"/>
    <w:rsid w:val="003C37CD"/>
    <w:rsid w:val="003C37D1"/>
    <w:rsid w:val="003C38D1"/>
    <w:rsid w:val="003C3BDB"/>
    <w:rsid w:val="003C3BE4"/>
    <w:rsid w:val="003C3D0B"/>
    <w:rsid w:val="003C3E86"/>
    <w:rsid w:val="003C413E"/>
    <w:rsid w:val="003C4273"/>
    <w:rsid w:val="003C45AA"/>
    <w:rsid w:val="003C46D5"/>
    <w:rsid w:val="003C48D8"/>
    <w:rsid w:val="003C49F7"/>
    <w:rsid w:val="003C4A47"/>
    <w:rsid w:val="003C4A8D"/>
    <w:rsid w:val="003C4CD3"/>
    <w:rsid w:val="003C4FFD"/>
    <w:rsid w:val="003C561B"/>
    <w:rsid w:val="003C5679"/>
    <w:rsid w:val="003C5D5C"/>
    <w:rsid w:val="003C6281"/>
    <w:rsid w:val="003C6403"/>
    <w:rsid w:val="003C6470"/>
    <w:rsid w:val="003C6556"/>
    <w:rsid w:val="003C6A0C"/>
    <w:rsid w:val="003C6D56"/>
    <w:rsid w:val="003C6E6A"/>
    <w:rsid w:val="003C702F"/>
    <w:rsid w:val="003C73A3"/>
    <w:rsid w:val="003C73F4"/>
    <w:rsid w:val="003C755B"/>
    <w:rsid w:val="003C7564"/>
    <w:rsid w:val="003C7655"/>
    <w:rsid w:val="003C76EF"/>
    <w:rsid w:val="003C7870"/>
    <w:rsid w:val="003D00EF"/>
    <w:rsid w:val="003D0699"/>
    <w:rsid w:val="003D069F"/>
    <w:rsid w:val="003D06CA"/>
    <w:rsid w:val="003D06DC"/>
    <w:rsid w:val="003D0AB0"/>
    <w:rsid w:val="003D0C6F"/>
    <w:rsid w:val="003D102A"/>
    <w:rsid w:val="003D15A0"/>
    <w:rsid w:val="003D15AB"/>
    <w:rsid w:val="003D1689"/>
    <w:rsid w:val="003D18CD"/>
    <w:rsid w:val="003D2303"/>
    <w:rsid w:val="003D2498"/>
    <w:rsid w:val="003D2A50"/>
    <w:rsid w:val="003D2A94"/>
    <w:rsid w:val="003D2AB6"/>
    <w:rsid w:val="003D2ED6"/>
    <w:rsid w:val="003D3441"/>
    <w:rsid w:val="003D377A"/>
    <w:rsid w:val="003D39DD"/>
    <w:rsid w:val="003D3A50"/>
    <w:rsid w:val="003D3B9C"/>
    <w:rsid w:val="003D4234"/>
    <w:rsid w:val="003D42B1"/>
    <w:rsid w:val="003D42D0"/>
    <w:rsid w:val="003D43F5"/>
    <w:rsid w:val="003D4659"/>
    <w:rsid w:val="003D4B09"/>
    <w:rsid w:val="003D4CE4"/>
    <w:rsid w:val="003D5012"/>
    <w:rsid w:val="003D5203"/>
    <w:rsid w:val="003D529D"/>
    <w:rsid w:val="003D5404"/>
    <w:rsid w:val="003D560E"/>
    <w:rsid w:val="003D58CE"/>
    <w:rsid w:val="003D6185"/>
    <w:rsid w:val="003D6706"/>
    <w:rsid w:val="003D698E"/>
    <w:rsid w:val="003D6AF4"/>
    <w:rsid w:val="003D6CB0"/>
    <w:rsid w:val="003D6CC7"/>
    <w:rsid w:val="003D6D7B"/>
    <w:rsid w:val="003D6F81"/>
    <w:rsid w:val="003D7355"/>
    <w:rsid w:val="003D7859"/>
    <w:rsid w:val="003D7D7F"/>
    <w:rsid w:val="003D7DD0"/>
    <w:rsid w:val="003D7F56"/>
    <w:rsid w:val="003E0170"/>
    <w:rsid w:val="003E0A8A"/>
    <w:rsid w:val="003E0AE0"/>
    <w:rsid w:val="003E0C28"/>
    <w:rsid w:val="003E0D46"/>
    <w:rsid w:val="003E0DD6"/>
    <w:rsid w:val="003E0FB8"/>
    <w:rsid w:val="003E116C"/>
    <w:rsid w:val="003E12DB"/>
    <w:rsid w:val="003E1335"/>
    <w:rsid w:val="003E17FD"/>
    <w:rsid w:val="003E1B19"/>
    <w:rsid w:val="003E20FD"/>
    <w:rsid w:val="003E216E"/>
    <w:rsid w:val="003E22ED"/>
    <w:rsid w:val="003E2475"/>
    <w:rsid w:val="003E26BE"/>
    <w:rsid w:val="003E2AF7"/>
    <w:rsid w:val="003E2D92"/>
    <w:rsid w:val="003E3806"/>
    <w:rsid w:val="003E4292"/>
    <w:rsid w:val="003E4633"/>
    <w:rsid w:val="003E47A5"/>
    <w:rsid w:val="003E48CE"/>
    <w:rsid w:val="003E4D5A"/>
    <w:rsid w:val="003E4EE4"/>
    <w:rsid w:val="003E4F86"/>
    <w:rsid w:val="003E5014"/>
    <w:rsid w:val="003E5B60"/>
    <w:rsid w:val="003E5BB3"/>
    <w:rsid w:val="003E5BCA"/>
    <w:rsid w:val="003E5E39"/>
    <w:rsid w:val="003E5E6A"/>
    <w:rsid w:val="003E5F5F"/>
    <w:rsid w:val="003E5F94"/>
    <w:rsid w:val="003E6164"/>
    <w:rsid w:val="003E61B6"/>
    <w:rsid w:val="003E678F"/>
    <w:rsid w:val="003E67C9"/>
    <w:rsid w:val="003E680A"/>
    <w:rsid w:val="003E6F7E"/>
    <w:rsid w:val="003E6F89"/>
    <w:rsid w:val="003E7241"/>
    <w:rsid w:val="003E724B"/>
    <w:rsid w:val="003E7295"/>
    <w:rsid w:val="003E78BE"/>
    <w:rsid w:val="003E7A8C"/>
    <w:rsid w:val="003E7B05"/>
    <w:rsid w:val="003E7C29"/>
    <w:rsid w:val="003E7C81"/>
    <w:rsid w:val="003E7D9A"/>
    <w:rsid w:val="003F062B"/>
    <w:rsid w:val="003F0A7F"/>
    <w:rsid w:val="003F0B6C"/>
    <w:rsid w:val="003F0BD7"/>
    <w:rsid w:val="003F0CFC"/>
    <w:rsid w:val="003F1038"/>
    <w:rsid w:val="003F10CB"/>
    <w:rsid w:val="003F10E5"/>
    <w:rsid w:val="003F1158"/>
    <w:rsid w:val="003F119A"/>
    <w:rsid w:val="003F1948"/>
    <w:rsid w:val="003F19FD"/>
    <w:rsid w:val="003F1A2C"/>
    <w:rsid w:val="003F1B07"/>
    <w:rsid w:val="003F1B5A"/>
    <w:rsid w:val="003F1BF6"/>
    <w:rsid w:val="003F2301"/>
    <w:rsid w:val="003F26CD"/>
    <w:rsid w:val="003F2798"/>
    <w:rsid w:val="003F27C0"/>
    <w:rsid w:val="003F2963"/>
    <w:rsid w:val="003F2B7C"/>
    <w:rsid w:val="003F2C28"/>
    <w:rsid w:val="003F2CAF"/>
    <w:rsid w:val="003F2D7C"/>
    <w:rsid w:val="003F2DD6"/>
    <w:rsid w:val="003F2E98"/>
    <w:rsid w:val="003F3012"/>
    <w:rsid w:val="003F322B"/>
    <w:rsid w:val="003F33F4"/>
    <w:rsid w:val="003F36BD"/>
    <w:rsid w:val="003F3A1F"/>
    <w:rsid w:val="003F4017"/>
    <w:rsid w:val="003F42B2"/>
    <w:rsid w:val="003F42D8"/>
    <w:rsid w:val="003F479A"/>
    <w:rsid w:val="003F49DB"/>
    <w:rsid w:val="003F4F2A"/>
    <w:rsid w:val="003F530E"/>
    <w:rsid w:val="003F5635"/>
    <w:rsid w:val="003F57C9"/>
    <w:rsid w:val="003F5970"/>
    <w:rsid w:val="003F5A30"/>
    <w:rsid w:val="003F5D4B"/>
    <w:rsid w:val="003F5F4D"/>
    <w:rsid w:val="003F620F"/>
    <w:rsid w:val="003F6307"/>
    <w:rsid w:val="003F657F"/>
    <w:rsid w:val="003F6A36"/>
    <w:rsid w:val="003F6C4C"/>
    <w:rsid w:val="003F6F50"/>
    <w:rsid w:val="003F720C"/>
    <w:rsid w:val="003F72DF"/>
    <w:rsid w:val="003F787D"/>
    <w:rsid w:val="003F7A5A"/>
    <w:rsid w:val="003F7DF3"/>
    <w:rsid w:val="00400296"/>
    <w:rsid w:val="0040032B"/>
    <w:rsid w:val="0040057F"/>
    <w:rsid w:val="00400821"/>
    <w:rsid w:val="0040086E"/>
    <w:rsid w:val="00400C0B"/>
    <w:rsid w:val="00400DC9"/>
    <w:rsid w:val="00400DE7"/>
    <w:rsid w:val="00400E3A"/>
    <w:rsid w:val="00400EC6"/>
    <w:rsid w:val="0040116E"/>
    <w:rsid w:val="004012FF"/>
    <w:rsid w:val="0040135B"/>
    <w:rsid w:val="004015D1"/>
    <w:rsid w:val="0040193C"/>
    <w:rsid w:val="004019BB"/>
    <w:rsid w:val="004029F7"/>
    <w:rsid w:val="00402B1D"/>
    <w:rsid w:val="00402C30"/>
    <w:rsid w:val="00402DFA"/>
    <w:rsid w:val="00402E34"/>
    <w:rsid w:val="00402EF6"/>
    <w:rsid w:val="004032CD"/>
    <w:rsid w:val="00403547"/>
    <w:rsid w:val="00403568"/>
    <w:rsid w:val="00403C83"/>
    <w:rsid w:val="00403E7B"/>
    <w:rsid w:val="00404256"/>
    <w:rsid w:val="004043E9"/>
    <w:rsid w:val="00404690"/>
    <w:rsid w:val="00404755"/>
    <w:rsid w:val="00404A36"/>
    <w:rsid w:val="00404D13"/>
    <w:rsid w:val="00404F43"/>
    <w:rsid w:val="00405499"/>
    <w:rsid w:val="004055B2"/>
    <w:rsid w:val="0040576E"/>
    <w:rsid w:val="0040599F"/>
    <w:rsid w:val="00405B41"/>
    <w:rsid w:val="00405D30"/>
    <w:rsid w:val="00405F14"/>
    <w:rsid w:val="00406572"/>
    <w:rsid w:val="00406659"/>
    <w:rsid w:val="004072D5"/>
    <w:rsid w:val="00407FD2"/>
    <w:rsid w:val="004103EF"/>
    <w:rsid w:val="00410458"/>
    <w:rsid w:val="00410B3E"/>
    <w:rsid w:val="00410B98"/>
    <w:rsid w:val="00410C3F"/>
    <w:rsid w:val="00410DE8"/>
    <w:rsid w:val="00411583"/>
    <w:rsid w:val="00411849"/>
    <w:rsid w:val="00411FA0"/>
    <w:rsid w:val="00412B10"/>
    <w:rsid w:val="00413287"/>
    <w:rsid w:val="004133F7"/>
    <w:rsid w:val="00413668"/>
    <w:rsid w:val="00413692"/>
    <w:rsid w:val="00413796"/>
    <w:rsid w:val="0041386D"/>
    <w:rsid w:val="00413930"/>
    <w:rsid w:val="00413AAC"/>
    <w:rsid w:val="00413BA4"/>
    <w:rsid w:val="00413C86"/>
    <w:rsid w:val="00413C93"/>
    <w:rsid w:val="0041411C"/>
    <w:rsid w:val="0041414E"/>
    <w:rsid w:val="0041444B"/>
    <w:rsid w:val="0041448F"/>
    <w:rsid w:val="004146CF"/>
    <w:rsid w:val="00414889"/>
    <w:rsid w:val="00414A7D"/>
    <w:rsid w:val="00414C46"/>
    <w:rsid w:val="00414C8F"/>
    <w:rsid w:val="0041562F"/>
    <w:rsid w:val="00415700"/>
    <w:rsid w:val="00415BC2"/>
    <w:rsid w:val="00415CE7"/>
    <w:rsid w:val="0041602E"/>
    <w:rsid w:val="004165E3"/>
    <w:rsid w:val="00416A0C"/>
    <w:rsid w:val="00416D72"/>
    <w:rsid w:val="004170E7"/>
    <w:rsid w:val="0041712E"/>
    <w:rsid w:val="0041719C"/>
    <w:rsid w:val="00417338"/>
    <w:rsid w:val="00417FE2"/>
    <w:rsid w:val="00420232"/>
    <w:rsid w:val="0042037B"/>
    <w:rsid w:val="0042067D"/>
    <w:rsid w:val="00420A34"/>
    <w:rsid w:val="00420E5B"/>
    <w:rsid w:val="00420EDA"/>
    <w:rsid w:val="00421043"/>
    <w:rsid w:val="00421247"/>
    <w:rsid w:val="00421535"/>
    <w:rsid w:val="004215CC"/>
    <w:rsid w:val="004216F7"/>
    <w:rsid w:val="00421964"/>
    <w:rsid w:val="00421C1D"/>
    <w:rsid w:val="00421EBC"/>
    <w:rsid w:val="00421FC6"/>
    <w:rsid w:val="00422017"/>
    <w:rsid w:val="00422105"/>
    <w:rsid w:val="004223C4"/>
    <w:rsid w:val="004223D5"/>
    <w:rsid w:val="004225A0"/>
    <w:rsid w:val="0042266A"/>
    <w:rsid w:val="00422C0D"/>
    <w:rsid w:val="00423393"/>
    <w:rsid w:val="00423426"/>
    <w:rsid w:val="0042356D"/>
    <w:rsid w:val="00423619"/>
    <w:rsid w:val="00423920"/>
    <w:rsid w:val="00423A9C"/>
    <w:rsid w:val="00423B2C"/>
    <w:rsid w:val="00423D2E"/>
    <w:rsid w:val="004240E3"/>
    <w:rsid w:val="004242CA"/>
    <w:rsid w:val="00424403"/>
    <w:rsid w:val="0042459D"/>
    <w:rsid w:val="00424749"/>
    <w:rsid w:val="00424A2E"/>
    <w:rsid w:val="00424AD2"/>
    <w:rsid w:val="00424D7E"/>
    <w:rsid w:val="0042555E"/>
    <w:rsid w:val="004257FC"/>
    <w:rsid w:val="00425EC7"/>
    <w:rsid w:val="00425F23"/>
    <w:rsid w:val="00425F37"/>
    <w:rsid w:val="00425FD1"/>
    <w:rsid w:val="0042632B"/>
    <w:rsid w:val="00426932"/>
    <w:rsid w:val="004269E0"/>
    <w:rsid w:val="00426BC1"/>
    <w:rsid w:val="00426F04"/>
    <w:rsid w:val="004270D0"/>
    <w:rsid w:val="00427674"/>
    <w:rsid w:val="004277A7"/>
    <w:rsid w:val="00427818"/>
    <w:rsid w:val="00427BFE"/>
    <w:rsid w:val="0043006B"/>
    <w:rsid w:val="0043024D"/>
    <w:rsid w:val="004305E2"/>
    <w:rsid w:val="00430668"/>
    <w:rsid w:val="004307AA"/>
    <w:rsid w:val="004309C1"/>
    <w:rsid w:val="00430C89"/>
    <w:rsid w:val="00430D5F"/>
    <w:rsid w:val="004312C6"/>
    <w:rsid w:val="0043133B"/>
    <w:rsid w:val="00431595"/>
    <w:rsid w:val="00431599"/>
    <w:rsid w:val="0043161F"/>
    <w:rsid w:val="00431B2E"/>
    <w:rsid w:val="00431C85"/>
    <w:rsid w:val="00432051"/>
    <w:rsid w:val="00432457"/>
    <w:rsid w:val="004328FB"/>
    <w:rsid w:val="00432A49"/>
    <w:rsid w:val="00432E1B"/>
    <w:rsid w:val="004330C6"/>
    <w:rsid w:val="00433276"/>
    <w:rsid w:val="004332A4"/>
    <w:rsid w:val="00433488"/>
    <w:rsid w:val="004338AB"/>
    <w:rsid w:val="004338DD"/>
    <w:rsid w:val="00433C99"/>
    <w:rsid w:val="00434008"/>
    <w:rsid w:val="004340F8"/>
    <w:rsid w:val="004342DD"/>
    <w:rsid w:val="00434459"/>
    <w:rsid w:val="00434751"/>
    <w:rsid w:val="004349A2"/>
    <w:rsid w:val="00434AAF"/>
    <w:rsid w:val="00434DA2"/>
    <w:rsid w:val="00434E1B"/>
    <w:rsid w:val="00434E40"/>
    <w:rsid w:val="00434E58"/>
    <w:rsid w:val="004350B9"/>
    <w:rsid w:val="0043526B"/>
    <w:rsid w:val="00435324"/>
    <w:rsid w:val="004354F8"/>
    <w:rsid w:val="00435A7C"/>
    <w:rsid w:val="00435BCF"/>
    <w:rsid w:val="00435F20"/>
    <w:rsid w:val="0043607C"/>
    <w:rsid w:val="004363B1"/>
    <w:rsid w:val="0043657B"/>
    <w:rsid w:val="00436732"/>
    <w:rsid w:val="00436E1B"/>
    <w:rsid w:val="00436FD0"/>
    <w:rsid w:val="00437621"/>
    <w:rsid w:val="0043786E"/>
    <w:rsid w:val="004379C4"/>
    <w:rsid w:val="00437D2B"/>
    <w:rsid w:val="0044005B"/>
    <w:rsid w:val="00440746"/>
    <w:rsid w:val="00440ACA"/>
    <w:rsid w:val="00440DBE"/>
    <w:rsid w:val="00441752"/>
    <w:rsid w:val="00441B3A"/>
    <w:rsid w:val="00441DA5"/>
    <w:rsid w:val="00441FFC"/>
    <w:rsid w:val="0044238B"/>
    <w:rsid w:val="004425EC"/>
    <w:rsid w:val="004427F3"/>
    <w:rsid w:val="00442D17"/>
    <w:rsid w:val="00442EF9"/>
    <w:rsid w:val="00442FD1"/>
    <w:rsid w:val="0044313A"/>
    <w:rsid w:val="00443376"/>
    <w:rsid w:val="004433FC"/>
    <w:rsid w:val="004438A3"/>
    <w:rsid w:val="00443900"/>
    <w:rsid w:val="004440EC"/>
    <w:rsid w:val="0044412E"/>
    <w:rsid w:val="00444657"/>
    <w:rsid w:val="00444A40"/>
    <w:rsid w:val="00444EA1"/>
    <w:rsid w:val="00444FA0"/>
    <w:rsid w:val="004456E6"/>
    <w:rsid w:val="00445732"/>
    <w:rsid w:val="0044597B"/>
    <w:rsid w:val="00445F4E"/>
    <w:rsid w:val="00445FB1"/>
    <w:rsid w:val="00446010"/>
    <w:rsid w:val="004460B5"/>
    <w:rsid w:val="004464B2"/>
    <w:rsid w:val="0044666E"/>
    <w:rsid w:val="00446CD8"/>
    <w:rsid w:val="00446E68"/>
    <w:rsid w:val="00446EE5"/>
    <w:rsid w:val="004478E1"/>
    <w:rsid w:val="00447903"/>
    <w:rsid w:val="00450077"/>
    <w:rsid w:val="00450363"/>
    <w:rsid w:val="00450648"/>
    <w:rsid w:val="00450EC9"/>
    <w:rsid w:val="004510C6"/>
    <w:rsid w:val="00451230"/>
    <w:rsid w:val="00451295"/>
    <w:rsid w:val="004512A3"/>
    <w:rsid w:val="00451431"/>
    <w:rsid w:val="0045182A"/>
    <w:rsid w:val="00451DE2"/>
    <w:rsid w:val="00451F17"/>
    <w:rsid w:val="004524B0"/>
    <w:rsid w:val="00452634"/>
    <w:rsid w:val="0045263E"/>
    <w:rsid w:val="00452746"/>
    <w:rsid w:val="004529F2"/>
    <w:rsid w:val="00452A92"/>
    <w:rsid w:val="00452DBD"/>
    <w:rsid w:val="00452E19"/>
    <w:rsid w:val="004539FD"/>
    <w:rsid w:val="00453A8D"/>
    <w:rsid w:val="00454332"/>
    <w:rsid w:val="0045454F"/>
    <w:rsid w:val="00454BB0"/>
    <w:rsid w:val="00454DFD"/>
    <w:rsid w:val="00454EE4"/>
    <w:rsid w:val="00454F98"/>
    <w:rsid w:val="0045509B"/>
    <w:rsid w:val="004553B7"/>
    <w:rsid w:val="004553CA"/>
    <w:rsid w:val="00455520"/>
    <w:rsid w:val="004555BE"/>
    <w:rsid w:val="00455E70"/>
    <w:rsid w:val="0045616D"/>
    <w:rsid w:val="004562BE"/>
    <w:rsid w:val="0045630D"/>
    <w:rsid w:val="004564DA"/>
    <w:rsid w:val="004565CD"/>
    <w:rsid w:val="0045665F"/>
    <w:rsid w:val="004571E6"/>
    <w:rsid w:val="0045768D"/>
    <w:rsid w:val="004577AF"/>
    <w:rsid w:val="004577E8"/>
    <w:rsid w:val="00457DAE"/>
    <w:rsid w:val="00460438"/>
    <w:rsid w:val="004604F9"/>
    <w:rsid w:val="0046060F"/>
    <w:rsid w:val="00460AFB"/>
    <w:rsid w:val="00460E4A"/>
    <w:rsid w:val="00461601"/>
    <w:rsid w:val="00462011"/>
    <w:rsid w:val="00462170"/>
    <w:rsid w:val="004626AD"/>
    <w:rsid w:val="0046274B"/>
    <w:rsid w:val="00462BE7"/>
    <w:rsid w:val="00462BFE"/>
    <w:rsid w:val="00462D02"/>
    <w:rsid w:val="004631BA"/>
    <w:rsid w:val="00463B1D"/>
    <w:rsid w:val="00463D2A"/>
    <w:rsid w:val="00463DB7"/>
    <w:rsid w:val="00464387"/>
    <w:rsid w:val="00464668"/>
    <w:rsid w:val="00464E38"/>
    <w:rsid w:val="004657B1"/>
    <w:rsid w:val="00465983"/>
    <w:rsid w:val="00465D04"/>
    <w:rsid w:val="00465D22"/>
    <w:rsid w:val="00465D76"/>
    <w:rsid w:val="00466013"/>
    <w:rsid w:val="004663C3"/>
    <w:rsid w:val="00466470"/>
    <w:rsid w:val="00466544"/>
    <w:rsid w:val="004669B7"/>
    <w:rsid w:val="00466AB3"/>
    <w:rsid w:val="00466D09"/>
    <w:rsid w:val="0046702D"/>
    <w:rsid w:val="00467336"/>
    <w:rsid w:val="0046749C"/>
    <w:rsid w:val="004676F0"/>
    <w:rsid w:val="004677D6"/>
    <w:rsid w:val="0047028E"/>
    <w:rsid w:val="0047041A"/>
    <w:rsid w:val="00470BF2"/>
    <w:rsid w:val="00470CB0"/>
    <w:rsid w:val="00470FC5"/>
    <w:rsid w:val="00471170"/>
    <w:rsid w:val="00471437"/>
    <w:rsid w:val="00471447"/>
    <w:rsid w:val="00471576"/>
    <w:rsid w:val="0047175C"/>
    <w:rsid w:val="00472C46"/>
    <w:rsid w:val="00472CB8"/>
    <w:rsid w:val="00472D57"/>
    <w:rsid w:val="004733A9"/>
    <w:rsid w:val="004738FA"/>
    <w:rsid w:val="00473DBA"/>
    <w:rsid w:val="00473F0F"/>
    <w:rsid w:val="00474183"/>
    <w:rsid w:val="004745C9"/>
    <w:rsid w:val="00474B56"/>
    <w:rsid w:val="004750AC"/>
    <w:rsid w:val="004750EB"/>
    <w:rsid w:val="0047575B"/>
    <w:rsid w:val="00475AAB"/>
    <w:rsid w:val="00476232"/>
    <w:rsid w:val="004765AA"/>
    <w:rsid w:val="00476893"/>
    <w:rsid w:val="00476899"/>
    <w:rsid w:val="00476918"/>
    <w:rsid w:val="0047697D"/>
    <w:rsid w:val="004769C3"/>
    <w:rsid w:val="00476B79"/>
    <w:rsid w:val="00476FCB"/>
    <w:rsid w:val="00477017"/>
    <w:rsid w:val="004770B8"/>
    <w:rsid w:val="00477504"/>
    <w:rsid w:val="004777CC"/>
    <w:rsid w:val="00477AF5"/>
    <w:rsid w:val="00480117"/>
    <w:rsid w:val="004806CC"/>
    <w:rsid w:val="00480964"/>
    <w:rsid w:val="00480A52"/>
    <w:rsid w:val="00480A89"/>
    <w:rsid w:val="00480BE8"/>
    <w:rsid w:val="00481278"/>
    <w:rsid w:val="00481280"/>
    <w:rsid w:val="00481426"/>
    <w:rsid w:val="00481838"/>
    <w:rsid w:val="00481F34"/>
    <w:rsid w:val="00482A06"/>
    <w:rsid w:val="00482C2D"/>
    <w:rsid w:val="00482CC4"/>
    <w:rsid w:val="00482E5F"/>
    <w:rsid w:val="00483164"/>
    <w:rsid w:val="0048329A"/>
    <w:rsid w:val="0048337A"/>
    <w:rsid w:val="00483793"/>
    <w:rsid w:val="00483922"/>
    <w:rsid w:val="004839BB"/>
    <w:rsid w:val="00483B0F"/>
    <w:rsid w:val="00483BBB"/>
    <w:rsid w:val="00483F36"/>
    <w:rsid w:val="00483F8A"/>
    <w:rsid w:val="004841A0"/>
    <w:rsid w:val="00484258"/>
    <w:rsid w:val="00484A6F"/>
    <w:rsid w:val="0048516B"/>
    <w:rsid w:val="0048522D"/>
    <w:rsid w:val="00485776"/>
    <w:rsid w:val="0048582E"/>
    <w:rsid w:val="00485A82"/>
    <w:rsid w:val="00485AA2"/>
    <w:rsid w:val="00485ADB"/>
    <w:rsid w:val="00485B07"/>
    <w:rsid w:val="00485B6C"/>
    <w:rsid w:val="00485B9F"/>
    <w:rsid w:val="00485D58"/>
    <w:rsid w:val="00486032"/>
    <w:rsid w:val="00486129"/>
    <w:rsid w:val="00486B1B"/>
    <w:rsid w:val="00486C09"/>
    <w:rsid w:val="00486E46"/>
    <w:rsid w:val="0048746B"/>
    <w:rsid w:val="0048749F"/>
    <w:rsid w:val="00487EA0"/>
    <w:rsid w:val="00487F6B"/>
    <w:rsid w:val="00487FE2"/>
    <w:rsid w:val="0049021A"/>
    <w:rsid w:val="00490406"/>
    <w:rsid w:val="0049050F"/>
    <w:rsid w:val="0049061F"/>
    <w:rsid w:val="00490681"/>
    <w:rsid w:val="004906D6"/>
    <w:rsid w:val="00490924"/>
    <w:rsid w:val="00490D15"/>
    <w:rsid w:val="00490E06"/>
    <w:rsid w:val="00491641"/>
    <w:rsid w:val="00491719"/>
    <w:rsid w:val="00491810"/>
    <w:rsid w:val="004918CA"/>
    <w:rsid w:val="00491E62"/>
    <w:rsid w:val="00491EA3"/>
    <w:rsid w:val="004922A4"/>
    <w:rsid w:val="0049258B"/>
    <w:rsid w:val="004925F5"/>
    <w:rsid w:val="0049273E"/>
    <w:rsid w:val="00492803"/>
    <w:rsid w:val="004929FB"/>
    <w:rsid w:val="00493046"/>
    <w:rsid w:val="00493505"/>
    <w:rsid w:val="00494348"/>
    <w:rsid w:val="00494B1A"/>
    <w:rsid w:val="004952BC"/>
    <w:rsid w:val="0049539A"/>
    <w:rsid w:val="004953F8"/>
    <w:rsid w:val="0049576C"/>
    <w:rsid w:val="0049595A"/>
    <w:rsid w:val="0049595B"/>
    <w:rsid w:val="00495B9B"/>
    <w:rsid w:val="00495EB9"/>
    <w:rsid w:val="0049635A"/>
    <w:rsid w:val="004965CB"/>
    <w:rsid w:val="0049667F"/>
    <w:rsid w:val="004968CB"/>
    <w:rsid w:val="00496C5D"/>
    <w:rsid w:val="00496CCE"/>
    <w:rsid w:val="00497137"/>
    <w:rsid w:val="00497376"/>
    <w:rsid w:val="004976B2"/>
    <w:rsid w:val="004976DC"/>
    <w:rsid w:val="00497FC3"/>
    <w:rsid w:val="00497FC5"/>
    <w:rsid w:val="004A05C3"/>
    <w:rsid w:val="004A0CE6"/>
    <w:rsid w:val="004A0FD9"/>
    <w:rsid w:val="004A0FDB"/>
    <w:rsid w:val="004A104F"/>
    <w:rsid w:val="004A15CD"/>
    <w:rsid w:val="004A1BB5"/>
    <w:rsid w:val="004A281F"/>
    <w:rsid w:val="004A296A"/>
    <w:rsid w:val="004A2E18"/>
    <w:rsid w:val="004A315B"/>
    <w:rsid w:val="004A3772"/>
    <w:rsid w:val="004A3BCB"/>
    <w:rsid w:val="004A3C44"/>
    <w:rsid w:val="004A3E81"/>
    <w:rsid w:val="004A3ED9"/>
    <w:rsid w:val="004A4088"/>
    <w:rsid w:val="004A4192"/>
    <w:rsid w:val="004A4AD1"/>
    <w:rsid w:val="004A4FE1"/>
    <w:rsid w:val="004A5060"/>
    <w:rsid w:val="004A51A0"/>
    <w:rsid w:val="004A52BD"/>
    <w:rsid w:val="004A53F0"/>
    <w:rsid w:val="004A575E"/>
    <w:rsid w:val="004A5866"/>
    <w:rsid w:val="004A5DCA"/>
    <w:rsid w:val="004A5EFE"/>
    <w:rsid w:val="004A629A"/>
    <w:rsid w:val="004A6484"/>
    <w:rsid w:val="004A67E2"/>
    <w:rsid w:val="004A6889"/>
    <w:rsid w:val="004A6B65"/>
    <w:rsid w:val="004A6BAD"/>
    <w:rsid w:val="004A6DC3"/>
    <w:rsid w:val="004A6FDB"/>
    <w:rsid w:val="004A70EC"/>
    <w:rsid w:val="004A72BA"/>
    <w:rsid w:val="004A7423"/>
    <w:rsid w:val="004A74C6"/>
    <w:rsid w:val="004A7904"/>
    <w:rsid w:val="004A7B6A"/>
    <w:rsid w:val="004B0288"/>
    <w:rsid w:val="004B02C5"/>
    <w:rsid w:val="004B0336"/>
    <w:rsid w:val="004B058A"/>
    <w:rsid w:val="004B07CA"/>
    <w:rsid w:val="004B10E1"/>
    <w:rsid w:val="004B10EE"/>
    <w:rsid w:val="004B18FC"/>
    <w:rsid w:val="004B1C64"/>
    <w:rsid w:val="004B1CA1"/>
    <w:rsid w:val="004B2387"/>
    <w:rsid w:val="004B2A6C"/>
    <w:rsid w:val="004B2C37"/>
    <w:rsid w:val="004B2E72"/>
    <w:rsid w:val="004B30BE"/>
    <w:rsid w:val="004B319A"/>
    <w:rsid w:val="004B32F7"/>
    <w:rsid w:val="004B340B"/>
    <w:rsid w:val="004B3778"/>
    <w:rsid w:val="004B3792"/>
    <w:rsid w:val="004B3B54"/>
    <w:rsid w:val="004B3C9F"/>
    <w:rsid w:val="004B3F1C"/>
    <w:rsid w:val="004B41DA"/>
    <w:rsid w:val="004B42ED"/>
    <w:rsid w:val="004B43D8"/>
    <w:rsid w:val="004B4684"/>
    <w:rsid w:val="004B4704"/>
    <w:rsid w:val="004B47A8"/>
    <w:rsid w:val="004B4990"/>
    <w:rsid w:val="004B4E13"/>
    <w:rsid w:val="004B52E3"/>
    <w:rsid w:val="004B5870"/>
    <w:rsid w:val="004B5C52"/>
    <w:rsid w:val="004B5FB2"/>
    <w:rsid w:val="004B610C"/>
    <w:rsid w:val="004B6788"/>
    <w:rsid w:val="004B685E"/>
    <w:rsid w:val="004B6988"/>
    <w:rsid w:val="004B6B6A"/>
    <w:rsid w:val="004B6D49"/>
    <w:rsid w:val="004B6DB0"/>
    <w:rsid w:val="004B6F84"/>
    <w:rsid w:val="004B714F"/>
    <w:rsid w:val="004B774D"/>
    <w:rsid w:val="004B786B"/>
    <w:rsid w:val="004B7C04"/>
    <w:rsid w:val="004B7C14"/>
    <w:rsid w:val="004B7EA4"/>
    <w:rsid w:val="004C002B"/>
    <w:rsid w:val="004C0037"/>
    <w:rsid w:val="004C00EC"/>
    <w:rsid w:val="004C02B8"/>
    <w:rsid w:val="004C03AE"/>
    <w:rsid w:val="004C0A53"/>
    <w:rsid w:val="004C0EE2"/>
    <w:rsid w:val="004C0F00"/>
    <w:rsid w:val="004C103E"/>
    <w:rsid w:val="004C13D3"/>
    <w:rsid w:val="004C15C0"/>
    <w:rsid w:val="004C1717"/>
    <w:rsid w:val="004C1780"/>
    <w:rsid w:val="004C19C7"/>
    <w:rsid w:val="004C1DB8"/>
    <w:rsid w:val="004C2108"/>
    <w:rsid w:val="004C2624"/>
    <w:rsid w:val="004C28D3"/>
    <w:rsid w:val="004C2EF8"/>
    <w:rsid w:val="004C33AD"/>
    <w:rsid w:val="004C392E"/>
    <w:rsid w:val="004C3B3D"/>
    <w:rsid w:val="004C3BBC"/>
    <w:rsid w:val="004C431D"/>
    <w:rsid w:val="004C4A1A"/>
    <w:rsid w:val="004C4ACE"/>
    <w:rsid w:val="004C4E46"/>
    <w:rsid w:val="004C527C"/>
    <w:rsid w:val="004C5810"/>
    <w:rsid w:val="004C5A4D"/>
    <w:rsid w:val="004C5EC1"/>
    <w:rsid w:val="004C690C"/>
    <w:rsid w:val="004C773F"/>
    <w:rsid w:val="004C778A"/>
    <w:rsid w:val="004C7825"/>
    <w:rsid w:val="004C7A57"/>
    <w:rsid w:val="004C7C52"/>
    <w:rsid w:val="004C7F52"/>
    <w:rsid w:val="004D03FF"/>
    <w:rsid w:val="004D0402"/>
    <w:rsid w:val="004D073B"/>
    <w:rsid w:val="004D0892"/>
    <w:rsid w:val="004D0992"/>
    <w:rsid w:val="004D0C29"/>
    <w:rsid w:val="004D0DF0"/>
    <w:rsid w:val="004D0EAD"/>
    <w:rsid w:val="004D147D"/>
    <w:rsid w:val="004D1858"/>
    <w:rsid w:val="004D1C4F"/>
    <w:rsid w:val="004D1E3B"/>
    <w:rsid w:val="004D1FBD"/>
    <w:rsid w:val="004D21C6"/>
    <w:rsid w:val="004D230D"/>
    <w:rsid w:val="004D2432"/>
    <w:rsid w:val="004D2560"/>
    <w:rsid w:val="004D27E6"/>
    <w:rsid w:val="004D2AF8"/>
    <w:rsid w:val="004D2CA0"/>
    <w:rsid w:val="004D2D71"/>
    <w:rsid w:val="004D3174"/>
    <w:rsid w:val="004D33EC"/>
    <w:rsid w:val="004D3536"/>
    <w:rsid w:val="004D36EB"/>
    <w:rsid w:val="004D3785"/>
    <w:rsid w:val="004D3E6E"/>
    <w:rsid w:val="004D41B1"/>
    <w:rsid w:val="004D4DCF"/>
    <w:rsid w:val="004D4E0D"/>
    <w:rsid w:val="004D4EB3"/>
    <w:rsid w:val="004D51CD"/>
    <w:rsid w:val="004D52E1"/>
    <w:rsid w:val="004D5667"/>
    <w:rsid w:val="004D5A50"/>
    <w:rsid w:val="004D5BF8"/>
    <w:rsid w:val="004D5D27"/>
    <w:rsid w:val="004D628A"/>
    <w:rsid w:val="004D6AE9"/>
    <w:rsid w:val="004D732E"/>
    <w:rsid w:val="004D76A3"/>
    <w:rsid w:val="004D794B"/>
    <w:rsid w:val="004D7B3D"/>
    <w:rsid w:val="004E02E2"/>
    <w:rsid w:val="004E0326"/>
    <w:rsid w:val="004E04FA"/>
    <w:rsid w:val="004E0545"/>
    <w:rsid w:val="004E0A28"/>
    <w:rsid w:val="004E0F1C"/>
    <w:rsid w:val="004E125C"/>
    <w:rsid w:val="004E14FE"/>
    <w:rsid w:val="004E1558"/>
    <w:rsid w:val="004E1A28"/>
    <w:rsid w:val="004E1A48"/>
    <w:rsid w:val="004E1B6B"/>
    <w:rsid w:val="004E1CFF"/>
    <w:rsid w:val="004E1D24"/>
    <w:rsid w:val="004E1D29"/>
    <w:rsid w:val="004E206A"/>
    <w:rsid w:val="004E28A2"/>
    <w:rsid w:val="004E2B27"/>
    <w:rsid w:val="004E2E88"/>
    <w:rsid w:val="004E2FBA"/>
    <w:rsid w:val="004E3692"/>
    <w:rsid w:val="004E3778"/>
    <w:rsid w:val="004E3DD1"/>
    <w:rsid w:val="004E3DFB"/>
    <w:rsid w:val="004E3E51"/>
    <w:rsid w:val="004E3F52"/>
    <w:rsid w:val="004E46F4"/>
    <w:rsid w:val="004E48B4"/>
    <w:rsid w:val="004E4AC7"/>
    <w:rsid w:val="004E4DA8"/>
    <w:rsid w:val="004E5854"/>
    <w:rsid w:val="004E5A0B"/>
    <w:rsid w:val="004E5A84"/>
    <w:rsid w:val="004E5B09"/>
    <w:rsid w:val="004E5DC0"/>
    <w:rsid w:val="004E5ED2"/>
    <w:rsid w:val="004E61DE"/>
    <w:rsid w:val="004E61E6"/>
    <w:rsid w:val="004E6445"/>
    <w:rsid w:val="004E64CF"/>
    <w:rsid w:val="004E6684"/>
    <w:rsid w:val="004E6D70"/>
    <w:rsid w:val="004E7291"/>
    <w:rsid w:val="004E76CF"/>
    <w:rsid w:val="004E77BF"/>
    <w:rsid w:val="004E7B40"/>
    <w:rsid w:val="004F0133"/>
    <w:rsid w:val="004F0350"/>
    <w:rsid w:val="004F07BE"/>
    <w:rsid w:val="004F0850"/>
    <w:rsid w:val="004F0F22"/>
    <w:rsid w:val="004F1368"/>
    <w:rsid w:val="004F142A"/>
    <w:rsid w:val="004F1462"/>
    <w:rsid w:val="004F16C7"/>
    <w:rsid w:val="004F17B7"/>
    <w:rsid w:val="004F185D"/>
    <w:rsid w:val="004F18AA"/>
    <w:rsid w:val="004F1BE7"/>
    <w:rsid w:val="004F1E25"/>
    <w:rsid w:val="004F213E"/>
    <w:rsid w:val="004F3060"/>
    <w:rsid w:val="004F3328"/>
    <w:rsid w:val="004F3376"/>
    <w:rsid w:val="004F357F"/>
    <w:rsid w:val="004F3987"/>
    <w:rsid w:val="004F3989"/>
    <w:rsid w:val="004F39AB"/>
    <w:rsid w:val="004F39F0"/>
    <w:rsid w:val="004F3E25"/>
    <w:rsid w:val="004F3EC2"/>
    <w:rsid w:val="004F3EE6"/>
    <w:rsid w:val="004F43AB"/>
    <w:rsid w:val="004F43C8"/>
    <w:rsid w:val="004F4625"/>
    <w:rsid w:val="004F4769"/>
    <w:rsid w:val="004F486F"/>
    <w:rsid w:val="004F4970"/>
    <w:rsid w:val="004F4B69"/>
    <w:rsid w:val="004F4FF2"/>
    <w:rsid w:val="004F52E8"/>
    <w:rsid w:val="004F538D"/>
    <w:rsid w:val="004F5394"/>
    <w:rsid w:val="004F5488"/>
    <w:rsid w:val="004F559A"/>
    <w:rsid w:val="004F6450"/>
    <w:rsid w:val="004F64A6"/>
    <w:rsid w:val="004F660F"/>
    <w:rsid w:val="004F6BA2"/>
    <w:rsid w:val="004F6EC4"/>
    <w:rsid w:val="004F6F1B"/>
    <w:rsid w:val="004F6F70"/>
    <w:rsid w:val="004F71E1"/>
    <w:rsid w:val="004F727F"/>
    <w:rsid w:val="004F77BA"/>
    <w:rsid w:val="004F7942"/>
    <w:rsid w:val="004F7EFC"/>
    <w:rsid w:val="00500157"/>
    <w:rsid w:val="0050018D"/>
    <w:rsid w:val="0050025C"/>
    <w:rsid w:val="0050029E"/>
    <w:rsid w:val="00500408"/>
    <w:rsid w:val="0050040C"/>
    <w:rsid w:val="0050067F"/>
    <w:rsid w:val="005007A2"/>
    <w:rsid w:val="00500C39"/>
    <w:rsid w:val="00501101"/>
    <w:rsid w:val="005015B5"/>
    <w:rsid w:val="005016D8"/>
    <w:rsid w:val="00501871"/>
    <w:rsid w:val="00501A02"/>
    <w:rsid w:val="00501DE1"/>
    <w:rsid w:val="00502199"/>
    <w:rsid w:val="0050243C"/>
    <w:rsid w:val="005025A6"/>
    <w:rsid w:val="0050266F"/>
    <w:rsid w:val="00502F08"/>
    <w:rsid w:val="005030EE"/>
    <w:rsid w:val="00503346"/>
    <w:rsid w:val="00503477"/>
    <w:rsid w:val="00503539"/>
    <w:rsid w:val="00503563"/>
    <w:rsid w:val="005037A0"/>
    <w:rsid w:val="00503C3B"/>
    <w:rsid w:val="005047FB"/>
    <w:rsid w:val="005048E3"/>
    <w:rsid w:val="00504B99"/>
    <w:rsid w:val="00504CA8"/>
    <w:rsid w:val="00504F2B"/>
    <w:rsid w:val="00505194"/>
    <w:rsid w:val="005051FF"/>
    <w:rsid w:val="005059F0"/>
    <w:rsid w:val="00505AD7"/>
    <w:rsid w:val="005064A9"/>
    <w:rsid w:val="00506580"/>
    <w:rsid w:val="00506608"/>
    <w:rsid w:val="0050665C"/>
    <w:rsid w:val="005066E1"/>
    <w:rsid w:val="00506BFB"/>
    <w:rsid w:val="00506CE3"/>
    <w:rsid w:val="00506CFD"/>
    <w:rsid w:val="00506D04"/>
    <w:rsid w:val="005073FA"/>
    <w:rsid w:val="00507757"/>
    <w:rsid w:val="00507A53"/>
    <w:rsid w:val="00507F0C"/>
    <w:rsid w:val="00507F16"/>
    <w:rsid w:val="00510274"/>
    <w:rsid w:val="005103BE"/>
    <w:rsid w:val="0051042B"/>
    <w:rsid w:val="0051063F"/>
    <w:rsid w:val="00510D61"/>
    <w:rsid w:val="00511052"/>
    <w:rsid w:val="00511083"/>
    <w:rsid w:val="005111A6"/>
    <w:rsid w:val="00511732"/>
    <w:rsid w:val="005118EC"/>
    <w:rsid w:val="00511D38"/>
    <w:rsid w:val="00511E36"/>
    <w:rsid w:val="005126EB"/>
    <w:rsid w:val="0051274C"/>
    <w:rsid w:val="00513570"/>
    <w:rsid w:val="0051374B"/>
    <w:rsid w:val="00513755"/>
    <w:rsid w:val="0051398E"/>
    <w:rsid w:val="00513A3F"/>
    <w:rsid w:val="00513B7D"/>
    <w:rsid w:val="00513BFA"/>
    <w:rsid w:val="00514030"/>
    <w:rsid w:val="005140C1"/>
    <w:rsid w:val="00514471"/>
    <w:rsid w:val="005147E6"/>
    <w:rsid w:val="00514812"/>
    <w:rsid w:val="00514AEA"/>
    <w:rsid w:val="00515008"/>
    <w:rsid w:val="0051511E"/>
    <w:rsid w:val="00515E90"/>
    <w:rsid w:val="005164DD"/>
    <w:rsid w:val="00516AFE"/>
    <w:rsid w:val="00516BC0"/>
    <w:rsid w:val="005172A0"/>
    <w:rsid w:val="00517506"/>
    <w:rsid w:val="0051755C"/>
    <w:rsid w:val="00517702"/>
    <w:rsid w:val="00517B65"/>
    <w:rsid w:val="00517D51"/>
    <w:rsid w:val="00520147"/>
    <w:rsid w:val="0052037F"/>
    <w:rsid w:val="00520429"/>
    <w:rsid w:val="0052044B"/>
    <w:rsid w:val="0052138B"/>
    <w:rsid w:val="005214D8"/>
    <w:rsid w:val="0052150C"/>
    <w:rsid w:val="0052197F"/>
    <w:rsid w:val="00521B94"/>
    <w:rsid w:val="00521CD1"/>
    <w:rsid w:val="00521CE0"/>
    <w:rsid w:val="00521F63"/>
    <w:rsid w:val="00522174"/>
    <w:rsid w:val="00522377"/>
    <w:rsid w:val="00522562"/>
    <w:rsid w:val="005225D6"/>
    <w:rsid w:val="00522951"/>
    <w:rsid w:val="005229E6"/>
    <w:rsid w:val="00522ADE"/>
    <w:rsid w:val="00522D5E"/>
    <w:rsid w:val="00523125"/>
    <w:rsid w:val="00523236"/>
    <w:rsid w:val="00523317"/>
    <w:rsid w:val="005235C6"/>
    <w:rsid w:val="005240F6"/>
    <w:rsid w:val="0052437A"/>
    <w:rsid w:val="005244A7"/>
    <w:rsid w:val="00524705"/>
    <w:rsid w:val="0052470F"/>
    <w:rsid w:val="0052517B"/>
    <w:rsid w:val="0052525C"/>
    <w:rsid w:val="0052648C"/>
    <w:rsid w:val="005264D0"/>
    <w:rsid w:val="00526509"/>
    <w:rsid w:val="0052679C"/>
    <w:rsid w:val="00526D4B"/>
    <w:rsid w:val="00526F14"/>
    <w:rsid w:val="00526FB9"/>
    <w:rsid w:val="005272B4"/>
    <w:rsid w:val="00527E79"/>
    <w:rsid w:val="00527F09"/>
    <w:rsid w:val="005300BD"/>
    <w:rsid w:val="00530134"/>
    <w:rsid w:val="005301D9"/>
    <w:rsid w:val="00530792"/>
    <w:rsid w:val="00530B4B"/>
    <w:rsid w:val="00530C2F"/>
    <w:rsid w:val="00530D2B"/>
    <w:rsid w:val="00531D11"/>
    <w:rsid w:val="00532874"/>
    <w:rsid w:val="00532914"/>
    <w:rsid w:val="00532ABC"/>
    <w:rsid w:val="00533FBB"/>
    <w:rsid w:val="0053411E"/>
    <w:rsid w:val="00534393"/>
    <w:rsid w:val="0053462D"/>
    <w:rsid w:val="0053467E"/>
    <w:rsid w:val="005349E9"/>
    <w:rsid w:val="00534BEE"/>
    <w:rsid w:val="0053505B"/>
    <w:rsid w:val="005351BB"/>
    <w:rsid w:val="005355CA"/>
    <w:rsid w:val="00535719"/>
    <w:rsid w:val="00535BDC"/>
    <w:rsid w:val="00535D8F"/>
    <w:rsid w:val="00535DDA"/>
    <w:rsid w:val="00535E2C"/>
    <w:rsid w:val="0053619D"/>
    <w:rsid w:val="0053619F"/>
    <w:rsid w:val="00536902"/>
    <w:rsid w:val="00536E5C"/>
    <w:rsid w:val="00537096"/>
    <w:rsid w:val="0053786B"/>
    <w:rsid w:val="00537A6E"/>
    <w:rsid w:val="00537E13"/>
    <w:rsid w:val="005403FA"/>
    <w:rsid w:val="005408B1"/>
    <w:rsid w:val="0054095D"/>
    <w:rsid w:val="0054098C"/>
    <w:rsid w:val="00540AFF"/>
    <w:rsid w:val="00540E9A"/>
    <w:rsid w:val="00540F42"/>
    <w:rsid w:val="00540FF8"/>
    <w:rsid w:val="005411A9"/>
    <w:rsid w:val="005413C2"/>
    <w:rsid w:val="00541DA6"/>
    <w:rsid w:val="00542993"/>
    <w:rsid w:val="00542AFB"/>
    <w:rsid w:val="00542B1C"/>
    <w:rsid w:val="00542D4F"/>
    <w:rsid w:val="00542F2B"/>
    <w:rsid w:val="00542F48"/>
    <w:rsid w:val="00543109"/>
    <w:rsid w:val="005434A9"/>
    <w:rsid w:val="00543527"/>
    <w:rsid w:val="00543F0C"/>
    <w:rsid w:val="0054439C"/>
    <w:rsid w:val="005443F1"/>
    <w:rsid w:val="0054453B"/>
    <w:rsid w:val="0054514F"/>
    <w:rsid w:val="00545972"/>
    <w:rsid w:val="00545A12"/>
    <w:rsid w:val="00545A25"/>
    <w:rsid w:val="00546358"/>
    <w:rsid w:val="00546723"/>
    <w:rsid w:val="005467D9"/>
    <w:rsid w:val="005468DD"/>
    <w:rsid w:val="00546930"/>
    <w:rsid w:val="00546A17"/>
    <w:rsid w:val="00546B77"/>
    <w:rsid w:val="00546EA8"/>
    <w:rsid w:val="005472B7"/>
    <w:rsid w:val="005472CF"/>
    <w:rsid w:val="00547BDE"/>
    <w:rsid w:val="00547EDA"/>
    <w:rsid w:val="00550306"/>
    <w:rsid w:val="005503CD"/>
    <w:rsid w:val="005504A4"/>
    <w:rsid w:val="00550B93"/>
    <w:rsid w:val="00551202"/>
    <w:rsid w:val="00551734"/>
    <w:rsid w:val="00551893"/>
    <w:rsid w:val="00551F54"/>
    <w:rsid w:val="005522AF"/>
    <w:rsid w:val="005526DF"/>
    <w:rsid w:val="005528E7"/>
    <w:rsid w:val="00552DDB"/>
    <w:rsid w:val="00553532"/>
    <w:rsid w:val="005535A8"/>
    <w:rsid w:val="00553752"/>
    <w:rsid w:val="005539F9"/>
    <w:rsid w:val="00553A88"/>
    <w:rsid w:val="00553AA5"/>
    <w:rsid w:val="00553C85"/>
    <w:rsid w:val="00553DB6"/>
    <w:rsid w:val="00553FE4"/>
    <w:rsid w:val="00554233"/>
    <w:rsid w:val="00554272"/>
    <w:rsid w:val="005547D5"/>
    <w:rsid w:val="00554A47"/>
    <w:rsid w:val="00555040"/>
    <w:rsid w:val="00555447"/>
    <w:rsid w:val="00555541"/>
    <w:rsid w:val="00555706"/>
    <w:rsid w:val="0055696F"/>
    <w:rsid w:val="00556B3B"/>
    <w:rsid w:val="00556E45"/>
    <w:rsid w:val="0055761B"/>
    <w:rsid w:val="00557662"/>
    <w:rsid w:val="005579BC"/>
    <w:rsid w:val="005605E0"/>
    <w:rsid w:val="005608DE"/>
    <w:rsid w:val="00560916"/>
    <w:rsid w:val="00560ABE"/>
    <w:rsid w:val="005617EA"/>
    <w:rsid w:val="005618D4"/>
    <w:rsid w:val="005618D7"/>
    <w:rsid w:val="00561D4C"/>
    <w:rsid w:val="00561F6F"/>
    <w:rsid w:val="00562495"/>
    <w:rsid w:val="00562900"/>
    <w:rsid w:val="00563171"/>
    <w:rsid w:val="00563300"/>
    <w:rsid w:val="00563650"/>
    <w:rsid w:val="00563777"/>
    <w:rsid w:val="0056388E"/>
    <w:rsid w:val="00563BD5"/>
    <w:rsid w:val="00563C78"/>
    <w:rsid w:val="00564024"/>
    <w:rsid w:val="005640D5"/>
    <w:rsid w:val="0056427D"/>
    <w:rsid w:val="0056465A"/>
    <w:rsid w:val="005646DC"/>
    <w:rsid w:val="005647E2"/>
    <w:rsid w:val="00564A2B"/>
    <w:rsid w:val="00564DF4"/>
    <w:rsid w:val="005651D8"/>
    <w:rsid w:val="00565B82"/>
    <w:rsid w:val="005663F3"/>
    <w:rsid w:val="00566494"/>
    <w:rsid w:val="005669B3"/>
    <w:rsid w:val="00566B25"/>
    <w:rsid w:val="00566B2E"/>
    <w:rsid w:val="00566D08"/>
    <w:rsid w:val="00567981"/>
    <w:rsid w:val="005679E3"/>
    <w:rsid w:val="00567BF7"/>
    <w:rsid w:val="0057009F"/>
    <w:rsid w:val="005702B8"/>
    <w:rsid w:val="00570BF1"/>
    <w:rsid w:val="00570FF7"/>
    <w:rsid w:val="005710CF"/>
    <w:rsid w:val="00571268"/>
    <w:rsid w:val="0057162E"/>
    <w:rsid w:val="00571782"/>
    <w:rsid w:val="00571838"/>
    <w:rsid w:val="0057186D"/>
    <w:rsid w:val="0057194C"/>
    <w:rsid w:val="00571B0B"/>
    <w:rsid w:val="00572052"/>
    <w:rsid w:val="005720AC"/>
    <w:rsid w:val="005720CC"/>
    <w:rsid w:val="005728EF"/>
    <w:rsid w:val="00572B88"/>
    <w:rsid w:val="00572E7E"/>
    <w:rsid w:val="00572EEA"/>
    <w:rsid w:val="005732B7"/>
    <w:rsid w:val="00573389"/>
    <w:rsid w:val="0057381C"/>
    <w:rsid w:val="005738DC"/>
    <w:rsid w:val="00573ACC"/>
    <w:rsid w:val="00573C1F"/>
    <w:rsid w:val="00573D3B"/>
    <w:rsid w:val="00573E28"/>
    <w:rsid w:val="00573E46"/>
    <w:rsid w:val="00573EF0"/>
    <w:rsid w:val="00574096"/>
    <w:rsid w:val="00574108"/>
    <w:rsid w:val="00574BFE"/>
    <w:rsid w:val="00574CBA"/>
    <w:rsid w:val="00574E9B"/>
    <w:rsid w:val="0057535C"/>
    <w:rsid w:val="00575A9C"/>
    <w:rsid w:val="00575B77"/>
    <w:rsid w:val="00575D72"/>
    <w:rsid w:val="0057650C"/>
    <w:rsid w:val="005765DB"/>
    <w:rsid w:val="00576898"/>
    <w:rsid w:val="00576990"/>
    <w:rsid w:val="005769C8"/>
    <w:rsid w:val="00576AB4"/>
    <w:rsid w:val="00576B57"/>
    <w:rsid w:val="00576E65"/>
    <w:rsid w:val="00577185"/>
    <w:rsid w:val="00577304"/>
    <w:rsid w:val="0057731E"/>
    <w:rsid w:val="005776F1"/>
    <w:rsid w:val="005777FF"/>
    <w:rsid w:val="00577B4A"/>
    <w:rsid w:val="00577BDC"/>
    <w:rsid w:val="00577FE2"/>
    <w:rsid w:val="0058015B"/>
    <w:rsid w:val="00580529"/>
    <w:rsid w:val="00580B43"/>
    <w:rsid w:val="00580D26"/>
    <w:rsid w:val="0058114E"/>
    <w:rsid w:val="005812D6"/>
    <w:rsid w:val="00581599"/>
    <w:rsid w:val="00581624"/>
    <w:rsid w:val="00581B69"/>
    <w:rsid w:val="00581B96"/>
    <w:rsid w:val="00581C46"/>
    <w:rsid w:val="00581F00"/>
    <w:rsid w:val="00581FF4"/>
    <w:rsid w:val="0058218D"/>
    <w:rsid w:val="005822B6"/>
    <w:rsid w:val="00582530"/>
    <w:rsid w:val="005826E1"/>
    <w:rsid w:val="00582961"/>
    <w:rsid w:val="00582C11"/>
    <w:rsid w:val="00582E55"/>
    <w:rsid w:val="00582ECB"/>
    <w:rsid w:val="0058323D"/>
    <w:rsid w:val="005832EE"/>
    <w:rsid w:val="00583306"/>
    <w:rsid w:val="00583938"/>
    <w:rsid w:val="00583EF2"/>
    <w:rsid w:val="00584198"/>
    <w:rsid w:val="005844AB"/>
    <w:rsid w:val="00584988"/>
    <w:rsid w:val="00584AC0"/>
    <w:rsid w:val="00584BB2"/>
    <w:rsid w:val="00584C4C"/>
    <w:rsid w:val="00585114"/>
    <w:rsid w:val="00585156"/>
    <w:rsid w:val="0058531D"/>
    <w:rsid w:val="005853D3"/>
    <w:rsid w:val="005857D7"/>
    <w:rsid w:val="00585906"/>
    <w:rsid w:val="00585DEC"/>
    <w:rsid w:val="00585E11"/>
    <w:rsid w:val="005866E5"/>
    <w:rsid w:val="005869DC"/>
    <w:rsid w:val="005869FE"/>
    <w:rsid w:val="00586EE3"/>
    <w:rsid w:val="00586FC1"/>
    <w:rsid w:val="00586FE7"/>
    <w:rsid w:val="0058703A"/>
    <w:rsid w:val="00587386"/>
    <w:rsid w:val="005874A0"/>
    <w:rsid w:val="005874E4"/>
    <w:rsid w:val="005875DC"/>
    <w:rsid w:val="00587CAD"/>
    <w:rsid w:val="005902FB"/>
    <w:rsid w:val="0059073D"/>
    <w:rsid w:val="00590992"/>
    <w:rsid w:val="005909B3"/>
    <w:rsid w:val="00590A76"/>
    <w:rsid w:val="00591354"/>
    <w:rsid w:val="00591661"/>
    <w:rsid w:val="005919C8"/>
    <w:rsid w:val="00592075"/>
    <w:rsid w:val="00592364"/>
    <w:rsid w:val="0059248E"/>
    <w:rsid w:val="00592C44"/>
    <w:rsid w:val="00592D7C"/>
    <w:rsid w:val="00593178"/>
    <w:rsid w:val="0059378E"/>
    <w:rsid w:val="0059395D"/>
    <w:rsid w:val="00593D96"/>
    <w:rsid w:val="00593E37"/>
    <w:rsid w:val="00593F00"/>
    <w:rsid w:val="0059418E"/>
    <w:rsid w:val="005945BC"/>
    <w:rsid w:val="005946F7"/>
    <w:rsid w:val="00594DD5"/>
    <w:rsid w:val="005951C4"/>
    <w:rsid w:val="00595518"/>
    <w:rsid w:val="005956EC"/>
    <w:rsid w:val="0059577E"/>
    <w:rsid w:val="005957FD"/>
    <w:rsid w:val="0059597D"/>
    <w:rsid w:val="00595A3D"/>
    <w:rsid w:val="00595AEA"/>
    <w:rsid w:val="00595DB4"/>
    <w:rsid w:val="005966C1"/>
    <w:rsid w:val="005967D0"/>
    <w:rsid w:val="00596A16"/>
    <w:rsid w:val="00596A43"/>
    <w:rsid w:val="005972ED"/>
    <w:rsid w:val="005975B7"/>
    <w:rsid w:val="00597634"/>
    <w:rsid w:val="00597B92"/>
    <w:rsid w:val="00597C35"/>
    <w:rsid w:val="00597C4C"/>
    <w:rsid w:val="005A01B4"/>
    <w:rsid w:val="005A030D"/>
    <w:rsid w:val="005A0D7B"/>
    <w:rsid w:val="005A0EB4"/>
    <w:rsid w:val="005A0FC4"/>
    <w:rsid w:val="005A1391"/>
    <w:rsid w:val="005A168D"/>
    <w:rsid w:val="005A17E5"/>
    <w:rsid w:val="005A1A44"/>
    <w:rsid w:val="005A1B02"/>
    <w:rsid w:val="005A1E8F"/>
    <w:rsid w:val="005A21A3"/>
    <w:rsid w:val="005A2366"/>
    <w:rsid w:val="005A280E"/>
    <w:rsid w:val="005A2C3B"/>
    <w:rsid w:val="005A2C8B"/>
    <w:rsid w:val="005A3007"/>
    <w:rsid w:val="005A30C6"/>
    <w:rsid w:val="005A35C7"/>
    <w:rsid w:val="005A3663"/>
    <w:rsid w:val="005A3FD3"/>
    <w:rsid w:val="005A42D6"/>
    <w:rsid w:val="005A4394"/>
    <w:rsid w:val="005A43C0"/>
    <w:rsid w:val="005A46F0"/>
    <w:rsid w:val="005A49B4"/>
    <w:rsid w:val="005A4A4C"/>
    <w:rsid w:val="005A4AEC"/>
    <w:rsid w:val="005A4ED9"/>
    <w:rsid w:val="005A51B1"/>
    <w:rsid w:val="005A545A"/>
    <w:rsid w:val="005A5A13"/>
    <w:rsid w:val="005A5FB3"/>
    <w:rsid w:val="005A63C8"/>
    <w:rsid w:val="005A6847"/>
    <w:rsid w:val="005A6EEF"/>
    <w:rsid w:val="005A746B"/>
    <w:rsid w:val="005A7A76"/>
    <w:rsid w:val="005A7CC5"/>
    <w:rsid w:val="005A7F0E"/>
    <w:rsid w:val="005B04B5"/>
    <w:rsid w:val="005B088C"/>
    <w:rsid w:val="005B0ADD"/>
    <w:rsid w:val="005B0C60"/>
    <w:rsid w:val="005B0F4B"/>
    <w:rsid w:val="005B1063"/>
    <w:rsid w:val="005B11FD"/>
    <w:rsid w:val="005B1805"/>
    <w:rsid w:val="005B1C9C"/>
    <w:rsid w:val="005B1E46"/>
    <w:rsid w:val="005B22C5"/>
    <w:rsid w:val="005B22F2"/>
    <w:rsid w:val="005B249F"/>
    <w:rsid w:val="005B33B0"/>
    <w:rsid w:val="005B33EA"/>
    <w:rsid w:val="005B36C5"/>
    <w:rsid w:val="005B37CE"/>
    <w:rsid w:val="005B384E"/>
    <w:rsid w:val="005B3979"/>
    <w:rsid w:val="005B39D3"/>
    <w:rsid w:val="005B4302"/>
    <w:rsid w:val="005B44FA"/>
    <w:rsid w:val="005B4A87"/>
    <w:rsid w:val="005B4B22"/>
    <w:rsid w:val="005B4C1D"/>
    <w:rsid w:val="005B5363"/>
    <w:rsid w:val="005B54A2"/>
    <w:rsid w:val="005B5760"/>
    <w:rsid w:val="005B5E03"/>
    <w:rsid w:val="005B5EA7"/>
    <w:rsid w:val="005B6B25"/>
    <w:rsid w:val="005B6BC9"/>
    <w:rsid w:val="005B6EBB"/>
    <w:rsid w:val="005B6F2B"/>
    <w:rsid w:val="005B6F7B"/>
    <w:rsid w:val="005B7012"/>
    <w:rsid w:val="005B70C6"/>
    <w:rsid w:val="005B7707"/>
    <w:rsid w:val="005B791D"/>
    <w:rsid w:val="005B7973"/>
    <w:rsid w:val="005B7AFF"/>
    <w:rsid w:val="005B7C67"/>
    <w:rsid w:val="005C0489"/>
    <w:rsid w:val="005C0653"/>
    <w:rsid w:val="005C079E"/>
    <w:rsid w:val="005C0820"/>
    <w:rsid w:val="005C09F5"/>
    <w:rsid w:val="005C0A6F"/>
    <w:rsid w:val="005C13FA"/>
    <w:rsid w:val="005C17D7"/>
    <w:rsid w:val="005C1C2A"/>
    <w:rsid w:val="005C1CA1"/>
    <w:rsid w:val="005C1ED3"/>
    <w:rsid w:val="005C3120"/>
    <w:rsid w:val="005C3BF0"/>
    <w:rsid w:val="005C3DB0"/>
    <w:rsid w:val="005C3E3D"/>
    <w:rsid w:val="005C3E3F"/>
    <w:rsid w:val="005C3EDA"/>
    <w:rsid w:val="005C4261"/>
    <w:rsid w:val="005C4293"/>
    <w:rsid w:val="005C429A"/>
    <w:rsid w:val="005C4ED0"/>
    <w:rsid w:val="005C5064"/>
    <w:rsid w:val="005C512A"/>
    <w:rsid w:val="005C5218"/>
    <w:rsid w:val="005C5276"/>
    <w:rsid w:val="005C5E37"/>
    <w:rsid w:val="005C5F0E"/>
    <w:rsid w:val="005C5F85"/>
    <w:rsid w:val="005C5FAA"/>
    <w:rsid w:val="005C615F"/>
    <w:rsid w:val="005C624C"/>
    <w:rsid w:val="005C63F7"/>
    <w:rsid w:val="005C64FE"/>
    <w:rsid w:val="005C6587"/>
    <w:rsid w:val="005C67F9"/>
    <w:rsid w:val="005C69D5"/>
    <w:rsid w:val="005C6D24"/>
    <w:rsid w:val="005C6D65"/>
    <w:rsid w:val="005C7560"/>
    <w:rsid w:val="005C760E"/>
    <w:rsid w:val="005C786C"/>
    <w:rsid w:val="005C7905"/>
    <w:rsid w:val="005D05B5"/>
    <w:rsid w:val="005D06A9"/>
    <w:rsid w:val="005D06B6"/>
    <w:rsid w:val="005D0877"/>
    <w:rsid w:val="005D089C"/>
    <w:rsid w:val="005D0C2A"/>
    <w:rsid w:val="005D0C61"/>
    <w:rsid w:val="005D0DFE"/>
    <w:rsid w:val="005D0E10"/>
    <w:rsid w:val="005D0E1E"/>
    <w:rsid w:val="005D147B"/>
    <w:rsid w:val="005D15BB"/>
    <w:rsid w:val="005D15D0"/>
    <w:rsid w:val="005D1D92"/>
    <w:rsid w:val="005D1F48"/>
    <w:rsid w:val="005D219F"/>
    <w:rsid w:val="005D24A4"/>
    <w:rsid w:val="005D257A"/>
    <w:rsid w:val="005D2BEA"/>
    <w:rsid w:val="005D2FDD"/>
    <w:rsid w:val="005D31CD"/>
    <w:rsid w:val="005D3402"/>
    <w:rsid w:val="005D3452"/>
    <w:rsid w:val="005D3476"/>
    <w:rsid w:val="005D360F"/>
    <w:rsid w:val="005D3628"/>
    <w:rsid w:val="005D3761"/>
    <w:rsid w:val="005D3BFB"/>
    <w:rsid w:val="005D414D"/>
    <w:rsid w:val="005D466E"/>
    <w:rsid w:val="005D46F1"/>
    <w:rsid w:val="005D4C89"/>
    <w:rsid w:val="005D4CFC"/>
    <w:rsid w:val="005D4EC1"/>
    <w:rsid w:val="005D4FBE"/>
    <w:rsid w:val="005D4FCC"/>
    <w:rsid w:val="005D525B"/>
    <w:rsid w:val="005D54F3"/>
    <w:rsid w:val="005D56DB"/>
    <w:rsid w:val="005D5D25"/>
    <w:rsid w:val="005D5E50"/>
    <w:rsid w:val="005D61F6"/>
    <w:rsid w:val="005D68F4"/>
    <w:rsid w:val="005D6B73"/>
    <w:rsid w:val="005D6B94"/>
    <w:rsid w:val="005D6D13"/>
    <w:rsid w:val="005D7522"/>
    <w:rsid w:val="005D787C"/>
    <w:rsid w:val="005D7BC8"/>
    <w:rsid w:val="005D7F48"/>
    <w:rsid w:val="005E0262"/>
    <w:rsid w:val="005E05B2"/>
    <w:rsid w:val="005E0948"/>
    <w:rsid w:val="005E0CCA"/>
    <w:rsid w:val="005E0D67"/>
    <w:rsid w:val="005E0D9F"/>
    <w:rsid w:val="005E0F32"/>
    <w:rsid w:val="005E13AE"/>
    <w:rsid w:val="005E1462"/>
    <w:rsid w:val="005E1509"/>
    <w:rsid w:val="005E1921"/>
    <w:rsid w:val="005E197E"/>
    <w:rsid w:val="005E1A06"/>
    <w:rsid w:val="005E1A6E"/>
    <w:rsid w:val="005E1E83"/>
    <w:rsid w:val="005E2045"/>
    <w:rsid w:val="005E246E"/>
    <w:rsid w:val="005E27CA"/>
    <w:rsid w:val="005E2F04"/>
    <w:rsid w:val="005E30EE"/>
    <w:rsid w:val="005E3B5A"/>
    <w:rsid w:val="005E3C8B"/>
    <w:rsid w:val="005E3FB8"/>
    <w:rsid w:val="005E4143"/>
    <w:rsid w:val="005E427C"/>
    <w:rsid w:val="005E44EA"/>
    <w:rsid w:val="005E4732"/>
    <w:rsid w:val="005E4AD1"/>
    <w:rsid w:val="005E4C39"/>
    <w:rsid w:val="005E4F40"/>
    <w:rsid w:val="005E5009"/>
    <w:rsid w:val="005E52AF"/>
    <w:rsid w:val="005E5685"/>
    <w:rsid w:val="005E59CF"/>
    <w:rsid w:val="005E5C85"/>
    <w:rsid w:val="005E5CC1"/>
    <w:rsid w:val="005E5DE0"/>
    <w:rsid w:val="005E5E3A"/>
    <w:rsid w:val="005E5F1D"/>
    <w:rsid w:val="005E64A3"/>
    <w:rsid w:val="005E6AAD"/>
    <w:rsid w:val="005E76E5"/>
    <w:rsid w:val="005E78FD"/>
    <w:rsid w:val="005E7AD4"/>
    <w:rsid w:val="005E7AF8"/>
    <w:rsid w:val="005E7B05"/>
    <w:rsid w:val="005E7B76"/>
    <w:rsid w:val="005E7EB7"/>
    <w:rsid w:val="005E7F7F"/>
    <w:rsid w:val="005E7FBF"/>
    <w:rsid w:val="005F037C"/>
    <w:rsid w:val="005F05E2"/>
    <w:rsid w:val="005F06B2"/>
    <w:rsid w:val="005F0AC1"/>
    <w:rsid w:val="005F0C18"/>
    <w:rsid w:val="005F0F05"/>
    <w:rsid w:val="005F174A"/>
    <w:rsid w:val="005F1BAF"/>
    <w:rsid w:val="005F1BF0"/>
    <w:rsid w:val="005F2198"/>
    <w:rsid w:val="005F23B7"/>
    <w:rsid w:val="005F2664"/>
    <w:rsid w:val="005F26AC"/>
    <w:rsid w:val="005F26E5"/>
    <w:rsid w:val="005F2D72"/>
    <w:rsid w:val="005F30E9"/>
    <w:rsid w:val="005F31C7"/>
    <w:rsid w:val="005F3273"/>
    <w:rsid w:val="005F32F8"/>
    <w:rsid w:val="005F3A3A"/>
    <w:rsid w:val="005F3ACE"/>
    <w:rsid w:val="005F3BE0"/>
    <w:rsid w:val="005F3C2D"/>
    <w:rsid w:val="005F3D08"/>
    <w:rsid w:val="005F4044"/>
    <w:rsid w:val="005F4312"/>
    <w:rsid w:val="005F4529"/>
    <w:rsid w:val="005F4B92"/>
    <w:rsid w:val="005F4CAC"/>
    <w:rsid w:val="005F5704"/>
    <w:rsid w:val="005F5F2F"/>
    <w:rsid w:val="005F5F67"/>
    <w:rsid w:val="005F6499"/>
    <w:rsid w:val="005F650B"/>
    <w:rsid w:val="005F690A"/>
    <w:rsid w:val="005F69B6"/>
    <w:rsid w:val="005F700E"/>
    <w:rsid w:val="005F793E"/>
    <w:rsid w:val="005F7CB7"/>
    <w:rsid w:val="006000A9"/>
    <w:rsid w:val="006005A4"/>
    <w:rsid w:val="00600954"/>
    <w:rsid w:val="00600BCA"/>
    <w:rsid w:val="00600E84"/>
    <w:rsid w:val="00601039"/>
    <w:rsid w:val="006015C3"/>
    <w:rsid w:val="0060167E"/>
    <w:rsid w:val="006018CB"/>
    <w:rsid w:val="0060201E"/>
    <w:rsid w:val="006028A7"/>
    <w:rsid w:val="00602A49"/>
    <w:rsid w:val="00602A5C"/>
    <w:rsid w:val="00602B17"/>
    <w:rsid w:val="00603A1F"/>
    <w:rsid w:val="00603E30"/>
    <w:rsid w:val="00604064"/>
    <w:rsid w:val="006040E7"/>
    <w:rsid w:val="0060416F"/>
    <w:rsid w:val="00604185"/>
    <w:rsid w:val="006043B2"/>
    <w:rsid w:val="006043EC"/>
    <w:rsid w:val="00604450"/>
    <w:rsid w:val="00604629"/>
    <w:rsid w:val="00604C9C"/>
    <w:rsid w:val="00604D0F"/>
    <w:rsid w:val="00604F26"/>
    <w:rsid w:val="006050D1"/>
    <w:rsid w:val="006053C0"/>
    <w:rsid w:val="0060561C"/>
    <w:rsid w:val="00605746"/>
    <w:rsid w:val="00605961"/>
    <w:rsid w:val="00605D10"/>
    <w:rsid w:val="0060607D"/>
    <w:rsid w:val="006062FF"/>
    <w:rsid w:val="00606534"/>
    <w:rsid w:val="00606B32"/>
    <w:rsid w:val="00606B88"/>
    <w:rsid w:val="00606BB3"/>
    <w:rsid w:val="00606D56"/>
    <w:rsid w:val="00606DBF"/>
    <w:rsid w:val="00606E45"/>
    <w:rsid w:val="00606F70"/>
    <w:rsid w:val="0060799C"/>
    <w:rsid w:val="00607C52"/>
    <w:rsid w:val="00607FF6"/>
    <w:rsid w:val="006100A5"/>
    <w:rsid w:val="00610285"/>
    <w:rsid w:val="006104B8"/>
    <w:rsid w:val="00610A6D"/>
    <w:rsid w:val="00610B82"/>
    <w:rsid w:val="00611920"/>
    <w:rsid w:val="00611C4D"/>
    <w:rsid w:val="0061232C"/>
    <w:rsid w:val="006126CC"/>
    <w:rsid w:val="00612C3F"/>
    <w:rsid w:val="00612CAA"/>
    <w:rsid w:val="00613E36"/>
    <w:rsid w:val="006144FC"/>
    <w:rsid w:val="006145E8"/>
    <w:rsid w:val="00614651"/>
    <w:rsid w:val="006155A6"/>
    <w:rsid w:val="00615675"/>
    <w:rsid w:val="00615A4A"/>
    <w:rsid w:val="00615ABD"/>
    <w:rsid w:val="00615C81"/>
    <w:rsid w:val="00615FBF"/>
    <w:rsid w:val="00615FF2"/>
    <w:rsid w:val="00616128"/>
    <w:rsid w:val="006165E4"/>
    <w:rsid w:val="00616770"/>
    <w:rsid w:val="00616C66"/>
    <w:rsid w:val="00617253"/>
    <w:rsid w:val="00617428"/>
    <w:rsid w:val="0061745D"/>
    <w:rsid w:val="0061773C"/>
    <w:rsid w:val="006177E8"/>
    <w:rsid w:val="00617839"/>
    <w:rsid w:val="00617A8A"/>
    <w:rsid w:val="006204F6"/>
    <w:rsid w:val="006205ED"/>
    <w:rsid w:val="00620792"/>
    <w:rsid w:val="00620820"/>
    <w:rsid w:val="006208D0"/>
    <w:rsid w:val="00620AAA"/>
    <w:rsid w:val="00620E65"/>
    <w:rsid w:val="00620EAC"/>
    <w:rsid w:val="00621755"/>
    <w:rsid w:val="00621BAD"/>
    <w:rsid w:val="00621CD6"/>
    <w:rsid w:val="00621D5D"/>
    <w:rsid w:val="00622558"/>
    <w:rsid w:val="00622CBD"/>
    <w:rsid w:val="00622F66"/>
    <w:rsid w:val="006230AF"/>
    <w:rsid w:val="0062319A"/>
    <w:rsid w:val="00623337"/>
    <w:rsid w:val="0062355A"/>
    <w:rsid w:val="006235D2"/>
    <w:rsid w:val="0062372B"/>
    <w:rsid w:val="006237E4"/>
    <w:rsid w:val="00623AA6"/>
    <w:rsid w:val="00623DF6"/>
    <w:rsid w:val="0062405F"/>
    <w:rsid w:val="00624135"/>
    <w:rsid w:val="00624375"/>
    <w:rsid w:val="00624875"/>
    <w:rsid w:val="00624AB8"/>
    <w:rsid w:val="00624C82"/>
    <w:rsid w:val="00624FF4"/>
    <w:rsid w:val="0062517E"/>
    <w:rsid w:val="00625193"/>
    <w:rsid w:val="00625256"/>
    <w:rsid w:val="006255EA"/>
    <w:rsid w:val="006264E1"/>
    <w:rsid w:val="00626C27"/>
    <w:rsid w:val="00627311"/>
    <w:rsid w:val="00627430"/>
    <w:rsid w:val="006274CC"/>
    <w:rsid w:val="00627566"/>
    <w:rsid w:val="00627697"/>
    <w:rsid w:val="00627770"/>
    <w:rsid w:val="006279C7"/>
    <w:rsid w:val="00627DE1"/>
    <w:rsid w:val="00630251"/>
    <w:rsid w:val="0063043B"/>
    <w:rsid w:val="006305A4"/>
    <w:rsid w:val="00630A2E"/>
    <w:rsid w:val="00630CEF"/>
    <w:rsid w:val="00630FA1"/>
    <w:rsid w:val="00631112"/>
    <w:rsid w:val="0063112A"/>
    <w:rsid w:val="00631338"/>
    <w:rsid w:val="0063163E"/>
    <w:rsid w:val="00631A7E"/>
    <w:rsid w:val="00631B9B"/>
    <w:rsid w:val="00631E17"/>
    <w:rsid w:val="00631E50"/>
    <w:rsid w:val="006320CF"/>
    <w:rsid w:val="00632139"/>
    <w:rsid w:val="006324A7"/>
    <w:rsid w:val="00632749"/>
    <w:rsid w:val="00632898"/>
    <w:rsid w:val="0063297C"/>
    <w:rsid w:val="00632987"/>
    <w:rsid w:val="00632A55"/>
    <w:rsid w:val="00632A6F"/>
    <w:rsid w:val="00632DD6"/>
    <w:rsid w:val="00632DF5"/>
    <w:rsid w:val="00632FA9"/>
    <w:rsid w:val="00633401"/>
    <w:rsid w:val="00633411"/>
    <w:rsid w:val="00633470"/>
    <w:rsid w:val="006335D9"/>
    <w:rsid w:val="00633708"/>
    <w:rsid w:val="00633726"/>
    <w:rsid w:val="0063374A"/>
    <w:rsid w:val="006337AE"/>
    <w:rsid w:val="00633B34"/>
    <w:rsid w:val="00633B5E"/>
    <w:rsid w:val="00633F69"/>
    <w:rsid w:val="00634077"/>
    <w:rsid w:val="006340F9"/>
    <w:rsid w:val="0063455C"/>
    <w:rsid w:val="00634AE0"/>
    <w:rsid w:val="00634B17"/>
    <w:rsid w:val="00635895"/>
    <w:rsid w:val="00635A47"/>
    <w:rsid w:val="00635B34"/>
    <w:rsid w:val="00635B4B"/>
    <w:rsid w:val="0063613B"/>
    <w:rsid w:val="006361ED"/>
    <w:rsid w:val="00636373"/>
    <w:rsid w:val="00636991"/>
    <w:rsid w:val="00636A36"/>
    <w:rsid w:val="00636A51"/>
    <w:rsid w:val="00636C06"/>
    <w:rsid w:val="00637666"/>
    <w:rsid w:val="00637770"/>
    <w:rsid w:val="00637870"/>
    <w:rsid w:val="00637891"/>
    <w:rsid w:val="00637CAE"/>
    <w:rsid w:val="00637DCA"/>
    <w:rsid w:val="00637FD8"/>
    <w:rsid w:val="00640109"/>
    <w:rsid w:val="0064044C"/>
    <w:rsid w:val="00640594"/>
    <w:rsid w:val="006409FF"/>
    <w:rsid w:val="00640B73"/>
    <w:rsid w:val="00640DFF"/>
    <w:rsid w:val="006412D0"/>
    <w:rsid w:val="0064134F"/>
    <w:rsid w:val="00641BE6"/>
    <w:rsid w:val="00641DB5"/>
    <w:rsid w:val="00642433"/>
    <w:rsid w:val="006425D1"/>
    <w:rsid w:val="00642626"/>
    <w:rsid w:val="006426FA"/>
    <w:rsid w:val="00642A0B"/>
    <w:rsid w:val="00642F6B"/>
    <w:rsid w:val="00642FC9"/>
    <w:rsid w:val="006434A8"/>
    <w:rsid w:val="006436CE"/>
    <w:rsid w:val="00643B60"/>
    <w:rsid w:val="00643D9C"/>
    <w:rsid w:val="00644214"/>
    <w:rsid w:val="0064481B"/>
    <w:rsid w:val="00644897"/>
    <w:rsid w:val="006448F6"/>
    <w:rsid w:val="00644B95"/>
    <w:rsid w:val="00644EC9"/>
    <w:rsid w:val="00645052"/>
    <w:rsid w:val="006456CE"/>
    <w:rsid w:val="00645707"/>
    <w:rsid w:val="00645880"/>
    <w:rsid w:val="00645D5E"/>
    <w:rsid w:val="00645EAC"/>
    <w:rsid w:val="00645FF0"/>
    <w:rsid w:val="0064625E"/>
    <w:rsid w:val="00646374"/>
    <w:rsid w:val="00646639"/>
    <w:rsid w:val="0064664C"/>
    <w:rsid w:val="006466FC"/>
    <w:rsid w:val="006469AB"/>
    <w:rsid w:val="00646F7B"/>
    <w:rsid w:val="00646F7E"/>
    <w:rsid w:val="0064700A"/>
    <w:rsid w:val="00647102"/>
    <w:rsid w:val="00647177"/>
    <w:rsid w:val="0064728F"/>
    <w:rsid w:val="006472CF"/>
    <w:rsid w:val="0064738A"/>
    <w:rsid w:val="006473BE"/>
    <w:rsid w:val="00647703"/>
    <w:rsid w:val="0064787F"/>
    <w:rsid w:val="00647A58"/>
    <w:rsid w:val="00647D28"/>
    <w:rsid w:val="0065014A"/>
    <w:rsid w:val="006504AD"/>
    <w:rsid w:val="006505A7"/>
    <w:rsid w:val="00650B75"/>
    <w:rsid w:val="00650B9F"/>
    <w:rsid w:val="006510D9"/>
    <w:rsid w:val="006510FD"/>
    <w:rsid w:val="00651348"/>
    <w:rsid w:val="00651871"/>
    <w:rsid w:val="00651A3C"/>
    <w:rsid w:val="00651C75"/>
    <w:rsid w:val="00651E58"/>
    <w:rsid w:val="00651EFB"/>
    <w:rsid w:val="00652094"/>
    <w:rsid w:val="00652A1A"/>
    <w:rsid w:val="00652AF0"/>
    <w:rsid w:val="006530FA"/>
    <w:rsid w:val="00653147"/>
    <w:rsid w:val="006533E3"/>
    <w:rsid w:val="006538E6"/>
    <w:rsid w:val="0065390F"/>
    <w:rsid w:val="00653941"/>
    <w:rsid w:val="0065397B"/>
    <w:rsid w:val="00653B06"/>
    <w:rsid w:val="00653BEC"/>
    <w:rsid w:val="00653E64"/>
    <w:rsid w:val="00653F27"/>
    <w:rsid w:val="00653FBB"/>
    <w:rsid w:val="00654288"/>
    <w:rsid w:val="00654316"/>
    <w:rsid w:val="006544CA"/>
    <w:rsid w:val="00654625"/>
    <w:rsid w:val="0065463E"/>
    <w:rsid w:val="00654E08"/>
    <w:rsid w:val="00654E22"/>
    <w:rsid w:val="00655298"/>
    <w:rsid w:val="00655596"/>
    <w:rsid w:val="00655EB3"/>
    <w:rsid w:val="00656051"/>
    <w:rsid w:val="0065690B"/>
    <w:rsid w:val="00656E50"/>
    <w:rsid w:val="00656EEC"/>
    <w:rsid w:val="00656F84"/>
    <w:rsid w:val="00657002"/>
    <w:rsid w:val="006577F2"/>
    <w:rsid w:val="00657840"/>
    <w:rsid w:val="00657878"/>
    <w:rsid w:val="00657CE2"/>
    <w:rsid w:val="006605FC"/>
    <w:rsid w:val="006608B0"/>
    <w:rsid w:val="00660AE0"/>
    <w:rsid w:val="00660DAB"/>
    <w:rsid w:val="006612CC"/>
    <w:rsid w:val="0066175E"/>
    <w:rsid w:val="0066178E"/>
    <w:rsid w:val="00661B1E"/>
    <w:rsid w:val="00661B2E"/>
    <w:rsid w:val="00661CF9"/>
    <w:rsid w:val="0066204F"/>
    <w:rsid w:val="00662307"/>
    <w:rsid w:val="0066233E"/>
    <w:rsid w:val="00662360"/>
    <w:rsid w:val="006623E3"/>
    <w:rsid w:val="0066246E"/>
    <w:rsid w:val="0066260B"/>
    <w:rsid w:val="00662AEE"/>
    <w:rsid w:val="00662B6F"/>
    <w:rsid w:val="00662BEB"/>
    <w:rsid w:val="006630BA"/>
    <w:rsid w:val="00663128"/>
    <w:rsid w:val="00663164"/>
    <w:rsid w:val="0066319F"/>
    <w:rsid w:val="0066330B"/>
    <w:rsid w:val="00663E5F"/>
    <w:rsid w:val="00663FAC"/>
    <w:rsid w:val="006643D6"/>
    <w:rsid w:val="006643DB"/>
    <w:rsid w:val="00664777"/>
    <w:rsid w:val="006649D1"/>
    <w:rsid w:val="00665095"/>
    <w:rsid w:val="006652C4"/>
    <w:rsid w:val="00665659"/>
    <w:rsid w:val="00665820"/>
    <w:rsid w:val="00665883"/>
    <w:rsid w:val="006659EB"/>
    <w:rsid w:val="00665B95"/>
    <w:rsid w:val="00665CE7"/>
    <w:rsid w:val="00665D7B"/>
    <w:rsid w:val="006667AC"/>
    <w:rsid w:val="00666DDE"/>
    <w:rsid w:val="00666ECB"/>
    <w:rsid w:val="0066701E"/>
    <w:rsid w:val="0066718B"/>
    <w:rsid w:val="006671BB"/>
    <w:rsid w:val="00667297"/>
    <w:rsid w:val="00667645"/>
    <w:rsid w:val="006676D9"/>
    <w:rsid w:val="0066774E"/>
    <w:rsid w:val="006677F5"/>
    <w:rsid w:val="00667A7A"/>
    <w:rsid w:val="00667B16"/>
    <w:rsid w:val="00667E8E"/>
    <w:rsid w:val="00670201"/>
    <w:rsid w:val="006702F3"/>
    <w:rsid w:val="00670519"/>
    <w:rsid w:val="006707A0"/>
    <w:rsid w:val="00670BD2"/>
    <w:rsid w:val="00670C46"/>
    <w:rsid w:val="00670CDC"/>
    <w:rsid w:val="00670EC3"/>
    <w:rsid w:val="00670F74"/>
    <w:rsid w:val="00671981"/>
    <w:rsid w:val="00671B91"/>
    <w:rsid w:val="00671BCC"/>
    <w:rsid w:val="00672469"/>
    <w:rsid w:val="00672812"/>
    <w:rsid w:val="00672958"/>
    <w:rsid w:val="00672B67"/>
    <w:rsid w:val="00672C70"/>
    <w:rsid w:val="006732BE"/>
    <w:rsid w:val="006739A2"/>
    <w:rsid w:val="00673A6D"/>
    <w:rsid w:val="006740EF"/>
    <w:rsid w:val="0067419A"/>
    <w:rsid w:val="0067419B"/>
    <w:rsid w:val="006741BB"/>
    <w:rsid w:val="0067429F"/>
    <w:rsid w:val="006744B3"/>
    <w:rsid w:val="00674526"/>
    <w:rsid w:val="006748D5"/>
    <w:rsid w:val="006748DF"/>
    <w:rsid w:val="00674E6B"/>
    <w:rsid w:val="006750FF"/>
    <w:rsid w:val="0067523A"/>
    <w:rsid w:val="006753C1"/>
    <w:rsid w:val="006754B3"/>
    <w:rsid w:val="00675594"/>
    <w:rsid w:val="00675A99"/>
    <w:rsid w:val="00675B3B"/>
    <w:rsid w:val="0067624C"/>
    <w:rsid w:val="00676694"/>
    <w:rsid w:val="0067702E"/>
    <w:rsid w:val="00677067"/>
    <w:rsid w:val="006770E7"/>
    <w:rsid w:val="0067714C"/>
    <w:rsid w:val="006771FD"/>
    <w:rsid w:val="00677AB3"/>
    <w:rsid w:val="00677C53"/>
    <w:rsid w:val="00680168"/>
    <w:rsid w:val="006801C4"/>
    <w:rsid w:val="00680499"/>
    <w:rsid w:val="0068069C"/>
    <w:rsid w:val="00680794"/>
    <w:rsid w:val="00680BD7"/>
    <w:rsid w:val="00680CAF"/>
    <w:rsid w:val="00681035"/>
    <w:rsid w:val="00681214"/>
    <w:rsid w:val="00681494"/>
    <w:rsid w:val="006819C0"/>
    <w:rsid w:val="00681DE6"/>
    <w:rsid w:val="00681E96"/>
    <w:rsid w:val="00681FA8"/>
    <w:rsid w:val="006822DD"/>
    <w:rsid w:val="00682322"/>
    <w:rsid w:val="00682534"/>
    <w:rsid w:val="0068276F"/>
    <w:rsid w:val="00682C86"/>
    <w:rsid w:val="00682CBF"/>
    <w:rsid w:val="00682E50"/>
    <w:rsid w:val="00683005"/>
    <w:rsid w:val="0068310F"/>
    <w:rsid w:val="0068334D"/>
    <w:rsid w:val="00683766"/>
    <w:rsid w:val="00683C65"/>
    <w:rsid w:val="00683F96"/>
    <w:rsid w:val="0068440B"/>
    <w:rsid w:val="0068457B"/>
    <w:rsid w:val="00684726"/>
    <w:rsid w:val="0068481D"/>
    <w:rsid w:val="00684AD7"/>
    <w:rsid w:val="006850EB"/>
    <w:rsid w:val="0068513D"/>
    <w:rsid w:val="0068567D"/>
    <w:rsid w:val="0068577A"/>
    <w:rsid w:val="0068591E"/>
    <w:rsid w:val="00685B00"/>
    <w:rsid w:val="00685CA8"/>
    <w:rsid w:val="00685F02"/>
    <w:rsid w:val="0068626B"/>
    <w:rsid w:val="006862E8"/>
    <w:rsid w:val="006866C5"/>
    <w:rsid w:val="00686A43"/>
    <w:rsid w:val="00686B69"/>
    <w:rsid w:val="00686C9D"/>
    <w:rsid w:val="00686E01"/>
    <w:rsid w:val="0068769F"/>
    <w:rsid w:val="00687936"/>
    <w:rsid w:val="00687A08"/>
    <w:rsid w:val="00687B04"/>
    <w:rsid w:val="00687DD2"/>
    <w:rsid w:val="00690196"/>
    <w:rsid w:val="00690258"/>
    <w:rsid w:val="0069026C"/>
    <w:rsid w:val="00690728"/>
    <w:rsid w:val="00690A2E"/>
    <w:rsid w:val="00690C4F"/>
    <w:rsid w:val="00690D9F"/>
    <w:rsid w:val="00690E8A"/>
    <w:rsid w:val="00691239"/>
    <w:rsid w:val="00691CA7"/>
    <w:rsid w:val="00691E99"/>
    <w:rsid w:val="00691F4E"/>
    <w:rsid w:val="0069218D"/>
    <w:rsid w:val="0069261E"/>
    <w:rsid w:val="00692A48"/>
    <w:rsid w:val="00692D94"/>
    <w:rsid w:val="00693493"/>
    <w:rsid w:val="00693BE8"/>
    <w:rsid w:val="00693D08"/>
    <w:rsid w:val="00693F0B"/>
    <w:rsid w:val="00693FD1"/>
    <w:rsid w:val="00694740"/>
    <w:rsid w:val="00694908"/>
    <w:rsid w:val="00694E25"/>
    <w:rsid w:val="00694EFF"/>
    <w:rsid w:val="00695039"/>
    <w:rsid w:val="0069543A"/>
    <w:rsid w:val="006959F5"/>
    <w:rsid w:val="00695A45"/>
    <w:rsid w:val="00695A91"/>
    <w:rsid w:val="00695BF1"/>
    <w:rsid w:val="00695CE8"/>
    <w:rsid w:val="0069627E"/>
    <w:rsid w:val="0069698F"/>
    <w:rsid w:val="00696D70"/>
    <w:rsid w:val="00696FC1"/>
    <w:rsid w:val="0069710E"/>
    <w:rsid w:val="0069759A"/>
    <w:rsid w:val="006975DC"/>
    <w:rsid w:val="00697608"/>
    <w:rsid w:val="0069776A"/>
    <w:rsid w:val="00697935"/>
    <w:rsid w:val="00697B67"/>
    <w:rsid w:val="00697C5A"/>
    <w:rsid w:val="006A051A"/>
    <w:rsid w:val="006A06A4"/>
    <w:rsid w:val="006A071C"/>
    <w:rsid w:val="006A0735"/>
    <w:rsid w:val="006A0E69"/>
    <w:rsid w:val="006A13B5"/>
    <w:rsid w:val="006A14DD"/>
    <w:rsid w:val="006A173E"/>
    <w:rsid w:val="006A19A4"/>
    <w:rsid w:val="006A1BF5"/>
    <w:rsid w:val="006A1F9D"/>
    <w:rsid w:val="006A21F6"/>
    <w:rsid w:val="006A23A6"/>
    <w:rsid w:val="006A2622"/>
    <w:rsid w:val="006A2704"/>
    <w:rsid w:val="006A2874"/>
    <w:rsid w:val="006A3557"/>
    <w:rsid w:val="006A36E9"/>
    <w:rsid w:val="006A3883"/>
    <w:rsid w:val="006A3A8E"/>
    <w:rsid w:val="006A3C22"/>
    <w:rsid w:val="006A40B5"/>
    <w:rsid w:val="006A4130"/>
    <w:rsid w:val="006A4317"/>
    <w:rsid w:val="006A484C"/>
    <w:rsid w:val="006A4EAC"/>
    <w:rsid w:val="006A5119"/>
    <w:rsid w:val="006A56D2"/>
    <w:rsid w:val="006A5D06"/>
    <w:rsid w:val="006A5D7A"/>
    <w:rsid w:val="006A5F19"/>
    <w:rsid w:val="006A6086"/>
    <w:rsid w:val="006A6AB9"/>
    <w:rsid w:val="006A6CEC"/>
    <w:rsid w:val="006A6D13"/>
    <w:rsid w:val="006A70DB"/>
    <w:rsid w:val="006A738D"/>
    <w:rsid w:val="006A7B6C"/>
    <w:rsid w:val="006B01A4"/>
    <w:rsid w:val="006B026A"/>
    <w:rsid w:val="006B05C6"/>
    <w:rsid w:val="006B067D"/>
    <w:rsid w:val="006B0931"/>
    <w:rsid w:val="006B0A51"/>
    <w:rsid w:val="006B0C75"/>
    <w:rsid w:val="006B1118"/>
    <w:rsid w:val="006B1317"/>
    <w:rsid w:val="006B1654"/>
    <w:rsid w:val="006B1A0B"/>
    <w:rsid w:val="006B1A6F"/>
    <w:rsid w:val="006B212B"/>
    <w:rsid w:val="006B21C1"/>
    <w:rsid w:val="006B2689"/>
    <w:rsid w:val="006B2FDF"/>
    <w:rsid w:val="006B3437"/>
    <w:rsid w:val="006B34C6"/>
    <w:rsid w:val="006B352F"/>
    <w:rsid w:val="006B35B7"/>
    <w:rsid w:val="006B397F"/>
    <w:rsid w:val="006B3E48"/>
    <w:rsid w:val="006B45EA"/>
    <w:rsid w:val="006B4655"/>
    <w:rsid w:val="006B4B2B"/>
    <w:rsid w:val="006B4CA5"/>
    <w:rsid w:val="006B4F81"/>
    <w:rsid w:val="006B50AF"/>
    <w:rsid w:val="006B5805"/>
    <w:rsid w:val="006B59A5"/>
    <w:rsid w:val="006B5F1D"/>
    <w:rsid w:val="006B6356"/>
    <w:rsid w:val="006B6EA1"/>
    <w:rsid w:val="006B74EA"/>
    <w:rsid w:val="006B74F5"/>
    <w:rsid w:val="006B777A"/>
    <w:rsid w:val="006B7878"/>
    <w:rsid w:val="006B7FB3"/>
    <w:rsid w:val="006C0551"/>
    <w:rsid w:val="006C0681"/>
    <w:rsid w:val="006C07E7"/>
    <w:rsid w:val="006C0865"/>
    <w:rsid w:val="006C0963"/>
    <w:rsid w:val="006C09EF"/>
    <w:rsid w:val="006C0CC5"/>
    <w:rsid w:val="006C1188"/>
    <w:rsid w:val="006C121A"/>
    <w:rsid w:val="006C178B"/>
    <w:rsid w:val="006C1831"/>
    <w:rsid w:val="006C1848"/>
    <w:rsid w:val="006C1D14"/>
    <w:rsid w:val="006C1E22"/>
    <w:rsid w:val="006C2582"/>
    <w:rsid w:val="006C2673"/>
    <w:rsid w:val="006C28DF"/>
    <w:rsid w:val="006C2B82"/>
    <w:rsid w:val="006C2C09"/>
    <w:rsid w:val="006C2C13"/>
    <w:rsid w:val="006C3130"/>
    <w:rsid w:val="006C3156"/>
    <w:rsid w:val="006C33F9"/>
    <w:rsid w:val="006C3578"/>
    <w:rsid w:val="006C36A6"/>
    <w:rsid w:val="006C3757"/>
    <w:rsid w:val="006C3F30"/>
    <w:rsid w:val="006C44F1"/>
    <w:rsid w:val="006C4624"/>
    <w:rsid w:val="006C487D"/>
    <w:rsid w:val="006C4A16"/>
    <w:rsid w:val="006C51C9"/>
    <w:rsid w:val="006C52A1"/>
    <w:rsid w:val="006C57C1"/>
    <w:rsid w:val="006C57E1"/>
    <w:rsid w:val="006C59BB"/>
    <w:rsid w:val="006C5CA9"/>
    <w:rsid w:val="006C61DE"/>
    <w:rsid w:val="006C634C"/>
    <w:rsid w:val="006C6668"/>
    <w:rsid w:val="006C686B"/>
    <w:rsid w:val="006C6B37"/>
    <w:rsid w:val="006C6C79"/>
    <w:rsid w:val="006C6E50"/>
    <w:rsid w:val="006C6F61"/>
    <w:rsid w:val="006C752C"/>
    <w:rsid w:val="006C7F88"/>
    <w:rsid w:val="006D01BE"/>
    <w:rsid w:val="006D0472"/>
    <w:rsid w:val="006D0A1E"/>
    <w:rsid w:val="006D0A4B"/>
    <w:rsid w:val="006D0C2F"/>
    <w:rsid w:val="006D0E5A"/>
    <w:rsid w:val="006D109C"/>
    <w:rsid w:val="006D1131"/>
    <w:rsid w:val="006D11C8"/>
    <w:rsid w:val="006D1BA4"/>
    <w:rsid w:val="006D1C27"/>
    <w:rsid w:val="006D1F88"/>
    <w:rsid w:val="006D207C"/>
    <w:rsid w:val="006D255A"/>
    <w:rsid w:val="006D28F8"/>
    <w:rsid w:val="006D2B80"/>
    <w:rsid w:val="006D2ECD"/>
    <w:rsid w:val="006D2EF5"/>
    <w:rsid w:val="006D313A"/>
    <w:rsid w:val="006D31BE"/>
    <w:rsid w:val="006D3276"/>
    <w:rsid w:val="006D36C7"/>
    <w:rsid w:val="006D3833"/>
    <w:rsid w:val="006D39DA"/>
    <w:rsid w:val="006D3CF5"/>
    <w:rsid w:val="006D3DE3"/>
    <w:rsid w:val="006D3F3F"/>
    <w:rsid w:val="006D43D9"/>
    <w:rsid w:val="006D44B6"/>
    <w:rsid w:val="006D44CB"/>
    <w:rsid w:val="006D467C"/>
    <w:rsid w:val="006D4A68"/>
    <w:rsid w:val="006D4BBE"/>
    <w:rsid w:val="006D5738"/>
    <w:rsid w:val="006D5855"/>
    <w:rsid w:val="006D58D0"/>
    <w:rsid w:val="006D5BF6"/>
    <w:rsid w:val="006D5FCC"/>
    <w:rsid w:val="006D6081"/>
    <w:rsid w:val="006D61BF"/>
    <w:rsid w:val="006D6279"/>
    <w:rsid w:val="006D65DB"/>
    <w:rsid w:val="006D679A"/>
    <w:rsid w:val="006D690A"/>
    <w:rsid w:val="006D6AD1"/>
    <w:rsid w:val="006D6CF0"/>
    <w:rsid w:val="006D6FB7"/>
    <w:rsid w:val="006D70AD"/>
    <w:rsid w:val="006D72D1"/>
    <w:rsid w:val="006D77B2"/>
    <w:rsid w:val="006E0230"/>
    <w:rsid w:val="006E051B"/>
    <w:rsid w:val="006E05C9"/>
    <w:rsid w:val="006E05CA"/>
    <w:rsid w:val="006E06D0"/>
    <w:rsid w:val="006E0889"/>
    <w:rsid w:val="006E08BD"/>
    <w:rsid w:val="006E0F99"/>
    <w:rsid w:val="006E1093"/>
    <w:rsid w:val="006E118E"/>
    <w:rsid w:val="006E148A"/>
    <w:rsid w:val="006E1570"/>
    <w:rsid w:val="006E1DEA"/>
    <w:rsid w:val="006E2016"/>
    <w:rsid w:val="006E2429"/>
    <w:rsid w:val="006E24C6"/>
    <w:rsid w:val="006E28F0"/>
    <w:rsid w:val="006E2BA8"/>
    <w:rsid w:val="006E2D8C"/>
    <w:rsid w:val="006E2FE4"/>
    <w:rsid w:val="006E3735"/>
    <w:rsid w:val="006E39DB"/>
    <w:rsid w:val="006E3B7D"/>
    <w:rsid w:val="006E3D94"/>
    <w:rsid w:val="006E3E66"/>
    <w:rsid w:val="006E3EB1"/>
    <w:rsid w:val="006E4629"/>
    <w:rsid w:val="006E4B8B"/>
    <w:rsid w:val="006E4BBB"/>
    <w:rsid w:val="006E4E3D"/>
    <w:rsid w:val="006E4EC1"/>
    <w:rsid w:val="006E5043"/>
    <w:rsid w:val="006E517A"/>
    <w:rsid w:val="006E535F"/>
    <w:rsid w:val="006E5466"/>
    <w:rsid w:val="006E667C"/>
    <w:rsid w:val="006E690E"/>
    <w:rsid w:val="006E6AD6"/>
    <w:rsid w:val="006E7211"/>
    <w:rsid w:val="006E7669"/>
    <w:rsid w:val="006E7CC5"/>
    <w:rsid w:val="006E7E68"/>
    <w:rsid w:val="006F0017"/>
    <w:rsid w:val="006F0634"/>
    <w:rsid w:val="006F09EB"/>
    <w:rsid w:val="006F0C79"/>
    <w:rsid w:val="006F0D18"/>
    <w:rsid w:val="006F1093"/>
    <w:rsid w:val="006F1417"/>
    <w:rsid w:val="006F1539"/>
    <w:rsid w:val="006F1618"/>
    <w:rsid w:val="006F16C4"/>
    <w:rsid w:val="006F1708"/>
    <w:rsid w:val="006F1AEA"/>
    <w:rsid w:val="006F1B32"/>
    <w:rsid w:val="006F24DA"/>
    <w:rsid w:val="006F26FC"/>
    <w:rsid w:val="006F279E"/>
    <w:rsid w:val="006F2892"/>
    <w:rsid w:val="006F2BA0"/>
    <w:rsid w:val="006F3205"/>
    <w:rsid w:val="006F3366"/>
    <w:rsid w:val="006F3502"/>
    <w:rsid w:val="006F37E5"/>
    <w:rsid w:val="006F3C87"/>
    <w:rsid w:val="006F3D55"/>
    <w:rsid w:val="006F40C2"/>
    <w:rsid w:val="006F4185"/>
    <w:rsid w:val="006F41AD"/>
    <w:rsid w:val="006F4797"/>
    <w:rsid w:val="006F48ED"/>
    <w:rsid w:val="006F4947"/>
    <w:rsid w:val="006F52DC"/>
    <w:rsid w:val="006F5407"/>
    <w:rsid w:val="006F56B9"/>
    <w:rsid w:val="006F5B39"/>
    <w:rsid w:val="006F5B6D"/>
    <w:rsid w:val="006F5D2A"/>
    <w:rsid w:val="006F5EBD"/>
    <w:rsid w:val="006F61B6"/>
    <w:rsid w:val="006F63D5"/>
    <w:rsid w:val="006F669A"/>
    <w:rsid w:val="006F66A8"/>
    <w:rsid w:val="006F68B6"/>
    <w:rsid w:val="006F69D8"/>
    <w:rsid w:val="006F6C11"/>
    <w:rsid w:val="006F6C98"/>
    <w:rsid w:val="006F6D92"/>
    <w:rsid w:val="006F6F41"/>
    <w:rsid w:val="006F753C"/>
    <w:rsid w:val="006F7992"/>
    <w:rsid w:val="006F7B30"/>
    <w:rsid w:val="007001A7"/>
    <w:rsid w:val="007005FF"/>
    <w:rsid w:val="007008B0"/>
    <w:rsid w:val="00700F01"/>
    <w:rsid w:val="007010CC"/>
    <w:rsid w:val="00701BE8"/>
    <w:rsid w:val="00701CB1"/>
    <w:rsid w:val="00701E4F"/>
    <w:rsid w:val="00701E71"/>
    <w:rsid w:val="007025EB"/>
    <w:rsid w:val="00702712"/>
    <w:rsid w:val="0070289D"/>
    <w:rsid w:val="00702C75"/>
    <w:rsid w:val="00702DF3"/>
    <w:rsid w:val="00702EEA"/>
    <w:rsid w:val="00703333"/>
    <w:rsid w:val="0070335C"/>
    <w:rsid w:val="007033A3"/>
    <w:rsid w:val="00703BC3"/>
    <w:rsid w:val="00704147"/>
    <w:rsid w:val="0070416B"/>
    <w:rsid w:val="00704DC7"/>
    <w:rsid w:val="00704E04"/>
    <w:rsid w:val="00704E6C"/>
    <w:rsid w:val="00704EE9"/>
    <w:rsid w:val="00705333"/>
    <w:rsid w:val="007055B9"/>
    <w:rsid w:val="007055F0"/>
    <w:rsid w:val="0070560C"/>
    <w:rsid w:val="007058FE"/>
    <w:rsid w:val="00705CD4"/>
    <w:rsid w:val="00705D8E"/>
    <w:rsid w:val="00705E31"/>
    <w:rsid w:val="00705ED2"/>
    <w:rsid w:val="007064BB"/>
    <w:rsid w:val="0070655F"/>
    <w:rsid w:val="00706A99"/>
    <w:rsid w:val="00706AAF"/>
    <w:rsid w:val="00706B8B"/>
    <w:rsid w:val="00706C17"/>
    <w:rsid w:val="00707254"/>
    <w:rsid w:val="00707592"/>
    <w:rsid w:val="007075CB"/>
    <w:rsid w:val="0070794A"/>
    <w:rsid w:val="007079C6"/>
    <w:rsid w:val="00707FB6"/>
    <w:rsid w:val="007100AB"/>
    <w:rsid w:val="00710230"/>
    <w:rsid w:val="0071035F"/>
    <w:rsid w:val="00710714"/>
    <w:rsid w:val="0071084F"/>
    <w:rsid w:val="0071087E"/>
    <w:rsid w:val="007108D9"/>
    <w:rsid w:val="00710B1B"/>
    <w:rsid w:val="00710D23"/>
    <w:rsid w:val="0071113A"/>
    <w:rsid w:val="007112AD"/>
    <w:rsid w:val="00711342"/>
    <w:rsid w:val="007117A7"/>
    <w:rsid w:val="007117EC"/>
    <w:rsid w:val="007118E2"/>
    <w:rsid w:val="00711C89"/>
    <w:rsid w:val="007122DC"/>
    <w:rsid w:val="00712887"/>
    <w:rsid w:val="00712BC4"/>
    <w:rsid w:val="00713644"/>
    <w:rsid w:val="00713810"/>
    <w:rsid w:val="00713998"/>
    <w:rsid w:val="007139AD"/>
    <w:rsid w:val="007139B1"/>
    <w:rsid w:val="007139B9"/>
    <w:rsid w:val="00713CC4"/>
    <w:rsid w:val="00713D5F"/>
    <w:rsid w:val="00713DB5"/>
    <w:rsid w:val="00713F22"/>
    <w:rsid w:val="0071451E"/>
    <w:rsid w:val="007146F6"/>
    <w:rsid w:val="00714751"/>
    <w:rsid w:val="00714758"/>
    <w:rsid w:val="00714869"/>
    <w:rsid w:val="00714C51"/>
    <w:rsid w:val="00714FA3"/>
    <w:rsid w:val="0071553A"/>
    <w:rsid w:val="00715CAF"/>
    <w:rsid w:val="00715EEB"/>
    <w:rsid w:val="00716180"/>
    <w:rsid w:val="00716333"/>
    <w:rsid w:val="0071635F"/>
    <w:rsid w:val="0071637E"/>
    <w:rsid w:val="007166C2"/>
    <w:rsid w:val="00716C28"/>
    <w:rsid w:val="00716CB3"/>
    <w:rsid w:val="00716CEF"/>
    <w:rsid w:val="0071709C"/>
    <w:rsid w:val="007173AC"/>
    <w:rsid w:val="00717529"/>
    <w:rsid w:val="00717682"/>
    <w:rsid w:val="007176B5"/>
    <w:rsid w:val="00717961"/>
    <w:rsid w:val="00717DD8"/>
    <w:rsid w:val="0072050C"/>
    <w:rsid w:val="00720855"/>
    <w:rsid w:val="00720893"/>
    <w:rsid w:val="00720E19"/>
    <w:rsid w:val="007212A3"/>
    <w:rsid w:val="007215F5"/>
    <w:rsid w:val="007216C8"/>
    <w:rsid w:val="00721876"/>
    <w:rsid w:val="007218F6"/>
    <w:rsid w:val="00721B13"/>
    <w:rsid w:val="00721F02"/>
    <w:rsid w:val="00722003"/>
    <w:rsid w:val="007221F8"/>
    <w:rsid w:val="00722208"/>
    <w:rsid w:val="007224C2"/>
    <w:rsid w:val="007224E4"/>
    <w:rsid w:val="0072276B"/>
    <w:rsid w:val="00722A16"/>
    <w:rsid w:val="00722C3A"/>
    <w:rsid w:val="0072340D"/>
    <w:rsid w:val="00723426"/>
    <w:rsid w:val="0072364E"/>
    <w:rsid w:val="00723838"/>
    <w:rsid w:val="00723B16"/>
    <w:rsid w:val="00723C0F"/>
    <w:rsid w:val="00723EE7"/>
    <w:rsid w:val="00723F3E"/>
    <w:rsid w:val="007240EF"/>
    <w:rsid w:val="0072414F"/>
    <w:rsid w:val="00724157"/>
    <w:rsid w:val="0072417E"/>
    <w:rsid w:val="0072428B"/>
    <w:rsid w:val="00724573"/>
    <w:rsid w:val="007245FE"/>
    <w:rsid w:val="007246F5"/>
    <w:rsid w:val="007247D4"/>
    <w:rsid w:val="00724B87"/>
    <w:rsid w:val="00724C44"/>
    <w:rsid w:val="00724E7E"/>
    <w:rsid w:val="0072504E"/>
    <w:rsid w:val="0072527F"/>
    <w:rsid w:val="007254B0"/>
    <w:rsid w:val="007256B6"/>
    <w:rsid w:val="007258DD"/>
    <w:rsid w:val="00725A22"/>
    <w:rsid w:val="00725D76"/>
    <w:rsid w:val="00725D80"/>
    <w:rsid w:val="00725E6E"/>
    <w:rsid w:val="00725EB5"/>
    <w:rsid w:val="00725FEF"/>
    <w:rsid w:val="007260AD"/>
    <w:rsid w:val="007260CB"/>
    <w:rsid w:val="007264A8"/>
    <w:rsid w:val="007269BD"/>
    <w:rsid w:val="00726D62"/>
    <w:rsid w:val="00726DF7"/>
    <w:rsid w:val="00727280"/>
    <w:rsid w:val="007276A0"/>
    <w:rsid w:val="00727E3F"/>
    <w:rsid w:val="00727F17"/>
    <w:rsid w:val="0073007A"/>
    <w:rsid w:val="0073023E"/>
    <w:rsid w:val="00730838"/>
    <w:rsid w:val="007308CC"/>
    <w:rsid w:val="007308E8"/>
    <w:rsid w:val="00730ECD"/>
    <w:rsid w:val="00730FC6"/>
    <w:rsid w:val="00731294"/>
    <w:rsid w:val="007313A8"/>
    <w:rsid w:val="00732190"/>
    <w:rsid w:val="0073225E"/>
    <w:rsid w:val="007329F8"/>
    <w:rsid w:val="00732A21"/>
    <w:rsid w:val="00732BCE"/>
    <w:rsid w:val="00732E07"/>
    <w:rsid w:val="007334F1"/>
    <w:rsid w:val="00733C96"/>
    <w:rsid w:val="00733CAC"/>
    <w:rsid w:val="00733EF2"/>
    <w:rsid w:val="0073429C"/>
    <w:rsid w:val="0073436F"/>
    <w:rsid w:val="00734469"/>
    <w:rsid w:val="0073461D"/>
    <w:rsid w:val="00734D05"/>
    <w:rsid w:val="00735332"/>
    <w:rsid w:val="007354BA"/>
    <w:rsid w:val="00735609"/>
    <w:rsid w:val="007357D3"/>
    <w:rsid w:val="00735B9F"/>
    <w:rsid w:val="00735CE2"/>
    <w:rsid w:val="00736784"/>
    <w:rsid w:val="00736B8B"/>
    <w:rsid w:val="00737138"/>
    <w:rsid w:val="00737297"/>
    <w:rsid w:val="007372C0"/>
    <w:rsid w:val="0073770F"/>
    <w:rsid w:val="0073778A"/>
    <w:rsid w:val="00740091"/>
    <w:rsid w:val="007400C2"/>
    <w:rsid w:val="007401BF"/>
    <w:rsid w:val="00740338"/>
    <w:rsid w:val="0074041F"/>
    <w:rsid w:val="0074056C"/>
    <w:rsid w:val="00740636"/>
    <w:rsid w:val="00740866"/>
    <w:rsid w:val="0074129A"/>
    <w:rsid w:val="007415E4"/>
    <w:rsid w:val="007415F0"/>
    <w:rsid w:val="00741D3D"/>
    <w:rsid w:val="00741E3A"/>
    <w:rsid w:val="00741EF7"/>
    <w:rsid w:val="0074218C"/>
    <w:rsid w:val="007421FD"/>
    <w:rsid w:val="00742395"/>
    <w:rsid w:val="0074269C"/>
    <w:rsid w:val="00742C09"/>
    <w:rsid w:val="00743389"/>
    <w:rsid w:val="00743421"/>
    <w:rsid w:val="00743652"/>
    <w:rsid w:val="00743678"/>
    <w:rsid w:val="007436EE"/>
    <w:rsid w:val="00743909"/>
    <w:rsid w:val="00743F3E"/>
    <w:rsid w:val="00744055"/>
    <w:rsid w:val="00744265"/>
    <w:rsid w:val="007442B3"/>
    <w:rsid w:val="00744328"/>
    <w:rsid w:val="007444E0"/>
    <w:rsid w:val="00744510"/>
    <w:rsid w:val="00744523"/>
    <w:rsid w:val="0074454F"/>
    <w:rsid w:val="007447D2"/>
    <w:rsid w:val="0074483C"/>
    <w:rsid w:val="00744980"/>
    <w:rsid w:val="00744D39"/>
    <w:rsid w:val="00744F40"/>
    <w:rsid w:val="007450FA"/>
    <w:rsid w:val="00745193"/>
    <w:rsid w:val="00745282"/>
    <w:rsid w:val="00745494"/>
    <w:rsid w:val="007457D6"/>
    <w:rsid w:val="007458F2"/>
    <w:rsid w:val="00745DCC"/>
    <w:rsid w:val="00745EE2"/>
    <w:rsid w:val="00746458"/>
    <w:rsid w:val="00746516"/>
    <w:rsid w:val="007465AD"/>
    <w:rsid w:val="007465EF"/>
    <w:rsid w:val="00746739"/>
    <w:rsid w:val="007467C9"/>
    <w:rsid w:val="00746AB5"/>
    <w:rsid w:val="00746B3B"/>
    <w:rsid w:val="00746F9F"/>
    <w:rsid w:val="007473EA"/>
    <w:rsid w:val="00747435"/>
    <w:rsid w:val="00747C22"/>
    <w:rsid w:val="00747CDE"/>
    <w:rsid w:val="00750115"/>
    <w:rsid w:val="00750851"/>
    <w:rsid w:val="00750AD3"/>
    <w:rsid w:val="00750E64"/>
    <w:rsid w:val="00750F44"/>
    <w:rsid w:val="007512AC"/>
    <w:rsid w:val="00751363"/>
    <w:rsid w:val="0075176D"/>
    <w:rsid w:val="00751836"/>
    <w:rsid w:val="007518F4"/>
    <w:rsid w:val="00751F63"/>
    <w:rsid w:val="00752132"/>
    <w:rsid w:val="0075214D"/>
    <w:rsid w:val="007522B1"/>
    <w:rsid w:val="007523C9"/>
    <w:rsid w:val="00752408"/>
    <w:rsid w:val="00752E56"/>
    <w:rsid w:val="00753159"/>
    <w:rsid w:val="0075394A"/>
    <w:rsid w:val="00753A5A"/>
    <w:rsid w:val="00753E62"/>
    <w:rsid w:val="00753F28"/>
    <w:rsid w:val="0075409E"/>
    <w:rsid w:val="007542DA"/>
    <w:rsid w:val="00754953"/>
    <w:rsid w:val="007549B2"/>
    <w:rsid w:val="00754C00"/>
    <w:rsid w:val="00755132"/>
    <w:rsid w:val="00755290"/>
    <w:rsid w:val="00755565"/>
    <w:rsid w:val="007555AF"/>
    <w:rsid w:val="007555C7"/>
    <w:rsid w:val="007558B3"/>
    <w:rsid w:val="00755915"/>
    <w:rsid w:val="007563EE"/>
    <w:rsid w:val="00756525"/>
    <w:rsid w:val="007566A9"/>
    <w:rsid w:val="00756AD8"/>
    <w:rsid w:val="00756D0A"/>
    <w:rsid w:val="00756FBC"/>
    <w:rsid w:val="00757118"/>
    <w:rsid w:val="0075738C"/>
    <w:rsid w:val="00757483"/>
    <w:rsid w:val="007577A2"/>
    <w:rsid w:val="00757BE0"/>
    <w:rsid w:val="00757BE9"/>
    <w:rsid w:val="00757C82"/>
    <w:rsid w:val="00757D91"/>
    <w:rsid w:val="0076032A"/>
    <w:rsid w:val="007605D0"/>
    <w:rsid w:val="007608B3"/>
    <w:rsid w:val="00760943"/>
    <w:rsid w:val="00760CA4"/>
    <w:rsid w:val="00760CD2"/>
    <w:rsid w:val="00760F44"/>
    <w:rsid w:val="00761038"/>
    <w:rsid w:val="00761171"/>
    <w:rsid w:val="007613D8"/>
    <w:rsid w:val="007615DD"/>
    <w:rsid w:val="007617C9"/>
    <w:rsid w:val="00761983"/>
    <w:rsid w:val="00761B40"/>
    <w:rsid w:val="00761E64"/>
    <w:rsid w:val="007621FD"/>
    <w:rsid w:val="0076228D"/>
    <w:rsid w:val="00762612"/>
    <w:rsid w:val="00762F56"/>
    <w:rsid w:val="0076308B"/>
    <w:rsid w:val="007630AD"/>
    <w:rsid w:val="007631D5"/>
    <w:rsid w:val="00763BF8"/>
    <w:rsid w:val="00763F51"/>
    <w:rsid w:val="00764101"/>
    <w:rsid w:val="00764156"/>
    <w:rsid w:val="00764164"/>
    <w:rsid w:val="0076456E"/>
    <w:rsid w:val="00764A38"/>
    <w:rsid w:val="00764BAD"/>
    <w:rsid w:val="00764C84"/>
    <w:rsid w:val="00764D09"/>
    <w:rsid w:val="00764D96"/>
    <w:rsid w:val="00764E1F"/>
    <w:rsid w:val="00764F0C"/>
    <w:rsid w:val="0076504F"/>
    <w:rsid w:val="00765909"/>
    <w:rsid w:val="00765978"/>
    <w:rsid w:val="00765AE9"/>
    <w:rsid w:val="00765DE3"/>
    <w:rsid w:val="00765E2D"/>
    <w:rsid w:val="0076622E"/>
    <w:rsid w:val="0076638F"/>
    <w:rsid w:val="0076645A"/>
    <w:rsid w:val="00766593"/>
    <w:rsid w:val="007665CE"/>
    <w:rsid w:val="00766845"/>
    <w:rsid w:val="00766F12"/>
    <w:rsid w:val="007670BB"/>
    <w:rsid w:val="00767593"/>
    <w:rsid w:val="00767AEF"/>
    <w:rsid w:val="00767C37"/>
    <w:rsid w:val="007700D1"/>
    <w:rsid w:val="007701C4"/>
    <w:rsid w:val="00770329"/>
    <w:rsid w:val="00770A1C"/>
    <w:rsid w:val="00770CDF"/>
    <w:rsid w:val="00770D7C"/>
    <w:rsid w:val="00770FB2"/>
    <w:rsid w:val="007714CE"/>
    <w:rsid w:val="00771634"/>
    <w:rsid w:val="007717EB"/>
    <w:rsid w:val="00771BBC"/>
    <w:rsid w:val="0077218E"/>
    <w:rsid w:val="00772438"/>
    <w:rsid w:val="0077255A"/>
    <w:rsid w:val="007725CA"/>
    <w:rsid w:val="007725EF"/>
    <w:rsid w:val="007727DC"/>
    <w:rsid w:val="00772BA0"/>
    <w:rsid w:val="00772CFB"/>
    <w:rsid w:val="00772D0C"/>
    <w:rsid w:val="00772E65"/>
    <w:rsid w:val="00773589"/>
    <w:rsid w:val="00773853"/>
    <w:rsid w:val="0077480A"/>
    <w:rsid w:val="00774859"/>
    <w:rsid w:val="00774BC7"/>
    <w:rsid w:val="00774D10"/>
    <w:rsid w:val="00774E09"/>
    <w:rsid w:val="00775097"/>
    <w:rsid w:val="007750C3"/>
    <w:rsid w:val="0077547F"/>
    <w:rsid w:val="007755C1"/>
    <w:rsid w:val="00775878"/>
    <w:rsid w:val="00775AF9"/>
    <w:rsid w:val="007762A7"/>
    <w:rsid w:val="007762B5"/>
    <w:rsid w:val="007762EB"/>
    <w:rsid w:val="007763D1"/>
    <w:rsid w:val="007763FF"/>
    <w:rsid w:val="00776871"/>
    <w:rsid w:val="0077715C"/>
    <w:rsid w:val="007772F0"/>
    <w:rsid w:val="0077776A"/>
    <w:rsid w:val="00780397"/>
    <w:rsid w:val="007804AE"/>
    <w:rsid w:val="0078079C"/>
    <w:rsid w:val="00780AA6"/>
    <w:rsid w:val="00780AF9"/>
    <w:rsid w:val="00780FDB"/>
    <w:rsid w:val="007810C2"/>
    <w:rsid w:val="0078141B"/>
    <w:rsid w:val="007817BC"/>
    <w:rsid w:val="00781859"/>
    <w:rsid w:val="00781924"/>
    <w:rsid w:val="00781B11"/>
    <w:rsid w:val="00781E6A"/>
    <w:rsid w:val="00782419"/>
    <w:rsid w:val="007825EC"/>
    <w:rsid w:val="007828CE"/>
    <w:rsid w:val="007829F5"/>
    <w:rsid w:val="00782AD8"/>
    <w:rsid w:val="007830D7"/>
    <w:rsid w:val="007837EB"/>
    <w:rsid w:val="00783D5B"/>
    <w:rsid w:val="00783DCE"/>
    <w:rsid w:val="00783E7D"/>
    <w:rsid w:val="007840F3"/>
    <w:rsid w:val="00784516"/>
    <w:rsid w:val="00784586"/>
    <w:rsid w:val="00784A5E"/>
    <w:rsid w:val="00784B21"/>
    <w:rsid w:val="007858AC"/>
    <w:rsid w:val="00785998"/>
    <w:rsid w:val="00785ABC"/>
    <w:rsid w:val="00785BFE"/>
    <w:rsid w:val="00785D6B"/>
    <w:rsid w:val="00785EA8"/>
    <w:rsid w:val="00785ECB"/>
    <w:rsid w:val="00785FCB"/>
    <w:rsid w:val="007860D5"/>
    <w:rsid w:val="007861E3"/>
    <w:rsid w:val="00786823"/>
    <w:rsid w:val="00786AB6"/>
    <w:rsid w:val="0078709C"/>
    <w:rsid w:val="007872BF"/>
    <w:rsid w:val="00787365"/>
    <w:rsid w:val="007874E6"/>
    <w:rsid w:val="007874F6"/>
    <w:rsid w:val="007876F0"/>
    <w:rsid w:val="00787BB4"/>
    <w:rsid w:val="00787E1A"/>
    <w:rsid w:val="007900AE"/>
    <w:rsid w:val="007902FB"/>
    <w:rsid w:val="00790502"/>
    <w:rsid w:val="00790634"/>
    <w:rsid w:val="00790672"/>
    <w:rsid w:val="00790696"/>
    <w:rsid w:val="00790E52"/>
    <w:rsid w:val="00790FC7"/>
    <w:rsid w:val="00791947"/>
    <w:rsid w:val="00791CE9"/>
    <w:rsid w:val="00791EC8"/>
    <w:rsid w:val="00792241"/>
    <w:rsid w:val="00792348"/>
    <w:rsid w:val="00792581"/>
    <w:rsid w:val="00792A71"/>
    <w:rsid w:val="00792C53"/>
    <w:rsid w:val="00792FED"/>
    <w:rsid w:val="0079304C"/>
    <w:rsid w:val="007930F3"/>
    <w:rsid w:val="00793258"/>
    <w:rsid w:val="00793807"/>
    <w:rsid w:val="00793D54"/>
    <w:rsid w:val="00794293"/>
    <w:rsid w:val="007942A8"/>
    <w:rsid w:val="007942C6"/>
    <w:rsid w:val="00794317"/>
    <w:rsid w:val="00794EC6"/>
    <w:rsid w:val="00795088"/>
    <w:rsid w:val="007955D6"/>
    <w:rsid w:val="0079567E"/>
    <w:rsid w:val="00795B09"/>
    <w:rsid w:val="00795C3A"/>
    <w:rsid w:val="0079601F"/>
    <w:rsid w:val="007963CD"/>
    <w:rsid w:val="007968BA"/>
    <w:rsid w:val="00796E15"/>
    <w:rsid w:val="00796EDD"/>
    <w:rsid w:val="00796F52"/>
    <w:rsid w:val="0079700B"/>
    <w:rsid w:val="00797554"/>
    <w:rsid w:val="00797599"/>
    <w:rsid w:val="0079774C"/>
    <w:rsid w:val="007978F4"/>
    <w:rsid w:val="00797A9B"/>
    <w:rsid w:val="00797BAF"/>
    <w:rsid w:val="00797C18"/>
    <w:rsid w:val="007A039D"/>
    <w:rsid w:val="007A0780"/>
    <w:rsid w:val="007A0943"/>
    <w:rsid w:val="007A0F0A"/>
    <w:rsid w:val="007A12B2"/>
    <w:rsid w:val="007A13F8"/>
    <w:rsid w:val="007A16B2"/>
    <w:rsid w:val="007A1FDC"/>
    <w:rsid w:val="007A1FE3"/>
    <w:rsid w:val="007A2202"/>
    <w:rsid w:val="007A2519"/>
    <w:rsid w:val="007A2893"/>
    <w:rsid w:val="007A2ABF"/>
    <w:rsid w:val="007A2AD7"/>
    <w:rsid w:val="007A300C"/>
    <w:rsid w:val="007A34C7"/>
    <w:rsid w:val="007A34E3"/>
    <w:rsid w:val="007A387D"/>
    <w:rsid w:val="007A48B0"/>
    <w:rsid w:val="007A498B"/>
    <w:rsid w:val="007A4D4C"/>
    <w:rsid w:val="007A4E48"/>
    <w:rsid w:val="007A4EF6"/>
    <w:rsid w:val="007A5240"/>
    <w:rsid w:val="007A54D7"/>
    <w:rsid w:val="007A5681"/>
    <w:rsid w:val="007A5781"/>
    <w:rsid w:val="007A5E9A"/>
    <w:rsid w:val="007A651D"/>
    <w:rsid w:val="007A678B"/>
    <w:rsid w:val="007A6D31"/>
    <w:rsid w:val="007A6EE1"/>
    <w:rsid w:val="007A707F"/>
    <w:rsid w:val="007A716A"/>
    <w:rsid w:val="007A7377"/>
    <w:rsid w:val="007A7491"/>
    <w:rsid w:val="007A7592"/>
    <w:rsid w:val="007A7AB6"/>
    <w:rsid w:val="007A7AE2"/>
    <w:rsid w:val="007B0294"/>
    <w:rsid w:val="007B0428"/>
    <w:rsid w:val="007B0FA7"/>
    <w:rsid w:val="007B10C5"/>
    <w:rsid w:val="007B14B8"/>
    <w:rsid w:val="007B1A23"/>
    <w:rsid w:val="007B21CE"/>
    <w:rsid w:val="007B236F"/>
    <w:rsid w:val="007B238D"/>
    <w:rsid w:val="007B28D3"/>
    <w:rsid w:val="007B2970"/>
    <w:rsid w:val="007B2995"/>
    <w:rsid w:val="007B2DB3"/>
    <w:rsid w:val="007B3343"/>
    <w:rsid w:val="007B3E4E"/>
    <w:rsid w:val="007B3F56"/>
    <w:rsid w:val="007B497C"/>
    <w:rsid w:val="007B4C1C"/>
    <w:rsid w:val="007B4E1C"/>
    <w:rsid w:val="007B509C"/>
    <w:rsid w:val="007B52E7"/>
    <w:rsid w:val="007B54F2"/>
    <w:rsid w:val="007B5A72"/>
    <w:rsid w:val="007B6113"/>
    <w:rsid w:val="007B62C6"/>
    <w:rsid w:val="007B6390"/>
    <w:rsid w:val="007B649D"/>
    <w:rsid w:val="007B64E6"/>
    <w:rsid w:val="007B66E8"/>
    <w:rsid w:val="007B6C05"/>
    <w:rsid w:val="007B6C11"/>
    <w:rsid w:val="007B6D38"/>
    <w:rsid w:val="007B7192"/>
    <w:rsid w:val="007B7548"/>
    <w:rsid w:val="007B76D8"/>
    <w:rsid w:val="007B7787"/>
    <w:rsid w:val="007B7960"/>
    <w:rsid w:val="007B79B5"/>
    <w:rsid w:val="007B7B4A"/>
    <w:rsid w:val="007B7CC5"/>
    <w:rsid w:val="007B7D44"/>
    <w:rsid w:val="007B7D81"/>
    <w:rsid w:val="007B7EAB"/>
    <w:rsid w:val="007C03A9"/>
    <w:rsid w:val="007C03FE"/>
    <w:rsid w:val="007C09C8"/>
    <w:rsid w:val="007C0B67"/>
    <w:rsid w:val="007C0C10"/>
    <w:rsid w:val="007C137F"/>
    <w:rsid w:val="007C14A7"/>
    <w:rsid w:val="007C155D"/>
    <w:rsid w:val="007C1581"/>
    <w:rsid w:val="007C1D46"/>
    <w:rsid w:val="007C1E73"/>
    <w:rsid w:val="007C20CB"/>
    <w:rsid w:val="007C22A6"/>
    <w:rsid w:val="007C287A"/>
    <w:rsid w:val="007C2964"/>
    <w:rsid w:val="007C2B57"/>
    <w:rsid w:val="007C2C63"/>
    <w:rsid w:val="007C349F"/>
    <w:rsid w:val="007C38B1"/>
    <w:rsid w:val="007C394D"/>
    <w:rsid w:val="007C3EC0"/>
    <w:rsid w:val="007C4302"/>
    <w:rsid w:val="007C4759"/>
    <w:rsid w:val="007C47A9"/>
    <w:rsid w:val="007C4E71"/>
    <w:rsid w:val="007C50E0"/>
    <w:rsid w:val="007C5193"/>
    <w:rsid w:val="007C5247"/>
    <w:rsid w:val="007C5C91"/>
    <w:rsid w:val="007C5D4D"/>
    <w:rsid w:val="007C6199"/>
    <w:rsid w:val="007C625E"/>
    <w:rsid w:val="007C64EB"/>
    <w:rsid w:val="007C6E38"/>
    <w:rsid w:val="007C733F"/>
    <w:rsid w:val="007C741C"/>
    <w:rsid w:val="007C7B11"/>
    <w:rsid w:val="007C7C78"/>
    <w:rsid w:val="007D0215"/>
    <w:rsid w:val="007D054F"/>
    <w:rsid w:val="007D0766"/>
    <w:rsid w:val="007D08DC"/>
    <w:rsid w:val="007D091B"/>
    <w:rsid w:val="007D0A5E"/>
    <w:rsid w:val="007D1168"/>
    <w:rsid w:val="007D1390"/>
    <w:rsid w:val="007D1560"/>
    <w:rsid w:val="007D1916"/>
    <w:rsid w:val="007D1B0E"/>
    <w:rsid w:val="007D1BB1"/>
    <w:rsid w:val="007D1E80"/>
    <w:rsid w:val="007D1EF8"/>
    <w:rsid w:val="007D2169"/>
    <w:rsid w:val="007D2249"/>
    <w:rsid w:val="007D2340"/>
    <w:rsid w:val="007D29A8"/>
    <w:rsid w:val="007D2C12"/>
    <w:rsid w:val="007D3017"/>
    <w:rsid w:val="007D352B"/>
    <w:rsid w:val="007D3731"/>
    <w:rsid w:val="007D384D"/>
    <w:rsid w:val="007D41DF"/>
    <w:rsid w:val="007D42FB"/>
    <w:rsid w:val="007D4A28"/>
    <w:rsid w:val="007D4D0B"/>
    <w:rsid w:val="007D4DE1"/>
    <w:rsid w:val="007D5058"/>
    <w:rsid w:val="007D5177"/>
    <w:rsid w:val="007D538D"/>
    <w:rsid w:val="007D59D4"/>
    <w:rsid w:val="007D601A"/>
    <w:rsid w:val="007D6186"/>
    <w:rsid w:val="007D63CE"/>
    <w:rsid w:val="007D66A8"/>
    <w:rsid w:val="007D6DA0"/>
    <w:rsid w:val="007D6E04"/>
    <w:rsid w:val="007D7B8D"/>
    <w:rsid w:val="007E05C7"/>
    <w:rsid w:val="007E06BC"/>
    <w:rsid w:val="007E0906"/>
    <w:rsid w:val="007E0CE1"/>
    <w:rsid w:val="007E0E5A"/>
    <w:rsid w:val="007E0EE1"/>
    <w:rsid w:val="007E124A"/>
    <w:rsid w:val="007E1295"/>
    <w:rsid w:val="007E129C"/>
    <w:rsid w:val="007E163D"/>
    <w:rsid w:val="007E188E"/>
    <w:rsid w:val="007E1A19"/>
    <w:rsid w:val="007E1B0B"/>
    <w:rsid w:val="007E1C26"/>
    <w:rsid w:val="007E1DEE"/>
    <w:rsid w:val="007E20D1"/>
    <w:rsid w:val="007E265B"/>
    <w:rsid w:val="007E2AB0"/>
    <w:rsid w:val="007E2B1C"/>
    <w:rsid w:val="007E2CA1"/>
    <w:rsid w:val="007E2F9D"/>
    <w:rsid w:val="007E31CF"/>
    <w:rsid w:val="007E367E"/>
    <w:rsid w:val="007E3802"/>
    <w:rsid w:val="007E3894"/>
    <w:rsid w:val="007E3B8A"/>
    <w:rsid w:val="007E4167"/>
    <w:rsid w:val="007E41AA"/>
    <w:rsid w:val="007E473D"/>
    <w:rsid w:val="007E4A11"/>
    <w:rsid w:val="007E538E"/>
    <w:rsid w:val="007E53D8"/>
    <w:rsid w:val="007E5453"/>
    <w:rsid w:val="007E5A2D"/>
    <w:rsid w:val="007E5F63"/>
    <w:rsid w:val="007E60EF"/>
    <w:rsid w:val="007E60FE"/>
    <w:rsid w:val="007E688B"/>
    <w:rsid w:val="007E6984"/>
    <w:rsid w:val="007E69FF"/>
    <w:rsid w:val="007E721D"/>
    <w:rsid w:val="007E77B2"/>
    <w:rsid w:val="007E7844"/>
    <w:rsid w:val="007E7894"/>
    <w:rsid w:val="007E798F"/>
    <w:rsid w:val="007E7CB8"/>
    <w:rsid w:val="007F01EE"/>
    <w:rsid w:val="007F03A8"/>
    <w:rsid w:val="007F13A8"/>
    <w:rsid w:val="007F1618"/>
    <w:rsid w:val="007F177D"/>
    <w:rsid w:val="007F1854"/>
    <w:rsid w:val="007F1CB7"/>
    <w:rsid w:val="007F1D20"/>
    <w:rsid w:val="007F1F7C"/>
    <w:rsid w:val="007F21FA"/>
    <w:rsid w:val="007F2592"/>
    <w:rsid w:val="007F2A06"/>
    <w:rsid w:val="007F2A2E"/>
    <w:rsid w:val="007F2AAE"/>
    <w:rsid w:val="007F2CA6"/>
    <w:rsid w:val="007F2D82"/>
    <w:rsid w:val="007F3055"/>
    <w:rsid w:val="007F31F8"/>
    <w:rsid w:val="007F32ED"/>
    <w:rsid w:val="007F350E"/>
    <w:rsid w:val="007F377D"/>
    <w:rsid w:val="007F3D61"/>
    <w:rsid w:val="007F40D1"/>
    <w:rsid w:val="007F43A8"/>
    <w:rsid w:val="007F4546"/>
    <w:rsid w:val="007F493A"/>
    <w:rsid w:val="007F4FED"/>
    <w:rsid w:val="007F51CC"/>
    <w:rsid w:val="007F5582"/>
    <w:rsid w:val="007F56EF"/>
    <w:rsid w:val="007F5EFA"/>
    <w:rsid w:val="007F5FAF"/>
    <w:rsid w:val="007F5FB2"/>
    <w:rsid w:val="007F65D0"/>
    <w:rsid w:val="007F65F9"/>
    <w:rsid w:val="007F6742"/>
    <w:rsid w:val="007F6762"/>
    <w:rsid w:val="007F67B1"/>
    <w:rsid w:val="007F6CF3"/>
    <w:rsid w:val="007F73DA"/>
    <w:rsid w:val="007F73FB"/>
    <w:rsid w:val="007F793B"/>
    <w:rsid w:val="007F79C5"/>
    <w:rsid w:val="007F7AED"/>
    <w:rsid w:val="007F7F82"/>
    <w:rsid w:val="008000E5"/>
    <w:rsid w:val="0080011D"/>
    <w:rsid w:val="008003D9"/>
    <w:rsid w:val="00800DFD"/>
    <w:rsid w:val="00800E98"/>
    <w:rsid w:val="008012C2"/>
    <w:rsid w:val="008012D6"/>
    <w:rsid w:val="008013BA"/>
    <w:rsid w:val="00801432"/>
    <w:rsid w:val="008015E0"/>
    <w:rsid w:val="00801827"/>
    <w:rsid w:val="00801A8E"/>
    <w:rsid w:val="008020C6"/>
    <w:rsid w:val="008021E2"/>
    <w:rsid w:val="00802223"/>
    <w:rsid w:val="0080224C"/>
    <w:rsid w:val="0080230F"/>
    <w:rsid w:val="0080243B"/>
    <w:rsid w:val="0080282B"/>
    <w:rsid w:val="00802CDB"/>
    <w:rsid w:val="00802ECB"/>
    <w:rsid w:val="00802F32"/>
    <w:rsid w:val="008032E0"/>
    <w:rsid w:val="0080365A"/>
    <w:rsid w:val="008036E5"/>
    <w:rsid w:val="008037F1"/>
    <w:rsid w:val="0080397D"/>
    <w:rsid w:val="00803D0F"/>
    <w:rsid w:val="00803E8B"/>
    <w:rsid w:val="00803F91"/>
    <w:rsid w:val="00804112"/>
    <w:rsid w:val="00804194"/>
    <w:rsid w:val="008046C2"/>
    <w:rsid w:val="0080483D"/>
    <w:rsid w:val="00804A99"/>
    <w:rsid w:val="0080511F"/>
    <w:rsid w:val="008053F3"/>
    <w:rsid w:val="00805666"/>
    <w:rsid w:val="008057AB"/>
    <w:rsid w:val="008058BA"/>
    <w:rsid w:val="00805AA9"/>
    <w:rsid w:val="00805C36"/>
    <w:rsid w:val="00805C45"/>
    <w:rsid w:val="00805CE0"/>
    <w:rsid w:val="008064D9"/>
    <w:rsid w:val="00806641"/>
    <w:rsid w:val="008066EB"/>
    <w:rsid w:val="00806DE2"/>
    <w:rsid w:val="00806E3B"/>
    <w:rsid w:val="00806F10"/>
    <w:rsid w:val="00806FDA"/>
    <w:rsid w:val="008070B4"/>
    <w:rsid w:val="008071AA"/>
    <w:rsid w:val="0080777B"/>
    <w:rsid w:val="0080779B"/>
    <w:rsid w:val="00807AB0"/>
    <w:rsid w:val="00807ABE"/>
    <w:rsid w:val="00807CAE"/>
    <w:rsid w:val="00807FF3"/>
    <w:rsid w:val="0081046C"/>
    <w:rsid w:val="0081059F"/>
    <w:rsid w:val="0081067C"/>
    <w:rsid w:val="008106B0"/>
    <w:rsid w:val="00810AF2"/>
    <w:rsid w:val="00810E9B"/>
    <w:rsid w:val="00810F59"/>
    <w:rsid w:val="00811333"/>
    <w:rsid w:val="0081139F"/>
    <w:rsid w:val="0081144C"/>
    <w:rsid w:val="008115BC"/>
    <w:rsid w:val="00811FAE"/>
    <w:rsid w:val="00812267"/>
    <w:rsid w:val="008124C8"/>
    <w:rsid w:val="00812741"/>
    <w:rsid w:val="00812C4D"/>
    <w:rsid w:val="00812C7F"/>
    <w:rsid w:val="008130BD"/>
    <w:rsid w:val="00813107"/>
    <w:rsid w:val="00813163"/>
    <w:rsid w:val="00813217"/>
    <w:rsid w:val="00813236"/>
    <w:rsid w:val="008138E7"/>
    <w:rsid w:val="00813A1A"/>
    <w:rsid w:val="00813AD7"/>
    <w:rsid w:val="00814265"/>
    <w:rsid w:val="008142A7"/>
    <w:rsid w:val="008147EB"/>
    <w:rsid w:val="00814A34"/>
    <w:rsid w:val="00814AEB"/>
    <w:rsid w:val="00814B3D"/>
    <w:rsid w:val="0081514B"/>
    <w:rsid w:val="008151A3"/>
    <w:rsid w:val="00815303"/>
    <w:rsid w:val="008156AA"/>
    <w:rsid w:val="008156DD"/>
    <w:rsid w:val="008156F2"/>
    <w:rsid w:val="00815990"/>
    <w:rsid w:val="0081601E"/>
    <w:rsid w:val="008162F4"/>
    <w:rsid w:val="008165D5"/>
    <w:rsid w:val="0081678B"/>
    <w:rsid w:val="00816A19"/>
    <w:rsid w:val="00816A9A"/>
    <w:rsid w:val="00816BB0"/>
    <w:rsid w:val="008172D6"/>
    <w:rsid w:val="0081758C"/>
    <w:rsid w:val="008175B3"/>
    <w:rsid w:val="0081765A"/>
    <w:rsid w:val="00817792"/>
    <w:rsid w:val="00817AA9"/>
    <w:rsid w:val="00817C2B"/>
    <w:rsid w:val="00817D7A"/>
    <w:rsid w:val="0082029D"/>
    <w:rsid w:val="008205E4"/>
    <w:rsid w:val="00820718"/>
    <w:rsid w:val="00820CE1"/>
    <w:rsid w:val="00820E08"/>
    <w:rsid w:val="008210B8"/>
    <w:rsid w:val="00821109"/>
    <w:rsid w:val="00821529"/>
    <w:rsid w:val="00821AEA"/>
    <w:rsid w:val="0082221D"/>
    <w:rsid w:val="00822360"/>
    <w:rsid w:val="008226E0"/>
    <w:rsid w:val="00822744"/>
    <w:rsid w:val="00822AF8"/>
    <w:rsid w:val="00822B34"/>
    <w:rsid w:val="00822FBE"/>
    <w:rsid w:val="0082308B"/>
    <w:rsid w:val="0082316B"/>
    <w:rsid w:val="00823283"/>
    <w:rsid w:val="008232C2"/>
    <w:rsid w:val="0082385F"/>
    <w:rsid w:val="00823A72"/>
    <w:rsid w:val="00823AE1"/>
    <w:rsid w:val="00823E0A"/>
    <w:rsid w:val="00823FDD"/>
    <w:rsid w:val="0082432F"/>
    <w:rsid w:val="008246B5"/>
    <w:rsid w:val="008249A6"/>
    <w:rsid w:val="00824A75"/>
    <w:rsid w:val="00824CFA"/>
    <w:rsid w:val="00825019"/>
    <w:rsid w:val="008250A0"/>
    <w:rsid w:val="00825186"/>
    <w:rsid w:val="00825441"/>
    <w:rsid w:val="00825D16"/>
    <w:rsid w:val="00825E31"/>
    <w:rsid w:val="00825FF0"/>
    <w:rsid w:val="00826217"/>
    <w:rsid w:val="00826218"/>
    <w:rsid w:val="0082672C"/>
    <w:rsid w:val="00826863"/>
    <w:rsid w:val="00827170"/>
    <w:rsid w:val="0082726E"/>
    <w:rsid w:val="00827325"/>
    <w:rsid w:val="00827624"/>
    <w:rsid w:val="008276B7"/>
    <w:rsid w:val="0082791D"/>
    <w:rsid w:val="0082792B"/>
    <w:rsid w:val="00827E30"/>
    <w:rsid w:val="00827F35"/>
    <w:rsid w:val="00830130"/>
    <w:rsid w:val="008305C0"/>
    <w:rsid w:val="008306C7"/>
    <w:rsid w:val="00830F4A"/>
    <w:rsid w:val="008310A4"/>
    <w:rsid w:val="0083127D"/>
    <w:rsid w:val="0083137B"/>
    <w:rsid w:val="008313AE"/>
    <w:rsid w:val="008313D2"/>
    <w:rsid w:val="0083167E"/>
    <w:rsid w:val="008319D4"/>
    <w:rsid w:val="00831A19"/>
    <w:rsid w:val="00831A54"/>
    <w:rsid w:val="00831C4F"/>
    <w:rsid w:val="00831C87"/>
    <w:rsid w:val="00832B92"/>
    <w:rsid w:val="00832C58"/>
    <w:rsid w:val="00832DD8"/>
    <w:rsid w:val="008331C8"/>
    <w:rsid w:val="00833369"/>
    <w:rsid w:val="0083364C"/>
    <w:rsid w:val="008337A1"/>
    <w:rsid w:val="00833B79"/>
    <w:rsid w:val="00834222"/>
    <w:rsid w:val="008342EC"/>
    <w:rsid w:val="008344A8"/>
    <w:rsid w:val="00834615"/>
    <w:rsid w:val="0083470B"/>
    <w:rsid w:val="0083489D"/>
    <w:rsid w:val="00834C7B"/>
    <w:rsid w:val="00834F21"/>
    <w:rsid w:val="00835071"/>
    <w:rsid w:val="008355C5"/>
    <w:rsid w:val="00835B26"/>
    <w:rsid w:val="00835B64"/>
    <w:rsid w:val="00835BC5"/>
    <w:rsid w:val="00835D86"/>
    <w:rsid w:val="00836846"/>
    <w:rsid w:val="0083695F"/>
    <w:rsid w:val="00836F76"/>
    <w:rsid w:val="00836FA1"/>
    <w:rsid w:val="00837340"/>
    <w:rsid w:val="00837756"/>
    <w:rsid w:val="00837842"/>
    <w:rsid w:val="00837973"/>
    <w:rsid w:val="00837991"/>
    <w:rsid w:val="00837DCC"/>
    <w:rsid w:val="00837ED8"/>
    <w:rsid w:val="00837F1F"/>
    <w:rsid w:val="00837F6F"/>
    <w:rsid w:val="008402F3"/>
    <w:rsid w:val="00840531"/>
    <w:rsid w:val="008405B8"/>
    <w:rsid w:val="00840686"/>
    <w:rsid w:val="008406D5"/>
    <w:rsid w:val="00840BB7"/>
    <w:rsid w:val="00841276"/>
    <w:rsid w:val="00841B32"/>
    <w:rsid w:val="00841E92"/>
    <w:rsid w:val="00842393"/>
    <w:rsid w:val="008423FF"/>
    <w:rsid w:val="008424CA"/>
    <w:rsid w:val="00842797"/>
    <w:rsid w:val="0084282E"/>
    <w:rsid w:val="008429F3"/>
    <w:rsid w:val="00842C42"/>
    <w:rsid w:val="008431E6"/>
    <w:rsid w:val="00843524"/>
    <w:rsid w:val="0084374D"/>
    <w:rsid w:val="00843882"/>
    <w:rsid w:val="008439FF"/>
    <w:rsid w:val="00843EB1"/>
    <w:rsid w:val="008440D3"/>
    <w:rsid w:val="008442B1"/>
    <w:rsid w:val="00844681"/>
    <w:rsid w:val="0084471C"/>
    <w:rsid w:val="00844817"/>
    <w:rsid w:val="00844E6F"/>
    <w:rsid w:val="008450A4"/>
    <w:rsid w:val="008452DC"/>
    <w:rsid w:val="0084593E"/>
    <w:rsid w:val="00846139"/>
    <w:rsid w:val="00846322"/>
    <w:rsid w:val="008464C9"/>
    <w:rsid w:val="00846930"/>
    <w:rsid w:val="00846A50"/>
    <w:rsid w:val="00846D57"/>
    <w:rsid w:val="008472CD"/>
    <w:rsid w:val="008478D7"/>
    <w:rsid w:val="00847CBD"/>
    <w:rsid w:val="00847E1A"/>
    <w:rsid w:val="008500F4"/>
    <w:rsid w:val="008500F7"/>
    <w:rsid w:val="00850C2E"/>
    <w:rsid w:val="00850DE2"/>
    <w:rsid w:val="00851225"/>
    <w:rsid w:val="0085139B"/>
    <w:rsid w:val="008513B2"/>
    <w:rsid w:val="0085194F"/>
    <w:rsid w:val="00851A11"/>
    <w:rsid w:val="00851A87"/>
    <w:rsid w:val="00851B7C"/>
    <w:rsid w:val="00851BB5"/>
    <w:rsid w:val="008520CC"/>
    <w:rsid w:val="0085239D"/>
    <w:rsid w:val="008528E1"/>
    <w:rsid w:val="00852B77"/>
    <w:rsid w:val="00852BD0"/>
    <w:rsid w:val="00852F50"/>
    <w:rsid w:val="00853697"/>
    <w:rsid w:val="0085374D"/>
    <w:rsid w:val="008538CD"/>
    <w:rsid w:val="008538EB"/>
    <w:rsid w:val="00853908"/>
    <w:rsid w:val="00853995"/>
    <w:rsid w:val="00853BDC"/>
    <w:rsid w:val="00853C56"/>
    <w:rsid w:val="0085444D"/>
    <w:rsid w:val="008545F1"/>
    <w:rsid w:val="00854600"/>
    <w:rsid w:val="00854E08"/>
    <w:rsid w:val="008554D0"/>
    <w:rsid w:val="0085560F"/>
    <w:rsid w:val="008566C0"/>
    <w:rsid w:val="00856800"/>
    <w:rsid w:val="0085692F"/>
    <w:rsid w:val="00856B23"/>
    <w:rsid w:val="00856BDB"/>
    <w:rsid w:val="0085714C"/>
    <w:rsid w:val="008572CF"/>
    <w:rsid w:val="00857461"/>
    <w:rsid w:val="0085755E"/>
    <w:rsid w:val="00857632"/>
    <w:rsid w:val="00857C3C"/>
    <w:rsid w:val="00860063"/>
    <w:rsid w:val="0086021C"/>
    <w:rsid w:val="00860295"/>
    <w:rsid w:val="0086092E"/>
    <w:rsid w:val="00860984"/>
    <w:rsid w:val="008612DB"/>
    <w:rsid w:val="008613CD"/>
    <w:rsid w:val="0086141C"/>
    <w:rsid w:val="00861580"/>
    <w:rsid w:val="00861647"/>
    <w:rsid w:val="008616E2"/>
    <w:rsid w:val="00861C95"/>
    <w:rsid w:val="008621E3"/>
    <w:rsid w:val="00862305"/>
    <w:rsid w:val="008623F9"/>
    <w:rsid w:val="008625C1"/>
    <w:rsid w:val="00862B08"/>
    <w:rsid w:val="00862B89"/>
    <w:rsid w:val="00862DC4"/>
    <w:rsid w:val="00862F1D"/>
    <w:rsid w:val="00863295"/>
    <w:rsid w:val="00863B46"/>
    <w:rsid w:val="00863F4C"/>
    <w:rsid w:val="00864315"/>
    <w:rsid w:val="008643B2"/>
    <w:rsid w:val="00864AB9"/>
    <w:rsid w:val="00864D1B"/>
    <w:rsid w:val="00864DAE"/>
    <w:rsid w:val="00865155"/>
    <w:rsid w:val="00865769"/>
    <w:rsid w:val="00865803"/>
    <w:rsid w:val="0086601F"/>
    <w:rsid w:val="00866725"/>
    <w:rsid w:val="00866B9B"/>
    <w:rsid w:val="00866C63"/>
    <w:rsid w:val="00866C73"/>
    <w:rsid w:val="00866F36"/>
    <w:rsid w:val="008671D8"/>
    <w:rsid w:val="008676DC"/>
    <w:rsid w:val="008676FF"/>
    <w:rsid w:val="00867DDC"/>
    <w:rsid w:val="008700EA"/>
    <w:rsid w:val="008700F1"/>
    <w:rsid w:val="008703E6"/>
    <w:rsid w:val="00870510"/>
    <w:rsid w:val="0087062D"/>
    <w:rsid w:val="00870BE3"/>
    <w:rsid w:val="00870F7B"/>
    <w:rsid w:val="00870F95"/>
    <w:rsid w:val="008711E9"/>
    <w:rsid w:val="008717D9"/>
    <w:rsid w:val="00871F24"/>
    <w:rsid w:val="0087200D"/>
    <w:rsid w:val="00872608"/>
    <w:rsid w:val="00872A51"/>
    <w:rsid w:val="00872BB5"/>
    <w:rsid w:val="00872C28"/>
    <w:rsid w:val="0087333B"/>
    <w:rsid w:val="00873851"/>
    <w:rsid w:val="00873B46"/>
    <w:rsid w:val="00873BFE"/>
    <w:rsid w:val="00873EB5"/>
    <w:rsid w:val="00873F21"/>
    <w:rsid w:val="008743D3"/>
    <w:rsid w:val="008745D3"/>
    <w:rsid w:val="00874907"/>
    <w:rsid w:val="00874D0C"/>
    <w:rsid w:val="008756F8"/>
    <w:rsid w:val="0087570C"/>
    <w:rsid w:val="008759F9"/>
    <w:rsid w:val="00875BC7"/>
    <w:rsid w:val="00875CF1"/>
    <w:rsid w:val="00875FA3"/>
    <w:rsid w:val="0087642A"/>
    <w:rsid w:val="00876434"/>
    <w:rsid w:val="0087643D"/>
    <w:rsid w:val="008764F7"/>
    <w:rsid w:val="00876568"/>
    <w:rsid w:val="008766CA"/>
    <w:rsid w:val="00876843"/>
    <w:rsid w:val="00876BDC"/>
    <w:rsid w:val="00876CDD"/>
    <w:rsid w:val="00876DE6"/>
    <w:rsid w:val="00876E3D"/>
    <w:rsid w:val="00877097"/>
    <w:rsid w:val="00877360"/>
    <w:rsid w:val="008778CA"/>
    <w:rsid w:val="00877941"/>
    <w:rsid w:val="008801B8"/>
    <w:rsid w:val="00880A0F"/>
    <w:rsid w:val="00880C0E"/>
    <w:rsid w:val="00880CFC"/>
    <w:rsid w:val="0088154F"/>
    <w:rsid w:val="008817AA"/>
    <w:rsid w:val="00881A15"/>
    <w:rsid w:val="008822AB"/>
    <w:rsid w:val="00882559"/>
    <w:rsid w:val="008826D5"/>
    <w:rsid w:val="0088278E"/>
    <w:rsid w:val="008827A1"/>
    <w:rsid w:val="0088299C"/>
    <w:rsid w:val="00882B22"/>
    <w:rsid w:val="00882CAD"/>
    <w:rsid w:val="00882F11"/>
    <w:rsid w:val="00883D95"/>
    <w:rsid w:val="00884074"/>
    <w:rsid w:val="008842B8"/>
    <w:rsid w:val="008845DE"/>
    <w:rsid w:val="00884608"/>
    <w:rsid w:val="00884941"/>
    <w:rsid w:val="00884A47"/>
    <w:rsid w:val="00884B45"/>
    <w:rsid w:val="00884E8D"/>
    <w:rsid w:val="00885223"/>
    <w:rsid w:val="00885278"/>
    <w:rsid w:val="00885316"/>
    <w:rsid w:val="008853A3"/>
    <w:rsid w:val="00885532"/>
    <w:rsid w:val="008859D9"/>
    <w:rsid w:val="00885A46"/>
    <w:rsid w:val="00885BE4"/>
    <w:rsid w:val="00886082"/>
    <w:rsid w:val="00886497"/>
    <w:rsid w:val="008867D1"/>
    <w:rsid w:val="00886EC9"/>
    <w:rsid w:val="00887015"/>
    <w:rsid w:val="008870AF"/>
    <w:rsid w:val="00887355"/>
    <w:rsid w:val="00887550"/>
    <w:rsid w:val="00887AC6"/>
    <w:rsid w:val="00887AE8"/>
    <w:rsid w:val="00887FAA"/>
    <w:rsid w:val="00890084"/>
    <w:rsid w:val="0089017A"/>
    <w:rsid w:val="00890400"/>
    <w:rsid w:val="0089046A"/>
    <w:rsid w:val="008904B7"/>
    <w:rsid w:val="00890952"/>
    <w:rsid w:val="00890FA6"/>
    <w:rsid w:val="008911CD"/>
    <w:rsid w:val="008912A9"/>
    <w:rsid w:val="008914C6"/>
    <w:rsid w:val="00891850"/>
    <w:rsid w:val="008919D6"/>
    <w:rsid w:val="00891DE2"/>
    <w:rsid w:val="00891FA7"/>
    <w:rsid w:val="0089205D"/>
    <w:rsid w:val="008921FF"/>
    <w:rsid w:val="008922DA"/>
    <w:rsid w:val="008922E8"/>
    <w:rsid w:val="008925D9"/>
    <w:rsid w:val="00892A80"/>
    <w:rsid w:val="00892B82"/>
    <w:rsid w:val="00892D17"/>
    <w:rsid w:val="00893375"/>
    <w:rsid w:val="00893764"/>
    <w:rsid w:val="00893930"/>
    <w:rsid w:val="00893A6C"/>
    <w:rsid w:val="00893AC0"/>
    <w:rsid w:val="00893FDD"/>
    <w:rsid w:val="0089482F"/>
    <w:rsid w:val="00894B4B"/>
    <w:rsid w:val="00894C20"/>
    <w:rsid w:val="0089523A"/>
    <w:rsid w:val="00895466"/>
    <w:rsid w:val="008955AC"/>
    <w:rsid w:val="008956BC"/>
    <w:rsid w:val="00895978"/>
    <w:rsid w:val="008959E7"/>
    <w:rsid w:val="00895CE3"/>
    <w:rsid w:val="00895D0A"/>
    <w:rsid w:val="00895E11"/>
    <w:rsid w:val="008960D9"/>
    <w:rsid w:val="00896263"/>
    <w:rsid w:val="0089636F"/>
    <w:rsid w:val="008964E8"/>
    <w:rsid w:val="00896589"/>
    <w:rsid w:val="008968D4"/>
    <w:rsid w:val="00896968"/>
    <w:rsid w:val="00896D86"/>
    <w:rsid w:val="00897020"/>
    <w:rsid w:val="00897422"/>
    <w:rsid w:val="0089759B"/>
    <w:rsid w:val="00897632"/>
    <w:rsid w:val="0089770B"/>
    <w:rsid w:val="00897C51"/>
    <w:rsid w:val="00897D32"/>
    <w:rsid w:val="00897EC4"/>
    <w:rsid w:val="00897F4B"/>
    <w:rsid w:val="008A01AD"/>
    <w:rsid w:val="008A020D"/>
    <w:rsid w:val="008A0660"/>
    <w:rsid w:val="008A068D"/>
    <w:rsid w:val="008A087E"/>
    <w:rsid w:val="008A0C03"/>
    <w:rsid w:val="008A0CAD"/>
    <w:rsid w:val="008A1278"/>
    <w:rsid w:val="008A19E2"/>
    <w:rsid w:val="008A1A34"/>
    <w:rsid w:val="008A1C65"/>
    <w:rsid w:val="008A1FF3"/>
    <w:rsid w:val="008A21C6"/>
    <w:rsid w:val="008A2535"/>
    <w:rsid w:val="008A271D"/>
    <w:rsid w:val="008A28D7"/>
    <w:rsid w:val="008A2F33"/>
    <w:rsid w:val="008A30A9"/>
    <w:rsid w:val="008A334A"/>
    <w:rsid w:val="008A336F"/>
    <w:rsid w:val="008A341B"/>
    <w:rsid w:val="008A3CD7"/>
    <w:rsid w:val="008A402C"/>
    <w:rsid w:val="008A40CA"/>
    <w:rsid w:val="008A5209"/>
    <w:rsid w:val="008A554D"/>
    <w:rsid w:val="008A5572"/>
    <w:rsid w:val="008A587D"/>
    <w:rsid w:val="008A5C7E"/>
    <w:rsid w:val="008A5FC5"/>
    <w:rsid w:val="008A66B1"/>
    <w:rsid w:val="008A68B0"/>
    <w:rsid w:val="008A69BD"/>
    <w:rsid w:val="008A6A12"/>
    <w:rsid w:val="008A6C0D"/>
    <w:rsid w:val="008A6DE7"/>
    <w:rsid w:val="008A6E1A"/>
    <w:rsid w:val="008A70B3"/>
    <w:rsid w:val="008A7448"/>
    <w:rsid w:val="008A7C44"/>
    <w:rsid w:val="008A7F00"/>
    <w:rsid w:val="008A7F72"/>
    <w:rsid w:val="008B0139"/>
    <w:rsid w:val="008B04CB"/>
    <w:rsid w:val="008B0600"/>
    <w:rsid w:val="008B0A0C"/>
    <w:rsid w:val="008B0AEE"/>
    <w:rsid w:val="008B0D72"/>
    <w:rsid w:val="008B0EE9"/>
    <w:rsid w:val="008B0EFA"/>
    <w:rsid w:val="008B10B1"/>
    <w:rsid w:val="008B13F0"/>
    <w:rsid w:val="008B18ED"/>
    <w:rsid w:val="008B190D"/>
    <w:rsid w:val="008B1B9C"/>
    <w:rsid w:val="008B21BB"/>
    <w:rsid w:val="008B2255"/>
    <w:rsid w:val="008B2331"/>
    <w:rsid w:val="008B2361"/>
    <w:rsid w:val="008B23A5"/>
    <w:rsid w:val="008B2A00"/>
    <w:rsid w:val="008B2CB0"/>
    <w:rsid w:val="008B2DB2"/>
    <w:rsid w:val="008B2DC2"/>
    <w:rsid w:val="008B2E19"/>
    <w:rsid w:val="008B2FFF"/>
    <w:rsid w:val="008B3135"/>
    <w:rsid w:val="008B38E7"/>
    <w:rsid w:val="008B3B8C"/>
    <w:rsid w:val="008B3BAE"/>
    <w:rsid w:val="008B3C5F"/>
    <w:rsid w:val="008B4104"/>
    <w:rsid w:val="008B4109"/>
    <w:rsid w:val="008B4454"/>
    <w:rsid w:val="008B4510"/>
    <w:rsid w:val="008B4A7C"/>
    <w:rsid w:val="008B524D"/>
    <w:rsid w:val="008B53FC"/>
    <w:rsid w:val="008B55EE"/>
    <w:rsid w:val="008B61B9"/>
    <w:rsid w:val="008B6515"/>
    <w:rsid w:val="008B658D"/>
    <w:rsid w:val="008B668A"/>
    <w:rsid w:val="008B71AD"/>
    <w:rsid w:val="008B731A"/>
    <w:rsid w:val="008B75BC"/>
    <w:rsid w:val="008B784C"/>
    <w:rsid w:val="008B79AF"/>
    <w:rsid w:val="008B79F0"/>
    <w:rsid w:val="008B7F89"/>
    <w:rsid w:val="008C02B9"/>
    <w:rsid w:val="008C03B9"/>
    <w:rsid w:val="008C04EE"/>
    <w:rsid w:val="008C05C1"/>
    <w:rsid w:val="008C0AAC"/>
    <w:rsid w:val="008C0BC1"/>
    <w:rsid w:val="008C0D14"/>
    <w:rsid w:val="008C0D7F"/>
    <w:rsid w:val="008C0ED3"/>
    <w:rsid w:val="008C1341"/>
    <w:rsid w:val="008C1E7E"/>
    <w:rsid w:val="008C2059"/>
    <w:rsid w:val="008C2143"/>
    <w:rsid w:val="008C21BD"/>
    <w:rsid w:val="008C2230"/>
    <w:rsid w:val="008C248B"/>
    <w:rsid w:val="008C268E"/>
    <w:rsid w:val="008C26D3"/>
    <w:rsid w:val="008C29E4"/>
    <w:rsid w:val="008C2A54"/>
    <w:rsid w:val="008C2BF9"/>
    <w:rsid w:val="008C2EF8"/>
    <w:rsid w:val="008C30C0"/>
    <w:rsid w:val="008C36D2"/>
    <w:rsid w:val="008C371A"/>
    <w:rsid w:val="008C383B"/>
    <w:rsid w:val="008C3AEA"/>
    <w:rsid w:val="008C3C69"/>
    <w:rsid w:val="008C406B"/>
    <w:rsid w:val="008C4077"/>
    <w:rsid w:val="008C460F"/>
    <w:rsid w:val="008C4784"/>
    <w:rsid w:val="008C47C2"/>
    <w:rsid w:val="008C4827"/>
    <w:rsid w:val="008C4D2A"/>
    <w:rsid w:val="008C4DB2"/>
    <w:rsid w:val="008C4E30"/>
    <w:rsid w:val="008C582C"/>
    <w:rsid w:val="008C65AA"/>
    <w:rsid w:val="008C6E29"/>
    <w:rsid w:val="008C75BB"/>
    <w:rsid w:val="008C75EC"/>
    <w:rsid w:val="008C7A98"/>
    <w:rsid w:val="008D03CD"/>
    <w:rsid w:val="008D05DC"/>
    <w:rsid w:val="008D0636"/>
    <w:rsid w:val="008D0CE8"/>
    <w:rsid w:val="008D0E1D"/>
    <w:rsid w:val="008D0F6C"/>
    <w:rsid w:val="008D1113"/>
    <w:rsid w:val="008D1243"/>
    <w:rsid w:val="008D13BF"/>
    <w:rsid w:val="008D170E"/>
    <w:rsid w:val="008D1B77"/>
    <w:rsid w:val="008D2517"/>
    <w:rsid w:val="008D299E"/>
    <w:rsid w:val="008D2C04"/>
    <w:rsid w:val="008D36B4"/>
    <w:rsid w:val="008D36E8"/>
    <w:rsid w:val="008D3733"/>
    <w:rsid w:val="008D39F1"/>
    <w:rsid w:val="008D3A9B"/>
    <w:rsid w:val="008D3CD0"/>
    <w:rsid w:val="008D3F93"/>
    <w:rsid w:val="008D4158"/>
    <w:rsid w:val="008D416E"/>
    <w:rsid w:val="008D500C"/>
    <w:rsid w:val="008D5214"/>
    <w:rsid w:val="008D5795"/>
    <w:rsid w:val="008D5994"/>
    <w:rsid w:val="008D5A58"/>
    <w:rsid w:val="008D5EC7"/>
    <w:rsid w:val="008D62ED"/>
    <w:rsid w:val="008D684F"/>
    <w:rsid w:val="008D6964"/>
    <w:rsid w:val="008D703F"/>
    <w:rsid w:val="008D77F4"/>
    <w:rsid w:val="008D781D"/>
    <w:rsid w:val="008D79C4"/>
    <w:rsid w:val="008D7A21"/>
    <w:rsid w:val="008E0476"/>
    <w:rsid w:val="008E04BB"/>
    <w:rsid w:val="008E1059"/>
    <w:rsid w:val="008E12DE"/>
    <w:rsid w:val="008E130E"/>
    <w:rsid w:val="008E16D8"/>
    <w:rsid w:val="008E1AF7"/>
    <w:rsid w:val="008E1C7D"/>
    <w:rsid w:val="008E205B"/>
    <w:rsid w:val="008E22FE"/>
    <w:rsid w:val="008E2610"/>
    <w:rsid w:val="008E2627"/>
    <w:rsid w:val="008E268C"/>
    <w:rsid w:val="008E2EC2"/>
    <w:rsid w:val="008E3097"/>
    <w:rsid w:val="008E3260"/>
    <w:rsid w:val="008E33AA"/>
    <w:rsid w:val="008E3432"/>
    <w:rsid w:val="008E3601"/>
    <w:rsid w:val="008E36AE"/>
    <w:rsid w:val="008E41C5"/>
    <w:rsid w:val="008E431D"/>
    <w:rsid w:val="008E4A39"/>
    <w:rsid w:val="008E4A62"/>
    <w:rsid w:val="008E4B5C"/>
    <w:rsid w:val="008E4D42"/>
    <w:rsid w:val="008E4FFB"/>
    <w:rsid w:val="008E503B"/>
    <w:rsid w:val="008E55B8"/>
    <w:rsid w:val="008E5C22"/>
    <w:rsid w:val="008E5E0F"/>
    <w:rsid w:val="008E5F13"/>
    <w:rsid w:val="008E65B5"/>
    <w:rsid w:val="008E6878"/>
    <w:rsid w:val="008E68F7"/>
    <w:rsid w:val="008E6A87"/>
    <w:rsid w:val="008E6B93"/>
    <w:rsid w:val="008E70CF"/>
    <w:rsid w:val="008E7670"/>
    <w:rsid w:val="008E7671"/>
    <w:rsid w:val="008E76B9"/>
    <w:rsid w:val="008E78C5"/>
    <w:rsid w:val="008E7C01"/>
    <w:rsid w:val="008E7C56"/>
    <w:rsid w:val="008E7E6C"/>
    <w:rsid w:val="008E7F6B"/>
    <w:rsid w:val="008E7FAB"/>
    <w:rsid w:val="008F0191"/>
    <w:rsid w:val="008F0256"/>
    <w:rsid w:val="008F02B0"/>
    <w:rsid w:val="008F02CB"/>
    <w:rsid w:val="008F03AA"/>
    <w:rsid w:val="008F0420"/>
    <w:rsid w:val="008F0827"/>
    <w:rsid w:val="008F0D5C"/>
    <w:rsid w:val="008F0D87"/>
    <w:rsid w:val="008F0D91"/>
    <w:rsid w:val="008F1537"/>
    <w:rsid w:val="008F159C"/>
    <w:rsid w:val="008F1662"/>
    <w:rsid w:val="008F168F"/>
    <w:rsid w:val="008F16ED"/>
    <w:rsid w:val="008F17E7"/>
    <w:rsid w:val="008F19A7"/>
    <w:rsid w:val="008F1B5C"/>
    <w:rsid w:val="008F1C64"/>
    <w:rsid w:val="008F1CC2"/>
    <w:rsid w:val="008F1D1F"/>
    <w:rsid w:val="008F1FB7"/>
    <w:rsid w:val="008F23C0"/>
    <w:rsid w:val="008F2A32"/>
    <w:rsid w:val="008F2E79"/>
    <w:rsid w:val="008F327B"/>
    <w:rsid w:val="008F3400"/>
    <w:rsid w:val="008F3402"/>
    <w:rsid w:val="008F3458"/>
    <w:rsid w:val="008F3606"/>
    <w:rsid w:val="008F372F"/>
    <w:rsid w:val="008F3E3F"/>
    <w:rsid w:val="008F3FC2"/>
    <w:rsid w:val="008F4627"/>
    <w:rsid w:val="008F4759"/>
    <w:rsid w:val="008F4A43"/>
    <w:rsid w:val="008F4B3D"/>
    <w:rsid w:val="008F5030"/>
    <w:rsid w:val="008F503C"/>
    <w:rsid w:val="008F539B"/>
    <w:rsid w:val="008F5B85"/>
    <w:rsid w:val="008F5BD2"/>
    <w:rsid w:val="008F62A9"/>
    <w:rsid w:val="008F650C"/>
    <w:rsid w:val="008F663D"/>
    <w:rsid w:val="008F6805"/>
    <w:rsid w:val="008F6C31"/>
    <w:rsid w:val="008F6C95"/>
    <w:rsid w:val="008F6DBC"/>
    <w:rsid w:val="008F6FE9"/>
    <w:rsid w:val="008F7156"/>
    <w:rsid w:val="008F7324"/>
    <w:rsid w:val="008F7399"/>
    <w:rsid w:val="008F74DA"/>
    <w:rsid w:val="008F7CB8"/>
    <w:rsid w:val="008F7D8B"/>
    <w:rsid w:val="009001F8"/>
    <w:rsid w:val="009002A4"/>
    <w:rsid w:val="009003C2"/>
    <w:rsid w:val="009003CB"/>
    <w:rsid w:val="009003FC"/>
    <w:rsid w:val="009006E3"/>
    <w:rsid w:val="00900877"/>
    <w:rsid w:val="00900A93"/>
    <w:rsid w:val="00900D0E"/>
    <w:rsid w:val="009011EA"/>
    <w:rsid w:val="009012B4"/>
    <w:rsid w:val="009018CB"/>
    <w:rsid w:val="00901F1A"/>
    <w:rsid w:val="00901F49"/>
    <w:rsid w:val="009021F8"/>
    <w:rsid w:val="009024DC"/>
    <w:rsid w:val="00902781"/>
    <w:rsid w:val="0090288E"/>
    <w:rsid w:val="00902E1D"/>
    <w:rsid w:val="00902EB8"/>
    <w:rsid w:val="00902FC1"/>
    <w:rsid w:val="00903080"/>
    <w:rsid w:val="009030A3"/>
    <w:rsid w:val="00903159"/>
    <w:rsid w:val="00903350"/>
    <w:rsid w:val="009033B0"/>
    <w:rsid w:val="00903692"/>
    <w:rsid w:val="00903D49"/>
    <w:rsid w:val="00903EFD"/>
    <w:rsid w:val="0090412A"/>
    <w:rsid w:val="0090436E"/>
    <w:rsid w:val="00904554"/>
    <w:rsid w:val="0090458C"/>
    <w:rsid w:val="009046B3"/>
    <w:rsid w:val="00904C3C"/>
    <w:rsid w:val="00904C89"/>
    <w:rsid w:val="009050C3"/>
    <w:rsid w:val="00905359"/>
    <w:rsid w:val="009054E5"/>
    <w:rsid w:val="009056BD"/>
    <w:rsid w:val="009058F3"/>
    <w:rsid w:val="0090597A"/>
    <w:rsid w:val="00905A2A"/>
    <w:rsid w:val="00905CF2"/>
    <w:rsid w:val="0090663F"/>
    <w:rsid w:val="00906B8B"/>
    <w:rsid w:val="00906D17"/>
    <w:rsid w:val="00906E5E"/>
    <w:rsid w:val="0090708A"/>
    <w:rsid w:val="00907110"/>
    <w:rsid w:val="009074E8"/>
    <w:rsid w:val="0090751C"/>
    <w:rsid w:val="00907665"/>
    <w:rsid w:val="009076F3"/>
    <w:rsid w:val="009078F6"/>
    <w:rsid w:val="00907B87"/>
    <w:rsid w:val="00907BF7"/>
    <w:rsid w:val="00907BFB"/>
    <w:rsid w:val="00907FB1"/>
    <w:rsid w:val="009100B7"/>
    <w:rsid w:val="0091013A"/>
    <w:rsid w:val="00910234"/>
    <w:rsid w:val="009104D0"/>
    <w:rsid w:val="00910554"/>
    <w:rsid w:val="009106EE"/>
    <w:rsid w:val="009109F3"/>
    <w:rsid w:val="00910A72"/>
    <w:rsid w:val="00911113"/>
    <w:rsid w:val="00911206"/>
    <w:rsid w:val="0091120E"/>
    <w:rsid w:val="00911215"/>
    <w:rsid w:val="00911407"/>
    <w:rsid w:val="0091148E"/>
    <w:rsid w:val="00911539"/>
    <w:rsid w:val="0091158A"/>
    <w:rsid w:val="0091174D"/>
    <w:rsid w:val="00911D59"/>
    <w:rsid w:val="00911ED1"/>
    <w:rsid w:val="009120D5"/>
    <w:rsid w:val="00912416"/>
    <w:rsid w:val="00912531"/>
    <w:rsid w:val="00912B65"/>
    <w:rsid w:val="0091302F"/>
    <w:rsid w:val="0091311B"/>
    <w:rsid w:val="009133D2"/>
    <w:rsid w:val="00913CE5"/>
    <w:rsid w:val="00913EB4"/>
    <w:rsid w:val="0091403A"/>
    <w:rsid w:val="009141A2"/>
    <w:rsid w:val="00914616"/>
    <w:rsid w:val="00914BB5"/>
    <w:rsid w:val="00914E4F"/>
    <w:rsid w:val="00914E86"/>
    <w:rsid w:val="00914F40"/>
    <w:rsid w:val="009152E1"/>
    <w:rsid w:val="00915464"/>
    <w:rsid w:val="0091555A"/>
    <w:rsid w:val="00915685"/>
    <w:rsid w:val="00915995"/>
    <w:rsid w:val="00916093"/>
    <w:rsid w:val="00916304"/>
    <w:rsid w:val="00916433"/>
    <w:rsid w:val="009164FD"/>
    <w:rsid w:val="0091652F"/>
    <w:rsid w:val="0091668A"/>
    <w:rsid w:val="00916733"/>
    <w:rsid w:val="00916940"/>
    <w:rsid w:val="00916CDC"/>
    <w:rsid w:val="00916DB5"/>
    <w:rsid w:val="00916FCD"/>
    <w:rsid w:val="00917369"/>
    <w:rsid w:val="00917958"/>
    <w:rsid w:val="00917B3A"/>
    <w:rsid w:val="00917E91"/>
    <w:rsid w:val="009204CF"/>
    <w:rsid w:val="0092055B"/>
    <w:rsid w:val="009205BD"/>
    <w:rsid w:val="0092065E"/>
    <w:rsid w:val="009207C8"/>
    <w:rsid w:val="00920874"/>
    <w:rsid w:val="009208CE"/>
    <w:rsid w:val="00920A23"/>
    <w:rsid w:val="00920BD8"/>
    <w:rsid w:val="00920CBD"/>
    <w:rsid w:val="0092143A"/>
    <w:rsid w:val="00921497"/>
    <w:rsid w:val="009214F9"/>
    <w:rsid w:val="00921583"/>
    <w:rsid w:val="00921589"/>
    <w:rsid w:val="00921714"/>
    <w:rsid w:val="00921DC3"/>
    <w:rsid w:val="009223FB"/>
    <w:rsid w:val="00922BE4"/>
    <w:rsid w:val="00923055"/>
    <w:rsid w:val="009230BF"/>
    <w:rsid w:val="009230D1"/>
    <w:rsid w:val="00923670"/>
    <w:rsid w:val="00923A15"/>
    <w:rsid w:val="00923B17"/>
    <w:rsid w:val="00923B54"/>
    <w:rsid w:val="00923E58"/>
    <w:rsid w:val="00923F7F"/>
    <w:rsid w:val="009240E2"/>
    <w:rsid w:val="00924216"/>
    <w:rsid w:val="009243FA"/>
    <w:rsid w:val="00924558"/>
    <w:rsid w:val="00924A11"/>
    <w:rsid w:val="00924C23"/>
    <w:rsid w:val="00924C6B"/>
    <w:rsid w:val="00924F8F"/>
    <w:rsid w:val="0092503F"/>
    <w:rsid w:val="00925161"/>
    <w:rsid w:val="0092579C"/>
    <w:rsid w:val="009258CD"/>
    <w:rsid w:val="00925B32"/>
    <w:rsid w:val="00925E7F"/>
    <w:rsid w:val="009260E6"/>
    <w:rsid w:val="009263E4"/>
    <w:rsid w:val="009268DD"/>
    <w:rsid w:val="00926A70"/>
    <w:rsid w:val="00926B73"/>
    <w:rsid w:val="00926B7B"/>
    <w:rsid w:val="00926D61"/>
    <w:rsid w:val="00926DBE"/>
    <w:rsid w:val="00927270"/>
    <w:rsid w:val="009273E0"/>
    <w:rsid w:val="00927F63"/>
    <w:rsid w:val="0093009D"/>
    <w:rsid w:val="009305E8"/>
    <w:rsid w:val="009309B8"/>
    <w:rsid w:val="00930B7D"/>
    <w:rsid w:val="00931485"/>
    <w:rsid w:val="009315FD"/>
    <w:rsid w:val="009316BD"/>
    <w:rsid w:val="00931846"/>
    <w:rsid w:val="00931888"/>
    <w:rsid w:val="00931A7F"/>
    <w:rsid w:val="00931B71"/>
    <w:rsid w:val="009326B8"/>
    <w:rsid w:val="00932703"/>
    <w:rsid w:val="0093271D"/>
    <w:rsid w:val="00932740"/>
    <w:rsid w:val="00932786"/>
    <w:rsid w:val="00933023"/>
    <w:rsid w:val="00933261"/>
    <w:rsid w:val="009335FB"/>
    <w:rsid w:val="00933618"/>
    <w:rsid w:val="009338CF"/>
    <w:rsid w:val="00933ACF"/>
    <w:rsid w:val="00933B12"/>
    <w:rsid w:val="00933D6F"/>
    <w:rsid w:val="00933E6C"/>
    <w:rsid w:val="0093420F"/>
    <w:rsid w:val="009344A7"/>
    <w:rsid w:val="009344F9"/>
    <w:rsid w:val="0093469E"/>
    <w:rsid w:val="00934739"/>
    <w:rsid w:val="00934805"/>
    <w:rsid w:val="00934BA9"/>
    <w:rsid w:val="00934D6F"/>
    <w:rsid w:val="00934D7E"/>
    <w:rsid w:val="00934DB1"/>
    <w:rsid w:val="00935448"/>
    <w:rsid w:val="00935855"/>
    <w:rsid w:val="00935966"/>
    <w:rsid w:val="009360F0"/>
    <w:rsid w:val="00936AF2"/>
    <w:rsid w:val="00936CA0"/>
    <w:rsid w:val="00937287"/>
    <w:rsid w:val="009374F5"/>
    <w:rsid w:val="00940043"/>
    <w:rsid w:val="009409D4"/>
    <w:rsid w:val="00940C63"/>
    <w:rsid w:val="00941053"/>
    <w:rsid w:val="00941075"/>
    <w:rsid w:val="00941175"/>
    <w:rsid w:val="0094152E"/>
    <w:rsid w:val="009415C1"/>
    <w:rsid w:val="00941AD2"/>
    <w:rsid w:val="00941BDE"/>
    <w:rsid w:val="00941D53"/>
    <w:rsid w:val="00941F15"/>
    <w:rsid w:val="009420E2"/>
    <w:rsid w:val="00942193"/>
    <w:rsid w:val="009421AB"/>
    <w:rsid w:val="00942280"/>
    <w:rsid w:val="00942BF9"/>
    <w:rsid w:val="00942C5F"/>
    <w:rsid w:val="00942D4D"/>
    <w:rsid w:val="00942E07"/>
    <w:rsid w:val="00943463"/>
    <w:rsid w:val="00943BE5"/>
    <w:rsid w:val="00943DC1"/>
    <w:rsid w:val="00943E27"/>
    <w:rsid w:val="00944526"/>
    <w:rsid w:val="009449EB"/>
    <w:rsid w:val="00944B37"/>
    <w:rsid w:val="00944E2B"/>
    <w:rsid w:val="00944EFA"/>
    <w:rsid w:val="009454DE"/>
    <w:rsid w:val="0094552E"/>
    <w:rsid w:val="00945831"/>
    <w:rsid w:val="00945F43"/>
    <w:rsid w:val="00946003"/>
    <w:rsid w:val="00946AB1"/>
    <w:rsid w:val="00946BC6"/>
    <w:rsid w:val="00946CCD"/>
    <w:rsid w:val="00946DE6"/>
    <w:rsid w:val="00946E8A"/>
    <w:rsid w:val="0094719B"/>
    <w:rsid w:val="009472EF"/>
    <w:rsid w:val="00947539"/>
    <w:rsid w:val="00947569"/>
    <w:rsid w:val="00947D3A"/>
    <w:rsid w:val="00947E40"/>
    <w:rsid w:val="00950299"/>
    <w:rsid w:val="00950436"/>
    <w:rsid w:val="0095045D"/>
    <w:rsid w:val="00950619"/>
    <w:rsid w:val="0095079E"/>
    <w:rsid w:val="00950A93"/>
    <w:rsid w:val="00950BD4"/>
    <w:rsid w:val="00950E89"/>
    <w:rsid w:val="0095137B"/>
    <w:rsid w:val="009517E7"/>
    <w:rsid w:val="00951A4C"/>
    <w:rsid w:val="00951ABC"/>
    <w:rsid w:val="00951C6D"/>
    <w:rsid w:val="00951C87"/>
    <w:rsid w:val="0095200B"/>
    <w:rsid w:val="00952731"/>
    <w:rsid w:val="00952EE8"/>
    <w:rsid w:val="009537D6"/>
    <w:rsid w:val="00953C28"/>
    <w:rsid w:val="00953E36"/>
    <w:rsid w:val="00954294"/>
    <w:rsid w:val="009542BA"/>
    <w:rsid w:val="00954362"/>
    <w:rsid w:val="0095439D"/>
    <w:rsid w:val="00954444"/>
    <w:rsid w:val="009546F8"/>
    <w:rsid w:val="00954CBA"/>
    <w:rsid w:val="00955336"/>
    <w:rsid w:val="00955576"/>
    <w:rsid w:val="0095566E"/>
    <w:rsid w:val="0095606D"/>
    <w:rsid w:val="00956608"/>
    <w:rsid w:val="0095661B"/>
    <w:rsid w:val="00956879"/>
    <w:rsid w:val="00956F4E"/>
    <w:rsid w:val="0095717C"/>
    <w:rsid w:val="00957617"/>
    <w:rsid w:val="00957742"/>
    <w:rsid w:val="009577FD"/>
    <w:rsid w:val="00957998"/>
    <w:rsid w:val="00957D31"/>
    <w:rsid w:val="009601ED"/>
    <w:rsid w:val="00960330"/>
    <w:rsid w:val="0096045E"/>
    <w:rsid w:val="009604DE"/>
    <w:rsid w:val="0096066F"/>
    <w:rsid w:val="00960981"/>
    <w:rsid w:val="00960A0E"/>
    <w:rsid w:val="00960BC5"/>
    <w:rsid w:val="00960C86"/>
    <w:rsid w:val="00960D11"/>
    <w:rsid w:val="00960D61"/>
    <w:rsid w:val="00960DC2"/>
    <w:rsid w:val="00961091"/>
    <w:rsid w:val="0096137B"/>
    <w:rsid w:val="00961605"/>
    <w:rsid w:val="00961779"/>
    <w:rsid w:val="009618C8"/>
    <w:rsid w:val="00961C02"/>
    <w:rsid w:val="009623CB"/>
    <w:rsid w:val="009626B1"/>
    <w:rsid w:val="009626BC"/>
    <w:rsid w:val="00962834"/>
    <w:rsid w:val="0096291E"/>
    <w:rsid w:val="00962B6D"/>
    <w:rsid w:val="00962BD3"/>
    <w:rsid w:val="00963195"/>
    <w:rsid w:val="009632A6"/>
    <w:rsid w:val="009633F5"/>
    <w:rsid w:val="0096342B"/>
    <w:rsid w:val="00963732"/>
    <w:rsid w:val="009642DC"/>
    <w:rsid w:val="00964642"/>
    <w:rsid w:val="0096484A"/>
    <w:rsid w:val="00964C5F"/>
    <w:rsid w:val="00964DBB"/>
    <w:rsid w:val="009651A4"/>
    <w:rsid w:val="009653BD"/>
    <w:rsid w:val="00965D2C"/>
    <w:rsid w:val="009664B5"/>
    <w:rsid w:val="00966509"/>
    <w:rsid w:val="00966794"/>
    <w:rsid w:val="009667CB"/>
    <w:rsid w:val="00966B69"/>
    <w:rsid w:val="00966F4F"/>
    <w:rsid w:val="009670B1"/>
    <w:rsid w:val="009671D0"/>
    <w:rsid w:val="00967268"/>
    <w:rsid w:val="00967AF4"/>
    <w:rsid w:val="00967CC0"/>
    <w:rsid w:val="00967DF6"/>
    <w:rsid w:val="00967F9C"/>
    <w:rsid w:val="009703D6"/>
    <w:rsid w:val="00970411"/>
    <w:rsid w:val="00970753"/>
    <w:rsid w:val="009707C7"/>
    <w:rsid w:val="00971291"/>
    <w:rsid w:val="0097151B"/>
    <w:rsid w:val="0097160A"/>
    <w:rsid w:val="009717A3"/>
    <w:rsid w:val="00971CF8"/>
    <w:rsid w:val="0097203C"/>
    <w:rsid w:val="0097206D"/>
    <w:rsid w:val="00972095"/>
    <w:rsid w:val="009724AF"/>
    <w:rsid w:val="00972653"/>
    <w:rsid w:val="0097272B"/>
    <w:rsid w:val="00972767"/>
    <w:rsid w:val="009727CC"/>
    <w:rsid w:val="009728A0"/>
    <w:rsid w:val="00972A06"/>
    <w:rsid w:val="00972D43"/>
    <w:rsid w:val="00972F7E"/>
    <w:rsid w:val="009730EE"/>
    <w:rsid w:val="00973646"/>
    <w:rsid w:val="00973A7F"/>
    <w:rsid w:val="00973B90"/>
    <w:rsid w:val="00973BBF"/>
    <w:rsid w:val="00973BE6"/>
    <w:rsid w:val="00973CAC"/>
    <w:rsid w:val="00973CAD"/>
    <w:rsid w:val="009740F9"/>
    <w:rsid w:val="009741A3"/>
    <w:rsid w:val="00974529"/>
    <w:rsid w:val="00974764"/>
    <w:rsid w:val="00974A64"/>
    <w:rsid w:val="00974A68"/>
    <w:rsid w:val="00974C15"/>
    <w:rsid w:val="00974C90"/>
    <w:rsid w:val="0097528A"/>
    <w:rsid w:val="00975525"/>
    <w:rsid w:val="00975ABA"/>
    <w:rsid w:val="00975D38"/>
    <w:rsid w:val="009765D8"/>
    <w:rsid w:val="0097663D"/>
    <w:rsid w:val="00976804"/>
    <w:rsid w:val="00976EF8"/>
    <w:rsid w:val="009770EC"/>
    <w:rsid w:val="0097711B"/>
    <w:rsid w:val="009772A1"/>
    <w:rsid w:val="0097744A"/>
    <w:rsid w:val="00977562"/>
    <w:rsid w:val="00977832"/>
    <w:rsid w:val="0097795A"/>
    <w:rsid w:val="00977D10"/>
    <w:rsid w:val="00977D7A"/>
    <w:rsid w:val="00977F70"/>
    <w:rsid w:val="009806B6"/>
    <w:rsid w:val="00980B9C"/>
    <w:rsid w:val="00980CED"/>
    <w:rsid w:val="00980D35"/>
    <w:rsid w:val="00980DF7"/>
    <w:rsid w:val="00981227"/>
    <w:rsid w:val="009812C8"/>
    <w:rsid w:val="009812FE"/>
    <w:rsid w:val="009813AF"/>
    <w:rsid w:val="009815B7"/>
    <w:rsid w:val="0098171A"/>
    <w:rsid w:val="009817A8"/>
    <w:rsid w:val="00981FFB"/>
    <w:rsid w:val="00982168"/>
    <w:rsid w:val="0098226C"/>
    <w:rsid w:val="00982844"/>
    <w:rsid w:val="00982943"/>
    <w:rsid w:val="00982CC4"/>
    <w:rsid w:val="00982D5D"/>
    <w:rsid w:val="00982E3B"/>
    <w:rsid w:val="00982F6D"/>
    <w:rsid w:val="0098321D"/>
    <w:rsid w:val="009837F8"/>
    <w:rsid w:val="009839F6"/>
    <w:rsid w:val="00983BF6"/>
    <w:rsid w:val="00983CF4"/>
    <w:rsid w:val="00983F63"/>
    <w:rsid w:val="00983F97"/>
    <w:rsid w:val="009842B7"/>
    <w:rsid w:val="00984549"/>
    <w:rsid w:val="009845F3"/>
    <w:rsid w:val="00984B22"/>
    <w:rsid w:val="00984C02"/>
    <w:rsid w:val="00984E98"/>
    <w:rsid w:val="00985361"/>
    <w:rsid w:val="0098548E"/>
    <w:rsid w:val="00985743"/>
    <w:rsid w:val="009858D5"/>
    <w:rsid w:val="009859CB"/>
    <w:rsid w:val="00985C59"/>
    <w:rsid w:val="00985C70"/>
    <w:rsid w:val="00985CB4"/>
    <w:rsid w:val="00985F31"/>
    <w:rsid w:val="00986132"/>
    <w:rsid w:val="0098622E"/>
    <w:rsid w:val="009862E2"/>
    <w:rsid w:val="0098630E"/>
    <w:rsid w:val="009866DB"/>
    <w:rsid w:val="009866DF"/>
    <w:rsid w:val="00986737"/>
    <w:rsid w:val="00986F08"/>
    <w:rsid w:val="00986F97"/>
    <w:rsid w:val="009873E8"/>
    <w:rsid w:val="00987406"/>
    <w:rsid w:val="0098771E"/>
    <w:rsid w:val="00987A91"/>
    <w:rsid w:val="00987C2D"/>
    <w:rsid w:val="00987DBF"/>
    <w:rsid w:val="00987FBC"/>
    <w:rsid w:val="00990144"/>
    <w:rsid w:val="00990256"/>
    <w:rsid w:val="00990328"/>
    <w:rsid w:val="00990399"/>
    <w:rsid w:val="009912F9"/>
    <w:rsid w:val="009914CA"/>
    <w:rsid w:val="0099154B"/>
    <w:rsid w:val="00992332"/>
    <w:rsid w:val="0099297D"/>
    <w:rsid w:val="00992D24"/>
    <w:rsid w:val="00992F43"/>
    <w:rsid w:val="009930A9"/>
    <w:rsid w:val="0099328B"/>
    <w:rsid w:val="00993673"/>
    <w:rsid w:val="0099372B"/>
    <w:rsid w:val="00993856"/>
    <w:rsid w:val="00993B0B"/>
    <w:rsid w:val="00993DCC"/>
    <w:rsid w:val="00993E43"/>
    <w:rsid w:val="009940FC"/>
    <w:rsid w:val="00994184"/>
    <w:rsid w:val="0099418B"/>
    <w:rsid w:val="0099437B"/>
    <w:rsid w:val="0099446A"/>
    <w:rsid w:val="0099447E"/>
    <w:rsid w:val="00994598"/>
    <w:rsid w:val="0099485E"/>
    <w:rsid w:val="00994980"/>
    <w:rsid w:val="0099500B"/>
    <w:rsid w:val="0099506E"/>
    <w:rsid w:val="009951F9"/>
    <w:rsid w:val="009951FF"/>
    <w:rsid w:val="00995244"/>
    <w:rsid w:val="009954E6"/>
    <w:rsid w:val="009955F9"/>
    <w:rsid w:val="00995AD5"/>
    <w:rsid w:val="00995B28"/>
    <w:rsid w:val="00995DA8"/>
    <w:rsid w:val="00995E3B"/>
    <w:rsid w:val="00995EEF"/>
    <w:rsid w:val="00995F92"/>
    <w:rsid w:val="00996218"/>
    <w:rsid w:val="00996235"/>
    <w:rsid w:val="009964ED"/>
    <w:rsid w:val="00996507"/>
    <w:rsid w:val="0099654E"/>
    <w:rsid w:val="009965F6"/>
    <w:rsid w:val="00996646"/>
    <w:rsid w:val="0099668B"/>
    <w:rsid w:val="0099691C"/>
    <w:rsid w:val="00996A0F"/>
    <w:rsid w:val="00996B02"/>
    <w:rsid w:val="00996DAF"/>
    <w:rsid w:val="00996E2C"/>
    <w:rsid w:val="0099731D"/>
    <w:rsid w:val="009A0273"/>
    <w:rsid w:val="009A02A0"/>
    <w:rsid w:val="009A02D0"/>
    <w:rsid w:val="009A0457"/>
    <w:rsid w:val="009A0477"/>
    <w:rsid w:val="009A06FB"/>
    <w:rsid w:val="009A0960"/>
    <w:rsid w:val="009A0D72"/>
    <w:rsid w:val="009A0FDA"/>
    <w:rsid w:val="009A107E"/>
    <w:rsid w:val="009A1099"/>
    <w:rsid w:val="009A1390"/>
    <w:rsid w:val="009A16AC"/>
    <w:rsid w:val="009A1EFD"/>
    <w:rsid w:val="009A1F15"/>
    <w:rsid w:val="009A1FF5"/>
    <w:rsid w:val="009A2191"/>
    <w:rsid w:val="009A2280"/>
    <w:rsid w:val="009A22B9"/>
    <w:rsid w:val="009A27E4"/>
    <w:rsid w:val="009A2A79"/>
    <w:rsid w:val="009A2B5D"/>
    <w:rsid w:val="009A2C44"/>
    <w:rsid w:val="009A2D0D"/>
    <w:rsid w:val="009A3182"/>
    <w:rsid w:val="009A3326"/>
    <w:rsid w:val="009A3515"/>
    <w:rsid w:val="009A35C8"/>
    <w:rsid w:val="009A449A"/>
    <w:rsid w:val="009A4623"/>
    <w:rsid w:val="009A46C1"/>
    <w:rsid w:val="009A46E0"/>
    <w:rsid w:val="009A4A08"/>
    <w:rsid w:val="009A4A9E"/>
    <w:rsid w:val="009A5356"/>
    <w:rsid w:val="009A5449"/>
    <w:rsid w:val="009A5538"/>
    <w:rsid w:val="009A5637"/>
    <w:rsid w:val="009A58DF"/>
    <w:rsid w:val="009A58F7"/>
    <w:rsid w:val="009A5A33"/>
    <w:rsid w:val="009A5B8A"/>
    <w:rsid w:val="009A5BF9"/>
    <w:rsid w:val="009A5CE3"/>
    <w:rsid w:val="009A5DBA"/>
    <w:rsid w:val="009A5E9F"/>
    <w:rsid w:val="009A5F45"/>
    <w:rsid w:val="009A61CA"/>
    <w:rsid w:val="009A6575"/>
    <w:rsid w:val="009A665B"/>
    <w:rsid w:val="009A69B2"/>
    <w:rsid w:val="009A6E0A"/>
    <w:rsid w:val="009A6E1D"/>
    <w:rsid w:val="009A707E"/>
    <w:rsid w:val="009A75BD"/>
    <w:rsid w:val="009A7726"/>
    <w:rsid w:val="009A78F8"/>
    <w:rsid w:val="009A7F6B"/>
    <w:rsid w:val="009B0500"/>
    <w:rsid w:val="009B0906"/>
    <w:rsid w:val="009B0984"/>
    <w:rsid w:val="009B0B66"/>
    <w:rsid w:val="009B0C3C"/>
    <w:rsid w:val="009B0D9A"/>
    <w:rsid w:val="009B12B0"/>
    <w:rsid w:val="009B138E"/>
    <w:rsid w:val="009B17FA"/>
    <w:rsid w:val="009B1B93"/>
    <w:rsid w:val="009B1E8F"/>
    <w:rsid w:val="009B27A5"/>
    <w:rsid w:val="009B2B47"/>
    <w:rsid w:val="009B2BCF"/>
    <w:rsid w:val="009B32D8"/>
    <w:rsid w:val="009B3338"/>
    <w:rsid w:val="009B3AD2"/>
    <w:rsid w:val="009B406C"/>
    <w:rsid w:val="009B4BA4"/>
    <w:rsid w:val="009B5074"/>
    <w:rsid w:val="009B507F"/>
    <w:rsid w:val="009B537F"/>
    <w:rsid w:val="009B56B6"/>
    <w:rsid w:val="009B57B5"/>
    <w:rsid w:val="009B58BB"/>
    <w:rsid w:val="009B5B45"/>
    <w:rsid w:val="009B5DB9"/>
    <w:rsid w:val="009B5E51"/>
    <w:rsid w:val="009B5EA8"/>
    <w:rsid w:val="009B5F00"/>
    <w:rsid w:val="009B6441"/>
    <w:rsid w:val="009B6957"/>
    <w:rsid w:val="009B71FC"/>
    <w:rsid w:val="009B7426"/>
    <w:rsid w:val="009B78DE"/>
    <w:rsid w:val="009B7921"/>
    <w:rsid w:val="009B7B31"/>
    <w:rsid w:val="009C00C0"/>
    <w:rsid w:val="009C02A9"/>
    <w:rsid w:val="009C0DC6"/>
    <w:rsid w:val="009C14F2"/>
    <w:rsid w:val="009C18F5"/>
    <w:rsid w:val="009C1988"/>
    <w:rsid w:val="009C1CF9"/>
    <w:rsid w:val="009C1D13"/>
    <w:rsid w:val="009C1D80"/>
    <w:rsid w:val="009C1ED2"/>
    <w:rsid w:val="009C1F72"/>
    <w:rsid w:val="009C2295"/>
    <w:rsid w:val="009C24C2"/>
    <w:rsid w:val="009C25DF"/>
    <w:rsid w:val="009C2870"/>
    <w:rsid w:val="009C2A47"/>
    <w:rsid w:val="009C2DFD"/>
    <w:rsid w:val="009C2E8A"/>
    <w:rsid w:val="009C2FC3"/>
    <w:rsid w:val="009C3787"/>
    <w:rsid w:val="009C3D03"/>
    <w:rsid w:val="009C3E8D"/>
    <w:rsid w:val="009C47E4"/>
    <w:rsid w:val="009C485B"/>
    <w:rsid w:val="009C4876"/>
    <w:rsid w:val="009C4E6C"/>
    <w:rsid w:val="009C508C"/>
    <w:rsid w:val="009C5405"/>
    <w:rsid w:val="009C586C"/>
    <w:rsid w:val="009C5E8B"/>
    <w:rsid w:val="009C5EC9"/>
    <w:rsid w:val="009C603A"/>
    <w:rsid w:val="009C6833"/>
    <w:rsid w:val="009C689F"/>
    <w:rsid w:val="009C6940"/>
    <w:rsid w:val="009C6BED"/>
    <w:rsid w:val="009C6FC9"/>
    <w:rsid w:val="009C738F"/>
    <w:rsid w:val="009C75E1"/>
    <w:rsid w:val="009C7931"/>
    <w:rsid w:val="009D059D"/>
    <w:rsid w:val="009D0979"/>
    <w:rsid w:val="009D12D6"/>
    <w:rsid w:val="009D1442"/>
    <w:rsid w:val="009D1805"/>
    <w:rsid w:val="009D18D1"/>
    <w:rsid w:val="009D1C95"/>
    <w:rsid w:val="009D1D7E"/>
    <w:rsid w:val="009D1FDD"/>
    <w:rsid w:val="009D21F7"/>
    <w:rsid w:val="009D2421"/>
    <w:rsid w:val="009D248B"/>
    <w:rsid w:val="009D2F6A"/>
    <w:rsid w:val="009D32A4"/>
    <w:rsid w:val="009D371B"/>
    <w:rsid w:val="009D3C2F"/>
    <w:rsid w:val="009D429A"/>
    <w:rsid w:val="009D4FD9"/>
    <w:rsid w:val="009D5232"/>
    <w:rsid w:val="009D523B"/>
    <w:rsid w:val="009D527C"/>
    <w:rsid w:val="009D5489"/>
    <w:rsid w:val="009D5AA5"/>
    <w:rsid w:val="009D5B87"/>
    <w:rsid w:val="009D6375"/>
    <w:rsid w:val="009D64CE"/>
    <w:rsid w:val="009D678C"/>
    <w:rsid w:val="009D6B64"/>
    <w:rsid w:val="009D6DD4"/>
    <w:rsid w:val="009D6DFC"/>
    <w:rsid w:val="009D74FA"/>
    <w:rsid w:val="009D7729"/>
    <w:rsid w:val="009D77F2"/>
    <w:rsid w:val="009D7A4A"/>
    <w:rsid w:val="009D7B24"/>
    <w:rsid w:val="009D7B8E"/>
    <w:rsid w:val="009D7BB8"/>
    <w:rsid w:val="009D7CAA"/>
    <w:rsid w:val="009E00D6"/>
    <w:rsid w:val="009E078E"/>
    <w:rsid w:val="009E098D"/>
    <w:rsid w:val="009E0A27"/>
    <w:rsid w:val="009E0BA4"/>
    <w:rsid w:val="009E1118"/>
    <w:rsid w:val="009E1184"/>
    <w:rsid w:val="009E17AF"/>
    <w:rsid w:val="009E1BCA"/>
    <w:rsid w:val="009E2194"/>
    <w:rsid w:val="009E23D2"/>
    <w:rsid w:val="009E2620"/>
    <w:rsid w:val="009E26D0"/>
    <w:rsid w:val="009E2A87"/>
    <w:rsid w:val="009E2B9E"/>
    <w:rsid w:val="009E2E1B"/>
    <w:rsid w:val="009E319C"/>
    <w:rsid w:val="009E3223"/>
    <w:rsid w:val="009E3250"/>
    <w:rsid w:val="009E35CF"/>
    <w:rsid w:val="009E3AF1"/>
    <w:rsid w:val="009E3FE3"/>
    <w:rsid w:val="009E4F63"/>
    <w:rsid w:val="009E4F98"/>
    <w:rsid w:val="009E57A4"/>
    <w:rsid w:val="009E5B95"/>
    <w:rsid w:val="009E61D7"/>
    <w:rsid w:val="009E69E9"/>
    <w:rsid w:val="009E69ED"/>
    <w:rsid w:val="009E69FD"/>
    <w:rsid w:val="009E6A85"/>
    <w:rsid w:val="009E714D"/>
    <w:rsid w:val="009E7293"/>
    <w:rsid w:val="009E7392"/>
    <w:rsid w:val="009E7428"/>
    <w:rsid w:val="009F0C08"/>
    <w:rsid w:val="009F0CB9"/>
    <w:rsid w:val="009F0F1A"/>
    <w:rsid w:val="009F147A"/>
    <w:rsid w:val="009F15F9"/>
    <w:rsid w:val="009F171A"/>
    <w:rsid w:val="009F1FF6"/>
    <w:rsid w:val="009F2239"/>
    <w:rsid w:val="009F237D"/>
    <w:rsid w:val="009F2806"/>
    <w:rsid w:val="009F2CF9"/>
    <w:rsid w:val="009F2F09"/>
    <w:rsid w:val="009F386C"/>
    <w:rsid w:val="009F3A00"/>
    <w:rsid w:val="009F3A37"/>
    <w:rsid w:val="009F3A42"/>
    <w:rsid w:val="009F3E83"/>
    <w:rsid w:val="009F3FCF"/>
    <w:rsid w:val="009F401A"/>
    <w:rsid w:val="009F408E"/>
    <w:rsid w:val="009F413B"/>
    <w:rsid w:val="009F44CF"/>
    <w:rsid w:val="009F456C"/>
    <w:rsid w:val="009F4C0D"/>
    <w:rsid w:val="009F52B9"/>
    <w:rsid w:val="009F5759"/>
    <w:rsid w:val="009F5802"/>
    <w:rsid w:val="009F58FE"/>
    <w:rsid w:val="009F607E"/>
    <w:rsid w:val="009F6214"/>
    <w:rsid w:val="009F6D29"/>
    <w:rsid w:val="009F6F0D"/>
    <w:rsid w:val="009F755E"/>
    <w:rsid w:val="009F75A9"/>
    <w:rsid w:val="009F7621"/>
    <w:rsid w:val="009F7703"/>
    <w:rsid w:val="009F7832"/>
    <w:rsid w:val="009F79A0"/>
    <w:rsid w:val="009F7A36"/>
    <w:rsid w:val="009F7F3E"/>
    <w:rsid w:val="009F7F63"/>
    <w:rsid w:val="00A000D3"/>
    <w:rsid w:val="00A005B4"/>
    <w:rsid w:val="00A00A36"/>
    <w:rsid w:val="00A00A54"/>
    <w:rsid w:val="00A00E5B"/>
    <w:rsid w:val="00A019C3"/>
    <w:rsid w:val="00A01AF6"/>
    <w:rsid w:val="00A020C8"/>
    <w:rsid w:val="00A02237"/>
    <w:rsid w:val="00A02902"/>
    <w:rsid w:val="00A02C74"/>
    <w:rsid w:val="00A02CF6"/>
    <w:rsid w:val="00A02E43"/>
    <w:rsid w:val="00A033A9"/>
    <w:rsid w:val="00A035AB"/>
    <w:rsid w:val="00A0363D"/>
    <w:rsid w:val="00A03933"/>
    <w:rsid w:val="00A03958"/>
    <w:rsid w:val="00A03E76"/>
    <w:rsid w:val="00A043F1"/>
    <w:rsid w:val="00A04FA8"/>
    <w:rsid w:val="00A0502E"/>
    <w:rsid w:val="00A05113"/>
    <w:rsid w:val="00A05130"/>
    <w:rsid w:val="00A0540D"/>
    <w:rsid w:val="00A0542F"/>
    <w:rsid w:val="00A05667"/>
    <w:rsid w:val="00A0586B"/>
    <w:rsid w:val="00A05D59"/>
    <w:rsid w:val="00A06686"/>
    <w:rsid w:val="00A06917"/>
    <w:rsid w:val="00A06A66"/>
    <w:rsid w:val="00A06AF5"/>
    <w:rsid w:val="00A0725B"/>
    <w:rsid w:val="00A07274"/>
    <w:rsid w:val="00A07447"/>
    <w:rsid w:val="00A074BC"/>
    <w:rsid w:val="00A078CF"/>
    <w:rsid w:val="00A079F0"/>
    <w:rsid w:val="00A07D3F"/>
    <w:rsid w:val="00A07D4F"/>
    <w:rsid w:val="00A07E03"/>
    <w:rsid w:val="00A07EC5"/>
    <w:rsid w:val="00A10179"/>
    <w:rsid w:val="00A10446"/>
    <w:rsid w:val="00A105EF"/>
    <w:rsid w:val="00A10624"/>
    <w:rsid w:val="00A109FD"/>
    <w:rsid w:val="00A10A2B"/>
    <w:rsid w:val="00A10E34"/>
    <w:rsid w:val="00A110C1"/>
    <w:rsid w:val="00A113B3"/>
    <w:rsid w:val="00A116F4"/>
    <w:rsid w:val="00A11A3D"/>
    <w:rsid w:val="00A11C3B"/>
    <w:rsid w:val="00A11CAF"/>
    <w:rsid w:val="00A11CC9"/>
    <w:rsid w:val="00A11CE2"/>
    <w:rsid w:val="00A121A0"/>
    <w:rsid w:val="00A122B7"/>
    <w:rsid w:val="00A1237F"/>
    <w:rsid w:val="00A12859"/>
    <w:rsid w:val="00A129A1"/>
    <w:rsid w:val="00A12F1C"/>
    <w:rsid w:val="00A133C4"/>
    <w:rsid w:val="00A139EC"/>
    <w:rsid w:val="00A13A87"/>
    <w:rsid w:val="00A13B0E"/>
    <w:rsid w:val="00A13BCE"/>
    <w:rsid w:val="00A13F10"/>
    <w:rsid w:val="00A1416E"/>
    <w:rsid w:val="00A14219"/>
    <w:rsid w:val="00A14250"/>
    <w:rsid w:val="00A14684"/>
    <w:rsid w:val="00A153F0"/>
    <w:rsid w:val="00A15415"/>
    <w:rsid w:val="00A1588C"/>
    <w:rsid w:val="00A15C5D"/>
    <w:rsid w:val="00A15CD3"/>
    <w:rsid w:val="00A15D5D"/>
    <w:rsid w:val="00A15DB8"/>
    <w:rsid w:val="00A16C2B"/>
    <w:rsid w:val="00A16C4F"/>
    <w:rsid w:val="00A16E22"/>
    <w:rsid w:val="00A16FD7"/>
    <w:rsid w:val="00A17151"/>
    <w:rsid w:val="00A17239"/>
    <w:rsid w:val="00A17327"/>
    <w:rsid w:val="00A17407"/>
    <w:rsid w:val="00A17FD9"/>
    <w:rsid w:val="00A20143"/>
    <w:rsid w:val="00A203D7"/>
    <w:rsid w:val="00A20D05"/>
    <w:rsid w:val="00A20D20"/>
    <w:rsid w:val="00A20F99"/>
    <w:rsid w:val="00A21375"/>
    <w:rsid w:val="00A2152B"/>
    <w:rsid w:val="00A2177D"/>
    <w:rsid w:val="00A218C5"/>
    <w:rsid w:val="00A21931"/>
    <w:rsid w:val="00A224CD"/>
    <w:rsid w:val="00A225AF"/>
    <w:rsid w:val="00A229B0"/>
    <w:rsid w:val="00A23049"/>
    <w:rsid w:val="00A230FF"/>
    <w:rsid w:val="00A2380B"/>
    <w:rsid w:val="00A2386F"/>
    <w:rsid w:val="00A239A5"/>
    <w:rsid w:val="00A23BCE"/>
    <w:rsid w:val="00A23BF0"/>
    <w:rsid w:val="00A23CB7"/>
    <w:rsid w:val="00A23F61"/>
    <w:rsid w:val="00A24063"/>
    <w:rsid w:val="00A24150"/>
    <w:rsid w:val="00A2456E"/>
    <w:rsid w:val="00A24A84"/>
    <w:rsid w:val="00A24F21"/>
    <w:rsid w:val="00A24F37"/>
    <w:rsid w:val="00A256D4"/>
    <w:rsid w:val="00A25C17"/>
    <w:rsid w:val="00A25CBA"/>
    <w:rsid w:val="00A25CF1"/>
    <w:rsid w:val="00A261A7"/>
    <w:rsid w:val="00A26381"/>
    <w:rsid w:val="00A26606"/>
    <w:rsid w:val="00A26697"/>
    <w:rsid w:val="00A26927"/>
    <w:rsid w:val="00A26B94"/>
    <w:rsid w:val="00A26DC8"/>
    <w:rsid w:val="00A26EF7"/>
    <w:rsid w:val="00A271A7"/>
    <w:rsid w:val="00A274F0"/>
    <w:rsid w:val="00A276D2"/>
    <w:rsid w:val="00A27BA9"/>
    <w:rsid w:val="00A27F0D"/>
    <w:rsid w:val="00A27F91"/>
    <w:rsid w:val="00A30274"/>
    <w:rsid w:val="00A30284"/>
    <w:rsid w:val="00A30A46"/>
    <w:rsid w:val="00A30B83"/>
    <w:rsid w:val="00A30BD3"/>
    <w:rsid w:val="00A30E13"/>
    <w:rsid w:val="00A30F1E"/>
    <w:rsid w:val="00A30F47"/>
    <w:rsid w:val="00A31245"/>
    <w:rsid w:val="00A3162E"/>
    <w:rsid w:val="00A31754"/>
    <w:rsid w:val="00A318C6"/>
    <w:rsid w:val="00A3194B"/>
    <w:rsid w:val="00A319B1"/>
    <w:rsid w:val="00A31AF3"/>
    <w:rsid w:val="00A322AD"/>
    <w:rsid w:val="00A3278A"/>
    <w:rsid w:val="00A327C7"/>
    <w:rsid w:val="00A329A2"/>
    <w:rsid w:val="00A329BA"/>
    <w:rsid w:val="00A32BA0"/>
    <w:rsid w:val="00A32FE3"/>
    <w:rsid w:val="00A32FFB"/>
    <w:rsid w:val="00A33138"/>
    <w:rsid w:val="00A334DB"/>
    <w:rsid w:val="00A3374D"/>
    <w:rsid w:val="00A33A74"/>
    <w:rsid w:val="00A33D04"/>
    <w:rsid w:val="00A33D18"/>
    <w:rsid w:val="00A34449"/>
    <w:rsid w:val="00A34549"/>
    <w:rsid w:val="00A34B34"/>
    <w:rsid w:val="00A34F53"/>
    <w:rsid w:val="00A35168"/>
    <w:rsid w:val="00A352AD"/>
    <w:rsid w:val="00A354C6"/>
    <w:rsid w:val="00A355ED"/>
    <w:rsid w:val="00A3569F"/>
    <w:rsid w:val="00A35944"/>
    <w:rsid w:val="00A3598B"/>
    <w:rsid w:val="00A35A06"/>
    <w:rsid w:val="00A35AB8"/>
    <w:rsid w:val="00A35AE4"/>
    <w:rsid w:val="00A35C5C"/>
    <w:rsid w:val="00A3604C"/>
    <w:rsid w:val="00A360BB"/>
    <w:rsid w:val="00A3633C"/>
    <w:rsid w:val="00A36481"/>
    <w:rsid w:val="00A36A6B"/>
    <w:rsid w:val="00A36E41"/>
    <w:rsid w:val="00A3722C"/>
    <w:rsid w:val="00A37416"/>
    <w:rsid w:val="00A37427"/>
    <w:rsid w:val="00A3791F"/>
    <w:rsid w:val="00A3797A"/>
    <w:rsid w:val="00A37A51"/>
    <w:rsid w:val="00A37CE2"/>
    <w:rsid w:val="00A37E3D"/>
    <w:rsid w:val="00A40AB9"/>
    <w:rsid w:val="00A41072"/>
    <w:rsid w:val="00A413C6"/>
    <w:rsid w:val="00A41779"/>
    <w:rsid w:val="00A41A1C"/>
    <w:rsid w:val="00A42138"/>
    <w:rsid w:val="00A421BA"/>
    <w:rsid w:val="00A42500"/>
    <w:rsid w:val="00A4263E"/>
    <w:rsid w:val="00A4275C"/>
    <w:rsid w:val="00A4287F"/>
    <w:rsid w:val="00A42D7B"/>
    <w:rsid w:val="00A4309D"/>
    <w:rsid w:val="00A431DF"/>
    <w:rsid w:val="00A43265"/>
    <w:rsid w:val="00A432F1"/>
    <w:rsid w:val="00A436E0"/>
    <w:rsid w:val="00A43C94"/>
    <w:rsid w:val="00A43DAC"/>
    <w:rsid w:val="00A43EB5"/>
    <w:rsid w:val="00A446A7"/>
    <w:rsid w:val="00A4487B"/>
    <w:rsid w:val="00A4490C"/>
    <w:rsid w:val="00A44A98"/>
    <w:rsid w:val="00A44BDC"/>
    <w:rsid w:val="00A44EBB"/>
    <w:rsid w:val="00A4541F"/>
    <w:rsid w:val="00A4583A"/>
    <w:rsid w:val="00A458EB"/>
    <w:rsid w:val="00A4602E"/>
    <w:rsid w:val="00A4667B"/>
    <w:rsid w:val="00A4688E"/>
    <w:rsid w:val="00A46A5F"/>
    <w:rsid w:val="00A46AF2"/>
    <w:rsid w:val="00A46B0A"/>
    <w:rsid w:val="00A46CD0"/>
    <w:rsid w:val="00A46FD1"/>
    <w:rsid w:val="00A471DF"/>
    <w:rsid w:val="00A47801"/>
    <w:rsid w:val="00A47941"/>
    <w:rsid w:val="00A47A6D"/>
    <w:rsid w:val="00A47C65"/>
    <w:rsid w:val="00A50314"/>
    <w:rsid w:val="00A506E7"/>
    <w:rsid w:val="00A507D1"/>
    <w:rsid w:val="00A50951"/>
    <w:rsid w:val="00A50C79"/>
    <w:rsid w:val="00A50CA7"/>
    <w:rsid w:val="00A5119C"/>
    <w:rsid w:val="00A515B1"/>
    <w:rsid w:val="00A519B9"/>
    <w:rsid w:val="00A522C3"/>
    <w:rsid w:val="00A52435"/>
    <w:rsid w:val="00A52531"/>
    <w:rsid w:val="00A525D0"/>
    <w:rsid w:val="00A5261D"/>
    <w:rsid w:val="00A5289A"/>
    <w:rsid w:val="00A52B5D"/>
    <w:rsid w:val="00A52CDB"/>
    <w:rsid w:val="00A53091"/>
    <w:rsid w:val="00A5312A"/>
    <w:rsid w:val="00A53242"/>
    <w:rsid w:val="00A536B3"/>
    <w:rsid w:val="00A53A55"/>
    <w:rsid w:val="00A53BF0"/>
    <w:rsid w:val="00A53CE6"/>
    <w:rsid w:val="00A53EAB"/>
    <w:rsid w:val="00A54162"/>
    <w:rsid w:val="00A54C3F"/>
    <w:rsid w:val="00A54D8F"/>
    <w:rsid w:val="00A5501E"/>
    <w:rsid w:val="00A55027"/>
    <w:rsid w:val="00A550B6"/>
    <w:rsid w:val="00A5544A"/>
    <w:rsid w:val="00A55C25"/>
    <w:rsid w:val="00A55CD7"/>
    <w:rsid w:val="00A562CA"/>
    <w:rsid w:val="00A56AC5"/>
    <w:rsid w:val="00A5737E"/>
    <w:rsid w:val="00A57785"/>
    <w:rsid w:val="00A57C9D"/>
    <w:rsid w:val="00A57D1D"/>
    <w:rsid w:val="00A60043"/>
    <w:rsid w:val="00A605EF"/>
    <w:rsid w:val="00A607E7"/>
    <w:rsid w:val="00A60B23"/>
    <w:rsid w:val="00A60BD0"/>
    <w:rsid w:val="00A60D80"/>
    <w:rsid w:val="00A61209"/>
    <w:rsid w:val="00A61277"/>
    <w:rsid w:val="00A616E1"/>
    <w:rsid w:val="00A61868"/>
    <w:rsid w:val="00A61B52"/>
    <w:rsid w:val="00A622F0"/>
    <w:rsid w:val="00A62669"/>
    <w:rsid w:val="00A6274D"/>
    <w:rsid w:val="00A62CAF"/>
    <w:rsid w:val="00A635C1"/>
    <w:rsid w:val="00A63BBE"/>
    <w:rsid w:val="00A63C59"/>
    <w:rsid w:val="00A63E3D"/>
    <w:rsid w:val="00A64383"/>
    <w:rsid w:val="00A649EB"/>
    <w:rsid w:val="00A64A19"/>
    <w:rsid w:val="00A64C1C"/>
    <w:rsid w:val="00A64C59"/>
    <w:rsid w:val="00A64C5A"/>
    <w:rsid w:val="00A65032"/>
    <w:rsid w:val="00A6513D"/>
    <w:rsid w:val="00A65B65"/>
    <w:rsid w:val="00A65CD6"/>
    <w:rsid w:val="00A65E77"/>
    <w:rsid w:val="00A6602F"/>
    <w:rsid w:val="00A6629E"/>
    <w:rsid w:val="00A66853"/>
    <w:rsid w:val="00A668FF"/>
    <w:rsid w:val="00A66CCD"/>
    <w:rsid w:val="00A67303"/>
    <w:rsid w:val="00A67A62"/>
    <w:rsid w:val="00A67C18"/>
    <w:rsid w:val="00A67D8B"/>
    <w:rsid w:val="00A67E8B"/>
    <w:rsid w:val="00A70B65"/>
    <w:rsid w:val="00A70B93"/>
    <w:rsid w:val="00A71171"/>
    <w:rsid w:val="00A71173"/>
    <w:rsid w:val="00A71307"/>
    <w:rsid w:val="00A715A1"/>
    <w:rsid w:val="00A71801"/>
    <w:rsid w:val="00A71C19"/>
    <w:rsid w:val="00A71C39"/>
    <w:rsid w:val="00A71CC1"/>
    <w:rsid w:val="00A71ECA"/>
    <w:rsid w:val="00A727A3"/>
    <w:rsid w:val="00A72AEB"/>
    <w:rsid w:val="00A72C71"/>
    <w:rsid w:val="00A72C7E"/>
    <w:rsid w:val="00A72D99"/>
    <w:rsid w:val="00A730E2"/>
    <w:rsid w:val="00A736DA"/>
    <w:rsid w:val="00A73D7D"/>
    <w:rsid w:val="00A73E0B"/>
    <w:rsid w:val="00A741BD"/>
    <w:rsid w:val="00A74424"/>
    <w:rsid w:val="00A745D4"/>
    <w:rsid w:val="00A75011"/>
    <w:rsid w:val="00A751A2"/>
    <w:rsid w:val="00A75A56"/>
    <w:rsid w:val="00A75D3C"/>
    <w:rsid w:val="00A75D5C"/>
    <w:rsid w:val="00A76255"/>
    <w:rsid w:val="00A76D75"/>
    <w:rsid w:val="00A77395"/>
    <w:rsid w:val="00A77515"/>
    <w:rsid w:val="00A77558"/>
    <w:rsid w:val="00A77BE7"/>
    <w:rsid w:val="00A80093"/>
    <w:rsid w:val="00A8010E"/>
    <w:rsid w:val="00A808E1"/>
    <w:rsid w:val="00A80A99"/>
    <w:rsid w:val="00A80ACD"/>
    <w:rsid w:val="00A80C82"/>
    <w:rsid w:val="00A80F2F"/>
    <w:rsid w:val="00A813A3"/>
    <w:rsid w:val="00A814BD"/>
    <w:rsid w:val="00A819E0"/>
    <w:rsid w:val="00A81BF5"/>
    <w:rsid w:val="00A81FCB"/>
    <w:rsid w:val="00A82166"/>
    <w:rsid w:val="00A829DB"/>
    <w:rsid w:val="00A82A76"/>
    <w:rsid w:val="00A82CE6"/>
    <w:rsid w:val="00A82F34"/>
    <w:rsid w:val="00A82F4A"/>
    <w:rsid w:val="00A83109"/>
    <w:rsid w:val="00A83222"/>
    <w:rsid w:val="00A8337E"/>
    <w:rsid w:val="00A83547"/>
    <w:rsid w:val="00A838D8"/>
    <w:rsid w:val="00A83DA3"/>
    <w:rsid w:val="00A84384"/>
    <w:rsid w:val="00A849D3"/>
    <w:rsid w:val="00A84C83"/>
    <w:rsid w:val="00A84EDB"/>
    <w:rsid w:val="00A84F97"/>
    <w:rsid w:val="00A8501B"/>
    <w:rsid w:val="00A8529A"/>
    <w:rsid w:val="00A85807"/>
    <w:rsid w:val="00A85E78"/>
    <w:rsid w:val="00A8659A"/>
    <w:rsid w:val="00A867AC"/>
    <w:rsid w:val="00A86A69"/>
    <w:rsid w:val="00A86A6A"/>
    <w:rsid w:val="00A86F30"/>
    <w:rsid w:val="00A871A8"/>
    <w:rsid w:val="00A871FE"/>
    <w:rsid w:val="00A87AAF"/>
    <w:rsid w:val="00A90017"/>
    <w:rsid w:val="00A900A3"/>
    <w:rsid w:val="00A9027B"/>
    <w:rsid w:val="00A9040D"/>
    <w:rsid w:val="00A905C0"/>
    <w:rsid w:val="00A907FA"/>
    <w:rsid w:val="00A90981"/>
    <w:rsid w:val="00A90A43"/>
    <w:rsid w:val="00A90AA9"/>
    <w:rsid w:val="00A90B82"/>
    <w:rsid w:val="00A90C3E"/>
    <w:rsid w:val="00A90E92"/>
    <w:rsid w:val="00A915CA"/>
    <w:rsid w:val="00A92174"/>
    <w:rsid w:val="00A92A01"/>
    <w:rsid w:val="00A92D96"/>
    <w:rsid w:val="00A92EA7"/>
    <w:rsid w:val="00A92FD4"/>
    <w:rsid w:val="00A9314A"/>
    <w:rsid w:val="00A931BC"/>
    <w:rsid w:val="00A934AF"/>
    <w:rsid w:val="00A936B3"/>
    <w:rsid w:val="00A93851"/>
    <w:rsid w:val="00A939AA"/>
    <w:rsid w:val="00A93C51"/>
    <w:rsid w:val="00A94155"/>
    <w:rsid w:val="00A94822"/>
    <w:rsid w:val="00A950DF"/>
    <w:rsid w:val="00A95258"/>
    <w:rsid w:val="00A955E7"/>
    <w:rsid w:val="00A95A47"/>
    <w:rsid w:val="00A95BF2"/>
    <w:rsid w:val="00A95C62"/>
    <w:rsid w:val="00A95D75"/>
    <w:rsid w:val="00A96003"/>
    <w:rsid w:val="00A9607D"/>
    <w:rsid w:val="00A9673F"/>
    <w:rsid w:val="00A96763"/>
    <w:rsid w:val="00A96A49"/>
    <w:rsid w:val="00A96BDF"/>
    <w:rsid w:val="00A96BF1"/>
    <w:rsid w:val="00A96CF7"/>
    <w:rsid w:val="00A96D36"/>
    <w:rsid w:val="00A96EB8"/>
    <w:rsid w:val="00A97333"/>
    <w:rsid w:val="00A973DD"/>
    <w:rsid w:val="00A9751F"/>
    <w:rsid w:val="00A9793C"/>
    <w:rsid w:val="00A97D42"/>
    <w:rsid w:val="00A97DA6"/>
    <w:rsid w:val="00A97E5B"/>
    <w:rsid w:val="00AA02AB"/>
    <w:rsid w:val="00AA05F0"/>
    <w:rsid w:val="00AA0DF4"/>
    <w:rsid w:val="00AA0E72"/>
    <w:rsid w:val="00AA230D"/>
    <w:rsid w:val="00AA2339"/>
    <w:rsid w:val="00AA23D5"/>
    <w:rsid w:val="00AA25C0"/>
    <w:rsid w:val="00AA26BC"/>
    <w:rsid w:val="00AA2AAE"/>
    <w:rsid w:val="00AA2DD3"/>
    <w:rsid w:val="00AA2F21"/>
    <w:rsid w:val="00AA33E6"/>
    <w:rsid w:val="00AA3508"/>
    <w:rsid w:val="00AA3C7F"/>
    <w:rsid w:val="00AA42AA"/>
    <w:rsid w:val="00AA43C1"/>
    <w:rsid w:val="00AA43F2"/>
    <w:rsid w:val="00AA481D"/>
    <w:rsid w:val="00AA4994"/>
    <w:rsid w:val="00AA4A73"/>
    <w:rsid w:val="00AA4D6A"/>
    <w:rsid w:val="00AA50B4"/>
    <w:rsid w:val="00AA5224"/>
    <w:rsid w:val="00AA5661"/>
    <w:rsid w:val="00AA599B"/>
    <w:rsid w:val="00AA59F3"/>
    <w:rsid w:val="00AA5CE3"/>
    <w:rsid w:val="00AA62B3"/>
    <w:rsid w:val="00AA6CEB"/>
    <w:rsid w:val="00AA6D8B"/>
    <w:rsid w:val="00AA7311"/>
    <w:rsid w:val="00AA75D2"/>
    <w:rsid w:val="00AA7606"/>
    <w:rsid w:val="00AA76FC"/>
    <w:rsid w:val="00AA78FD"/>
    <w:rsid w:val="00AA7E79"/>
    <w:rsid w:val="00AB0114"/>
    <w:rsid w:val="00AB06AA"/>
    <w:rsid w:val="00AB0A94"/>
    <w:rsid w:val="00AB0AD5"/>
    <w:rsid w:val="00AB0ADB"/>
    <w:rsid w:val="00AB1061"/>
    <w:rsid w:val="00AB1089"/>
    <w:rsid w:val="00AB11B4"/>
    <w:rsid w:val="00AB1D3F"/>
    <w:rsid w:val="00AB1E3D"/>
    <w:rsid w:val="00AB1FCF"/>
    <w:rsid w:val="00AB3177"/>
    <w:rsid w:val="00AB32C0"/>
    <w:rsid w:val="00AB33CD"/>
    <w:rsid w:val="00AB383C"/>
    <w:rsid w:val="00AB3880"/>
    <w:rsid w:val="00AB3ABB"/>
    <w:rsid w:val="00AB3B5D"/>
    <w:rsid w:val="00AB3CCA"/>
    <w:rsid w:val="00AB3F2F"/>
    <w:rsid w:val="00AB42AB"/>
    <w:rsid w:val="00AB4B5D"/>
    <w:rsid w:val="00AB4B7A"/>
    <w:rsid w:val="00AB4E2F"/>
    <w:rsid w:val="00AB5277"/>
    <w:rsid w:val="00AB52E8"/>
    <w:rsid w:val="00AB5531"/>
    <w:rsid w:val="00AB5796"/>
    <w:rsid w:val="00AB5FA1"/>
    <w:rsid w:val="00AB6755"/>
    <w:rsid w:val="00AB67E8"/>
    <w:rsid w:val="00AB6BE1"/>
    <w:rsid w:val="00AB718F"/>
    <w:rsid w:val="00AB75C7"/>
    <w:rsid w:val="00AB76E7"/>
    <w:rsid w:val="00AB77C2"/>
    <w:rsid w:val="00AB7A1D"/>
    <w:rsid w:val="00AB7C70"/>
    <w:rsid w:val="00AC0054"/>
    <w:rsid w:val="00AC012A"/>
    <w:rsid w:val="00AC0683"/>
    <w:rsid w:val="00AC09C6"/>
    <w:rsid w:val="00AC0A41"/>
    <w:rsid w:val="00AC0D06"/>
    <w:rsid w:val="00AC0F1C"/>
    <w:rsid w:val="00AC15EF"/>
    <w:rsid w:val="00AC1A09"/>
    <w:rsid w:val="00AC2712"/>
    <w:rsid w:val="00AC2854"/>
    <w:rsid w:val="00AC2867"/>
    <w:rsid w:val="00AC291A"/>
    <w:rsid w:val="00AC2A5F"/>
    <w:rsid w:val="00AC313F"/>
    <w:rsid w:val="00AC3318"/>
    <w:rsid w:val="00AC3A4C"/>
    <w:rsid w:val="00AC3B35"/>
    <w:rsid w:val="00AC3EDE"/>
    <w:rsid w:val="00AC40BC"/>
    <w:rsid w:val="00AC42CF"/>
    <w:rsid w:val="00AC45F3"/>
    <w:rsid w:val="00AC466B"/>
    <w:rsid w:val="00AC4729"/>
    <w:rsid w:val="00AC4C3C"/>
    <w:rsid w:val="00AC4D2F"/>
    <w:rsid w:val="00AC50B0"/>
    <w:rsid w:val="00AC50CF"/>
    <w:rsid w:val="00AC58CE"/>
    <w:rsid w:val="00AC5CC8"/>
    <w:rsid w:val="00AC620C"/>
    <w:rsid w:val="00AC6602"/>
    <w:rsid w:val="00AC666B"/>
    <w:rsid w:val="00AC6A2E"/>
    <w:rsid w:val="00AC6A6D"/>
    <w:rsid w:val="00AC6DF0"/>
    <w:rsid w:val="00AC6EDD"/>
    <w:rsid w:val="00AC71C9"/>
    <w:rsid w:val="00AC785D"/>
    <w:rsid w:val="00AC7A66"/>
    <w:rsid w:val="00AC7EAF"/>
    <w:rsid w:val="00AC7FD4"/>
    <w:rsid w:val="00AD01DE"/>
    <w:rsid w:val="00AD0219"/>
    <w:rsid w:val="00AD044F"/>
    <w:rsid w:val="00AD09AF"/>
    <w:rsid w:val="00AD09D4"/>
    <w:rsid w:val="00AD0E64"/>
    <w:rsid w:val="00AD0E6D"/>
    <w:rsid w:val="00AD0FB1"/>
    <w:rsid w:val="00AD10F8"/>
    <w:rsid w:val="00AD182B"/>
    <w:rsid w:val="00AD1937"/>
    <w:rsid w:val="00AD2705"/>
    <w:rsid w:val="00AD2851"/>
    <w:rsid w:val="00AD29B4"/>
    <w:rsid w:val="00AD2BAA"/>
    <w:rsid w:val="00AD2E2F"/>
    <w:rsid w:val="00AD307B"/>
    <w:rsid w:val="00AD325E"/>
    <w:rsid w:val="00AD329E"/>
    <w:rsid w:val="00AD346F"/>
    <w:rsid w:val="00AD375C"/>
    <w:rsid w:val="00AD3BC6"/>
    <w:rsid w:val="00AD3BE8"/>
    <w:rsid w:val="00AD3D99"/>
    <w:rsid w:val="00AD3DD3"/>
    <w:rsid w:val="00AD3EC1"/>
    <w:rsid w:val="00AD4213"/>
    <w:rsid w:val="00AD43CF"/>
    <w:rsid w:val="00AD4638"/>
    <w:rsid w:val="00AD4EAE"/>
    <w:rsid w:val="00AD4EC7"/>
    <w:rsid w:val="00AD5407"/>
    <w:rsid w:val="00AD5B54"/>
    <w:rsid w:val="00AD6135"/>
    <w:rsid w:val="00AD620C"/>
    <w:rsid w:val="00AD6235"/>
    <w:rsid w:val="00AD6386"/>
    <w:rsid w:val="00AD64F7"/>
    <w:rsid w:val="00AD67D9"/>
    <w:rsid w:val="00AD6A25"/>
    <w:rsid w:val="00AD710B"/>
    <w:rsid w:val="00AD7736"/>
    <w:rsid w:val="00AD7764"/>
    <w:rsid w:val="00AD79E9"/>
    <w:rsid w:val="00AE06A0"/>
    <w:rsid w:val="00AE06CC"/>
    <w:rsid w:val="00AE0AD9"/>
    <w:rsid w:val="00AE0B5F"/>
    <w:rsid w:val="00AE1694"/>
    <w:rsid w:val="00AE196C"/>
    <w:rsid w:val="00AE2479"/>
    <w:rsid w:val="00AE25D0"/>
    <w:rsid w:val="00AE26E3"/>
    <w:rsid w:val="00AE2796"/>
    <w:rsid w:val="00AE2902"/>
    <w:rsid w:val="00AE2A0F"/>
    <w:rsid w:val="00AE2C64"/>
    <w:rsid w:val="00AE2E16"/>
    <w:rsid w:val="00AE2FA3"/>
    <w:rsid w:val="00AE3F46"/>
    <w:rsid w:val="00AE46CA"/>
    <w:rsid w:val="00AE4D00"/>
    <w:rsid w:val="00AE4D11"/>
    <w:rsid w:val="00AE4E4B"/>
    <w:rsid w:val="00AE54F3"/>
    <w:rsid w:val="00AE5759"/>
    <w:rsid w:val="00AE5CD2"/>
    <w:rsid w:val="00AE6292"/>
    <w:rsid w:val="00AE62F2"/>
    <w:rsid w:val="00AE6370"/>
    <w:rsid w:val="00AE6C21"/>
    <w:rsid w:val="00AE6F98"/>
    <w:rsid w:val="00AE771B"/>
    <w:rsid w:val="00AE7A15"/>
    <w:rsid w:val="00AE7B02"/>
    <w:rsid w:val="00AE7B67"/>
    <w:rsid w:val="00AE7EFB"/>
    <w:rsid w:val="00AF01C1"/>
    <w:rsid w:val="00AF03D0"/>
    <w:rsid w:val="00AF0613"/>
    <w:rsid w:val="00AF06CF"/>
    <w:rsid w:val="00AF07AE"/>
    <w:rsid w:val="00AF0943"/>
    <w:rsid w:val="00AF09A9"/>
    <w:rsid w:val="00AF09CF"/>
    <w:rsid w:val="00AF0BA3"/>
    <w:rsid w:val="00AF0F0E"/>
    <w:rsid w:val="00AF1306"/>
    <w:rsid w:val="00AF1384"/>
    <w:rsid w:val="00AF2547"/>
    <w:rsid w:val="00AF28DA"/>
    <w:rsid w:val="00AF2E25"/>
    <w:rsid w:val="00AF2EC4"/>
    <w:rsid w:val="00AF3816"/>
    <w:rsid w:val="00AF3D27"/>
    <w:rsid w:val="00AF3FAD"/>
    <w:rsid w:val="00AF4030"/>
    <w:rsid w:val="00AF44AD"/>
    <w:rsid w:val="00AF4590"/>
    <w:rsid w:val="00AF4CD4"/>
    <w:rsid w:val="00AF4ECF"/>
    <w:rsid w:val="00AF509B"/>
    <w:rsid w:val="00AF5AFC"/>
    <w:rsid w:val="00AF5C70"/>
    <w:rsid w:val="00AF620C"/>
    <w:rsid w:val="00AF628C"/>
    <w:rsid w:val="00AF6395"/>
    <w:rsid w:val="00AF63FC"/>
    <w:rsid w:val="00AF64D4"/>
    <w:rsid w:val="00AF6862"/>
    <w:rsid w:val="00AF69EA"/>
    <w:rsid w:val="00AF6AC6"/>
    <w:rsid w:val="00AF6C43"/>
    <w:rsid w:val="00AF6CAF"/>
    <w:rsid w:val="00AF738A"/>
    <w:rsid w:val="00AF75A3"/>
    <w:rsid w:val="00AF7673"/>
    <w:rsid w:val="00AF77F4"/>
    <w:rsid w:val="00AF77FD"/>
    <w:rsid w:val="00AF7910"/>
    <w:rsid w:val="00AF7ABE"/>
    <w:rsid w:val="00AF7ABF"/>
    <w:rsid w:val="00AF7BB8"/>
    <w:rsid w:val="00B00231"/>
    <w:rsid w:val="00B002F6"/>
    <w:rsid w:val="00B00385"/>
    <w:rsid w:val="00B004CF"/>
    <w:rsid w:val="00B004E0"/>
    <w:rsid w:val="00B0061F"/>
    <w:rsid w:val="00B00711"/>
    <w:rsid w:val="00B00A10"/>
    <w:rsid w:val="00B00A4F"/>
    <w:rsid w:val="00B00AF5"/>
    <w:rsid w:val="00B00B8B"/>
    <w:rsid w:val="00B00D51"/>
    <w:rsid w:val="00B00DBF"/>
    <w:rsid w:val="00B00DFC"/>
    <w:rsid w:val="00B012CA"/>
    <w:rsid w:val="00B014A2"/>
    <w:rsid w:val="00B018DA"/>
    <w:rsid w:val="00B0195A"/>
    <w:rsid w:val="00B01A4B"/>
    <w:rsid w:val="00B01F96"/>
    <w:rsid w:val="00B022AE"/>
    <w:rsid w:val="00B0278D"/>
    <w:rsid w:val="00B02A37"/>
    <w:rsid w:val="00B02D6F"/>
    <w:rsid w:val="00B031D2"/>
    <w:rsid w:val="00B032BD"/>
    <w:rsid w:val="00B03608"/>
    <w:rsid w:val="00B036B5"/>
    <w:rsid w:val="00B03808"/>
    <w:rsid w:val="00B042C6"/>
    <w:rsid w:val="00B04405"/>
    <w:rsid w:val="00B0442A"/>
    <w:rsid w:val="00B04448"/>
    <w:rsid w:val="00B04471"/>
    <w:rsid w:val="00B044D1"/>
    <w:rsid w:val="00B04A48"/>
    <w:rsid w:val="00B04A8E"/>
    <w:rsid w:val="00B04B30"/>
    <w:rsid w:val="00B04BAF"/>
    <w:rsid w:val="00B04E1F"/>
    <w:rsid w:val="00B04E8E"/>
    <w:rsid w:val="00B0505B"/>
    <w:rsid w:val="00B0508C"/>
    <w:rsid w:val="00B05102"/>
    <w:rsid w:val="00B0510E"/>
    <w:rsid w:val="00B051E3"/>
    <w:rsid w:val="00B057FD"/>
    <w:rsid w:val="00B05897"/>
    <w:rsid w:val="00B05BB7"/>
    <w:rsid w:val="00B05F02"/>
    <w:rsid w:val="00B062CA"/>
    <w:rsid w:val="00B06F98"/>
    <w:rsid w:val="00B07219"/>
    <w:rsid w:val="00B072CC"/>
    <w:rsid w:val="00B0776E"/>
    <w:rsid w:val="00B07773"/>
    <w:rsid w:val="00B077B0"/>
    <w:rsid w:val="00B0782B"/>
    <w:rsid w:val="00B07900"/>
    <w:rsid w:val="00B07C4E"/>
    <w:rsid w:val="00B07D40"/>
    <w:rsid w:val="00B07EA9"/>
    <w:rsid w:val="00B102BE"/>
    <w:rsid w:val="00B10600"/>
    <w:rsid w:val="00B1096E"/>
    <w:rsid w:val="00B10CE4"/>
    <w:rsid w:val="00B10E86"/>
    <w:rsid w:val="00B10FAF"/>
    <w:rsid w:val="00B111A0"/>
    <w:rsid w:val="00B11759"/>
    <w:rsid w:val="00B117CC"/>
    <w:rsid w:val="00B11E58"/>
    <w:rsid w:val="00B12103"/>
    <w:rsid w:val="00B123B8"/>
    <w:rsid w:val="00B1283E"/>
    <w:rsid w:val="00B12BD3"/>
    <w:rsid w:val="00B134CA"/>
    <w:rsid w:val="00B13B67"/>
    <w:rsid w:val="00B13C26"/>
    <w:rsid w:val="00B141C9"/>
    <w:rsid w:val="00B144F0"/>
    <w:rsid w:val="00B1484F"/>
    <w:rsid w:val="00B1486C"/>
    <w:rsid w:val="00B148CB"/>
    <w:rsid w:val="00B14A29"/>
    <w:rsid w:val="00B14CD1"/>
    <w:rsid w:val="00B151C3"/>
    <w:rsid w:val="00B152E0"/>
    <w:rsid w:val="00B1550A"/>
    <w:rsid w:val="00B162D4"/>
    <w:rsid w:val="00B1723D"/>
    <w:rsid w:val="00B172E7"/>
    <w:rsid w:val="00B17337"/>
    <w:rsid w:val="00B1756A"/>
    <w:rsid w:val="00B17BDA"/>
    <w:rsid w:val="00B17CA6"/>
    <w:rsid w:val="00B208CD"/>
    <w:rsid w:val="00B20ACC"/>
    <w:rsid w:val="00B20BEA"/>
    <w:rsid w:val="00B20FDB"/>
    <w:rsid w:val="00B21853"/>
    <w:rsid w:val="00B219EE"/>
    <w:rsid w:val="00B21BDF"/>
    <w:rsid w:val="00B21E06"/>
    <w:rsid w:val="00B21F62"/>
    <w:rsid w:val="00B22385"/>
    <w:rsid w:val="00B22597"/>
    <w:rsid w:val="00B22599"/>
    <w:rsid w:val="00B226BB"/>
    <w:rsid w:val="00B22BBD"/>
    <w:rsid w:val="00B22C69"/>
    <w:rsid w:val="00B22DCB"/>
    <w:rsid w:val="00B22FB8"/>
    <w:rsid w:val="00B2341A"/>
    <w:rsid w:val="00B23484"/>
    <w:rsid w:val="00B2348A"/>
    <w:rsid w:val="00B23718"/>
    <w:rsid w:val="00B23849"/>
    <w:rsid w:val="00B23BC3"/>
    <w:rsid w:val="00B23DA7"/>
    <w:rsid w:val="00B23F41"/>
    <w:rsid w:val="00B23F74"/>
    <w:rsid w:val="00B24092"/>
    <w:rsid w:val="00B241BC"/>
    <w:rsid w:val="00B24466"/>
    <w:rsid w:val="00B24C59"/>
    <w:rsid w:val="00B24C75"/>
    <w:rsid w:val="00B24DD0"/>
    <w:rsid w:val="00B24F02"/>
    <w:rsid w:val="00B24F39"/>
    <w:rsid w:val="00B25096"/>
    <w:rsid w:val="00B255D1"/>
    <w:rsid w:val="00B25740"/>
    <w:rsid w:val="00B25B71"/>
    <w:rsid w:val="00B25BD9"/>
    <w:rsid w:val="00B263F9"/>
    <w:rsid w:val="00B26423"/>
    <w:rsid w:val="00B26496"/>
    <w:rsid w:val="00B2695F"/>
    <w:rsid w:val="00B269E6"/>
    <w:rsid w:val="00B26CB2"/>
    <w:rsid w:val="00B26D34"/>
    <w:rsid w:val="00B271A6"/>
    <w:rsid w:val="00B271B0"/>
    <w:rsid w:val="00B27353"/>
    <w:rsid w:val="00B276ED"/>
    <w:rsid w:val="00B27A63"/>
    <w:rsid w:val="00B27EB4"/>
    <w:rsid w:val="00B303D3"/>
    <w:rsid w:val="00B30687"/>
    <w:rsid w:val="00B3079F"/>
    <w:rsid w:val="00B3080F"/>
    <w:rsid w:val="00B317FA"/>
    <w:rsid w:val="00B324B0"/>
    <w:rsid w:val="00B326E2"/>
    <w:rsid w:val="00B32A14"/>
    <w:rsid w:val="00B33331"/>
    <w:rsid w:val="00B3383D"/>
    <w:rsid w:val="00B33BF0"/>
    <w:rsid w:val="00B33E7F"/>
    <w:rsid w:val="00B342EF"/>
    <w:rsid w:val="00B346D7"/>
    <w:rsid w:val="00B3472E"/>
    <w:rsid w:val="00B34915"/>
    <w:rsid w:val="00B34AB0"/>
    <w:rsid w:val="00B34AE1"/>
    <w:rsid w:val="00B34B28"/>
    <w:rsid w:val="00B34CC1"/>
    <w:rsid w:val="00B34D99"/>
    <w:rsid w:val="00B34E9C"/>
    <w:rsid w:val="00B3504F"/>
    <w:rsid w:val="00B351B1"/>
    <w:rsid w:val="00B35813"/>
    <w:rsid w:val="00B358AE"/>
    <w:rsid w:val="00B35914"/>
    <w:rsid w:val="00B3599E"/>
    <w:rsid w:val="00B35A26"/>
    <w:rsid w:val="00B35A4A"/>
    <w:rsid w:val="00B35CB3"/>
    <w:rsid w:val="00B36453"/>
    <w:rsid w:val="00B3649C"/>
    <w:rsid w:val="00B36528"/>
    <w:rsid w:val="00B36AF7"/>
    <w:rsid w:val="00B3773C"/>
    <w:rsid w:val="00B37A37"/>
    <w:rsid w:val="00B37B5F"/>
    <w:rsid w:val="00B37BFA"/>
    <w:rsid w:val="00B37C3F"/>
    <w:rsid w:val="00B40514"/>
    <w:rsid w:val="00B40CEC"/>
    <w:rsid w:val="00B40D84"/>
    <w:rsid w:val="00B4113A"/>
    <w:rsid w:val="00B412A8"/>
    <w:rsid w:val="00B41780"/>
    <w:rsid w:val="00B41836"/>
    <w:rsid w:val="00B419E9"/>
    <w:rsid w:val="00B41F1C"/>
    <w:rsid w:val="00B42060"/>
    <w:rsid w:val="00B42427"/>
    <w:rsid w:val="00B4266A"/>
    <w:rsid w:val="00B429C2"/>
    <w:rsid w:val="00B42F74"/>
    <w:rsid w:val="00B42F75"/>
    <w:rsid w:val="00B432CE"/>
    <w:rsid w:val="00B4342B"/>
    <w:rsid w:val="00B434F6"/>
    <w:rsid w:val="00B436CC"/>
    <w:rsid w:val="00B436E8"/>
    <w:rsid w:val="00B43DE2"/>
    <w:rsid w:val="00B43DF0"/>
    <w:rsid w:val="00B43F3B"/>
    <w:rsid w:val="00B4468B"/>
    <w:rsid w:val="00B44933"/>
    <w:rsid w:val="00B449B8"/>
    <w:rsid w:val="00B44CC2"/>
    <w:rsid w:val="00B44D61"/>
    <w:rsid w:val="00B44DC3"/>
    <w:rsid w:val="00B44EB6"/>
    <w:rsid w:val="00B44F23"/>
    <w:rsid w:val="00B450AE"/>
    <w:rsid w:val="00B4543E"/>
    <w:rsid w:val="00B458DB"/>
    <w:rsid w:val="00B45FE1"/>
    <w:rsid w:val="00B46740"/>
    <w:rsid w:val="00B469A3"/>
    <w:rsid w:val="00B469BB"/>
    <w:rsid w:val="00B46AA2"/>
    <w:rsid w:val="00B46B0D"/>
    <w:rsid w:val="00B46E42"/>
    <w:rsid w:val="00B478AD"/>
    <w:rsid w:val="00B4793E"/>
    <w:rsid w:val="00B47A0B"/>
    <w:rsid w:val="00B502E1"/>
    <w:rsid w:val="00B506CC"/>
    <w:rsid w:val="00B50976"/>
    <w:rsid w:val="00B50B2A"/>
    <w:rsid w:val="00B510DB"/>
    <w:rsid w:val="00B5118B"/>
    <w:rsid w:val="00B514D6"/>
    <w:rsid w:val="00B515F6"/>
    <w:rsid w:val="00B5194D"/>
    <w:rsid w:val="00B51D9D"/>
    <w:rsid w:val="00B5206B"/>
    <w:rsid w:val="00B5265C"/>
    <w:rsid w:val="00B526C2"/>
    <w:rsid w:val="00B52DCE"/>
    <w:rsid w:val="00B533FF"/>
    <w:rsid w:val="00B5357B"/>
    <w:rsid w:val="00B53680"/>
    <w:rsid w:val="00B53A50"/>
    <w:rsid w:val="00B53DCA"/>
    <w:rsid w:val="00B53EB6"/>
    <w:rsid w:val="00B543DD"/>
    <w:rsid w:val="00B54574"/>
    <w:rsid w:val="00B54576"/>
    <w:rsid w:val="00B54A53"/>
    <w:rsid w:val="00B54B4D"/>
    <w:rsid w:val="00B54DC1"/>
    <w:rsid w:val="00B54E4B"/>
    <w:rsid w:val="00B54EBC"/>
    <w:rsid w:val="00B55083"/>
    <w:rsid w:val="00B55BFD"/>
    <w:rsid w:val="00B55C05"/>
    <w:rsid w:val="00B55EAC"/>
    <w:rsid w:val="00B55F2F"/>
    <w:rsid w:val="00B56143"/>
    <w:rsid w:val="00B56210"/>
    <w:rsid w:val="00B5679E"/>
    <w:rsid w:val="00B56821"/>
    <w:rsid w:val="00B568CD"/>
    <w:rsid w:val="00B568EB"/>
    <w:rsid w:val="00B56C38"/>
    <w:rsid w:val="00B56C87"/>
    <w:rsid w:val="00B56D93"/>
    <w:rsid w:val="00B57BB7"/>
    <w:rsid w:val="00B57BB8"/>
    <w:rsid w:val="00B57D46"/>
    <w:rsid w:val="00B6005F"/>
    <w:rsid w:val="00B6007D"/>
    <w:rsid w:val="00B60329"/>
    <w:rsid w:val="00B60485"/>
    <w:rsid w:val="00B6065F"/>
    <w:rsid w:val="00B60D20"/>
    <w:rsid w:val="00B60D3E"/>
    <w:rsid w:val="00B612E7"/>
    <w:rsid w:val="00B615FB"/>
    <w:rsid w:val="00B615FF"/>
    <w:rsid w:val="00B61779"/>
    <w:rsid w:val="00B6191F"/>
    <w:rsid w:val="00B61930"/>
    <w:rsid w:val="00B62044"/>
    <w:rsid w:val="00B621F0"/>
    <w:rsid w:val="00B62D69"/>
    <w:rsid w:val="00B62F58"/>
    <w:rsid w:val="00B62F6C"/>
    <w:rsid w:val="00B62FB7"/>
    <w:rsid w:val="00B630FE"/>
    <w:rsid w:val="00B63189"/>
    <w:rsid w:val="00B63602"/>
    <w:rsid w:val="00B63617"/>
    <w:rsid w:val="00B63B09"/>
    <w:rsid w:val="00B63B17"/>
    <w:rsid w:val="00B645F6"/>
    <w:rsid w:val="00B648E2"/>
    <w:rsid w:val="00B64A23"/>
    <w:rsid w:val="00B64E28"/>
    <w:rsid w:val="00B65122"/>
    <w:rsid w:val="00B6556E"/>
    <w:rsid w:val="00B65589"/>
    <w:rsid w:val="00B6579F"/>
    <w:rsid w:val="00B6581B"/>
    <w:rsid w:val="00B65995"/>
    <w:rsid w:val="00B65A02"/>
    <w:rsid w:val="00B65A23"/>
    <w:rsid w:val="00B65C56"/>
    <w:rsid w:val="00B65DC4"/>
    <w:rsid w:val="00B65E4C"/>
    <w:rsid w:val="00B66039"/>
    <w:rsid w:val="00B6605B"/>
    <w:rsid w:val="00B660DA"/>
    <w:rsid w:val="00B6625C"/>
    <w:rsid w:val="00B662E2"/>
    <w:rsid w:val="00B66621"/>
    <w:rsid w:val="00B66BB3"/>
    <w:rsid w:val="00B66CAB"/>
    <w:rsid w:val="00B66E87"/>
    <w:rsid w:val="00B672A2"/>
    <w:rsid w:val="00B674C4"/>
    <w:rsid w:val="00B676FB"/>
    <w:rsid w:val="00B6794E"/>
    <w:rsid w:val="00B67ABF"/>
    <w:rsid w:val="00B67BE2"/>
    <w:rsid w:val="00B67ED2"/>
    <w:rsid w:val="00B67F84"/>
    <w:rsid w:val="00B700C7"/>
    <w:rsid w:val="00B702A3"/>
    <w:rsid w:val="00B708D0"/>
    <w:rsid w:val="00B70C41"/>
    <w:rsid w:val="00B70F5F"/>
    <w:rsid w:val="00B70FCA"/>
    <w:rsid w:val="00B71530"/>
    <w:rsid w:val="00B71713"/>
    <w:rsid w:val="00B71ACA"/>
    <w:rsid w:val="00B71D94"/>
    <w:rsid w:val="00B721FF"/>
    <w:rsid w:val="00B72313"/>
    <w:rsid w:val="00B725BF"/>
    <w:rsid w:val="00B7299A"/>
    <w:rsid w:val="00B72E89"/>
    <w:rsid w:val="00B73108"/>
    <w:rsid w:val="00B731F3"/>
    <w:rsid w:val="00B732B6"/>
    <w:rsid w:val="00B732CB"/>
    <w:rsid w:val="00B73527"/>
    <w:rsid w:val="00B738A5"/>
    <w:rsid w:val="00B73A77"/>
    <w:rsid w:val="00B73A7F"/>
    <w:rsid w:val="00B73FFF"/>
    <w:rsid w:val="00B742E5"/>
    <w:rsid w:val="00B74401"/>
    <w:rsid w:val="00B749A0"/>
    <w:rsid w:val="00B74E2F"/>
    <w:rsid w:val="00B752D8"/>
    <w:rsid w:val="00B75689"/>
    <w:rsid w:val="00B757E6"/>
    <w:rsid w:val="00B75B83"/>
    <w:rsid w:val="00B75E12"/>
    <w:rsid w:val="00B75E33"/>
    <w:rsid w:val="00B76699"/>
    <w:rsid w:val="00B76865"/>
    <w:rsid w:val="00B7691A"/>
    <w:rsid w:val="00B76E72"/>
    <w:rsid w:val="00B772B5"/>
    <w:rsid w:val="00B77562"/>
    <w:rsid w:val="00B77742"/>
    <w:rsid w:val="00B800EA"/>
    <w:rsid w:val="00B80102"/>
    <w:rsid w:val="00B8032A"/>
    <w:rsid w:val="00B80448"/>
    <w:rsid w:val="00B80C91"/>
    <w:rsid w:val="00B80D40"/>
    <w:rsid w:val="00B80E96"/>
    <w:rsid w:val="00B80EDD"/>
    <w:rsid w:val="00B812C6"/>
    <w:rsid w:val="00B81498"/>
    <w:rsid w:val="00B81693"/>
    <w:rsid w:val="00B81758"/>
    <w:rsid w:val="00B81CCF"/>
    <w:rsid w:val="00B8205F"/>
    <w:rsid w:val="00B82380"/>
    <w:rsid w:val="00B827EF"/>
    <w:rsid w:val="00B82E59"/>
    <w:rsid w:val="00B831B4"/>
    <w:rsid w:val="00B835D7"/>
    <w:rsid w:val="00B83B43"/>
    <w:rsid w:val="00B83CF1"/>
    <w:rsid w:val="00B83D8D"/>
    <w:rsid w:val="00B84766"/>
    <w:rsid w:val="00B84AA2"/>
    <w:rsid w:val="00B84CD2"/>
    <w:rsid w:val="00B84D0C"/>
    <w:rsid w:val="00B84D8B"/>
    <w:rsid w:val="00B85023"/>
    <w:rsid w:val="00B85B82"/>
    <w:rsid w:val="00B85BC3"/>
    <w:rsid w:val="00B863E3"/>
    <w:rsid w:val="00B86477"/>
    <w:rsid w:val="00B86CFB"/>
    <w:rsid w:val="00B87402"/>
    <w:rsid w:val="00B8771A"/>
    <w:rsid w:val="00B908E0"/>
    <w:rsid w:val="00B90D0E"/>
    <w:rsid w:val="00B91273"/>
    <w:rsid w:val="00B9128E"/>
    <w:rsid w:val="00B918F2"/>
    <w:rsid w:val="00B919D6"/>
    <w:rsid w:val="00B91A4E"/>
    <w:rsid w:val="00B9208F"/>
    <w:rsid w:val="00B923BA"/>
    <w:rsid w:val="00B92425"/>
    <w:rsid w:val="00B926E7"/>
    <w:rsid w:val="00B928B9"/>
    <w:rsid w:val="00B92D44"/>
    <w:rsid w:val="00B92E67"/>
    <w:rsid w:val="00B931F4"/>
    <w:rsid w:val="00B933EF"/>
    <w:rsid w:val="00B937A4"/>
    <w:rsid w:val="00B93947"/>
    <w:rsid w:val="00B939B6"/>
    <w:rsid w:val="00B93B8C"/>
    <w:rsid w:val="00B93F19"/>
    <w:rsid w:val="00B93F5B"/>
    <w:rsid w:val="00B946BC"/>
    <w:rsid w:val="00B94CA5"/>
    <w:rsid w:val="00B94DE2"/>
    <w:rsid w:val="00B95334"/>
    <w:rsid w:val="00B95522"/>
    <w:rsid w:val="00B956B7"/>
    <w:rsid w:val="00B95756"/>
    <w:rsid w:val="00B95836"/>
    <w:rsid w:val="00B95B55"/>
    <w:rsid w:val="00B95CE5"/>
    <w:rsid w:val="00B95CFE"/>
    <w:rsid w:val="00B961B6"/>
    <w:rsid w:val="00B962B7"/>
    <w:rsid w:val="00B9673B"/>
    <w:rsid w:val="00B96A49"/>
    <w:rsid w:val="00B96B8A"/>
    <w:rsid w:val="00B96BA9"/>
    <w:rsid w:val="00B97095"/>
    <w:rsid w:val="00B97835"/>
    <w:rsid w:val="00BA034F"/>
    <w:rsid w:val="00BA035B"/>
    <w:rsid w:val="00BA0375"/>
    <w:rsid w:val="00BA0A88"/>
    <w:rsid w:val="00BA0B44"/>
    <w:rsid w:val="00BA0D9E"/>
    <w:rsid w:val="00BA0F17"/>
    <w:rsid w:val="00BA176C"/>
    <w:rsid w:val="00BA1E90"/>
    <w:rsid w:val="00BA2729"/>
    <w:rsid w:val="00BA278F"/>
    <w:rsid w:val="00BA292E"/>
    <w:rsid w:val="00BA29A8"/>
    <w:rsid w:val="00BA3838"/>
    <w:rsid w:val="00BA38A9"/>
    <w:rsid w:val="00BA38DD"/>
    <w:rsid w:val="00BA3CEE"/>
    <w:rsid w:val="00BA431F"/>
    <w:rsid w:val="00BA4676"/>
    <w:rsid w:val="00BA494B"/>
    <w:rsid w:val="00BA4CF5"/>
    <w:rsid w:val="00BA4DE3"/>
    <w:rsid w:val="00BA534C"/>
    <w:rsid w:val="00BA5C21"/>
    <w:rsid w:val="00BA5D5A"/>
    <w:rsid w:val="00BA644C"/>
    <w:rsid w:val="00BA6EC1"/>
    <w:rsid w:val="00BA6FA9"/>
    <w:rsid w:val="00BA70D4"/>
    <w:rsid w:val="00BA7132"/>
    <w:rsid w:val="00BA72FD"/>
    <w:rsid w:val="00BA7953"/>
    <w:rsid w:val="00BA79D7"/>
    <w:rsid w:val="00BA7AB3"/>
    <w:rsid w:val="00BA7C72"/>
    <w:rsid w:val="00BA7EAB"/>
    <w:rsid w:val="00BB00A9"/>
    <w:rsid w:val="00BB0147"/>
    <w:rsid w:val="00BB030F"/>
    <w:rsid w:val="00BB07C9"/>
    <w:rsid w:val="00BB08A8"/>
    <w:rsid w:val="00BB09DC"/>
    <w:rsid w:val="00BB0B82"/>
    <w:rsid w:val="00BB0B90"/>
    <w:rsid w:val="00BB0C5D"/>
    <w:rsid w:val="00BB0DC5"/>
    <w:rsid w:val="00BB16E0"/>
    <w:rsid w:val="00BB1A6D"/>
    <w:rsid w:val="00BB1C5D"/>
    <w:rsid w:val="00BB1D03"/>
    <w:rsid w:val="00BB1D59"/>
    <w:rsid w:val="00BB21A2"/>
    <w:rsid w:val="00BB2959"/>
    <w:rsid w:val="00BB2B0B"/>
    <w:rsid w:val="00BB2C5A"/>
    <w:rsid w:val="00BB2D79"/>
    <w:rsid w:val="00BB3210"/>
    <w:rsid w:val="00BB3403"/>
    <w:rsid w:val="00BB3A4D"/>
    <w:rsid w:val="00BB3BB6"/>
    <w:rsid w:val="00BB3CA5"/>
    <w:rsid w:val="00BB4151"/>
    <w:rsid w:val="00BB45FD"/>
    <w:rsid w:val="00BB463D"/>
    <w:rsid w:val="00BB4726"/>
    <w:rsid w:val="00BB47BC"/>
    <w:rsid w:val="00BB5054"/>
    <w:rsid w:val="00BB5142"/>
    <w:rsid w:val="00BB5204"/>
    <w:rsid w:val="00BB558D"/>
    <w:rsid w:val="00BB55B5"/>
    <w:rsid w:val="00BB5925"/>
    <w:rsid w:val="00BB5C47"/>
    <w:rsid w:val="00BB5F70"/>
    <w:rsid w:val="00BB60C9"/>
    <w:rsid w:val="00BB616A"/>
    <w:rsid w:val="00BB621A"/>
    <w:rsid w:val="00BB6251"/>
    <w:rsid w:val="00BB63B6"/>
    <w:rsid w:val="00BB6787"/>
    <w:rsid w:val="00BB695B"/>
    <w:rsid w:val="00BB6C5C"/>
    <w:rsid w:val="00BB71B6"/>
    <w:rsid w:val="00BB7B0C"/>
    <w:rsid w:val="00BB7C42"/>
    <w:rsid w:val="00BB7F9D"/>
    <w:rsid w:val="00BC0462"/>
    <w:rsid w:val="00BC0851"/>
    <w:rsid w:val="00BC0A5F"/>
    <w:rsid w:val="00BC0D2E"/>
    <w:rsid w:val="00BC0EC1"/>
    <w:rsid w:val="00BC0EDB"/>
    <w:rsid w:val="00BC1427"/>
    <w:rsid w:val="00BC151D"/>
    <w:rsid w:val="00BC1B9F"/>
    <w:rsid w:val="00BC1DA5"/>
    <w:rsid w:val="00BC1EE0"/>
    <w:rsid w:val="00BC203C"/>
    <w:rsid w:val="00BC2102"/>
    <w:rsid w:val="00BC2269"/>
    <w:rsid w:val="00BC23CF"/>
    <w:rsid w:val="00BC2546"/>
    <w:rsid w:val="00BC25C6"/>
    <w:rsid w:val="00BC26D3"/>
    <w:rsid w:val="00BC273F"/>
    <w:rsid w:val="00BC2BF2"/>
    <w:rsid w:val="00BC2C8A"/>
    <w:rsid w:val="00BC2DF1"/>
    <w:rsid w:val="00BC2E41"/>
    <w:rsid w:val="00BC2E9D"/>
    <w:rsid w:val="00BC3053"/>
    <w:rsid w:val="00BC3392"/>
    <w:rsid w:val="00BC33D8"/>
    <w:rsid w:val="00BC37AE"/>
    <w:rsid w:val="00BC39AA"/>
    <w:rsid w:val="00BC3B78"/>
    <w:rsid w:val="00BC3EF5"/>
    <w:rsid w:val="00BC3F74"/>
    <w:rsid w:val="00BC4345"/>
    <w:rsid w:val="00BC4594"/>
    <w:rsid w:val="00BC47A3"/>
    <w:rsid w:val="00BC4B9B"/>
    <w:rsid w:val="00BC4D61"/>
    <w:rsid w:val="00BC4E14"/>
    <w:rsid w:val="00BC52B0"/>
    <w:rsid w:val="00BC5B9A"/>
    <w:rsid w:val="00BC5C77"/>
    <w:rsid w:val="00BC5D9F"/>
    <w:rsid w:val="00BC620A"/>
    <w:rsid w:val="00BC63AE"/>
    <w:rsid w:val="00BC6A22"/>
    <w:rsid w:val="00BC6A25"/>
    <w:rsid w:val="00BC6C80"/>
    <w:rsid w:val="00BC6D87"/>
    <w:rsid w:val="00BC6EEE"/>
    <w:rsid w:val="00BC71EE"/>
    <w:rsid w:val="00BC76B9"/>
    <w:rsid w:val="00BC76C1"/>
    <w:rsid w:val="00BC7C86"/>
    <w:rsid w:val="00BC7D41"/>
    <w:rsid w:val="00BD07FE"/>
    <w:rsid w:val="00BD0A78"/>
    <w:rsid w:val="00BD0E3A"/>
    <w:rsid w:val="00BD12B6"/>
    <w:rsid w:val="00BD12F9"/>
    <w:rsid w:val="00BD1368"/>
    <w:rsid w:val="00BD1459"/>
    <w:rsid w:val="00BD165E"/>
    <w:rsid w:val="00BD1901"/>
    <w:rsid w:val="00BD222A"/>
    <w:rsid w:val="00BD24A9"/>
    <w:rsid w:val="00BD2677"/>
    <w:rsid w:val="00BD2721"/>
    <w:rsid w:val="00BD2BD1"/>
    <w:rsid w:val="00BD2CE9"/>
    <w:rsid w:val="00BD324E"/>
    <w:rsid w:val="00BD333A"/>
    <w:rsid w:val="00BD33BA"/>
    <w:rsid w:val="00BD348D"/>
    <w:rsid w:val="00BD39F3"/>
    <w:rsid w:val="00BD3A26"/>
    <w:rsid w:val="00BD3AE4"/>
    <w:rsid w:val="00BD3DCA"/>
    <w:rsid w:val="00BD41CC"/>
    <w:rsid w:val="00BD5F69"/>
    <w:rsid w:val="00BD5F8E"/>
    <w:rsid w:val="00BD628D"/>
    <w:rsid w:val="00BD638F"/>
    <w:rsid w:val="00BD644B"/>
    <w:rsid w:val="00BD69E7"/>
    <w:rsid w:val="00BD6B8B"/>
    <w:rsid w:val="00BD6BD5"/>
    <w:rsid w:val="00BD6DD8"/>
    <w:rsid w:val="00BD6F46"/>
    <w:rsid w:val="00BD7074"/>
    <w:rsid w:val="00BD71F6"/>
    <w:rsid w:val="00BD7333"/>
    <w:rsid w:val="00BD74A6"/>
    <w:rsid w:val="00BD7534"/>
    <w:rsid w:val="00BD75E9"/>
    <w:rsid w:val="00BD774F"/>
    <w:rsid w:val="00BD7BC1"/>
    <w:rsid w:val="00BE054E"/>
    <w:rsid w:val="00BE06BD"/>
    <w:rsid w:val="00BE0E4B"/>
    <w:rsid w:val="00BE0E56"/>
    <w:rsid w:val="00BE128F"/>
    <w:rsid w:val="00BE12B2"/>
    <w:rsid w:val="00BE17EA"/>
    <w:rsid w:val="00BE18A0"/>
    <w:rsid w:val="00BE18F1"/>
    <w:rsid w:val="00BE1AB7"/>
    <w:rsid w:val="00BE1AEF"/>
    <w:rsid w:val="00BE1D25"/>
    <w:rsid w:val="00BE1FB2"/>
    <w:rsid w:val="00BE2270"/>
    <w:rsid w:val="00BE230D"/>
    <w:rsid w:val="00BE2362"/>
    <w:rsid w:val="00BE23ED"/>
    <w:rsid w:val="00BE2525"/>
    <w:rsid w:val="00BE2A87"/>
    <w:rsid w:val="00BE2CF1"/>
    <w:rsid w:val="00BE2E76"/>
    <w:rsid w:val="00BE2F24"/>
    <w:rsid w:val="00BE303F"/>
    <w:rsid w:val="00BE3057"/>
    <w:rsid w:val="00BE3058"/>
    <w:rsid w:val="00BE3227"/>
    <w:rsid w:val="00BE3423"/>
    <w:rsid w:val="00BE3E0D"/>
    <w:rsid w:val="00BE4221"/>
    <w:rsid w:val="00BE427D"/>
    <w:rsid w:val="00BE443E"/>
    <w:rsid w:val="00BE487F"/>
    <w:rsid w:val="00BE4A2F"/>
    <w:rsid w:val="00BE4B49"/>
    <w:rsid w:val="00BE4C71"/>
    <w:rsid w:val="00BE4D70"/>
    <w:rsid w:val="00BE4E6E"/>
    <w:rsid w:val="00BE56AB"/>
    <w:rsid w:val="00BE5755"/>
    <w:rsid w:val="00BE58D9"/>
    <w:rsid w:val="00BE5918"/>
    <w:rsid w:val="00BE5CEE"/>
    <w:rsid w:val="00BE611E"/>
    <w:rsid w:val="00BE6525"/>
    <w:rsid w:val="00BE6957"/>
    <w:rsid w:val="00BE6A60"/>
    <w:rsid w:val="00BE6AFF"/>
    <w:rsid w:val="00BE6F7F"/>
    <w:rsid w:val="00BE70D3"/>
    <w:rsid w:val="00BE7146"/>
    <w:rsid w:val="00BE72F3"/>
    <w:rsid w:val="00BE7747"/>
    <w:rsid w:val="00BE7BE8"/>
    <w:rsid w:val="00BE7C27"/>
    <w:rsid w:val="00BE7E7F"/>
    <w:rsid w:val="00BE7F73"/>
    <w:rsid w:val="00BE7FF4"/>
    <w:rsid w:val="00BF0554"/>
    <w:rsid w:val="00BF0AA2"/>
    <w:rsid w:val="00BF0B4A"/>
    <w:rsid w:val="00BF0BAE"/>
    <w:rsid w:val="00BF0F58"/>
    <w:rsid w:val="00BF0F6B"/>
    <w:rsid w:val="00BF1308"/>
    <w:rsid w:val="00BF144C"/>
    <w:rsid w:val="00BF1A26"/>
    <w:rsid w:val="00BF1EBA"/>
    <w:rsid w:val="00BF2010"/>
    <w:rsid w:val="00BF21B3"/>
    <w:rsid w:val="00BF25BC"/>
    <w:rsid w:val="00BF26B8"/>
    <w:rsid w:val="00BF3016"/>
    <w:rsid w:val="00BF329F"/>
    <w:rsid w:val="00BF3411"/>
    <w:rsid w:val="00BF39A0"/>
    <w:rsid w:val="00BF4264"/>
    <w:rsid w:val="00BF4301"/>
    <w:rsid w:val="00BF430F"/>
    <w:rsid w:val="00BF45CF"/>
    <w:rsid w:val="00BF4B0D"/>
    <w:rsid w:val="00BF5030"/>
    <w:rsid w:val="00BF5D41"/>
    <w:rsid w:val="00BF627F"/>
    <w:rsid w:val="00BF6454"/>
    <w:rsid w:val="00BF64FD"/>
    <w:rsid w:val="00BF6573"/>
    <w:rsid w:val="00BF6C23"/>
    <w:rsid w:val="00BF6E56"/>
    <w:rsid w:val="00BF7056"/>
    <w:rsid w:val="00BF7232"/>
    <w:rsid w:val="00BF7371"/>
    <w:rsid w:val="00BF7458"/>
    <w:rsid w:val="00BF752E"/>
    <w:rsid w:val="00BF77D3"/>
    <w:rsid w:val="00BF780F"/>
    <w:rsid w:val="00BF7852"/>
    <w:rsid w:val="00BF78CA"/>
    <w:rsid w:val="00BF7A4D"/>
    <w:rsid w:val="00BF7CBB"/>
    <w:rsid w:val="00BF7D8F"/>
    <w:rsid w:val="00C0003A"/>
    <w:rsid w:val="00C00283"/>
    <w:rsid w:val="00C0031A"/>
    <w:rsid w:val="00C00C7F"/>
    <w:rsid w:val="00C00F82"/>
    <w:rsid w:val="00C01452"/>
    <w:rsid w:val="00C0158E"/>
    <w:rsid w:val="00C01B75"/>
    <w:rsid w:val="00C01FA5"/>
    <w:rsid w:val="00C01FDA"/>
    <w:rsid w:val="00C022CC"/>
    <w:rsid w:val="00C02629"/>
    <w:rsid w:val="00C02B8B"/>
    <w:rsid w:val="00C02BDA"/>
    <w:rsid w:val="00C02C01"/>
    <w:rsid w:val="00C03023"/>
    <w:rsid w:val="00C030FF"/>
    <w:rsid w:val="00C035E0"/>
    <w:rsid w:val="00C035E7"/>
    <w:rsid w:val="00C038F4"/>
    <w:rsid w:val="00C042C6"/>
    <w:rsid w:val="00C045D3"/>
    <w:rsid w:val="00C0473C"/>
    <w:rsid w:val="00C04AE1"/>
    <w:rsid w:val="00C04B27"/>
    <w:rsid w:val="00C04DAD"/>
    <w:rsid w:val="00C052CA"/>
    <w:rsid w:val="00C05350"/>
    <w:rsid w:val="00C0558C"/>
    <w:rsid w:val="00C05794"/>
    <w:rsid w:val="00C05AB5"/>
    <w:rsid w:val="00C05C4C"/>
    <w:rsid w:val="00C05C61"/>
    <w:rsid w:val="00C05FDC"/>
    <w:rsid w:val="00C06199"/>
    <w:rsid w:val="00C06302"/>
    <w:rsid w:val="00C06556"/>
    <w:rsid w:val="00C0676B"/>
    <w:rsid w:val="00C06A31"/>
    <w:rsid w:val="00C06B6E"/>
    <w:rsid w:val="00C06CE6"/>
    <w:rsid w:val="00C06FE9"/>
    <w:rsid w:val="00C07A4C"/>
    <w:rsid w:val="00C103D0"/>
    <w:rsid w:val="00C106E2"/>
    <w:rsid w:val="00C107A6"/>
    <w:rsid w:val="00C10D1E"/>
    <w:rsid w:val="00C1112A"/>
    <w:rsid w:val="00C1151F"/>
    <w:rsid w:val="00C11EA8"/>
    <w:rsid w:val="00C121B9"/>
    <w:rsid w:val="00C1224D"/>
    <w:rsid w:val="00C1231A"/>
    <w:rsid w:val="00C1238F"/>
    <w:rsid w:val="00C12411"/>
    <w:rsid w:val="00C1268D"/>
    <w:rsid w:val="00C12DB0"/>
    <w:rsid w:val="00C12F29"/>
    <w:rsid w:val="00C13510"/>
    <w:rsid w:val="00C13C6E"/>
    <w:rsid w:val="00C13E6F"/>
    <w:rsid w:val="00C13F64"/>
    <w:rsid w:val="00C13FC7"/>
    <w:rsid w:val="00C14F5E"/>
    <w:rsid w:val="00C1505C"/>
    <w:rsid w:val="00C157C8"/>
    <w:rsid w:val="00C157CA"/>
    <w:rsid w:val="00C15952"/>
    <w:rsid w:val="00C1597A"/>
    <w:rsid w:val="00C15AB3"/>
    <w:rsid w:val="00C15C4B"/>
    <w:rsid w:val="00C164F8"/>
    <w:rsid w:val="00C1652A"/>
    <w:rsid w:val="00C16600"/>
    <w:rsid w:val="00C16682"/>
    <w:rsid w:val="00C16711"/>
    <w:rsid w:val="00C16841"/>
    <w:rsid w:val="00C1697A"/>
    <w:rsid w:val="00C16AB5"/>
    <w:rsid w:val="00C16CB9"/>
    <w:rsid w:val="00C16D4A"/>
    <w:rsid w:val="00C16D99"/>
    <w:rsid w:val="00C16F8B"/>
    <w:rsid w:val="00C17100"/>
    <w:rsid w:val="00C173D5"/>
    <w:rsid w:val="00C175F2"/>
    <w:rsid w:val="00C17A11"/>
    <w:rsid w:val="00C17A2A"/>
    <w:rsid w:val="00C17D21"/>
    <w:rsid w:val="00C17FF1"/>
    <w:rsid w:val="00C2019A"/>
    <w:rsid w:val="00C2025A"/>
    <w:rsid w:val="00C202A2"/>
    <w:rsid w:val="00C2030F"/>
    <w:rsid w:val="00C211D8"/>
    <w:rsid w:val="00C213B8"/>
    <w:rsid w:val="00C214BC"/>
    <w:rsid w:val="00C22363"/>
    <w:rsid w:val="00C226EA"/>
    <w:rsid w:val="00C22F89"/>
    <w:rsid w:val="00C23030"/>
    <w:rsid w:val="00C233B6"/>
    <w:rsid w:val="00C23F2C"/>
    <w:rsid w:val="00C24062"/>
    <w:rsid w:val="00C2415C"/>
    <w:rsid w:val="00C24167"/>
    <w:rsid w:val="00C244C1"/>
    <w:rsid w:val="00C247B5"/>
    <w:rsid w:val="00C2496D"/>
    <w:rsid w:val="00C24CE0"/>
    <w:rsid w:val="00C253EC"/>
    <w:rsid w:val="00C25569"/>
    <w:rsid w:val="00C255CD"/>
    <w:rsid w:val="00C25795"/>
    <w:rsid w:val="00C259AB"/>
    <w:rsid w:val="00C25AE5"/>
    <w:rsid w:val="00C25BFA"/>
    <w:rsid w:val="00C25D6B"/>
    <w:rsid w:val="00C25DF4"/>
    <w:rsid w:val="00C26120"/>
    <w:rsid w:val="00C2617D"/>
    <w:rsid w:val="00C26A3A"/>
    <w:rsid w:val="00C26B57"/>
    <w:rsid w:val="00C2763E"/>
    <w:rsid w:val="00C27899"/>
    <w:rsid w:val="00C27B87"/>
    <w:rsid w:val="00C27EB0"/>
    <w:rsid w:val="00C3016C"/>
    <w:rsid w:val="00C304EC"/>
    <w:rsid w:val="00C305E3"/>
    <w:rsid w:val="00C3081C"/>
    <w:rsid w:val="00C30E7A"/>
    <w:rsid w:val="00C3143C"/>
    <w:rsid w:val="00C314FB"/>
    <w:rsid w:val="00C318CE"/>
    <w:rsid w:val="00C31B22"/>
    <w:rsid w:val="00C31D5B"/>
    <w:rsid w:val="00C31F68"/>
    <w:rsid w:val="00C31FFD"/>
    <w:rsid w:val="00C324C5"/>
    <w:rsid w:val="00C32744"/>
    <w:rsid w:val="00C32A6C"/>
    <w:rsid w:val="00C32AAB"/>
    <w:rsid w:val="00C32C7F"/>
    <w:rsid w:val="00C32D26"/>
    <w:rsid w:val="00C332DD"/>
    <w:rsid w:val="00C33360"/>
    <w:rsid w:val="00C334FC"/>
    <w:rsid w:val="00C3386D"/>
    <w:rsid w:val="00C339FA"/>
    <w:rsid w:val="00C33A81"/>
    <w:rsid w:val="00C33BE1"/>
    <w:rsid w:val="00C34191"/>
    <w:rsid w:val="00C34DAA"/>
    <w:rsid w:val="00C351FD"/>
    <w:rsid w:val="00C352F9"/>
    <w:rsid w:val="00C35754"/>
    <w:rsid w:val="00C3587C"/>
    <w:rsid w:val="00C35A13"/>
    <w:rsid w:val="00C35F8B"/>
    <w:rsid w:val="00C36830"/>
    <w:rsid w:val="00C36D05"/>
    <w:rsid w:val="00C36FD1"/>
    <w:rsid w:val="00C37746"/>
    <w:rsid w:val="00C37B34"/>
    <w:rsid w:val="00C40415"/>
    <w:rsid w:val="00C404FF"/>
    <w:rsid w:val="00C40970"/>
    <w:rsid w:val="00C409C1"/>
    <w:rsid w:val="00C40B35"/>
    <w:rsid w:val="00C4117E"/>
    <w:rsid w:val="00C41406"/>
    <w:rsid w:val="00C41507"/>
    <w:rsid w:val="00C41524"/>
    <w:rsid w:val="00C4169A"/>
    <w:rsid w:val="00C416E3"/>
    <w:rsid w:val="00C416ED"/>
    <w:rsid w:val="00C41F2E"/>
    <w:rsid w:val="00C423B9"/>
    <w:rsid w:val="00C4242B"/>
    <w:rsid w:val="00C42614"/>
    <w:rsid w:val="00C42683"/>
    <w:rsid w:val="00C42A67"/>
    <w:rsid w:val="00C42BBE"/>
    <w:rsid w:val="00C43524"/>
    <w:rsid w:val="00C43626"/>
    <w:rsid w:val="00C436C9"/>
    <w:rsid w:val="00C43EC1"/>
    <w:rsid w:val="00C44245"/>
    <w:rsid w:val="00C442A7"/>
    <w:rsid w:val="00C44330"/>
    <w:rsid w:val="00C4462B"/>
    <w:rsid w:val="00C44726"/>
    <w:rsid w:val="00C4485E"/>
    <w:rsid w:val="00C44884"/>
    <w:rsid w:val="00C44C3A"/>
    <w:rsid w:val="00C44C46"/>
    <w:rsid w:val="00C44C4F"/>
    <w:rsid w:val="00C44EE0"/>
    <w:rsid w:val="00C44F1A"/>
    <w:rsid w:val="00C44FCD"/>
    <w:rsid w:val="00C45215"/>
    <w:rsid w:val="00C45563"/>
    <w:rsid w:val="00C4584F"/>
    <w:rsid w:val="00C45D45"/>
    <w:rsid w:val="00C464D6"/>
    <w:rsid w:val="00C466E8"/>
    <w:rsid w:val="00C46762"/>
    <w:rsid w:val="00C467BE"/>
    <w:rsid w:val="00C46BAC"/>
    <w:rsid w:val="00C46CFA"/>
    <w:rsid w:val="00C46E52"/>
    <w:rsid w:val="00C47103"/>
    <w:rsid w:val="00C4741B"/>
    <w:rsid w:val="00C4768F"/>
    <w:rsid w:val="00C476B8"/>
    <w:rsid w:val="00C4787B"/>
    <w:rsid w:val="00C478FE"/>
    <w:rsid w:val="00C47BFC"/>
    <w:rsid w:val="00C47E03"/>
    <w:rsid w:val="00C5002B"/>
    <w:rsid w:val="00C502C6"/>
    <w:rsid w:val="00C5093F"/>
    <w:rsid w:val="00C50ADC"/>
    <w:rsid w:val="00C50BB4"/>
    <w:rsid w:val="00C5137B"/>
    <w:rsid w:val="00C51714"/>
    <w:rsid w:val="00C52028"/>
    <w:rsid w:val="00C523D6"/>
    <w:rsid w:val="00C523DC"/>
    <w:rsid w:val="00C530DE"/>
    <w:rsid w:val="00C5312B"/>
    <w:rsid w:val="00C5339C"/>
    <w:rsid w:val="00C53429"/>
    <w:rsid w:val="00C5379A"/>
    <w:rsid w:val="00C537B3"/>
    <w:rsid w:val="00C537E5"/>
    <w:rsid w:val="00C53875"/>
    <w:rsid w:val="00C53D4A"/>
    <w:rsid w:val="00C53D53"/>
    <w:rsid w:val="00C53DE1"/>
    <w:rsid w:val="00C53E5F"/>
    <w:rsid w:val="00C54030"/>
    <w:rsid w:val="00C54172"/>
    <w:rsid w:val="00C5430A"/>
    <w:rsid w:val="00C54366"/>
    <w:rsid w:val="00C544F1"/>
    <w:rsid w:val="00C55665"/>
    <w:rsid w:val="00C55812"/>
    <w:rsid w:val="00C55994"/>
    <w:rsid w:val="00C56234"/>
    <w:rsid w:val="00C5651A"/>
    <w:rsid w:val="00C56629"/>
    <w:rsid w:val="00C56897"/>
    <w:rsid w:val="00C56A4D"/>
    <w:rsid w:val="00C56CEE"/>
    <w:rsid w:val="00C57411"/>
    <w:rsid w:val="00C576C0"/>
    <w:rsid w:val="00C57CB7"/>
    <w:rsid w:val="00C57E13"/>
    <w:rsid w:val="00C6010B"/>
    <w:rsid w:val="00C60221"/>
    <w:rsid w:val="00C6047A"/>
    <w:rsid w:val="00C609C4"/>
    <w:rsid w:val="00C60AC1"/>
    <w:rsid w:val="00C60D22"/>
    <w:rsid w:val="00C60DC6"/>
    <w:rsid w:val="00C60F75"/>
    <w:rsid w:val="00C60F88"/>
    <w:rsid w:val="00C610D8"/>
    <w:rsid w:val="00C611C1"/>
    <w:rsid w:val="00C6126B"/>
    <w:rsid w:val="00C6138D"/>
    <w:rsid w:val="00C61D50"/>
    <w:rsid w:val="00C61E01"/>
    <w:rsid w:val="00C623DA"/>
    <w:rsid w:val="00C623FA"/>
    <w:rsid w:val="00C62892"/>
    <w:rsid w:val="00C62D59"/>
    <w:rsid w:val="00C62DE0"/>
    <w:rsid w:val="00C62EDE"/>
    <w:rsid w:val="00C631B4"/>
    <w:rsid w:val="00C632AD"/>
    <w:rsid w:val="00C63395"/>
    <w:rsid w:val="00C637A9"/>
    <w:rsid w:val="00C637ED"/>
    <w:rsid w:val="00C639F0"/>
    <w:rsid w:val="00C63BCE"/>
    <w:rsid w:val="00C63BFC"/>
    <w:rsid w:val="00C642AC"/>
    <w:rsid w:val="00C64A0D"/>
    <w:rsid w:val="00C64BB6"/>
    <w:rsid w:val="00C65061"/>
    <w:rsid w:val="00C653D7"/>
    <w:rsid w:val="00C654D9"/>
    <w:rsid w:val="00C6556A"/>
    <w:rsid w:val="00C65602"/>
    <w:rsid w:val="00C65865"/>
    <w:rsid w:val="00C658C6"/>
    <w:rsid w:val="00C65E94"/>
    <w:rsid w:val="00C65F59"/>
    <w:rsid w:val="00C66186"/>
    <w:rsid w:val="00C6621F"/>
    <w:rsid w:val="00C6683D"/>
    <w:rsid w:val="00C66A25"/>
    <w:rsid w:val="00C66BFB"/>
    <w:rsid w:val="00C66D93"/>
    <w:rsid w:val="00C66ED5"/>
    <w:rsid w:val="00C67255"/>
    <w:rsid w:val="00C67606"/>
    <w:rsid w:val="00C676D8"/>
    <w:rsid w:val="00C6772A"/>
    <w:rsid w:val="00C67831"/>
    <w:rsid w:val="00C678A2"/>
    <w:rsid w:val="00C67923"/>
    <w:rsid w:val="00C679CF"/>
    <w:rsid w:val="00C67A89"/>
    <w:rsid w:val="00C7056E"/>
    <w:rsid w:val="00C70803"/>
    <w:rsid w:val="00C70A48"/>
    <w:rsid w:val="00C70ED9"/>
    <w:rsid w:val="00C71088"/>
    <w:rsid w:val="00C714AE"/>
    <w:rsid w:val="00C719A2"/>
    <w:rsid w:val="00C72040"/>
    <w:rsid w:val="00C72130"/>
    <w:rsid w:val="00C72237"/>
    <w:rsid w:val="00C72C0E"/>
    <w:rsid w:val="00C72C43"/>
    <w:rsid w:val="00C72CBB"/>
    <w:rsid w:val="00C72D75"/>
    <w:rsid w:val="00C72EF6"/>
    <w:rsid w:val="00C735A6"/>
    <w:rsid w:val="00C7385E"/>
    <w:rsid w:val="00C73953"/>
    <w:rsid w:val="00C73BFB"/>
    <w:rsid w:val="00C73CEA"/>
    <w:rsid w:val="00C74593"/>
    <w:rsid w:val="00C74BEF"/>
    <w:rsid w:val="00C754C1"/>
    <w:rsid w:val="00C7563D"/>
    <w:rsid w:val="00C757A0"/>
    <w:rsid w:val="00C75950"/>
    <w:rsid w:val="00C75E24"/>
    <w:rsid w:val="00C7608B"/>
    <w:rsid w:val="00C760D9"/>
    <w:rsid w:val="00C76586"/>
    <w:rsid w:val="00C7662E"/>
    <w:rsid w:val="00C76BB5"/>
    <w:rsid w:val="00C76D3C"/>
    <w:rsid w:val="00C776EC"/>
    <w:rsid w:val="00C77E1C"/>
    <w:rsid w:val="00C80226"/>
    <w:rsid w:val="00C803C5"/>
    <w:rsid w:val="00C8057C"/>
    <w:rsid w:val="00C80653"/>
    <w:rsid w:val="00C808A6"/>
    <w:rsid w:val="00C80A02"/>
    <w:rsid w:val="00C80F7E"/>
    <w:rsid w:val="00C810CF"/>
    <w:rsid w:val="00C81702"/>
    <w:rsid w:val="00C81B7B"/>
    <w:rsid w:val="00C81FC3"/>
    <w:rsid w:val="00C82310"/>
    <w:rsid w:val="00C82367"/>
    <w:rsid w:val="00C8295F"/>
    <w:rsid w:val="00C82BDB"/>
    <w:rsid w:val="00C830EB"/>
    <w:rsid w:val="00C8330D"/>
    <w:rsid w:val="00C83875"/>
    <w:rsid w:val="00C840B2"/>
    <w:rsid w:val="00C84393"/>
    <w:rsid w:val="00C846A0"/>
    <w:rsid w:val="00C84A83"/>
    <w:rsid w:val="00C85327"/>
    <w:rsid w:val="00C85A51"/>
    <w:rsid w:val="00C85B3C"/>
    <w:rsid w:val="00C85C3D"/>
    <w:rsid w:val="00C860D6"/>
    <w:rsid w:val="00C861E2"/>
    <w:rsid w:val="00C86970"/>
    <w:rsid w:val="00C86A40"/>
    <w:rsid w:val="00C86D06"/>
    <w:rsid w:val="00C86F02"/>
    <w:rsid w:val="00C86F2E"/>
    <w:rsid w:val="00C874C5"/>
    <w:rsid w:val="00C900F6"/>
    <w:rsid w:val="00C908B2"/>
    <w:rsid w:val="00C90BE8"/>
    <w:rsid w:val="00C90E2B"/>
    <w:rsid w:val="00C911FC"/>
    <w:rsid w:val="00C91373"/>
    <w:rsid w:val="00C917B8"/>
    <w:rsid w:val="00C9198A"/>
    <w:rsid w:val="00C91CC1"/>
    <w:rsid w:val="00C91E1E"/>
    <w:rsid w:val="00C92EA0"/>
    <w:rsid w:val="00C92EAD"/>
    <w:rsid w:val="00C9315E"/>
    <w:rsid w:val="00C932A2"/>
    <w:rsid w:val="00C933C0"/>
    <w:rsid w:val="00C935A7"/>
    <w:rsid w:val="00C93A22"/>
    <w:rsid w:val="00C93A57"/>
    <w:rsid w:val="00C940EE"/>
    <w:rsid w:val="00C94175"/>
    <w:rsid w:val="00C94200"/>
    <w:rsid w:val="00C94526"/>
    <w:rsid w:val="00C955F8"/>
    <w:rsid w:val="00C95FB2"/>
    <w:rsid w:val="00C964D0"/>
    <w:rsid w:val="00C96C64"/>
    <w:rsid w:val="00C96DBF"/>
    <w:rsid w:val="00C96DD4"/>
    <w:rsid w:val="00C970ED"/>
    <w:rsid w:val="00C970FF"/>
    <w:rsid w:val="00C972F9"/>
    <w:rsid w:val="00C97406"/>
    <w:rsid w:val="00C9794E"/>
    <w:rsid w:val="00C97FF7"/>
    <w:rsid w:val="00CA02F2"/>
    <w:rsid w:val="00CA0FA6"/>
    <w:rsid w:val="00CA187D"/>
    <w:rsid w:val="00CA1C47"/>
    <w:rsid w:val="00CA1DEB"/>
    <w:rsid w:val="00CA2485"/>
    <w:rsid w:val="00CA256C"/>
    <w:rsid w:val="00CA285A"/>
    <w:rsid w:val="00CA2964"/>
    <w:rsid w:val="00CA2AB1"/>
    <w:rsid w:val="00CA2C8E"/>
    <w:rsid w:val="00CA2DD0"/>
    <w:rsid w:val="00CA37AD"/>
    <w:rsid w:val="00CA37D3"/>
    <w:rsid w:val="00CA392E"/>
    <w:rsid w:val="00CA3AF9"/>
    <w:rsid w:val="00CA3B4D"/>
    <w:rsid w:val="00CA3DC7"/>
    <w:rsid w:val="00CA4553"/>
    <w:rsid w:val="00CA4584"/>
    <w:rsid w:val="00CA483F"/>
    <w:rsid w:val="00CA4845"/>
    <w:rsid w:val="00CA4B6B"/>
    <w:rsid w:val="00CA4D8B"/>
    <w:rsid w:val="00CA4E46"/>
    <w:rsid w:val="00CA504E"/>
    <w:rsid w:val="00CA529F"/>
    <w:rsid w:val="00CA5520"/>
    <w:rsid w:val="00CA5773"/>
    <w:rsid w:val="00CA57FA"/>
    <w:rsid w:val="00CA5B60"/>
    <w:rsid w:val="00CA5E1D"/>
    <w:rsid w:val="00CA5E4B"/>
    <w:rsid w:val="00CA6123"/>
    <w:rsid w:val="00CA64EC"/>
    <w:rsid w:val="00CA6C1A"/>
    <w:rsid w:val="00CA7434"/>
    <w:rsid w:val="00CA79CC"/>
    <w:rsid w:val="00CA7C80"/>
    <w:rsid w:val="00CA7D06"/>
    <w:rsid w:val="00CB006E"/>
    <w:rsid w:val="00CB026A"/>
    <w:rsid w:val="00CB04BA"/>
    <w:rsid w:val="00CB04D2"/>
    <w:rsid w:val="00CB06A1"/>
    <w:rsid w:val="00CB11F9"/>
    <w:rsid w:val="00CB1206"/>
    <w:rsid w:val="00CB152D"/>
    <w:rsid w:val="00CB16F4"/>
    <w:rsid w:val="00CB1937"/>
    <w:rsid w:val="00CB1BA0"/>
    <w:rsid w:val="00CB1C65"/>
    <w:rsid w:val="00CB1D6E"/>
    <w:rsid w:val="00CB20BD"/>
    <w:rsid w:val="00CB24AE"/>
    <w:rsid w:val="00CB26D3"/>
    <w:rsid w:val="00CB2885"/>
    <w:rsid w:val="00CB297D"/>
    <w:rsid w:val="00CB2981"/>
    <w:rsid w:val="00CB2EAC"/>
    <w:rsid w:val="00CB308D"/>
    <w:rsid w:val="00CB355B"/>
    <w:rsid w:val="00CB3721"/>
    <w:rsid w:val="00CB39A9"/>
    <w:rsid w:val="00CB3F6A"/>
    <w:rsid w:val="00CB40E8"/>
    <w:rsid w:val="00CB4395"/>
    <w:rsid w:val="00CB4782"/>
    <w:rsid w:val="00CB4862"/>
    <w:rsid w:val="00CB48A8"/>
    <w:rsid w:val="00CB48BB"/>
    <w:rsid w:val="00CB4B19"/>
    <w:rsid w:val="00CB52F2"/>
    <w:rsid w:val="00CB546D"/>
    <w:rsid w:val="00CB57D4"/>
    <w:rsid w:val="00CB5830"/>
    <w:rsid w:val="00CB58BC"/>
    <w:rsid w:val="00CB5978"/>
    <w:rsid w:val="00CB5A72"/>
    <w:rsid w:val="00CB5A9C"/>
    <w:rsid w:val="00CB5BE1"/>
    <w:rsid w:val="00CB6067"/>
    <w:rsid w:val="00CB6197"/>
    <w:rsid w:val="00CB64D5"/>
    <w:rsid w:val="00CB6545"/>
    <w:rsid w:val="00CB6567"/>
    <w:rsid w:val="00CB6654"/>
    <w:rsid w:val="00CB6968"/>
    <w:rsid w:val="00CB6A8B"/>
    <w:rsid w:val="00CB6BCB"/>
    <w:rsid w:val="00CB6CEC"/>
    <w:rsid w:val="00CB6EF6"/>
    <w:rsid w:val="00CB7115"/>
    <w:rsid w:val="00CB7523"/>
    <w:rsid w:val="00CB77FA"/>
    <w:rsid w:val="00CB782A"/>
    <w:rsid w:val="00CC00FD"/>
    <w:rsid w:val="00CC04F3"/>
    <w:rsid w:val="00CC0518"/>
    <w:rsid w:val="00CC06BA"/>
    <w:rsid w:val="00CC0837"/>
    <w:rsid w:val="00CC084B"/>
    <w:rsid w:val="00CC0A21"/>
    <w:rsid w:val="00CC0A59"/>
    <w:rsid w:val="00CC0A7E"/>
    <w:rsid w:val="00CC0E47"/>
    <w:rsid w:val="00CC0EB9"/>
    <w:rsid w:val="00CC1456"/>
    <w:rsid w:val="00CC1584"/>
    <w:rsid w:val="00CC15CF"/>
    <w:rsid w:val="00CC1CCD"/>
    <w:rsid w:val="00CC1D4B"/>
    <w:rsid w:val="00CC1E5E"/>
    <w:rsid w:val="00CC2000"/>
    <w:rsid w:val="00CC212E"/>
    <w:rsid w:val="00CC219E"/>
    <w:rsid w:val="00CC2245"/>
    <w:rsid w:val="00CC240D"/>
    <w:rsid w:val="00CC2685"/>
    <w:rsid w:val="00CC2A42"/>
    <w:rsid w:val="00CC2C0B"/>
    <w:rsid w:val="00CC2D42"/>
    <w:rsid w:val="00CC3586"/>
    <w:rsid w:val="00CC382E"/>
    <w:rsid w:val="00CC3878"/>
    <w:rsid w:val="00CC38EC"/>
    <w:rsid w:val="00CC48D7"/>
    <w:rsid w:val="00CC4942"/>
    <w:rsid w:val="00CC4D4F"/>
    <w:rsid w:val="00CC4E24"/>
    <w:rsid w:val="00CC5298"/>
    <w:rsid w:val="00CC5422"/>
    <w:rsid w:val="00CC568B"/>
    <w:rsid w:val="00CC595F"/>
    <w:rsid w:val="00CC5A60"/>
    <w:rsid w:val="00CC5BDD"/>
    <w:rsid w:val="00CC5E56"/>
    <w:rsid w:val="00CC653D"/>
    <w:rsid w:val="00CC68B6"/>
    <w:rsid w:val="00CC696E"/>
    <w:rsid w:val="00CC6F21"/>
    <w:rsid w:val="00CC7120"/>
    <w:rsid w:val="00CC746F"/>
    <w:rsid w:val="00CD0167"/>
    <w:rsid w:val="00CD01BE"/>
    <w:rsid w:val="00CD051D"/>
    <w:rsid w:val="00CD07DA"/>
    <w:rsid w:val="00CD0BCE"/>
    <w:rsid w:val="00CD0C35"/>
    <w:rsid w:val="00CD0C76"/>
    <w:rsid w:val="00CD0D0F"/>
    <w:rsid w:val="00CD0D56"/>
    <w:rsid w:val="00CD0EA9"/>
    <w:rsid w:val="00CD1160"/>
    <w:rsid w:val="00CD12C8"/>
    <w:rsid w:val="00CD14B0"/>
    <w:rsid w:val="00CD197B"/>
    <w:rsid w:val="00CD1B27"/>
    <w:rsid w:val="00CD1F12"/>
    <w:rsid w:val="00CD2093"/>
    <w:rsid w:val="00CD26E2"/>
    <w:rsid w:val="00CD2C5B"/>
    <w:rsid w:val="00CD2D46"/>
    <w:rsid w:val="00CD3537"/>
    <w:rsid w:val="00CD3981"/>
    <w:rsid w:val="00CD45F0"/>
    <w:rsid w:val="00CD4A5E"/>
    <w:rsid w:val="00CD4E62"/>
    <w:rsid w:val="00CD4F27"/>
    <w:rsid w:val="00CD4F93"/>
    <w:rsid w:val="00CD5279"/>
    <w:rsid w:val="00CD547B"/>
    <w:rsid w:val="00CD56C0"/>
    <w:rsid w:val="00CD5AFE"/>
    <w:rsid w:val="00CD5E93"/>
    <w:rsid w:val="00CD60CB"/>
    <w:rsid w:val="00CD655B"/>
    <w:rsid w:val="00CD6B4D"/>
    <w:rsid w:val="00CD7281"/>
    <w:rsid w:val="00CD7478"/>
    <w:rsid w:val="00CD781F"/>
    <w:rsid w:val="00CD7D84"/>
    <w:rsid w:val="00CD7F28"/>
    <w:rsid w:val="00CD7FF3"/>
    <w:rsid w:val="00CE0020"/>
    <w:rsid w:val="00CE02DB"/>
    <w:rsid w:val="00CE0787"/>
    <w:rsid w:val="00CE1259"/>
    <w:rsid w:val="00CE13AE"/>
    <w:rsid w:val="00CE163C"/>
    <w:rsid w:val="00CE179C"/>
    <w:rsid w:val="00CE17D8"/>
    <w:rsid w:val="00CE18FE"/>
    <w:rsid w:val="00CE20BD"/>
    <w:rsid w:val="00CE24D6"/>
    <w:rsid w:val="00CE2621"/>
    <w:rsid w:val="00CE280A"/>
    <w:rsid w:val="00CE2DC0"/>
    <w:rsid w:val="00CE2F0C"/>
    <w:rsid w:val="00CE3E06"/>
    <w:rsid w:val="00CE3F3A"/>
    <w:rsid w:val="00CE40DC"/>
    <w:rsid w:val="00CE4491"/>
    <w:rsid w:val="00CE4759"/>
    <w:rsid w:val="00CE4842"/>
    <w:rsid w:val="00CE4AD8"/>
    <w:rsid w:val="00CE53D7"/>
    <w:rsid w:val="00CE543C"/>
    <w:rsid w:val="00CE6266"/>
    <w:rsid w:val="00CE68FB"/>
    <w:rsid w:val="00CE698F"/>
    <w:rsid w:val="00CE6F88"/>
    <w:rsid w:val="00CE6F9A"/>
    <w:rsid w:val="00CE70B4"/>
    <w:rsid w:val="00CE70D9"/>
    <w:rsid w:val="00CE732F"/>
    <w:rsid w:val="00CE7803"/>
    <w:rsid w:val="00CE787E"/>
    <w:rsid w:val="00CE7BA0"/>
    <w:rsid w:val="00CE7D1E"/>
    <w:rsid w:val="00CE7D34"/>
    <w:rsid w:val="00CF0063"/>
    <w:rsid w:val="00CF0551"/>
    <w:rsid w:val="00CF07AF"/>
    <w:rsid w:val="00CF08ED"/>
    <w:rsid w:val="00CF0906"/>
    <w:rsid w:val="00CF0B30"/>
    <w:rsid w:val="00CF0D4D"/>
    <w:rsid w:val="00CF0FD5"/>
    <w:rsid w:val="00CF101E"/>
    <w:rsid w:val="00CF1154"/>
    <w:rsid w:val="00CF133B"/>
    <w:rsid w:val="00CF1504"/>
    <w:rsid w:val="00CF178F"/>
    <w:rsid w:val="00CF1F8C"/>
    <w:rsid w:val="00CF1FCC"/>
    <w:rsid w:val="00CF2182"/>
    <w:rsid w:val="00CF22F9"/>
    <w:rsid w:val="00CF274C"/>
    <w:rsid w:val="00CF2797"/>
    <w:rsid w:val="00CF2846"/>
    <w:rsid w:val="00CF29A9"/>
    <w:rsid w:val="00CF2B7A"/>
    <w:rsid w:val="00CF3272"/>
    <w:rsid w:val="00CF35C1"/>
    <w:rsid w:val="00CF366D"/>
    <w:rsid w:val="00CF375E"/>
    <w:rsid w:val="00CF37B1"/>
    <w:rsid w:val="00CF3A85"/>
    <w:rsid w:val="00CF3B6D"/>
    <w:rsid w:val="00CF3C87"/>
    <w:rsid w:val="00CF3D1C"/>
    <w:rsid w:val="00CF4367"/>
    <w:rsid w:val="00CF4401"/>
    <w:rsid w:val="00CF4560"/>
    <w:rsid w:val="00CF47BF"/>
    <w:rsid w:val="00CF4880"/>
    <w:rsid w:val="00CF4A5D"/>
    <w:rsid w:val="00CF4C66"/>
    <w:rsid w:val="00CF4D24"/>
    <w:rsid w:val="00CF4DF4"/>
    <w:rsid w:val="00CF4EFB"/>
    <w:rsid w:val="00CF4FD8"/>
    <w:rsid w:val="00CF5C88"/>
    <w:rsid w:val="00CF5D88"/>
    <w:rsid w:val="00CF615F"/>
    <w:rsid w:val="00CF696A"/>
    <w:rsid w:val="00CF6AF8"/>
    <w:rsid w:val="00CF6B8F"/>
    <w:rsid w:val="00CF6CD5"/>
    <w:rsid w:val="00CF6E77"/>
    <w:rsid w:val="00CF709A"/>
    <w:rsid w:val="00CF750C"/>
    <w:rsid w:val="00CF76EF"/>
    <w:rsid w:val="00CF7770"/>
    <w:rsid w:val="00CF7CCC"/>
    <w:rsid w:val="00D00099"/>
    <w:rsid w:val="00D0025A"/>
    <w:rsid w:val="00D004FD"/>
    <w:rsid w:val="00D0066D"/>
    <w:rsid w:val="00D00F10"/>
    <w:rsid w:val="00D011A9"/>
    <w:rsid w:val="00D0129A"/>
    <w:rsid w:val="00D017C8"/>
    <w:rsid w:val="00D01F86"/>
    <w:rsid w:val="00D02338"/>
    <w:rsid w:val="00D02CFE"/>
    <w:rsid w:val="00D03144"/>
    <w:rsid w:val="00D03872"/>
    <w:rsid w:val="00D039D4"/>
    <w:rsid w:val="00D03CA6"/>
    <w:rsid w:val="00D04376"/>
    <w:rsid w:val="00D0456F"/>
    <w:rsid w:val="00D0565C"/>
    <w:rsid w:val="00D056EF"/>
    <w:rsid w:val="00D05D00"/>
    <w:rsid w:val="00D05F4E"/>
    <w:rsid w:val="00D060DB"/>
    <w:rsid w:val="00D06247"/>
    <w:rsid w:val="00D06791"/>
    <w:rsid w:val="00D06AF9"/>
    <w:rsid w:val="00D06E7C"/>
    <w:rsid w:val="00D071A9"/>
    <w:rsid w:val="00D072FD"/>
    <w:rsid w:val="00D074E2"/>
    <w:rsid w:val="00D0795A"/>
    <w:rsid w:val="00D07AB5"/>
    <w:rsid w:val="00D07B6F"/>
    <w:rsid w:val="00D10578"/>
    <w:rsid w:val="00D105C1"/>
    <w:rsid w:val="00D1062E"/>
    <w:rsid w:val="00D106EB"/>
    <w:rsid w:val="00D1088F"/>
    <w:rsid w:val="00D10AD6"/>
    <w:rsid w:val="00D10CB1"/>
    <w:rsid w:val="00D10E6B"/>
    <w:rsid w:val="00D1182F"/>
    <w:rsid w:val="00D1205A"/>
    <w:rsid w:val="00D1232B"/>
    <w:rsid w:val="00D1252E"/>
    <w:rsid w:val="00D12763"/>
    <w:rsid w:val="00D12B70"/>
    <w:rsid w:val="00D12CD2"/>
    <w:rsid w:val="00D12E2B"/>
    <w:rsid w:val="00D13A8F"/>
    <w:rsid w:val="00D13C33"/>
    <w:rsid w:val="00D13CC3"/>
    <w:rsid w:val="00D1405D"/>
    <w:rsid w:val="00D140C4"/>
    <w:rsid w:val="00D14B15"/>
    <w:rsid w:val="00D14FCC"/>
    <w:rsid w:val="00D1519F"/>
    <w:rsid w:val="00D152C5"/>
    <w:rsid w:val="00D1532C"/>
    <w:rsid w:val="00D154A0"/>
    <w:rsid w:val="00D154D1"/>
    <w:rsid w:val="00D154F0"/>
    <w:rsid w:val="00D15607"/>
    <w:rsid w:val="00D15699"/>
    <w:rsid w:val="00D15826"/>
    <w:rsid w:val="00D158E9"/>
    <w:rsid w:val="00D160E5"/>
    <w:rsid w:val="00D164B9"/>
    <w:rsid w:val="00D16A21"/>
    <w:rsid w:val="00D17230"/>
    <w:rsid w:val="00D17421"/>
    <w:rsid w:val="00D17447"/>
    <w:rsid w:val="00D17BA9"/>
    <w:rsid w:val="00D17D2E"/>
    <w:rsid w:val="00D17EF6"/>
    <w:rsid w:val="00D17F29"/>
    <w:rsid w:val="00D200C1"/>
    <w:rsid w:val="00D2026D"/>
    <w:rsid w:val="00D20437"/>
    <w:rsid w:val="00D2046A"/>
    <w:rsid w:val="00D2064E"/>
    <w:rsid w:val="00D2070E"/>
    <w:rsid w:val="00D20F21"/>
    <w:rsid w:val="00D20F94"/>
    <w:rsid w:val="00D21E79"/>
    <w:rsid w:val="00D21F3D"/>
    <w:rsid w:val="00D21F69"/>
    <w:rsid w:val="00D22508"/>
    <w:rsid w:val="00D226C5"/>
    <w:rsid w:val="00D22ADC"/>
    <w:rsid w:val="00D22E51"/>
    <w:rsid w:val="00D236BB"/>
    <w:rsid w:val="00D2377B"/>
    <w:rsid w:val="00D23838"/>
    <w:rsid w:val="00D23974"/>
    <w:rsid w:val="00D23B1D"/>
    <w:rsid w:val="00D23E32"/>
    <w:rsid w:val="00D2413D"/>
    <w:rsid w:val="00D2458B"/>
    <w:rsid w:val="00D2478C"/>
    <w:rsid w:val="00D247B7"/>
    <w:rsid w:val="00D2493B"/>
    <w:rsid w:val="00D24B32"/>
    <w:rsid w:val="00D24BD2"/>
    <w:rsid w:val="00D24F50"/>
    <w:rsid w:val="00D24FDF"/>
    <w:rsid w:val="00D253FA"/>
    <w:rsid w:val="00D25629"/>
    <w:rsid w:val="00D25994"/>
    <w:rsid w:val="00D25B13"/>
    <w:rsid w:val="00D25F87"/>
    <w:rsid w:val="00D25FDE"/>
    <w:rsid w:val="00D25FE5"/>
    <w:rsid w:val="00D260CD"/>
    <w:rsid w:val="00D2643D"/>
    <w:rsid w:val="00D26A88"/>
    <w:rsid w:val="00D26B94"/>
    <w:rsid w:val="00D272CC"/>
    <w:rsid w:val="00D276E5"/>
    <w:rsid w:val="00D2785F"/>
    <w:rsid w:val="00D27887"/>
    <w:rsid w:val="00D27CF8"/>
    <w:rsid w:val="00D30083"/>
    <w:rsid w:val="00D3027E"/>
    <w:rsid w:val="00D302BF"/>
    <w:rsid w:val="00D30829"/>
    <w:rsid w:val="00D30836"/>
    <w:rsid w:val="00D30F96"/>
    <w:rsid w:val="00D30FE0"/>
    <w:rsid w:val="00D313EC"/>
    <w:rsid w:val="00D3149B"/>
    <w:rsid w:val="00D31921"/>
    <w:rsid w:val="00D31B04"/>
    <w:rsid w:val="00D31D8C"/>
    <w:rsid w:val="00D31E90"/>
    <w:rsid w:val="00D31F62"/>
    <w:rsid w:val="00D32058"/>
    <w:rsid w:val="00D3256B"/>
    <w:rsid w:val="00D325B7"/>
    <w:rsid w:val="00D32AE4"/>
    <w:rsid w:val="00D32BD9"/>
    <w:rsid w:val="00D32DB8"/>
    <w:rsid w:val="00D32E22"/>
    <w:rsid w:val="00D32ED5"/>
    <w:rsid w:val="00D32F8D"/>
    <w:rsid w:val="00D33195"/>
    <w:rsid w:val="00D33541"/>
    <w:rsid w:val="00D33780"/>
    <w:rsid w:val="00D33C5F"/>
    <w:rsid w:val="00D33E17"/>
    <w:rsid w:val="00D341F9"/>
    <w:rsid w:val="00D34396"/>
    <w:rsid w:val="00D3443B"/>
    <w:rsid w:val="00D34502"/>
    <w:rsid w:val="00D3467C"/>
    <w:rsid w:val="00D348A6"/>
    <w:rsid w:val="00D349EA"/>
    <w:rsid w:val="00D34A94"/>
    <w:rsid w:val="00D34ECE"/>
    <w:rsid w:val="00D3528E"/>
    <w:rsid w:val="00D357E1"/>
    <w:rsid w:val="00D3590F"/>
    <w:rsid w:val="00D35B49"/>
    <w:rsid w:val="00D35E12"/>
    <w:rsid w:val="00D3607B"/>
    <w:rsid w:val="00D36517"/>
    <w:rsid w:val="00D3666E"/>
    <w:rsid w:val="00D366F9"/>
    <w:rsid w:val="00D36C18"/>
    <w:rsid w:val="00D36CA5"/>
    <w:rsid w:val="00D36D22"/>
    <w:rsid w:val="00D36F52"/>
    <w:rsid w:val="00D36FB9"/>
    <w:rsid w:val="00D36FDF"/>
    <w:rsid w:val="00D372FC"/>
    <w:rsid w:val="00D375D7"/>
    <w:rsid w:val="00D3769E"/>
    <w:rsid w:val="00D37D9A"/>
    <w:rsid w:val="00D37E3F"/>
    <w:rsid w:val="00D37EDF"/>
    <w:rsid w:val="00D4042F"/>
    <w:rsid w:val="00D40C71"/>
    <w:rsid w:val="00D40D1C"/>
    <w:rsid w:val="00D41880"/>
    <w:rsid w:val="00D41FA3"/>
    <w:rsid w:val="00D421AE"/>
    <w:rsid w:val="00D421E8"/>
    <w:rsid w:val="00D4238C"/>
    <w:rsid w:val="00D42542"/>
    <w:rsid w:val="00D428A5"/>
    <w:rsid w:val="00D42912"/>
    <w:rsid w:val="00D42B65"/>
    <w:rsid w:val="00D42D26"/>
    <w:rsid w:val="00D43457"/>
    <w:rsid w:val="00D436EA"/>
    <w:rsid w:val="00D43763"/>
    <w:rsid w:val="00D4383F"/>
    <w:rsid w:val="00D438D3"/>
    <w:rsid w:val="00D4425A"/>
    <w:rsid w:val="00D4431A"/>
    <w:rsid w:val="00D44461"/>
    <w:rsid w:val="00D4453A"/>
    <w:rsid w:val="00D44621"/>
    <w:rsid w:val="00D44891"/>
    <w:rsid w:val="00D45061"/>
    <w:rsid w:val="00D45466"/>
    <w:rsid w:val="00D45917"/>
    <w:rsid w:val="00D459FD"/>
    <w:rsid w:val="00D46191"/>
    <w:rsid w:val="00D461F4"/>
    <w:rsid w:val="00D46592"/>
    <w:rsid w:val="00D4687F"/>
    <w:rsid w:val="00D46975"/>
    <w:rsid w:val="00D46A3D"/>
    <w:rsid w:val="00D46BC0"/>
    <w:rsid w:val="00D46C50"/>
    <w:rsid w:val="00D470E3"/>
    <w:rsid w:val="00D473A9"/>
    <w:rsid w:val="00D47C8A"/>
    <w:rsid w:val="00D47E99"/>
    <w:rsid w:val="00D47EE9"/>
    <w:rsid w:val="00D50184"/>
    <w:rsid w:val="00D50438"/>
    <w:rsid w:val="00D50460"/>
    <w:rsid w:val="00D506E5"/>
    <w:rsid w:val="00D5077C"/>
    <w:rsid w:val="00D50807"/>
    <w:rsid w:val="00D50945"/>
    <w:rsid w:val="00D5098B"/>
    <w:rsid w:val="00D50BC9"/>
    <w:rsid w:val="00D50CA1"/>
    <w:rsid w:val="00D5127A"/>
    <w:rsid w:val="00D51987"/>
    <w:rsid w:val="00D519DE"/>
    <w:rsid w:val="00D51DF2"/>
    <w:rsid w:val="00D52168"/>
    <w:rsid w:val="00D521E5"/>
    <w:rsid w:val="00D521EC"/>
    <w:rsid w:val="00D525A8"/>
    <w:rsid w:val="00D525D4"/>
    <w:rsid w:val="00D52F45"/>
    <w:rsid w:val="00D53112"/>
    <w:rsid w:val="00D535F5"/>
    <w:rsid w:val="00D536C8"/>
    <w:rsid w:val="00D537C8"/>
    <w:rsid w:val="00D53A7F"/>
    <w:rsid w:val="00D53C22"/>
    <w:rsid w:val="00D53CBE"/>
    <w:rsid w:val="00D53E77"/>
    <w:rsid w:val="00D545F1"/>
    <w:rsid w:val="00D54C78"/>
    <w:rsid w:val="00D54F6D"/>
    <w:rsid w:val="00D54FA7"/>
    <w:rsid w:val="00D550BB"/>
    <w:rsid w:val="00D550CE"/>
    <w:rsid w:val="00D55249"/>
    <w:rsid w:val="00D55285"/>
    <w:rsid w:val="00D556D6"/>
    <w:rsid w:val="00D556E0"/>
    <w:rsid w:val="00D557EA"/>
    <w:rsid w:val="00D55934"/>
    <w:rsid w:val="00D55C63"/>
    <w:rsid w:val="00D55E20"/>
    <w:rsid w:val="00D55F4F"/>
    <w:rsid w:val="00D560D8"/>
    <w:rsid w:val="00D56412"/>
    <w:rsid w:val="00D565C7"/>
    <w:rsid w:val="00D56E3F"/>
    <w:rsid w:val="00D56E8E"/>
    <w:rsid w:val="00D572D2"/>
    <w:rsid w:val="00D573CB"/>
    <w:rsid w:val="00D57419"/>
    <w:rsid w:val="00D577B8"/>
    <w:rsid w:val="00D57A9C"/>
    <w:rsid w:val="00D57B68"/>
    <w:rsid w:val="00D57BA9"/>
    <w:rsid w:val="00D57C4F"/>
    <w:rsid w:val="00D57CD9"/>
    <w:rsid w:val="00D600DC"/>
    <w:rsid w:val="00D602ED"/>
    <w:rsid w:val="00D6034F"/>
    <w:rsid w:val="00D606F3"/>
    <w:rsid w:val="00D60734"/>
    <w:rsid w:val="00D60832"/>
    <w:rsid w:val="00D6090F"/>
    <w:rsid w:val="00D60A85"/>
    <w:rsid w:val="00D60B34"/>
    <w:rsid w:val="00D60CA3"/>
    <w:rsid w:val="00D611E0"/>
    <w:rsid w:val="00D612A7"/>
    <w:rsid w:val="00D6131A"/>
    <w:rsid w:val="00D613E6"/>
    <w:rsid w:val="00D61901"/>
    <w:rsid w:val="00D61949"/>
    <w:rsid w:val="00D61B17"/>
    <w:rsid w:val="00D61B62"/>
    <w:rsid w:val="00D62295"/>
    <w:rsid w:val="00D6256C"/>
    <w:rsid w:val="00D629E5"/>
    <w:rsid w:val="00D62B10"/>
    <w:rsid w:val="00D62C9E"/>
    <w:rsid w:val="00D62D7B"/>
    <w:rsid w:val="00D62E97"/>
    <w:rsid w:val="00D62EA4"/>
    <w:rsid w:val="00D63219"/>
    <w:rsid w:val="00D6394F"/>
    <w:rsid w:val="00D639A4"/>
    <w:rsid w:val="00D6419E"/>
    <w:rsid w:val="00D64275"/>
    <w:rsid w:val="00D6455A"/>
    <w:rsid w:val="00D6481B"/>
    <w:rsid w:val="00D6488A"/>
    <w:rsid w:val="00D648D9"/>
    <w:rsid w:val="00D64A12"/>
    <w:rsid w:val="00D64B6C"/>
    <w:rsid w:val="00D64CB3"/>
    <w:rsid w:val="00D64D7F"/>
    <w:rsid w:val="00D64E99"/>
    <w:rsid w:val="00D6549C"/>
    <w:rsid w:val="00D65797"/>
    <w:rsid w:val="00D65A25"/>
    <w:rsid w:val="00D65F68"/>
    <w:rsid w:val="00D66308"/>
    <w:rsid w:val="00D663D0"/>
    <w:rsid w:val="00D664CA"/>
    <w:rsid w:val="00D668B8"/>
    <w:rsid w:val="00D66C0C"/>
    <w:rsid w:val="00D66E9F"/>
    <w:rsid w:val="00D670E4"/>
    <w:rsid w:val="00D673E0"/>
    <w:rsid w:val="00D67472"/>
    <w:rsid w:val="00D67570"/>
    <w:rsid w:val="00D6758B"/>
    <w:rsid w:val="00D67664"/>
    <w:rsid w:val="00D67832"/>
    <w:rsid w:val="00D67868"/>
    <w:rsid w:val="00D6788E"/>
    <w:rsid w:val="00D67A90"/>
    <w:rsid w:val="00D67ABB"/>
    <w:rsid w:val="00D67E1C"/>
    <w:rsid w:val="00D70202"/>
    <w:rsid w:val="00D702C7"/>
    <w:rsid w:val="00D7037C"/>
    <w:rsid w:val="00D70435"/>
    <w:rsid w:val="00D70826"/>
    <w:rsid w:val="00D712E3"/>
    <w:rsid w:val="00D715AA"/>
    <w:rsid w:val="00D7187C"/>
    <w:rsid w:val="00D71AAC"/>
    <w:rsid w:val="00D72265"/>
    <w:rsid w:val="00D72469"/>
    <w:rsid w:val="00D72576"/>
    <w:rsid w:val="00D7259B"/>
    <w:rsid w:val="00D7267D"/>
    <w:rsid w:val="00D72740"/>
    <w:rsid w:val="00D73083"/>
    <w:rsid w:val="00D73463"/>
    <w:rsid w:val="00D737A7"/>
    <w:rsid w:val="00D73881"/>
    <w:rsid w:val="00D73B09"/>
    <w:rsid w:val="00D73C0B"/>
    <w:rsid w:val="00D73CA8"/>
    <w:rsid w:val="00D74058"/>
    <w:rsid w:val="00D7429E"/>
    <w:rsid w:val="00D742FE"/>
    <w:rsid w:val="00D746EB"/>
    <w:rsid w:val="00D74A05"/>
    <w:rsid w:val="00D74D2C"/>
    <w:rsid w:val="00D74D40"/>
    <w:rsid w:val="00D75006"/>
    <w:rsid w:val="00D753AF"/>
    <w:rsid w:val="00D7554B"/>
    <w:rsid w:val="00D755C7"/>
    <w:rsid w:val="00D755E9"/>
    <w:rsid w:val="00D755F5"/>
    <w:rsid w:val="00D75759"/>
    <w:rsid w:val="00D758BB"/>
    <w:rsid w:val="00D759EB"/>
    <w:rsid w:val="00D759F3"/>
    <w:rsid w:val="00D7619E"/>
    <w:rsid w:val="00D7621D"/>
    <w:rsid w:val="00D7625B"/>
    <w:rsid w:val="00D7629B"/>
    <w:rsid w:val="00D7631B"/>
    <w:rsid w:val="00D76774"/>
    <w:rsid w:val="00D767ED"/>
    <w:rsid w:val="00D76A5B"/>
    <w:rsid w:val="00D76DD2"/>
    <w:rsid w:val="00D76E7C"/>
    <w:rsid w:val="00D76F2F"/>
    <w:rsid w:val="00D7725F"/>
    <w:rsid w:val="00D77550"/>
    <w:rsid w:val="00D77A86"/>
    <w:rsid w:val="00D77E02"/>
    <w:rsid w:val="00D8040F"/>
    <w:rsid w:val="00D8053D"/>
    <w:rsid w:val="00D80599"/>
    <w:rsid w:val="00D80706"/>
    <w:rsid w:val="00D807B5"/>
    <w:rsid w:val="00D80BAF"/>
    <w:rsid w:val="00D80EE3"/>
    <w:rsid w:val="00D811D3"/>
    <w:rsid w:val="00D8125B"/>
    <w:rsid w:val="00D812E2"/>
    <w:rsid w:val="00D8165A"/>
    <w:rsid w:val="00D8172B"/>
    <w:rsid w:val="00D817F1"/>
    <w:rsid w:val="00D81823"/>
    <w:rsid w:val="00D81838"/>
    <w:rsid w:val="00D81AC8"/>
    <w:rsid w:val="00D81F89"/>
    <w:rsid w:val="00D822ED"/>
    <w:rsid w:val="00D823AB"/>
    <w:rsid w:val="00D8280D"/>
    <w:rsid w:val="00D82BB4"/>
    <w:rsid w:val="00D83257"/>
    <w:rsid w:val="00D83A11"/>
    <w:rsid w:val="00D83ADA"/>
    <w:rsid w:val="00D83AFC"/>
    <w:rsid w:val="00D83C58"/>
    <w:rsid w:val="00D84051"/>
    <w:rsid w:val="00D84057"/>
    <w:rsid w:val="00D840FA"/>
    <w:rsid w:val="00D841EA"/>
    <w:rsid w:val="00D84371"/>
    <w:rsid w:val="00D843A0"/>
    <w:rsid w:val="00D84670"/>
    <w:rsid w:val="00D84A8E"/>
    <w:rsid w:val="00D850C7"/>
    <w:rsid w:val="00D85128"/>
    <w:rsid w:val="00D85358"/>
    <w:rsid w:val="00D85645"/>
    <w:rsid w:val="00D85C3E"/>
    <w:rsid w:val="00D85D88"/>
    <w:rsid w:val="00D85F0A"/>
    <w:rsid w:val="00D85F35"/>
    <w:rsid w:val="00D86033"/>
    <w:rsid w:val="00D8752F"/>
    <w:rsid w:val="00D87571"/>
    <w:rsid w:val="00D87855"/>
    <w:rsid w:val="00D8798C"/>
    <w:rsid w:val="00D87D61"/>
    <w:rsid w:val="00D87E04"/>
    <w:rsid w:val="00D90102"/>
    <w:rsid w:val="00D903A5"/>
    <w:rsid w:val="00D9054E"/>
    <w:rsid w:val="00D90733"/>
    <w:rsid w:val="00D9079B"/>
    <w:rsid w:val="00D90BDC"/>
    <w:rsid w:val="00D9162C"/>
    <w:rsid w:val="00D917F6"/>
    <w:rsid w:val="00D91852"/>
    <w:rsid w:val="00D924EB"/>
    <w:rsid w:val="00D9285E"/>
    <w:rsid w:val="00D931B1"/>
    <w:rsid w:val="00D93670"/>
    <w:rsid w:val="00D936C9"/>
    <w:rsid w:val="00D936E7"/>
    <w:rsid w:val="00D9372A"/>
    <w:rsid w:val="00D937B5"/>
    <w:rsid w:val="00D93874"/>
    <w:rsid w:val="00D93952"/>
    <w:rsid w:val="00D93FBD"/>
    <w:rsid w:val="00D9428A"/>
    <w:rsid w:val="00D9437B"/>
    <w:rsid w:val="00D9453D"/>
    <w:rsid w:val="00D94873"/>
    <w:rsid w:val="00D94CF4"/>
    <w:rsid w:val="00D95410"/>
    <w:rsid w:val="00D959FE"/>
    <w:rsid w:val="00D95E07"/>
    <w:rsid w:val="00D96456"/>
    <w:rsid w:val="00D96647"/>
    <w:rsid w:val="00D967EC"/>
    <w:rsid w:val="00D969ED"/>
    <w:rsid w:val="00D96ADF"/>
    <w:rsid w:val="00D96B1F"/>
    <w:rsid w:val="00D97842"/>
    <w:rsid w:val="00D978C2"/>
    <w:rsid w:val="00D978E3"/>
    <w:rsid w:val="00D97AD3"/>
    <w:rsid w:val="00D97E65"/>
    <w:rsid w:val="00D97F70"/>
    <w:rsid w:val="00DA00AF"/>
    <w:rsid w:val="00DA02A1"/>
    <w:rsid w:val="00DA049C"/>
    <w:rsid w:val="00DA0979"/>
    <w:rsid w:val="00DA09C6"/>
    <w:rsid w:val="00DA116F"/>
    <w:rsid w:val="00DA125F"/>
    <w:rsid w:val="00DA169A"/>
    <w:rsid w:val="00DA16D1"/>
    <w:rsid w:val="00DA1B8B"/>
    <w:rsid w:val="00DA1D59"/>
    <w:rsid w:val="00DA2209"/>
    <w:rsid w:val="00DA2215"/>
    <w:rsid w:val="00DA2431"/>
    <w:rsid w:val="00DA2747"/>
    <w:rsid w:val="00DA2859"/>
    <w:rsid w:val="00DA296C"/>
    <w:rsid w:val="00DA2B21"/>
    <w:rsid w:val="00DA331B"/>
    <w:rsid w:val="00DA3575"/>
    <w:rsid w:val="00DA37E4"/>
    <w:rsid w:val="00DA394F"/>
    <w:rsid w:val="00DA3AAA"/>
    <w:rsid w:val="00DA3B5D"/>
    <w:rsid w:val="00DA3C49"/>
    <w:rsid w:val="00DA3D6A"/>
    <w:rsid w:val="00DA3E8C"/>
    <w:rsid w:val="00DA47B1"/>
    <w:rsid w:val="00DA48FF"/>
    <w:rsid w:val="00DA5377"/>
    <w:rsid w:val="00DA563E"/>
    <w:rsid w:val="00DA60DF"/>
    <w:rsid w:val="00DA6611"/>
    <w:rsid w:val="00DA6A5F"/>
    <w:rsid w:val="00DA6C07"/>
    <w:rsid w:val="00DA6CED"/>
    <w:rsid w:val="00DA6DC1"/>
    <w:rsid w:val="00DA6DFF"/>
    <w:rsid w:val="00DA72FF"/>
    <w:rsid w:val="00DA7387"/>
    <w:rsid w:val="00DA73A7"/>
    <w:rsid w:val="00DA78F0"/>
    <w:rsid w:val="00DA7A3D"/>
    <w:rsid w:val="00DA7A9B"/>
    <w:rsid w:val="00DA7C75"/>
    <w:rsid w:val="00DA7D4E"/>
    <w:rsid w:val="00DA7F88"/>
    <w:rsid w:val="00DB0E89"/>
    <w:rsid w:val="00DB0EB6"/>
    <w:rsid w:val="00DB143D"/>
    <w:rsid w:val="00DB1A5B"/>
    <w:rsid w:val="00DB1ADD"/>
    <w:rsid w:val="00DB1B94"/>
    <w:rsid w:val="00DB1FBB"/>
    <w:rsid w:val="00DB2160"/>
    <w:rsid w:val="00DB22A8"/>
    <w:rsid w:val="00DB243B"/>
    <w:rsid w:val="00DB2624"/>
    <w:rsid w:val="00DB2791"/>
    <w:rsid w:val="00DB2958"/>
    <w:rsid w:val="00DB2EDC"/>
    <w:rsid w:val="00DB356D"/>
    <w:rsid w:val="00DB35A0"/>
    <w:rsid w:val="00DB3C0B"/>
    <w:rsid w:val="00DB3F7F"/>
    <w:rsid w:val="00DB3FE7"/>
    <w:rsid w:val="00DB418A"/>
    <w:rsid w:val="00DB4325"/>
    <w:rsid w:val="00DB456E"/>
    <w:rsid w:val="00DB4727"/>
    <w:rsid w:val="00DB482D"/>
    <w:rsid w:val="00DB49E4"/>
    <w:rsid w:val="00DB4A3E"/>
    <w:rsid w:val="00DB50B5"/>
    <w:rsid w:val="00DB5878"/>
    <w:rsid w:val="00DB5C07"/>
    <w:rsid w:val="00DB6B59"/>
    <w:rsid w:val="00DB6BF3"/>
    <w:rsid w:val="00DB6C75"/>
    <w:rsid w:val="00DB6CD9"/>
    <w:rsid w:val="00DB714D"/>
    <w:rsid w:val="00DB7823"/>
    <w:rsid w:val="00DB7E83"/>
    <w:rsid w:val="00DC0F3F"/>
    <w:rsid w:val="00DC0F58"/>
    <w:rsid w:val="00DC10A0"/>
    <w:rsid w:val="00DC1410"/>
    <w:rsid w:val="00DC1624"/>
    <w:rsid w:val="00DC167B"/>
    <w:rsid w:val="00DC1712"/>
    <w:rsid w:val="00DC18ED"/>
    <w:rsid w:val="00DC1C74"/>
    <w:rsid w:val="00DC1F33"/>
    <w:rsid w:val="00DC2516"/>
    <w:rsid w:val="00DC257A"/>
    <w:rsid w:val="00DC2844"/>
    <w:rsid w:val="00DC2978"/>
    <w:rsid w:val="00DC38DD"/>
    <w:rsid w:val="00DC4A7E"/>
    <w:rsid w:val="00DC4D43"/>
    <w:rsid w:val="00DC4EAD"/>
    <w:rsid w:val="00DC5EC1"/>
    <w:rsid w:val="00DC6507"/>
    <w:rsid w:val="00DC6606"/>
    <w:rsid w:val="00DC66ED"/>
    <w:rsid w:val="00DC6A62"/>
    <w:rsid w:val="00DC72E5"/>
    <w:rsid w:val="00DC7467"/>
    <w:rsid w:val="00DC74BC"/>
    <w:rsid w:val="00DC7847"/>
    <w:rsid w:val="00DC784B"/>
    <w:rsid w:val="00DC7961"/>
    <w:rsid w:val="00DC7A3A"/>
    <w:rsid w:val="00DC7B3F"/>
    <w:rsid w:val="00DC7D1E"/>
    <w:rsid w:val="00DC7FF4"/>
    <w:rsid w:val="00DD027B"/>
    <w:rsid w:val="00DD0650"/>
    <w:rsid w:val="00DD085D"/>
    <w:rsid w:val="00DD0C6E"/>
    <w:rsid w:val="00DD0E1C"/>
    <w:rsid w:val="00DD0FC4"/>
    <w:rsid w:val="00DD1018"/>
    <w:rsid w:val="00DD10E4"/>
    <w:rsid w:val="00DD113E"/>
    <w:rsid w:val="00DD15A1"/>
    <w:rsid w:val="00DD16D9"/>
    <w:rsid w:val="00DD17AD"/>
    <w:rsid w:val="00DD1950"/>
    <w:rsid w:val="00DD20B2"/>
    <w:rsid w:val="00DD23DB"/>
    <w:rsid w:val="00DD28CC"/>
    <w:rsid w:val="00DD2913"/>
    <w:rsid w:val="00DD29AD"/>
    <w:rsid w:val="00DD2A8A"/>
    <w:rsid w:val="00DD2CAD"/>
    <w:rsid w:val="00DD2EF8"/>
    <w:rsid w:val="00DD362A"/>
    <w:rsid w:val="00DD380A"/>
    <w:rsid w:val="00DD3DDB"/>
    <w:rsid w:val="00DD3F91"/>
    <w:rsid w:val="00DD4592"/>
    <w:rsid w:val="00DD49A9"/>
    <w:rsid w:val="00DD4ECE"/>
    <w:rsid w:val="00DD5549"/>
    <w:rsid w:val="00DD5867"/>
    <w:rsid w:val="00DD63C0"/>
    <w:rsid w:val="00DD6579"/>
    <w:rsid w:val="00DD6851"/>
    <w:rsid w:val="00DD6AA9"/>
    <w:rsid w:val="00DD6C64"/>
    <w:rsid w:val="00DD7039"/>
    <w:rsid w:val="00DD75BD"/>
    <w:rsid w:val="00DD7627"/>
    <w:rsid w:val="00DD7E31"/>
    <w:rsid w:val="00DD7F53"/>
    <w:rsid w:val="00DE033B"/>
    <w:rsid w:val="00DE0BA1"/>
    <w:rsid w:val="00DE0C38"/>
    <w:rsid w:val="00DE0EB7"/>
    <w:rsid w:val="00DE10BE"/>
    <w:rsid w:val="00DE118A"/>
    <w:rsid w:val="00DE1583"/>
    <w:rsid w:val="00DE16E7"/>
    <w:rsid w:val="00DE1AF7"/>
    <w:rsid w:val="00DE1BB2"/>
    <w:rsid w:val="00DE1C65"/>
    <w:rsid w:val="00DE1C6F"/>
    <w:rsid w:val="00DE1E2D"/>
    <w:rsid w:val="00DE1FFF"/>
    <w:rsid w:val="00DE235C"/>
    <w:rsid w:val="00DE2639"/>
    <w:rsid w:val="00DE26BD"/>
    <w:rsid w:val="00DE2A8C"/>
    <w:rsid w:val="00DE2C0B"/>
    <w:rsid w:val="00DE317A"/>
    <w:rsid w:val="00DE3318"/>
    <w:rsid w:val="00DE4294"/>
    <w:rsid w:val="00DE4CB7"/>
    <w:rsid w:val="00DE4E30"/>
    <w:rsid w:val="00DE510C"/>
    <w:rsid w:val="00DE6037"/>
    <w:rsid w:val="00DE6362"/>
    <w:rsid w:val="00DE64C4"/>
    <w:rsid w:val="00DE65E1"/>
    <w:rsid w:val="00DE66EA"/>
    <w:rsid w:val="00DE67B3"/>
    <w:rsid w:val="00DE6843"/>
    <w:rsid w:val="00DE687C"/>
    <w:rsid w:val="00DE6A8B"/>
    <w:rsid w:val="00DE6F23"/>
    <w:rsid w:val="00DE6F43"/>
    <w:rsid w:val="00DE6F71"/>
    <w:rsid w:val="00DE6FA6"/>
    <w:rsid w:val="00DE71AB"/>
    <w:rsid w:val="00DE71E1"/>
    <w:rsid w:val="00DE744E"/>
    <w:rsid w:val="00DE775E"/>
    <w:rsid w:val="00DE7764"/>
    <w:rsid w:val="00DE79C4"/>
    <w:rsid w:val="00DE7A32"/>
    <w:rsid w:val="00DE7B58"/>
    <w:rsid w:val="00DE7C0E"/>
    <w:rsid w:val="00DE7CC8"/>
    <w:rsid w:val="00DF01FE"/>
    <w:rsid w:val="00DF0387"/>
    <w:rsid w:val="00DF041D"/>
    <w:rsid w:val="00DF0555"/>
    <w:rsid w:val="00DF0770"/>
    <w:rsid w:val="00DF0780"/>
    <w:rsid w:val="00DF07B7"/>
    <w:rsid w:val="00DF0954"/>
    <w:rsid w:val="00DF0959"/>
    <w:rsid w:val="00DF0B62"/>
    <w:rsid w:val="00DF0E1E"/>
    <w:rsid w:val="00DF1260"/>
    <w:rsid w:val="00DF13F5"/>
    <w:rsid w:val="00DF1489"/>
    <w:rsid w:val="00DF1810"/>
    <w:rsid w:val="00DF1A45"/>
    <w:rsid w:val="00DF1CE6"/>
    <w:rsid w:val="00DF2710"/>
    <w:rsid w:val="00DF2D1E"/>
    <w:rsid w:val="00DF2F06"/>
    <w:rsid w:val="00DF2FB5"/>
    <w:rsid w:val="00DF323F"/>
    <w:rsid w:val="00DF336E"/>
    <w:rsid w:val="00DF357B"/>
    <w:rsid w:val="00DF3BE0"/>
    <w:rsid w:val="00DF3DF6"/>
    <w:rsid w:val="00DF3EC8"/>
    <w:rsid w:val="00DF3F97"/>
    <w:rsid w:val="00DF3FAA"/>
    <w:rsid w:val="00DF418F"/>
    <w:rsid w:val="00DF45E5"/>
    <w:rsid w:val="00DF4753"/>
    <w:rsid w:val="00DF48A6"/>
    <w:rsid w:val="00DF4B9E"/>
    <w:rsid w:val="00DF4BDA"/>
    <w:rsid w:val="00DF4DAD"/>
    <w:rsid w:val="00DF4EE7"/>
    <w:rsid w:val="00DF4F40"/>
    <w:rsid w:val="00DF515E"/>
    <w:rsid w:val="00DF5347"/>
    <w:rsid w:val="00DF57A9"/>
    <w:rsid w:val="00DF5934"/>
    <w:rsid w:val="00DF5C2E"/>
    <w:rsid w:val="00DF5D62"/>
    <w:rsid w:val="00DF5E4C"/>
    <w:rsid w:val="00DF5E95"/>
    <w:rsid w:val="00DF6312"/>
    <w:rsid w:val="00DF649D"/>
    <w:rsid w:val="00DF64FC"/>
    <w:rsid w:val="00DF656F"/>
    <w:rsid w:val="00DF6631"/>
    <w:rsid w:val="00DF66D5"/>
    <w:rsid w:val="00DF66DB"/>
    <w:rsid w:val="00DF6C71"/>
    <w:rsid w:val="00DF7895"/>
    <w:rsid w:val="00E00876"/>
    <w:rsid w:val="00E00DB0"/>
    <w:rsid w:val="00E00F36"/>
    <w:rsid w:val="00E00F46"/>
    <w:rsid w:val="00E010EA"/>
    <w:rsid w:val="00E01198"/>
    <w:rsid w:val="00E011E6"/>
    <w:rsid w:val="00E0146B"/>
    <w:rsid w:val="00E01841"/>
    <w:rsid w:val="00E020A5"/>
    <w:rsid w:val="00E02192"/>
    <w:rsid w:val="00E024CC"/>
    <w:rsid w:val="00E0251E"/>
    <w:rsid w:val="00E025DB"/>
    <w:rsid w:val="00E02E84"/>
    <w:rsid w:val="00E037B6"/>
    <w:rsid w:val="00E037E9"/>
    <w:rsid w:val="00E03B6C"/>
    <w:rsid w:val="00E03CF4"/>
    <w:rsid w:val="00E03E23"/>
    <w:rsid w:val="00E0464C"/>
    <w:rsid w:val="00E04B1E"/>
    <w:rsid w:val="00E04B6B"/>
    <w:rsid w:val="00E04C7D"/>
    <w:rsid w:val="00E04EB2"/>
    <w:rsid w:val="00E0535B"/>
    <w:rsid w:val="00E05469"/>
    <w:rsid w:val="00E05688"/>
    <w:rsid w:val="00E05BC1"/>
    <w:rsid w:val="00E05CE6"/>
    <w:rsid w:val="00E05ECD"/>
    <w:rsid w:val="00E06091"/>
    <w:rsid w:val="00E062EF"/>
    <w:rsid w:val="00E06730"/>
    <w:rsid w:val="00E06F22"/>
    <w:rsid w:val="00E070B5"/>
    <w:rsid w:val="00E0717E"/>
    <w:rsid w:val="00E073A9"/>
    <w:rsid w:val="00E078F3"/>
    <w:rsid w:val="00E07CD4"/>
    <w:rsid w:val="00E07DCB"/>
    <w:rsid w:val="00E100A5"/>
    <w:rsid w:val="00E101FC"/>
    <w:rsid w:val="00E1090C"/>
    <w:rsid w:val="00E1099B"/>
    <w:rsid w:val="00E10D99"/>
    <w:rsid w:val="00E10DFC"/>
    <w:rsid w:val="00E1103C"/>
    <w:rsid w:val="00E11224"/>
    <w:rsid w:val="00E11497"/>
    <w:rsid w:val="00E1217D"/>
    <w:rsid w:val="00E1218C"/>
    <w:rsid w:val="00E1223B"/>
    <w:rsid w:val="00E12448"/>
    <w:rsid w:val="00E12683"/>
    <w:rsid w:val="00E126DE"/>
    <w:rsid w:val="00E128D8"/>
    <w:rsid w:val="00E12AEC"/>
    <w:rsid w:val="00E12DE4"/>
    <w:rsid w:val="00E12E36"/>
    <w:rsid w:val="00E13722"/>
    <w:rsid w:val="00E13771"/>
    <w:rsid w:val="00E13BB8"/>
    <w:rsid w:val="00E13C79"/>
    <w:rsid w:val="00E1405C"/>
    <w:rsid w:val="00E1427E"/>
    <w:rsid w:val="00E14379"/>
    <w:rsid w:val="00E1464E"/>
    <w:rsid w:val="00E149FD"/>
    <w:rsid w:val="00E14A05"/>
    <w:rsid w:val="00E1521C"/>
    <w:rsid w:val="00E1526F"/>
    <w:rsid w:val="00E15402"/>
    <w:rsid w:val="00E15522"/>
    <w:rsid w:val="00E15868"/>
    <w:rsid w:val="00E15C79"/>
    <w:rsid w:val="00E1625E"/>
    <w:rsid w:val="00E162AC"/>
    <w:rsid w:val="00E163F1"/>
    <w:rsid w:val="00E1678D"/>
    <w:rsid w:val="00E1682C"/>
    <w:rsid w:val="00E17028"/>
    <w:rsid w:val="00E17311"/>
    <w:rsid w:val="00E1775C"/>
    <w:rsid w:val="00E17A36"/>
    <w:rsid w:val="00E17B62"/>
    <w:rsid w:val="00E17DD3"/>
    <w:rsid w:val="00E20983"/>
    <w:rsid w:val="00E209A0"/>
    <w:rsid w:val="00E20A16"/>
    <w:rsid w:val="00E20D53"/>
    <w:rsid w:val="00E2105B"/>
    <w:rsid w:val="00E21197"/>
    <w:rsid w:val="00E21307"/>
    <w:rsid w:val="00E213EE"/>
    <w:rsid w:val="00E21B05"/>
    <w:rsid w:val="00E221D5"/>
    <w:rsid w:val="00E22226"/>
    <w:rsid w:val="00E225DC"/>
    <w:rsid w:val="00E22803"/>
    <w:rsid w:val="00E22C60"/>
    <w:rsid w:val="00E22CBF"/>
    <w:rsid w:val="00E22DCA"/>
    <w:rsid w:val="00E2335C"/>
    <w:rsid w:val="00E2338B"/>
    <w:rsid w:val="00E23652"/>
    <w:rsid w:val="00E23CA2"/>
    <w:rsid w:val="00E23D9D"/>
    <w:rsid w:val="00E23ED8"/>
    <w:rsid w:val="00E2400F"/>
    <w:rsid w:val="00E245A9"/>
    <w:rsid w:val="00E24631"/>
    <w:rsid w:val="00E24782"/>
    <w:rsid w:val="00E24A88"/>
    <w:rsid w:val="00E24CB6"/>
    <w:rsid w:val="00E24F95"/>
    <w:rsid w:val="00E25DE7"/>
    <w:rsid w:val="00E25E6F"/>
    <w:rsid w:val="00E25EAC"/>
    <w:rsid w:val="00E2610C"/>
    <w:rsid w:val="00E261A1"/>
    <w:rsid w:val="00E26761"/>
    <w:rsid w:val="00E26B93"/>
    <w:rsid w:val="00E26EDC"/>
    <w:rsid w:val="00E2728F"/>
    <w:rsid w:val="00E2729B"/>
    <w:rsid w:val="00E274D5"/>
    <w:rsid w:val="00E27A86"/>
    <w:rsid w:val="00E300E4"/>
    <w:rsid w:val="00E3012A"/>
    <w:rsid w:val="00E3012F"/>
    <w:rsid w:val="00E30355"/>
    <w:rsid w:val="00E30360"/>
    <w:rsid w:val="00E30697"/>
    <w:rsid w:val="00E307BC"/>
    <w:rsid w:val="00E30BCC"/>
    <w:rsid w:val="00E30CC4"/>
    <w:rsid w:val="00E32210"/>
    <w:rsid w:val="00E3248F"/>
    <w:rsid w:val="00E3298A"/>
    <w:rsid w:val="00E32A47"/>
    <w:rsid w:val="00E32B93"/>
    <w:rsid w:val="00E32C64"/>
    <w:rsid w:val="00E32E78"/>
    <w:rsid w:val="00E32F50"/>
    <w:rsid w:val="00E33401"/>
    <w:rsid w:val="00E334C8"/>
    <w:rsid w:val="00E33770"/>
    <w:rsid w:val="00E33799"/>
    <w:rsid w:val="00E33952"/>
    <w:rsid w:val="00E33CE5"/>
    <w:rsid w:val="00E33DA3"/>
    <w:rsid w:val="00E340DF"/>
    <w:rsid w:val="00E342A8"/>
    <w:rsid w:val="00E3432E"/>
    <w:rsid w:val="00E343E8"/>
    <w:rsid w:val="00E3478A"/>
    <w:rsid w:val="00E349FA"/>
    <w:rsid w:val="00E34B04"/>
    <w:rsid w:val="00E34CEE"/>
    <w:rsid w:val="00E3583A"/>
    <w:rsid w:val="00E35C40"/>
    <w:rsid w:val="00E35C5C"/>
    <w:rsid w:val="00E35E4A"/>
    <w:rsid w:val="00E35E51"/>
    <w:rsid w:val="00E36BF6"/>
    <w:rsid w:val="00E36F8D"/>
    <w:rsid w:val="00E37262"/>
    <w:rsid w:val="00E37802"/>
    <w:rsid w:val="00E378BA"/>
    <w:rsid w:val="00E37F98"/>
    <w:rsid w:val="00E4023E"/>
    <w:rsid w:val="00E40293"/>
    <w:rsid w:val="00E402A6"/>
    <w:rsid w:val="00E403B1"/>
    <w:rsid w:val="00E4065E"/>
    <w:rsid w:val="00E40989"/>
    <w:rsid w:val="00E40D0C"/>
    <w:rsid w:val="00E410A4"/>
    <w:rsid w:val="00E41813"/>
    <w:rsid w:val="00E4203E"/>
    <w:rsid w:val="00E42327"/>
    <w:rsid w:val="00E4257C"/>
    <w:rsid w:val="00E425BF"/>
    <w:rsid w:val="00E425DA"/>
    <w:rsid w:val="00E42B44"/>
    <w:rsid w:val="00E42F6F"/>
    <w:rsid w:val="00E42FCC"/>
    <w:rsid w:val="00E430E7"/>
    <w:rsid w:val="00E431A4"/>
    <w:rsid w:val="00E4340F"/>
    <w:rsid w:val="00E43668"/>
    <w:rsid w:val="00E43AE3"/>
    <w:rsid w:val="00E43CC5"/>
    <w:rsid w:val="00E44042"/>
    <w:rsid w:val="00E443FA"/>
    <w:rsid w:val="00E44615"/>
    <w:rsid w:val="00E44DAF"/>
    <w:rsid w:val="00E44EDF"/>
    <w:rsid w:val="00E45362"/>
    <w:rsid w:val="00E455F5"/>
    <w:rsid w:val="00E456A0"/>
    <w:rsid w:val="00E456E3"/>
    <w:rsid w:val="00E4579E"/>
    <w:rsid w:val="00E45EC1"/>
    <w:rsid w:val="00E460BC"/>
    <w:rsid w:val="00E462AF"/>
    <w:rsid w:val="00E46887"/>
    <w:rsid w:val="00E4743F"/>
    <w:rsid w:val="00E478D8"/>
    <w:rsid w:val="00E47C39"/>
    <w:rsid w:val="00E47DF1"/>
    <w:rsid w:val="00E47E32"/>
    <w:rsid w:val="00E47E73"/>
    <w:rsid w:val="00E47E74"/>
    <w:rsid w:val="00E50079"/>
    <w:rsid w:val="00E50166"/>
    <w:rsid w:val="00E502E4"/>
    <w:rsid w:val="00E503D6"/>
    <w:rsid w:val="00E5051D"/>
    <w:rsid w:val="00E50764"/>
    <w:rsid w:val="00E508CC"/>
    <w:rsid w:val="00E50940"/>
    <w:rsid w:val="00E50DF0"/>
    <w:rsid w:val="00E50F7F"/>
    <w:rsid w:val="00E510B5"/>
    <w:rsid w:val="00E510CC"/>
    <w:rsid w:val="00E51472"/>
    <w:rsid w:val="00E51A96"/>
    <w:rsid w:val="00E51CD7"/>
    <w:rsid w:val="00E52061"/>
    <w:rsid w:val="00E5206C"/>
    <w:rsid w:val="00E530A4"/>
    <w:rsid w:val="00E53711"/>
    <w:rsid w:val="00E539CA"/>
    <w:rsid w:val="00E53D6E"/>
    <w:rsid w:val="00E5405E"/>
    <w:rsid w:val="00E54547"/>
    <w:rsid w:val="00E54755"/>
    <w:rsid w:val="00E54775"/>
    <w:rsid w:val="00E54848"/>
    <w:rsid w:val="00E54A85"/>
    <w:rsid w:val="00E54D3A"/>
    <w:rsid w:val="00E54E64"/>
    <w:rsid w:val="00E54FDD"/>
    <w:rsid w:val="00E55074"/>
    <w:rsid w:val="00E55436"/>
    <w:rsid w:val="00E5544F"/>
    <w:rsid w:val="00E557B6"/>
    <w:rsid w:val="00E55A4C"/>
    <w:rsid w:val="00E55AE2"/>
    <w:rsid w:val="00E55F18"/>
    <w:rsid w:val="00E5605F"/>
    <w:rsid w:val="00E560C4"/>
    <w:rsid w:val="00E56245"/>
    <w:rsid w:val="00E56259"/>
    <w:rsid w:val="00E56684"/>
    <w:rsid w:val="00E56847"/>
    <w:rsid w:val="00E56A85"/>
    <w:rsid w:val="00E56EAB"/>
    <w:rsid w:val="00E5739A"/>
    <w:rsid w:val="00E573DB"/>
    <w:rsid w:val="00E575B6"/>
    <w:rsid w:val="00E5764F"/>
    <w:rsid w:val="00E576CE"/>
    <w:rsid w:val="00E577C9"/>
    <w:rsid w:val="00E57811"/>
    <w:rsid w:val="00E57FA6"/>
    <w:rsid w:val="00E6011A"/>
    <w:rsid w:val="00E602FA"/>
    <w:rsid w:val="00E602FD"/>
    <w:rsid w:val="00E6040D"/>
    <w:rsid w:val="00E606C9"/>
    <w:rsid w:val="00E607E5"/>
    <w:rsid w:val="00E60A7F"/>
    <w:rsid w:val="00E60C4F"/>
    <w:rsid w:val="00E61074"/>
    <w:rsid w:val="00E6123A"/>
    <w:rsid w:val="00E61599"/>
    <w:rsid w:val="00E61F79"/>
    <w:rsid w:val="00E62004"/>
    <w:rsid w:val="00E62329"/>
    <w:rsid w:val="00E62586"/>
    <w:rsid w:val="00E625DA"/>
    <w:rsid w:val="00E62C52"/>
    <w:rsid w:val="00E6301E"/>
    <w:rsid w:val="00E6317F"/>
    <w:rsid w:val="00E6373F"/>
    <w:rsid w:val="00E63EA4"/>
    <w:rsid w:val="00E64086"/>
    <w:rsid w:val="00E6449D"/>
    <w:rsid w:val="00E646A8"/>
    <w:rsid w:val="00E6481F"/>
    <w:rsid w:val="00E6491C"/>
    <w:rsid w:val="00E64E48"/>
    <w:rsid w:val="00E65413"/>
    <w:rsid w:val="00E654A4"/>
    <w:rsid w:val="00E654D2"/>
    <w:rsid w:val="00E6557C"/>
    <w:rsid w:val="00E66093"/>
    <w:rsid w:val="00E6630C"/>
    <w:rsid w:val="00E6647A"/>
    <w:rsid w:val="00E66C2E"/>
    <w:rsid w:val="00E66FC1"/>
    <w:rsid w:val="00E674CB"/>
    <w:rsid w:val="00E677B2"/>
    <w:rsid w:val="00E67CE3"/>
    <w:rsid w:val="00E67DF8"/>
    <w:rsid w:val="00E702B3"/>
    <w:rsid w:val="00E703F1"/>
    <w:rsid w:val="00E703FC"/>
    <w:rsid w:val="00E704D8"/>
    <w:rsid w:val="00E70979"/>
    <w:rsid w:val="00E70BBA"/>
    <w:rsid w:val="00E70CAB"/>
    <w:rsid w:val="00E70FDE"/>
    <w:rsid w:val="00E714AB"/>
    <w:rsid w:val="00E71707"/>
    <w:rsid w:val="00E71861"/>
    <w:rsid w:val="00E718F8"/>
    <w:rsid w:val="00E71A31"/>
    <w:rsid w:val="00E71AF5"/>
    <w:rsid w:val="00E71B8F"/>
    <w:rsid w:val="00E71C9A"/>
    <w:rsid w:val="00E71ED9"/>
    <w:rsid w:val="00E72179"/>
    <w:rsid w:val="00E72226"/>
    <w:rsid w:val="00E7222B"/>
    <w:rsid w:val="00E7238B"/>
    <w:rsid w:val="00E72590"/>
    <w:rsid w:val="00E72BF5"/>
    <w:rsid w:val="00E72FC6"/>
    <w:rsid w:val="00E73069"/>
    <w:rsid w:val="00E738AB"/>
    <w:rsid w:val="00E73DA6"/>
    <w:rsid w:val="00E74056"/>
    <w:rsid w:val="00E741AF"/>
    <w:rsid w:val="00E74594"/>
    <w:rsid w:val="00E74A8B"/>
    <w:rsid w:val="00E74B7D"/>
    <w:rsid w:val="00E74C06"/>
    <w:rsid w:val="00E74DDF"/>
    <w:rsid w:val="00E74F09"/>
    <w:rsid w:val="00E75434"/>
    <w:rsid w:val="00E75624"/>
    <w:rsid w:val="00E75826"/>
    <w:rsid w:val="00E75C70"/>
    <w:rsid w:val="00E75D9E"/>
    <w:rsid w:val="00E75E1D"/>
    <w:rsid w:val="00E76417"/>
    <w:rsid w:val="00E76577"/>
    <w:rsid w:val="00E76700"/>
    <w:rsid w:val="00E76B83"/>
    <w:rsid w:val="00E76FFB"/>
    <w:rsid w:val="00E771A3"/>
    <w:rsid w:val="00E7798F"/>
    <w:rsid w:val="00E779EB"/>
    <w:rsid w:val="00E77DBD"/>
    <w:rsid w:val="00E80042"/>
    <w:rsid w:val="00E8064F"/>
    <w:rsid w:val="00E80751"/>
    <w:rsid w:val="00E807F0"/>
    <w:rsid w:val="00E81A72"/>
    <w:rsid w:val="00E81DF9"/>
    <w:rsid w:val="00E81E93"/>
    <w:rsid w:val="00E82205"/>
    <w:rsid w:val="00E823F3"/>
    <w:rsid w:val="00E82DA1"/>
    <w:rsid w:val="00E82F6B"/>
    <w:rsid w:val="00E8363B"/>
    <w:rsid w:val="00E83674"/>
    <w:rsid w:val="00E8367B"/>
    <w:rsid w:val="00E83CC3"/>
    <w:rsid w:val="00E8404D"/>
    <w:rsid w:val="00E84091"/>
    <w:rsid w:val="00E842EE"/>
    <w:rsid w:val="00E84333"/>
    <w:rsid w:val="00E8436F"/>
    <w:rsid w:val="00E84778"/>
    <w:rsid w:val="00E848C3"/>
    <w:rsid w:val="00E84B30"/>
    <w:rsid w:val="00E84BEF"/>
    <w:rsid w:val="00E84C56"/>
    <w:rsid w:val="00E8511F"/>
    <w:rsid w:val="00E85864"/>
    <w:rsid w:val="00E85955"/>
    <w:rsid w:val="00E85EE2"/>
    <w:rsid w:val="00E86463"/>
    <w:rsid w:val="00E8665E"/>
    <w:rsid w:val="00E86728"/>
    <w:rsid w:val="00E86891"/>
    <w:rsid w:val="00E86A67"/>
    <w:rsid w:val="00E872C3"/>
    <w:rsid w:val="00E87330"/>
    <w:rsid w:val="00E87455"/>
    <w:rsid w:val="00E875D5"/>
    <w:rsid w:val="00E8778B"/>
    <w:rsid w:val="00E8782F"/>
    <w:rsid w:val="00E87B8E"/>
    <w:rsid w:val="00E87C83"/>
    <w:rsid w:val="00E87F80"/>
    <w:rsid w:val="00E87FC2"/>
    <w:rsid w:val="00E907EB"/>
    <w:rsid w:val="00E90890"/>
    <w:rsid w:val="00E908A8"/>
    <w:rsid w:val="00E90998"/>
    <w:rsid w:val="00E90A42"/>
    <w:rsid w:val="00E91289"/>
    <w:rsid w:val="00E91626"/>
    <w:rsid w:val="00E91736"/>
    <w:rsid w:val="00E91BDB"/>
    <w:rsid w:val="00E92076"/>
    <w:rsid w:val="00E921AD"/>
    <w:rsid w:val="00E922F4"/>
    <w:rsid w:val="00E92B67"/>
    <w:rsid w:val="00E92D3D"/>
    <w:rsid w:val="00E92E0C"/>
    <w:rsid w:val="00E92F93"/>
    <w:rsid w:val="00E9311E"/>
    <w:rsid w:val="00E933F0"/>
    <w:rsid w:val="00E9382F"/>
    <w:rsid w:val="00E93963"/>
    <w:rsid w:val="00E939B0"/>
    <w:rsid w:val="00E93B7D"/>
    <w:rsid w:val="00E944C9"/>
    <w:rsid w:val="00E94557"/>
    <w:rsid w:val="00E94641"/>
    <w:rsid w:val="00E94CE2"/>
    <w:rsid w:val="00E94F01"/>
    <w:rsid w:val="00E94F3B"/>
    <w:rsid w:val="00E9526D"/>
    <w:rsid w:val="00E9592C"/>
    <w:rsid w:val="00E95E51"/>
    <w:rsid w:val="00E96019"/>
    <w:rsid w:val="00E96071"/>
    <w:rsid w:val="00E967A7"/>
    <w:rsid w:val="00E967F3"/>
    <w:rsid w:val="00E96CED"/>
    <w:rsid w:val="00E96EAC"/>
    <w:rsid w:val="00E978FC"/>
    <w:rsid w:val="00E97AC3"/>
    <w:rsid w:val="00EA0377"/>
    <w:rsid w:val="00EA05FC"/>
    <w:rsid w:val="00EA0AFF"/>
    <w:rsid w:val="00EA11ED"/>
    <w:rsid w:val="00EA1488"/>
    <w:rsid w:val="00EA14D6"/>
    <w:rsid w:val="00EA2189"/>
    <w:rsid w:val="00EA22CE"/>
    <w:rsid w:val="00EA2324"/>
    <w:rsid w:val="00EA2628"/>
    <w:rsid w:val="00EA3212"/>
    <w:rsid w:val="00EA3363"/>
    <w:rsid w:val="00EA34DD"/>
    <w:rsid w:val="00EA36F6"/>
    <w:rsid w:val="00EA37CB"/>
    <w:rsid w:val="00EA40FC"/>
    <w:rsid w:val="00EA4304"/>
    <w:rsid w:val="00EA443D"/>
    <w:rsid w:val="00EA44EE"/>
    <w:rsid w:val="00EA46FE"/>
    <w:rsid w:val="00EA487A"/>
    <w:rsid w:val="00EA4D99"/>
    <w:rsid w:val="00EA4EA7"/>
    <w:rsid w:val="00EA5258"/>
    <w:rsid w:val="00EA5403"/>
    <w:rsid w:val="00EA57EB"/>
    <w:rsid w:val="00EA58A1"/>
    <w:rsid w:val="00EA597C"/>
    <w:rsid w:val="00EA5DB8"/>
    <w:rsid w:val="00EA605A"/>
    <w:rsid w:val="00EA620A"/>
    <w:rsid w:val="00EA6398"/>
    <w:rsid w:val="00EA6439"/>
    <w:rsid w:val="00EA6A7D"/>
    <w:rsid w:val="00EA6E38"/>
    <w:rsid w:val="00EA7103"/>
    <w:rsid w:val="00EA7295"/>
    <w:rsid w:val="00EA7313"/>
    <w:rsid w:val="00EA74FC"/>
    <w:rsid w:val="00EA7863"/>
    <w:rsid w:val="00EA78BA"/>
    <w:rsid w:val="00EA7BA3"/>
    <w:rsid w:val="00EA7BBF"/>
    <w:rsid w:val="00EA7FB5"/>
    <w:rsid w:val="00EB00C4"/>
    <w:rsid w:val="00EB0118"/>
    <w:rsid w:val="00EB0753"/>
    <w:rsid w:val="00EB0C19"/>
    <w:rsid w:val="00EB0E5A"/>
    <w:rsid w:val="00EB1065"/>
    <w:rsid w:val="00EB143E"/>
    <w:rsid w:val="00EB1465"/>
    <w:rsid w:val="00EB189C"/>
    <w:rsid w:val="00EB2470"/>
    <w:rsid w:val="00EB248C"/>
    <w:rsid w:val="00EB2721"/>
    <w:rsid w:val="00EB2863"/>
    <w:rsid w:val="00EB2B0B"/>
    <w:rsid w:val="00EB2C0C"/>
    <w:rsid w:val="00EB2CB9"/>
    <w:rsid w:val="00EB31E6"/>
    <w:rsid w:val="00EB3283"/>
    <w:rsid w:val="00EB33C4"/>
    <w:rsid w:val="00EB34A7"/>
    <w:rsid w:val="00EB34D3"/>
    <w:rsid w:val="00EB34FA"/>
    <w:rsid w:val="00EB3F3B"/>
    <w:rsid w:val="00EB434F"/>
    <w:rsid w:val="00EB46DB"/>
    <w:rsid w:val="00EB4771"/>
    <w:rsid w:val="00EB4B49"/>
    <w:rsid w:val="00EB4DB3"/>
    <w:rsid w:val="00EB4E38"/>
    <w:rsid w:val="00EB4F36"/>
    <w:rsid w:val="00EB5348"/>
    <w:rsid w:val="00EB59D7"/>
    <w:rsid w:val="00EB5B2E"/>
    <w:rsid w:val="00EB5CE7"/>
    <w:rsid w:val="00EB5F8B"/>
    <w:rsid w:val="00EB615F"/>
    <w:rsid w:val="00EB6302"/>
    <w:rsid w:val="00EB638B"/>
    <w:rsid w:val="00EB6875"/>
    <w:rsid w:val="00EB6995"/>
    <w:rsid w:val="00EB6C2F"/>
    <w:rsid w:val="00EB6DF4"/>
    <w:rsid w:val="00EB7123"/>
    <w:rsid w:val="00EB7386"/>
    <w:rsid w:val="00EB768E"/>
    <w:rsid w:val="00EB7962"/>
    <w:rsid w:val="00EB7AB3"/>
    <w:rsid w:val="00EB7C93"/>
    <w:rsid w:val="00EB7D1E"/>
    <w:rsid w:val="00EC028A"/>
    <w:rsid w:val="00EC02B2"/>
    <w:rsid w:val="00EC0514"/>
    <w:rsid w:val="00EC090F"/>
    <w:rsid w:val="00EC0B8E"/>
    <w:rsid w:val="00EC0C12"/>
    <w:rsid w:val="00EC1807"/>
    <w:rsid w:val="00EC1924"/>
    <w:rsid w:val="00EC1A29"/>
    <w:rsid w:val="00EC1E33"/>
    <w:rsid w:val="00EC2376"/>
    <w:rsid w:val="00EC2ABF"/>
    <w:rsid w:val="00EC2DF8"/>
    <w:rsid w:val="00EC30AC"/>
    <w:rsid w:val="00EC3519"/>
    <w:rsid w:val="00EC357D"/>
    <w:rsid w:val="00EC37FD"/>
    <w:rsid w:val="00EC3925"/>
    <w:rsid w:val="00EC3980"/>
    <w:rsid w:val="00EC3CB5"/>
    <w:rsid w:val="00EC405A"/>
    <w:rsid w:val="00EC40BE"/>
    <w:rsid w:val="00EC425A"/>
    <w:rsid w:val="00EC431A"/>
    <w:rsid w:val="00EC4B81"/>
    <w:rsid w:val="00EC4CBF"/>
    <w:rsid w:val="00EC4CD1"/>
    <w:rsid w:val="00EC4CFD"/>
    <w:rsid w:val="00EC4E44"/>
    <w:rsid w:val="00EC5198"/>
    <w:rsid w:val="00EC520B"/>
    <w:rsid w:val="00EC52B2"/>
    <w:rsid w:val="00EC53A7"/>
    <w:rsid w:val="00EC53E4"/>
    <w:rsid w:val="00EC5495"/>
    <w:rsid w:val="00EC566E"/>
    <w:rsid w:val="00EC61D8"/>
    <w:rsid w:val="00EC645C"/>
    <w:rsid w:val="00EC64CB"/>
    <w:rsid w:val="00EC6C3D"/>
    <w:rsid w:val="00EC70EF"/>
    <w:rsid w:val="00EC745B"/>
    <w:rsid w:val="00EC75A9"/>
    <w:rsid w:val="00EC7635"/>
    <w:rsid w:val="00EC768A"/>
    <w:rsid w:val="00EC77EF"/>
    <w:rsid w:val="00EC7AC6"/>
    <w:rsid w:val="00EC7C5A"/>
    <w:rsid w:val="00ED01C2"/>
    <w:rsid w:val="00ED0211"/>
    <w:rsid w:val="00ED07B2"/>
    <w:rsid w:val="00ED0802"/>
    <w:rsid w:val="00ED096F"/>
    <w:rsid w:val="00ED0D32"/>
    <w:rsid w:val="00ED13D2"/>
    <w:rsid w:val="00ED1789"/>
    <w:rsid w:val="00ED1794"/>
    <w:rsid w:val="00ED1913"/>
    <w:rsid w:val="00ED1F6C"/>
    <w:rsid w:val="00ED2379"/>
    <w:rsid w:val="00ED273A"/>
    <w:rsid w:val="00ED2AFC"/>
    <w:rsid w:val="00ED2BC6"/>
    <w:rsid w:val="00ED2DDB"/>
    <w:rsid w:val="00ED2FCD"/>
    <w:rsid w:val="00ED2FFB"/>
    <w:rsid w:val="00ED3084"/>
    <w:rsid w:val="00ED3497"/>
    <w:rsid w:val="00ED3A3F"/>
    <w:rsid w:val="00ED4074"/>
    <w:rsid w:val="00ED41CB"/>
    <w:rsid w:val="00ED4211"/>
    <w:rsid w:val="00ED47D9"/>
    <w:rsid w:val="00ED4A79"/>
    <w:rsid w:val="00ED4C1E"/>
    <w:rsid w:val="00ED4DAD"/>
    <w:rsid w:val="00ED4F72"/>
    <w:rsid w:val="00ED528A"/>
    <w:rsid w:val="00ED5460"/>
    <w:rsid w:val="00ED5729"/>
    <w:rsid w:val="00ED584C"/>
    <w:rsid w:val="00ED5A8F"/>
    <w:rsid w:val="00ED649A"/>
    <w:rsid w:val="00ED6A46"/>
    <w:rsid w:val="00ED6CB8"/>
    <w:rsid w:val="00ED70C1"/>
    <w:rsid w:val="00ED7175"/>
    <w:rsid w:val="00ED7422"/>
    <w:rsid w:val="00ED743F"/>
    <w:rsid w:val="00ED7B75"/>
    <w:rsid w:val="00ED7BD2"/>
    <w:rsid w:val="00ED7D65"/>
    <w:rsid w:val="00EE0053"/>
    <w:rsid w:val="00EE005A"/>
    <w:rsid w:val="00EE01D7"/>
    <w:rsid w:val="00EE021A"/>
    <w:rsid w:val="00EE05A8"/>
    <w:rsid w:val="00EE071C"/>
    <w:rsid w:val="00EE0DCB"/>
    <w:rsid w:val="00EE0F4C"/>
    <w:rsid w:val="00EE117A"/>
    <w:rsid w:val="00EE11C5"/>
    <w:rsid w:val="00EE15F7"/>
    <w:rsid w:val="00EE1774"/>
    <w:rsid w:val="00EE17C3"/>
    <w:rsid w:val="00EE261D"/>
    <w:rsid w:val="00EE2718"/>
    <w:rsid w:val="00EE2C4E"/>
    <w:rsid w:val="00EE2CDB"/>
    <w:rsid w:val="00EE3018"/>
    <w:rsid w:val="00EE35A8"/>
    <w:rsid w:val="00EE367F"/>
    <w:rsid w:val="00EE3947"/>
    <w:rsid w:val="00EE3D3C"/>
    <w:rsid w:val="00EE4153"/>
    <w:rsid w:val="00EE41E4"/>
    <w:rsid w:val="00EE4287"/>
    <w:rsid w:val="00EE4458"/>
    <w:rsid w:val="00EE45A1"/>
    <w:rsid w:val="00EE46F5"/>
    <w:rsid w:val="00EE4727"/>
    <w:rsid w:val="00EE4CC1"/>
    <w:rsid w:val="00EE5353"/>
    <w:rsid w:val="00EE55F7"/>
    <w:rsid w:val="00EE576A"/>
    <w:rsid w:val="00EE57FA"/>
    <w:rsid w:val="00EE5B15"/>
    <w:rsid w:val="00EE5E66"/>
    <w:rsid w:val="00EE5F55"/>
    <w:rsid w:val="00EE661A"/>
    <w:rsid w:val="00EE66B7"/>
    <w:rsid w:val="00EE6EDC"/>
    <w:rsid w:val="00EE6FD9"/>
    <w:rsid w:val="00EE703D"/>
    <w:rsid w:val="00EE7418"/>
    <w:rsid w:val="00EE75D6"/>
    <w:rsid w:val="00EE7682"/>
    <w:rsid w:val="00EE77FB"/>
    <w:rsid w:val="00EE7D06"/>
    <w:rsid w:val="00EE7D1F"/>
    <w:rsid w:val="00EE7E5E"/>
    <w:rsid w:val="00EE7E8D"/>
    <w:rsid w:val="00EF00A1"/>
    <w:rsid w:val="00EF014E"/>
    <w:rsid w:val="00EF060F"/>
    <w:rsid w:val="00EF1137"/>
    <w:rsid w:val="00EF136F"/>
    <w:rsid w:val="00EF1A8F"/>
    <w:rsid w:val="00EF1B1C"/>
    <w:rsid w:val="00EF1BD2"/>
    <w:rsid w:val="00EF1F93"/>
    <w:rsid w:val="00EF20CC"/>
    <w:rsid w:val="00EF22F3"/>
    <w:rsid w:val="00EF2487"/>
    <w:rsid w:val="00EF2C5D"/>
    <w:rsid w:val="00EF2E3A"/>
    <w:rsid w:val="00EF35D0"/>
    <w:rsid w:val="00EF3CC4"/>
    <w:rsid w:val="00EF3ECD"/>
    <w:rsid w:val="00EF430A"/>
    <w:rsid w:val="00EF4630"/>
    <w:rsid w:val="00EF4B59"/>
    <w:rsid w:val="00EF4B82"/>
    <w:rsid w:val="00EF4F6A"/>
    <w:rsid w:val="00EF5099"/>
    <w:rsid w:val="00EF5651"/>
    <w:rsid w:val="00EF5783"/>
    <w:rsid w:val="00EF5AF5"/>
    <w:rsid w:val="00EF5B54"/>
    <w:rsid w:val="00EF5EDD"/>
    <w:rsid w:val="00EF6145"/>
    <w:rsid w:val="00EF68FA"/>
    <w:rsid w:val="00EF6ABA"/>
    <w:rsid w:val="00EF6AC7"/>
    <w:rsid w:val="00EF6FA0"/>
    <w:rsid w:val="00EF71CF"/>
    <w:rsid w:val="00EF74A9"/>
    <w:rsid w:val="00EF750A"/>
    <w:rsid w:val="00EF7715"/>
    <w:rsid w:val="00EF785E"/>
    <w:rsid w:val="00EF79E8"/>
    <w:rsid w:val="00F00B37"/>
    <w:rsid w:val="00F00D09"/>
    <w:rsid w:val="00F00FF8"/>
    <w:rsid w:val="00F010A7"/>
    <w:rsid w:val="00F0137A"/>
    <w:rsid w:val="00F01A02"/>
    <w:rsid w:val="00F01B8C"/>
    <w:rsid w:val="00F021D5"/>
    <w:rsid w:val="00F0241D"/>
    <w:rsid w:val="00F0269C"/>
    <w:rsid w:val="00F0284F"/>
    <w:rsid w:val="00F028A7"/>
    <w:rsid w:val="00F02C86"/>
    <w:rsid w:val="00F02DF9"/>
    <w:rsid w:val="00F032D6"/>
    <w:rsid w:val="00F03BC2"/>
    <w:rsid w:val="00F03D17"/>
    <w:rsid w:val="00F03EAF"/>
    <w:rsid w:val="00F03F1B"/>
    <w:rsid w:val="00F04441"/>
    <w:rsid w:val="00F04CD9"/>
    <w:rsid w:val="00F04E19"/>
    <w:rsid w:val="00F05160"/>
    <w:rsid w:val="00F05828"/>
    <w:rsid w:val="00F05D68"/>
    <w:rsid w:val="00F05E9F"/>
    <w:rsid w:val="00F06124"/>
    <w:rsid w:val="00F0649E"/>
    <w:rsid w:val="00F0689D"/>
    <w:rsid w:val="00F069F0"/>
    <w:rsid w:val="00F06AF1"/>
    <w:rsid w:val="00F06CC0"/>
    <w:rsid w:val="00F07601"/>
    <w:rsid w:val="00F0791C"/>
    <w:rsid w:val="00F07E5C"/>
    <w:rsid w:val="00F07EEC"/>
    <w:rsid w:val="00F07EF3"/>
    <w:rsid w:val="00F1024C"/>
    <w:rsid w:val="00F10620"/>
    <w:rsid w:val="00F106C9"/>
    <w:rsid w:val="00F10CAB"/>
    <w:rsid w:val="00F10D48"/>
    <w:rsid w:val="00F116F0"/>
    <w:rsid w:val="00F11C0C"/>
    <w:rsid w:val="00F11DA6"/>
    <w:rsid w:val="00F11E02"/>
    <w:rsid w:val="00F11E7C"/>
    <w:rsid w:val="00F1258E"/>
    <w:rsid w:val="00F12706"/>
    <w:rsid w:val="00F12926"/>
    <w:rsid w:val="00F12AC0"/>
    <w:rsid w:val="00F12ADF"/>
    <w:rsid w:val="00F12D0C"/>
    <w:rsid w:val="00F12D6A"/>
    <w:rsid w:val="00F12D6D"/>
    <w:rsid w:val="00F12FA5"/>
    <w:rsid w:val="00F13535"/>
    <w:rsid w:val="00F1365B"/>
    <w:rsid w:val="00F139B7"/>
    <w:rsid w:val="00F13E10"/>
    <w:rsid w:val="00F14053"/>
    <w:rsid w:val="00F14312"/>
    <w:rsid w:val="00F14398"/>
    <w:rsid w:val="00F143D9"/>
    <w:rsid w:val="00F145BA"/>
    <w:rsid w:val="00F14700"/>
    <w:rsid w:val="00F1480D"/>
    <w:rsid w:val="00F14EEB"/>
    <w:rsid w:val="00F14FDC"/>
    <w:rsid w:val="00F152AD"/>
    <w:rsid w:val="00F158FD"/>
    <w:rsid w:val="00F15A7B"/>
    <w:rsid w:val="00F15C05"/>
    <w:rsid w:val="00F1609C"/>
    <w:rsid w:val="00F160CF"/>
    <w:rsid w:val="00F16616"/>
    <w:rsid w:val="00F16B4D"/>
    <w:rsid w:val="00F16BA6"/>
    <w:rsid w:val="00F16E9C"/>
    <w:rsid w:val="00F1725B"/>
    <w:rsid w:val="00F1757A"/>
    <w:rsid w:val="00F178D7"/>
    <w:rsid w:val="00F17B68"/>
    <w:rsid w:val="00F20059"/>
    <w:rsid w:val="00F200F5"/>
    <w:rsid w:val="00F20314"/>
    <w:rsid w:val="00F203E4"/>
    <w:rsid w:val="00F20463"/>
    <w:rsid w:val="00F21055"/>
    <w:rsid w:val="00F2153B"/>
    <w:rsid w:val="00F216A8"/>
    <w:rsid w:val="00F21AB0"/>
    <w:rsid w:val="00F2219F"/>
    <w:rsid w:val="00F2234B"/>
    <w:rsid w:val="00F223AC"/>
    <w:rsid w:val="00F225F3"/>
    <w:rsid w:val="00F22701"/>
    <w:rsid w:val="00F22971"/>
    <w:rsid w:val="00F22A15"/>
    <w:rsid w:val="00F22DC7"/>
    <w:rsid w:val="00F2315A"/>
    <w:rsid w:val="00F232F0"/>
    <w:rsid w:val="00F234F5"/>
    <w:rsid w:val="00F235BF"/>
    <w:rsid w:val="00F238CA"/>
    <w:rsid w:val="00F2399B"/>
    <w:rsid w:val="00F23A01"/>
    <w:rsid w:val="00F23E7F"/>
    <w:rsid w:val="00F23E95"/>
    <w:rsid w:val="00F243A3"/>
    <w:rsid w:val="00F24A1A"/>
    <w:rsid w:val="00F24AE9"/>
    <w:rsid w:val="00F250D4"/>
    <w:rsid w:val="00F25236"/>
    <w:rsid w:val="00F25478"/>
    <w:rsid w:val="00F25CED"/>
    <w:rsid w:val="00F25D75"/>
    <w:rsid w:val="00F25FF2"/>
    <w:rsid w:val="00F260B0"/>
    <w:rsid w:val="00F2619C"/>
    <w:rsid w:val="00F26204"/>
    <w:rsid w:val="00F2634E"/>
    <w:rsid w:val="00F2635F"/>
    <w:rsid w:val="00F26493"/>
    <w:rsid w:val="00F269A4"/>
    <w:rsid w:val="00F26D92"/>
    <w:rsid w:val="00F2710F"/>
    <w:rsid w:val="00F271B1"/>
    <w:rsid w:val="00F2723B"/>
    <w:rsid w:val="00F272AD"/>
    <w:rsid w:val="00F274C7"/>
    <w:rsid w:val="00F274CF"/>
    <w:rsid w:val="00F27BFF"/>
    <w:rsid w:val="00F27C91"/>
    <w:rsid w:val="00F30856"/>
    <w:rsid w:val="00F308BE"/>
    <w:rsid w:val="00F30EB5"/>
    <w:rsid w:val="00F314E7"/>
    <w:rsid w:val="00F3159E"/>
    <w:rsid w:val="00F31F2F"/>
    <w:rsid w:val="00F3205F"/>
    <w:rsid w:val="00F32184"/>
    <w:rsid w:val="00F321D5"/>
    <w:rsid w:val="00F32314"/>
    <w:rsid w:val="00F324B4"/>
    <w:rsid w:val="00F32A54"/>
    <w:rsid w:val="00F32B5D"/>
    <w:rsid w:val="00F32EF4"/>
    <w:rsid w:val="00F32F22"/>
    <w:rsid w:val="00F331E0"/>
    <w:rsid w:val="00F333B0"/>
    <w:rsid w:val="00F33428"/>
    <w:rsid w:val="00F335FF"/>
    <w:rsid w:val="00F33AB4"/>
    <w:rsid w:val="00F33D36"/>
    <w:rsid w:val="00F341D1"/>
    <w:rsid w:val="00F34457"/>
    <w:rsid w:val="00F345B5"/>
    <w:rsid w:val="00F34611"/>
    <w:rsid w:val="00F34762"/>
    <w:rsid w:val="00F349D7"/>
    <w:rsid w:val="00F34EDA"/>
    <w:rsid w:val="00F3541F"/>
    <w:rsid w:val="00F35527"/>
    <w:rsid w:val="00F35569"/>
    <w:rsid w:val="00F35708"/>
    <w:rsid w:val="00F357CC"/>
    <w:rsid w:val="00F35925"/>
    <w:rsid w:val="00F359E0"/>
    <w:rsid w:val="00F35B39"/>
    <w:rsid w:val="00F35BDD"/>
    <w:rsid w:val="00F35BEF"/>
    <w:rsid w:val="00F35D50"/>
    <w:rsid w:val="00F3615F"/>
    <w:rsid w:val="00F3625F"/>
    <w:rsid w:val="00F36454"/>
    <w:rsid w:val="00F36A39"/>
    <w:rsid w:val="00F36AD8"/>
    <w:rsid w:val="00F36BFD"/>
    <w:rsid w:val="00F36CC2"/>
    <w:rsid w:val="00F36DF4"/>
    <w:rsid w:val="00F36F2C"/>
    <w:rsid w:val="00F37360"/>
    <w:rsid w:val="00F3741A"/>
    <w:rsid w:val="00F3771A"/>
    <w:rsid w:val="00F3790B"/>
    <w:rsid w:val="00F37B46"/>
    <w:rsid w:val="00F37C66"/>
    <w:rsid w:val="00F37C74"/>
    <w:rsid w:val="00F40052"/>
    <w:rsid w:val="00F4010B"/>
    <w:rsid w:val="00F404B7"/>
    <w:rsid w:val="00F40748"/>
    <w:rsid w:val="00F408CC"/>
    <w:rsid w:val="00F4187D"/>
    <w:rsid w:val="00F41989"/>
    <w:rsid w:val="00F419A8"/>
    <w:rsid w:val="00F41FBC"/>
    <w:rsid w:val="00F4207E"/>
    <w:rsid w:val="00F4231A"/>
    <w:rsid w:val="00F424E8"/>
    <w:rsid w:val="00F42C0A"/>
    <w:rsid w:val="00F42C20"/>
    <w:rsid w:val="00F42F53"/>
    <w:rsid w:val="00F42FF7"/>
    <w:rsid w:val="00F43128"/>
    <w:rsid w:val="00F432DD"/>
    <w:rsid w:val="00F43314"/>
    <w:rsid w:val="00F433ED"/>
    <w:rsid w:val="00F434CE"/>
    <w:rsid w:val="00F43632"/>
    <w:rsid w:val="00F4379C"/>
    <w:rsid w:val="00F43A71"/>
    <w:rsid w:val="00F43A9A"/>
    <w:rsid w:val="00F44302"/>
    <w:rsid w:val="00F4442E"/>
    <w:rsid w:val="00F444DF"/>
    <w:rsid w:val="00F449B3"/>
    <w:rsid w:val="00F45214"/>
    <w:rsid w:val="00F45330"/>
    <w:rsid w:val="00F45355"/>
    <w:rsid w:val="00F458AC"/>
    <w:rsid w:val="00F45DA1"/>
    <w:rsid w:val="00F45F5A"/>
    <w:rsid w:val="00F45F99"/>
    <w:rsid w:val="00F46052"/>
    <w:rsid w:val="00F46277"/>
    <w:rsid w:val="00F4633E"/>
    <w:rsid w:val="00F463D9"/>
    <w:rsid w:val="00F465C6"/>
    <w:rsid w:val="00F46984"/>
    <w:rsid w:val="00F46C4C"/>
    <w:rsid w:val="00F46CEB"/>
    <w:rsid w:val="00F471A4"/>
    <w:rsid w:val="00F473D9"/>
    <w:rsid w:val="00F47499"/>
    <w:rsid w:val="00F474BB"/>
    <w:rsid w:val="00F475B5"/>
    <w:rsid w:val="00F47991"/>
    <w:rsid w:val="00F47A64"/>
    <w:rsid w:val="00F47D43"/>
    <w:rsid w:val="00F47E37"/>
    <w:rsid w:val="00F47F3E"/>
    <w:rsid w:val="00F50B62"/>
    <w:rsid w:val="00F50BF1"/>
    <w:rsid w:val="00F50FE7"/>
    <w:rsid w:val="00F511FC"/>
    <w:rsid w:val="00F513B6"/>
    <w:rsid w:val="00F51556"/>
    <w:rsid w:val="00F51587"/>
    <w:rsid w:val="00F516A1"/>
    <w:rsid w:val="00F51796"/>
    <w:rsid w:val="00F51836"/>
    <w:rsid w:val="00F51A6F"/>
    <w:rsid w:val="00F51AF2"/>
    <w:rsid w:val="00F51D7E"/>
    <w:rsid w:val="00F51F02"/>
    <w:rsid w:val="00F51F91"/>
    <w:rsid w:val="00F52022"/>
    <w:rsid w:val="00F527AE"/>
    <w:rsid w:val="00F52C05"/>
    <w:rsid w:val="00F52F27"/>
    <w:rsid w:val="00F535D4"/>
    <w:rsid w:val="00F53853"/>
    <w:rsid w:val="00F53C41"/>
    <w:rsid w:val="00F53FB1"/>
    <w:rsid w:val="00F54352"/>
    <w:rsid w:val="00F5450C"/>
    <w:rsid w:val="00F5457C"/>
    <w:rsid w:val="00F5476E"/>
    <w:rsid w:val="00F54D15"/>
    <w:rsid w:val="00F54D36"/>
    <w:rsid w:val="00F552BC"/>
    <w:rsid w:val="00F55730"/>
    <w:rsid w:val="00F55ADC"/>
    <w:rsid w:val="00F55E68"/>
    <w:rsid w:val="00F56252"/>
    <w:rsid w:val="00F56399"/>
    <w:rsid w:val="00F56691"/>
    <w:rsid w:val="00F566A6"/>
    <w:rsid w:val="00F56788"/>
    <w:rsid w:val="00F56939"/>
    <w:rsid w:val="00F56BD4"/>
    <w:rsid w:val="00F56F73"/>
    <w:rsid w:val="00F5760A"/>
    <w:rsid w:val="00F576F1"/>
    <w:rsid w:val="00F577AC"/>
    <w:rsid w:val="00F578E5"/>
    <w:rsid w:val="00F579C8"/>
    <w:rsid w:val="00F57E30"/>
    <w:rsid w:val="00F57EEF"/>
    <w:rsid w:val="00F57F07"/>
    <w:rsid w:val="00F6016A"/>
    <w:rsid w:val="00F602A3"/>
    <w:rsid w:val="00F608D8"/>
    <w:rsid w:val="00F608E9"/>
    <w:rsid w:val="00F60C5C"/>
    <w:rsid w:val="00F60CE7"/>
    <w:rsid w:val="00F6109D"/>
    <w:rsid w:val="00F613AE"/>
    <w:rsid w:val="00F619BB"/>
    <w:rsid w:val="00F61B69"/>
    <w:rsid w:val="00F62A70"/>
    <w:rsid w:val="00F62ADA"/>
    <w:rsid w:val="00F62E17"/>
    <w:rsid w:val="00F63856"/>
    <w:rsid w:val="00F63B01"/>
    <w:rsid w:val="00F641B9"/>
    <w:rsid w:val="00F64588"/>
    <w:rsid w:val="00F64A29"/>
    <w:rsid w:val="00F64BC1"/>
    <w:rsid w:val="00F64CA4"/>
    <w:rsid w:val="00F64D02"/>
    <w:rsid w:val="00F64D7C"/>
    <w:rsid w:val="00F64E14"/>
    <w:rsid w:val="00F6501E"/>
    <w:rsid w:val="00F65183"/>
    <w:rsid w:val="00F653A0"/>
    <w:rsid w:val="00F657A8"/>
    <w:rsid w:val="00F658B6"/>
    <w:rsid w:val="00F65B72"/>
    <w:rsid w:val="00F65C82"/>
    <w:rsid w:val="00F65E4D"/>
    <w:rsid w:val="00F65EC0"/>
    <w:rsid w:val="00F662BE"/>
    <w:rsid w:val="00F665CC"/>
    <w:rsid w:val="00F668B8"/>
    <w:rsid w:val="00F66ADD"/>
    <w:rsid w:val="00F66E16"/>
    <w:rsid w:val="00F66E3C"/>
    <w:rsid w:val="00F66FE9"/>
    <w:rsid w:val="00F670D9"/>
    <w:rsid w:val="00F670DB"/>
    <w:rsid w:val="00F672BA"/>
    <w:rsid w:val="00F67A4F"/>
    <w:rsid w:val="00F67B4D"/>
    <w:rsid w:val="00F67BEC"/>
    <w:rsid w:val="00F67BED"/>
    <w:rsid w:val="00F67CD0"/>
    <w:rsid w:val="00F67FAF"/>
    <w:rsid w:val="00F70171"/>
    <w:rsid w:val="00F70285"/>
    <w:rsid w:val="00F702A2"/>
    <w:rsid w:val="00F70610"/>
    <w:rsid w:val="00F70637"/>
    <w:rsid w:val="00F70862"/>
    <w:rsid w:val="00F7126E"/>
    <w:rsid w:val="00F713B7"/>
    <w:rsid w:val="00F713C6"/>
    <w:rsid w:val="00F713E8"/>
    <w:rsid w:val="00F71C42"/>
    <w:rsid w:val="00F71D4D"/>
    <w:rsid w:val="00F71EC6"/>
    <w:rsid w:val="00F71FB9"/>
    <w:rsid w:val="00F72497"/>
    <w:rsid w:val="00F7272E"/>
    <w:rsid w:val="00F7296A"/>
    <w:rsid w:val="00F72DDB"/>
    <w:rsid w:val="00F731EF"/>
    <w:rsid w:val="00F733DE"/>
    <w:rsid w:val="00F740E0"/>
    <w:rsid w:val="00F7452A"/>
    <w:rsid w:val="00F74B64"/>
    <w:rsid w:val="00F74E3B"/>
    <w:rsid w:val="00F75C04"/>
    <w:rsid w:val="00F75D42"/>
    <w:rsid w:val="00F7611F"/>
    <w:rsid w:val="00F76283"/>
    <w:rsid w:val="00F7635E"/>
    <w:rsid w:val="00F76365"/>
    <w:rsid w:val="00F76589"/>
    <w:rsid w:val="00F77006"/>
    <w:rsid w:val="00F770B3"/>
    <w:rsid w:val="00F772C3"/>
    <w:rsid w:val="00F77305"/>
    <w:rsid w:val="00F7751E"/>
    <w:rsid w:val="00F7794B"/>
    <w:rsid w:val="00F77AF1"/>
    <w:rsid w:val="00F77E83"/>
    <w:rsid w:val="00F77F67"/>
    <w:rsid w:val="00F8002A"/>
    <w:rsid w:val="00F80153"/>
    <w:rsid w:val="00F8033F"/>
    <w:rsid w:val="00F806FF"/>
    <w:rsid w:val="00F8088E"/>
    <w:rsid w:val="00F80A6F"/>
    <w:rsid w:val="00F80EEF"/>
    <w:rsid w:val="00F8104D"/>
    <w:rsid w:val="00F812BE"/>
    <w:rsid w:val="00F8137F"/>
    <w:rsid w:val="00F81419"/>
    <w:rsid w:val="00F8175D"/>
    <w:rsid w:val="00F81768"/>
    <w:rsid w:val="00F817BB"/>
    <w:rsid w:val="00F81828"/>
    <w:rsid w:val="00F8199E"/>
    <w:rsid w:val="00F81D0E"/>
    <w:rsid w:val="00F81DE0"/>
    <w:rsid w:val="00F81EA9"/>
    <w:rsid w:val="00F824E3"/>
    <w:rsid w:val="00F8270E"/>
    <w:rsid w:val="00F828C2"/>
    <w:rsid w:val="00F83410"/>
    <w:rsid w:val="00F83575"/>
    <w:rsid w:val="00F83655"/>
    <w:rsid w:val="00F83A7D"/>
    <w:rsid w:val="00F83B52"/>
    <w:rsid w:val="00F83C23"/>
    <w:rsid w:val="00F83FC3"/>
    <w:rsid w:val="00F8419F"/>
    <w:rsid w:val="00F844F3"/>
    <w:rsid w:val="00F84685"/>
    <w:rsid w:val="00F84CE8"/>
    <w:rsid w:val="00F855A5"/>
    <w:rsid w:val="00F859F2"/>
    <w:rsid w:val="00F85C81"/>
    <w:rsid w:val="00F85F6A"/>
    <w:rsid w:val="00F860A6"/>
    <w:rsid w:val="00F860C9"/>
    <w:rsid w:val="00F86247"/>
    <w:rsid w:val="00F8651A"/>
    <w:rsid w:val="00F866B2"/>
    <w:rsid w:val="00F869C9"/>
    <w:rsid w:val="00F86ACA"/>
    <w:rsid w:val="00F87079"/>
    <w:rsid w:val="00F870B9"/>
    <w:rsid w:val="00F87183"/>
    <w:rsid w:val="00F87B38"/>
    <w:rsid w:val="00F87C54"/>
    <w:rsid w:val="00F87C61"/>
    <w:rsid w:val="00F90025"/>
    <w:rsid w:val="00F900A7"/>
    <w:rsid w:val="00F901A3"/>
    <w:rsid w:val="00F902FF"/>
    <w:rsid w:val="00F904B3"/>
    <w:rsid w:val="00F905D7"/>
    <w:rsid w:val="00F90E12"/>
    <w:rsid w:val="00F9103C"/>
    <w:rsid w:val="00F916FC"/>
    <w:rsid w:val="00F91748"/>
    <w:rsid w:val="00F91A7A"/>
    <w:rsid w:val="00F920B6"/>
    <w:rsid w:val="00F921E2"/>
    <w:rsid w:val="00F92468"/>
    <w:rsid w:val="00F9254F"/>
    <w:rsid w:val="00F92600"/>
    <w:rsid w:val="00F927B0"/>
    <w:rsid w:val="00F928CE"/>
    <w:rsid w:val="00F92ABE"/>
    <w:rsid w:val="00F92E02"/>
    <w:rsid w:val="00F92F21"/>
    <w:rsid w:val="00F92F66"/>
    <w:rsid w:val="00F932AF"/>
    <w:rsid w:val="00F934C7"/>
    <w:rsid w:val="00F93984"/>
    <w:rsid w:val="00F939E1"/>
    <w:rsid w:val="00F9422D"/>
    <w:rsid w:val="00F949B7"/>
    <w:rsid w:val="00F94B50"/>
    <w:rsid w:val="00F94E4B"/>
    <w:rsid w:val="00F950B8"/>
    <w:rsid w:val="00F9516C"/>
    <w:rsid w:val="00F952C0"/>
    <w:rsid w:val="00F953A4"/>
    <w:rsid w:val="00F955B1"/>
    <w:rsid w:val="00F9560D"/>
    <w:rsid w:val="00F95666"/>
    <w:rsid w:val="00F9567E"/>
    <w:rsid w:val="00F957AC"/>
    <w:rsid w:val="00F957FE"/>
    <w:rsid w:val="00F95F0E"/>
    <w:rsid w:val="00F96030"/>
    <w:rsid w:val="00F964AF"/>
    <w:rsid w:val="00F96663"/>
    <w:rsid w:val="00F966D4"/>
    <w:rsid w:val="00F96AB0"/>
    <w:rsid w:val="00F96C23"/>
    <w:rsid w:val="00F96D29"/>
    <w:rsid w:val="00F96D83"/>
    <w:rsid w:val="00F96E23"/>
    <w:rsid w:val="00F97117"/>
    <w:rsid w:val="00F9725E"/>
    <w:rsid w:val="00F97567"/>
    <w:rsid w:val="00F97579"/>
    <w:rsid w:val="00F9777D"/>
    <w:rsid w:val="00F97CE5"/>
    <w:rsid w:val="00F97E18"/>
    <w:rsid w:val="00FA02B7"/>
    <w:rsid w:val="00FA0566"/>
    <w:rsid w:val="00FA09AB"/>
    <w:rsid w:val="00FA0B87"/>
    <w:rsid w:val="00FA0C86"/>
    <w:rsid w:val="00FA0DFC"/>
    <w:rsid w:val="00FA107B"/>
    <w:rsid w:val="00FA1152"/>
    <w:rsid w:val="00FA125E"/>
    <w:rsid w:val="00FA1278"/>
    <w:rsid w:val="00FA1468"/>
    <w:rsid w:val="00FA1DBD"/>
    <w:rsid w:val="00FA218D"/>
    <w:rsid w:val="00FA222E"/>
    <w:rsid w:val="00FA27F7"/>
    <w:rsid w:val="00FA2C1F"/>
    <w:rsid w:val="00FA3552"/>
    <w:rsid w:val="00FA3755"/>
    <w:rsid w:val="00FA3A84"/>
    <w:rsid w:val="00FA3ADE"/>
    <w:rsid w:val="00FA3E1A"/>
    <w:rsid w:val="00FA419D"/>
    <w:rsid w:val="00FA4A58"/>
    <w:rsid w:val="00FA4A86"/>
    <w:rsid w:val="00FA4AE2"/>
    <w:rsid w:val="00FA4C8F"/>
    <w:rsid w:val="00FA50D2"/>
    <w:rsid w:val="00FA5137"/>
    <w:rsid w:val="00FA635A"/>
    <w:rsid w:val="00FA6388"/>
    <w:rsid w:val="00FA6758"/>
    <w:rsid w:val="00FA6C0B"/>
    <w:rsid w:val="00FA6E33"/>
    <w:rsid w:val="00FA70B4"/>
    <w:rsid w:val="00FA75A4"/>
    <w:rsid w:val="00FA7862"/>
    <w:rsid w:val="00FA79AE"/>
    <w:rsid w:val="00FA7C16"/>
    <w:rsid w:val="00FB029A"/>
    <w:rsid w:val="00FB04CA"/>
    <w:rsid w:val="00FB0C23"/>
    <w:rsid w:val="00FB0EE5"/>
    <w:rsid w:val="00FB0FC0"/>
    <w:rsid w:val="00FB1095"/>
    <w:rsid w:val="00FB144A"/>
    <w:rsid w:val="00FB15D6"/>
    <w:rsid w:val="00FB1A05"/>
    <w:rsid w:val="00FB1BE2"/>
    <w:rsid w:val="00FB1D19"/>
    <w:rsid w:val="00FB1D23"/>
    <w:rsid w:val="00FB1F11"/>
    <w:rsid w:val="00FB1F6B"/>
    <w:rsid w:val="00FB1FF4"/>
    <w:rsid w:val="00FB25B8"/>
    <w:rsid w:val="00FB26F9"/>
    <w:rsid w:val="00FB2A5F"/>
    <w:rsid w:val="00FB2BC8"/>
    <w:rsid w:val="00FB2CFD"/>
    <w:rsid w:val="00FB34F8"/>
    <w:rsid w:val="00FB3911"/>
    <w:rsid w:val="00FB3B58"/>
    <w:rsid w:val="00FB3EBC"/>
    <w:rsid w:val="00FB4048"/>
    <w:rsid w:val="00FB4212"/>
    <w:rsid w:val="00FB42E9"/>
    <w:rsid w:val="00FB489C"/>
    <w:rsid w:val="00FB4A1B"/>
    <w:rsid w:val="00FB4C31"/>
    <w:rsid w:val="00FB4F83"/>
    <w:rsid w:val="00FB515D"/>
    <w:rsid w:val="00FB52A3"/>
    <w:rsid w:val="00FB5839"/>
    <w:rsid w:val="00FB584F"/>
    <w:rsid w:val="00FB670B"/>
    <w:rsid w:val="00FB673E"/>
    <w:rsid w:val="00FB6880"/>
    <w:rsid w:val="00FB6CED"/>
    <w:rsid w:val="00FB7303"/>
    <w:rsid w:val="00FB7547"/>
    <w:rsid w:val="00FB77BB"/>
    <w:rsid w:val="00FB77D7"/>
    <w:rsid w:val="00FB77DB"/>
    <w:rsid w:val="00FB7B19"/>
    <w:rsid w:val="00FB7D24"/>
    <w:rsid w:val="00FC004B"/>
    <w:rsid w:val="00FC01FC"/>
    <w:rsid w:val="00FC0225"/>
    <w:rsid w:val="00FC0276"/>
    <w:rsid w:val="00FC0379"/>
    <w:rsid w:val="00FC0902"/>
    <w:rsid w:val="00FC098B"/>
    <w:rsid w:val="00FC0C9D"/>
    <w:rsid w:val="00FC0DE9"/>
    <w:rsid w:val="00FC0E93"/>
    <w:rsid w:val="00FC10FE"/>
    <w:rsid w:val="00FC1122"/>
    <w:rsid w:val="00FC1195"/>
    <w:rsid w:val="00FC1416"/>
    <w:rsid w:val="00FC17B7"/>
    <w:rsid w:val="00FC1A4B"/>
    <w:rsid w:val="00FC1EDC"/>
    <w:rsid w:val="00FC1F41"/>
    <w:rsid w:val="00FC2035"/>
    <w:rsid w:val="00FC21A4"/>
    <w:rsid w:val="00FC21E1"/>
    <w:rsid w:val="00FC2250"/>
    <w:rsid w:val="00FC23B0"/>
    <w:rsid w:val="00FC2615"/>
    <w:rsid w:val="00FC2835"/>
    <w:rsid w:val="00FC2D50"/>
    <w:rsid w:val="00FC35C3"/>
    <w:rsid w:val="00FC378B"/>
    <w:rsid w:val="00FC3A08"/>
    <w:rsid w:val="00FC3C86"/>
    <w:rsid w:val="00FC3D33"/>
    <w:rsid w:val="00FC3D92"/>
    <w:rsid w:val="00FC3DD4"/>
    <w:rsid w:val="00FC4334"/>
    <w:rsid w:val="00FC49C0"/>
    <w:rsid w:val="00FC4D88"/>
    <w:rsid w:val="00FC4E2D"/>
    <w:rsid w:val="00FC4F62"/>
    <w:rsid w:val="00FC5171"/>
    <w:rsid w:val="00FC52D4"/>
    <w:rsid w:val="00FC55C7"/>
    <w:rsid w:val="00FC55FD"/>
    <w:rsid w:val="00FC5A97"/>
    <w:rsid w:val="00FC5C38"/>
    <w:rsid w:val="00FC5DEC"/>
    <w:rsid w:val="00FC6B2E"/>
    <w:rsid w:val="00FC6BFF"/>
    <w:rsid w:val="00FC6C0A"/>
    <w:rsid w:val="00FC6C21"/>
    <w:rsid w:val="00FC6E4F"/>
    <w:rsid w:val="00FC6ED6"/>
    <w:rsid w:val="00FC7E64"/>
    <w:rsid w:val="00FD05E2"/>
    <w:rsid w:val="00FD08FE"/>
    <w:rsid w:val="00FD0AF2"/>
    <w:rsid w:val="00FD0E4A"/>
    <w:rsid w:val="00FD139B"/>
    <w:rsid w:val="00FD17AD"/>
    <w:rsid w:val="00FD18F9"/>
    <w:rsid w:val="00FD1A05"/>
    <w:rsid w:val="00FD1C98"/>
    <w:rsid w:val="00FD1CD5"/>
    <w:rsid w:val="00FD1E5F"/>
    <w:rsid w:val="00FD21BD"/>
    <w:rsid w:val="00FD21C0"/>
    <w:rsid w:val="00FD2A5D"/>
    <w:rsid w:val="00FD3138"/>
    <w:rsid w:val="00FD333E"/>
    <w:rsid w:val="00FD3559"/>
    <w:rsid w:val="00FD3C5E"/>
    <w:rsid w:val="00FD420A"/>
    <w:rsid w:val="00FD424D"/>
    <w:rsid w:val="00FD4274"/>
    <w:rsid w:val="00FD440A"/>
    <w:rsid w:val="00FD461C"/>
    <w:rsid w:val="00FD489A"/>
    <w:rsid w:val="00FD4954"/>
    <w:rsid w:val="00FD4A4A"/>
    <w:rsid w:val="00FD4AA4"/>
    <w:rsid w:val="00FD51A0"/>
    <w:rsid w:val="00FD51D1"/>
    <w:rsid w:val="00FD52F9"/>
    <w:rsid w:val="00FD5316"/>
    <w:rsid w:val="00FD54CD"/>
    <w:rsid w:val="00FD5515"/>
    <w:rsid w:val="00FD560F"/>
    <w:rsid w:val="00FD5C89"/>
    <w:rsid w:val="00FD5F67"/>
    <w:rsid w:val="00FD616A"/>
    <w:rsid w:val="00FD6228"/>
    <w:rsid w:val="00FD6265"/>
    <w:rsid w:val="00FD62E3"/>
    <w:rsid w:val="00FD63AA"/>
    <w:rsid w:val="00FD6DEF"/>
    <w:rsid w:val="00FD6F63"/>
    <w:rsid w:val="00FD6FB8"/>
    <w:rsid w:val="00FD7681"/>
    <w:rsid w:val="00FD79EB"/>
    <w:rsid w:val="00FD7BA7"/>
    <w:rsid w:val="00FD7E15"/>
    <w:rsid w:val="00FD7E23"/>
    <w:rsid w:val="00FE05D7"/>
    <w:rsid w:val="00FE067F"/>
    <w:rsid w:val="00FE079D"/>
    <w:rsid w:val="00FE07B9"/>
    <w:rsid w:val="00FE0968"/>
    <w:rsid w:val="00FE0B34"/>
    <w:rsid w:val="00FE0CC2"/>
    <w:rsid w:val="00FE1106"/>
    <w:rsid w:val="00FE1539"/>
    <w:rsid w:val="00FE1B6B"/>
    <w:rsid w:val="00FE1BEA"/>
    <w:rsid w:val="00FE2023"/>
    <w:rsid w:val="00FE24BC"/>
    <w:rsid w:val="00FE253D"/>
    <w:rsid w:val="00FE2C2C"/>
    <w:rsid w:val="00FE2E82"/>
    <w:rsid w:val="00FE2F9F"/>
    <w:rsid w:val="00FE2FAF"/>
    <w:rsid w:val="00FE3140"/>
    <w:rsid w:val="00FE333A"/>
    <w:rsid w:val="00FE3C48"/>
    <w:rsid w:val="00FE4064"/>
    <w:rsid w:val="00FE4985"/>
    <w:rsid w:val="00FE4B46"/>
    <w:rsid w:val="00FE4C0A"/>
    <w:rsid w:val="00FE4FB3"/>
    <w:rsid w:val="00FE5082"/>
    <w:rsid w:val="00FE5246"/>
    <w:rsid w:val="00FE5291"/>
    <w:rsid w:val="00FE5476"/>
    <w:rsid w:val="00FE558C"/>
    <w:rsid w:val="00FE55E4"/>
    <w:rsid w:val="00FE5C2D"/>
    <w:rsid w:val="00FE5C96"/>
    <w:rsid w:val="00FE5F36"/>
    <w:rsid w:val="00FE6399"/>
    <w:rsid w:val="00FE6703"/>
    <w:rsid w:val="00FE6D88"/>
    <w:rsid w:val="00FE6E3A"/>
    <w:rsid w:val="00FE769A"/>
    <w:rsid w:val="00FE771F"/>
    <w:rsid w:val="00FE784B"/>
    <w:rsid w:val="00FE7890"/>
    <w:rsid w:val="00FE7F1E"/>
    <w:rsid w:val="00FF036D"/>
    <w:rsid w:val="00FF04C6"/>
    <w:rsid w:val="00FF0C01"/>
    <w:rsid w:val="00FF0C7B"/>
    <w:rsid w:val="00FF171A"/>
    <w:rsid w:val="00FF1F9D"/>
    <w:rsid w:val="00FF2124"/>
    <w:rsid w:val="00FF2484"/>
    <w:rsid w:val="00FF298F"/>
    <w:rsid w:val="00FF2DAD"/>
    <w:rsid w:val="00FF2F66"/>
    <w:rsid w:val="00FF30A2"/>
    <w:rsid w:val="00FF323A"/>
    <w:rsid w:val="00FF32F4"/>
    <w:rsid w:val="00FF38FE"/>
    <w:rsid w:val="00FF43DC"/>
    <w:rsid w:val="00FF4618"/>
    <w:rsid w:val="00FF4740"/>
    <w:rsid w:val="00FF47E7"/>
    <w:rsid w:val="00FF4B05"/>
    <w:rsid w:val="00FF4F51"/>
    <w:rsid w:val="00FF504C"/>
    <w:rsid w:val="00FF512E"/>
    <w:rsid w:val="00FF571E"/>
    <w:rsid w:val="00FF5C31"/>
    <w:rsid w:val="00FF5E21"/>
    <w:rsid w:val="00FF5E82"/>
    <w:rsid w:val="00FF5EB3"/>
    <w:rsid w:val="00FF6395"/>
    <w:rsid w:val="00FF66E6"/>
    <w:rsid w:val="00FF7258"/>
    <w:rsid w:val="00FF7294"/>
    <w:rsid w:val="00FF7544"/>
    <w:rsid w:val="00FF75B8"/>
    <w:rsid w:val="00FF780D"/>
    <w:rsid w:val="00FF7B59"/>
    <w:rsid w:val="00FF7DB6"/>
    <w:rsid w:val="00FF7F6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942F2"/>
  <w15:docId w15:val="{7C8CEADF-5769-41B9-9AEE-71FAB4BCF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38D1"/>
  </w:style>
  <w:style w:type="paragraph" w:styleId="Heading1">
    <w:name w:val="heading 1"/>
    <w:basedOn w:val="Normal"/>
    <w:next w:val="Normal"/>
    <w:link w:val="Heading1Char"/>
    <w:uiPriority w:val="9"/>
    <w:qFormat/>
    <w:rsid w:val="004526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BC2E9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63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97AD3"/>
    <w:pPr>
      <w:ind w:left="720"/>
      <w:contextualSpacing/>
    </w:pPr>
  </w:style>
  <w:style w:type="paragraph" w:styleId="FootnoteText">
    <w:name w:val="footnote text"/>
    <w:basedOn w:val="Normal"/>
    <w:link w:val="FootnoteTextChar"/>
    <w:uiPriority w:val="99"/>
    <w:unhideWhenUsed/>
    <w:rsid w:val="00887015"/>
    <w:pPr>
      <w:spacing w:after="0" w:line="240" w:lineRule="auto"/>
    </w:pPr>
    <w:rPr>
      <w:sz w:val="20"/>
      <w:szCs w:val="20"/>
    </w:rPr>
  </w:style>
  <w:style w:type="character" w:customStyle="1" w:styleId="FootnoteTextChar">
    <w:name w:val="Footnote Text Char"/>
    <w:basedOn w:val="DefaultParagraphFont"/>
    <w:link w:val="FootnoteText"/>
    <w:uiPriority w:val="99"/>
    <w:rsid w:val="00887015"/>
    <w:rPr>
      <w:sz w:val="20"/>
      <w:szCs w:val="20"/>
    </w:rPr>
  </w:style>
  <w:style w:type="character" w:styleId="FootnoteReference">
    <w:name w:val="footnote reference"/>
    <w:basedOn w:val="DefaultParagraphFont"/>
    <w:uiPriority w:val="99"/>
    <w:semiHidden/>
    <w:unhideWhenUsed/>
    <w:rsid w:val="00887015"/>
    <w:rPr>
      <w:vertAlign w:val="superscript"/>
    </w:rPr>
  </w:style>
  <w:style w:type="paragraph" w:styleId="Header">
    <w:name w:val="header"/>
    <w:basedOn w:val="Normal"/>
    <w:link w:val="HeaderChar"/>
    <w:uiPriority w:val="99"/>
    <w:unhideWhenUsed/>
    <w:rsid w:val="00961C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C02"/>
  </w:style>
  <w:style w:type="paragraph" w:styleId="Footer">
    <w:name w:val="footer"/>
    <w:basedOn w:val="Normal"/>
    <w:link w:val="FooterChar"/>
    <w:uiPriority w:val="99"/>
    <w:unhideWhenUsed/>
    <w:rsid w:val="00961C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C02"/>
  </w:style>
  <w:style w:type="paragraph" w:styleId="BalloonText">
    <w:name w:val="Balloon Text"/>
    <w:basedOn w:val="Normal"/>
    <w:link w:val="BalloonTextChar"/>
    <w:uiPriority w:val="99"/>
    <w:semiHidden/>
    <w:unhideWhenUsed/>
    <w:rsid w:val="002A62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24F"/>
    <w:rPr>
      <w:rFonts w:ascii="Tahoma" w:hAnsi="Tahoma" w:cs="Tahoma"/>
      <w:sz w:val="16"/>
      <w:szCs w:val="16"/>
    </w:rPr>
  </w:style>
  <w:style w:type="paragraph" w:styleId="BodyText">
    <w:name w:val="Body Text"/>
    <w:basedOn w:val="Normal"/>
    <w:link w:val="BodyTextChar"/>
    <w:uiPriority w:val="99"/>
    <w:semiHidden/>
    <w:unhideWhenUsed/>
    <w:rsid w:val="00137E9D"/>
    <w:pPr>
      <w:spacing w:after="120"/>
    </w:pPr>
  </w:style>
  <w:style w:type="character" w:customStyle="1" w:styleId="BodyTextChar">
    <w:name w:val="Body Text Char"/>
    <w:basedOn w:val="DefaultParagraphFont"/>
    <w:link w:val="BodyText"/>
    <w:uiPriority w:val="99"/>
    <w:semiHidden/>
    <w:rsid w:val="00137E9D"/>
  </w:style>
  <w:style w:type="paragraph" w:styleId="TOC1">
    <w:name w:val="toc 1"/>
    <w:basedOn w:val="Normal"/>
    <w:next w:val="Normal"/>
    <w:autoRedefine/>
    <w:uiPriority w:val="39"/>
    <w:unhideWhenUsed/>
    <w:rsid w:val="0072276B"/>
    <w:pPr>
      <w:tabs>
        <w:tab w:val="right" w:leader="dot" w:pos="9350"/>
      </w:tabs>
      <w:bidi/>
      <w:spacing w:after="100"/>
    </w:pPr>
    <w:rPr>
      <w:rFonts w:cs="Guttman Mantova"/>
      <w:b/>
      <w:bCs/>
      <w:noProof/>
      <w:lang w:bidi="he-IL"/>
    </w:rPr>
  </w:style>
  <w:style w:type="paragraph" w:styleId="TOCHeading">
    <w:name w:val="TOC Heading"/>
    <w:basedOn w:val="Heading1"/>
    <w:next w:val="Normal"/>
    <w:uiPriority w:val="39"/>
    <w:unhideWhenUsed/>
    <w:qFormat/>
    <w:rsid w:val="0045263E"/>
    <w:pPr>
      <w:outlineLvl w:val="9"/>
    </w:pPr>
    <w:rPr>
      <w:lang w:eastAsia="ja-JP"/>
    </w:rPr>
  </w:style>
  <w:style w:type="character" w:styleId="Hyperlink">
    <w:name w:val="Hyperlink"/>
    <w:basedOn w:val="DefaultParagraphFont"/>
    <w:uiPriority w:val="99"/>
    <w:unhideWhenUsed/>
    <w:rsid w:val="0045263E"/>
    <w:rPr>
      <w:color w:val="0000FF" w:themeColor="hyperlink"/>
      <w:u w:val="single"/>
    </w:rPr>
  </w:style>
  <w:style w:type="paragraph" w:styleId="TOC2">
    <w:name w:val="toc 2"/>
    <w:basedOn w:val="Normal"/>
    <w:next w:val="Normal"/>
    <w:autoRedefine/>
    <w:uiPriority w:val="39"/>
    <w:unhideWhenUsed/>
    <w:rsid w:val="00392550"/>
    <w:pPr>
      <w:spacing w:after="100"/>
      <w:ind w:left="220"/>
    </w:pPr>
    <w:rPr>
      <w:rFonts w:eastAsiaTheme="minorEastAsia"/>
      <w:lang w:bidi="he-IL"/>
    </w:rPr>
  </w:style>
  <w:style w:type="paragraph" w:styleId="TOC3">
    <w:name w:val="toc 3"/>
    <w:basedOn w:val="Normal"/>
    <w:next w:val="Normal"/>
    <w:autoRedefine/>
    <w:uiPriority w:val="39"/>
    <w:unhideWhenUsed/>
    <w:rsid w:val="00392550"/>
    <w:pPr>
      <w:spacing w:after="100"/>
      <w:ind w:left="440"/>
    </w:pPr>
    <w:rPr>
      <w:rFonts w:eastAsiaTheme="minorEastAsia"/>
      <w:lang w:bidi="he-IL"/>
    </w:rPr>
  </w:style>
  <w:style w:type="paragraph" w:styleId="TOC4">
    <w:name w:val="toc 4"/>
    <w:basedOn w:val="Normal"/>
    <w:next w:val="Normal"/>
    <w:autoRedefine/>
    <w:uiPriority w:val="39"/>
    <w:unhideWhenUsed/>
    <w:rsid w:val="00392550"/>
    <w:pPr>
      <w:spacing w:after="100"/>
      <w:ind w:left="660"/>
    </w:pPr>
    <w:rPr>
      <w:rFonts w:eastAsiaTheme="minorEastAsia"/>
      <w:lang w:bidi="he-IL"/>
    </w:rPr>
  </w:style>
  <w:style w:type="paragraph" w:styleId="TOC5">
    <w:name w:val="toc 5"/>
    <w:basedOn w:val="Normal"/>
    <w:next w:val="Normal"/>
    <w:autoRedefine/>
    <w:uiPriority w:val="39"/>
    <w:unhideWhenUsed/>
    <w:rsid w:val="00392550"/>
    <w:pPr>
      <w:spacing w:after="100"/>
      <w:ind w:left="880"/>
    </w:pPr>
    <w:rPr>
      <w:rFonts w:eastAsiaTheme="minorEastAsia"/>
      <w:lang w:bidi="he-IL"/>
    </w:rPr>
  </w:style>
  <w:style w:type="paragraph" w:styleId="TOC6">
    <w:name w:val="toc 6"/>
    <w:basedOn w:val="Normal"/>
    <w:next w:val="Normal"/>
    <w:autoRedefine/>
    <w:uiPriority w:val="39"/>
    <w:unhideWhenUsed/>
    <w:rsid w:val="00392550"/>
    <w:pPr>
      <w:spacing w:after="100"/>
      <w:ind w:left="1100"/>
    </w:pPr>
    <w:rPr>
      <w:rFonts w:eastAsiaTheme="minorEastAsia"/>
      <w:lang w:bidi="he-IL"/>
    </w:rPr>
  </w:style>
  <w:style w:type="paragraph" w:styleId="TOC7">
    <w:name w:val="toc 7"/>
    <w:basedOn w:val="Normal"/>
    <w:next w:val="Normal"/>
    <w:autoRedefine/>
    <w:uiPriority w:val="39"/>
    <w:unhideWhenUsed/>
    <w:rsid w:val="00392550"/>
    <w:pPr>
      <w:spacing w:after="100"/>
      <w:ind w:left="1320"/>
    </w:pPr>
    <w:rPr>
      <w:rFonts w:eastAsiaTheme="minorEastAsia"/>
      <w:lang w:bidi="he-IL"/>
    </w:rPr>
  </w:style>
  <w:style w:type="paragraph" w:styleId="TOC8">
    <w:name w:val="toc 8"/>
    <w:basedOn w:val="Normal"/>
    <w:next w:val="Normal"/>
    <w:autoRedefine/>
    <w:uiPriority w:val="39"/>
    <w:unhideWhenUsed/>
    <w:rsid w:val="00392550"/>
    <w:pPr>
      <w:spacing w:after="100"/>
      <w:ind w:left="1540"/>
    </w:pPr>
    <w:rPr>
      <w:rFonts w:eastAsiaTheme="minorEastAsia"/>
      <w:lang w:bidi="he-IL"/>
    </w:rPr>
  </w:style>
  <w:style w:type="paragraph" w:styleId="TOC9">
    <w:name w:val="toc 9"/>
    <w:basedOn w:val="Normal"/>
    <w:next w:val="Normal"/>
    <w:autoRedefine/>
    <w:uiPriority w:val="39"/>
    <w:unhideWhenUsed/>
    <w:rsid w:val="00392550"/>
    <w:pPr>
      <w:spacing w:after="100"/>
      <w:ind w:left="1760"/>
    </w:pPr>
    <w:rPr>
      <w:rFonts w:eastAsiaTheme="minorEastAsia"/>
      <w:lang w:bidi="he-IL"/>
    </w:rPr>
  </w:style>
  <w:style w:type="table" w:styleId="TableGrid">
    <w:name w:val="Table Grid"/>
    <w:basedOn w:val="TableNormal"/>
    <w:uiPriority w:val="59"/>
    <w:rsid w:val="00384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B69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B69BD"/>
    <w:rPr>
      <w:sz w:val="20"/>
      <w:szCs w:val="20"/>
    </w:rPr>
  </w:style>
  <w:style w:type="character" w:styleId="EndnoteReference">
    <w:name w:val="endnote reference"/>
    <w:basedOn w:val="DefaultParagraphFont"/>
    <w:uiPriority w:val="99"/>
    <w:semiHidden/>
    <w:unhideWhenUsed/>
    <w:rsid w:val="002B69BD"/>
    <w:rPr>
      <w:vertAlign w:val="superscript"/>
    </w:rPr>
  </w:style>
  <w:style w:type="character" w:styleId="CommentReference">
    <w:name w:val="annotation reference"/>
    <w:basedOn w:val="DefaultParagraphFont"/>
    <w:uiPriority w:val="99"/>
    <w:semiHidden/>
    <w:unhideWhenUsed/>
    <w:rsid w:val="00FA6758"/>
    <w:rPr>
      <w:sz w:val="16"/>
      <w:szCs w:val="16"/>
    </w:rPr>
  </w:style>
  <w:style w:type="paragraph" w:styleId="CommentText">
    <w:name w:val="annotation text"/>
    <w:basedOn w:val="Normal"/>
    <w:link w:val="CommentTextChar"/>
    <w:uiPriority w:val="99"/>
    <w:semiHidden/>
    <w:unhideWhenUsed/>
    <w:rsid w:val="00FA6758"/>
    <w:pPr>
      <w:spacing w:line="240" w:lineRule="auto"/>
    </w:pPr>
    <w:rPr>
      <w:sz w:val="20"/>
      <w:szCs w:val="20"/>
    </w:rPr>
  </w:style>
  <w:style w:type="character" w:customStyle="1" w:styleId="CommentTextChar">
    <w:name w:val="Comment Text Char"/>
    <w:basedOn w:val="DefaultParagraphFont"/>
    <w:link w:val="CommentText"/>
    <w:uiPriority w:val="99"/>
    <w:semiHidden/>
    <w:rsid w:val="00FA6758"/>
    <w:rPr>
      <w:sz w:val="20"/>
      <w:szCs w:val="20"/>
    </w:rPr>
  </w:style>
  <w:style w:type="paragraph" w:styleId="CommentSubject">
    <w:name w:val="annotation subject"/>
    <w:basedOn w:val="CommentText"/>
    <w:next w:val="CommentText"/>
    <w:link w:val="CommentSubjectChar"/>
    <w:uiPriority w:val="99"/>
    <w:semiHidden/>
    <w:unhideWhenUsed/>
    <w:rsid w:val="00FA6758"/>
    <w:rPr>
      <w:b/>
      <w:bCs/>
    </w:rPr>
  </w:style>
  <w:style w:type="character" w:customStyle="1" w:styleId="CommentSubjectChar">
    <w:name w:val="Comment Subject Char"/>
    <w:basedOn w:val="CommentTextChar"/>
    <w:link w:val="CommentSubject"/>
    <w:uiPriority w:val="99"/>
    <w:semiHidden/>
    <w:rsid w:val="00FA6758"/>
    <w:rPr>
      <w:b/>
      <w:bCs/>
      <w:sz w:val="20"/>
      <w:szCs w:val="20"/>
    </w:rPr>
  </w:style>
  <w:style w:type="character" w:styleId="FollowedHyperlink">
    <w:name w:val="FollowedHyperlink"/>
    <w:basedOn w:val="DefaultParagraphFont"/>
    <w:uiPriority w:val="99"/>
    <w:semiHidden/>
    <w:unhideWhenUsed/>
    <w:rsid w:val="00E55074"/>
    <w:rPr>
      <w:color w:val="800080" w:themeColor="followedHyperlink"/>
      <w:u w:val="single"/>
    </w:rPr>
  </w:style>
  <w:style w:type="character" w:styleId="LineNumber">
    <w:name w:val="line number"/>
    <w:basedOn w:val="DefaultParagraphFont"/>
    <w:uiPriority w:val="99"/>
    <w:semiHidden/>
    <w:unhideWhenUsed/>
    <w:rsid w:val="00081446"/>
  </w:style>
  <w:style w:type="paragraph" w:styleId="NoSpacing">
    <w:name w:val="No Spacing"/>
    <w:link w:val="NoSpacingChar"/>
    <w:uiPriority w:val="1"/>
    <w:qFormat/>
    <w:rsid w:val="00E47E73"/>
    <w:pPr>
      <w:spacing w:after="0" w:line="240" w:lineRule="auto"/>
    </w:pPr>
    <w:rPr>
      <w:rFonts w:eastAsiaTheme="minorEastAsia"/>
    </w:rPr>
  </w:style>
  <w:style w:type="character" w:customStyle="1" w:styleId="NoSpacingChar">
    <w:name w:val="No Spacing Char"/>
    <w:basedOn w:val="DefaultParagraphFont"/>
    <w:link w:val="NoSpacing"/>
    <w:uiPriority w:val="1"/>
    <w:rsid w:val="00E47E73"/>
    <w:rPr>
      <w:rFonts w:eastAsiaTheme="minorEastAsia"/>
    </w:rPr>
  </w:style>
  <w:style w:type="paragraph" w:styleId="Bibliography">
    <w:name w:val="Bibliography"/>
    <w:basedOn w:val="Normal"/>
    <w:next w:val="Normal"/>
    <w:uiPriority w:val="37"/>
    <w:unhideWhenUsed/>
    <w:rsid w:val="004A70EC"/>
  </w:style>
  <w:style w:type="paragraph" w:styleId="Index1">
    <w:name w:val="index 1"/>
    <w:basedOn w:val="Normal"/>
    <w:next w:val="Normal"/>
    <w:autoRedefine/>
    <w:uiPriority w:val="99"/>
    <w:unhideWhenUsed/>
    <w:rsid w:val="00F2315A"/>
    <w:pPr>
      <w:keepNext/>
      <w:tabs>
        <w:tab w:val="right" w:pos="4143"/>
      </w:tabs>
      <w:bidi/>
      <w:spacing w:after="0"/>
      <w:ind w:left="216" w:hanging="216"/>
    </w:pPr>
    <w:rPr>
      <w:rFonts w:cs="Guttman Drogolin"/>
      <w:b/>
      <w:bCs/>
      <w:noProof/>
      <w:sz w:val="20"/>
    </w:rPr>
  </w:style>
  <w:style w:type="paragraph" w:styleId="Index2">
    <w:name w:val="index 2"/>
    <w:basedOn w:val="Normal"/>
    <w:next w:val="Normal"/>
    <w:autoRedefine/>
    <w:uiPriority w:val="99"/>
    <w:unhideWhenUsed/>
    <w:rsid w:val="00730ECD"/>
    <w:pPr>
      <w:tabs>
        <w:tab w:val="right" w:pos="4143"/>
      </w:tabs>
      <w:bidi/>
      <w:spacing w:after="0"/>
      <w:ind w:left="440" w:hanging="220"/>
      <w:jc w:val="both"/>
    </w:pPr>
    <w:rPr>
      <w:rFonts w:cs="Guttman Drogolin"/>
      <w:noProof/>
      <w:sz w:val="18"/>
      <w:szCs w:val="18"/>
    </w:rPr>
  </w:style>
  <w:style w:type="paragraph" w:styleId="Index3">
    <w:name w:val="index 3"/>
    <w:basedOn w:val="Normal"/>
    <w:next w:val="Normal"/>
    <w:autoRedefine/>
    <w:uiPriority w:val="99"/>
    <w:unhideWhenUsed/>
    <w:rsid w:val="006D31BE"/>
    <w:pPr>
      <w:bidi/>
      <w:spacing w:after="0"/>
      <w:ind w:left="660" w:hanging="220"/>
    </w:pPr>
    <w:rPr>
      <w:rFonts w:cstheme="minorHAnsi"/>
      <w:sz w:val="18"/>
      <w:szCs w:val="21"/>
    </w:rPr>
  </w:style>
  <w:style w:type="paragraph" w:styleId="Index4">
    <w:name w:val="index 4"/>
    <w:basedOn w:val="Normal"/>
    <w:next w:val="Normal"/>
    <w:autoRedefine/>
    <w:uiPriority w:val="99"/>
    <w:unhideWhenUsed/>
    <w:rsid w:val="006D31BE"/>
    <w:pPr>
      <w:bidi/>
      <w:spacing w:after="0"/>
      <w:ind w:left="880" w:hanging="220"/>
    </w:pPr>
    <w:rPr>
      <w:rFonts w:cstheme="minorHAnsi"/>
      <w:sz w:val="18"/>
      <w:szCs w:val="21"/>
    </w:rPr>
  </w:style>
  <w:style w:type="paragraph" w:styleId="Index5">
    <w:name w:val="index 5"/>
    <w:basedOn w:val="Normal"/>
    <w:next w:val="Normal"/>
    <w:autoRedefine/>
    <w:uiPriority w:val="99"/>
    <w:unhideWhenUsed/>
    <w:rsid w:val="006D31BE"/>
    <w:pPr>
      <w:bidi/>
      <w:spacing w:after="0"/>
      <w:ind w:left="1100" w:hanging="220"/>
    </w:pPr>
    <w:rPr>
      <w:rFonts w:cstheme="minorHAnsi"/>
      <w:sz w:val="18"/>
      <w:szCs w:val="21"/>
    </w:rPr>
  </w:style>
  <w:style w:type="paragraph" w:styleId="Index6">
    <w:name w:val="index 6"/>
    <w:basedOn w:val="Normal"/>
    <w:next w:val="Normal"/>
    <w:autoRedefine/>
    <w:uiPriority w:val="99"/>
    <w:unhideWhenUsed/>
    <w:rsid w:val="006D31BE"/>
    <w:pPr>
      <w:bidi/>
      <w:spacing w:after="0"/>
      <w:ind w:left="1320" w:hanging="220"/>
    </w:pPr>
    <w:rPr>
      <w:rFonts w:cstheme="minorHAnsi"/>
      <w:sz w:val="18"/>
      <w:szCs w:val="21"/>
    </w:rPr>
  </w:style>
  <w:style w:type="paragraph" w:styleId="Index7">
    <w:name w:val="index 7"/>
    <w:basedOn w:val="Normal"/>
    <w:next w:val="Normal"/>
    <w:autoRedefine/>
    <w:uiPriority w:val="99"/>
    <w:unhideWhenUsed/>
    <w:rsid w:val="006D31BE"/>
    <w:pPr>
      <w:bidi/>
      <w:spacing w:after="0"/>
      <w:ind w:left="1540" w:hanging="220"/>
    </w:pPr>
    <w:rPr>
      <w:rFonts w:cstheme="minorHAnsi"/>
      <w:sz w:val="18"/>
      <w:szCs w:val="21"/>
    </w:rPr>
  </w:style>
  <w:style w:type="paragraph" w:styleId="Index8">
    <w:name w:val="index 8"/>
    <w:basedOn w:val="Normal"/>
    <w:next w:val="Normal"/>
    <w:autoRedefine/>
    <w:uiPriority w:val="99"/>
    <w:unhideWhenUsed/>
    <w:rsid w:val="006D31BE"/>
    <w:pPr>
      <w:bidi/>
      <w:spacing w:after="0"/>
      <w:ind w:left="1760" w:hanging="220"/>
    </w:pPr>
    <w:rPr>
      <w:rFonts w:cstheme="minorHAnsi"/>
      <w:sz w:val="18"/>
      <w:szCs w:val="21"/>
    </w:rPr>
  </w:style>
  <w:style w:type="paragraph" w:styleId="Index9">
    <w:name w:val="index 9"/>
    <w:basedOn w:val="Normal"/>
    <w:next w:val="Normal"/>
    <w:autoRedefine/>
    <w:uiPriority w:val="99"/>
    <w:unhideWhenUsed/>
    <w:rsid w:val="006D31BE"/>
    <w:pPr>
      <w:bidi/>
      <w:spacing w:after="0"/>
      <w:ind w:left="1980" w:hanging="220"/>
    </w:pPr>
    <w:rPr>
      <w:rFonts w:cstheme="minorHAnsi"/>
      <w:sz w:val="18"/>
      <w:szCs w:val="21"/>
    </w:rPr>
  </w:style>
  <w:style w:type="paragraph" w:styleId="IndexHeading">
    <w:name w:val="index heading"/>
    <w:basedOn w:val="Normal"/>
    <w:next w:val="Index1"/>
    <w:uiPriority w:val="99"/>
    <w:unhideWhenUsed/>
    <w:rsid w:val="006D31BE"/>
    <w:pPr>
      <w:pBdr>
        <w:top w:val="double" w:sz="6" w:space="0" w:color="auto" w:shadow="1"/>
        <w:left w:val="double" w:sz="6" w:space="0" w:color="auto" w:shadow="1"/>
        <w:bottom w:val="double" w:sz="6" w:space="0" w:color="auto" w:shadow="1"/>
        <w:right w:val="double" w:sz="6" w:space="0" w:color="auto" w:shadow="1"/>
      </w:pBdr>
      <w:bidi/>
      <w:spacing w:before="240" w:after="120"/>
      <w:jc w:val="center"/>
    </w:pPr>
    <w:rPr>
      <w:rFonts w:asciiTheme="majorHAnsi" w:hAnsiTheme="majorHAnsi" w:cs="Times New Roman"/>
      <w:b/>
      <w:bCs/>
      <w:szCs w:val="26"/>
    </w:rPr>
  </w:style>
  <w:style w:type="character" w:customStyle="1" w:styleId="Heading3Char">
    <w:name w:val="Heading 3 Char"/>
    <w:basedOn w:val="DefaultParagraphFont"/>
    <w:link w:val="Heading3"/>
    <w:uiPriority w:val="9"/>
    <w:semiHidden/>
    <w:rsid w:val="00BC2E9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012006">
      <w:bodyDiv w:val="1"/>
      <w:marLeft w:val="0"/>
      <w:marRight w:val="0"/>
      <w:marTop w:val="0"/>
      <w:marBottom w:val="0"/>
      <w:divBdr>
        <w:top w:val="none" w:sz="0" w:space="0" w:color="auto"/>
        <w:left w:val="none" w:sz="0" w:space="0" w:color="auto"/>
        <w:bottom w:val="none" w:sz="0" w:space="0" w:color="auto"/>
        <w:right w:val="none" w:sz="0" w:space="0" w:color="auto"/>
      </w:divBdr>
    </w:div>
    <w:div w:id="530538301">
      <w:bodyDiv w:val="1"/>
      <w:marLeft w:val="0"/>
      <w:marRight w:val="0"/>
      <w:marTop w:val="0"/>
      <w:marBottom w:val="0"/>
      <w:divBdr>
        <w:top w:val="none" w:sz="0" w:space="0" w:color="auto"/>
        <w:left w:val="none" w:sz="0" w:space="0" w:color="auto"/>
        <w:bottom w:val="none" w:sz="0" w:space="0" w:color="auto"/>
        <w:right w:val="none" w:sz="0" w:space="0" w:color="auto"/>
      </w:divBdr>
    </w:div>
    <w:div w:id="869030060">
      <w:bodyDiv w:val="1"/>
      <w:marLeft w:val="0"/>
      <w:marRight w:val="0"/>
      <w:marTop w:val="0"/>
      <w:marBottom w:val="0"/>
      <w:divBdr>
        <w:top w:val="none" w:sz="0" w:space="0" w:color="auto"/>
        <w:left w:val="none" w:sz="0" w:space="0" w:color="auto"/>
        <w:bottom w:val="none" w:sz="0" w:space="0" w:color="auto"/>
        <w:right w:val="none" w:sz="0" w:space="0" w:color="auto"/>
      </w:divBdr>
    </w:div>
    <w:div w:id="886339583">
      <w:bodyDiv w:val="1"/>
      <w:marLeft w:val="0"/>
      <w:marRight w:val="0"/>
      <w:marTop w:val="0"/>
      <w:marBottom w:val="0"/>
      <w:divBdr>
        <w:top w:val="none" w:sz="0" w:space="0" w:color="auto"/>
        <w:left w:val="none" w:sz="0" w:space="0" w:color="auto"/>
        <w:bottom w:val="none" w:sz="0" w:space="0" w:color="auto"/>
        <w:right w:val="none" w:sz="0" w:space="0" w:color="auto"/>
      </w:divBdr>
    </w:div>
    <w:div w:id="989089730">
      <w:bodyDiv w:val="1"/>
      <w:marLeft w:val="0"/>
      <w:marRight w:val="0"/>
      <w:marTop w:val="0"/>
      <w:marBottom w:val="0"/>
      <w:divBdr>
        <w:top w:val="none" w:sz="0" w:space="0" w:color="auto"/>
        <w:left w:val="none" w:sz="0" w:space="0" w:color="auto"/>
        <w:bottom w:val="none" w:sz="0" w:space="0" w:color="auto"/>
        <w:right w:val="none" w:sz="0" w:space="0" w:color="auto"/>
      </w:divBdr>
    </w:div>
    <w:div w:id="1663964566">
      <w:bodyDiv w:val="1"/>
      <w:marLeft w:val="0"/>
      <w:marRight w:val="0"/>
      <w:marTop w:val="0"/>
      <w:marBottom w:val="0"/>
      <w:divBdr>
        <w:top w:val="none" w:sz="0" w:space="0" w:color="auto"/>
        <w:left w:val="none" w:sz="0" w:space="0" w:color="auto"/>
        <w:bottom w:val="none" w:sz="0" w:space="0" w:color="auto"/>
        <w:right w:val="none" w:sz="0" w:space="0" w:color="auto"/>
      </w:divBdr>
    </w:div>
    <w:div w:id="1858814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6.xml"/><Relationship Id="rId21" Type="http://schemas.openxmlformats.org/officeDocument/2006/relationships/header" Target="header11.xml"/><Relationship Id="rId42" Type="http://schemas.openxmlformats.org/officeDocument/2006/relationships/header" Target="header32.xml"/><Relationship Id="rId47" Type="http://schemas.openxmlformats.org/officeDocument/2006/relationships/header" Target="header37.xml"/><Relationship Id="rId63" Type="http://schemas.openxmlformats.org/officeDocument/2006/relationships/header" Target="header53.xml"/><Relationship Id="rId68" Type="http://schemas.openxmlformats.org/officeDocument/2006/relationships/header" Target="header58.xml"/><Relationship Id="rId84" Type="http://schemas.openxmlformats.org/officeDocument/2006/relationships/header" Target="header74.xml"/><Relationship Id="rId89" Type="http://schemas.openxmlformats.org/officeDocument/2006/relationships/header" Target="header79.xml"/><Relationship Id="rId112" Type="http://schemas.openxmlformats.org/officeDocument/2006/relationships/theme" Target="theme/theme1.xml"/><Relationship Id="rId16" Type="http://schemas.openxmlformats.org/officeDocument/2006/relationships/header" Target="header6.xml"/><Relationship Id="rId107" Type="http://schemas.openxmlformats.org/officeDocument/2006/relationships/header" Target="header96.xml"/><Relationship Id="rId11" Type="http://schemas.openxmlformats.org/officeDocument/2006/relationships/header" Target="header2.xml"/><Relationship Id="rId32" Type="http://schemas.openxmlformats.org/officeDocument/2006/relationships/header" Target="header22.xml"/><Relationship Id="rId37" Type="http://schemas.openxmlformats.org/officeDocument/2006/relationships/header" Target="header27.xml"/><Relationship Id="rId53" Type="http://schemas.openxmlformats.org/officeDocument/2006/relationships/header" Target="header43.xml"/><Relationship Id="rId58" Type="http://schemas.openxmlformats.org/officeDocument/2006/relationships/header" Target="header48.xml"/><Relationship Id="rId74" Type="http://schemas.openxmlformats.org/officeDocument/2006/relationships/header" Target="header64.xml"/><Relationship Id="rId79" Type="http://schemas.openxmlformats.org/officeDocument/2006/relationships/header" Target="header69.xml"/><Relationship Id="rId102" Type="http://schemas.openxmlformats.org/officeDocument/2006/relationships/header" Target="header92.xml"/><Relationship Id="rId5" Type="http://schemas.openxmlformats.org/officeDocument/2006/relationships/webSettings" Target="webSettings.xml"/><Relationship Id="rId90" Type="http://schemas.openxmlformats.org/officeDocument/2006/relationships/header" Target="header80.xml"/><Relationship Id="rId95" Type="http://schemas.openxmlformats.org/officeDocument/2006/relationships/header" Target="header85.xml"/><Relationship Id="rId22" Type="http://schemas.openxmlformats.org/officeDocument/2006/relationships/header" Target="header12.xml"/><Relationship Id="rId27" Type="http://schemas.openxmlformats.org/officeDocument/2006/relationships/header" Target="header17.xml"/><Relationship Id="rId43" Type="http://schemas.openxmlformats.org/officeDocument/2006/relationships/header" Target="header33.xml"/><Relationship Id="rId48" Type="http://schemas.openxmlformats.org/officeDocument/2006/relationships/header" Target="header38.xml"/><Relationship Id="rId64" Type="http://schemas.openxmlformats.org/officeDocument/2006/relationships/header" Target="header54.xml"/><Relationship Id="rId69" Type="http://schemas.openxmlformats.org/officeDocument/2006/relationships/header" Target="header59.xml"/><Relationship Id="rId80" Type="http://schemas.openxmlformats.org/officeDocument/2006/relationships/header" Target="header70.xml"/><Relationship Id="rId85" Type="http://schemas.openxmlformats.org/officeDocument/2006/relationships/header" Target="header75.xml"/><Relationship Id="rId12" Type="http://schemas.openxmlformats.org/officeDocument/2006/relationships/footer" Target="footer3.xml"/><Relationship Id="rId17" Type="http://schemas.openxmlformats.org/officeDocument/2006/relationships/header" Target="header7.xml"/><Relationship Id="rId33" Type="http://schemas.openxmlformats.org/officeDocument/2006/relationships/header" Target="header23.xml"/><Relationship Id="rId38" Type="http://schemas.openxmlformats.org/officeDocument/2006/relationships/header" Target="header28.xml"/><Relationship Id="rId59" Type="http://schemas.openxmlformats.org/officeDocument/2006/relationships/header" Target="header49.xml"/><Relationship Id="rId103" Type="http://schemas.openxmlformats.org/officeDocument/2006/relationships/header" Target="header93.xml"/><Relationship Id="rId108" Type="http://schemas.openxmlformats.org/officeDocument/2006/relationships/footer" Target="footer5.xml"/><Relationship Id="rId54" Type="http://schemas.openxmlformats.org/officeDocument/2006/relationships/header" Target="header44.xml"/><Relationship Id="rId70" Type="http://schemas.openxmlformats.org/officeDocument/2006/relationships/header" Target="header60.xml"/><Relationship Id="rId75" Type="http://schemas.openxmlformats.org/officeDocument/2006/relationships/header" Target="header65.xml"/><Relationship Id="rId91" Type="http://schemas.openxmlformats.org/officeDocument/2006/relationships/header" Target="header81.xml"/><Relationship Id="rId96" Type="http://schemas.openxmlformats.org/officeDocument/2006/relationships/header" Target="header8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3.xml"/><Relationship Id="rId28" Type="http://schemas.openxmlformats.org/officeDocument/2006/relationships/header" Target="header18.xml"/><Relationship Id="rId36" Type="http://schemas.openxmlformats.org/officeDocument/2006/relationships/header" Target="header26.xml"/><Relationship Id="rId49" Type="http://schemas.openxmlformats.org/officeDocument/2006/relationships/header" Target="header39.xml"/><Relationship Id="rId57" Type="http://schemas.openxmlformats.org/officeDocument/2006/relationships/header" Target="header47.xml"/><Relationship Id="rId106" Type="http://schemas.openxmlformats.org/officeDocument/2006/relationships/footer" Target="footer4.xml"/><Relationship Id="rId10" Type="http://schemas.openxmlformats.org/officeDocument/2006/relationships/footer" Target="footer2.xml"/><Relationship Id="rId31" Type="http://schemas.openxmlformats.org/officeDocument/2006/relationships/header" Target="header21.xml"/><Relationship Id="rId44" Type="http://schemas.openxmlformats.org/officeDocument/2006/relationships/header" Target="header34.xml"/><Relationship Id="rId52" Type="http://schemas.openxmlformats.org/officeDocument/2006/relationships/header" Target="header42.xml"/><Relationship Id="rId60" Type="http://schemas.openxmlformats.org/officeDocument/2006/relationships/header" Target="header50.xml"/><Relationship Id="rId65" Type="http://schemas.openxmlformats.org/officeDocument/2006/relationships/header" Target="header55.xml"/><Relationship Id="rId73" Type="http://schemas.openxmlformats.org/officeDocument/2006/relationships/header" Target="header63.xml"/><Relationship Id="rId78" Type="http://schemas.openxmlformats.org/officeDocument/2006/relationships/header" Target="header68.xml"/><Relationship Id="rId81" Type="http://schemas.openxmlformats.org/officeDocument/2006/relationships/header" Target="header71.xml"/><Relationship Id="rId86" Type="http://schemas.openxmlformats.org/officeDocument/2006/relationships/header" Target="header76.xml"/><Relationship Id="rId94" Type="http://schemas.openxmlformats.org/officeDocument/2006/relationships/header" Target="header84.xml"/><Relationship Id="rId99" Type="http://schemas.openxmlformats.org/officeDocument/2006/relationships/header" Target="header89.xml"/><Relationship Id="rId101" Type="http://schemas.openxmlformats.org/officeDocument/2006/relationships/header" Target="header9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header" Target="header29.xml"/><Relationship Id="rId109" Type="http://schemas.openxmlformats.org/officeDocument/2006/relationships/header" Target="header97.xml"/><Relationship Id="rId34" Type="http://schemas.openxmlformats.org/officeDocument/2006/relationships/header" Target="header24.xml"/><Relationship Id="rId50" Type="http://schemas.openxmlformats.org/officeDocument/2006/relationships/header" Target="header40.xml"/><Relationship Id="rId55" Type="http://schemas.openxmlformats.org/officeDocument/2006/relationships/header" Target="header45.xml"/><Relationship Id="rId76" Type="http://schemas.openxmlformats.org/officeDocument/2006/relationships/header" Target="header66.xml"/><Relationship Id="rId97" Type="http://schemas.openxmlformats.org/officeDocument/2006/relationships/header" Target="header87.xml"/><Relationship Id="rId104" Type="http://schemas.openxmlformats.org/officeDocument/2006/relationships/header" Target="header94.xml"/><Relationship Id="rId7" Type="http://schemas.openxmlformats.org/officeDocument/2006/relationships/endnotes" Target="endnotes.xml"/><Relationship Id="rId71" Type="http://schemas.openxmlformats.org/officeDocument/2006/relationships/header" Target="header61.xml"/><Relationship Id="rId92" Type="http://schemas.openxmlformats.org/officeDocument/2006/relationships/header" Target="header82.xml"/><Relationship Id="rId2" Type="http://schemas.openxmlformats.org/officeDocument/2006/relationships/numbering" Target="numbering.xml"/><Relationship Id="rId29" Type="http://schemas.openxmlformats.org/officeDocument/2006/relationships/header" Target="header19.xml"/><Relationship Id="rId24" Type="http://schemas.openxmlformats.org/officeDocument/2006/relationships/header" Target="header14.xml"/><Relationship Id="rId40" Type="http://schemas.openxmlformats.org/officeDocument/2006/relationships/header" Target="header30.xml"/><Relationship Id="rId45" Type="http://schemas.openxmlformats.org/officeDocument/2006/relationships/header" Target="header35.xml"/><Relationship Id="rId66" Type="http://schemas.openxmlformats.org/officeDocument/2006/relationships/header" Target="header56.xml"/><Relationship Id="rId87" Type="http://schemas.openxmlformats.org/officeDocument/2006/relationships/header" Target="header77.xml"/><Relationship Id="rId110" Type="http://schemas.openxmlformats.org/officeDocument/2006/relationships/footer" Target="footer6.xml"/><Relationship Id="rId61" Type="http://schemas.openxmlformats.org/officeDocument/2006/relationships/header" Target="header51.xml"/><Relationship Id="rId82" Type="http://schemas.openxmlformats.org/officeDocument/2006/relationships/header" Target="header72.xml"/><Relationship Id="rId19" Type="http://schemas.openxmlformats.org/officeDocument/2006/relationships/header" Target="header9.xml"/><Relationship Id="rId14" Type="http://schemas.openxmlformats.org/officeDocument/2006/relationships/header" Target="header4.xml"/><Relationship Id="rId30" Type="http://schemas.openxmlformats.org/officeDocument/2006/relationships/header" Target="header20.xml"/><Relationship Id="rId35" Type="http://schemas.openxmlformats.org/officeDocument/2006/relationships/header" Target="header25.xml"/><Relationship Id="rId56" Type="http://schemas.openxmlformats.org/officeDocument/2006/relationships/header" Target="header46.xml"/><Relationship Id="rId77" Type="http://schemas.openxmlformats.org/officeDocument/2006/relationships/header" Target="header67.xml"/><Relationship Id="rId100" Type="http://schemas.openxmlformats.org/officeDocument/2006/relationships/header" Target="header90.xml"/><Relationship Id="rId105" Type="http://schemas.openxmlformats.org/officeDocument/2006/relationships/header" Target="header95.xml"/><Relationship Id="rId8" Type="http://schemas.openxmlformats.org/officeDocument/2006/relationships/footer" Target="footer1.xml"/><Relationship Id="rId51" Type="http://schemas.openxmlformats.org/officeDocument/2006/relationships/header" Target="header41.xml"/><Relationship Id="rId72" Type="http://schemas.openxmlformats.org/officeDocument/2006/relationships/header" Target="header62.xml"/><Relationship Id="rId93" Type="http://schemas.openxmlformats.org/officeDocument/2006/relationships/header" Target="header83.xml"/><Relationship Id="rId98" Type="http://schemas.openxmlformats.org/officeDocument/2006/relationships/header" Target="header88.xml"/><Relationship Id="rId3" Type="http://schemas.openxmlformats.org/officeDocument/2006/relationships/styles" Target="styles.xml"/><Relationship Id="rId25" Type="http://schemas.openxmlformats.org/officeDocument/2006/relationships/header" Target="header15.xml"/><Relationship Id="rId46" Type="http://schemas.openxmlformats.org/officeDocument/2006/relationships/header" Target="header36.xml"/><Relationship Id="rId67" Type="http://schemas.openxmlformats.org/officeDocument/2006/relationships/header" Target="header57.xml"/><Relationship Id="rId20" Type="http://schemas.openxmlformats.org/officeDocument/2006/relationships/header" Target="header10.xml"/><Relationship Id="rId41" Type="http://schemas.openxmlformats.org/officeDocument/2006/relationships/header" Target="header31.xml"/><Relationship Id="rId62" Type="http://schemas.openxmlformats.org/officeDocument/2006/relationships/header" Target="header52.xml"/><Relationship Id="rId83" Type="http://schemas.openxmlformats.org/officeDocument/2006/relationships/header" Target="header73.xml"/><Relationship Id="rId88" Type="http://schemas.openxmlformats.org/officeDocument/2006/relationships/header" Target="header78.xm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עז</b:Tag>
    <b:SourceType>Book</b:SourceType>
    <b:Guid>{479A112A-4615-4F2C-B9A1-14A4803A87A7}</b:Guid>
    <b:Author>
      <b:Author>
        <b:NameList>
          <b:Person>
            <b:Last>ע"ז</b:Last>
          </b:Person>
        </b:NameList>
      </b:Author>
    </b:Author>
    <b:RefOrder>1</b:RefOrder>
  </b:Source>
</b:Sources>
</file>

<file path=customXml/itemProps1.xml><?xml version="1.0" encoding="utf-8"?>
<ds:datastoreItem xmlns:ds="http://schemas.openxmlformats.org/officeDocument/2006/customXml" ds:itemID="{E76A5E90-3B44-4A78-B23A-3F61C369E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4290780403</TotalTime>
  <Pages>639</Pages>
  <Words>232234</Words>
  <Characters>1323734</Characters>
  <Application>Microsoft Office Word</Application>
  <DocSecurity>0</DocSecurity>
  <Lines>11031</Lines>
  <Paragraphs>3105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1552863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Meyer</dc:creator>
  <cp:lastModifiedBy>Meyer</cp:lastModifiedBy>
  <cp:revision>68</cp:revision>
  <cp:lastPrinted>2017-10-21T20:01:00Z</cp:lastPrinted>
  <dcterms:created xsi:type="dcterms:W3CDTF">2017-12-19T20:47:00Z</dcterms:created>
  <dcterms:modified xsi:type="dcterms:W3CDTF">2019-09-16T20:17:00Z</dcterms:modified>
</cp:coreProperties>
</file>